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F0321" w:rsidR="006F0321" w:rsidP="09086EE4" w:rsidRDefault="006F0321" w14:paraId="7F785648" w14:textId="77777777">
      <w:pPr>
        <w:rPr>
          <w:b/>
          <w:bCs/>
          <w:sz w:val="44"/>
          <w:szCs w:val="44"/>
        </w:rPr>
      </w:pPr>
      <w:bookmarkStart w:name="_Toc389131241" w:id="0"/>
      <w:bookmarkStart w:name="_Toc389473036" w:id="1"/>
      <w:bookmarkStart w:name="_Toc389473185" w:id="2"/>
      <w:bookmarkStart w:name="_Toc389473272" w:id="3"/>
      <w:bookmarkStart w:name="_Toc392770343" w:id="4"/>
      <w:r w:rsidRPr="09086EE4">
        <w:rPr>
          <w:b/>
          <w:bCs/>
          <w:sz w:val="44"/>
          <w:szCs w:val="44"/>
        </w:rPr>
        <w:t>Canberra Health Services</w:t>
      </w:r>
    </w:p>
    <w:bookmarkEnd w:id="0"/>
    <w:bookmarkEnd w:id="1"/>
    <w:bookmarkEnd w:id="2"/>
    <w:bookmarkEnd w:id="3"/>
    <w:bookmarkEnd w:id="4"/>
    <w:p w:rsidRPr="006F0321" w:rsidR="006F0321" w:rsidP="006F0321" w:rsidRDefault="006F0321" w14:paraId="46930F8D" w14:textId="77777777">
      <w:pPr>
        <w:rPr>
          <w:b/>
          <w:bCs/>
          <w:i/>
          <w:sz w:val="44"/>
          <w:szCs w:val="44"/>
        </w:rPr>
      </w:pPr>
      <w:r w:rsidRPr="006F0321">
        <w:rPr>
          <w:b/>
          <w:bCs/>
          <w:sz w:val="44"/>
          <w:szCs w:val="44"/>
        </w:rPr>
        <w:t>Neonatal Intensive Care Drug Manual</w:t>
      </w:r>
    </w:p>
    <w:tbl>
      <w:tblPr>
        <w:tblpPr w:leftFromText="180" w:rightFromText="180" w:vertAnchor="text" w:horzAnchor="margin" w:tblpY="181"/>
        <w:tblW w:w="9158" w:type="dxa"/>
        <w:tblLook w:val="0000" w:firstRow="0" w:lastRow="0" w:firstColumn="0" w:lastColumn="0" w:noHBand="0" w:noVBand="0"/>
      </w:tblPr>
      <w:tblGrid>
        <w:gridCol w:w="9158"/>
      </w:tblGrid>
      <w:tr w:rsidRPr="00CD1C0E" w:rsidR="006F0321" w:rsidTr="006F0321" w14:paraId="2F809E7C" w14:textId="77777777">
        <w:trPr>
          <w:cantSplit/>
          <w:trHeight w:val="285"/>
        </w:trPr>
        <w:tc>
          <w:tcPr>
            <w:tcW w:w="9158" w:type="dxa"/>
            <w:shd w:val="clear" w:color="auto" w:fill="A6A6A6" w:themeFill="background1" w:themeFillShade="A6"/>
          </w:tcPr>
          <w:p w:rsidRPr="006F0321" w:rsidR="006F0321" w:rsidP="00F50B2B" w:rsidRDefault="006F0321" w14:paraId="12C876C2" w14:textId="77777777">
            <w:pPr>
              <w:pStyle w:val="Heading1"/>
            </w:pPr>
            <w:bookmarkStart w:name="_Toc389473273" w:id="5"/>
            <w:bookmarkStart w:name="Contents" w:id="6"/>
            <w:bookmarkStart w:name="_Toc410818154" w:id="7"/>
            <w:bookmarkStart w:name="_Toc75339918" w:id="8"/>
            <w:r w:rsidRPr="006F0321">
              <w:t>Contents</w:t>
            </w:r>
            <w:bookmarkEnd w:id="5"/>
            <w:bookmarkEnd w:id="6"/>
            <w:bookmarkEnd w:id="7"/>
            <w:bookmarkEnd w:id="8"/>
          </w:p>
        </w:tc>
      </w:tr>
    </w:tbl>
    <w:p w:rsidR="00F135D0" w:rsidRDefault="00E478EA" w14:paraId="7785CEAE" w14:textId="28318F79">
      <w:pPr>
        <w:pStyle w:val="TOC1"/>
        <w:tabs>
          <w:tab w:val="right" w:leader="dot" w:pos="9016"/>
        </w:tabs>
        <w:rPr>
          <w:rFonts w:asciiTheme="minorHAnsi" w:hAnsiTheme="minorHAnsi" w:eastAsiaTheme="minorEastAsia" w:cstheme="minorBidi"/>
          <w:noProof/>
          <w:sz w:val="22"/>
          <w:szCs w:val="22"/>
          <w:lang w:val="en-AU" w:eastAsia="en-AU"/>
        </w:rPr>
      </w:pPr>
      <w:r>
        <w:fldChar w:fldCharType="begin"/>
      </w:r>
      <w:r>
        <w:instrText xml:space="preserve"> TOC \o "1-1" \h \z \u </w:instrText>
      </w:r>
      <w:r>
        <w:fldChar w:fldCharType="separate"/>
      </w:r>
      <w:hyperlink w:history="1" w:anchor="_Toc75339918">
        <w:r w:rsidRPr="008313B4" w:rsidR="00F135D0">
          <w:rPr>
            <w:rStyle w:val="Hyperlink"/>
            <w:noProof/>
          </w:rPr>
          <w:t>Contents</w:t>
        </w:r>
        <w:r w:rsidR="00F135D0">
          <w:rPr>
            <w:noProof/>
            <w:webHidden/>
          </w:rPr>
          <w:tab/>
        </w:r>
        <w:r w:rsidR="00F135D0">
          <w:rPr>
            <w:noProof/>
            <w:webHidden/>
          </w:rPr>
          <w:fldChar w:fldCharType="begin"/>
        </w:r>
        <w:r w:rsidR="00F135D0">
          <w:rPr>
            <w:noProof/>
            <w:webHidden/>
          </w:rPr>
          <w:instrText xml:space="preserve"> PAGEREF _Toc75339918 \h </w:instrText>
        </w:r>
        <w:r w:rsidR="00F135D0">
          <w:rPr>
            <w:noProof/>
            <w:webHidden/>
          </w:rPr>
        </w:r>
        <w:r w:rsidR="00F135D0">
          <w:rPr>
            <w:noProof/>
            <w:webHidden/>
          </w:rPr>
          <w:fldChar w:fldCharType="separate"/>
        </w:r>
        <w:r w:rsidR="006B3E26">
          <w:rPr>
            <w:noProof/>
            <w:webHidden/>
          </w:rPr>
          <w:t>1</w:t>
        </w:r>
        <w:r w:rsidR="00F135D0">
          <w:rPr>
            <w:noProof/>
            <w:webHidden/>
          </w:rPr>
          <w:fldChar w:fldCharType="end"/>
        </w:r>
      </w:hyperlink>
    </w:p>
    <w:p w:rsidR="00F135D0" w:rsidRDefault="006B3E26" w14:paraId="6356E690" w14:textId="61B510F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19">
        <w:r w:rsidRPr="008313B4" w:rsidR="00F135D0">
          <w:rPr>
            <w:rStyle w:val="Hyperlink"/>
            <w:noProof/>
          </w:rPr>
          <w:t>Introduction</w:t>
        </w:r>
        <w:r w:rsidR="00F135D0">
          <w:rPr>
            <w:noProof/>
            <w:webHidden/>
          </w:rPr>
          <w:tab/>
        </w:r>
        <w:r w:rsidR="00F135D0">
          <w:rPr>
            <w:noProof/>
            <w:webHidden/>
          </w:rPr>
          <w:fldChar w:fldCharType="begin"/>
        </w:r>
        <w:r w:rsidR="00F135D0">
          <w:rPr>
            <w:noProof/>
            <w:webHidden/>
          </w:rPr>
          <w:instrText xml:space="preserve"> PAGEREF _Toc75339919 \h </w:instrText>
        </w:r>
        <w:r w:rsidR="00F135D0">
          <w:rPr>
            <w:noProof/>
            <w:webHidden/>
          </w:rPr>
        </w:r>
        <w:r w:rsidR="00F135D0">
          <w:rPr>
            <w:noProof/>
            <w:webHidden/>
          </w:rPr>
          <w:fldChar w:fldCharType="separate"/>
        </w:r>
        <w:r>
          <w:rPr>
            <w:noProof/>
            <w:webHidden/>
          </w:rPr>
          <w:t>7</w:t>
        </w:r>
        <w:r w:rsidR="00F135D0">
          <w:rPr>
            <w:noProof/>
            <w:webHidden/>
          </w:rPr>
          <w:fldChar w:fldCharType="end"/>
        </w:r>
      </w:hyperlink>
    </w:p>
    <w:p w:rsidR="00F135D0" w:rsidRDefault="006B3E26" w14:paraId="17D81E2C" w14:textId="37289B5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0">
        <w:r w:rsidRPr="008313B4" w:rsidR="00F135D0">
          <w:rPr>
            <w:rStyle w:val="Hyperlink"/>
            <w:noProof/>
          </w:rPr>
          <w:t>TCH Templ</w:t>
        </w:r>
        <w:r w:rsidRPr="008313B4" w:rsidR="00F135D0">
          <w:rPr>
            <w:rStyle w:val="Hyperlink"/>
            <w:noProof/>
          </w:rPr>
          <w:t>a</w:t>
        </w:r>
        <w:r w:rsidRPr="008313B4" w:rsidR="00F135D0">
          <w:rPr>
            <w:rStyle w:val="Hyperlink"/>
            <w:noProof/>
          </w:rPr>
          <w:t>te</w:t>
        </w:r>
        <w:r w:rsidR="00F135D0">
          <w:rPr>
            <w:noProof/>
            <w:webHidden/>
          </w:rPr>
          <w:tab/>
        </w:r>
        <w:r w:rsidR="00F135D0">
          <w:rPr>
            <w:noProof/>
            <w:webHidden/>
          </w:rPr>
          <w:fldChar w:fldCharType="begin"/>
        </w:r>
        <w:r w:rsidR="00F135D0">
          <w:rPr>
            <w:noProof/>
            <w:webHidden/>
          </w:rPr>
          <w:instrText xml:space="preserve"> PAGEREF _Toc75339920 \h </w:instrText>
        </w:r>
        <w:r w:rsidR="00F135D0">
          <w:rPr>
            <w:noProof/>
            <w:webHidden/>
          </w:rPr>
        </w:r>
        <w:r w:rsidR="00F135D0">
          <w:rPr>
            <w:noProof/>
            <w:webHidden/>
          </w:rPr>
          <w:fldChar w:fldCharType="separate"/>
        </w:r>
        <w:r>
          <w:rPr>
            <w:noProof/>
            <w:webHidden/>
          </w:rPr>
          <w:t>9</w:t>
        </w:r>
        <w:r w:rsidR="00F135D0">
          <w:rPr>
            <w:noProof/>
            <w:webHidden/>
          </w:rPr>
          <w:fldChar w:fldCharType="end"/>
        </w:r>
      </w:hyperlink>
    </w:p>
    <w:p w:rsidR="00F135D0" w:rsidRDefault="006B3E26" w14:paraId="590A3B20" w14:textId="79897CF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1">
        <w:r w:rsidRPr="008313B4" w:rsidR="00F135D0">
          <w:rPr>
            <w:rStyle w:val="Hyperlink"/>
            <w:noProof/>
          </w:rPr>
          <w:t>Medications</w:t>
        </w:r>
        <w:r w:rsidR="00F135D0">
          <w:rPr>
            <w:noProof/>
            <w:webHidden/>
          </w:rPr>
          <w:tab/>
        </w:r>
        <w:r w:rsidR="00F135D0">
          <w:rPr>
            <w:noProof/>
            <w:webHidden/>
          </w:rPr>
          <w:fldChar w:fldCharType="begin"/>
        </w:r>
        <w:r w:rsidR="00F135D0">
          <w:rPr>
            <w:noProof/>
            <w:webHidden/>
          </w:rPr>
          <w:instrText xml:space="preserve"> PAGEREF _Toc75339921 \h </w:instrText>
        </w:r>
        <w:r w:rsidR="00F135D0">
          <w:rPr>
            <w:noProof/>
            <w:webHidden/>
          </w:rPr>
        </w:r>
        <w:r w:rsidR="00F135D0">
          <w:rPr>
            <w:noProof/>
            <w:webHidden/>
          </w:rPr>
          <w:fldChar w:fldCharType="separate"/>
        </w:r>
        <w:r>
          <w:rPr>
            <w:noProof/>
            <w:webHidden/>
          </w:rPr>
          <w:t>10</w:t>
        </w:r>
        <w:r w:rsidR="00F135D0">
          <w:rPr>
            <w:noProof/>
            <w:webHidden/>
          </w:rPr>
          <w:fldChar w:fldCharType="end"/>
        </w:r>
      </w:hyperlink>
    </w:p>
    <w:p w:rsidR="00F135D0" w:rsidRDefault="006B3E26" w14:paraId="788B1CDA" w14:textId="4A964A3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2">
        <w:r w:rsidRPr="008313B4" w:rsidR="00F135D0">
          <w:rPr>
            <w:rStyle w:val="Hyperlink"/>
            <w:noProof/>
          </w:rPr>
          <w:t>Acetylcysteine for Mucolysis</w:t>
        </w:r>
        <w:r w:rsidR="00F135D0">
          <w:rPr>
            <w:noProof/>
            <w:webHidden/>
          </w:rPr>
          <w:tab/>
        </w:r>
        <w:r w:rsidR="00F135D0">
          <w:rPr>
            <w:noProof/>
            <w:webHidden/>
          </w:rPr>
          <w:fldChar w:fldCharType="begin"/>
        </w:r>
        <w:r w:rsidR="00F135D0">
          <w:rPr>
            <w:noProof/>
            <w:webHidden/>
          </w:rPr>
          <w:instrText xml:space="preserve"> PAGEREF _Toc75339922 \h </w:instrText>
        </w:r>
        <w:r w:rsidR="00F135D0">
          <w:rPr>
            <w:noProof/>
            <w:webHidden/>
          </w:rPr>
        </w:r>
        <w:r w:rsidR="00F135D0">
          <w:rPr>
            <w:noProof/>
            <w:webHidden/>
          </w:rPr>
          <w:fldChar w:fldCharType="separate"/>
        </w:r>
        <w:r>
          <w:rPr>
            <w:noProof/>
            <w:webHidden/>
          </w:rPr>
          <w:t>10</w:t>
        </w:r>
        <w:r w:rsidR="00F135D0">
          <w:rPr>
            <w:noProof/>
            <w:webHidden/>
          </w:rPr>
          <w:fldChar w:fldCharType="end"/>
        </w:r>
      </w:hyperlink>
    </w:p>
    <w:p w:rsidR="00F135D0" w:rsidRDefault="006B3E26" w14:paraId="0BDEDC6C" w14:textId="3CD19E3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3">
        <w:r w:rsidRPr="008313B4" w:rsidR="00F135D0">
          <w:rPr>
            <w:rStyle w:val="Hyperlink"/>
            <w:noProof/>
          </w:rPr>
          <w:t>Aciclovir</w:t>
        </w:r>
        <w:r w:rsidR="00F135D0">
          <w:rPr>
            <w:noProof/>
            <w:webHidden/>
          </w:rPr>
          <w:tab/>
        </w:r>
        <w:r w:rsidR="00F135D0">
          <w:rPr>
            <w:noProof/>
            <w:webHidden/>
          </w:rPr>
          <w:fldChar w:fldCharType="begin"/>
        </w:r>
        <w:r w:rsidR="00F135D0">
          <w:rPr>
            <w:noProof/>
            <w:webHidden/>
          </w:rPr>
          <w:instrText xml:space="preserve"> PAGEREF _Toc75339923 \h </w:instrText>
        </w:r>
        <w:r w:rsidR="00F135D0">
          <w:rPr>
            <w:noProof/>
            <w:webHidden/>
          </w:rPr>
        </w:r>
        <w:r w:rsidR="00F135D0">
          <w:rPr>
            <w:noProof/>
            <w:webHidden/>
          </w:rPr>
          <w:fldChar w:fldCharType="separate"/>
        </w:r>
        <w:r>
          <w:rPr>
            <w:noProof/>
            <w:webHidden/>
          </w:rPr>
          <w:t>15</w:t>
        </w:r>
        <w:r w:rsidR="00F135D0">
          <w:rPr>
            <w:noProof/>
            <w:webHidden/>
          </w:rPr>
          <w:fldChar w:fldCharType="end"/>
        </w:r>
      </w:hyperlink>
    </w:p>
    <w:p w:rsidR="00F135D0" w:rsidRDefault="006B3E26" w14:paraId="7FBACD35" w14:textId="324F7F2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4">
        <w:r w:rsidRPr="008313B4" w:rsidR="00F135D0">
          <w:rPr>
            <w:rStyle w:val="Hyperlink"/>
            <w:noProof/>
          </w:rPr>
          <w:t>Adenosine</w:t>
        </w:r>
        <w:r w:rsidR="00F135D0">
          <w:rPr>
            <w:noProof/>
            <w:webHidden/>
          </w:rPr>
          <w:tab/>
        </w:r>
        <w:r w:rsidR="00F135D0">
          <w:rPr>
            <w:noProof/>
            <w:webHidden/>
          </w:rPr>
          <w:fldChar w:fldCharType="begin"/>
        </w:r>
        <w:r w:rsidR="00F135D0">
          <w:rPr>
            <w:noProof/>
            <w:webHidden/>
          </w:rPr>
          <w:instrText xml:space="preserve"> PAGEREF _Toc75339924 \h </w:instrText>
        </w:r>
        <w:r w:rsidR="00F135D0">
          <w:rPr>
            <w:noProof/>
            <w:webHidden/>
          </w:rPr>
        </w:r>
        <w:r w:rsidR="00F135D0">
          <w:rPr>
            <w:noProof/>
            <w:webHidden/>
          </w:rPr>
          <w:fldChar w:fldCharType="separate"/>
        </w:r>
        <w:r>
          <w:rPr>
            <w:noProof/>
            <w:webHidden/>
          </w:rPr>
          <w:t>18</w:t>
        </w:r>
        <w:r w:rsidR="00F135D0">
          <w:rPr>
            <w:noProof/>
            <w:webHidden/>
          </w:rPr>
          <w:fldChar w:fldCharType="end"/>
        </w:r>
      </w:hyperlink>
    </w:p>
    <w:p w:rsidR="00F135D0" w:rsidRDefault="006B3E26" w14:paraId="3C5F7060" w14:textId="2FEC824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5">
        <w:r w:rsidRPr="008313B4" w:rsidR="00F135D0">
          <w:rPr>
            <w:rStyle w:val="Hyperlink"/>
            <w:noProof/>
          </w:rPr>
          <w:t>Adrenaline (Intratracheal)</w:t>
        </w:r>
        <w:r w:rsidR="00F135D0">
          <w:rPr>
            <w:noProof/>
            <w:webHidden/>
          </w:rPr>
          <w:tab/>
        </w:r>
        <w:r w:rsidR="00F135D0">
          <w:rPr>
            <w:noProof/>
            <w:webHidden/>
          </w:rPr>
          <w:fldChar w:fldCharType="begin"/>
        </w:r>
        <w:r w:rsidR="00F135D0">
          <w:rPr>
            <w:noProof/>
            <w:webHidden/>
          </w:rPr>
          <w:instrText xml:space="preserve"> PAGEREF _Toc75339925 \h </w:instrText>
        </w:r>
        <w:r w:rsidR="00F135D0">
          <w:rPr>
            <w:noProof/>
            <w:webHidden/>
          </w:rPr>
        </w:r>
        <w:r w:rsidR="00F135D0">
          <w:rPr>
            <w:noProof/>
            <w:webHidden/>
          </w:rPr>
          <w:fldChar w:fldCharType="separate"/>
        </w:r>
        <w:r>
          <w:rPr>
            <w:noProof/>
            <w:webHidden/>
          </w:rPr>
          <w:t>20</w:t>
        </w:r>
        <w:r w:rsidR="00F135D0">
          <w:rPr>
            <w:noProof/>
            <w:webHidden/>
          </w:rPr>
          <w:fldChar w:fldCharType="end"/>
        </w:r>
      </w:hyperlink>
    </w:p>
    <w:p w:rsidR="00F135D0" w:rsidRDefault="006B3E26" w14:paraId="3466F21C" w14:textId="6133005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6">
        <w:r w:rsidRPr="008313B4" w:rsidR="00F135D0">
          <w:rPr>
            <w:rStyle w:val="Hyperlink"/>
            <w:noProof/>
          </w:rPr>
          <w:t>Adrenaline (IV bolus)</w:t>
        </w:r>
        <w:r w:rsidR="00F135D0">
          <w:rPr>
            <w:noProof/>
            <w:webHidden/>
          </w:rPr>
          <w:tab/>
        </w:r>
        <w:r w:rsidR="00F135D0">
          <w:rPr>
            <w:noProof/>
            <w:webHidden/>
          </w:rPr>
          <w:fldChar w:fldCharType="begin"/>
        </w:r>
        <w:r w:rsidR="00F135D0">
          <w:rPr>
            <w:noProof/>
            <w:webHidden/>
          </w:rPr>
          <w:instrText xml:space="preserve"> PAGEREF _Toc75339926 \h </w:instrText>
        </w:r>
        <w:r w:rsidR="00F135D0">
          <w:rPr>
            <w:noProof/>
            <w:webHidden/>
          </w:rPr>
        </w:r>
        <w:r w:rsidR="00F135D0">
          <w:rPr>
            <w:noProof/>
            <w:webHidden/>
          </w:rPr>
          <w:fldChar w:fldCharType="separate"/>
        </w:r>
        <w:r>
          <w:rPr>
            <w:noProof/>
            <w:webHidden/>
          </w:rPr>
          <w:t>22</w:t>
        </w:r>
        <w:r w:rsidR="00F135D0">
          <w:rPr>
            <w:noProof/>
            <w:webHidden/>
          </w:rPr>
          <w:fldChar w:fldCharType="end"/>
        </w:r>
      </w:hyperlink>
    </w:p>
    <w:p w:rsidR="00F135D0" w:rsidRDefault="006B3E26" w14:paraId="6C62F0D7" w14:textId="41853F1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7">
        <w:r w:rsidRPr="008313B4" w:rsidR="00F135D0">
          <w:rPr>
            <w:rStyle w:val="Hyperlink"/>
            <w:noProof/>
          </w:rPr>
          <w:t>Adrenaline (Epinephrine) IV infusion</w:t>
        </w:r>
        <w:r w:rsidR="00F135D0">
          <w:rPr>
            <w:noProof/>
            <w:webHidden/>
          </w:rPr>
          <w:tab/>
        </w:r>
        <w:r w:rsidR="00F135D0">
          <w:rPr>
            <w:noProof/>
            <w:webHidden/>
          </w:rPr>
          <w:fldChar w:fldCharType="begin"/>
        </w:r>
        <w:r w:rsidR="00F135D0">
          <w:rPr>
            <w:noProof/>
            <w:webHidden/>
          </w:rPr>
          <w:instrText xml:space="preserve"> PAGEREF _Toc75339927 \h </w:instrText>
        </w:r>
        <w:r w:rsidR="00F135D0">
          <w:rPr>
            <w:noProof/>
            <w:webHidden/>
          </w:rPr>
        </w:r>
        <w:r w:rsidR="00F135D0">
          <w:rPr>
            <w:noProof/>
            <w:webHidden/>
          </w:rPr>
          <w:fldChar w:fldCharType="separate"/>
        </w:r>
        <w:r>
          <w:rPr>
            <w:noProof/>
            <w:webHidden/>
          </w:rPr>
          <w:t>25</w:t>
        </w:r>
        <w:r w:rsidR="00F135D0">
          <w:rPr>
            <w:noProof/>
            <w:webHidden/>
          </w:rPr>
          <w:fldChar w:fldCharType="end"/>
        </w:r>
      </w:hyperlink>
    </w:p>
    <w:p w:rsidR="00F135D0" w:rsidRDefault="006B3E26" w14:paraId="2ABE4BB0" w14:textId="595A81F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8">
        <w:r w:rsidRPr="008313B4" w:rsidR="00F135D0">
          <w:rPr>
            <w:rStyle w:val="Hyperlink"/>
            <w:noProof/>
          </w:rPr>
          <w:t>Adrenaline (Epinephrine) Inhalation</w:t>
        </w:r>
        <w:r w:rsidR="00F135D0">
          <w:rPr>
            <w:noProof/>
            <w:webHidden/>
          </w:rPr>
          <w:tab/>
        </w:r>
        <w:r w:rsidR="00F135D0">
          <w:rPr>
            <w:noProof/>
            <w:webHidden/>
          </w:rPr>
          <w:fldChar w:fldCharType="begin"/>
        </w:r>
        <w:r w:rsidR="00F135D0">
          <w:rPr>
            <w:noProof/>
            <w:webHidden/>
          </w:rPr>
          <w:instrText xml:space="preserve"> PAGEREF _Toc75339928 \h </w:instrText>
        </w:r>
        <w:r w:rsidR="00F135D0">
          <w:rPr>
            <w:noProof/>
            <w:webHidden/>
          </w:rPr>
        </w:r>
        <w:r w:rsidR="00F135D0">
          <w:rPr>
            <w:noProof/>
            <w:webHidden/>
          </w:rPr>
          <w:fldChar w:fldCharType="separate"/>
        </w:r>
        <w:r>
          <w:rPr>
            <w:noProof/>
            <w:webHidden/>
          </w:rPr>
          <w:t>30</w:t>
        </w:r>
        <w:r w:rsidR="00F135D0">
          <w:rPr>
            <w:noProof/>
            <w:webHidden/>
          </w:rPr>
          <w:fldChar w:fldCharType="end"/>
        </w:r>
      </w:hyperlink>
    </w:p>
    <w:p w:rsidR="00F135D0" w:rsidRDefault="006B3E26" w14:paraId="616A61D9" w14:textId="572C9F3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29">
        <w:r w:rsidRPr="008313B4" w:rsidR="00F135D0">
          <w:rPr>
            <w:rStyle w:val="Hyperlink"/>
            <w:noProof/>
          </w:rPr>
          <w:t>Albumin 4%</w:t>
        </w:r>
        <w:r w:rsidR="00F135D0">
          <w:rPr>
            <w:noProof/>
            <w:webHidden/>
          </w:rPr>
          <w:tab/>
        </w:r>
        <w:r w:rsidR="00F135D0">
          <w:rPr>
            <w:noProof/>
            <w:webHidden/>
          </w:rPr>
          <w:fldChar w:fldCharType="begin"/>
        </w:r>
        <w:r w:rsidR="00F135D0">
          <w:rPr>
            <w:noProof/>
            <w:webHidden/>
          </w:rPr>
          <w:instrText xml:space="preserve"> PAGEREF _Toc75339929 \h </w:instrText>
        </w:r>
        <w:r w:rsidR="00F135D0">
          <w:rPr>
            <w:noProof/>
            <w:webHidden/>
          </w:rPr>
        </w:r>
        <w:r w:rsidR="00F135D0">
          <w:rPr>
            <w:noProof/>
            <w:webHidden/>
          </w:rPr>
          <w:fldChar w:fldCharType="separate"/>
        </w:r>
        <w:r>
          <w:rPr>
            <w:noProof/>
            <w:webHidden/>
          </w:rPr>
          <w:t>32</w:t>
        </w:r>
        <w:r w:rsidR="00F135D0">
          <w:rPr>
            <w:noProof/>
            <w:webHidden/>
          </w:rPr>
          <w:fldChar w:fldCharType="end"/>
        </w:r>
      </w:hyperlink>
    </w:p>
    <w:p w:rsidR="00F135D0" w:rsidRDefault="006B3E26" w14:paraId="4938A38A" w14:textId="3CF9C5A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0">
        <w:r w:rsidRPr="008313B4" w:rsidR="00F135D0">
          <w:rPr>
            <w:rStyle w:val="Hyperlink"/>
            <w:noProof/>
          </w:rPr>
          <w:t>Albumin 20%</w:t>
        </w:r>
        <w:r w:rsidR="00F135D0">
          <w:rPr>
            <w:noProof/>
            <w:webHidden/>
          </w:rPr>
          <w:tab/>
        </w:r>
        <w:r w:rsidR="00F135D0">
          <w:rPr>
            <w:noProof/>
            <w:webHidden/>
          </w:rPr>
          <w:fldChar w:fldCharType="begin"/>
        </w:r>
        <w:r w:rsidR="00F135D0">
          <w:rPr>
            <w:noProof/>
            <w:webHidden/>
          </w:rPr>
          <w:instrText xml:space="preserve"> PAGEREF _Toc75339930 \h </w:instrText>
        </w:r>
        <w:r w:rsidR="00F135D0">
          <w:rPr>
            <w:noProof/>
            <w:webHidden/>
          </w:rPr>
        </w:r>
        <w:r w:rsidR="00F135D0">
          <w:rPr>
            <w:noProof/>
            <w:webHidden/>
          </w:rPr>
          <w:fldChar w:fldCharType="separate"/>
        </w:r>
        <w:r>
          <w:rPr>
            <w:noProof/>
            <w:webHidden/>
          </w:rPr>
          <w:t>35</w:t>
        </w:r>
        <w:r w:rsidR="00F135D0">
          <w:rPr>
            <w:noProof/>
            <w:webHidden/>
          </w:rPr>
          <w:fldChar w:fldCharType="end"/>
        </w:r>
      </w:hyperlink>
    </w:p>
    <w:p w:rsidR="00F135D0" w:rsidRDefault="006B3E26" w14:paraId="1CE6B994" w14:textId="534D9F9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1">
        <w:r w:rsidRPr="008313B4" w:rsidR="00F135D0">
          <w:rPr>
            <w:rStyle w:val="Hyperlink"/>
            <w:noProof/>
          </w:rPr>
          <w:t>Amikacin</w:t>
        </w:r>
        <w:r w:rsidR="00F135D0">
          <w:rPr>
            <w:noProof/>
            <w:webHidden/>
          </w:rPr>
          <w:tab/>
        </w:r>
        <w:r w:rsidR="00F135D0">
          <w:rPr>
            <w:noProof/>
            <w:webHidden/>
          </w:rPr>
          <w:fldChar w:fldCharType="begin"/>
        </w:r>
        <w:r w:rsidR="00F135D0">
          <w:rPr>
            <w:noProof/>
            <w:webHidden/>
          </w:rPr>
          <w:instrText xml:space="preserve"> PAGEREF _Toc75339931 \h </w:instrText>
        </w:r>
        <w:r w:rsidR="00F135D0">
          <w:rPr>
            <w:noProof/>
            <w:webHidden/>
          </w:rPr>
        </w:r>
        <w:r w:rsidR="00F135D0">
          <w:rPr>
            <w:noProof/>
            <w:webHidden/>
          </w:rPr>
          <w:fldChar w:fldCharType="separate"/>
        </w:r>
        <w:r>
          <w:rPr>
            <w:noProof/>
            <w:webHidden/>
          </w:rPr>
          <w:t>38</w:t>
        </w:r>
        <w:r w:rsidR="00F135D0">
          <w:rPr>
            <w:noProof/>
            <w:webHidden/>
          </w:rPr>
          <w:fldChar w:fldCharType="end"/>
        </w:r>
      </w:hyperlink>
    </w:p>
    <w:p w:rsidR="00F135D0" w:rsidRDefault="006B3E26" w14:paraId="5A6A3170" w14:textId="072A83A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2">
        <w:r w:rsidRPr="008313B4" w:rsidR="00F135D0">
          <w:rPr>
            <w:rStyle w:val="Hyperlink"/>
            <w:noProof/>
          </w:rPr>
          <w:t>Amlodipine</w:t>
        </w:r>
        <w:r w:rsidR="00F135D0">
          <w:rPr>
            <w:noProof/>
            <w:webHidden/>
          </w:rPr>
          <w:tab/>
        </w:r>
        <w:r w:rsidR="00F135D0">
          <w:rPr>
            <w:noProof/>
            <w:webHidden/>
          </w:rPr>
          <w:fldChar w:fldCharType="begin"/>
        </w:r>
        <w:r w:rsidR="00F135D0">
          <w:rPr>
            <w:noProof/>
            <w:webHidden/>
          </w:rPr>
          <w:instrText xml:space="preserve"> PAGEREF _Toc75339932 \h </w:instrText>
        </w:r>
        <w:r w:rsidR="00F135D0">
          <w:rPr>
            <w:noProof/>
            <w:webHidden/>
          </w:rPr>
        </w:r>
        <w:r w:rsidR="00F135D0">
          <w:rPr>
            <w:noProof/>
            <w:webHidden/>
          </w:rPr>
          <w:fldChar w:fldCharType="separate"/>
        </w:r>
        <w:r>
          <w:rPr>
            <w:noProof/>
            <w:webHidden/>
          </w:rPr>
          <w:t>42</w:t>
        </w:r>
        <w:r w:rsidR="00F135D0">
          <w:rPr>
            <w:noProof/>
            <w:webHidden/>
          </w:rPr>
          <w:fldChar w:fldCharType="end"/>
        </w:r>
      </w:hyperlink>
    </w:p>
    <w:p w:rsidR="00F135D0" w:rsidRDefault="006B3E26" w14:paraId="36F78B40" w14:textId="6CB6C23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3">
        <w:r w:rsidRPr="008313B4" w:rsidR="00F135D0">
          <w:rPr>
            <w:rStyle w:val="Hyperlink"/>
            <w:noProof/>
          </w:rPr>
          <w:t>Amoxycillin</w:t>
        </w:r>
        <w:r w:rsidR="00F135D0">
          <w:rPr>
            <w:noProof/>
            <w:webHidden/>
          </w:rPr>
          <w:tab/>
        </w:r>
        <w:r w:rsidR="00F135D0">
          <w:rPr>
            <w:noProof/>
            <w:webHidden/>
          </w:rPr>
          <w:fldChar w:fldCharType="begin"/>
        </w:r>
        <w:r w:rsidR="00F135D0">
          <w:rPr>
            <w:noProof/>
            <w:webHidden/>
          </w:rPr>
          <w:instrText xml:space="preserve"> PAGEREF _Toc75339933 \h </w:instrText>
        </w:r>
        <w:r w:rsidR="00F135D0">
          <w:rPr>
            <w:noProof/>
            <w:webHidden/>
          </w:rPr>
        </w:r>
        <w:r w:rsidR="00F135D0">
          <w:rPr>
            <w:noProof/>
            <w:webHidden/>
          </w:rPr>
          <w:fldChar w:fldCharType="separate"/>
        </w:r>
        <w:r>
          <w:rPr>
            <w:noProof/>
            <w:webHidden/>
          </w:rPr>
          <w:t>44</w:t>
        </w:r>
        <w:r w:rsidR="00F135D0">
          <w:rPr>
            <w:noProof/>
            <w:webHidden/>
          </w:rPr>
          <w:fldChar w:fldCharType="end"/>
        </w:r>
      </w:hyperlink>
    </w:p>
    <w:p w:rsidR="00F135D0" w:rsidRDefault="006B3E26" w14:paraId="51A5EFDD" w14:textId="0A290EF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4">
        <w:r w:rsidRPr="008313B4" w:rsidR="00F135D0">
          <w:rPr>
            <w:rStyle w:val="Hyperlink"/>
            <w:noProof/>
          </w:rPr>
          <w:t>Amoxicillin Clavulanate</w:t>
        </w:r>
        <w:r w:rsidR="00F135D0">
          <w:rPr>
            <w:noProof/>
            <w:webHidden/>
          </w:rPr>
          <w:tab/>
        </w:r>
        <w:r w:rsidR="00F135D0">
          <w:rPr>
            <w:noProof/>
            <w:webHidden/>
          </w:rPr>
          <w:fldChar w:fldCharType="begin"/>
        </w:r>
        <w:r w:rsidR="00F135D0">
          <w:rPr>
            <w:noProof/>
            <w:webHidden/>
          </w:rPr>
          <w:instrText xml:space="preserve"> PAGEREF _Toc75339934 \h </w:instrText>
        </w:r>
        <w:r w:rsidR="00F135D0">
          <w:rPr>
            <w:noProof/>
            <w:webHidden/>
          </w:rPr>
        </w:r>
        <w:r w:rsidR="00F135D0">
          <w:rPr>
            <w:noProof/>
            <w:webHidden/>
          </w:rPr>
          <w:fldChar w:fldCharType="separate"/>
        </w:r>
        <w:r>
          <w:rPr>
            <w:noProof/>
            <w:webHidden/>
          </w:rPr>
          <w:t>48</w:t>
        </w:r>
        <w:r w:rsidR="00F135D0">
          <w:rPr>
            <w:noProof/>
            <w:webHidden/>
          </w:rPr>
          <w:fldChar w:fldCharType="end"/>
        </w:r>
      </w:hyperlink>
    </w:p>
    <w:p w:rsidR="00F135D0" w:rsidRDefault="006B3E26" w14:paraId="65EFD46A" w14:textId="1FA0927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5">
        <w:r w:rsidRPr="008313B4" w:rsidR="00F135D0">
          <w:rPr>
            <w:rStyle w:val="Hyperlink"/>
            <w:noProof/>
          </w:rPr>
          <w:t>Ampicillin</w:t>
        </w:r>
        <w:r w:rsidR="00F135D0">
          <w:rPr>
            <w:noProof/>
            <w:webHidden/>
          </w:rPr>
          <w:tab/>
        </w:r>
        <w:r w:rsidR="00F135D0">
          <w:rPr>
            <w:noProof/>
            <w:webHidden/>
          </w:rPr>
          <w:fldChar w:fldCharType="begin"/>
        </w:r>
        <w:r w:rsidR="00F135D0">
          <w:rPr>
            <w:noProof/>
            <w:webHidden/>
          </w:rPr>
          <w:instrText xml:space="preserve"> PAGEREF _Toc75339935 \h </w:instrText>
        </w:r>
        <w:r w:rsidR="00F135D0">
          <w:rPr>
            <w:noProof/>
            <w:webHidden/>
          </w:rPr>
        </w:r>
        <w:r w:rsidR="00F135D0">
          <w:rPr>
            <w:noProof/>
            <w:webHidden/>
          </w:rPr>
          <w:fldChar w:fldCharType="separate"/>
        </w:r>
        <w:r>
          <w:rPr>
            <w:noProof/>
            <w:webHidden/>
          </w:rPr>
          <w:t>54</w:t>
        </w:r>
        <w:r w:rsidR="00F135D0">
          <w:rPr>
            <w:noProof/>
            <w:webHidden/>
          </w:rPr>
          <w:fldChar w:fldCharType="end"/>
        </w:r>
      </w:hyperlink>
    </w:p>
    <w:p w:rsidR="00F135D0" w:rsidRDefault="006B3E26" w14:paraId="3CB4CC43" w14:textId="439F56B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6">
        <w:r w:rsidRPr="008313B4" w:rsidR="00F135D0">
          <w:rPr>
            <w:rStyle w:val="Hyperlink"/>
            <w:noProof/>
          </w:rPr>
          <w:t>Amphotericin B- Liposomal</w:t>
        </w:r>
        <w:r w:rsidR="00F135D0">
          <w:rPr>
            <w:noProof/>
            <w:webHidden/>
          </w:rPr>
          <w:tab/>
        </w:r>
        <w:r w:rsidR="00F135D0">
          <w:rPr>
            <w:noProof/>
            <w:webHidden/>
          </w:rPr>
          <w:fldChar w:fldCharType="begin"/>
        </w:r>
        <w:r w:rsidR="00F135D0">
          <w:rPr>
            <w:noProof/>
            <w:webHidden/>
          </w:rPr>
          <w:instrText xml:space="preserve"> PAGEREF _Toc75339936 \h </w:instrText>
        </w:r>
        <w:r w:rsidR="00F135D0">
          <w:rPr>
            <w:noProof/>
            <w:webHidden/>
          </w:rPr>
        </w:r>
        <w:r w:rsidR="00F135D0">
          <w:rPr>
            <w:noProof/>
            <w:webHidden/>
          </w:rPr>
          <w:fldChar w:fldCharType="separate"/>
        </w:r>
        <w:r>
          <w:rPr>
            <w:noProof/>
            <w:webHidden/>
          </w:rPr>
          <w:t>57</w:t>
        </w:r>
        <w:r w:rsidR="00F135D0">
          <w:rPr>
            <w:noProof/>
            <w:webHidden/>
          </w:rPr>
          <w:fldChar w:fldCharType="end"/>
        </w:r>
      </w:hyperlink>
    </w:p>
    <w:p w:rsidR="00F135D0" w:rsidRDefault="006B3E26" w14:paraId="7F0CF370" w14:textId="1AA51A1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7">
        <w:r w:rsidRPr="008313B4" w:rsidR="00F135D0">
          <w:rPr>
            <w:rStyle w:val="Hyperlink"/>
            <w:noProof/>
          </w:rPr>
          <w:t>Aspirin</w:t>
        </w:r>
        <w:r w:rsidR="00F135D0">
          <w:rPr>
            <w:noProof/>
            <w:webHidden/>
          </w:rPr>
          <w:tab/>
        </w:r>
        <w:r w:rsidR="00F135D0">
          <w:rPr>
            <w:noProof/>
            <w:webHidden/>
          </w:rPr>
          <w:fldChar w:fldCharType="begin"/>
        </w:r>
        <w:r w:rsidR="00F135D0">
          <w:rPr>
            <w:noProof/>
            <w:webHidden/>
          </w:rPr>
          <w:instrText xml:space="preserve"> PAGEREF _Toc75339937 \h </w:instrText>
        </w:r>
        <w:r w:rsidR="00F135D0">
          <w:rPr>
            <w:noProof/>
            <w:webHidden/>
          </w:rPr>
        </w:r>
        <w:r w:rsidR="00F135D0">
          <w:rPr>
            <w:noProof/>
            <w:webHidden/>
          </w:rPr>
          <w:fldChar w:fldCharType="separate"/>
        </w:r>
        <w:r>
          <w:rPr>
            <w:noProof/>
            <w:webHidden/>
          </w:rPr>
          <w:t>61</w:t>
        </w:r>
        <w:r w:rsidR="00F135D0">
          <w:rPr>
            <w:noProof/>
            <w:webHidden/>
          </w:rPr>
          <w:fldChar w:fldCharType="end"/>
        </w:r>
      </w:hyperlink>
    </w:p>
    <w:p w:rsidR="00F135D0" w:rsidRDefault="006B3E26" w14:paraId="2EE40C5F" w14:textId="6B8FD4C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8">
        <w:r w:rsidRPr="008313B4" w:rsidR="00F135D0">
          <w:rPr>
            <w:rStyle w:val="Hyperlink"/>
            <w:noProof/>
          </w:rPr>
          <w:t>Atropine</w:t>
        </w:r>
        <w:r w:rsidR="00F135D0">
          <w:rPr>
            <w:noProof/>
            <w:webHidden/>
          </w:rPr>
          <w:tab/>
        </w:r>
        <w:r w:rsidR="00F135D0">
          <w:rPr>
            <w:noProof/>
            <w:webHidden/>
          </w:rPr>
          <w:fldChar w:fldCharType="begin"/>
        </w:r>
        <w:r w:rsidR="00F135D0">
          <w:rPr>
            <w:noProof/>
            <w:webHidden/>
          </w:rPr>
          <w:instrText xml:space="preserve"> PAGEREF _Toc75339938 \h </w:instrText>
        </w:r>
        <w:r w:rsidR="00F135D0">
          <w:rPr>
            <w:noProof/>
            <w:webHidden/>
          </w:rPr>
        </w:r>
        <w:r w:rsidR="00F135D0">
          <w:rPr>
            <w:noProof/>
            <w:webHidden/>
          </w:rPr>
          <w:fldChar w:fldCharType="separate"/>
        </w:r>
        <w:r>
          <w:rPr>
            <w:noProof/>
            <w:webHidden/>
          </w:rPr>
          <w:t>63</w:t>
        </w:r>
        <w:r w:rsidR="00F135D0">
          <w:rPr>
            <w:noProof/>
            <w:webHidden/>
          </w:rPr>
          <w:fldChar w:fldCharType="end"/>
        </w:r>
      </w:hyperlink>
    </w:p>
    <w:p w:rsidR="00F135D0" w:rsidRDefault="006B3E26" w14:paraId="7DBB5593" w14:textId="5A69976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39">
        <w:r w:rsidRPr="008313B4" w:rsidR="00F135D0">
          <w:rPr>
            <w:rStyle w:val="Hyperlink"/>
            <w:noProof/>
          </w:rPr>
          <w:t>Azithromycin</w:t>
        </w:r>
        <w:r w:rsidR="00F135D0">
          <w:rPr>
            <w:noProof/>
            <w:webHidden/>
          </w:rPr>
          <w:tab/>
        </w:r>
        <w:r w:rsidR="00F135D0">
          <w:rPr>
            <w:noProof/>
            <w:webHidden/>
          </w:rPr>
          <w:fldChar w:fldCharType="begin"/>
        </w:r>
        <w:r w:rsidR="00F135D0">
          <w:rPr>
            <w:noProof/>
            <w:webHidden/>
          </w:rPr>
          <w:instrText xml:space="preserve"> PAGEREF _Toc75339939 \h </w:instrText>
        </w:r>
        <w:r w:rsidR="00F135D0">
          <w:rPr>
            <w:noProof/>
            <w:webHidden/>
          </w:rPr>
        </w:r>
        <w:r w:rsidR="00F135D0">
          <w:rPr>
            <w:noProof/>
            <w:webHidden/>
          </w:rPr>
          <w:fldChar w:fldCharType="separate"/>
        </w:r>
        <w:r>
          <w:rPr>
            <w:noProof/>
            <w:webHidden/>
          </w:rPr>
          <w:t>66</w:t>
        </w:r>
        <w:r w:rsidR="00F135D0">
          <w:rPr>
            <w:noProof/>
            <w:webHidden/>
          </w:rPr>
          <w:fldChar w:fldCharType="end"/>
        </w:r>
      </w:hyperlink>
    </w:p>
    <w:p w:rsidR="00F135D0" w:rsidRDefault="006B3E26" w14:paraId="16CEEA08" w14:textId="00AB969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0">
        <w:r w:rsidRPr="008313B4" w:rsidR="00F135D0">
          <w:rPr>
            <w:rStyle w:val="Hyperlink"/>
            <w:noProof/>
          </w:rPr>
          <w:t>Caffeine</w:t>
        </w:r>
        <w:r w:rsidR="00F135D0">
          <w:rPr>
            <w:noProof/>
            <w:webHidden/>
          </w:rPr>
          <w:tab/>
        </w:r>
        <w:r w:rsidR="00F135D0">
          <w:rPr>
            <w:noProof/>
            <w:webHidden/>
          </w:rPr>
          <w:fldChar w:fldCharType="begin"/>
        </w:r>
        <w:r w:rsidR="00F135D0">
          <w:rPr>
            <w:noProof/>
            <w:webHidden/>
          </w:rPr>
          <w:instrText xml:space="preserve"> PAGEREF _Toc75339940 \h </w:instrText>
        </w:r>
        <w:r w:rsidR="00F135D0">
          <w:rPr>
            <w:noProof/>
            <w:webHidden/>
          </w:rPr>
        </w:r>
        <w:r w:rsidR="00F135D0">
          <w:rPr>
            <w:noProof/>
            <w:webHidden/>
          </w:rPr>
          <w:fldChar w:fldCharType="separate"/>
        </w:r>
        <w:r>
          <w:rPr>
            <w:noProof/>
            <w:webHidden/>
          </w:rPr>
          <w:t>70</w:t>
        </w:r>
        <w:r w:rsidR="00F135D0">
          <w:rPr>
            <w:noProof/>
            <w:webHidden/>
          </w:rPr>
          <w:fldChar w:fldCharType="end"/>
        </w:r>
      </w:hyperlink>
    </w:p>
    <w:p w:rsidR="00F135D0" w:rsidRDefault="006B3E26" w14:paraId="1AF4F1AD" w14:textId="045AB7D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1">
        <w:r w:rsidRPr="008313B4" w:rsidR="00F135D0">
          <w:rPr>
            <w:rStyle w:val="Hyperlink"/>
            <w:noProof/>
          </w:rPr>
          <w:t>Calcium Gluconate</w:t>
        </w:r>
        <w:r w:rsidR="00F135D0">
          <w:rPr>
            <w:noProof/>
            <w:webHidden/>
          </w:rPr>
          <w:tab/>
        </w:r>
        <w:r w:rsidR="00F135D0">
          <w:rPr>
            <w:noProof/>
            <w:webHidden/>
          </w:rPr>
          <w:fldChar w:fldCharType="begin"/>
        </w:r>
        <w:r w:rsidR="00F135D0">
          <w:rPr>
            <w:noProof/>
            <w:webHidden/>
          </w:rPr>
          <w:instrText xml:space="preserve"> PAGEREF _Toc75339941 \h </w:instrText>
        </w:r>
        <w:r w:rsidR="00F135D0">
          <w:rPr>
            <w:noProof/>
            <w:webHidden/>
          </w:rPr>
        </w:r>
        <w:r w:rsidR="00F135D0">
          <w:rPr>
            <w:noProof/>
            <w:webHidden/>
          </w:rPr>
          <w:fldChar w:fldCharType="separate"/>
        </w:r>
        <w:r>
          <w:rPr>
            <w:noProof/>
            <w:webHidden/>
          </w:rPr>
          <w:t>76</w:t>
        </w:r>
        <w:r w:rsidR="00F135D0">
          <w:rPr>
            <w:noProof/>
            <w:webHidden/>
          </w:rPr>
          <w:fldChar w:fldCharType="end"/>
        </w:r>
      </w:hyperlink>
    </w:p>
    <w:p w:rsidR="00F135D0" w:rsidRDefault="006B3E26" w14:paraId="41E8393D" w14:textId="50372AB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2">
        <w:r w:rsidRPr="008313B4" w:rsidR="00F135D0">
          <w:rPr>
            <w:rStyle w:val="Hyperlink"/>
            <w:noProof/>
          </w:rPr>
          <w:t>Calcium Oral</w:t>
        </w:r>
        <w:r w:rsidR="00F135D0">
          <w:rPr>
            <w:noProof/>
            <w:webHidden/>
          </w:rPr>
          <w:tab/>
        </w:r>
        <w:r w:rsidR="00F135D0">
          <w:rPr>
            <w:noProof/>
            <w:webHidden/>
          </w:rPr>
          <w:fldChar w:fldCharType="begin"/>
        </w:r>
        <w:r w:rsidR="00F135D0">
          <w:rPr>
            <w:noProof/>
            <w:webHidden/>
          </w:rPr>
          <w:instrText xml:space="preserve"> PAGEREF _Toc75339942 \h </w:instrText>
        </w:r>
        <w:r w:rsidR="00F135D0">
          <w:rPr>
            <w:noProof/>
            <w:webHidden/>
          </w:rPr>
        </w:r>
        <w:r w:rsidR="00F135D0">
          <w:rPr>
            <w:noProof/>
            <w:webHidden/>
          </w:rPr>
          <w:fldChar w:fldCharType="separate"/>
        </w:r>
        <w:r>
          <w:rPr>
            <w:noProof/>
            <w:webHidden/>
          </w:rPr>
          <w:t>81</w:t>
        </w:r>
        <w:r w:rsidR="00F135D0">
          <w:rPr>
            <w:noProof/>
            <w:webHidden/>
          </w:rPr>
          <w:fldChar w:fldCharType="end"/>
        </w:r>
      </w:hyperlink>
    </w:p>
    <w:p w:rsidR="00F135D0" w:rsidRDefault="006B3E26" w14:paraId="04E8A644" w14:textId="33458013">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3">
        <w:r w:rsidRPr="008313B4" w:rsidR="00F135D0">
          <w:rPr>
            <w:rStyle w:val="Hyperlink"/>
            <w:noProof/>
          </w:rPr>
          <w:t>Calcitriol</w:t>
        </w:r>
        <w:r w:rsidR="00F135D0">
          <w:rPr>
            <w:noProof/>
            <w:webHidden/>
          </w:rPr>
          <w:tab/>
        </w:r>
        <w:r w:rsidR="00F135D0">
          <w:rPr>
            <w:noProof/>
            <w:webHidden/>
          </w:rPr>
          <w:fldChar w:fldCharType="begin"/>
        </w:r>
        <w:r w:rsidR="00F135D0">
          <w:rPr>
            <w:noProof/>
            <w:webHidden/>
          </w:rPr>
          <w:instrText xml:space="preserve"> PAGEREF _Toc75339943 \h </w:instrText>
        </w:r>
        <w:r w:rsidR="00F135D0">
          <w:rPr>
            <w:noProof/>
            <w:webHidden/>
          </w:rPr>
        </w:r>
        <w:r w:rsidR="00F135D0">
          <w:rPr>
            <w:noProof/>
            <w:webHidden/>
          </w:rPr>
          <w:fldChar w:fldCharType="separate"/>
        </w:r>
        <w:r>
          <w:rPr>
            <w:noProof/>
            <w:webHidden/>
          </w:rPr>
          <w:t>86</w:t>
        </w:r>
        <w:r w:rsidR="00F135D0">
          <w:rPr>
            <w:noProof/>
            <w:webHidden/>
          </w:rPr>
          <w:fldChar w:fldCharType="end"/>
        </w:r>
      </w:hyperlink>
    </w:p>
    <w:p w:rsidR="00F135D0" w:rsidRDefault="006B3E26" w14:paraId="6C3F2EA8" w14:textId="0A5AC72A">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4">
        <w:r w:rsidRPr="008313B4" w:rsidR="00F135D0">
          <w:rPr>
            <w:rStyle w:val="Hyperlink"/>
            <w:noProof/>
          </w:rPr>
          <w:t>Captopril</w:t>
        </w:r>
        <w:r w:rsidR="00F135D0">
          <w:rPr>
            <w:noProof/>
            <w:webHidden/>
          </w:rPr>
          <w:tab/>
        </w:r>
        <w:r w:rsidR="00F135D0">
          <w:rPr>
            <w:noProof/>
            <w:webHidden/>
          </w:rPr>
          <w:fldChar w:fldCharType="begin"/>
        </w:r>
        <w:r w:rsidR="00F135D0">
          <w:rPr>
            <w:noProof/>
            <w:webHidden/>
          </w:rPr>
          <w:instrText xml:space="preserve"> PAGEREF _Toc75339944 \h </w:instrText>
        </w:r>
        <w:r w:rsidR="00F135D0">
          <w:rPr>
            <w:noProof/>
            <w:webHidden/>
          </w:rPr>
        </w:r>
        <w:r w:rsidR="00F135D0">
          <w:rPr>
            <w:noProof/>
            <w:webHidden/>
          </w:rPr>
          <w:fldChar w:fldCharType="separate"/>
        </w:r>
        <w:r>
          <w:rPr>
            <w:noProof/>
            <w:webHidden/>
          </w:rPr>
          <w:t>88</w:t>
        </w:r>
        <w:r w:rsidR="00F135D0">
          <w:rPr>
            <w:noProof/>
            <w:webHidden/>
          </w:rPr>
          <w:fldChar w:fldCharType="end"/>
        </w:r>
      </w:hyperlink>
    </w:p>
    <w:p w:rsidR="00F135D0" w:rsidRDefault="006B3E26" w14:paraId="4EEDC676" w14:textId="451E79F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5">
        <w:r w:rsidRPr="008313B4" w:rsidR="00F135D0">
          <w:rPr>
            <w:rStyle w:val="Hyperlink"/>
            <w:noProof/>
          </w:rPr>
          <w:t>Cefalexin</w:t>
        </w:r>
        <w:r w:rsidR="00F135D0">
          <w:rPr>
            <w:noProof/>
            <w:webHidden/>
          </w:rPr>
          <w:tab/>
        </w:r>
        <w:r w:rsidR="00F135D0">
          <w:rPr>
            <w:noProof/>
            <w:webHidden/>
          </w:rPr>
          <w:fldChar w:fldCharType="begin"/>
        </w:r>
        <w:r w:rsidR="00F135D0">
          <w:rPr>
            <w:noProof/>
            <w:webHidden/>
          </w:rPr>
          <w:instrText xml:space="preserve"> PAGEREF _Toc75339945 \h </w:instrText>
        </w:r>
        <w:r w:rsidR="00F135D0">
          <w:rPr>
            <w:noProof/>
            <w:webHidden/>
          </w:rPr>
        </w:r>
        <w:r w:rsidR="00F135D0">
          <w:rPr>
            <w:noProof/>
            <w:webHidden/>
          </w:rPr>
          <w:fldChar w:fldCharType="separate"/>
        </w:r>
        <w:r>
          <w:rPr>
            <w:noProof/>
            <w:webHidden/>
          </w:rPr>
          <w:t>90</w:t>
        </w:r>
        <w:r w:rsidR="00F135D0">
          <w:rPr>
            <w:noProof/>
            <w:webHidden/>
          </w:rPr>
          <w:fldChar w:fldCharType="end"/>
        </w:r>
      </w:hyperlink>
    </w:p>
    <w:p w:rsidR="00F135D0" w:rsidRDefault="006B3E26" w14:paraId="12E37835" w14:textId="7521A50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6">
        <w:r w:rsidRPr="008313B4" w:rsidR="00F135D0">
          <w:rPr>
            <w:rStyle w:val="Hyperlink"/>
            <w:noProof/>
          </w:rPr>
          <w:t>Cefotaxime</w:t>
        </w:r>
        <w:r w:rsidR="00F135D0">
          <w:rPr>
            <w:noProof/>
            <w:webHidden/>
          </w:rPr>
          <w:tab/>
        </w:r>
        <w:r w:rsidR="00F135D0">
          <w:rPr>
            <w:noProof/>
            <w:webHidden/>
          </w:rPr>
          <w:fldChar w:fldCharType="begin"/>
        </w:r>
        <w:r w:rsidR="00F135D0">
          <w:rPr>
            <w:noProof/>
            <w:webHidden/>
          </w:rPr>
          <w:instrText xml:space="preserve"> PAGEREF _Toc75339946 \h </w:instrText>
        </w:r>
        <w:r w:rsidR="00F135D0">
          <w:rPr>
            <w:noProof/>
            <w:webHidden/>
          </w:rPr>
        </w:r>
        <w:r w:rsidR="00F135D0">
          <w:rPr>
            <w:noProof/>
            <w:webHidden/>
          </w:rPr>
          <w:fldChar w:fldCharType="separate"/>
        </w:r>
        <w:r>
          <w:rPr>
            <w:noProof/>
            <w:webHidden/>
          </w:rPr>
          <w:t>93</w:t>
        </w:r>
        <w:r w:rsidR="00F135D0">
          <w:rPr>
            <w:noProof/>
            <w:webHidden/>
          </w:rPr>
          <w:fldChar w:fldCharType="end"/>
        </w:r>
      </w:hyperlink>
    </w:p>
    <w:p w:rsidR="00F135D0" w:rsidRDefault="006B3E26" w14:paraId="3B874CD7" w14:textId="1C625D1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7">
        <w:r w:rsidRPr="008313B4" w:rsidR="00F135D0">
          <w:rPr>
            <w:rStyle w:val="Hyperlink"/>
            <w:noProof/>
          </w:rPr>
          <w:t>Ceftazidime penthydrate</w:t>
        </w:r>
        <w:r w:rsidR="00F135D0">
          <w:rPr>
            <w:noProof/>
            <w:webHidden/>
          </w:rPr>
          <w:tab/>
        </w:r>
        <w:r w:rsidR="00F135D0">
          <w:rPr>
            <w:noProof/>
            <w:webHidden/>
          </w:rPr>
          <w:fldChar w:fldCharType="begin"/>
        </w:r>
        <w:r w:rsidR="00F135D0">
          <w:rPr>
            <w:noProof/>
            <w:webHidden/>
          </w:rPr>
          <w:instrText xml:space="preserve"> PAGEREF _Toc75339947 \h </w:instrText>
        </w:r>
        <w:r w:rsidR="00F135D0">
          <w:rPr>
            <w:noProof/>
            <w:webHidden/>
          </w:rPr>
        </w:r>
        <w:r w:rsidR="00F135D0">
          <w:rPr>
            <w:noProof/>
            <w:webHidden/>
          </w:rPr>
          <w:fldChar w:fldCharType="separate"/>
        </w:r>
        <w:r>
          <w:rPr>
            <w:noProof/>
            <w:webHidden/>
          </w:rPr>
          <w:t>96</w:t>
        </w:r>
        <w:r w:rsidR="00F135D0">
          <w:rPr>
            <w:noProof/>
            <w:webHidden/>
          </w:rPr>
          <w:fldChar w:fldCharType="end"/>
        </w:r>
      </w:hyperlink>
    </w:p>
    <w:p w:rsidR="00F135D0" w:rsidRDefault="006B3E26" w14:paraId="509BA7CD" w14:textId="3D40B10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8">
        <w:r w:rsidRPr="008313B4" w:rsidR="00F135D0">
          <w:rPr>
            <w:rStyle w:val="Hyperlink"/>
            <w:noProof/>
          </w:rPr>
          <w:t>Cephazolin</w:t>
        </w:r>
        <w:r w:rsidR="00F135D0">
          <w:rPr>
            <w:noProof/>
            <w:webHidden/>
          </w:rPr>
          <w:tab/>
        </w:r>
        <w:r w:rsidR="00F135D0">
          <w:rPr>
            <w:noProof/>
            <w:webHidden/>
          </w:rPr>
          <w:fldChar w:fldCharType="begin"/>
        </w:r>
        <w:r w:rsidR="00F135D0">
          <w:rPr>
            <w:noProof/>
            <w:webHidden/>
          </w:rPr>
          <w:instrText xml:space="preserve"> PAGEREF _Toc75339948 \h </w:instrText>
        </w:r>
        <w:r w:rsidR="00F135D0">
          <w:rPr>
            <w:noProof/>
            <w:webHidden/>
          </w:rPr>
        </w:r>
        <w:r w:rsidR="00F135D0">
          <w:rPr>
            <w:noProof/>
            <w:webHidden/>
          </w:rPr>
          <w:fldChar w:fldCharType="separate"/>
        </w:r>
        <w:r>
          <w:rPr>
            <w:noProof/>
            <w:webHidden/>
          </w:rPr>
          <w:t>98</w:t>
        </w:r>
        <w:r w:rsidR="00F135D0">
          <w:rPr>
            <w:noProof/>
            <w:webHidden/>
          </w:rPr>
          <w:fldChar w:fldCharType="end"/>
        </w:r>
      </w:hyperlink>
    </w:p>
    <w:p w:rsidR="00F135D0" w:rsidRDefault="006B3E26" w14:paraId="7E813930" w14:textId="4D29120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49">
        <w:r w:rsidRPr="008313B4" w:rsidR="00F135D0">
          <w:rPr>
            <w:rStyle w:val="Hyperlink"/>
            <w:noProof/>
          </w:rPr>
          <w:t>Chloral Hydrate</w:t>
        </w:r>
        <w:r w:rsidR="00F135D0">
          <w:rPr>
            <w:noProof/>
            <w:webHidden/>
          </w:rPr>
          <w:tab/>
        </w:r>
        <w:r w:rsidR="00F135D0">
          <w:rPr>
            <w:noProof/>
            <w:webHidden/>
          </w:rPr>
          <w:fldChar w:fldCharType="begin"/>
        </w:r>
        <w:r w:rsidR="00F135D0">
          <w:rPr>
            <w:noProof/>
            <w:webHidden/>
          </w:rPr>
          <w:instrText xml:space="preserve"> PAGEREF _Toc75339949 \h </w:instrText>
        </w:r>
        <w:r w:rsidR="00F135D0">
          <w:rPr>
            <w:noProof/>
            <w:webHidden/>
          </w:rPr>
        </w:r>
        <w:r w:rsidR="00F135D0">
          <w:rPr>
            <w:noProof/>
            <w:webHidden/>
          </w:rPr>
          <w:fldChar w:fldCharType="separate"/>
        </w:r>
        <w:r>
          <w:rPr>
            <w:noProof/>
            <w:webHidden/>
          </w:rPr>
          <w:t>100</w:t>
        </w:r>
        <w:r w:rsidR="00F135D0">
          <w:rPr>
            <w:noProof/>
            <w:webHidden/>
          </w:rPr>
          <w:fldChar w:fldCharType="end"/>
        </w:r>
      </w:hyperlink>
    </w:p>
    <w:p w:rsidR="00F135D0" w:rsidRDefault="006B3E26" w14:paraId="3E7BDED9" w14:textId="587ACAE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0">
        <w:r w:rsidRPr="008313B4" w:rsidR="00F135D0">
          <w:rPr>
            <w:rStyle w:val="Hyperlink"/>
            <w:noProof/>
          </w:rPr>
          <w:t>Chloramphenicol (Topical)</w:t>
        </w:r>
        <w:r w:rsidR="00F135D0">
          <w:rPr>
            <w:noProof/>
            <w:webHidden/>
          </w:rPr>
          <w:tab/>
        </w:r>
        <w:r w:rsidR="00F135D0">
          <w:rPr>
            <w:noProof/>
            <w:webHidden/>
          </w:rPr>
          <w:fldChar w:fldCharType="begin"/>
        </w:r>
        <w:r w:rsidR="00F135D0">
          <w:rPr>
            <w:noProof/>
            <w:webHidden/>
          </w:rPr>
          <w:instrText xml:space="preserve"> PAGEREF _Toc75339950 \h </w:instrText>
        </w:r>
        <w:r w:rsidR="00F135D0">
          <w:rPr>
            <w:noProof/>
            <w:webHidden/>
          </w:rPr>
        </w:r>
        <w:r w:rsidR="00F135D0">
          <w:rPr>
            <w:noProof/>
            <w:webHidden/>
          </w:rPr>
          <w:fldChar w:fldCharType="separate"/>
        </w:r>
        <w:r>
          <w:rPr>
            <w:noProof/>
            <w:webHidden/>
          </w:rPr>
          <w:t>103</w:t>
        </w:r>
        <w:r w:rsidR="00F135D0">
          <w:rPr>
            <w:noProof/>
            <w:webHidden/>
          </w:rPr>
          <w:fldChar w:fldCharType="end"/>
        </w:r>
      </w:hyperlink>
    </w:p>
    <w:p w:rsidR="00F135D0" w:rsidRDefault="006B3E26" w14:paraId="312100C7" w14:textId="541D1B6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1">
        <w:r w:rsidRPr="008313B4" w:rsidR="00F135D0">
          <w:rPr>
            <w:rStyle w:val="Hyperlink"/>
            <w:noProof/>
          </w:rPr>
          <w:t>Clonazepam</w:t>
        </w:r>
        <w:r w:rsidR="00F135D0">
          <w:rPr>
            <w:noProof/>
            <w:webHidden/>
          </w:rPr>
          <w:tab/>
        </w:r>
        <w:r w:rsidR="00F135D0">
          <w:rPr>
            <w:noProof/>
            <w:webHidden/>
          </w:rPr>
          <w:fldChar w:fldCharType="begin"/>
        </w:r>
        <w:r w:rsidR="00F135D0">
          <w:rPr>
            <w:noProof/>
            <w:webHidden/>
          </w:rPr>
          <w:instrText xml:space="preserve"> PAGEREF _Toc75339951 \h </w:instrText>
        </w:r>
        <w:r w:rsidR="00F135D0">
          <w:rPr>
            <w:noProof/>
            <w:webHidden/>
          </w:rPr>
        </w:r>
        <w:r w:rsidR="00F135D0">
          <w:rPr>
            <w:noProof/>
            <w:webHidden/>
          </w:rPr>
          <w:fldChar w:fldCharType="separate"/>
        </w:r>
        <w:r>
          <w:rPr>
            <w:noProof/>
            <w:webHidden/>
          </w:rPr>
          <w:t>106</w:t>
        </w:r>
        <w:r w:rsidR="00F135D0">
          <w:rPr>
            <w:noProof/>
            <w:webHidden/>
          </w:rPr>
          <w:fldChar w:fldCharType="end"/>
        </w:r>
      </w:hyperlink>
    </w:p>
    <w:p w:rsidR="00F135D0" w:rsidRDefault="006B3E26" w14:paraId="5A2792E1" w14:textId="751AD0F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2">
        <w:r w:rsidRPr="008313B4" w:rsidR="00F135D0">
          <w:rPr>
            <w:rStyle w:val="Hyperlink"/>
            <w:noProof/>
          </w:rPr>
          <w:t>Clonidine</w:t>
        </w:r>
        <w:r w:rsidR="00F135D0">
          <w:rPr>
            <w:noProof/>
            <w:webHidden/>
          </w:rPr>
          <w:tab/>
        </w:r>
        <w:r w:rsidR="00F135D0">
          <w:rPr>
            <w:noProof/>
            <w:webHidden/>
          </w:rPr>
          <w:fldChar w:fldCharType="begin"/>
        </w:r>
        <w:r w:rsidR="00F135D0">
          <w:rPr>
            <w:noProof/>
            <w:webHidden/>
          </w:rPr>
          <w:instrText xml:space="preserve"> PAGEREF _Toc75339952 \h </w:instrText>
        </w:r>
        <w:r w:rsidR="00F135D0">
          <w:rPr>
            <w:noProof/>
            <w:webHidden/>
          </w:rPr>
        </w:r>
        <w:r w:rsidR="00F135D0">
          <w:rPr>
            <w:noProof/>
            <w:webHidden/>
          </w:rPr>
          <w:fldChar w:fldCharType="separate"/>
        </w:r>
        <w:r>
          <w:rPr>
            <w:noProof/>
            <w:webHidden/>
          </w:rPr>
          <w:t>108</w:t>
        </w:r>
        <w:r w:rsidR="00F135D0">
          <w:rPr>
            <w:noProof/>
            <w:webHidden/>
          </w:rPr>
          <w:fldChar w:fldCharType="end"/>
        </w:r>
      </w:hyperlink>
    </w:p>
    <w:p w:rsidR="00F135D0" w:rsidRDefault="006B3E26" w14:paraId="3B3AB19B" w14:textId="5A97CC6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3">
        <w:r w:rsidRPr="008313B4" w:rsidR="00F135D0">
          <w:rPr>
            <w:rStyle w:val="Hyperlink"/>
            <w:noProof/>
          </w:rPr>
          <w:t>Clotrimazole Cream</w:t>
        </w:r>
        <w:r w:rsidR="00F135D0">
          <w:rPr>
            <w:noProof/>
            <w:webHidden/>
          </w:rPr>
          <w:tab/>
        </w:r>
        <w:r w:rsidR="00F135D0">
          <w:rPr>
            <w:noProof/>
            <w:webHidden/>
          </w:rPr>
          <w:fldChar w:fldCharType="begin"/>
        </w:r>
        <w:r w:rsidR="00F135D0">
          <w:rPr>
            <w:noProof/>
            <w:webHidden/>
          </w:rPr>
          <w:instrText xml:space="preserve"> PAGEREF _Toc75339953 \h </w:instrText>
        </w:r>
        <w:r w:rsidR="00F135D0">
          <w:rPr>
            <w:noProof/>
            <w:webHidden/>
          </w:rPr>
        </w:r>
        <w:r w:rsidR="00F135D0">
          <w:rPr>
            <w:noProof/>
            <w:webHidden/>
          </w:rPr>
          <w:fldChar w:fldCharType="separate"/>
        </w:r>
        <w:r>
          <w:rPr>
            <w:noProof/>
            <w:webHidden/>
          </w:rPr>
          <w:t>113</w:t>
        </w:r>
        <w:r w:rsidR="00F135D0">
          <w:rPr>
            <w:noProof/>
            <w:webHidden/>
          </w:rPr>
          <w:fldChar w:fldCharType="end"/>
        </w:r>
      </w:hyperlink>
    </w:p>
    <w:p w:rsidR="00F135D0" w:rsidRDefault="006B3E26" w14:paraId="55BC686A" w14:textId="3BB17A43">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4">
        <w:r w:rsidRPr="008313B4" w:rsidR="00F135D0">
          <w:rPr>
            <w:rStyle w:val="Hyperlink"/>
            <w:noProof/>
          </w:rPr>
          <w:t>Co-trimoxazole (sulfamethoxazole-trimethoprim)</w:t>
        </w:r>
        <w:r w:rsidR="00F135D0">
          <w:rPr>
            <w:noProof/>
            <w:webHidden/>
          </w:rPr>
          <w:tab/>
        </w:r>
        <w:r w:rsidR="00F135D0">
          <w:rPr>
            <w:noProof/>
            <w:webHidden/>
          </w:rPr>
          <w:fldChar w:fldCharType="begin"/>
        </w:r>
        <w:r w:rsidR="00F135D0">
          <w:rPr>
            <w:noProof/>
            <w:webHidden/>
          </w:rPr>
          <w:instrText xml:space="preserve"> PAGEREF _Toc75339954 \h </w:instrText>
        </w:r>
        <w:r w:rsidR="00F135D0">
          <w:rPr>
            <w:noProof/>
            <w:webHidden/>
          </w:rPr>
        </w:r>
        <w:r w:rsidR="00F135D0">
          <w:rPr>
            <w:noProof/>
            <w:webHidden/>
          </w:rPr>
          <w:fldChar w:fldCharType="separate"/>
        </w:r>
        <w:r>
          <w:rPr>
            <w:noProof/>
            <w:webHidden/>
          </w:rPr>
          <w:t>114</w:t>
        </w:r>
        <w:r w:rsidR="00F135D0">
          <w:rPr>
            <w:noProof/>
            <w:webHidden/>
          </w:rPr>
          <w:fldChar w:fldCharType="end"/>
        </w:r>
      </w:hyperlink>
    </w:p>
    <w:p w:rsidR="00F135D0" w:rsidRDefault="006B3E26" w14:paraId="37FE93EF" w14:textId="67FBE44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5">
        <w:r w:rsidRPr="008313B4" w:rsidR="00F135D0">
          <w:rPr>
            <w:rStyle w:val="Hyperlink"/>
            <w:noProof/>
          </w:rPr>
          <w:t>Cryoprecipitate</w:t>
        </w:r>
        <w:r w:rsidR="00F135D0">
          <w:rPr>
            <w:noProof/>
            <w:webHidden/>
          </w:rPr>
          <w:tab/>
        </w:r>
        <w:r w:rsidR="00F135D0">
          <w:rPr>
            <w:noProof/>
            <w:webHidden/>
          </w:rPr>
          <w:fldChar w:fldCharType="begin"/>
        </w:r>
        <w:r w:rsidR="00F135D0">
          <w:rPr>
            <w:noProof/>
            <w:webHidden/>
          </w:rPr>
          <w:instrText xml:space="preserve"> PAGEREF _Toc75339955 \h </w:instrText>
        </w:r>
        <w:r w:rsidR="00F135D0">
          <w:rPr>
            <w:noProof/>
            <w:webHidden/>
          </w:rPr>
        </w:r>
        <w:r w:rsidR="00F135D0">
          <w:rPr>
            <w:noProof/>
            <w:webHidden/>
          </w:rPr>
          <w:fldChar w:fldCharType="separate"/>
        </w:r>
        <w:r>
          <w:rPr>
            <w:noProof/>
            <w:webHidden/>
          </w:rPr>
          <w:t>117</w:t>
        </w:r>
        <w:r w:rsidR="00F135D0">
          <w:rPr>
            <w:noProof/>
            <w:webHidden/>
          </w:rPr>
          <w:fldChar w:fldCharType="end"/>
        </w:r>
      </w:hyperlink>
    </w:p>
    <w:p w:rsidR="00F135D0" w:rsidRDefault="006B3E26" w14:paraId="3C7E011B" w14:textId="65E3AE8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6">
        <w:r w:rsidRPr="008313B4" w:rsidR="00F135D0">
          <w:rPr>
            <w:rStyle w:val="Hyperlink"/>
            <w:noProof/>
          </w:rPr>
          <w:t>Curosurf: Poractant alfa</w:t>
        </w:r>
        <w:r w:rsidR="00F135D0">
          <w:rPr>
            <w:noProof/>
            <w:webHidden/>
          </w:rPr>
          <w:tab/>
        </w:r>
        <w:r w:rsidR="00F135D0">
          <w:rPr>
            <w:noProof/>
            <w:webHidden/>
          </w:rPr>
          <w:fldChar w:fldCharType="begin"/>
        </w:r>
        <w:r w:rsidR="00F135D0">
          <w:rPr>
            <w:noProof/>
            <w:webHidden/>
          </w:rPr>
          <w:instrText xml:space="preserve"> PAGEREF _Toc75339956 \h </w:instrText>
        </w:r>
        <w:r w:rsidR="00F135D0">
          <w:rPr>
            <w:noProof/>
            <w:webHidden/>
          </w:rPr>
        </w:r>
        <w:r w:rsidR="00F135D0">
          <w:rPr>
            <w:noProof/>
            <w:webHidden/>
          </w:rPr>
          <w:fldChar w:fldCharType="separate"/>
        </w:r>
        <w:r>
          <w:rPr>
            <w:noProof/>
            <w:webHidden/>
          </w:rPr>
          <w:t>119</w:t>
        </w:r>
        <w:r w:rsidR="00F135D0">
          <w:rPr>
            <w:noProof/>
            <w:webHidden/>
          </w:rPr>
          <w:fldChar w:fldCharType="end"/>
        </w:r>
      </w:hyperlink>
    </w:p>
    <w:p w:rsidR="00F135D0" w:rsidRDefault="006B3E26" w14:paraId="48FD3503" w14:textId="5B355A8A">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7">
        <w:r w:rsidRPr="008313B4" w:rsidR="00F135D0">
          <w:rPr>
            <w:rStyle w:val="Hyperlink"/>
            <w:noProof/>
          </w:rPr>
          <w:t>Cyclomydril</w:t>
        </w:r>
        <w:r w:rsidR="00F135D0">
          <w:rPr>
            <w:noProof/>
            <w:webHidden/>
          </w:rPr>
          <w:tab/>
        </w:r>
        <w:r w:rsidR="00F135D0">
          <w:rPr>
            <w:noProof/>
            <w:webHidden/>
          </w:rPr>
          <w:fldChar w:fldCharType="begin"/>
        </w:r>
        <w:r w:rsidR="00F135D0">
          <w:rPr>
            <w:noProof/>
            <w:webHidden/>
          </w:rPr>
          <w:instrText xml:space="preserve"> PAGEREF _Toc75339957 \h </w:instrText>
        </w:r>
        <w:r w:rsidR="00F135D0">
          <w:rPr>
            <w:noProof/>
            <w:webHidden/>
          </w:rPr>
        </w:r>
        <w:r w:rsidR="00F135D0">
          <w:rPr>
            <w:noProof/>
            <w:webHidden/>
          </w:rPr>
          <w:fldChar w:fldCharType="separate"/>
        </w:r>
        <w:r>
          <w:rPr>
            <w:noProof/>
            <w:webHidden/>
          </w:rPr>
          <w:t>122</w:t>
        </w:r>
        <w:r w:rsidR="00F135D0">
          <w:rPr>
            <w:noProof/>
            <w:webHidden/>
          </w:rPr>
          <w:fldChar w:fldCharType="end"/>
        </w:r>
      </w:hyperlink>
    </w:p>
    <w:p w:rsidR="00F135D0" w:rsidRDefault="006B3E26" w14:paraId="34E78384" w14:textId="316BF20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8">
        <w:r w:rsidRPr="008313B4" w:rsidR="00F135D0">
          <w:rPr>
            <w:rStyle w:val="Hyperlink"/>
            <w:noProof/>
          </w:rPr>
          <w:t>Dexamethasone</w:t>
        </w:r>
        <w:r w:rsidR="00F135D0">
          <w:rPr>
            <w:noProof/>
            <w:webHidden/>
          </w:rPr>
          <w:tab/>
        </w:r>
        <w:r w:rsidR="00F135D0">
          <w:rPr>
            <w:noProof/>
            <w:webHidden/>
          </w:rPr>
          <w:fldChar w:fldCharType="begin"/>
        </w:r>
        <w:r w:rsidR="00F135D0">
          <w:rPr>
            <w:noProof/>
            <w:webHidden/>
          </w:rPr>
          <w:instrText xml:space="preserve"> PAGEREF _Toc75339958 \h </w:instrText>
        </w:r>
        <w:r w:rsidR="00F135D0">
          <w:rPr>
            <w:noProof/>
            <w:webHidden/>
          </w:rPr>
        </w:r>
        <w:r w:rsidR="00F135D0">
          <w:rPr>
            <w:noProof/>
            <w:webHidden/>
          </w:rPr>
          <w:fldChar w:fldCharType="separate"/>
        </w:r>
        <w:r>
          <w:rPr>
            <w:noProof/>
            <w:webHidden/>
          </w:rPr>
          <w:t>125</w:t>
        </w:r>
        <w:r w:rsidR="00F135D0">
          <w:rPr>
            <w:noProof/>
            <w:webHidden/>
          </w:rPr>
          <w:fldChar w:fldCharType="end"/>
        </w:r>
      </w:hyperlink>
    </w:p>
    <w:p w:rsidR="00F135D0" w:rsidRDefault="006B3E26" w14:paraId="30AD271C" w14:textId="76DF311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59">
        <w:r w:rsidRPr="008313B4" w:rsidR="00F135D0">
          <w:rPr>
            <w:rStyle w:val="Hyperlink"/>
            <w:noProof/>
          </w:rPr>
          <w:t>Dexmedetomidine</w:t>
        </w:r>
        <w:r w:rsidR="00F135D0">
          <w:rPr>
            <w:noProof/>
            <w:webHidden/>
          </w:rPr>
          <w:tab/>
        </w:r>
        <w:r w:rsidR="00F135D0">
          <w:rPr>
            <w:noProof/>
            <w:webHidden/>
          </w:rPr>
          <w:fldChar w:fldCharType="begin"/>
        </w:r>
        <w:r w:rsidR="00F135D0">
          <w:rPr>
            <w:noProof/>
            <w:webHidden/>
          </w:rPr>
          <w:instrText xml:space="preserve"> PAGEREF _Toc75339959 \h </w:instrText>
        </w:r>
        <w:r w:rsidR="00F135D0">
          <w:rPr>
            <w:noProof/>
            <w:webHidden/>
          </w:rPr>
        </w:r>
        <w:r w:rsidR="00F135D0">
          <w:rPr>
            <w:noProof/>
            <w:webHidden/>
          </w:rPr>
          <w:fldChar w:fldCharType="separate"/>
        </w:r>
        <w:r>
          <w:rPr>
            <w:noProof/>
            <w:webHidden/>
          </w:rPr>
          <w:t>133</w:t>
        </w:r>
        <w:r w:rsidR="00F135D0">
          <w:rPr>
            <w:noProof/>
            <w:webHidden/>
          </w:rPr>
          <w:fldChar w:fldCharType="end"/>
        </w:r>
      </w:hyperlink>
    </w:p>
    <w:p w:rsidR="00F135D0" w:rsidRDefault="006B3E26" w14:paraId="7DC233EF" w14:textId="20855C1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0">
        <w:r w:rsidRPr="008313B4" w:rsidR="00F135D0">
          <w:rPr>
            <w:rStyle w:val="Hyperlink"/>
            <w:noProof/>
          </w:rPr>
          <w:t>Diazoxide</w:t>
        </w:r>
        <w:r w:rsidR="00F135D0">
          <w:rPr>
            <w:noProof/>
            <w:webHidden/>
          </w:rPr>
          <w:tab/>
        </w:r>
        <w:r w:rsidR="00F135D0">
          <w:rPr>
            <w:noProof/>
            <w:webHidden/>
          </w:rPr>
          <w:fldChar w:fldCharType="begin"/>
        </w:r>
        <w:r w:rsidR="00F135D0">
          <w:rPr>
            <w:noProof/>
            <w:webHidden/>
          </w:rPr>
          <w:instrText xml:space="preserve"> PAGEREF _Toc75339960 \h </w:instrText>
        </w:r>
        <w:r w:rsidR="00F135D0">
          <w:rPr>
            <w:noProof/>
            <w:webHidden/>
          </w:rPr>
        </w:r>
        <w:r w:rsidR="00F135D0">
          <w:rPr>
            <w:noProof/>
            <w:webHidden/>
          </w:rPr>
          <w:fldChar w:fldCharType="separate"/>
        </w:r>
        <w:r>
          <w:rPr>
            <w:noProof/>
            <w:webHidden/>
          </w:rPr>
          <w:t>140</w:t>
        </w:r>
        <w:r w:rsidR="00F135D0">
          <w:rPr>
            <w:noProof/>
            <w:webHidden/>
          </w:rPr>
          <w:fldChar w:fldCharType="end"/>
        </w:r>
      </w:hyperlink>
    </w:p>
    <w:p w:rsidR="00F135D0" w:rsidRDefault="006B3E26" w14:paraId="1E4F6511" w14:textId="1E2BF49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1">
        <w:r w:rsidRPr="008313B4" w:rsidR="00F135D0">
          <w:rPr>
            <w:rStyle w:val="Hyperlink"/>
            <w:noProof/>
          </w:rPr>
          <w:t>Digoxin</w:t>
        </w:r>
        <w:r w:rsidR="00F135D0">
          <w:rPr>
            <w:noProof/>
            <w:webHidden/>
          </w:rPr>
          <w:tab/>
        </w:r>
        <w:r w:rsidR="00F135D0">
          <w:rPr>
            <w:noProof/>
            <w:webHidden/>
          </w:rPr>
          <w:fldChar w:fldCharType="begin"/>
        </w:r>
        <w:r w:rsidR="00F135D0">
          <w:rPr>
            <w:noProof/>
            <w:webHidden/>
          </w:rPr>
          <w:instrText xml:space="preserve"> PAGEREF _Toc75339961 \h </w:instrText>
        </w:r>
        <w:r w:rsidR="00F135D0">
          <w:rPr>
            <w:noProof/>
            <w:webHidden/>
          </w:rPr>
        </w:r>
        <w:r w:rsidR="00F135D0">
          <w:rPr>
            <w:noProof/>
            <w:webHidden/>
          </w:rPr>
          <w:fldChar w:fldCharType="separate"/>
        </w:r>
        <w:r>
          <w:rPr>
            <w:noProof/>
            <w:webHidden/>
          </w:rPr>
          <w:t>143</w:t>
        </w:r>
        <w:r w:rsidR="00F135D0">
          <w:rPr>
            <w:noProof/>
            <w:webHidden/>
          </w:rPr>
          <w:fldChar w:fldCharType="end"/>
        </w:r>
      </w:hyperlink>
    </w:p>
    <w:p w:rsidR="00F135D0" w:rsidRDefault="006B3E26" w14:paraId="66E4FFC9" w14:textId="65DA632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2">
        <w:r w:rsidRPr="008313B4" w:rsidR="00F135D0">
          <w:rPr>
            <w:rStyle w:val="Hyperlink"/>
            <w:noProof/>
          </w:rPr>
          <w:t>Dobutamine IV Infusion</w:t>
        </w:r>
        <w:r w:rsidR="00F135D0">
          <w:rPr>
            <w:noProof/>
            <w:webHidden/>
          </w:rPr>
          <w:tab/>
        </w:r>
        <w:r w:rsidR="00F135D0">
          <w:rPr>
            <w:noProof/>
            <w:webHidden/>
          </w:rPr>
          <w:fldChar w:fldCharType="begin"/>
        </w:r>
        <w:r w:rsidR="00F135D0">
          <w:rPr>
            <w:noProof/>
            <w:webHidden/>
          </w:rPr>
          <w:instrText xml:space="preserve"> PAGEREF _Toc75339962 \h </w:instrText>
        </w:r>
        <w:r w:rsidR="00F135D0">
          <w:rPr>
            <w:noProof/>
            <w:webHidden/>
          </w:rPr>
        </w:r>
        <w:r w:rsidR="00F135D0">
          <w:rPr>
            <w:noProof/>
            <w:webHidden/>
          </w:rPr>
          <w:fldChar w:fldCharType="separate"/>
        </w:r>
        <w:r>
          <w:rPr>
            <w:noProof/>
            <w:webHidden/>
          </w:rPr>
          <w:t>151</w:t>
        </w:r>
        <w:r w:rsidR="00F135D0">
          <w:rPr>
            <w:noProof/>
            <w:webHidden/>
          </w:rPr>
          <w:fldChar w:fldCharType="end"/>
        </w:r>
      </w:hyperlink>
    </w:p>
    <w:p w:rsidR="00F135D0" w:rsidRDefault="006B3E26" w14:paraId="7A35AE36" w14:textId="039744C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3">
        <w:r w:rsidRPr="008313B4" w:rsidR="00F135D0">
          <w:rPr>
            <w:rStyle w:val="Hyperlink"/>
            <w:noProof/>
          </w:rPr>
          <w:t>Dopamine IV Infusion</w:t>
        </w:r>
        <w:r w:rsidR="00F135D0">
          <w:rPr>
            <w:noProof/>
            <w:webHidden/>
          </w:rPr>
          <w:tab/>
        </w:r>
        <w:r w:rsidR="00F135D0">
          <w:rPr>
            <w:noProof/>
            <w:webHidden/>
          </w:rPr>
          <w:fldChar w:fldCharType="begin"/>
        </w:r>
        <w:r w:rsidR="00F135D0">
          <w:rPr>
            <w:noProof/>
            <w:webHidden/>
          </w:rPr>
          <w:instrText xml:space="preserve"> PAGEREF _Toc75339963 \h </w:instrText>
        </w:r>
        <w:r w:rsidR="00F135D0">
          <w:rPr>
            <w:noProof/>
            <w:webHidden/>
          </w:rPr>
        </w:r>
        <w:r w:rsidR="00F135D0">
          <w:rPr>
            <w:noProof/>
            <w:webHidden/>
          </w:rPr>
          <w:fldChar w:fldCharType="separate"/>
        </w:r>
        <w:r>
          <w:rPr>
            <w:noProof/>
            <w:webHidden/>
          </w:rPr>
          <w:t>154</w:t>
        </w:r>
        <w:r w:rsidR="00F135D0">
          <w:rPr>
            <w:noProof/>
            <w:webHidden/>
          </w:rPr>
          <w:fldChar w:fldCharType="end"/>
        </w:r>
      </w:hyperlink>
    </w:p>
    <w:p w:rsidR="00F135D0" w:rsidRDefault="006B3E26" w14:paraId="786958E8" w14:textId="60E5D53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4">
        <w:r w:rsidRPr="008313B4" w:rsidR="00F135D0">
          <w:rPr>
            <w:rStyle w:val="Hyperlink"/>
            <w:noProof/>
          </w:rPr>
          <w:t>Enoxaparin (Clexane)</w:t>
        </w:r>
        <w:r w:rsidR="00F135D0">
          <w:rPr>
            <w:noProof/>
            <w:webHidden/>
          </w:rPr>
          <w:tab/>
        </w:r>
        <w:r w:rsidR="00F135D0">
          <w:rPr>
            <w:noProof/>
            <w:webHidden/>
          </w:rPr>
          <w:fldChar w:fldCharType="begin"/>
        </w:r>
        <w:r w:rsidR="00F135D0">
          <w:rPr>
            <w:noProof/>
            <w:webHidden/>
          </w:rPr>
          <w:instrText xml:space="preserve"> PAGEREF _Toc75339964 \h </w:instrText>
        </w:r>
        <w:r w:rsidR="00F135D0">
          <w:rPr>
            <w:noProof/>
            <w:webHidden/>
          </w:rPr>
        </w:r>
        <w:r w:rsidR="00F135D0">
          <w:rPr>
            <w:noProof/>
            <w:webHidden/>
          </w:rPr>
          <w:fldChar w:fldCharType="separate"/>
        </w:r>
        <w:r>
          <w:rPr>
            <w:noProof/>
            <w:webHidden/>
          </w:rPr>
          <w:t>157</w:t>
        </w:r>
        <w:r w:rsidR="00F135D0">
          <w:rPr>
            <w:noProof/>
            <w:webHidden/>
          </w:rPr>
          <w:fldChar w:fldCharType="end"/>
        </w:r>
      </w:hyperlink>
    </w:p>
    <w:p w:rsidR="00F135D0" w:rsidRDefault="006B3E26" w14:paraId="7C84AFE4" w14:textId="40CA103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5">
        <w:r w:rsidRPr="008313B4" w:rsidR="00F135D0">
          <w:rPr>
            <w:rStyle w:val="Hyperlink"/>
            <w:noProof/>
          </w:rPr>
          <w:t>Epoprostenol (also known as Prostacycin or Prostaglandin I2 (PGI2))</w:t>
        </w:r>
        <w:r w:rsidR="00F135D0">
          <w:rPr>
            <w:noProof/>
            <w:webHidden/>
          </w:rPr>
          <w:tab/>
        </w:r>
        <w:r w:rsidR="00F135D0">
          <w:rPr>
            <w:noProof/>
            <w:webHidden/>
          </w:rPr>
          <w:fldChar w:fldCharType="begin"/>
        </w:r>
        <w:r w:rsidR="00F135D0">
          <w:rPr>
            <w:noProof/>
            <w:webHidden/>
          </w:rPr>
          <w:instrText xml:space="preserve"> PAGEREF _Toc75339965 \h </w:instrText>
        </w:r>
        <w:r w:rsidR="00F135D0">
          <w:rPr>
            <w:noProof/>
            <w:webHidden/>
          </w:rPr>
        </w:r>
        <w:r w:rsidR="00F135D0">
          <w:rPr>
            <w:noProof/>
            <w:webHidden/>
          </w:rPr>
          <w:fldChar w:fldCharType="separate"/>
        </w:r>
        <w:r>
          <w:rPr>
            <w:noProof/>
            <w:webHidden/>
          </w:rPr>
          <w:t>161</w:t>
        </w:r>
        <w:r w:rsidR="00F135D0">
          <w:rPr>
            <w:noProof/>
            <w:webHidden/>
          </w:rPr>
          <w:fldChar w:fldCharType="end"/>
        </w:r>
      </w:hyperlink>
    </w:p>
    <w:p w:rsidR="00F135D0" w:rsidRDefault="006B3E26" w14:paraId="095CC886" w14:textId="0B5F645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6">
        <w:r w:rsidRPr="008313B4" w:rsidR="00F135D0">
          <w:rPr>
            <w:rStyle w:val="Hyperlink"/>
            <w:noProof/>
          </w:rPr>
          <w:t>Erythromycin</w:t>
        </w:r>
        <w:r w:rsidR="00F135D0">
          <w:rPr>
            <w:noProof/>
            <w:webHidden/>
          </w:rPr>
          <w:tab/>
        </w:r>
        <w:r w:rsidR="00F135D0">
          <w:rPr>
            <w:noProof/>
            <w:webHidden/>
          </w:rPr>
          <w:fldChar w:fldCharType="begin"/>
        </w:r>
        <w:r w:rsidR="00F135D0">
          <w:rPr>
            <w:noProof/>
            <w:webHidden/>
          </w:rPr>
          <w:instrText xml:space="preserve"> PAGEREF _Toc75339966 \h </w:instrText>
        </w:r>
        <w:r w:rsidR="00F135D0">
          <w:rPr>
            <w:noProof/>
            <w:webHidden/>
          </w:rPr>
        </w:r>
        <w:r w:rsidR="00F135D0">
          <w:rPr>
            <w:noProof/>
            <w:webHidden/>
          </w:rPr>
          <w:fldChar w:fldCharType="separate"/>
        </w:r>
        <w:r>
          <w:rPr>
            <w:noProof/>
            <w:webHidden/>
          </w:rPr>
          <w:t>163</w:t>
        </w:r>
        <w:r w:rsidR="00F135D0">
          <w:rPr>
            <w:noProof/>
            <w:webHidden/>
          </w:rPr>
          <w:fldChar w:fldCharType="end"/>
        </w:r>
      </w:hyperlink>
    </w:p>
    <w:p w:rsidR="00F135D0" w:rsidRDefault="006B3E26" w14:paraId="4785788C" w14:textId="529E8A4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7">
        <w:r w:rsidRPr="008313B4" w:rsidR="00F135D0">
          <w:rPr>
            <w:rStyle w:val="Hyperlink"/>
            <w:noProof/>
          </w:rPr>
          <w:t>Erythropoietin</w:t>
        </w:r>
        <w:r w:rsidR="00F135D0">
          <w:rPr>
            <w:noProof/>
            <w:webHidden/>
          </w:rPr>
          <w:tab/>
        </w:r>
        <w:r w:rsidR="00F135D0">
          <w:rPr>
            <w:noProof/>
            <w:webHidden/>
          </w:rPr>
          <w:fldChar w:fldCharType="begin"/>
        </w:r>
        <w:r w:rsidR="00F135D0">
          <w:rPr>
            <w:noProof/>
            <w:webHidden/>
          </w:rPr>
          <w:instrText xml:space="preserve"> PAGEREF _Toc75339967 \h </w:instrText>
        </w:r>
        <w:r w:rsidR="00F135D0">
          <w:rPr>
            <w:noProof/>
            <w:webHidden/>
          </w:rPr>
        </w:r>
        <w:r w:rsidR="00F135D0">
          <w:rPr>
            <w:noProof/>
            <w:webHidden/>
          </w:rPr>
          <w:fldChar w:fldCharType="separate"/>
        </w:r>
        <w:r>
          <w:rPr>
            <w:noProof/>
            <w:webHidden/>
          </w:rPr>
          <w:t>166</w:t>
        </w:r>
        <w:r w:rsidR="00F135D0">
          <w:rPr>
            <w:noProof/>
            <w:webHidden/>
          </w:rPr>
          <w:fldChar w:fldCharType="end"/>
        </w:r>
      </w:hyperlink>
    </w:p>
    <w:p w:rsidR="00F135D0" w:rsidRDefault="006B3E26" w14:paraId="666E71B7" w14:textId="2D02EF3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8">
        <w:r w:rsidRPr="008313B4" w:rsidR="00F135D0">
          <w:rPr>
            <w:rStyle w:val="Hyperlink"/>
            <w:noProof/>
          </w:rPr>
          <w:t>Fentanyl</w:t>
        </w:r>
        <w:r w:rsidR="00F135D0">
          <w:rPr>
            <w:noProof/>
            <w:webHidden/>
          </w:rPr>
          <w:tab/>
        </w:r>
        <w:r w:rsidR="00F135D0">
          <w:rPr>
            <w:noProof/>
            <w:webHidden/>
          </w:rPr>
          <w:fldChar w:fldCharType="begin"/>
        </w:r>
        <w:r w:rsidR="00F135D0">
          <w:rPr>
            <w:noProof/>
            <w:webHidden/>
          </w:rPr>
          <w:instrText xml:space="preserve"> PAGEREF _Toc75339968 \h </w:instrText>
        </w:r>
        <w:r w:rsidR="00F135D0">
          <w:rPr>
            <w:noProof/>
            <w:webHidden/>
          </w:rPr>
        </w:r>
        <w:r w:rsidR="00F135D0">
          <w:rPr>
            <w:noProof/>
            <w:webHidden/>
          </w:rPr>
          <w:fldChar w:fldCharType="separate"/>
        </w:r>
        <w:r>
          <w:rPr>
            <w:noProof/>
            <w:webHidden/>
          </w:rPr>
          <w:t>169</w:t>
        </w:r>
        <w:r w:rsidR="00F135D0">
          <w:rPr>
            <w:noProof/>
            <w:webHidden/>
          </w:rPr>
          <w:fldChar w:fldCharType="end"/>
        </w:r>
      </w:hyperlink>
    </w:p>
    <w:p w:rsidR="00F135D0" w:rsidRDefault="006B3E26" w14:paraId="360D7809" w14:textId="0F080677">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69">
        <w:r w:rsidRPr="008313B4" w:rsidR="00F135D0">
          <w:rPr>
            <w:rStyle w:val="Hyperlink"/>
            <w:noProof/>
          </w:rPr>
          <w:t>Ferrous Sulfate (Ferro-Liquid)</w:t>
        </w:r>
        <w:r w:rsidR="00F135D0">
          <w:rPr>
            <w:noProof/>
            <w:webHidden/>
          </w:rPr>
          <w:tab/>
        </w:r>
        <w:r w:rsidR="00F135D0">
          <w:rPr>
            <w:noProof/>
            <w:webHidden/>
          </w:rPr>
          <w:fldChar w:fldCharType="begin"/>
        </w:r>
        <w:r w:rsidR="00F135D0">
          <w:rPr>
            <w:noProof/>
            <w:webHidden/>
          </w:rPr>
          <w:instrText xml:space="preserve"> PAGEREF _Toc75339969 \h </w:instrText>
        </w:r>
        <w:r w:rsidR="00F135D0">
          <w:rPr>
            <w:noProof/>
            <w:webHidden/>
          </w:rPr>
        </w:r>
        <w:r w:rsidR="00F135D0">
          <w:rPr>
            <w:noProof/>
            <w:webHidden/>
          </w:rPr>
          <w:fldChar w:fldCharType="separate"/>
        </w:r>
        <w:r>
          <w:rPr>
            <w:noProof/>
            <w:webHidden/>
          </w:rPr>
          <w:t>173</w:t>
        </w:r>
        <w:r w:rsidR="00F135D0">
          <w:rPr>
            <w:noProof/>
            <w:webHidden/>
          </w:rPr>
          <w:fldChar w:fldCharType="end"/>
        </w:r>
      </w:hyperlink>
    </w:p>
    <w:p w:rsidR="00F135D0" w:rsidRDefault="006B3E26" w14:paraId="3DC2C317" w14:textId="64F79B0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0">
        <w:r w:rsidRPr="008313B4" w:rsidR="00F135D0">
          <w:rPr>
            <w:rStyle w:val="Hyperlink"/>
            <w:noProof/>
          </w:rPr>
          <w:t>Flecainide</w:t>
        </w:r>
        <w:r w:rsidR="00F135D0">
          <w:rPr>
            <w:noProof/>
            <w:webHidden/>
          </w:rPr>
          <w:tab/>
        </w:r>
        <w:r w:rsidR="00F135D0">
          <w:rPr>
            <w:noProof/>
            <w:webHidden/>
          </w:rPr>
          <w:fldChar w:fldCharType="begin"/>
        </w:r>
        <w:r w:rsidR="00F135D0">
          <w:rPr>
            <w:noProof/>
            <w:webHidden/>
          </w:rPr>
          <w:instrText xml:space="preserve"> PAGEREF _Toc75339970 \h </w:instrText>
        </w:r>
        <w:r w:rsidR="00F135D0">
          <w:rPr>
            <w:noProof/>
            <w:webHidden/>
          </w:rPr>
        </w:r>
        <w:r w:rsidR="00F135D0">
          <w:rPr>
            <w:noProof/>
            <w:webHidden/>
          </w:rPr>
          <w:fldChar w:fldCharType="separate"/>
        </w:r>
        <w:r>
          <w:rPr>
            <w:noProof/>
            <w:webHidden/>
          </w:rPr>
          <w:t>181</w:t>
        </w:r>
        <w:r w:rsidR="00F135D0">
          <w:rPr>
            <w:noProof/>
            <w:webHidden/>
          </w:rPr>
          <w:fldChar w:fldCharType="end"/>
        </w:r>
      </w:hyperlink>
    </w:p>
    <w:p w:rsidR="00F135D0" w:rsidRDefault="006B3E26" w14:paraId="73C330AE" w14:textId="5D5400E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1">
        <w:r w:rsidRPr="008313B4" w:rsidR="00F135D0">
          <w:rPr>
            <w:rStyle w:val="Hyperlink"/>
            <w:noProof/>
          </w:rPr>
          <w:t>Flucloxacillin</w:t>
        </w:r>
        <w:r w:rsidR="00F135D0">
          <w:rPr>
            <w:noProof/>
            <w:webHidden/>
          </w:rPr>
          <w:tab/>
        </w:r>
        <w:r w:rsidR="00F135D0">
          <w:rPr>
            <w:noProof/>
            <w:webHidden/>
          </w:rPr>
          <w:fldChar w:fldCharType="begin"/>
        </w:r>
        <w:r w:rsidR="00F135D0">
          <w:rPr>
            <w:noProof/>
            <w:webHidden/>
          </w:rPr>
          <w:instrText xml:space="preserve"> PAGEREF _Toc75339971 \h </w:instrText>
        </w:r>
        <w:r w:rsidR="00F135D0">
          <w:rPr>
            <w:noProof/>
            <w:webHidden/>
          </w:rPr>
        </w:r>
        <w:r w:rsidR="00F135D0">
          <w:rPr>
            <w:noProof/>
            <w:webHidden/>
          </w:rPr>
          <w:fldChar w:fldCharType="separate"/>
        </w:r>
        <w:r>
          <w:rPr>
            <w:noProof/>
            <w:webHidden/>
          </w:rPr>
          <w:t>184</w:t>
        </w:r>
        <w:r w:rsidR="00F135D0">
          <w:rPr>
            <w:noProof/>
            <w:webHidden/>
          </w:rPr>
          <w:fldChar w:fldCharType="end"/>
        </w:r>
      </w:hyperlink>
    </w:p>
    <w:p w:rsidR="00F135D0" w:rsidRDefault="006B3E26" w14:paraId="222F6F8F" w14:textId="2D4E19B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2">
        <w:r w:rsidRPr="008313B4" w:rsidR="00F135D0">
          <w:rPr>
            <w:rStyle w:val="Hyperlink"/>
            <w:noProof/>
          </w:rPr>
          <w:t>Fluconazole</w:t>
        </w:r>
        <w:r w:rsidR="00F135D0">
          <w:rPr>
            <w:noProof/>
            <w:webHidden/>
          </w:rPr>
          <w:tab/>
        </w:r>
        <w:r w:rsidR="00F135D0">
          <w:rPr>
            <w:noProof/>
            <w:webHidden/>
          </w:rPr>
          <w:fldChar w:fldCharType="begin"/>
        </w:r>
        <w:r w:rsidR="00F135D0">
          <w:rPr>
            <w:noProof/>
            <w:webHidden/>
          </w:rPr>
          <w:instrText xml:space="preserve"> PAGEREF _Toc75339972 \h </w:instrText>
        </w:r>
        <w:r w:rsidR="00F135D0">
          <w:rPr>
            <w:noProof/>
            <w:webHidden/>
          </w:rPr>
        </w:r>
        <w:r w:rsidR="00F135D0">
          <w:rPr>
            <w:noProof/>
            <w:webHidden/>
          </w:rPr>
          <w:fldChar w:fldCharType="separate"/>
        </w:r>
        <w:r>
          <w:rPr>
            <w:noProof/>
            <w:webHidden/>
          </w:rPr>
          <w:t>187</w:t>
        </w:r>
        <w:r w:rsidR="00F135D0">
          <w:rPr>
            <w:noProof/>
            <w:webHidden/>
          </w:rPr>
          <w:fldChar w:fldCharType="end"/>
        </w:r>
      </w:hyperlink>
    </w:p>
    <w:p w:rsidR="00F135D0" w:rsidRDefault="006B3E26" w14:paraId="10D78D9B" w14:textId="4B77DE5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3">
        <w:r w:rsidRPr="008313B4" w:rsidR="00F135D0">
          <w:rPr>
            <w:rStyle w:val="Hyperlink"/>
            <w:noProof/>
          </w:rPr>
          <w:t>Fluids- Adjusting the content of bags</w:t>
        </w:r>
        <w:r w:rsidR="00F135D0">
          <w:rPr>
            <w:noProof/>
            <w:webHidden/>
          </w:rPr>
          <w:tab/>
        </w:r>
        <w:r w:rsidR="00F135D0">
          <w:rPr>
            <w:noProof/>
            <w:webHidden/>
          </w:rPr>
          <w:fldChar w:fldCharType="begin"/>
        </w:r>
        <w:r w:rsidR="00F135D0">
          <w:rPr>
            <w:noProof/>
            <w:webHidden/>
          </w:rPr>
          <w:instrText xml:space="preserve"> PAGEREF _Toc75339973 \h </w:instrText>
        </w:r>
        <w:r w:rsidR="00F135D0">
          <w:rPr>
            <w:noProof/>
            <w:webHidden/>
          </w:rPr>
        </w:r>
        <w:r w:rsidR="00F135D0">
          <w:rPr>
            <w:noProof/>
            <w:webHidden/>
          </w:rPr>
          <w:fldChar w:fldCharType="separate"/>
        </w:r>
        <w:r>
          <w:rPr>
            <w:noProof/>
            <w:webHidden/>
          </w:rPr>
          <w:t>189</w:t>
        </w:r>
        <w:r w:rsidR="00F135D0">
          <w:rPr>
            <w:noProof/>
            <w:webHidden/>
          </w:rPr>
          <w:fldChar w:fldCharType="end"/>
        </w:r>
      </w:hyperlink>
    </w:p>
    <w:p w:rsidR="00F135D0" w:rsidRDefault="006B3E26" w14:paraId="38601FD1" w14:textId="7C6260CA">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4">
        <w:r w:rsidRPr="008313B4" w:rsidR="00F135D0">
          <w:rPr>
            <w:rStyle w:val="Hyperlink"/>
            <w:noProof/>
          </w:rPr>
          <w:t>Flumazenil</w:t>
        </w:r>
        <w:r w:rsidR="00F135D0">
          <w:rPr>
            <w:noProof/>
            <w:webHidden/>
          </w:rPr>
          <w:tab/>
        </w:r>
        <w:r w:rsidR="00F135D0">
          <w:rPr>
            <w:noProof/>
            <w:webHidden/>
          </w:rPr>
          <w:fldChar w:fldCharType="begin"/>
        </w:r>
        <w:r w:rsidR="00F135D0">
          <w:rPr>
            <w:noProof/>
            <w:webHidden/>
          </w:rPr>
          <w:instrText xml:space="preserve"> PAGEREF _Toc75339974 \h </w:instrText>
        </w:r>
        <w:r w:rsidR="00F135D0">
          <w:rPr>
            <w:noProof/>
            <w:webHidden/>
          </w:rPr>
        </w:r>
        <w:r w:rsidR="00F135D0">
          <w:rPr>
            <w:noProof/>
            <w:webHidden/>
          </w:rPr>
          <w:fldChar w:fldCharType="separate"/>
        </w:r>
        <w:r>
          <w:rPr>
            <w:noProof/>
            <w:webHidden/>
          </w:rPr>
          <w:t>192</w:t>
        </w:r>
        <w:r w:rsidR="00F135D0">
          <w:rPr>
            <w:noProof/>
            <w:webHidden/>
          </w:rPr>
          <w:fldChar w:fldCharType="end"/>
        </w:r>
      </w:hyperlink>
    </w:p>
    <w:p w:rsidR="00F135D0" w:rsidRDefault="006B3E26" w14:paraId="5AB16AB8" w14:textId="74C9661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5">
        <w:r w:rsidRPr="008313B4" w:rsidR="00F135D0">
          <w:rPr>
            <w:rStyle w:val="Hyperlink"/>
            <w:noProof/>
          </w:rPr>
          <w:t>Folic Acid</w:t>
        </w:r>
        <w:r w:rsidR="00F135D0">
          <w:rPr>
            <w:noProof/>
            <w:webHidden/>
          </w:rPr>
          <w:tab/>
        </w:r>
        <w:r w:rsidR="00F135D0">
          <w:rPr>
            <w:noProof/>
            <w:webHidden/>
          </w:rPr>
          <w:fldChar w:fldCharType="begin"/>
        </w:r>
        <w:r w:rsidR="00F135D0">
          <w:rPr>
            <w:noProof/>
            <w:webHidden/>
          </w:rPr>
          <w:instrText xml:space="preserve"> PAGEREF _Toc75339975 \h </w:instrText>
        </w:r>
        <w:r w:rsidR="00F135D0">
          <w:rPr>
            <w:noProof/>
            <w:webHidden/>
          </w:rPr>
        </w:r>
        <w:r w:rsidR="00F135D0">
          <w:rPr>
            <w:noProof/>
            <w:webHidden/>
          </w:rPr>
          <w:fldChar w:fldCharType="separate"/>
        </w:r>
        <w:r>
          <w:rPr>
            <w:noProof/>
            <w:webHidden/>
          </w:rPr>
          <w:t>193</w:t>
        </w:r>
        <w:r w:rsidR="00F135D0">
          <w:rPr>
            <w:noProof/>
            <w:webHidden/>
          </w:rPr>
          <w:fldChar w:fldCharType="end"/>
        </w:r>
      </w:hyperlink>
    </w:p>
    <w:p w:rsidR="00F135D0" w:rsidRDefault="006B3E26" w14:paraId="6357EDDB" w14:textId="71865D5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6">
        <w:r w:rsidRPr="008313B4" w:rsidR="00F135D0">
          <w:rPr>
            <w:rStyle w:val="Hyperlink"/>
            <w:noProof/>
          </w:rPr>
          <w:t>Frusemide</w:t>
        </w:r>
        <w:r w:rsidR="00F135D0">
          <w:rPr>
            <w:noProof/>
            <w:webHidden/>
          </w:rPr>
          <w:tab/>
        </w:r>
        <w:r w:rsidR="00F135D0">
          <w:rPr>
            <w:noProof/>
            <w:webHidden/>
          </w:rPr>
          <w:fldChar w:fldCharType="begin"/>
        </w:r>
        <w:r w:rsidR="00F135D0">
          <w:rPr>
            <w:noProof/>
            <w:webHidden/>
          </w:rPr>
          <w:instrText xml:space="preserve"> PAGEREF _Toc75339976 \h </w:instrText>
        </w:r>
        <w:r w:rsidR="00F135D0">
          <w:rPr>
            <w:noProof/>
            <w:webHidden/>
          </w:rPr>
        </w:r>
        <w:r w:rsidR="00F135D0">
          <w:rPr>
            <w:noProof/>
            <w:webHidden/>
          </w:rPr>
          <w:fldChar w:fldCharType="separate"/>
        </w:r>
        <w:r>
          <w:rPr>
            <w:noProof/>
            <w:webHidden/>
          </w:rPr>
          <w:t>197</w:t>
        </w:r>
        <w:r w:rsidR="00F135D0">
          <w:rPr>
            <w:noProof/>
            <w:webHidden/>
          </w:rPr>
          <w:fldChar w:fldCharType="end"/>
        </w:r>
      </w:hyperlink>
    </w:p>
    <w:p w:rsidR="00F135D0" w:rsidRDefault="006B3E26" w14:paraId="3F4CE2AB" w14:textId="13AB2943">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7">
        <w:r w:rsidRPr="008313B4" w:rsidR="00F135D0">
          <w:rPr>
            <w:rStyle w:val="Hyperlink"/>
            <w:noProof/>
          </w:rPr>
          <w:t>Ganciclovir</w:t>
        </w:r>
        <w:r w:rsidR="00F135D0">
          <w:rPr>
            <w:noProof/>
            <w:webHidden/>
          </w:rPr>
          <w:tab/>
        </w:r>
        <w:r w:rsidR="00F135D0">
          <w:rPr>
            <w:noProof/>
            <w:webHidden/>
          </w:rPr>
          <w:fldChar w:fldCharType="begin"/>
        </w:r>
        <w:r w:rsidR="00F135D0">
          <w:rPr>
            <w:noProof/>
            <w:webHidden/>
          </w:rPr>
          <w:instrText xml:space="preserve"> PAGEREF _Toc75339977 \h </w:instrText>
        </w:r>
        <w:r w:rsidR="00F135D0">
          <w:rPr>
            <w:noProof/>
            <w:webHidden/>
          </w:rPr>
        </w:r>
        <w:r w:rsidR="00F135D0">
          <w:rPr>
            <w:noProof/>
            <w:webHidden/>
          </w:rPr>
          <w:fldChar w:fldCharType="separate"/>
        </w:r>
        <w:r>
          <w:rPr>
            <w:noProof/>
            <w:webHidden/>
          </w:rPr>
          <w:t>202</w:t>
        </w:r>
        <w:r w:rsidR="00F135D0">
          <w:rPr>
            <w:noProof/>
            <w:webHidden/>
          </w:rPr>
          <w:fldChar w:fldCharType="end"/>
        </w:r>
      </w:hyperlink>
    </w:p>
    <w:p w:rsidR="00F135D0" w:rsidRDefault="006B3E26" w14:paraId="03A09A7C" w14:textId="38A5C72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8">
        <w:r w:rsidRPr="008313B4" w:rsidR="00F135D0">
          <w:rPr>
            <w:rStyle w:val="Hyperlink"/>
            <w:noProof/>
          </w:rPr>
          <w:t>Gentamicin</w:t>
        </w:r>
        <w:r w:rsidR="00F135D0">
          <w:rPr>
            <w:noProof/>
            <w:webHidden/>
          </w:rPr>
          <w:tab/>
        </w:r>
        <w:r w:rsidR="00F135D0">
          <w:rPr>
            <w:noProof/>
            <w:webHidden/>
          </w:rPr>
          <w:fldChar w:fldCharType="begin"/>
        </w:r>
        <w:r w:rsidR="00F135D0">
          <w:rPr>
            <w:noProof/>
            <w:webHidden/>
          </w:rPr>
          <w:instrText xml:space="preserve"> PAGEREF _Toc75339978 \h </w:instrText>
        </w:r>
        <w:r w:rsidR="00F135D0">
          <w:rPr>
            <w:noProof/>
            <w:webHidden/>
          </w:rPr>
        </w:r>
        <w:r w:rsidR="00F135D0">
          <w:rPr>
            <w:noProof/>
            <w:webHidden/>
          </w:rPr>
          <w:fldChar w:fldCharType="separate"/>
        </w:r>
        <w:r>
          <w:rPr>
            <w:noProof/>
            <w:webHidden/>
          </w:rPr>
          <w:t>205</w:t>
        </w:r>
        <w:r w:rsidR="00F135D0">
          <w:rPr>
            <w:noProof/>
            <w:webHidden/>
          </w:rPr>
          <w:fldChar w:fldCharType="end"/>
        </w:r>
      </w:hyperlink>
    </w:p>
    <w:p w:rsidR="00F135D0" w:rsidRDefault="006B3E26" w14:paraId="43532ACA" w14:textId="5BBA946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79">
        <w:r w:rsidRPr="008313B4" w:rsidR="00F135D0">
          <w:rPr>
            <w:rStyle w:val="Hyperlink"/>
            <w:noProof/>
          </w:rPr>
          <w:t>Glucagon</w:t>
        </w:r>
        <w:r w:rsidR="00F135D0">
          <w:rPr>
            <w:noProof/>
            <w:webHidden/>
          </w:rPr>
          <w:tab/>
        </w:r>
        <w:r w:rsidR="00F135D0">
          <w:rPr>
            <w:noProof/>
            <w:webHidden/>
          </w:rPr>
          <w:fldChar w:fldCharType="begin"/>
        </w:r>
        <w:r w:rsidR="00F135D0">
          <w:rPr>
            <w:noProof/>
            <w:webHidden/>
          </w:rPr>
          <w:instrText xml:space="preserve"> PAGEREF _Toc75339979 \h </w:instrText>
        </w:r>
        <w:r w:rsidR="00F135D0">
          <w:rPr>
            <w:noProof/>
            <w:webHidden/>
          </w:rPr>
        </w:r>
        <w:r w:rsidR="00F135D0">
          <w:rPr>
            <w:noProof/>
            <w:webHidden/>
          </w:rPr>
          <w:fldChar w:fldCharType="separate"/>
        </w:r>
        <w:r>
          <w:rPr>
            <w:noProof/>
            <w:webHidden/>
          </w:rPr>
          <w:t>210</w:t>
        </w:r>
        <w:r w:rsidR="00F135D0">
          <w:rPr>
            <w:noProof/>
            <w:webHidden/>
          </w:rPr>
          <w:fldChar w:fldCharType="end"/>
        </w:r>
      </w:hyperlink>
    </w:p>
    <w:p w:rsidR="00F135D0" w:rsidRDefault="006B3E26" w14:paraId="689D5382" w14:textId="3EF1CD37">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0">
        <w:r w:rsidRPr="008313B4" w:rsidR="00F135D0">
          <w:rPr>
            <w:rStyle w:val="Hyperlink"/>
            <w:noProof/>
          </w:rPr>
          <w:t>Glycerol (Glycerine)</w:t>
        </w:r>
        <w:r w:rsidR="00F135D0">
          <w:rPr>
            <w:noProof/>
            <w:webHidden/>
          </w:rPr>
          <w:tab/>
        </w:r>
        <w:r w:rsidR="00F135D0">
          <w:rPr>
            <w:noProof/>
            <w:webHidden/>
          </w:rPr>
          <w:fldChar w:fldCharType="begin"/>
        </w:r>
        <w:r w:rsidR="00F135D0">
          <w:rPr>
            <w:noProof/>
            <w:webHidden/>
          </w:rPr>
          <w:instrText xml:space="preserve"> PAGEREF _Toc75339980 \h </w:instrText>
        </w:r>
        <w:r w:rsidR="00F135D0">
          <w:rPr>
            <w:noProof/>
            <w:webHidden/>
          </w:rPr>
        </w:r>
        <w:r w:rsidR="00F135D0">
          <w:rPr>
            <w:noProof/>
            <w:webHidden/>
          </w:rPr>
          <w:fldChar w:fldCharType="separate"/>
        </w:r>
        <w:r>
          <w:rPr>
            <w:noProof/>
            <w:webHidden/>
          </w:rPr>
          <w:t>213</w:t>
        </w:r>
        <w:r w:rsidR="00F135D0">
          <w:rPr>
            <w:noProof/>
            <w:webHidden/>
          </w:rPr>
          <w:fldChar w:fldCharType="end"/>
        </w:r>
      </w:hyperlink>
    </w:p>
    <w:p w:rsidR="00F135D0" w:rsidRDefault="006B3E26" w14:paraId="7699910B" w14:textId="21BB83A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1">
        <w:r w:rsidRPr="008313B4" w:rsidR="00F135D0">
          <w:rPr>
            <w:rStyle w:val="Hyperlink"/>
            <w:noProof/>
          </w:rPr>
          <w:t>Heparin</w:t>
        </w:r>
        <w:r w:rsidR="00F135D0">
          <w:rPr>
            <w:noProof/>
            <w:webHidden/>
          </w:rPr>
          <w:tab/>
        </w:r>
        <w:r w:rsidR="00F135D0">
          <w:rPr>
            <w:noProof/>
            <w:webHidden/>
          </w:rPr>
          <w:fldChar w:fldCharType="begin"/>
        </w:r>
        <w:r w:rsidR="00F135D0">
          <w:rPr>
            <w:noProof/>
            <w:webHidden/>
          </w:rPr>
          <w:instrText xml:space="preserve"> PAGEREF _Toc75339981 \h </w:instrText>
        </w:r>
        <w:r w:rsidR="00F135D0">
          <w:rPr>
            <w:noProof/>
            <w:webHidden/>
          </w:rPr>
        </w:r>
        <w:r w:rsidR="00F135D0">
          <w:rPr>
            <w:noProof/>
            <w:webHidden/>
          </w:rPr>
          <w:fldChar w:fldCharType="separate"/>
        </w:r>
        <w:r>
          <w:rPr>
            <w:noProof/>
            <w:webHidden/>
          </w:rPr>
          <w:t>216</w:t>
        </w:r>
        <w:r w:rsidR="00F135D0">
          <w:rPr>
            <w:noProof/>
            <w:webHidden/>
          </w:rPr>
          <w:fldChar w:fldCharType="end"/>
        </w:r>
      </w:hyperlink>
    </w:p>
    <w:p w:rsidR="00F135D0" w:rsidRDefault="006B3E26" w14:paraId="7C5E45A2" w14:textId="1ECDD80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2">
        <w:r w:rsidRPr="008313B4" w:rsidR="00F135D0">
          <w:rPr>
            <w:rStyle w:val="Hyperlink"/>
            <w:noProof/>
          </w:rPr>
          <w:t>Heparin CVC Lock</w:t>
        </w:r>
        <w:r w:rsidR="00F135D0">
          <w:rPr>
            <w:noProof/>
            <w:webHidden/>
          </w:rPr>
          <w:tab/>
        </w:r>
        <w:r w:rsidR="00F135D0">
          <w:rPr>
            <w:noProof/>
            <w:webHidden/>
          </w:rPr>
          <w:fldChar w:fldCharType="begin"/>
        </w:r>
        <w:r w:rsidR="00F135D0">
          <w:rPr>
            <w:noProof/>
            <w:webHidden/>
          </w:rPr>
          <w:instrText xml:space="preserve"> PAGEREF _Toc75339982 \h </w:instrText>
        </w:r>
        <w:r w:rsidR="00F135D0">
          <w:rPr>
            <w:noProof/>
            <w:webHidden/>
          </w:rPr>
        </w:r>
        <w:r w:rsidR="00F135D0">
          <w:rPr>
            <w:noProof/>
            <w:webHidden/>
          </w:rPr>
          <w:fldChar w:fldCharType="separate"/>
        </w:r>
        <w:r>
          <w:rPr>
            <w:noProof/>
            <w:webHidden/>
          </w:rPr>
          <w:t>222</w:t>
        </w:r>
        <w:r w:rsidR="00F135D0">
          <w:rPr>
            <w:noProof/>
            <w:webHidden/>
          </w:rPr>
          <w:fldChar w:fldCharType="end"/>
        </w:r>
      </w:hyperlink>
    </w:p>
    <w:p w:rsidR="00F135D0" w:rsidRDefault="006B3E26" w14:paraId="47A254C2" w14:textId="4378A9F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3">
        <w:r w:rsidRPr="008313B4" w:rsidR="00F135D0">
          <w:rPr>
            <w:rStyle w:val="Hyperlink"/>
            <w:noProof/>
          </w:rPr>
          <w:t>Hepatitis B Immunoglobulin</w:t>
        </w:r>
        <w:r w:rsidR="00F135D0">
          <w:rPr>
            <w:noProof/>
            <w:webHidden/>
          </w:rPr>
          <w:tab/>
        </w:r>
        <w:r w:rsidR="00F135D0">
          <w:rPr>
            <w:noProof/>
            <w:webHidden/>
          </w:rPr>
          <w:fldChar w:fldCharType="begin"/>
        </w:r>
        <w:r w:rsidR="00F135D0">
          <w:rPr>
            <w:noProof/>
            <w:webHidden/>
          </w:rPr>
          <w:instrText xml:space="preserve"> PAGEREF _Toc75339983 \h </w:instrText>
        </w:r>
        <w:r w:rsidR="00F135D0">
          <w:rPr>
            <w:noProof/>
            <w:webHidden/>
          </w:rPr>
        </w:r>
        <w:r w:rsidR="00F135D0">
          <w:rPr>
            <w:noProof/>
            <w:webHidden/>
          </w:rPr>
          <w:fldChar w:fldCharType="separate"/>
        </w:r>
        <w:r>
          <w:rPr>
            <w:noProof/>
            <w:webHidden/>
          </w:rPr>
          <w:t>223</w:t>
        </w:r>
        <w:r w:rsidR="00F135D0">
          <w:rPr>
            <w:noProof/>
            <w:webHidden/>
          </w:rPr>
          <w:fldChar w:fldCharType="end"/>
        </w:r>
      </w:hyperlink>
    </w:p>
    <w:p w:rsidR="00F135D0" w:rsidRDefault="006B3E26" w14:paraId="399A6886" w14:textId="65543EA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4">
        <w:r w:rsidRPr="008313B4" w:rsidR="00F135D0">
          <w:rPr>
            <w:rStyle w:val="Hyperlink"/>
            <w:noProof/>
          </w:rPr>
          <w:t>Hepatitis B Vaccine</w:t>
        </w:r>
        <w:r w:rsidR="00F135D0">
          <w:rPr>
            <w:noProof/>
            <w:webHidden/>
          </w:rPr>
          <w:tab/>
        </w:r>
        <w:r w:rsidR="00F135D0">
          <w:rPr>
            <w:noProof/>
            <w:webHidden/>
          </w:rPr>
          <w:fldChar w:fldCharType="begin"/>
        </w:r>
        <w:r w:rsidR="00F135D0">
          <w:rPr>
            <w:noProof/>
            <w:webHidden/>
          </w:rPr>
          <w:instrText xml:space="preserve"> PAGEREF _Toc75339984 \h </w:instrText>
        </w:r>
        <w:r w:rsidR="00F135D0">
          <w:rPr>
            <w:noProof/>
            <w:webHidden/>
          </w:rPr>
        </w:r>
        <w:r w:rsidR="00F135D0">
          <w:rPr>
            <w:noProof/>
            <w:webHidden/>
          </w:rPr>
          <w:fldChar w:fldCharType="separate"/>
        </w:r>
        <w:r>
          <w:rPr>
            <w:noProof/>
            <w:webHidden/>
          </w:rPr>
          <w:t>225</w:t>
        </w:r>
        <w:r w:rsidR="00F135D0">
          <w:rPr>
            <w:noProof/>
            <w:webHidden/>
          </w:rPr>
          <w:fldChar w:fldCharType="end"/>
        </w:r>
      </w:hyperlink>
    </w:p>
    <w:p w:rsidR="00F135D0" w:rsidRDefault="006B3E26" w14:paraId="73A8B28B" w14:textId="086017C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5">
        <w:r w:rsidRPr="008313B4" w:rsidR="00F135D0">
          <w:rPr>
            <w:rStyle w:val="Hyperlink"/>
            <w:noProof/>
          </w:rPr>
          <w:t>Hydralazine</w:t>
        </w:r>
        <w:r w:rsidR="00F135D0">
          <w:rPr>
            <w:noProof/>
            <w:webHidden/>
          </w:rPr>
          <w:tab/>
        </w:r>
        <w:r w:rsidR="00F135D0">
          <w:rPr>
            <w:noProof/>
            <w:webHidden/>
          </w:rPr>
          <w:fldChar w:fldCharType="begin"/>
        </w:r>
        <w:r w:rsidR="00F135D0">
          <w:rPr>
            <w:noProof/>
            <w:webHidden/>
          </w:rPr>
          <w:instrText xml:space="preserve"> PAGEREF _Toc75339985 \h </w:instrText>
        </w:r>
        <w:r w:rsidR="00F135D0">
          <w:rPr>
            <w:noProof/>
            <w:webHidden/>
          </w:rPr>
        </w:r>
        <w:r w:rsidR="00F135D0">
          <w:rPr>
            <w:noProof/>
            <w:webHidden/>
          </w:rPr>
          <w:fldChar w:fldCharType="separate"/>
        </w:r>
        <w:r>
          <w:rPr>
            <w:noProof/>
            <w:webHidden/>
          </w:rPr>
          <w:t>227</w:t>
        </w:r>
        <w:r w:rsidR="00F135D0">
          <w:rPr>
            <w:noProof/>
            <w:webHidden/>
          </w:rPr>
          <w:fldChar w:fldCharType="end"/>
        </w:r>
      </w:hyperlink>
    </w:p>
    <w:p w:rsidR="00F135D0" w:rsidRDefault="006B3E26" w14:paraId="29D684D8" w14:textId="6F256347">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6">
        <w:r w:rsidRPr="008313B4" w:rsidR="00F135D0">
          <w:rPr>
            <w:rStyle w:val="Hyperlink"/>
            <w:noProof/>
          </w:rPr>
          <w:t>Hydrochlorothiazide</w:t>
        </w:r>
        <w:r w:rsidR="00F135D0">
          <w:rPr>
            <w:noProof/>
            <w:webHidden/>
          </w:rPr>
          <w:tab/>
        </w:r>
        <w:r w:rsidR="00F135D0">
          <w:rPr>
            <w:noProof/>
            <w:webHidden/>
          </w:rPr>
          <w:fldChar w:fldCharType="begin"/>
        </w:r>
        <w:r w:rsidR="00F135D0">
          <w:rPr>
            <w:noProof/>
            <w:webHidden/>
          </w:rPr>
          <w:instrText xml:space="preserve"> PAGEREF _Toc75339986 \h </w:instrText>
        </w:r>
        <w:r w:rsidR="00F135D0">
          <w:rPr>
            <w:noProof/>
            <w:webHidden/>
          </w:rPr>
        </w:r>
        <w:r w:rsidR="00F135D0">
          <w:rPr>
            <w:noProof/>
            <w:webHidden/>
          </w:rPr>
          <w:fldChar w:fldCharType="separate"/>
        </w:r>
        <w:r>
          <w:rPr>
            <w:noProof/>
            <w:webHidden/>
          </w:rPr>
          <w:t>229</w:t>
        </w:r>
        <w:r w:rsidR="00F135D0">
          <w:rPr>
            <w:noProof/>
            <w:webHidden/>
          </w:rPr>
          <w:fldChar w:fldCharType="end"/>
        </w:r>
      </w:hyperlink>
    </w:p>
    <w:p w:rsidR="00F135D0" w:rsidRDefault="006B3E26" w14:paraId="25B3202C" w14:textId="6C30A33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7">
        <w:r w:rsidRPr="008313B4" w:rsidR="00F135D0">
          <w:rPr>
            <w:rStyle w:val="Hyperlink"/>
            <w:noProof/>
          </w:rPr>
          <w:t>Hydrocortisone</w:t>
        </w:r>
        <w:r w:rsidR="00F135D0">
          <w:rPr>
            <w:noProof/>
            <w:webHidden/>
          </w:rPr>
          <w:tab/>
        </w:r>
        <w:r w:rsidR="00F135D0">
          <w:rPr>
            <w:noProof/>
            <w:webHidden/>
          </w:rPr>
          <w:fldChar w:fldCharType="begin"/>
        </w:r>
        <w:r w:rsidR="00F135D0">
          <w:rPr>
            <w:noProof/>
            <w:webHidden/>
          </w:rPr>
          <w:instrText xml:space="preserve"> PAGEREF _Toc75339987 \h </w:instrText>
        </w:r>
        <w:r w:rsidR="00F135D0">
          <w:rPr>
            <w:noProof/>
            <w:webHidden/>
          </w:rPr>
        </w:r>
        <w:r w:rsidR="00F135D0">
          <w:rPr>
            <w:noProof/>
            <w:webHidden/>
          </w:rPr>
          <w:fldChar w:fldCharType="separate"/>
        </w:r>
        <w:r>
          <w:rPr>
            <w:noProof/>
            <w:webHidden/>
          </w:rPr>
          <w:t>231</w:t>
        </w:r>
        <w:r w:rsidR="00F135D0">
          <w:rPr>
            <w:noProof/>
            <w:webHidden/>
          </w:rPr>
          <w:fldChar w:fldCharType="end"/>
        </w:r>
      </w:hyperlink>
    </w:p>
    <w:p w:rsidR="00F135D0" w:rsidRDefault="006B3E26" w14:paraId="63E5F952" w14:textId="3C4AFAC3">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8">
        <w:r w:rsidRPr="008313B4" w:rsidR="00F135D0">
          <w:rPr>
            <w:rStyle w:val="Hyperlink"/>
            <w:noProof/>
          </w:rPr>
          <w:t>Ibuprofen</w:t>
        </w:r>
        <w:r w:rsidR="00F135D0">
          <w:rPr>
            <w:noProof/>
            <w:webHidden/>
          </w:rPr>
          <w:tab/>
        </w:r>
        <w:r w:rsidR="00F135D0">
          <w:rPr>
            <w:noProof/>
            <w:webHidden/>
          </w:rPr>
          <w:fldChar w:fldCharType="begin"/>
        </w:r>
        <w:r w:rsidR="00F135D0">
          <w:rPr>
            <w:noProof/>
            <w:webHidden/>
          </w:rPr>
          <w:instrText xml:space="preserve"> PAGEREF _Toc75339988 \h </w:instrText>
        </w:r>
        <w:r w:rsidR="00F135D0">
          <w:rPr>
            <w:noProof/>
            <w:webHidden/>
          </w:rPr>
        </w:r>
        <w:r w:rsidR="00F135D0">
          <w:rPr>
            <w:noProof/>
            <w:webHidden/>
          </w:rPr>
          <w:fldChar w:fldCharType="separate"/>
        </w:r>
        <w:r>
          <w:rPr>
            <w:noProof/>
            <w:webHidden/>
          </w:rPr>
          <w:t>236</w:t>
        </w:r>
        <w:r w:rsidR="00F135D0">
          <w:rPr>
            <w:noProof/>
            <w:webHidden/>
          </w:rPr>
          <w:fldChar w:fldCharType="end"/>
        </w:r>
      </w:hyperlink>
    </w:p>
    <w:p w:rsidR="00F135D0" w:rsidRDefault="006B3E26" w14:paraId="089AA79E" w14:textId="2B58088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89">
        <w:r w:rsidRPr="008313B4" w:rsidR="00F135D0">
          <w:rPr>
            <w:rStyle w:val="Hyperlink"/>
            <w:noProof/>
          </w:rPr>
          <w:t>Imipenem/Cilastatin</w:t>
        </w:r>
        <w:r w:rsidR="00F135D0">
          <w:rPr>
            <w:noProof/>
            <w:webHidden/>
          </w:rPr>
          <w:tab/>
        </w:r>
        <w:r w:rsidR="00F135D0">
          <w:rPr>
            <w:noProof/>
            <w:webHidden/>
          </w:rPr>
          <w:fldChar w:fldCharType="begin"/>
        </w:r>
        <w:r w:rsidR="00F135D0">
          <w:rPr>
            <w:noProof/>
            <w:webHidden/>
          </w:rPr>
          <w:instrText xml:space="preserve"> PAGEREF _Toc75339989 \h </w:instrText>
        </w:r>
        <w:r w:rsidR="00F135D0">
          <w:rPr>
            <w:noProof/>
            <w:webHidden/>
          </w:rPr>
        </w:r>
        <w:r w:rsidR="00F135D0">
          <w:rPr>
            <w:noProof/>
            <w:webHidden/>
          </w:rPr>
          <w:fldChar w:fldCharType="separate"/>
        </w:r>
        <w:r>
          <w:rPr>
            <w:noProof/>
            <w:webHidden/>
          </w:rPr>
          <w:t>243</w:t>
        </w:r>
        <w:r w:rsidR="00F135D0">
          <w:rPr>
            <w:noProof/>
            <w:webHidden/>
          </w:rPr>
          <w:fldChar w:fldCharType="end"/>
        </w:r>
      </w:hyperlink>
    </w:p>
    <w:p w:rsidR="00F135D0" w:rsidRDefault="006B3E26" w14:paraId="301D104C" w14:textId="49B3169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0">
        <w:r w:rsidRPr="008313B4" w:rsidR="00F135D0">
          <w:rPr>
            <w:rStyle w:val="Hyperlink"/>
            <w:noProof/>
          </w:rPr>
          <w:t>Immunoglobulin IV (Intragram</w:t>
        </w:r>
        <w:r w:rsidRPr="008313B4" w:rsidR="00F135D0">
          <w:rPr>
            <w:rStyle w:val="Hyperlink"/>
            <w:rFonts w:cs="Arial"/>
            <w:noProof/>
            <w:vertAlign w:val="superscript"/>
          </w:rPr>
          <w:t>®</w:t>
        </w:r>
        <w:r w:rsidRPr="008313B4" w:rsidR="00F135D0">
          <w:rPr>
            <w:rStyle w:val="Hyperlink"/>
            <w:noProof/>
          </w:rPr>
          <w:t>P):</w:t>
        </w:r>
        <w:r w:rsidR="00F135D0">
          <w:rPr>
            <w:noProof/>
            <w:webHidden/>
          </w:rPr>
          <w:tab/>
        </w:r>
        <w:r w:rsidR="00F135D0">
          <w:rPr>
            <w:noProof/>
            <w:webHidden/>
          </w:rPr>
          <w:fldChar w:fldCharType="begin"/>
        </w:r>
        <w:r w:rsidR="00F135D0">
          <w:rPr>
            <w:noProof/>
            <w:webHidden/>
          </w:rPr>
          <w:instrText xml:space="preserve"> PAGEREF _Toc75339990 \h </w:instrText>
        </w:r>
        <w:r w:rsidR="00F135D0">
          <w:rPr>
            <w:noProof/>
            <w:webHidden/>
          </w:rPr>
        </w:r>
        <w:r w:rsidR="00F135D0">
          <w:rPr>
            <w:noProof/>
            <w:webHidden/>
          </w:rPr>
          <w:fldChar w:fldCharType="separate"/>
        </w:r>
        <w:r>
          <w:rPr>
            <w:noProof/>
            <w:webHidden/>
          </w:rPr>
          <w:t>245</w:t>
        </w:r>
        <w:r w:rsidR="00F135D0">
          <w:rPr>
            <w:noProof/>
            <w:webHidden/>
          </w:rPr>
          <w:fldChar w:fldCharType="end"/>
        </w:r>
      </w:hyperlink>
    </w:p>
    <w:p w:rsidR="00F135D0" w:rsidRDefault="006B3E26" w14:paraId="6606FA6A" w14:textId="24DE0A57">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1">
        <w:r w:rsidRPr="008313B4" w:rsidR="00F135D0">
          <w:rPr>
            <w:rStyle w:val="Hyperlink"/>
            <w:noProof/>
          </w:rPr>
          <w:t>Indomethacin</w:t>
        </w:r>
        <w:r w:rsidR="00F135D0">
          <w:rPr>
            <w:noProof/>
            <w:webHidden/>
          </w:rPr>
          <w:tab/>
        </w:r>
        <w:r w:rsidR="00F135D0">
          <w:rPr>
            <w:noProof/>
            <w:webHidden/>
          </w:rPr>
          <w:fldChar w:fldCharType="begin"/>
        </w:r>
        <w:r w:rsidR="00F135D0">
          <w:rPr>
            <w:noProof/>
            <w:webHidden/>
          </w:rPr>
          <w:instrText xml:space="preserve"> PAGEREF _Toc75339991 \h </w:instrText>
        </w:r>
        <w:r w:rsidR="00F135D0">
          <w:rPr>
            <w:noProof/>
            <w:webHidden/>
          </w:rPr>
        </w:r>
        <w:r w:rsidR="00F135D0">
          <w:rPr>
            <w:noProof/>
            <w:webHidden/>
          </w:rPr>
          <w:fldChar w:fldCharType="separate"/>
        </w:r>
        <w:r>
          <w:rPr>
            <w:noProof/>
            <w:webHidden/>
          </w:rPr>
          <w:t>251</w:t>
        </w:r>
        <w:r w:rsidR="00F135D0">
          <w:rPr>
            <w:noProof/>
            <w:webHidden/>
          </w:rPr>
          <w:fldChar w:fldCharType="end"/>
        </w:r>
      </w:hyperlink>
    </w:p>
    <w:p w:rsidR="00F135D0" w:rsidRDefault="006B3E26" w14:paraId="34C1A74D" w14:textId="4F67263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2">
        <w:r w:rsidRPr="008313B4" w:rsidR="00F135D0">
          <w:rPr>
            <w:rStyle w:val="Hyperlink"/>
            <w:caps/>
            <w:noProof/>
          </w:rPr>
          <w:t>Infanrix</w:t>
        </w:r>
        <w:r w:rsidRPr="008313B4" w:rsidR="00F135D0">
          <w:rPr>
            <w:rStyle w:val="Hyperlink"/>
            <w:noProof/>
          </w:rPr>
          <w:t xml:space="preserve"> hexa</w:t>
        </w:r>
        <w:r w:rsidR="00F135D0">
          <w:rPr>
            <w:noProof/>
            <w:webHidden/>
          </w:rPr>
          <w:tab/>
        </w:r>
        <w:r w:rsidR="00F135D0">
          <w:rPr>
            <w:noProof/>
            <w:webHidden/>
          </w:rPr>
          <w:fldChar w:fldCharType="begin"/>
        </w:r>
        <w:r w:rsidR="00F135D0">
          <w:rPr>
            <w:noProof/>
            <w:webHidden/>
          </w:rPr>
          <w:instrText xml:space="preserve"> PAGEREF _Toc75339992 \h </w:instrText>
        </w:r>
        <w:r w:rsidR="00F135D0">
          <w:rPr>
            <w:noProof/>
            <w:webHidden/>
          </w:rPr>
        </w:r>
        <w:r w:rsidR="00F135D0">
          <w:rPr>
            <w:noProof/>
            <w:webHidden/>
          </w:rPr>
          <w:fldChar w:fldCharType="separate"/>
        </w:r>
        <w:r>
          <w:rPr>
            <w:noProof/>
            <w:webHidden/>
          </w:rPr>
          <w:t>254</w:t>
        </w:r>
        <w:r w:rsidR="00F135D0">
          <w:rPr>
            <w:noProof/>
            <w:webHidden/>
          </w:rPr>
          <w:fldChar w:fldCharType="end"/>
        </w:r>
      </w:hyperlink>
    </w:p>
    <w:p w:rsidR="00F135D0" w:rsidRDefault="006B3E26" w14:paraId="043BF2F1" w14:textId="25F5FF1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3">
        <w:r w:rsidRPr="008313B4" w:rsidR="00F135D0">
          <w:rPr>
            <w:rStyle w:val="Hyperlink"/>
            <w:noProof/>
          </w:rPr>
          <w:t>Infloran</w:t>
        </w:r>
        <w:r w:rsidRPr="008313B4" w:rsidR="00F135D0">
          <w:rPr>
            <w:rStyle w:val="Hyperlink"/>
            <w:rFonts w:cs="Arial"/>
            <w:noProof/>
          </w:rPr>
          <w:t>®</w:t>
        </w:r>
        <w:r w:rsidR="00F135D0">
          <w:rPr>
            <w:noProof/>
            <w:webHidden/>
          </w:rPr>
          <w:tab/>
        </w:r>
        <w:r w:rsidR="00F135D0">
          <w:rPr>
            <w:noProof/>
            <w:webHidden/>
          </w:rPr>
          <w:fldChar w:fldCharType="begin"/>
        </w:r>
        <w:r w:rsidR="00F135D0">
          <w:rPr>
            <w:noProof/>
            <w:webHidden/>
          </w:rPr>
          <w:instrText xml:space="preserve"> PAGEREF _Toc75339993 \h </w:instrText>
        </w:r>
        <w:r w:rsidR="00F135D0">
          <w:rPr>
            <w:noProof/>
            <w:webHidden/>
          </w:rPr>
        </w:r>
        <w:r w:rsidR="00F135D0">
          <w:rPr>
            <w:noProof/>
            <w:webHidden/>
          </w:rPr>
          <w:fldChar w:fldCharType="separate"/>
        </w:r>
        <w:r>
          <w:rPr>
            <w:noProof/>
            <w:webHidden/>
          </w:rPr>
          <w:t>258</w:t>
        </w:r>
        <w:r w:rsidR="00F135D0">
          <w:rPr>
            <w:noProof/>
            <w:webHidden/>
          </w:rPr>
          <w:fldChar w:fldCharType="end"/>
        </w:r>
      </w:hyperlink>
    </w:p>
    <w:p w:rsidR="00F135D0" w:rsidRDefault="006B3E26" w14:paraId="0AE3C359" w14:textId="103A305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4">
        <w:r w:rsidRPr="008313B4" w:rsidR="00F135D0">
          <w:rPr>
            <w:rStyle w:val="Hyperlink"/>
            <w:noProof/>
          </w:rPr>
          <w:t>Insulin (Actrapid – for hyperglycaemia)</w:t>
        </w:r>
        <w:r w:rsidR="00F135D0">
          <w:rPr>
            <w:noProof/>
            <w:webHidden/>
          </w:rPr>
          <w:tab/>
        </w:r>
        <w:r w:rsidR="00F135D0">
          <w:rPr>
            <w:noProof/>
            <w:webHidden/>
          </w:rPr>
          <w:fldChar w:fldCharType="begin"/>
        </w:r>
        <w:r w:rsidR="00F135D0">
          <w:rPr>
            <w:noProof/>
            <w:webHidden/>
          </w:rPr>
          <w:instrText xml:space="preserve"> PAGEREF _Toc75339994 \h </w:instrText>
        </w:r>
        <w:r w:rsidR="00F135D0">
          <w:rPr>
            <w:noProof/>
            <w:webHidden/>
          </w:rPr>
        </w:r>
        <w:r w:rsidR="00F135D0">
          <w:rPr>
            <w:noProof/>
            <w:webHidden/>
          </w:rPr>
          <w:fldChar w:fldCharType="separate"/>
        </w:r>
        <w:r>
          <w:rPr>
            <w:noProof/>
            <w:webHidden/>
          </w:rPr>
          <w:t>261</w:t>
        </w:r>
        <w:r w:rsidR="00F135D0">
          <w:rPr>
            <w:noProof/>
            <w:webHidden/>
          </w:rPr>
          <w:fldChar w:fldCharType="end"/>
        </w:r>
      </w:hyperlink>
    </w:p>
    <w:p w:rsidR="00F135D0" w:rsidRDefault="006B3E26" w14:paraId="5EC9DEDC" w14:textId="796F4A8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5">
        <w:r w:rsidRPr="008313B4" w:rsidR="00F135D0">
          <w:rPr>
            <w:rStyle w:val="Hyperlink"/>
            <w:noProof/>
          </w:rPr>
          <w:t>Insulin (Actrapid – for hyperkalemia)</w:t>
        </w:r>
        <w:r w:rsidR="00F135D0">
          <w:rPr>
            <w:noProof/>
            <w:webHidden/>
          </w:rPr>
          <w:tab/>
        </w:r>
        <w:r w:rsidR="00F135D0">
          <w:rPr>
            <w:noProof/>
            <w:webHidden/>
          </w:rPr>
          <w:fldChar w:fldCharType="begin"/>
        </w:r>
        <w:r w:rsidR="00F135D0">
          <w:rPr>
            <w:noProof/>
            <w:webHidden/>
          </w:rPr>
          <w:instrText xml:space="preserve"> PAGEREF _Toc75339995 \h </w:instrText>
        </w:r>
        <w:r w:rsidR="00F135D0">
          <w:rPr>
            <w:noProof/>
            <w:webHidden/>
          </w:rPr>
        </w:r>
        <w:r w:rsidR="00F135D0">
          <w:rPr>
            <w:noProof/>
            <w:webHidden/>
          </w:rPr>
          <w:fldChar w:fldCharType="separate"/>
        </w:r>
        <w:r>
          <w:rPr>
            <w:noProof/>
            <w:webHidden/>
          </w:rPr>
          <w:t>265</w:t>
        </w:r>
        <w:r w:rsidR="00F135D0">
          <w:rPr>
            <w:noProof/>
            <w:webHidden/>
          </w:rPr>
          <w:fldChar w:fldCharType="end"/>
        </w:r>
      </w:hyperlink>
    </w:p>
    <w:p w:rsidR="00F135D0" w:rsidRDefault="006B3E26" w14:paraId="01777A3D" w14:textId="4D0B79E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6">
        <w:r w:rsidRPr="008313B4" w:rsidR="00F135D0">
          <w:rPr>
            <w:rStyle w:val="Hyperlink"/>
            <w:noProof/>
          </w:rPr>
          <w:t>Isoprenaline</w:t>
        </w:r>
        <w:r w:rsidR="00F135D0">
          <w:rPr>
            <w:noProof/>
            <w:webHidden/>
          </w:rPr>
          <w:tab/>
        </w:r>
        <w:r w:rsidR="00F135D0">
          <w:rPr>
            <w:noProof/>
            <w:webHidden/>
          </w:rPr>
          <w:fldChar w:fldCharType="begin"/>
        </w:r>
        <w:r w:rsidR="00F135D0">
          <w:rPr>
            <w:noProof/>
            <w:webHidden/>
          </w:rPr>
          <w:instrText xml:space="preserve"> PAGEREF _Toc75339996 \h </w:instrText>
        </w:r>
        <w:r w:rsidR="00F135D0">
          <w:rPr>
            <w:noProof/>
            <w:webHidden/>
          </w:rPr>
        </w:r>
        <w:r w:rsidR="00F135D0">
          <w:rPr>
            <w:noProof/>
            <w:webHidden/>
          </w:rPr>
          <w:fldChar w:fldCharType="separate"/>
        </w:r>
        <w:r>
          <w:rPr>
            <w:noProof/>
            <w:webHidden/>
          </w:rPr>
          <w:t>270</w:t>
        </w:r>
        <w:r w:rsidR="00F135D0">
          <w:rPr>
            <w:noProof/>
            <w:webHidden/>
          </w:rPr>
          <w:fldChar w:fldCharType="end"/>
        </w:r>
      </w:hyperlink>
    </w:p>
    <w:p w:rsidR="00F135D0" w:rsidRDefault="006B3E26" w14:paraId="5F99213E" w14:textId="3CE2F07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7">
        <w:r w:rsidRPr="008313B4" w:rsidR="00F135D0">
          <w:rPr>
            <w:rStyle w:val="Hyperlink"/>
            <w:noProof/>
          </w:rPr>
          <w:t>Isovue</w:t>
        </w:r>
        <w:r w:rsidR="00F135D0">
          <w:rPr>
            <w:noProof/>
            <w:webHidden/>
          </w:rPr>
          <w:tab/>
        </w:r>
        <w:r w:rsidR="00F135D0">
          <w:rPr>
            <w:noProof/>
            <w:webHidden/>
          </w:rPr>
          <w:fldChar w:fldCharType="begin"/>
        </w:r>
        <w:r w:rsidR="00F135D0">
          <w:rPr>
            <w:noProof/>
            <w:webHidden/>
          </w:rPr>
          <w:instrText xml:space="preserve"> PAGEREF _Toc75339997 \h </w:instrText>
        </w:r>
        <w:r w:rsidR="00F135D0">
          <w:rPr>
            <w:noProof/>
            <w:webHidden/>
          </w:rPr>
        </w:r>
        <w:r w:rsidR="00F135D0">
          <w:rPr>
            <w:noProof/>
            <w:webHidden/>
          </w:rPr>
          <w:fldChar w:fldCharType="separate"/>
        </w:r>
        <w:r>
          <w:rPr>
            <w:noProof/>
            <w:webHidden/>
          </w:rPr>
          <w:t>273</w:t>
        </w:r>
        <w:r w:rsidR="00F135D0">
          <w:rPr>
            <w:noProof/>
            <w:webHidden/>
          </w:rPr>
          <w:fldChar w:fldCharType="end"/>
        </w:r>
      </w:hyperlink>
    </w:p>
    <w:p w:rsidR="00F135D0" w:rsidRDefault="006B3E26" w14:paraId="109D3260" w14:textId="3448109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8">
        <w:r w:rsidRPr="008313B4" w:rsidR="00F135D0">
          <w:rPr>
            <w:rStyle w:val="Hyperlink"/>
            <w:noProof/>
          </w:rPr>
          <w:t>Labetalol</w:t>
        </w:r>
        <w:r w:rsidR="00F135D0">
          <w:rPr>
            <w:noProof/>
            <w:webHidden/>
          </w:rPr>
          <w:tab/>
        </w:r>
        <w:r w:rsidR="00F135D0">
          <w:rPr>
            <w:noProof/>
            <w:webHidden/>
          </w:rPr>
          <w:fldChar w:fldCharType="begin"/>
        </w:r>
        <w:r w:rsidR="00F135D0">
          <w:rPr>
            <w:noProof/>
            <w:webHidden/>
          </w:rPr>
          <w:instrText xml:space="preserve"> PAGEREF _Toc75339998 \h </w:instrText>
        </w:r>
        <w:r w:rsidR="00F135D0">
          <w:rPr>
            <w:noProof/>
            <w:webHidden/>
          </w:rPr>
        </w:r>
        <w:r w:rsidR="00F135D0">
          <w:rPr>
            <w:noProof/>
            <w:webHidden/>
          </w:rPr>
          <w:fldChar w:fldCharType="separate"/>
        </w:r>
        <w:r>
          <w:rPr>
            <w:noProof/>
            <w:webHidden/>
          </w:rPr>
          <w:t>275</w:t>
        </w:r>
        <w:r w:rsidR="00F135D0">
          <w:rPr>
            <w:noProof/>
            <w:webHidden/>
          </w:rPr>
          <w:fldChar w:fldCharType="end"/>
        </w:r>
      </w:hyperlink>
    </w:p>
    <w:p w:rsidR="00F135D0" w:rsidRDefault="006B3E26" w14:paraId="79A24C90" w14:textId="53585F5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39999">
        <w:r w:rsidRPr="008313B4" w:rsidR="00F135D0">
          <w:rPr>
            <w:rStyle w:val="Hyperlink"/>
            <w:noProof/>
          </w:rPr>
          <w:t>Levetiracetam (Keppra)</w:t>
        </w:r>
        <w:r w:rsidR="00F135D0">
          <w:rPr>
            <w:noProof/>
            <w:webHidden/>
          </w:rPr>
          <w:tab/>
        </w:r>
        <w:r w:rsidR="00F135D0">
          <w:rPr>
            <w:noProof/>
            <w:webHidden/>
          </w:rPr>
          <w:fldChar w:fldCharType="begin"/>
        </w:r>
        <w:r w:rsidR="00F135D0">
          <w:rPr>
            <w:noProof/>
            <w:webHidden/>
          </w:rPr>
          <w:instrText xml:space="preserve"> PAGEREF _Toc75339999 \h </w:instrText>
        </w:r>
        <w:r w:rsidR="00F135D0">
          <w:rPr>
            <w:noProof/>
            <w:webHidden/>
          </w:rPr>
        </w:r>
        <w:r w:rsidR="00F135D0">
          <w:rPr>
            <w:noProof/>
            <w:webHidden/>
          </w:rPr>
          <w:fldChar w:fldCharType="separate"/>
        </w:r>
        <w:r>
          <w:rPr>
            <w:noProof/>
            <w:webHidden/>
          </w:rPr>
          <w:t>278</w:t>
        </w:r>
        <w:r w:rsidR="00F135D0">
          <w:rPr>
            <w:noProof/>
            <w:webHidden/>
          </w:rPr>
          <w:fldChar w:fldCharType="end"/>
        </w:r>
      </w:hyperlink>
    </w:p>
    <w:p w:rsidR="00F135D0" w:rsidRDefault="006B3E26" w14:paraId="62601949" w14:textId="1BE16EA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0">
        <w:r w:rsidRPr="008313B4" w:rsidR="00F135D0">
          <w:rPr>
            <w:rStyle w:val="Hyperlink"/>
            <w:noProof/>
          </w:rPr>
          <w:t>Lignocaine for seizures</w:t>
        </w:r>
        <w:r w:rsidR="00F135D0">
          <w:rPr>
            <w:noProof/>
            <w:webHidden/>
          </w:rPr>
          <w:tab/>
        </w:r>
        <w:r w:rsidR="00F135D0">
          <w:rPr>
            <w:noProof/>
            <w:webHidden/>
          </w:rPr>
          <w:fldChar w:fldCharType="begin"/>
        </w:r>
        <w:r w:rsidR="00F135D0">
          <w:rPr>
            <w:noProof/>
            <w:webHidden/>
          </w:rPr>
          <w:instrText xml:space="preserve"> PAGEREF _Toc75340000 \h </w:instrText>
        </w:r>
        <w:r w:rsidR="00F135D0">
          <w:rPr>
            <w:noProof/>
            <w:webHidden/>
          </w:rPr>
        </w:r>
        <w:r w:rsidR="00F135D0">
          <w:rPr>
            <w:noProof/>
            <w:webHidden/>
          </w:rPr>
          <w:fldChar w:fldCharType="separate"/>
        </w:r>
        <w:r>
          <w:rPr>
            <w:noProof/>
            <w:webHidden/>
          </w:rPr>
          <w:t>281</w:t>
        </w:r>
        <w:r w:rsidR="00F135D0">
          <w:rPr>
            <w:noProof/>
            <w:webHidden/>
          </w:rPr>
          <w:fldChar w:fldCharType="end"/>
        </w:r>
      </w:hyperlink>
    </w:p>
    <w:p w:rsidR="00F135D0" w:rsidRDefault="006B3E26" w14:paraId="1BB6F1CB" w14:textId="5E89EFE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1">
        <w:r w:rsidRPr="008313B4" w:rsidR="00F135D0">
          <w:rPr>
            <w:rStyle w:val="Hyperlink"/>
            <w:noProof/>
          </w:rPr>
          <w:t>Lignocaine for local anaesthetic, cardiac arrhythmia</w:t>
        </w:r>
        <w:r w:rsidR="00F135D0">
          <w:rPr>
            <w:noProof/>
            <w:webHidden/>
          </w:rPr>
          <w:tab/>
        </w:r>
        <w:r w:rsidR="00F135D0">
          <w:rPr>
            <w:noProof/>
            <w:webHidden/>
          </w:rPr>
          <w:fldChar w:fldCharType="begin"/>
        </w:r>
        <w:r w:rsidR="00F135D0">
          <w:rPr>
            <w:noProof/>
            <w:webHidden/>
          </w:rPr>
          <w:instrText xml:space="preserve"> PAGEREF _Toc75340001 \h </w:instrText>
        </w:r>
        <w:r w:rsidR="00F135D0">
          <w:rPr>
            <w:noProof/>
            <w:webHidden/>
          </w:rPr>
        </w:r>
        <w:r w:rsidR="00F135D0">
          <w:rPr>
            <w:noProof/>
            <w:webHidden/>
          </w:rPr>
          <w:fldChar w:fldCharType="separate"/>
        </w:r>
        <w:r>
          <w:rPr>
            <w:noProof/>
            <w:webHidden/>
          </w:rPr>
          <w:t>283</w:t>
        </w:r>
        <w:r w:rsidR="00F135D0">
          <w:rPr>
            <w:noProof/>
            <w:webHidden/>
          </w:rPr>
          <w:fldChar w:fldCharType="end"/>
        </w:r>
      </w:hyperlink>
    </w:p>
    <w:p w:rsidR="00F135D0" w:rsidRDefault="006B3E26" w14:paraId="5466BE47" w14:textId="5B1F2FD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2">
        <w:r w:rsidRPr="008313B4" w:rsidR="00F135D0">
          <w:rPr>
            <w:rStyle w:val="Hyperlink"/>
            <w:noProof/>
          </w:rPr>
          <w:t>Magnesium</w:t>
        </w:r>
        <w:r w:rsidR="00F135D0">
          <w:rPr>
            <w:noProof/>
            <w:webHidden/>
          </w:rPr>
          <w:tab/>
        </w:r>
        <w:r w:rsidR="00F135D0">
          <w:rPr>
            <w:noProof/>
            <w:webHidden/>
          </w:rPr>
          <w:fldChar w:fldCharType="begin"/>
        </w:r>
        <w:r w:rsidR="00F135D0">
          <w:rPr>
            <w:noProof/>
            <w:webHidden/>
          </w:rPr>
          <w:instrText xml:space="preserve"> PAGEREF _Toc75340002 \h </w:instrText>
        </w:r>
        <w:r w:rsidR="00F135D0">
          <w:rPr>
            <w:noProof/>
            <w:webHidden/>
          </w:rPr>
        </w:r>
        <w:r w:rsidR="00F135D0">
          <w:rPr>
            <w:noProof/>
            <w:webHidden/>
          </w:rPr>
          <w:fldChar w:fldCharType="separate"/>
        </w:r>
        <w:r>
          <w:rPr>
            <w:noProof/>
            <w:webHidden/>
          </w:rPr>
          <w:t>285</w:t>
        </w:r>
        <w:r w:rsidR="00F135D0">
          <w:rPr>
            <w:noProof/>
            <w:webHidden/>
          </w:rPr>
          <w:fldChar w:fldCharType="end"/>
        </w:r>
      </w:hyperlink>
    </w:p>
    <w:p w:rsidR="00F135D0" w:rsidRDefault="006B3E26" w14:paraId="049E9937" w14:textId="58DDDE4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3">
        <w:r w:rsidRPr="008313B4" w:rsidR="00F135D0">
          <w:rPr>
            <w:rStyle w:val="Hyperlink"/>
            <w:noProof/>
          </w:rPr>
          <w:t>Meropenem</w:t>
        </w:r>
        <w:r w:rsidR="00F135D0">
          <w:rPr>
            <w:noProof/>
            <w:webHidden/>
          </w:rPr>
          <w:tab/>
        </w:r>
        <w:r w:rsidR="00F135D0">
          <w:rPr>
            <w:noProof/>
            <w:webHidden/>
          </w:rPr>
          <w:fldChar w:fldCharType="begin"/>
        </w:r>
        <w:r w:rsidR="00F135D0">
          <w:rPr>
            <w:noProof/>
            <w:webHidden/>
          </w:rPr>
          <w:instrText xml:space="preserve"> PAGEREF _Toc75340003 \h </w:instrText>
        </w:r>
        <w:r w:rsidR="00F135D0">
          <w:rPr>
            <w:noProof/>
            <w:webHidden/>
          </w:rPr>
        </w:r>
        <w:r w:rsidR="00F135D0">
          <w:rPr>
            <w:noProof/>
            <w:webHidden/>
          </w:rPr>
          <w:fldChar w:fldCharType="separate"/>
        </w:r>
        <w:r>
          <w:rPr>
            <w:noProof/>
            <w:webHidden/>
          </w:rPr>
          <w:t>290</w:t>
        </w:r>
        <w:r w:rsidR="00F135D0">
          <w:rPr>
            <w:noProof/>
            <w:webHidden/>
          </w:rPr>
          <w:fldChar w:fldCharType="end"/>
        </w:r>
      </w:hyperlink>
    </w:p>
    <w:p w:rsidR="00F135D0" w:rsidRDefault="006B3E26" w14:paraId="53688A47" w14:textId="4C1A96F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4">
        <w:r w:rsidRPr="008313B4" w:rsidR="00F135D0">
          <w:rPr>
            <w:rStyle w:val="Hyperlink"/>
            <w:noProof/>
          </w:rPr>
          <w:t>Metoclopramide</w:t>
        </w:r>
        <w:r w:rsidR="00F135D0">
          <w:rPr>
            <w:noProof/>
            <w:webHidden/>
          </w:rPr>
          <w:tab/>
        </w:r>
        <w:r w:rsidR="00F135D0">
          <w:rPr>
            <w:noProof/>
            <w:webHidden/>
          </w:rPr>
          <w:fldChar w:fldCharType="begin"/>
        </w:r>
        <w:r w:rsidR="00F135D0">
          <w:rPr>
            <w:noProof/>
            <w:webHidden/>
          </w:rPr>
          <w:instrText xml:space="preserve"> PAGEREF _Toc75340004 \h </w:instrText>
        </w:r>
        <w:r w:rsidR="00F135D0">
          <w:rPr>
            <w:noProof/>
            <w:webHidden/>
          </w:rPr>
        </w:r>
        <w:r w:rsidR="00F135D0">
          <w:rPr>
            <w:noProof/>
            <w:webHidden/>
          </w:rPr>
          <w:fldChar w:fldCharType="separate"/>
        </w:r>
        <w:r>
          <w:rPr>
            <w:noProof/>
            <w:webHidden/>
          </w:rPr>
          <w:t>293</w:t>
        </w:r>
        <w:r w:rsidR="00F135D0">
          <w:rPr>
            <w:noProof/>
            <w:webHidden/>
          </w:rPr>
          <w:fldChar w:fldCharType="end"/>
        </w:r>
      </w:hyperlink>
    </w:p>
    <w:p w:rsidR="00F135D0" w:rsidRDefault="006B3E26" w14:paraId="6C8DA194" w14:textId="75CA658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5">
        <w:r w:rsidRPr="008313B4" w:rsidR="00F135D0">
          <w:rPr>
            <w:rStyle w:val="Hyperlink"/>
            <w:noProof/>
          </w:rPr>
          <w:t>Metronidazole</w:t>
        </w:r>
        <w:r w:rsidR="00F135D0">
          <w:rPr>
            <w:noProof/>
            <w:webHidden/>
          </w:rPr>
          <w:tab/>
        </w:r>
        <w:r w:rsidR="00F135D0">
          <w:rPr>
            <w:noProof/>
            <w:webHidden/>
          </w:rPr>
          <w:fldChar w:fldCharType="begin"/>
        </w:r>
        <w:r w:rsidR="00F135D0">
          <w:rPr>
            <w:noProof/>
            <w:webHidden/>
          </w:rPr>
          <w:instrText xml:space="preserve"> PAGEREF _Toc75340005 \h </w:instrText>
        </w:r>
        <w:r w:rsidR="00F135D0">
          <w:rPr>
            <w:noProof/>
            <w:webHidden/>
          </w:rPr>
        </w:r>
        <w:r w:rsidR="00F135D0">
          <w:rPr>
            <w:noProof/>
            <w:webHidden/>
          </w:rPr>
          <w:fldChar w:fldCharType="separate"/>
        </w:r>
        <w:r>
          <w:rPr>
            <w:noProof/>
            <w:webHidden/>
          </w:rPr>
          <w:t>295</w:t>
        </w:r>
        <w:r w:rsidR="00F135D0">
          <w:rPr>
            <w:noProof/>
            <w:webHidden/>
          </w:rPr>
          <w:fldChar w:fldCharType="end"/>
        </w:r>
      </w:hyperlink>
    </w:p>
    <w:p w:rsidR="00F135D0" w:rsidRDefault="006B3E26" w14:paraId="107C982A" w14:textId="1F688CA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6">
        <w:r w:rsidRPr="008313B4" w:rsidR="00F135D0">
          <w:rPr>
            <w:rStyle w:val="Hyperlink"/>
            <w:noProof/>
          </w:rPr>
          <w:t>Miconazole</w:t>
        </w:r>
        <w:r w:rsidR="00F135D0">
          <w:rPr>
            <w:noProof/>
            <w:webHidden/>
          </w:rPr>
          <w:tab/>
        </w:r>
        <w:r w:rsidR="00F135D0">
          <w:rPr>
            <w:noProof/>
            <w:webHidden/>
          </w:rPr>
          <w:fldChar w:fldCharType="begin"/>
        </w:r>
        <w:r w:rsidR="00F135D0">
          <w:rPr>
            <w:noProof/>
            <w:webHidden/>
          </w:rPr>
          <w:instrText xml:space="preserve"> PAGEREF _Toc75340006 \h </w:instrText>
        </w:r>
        <w:r w:rsidR="00F135D0">
          <w:rPr>
            <w:noProof/>
            <w:webHidden/>
          </w:rPr>
        </w:r>
        <w:r w:rsidR="00F135D0">
          <w:rPr>
            <w:noProof/>
            <w:webHidden/>
          </w:rPr>
          <w:fldChar w:fldCharType="separate"/>
        </w:r>
        <w:r>
          <w:rPr>
            <w:noProof/>
            <w:webHidden/>
          </w:rPr>
          <w:t>297</w:t>
        </w:r>
        <w:r w:rsidR="00F135D0">
          <w:rPr>
            <w:noProof/>
            <w:webHidden/>
          </w:rPr>
          <w:fldChar w:fldCharType="end"/>
        </w:r>
      </w:hyperlink>
    </w:p>
    <w:p w:rsidR="00F135D0" w:rsidRDefault="006B3E26" w14:paraId="16E63E3B" w14:textId="0A1DD87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7">
        <w:r w:rsidRPr="008313B4" w:rsidR="00F135D0">
          <w:rPr>
            <w:rStyle w:val="Hyperlink"/>
            <w:noProof/>
          </w:rPr>
          <w:t>Midazolam</w:t>
        </w:r>
        <w:r w:rsidR="00F135D0">
          <w:rPr>
            <w:noProof/>
            <w:webHidden/>
          </w:rPr>
          <w:tab/>
        </w:r>
        <w:r w:rsidR="00F135D0">
          <w:rPr>
            <w:noProof/>
            <w:webHidden/>
          </w:rPr>
          <w:fldChar w:fldCharType="begin"/>
        </w:r>
        <w:r w:rsidR="00F135D0">
          <w:rPr>
            <w:noProof/>
            <w:webHidden/>
          </w:rPr>
          <w:instrText xml:space="preserve"> PAGEREF _Toc75340007 \h </w:instrText>
        </w:r>
        <w:r w:rsidR="00F135D0">
          <w:rPr>
            <w:noProof/>
            <w:webHidden/>
          </w:rPr>
        </w:r>
        <w:r w:rsidR="00F135D0">
          <w:rPr>
            <w:noProof/>
            <w:webHidden/>
          </w:rPr>
          <w:fldChar w:fldCharType="separate"/>
        </w:r>
        <w:r>
          <w:rPr>
            <w:noProof/>
            <w:webHidden/>
          </w:rPr>
          <w:t>299</w:t>
        </w:r>
        <w:r w:rsidR="00F135D0">
          <w:rPr>
            <w:noProof/>
            <w:webHidden/>
          </w:rPr>
          <w:fldChar w:fldCharType="end"/>
        </w:r>
      </w:hyperlink>
    </w:p>
    <w:p w:rsidR="00F135D0" w:rsidRDefault="006B3E26" w14:paraId="19EE0F0A" w14:textId="478F6C2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8">
        <w:r w:rsidRPr="008313B4" w:rsidR="00F135D0">
          <w:rPr>
            <w:rStyle w:val="Hyperlink"/>
            <w:noProof/>
          </w:rPr>
          <w:t>Milrinone</w:t>
        </w:r>
        <w:r w:rsidR="00F135D0">
          <w:rPr>
            <w:noProof/>
            <w:webHidden/>
          </w:rPr>
          <w:tab/>
        </w:r>
        <w:r w:rsidR="00F135D0">
          <w:rPr>
            <w:noProof/>
            <w:webHidden/>
          </w:rPr>
          <w:fldChar w:fldCharType="begin"/>
        </w:r>
        <w:r w:rsidR="00F135D0">
          <w:rPr>
            <w:noProof/>
            <w:webHidden/>
          </w:rPr>
          <w:instrText xml:space="preserve"> PAGEREF _Toc75340008 \h </w:instrText>
        </w:r>
        <w:r w:rsidR="00F135D0">
          <w:rPr>
            <w:noProof/>
            <w:webHidden/>
          </w:rPr>
        </w:r>
        <w:r w:rsidR="00F135D0">
          <w:rPr>
            <w:noProof/>
            <w:webHidden/>
          </w:rPr>
          <w:fldChar w:fldCharType="separate"/>
        </w:r>
        <w:r>
          <w:rPr>
            <w:noProof/>
            <w:webHidden/>
          </w:rPr>
          <w:t>303</w:t>
        </w:r>
        <w:r w:rsidR="00F135D0">
          <w:rPr>
            <w:noProof/>
            <w:webHidden/>
          </w:rPr>
          <w:fldChar w:fldCharType="end"/>
        </w:r>
      </w:hyperlink>
    </w:p>
    <w:p w:rsidR="00F135D0" w:rsidRDefault="006B3E26" w14:paraId="5CC3AF8C" w14:textId="4CB6E9B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09">
        <w:r w:rsidRPr="008313B4" w:rsidR="00F135D0">
          <w:rPr>
            <w:rStyle w:val="Hyperlink"/>
            <w:noProof/>
          </w:rPr>
          <w:t>Morphine IV</w:t>
        </w:r>
        <w:r w:rsidR="00F135D0">
          <w:rPr>
            <w:noProof/>
            <w:webHidden/>
          </w:rPr>
          <w:tab/>
        </w:r>
        <w:r w:rsidR="00F135D0">
          <w:rPr>
            <w:noProof/>
            <w:webHidden/>
          </w:rPr>
          <w:fldChar w:fldCharType="begin"/>
        </w:r>
        <w:r w:rsidR="00F135D0">
          <w:rPr>
            <w:noProof/>
            <w:webHidden/>
          </w:rPr>
          <w:instrText xml:space="preserve"> PAGEREF _Toc75340009 \h </w:instrText>
        </w:r>
        <w:r w:rsidR="00F135D0">
          <w:rPr>
            <w:noProof/>
            <w:webHidden/>
          </w:rPr>
        </w:r>
        <w:r w:rsidR="00F135D0">
          <w:rPr>
            <w:noProof/>
            <w:webHidden/>
          </w:rPr>
          <w:fldChar w:fldCharType="separate"/>
        </w:r>
        <w:r>
          <w:rPr>
            <w:noProof/>
            <w:webHidden/>
          </w:rPr>
          <w:t>307</w:t>
        </w:r>
        <w:r w:rsidR="00F135D0">
          <w:rPr>
            <w:noProof/>
            <w:webHidden/>
          </w:rPr>
          <w:fldChar w:fldCharType="end"/>
        </w:r>
      </w:hyperlink>
    </w:p>
    <w:p w:rsidR="00F135D0" w:rsidRDefault="006B3E26" w14:paraId="5A32818C" w14:textId="0D4705A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0">
        <w:r w:rsidRPr="008313B4" w:rsidR="00F135D0">
          <w:rPr>
            <w:rStyle w:val="Hyperlink"/>
            <w:noProof/>
          </w:rPr>
          <w:t>Morphine Oral</w:t>
        </w:r>
        <w:r w:rsidR="00F135D0">
          <w:rPr>
            <w:noProof/>
            <w:webHidden/>
          </w:rPr>
          <w:tab/>
        </w:r>
        <w:r w:rsidR="00F135D0">
          <w:rPr>
            <w:noProof/>
            <w:webHidden/>
          </w:rPr>
          <w:fldChar w:fldCharType="begin"/>
        </w:r>
        <w:r w:rsidR="00F135D0">
          <w:rPr>
            <w:noProof/>
            <w:webHidden/>
          </w:rPr>
          <w:instrText xml:space="preserve"> PAGEREF _Toc75340010 \h </w:instrText>
        </w:r>
        <w:r w:rsidR="00F135D0">
          <w:rPr>
            <w:noProof/>
            <w:webHidden/>
          </w:rPr>
        </w:r>
        <w:r w:rsidR="00F135D0">
          <w:rPr>
            <w:noProof/>
            <w:webHidden/>
          </w:rPr>
          <w:fldChar w:fldCharType="separate"/>
        </w:r>
        <w:r>
          <w:rPr>
            <w:noProof/>
            <w:webHidden/>
          </w:rPr>
          <w:t>313</w:t>
        </w:r>
        <w:r w:rsidR="00F135D0">
          <w:rPr>
            <w:noProof/>
            <w:webHidden/>
          </w:rPr>
          <w:fldChar w:fldCharType="end"/>
        </w:r>
      </w:hyperlink>
    </w:p>
    <w:p w:rsidR="00F135D0" w:rsidRDefault="006B3E26" w14:paraId="5EA0C315" w14:textId="109BF97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1">
        <w:r w:rsidRPr="008313B4" w:rsidR="00F135D0">
          <w:rPr>
            <w:rStyle w:val="Hyperlink"/>
            <w:noProof/>
          </w:rPr>
          <w:t>Naloxone</w:t>
        </w:r>
        <w:r w:rsidR="00F135D0">
          <w:rPr>
            <w:noProof/>
            <w:webHidden/>
          </w:rPr>
          <w:tab/>
        </w:r>
        <w:r w:rsidR="00F135D0">
          <w:rPr>
            <w:noProof/>
            <w:webHidden/>
          </w:rPr>
          <w:fldChar w:fldCharType="begin"/>
        </w:r>
        <w:r w:rsidR="00F135D0">
          <w:rPr>
            <w:noProof/>
            <w:webHidden/>
          </w:rPr>
          <w:instrText xml:space="preserve"> PAGEREF _Toc75340011 \h </w:instrText>
        </w:r>
        <w:r w:rsidR="00F135D0">
          <w:rPr>
            <w:noProof/>
            <w:webHidden/>
          </w:rPr>
        </w:r>
        <w:r w:rsidR="00F135D0">
          <w:rPr>
            <w:noProof/>
            <w:webHidden/>
          </w:rPr>
          <w:fldChar w:fldCharType="separate"/>
        </w:r>
        <w:r>
          <w:rPr>
            <w:noProof/>
            <w:webHidden/>
          </w:rPr>
          <w:t>317</w:t>
        </w:r>
        <w:r w:rsidR="00F135D0">
          <w:rPr>
            <w:noProof/>
            <w:webHidden/>
          </w:rPr>
          <w:fldChar w:fldCharType="end"/>
        </w:r>
      </w:hyperlink>
    </w:p>
    <w:p w:rsidR="00F135D0" w:rsidRDefault="006B3E26" w14:paraId="5868D3B2" w14:textId="10F2B47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2">
        <w:r w:rsidRPr="008313B4" w:rsidR="00F135D0">
          <w:rPr>
            <w:rStyle w:val="Hyperlink"/>
            <w:noProof/>
          </w:rPr>
          <w:t>Neostigmine</w:t>
        </w:r>
        <w:r w:rsidR="00F135D0">
          <w:rPr>
            <w:noProof/>
            <w:webHidden/>
          </w:rPr>
          <w:tab/>
        </w:r>
        <w:r w:rsidR="00F135D0">
          <w:rPr>
            <w:noProof/>
            <w:webHidden/>
          </w:rPr>
          <w:fldChar w:fldCharType="begin"/>
        </w:r>
        <w:r w:rsidR="00F135D0">
          <w:rPr>
            <w:noProof/>
            <w:webHidden/>
          </w:rPr>
          <w:instrText xml:space="preserve"> PAGEREF _Toc75340012 \h </w:instrText>
        </w:r>
        <w:r w:rsidR="00F135D0">
          <w:rPr>
            <w:noProof/>
            <w:webHidden/>
          </w:rPr>
        </w:r>
        <w:r w:rsidR="00F135D0">
          <w:rPr>
            <w:noProof/>
            <w:webHidden/>
          </w:rPr>
          <w:fldChar w:fldCharType="separate"/>
        </w:r>
        <w:r>
          <w:rPr>
            <w:noProof/>
            <w:webHidden/>
          </w:rPr>
          <w:t>321</w:t>
        </w:r>
        <w:r w:rsidR="00F135D0">
          <w:rPr>
            <w:noProof/>
            <w:webHidden/>
          </w:rPr>
          <w:fldChar w:fldCharType="end"/>
        </w:r>
      </w:hyperlink>
    </w:p>
    <w:p w:rsidR="00F135D0" w:rsidRDefault="006B3E26" w14:paraId="488E300D" w14:textId="5DD1A4B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3">
        <w:r w:rsidRPr="008313B4" w:rsidR="00F135D0">
          <w:rPr>
            <w:rStyle w:val="Hyperlink"/>
            <w:noProof/>
          </w:rPr>
          <w:t>Noradrenaline</w:t>
        </w:r>
        <w:r w:rsidR="00F135D0">
          <w:rPr>
            <w:noProof/>
            <w:webHidden/>
          </w:rPr>
          <w:tab/>
        </w:r>
        <w:r w:rsidR="00F135D0">
          <w:rPr>
            <w:noProof/>
            <w:webHidden/>
          </w:rPr>
          <w:fldChar w:fldCharType="begin"/>
        </w:r>
        <w:r w:rsidR="00F135D0">
          <w:rPr>
            <w:noProof/>
            <w:webHidden/>
          </w:rPr>
          <w:instrText xml:space="preserve"> PAGEREF _Toc75340013 \h </w:instrText>
        </w:r>
        <w:r w:rsidR="00F135D0">
          <w:rPr>
            <w:noProof/>
            <w:webHidden/>
          </w:rPr>
        </w:r>
        <w:r w:rsidR="00F135D0">
          <w:rPr>
            <w:noProof/>
            <w:webHidden/>
          </w:rPr>
          <w:fldChar w:fldCharType="separate"/>
        </w:r>
        <w:r>
          <w:rPr>
            <w:noProof/>
            <w:webHidden/>
          </w:rPr>
          <w:t>323</w:t>
        </w:r>
        <w:r w:rsidR="00F135D0">
          <w:rPr>
            <w:noProof/>
            <w:webHidden/>
          </w:rPr>
          <w:fldChar w:fldCharType="end"/>
        </w:r>
      </w:hyperlink>
    </w:p>
    <w:p w:rsidR="00F135D0" w:rsidRDefault="006B3E26" w14:paraId="11D63B24" w14:textId="4A57E46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4">
        <w:r w:rsidRPr="008313B4" w:rsidR="00F135D0">
          <w:rPr>
            <w:rStyle w:val="Hyperlink"/>
            <w:noProof/>
          </w:rPr>
          <w:t>Nystatin</w:t>
        </w:r>
        <w:r w:rsidR="00F135D0">
          <w:rPr>
            <w:noProof/>
            <w:webHidden/>
          </w:rPr>
          <w:tab/>
        </w:r>
        <w:r w:rsidR="00F135D0">
          <w:rPr>
            <w:noProof/>
            <w:webHidden/>
          </w:rPr>
          <w:fldChar w:fldCharType="begin"/>
        </w:r>
        <w:r w:rsidR="00F135D0">
          <w:rPr>
            <w:noProof/>
            <w:webHidden/>
          </w:rPr>
          <w:instrText xml:space="preserve"> PAGEREF _Toc75340014 \h </w:instrText>
        </w:r>
        <w:r w:rsidR="00F135D0">
          <w:rPr>
            <w:noProof/>
            <w:webHidden/>
          </w:rPr>
        </w:r>
        <w:r w:rsidR="00F135D0">
          <w:rPr>
            <w:noProof/>
            <w:webHidden/>
          </w:rPr>
          <w:fldChar w:fldCharType="separate"/>
        </w:r>
        <w:r>
          <w:rPr>
            <w:noProof/>
            <w:webHidden/>
          </w:rPr>
          <w:t>326</w:t>
        </w:r>
        <w:r w:rsidR="00F135D0">
          <w:rPr>
            <w:noProof/>
            <w:webHidden/>
          </w:rPr>
          <w:fldChar w:fldCharType="end"/>
        </w:r>
      </w:hyperlink>
    </w:p>
    <w:p w:rsidR="00F135D0" w:rsidRDefault="006B3E26" w14:paraId="62A79471" w14:textId="4C3E8A7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5">
        <w:r w:rsidRPr="008313B4" w:rsidR="00F135D0">
          <w:rPr>
            <w:rStyle w:val="Hyperlink"/>
            <w:noProof/>
          </w:rPr>
          <w:t>Octreotide</w:t>
        </w:r>
        <w:r w:rsidR="00F135D0">
          <w:rPr>
            <w:noProof/>
            <w:webHidden/>
          </w:rPr>
          <w:tab/>
        </w:r>
        <w:r w:rsidR="00F135D0">
          <w:rPr>
            <w:noProof/>
            <w:webHidden/>
          </w:rPr>
          <w:fldChar w:fldCharType="begin"/>
        </w:r>
        <w:r w:rsidR="00F135D0">
          <w:rPr>
            <w:noProof/>
            <w:webHidden/>
          </w:rPr>
          <w:instrText xml:space="preserve"> PAGEREF _Toc75340015 \h </w:instrText>
        </w:r>
        <w:r w:rsidR="00F135D0">
          <w:rPr>
            <w:noProof/>
            <w:webHidden/>
          </w:rPr>
        </w:r>
        <w:r w:rsidR="00F135D0">
          <w:rPr>
            <w:noProof/>
            <w:webHidden/>
          </w:rPr>
          <w:fldChar w:fldCharType="separate"/>
        </w:r>
        <w:r>
          <w:rPr>
            <w:noProof/>
            <w:webHidden/>
          </w:rPr>
          <w:t>328</w:t>
        </w:r>
        <w:r w:rsidR="00F135D0">
          <w:rPr>
            <w:noProof/>
            <w:webHidden/>
          </w:rPr>
          <w:fldChar w:fldCharType="end"/>
        </w:r>
      </w:hyperlink>
    </w:p>
    <w:p w:rsidR="00F135D0" w:rsidRDefault="006B3E26" w14:paraId="51F68E03" w14:textId="198F58E5">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6">
        <w:r w:rsidRPr="008313B4" w:rsidR="00F135D0">
          <w:rPr>
            <w:rStyle w:val="Hyperlink"/>
            <w:noProof/>
          </w:rPr>
          <w:t>Omeprazole</w:t>
        </w:r>
        <w:r w:rsidR="00F135D0">
          <w:rPr>
            <w:noProof/>
            <w:webHidden/>
          </w:rPr>
          <w:tab/>
        </w:r>
        <w:r w:rsidR="00F135D0">
          <w:rPr>
            <w:noProof/>
            <w:webHidden/>
          </w:rPr>
          <w:fldChar w:fldCharType="begin"/>
        </w:r>
        <w:r w:rsidR="00F135D0">
          <w:rPr>
            <w:noProof/>
            <w:webHidden/>
          </w:rPr>
          <w:instrText xml:space="preserve"> PAGEREF _Toc75340016 \h </w:instrText>
        </w:r>
        <w:r w:rsidR="00F135D0">
          <w:rPr>
            <w:noProof/>
            <w:webHidden/>
          </w:rPr>
        </w:r>
        <w:r w:rsidR="00F135D0">
          <w:rPr>
            <w:noProof/>
            <w:webHidden/>
          </w:rPr>
          <w:fldChar w:fldCharType="separate"/>
        </w:r>
        <w:r>
          <w:rPr>
            <w:noProof/>
            <w:webHidden/>
          </w:rPr>
          <w:t>331</w:t>
        </w:r>
        <w:r w:rsidR="00F135D0">
          <w:rPr>
            <w:noProof/>
            <w:webHidden/>
          </w:rPr>
          <w:fldChar w:fldCharType="end"/>
        </w:r>
      </w:hyperlink>
    </w:p>
    <w:p w:rsidR="00F135D0" w:rsidRDefault="006B3E26" w14:paraId="7AB2F68F" w14:textId="7B8BF18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7">
        <w:r w:rsidRPr="008313B4" w:rsidR="00F135D0">
          <w:rPr>
            <w:rStyle w:val="Hyperlink"/>
            <w:noProof/>
          </w:rPr>
          <w:t>Palivizumab</w:t>
        </w:r>
        <w:r w:rsidR="00F135D0">
          <w:rPr>
            <w:noProof/>
            <w:webHidden/>
          </w:rPr>
          <w:tab/>
        </w:r>
        <w:r w:rsidR="00F135D0">
          <w:rPr>
            <w:noProof/>
            <w:webHidden/>
          </w:rPr>
          <w:fldChar w:fldCharType="begin"/>
        </w:r>
        <w:r w:rsidR="00F135D0">
          <w:rPr>
            <w:noProof/>
            <w:webHidden/>
          </w:rPr>
          <w:instrText xml:space="preserve"> PAGEREF _Toc75340017 \h </w:instrText>
        </w:r>
        <w:r w:rsidR="00F135D0">
          <w:rPr>
            <w:noProof/>
            <w:webHidden/>
          </w:rPr>
        </w:r>
        <w:r w:rsidR="00F135D0">
          <w:rPr>
            <w:noProof/>
            <w:webHidden/>
          </w:rPr>
          <w:fldChar w:fldCharType="separate"/>
        </w:r>
        <w:r>
          <w:rPr>
            <w:noProof/>
            <w:webHidden/>
          </w:rPr>
          <w:t>335</w:t>
        </w:r>
        <w:r w:rsidR="00F135D0">
          <w:rPr>
            <w:noProof/>
            <w:webHidden/>
          </w:rPr>
          <w:fldChar w:fldCharType="end"/>
        </w:r>
      </w:hyperlink>
    </w:p>
    <w:p w:rsidR="00F135D0" w:rsidRDefault="006B3E26" w14:paraId="3EA9B440" w14:textId="3805152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8">
        <w:r w:rsidRPr="008313B4" w:rsidR="00F135D0">
          <w:rPr>
            <w:rStyle w:val="Hyperlink"/>
            <w:noProof/>
          </w:rPr>
          <w:t>Pancreatic Enzymes/Creon</w:t>
        </w:r>
        <w:r w:rsidR="00F135D0">
          <w:rPr>
            <w:noProof/>
            <w:webHidden/>
          </w:rPr>
          <w:tab/>
        </w:r>
        <w:r w:rsidR="00F135D0">
          <w:rPr>
            <w:noProof/>
            <w:webHidden/>
          </w:rPr>
          <w:fldChar w:fldCharType="begin"/>
        </w:r>
        <w:r w:rsidR="00F135D0">
          <w:rPr>
            <w:noProof/>
            <w:webHidden/>
          </w:rPr>
          <w:instrText xml:space="preserve"> PAGEREF _Toc75340018 \h </w:instrText>
        </w:r>
        <w:r w:rsidR="00F135D0">
          <w:rPr>
            <w:noProof/>
            <w:webHidden/>
          </w:rPr>
        </w:r>
        <w:r w:rsidR="00F135D0">
          <w:rPr>
            <w:noProof/>
            <w:webHidden/>
          </w:rPr>
          <w:fldChar w:fldCharType="separate"/>
        </w:r>
        <w:r>
          <w:rPr>
            <w:noProof/>
            <w:webHidden/>
          </w:rPr>
          <w:t>339</w:t>
        </w:r>
        <w:r w:rsidR="00F135D0">
          <w:rPr>
            <w:noProof/>
            <w:webHidden/>
          </w:rPr>
          <w:fldChar w:fldCharType="end"/>
        </w:r>
      </w:hyperlink>
    </w:p>
    <w:p w:rsidR="00F135D0" w:rsidRDefault="006B3E26" w14:paraId="0F74CF19" w14:textId="16D9054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19">
        <w:r w:rsidRPr="008313B4" w:rsidR="00F135D0">
          <w:rPr>
            <w:rStyle w:val="Hyperlink"/>
            <w:noProof/>
          </w:rPr>
          <w:t>Pancuronium</w:t>
        </w:r>
        <w:r w:rsidR="00F135D0">
          <w:rPr>
            <w:noProof/>
            <w:webHidden/>
          </w:rPr>
          <w:tab/>
        </w:r>
        <w:r w:rsidR="00F135D0">
          <w:rPr>
            <w:noProof/>
            <w:webHidden/>
          </w:rPr>
          <w:fldChar w:fldCharType="begin"/>
        </w:r>
        <w:r w:rsidR="00F135D0">
          <w:rPr>
            <w:noProof/>
            <w:webHidden/>
          </w:rPr>
          <w:instrText xml:space="preserve"> PAGEREF _Toc75340019 \h </w:instrText>
        </w:r>
        <w:r w:rsidR="00F135D0">
          <w:rPr>
            <w:noProof/>
            <w:webHidden/>
          </w:rPr>
        </w:r>
        <w:r w:rsidR="00F135D0">
          <w:rPr>
            <w:noProof/>
            <w:webHidden/>
          </w:rPr>
          <w:fldChar w:fldCharType="separate"/>
        </w:r>
        <w:r>
          <w:rPr>
            <w:noProof/>
            <w:webHidden/>
          </w:rPr>
          <w:t>340</w:t>
        </w:r>
        <w:r w:rsidR="00F135D0">
          <w:rPr>
            <w:noProof/>
            <w:webHidden/>
          </w:rPr>
          <w:fldChar w:fldCharType="end"/>
        </w:r>
      </w:hyperlink>
    </w:p>
    <w:p w:rsidR="00F135D0" w:rsidRDefault="006B3E26" w14:paraId="0F39AF60" w14:textId="1B1C785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0">
        <w:r w:rsidRPr="008313B4" w:rsidR="00F135D0">
          <w:rPr>
            <w:rStyle w:val="Hyperlink"/>
            <w:noProof/>
          </w:rPr>
          <w:t>Pantoprazole</w:t>
        </w:r>
        <w:r w:rsidR="00F135D0">
          <w:rPr>
            <w:noProof/>
            <w:webHidden/>
          </w:rPr>
          <w:tab/>
        </w:r>
        <w:r w:rsidR="00F135D0">
          <w:rPr>
            <w:noProof/>
            <w:webHidden/>
          </w:rPr>
          <w:fldChar w:fldCharType="begin"/>
        </w:r>
        <w:r w:rsidR="00F135D0">
          <w:rPr>
            <w:noProof/>
            <w:webHidden/>
          </w:rPr>
          <w:instrText xml:space="preserve"> PAGEREF _Toc75340020 \h </w:instrText>
        </w:r>
        <w:r w:rsidR="00F135D0">
          <w:rPr>
            <w:noProof/>
            <w:webHidden/>
          </w:rPr>
        </w:r>
        <w:r w:rsidR="00F135D0">
          <w:rPr>
            <w:noProof/>
            <w:webHidden/>
          </w:rPr>
          <w:fldChar w:fldCharType="separate"/>
        </w:r>
        <w:r>
          <w:rPr>
            <w:noProof/>
            <w:webHidden/>
          </w:rPr>
          <w:t>344</w:t>
        </w:r>
        <w:r w:rsidR="00F135D0">
          <w:rPr>
            <w:noProof/>
            <w:webHidden/>
          </w:rPr>
          <w:fldChar w:fldCharType="end"/>
        </w:r>
      </w:hyperlink>
    </w:p>
    <w:p w:rsidR="00F135D0" w:rsidRDefault="006B3E26" w14:paraId="3309BFAE" w14:textId="089323E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1">
        <w:r w:rsidRPr="008313B4" w:rsidR="00F135D0">
          <w:rPr>
            <w:rStyle w:val="Hyperlink"/>
            <w:noProof/>
          </w:rPr>
          <w:t>Paracetamol</w:t>
        </w:r>
        <w:r w:rsidR="00F135D0">
          <w:rPr>
            <w:noProof/>
            <w:webHidden/>
          </w:rPr>
          <w:tab/>
        </w:r>
        <w:r w:rsidR="00F135D0">
          <w:rPr>
            <w:noProof/>
            <w:webHidden/>
          </w:rPr>
          <w:fldChar w:fldCharType="begin"/>
        </w:r>
        <w:r w:rsidR="00F135D0">
          <w:rPr>
            <w:noProof/>
            <w:webHidden/>
          </w:rPr>
          <w:instrText xml:space="preserve"> PAGEREF _Toc75340021 \h </w:instrText>
        </w:r>
        <w:r w:rsidR="00F135D0">
          <w:rPr>
            <w:noProof/>
            <w:webHidden/>
          </w:rPr>
        </w:r>
        <w:r w:rsidR="00F135D0">
          <w:rPr>
            <w:noProof/>
            <w:webHidden/>
          </w:rPr>
          <w:fldChar w:fldCharType="separate"/>
        </w:r>
        <w:r>
          <w:rPr>
            <w:noProof/>
            <w:webHidden/>
          </w:rPr>
          <w:t>347</w:t>
        </w:r>
        <w:r w:rsidR="00F135D0">
          <w:rPr>
            <w:noProof/>
            <w:webHidden/>
          </w:rPr>
          <w:fldChar w:fldCharType="end"/>
        </w:r>
      </w:hyperlink>
    </w:p>
    <w:p w:rsidR="00F135D0" w:rsidRDefault="006B3E26" w14:paraId="180B4CD5" w14:textId="0D40BB1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2">
        <w:r w:rsidRPr="008313B4" w:rsidR="00F135D0">
          <w:rPr>
            <w:rStyle w:val="Hyperlink"/>
            <w:noProof/>
          </w:rPr>
          <w:t>Penicillin G (Benzyl Penicillin)</w:t>
        </w:r>
        <w:r w:rsidR="00F135D0">
          <w:rPr>
            <w:noProof/>
            <w:webHidden/>
          </w:rPr>
          <w:tab/>
        </w:r>
        <w:r w:rsidR="00F135D0">
          <w:rPr>
            <w:noProof/>
            <w:webHidden/>
          </w:rPr>
          <w:fldChar w:fldCharType="begin"/>
        </w:r>
        <w:r w:rsidR="00F135D0">
          <w:rPr>
            <w:noProof/>
            <w:webHidden/>
          </w:rPr>
          <w:instrText xml:space="preserve"> PAGEREF _Toc75340022 \h </w:instrText>
        </w:r>
        <w:r w:rsidR="00F135D0">
          <w:rPr>
            <w:noProof/>
            <w:webHidden/>
          </w:rPr>
        </w:r>
        <w:r w:rsidR="00F135D0">
          <w:rPr>
            <w:noProof/>
            <w:webHidden/>
          </w:rPr>
          <w:fldChar w:fldCharType="separate"/>
        </w:r>
        <w:r>
          <w:rPr>
            <w:noProof/>
            <w:webHidden/>
          </w:rPr>
          <w:t>351</w:t>
        </w:r>
        <w:r w:rsidR="00F135D0">
          <w:rPr>
            <w:noProof/>
            <w:webHidden/>
          </w:rPr>
          <w:fldChar w:fldCharType="end"/>
        </w:r>
      </w:hyperlink>
    </w:p>
    <w:p w:rsidR="00F135D0" w:rsidRDefault="006B3E26" w14:paraId="048F39F6" w14:textId="179781A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3">
        <w:r w:rsidRPr="008313B4" w:rsidR="00F135D0">
          <w:rPr>
            <w:rStyle w:val="Hyperlink"/>
            <w:noProof/>
          </w:rPr>
          <w:t>Pentavite (Multivitamin Prep)</w:t>
        </w:r>
        <w:r w:rsidR="00F135D0">
          <w:rPr>
            <w:noProof/>
            <w:webHidden/>
          </w:rPr>
          <w:tab/>
        </w:r>
        <w:r w:rsidR="00F135D0">
          <w:rPr>
            <w:noProof/>
            <w:webHidden/>
          </w:rPr>
          <w:fldChar w:fldCharType="begin"/>
        </w:r>
        <w:r w:rsidR="00F135D0">
          <w:rPr>
            <w:noProof/>
            <w:webHidden/>
          </w:rPr>
          <w:instrText xml:space="preserve"> PAGEREF _Toc75340023 \h </w:instrText>
        </w:r>
        <w:r w:rsidR="00F135D0">
          <w:rPr>
            <w:noProof/>
            <w:webHidden/>
          </w:rPr>
        </w:r>
        <w:r w:rsidR="00F135D0">
          <w:rPr>
            <w:noProof/>
            <w:webHidden/>
          </w:rPr>
          <w:fldChar w:fldCharType="separate"/>
        </w:r>
        <w:r>
          <w:rPr>
            <w:noProof/>
            <w:webHidden/>
          </w:rPr>
          <w:t>356</w:t>
        </w:r>
        <w:r w:rsidR="00F135D0">
          <w:rPr>
            <w:noProof/>
            <w:webHidden/>
          </w:rPr>
          <w:fldChar w:fldCharType="end"/>
        </w:r>
      </w:hyperlink>
    </w:p>
    <w:p w:rsidR="00F135D0" w:rsidRDefault="006B3E26" w14:paraId="05AF36C9" w14:textId="0BC39FB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4">
        <w:r w:rsidRPr="008313B4" w:rsidR="00F135D0">
          <w:rPr>
            <w:rStyle w:val="Hyperlink"/>
            <w:noProof/>
          </w:rPr>
          <w:t>Phenobarbitone</w:t>
        </w:r>
        <w:r w:rsidR="00F135D0">
          <w:rPr>
            <w:noProof/>
            <w:webHidden/>
          </w:rPr>
          <w:tab/>
        </w:r>
        <w:r w:rsidR="00F135D0">
          <w:rPr>
            <w:noProof/>
            <w:webHidden/>
          </w:rPr>
          <w:fldChar w:fldCharType="begin"/>
        </w:r>
        <w:r w:rsidR="00F135D0">
          <w:rPr>
            <w:noProof/>
            <w:webHidden/>
          </w:rPr>
          <w:instrText xml:space="preserve"> PAGEREF _Toc75340024 \h </w:instrText>
        </w:r>
        <w:r w:rsidR="00F135D0">
          <w:rPr>
            <w:noProof/>
            <w:webHidden/>
          </w:rPr>
        </w:r>
        <w:r w:rsidR="00F135D0">
          <w:rPr>
            <w:noProof/>
            <w:webHidden/>
          </w:rPr>
          <w:fldChar w:fldCharType="separate"/>
        </w:r>
        <w:r>
          <w:rPr>
            <w:noProof/>
            <w:webHidden/>
          </w:rPr>
          <w:t>358</w:t>
        </w:r>
        <w:r w:rsidR="00F135D0">
          <w:rPr>
            <w:noProof/>
            <w:webHidden/>
          </w:rPr>
          <w:fldChar w:fldCharType="end"/>
        </w:r>
      </w:hyperlink>
    </w:p>
    <w:p w:rsidR="00F135D0" w:rsidRDefault="006B3E26" w14:paraId="2DD57B23" w14:textId="74B0082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5">
        <w:r w:rsidRPr="008313B4" w:rsidR="00F135D0">
          <w:rPr>
            <w:rStyle w:val="Hyperlink"/>
            <w:noProof/>
          </w:rPr>
          <w:t>Phenytoin</w:t>
        </w:r>
        <w:r w:rsidR="00F135D0">
          <w:rPr>
            <w:noProof/>
            <w:webHidden/>
          </w:rPr>
          <w:tab/>
        </w:r>
        <w:r w:rsidR="00F135D0">
          <w:rPr>
            <w:noProof/>
            <w:webHidden/>
          </w:rPr>
          <w:fldChar w:fldCharType="begin"/>
        </w:r>
        <w:r w:rsidR="00F135D0">
          <w:rPr>
            <w:noProof/>
            <w:webHidden/>
          </w:rPr>
          <w:instrText xml:space="preserve"> PAGEREF _Toc75340025 \h </w:instrText>
        </w:r>
        <w:r w:rsidR="00F135D0">
          <w:rPr>
            <w:noProof/>
            <w:webHidden/>
          </w:rPr>
        </w:r>
        <w:r w:rsidR="00F135D0">
          <w:rPr>
            <w:noProof/>
            <w:webHidden/>
          </w:rPr>
          <w:fldChar w:fldCharType="separate"/>
        </w:r>
        <w:r>
          <w:rPr>
            <w:noProof/>
            <w:webHidden/>
          </w:rPr>
          <w:t>362</w:t>
        </w:r>
        <w:r w:rsidR="00F135D0">
          <w:rPr>
            <w:noProof/>
            <w:webHidden/>
          </w:rPr>
          <w:fldChar w:fldCharType="end"/>
        </w:r>
      </w:hyperlink>
    </w:p>
    <w:p w:rsidR="00F135D0" w:rsidRDefault="006B3E26" w14:paraId="71E1B771" w14:textId="5B020C0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6">
        <w:r w:rsidRPr="008313B4" w:rsidR="00F135D0">
          <w:rPr>
            <w:rStyle w:val="Hyperlink"/>
            <w:noProof/>
          </w:rPr>
          <w:t>Phosphate Supplement</w:t>
        </w:r>
        <w:r w:rsidR="00F135D0">
          <w:rPr>
            <w:noProof/>
            <w:webHidden/>
          </w:rPr>
          <w:tab/>
        </w:r>
        <w:r w:rsidR="00F135D0">
          <w:rPr>
            <w:noProof/>
            <w:webHidden/>
          </w:rPr>
          <w:fldChar w:fldCharType="begin"/>
        </w:r>
        <w:r w:rsidR="00F135D0">
          <w:rPr>
            <w:noProof/>
            <w:webHidden/>
          </w:rPr>
          <w:instrText xml:space="preserve"> PAGEREF _Toc75340026 \h </w:instrText>
        </w:r>
        <w:r w:rsidR="00F135D0">
          <w:rPr>
            <w:noProof/>
            <w:webHidden/>
          </w:rPr>
        </w:r>
        <w:r w:rsidR="00F135D0">
          <w:rPr>
            <w:noProof/>
            <w:webHidden/>
          </w:rPr>
          <w:fldChar w:fldCharType="separate"/>
        </w:r>
        <w:r>
          <w:rPr>
            <w:noProof/>
            <w:webHidden/>
          </w:rPr>
          <w:t>367</w:t>
        </w:r>
        <w:r w:rsidR="00F135D0">
          <w:rPr>
            <w:noProof/>
            <w:webHidden/>
          </w:rPr>
          <w:fldChar w:fldCharType="end"/>
        </w:r>
      </w:hyperlink>
    </w:p>
    <w:p w:rsidR="00F135D0" w:rsidRDefault="006B3E26" w14:paraId="7B47600F" w14:textId="13FE120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7">
        <w:r w:rsidRPr="008313B4" w:rsidR="00F135D0">
          <w:rPr>
            <w:rStyle w:val="Hyperlink"/>
            <w:noProof/>
          </w:rPr>
          <w:t>Piperacillin/Tazobactam</w:t>
        </w:r>
        <w:r w:rsidR="00F135D0">
          <w:rPr>
            <w:noProof/>
            <w:webHidden/>
          </w:rPr>
          <w:tab/>
        </w:r>
        <w:r w:rsidR="00F135D0">
          <w:rPr>
            <w:noProof/>
            <w:webHidden/>
          </w:rPr>
          <w:fldChar w:fldCharType="begin"/>
        </w:r>
        <w:r w:rsidR="00F135D0">
          <w:rPr>
            <w:noProof/>
            <w:webHidden/>
          </w:rPr>
          <w:instrText xml:space="preserve"> PAGEREF _Toc75340027 \h </w:instrText>
        </w:r>
        <w:r w:rsidR="00F135D0">
          <w:rPr>
            <w:noProof/>
            <w:webHidden/>
          </w:rPr>
        </w:r>
        <w:r w:rsidR="00F135D0">
          <w:rPr>
            <w:noProof/>
            <w:webHidden/>
          </w:rPr>
          <w:fldChar w:fldCharType="separate"/>
        </w:r>
        <w:r>
          <w:rPr>
            <w:noProof/>
            <w:webHidden/>
          </w:rPr>
          <w:t>372</w:t>
        </w:r>
        <w:r w:rsidR="00F135D0">
          <w:rPr>
            <w:noProof/>
            <w:webHidden/>
          </w:rPr>
          <w:fldChar w:fldCharType="end"/>
        </w:r>
      </w:hyperlink>
    </w:p>
    <w:p w:rsidR="00F135D0" w:rsidRDefault="006B3E26" w14:paraId="7C3D22F2" w14:textId="65341C1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8">
        <w:r w:rsidRPr="008313B4" w:rsidR="00F135D0">
          <w:rPr>
            <w:rStyle w:val="Hyperlink"/>
            <w:noProof/>
          </w:rPr>
          <w:t>Pneumococcal vaccine – Prevenar 13</w:t>
        </w:r>
        <w:r w:rsidR="00F135D0">
          <w:rPr>
            <w:noProof/>
            <w:webHidden/>
          </w:rPr>
          <w:tab/>
        </w:r>
        <w:r w:rsidR="00F135D0">
          <w:rPr>
            <w:noProof/>
            <w:webHidden/>
          </w:rPr>
          <w:fldChar w:fldCharType="begin"/>
        </w:r>
        <w:r w:rsidR="00F135D0">
          <w:rPr>
            <w:noProof/>
            <w:webHidden/>
          </w:rPr>
          <w:instrText xml:space="preserve"> PAGEREF _Toc75340028 \h </w:instrText>
        </w:r>
        <w:r w:rsidR="00F135D0">
          <w:rPr>
            <w:noProof/>
            <w:webHidden/>
          </w:rPr>
        </w:r>
        <w:r w:rsidR="00F135D0">
          <w:rPr>
            <w:noProof/>
            <w:webHidden/>
          </w:rPr>
          <w:fldChar w:fldCharType="separate"/>
        </w:r>
        <w:r>
          <w:rPr>
            <w:noProof/>
            <w:webHidden/>
          </w:rPr>
          <w:t>376</w:t>
        </w:r>
        <w:r w:rsidR="00F135D0">
          <w:rPr>
            <w:noProof/>
            <w:webHidden/>
          </w:rPr>
          <w:fldChar w:fldCharType="end"/>
        </w:r>
      </w:hyperlink>
    </w:p>
    <w:p w:rsidR="00F135D0" w:rsidRDefault="006B3E26" w14:paraId="507295B9" w14:textId="459F8AF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29">
        <w:r w:rsidRPr="008313B4" w:rsidR="00F135D0">
          <w:rPr>
            <w:rStyle w:val="Hyperlink"/>
            <w:noProof/>
          </w:rPr>
          <w:t>Potassium Chloride</w:t>
        </w:r>
        <w:r w:rsidR="00F135D0">
          <w:rPr>
            <w:noProof/>
            <w:webHidden/>
          </w:rPr>
          <w:tab/>
        </w:r>
        <w:r w:rsidR="00F135D0">
          <w:rPr>
            <w:noProof/>
            <w:webHidden/>
          </w:rPr>
          <w:fldChar w:fldCharType="begin"/>
        </w:r>
        <w:r w:rsidR="00F135D0">
          <w:rPr>
            <w:noProof/>
            <w:webHidden/>
          </w:rPr>
          <w:instrText xml:space="preserve"> PAGEREF _Toc75340029 \h </w:instrText>
        </w:r>
        <w:r w:rsidR="00F135D0">
          <w:rPr>
            <w:noProof/>
            <w:webHidden/>
          </w:rPr>
        </w:r>
        <w:r w:rsidR="00F135D0">
          <w:rPr>
            <w:noProof/>
            <w:webHidden/>
          </w:rPr>
          <w:fldChar w:fldCharType="separate"/>
        </w:r>
        <w:r>
          <w:rPr>
            <w:noProof/>
            <w:webHidden/>
          </w:rPr>
          <w:t>379</w:t>
        </w:r>
        <w:r w:rsidR="00F135D0">
          <w:rPr>
            <w:noProof/>
            <w:webHidden/>
          </w:rPr>
          <w:fldChar w:fldCharType="end"/>
        </w:r>
      </w:hyperlink>
    </w:p>
    <w:p w:rsidR="00F135D0" w:rsidRDefault="006B3E26" w14:paraId="56E6C521" w14:textId="6925035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0">
        <w:r w:rsidRPr="008313B4" w:rsidR="00F135D0">
          <w:rPr>
            <w:rStyle w:val="Hyperlink"/>
            <w:noProof/>
          </w:rPr>
          <w:t>Potassium Oral</w:t>
        </w:r>
        <w:r w:rsidR="00F135D0">
          <w:rPr>
            <w:noProof/>
            <w:webHidden/>
          </w:rPr>
          <w:tab/>
        </w:r>
        <w:r w:rsidR="00F135D0">
          <w:rPr>
            <w:noProof/>
            <w:webHidden/>
          </w:rPr>
          <w:fldChar w:fldCharType="begin"/>
        </w:r>
        <w:r w:rsidR="00F135D0">
          <w:rPr>
            <w:noProof/>
            <w:webHidden/>
          </w:rPr>
          <w:instrText xml:space="preserve"> PAGEREF _Toc75340030 \h </w:instrText>
        </w:r>
        <w:r w:rsidR="00F135D0">
          <w:rPr>
            <w:noProof/>
            <w:webHidden/>
          </w:rPr>
        </w:r>
        <w:r w:rsidR="00F135D0">
          <w:rPr>
            <w:noProof/>
            <w:webHidden/>
          </w:rPr>
          <w:fldChar w:fldCharType="separate"/>
        </w:r>
        <w:r>
          <w:rPr>
            <w:noProof/>
            <w:webHidden/>
          </w:rPr>
          <w:t>384</w:t>
        </w:r>
        <w:r w:rsidR="00F135D0">
          <w:rPr>
            <w:noProof/>
            <w:webHidden/>
          </w:rPr>
          <w:fldChar w:fldCharType="end"/>
        </w:r>
      </w:hyperlink>
    </w:p>
    <w:p w:rsidR="00F135D0" w:rsidRDefault="006B3E26" w14:paraId="6E25648B" w14:textId="0B6D568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1">
        <w:r w:rsidRPr="008313B4" w:rsidR="00F135D0">
          <w:rPr>
            <w:rStyle w:val="Hyperlink"/>
            <w:noProof/>
          </w:rPr>
          <w:t>Prednisolone</w:t>
        </w:r>
        <w:r w:rsidR="00F135D0">
          <w:rPr>
            <w:noProof/>
            <w:webHidden/>
          </w:rPr>
          <w:tab/>
        </w:r>
        <w:r w:rsidR="00F135D0">
          <w:rPr>
            <w:noProof/>
            <w:webHidden/>
          </w:rPr>
          <w:fldChar w:fldCharType="begin"/>
        </w:r>
        <w:r w:rsidR="00F135D0">
          <w:rPr>
            <w:noProof/>
            <w:webHidden/>
          </w:rPr>
          <w:instrText xml:space="preserve"> PAGEREF _Toc75340031 \h </w:instrText>
        </w:r>
        <w:r w:rsidR="00F135D0">
          <w:rPr>
            <w:noProof/>
            <w:webHidden/>
          </w:rPr>
        </w:r>
        <w:r w:rsidR="00F135D0">
          <w:rPr>
            <w:noProof/>
            <w:webHidden/>
          </w:rPr>
          <w:fldChar w:fldCharType="separate"/>
        </w:r>
        <w:r>
          <w:rPr>
            <w:noProof/>
            <w:webHidden/>
          </w:rPr>
          <w:t>386</w:t>
        </w:r>
        <w:r w:rsidR="00F135D0">
          <w:rPr>
            <w:noProof/>
            <w:webHidden/>
          </w:rPr>
          <w:fldChar w:fldCharType="end"/>
        </w:r>
      </w:hyperlink>
    </w:p>
    <w:p w:rsidR="00F135D0" w:rsidRDefault="006B3E26" w14:paraId="2B8F155E" w14:textId="6F04628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2">
        <w:r w:rsidRPr="008313B4" w:rsidR="00F135D0">
          <w:rPr>
            <w:rStyle w:val="Hyperlink"/>
            <w:noProof/>
          </w:rPr>
          <w:t>Propofol</w:t>
        </w:r>
        <w:r w:rsidR="00F135D0">
          <w:rPr>
            <w:noProof/>
            <w:webHidden/>
          </w:rPr>
          <w:tab/>
        </w:r>
        <w:r w:rsidR="00F135D0">
          <w:rPr>
            <w:noProof/>
            <w:webHidden/>
          </w:rPr>
          <w:fldChar w:fldCharType="begin"/>
        </w:r>
        <w:r w:rsidR="00F135D0">
          <w:rPr>
            <w:noProof/>
            <w:webHidden/>
          </w:rPr>
          <w:instrText xml:space="preserve"> PAGEREF _Toc75340032 \h </w:instrText>
        </w:r>
        <w:r w:rsidR="00F135D0">
          <w:rPr>
            <w:noProof/>
            <w:webHidden/>
          </w:rPr>
        </w:r>
        <w:r w:rsidR="00F135D0">
          <w:rPr>
            <w:noProof/>
            <w:webHidden/>
          </w:rPr>
          <w:fldChar w:fldCharType="separate"/>
        </w:r>
        <w:r>
          <w:rPr>
            <w:noProof/>
            <w:webHidden/>
          </w:rPr>
          <w:t>388</w:t>
        </w:r>
        <w:r w:rsidR="00F135D0">
          <w:rPr>
            <w:noProof/>
            <w:webHidden/>
          </w:rPr>
          <w:fldChar w:fldCharType="end"/>
        </w:r>
      </w:hyperlink>
    </w:p>
    <w:p w:rsidR="00F135D0" w:rsidRDefault="006B3E26" w14:paraId="2B338E24" w14:textId="639F69C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3">
        <w:r w:rsidRPr="008313B4" w:rsidR="00F135D0">
          <w:rPr>
            <w:rStyle w:val="Hyperlink"/>
            <w:noProof/>
          </w:rPr>
          <w:t>Propranolol</w:t>
        </w:r>
        <w:r w:rsidR="00F135D0">
          <w:rPr>
            <w:noProof/>
            <w:webHidden/>
          </w:rPr>
          <w:tab/>
        </w:r>
        <w:r w:rsidR="00F135D0">
          <w:rPr>
            <w:noProof/>
            <w:webHidden/>
          </w:rPr>
          <w:fldChar w:fldCharType="begin"/>
        </w:r>
        <w:r w:rsidR="00F135D0">
          <w:rPr>
            <w:noProof/>
            <w:webHidden/>
          </w:rPr>
          <w:instrText xml:space="preserve"> PAGEREF _Toc75340033 \h </w:instrText>
        </w:r>
        <w:r w:rsidR="00F135D0">
          <w:rPr>
            <w:noProof/>
            <w:webHidden/>
          </w:rPr>
        </w:r>
        <w:r w:rsidR="00F135D0">
          <w:rPr>
            <w:noProof/>
            <w:webHidden/>
          </w:rPr>
          <w:fldChar w:fldCharType="separate"/>
        </w:r>
        <w:r>
          <w:rPr>
            <w:noProof/>
            <w:webHidden/>
          </w:rPr>
          <w:t>393</w:t>
        </w:r>
        <w:r w:rsidR="00F135D0">
          <w:rPr>
            <w:noProof/>
            <w:webHidden/>
          </w:rPr>
          <w:fldChar w:fldCharType="end"/>
        </w:r>
      </w:hyperlink>
    </w:p>
    <w:p w:rsidR="00F135D0" w:rsidRDefault="006B3E26" w14:paraId="73E0D07E" w14:textId="08FA688A">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4">
        <w:r w:rsidRPr="008313B4" w:rsidR="00F135D0">
          <w:rPr>
            <w:rStyle w:val="Hyperlink"/>
            <w:noProof/>
          </w:rPr>
          <w:t>Prostaglandin E1(Alprostadil)</w:t>
        </w:r>
        <w:r w:rsidR="00F135D0">
          <w:rPr>
            <w:noProof/>
            <w:webHidden/>
          </w:rPr>
          <w:tab/>
        </w:r>
        <w:r w:rsidR="00F135D0">
          <w:rPr>
            <w:noProof/>
            <w:webHidden/>
          </w:rPr>
          <w:fldChar w:fldCharType="begin"/>
        </w:r>
        <w:r w:rsidR="00F135D0">
          <w:rPr>
            <w:noProof/>
            <w:webHidden/>
          </w:rPr>
          <w:instrText xml:space="preserve"> PAGEREF _Toc75340034 \h </w:instrText>
        </w:r>
        <w:r w:rsidR="00F135D0">
          <w:rPr>
            <w:noProof/>
            <w:webHidden/>
          </w:rPr>
        </w:r>
        <w:r w:rsidR="00F135D0">
          <w:rPr>
            <w:noProof/>
            <w:webHidden/>
          </w:rPr>
          <w:fldChar w:fldCharType="separate"/>
        </w:r>
        <w:r>
          <w:rPr>
            <w:noProof/>
            <w:webHidden/>
          </w:rPr>
          <w:t>399</w:t>
        </w:r>
        <w:r w:rsidR="00F135D0">
          <w:rPr>
            <w:noProof/>
            <w:webHidden/>
          </w:rPr>
          <w:fldChar w:fldCharType="end"/>
        </w:r>
      </w:hyperlink>
    </w:p>
    <w:p w:rsidR="00F135D0" w:rsidRDefault="006B3E26" w14:paraId="12AB74AD" w14:textId="3112D52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5">
        <w:r w:rsidRPr="008313B4" w:rsidR="00F135D0">
          <w:rPr>
            <w:rStyle w:val="Hyperlink"/>
            <w:noProof/>
          </w:rPr>
          <w:t>Prostacyclin PGI</w:t>
        </w:r>
        <w:r w:rsidRPr="008313B4" w:rsidR="00F135D0">
          <w:rPr>
            <w:rStyle w:val="Hyperlink"/>
            <w:noProof/>
            <w:vertAlign w:val="subscript"/>
          </w:rPr>
          <w:t>2</w:t>
        </w:r>
        <w:r w:rsidRPr="008313B4" w:rsidR="00F135D0">
          <w:rPr>
            <w:rStyle w:val="Hyperlink"/>
            <w:noProof/>
          </w:rPr>
          <w:t>(Epoprostenol)</w:t>
        </w:r>
        <w:r w:rsidR="00F135D0">
          <w:rPr>
            <w:noProof/>
            <w:webHidden/>
          </w:rPr>
          <w:tab/>
        </w:r>
        <w:r w:rsidR="00F135D0">
          <w:rPr>
            <w:noProof/>
            <w:webHidden/>
          </w:rPr>
          <w:fldChar w:fldCharType="begin"/>
        </w:r>
        <w:r w:rsidR="00F135D0">
          <w:rPr>
            <w:noProof/>
            <w:webHidden/>
          </w:rPr>
          <w:instrText xml:space="preserve"> PAGEREF _Toc75340035 \h </w:instrText>
        </w:r>
        <w:r w:rsidR="00F135D0">
          <w:rPr>
            <w:noProof/>
            <w:webHidden/>
          </w:rPr>
        </w:r>
        <w:r w:rsidR="00F135D0">
          <w:rPr>
            <w:noProof/>
            <w:webHidden/>
          </w:rPr>
          <w:fldChar w:fldCharType="separate"/>
        </w:r>
        <w:r>
          <w:rPr>
            <w:noProof/>
            <w:webHidden/>
          </w:rPr>
          <w:t>403</w:t>
        </w:r>
        <w:r w:rsidR="00F135D0">
          <w:rPr>
            <w:noProof/>
            <w:webHidden/>
          </w:rPr>
          <w:fldChar w:fldCharType="end"/>
        </w:r>
      </w:hyperlink>
    </w:p>
    <w:p w:rsidR="00F135D0" w:rsidRDefault="006B3E26" w14:paraId="56A7D0E9" w14:textId="5295D27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6">
        <w:r w:rsidRPr="008313B4" w:rsidR="00F135D0">
          <w:rPr>
            <w:rStyle w:val="Hyperlink"/>
            <w:noProof/>
          </w:rPr>
          <w:t>Pyridoxine</w:t>
        </w:r>
        <w:r w:rsidR="00F135D0">
          <w:rPr>
            <w:noProof/>
            <w:webHidden/>
          </w:rPr>
          <w:tab/>
        </w:r>
        <w:r w:rsidR="00F135D0">
          <w:rPr>
            <w:noProof/>
            <w:webHidden/>
          </w:rPr>
          <w:fldChar w:fldCharType="begin"/>
        </w:r>
        <w:r w:rsidR="00F135D0">
          <w:rPr>
            <w:noProof/>
            <w:webHidden/>
          </w:rPr>
          <w:instrText xml:space="preserve"> PAGEREF _Toc75340036 \h </w:instrText>
        </w:r>
        <w:r w:rsidR="00F135D0">
          <w:rPr>
            <w:noProof/>
            <w:webHidden/>
          </w:rPr>
        </w:r>
        <w:r w:rsidR="00F135D0">
          <w:rPr>
            <w:noProof/>
            <w:webHidden/>
          </w:rPr>
          <w:fldChar w:fldCharType="separate"/>
        </w:r>
        <w:r>
          <w:rPr>
            <w:noProof/>
            <w:webHidden/>
          </w:rPr>
          <w:t>405</w:t>
        </w:r>
        <w:r w:rsidR="00F135D0">
          <w:rPr>
            <w:noProof/>
            <w:webHidden/>
          </w:rPr>
          <w:fldChar w:fldCharType="end"/>
        </w:r>
      </w:hyperlink>
    </w:p>
    <w:p w:rsidR="00F135D0" w:rsidRDefault="006B3E26" w14:paraId="7F066018" w14:textId="6C893B8D">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7">
        <w:r w:rsidRPr="008313B4" w:rsidR="00F135D0">
          <w:rPr>
            <w:rStyle w:val="Hyperlink"/>
            <w:noProof/>
          </w:rPr>
          <w:t>Ranitidine</w:t>
        </w:r>
        <w:r w:rsidR="00F135D0">
          <w:rPr>
            <w:noProof/>
            <w:webHidden/>
          </w:rPr>
          <w:tab/>
        </w:r>
        <w:r w:rsidR="00F135D0">
          <w:rPr>
            <w:noProof/>
            <w:webHidden/>
          </w:rPr>
          <w:fldChar w:fldCharType="begin"/>
        </w:r>
        <w:r w:rsidR="00F135D0">
          <w:rPr>
            <w:noProof/>
            <w:webHidden/>
          </w:rPr>
          <w:instrText xml:space="preserve"> PAGEREF _Toc75340037 \h </w:instrText>
        </w:r>
        <w:r w:rsidR="00F135D0">
          <w:rPr>
            <w:noProof/>
            <w:webHidden/>
          </w:rPr>
        </w:r>
        <w:r w:rsidR="00F135D0">
          <w:rPr>
            <w:noProof/>
            <w:webHidden/>
          </w:rPr>
          <w:fldChar w:fldCharType="separate"/>
        </w:r>
        <w:r>
          <w:rPr>
            <w:noProof/>
            <w:webHidden/>
          </w:rPr>
          <w:t>407</w:t>
        </w:r>
        <w:r w:rsidR="00F135D0">
          <w:rPr>
            <w:noProof/>
            <w:webHidden/>
          </w:rPr>
          <w:fldChar w:fldCharType="end"/>
        </w:r>
      </w:hyperlink>
    </w:p>
    <w:p w:rsidR="00F135D0" w:rsidRDefault="006B3E26" w14:paraId="32A176AD" w14:textId="6D5C1A7A">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8">
        <w:r w:rsidRPr="008313B4" w:rsidR="00F135D0">
          <w:rPr>
            <w:rStyle w:val="Hyperlink"/>
            <w:noProof/>
          </w:rPr>
          <w:t>Recombinant Factor VIIa</w:t>
        </w:r>
        <w:r w:rsidR="00F135D0">
          <w:rPr>
            <w:noProof/>
            <w:webHidden/>
          </w:rPr>
          <w:tab/>
        </w:r>
        <w:r w:rsidR="00F135D0">
          <w:rPr>
            <w:noProof/>
            <w:webHidden/>
          </w:rPr>
          <w:fldChar w:fldCharType="begin"/>
        </w:r>
        <w:r w:rsidR="00F135D0">
          <w:rPr>
            <w:noProof/>
            <w:webHidden/>
          </w:rPr>
          <w:instrText xml:space="preserve"> PAGEREF _Toc75340038 \h </w:instrText>
        </w:r>
        <w:r w:rsidR="00F135D0">
          <w:rPr>
            <w:noProof/>
            <w:webHidden/>
          </w:rPr>
        </w:r>
        <w:r w:rsidR="00F135D0">
          <w:rPr>
            <w:noProof/>
            <w:webHidden/>
          </w:rPr>
          <w:fldChar w:fldCharType="separate"/>
        </w:r>
        <w:r>
          <w:rPr>
            <w:noProof/>
            <w:webHidden/>
          </w:rPr>
          <w:t>412</w:t>
        </w:r>
        <w:r w:rsidR="00F135D0">
          <w:rPr>
            <w:noProof/>
            <w:webHidden/>
          </w:rPr>
          <w:fldChar w:fldCharType="end"/>
        </w:r>
      </w:hyperlink>
    </w:p>
    <w:p w:rsidR="00F135D0" w:rsidRDefault="006B3E26" w14:paraId="77528B5C" w14:textId="5FD2C4B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39">
        <w:r w:rsidRPr="008313B4" w:rsidR="00F135D0">
          <w:rPr>
            <w:rStyle w:val="Hyperlink"/>
            <w:noProof/>
          </w:rPr>
          <w:t>Resonium A (Polysterene Sulfonate Resin)</w:t>
        </w:r>
        <w:r w:rsidR="00F135D0">
          <w:rPr>
            <w:noProof/>
            <w:webHidden/>
          </w:rPr>
          <w:tab/>
        </w:r>
        <w:r w:rsidR="00F135D0">
          <w:rPr>
            <w:noProof/>
            <w:webHidden/>
          </w:rPr>
          <w:fldChar w:fldCharType="begin"/>
        </w:r>
        <w:r w:rsidR="00F135D0">
          <w:rPr>
            <w:noProof/>
            <w:webHidden/>
          </w:rPr>
          <w:instrText xml:space="preserve"> PAGEREF _Toc75340039 \h </w:instrText>
        </w:r>
        <w:r w:rsidR="00F135D0">
          <w:rPr>
            <w:noProof/>
            <w:webHidden/>
          </w:rPr>
        </w:r>
        <w:r w:rsidR="00F135D0">
          <w:rPr>
            <w:noProof/>
            <w:webHidden/>
          </w:rPr>
          <w:fldChar w:fldCharType="separate"/>
        </w:r>
        <w:r>
          <w:rPr>
            <w:noProof/>
            <w:webHidden/>
          </w:rPr>
          <w:t>414</w:t>
        </w:r>
        <w:r w:rsidR="00F135D0">
          <w:rPr>
            <w:noProof/>
            <w:webHidden/>
          </w:rPr>
          <w:fldChar w:fldCharType="end"/>
        </w:r>
      </w:hyperlink>
    </w:p>
    <w:p w:rsidR="00F135D0" w:rsidRDefault="006B3E26" w14:paraId="34B93153" w14:textId="6466CF2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0">
        <w:r w:rsidRPr="008313B4" w:rsidR="00F135D0">
          <w:rPr>
            <w:rStyle w:val="Hyperlink"/>
            <w:noProof/>
          </w:rPr>
          <w:t>Rotavirus Vaccine</w:t>
        </w:r>
        <w:r w:rsidR="00F135D0">
          <w:rPr>
            <w:noProof/>
            <w:webHidden/>
          </w:rPr>
          <w:tab/>
        </w:r>
        <w:r w:rsidR="00F135D0">
          <w:rPr>
            <w:noProof/>
            <w:webHidden/>
          </w:rPr>
          <w:fldChar w:fldCharType="begin"/>
        </w:r>
        <w:r w:rsidR="00F135D0">
          <w:rPr>
            <w:noProof/>
            <w:webHidden/>
          </w:rPr>
          <w:instrText xml:space="preserve"> PAGEREF _Toc75340040 \h </w:instrText>
        </w:r>
        <w:r w:rsidR="00F135D0">
          <w:rPr>
            <w:noProof/>
            <w:webHidden/>
          </w:rPr>
        </w:r>
        <w:r w:rsidR="00F135D0">
          <w:rPr>
            <w:noProof/>
            <w:webHidden/>
          </w:rPr>
          <w:fldChar w:fldCharType="separate"/>
        </w:r>
        <w:r>
          <w:rPr>
            <w:noProof/>
            <w:webHidden/>
          </w:rPr>
          <w:t>417</w:t>
        </w:r>
        <w:r w:rsidR="00F135D0">
          <w:rPr>
            <w:noProof/>
            <w:webHidden/>
          </w:rPr>
          <w:fldChar w:fldCharType="end"/>
        </w:r>
      </w:hyperlink>
    </w:p>
    <w:p w:rsidR="00F135D0" w:rsidRDefault="006B3E26" w14:paraId="3FA5FC04" w14:textId="4A9A165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1">
        <w:r w:rsidRPr="008313B4" w:rsidR="00F135D0">
          <w:rPr>
            <w:rStyle w:val="Hyperlink"/>
            <w:noProof/>
          </w:rPr>
          <w:t>Salbutamol</w:t>
        </w:r>
        <w:r w:rsidR="00F135D0">
          <w:rPr>
            <w:noProof/>
            <w:webHidden/>
          </w:rPr>
          <w:tab/>
        </w:r>
        <w:r w:rsidR="00F135D0">
          <w:rPr>
            <w:noProof/>
            <w:webHidden/>
          </w:rPr>
          <w:fldChar w:fldCharType="begin"/>
        </w:r>
        <w:r w:rsidR="00F135D0">
          <w:rPr>
            <w:noProof/>
            <w:webHidden/>
          </w:rPr>
          <w:instrText xml:space="preserve"> PAGEREF _Toc75340041 \h </w:instrText>
        </w:r>
        <w:r w:rsidR="00F135D0">
          <w:rPr>
            <w:noProof/>
            <w:webHidden/>
          </w:rPr>
        </w:r>
        <w:r w:rsidR="00F135D0">
          <w:rPr>
            <w:noProof/>
            <w:webHidden/>
          </w:rPr>
          <w:fldChar w:fldCharType="separate"/>
        </w:r>
        <w:r>
          <w:rPr>
            <w:noProof/>
            <w:webHidden/>
          </w:rPr>
          <w:t>421</w:t>
        </w:r>
        <w:r w:rsidR="00F135D0">
          <w:rPr>
            <w:noProof/>
            <w:webHidden/>
          </w:rPr>
          <w:fldChar w:fldCharType="end"/>
        </w:r>
      </w:hyperlink>
    </w:p>
    <w:p w:rsidR="00F135D0" w:rsidRDefault="006B3E26" w14:paraId="5DC20E80" w14:textId="4D1A62B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2">
        <w:r w:rsidRPr="008313B4" w:rsidR="00F135D0">
          <w:rPr>
            <w:rStyle w:val="Hyperlink"/>
            <w:noProof/>
          </w:rPr>
          <w:t>Sildenafil</w:t>
        </w:r>
        <w:r w:rsidR="00F135D0">
          <w:rPr>
            <w:noProof/>
            <w:webHidden/>
          </w:rPr>
          <w:tab/>
        </w:r>
        <w:r w:rsidR="00F135D0">
          <w:rPr>
            <w:noProof/>
            <w:webHidden/>
          </w:rPr>
          <w:fldChar w:fldCharType="begin"/>
        </w:r>
        <w:r w:rsidR="00F135D0">
          <w:rPr>
            <w:noProof/>
            <w:webHidden/>
          </w:rPr>
          <w:instrText xml:space="preserve"> PAGEREF _Toc75340042 \h </w:instrText>
        </w:r>
        <w:r w:rsidR="00F135D0">
          <w:rPr>
            <w:noProof/>
            <w:webHidden/>
          </w:rPr>
        </w:r>
        <w:r w:rsidR="00F135D0">
          <w:rPr>
            <w:noProof/>
            <w:webHidden/>
          </w:rPr>
          <w:fldChar w:fldCharType="separate"/>
        </w:r>
        <w:r>
          <w:rPr>
            <w:noProof/>
            <w:webHidden/>
          </w:rPr>
          <w:t>424</w:t>
        </w:r>
        <w:r w:rsidR="00F135D0">
          <w:rPr>
            <w:noProof/>
            <w:webHidden/>
          </w:rPr>
          <w:fldChar w:fldCharType="end"/>
        </w:r>
      </w:hyperlink>
    </w:p>
    <w:p w:rsidR="00F135D0" w:rsidRDefault="006B3E26" w14:paraId="78B337A9" w14:textId="0AE1C03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3">
        <w:r w:rsidRPr="008313B4" w:rsidR="00F135D0">
          <w:rPr>
            <w:rStyle w:val="Hyperlink"/>
            <w:noProof/>
          </w:rPr>
          <w:t>Sodium Bicarbonate</w:t>
        </w:r>
        <w:r w:rsidR="00F135D0">
          <w:rPr>
            <w:noProof/>
            <w:webHidden/>
          </w:rPr>
          <w:tab/>
        </w:r>
        <w:r w:rsidR="00F135D0">
          <w:rPr>
            <w:noProof/>
            <w:webHidden/>
          </w:rPr>
          <w:fldChar w:fldCharType="begin"/>
        </w:r>
        <w:r w:rsidR="00F135D0">
          <w:rPr>
            <w:noProof/>
            <w:webHidden/>
          </w:rPr>
          <w:instrText xml:space="preserve"> PAGEREF _Toc75340043 \h </w:instrText>
        </w:r>
        <w:r w:rsidR="00F135D0">
          <w:rPr>
            <w:noProof/>
            <w:webHidden/>
          </w:rPr>
        </w:r>
        <w:r w:rsidR="00F135D0">
          <w:rPr>
            <w:noProof/>
            <w:webHidden/>
          </w:rPr>
          <w:fldChar w:fldCharType="separate"/>
        </w:r>
        <w:r>
          <w:rPr>
            <w:noProof/>
            <w:webHidden/>
          </w:rPr>
          <w:t>428</w:t>
        </w:r>
        <w:r w:rsidR="00F135D0">
          <w:rPr>
            <w:noProof/>
            <w:webHidden/>
          </w:rPr>
          <w:fldChar w:fldCharType="end"/>
        </w:r>
      </w:hyperlink>
    </w:p>
    <w:p w:rsidR="00F135D0" w:rsidRDefault="006B3E26" w14:paraId="0E6B5592" w14:textId="38BD92C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4">
        <w:r w:rsidRPr="008313B4" w:rsidR="00F135D0">
          <w:rPr>
            <w:rStyle w:val="Hyperlink"/>
            <w:noProof/>
          </w:rPr>
          <w:t>Sodium Chloride 23.4% (NaCl)</w:t>
        </w:r>
        <w:r w:rsidR="00F135D0">
          <w:rPr>
            <w:noProof/>
            <w:webHidden/>
          </w:rPr>
          <w:tab/>
        </w:r>
        <w:r w:rsidR="00F135D0">
          <w:rPr>
            <w:noProof/>
            <w:webHidden/>
          </w:rPr>
          <w:fldChar w:fldCharType="begin"/>
        </w:r>
        <w:r w:rsidR="00F135D0">
          <w:rPr>
            <w:noProof/>
            <w:webHidden/>
          </w:rPr>
          <w:instrText xml:space="preserve"> PAGEREF _Toc75340044 \h </w:instrText>
        </w:r>
        <w:r w:rsidR="00F135D0">
          <w:rPr>
            <w:noProof/>
            <w:webHidden/>
          </w:rPr>
        </w:r>
        <w:r w:rsidR="00F135D0">
          <w:rPr>
            <w:noProof/>
            <w:webHidden/>
          </w:rPr>
          <w:fldChar w:fldCharType="separate"/>
        </w:r>
        <w:r>
          <w:rPr>
            <w:noProof/>
            <w:webHidden/>
          </w:rPr>
          <w:t>432</w:t>
        </w:r>
        <w:r w:rsidR="00F135D0">
          <w:rPr>
            <w:noProof/>
            <w:webHidden/>
          </w:rPr>
          <w:fldChar w:fldCharType="end"/>
        </w:r>
      </w:hyperlink>
    </w:p>
    <w:p w:rsidR="00F135D0" w:rsidRDefault="006B3E26" w14:paraId="46BE693A" w14:textId="6CDBCB7B">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5">
        <w:r w:rsidRPr="008313B4" w:rsidR="00F135D0">
          <w:rPr>
            <w:rStyle w:val="Hyperlink"/>
            <w:noProof/>
          </w:rPr>
          <w:t>Sotalol</w:t>
        </w:r>
        <w:r w:rsidR="00F135D0">
          <w:rPr>
            <w:noProof/>
            <w:webHidden/>
          </w:rPr>
          <w:tab/>
        </w:r>
        <w:r w:rsidR="00F135D0">
          <w:rPr>
            <w:noProof/>
            <w:webHidden/>
          </w:rPr>
          <w:fldChar w:fldCharType="begin"/>
        </w:r>
        <w:r w:rsidR="00F135D0">
          <w:rPr>
            <w:noProof/>
            <w:webHidden/>
          </w:rPr>
          <w:instrText xml:space="preserve"> PAGEREF _Toc75340045 \h </w:instrText>
        </w:r>
        <w:r w:rsidR="00F135D0">
          <w:rPr>
            <w:noProof/>
            <w:webHidden/>
          </w:rPr>
        </w:r>
        <w:r w:rsidR="00F135D0">
          <w:rPr>
            <w:noProof/>
            <w:webHidden/>
          </w:rPr>
          <w:fldChar w:fldCharType="separate"/>
        </w:r>
        <w:r>
          <w:rPr>
            <w:noProof/>
            <w:webHidden/>
          </w:rPr>
          <w:t>436</w:t>
        </w:r>
        <w:r w:rsidR="00F135D0">
          <w:rPr>
            <w:noProof/>
            <w:webHidden/>
          </w:rPr>
          <w:fldChar w:fldCharType="end"/>
        </w:r>
      </w:hyperlink>
    </w:p>
    <w:p w:rsidR="00F135D0" w:rsidRDefault="006B3E26" w14:paraId="11D7AFD6" w14:textId="2E95F162">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6">
        <w:r w:rsidRPr="008313B4" w:rsidR="00F135D0">
          <w:rPr>
            <w:rStyle w:val="Hyperlink"/>
            <w:noProof/>
          </w:rPr>
          <w:t>Spironolactone</w:t>
        </w:r>
        <w:r w:rsidR="00F135D0">
          <w:rPr>
            <w:noProof/>
            <w:webHidden/>
          </w:rPr>
          <w:tab/>
        </w:r>
        <w:r w:rsidR="00F135D0">
          <w:rPr>
            <w:noProof/>
            <w:webHidden/>
          </w:rPr>
          <w:fldChar w:fldCharType="begin"/>
        </w:r>
        <w:r w:rsidR="00F135D0">
          <w:rPr>
            <w:noProof/>
            <w:webHidden/>
          </w:rPr>
          <w:instrText xml:space="preserve"> PAGEREF _Toc75340046 \h </w:instrText>
        </w:r>
        <w:r w:rsidR="00F135D0">
          <w:rPr>
            <w:noProof/>
            <w:webHidden/>
          </w:rPr>
        </w:r>
        <w:r w:rsidR="00F135D0">
          <w:rPr>
            <w:noProof/>
            <w:webHidden/>
          </w:rPr>
          <w:fldChar w:fldCharType="separate"/>
        </w:r>
        <w:r>
          <w:rPr>
            <w:noProof/>
            <w:webHidden/>
          </w:rPr>
          <w:t>439</w:t>
        </w:r>
        <w:r w:rsidR="00F135D0">
          <w:rPr>
            <w:noProof/>
            <w:webHidden/>
          </w:rPr>
          <w:fldChar w:fldCharType="end"/>
        </w:r>
      </w:hyperlink>
    </w:p>
    <w:p w:rsidR="00F135D0" w:rsidRDefault="006B3E26" w14:paraId="1A816F73" w14:textId="0B6C3B96">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7">
        <w:r w:rsidRPr="008313B4" w:rsidR="00F135D0">
          <w:rPr>
            <w:rStyle w:val="Hyperlink"/>
            <w:noProof/>
          </w:rPr>
          <w:t>Sucrose</w:t>
        </w:r>
        <w:r w:rsidR="00F135D0">
          <w:rPr>
            <w:noProof/>
            <w:webHidden/>
          </w:rPr>
          <w:tab/>
        </w:r>
        <w:r w:rsidR="00F135D0">
          <w:rPr>
            <w:noProof/>
            <w:webHidden/>
          </w:rPr>
          <w:fldChar w:fldCharType="begin"/>
        </w:r>
        <w:r w:rsidR="00F135D0">
          <w:rPr>
            <w:noProof/>
            <w:webHidden/>
          </w:rPr>
          <w:instrText xml:space="preserve"> PAGEREF _Toc75340047 \h </w:instrText>
        </w:r>
        <w:r w:rsidR="00F135D0">
          <w:rPr>
            <w:noProof/>
            <w:webHidden/>
          </w:rPr>
        </w:r>
        <w:r w:rsidR="00F135D0">
          <w:rPr>
            <w:noProof/>
            <w:webHidden/>
          </w:rPr>
          <w:fldChar w:fldCharType="separate"/>
        </w:r>
        <w:r>
          <w:rPr>
            <w:noProof/>
            <w:webHidden/>
          </w:rPr>
          <w:t>441</w:t>
        </w:r>
        <w:r w:rsidR="00F135D0">
          <w:rPr>
            <w:noProof/>
            <w:webHidden/>
          </w:rPr>
          <w:fldChar w:fldCharType="end"/>
        </w:r>
      </w:hyperlink>
    </w:p>
    <w:p w:rsidR="00F135D0" w:rsidRDefault="006B3E26" w14:paraId="729D45EC" w14:textId="6038158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8">
        <w:r w:rsidRPr="008313B4" w:rsidR="00F135D0">
          <w:rPr>
            <w:rStyle w:val="Hyperlink"/>
            <w:noProof/>
          </w:rPr>
          <w:t>Survanta</w:t>
        </w:r>
        <w:r w:rsidR="00F135D0">
          <w:rPr>
            <w:noProof/>
            <w:webHidden/>
          </w:rPr>
          <w:tab/>
        </w:r>
        <w:r w:rsidR="00F135D0">
          <w:rPr>
            <w:noProof/>
            <w:webHidden/>
          </w:rPr>
          <w:fldChar w:fldCharType="begin"/>
        </w:r>
        <w:r w:rsidR="00F135D0">
          <w:rPr>
            <w:noProof/>
            <w:webHidden/>
          </w:rPr>
          <w:instrText xml:space="preserve"> PAGEREF _Toc75340048 \h </w:instrText>
        </w:r>
        <w:r w:rsidR="00F135D0">
          <w:rPr>
            <w:noProof/>
            <w:webHidden/>
          </w:rPr>
        </w:r>
        <w:r w:rsidR="00F135D0">
          <w:rPr>
            <w:noProof/>
            <w:webHidden/>
          </w:rPr>
          <w:fldChar w:fldCharType="separate"/>
        </w:r>
        <w:r>
          <w:rPr>
            <w:noProof/>
            <w:webHidden/>
          </w:rPr>
          <w:t>443</w:t>
        </w:r>
        <w:r w:rsidR="00F135D0">
          <w:rPr>
            <w:noProof/>
            <w:webHidden/>
          </w:rPr>
          <w:fldChar w:fldCharType="end"/>
        </w:r>
      </w:hyperlink>
    </w:p>
    <w:p w:rsidR="00F135D0" w:rsidRDefault="006B3E26" w14:paraId="169062F3" w14:textId="1ACBFA3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49">
        <w:r w:rsidRPr="008313B4" w:rsidR="00F135D0">
          <w:rPr>
            <w:rStyle w:val="Hyperlink"/>
            <w:noProof/>
          </w:rPr>
          <w:t>Suxamethonium Chloride (Scoline)</w:t>
        </w:r>
        <w:r w:rsidR="00F135D0">
          <w:rPr>
            <w:noProof/>
            <w:webHidden/>
          </w:rPr>
          <w:tab/>
        </w:r>
        <w:r w:rsidR="00F135D0">
          <w:rPr>
            <w:noProof/>
            <w:webHidden/>
          </w:rPr>
          <w:fldChar w:fldCharType="begin"/>
        </w:r>
        <w:r w:rsidR="00F135D0">
          <w:rPr>
            <w:noProof/>
            <w:webHidden/>
          </w:rPr>
          <w:instrText xml:space="preserve"> PAGEREF _Toc75340049 \h </w:instrText>
        </w:r>
        <w:r w:rsidR="00F135D0">
          <w:rPr>
            <w:noProof/>
            <w:webHidden/>
          </w:rPr>
        </w:r>
        <w:r w:rsidR="00F135D0">
          <w:rPr>
            <w:noProof/>
            <w:webHidden/>
          </w:rPr>
          <w:fldChar w:fldCharType="separate"/>
        </w:r>
        <w:r>
          <w:rPr>
            <w:noProof/>
            <w:webHidden/>
          </w:rPr>
          <w:t>447</w:t>
        </w:r>
        <w:r w:rsidR="00F135D0">
          <w:rPr>
            <w:noProof/>
            <w:webHidden/>
          </w:rPr>
          <w:fldChar w:fldCharType="end"/>
        </w:r>
      </w:hyperlink>
    </w:p>
    <w:p w:rsidR="00F135D0" w:rsidRDefault="006B3E26" w14:paraId="3C30D3A1" w14:textId="335FBF28">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0">
        <w:r w:rsidRPr="008313B4" w:rsidR="00F135D0">
          <w:rPr>
            <w:rStyle w:val="Hyperlink"/>
            <w:noProof/>
          </w:rPr>
          <w:t>Levothyroxine (Thyroxine) Oral</w:t>
        </w:r>
        <w:r w:rsidR="00F135D0">
          <w:rPr>
            <w:noProof/>
            <w:webHidden/>
          </w:rPr>
          <w:tab/>
        </w:r>
        <w:r w:rsidR="00F135D0">
          <w:rPr>
            <w:noProof/>
            <w:webHidden/>
          </w:rPr>
          <w:fldChar w:fldCharType="begin"/>
        </w:r>
        <w:r w:rsidR="00F135D0">
          <w:rPr>
            <w:noProof/>
            <w:webHidden/>
          </w:rPr>
          <w:instrText xml:space="preserve"> PAGEREF _Toc75340050 \h </w:instrText>
        </w:r>
        <w:r w:rsidR="00F135D0">
          <w:rPr>
            <w:noProof/>
            <w:webHidden/>
          </w:rPr>
        </w:r>
        <w:r w:rsidR="00F135D0">
          <w:rPr>
            <w:noProof/>
            <w:webHidden/>
          </w:rPr>
          <w:fldChar w:fldCharType="separate"/>
        </w:r>
        <w:r>
          <w:rPr>
            <w:noProof/>
            <w:webHidden/>
          </w:rPr>
          <w:t>450</w:t>
        </w:r>
        <w:r w:rsidR="00F135D0">
          <w:rPr>
            <w:noProof/>
            <w:webHidden/>
          </w:rPr>
          <w:fldChar w:fldCharType="end"/>
        </w:r>
      </w:hyperlink>
    </w:p>
    <w:p w:rsidR="00F135D0" w:rsidRDefault="006B3E26" w14:paraId="383388AD" w14:textId="433DBD4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1">
        <w:r w:rsidRPr="008313B4" w:rsidR="00F135D0">
          <w:rPr>
            <w:rStyle w:val="Hyperlink"/>
            <w:noProof/>
          </w:rPr>
          <w:t>Tobramycin</w:t>
        </w:r>
        <w:r w:rsidR="00F135D0">
          <w:rPr>
            <w:noProof/>
            <w:webHidden/>
          </w:rPr>
          <w:tab/>
        </w:r>
        <w:r w:rsidR="00F135D0">
          <w:rPr>
            <w:noProof/>
            <w:webHidden/>
          </w:rPr>
          <w:fldChar w:fldCharType="begin"/>
        </w:r>
        <w:r w:rsidR="00F135D0">
          <w:rPr>
            <w:noProof/>
            <w:webHidden/>
          </w:rPr>
          <w:instrText xml:space="preserve"> PAGEREF _Toc75340051 \h </w:instrText>
        </w:r>
        <w:r w:rsidR="00F135D0">
          <w:rPr>
            <w:noProof/>
            <w:webHidden/>
          </w:rPr>
        </w:r>
        <w:r w:rsidR="00F135D0">
          <w:rPr>
            <w:noProof/>
            <w:webHidden/>
          </w:rPr>
          <w:fldChar w:fldCharType="separate"/>
        </w:r>
        <w:r>
          <w:rPr>
            <w:noProof/>
            <w:webHidden/>
          </w:rPr>
          <w:t>456</w:t>
        </w:r>
        <w:r w:rsidR="00F135D0">
          <w:rPr>
            <w:noProof/>
            <w:webHidden/>
          </w:rPr>
          <w:fldChar w:fldCharType="end"/>
        </w:r>
      </w:hyperlink>
    </w:p>
    <w:p w:rsidR="00F135D0" w:rsidRDefault="006B3E26" w14:paraId="2C0F2FBD" w14:textId="03C42D4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2">
        <w:r w:rsidRPr="008313B4" w:rsidR="00F135D0">
          <w:rPr>
            <w:rStyle w:val="Hyperlink"/>
            <w:noProof/>
          </w:rPr>
          <w:t>Ursodeoxycholic Acid</w:t>
        </w:r>
        <w:r w:rsidR="00F135D0">
          <w:rPr>
            <w:noProof/>
            <w:webHidden/>
          </w:rPr>
          <w:tab/>
        </w:r>
        <w:r w:rsidR="00F135D0">
          <w:rPr>
            <w:noProof/>
            <w:webHidden/>
          </w:rPr>
          <w:fldChar w:fldCharType="begin"/>
        </w:r>
        <w:r w:rsidR="00F135D0">
          <w:rPr>
            <w:noProof/>
            <w:webHidden/>
          </w:rPr>
          <w:instrText xml:space="preserve"> PAGEREF _Toc75340052 \h </w:instrText>
        </w:r>
        <w:r w:rsidR="00F135D0">
          <w:rPr>
            <w:noProof/>
            <w:webHidden/>
          </w:rPr>
        </w:r>
        <w:r w:rsidR="00F135D0">
          <w:rPr>
            <w:noProof/>
            <w:webHidden/>
          </w:rPr>
          <w:fldChar w:fldCharType="separate"/>
        </w:r>
        <w:r>
          <w:rPr>
            <w:noProof/>
            <w:webHidden/>
          </w:rPr>
          <w:t>461</w:t>
        </w:r>
        <w:r w:rsidR="00F135D0">
          <w:rPr>
            <w:noProof/>
            <w:webHidden/>
          </w:rPr>
          <w:fldChar w:fldCharType="end"/>
        </w:r>
      </w:hyperlink>
    </w:p>
    <w:p w:rsidR="00F135D0" w:rsidRDefault="006B3E26" w14:paraId="5DA725CC" w14:textId="2B61FC1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3">
        <w:r w:rsidRPr="008313B4" w:rsidR="00F135D0">
          <w:rPr>
            <w:rStyle w:val="Hyperlink"/>
            <w:noProof/>
          </w:rPr>
          <w:t>Valgancyclovir</w:t>
        </w:r>
        <w:r w:rsidR="00F135D0">
          <w:rPr>
            <w:noProof/>
            <w:webHidden/>
          </w:rPr>
          <w:tab/>
        </w:r>
        <w:r w:rsidR="00F135D0">
          <w:rPr>
            <w:noProof/>
            <w:webHidden/>
          </w:rPr>
          <w:fldChar w:fldCharType="begin"/>
        </w:r>
        <w:r w:rsidR="00F135D0">
          <w:rPr>
            <w:noProof/>
            <w:webHidden/>
          </w:rPr>
          <w:instrText xml:space="preserve"> PAGEREF _Toc75340053 \h </w:instrText>
        </w:r>
        <w:r w:rsidR="00F135D0">
          <w:rPr>
            <w:noProof/>
            <w:webHidden/>
          </w:rPr>
        </w:r>
        <w:r w:rsidR="00F135D0">
          <w:rPr>
            <w:noProof/>
            <w:webHidden/>
          </w:rPr>
          <w:fldChar w:fldCharType="separate"/>
        </w:r>
        <w:r>
          <w:rPr>
            <w:noProof/>
            <w:webHidden/>
          </w:rPr>
          <w:t>464</w:t>
        </w:r>
        <w:r w:rsidR="00F135D0">
          <w:rPr>
            <w:noProof/>
            <w:webHidden/>
          </w:rPr>
          <w:fldChar w:fldCharType="end"/>
        </w:r>
      </w:hyperlink>
    </w:p>
    <w:p w:rsidR="00F135D0" w:rsidRDefault="006B3E26" w14:paraId="7061EF87" w14:textId="696B422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4">
        <w:r w:rsidRPr="008313B4" w:rsidR="00F135D0">
          <w:rPr>
            <w:rStyle w:val="Hyperlink"/>
            <w:noProof/>
          </w:rPr>
          <w:t>Vancomycin-Continuous</w:t>
        </w:r>
        <w:r w:rsidR="00F135D0">
          <w:rPr>
            <w:noProof/>
            <w:webHidden/>
          </w:rPr>
          <w:tab/>
        </w:r>
        <w:r w:rsidR="00F135D0">
          <w:rPr>
            <w:noProof/>
            <w:webHidden/>
          </w:rPr>
          <w:fldChar w:fldCharType="begin"/>
        </w:r>
        <w:r w:rsidR="00F135D0">
          <w:rPr>
            <w:noProof/>
            <w:webHidden/>
          </w:rPr>
          <w:instrText xml:space="preserve"> PAGEREF _Toc75340054 \h </w:instrText>
        </w:r>
        <w:r w:rsidR="00F135D0">
          <w:rPr>
            <w:noProof/>
            <w:webHidden/>
          </w:rPr>
        </w:r>
        <w:r w:rsidR="00F135D0">
          <w:rPr>
            <w:noProof/>
            <w:webHidden/>
          </w:rPr>
          <w:fldChar w:fldCharType="separate"/>
        </w:r>
        <w:r>
          <w:rPr>
            <w:noProof/>
            <w:webHidden/>
          </w:rPr>
          <w:t>467</w:t>
        </w:r>
        <w:r w:rsidR="00F135D0">
          <w:rPr>
            <w:noProof/>
            <w:webHidden/>
          </w:rPr>
          <w:fldChar w:fldCharType="end"/>
        </w:r>
      </w:hyperlink>
    </w:p>
    <w:p w:rsidR="00F135D0" w:rsidRDefault="006B3E26" w14:paraId="782F07E0" w14:textId="6B5F6ACF">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5">
        <w:r w:rsidRPr="008313B4" w:rsidR="00F135D0">
          <w:rPr>
            <w:rStyle w:val="Hyperlink"/>
            <w:noProof/>
          </w:rPr>
          <w:t>Vancomycin-Intermittent</w:t>
        </w:r>
        <w:r w:rsidR="00F135D0">
          <w:rPr>
            <w:noProof/>
            <w:webHidden/>
          </w:rPr>
          <w:tab/>
        </w:r>
        <w:r w:rsidR="00F135D0">
          <w:rPr>
            <w:noProof/>
            <w:webHidden/>
          </w:rPr>
          <w:fldChar w:fldCharType="begin"/>
        </w:r>
        <w:r w:rsidR="00F135D0">
          <w:rPr>
            <w:noProof/>
            <w:webHidden/>
          </w:rPr>
          <w:instrText xml:space="preserve"> PAGEREF _Toc75340055 \h </w:instrText>
        </w:r>
        <w:r w:rsidR="00F135D0">
          <w:rPr>
            <w:noProof/>
            <w:webHidden/>
          </w:rPr>
        </w:r>
        <w:r w:rsidR="00F135D0">
          <w:rPr>
            <w:noProof/>
            <w:webHidden/>
          </w:rPr>
          <w:fldChar w:fldCharType="separate"/>
        </w:r>
        <w:r>
          <w:rPr>
            <w:noProof/>
            <w:webHidden/>
          </w:rPr>
          <w:t>473</w:t>
        </w:r>
        <w:r w:rsidR="00F135D0">
          <w:rPr>
            <w:noProof/>
            <w:webHidden/>
          </w:rPr>
          <w:fldChar w:fldCharType="end"/>
        </w:r>
      </w:hyperlink>
    </w:p>
    <w:p w:rsidR="00F135D0" w:rsidRDefault="006B3E26" w14:paraId="3F4E03B4" w14:textId="110A0A77">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6">
        <w:r w:rsidRPr="008313B4" w:rsidR="00F135D0">
          <w:rPr>
            <w:rStyle w:val="Hyperlink"/>
            <w:noProof/>
          </w:rPr>
          <w:t>Vasopressin</w:t>
        </w:r>
        <w:r w:rsidR="00F135D0">
          <w:rPr>
            <w:noProof/>
            <w:webHidden/>
          </w:rPr>
          <w:tab/>
        </w:r>
        <w:r w:rsidR="00F135D0">
          <w:rPr>
            <w:noProof/>
            <w:webHidden/>
          </w:rPr>
          <w:fldChar w:fldCharType="begin"/>
        </w:r>
        <w:r w:rsidR="00F135D0">
          <w:rPr>
            <w:noProof/>
            <w:webHidden/>
          </w:rPr>
          <w:instrText xml:space="preserve"> PAGEREF _Toc75340056 \h </w:instrText>
        </w:r>
        <w:r w:rsidR="00F135D0">
          <w:rPr>
            <w:noProof/>
            <w:webHidden/>
          </w:rPr>
        </w:r>
        <w:r w:rsidR="00F135D0">
          <w:rPr>
            <w:noProof/>
            <w:webHidden/>
          </w:rPr>
          <w:fldChar w:fldCharType="separate"/>
        </w:r>
        <w:r>
          <w:rPr>
            <w:noProof/>
            <w:webHidden/>
          </w:rPr>
          <w:t>480</w:t>
        </w:r>
        <w:r w:rsidR="00F135D0">
          <w:rPr>
            <w:noProof/>
            <w:webHidden/>
          </w:rPr>
          <w:fldChar w:fldCharType="end"/>
        </w:r>
      </w:hyperlink>
    </w:p>
    <w:p w:rsidR="00F135D0" w:rsidRDefault="006B3E26" w14:paraId="2EF0D673" w14:textId="5BEE5FE4">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7">
        <w:r w:rsidRPr="008313B4" w:rsidR="00F135D0">
          <w:rPr>
            <w:rStyle w:val="Hyperlink"/>
            <w:noProof/>
          </w:rPr>
          <w:t>Vecuronium</w:t>
        </w:r>
        <w:r w:rsidR="00F135D0">
          <w:rPr>
            <w:noProof/>
            <w:webHidden/>
          </w:rPr>
          <w:tab/>
        </w:r>
        <w:r w:rsidR="00F135D0">
          <w:rPr>
            <w:noProof/>
            <w:webHidden/>
          </w:rPr>
          <w:fldChar w:fldCharType="begin"/>
        </w:r>
        <w:r w:rsidR="00F135D0">
          <w:rPr>
            <w:noProof/>
            <w:webHidden/>
          </w:rPr>
          <w:instrText xml:space="preserve"> PAGEREF _Toc75340057 \h </w:instrText>
        </w:r>
        <w:r w:rsidR="00F135D0">
          <w:rPr>
            <w:noProof/>
            <w:webHidden/>
          </w:rPr>
        </w:r>
        <w:r w:rsidR="00F135D0">
          <w:rPr>
            <w:noProof/>
            <w:webHidden/>
          </w:rPr>
          <w:fldChar w:fldCharType="separate"/>
        </w:r>
        <w:r>
          <w:rPr>
            <w:noProof/>
            <w:webHidden/>
          </w:rPr>
          <w:t>485</w:t>
        </w:r>
        <w:r w:rsidR="00F135D0">
          <w:rPr>
            <w:noProof/>
            <w:webHidden/>
          </w:rPr>
          <w:fldChar w:fldCharType="end"/>
        </w:r>
      </w:hyperlink>
    </w:p>
    <w:p w:rsidR="00F135D0" w:rsidRDefault="006B3E26" w14:paraId="685FCD3F" w14:textId="03944DA1">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8">
        <w:r w:rsidRPr="008313B4" w:rsidR="00F135D0">
          <w:rPr>
            <w:rStyle w:val="Hyperlink"/>
            <w:noProof/>
          </w:rPr>
          <w:t>Vitamin A (Retinol)</w:t>
        </w:r>
        <w:r w:rsidR="00F135D0">
          <w:rPr>
            <w:noProof/>
            <w:webHidden/>
          </w:rPr>
          <w:tab/>
        </w:r>
        <w:r w:rsidR="00F135D0">
          <w:rPr>
            <w:noProof/>
            <w:webHidden/>
          </w:rPr>
          <w:fldChar w:fldCharType="begin"/>
        </w:r>
        <w:r w:rsidR="00F135D0">
          <w:rPr>
            <w:noProof/>
            <w:webHidden/>
          </w:rPr>
          <w:instrText xml:space="preserve"> PAGEREF _Toc75340058 \h </w:instrText>
        </w:r>
        <w:r w:rsidR="00F135D0">
          <w:rPr>
            <w:noProof/>
            <w:webHidden/>
          </w:rPr>
        </w:r>
        <w:r w:rsidR="00F135D0">
          <w:rPr>
            <w:noProof/>
            <w:webHidden/>
          </w:rPr>
          <w:fldChar w:fldCharType="separate"/>
        </w:r>
        <w:r>
          <w:rPr>
            <w:noProof/>
            <w:webHidden/>
          </w:rPr>
          <w:t>490</w:t>
        </w:r>
        <w:r w:rsidR="00F135D0">
          <w:rPr>
            <w:noProof/>
            <w:webHidden/>
          </w:rPr>
          <w:fldChar w:fldCharType="end"/>
        </w:r>
      </w:hyperlink>
    </w:p>
    <w:p w:rsidR="00F135D0" w:rsidRDefault="006B3E26" w14:paraId="3E51D110" w14:textId="4734FB89">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59">
        <w:r w:rsidRPr="008313B4" w:rsidR="00F135D0">
          <w:rPr>
            <w:rStyle w:val="Hyperlink"/>
            <w:noProof/>
          </w:rPr>
          <w:t>Vitamin D3 (Cholecalciferol)</w:t>
        </w:r>
        <w:r w:rsidR="00F135D0">
          <w:rPr>
            <w:noProof/>
            <w:webHidden/>
          </w:rPr>
          <w:tab/>
        </w:r>
        <w:r w:rsidR="00F135D0">
          <w:rPr>
            <w:noProof/>
            <w:webHidden/>
          </w:rPr>
          <w:fldChar w:fldCharType="begin"/>
        </w:r>
        <w:r w:rsidR="00F135D0">
          <w:rPr>
            <w:noProof/>
            <w:webHidden/>
          </w:rPr>
          <w:instrText xml:space="preserve"> PAGEREF _Toc75340059 \h </w:instrText>
        </w:r>
        <w:r w:rsidR="00F135D0">
          <w:rPr>
            <w:noProof/>
            <w:webHidden/>
          </w:rPr>
        </w:r>
        <w:r w:rsidR="00F135D0">
          <w:rPr>
            <w:noProof/>
            <w:webHidden/>
          </w:rPr>
          <w:fldChar w:fldCharType="separate"/>
        </w:r>
        <w:r>
          <w:rPr>
            <w:noProof/>
            <w:webHidden/>
          </w:rPr>
          <w:t>493</w:t>
        </w:r>
        <w:r w:rsidR="00F135D0">
          <w:rPr>
            <w:noProof/>
            <w:webHidden/>
          </w:rPr>
          <w:fldChar w:fldCharType="end"/>
        </w:r>
      </w:hyperlink>
    </w:p>
    <w:p w:rsidR="00F135D0" w:rsidRDefault="006B3E26" w14:paraId="63CE3138" w14:textId="337C54DE">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60">
        <w:r w:rsidRPr="008313B4" w:rsidR="00F135D0">
          <w:rPr>
            <w:rStyle w:val="Hyperlink"/>
            <w:noProof/>
          </w:rPr>
          <w:t>Vitamin E (Alpha-Tocopherol)</w:t>
        </w:r>
        <w:r w:rsidR="00F135D0">
          <w:rPr>
            <w:noProof/>
            <w:webHidden/>
          </w:rPr>
          <w:tab/>
        </w:r>
        <w:r w:rsidR="00F135D0">
          <w:rPr>
            <w:noProof/>
            <w:webHidden/>
          </w:rPr>
          <w:fldChar w:fldCharType="begin"/>
        </w:r>
        <w:r w:rsidR="00F135D0">
          <w:rPr>
            <w:noProof/>
            <w:webHidden/>
          </w:rPr>
          <w:instrText xml:space="preserve"> PAGEREF _Toc75340060 \h </w:instrText>
        </w:r>
        <w:r w:rsidR="00F135D0">
          <w:rPr>
            <w:noProof/>
            <w:webHidden/>
          </w:rPr>
        </w:r>
        <w:r w:rsidR="00F135D0">
          <w:rPr>
            <w:noProof/>
            <w:webHidden/>
          </w:rPr>
          <w:fldChar w:fldCharType="separate"/>
        </w:r>
        <w:r>
          <w:rPr>
            <w:noProof/>
            <w:webHidden/>
          </w:rPr>
          <w:t>502</w:t>
        </w:r>
        <w:r w:rsidR="00F135D0">
          <w:rPr>
            <w:noProof/>
            <w:webHidden/>
          </w:rPr>
          <w:fldChar w:fldCharType="end"/>
        </w:r>
      </w:hyperlink>
    </w:p>
    <w:p w:rsidR="00F135D0" w:rsidRDefault="006B3E26" w14:paraId="78432C73" w14:textId="0C34348C">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61">
        <w:r w:rsidRPr="008313B4" w:rsidR="00F135D0">
          <w:rPr>
            <w:rStyle w:val="Hyperlink"/>
            <w:noProof/>
          </w:rPr>
          <w:t>Vitamin K1</w:t>
        </w:r>
        <w:r w:rsidR="00F135D0">
          <w:rPr>
            <w:noProof/>
            <w:webHidden/>
          </w:rPr>
          <w:tab/>
        </w:r>
        <w:r w:rsidR="00F135D0">
          <w:rPr>
            <w:noProof/>
            <w:webHidden/>
          </w:rPr>
          <w:fldChar w:fldCharType="begin"/>
        </w:r>
        <w:r w:rsidR="00F135D0">
          <w:rPr>
            <w:noProof/>
            <w:webHidden/>
          </w:rPr>
          <w:instrText xml:space="preserve"> PAGEREF _Toc75340061 \h </w:instrText>
        </w:r>
        <w:r w:rsidR="00F135D0">
          <w:rPr>
            <w:noProof/>
            <w:webHidden/>
          </w:rPr>
        </w:r>
        <w:r w:rsidR="00F135D0">
          <w:rPr>
            <w:noProof/>
            <w:webHidden/>
          </w:rPr>
          <w:fldChar w:fldCharType="separate"/>
        </w:r>
        <w:r>
          <w:rPr>
            <w:noProof/>
            <w:webHidden/>
          </w:rPr>
          <w:t>505</w:t>
        </w:r>
        <w:r w:rsidR="00F135D0">
          <w:rPr>
            <w:noProof/>
            <w:webHidden/>
          </w:rPr>
          <w:fldChar w:fldCharType="end"/>
        </w:r>
      </w:hyperlink>
    </w:p>
    <w:p w:rsidR="00F135D0" w:rsidRDefault="006B3E26" w14:paraId="440D2253" w14:textId="4882580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62">
        <w:r w:rsidRPr="008313B4" w:rsidR="00F135D0">
          <w:rPr>
            <w:rStyle w:val="Hyperlink"/>
            <w:noProof/>
          </w:rPr>
          <w:t>Zidovudine</w:t>
        </w:r>
        <w:r w:rsidR="00F135D0">
          <w:rPr>
            <w:noProof/>
            <w:webHidden/>
          </w:rPr>
          <w:tab/>
        </w:r>
        <w:r w:rsidR="00F135D0">
          <w:rPr>
            <w:noProof/>
            <w:webHidden/>
          </w:rPr>
          <w:fldChar w:fldCharType="begin"/>
        </w:r>
        <w:r w:rsidR="00F135D0">
          <w:rPr>
            <w:noProof/>
            <w:webHidden/>
          </w:rPr>
          <w:instrText xml:space="preserve"> PAGEREF _Toc75340062 \h </w:instrText>
        </w:r>
        <w:r w:rsidR="00F135D0">
          <w:rPr>
            <w:noProof/>
            <w:webHidden/>
          </w:rPr>
        </w:r>
        <w:r w:rsidR="00F135D0">
          <w:rPr>
            <w:noProof/>
            <w:webHidden/>
          </w:rPr>
          <w:fldChar w:fldCharType="separate"/>
        </w:r>
        <w:r>
          <w:rPr>
            <w:noProof/>
            <w:webHidden/>
          </w:rPr>
          <w:t>508</w:t>
        </w:r>
        <w:r w:rsidR="00F135D0">
          <w:rPr>
            <w:noProof/>
            <w:webHidden/>
          </w:rPr>
          <w:fldChar w:fldCharType="end"/>
        </w:r>
      </w:hyperlink>
    </w:p>
    <w:p w:rsidR="00F135D0" w:rsidRDefault="006B3E26" w14:paraId="46EAAF61" w14:textId="230E82B0">
      <w:pPr>
        <w:pStyle w:val="TOC1"/>
        <w:tabs>
          <w:tab w:val="right" w:leader="dot" w:pos="9016"/>
        </w:tabs>
        <w:rPr>
          <w:rFonts w:asciiTheme="minorHAnsi" w:hAnsiTheme="minorHAnsi" w:eastAsiaTheme="minorEastAsia" w:cstheme="minorBidi"/>
          <w:noProof/>
          <w:sz w:val="22"/>
          <w:szCs w:val="22"/>
          <w:lang w:val="en-AU" w:eastAsia="en-AU"/>
        </w:rPr>
      </w:pPr>
      <w:hyperlink w:history="1" w:anchor="_Toc75340063">
        <w:r w:rsidRPr="008313B4" w:rsidR="00F135D0">
          <w:rPr>
            <w:rStyle w:val="Hyperlink"/>
            <w:noProof/>
          </w:rPr>
          <w:t>Zoster Immunoglobulin</w:t>
        </w:r>
        <w:r w:rsidR="00F135D0">
          <w:rPr>
            <w:noProof/>
            <w:webHidden/>
          </w:rPr>
          <w:tab/>
        </w:r>
        <w:r w:rsidR="00F135D0">
          <w:rPr>
            <w:noProof/>
            <w:webHidden/>
          </w:rPr>
          <w:fldChar w:fldCharType="begin"/>
        </w:r>
        <w:r w:rsidR="00F135D0">
          <w:rPr>
            <w:noProof/>
            <w:webHidden/>
          </w:rPr>
          <w:instrText xml:space="preserve"> PAGEREF _Toc75340063 \h </w:instrText>
        </w:r>
        <w:r w:rsidR="00F135D0">
          <w:rPr>
            <w:noProof/>
            <w:webHidden/>
          </w:rPr>
        </w:r>
        <w:r w:rsidR="00F135D0">
          <w:rPr>
            <w:noProof/>
            <w:webHidden/>
          </w:rPr>
          <w:fldChar w:fldCharType="separate"/>
        </w:r>
        <w:r>
          <w:rPr>
            <w:noProof/>
            <w:webHidden/>
          </w:rPr>
          <w:t>512</w:t>
        </w:r>
        <w:r w:rsidR="00F135D0">
          <w:rPr>
            <w:noProof/>
            <w:webHidden/>
          </w:rPr>
          <w:fldChar w:fldCharType="end"/>
        </w:r>
      </w:hyperlink>
    </w:p>
    <w:p w:rsidR="00115F48" w:rsidP="006F0321" w:rsidRDefault="00E478EA" w14:paraId="57C76FC8" w14:textId="3457054A">
      <w:r>
        <w:lastRenderedPageBreak/>
        <w:fldChar w:fldCharType="end"/>
      </w:r>
      <w:r w:rsidRPr="00E25790" w:rsidR="00115F48">
        <w:br w:type="page"/>
      </w:r>
    </w:p>
    <w:tbl>
      <w:tblPr>
        <w:tblpPr w:leftFromText="180" w:rightFromText="180" w:vertAnchor="text" w:horzAnchor="margin" w:tblpY="181"/>
        <w:tblW w:w="9072" w:type="dxa"/>
        <w:tblLook w:val="0000" w:firstRow="0" w:lastRow="0" w:firstColumn="0" w:lastColumn="0" w:noHBand="0" w:noVBand="0"/>
      </w:tblPr>
      <w:tblGrid>
        <w:gridCol w:w="9072"/>
      </w:tblGrid>
      <w:tr w:rsidRPr="006F0321" w:rsidR="006F0321" w:rsidTr="006F0321" w14:paraId="5020D6C3" w14:textId="77777777">
        <w:trPr>
          <w:cantSplit/>
          <w:trHeight w:val="285"/>
        </w:trPr>
        <w:tc>
          <w:tcPr>
            <w:tcW w:w="9072" w:type="dxa"/>
            <w:shd w:val="clear" w:color="auto" w:fill="A6A6A6" w:themeFill="background1" w:themeFillShade="A6"/>
          </w:tcPr>
          <w:p w:rsidRPr="006F0321" w:rsidR="006F0321" w:rsidP="0007778A" w:rsidRDefault="006F0321" w14:paraId="1918311D" w14:textId="77777777">
            <w:pPr>
              <w:pStyle w:val="Heading1"/>
            </w:pPr>
            <w:bookmarkStart w:name="_Toc75339919" w:id="9"/>
            <w:r w:rsidRPr="006F0321">
              <w:lastRenderedPageBreak/>
              <w:t>Introduction</w:t>
            </w:r>
            <w:bookmarkEnd w:id="9"/>
          </w:p>
        </w:tc>
      </w:tr>
    </w:tbl>
    <w:p w:rsidR="006F0321" w:rsidP="006F0321" w:rsidRDefault="006F0321" w14:paraId="16DBDDA5" w14:textId="2AD5F307"/>
    <w:p w:rsidR="00D22577" w:rsidP="006F0321" w:rsidRDefault="00D22577" w14:paraId="6CD92DC1" w14:textId="0012EEBE">
      <w:pPr>
        <w:rPr>
          <w:b/>
          <w:bCs/>
        </w:rPr>
      </w:pPr>
      <w:r>
        <w:rPr>
          <w:b/>
          <w:bCs/>
        </w:rPr>
        <w:t>Scope</w:t>
      </w:r>
    </w:p>
    <w:p w:rsidR="00D22577" w:rsidP="006F0321" w:rsidRDefault="00D22577" w14:paraId="715DADA9" w14:textId="1A922966">
      <w:r>
        <w:t xml:space="preserve">This guideline applies to all staff working within their scope of practice in the Department of Neonatology, Canberra Health Services (CHS). </w:t>
      </w:r>
    </w:p>
    <w:p w:rsidR="00D22577" w:rsidP="006F0321" w:rsidRDefault="00D22577" w14:paraId="10C68576" w14:textId="2AFAAEA0"/>
    <w:p w:rsidR="00D22577" w:rsidP="006F0321" w:rsidRDefault="00D22577" w14:paraId="6E09F0C9" w14:textId="7599B38F">
      <w:pPr>
        <w:rPr>
          <w:b/>
          <w:bCs/>
        </w:rPr>
      </w:pPr>
      <w:r>
        <w:rPr>
          <w:b/>
          <w:bCs/>
        </w:rPr>
        <w:t>Background</w:t>
      </w:r>
    </w:p>
    <w:p w:rsidRPr="00D22577" w:rsidR="00D22577" w:rsidP="006F0321" w:rsidRDefault="00D22577" w14:paraId="1C573A0E" w14:textId="4722F097">
      <w:r>
        <w:t xml:space="preserve">The drug guidelines have been developed after thorough review of recent perinatal literature, the Australian Neonatal Medicines Formulary (ANMF) as well as experiences within the CHS Neonatology Unit. </w:t>
      </w:r>
    </w:p>
    <w:p w:rsidR="00D22577" w:rsidP="006F0321" w:rsidRDefault="00D22577" w14:paraId="6753C173" w14:textId="7DD445F4">
      <w:pPr>
        <w:rPr>
          <w:b/>
          <w:bCs/>
        </w:rPr>
      </w:pPr>
    </w:p>
    <w:p w:rsidR="00D22577" w:rsidP="006F0321" w:rsidRDefault="00D22577" w14:paraId="538CA3A4" w14:textId="1F063EB1">
      <w:r>
        <w:t xml:space="preserve">The manual includes up to date versions of ANMF drugs as well as other drug pages not on ANMF. Several ANMF drugs have been modified to suit local practices as well as CHS formulary availability (changes have been highlighted within the page). It is a requirement for staff in scope to follow the drug pages in this manual (located on the </w:t>
      </w:r>
      <w:r w:rsidR="00E14C2B">
        <w:t xml:space="preserve">CHS </w:t>
      </w:r>
      <w:r>
        <w:t xml:space="preserve">Policy and Guidance Documents Register) instead of downloading from the ANMF website. </w:t>
      </w:r>
    </w:p>
    <w:p w:rsidR="00D22577" w:rsidP="006F0321" w:rsidRDefault="00D22577" w14:paraId="5C594BE2" w14:textId="68C10E04"/>
    <w:p w:rsidRPr="00D22577" w:rsidR="00D22577" w:rsidP="00E14C2B" w:rsidRDefault="00D22577" w14:paraId="5143A564" w14:textId="6DEDF565">
      <w:pPr>
        <w:pStyle w:val="Footer"/>
      </w:pPr>
      <w:r>
        <w:t>Some methods of administration may be considered new or novel but should not be avoided for this reason. R</w:t>
      </w:r>
      <w:r w:rsidR="00E14C2B">
        <w:t>e</w:t>
      </w:r>
      <w:r>
        <w:t>commendations</w:t>
      </w:r>
      <w:r w:rsidR="00E14C2B">
        <w:t xml:space="preserve"> </w:t>
      </w:r>
      <w:r>
        <w:t>are made on the best available evidence. Should there be any discrepancies, staff should bring these to the attention of the authors. Suggestions for change are welcome.</w:t>
      </w:r>
      <w:r w:rsidRPr="00E14C2B" w:rsidR="00E14C2B">
        <w:t xml:space="preserve"> </w:t>
      </w:r>
      <w:r w:rsidRPr="006F0321" w:rsidR="00E14C2B">
        <w:t>Thank you for your continued efforts in keeping this document up to date with the latest evidence.</w:t>
      </w:r>
      <w:r>
        <w:t xml:space="preserve"> </w:t>
      </w:r>
    </w:p>
    <w:p w:rsidR="00D22577" w:rsidP="006F0321" w:rsidRDefault="00D22577" w14:paraId="7004A900" w14:textId="77777777">
      <w:pPr>
        <w:rPr>
          <w:b/>
          <w:bCs/>
        </w:rPr>
      </w:pPr>
    </w:p>
    <w:p w:rsidR="00D22577" w:rsidP="006F0321" w:rsidRDefault="00D22577" w14:paraId="10E1EBEA" w14:textId="4DC2588B">
      <w:pPr>
        <w:rPr>
          <w:b/>
          <w:bCs/>
        </w:rPr>
      </w:pPr>
      <w:r>
        <w:rPr>
          <w:b/>
          <w:bCs/>
        </w:rPr>
        <w:t xml:space="preserve">Governance </w:t>
      </w:r>
    </w:p>
    <w:p w:rsidR="00E14C2B" w:rsidP="006F0321" w:rsidRDefault="00E14C2B" w14:paraId="35D13075" w14:textId="7D1DCC8C">
      <w:r>
        <w:t xml:space="preserve">Approval of and changes to the drugs in this manual is through the Drugs and Therapeutic Committee (DTC). </w:t>
      </w:r>
    </w:p>
    <w:p w:rsidR="00E14C2B" w:rsidP="006F0321" w:rsidRDefault="00E14C2B" w14:paraId="4998BFB0" w14:textId="03FEA52C"/>
    <w:p w:rsidR="00E14C2B" w:rsidP="006F0321" w:rsidRDefault="00E14C2B" w14:paraId="5B13417B" w14:textId="65ECC6DF">
      <w:r>
        <w:t xml:space="preserve">This manual is routinely updated by the Departments of Neonatology and Pharmacy. Each drug is reviewed by consultants and pharmacists in the Department of Neonatology prior to submission to the DTC. As Neomed drugs have already been reviewed by several neonatologists, pharmacists and subject matter experts, they are submitted to DTC without a CHS consultation process. </w:t>
      </w:r>
    </w:p>
    <w:p w:rsidR="00E14C2B" w:rsidP="006F0321" w:rsidRDefault="00E14C2B" w14:paraId="776D0203" w14:textId="77777777"/>
    <w:p w:rsidRPr="00D22577" w:rsidR="00E14C2B" w:rsidP="006F0321" w:rsidRDefault="00D22577" w14:paraId="3CCBF2DE" w14:textId="5CEC241E">
      <w:r>
        <w:t>Entries in this manual should not be annotated or marked</w:t>
      </w:r>
      <w:r w:rsidR="00E14C2B">
        <w:t xml:space="preserve"> – this will only serve to confuse and may lead to mistakes or errors in administration. </w:t>
      </w:r>
    </w:p>
    <w:p w:rsidRPr="006F0321" w:rsidR="00115F48" w:rsidP="006F0321" w:rsidRDefault="00115F48" w14:paraId="49E786C5" w14:textId="77777777">
      <w:bookmarkStart w:name="_Hlk42590617" w:id="10"/>
    </w:p>
    <w:p w:rsidRPr="00E14C2B" w:rsidR="00E14C2B" w:rsidP="006F0321" w:rsidRDefault="00E14C2B" w14:paraId="66230F21" w14:textId="62521FB2">
      <w:pPr>
        <w:rPr>
          <w:b/>
          <w:bCs/>
        </w:rPr>
      </w:pPr>
      <w:r>
        <w:rPr>
          <w:b/>
          <w:bCs/>
        </w:rPr>
        <w:t>Abbreviations</w:t>
      </w:r>
    </w:p>
    <w:p w:rsidRPr="006F0321" w:rsidR="00115F48" w:rsidP="006F0321" w:rsidRDefault="00115F48" w14:paraId="522A0829" w14:textId="605CE0A5">
      <w:r w:rsidRPr="006F0321">
        <w:t>Note that the following abreviations are used throughout this document:</w:t>
      </w:r>
    </w:p>
    <w:p w:rsidRPr="006F0321" w:rsidR="00115F48" w:rsidP="006F0321" w:rsidRDefault="00115F48" w14:paraId="3187E982" w14:textId="77777777">
      <w:r w:rsidRPr="006F0321">
        <w:t xml:space="preserve">WFI </w:t>
      </w:r>
      <w:r w:rsidRPr="006F0321">
        <w:tab/>
      </w:r>
      <w:r w:rsidRPr="006F0321">
        <w:t>= Water for injection.</w:t>
      </w:r>
    </w:p>
    <w:p w:rsidRPr="006F0321" w:rsidR="00115F48" w:rsidP="006F0321" w:rsidRDefault="00115F48" w14:paraId="4615E72F" w14:textId="77777777">
      <w:r w:rsidRPr="006F0321">
        <w:t>D5W</w:t>
      </w:r>
      <w:r w:rsidRPr="006F0321">
        <w:tab/>
      </w:r>
      <w:r w:rsidRPr="006F0321">
        <w:t>= 5%   Dextrose Water</w:t>
      </w:r>
    </w:p>
    <w:p w:rsidRPr="006F0321" w:rsidR="00115F48" w:rsidP="006F0321" w:rsidRDefault="00115F48" w14:paraId="5152D070" w14:textId="77777777">
      <w:r w:rsidRPr="006F0321">
        <w:t>D10W</w:t>
      </w:r>
      <w:r w:rsidRPr="006F0321">
        <w:tab/>
      </w:r>
      <w:r w:rsidRPr="006F0321">
        <w:t>= 10% Dextrose Water</w:t>
      </w:r>
    </w:p>
    <w:p w:rsidRPr="006F0321" w:rsidR="00115F48" w:rsidP="006F0321" w:rsidRDefault="00115F48" w14:paraId="711334C6" w14:textId="77777777">
      <w:r w:rsidRPr="006F0321">
        <w:t>NS</w:t>
      </w:r>
      <w:r w:rsidRPr="006F0321" w:rsidR="0048482D">
        <w:t xml:space="preserve"> </w:t>
      </w:r>
      <w:r w:rsidRPr="006F0321" w:rsidR="0048482D">
        <w:tab/>
      </w:r>
      <w:r w:rsidRPr="006F0321">
        <w:t>= 0.9% Normal Saline</w:t>
      </w:r>
    </w:p>
    <w:p w:rsidR="00115F48" w:rsidP="006F0321" w:rsidRDefault="00115F48" w14:paraId="08DC72D7" w14:textId="22374373"/>
    <w:p w:rsidRPr="00B27ACE" w:rsidR="00E14C2B" w:rsidP="00E14C2B" w:rsidRDefault="00E14C2B" w14:paraId="1055FA3E" w14:textId="77777777">
      <w:pPr>
        <w:jc w:val="both"/>
        <w:rPr>
          <w:szCs w:val="24"/>
        </w:rPr>
      </w:pPr>
      <w:r w:rsidRPr="00B27ACE">
        <w:rPr>
          <w:szCs w:val="24"/>
        </w:rPr>
        <w:lastRenderedPageBreak/>
        <w:t>AK: Alison Kent</w:t>
      </w:r>
    </w:p>
    <w:p w:rsidRPr="00B27ACE" w:rsidR="00E14C2B" w:rsidP="00E14C2B" w:rsidRDefault="00E14C2B" w14:paraId="4D6DCB47" w14:textId="77777777">
      <w:pPr>
        <w:jc w:val="both"/>
        <w:rPr>
          <w:szCs w:val="24"/>
        </w:rPr>
      </w:pPr>
      <w:r w:rsidRPr="00B27ACE">
        <w:rPr>
          <w:szCs w:val="24"/>
        </w:rPr>
        <w:t>JD: Jacky Dobson</w:t>
      </w:r>
    </w:p>
    <w:p w:rsidRPr="00B27ACE" w:rsidR="00E14C2B" w:rsidP="00E14C2B" w:rsidRDefault="00E14C2B" w14:paraId="081C49D3" w14:textId="77777777">
      <w:pPr>
        <w:jc w:val="both"/>
        <w:rPr>
          <w:szCs w:val="24"/>
        </w:rPr>
      </w:pPr>
      <w:r w:rsidRPr="00B27ACE">
        <w:rPr>
          <w:szCs w:val="24"/>
        </w:rPr>
        <w:t>TC: Tejasvi Chaudhari</w:t>
      </w:r>
    </w:p>
    <w:p w:rsidRPr="00B27ACE" w:rsidR="00E14C2B" w:rsidP="00E14C2B" w:rsidRDefault="00E14C2B" w14:paraId="4048CDC3" w14:textId="77777777">
      <w:pPr>
        <w:jc w:val="both"/>
        <w:rPr>
          <w:szCs w:val="24"/>
        </w:rPr>
      </w:pPr>
      <w:r w:rsidRPr="00B27ACE">
        <w:rPr>
          <w:szCs w:val="24"/>
        </w:rPr>
        <w:t>KOH: Kate O’Hara</w:t>
      </w:r>
    </w:p>
    <w:p w:rsidR="00E14C2B" w:rsidP="00E14C2B" w:rsidRDefault="00E14C2B" w14:paraId="440A8ED3" w14:textId="77777777">
      <w:pPr>
        <w:jc w:val="both"/>
      </w:pPr>
      <w:r>
        <w:t>MO: Miriam O’Brien</w:t>
      </w:r>
    </w:p>
    <w:p w:rsidR="00E14C2B" w:rsidP="00E14C2B" w:rsidRDefault="00E14C2B" w14:paraId="64161E73" w14:textId="77777777">
      <w:pPr>
        <w:jc w:val="both"/>
      </w:pPr>
      <w:r>
        <w:t>TCo: Tim Cochrane</w:t>
      </w:r>
    </w:p>
    <w:p w:rsidR="00E14C2B" w:rsidP="00E14C2B" w:rsidRDefault="00E14C2B" w14:paraId="3F9B0DE6" w14:textId="77777777">
      <w:pPr>
        <w:jc w:val="both"/>
      </w:pPr>
      <w:r>
        <w:t>NS: Nadia Schmidt</w:t>
      </w:r>
    </w:p>
    <w:p w:rsidR="00E14C2B" w:rsidP="00E14C2B" w:rsidRDefault="00E14C2B" w14:paraId="3A710E84" w14:textId="77777777">
      <w:pPr>
        <w:jc w:val="both"/>
      </w:pPr>
      <w:r>
        <w:t>NK: Naseema Khan</w:t>
      </w:r>
    </w:p>
    <w:p w:rsidR="00E14C2B" w:rsidP="00E14C2B" w:rsidRDefault="00E14C2B" w14:paraId="1E46AF41" w14:textId="77777777">
      <w:pPr>
        <w:jc w:val="both"/>
      </w:pPr>
      <w:r>
        <w:t>DT: David Todd</w:t>
      </w:r>
    </w:p>
    <w:p w:rsidR="00E14C2B" w:rsidP="00E14C2B" w:rsidRDefault="00E14C2B" w14:paraId="18BE072A" w14:textId="77777777">
      <w:pPr>
        <w:jc w:val="both"/>
      </w:pPr>
      <w:r>
        <w:t>LM: Latif Mohamed</w:t>
      </w:r>
    </w:p>
    <w:p w:rsidR="00E14C2B" w:rsidP="00E14C2B" w:rsidRDefault="00E14C2B" w14:paraId="4D2592B9" w14:textId="77777777">
      <w:pPr>
        <w:jc w:val="both"/>
      </w:pPr>
      <w:r>
        <w:t>ZK: Zsuzsoka Kecskes</w:t>
      </w:r>
    </w:p>
    <w:p w:rsidR="00E14C2B" w:rsidP="00E14C2B" w:rsidRDefault="00E14C2B" w14:paraId="357AB373" w14:textId="77777777">
      <w:pPr>
        <w:jc w:val="both"/>
      </w:pPr>
      <w:r>
        <w:t>HC: Hazel Carlisle</w:t>
      </w:r>
    </w:p>
    <w:p w:rsidRPr="0058472D" w:rsidR="00E14C2B" w:rsidP="00E14C2B" w:rsidRDefault="00E14C2B" w14:paraId="3F43205D" w14:textId="77777777">
      <w:pPr>
        <w:jc w:val="both"/>
      </w:pPr>
      <w:r>
        <w:t>DD: Deepa Dorasamy</w:t>
      </w:r>
    </w:p>
    <w:p w:rsidR="00E14C2B" w:rsidP="00E478EA" w:rsidRDefault="00E14C2B" w14:paraId="3D235A8F" w14:textId="77777777"/>
    <w:p w:rsidRPr="006F0321" w:rsidR="00E14C2B" w:rsidP="00E478EA" w:rsidRDefault="00E14C2B" w14:paraId="3D3E8313" w14:textId="77777777"/>
    <w:bookmarkEnd w:id="10"/>
    <w:p w:rsidRPr="006F0321" w:rsidR="006F0321" w:rsidP="00E478EA" w:rsidRDefault="006F0321" w14:paraId="10522C11" w14:textId="77777777"/>
    <w:p w:rsidRPr="00E478EA" w:rsidR="00B27ACE" w:rsidP="00E478EA" w:rsidRDefault="00B27ACE" w14:paraId="3B713F2C" w14:textId="77777777">
      <w:pPr>
        <w:rPr>
          <w:b/>
          <w:bCs/>
          <w:i/>
          <w:iCs/>
        </w:rPr>
      </w:pPr>
      <w:bookmarkStart w:name="_Toc65510717" w:id="11"/>
      <w:bookmarkStart w:name="_Toc65579466" w:id="12"/>
      <w:bookmarkStart w:name="_Toc65595742" w:id="13"/>
      <w:bookmarkStart w:name="_Toc65679996" w:id="14"/>
      <w:bookmarkStart w:name="_Toc65683986" w:id="15"/>
      <w:r w:rsidRPr="00E478EA">
        <w:rPr>
          <w:b/>
          <w:bCs/>
          <w:i/>
          <w:iCs/>
        </w:rPr>
        <w:t>Tejasvi Chaudhari, Miriam O’Brien, Kate O’Hara</w:t>
      </w:r>
      <w:bookmarkEnd w:id="11"/>
      <w:bookmarkEnd w:id="12"/>
      <w:bookmarkEnd w:id="13"/>
      <w:bookmarkEnd w:id="14"/>
      <w:bookmarkEnd w:id="15"/>
    </w:p>
    <w:p w:rsidRPr="00E478EA" w:rsidR="00B27ACE" w:rsidP="00E478EA" w:rsidRDefault="00B27ACE" w14:paraId="02916144" w14:textId="77777777">
      <w:pPr>
        <w:rPr>
          <w:b/>
          <w:bCs/>
          <w:i/>
          <w:iCs/>
        </w:rPr>
      </w:pPr>
      <w:bookmarkStart w:name="_Toc65510718" w:id="16"/>
      <w:bookmarkStart w:name="_Toc65579467" w:id="17"/>
      <w:bookmarkStart w:name="_Toc65595743" w:id="18"/>
      <w:bookmarkStart w:name="_Toc65679997" w:id="19"/>
      <w:bookmarkStart w:name="_Toc65683987" w:id="20"/>
      <w:r w:rsidRPr="00E478EA">
        <w:rPr>
          <w:b/>
          <w:bCs/>
          <w:i/>
          <w:iCs/>
        </w:rPr>
        <w:t>Department of Neonatology and Pharmacy</w:t>
      </w:r>
      <w:bookmarkEnd w:id="16"/>
      <w:bookmarkEnd w:id="17"/>
      <w:bookmarkEnd w:id="18"/>
      <w:bookmarkEnd w:id="19"/>
      <w:bookmarkEnd w:id="20"/>
    </w:p>
    <w:p w:rsidRPr="00B27ACE" w:rsidR="00B27ACE" w:rsidP="00B27ACE" w:rsidRDefault="00B27ACE" w14:paraId="1E4D1EDC" w14:textId="77777777">
      <w:pPr>
        <w:outlineLvl w:val="0"/>
        <w:rPr>
          <w:b/>
          <w:i/>
          <w:szCs w:val="24"/>
        </w:rPr>
      </w:pPr>
    </w:p>
    <w:p w:rsidRPr="00B27ACE" w:rsidR="00B27ACE" w:rsidP="00B27ACE" w:rsidRDefault="00B27ACE" w14:paraId="0FA59766" w14:textId="77777777">
      <w:pPr>
        <w:outlineLvl w:val="0"/>
        <w:rPr>
          <w:b/>
          <w:iCs/>
          <w:szCs w:val="24"/>
        </w:rPr>
      </w:pPr>
    </w:p>
    <w:p w:rsidR="560A413C" w:rsidP="06331CFE" w:rsidRDefault="560A413C" w14:paraId="27CCE2D3" w14:textId="785FF48C">
      <w:pPr>
        <w:jc w:val="both"/>
      </w:pPr>
    </w:p>
    <w:p w:rsidRPr="006F0321" w:rsidR="00115F48" w:rsidP="006F0321" w:rsidRDefault="00115F48" w14:paraId="1190ADA7" w14:textId="77777777"/>
    <w:p w:rsidR="00115F48" w:rsidP="006F0321" w:rsidRDefault="00115F48" w14:paraId="76629DA1" w14:textId="77777777">
      <w:r w:rsidRPr="00E25790">
        <w:br w:type="page"/>
      </w:r>
    </w:p>
    <w:tbl>
      <w:tblPr>
        <w:tblpPr w:leftFromText="180" w:rightFromText="180" w:vertAnchor="text" w:horzAnchor="margin" w:tblpY="181"/>
        <w:tblW w:w="9072" w:type="dxa"/>
        <w:tblLook w:val="0000" w:firstRow="0" w:lastRow="0" w:firstColumn="0" w:lastColumn="0" w:noHBand="0" w:noVBand="0"/>
      </w:tblPr>
      <w:tblGrid>
        <w:gridCol w:w="9072"/>
      </w:tblGrid>
      <w:tr w:rsidRPr="00CD1C0E" w:rsidR="006F0321" w:rsidTr="006F0321" w14:paraId="5FF94EC4" w14:textId="77777777">
        <w:trPr>
          <w:cantSplit/>
          <w:trHeight w:val="285"/>
        </w:trPr>
        <w:tc>
          <w:tcPr>
            <w:tcW w:w="9072" w:type="dxa"/>
            <w:shd w:val="clear" w:color="auto" w:fill="A6A6A6" w:themeFill="background1" w:themeFillShade="A6"/>
          </w:tcPr>
          <w:p w:rsidRPr="006F0321" w:rsidR="006F0321" w:rsidP="00F50B2B" w:rsidRDefault="00532883" w14:paraId="40463202" w14:textId="2A4FA3BA">
            <w:pPr>
              <w:pStyle w:val="Heading1"/>
            </w:pPr>
            <w:bookmarkStart w:name="_Toc75339920" w:id="21"/>
            <w:r>
              <w:lastRenderedPageBreak/>
              <w:t xml:space="preserve">TCH </w:t>
            </w:r>
            <w:r w:rsidRPr="006F0321" w:rsidR="006F0321">
              <w:t>Template</w:t>
            </w:r>
            <w:bookmarkEnd w:id="21"/>
          </w:p>
        </w:tc>
      </w:tr>
    </w:tbl>
    <w:p w:rsidRPr="00E25790" w:rsidR="00115F48" w:rsidP="006F0321" w:rsidRDefault="00115F48" w14:paraId="7A4F9F73" w14:textId="77777777"/>
    <w:tbl>
      <w:tblPr>
        <w:tblW w:w="9049" w:type="dxa"/>
        <w:tblLayout w:type="fixed"/>
        <w:tblLook w:val="0000" w:firstRow="0" w:lastRow="0" w:firstColumn="0" w:lastColumn="0" w:noHBand="0" w:noVBand="0"/>
      </w:tblPr>
      <w:tblGrid>
        <w:gridCol w:w="4153"/>
        <w:gridCol w:w="4896"/>
      </w:tblGrid>
      <w:tr w:rsidRPr="00E25790" w:rsidR="00115F48" w:rsidTr="00F50B2B" w14:paraId="615891A4"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vAlign w:val="center"/>
          </w:tcPr>
          <w:p w:rsidRPr="00F50B2B" w:rsidR="00115F48" w:rsidP="00F50B2B" w:rsidRDefault="00115F48" w14:paraId="5BA4EE58" w14:textId="77777777">
            <w:pPr>
              <w:rPr>
                <w:b/>
                <w:bCs/>
                <w:sz w:val="28"/>
                <w:szCs w:val="28"/>
              </w:rPr>
            </w:pPr>
            <w:bookmarkStart w:name="_Toc339451036" w:id="22"/>
            <w:bookmarkStart w:name="_Toc339451134" w:id="23"/>
            <w:bookmarkStart w:name="_Toc339451167" w:id="24"/>
            <w:bookmarkStart w:name="_Toc339451241" w:id="25"/>
            <w:bookmarkStart w:name="_Toc339451289" w:id="26"/>
            <w:bookmarkStart w:name="_Toc339451932" w:id="27"/>
            <w:bookmarkStart w:name="_Toc339452445" w:id="28"/>
            <w:bookmarkStart w:name="_Toc495415458" w:id="29"/>
            <w:bookmarkStart w:name="_Toc495481063" w:id="30"/>
            <w:bookmarkStart w:name="_Toc495481189" w:id="31"/>
            <w:bookmarkStart w:name="_Toc495481314" w:id="32"/>
            <w:bookmarkStart w:name="_Toc495501495" w:id="33"/>
            <w:bookmarkStart w:name="_Toc38106797" w:id="34"/>
            <w:r w:rsidRPr="00F50B2B">
              <w:rPr>
                <w:b/>
                <w:bCs/>
                <w:sz w:val="28"/>
                <w:szCs w:val="28"/>
              </w:rPr>
              <w:t>Drug Name</w:t>
            </w:r>
            <w:bookmarkEnd w:id="22"/>
            <w:bookmarkEnd w:id="23"/>
            <w:bookmarkEnd w:id="24"/>
            <w:bookmarkEnd w:id="25"/>
            <w:bookmarkEnd w:id="26"/>
            <w:bookmarkEnd w:id="27"/>
            <w:bookmarkEnd w:id="28"/>
            <w:bookmarkEnd w:id="29"/>
            <w:bookmarkEnd w:id="30"/>
            <w:bookmarkEnd w:id="31"/>
            <w:bookmarkEnd w:id="32"/>
            <w:bookmarkEnd w:id="33"/>
            <w:bookmarkEnd w:id="34"/>
          </w:p>
        </w:tc>
      </w:tr>
      <w:tr w:rsidRPr="00E25790" w:rsidR="00115F48" w:rsidTr="009469DB" w14:paraId="7D5102E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1DD81B18" w14:textId="77777777">
            <w:r w:rsidRPr="00E25790">
              <w:t xml:space="preserve">Revision Date : </w:t>
            </w:r>
            <w:r w:rsidR="003361A4">
              <w:fldChar w:fldCharType="begin"/>
            </w:r>
            <w:r w:rsidR="003361A4">
              <w:instrText xml:space="preserve"> CREATEDATE  </w:instrText>
            </w:r>
            <w:r w:rsidR="003361A4">
              <w:fldChar w:fldCharType="separate"/>
            </w:r>
            <w:r w:rsidRPr="00E25790" w:rsidR="00D263ED">
              <w:rPr>
                <w:noProof/>
              </w:rPr>
              <w:t>09/01/2014 14:40:00</w:t>
            </w:r>
            <w:r w:rsidR="003361A4">
              <w:rPr>
                <w:noProof/>
              </w:rPr>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6942B62" w14:textId="77777777">
            <w:r w:rsidRPr="00E25790">
              <w:t xml:space="preserve">Approved :  </w:t>
            </w:r>
            <w:r w:rsidRPr="00E25790" w:rsidR="00D878B6">
              <w:t>AK, JD</w:t>
            </w:r>
          </w:p>
        </w:tc>
      </w:tr>
    </w:tbl>
    <w:p w:rsidRPr="00E25790" w:rsidR="00115F48" w:rsidP="006F0321" w:rsidRDefault="00115F48" w14:paraId="27E92984" w14:textId="77777777"/>
    <w:tbl>
      <w:tblPr>
        <w:tblW w:w="9071" w:type="dxa"/>
        <w:tblLayout w:type="fixed"/>
        <w:tblLook w:val="0000" w:firstRow="0" w:lastRow="0" w:firstColumn="0" w:lastColumn="0" w:noHBand="0" w:noVBand="0"/>
      </w:tblPr>
      <w:tblGrid>
        <w:gridCol w:w="2438"/>
        <w:gridCol w:w="6633"/>
      </w:tblGrid>
      <w:tr w:rsidRPr="00E25790" w:rsidR="00115F48" w:rsidTr="00F50B2B" w14:paraId="6AFCB7F9" w14:textId="77777777">
        <w:trPr>
          <w:cantSplit/>
          <w:trHeight w:val="1200"/>
        </w:trPr>
        <w:tc>
          <w:tcPr>
            <w:tcW w:w="2438" w:type="dxa"/>
            <w:tcBorders>
              <w:top w:val="single" w:color="auto" w:sz="6" w:space="0"/>
              <w:left w:val="single" w:color="auto" w:sz="6" w:space="0"/>
              <w:bottom w:val="single" w:color="auto" w:sz="6" w:space="0"/>
            </w:tcBorders>
          </w:tcPr>
          <w:p w:rsidRPr="00E25790" w:rsidR="00115F48" w:rsidP="006F0321" w:rsidRDefault="00115F48" w14:paraId="36EA7F73" w14:textId="77777777">
            <w:r w:rsidRPr="00E25790">
              <w:t>Indication :</w:t>
            </w:r>
          </w:p>
        </w:tc>
        <w:tc>
          <w:tcPr>
            <w:tcW w:w="6633" w:type="dxa"/>
            <w:tcBorders>
              <w:top w:val="single" w:color="auto" w:sz="6" w:space="0"/>
              <w:bottom w:val="single" w:color="auto" w:sz="6" w:space="0"/>
              <w:right w:val="single" w:color="auto" w:sz="6" w:space="0"/>
            </w:tcBorders>
          </w:tcPr>
          <w:p w:rsidRPr="00E25790" w:rsidR="00115F48" w:rsidP="006F0321" w:rsidRDefault="00115F48" w14:paraId="5D283817" w14:textId="77777777">
            <w:r w:rsidRPr="00E25790">
              <w:t>A brief description of the uses for the chosen drug</w:t>
            </w:r>
          </w:p>
        </w:tc>
      </w:tr>
      <w:tr w:rsidRPr="00E25790" w:rsidR="00115F48" w:rsidTr="00F50B2B" w14:paraId="6151F5EC"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7C2AC1B1" w14:textId="77777777">
            <w:r w:rsidRPr="00E25790">
              <w:t>Dose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0F55956B" w14:textId="77777777">
            <w:r w:rsidRPr="00E25790">
              <w:t>Single Dose amount</w:t>
            </w:r>
          </w:p>
        </w:tc>
      </w:tr>
      <w:tr w:rsidRPr="00E25790" w:rsidR="00115F48" w:rsidTr="00F50B2B" w14:paraId="07D5D8D9"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20544696" w14:textId="77777777">
            <w:r w:rsidRPr="00E25790">
              <w:t>Interval :</w:t>
            </w:r>
          </w:p>
        </w:tc>
        <w:tc>
          <w:tcPr>
            <w:tcW w:w="6633" w:type="dxa"/>
            <w:tcBorders>
              <w:top w:val="single" w:color="auto" w:sz="6" w:space="0"/>
              <w:bottom w:val="single" w:color="auto" w:sz="6" w:space="0"/>
              <w:right w:val="single" w:color="auto" w:sz="6" w:space="0"/>
            </w:tcBorders>
          </w:tcPr>
          <w:p w:rsidRPr="00E25790" w:rsidR="00115F48" w:rsidP="006F0321" w:rsidRDefault="00115F48" w14:paraId="5C24B8E4" w14:textId="77777777">
            <w:r w:rsidRPr="00E25790">
              <w:t>Dosage interval or number of doses per day</w:t>
            </w:r>
          </w:p>
        </w:tc>
      </w:tr>
      <w:tr w:rsidRPr="00E25790" w:rsidR="00115F48" w:rsidTr="00F50B2B" w14:paraId="4E7D2899"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31ECC464" w14:textId="77777777">
            <w:r w:rsidRPr="00E25790">
              <w:t>Route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6336F5B6" w14:textId="77777777">
            <w:r w:rsidRPr="00E25790">
              <w:t>Oral, intravenous, intra-arterial or other routes available</w:t>
            </w:r>
          </w:p>
        </w:tc>
      </w:tr>
      <w:tr w:rsidRPr="00E25790" w:rsidR="00115F48" w:rsidTr="00F50B2B" w14:paraId="16B53D12"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328B5B7C" w14:textId="77777777">
            <w:r w:rsidRPr="00E25790">
              <w:t>Total Daily Dose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27417F16" w14:textId="77777777">
            <w:r w:rsidRPr="00E25790">
              <w:t>Maximum recommended daily dosage</w:t>
            </w:r>
          </w:p>
        </w:tc>
      </w:tr>
      <w:tr w:rsidRPr="00E25790" w:rsidR="00115F48" w:rsidTr="00F50B2B" w14:paraId="665FDFED" w14:textId="77777777">
        <w:trPr>
          <w:cantSplit/>
          <w:trHeight w:val="1200"/>
        </w:trPr>
        <w:tc>
          <w:tcPr>
            <w:tcW w:w="2438" w:type="dxa"/>
            <w:tcBorders>
              <w:top w:val="single" w:color="auto" w:sz="6" w:space="0"/>
              <w:left w:val="single" w:color="auto" w:sz="6" w:space="0"/>
              <w:bottom w:val="single" w:color="auto" w:sz="6" w:space="0"/>
            </w:tcBorders>
          </w:tcPr>
          <w:p w:rsidRPr="00E25790" w:rsidR="00115F48" w:rsidP="006F0321" w:rsidRDefault="00115F48" w14:paraId="41F4995B" w14:textId="77777777">
            <w:r w:rsidRPr="00E25790">
              <w:t>Comments :</w:t>
            </w:r>
          </w:p>
        </w:tc>
        <w:tc>
          <w:tcPr>
            <w:tcW w:w="6633" w:type="dxa"/>
            <w:tcBorders>
              <w:top w:val="single" w:color="auto" w:sz="6" w:space="0"/>
              <w:bottom w:val="single" w:color="auto" w:sz="6" w:space="0"/>
              <w:right w:val="single" w:color="auto" w:sz="6" w:space="0"/>
            </w:tcBorders>
          </w:tcPr>
          <w:p w:rsidRPr="00E25790" w:rsidR="00115F48" w:rsidP="006F0321" w:rsidRDefault="00115F48" w14:paraId="5FAC0C47" w14:textId="77777777">
            <w:r w:rsidRPr="00E25790">
              <w:t>Description of action, precautions, side effects etc.</w:t>
            </w:r>
          </w:p>
        </w:tc>
      </w:tr>
      <w:tr w:rsidRPr="00E25790" w:rsidR="00115F48" w:rsidTr="00F50B2B" w14:paraId="45A35CCC"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71E62AA" w14:textId="77777777">
            <w:r w:rsidRPr="00E25790">
              <w:t>Supplied as :</w:t>
            </w:r>
          </w:p>
        </w:tc>
        <w:tc>
          <w:tcPr>
            <w:tcW w:w="6633" w:type="dxa"/>
            <w:tcBorders>
              <w:top w:val="single" w:color="auto" w:sz="6" w:space="0"/>
              <w:bottom w:val="single" w:color="auto" w:sz="6" w:space="0"/>
              <w:right w:val="single" w:color="auto" w:sz="6" w:space="0"/>
            </w:tcBorders>
          </w:tcPr>
          <w:p w:rsidRPr="00E25790" w:rsidR="00115F48" w:rsidP="006F0321" w:rsidRDefault="00115F48" w14:paraId="33BBC5E3" w14:textId="77777777">
            <w:r w:rsidRPr="00E25790">
              <w:t xml:space="preserve">Company or trade name is not usually recorded and should </w:t>
            </w:r>
            <w:r w:rsidRPr="00E25790">
              <w:rPr>
                <w:b/>
              </w:rPr>
              <w:t>not</w:t>
            </w:r>
            <w:r w:rsidRPr="00E25790">
              <w:t xml:space="preserve"> be used in prescriptions. Amount usually found in supplied units.</w:t>
            </w:r>
          </w:p>
        </w:tc>
      </w:tr>
      <w:tr w:rsidRPr="00E25790" w:rsidR="00115F48" w:rsidTr="00F50B2B" w14:paraId="17FBF60B" w14:textId="77777777">
        <w:trPr>
          <w:cantSplit/>
          <w:trHeight w:val="960"/>
        </w:trPr>
        <w:tc>
          <w:tcPr>
            <w:tcW w:w="2438" w:type="dxa"/>
            <w:tcBorders>
              <w:top w:val="single" w:color="auto" w:sz="6" w:space="0"/>
              <w:left w:val="single" w:color="auto" w:sz="6" w:space="0"/>
              <w:bottom w:val="single" w:color="auto" w:sz="6" w:space="0"/>
            </w:tcBorders>
          </w:tcPr>
          <w:p w:rsidRPr="00E25790" w:rsidR="00115F48" w:rsidP="006F0321" w:rsidRDefault="00115F48" w14:paraId="272BD4F4" w14:textId="77777777">
            <w:r w:rsidRPr="00E25790">
              <w:t>Dilution :</w:t>
            </w:r>
          </w:p>
        </w:tc>
        <w:tc>
          <w:tcPr>
            <w:tcW w:w="6633" w:type="dxa"/>
            <w:tcBorders>
              <w:top w:val="single" w:color="auto" w:sz="6" w:space="0"/>
              <w:bottom w:val="single" w:color="auto" w:sz="6" w:space="0"/>
              <w:right w:val="single" w:color="auto" w:sz="6" w:space="0"/>
            </w:tcBorders>
          </w:tcPr>
          <w:p w:rsidRPr="00E25790" w:rsidR="00115F48" w:rsidP="006F0321" w:rsidRDefault="00115F48" w14:paraId="57955C1F" w14:textId="77777777">
            <w:r w:rsidRPr="00E25790">
              <w:t>Instructions for appropriate dilution. May differ from that recommended by suppliers because has been adjusted for use in small babies.</w:t>
            </w:r>
          </w:p>
        </w:tc>
      </w:tr>
      <w:tr w:rsidRPr="00E25790" w:rsidR="00115F48" w:rsidTr="00F50B2B" w14:paraId="7DB8E0B5"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381AC33D" w14:textId="77777777">
            <w:r w:rsidRPr="00E25790">
              <w:t>Stability :</w:t>
            </w:r>
          </w:p>
        </w:tc>
        <w:tc>
          <w:tcPr>
            <w:tcW w:w="6633" w:type="dxa"/>
            <w:tcBorders>
              <w:top w:val="single" w:color="auto" w:sz="6" w:space="0"/>
              <w:bottom w:val="single" w:color="auto" w:sz="6" w:space="0"/>
              <w:right w:val="single" w:color="auto" w:sz="6" w:space="0"/>
            </w:tcBorders>
          </w:tcPr>
          <w:p w:rsidRPr="00E25790" w:rsidR="00115F48" w:rsidP="006F0321" w:rsidRDefault="00115F48" w14:paraId="75C0BA52" w14:textId="77777777">
            <w:r w:rsidRPr="00E25790">
              <w:t>Refers to how long drug can be used after being reconstituted or diluted.</w:t>
            </w:r>
          </w:p>
        </w:tc>
      </w:tr>
      <w:tr w:rsidRPr="00E25790" w:rsidR="00115F48" w:rsidTr="00F50B2B" w14:paraId="1D5967FD"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389188F3" w14:textId="77777777">
            <w:r w:rsidRPr="00E25790">
              <w:t>Storage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423F9C3B" w14:textId="77777777">
            <w:r w:rsidRPr="00E25790">
              <w:t>Usual method and place of storage  - cupboard, fridge, freezer etc.</w:t>
            </w:r>
          </w:p>
        </w:tc>
      </w:tr>
      <w:tr w:rsidRPr="00E25790" w:rsidR="00115F48" w:rsidTr="00F50B2B" w14:paraId="3A1D8AF7"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9F7259D" w14:textId="77777777">
            <w:r w:rsidRPr="00E25790">
              <w:t>Incompatibility :</w:t>
            </w:r>
          </w:p>
        </w:tc>
        <w:tc>
          <w:tcPr>
            <w:tcW w:w="6633" w:type="dxa"/>
            <w:tcBorders>
              <w:top w:val="single" w:color="auto" w:sz="6" w:space="0"/>
              <w:bottom w:val="single" w:color="auto" w:sz="6" w:space="0"/>
              <w:right w:val="single" w:color="auto" w:sz="6" w:space="0"/>
            </w:tcBorders>
          </w:tcPr>
          <w:p w:rsidRPr="00E25790" w:rsidR="00115F48" w:rsidP="006F0321" w:rsidRDefault="00115F48" w14:paraId="696A9D33" w14:textId="77777777">
            <w:r w:rsidRPr="00E25790">
              <w:t xml:space="preserve">Drug and diluent incompatibilities, comments on whether can be given mixed with other drugs or solutions. </w:t>
            </w:r>
          </w:p>
        </w:tc>
      </w:tr>
      <w:tr w:rsidRPr="00E25790" w:rsidR="00115F48" w:rsidTr="00F50B2B" w14:paraId="234B5A2C"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1A68EC9E" w14:textId="77777777">
            <w:r w:rsidRPr="00E25790">
              <w:t>Serum Levels :</w:t>
            </w:r>
          </w:p>
        </w:tc>
        <w:tc>
          <w:tcPr>
            <w:tcW w:w="6633" w:type="dxa"/>
            <w:tcBorders>
              <w:top w:val="single" w:color="auto" w:sz="6" w:space="0"/>
              <w:bottom w:val="single" w:color="auto" w:sz="6" w:space="0"/>
              <w:right w:val="single" w:color="auto" w:sz="6" w:space="0"/>
            </w:tcBorders>
          </w:tcPr>
          <w:p w:rsidRPr="00E25790" w:rsidR="00115F48" w:rsidP="006F0321" w:rsidRDefault="00115F48" w14:paraId="464A166E" w14:textId="77777777">
            <w:r w:rsidRPr="00E25790">
              <w:t>Therapeutic range - if known</w:t>
            </w:r>
          </w:p>
        </w:tc>
      </w:tr>
    </w:tbl>
    <w:p w:rsidRPr="00E25790" w:rsidR="009469DB" w:rsidP="006F0321" w:rsidRDefault="00115F48" w14:paraId="1CCF0627" w14:textId="77777777">
      <w:r w:rsidRPr="00E25790">
        <w:br w:type="page"/>
      </w:r>
    </w:p>
    <w:tbl>
      <w:tblPr>
        <w:tblpPr w:leftFromText="180" w:rightFromText="180" w:vertAnchor="text" w:horzAnchor="margin" w:tblpY="181"/>
        <w:tblW w:w="9072" w:type="dxa"/>
        <w:tblLook w:val="0000" w:firstRow="0" w:lastRow="0" w:firstColumn="0" w:lastColumn="0" w:noHBand="0" w:noVBand="0"/>
      </w:tblPr>
      <w:tblGrid>
        <w:gridCol w:w="9072"/>
      </w:tblGrid>
      <w:tr w:rsidRPr="006F0321" w:rsidR="009469DB" w:rsidTr="009469DB" w14:paraId="266BA7D7" w14:textId="77777777">
        <w:trPr>
          <w:cantSplit/>
          <w:trHeight w:val="285"/>
        </w:trPr>
        <w:tc>
          <w:tcPr>
            <w:tcW w:w="9072" w:type="dxa"/>
            <w:shd w:val="clear" w:color="auto" w:fill="A6A6A6" w:themeFill="background1" w:themeFillShade="A6"/>
          </w:tcPr>
          <w:p w:rsidRPr="006F0321" w:rsidR="009469DB" w:rsidP="00F50B2B" w:rsidRDefault="009469DB" w14:paraId="4D2BDA89" w14:textId="77777777">
            <w:pPr>
              <w:pStyle w:val="Heading1"/>
            </w:pPr>
            <w:bookmarkStart w:name="_Toc65510721" w:id="35"/>
            <w:bookmarkStart w:name="_Toc75339921" w:id="36"/>
            <w:r>
              <w:lastRenderedPageBreak/>
              <w:t>Medications</w:t>
            </w:r>
            <w:bookmarkEnd w:id="35"/>
            <w:bookmarkEnd w:id="36"/>
          </w:p>
        </w:tc>
      </w:tr>
    </w:tbl>
    <w:p w:rsidRPr="00E25790" w:rsidR="00115F48" w:rsidP="006F0321" w:rsidRDefault="00115F48" w14:paraId="0B12B66E" w14:textId="77777777"/>
    <w:p w:rsidRPr="00E25790" w:rsidR="00115F48" w:rsidP="006F0321" w:rsidRDefault="00115F48" w14:paraId="27D8CE71" w14:textId="77777777"/>
    <w:tbl>
      <w:tblPr>
        <w:tblW w:w="9049" w:type="dxa"/>
        <w:tblLayout w:type="fixed"/>
        <w:tblLook w:val="0000" w:firstRow="0" w:lastRow="0" w:firstColumn="0" w:lastColumn="0" w:noHBand="0" w:noVBand="0"/>
      </w:tblPr>
      <w:tblGrid>
        <w:gridCol w:w="4153"/>
        <w:gridCol w:w="4896"/>
      </w:tblGrid>
      <w:tr w:rsidRPr="00E25790" w:rsidR="000C6D1E" w:rsidTr="009469DB" w14:paraId="271AE609"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0C6D1E" w:rsidP="009469DB" w:rsidRDefault="000C6D1E" w14:paraId="62671198" w14:textId="74584166">
            <w:pPr>
              <w:pStyle w:val="Heading1"/>
            </w:pPr>
            <w:bookmarkStart w:name="_Toc38106799" w:id="37"/>
            <w:bookmarkStart w:name="_Toc75339922" w:id="38"/>
            <w:r w:rsidRPr="00E25790">
              <w:t xml:space="preserve">Acetylcysteine </w:t>
            </w:r>
            <w:bookmarkEnd w:id="37"/>
            <w:r w:rsidR="005876C3">
              <w:t>for Mucolysis</w:t>
            </w:r>
            <w:bookmarkEnd w:id="38"/>
            <w:r w:rsidRPr="00E25790">
              <w:fldChar w:fldCharType="begin"/>
            </w:r>
            <w:r w:rsidRPr="00E25790">
              <w:instrText>tc "CAP Trial" \l 0</w:instrText>
            </w:r>
            <w:r w:rsidRPr="00E25790">
              <w:fldChar w:fldCharType="end"/>
            </w:r>
          </w:p>
        </w:tc>
      </w:tr>
      <w:tr w:rsidRPr="00E25790" w:rsidR="000C6D1E" w:rsidTr="009469DB" w14:paraId="34703AC8"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0C6D1E" w:rsidP="006F0321" w:rsidRDefault="000C6D1E" w14:paraId="4DF7BDBC" w14:textId="6D033D20">
            <w:r w:rsidRPr="00E25790">
              <w:t xml:space="preserve">Revision Date : </w:t>
            </w:r>
            <w:r w:rsidR="008A08E8">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0C6D1E" w:rsidP="006F0321" w:rsidRDefault="000C6D1E" w14:paraId="3436C6AA" w14:textId="72B51A95">
            <w:r w:rsidRPr="00E25790">
              <w:t xml:space="preserve">Approved : </w:t>
            </w:r>
            <w:r w:rsidR="00AE7E18">
              <w:t>TC, KOH</w:t>
            </w:r>
          </w:p>
        </w:tc>
      </w:tr>
    </w:tbl>
    <w:p w:rsidRPr="00E25790" w:rsidR="000C6D1E" w:rsidP="006F0321" w:rsidRDefault="000C6D1E" w14:paraId="508BC806"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014"/>
        <w:gridCol w:w="7229"/>
      </w:tblGrid>
      <w:tr w:rsidRPr="00A7119E" w:rsidR="008A08E8" w:rsidTr="008A08E8" w14:paraId="6460AA6D" w14:textId="77777777">
        <w:trPr>
          <w:trHeight w:val="70"/>
        </w:trPr>
        <w:tc>
          <w:tcPr>
            <w:tcW w:w="2014" w:type="dxa"/>
          </w:tcPr>
          <w:p w:rsidRPr="00A7119E" w:rsidR="008A08E8" w:rsidP="00131848" w:rsidRDefault="008A08E8" w14:paraId="5053E6C0" w14:textId="77777777">
            <w:pPr>
              <w:pStyle w:val="BodyText"/>
              <w:tabs>
                <w:tab w:val="center" w:pos="1476"/>
              </w:tabs>
              <w:rPr>
                <w:rFonts w:cs="Arial"/>
                <w:b/>
                <w:sz w:val="20"/>
                <w:lang w:val="en-AU"/>
              </w:rPr>
            </w:pPr>
            <w:r w:rsidRPr="00A7119E">
              <w:rPr>
                <w:rFonts w:cs="Arial"/>
                <w:b/>
                <w:sz w:val="20"/>
                <w:lang w:val="en-AU"/>
              </w:rPr>
              <w:t>Alert</w:t>
            </w:r>
            <w:r w:rsidRPr="00A7119E">
              <w:rPr>
                <w:rFonts w:cs="Arial"/>
                <w:b/>
                <w:sz w:val="20"/>
                <w:lang w:val="en-AU"/>
              </w:rPr>
              <w:tab/>
            </w:r>
          </w:p>
        </w:tc>
        <w:tc>
          <w:tcPr>
            <w:tcW w:w="7229" w:type="dxa"/>
          </w:tcPr>
          <w:p w:rsidRPr="00BD3894" w:rsidR="008A08E8" w:rsidP="00131848" w:rsidRDefault="008A08E8" w14:paraId="3DC83F59" w14:textId="77777777">
            <w:pPr>
              <w:pStyle w:val="BodyText"/>
              <w:rPr>
                <w:rFonts w:cs="Arial"/>
                <w:sz w:val="20"/>
                <w:lang w:val="en-AU"/>
              </w:rPr>
            </w:pPr>
            <w:r w:rsidRPr="00BD3894">
              <w:rPr>
                <w:rFonts w:cs="Arial"/>
                <w:sz w:val="20"/>
                <w:lang w:val="en-AU"/>
              </w:rPr>
              <w:t>Also known as N-acetylcysteine (NAC).</w:t>
            </w:r>
          </w:p>
          <w:p w:rsidRPr="001230F9" w:rsidR="008A08E8" w:rsidP="00131848" w:rsidRDefault="008A08E8" w14:paraId="46330CE1" w14:textId="77777777">
            <w:pPr>
              <w:pStyle w:val="BodyText"/>
              <w:rPr>
                <w:rFonts w:cs="Arial"/>
                <w:sz w:val="20"/>
                <w:lang w:val="en-AU"/>
              </w:rPr>
            </w:pPr>
            <w:r w:rsidRPr="001230F9">
              <w:rPr>
                <w:rFonts w:cs="Arial"/>
                <w:sz w:val="20"/>
                <w:lang w:val="en-AU"/>
              </w:rPr>
              <w:t>Refer to acetylcysteine intravenous for paracetamol overdose.</w:t>
            </w:r>
          </w:p>
          <w:p w:rsidRPr="00A7119E" w:rsidR="008A08E8" w:rsidP="00131848" w:rsidRDefault="008A08E8" w14:paraId="2F81DB85" w14:textId="77777777">
            <w:pPr>
              <w:pStyle w:val="BodyText"/>
              <w:rPr>
                <w:rFonts w:cs="Arial"/>
                <w:sz w:val="20"/>
                <w:lang w:val="en-AU"/>
              </w:rPr>
            </w:pPr>
            <w:r w:rsidRPr="00A7119E">
              <w:rPr>
                <w:rFonts w:cs="Arial"/>
                <w:sz w:val="20"/>
                <w:lang w:val="en-AU"/>
              </w:rPr>
              <w:t>Safety data for acetylcysteine as a mucolytic agent in newborn infants is limited and the dosage recommendation was on the basis of consensus.</w:t>
            </w:r>
          </w:p>
          <w:p w:rsidRPr="00A7119E" w:rsidR="008A08E8" w:rsidP="00131848" w:rsidRDefault="008A08E8" w14:paraId="23CF579B" w14:textId="77777777">
            <w:pPr>
              <w:pStyle w:val="BodyText"/>
              <w:rPr>
                <w:rFonts w:cs="Arial"/>
                <w:sz w:val="20"/>
                <w:lang w:val="en-AU"/>
              </w:rPr>
            </w:pPr>
            <w:r w:rsidRPr="00A7119E">
              <w:rPr>
                <w:rFonts w:cs="Arial"/>
                <w:sz w:val="20"/>
                <w:lang w:val="en-AU"/>
              </w:rPr>
              <w:t>Injection preparations are safe to use as oral preparation.</w:t>
            </w:r>
          </w:p>
        </w:tc>
      </w:tr>
      <w:tr w:rsidRPr="00A7119E" w:rsidR="008A08E8" w:rsidTr="008A08E8" w14:paraId="0ACE59A3" w14:textId="77777777">
        <w:trPr>
          <w:trHeight w:val="72"/>
        </w:trPr>
        <w:tc>
          <w:tcPr>
            <w:tcW w:w="2014" w:type="dxa"/>
          </w:tcPr>
          <w:p w:rsidRPr="00A7119E" w:rsidR="008A08E8" w:rsidP="00131848" w:rsidRDefault="008A08E8" w14:paraId="6B76FE9F" w14:textId="77777777">
            <w:pPr>
              <w:pStyle w:val="BodyText"/>
              <w:rPr>
                <w:rFonts w:cs="Arial"/>
                <w:sz w:val="20"/>
                <w:lang w:val="en-AU"/>
              </w:rPr>
            </w:pPr>
            <w:r w:rsidRPr="00A7119E">
              <w:rPr>
                <w:rFonts w:cs="Arial"/>
                <w:b/>
                <w:bCs/>
                <w:sz w:val="20"/>
                <w:lang w:val="en-AU"/>
              </w:rPr>
              <w:t>Indication</w:t>
            </w:r>
          </w:p>
        </w:tc>
        <w:tc>
          <w:tcPr>
            <w:tcW w:w="7229" w:type="dxa"/>
          </w:tcPr>
          <w:p w:rsidRPr="00A7119E" w:rsidR="008A08E8" w:rsidP="00131848" w:rsidRDefault="008A08E8" w14:paraId="4F131099" w14:textId="77777777">
            <w:pPr>
              <w:rPr>
                <w:sz w:val="20"/>
              </w:rPr>
            </w:pPr>
            <w:r w:rsidRPr="00A7119E">
              <w:rPr>
                <w:sz w:val="20"/>
              </w:rPr>
              <w:t>Meconium ileus secondary to cystic fibrosis</w:t>
            </w:r>
          </w:p>
          <w:p w:rsidRPr="00A7119E" w:rsidR="008A08E8" w:rsidP="00131848" w:rsidRDefault="008A08E8" w14:paraId="29709AB8" w14:textId="77777777">
            <w:pPr>
              <w:rPr>
                <w:sz w:val="20"/>
              </w:rPr>
            </w:pPr>
            <w:r w:rsidRPr="00A7119E">
              <w:rPr>
                <w:sz w:val="20"/>
              </w:rPr>
              <w:t>Meconium-related ileus of preterm infants</w:t>
            </w:r>
          </w:p>
          <w:p w:rsidRPr="00A7119E" w:rsidR="008A08E8" w:rsidP="00131848" w:rsidRDefault="008A08E8" w14:paraId="5FEC5637" w14:textId="77777777">
            <w:pPr>
              <w:rPr>
                <w:sz w:val="20"/>
              </w:rPr>
            </w:pPr>
            <w:r w:rsidRPr="00A7119E">
              <w:rPr>
                <w:sz w:val="20"/>
              </w:rPr>
              <w:t>Distal intestinal obstruction secondary to cystic fibrosis</w:t>
            </w:r>
          </w:p>
          <w:p w:rsidRPr="00A7119E" w:rsidR="008A08E8" w:rsidP="00131848" w:rsidRDefault="008A08E8" w14:paraId="08B45FDD" w14:textId="77777777">
            <w:pPr>
              <w:rPr>
                <w:sz w:val="20"/>
              </w:rPr>
            </w:pPr>
            <w:r w:rsidRPr="00A7119E">
              <w:rPr>
                <w:sz w:val="20"/>
              </w:rPr>
              <w:t>Gastric or intestinal milk curd obstruction (lactobezoar)</w:t>
            </w:r>
          </w:p>
        </w:tc>
      </w:tr>
      <w:tr w:rsidRPr="00A7119E" w:rsidR="008A08E8" w:rsidTr="008A08E8" w14:paraId="15869897" w14:textId="77777777">
        <w:trPr>
          <w:trHeight w:val="70"/>
        </w:trPr>
        <w:tc>
          <w:tcPr>
            <w:tcW w:w="2014" w:type="dxa"/>
          </w:tcPr>
          <w:p w:rsidRPr="00A7119E" w:rsidR="008A08E8" w:rsidP="00131848" w:rsidRDefault="008A08E8" w14:paraId="2951661B" w14:textId="77777777">
            <w:pPr>
              <w:pStyle w:val="BodyText"/>
              <w:rPr>
                <w:rFonts w:cs="Arial"/>
                <w:b/>
                <w:bCs/>
                <w:sz w:val="20"/>
                <w:lang w:val="en-AU"/>
              </w:rPr>
            </w:pPr>
            <w:r w:rsidRPr="00A7119E">
              <w:rPr>
                <w:rFonts w:cs="Arial"/>
                <w:b/>
                <w:bCs/>
                <w:sz w:val="20"/>
                <w:lang w:val="en-AU"/>
              </w:rPr>
              <w:t>Action</w:t>
            </w:r>
          </w:p>
        </w:tc>
        <w:tc>
          <w:tcPr>
            <w:tcW w:w="7229" w:type="dxa"/>
          </w:tcPr>
          <w:p w:rsidRPr="00A7119E" w:rsidR="008A08E8" w:rsidP="00131848" w:rsidRDefault="008A08E8" w14:paraId="32C6F3E0" w14:textId="77777777">
            <w:pPr>
              <w:rPr>
                <w:rFonts w:cs="Arial"/>
                <w:sz w:val="20"/>
              </w:rPr>
            </w:pPr>
            <w:r w:rsidRPr="00A7119E">
              <w:rPr>
                <w:rFonts w:cs="Arial"/>
                <w:sz w:val="20"/>
              </w:rPr>
              <w:t>Reduces the viscosity of mucus by cleaving disulphide bonds in the mucoprotein</w:t>
            </w:r>
          </w:p>
        </w:tc>
      </w:tr>
      <w:tr w:rsidRPr="00A7119E" w:rsidR="008A08E8" w:rsidTr="008A08E8" w14:paraId="0C6B8955" w14:textId="77777777">
        <w:trPr>
          <w:trHeight w:val="266"/>
        </w:trPr>
        <w:tc>
          <w:tcPr>
            <w:tcW w:w="2014" w:type="dxa"/>
          </w:tcPr>
          <w:p w:rsidRPr="00A7119E" w:rsidR="008A08E8" w:rsidP="00131848" w:rsidRDefault="008A08E8" w14:paraId="6798A5E1" w14:textId="77777777">
            <w:pPr>
              <w:pStyle w:val="BodyText"/>
              <w:rPr>
                <w:rFonts w:cs="Arial"/>
                <w:sz w:val="20"/>
                <w:lang w:val="en-AU"/>
              </w:rPr>
            </w:pPr>
            <w:r w:rsidRPr="00A7119E">
              <w:rPr>
                <w:rFonts w:cs="Arial"/>
                <w:b/>
                <w:bCs/>
                <w:sz w:val="20"/>
                <w:lang w:val="en-AU"/>
              </w:rPr>
              <w:t xml:space="preserve">Drug type                                   </w:t>
            </w:r>
          </w:p>
        </w:tc>
        <w:tc>
          <w:tcPr>
            <w:tcW w:w="7229" w:type="dxa"/>
          </w:tcPr>
          <w:p w:rsidRPr="00A7119E" w:rsidR="008A08E8" w:rsidP="00131848" w:rsidRDefault="008A08E8" w14:paraId="66209E73" w14:textId="77777777">
            <w:pPr>
              <w:pStyle w:val="BodyText"/>
              <w:rPr>
                <w:rFonts w:cs="Arial"/>
                <w:sz w:val="20"/>
                <w:lang w:val="en-AU"/>
              </w:rPr>
            </w:pPr>
            <w:r w:rsidRPr="00A83F5E">
              <w:rPr>
                <w:rFonts w:cs="Arial"/>
                <w:sz w:val="20"/>
                <w:lang w:val="en-AU"/>
              </w:rPr>
              <w:t>Mucolytic agent</w:t>
            </w:r>
          </w:p>
        </w:tc>
      </w:tr>
      <w:tr w:rsidRPr="00A7119E" w:rsidR="008A08E8" w:rsidTr="008A08E8" w14:paraId="30234228" w14:textId="77777777">
        <w:trPr>
          <w:trHeight w:val="114"/>
        </w:trPr>
        <w:tc>
          <w:tcPr>
            <w:tcW w:w="2014" w:type="dxa"/>
          </w:tcPr>
          <w:p w:rsidRPr="00A7119E" w:rsidR="008A08E8" w:rsidP="00131848" w:rsidRDefault="008A08E8" w14:paraId="14803668" w14:textId="77777777">
            <w:pPr>
              <w:pStyle w:val="BodyText"/>
              <w:rPr>
                <w:rFonts w:cs="Arial"/>
                <w:b/>
                <w:bCs/>
                <w:sz w:val="20"/>
                <w:lang w:val="en-AU"/>
              </w:rPr>
            </w:pPr>
            <w:r w:rsidRPr="00A7119E">
              <w:rPr>
                <w:rFonts w:cs="Arial"/>
                <w:b/>
                <w:bCs/>
                <w:sz w:val="20"/>
                <w:lang w:val="en-AU"/>
              </w:rPr>
              <w:t xml:space="preserve">Trade name                  </w:t>
            </w:r>
          </w:p>
        </w:tc>
        <w:tc>
          <w:tcPr>
            <w:tcW w:w="7229" w:type="dxa"/>
          </w:tcPr>
          <w:p w:rsidRPr="00A7119E" w:rsidR="008A08E8" w:rsidP="00131848" w:rsidRDefault="008A08E8" w14:paraId="15B3F3EC" w14:textId="77777777">
            <w:pPr>
              <w:pStyle w:val="BodyText"/>
              <w:rPr>
                <w:rFonts w:cs="Arial"/>
                <w:sz w:val="20"/>
                <w:lang w:val="en-AU"/>
              </w:rPr>
            </w:pPr>
            <w:r w:rsidRPr="00A7119E">
              <w:rPr>
                <w:rFonts w:cs="Arial"/>
                <w:sz w:val="20"/>
                <w:lang w:val="en-AU"/>
              </w:rPr>
              <w:t>DBL Acetylcysteine Injection Concentrate</w:t>
            </w:r>
          </w:p>
          <w:p w:rsidRPr="00A7119E" w:rsidR="008A08E8" w:rsidP="00131848" w:rsidRDefault="008A08E8" w14:paraId="33A16ACB" w14:textId="77777777">
            <w:pPr>
              <w:pStyle w:val="BodyText"/>
              <w:rPr>
                <w:rFonts w:cs="Arial"/>
                <w:sz w:val="20"/>
                <w:lang w:val="en-AU"/>
              </w:rPr>
            </w:pPr>
            <w:r w:rsidRPr="00A7119E">
              <w:rPr>
                <w:rFonts w:cs="Arial"/>
                <w:sz w:val="20"/>
                <w:lang w:val="en-AU"/>
              </w:rPr>
              <w:t>Acetadote Concentrated Injection (solution for infusion)</w:t>
            </w:r>
          </w:p>
          <w:p w:rsidRPr="00A7119E" w:rsidR="008A08E8" w:rsidP="00131848" w:rsidRDefault="008A08E8" w14:paraId="528AC137" w14:textId="77777777">
            <w:pPr>
              <w:pStyle w:val="BodyText"/>
              <w:rPr>
                <w:rFonts w:cs="Arial"/>
                <w:sz w:val="20"/>
                <w:lang w:val="en-AU"/>
              </w:rPr>
            </w:pPr>
            <w:r w:rsidRPr="00A7119E">
              <w:rPr>
                <w:rFonts w:cs="Arial"/>
                <w:sz w:val="20"/>
                <w:lang w:val="en-AU"/>
              </w:rPr>
              <w:t>Acetylcysteine-Link Concentrate for infusion</w:t>
            </w:r>
          </w:p>
        </w:tc>
      </w:tr>
      <w:tr w:rsidRPr="00A7119E" w:rsidR="008A08E8" w:rsidTr="008A08E8" w14:paraId="589498D7" w14:textId="77777777">
        <w:trPr>
          <w:trHeight w:val="70"/>
        </w:trPr>
        <w:tc>
          <w:tcPr>
            <w:tcW w:w="2014" w:type="dxa"/>
          </w:tcPr>
          <w:p w:rsidRPr="00A7119E" w:rsidR="008A08E8" w:rsidP="00131848" w:rsidRDefault="008A08E8" w14:paraId="53ADD6F1" w14:textId="77777777">
            <w:pPr>
              <w:pStyle w:val="BodyText"/>
              <w:rPr>
                <w:rFonts w:cs="Arial"/>
                <w:b/>
                <w:bCs/>
                <w:sz w:val="20"/>
                <w:lang w:val="en-AU"/>
              </w:rPr>
            </w:pPr>
            <w:r w:rsidRPr="00A7119E">
              <w:rPr>
                <w:rFonts w:cs="Arial"/>
                <w:b/>
                <w:bCs/>
                <w:sz w:val="20"/>
                <w:lang w:val="en-AU"/>
              </w:rPr>
              <w:t xml:space="preserve">Presentation </w:t>
            </w:r>
          </w:p>
        </w:tc>
        <w:tc>
          <w:tcPr>
            <w:tcW w:w="7229" w:type="dxa"/>
          </w:tcPr>
          <w:p w:rsidRPr="00A7119E" w:rsidR="008A08E8" w:rsidP="00131848" w:rsidRDefault="008A08E8" w14:paraId="4F1BB04B" w14:textId="77777777">
            <w:pPr>
              <w:pStyle w:val="BodyText"/>
              <w:rPr>
                <w:rFonts w:cs="Arial"/>
                <w:sz w:val="20"/>
                <w:lang w:val="en-AU"/>
              </w:rPr>
            </w:pPr>
            <w:r w:rsidRPr="00A7119E">
              <w:rPr>
                <w:rFonts w:cs="Arial"/>
                <w:sz w:val="20"/>
                <w:lang w:val="en-AU"/>
              </w:rPr>
              <w:t xml:space="preserve">DBL Acetylcysteine Injection Concentrate 20%; 200 mg/mL ampoule </w:t>
            </w:r>
          </w:p>
          <w:p w:rsidRPr="00A7119E" w:rsidR="008A08E8" w:rsidP="00131848" w:rsidRDefault="008A08E8" w14:paraId="744717CB" w14:textId="77777777">
            <w:pPr>
              <w:pStyle w:val="BodyText"/>
              <w:rPr>
                <w:rFonts w:cs="Arial"/>
                <w:sz w:val="20"/>
                <w:lang w:val="en-AU"/>
              </w:rPr>
            </w:pPr>
            <w:r w:rsidRPr="00A7119E">
              <w:rPr>
                <w:rFonts w:cs="Arial"/>
                <w:sz w:val="20"/>
                <w:lang w:val="en-AU"/>
              </w:rPr>
              <w:t>Acetadote Concentrated Injection (Solution for infusion) 20%; 200 mg/mL vial</w:t>
            </w:r>
          </w:p>
          <w:p w:rsidRPr="00A7119E" w:rsidR="008A08E8" w:rsidP="00131848" w:rsidRDefault="008A08E8" w14:paraId="6668ABD3" w14:textId="77777777">
            <w:pPr>
              <w:pStyle w:val="BodyText"/>
              <w:rPr>
                <w:rFonts w:cs="Arial"/>
                <w:sz w:val="20"/>
                <w:lang w:val="en-AU"/>
              </w:rPr>
            </w:pPr>
            <w:r w:rsidRPr="00A7119E">
              <w:rPr>
                <w:rFonts w:cs="Arial"/>
                <w:sz w:val="20"/>
                <w:lang w:val="en-AU"/>
              </w:rPr>
              <w:t>Acetylcysteine-Link Concentrate for infusion 20%; 200 mg/mL ampoule</w:t>
            </w:r>
          </w:p>
        </w:tc>
      </w:tr>
      <w:tr w:rsidRPr="00A7119E" w:rsidR="008A08E8" w:rsidTr="008A08E8" w14:paraId="26A68307" w14:textId="77777777">
        <w:trPr>
          <w:trHeight w:val="70"/>
        </w:trPr>
        <w:tc>
          <w:tcPr>
            <w:tcW w:w="2014" w:type="dxa"/>
          </w:tcPr>
          <w:p w:rsidRPr="00A7119E" w:rsidR="008A08E8" w:rsidP="00131848" w:rsidRDefault="008A08E8" w14:paraId="57B84C1E" w14:textId="77777777">
            <w:pPr>
              <w:pStyle w:val="BodyText"/>
              <w:rPr>
                <w:rFonts w:cs="Arial"/>
                <w:b/>
                <w:bCs/>
                <w:sz w:val="20"/>
                <w:lang w:val="en-AU"/>
              </w:rPr>
            </w:pPr>
            <w:r w:rsidRPr="00A7119E">
              <w:rPr>
                <w:rFonts w:cs="Arial"/>
                <w:b/>
                <w:bCs/>
                <w:sz w:val="20"/>
                <w:lang w:val="en-AU"/>
              </w:rPr>
              <w:t xml:space="preserve">Dosage                         </w:t>
            </w:r>
          </w:p>
        </w:tc>
        <w:tc>
          <w:tcPr>
            <w:tcW w:w="7229" w:type="dxa"/>
          </w:tcPr>
          <w:p w:rsidRPr="00A83F5E" w:rsidR="008A08E8" w:rsidP="00131848" w:rsidRDefault="008A08E8" w14:paraId="544CF6D6" w14:textId="77777777">
            <w:pPr>
              <w:pStyle w:val="BodyText"/>
              <w:rPr>
                <w:sz w:val="20"/>
                <w:lang w:val="en-AU"/>
              </w:rPr>
            </w:pPr>
            <w:r w:rsidRPr="00A83F5E">
              <w:rPr>
                <w:b/>
                <w:sz w:val="20"/>
                <w:lang w:val="en-AU"/>
              </w:rPr>
              <w:t>Intragastric</w:t>
            </w:r>
          </w:p>
          <w:p w:rsidRPr="001230F9" w:rsidR="008A08E8" w:rsidP="00131848" w:rsidRDefault="008A08E8" w14:paraId="27A644B6" w14:textId="77777777">
            <w:pPr>
              <w:pStyle w:val="BodyText"/>
              <w:rPr>
                <w:sz w:val="20"/>
                <w:lang w:val="en-AU"/>
              </w:rPr>
            </w:pPr>
            <w:r w:rsidRPr="0080322A">
              <w:rPr>
                <w:b/>
                <w:sz w:val="20"/>
                <w:lang w:val="en-AU"/>
              </w:rPr>
              <w:t>Meconium ileus:</w:t>
            </w:r>
            <w:r w:rsidRPr="005F6610">
              <w:rPr>
                <w:sz w:val="20"/>
                <w:lang w:val="en-AU"/>
              </w:rPr>
              <w:t xml:space="preserve"> 400 mg/dose (4 mL/dose of </w:t>
            </w:r>
            <w:r w:rsidRPr="005F6610">
              <w:rPr>
                <w:rFonts w:cs="Arial"/>
                <w:sz w:val="20"/>
                <w:lang w:val="en-AU"/>
              </w:rPr>
              <w:t xml:space="preserve">acetylcysteine </w:t>
            </w:r>
            <w:r w:rsidRPr="005F6610">
              <w:rPr>
                <w:sz w:val="20"/>
                <w:lang w:val="en-AU"/>
              </w:rPr>
              <w:t>10%) (</w:t>
            </w:r>
            <w:r w:rsidRPr="000C50D6">
              <w:rPr>
                <w:sz w:val="20"/>
                <w:lang w:val="en-AU"/>
              </w:rPr>
              <w:t>range 100–500 mg/dose, 1</w:t>
            </w:r>
            <w:r w:rsidRPr="002027FF">
              <w:rPr>
                <w:sz w:val="20"/>
                <w:lang w:val="en-AU"/>
              </w:rPr>
              <w:t>–</w:t>
            </w:r>
            <w:r w:rsidRPr="00D55518">
              <w:rPr>
                <w:sz w:val="20"/>
                <w:lang w:val="en-AU"/>
              </w:rPr>
              <w:t xml:space="preserve">5 mL/dose of </w:t>
            </w:r>
            <w:r w:rsidRPr="00BD3894">
              <w:rPr>
                <w:rFonts w:cs="Arial"/>
                <w:sz w:val="20"/>
                <w:lang w:val="en-AU"/>
              </w:rPr>
              <w:t xml:space="preserve">acetylcysteine </w:t>
            </w:r>
            <w:r w:rsidRPr="00BD3894">
              <w:rPr>
                <w:sz w:val="20"/>
                <w:lang w:val="en-AU"/>
              </w:rPr>
              <w:t>10%) 6</w:t>
            </w:r>
            <w:r w:rsidRPr="006F664F">
              <w:rPr>
                <w:sz w:val="20"/>
                <w:lang w:val="en-AU"/>
              </w:rPr>
              <w:t>–8 hourly</w:t>
            </w:r>
            <w:r w:rsidRPr="006F664F">
              <w:rPr>
                <w:sz w:val="20"/>
                <w:vertAlign w:val="superscript"/>
                <w:lang w:val="en-AU"/>
              </w:rPr>
              <w:t>5</w:t>
            </w:r>
            <w:r w:rsidRPr="006F664F">
              <w:rPr>
                <w:sz w:val="20"/>
                <w:lang w:val="en-AU"/>
              </w:rPr>
              <w:t xml:space="preserve">. </w:t>
            </w:r>
            <w:r w:rsidRPr="001230F9">
              <w:rPr>
                <w:rFonts w:cs="Arial"/>
                <w:sz w:val="20"/>
                <w:lang w:val="en-AU"/>
              </w:rPr>
              <w:t xml:space="preserve">Acetylcysteine </w:t>
            </w:r>
            <w:r w:rsidRPr="001230F9">
              <w:rPr>
                <w:sz w:val="20"/>
                <w:lang w:val="en-AU"/>
              </w:rPr>
              <w:t>10% = 100 mg/mL</w:t>
            </w:r>
          </w:p>
          <w:p w:rsidRPr="00A7119E" w:rsidR="008A08E8" w:rsidP="00131848" w:rsidRDefault="008A08E8" w14:paraId="30A6D335" w14:textId="77777777">
            <w:pPr>
              <w:pStyle w:val="BodyText"/>
              <w:rPr>
                <w:sz w:val="20"/>
                <w:lang w:val="en-AU"/>
              </w:rPr>
            </w:pPr>
            <w:r w:rsidRPr="0080322A">
              <w:rPr>
                <w:b/>
                <w:sz w:val="20"/>
                <w:lang w:val="en-AU"/>
              </w:rPr>
              <w:t>Distal intestinal obstruction secondary to CF in 1–3-month old:</w:t>
            </w:r>
            <w:r w:rsidRPr="00A7119E">
              <w:rPr>
                <w:sz w:val="20"/>
                <w:lang w:val="en-AU"/>
              </w:rPr>
              <w:t xml:space="preserve"> 400 mg/dose (8 mL of </w:t>
            </w:r>
            <w:r w:rsidRPr="00A7119E">
              <w:rPr>
                <w:rFonts w:cs="Arial"/>
                <w:sz w:val="20"/>
                <w:lang w:val="en-AU"/>
              </w:rPr>
              <w:t xml:space="preserve">acetylcysteine </w:t>
            </w:r>
            <w:r>
              <w:rPr>
                <w:sz w:val="20"/>
                <w:lang w:val="en-AU"/>
              </w:rPr>
              <w:t>5%</w:t>
            </w:r>
            <w:r w:rsidRPr="00A7119E">
              <w:rPr>
                <w:sz w:val="20"/>
                <w:lang w:val="en-AU"/>
              </w:rPr>
              <w:t xml:space="preserve"> (50 mg/mL) daily</w:t>
            </w:r>
            <w:r w:rsidRPr="00A7119E">
              <w:rPr>
                <w:sz w:val="20"/>
                <w:vertAlign w:val="superscript"/>
                <w:lang w:val="en-AU"/>
              </w:rPr>
              <w:t>29</w:t>
            </w:r>
            <w:r w:rsidRPr="00A7119E">
              <w:rPr>
                <w:sz w:val="20"/>
                <w:lang w:val="en-AU"/>
              </w:rPr>
              <w:t xml:space="preserve">. </w:t>
            </w:r>
            <w:r w:rsidRPr="00A7119E">
              <w:rPr>
                <w:rFonts w:cs="Arial"/>
                <w:sz w:val="20"/>
                <w:lang w:val="en-AU"/>
              </w:rPr>
              <w:t xml:space="preserve">Acetylcysteine </w:t>
            </w:r>
            <w:r w:rsidRPr="00A7119E">
              <w:rPr>
                <w:sz w:val="20"/>
                <w:lang w:val="en-AU"/>
              </w:rPr>
              <w:t>5% = 50 mg/mL</w:t>
            </w:r>
          </w:p>
          <w:p w:rsidRPr="00A83F5E" w:rsidR="008A08E8" w:rsidP="00131848" w:rsidRDefault="008A08E8" w14:paraId="0B0170F9" w14:textId="77777777">
            <w:pPr>
              <w:pStyle w:val="BodyText"/>
              <w:rPr>
                <w:b/>
                <w:sz w:val="20"/>
                <w:lang w:val="en-AU"/>
              </w:rPr>
            </w:pPr>
            <w:r w:rsidRPr="00A83F5E">
              <w:rPr>
                <w:b/>
                <w:sz w:val="20"/>
                <w:lang w:val="en-AU"/>
              </w:rPr>
              <w:t xml:space="preserve">Rectal enema OR via </w:t>
            </w:r>
            <w:r w:rsidRPr="00A7119E">
              <w:rPr>
                <w:b/>
                <w:sz w:val="20"/>
                <w:lang w:val="en-AU"/>
              </w:rPr>
              <w:t xml:space="preserve">distal intestinal </w:t>
            </w:r>
            <w:r w:rsidRPr="00A83F5E">
              <w:rPr>
                <w:b/>
                <w:sz w:val="20"/>
                <w:lang w:val="en-AU"/>
              </w:rPr>
              <w:t>stoma</w:t>
            </w:r>
          </w:p>
          <w:p w:rsidRPr="006F664F" w:rsidR="008A08E8" w:rsidP="00131848" w:rsidRDefault="008A08E8" w14:paraId="5157B654" w14:textId="77777777">
            <w:pPr>
              <w:pStyle w:val="BodyText"/>
              <w:rPr>
                <w:sz w:val="20"/>
                <w:lang w:val="en-AU"/>
              </w:rPr>
            </w:pPr>
            <w:r w:rsidRPr="00A7119E">
              <w:rPr>
                <w:sz w:val="20"/>
                <w:lang w:val="en-AU"/>
              </w:rPr>
              <w:t>40</w:t>
            </w:r>
            <w:r w:rsidRPr="005F6610">
              <w:rPr>
                <w:sz w:val="20"/>
                <w:lang w:val="en-AU"/>
              </w:rPr>
              <w:t xml:space="preserve">–200 mg/dose of </w:t>
            </w:r>
            <w:r w:rsidRPr="005F6610">
              <w:rPr>
                <w:rFonts w:cs="Arial"/>
                <w:sz w:val="20"/>
                <w:lang w:val="en-AU"/>
              </w:rPr>
              <w:t xml:space="preserve">acetylcysteine </w:t>
            </w:r>
            <w:r w:rsidRPr="005F6610">
              <w:rPr>
                <w:sz w:val="20"/>
                <w:lang w:val="en-AU"/>
              </w:rPr>
              <w:t>4% (</w:t>
            </w:r>
            <w:r w:rsidRPr="00A83F5E">
              <w:rPr>
                <w:sz w:val="20"/>
                <w:lang w:val="en-AU"/>
              </w:rPr>
              <w:t>1</w:t>
            </w:r>
            <w:r w:rsidRPr="00A7119E">
              <w:rPr>
                <w:sz w:val="20"/>
                <w:lang w:val="en-AU"/>
              </w:rPr>
              <w:t>–</w:t>
            </w:r>
            <w:r w:rsidRPr="00A83F5E">
              <w:rPr>
                <w:sz w:val="20"/>
                <w:lang w:val="en-AU"/>
              </w:rPr>
              <w:t>5 mL</w:t>
            </w:r>
            <w:r>
              <w:rPr>
                <w:sz w:val="20"/>
                <w:lang w:val="en-AU"/>
              </w:rPr>
              <w:t>/dose</w:t>
            </w:r>
            <w:r w:rsidRPr="00A83F5E">
              <w:rPr>
                <w:sz w:val="20"/>
                <w:lang w:val="en-AU"/>
              </w:rPr>
              <w:t xml:space="preserve"> of </w:t>
            </w:r>
            <w:r w:rsidRPr="00A7119E">
              <w:rPr>
                <w:rFonts w:cs="Arial"/>
                <w:sz w:val="20"/>
                <w:lang w:val="en-AU"/>
              </w:rPr>
              <w:t xml:space="preserve">acetylcysteine </w:t>
            </w:r>
            <w:r w:rsidRPr="00A83F5E">
              <w:rPr>
                <w:sz w:val="20"/>
                <w:lang w:val="en-AU"/>
              </w:rPr>
              <w:t>4%</w:t>
            </w:r>
            <w:r w:rsidRPr="005F6610">
              <w:rPr>
                <w:sz w:val="20"/>
                <w:lang w:val="en-AU"/>
              </w:rPr>
              <w:t>)</w:t>
            </w:r>
            <w:r w:rsidRPr="00A83F5E">
              <w:rPr>
                <w:sz w:val="20"/>
                <w:lang w:val="en-AU"/>
              </w:rPr>
              <w:t xml:space="preserve"> 6</w:t>
            </w:r>
            <w:r w:rsidRPr="00A7119E">
              <w:rPr>
                <w:sz w:val="20"/>
                <w:lang w:val="en-AU"/>
              </w:rPr>
              <w:t>–</w:t>
            </w:r>
            <w:r w:rsidRPr="00A83F5E">
              <w:rPr>
                <w:sz w:val="20"/>
                <w:lang w:val="en-AU"/>
              </w:rPr>
              <w:t>8 hourly</w:t>
            </w:r>
            <w:r w:rsidRPr="00A7119E">
              <w:rPr>
                <w:sz w:val="20"/>
                <w:lang w:val="en-AU"/>
              </w:rPr>
              <w:t xml:space="preserve">. </w:t>
            </w:r>
            <w:r w:rsidRPr="00BD3894">
              <w:rPr>
                <w:rFonts w:cs="Arial"/>
                <w:sz w:val="20"/>
                <w:lang w:val="en-AU"/>
              </w:rPr>
              <w:t xml:space="preserve">Acetylcysteine </w:t>
            </w:r>
            <w:r w:rsidRPr="00BD3894">
              <w:rPr>
                <w:sz w:val="20"/>
                <w:lang w:val="en-AU"/>
              </w:rPr>
              <w:t>4% = 40 mg/mL</w:t>
            </w:r>
          </w:p>
          <w:p w:rsidRPr="005F6610" w:rsidR="008A08E8" w:rsidP="00131848" w:rsidRDefault="008A08E8" w14:paraId="2CFAA55C" w14:textId="77777777">
            <w:pPr>
              <w:pStyle w:val="BodyText"/>
              <w:rPr>
                <w:sz w:val="20"/>
                <w:lang w:val="en-AU"/>
              </w:rPr>
            </w:pPr>
            <w:r w:rsidRPr="006F664F">
              <w:rPr>
                <w:sz w:val="20"/>
                <w:lang w:val="en-AU"/>
              </w:rPr>
              <w:t>50–</w:t>
            </w:r>
            <w:r w:rsidRPr="001230F9">
              <w:rPr>
                <w:sz w:val="20"/>
                <w:lang w:val="en-AU"/>
              </w:rPr>
              <w:t xml:space="preserve">100 mg/dose of </w:t>
            </w:r>
            <w:r w:rsidRPr="00A83F5E">
              <w:rPr>
                <w:rFonts w:cs="Arial"/>
                <w:sz w:val="20"/>
                <w:lang w:val="en-AU"/>
              </w:rPr>
              <w:t xml:space="preserve">acetylcysteine </w:t>
            </w:r>
            <w:r w:rsidRPr="00A7119E">
              <w:rPr>
                <w:sz w:val="20"/>
                <w:lang w:val="en-AU"/>
              </w:rPr>
              <w:t xml:space="preserve">1% </w:t>
            </w:r>
            <w:r w:rsidRPr="005F6610">
              <w:rPr>
                <w:sz w:val="20"/>
                <w:lang w:val="en-AU"/>
              </w:rPr>
              <w:t>(</w:t>
            </w:r>
            <w:r w:rsidRPr="00A83F5E">
              <w:rPr>
                <w:sz w:val="20"/>
                <w:lang w:val="en-AU"/>
              </w:rPr>
              <w:t>5</w:t>
            </w:r>
            <w:r w:rsidRPr="00A7119E">
              <w:rPr>
                <w:sz w:val="20"/>
                <w:lang w:val="en-AU"/>
              </w:rPr>
              <w:t>–</w:t>
            </w:r>
            <w:r w:rsidRPr="00A83F5E">
              <w:rPr>
                <w:sz w:val="20"/>
                <w:lang w:val="en-AU"/>
              </w:rPr>
              <w:t>10 mL/</w:t>
            </w:r>
            <w:r>
              <w:rPr>
                <w:sz w:val="20"/>
                <w:lang w:val="en-AU"/>
              </w:rPr>
              <w:t>dose</w:t>
            </w:r>
            <w:r w:rsidRPr="00A83F5E">
              <w:rPr>
                <w:sz w:val="20"/>
                <w:lang w:val="en-AU"/>
              </w:rPr>
              <w:t xml:space="preserve"> of </w:t>
            </w:r>
            <w:r w:rsidRPr="00A83F5E">
              <w:rPr>
                <w:rFonts w:cs="Arial"/>
                <w:sz w:val="20"/>
                <w:lang w:val="en-AU"/>
              </w:rPr>
              <w:t xml:space="preserve">acetylcysteine </w:t>
            </w:r>
            <w:r w:rsidRPr="00A83F5E">
              <w:rPr>
                <w:sz w:val="20"/>
                <w:lang w:val="en-AU"/>
              </w:rPr>
              <w:t>1%</w:t>
            </w:r>
            <w:r w:rsidRPr="005F6610">
              <w:rPr>
                <w:sz w:val="20"/>
                <w:lang w:val="en-AU"/>
              </w:rPr>
              <w:t>)</w:t>
            </w:r>
            <w:r w:rsidRPr="00A83F5E">
              <w:rPr>
                <w:sz w:val="20"/>
                <w:lang w:val="en-AU"/>
              </w:rPr>
              <w:t xml:space="preserve"> 6</w:t>
            </w:r>
            <w:r w:rsidRPr="00A7119E">
              <w:rPr>
                <w:sz w:val="20"/>
                <w:lang w:val="en-AU"/>
              </w:rPr>
              <w:t>–</w:t>
            </w:r>
            <w:r w:rsidRPr="00A83F5E">
              <w:rPr>
                <w:sz w:val="20"/>
                <w:lang w:val="en-AU"/>
              </w:rPr>
              <w:t>8 hourly has also been reported</w:t>
            </w:r>
            <w:r w:rsidRPr="00A7119E">
              <w:rPr>
                <w:sz w:val="20"/>
                <w:lang w:val="en-AU"/>
              </w:rPr>
              <w:t>.</w:t>
            </w:r>
            <w:r w:rsidRPr="005F6610">
              <w:rPr>
                <w:sz w:val="20"/>
                <w:lang w:val="en-AU"/>
              </w:rPr>
              <w:t xml:space="preserve"> </w:t>
            </w:r>
            <w:r w:rsidRPr="005F6610">
              <w:rPr>
                <w:rFonts w:cs="Arial"/>
                <w:sz w:val="20"/>
                <w:lang w:val="en-AU"/>
              </w:rPr>
              <w:t>A</w:t>
            </w:r>
            <w:r w:rsidRPr="00A83F5E">
              <w:rPr>
                <w:rFonts w:cs="Arial"/>
                <w:sz w:val="20"/>
                <w:lang w:val="en-AU"/>
              </w:rPr>
              <w:t xml:space="preserve">cetylcysteine </w:t>
            </w:r>
            <w:r w:rsidRPr="00A7119E">
              <w:rPr>
                <w:sz w:val="20"/>
                <w:lang w:val="en-AU"/>
              </w:rPr>
              <w:t xml:space="preserve">1% </w:t>
            </w:r>
            <w:r w:rsidRPr="005F6610">
              <w:rPr>
                <w:sz w:val="20"/>
                <w:lang w:val="en-AU"/>
              </w:rPr>
              <w:t>= 10 mg/mL</w:t>
            </w:r>
          </w:p>
        </w:tc>
      </w:tr>
      <w:tr w:rsidRPr="00A7119E" w:rsidR="008A08E8" w:rsidTr="008A08E8" w14:paraId="1BEB6A46" w14:textId="77777777">
        <w:trPr>
          <w:trHeight w:val="452"/>
        </w:trPr>
        <w:tc>
          <w:tcPr>
            <w:tcW w:w="2014" w:type="dxa"/>
          </w:tcPr>
          <w:p w:rsidRPr="00A7119E" w:rsidR="008A08E8" w:rsidP="00131848" w:rsidRDefault="008A08E8" w14:paraId="5CFD7DC1" w14:textId="77777777">
            <w:pPr>
              <w:pStyle w:val="BodyText"/>
              <w:rPr>
                <w:b/>
                <w:sz w:val="20"/>
                <w:lang w:val="en-AU"/>
              </w:rPr>
            </w:pPr>
            <w:r w:rsidRPr="00A7119E">
              <w:rPr>
                <w:b/>
                <w:sz w:val="20"/>
                <w:lang w:val="en-AU"/>
              </w:rPr>
              <w:t>Dose adjustments – special scenarios</w:t>
            </w:r>
          </w:p>
        </w:tc>
        <w:tc>
          <w:tcPr>
            <w:tcW w:w="7229" w:type="dxa"/>
          </w:tcPr>
          <w:p w:rsidRPr="00A7119E" w:rsidR="008A08E8" w:rsidP="00131848" w:rsidRDefault="008A08E8" w14:paraId="03CE49A1" w14:textId="77777777">
            <w:pPr>
              <w:pStyle w:val="BodyText"/>
              <w:rPr>
                <w:sz w:val="20"/>
                <w:lang w:val="en-AU"/>
              </w:rPr>
            </w:pPr>
            <w:r w:rsidRPr="00A7119E">
              <w:rPr>
                <w:sz w:val="20"/>
                <w:lang w:val="en-AU"/>
              </w:rPr>
              <w:t>No information.</w:t>
            </w:r>
          </w:p>
        </w:tc>
      </w:tr>
      <w:tr w:rsidRPr="00A7119E" w:rsidR="008A08E8" w:rsidTr="008A08E8" w14:paraId="20B84F44" w14:textId="77777777">
        <w:trPr>
          <w:trHeight w:val="247"/>
        </w:trPr>
        <w:tc>
          <w:tcPr>
            <w:tcW w:w="2014" w:type="dxa"/>
          </w:tcPr>
          <w:p w:rsidRPr="00A7119E" w:rsidR="008A08E8" w:rsidP="00131848" w:rsidRDefault="008A08E8" w14:paraId="3158CF87" w14:textId="77777777">
            <w:pPr>
              <w:pStyle w:val="BodyText"/>
              <w:rPr>
                <w:b/>
                <w:sz w:val="20"/>
                <w:lang w:val="en-AU"/>
              </w:rPr>
            </w:pPr>
            <w:r w:rsidRPr="00A7119E">
              <w:rPr>
                <w:b/>
                <w:sz w:val="20"/>
                <w:lang w:val="en-AU"/>
              </w:rPr>
              <w:t>Maximum dose</w:t>
            </w:r>
          </w:p>
        </w:tc>
        <w:tc>
          <w:tcPr>
            <w:tcW w:w="7229" w:type="dxa"/>
          </w:tcPr>
          <w:p w:rsidRPr="00A7119E" w:rsidR="008A08E8" w:rsidP="00131848" w:rsidRDefault="008A08E8" w14:paraId="371E4E8D" w14:textId="77777777">
            <w:pPr>
              <w:pStyle w:val="BodyText"/>
              <w:rPr>
                <w:sz w:val="20"/>
                <w:lang w:val="en-AU"/>
              </w:rPr>
            </w:pPr>
            <w:r w:rsidRPr="00A7119E">
              <w:rPr>
                <w:sz w:val="20"/>
                <w:lang w:val="en-AU"/>
              </w:rPr>
              <w:t>400 mg/dose orally</w:t>
            </w:r>
          </w:p>
        </w:tc>
      </w:tr>
      <w:tr w:rsidRPr="00A7119E" w:rsidR="008A08E8" w:rsidTr="008A08E8" w14:paraId="3A23CC0C" w14:textId="77777777">
        <w:trPr>
          <w:trHeight w:val="407"/>
        </w:trPr>
        <w:tc>
          <w:tcPr>
            <w:tcW w:w="2014" w:type="dxa"/>
          </w:tcPr>
          <w:p w:rsidRPr="00A7119E" w:rsidR="008A08E8" w:rsidP="00131848" w:rsidRDefault="008A08E8" w14:paraId="59C5A796" w14:textId="77777777">
            <w:pPr>
              <w:pStyle w:val="BodyText"/>
              <w:rPr>
                <w:rFonts w:cs="Arial"/>
                <w:b/>
                <w:bCs/>
                <w:sz w:val="20"/>
                <w:lang w:val="en-AU"/>
              </w:rPr>
            </w:pPr>
            <w:r w:rsidRPr="00A7119E">
              <w:rPr>
                <w:b/>
                <w:sz w:val="20"/>
                <w:lang w:val="en-AU"/>
              </w:rPr>
              <w:t>Total cumulative dose</w:t>
            </w:r>
          </w:p>
        </w:tc>
        <w:tc>
          <w:tcPr>
            <w:tcW w:w="7229" w:type="dxa"/>
          </w:tcPr>
          <w:p w:rsidRPr="00A7119E" w:rsidR="008A08E8" w:rsidP="00131848" w:rsidRDefault="008A08E8" w14:paraId="0EBB1510" w14:textId="77777777">
            <w:pPr>
              <w:pStyle w:val="BodyText"/>
              <w:rPr>
                <w:rFonts w:cs="Arial"/>
                <w:b/>
                <w:sz w:val="20"/>
                <w:lang w:val="en-AU"/>
              </w:rPr>
            </w:pPr>
          </w:p>
        </w:tc>
      </w:tr>
      <w:tr w:rsidRPr="00A7119E" w:rsidR="008A08E8" w:rsidTr="008A08E8" w14:paraId="13543E28" w14:textId="77777777">
        <w:trPr>
          <w:trHeight w:val="294"/>
        </w:trPr>
        <w:tc>
          <w:tcPr>
            <w:tcW w:w="2014" w:type="dxa"/>
          </w:tcPr>
          <w:p w:rsidRPr="00A7119E" w:rsidR="008A08E8" w:rsidP="00131848" w:rsidRDefault="008A08E8" w14:paraId="0A57BBE8" w14:textId="77777777">
            <w:pPr>
              <w:pStyle w:val="BodyText"/>
              <w:rPr>
                <w:rFonts w:cs="Arial"/>
                <w:sz w:val="20"/>
                <w:lang w:val="en-AU"/>
              </w:rPr>
            </w:pPr>
            <w:r w:rsidRPr="00A7119E">
              <w:rPr>
                <w:rFonts w:cs="Arial"/>
                <w:b/>
                <w:bCs/>
                <w:sz w:val="20"/>
                <w:lang w:val="en-AU"/>
              </w:rPr>
              <w:t xml:space="preserve">Route                                </w:t>
            </w:r>
          </w:p>
        </w:tc>
        <w:tc>
          <w:tcPr>
            <w:tcW w:w="7229" w:type="dxa"/>
          </w:tcPr>
          <w:p w:rsidRPr="00A7119E" w:rsidR="008A08E8" w:rsidP="00131848" w:rsidRDefault="008A08E8" w14:paraId="62D07B10" w14:textId="77777777">
            <w:pPr>
              <w:pStyle w:val="BodyText"/>
              <w:rPr>
                <w:rFonts w:cs="Arial"/>
                <w:sz w:val="20"/>
                <w:lang w:val="en-AU"/>
              </w:rPr>
            </w:pPr>
            <w:r w:rsidRPr="00A7119E">
              <w:rPr>
                <w:rFonts w:cs="Arial"/>
                <w:sz w:val="20"/>
                <w:lang w:val="en-AU"/>
              </w:rPr>
              <w:t>Oral via gastric tube</w:t>
            </w:r>
          </w:p>
          <w:p w:rsidRPr="00A7119E" w:rsidR="008A08E8" w:rsidP="00131848" w:rsidRDefault="008A08E8" w14:paraId="730DEF19" w14:textId="77777777">
            <w:pPr>
              <w:pStyle w:val="BodyText"/>
              <w:rPr>
                <w:rFonts w:cs="Arial"/>
                <w:sz w:val="20"/>
                <w:lang w:val="en-AU"/>
              </w:rPr>
            </w:pPr>
            <w:r w:rsidRPr="00A7119E">
              <w:rPr>
                <w:rFonts w:cs="Arial"/>
                <w:sz w:val="20"/>
                <w:lang w:val="en-AU"/>
              </w:rPr>
              <w:t>Rectal</w:t>
            </w:r>
          </w:p>
          <w:p w:rsidRPr="00A7119E" w:rsidR="008A08E8" w:rsidP="00131848" w:rsidRDefault="008A08E8" w14:paraId="789A8D90" w14:textId="77777777">
            <w:pPr>
              <w:pStyle w:val="BodyText"/>
              <w:rPr>
                <w:rFonts w:cs="Arial"/>
                <w:sz w:val="20"/>
                <w:lang w:val="en-AU"/>
              </w:rPr>
            </w:pPr>
            <w:r w:rsidRPr="00A7119E">
              <w:rPr>
                <w:rFonts w:cs="Arial"/>
                <w:sz w:val="20"/>
                <w:lang w:val="en-AU"/>
              </w:rPr>
              <w:t>Distal intestinal stoma or via T-tube ileostomy</w:t>
            </w:r>
          </w:p>
          <w:p w:rsidRPr="00A7119E" w:rsidR="008A08E8" w:rsidP="00131848" w:rsidRDefault="008A08E8" w14:paraId="5C35B456" w14:textId="77777777">
            <w:pPr>
              <w:pStyle w:val="BodyText"/>
              <w:rPr>
                <w:rFonts w:cs="Arial"/>
                <w:sz w:val="20"/>
                <w:lang w:val="en-AU"/>
              </w:rPr>
            </w:pPr>
            <w:r w:rsidRPr="00A7119E">
              <w:rPr>
                <w:rFonts w:cs="Arial"/>
                <w:sz w:val="20"/>
                <w:lang w:val="en-AU"/>
              </w:rPr>
              <w:t>Irrigation through Replogle tube</w:t>
            </w:r>
          </w:p>
        </w:tc>
      </w:tr>
      <w:tr w:rsidRPr="00A7119E" w:rsidR="008A08E8" w:rsidTr="008A08E8" w14:paraId="44186092" w14:textId="77777777">
        <w:trPr>
          <w:trHeight w:val="2167"/>
        </w:trPr>
        <w:tc>
          <w:tcPr>
            <w:tcW w:w="2014" w:type="dxa"/>
          </w:tcPr>
          <w:p w:rsidRPr="00A7119E" w:rsidR="008A08E8" w:rsidP="00131848" w:rsidRDefault="008A08E8" w14:paraId="21E14220" w14:textId="77777777">
            <w:pPr>
              <w:pStyle w:val="BodyText"/>
              <w:rPr>
                <w:rFonts w:cs="Arial"/>
                <w:b/>
                <w:bCs/>
                <w:sz w:val="20"/>
                <w:highlight w:val="cyan"/>
                <w:lang w:val="en-AU"/>
              </w:rPr>
            </w:pPr>
            <w:r w:rsidRPr="00A7119E">
              <w:rPr>
                <w:rFonts w:cs="Arial"/>
                <w:b/>
                <w:bCs/>
                <w:sz w:val="20"/>
                <w:lang w:val="en-AU"/>
              </w:rPr>
              <w:lastRenderedPageBreak/>
              <w:t>Preparation</w:t>
            </w:r>
            <w:r w:rsidRPr="00A7119E">
              <w:rPr>
                <w:rFonts w:cs="Arial"/>
                <w:b/>
                <w:bCs/>
                <w:sz w:val="20"/>
                <w:highlight w:val="cyan"/>
                <w:lang w:val="en-AU"/>
              </w:rPr>
              <w:t xml:space="preserve">                </w:t>
            </w:r>
          </w:p>
        </w:tc>
        <w:tc>
          <w:tcPr>
            <w:tcW w:w="7229" w:type="dxa"/>
          </w:tcPr>
          <w:p w:rsidRPr="00A83F5E" w:rsidR="008A08E8" w:rsidP="00131848" w:rsidRDefault="008A08E8" w14:paraId="59B284F0" w14:textId="77777777">
            <w:pPr>
              <w:pStyle w:val="BodyText"/>
              <w:rPr>
                <w:b/>
                <w:sz w:val="20"/>
                <w:lang w:val="en-AU"/>
              </w:rPr>
            </w:pPr>
            <w:r w:rsidRPr="00A83F5E">
              <w:rPr>
                <w:b/>
                <w:sz w:val="20"/>
                <w:lang w:val="en-AU"/>
              </w:rPr>
              <w:t>Intragastric preparation</w:t>
            </w:r>
            <w:r w:rsidRPr="00A83F5E">
              <w:rPr>
                <w:b/>
                <w:sz w:val="20"/>
                <w:vertAlign w:val="superscript"/>
                <w:lang w:val="en-AU"/>
              </w:rPr>
              <w:t>4,5</w:t>
            </w:r>
          </w:p>
          <w:p w:rsidR="008A08E8" w:rsidP="00131848" w:rsidRDefault="008A08E8" w14:paraId="30A2D7AF" w14:textId="77777777">
            <w:pPr>
              <w:pStyle w:val="BodyText"/>
              <w:rPr>
                <w:sz w:val="20"/>
                <w:lang w:val="en-AU"/>
              </w:rPr>
            </w:pPr>
            <w:r w:rsidRPr="00A7119E">
              <w:rPr>
                <w:rFonts w:cs="Arial"/>
                <w:sz w:val="20"/>
                <w:lang w:val="en-AU"/>
              </w:rPr>
              <w:t>A</w:t>
            </w:r>
            <w:r w:rsidRPr="00A83F5E">
              <w:rPr>
                <w:rFonts w:cs="Arial"/>
                <w:sz w:val="20"/>
                <w:lang w:val="en-AU"/>
              </w:rPr>
              <w:t xml:space="preserve">cetylcysteine </w:t>
            </w:r>
            <w:r w:rsidRPr="00A83F5E">
              <w:rPr>
                <w:sz w:val="20"/>
                <w:lang w:val="en-AU"/>
              </w:rPr>
              <w:t xml:space="preserve">10%: Dilute 5 mL of </w:t>
            </w:r>
            <w:r w:rsidRPr="00A83F5E">
              <w:rPr>
                <w:rFonts w:cs="Arial"/>
                <w:sz w:val="20"/>
                <w:lang w:val="en-AU"/>
              </w:rPr>
              <w:t xml:space="preserve">acetylcysteine </w:t>
            </w:r>
            <w:r w:rsidRPr="00A83F5E">
              <w:rPr>
                <w:sz w:val="20"/>
                <w:lang w:val="en-AU"/>
              </w:rPr>
              <w:t xml:space="preserve">20% (200 mg/mL) with 5 mL of glucose 5% or sodium chloride 0.9%* to make a final volume of 10 mL with a concentration of </w:t>
            </w:r>
            <w:r w:rsidRPr="00A83F5E">
              <w:rPr>
                <w:rFonts w:cs="Arial"/>
                <w:sz w:val="20"/>
                <w:lang w:val="en-AU"/>
              </w:rPr>
              <w:t xml:space="preserve">acetylcysteine </w:t>
            </w:r>
            <w:r w:rsidRPr="00A83F5E">
              <w:rPr>
                <w:sz w:val="20"/>
                <w:lang w:val="en-AU"/>
              </w:rPr>
              <w:t>10% (100 mg/mL)</w:t>
            </w:r>
          </w:p>
          <w:p w:rsidRPr="00A83F5E" w:rsidR="008A08E8" w:rsidP="00131848" w:rsidRDefault="008A08E8" w14:paraId="72392F03" w14:textId="77777777">
            <w:pPr>
              <w:pStyle w:val="BodyText"/>
              <w:rPr>
                <w:sz w:val="20"/>
                <w:lang w:val="en-AU"/>
              </w:rPr>
            </w:pPr>
            <w:r>
              <w:rPr>
                <w:sz w:val="20"/>
                <w:lang w:val="en-AU"/>
              </w:rPr>
              <w:t xml:space="preserve">Acetylcysteine 5%: </w:t>
            </w:r>
            <w:r w:rsidRPr="0080322A">
              <w:rPr>
                <w:sz w:val="20"/>
                <w:lang w:val="en-AU"/>
              </w:rPr>
              <w:t xml:space="preserve">Dilute </w:t>
            </w:r>
            <w:r>
              <w:rPr>
                <w:sz w:val="20"/>
                <w:lang w:val="en-AU"/>
              </w:rPr>
              <w:t>2.</w:t>
            </w:r>
            <w:r w:rsidRPr="0080322A">
              <w:rPr>
                <w:sz w:val="20"/>
                <w:lang w:val="en-AU"/>
              </w:rPr>
              <w:t>5 mL of acetylcysteine 20% (</w:t>
            </w:r>
            <w:r>
              <w:rPr>
                <w:sz w:val="20"/>
                <w:lang w:val="en-AU"/>
              </w:rPr>
              <w:t>200</w:t>
            </w:r>
            <w:r w:rsidRPr="0080322A">
              <w:rPr>
                <w:sz w:val="20"/>
                <w:lang w:val="en-AU"/>
              </w:rPr>
              <w:t xml:space="preserve"> mg/mL) with </w:t>
            </w:r>
            <w:r>
              <w:rPr>
                <w:sz w:val="20"/>
                <w:lang w:val="en-AU"/>
              </w:rPr>
              <w:t>7.</w:t>
            </w:r>
            <w:r w:rsidRPr="0080322A">
              <w:rPr>
                <w:sz w:val="20"/>
                <w:lang w:val="en-AU"/>
              </w:rPr>
              <w:t xml:space="preserve">5 mL of glucose 5% or sodium chloride 0.9%* to make a final volume of 10 mL with a concentration of acetylcysteine </w:t>
            </w:r>
            <w:r>
              <w:rPr>
                <w:sz w:val="20"/>
                <w:lang w:val="en-AU"/>
              </w:rPr>
              <w:t>5</w:t>
            </w:r>
            <w:r w:rsidRPr="0080322A">
              <w:rPr>
                <w:sz w:val="20"/>
                <w:lang w:val="en-AU"/>
              </w:rPr>
              <w:t>% (</w:t>
            </w:r>
            <w:r>
              <w:rPr>
                <w:sz w:val="20"/>
                <w:lang w:val="en-AU"/>
              </w:rPr>
              <w:t>50</w:t>
            </w:r>
            <w:r w:rsidRPr="0080322A">
              <w:rPr>
                <w:sz w:val="20"/>
                <w:lang w:val="en-AU"/>
              </w:rPr>
              <w:t xml:space="preserve"> mg/mL)</w:t>
            </w:r>
          </w:p>
          <w:p w:rsidRPr="00A83F5E" w:rsidR="008A08E8" w:rsidP="00131848" w:rsidRDefault="008A08E8" w14:paraId="16CD6926" w14:textId="77777777">
            <w:pPr>
              <w:pStyle w:val="BodyText"/>
              <w:rPr>
                <w:sz w:val="20"/>
                <w:lang w:val="en-AU"/>
              </w:rPr>
            </w:pPr>
            <w:r w:rsidRPr="00A83F5E">
              <w:rPr>
                <w:sz w:val="20"/>
                <w:lang w:val="en-AU"/>
              </w:rPr>
              <w:t>*For Acetadote Concentrated Injection – use glucose 5% only</w:t>
            </w:r>
          </w:p>
          <w:p w:rsidRPr="00A83F5E" w:rsidR="008A08E8" w:rsidP="00131848" w:rsidRDefault="008A08E8" w14:paraId="61478F60" w14:textId="77777777">
            <w:pPr>
              <w:pStyle w:val="BodyText"/>
              <w:rPr>
                <w:sz w:val="20"/>
                <w:lang w:val="en-AU"/>
              </w:rPr>
            </w:pPr>
          </w:p>
          <w:p w:rsidRPr="00A83F5E" w:rsidR="008A08E8" w:rsidP="00131848" w:rsidRDefault="008A08E8" w14:paraId="11543509" w14:textId="77777777">
            <w:pPr>
              <w:pStyle w:val="BodyText"/>
              <w:rPr>
                <w:b/>
                <w:sz w:val="20"/>
                <w:lang w:val="en-AU"/>
              </w:rPr>
            </w:pPr>
            <w:r w:rsidRPr="00A83F5E">
              <w:rPr>
                <w:b/>
                <w:sz w:val="20"/>
                <w:lang w:val="en-AU"/>
              </w:rPr>
              <w:t>Rectal or stoma administration</w:t>
            </w:r>
            <w:r w:rsidRPr="00A83F5E">
              <w:rPr>
                <w:b/>
                <w:sz w:val="20"/>
                <w:vertAlign w:val="superscript"/>
                <w:lang w:val="en-AU"/>
              </w:rPr>
              <w:t>22,23</w:t>
            </w:r>
          </w:p>
          <w:p w:rsidRPr="00A83F5E" w:rsidR="008A08E8" w:rsidP="00131848" w:rsidRDefault="008A08E8" w14:paraId="668367F8" w14:textId="77777777">
            <w:pPr>
              <w:pStyle w:val="BodyText"/>
              <w:rPr>
                <w:sz w:val="20"/>
                <w:lang w:val="en-AU"/>
              </w:rPr>
            </w:pPr>
            <w:r w:rsidRPr="00A7119E">
              <w:rPr>
                <w:rFonts w:cs="Arial"/>
                <w:sz w:val="20"/>
                <w:lang w:val="en-AU"/>
              </w:rPr>
              <w:t>A</w:t>
            </w:r>
            <w:r w:rsidRPr="00A83F5E">
              <w:rPr>
                <w:rFonts w:cs="Arial"/>
                <w:sz w:val="20"/>
                <w:lang w:val="en-AU"/>
              </w:rPr>
              <w:t xml:space="preserve">cetylcysteine </w:t>
            </w:r>
            <w:r w:rsidRPr="00A83F5E">
              <w:rPr>
                <w:sz w:val="20"/>
                <w:lang w:val="en-AU"/>
              </w:rPr>
              <w:t xml:space="preserve">4%: Dilute 1 mL of </w:t>
            </w:r>
            <w:r w:rsidRPr="00A83F5E">
              <w:rPr>
                <w:rFonts w:cs="Arial"/>
                <w:sz w:val="20"/>
                <w:lang w:val="en-AU"/>
              </w:rPr>
              <w:t xml:space="preserve">acetylcysteine </w:t>
            </w:r>
            <w:r w:rsidRPr="00A83F5E">
              <w:rPr>
                <w:sz w:val="20"/>
                <w:lang w:val="en-AU"/>
              </w:rPr>
              <w:t xml:space="preserve">20% (200 mg/mL) with 4 mL of glucose 5% or sodium chloride 0.9%* to make a final volume of 5 mL with a concentration of </w:t>
            </w:r>
            <w:r w:rsidRPr="00A83F5E">
              <w:rPr>
                <w:rFonts w:cs="Arial"/>
                <w:sz w:val="20"/>
                <w:lang w:val="en-AU"/>
              </w:rPr>
              <w:t xml:space="preserve">acetylcysteine </w:t>
            </w:r>
            <w:r w:rsidRPr="00A83F5E">
              <w:rPr>
                <w:sz w:val="20"/>
                <w:lang w:val="en-AU"/>
              </w:rPr>
              <w:t>4% (40 mg/mL)</w:t>
            </w:r>
          </w:p>
          <w:p w:rsidRPr="00A7119E" w:rsidR="008A08E8" w:rsidP="00131848" w:rsidRDefault="008A08E8" w14:paraId="5A387CCB" w14:textId="77777777">
            <w:pPr>
              <w:pStyle w:val="BodyText"/>
              <w:rPr>
                <w:rFonts w:cs="Arial"/>
                <w:sz w:val="20"/>
                <w:lang w:val="en-AU"/>
              </w:rPr>
            </w:pPr>
            <w:r w:rsidRPr="00A83F5E">
              <w:rPr>
                <w:sz w:val="20"/>
                <w:lang w:val="en-AU"/>
              </w:rPr>
              <w:t>*For Acetadote Concentrated Injection – use</w:t>
            </w:r>
            <w:r w:rsidRPr="00A7119E">
              <w:rPr>
                <w:sz w:val="20"/>
                <w:lang w:val="en-AU"/>
              </w:rPr>
              <w:t xml:space="preserve"> </w:t>
            </w:r>
            <w:r w:rsidRPr="00A83F5E">
              <w:rPr>
                <w:sz w:val="20"/>
                <w:lang w:val="en-AU"/>
              </w:rPr>
              <w:t>glucose 5% only</w:t>
            </w:r>
            <w:r>
              <w:rPr>
                <w:sz w:val="20"/>
                <w:lang w:val="en-AU"/>
              </w:rPr>
              <w:t>.</w:t>
            </w:r>
          </w:p>
        </w:tc>
      </w:tr>
      <w:tr w:rsidRPr="00A7119E" w:rsidR="008A08E8" w:rsidTr="008A08E8" w14:paraId="3C6D65D4" w14:textId="77777777">
        <w:trPr>
          <w:trHeight w:val="224"/>
        </w:trPr>
        <w:tc>
          <w:tcPr>
            <w:tcW w:w="2014" w:type="dxa"/>
          </w:tcPr>
          <w:p w:rsidRPr="00A7119E" w:rsidR="008A08E8" w:rsidP="00131848" w:rsidRDefault="008A08E8" w14:paraId="763D9F4C" w14:textId="77777777">
            <w:pPr>
              <w:pStyle w:val="BodyText"/>
              <w:rPr>
                <w:rFonts w:cs="Arial"/>
                <w:b/>
                <w:bCs/>
                <w:sz w:val="20"/>
                <w:lang w:val="en-AU"/>
              </w:rPr>
            </w:pPr>
            <w:r w:rsidRPr="00A7119E">
              <w:rPr>
                <w:rFonts w:cs="Arial"/>
                <w:b/>
                <w:bCs/>
                <w:sz w:val="20"/>
                <w:lang w:val="en-AU"/>
              </w:rPr>
              <w:t xml:space="preserve">Administration                </w:t>
            </w:r>
          </w:p>
        </w:tc>
        <w:tc>
          <w:tcPr>
            <w:tcW w:w="7229" w:type="dxa"/>
            <w:vAlign w:val="center"/>
          </w:tcPr>
          <w:p w:rsidRPr="00A7119E" w:rsidR="008A08E8" w:rsidP="00131848" w:rsidRDefault="008A08E8" w14:paraId="351513C8" w14:textId="77777777">
            <w:pPr>
              <w:pStyle w:val="BodyText"/>
              <w:rPr>
                <w:rFonts w:cs="Arial"/>
                <w:sz w:val="20"/>
                <w:lang w:val="en-AU"/>
              </w:rPr>
            </w:pPr>
            <w:r w:rsidRPr="00A7119E">
              <w:rPr>
                <w:rFonts w:cs="Arial"/>
                <w:sz w:val="20"/>
                <w:lang w:val="en-AU"/>
              </w:rPr>
              <w:t>Intragastric/rectal/stoma: Administer slowly</w:t>
            </w:r>
          </w:p>
          <w:p w:rsidRPr="00A7119E" w:rsidR="008A08E8" w:rsidP="00131848" w:rsidRDefault="008A08E8" w14:paraId="04A4AC29" w14:textId="77777777">
            <w:pPr>
              <w:pStyle w:val="BodyText"/>
              <w:rPr>
                <w:rFonts w:cs="Arial"/>
                <w:sz w:val="20"/>
                <w:lang w:val="en-AU"/>
              </w:rPr>
            </w:pPr>
            <w:r w:rsidRPr="00A7119E">
              <w:rPr>
                <w:rFonts w:cs="Arial"/>
                <w:sz w:val="20"/>
                <w:lang w:val="en-AU"/>
              </w:rPr>
              <w:t>Irrigation via Replogle tube: As a continuous irrigation with suction applied</w:t>
            </w:r>
          </w:p>
        </w:tc>
      </w:tr>
      <w:tr w:rsidRPr="00A7119E" w:rsidR="008A08E8" w:rsidTr="008A08E8" w14:paraId="6CFC18B3" w14:textId="77777777">
        <w:trPr>
          <w:trHeight w:val="215"/>
        </w:trPr>
        <w:tc>
          <w:tcPr>
            <w:tcW w:w="2014" w:type="dxa"/>
          </w:tcPr>
          <w:p w:rsidRPr="00A7119E" w:rsidR="008A08E8" w:rsidP="00131848" w:rsidRDefault="008A08E8" w14:paraId="4BE8540D" w14:textId="77777777">
            <w:pPr>
              <w:pStyle w:val="BodyText"/>
              <w:rPr>
                <w:rFonts w:cs="Arial"/>
                <w:b/>
                <w:bCs/>
                <w:sz w:val="20"/>
                <w:lang w:val="en-AU"/>
              </w:rPr>
            </w:pPr>
            <w:r w:rsidRPr="00A7119E">
              <w:rPr>
                <w:rFonts w:cs="Arial"/>
                <w:b/>
                <w:bCs/>
                <w:sz w:val="20"/>
                <w:lang w:val="en-AU"/>
              </w:rPr>
              <w:t xml:space="preserve">Monitoring                              </w:t>
            </w:r>
          </w:p>
        </w:tc>
        <w:tc>
          <w:tcPr>
            <w:tcW w:w="7229" w:type="dxa"/>
          </w:tcPr>
          <w:p w:rsidRPr="00A7119E" w:rsidR="008A08E8" w:rsidP="00131848" w:rsidRDefault="008A08E8" w14:paraId="2AED4EFD" w14:textId="77777777">
            <w:pPr>
              <w:pStyle w:val="BodyText"/>
              <w:rPr>
                <w:rFonts w:cs="Arial"/>
                <w:sz w:val="20"/>
                <w:lang w:val="en-AU"/>
              </w:rPr>
            </w:pPr>
            <w:r w:rsidRPr="00A7119E">
              <w:rPr>
                <w:sz w:val="20"/>
                <w:lang w:val="en-AU"/>
              </w:rPr>
              <w:t>Cardiorespiratory</w:t>
            </w:r>
            <w:r w:rsidRPr="00A83F5E">
              <w:rPr>
                <w:sz w:val="20"/>
                <w:lang w:val="en-AU"/>
              </w:rPr>
              <w:t>, serum electrolytes, liver function</w:t>
            </w:r>
          </w:p>
        </w:tc>
      </w:tr>
      <w:tr w:rsidRPr="00A7119E" w:rsidR="008A08E8" w:rsidTr="008A08E8" w14:paraId="764B5982" w14:textId="77777777">
        <w:trPr>
          <w:trHeight w:val="87"/>
        </w:trPr>
        <w:tc>
          <w:tcPr>
            <w:tcW w:w="2014" w:type="dxa"/>
          </w:tcPr>
          <w:p w:rsidRPr="00A7119E" w:rsidR="008A08E8" w:rsidP="00131848" w:rsidRDefault="008A08E8" w14:paraId="1E4C6E3C" w14:textId="77777777">
            <w:pPr>
              <w:pStyle w:val="BodyText"/>
              <w:rPr>
                <w:rFonts w:cs="Arial"/>
                <w:b/>
                <w:bCs/>
                <w:sz w:val="20"/>
                <w:lang w:val="en-AU"/>
              </w:rPr>
            </w:pPr>
            <w:r w:rsidRPr="00A7119E">
              <w:rPr>
                <w:rFonts w:cs="Arial"/>
                <w:b/>
                <w:bCs/>
                <w:sz w:val="20"/>
                <w:lang w:val="en-AU"/>
              </w:rPr>
              <w:t xml:space="preserve">Contraindications                        </w:t>
            </w:r>
          </w:p>
        </w:tc>
        <w:tc>
          <w:tcPr>
            <w:tcW w:w="7229" w:type="dxa"/>
          </w:tcPr>
          <w:p w:rsidRPr="00A7119E" w:rsidR="008A08E8" w:rsidP="00131848" w:rsidRDefault="008A08E8" w14:paraId="752DBA27" w14:textId="77777777">
            <w:pPr>
              <w:pStyle w:val="BodyText"/>
              <w:rPr>
                <w:rFonts w:cs="Arial"/>
                <w:sz w:val="20"/>
                <w:lang w:val="en-AU"/>
              </w:rPr>
            </w:pPr>
            <w:r w:rsidRPr="00A7119E">
              <w:rPr>
                <w:rFonts w:cs="Arial"/>
                <w:sz w:val="20"/>
                <w:lang w:val="en-AU"/>
              </w:rPr>
              <w:t>Hypersensitivity to acetylcysteine or any component of the preparation</w:t>
            </w:r>
          </w:p>
        </w:tc>
      </w:tr>
      <w:tr w:rsidRPr="00A7119E" w:rsidR="008A08E8" w:rsidTr="008A08E8" w14:paraId="612915F3" w14:textId="77777777">
        <w:tc>
          <w:tcPr>
            <w:tcW w:w="2014" w:type="dxa"/>
          </w:tcPr>
          <w:p w:rsidRPr="00A7119E" w:rsidR="008A08E8" w:rsidP="00131848" w:rsidRDefault="008A08E8" w14:paraId="43B5CD6F" w14:textId="77777777">
            <w:pPr>
              <w:pStyle w:val="BodyText"/>
              <w:rPr>
                <w:rFonts w:cs="Arial"/>
                <w:b/>
                <w:bCs/>
                <w:sz w:val="20"/>
                <w:lang w:val="en-AU"/>
              </w:rPr>
            </w:pPr>
            <w:r w:rsidRPr="00A7119E">
              <w:rPr>
                <w:sz w:val="20"/>
                <w:lang w:val="en-AU"/>
              </w:rPr>
              <w:br w:type="page"/>
            </w:r>
            <w:r w:rsidRPr="00A7119E">
              <w:rPr>
                <w:rFonts w:cs="Arial"/>
                <w:b/>
                <w:bCs/>
                <w:sz w:val="20"/>
                <w:lang w:val="en-AU"/>
              </w:rPr>
              <w:t>Precautions</w:t>
            </w:r>
          </w:p>
        </w:tc>
        <w:tc>
          <w:tcPr>
            <w:tcW w:w="7229" w:type="dxa"/>
          </w:tcPr>
          <w:p w:rsidRPr="00A7119E" w:rsidR="008A08E8" w:rsidP="00131848" w:rsidRDefault="008A08E8" w14:paraId="3096E2E2" w14:textId="77777777">
            <w:pPr>
              <w:pStyle w:val="BodyText"/>
              <w:rPr>
                <w:rFonts w:cs="Arial"/>
                <w:sz w:val="20"/>
                <w:lang w:val="en-AU"/>
              </w:rPr>
            </w:pPr>
            <w:r w:rsidRPr="00A7119E">
              <w:rPr>
                <w:rFonts w:cs="Arial"/>
                <w:sz w:val="20"/>
                <w:lang w:val="en-AU"/>
              </w:rPr>
              <w:t>Do not use if intestinal perforation is suspected</w:t>
            </w:r>
          </w:p>
          <w:p w:rsidRPr="00A7119E" w:rsidR="008A08E8" w:rsidP="00131848" w:rsidRDefault="008A08E8" w14:paraId="278ABD7D" w14:textId="77777777">
            <w:pPr>
              <w:pStyle w:val="BodyText"/>
              <w:rPr>
                <w:rFonts w:cs="Arial"/>
                <w:sz w:val="20"/>
                <w:lang w:val="en-AU"/>
              </w:rPr>
            </w:pPr>
            <w:r w:rsidRPr="00A7119E">
              <w:rPr>
                <w:rFonts w:cs="Arial"/>
                <w:sz w:val="20"/>
                <w:lang w:val="en-AU"/>
              </w:rPr>
              <w:t>Abnormal liver and/or renal function</w:t>
            </w:r>
          </w:p>
          <w:p w:rsidRPr="00A7119E" w:rsidR="008A08E8" w:rsidP="00131848" w:rsidRDefault="008A08E8" w14:paraId="10941F88" w14:textId="77777777">
            <w:pPr>
              <w:pStyle w:val="BodyText"/>
              <w:rPr>
                <w:rFonts w:cs="Arial"/>
                <w:sz w:val="20"/>
                <w:lang w:val="en-AU"/>
              </w:rPr>
            </w:pPr>
            <w:r w:rsidRPr="00A7119E">
              <w:rPr>
                <w:rFonts w:cs="Arial"/>
                <w:sz w:val="20"/>
                <w:lang w:val="en-AU"/>
              </w:rPr>
              <w:t>Caution in asthma and bronchospasm</w:t>
            </w:r>
          </w:p>
          <w:p w:rsidRPr="00A7119E" w:rsidR="008A08E8" w:rsidP="00131848" w:rsidRDefault="008A08E8" w14:paraId="1D8A63F3" w14:textId="77777777">
            <w:pPr>
              <w:pStyle w:val="BodyText"/>
              <w:rPr>
                <w:rFonts w:cs="Arial"/>
                <w:sz w:val="20"/>
                <w:lang w:val="en-AU"/>
              </w:rPr>
            </w:pPr>
            <w:r w:rsidRPr="00A7119E">
              <w:rPr>
                <w:rFonts w:cs="Arial"/>
                <w:sz w:val="20"/>
                <w:lang w:val="en-AU"/>
              </w:rPr>
              <w:t>Acetylcysteine is not compatible with rubber and some metals, particularly, iron, copper and nickel. Can be used with silicone and plastic.</w:t>
            </w:r>
          </w:p>
        </w:tc>
      </w:tr>
      <w:tr w:rsidRPr="00A7119E" w:rsidR="008A08E8" w:rsidTr="008A08E8" w14:paraId="30096E9E" w14:textId="77777777">
        <w:trPr>
          <w:trHeight w:val="276"/>
        </w:trPr>
        <w:tc>
          <w:tcPr>
            <w:tcW w:w="2014" w:type="dxa"/>
          </w:tcPr>
          <w:p w:rsidRPr="00A7119E" w:rsidR="008A08E8" w:rsidP="00131848" w:rsidRDefault="008A08E8" w14:paraId="003BFFB8" w14:textId="77777777">
            <w:pPr>
              <w:pStyle w:val="BodyText"/>
              <w:rPr>
                <w:rFonts w:cs="Arial"/>
                <w:b/>
                <w:bCs/>
                <w:sz w:val="20"/>
                <w:lang w:val="en-AU"/>
              </w:rPr>
            </w:pPr>
            <w:r w:rsidRPr="00A7119E">
              <w:rPr>
                <w:rFonts w:cs="Arial"/>
                <w:b/>
                <w:bCs/>
                <w:sz w:val="20"/>
                <w:lang w:val="en-AU"/>
              </w:rPr>
              <w:t>Drug interactions</w:t>
            </w:r>
          </w:p>
        </w:tc>
        <w:tc>
          <w:tcPr>
            <w:tcW w:w="7229" w:type="dxa"/>
          </w:tcPr>
          <w:p w:rsidRPr="00A7119E" w:rsidR="008A08E8" w:rsidP="00131848" w:rsidRDefault="008A08E8" w14:paraId="18CDF3AA" w14:textId="77777777">
            <w:pPr>
              <w:pStyle w:val="BodyText"/>
              <w:rPr>
                <w:rFonts w:cs="Arial"/>
                <w:sz w:val="20"/>
                <w:lang w:val="en-AU"/>
              </w:rPr>
            </w:pPr>
            <w:r w:rsidRPr="00A7119E">
              <w:rPr>
                <w:rFonts w:cs="Arial"/>
                <w:sz w:val="20"/>
                <w:lang w:val="en-AU"/>
              </w:rPr>
              <w:t>Glyceryl trinitrate: Increased risk of hypotension</w:t>
            </w:r>
          </w:p>
        </w:tc>
      </w:tr>
      <w:tr w:rsidRPr="00A7119E" w:rsidR="008A08E8" w:rsidTr="008A08E8" w14:paraId="6E2ECC3B" w14:textId="77777777">
        <w:trPr>
          <w:trHeight w:val="416"/>
        </w:trPr>
        <w:tc>
          <w:tcPr>
            <w:tcW w:w="2014" w:type="dxa"/>
          </w:tcPr>
          <w:p w:rsidRPr="00A7119E" w:rsidR="008A08E8" w:rsidP="00131848" w:rsidRDefault="008A08E8" w14:paraId="74E56B88" w14:textId="77777777">
            <w:pPr>
              <w:pStyle w:val="BodyText"/>
              <w:rPr>
                <w:rFonts w:cs="Arial"/>
                <w:b/>
                <w:bCs/>
                <w:sz w:val="20"/>
                <w:lang w:val="en-AU"/>
              </w:rPr>
            </w:pPr>
            <w:r w:rsidRPr="00A7119E">
              <w:rPr>
                <w:rFonts w:cs="Arial"/>
                <w:b/>
                <w:bCs/>
                <w:sz w:val="20"/>
                <w:lang w:val="en-AU"/>
              </w:rPr>
              <w:t xml:space="preserve">Adverse reactions         </w:t>
            </w:r>
          </w:p>
        </w:tc>
        <w:tc>
          <w:tcPr>
            <w:tcW w:w="7229" w:type="dxa"/>
          </w:tcPr>
          <w:p w:rsidRPr="00A7119E" w:rsidR="008A08E8" w:rsidP="00131848" w:rsidRDefault="008A08E8" w14:paraId="205B4568" w14:textId="77777777">
            <w:pPr>
              <w:pStyle w:val="BodyText"/>
              <w:rPr>
                <w:rFonts w:cs="Arial"/>
                <w:sz w:val="20"/>
                <w:lang w:val="en-AU"/>
              </w:rPr>
            </w:pPr>
            <w:r w:rsidRPr="00A7119E">
              <w:rPr>
                <w:rFonts w:cs="Arial"/>
                <w:sz w:val="20"/>
                <w:lang w:val="en-AU"/>
              </w:rPr>
              <w:t xml:space="preserve">Flushing, pruritus and urticarial reactions reported. </w:t>
            </w:r>
          </w:p>
          <w:p w:rsidRPr="00A7119E" w:rsidR="008A08E8" w:rsidP="00131848" w:rsidRDefault="008A08E8" w14:paraId="68826A24" w14:textId="77777777">
            <w:pPr>
              <w:pStyle w:val="BodyText"/>
              <w:rPr>
                <w:rFonts w:cs="Arial"/>
                <w:sz w:val="20"/>
                <w:lang w:val="en-AU"/>
              </w:rPr>
            </w:pPr>
            <w:r w:rsidRPr="00A7119E">
              <w:rPr>
                <w:rFonts w:cs="Arial"/>
                <w:sz w:val="20"/>
                <w:lang w:val="en-AU"/>
              </w:rPr>
              <w:t>Hypersensitivity reactions, vomiting, nausea, hypernatremia, hepatotoxicity, mucosal injury and haemorrhage.</w:t>
            </w:r>
          </w:p>
        </w:tc>
      </w:tr>
      <w:tr w:rsidRPr="00A7119E" w:rsidR="008A08E8" w:rsidTr="008A08E8" w14:paraId="5623CE29" w14:textId="77777777">
        <w:trPr>
          <w:trHeight w:val="396"/>
        </w:trPr>
        <w:tc>
          <w:tcPr>
            <w:tcW w:w="2014" w:type="dxa"/>
          </w:tcPr>
          <w:p w:rsidRPr="00A7119E" w:rsidR="008A08E8" w:rsidP="00131848" w:rsidRDefault="008A08E8" w14:paraId="145DD585" w14:textId="77777777">
            <w:pPr>
              <w:pStyle w:val="BodyText"/>
              <w:rPr>
                <w:rFonts w:cs="Arial"/>
                <w:b/>
                <w:bCs/>
                <w:sz w:val="20"/>
                <w:lang w:val="en-AU"/>
              </w:rPr>
            </w:pPr>
            <w:r w:rsidRPr="00A7119E">
              <w:rPr>
                <w:rFonts w:cs="Arial"/>
                <w:b/>
                <w:bCs/>
                <w:sz w:val="20"/>
                <w:lang w:val="en-AU"/>
              </w:rPr>
              <w:t>Compatibility</w:t>
            </w:r>
          </w:p>
        </w:tc>
        <w:tc>
          <w:tcPr>
            <w:tcW w:w="7229" w:type="dxa"/>
          </w:tcPr>
          <w:p w:rsidRPr="00A7119E" w:rsidR="008A08E8" w:rsidP="00131848" w:rsidRDefault="008A08E8" w14:paraId="6ED4F9F3" w14:textId="77777777">
            <w:pPr>
              <w:pStyle w:val="BodyText"/>
              <w:rPr>
                <w:sz w:val="20"/>
                <w:lang w:val="en-AU"/>
              </w:rPr>
            </w:pPr>
            <w:r w:rsidRPr="00A7119E">
              <w:rPr>
                <w:sz w:val="20"/>
                <w:lang w:val="en-AU"/>
              </w:rPr>
              <w:t xml:space="preserve">Fluids: DBL Acetylcysteine Injection Concentrate and Acetylcysteine-Link Concentrate: Glucose 5%, sodium chloride 0.9% </w:t>
            </w:r>
          </w:p>
          <w:p w:rsidRPr="00A7119E" w:rsidR="008A08E8" w:rsidP="00131848" w:rsidRDefault="008A08E8" w14:paraId="7B85C6AD" w14:textId="77777777">
            <w:pPr>
              <w:pStyle w:val="BodyText"/>
              <w:rPr>
                <w:sz w:val="20"/>
                <w:lang w:val="en-AU"/>
              </w:rPr>
            </w:pPr>
            <w:r w:rsidRPr="00A7119E">
              <w:rPr>
                <w:sz w:val="20"/>
                <w:lang w:val="en-AU"/>
              </w:rPr>
              <w:t>Acetadote Concentrated Injection: Glucose 5%</w:t>
            </w:r>
          </w:p>
        </w:tc>
      </w:tr>
      <w:tr w:rsidRPr="00A7119E" w:rsidR="008A08E8" w:rsidTr="008A08E8" w14:paraId="66BA31DE" w14:textId="77777777">
        <w:trPr>
          <w:trHeight w:val="230"/>
        </w:trPr>
        <w:tc>
          <w:tcPr>
            <w:tcW w:w="2014" w:type="dxa"/>
          </w:tcPr>
          <w:p w:rsidRPr="00A7119E" w:rsidR="008A08E8" w:rsidP="00131848" w:rsidRDefault="008A08E8" w14:paraId="36A8E9B7" w14:textId="77777777">
            <w:pPr>
              <w:pStyle w:val="BodyText"/>
              <w:rPr>
                <w:rFonts w:cs="Arial"/>
                <w:b/>
                <w:bCs/>
                <w:sz w:val="20"/>
                <w:lang w:val="en-AU"/>
              </w:rPr>
            </w:pPr>
            <w:r w:rsidRPr="00A7119E">
              <w:rPr>
                <w:rFonts w:cs="Arial"/>
                <w:b/>
                <w:bCs/>
                <w:sz w:val="20"/>
                <w:lang w:val="en-AU"/>
              </w:rPr>
              <w:t>Incompatibility</w:t>
            </w:r>
          </w:p>
        </w:tc>
        <w:tc>
          <w:tcPr>
            <w:tcW w:w="7229" w:type="dxa"/>
          </w:tcPr>
          <w:p w:rsidRPr="00A7119E" w:rsidR="008A08E8" w:rsidP="00131848" w:rsidRDefault="008A08E8" w14:paraId="091ADDC3" w14:textId="77777777">
            <w:pPr>
              <w:pStyle w:val="BodyText"/>
              <w:rPr>
                <w:rFonts w:cs="Arial"/>
                <w:sz w:val="20"/>
                <w:lang w:val="en-AU"/>
              </w:rPr>
            </w:pPr>
            <w:r w:rsidRPr="00A83F5E">
              <w:rPr>
                <w:rFonts w:cs="Arial"/>
                <w:sz w:val="20"/>
                <w:lang w:val="en-AU"/>
              </w:rPr>
              <w:t>Fluids: No information</w:t>
            </w:r>
          </w:p>
        </w:tc>
      </w:tr>
      <w:tr w:rsidRPr="00A7119E" w:rsidR="008A08E8" w:rsidTr="008A08E8" w14:paraId="2386B9DB" w14:textId="77777777">
        <w:trPr>
          <w:trHeight w:val="79"/>
        </w:trPr>
        <w:tc>
          <w:tcPr>
            <w:tcW w:w="2014" w:type="dxa"/>
          </w:tcPr>
          <w:p w:rsidRPr="00A7119E" w:rsidR="008A08E8" w:rsidP="00131848" w:rsidRDefault="008A08E8" w14:paraId="1017FC0D" w14:textId="77777777">
            <w:pPr>
              <w:pStyle w:val="BodyText"/>
              <w:rPr>
                <w:rFonts w:cs="Arial"/>
                <w:b/>
                <w:bCs/>
                <w:sz w:val="20"/>
                <w:lang w:val="en-AU"/>
              </w:rPr>
            </w:pPr>
            <w:r w:rsidRPr="00A7119E">
              <w:rPr>
                <w:rFonts w:cs="Arial"/>
                <w:b/>
                <w:bCs/>
                <w:sz w:val="20"/>
                <w:lang w:val="en-AU"/>
              </w:rPr>
              <w:t xml:space="preserve">Stability   </w:t>
            </w:r>
          </w:p>
        </w:tc>
        <w:tc>
          <w:tcPr>
            <w:tcW w:w="7229" w:type="dxa"/>
          </w:tcPr>
          <w:p w:rsidRPr="00A7119E" w:rsidR="008A08E8" w:rsidP="00131848" w:rsidRDefault="008A08E8" w14:paraId="032D2F81" w14:textId="77777777">
            <w:pPr>
              <w:pStyle w:val="BodyText"/>
              <w:rPr>
                <w:rFonts w:cs="Arial"/>
                <w:sz w:val="20"/>
                <w:lang w:val="en-AU"/>
              </w:rPr>
            </w:pPr>
            <w:r w:rsidRPr="00A7119E">
              <w:rPr>
                <w:rFonts w:cs="Arial"/>
                <w:sz w:val="20"/>
                <w:lang w:val="en-AU"/>
              </w:rPr>
              <w:t>Extemporaneously prepared solutions of 1% and 10% acetylcysteine diluted with sodium chloride 0.9% are stable for up to 60 days when stored in plastic amber bottles at room temperature.</w:t>
            </w:r>
            <w:r w:rsidRPr="00A7119E">
              <w:rPr>
                <w:rFonts w:cs="Arial"/>
                <w:sz w:val="20"/>
                <w:vertAlign w:val="superscript"/>
                <w:lang w:val="en-AU"/>
              </w:rPr>
              <w:t>24</w:t>
            </w:r>
          </w:p>
          <w:p w:rsidRPr="00A7119E" w:rsidR="008A08E8" w:rsidP="00131848" w:rsidRDefault="008A08E8" w14:paraId="778424DA" w14:textId="77777777">
            <w:pPr>
              <w:pStyle w:val="BodyText"/>
              <w:rPr>
                <w:rFonts w:cs="Arial"/>
                <w:sz w:val="20"/>
                <w:lang w:val="en-AU"/>
              </w:rPr>
            </w:pPr>
            <w:r w:rsidRPr="00A7119E">
              <w:rPr>
                <w:rFonts w:cs="Arial"/>
                <w:sz w:val="20"/>
                <w:lang w:val="en-AU"/>
              </w:rPr>
              <w:t>Acetadote Concentrated Injection is stable for 24 hours at 2 to 8</w:t>
            </w:r>
            <w:r w:rsidRPr="00A7119E">
              <w:rPr>
                <w:rFonts w:cs="Calibri"/>
                <w:sz w:val="20"/>
                <w:lang w:val="en-AU"/>
              </w:rPr>
              <w:t>°</w:t>
            </w:r>
            <w:r w:rsidRPr="00A7119E">
              <w:rPr>
                <w:rFonts w:cs="Arial"/>
                <w:sz w:val="20"/>
                <w:lang w:val="en-AU"/>
              </w:rPr>
              <w:t>C after dilution.</w:t>
            </w:r>
          </w:p>
        </w:tc>
      </w:tr>
      <w:tr w:rsidRPr="00A7119E" w:rsidR="008A08E8" w:rsidTr="008A08E8" w14:paraId="20CA7607" w14:textId="77777777">
        <w:trPr>
          <w:trHeight w:val="70"/>
        </w:trPr>
        <w:tc>
          <w:tcPr>
            <w:tcW w:w="2014" w:type="dxa"/>
          </w:tcPr>
          <w:p w:rsidRPr="00A7119E" w:rsidR="008A08E8" w:rsidP="00131848" w:rsidRDefault="008A08E8" w14:paraId="0294DE4E" w14:textId="77777777">
            <w:pPr>
              <w:pStyle w:val="BodyText"/>
              <w:rPr>
                <w:rFonts w:cs="Arial"/>
                <w:b/>
                <w:bCs/>
                <w:sz w:val="20"/>
                <w:lang w:val="en-AU"/>
              </w:rPr>
            </w:pPr>
            <w:r w:rsidRPr="00A7119E">
              <w:rPr>
                <w:rFonts w:cs="Arial"/>
                <w:b/>
                <w:bCs/>
                <w:sz w:val="20"/>
                <w:lang w:val="en-AU"/>
              </w:rPr>
              <w:t xml:space="preserve">Storage             </w:t>
            </w:r>
          </w:p>
        </w:tc>
        <w:tc>
          <w:tcPr>
            <w:tcW w:w="7229" w:type="dxa"/>
          </w:tcPr>
          <w:p w:rsidRPr="00A7119E" w:rsidR="008A08E8" w:rsidP="00131848" w:rsidRDefault="008A08E8" w14:paraId="2420FE5A" w14:textId="77777777">
            <w:pPr>
              <w:pStyle w:val="BodyText"/>
              <w:rPr>
                <w:rFonts w:cs="Arial"/>
                <w:sz w:val="20"/>
                <w:lang w:val="en-AU"/>
              </w:rPr>
            </w:pPr>
            <w:r w:rsidRPr="00A7119E">
              <w:rPr>
                <w:rFonts w:cs="Arial"/>
                <w:sz w:val="20"/>
                <w:lang w:val="en-AU"/>
              </w:rPr>
              <w:t>Injection: Store at room temperature. Protect from light.</w:t>
            </w:r>
          </w:p>
        </w:tc>
      </w:tr>
      <w:tr w:rsidRPr="00A7119E" w:rsidR="008A08E8" w:rsidTr="008A08E8" w14:paraId="3DECFC22" w14:textId="77777777">
        <w:trPr>
          <w:trHeight w:val="70"/>
        </w:trPr>
        <w:tc>
          <w:tcPr>
            <w:tcW w:w="2014" w:type="dxa"/>
          </w:tcPr>
          <w:p w:rsidRPr="00A7119E" w:rsidR="008A08E8" w:rsidP="00131848" w:rsidRDefault="008A08E8" w14:paraId="121E9EEC" w14:textId="77777777">
            <w:pPr>
              <w:pStyle w:val="BodyText"/>
              <w:rPr>
                <w:rFonts w:cs="Arial"/>
                <w:b/>
                <w:bCs/>
                <w:sz w:val="20"/>
                <w:lang w:val="en-AU"/>
              </w:rPr>
            </w:pPr>
            <w:r w:rsidRPr="00A7119E">
              <w:rPr>
                <w:rFonts w:cs="Arial"/>
                <w:b/>
                <w:bCs/>
                <w:sz w:val="20"/>
                <w:lang w:val="en-AU"/>
              </w:rPr>
              <w:t>Excipients</w:t>
            </w:r>
          </w:p>
        </w:tc>
        <w:tc>
          <w:tcPr>
            <w:tcW w:w="7229" w:type="dxa"/>
          </w:tcPr>
          <w:p w:rsidRPr="00A7119E" w:rsidR="008A08E8" w:rsidP="00131848" w:rsidRDefault="008A08E8" w14:paraId="3BC375F0" w14:textId="77777777">
            <w:pPr>
              <w:pStyle w:val="BodyText"/>
              <w:rPr>
                <w:rFonts w:cs="Arial"/>
                <w:sz w:val="20"/>
                <w:lang w:val="en-AU"/>
              </w:rPr>
            </w:pPr>
            <w:r w:rsidRPr="00A7119E">
              <w:rPr>
                <w:rFonts w:cs="Arial"/>
                <w:sz w:val="20"/>
                <w:lang w:val="en-AU"/>
              </w:rPr>
              <w:t>DBL Acetylcysteine Injection Concentrate and Acetylcysteine-Link Concentrate for infusion: Disodium edetate, sodium hydroxide, water for injections.</w:t>
            </w:r>
          </w:p>
          <w:p w:rsidRPr="00A7119E" w:rsidR="008A08E8" w:rsidP="00131848" w:rsidRDefault="008A08E8" w14:paraId="5490467D" w14:textId="77777777">
            <w:pPr>
              <w:pStyle w:val="BodyText"/>
              <w:rPr>
                <w:rFonts w:cs="Arial"/>
                <w:sz w:val="20"/>
                <w:lang w:val="en-AU"/>
              </w:rPr>
            </w:pPr>
            <w:r w:rsidRPr="00A7119E">
              <w:rPr>
                <w:rFonts w:cs="Arial"/>
                <w:sz w:val="20"/>
                <w:lang w:val="en-AU"/>
              </w:rPr>
              <w:t>Acetadote Concentrated Injection (solution for infusion): Water for injections and sodium hydroxide for pH adjustment.</w:t>
            </w:r>
            <w:r w:rsidRPr="00A7119E">
              <w:rPr>
                <w:rFonts w:cs="Arial"/>
                <w:sz w:val="20"/>
                <w:vertAlign w:val="superscript"/>
                <w:lang w:val="en-AU"/>
              </w:rPr>
              <w:t>26-28</w:t>
            </w:r>
          </w:p>
        </w:tc>
      </w:tr>
      <w:tr w:rsidRPr="00A7119E" w:rsidR="008A08E8" w:rsidTr="008A08E8" w14:paraId="2AC68897" w14:textId="77777777">
        <w:trPr>
          <w:trHeight w:val="270"/>
        </w:trPr>
        <w:tc>
          <w:tcPr>
            <w:tcW w:w="2014" w:type="dxa"/>
          </w:tcPr>
          <w:p w:rsidRPr="00A7119E" w:rsidR="008A08E8" w:rsidP="00131848" w:rsidRDefault="008A08E8" w14:paraId="47916C35" w14:textId="77777777">
            <w:pPr>
              <w:pStyle w:val="BodyText"/>
              <w:rPr>
                <w:rFonts w:cs="Arial"/>
                <w:b/>
                <w:bCs/>
                <w:sz w:val="20"/>
                <w:lang w:val="en-AU"/>
              </w:rPr>
            </w:pPr>
            <w:r w:rsidRPr="00A7119E">
              <w:rPr>
                <w:rFonts w:cs="Arial"/>
                <w:b/>
                <w:bCs/>
                <w:sz w:val="20"/>
                <w:lang w:val="en-AU"/>
              </w:rPr>
              <w:t xml:space="preserve">Special comments       </w:t>
            </w:r>
          </w:p>
        </w:tc>
        <w:tc>
          <w:tcPr>
            <w:tcW w:w="7229" w:type="dxa"/>
          </w:tcPr>
          <w:p w:rsidRPr="00A7119E" w:rsidR="008A08E8" w:rsidP="00131848" w:rsidRDefault="008A08E8" w14:paraId="30F10E83" w14:textId="77777777">
            <w:pPr>
              <w:pStyle w:val="BodyText"/>
              <w:rPr>
                <w:rFonts w:cs="Arial"/>
                <w:sz w:val="20"/>
                <w:lang w:val="en-AU"/>
              </w:rPr>
            </w:pPr>
          </w:p>
        </w:tc>
      </w:tr>
      <w:tr w:rsidRPr="00A7119E" w:rsidR="008A08E8" w:rsidTr="008A08E8" w14:paraId="2E29FBB0" w14:textId="77777777">
        <w:trPr>
          <w:trHeight w:val="280"/>
        </w:trPr>
        <w:tc>
          <w:tcPr>
            <w:tcW w:w="2014" w:type="dxa"/>
          </w:tcPr>
          <w:p w:rsidRPr="00A7119E" w:rsidR="008A08E8" w:rsidP="00131848" w:rsidRDefault="008A08E8" w14:paraId="1D72C9E5" w14:textId="77777777">
            <w:pPr>
              <w:pStyle w:val="BodyText"/>
              <w:rPr>
                <w:rFonts w:cs="Arial"/>
                <w:b/>
                <w:bCs/>
                <w:sz w:val="20"/>
                <w:lang w:val="en-AU"/>
              </w:rPr>
            </w:pPr>
            <w:r w:rsidRPr="00A7119E">
              <w:rPr>
                <w:rFonts w:cs="Arial"/>
                <w:b/>
                <w:bCs/>
                <w:sz w:val="20"/>
                <w:lang w:val="en-AU"/>
              </w:rPr>
              <w:t xml:space="preserve">Evidence </w:t>
            </w:r>
          </w:p>
        </w:tc>
        <w:tc>
          <w:tcPr>
            <w:tcW w:w="7229" w:type="dxa"/>
          </w:tcPr>
          <w:p w:rsidRPr="00532883" w:rsidR="008A08E8" w:rsidP="00131848" w:rsidRDefault="008A08E8" w14:paraId="57B82324" w14:textId="77777777">
            <w:pPr>
              <w:pStyle w:val="BodyText"/>
              <w:tabs>
                <w:tab w:val="left" w:pos="1168"/>
              </w:tabs>
              <w:rPr>
                <w:rFonts w:cs="Arial"/>
                <w:sz w:val="16"/>
                <w:szCs w:val="16"/>
                <w:lang w:val="en-AU"/>
              </w:rPr>
            </w:pPr>
            <w:r w:rsidRPr="00532883">
              <w:rPr>
                <w:rFonts w:cs="Arial"/>
                <w:sz w:val="16"/>
                <w:szCs w:val="16"/>
              </w:rPr>
              <w:t>A</w:t>
            </w:r>
            <w:r w:rsidRPr="00532883">
              <w:rPr>
                <w:rFonts w:cs="Arial"/>
                <w:sz w:val="16"/>
                <w:szCs w:val="16"/>
                <w:lang w:val="en-AU"/>
              </w:rPr>
              <w:t xml:space="preserve">cetylcysteine  is used for acetaminophen poisoning and as adjuvant therapy in respiratory conditions in paediatric patients. It also exhibits a mucolytic action through its free sulfhydryl group, which opens up the disulfide bonds in mucoprotein to decrease mucus viscosity. For treatment of meconium ileus (MI) or distal intestinal obstruction syndrome (DIOS), acetylcysteine can be given enterally by mouth or by feeding tube. When administered orally, acetylcysteine has been associated with uncommon adverse effects including nausea, vomiting, diarrhoea, dyspepsia and skin rashes. Repeated administration by enema has been associated with hypernatraemia and liver injury. </w:t>
            </w:r>
          </w:p>
          <w:p w:rsidRPr="00532883" w:rsidR="008A08E8" w:rsidP="00131848" w:rsidRDefault="008A08E8" w14:paraId="4E290AD2" w14:textId="77777777">
            <w:pPr>
              <w:pStyle w:val="BodyText"/>
              <w:tabs>
                <w:tab w:val="left" w:pos="1168"/>
              </w:tabs>
              <w:rPr>
                <w:rFonts w:cs="Arial"/>
                <w:sz w:val="16"/>
                <w:szCs w:val="16"/>
                <w:lang w:val="en-AU"/>
              </w:rPr>
            </w:pPr>
          </w:p>
          <w:p w:rsidRPr="00532883" w:rsidR="008A08E8" w:rsidP="00131848" w:rsidRDefault="008A08E8" w14:paraId="179105F7" w14:textId="77777777">
            <w:pPr>
              <w:pStyle w:val="BodyText"/>
              <w:tabs>
                <w:tab w:val="left" w:pos="1168"/>
              </w:tabs>
              <w:rPr>
                <w:rFonts w:cs="Arial"/>
                <w:b/>
                <w:sz w:val="16"/>
                <w:szCs w:val="16"/>
                <w:lang w:val="en-AU"/>
              </w:rPr>
            </w:pPr>
            <w:r w:rsidRPr="00532883">
              <w:rPr>
                <w:rFonts w:cs="Arial"/>
                <w:b/>
                <w:sz w:val="16"/>
                <w:szCs w:val="16"/>
                <w:lang w:val="en-AU"/>
              </w:rPr>
              <w:t>Efficacy</w:t>
            </w:r>
          </w:p>
          <w:p w:rsidRPr="00532883" w:rsidR="008A08E8" w:rsidP="00131848" w:rsidRDefault="008A08E8" w14:paraId="319E88E2" w14:textId="77777777">
            <w:pPr>
              <w:rPr>
                <w:b/>
                <w:sz w:val="16"/>
                <w:szCs w:val="16"/>
              </w:rPr>
            </w:pPr>
            <w:r w:rsidRPr="00532883">
              <w:rPr>
                <w:b/>
                <w:sz w:val="16"/>
                <w:szCs w:val="16"/>
              </w:rPr>
              <w:t>Meconium ileus secondary to cystic fibrosis</w:t>
            </w:r>
          </w:p>
          <w:p w:rsidRPr="00532883" w:rsidR="008A08E8" w:rsidP="00131848" w:rsidRDefault="008A08E8" w14:paraId="29F609C3" w14:textId="77777777">
            <w:pPr>
              <w:rPr>
                <w:sz w:val="16"/>
                <w:szCs w:val="16"/>
              </w:rPr>
            </w:pPr>
            <w:r w:rsidRPr="00532883">
              <w:rPr>
                <w:sz w:val="16"/>
                <w:szCs w:val="16"/>
              </w:rPr>
              <w:t xml:space="preserve">There are no trials of oral or rectal </w:t>
            </w:r>
            <w:r w:rsidRPr="00532883">
              <w:rPr>
                <w:rFonts w:cs="Arial"/>
                <w:sz w:val="16"/>
                <w:szCs w:val="16"/>
              </w:rPr>
              <w:t xml:space="preserve">acetylcysteine </w:t>
            </w:r>
            <w:r w:rsidRPr="00532883">
              <w:rPr>
                <w:sz w:val="16"/>
                <w:szCs w:val="16"/>
              </w:rPr>
              <w:t xml:space="preserve">for meconium ileus secondary to cystic fibrosis. Case series of use of rectal </w:t>
            </w:r>
            <w:r w:rsidRPr="00532883">
              <w:rPr>
                <w:rFonts w:cs="Arial"/>
                <w:sz w:val="16"/>
                <w:szCs w:val="16"/>
              </w:rPr>
              <w:t xml:space="preserve">acetylcysteine </w:t>
            </w:r>
            <w:r w:rsidRPr="00532883">
              <w:rPr>
                <w:sz w:val="16"/>
                <w:szCs w:val="16"/>
              </w:rPr>
              <w:t xml:space="preserve"> in uncomplicated meconium ileus include a report of 8 infants were given an </w:t>
            </w:r>
            <w:r w:rsidRPr="00532883">
              <w:rPr>
                <w:rFonts w:cs="Arial"/>
                <w:sz w:val="16"/>
                <w:szCs w:val="16"/>
              </w:rPr>
              <w:t xml:space="preserve">acetylcysteine </w:t>
            </w:r>
            <w:r w:rsidRPr="00532883">
              <w:rPr>
                <w:sz w:val="16"/>
                <w:szCs w:val="16"/>
              </w:rPr>
              <w:t xml:space="preserve">20%, only 2 were successful in relieving obstruction compared to 9 of 13 relieved with diatrizoic acid (Gastrografin) enema </w:t>
            </w:r>
            <w:r w:rsidRPr="00532883">
              <w:rPr>
                <w:sz w:val="16"/>
                <w:szCs w:val="16"/>
              </w:rPr>
              <w:fldChar w:fldCharType="begin">
                <w:fldData xml:space="preserve">PEVuZE5vdGU+PENpdGU+PEF1dGhvcj5HYXJ6YS1Db3g8L0F1dGhvcj48WWVhcj4yMDA0PC9ZZWFy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Pr="00532883">
              <w:rPr>
                <w:sz w:val="16"/>
                <w:szCs w:val="16"/>
              </w:rPr>
              <w:instrText xml:space="preserve"> ADDIN EN.CITE </w:instrText>
            </w:r>
            <w:r w:rsidRPr="00532883">
              <w:rPr>
                <w:sz w:val="16"/>
                <w:szCs w:val="16"/>
              </w:rPr>
              <w:fldChar w:fldCharType="begin">
                <w:fldData xml:space="preserve">PEVuZE5vdGU+PENpdGU+PEF1dGhvcj5HYXJ6YS1Db3g8L0F1dGhvcj48WWVhcj4yMDA0PC9ZZWFy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[1]</w:t>
            </w:r>
            <w:r w:rsidRPr="00532883">
              <w:rPr>
                <w:sz w:val="16"/>
                <w:szCs w:val="16"/>
              </w:rPr>
              <w:fldChar w:fldCharType="end"/>
            </w:r>
            <w:r w:rsidRPr="00532883">
              <w:rPr>
                <w:sz w:val="16"/>
                <w:szCs w:val="16"/>
              </w:rPr>
              <w:t xml:space="preserve">; </w:t>
            </w:r>
            <w:r w:rsidRPr="00532883">
              <w:rPr>
                <w:rFonts w:cs="Arial"/>
                <w:sz w:val="16"/>
                <w:szCs w:val="16"/>
              </w:rPr>
              <w:t>acetylcysteine</w:t>
            </w:r>
            <w:r w:rsidRPr="00532883">
              <w:rPr>
                <w:sz w:val="16"/>
                <w:szCs w:val="16"/>
              </w:rPr>
              <w:t xml:space="preserve"> and pancreatic enzyme irrigation of a T-tube ileostomy has been reported in two case series with resolution of meconium ileus in 20 of 23 infants using </w:t>
            </w:r>
            <w:r w:rsidRPr="00532883">
              <w:rPr>
                <w:sz w:val="16"/>
                <w:szCs w:val="16"/>
              </w:rPr>
              <w:lastRenderedPageBreak/>
              <w:t xml:space="preserve">5–10 mL of an </w:t>
            </w:r>
            <w:r w:rsidRPr="00532883">
              <w:rPr>
                <w:rFonts w:cs="Arial"/>
                <w:sz w:val="16"/>
                <w:szCs w:val="16"/>
              </w:rPr>
              <w:t xml:space="preserve">acetylcysteine </w:t>
            </w:r>
            <w:r w:rsidRPr="00532883">
              <w:rPr>
                <w:sz w:val="16"/>
                <w:szCs w:val="16"/>
              </w:rPr>
              <w:t xml:space="preserve">1% solution </w:t>
            </w:r>
            <w:r w:rsidRPr="00532883">
              <w:rPr>
                <w:sz w:val="16"/>
                <w:szCs w:val="16"/>
              </w:rPr>
              <w:fldChar w:fldCharType="begin">
                <w:fldData xml:space="preserve">PEVuZE5vdGU+PENpdGU+PEF1dGhvcj5NYWs8L0F1dGhvcj48WWVhcj4yMDAwPC9ZZWFyPjxSZWNO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</w:fldData>
              </w:fldChar>
            </w:r>
            <w:r w:rsidRPr="00532883">
              <w:rPr>
                <w:sz w:val="16"/>
                <w:szCs w:val="16"/>
              </w:rPr>
              <w:instrText xml:space="preserve"> ADDIN EN.CITE </w:instrText>
            </w:r>
            <w:r w:rsidRPr="00532883">
              <w:rPr>
                <w:sz w:val="16"/>
                <w:szCs w:val="16"/>
              </w:rPr>
              <w:fldChar w:fldCharType="begin">
                <w:fldData xml:space="preserve">PEVuZE5vdGU+PENpdGU+PEF1dGhvcj5NYWs8L0F1dGhvcj48WWVhcj4yMDAwPC9ZZWFyPjxSZWNO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[2]</w:t>
            </w:r>
            <w:r w:rsidRPr="00532883">
              <w:rPr>
                <w:sz w:val="16"/>
                <w:szCs w:val="16"/>
              </w:rPr>
              <w:fldChar w:fldCharType="end"/>
            </w:r>
            <w:r w:rsidRPr="00532883">
              <w:rPr>
                <w:sz w:val="16"/>
                <w:szCs w:val="16"/>
              </w:rPr>
              <w:t xml:space="preserve">; and in 6 infants using approximately 10 mL of a </w:t>
            </w:r>
            <w:r w:rsidRPr="00532883">
              <w:rPr>
                <w:rFonts w:cs="Arial"/>
                <w:sz w:val="16"/>
                <w:szCs w:val="16"/>
              </w:rPr>
              <w:t xml:space="preserve">acetylcysteine </w:t>
            </w:r>
            <w:r w:rsidRPr="00532883">
              <w:rPr>
                <w:sz w:val="16"/>
                <w:szCs w:val="16"/>
              </w:rPr>
              <w:t xml:space="preserve">4%  solution via the T-tube into the distal ileum </w:t>
            </w:r>
            <w:r w:rsidRPr="00532883">
              <w:rPr>
                <w:sz w:val="16"/>
                <w:szCs w:val="16"/>
              </w:rPr>
              <w:fldChar w:fldCharType="begin">
                <w:fldData xml:space="preserve">PEVuZE5vdGU+PENpdGU+PEF1dGhvcj5OZ3V5ZW48L0F1dGhvcj48WWVhcj4xOTg2PC9ZZWFyPjxS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</w:fldData>
              </w:fldChar>
            </w:r>
            <w:r w:rsidRPr="00532883">
              <w:rPr>
                <w:sz w:val="16"/>
                <w:szCs w:val="16"/>
              </w:rPr>
              <w:instrText xml:space="preserve"> ADDIN EN.CITE </w:instrText>
            </w:r>
            <w:r w:rsidRPr="00532883">
              <w:rPr>
                <w:sz w:val="16"/>
                <w:szCs w:val="16"/>
              </w:rPr>
              <w:fldChar w:fldCharType="begin">
                <w:fldData xml:space="preserve">PEVuZE5vdGU+PENpdGU+PEF1dGhvcj5OZ3V5ZW48L0F1dGhvcj48WWVhcj4xOTg2PC9ZZWFyPjxS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[3]</w:t>
            </w:r>
            <w:r w:rsidRPr="00532883">
              <w:rPr>
                <w:sz w:val="16"/>
                <w:szCs w:val="16"/>
              </w:rPr>
              <w:fldChar w:fldCharType="end"/>
            </w:r>
            <w:r w:rsidRPr="00532883">
              <w:rPr>
                <w:sz w:val="16"/>
                <w:szCs w:val="16"/>
              </w:rPr>
              <w:t>.</w:t>
            </w:r>
          </w:p>
          <w:p w:rsidRPr="00532883" w:rsidR="008A08E8" w:rsidP="00131848" w:rsidRDefault="008A08E8" w14:paraId="5EE15880" w14:textId="77777777">
            <w:pPr>
              <w:rPr>
                <w:sz w:val="16"/>
                <w:szCs w:val="16"/>
              </w:rPr>
            </w:pPr>
          </w:p>
          <w:p w:rsidRPr="00532883" w:rsidR="008A08E8" w:rsidP="00131848" w:rsidRDefault="008A08E8" w14:paraId="060D1E77" w14:textId="77777777">
            <w:pPr>
              <w:rPr>
                <w:b/>
                <w:sz w:val="16"/>
                <w:szCs w:val="16"/>
              </w:rPr>
            </w:pPr>
            <w:r w:rsidRPr="00532883">
              <w:rPr>
                <w:b/>
                <w:sz w:val="16"/>
                <w:szCs w:val="16"/>
              </w:rPr>
              <w:t>Meconium-related obstruction in preterm infants</w:t>
            </w:r>
          </w:p>
          <w:p w:rsidRPr="00532883" w:rsidR="008A08E8" w:rsidP="00131848" w:rsidRDefault="008A08E8" w14:paraId="4056674A" w14:textId="77777777">
            <w:pPr>
              <w:rPr>
                <w:sz w:val="16"/>
                <w:szCs w:val="16"/>
              </w:rPr>
            </w:pPr>
            <w:r w:rsidRPr="00532883">
              <w:rPr>
                <w:sz w:val="16"/>
                <w:szCs w:val="16"/>
              </w:rPr>
              <w:t xml:space="preserve">There are no RCTs of oral or rectal </w:t>
            </w:r>
            <w:r w:rsidRPr="00532883">
              <w:rPr>
                <w:rFonts w:cs="Arial"/>
                <w:sz w:val="16"/>
                <w:szCs w:val="16"/>
              </w:rPr>
              <w:t>acetylcysteine</w:t>
            </w:r>
            <w:r w:rsidRPr="00532883">
              <w:rPr>
                <w:sz w:val="16"/>
                <w:szCs w:val="16"/>
              </w:rPr>
              <w:t xml:space="preserve"> for meconium-related obstruction in preterm infants. Several case series </w:t>
            </w:r>
            <w:r w:rsidRPr="00532883">
              <w:rPr>
                <w:sz w:val="16"/>
                <w:szCs w:val="16"/>
              </w:rPr>
              <w:fldChar w:fldCharType="begin">
                <w:fldData xml:space="preserve">PEVuZE5vdGU+PENpdGU+PEF1dGhvcj5Ob2JsZXR0PC9BdXRob3I+PFllYXI+MTk2OTwvWWVhcj48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</w:fldData>
              </w:fldChar>
            </w:r>
            <w:r w:rsidRPr="00532883">
              <w:rPr>
                <w:sz w:val="16"/>
                <w:szCs w:val="16"/>
              </w:rPr>
              <w:instrText xml:space="preserve"> ADDIN EN.CITE </w:instrText>
            </w:r>
            <w:r w:rsidRPr="00532883">
              <w:rPr>
                <w:sz w:val="16"/>
                <w:szCs w:val="16"/>
              </w:rPr>
              <w:fldChar w:fldCharType="begin">
                <w:fldData xml:space="preserve">PEVuZE5vdGU+PENpdGU+PEF1dGhvcj5Ob2JsZXR0PC9BdXRob3I+PFllYXI+MTk2OTwvWWVhcj48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[4, 5]</w:t>
            </w:r>
            <w:r w:rsidRPr="00532883">
              <w:rPr>
                <w:sz w:val="16"/>
                <w:szCs w:val="16"/>
              </w:rPr>
              <w:fldChar w:fldCharType="end"/>
            </w:r>
            <w:r w:rsidRPr="00532883">
              <w:rPr>
                <w:sz w:val="16"/>
                <w:szCs w:val="16"/>
              </w:rPr>
              <w:t xml:space="preserve"> and controlled studies </w:t>
            </w:r>
            <w:r w:rsidRPr="00532883">
              <w:rPr>
                <w:sz w:val="16"/>
                <w:szCs w:val="16"/>
              </w:rPr>
              <w:fldChar w:fldCharType="begin">
                <w:fldData xml:space="preserve">PEVuZE5vdGU+PENpdGU+PEF1dGhvcj5LYWRpb2dsdSBTaW1zZWs8L0F1dGhvcj48WWVhcj4yMDE5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</w:fldData>
              </w:fldChar>
            </w:r>
            <w:r w:rsidRPr="00532883">
              <w:rPr>
                <w:sz w:val="16"/>
                <w:szCs w:val="16"/>
              </w:rPr>
              <w:instrText xml:space="preserve"> ADDIN EN.CITE </w:instrText>
            </w:r>
            <w:r w:rsidRPr="00532883">
              <w:rPr>
                <w:sz w:val="16"/>
                <w:szCs w:val="16"/>
              </w:rPr>
              <w:fldChar w:fldCharType="begin">
                <w:fldData xml:space="preserve">PEVuZE5vdGU+PENpdGU+PEF1dGhvcj5LYWRpb2dsdSBTaW1zZWs8L0F1dGhvcj48WWVhcj4yMDE5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[6, 7]</w:t>
            </w:r>
            <w:r w:rsidRPr="00532883">
              <w:rPr>
                <w:sz w:val="16"/>
                <w:szCs w:val="16"/>
              </w:rPr>
              <w:fldChar w:fldCharType="end"/>
            </w:r>
            <w:r w:rsidRPr="00532883">
              <w:rPr>
                <w:sz w:val="16"/>
                <w:szCs w:val="16"/>
              </w:rPr>
              <w:t xml:space="preserve"> have reported variable efficacy of </w:t>
            </w:r>
            <w:r w:rsidRPr="00532883">
              <w:rPr>
                <w:rFonts w:cs="Arial"/>
                <w:sz w:val="16"/>
                <w:szCs w:val="16"/>
              </w:rPr>
              <w:t>acetylcysteine</w:t>
            </w:r>
            <w:r w:rsidRPr="00532883">
              <w:rPr>
                <w:sz w:val="16"/>
                <w:szCs w:val="16"/>
              </w:rPr>
              <w:t xml:space="preserve"> orally or rectally in preterm infants. </w:t>
            </w:r>
          </w:p>
          <w:p w:rsidRPr="00532883" w:rsidR="008A08E8" w:rsidP="00131848" w:rsidRDefault="008A08E8" w14:paraId="4DC5543A" w14:textId="77777777">
            <w:pPr>
              <w:rPr>
                <w:sz w:val="16"/>
                <w:szCs w:val="16"/>
              </w:rPr>
            </w:pPr>
            <w:r w:rsidRPr="00532883">
              <w:rPr>
                <w:sz w:val="16"/>
                <w:szCs w:val="16"/>
              </w:rPr>
              <w:t xml:space="preserve">In a retrospective controlled study </w:t>
            </w:r>
            <w:r w:rsidRPr="00532883">
              <w:rPr>
                <w:sz w:val="16"/>
                <w:szCs w:val="16"/>
              </w:rPr>
              <w:fldChar w:fldCharType="begin"/>
            </w:r>
            <w:r w:rsidRPr="00532883">
              <w:rPr>
                <w:sz w:val="16"/>
                <w:szCs w:val="16"/>
              </w:rPr>
              <w:instrText xml:space="preserve"> ADDIN EN.CITE &lt;EndNote&gt;&lt;Cite&gt;&lt;Author&gt;Kadioglu Simsek&lt;/Author&gt;&lt;Year&gt;2019&lt;/Year&gt;&lt;RecNum&gt;204&lt;/RecNum&gt;&lt;DisplayText&gt;[6]&lt;/DisplayText&gt;&lt;record&gt;&lt;rec-number&gt;204&lt;/rec-number&gt;&lt;foreign-keys&gt;&lt;key app="EN" db-id="dt9vv22vepwxzrevzripe9dd0x5xv0ttrzet" timestamp="1581038510"&gt;204&lt;/key&gt;&lt;/foreign-keys&gt;&lt;ref-type name="Journal Article"&gt;17&lt;/ref-type&gt;&lt;contributors&gt;&lt;authors&gt;&lt;author&gt;Kadioglu Simsek, G.&lt;/author&gt;&lt;author&gt;Arayici, S.&lt;/author&gt;&lt;author&gt;Buyuktiryaki, M.&lt;/author&gt;&lt;author&gt;Okur, N.&lt;/author&gt;&lt;author&gt;Kanmaz Kutman, G.&lt;/author&gt;&lt;author&gt;Suna Oguz, S.&lt;/author&gt;&lt;/authors&gt;&lt;/contributors&gt;&lt;titles&gt;&lt;title&gt;Oral N-Acetyl Cysteine for Meconium Ileus of Preterm Infants&lt;/title&gt;&lt;secondary-title&gt;Gynecol Obstet Reprod Med&lt;/secondary-title&gt;&lt;/titles&gt;&lt;periodical&gt;&lt;full-title&gt;Gynecol Obstet Reprod Med&lt;/full-title&gt;&lt;/periodical&gt;&lt;pages&gt;169-73&lt;/pages&gt;&lt;volume&gt;25&lt;/volume&gt;&lt;number&gt;3&lt;/number&gt;&lt;dates&gt;&lt;year&gt;2019&lt;/year&gt;&lt;/dates&gt;&lt;urls&gt;&lt;/urls&gt;&lt;/record&gt;&lt;/Cite&gt;&lt;/EndNote&gt;</w:instrText>
            </w:r>
            <w:r w:rsidRPr="00532883">
              <w:rPr>
                <w:sz w:val="16"/>
                <w:szCs w:val="16"/>
              </w:rPr>
              <w:fldChar w:fldCharType="separate"/>
            </w:r>
            <w:r w:rsidRPr="00532883">
              <w:rPr>
                <w:noProof/>
                <w:sz w:val="16"/>
                <w:szCs w:val="16"/>
              </w:rPr>
              <w:t>[6]</w:t>
            </w:r>
            <w:r w:rsidRPr="00532883">
              <w:rPr>
                <w:sz w:val="16"/>
                <w:szCs w:val="16"/>
              </w:rPr>
              <w:fldChar w:fldCharType="end"/>
            </w:r>
            <w:r w:rsidRPr="00532883">
              <w:rPr>
                <w:sz w:val="16"/>
                <w:szCs w:val="16"/>
              </w:rPr>
              <w:t xml:space="preserve">, 132 preterm infants &lt;1250 g with meconium obstruction were given first-line saline rectal irrigations 5–10 mL/kg every 6 hours and metoclopramide 0.1 mg/kg/dose PO or IV every 6 hours. Infants received either oral </w:t>
            </w:r>
            <w:r w:rsidRPr="00532883">
              <w:rPr>
                <w:rFonts w:cs="Arial"/>
                <w:sz w:val="16"/>
                <w:szCs w:val="16"/>
              </w:rPr>
              <w:t>acetylcysteine</w:t>
            </w:r>
            <w:r w:rsidRPr="00532883">
              <w:rPr>
                <w:sz w:val="16"/>
                <w:szCs w:val="16"/>
              </w:rPr>
              <w:t xml:space="preserve"> 100 mg/kg (10% solution = 1 mL) every 6 hours (n = 34) or rectal enema (1 mL of </w:t>
            </w:r>
            <w:r w:rsidRPr="00532883">
              <w:rPr>
                <w:rFonts w:cs="Arial"/>
                <w:sz w:val="16"/>
                <w:szCs w:val="16"/>
              </w:rPr>
              <w:t xml:space="preserve">acetylcysteine </w:t>
            </w:r>
            <w:r w:rsidRPr="00532883">
              <w:rPr>
                <w:sz w:val="16"/>
                <w:szCs w:val="16"/>
              </w:rPr>
              <w:t xml:space="preserve">10% [100 mg] added to 9 mL sodium chloride 0.9% ) 5–10 mL/kg every 6 hours (n = 52) or no additional treatment (n = 35). There was a reduction in mean time to resolution of obstruction (12 days oral NAC group; 10 days rectal NAC group; 15 days control group) and full enteral feeding. None of the infants was given a contrast enema. Hospital stay and mortality rate did not differ between groups. </w:t>
            </w:r>
          </w:p>
          <w:p w:rsidRPr="00532883" w:rsidR="008A08E8" w:rsidP="00131848" w:rsidRDefault="008A08E8" w14:paraId="263D26D0" w14:textId="77777777">
            <w:pPr>
              <w:rPr>
                <w:sz w:val="16"/>
                <w:szCs w:val="16"/>
              </w:rPr>
            </w:pPr>
            <w:r w:rsidRPr="00532883">
              <w:rPr>
                <w:sz w:val="16"/>
                <w:szCs w:val="16"/>
              </w:rPr>
              <w:t xml:space="preserve">A before and after study </w:t>
            </w:r>
            <w:r w:rsidRPr="00532883">
              <w:rPr>
                <w:sz w:val="16"/>
                <w:szCs w:val="16"/>
              </w:rPr>
              <w:fldChar w:fldCharType="begin">
                <w:fldData xml:space="preserve">PEVuZE5vdGU+PENpdGU+PEF1dGhvcj5Tb2xhei1HYXJjaWE8L0F1dGhvcj48WWVhcj4yMDE5PC9Z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</w:fldData>
              </w:fldChar>
            </w:r>
            <w:r w:rsidRPr="00532883">
              <w:rPr>
                <w:sz w:val="16"/>
                <w:szCs w:val="16"/>
              </w:rPr>
              <w:instrText xml:space="preserve"> ADDIN EN.CITE </w:instrText>
            </w:r>
            <w:r w:rsidRPr="00532883">
              <w:rPr>
                <w:sz w:val="16"/>
                <w:szCs w:val="16"/>
              </w:rPr>
              <w:fldChar w:fldCharType="begin">
                <w:fldData xml:space="preserve">PEVuZE5vdGU+PENpdGU+PEF1dGhvcj5Tb2xhei1HYXJjaWE8L0F1dGhvcj48WWVhcj4yMDE5PC9Z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[7]</w:t>
            </w:r>
            <w:r w:rsidRPr="00532883">
              <w:rPr>
                <w:sz w:val="16"/>
                <w:szCs w:val="16"/>
              </w:rPr>
              <w:fldChar w:fldCharType="end"/>
            </w:r>
            <w:r w:rsidRPr="00532883">
              <w:rPr>
                <w:sz w:val="16"/>
                <w:szCs w:val="16"/>
              </w:rPr>
              <w:t xml:space="preserve"> reported 6 of 99 infants born &lt;1500 g in the before period had a meconium-associated bowel obstruction with 4 perforated and 6 surgically managed, compared to 18 of 42 (43%) diagnosed with meconium-related bowel obstruction in the after period. Twelve of 18 resolved with sodium chloride 0.9% enemas, whilst the other 6 resolved with acetylcysteine 100 mg/mL (dose not reported) through an orogastric tube and ultrasound guided diatrizoic acid (Gastrografin) enemas. None required surgery. No complications arose relating to the conservative treatment nor were there any bowel perforations.</w:t>
            </w:r>
          </w:p>
          <w:p w:rsidRPr="00532883" w:rsidR="008A08E8" w:rsidP="00131848" w:rsidRDefault="008A08E8" w14:paraId="1306C911" w14:textId="77777777">
            <w:pPr>
              <w:rPr>
                <w:sz w:val="16"/>
                <w:szCs w:val="16"/>
              </w:rPr>
            </w:pPr>
          </w:p>
          <w:p w:rsidRPr="00532883" w:rsidR="008A08E8" w:rsidP="00131848" w:rsidRDefault="008A08E8" w14:paraId="065C39F1" w14:textId="77777777">
            <w:pPr>
              <w:pStyle w:val="BodyText"/>
              <w:tabs>
                <w:tab w:val="left" w:pos="1168"/>
              </w:tabs>
              <w:rPr>
                <w:b/>
                <w:sz w:val="16"/>
                <w:szCs w:val="16"/>
                <w:lang w:val="en-AU"/>
              </w:rPr>
            </w:pPr>
            <w:r w:rsidRPr="00532883">
              <w:rPr>
                <w:b/>
                <w:sz w:val="16"/>
                <w:szCs w:val="16"/>
                <w:lang w:val="en-AU"/>
              </w:rPr>
              <w:t>Gastric or intestinal milk curd obstruction (lactobezoar)</w:t>
            </w:r>
          </w:p>
          <w:p w:rsidRPr="00532883" w:rsidR="008A08E8" w:rsidP="00131848" w:rsidRDefault="008A08E8" w14:paraId="1B277ED6" w14:textId="77777777">
            <w:pPr>
              <w:pStyle w:val="BodyText"/>
              <w:tabs>
                <w:tab w:val="left" w:pos="1168"/>
              </w:tabs>
              <w:rPr>
                <w:sz w:val="16"/>
                <w:szCs w:val="16"/>
                <w:lang w:val="en-AU"/>
              </w:rPr>
            </w:pPr>
            <w:r w:rsidRPr="00532883">
              <w:rPr>
                <w:sz w:val="16"/>
                <w:szCs w:val="16"/>
                <w:lang w:val="en-AU"/>
              </w:rPr>
              <w:t xml:space="preserve">There are case reports </w:t>
            </w:r>
            <w:r w:rsidRPr="00532883">
              <w:rPr>
                <w:sz w:val="16"/>
                <w:szCs w:val="16"/>
                <w:lang w:val="en-AU"/>
              </w:rPr>
              <w:fldChar w:fldCharType="begin">
                <w:fldData xml:space="preserve">PEVuZE5vdGU+PENpdGU+PEF1dGhvcj5CYWpvcmVrPC9BdXRob3I+PFllYXI+MjAxMjwvWWVhcj48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</w:fldData>
              </w:fldChar>
            </w:r>
            <w:r w:rsidRPr="00532883">
              <w:rPr>
                <w:sz w:val="16"/>
                <w:szCs w:val="16"/>
                <w:lang w:val="en-AU"/>
              </w:rPr>
              <w:instrText xml:space="preserve"> ADDIN EN.CITE </w:instrText>
            </w:r>
            <w:r w:rsidRPr="00532883">
              <w:rPr>
                <w:sz w:val="16"/>
                <w:szCs w:val="16"/>
                <w:lang w:val="en-AU"/>
              </w:rPr>
              <w:fldChar w:fldCharType="begin">
                <w:fldData xml:space="preserve">PEVuZE5vdGU+PENpdGU+PEF1dGhvcj5CYWpvcmVrPC9BdXRob3I+PFllYXI+MjAxMjwvWWVhcj48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</w:fldData>
              </w:fldChar>
            </w:r>
            <w:r w:rsidRPr="00532883">
              <w:rPr>
                <w:sz w:val="16"/>
                <w:szCs w:val="16"/>
                <w:lang w:val="en-AU"/>
              </w:rPr>
              <w:instrText xml:space="preserve"> ADDIN EN.CITE.DATA </w:instrText>
            </w:r>
            <w:r w:rsidRPr="00532883">
              <w:rPr>
                <w:sz w:val="16"/>
                <w:szCs w:val="16"/>
                <w:lang w:val="en-AU"/>
              </w:rPr>
            </w:r>
            <w:r w:rsidRPr="00532883">
              <w:rPr>
                <w:sz w:val="16"/>
                <w:szCs w:val="16"/>
                <w:lang w:val="en-AU"/>
              </w:rPr>
              <w:fldChar w:fldCharType="end"/>
            </w:r>
            <w:r w:rsidRPr="00532883">
              <w:rPr>
                <w:sz w:val="16"/>
                <w:szCs w:val="16"/>
                <w:lang w:val="en-AU"/>
              </w:rPr>
            </w:r>
            <w:r w:rsidRPr="00532883">
              <w:rPr>
                <w:sz w:val="16"/>
                <w:szCs w:val="16"/>
                <w:lang w:val="en-AU"/>
              </w:rPr>
              <w:fldChar w:fldCharType="separate"/>
            </w:r>
            <w:r w:rsidRPr="00532883">
              <w:rPr>
                <w:noProof/>
                <w:sz w:val="16"/>
                <w:szCs w:val="16"/>
                <w:lang w:val="en-AU"/>
              </w:rPr>
              <w:t>[8-10]</w:t>
            </w:r>
            <w:r w:rsidRPr="00532883">
              <w:rPr>
                <w:sz w:val="16"/>
                <w:szCs w:val="16"/>
                <w:lang w:val="en-AU"/>
              </w:rPr>
              <w:fldChar w:fldCharType="end"/>
            </w:r>
            <w:r w:rsidRPr="00532883">
              <w:rPr>
                <w:sz w:val="16"/>
                <w:szCs w:val="16"/>
                <w:lang w:val="en-AU"/>
              </w:rPr>
              <w:t xml:space="preserve"> of use of</w:t>
            </w:r>
            <w:r w:rsidRPr="00532883">
              <w:rPr>
                <w:rFonts w:cs="Arial"/>
                <w:sz w:val="16"/>
                <w:szCs w:val="16"/>
              </w:rPr>
              <w:t xml:space="preserve"> acetylcysteine</w:t>
            </w:r>
            <w:r w:rsidRPr="00532883">
              <w:rPr>
                <w:sz w:val="16"/>
                <w:szCs w:val="16"/>
                <w:lang w:val="en-AU"/>
              </w:rPr>
              <w:t xml:space="preserve"> for both gastric and intestinal obstruction with milk curds (lactobezoar) </w:t>
            </w:r>
            <w:r w:rsidRPr="00532883">
              <w:rPr>
                <w:sz w:val="16"/>
                <w:szCs w:val="16"/>
                <w:lang w:val="en-AU"/>
              </w:rPr>
              <w:fldChar w:fldCharType="begin">
                <w:fldData xml:space="preserve">PEVuZE5vdGU+PENpdGU+PEF1dGhvcj5TdGFuZ2VyPC9BdXRob3I+PFllYXI+MjAxNDwvWWVhcj48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</w:fldData>
              </w:fldChar>
            </w:r>
            <w:r w:rsidRPr="00532883">
              <w:rPr>
                <w:sz w:val="16"/>
                <w:szCs w:val="16"/>
                <w:lang w:val="en-AU"/>
              </w:rPr>
              <w:instrText xml:space="preserve"> ADDIN EN.CITE </w:instrText>
            </w:r>
            <w:r w:rsidRPr="00532883">
              <w:rPr>
                <w:sz w:val="16"/>
                <w:szCs w:val="16"/>
                <w:lang w:val="en-AU"/>
              </w:rPr>
              <w:fldChar w:fldCharType="begin">
                <w:fldData xml:space="preserve">PEVuZE5vdGU+PENpdGU+PEF1dGhvcj5TdGFuZ2VyPC9BdXRob3I+PFllYXI+MjAxNDwvWWVhcj48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</w:fldData>
              </w:fldChar>
            </w:r>
            <w:r w:rsidRPr="00532883">
              <w:rPr>
                <w:sz w:val="16"/>
                <w:szCs w:val="16"/>
                <w:lang w:val="en-AU"/>
              </w:rPr>
              <w:instrText xml:space="preserve"> ADDIN EN.CITE.DATA </w:instrText>
            </w:r>
            <w:r w:rsidRPr="00532883">
              <w:rPr>
                <w:sz w:val="16"/>
                <w:szCs w:val="16"/>
                <w:lang w:val="en-AU"/>
              </w:rPr>
            </w:r>
            <w:r w:rsidRPr="00532883">
              <w:rPr>
                <w:sz w:val="16"/>
                <w:szCs w:val="16"/>
                <w:lang w:val="en-AU"/>
              </w:rPr>
              <w:fldChar w:fldCharType="end"/>
            </w:r>
            <w:r w:rsidRPr="00532883">
              <w:rPr>
                <w:sz w:val="16"/>
                <w:szCs w:val="16"/>
                <w:lang w:val="en-AU"/>
              </w:rPr>
            </w:r>
            <w:r w:rsidRPr="00532883">
              <w:rPr>
                <w:sz w:val="16"/>
                <w:szCs w:val="16"/>
                <w:lang w:val="en-AU"/>
              </w:rPr>
              <w:fldChar w:fldCharType="separate"/>
            </w:r>
            <w:r w:rsidRPr="00532883">
              <w:rPr>
                <w:noProof/>
                <w:sz w:val="16"/>
                <w:szCs w:val="16"/>
                <w:lang w:val="en-AU"/>
              </w:rPr>
              <w:t>[11]</w:t>
            </w:r>
            <w:r w:rsidRPr="00532883">
              <w:rPr>
                <w:sz w:val="16"/>
                <w:szCs w:val="16"/>
                <w:lang w:val="en-AU"/>
              </w:rPr>
              <w:fldChar w:fldCharType="end"/>
            </w:r>
            <w:r w:rsidRPr="00532883">
              <w:rPr>
                <w:sz w:val="16"/>
                <w:szCs w:val="16"/>
                <w:lang w:val="en-AU"/>
              </w:rPr>
              <w:t xml:space="preserve">. Successful treatment of gastric lactobezoar was reported using 10 mg/kg/dose of </w:t>
            </w:r>
            <w:r w:rsidRPr="00532883">
              <w:rPr>
                <w:rFonts w:cs="Arial"/>
                <w:sz w:val="16"/>
                <w:szCs w:val="16"/>
              </w:rPr>
              <w:t xml:space="preserve">acetylcysteine </w:t>
            </w:r>
            <w:r w:rsidRPr="00532883">
              <w:rPr>
                <w:sz w:val="16"/>
                <w:szCs w:val="16"/>
                <w:lang w:val="en-AU"/>
              </w:rPr>
              <w:t xml:space="preserve">10% diluted with 50 mL of sodium chloride 0.9% administered via nasogastric tube over 30 minutes followed by clamping of the nasogastric tube for two hours and repeated 6 hourly up to 7 doses in total </w:t>
            </w:r>
            <w:r w:rsidRPr="00532883">
              <w:rPr>
                <w:sz w:val="16"/>
                <w:szCs w:val="16"/>
                <w:lang w:val="en-AU"/>
              </w:rPr>
              <w:fldChar w:fldCharType="begin">
                <w:fldData xml:space="preserve">PEVuZE5vdGU+PENpdGU+PEF1dGhvcj5CYWpvcmVrPC9BdXRob3I+PFllYXI+MjAxMjwvWWVhcj48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sidRPr="00532883">
              <w:rPr>
                <w:sz w:val="16"/>
                <w:szCs w:val="16"/>
                <w:lang w:val="en-AU"/>
              </w:rPr>
              <w:instrText xml:space="preserve"> ADDIN EN.CITE </w:instrText>
            </w:r>
            <w:r w:rsidRPr="00532883">
              <w:rPr>
                <w:sz w:val="16"/>
                <w:szCs w:val="16"/>
                <w:lang w:val="en-AU"/>
              </w:rPr>
              <w:fldChar w:fldCharType="begin">
                <w:fldData xml:space="preserve">PEVuZE5vdGU+PENpdGU+PEF1dGhvcj5CYWpvcmVrPC9BdXRob3I+PFllYXI+MjAxMjwvWWVhcj48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</w:fldData>
              </w:fldChar>
            </w:r>
            <w:r w:rsidRPr="00532883">
              <w:rPr>
                <w:sz w:val="16"/>
                <w:szCs w:val="16"/>
                <w:lang w:val="en-AU"/>
              </w:rPr>
              <w:instrText xml:space="preserve"> ADDIN EN.CITE.DATA </w:instrText>
            </w:r>
            <w:r w:rsidRPr="00532883">
              <w:rPr>
                <w:sz w:val="16"/>
                <w:szCs w:val="16"/>
                <w:lang w:val="en-AU"/>
              </w:rPr>
            </w:r>
            <w:r w:rsidRPr="00532883">
              <w:rPr>
                <w:sz w:val="16"/>
                <w:szCs w:val="16"/>
                <w:lang w:val="en-AU"/>
              </w:rPr>
              <w:fldChar w:fldCharType="end"/>
            </w:r>
            <w:r w:rsidRPr="00532883">
              <w:rPr>
                <w:sz w:val="16"/>
                <w:szCs w:val="16"/>
                <w:lang w:val="en-AU"/>
              </w:rPr>
            </w:r>
            <w:r w:rsidRPr="00532883">
              <w:rPr>
                <w:sz w:val="16"/>
                <w:szCs w:val="16"/>
                <w:lang w:val="en-AU"/>
              </w:rPr>
              <w:fldChar w:fldCharType="separate"/>
            </w:r>
            <w:r w:rsidRPr="00532883">
              <w:rPr>
                <w:noProof/>
                <w:sz w:val="16"/>
                <w:szCs w:val="16"/>
                <w:lang w:val="en-AU"/>
              </w:rPr>
              <w:t>[8-10]</w:t>
            </w:r>
            <w:r w:rsidRPr="00532883">
              <w:rPr>
                <w:sz w:val="16"/>
                <w:szCs w:val="16"/>
                <w:lang w:val="en-AU"/>
              </w:rPr>
              <w:fldChar w:fldCharType="end"/>
            </w:r>
            <w:r w:rsidRPr="00532883">
              <w:rPr>
                <w:sz w:val="16"/>
                <w:szCs w:val="16"/>
                <w:lang w:val="en-AU"/>
              </w:rPr>
              <w:t xml:space="preserve">. A case series reported two extremely preterm infants with intestinal obstruction secondary to human-milk-fortifier-associated curds treated with nasogastrically instilled </w:t>
            </w:r>
            <w:r w:rsidRPr="00532883">
              <w:rPr>
                <w:rFonts w:cs="Arial"/>
                <w:sz w:val="16"/>
                <w:szCs w:val="16"/>
              </w:rPr>
              <w:t>acetylcysteine</w:t>
            </w:r>
            <w:r w:rsidRPr="00532883">
              <w:rPr>
                <w:sz w:val="16"/>
                <w:szCs w:val="16"/>
                <w:lang w:val="en-AU"/>
              </w:rPr>
              <w:t xml:space="preserve"> and elimination of human milk fortifier </w:t>
            </w:r>
            <w:r w:rsidRPr="00532883">
              <w:rPr>
                <w:sz w:val="16"/>
                <w:szCs w:val="16"/>
                <w:lang w:val="en-AU"/>
              </w:rPr>
              <w:fldChar w:fldCharType="begin">
                <w:fldData xml:space="preserve">PEVuZE5vdGU+PENpdGU+PEF1dGhvcj5TdGFuZ2VyPC9BdXRob3I+PFllYXI+MjAxNDwvWWVhcj48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</w:fldData>
              </w:fldChar>
            </w:r>
            <w:r w:rsidRPr="00532883">
              <w:rPr>
                <w:sz w:val="16"/>
                <w:szCs w:val="16"/>
                <w:lang w:val="en-AU"/>
              </w:rPr>
              <w:instrText xml:space="preserve"> ADDIN EN.CITE </w:instrText>
            </w:r>
            <w:r w:rsidRPr="00532883">
              <w:rPr>
                <w:sz w:val="16"/>
                <w:szCs w:val="16"/>
                <w:lang w:val="en-AU"/>
              </w:rPr>
              <w:fldChar w:fldCharType="begin">
                <w:fldData xml:space="preserve">PEVuZE5vdGU+PENpdGU+PEF1dGhvcj5TdGFuZ2VyPC9BdXRob3I+PFllYXI+MjAxNDwvWWVhcj48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</w:fldData>
              </w:fldChar>
            </w:r>
            <w:r w:rsidRPr="00532883">
              <w:rPr>
                <w:sz w:val="16"/>
                <w:szCs w:val="16"/>
                <w:lang w:val="en-AU"/>
              </w:rPr>
              <w:instrText xml:space="preserve"> ADDIN EN.CITE.DATA </w:instrText>
            </w:r>
            <w:r w:rsidRPr="00532883">
              <w:rPr>
                <w:sz w:val="16"/>
                <w:szCs w:val="16"/>
                <w:lang w:val="en-AU"/>
              </w:rPr>
            </w:r>
            <w:r w:rsidRPr="00532883">
              <w:rPr>
                <w:sz w:val="16"/>
                <w:szCs w:val="16"/>
                <w:lang w:val="en-AU"/>
              </w:rPr>
              <w:fldChar w:fldCharType="end"/>
            </w:r>
            <w:r w:rsidRPr="00532883">
              <w:rPr>
                <w:sz w:val="16"/>
                <w:szCs w:val="16"/>
                <w:lang w:val="en-AU"/>
              </w:rPr>
            </w:r>
            <w:r w:rsidRPr="00532883">
              <w:rPr>
                <w:sz w:val="16"/>
                <w:szCs w:val="16"/>
                <w:lang w:val="en-AU"/>
              </w:rPr>
              <w:fldChar w:fldCharType="separate"/>
            </w:r>
            <w:r w:rsidRPr="00532883">
              <w:rPr>
                <w:noProof/>
                <w:sz w:val="16"/>
                <w:szCs w:val="16"/>
                <w:lang w:val="en-AU"/>
              </w:rPr>
              <w:t>[11]</w:t>
            </w:r>
            <w:r w:rsidRPr="00532883">
              <w:rPr>
                <w:sz w:val="16"/>
                <w:szCs w:val="16"/>
                <w:lang w:val="en-AU"/>
              </w:rPr>
              <w:fldChar w:fldCharType="end"/>
            </w:r>
            <w:r w:rsidRPr="00532883">
              <w:rPr>
                <w:sz w:val="16"/>
                <w:szCs w:val="16"/>
                <w:lang w:val="en-AU"/>
              </w:rPr>
              <w:t xml:space="preserve">. One resolved without surgery whilst the other infant required operative treatment despite nasogastric </w:t>
            </w:r>
            <w:r w:rsidRPr="00532883">
              <w:rPr>
                <w:rFonts w:cs="Arial"/>
                <w:sz w:val="16"/>
                <w:szCs w:val="16"/>
              </w:rPr>
              <w:t>acetylcysteine</w:t>
            </w:r>
            <w:r w:rsidRPr="00532883">
              <w:rPr>
                <w:sz w:val="16"/>
                <w:szCs w:val="16"/>
                <w:lang w:val="en-AU"/>
              </w:rPr>
              <w:t xml:space="preserve"> and repeated enemas. </w:t>
            </w:r>
          </w:p>
          <w:p w:rsidRPr="00532883" w:rsidR="008A08E8" w:rsidP="00131848" w:rsidRDefault="008A08E8" w14:paraId="553998A1" w14:textId="77777777">
            <w:pPr>
              <w:pStyle w:val="BodyText"/>
              <w:tabs>
                <w:tab w:val="left" w:pos="1168"/>
              </w:tabs>
              <w:rPr>
                <w:sz w:val="16"/>
                <w:szCs w:val="16"/>
                <w:lang w:val="en-AU"/>
              </w:rPr>
            </w:pPr>
          </w:p>
          <w:p w:rsidRPr="00532883" w:rsidR="008A08E8" w:rsidP="00131848" w:rsidRDefault="008A08E8" w14:paraId="1DA13DDE" w14:textId="77777777">
            <w:pPr>
              <w:rPr>
                <w:b/>
                <w:sz w:val="16"/>
                <w:szCs w:val="16"/>
              </w:rPr>
            </w:pPr>
            <w:r w:rsidRPr="00532883">
              <w:rPr>
                <w:b/>
                <w:sz w:val="16"/>
                <w:szCs w:val="16"/>
              </w:rPr>
              <w:t>Distal intestinal obstruction syndrome (DIOS) secondary to cystic fibrosis</w:t>
            </w:r>
          </w:p>
          <w:p w:rsidRPr="00532883" w:rsidR="008A08E8" w:rsidP="00131848" w:rsidRDefault="008A08E8" w14:paraId="4DCF3E45" w14:textId="77777777">
            <w:pPr>
              <w:rPr>
                <w:sz w:val="16"/>
                <w:szCs w:val="16"/>
              </w:rPr>
            </w:pPr>
            <w:r w:rsidRPr="00532883">
              <w:rPr>
                <w:sz w:val="16"/>
                <w:szCs w:val="16"/>
              </w:rPr>
              <w:t xml:space="preserve">There are no RCTs of oral or rectal </w:t>
            </w:r>
            <w:r w:rsidRPr="00532883">
              <w:rPr>
                <w:rFonts w:cs="Arial"/>
                <w:sz w:val="16"/>
                <w:szCs w:val="16"/>
              </w:rPr>
              <w:t>acetylcysteine</w:t>
            </w:r>
            <w:r w:rsidRPr="00532883">
              <w:rPr>
                <w:sz w:val="16"/>
                <w:szCs w:val="16"/>
              </w:rPr>
              <w:t xml:space="preserve"> for DIOS associated with cystic fibrosis. The ESPGHAN Cystic Fibrosis Working Group recommend use of </w:t>
            </w:r>
            <w:r w:rsidRPr="00532883">
              <w:rPr>
                <w:rFonts w:cs="Arial"/>
                <w:sz w:val="16"/>
                <w:szCs w:val="16"/>
              </w:rPr>
              <w:t>acetylcysteine</w:t>
            </w:r>
            <w:r w:rsidRPr="00532883">
              <w:rPr>
                <w:sz w:val="16"/>
                <w:szCs w:val="16"/>
              </w:rPr>
              <w:t xml:space="preserve"> administered orally has been superseded by diatrizoic acid (Gastrografin) in children with an acute episode of DIOS </w:t>
            </w:r>
            <w:r w:rsidRPr="00532883">
              <w:rPr>
                <w:sz w:val="16"/>
                <w:szCs w:val="16"/>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532883">
              <w:rPr>
                <w:sz w:val="16"/>
                <w:szCs w:val="16"/>
              </w:rPr>
              <w:instrText xml:space="preserve"> ADDIN EN.CITE </w:instrText>
            </w:r>
            <w:r w:rsidRPr="00532883">
              <w:rPr>
                <w:sz w:val="16"/>
                <w:szCs w:val="16"/>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[12]</w:t>
            </w:r>
            <w:r w:rsidRPr="00532883">
              <w:rPr>
                <w:sz w:val="16"/>
                <w:szCs w:val="16"/>
              </w:rPr>
              <w:fldChar w:fldCharType="end"/>
            </w:r>
            <w:r w:rsidRPr="00532883">
              <w:rPr>
                <w:sz w:val="16"/>
                <w:szCs w:val="16"/>
              </w:rPr>
              <w:t xml:space="preserve">. Oral osmotic laxatives containing polyethylene glycol (PEG) or lactulose are recommended alternatives when needed for prophylaxis against DIOS. </w:t>
            </w:r>
            <w:r w:rsidRPr="00532883">
              <w:rPr>
                <w:sz w:val="16"/>
                <w:szCs w:val="16"/>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532883">
              <w:rPr>
                <w:sz w:val="16"/>
                <w:szCs w:val="16"/>
              </w:rPr>
              <w:instrText xml:space="preserve"> ADDIN EN.CITE </w:instrText>
            </w:r>
            <w:r w:rsidRPr="00532883">
              <w:rPr>
                <w:sz w:val="16"/>
                <w:szCs w:val="16"/>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[12]</w:t>
            </w:r>
            <w:r w:rsidRPr="00532883">
              <w:rPr>
                <w:sz w:val="16"/>
                <w:szCs w:val="16"/>
              </w:rPr>
              <w:fldChar w:fldCharType="end"/>
            </w:r>
            <w:r w:rsidRPr="00532883">
              <w:rPr>
                <w:sz w:val="16"/>
                <w:szCs w:val="16"/>
              </w:rPr>
              <w:t xml:space="preserve"> A recent review of </w:t>
            </w:r>
            <w:r w:rsidRPr="00532883">
              <w:rPr>
                <w:rFonts w:cs="Arial"/>
                <w:sz w:val="16"/>
                <w:szCs w:val="16"/>
              </w:rPr>
              <w:t>acetylcysteine</w:t>
            </w:r>
            <w:r w:rsidRPr="00532883">
              <w:rPr>
                <w:sz w:val="16"/>
                <w:szCs w:val="16"/>
              </w:rPr>
              <w:t xml:space="preserve"> for management of DIOS found administration technique and monitoring parameters are not well defined in current literature and clinical trials are lacking and would be helpful to better define the role of </w:t>
            </w:r>
            <w:r w:rsidRPr="00532883">
              <w:rPr>
                <w:rFonts w:cs="Arial"/>
                <w:sz w:val="16"/>
                <w:szCs w:val="16"/>
              </w:rPr>
              <w:t xml:space="preserve">acetylcysteine </w:t>
            </w:r>
            <w:r w:rsidRPr="00532883">
              <w:rPr>
                <w:sz w:val="16"/>
                <w:szCs w:val="16"/>
              </w:rPr>
              <w:t xml:space="preserve">in distal intestinal obstruction syndrome </w:t>
            </w:r>
            <w:r w:rsidRPr="00532883">
              <w:rPr>
                <w:sz w:val="16"/>
                <w:szCs w:val="16"/>
              </w:rPr>
              <w:fldChar w:fldCharType="begin">
                <w:fldData xml:space="preserve">PEVuZE5vdGU+PENpdGU+PEF1dGhvcj5TY2hhdWJsZTwvQXV0aG9yPjxZZWFyPjIwMTk8L1llYXI+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sidRPr="00532883">
              <w:rPr>
                <w:sz w:val="16"/>
                <w:szCs w:val="16"/>
              </w:rPr>
              <w:instrText xml:space="preserve"> ADDIN EN.CITE </w:instrText>
            </w:r>
            <w:r w:rsidRPr="00532883">
              <w:rPr>
                <w:sz w:val="16"/>
                <w:szCs w:val="16"/>
              </w:rPr>
              <w:fldChar w:fldCharType="begin">
                <w:fldData xml:space="preserve">PEVuZE5vdGU+PENpdGU+PEF1dGhvcj5TY2hhdWJsZTwvQXV0aG9yPjxZZWFyPjIwMTk8L1llYXI+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</w:fldData>
              </w:fldChar>
            </w:r>
            <w:r w:rsidRPr="00532883">
              <w:rPr>
                <w:sz w:val="16"/>
                <w:szCs w:val="16"/>
              </w:rPr>
              <w:instrText xml:space="preserve"> ADDIN EN.CITE.DATA </w:instrText>
            </w:r>
            <w:r w:rsidRPr="00532883">
              <w:rPr>
                <w:sz w:val="16"/>
                <w:szCs w:val="16"/>
              </w:rPr>
            </w:r>
            <w:r w:rsidRPr="00532883">
              <w:rPr>
                <w:sz w:val="16"/>
                <w:szCs w:val="16"/>
              </w:rPr>
              <w:fldChar w:fldCharType="end"/>
            </w:r>
            <w:r w:rsidRPr="00532883">
              <w:rPr>
                <w:sz w:val="16"/>
                <w:szCs w:val="16"/>
              </w:rPr>
            </w:r>
            <w:r w:rsidRPr="00532883">
              <w:rPr>
                <w:sz w:val="16"/>
                <w:szCs w:val="16"/>
              </w:rPr>
              <w:fldChar w:fldCharType="separate"/>
            </w:r>
            <w:r w:rsidRPr="00532883">
              <w:rPr>
                <w:noProof/>
                <w:sz w:val="16"/>
                <w:szCs w:val="16"/>
              </w:rPr>
              <w:t>[13]</w:t>
            </w:r>
            <w:r w:rsidRPr="00532883">
              <w:rPr>
                <w:sz w:val="16"/>
                <w:szCs w:val="16"/>
              </w:rPr>
              <w:fldChar w:fldCharType="end"/>
            </w:r>
            <w:r w:rsidRPr="00532883">
              <w:rPr>
                <w:sz w:val="16"/>
                <w:szCs w:val="16"/>
              </w:rPr>
              <w:t>.</w:t>
            </w:r>
          </w:p>
          <w:p w:rsidRPr="00532883" w:rsidR="008A08E8" w:rsidP="00131848" w:rsidRDefault="008A08E8" w14:paraId="2294C7FE" w14:textId="77777777">
            <w:pPr>
              <w:rPr>
                <w:sz w:val="16"/>
                <w:szCs w:val="16"/>
              </w:rPr>
            </w:pPr>
            <w:r w:rsidRPr="00532883">
              <w:rPr>
                <w:sz w:val="16"/>
                <w:szCs w:val="16"/>
              </w:rPr>
              <w:t xml:space="preserve"> </w:t>
            </w:r>
          </w:p>
          <w:p w:rsidRPr="00532883" w:rsidR="008A08E8" w:rsidP="00131848" w:rsidRDefault="008A08E8" w14:paraId="40C91678" w14:textId="77777777">
            <w:pPr>
              <w:pStyle w:val="BodyText"/>
              <w:tabs>
                <w:tab w:val="left" w:pos="1168"/>
              </w:tabs>
              <w:rPr>
                <w:rFonts w:cs="Arial"/>
                <w:b/>
                <w:sz w:val="16"/>
                <w:szCs w:val="16"/>
                <w:lang w:val="en-AU"/>
              </w:rPr>
            </w:pPr>
            <w:r w:rsidRPr="00532883">
              <w:rPr>
                <w:rFonts w:cs="Arial"/>
                <w:b/>
                <w:sz w:val="16"/>
                <w:szCs w:val="16"/>
                <w:lang w:val="en-AU"/>
              </w:rPr>
              <w:t>Maintenance of patency of Replogle tube</w:t>
            </w:r>
          </w:p>
          <w:p w:rsidRPr="00532883" w:rsidR="008A08E8" w:rsidP="00131848" w:rsidRDefault="008A08E8" w14:paraId="7D6FC019" w14:textId="77777777">
            <w:pPr>
              <w:pStyle w:val="BodyText"/>
              <w:tabs>
                <w:tab w:val="left" w:pos="1168"/>
              </w:tabs>
              <w:rPr>
                <w:rFonts w:cs="Arial"/>
                <w:sz w:val="16"/>
                <w:szCs w:val="16"/>
                <w:lang w:val="en-AU"/>
              </w:rPr>
            </w:pPr>
            <w:r w:rsidRPr="00532883">
              <w:rPr>
                <w:rFonts w:cs="Arial"/>
                <w:sz w:val="16"/>
                <w:szCs w:val="16"/>
                <w:lang w:val="en-AU"/>
              </w:rPr>
              <w:t>There are no reports of use of acetylcysteine for maintenance of patency of a Replogle tube used for suctioning of the proximal pouch in infants with oesophageal atresia.</w:t>
            </w:r>
          </w:p>
          <w:p w:rsidRPr="00532883" w:rsidR="008A08E8" w:rsidP="00131848" w:rsidRDefault="008A08E8" w14:paraId="43297C5D" w14:textId="77777777">
            <w:pPr>
              <w:pStyle w:val="BodyText"/>
              <w:tabs>
                <w:tab w:val="left" w:pos="1168"/>
              </w:tabs>
              <w:rPr>
                <w:rFonts w:cs="Arial"/>
                <w:sz w:val="16"/>
                <w:szCs w:val="16"/>
                <w:lang w:val="en-AU"/>
              </w:rPr>
            </w:pPr>
          </w:p>
          <w:p w:rsidRPr="00532883" w:rsidR="008A08E8" w:rsidP="00131848" w:rsidRDefault="008A08E8" w14:paraId="2994CA3D" w14:textId="77777777">
            <w:pPr>
              <w:pStyle w:val="BodyText"/>
              <w:tabs>
                <w:tab w:val="left" w:pos="1168"/>
              </w:tabs>
              <w:rPr>
                <w:rFonts w:cs="Arial"/>
                <w:b/>
                <w:sz w:val="16"/>
                <w:szCs w:val="16"/>
                <w:lang w:val="en-AU"/>
              </w:rPr>
            </w:pPr>
            <w:r w:rsidRPr="00532883">
              <w:rPr>
                <w:rFonts w:cs="Arial"/>
                <w:b/>
                <w:sz w:val="16"/>
                <w:szCs w:val="16"/>
                <w:lang w:val="en-AU"/>
              </w:rPr>
              <w:t>Safety</w:t>
            </w:r>
          </w:p>
          <w:p w:rsidRPr="00532883" w:rsidR="008A08E8" w:rsidP="00131848" w:rsidRDefault="008A08E8" w14:paraId="4C1F4074" w14:textId="77777777">
            <w:pPr>
              <w:pStyle w:val="BodyText"/>
              <w:tabs>
                <w:tab w:val="left" w:pos="1168"/>
              </w:tabs>
              <w:rPr>
                <w:rFonts w:cs="Arial"/>
                <w:sz w:val="16"/>
                <w:szCs w:val="16"/>
                <w:lang w:val="en-AU"/>
              </w:rPr>
            </w:pPr>
            <w:r w:rsidRPr="00532883">
              <w:rPr>
                <w:rFonts w:cs="Arial"/>
                <w:sz w:val="16"/>
                <w:szCs w:val="16"/>
                <w:lang w:val="en-AU"/>
              </w:rPr>
              <w:t xml:space="preserve">In general, oral and rectal </w:t>
            </w:r>
            <w:r w:rsidRPr="00532883">
              <w:rPr>
                <w:rFonts w:cs="Arial"/>
                <w:sz w:val="16"/>
                <w:szCs w:val="16"/>
              </w:rPr>
              <w:t>acetylcysteine</w:t>
            </w:r>
            <w:r w:rsidRPr="00532883">
              <w:rPr>
                <w:rFonts w:cs="Arial"/>
                <w:sz w:val="16"/>
                <w:szCs w:val="16"/>
                <w:lang w:val="en-AU"/>
              </w:rPr>
              <w:t xml:space="preserve"> use has been reported to be well tolerated, although the number of reports is insufficient to determine rates of adverse effects. Reported side effects of </w:t>
            </w:r>
            <w:r w:rsidRPr="00532883">
              <w:rPr>
                <w:rFonts w:cs="Arial"/>
                <w:sz w:val="16"/>
                <w:szCs w:val="16"/>
              </w:rPr>
              <w:t>acetylcysteine</w:t>
            </w:r>
            <w:r w:rsidRPr="00532883">
              <w:rPr>
                <w:rFonts w:cs="Arial"/>
                <w:sz w:val="16"/>
                <w:szCs w:val="16"/>
                <w:lang w:val="en-AU"/>
              </w:rPr>
              <w:t xml:space="preserve"> treatment include hepatic derangement associated with use of oral </w:t>
            </w:r>
            <w:r w:rsidRPr="00532883">
              <w:rPr>
                <w:rFonts w:cs="Arial"/>
                <w:sz w:val="16"/>
                <w:szCs w:val="16"/>
              </w:rPr>
              <w:t xml:space="preserve">acetylcysteine </w:t>
            </w:r>
            <w:r w:rsidRPr="00532883">
              <w:rPr>
                <w:rFonts w:cs="Arial"/>
                <w:sz w:val="16"/>
                <w:szCs w:val="16"/>
                <w:lang w:val="en-AU"/>
              </w:rPr>
              <w:t xml:space="preserve">and </w:t>
            </w:r>
            <w:r w:rsidRPr="00532883">
              <w:rPr>
                <w:rFonts w:cs="Arial"/>
                <w:sz w:val="16"/>
                <w:szCs w:val="16"/>
              </w:rPr>
              <w:t xml:space="preserve">acetylcysteine </w:t>
            </w:r>
            <w:r w:rsidRPr="00532883">
              <w:rPr>
                <w:rFonts w:cs="Arial"/>
                <w:sz w:val="16"/>
                <w:szCs w:val="16"/>
                <w:lang w:val="en-AU"/>
              </w:rPr>
              <w:t xml:space="preserve">0.2%/contrast enema in an infant with meconium ileus secondary to cystic fibrosis </w:t>
            </w:r>
            <w:r w:rsidRPr="00532883">
              <w:rPr>
                <w:rFonts w:cs="Arial"/>
                <w:sz w:val="16"/>
                <w:szCs w:val="16"/>
                <w:lang w:val="en-AU"/>
              </w:rPr>
              <w:fldChar w:fldCharType="begin">
                <w:fldData xml:space="preserve">PEVuZE5vdGU+PENpdGU+PEF1dGhvcj5Db29rZTwvQXV0aG9yPjxZZWFyPjIwMDg8L1llYXI+PFJl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PEVuZE5vdGU+PENpdGU+PEF1dGhvcj5Db29rZTwvQXV0aG9yPjxZZWFyPjIwMDg8L1llYXI+PFJl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[14]</w:t>
            </w:r>
            <w:r w:rsidRPr="00532883">
              <w:rPr>
                <w:rFonts w:cs="Arial"/>
                <w:sz w:val="16"/>
                <w:szCs w:val="16"/>
                <w:lang w:val="en-AU"/>
              </w:rPr>
              <w:fldChar w:fldCharType="end"/>
            </w:r>
            <w:r w:rsidRPr="00532883">
              <w:rPr>
                <w:rFonts w:cs="Arial"/>
                <w:sz w:val="16"/>
                <w:szCs w:val="16"/>
                <w:lang w:val="en-AU"/>
              </w:rPr>
              <w:t xml:space="preserve">; a preterm infant who developed hypernatraemia with instillation of a 5% solution through a distal stoma at 2.2 mL/hour </w:t>
            </w:r>
            <w:r w:rsidRPr="00532883">
              <w:rPr>
                <w:rFonts w:cs="Arial"/>
                <w:sz w:val="16"/>
                <w:szCs w:val="16"/>
                <w:lang w:val="en-AU"/>
              </w:rPr>
              <w:fldChar w:fldCharType="begin">
                <w:fldData xml:space="preserve">PEVuZE5vdGU+PENpdGU+PEF1dGhvcj5MYW5nZXI8L0F1dGhvcj48WWVhcj4xOTkwPC9ZZWFyPjxS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PEVuZE5vdGU+PENpdGU+PEF1dGhvcj5MYW5nZXI8L0F1dGhvcj48WWVhcj4xOTkwPC9ZZWFyPjxS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[15]</w:t>
            </w:r>
            <w:r w:rsidRPr="00532883">
              <w:rPr>
                <w:rFonts w:cs="Arial"/>
                <w:sz w:val="16"/>
                <w:szCs w:val="16"/>
                <w:lang w:val="en-AU"/>
              </w:rPr>
              <w:fldChar w:fldCharType="end"/>
            </w:r>
            <w:r w:rsidRPr="00532883">
              <w:rPr>
                <w:rFonts w:cs="Arial"/>
                <w:sz w:val="16"/>
                <w:szCs w:val="16"/>
                <w:lang w:val="en-AU"/>
              </w:rPr>
              <w:t xml:space="preserve">. There is also a case report of a 3-year-old infant with DIOS associated with cystic fibrosis, who developed liver injury after oral and rectal administration of </w:t>
            </w:r>
            <w:r w:rsidRPr="00532883">
              <w:rPr>
                <w:rFonts w:cs="Arial"/>
                <w:sz w:val="16"/>
                <w:szCs w:val="16"/>
              </w:rPr>
              <w:t>acetylcysteine</w:t>
            </w:r>
            <w:r w:rsidRPr="00532883">
              <w:rPr>
                <w:rFonts w:cs="Arial"/>
                <w:sz w:val="16"/>
                <w:szCs w:val="16"/>
                <w:lang w:val="en-AU"/>
              </w:rPr>
              <w:t xml:space="preserve"> </w:t>
            </w:r>
            <w:r w:rsidRPr="00532883">
              <w:rPr>
                <w:rFonts w:cs="Arial"/>
                <w:sz w:val="16"/>
                <w:szCs w:val="16"/>
                <w:lang w:val="en-AU"/>
              </w:rPr>
              <w:fldChar w:fldCharType="begin">
                <w:fldData xml:space="preserve">PEVuZE5vdGU+PENpdGU+PEF1dGhvcj5CYWlsZXk8L0F1dGhvcj48WWVhcj4xOTg3PC9ZZWFyPjxS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YWJici0xPlBlZGlhdHJpY3M8L2FiYnItMT48L2FsdC1wZXJpb2RpY2FsPjxwYWdlcz4yODEtMjwv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PEVuZE5vdGU+PENpdGU+PEF1dGhvcj5CYWlsZXk8L0F1dGhvcj48WWVhcj4xOTg3PC9ZZWFyPjxS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[16]</w:t>
            </w:r>
            <w:r w:rsidRPr="00532883">
              <w:rPr>
                <w:rFonts w:cs="Arial"/>
                <w:sz w:val="16"/>
                <w:szCs w:val="16"/>
                <w:lang w:val="en-AU"/>
              </w:rPr>
              <w:fldChar w:fldCharType="end"/>
            </w:r>
            <w:r w:rsidRPr="00532883">
              <w:rPr>
                <w:rFonts w:cs="Arial"/>
                <w:sz w:val="16"/>
                <w:szCs w:val="16"/>
                <w:lang w:val="en-AU"/>
              </w:rPr>
              <w:t>.</w:t>
            </w:r>
          </w:p>
          <w:p w:rsidRPr="00532883" w:rsidR="008A08E8" w:rsidP="00131848" w:rsidRDefault="008A08E8" w14:paraId="65F8881E" w14:textId="77777777">
            <w:pPr>
              <w:pStyle w:val="BodyText"/>
              <w:tabs>
                <w:tab w:val="left" w:pos="1168"/>
              </w:tabs>
              <w:rPr>
                <w:rFonts w:cs="Arial"/>
                <w:sz w:val="16"/>
                <w:szCs w:val="16"/>
                <w:lang w:val="en-AU"/>
              </w:rPr>
            </w:pPr>
            <w:r w:rsidRPr="00532883">
              <w:rPr>
                <w:rFonts w:cs="Arial"/>
                <w:sz w:val="16"/>
                <w:szCs w:val="16"/>
                <w:lang w:val="en-AU"/>
              </w:rPr>
              <w:t xml:space="preserve">For paracetamol overdose, </w:t>
            </w:r>
            <w:r w:rsidRPr="00532883">
              <w:rPr>
                <w:rFonts w:cs="Arial"/>
                <w:sz w:val="16"/>
                <w:szCs w:val="16"/>
              </w:rPr>
              <w:t>acetylcysteine</w:t>
            </w:r>
            <w:r w:rsidRPr="00532883">
              <w:rPr>
                <w:rFonts w:cs="Arial"/>
                <w:sz w:val="16"/>
                <w:szCs w:val="16"/>
                <w:lang w:val="en-AU"/>
              </w:rPr>
              <w:t xml:space="preserve"> is recommended at a dose of 300 mg/kg (200 mg/kg over 4 hours and 100 mg/kg over 16 hours) given intravenously. Adverse reactions are uncommon except for nausea and vomiting. Rashes, erythema, angioedema and anaphylaxis are uncommon </w:t>
            </w:r>
            <w:r w:rsidRPr="00532883">
              <w:rPr>
                <w:rFonts w:cs="Arial"/>
                <w:sz w:val="16"/>
                <w:szCs w:val="16"/>
                <w:lang w:val="en-AU"/>
              </w:rPr>
              <w:fldChar w:fldCharType="begin">
                <w:fldData xml:space="preserve">PEVuZE5vdGU+PENpdGU+PEF1dGhvcj5QcmVzY290dDwvQXV0aG9yPjxZZWFyPjIwMDU8L1llYXI+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==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PEVuZE5vdGU+PENpdGU+PEF1dGhvcj5QcmVzY290dDwvQXV0aG9yPjxZZWFyPjIwMDU8L1llYXI+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==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[17]</w:t>
            </w:r>
            <w:r w:rsidRPr="00532883">
              <w:rPr>
                <w:rFonts w:cs="Arial"/>
                <w:sz w:val="16"/>
                <w:szCs w:val="16"/>
                <w:lang w:val="en-AU"/>
              </w:rPr>
              <w:fldChar w:fldCharType="end"/>
            </w:r>
            <w:r w:rsidRPr="00532883">
              <w:rPr>
                <w:rFonts w:cs="Arial"/>
                <w:sz w:val="16"/>
                <w:szCs w:val="16"/>
                <w:lang w:val="en-AU"/>
              </w:rPr>
              <w:t xml:space="preserve">. </w:t>
            </w:r>
          </w:p>
          <w:p w:rsidRPr="00532883" w:rsidR="008A08E8" w:rsidP="00131848" w:rsidRDefault="008A08E8" w14:paraId="0A8AC8E9" w14:textId="77777777">
            <w:pPr>
              <w:pStyle w:val="BodyText"/>
              <w:tabs>
                <w:tab w:val="left" w:pos="1168"/>
              </w:tabs>
              <w:rPr>
                <w:rFonts w:cs="Arial"/>
                <w:sz w:val="16"/>
                <w:szCs w:val="16"/>
                <w:lang w:val="en-AU"/>
              </w:rPr>
            </w:pPr>
            <w:r w:rsidRPr="00532883">
              <w:rPr>
                <w:rFonts w:cs="Arial"/>
                <w:sz w:val="16"/>
                <w:szCs w:val="16"/>
                <w:lang w:val="en-AU"/>
              </w:rPr>
              <w:t xml:space="preserve">Doses of </w:t>
            </w:r>
            <w:r w:rsidRPr="00532883">
              <w:rPr>
                <w:rFonts w:cs="Arial"/>
                <w:sz w:val="16"/>
                <w:szCs w:val="16"/>
              </w:rPr>
              <w:t>acetylcysteine</w:t>
            </w:r>
            <w:r w:rsidRPr="00532883">
              <w:rPr>
                <w:rFonts w:cs="Arial"/>
                <w:sz w:val="16"/>
                <w:szCs w:val="16"/>
                <w:lang w:val="en-AU"/>
              </w:rPr>
              <w:t xml:space="preserve"> are comparable to those documented for paracetamol overdose and, with repeated administration orally or rectally, may substantially exceed these. </w:t>
            </w:r>
          </w:p>
          <w:p w:rsidRPr="00532883" w:rsidR="008A08E8" w:rsidP="00131848" w:rsidRDefault="008A08E8" w14:paraId="094A363D" w14:textId="77777777">
            <w:pPr>
              <w:pStyle w:val="BodyText"/>
              <w:tabs>
                <w:tab w:val="left" w:pos="1168"/>
              </w:tabs>
              <w:rPr>
                <w:rFonts w:cs="Arial"/>
                <w:sz w:val="16"/>
                <w:szCs w:val="16"/>
                <w:lang w:val="en-AU"/>
              </w:rPr>
            </w:pPr>
          </w:p>
          <w:p w:rsidRPr="00532883" w:rsidR="008A08E8" w:rsidP="00131848" w:rsidRDefault="008A08E8" w14:paraId="7F0F8059" w14:textId="77777777">
            <w:pPr>
              <w:pStyle w:val="BodyText"/>
              <w:tabs>
                <w:tab w:val="left" w:pos="1168"/>
              </w:tabs>
              <w:rPr>
                <w:rFonts w:cs="Arial"/>
                <w:b/>
                <w:sz w:val="16"/>
                <w:szCs w:val="16"/>
                <w:lang w:val="en-AU"/>
              </w:rPr>
            </w:pPr>
            <w:r w:rsidRPr="00532883">
              <w:rPr>
                <w:rFonts w:cs="Arial"/>
                <w:b/>
                <w:sz w:val="16"/>
                <w:szCs w:val="16"/>
                <w:lang w:val="en-AU"/>
              </w:rPr>
              <w:t>Pharmacokinetics/pharmacodynamics</w:t>
            </w:r>
          </w:p>
          <w:p w:rsidRPr="00532883" w:rsidR="008A08E8" w:rsidP="00131848" w:rsidRDefault="008A08E8" w14:paraId="10BBCD65" w14:textId="77777777">
            <w:pPr>
              <w:pStyle w:val="BodyText"/>
              <w:tabs>
                <w:tab w:val="left" w:pos="1168"/>
              </w:tabs>
              <w:rPr>
                <w:rFonts w:cs="Arial"/>
                <w:sz w:val="16"/>
                <w:szCs w:val="16"/>
                <w:lang w:val="en-AU"/>
              </w:rPr>
            </w:pPr>
            <w:r w:rsidRPr="00532883">
              <w:rPr>
                <w:rFonts w:cs="Arial"/>
                <w:sz w:val="16"/>
                <w:szCs w:val="16"/>
                <w:lang w:val="en-AU"/>
              </w:rPr>
              <w:t xml:space="preserve">There are few studies on the pharmacokinetics of acetylcysteine with terminal half-life values of between 2.7 and 5.7 hours reported in adults </w:t>
            </w:r>
            <w:r w:rsidRPr="00532883">
              <w:rPr>
                <w:rFonts w:cs="Arial"/>
                <w:sz w:val="16"/>
                <w:szCs w:val="16"/>
                <w:lang w:val="en-AU"/>
              </w:rPr>
              <w:fldChar w:fldCharType="begin">
                <w:fldData xml:space="preserve">PEVuZE5vdGU+PENpdGU+PEF1dGhvcj5CYXRlbWFuPC9BdXRob3I+PFllYXI+MjAxOTwvWWVhcj48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PEVuZE5vdGU+PENpdGU+PEF1dGhvcj5CYXRlbWFuPC9BdXRob3I+PFllYXI+MjAxOTwvWWVhcj48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[18]</w:t>
            </w:r>
            <w:r w:rsidRPr="00532883">
              <w:rPr>
                <w:rFonts w:cs="Arial"/>
                <w:sz w:val="16"/>
                <w:szCs w:val="16"/>
                <w:lang w:val="en-AU"/>
              </w:rPr>
              <w:fldChar w:fldCharType="end"/>
            </w:r>
            <w:r w:rsidRPr="00532883">
              <w:rPr>
                <w:rFonts w:cs="Arial"/>
                <w:sz w:val="16"/>
                <w:szCs w:val="16"/>
                <w:lang w:val="en-AU"/>
              </w:rPr>
              <w:t xml:space="preserve">. In infants, gestational age 24.9–31.0 weeks, 2–11 hours after birth, mean elimination half-life was 11 hours (range 7.8–15.2), plasma clearance 37 mL/kg/h (range 13–62) and volume of distribution 573 mL/kg (range 167–1010 mL/kg). A steady-state concentration of </w:t>
            </w:r>
            <w:r w:rsidRPr="00532883">
              <w:rPr>
                <w:rFonts w:cs="Arial"/>
                <w:sz w:val="16"/>
                <w:szCs w:val="16"/>
              </w:rPr>
              <w:t>acetylcysteine</w:t>
            </w:r>
            <w:r w:rsidRPr="00532883">
              <w:rPr>
                <w:rFonts w:cs="Arial"/>
                <w:sz w:val="16"/>
                <w:szCs w:val="16"/>
                <w:lang w:val="en-AU"/>
              </w:rPr>
              <w:t xml:space="preserve"> was reached in 2–3 days during a constant infusion. </w:t>
            </w:r>
            <w:r w:rsidRPr="00532883">
              <w:rPr>
                <w:rFonts w:cs="Arial"/>
                <w:sz w:val="16"/>
                <w:szCs w:val="16"/>
                <w:lang w:val="en-AU"/>
              </w:rPr>
              <w:fldChar w:fldCharType="begin"/>
            </w:r>
            <w:r w:rsidRPr="00532883">
              <w:rPr>
                <w:rFonts w:cs="Arial"/>
                <w:sz w:val="16"/>
                <w:szCs w:val="16"/>
                <w:lang w:val="en-AU"/>
              </w:rPr>
              <w:instrText xml:space="preserve"> ADDIN EN.CITE &lt;EndNote&gt;&lt;Cite&gt;&lt;Author&gt;Ahola&lt;/Author&gt;&lt;Year&gt;1999&lt;/Year&gt;&lt;RecNum&gt;102&lt;/RecNum&gt;&lt;DisplayText&gt;[19]&lt;/DisplayText&gt;&lt;record&gt;&lt;rec-number&gt;102&lt;/rec-number&gt;&lt;foreign-keys&gt;&lt;key app="EN" db-id="dt9vv22vepwxzrevzripe9dd0x5xv0ttrzet" timestamp="1564361069"&gt;102&lt;/key&gt;&lt;/foreign-keys&gt;&lt;ref-type name="Journal Article"&gt;17&lt;/ref-type&gt;&lt;contributors&gt;&lt;authors&gt;&lt;author&gt;Ahola, T.&lt;/author&gt;&lt;author&gt;Fellman, V.&lt;/author&gt;&lt;author&gt;Laaksonen, R.&lt;/author&gt;&lt;author&gt;Laitila, J.&lt;/author&gt;&lt;author&gt;Lapatto, R.&lt;/author&gt;&lt;author&gt;Neuvonen, P. J.&lt;/author&gt;&lt;author&gt;Raivio, K. O.&lt;/author&gt;&lt;/authors&gt;&lt;/contributors&gt;&lt;auth-address&gt;Hospital for Children and Adolescents, Helsinki University Central Hospital, University of Helsinki, Finland. terhi.ahola@helsinki.fi&lt;/auth-address&gt;&lt;titles&gt;&lt;title&gt;Pharmacokinetics of intravenous N-acetylcysteine in pre-term new-born infants&lt;/title&gt;&lt;secondary-title&gt;Eur J Clin Pharmacol&lt;/secondary-title&gt;&lt;/titles&gt;&lt;periodical&gt;&lt;full-title&gt;Eur J Clin Pharmacol&lt;/full-title&gt;&lt;/periodical&gt;&lt;pages&gt;645-50&lt;/pages&gt;&lt;volume&gt;55&lt;/volume&gt;&lt;number&gt;9&lt;/number&gt;&lt;keywords&gt;&lt;keyword&gt;Acetylcysteine/administration &amp;amp; dosage/blood/*pharmacokinetics&lt;/keyword&gt;&lt;keyword&gt;Age Factors&lt;/keyword&gt;&lt;keyword&gt;Antioxidants/administration &amp;amp; dosage/*pharmacokinetics&lt;/keyword&gt;&lt;keyword&gt;Cysteine/blood&lt;/keyword&gt;&lt;keyword&gt;Female&lt;/keyword&gt;&lt;keyword&gt;Free Radical Scavengers/administration &amp;amp; dosage/*pharmacokinetics&lt;/keyword&gt;&lt;keyword&gt;Humans&lt;/keyword&gt;&lt;keyword&gt;Infant, Newborn&lt;/keyword&gt;&lt;keyword&gt;Infant, Premature/blood/*metabolism&lt;/keyword&gt;&lt;keyword&gt;Infusions, Intravenous&lt;/keyword&gt;&lt;keyword&gt;Male&lt;/keyword&gt;&lt;/keywords&gt;&lt;dates&gt;&lt;year&gt;1999&lt;/year&gt;&lt;pub-dates&gt;&lt;date&gt;Nov&lt;/date&gt;&lt;/pub-dates&gt;&lt;/dates&gt;&lt;isbn&gt;0031-6970 (Print)&amp;#xD;0031-6970 (Linking)&lt;/isbn&gt;&lt;accession-num&gt;10638393&lt;/accession-num&gt;&lt;urls&gt;&lt;related-urls&gt;&lt;url&gt;https://www.ncbi.nlm.nih.gov/pubmed/10638393&lt;/url&gt;&lt;/related-urls&gt;&lt;/urls&gt;&lt;/record&gt;&lt;/Cite&gt;&lt;/EndNote&gt;</w:instrText>
            </w:r>
            <w:r w:rsidRPr="00532883">
              <w:rPr>
                <w:rFonts w:cs="Arial"/>
                <w:sz w:val="16"/>
                <w:szCs w:val="16"/>
                <w:lang w:val="en-AU"/>
              </w:rPr>
              <w:fldChar w:fldCharType="separate"/>
            </w:r>
            <w:r w:rsidRPr="00532883">
              <w:rPr>
                <w:rFonts w:cs="Arial"/>
                <w:noProof/>
                <w:sz w:val="16"/>
                <w:szCs w:val="16"/>
                <w:lang w:val="en-AU"/>
              </w:rPr>
              <w:t>[19]</w:t>
            </w:r>
            <w:r w:rsidRPr="00532883">
              <w:rPr>
                <w:rFonts w:cs="Arial"/>
                <w:sz w:val="16"/>
                <w:szCs w:val="16"/>
                <w:lang w:val="en-AU"/>
              </w:rPr>
              <w:fldChar w:fldCharType="end"/>
            </w:r>
            <w:r w:rsidRPr="00532883">
              <w:rPr>
                <w:rFonts w:cs="Arial"/>
                <w:sz w:val="16"/>
                <w:szCs w:val="16"/>
                <w:lang w:val="en-AU"/>
              </w:rPr>
              <w:t xml:space="preserve"> The oral systemic bioavailability of – varied between </w:t>
            </w:r>
            <w:r w:rsidRPr="00532883">
              <w:rPr>
                <w:rFonts w:cs="Arial"/>
                <w:sz w:val="16"/>
                <w:szCs w:val="16"/>
                <w:lang w:val="en-AU"/>
              </w:rPr>
              <w:lastRenderedPageBreak/>
              <w:t xml:space="preserve">6 and 10% in adult volunteers </w:t>
            </w:r>
            <w:r w:rsidRPr="00532883">
              <w:rPr>
                <w:rFonts w:cs="Arial"/>
                <w:sz w:val="16"/>
                <w:szCs w:val="16"/>
                <w:lang w:val="en-AU"/>
              </w:rPr>
              <w:fldChar w:fldCharType="begin">
                <w:fldData xml:space="preserve">PEVuZE5vdGU+PENpdGU+PEF1dGhvcj5PbHNzb248L0F1dGhvcj48WWVhcj4xOTg4PC9ZZWFyPjxS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PEVuZE5vdGU+PENpdGU+PEF1dGhvcj5PbHNzb248L0F1dGhvcj48WWVhcj4xOTg4PC9ZZWFyPjxS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[20, 21]</w:t>
            </w:r>
            <w:r w:rsidRPr="00532883">
              <w:rPr>
                <w:rFonts w:cs="Arial"/>
                <w:sz w:val="16"/>
                <w:szCs w:val="16"/>
                <w:lang w:val="en-AU"/>
              </w:rPr>
              <w:fldChar w:fldCharType="end"/>
            </w:r>
            <w:r w:rsidRPr="00532883">
              <w:rPr>
                <w:rFonts w:cs="Arial"/>
                <w:sz w:val="16"/>
                <w:szCs w:val="16"/>
                <w:lang w:val="en-AU"/>
              </w:rPr>
              <w:t xml:space="preserve">, with first-pass metabolism in the liver limiting systemic concentrations </w:t>
            </w:r>
            <w:r w:rsidRPr="00532883">
              <w:rPr>
                <w:rFonts w:cs="Arial"/>
                <w:sz w:val="16"/>
                <w:szCs w:val="16"/>
                <w:lang w:val="en-AU"/>
              </w:rPr>
              <w:fldChar w:fldCharType="begin">
                <w:fldData xml:space="preserve">PEVuZE5vdGU+PENpdGU+PEF1dGhvcj5CYXRlbWFuPC9BdXRob3I+PFllYXI+MjAxOTwvWWVhcj48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PEVuZE5vdGU+PENpdGU+PEF1dGhvcj5CYXRlbWFuPC9BdXRob3I+PFllYXI+MjAxOTwvWWVhcj48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[18]</w:t>
            </w:r>
            <w:r w:rsidRPr="00532883">
              <w:rPr>
                <w:rFonts w:cs="Arial"/>
                <w:sz w:val="16"/>
                <w:szCs w:val="16"/>
                <w:lang w:val="en-AU"/>
              </w:rPr>
              <w:fldChar w:fldCharType="end"/>
            </w:r>
            <w:r w:rsidRPr="00532883">
              <w:rPr>
                <w:rFonts w:cs="Arial"/>
                <w:sz w:val="16"/>
                <w:szCs w:val="16"/>
                <w:lang w:val="en-AU"/>
              </w:rPr>
              <w:t xml:space="preserve">. </w:t>
            </w:r>
          </w:p>
          <w:p w:rsidRPr="00532883" w:rsidR="008A08E8" w:rsidP="00131848" w:rsidRDefault="008A08E8" w14:paraId="0FC3674C" w14:textId="77777777">
            <w:pPr>
              <w:pStyle w:val="BodyText"/>
              <w:tabs>
                <w:tab w:val="left" w:pos="1168"/>
              </w:tabs>
              <w:rPr>
                <w:rFonts w:cs="Arial"/>
                <w:sz w:val="16"/>
                <w:szCs w:val="16"/>
                <w:lang w:val="en-AU"/>
              </w:rPr>
            </w:pPr>
            <w:r w:rsidRPr="00532883">
              <w:rPr>
                <w:rFonts w:cs="Arial"/>
                <w:i/>
                <w:iCs/>
                <w:sz w:val="16"/>
                <w:szCs w:val="16"/>
                <w:lang w:val="en-AU"/>
              </w:rPr>
              <w:t>In vitro</w:t>
            </w:r>
            <w:r w:rsidRPr="00532883">
              <w:rPr>
                <w:rFonts w:cs="Arial"/>
                <w:sz w:val="16"/>
                <w:szCs w:val="16"/>
                <w:lang w:val="en-AU"/>
              </w:rPr>
              <w:t xml:space="preserve"> experiments on constipated mice and human meconium compared perflubron, surfactant, Tween-80, Gastrografin, Golytely, DNase, </w:t>
            </w:r>
            <w:r w:rsidRPr="00532883">
              <w:rPr>
                <w:rFonts w:cs="Arial"/>
                <w:sz w:val="16"/>
                <w:szCs w:val="16"/>
              </w:rPr>
              <w:t xml:space="preserve">acetylcysteine </w:t>
            </w:r>
            <w:r w:rsidRPr="00532883">
              <w:rPr>
                <w:rFonts w:cs="Arial"/>
                <w:sz w:val="16"/>
                <w:szCs w:val="16"/>
                <w:lang w:val="en-AU"/>
              </w:rPr>
              <w:t xml:space="preserve">4%, Viokase and sodium chloride 0.9% </w:t>
            </w:r>
            <w:r w:rsidRPr="00532883">
              <w:rPr>
                <w:rFonts w:cs="Arial"/>
                <w:sz w:val="16"/>
                <w:szCs w:val="16"/>
                <w:lang w:val="en-AU"/>
              </w:rPr>
              <w:fldChar w:fldCharType="begin">
                <w:fldData xml:space="preserve">PEVuZE5vdGU+PENpdGU+PEF1dGhvcj5CdXJrZTwvQXV0aG9yPjxZZWFyPjIwMDI8L1llYXI+PFJl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PEVuZE5vdGU+PENpdGU+PEF1dGhvcj5CdXJrZTwvQXV0aG9yPjxZZWFyPjIwMDI8L1llYXI+PFJl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[22]</w:t>
            </w:r>
            <w:r w:rsidRPr="00532883">
              <w:rPr>
                <w:rFonts w:cs="Arial"/>
                <w:sz w:val="16"/>
                <w:szCs w:val="16"/>
                <w:lang w:val="en-AU"/>
              </w:rPr>
              <w:fldChar w:fldCharType="end"/>
            </w:r>
            <w:r w:rsidRPr="00532883">
              <w:rPr>
                <w:rFonts w:cs="Arial"/>
                <w:sz w:val="16"/>
                <w:szCs w:val="16"/>
                <w:lang w:val="en-AU"/>
              </w:rPr>
              <w:t xml:space="preserve">. For relieving constipation </w:t>
            </w:r>
            <w:r w:rsidRPr="00532883">
              <w:rPr>
                <w:rFonts w:cs="Arial"/>
                <w:i/>
                <w:iCs/>
                <w:sz w:val="16"/>
                <w:szCs w:val="16"/>
                <w:lang w:val="en-AU"/>
              </w:rPr>
              <w:t>in vivo</w:t>
            </w:r>
            <w:r w:rsidRPr="00532883">
              <w:rPr>
                <w:rFonts w:cs="Arial"/>
                <w:sz w:val="16"/>
                <w:szCs w:val="16"/>
                <w:lang w:val="en-AU"/>
              </w:rPr>
              <w:t xml:space="preserve">, Gastrografin enema was most efficacious. All agents were equally benign to the intestinal mucosa. </w:t>
            </w:r>
            <w:r w:rsidRPr="00532883">
              <w:rPr>
                <w:rFonts w:cs="Arial"/>
                <w:i/>
                <w:iCs/>
                <w:sz w:val="16"/>
                <w:szCs w:val="16"/>
                <w:lang w:val="en-AU"/>
              </w:rPr>
              <w:t>In vitro</w:t>
            </w:r>
            <w:r w:rsidRPr="00532883">
              <w:rPr>
                <w:rFonts w:cs="Arial"/>
                <w:sz w:val="16"/>
                <w:szCs w:val="16"/>
                <w:lang w:val="en-AU"/>
              </w:rPr>
              <w:t xml:space="preserve">, only </w:t>
            </w:r>
            <w:r w:rsidRPr="00532883">
              <w:rPr>
                <w:rFonts w:cs="Arial"/>
                <w:sz w:val="16"/>
                <w:szCs w:val="16"/>
              </w:rPr>
              <w:t xml:space="preserve">acetylcysteine </w:t>
            </w:r>
            <w:r w:rsidRPr="00532883">
              <w:rPr>
                <w:rFonts w:cs="Arial"/>
                <w:sz w:val="16"/>
                <w:szCs w:val="16"/>
                <w:lang w:val="en-AU"/>
              </w:rPr>
              <w:t xml:space="preserve">4% and perflubron were less effective at decreasing meconium viscosity than sodium chloride 0.9%, with </w:t>
            </w:r>
            <w:r w:rsidRPr="00532883">
              <w:rPr>
                <w:rFonts w:cs="Arial"/>
                <w:sz w:val="16"/>
                <w:szCs w:val="16"/>
              </w:rPr>
              <w:t xml:space="preserve">acetylcysteine </w:t>
            </w:r>
            <w:r w:rsidRPr="00532883">
              <w:rPr>
                <w:rFonts w:cs="Arial"/>
                <w:sz w:val="16"/>
                <w:szCs w:val="16"/>
                <w:lang w:val="en-AU"/>
              </w:rPr>
              <w:t xml:space="preserve">4% producing a 69% decrease in viscosity on immediate inspection, but 99% by 6 hours. </w:t>
            </w:r>
          </w:p>
          <w:p w:rsidRPr="00532883" w:rsidR="008A08E8" w:rsidP="00131848" w:rsidRDefault="008A08E8" w14:paraId="565E8CA6" w14:textId="77777777">
            <w:pPr>
              <w:pStyle w:val="BodyText"/>
              <w:tabs>
                <w:tab w:val="left" w:pos="1168"/>
              </w:tabs>
              <w:rPr>
                <w:rFonts w:cs="Arial"/>
                <w:sz w:val="16"/>
                <w:szCs w:val="16"/>
                <w:lang w:val="en-AU"/>
              </w:rPr>
            </w:pPr>
            <w:r w:rsidRPr="00532883">
              <w:rPr>
                <w:rFonts w:cs="Arial"/>
                <w:sz w:val="16"/>
                <w:szCs w:val="16"/>
                <w:lang w:val="en-AU"/>
              </w:rPr>
              <w:t xml:space="preserve">In another study in 48 puppies aged from 3 days to 3 months, </w:t>
            </w:r>
            <w:r w:rsidRPr="00532883">
              <w:rPr>
                <w:rFonts w:cs="Arial"/>
                <w:sz w:val="16"/>
                <w:szCs w:val="16"/>
              </w:rPr>
              <w:t>acetylcysteine</w:t>
            </w:r>
            <w:r w:rsidRPr="00532883">
              <w:rPr>
                <w:rFonts w:cs="Arial"/>
                <w:sz w:val="16"/>
                <w:szCs w:val="16"/>
                <w:lang w:val="en-AU"/>
              </w:rPr>
              <w:t xml:space="preserve"> solutions from 2–20% were compared to </w:t>
            </w:r>
            <w:r w:rsidRPr="00532883">
              <w:rPr>
                <w:rFonts w:cs="Arial"/>
                <w:sz w:val="16"/>
                <w:szCs w:val="16"/>
              </w:rPr>
              <w:t>sodium chloride 0.9%</w:t>
            </w:r>
            <w:r w:rsidRPr="00532883">
              <w:rPr>
                <w:rFonts w:cs="Arial"/>
                <w:sz w:val="16"/>
                <w:szCs w:val="16"/>
                <w:lang w:val="en-AU"/>
              </w:rPr>
              <w:t xml:space="preserve">. Extensive fluid shifts with hyperaemia and multiple haemorrhages of the bowel mucosa were found after exposure to </w:t>
            </w:r>
            <w:r w:rsidRPr="00532883">
              <w:rPr>
                <w:rFonts w:cs="Arial"/>
                <w:sz w:val="16"/>
                <w:szCs w:val="16"/>
              </w:rPr>
              <w:t xml:space="preserve">acetylcysteine </w:t>
            </w:r>
            <w:r w:rsidRPr="00532883">
              <w:rPr>
                <w:rFonts w:cs="Arial"/>
                <w:sz w:val="16"/>
                <w:szCs w:val="16"/>
                <w:lang w:val="en-AU"/>
              </w:rPr>
              <w:t xml:space="preserve">20%, with degree of injury varying inversely with the age and size. The severity of the mucosal injury was less with lower concentrations and there were no adverse events reported with the 4% solution. </w:t>
            </w:r>
            <w:r w:rsidRPr="00532883">
              <w:rPr>
                <w:rFonts w:cs="Arial"/>
                <w:sz w:val="16"/>
                <w:szCs w:val="16"/>
                <w:lang w:val="en-AU"/>
              </w:rPr>
              <w:fldChar w:fldCharType="begin">
                <w:fldData xml:space="preserve">PEVuZE5vdGU+PENpdGU+PEF1dGhvcj5TaGF3PC9BdXRob3I+PFllYXI+MTk2OTwvWWVhcj48UmVj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PEVuZE5vdGU+PENpdGU+PEF1dGhvcj5TaGF3PC9BdXRob3I+PFllYXI+MTk2OTwvWWVhcj48UmVj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[23]</w:t>
            </w:r>
            <w:r w:rsidRPr="00532883">
              <w:rPr>
                <w:rFonts w:cs="Arial"/>
                <w:sz w:val="16"/>
                <w:szCs w:val="16"/>
                <w:lang w:val="en-AU"/>
              </w:rPr>
              <w:fldChar w:fldCharType="end"/>
            </w:r>
          </w:p>
          <w:p w:rsidRPr="00532883" w:rsidR="008A08E8" w:rsidP="00131848" w:rsidRDefault="008A08E8" w14:paraId="0446A56F" w14:textId="77777777">
            <w:pPr>
              <w:pStyle w:val="BodyText"/>
              <w:tabs>
                <w:tab w:val="left" w:pos="1168"/>
              </w:tabs>
              <w:rPr>
                <w:rFonts w:cs="Arial"/>
                <w:sz w:val="16"/>
                <w:szCs w:val="16"/>
                <w:lang w:val="en-AU"/>
              </w:rPr>
            </w:pPr>
          </w:p>
          <w:p w:rsidRPr="00532883" w:rsidR="008A08E8" w:rsidP="00131848" w:rsidRDefault="008A08E8" w14:paraId="254540BC" w14:textId="77777777">
            <w:pPr>
              <w:pStyle w:val="BodyText"/>
              <w:tabs>
                <w:tab w:val="left" w:pos="1168"/>
              </w:tabs>
              <w:rPr>
                <w:rFonts w:cs="Arial"/>
                <w:b/>
                <w:sz w:val="16"/>
                <w:szCs w:val="16"/>
                <w:lang w:val="en-AU"/>
              </w:rPr>
            </w:pPr>
            <w:r w:rsidRPr="00532883">
              <w:rPr>
                <w:rFonts w:cs="Arial"/>
                <w:b/>
                <w:sz w:val="16"/>
                <w:szCs w:val="16"/>
                <w:lang w:val="en-AU"/>
              </w:rPr>
              <w:t>Stability</w:t>
            </w:r>
          </w:p>
          <w:p w:rsidRPr="00532883" w:rsidR="008A08E8" w:rsidP="00131848" w:rsidRDefault="008A08E8" w14:paraId="6CD1229E" w14:textId="77777777">
            <w:pPr>
              <w:pStyle w:val="BodyText"/>
              <w:tabs>
                <w:tab w:val="left" w:pos="1168"/>
              </w:tabs>
              <w:rPr>
                <w:rFonts w:cs="Arial"/>
                <w:sz w:val="16"/>
                <w:szCs w:val="16"/>
                <w:lang w:val="en-AU"/>
              </w:rPr>
            </w:pPr>
            <w:r w:rsidRPr="00532883">
              <w:rPr>
                <w:rFonts w:cs="Arial"/>
                <w:sz w:val="16"/>
                <w:szCs w:val="16"/>
                <w:lang w:val="en-AU"/>
              </w:rPr>
              <w:t>Acetylcysteine 1% (10 mg/mL) and 10% (100 mg/mL) solutions prepared with sodium chloride 0.9% and placed in 2 ounce, amber plastic prescription bottles and stored at 20–25</w:t>
            </w:r>
            <w:r w:rsidRPr="00532883">
              <w:rPr>
                <w:rFonts w:cs="Calibri"/>
                <w:sz w:val="16"/>
                <w:szCs w:val="16"/>
                <w:lang w:val="en-AU"/>
              </w:rPr>
              <w:t>°</w:t>
            </w:r>
            <w:r w:rsidRPr="00532883">
              <w:rPr>
                <w:rFonts w:cs="Arial"/>
                <w:sz w:val="16"/>
                <w:szCs w:val="16"/>
                <w:lang w:val="en-AU"/>
              </w:rPr>
              <w:t xml:space="preserve">C were stable with 90% of the initial concentration of acetylcysteine retained in both formulations for 60 days. Neither solution was stable at day 90. </w:t>
            </w:r>
            <w:r w:rsidRPr="00532883">
              <w:rPr>
                <w:rFonts w:cs="Arial"/>
                <w:sz w:val="16"/>
                <w:szCs w:val="16"/>
                <w:lang w:val="en-AU"/>
              </w:rPr>
              <w:fldChar w:fldCharType="begin">
                <w:fldData xml:space="preserve">PEVuZE5vdGU+PENpdGU+PEF1dGhvcj5Gb2hsPC9BdXRob3I+PFllYXI+MjAxMTwvWWVhcj48UmVj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Pr="00532883">
              <w:rPr>
                <w:rFonts w:cs="Arial"/>
                <w:sz w:val="16"/>
                <w:szCs w:val="16"/>
                <w:lang w:val="en-AU"/>
              </w:rPr>
              <w:instrText xml:space="preserve"> ADDIN EN.CITE </w:instrText>
            </w:r>
            <w:r w:rsidRPr="00532883">
              <w:rPr>
                <w:rFonts w:cs="Arial"/>
                <w:sz w:val="16"/>
                <w:szCs w:val="16"/>
                <w:lang w:val="en-AU"/>
              </w:rPr>
              <w:fldChar w:fldCharType="begin">
                <w:fldData xml:space="preserve">PEVuZE5vdGU+PENpdGU+PEF1dGhvcj5Gb2hsPC9BdXRob3I+PFllYXI+MjAxMTwvWWVhcj48UmVj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</w:fldData>
              </w:fldChar>
            </w:r>
            <w:r w:rsidRPr="00532883">
              <w:rPr>
                <w:rFonts w:cs="Arial"/>
                <w:sz w:val="16"/>
                <w:szCs w:val="16"/>
                <w:lang w:val="en-AU"/>
              </w:rPr>
              <w:instrText xml:space="preserve"> ADDIN EN.CITE.DATA </w:instrText>
            </w:r>
            <w:r w:rsidRPr="00532883">
              <w:rPr>
                <w:rFonts w:cs="Arial"/>
                <w:sz w:val="16"/>
                <w:szCs w:val="16"/>
                <w:lang w:val="en-AU"/>
              </w:rPr>
            </w:r>
            <w:r w:rsidRPr="00532883">
              <w:rPr>
                <w:rFonts w:cs="Arial"/>
                <w:sz w:val="16"/>
                <w:szCs w:val="16"/>
                <w:lang w:val="en-AU"/>
              </w:rPr>
              <w:fldChar w:fldCharType="end"/>
            </w:r>
            <w:r w:rsidRPr="00532883">
              <w:rPr>
                <w:rFonts w:cs="Arial"/>
                <w:sz w:val="16"/>
                <w:szCs w:val="16"/>
                <w:lang w:val="en-AU"/>
              </w:rPr>
            </w:r>
            <w:r w:rsidRPr="00532883">
              <w:rPr>
                <w:rFonts w:cs="Arial"/>
                <w:sz w:val="16"/>
                <w:szCs w:val="16"/>
                <w:lang w:val="en-AU"/>
              </w:rPr>
              <w:fldChar w:fldCharType="separate"/>
            </w:r>
            <w:r w:rsidRPr="00532883">
              <w:rPr>
                <w:rFonts w:cs="Arial"/>
                <w:noProof/>
                <w:sz w:val="16"/>
                <w:szCs w:val="16"/>
                <w:lang w:val="en-AU"/>
              </w:rPr>
              <w:t>[24]</w:t>
            </w:r>
            <w:r w:rsidRPr="00532883">
              <w:rPr>
                <w:rFonts w:cs="Arial"/>
                <w:sz w:val="16"/>
                <w:szCs w:val="16"/>
                <w:lang w:val="en-AU"/>
              </w:rPr>
              <w:fldChar w:fldCharType="end"/>
            </w:r>
          </w:p>
        </w:tc>
      </w:tr>
      <w:tr w:rsidRPr="00A7119E" w:rsidR="008A08E8" w:rsidTr="008A08E8" w14:paraId="5332CD81" w14:textId="77777777">
        <w:trPr>
          <w:trHeight w:val="108"/>
        </w:trPr>
        <w:tc>
          <w:tcPr>
            <w:tcW w:w="2014" w:type="dxa"/>
          </w:tcPr>
          <w:p w:rsidRPr="00A7119E" w:rsidR="008A08E8" w:rsidP="00131848" w:rsidRDefault="008A08E8" w14:paraId="1BA9652F" w14:textId="77777777">
            <w:pPr>
              <w:pStyle w:val="BodyText"/>
              <w:rPr>
                <w:rFonts w:cs="Arial"/>
                <w:b/>
                <w:bCs/>
                <w:sz w:val="20"/>
                <w:lang w:val="en-AU"/>
              </w:rPr>
            </w:pPr>
            <w:r w:rsidRPr="00A7119E">
              <w:rPr>
                <w:rFonts w:cs="Arial"/>
                <w:b/>
                <w:bCs/>
                <w:sz w:val="20"/>
                <w:lang w:val="en-AU"/>
              </w:rPr>
              <w:lastRenderedPageBreak/>
              <w:t>Practice points</w:t>
            </w:r>
          </w:p>
        </w:tc>
        <w:tc>
          <w:tcPr>
            <w:tcW w:w="7229" w:type="dxa"/>
          </w:tcPr>
          <w:p w:rsidRPr="008A08E8" w:rsidR="008A08E8" w:rsidP="00131848" w:rsidRDefault="008A08E8" w14:paraId="4C9B722C" w14:textId="77777777">
            <w:pPr>
              <w:pStyle w:val="BodyText"/>
              <w:tabs>
                <w:tab w:val="left" w:pos="1168"/>
              </w:tabs>
              <w:rPr>
                <w:sz w:val="16"/>
                <w:szCs w:val="16"/>
                <w:lang w:val="en-AU"/>
              </w:rPr>
            </w:pPr>
            <w:r w:rsidRPr="008A08E8">
              <w:rPr>
                <w:sz w:val="16"/>
                <w:szCs w:val="16"/>
                <w:lang w:val="en-AU"/>
              </w:rPr>
              <w:t xml:space="preserve">For enemas, solutions of </w:t>
            </w:r>
            <w:r w:rsidRPr="008A08E8">
              <w:rPr>
                <w:rFonts w:cs="Arial"/>
                <w:sz w:val="16"/>
                <w:szCs w:val="16"/>
              </w:rPr>
              <w:t xml:space="preserve">acetylcysteine </w:t>
            </w:r>
            <w:r w:rsidRPr="008A08E8">
              <w:rPr>
                <w:sz w:val="16"/>
                <w:szCs w:val="16"/>
                <w:lang w:val="en-AU"/>
              </w:rPr>
              <w:t xml:space="preserve">should not exceed 4% to avoid mucosal injury and hypernatraemic dehydration. </w:t>
            </w:r>
          </w:p>
          <w:p w:rsidRPr="008A08E8" w:rsidR="008A08E8" w:rsidP="00131848" w:rsidRDefault="008A08E8" w14:paraId="0277E15F" w14:textId="77777777">
            <w:pPr>
              <w:pStyle w:val="BodyText"/>
              <w:tabs>
                <w:tab w:val="left" w:pos="1168"/>
              </w:tabs>
              <w:rPr>
                <w:sz w:val="16"/>
                <w:szCs w:val="16"/>
                <w:lang w:val="en-AU"/>
              </w:rPr>
            </w:pPr>
            <w:r w:rsidRPr="008A08E8">
              <w:rPr>
                <w:sz w:val="16"/>
                <w:szCs w:val="16"/>
                <w:lang w:val="en-AU"/>
              </w:rPr>
              <w:t>Monitor electrolytes and liver function tests particularly with repeated administration.</w:t>
            </w:r>
          </w:p>
          <w:p w:rsidRPr="008A08E8" w:rsidR="008A08E8" w:rsidP="00131848" w:rsidRDefault="008A08E8" w14:paraId="4C0DB5C1" w14:textId="77777777">
            <w:pPr>
              <w:pStyle w:val="BodyText"/>
              <w:tabs>
                <w:tab w:val="left" w:pos="1168"/>
              </w:tabs>
              <w:rPr>
                <w:sz w:val="16"/>
                <w:szCs w:val="16"/>
                <w:lang w:val="en-AU"/>
              </w:rPr>
            </w:pPr>
            <w:r w:rsidRPr="008A08E8">
              <w:rPr>
                <w:sz w:val="16"/>
                <w:szCs w:val="16"/>
                <w:lang w:val="en-AU"/>
              </w:rPr>
              <w:t xml:space="preserve">There are insufficient data to determine the safety and efficacy of </w:t>
            </w:r>
            <w:r w:rsidRPr="008A08E8">
              <w:rPr>
                <w:rFonts w:cs="Arial"/>
                <w:sz w:val="16"/>
                <w:szCs w:val="16"/>
              </w:rPr>
              <w:t xml:space="preserve">acetylcysteine </w:t>
            </w:r>
            <w:r w:rsidRPr="008A08E8">
              <w:rPr>
                <w:sz w:val="16"/>
                <w:szCs w:val="16"/>
                <w:lang w:val="en-AU"/>
              </w:rPr>
              <w:t>via nasogastric tube or enema for meconium ileus of prematurity and gastric and intestinal milk curd obstruction (lactobezoar) in preterm infants, particularly in respect to other approaches and agents. [LOE IV, GOR D]</w:t>
            </w:r>
          </w:p>
          <w:p w:rsidRPr="008A08E8" w:rsidR="008A08E8" w:rsidP="00131848" w:rsidRDefault="008A08E8" w14:paraId="45028874" w14:textId="77777777">
            <w:pPr>
              <w:pStyle w:val="BodyText"/>
              <w:tabs>
                <w:tab w:val="left" w:pos="1168"/>
              </w:tabs>
              <w:rPr>
                <w:sz w:val="16"/>
                <w:szCs w:val="16"/>
                <w:lang w:val="en-AU"/>
              </w:rPr>
            </w:pPr>
            <w:r w:rsidRPr="008A08E8">
              <w:rPr>
                <w:rFonts w:cs="Arial"/>
                <w:sz w:val="16"/>
                <w:szCs w:val="16"/>
                <w:lang w:val="en-AU"/>
              </w:rPr>
              <w:t>A</w:t>
            </w:r>
            <w:r w:rsidRPr="008A08E8">
              <w:rPr>
                <w:rFonts w:cs="Arial"/>
                <w:sz w:val="16"/>
                <w:szCs w:val="16"/>
              </w:rPr>
              <w:t xml:space="preserve">cetylcysteine </w:t>
            </w:r>
            <w:r w:rsidRPr="008A08E8">
              <w:rPr>
                <w:sz w:val="16"/>
                <w:szCs w:val="16"/>
                <w:lang w:val="en-AU"/>
              </w:rPr>
              <w:t xml:space="preserve"> T-tube ileostomy irrigation has been used for infants with meconium ileus associated with cystic fibrosis. [LOE IV GOR D]</w:t>
            </w:r>
          </w:p>
          <w:p w:rsidRPr="008A08E8" w:rsidR="008A08E8" w:rsidP="00131848" w:rsidRDefault="008A08E8" w14:paraId="0D39A4BB" w14:textId="77777777">
            <w:pPr>
              <w:pStyle w:val="BodyText"/>
              <w:tabs>
                <w:tab w:val="left" w:pos="1168"/>
              </w:tabs>
              <w:rPr>
                <w:sz w:val="16"/>
                <w:szCs w:val="16"/>
                <w:lang w:val="en-AU"/>
              </w:rPr>
            </w:pPr>
            <w:r w:rsidRPr="008A08E8">
              <w:rPr>
                <w:sz w:val="16"/>
                <w:szCs w:val="16"/>
                <w:lang w:val="en-AU"/>
              </w:rPr>
              <w:t xml:space="preserve">The ESPGHAN Cystic Fibrosis Working Group recommend that use of </w:t>
            </w:r>
            <w:r w:rsidRPr="008A08E8">
              <w:rPr>
                <w:rFonts w:cs="Arial"/>
                <w:sz w:val="16"/>
                <w:szCs w:val="16"/>
              </w:rPr>
              <w:t xml:space="preserve">acetylcysteine </w:t>
            </w:r>
            <w:r w:rsidRPr="008A08E8">
              <w:rPr>
                <w:sz w:val="16"/>
                <w:szCs w:val="16"/>
                <w:lang w:val="en-AU"/>
              </w:rPr>
              <w:t xml:space="preserve">administered orally has been superseded by diatrizoic acid (Gastrografin) in children with an acute episode of distal intestinal obstruction </w:t>
            </w:r>
            <w:r w:rsidRPr="008A08E8">
              <w:rPr>
                <w:sz w:val="16"/>
                <w:szCs w:val="16"/>
                <w:lang w:val="en-AU"/>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8A08E8">
              <w:rPr>
                <w:sz w:val="16"/>
                <w:szCs w:val="16"/>
                <w:lang w:val="en-AU"/>
              </w:rPr>
              <w:instrText xml:space="preserve"> ADDIN EN.CITE </w:instrText>
            </w:r>
            <w:r w:rsidRPr="008A08E8">
              <w:rPr>
                <w:sz w:val="16"/>
                <w:szCs w:val="16"/>
                <w:lang w:val="en-AU"/>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8A08E8">
              <w:rPr>
                <w:sz w:val="16"/>
                <w:szCs w:val="16"/>
                <w:lang w:val="en-AU"/>
              </w:rPr>
              <w:instrText xml:space="preserve"> ADDIN EN.CITE.DATA </w:instrText>
            </w:r>
            <w:r w:rsidRPr="008A08E8">
              <w:rPr>
                <w:sz w:val="16"/>
                <w:szCs w:val="16"/>
                <w:lang w:val="en-AU"/>
              </w:rPr>
            </w:r>
            <w:r w:rsidRPr="008A08E8">
              <w:rPr>
                <w:sz w:val="16"/>
                <w:szCs w:val="16"/>
                <w:lang w:val="en-AU"/>
              </w:rPr>
              <w:fldChar w:fldCharType="end"/>
            </w:r>
            <w:r w:rsidRPr="008A08E8">
              <w:rPr>
                <w:sz w:val="16"/>
                <w:szCs w:val="16"/>
                <w:lang w:val="en-AU"/>
              </w:rPr>
            </w:r>
            <w:r w:rsidRPr="008A08E8">
              <w:rPr>
                <w:sz w:val="16"/>
                <w:szCs w:val="16"/>
                <w:lang w:val="en-AU"/>
              </w:rPr>
              <w:fldChar w:fldCharType="separate"/>
            </w:r>
            <w:r w:rsidRPr="008A08E8">
              <w:rPr>
                <w:noProof/>
                <w:sz w:val="16"/>
                <w:szCs w:val="16"/>
                <w:lang w:val="en-AU"/>
              </w:rPr>
              <w:t>[12]</w:t>
            </w:r>
            <w:r w:rsidRPr="008A08E8">
              <w:rPr>
                <w:sz w:val="16"/>
                <w:szCs w:val="16"/>
                <w:lang w:val="en-AU"/>
              </w:rPr>
              <w:fldChar w:fldCharType="end"/>
            </w:r>
            <w:r w:rsidRPr="008A08E8">
              <w:rPr>
                <w:sz w:val="16"/>
                <w:szCs w:val="16"/>
                <w:lang w:val="en-AU"/>
              </w:rPr>
              <w:t xml:space="preserve">. Oral osmotic laxatives containing polyethylene glycol (PEG) or lactulose are recommended alternatives when needed for prophylaxis against DIOS. </w:t>
            </w:r>
            <w:r w:rsidRPr="008A08E8">
              <w:rPr>
                <w:sz w:val="16"/>
                <w:szCs w:val="16"/>
                <w:lang w:val="en-AU"/>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8A08E8">
              <w:rPr>
                <w:sz w:val="16"/>
                <w:szCs w:val="16"/>
                <w:lang w:val="en-AU"/>
              </w:rPr>
              <w:instrText xml:space="preserve"> ADDIN EN.CITE </w:instrText>
            </w:r>
            <w:r w:rsidRPr="008A08E8">
              <w:rPr>
                <w:sz w:val="16"/>
                <w:szCs w:val="16"/>
                <w:lang w:val="en-AU"/>
              </w:rPr>
              <w:fldChar w:fldCharType="begin">
                <w:fldData xml:space="preserve">PEVuZE5vdGU+PENpdGU+PEF1dGhvcj5Db2xvbWJvPC9BdXRob3I+PFllYXI+MjAxMTwvWWVhcj48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</w:fldData>
              </w:fldChar>
            </w:r>
            <w:r w:rsidRPr="008A08E8">
              <w:rPr>
                <w:sz w:val="16"/>
                <w:szCs w:val="16"/>
                <w:lang w:val="en-AU"/>
              </w:rPr>
              <w:instrText xml:space="preserve"> ADDIN EN.CITE.DATA </w:instrText>
            </w:r>
            <w:r w:rsidRPr="008A08E8">
              <w:rPr>
                <w:sz w:val="16"/>
                <w:szCs w:val="16"/>
                <w:lang w:val="en-AU"/>
              </w:rPr>
            </w:r>
            <w:r w:rsidRPr="008A08E8">
              <w:rPr>
                <w:sz w:val="16"/>
                <w:szCs w:val="16"/>
                <w:lang w:val="en-AU"/>
              </w:rPr>
              <w:fldChar w:fldCharType="end"/>
            </w:r>
            <w:r w:rsidRPr="008A08E8">
              <w:rPr>
                <w:sz w:val="16"/>
                <w:szCs w:val="16"/>
                <w:lang w:val="en-AU"/>
              </w:rPr>
            </w:r>
            <w:r w:rsidRPr="008A08E8">
              <w:rPr>
                <w:sz w:val="16"/>
                <w:szCs w:val="16"/>
                <w:lang w:val="en-AU"/>
              </w:rPr>
              <w:fldChar w:fldCharType="separate"/>
            </w:r>
            <w:r w:rsidRPr="008A08E8">
              <w:rPr>
                <w:noProof/>
                <w:sz w:val="16"/>
                <w:szCs w:val="16"/>
                <w:lang w:val="en-AU"/>
              </w:rPr>
              <w:t>[12]</w:t>
            </w:r>
            <w:r w:rsidRPr="008A08E8">
              <w:rPr>
                <w:sz w:val="16"/>
                <w:szCs w:val="16"/>
                <w:lang w:val="en-AU"/>
              </w:rPr>
              <w:fldChar w:fldCharType="end"/>
            </w:r>
            <w:r w:rsidRPr="008A08E8">
              <w:rPr>
                <w:sz w:val="16"/>
                <w:szCs w:val="16"/>
                <w:lang w:val="en-AU"/>
              </w:rPr>
              <w:t xml:space="preserve"> [LOE IV GOR D]</w:t>
            </w:r>
          </w:p>
          <w:p w:rsidRPr="008A08E8" w:rsidR="008A08E8" w:rsidP="00131848" w:rsidRDefault="008A08E8" w14:paraId="7771648F" w14:textId="77777777">
            <w:pPr>
              <w:pStyle w:val="BodyText"/>
              <w:tabs>
                <w:tab w:val="left" w:pos="1168"/>
              </w:tabs>
              <w:rPr>
                <w:sz w:val="16"/>
                <w:szCs w:val="16"/>
                <w:lang w:val="en-AU"/>
              </w:rPr>
            </w:pPr>
            <w:r w:rsidRPr="008A08E8">
              <w:rPr>
                <w:sz w:val="16"/>
                <w:szCs w:val="16"/>
                <w:lang w:val="en-AU"/>
              </w:rPr>
              <w:t xml:space="preserve">There are no published reports of use of </w:t>
            </w:r>
            <w:r w:rsidRPr="008A08E8">
              <w:rPr>
                <w:rFonts w:cs="Arial"/>
                <w:sz w:val="16"/>
                <w:szCs w:val="16"/>
              </w:rPr>
              <w:t xml:space="preserve">acetylcysteine </w:t>
            </w:r>
            <w:r w:rsidRPr="008A08E8">
              <w:rPr>
                <w:sz w:val="16"/>
                <w:szCs w:val="16"/>
                <w:lang w:val="en-AU"/>
              </w:rPr>
              <w:t xml:space="preserve">for irrigation of the upper pouch in infants with oesophageal atresia. </w:t>
            </w:r>
          </w:p>
          <w:p w:rsidRPr="008A08E8" w:rsidR="008A08E8" w:rsidP="00131848" w:rsidRDefault="008A08E8" w14:paraId="542BBEDB" w14:textId="77777777">
            <w:pPr>
              <w:pStyle w:val="BodyText"/>
              <w:tabs>
                <w:tab w:val="left" w:pos="1168"/>
              </w:tabs>
              <w:rPr>
                <w:sz w:val="16"/>
                <w:szCs w:val="16"/>
                <w:lang w:val="en-AU"/>
              </w:rPr>
            </w:pPr>
          </w:p>
          <w:p w:rsidRPr="008A08E8" w:rsidR="008A08E8" w:rsidP="00131848" w:rsidRDefault="008A08E8" w14:paraId="2D45A99B" w14:textId="77777777">
            <w:pPr>
              <w:pStyle w:val="BodyText"/>
              <w:rPr>
                <w:sz w:val="16"/>
                <w:szCs w:val="16"/>
                <w:lang w:val="en-AU"/>
              </w:rPr>
            </w:pPr>
            <w:r w:rsidRPr="008A08E8">
              <w:rPr>
                <w:b/>
                <w:sz w:val="16"/>
                <w:szCs w:val="16"/>
                <w:lang w:val="en-AU"/>
              </w:rPr>
              <w:t>Irrigation of upper oesophageal pouch in tracheo-oesophageal fistula – no reported evidence. For refractory cases with thick secretions not responding to</w:t>
            </w:r>
            <w:r w:rsidRPr="008A08E8">
              <w:rPr>
                <w:b/>
                <w:bCs/>
                <w:sz w:val="16"/>
                <w:szCs w:val="16"/>
                <w:lang w:val="en-AU"/>
              </w:rPr>
              <w:t xml:space="preserve"> </w:t>
            </w:r>
            <w:r w:rsidRPr="008A08E8">
              <w:rPr>
                <w:rFonts w:cs="Arial"/>
                <w:b/>
                <w:bCs/>
                <w:sz w:val="16"/>
                <w:szCs w:val="16"/>
              </w:rPr>
              <w:t>sodium chloride 0.9%</w:t>
            </w:r>
            <w:r w:rsidRPr="008A08E8">
              <w:rPr>
                <w:b/>
                <w:sz w:val="16"/>
                <w:szCs w:val="16"/>
                <w:lang w:val="en-AU"/>
              </w:rPr>
              <w:t xml:space="preserve"> irrigation – subject to surgeon’s approval – </w:t>
            </w:r>
            <w:r w:rsidRPr="008A08E8">
              <w:rPr>
                <w:sz w:val="16"/>
                <w:szCs w:val="16"/>
                <w:lang w:val="en-AU"/>
              </w:rPr>
              <w:t xml:space="preserve">5 mL/hour of </w:t>
            </w:r>
            <w:r w:rsidRPr="008A08E8">
              <w:rPr>
                <w:rFonts w:cs="Arial"/>
                <w:sz w:val="16"/>
                <w:szCs w:val="16"/>
              </w:rPr>
              <w:t xml:space="preserve">acetylcysteine </w:t>
            </w:r>
            <w:r w:rsidRPr="008A08E8">
              <w:rPr>
                <w:b/>
                <w:sz w:val="16"/>
                <w:szCs w:val="16"/>
                <w:lang w:val="en-AU"/>
              </w:rPr>
              <w:t>4%</w:t>
            </w:r>
            <w:r w:rsidRPr="008A08E8">
              <w:rPr>
                <w:sz w:val="16"/>
                <w:szCs w:val="16"/>
                <w:lang w:val="en-AU"/>
              </w:rPr>
              <w:t xml:space="preserve"> through Replogle tube.</w:t>
            </w:r>
          </w:p>
          <w:p w:rsidRPr="008A08E8" w:rsidR="008A08E8" w:rsidP="00131848" w:rsidRDefault="008A08E8" w14:paraId="6488752D" w14:textId="77777777">
            <w:pPr>
              <w:pStyle w:val="BodyText"/>
              <w:rPr>
                <w:sz w:val="16"/>
                <w:szCs w:val="16"/>
                <w:lang w:val="en-AU"/>
              </w:rPr>
            </w:pPr>
            <w:r w:rsidRPr="008A08E8">
              <w:rPr>
                <w:b/>
                <w:sz w:val="16"/>
                <w:szCs w:val="16"/>
                <w:lang w:val="en-AU"/>
              </w:rPr>
              <w:t xml:space="preserve">Preparation of </w:t>
            </w:r>
            <w:r w:rsidRPr="008A08E8">
              <w:rPr>
                <w:rFonts w:cs="Arial"/>
                <w:sz w:val="16"/>
                <w:szCs w:val="16"/>
                <w:lang w:val="en-AU"/>
              </w:rPr>
              <w:t xml:space="preserve">acetylcysteine </w:t>
            </w:r>
            <w:r w:rsidRPr="008A08E8">
              <w:rPr>
                <w:sz w:val="16"/>
                <w:szCs w:val="16"/>
                <w:lang w:val="en-AU"/>
              </w:rPr>
              <w:t xml:space="preserve">4%: Dilute 20mL of </w:t>
            </w:r>
            <w:r w:rsidRPr="008A08E8">
              <w:rPr>
                <w:rFonts w:cs="Arial"/>
                <w:sz w:val="16"/>
                <w:szCs w:val="16"/>
                <w:lang w:val="en-AU"/>
              </w:rPr>
              <w:t xml:space="preserve">acetylcysteine </w:t>
            </w:r>
            <w:r w:rsidRPr="008A08E8">
              <w:rPr>
                <w:sz w:val="16"/>
                <w:szCs w:val="16"/>
                <w:lang w:val="en-AU"/>
              </w:rPr>
              <w:t xml:space="preserve">20% (200 mg/mL) with 80 mL of glucose 5% or sodium chloride 0.9%* to make a final volume of 100 mL with a concentration of </w:t>
            </w:r>
            <w:r w:rsidRPr="008A08E8">
              <w:rPr>
                <w:rFonts w:cs="Arial"/>
                <w:sz w:val="16"/>
                <w:szCs w:val="16"/>
                <w:lang w:val="en-AU"/>
              </w:rPr>
              <w:t xml:space="preserve">acetylcysteine </w:t>
            </w:r>
            <w:r w:rsidRPr="008A08E8">
              <w:rPr>
                <w:sz w:val="16"/>
                <w:szCs w:val="16"/>
                <w:lang w:val="en-AU"/>
              </w:rPr>
              <w:t>4% (40 mg/mL)</w:t>
            </w:r>
          </w:p>
          <w:p w:rsidRPr="008A08E8" w:rsidR="008A08E8" w:rsidP="00131848" w:rsidRDefault="008A08E8" w14:paraId="62041F54" w14:textId="77777777">
            <w:pPr>
              <w:pStyle w:val="BodyText"/>
              <w:rPr>
                <w:rFonts w:cs="Arial"/>
                <w:sz w:val="16"/>
                <w:szCs w:val="16"/>
                <w:lang w:val="en-AU"/>
              </w:rPr>
            </w:pPr>
            <w:r w:rsidRPr="008A08E8">
              <w:rPr>
                <w:sz w:val="16"/>
                <w:szCs w:val="16"/>
                <w:lang w:val="en-AU"/>
              </w:rPr>
              <w:t>*For Acetadote Concentrated Injection – use glucose 5% only.</w:t>
            </w:r>
          </w:p>
        </w:tc>
      </w:tr>
      <w:tr w:rsidRPr="00A7119E" w:rsidR="008A08E8" w:rsidTr="008A08E8" w14:paraId="1A3229B6" w14:textId="77777777">
        <w:trPr>
          <w:trHeight w:val="70"/>
        </w:trPr>
        <w:tc>
          <w:tcPr>
            <w:tcW w:w="2014" w:type="dxa"/>
          </w:tcPr>
          <w:p w:rsidRPr="00A7119E" w:rsidR="008A08E8" w:rsidP="00131848" w:rsidRDefault="008A08E8" w14:paraId="5F02AE98" w14:textId="77777777">
            <w:pPr>
              <w:pStyle w:val="BodyText"/>
              <w:rPr>
                <w:rFonts w:cs="Arial"/>
                <w:b/>
                <w:bCs/>
                <w:sz w:val="20"/>
                <w:lang w:val="en-AU"/>
              </w:rPr>
            </w:pPr>
            <w:r w:rsidRPr="00A7119E">
              <w:rPr>
                <w:b/>
                <w:sz w:val="20"/>
                <w:lang w:val="en-AU"/>
              </w:rPr>
              <w:t>References</w:t>
            </w:r>
          </w:p>
        </w:tc>
        <w:tc>
          <w:tcPr>
            <w:tcW w:w="7229" w:type="dxa"/>
          </w:tcPr>
          <w:p w:rsidRPr="008A08E8" w:rsidR="008A08E8" w:rsidP="008A08E8" w:rsidRDefault="008A08E8" w14:paraId="04F0EA2B" w14:textId="77777777">
            <w:pPr>
              <w:pStyle w:val="ListParagraph"/>
              <w:numPr>
                <w:ilvl w:val="0"/>
                <w:numId w:val="51"/>
              </w:numPr>
              <w:ind w:left="360"/>
              <w:rPr>
                <w:sz w:val="16"/>
                <w:szCs w:val="16"/>
              </w:rPr>
            </w:pPr>
            <w:r w:rsidRPr="008A08E8">
              <w:rPr>
                <w:sz w:val="16"/>
                <w:szCs w:val="16"/>
              </w:rPr>
              <w:t>Garza-Cox S, Keeney SE, Angel CA, Thompson LL, Swischuk LE. Meconium obstruction in the very low birth weight premature infant. Pediatrics. 2004;114:285-90.</w:t>
            </w:r>
          </w:p>
          <w:p w:rsidRPr="008A08E8" w:rsidR="008A08E8" w:rsidP="008A08E8" w:rsidRDefault="008A08E8" w14:paraId="29542B25" w14:textId="77777777">
            <w:pPr>
              <w:pStyle w:val="ListParagraph"/>
              <w:numPr>
                <w:ilvl w:val="0"/>
                <w:numId w:val="51"/>
              </w:numPr>
              <w:ind w:left="360"/>
              <w:rPr>
                <w:sz w:val="16"/>
                <w:szCs w:val="16"/>
              </w:rPr>
            </w:pPr>
            <w:r w:rsidRPr="008A08E8">
              <w:rPr>
                <w:sz w:val="16"/>
                <w:szCs w:val="16"/>
              </w:rPr>
              <w:t>Mak GZ, Harberg FJ, Hiatt P, Deaton A, Calhoon R, Brandt ML. T-tube ileostomy for meconium ileus: four decades of experience. J Pediatr Surg. 2000;35:349-52.</w:t>
            </w:r>
          </w:p>
          <w:p w:rsidRPr="008A08E8" w:rsidR="008A08E8" w:rsidP="008A08E8" w:rsidRDefault="008A08E8" w14:paraId="1D07F4C6" w14:textId="77777777">
            <w:pPr>
              <w:pStyle w:val="ListParagraph"/>
              <w:numPr>
                <w:ilvl w:val="0"/>
                <w:numId w:val="51"/>
              </w:numPr>
              <w:ind w:left="360"/>
              <w:rPr>
                <w:sz w:val="16"/>
                <w:szCs w:val="16"/>
              </w:rPr>
            </w:pPr>
            <w:r w:rsidRPr="008A08E8">
              <w:rPr>
                <w:sz w:val="16"/>
                <w:szCs w:val="16"/>
              </w:rPr>
              <w:t>Nguyen LT, Youssef S, Guttman FM, Laberge JM, Albert D, Doody D. Meconium ileus: is a stoma necessary? J Pediatr Surg. 1986;21:766-8.</w:t>
            </w:r>
          </w:p>
          <w:p w:rsidRPr="008A08E8" w:rsidR="008A08E8" w:rsidP="008A08E8" w:rsidRDefault="008A08E8" w14:paraId="55460A99" w14:textId="77777777">
            <w:pPr>
              <w:pStyle w:val="ListParagraph"/>
              <w:numPr>
                <w:ilvl w:val="0"/>
                <w:numId w:val="51"/>
              </w:numPr>
              <w:ind w:left="360"/>
              <w:rPr>
                <w:sz w:val="16"/>
                <w:szCs w:val="16"/>
              </w:rPr>
            </w:pPr>
            <w:r w:rsidRPr="008A08E8">
              <w:rPr>
                <w:sz w:val="16"/>
                <w:szCs w:val="16"/>
              </w:rPr>
              <w:t>Noblett HR. Treatment of uncomplicated meconium ileus by gastrografin enema: a preliminary report. JPediat Surg. 1969;4:190-7.</w:t>
            </w:r>
          </w:p>
          <w:p w:rsidRPr="008A08E8" w:rsidR="008A08E8" w:rsidP="008A08E8" w:rsidRDefault="008A08E8" w14:paraId="7B117209" w14:textId="77777777">
            <w:pPr>
              <w:pStyle w:val="ListParagraph"/>
              <w:numPr>
                <w:ilvl w:val="0"/>
                <w:numId w:val="51"/>
              </w:numPr>
              <w:ind w:left="360"/>
              <w:rPr>
                <w:sz w:val="16"/>
                <w:szCs w:val="16"/>
              </w:rPr>
            </w:pPr>
            <w:r w:rsidRPr="008A08E8">
              <w:rPr>
                <w:sz w:val="16"/>
                <w:szCs w:val="16"/>
              </w:rPr>
              <w:t>Emil S, Nguyen T, Sills J, Padilla G. Meconium obstruction in extremely low-birth-weight neonates: guidelines for diagnosis and management. J Pediatr Surg. 2004;39:731-7.</w:t>
            </w:r>
          </w:p>
          <w:p w:rsidRPr="008A08E8" w:rsidR="008A08E8" w:rsidP="008A08E8" w:rsidRDefault="008A08E8" w14:paraId="6750B708" w14:textId="77777777">
            <w:pPr>
              <w:pStyle w:val="ListParagraph"/>
              <w:numPr>
                <w:ilvl w:val="0"/>
                <w:numId w:val="51"/>
              </w:numPr>
              <w:ind w:left="360"/>
              <w:rPr>
                <w:sz w:val="16"/>
                <w:szCs w:val="16"/>
              </w:rPr>
            </w:pPr>
            <w:r w:rsidRPr="008A08E8">
              <w:rPr>
                <w:sz w:val="16"/>
                <w:szCs w:val="16"/>
              </w:rPr>
              <w:t>Kadioglu Simsek G, Arayici S, Buyuktiryaki M, Okur N, Kanmaz Kutman G, Suna Oguz S. Oral N-Acetyl Cysteine for Meconium Ileus of Preterm Infants. Gynecol Obstet Reprod Med. 2019;25:169-73.</w:t>
            </w:r>
          </w:p>
          <w:p w:rsidRPr="008A08E8" w:rsidR="008A08E8" w:rsidP="008A08E8" w:rsidRDefault="008A08E8" w14:paraId="1E8AA02D" w14:textId="77777777">
            <w:pPr>
              <w:pStyle w:val="ListParagraph"/>
              <w:numPr>
                <w:ilvl w:val="0"/>
                <w:numId w:val="51"/>
              </w:numPr>
              <w:ind w:left="360"/>
              <w:rPr>
                <w:sz w:val="16"/>
                <w:szCs w:val="16"/>
              </w:rPr>
            </w:pPr>
            <w:r w:rsidRPr="008A08E8">
              <w:rPr>
                <w:sz w:val="16"/>
                <w:szCs w:val="16"/>
              </w:rPr>
              <w:t>Solaz-Garcia AJ, Segovia-Navarro L, Rodriguez de Dios-Benlloch JL, Benavent-Taengua L, Castilla-Rodriguez DY, Company-Morenza MA. Prevention of meconium obstruction in very low birth weight preterm infants. Enferm Intensiva. 2019;30:72-7.</w:t>
            </w:r>
          </w:p>
          <w:p w:rsidRPr="008A08E8" w:rsidR="008A08E8" w:rsidP="008A08E8" w:rsidRDefault="008A08E8" w14:paraId="472F91E6" w14:textId="77777777">
            <w:pPr>
              <w:pStyle w:val="ListParagraph"/>
              <w:numPr>
                <w:ilvl w:val="0"/>
                <w:numId w:val="51"/>
              </w:numPr>
              <w:ind w:left="360"/>
              <w:rPr>
                <w:sz w:val="16"/>
                <w:szCs w:val="16"/>
              </w:rPr>
            </w:pPr>
            <w:r w:rsidRPr="008A08E8">
              <w:rPr>
                <w:sz w:val="16"/>
                <w:szCs w:val="16"/>
              </w:rPr>
              <w:t>Bajorek S, Basaldua R, McGoogan K, Miller C, Sussman CB. Neonatal gastric lactobezoar: management with N-acetylcysteine. Case Rep Pediatr. 2012;2012:412412.</w:t>
            </w:r>
          </w:p>
          <w:p w:rsidRPr="008A08E8" w:rsidR="008A08E8" w:rsidP="008A08E8" w:rsidRDefault="008A08E8" w14:paraId="06FCFD33" w14:textId="77777777">
            <w:pPr>
              <w:pStyle w:val="ListParagraph"/>
              <w:numPr>
                <w:ilvl w:val="0"/>
                <w:numId w:val="51"/>
              </w:numPr>
              <w:ind w:left="360"/>
              <w:rPr>
                <w:sz w:val="16"/>
                <w:szCs w:val="16"/>
              </w:rPr>
            </w:pPr>
            <w:r w:rsidRPr="008A08E8">
              <w:rPr>
                <w:sz w:val="16"/>
                <w:szCs w:val="16"/>
              </w:rPr>
              <w:t>Savva DA, Crist M, Lardieri A. N-Acetylcysteine for Gastric Lactobezoars in a 1-Month-Old. J. 2019;24:247-50.</w:t>
            </w:r>
          </w:p>
          <w:p w:rsidRPr="008A08E8" w:rsidR="008A08E8" w:rsidP="008A08E8" w:rsidRDefault="008A08E8" w14:paraId="328A3C6F" w14:textId="77777777">
            <w:pPr>
              <w:pStyle w:val="ListParagraph"/>
              <w:numPr>
                <w:ilvl w:val="0"/>
                <w:numId w:val="51"/>
              </w:numPr>
              <w:ind w:left="360"/>
              <w:rPr>
                <w:sz w:val="16"/>
                <w:szCs w:val="16"/>
              </w:rPr>
            </w:pPr>
            <w:r w:rsidRPr="008A08E8">
              <w:rPr>
                <w:sz w:val="16"/>
                <w:szCs w:val="16"/>
              </w:rPr>
              <w:t>De La Llana SA, Hanquinet S, Pfister RE. Gastric lactobezoar in a Zidovudin treated ELBW infant. Swiss Medical Weekly. 2013;197):21S.</w:t>
            </w:r>
          </w:p>
          <w:p w:rsidRPr="008A08E8" w:rsidR="008A08E8" w:rsidP="008A08E8" w:rsidRDefault="008A08E8" w14:paraId="7C3D3CEC" w14:textId="77777777">
            <w:pPr>
              <w:pStyle w:val="ListParagraph"/>
              <w:numPr>
                <w:ilvl w:val="0"/>
                <w:numId w:val="51"/>
              </w:numPr>
              <w:ind w:left="360"/>
              <w:rPr>
                <w:sz w:val="16"/>
                <w:szCs w:val="16"/>
              </w:rPr>
            </w:pPr>
            <w:r w:rsidRPr="008A08E8">
              <w:rPr>
                <w:sz w:val="16"/>
                <w:szCs w:val="16"/>
              </w:rPr>
              <w:t>Stanger J, Zwicker K, Albersheim S, Murphy IJJ. Human milk fortifier: An occult cause of bowel obstruction in extremely premature neonates. J Pediatr Surg. 2014;49:724-6.</w:t>
            </w:r>
          </w:p>
          <w:p w:rsidRPr="008A08E8" w:rsidR="008A08E8" w:rsidP="008A08E8" w:rsidRDefault="008A08E8" w14:paraId="54571854" w14:textId="77777777">
            <w:pPr>
              <w:pStyle w:val="ListParagraph"/>
              <w:numPr>
                <w:ilvl w:val="0"/>
                <w:numId w:val="51"/>
              </w:numPr>
              <w:ind w:left="360"/>
              <w:rPr>
                <w:sz w:val="16"/>
                <w:szCs w:val="16"/>
              </w:rPr>
            </w:pPr>
            <w:r w:rsidRPr="008A08E8">
              <w:rPr>
                <w:sz w:val="16"/>
                <w:szCs w:val="16"/>
              </w:rPr>
              <w:t>Colombo C, Ellemunter H, Houwen R, Munck A, Taylor C, Wilschanski M. Guidelines for the diagnosis and management of distal intestinal obstruction syndrome in cystic fibrosis patients. Journal of Cystic Fibrosis. 2011;10:S24-S8.</w:t>
            </w:r>
          </w:p>
          <w:p w:rsidRPr="008A08E8" w:rsidR="008A08E8" w:rsidP="008A08E8" w:rsidRDefault="008A08E8" w14:paraId="2C4D2C41" w14:textId="77777777">
            <w:pPr>
              <w:pStyle w:val="ListParagraph"/>
              <w:numPr>
                <w:ilvl w:val="0"/>
                <w:numId w:val="51"/>
              </w:numPr>
              <w:ind w:left="360"/>
              <w:rPr>
                <w:sz w:val="16"/>
                <w:szCs w:val="16"/>
              </w:rPr>
            </w:pPr>
            <w:r w:rsidRPr="008A08E8">
              <w:rPr>
                <w:sz w:val="16"/>
                <w:szCs w:val="16"/>
              </w:rPr>
              <w:lastRenderedPageBreak/>
              <w:t>Schauble AL, Bisaccia EK, Lee G, Nasr SZ. N-acetylcysteine for Management of Distal Intestinal Obstruction Syndrome. J. 2019;24:390-7.</w:t>
            </w:r>
          </w:p>
          <w:p w:rsidRPr="008A08E8" w:rsidR="008A08E8" w:rsidP="008A08E8" w:rsidRDefault="008A08E8" w14:paraId="27A77602" w14:textId="77777777">
            <w:pPr>
              <w:pStyle w:val="ListParagraph"/>
              <w:numPr>
                <w:ilvl w:val="0"/>
                <w:numId w:val="51"/>
              </w:numPr>
              <w:ind w:left="360"/>
              <w:rPr>
                <w:sz w:val="16"/>
                <w:szCs w:val="16"/>
              </w:rPr>
            </w:pPr>
            <w:r w:rsidRPr="008A08E8">
              <w:rPr>
                <w:sz w:val="16"/>
                <w:szCs w:val="16"/>
              </w:rPr>
              <w:t>Cooke A, Deshpande AV, Wong CK, Cohen R. Hepatic derangement following N-Acetylcysteine enemas in an infant with cystic fibrosis. J Paediatr Child Health. 2008;44:673-5.</w:t>
            </w:r>
          </w:p>
          <w:p w:rsidRPr="008A08E8" w:rsidR="008A08E8" w:rsidP="008A08E8" w:rsidRDefault="008A08E8" w14:paraId="5E66EDA3" w14:textId="77777777">
            <w:pPr>
              <w:pStyle w:val="ListParagraph"/>
              <w:numPr>
                <w:ilvl w:val="0"/>
                <w:numId w:val="51"/>
              </w:numPr>
              <w:ind w:left="360"/>
              <w:rPr>
                <w:sz w:val="16"/>
                <w:szCs w:val="16"/>
              </w:rPr>
            </w:pPr>
            <w:r w:rsidRPr="008A08E8">
              <w:rPr>
                <w:sz w:val="16"/>
                <w:szCs w:val="16"/>
              </w:rPr>
              <w:t>Langer JC, Paes BM, Gray S. Hypernatremia associated with N-acetylcysteine therapy for meconium ileus in a premature infant. CMAJ Canadian Medical Association Journal. 1990;143:202-3.</w:t>
            </w:r>
          </w:p>
          <w:p w:rsidRPr="008A08E8" w:rsidR="008A08E8" w:rsidP="008A08E8" w:rsidRDefault="008A08E8" w14:paraId="2DB767EC" w14:textId="77777777">
            <w:pPr>
              <w:pStyle w:val="ListParagraph"/>
              <w:numPr>
                <w:ilvl w:val="0"/>
                <w:numId w:val="51"/>
              </w:numPr>
              <w:ind w:left="360"/>
              <w:rPr>
                <w:sz w:val="16"/>
                <w:szCs w:val="16"/>
              </w:rPr>
            </w:pPr>
            <w:r w:rsidRPr="008A08E8">
              <w:rPr>
                <w:sz w:val="16"/>
                <w:szCs w:val="16"/>
              </w:rPr>
              <w:t>Bailey DJ, Andres JM. Liver injury after oral and rectal administration of N-acetylcysteine for meconium ileus equivalent in a patient with cystic fibrosis. Pediatrics. 1987;79:281-2.</w:t>
            </w:r>
          </w:p>
          <w:p w:rsidRPr="008A08E8" w:rsidR="008A08E8" w:rsidP="008A08E8" w:rsidRDefault="008A08E8" w14:paraId="701A9D2D" w14:textId="77777777">
            <w:pPr>
              <w:pStyle w:val="ListParagraph"/>
              <w:numPr>
                <w:ilvl w:val="0"/>
                <w:numId w:val="51"/>
              </w:numPr>
              <w:ind w:left="360"/>
              <w:rPr>
                <w:sz w:val="16"/>
                <w:szCs w:val="16"/>
              </w:rPr>
            </w:pPr>
            <w:r w:rsidRPr="008A08E8">
              <w:rPr>
                <w:sz w:val="16"/>
                <w:szCs w:val="16"/>
              </w:rPr>
              <w:t>Prescott L. Oral or intravenous N-acetylcysteine for acetaminophen poisoning? Annals of emergency medicine. 2005;45:409-13.</w:t>
            </w:r>
          </w:p>
          <w:p w:rsidRPr="008A08E8" w:rsidR="008A08E8" w:rsidP="008A08E8" w:rsidRDefault="008A08E8" w14:paraId="480CBC63" w14:textId="77777777">
            <w:pPr>
              <w:pStyle w:val="ListParagraph"/>
              <w:numPr>
                <w:ilvl w:val="0"/>
                <w:numId w:val="51"/>
              </w:numPr>
              <w:ind w:left="360"/>
              <w:rPr>
                <w:sz w:val="16"/>
                <w:szCs w:val="16"/>
              </w:rPr>
            </w:pPr>
            <w:r w:rsidRPr="008A08E8">
              <w:rPr>
                <w:sz w:val="16"/>
                <w:szCs w:val="16"/>
              </w:rPr>
              <w:t>Bateman DN, Dear JW. Acetylcysteine in paracetamol poisoning: A perspective of 45 years of use. Toxicology Research. 2019;8:489-98.</w:t>
            </w:r>
          </w:p>
          <w:p w:rsidRPr="008A08E8" w:rsidR="008A08E8" w:rsidP="008A08E8" w:rsidRDefault="008A08E8" w14:paraId="2BA3F151" w14:textId="77777777">
            <w:pPr>
              <w:pStyle w:val="ListParagraph"/>
              <w:numPr>
                <w:ilvl w:val="0"/>
                <w:numId w:val="51"/>
              </w:numPr>
              <w:ind w:left="360"/>
              <w:rPr>
                <w:sz w:val="16"/>
                <w:szCs w:val="16"/>
              </w:rPr>
            </w:pPr>
            <w:r w:rsidRPr="008A08E8">
              <w:rPr>
                <w:sz w:val="16"/>
                <w:szCs w:val="16"/>
              </w:rPr>
              <w:t>Ahola T, Fellman V, Laaksonen R, Laitila J, Lapatto R, Neuvonen PJ, Raivio KO. Pharmacokinetics of intravenous N-acetylcysteine in pre-term new-born infants. Eur J Clin Pharmacol. 1999;55:645-50.</w:t>
            </w:r>
          </w:p>
          <w:p w:rsidRPr="008A08E8" w:rsidR="008A08E8" w:rsidP="008A08E8" w:rsidRDefault="008A08E8" w14:paraId="4B6D719D" w14:textId="77777777">
            <w:pPr>
              <w:pStyle w:val="ListParagraph"/>
              <w:numPr>
                <w:ilvl w:val="0"/>
                <w:numId w:val="51"/>
              </w:numPr>
              <w:ind w:left="360"/>
              <w:rPr>
                <w:sz w:val="16"/>
                <w:szCs w:val="16"/>
              </w:rPr>
            </w:pPr>
            <w:r w:rsidRPr="008A08E8">
              <w:rPr>
                <w:sz w:val="16"/>
                <w:szCs w:val="16"/>
              </w:rPr>
              <w:t>Olsson B, Johansson M, Gabrielsson J, Bolme P. Pharmacokinetics and bioavailability of reduced and oxidized N-acetylcysteine. European Journal of Clinical Pharmacology. 1988;34:77-82.</w:t>
            </w:r>
          </w:p>
          <w:p w:rsidRPr="008A08E8" w:rsidR="008A08E8" w:rsidP="008A08E8" w:rsidRDefault="008A08E8" w14:paraId="40AC6EEC" w14:textId="77777777">
            <w:pPr>
              <w:pStyle w:val="ListParagraph"/>
              <w:numPr>
                <w:ilvl w:val="0"/>
                <w:numId w:val="51"/>
              </w:numPr>
              <w:ind w:left="360"/>
              <w:rPr>
                <w:sz w:val="16"/>
                <w:szCs w:val="16"/>
              </w:rPr>
            </w:pPr>
            <w:r w:rsidRPr="008A08E8">
              <w:rPr>
                <w:sz w:val="16"/>
                <w:szCs w:val="16"/>
              </w:rPr>
              <w:t>Borgstrom L, Kagedal B, Paulsen O. Pharmacokinetics of N-acetylcysteine in man. European Journal of Clinical Pharmacology. 1986;31:217-22.</w:t>
            </w:r>
          </w:p>
          <w:p w:rsidRPr="008A08E8" w:rsidR="008A08E8" w:rsidP="008A08E8" w:rsidRDefault="008A08E8" w14:paraId="32283A3D" w14:textId="77777777">
            <w:pPr>
              <w:pStyle w:val="ListParagraph"/>
              <w:numPr>
                <w:ilvl w:val="0"/>
                <w:numId w:val="51"/>
              </w:numPr>
              <w:ind w:left="360"/>
              <w:rPr>
                <w:sz w:val="16"/>
                <w:szCs w:val="16"/>
              </w:rPr>
            </w:pPr>
            <w:r w:rsidRPr="008A08E8">
              <w:rPr>
                <w:sz w:val="16"/>
                <w:szCs w:val="16"/>
              </w:rPr>
              <w:t>Burke MS, Ragi JM, Karamanoukian HL, Kotter M, Brisseau GF, Borowitz DS, Ryan ME, Irish MS, Glick PL. New strategies in nonoperative management of meconium ileus. J Pediatr Surg. 2002;37:760-4.</w:t>
            </w:r>
          </w:p>
          <w:p w:rsidRPr="008A08E8" w:rsidR="008A08E8" w:rsidP="008A08E8" w:rsidRDefault="008A08E8" w14:paraId="4C4EFC38" w14:textId="77777777">
            <w:pPr>
              <w:pStyle w:val="ListParagraph"/>
              <w:numPr>
                <w:ilvl w:val="0"/>
                <w:numId w:val="51"/>
              </w:numPr>
              <w:ind w:left="360"/>
              <w:rPr>
                <w:sz w:val="16"/>
                <w:szCs w:val="16"/>
              </w:rPr>
            </w:pPr>
            <w:r w:rsidRPr="008A08E8">
              <w:rPr>
                <w:sz w:val="16"/>
                <w:szCs w:val="16"/>
              </w:rPr>
              <w:t>Shaw A. Safety of N-acetylcysteine in treatment of meconium obstruction of the newborn. J Pediatr Surg. 1969;4:119-25.</w:t>
            </w:r>
          </w:p>
          <w:p w:rsidRPr="008A08E8" w:rsidR="008A08E8" w:rsidP="008A08E8" w:rsidRDefault="008A08E8" w14:paraId="0D2EC3D1" w14:textId="77777777">
            <w:pPr>
              <w:pStyle w:val="ListParagraph"/>
              <w:numPr>
                <w:ilvl w:val="0"/>
                <w:numId w:val="51"/>
              </w:numPr>
              <w:ind w:left="360"/>
              <w:rPr>
                <w:sz w:val="16"/>
                <w:szCs w:val="16"/>
              </w:rPr>
            </w:pPr>
            <w:r w:rsidRPr="008A08E8">
              <w:rPr>
                <w:sz w:val="16"/>
                <w:szCs w:val="16"/>
              </w:rPr>
              <w:t>Fohl AL, Johnson CE, Cober MP. Stability of extemporaneously prepared acetylcysteine 1% and 10% solutions for treatment of meconium ileus. Am J Health-Syst Pharm. 2011;68:69-72.</w:t>
            </w:r>
          </w:p>
          <w:p w:rsidRPr="008A08E8" w:rsidR="008A08E8" w:rsidP="008A08E8" w:rsidRDefault="008A08E8" w14:paraId="561AE9BD" w14:textId="77777777">
            <w:pPr>
              <w:pStyle w:val="ListParagraph"/>
              <w:numPr>
                <w:ilvl w:val="0"/>
                <w:numId w:val="51"/>
              </w:numPr>
              <w:ind w:left="360"/>
              <w:rPr>
                <w:sz w:val="16"/>
                <w:szCs w:val="16"/>
              </w:rPr>
            </w:pPr>
            <w:r w:rsidRPr="008A08E8">
              <w:rPr>
                <w:sz w:val="16"/>
                <w:szCs w:val="16"/>
              </w:rPr>
              <w:t>Society of Hospital Pharmacists of Australia, Australian Injectable Drugs Handbook,  8</w:t>
            </w:r>
            <w:r w:rsidRPr="008A08E8">
              <w:rPr>
                <w:sz w:val="16"/>
                <w:szCs w:val="16"/>
                <w:vertAlign w:val="superscript"/>
              </w:rPr>
              <w:t>th</w:t>
            </w:r>
            <w:r w:rsidRPr="008A08E8">
              <w:rPr>
                <w:sz w:val="16"/>
                <w:szCs w:val="16"/>
              </w:rPr>
              <w:t xml:space="preserve"> Edition 2020. Accessed 26/02/2020.</w:t>
            </w:r>
          </w:p>
          <w:p w:rsidRPr="008A08E8" w:rsidR="008A08E8" w:rsidP="008A08E8" w:rsidRDefault="008A08E8" w14:paraId="6185D611" w14:textId="77777777">
            <w:pPr>
              <w:pStyle w:val="ListParagraph"/>
              <w:numPr>
                <w:ilvl w:val="0"/>
                <w:numId w:val="51"/>
              </w:numPr>
              <w:ind w:left="360"/>
              <w:rPr>
                <w:sz w:val="16"/>
                <w:szCs w:val="16"/>
              </w:rPr>
            </w:pPr>
            <w:r w:rsidRPr="008A08E8">
              <w:rPr>
                <w:sz w:val="16"/>
                <w:szCs w:val="16"/>
              </w:rPr>
              <w:t>Product Information. Acetadote Concentrated Injection (Solution for infusion). MIMS online. Accessed 26/02/2020.</w:t>
            </w:r>
          </w:p>
          <w:p w:rsidRPr="008A08E8" w:rsidR="008A08E8" w:rsidP="008A08E8" w:rsidRDefault="008A08E8" w14:paraId="66724548" w14:textId="77777777">
            <w:pPr>
              <w:pStyle w:val="ListParagraph"/>
              <w:numPr>
                <w:ilvl w:val="0"/>
                <w:numId w:val="51"/>
              </w:numPr>
              <w:ind w:left="360"/>
              <w:rPr>
                <w:sz w:val="16"/>
                <w:szCs w:val="16"/>
              </w:rPr>
            </w:pPr>
            <w:r w:rsidRPr="008A08E8">
              <w:rPr>
                <w:sz w:val="16"/>
                <w:szCs w:val="16"/>
              </w:rPr>
              <w:t>Product Information. Acetylcysteine-Link Concentrate for infusion. MIMS online. Accessed 26/02/2020.</w:t>
            </w:r>
          </w:p>
          <w:p w:rsidRPr="008A08E8" w:rsidR="008A08E8" w:rsidP="008A08E8" w:rsidRDefault="008A08E8" w14:paraId="48D8C5B4" w14:textId="77777777">
            <w:pPr>
              <w:pStyle w:val="ListParagraph"/>
              <w:numPr>
                <w:ilvl w:val="0"/>
                <w:numId w:val="51"/>
              </w:numPr>
              <w:ind w:left="360"/>
              <w:rPr>
                <w:sz w:val="16"/>
                <w:szCs w:val="16"/>
              </w:rPr>
            </w:pPr>
            <w:r w:rsidRPr="008A08E8">
              <w:rPr>
                <w:sz w:val="16"/>
                <w:szCs w:val="16"/>
              </w:rPr>
              <w:t>Product Information. DBL Acetylcysteine Injection Concentrate. MIMS online. Accessed 26/02/2020.</w:t>
            </w:r>
          </w:p>
          <w:p w:rsidRPr="008A08E8" w:rsidR="008A08E8" w:rsidP="008A08E8" w:rsidRDefault="008A08E8" w14:paraId="3F256F78" w14:textId="77777777">
            <w:pPr>
              <w:pStyle w:val="ListParagraph"/>
              <w:numPr>
                <w:ilvl w:val="0"/>
                <w:numId w:val="51"/>
              </w:numPr>
              <w:ind w:left="360"/>
              <w:rPr>
                <w:sz w:val="16"/>
                <w:szCs w:val="16"/>
              </w:rPr>
            </w:pPr>
            <w:r w:rsidRPr="008A08E8">
              <w:rPr>
                <w:sz w:val="16"/>
                <w:szCs w:val="16"/>
              </w:rPr>
              <w:t>Cystic fibrosis manual – Children’s Hospital at Westmead practice guideline. Accessed on 6 March 2020.</w:t>
            </w:r>
          </w:p>
        </w:tc>
      </w:tr>
    </w:tbl>
    <w:p w:rsidR="009469DB" w:rsidP="006F0321" w:rsidRDefault="009469DB" w14:paraId="553921F7" w14:textId="77777777"/>
    <w:p w:rsidRPr="00E25790" w:rsidR="000C6D1E" w:rsidP="006F0321" w:rsidRDefault="000C6D1E" w14:paraId="1CA15E0C" w14:textId="77777777"/>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72"/>
        <w:gridCol w:w="4695"/>
      </w:tblGrid>
      <w:tr w:rsidRPr="003A7895" w:rsidR="00470527" w:rsidTr="0010214E" w14:paraId="2253295A" w14:textId="77777777">
        <w:tc>
          <w:tcPr>
            <w:tcW w:w="4372" w:type="dxa"/>
            <w:vAlign w:val="center"/>
          </w:tcPr>
          <w:p w:rsidRPr="003A7895" w:rsidR="00470527" w:rsidP="0010214E" w:rsidRDefault="00470527" w14:paraId="1B517329" w14:textId="2191AC37">
            <w:r>
              <w:t xml:space="preserve">Original version Date: </w:t>
            </w:r>
            <w:r w:rsidR="002C3F10">
              <w:t>26/</w:t>
            </w:r>
            <w:r w:rsidR="00FD4745">
              <w:t>3/2020</w:t>
            </w:r>
          </w:p>
        </w:tc>
        <w:tc>
          <w:tcPr>
            <w:tcW w:w="4695" w:type="dxa"/>
            <w:vAlign w:val="center"/>
          </w:tcPr>
          <w:p w:rsidRPr="003A7895" w:rsidR="00470527" w:rsidP="0010214E" w:rsidRDefault="00470527" w14:paraId="1EBBB673" w14:textId="77777777">
            <w:r>
              <w:t>Author: NMF Consensus Group</w:t>
            </w:r>
          </w:p>
        </w:tc>
      </w:tr>
      <w:tr w:rsidRPr="003A7895" w:rsidR="00470527" w:rsidTr="0010214E" w14:paraId="3183C1E9" w14:textId="77777777">
        <w:tc>
          <w:tcPr>
            <w:tcW w:w="4372" w:type="dxa"/>
            <w:vAlign w:val="center"/>
          </w:tcPr>
          <w:p w:rsidRPr="003A7895" w:rsidR="00470527" w:rsidP="0010214E" w:rsidRDefault="00470527" w14:paraId="6B6637C9" w14:textId="11CF6C8F">
            <w:pPr>
              <w:rPr>
                <w:bCs/>
              </w:rPr>
            </w:pPr>
            <w:r w:rsidRPr="003A7895">
              <w:t xml:space="preserve">Current Version number:  </w:t>
            </w:r>
            <w:r w:rsidR="008A08E8">
              <w:t>2</w:t>
            </w:r>
            <w:r>
              <w:t>.0</w:t>
            </w:r>
          </w:p>
        </w:tc>
        <w:tc>
          <w:tcPr>
            <w:tcW w:w="4695" w:type="dxa"/>
            <w:vAlign w:val="center"/>
          </w:tcPr>
          <w:p w:rsidRPr="003A7895" w:rsidR="00470527" w:rsidP="0010214E" w:rsidRDefault="00470527" w14:paraId="4B770EE8" w14:textId="30B49F8A">
            <w:r>
              <w:t xml:space="preserve">Current </w:t>
            </w:r>
            <w:r w:rsidRPr="003A7895">
              <w:t>Version Date</w:t>
            </w:r>
            <w:r w:rsidRPr="00CE7642">
              <w:t xml:space="preserve">:  </w:t>
            </w:r>
            <w:r w:rsidR="008A08E8">
              <w:t>18-6-2021</w:t>
            </w:r>
          </w:p>
        </w:tc>
      </w:tr>
      <w:tr w:rsidRPr="003A7895" w:rsidR="00470527" w:rsidTr="0010214E" w14:paraId="7ADE9D83" w14:textId="77777777">
        <w:tc>
          <w:tcPr>
            <w:tcW w:w="4372" w:type="dxa"/>
            <w:vAlign w:val="center"/>
          </w:tcPr>
          <w:p w:rsidRPr="003A7895" w:rsidR="00470527" w:rsidP="0010214E" w:rsidRDefault="00470527" w14:paraId="26B2C324" w14:textId="6D307772">
            <w:r>
              <w:t xml:space="preserve">Risk Rating: </w:t>
            </w:r>
            <w:r w:rsidR="009417A0">
              <w:t>Low</w:t>
            </w:r>
          </w:p>
        </w:tc>
        <w:tc>
          <w:tcPr>
            <w:tcW w:w="4695" w:type="dxa"/>
            <w:vAlign w:val="center"/>
          </w:tcPr>
          <w:p w:rsidRPr="003A7895" w:rsidR="00470527" w:rsidP="0010214E" w:rsidRDefault="00470527" w14:paraId="32F4F819" w14:textId="3D9D22FC">
            <w:r w:rsidRPr="003A7895">
              <w:t xml:space="preserve">Due for Review:  </w:t>
            </w:r>
            <w:r w:rsidR="008A08E8">
              <w:t>18-6-2026</w:t>
            </w:r>
          </w:p>
        </w:tc>
      </w:tr>
      <w:tr w:rsidRPr="003A7895" w:rsidR="00470527" w:rsidTr="0010214E" w14:paraId="4310CB90" w14:textId="77777777">
        <w:trPr>
          <w:trHeight w:val="344"/>
        </w:trPr>
        <w:tc>
          <w:tcPr>
            <w:tcW w:w="4372" w:type="dxa"/>
            <w:tcBorders>
              <w:bottom w:val="single" w:color="auto" w:sz="4" w:space="0"/>
            </w:tcBorders>
            <w:vAlign w:val="center"/>
          </w:tcPr>
          <w:p w:rsidRPr="003A7895" w:rsidR="00470527" w:rsidP="0010214E" w:rsidRDefault="00470527" w14:paraId="494DA0E7" w14:textId="7B4D573E">
            <w:r w:rsidRPr="003A7895">
              <w:t>Approv</w:t>
            </w:r>
            <w:r>
              <w:t xml:space="preserve">al </w:t>
            </w:r>
            <w:r w:rsidRPr="003A7895">
              <w:t>by</w:t>
            </w:r>
            <w:r>
              <w:t xml:space="preserve">: </w:t>
            </w:r>
            <w:r w:rsidR="007137E0">
              <w:t>DTC</w:t>
            </w:r>
          </w:p>
        </w:tc>
        <w:tc>
          <w:tcPr>
            <w:tcW w:w="4695" w:type="dxa"/>
            <w:tcBorders>
              <w:bottom w:val="single" w:color="auto" w:sz="4" w:space="0"/>
            </w:tcBorders>
            <w:vAlign w:val="center"/>
          </w:tcPr>
          <w:p w:rsidRPr="003A7895" w:rsidR="00470527" w:rsidP="0010214E" w:rsidRDefault="00470527" w14:paraId="42229090" w14:textId="0B23AA2D">
            <w:r w:rsidRPr="003A7895">
              <w:t>Approval Date:</w:t>
            </w:r>
            <w:r w:rsidR="004D623B">
              <w:t xml:space="preserve"> </w:t>
            </w:r>
            <w:r w:rsidR="00260BC8">
              <w:t>APRIL 2021</w:t>
            </w:r>
          </w:p>
        </w:tc>
      </w:tr>
    </w:tbl>
    <w:p w:rsidRPr="00E25790" w:rsidR="00115F48" w:rsidP="006F0321" w:rsidRDefault="00115F48" w14:paraId="75A1A0D0" w14:textId="77777777"/>
    <w:p w:rsidRPr="00E25790" w:rsidR="00115F48" w:rsidP="006F0321" w:rsidRDefault="00115F48" w14:paraId="156B094D" w14:textId="77777777">
      <w:r w:rsidRPr="00E25790">
        <w:br w:type="page"/>
      </w:r>
    </w:p>
    <w:tbl>
      <w:tblPr>
        <w:tblW w:w="9049" w:type="dxa"/>
        <w:tblLayout w:type="fixed"/>
        <w:tblLook w:val="0000" w:firstRow="0" w:lastRow="0" w:firstColumn="0" w:lastColumn="0" w:noHBand="0" w:noVBand="0"/>
      </w:tblPr>
      <w:tblGrid>
        <w:gridCol w:w="4146"/>
        <w:gridCol w:w="4903"/>
      </w:tblGrid>
      <w:tr w:rsidRPr="00E25790" w:rsidR="00E424B4" w:rsidTr="00C56F85" w14:paraId="1AF3D894"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46508B11" w14:textId="77777777">
            <w:pPr>
              <w:pStyle w:val="Heading1"/>
            </w:pPr>
            <w:bookmarkStart w:name="_Toc389021504" w:id="39"/>
            <w:bookmarkStart w:name="_Toc495415461" w:id="40"/>
            <w:bookmarkStart w:name="_Toc495481066" w:id="41"/>
            <w:bookmarkStart w:name="_Toc495481192" w:id="42"/>
            <w:bookmarkStart w:name="_Toc495481317" w:id="43"/>
            <w:bookmarkStart w:name="_Toc495501498" w:id="44"/>
            <w:bookmarkStart w:name="_Toc38106800" w:id="45"/>
            <w:bookmarkStart w:name="_Toc75339923" w:id="46"/>
            <w:r w:rsidRPr="00E25790">
              <w:lastRenderedPageBreak/>
              <w:t>Aciclovir</w:t>
            </w:r>
            <w:bookmarkEnd w:id="39"/>
            <w:bookmarkEnd w:id="40"/>
            <w:bookmarkEnd w:id="41"/>
            <w:bookmarkEnd w:id="42"/>
            <w:bookmarkEnd w:id="43"/>
            <w:bookmarkEnd w:id="44"/>
            <w:bookmarkEnd w:id="45"/>
            <w:bookmarkEnd w:id="46"/>
            <w:r w:rsidRPr="00E25790">
              <w:fldChar w:fldCharType="begin"/>
            </w:r>
            <w:r w:rsidRPr="00E25790">
              <w:instrText>tc "Aciclovir" \l 0</w:instrText>
            </w:r>
            <w:r w:rsidRPr="00E25790">
              <w:fldChar w:fldCharType="end"/>
            </w:r>
          </w:p>
        </w:tc>
      </w:tr>
      <w:tr w:rsidRPr="00E25790" w:rsidR="00301F45" w:rsidTr="00C56F85" w14:paraId="36ABD305" w14:textId="77777777">
        <w:trPr>
          <w:cantSplit/>
          <w:trHeight w:val="480"/>
        </w:trPr>
        <w:tc>
          <w:tcPr>
            <w:tcW w:w="4146"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17C87199" w14:textId="42F70153">
            <w:r w:rsidRPr="00E25790">
              <w:t>Revision Date</w:t>
            </w:r>
            <w:r w:rsidRPr="00E25790">
              <w:rPr>
                <w:b/>
              </w:rPr>
              <w:t xml:space="preserve"> : </w:t>
            </w:r>
            <w:r w:rsidR="002227A5">
              <w:rPr>
                <w:b/>
              </w:rPr>
              <w:t>18-6-2021</w:t>
            </w:r>
          </w:p>
        </w:tc>
        <w:tc>
          <w:tcPr>
            <w:tcW w:w="4903"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534920" w14:paraId="7FBAA729" w14:textId="77777777">
            <w:r w:rsidRPr="00E25790">
              <w:t xml:space="preserve">Approved : </w:t>
            </w:r>
            <w:r w:rsidR="0027099A">
              <w:t>TC, KOH</w:t>
            </w:r>
          </w:p>
        </w:tc>
      </w:tr>
    </w:tbl>
    <w:p w:rsidR="00115F48" w:rsidP="006F0321" w:rsidRDefault="00115F48" w14:paraId="7440B1DF" w14:textId="55FF277C"/>
    <w:tbl>
      <w:tblPr>
        <w:tblW w:w="518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37"/>
        <w:gridCol w:w="7514"/>
      </w:tblGrid>
      <w:tr w:rsidRPr="003B78EA" w:rsidR="00532883" w:rsidTr="00532883" w14:paraId="33DB0A32" w14:textId="77777777">
        <w:trPr>
          <w:trHeight w:val="263"/>
        </w:trPr>
        <w:tc>
          <w:tcPr>
            <w:tcW w:w="982" w:type="pct"/>
          </w:tcPr>
          <w:p w:rsidRPr="003B78EA" w:rsidR="002227A5" w:rsidP="00131848" w:rsidRDefault="002227A5" w14:paraId="18FAAC77"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018" w:type="pct"/>
          </w:tcPr>
          <w:p w:rsidR="002227A5" w:rsidP="00131848" w:rsidRDefault="002227A5" w14:paraId="63B70681" w14:textId="77777777">
            <w:pPr>
              <w:pStyle w:val="BodyText"/>
              <w:rPr>
                <w:rFonts w:cs="Arial"/>
                <w:sz w:val="20"/>
              </w:rPr>
            </w:pPr>
            <w:r>
              <w:rPr>
                <w:rFonts w:cs="Arial"/>
                <w:sz w:val="20"/>
              </w:rPr>
              <w:t>High risk medicine.</w:t>
            </w:r>
          </w:p>
          <w:p w:rsidRPr="00214F9A" w:rsidR="002227A5" w:rsidP="00131848" w:rsidRDefault="002227A5" w14:paraId="7F816252" w14:textId="77777777">
            <w:pPr>
              <w:pStyle w:val="BodyText"/>
              <w:rPr>
                <w:rFonts w:cs="Arial"/>
                <w:sz w:val="20"/>
              </w:rPr>
            </w:pPr>
            <w:r w:rsidRPr="00214F9A">
              <w:rPr>
                <w:rFonts w:cs="Arial"/>
                <w:sz w:val="20"/>
              </w:rPr>
              <w:t>Increased risk of renal impairment if there is concomitant use of other nephrotoxic drugs, pre-existing renal disease or dehydration.</w:t>
            </w:r>
          </w:p>
          <w:p w:rsidRPr="00214F9A" w:rsidR="002227A5" w:rsidP="00131848" w:rsidRDefault="002227A5" w14:paraId="21A5CD5D" w14:textId="77777777">
            <w:pPr>
              <w:pStyle w:val="BodyText"/>
              <w:rPr>
                <w:rFonts w:cs="Arial"/>
                <w:sz w:val="20"/>
              </w:rPr>
            </w:pPr>
            <w:r>
              <w:rPr>
                <w:rFonts w:cs="Arial"/>
                <w:sz w:val="20"/>
              </w:rPr>
              <w:t>T</w:t>
            </w:r>
            <w:r w:rsidRPr="00214F9A">
              <w:rPr>
                <w:rFonts w:cs="Arial"/>
                <w:sz w:val="20"/>
              </w:rPr>
              <w:t xml:space="preserve">urbidity or crystallisation may occur </w:t>
            </w:r>
            <w:r>
              <w:rPr>
                <w:rFonts w:cs="Arial"/>
                <w:sz w:val="20"/>
              </w:rPr>
              <w:t>e</w:t>
            </w:r>
            <w:r w:rsidRPr="00214F9A">
              <w:rPr>
                <w:rFonts w:cs="Arial"/>
                <w:sz w:val="20"/>
              </w:rPr>
              <w:t>ven when mixed with compatible fluids. Discard preparation if this occurs before or during the infusion.</w:t>
            </w:r>
          </w:p>
          <w:p w:rsidRPr="003B78EA" w:rsidR="002227A5" w:rsidP="00131848" w:rsidRDefault="002227A5" w14:paraId="70C44013" w14:textId="77777777">
            <w:pPr>
              <w:pStyle w:val="BodyText"/>
              <w:rPr>
                <w:rFonts w:asciiTheme="minorHAnsi" w:hAnsiTheme="minorHAnsi" w:cstheme="minorHAnsi"/>
                <w:sz w:val="20"/>
              </w:rPr>
            </w:pPr>
            <w:r>
              <w:rPr>
                <w:rFonts w:cs="Arial"/>
                <w:sz w:val="20"/>
              </w:rPr>
              <w:t>H</w:t>
            </w:r>
            <w:r w:rsidRPr="00214F9A">
              <w:rPr>
                <w:rFonts w:cs="Arial"/>
                <w:sz w:val="20"/>
              </w:rPr>
              <w:t>ighly alkaline and IV extravasation can cause severe tissue damage.</w:t>
            </w:r>
          </w:p>
        </w:tc>
      </w:tr>
      <w:tr w:rsidRPr="003B78EA" w:rsidR="00532883" w:rsidTr="00532883" w14:paraId="460AD866" w14:textId="77777777">
        <w:trPr>
          <w:trHeight w:val="263"/>
        </w:trPr>
        <w:tc>
          <w:tcPr>
            <w:tcW w:w="982" w:type="pct"/>
          </w:tcPr>
          <w:p w:rsidRPr="003B78EA" w:rsidR="002227A5" w:rsidP="00131848" w:rsidRDefault="002227A5" w14:paraId="7522EC37"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018" w:type="pct"/>
          </w:tcPr>
          <w:p w:rsidR="002227A5" w:rsidP="00131848" w:rsidRDefault="002227A5" w14:paraId="57CCE1D4" w14:textId="77777777">
            <w:pPr>
              <w:rPr>
                <w:sz w:val="20"/>
              </w:rPr>
            </w:pPr>
            <w:r w:rsidRPr="008C69D9">
              <w:rPr>
                <w:sz w:val="20"/>
              </w:rPr>
              <w:t>Treatment of neonatal herpes simplex virus (HSV) infection</w:t>
            </w:r>
            <w:r>
              <w:rPr>
                <w:sz w:val="20"/>
              </w:rPr>
              <w:t>.</w:t>
            </w:r>
          </w:p>
          <w:p w:rsidR="002227A5" w:rsidP="00131848" w:rsidRDefault="002227A5" w14:paraId="6A0078ED" w14:textId="77777777">
            <w:pPr>
              <w:rPr>
                <w:sz w:val="20"/>
              </w:rPr>
            </w:pPr>
            <w:r>
              <w:rPr>
                <w:sz w:val="20"/>
              </w:rPr>
              <w:t xml:space="preserve">Treatment of </w:t>
            </w:r>
            <w:r w:rsidRPr="008C69D9">
              <w:rPr>
                <w:sz w:val="20"/>
              </w:rPr>
              <w:t>varicella zoster virus (VZV) infection</w:t>
            </w:r>
          </w:p>
          <w:p w:rsidRPr="003B78EA" w:rsidR="002227A5" w:rsidP="00131848" w:rsidRDefault="002227A5" w14:paraId="2F2C000E" w14:textId="77777777">
            <w:pPr>
              <w:rPr>
                <w:rFonts w:asciiTheme="minorHAnsi" w:hAnsiTheme="minorHAnsi" w:cstheme="minorHAnsi"/>
                <w:sz w:val="20"/>
              </w:rPr>
            </w:pPr>
            <w:r w:rsidRPr="008C69D9">
              <w:rPr>
                <w:sz w:val="20"/>
              </w:rPr>
              <w:t xml:space="preserve">HSV suppression </w:t>
            </w:r>
            <w:r>
              <w:rPr>
                <w:sz w:val="20"/>
              </w:rPr>
              <w:t xml:space="preserve">following treatment </w:t>
            </w:r>
            <w:r w:rsidRPr="008C69D9">
              <w:rPr>
                <w:sz w:val="20"/>
              </w:rPr>
              <w:t>to prevent CNS sequelae.</w:t>
            </w:r>
          </w:p>
        </w:tc>
      </w:tr>
      <w:tr w:rsidRPr="003B78EA" w:rsidR="00532883" w:rsidTr="00532883" w14:paraId="07FD3A74" w14:textId="77777777">
        <w:trPr>
          <w:trHeight w:val="263"/>
        </w:trPr>
        <w:tc>
          <w:tcPr>
            <w:tcW w:w="982" w:type="pct"/>
          </w:tcPr>
          <w:p w:rsidRPr="003B78EA" w:rsidR="002227A5" w:rsidP="00131848" w:rsidRDefault="002227A5" w14:paraId="291CAD8D"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018" w:type="pct"/>
          </w:tcPr>
          <w:p w:rsidRPr="003B78EA" w:rsidR="002227A5" w:rsidP="00131848" w:rsidRDefault="002227A5" w14:paraId="4C3AD4A9" w14:textId="77777777">
            <w:pPr>
              <w:rPr>
                <w:rFonts w:asciiTheme="minorHAnsi" w:hAnsiTheme="minorHAnsi" w:cstheme="minorHAnsi"/>
                <w:sz w:val="20"/>
              </w:rPr>
            </w:pPr>
            <w:r>
              <w:rPr>
                <w:rFonts w:cs="Arial"/>
                <w:sz w:val="20"/>
              </w:rPr>
              <w:t>I</w:t>
            </w:r>
            <w:r w:rsidRPr="008C69D9">
              <w:rPr>
                <w:rFonts w:cs="Arial"/>
                <w:sz w:val="20"/>
              </w:rPr>
              <w:t>nhibit</w:t>
            </w:r>
            <w:r>
              <w:rPr>
                <w:rFonts w:cs="Arial"/>
                <w:sz w:val="20"/>
              </w:rPr>
              <w:t>s</w:t>
            </w:r>
            <w:r w:rsidRPr="008C69D9">
              <w:rPr>
                <w:rFonts w:cs="Arial"/>
                <w:sz w:val="20"/>
              </w:rPr>
              <w:t xml:space="preserve"> viral DNA synthesis</w:t>
            </w:r>
            <w:r>
              <w:rPr>
                <w:rFonts w:cs="Arial"/>
                <w:sz w:val="20"/>
              </w:rPr>
              <w:t xml:space="preserve"> when </w:t>
            </w:r>
            <w:r w:rsidRPr="008C69D9">
              <w:rPr>
                <w:rFonts w:cs="Arial"/>
                <w:sz w:val="20"/>
              </w:rPr>
              <w:t>activated in infected cells</w:t>
            </w:r>
            <w:r>
              <w:rPr>
                <w:rFonts w:cs="Arial"/>
                <w:sz w:val="20"/>
              </w:rPr>
              <w:t>.</w:t>
            </w:r>
          </w:p>
        </w:tc>
      </w:tr>
      <w:tr w:rsidRPr="003B78EA" w:rsidR="00532883" w:rsidTr="00532883" w14:paraId="46B49AB6" w14:textId="77777777">
        <w:trPr>
          <w:trHeight w:val="263"/>
        </w:trPr>
        <w:tc>
          <w:tcPr>
            <w:tcW w:w="982" w:type="pct"/>
          </w:tcPr>
          <w:p w:rsidRPr="003B78EA" w:rsidR="002227A5" w:rsidP="00131848" w:rsidRDefault="002227A5" w14:paraId="18B82C90"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018" w:type="pct"/>
          </w:tcPr>
          <w:p w:rsidRPr="003B78EA" w:rsidR="002227A5" w:rsidP="00131848" w:rsidRDefault="002227A5" w14:paraId="6C926188" w14:textId="77777777">
            <w:pPr>
              <w:pStyle w:val="BodyText"/>
              <w:rPr>
                <w:rFonts w:asciiTheme="minorHAnsi" w:hAnsiTheme="minorHAnsi" w:cstheme="minorHAnsi"/>
                <w:sz w:val="20"/>
              </w:rPr>
            </w:pPr>
            <w:r w:rsidRPr="00214F9A">
              <w:rPr>
                <w:rFonts w:cs="Arial"/>
                <w:sz w:val="20"/>
              </w:rPr>
              <w:t>Antiviral</w:t>
            </w:r>
          </w:p>
        </w:tc>
      </w:tr>
      <w:tr w:rsidRPr="003B78EA" w:rsidR="00532883" w:rsidTr="00532883" w14:paraId="71BB2112" w14:textId="77777777">
        <w:trPr>
          <w:trHeight w:val="263"/>
        </w:trPr>
        <w:tc>
          <w:tcPr>
            <w:tcW w:w="982" w:type="pct"/>
          </w:tcPr>
          <w:p w:rsidRPr="003B78EA" w:rsidR="002227A5" w:rsidP="00131848" w:rsidRDefault="002227A5" w14:paraId="19A01F25"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018" w:type="pct"/>
          </w:tcPr>
          <w:p w:rsidRPr="00214F9A" w:rsidR="002227A5" w:rsidP="00131848" w:rsidRDefault="002227A5" w14:paraId="2ED79EEA" w14:textId="77777777">
            <w:pPr>
              <w:pStyle w:val="BodyText"/>
              <w:rPr>
                <w:rFonts w:cs="Arial"/>
                <w:sz w:val="20"/>
              </w:rPr>
            </w:pPr>
            <w:r w:rsidRPr="00214F9A">
              <w:rPr>
                <w:rFonts w:cs="Arial"/>
                <w:sz w:val="20"/>
              </w:rPr>
              <w:t>IV: Aciclovir Sandoz, DBL, Pfizer</w:t>
            </w:r>
          </w:p>
          <w:p w:rsidRPr="003B78EA" w:rsidR="002227A5" w:rsidP="00131848" w:rsidRDefault="002227A5" w14:paraId="20F853FF" w14:textId="77777777">
            <w:pPr>
              <w:pStyle w:val="BodyText"/>
              <w:rPr>
                <w:rFonts w:asciiTheme="minorHAnsi" w:hAnsiTheme="minorHAnsi" w:cstheme="minorHAnsi"/>
                <w:sz w:val="20"/>
              </w:rPr>
            </w:pPr>
            <w:r w:rsidRPr="00214F9A">
              <w:rPr>
                <w:rFonts w:cs="Arial"/>
                <w:sz w:val="20"/>
              </w:rPr>
              <w:t xml:space="preserve">Oral: Aciclovir GH, Aciclovir Sandoz, </w:t>
            </w:r>
            <w:r>
              <w:rPr>
                <w:rFonts w:cs="Arial"/>
                <w:sz w:val="20"/>
              </w:rPr>
              <w:t xml:space="preserve">Acihexal, </w:t>
            </w:r>
            <w:r w:rsidRPr="00214F9A">
              <w:rPr>
                <w:rFonts w:cs="Arial"/>
                <w:sz w:val="20"/>
              </w:rPr>
              <w:t>Acyclo-V, Chemmart Aciclovir, GenRx Aciclovir, Lovir, Ozvir, Pharmacor Aciclovir, Terry White Chemists Aciclovir, Zovirax</w:t>
            </w:r>
          </w:p>
        </w:tc>
      </w:tr>
      <w:tr w:rsidRPr="003B78EA" w:rsidR="00532883" w:rsidTr="00532883" w14:paraId="47341420" w14:textId="77777777">
        <w:trPr>
          <w:trHeight w:val="263"/>
        </w:trPr>
        <w:tc>
          <w:tcPr>
            <w:tcW w:w="982" w:type="pct"/>
          </w:tcPr>
          <w:p w:rsidRPr="003B78EA" w:rsidR="002227A5" w:rsidP="00131848" w:rsidRDefault="002227A5" w14:paraId="32F09BA9"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018" w:type="pct"/>
          </w:tcPr>
          <w:p w:rsidRPr="00214F9A" w:rsidR="002227A5" w:rsidP="00131848" w:rsidRDefault="002227A5" w14:paraId="5390806E" w14:textId="77777777">
            <w:pPr>
              <w:pStyle w:val="BodyText"/>
              <w:rPr>
                <w:rFonts w:cs="Arial"/>
                <w:sz w:val="20"/>
              </w:rPr>
            </w:pPr>
            <w:r w:rsidRPr="00214F9A">
              <w:rPr>
                <w:rFonts w:cs="Arial"/>
                <w:sz w:val="20"/>
              </w:rPr>
              <w:t>IV: Aciclovir DBL, Pfizer:</w:t>
            </w:r>
            <w:r>
              <w:rPr>
                <w:rFonts w:cs="Arial"/>
                <w:sz w:val="20"/>
              </w:rPr>
              <w:t xml:space="preserve"> </w:t>
            </w:r>
            <w:r w:rsidRPr="00214F9A">
              <w:rPr>
                <w:rFonts w:cs="Arial"/>
                <w:sz w:val="20"/>
              </w:rPr>
              <w:t>250</w:t>
            </w:r>
            <w:r>
              <w:rPr>
                <w:rFonts w:cs="Arial"/>
                <w:sz w:val="20"/>
              </w:rPr>
              <w:t xml:space="preserve"> </w:t>
            </w:r>
            <w:r w:rsidRPr="00214F9A">
              <w:rPr>
                <w:rFonts w:cs="Arial"/>
                <w:sz w:val="20"/>
              </w:rPr>
              <w:t>mg/10</w:t>
            </w:r>
            <w:r>
              <w:rPr>
                <w:rFonts w:cs="Arial"/>
                <w:sz w:val="20"/>
              </w:rPr>
              <w:t xml:space="preserve"> </w:t>
            </w:r>
            <w:r w:rsidRPr="00214F9A">
              <w:rPr>
                <w:rFonts w:cs="Arial"/>
                <w:sz w:val="20"/>
              </w:rPr>
              <w:t>mL ampoule,</w:t>
            </w:r>
            <w:r>
              <w:rPr>
                <w:rFonts w:cs="Arial"/>
                <w:sz w:val="20"/>
              </w:rPr>
              <w:t xml:space="preserve"> </w:t>
            </w:r>
            <w:r w:rsidRPr="00214F9A">
              <w:rPr>
                <w:rFonts w:cs="Arial"/>
                <w:sz w:val="20"/>
              </w:rPr>
              <w:t>500</w:t>
            </w:r>
            <w:r>
              <w:rPr>
                <w:rFonts w:cs="Arial"/>
                <w:sz w:val="20"/>
              </w:rPr>
              <w:t xml:space="preserve"> </w:t>
            </w:r>
            <w:r w:rsidRPr="00214F9A">
              <w:rPr>
                <w:rFonts w:cs="Arial"/>
                <w:sz w:val="20"/>
              </w:rPr>
              <w:t>mg/20</w:t>
            </w:r>
            <w:r>
              <w:rPr>
                <w:rFonts w:cs="Arial"/>
                <w:sz w:val="20"/>
              </w:rPr>
              <w:t xml:space="preserve"> </w:t>
            </w:r>
            <w:r w:rsidRPr="00214F9A">
              <w:rPr>
                <w:rFonts w:cs="Arial"/>
                <w:sz w:val="20"/>
              </w:rPr>
              <w:t xml:space="preserve">mL ampoule </w:t>
            </w:r>
          </w:p>
          <w:p w:rsidRPr="00214F9A" w:rsidR="002227A5" w:rsidP="00131848" w:rsidRDefault="002227A5" w14:paraId="699BD439" w14:textId="77777777">
            <w:pPr>
              <w:pStyle w:val="BodyText"/>
              <w:rPr>
                <w:rFonts w:cs="Arial"/>
                <w:sz w:val="20"/>
              </w:rPr>
            </w:pPr>
            <w:r w:rsidRPr="00214F9A">
              <w:rPr>
                <w:rFonts w:cs="Arial"/>
                <w:sz w:val="20"/>
              </w:rPr>
              <w:t>Aciclovir Sandoz: 250</w:t>
            </w:r>
            <w:r>
              <w:rPr>
                <w:rFonts w:cs="Arial"/>
                <w:sz w:val="20"/>
              </w:rPr>
              <w:t xml:space="preserve"> </w:t>
            </w:r>
            <w:r w:rsidRPr="00214F9A">
              <w:rPr>
                <w:rFonts w:cs="Arial"/>
                <w:sz w:val="20"/>
              </w:rPr>
              <w:t>mg, 500</w:t>
            </w:r>
            <w:r>
              <w:rPr>
                <w:rFonts w:cs="Arial"/>
                <w:sz w:val="20"/>
              </w:rPr>
              <w:t xml:space="preserve"> </w:t>
            </w:r>
            <w:r w:rsidRPr="00214F9A">
              <w:rPr>
                <w:rFonts w:cs="Arial"/>
                <w:sz w:val="20"/>
              </w:rPr>
              <w:t>mg vial (powder for reconstitution)</w:t>
            </w:r>
          </w:p>
          <w:p w:rsidRPr="003B78EA" w:rsidR="002227A5" w:rsidP="00131848" w:rsidRDefault="002227A5" w14:paraId="1A298DDD" w14:textId="77777777">
            <w:pPr>
              <w:pStyle w:val="BodyText"/>
              <w:rPr>
                <w:rFonts w:asciiTheme="minorHAnsi" w:hAnsiTheme="minorHAnsi" w:cstheme="minorHAnsi"/>
                <w:sz w:val="20"/>
              </w:rPr>
            </w:pPr>
            <w:r w:rsidRPr="00214F9A">
              <w:rPr>
                <w:rFonts w:cs="Arial"/>
                <w:sz w:val="20"/>
              </w:rPr>
              <w:t>Oral: 200mg, 400mg, 800mg tablets (Acyclo-V, Lovir, Ozvir, Zovirax</w:t>
            </w:r>
            <w:r w:rsidRPr="00214F9A">
              <w:rPr>
                <w:rFonts w:cs="Arial"/>
                <w:sz w:val="20"/>
              </w:rPr>
              <w:cr/>
              <w:t xml:space="preserve"> brands are dispersible)</w:t>
            </w:r>
          </w:p>
        </w:tc>
      </w:tr>
      <w:tr w:rsidRPr="003B78EA" w:rsidR="00532883" w:rsidTr="00532883" w14:paraId="06BB6E75" w14:textId="77777777">
        <w:trPr>
          <w:trHeight w:val="263"/>
        </w:trPr>
        <w:tc>
          <w:tcPr>
            <w:tcW w:w="982" w:type="pct"/>
          </w:tcPr>
          <w:p w:rsidRPr="003B78EA" w:rsidR="002227A5" w:rsidP="00131848" w:rsidRDefault="002227A5" w14:paraId="33F4FC59"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018" w:type="pct"/>
          </w:tcPr>
          <w:p w:rsidRPr="00214F9A" w:rsidR="002227A5" w:rsidP="00131848" w:rsidRDefault="002227A5" w14:paraId="5881AB50" w14:textId="77777777">
            <w:pPr>
              <w:pStyle w:val="BodyText"/>
              <w:rPr>
                <w:b/>
                <w:sz w:val="20"/>
              </w:rPr>
            </w:pPr>
            <w:r w:rsidRPr="00214F9A">
              <w:rPr>
                <w:b/>
                <w:sz w:val="20"/>
              </w:rPr>
              <w:t>Treatment of HSV and VZV</w:t>
            </w:r>
          </w:p>
          <w:p w:rsidR="002227A5" w:rsidP="00131848" w:rsidRDefault="002227A5" w14:paraId="0195F2C2" w14:textId="77777777">
            <w:pPr>
              <w:pStyle w:val="BodyText"/>
              <w:ind w:left="33" w:hanging="33"/>
              <w:rPr>
                <w:sz w:val="20"/>
              </w:rPr>
            </w:pPr>
            <w:r w:rsidRPr="007D1E87">
              <w:rPr>
                <w:b/>
                <w:sz w:val="20"/>
              </w:rPr>
              <w:t>IV</w:t>
            </w:r>
            <w:r w:rsidRPr="00214F9A">
              <w:rPr>
                <w:sz w:val="20"/>
              </w:rPr>
              <w:t xml:space="preserve"> 20 mg/kg/dose 8 hourly</w:t>
            </w:r>
          </w:p>
          <w:p w:rsidR="002227A5" w:rsidP="00131848" w:rsidRDefault="002227A5" w14:paraId="708EB605" w14:textId="77777777">
            <w:pPr>
              <w:pStyle w:val="BodyText"/>
              <w:rPr>
                <w:sz w:val="20"/>
              </w:rPr>
            </w:pPr>
            <w:r w:rsidRPr="00214F9A">
              <w:rPr>
                <w:sz w:val="20"/>
              </w:rPr>
              <w:t xml:space="preserve">Consider 12 hourly dosing </w:t>
            </w:r>
            <w:r>
              <w:rPr>
                <w:sz w:val="20"/>
              </w:rPr>
              <w:t xml:space="preserve">in infants </w:t>
            </w:r>
            <w:r w:rsidRPr="00214F9A">
              <w:rPr>
                <w:sz w:val="20"/>
              </w:rPr>
              <w:t>&lt;30 weeks corrected age</w:t>
            </w:r>
            <w:r>
              <w:rPr>
                <w:sz w:val="20"/>
              </w:rPr>
              <w:t xml:space="preserve"> </w:t>
            </w:r>
            <w:r w:rsidRPr="00214F9A">
              <w:rPr>
                <w:sz w:val="20"/>
              </w:rPr>
              <w:t>where HSV or VSV is not confirmed.</w:t>
            </w:r>
          </w:p>
          <w:p w:rsidR="002227A5" w:rsidP="00131848" w:rsidRDefault="002227A5" w14:paraId="2DE9CAD7" w14:textId="77777777">
            <w:pPr>
              <w:pStyle w:val="BodyText"/>
              <w:rPr>
                <w:sz w:val="20"/>
              </w:rPr>
            </w:pPr>
          </w:p>
          <w:p w:rsidR="002227A5" w:rsidP="00131848" w:rsidRDefault="002227A5" w14:paraId="7D176435" w14:textId="77777777">
            <w:pPr>
              <w:pStyle w:val="BodyText"/>
              <w:rPr>
                <w:b/>
                <w:sz w:val="20"/>
              </w:rPr>
            </w:pPr>
            <w:r w:rsidRPr="00214F9A">
              <w:rPr>
                <w:b/>
                <w:sz w:val="20"/>
              </w:rPr>
              <w:t>Duration of therapy</w:t>
            </w:r>
            <w:r>
              <w:rPr>
                <w:b/>
                <w:sz w:val="20"/>
              </w:rPr>
              <w:t xml:space="preserve"> (expert recommendation)</w:t>
            </w:r>
          </w:p>
          <w:tbl>
            <w:tblPr>
              <w:tblStyle w:val="TableGrid"/>
              <w:tblW w:w="5668" w:type="dxa"/>
              <w:tblLook w:val="04A0" w:firstRow="1" w:lastRow="0" w:firstColumn="1" w:lastColumn="0" w:noHBand="0" w:noVBand="1"/>
            </w:tblPr>
            <w:tblGrid>
              <w:gridCol w:w="3967"/>
              <w:gridCol w:w="1701"/>
            </w:tblGrid>
            <w:tr w:rsidR="002227A5" w:rsidTr="00C56F85" w14:paraId="4E13C4BF" w14:textId="77777777">
              <w:tc>
                <w:tcPr>
                  <w:tcW w:w="3967" w:type="dxa"/>
                </w:tcPr>
                <w:p w:rsidR="002227A5" w:rsidP="00131848" w:rsidRDefault="002227A5" w14:paraId="056C37C0" w14:textId="77777777">
                  <w:pPr>
                    <w:pStyle w:val="BodyText"/>
                    <w:rPr>
                      <w:b/>
                      <w:sz w:val="20"/>
                    </w:rPr>
                  </w:pPr>
                  <w:r>
                    <w:rPr>
                      <w:sz w:val="20"/>
                    </w:rPr>
                    <w:t>L</w:t>
                  </w:r>
                  <w:r w:rsidRPr="00214F9A">
                    <w:rPr>
                      <w:sz w:val="20"/>
                    </w:rPr>
                    <w:t>aboratory or clinically confirmed HSV confined to skin, eye, and mouth</w:t>
                  </w:r>
                </w:p>
              </w:tc>
              <w:tc>
                <w:tcPr>
                  <w:tcW w:w="1701" w:type="dxa"/>
                </w:tcPr>
                <w:p w:rsidR="002227A5" w:rsidP="00131848" w:rsidRDefault="002227A5" w14:paraId="23A362D8" w14:textId="77777777">
                  <w:pPr>
                    <w:pStyle w:val="BodyText"/>
                    <w:rPr>
                      <w:b/>
                      <w:sz w:val="20"/>
                    </w:rPr>
                  </w:pPr>
                  <w:r w:rsidRPr="00214F9A">
                    <w:rPr>
                      <w:sz w:val="20"/>
                    </w:rPr>
                    <w:t>10</w:t>
                  </w:r>
                  <w:r>
                    <w:rPr>
                      <w:sz w:val="20"/>
                    </w:rPr>
                    <w:t>–</w:t>
                  </w:r>
                  <w:r w:rsidRPr="00214F9A">
                    <w:rPr>
                      <w:sz w:val="20"/>
                    </w:rPr>
                    <w:t>14 days</w:t>
                  </w:r>
                </w:p>
              </w:tc>
            </w:tr>
            <w:tr w:rsidR="002227A5" w:rsidTr="00C56F85" w14:paraId="0F065A72" w14:textId="77777777">
              <w:tc>
                <w:tcPr>
                  <w:tcW w:w="3967" w:type="dxa"/>
                </w:tcPr>
                <w:p w:rsidR="002227A5" w:rsidP="00131848" w:rsidRDefault="002227A5" w14:paraId="676FA9C7" w14:textId="77777777">
                  <w:pPr>
                    <w:pStyle w:val="BodyText"/>
                    <w:rPr>
                      <w:b/>
                      <w:sz w:val="20"/>
                    </w:rPr>
                  </w:pPr>
                  <w:r w:rsidRPr="00214F9A">
                    <w:rPr>
                      <w:sz w:val="20"/>
                    </w:rPr>
                    <w:t>HSV encephalitis or disseminated disease</w:t>
                  </w:r>
                </w:p>
              </w:tc>
              <w:tc>
                <w:tcPr>
                  <w:tcW w:w="1701" w:type="dxa"/>
                </w:tcPr>
                <w:p w:rsidR="002227A5" w:rsidP="00131848" w:rsidRDefault="002227A5" w14:paraId="41D121B1" w14:textId="77777777">
                  <w:pPr>
                    <w:pStyle w:val="BodyText"/>
                    <w:rPr>
                      <w:b/>
                      <w:sz w:val="20"/>
                    </w:rPr>
                  </w:pPr>
                  <w:r w:rsidRPr="00214F9A">
                    <w:rPr>
                      <w:sz w:val="20"/>
                    </w:rPr>
                    <w:t>21 days</w:t>
                  </w:r>
                </w:p>
              </w:tc>
            </w:tr>
            <w:tr w:rsidR="002227A5" w:rsidTr="00C56F85" w14:paraId="1BE1A2CD" w14:textId="77777777">
              <w:tc>
                <w:tcPr>
                  <w:tcW w:w="3967" w:type="dxa"/>
                </w:tcPr>
                <w:p w:rsidR="002227A5" w:rsidP="00131848" w:rsidRDefault="002227A5" w14:paraId="01C88469" w14:textId="77777777">
                  <w:pPr>
                    <w:pStyle w:val="BodyText"/>
                    <w:rPr>
                      <w:b/>
                      <w:sz w:val="20"/>
                    </w:rPr>
                  </w:pPr>
                  <w:r>
                    <w:rPr>
                      <w:sz w:val="20"/>
                    </w:rPr>
                    <w:t>P</w:t>
                  </w:r>
                  <w:r w:rsidRPr="00214F9A">
                    <w:rPr>
                      <w:sz w:val="20"/>
                    </w:rPr>
                    <w:t>re-emptive therapy (high</w:t>
                  </w:r>
                  <w:r>
                    <w:rPr>
                      <w:sz w:val="20"/>
                    </w:rPr>
                    <w:t>-</w:t>
                  </w:r>
                  <w:r w:rsidRPr="00214F9A">
                    <w:rPr>
                      <w:sz w:val="20"/>
                    </w:rPr>
                    <w:t>risk asymptomatic infant without laboratory confirmed infection)</w:t>
                  </w:r>
                </w:p>
              </w:tc>
              <w:tc>
                <w:tcPr>
                  <w:tcW w:w="1701" w:type="dxa"/>
                </w:tcPr>
                <w:p w:rsidR="002227A5" w:rsidP="00131848" w:rsidRDefault="002227A5" w14:paraId="048C5E14" w14:textId="77777777">
                  <w:pPr>
                    <w:pStyle w:val="BodyText"/>
                    <w:rPr>
                      <w:sz w:val="20"/>
                    </w:rPr>
                  </w:pPr>
                  <w:r w:rsidRPr="00214F9A">
                    <w:rPr>
                      <w:sz w:val="20"/>
                    </w:rPr>
                    <w:t xml:space="preserve">10 days </w:t>
                  </w:r>
                </w:p>
                <w:p w:rsidR="002227A5" w:rsidP="00131848" w:rsidRDefault="002227A5" w14:paraId="1801E602" w14:textId="77777777">
                  <w:pPr>
                    <w:pStyle w:val="BodyText"/>
                    <w:rPr>
                      <w:b/>
                      <w:sz w:val="20"/>
                    </w:rPr>
                  </w:pPr>
                  <w:r w:rsidRPr="00214F9A">
                    <w:rPr>
                      <w:sz w:val="20"/>
                    </w:rPr>
                    <w:t>(expert recommendation</w:t>
                  </w:r>
                  <w:r>
                    <w:rPr>
                      <w:sz w:val="20"/>
                    </w:rPr>
                    <w:t>)</w:t>
                  </w:r>
                </w:p>
              </w:tc>
            </w:tr>
          </w:tbl>
          <w:p w:rsidRPr="00214F9A" w:rsidR="002227A5" w:rsidP="00131848" w:rsidRDefault="002227A5" w14:paraId="3A2F5306" w14:textId="77777777">
            <w:pPr>
              <w:pStyle w:val="BodyText"/>
              <w:rPr>
                <w:sz w:val="20"/>
              </w:rPr>
            </w:pPr>
          </w:p>
          <w:p w:rsidRPr="00214F9A" w:rsidR="002227A5" w:rsidP="00131848" w:rsidRDefault="002227A5" w14:paraId="4490E662" w14:textId="77777777">
            <w:pPr>
              <w:pStyle w:val="BodyText"/>
              <w:rPr>
                <w:b/>
                <w:sz w:val="20"/>
              </w:rPr>
            </w:pPr>
            <w:r w:rsidRPr="00214F9A">
              <w:rPr>
                <w:b/>
                <w:sz w:val="20"/>
              </w:rPr>
              <w:t>Suppression of HSV following treatment</w:t>
            </w:r>
            <w:r w:rsidRPr="00214F9A">
              <w:rPr>
                <w:b/>
                <w:sz w:val="20"/>
                <w:vertAlign w:val="superscript"/>
              </w:rPr>
              <w:t>5</w:t>
            </w:r>
          </w:p>
          <w:p w:rsidR="002227A5" w:rsidP="00131848" w:rsidRDefault="002227A5" w14:paraId="05E30DA1" w14:textId="77777777">
            <w:pPr>
              <w:pStyle w:val="BodyText"/>
              <w:ind w:left="720" w:hanging="687"/>
              <w:rPr>
                <w:sz w:val="20"/>
              </w:rPr>
            </w:pPr>
            <w:r w:rsidRPr="007D1E87">
              <w:rPr>
                <w:b/>
                <w:sz w:val="20"/>
              </w:rPr>
              <w:t>Oral</w:t>
            </w:r>
            <w:r w:rsidRPr="00214F9A">
              <w:rPr>
                <w:sz w:val="20"/>
              </w:rPr>
              <w:t xml:space="preserve"> 300</w:t>
            </w:r>
            <w:r>
              <w:rPr>
                <w:sz w:val="20"/>
              </w:rPr>
              <w:t xml:space="preserve"> </w:t>
            </w:r>
            <w:r w:rsidRPr="00214F9A">
              <w:rPr>
                <w:sz w:val="20"/>
              </w:rPr>
              <w:t>mg/m</w:t>
            </w:r>
            <w:r w:rsidRPr="00214F9A">
              <w:rPr>
                <w:sz w:val="20"/>
                <w:vertAlign w:val="superscript"/>
              </w:rPr>
              <w:t>2</w:t>
            </w:r>
            <w:r w:rsidRPr="00214F9A">
              <w:rPr>
                <w:sz w:val="20"/>
              </w:rPr>
              <w:t>/dose three times per day for 6 months.</w:t>
            </w:r>
          </w:p>
          <w:p w:rsidRPr="00214F9A" w:rsidR="002227A5" w:rsidP="00131848" w:rsidRDefault="002227A5" w14:paraId="728E8CA9" w14:textId="77777777">
            <w:pPr>
              <w:pStyle w:val="BodyText"/>
              <w:ind w:left="720"/>
              <w:rPr>
                <w:b/>
                <w:sz w:val="20"/>
              </w:rPr>
            </w:pPr>
          </w:p>
          <w:p w:rsidR="002227A5" w:rsidP="00131848" w:rsidRDefault="002227A5" w14:paraId="61B731EB" w14:textId="77777777">
            <w:pPr>
              <w:pStyle w:val="BodyText"/>
              <w:ind w:left="720" w:hanging="720"/>
              <w:rPr>
                <w:b/>
                <w:sz w:val="20"/>
              </w:rPr>
            </w:pPr>
            <w:r w:rsidRPr="00214F9A">
              <w:rPr>
                <w:b/>
                <w:sz w:val="20"/>
              </w:rPr>
              <w:t>Body Surface Area (BSA) calculation:</w:t>
            </w:r>
          </w:p>
          <w:p w:rsidRPr="00214F9A" w:rsidR="002227A5" w:rsidP="00131848" w:rsidRDefault="002227A5" w14:paraId="4C02EE65" w14:textId="77777777">
            <w:pPr>
              <w:pStyle w:val="BodyText"/>
              <w:ind w:left="720"/>
              <w:rPr>
                <w:sz w:val="20"/>
              </w:rPr>
            </w:pPr>
            <m:oMathPara>
              <m:oMath>
                <m:r>
                  <w:rPr>
                    <w:rFonts w:ascii="Cambria Math" w:hAnsi="Cambria Math"/>
                    <w:sz w:val="16"/>
                  </w:rPr>
                  <m:t>BSA (</m:t>
                </m:r>
                <m:sSup>
                  <m:sSupPr>
                    <m:ctrlPr>
                      <w:rPr>
                        <w:rFonts w:ascii="Cambria Math" w:hAnsi="Cambria Math"/>
                        <w:i/>
                        <w:sz w:val="16"/>
                      </w:rPr>
                    </m:ctrlPr>
                  </m:sSupPr>
                  <m:e>
                    <m:r>
                      <w:rPr>
                        <w:rFonts w:ascii="Cambria Math" w:hAnsi="Cambria Math"/>
                        <w:sz w:val="16"/>
                      </w:rPr>
                      <m:t>m</m:t>
                    </m:r>
                  </m:e>
                  <m:sup>
                    <m:r>
                      <w:rPr>
                        <w:rFonts w:ascii="Cambria Math" w:hAnsi="Cambria Math"/>
                        <w:sz w:val="16"/>
                      </w:rPr>
                      <m:t>2</m:t>
                    </m:r>
                  </m:sup>
                </m:sSup>
                <m:r>
                  <w:rPr>
                    <w:rFonts w:ascii="Cambria Math" w:hAnsi="Cambria Math"/>
                    <w:sz w:val="16"/>
                  </w:rPr>
                  <m:t xml:space="preserve">)= </m:t>
                </m:r>
                <m:rad>
                  <m:radPr>
                    <m:degHide m:val="1"/>
                    <m:ctrlPr>
                      <w:rPr>
                        <w:rFonts w:ascii="Cambria Math" w:hAnsi="Cambria Math"/>
                        <w:i/>
                        <w:sz w:val="16"/>
                      </w:rPr>
                    </m:ctrlPr>
                  </m:radPr>
                  <m:deg/>
                  <m:e>
                    <m:f>
                      <m:fPr>
                        <m:ctrlPr>
                          <w:rPr>
                            <w:rFonts w:ascii="Cambria Math" w:hAnsi="Cambria Math"/>
                            <w:i/>
                            <w:sz w:val="16"/>
                          </w:rPr>
                        </m:ctrlPr>
                      </m:fPr>
                      <m:num>
                        <m:r>
                          <w:rPr>
                            <w:rFonts w:ascii="Cambria Math" w:hAnsi="Cambria Math"/>
                            <w:sz w:val="16"/>
                          </w:rPr>
                          <m:t xml:space="preserve">height </m:t>
                        </m:r>
                        <m:d>
                          <m:dPr>
                            <m:ctrlPr>
                              <w:rPr>
                                <w:rFonts w:ascii="Cambria Math" w:hAnsi="Cambria Math"/>
                                <w:i/>
                                <w:sz w:val="16"/>
                              </w:rPr>
                            </m:ctrlPr>
                          </m:dPr>
                          <m:e>
                            <m:r>
                              <w:rPr>
                                <w:rFonts w:ascii="Cambria Math" w:hAnsi="Cambria Math"/>
                                <w:sz w:val="16"/>
                              </w:rPr>
                              <m:t>cm</m:t>
                            </m:r>
                          </m:e>
                        </m:d>
                        <m:r>
                          <w:rPr>
                            <w:rFonts w:ascii="Cambria Math" w:hAnsi="Cambria Math"/>
                            <w:sz w:val="16"/>
                          </w:rPr>
                          <m:t>×weight (kg)</m:t>
                        </m:r>
                      </m:num>
                      <m:den>
                        <m:r>
                          <w:rPr>
                            <w:rFonts w:ascii="Cambria Math" w:hAnsi="Cambria Math"/>
                            <w:sz w:val="16"/>
                          </w:rPr>
                          <m:t>3600</m:t>
                        </m:r>
                      </m:den>
                    </m:f>
                  </m:e>
                </m:rad>
              </m:oMath>
            </m:oMathPara>
          </w:p>
          <w:p w:rsidRPr="00214F9A" w:rsidR="002227A5" w:rsidP="00131848" w:rsidRDefault="002227A5" w14:paraId="2780735B" w14:textId="77777777">
            <w:pPr>
              <w:pStyle w:val="BodyText"/>
              <w:ind w:left="720"/>
              <w:rPr>
                <w:sz w:val="20"/>
              </w:rPr>
            </w:pPr>
          </w:p>
          <w:p w:rsidR="002227A5" w:rsidP="00131848" w:rsidRDefault="002227A5" w14:paraId="05D63BA9" w14:textId="77777777">
            <w:pPr>
              <w:pStyle w:val="BodyText"/>
              <w:ind w:left="720" w:hanging="720"/>
              <w:rPr>
                <w:rFonts w:asciiTheme="minorHAnsi" w:hAnsiTheme="minorHAnsi" w:cstheme="minorHAnsi"/>
                <w:sz w:val="20"/>
              </w:rPr>
            </w:pPr>
          </w:p>
        </w:tc>
      </w:tr>
      <w:tr w:rsidRPr="003B78EA" w:rsidR="00532883" w:rsidTr="00532883" w14:paraId="67F63E92" w14:textId="77777777">
        <w:trPr>
          <w:trHeight w:val="263"/>
        </w:trPr>
        <w:tc>
          <w:tcPr>
            <w:tcW w:w="982" w:type="pct"/>
          </w:tcPr>
          <w:p w:rsidRPr="003B78EA" w:rsidR="002227A5" w:rsidP="00131848" w:rsidRDefault="002227A5" w14:paraId="5F892A7C"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018" w:type="pct"/>
          </w:tcPr>
          <w:p w:rsidRPr="00214F9A" w:rsidR="002227A5" w:rsidP="00131848" w:rsidRDefault="002227A5" w14:paraId="2C2FC8CA" w14:textId="77777777">
            <w:pPr>
              <w:pStyle w:val="BodyText"/>
              <w:rPr>
                <w:b/>
                <w:sz w:val="20"/>
              </w:rPr>
            </w:pPr>
            <w:r w:rsidRPr="007D1E87">
              <w:rPr>
                <w:b/>
                <w:sz w:val="20"/>
              </w:rPr>
              <w:t>R</w:t>
            </w:r>
            <w:r w:rsidRPr="00E52E37">
              <w:rPr>
                <w:b/>
                <w:sz w:val="20"/>
              </w:rPr>
              <w:t>enal impairment</w:t>
            </w:r>
            <w:r>
              <w:rPr>
                <w:b/>
                <w:sz w:val="20"/>
              </w:rPr>
              <w:t xml:space="preserve"> (IV Treatment of HSV and VZV)</w:t>
            </w:r>
          </w:p>
          <w:p w:rsidRPr="00214F9A" w:rsidR="002227A5" w:rsidP="00131848" w:rsidRDefault="002227A5" w14:paraId="4036BCE2" w14:textId="77777777">
            <w:pPr>
              <w:pStyle w:val="BodyText"/>
              <w:rPr>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88"/>
              <w:gridCol w:w="2552"/>
            </w:tblGrid>
            <w:tr w:rsidRPr="00D72188" w:rsidR="002227A5" w:rsidTr="00C56F85" w14:paraId="7BBB6BBA" w14:textId="77777777">
              <w:tc>
                <w:tcPr>
                  <w:tcW w:w="3388" w:type="dxa"/>
                  <w:shd w:val="clear" w:color="auto" w:fill="auto"/>
                </w:tcPr>
                <w:p w:rsidRPr="00214F9A" w:rsidR="002227A5" w:rsidP="00131848" w:rsidRDefault="002227A5" w14:paraId="0EF8F93B" w14:textId="77777777">
                  <w:pPr>
                    <w:pStyle w:val="BodyText"/>
                    <w:rPr>
                      <w:b/>
                      <w:sz w:val="20"/>
                    </w:rPr>
                  </w:pPr>
                  <w:r w:rsidRPr="00214F9A">
                    <w:rPr>
                      <w:b/>
                      <w:sz w:val="20"/>
                    </w:rPr>
                    <w:t>Creatinine concentration</w:t>
                  </w:r>
                </w:p>
              </w:tc>
              <w:tc>
                <w:tcPr>
                  <w:tcW w:w="2552" w:type="dxa"/>
                  <w:shd w:val="clear" w:color="auto" w:fill="auto"/>
                </w:tcPr>
                <w:p w:rsidRPr="00214F9A" w:rsidR="002227A5" w:rsidP="00131848" w:rsidRDefault="002227A5" w14:paraId="007DF8B8" w14:textId="77777777">
                  <w:pPr>
                    <w:pStyle w:val="BodyText"/>
                    <w:rPr>
                      <w:b/>
                      <w:sz w:val="20"/>
                    </w:rPr>
                  </w:pPr>
                  <w:r w:rsidRPr="00214F9A">
                    <w:rPr>
                      <w:b/>
                      <w:sz w:val="20"/>
                    </w:rPr>
                    <w:t>Dosage</w:t>
                  </w:r>
                  <w:r>
                    <w:rPr>
                      <w:b/>
                      <w:sz w:val="20"/>
                    </w:rPr>
                    <w:t xml:space="preserve"> and </w:t>
                  </w:r>
                  <w:r w:rsidRPr="00214F9A">
                    <w:rPr>
                      <w:b/>
                      <w:sz w:val="20"/>
                    </w:rPr>
                    <w:t>Interval adjustment</w:t>
                  </w:r>
                </w:p>
              </w:tc>
            </w:tr>
            <w:tr w:rsidRPr="00D72188" w:rsidR="002227A5" w:rsidTr="00C56F85" w14:paraId="0835C375" w14:textId="77777777">
              <w:tc>
                <w:tcPr>
                  <w:tcW w:w="3388" w:type="dxa"/>
                  <w:shd w:val="clear" w:color="auto" w:fill="auto"/>
                </w:tcPr>
                <w:p w:rsidRPr="00214F9A" w:rsidR="002227A5" w:rsidP="00131848" w:rsidRDefault="002227A5" w14:paraId="6020CA50" w14:textId="77777777">
                  <w:pPr>
                    <w:pStyle w:val="BodyText"/>
                    <w:rPr>
                      <w:sz w:val="20"/>
                    </w:rPr>
                  </w:pPr>
                  <w:r w:rsidRPr="00214F9A">
                    <w:rPr>
                      <w:sz w:val="20"/>
                    </w:rPr>
                    <w:t>70</w:t>
                  </w:r>
                  <w:r>
                    <w:rPr>
                      <w:sz w:val="20"/>
                    </w:rPr>
                    <w:t>–</w:t>
                  </w:r>
                  <w:r w:rsidRPr="00214F9A">
                    <w:rPr>
                      <w:sz w:val="20"/>
                    </w:rPr>
                    <w:t>100</w:t>
                  </w:r>
                  <w:r>
                    <w:rPr>
                      <w:sz w:val="20"/>
                    </w:rPr>
                    <w:t xml:space="preserve"> </w:t>
                  </w:r>
                  <w:r w:rsidRPr="00214F9A">
                    <w:rPr>
                      <w:sz w:val="20"/>
                    </w:rPr>
                    <w:t>micromol/L</w:t>
                  </w:r>
                </w:p>
              </w:tc>
              <w:tc>
                <w:tcPr>
                  <w:tcW w:w="2552" w:type="dxa"/>
                  <w:shd w:val="clear" w:color="auto" w:fill="auto"/>
                </w:tcPr>
                <w:p w:rsidRPr="00214F9A" w:rsidR="002227A5" w:rsidP="00131848" w:rsidRDefault="002227A5" w14:paraId="64FE3B4C" w14:textId="77777777">
                  <w:pPr>
                    <w:pStyle w:val="BodyText"/>
                    <w:rPr>
                      <w:sz w:val="20"/>
                    </w:rPr>
                  </w:pPr>
                  <w:r w:rsidRPr="00214F9A">
                    <w:rPr>
                      <w:sz w:val="20"/>
                    </w:rPr>
                    <w:t xml:space="preserve">20 mg/kg 12 hourly </w:t>
                  </w:r>
                </w:p>
              </w:tc>
            </w:tr>
            <w:tr w:rsidRPr="00D72188" w:rsidR="002227A5" w:rsidTr="00C56F85" w14:paraId="6940A018" w14:textId="77777777">
              <w:tc>
                <w:tcPr>
                  <w:tcW w:w="3388" w:type="dxa"/>
                  <w:shd w:val="clear" w:color="auto" w:fill="auto"/>
                </w:tcPr>
                <w:p w:rsidRPr="00214F9A" w:rsidR="002227A5" w:rsidP="00131848" w:rsidRDefault="002227A5" w14:paraId="119801C0" w14:textId="77777777">
                  <w:pPr>
                    <w:pStyle w:val="BodyText"/>
                    <w:rPr>
                      <w:sz w:val="20"/>
                    </w:rPr>
                  </w:pPr>
                  <w:r w:rsidRPr="00214F9A">
                    <w:rPr>
                      <w:sz w:val="20"/>
                    </w:rPr>
                    <w:t>101</w:t>
                  </w:r>
                  <w:r>
                    <w:rPr>
                      <w:sz w:val="20"/>
                    </w:rPr>
                    <w:t>–</w:t>
                  </w:r>
                  <w:r w:rsidRPr="00214F9A">
                    <w:rPr>
                      <w:sz w:val="20"/>
                    </w:rPr>
                    <w:t>130</w:t>
                  </w:r>
                  <w:r>
                    <w:rPr>
                      <w:sz w:val="20"/>
                    </w:rPr>
                    <w:t xml:space="preserve"> </w:t>
                  </w:r>
                  <w:r w:rsidRPr="00214F9A">
                    <w:rPr>
                      <w:sz w:val="20"/>
                    </w:rPr>
                    <w:t>micromol/L</w:t>
                  </w:r>
                </w:p>
              </w:tc>
              <w:tc>
                <w:tcPr>
                  <w:tcW w:w="2552" w:type="dxa"/>
                  <w:shd w:val="clear" w:color="auto" w:fill="auto"/>
                </w:tcPr>
                <w:p w:rsidRPr="00214F9A" w:rsidR="002227A5" w:rsidP="00131848" w:rsidRDefault="002227A5" w14:paraId="0F87D69B" w14:textId="77777777">
                  <w:pPr>
                    <w:pStyle w:val="BodyText"/>
                    <w:rPr>
                      <w:sz w:val="20"/>
                    </w:rPr>
                  </w:pPr>
                  <w:r w:rsidRPr="00214F9A">
                    <w:rPr>
                      <w:sz w:val="20"/>
                    </w:rPr>
                    <w:t xml:space="preserve">20 mg/kg 24 hourly </w:t>
                  </w:r>
                </w:p>
              </w:tc>
            </w:tr>
            <w:tr w:rsidRPr="00D72188" w:rsidR="002227A5" w:rsidTr="00C56F85" w14:paraId="6ACFBEF8" w14:textId="77777777">
              <w:tc>
                <w:tcPr>
                  <w:tcW w:w="3388" w:type="dxa"/>
                  <w:shd w:val="clear" w:color="auto" w:fill="auto"/>
                </w:tcPr>
                <w:p w:rsidRPr="00214F9A" w:rsidR="002227A5" w:rsidP="00131848" w:rsidRDefault="002227A5" w14:paraId="6F4AA3DD" w14:textId="77777777">
                  <w:pPr>
                    <w:pStyle w:val="BodyText"/>
                    <w:rPr>
                      <w:sz w:val="20"/>
                    </w:rPr>
                  </w:pPr>
                  <w:r w:rsidRPr="00214F9A">
                    <w:rPr>
                      <w:sz w:val="20"/>
                    </w:rPr>
                    <w:t>&gt;</w:t>
                  </w:r>
                  <w:r>
                    <w:rPr>
                      <w:sz w:val="20"/>
                    </w:rPr>
                    <w:t xml:space="preserve"> </w:t>
                  </w:r>
                  <w:r w:rsidRPr="00214F9A">
                    <w:rPr>
                      <w:sz w:val="20"/>
                    </w:rPr>
                    <w:t>130</w:t>
                  </w:r>
                  <w:r>
                    <w:rPr>
                      <w:sz w:val="20"/>
                    </w:rPr>
                    <w:t xml:space="preserve"> </w:t>
                  </w:r>
                  <w:r w:rsidRPr="00214F9A">
                    <w:rPr>
                      <w:sz w:val="20"/>
                    </w:rPr>
                    <w:t>micromol/L and/or urine output &lt;</w:t>
                  </w:r>
                  <w:r>
                    <w:rPr>
                      <w:sz w:val="20"/>
                    </w:rPr>
                    <w:t xml:space="preserve"> </w:t>
                  </w:r>
                  <w:r w:rsidRPr="00214F9A">
                    <w:rPr>
                      <w:sz w:val="20"/>
                    </w:rPr>
                    <w:t>1</w:t>
                  </w:r>
                  <w:r>
                    <w:rPr>
                      <w:sz w:val="20"/>
                    </w:rPr>
                    <w:t> </w:t>
                  </w:r>
                  <w:r w:rsidRPr="00214F9A">
                    <w:rPr>
                      <w:sz w:val="20"/>
                    </w:rPr>
                    <w:t>mL/kg/hour</w:t>
                  </w:r>
                </w:p>
              </w:tc>
              <w:tc>
                <w:tcPr>
                  <w:tcW w:w="2552" w:type="dxa"/>
                  <w:shd w:val="clear" w:color="auto" w:fill="auto"/>
                </w:tcPr>
                <w:p w:rsidRPr="00214F9A" w:rsidR="002227A5" w:rsidP="00131848" w:rsidRDefault="002227A5" w14:paraId="1D7D4BC0" w14:textId="77777777">
                  <w:pPr>
                    <w:pStyle w:val="BodyText"/>
                    <w:rPr>
                      <w:sz w:val="20"/>
                    </w:rPr>
                  </w:pPr>
                  <w:r w:rsidRPr="00214F9A">
                    <w:rPr>
                      <w:sz w:val="20"/>
                    </w:rPr>
                    <w:t xml:space="preserve">10 mg/kg 24 hourly </w:t>
                  </w:r>
                </w:p>
              </w:tc>
            </w:tr>
          </w:tbl>
          <w:p w:rsidRPr="003B78EA" w:rsidR="002227A5" w:rsidP="00131848" w:rsidRDefault="002227A5" w14:paraId="3EDE0F1A" w14:textId="77777777">
            <w:pPr>
              <w:pStyle w:val="BodyText"/>
              <w:rPr>
                <w:rFonts w:asciiTheme="minorHAnsi" w:hAnsiTheme="minorHAnsi" w:cstheme="minorHAnsi"/>
                <w:sz w:val="20"/>
              </w:rPr>
            </w:pPr>
          </w:p>
        </w:tc>
      </w:tr>
      <w:tr w:rsidRPr="003B78EA" w:rsidR="00532883" w:rsidTr="00532883" w14:paraId="3053A05B" w14:textId="77777777">
        <w:trPr>
          <w:trHeight w:val="263"/>
        </w:trPr>
        <w:tc>
          <w:tcPr>
            <w:tcW w:w="982" w:type="pct"/>
          </w:tcPr>
          <w:p w:rsidRPr="003B78EA" w:rsidR="002227A5" w:rsidP="00131848" w:rsidRDefault="002227A5" w14:paraId="6CCB56FB" w14:textId="77777777">
            <w:pPr>
              <w:pStyle w:val="BodyText"/>
              <w:rPr>
                <w:rFonts w:asciiTheme="minorHAnsi" w:hAnsiTheme="minorHAnsi" w:cstheme="minorHAnsi"/>
                <w:b/>
                <w:sz w:val="20"/>
              </w:rPr>
            </w:pPr>
            <w:r w:rsidRPr="003B78EA">
              <w:rPr>
                <w:rFonts w:asciiTheme="minorHAnsi" w:hAnsiTheme="minorHAnsi" w:cstheme="minorHAnsi"/>
                <w:b/>
                <w:sz w:val="20"/>
              </w:rPr>
              <w:lastRenderedPageBreak/>
              <w:t>Maximum dose</w:t>
            </w:r>
          </w:p>
        </w:tc>
        <w:tc>
          <w:tcPr>
            <w:tcW w:w="4018" w:type="pct"/>
          </w:tcPr>
          <w:p w:rsidRPr="003B78EA" w:rsidR="002227A5" w:rsidP="00131848" w:rsidRDefault="002227A5" w14:paraId="4FD4C342" w14:textId="77777777">
            <w:pPr>
              <w:pStyle w:val="BodyText"/>
              <w:rPr>
                <w:rFonts w:asciiTheme="minorHAnsi" w:hAnsiTheme="minorHAnsi" w:cstheme="minorHAnsi"/>
                <w:sz w:val="20"/>
              </w:rPr>
            </w:pPr>
          </w:p>
        </w:tc>
      </w:tr>
      <w:tr w:rsidRPr="003B78EA" w:rsidR="00532883" w:rsidTr="00532883" w14:paraId="043DAAEA" w14:textId="77777777">
        <w:trPr>
          <w:trHeight w:val="263"/>
        </w:trPr>
        <w:tc>
          <w:tcPr>
            <w:tcW w:w="982" w:type="pct"/>
          </w:tcPr>
          <w:p w:rsidRPr="003B78EA" w:rsidR="002227A5" w:rsidP="00131848" w:rsidRDefault="002227A5" w14:paraId="133B93AF"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018" w:type="pct"/>
          </w:tcPr>
          <w:p w:rsidRPr="003B78EA" w:rsidR="002227A5" w:rsidP="00131848" w:rsidRDefault="002227A5" w14:paraId="6F9D6522" w14:textId="77777777">
            <w:pPr>
              <w:pStyle w:val="BodyText"/>
              <w:rPr>
                <w:rFonts w:asciiTheme="minorHAnsi" w:hAnsiTheme="minorHAnsi" w:cstheme="minorHAnsi"/>
                <w:b/>
                <w:sz w:val="20"/>
              </w:rPr>
            </w:pPr>
          </w:p>
        </w:tc>
      </w:tr>
      <w:tr w:rsidRPr="003B78EA" w:rsidR="00532883" w:rsidTr="00532883" w14:paraId="1083CC3A" w14:textId="77777777">
        <w:trPr>
          <w:trHeight w:val="263"/>
        </w:trPr>
        <w:tc>
          <w:tcPr>
            <w:tcW w:w="982" w:type="pct"/>
          </w:tcPr>
          <w:p w:rsidRPr="003B78EA" w:rsidR="002227A5" w:rsidP="00131848" w:rsidRDefault="002227A5" w14:paraId="4CD2734D"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018" w:type="pct"/>
          </w:tcPr>
          <w:p w:rsidRPr="003B78EA" w:rsidR="002227A5" w:rsidP="00131848" w:rsidRDefault="002227A5" w14:paraId="409E35D4" w14:textId="77777777">
            <w:pPr>
              <w:pStyle w:val="BodyText"/>
              <w:rPr>
                <w:rFonts w:asciiTheme="minorHAnsi" w:hAnsiTheme="minorHAnsi" w:cstheme="minorHAnsi"/>
                <w:sz w:val="20"/>
              </w:rPr>
            </w:pPr>
            <w:r w:rsidRPr="00214F9A">
              <w:rPr>
                <w:rFonts w:cs="Arial"/>
                <w:sz w:val="20"/>
              </w:rPr>
              <w:t xml:space="preserve">IV or </w:t>
            </w:r>
            <w:r>
              <w:rPr>
                <w:rFonts w:cs="Arial"/>
                <w:sz w:val="20"/>
              </w:rPr>
              <w:t>Oral</w:t>
            </w:r>
          </w:p>
        </w:tc>
      </w:tr>
      <w:tr w:rsidRPr="003B78EA" w:rsidR="00532883" w:rsidTr="00532883" w14:paraId="1E22660E" w14:textId="77777777">
        <w:trPr>
          <w:trHeight w:val="263"/>
        </w:trPr>
        <w:tc>
          <w:tcPr>
            <w:tcW w:w="982" w:type="pct"/>
          </w:tcPr>
          <w:p w:rsidRPr="003B78EA" w:rsidR="002227A5" w:rsidP="00131848" w:rsidRDefault="002227A5" w14:paraId="2B3E881E"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018" w:type="pct"/>
          </w:tcPr>
          <w:p w:rsidR="002227A5" w:rsidP="00131848" w:rsidRDefault="002227A5" w14:paraId="18F89F79" w14:textId="77777777">
            <w:pPr>
              <w:pStyle w:val="BodyText"/>
              <w:rPr>
                <w:rFonts w:cs="Arial"/>
                <w:sz w:val="20"/>
              </w:rPr>
            </w:pPr>
            <w:r w:rsidRPr="00214F9A">
              <w:rPr>
                <w:rFonts w:cs="Arial"/>
                <w:sz w:val="20"/>
              </w:rPr>
              <w:t xml:space="preserve">IV: </w:t>
            </w:r>
            <w:r>
              <w:rPr>
                <w:rFonts w:cs="Arial"/>
                <w:sz w:val="20"/>
              </w:rPr>
              <w:t xml:space="preserve">If using Sandoz brand, reconstitute 250 mg vial with 10 mL or 500 mg with 20 mL of water for injection to obtain 25 mg/mL solution. If using DBL or Pfizer brand, vials contain 25 mg/mL solution. </w:t>
            </w:r>
          </w:p>
          <w:p w:rsidR="002227A5" w:rsidP="00131848" w:rsidRDefault="002227A5" w14:paraId="150A9DC1" w14:textId="77777777">
            <w:pPr>
              <w:pStyle w:val="BodyText"/>
              <w:rPr>
                <w:rFonts w:cs="Arial"/>
                <w:sz w:val="20"/>
              </w:rPr>
            </w:pPr>
            <w:r w:rsidRPr="00214F9A">
              <w:rPr>
                <w:rFonts w:cs="Arial"/>
                <w:sz w:val="20"/>
              </w:rPr>
              <w:t xml:space="preserve">Draw up </w:t>
            </w:r>
            <w:r>
              <w:rPr>
                <w:rFonts w:cs="Arial"/>
                <w:sz w:val="20"/>
              </w:rPr>
              <w:t>4 mL</w:t>
            </w:r>
            <w:r w:rsidRPr="00214F9A">
              <w:rPr>
                <w:rFonts w:cs="Arial"/>
                <w:sz w:val="20"/>
              </w:rPr>
              <w:t xml:space="preserve"> (</w:t>
            </w:r>
            <w:r>
              <w:rPr>
                <w:rFonts w:cs="Arial"/>
                <w:sz w:val="20"/>
              </w:rPr>
              <w:t>10</w:t>
            </w:r>
            <w:r w:rsidRPr="00214F9A">
              <w:rPr>
                <w:rFonts w:cs="Arial"/>
                <w:sz w:val="20"/>
              </w:rPr>
              <w:t>0</w:t>
            </w:r>
            <w:r>
              <w:rPr>
                <w:rFonts w:cs="Arial"/>
                <w:sz w:val="20"/>
              </w:rPr>
              <w:t xml:space="preserve"> </w:t>
            </w:r>
            <w:r w:rsidRPr="00214F9A">
              <w:rPr>
                <w:rFonts w:cs="Arial"/>
                <w:sz w:val="20"/>
              </w:rPr>
              <w:t>mg)</w:t>
            </w:r>
            <w:r>
              <w:rPr>
                <w:rFonts w:cs="Arial"/>
                <w:sz w:val="20"/>
              </w:rPr>
              <w:t xml:space="preserve"> </w:t>
            </w:r>
            <w:r w:rsidRPr="00214F9A">
              <w:rPr>
                <w:rFonts w:cs="Arial"/>
                <w:sz w:val="20"/>
              </w:rPr>
              <w:t xml:space="preserve">of </w:t>
            </w:r>
            <w:r>
              <w:rPr>
                <w:rFonts w:cs="Arial"/>
                <w:sz w:val="20"/>
              </w:rPr>
              <w:t>a</w:t>
            </w:r>
            <w:r w:rsidRPr="00214F9A">
              <w:rPr>
                <w:rFonts w:cs="Arial"/>
                <w:sz w:val="20"/>
              </w:rPr>
              <w:t xml:space="preserve">ciclovir and add </w:t>
            </w:r>
            <w:r>
              <w:rPr>
                <w:rFonts w:cs="Arial"/>
                <w:sz w:val="20"/>
              </w:rPr>
              <w:t xml:space="preserve">16 </w:t>
            </w:r>
            <w:r w:rsidRPr="00214F9A">
              <w:rPr>
                <w:rFonts w:cs="Arial"/>
                <w:sz w:val="20"/>
              </w:rPr>
              <w:t>m</w:t>
            </w:r>
            <w:r>
              <w:rPr>
                <w:rFonts w:cs="Arial"/>
                <w:sz w:val="20"/>
              </w:rPr>
              <w:t>L</w:t>
            </w:r>
            <w:r w:rsidRPr="00214F9A">
              <w:rPr>
                <w:rFonts w:cs="Arial"/>
                <w:sz w:val="20"/>
              </w:rPr>
              <w:t xml:space="preserve"> sodium chloride 0.9% to make final volume </w:t>
            </w:r>
            <w:r>
              <w:rPr>
                <w:rFonts w:cs="Arial"/>
                <w:sz w:val="20"/>
              </w:rPr>
              <w:t>2</w:t>
            </w:r>
            <w:r w:rsidRPr="00214F9A">
              <w:rPr>
                <w:rFonts w:cs="Arial"/>
                <w:sz w:val="20"/>
              </w:rPr>
              <w:t>0</w:t>
            </w:r>
            <w:r>
              <w:rPr>
                <w:rFonts w:cs="Arial"/>
                <w:sz w:val="20"/>
              </w:rPr>
              <w:t xml:space="preserve"> </w:t>
            </w:r>
            <w:r w:rsidRPr="00214F9A">
              <w:rPr>
                <w:rFonts w:cs="Arial"/>
                <w:sz w:val="20"/>
              </w:rPr>
              <w:t>m</w:t>
            </w:r>
            <w:r>
              <w:rPr>
                <w:rFonts w:cs="Arial"/>
                <w:sz w:val="20"/>
              </w:rPr>
              <w:t>L</w:t>
            </w:r>
            <w:r w:rsidRPr="00214F9A">
              <w:rPr>
                <w:rFonts w:cs="Arial"/>
                <w:sz w:val="20"/>
              </w:rPr>
              <w:t xml:space="preserve"> with a </w:t>
            </w:r>
            <w:r>
              <w:rPr>
                <w:rFonts w:cs="Arial"/>
                <w:sz w:val="20"/>
              </w:rPr>
              <w:t xml:space="preserve">final </w:t>
            </w:r>
            <w:r w:rsidRPr="00214F9A">
              <w:rPr>
                <w:rFonts w:cs="Arial"/>
                <w:sz w:val="20"/>
              </w:rPr>
              <w:t xml:space="preserve">concentration of </w:t>
            </w:r>
            <w:r>
              <w:rPr>
                <w:rFonts w:cs="Arial"/>
                <w:sz w:val="20"/>
              </w:rPr>
              <w:t xml:space="preserve">5 </w:t>
            </w:r>
            <w:r w:rsidRPr="00214F9A">
              <w:rPr>
                <w:rFonts w:cs="Arial"/>
                <w:sz w:val="20"/>
              </w:rPr>
              <w:t>mg/mL</w:t>
            </w:r>
            <w:r>
              <w:rPr>
                <w:rFonts w:cs="Arial"/>
                <w:sz w:val="20"/>
              </w:rPr>
              <w:t xml:space="preserve">. </w:t>
            </w:r>
          </w:p>
          <w:p w:rsidR="002227A5" w:rsidP="00131848" w:rsidRDefault="002227A5" w14:paraId="5352C2D0" w14:textId="77777777">
            <w:pPr>
              <w:pStyle w:val="BodyText"/>
              <w:rPr>
                <w:rFonts w:cs="Arial"/>
                <w:sz w:val="20"/>
              </w:rPr>
            </w:pPr>
          </w:p>
          <w:p w:rsidR="002227A5" w:rsidP="00131848" w:rsidRDefault="002227A5" w14:paraId="29088D44" w14:textId="77777777">
            <w:pPr>
              <w:pStyle w:val="BodyText"/>
              <w:rPr>
                <w:rFonts w:cs="Arial"/>
                <w:sz w:val="20"/>
              </w:rPr>
            </w:pPr>
            <w:r>
              <w:rPr>
                <w:rFonts w:cs="Arial"/>
                <w:sz w:val="20"/>
              </w:rPr>
              <w:t>Risk of phlebitis and extravasation increases at &gt; 10 mg/mL. If a higher concentration is required, a solution of up to 25 mg/mL may be administered via a CENTRAL LINE ONLY.</w:t>
            </w:r>
          </w:p>
          <w:p w:rsidR="002227A5" w:rsidP="00131848" w:rsidRDefault="002227A5" w14:paraId="48202C2A" w14:textId="77777777">
            <w:pPr>
              <w:pStyle w:val="BodyText"/>
              <w:rPr>
                <w:rFonts w:cs="Arial"/>
                <w:sz w:val="20"/>
              </w:rPr>
            </w:pPr>
          </w:p>
          <w:p w:rsidR="002227A5" w:rsidP="00131848" w:rsidRDefault="002227A5" w14:paraId="154B2585" w14:textId="77777777">
            <w:pPr>
              <w:pStyle w:val="BodyText"/>
              <w:rPr>
                <w:rFonts w:cs="Arial"/>
                <w:sz w:val="20"/>
              </w:rPr>
            </w:pPr>
            <w:r>
              <w:rPr>
                <w:rFonts w:cs="Arial"/>
                <w:sz w:val="20"/>
              </w:rPr>
              <w:t xml:space="preserve">Oral: Acyclo-V, Lovir, Ozvir and Zovirax brands come as dispersible tablets. Consider rounding if dose is close to half or quarter of a tablet. Disperse fraction of tablet in small quantity of water (e.g. 2 mL) and give dose immediately. </w:t>
            </w:r>
          </w:p>
          <w:p w:rsidRPr="003B78EA" w:rsidR="002227A5" w:rsidP="00131848" w:rsidRDefault="002227A5" w14:paraId="7EEB261F" w14:textId="77777777">
            <w:pPr>
              <w:pStyle w:val="BodyText"/>
              <w:rPr>
                <w:rFonts w:asciiTheme="minorHAnsi" w:hAnsiTheme="minorHAnsi" w:cstheme="minorHAnsi"/>
                <w:sz w:val="20"/>
              </w:rPr>
            </w:pPr>
            <w:r>
              <w:rPr>
                <w:rFonts w:cs="Arial"/>
                <w:sz w:val="20"/>
              </w:rPr>
              <w:t>If this is not possible, disperse an entire tablet in a set quantity of water, ensure mixture is a uniform suspension, and draw up a fraction of this mixture and give immediately. If uniform suspension cannot be produced, contact pharmacy. Example: If dose is 30 mg, disperse 200 mg tablet in 10 mL of water to obtain 20 mg/mL mixture, and then give 1.5 mL.</w:t>
            </w:r>
          </w:p>
        </w:tc>
      </w:tr>
      <w:tr w:rsidRPr="003B78EA" w:rsidR="00532883" w:rsidTr="00532883" w14:paraId="5C51A338" w14:textId="77777777">
        <w:trPr>
          <w:trHeight w:val="263"/>
        </w:trPr>
        <w:tc>
          <w:tcPr>
            <w:tcW w:w="982" w:type="pct"/>
          </w:tcPr>
          <w:p w:rsidRPr="003B78EA" w:rsidR="002227A5" w:rsidP="00131848" w:rsidRDefault="002227A5" w14:paraId="28B1E50E"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018" w:type="pct"/>
            <w:vAlign w:val="center"/>
          </w:tcPr>
          <w:p w:rsidR="002227A5" w:rsidP="00131848" w:rsidRDefault="002227A5" w14:paraId="4BAD05E1" w14:textId="77777777">
            <w:pPr>
              <w:pStyle w:val="BodyText"/>
              <w:rPr>
                <w:rFonts w:cs="Arial"/>
                <w:sz w:val="20"/>
              </w:rPr>
            </w:pPr>
            <w:r w:rsidRPr="00214F9A">
              <w:rPr>
                <w:rFonts w:cs="Arial"/>
                <w:sz w:val="20"/>
              </w:rPr>
              <w:t xml:space="preserve">IV Infusion: Infuse via syringe driver over 60 minutes. </w:t>
            </w:r>
          </w:p>
          <w:p w:rsidR="002227A5" w:rsidP="00131848" w:rsidRDefault="002227A5" w14:paraId="47C760A1" w14:textId="77777777">
            <w:pPr>
              <w:pStyle w:val="BodyText"/>
              <w:rPr>
                <w:rFonts w:cs="Arial"/>
                <w:sz w:val="20"/>
              </w:rPr>
            </w:pPr>
            <w:r>
              <w:rPr>
                <w:rFonts w:cs="Arial"/>
                <w:sz w:val="20"/>
              </w:rPr>
              <w:t>T</w:t>
            </w:r>
            <w:r w:rsidRPr="00214F9A">
              <w:rPr>
                <w:rFonts w:cs="Arial"/>
                <w:sz w:val="20"/>
              </w:rPr>
              <w:t xml:space="preserve">urbidity or crystallisation may occur </w:t>
            </w:r>
            <w:r>
              <w:rPr>
                <w:rFonts w:cs="Arial"/>
                <w:sz w:val="20"/>
              </w:rPr>
              <w:t>e</w:t>
            </w:r>
            <w:r w:rsidRPr="00214F9A">
              <w:rPr>
                <w:rFonts w:cs="Arial"/>
                <w:sz w:val="20"/>
              </w:rPr>
              <w:t>ven when mixed with compatible fluids. Discard preparation if this occurs before or during the infusion</w:t>
            </w:r>
            <w:r>
              <w:rPr>
                <w:rFonts w:cs="Arial"/>
                <w:sz w:val="20"/>
              </w:rPr>
              <w:t>.</w:t>
            </w:r>
          </w:p>
          <w:p w:rsidR="002227A5" w:rsidP="00131848" w:rsidRDefault="002227A5" w14:paraId="46D2DCCD" w14:textId="77777777">
            <w:pPr>
              <w:pStyle w:val="BodyText"/>
              <w:rPr>
                <w:rFonts w:cs="Arial"/>
                <w:sz w:val="20"/>
              </w:rPr>
            </w:pPr>
          </w:p>
          <w:p w:rsidRPr="003B78EA" w:rsidR="002227A5" w:rsidP="00131848" w:rsidRDefault="002227A5" w14:paraId="226D75EC" w14:textId="77777777">
            <w:pPr>
              <w:pStyle w:val="BodyText"/>
              <w:rPr>
                <w:rFonts w:asciiTheme="minorHAnsi" w:hAnsiTheme="minorHAnsi" w:cstheme="minorHAnsi"/>
                <w:sz w:val="20"/>
              </w:rPr>
            </w:pPr>
            <w:r>
              <w:rPr>
                <w:rFonts w:cs="Arial"/>
                <w:sz w:val="20"/>
              </w:rPr>
              <w:t>Oral: Dose can be given with feed.</w:t>
            </w:r>
          </w:p>
        </w:tc>
      </w:tr>
      <w:tr w:rsidRPr="003B78EA" w:rsidR="00532883" w:rsidTr="00532883" w14:paraId="231F5F9F" w14:textId="77777777">
        <w:trPr>
          <w:trHeight w:val="263"/>
        </w:trPr>
        <w:tc>
          <w:tcPr>
            <w:tcW w:w="982" w:type="pct"/>
          </w:tcPr>
          <w:p w:rsidRPr="003B78EA" w:rsidR="002227A5" w:rsidP="00131848" w:rsidRDefault="002227A5" w14:paraId="42EF75EF"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018" w:type="pct"/>
          </w:tcPr>
          <w:p w:rsidR="002227A5" w:rsidP="00131848" w:rsidRDefault="002227A5" w14:paraId="778C1C73" w14:textId="77777777">
            <w:pPr>
              <w:pStyle w:val="BodyText"/>
              <w:rPr>
                <w:rFonts w:cs="Arial"/>
                <w:sz w:val="20"/>
              </w:rPr>
            </w:pPr>
            <w:r w:rsidRPr="00B07D6D">
              <w:rPr>
                <w:rFonts w:cs="Arial"/>
                <w:sz w:val="20"/>
              </w:rPr>
              <w:t>Periodic</w:t>
            </w:r>
            <w:r w:rsidRPr="00214F9A">
              <w:rPr>
                <w:rFonts w:cs="Arial"/>
                <w:sz w:val="20"/>
              </w:rPr>
              <w:t xml:space="preserve"> full blood count, renal function, bilirubin, and hepatic transaminases. </w:t>
            </w:r>
          </w:p>
          <w:p w:rsidRPr="007F4B77" w:rsidR="002227A5" w:rsidP="00131848" w:rsidRDefault="002227A5" w14:paraId="552C64AF" w14:textId="77777777">
            <w:pPr>
              <w:pStyle w:val="BodyText"/>
              <w:rPr>
                <w:rFonts w:asciiTheme="minorHAnsi" w:hAnsiTheme="minorHAnsi" w:cstheme="minorHAnsi"/>
                <w:sz w:val="20"/>
              </w:rPr>
            </w:pPr>
            <w:r w:rsidRPr="00214F9A">
              <w:rPr>
                <w:rFonts w:cs="Arial"/>
                <w:sz w:val="20"/>
              </w:rPr>
              <w:t xml:space="preserve">IV site for phlebitis </w:t>
            </w:r>
            <w:r>
              <w:rPr>
                <w:rFonts w:cs="Arial"/>
                <w:sz w:val="20"/>
              </w:rPr>
              <w:t>—</w:t>
            </w:r>
            <w:r w:rsidRPr="00214F9A">
              <w:rPr>
                <w:rFonts w:cs="Arial"/>
                <w:sz w:val="20"/>
              </w:rPr>
              <w:t xml:space="preserve"> prepare a more dilute infusion solution if phlebitis occurs.</w:t>
            </w:r>
          </w:p>
        </w:tc>
      </w:tr>
      <w:tr w:rsidRPr="003B78EA" w:rsidR="00532883" w:rsidTr="00532883" w14:paraId="6BF27B95" w14:textId="77777777">
        <w:trPr>
          <w:trHeight w:val="263"/>
        </w:trPr>
        <w:tc>
          <w:tcPr>
            <w:tcW w:w="982" w:type="pct"/>
          </w:tcPr>
          <w:p w:rsidRPr="003B78EA" w:rsidR="002227A5" w:rsidP="00131848" w:rsidRDefault="002227A5" w14:paraId="05A42CA2"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018" w:type="pct"/>
          </w:tcPr>
          <w:p w:rsidRPr="003B78EA" w:rsidR="002227A5" w:rsidP="00131848" w:rsidRDefault="002227A5" w14:paraId="0650FC7A" w14:textId="77777777">
            <w:pPr>
              <w:pStyle w:val="BodyText"/>
              <w:rPr>
                <w:rFonts w:asciiTheme="minorHAnsi" w:hAnsiTheme="minorHAnsi" w:cstheme="minorHAnsi"/>
                <w:sz w:val="20"/>
              </w:rPr>
            </w:pPr>
            <w:r w:rsidRPr="00214F9A">
              <w:rPr>
                <w:sz w:val="20"/>
              </w:rPr>
              <w:t>Known hypersensitivity to aciclovir, val</w:t>
            </w:r>
            <w:r>
              <w:rPr>
                <w:sz w:val="20"/>
              </w:rPr>
              <w:t>gan</w:t>
            </w:r>
            <w:r w:rsidRPr="00214F9A">
              <w:rPr>
                <w:sz w:val="20"/>
              </w:rPr>
              <w:t>ciclovir or any component of the product.</w:t>
            </w:r>
          </w:p>
        </w:tc>
      </w:tr>
      <w:tr w:rsidRPr="003B78EA" w:rsidR="00532883" w:rsidTr="00532883" w14:paraId="4F911167" w14:textId="77777777">
        <w:trPr>
          <w:trHeight w:val="263"/>
        </w:trPr>
        <w:tc>
          <w:tcPr>
            <w:tcW w:w="982" w:type="pct"/>
          </w:tcPr>
          <w:p w:rsidRPr="003B78EA" w:rsidR="002227A5" w:rsidP="00131848" w:rsidRDefault="002227A5" w14:paraId="507BE3DC"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018" w:type="pct"/>
          </w:tcPr>
          <w:p w:rsidRPr="003B78EA" w:rsidR="002227A5" w:rsidP="00131848" w:rsidRDefault="002227A5" w14:paraId="3BE15BF1" w14:textId="77777777">
            <w:pPr>
              <w:pStyle w:val="BodyText"/>
              <w:rPr>
                <w:rFonts w:asciiTheme="minorHAnsi" w:hAnsiTheme="minorHAnsi" w:cstheme="minorHAnsi"/>
                <w:sz w:val="20"/>
              </w:rPr>
            </w:pPr>
            <w:r>
              <w:rPr>
                <w:rFonts w:cs="Arial"/>
                <w:sz w:val="20"/>
              </w:rPr>
              <w:t>I</w:t>
            </w:r>
            <w:r w:rsidRPr="00214F9A">
              <w:rPr>
                <w:rFonts w:cs="Arial"/>
                <w:sz w:val="20"/>
              </w:rPr>
              <w:t xml:space="preserve">ncreased risk of renal impairment if there is concomitant use of other nephrotoxic drugs, pre-existing renal disease or dehydration. Administration interval may be lengthened to minimise renal effects. </w:t>
            </w:r>
            <w:r>
              <w:rPr>
                <w:rFonts w:cs="Arial"/>
                <w:sz w:val="20"/>
              </w:rPr>
              <w:t>R</w:t>
            </w:r>
            <w:r w:rsidRPr="00214F9A">
              <w:rPr>
                <w:rFonts w:cs="Arial"/>
                <w:sz w:val="20"/>
              </w:rPr>
              <w:t xml:space="preserve">efer to the renal adjustment dose in the </w:t>
            </w:r>
            <w:r>
              <w:rPr>
                <w:rFonts w:cs="Arial"/>
                <w:sz w:val="20"/>
              </w:rPr>
              <w:t xml:space="preserve">dose adjustment </w:t>
            </w:r>
            <w:r w:rsidRPr="00214F9A">
              <w:rPr>
                <w:rFonts w:cs="Arial"/>
                <w:sz w:val="20"/>
              </w:rPr>
              <w:t>section.</w:t>
            </w:r>
          </w:p>
        </w:tc>
      </w:tr>
      <w:tr w:rsidRPr="003B78EA" w:rsidR="00532883" w:rsidTr="00532883" w14:paraId="1C286DA9" w14:textId="77777777">
        <w:trPr>
          <w:trHeight w:val="263"/>
        </w:trPr>
        <w:tc>
          <w:tcPr>
            <w:tcW w:w="982" w:type="pct"/>
          </w:tcPr>
          <w:p w:rsidRPr="003B78EA" w:rsidR="002227A5" w:rsidP="00131848" w:rsidRDefault="002227A5" w14:paraId="0B5588FE"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018" w:type="pct"/>
          </w:tcPr>
          <w:p w:rsidR="002227A5" w:rsidP="00131848" w:rsidRDefault="002227A5" w14:paraId="6B753351" w14:textId="77777777">
            <w:pPr>
              <w:pStyle w:val="BodyText"/>
              <w:rPr>
                <w:rFonts w:cs="Arial"/>
                <w:sz w:val="20"/>
              </w:rPr>
            </w:pPr>
            <w:r w:rsidRPr="00214F9A">
              <w:rPr>
                <w:rFonts w:cs="Arial"/>
                <w:sz w:val="20"/>
              </w:rPr>
              <w:t xml:space="preserve">Concurrent </w:t>
            </w:r>
            <w:r>
              <w:rPr>
                <w:rFonts w:cs="Arial"/>
                <w:sz w:val="20"/>
              </w:rPr>
              <w:t>use</w:t>
            </w:r>
            <w:r w:rsidRPr="00214F9A">
              <w:rPr>
                <w:rFonts w:cs="Arial"/>
                <w:sz w:val="20"/>
              </w:rPr>
              <w:t xml:space="preserve"> with other nephrotoxic drugs may cause renal impairment </w:t>
            </w:r>
            <w:r>
              <w:rPr>
                <w:rFonts w:cs="Arial"/>
                <w:sz w:val="20"/>
              </w:rPr>
              <w:t>(</w:t>
            </w:r>
            <w:r w:rsidRPr="00214F9A">
              <w:rPr>
                <w:rFonts w:cs="Arial"/>
                <w:sz w:val="20"/>
              </w:rPr>
              <w:t>gentamicin, f</w:t>
            </w:r>
            <w:r>
              <w:rPr>
                <w:rFonts w:cs="Arial"/>
                <w:sz w:val="20"/>
              </w:rPr>
              <w:t>uro</w:t>
            </w:r>
            <w:r w:rsidRPr="00214F9A">
              <w:rPr>
                <w:rFonts w:cs="Arial"/>
                <w:sz w:val="20"/>
              </w:rPr>
              <w:t>semide</w:t>
            </w:r>
            <w:r>
              <w:rPr>
                <w:rFonts w:cs="Arial"/>
                <w:sz w:val="20"/>
              </w:rPr>
              <w:t>)</w:t>
            </w:r>
            <w:r w:rsidRPr="00214F9A">
              <w:rPr>
                <w:rFonts w:cs="Arial"/>
                <w:sz w:val="20"/>
              </w:rPr>
              <w:t xml:space="preserve">. </w:t>
            </w:r>
          </w:p>
          <w:p w:rsidRPr="003B78EA" w:rsidR="002227A5" w:rsidP="00131848" w:rsidRDefault="002227A5" w14:paraId="0A3E895D" w14:textId="77777777">
            <w:pPr>
              <w:pStyle w:val="BodyText"/>
              <w:rPr>
                <w:rFonts w:asciiTheme="minorHAnsi" w:hAnsiTheme="minorHAnsi" w:cstheme="minorHAnsi"/>
                <w:sz w:val="20"/>
              </w:rPr>
            </w:pPr>
            <w:r w:rsidRPr="00214F9A">
              <w:rPr>
                <w:rFonts w:cs="Arial"/>
                <w:sz w:val="20"/>
              </w:rPr>
              <w:t>Concurrent use with ceftriaxone may cause renal impairment.</w:t>
            </w:r>
          </w:p>
        </w:tc>
      </w:tr>
      <w:tr w:rsidRPr="003B78EA" w:rsidR="00532883" w:rsidTr="00532883" w14:paraId="7524D048" w14:textId="77777777">
        <w:trPr>
          <w:trHeight w:val="263"/>
        </w:trPr>
        <w:tc>
          <w:tcPr>
            <w:tcW w:w="982" w:type="pct"/>
          </w:tcPr>
          <w:p w:rsidRPr="003B78EA" w:rsidR="002227A5" w:rsidP="00131848" w:rsidRDefault="002227A5" w14:paraId="56039AB3"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018" w:type="pct"/>
          </w:tcPr>
          <w:p w:rsidR="002227A5" w:rsidP="00131848" w:rsidRDefault="002227A5" w14:paraId="6352A89B" w14:textId="77777777">
            <w:pPr>
              <w:pStyle w:val="BodyText"/>
              <w:rPr>
                <w:rFonts w:cs="Arial"/>
                <w:sz w:val="20"/>
              </w:rPr>
            </w:pPr>
            <w:r w:rsidRPr="00214F9A">
              <w:rPr>
                <w:rFonts w:cs="Arial"/>
                <w:sz w:val="20"/>
              </w:rPr>
              <w:t xml:space="preserve">Neutropenia, thrombocytopenia may occur. </w:t>
            </w:r>
          </w:p>
          <w:p w:rsidR="002227A5" w:rsidP="00131848" w:rsidRDefault="002227A5" w14:paraId="751B2B81" w14:textId="77777777">
            <w:pPr>
              <w:pStyle w:val="BodyText"/>
              <w:rPr>
                <w:rFonts w:cs="Arial"/>
                <w:sz w:val="20"/>
              </w:rPr>
            </w:pPr>
            <w:r w:rsidRPr="00214F9A">
              <w:rPr>
                <w:rFonts w:cs="Arial"/>
                <w:sz w:val="20"/>
              </w:rPr>
              <w:t xml:space="preserve">May cause </w:t>
            </w:r>
          </w:p>
          <w:p w:rsidR="002227A5" w:rsidP="002227A5" w:rsidRDefault="002227A5" w14:paraId="2E60F4F7" w14:textId="77777777">
            <w:pPr>
              <w:pStyle w:val="BodyText"/>
              <w:numPr>
                <w:ilvl w:val="0"/>
                <w:numId w:val="53"/>
              </w:numPr>
              <w:overflowPunct w:val="0"/>
              <w:autoSpaceDE w:val="0"/>
              <w:autoSpaceDN w:val="0"/>
              <w:adjustRightInd w:val="0"/>
              <w:jc w:val="left"/>
              <w:textAlignment w:val="baseline"/>
              <w:rPr>
                <w:rFonts w:cs="Arial"/>
                <w:sz w:val="20"/>
              </w:rPr>
            </w:pPr>
            <w:r w:rsidRPr="00214F9A">
              <w:rPr>
                <w:rFonts w:cs="Arial"/>
                <w:sz w:val="20"/>
              </w:rPr>
              <w:t xml:space="preserve">neurotoxicity with lethargy, tremor, and agitation. </w:t>
            </w:r>
          </w:p>
          <w:p w:rsidR="002227A5" w:rsidP="002227A5" w:rsidRDefault="002227A5" w14:paraId="58A2805F" w14:textId="77777777">
            <w:pPr>
              <w:pStyle w:val="BodyText"/>
              <w:numPr>
                <w:ilvl w:val="0"/>
                <w:numId w:val="53"/>
              </w:numPr>
              <w:overflowPunct w:val="0"/>
              <w:autoSpaceDE w:val="0"/>
              <w:autoSpaceDN w:val="0"/>
              <w:adjustRightInd w:val="0"/>
              <w:jc w:val="left"/>
              <w:textAlignment w:val="baseline"/>
              <w:rPr>
                <w:rFonts w:cs="Arial"/>
                <w:sz w:val="20"/>
              </w:rPr>
            </w:pPr>
            <w:r w:rsidRPr="00214F9A">
              <w:rPr>
                <w:rFonts w:cs="Arial"/>
                <w:sz w:val="20"/>
              </w:rPr>
              <w:t xml:space="preserve">transient renal impairment which is minimised by </w:t>
            </w:r>
            <w:r>
              <w:rPr>
                <w:rFonts w:cs="Arial"/>
                <w:sz w:val="20"/>
              </w:rPr>
              <w:t>a</w:t>
            </w:r>
            <w:r w:rsidRPr="00214F9A">
              <w:rPr>
                <w:rFonts w:cs="Arial"/>
                <w:sz w:val="20"/>
              </w:rPr>
              <w:t xml:space="preserve"> slow administration rate. </w:t>
            </w:r>
          </w:p>
          <w:p w:rsidR="002227A5" w:rsidP="002227A5" w:rsidRDefault="002227A5" w14:paraId="6D2391C7" w14:textId="77777777">
            <w:pPr>
              <w:pStyle w:val="BodyText"/>
              <w:numPr>
                <w:ilvl w:val="0"/>
                <w:numId w:val="53"/>
              </w:numPr>
              <w:overflowPunct w:val="0"/>
              <w:autoSpaceDE w:val="0"/>
              <w:autoSpaceDN w:val="0"/>
              <w:adjustRightInd w:val="0"/>
              <w:jc w:val="left"/>
              <w:textAlignment w:val="baseline"/>
              <w:rPr>
                <w:rFonts w:cs="Arial"/>
                <w:sz w:val="20"/>
              </w:rPr>
            </w:pPr>
            <w:r w:rsidRPr="00214F9A">
              <w:rPr>
                <w:rFonts w:cs="Arial"/>
                <w:sz w:val="20"/>
              </w:rPr>
              <w:t xml:space="preserve">transient rise in AST and total bilirubin. </w:t>
            </w:r>
          </w:p>
          <w:p w:rsidR="002227A5" w:rsidP="002227A5" w:rsidRDefault="002227A5" w14:paraId="089C7442" w14:textId="77777777">
            <w:pPr>
              <w:pStyle w:val="BodyText"/>
              <w:numPr>
                <w:ilvl w:val="0"/>
                <w:numId w:val="53"/>
              </w:numPr>
              <w:overflowPunct w:val="0"/>
              <w:autoSpaceDE w:val="0"/>
              <w:autoSpaceDN w:val="0"/>
              <w:adjustRightInd w:val="0"/>
              <w:jc w:val="left"/>
              <w:textAlignment w:val="baseline"/>
              <w:rPr>
                <w:rFonts w:asciiTheme="minorHAnsi" w:hAnsiTheme="minorHAnsi" w:cstheme="minorHAnsi"/>
                <w:sz w:val="20"/>
              </w:rPr>
            </w:pPr>
            <w:r>
              <w:rPr>
                <w:rFonts w:cs="Arial"/>
                <w:sz w:val="20"/>
              </w:rPr>
              <w:t>p</w:t>
            </w:r>
            <w:r w:rsidRPr="00214F9A">
              <w:rPr>
                <w:rFonts w:cs="Arial"/>
                <w:sz w:val="20"/>
              </w:rPr>
              <w:t xml:space="preserve">hlebitis at IV injection site (highly alkaline solution). </w:t>
            </w:r>
            <w:r>
              <w:rPr>
                <w:rFonts w:cs="Arial"/>
                <w:sz w:val="20"/>
              </w:rPr>
              <w:t>T</w:t>
            </w:r>
            <w:r w:rsidRPr="00214F9A">
              <w:rPr>
                <w:rFonts w:cs="Arial"/>
                <w:sz w:val="20"/>
              </w:rPr>
              <w:t>he solution can be made more dilute.</w:t>
            </w:r>
          </w:p>
        </w:tc>
      </w:tr>
      <w:tr w:rsidRPr="003B78EA" w:rsidR="00532883" w:rsidTr="00532883" w14:paraId="45EB5763" w14:textId="77777777">
        <w:trPr>
          <w:trHeight w:val="263"/>
        </w:trPr>
        <w:tc>
          <w:tcPr>
            <w:tcW w:w="982" w:type="pct"/>
          </w:tcPr>
          <w:p w:rsidRPr="003B78EA" w:rsidR="002227A5" w:rsidP="00131848" w:rsidRDefault="002227A5" w14:paraId="20573EDD"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018" w:type="pct"/>
          </w:tcPr>
          <w:p w:rsidRPr="00532883" w:rsidR="002227A5" w:rsidP="00131848" w:rsidRDefault="002227A5" w14:paraId="4E135C8E" w14:textId="77777777">
            <w:pPr>
              <w:pStyle w:val="BodyText"/>
              <w:rPr>
                <w:sz w:val="16"/>
                <w:szCs w:val="16"/>
              </w:rPr>
            </w:pPr>
            <w:r w:rsidRPr="00532883">
              <w:rPr>
                <w:sz w:val="16"/>
                <w:szCs w:val="16"/>
              </w:rPr>
              <w:t>Fluids: sodium chloride 0.45%, sodium chloride 0.9%</w:t>
            </w:r>
          </w:p>
          <w:p w:rsidRPr="00532883" w:rsidR="002227A5" w:rsidP="00131848" w:rsidRDefault="002227A5" w14:paraId="57D29D3C" w14:textId="77777777">
            <w:pPr>
              <w:pStyle w:val="BodyText"/>
              <w:rPr>
                <w:sz w:val="16"/>
                <w:szCs w:val="16"/>
              </w:rPr>
            </w:pPr>
          </w:p>
          <w:p w:rsidRPr="00532883" w:rsidR="002227A5" w:rsidP="00131848" w:rsidRDefault="002227A5" w14:paraId="45E6E4FB" w14:textId="77777777">
            <w:pPr>
              <w:pStyle w:val="BodyText"/>
              <w:rPr>
                <w:rFonts w:asciiTheme="minorHAnsi" w:hAnsiTheme="minorHAnsi" w:cstheme="minorHAnsi"/>
                <w:sz w:val="16"/>
                <w:szCs w:val="16"/>
              </w:rPr>
            </w:pPr>
            <w:r w:rsidRPr="00532883">
              <w:rPr>
                <w:sz w:val="16"/>
                <w:szCs w:val="16"/>
              </w:rPr>
              <w:t>Compatible via Y-site : Amikacin, ampicillin, anidulafungin, cefotaxime, ceftazidime, ceftriaxone, cefazolin, chloramphenicol, clindamycin, dexamethasone, doripenem, erythromycin, fluconazole, heparin sodium, hydrocortisone sodium succinate, imipenem–cilastatin, linezolid, lorazepam, magnesium sulfate, methylprednisolone sodium succinate, metronidazole, potassium chloride, ranitidine, remifentanil, sodium bicarbonate, tobramycin, trimethoprim-sulfamethoxazole, vancomycin, zidovudine</w:t>
            </w:r>
          </w:p>
        </w:tc>
      </w:tr>
      <w:tr w:rsidRPr="003B78EA" w:rsidR="00532883" w:rsidTr="00532883" w14:paraId="44841453" w14:textId="77777777">
        <w:trPr>
          <w:trHeight w:val="263"/>
        </w:trPr>
        <w:tc>
          <w:tcPr>
            <w:tcW w:w="982" w:type="pct"/>
          </w:tcPr>
          <w:p w:rsidRPr="003B78EA" w:rsidR="002227A5" w:rsidP="00131848" w:rsidRDefault="002227A5" w14:paraId="70844183"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018" w:type="pct"/>
          </w:tcPr>
          <w:p w:rsidRPr="00532883" w:rsidR="002227A5" w:rsidP="00131848" w:rsidRDefault="002227A5" w14:paraId="1CD2228C" w14:textId="77777777">
            <w:pPr>
              <w:pStyle w:val="BodyText"/>
              <w:rPr>
                <w:rFonts w:asciiTheme="minorHAnsi" w:hAnsiTheme="minorHAnsi" w:cstheme="minorHAnsi"/>
                <w:sz w:val="16"/>
                <w:szCs w:val="16"/>
              </w:rPr>
            </w:pPr>
            <w:r w:rsidRPr="00532883">
              <w:rPr>
                <w:rFonts w:cs="Arial"/>
                <w:sz w:val="16"/>
                <w:szCs w:val="16"/>
              </w:rPr>
              <w:t>Amino acid/glucose solution, glucose-containing solutions, adrenaline (epinephrine) hydrochloride, aztreonam, caffeine citrate, cefepime, ciprofloxacin, dobutamine, dopamine, esmolol, gentamicin, hydralazine, ketamine, labetalol, lidocaine (lignocaine), midazolam, pentamidine, phenylephrine, piperacillin–tazobactam (EDTA-free), potassium phosphate, sodium nitroprusside, sodium phosphate, ticarcillin–clavulanate, vecuronium, verapamil.</w:t>
            </w:r>
          </w:p>
        </w:tc>
      </w:tr>
      <w:tr w:rsidRPr="003B78EA" w:rsidR="00532883" w:rsidTr="00532883" w14:paraId="49D8B5B9" w14:textId="77777777">
        <w:trPr>
          <w:trHeight w:val="263"/>
        </w:trPr>
        <w:tc>
          <w:tcPr>
            <w:tcW w:w="982" w:type="pct"/>
          </w:tcPr>
          <w:p w:rsidRPr="003B78EA" w:rsidR="002227A5" w:rsidP="00131848" w:rsidRDefault="002227A5" w14:paraId="1A0C8839"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018" w:type="pct"/>
          </w:tcPr>
          <w:p w:rsidRPr="003B78EA" w:rsidR="002227A5" w:rsidP="00131848" w:rsidRDefault="002227A5" w14:paraId="6DD2C4E7" w14:textId="77777777">
            <w:pPr>
              <w:pStyle w:val="BodyText"/>
              <w:rPr>
                <w:rFonts w:asciiTheme="minorHAnsi" w:hAnsiTheme="minorHAnsi" w:cstheme="minorHAnsi"/>
                <w:sz w:val="20"/>
              </w:rPr>
            </w:pPr>
            <w:r w:rsidRPr="00214F9A">
              <w:rPr>
                <w:rFonts w:cs="Arial"/>
                <w:sz w:val="20"/>
              </w:rPr>
              <w:t>Dilute</w:t>
            </w:r>
            <w:r>
              <w:rPr>
                <w:rFonts w:cs="Arial"/>
                <w:sz w:val="20"/>
              </w:rPr>
              <w:t>d</w:t>
            </w:r>
            <w:r w:rsidRPr="00214F9A">
              <w:rPr>
                <w:rFonts w:cs="Arial"/>
                <w:sz w:val="20"/>
              </w:rPr>
              <w:t xml:space="preserve"> solutions should be used as soon as practicable, discard unused </w:t>
            </w:r>
            <w:r>
              <w:rPr>
                <w:rFonts w:cs="Arial"/>
                <w:sz w:val="20"/>
              </w:rPr>
              <w:t>portion</w:t>
            </w:r>
            <w:r w:rsidRPr="00214F9A">
              <w:rPr>
                <w:rFonts w:cs="Arial"/>
                <w:sz w:val="20"/>
              </w:rPr>
              <w:t>.</w:t>
            </w:r>
          </w:p>
        </w:tc>
      </w:tr>
      <w:tr w:rsidRPr="003B78EA" w:rsidR="00532883" w:rsidTr="00532883" w14:paraId="6D23D15B" w14:textId="77777777">
        <w:trPr>
          <w:trHeight w:val="263"/>
        </w:trPr>
        <w:tc>
          <w:tcPr>
            <w:tcW w:w="982" w:type="pct"/>
          </w:tcPr>
          <w:p w:rsidRPr="003B78EA" w:rsidR="002227A5" w:rsidP="00131848" w:rsidRDefault="002227A5" w14:paraId="19C051F3"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018" w:type="pct"/>
          </w:tcPr>
          <w:p w:rsidRPr="003B78EA" w:rsidR="002227A5" w:rsidP="00131848" w:rsidRDefault="002227A5" w14:paraId="0214A5A8" w14:textId="77777777">
            <w:pPr>
              <w:pStyle w:val="BodyText"/>
              <w:rPr>
                <w:rFonts w:asciiTheme="minorHAnsi" w:hAnsiTheme="minorHAnsi" w:cstheme="minorHAnsi"/>
                <w:sz w:val="20"/>
              </w:rPr>
            </w:pPr>
            <w:r w:rsidRPr="00214F9A">
              <w:rPr>
                <w:rFonts w:cs="Arial"/>
                <w:sz w:val="20"/>
              </w:rPr>
              <w:t>Store below 25</w:t>
            </w:r>
            <w:r>
              <w:rPr>
                <w:rFonts w:cs="Calibri"/>
                <w:sz w:val="20"/>
              </w:rPr>
              <w:t>°</w:t>
            </w:r>
            <w:r w:rsidRPr="00214F9A">
              <w:rPr>
                <w:rFonts w:cs="Arial"/>
                <w:sz w:val="20"/>
              </w:rPr>
              <w:t>C. Do NOT refrigerate (may result in precipitation)</w:t>
            </w:r>
            <w:r>
              <w:rPr>
                <w:rFonts w:cs="Arial"/>
                <w:sz w:val="20"/>
              </w:rPr>
              <w:t>.</w:t>
            </w:r>
          </w:p>
        </w:tc>
      </w:tr>
      <w:tr w:rsidRPr="003B78EA" w:rsidR="00532883" w:rsidTr="00532883" w14:paraId="36909AE7" w14:textId="77777777">
        <w:trPr>
          <w:trHeight w:val="263"/>
        </w:trPr>
        <w:tc>
          <w:tcPr>
            <w:tcW w:w="982" w:type="pct"/>
          </w:tcPr>
          <w:p w:rsidRPr="003B78EA" w:rsidR="002227A5" w:rsidP="00131848" w:rsidRDefault="002227A5" w14:paraId="12237A2A"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Excipients</w:t>
            </w:r>
          </w:p>
        </w:tc>
        <w:tc>
          <w:tcPr>
            <w:tcW w:w="4018" w:type="pct"/>
          </w:tcPr>
          <w:p w:rsidRPr="006C722B" w:rsidR="002227A5" w:rsidP="00131848" w:rsidRDefault="002227A5" w14:paraId="7612493D" w14:textId="77777777">
            <w:pPr>
              <w:pStyle w:val="BodyText"/>
              <w:rPr>
                <w:rFonts w:asciiTheme="minorHAnsi" w:hAnsiTheme="minorHAnsi" w:cstheme="minorHAnsi"/>
                <w:sz w:val="20"/>
              </w:rPr>
            </w:pPr>
            <w:r w:rsidRPr="007D1E87">
              <w:rPr>
                <w:rFonts w:cs="Arial" w:asciiTheme="minorHAnsi" w:hAnsiTheme="minorHAnsi"/>
                <w:color w:val="000000"/>
                <w:sz w:val="20"/>
                <w:shd w:val="clear" w:color="auto" w:fill="FFFFFF"/>
              </w:rPr>
              <w:t>Sodium hydroxide</w:t>
            </w:r>
          </w:p>
        </w:tc>
      </w:tr>
      <w:tr w:rsidRPr="003B78EA" w:rsidR="00532883" w:rsidTr="00532883" w14:paraId="3EFC8F10" w14:textId="77777777">
        <w:trPr>
          <w:trHeight w:val="263"/>
        </w:trPr>
        <w:tc>
          <w:tcPr>
            <w:tcW w:w="982" w:type="pct"/>
          </w:tcPr>
          <w:p w:rsidRPr="003B78EA" w:rsidR="002227A5" w:rsidP="00131848" w:rsidRDefault="002227A5" w14:paraId="64935F91"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018" w:type="pct"/>
          </w:tcPr>
          <w:p w:rsidRPr="003B78EA" w:rsidR="002227A5" w:rsidP="00131848" w:rsidRDefault="002227A5" w14:paraId="04C61ABE" w14:textId="77777777">
            <w:pPr>
              <w:pStyle w:val="BodyText"/>
              <w:rPr>
                <w:rFonts w:asciiTheme="minorHAnsi" w:hAnsiTheme="minorHAnsi" w:cstheme="minorHAnsi"/>
                <w:sz w:val="20"/>
              </w:rPr>
            </w:pPr>
            <w:r w:rsidRPr="00214F9A">
              <w:rPr>
                <w:rFonts w:cs="Arial"/>
                <w:sz w:val="20"/>
              </w:rPr>
              <w:t>The infusion solution may be filtered. Discard the solution if visible turbidity or crystallisation appears.</w:t>
            </w:r>
          </w:p>
        </w:tc>
      </w:tr>
      <w:tr w:rsidRPr="003B78EA" w:rsidR="00532883" w:rsidTr="00532883" w14:paraId="233EF1DB" w14:textId="77777777">
        <w:trPr>
          <w:trHeight w:val="263"/>
        </w:trPr>
        <w:tc>
          <w:tcPr>
            <w:tcW w:w="982" w:type="pct"/>
          </w:tcPr>
          <w:p w:rsidRPr="003B78EA" w:rsidR="002227A5" w:rsidP="00131848" w:rsidRDefault="002227A5" w14:paraId="7A0940CF"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018" w:type="pct"/>
          </w:tcPr>
          <w:p w:rsidRPr="002227A5" w:rsidR="002227A5" w:rsidP="00131848" w:rsidRDefault="002227A5" w14:paraId="500849E6" w14:textId="77777777">
            <w:pPr>
              <w:pStyle w:val="BodyText"/>
              <w:tabs>
                <w:tab w:val="left" w:pos="1168"/>
              </w:tabs>
              <w:rPr>
                <w:b/>
                <w:sz w:val="16"/>
                <w:szCs w:val="16"/>
              </w:rPr>
            </w:pPr>
            <w:r w:rsidRPr="002227A5">
              <w:rPr>
                <w:b/>
                <w:sz w:val="16"/>
                <w:szCs w:val="16"/>
              </w:rPr>
              <w:t>Efficacy</w:t>
            </w:r>
          </w:p>
          <w:p w:rsidRPr="002227A5" w:rsidR="002227A5" w:rsidP="00131848" w:rsidRDefault="002227A5" w14:paraId="6907CA67" w14:textId="77777777">
            <w:pPr>
              <w:pStyle w:val="BodyText"/>
              <w:tabs>
                <w:tab w:val="left" w:pos="1168"/>
              </w:tabs>
              <w:rPr>
                <w:sz w:val="16"/>
                <w:szCs w:val="16"/>
                <w:u w:val="single"/>
              </w:rPr>
            </w:pPr>
            <w:r w:rsidRPr="002227A5">
              <w:rPr>
                <w:sz w:val="16"/>
                <w:szCs w:val="16"/>
                <w:u w:val="single"/>
              </w:rPr>
              <w:t xml:space="preserve">High-dose versus low-dose for HSV treatment: </w:t>
            </w:r>
          </w:p>
          <w:p w:rsidRPr="002227A5" w:rsidR="002227A5" w:rsidP="00131848" w:rsidRDefault="002227A5" w14:paraId="6AECC70E" w14:textId="77777777">
            <w:pPr>
              <w:pStyle w:val="BodyText"/>
              <w:tabs>
                <w:tab w:val="left" w:pos="1168"/>
              </w:tabs>
              <w:rPr>
                <w:sz w:val="16"/>
                <w:szCs w:val="16"/>
              </w:rPr>
            </w:pPr>
            <w:r w:rsidRPr="002227A5">
              <w:rPr>
                <w:sz w:val="16"/>
                <w:szCs w:val="16"/>
              </w:rPr>
              <w:t>An open-label evaluation of IV aciclovir prospectively compared 16 patients receiving 45 mg/kg/day and 72 patients receiving 60 mg/kg/day in divided doses to historical controls from a previously reported trial which used 30 mg/kg/day. Survival rate for the high-dose aciclovir was found to be significantly greater than for low-dose aciclovir. Recipients of high-dose aciclovir also had a borderline significant decrease in morbidity. Neutropenia, renal dysfunction, abnormal platelet count, low haemoglobin and elevated AST were noted but the possible adverse drug reactions of high-dose aciclovir couldn’t be separated from the effects of viral infection and underlying medical conditions. 20 mg/kg/dose 8 hourly aciclovir is also recommended by American Academy of Pediatrics (AAP) and Australasian Society for Infectious Diseases (ASID).</w:t>
            </w:r>
            <w:r w:rsidRPr="002227A5">
              <w:rPr>
                <w:sz w:val="16"/>
                <w:szCs w:val="16"/>
                <w:vertAlign w:val="superscript"/>
              </w:rPr>
              <w:t>1,2,6</w:t>
            </w:r>
            <w:r w:rsidRPr="002227A5">
              <w:rPr>
                <w:sz w:val="16"/>
                <w:szCs w:val="16"/>
              </w:rPr>
              <w:t xml:space="preserve"> (LOE III-3, GOR C) </w:t>
            </w:r>
          </w:p>
          <w:p w:rsidRPr="002227A5" w:rsidR="002227A5" w:rsidP="00131848" w:rsidRDefault="002227A5" w14:paraId="189D44AC" w14:textId="77777777">
            <w:pPr>
              <w:pStyle w:val="BodyText"/>
              <w:tabs>
                <w:tab w:val="left" w:pos="1168"/>
              </w:tabs>
              <w:rPr>
                <w:sz w:val="16"/>
                <w:szCs w:val="16"/>
                <w:u w:val="single"/>
              </w:rPr>
            </w:pPr>
            <w:r w:rsidRPr="002227A5">
              <w:rPr>
                <w:sz w:val="16"/>
                <w:szCs w:val="16"/>
                <w:u w:val="single"/>
              </w:rPr>
              <w:t xml:space="preserve">HSV suppression following treatment to prevent CNS sequelae: </w:t>
            </w:r>
          </w:p>
          <w:p w:rsidRPr="002227A5" w:rsidR="002227A5" w:rsidP="00131848" w:rsidRDefault="002227A5" w14:paraId="64603334" w14:textId="77777777">
            <w:pPr>
              <w:pStyle w:val="BodyText"/>
              <w:tabs>
                <w:tab w:val="left" w:pos="1168"/>
              </w:tabs>
              <w:rPr>
                <w:sz w:val="16"/>
                <w:szCs w:val="16"/>
              </w:rPr>
            </w:pPr>
            <w:r w:rsidRPr="002227A5">
              <w:rPr>
                <w:sz w:val="16"/>
                <w:szCs w:val="16"/>
              </w:rPr>
              <w:t>Neonates were enrolled in two parallel, identical, double-blind, placebo-controlled studies. Neonates with central nervous system (CNS) involvement were enrolled in one study, and neonates with skin, eye, and mouth involvement only were enrolled in the other. After completing a regimen of 14 to 21 days of parenteral aciclovir, the infants were randomly assigned to immediate aciclovir suppression (300 mg per square meter of body-surface area per dose orally, three times daily for 6 months) or placebo. The Mental Development Index of the Bayley Scales of Infant Development was assessed at 12 months of age in 28 of 45 infants enrolled with HSV CNS involvement. After adjustment for covariates, infants assigned to aciclovir suppression had significantly higher mean scores than infants assigned to placebo. There was a trend toward more neutropenia in the aciclovir group (1,5) (LOE II, GOR B).</w:t>
            </w:r>
          </w:p>
          <w:p w:rsidRPr="002227A5" w:rsidR="002227A5" w:rsidP="00131848" w:rsidRDefault="002227A5" w14:paraId="59993EFC" w14:textId="77777777">
            <w:pPr>
              <w:pStyle w:val="BodyText"/>
              <w:tabs>
                <w:tab w:val="left" w:pos="1168"/>
              </w:tabs>
              <w:rPr>
                <w:sz w:val="16"/>
                <w:szCs w:val="16"/>
                <w:u w:val="single"/>
              </w:rPr>
            </w:pPr>
            <w:r w:rsidRPr="002227A5">
              <w:rPr>
                <w:sz w:val="16"/>
                <w:szCs w:val="16"/>
                <w:u w:val="single"/>
              </w:rPr>
              <w:t>VZV (Varicella zoster virus) treatment:</w:t>
            </w:r>
          </w:p>
          <w:p w:rsidRPr="002227A5" w:rsidR="002227A5" w:rsidP="00131848" w:rsidRDefault="002227A5" w14:paraId="6712355E" w14:textId="77777777">
            <w:pPr>
              <w:pStyle w:val="BodyText"/>
              <w:tabs>
                <w:tab w:val="left" w:pos="1168"/>
              </w:tabs>
              <w:rPr>
                <w:sz w:val="16"/>
                <w:szCs w:val="16"/>
              </w:rPr>
            </w:pPr>
            <w:r w:rsidRPr="002227A5">
              <w:rPr>
                <w:sz w:val="16"/>
                <w:szCs w:val="16"/>
              </w:rPr>
              <w:t xml:space="preserve">20 mg/kg/dose 8 hourly is recommended by ASID guidelines but is not supported by data from any trial. </w:t>
            </w:r>
          </w:p>
          <w:p w:rsidRPr="002227A5" w:rsidR="002227A5" w:rsidP="00131848" w:rsidRDefault="002227A5" w14:paraId="40963F99" w14:textId="77777777">
            <w:pPr>
              <w:pStyle w:val="BodyText"/>
              <w:tabs>
                <w:tab w:val="left" w:pos="1168"/>
              </w:tabs>
              <w:rPr>
                <w:sz w:val="16"/>
                <w:szCs w:val="16"/>
              </w:rPr>
            </w:pPr>
          </w:p>
          <w:p w:rsidRPr="002227A5" w:rsidR="002227A5" w:rsidP="00131848" w:rsidRDefault="002227A5" w14:paraId="5F12B25D" w14:textId="77777777">
            <w:pPr>
              <w:pStyle w:val="BodyText"/>
              <w:tabs>
                <w:tab w:val="left" w:pos="1168"/>
              </w:tabs>
              <w:rPr>
                <w:b/>
                <w:sz w:val="16"/>
                <w:szCs w:val="16"/>
              </w:rPr>
            </w:pPr>
            <w:r w:rsidRPr="002227A5">
              <w:rPr>
                <w:b/>
                <w:sz w:val="16"/>
                <w:szCs w:val="16"/>
              </w:rPr>
              <w:t>Safety</w:t>
            </w:r>
          </w:p>
          <w:p w:rsidRPr="002227A5" w:rsidR="002227A5" w:rsidP="00131848" w:rsidRDefault="002227A5" w14:paraId="6B517532" w14:textId="77777777">
            <w:pPr>
              <w:pStyle w:val="BodyText"/>
              <w:tabs>
                <w:tab w:val="left" w:pos="1168"/>
              </w:tabs>
              <w:rPr>
                <w:sz w:val="16"/>
                <w:szCs w:val="16"/>
              </w:rPr>
            </w:pPr>
            <w:r w:rsidRPr="002227A5">
              <w:rPr>
                <w:sz w:val="16"/>
                <w:szCs w:val="16"/>
              </w:rPr>
              <w:t>Safety data from studies on aciclovir use in HSV infections would apply (1).</w:t>
            </w:r>
          </w:p>
          <w:p w:rsidRPr="002227A5" w:rsidR="002227A5" w:rsidP="00131848" w:rsidRDefault="002227A5" w14:paraId="2F09F015" w14:textId="77777777">
            <w:pPr>
              <w:pStyle w:val="BodyText"/>
              <w:tabs>
                <w:tab w:val="left" w:pos="1168"/>
              </w:tabs>
              <w:rPr>
                <w:b/>
                <w:sz w:val="16"/>
                <w:szCs w:val="16"/>
              </w:rPr>
            </w:pPr>
            <w:r w:rsidRPr="002227A5">
              <w:rPr>
                <w:b/>
                <w:sz w:val="16"/>
                <w:szCs w:val="16"/>
              </w:rPr>
              <w:t xml:space="preserve">Pharmacokinetics </w:t>
            </w:r>
          </w:p>
          <w:p w:rsidRPr="002227A5" w:rsidR="002227A5" w:rsidP="00131848" w:rsidRDefault="002227A5" w14:paraId="2B4C2547" w14:textId="77777777">
            <w:pPr>
              <w:pStyle w:val="BodyText"/>
              <w:tabs>
                <w:tab w:val="left" w:pos="1168"/>
              </w:tabs>
              <w:rPr>
                <w:rFonts w:asciiTheme="minorHAnsi" w:hAnsiTheme="minorHAnsi" w:cstheme="minorHAnsi"/>
                <w:sz w:val="16"/>
                <w:szCs w:val="16"/>
              </w:rPr>
            </w:pPr>
            <w:r w:rsidRPr="002227A5">
              <w:rPr>
                <w:sz w:val="16"/>
                <w:szCs w:val="16"/>
              </w:rPr>
              <w:t>A study of 28 infants evaluated the pharmacokinetics of aciclovir in neonates with postmenstrual age (PMA) 25–41 weeks and 1–30 postnatal days. Aciclovir pharmacokinetics was described by a 1-compartment model and the study proposed dosing: 20 mg/kg 12 hourly in PMA &lt; 30 weeks; 20 mg/kg 8 hourly in PMA 30 to &lt; 36 weeks and 20 mg/kg 6 hourly in PMA 36–41 weeks.</w:t>
            </w:r>
            <w:r w:rsidRPr="002227A5">
              <w:rPr>
                <w:sz w:val="16"/>
                <w:szCs w:val="16"/>
                <w:vertAlign w:val="superscript"/>
              </w:rPr>
              <w:t>4</w:t>
            </w:r>
            <w:r w:rsidRPr="002227A5">
              <w:rPr>
                <w:sz w:val="16"/>
                <w:szCs w:val="16"/>
              </w:rPr>
              <w:t xml:space="preserve"> (LOE III-3) Another pharmacokinetic study of 16 neonates born at gestational ages of 27–40 weeks, postnatal age 1–56 days, described aciclovir pharmacokinetics as two-compartment and found a relationship between clearance and serum creatinine concentration. Dosing recommendations are given based on creatinine, with a “standard dose” being 10 mg/kg /dose 8 hourly for a neonate with normal renal function.</w:t>
            </w:r>
            <w:r w:rsidRPr="002227A5">
              <w:rPr>
                <w:sz w:val="16"/>
                <w:szCs w:val="16"/>
                <w:vertAlign w:val="superscript"/>
              </w:rPr>
              <w:t xml:space="preserve">3 </w:t>
            </w:r>
            <w:r w:rsidRPr="002227A5">
              <w:rPr>
                <w:sz w:val="16"/>
                <w:szCs w:val="16"/>
              </w:rPr>
              <w:t>(LOE III-3, GOR C).</w:t>
            </w:r>
          </w:p>
        </w:tc>
      </w:tr>
      <w:tr w:rsidRPr="003B78EA" w:rsidR="00532883" w:rsidTr="00532883" w14:paraId="062DED7D" w14:textId="77777777">
        <w:trPr>
          <w:trHeight w:val="263"/>
        </w:trPr>
        <w:tc>
          <w:tcPr>
            <w:tcW w:w="982" w:type="pct"/>
          </w:tcPr>
          <w:p w:rsidRPr="003B78EA" w:rsidR="002227A5" w:rsidP="00131848" w:rsidRDefault="002227A5" w14:paraId="40D128F6"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4018" w:type="pct"/>
          </w:tcPr>
          <w:p w:rsidRPr="003B78EA" w:rsidR="002227A5" w:rsidP="00131848" w:rsidRDefault="002227A5" w14:paraId="331D4D5E" w14:textId="77777777">
            <w:pPr>
              <w:pStyle w:val="BodyText"/>
              <w:tabs>
                <w:tab w:val="left" w:pos="1168"/>
              </w:tabs>
              <w:rPr>
                <w:rFonts w:asciiTheme="minorHAnsi" w:hAnsiTheme="minorHAnsi" w:cstheme="minorHAnsi"/>
                <w:sz w:val="20"/>
              </w:rPr>
            </w:pPr>
          </w:p>
        </w:tc>
      </w:tr>
      <w:tr w:rsidRPr="003B78EA" w:rsidR="00532883" w:rsidTr="00532883" w14:paraId="234720E2" w14:textId="77777777">
        <w:trPr>
          <w:trHeight w:val="263"/>
        </w:trPr>
        <w:tc>
          <w:tcPr>
            <w:tcW w:w="982" w:type="pct"/>
          </w:tcPr>
          <w:p w:rsidRPr="003B78EA" w:rsidR="002227A5" w:rsidP="00131848" w:rsidRDefault="002227A5" w14:paraId="2AFC7BD3"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018" w:type="pct"/>
          </w:tcPr>
          <w:p w:rsidRPr="002227A5" w:rsidR="002227A5" w:rsidP="002227A5" w:rsidRDefault="002227A5" w14:paraId="332715F6" w14:textId="77777777">
            <w:pPr>
              <w:numPr>
                <w:ilvl w:val="0"/>
                <w:numId w:val="52"/>
              </w:numPr>
              <w:rPr>
                <w:sz w:val="16"/>
                <w:szCs w:val="16"/>
              </w:rPr>
            </w:pPr>
            <w:r w:rsidRPr="002227A5">
              <w:rPr>
                <w:sz w:val="16"/>
                <w:szCs w:val="16"/>
              </w:rPr>
              <w:t xml:space="preserve">Palasanthiran P, Starr M, Jones C, Giles M. Management of Perinatal Infections, Australasian Society for Infectious Diseases (ASID), 2014 </w:t>
            </w:r>
          </w:p>
          <w:p w:rsidRPr="002227A5" w:rsidR="002227A5" w:rsidP="002227A5" w:rsidRDefault="002227A5" w14:paraId="7D823CB4" w14:textId="77777777">
            <w:pPr>
              <w:numPr>
                <w:ilvl w:val="0"/>
                <w:numId w:val="52"/>
              </w:numPr>
              <w:rPr>
                <w:sz w:val="16"/>
                <w:szCs w:val="16"/>
              </w:rPr>
            </w:pPr>
            <w:r w:rsidRPr="002227A5">
              <w:rPr>
                <w:sz w:val="16"/>
                <w:szCs w:val="16"/>
              </w:rPr>
              <w:t>Kimberlin DW, Lin CY, Jacobs RF, Powell DA, Corey L, Gruber WC, Rathore M, Bradley JS, Diaz PS, Kumar M, Arvin AM. Safety and efficacy of high-dose intravenous acyclovir in the management of neonatal herpes simplex virus infections. Pediatrics. 2001;108(2):230-8.</w:t>
            </w:r>
          </w:p>
          <w:p w:rsidRPr="002227A5" w:rsidR="002227A5" w:rsidP="002227A5" w:rsidRDefault="002227A5" w14:paraId="085FCA64" w14:textId="77777777">
            <w:pPr>
              <w:numPr>
                <w:ilvl w:val="0"/>
                <w:numId w:val="52"/>
              </w:numPr>
              <w:rPr>
                <w:sz w:val="16"/>
                <w:szCs w:val="16"/>
              </w:rPr>
            </w:pPr>
            <w:r w:rsidRPr="002227A5">
              <w:rPr>
                <w:sz w:val="16"/>
                <w:szCs w:val="16"/>
              </w:rPr>
              <w:t>Englund JA, Fletcher CV, Balfour HH. Acyclovir therapy in neonates. The Journal of pediatrics. 1991;119(1):129-35.</w:t>
            </w:r>
          </w:p>
          <w:p w:rsidRPr="002227A5" w:rsidR="002227A5" w:rsidP="002227A5" w:rsidRDefault="002227A5" w14:paraId="5DE421B0" w14:textId="77777777">
            <w:pPr>
              <w:numPr>
                <w:ilvl w:val="0"/>
                <w:numId w:val="52"/>
              </w:numPr>
              <w:rPr>
                <w:sz w:val="16"/>
                <w:szCs w:val="16"/>
              </w:rPr>
            </w:pPr>
            <w:r w:rsidRPr="002227A5">
              <w:rPr>
                <w:sz w:val="16"/>
                <w:szCs w:val="16"/>
              </w:rPr>
              <w:t>Sampson MR, Bloom BT, Lenfestey RW, Harper B, Kashuba AD, Anand R, Benjamin Jr DK, Capparelli E, Cohen-Wolkowiez M, Smith PB. Population pharmacokinetics of intravenous acyclovir in preterm and term infants. The Pediatric infectious disease journal. 2014;33(1):42.</w:t>
            </w:r>
            <w:r w:rsidRPr="002227A5" w:rsidDel="003818B1">
              <w:rPr>
                <w:sz w:val="16"/>
                <w:szCs w:val="16"/>
              </w:rPr>
              <w:t xml:space="preserve"> </w:t>
            </w:r>
          </w:p>
          <w:p w:rsidRPr="002227A5" w:rsidR="002227A5" w:rsidP="002227A5" w:rsidRDefault="002227A5" w14:paraId="13ED4218" w14:textId="77777777">
            <w:pPr>
              <w:numPr>
                <w:ilvl w:val="0"/>
                <w:numId w:val="52"/>
              </w:numPr>
              <w:rPr>
                <w:sz w:val="16"/>
                <w:szCs w:val="16"/>
              </w:rPr>
            </w:pPr>
            <w:r w:rsidRPr="002227A5">
              <w:rPr>
                <w:sz w:val="16"/>
                <w:szCs w:val="16"/>
              </w:rPr>
              <w:t>Kimberlin DW, Whitley RJ, Wan W, Powell DA, Storch G, Ahmed A, Palmer A, Sánchez PJ, Jacobs RF, Bradley JS, Robinson JL. Oral acyclovir suppression and neurodevelopment after neonatal herpes. New England Journal of Medicine. 2011;365(14):1284-92.</w:t>
            </w:r>
          </w:p>
          <w:p w:rsidRPr="002227A5" w:rsidR="002227A5" w:rsidP="002227A5" w:rsidRDefault="002227A5" w14:paraId="100D4E71" w14:textId="77777777">
            <w:pPr>
              <w:numPr>
                <w:ilvl w:val="0"/>
                <w:numId w:val="52"/>
              </w:numPr>
              <w:rPr>
                <w:sz w:val="16"/>
                <w:szCs w:val="16"/>
              </w:rPr>
            </w:pPr>
            <w:r w:rsidRPr="002227A5">
              <w:rPr>
                <w:sz w:val="16"/>
                <w:szCs w:val="16"/>
              </w:rPr>
              <w:t xml:space="preserve">Australian Injectable Drugs Handbook, 6th Edition, 2016 </w:t>
            </w:r>
          </w:p>
          <w:p w:rsidRPr="002227A5" w:rsidR="002227A5" w:rsidP="002227A5" w:rsidRDefault="002227A5" w14:paraId="6986EF9C" w14:textId="77777777">
            <w:pPr>
              <w:numPr>
                <w:ilvl w:val="0"/>
                <w:numId w:val="52"/>
              </w:numPr>
              <w:rPr>
                <w:rFonts w:asciiTheme="minorHAnsi" w:hAnsiTheme="minorHAnsi" w:eastAsiaTheme="minorHAnsi" w:cstheme="minorHAnsi"/>
                <w:sz w:val="16"/>
                <w:szCs w:val="16"/>
              </w:rPr>
            </w:pPr>
            <w:r w:rsidRPr="002227A5">
              <w:rPr>
                <w:sz w:val="16"/>
                <w:szCs w:val="16"/>
              </w:rPr>
              <w:t xml:space="preserve">The Paediatric Injectable Medicines Handbook, The Children's Hospital at Westmead, accessed 22/11/2016 </w:t>
            </w:r>
          </w:p>
          <w:p w:rsidRPr="002227A5" w:rsidR="002227A5" w:rsidP="002227A5" w:rsidRDefault="002227A5" w14:paraId="78A3141A" w14:textId="77777777">
            <w:pPr>
              <w:numPr>
                <w:ilvl w:val="0"/>
                <w:numId w:val="52"/>
              </w:numPr>
              <w:rPr>
                <w:rFonts w:asciiTheme="minorHAnsi" w:hAnsiTheme="minorHAnsi" w:eastAsiaTheme="minorHAnsi" w:cstheme="minorHAnsi"/>
                <w:sz w:val="16"/>
                <w:szCs w:val="16"/>
              </w:rPr>
            </w:pPr>
            <w:r w:rsidRPr="002227A5">
              <w:rPr>
                <w:sz w:val="16"/>
                <w:szCs w:val="16"/>
              </w:rPr>
              <w:t>Micromedex online. Accessed on 22/11/2016.</w:t>
            </w:r>
          </w:p>
        </w:tc>
      </w:tr>
    </w:tbl>
    <w:p w:rsidR="0027099A" w:rsidP="006F0321" w:rsidRDefault="0027099A" w14:paraId="4D53DCF6" w14:textId="0F0D6808"/>
    <w:tbl>
      <w:tblPr>
        <w:tblW w:w="8925" w:type="dxa"/>
        <w:tblInd w:w="-34" w:type="dxa"/>
        <w:tblCellMar>
          <w:left w:w="0" w:type="dxa"/>
          <w:right w:w="0" w:type="dxa"/>
        </w:tblCellMar>
        <w:tblLook w:val="04A0" w:firstRow="1" w:lastRow="0" w:firstColumn="1" w:lastColumn="0" w:noHBand="0" w:noVBand="1"/>
      </w:tblPr>
      <w:tblGrid>
        <w:gridCol w:w="4108"/>
        <w:gridCol w:w="4817"/>
      </w:tblGrid>
      <w:tr w:rsidR="002227A5" w:rsidTr="00131848" w14:paraId="30E64891"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4DFF7E42" w14:textId="1C6FFB4C">
            <w:pPr>
              <w:spacing w:line="252" w:lineRule="auto"/>
              <w:rPr>
                <w:sz w:val="22"/>
                <w:lang w:val="en-AU"/>
              </w:rPr>
            </w:pPr>
            <w:r>
              <w:t xml:space="preserve">Original version Date: </w:t>
            </w:r>
            <w:r w:rsidR="006B564E">
              <w:t>29</w:t>
            </w:r>
            <w:r>
              <w:t>/</w:t>
            </w:r>
            <w:r w:rsidR="006B564E">
              <w:t>12</w:t>
            </w:r>
            <w:r>
              <w:t>/2016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5D9B7BB9" w14:textId="77777777">
            <w:pPr>
              <w:spacing w:line="252" w:lineRule="auto"/>
            </w:pPr>
            <w:r>
              <w:t>Author: NeoMed Consensus Group</w:t>
            </w:r>
          </w:p>
        </w:tc>
      </w:tr>
      <w:tr w:rsidR="002227A5" w:rsidTr="00131848" w14:paraId="4D19277A"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0D7AACC9" w14:textId="4BCBDEC9">
            <w:pPr>
              <w:spacing w:line="252" w:lineRule="auto"/>
            </w:pPr>
            <w:r>
              <w:t xml:space="preserve">Current Version number:  </w:t>
            </w:r>
            <w:r w:rsidR="006B564E">
              <w:t>3</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364340C9" w14:textId="5A3ADC54">
            <w:pPr>
              <w:spacing w:line="252" w:lineRule="auto"/>
            </w:pPr>
            <w:r>
              <w:t xml:space="preserve">Current Version Date:  </w:t>
            </w:r>
            <w:r w:rsidR="006B564E">
              <w:t>18-6-2021</w:t>
            </w:r>
          </w:p>
        </w:tc>
      </w:tr>
      <w:tr w:rsidR="002227A5" w:rsidTr="00131848" w14:paraId="3C4288DB"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590C3F99" w14:textId="5BD872DE">
            <w:pPr>
              <w:spacing w:line="252" w:lineRule="auto"/>
            </w:pPr>
            <w:r>
              <w:t xml:space="preserve">Risk Rating: </w:t>
            </w:r>
            <w:r w:rsidR="006B564E">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45F0A6F9" w14:textId="47E8DB73">
            <w:pPr>
              <w:spacing w:line="252" w:lineRule="auto"/>
            </w:pPr>
            <w:r>
              <w:t xml:space="preserve">Due for Review:  </w:t>
            </w:r>
            <w:r w:rsidR="006B564E">
              <w:t>18-6-2026</w:t>
            </w:r>
          </w:p>
        </w:tc>
      </w:tr>
      <w:tr w:rsidR="002227A5" w:rsidTr="00131848" w14:paraId="00FA31E6"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5F8910B3"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2227A5" w:rsidP="00131848" w:rsidRDefault="002227A5" w14:paraId="28528662" w14:textId="77777777">
            <w:pPr>
              <w:spacing w:line="252" w:lineRule="auto"/>
            </w:pPr>
            <w:r>
              <w:t>Approval Date: APRIL 2021</w:t>
            </w:r>
          </w:p>
        </w:tc>
      </w:tr>
    </w:tbl>
    <w:p w:rsidR="002227A5" w:rsidP="006F0321" w:rsidRDefault="002227A5" w14:paraId="105CAA57" w14:textId="77777777"/>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E25790" w:rsidR="00115F48" w:rsidTr="009469DB" w14:paraId="062A10BC" w14:textId="77777777">
        <w:trPr>
          <w:cantSplit/>
          <w:trHeight w:val="720"/>
        </w:trPr>
        <w:tc>
          <w:tcPr>
            <w:tcW w:w="9049" w:type="dxa"/>
            <w:gridSpan w:val="2"/>
            <w:shd w:val="clear" w:color="auto" w:fill="FFFF00"/>
          </w:tcPr>
          <w:p w:rsidRPr="00E25790" w:rsidR="00115F48" w:rsidP="009469DB" w:rsidRDefault="00115F48" w14:paraId="630BF792" w14:textId="77777777">
            <w:pPr>
              <w:pStyle w:val="Heading1"/>
            </w:pPr>
            <w:bookmarkStart w:name="_Toc495415462" w:id="47"/>
            <w:bookmarkStart w:name="_Toc495481067" w:id="48"/>
            <w:bookmarkStart w:name="_Toc495481193" w:id="49"/>
            <w:bookmarkStart w:name="_Toc495481318" w:id="50"/>
            <w:bookmarkStart w:name="_Toc495501499" w:id="51"/>
            <w:bookmarkStart w:name="_Toc38106801" w:id="52"/>
            <w:bookmarkStart w:name="_Toc75339924" w:id="53"/>
            <w:r w:rsidRPr="00E25790">
              <w:lastRenderedPageBreak/>
              <w:t>Adenosine</w:t>
            </w:r>
            <w:bookmarkEnd w:id="47"/>
            <w:bookmarkEnd w:id="48"/>
            <w:bookmarkEnd w:id="49"/>
            <w:bookmarkEnd w:id="50"/>
            <w:bookmarkEnd w:id="51"/>
            <w:bookmarkEnd w:id="52"/>
            <w:bookmarkEnd w:id="53"/>
            <w:r w:rsidRPr="00E25790">
              <w:fldChar w:fldCharType="begin"/>
            </w:r>
            <w:r w:rsidRPr="00E25790">
              <w:instrText>tc "Adenosine" \l 0</w:instrText>
            </w:r>
            <w:r w:rsidRPr="00E25790">
              <w:fldChar w:fldCharType="end"/>
            </w:r>
          </w:p>
          <w:p w:rsidRPr="00E25790" w:rsidR="00115F48" w:rsidP="006F0321" w:rsidRDefault="00115F48" w14:paraId="5D25974B" w14:textId="77777777"/>
        </w:tc>
      </w:tr>
      <w:tr w:rsidRPr="00E25790" w:rsidR="00115F48" w:rsidTr="009469DB" w14:paraId="0F2E48F7" w14:textId="77777777">
        <w:trPr>
          <w:cantSplit/>
          <w:trHeight w:val="480"/>
        </w:trPr>
        <w:tc>
          <w:tcPr>
            <w:tcW w:w="4153" w:type="dxa"/>
            <w:shd w:val="clear" w:color="auto" w:fill="FFFF00"/>
          </w:tcPr>
          <w:p w:rsidRPr="00E25790" w:rsidR="00115F48" w:rsidP="006F0321" w:rsidRDefault="00115F48" w14:paraId="16D0B2C6" w14:textId="4593AB77">
            <w:r w:rsidRPr="00E25790">
              <w:t xml:space="preserve">Revision Date:  </w:t>
            </w:r>
            <w:r w:rsidR="00DA0B39">
              <w:t>15/12/2020</w:t>
            </w:r>
          </w:p>
        </w:tc>
        <w:tc>
          <w:tcPr>
            <w:tcW w:w="4896" w:type="dxa"/>
            <w:shd w:val="clear" w:color="auto" w:fill="FFFF00"/>
          </w:tcPr>
          <w:p w:rsidRPr="00E25790" w:rsidR="00115F48" w:rsidP="006F0321" w:rsidRDefault="00115F48" w14:paraId="5F670B6D" w14:textId="267269A7">
            <w:r w:rsidRPr="00E25790">
              <w:t xml:space="preserve">Approved : </w:t>
            </w:r>
            <w:r w:rsidR="00DA0B39">
              <w:t>TC, KOH</w:t>
            </w:r>
          </w:p>
        </w:tc>
      </w:tr>
    </w:tbl>
    <w:p w:rsidRPr="00E25790" w:rsidR="00115F48" w:rsidP="006F0321" w:rsidRDefault="00115F48" w14:paraId="7DB1E293" w14:textId="77777777"/>
    <w:tbl>
      <w:tblPr>
        <w:tblW w:w="984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625"/>
        <w:gridCol w:w="8222"/>
      </w:tblGrid>
      <w:tr w:rsidRPr="00FA5D59" w:rsidR="00273A16" w:rsidTr="77BEE3D0" w14:paraId="65A38002" w14:textId="77777777">
        <w:trPr>
          <w:trHeight w:val="363"/>
        </w:trPr>
        <w:tc>
          <w:tcPr>
            <w:tcW w:w="1625" w:type="dxa"/>
          </w:tcPr>
          <w:p w:rsidRPr="00FA5D59" w:rsidR="0010214E" w:rsidP="0010214E" w:rsidRDefault="00A74EB5" w14:paraId="2352776B" w14:textId="77777777">
            <w:pPr>
              <w:pStyle w:val="BodyText"/>
              <w:tabs>
                <w:tab w:val="center" w:pos="1476"/>
              </w:tabs>
              <w:rPr>
                <w:rFonts w:cs="Arial" w:asciiTheme="minorHAnsi" w:hAnsiTheme="minorHAnsi"/>
                <w:b/>
                <w:sz w:val="20"/>
              </w:rPr>
            </w:pPr>
            <w:r w:rsidRPr="00FA5D59">
              <w:rPr>
                <w:rFonts w:cs="Arial" w:asciiTheme="minorHAnsi" w:hAnsiTheme="minorHAnsi"/>
                <w:b/>
                <w:sz w:val="20"/>
              </w:rPr>
              <w:t>Alert</w:t>
            </w:r>
            <w:r w:rsidRPr="00FA5D59">
              <w:rPr>
                <w:rFonts w:cs="Arial" w:asciiTheme="minorHAnsi" w:hAnsiTheme="minorHAnsi"/>
                <w:b/>
                <w:sz w:val="20"/>
              </w:rPr>
              <w:tab/>
            </w:r>
          </w:p>
          <w:p w:rsidRPr="00FA5D59" w:rsidR="0010214E" w:rsidP="0010214E" w:rsidRDefault="00A74EB5" w14:paraId="2DBC06EF" w14:textId="77777777">
            <w:pPr>
              <w:pStyle w:val="BodyText"/>
              <w:tabs>
                <w:tab w:val="center" w:pos="1476"/>
              </w:tabs>
              <w:rPr>
                <w:rFonts w:cs="Arial" w:asciiTheme="minorHAnsi" w:hAnsiTheme="minorHAnsi"/>
                <w:b/>
                <w:sz w:val="20"/>
              </w:rPr>
            </w:pPr>
            <w:r w:rsidRPr="00FA5D59">
              <w:rPr>
                <w:rFonts w:cs="Arial" w:asciiTheme="minorHAnsi" w:hAnsiTheme="minorHAnsi"/>
                <w:b/>
                <w:sz w:val="20"/>
              </w:rPr>
              <w:t xml:space="preserve"> </w:t>
            </w:r>
          </w:p>
        </w:tc>
        <w:tc>
          <w:tcPr>
            <w:tcW w:w="8222" w:type="dxa"/>
          </w:tcPr>
          <w:p w:rsidRPr="00FA5D59" w:rsidR="0010214E" w:rsidP="0010214E" w:rsidRDefault="00A74EB5" w14:paraId="2162C81B" w14:textId="77777777">
            <w:pPr>
              <w:pStyle w:val="BodyText"/>
              <w:rPr>
                <w:rFonts w:cs="Arial" w:asciiTheme="minorHAnsi" w:hAnsiTheme="minorHAnsi"/>
                <w:sz w:val="20"/>
              </w:rPr>
            </w:pPr>
            <w:r>
              <w:rPr>
                <w:rFonts w:cs="Arial" w:asciiTheme="minorHAnsi" w:hAnsiTheme="minorHAnsi"/>
                <w:sz w:val="20"/>
              </w:rPr>
              <w:t>Adenosine is used for pharmacological conversion of supraventricular tachycardia (SVT) to sinus rhythm. It is not a maintenance antiarrhythmic agent. Infants with SVT associated with serious cardiovascular compromise such as severe hypotension and decompensated heart failure should be converted with synchronised electrical cardioversion rather than adenosine.</w:t>
            </w:r>
          </w:p>
        </w:tc>
      </w:tr>
      <w:tr w:rsidRPr="00FA5D59" w:rsidR="00273A16" w:rsidTr="77BEE3D0" w14:paraId="4899AAF0" w14:textId="77777777">
        <w:trPr>
          <w:trHeight w:val="312"/>
        </w:trPr>
        <w:tc>
          <w:tcPr>
            <w:tcW w:w="1625" w:type="dxa"/>
          </w:tcPr>
          <w:p w:rsidRPr="00475A11" w:rsidR="0010214E" w:rsidP="0010214E" w:rsidRDefault="00A74EB5" w14:paraId="4C72C283" w14:textId="77777777">
            <w:pPr>
              <w:pStyle w:val="BodyText"/>
              <w:rPr>
                <w:rFonts w:cs="Arial" w:asciiTheme="minorHAnsi" w:hAnsiTheme="minorHAnsi"/>
                <w:b/>
                <w:bCs/>
                <w:sz w:val="20"/>
              </w:rPr>
            </w:pPr>
            <w:r w:rsidRPr="00FA5D59">
              <w:rPr>
                <w:rFonts w:cs="Arial" w:asciiTheme="minorHAnsi" w:hAnsiTheme="minorHAnsi"/>
                <w:b/>
                <w:bCs/>
                <w:sz w:val="20"/>
              </w:rPr>
              <w:t xml:space="preserve">Indication                         </w:t>
            </w:r>
          </w:p>
        </w:tc>
        <w:tc>
          <w:tcPr>
            <w:tcW w:w="8222" w:type="dxa"/>
          </w:tcPr>
          <w:p w:rsidRPr="00FA5D59" w:rsidR="0010214E" w:rsidP="0010214E" w:rsidRDefault="00A74EB5" w14:paraId="699D0A1B" w14:textId="77777777">
            <w:pPr>
              <w:rPr>
                <w:rFonts w:asciiTheme="minorHAnsi" w:hAnsiTheme="minorHAnsi"/>
                <w:sz w:val="20"/>
              </w:rPr>
            </w:pPr>
            <w:r>
              <w:rPr>
                <w:rFonts w:asciiTheme="minorHAnsi" w:hAnsiTheme="minorHAnsi"/>
                <w:sz w:val="20"/>
              </w:rPr>
              <w:t>Pharmacological conversion of s</w:t>
            </w:r>
            <w:r w:rsidRPr="005727AB">
              <w:rPr>
                <w:rFonts w:asciiTheme="minorHAnsi" w:hAnsiTheme="minorHAnsi"/>
                <w:sz w:val="20"/>
              </w:rPr>
              <w:t>upraventricular tachycardia</w:t>
            </w:r>
            <w:r>
              <w:rPr>
                <w:rFonts w:asciiTheme="minorHAnsi" w:hAnsiTheme="minorHAnsi"/>
                <w:sz w:val="20"/>
              </w:rPr>
              <w:t>.</w:t>
            </w:r>
            <w:r w:rsidRPr="00FA5D59">
              <w:rPr>
                <w:rFonts w:asciiTheme="minorHAnsi" w:hAnsiTheme="minorHAnsi"/>
                <w:sz w:val="20"/>
              </w:rPr>
              <w:t xml:space="preserve"> </w:t>
            </w:r>
            <w:r>
              <w:rPr>
                <w:rFonts w:asciiTheme="minorHAnsi" w:hAnsiTheme="minorHAnsi"/>
                <w:noProof/>
                <w:sz w:val="20"/>
              </w:rPr>
              <w:t>[1, 2]</w:t>
            </w:r>
          </w:p>
        </w:tc>
      </w:tr>
      <w:tr w:rsidRPr="00FA5D59" w:rsidR="00273A16" w:rsidTr="77BEE3D0" w14:paraId="5A602158" w14:textId="77777777">
        <w:trPr>
          <w:trHeight w:val="472"/>
        </w:trPr>
        <w:tc>
          <w:tcPr>
            <w:tcW w:w="1625" w:type="dxa"/>
          </w:tcPr>
          <w:p w:rsidRPr="00FA5D59" w:rsidR="0010214E" w:rsidP="0010214E" w:rsidRDefault="00A74EB5" w14:paraId="4A3FA010" w14:textId="77777777">
            <w:pPr>
              <w:pStyle w:val="BodyText"/>
              <w:rPr>
                <w:rFonts w:cs="Arial" w:asciiTheme="minorHAnsi" w:hAnsiTheme="minorHAnsi"/>
                <w:b/>
                <w:bCs/>
                <w:sz w:val="20"/>
              </w:rPr>
            </w:pPr>
            <w:r w:rsidRPr="00FA5D59">
              <w:rPr>
                <w:rFonts w:cs="Arial" w:asciiTheme="minorHAnsi" w:hAnsiTheme="minorHAnsi"/>
                <w:b/>
                <w:bCs/>
                <w:sz w:val="20"/>
              </w:rPr>
              <w:t>Action</w:t>
            </w:r>
          </w:p>
        </w:tc>
        <w:tc>
          <w:tcPr>
            <w:tcW w:w="8222" w:type="dxa"/>
          </w:tcPr>
          <w:p w:rsidRPr="00CA208B" w:rsidR="0010214E" w:rsidP="0010214E" w:rsidRDefault="00A74EB5" w14:paraId="05EC6EB7" w14:textId="77777777">
            <w:pPr>
              <w:rPr>
                <w:rFonts w:cs="Arial" w:asciiTheme="minorHAnsi" w:hAnsiTheme="minorHAnsi"/>
                <w:sz w:val="20"/>
              </w:rPr>
            </w:pPr>
            <w:r w:rsidRPr="00CA208B">
              <w:rPr>
                <w:rFonts w:cs="Arial" w:asciiTheme="minorHAnsi" w:hAnsiTheme="minorHAnsi"/>
                <w:sz w:val="20"/>
              </w:rPr>
              <w:t>Endogen</w:t>
            </w:r>
            <w:r>
              <w:rPr>
                <w:rFonts w:cs="Arial" w:asciiTheme="minorHAnsi" w:hAnsiTheme="minorHAnsi"/>
                <w:sz w:val="20"/>
              </w:rPr>
              <w:t xml:space="preserve">ous purine analogue with </w:t>
            </w:r>
            <w:r w:rsidRPr="00D3272D">
              <w:rPr>
                <w:rFonts w:asciiTheme="minorHAnsi" w:hAnsiTheme="minorHAnsi"/>
                <w:sz w:val="20"/>
              </w:rPr>
              <w:t xml:space="preserve">rapid onset </w:t>
            </w:r>
            <w:r>
              <w:rPr>
                <w:rFonts w:cs="Arial" w:asciiTheme="minorHAnsi" w:hAnsiTheme="minorHAnsi"/>
                <w:sz w:val="20"/>
              </w:rPr>
              <w:t xml:space="preserve">antiarrhythmic action resulting in transient AV nodal block. It has a </w:t>
            </w:r>
            <w:r w:rsidRPr="00D3272D">
              <w:rPr>
                <w:rFonts w:asciiTheme="minorHAnsi" w:hAnsiTheme="minorHAnsi"/>
                <w:sz w:val="20"/>
              </w:rPr>
              <w:t>short half-life (1</w:t>
            </w:r>
            <w:r>
              <w:rPr>
                <w:rFonts w:asciiTheme="minorHAnsi" w:hAnsiTheme="minorHAnsi"/>
                <w:sz w:val="20"/>
              </w:rPr>
              <w:t>–</w:t>
            </w:r>
            <w:r w:rsidRPr="00D3272D">
              <w:rPr>
                <w:rFonts w:asciiTheme="minorHAnsi" w:hAnsiTheme="minorHAnsi"/>
                <w:sz w:val="20"/>
              </w:rPr>
              <w:t>10 sec</w:t>
            </w:r>
            <w:r>
              <w:rPr>
                <w:rFonts w:asciiTheme="minorHAnsi" w:hAnsiTheme="minorHAnsi"/>
                <w:sz w:val="20"/>
              </w:rPr>
              <w:t>onds</w:t>
            </w:r>
            <w:r w:rsidRPr="00D3272D">
              <w:rPr>
                <w:rFonts w:asciiTheme="minorHAnsi" w:hAnsiTheme="minorHAnsi"/>
                <w:sz w:val="20"/>
              </w:rPr>
              <w:t xml:space="preserve">). </w:t>
            </w:r>
            <w:r>
              <w:rPr>
                <w:rFonts w:cs="Arial" w:asciiTheme="minorHAnsi" w:hAnsiTheme="minorHAnsi"/>
                <w:noProof/>
                <w:sz w:val="20"/>
              </w:rPr>
              <w:t>[3]</w:t>
            </w:r>
          </w:p>
        </w:tc>
      </w:tr>
      <w:tr w:rsidRPr="00FA5D59" w:rsidR="00273A16" w:rsidTr="77BEE3D0" w14:paraId="3573B035" w14:textId="77777777">
        <w:trPr>
          <w:trHeight w:val="266"/>
        </w:trPr>
        <w:tc>
          <w:tcPr>
            <w:tcW w:w="1625" w:type="dxa"/>
          </w:tcPr>
          <w:p w:rsidRPr="00FA5D59" w:rsidR="0010214E" w:rsidRDefault="00A74EB5" w14:paraId="34EC1605" w14:textId="77777777">
            <w:pPr>
              <w:pStyle w:val="BodyText"/>
              <w:rPr>
                <w:rFonts w:cs="Arial" w:asciiTheme="minorHAnsi" w:hAnsiTheme="minorHAnsi"/>
                <w:sz w:val="20"/>
              </w:rPr>
            </w:pPr>
            <w:r w:rsidRPr="00FA5D59">
              <w:rPr>
                <w:rFonts w:cs="Arial" w:asciiTheme="minorHAnsi" w:hAnsiTheme="minorHAnsi"/>
                <w:b/>
                <w:bCs/>
                <w:sz w:val="20"/>
              </w:rPr>
              <w:t xml:space="preserve">Drug Type                                   </w:t>
            </w:r>
          </w:p>
        </w:tc>
        <w:tc>
          <w:tcPr>
            <w:tcW w:w="8222" w:type="dxa"/>
          </w:tcPr>
          <w:p w:rsidRPr="00FA5D59" w:rsidR="0010214E" w:rsidP="0010214E" w:rsidRDefault="00A74EB5" w14:paraId="60158A9E" w14:textId="77777777">
            <w:pPr>
              <w:pStyle w:val="BodyText"/>
              <w:rPr>
                <w:rFonts w:cs="Arial" w:asciiTheme="minorHAnsi" w:hAnsiTheme="minorHAnsi"/>
                <w:sz w:val="20"/>
              </w:rPr>
            </w:pPr>
            <w:r>
              <w:rPr>
                <w:rFonts w:cs="Arial" w:asciiTheme="minorHAnsi" w:hAnsiTheme="minorHAnsi"/>
                <w:sz w:val="20"/>
              </w:rPr>
              <w:t>Antiarrhythmic</w:t>
            </w:r>
          </w:p>
        </w:tc>
      </w:tr>
      <w:tr w:rsidRPr="00FA5D59" w:rsidR="00273A16" w:rsidTr="77BEE3D0" w14:paraId="49A754A6" w14:textId="77777777">
        <w:trPr>
          <w:trHeight w:val="185"/>
        </w:trPr>
        <w:tc>
          <w:tcPr>
            <w:tcW w:w="1625" w:type="dxa"/>
          </w:tcPr>
          <w:p w:rsidRPr="00FA5D59" w:rsidR="0010214E" w:rsidRDefault="00A74EB5" w14:paraId="323BAECE" w14:textId="77777777">
            <w:pPr>
              <w:pStyle w:val="BodyText"/>
              <w:rPr>
                <w:rFonts w:cs="Arial" w:asciiTheme="minorHAnsi" w:hAnsiTheme="minorHAnsi"/>
                <w:b/>
                <w:bCs/>
                <w:sz w:val="20"/>
              </w:rPr>
            </w:pPr>
            <w:r w:rsidRPr="00FA5D59">
              <w:rPr>
                <w:rFonts w:cs="Arial" w:asciiTheme="minorHAnsi" w:hAnsiTheme="minorHAnsi"/>
                <w:b/>
                <w:bCs/>
                <w:sz w:val="20"/>
              </w:rPr>
              <w:t xml:space="preserve">Trade Name                  </w:t>
            </w:r>
          </w:p>
        </w:tc>
        <w:tc>
          <w:tcPr>
            <w:tcW w:w="8222" w:type="dxa"/>
          </w:tcPr>
          <w:p w:rsidRPr="00FA5D59" w:rsidR="0010214E" w:rsidP="0010214E" w:rsidRDefault="00A74EB5" w14:paraId="36ADEE9A" w14:textId="77777777">
            <w:pPr>
              <w:pStyle w:val="BodyText"/>
              <w:rPr>
                <w:rFonts w:cs="Arial" w:asciiTheme="minorHAnsi" w:hAnsiTheme="minorHAnsi"/>
                <w:sz w:val="20"/>
              </w:rPr>
            </w:pPr>
            <w:r>
              <w:rPr>
                <w:rFonts w:cs="Arial" w:asciiTheme="minorHAnsi" w:hAnsiTheme="minorHAnsi"/>
                <w:sz w:val="20"/>
              </w:rPr>
              <w:t>Adenocor, Aspen Adenosine</w:t>
            </w:r>
          </w:p>
        </w:tc>
      </w:tr>
      <w:tr w:rsidRPr="00FA5D59" w:rsidR="00273A16" w:rsidTr="77BEE3D0" w14:paraId="1CDAED92" w14:textId="77777777">
        <w:trPr>
          <w:trHeight w:val="217"/>
        </w:trPr>
        <w:tc>
          <w:tcPr>
            <w:tcW w:w="1625" w:type="dxa"/>
          </w:tcPr>
          <w:p w:rsidRPr="00FA5D59" w:rsidR="0010214E" w:rsidRDefault="00A74EB5" w14:paraId="336741D1" w14:textId="77777777">
            <w:pPr>
              <w:pStyle w:val="BodyText"/>
              <w:rPr>
                <w:rFonts w:cs="Arial" w:asciiTheme="minorHAnsi" w:hAnsiTheme="minorHAnsi"/>
                <w:b/>
                <w:bCs/>
                <w:sz w:val="20"/>
              </w:rPr>
            </w:pPr>
            <w:r w:rsidRPr="00FA5D59">
              <w:rPr>
                <w:rFonts w:cs="Arial" w:asciiTheme="minorHAnsi" w:hAnsiTheme="minorHAnsi"/>
                <w:b/>
                <w:bCs/>
                <w:sz w:val="20"/>
              </w:rPr>
              <w:t xml:space="preserve">Presentation </w:t>
            </w:r>
          </w:p>
        </w:tc>
        <w:tc>
          <w:tcPr>
            <w:tcW w:w="8222" w:type="dxa"/>
          </w:tcPr>
          <w:p w:rsidRPr="00FA5D59" w:rsidR="0010214E" w:rsidP="0010214E" w:rsidRDefault="00A74EB5" w14:paraId="1B54BCC7" w14:textId="77777777">
            <w:pPr>
              <w:pStyle w:val="BodyText"/>
              <w:ind w:left="34"/>
              <w:rPr>
                <w:rFonts w:cs="Arial" w:asciiTheme="minorHAnsi" w:hAnsiTheme="minorHAnsi"/>
                <w:sz w:val="20"/>
              </w:rPr>
            </w:pPr>
            <w:r w:rsidRPr="00330BFC">
              <w:rPr>
                <w:rFonts w:cs="Arial" w:asciiTheme="minorHAnsi" w:hAnsiTheme="minorHAnsi"/>
                <w:sz w:val="20"/>
              </w:rPr>
              <w:t>6 mg/2 mL</w:t>
            </w:r>
            <w:r>
              <w:rPr>
                <w:rFonts w:cs="Arial" w:asciiTheme="minorHAnsi" w:hAnsiTheme="minorHAnsi"/>
                <w:sz w:val="20"/>
              </w:rPr>
              <w:t xml:space="preserve"> injection</w:t>
            </w:r>
          </w:p>
        </w:tc>
      </w:tr>
      <w:tr w:rsidRPr="00FA5D59" w:rsidR="00273A16" w:rsidTr="77BEE3D0" w14:paraId="4B15CAAC" w14:textId="77777777">
        <w:trPr>
          <w:trHeight w:val="587"/>
        </w:trPr>
        <w:tc>
          <w:tcPr>
            <w:tcW w:w="1625" w:type="dxa"/>
          </w:tcPr>
          <w:p w:rsidRPr="00FA5D59" w:rsidR="0010214E" w:rsidRDefault="00A74EB5" w14:paraId="15D8B443" w14:textId="77777777">
            <w:pPr>
              <w:pStyle w:val="BodyText"/>
              <w:rPr>
                <w:rFonts w:cs="Arial" w:asciiTheme="minorHAnsi" w:hAnsiTheme="minorHAnsi"/>
                <w:b/>
                <w:bCs/>
                <w:sz w:val="20"/>
              </w:rPr>
            </w:pPr>
            <w:r w:rsidRPr="00FA5D59">
              <w:rPr>
                <w:rFonts w:cs="Arial" w:asciiTheme="minorHAnsi" w:hAnsiTheme="minorHAnsi"/>
                <w:b/>
                <w:bCs/>
                <w:sz w:val="20"/>
              </w:rPr>
              <w:t xml:space="preserve">Dosage / Interval                           </w:t>
            </w:r>
          </w:p>
          <w:p w:rsidRPr="00FA5D59" w:rsidR="0010214E" w:rsidP="0010214E" w:rsidRDefault="0010214E" w14:paraId="358826FD" w14:textId="77777777">
            <w:pPr>
              <w:pStyle w:val="BodyText"/>
              <w:rPr>
                <w:rFonts w:cs="Arial" w:asciiTheme="minorHAnsi" w:hAnsiTheme="minorHAnsi"/>
                <w:sz w:val="20"/>
              </w:rPr>
            </w:pPr>
          </w:p>
        </w:tc>
        <w:tc>
          <w:tcPr>
            <w:tcW w:w="8222" w:type="dxa"/>
          </w:tcPr>
          <w:p w:rsidRPr="00CA208B" w:rsidR="0010214E" w:rsidP="0010214E" w:rsidRDefault="00A74EB5" w14:paraId="434C77AD" w14:textId="77777777">
            <w:pPr>
              <w:pStyle w:val="BodyText"/>
              <w:rPr>
                <w:rFonts w:asciiTheme="minorHAnsi" w:hAnsiTheme="minorHAnsi"/>
                <w:sz w:val="20"/>
              </w:rPr>
            </w:pPr>
            <w:r>
              <w:rPr>
                <w:rFonts w:asciiTheme="minorHAnsi" w:hAnsiTheme="minorHAnsi"/>
                <w:sz w:val="20"/>
              </w:rPr>
              <w:t>D</w:t>
            </w:r>
            <w:r w:rsidRPr="00CA208B">
              <w:rPr>
                <w:rFonts w:asciiTheme="minorHAnsi" w:hAnsiTheme="minorHAnsi"/>
                <w:sz w:val="20"/>
              </w:rPr>
              <w:t xml:space="preserve">ose </w:t>
            </w:r>
            <w:r>
              <w:rPr>
                <w:rFonts w:asciiTheme="minorHAnsi" w:hAnsiTheme="minorHAnsi"/>
                <w:sz w:val="20"/>
              </w:rPr>
              <w:t>r</w:t>
            </w:r>
            <w:r w:rsidRPr="00CA208B">
              <w:rPr>
                <w:rFonts w:asciiTheme="minorHAnsi" w:hAnsiTheme="minorHAnsi"/>
                <w:sz w:val="20"/>
              </w:rPr>
              <w:t>ange 0.1 to 0.3 mg/kg</w:t>
            </w:r>
          </w:p>
          <w:p w:rsidRPr="00FA5D59" w:rsidR="0010214E" w:rsidP="0010214E" w:rsidRDefault="00A74EB5" w14:paraId="6797F16D" w14:textId="77777777">
            <w:pPr>
              <w:pStyle w:val="BodyText"/>
              <w:rPr>
                <w:rFonts w:asciiTheme="minorHAnsi" w:hAnsiTheme="minorHAnsi"/>
                <w:sz w:val="20"/>
              </w:rPr>
            </w:pPr>
            <w:r w:rsidRPr="00CA208B">
              <w:rPr>
                <w:rFonts w:asciiTheme="minorHAnsi" w:hAnsiTheme="minorHAnsi"/>
                <w:sz w:val="20"/>
              </w:rPr>
              <w:t xml:space="preserve">The initial recommended dose is 0.1 mg/kg but if </w:t>
            </w:r>
            <w:r>
              <w:rPr>
                <w:rFonts w:asciiTheme="minorHAnsi" w:hAnsiTheme="minorHAnsi"/>
                <w:sz w:val="20"/>
              </w:rPr>
              <w:t>AV block is not achieved within 2 minutes, further</w:t>
            </w:r>
            <w:r w:rsidRPr="00CA208B">
              <w:rPr>
                <w:rFonts w:asciiTheme="minorHAnsi" w:hAnsiTheme="minorHAnsi"/>
                <w:sz w:val="20"/>
              </w:rPr>
              <w:t xml:space="preserve"> dose</w:t>
            </w:r>
            <w:r>
              <w:rPr>
                <w:rFonts w:asciiTheme="minorHAnsi" w:hAnsiTheme="minorHAnsi"/>
                <w:sz w:val="20"/>
              </w:rPr>
              <w:t>s</w:t>
            </w:r>
            <w:r w:rsidRPr="00CA208B">
              <w:rPr>
                <w:rFonts w:asciiTheme="minorHAnsi" w:hAnsiTheme="minorHAnsi"/>
                <w:sz w:val="20"/>
              </w:rPr>
              <w:t xml:space="preserve"> should be increased</w:t>
            </w:r>
            <w:r>
              <w:rPr>
                <w:rFonts w:asciiTheme="minorHAnsi" w:hAnsiTheme="minorHAnsi"/>
                <w:sz w:val="20"/>
              </w:rPr>
              <w:t xml:space="preserve"> by 0.1 mg/kg aliquots to a maximum of 0.3 mg/kg.</w:t>
            </w:r>
          </w:p>
        </w:tc>
      </w:tr>
      <w:tr w:rsidRPr="00FA5D59" w:rsidR="00273A16" w:rsidTr="77BEE3D0" w14:paraId="4BC4F050" w14:textId="77777777">
        <w:trPr>
          <w:trHeight w:val="407"/>
        </w:trPr>
        <w:tc>
          <w:tcPr>
            <w:tcW w:w="1625" w:type="dxa"/>
          </w:tcPr>
          <w:p w:rsidRPr="00FA5D59" w:rsidR="0010214E" w:rsidP="0010214E" w:rsidRDefault="00A74EB5" w14:paraId="1E0D0DCA" w14:textId="77777777">
            <w:pPr>
              <w:pStyle w:val="BodyText"/>
              <w:rPr>
                <w:rFonts w:asciiTheme="minorHAnsi" w:hAnsiTheme="minorHAnsi"/>
                <w:b/>
                <w:sz w:val="20"/>
              </w:rPr>
            </w:pPr>
            <w:r w:rsidRPr="00FA5D59">
              <w:rPr>
                <w:rFonts w:asciiTheme="minorHAnsi" w:hAnsiTheme="minorHAnsi"/>
                <w:b/>
                <w:sz w:val="20"/>
              </w:rPr>
              <w:t>Maximum daily dose</w:t>
            </w:r>
          </w:p>
        </w:tc>
        <w:tc>
          <w:tcPr>
            <w:tcW w:w="8222" w:type="dxa"/>
          </w:tcPr>
          <w:p w:rsidRPr="00FA5D59" w:rsidR="0010214E" w:rsidP="0010214E" w:rsidRDefault="00A74EB5" w14:paraId="75D6C809" w14:textId="77777777">
            <w:pPr>
              <w:pStyle w:val="BodyText"/>
              <w:rPr>
                <w:rFonts w:asciiTheme="minorHAnsi" w:hAnsiTheme="minorHAnsi"/>
                <w:sz w:val="20"/>
              </w:rPr>
            </w:pPr>
            <w:r w:rsidRPr="00CA208B">
              <w:rPr>
                <w:rFonts w:asciiTheme="minorHAnsi" w:hAnsiTheme="minorHAnsi"/>
                <w:sz w:val="20"/>
              </w:rPr>
              <w:t>The first dose</w:t>
            </w:r>
            <w:r>
              <w:rPr>
                <w:rFonts w:asciiTheme="minorHAnsi" w:hAnsiTheme="minorHAnsi"/>
                <w:sz w:val="20"/>
              </w:rPr>
              <w:t xml:space="preserve"> </w:t>
            </w:r>
            <w:r w:rsidRPr="00CA208B">
              <w:rPr>
                <w:rFonts w:asciiTheme="minorHAnsi" w:hAnsiTheme="minorHAnsi"/>
                <w:sz w:val="20"/>
              </w:rPr>
              <w:t>should not exceed 6 mg and the second dose 12 mg.</w:t>
            </w:r>
            <w:r>
              <w:rPr>
                <w:rFonts w:asciiTheme="minorHAnsi" w:hAnsiTheme="minorHAnsi"/>
                <w:sz w:val="20"/>
              </w:rPr>
              <w:t xml:space="preserve"> </w:t>
            </w:r>
            <w:r>
              <w:rPr>
                <w:rFonts w:asciiTheme="minorHAnsi" w:hAnsiTheme="minorHAnsi"/>
                <w:noProof/>
                <w:sz w:val="20"/>
              </w:rPr>
              <w:t>[1] If multiple doses are required within 24 hours, consult cardiologist to discuss further management.</w:t>
            </w:r>
          </w:p>
        </w:tc>
      </w:tr>
      <w:tr w:rsidRPr="00FA5D59" w:rsidR="00273A16" w:rsidTr="77BEE3D0" w14:paraId="32D90330" w14:textId="77777777">
        <w:trPr>
          <w:trHeight w:val="398"/>
        </w:trPr>
        <w:tc>
          <w:tcPr>
            <w:tcW w:w="1625" w:type="dxa"/>
          </w:tcPr>
          <w:p w:rsidRPr="00FA5D59" w:rsidR="0010214E" w:rsidRDefault="00A74EB5" w14:paraId="5D440E65" w14:textId="77777777">
            <w:pPr>
              <w:pStyle w:val="BodyText"/>
              <w:rPr>
                <w:rFonts w:cs="Arial" w:asciiTheme="minorHAnsi" w:hAnsiTheme="minorHAnsi"/>
                <w:b/>
                <w:bCs/>
                <w:sz w:val="20"/>
              </w:rPr>
            </w:pPr>
            <w:r w:rsidRPr="00FA5D59">
              <w:rPr>
                <w:rFonts w:cs="Arial" w:asciiTheme="minorHAnsi" w:hAnsiTheme="minorHAnsi"/>
                <w:b/>
                <w:bCs/>
                <w:sz w:val="20"/>
              </w:rPr>
              <w:t xml:space="preserve">Route                                </w:t>
            </w:r>
          </w:p>
          <w:p w:rsidRPr="00FA5D59" w:rsidR="0010214E" w:rsidRDefault="00A74EB5" w14:paraId="16E910A9" w14:textId="77777777">
            <w:pPr>
              <w:pStyle w:val="BodyText"/>
              <w:rPr>
                <w:rFonts w:cs="Arial" w:asciiTheme="minorHAnsi" w:hAnsiTheme="minorHAnsi"/>
                <w:sz w:val="20"/>
              </w:rPr>
            </w:pPr>
            <w:r w:rsidRPr="00FA5D59">
              <w:rPr>
                <w:rFonts w:cs="Arial" w:asciiTheme="minorHAnsi" w:hAnsiTheme="minorHAnsi"/>
                <w:b/>
                <w:bCs/>
                <w:sz w:val="20"/>
              </w:rPr>
              <w:t xml:space="preserve">           </w:t>
            </w:r>
          </w:p>
        </w:tc>
        <w:tc>
          <w:tcPr>
            <w:tcW w:w="8222" w:type="dxa"/>
          </w:tcPr>
          <w:p w:rsidR="0010214E" w:rsidP="0010214E" w:rsidRDefault="00A74EB5" w14:paraId="0630E051" w14:textId="77777777">
            <w:pPr>
              <w:pStyle w:val="BodyText"/>
              <w:rPr>
                <w:rFonts w:cs="Arial" w:asciiTheme="minorHAnsi" w:hAnsiTheme="minorHAnsi"/>
                <w:sz w:val="20"/>
              </w:rPr>
            </w:pPr>
            <w:r>
              <w:rPr>
                <w:rFonts w:cs="Arial" w:asciiTheme="minorHAnsi" w:hAnsiTheme="minorHAnsi"/>
                <w:sz w:val="20"/>
              </w:rPr>
              <w:t>Intravenous</w:t>
            </w:r>
          </w:p>
          <w:p w:rsidRPr="00FA5D59" w:rsidR="0010214E" w:rsidP="0010214E" w:rsidRDefault="00A74EB5" w14:paraId="1C1A2A64" w14:textId="77777777">
            <w:pPr>
              <w:pStyle w:val="BodyText"/>
              <w:rPr>
                <w:rFonts w:cs="Arial" w:asciiTheme="minorHAnsi" w:hAnsiTheme="minorHAnsi"/>
                <w:sz w:val="20"/>
              </w:rPr>
            </w:pPr>
            <w:r>
              <w:rPr>
                <w:rFonts w:cs="Arial" w:asciiTheme="minorHAnsi" w:hAnsiTheme="minorHAnsi"/>
                <w:sz w:val="20"/>
              </w:rPr>
              <w:t>Successful intraosseous administration has been reported.</w:t>
            </w:r>
          </w:p>
        </w:tc>
      </w:tr>
      <w:tr w:rsidRPr="00FA5D59" w:rsidR="00273A16" w:rsidTr="77BEE3D0" w14:paraId="5F3EC77C" w14:textId="77777777">
        <w:trPr>
          <w:trHeight w:val="523"/>
        </w:trPr>
        <w:tc>
          <w:tcPr>
            <w:tcW w:w="1625" w:type="dxa"/>
          </w:tcPr>
          <w:p w:rsidRPr="00FA5D59" w:rsidR="0010214E" w:rsidP="77BEE3D0" w:rsidRDefault="7D291A4C" w14:paraId="4B317440" w14:textId="7EC4B569">
            <w:pPr>
              <w:pStyle w:val="BodyText"/>
              <w:rPr>
                <w:rFonts w:cs="Arial" w:asciiTheme="minorHAnsi" w:hAnsiTheme="minorHAnsi"/>
                <w:b/>
                <w:bCs/>
                <w:sz w:val="20"/>
                <w:highlight w:val="cyan"/>
              </w:rPr>
            </w:pPr>
            <w:r w:rsidRPr="77BEE3D0">
              <w:rPr>
                <w:rFonts w:cs="Arial" w:asciiTheme="minorHAnsi" w:hAnsiTheme="minorHAnsi"/>
                <w:b/>
                <w:bCs/>
                <w:sz w:val="20"/>
              </w:rPr>
              <w:t xml:space="preserve">Preparation/Dilution </w:t>
            </w:r>
          </w:p>
        </w:tc>
        <w:tc>
          <w:tcPr>
            <w:tcW w:w="8222" w:type="dxa"/>
          </w:tcPr>
          <w:p w:rsidRPr="00FA5D59" w:rsidR="0010214E" w:rsidP="0010214E" w:rsidRDefault="00A74EB5" w14:paraId="434593AA" w14:textId="77777777">
            <w:pPr>
              <w:pStyle w:val="BodyText"/>
              <w:rPr>
                <w:rFonts w:cs="Arial" w:asciiTheme="minorHAnsi" w:hAnsiTheme="minorHAnsi"/>
                <w:sz w:val="20"/>
              </w:rPr>
            </w:pPr>
            <w:r w:rsidRPr="005F3FAC">
              <w:rPr>
                <w:rFonts w:cs="Arial" w:asciiTheme="minorHAnsi" w:hAnsiTheme="minorHAnsi"/>
                <w:sz w:val="20"/>
              </w:rPr>
              <w:t>Draw up 1 mL (3 mg) and add 9 mL sodium chloride 0.9% to make a final volume of 10mL with a  concentration of  0.3 mg/mL.</w:t>
            </w:r>
          </w:p>
        </w:tc>
      </w:tr>
      <w:tr w:rsidRPr="00FA5D59" w:rsidR="00E424B4" w:rsidTr="77BEE3D0" w14:paraId="0B4EE814" w14:textId="77777777">
        <w:trPr>
          <w:trHeight w:val="558"/>
        </w:trPr>
        <w:tc>
          <w:tcPr>
            <w:tcW w:w="1625" w:type="dxa"/>
          </w:tcPr>
          <w:p w:rsidRPr="00FA5D59" w:rsidR="0010214E" w:rsidRDefault="00A74EB5" w14:paraId="0677BB03" w14:textId="77777777">
            <w:pPr>
              <w:pStyle w:val="BodyText"/>
              <w:rPr>
                <w:rFonts w:cs="Arial" w:asciiTheme="minorHAnsi" w:hAnsiTheme="minorHAnsi"/>
                <w:b/>
                <w:bCs/>
                <w:sz w:val="20"/>
              </w:rPr>
            </w:pPr>
            <w:r w:rsidRPr="00FA5D59">
              <w:rPr>
                <w:rFonts w:cs="Arial" w:asciiTheme="minorHAnsi" w:hAnsiTheme="minorHAnsi"/>
                <w:b/>
                <w:bCs/>
                <w:sz w:val="20"/>
              </w:rPr>
              <w:t xml:space="preserve">Administration                 </w:t>
            </w:r>
          </w:p>
          <w:p w:rsidRPr="00FA5D59" w:rsidR="0010214E" w:rsidRDefault="0010214E" w14:paraId="3A4E2933" w14:textId="77777777">
            <w:pPr>
              <w:pStyle w:val="BodyText"/>
              <w:rPr>
                <w:rFonts w:cs="Arial" w:asciiTheme="minorHAnsi" w:hAnsiTheme="minorHAnsi"/>
                <w:sz w:val="20"/>
              </w:rPr>
            </w:pPr>
          </w:p>
        </w:tc>
        <w:tc>
          <w:tcPr>
            <w:tcW w:w="8222" w:type="dxa"/>
            <w:vAlign w:val="center"/>
          </w:tcPr>
          <w:p w:rsidRPr="00FA5D59" w:rsidR="0010214E" w:rsidP="0010214E" w:rsidRDefault="00A74EB5" w14:paraId="638F4B76" w14:textId="77777777">
            <w:pPr>
              <w:pStyle w:val="BodyText"/>
              <w:rPr>
                <w:rFonts w:cs="Arial" w:asciiTheme="minorHAnsi" w:hAnsiTheme="minorHAnsi"/>
                <w:sz w:val="20"/>
              </w:rPr>
            </w:pPr>
            <w:r w:rsidRPr="00FA5D59">
              <w:rPr>
                <w:rFonts w:cs="Arial" w:asciiTheme="minorHAnsi" w:hAnsiTheme="minorHAnsi"/>
                <w:sz w:val="20"/>
              </w:rPr>
              <w:t>Intravenous</w:t>
            </w:r>
            <w:r>
              <w:rPr>
                <w:rFonts w:cs="Arial" w:asciiTheme="minorHAnsi" w:hAnsiTheme="minorHAnsi"/>
                <w:sz w:val="20"/>
              </w:rPr>
              <w:t>,</w:t>
            </w:r>
            <w:r w:rsidRPr="00FA5D59">
              <w:rPr>
                <w:rFonts w:cs="Arial" w:asciiTheme="minorHAnsi" w:hAnsiTheme="minorHAnsi"/>
                <w:sz w:val="20"/>
              </w:rPr>
              <w:t xml:space="preserve"> </w:t>
            </w:r>
            <w:r>
              <w:rPr>
                <w:rFonts w:cs="Arial" w:asciiTheme="minorHAnsi" w:hAnsiTheme="minorHAnsi"/>
                <w:sz w:val="20"/>
              </w:rPr>
              <w:t>as proximally as possible,</w:t>
            </w:r>
            <w:r w:rsidRPr="00FA5D59">
              <w:rPr>
                <w:rFonts w:cs="Arial" w:asciiTheme="minorHAnsi" w:hAnsiTheme="minorHAnsi"/>
                <w:sz w:val="20"/>
              </w:rPr>
              <w:t xml:space="preserve"> as a rapid </w:t>
            </w:r>
            <w:r>
              <w:rPr>
                <w:rFonts w:cs="Arial" w:asciiTheme="minorHAnsi" w:hAnsiTheme="minorHAnsi"/>
                <w:sz w:val="20"/>
              </w:rPr>
              <w:t xml:space="preserve">IV </w:t>
            </w:r>
            <w:r w:rsidRPr="00FA5D59">
              <w:rPr>
                <w:rFonts w:cs="Arial" w:asciiTheme="minorHAnsi" w:hAnsiTheme="minorHAnsi"/>
                <w:sz w:val="20"/>
              </w:rPr>
              <w:t xml:space="preserve">bolus </w:t>
            </w:r>
            <w:r>
              <w:rPr>
                <w:rFonts w:cs="Arial" w:asciiTheme="minorHAnsi" w:hAnsiTheme="minorHAnsi"/>
                <w:sz w:val="20"/>
              </w:rPr>
              <w:t xml:space="preserve">followed </w:t>
            </w:r>
            <w:r w:rsidRPr="00FA5D59">
              <w:rPr>
                <w:rFonts w:asciiTheme="minorHAnsi" w:hAnsiTheme="minorHAnsi"/>
                <w:sz w:val="20"/>
              </w:rPr>
              <w:t xml:space="preserve">by a </w:t>
            </w:r>
            <w:r>
              <w:rPr>
                <w:rFonts w:asciiTheme="minorHAnsi" w:hAnsiTheme="minorHAnsi"/>
                <w:sz w:val="20"/>
              </w:rPr>
              <w:t xml:space="preserve">rapid </w:t>
            </w:r>
            <w:r w:rsidRPr="00FA5D59">
              <w:rPr>
                <w:rFonts w:asciiTheme="minorHAnsi" w:hAnsiTheme="minorHAnsi"/>
                <w:sz w:val="20"/>
              </w:rPr>
              <w:t>flush</w:t>
            </w:r>
            <w:r>
              <w:rPr>
                <w:rFonts w:asciiTheme="minorHAnsi" w:hAnsiTheme="minorHAnsi"/>
                <w:sz w:val="20"/>
              </w:rPr>
              <w:t xml:space="preserve"> of sodium chloride 0.9%</w:t>
            </w:r>
            <w:r w:rsidRPr="00FA5D59">
              <w:rPr>
                <w:rFonts w:cs="Arial" w:asciiTheme="minorHAnsi" w:hAnsiTheme="minorHAnsi"/>
                <w:sz w:val="20"/>
              </w:rPr>
              <w:t>.</w:t>
            </w:r>
            <w:r>
              <w:rPr>
                <w:rFonts w:cs="Arial" w:asciiTheme="minorHAnsi" w:hAnsiTheme="minorHAnsi"/>
                <w:sz w:val="20"/>
              </w:rPr>
              <w:t xml:space="preserve"> Use of filter may slow down infusion. </w:t>
            </w:r>
          </w:p>
        </w:tc>
      </w:tr>
      <w:tr w:rsidRPr="00FA5D59" w:rsidR="00273A16" w:rsidTr="77BEE3D0" w14:paraId="068D7BD3" w14:textId="77777777">
        <w:trPr>
          <w:trHeight w:val="221"/>
        </w:trPr>
        <w:tc>
          <w:tcPr>
            <w:tcW w:w="1625" w:type="dxa"/>
          </w:tcPr>
          <w:p w:rsidRPr="00FA5D59" w:rsidR="0010214E" w:rsidRDefault="00A74EB5" w14:paraId="6D2A048E" w14:textId="77777777">
            <w:pPr>
              <w:pStyle w:val="BodyText"/>
              <w:rPr>
                <w:rFonts w:cs="Arial" w:asciiTheme="minorHAnsi" w:hAnsiTheme="minorHAnsi"/>
                <w:b/>
                <w:bCs/>
                <w:sz w:val="20"/>
              </w:rPr>
            </w:pPr>
            <w:r w:rsidRPr="00FA5D59">
              <w:rPr>
                <w:rFonts w:cs="Arial" w:asciiTheme="minorHAnsi" w:hAnsiTheme="minorHAnsi"/>
                <w:b/>
                <w:bCs/>
                <w:sz w:val="20"/>
              </w:rPr>
              <w:t xml:space="preserve">Monitoring                              </w:t>
            </w:r>
          </w:p>
          <w:p w:rsidRPr="00FA5D59" w:rsidR="0010214E" w:rsidRDefault="0010214E" w14:paraId="7FFDABC0" w14:textId="77777777">
            <w:pPr>
              <w:pStyle w:val="BodyText"/>
              <w:rPr>
                <w:rFonts w:cs="Arial" w:asciiTheme="minorHAnsi" w:hAnsiTheme="minorHAnsi"/>
                <w:sz w:val="20"/>
              </w:rPr>
            </w:pPr>
          </w:p>
        </w:tc>
        <w:tc>
          <w:tcPr>
            <w:tcW w:w="8222" w:type="dxa"/>
          </w:tcPr>
          <w:p w:rsidRPr="00FA5D59" w:rsidR="0010214E" w:rsidP="0010214E" w:rsidRDefault="00A74EB5" w14:paraId="41B2E1CE" w14:textId="77777777">
            <w:pPr>
              <w:pStyle w:val="BodyText"/>
              <w:rPr>
                <w:rFonts w:cs="Arial" w:asciiTheme="minorHAnsi" w:hAnsiTheme="minorHAnsi"/>
                <w:sz w:val="20"/>
              </w:rPr>
            </w:pPr>
            <w:r>
              <w:rPr>
                <w:rFonts w:cs="Arial" w:asciiTheme="minorHAnsi" w:hAnsiTheme="minorHAnsi"/>
                <w:sz w:val="20"/>
              </w:rPr>
              <w:t xml:space="preserve">Adenosine </w:t>
            </w:r>
            <w:r w:rsidRPr="00ED7261">
              <w:rPr>
                <w:rFonts w:cs="Arial" w:asciiTheme="minorHAnsi" w:hAnsiTheme="minorHAnsi"/>
                <w:sz w:val="20"/>
              </w:rPr>
              <w:t xml:space="preserve">should be used only </w:t>
            </w:r>
            <w:r>
              <w:rPr>
                <w:rFonts w:cs="Arial" w:asciiTheme="minorHAnsi" w:hAnsiTheme="minorHAnsi"/>
                <w:sz w:val="20"/>
              </w:rPr>
              <w:t>where cardiac</w:t>
            </w:r>
            <w:r w:rsidRPr="00ED7261">
              <w:rPr>
                <w:rFonts w:cs="Arial" w:asciiTheme="minorHAnsi" w:hAnsiTheme="minorHAnsi"/>
                <w:sz w:val="20"/>
              </w:rPr>
              <w:t xml:space="preserve"> monitoring and cardiorespiratory resuscitation equipment </w:t>
            </w:r>
            <w:r>
              <w:rPr>
                <w:rFonts w:cs="Arial" w:asciiTheme="minorHAnsi" w:hAnsiTheme="minorHAnsi"/>
                <w:sz w:val="20"/>
              </w:rPr>
              <w:t xml:space="preserve">is </w:t>
            </w:r>
            <w:r w:rsidRPr="00ED7261">
              <w:rPr>
                <w:rFonts w:cs="Arial" w:asciiTheme="minorHAnsi" w:hAnsiTheme="minorHAnsi"/>
                <w:sz w:val="20"/>
              </w:rPr>
              <w:t xml:space="preserve">available </w:t>
            </w:r>
            <w:r>
              <w:rPr>
                <w:rFonts w:cs="Arial" w:asciiTheme="minorHAnsi" w:hAnsiTheme="minorHAnsi"/>
                <w:sz w:val="20"/>
              </w:rPr>
              <w:t xml:space="preserve">for </w:t>
            </w:r>
            <w:r w:rsidRPr="00ED7261">
              <w:rPr>
                <w:rFonts w:cs="Arial" w:asciiTheme="minorHAnsi" w:hAnsiTheme="minorHAnsi"/>
                <w:sz w:val="20"/>
              </w:rPr>
              <w:t>immediate use if necessary.</w:t>
            </w:r>
          </w:p>
        </w:tc>
      </w:tr>
      <w:tr w:rsidRPr="00FA5D59" w:rsidR="00273A16" w:rsidTr="77BEE3D0" w14:paraId="585ACA62" w14:textId="77777777">
        <w:trPr>
          <w:trHeight w:val="342"/>
        </w:trPr>
        <w:tc>
          <w:tcPr>
            <w:tcW w:w="1625" w:type="dxa"/>
          </w:tcPr>
          <w:p w:rsidRPr="00FA5D59" w:rsidR="0010214E" w:rsidRDefault="00A74EB5" w14:paraId="7CD3F4E9" w14:textId="77777777">
            <w:pPr>
              <w:pStyle w:val="BodyText"/>
              <w:rPr>
                <w:rFonts w:cs="Arial" w:asciiTheme="minorHAnsi" w:hAnsiTheme="minorHAnsi"/>
                <w:b/>
                <w:bCs/>
                <w:sz w:val="20"/>
              </w:rPr>
            </w:pPr>
            <w:r w:rsidRPr="00FA5D59">
              <w:rPr>
                <w:rFonts w:cs="Arial" w:asciiTheme="minorHAnsi" w:hAnsiTheme="minorHAnsi"/>
                <w:b/>
                <w:bCs/>
                <w:sz w:val="20"/>
              </w:rPr>
              <w:t xml:space="preserve">Contraindications                        </w:t>
            </w:r>
          </w:p>
          <w:p w:rsidRPr="00FA5D59" w:rsidR="0010214E" w:rsidRDefault="0010214E" w14:paraId="6A6795BD" w14:textId="77777777">
            <w:pPr>
              <w:pStyle w:val="BodyText"/>
              <w:rPr>
                <w:rFonts w:cs="Arial" w:asciiTheme="minorHAnsi" w:hAnsiTheme="minorHAnsi"/>
                <w:sz w:val="20"/>
              </w:rPr>
            </w:pPr>
          </w:p>
        </w:tc>
        <w:tc>
          <w:tcPr>
            <w:tcW w:w="8222" w:type="dxa"/>
          </w:tcPr>
          <w:p w:rsidR="0010214E" w:rsidP="0010214E" w:rsidRDefault="00A74EB5" w14:paraId="22E860AF" w14:textId="77777777">
            <w:pPr>
              <w:pStyle w:val="BodyText"/>
              <w:rPr>
                <w:rFonts w:cs="Arial" w:asciiTheme="minorHAnsi" w:hAnsiTheme="minorHAnsi"/>
                <w:sz w:val="20"/>
              </w:rPr>
            </w:pPr>
            <w:r w:rsidRPr="00B72424">
              <w:rPr>
                <w:rFonts w:cs="Arial" w:asciiTheme="minorHAnsi" w:hAnsiTheme="minorHAnsi"/>
                <w:sz w:val="20"/>
              </w:rPr>
              <w:t>Known hypersensitivity to adenosine;</w:t>
            </w:r>
            <w:r>
              <w:rPr>
                <w:rFonts w:cs="Arial" w:asciiTheme="minorHAnsi" w:hAnsiTheme="minorHAnsi"/>
                <w:sz w:val="20"/>
              </w:rPr>
              <w:t xml:space="preserve"> </w:t>
            </w:r>
            <w:r w:rsidRPr="00B72424">
              <w:rPr>
                <w:rFonts w:cs="Arial" w:asciiTheme="minorHAnsi" w:hAnsiTheme="minorHAnsi"/>
                <w:sz w:val="20"/>
              </w:rPr>
              <w:t>sick sinus syndrome, second or third degree AV block (except in patients with a functioning artificial pacemaker);</w:t>
            </w:r>
            <w:r>
              <w:rPr>
                <w:rFonts w:cs="Arial" w:asciiTheme="minorHAnsi" w:hAnsiTheme="minorHAnsi"/>
                <w:sz w:val="20"/>
              </w:rPr>
              <w:t xml:space="preserve"> </w:t>
            </w:r>
            <w:r w:rsidRPr="00B72424">
              <w:rPr>
                <w:rFonts w:cs="Arial" w:asciiTheme="minorHAnsi" w:hAnsiTheme="minorHAnsi"/>
                <w:sz w:val="20"/>
              </w:rPr>
              <w:t>long QT syndrome;</w:t>
            </w:r>
            <w:r>
              <w:rPr>
                <w:rFonts w:cs="Arial" w:asciiTheme="minorHAnsi" w:hAnsiTheme="minorHAnsi"/>
                <w:sz w:val="20"/>
              </w:rPr>
              <w:t xml:space="preserve"> </w:t>
            </w:r>
            <w:r w:rsidRPr="00B72424">
              <w:rPr>
                <w:rFonts w:cs="Arial" w:asciiTheme="minorHAnsi" w:hAnsiTheme="minorHAnsi"/>
                <w:sz w:val="20"/>
              </w:rPr>
              <w:t>severe hypotension; decompensated states of heart failure.</w:t>
            </w:r>
            <w:r>
              <w:rPr>
                <w:rFonts w:cs="Arial" w:asciiTheme="minorHAnsi" w:hAnsiTheme="minorHAnsi"/>
                <w:sz w:val="20"/>
              </w:rPr>
              <w:t xml:space="preserve"> </w:t>
            </w:r>
          </w:p>
          <w:p w:rsidRPr="00FA5D59" w:rsidR="0010214E" w:rsidP="0010214E" w:rsidRDefault="00A74EB5" w14:paraId="47D1D810" w14:textId="77777777">
            <w:pPr>
              <w:pStyle w:val="BodyText"/>
              <w:rPr>
                <w:rFonts w:cs="Arial" w:asciiTheme="minorHAnsi" w:hAnsiTheme="minorHAnsi"/>
                <w:sz w:val="20"/>
              </w:rPr>
            </w:pPr>
            <w:r>
              <w:rPr>
                <w:rFonts w:cs="Arial" w:asciiTheme="minorHAnsi" w:hAnsiTheme="minorHAnsi"/>
                <w:sz w:val="20"/>
              </w:rPr>
              <w:t xml:space="preserve">Atrial fibrillation or flutter but can be useful to unmask atrial flutter. </w:t>
            </w:r>
          </w:p>
        </w:tc>
      </w:tr>
      <w:tr w:rsidRPr="00FA5D59" w:rsidR="00273A16" w:rsidTr="77BEE3D0" w14:paraId="2BBAC14A" w14:textId="77777777">
        <w:tc>
          <w:tcPr>
            <w:tcW w:w="1625" w:type="dxa"/>
          </w:tcPr>
          <w:p w:rsidRPr="00FA5D59" w:rsidR="0010214E" w:rsidP="0010214E" w:rsidRDefault="00A74EB5" w14:paraId="2E12F302" w14:textId="77777777">
            <w:pPr>
              <w:pStyle w:val="BodyText"/>
              <w:rPr>
                <w:rFonts w:cs="Arial" w:asciiTheme="minorHAnsi" w:hAnsiTheme="minorHAnsi"/>
                <w:b/>
                <w:bCs/>
                <w:sz w:val="20"/>
              </w:rPr>
            </w:pPr>
            <w:r w:rsidRPr="00FA5D59">
              <w:rPr>
                <w:rFonts w:asciiTheme="minorHAnsi" w:hAnsiTheme="minorHAnsi"/>
                <w:sz w:val="20"/>
              </w:rPr>
              <w:br w:type="page"/>
            </w:r>
            <w:r w:rsidRPr="00FA5D59">
              <w:rPr>
                <w:rFonts w:cs="Arial" w:asciiTheme="minorHAnsi" w:hAnsiTheme="minorHAnsi"/>
                <w:b/>
                <w:bCs/>
                <w:sz w:val="20"/>
              </w:rPr>
              <w:t>Precautions</w:t>
            </w:r>
          </w:p>
        </w:tc>
        <w:tc>
          <w:tcPr>
            <w:tcW w:w="8222" w:type="dxa"/>
          </w:tcPr>
          <w:p w:rsidR="0010214E" w:rsidP="0010214E" w:rsidRDefault="00A74EB5" w14:paraId="280172AA" w14:textId="77777777">
            <w:pPr>
              <w:pStyle w:val="BodyText"/>
              <w:rPr>
                <w:rFonts w:cs="Arial" w:asciiTheme="minorHAnsi" w:hAnsiTheme="minorHAnsi"/>
                <w:sz w:val="20"/>
              </w:rPr>
            </w:pPr>
            <w:r w:rsidRPr="00ED7261">
              <w:rPr>
                <w:rFonts w:cs="Arial" w:asciiTheme="minorHAnsi" w:hAnsiTheme="minorHAnsi"/>
                <w:sz w:val="20"/>
              </w:rPr>
              <w:t>Pa</w:t>
            </w:r>
            <w:r>
              <w:rPr>
                <w:rFonts w:cs="Arial" w:asciiTheme="minorHAnsi" w:hAnsiTheme="minorHAnsi"/>
                <w:sz w:val="20"/>
              </w:rPr>
              <w:t>tients who develop high level atrioventricular</w:t>
            </w:r>
            <w:r w:rsidRPr="00ED7261">
              <w:rPr>
                <w:rFonts w:cs="Arial" w:asciiTheme="minorHAnsi" w:hAnsiTheme="minorHAnsi"/>
                <w:sz w:val="20"/>
              </w:rPr>
              <w:t xml:space="preserve"> block </w:t>
            </w:r>
            <w:r>
              <w:rPr>
                <w:rFonts w:cs="Arial" w:asciiTheme="minorHAnsi" w:hAnsiTheme="minorHAnsi"/>
                <w:sz w:val="20"/>
              </w:rPr>
              <w:t xml:space="preserve">or returned to sinus rhythm </w:t>
            </w:r>
            <w:r w:rsidRPr="00ED7261">
              <w:rPr>
                <w:rFonts w:cs="Arial" w:asciiTheme="minorHAnsi" w:hAnsiTheme="minorHAnsi"/>
                <w:sz w:val="20"/>
              </w:rPr>
              <w:t>at a particular dose should not be given further dosage increments.</w:t>
            </w:r>
          </w:p>
          <w:p w:rsidRPr="00FA5D59" w:rsidR="0010214E" w:rsidP="0010214E" w:rsidRDefault="00A74EB5" w14:paraId="5A989C8D" w14:textId="77777777">
            <w:pPr>
              <w:pStyle w:val="BodyText"/>
              <w:rPr>
                <w:rFonts w:cs="Arial" w:asciiTheme="minorHAnsi" w:hAnsiTheme="minorHAnsi"/>
                <w:sz w:val="20"/>
              </w:rPr>
            </w:pPr>
            <w:r>
              <w:rPr>
                <w:rFonts w:cs="Arial" w:asciiTheme="minorHAnsi" w:hAnsiTheme="minorHAnsi"/>
                <w:sz w:val="20"/>
              </w:rPr>
              <w:t xml:space="preserve">Solution must be clear at time of administration. </w:t>
            </w:r>
          </w:p>
        </w:tc>
      </w:tr>
      <w:tr w:rsidRPr="00FA5D59" w:rsidR="00273A16" w:rsidTr="77BEE3D0" w14:paraId="0487D826" w14:textId="77777777">
        <w:trPr>
          <w:trHeight w:val="276"/>
        </w:trPr>
        <w:tc>
          <w:tcPr>
            <w:tcW w:w="1625" w:type="dxa"/>
          </w:tcPr>
          <w:p w:rsidRPr="00FA5D59" w:rsidR="0010214E" w:rsidRDefault="00A74EB5" w14:paraId="3695F539" w14:textId="77777777">
            <w:pPr>
              <w:pStyle w:val="BodyText"/>
              <w:rPr>
                <w:rFonts w:cs="Arial" w:asciiTheme="minorHAnsi" w:hAnsiTheme="minorHAnsi"/>
                <w:b/>
                <w:bCs/>
                <w:sz w:val="20"/>
              </w:rPr>
            </w:pPr>
            <w:r w:rsidRPr="00FA5D59">
              <w:rPr>
                <w:rFonts w:cs="Arial" w:asciiTheme="minorHAnsi" w:hAnsiTheme="minorHAnsi"/>
                <w:b/>
                <w:bCs/>
                <w:sz w:val="20"/>
              </w:rPr>
              <w:t>Drug Interactions</w:t>
            </w:r>
          </w:p>
        </w:tc>
        <w:tc>
          <w:tcPr>
            <w:tcW w:w="8222" w:type="dxa"/>
          </w:tcPr>
          <w:p w:rsidR="0010214E" w:rsidP="0010214E" w:rsidRDefault="00A74EB5" w14:paraId="31ED4E2B" w14:textId="77777777">
            <w:pPr>
              <w:pStyle w:val="BodyText"/>
              <w:rPr>
                <w:rFonts w:cs="Arial" w:asciiTheme="minorHAnsi" w:hAnsiTheme="minorHAnsi"/>
                <w:sz w:val="20"/>
              </w:rPr>
            </w:pPr>
            <w:r>
              <w:rPr>
                <w:rFonts w:cs="Arial" w:asciiTheme="minorHAnsi" w:hAnsiTheme="minorHAnsi"/>
                <w:sz w:val="20"/>
              </w:rPr>
              <w:t>D</w:t>
            </w:r>
            <w:r w:rsidRPr="00F03536">
              <w:rPr>
                <w:rFonts w:cs="Arial" w:asciiTheme="minorHAnsi" w:hAnsiTheme="minorHAnsi"/>
                <w:sz w:val="20"/>
              </w:rPr>
              <w:t>ipyridamole was shown to produce a fourfold increase in adenosine activity</w:t>
            </w:r>
            <w:r>
              <w:rPr>
                <w:rFonts w:cs="Arial" w:asciiTheme="minorHAnsi" w:hAnsiTheme="minorHAnsi"/>
                <w:sz w:val="20"/>
              </w:rPr>
              <w:t>. D</w:t>
            </w:r>
            <w:r w:rsidRPr="00F03536">
              <w:rPr>
                <w:rFonts w:cs="Arial" w:asciiTheme="minorHAnsi" w:hAnsiTheme="minorHAnsi"/>
                <w:sz w:val="20"/>
              </w:rPr>
              <w:t xml:space="preserve">ipyridamole should be discontinued 24 hours beforehand or the dose of </w:t>
            </w:r>
            <w:r>
              <w:rPr>
                <w:rFonts w:cs="Arial" w:asciiTheme="minorHAnsi" w:hAnsiTheme="minorHAnsi"/>
                <w:sz w:val="20"/>
              </w:rPr>
              <w:t xml:space="preserve">adenosine </w:t>
            </w:r>
            <w:r w:rsidRPr="00F03536">
              <w:rPr>
                <w:rFonts w:cs="Arial" w:asciiTheme="minorHAnsi" w:hAnsiTheme="minorHAnsi"/>
                <w:sz w:val="20"/>
              </w:rPr>
              <w:t>should be significantly reduced.</w:t>
            </w:r>
            <w:r>
              <w:rPr>
                <w:rFonts w:cs="Arial" w:asciiTheme="minorHAnsi" w:hAnsiTheme="minorHAnsi"/>
                <w:sz w:val="20"/>
              </w:rPr>
              <w:t xml:space="preserve"> </w:t>
            </w:r>
          </w:p>
          <w:p w:rsidR="0010214E" w:rsidP="0010214E" w:rsidRDefault="00A74EB5" w14:paraId="77DCA5E1" w14:textId="77777777">
            <w:pPr>
              <w:pStyle w:val="BodyText"/>
              <w:rPr>
                <w:rFonts w:cs="Arial" w:asciiTheme="minorHAnsi" w:hAnsiTheme="minorHAnsi"/>
                <w:sz w:val="20"/>
              </w:rPr>
            </w:pPr>
            <w:r w:rsidRPr="00F03536">
              <w:rPr>
                <w:rFonts w:cs="Arial" w:asciiTheme="minorHAnsi" w:hAnsiTheme="minorHAnsi"/>
                <w:sz w:val="20"/>
              </w:rPr>
              <w:t>Adenosine may interact with drugs that tend to impair cardiac conduction. Aminophylline,</w:t>
            </w:r>
            <w:r>
              <w:rPr>
                <w:rFonts w:cs="Arial" w:asciiTheme="minorHAnsi" w:hAnsiTheme="minorHAnsi"/>
                <w:sz w:val="20"/>
              </w:rPr>
              <w:t xml:space="preserve"> </w:t>
            </w:r>
            <w:r w:rsidRPr="00F03536">
              <w:rPr>
                <w:rFonts w:cs="Arial" w:asciiTheme="minorHAnsi" w:hAnsiTheme="minorHAnsi"/>
                <w:sz w:val="20"/>
              </w:rPr>
              <w:t xml:space="preserve">theophylline and </w:t>
            </w:r>
            <w:r>
              <w:rPr>
                <w:rFonts w:cs="Arial" w:asciiTheme="minorHAnsi" w:hAnsiTheme="minorHAnsi"/>
                <w:sz w:val="20"/>
              </w:rPr>
              <w:t>caffeine</w:t>
            </w:r>
            <w:r w:rsidRPr="00F03536">
              <w:rPr>
                <w:rFonts w:cs="Arial" w:asciiTheme="minorHAnsi" w:hAnsiTheme="minorHAnsi"/>
                <w:sz w:val="20"/>
              </w:rPr>
              <w:t xml:space="preserve"> are competitive adenosine antagonists and should be avoided for 24 hours prior to the administration of adenosine.</w:t>
            </w:r>
          </w:p>
          <w:p w:rsidRPr="00FA5D59" w:rsidR="0010214E" w:rsidP="0010214E" w:rsidRDefault="00A74EB5" w14:paraId="66D495E8" w14:textId="77777777">
            <w:pPr>
              <w:pStyle w:val="BodyText"/>
              <w:rPr>
                <w:rFonts w:cs="Arial" w:asciiTheme="minorHAnsi" w:hAnsiTheme="minorHAnsi"/>
                <w:sz w:val="20"/>
              </w:rPr>
            </w:pPr>
            <w:r>
              <w:rPr>
                <w:rFonts w:cs="Arial" w:asciiTheme="minorHAnsi" w:hAnsiTheme="minorHAnsi"/>
                <w:sz w:val="20"/>
              </w:rPr>
              <w:t>A</w:t>
            </w:r>
            <w:r w:rsidRPr="00F03536">
              <w:rPr>
                <w:rFonts w:cs="Arial" w:asciiTheme="minorHAnsi" w:hAnsiTheme="minorHAnsi"/>
                <w:sz w:val="20"/>
              </w:rPr>
              <w:t>denosine has been effectively administered in the presence of other cardioactive drugs, such as digitalis, quinidine, beta-adrenergic blocking agents, calcium channel blocking agents and angiotensin converting enzyme inhibitors, without any change in the adverse reaction profile.</w:t>
            </w:r>
          </w:p>
        </w:tc>
      </w:tr>
      <w:tr w:rsidRPr="00FA5D59" w:rsidR="00273A16" w:rsidTr="77BEE3D0" w14:paraId="7ADFF374" w14:textId="77777777">
        <w:trPr>
          <w:trHeight w:val="416"/>
        </w:trPr>
        <w:tc>
          <w:tcPr>
            <w:tcW w:w="1625" w:type="dxa"/>
          </w:tcPr>
          <w:p w:rsidRPr="00FA5D59" w:rsidR="0010214E" w:rsidP="0010214E" w:rsidRDefault="00A74EB5" w14:paraId="6A7BEEBD" w14:textId="77777777">
            <w:pPr>
              <w:pStyle w:val="BodyText"/>
              <w:rPr>
                <w:rFonts w:cs="Arial" w:asciiTheme="minorHAnsi" w:hAnsiTheme="minorHAnsi"/>
                <w:b/>
                <w:bCs/>
                <w:sz w:val="20"/>
              </w:rPr>
            </w:pPr>
            <w:r w:rsidRPr="00FA5D59">
              <w:rPr>
                <w:rFonts w:cs="Arial" w:asciiTheme="minorHAnsi" w:hAnsiTheme="minorHAnsi"/>
                <w:b/>
                <w:bCs/>
                <w:sz w:val="20"/>
              </w:rPr>
              <w:t xml:space="preserve">Adverse Reactions         </w:t>
            </w:r>
          </w:p>
          <w:p w:rsidRPr="00FA5D59" w:rsidR="0010214E" w:rsidP="0010214E" w:rsidRDefault="0010214E" w14:paraId="2F82A6B2" w14:textId="77777777">
            <w:pPr>
              <w:pStyle w:val="BodyText"/>
              <w:rPr>
                <w:rFonts w:cs="Arial" w:asciiTheme="minorHAnsi" w:hAnsiTheme="minorHAnsi"/>
                <w:b/>
                <w:bCs/>
                <w:sz w:val="20"/>
              </w:rPr>
            </w:pPr>
          </w:p>
        </w:tc>
        <w:tc>
          <w:tcPr>
            <w:tcW w:w="8222" w:type="dxa"/>
          </w:tcPr>
          <w:p w:rsidR="0010214E" w:rsidP="0010214E" w:rsidRDefault="00A74EB5" w14:paraId="4241D2EE" w14:textId="77777777">
            <w:pPr>
              <w:pStyle w:val="BodyText"/>
              <w:rPr>
                <w:rFonts w:cs="Arial" w:asciiTheme="minorHAnsi" w:hAnsiTheme="minorHAnsi"/>
                <w:sz w:val="20"/>
              </w:rPr>
            </w:pPr>
            <w:r w:rsidRPr="00ED7261">
              <w:rPr>
                <w:rFonts w:cs="Arial" w:asciiTheme="minorHAnsi" w:hAnsiTheme="minorHAnsi"/>
                <w:sz w:val="20"/>
              </w:rPr>
              <w:t>Very rare</w:t>
            </w:r>
            <w:r>
              <w:rPr>
                <w:rFonts w:cs="Arial" w:asciiTheme="minorHAnsi" w:hAnsiTheme="minorHAnsi"/>
                <w:sz w:val="20"/>
              </w:rPr>
              <w:t xml:space="preserve"> reactions (mostly reported in adults)</w:t>
            </w:r>
            <w:r w:rsidRPr="00ED7261">
              <w:rPr>
                <w:rFonts w:cs="Arial" w:asciiTheme="minorHAnsi" w:hAnsiTheme="minorHAnsi"/>
                <w:sz w:val="20"/>
              </w:rPr>
              <w:t>: atrial fibrillation; ventricular excitability including ventricular fibrillation and torsades de pointes; severe bradycardia not corrected by atropine and possibly requiring temporary pacing.</w:t>
            </w:r>
          </w:p>
          <w:p w:rsidRPr="00FA5D59" w:rsidR="0010214E" w:rsidP="0010214E" w:rsidRDefault="00A74EB5" w14:paraId="7245CD40" w14:textId="77777777">
            <w:pPr>
              <w:pStyle w:val="BodyText"/>
              <w:rPr>
                <w:rFonts w:cs="Arial" w:asciiTheme="minorHAnsi" w:hAnsiTheme="minorHAnsi"/>
                <w:sz w:val="20"/>
              </w:rPr>
            </w:pPr>
            <w:r>
              <w:rPr>
                <w:rFonts w:cs="Arial" w:asciiTheme="minorHAnsi" w:hAnsiTheme="minorHAnsi"/>
                <w:sz w:val="20"/>
              </w:rPr>
              <w:t>Hypotension has been reported.</w:t>
            </w:r>
          </w:p>
        </w:tc>
      </w:tr>
      <w:tr w:rsidRPr="00FA5D59" w:rsidR="00273A16" w:rsidTr="77BEE3D0" w14:paraId="2EE58F5F" w14:textId="77777777">
        <w:trPr>
          <w:trHeight w:val="396"/>
        </w:trPr>
        <w:tc>
          <w:tcPr>
            <w:tcW w:w="1625" w:type="dxa"/>
          </w:tcPr>
          <w:p w:rsidRPr="00FA5D59" w:rsidR="0010214E" w:rsidP="0010214E" w:rsidRDefault="00A74EB5" w14:paraId="7C8B95DC" w14:textId="77777777">
            <w:pPr>
              <w:pStyle w:val="BodyText"/>
              <w:rPr>
                <w:rFonts w:cs="Arial" w:asciiTheme="minorHAnsi" w:hAnsiTheme="minorHAnsi"/>
                <w:b/>
                <w:bCs/>
                <w:sz w:val="20"/>
              </w:rPr>
            </w:pPr>
            <w:r w:rsidRPr="00FA5D59">
              <w:rPr>
                <w:rFonts w:cs="Arial" w:asciiTheme="minorHAnsi" w:hAnsiTheme="minorHAnsi"/>
                <w:b/>
                <w:bCs/>
                <w:sz w:val="20"/>
              </w:rPr>
              <w:t>Compatibility</w:t>
            </w:r>
          </w:p>
          <w:p w:rsidRPr="00FA5D59" w:rsidR="0010214E" w:rsidP="0010214E" w:rsidRDefault="0010214E" w14:paraId="12010858" w14:textId="77777777">
            <w:pPr>
              <w:pStyle w:val="BodyText"/>
              <w:rPr>
                <w:rFonts w:cs="Arial" w:asciiTheme="minorHAnsi" w:hAnsiTheme="minorHAnsi"/>
                <w:b/>
                <w:bCs/>
                <w:sz w:val="20"/>
              </w:rPr>
            </w:pPr>
          </w:p>
        </w:tc>
        <w:tc>
          <w:tcPr>
            <w:tcW w:w="8222" w:type="dxa"/>
          </w:tcPr>
          <w:p w:rsidR="0010214E" w:rsidP="0010214E" w:rsidRDefault="00A74EB5" w14:paraId="4CA9CF57" w14:textId="77777777">
            <w:pPr>
              <w:pStyle w:val="BodyText"/>
              <w:rPr>
                <w:rFonts w:asciiTheme="minorHAnsi" w:hAnsiTheme="minorHAnsi"/>
                <w:sz w:val="20"/>
              </w:rPr>
            </w:pPr>
            <w:r>
              <w:rPr>
                <w:rFonts w:asciiTheme="minorHAnsi" w:hAnsiTheme="minorHAnsi"/>
                <w:sz w:val="20"/>
              </w:rPr>
              <w:t>Fluids: Glucose 5%, Hartmann’s, sodium chloride 0.9%</w:t>
            </w:r>
          </w:p>
          <w:p w:rsidR="0010214E" w:rsidP="0010214E" w:rsidRDefault="0010214E" w14:paraId="29841F5D" w14:textId="77777777">
            <w:pPr>
              <w:pStyle w:val="BodyText"/>
              <w:rPr>
                <w:rFonts w:asciiTheme="minorHAnsi" w:hAnsiTheme="minorHAnsi"/>
                <w:sz w:val="20"/>
              </w:rPr>
            </w:pPr>
          </w:p>
          <w:p w:rsidRPr="00FA5D59" w:rsidR="0010214E" w:rsidP="0010214E" w:rsidRDefault="00A74EB5" w14:paraId="4CB3F5B2" w14:textId="77777777">
            <w:pPr>
              <w:pStyle w:val="BodyText"/>
              <w:rPr>
                <w:rFonts w:asciiTheme="minorHAnsi" w:hAnsiTheme="minorHAnsi"/>
                <w:sz w:val="20"/>
              </w:rPr>
            </w:pPr>
            <w:r>
              <w:rPr>
                <w:rFonts w:asciiTheme="minorHAnsi" w:hAnsiTheme="minorHAnsi"/>
                <w:sz w:val="20"/>
              </w:rPr>
              <w:t>Y-site: Abciximab.</w:t>
            </w:r>
          </w:p>
        </w:tc>
      </w:tr>
      <w:tr w:rsidRPr="00FA5D59" w:rsidR="00273A16" w:rsidTr="77BEE3D0" w14:paraId="43D52BD5" w14:textId="77777777">
        <w:trPr>
          <w:trHeight w:val="366"/>
        </w:trPr>
        <w:tc>
          <w:tcPr>
            <w:tcW w:w="1625" w:type="dxa"/>
          </w:tcPr>
          <w:p w:rsidRPr="00FA5D59" w:rsidR="0010214E" w:rsidRDefault="00A74EB5" w14:paraId="37BA03F5" w14:textId="77777777">
            <w:pPr>
              <w:pStyle w:val="BodyText"/>
              <w:rPr>
                <w:rFonts w:cs="Arial" w:asciiTheme="minorHAnsi" w:hAnsiTheme="minorHAnsi"/>
                <w:b/>
                <w:bCs/>
                <w:sz w:val="20"/>
              </w:rPr>
            </w:pPr>
            <w:r w:rsidRPr="00FA5D59">
              <w:rPr>
                <w:rFonts w:cs="Arial" w:asciiTheme="minorHAnsi" w:hAnsiTheme="minorHAnsi"/>
                <w:b/>
                <w:bCs/>
                <w:sz w:val="20"/>
              </w:rPr>
              <w:lastRenderedPageBreak/>
              <w:t xml:space="preserve">Incompatibility      </w:t>
            </w:r>
          </w:p>
          <w:p w:rsidRPr="00FA5D59" w:rsidR="0010214E" w:rsidRDefault="00A74EB5" w14:paraId="76369CAD" w14:textId="77777777">
            <w:pPr>
              <w:pStyle w:val="BodyText"/>
              <w:rPr>
                <w:rFonts w:cs="Arial" w:asciiTheme="minorHAnsi" w:hAnsiTheme="minorHAnsi"/>
                <w:b/>
                <w:bCs/>
                <w:sz w:val="20"/>
              </w:rPr>
            </w:pPr>
            <w:r w:rsidRPr="00FA5D59">
              <w:rPr>
                <w:rFonts w:cs="Arial" w:asciiTheme="minorHAnsi" w:hAnsiTheme="minorHAnsi"/>
                <w:b/>
                <w:bCs/>
                <w:sz w:val="20"/>
              </w:rPr>
              <w:t xml:space="preserve">               </w:t>
            </w:r>
            <w:r w:rsidRPr="00FA5D59">
              <w:rPr>
                <w:rFonts w:cs="Arial" w:asciiTheme="minorHAnsi" w:hAnsiTheme="minorHAnsi"/>
                <w:b/>
                <w:bCs/>
                <w:sz w:val="20"/>
              </w:rPr>
              <w:tab/>
            </w:r>
          </w:p>
        </w:tc>
        <w:tc>
          <w:tcPr>
            <w:tcW w:w="8222" w:type="dxa"/>
          </w:tcPr>
          <w:p w:rsidRPr="00FA5D59" w:rsidR="0010214E" w:rsidP="0010214E" w:rsidRDefault="00A74EB5" w14:paraId="28258E69" w14:textId="77777777">
            <w:pPr>
              <w:pStyle w:val="BodyText"/>
              <w:rPr>
                <w:rFonts w:cs="Arial" w:asciiTheme="minorHAnsi" w:hAnsiTheme="minorHAnsi"/>
                <w:sz w:val="20"/>
              </w:rPr>
            </w:pPr>
            <w:r>
              <w:rPr>
                <w:rFonts w:cs="Arial" w:asciiTheme="minorHAnsi" w:hAnsiTheme="minorHAnsi"/>
                <w:sz w:val="20"/>
              </w:rPr>
              <w:t>Fluids and Y-site: No information.</w:t>
            </w:r>
          </w:p>
        </w:tc>
      </w:tr>
      <w:tr w:rsidRPr="00FA5D59" w:rsidR="00273A16" w:rsidTr="77BEE3D0" w14:paraId="3DCF571E" w14:textId="77777777">
        <w:trPr>
          <w:trHeight w:val="289"/>
        </w:trPr>
        <w:tc>
          <w:tcPr>
            <w:tcW w:w="1625" w:type="dxa"/>
          </w:tcPr>
          <w:p w:rsidRPr="00FA5D59" w:rsidR="0010214E" w:rsidRDefault="00A74EB5" w14:paraId="63FF747A" w14:textId="77777777">
            <w:pPr>
              <w:pStyle w:val="BodyText"/>
              <w:rPr>
                <w:rFonts w:cs="Arial" w:asciiTheme="minorHAnsi" w:hAnsiTheme="minorHAnsi"/>
                <w:b/>
                <w:bCs/>
                <w:sz w:val="20"/>
              </w:rPr>
            </w:pPr>
            <w:r w:rsidRPr="00FA5D59">
              <w:rPr>
                <w:rFonts w:cs="Arial" w:asciiTheme="minorHAnsi" w:hAnsiTheme="minorHAnsi"/>
                <w:b/>
                <w:bCs/>
                <w:sz w:val="20"/>
              </w:rPr>
              <w:t xml:space="preserve">Stability                  </w:t>
            </w:r>
          </w:p>
        </w:tc>
        <w:tc>
          <w:tcPr>
            <w:tcW w:w="8222" w:type="dxa"/>
          </w:tcPr>
          <w:p w:rsidRPr="00FA5D59" w:rsidR="0010214E" w:rsidP="0010214E" w:rsidRDefault="00A74EB5" w14:paraId="5A244DF3" w14:textId="77777777">
            <w:pPr>
              <w:pStyle w:val="BodyText"/>
              <w:rPr>
                <w:rFonts w:cs="Arial" w:asciiTheme="minorHAnsi" w:hAnsiTheme="minorHAnsi"/>
                <w:sz w:val="20"/>
              </w:rPr>
            </w:pPr>
            <w:r w:rsidRPr="00FA5D59">
              <w:rPr>
                <w:rFonts w:asciiTheme="minorHAnsi" w:hAnsiTheme="minorHAnsi"/>
                <w:sz w:val="20"/>
              </w:rPr>
              <w:t>Discard remainder after use.</w:t>
            </w:r>
          </w:p>
        </w:tc>
      </w:tr>
      <w:tr w:rsidRPr="00FA5D59" w:rsidR="00273A16" w:rsidTr="77BEE3D0" w14:paraId="3323938C" w14:textId="77777777">
        <w:trPr>
          <w:trHeight w:val="371"/>
        </w:trPr>
        <w:tc>
          <w:tcPr>
            <w:tcW w:w="1625" w:type="dxa"/>
          </w:tcPr>
          <w:p w:rsidRPr="00FA5D59" w:rsidR="0010214E" w:rsidRDefault="00A74EB5" w14:paraId="564DECB1" w14:textId="77777777">
            <w:pPr>
              <w:pStyle w:val="BodyText"/>
              <w:rPr>
                <w:rFonts w:cs="Arial" w:asciiTheme="minorHAnsi" w:hAnsiTheme="minorHAnsi"/>
                <w:b/>
                <w:bCs/>
                <w:sz w:val="20"/>
              </w:rPr>
            </w:pPr>
            <w:r w:rsidRPr="00FA5D59">
              <w:rPr>
                <w:rFonts w:cs="Arial" w:asciiTheme="minorHAnsi" w:hAnsiTheme="minorHAnsi"/>
                <w:b/>
                <w:bCs/>
                <w:sz w:val="20"/>
              </w:rPr>
              <w:t xml:space="preserve">Storage             </w:t>
            </w:r>
          </w:p>
        </w:tc>
        <w:tc>
          <w:tcPr>
            <w:tcW w:w="8222" w:type="dxa"/>
          </w:tcPr>
          <w:p w:rsidRPr="00FA5D59" w:rsidR="0010214E" w:rsidP="0010214E" w:rsidRDefault="00A74EB5" w14:paraId="067E377E" w14:textId="77777777">
            <w:pPr>
              <w:pStyle w:val="BodyText"/>
              <w:rPr>
                <w:rFonts w:cs="Arial" w:asciiTheme="minorHAnsi" w:hAnsiTheme="minorHAnsi"/>
                <w:sz w:val="20"/>
              </w:rPr>
            </w:pPr>
            <w:r w:rsidRPr="00FA5D59">
              <w:rPr>
                <w:rFonts w:asciiTheme="minorHAnsi" w:hAnsiTheme="minorHAnsi"/>
                <w:sz w:val="20"/>
              </w:rPr>
              <w:t xml:space="preserve">Store below 25°C. Protect from light. </w:t>
            </w:r>
            <w:r>
              <w:rPr>
                <w:rFonts w:asciiTheme="minorHAnsi" w:hAnsiTheme="minorHAnsi"/>
                <w:sz w:val="20"/>
              </w:rPr>
              <w:t xml:space="preserve">Do not refrigerate – crystallisation will occur. </w:t>
            </w:r>
          </w:p>
        </w:tc>
      </w:tr>
      <w:tr w:rsidRPr="00FA5D59" w:rsidR="00273A16" w:rsidTr="77BEE3D0" w14:paraId="7B0EB70D" w14:textId="77777777">
        <w:trPr>
          <w:trHeight w:val="395"/>
        </w:trPr>
        <w:tc>
          <w:tcPr>
            <w:tcW w:w="1625" w:type="dxa"/>
          </w:tcPr>
          <w:p w:rsidRPr="00FA5D59" w:rsidR="0010214E" w:rsidRDefault="00A74EB5" w14:paraId="76E0333A" w14:textId="77777777">
            <w:pPr>
              <w:pStyle w:val="BodyText"/>
              <w:rPr>
                <w:rFonts w:cs="Arial" w:asciiTheme="minorHAnsi" w:hAnsiTheme="minorHAnsi"/>
                <w:b/>
                <w:bCs/>
                <w:sz w:val="20"/>
              </w:rPr>
            </w:pPr>
            <w:r w:rsidRPr="00FA5D59">
              <w:rPr>
                <w:rFonts w:cs="Arial" w:asciiTheme="minorHAnsi" w:hAnsiTheme="minorHAnsi"/>
                <w:b/>
                <w:bCs/>
                <w:sz w:val="20"/>
              </w:rPr>
              <w:t xml:space="preserve">Special Comments       </w:t>
            </w:r>
          </w:p>
          <w:p w:rsidRPr="00FA5D59" w:rsidR="0010214E" w:rsidRDefault="0010214E" w14:paraId="121A4251" w14:textId="77777777">
            <w:pPr>
              <w:pStyle w:val="BodyText"/>
              <w:rPr>
                <w:rFonts w:cs="Arial" w:asciiTheme="minorHAnsi" w:hAnsiTheme="minorHAnsi"/>
                <w:b/>
                <w:bCs/>
                <w:sz w:val="20"/>
              </w:rPr>
            </w:pPr>
          </w:p>
        </w:tc>
        <w:tc>
          <w:tcPr>
            <w:tcW w:w="8222" w:type="dxa"/>
          </w:tcPr>
          <w:p w:rsidRPr="00FA5D59" w:rsidR="0010214E" w:rsidP="0010214E" w:rsidRDefault="00A74EB5" w14:paraId="146ED5DA" w14:textId="77777777">
            <w:pPr>
              <w:pStyle w:val="BodyText"/>
              <w:rPr>
                <w:rFonts w:cs="Arial" w:asciiTheme="minorHAnsi" w:hAnsiTheme="minorHAnsi"/>
                <w:sz w:val="20"/>
              </w:rPr>
            </w:pPr>
            <w:r w:rsidRPr="00ED7261">
              <w:rPr>
                <w:rFonts w:cs="Arial" w:asciiTheme="minorHAnsi" w:hAnsiTheme="minorHAnsi"/>
                <w:sz w:val="20"/>
              </w:rPr>
              <w:t xml:space="preserve">Treatment of any prolonged adverse effects should be individualised and be directed toward the specific symptoms. </w:t>
            </w:r>
          </w:p>
        </w:tc>
      </w:tr>
      <w:tr w:rsidRPr="00FA5D59" w:rsidR="00273A16" w:rsidTr="77BEE3D0" w14:paraId="0FF655DB" w14:textId="77777777">
        <w:trPr>
          <w:trHeight w:val="1071"/>
        </w:trPr>
        <w:tc>
          <w:tcPr>
            <w:tcW w:w="1625" w:type="dxa"/>
          </w:tcPr>
          <w:p w:rsidRPr="00FA5D59" w:rsidR="0010214E" w:rsidP="0010214E" w:rsidRDefault="00A74EB5" w14:paraId="7E916A06" w14:textId="77777777">
            <w:pPr>
              <w:pStyle w:val="BodyText"/>
              <w:rPr>
                <w:rFonts w:cs="Arial" w:asciiTheme="minorHAnsi" w:hAnsiTheme="minorHAnsi"/>
                <w:b/>
                <w:bCs/>
                <w:sz w:val="20"/>
              </w:rPr>
            </w:pPr>
            <w:r w:rsidRPr="00FA5D59">
              <w:rPr>
                <w:rFonts w:cs="Arial" w:asciiTheme="minorHAnsi" w:hAnsiTheme="minorHAnsi"/>
                <w:b/>
                <w:bCs/>
                <w:sz w:val="20"/>
              </w:rPr>
              <w:t>Evidence summary</w:t>
            </w:r>
          </w:p>
        </w:tc>
        <w:tc>
          <w:tcPr>
            <w:tcW w:w="8222" w:type="dxa"/>
          </w:tcPr>
          <w:p w:rsidRPr="004F1785" w:rsidR="0010214E" w:rsidP="0010214E" w:rsidRDefault="00A74EB5" w14:paraId="2B9D7592" w14:textId="77777777">
            <w:pPr>
              <w:pStyle w:val="BodyText"/>
              <w:tabs>
                <w:tab w:val="left" w:pos="1168"/>
              </w:tabs>
              <w:rPr>
                <w:rFonts w:asciiTheme="minorHAnsi" w:hAnsiTheme="minorHAnsi"/>
                <w:sz w:val="16"/>
                <w:szCs w:val="16"/>
              </w:rPr>
            </w:pPr>
            <w:r w:rsidRPr="004F1785">
              <w:rPr>
                <w:rFonts w:asciiTheme="minorHAnsi" w:hAnsiTheme="minorHAnsi"/>
                <w:b/>
                <w:sz w:val="16"/>
                <w:szCs w:val="16"/>
              </w:rPr>
              <w:t>ARC 2010 treatment recommendations for supraventricular tachycardia:</w:t>
            </w:r>
            <w:r w:rsidRPr="004F1785">
              <w:rPr>
                <w:rFonts w:asciiTheme="minorHAnsi" w:hAnsiTheme="minorHAnsi"/>
                <w:sz w:val="16"/>
                <w:szCs w:val="16"/>
              </w:rPr>
              <w:t xml:space="preserve"> If haemodynamically stable (adequate perfusion and blood pressure), initial treatment of SVT for infants and young children should be application to the face of a plastic bag filled with iced-water (or unilateral carotid sinus massage in older infants) [LOE IV; GOR B]. If drug therapy required, adenosine is the drug of choice. It has a very short half-life and must be given as a rapid intravenous or intraosseous bolus and flushed with 0.9% sodium chloride into the circulation. A dose in the range of 0.1 to 0.3 mg/kg converts most cases to sinus rhythm [LOE IV; GOR B]. The initial recommended dose is 0.1 mg/kg but if this is ineffective, the dose should be increased to 0.2 mg/kg. The first dose should not exceed 6 mg and the second dose 12 mg. </w:t>
            </w:r>
            <w:r w:rsidRPr="004F1785">
              <w:rPr>
                <w:rFonts w:asciiTheme="minorHAnsi" w:hAnsiTheme="minorHAnsi"/>
                <w:noProof/>
                <w:sz w:val="16"/>
                <w:szCs w:val="16"/>
              </w:rPr>
              <w:t>[1]</w:t>
            </w:r>
          </w:p>
          <w:p w:rsidRPr="004F1785" w:rsidR="0010214E" w:rsidP="0010214E" w:rsidRDefault="00A74EB5" w14:paraId="52B43296" w14:textId="77777777">
            <w:pPr>
              <w:pStyle w:val="BodyText"/>
              <w:tabs>
                <w:tab w:val="left" w:pos="1168"/>
              </w:tabs>
              <w:rPr>
                <w:rFonts w:asciiTheme="minorHAnsi" w:hAnsiTheme="minorHAnsi"/>
                <w:sz w:val="16"/>
                <w:szCs w:val="16"/>
              </w:rPr>
            </w:pPr>
            <w:r w:rsidRPr="004F1785">
              <w:rPr>
                <w:rFonts w:asciiTheme="minorHAnsi" w:hAnsiTheme="minorHAnsi"/>
                <w:b/>
                <w:sz w:val="16"/>
                <w:szCs w:val="16"/>
              </w:rPr>
              <w:t>Adenosine versus intravenous calcium channel antagonists for tachycardia:</w:t>
            </w:r>
            <w:r w:rsidRPr="004F1785">
              <w:rPr>
                <w:rFonts w:asciiTheme="minorHAnsi" w:hAnsiTheme="minorHAnsi"/>
                <w:sz w:val="16"/>
                <w:szCs w:val="16"/>
              </w:rPr>
              <w:t xml:space="preserve"> There are no randomised controlled trials (RCTs) in infants or newborns.</w:t>
            </w:r>
            <w:r w:rsidRPr="004F1785">
              <w:rPr>
                <w:rFonts w:asciiTheme="minorHAnsi" w:hAnsiTheme="minorHAnsi"/>
                <w:noProof/>
                <w:sz w:val="16"/>
                <w:szCs w:val="16"/>
              </w:rPr>
              <w:t>[1, 2]</w:t>
            </w:r>
            <w:r w:rsidRPr="004F1785">
              <w:rPr>
                <w:rFonts w:asciiTheme="minorHAnsi" w:hAnsiTheme="minorHAnsi"/>
                <w:sz w:val="16"/>
                <w:szCs w:val="16"/>
              </w:rPr>
              <w:t xml:space="preserve"> In RCTs in adults, time to reversion was slower for verapamil than adenosine. Minor adverse events such as nausea, chest tightness, shortness of breath and headache were reported in patients treated with adenosine with 10.8 % of patients reporting at least one of these events, compared with 0.6% of those treated with verapamil (OR 0.15, 95% CI 0.09 to 0.26, P&lt;0.001). There was no significant difference in the rate of major adverse events between the two groups, although hypotension was reported exclusively in the verapamil treatment group (3/166 patients treated with verapamil, 0/171 treated with adenosine).</w:t>
            </w:r>
            <w:r w:rsidRPr="004F1785">
              <w:rPr>
                <w:rFonts w:asciiTheme="minorHAnsi" w:hAnsiTheme="minorHAnsi"/>
                <w:noProof/>
                <w:sz w:val="16"/>
                <w:szCs w:val="16"/>
              </w:rPr>
              <w:t>[4]</w:t>
            </w:r>
          </w:p>
          <w:p w:rsidRPr="004F1785" w:rsidR="0010214E" w:rsidP="0010214E" w:rsidRDefault="00A74EB5" w14:paraId="66058872" w14:textId="77777777">
            <w:pPr>
              <w:pStyle w:val="BodyText"/>
              <w:tabs>
                <w:tab w:val="left" w:pos="1168"/>
              </w:tabs>
              <w:rPr>
                <w:rFonts w:asciiTheme="minorHAnsi" w:hAnsiTheme="minorHAnsi"/>
                <w:sz w:val="16"/>
                <w:szCs w:val="16"/>
              </w:rPr>
            </w:pPr>
            <w:r w:rsidRPr="004F1785">
              <w:rPr>
                <w:rFonts w:asciiTheme="minorHAnsi" w:hAnsiTheme="minorHAnsi"/>
                <w:b/>
                <w:sz w:val="16"/>
                <w:szCs w:val="16"/>
              </w:rPr>
              <w:t>Pharmacokinetics:</w:t>
            </w:r>
            <w:r w:rsidRPr="004F1785">
              <w:rPr>
                <w:rFonts w:asciiTheme="minorHAnsi" w:hAnsiTheme="minorHAnsi"/>
                <w:sz w:val="16"/>
                <w:szCs w:val="16"/>
              </w:rPr>
              <w:t xml:space="preserve"> Adenosine is an endogenous purine analogue with rapid onset and the short half-life (1–10 sec). Adenosine exerts its antiarrhythmic actions by activation of A</w:t>
            </w:r>
            <w:r w:rsidRPr="004F1785">
              <w:rPr>
                <w:rFonts w:asciiTheme="minorHAnsi" w:hAnsiTheme="minorHAnsi"/>
                <w:sz w:val="16"/>
                <w:szCs w:val="16"/>
                <w:vertAlign w:val="subscript"/>
              </w:rPr>
              <w:t>1</w:t>
            </w:r>
            <w:r w:rsidRPr="004F1785">
              <w:rPr>
                <w:rFonts w:asciiTheme="minorHAnsi" w:hAnsiTheme="minorHAnsi"/>
                <w:sz w:val="16"/>
                <w:szCs w:val="16"/>
              </w:rPr>
              <w:t xml:space="preserve"> adenosine receptors located in the sinoatrial and atrioventricular nodes, as well as in activated ventricular myocardium.</w:t>
            </w:r>
            <w:r w:rsidRPr="004F1785">
              <w:rPr>
                <w:rFonts w:asciiTheme="minorHAnsi" w:hAnsiTheme="minorHAnsi"/>
                <w:noProof/>
                <w:sz w:val="16"/>
                <w:szCs w:val="16"/>
              </w:rPr>
              <w:t>[3]</w:t>
            </w:r>
          </w:p>
          <w:p w:rsidRPr="00FA5D59" w:rsidR="0010214E" w:rsidP="0010214E" w:rsidRDefault="00A74EB5" w14:paraId="7D506317" w14:textId="77777777">
            <w:pPr>
              <w:pStyle w:val="BodyText"/>
              <w:tabs>
                <w:tab w:val="left" w:pos="1168"/>
              </w:tabs>
              <w:rPr>
                <w:rFonts w:cs="Arial" w:asciiTheme="minorHAnsi" w:hAnsiTheme="minorHAnsi"/>
                <w:sz w:val="20"/>
              </w:rPr>
            </w:pPr>
            <w:r w:rsidRPr="004F1785">
              <w:rPr>
                <w:rFonts w:asciiTheme="minorHAnsi" w:hAnsiTheme="minorHAnsi"/>
                <w:b/>
                <w:sz w:val="16"/>
                <w:szCs w:val="16"/>
              </w:rPr>
              <w:t>Safety:</w:t>
            </w:r>
            <w:r w:rsidRPr="004F1785">
              <w:rPr>
                <w:rFonts w:asciiTheme="minorHAnsi" w:hAnsiTheme="minorHAnsi"/>
                <w:sz w:val="16"/>
                <w:szCs w:val="16"/>
              </w:rPr>
              <w:t xml:space="preserve"> A few cases of adenosine-induced tachyarrhythmia e.g. torsades de pointes, have occurred.</w:t>
            </w:r>
            <w:r w:rsidRPr="004F1785">
              <w:rPr>
                <w:rFonts w:asciiTheme="minorHAnsi" w:hAnsiTheme="minorHAnsi"/>
                <w:noProof/>
                <w:sz w:val="16"/>
                <w:szCs w:val="16"/>
              </w:rPr>
              <w:t>[1]</w:t>
            </w:r>
          </w:p>
        </w:tc>
      </w:tr>
      <w:tr w:rsidRPr="00FA5D59" w:rsidR="00273A16" w:rsidTr="77BEE3D0" w14:paraId="2EEDD2E1" w14:textId="77777777">
        <w:trPr>
          <w:trHeight w:val="361"/>
        </w:trPr>
        <w:tc>
          <w:tcPr>
            <w:tcW w:w="1625" w:type="dxa"/>
          </w:tcPr>
          <w:p w:rsidRPr="00FA5D59" w:rsidR="0010214E" w:rsidP="0010214E" w:rsidRDefault="00A74EB5" w14:paraId="784866A1" w14:textId="77777777">
            <w:pPr>
              <w:pStyle w:val="BodyText"/>
              <w:rPr>
                <w:rFonts w:cs="Arial" w:asciiTheme="minorHAnsi" w:hAnsiTheme="minorHAnsi"/>
                <w:b/>
                <w:bCs/>
                <w:sz w:val="20"/>
              </w:rPr>
            </w:pPr>
            <w:r w:rsidRPr="00FA5D59">
              <w:rPr>
                <w:rFonts w:asciiTheme="minorHAnsi" w:hAnsiTheme="minorHAnsi"/>
                <w:b/>
                <w:sz w:val="20"/>
              </w:rPr>
              <w:t>References</w:t>
            </w:r>
          </w:p>
        </w:tc>
        <w:tc>
          <w:tcPr>
            <w:tcW w:w="8222" w:type="dxa"/>
          </w:tcPr>
          <w:p w:rsidRPr="004F1785" w:rsidR="0010214E" w:rsidP="0010214E" w:rsidRDefault="00A74EB5" w14:paraId="0C9637E9" w14:textId="77777777">
            <w:pPr>
              <w:pStyle w:val="EndNoteBibliography"/>
              <w:rPr>
                <w:rFonts w:asciiTheme="minorHAnsi" w:hAnsiTheme="minorHAnsi"/>
                <w:sz w:val="16"/>
                <w:szCs w:val="16"/>
              </w:rPr>
            </w:pPr>
            <w:r w:rsidRPr="004F1785">
              <w:rPr>
                <w:rFonts w:asciiTheme="minorHAnsi" w:hAnsiTheme="minorHAnsi"/>
                <w:sz w:val="16"/>
                <w:szCs w:val="16"/>
              </w:rPr>
              <w:t>1. Australian Resuscitation C, New Zealand Resuscitation C. Management of specific dysrhythmias in paediatric advanced life support. ARC and NZRC Guideline 2010. Emergency medicine Australasia : EMA. 2011;23:409-11.</w:t>
            </w:r>
          </w:p>
          <w:p w:rsidRPr="004F1785" w:rsidR="0010214E" w:rsidP="0010214E" w:rsidRDefault="00A74EB5" w14:paraId="79EB9E36" w14:textId="77777777">
            <w:pPr>
              <w:pStyle w:val="EndNoteBibliography"/>
              <w:rPr>
                <w:rFonts w:asciiTheme="minorHAnsi" w:hAnsiTheme="minorHAnsi"/>
                <w:sz w:val="16"/>
                <w:szCs w:val="16"/>
              </w:rPr>
            </w:pPr>
            <w:r w:rsidRPr="004F1785">
              <w:rPr>
                <w:rFonts w:asciiTheme="minorHAnsi" w:hAnsiTheme="minorHAnsi"/>
                <w:sz w:val="16"/>
                <w:szCs w:val="16"/>
              </w:rPr>
              <w:t>2. de Caen AR, Kleinman ME, Chameides L, Atkins DL, Berg RA, Berg MD, Bhanji F, Biarent D, Bingham R, Coovadia AH, Hazinski MF, Hickey RW, Nadkarni VM, Reis AG, Rodriguez-Nunez A, Tibballs J, Zaritsky AL, Zideman D, Paediatric B, Advanced Life Support Chapter C. Part 10: Paediatric basic and advanced life support: 2010 International Consensus on Cardiopulmonary Resuscitation and Emergency Cardiovascular Care Science with Treatment Recommendations. Resuscitation. 2010;81 Suppl 1:e213-59.</w:t>
            </w:r>
          </w:p>
          <w:p w:rsidRPr="004F1785" w:rsidR="0010214E" w:rsidP="0010214E" w:rsidRDefault="00A74EB5" w14:paraId="5F218323" w14:textId="77777777">
            <w:pPr>
              <w:pStyle w:val="EndNoteBibliography"/>
              <w:rPr>
                <w:rFonts w:asciiTheme="minorHAnsi" w:hAnsiTheme="minorHAnsi"/>
                <w:sz w:val="16"/>
                <w:szCs w:val="16"/>
              </w:rPr>
            </w:pPr>
            <w:r w:rsidRPr="004F1785">
              <w:rPr>
                <w:rFonts w:asciiTheme="minorHAnsi" w:hAnsiTheme="minorHAnsi"/>
                <w:sz w:val="16"/>
                <w:szCs w:val="16"/>
              </w:rPr>
              <w:t>3. Szentmiklosi AJ, Galajda Z, Cseppento A, Gesztelyi R, Susan Z, Hegyi B, Nanasi PP. The Janus face of adenosine: antiarrhythmic and proarrhythmic actions. Current pharmaceutical design. 2015;21:965-76.</w:t>
            </w:r>
          </w:p>
          <w:p w:rsidRPr="004F1785" w:rsidR="0010214E" w:rsidP="0010214E" w:rsidRDefault="00A74EB5" w14:paraId="23B0C9EE" w14:textId="77777777">
            <w:pPr>
              <w:pStyle w:val="EndNoteBibliography"/>
              <w:rPr>
                <w:rFonts w:asciiTheme="minorHAnsi" w:hAnsiTheme="minorHAnsi"/>
                <w:sz w:val="16"/>
                <w:szCs w:val="16"/>
              </w:rPr>
            </w:pPr>
            <w:r w:rsidRPr="004F1785">
              <w:rPr>
                <w:rFonts w:asciiTheme="minorHAnsi" w:hAnsiTheme="minorHAnsi"/>
                <w:sz w:val="16"/>
                <w:szCs w:val="16"/>
              </w:rPr>
              <w:t>4. Holdgate A, Foo A. Adenosine versus intravenous calcium channel antagonists for the treatment of supraventricular tachycardia in adults. The Cochrane database of systematic reviews. 2006:CD005154.</w:t>
            </w:r>
          </w:p>
          <w:p w:rsidRPr="00FA5D59" w:rsidR="0010214E" w:rsidP="0010214E" w:rsidRDefault="00A74EB5" w14:paraId="503F7EBC" w14:textId="77777777">
            <w:pPr>
              <w:pStyle w:val="EndNoteBibliography"/>
              <w:rPr>
                <w:rFonts w:cs="Arial" w:asciiTheme="minorHAnsi" w:hAnsiTheme="minorHAnsi"/>
                <w:sz w:val="20"/>
                <w:szCs w:val="20"/>
              </w:rPr>
            </w:pPr>
            <w:r w:rsidRPr="004F1785">
              <w:rPr>
                <w:rFonts w:asciiTheme="minorHAnsi" w:hAnsiTheme="minorHAnsi"/>
                <w:sz w:val="16"/>
                <w:szCs w:val="16"/>
              </w:rPr>
              <w:t>5. Australian Injectable Drugs Handbook, 6th Edition, Society of Hospital Pharmacists of Australia 2014.</w:t>
            </w:r>
          </w:p>
        </w:tc>
      </w:tr>
    </w:tbl>
    <w:p w:rsidRPr="00E25790" w:rsidR="009A1574" w:rsidP="006F0321" w:rsidRDefault="009A1574" w14:paraId="7AD85E36" w14:textId="102A8C48"/>
    <w:tbl>
      <w:tblPr>
        <w:tblW w:w="8925" w:type="dxa"/>
        <w:tblInd w:w="-34" w:type="dxa"/>
        <w:tblCellMar>
          <w:left w:w="0" w:type="dxa"/>
          <w:right w:w="0" w:type="dxa"/>
        </w:tblCellMar>
        <w:tblLook w:val="04A0" w:firstRow="1" w:lastRow="0" w:firstColumn="1" w:lastColumn="0" w:noHBand="0" w:noVBand="1"/>
      </w:tblPr>
      <w:tblGrid>
        <w:gridCol w:w="4108"/>
        <w:gridCol w:w="4817"/>
      </w:tblGrid>
      <w:tr w:rsidR="009A1574" w:rsidTr="009A1574" w14:paraId="7922C8C0"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A1574" w:rsidRDefault="009A1574" w14:paraId="59A34337" w14:textId="1E060566">
            <w:pPr>
              <w:spacing w:line="252" w:lineRule="auto"/>
              <w:rPr>
                <w:sz w:val="22"/>
                <w:lang w:val="en-AU"/>
              </w:rPr>
            </w:pPr>
            <w:r>
              <w:t>Original version Date: 27/06/2016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9A1574" w:rsidRDefault="009A1574" w14:paraId="675669B9" w14:textId="77777777">
            <w:pPr>
              <w:spacing w:line="252" w:lineRule="auto"/>
            </w:pPr>
            <w:r>
              <w:t>Author: NeoMed Consensus Group</w:t>
            </w:r>
          </w:p>
        </w:tc>
      </w:tr>
      <w:tr w:rsidR="009A1574" w:rsidTr="009A1574" w14:paraId="7504F0EB"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A1574" w:rsidRDefault="009A1574" w14:paraId="467C7931" w14:textId="1A860CEE">
            <w:pPr>
              <w:spacing w:line="252" w:lineRule="auto"/>
            </w:pPr>
            <w:r>
              <w:t xml:space="preserve">Current Version number:  </w:t>
            </w:r>
            <w:r w:rsidR="00D119FB">
              <w:t>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9A1574" w:rsidRDefault="009A1574" w14:paraId="304227FD" w14:textId="3F2A7635">
            <w:pPr>
              <w:spacing w:line="252" w:lineRule="auto"/>
            </w:pPr>
            <w:r>
              <w:t xml:space="preserve">Current Version Date:  </w:t>
            </w:r>
            <w:r w:rsidR="00D119FB">
              <w:t>15/12/2020</w:t>
            </w:r>
          </w:p>
        </w:tc>
      </w:tr>
      <w:tr w:rsidR="009A1574" w:rsidTr="009A1574" w14:paraId="21B3DB1A"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A1574" w:rsidRDefault="009A1574" w14:paraId="599B69AC" w14:textId="77777777">
            <w:pPr>
              <w:spacing w:line="252" w:lineRule="auto"/>
            </w:pPr>
            <w:r>
              <w:t>Risk Rating: Medium</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9A1574" w:rsidRDefault="009A1574" w14:paraId="3A31C087" w14:textId="06C2F64B">
            <w:pPr>
              <w:spacing w:line="252" w:lineRule="auto"/>
            </w:pPr>
            <w:r>
              <w:t xml:space="preserve">Due for Review:  </w:t>
            </w:r>
            <w:r w:rsidR="00D119FB">
              <w:t>15/12/2023</w:t>
            </w:r>
          </w:p>
        </w:tc>
      </w:tr>
      <w:tr w:rsidR="009A1574" w:rsidTr="009A1574" w14:paraId="1D04F4D9"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A1574" w:rsidRDefault="009A1574" w14:paraId="0BE9490B"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9A1574" w:rsidRDefault="009A1574" w14:paraId="0FA3E13F" w14:textId="3BAD8C89">
            <w:pPr>
              <w:spacing w:line="252" w:lineRule="auto"/>
            </w:pPr>
            <w:r>
              <w:t xml:space="preserve">Approval Date: </w:t>
            </w:r>
            <w:r w:rsidR="00260BC8">
              <w:t>APRIL 2021</w:t>
            </w:r>
          </w:p>
        </w:tc>
      </w:tr>
    </w:tbl>
    <w:p w:rsidR="00115F48" w:rsidP="006F0321" w:rsidRDefault="00115F48" w14:paraId="58F6DA22" w14:textId="6DC006F9"/>
    <w:p w:rsidR="00163F28" w:rsidP="006F0321" w:rsidRDefault="00163F28" w14:paraId="7F0DA15D" w14:textId="77777777"/>
    <w:p w:rsidR="00163F28" w:rsidP="006F0321" w:rsidRDefault="00163F28" w14:paraId="6364FEE6" w14:textId="04261873"/>
    <w:p w:rsidR="00532883" w:rsidP="006F0321" w:rsidRDefault="00532883" w14:paraId="4484AD79" w14:textId="47C048B3"/>
    <w:p w:rsidR="00532883" w:rsidP="006F0321" w:rsidRDefault="00532883" w14:paraId="36B1D564" w14:textId="5F54396A"/>
    <w:p w:rsidR="00532883" w:rsidP="006F0321" w:rsidRDefault="00532883" w14:paraId="3D2B7A6A" w14:textId="4804055B"/>
    <w:p w:rsidR="00532883" w:rsidP="006F0321" w:rsidRDefault="00532883" w14:paraId="5D4E4D86" w14:textId="2000E2E0"/>
    <w:p w:rsidR="00532883" w:rsidP="006F0321" w:rsidRDefault="00532883" w14:paraId="5D0C7301" w14:textId="41A4E014"/>
    <w:p w:rsidR="00532883" w:rsidP="006F0321" w:rsidRDefault="00532883" w14:paraId="6D353CA0" w14:textId="77777777"/>
    <w:p w:rsidR="00163F28" w:rsidP="006F0321" w:rsidRDefault="00163F28" w14:paraId="68E6DBD5" w14:textId="77777777"/>
    <w:p w:rsidR="00163F28" w:rsidP="006F0321" w:rsidRDefault="00163F28" w14:paraId="7366FF54" w14:textId="77777777"/>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E25790" w:rsidR="007678FC" w:rsidTr="00131848" w14:paraId="0B1D8DAE" w14:textId="77777777">
        <w:trPr>
          <w:cantSplit/>
          <w:trHeight w:val="720"/>
        </w:trPr>
        <w:tc>
          <w:tcPr>
            <w:tcW w:w="9049" w:type="dxa"/>
            <w:gridSpan w:val="2"/>
            <w:shd w:val="clear" w:color="auto" w:fill="FFFF00"/>
          </w:tcPr>
          <w:p w:rsidRPr="00E25790" w:rsidR="007678FC" w:rsidP="00131848" w:rsidRDefault="007678FC" w14:paraId="2BDE52DC" w14:textId="5DA53CBE">
            <w:pPr>
              <w:pStyle w:val="Heading1"/>
            </w:pPr>
            <w:bookmarkStart w:name="_Toc75339925" w:id="54"/>
            <w:r w:rsidRPr="00E25790">
              <w:lastRenderedPageBreak/>
              <w:t>Adrenaline (</w:t>
            </w:r>
            <w:r>
              <w:t>Intratracheal</w:t>
            </w:r>
            <w:r w:rsidRPr="00E25790">
              <w:t>)</w:t>
            </w:r>
            <w:bookmarkEnd w:id="54"/>
            <w:r w:rsidRPr="00E25790">
              <w:fldChar w:fldCharType="begin"/>
            </w:r>
            <w:r w:rsidRPr="00E25790">
              <w:instrText>tc "Adrenaline" \l 0</w:instrText>
            </w:r>
            <w:r w:rsidRPr="00E25790">
              <w:fldChar w:fldCharType="end"/>
            </w:r>
          </w:p>
        </w:tc>
      </w:tr>
      <w:tr w:rsidRPr="00E25790" w:rsidR="007678FC" w:rsidTr="00131848" w14:paraId="491FB84A" w14:textId="77777777">
        <w:trPr>
          <w:cantSplit/>
          <w:trHeight w:val="480"/>
        </w:trPr>
        <w:tc>
          <w:tcPr>
            <w:tcW w:w="4153" w:type="dxa"/>
            <w:shd w:val="clear" w:color="auto" w:fill="FFFF00"/>
          </w:tcPr>
          <w:p w:rsidRPr="00E25790" w:rsidR="007678FC" w:rsidP="00131848" w:rsidRDefault="007678FC" w14:paraId="07D0F1D4" w14:textId="1AACF6B7">
            <w:r w:rsidRPr="00E25790">
              <w:t xml:space="preserve">Revision Date : </w:t>
            </w:r>
            <w:r>
              <w:t>18-6-2021</w:t>
            </w:r>
          </w:p>
        </w:tc>
        <w:tc>
          <w:tcPr>
            <w:tcW w:w="4896" w:type="dxa"/>
            <w:shd w:val="clear" w:color="auto" w:fill="FFFF00"/>
          </w:tcPr>
          <w:p w:rsidRPr="00E25790" w:rsidR="007678FC" w:rsidP="00131848" w:rsidRDefault="007678FC" w14:paraId="75DA0C88" w14:textId="77777777">
            <w:r w:rsidRPr="00E25790">
              <w:t xml:space="preserve">Approved : </w:t>
            </w:r>
            <w:r>
              <w:t>TC, KOH</w:t>
            </w:r>
          </w:p>
        </w:tc>
      </w:tr>
    </w:tbl>
    <w:p w:rsidR="00163F28" w:rsidP="006F0321" w:rsidRDefault="00163F28" w14:paraId="1CC40E20"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953568" w:rsidR="00B738BC" w:rsidTr="00B738BC" w14:paraId="244EDB4E" w14:textId="77777777">
        <w:trPr>
          <w:trHeight w:val="70"/>
        </w:trPr>
        <w:tc>
          <w:tcPr>
            <w:tcW w:w="1730" w:type="dxa"/>
          </w:tcPr>
          <w:p w:rsidRPr="00953568" w:rsidR="00B738BC" w:rsidP="00131848" w:rsidRDefault="00B738BC" w14:paraId="641D9ADC" w14:textId="77777777">
            <w:pPr>
              <w:pStyle w:val="BodyText"/>
              <w:tabs>
                <w:tab w:val="center" w:pos="1476"/>
              </w:tabs>
              <w:rPr>
                <w:rFonts w:cs="Arial"/>
                <w:b/>
                <w:sz w:val="20"/>
              </w:rPr>
            </w:pPr>
            <w:r w:rsidRPr="00953568">
              <w:rPr>
                <w:rFonts w:cs="Arial"/>
                <w:b/>
                <w:sz w:val="20"/>
              </w:rPr>
              <w:t>Alert</w:t>
            </w:r>
          </w:p>
        </w:tc>
        <w:tc>
          <w:tcPr>
            <w:tcW w:w="7513" w:type="dxa"/>
          </w:tcPr>
          <w:p w:rsidRPr="00953568" w:rsidR="00B738BC" w:rsidP="00131848" w:rsidRDefault="00B738BC" w14:paraId="5ECAC75B" w14:textId="77777777">
            <w:pPr>
              <w:pStyle w:val="BodyText"/>
              <w:rPr>
                <w:rFonts w:cs="Arial" w:asciiTheme="minorHAnsi" w:hAnsiTheme="minorHAnsi"/>
                <w:sz w:val="20"/>
              </w:rPr>
            </w:pPr>
          </w:p>
        </w:tc>
      </w:tr>
      <w:tr w:rsidRPr="00953568" w:rsidR="00B738BC" w:rsidTr="00B738BC" w14:paraId="2B8CFE6E" w14:textId="77777777">
        <w:trPr>
          <w:trHeight w:val="72"/>
        </w:trPr>
        <w:tc>
          <w:tcPr>
            <w:tcW w:w="1730" w:type="dxa"/>
          </w:tcPr>
          <w:p w:rsidRPr="00953568" w:rsidR="00B738BC" w:rsidP="00131848" w:rsidRDefault="00B738BC" w14:paraId="004012BC" w14:textId="77777777">
            <w:pPr>
              <w:pStyle w:val="BodyText"/>
              <w:rPr>
                <w:rFonts w:cs="Arial"/>
                <w:sz w:val="20"/>
              </w:rPr>
            </w:pPr>
            <w:r w:rsidRPr="00953568">
              <w:rPr>
                <w:rFonts w:cs="Arial"/>
                <w:b/>
                <w:bCs/>
                <w:sz w:val="20"/>
              </w:rPr>
              <w:t>Indication</w:t>
            </w:r>
          </w:p>
        </w:tc>
        <w:tc>
          <w:tcPr>
            <w:tcW w:w="7513" w:type="dxa"/>
          </w:tcPr>
          <w:p w:rsidRPr="00A801B4" w:rsidR="00B738BC" w:rsidP="00131848" w:rsidRDefault="00B738BC" w14:paraId="351B7024" w14:textId="77777777">
            <w:pPr>
              <w:rPr>
                <w:sz w:val="20"/>
              </w:rPr>
            </w:pPr>
            <w:r w:rsidRPr="00A801B4">
              <w:rPr>
                <w:b/>
                <w:bCs/>
                <w:sz w:val="20"/>
              </w:rPr>
              <w:t>Resuscitation of the Newborn Infant</w:t>
            </w:r>
          </w:p>
          <w:p w:rsidRPr="00953568" w:rsidR="00B738BC" w:rsidP="00131848" w:rsidRDefault="00B738BC" w14:paraId="78A9F79B" w14:textId="77777777">
            <w:pPr>
              <w:rPr>
                <w:rFonts w:asciiTheme="minorHAnsi" w:hAnsiTheme="minorHAnsi"/>
                <w:sz w:val="20"/>
              </w:rPr>
            </w:pPr>
            <w:r w:rsidRPr="00A801B4">
              <w:rPr>
                <w:sz w:val="20"/>
              </w:rPr>
              <w:t>If intravenous access is not available and adequate ventilation and chest compressions have failed to increase the heart rate to &gt;60 beats per minute, then it is reasonable to administer endotracheal adrenaline</w:t>
            </w:r>
            <w:r>
              <w:rPr>
                <w:sz w:val="20"/>
              </w:rPr>
              <w:t xml:space="preserve"> if intravascular access is not available</w:t>
            </w:r>
            <w:r w:rsidRPr="00A801B4">
              <w:rPr>
                <w:sz w:val="20"/>
              </w:rPr>
              <w:t>.</w:t>
            </w:r>
            <w:r>
              <w:rPr>
                <w:sz w:val="20"/>
              </w:rPr>
              <w:t>(1)</w:t>
            </w:r>
          </w:p>
        </w:tc>
      </w:tr>
      <w:tr w:rsidRPr="00953568" w:rsidR="00B738BC" w:rsidTr="00B738BC" w14:paraId="33BB7B12" w14:textId="77777777">
        <w:trPr>
          <w:trHeight w:val="70"/>
        </w:trPr>
        <w:tc>
          <w:tcPr>
            <w:tcW w:w="1730" w:type="dxa"/>
          </w:tcPr>
          <w:p w:rsidRPr="00953568" w:rsidR="00B738BC" w:rsidP="00131848" w:rsidRDefault="00B738BC" w14:paraId="5B098505" w14:textId="77777777">
            <w:pPr>
              <w:pStyle w:val="BodyText"/>
              <w:rPr>
                <w:rFonts w:cs="Arial"/>
                <w:b/>
                <w:bCs/>
                <w:sz w:val="20"/>
              </w:rPr>
            </w:pPr>
            <w:r w:rsidRPr="00953568">
              <w:rPr>
                <w:rFonts w:cs="Arial"/>
                <w:b/>
                <w:bCs/>
                <w:sz w:val="20"/>
              </w:rPr>
              <w:t>Action</w:t>
            </w:r>
          </w:p>
        </w:tc>
        <w:tc>
          <w:tcPr>
            <w:tcW w:w="7513" w:type="dxa"/>
          </w:tcPr>
          <w:p w:rsidRPr="00953568" w:rsidR="00B738BC" w:rsidP="00131848" w:rsidRDefault="00B738BC" w14:paraId="17410076" w14:textId="77777777">
            <w:pPr>
              <w:rPr>
                <w:rFonts w:cs="Arial" w:asciiTheme="minorHAnsi" w:hAnsiTheme="minorHAnsi"/>
                <w:sz w:val="20"/>
              </w:rPr>
            </w:pPr>
            <w:r w:rsidRPr="00A801B4">
              <w:rPr>
                <w:sz w:val="20"/>
              </w:rPr>
              <w:t>Catecholamine with alpha and beta adrenergic actions.</w:t>
            </w:r>
          </w:p>
        </w:tc>
      </w:tr>
      <w:tr w:rsidRPr="00953568" w:rsidR="00B738BC" w:rsidTr="00B738BC" w14:paraId="2C924A3C" w14:textId="77777777">
        <w:trPr>
          <w:trHeight w:val="266"/>
        </w:trPr>
        <w:tc>
          <w:tcPr>
            <w:tcW w:w="1730" w:type="dxa"/>
          </w:tcPr>
          <w:p w:rsidRPr="00953568" w:rsidR="00B738BC" w:rsidP="00131848" w:rsidRDefault="00B738BC" w14:paraId="3A6D30F7" w14:textId="77777777">
            <w:pPr>
              <w:pStyle w:val="BodyText"/>
              <w:rPr>
                <w:rFonts w:cs="Arial"/>
                <w:sz w:val="20"/>
              </w:rPr>
            </w:pPr>
            <w:r w:rsidRPr="00953568">
              <w:rPr>
                <w:rFonts w:cs="Arial"/>
                <w:b/>
                <w:bCs/>
                <w:sz w:val="20"/>
              </w:rPr>
              <w:t>Drug type</w:t>
            </w:r>
          </w:p>
        </w:tc>
        <w:tc>
          <w:tcPr>
            <w:tcW w:w="7513" w:type="dxa"/>
          </w:tcPr>
          <w:p w:rsidRPr="00953568" w:rsidR="00B738BC" w:rsidP="00131848" w:rsidRDefault="00B738BC" w14:paraId="09FC3BE4" w14:textId="77777777">
            <w:pPr>
              <w:pStyle w:val="BodyText"/>
              <w:rPr>
                <w:rFonts w:cs="Arial" w:asciiTheme="minorHAnsi" w:hAnsiTheme="minorHAnsi"/>
                <w:sz w:val="20"/>
              </w:rPr>
            </w:pPr>
            <w:r w:rsidRPr="00A801B4">
              <w:rPr>
                <w:sz w:val="20"/>
              </w:rPr>
              <w:t>Inotropic vasopressor.</w:t>
            </w:r>
          </w:p>
        </w:tc>
      </w:tr>
      <w:tr w:rsidRPr="00953568" w:rsidR="00B738BC" w:rsidTr="00B738BC" w14:paraId="597ED5D0" w14:textId="77777777">
        <w:trPr>
          <w:trHeight w:val="114"/>
        </w:trPr>
        <w:tc>
          <w:tcPr>
            <w:tcW w:w="1730" w:type="dxa"/>
          </w:tcPr>
          <w:p w:rsidRPr="00953568" w:rsidR="00B738BC" w:rsidP="00131848" w:rsidRDefault="00B738BC" w14:paraId="0336A050" w14:textId="77777777">
            <w:pPr>
              <w:pStyle w:val="BodyText"/>
              <w:rPr>
                <w:rFonts w:cs="Arial"/>
                <w:b/>
                <w:bCs/>
                <w:sz w:val="20"/>
              </w:rPr>
            </w:pPr>
            <w:r w:rsidRPr="00953568">
              <w:rPr>
                <w:rFonts w:cs="Arial"/>
                <w:b/>
                <w:bCs/>
                <w:sz w:val="20"/>
              </w:rPr>
              <w:t xml:space="preserve">Trade name </w:t>
            </w:r>
          </w:p>
        </w:tc>
        <w:tc>
          <w:tcPr>
            <w:tcW w:w="7513" w:type="dxa"/>
          </w:tcPr>
          <w:p w:rsidRPr="00953568" w:rsidR="00B738BC" w:rsidP="00131848" w:rsidRDefault="00B738BC" w14:paraId="61B0DF99" w14:textId="77777777">
            <w:pPr>
              <w:pStyle w:val="BodyText"/>
              <w:rPr>
                <w:rFonts w:asciiTheme="minorHAnsi" w:hAnsiTheme="minorHAnsi" w:cstheme="minorHAnsi"/>
                <w:sz w:val="20"/>
              </w:rPr>
            </w:pPr>
            <w:r w:rsidRPr="00A801B4">
              <w:rPr>
                <w:rFonts w:asciiTheme="minorHAnsi" w:hAnsiTheme="minorHAnsi" w:cstheme="minorHAnsi"/>
                <w:sz w:val="20"/>
              </w:rPr>
              <w:t>Aspen Adrenaline 1: 10,000 Adrenaline Acid Tartrate injection</w:t>
            </w:r>
          </w:p>
        </w:tc>
      </w:tr>
      <w:tr w:rsidRPr="00953568" w:rsidR="00B738BC" w:rsidTr="00B738BC" w14:paraId="3BCD1335" w14:textId="77777777">
        <w:trPr>
          <w:trHeight w:val="70"/>
        </w:trPr>
        <w:tc>
          <w:tcPr>
            <w:tcW w:w="1730" w:type="dxa"/>
          </w:tcPr>
          <w:p w:rsidRPr="00953568" w:rsidR="00B738BC" w:rsidP="00131848" w:rsidRDefault="00B738BC" w14:paraId="71DD6640" w14:textId="77777777">
            <w:pPr>
              <w:pStyle w:val="BodyText"/>
              <w:rPr>
                <w:rFonts w:cs="Arial"/>
                <w:b/>
                <w:bCs/>
                <w:sz w:val="20"/>
              </w:rPr>
            </w:pPr>
            <w:r w:rsidRPr="00953568">
              <w:rPr>
                <w:rFonts w:cs="Arial"/>
                <w:b/>
                <w:bCs/>
                <w:sz w:val="20"/>
              </w:rPr>
              <w:t xml:space="preserve">Presentation </w:t>
            </w:r>
          </w:p>
        </w:tc>
        <w:tc>
          <w:tcPr>
            <w:tcW w:w="7513" w:type="dxa"/>
          </w:tcPr>
          <w:p w:rsidR="00B738BC" w:rsidP="00131848" w:rsidRDefault="00B738BC" w14:paraId="55A88F59" w14:textId="77777777">
            <w:pPr>
              <w:pStyle w:val="BodyText"/>
              <w:rPr>
                <w:rFonts w:cs="Arial"/>
                <w:sz w:val="20"/>
              </w:rPr>
            </w:pPr>
            <w:r w:rsidRPr="00A801B4">
              <w:rPr>
                <w:rFonts w:cs="Arial"/>
                <w:sz w:val="20"/>
              </w:rPr>
              <w:t>1:10,000 ampoule [100micrograms/1mL]</w:t>
            </w:r>
            <w:r>
              <w:rPr>
                <w:rFonts w:cs="Arial"/>
                <w:sz w:val="20"/>
              </w:rPr>
              <w:t xml:space="preserve"> as adrenaline acid tartrate(Recommended)</w:t>
            </w:r>
          </w:p>
          <w:p w:rsidRPr="00953568" w:rsidR="00B738BC" w:rsidP="00131848" w:rsidRDefault="00B738BC" w14:paraId="3E902AF7" w14:textId="77777777">
            <w:pPr>
              <w:pStyle w:val="BodyText"/>
              <w:rPr>
                <w:rFonts w:cs="Arial" w:asciiTheme="minorHAnsi" w:hAnsiTheme="minorHAnsi"/>
                <w:sz w:val="20"/>
              </w:rPr>
            </w:pPr>
            <w:r>
              <w:rPr>
                <w:rFonts w:cs="Arial"/>
                <w:sz w:val="20"/>
              </w:rPr>
              <w:t xml:space="preserve">1: 10,000 Min-I-Jet Pre-filled syringe </w:t>
            </w:r>
            <w:r w:rsidRPr="00A801B4">
              <w:rPr>
                <w:rFonts w:cs="Arial"/>
                <w:sz w:val="20"/>
              </w:rPr>
              <w:t>[100micrograms/1mL]</w:t>
            </w:r>
            <w:r>
              <w:rPr>
                <w:rFonts w:cs="Arial"/>
                <w:sz w:val="20"/>
              </w:rPr>
              <w:t xml:space="preserve"> as adrenaline hydrochloride (if ampoules are in short supply)</w:t>
            </w:r>
          </w:p>
        </w:tc>
      </w:tr>
      <w:tr w:rsidRPr="00953568" w:rsidR="00B738BC" w:rsidTr="00B738BC" w14:paraId="34F431DA" w14:textId="77777777">
        <w:trPr>
          <w:trHeight w:val="70"/>
        </w:trPr>
        <w:tc>
          <w:tcPr>
            <w:tcW w:w="1730" w:type="dxa"/>
          </w:tcPr>
          <w:p w:rsidRPr="00953568" w:rsidR="00B738BC" w:rsidP="00131848" w:rsidRDefault="00B738BC" w14:paraId="4566AB0D" w14:textId="77777777">
            <w:pPr>
              <w:pStyle w:val="BodyText"/>
              <w:rPr>
                <w:rFonts w:cs="Arial"/>
                <w:b/>
                <w:bCs/>
                <w:sz w:val="20"/>
              </w:rPr>
            </w:pPr>
            <w:r w:rsidRPr="00953568">
              <w:rPr>
                <w:rFonts w:cs="Arial"/>
                <w:b/>
                <w:bCs/>
                <w:sz w:val="20"/>
              </w:rPr>
              <w:t xml:space="preserve">Dose </w:t>
            </w:r>
          </w:p>
        </w:tc>
        <w:tc>
          <w:tcPr>
            <w:tcW w:w="7513" w:type="dxa"/>
          </w:tcPr>
          <w:p w:rsidRPr="008B5BB0" w:rsidR="00B738BC" w:rsidP="00131848" w:rsidRDefault="00B738BC" w14:paraId="0EBCE08D" w14:textId="77777777">
            <w:pPr>
              <w:pStyle w:val="BodyText"/>
              <w:ind w:left="360" w:hanging="331"/>
              <w:rPr>
                <w:sz w:val="20"/>
              </w:rPr>
            </w:pPr>
            <w:r w:rsidRPr="008B5BB0">
              <w:rPr>
                <w:sz w:val="20"/>
              </w:rPr>
              <w:t xml:space="preserve">50–100 microgram/kg (0.5–1 mL/kg of a 1:10,000 solution) via endotracheal tube. </w:t>
            </w:r>
          </w:p>
          <w:p w:rsidRPr="008B5BB0" w:rsidR="00B738BC" w:rsidP="00131848" w:rsidRDefault="00B738BC" w14:paraId="7EFF37FE" w14:textId="77777777">
            <w:pPr>
              <w:pStyle w:val="BodyText"/>
              <w:ind w:left="28"/>
              <w:rPr>
                <w:sz w:val="20"/>
              </w:rPr>
            </w:pPr>
          </w:p>
          <w:p w:rsidRPr="008B5BB0" w:rsidR="00B738BC" w:rsidP="00131848" w:rsidRDefault="00B738BC" w14:paraId="20140303" w14:textId="77777777">
            <w:pPr>
              <w:pStyle w:val="BodyText"/>
              <w:ind w:left="28"/>
              <w:rPr>
                <w:sz w:val="20"/>
              </w:rPr>
            </w:pPr>
            <w:r w:rsidRPr="008B5BB0">
              <w:rPr>
                <w:sz w:val="20"/>
              </w:rPr>
              <w:t>The dosage interval is every 3 to 5 minutes if the heart rate remains less than 60 beats/min.</w:t>
            </w:r>
          </w:p>
          <w:p w:rsidRPr="008B5BB0" w:rsidR="00B738BC" w:rsidP="00131848" w:rsidRDefault="00B738BC" w14:paraId="3AC447C2" w14:textId="77777777">
            <w:pPr>
              <w:pStyle w:val="BodyText"/>
              <w:ind w:left="28"/>
              <w:rPr>
                <w:sz w:val="20"/>
              </w:rPr>
            </w:pPr>
          </w:p>
          <w:p w:rsidRPr="00953568" w:rsidR="00B738BC" w:rsidP="00131848" w:rsidRDefault="00B738BC" w14:paraId="1701A3C3" w14:textId="77777777">
            <w:pPr>
              <w:pStyle w:val="BodyText"/>
              <w:ind w:left="28"/>
              <w:rPr>
                <w:sz w:val="20"/>
              </w:rPr>
            </w:pPr>
            <w:r w:rsidRPr="008B5BB0">
              <w:rPr>
                <w:sz w:val="20"/>
              </w:rPr>
              <w:t>If the intratracheal dose is not effective, an intravenous dose should be administered as soon as possible once venous access is established.</w:t>
            </w:r>
            <w:r w:rsidRPr="008B5BB0">
              <w:rPr>
                <w:noProof/>
                <w:sz w:val="20"/>
              </w:rPr>
              <w:t>[1, 2]</w:t>
            </w:r>
          </w:p>
        </w:tc>
      </w:tr>
      <w:tr w:rsidRPr="00953568" w:rsidR="00B738BC" w:rsidTr="00B738BC" w14:paraId="0220FB86" w14:textId="77777777">
        <w:trPr>
          <w:trHeight w:val="191"/>
        </w:trPr>
        <w:tc>
          <w:tcPr>
            <w:tcW w:w="1730" w:type="dxa"/>
          </w:tcPr>
          <w:p w:rsidRPr="00953568" w:rsidR="00B738BC" w:rsidP="00131848" w:rsidRDefault="00B738BC" w14:paraId="17295303" w14:textId="77777777">
            <w:pPr>
              <w:pStyle w:val="BodyText"/>
              <w:rPr>
                <w:b/>
                <w:sz w:val="20"/>
              </w:rPr>
            </w:pPr>
            <w:r w:rsidRPr="00953568">
              <w:rPr>
                <w:b/>
                <w:sz w:val="20"/>
              </w:rPr>
              <w:t>Dose adjustment</w:t>
            </w:r>
          </w:p>
        </w:tc>
        <w:tc>
          <w:tcPr>
            <w:tcW w:w="7513" w:type="dxa"/>
          </w:tcPr>
          <w:p w:rsidRPr="008A30A9" w:rsidR="00B738BC" w:rsidP="00131848" w:rsidRDefault="00B738BC" w14:paraId="27625343" w14:textId="77777777">
            <w:pPr>
              <w:pStyle w:val="BodyText"/>
              <w:rPr>
                <w:sz w:val="20"/>
              </w:rPr>
            </w:pPr>
          </w:p>
        </w:tc>
      </w:tr>
      <w:tr w:rsidRPr="00953568" w:rsidR="00B738BC" w:rsidTr="00B738BC" w14:paraId="5F2B001F" w14:textId="77777777">
        <w:trPr>
          <w:trHeight w:val="113"/>
        </w:trPr>
        <w:tc>
          <w:tcPr>
            <w:tcW w:w="1730" w:type="dxa"/>
          </w:tcPr>
          <w:p w:rsidRPr="00953568" w:rsidR="00B738BC" w:rsidP="00131848" w:rsidRDefault="00B738BC" w14:paraId="465DF069" w14:textId="77777777">
            <w:pPr>
              <w:pStyle w:val="BodyText"/>
              <w:rPr>
                <w:b/>
                <w:sz w:val="20"/>
              </w:rPr>
            </w:pPr>
            <w:r w:rsidRPr="00953568">
              <w:rPr>
                <w:b/>
                <w:sz w:val="20"/>
              </w:rPr>
              <w:t>Maximum dose</w:t>
            </w:r>
          </w:p>
        </w:tc>
        <w:tc>
          <w:tcPr>
            <w:tcW w:w="7513" w:type="dxa"/>
          </w:tcPr>
          <w:p w:rsidRPr="008A30A9" w:rsidR="00B738BC" w:rsidP="00131848" w:rsidRDefault="00B738BC" w14:paraId="1CDCD6D9" w14:textId="77777777">
            <w:pPr>
              <w:pStyle w:val="BodyText"/>
              <w:rPr>
                <w:sz w:val="20"/>
              </w:rPr>
            </w:pPr>
          </w:p>
        </w:tc>
      </w:tr>
      <w:tr w:rsidRPr="00953568" w:rsidR="00B738BC" w:rsidTr="00B738BC" w14:paraId="299BCDB5" w14:textId="77777777">
        <w:trPr>
          <w:trHeight w:val="144"/>
        </w:trPr>
        <w:tc>
          <w:tcPr>
            <w:tcW w:w="1730" w:type="dxa"/>
          </w:tcPr>
          <w:p w:rsidRPr="00953568" w:rsidR="00B738BC" w:rsidP="00131848" w:rsidRDefault="00B738BC" w14:paraId="0FB0956F" w14:textId="77777777">
            <w:pPr>
              <w:pStyle w:val="BodyText"/>
              <w:rPr>
                <w:rFonts w:cs="Arial"/>
                <w:b/>
                <w:bCs/>
                <w:sz w:val="20"/>
              </w:rPr>
            </w:pPr>
            <w:r w:rsidRPr="00953568">
              <w:rPr>
                <w:b/>
                <w:sz w:val="20"/>
              </w:rPr>
              <w:t>Total cumulative dose</w:t>
            </w:r>
          </w:p>
        </w:tc>
        <w:tc>
          <w:tcPr>
            <w:tcW w:w="7513" w:type="dxa"/>
          </w:tcPr>
          <w:p w:rsidRPr="008A30A9" w:rsidR="00B738BC" w:rsidP="00131848" w:rsidRDefault="00B738BC" w14:paraId="04617395" w14:textId="77777777">
            <w:pPr>
              <w:pStyle w:val="BodyText"/>
              <w:rPr>
                <w:rFonts w:cs="Arial"/>
                <w:sz w:val="20"/>
              </w:rPr>
            </w:pPr>
          </w:p>
        </w:tc>
      </w:tr>
      <w:tr w:rsidRPr="00953568" w:rsidR="00B738BC" w:rsidTr="00B738BC" w14:paraId="45CE9A32" w14:textId="77777777">
        <w:trPr>
          <w:trHeight w:val="294"/>
        </w:trPr>
        <w:tc>
          <w:tcPr>
            <w:tcW w:w="1730" w:type="dxa"/>
          </w:tcPr>
          <w:p w:rsidRPr="00953568" w:rsidR="00B738BC" w:rsidP="00131848" w:rsidRDefault="00B738BC" w14:paraId="592F6388" w14:textId="77777777">
            <w:pPr>
              <w:pStyle w:val="BodyText"/>
              <w:rPr>
                <w:rFonts w:cs="Arial"/>
                <w:sz w:val="20"/>
              </w:rPr>
            </w:pPr>
            <w:r w:rsidRPr="00953568">
              <w:rPr>
                <w:rFonts w:cs="Arial"/>
                <w:b/>
                <w:bCs/>
                <w:sz w:val="20"/>
              </w:rPr>
              <w:t xml:space="preserve">Route </w:t>
            </w:r>
          </w:p>
        </w:tc>
        <w:tc>
          <w:tcPr>
            <w:tcW w:w="7513" w:type="dxa"/>
          </w:tcPr>
          <w:p w:rsidRPr="008A30A9" w:rsidR="00B738BC" w:rsidP="00131848" w:rsidRDefault="00B738BC" w14:paraId="0A0A3CE4" w14:textId="77777777">
            <w:pPr>
              <w:pStyle w:val="BodyText"/>
              <w:rPr>
                <w:rFonts w:cs="Arial"/>
                <w:sz w:val="20"/>
              </w:rPr>
            </w:pPr>
            <w:r w:rsidRPr="008A30A9">
              <w:rPr>
                <w:rFonts w:cs="Arial"/>
                <w:sz w:val="20"/>
              </w:rPr>
              <w:t>Intratracheal</w:t>
            </w:r>
          </w:p>
        </w:tc>
      </w:tr>
      <w:tr w:rsidRPr="00953568" w:rsidR="00B738BC" w:rsidTr="00B738BC" w14:paraId="69762387" w14:textId="77777777">
        <w:trPr>
          <w:trHeight w:val="93"/>
        </w:trPr>
        <w:tc>
          <w:tcPr>
            <w:tcW w:w="1730" w:type="dxa"/>
          </w:tcPr>
          <w:p w:rsidRPr="00953568" w:rsidR="00B738BC" w:rsidP="00131848" w:rsidRDefault="00B738BC" w14:paraId="21FE3FD1" w14:textId="77777777">
            <w:pPr>
              <w:pStyle w:val="BodyText"/>
              <w:rPr>
                <w:rFonts w:cs="Arial"/>
                <w:b/>
                <w:bCs/>
                <w:sz w:val="20"/>
                <w:highlight w:val="cyan"/>
              </w:rPr>
            </w:pPr>
            <w:r w:rsidRPr="00953568">
              <w:rPr>
                <w:rFonts w:cs="Arial"/>
                <w:b/>
                <w:bCs/>
                <w:sz w:val="20"/>
              </w:rPr>
              <w:t>Preparation</w:t>
            </w:r>
            <w:r w:rsidRPr="00953568">
              <w:rPr>
                <w:rFonts w:cs="Arial"/>
                <w:b/>
                <w:bCs/>
                <w:sz w:val="20"/>
                <w:highlight w:val="cyan"/>
              </w:rPr>
              <w:t xml:space="preserve"> </w:t>
            </w:r>
          </w:p>
        </w:tc>
        <w:tc>
          <w:tcPr>
            <w:tcW w:w="7513" w:type="dxa"/>
          </w:tcPr>
          <w:p w:rsidRPr="00953568" w:rsidR="00B738BC" w:rsidP="00131848" w:rsidRDefault="00B738BC" w14:paraId="31E2EBA0" w14:textId="77777777">
            <w:pPr>
              <w:pStyle w:val="BodyText"/>
              <w:rPr>
                <w:rFonts w:cs="Arial"/>
                <w:sz w:val="20"/>
              </w:rPr>
            </w:pPr>
            <w:r w:rsidRPr="00A801B4">
              <w:rPr>
                <w:rFonts w:cs="Arial"/>
                <w:sz w:val="20"/>
              </w:rPr>
              <w:t xml:space="preserve">1:10,000 ampoule [100micrograms/1mL] undiluted. </w:t>
            </w:r>
          </w:p>
        </w:tc>
      </w:tr>
      <w:tr w:rsidRPr="00953568" w:rsidR="00B738BC" w:rsidTr="00B738BC" w14:paraId="754ADD34" w14:textId="77777777">
        <w:trPr>
          <w:trHeight w:val="224"/>
        </w:trPr>
        <w:tc>
          <w:tcPr>
            <w:tcW w:w="1730" w:type="dxa"/>
          </w:tcPr>
          <w:p w:rsidRPr="00953568" w:rsidR="00B738BC" w:rsidP="00131848" w:rsidRDefault="00B738BC" w14:paraId="743DDA0A" w14:textId="77777777">
            <w:pPr>
              <w:pStyle w:val="BodyText"/>
              <w:rPr>
                <w:rFonts w:cs="Arial"/>
                <w:b/>
                <w:bCs/>
                <w:sz w:val="20"/>
              </w:rPr>
            </w:pPr>
            <w:r w:rsidRPr="00953568">
              <w:rPr>
                <w:rFonts w:cs="Arial"/>
                <w:b/>
                <w:bCs/>
                <w:sz w:val="20"/>
              </w:rPr>
              <w:t xml:space="preserve">Administration </w:t>
            </w:r>
          </w:p>
        </w:tc>
        <w:tc>
          <w:tcPr>
            <w:tcW w:w="7513" w:type="dxa"/>
            <w:vAlign w:val="center"/>
          </w:tcPr>
          <w:p w:rsidRPr="00A801B4" w:rsidR="00B738BC" w:rsidP="00131848" w:rsidRDefault="00B738BC" w14:paraId="03E2B656" w14:textId="77777777">
            <w:pPr>
              <w:pStyle w:val="BodyText"/>
              <w:rPr>
                <w:sz w:val="20"/>
              </w:rPr>
            </w:pPr>
            <w:r>
              <w:rPr>
                <w:rFonts w:cs="Arial"/>
                <w:sz w:val="20"/>
              </w:rPr>
              <w:t>V</w:t>
            </w:r>
            <w:r w:rsidRPr="00A801B4">
              <w:rPr>
                <w:rFonts w:cs="Arial"/>
                <w:sz w:val="20"/>
              </w:rPr>
              <w:t xml:space="preserve">ia an endotracheal tube as a single bolus. </w:t>
            </w:r>
            <w:r w:rsidRPr="00A801B4">
              <w:rPr>
                <w:rFonts w:cs="Arial"/>
                <w:noProof/>
                <w:sz w:val="20"/>
              </w:rPr>
              <w:t>[1]</w:t>
            </w:r>
            <w:r w:rsidRPr="00A801B4">
              <w:rPr>
                <w:sz w:val="20"/>
              </w:rPr>
              <w:t xml:space="preserve"> </w:t>
            </w:r>
          </w:p>
          <w:p w:rsidRPr="00953568" w:rsidR="00B738BC" w:rsidP="00131848" w:rsidRDefault="00B738BC" w14:paraId="2B79A8BB" w14:textId="77777777">
            <w:pPr>
              <w:pStyle w:val="BodyText"/>
              <w:rPr>
                <w:rFonts w:cs="Arial"/>
                <w:sz w:val="20"/>
              </w:rPr>
            </w:pPr>
            <w:r>
              <w:rPr>
                <w:noProof/>
                <w:sz w:val="20"/>
              </w:rPr>
              <w:t xml:space="preserve">Discard unusued portions. </w:t>
            </w:r>
          </w:p>
        </w:tc>
      </w:tr>
      <w:tr w:rsidRPr="00953568" w:rsidR="00B738BC" w:rsidTr="00B738BC" w14:paraId="24E325C0" w14:textId="77777777">
        <w:trPr>
          <w:trHeight w:val="215"/>
        </w:trPr>
        <w:tc>
          <w:tcPr>
            <w:tcW w:w="1730" w:type="dxa"/>
          </w:tcPr>
          <w:p w:rsidRPr="00953568" w:rsidR="00B738BC" w:rsidP="00131848" w:rsidRDefault="00B738BC" w14:paraId="54151AD6" w14:textId="77777777">
            <w:pPr>
              <w:pStyle w:val="BodyText"/>
              <w:rPr>
                <w:rFonts w:cs="Arial"/>
                <w:b/>
                <w:bCs/>
                <w:sz w:val="20"/>
              </w:rPr>
            </w:pPr>
            <w:r w:rsidRPr="00953568">
              <w:rPr>
                <w:rFonts w:cs="Arial"/>
                <w:b/>
                <w:bCs/>
                <w:sz w:val="20"/>
              </w:rPr>
              <w:t>Monitoring</w:t>
            </w:r>
          </w:p>
        </w:tc>
        <w:tc>
          <w:tcPr>
            <w:tcW w:w="7513" w:type="dxa"/>
          </w:tcPr>
          <w:p w:rsidRPr="00953568" w:rsidR="00B738BC" w:rsidP="00131848" w:rsidRDefault="00B738BC" w14:paraId="48B362D3" w14:textId="77777777">
            <w:pPr>
              <w:pStyle w:val="BodyText"/>
              <w:rPr>
                <w:rFonts w:cs="Arial" w:asciiTheme="minorHAnsi" w:hAnsiTheme="minorHAnsi"/>
                <w:sz w:val="20"/>
              </w:rPr>
            </w:pPr>
            <w:r>
              <w:rPr>
                <w:rFonts w:cs="Arial"/>
                <w:sz w:val="20"/>
              </w:rPr>
              <w:t>H</w:t>
            </w:r>
            <w:r w:rsidRPr="00A801B4">
              <w:rPr>
                <w:rFonts w:cs="Arial"/>
                <w:sz w:val="20"/>
              </w:rPr>
              <w:t xml:space="preserve">eart rate, breathing, tone and oxygenation. </w:t>
            </w:r>
          </w:p>
        </w:tc>
      </w:tr>
      <w:tr w:rsidRPr="00953568" w:rsidR="00B738BC" w:rsidTr="00B738BC" w14:paraId="205F4F66" w14:textId="77777777">
        <w:trPr>
          <w:trHeight w:val="342"/>
        </w:trPr>
        <w:tc>
          <w:tcPr>
            <w:tcW w:w="1730" w:type="dxa"/>
          </w:tcPr>
          <w:p w:rsidRPr="00953568" w:rsidR="00B738BC" w:rsidP="00131848" w:rsidRDefault="00B738BC" w14:paraId="392BFC36" w14:textId="77777777">
            <w:pPr>
              <w:pStyle w:val="BodyText"/>
              <w:rPr>
                <w:rFonts w:cs="Arial"/>
                <w:b/>
                <w:bCs/>
                <w:sz w:val="20"/>
              </w:rPr>
            </w:pPr>
            <w:r w:rsidRPr="00953568">
              <w:rPr>
                <w:rFonts w:cs="Arial"/>
                <w:b/>
                <w:bCs/>
                <w:sz w:val="20"/>
              </w:rPr>
              <w:t>Contraindications</w:t>
            </w:r>
          </w:p>
        </w:tc>
        <w:tc>
          <w:tcPr>
            <w:tcW w:w="7513" w:type="dxa"/>
          </w:tcPr>
          <w:p w:rsidRPr="00A801B4" w:rsidR="00B738BC" w:rsidP="00131848" w:rsidRDefault="00B738BC" w14:paraId="677765B4" w14:textId="77777777">
            <w:pPr>
              <w:pStyle w:val="BodyText"/>
              <w:rPr>
                <w:rFonts w:cs="Arial"/>
                <w:sz w:val="20"/>
              </w:rPr>
            </w:pPr>
            <w:r>
              <w:rPr>
                <w:rFonts w:cs="Arial"/>
                <w:sz w:val="20"/>
              </w:rPr>
              <w:t>Ar</w:t>
            </w:r>
            <w:r w:rsidRPr="00A801B4">
              <w:rPr>
                <w:rFonts w:cs="Arial"/>
                <w:sz w:val="20"/>
              </w:rPr>
              <w:t xml:space="preserve">rhythmias, hypertension or hyperthyroidism. </w:t>
            </w:r>
          </w:p>
          <w:p w:rsidRPr="00953568" w:rsidR="00B738BC" w:rsidP="00131848" w:rsidRDefault="00B738BC" w14:paraId="6A858C2B" w14:textId="77777777">
            <w:pPr>
              <w:pStyle w:val="BodyText"/>
              <w:rPr>
                <w:rFonts w:cs="Arial" w:asciiTheme="minorHAnsi" w:hAnsiTheme="minorHAnsi"/>
                <w:sz w:val="20"/>
              </w:rPr>
            </w:pPr>
            <w:r>
              <w:rPr>
                <w:rFonts w:cs="Arial"/>
                <w:sz w:val="20"/>
              </w:rPr>
              <w:t>D</w:t>
            </w:r>
            <w:r w:rsidRPr="00A801B4">
              <w:rPr>
                <w:rFonts w:cs="Arial"/>
                <w:sz w:val="20"/>
              </w:rPr>
              <w:t xml:space="preserve">ilated or ischaemic cardiac disease (relative). </w:t>
            </w:r>
          </w:p>
        </w:tc>
      </w:tr>
      <w:tr w:rsidRPr="00953568" w:rsidR="00B738BC" w:rsidTr="00B738BC" w14:paraId="3B022CFB" w14:textId="77777777">
        <w:tc>
          <w:tcPr>
            <w:tcW w:w="1730" w:type="dxa"/>
          </w:tcPr>
          <w:p w:rsidRPr="00953568" w:rsidR="00B738BC" w:rsidP="00131848" w:rsidRDefault="00B738BC" w14:paraId="0375C69D" w14:textId="77777777">
            <w:pPr>
              <w:pStyle w:val="BodyText"/>
              <w:rPr>
                <w:rFonts w:cs="Arial"/>
                <w:b/>
                <w:bCs/>
                <w:sz w:val="20"/>
              </w:rPr>
            </w:pPr>
            <w:r w:rsidRPr="00953568">
              <w:rPr>
                <w:sz w:val="20"/>
              </w:rPr>
              <w:br w:type="page"/>
            </w:r>
            <w:r w:rsidRPr="00953568">
              <w:rPr>
                <w:rFonts w:cs="Arial"/>
                <w:b/>
                <w:bCs/>
                <w:sz w:val="20"/>
              </w:rPr>
              <w:t>Precautions</w:t>
            </w:r>
          </w:p>
        </w:tc>
        <w:tc>
          <w:tcPr>
            <w:tcW w:w="7513" w:type="dxa"/>
          </w:tcPr>
          <w:p w:rsidRPr="00953568" w:rsidR="00B738BC" w:rsidP="00131848" w:rsidRDefault="00B738BC" w14:paraId="58511E3F" w14:textId="77777777">
            <w:pPr>
              <w:pStyle w:val="BodyText"/>
              <w:rPr>
                <w:rFonts w:cs="Arial" w:asciiTheme="minorHAnsi" w:hAnsiTheme="minorHAnsi"/>
                <w:sz w:val="20"/>
              </w:rPr>
            </w:pPr>
            <w:r w:rsidRPr="00A801B4">
              <w:rPr>
                <w:rFonts w:cs="Arial"/>
                <w:sz w:val="20"/>
              </w:rPr>
              <w:t xml:space="preserve">Do not use if the injection is </w:t>
            </w:r>
            <w:r>
              <w:rPr>
                <w:rFonts w:cs="Arial"/>
                <w:sz w:val="20"/>
              </w:rPr>
              <w:t>discoloured</w:t>
            </w:r>
            <w:r w:rsidRPr="00A801B4">
              <w:rPr>
                <w:rFonts w:cs="Arial"/>
                <w:sz w:val="20"/>
              </w:rPr>
              <w:t xml:space="preserve"> or contains a precipitate.</w:t>
            </w:r>
          </w:p>
        </w:tc>
      </w:tr>
      <w:tr w:rsidRPr="00953568" w:rsidR="00B738BC" w:rsidTr="00B738BC" w14:paraId="6FAFD518" w14:textId="77777777">
        <w:trPr>
          <w:trHeight w:val="70"/>
        </w:trPr>
        <w:tc>
          <w:tcPr>
            <w:tcW w:w="1730" w:type="dxa"/>
          </w:tcPr>
          <w:p w:rsidRPr="00953568" w:rsidR="00B738BC" w:rsidP="00131848" w:rsidRDefault="00B738BC" w14:paraId="5D8467B5" w14:textId="77777777">
            <w:pPr>
              <w:pStyle w:val="BodyText"/>
              <w:rPr>
                <w:rFonts w:cs="Arial"/>
                <w:b/>
                <w:bCs/>
                <w:sz w:val="20"/>
              </w:rPr>
            </w:pPr>
            <w:r w:rsidRPr="00953568">
              <w:rPr>
                <w:rFonts w:cs="Arial"/>
                <w:b/>
                <w:bCs/>
                <w:sz w:val="20"/>
              </w:rPr>
              <w:t>Drug interactions</w:t>
            </w:r>
          </w:p>
        </w:tc>
        <w:tc>
          <w:tcPr>
            <w:tcW w:w="7513" w:type="dxa"/>
          </w:tcPr>
          <w:p w:rsidRPr="008A30A9" w:rsidR="00B738BC" w:rsidP="00131848" w:rsidRDefault="00B738BC" w14:paraId="3B8B7261" w14:textId="77777777">
            <w:pPr>
              <w:rPr>
                <w:rFonts w:cs="Arial" w:asciiTheme="minorHAnsi" w:hAnsiTheme="minorHAnsi"/>
                <w:sz w:val="20"/>
              </w:rPr>
            </w:pPr>
          </w:p>
        </w:tc>
      </w:tr>
      <w:tr w:rsidRPr="00953568" w:rsidR="00B738BC" w:rsidTr="00B738BC" w14:paraId="3538428F" w14:textId="77777777">
        <w:trPr>
          <w:trHeight w:val="332"/>
        </w:trPr>
        <w:tc>
          <w:tcPr>
            <w:tcW w:w="1730" w:type="dxa"/>
          </w:tcPr>
          <w:p w:rsidRPr="00953568" w:rsidR="00B738BC" w:rsidP="00131848" w:rsidRDefault="00B738BC" w14:paraId="478EDC19" w14:textId="77777777">
            <w:pPr>
              <w:pStyle w:val="BodyText"/>
              <w:rPr>
                <w:rFonts w:cs="Arial"/>
                <w:b/>
                <w:bCs/>
                <w:sz w:val="20"/>
              </w:rPr>
            </w:pPr>
            <w:r w:rsidRPr="00953568">
              <w:rPr>
                <w:rFonts w:cs="Arial"/>
                <w:b/>
                <w:bCs/>
                <w:sz w:val="20"/>
              </w:rPr>
              <w:t xml:space="preserve">Adverse reactions </w:t>
            </w:r>
          </w:p>
        </w:tc>
        <w:tc>
          <w:tcPr>
            <w:tcW w:w="7513" w:type="dxa"/>
          </w:tcPr>
          <w:p w:rsidRPr="00953568" w:rsidR="00B738BC" w:rsidP="00131848" w:rsidRDefault="00B738BC" w14:paraId="4E9E97F4" w14:textId="77777777">
            <w:pPr>
              <w:pStyle w:val="BodyText"/>
              <w:rPr>
                <w:rFonts w:cs="Arial" w:asciiTheme="minorHAnsi" w:hAnsiTheme="minorHAnsi"/>
                <w:sz w:val="20"/>
              </w:rPr>
            </w:pPr>
            <w:r w:rsidRPr="00A801B4">
              <w:rPr>
                <w:sz w:val="20"/>
              </w:rPr>
              <w:t xml:space="preserve">Tachycardia and arrhythmia. </w:t>
            </w:r>
            <w:r w:rsidRPr="00A801B4">
              <w:rPr>
                <w:sz w:val="20"/>
              </w:rPr>
              <w:br/>
            </w:r>
            <w:r w:rsidRPr="00A801B4">
              <w:rPr>
                <w:sz w:val="20"/>
              </w:rPr>
              <w:t xml:space="preserve">Systemic hypertension and lactic acidosis especially at higher doses. </w:t>
            </w:r>
          </w:p>
        </w:tc>
      </w:tr>
      <w:tr w:rsidRPr="00953568" w:rsidR="00B738BC" w:rsidTr="00B738BC" w14:paraId="5E4F7718" w14:textId="77777777">
        <w:trPr>
          <w:trHeight w:val="180"/>
        </w:trPr>
        <w:tc>
          <w:tcPr>
            <w:tcW w:w="1730" w:type="dxa"/>
          </w:tcPr>
          <w:p w:rsidRPr="00953568" w:rsidR="00B738BC" w:rsidP="00131848" w:rsidRDefault="00B738BC" w14:paraId="4A5E3666" w14:textId="77777777">
            <w:pPr>
              <w:pStyle w:val="BodyText"/>
              <w:rPr>
                <w:rFonts w:cs="Arial"/>
                <w:b/>
                <w:bCs/>
                <w:sz w:val="20"/>
              </w:rPr>
            </w:pPr>
            <w:r w:rsidRPr="00953568">
              <w:rPr>
                <w:rFonts w:cs="Arial"/>
                <w:b/>
                <w:bCs/>
                <w:sz w:val="20"/>
              </w:rPr>
              <w:t>Compatibility</w:t>
            </w:r>
          </w:p>
        </w:tc>
        <w:tc>
          <w:tcPr>
            <w:tcW w:w="7513" w:type="dxa"/>
          </w:tcPr>
          <w:p w:rsidRPr="00953568" w:rsidR="00B738BC" w:rsidP="00131848" w:rsidRDefault="00B738BC" w14:paraId="1B59C7B7" w14:textId="77777777">
            <w:pPr>
              <w:pStyle w:val="BodyText"/>
              <w:rPr>
                <w:rFonts w:cs="Arial" w:asciiTheme="minorHAnsi" w:hAnsiTheme="minorHAnsi"/>
                <w:sz w:val="20"/>
              </w:rPr>
            </w:pPr>
            <w:r w:rsidRPr="00A801B4">
              <w:rPr>
                <w:sz w:val="20"/>
              </w:rPr>
              <w:t xml:space="preserve">Do not mix with saline or other </w:t>
            </w:r>
            <w:r>
              <w:rPr>
                <w:sz w:val="20"/>
              </w:rPr>
              <w:t>fluids/</w:t>
            </w:r>
            <w:r w:rsidRPr="00A801B4">
              <w:rPr>
                <w:sz w:val="20"/>
              </w:rPr>
              <w:t xml:space="preserve">medications. </w:t>
            </w:r>
          </w:p>
        </w:tc>
      </w:tr>
      <w:tr w:rsidRPr="00953568" w:rsidR="00B738BC" w:rsidTr="00B738BC" w14:paraId="73837B3B" w14:textId="77777777">
        <w:trPr>
          <w:trHeight w:val="230"/>
        </w:trPr>
        <w:tc>
          <w:tcPr>
            <w:tcW w:w="1730" w:type="dxa"/>
          </w:tcPr>
          <w:p w:rsidRPr="00953568" w:rsidR="00B738BC" w:rsidP="00131848" w:rsidRDefault="00B738BC" w14:paraId="2998B5BA" w14:textId="77777777">
            <w:pPr>
              <w:pStyle w:val="BodyText"/>
              <w:rPr>
                <w:rFonts w:cs="Arial"/>
                <w:b/>
                <w:bCs/>
                <w:sz w:val="20"/>
              </w:rPr>
            </w:pPr>
            <w:r w:rsidRPr="00953568">
              <w:rPr>
                <w:rFonts w:cs="Arial"/>
                <w:b/>
                <w:bCs/>
                <w:sz w:val="20"/>
              </w:rPr>
              <w:t>Incompatibility</w:t>
            </w:r>
          </w:p>
        </w:tc>
        <w:tc>
          <w:tcPr>
            <w:tcW w:w="7513" w:type="dxa"/>
          </w:tcPr>
          <w:p w:rsidRPr="008A30A9" w:rsidR="00B738BC" w:rsidP="00131848" w:rsidRDefault="00B738BC" w14:paraId="62806A86" w14:textId="77777777">
            <w:pPr>
              <w:pStyle w:val="BodyText"/>
              <w:rPr>
                <w:rFonts w:cs="Arial" w:asciiTheme="minorHAnsi" w:hAnsiTheme="minorHAnsi"/>
                <w:sz w:val="20"/>
              </w:rPr>
            </w:pPr>
            <w:r>
              <w:rPr>
                <w:rFonts w:cs="Arial" w:asciiTheme="minorHAnsi" w:hAnsiTheme="minorHAnsi"/>
                <w:sz w:val="20"/>
              </w:rPr>
              <w:t>Not applicable</w:t>
            </w:r>
          </w:p>
        </w:tc>
      </w:tr>
      <w:tr w:rsidRPr="00953568" w:rsidR="00B738BC" w:rsidTr="00B738BC" w14:paraId="18E90311" w14:textId="77777777">
        <w:trPr>
          <w:trHeight w:val="79"/>
        </w:trPr>
        <w:tc>
          <w:tcPr>
            <w:tcW w:w="1730" w:type="dxa"/>
          </w:tcPr>
          <w:p w:rsidRPr="00953568" w:rsidR="00B738BC" w:rsidP="00131848" w:rsidRDefault="00B738BC" w14:paraId="161B7D7F" w14:textId="77777777">
            <w:pPr>
              <w:pStyle w:val="BodyText"/>
              <w:rPr>
                <w:rFonts w:cs="Arial"/>
                <w:b/>
                <w:bCs/>
                <w:sz w:val="20"/>
              </w:rPr>
            </w:pPr>
            <w:r w:rsidRPr="00953568">
              <w:rPr>
                <w:rFonts w:cs="Arial"/>
                <w:b/>
                <w:bCs/>
                <w:sz w:val="20"/>
              </w:rPr>
              <w:t>Stability</w:t>
            </w:r>
          </w:p>
        </w:tc>
        <w:tc>
          <w:tcPr>
            <w:tcW w:w="7513" w:type="dxa"/>
          </w:tcPr>
          <w:p w:rsidRPr="00953568" w:rsidR="00B738BC" w:rsidP="00131848" w:rsidRDefault="00B738BC" w14:paraId="37AA3CBD" w14:textId="77777777">
            <w:pPr>
              <w:pStyle w:val="BodyText"/>
              <w:rPr>
                <w:rFonts w:cs="Arial" w:asciiTheme="minorHAnsi" w:hAnsiTheme="minorHAnsi"/>
                <w:sz w:val="20"/>
              </w:rPr>
            </w:pPr>
            <w:r w:rsidRPr="00A801B4">
              <w:rPr>
                <w:sz w:val="20"/>
              </w:rPr>
              <w:t xml:space="preserve">Not for dilution. </w:t>
            </w:r>
          </w:p>
        </w:tc>
      </w:tr>
      <w:tr w:rsidRPr="00953568" w:rsidR="00B738BC" w:rsidTr="00B738BC" w14:paraId="776642B0" w14:textId="77777777">
        <w:trPr>
          <w:trHeight w:val="70"/>
        </w:trPr>
        <w:tc>
          <w:tcPr>
            <w:tcW w:w="1730" w:type="dxa"/>
          </w:tcPr>
          <w:p w:rsidRPr="00953568" w:rsidR="00B738BC" w:rsidP="00131848" w:rsidRDefault="00B738BC" w14:paraId="3E2765F0" w14:textId="77777777">
            <w:pPr>
              <w:pStyle w:val="BodyText"/>
              <w:rPr>
                <w:rFonts w:cs="Arial"/>
                <w:b/>
                <w:bCs/>
                <w:sz w:val="20"/>
              </w:rPr>
            </w:pPr>
            <w:r w:rsidRPr="00953568">
              <w:rPr>
                <w:rFonts w:cs="Arial"/>
                <w:b/>
                <w:bCs/>
                <w:sz w:val="20"/>
              </w:rPr>
              <w:t xml:space="preserve">Storage </w:t>
            </w:r>
          </w:p>
        </w:tc>
        <w:tc>
          <w:tcPr>
            <w:tcW w:w="7513" w:type="dxa"/>
          </w:tcPr>
          <w:p w:rsidRPr="00953568" w:rsidR="00B738BC" w:rsidP="00131848" w:rsidRDefault="00B738BC" w14:paraId="087E7BF6" w14:textId="77777777">
            <w:pPr>
              <w:pStyle w:val="BodyText"/>
              <w:rPr>
                <w:rFonts w:cs="Arial" w:asciiTheme="minorHAnsi" w:hAnsiTheme="minorHAnsi"/>
                <w:sz w:val="20"/>
              </w:rPr>
            </w:pPr>
            <w:r w:rsidRPr="00A801B4">
              <w:rPr>
                <w:sz w:val="20"/>
              </w:rPr>
              <w:t xml:space="preserve">Store below 25°C. Protect from light. </w:t>
            </w:r>
          </w:p>
        </w:tc>
      </w:tr>
      <w:tr w:rsidRPr="00953568" w:rsidR="00B738BC" w:rsidTr="00B738BC" w14:paraId="49692286" w14:textId="77777777">
        <w:trPr>
          <w:trHeight w:val="70"/>
        </w:trPr>
        <w:tc>
          <w:tcPr>
            <w:tcW w:w="1730" w:type="dxa"/>
          </w:tcPr>
          <w:p w:rsidRPr="00953568" w:rsidR="00B738BC" w:rsidP="00131848" w:rsidRDefault="00B738BC" w14:paraId="29194E3A" w14:textId="77777777">
            <w:pPr>
              <w:pStyle w:val="BodyText"/>
              <w:rPr>
                <w:rFonts w:cs="Arial"/>
                <w:b/>
                <w:bCs/>
                <w:sz w:val="20"/>
              </w:rPr>
            </w:pPr>
            <w:r w:rsidRPr="00953568">
              <w:rPr>
                <w:rFonts w:cs="Arial"/>
                <w:b/>
                <w:bCs/>
                <w:sz w:val="20"/>
              </w:rPr>
              <w:t>Excipients</w:t>
            </w:r>
          </w:p>
        </w:tc>
        <w:tc>
          <w:tcPr>
            <w:tcW w:w="7513" w:type="dxa"/>
          </w:tcPr>
          <w:p w:rsidRPr="00D850FE" w:rsidR="00B738BC" w:rsidP="00131848" w:rsidRDefault="00B738BC" w14:paraId="4ADADD50" w14:textId="77777777">
            <w:pPr>
              <w:pStyle w:val="BodyText"/>
              <w:rPr>
                <w:rFonts w:asciiTheme="minorHAnsi" w:hAnsiTheme="minorHAnsi" w:cstheme="minorHAnsi"/>
                <w:sz w:val="20"/>
              </w:rPr>
            </w:pPr>
            <w:r w:rsidRPr="00D850FE">
              <w:rPr>
                <w:rFonts w:asciiTheme="minorHAnsi" w:hAnsiTheme="minorHAnsi" w:cstheme="minorHAnsi"/>
                <w:color w:val="333333"/>
                <w:sz w:val="20"/>
              </w:rPr>
              <w:t xml:space="preserve">Tartaric acid, sodium metabisulfite, sodium chloride and water for injections. </w:t>
            </w:r>
          </w:p>
        </w:tc>
      </w:tr>
      <w:tr w:rsidRPr="00953568" w:rsidR="00B738BC" w:rsidTr="00B738BC" w14:paraId="78FB4A35" w14:textId="77777777">
        <w:trPr>
          <w:trHeight w:val="270"/>
        </w:trPr>
        <w:tc>
          <w:tcPr>
            <w:tcW w:w="1730" w:type="dxa"/>
          </w:tcPr>
          <w:p w:rsidRPr="00953568" w:rsidR="00B738BC" w:rsidP="00131848" w:rsidRDefault="00B738BC" w14:paraId="615E4E10" w14:textId="77777777">
            <w:pPr>
              <w:pStyle w:val="BodyText"/>
              <w:rPr>
                <w:rFonts w:cs="Arial"/>
                <w:b/>
                <w:bCs/>
                <w:sz w:val="20"/>
              </w:rPr>
            </w:pPr>
            <w:r w:rsidRPr="00953568">
              <w:rPr>
                <w:rFonts w:cs="Arial"/>
                <w:b/>
                <w:bCs/>
                <w:sz w:val="20"/>
              </w:rPr>
              <w:t xml:space="preserve">Special comments </w:t>
            </w:r>
          </w:p>
        </w:tc>
        <w:tc>
          <w:tcPr>
            <w:tcW w:w="7513" w:type="dxa"/>
          </w:tcPr>
          <w:p w:rsidRPr="008A30A9" w:rsidR="00B738BC" w:rsidP="00131848" w:rsidRDefault="00B738BC" w14:paraId="79E59E6A" w14:textId="77777777">
            <w:pPr>
              <w:pStyle w:val="BodyText"/>
              <w:rPr>
                <w:rFonts w:cs="Arial"/>
                <w:sz w:val="20"/>
              </w:rPr>
            </w:pPr>
            <w:r w:rsidRPr="003C5629">
              <w:rPr>
                <w:rFonts w:cs="Arial"/>
                <w:sz w:val="20"/>
              </w:rPr>
              <w:t>A prompt increase in heart rate remains the most sensitive indicator of resuscitation efficacy.</w:t>
            </w:r>
            <w:r w:rsidRPr="003C5629">
              <w:rPr>
                <w:rFonts w:cs="Arial"/>
                <w:noProof/>
                <w:sz w:val="20"/>
              </w:rPr>
              <w:t>[3]</w:t>
            </w:r>
            <w:r w:rsidRPr="003C5629">
              <w:rPr>
                <w:rFonts w:cs="Arial"/>
                <w:sz w:val="20"/>
              </w:rPr>
              <w:t xml:space="preserve"> </w:t>
            </w:r>
          </w:p>
        </w:tc>
      </w:tr>
      <w:tr w:rsidRPr="00953568" w:rsidR="00B738BC" w:rsidTr="00B738BC" w14:paraId="7AD7615F" w14:textId="77777777">
        <w:trPr>
          <w:trHeight w:val="280"/>
        </w:trPr>
        <w:tc>
          <w:tcPr>
            <w:tcW w:w="1730" w:type="dxa"/>
          </w:tcPr>
          <w:p w:rsidRPr="00953568" w:rsidR="00B738BC" w:rsidP="00131848" w:rsidRDefault="00B738BC" w14:paraId="5B5ABD47" w14:textId="77777777">
            <w:pPr>
              <w:pStyle w:val="BodyText"/>
              <w:rPr>
                <w:rFonts w:cs="Arial"/>
                <w:b/>
                <w:bCs/>
                <w:sz w:val="20"/>
              </w:rPr>
            </w:pPr>
            <w:r w:rsidRPr="00953568">
              <w:rPr>
                <w:rFonts w:cs="Arial"/>
                <w:b/>
                <w:bCs/>
                <w:sz w:val="20"/>
              </w:rPr>
              <w:t>Evidence</w:t>
            </w:r>
          </w:p>
        </w:tc>
        <w:tc>
          <w:tcPr>
            <w:tcW w:w="7513" w:type="dxa"/>
          </w:tcPr>
          <w:p w:rsidRPr="00B738BC" w:rsidR="00B738BC" w:rsidP="00131848" w:rsidRDefault="00B738BC" w14:paraId="431C2788" w14:textId="77777777">
            <w:pPr>
              <w:pStyle w:val="BodyText"/>
              <w:tabs>
                <w:tab w:val="left" w:pos="1168"/>
              </w:tabs>
              <w:rPr>
                <w:b/>
                <w:sz w:val="16"/>
                <w:szCs w:val="16"/>
              </w:rPr>
            </w:pPr>
            <w:r w:rsidRPr="00B738BC">
              <w:rPr>
                <w:b/>
                <w:sz w:val="16"/>
                <w:szCs w:val="16"/>
              </w:rPr>
              <w:t>Efficacy</w:t>
            </w:r>
          </w:p>
          <w:p w:rsidRPr="00B738BC" w:rsidR="00B738BC" w:rsidP="00131848" w:rsidRDefault="00B738BC" w14:paraId="2A2564F9" w14:textId="77777777">
            <w:pPr>
              <w:pStyle w:val="BodyText"/>
              <w:tabs>
                <w:tab w:val="left" w:pos="1168"/>
              </w:tabs>
              <w:rPr>
                <w:sz w:val="16"/>
                <w:szCs w:val="16"/>
              </w:rPr>
            </w:pPr>
            <w:r w:rsidRPr="00B738BC">
              <w:rPr>
                <w:sz w:val="16"/>
                <w:szCs w:val="16"/>
              </w:rPr>
              <w:t>2020 American Heart Association Guidelines for Cardiopulmonary Resuscitation and Emergency Cardiovascular Care: Neonatal resuscitation: (1)</w:t>
            </w:r>
          </w:p>
          <w:p w:rsidRPr="00B738BC" w:rsidR="00B738BC" w:rsidP="00B738BC" w:rsidRDefault="00B738BC" w14:paraId="779F72C1" w14:textId="77777777">
            <w:pPr>
              <w:pStyle w:val="BodyText"/>
              <w:numPr>
                <w:ilvl w:val="0"/>
                <w:numId w:val="156"/>
              </w:numPr>
              <w:tabs>
                <w:tab w:val="left" w:pos="1168"/>
              </w:tabs>
              <w:overflowPunct w:val="0"/>
              <w:autoSpaceDE w:val="0"/>
              <w:autoSpaceDN w:val="0"/>
              <w:adjustRightInd w:val="0"/>
              <w:jc w:val="left"/>
              <w:textAlignment w:val="baseline"/>
              <w:rPr>
                <w:sz w:val="16"/>
                <w:szCs w:val="16"/>
              </w:rPr>
            </w:pPr>
            <w:r w:rsidRPr="00B738BC">
              <w:rPr>
                <w:sz w:val="16"/>
                <w:szCs w:val="16"/>
              </w:rPr>
              <w:t xml:space="preserve">Administration of epinephrine via a low-lying umbilical venous catheter provides the most rapid and reliable medication delivery. The intravenous dose of epinephrine is 0.01 to 0.03 mg/kg, followed by a normal saline flush. If umbilical venous access has not yet been obtained, epinephrine may be given by the endotracheal route in a dose of 0.05 to 0.1 mg/kg. The dosage interval for epinephrine is every 3 to 5 minutes if the heart rate remains less than 60/min, although an intravenous dose may be given as soon as umbilical access is obtained if response to endotracheal epinephrine has been inadequate. </w:t>
            </w:r>
          </w:p>
          <w:p w:rsidRPr="00B738BC" w:rsidR="00B738BC" w:rsidP="00B738BC" w:rsidRDefault="00B738BC" w14:paraId="3B024F33" w14:textId="77777777">
            <w:pPr>
              <w:pStyle w:val="BodyText"/>
              <w:numPr>
                <w:ilvl w:val="0"/>
                <w:numId w:val="156"/>
              </w:numPr>
              <w:tabs>
                <w:tab w:val="left" w:pos="1168"/>
              </w:tabs>
              <w:overflowPunct w:val="0"/>
              <w:autoSpaceDE w:val="0"/>
              <w:autoSpaceDN w:val="0"/>
              <w:adjustRightInd w:val="0"/>
              <w:jc w:val="left"/>
              <w:textAlignment w:val="baseline"/>
              <w:rPr>
                <w:sz w:val="16"/>
                <w:szCs w:val="16"/>
              </w:rPr>
            </w:pPr>
            <w:r w:rsidRPr="00B738BC">
              <w:rPr>
                <w:sz w:val="16"/>
                <w:szCs w:val="16"/>
              </w:rPr>
              <w:lastRenderedPageBreak/>
              <w:t>One very limited observational study (human) showed 0.03 mg/kg to be an inadequate endotracheal dose. In the perinatal model of cardiac arrest, peak plasma epinephrine concentrations in animals were higher and were achieved sooner after central or low-lying umbilical venous administration compared with the endotracheal route, despite a lower intravenous dose (0.03 mg/kg intravenous versus 0.1 mg/kg endotracheal route).</w:t>
            </w:r>
          </w:p>
          <w:p w:rsidRPr="00B738BC" w:rsidR="00B738BC" w:rsidP="00B738BC" w:rsidRDefault="00B738BC" w14:paraId="62A51F62" w14:textId="77777777">
            <w:pPr>
              <w:pStyle w:val="BodyText"/>
              <w:numPr>
                <w:ilvl w:val="0"/>
                <w:numId w:val="156"/>
              </w:numPr>
              <w:tabs>
                <w:tab w:val="left" w:pos="1168"/>
              </w:tabs>
              <w:overflowPunct w:val="0"/>
              <w:autoSpaceDE w:val="0"/>
              <w:autoSpaceDN w:val="0"/>
              <w:adjustRightInd w:val="0"/>
              <w:jc w:val="left"/>
              <w:textAlignment w:val="baseline"/>
              <w:rPr>
                <w:sz w:val="16"/>
                <w:szCs w:val="16"/>
              </w:rPr>
            </w:pPr>
            <w:r w:rsidRPr="00B738BC">
              <w:rPr>
                <w:sz w:val="16"/>
                <w:szCs w:val="16"/>
              </w:rPr>
              <w:t>The perinatal model of cardiac arrest documented peak plasma epinephrine concentrations at 1 minute after intravenous administration, but not until 5 minutes after endotracheal administration.</w:t>
            </w:r>
          </w:p>
          <w:p w:rsidRPr="00B738BC" w:rsidR="00B738BC" w:rsidP="00131848" w:rsidRDefault="00B738BC" w14:paraId="73B1D3DB" w14:textId="77777777">
            <w:pPr>
              <w:pStyle w:val="BodyText"/>
              <w:tabs>
                <w:tab w:val="left" w:pos="1168"/>
              </w:tabs>
              <w:rPr>
                <w:b/>
                <w:sz w:val="16"/>
                <w:szCs w:val="16"/>
              </w:rPr>
            </w:pPr>
            <w:r w:rsidRPr="00B738BC">
              <w:rPr>
                <w:b/>
                <w:sz w:val="16"/>
                <w:szCs w:val="16"/>
              </w:rPr>
              <w:t>Safety</w:t>
            </w:r>
          </w:p>
          <w:p w:rsidRPr="00B738BC" w:rsidR="00B738BC" w:rsidP="00131848" w:rsidRDefault="00B738BC" w14:paraId="08196FEC" w14:textId="77777777">
            <w:pPr>
              <w:pStyle w:val="BodyText"/>
              <w:tabs>
                <w:tab w:val="left" w:pos="1168"/>
              </w:tabs>
              <w:rPr>
                <w:sz w:val="16"/>
                <w:szCs w:val="16"/>
              </w:rPr>
            </w:pPr>
            <w:r w:rsidRPr="00B738BC">
              <w:rPr>
                <w:sz w:val="16"/>
                <w:szCs w:val="16"/>
              </w:rPr>
              <w:t>Repetitive endotracheal doses or higher intravenous doses may result in potentially harmful plasma levels that lead to associated hypertension and tachycardia.(1)</w:t>
            </w:r>
          </w:p>
          <w:p w:rsidRPr="00B738BC" w:rsidR="00B738BC" w:rsidP="00131848" w:rsidRDefault="00B738BC" w14:paraId="52E771D9" w14:textId="77777777">
            <w:pPr>
              <w:pStyle w:val="BodyText"/>
              <w:tabs>
                <w:tab w:val="left" w:pos="1168"/>
              </w:tabs>
              <w:rPr>
                <w:b/>
                <w:sz w:val="16"/>
                <w:szCs w:val="16"/>
              </w:rPr>
            </w:pPr>
            <w:r w:rsidRPr="00B738BC">
              <w:rPr>
                <w:b/>
                <w:sz w:val="16"/>
                <w:szCs w:val="16"/>
              </w:rPr>
              <w:t>Pharmacokinetics</w:t>
            </w:r>
          </w:p>
          <w:p w:rsidRPr="00B738BC" w:rsidR="00B738BC" w:rsidP="00131848" w:rsidRDefault="00B738BC" w14:paraId="140765C1" w14:textId="77777777">
            <w:pPr>
              <w:pStyle w:val="BodyText"/>
              <w:tabs>
                <w:tab w:val="left" w:pos="1168"/>
              </w:tabs>
              <w:rPr>
                <w:rFonts w:cs="Arial"/>
                <w:sz w:val="16"/>
                <w:szCs w:val="16"/>
              </w:rPr>
            </w:pPr>
            <w:r w:rsidRPr="00B738BC">
              <w:rPr>
                <w:sz w:val="16"/>
                <w:szCs w:val="16"/>
              </w:rPr>
              <w:t>The plasma half-life of intratracheal adrenaline for newborn resuscitation is likely to average ~50 minutes.</w:t>
            </w:r>
            <w:r w:rsidRPr="00B738BC">
              <w:rPr>
                <w:noProof/>
                <w:sz w:val="16"/>
                <w:szCs w:val="16"/>
              </w:rPr>
              <w:t>(4)</w:t>
            </w:r>
          </w:p>
        </w:tc>
      </w:tr>
      <w:tr w:rsidRPr="00953568" w:rsidR="00B738BC" w:rsidTr="00B738BC" w14:paraId="187C3762" w14:textId="77777777">
        <w:trPr>
          <w:trHeight w:val="108"/>
        </w:trPr>
        <w:tc>
          <w:tcPr>
            <w:tcW w:w="1730" w:type="dxa"/>
          </w:tcPr>
          <w:p w:rsidRPr="00953568" w:rsidR="00B738BC" w:rsidP="00131848" w:rsidRDefault="00B738BC" w14:paraId="33BF658F" w14:textId="77777777">
            <w:pPr>
              <w:pStyle w:val="BodyText"/>
              <w:rPr>
                <w:rFonts w:cs="Arial"/>
                <w:b/>
                <w:bCs/>
                <w:sz w:val="20"/>
              </w:rPr>
            </w:pPr>
            <w:r w:rsidRPr="00953568">
              <w:rPr>
                <w:rFonts w:cs="Arial"/>
                <w:b/>
                <w:bCs/>
                <w:sz w:val="20"/>
              </w:rPr>
              <w:lastRenderedPageBreak/>
              <w:t>Practice points</w:t>
            </w:r>
          </w:p>
        </w:tc>
        <w:tc>
          <w:tcPr>
            <w:tcW w:w="7513" w:type="dxa"/>
          </w:tcPr>
          <w:p w:rsidRPr="00B738BC" w:rsidR="00B738BC" w:rsidP="00131848" w:rsidRDefault="00B738BC" w14:paraId="50A7F617" w14:textId="77777777">
            <w:pPr>
              <w:pStyle w:val="BodyText"/>
              <w:tabs>
                <w:tab w:val="left" w:pos="1168"/>
              </w:tabs>
              <w:rPr>
                <w:rFonts w:cs="Arial"/>
                <w:sz w:val="16"/>
                <w:szCs w:val="16"/>
              </w:rPr>
            </w:pPr>
            <w:r w:rsidRPr="00B738BC">
              <w:rPr>
                <w:rFonts w:cs="Arial"/>
                <w:sz w:val="16"/>
                <w:szCs w:val="16"/>
              </w:rPr>
              <w:t>2020 Recommendations for Epinephrine Administration in Neonatal Resuscitation: (1)</w:t>
            </w:r>
          </w:p>
          <w:p w:rsidRPr="00B738BC" w:rsidR="00B738BC" w:rsidP="00B738BC" w:rsidRDefault="00B738BC" w14:paraId="5698B3B6" w14:textId="77777777">
            <w:pPr>
              <w:pStyle w:val="BodyText"/>
              <w:numPr>
                <w:ilvl w:val="0"/>
                <w:numId w:val="157"/>
              </w:numPr>
              <w:tabs>
                <w:tab w:val="left" w:pos="1168"/>
              </w:tabs>
              <w:overflowPunct w:val="0"/>
              <w:autoSpaceDE w:val="0"/>
              <w:autoSpaceDN w:val="0"/>
              <w:adjustRightInd w:val="0"/>
              <w:jc w:val="left"/>
              <w:textAlignment w:val="baseline"/>
              <w:rPr>
                <w:rFonts w:cs="Arial"/>
                <w:sz w:val="16"/>
                <w:szCs w:val="16"/>
              </w:rPr>
            </w:pPr>
            <w:r w:rsidRPr="00B738BC">
              <w:rPr>
                <w:rFonts w:cs="Arial"/>
                <w:sz w:val="16"/>
                <w:szCs w:val="16"/>
              </w:rPr>
              <w:t>If the heart rate has not increased to 60/min or more after optimizing ventilation and chest compressions, it may be reasonable to administer intravascular(intravenous or intraosseous) epinephrine (0.01 to 0.03 mg/kg).</w:t>
            </w:r>
          </w:p>
          <w:p w:rsidRPr="00B738BC" w:rsidR="00B738BC" w:rsidP="00B738BC" w:rsidRDefault="00B738BC" w14:paraId="3B33216A" w14:textId="77777777">
            <w:pPr>
              <w:pStyle w:val="BodyText"/>
              <w:numPr>
                <w:ilvl w:val="0"/>
                <w:numId w:val="157"/>
              </w:numPr>
              <w:tabs>
                <w:tab w:val="left" w:pos="1168"/>
              </w:tabs>
              <w:overflowPunct w:val="0"/>
              <w:autoSpaceDE w:val="0"/>
              <w:autoSpaceDN w:val="0"/>
              <w:adjustRightInd w:val="0"/>
              <w:jc w:val="left"/>
              <w:textAlignment w:val="baseline"/>
              <w:rPr>
                <w:rFonts w:cs="Arial"/>
                <w:sz w:val="16"/>
                <w:szCs w:val="16"/>
              </w:rPr>
            </w:pPr>
            <w:r w:rsidRPr="00B738BC">
              <w:rPr>
                <w:rFonts w:cs="Arial"/>
                <w:sz w:val="16"/>
                <w:szCs w:val="16"/>
              </w:rPr>
              <w:t>While vascular access is being obtained, it may be reasonable to administer endotracheal epinephrine at a larger dose (0.05 to 0.1 mg/kg).</w:t>
            </w:r>
          </w:p>
          <w:p w:rsidRPr="00B738BC" w:rsidR="00B738BC" w:rsidP="00B738BC" w:rsidRDefault="00B738BC" w14:paraId="3395A03F" w14:textId="77777777">
            <w:pPr>
              <w:pStyle w:val="BodyText"/>
              <w:numPr>
                <w:ilvl w:val="0"/>
                <w:numId w:val="157"/>
              </w:numPr>
              <w:tabs>
                <w:tab w:val="left" w:pos="1168"/>
              </w:tabs>
              <w:overflowPunct w:val="0"/>
              <w:autoSpaceDE w:val="0"/>
              <w:autoSpaceDN w:val="0"/>
              <w:adjustRightInd w:val="0"/>
              <w:jc w:val="left"/>
              <w:textAlignment w:val="baseline"/>
              <w:rPr>
                <w:rFonts w:cs="Arial"/>
                <w:sz w:val="16"/>
                <w:szCs w:val="16"/>
              </w:rPr>
            </w:pPr>
            <w:r w:rsidRPr="00B738BC">
              <w:rPr>
                <w:rFonts w:cs="Arial"/>
                <w:sz w:val="16"/>
                <w:szCs w:val="16"/>
              </w:rPr>
              <w:t>If endotracheal epinephrine is given before vascular access is available and response is inadequate, it may be reasonable to give an intravascular dose as soon as access is obtained, regardless of the interval.</w:t>
            </w:r>
          </w:p>
          <w:p w:rsidRPr="00B738BC" w:rsidR="00B738BC" w:rsidP="00B738BC" w:rsidRDefault="00B738BC" w14:paraId="0E316855" w14:textId="77777777">
            <w:pPr>
              <w:pStyle w:val="BodyText"/>
              <w:numPr>
                <w:ilvl w:val="0"/>
                <w:numId w:val="157"/>
              </w:numPr>
              <w:tabs>
                <w:tab w:val="left" w:pos="1168"/>
              </w:tabs>
              <w:overflowPunct w:val="0"/>
              <w:autoSpaceDE w:val="0"/>
              <w:autoSpaceDN w:val="0"/>
              <w:adjustRightInd w:val="0"/>
              <w:jc w:val="left"/>
              <w:textAlignment w:val="baseline"/>
              <w:rPr>
                <w:rFonts w:cs="Arial"/>
                <w:sz w:val="16"/>
                <w:szCs w:val="16"/>
              </w:rPr>
            </w:pPr>
            <w:r w:rsidRPr="00B738BC">
              <w:rPr>
                <w:rFonts w:cs="Arial"/>
                <w:sz w:val="16"/>
                <w:szCs w:val="16"/>
              </w:rPr>
              <w:t>It may be reasonable to administer further doses of epinephrine every 3 to 5 min, preferably intravascularly, if the heart rate remains less than 60/min.</w:t>
            </w:r>
          </w:p>
        </w:tc>
      </w:tr>
      <w:tr w:rsidRPr="00953568" w:rsidR="00B738BC" w:rsidTr="00B738BC" w14:paraId="773E2104" w14:textId="77777777">
        <w:trPr>
          <w:trHeight w:val="70"/>
        </w:trPr>
        <w:tc>
          <w:tcPr>
            <w:tcW w:w="1730" w:type="dxa"/>
          </w:tcPr>
          <w:p w:rsidRPr="00953568" w:rsidR="00B738BC" w:rsidP="00131848" w:rsidRDefault="00B738BC" w14:paraId="70656E69" w14:textId="77777777">
            <w:pPr>
              <w:pStyle w:val="BodyText"/>
              <w:rPr>
                <w:rFonts w:cs="Arial"/>
                <w:b/>
                <w:bCs/>
                <w:sz w:val="20"/>
              </w:rPr>
            </w:pPr>
            <w:r w:rsidRPr="00953568">
              <w:rPr>
                <w:b/>
                <w:sz w:val="20"/>
              </w:rPr>
              <w:t>References</w:t>
            </w:r>
          </w:p>
        </w:tc>
        <w:tc>
          <w:tcPr>
            <w:tcW w:w="7513" w:type="dxa"/>
          </w:tcPr>
          <w:p w:rsidRPr="00B738BC" w:rsidR="00B738BC" w:rsidP="00B738BC" w:rsidRDefault="00B738BC" w14:paraId="7E499ABE" w14:textId="77777777">
            <w:pPr>
              <w:pStyle w:val="ListParagraph"/>
              <w:numPr>
                <w:ilvl w:val="0"/>
                <w:numId w:val="147"/>
              </w:numPr>
              <w:rPr>
                <w:rFonts w:asciiTheme="minorHAnsi" w:hAnsiTheme="minorHAnsi" w:cstheme="minorHAnsi"/>
                <w:color w:val="222222"/>
                <w:sz w:val="16"/>
                <w:szCs w:val="16"/>
                <w:shd w:val="clear" w:color="auto" w:fill="FFFFFF"/>
              </w:rPr>
            </w:pPr>
            <w:r w:rsidRPr="00B738BC">
              <w:rPr>
                <w:rFonts w:asciiTheme="minorHAnsi" w:hAnsiTheme="minorHAnsi" w:cstheme="minorHAnsi"/>
                <w:color w:val="222222"/>
                <w:sz w:val="16"/>
                <w:szCs w:val="16"/>
                <w:shd w:val="clear" w:color="auto" w:fill="FFFFFF"/>
              </w:rPr>
              <w:t>Aziz K, Lee HC, Escobedo MB, Hoover AV, Kamath-Rayne BD, Kapadia VS, Magid DJ, Niermeyer S, Schmölzer GM, Szyld E, Weiner GM. Part 5: neonatal resuscitation: 2020 American heart association guidelines for cardiopulmonary resuscitation and emergency cardiovascular care. Circulation. 2020 Oct 20;142(16_Suppl_2):S524-50.</w:t>
            </w:r>
          </w:p>
          <w:p w:rsidRPr="00B738BC" w:rsidR="00B738BC" w:rsidP="00B738BC" w:rsidRDefault="00B738BC" w14:paraId="68C25ABD" w14:textId="77777777">
            <w:pPr>
              <w:pStyle w:val="ListParagraph"/>
              <w:numPr>
                <w:ilvl w:val="0"/>
                <w:numId w:val="147"/>
              </w:numPr>
              <w:rPr>
                <w:rFonts w:asciiTheme="minorHAnsi" w:hAnsiTheme="minorHAnsi" w:cstheme="minorHAnsi"/>
                <w:sz w:val="16"/>
                <w:szCs w:val="16"/>
              </w:rPr>
            </w:pPr>
            <w:r w:rsidRPr="00B738BC">
              <w:rPr>
                <w:rFonts w:asciiTheme="minorHAnsi" w:hAnsiTheme="minorHAnsi" w:cstheme="minorHAnsi"/>
                <w:sz w:val="16"/>
                <w:szCs w:val="16"/>
              </w:rPr>
              <w:t>Australian injectable drugs handbook. Adrenaline (epinephrine). Accessed on 4 May 2021.</w:t>
            </w:r>
          </w:p>
          <w:p w:rsidRPr="00B738BC" w:rsidR="00B738BC" w:rsidP="00B738BC" w:rsidRDefault="00B738BC" w14:paraId="031FFE46" w14:textId="77777777">
            <w:pPr>
              <w:pStyle w:val="ListParagraph"/>
              <w:numPr>
                <w:ilvl w:val="0"/>
                <w:numId w:val="147"/>
              </w:numPr>
              <w:rPr>
                <w:rFonts w:asciiTheme="minorHAnsi" w:hAnsiTheme="minorHAnsi" w:cstheme="minorHAnsi"/>
                <w:sz w:val="16"/>
                <w:szCs w:val="16"/>
              </w:rPr>
            </w:pPr>
            <w:r w:rsidRPr="00B738BC">
              <w:rPr>
                <w:rFonts w:asciiTheme="minorHAnsi" w:hAnsiTheme="minorHAnsi" w:cstheme="minorHAnsi"/>
                <w:sz w:val="16"/>
                <w:szCs w:val="16"/>
              </w:rPr>
              <w:t>Micromedex. Epinephrine. Accessed on 4 May 2021.</w:t>
            </w:r>
          </w:p>
          <w:p w:rsidRPr="00B738BC" w:rsidR="00B738BC" w:rsidP="00B738BC" w:rsidRDefault="00B738BC" w14:paraId="7D6A6F56" w14:textId="77777777">
            <w:pPr>
              <w:pStyle w:val="ListParagraph"/>
              <w:numPr>
                <w:ilvl w:val="0"/>
                <w:numId w:val="147"/>
              </w:numPr>
              <w:rPr>
                <w:rFonts w:asciiTheme="minorHAnsi" w:hAnsiTheme="minorHAnsi" w:cstheme="minorHAnsi"/>
                <w:sz w:val="16"/>
                <w:szCs w:val="16"/>
              </w:rPr>
            </w:pPr>
            <w:r w:rsidRPr="00B738BC">
              <w:rPr>
                <w:rFonts w:asciiTheme="minorHAnsi" w:hAnsiTheme="minorHAnsi" w:cstheme="minorHAnsi"/>
                <w:sz w:val="16"/>
                <w:szCs w:val="16"/>
              </w:rPr>
              <w:t>Schwab KO, von Stockhausen HB. Plasma catecholamines after endotracheal administration of adrenaline during postnatal resuscitation. Archives of disease in childhood Fetal and neonatal edition. 1994;70:F213-7.</w:t>
            </w:r>
          </w:p>
        </w:tc>
      </w:tr>
    </w:tbl>
    <w:p w:rsidR="00163F28" w:rsidP="006F0321" w:rsidRDefault="00163F28" w14:paraId="7CA902E0" w14:textId="77777777"/>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6"/>
        <w:gridCol w:w="4536"/>
      </w:tblGrid>
      <w:tr w:rsidRPr="0053172C" w:rsidR="00B738BC" w:rsidTr="00131848" w14:paraId="737F6AD3" w14:textId="77777777">
        <w:tc>
          <w:tcPr>
            <w:tcW w:w="4536" w:type="dxa"/>
            <w:vAlign w:val="center"/>
          </w:tcPr>
          <w:p w:rsidRPr="00F83197" w:rsidR="00B738BC" w:rsidP="00131848" w:rsidRDefault="00B738BC" w14:paraId="04444407" w14:textId="1A5647F0">
            <w:r w:rsidRPr="00F83197">
              <w:t xml:space="preserve">Original version Date: </w:t>
            </w:r>
            <w:r w:rsidR="0071694F">
              <w:t>31</w:t>
            </w:r>
            <w:r>
              <w:t>/</w:t>
            </w:r>
            <w:r w:rsidR="0071694F">
              <w:t>3</w:t>
            </w:r>
            <w:r>
              <w:t>/201</w:t>
            </w:r>
            <w:r w:rsidR="0071694F">
              <w:t>5</w:t>
            </w:r>
          </w:p>
        </w:tc>
        <w:tc>
          <w:tcPr>
            <w:tcW w:w="4536" w:type="dxa"/>
            <w:vAlign w:val="center"/>
          </w:tcPr>
          <w:p w:rsidRPr="00F83197" w:rsidR="00B738BC" w:rsidP="00131848" w:rsidRDefault="00B738BC" w14:paraId="49F267A8" w14:textId="3E3927BE">
            <w:r w:rsidRPr="00F83197">
              <w:t xml:space="preserve">Author: </w:t>
            </w:r>
            <w:r w:rsidR="0071694F">
              <w:t>ANMF</w:t>
            </w:r>
          </w:p>
        </w:tc>
      </w:tr>
      <w:tr w:rsidRPr="0053172C" w:rsidR="00B738BC" w:rsidTr="00131848" w14:paraId="416839F9" w14:textId="77777777">
        <w:tc>
          <w:tcPr>
            <w:tcW w:w="4536" w:type="dxa"/>
            <w:vAlign w:val="center"/>
          </w:tcPr>
          <w:p w:rsidRPr="00F83197" w:rsidR="00B738BC" w:rsidP="00131848" w:rsidRDefault="00B738BC" w14:paraId="7A3215D6" w14:textId="12381E65">
            <w:pPr>
              <w:rPr>
                <w:bCs/>
              </w:rPr>
            </w:pPr>
            <w:r w:rsidRPr="00F83197">
              <w:t xml:space="preserve">Current Version number: </w:t>
            </w:r>
            <w:r w:rsidR="0071694F">
              <w:t>2</w:t>
            </w:r>
          </w:p>
        </w:tc>
        <w:tc>
          <w:tcPr>
            <w:tcW w:w="4536" w:type="dxa"/>
            <w:vAlign w:val="center"/>
          </w:tcPr>
          <w:p w:rsidRPr="00F83197" w:rsidR="00B738BC" w:rsidP="00131848" w:rsidRDefault="00B738BC" w14:paraId="6E7CB63D" w14:textId="443EC22A">
            <w:r w:rsidRPr="00F83197">
              <w:t xml:space="preserve">Current Version Date:  </w:t>
            </w:r>
            <w:r w:rsidR="008315F0">
              <w:t>18</w:t>
            </w:r>
            <w:r>
              <w:t>-6-2021</w:t>
            </w:r>
          </w:p>
        </w:tc>
      </w:tr>
      <w:tr w:rsidRPr="0053172C" w:rsidR="00B738BC" w:rsidTr="00131848" w14:paraId="1C99829A" w14:textId="77777777">
        <w:tc>
          <w:tcPr>
            <w:tcW w:w="4536" w:type="dxa"/>
            <w:vAlign w:val="center"/>
          </w:tcPr>
          <w:p w:rsidRPr="00F83197" w:rsidR="00B738BC" w:rsidP="00131848" w:rsidRDefault="00B738BC" w14:paraId="5684CA04" w14:textId="77777777">
            <w:r w:rsidRPr="00F83197">
              <w:t xml:space="preserve">Risk Rating: </w:t>
            </w:r>
            <w:r>
              <w:t>Low</w:t>
            </w:r>
          </w:p>
        </w:tc>
        <w:tc>
          <w:tcPr>
            <w:tcW w:w="4536" w:type="dxa"/>
            <w:vAlign w:val="center"/>
          </w:tcPr>
          <w:p w:rsidRPr="00F83197" w:rsidR="00B738BC" w:rsidP="00131848" w:rsidRDefault="00B738BC" w14:paraId="3F46DD03" w14:textId="0E3CA909">
            <w:r w:rsidRPr="00F83197">
              <w:t xml:space="preserve">Due for Review: </w:t>
            </w:r>
            <w:r w:rsidR="008315F0">
              <w:t>18</w:t>
            </w:r>
            <w:r>
              <w:t>-6-2026</w:t>
            </w:r>
          </w:p>
        </w:tc>
      </w:tr>
      <w:tr w:rsidRPr="0053172C" w:rsidR="00B738BC" w:rsidTr="00131848" w14:paraId="4A9044EF" w14:textId="77777777">
        <w:trPr>
          <w:trHeight w:val="344"/>
        </w:trPr>
        <w:tc>
          <w:tcPr>
            <w:tcW w:w="4536" w:type="dxa"/>
            <w:tcBorders>
              <w:bottom w:val="single" w:color="auto" w:sz="4" w:space="0"/>
            </w:tcBorders>
            <w:vAlign w:val="center"/>
          </w:tcPr>
          <w:p w:rsidRPr="00F83197" w:rsidR="00B738BC" w:rsidP="00131848" w:rsidRDefault="00B738BC" w14:paraId="4833FE80" w14:textId="77777777">
            <w:r w:rsidRPr="00F83197">
              <w:t>Approval by: DTC</w:t>
            </w:r>
          </w:p>
        </w:tc>
        <w:tc>
          <w:tcPr>
            <w:tcW w:w="4536" w:type="dxa"/>
            <w:tcBorders>
              <w:bottom w:val="single" w:color="auto" w:sz="4" w:space="0"/>
            </w:tcBorders>
            <w:vAlign w:val="center"/>
          </w:tcPr>
          <w:p w:rsidRPr="00F83197" w:rsidR="00B738BC" w:rsidP="00131848" w:rsidRDefault="00B738BC" w14:paraId="0DB742F4" w14:textId="0AD0A5D8">
            <w:r w:rsidRPr="00F83197">
              <w:t xml:space="preserve">Approval Date: </w:t>
            </w:r>
            <w:r w:rsidR="008315F0">
              <w:t>Apr</w:t>
            </w:r>
            <w:r>
              <w:t xml:space="preserve"> 2021</w:t>
            </w:r>
          </w:p>
        </w:tc>
      </w:tr>
    </w:tbl>
    <w:p w:rsidR="00163F28" w:rsidP="006F0321" w:rsidRDefault="00163F28" w14:paraId="570BE041" w14:textId="77777777"/>
    <w:p w:rsidR="00163F28" w:rsidP="006F0321" w:rsidRDefault="00163F28" w14:paraId="43DAB286" w14:textId="77777777"/>
    <w:p w:rsidR="00163F28" w:rsidP="006F0321" w:rsidRDefault="00163F28" w14:paraId="29296729" w14:textId="77777777"/>
    <w:p w:rsidR="00163F28" w:rsidP="006F0321" w:rsidRDefault="00163F28" w14:paraId="1BD72DDC" w14:textId="2E63AC67"/>
    <w:p w:rsidR="00532883" w:rsidP="006F0321" w:rsidRDefault="00532883" w14:paraId="40D9C302" w14:textId="7D1B0A86"/>
    <w:p w:rsidR="00532883" w:rsidP="006F0321" w:rsidRDefault="00532883" w14:paraId="116FBEFA" w14:textId="06FE3FE3"/>
    <w:p w:rsidR="00532883" w:rsidP="006F0321" w:rsidRDefault="00532883" w14:paraId="62E58A61" w14:textId="1AFA9DCE"/>
    <w:p w:rsidR="00532883" w:rsidP="006F0321" w:rsidRDefault="00532883" w14:paraId="1B84B743" w14:textId="4D774D7F"/>
    <w:p w:rsidR="00532883" w:rsidP="006F0321" w:rsidRDefault="00532883" w14:paraId="74E4D7E7" w14:textId="0A3B9FCC"/>
    <w:p w:rsidR="00532883" w:rsidP="006F0321" w:rsidRDefault="00532883" w14:paraId="2C6E17B9" w14:textId="1690DA0B"/>
    <w:p w:rsidR="00532883" w:rsidP="006F0321" w:rsidRDefault="00532883" w14:paraId="4E099690" w14:textId="60E1DF7D"/>
    <w:p w:rsidR="00532883" w:rsidP="006F0321" w:rsidRDefault="00532883" w14:paraId="54479BB2" w14:textId="5A2CDAF9"/>
    <w:p w:rsidR="00532883" w:rsidP="006F0321" w:rsidRDefault="00532883" w14:paraId="05D95E19" w14:textId="7EFB9E2D"/>
    <w:p w:rsidR="00532883" w:rsidP="006F0321" w:rsidRDefault="00532883" w14:paraId="15F00DED" w14:textId="3552EE07"/>
    <w:p w:rsidR="00532883" w:rsidP="006F0321" w:rsidRDefault="00532883" w14:paraId="49824D79" w14:textId="26E2E703"/>
    <w:p w:rsidR="00532883" w:rsidP="006F0321" w:rsidRDefault="00532883" w14:paraId="69C51F93" w14:textId="77777777"/>
    <w:p w:rsidRPr="00E25790" w:rsidR="00163F28" w:rsidP="006F0321" w:rsidRDefault="00163F28" w14:paraId="6E24EF07" w14:textId="77777777"/>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E25790" w:rsidR="00115F48" w:rsidTr="009469DB" w14:paraId="5CAC566A" w14:textId="77777777">
        <w:trPr>
          <w:cantSplit/>
          <w:trHeight w:val="720"/>
        </w:trPr>
        <w:tc>
          <w:tcPr>
            <w:tcW w:w="9049" w:type="dxa"/>
            <w:gridSpan w:val="2"/>
            <w:shd w:val="clear" w:color="auto" w:fill="FFFF00"/>
          </w:tcPr>
          <w:p w:rsidRPr="00E25790" w:rsidR="00115F48" w:rsidP="009469DB" w:rsidRDefault="00115F48" w14:paraId="111B3AD2" w14:textId="6464551D">
            <w:pPr>
              <w:pStyle w:val="Heading1"/>
            </w:pPr>
            <w:bookmarkStart w:name="_Toc389021505" w:id="55"/>
            <w:bookmarkStart w:name="_Toc495415463" w:id="56"/>
            <w:bookmarkStart w:name="_Toc495481068" w:id="57"/>
            <w:bookmarkStart w:name="_Toc495481194" w:id="58"/>
            <w:bookmarkStart w:name="_Toc495481319" w:id="59"/>
            <w:bookmarkStart w:name="_Toc495501500" w:id="60"/>
            <w:bookmarkStart w:name="_Toc38106802" w:id="61"/>
            <w:bookmarkStart w:name="_Toc75339926" w:id="62"/>
            <w:r w:rsidRPr="00E25790">
              <w:lastRenderedPageBreak/>
              <w:t>Adrenaline</w:t>
            </w:r>
            <w:bookmarkEnd w:id="55"/>
            <w:bookmarkEnd w:id="56"/>
            <w:bookmarkEnd w:id="57"/>
            <w:bookmarkEnd w:id="58"/>
            <w:bookmarkEnd w:id="59"/>
            <w:bookmarkEnd w:id="60"/>
            <w:r w:rsidRPr="00E25790" w:rsidR="00A87894">
              <w:t xml:space="preserve"> (</w:t>
            </w:r>
            <w:r w:rsidR="007678FC">
              <w:t>IV bolus</w:t>
            </w:r>
            <w:r w:rsidRPr="00E25790" w:rsidR="00A87894">
              <w:t>)</w:t>
            </w:r>
            <w:bookmarkEnd w:id="61"/>
            <w:bookmarkEnd w:id="62"/>
            <w:r w:rsidRPr="00E25790">
              <w:fldChar w:fldCharType="begin"/>
            </w:r>
            <w:r w:rsidRPr="00E25790">
              <w:instrText>tc "Adrenaline" \l 0</w:instrText>
            </w:r>
            <w:r w:rsidRPr="00E25790">
              <w:fldChar w:fldCharType="end"/>
            </w:r>
          </w:p>
        </w:tc>
      </w:tr>
      <w:tr w:rsidRPr="00E25790" w:rsidR="00115F48" w:rsidTr="009469DB" w14:paraId="0B6AA324" w14:textId="77777777">
        <w:trPr>
          <w:cantSplit/>
          <w:trHeight w:val="480"/>
        </w:trPr>
        <w:tc>
          <w:tcPr>
            <w:tcW w:w="4153" w:type="dxa"/>
            <w:shd w:val="clear" w:color="auto" w:fill="FFFF00"/>
          </w:tcPr>
          <w:p w:rsidRPr="00E25790" w:rsidR="00115F48" w:rsidP="006F0321" w:rsidRDefault="00115F48" w14:paraId="5A7C0F53" w14:textId="3DDF1AD5">
            <w:r w:rsidRPr="00E25790">
              <w:t xml:space="preserve">Revision Date : </w:t>
            </w:r>
            <w:r w:rsidR="00BF112A">
              <w:t>9</w:t>
            </w:r>
            <w:r w:rsidR="00B03FD2">
              <w:t>-</w:t>
            </w:r>
            <w:r w:rsidR="00BF112A">
              <w:t>6</w:t>
            </w:r>
            <w:r w:rsidR="00B03FD2">
              <w:t>-202</w:t>
            </w:r>
            <w:r w:rsidR="00BF112A">
              <w:t>1</w:t>
            </w:r>
          </w:p>
        </w:tc>
        <w:tc>
          <w:tcPr>
            <w:tcW w:w="4896" w:type="dxa"/>
            <w:shd w:val="clear" w:color="auto" w:fill="FFFF00"/>
          </w:tcPr>
          <w:p w:rsidRPr="00E25790" w:rsidR="00115F48" w:rsidP="006F0321" w:rsidRDefault="00115F48" w14:paraId="6464D5CA" w14:textId="5EC4A5E6">
            <w:r w:rsidRPr="00E25790">
              <w:t xml:space="preserve">Approved : </w:t>
            </w:r>
            <w:r w:rsidR="00B03FD2">
              <w:t>TC, KOH</w:t>
            </w:r>
          </w:p>
        </w:tc>
      </w:tr>
    </w:tbl>
    <w:p w:rsidR="00115F48" w:rsidP="006F0321" w:rsidRDefault="00115F48" w14:paraId="1501601E" w14:textId="583C93E4"/>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BF112A" w:rsidR="00BF112A" w:rsidTr="00BF112A" w14:paraId="3EC9A595" w14:textId="77777777">
        <w:trPr>
          <w:trHeight w:val="70"/>
        </w:trPr>
        <w:tc>
          <w:tcPr>
            <w:tcW w:w="1730" w:type="dxa"/>
          </w:tcPr>
          <w:p w:rsidRPr="00BF112A" w:rsidR="00BF112A" w:rsidP="00BF112A" w:rsidRDefault="00BF112A" w14:paraId="3E1DE78F" w14:textId="77777777">
            <w:pPr>
              <w:rPr>
                <w:b/>
                <w:lang w:val="en-AU"/>
              </w:rPr>
            </w:pPr>
            <w:r w:rsidRPr="00BF112A">
              <w:rPr>
                <w:b/>
                <w:lang w:val="en-AU"/>
              </w:rPr>
              <w:t>Alert</w:t>
            </w:r>
          </w:p>
        </w:tc>
        <w:tc>
          <w:tcPr>
            <w:tcW w:w="7513" w:type="dxa"/>
          </w:tcPr>
          <w:p w:rsidRPr="00BF112A" w:rsidR="00BF112A" w:rsidP="00BF112A" w:rsidRDefault="00BF112A" w14:paraId="1C49302B" w14:textId="77777777">
            <w:pPr>
              <w:rPr>
                <w:lang w:val="en-AU"/>
              </w:rPr>
            </w:pPr>
            <w:r w:rsidRPr="00BF112A">
              <w:rPr>
                <w:lang w:val="en-AU"/>
              </w:rPr>
              <w:t xml:space="preserve">1:10,000 (1 mg/10 mL) adrenaline </w:t>
            </w:r>
            <w:r w:rsidRPr="00BF112A">
              <w:rPr>
                <w:b/>
                <w:lang w:val="en-AU"/>
              </w:rPr>
              <w:t>acid tartrate</w:t>
            </w:r>
            <w:r w:rsidRPr="00BF112A">
              <w:rPr>
                <w:lang w:val="en-AU"/>
              </w:rPr>
              <w:t xml:space="preserve"> ampoule is the preferred preparation for IV bolus.</w:t>
            </w:r>
          </w:p>
        </w:tc>
      </w:tr>
      <w:tr w:rsidRPr="00BF112A" w:rsidR="00BF112A" w:rsidTr="00BF112A" w14:paraId="71C899B2" w14:textId="77777777">
        <w:trPr>
          <w:trHeight w:val="72"/>
        </w:trPr>
        <w:tc>
          <w:tcPr>
            <w:tcW w:w="1730" w:type="dxa"/>
          </w:tcPr>
          <w:p w:rsidRPr="00BF112A" w:rsidR="00BF112A" w:rsidP="00BF112A" w:rsidRDefault="00BF112A" w14:paraId="58E2154D" w14:textId="77777777">
            <w:pPr>
              <w:rPr>
                <w:lang w:val="en-AU"/>
              </w:rPr>
            </w:pPr>
            <w:r w:rsidRPr="00BF112A">
              <w:rPr>
                <w:b/>
                <w:bCs/>
                <w:lang w:val="en-AU"/>
              </w:rPr>
              <w:t>Indication</w:t>
            </w:r>
          </w:p>
        </w:tc>
        <w:tc>
          <w:tcPr>
            <w:tcW w:w="7513" w:type="dxa"/>
          </w:tcPr>
          <w:p w:rsidRPr="00BF112A" w:rsidR="00BF112A" w:rsidP="00BF112A" w:rsidRDefault="00BF112A" w14:paraId="74581272" w14:textId="77777777">
            <w:pPr>
              <w:rPr>
                <w:lang w:val="en-AU"/>
              </w:rPr>
            </w:pPr>
            <w:r w:rsidRPr="00BF112A">
              <w:rPr>
                <w:lang w:val="en-AU"/>
              </w:rPr>
              <w:t>Resuscitation of the newborn infant.[1]</w:t>
            </w:r>
          </w:p>
        </w:tc>
      </w:tr>
      <w:tr w:rsidRPr="00BF112A" w:rsidR="00BF112A" w:rsidTr="00BF112A" w14:paraId="3E7BE98A" w14:textId="77777777">
        <w:trPr>
          <w:trHeight w:val="70"/>
        </w:trPr>
        <w:tc>
          <w:tcPr>
            <w:tcW w:w="1730" w:type="dxa"/>
          </w:tcPr>
          <w:p w:rsidRPr="00BF112A" w:rsidR="00BF112A" w:rsidP="00BF112A" w:rsidRDefault="00BF112A" w14:paraId="37BD2C4A" w14:textId="77777777">
            <w:pPr>
              <w:rPr>
                <w:b/>
                <w:bCs/>
                <w:lang w:val="en-AU"/>
              </w:rPr>
            </w:pPr>
            <w:r w:rsidRPr="00BF112A">
              <w:rPr>
                <w:b/>
                <w:bCs/>
                <w:lang w:val="en-AU"/>
              </w:rPr>
              <w:t>Action</w:t>
            </w:r>
          </w:p>
        </w:tc>
        <w:tc>
          <w:tcPr>
            <w:tcW w:w="7513" w:type="dxa"/>
          </w:tcPr>
          <w:p w:rsidRPr="00BF112A" w:rsidR="00BF112A" w:rsidP="00BF112A" w:rsidRDefault="00BF112A" w14:paraId="6F58D8A3" w14:textId="77777777">
            <w:pPr>
              <w:rPr>
                <w:lang w:val="en-AU"/>
              </w:rPr>
            </w:pPr>
            <w:r w:rsidRPr="00BF112A">
              <w:rPr>
                <w:lang w:val="en-AU"/>
              </w:rPr>
              <w:t>Catecholamine with alpha and beta-adrenergic actions.</w:t>
            </w:r>
          </w:p>
        </w:tc>
      </w:tr>
      <w:tr w:rsidRPr="00BF112A" w:rsidR="00BF112A" w:rsidTr="00BF112A" w14:paraId="06F75DA1" w14:textId="77777777">
        <w:trPr>
          <w:trHeight w:val="266"/>
        </w:trPr>
        <w:tc>
          <w:tcPr>
            <w:tcW w:w="1730" w:type="dxa"/>
          </w:tcPr>
          <w:p w:rsidRPr="00BF112A" w:rsidR="00BF112A" w:rsidP="00BF112A" w:rsidRDefault="00BF112A" w14:paraId="32BB2495" w14:textId="77777777">
            <w:pPr>
              <w:rPr>
                <w:lang w:val="en-AU"/>
              </w:rPr>
            </w:pPr>
            <w:r w:rsidRPr="00BF112A">
              <w:rPr>
                <w:b/>
                <w:bCs/>
                <w:lang w:val="en-AU"/>
              </w:rPr>
              <w:t>Drug type</w:t>
            </w:r>
          </w:p>
        </w:tc>
        <w:tc>
          <w:tcPr>
            <w:tcW w:w="7513" w:type="dxa"/>
          </w:tcPr>
          <w:p w:rsidRPr="00BF112A" w:rsidR="00BF112A" w:rsidP="00BF112A" w:rsidRDefault="00BF112A" w14:paraId="50772C9D" w14:textId="77777777">
            <w:pPr>
              <w:rPr>
                <w:lang w:val="en-AU"/>
              </w:rPr>
            </w:pPr>
            <w:r w:rsidRPr="00BF112A">
              <w:rPr>
                <w:lang w:val="en-AU"/>
              </w:rPr>
              <w:t>Inotropic vasopressor</w:t>
            </w:r>
          </w:p>
        </w:tc>
      </w:tr>
      <w:tr w:rsidRPr="00BF112A" w:rsidR="00BF112A" w:rsidTr="00BF112A" w14:paraId="672C2E00" w14:textId="77777777">
        <w:trPr>
          <w:trHeight w:val="114"/>
        </w:trPr>
        <w:tc>
          <w:tcPr>
            <w:tcW w:w="1730" w:type="dxa"/>
          </w:tcPr>
          <w:p w:rsidRPr="00BF112A" w:rsidR="00BF112A" w:rsidP="00BF112A" w:rsidRDefault="00BF112A" w14:paraId="5ACF8DC1" w14:textId="77777777">
            <w:pPr>
              <w:rPr>
                <w:b/>
                <w:bCs/>
                <w:lang w:val="en-AU"/>
              </w:rPr>
            </w:pPr>
            <w:r w:rsidRPr="00BF112A">
              <w:rPr>
                <w:b/>
                <w:bCs/>
                <w:lang w:val="en-AU"/>
              </w:rPr>
              <w:t xml:space="preserve">Trade name </w:t>
            </w:r>
          </w:p>
        </w:tc>
        <w:tc>
          <w:tcPr>
            <w:tcW w:w="7513" w:type="dxa"/>
          </w:tcPr>
          <w:p w:rsidRPr="00BF112A" w:rsidR="00BF112A" w:rsidP="00BF112A" w:rsidRDefault="00BF112A" w14:paraId="677DFBA7" w14:textId="77777777">
            <w:pPr>
              <w:rPr>
                <w:lang w:val="en-AU"/>
              </w:rPr>
            </w:pPr>
            <w:r w:rsidRPr="00BF112A">
              <w:rPr>
                <w:lang w:val="en-AU"/>
              </w:rPr>
              <w:t xml:space="preserve">Aspen Adrenaline 1:10,000 Injection, Adrenaline-Link Injection BP 1:10,000 Ampoule, Min-I-Jet Adrenaline 1:10,000 </w:t>
            </w:r>
            <w:r w:rsidRPr="00BF112A">
              <w:rPr>
                <w:iCs/>
                <w:lang w:val="en-AU"/>
              </w:rPr>
              <w:t>I</w:t>
            </w:r>
            <w:r w:rsidRPr="00BF112A">
              <w:rPr>
                <w:lang w:val="en-AU"/>
              </w:rPr>
              <w:t>njection (Pre-filled Syringe).</w:t>
            </w:r>
          </w:p>
        </w:tc>
      </w:tr>
      <w:tr w:rsidRPr="00BF112A" w:rsidR="00BF112A" w:rsidTr="00BF112A" w14:paraId="0080AD04" w14:textId="77777777">
        <w:trPr>
          <w:trHeight w:val="70"/>
        </w:trPr>
        <w:tc>
          <w:tcPr>
            <w:tcW w:w="1730" w:type="dxa"/>
          </w:tcPr>
          <w:p w:rsidRPr="00BF112A" w:rsidR="00BF112A" w:rsidP="00BF112A" w:rsidRDefault="00BF112A" w14:paraId="24EDAB44" w14:textId="77777777">
            <w:pPr>
              <w:rPr>
                <w:b/>
                <w:bCs/>
                <w:lang w:val="en-AU"/>
              </w:rPr>
            </w:pPr>
            <w:r w:rsidRPr="00BF112A">
              <w:rPr>
                <w:b/>
                <w:bCs/>
                <w:lang w:val="en-AU"/>
              </w:rPr>
              <w:t xml:space="preserve">Presentation </w:t>
            </w:r>
          </w:p>
        </w:tc>
        <w:tc>
          <w:tcPr>
            <w:tcW w:w="7513" w:type="dxa"/>
          </w:tcPr>
          <w:p w:rsidRPr="00BF112A" w:rsidR="00BF112A" w:rsidP="00BF112A" w:rsidRDefault="00BF112A" w14:paraId="4CD00D72" w14:textId="77777777">
            <w:pPr>
              <w:rPr>
                <w:lang w:val="en-AU"/>
              </w:rPr>
            </w:pPr>
            <w:r w:rsidRPr="00BF112A">
              <w:rPr>
                <w:lang w:val="en-AU"/>
              </w:rPr>
              <w:t>1:10,000 ampoule [100micrograms/1mL] as adrenaline acid tartrate (Recommended)</w:t>
            </w:r>
          </w:p>
          <w:p w:rsidRPr="00BF112A" w:rsidR="00BF112A" w:rsidP="00BF112A" w:rsidRDefault="00BF112A" w14:paraId="64A09BAA" w14:textId="77777777">
            <w:pPr>
              <w:rPr>
                <w:lang w:val="en-AU"/>
              </w:rPr>
            </w:pPr>
            <w:r w:rsidRPr="00BF112A">
              <w:rPr>
                <w:lang w:val="en-AU"/>
              </w:rPr>
              <w:t>1: 10,000 Min-I-Jet pre-filled syringe [100micrograms/1mL] as adrenaline hydrochloride (if ampoules are in short supply)</w:t>
            </w:r>
          </w:p>
        </w:tc>
      </w:tr>
      <w:tr w:rsidRPr="00BF112A" w:rsidR="00BF112A" w:rsidTr="00BF112A" w14:paraId="5D71591C" w14:textId="77777777">
        <w:trPr>
          <w:trHeight w:val="70"/>
        </w:trPr>
        <w:tc>
          <w:tcPr>
            <w:tcW w:w="1730" w:type="dxa"/>
          </w:tcPr>
          <w:p w:rsidRPr="00BF112A" w:rsidR="00BF112A" w:rsidP="00BF112A" w:rsidRDefault="00BF112A" w14:paraId="637A2747" w14:textId="77777777">
            <w:pPr>
              <w:rPr>
                <w:b/>
                <w:bCs/>
                <w:lang w:val="en-AU"/>
              </w:rPr>
            </w:pPr>
            <w:r w:rsidRPr="00BF112A">
              <w:rPr>
                <w:b/>
                <w:bCs/>
                <w:lang w:val="en-AU"/>
              </w:rPr>
              <w:t xml:space="preserve">Dose </w:t>
            </w:r>
          </w:p>
        </w:tc>
        <w:tc>
          <w:tcPr>
            <w:tcW w:w="7513" w:type="dxa"/>
          </w:tcPr>
          <w:p w:rsidRPr="00BF112A" w:rsidR="00BF112A" w:rsidP="00BF112A" w:rsidRDefault="00BF112A" w14:paraId="6041AACE" w14:textId="77777777">
            <w:pPr>
              <w:rPr>
                <w:lang w:val="en-AU"/>
              </w:rPr>
            </w:pPr>
            <w:r w:rsidRPr="00BF112A">
              <w:rPr>
                <w:lang w:val="en-AU"/>
              </w:rPr>
              <w:t>10–30 microgram/kg (</w:t>
            </w:r>
            <w:r w:rsidRPr="00BF112A">
              <w:rPr>
                <w:b/>
                <w:bCs/>
                <w:lang w:val="en-AU"/>
              </w:rPr>
              <w:t>0.1–0.3 mL/kg</w:t>
            </w:r>
            <w:r w:rsidRPr="00BF112A">
              <w:rPr>
                <w:lang w:val="en-AU"/>
              </w:rPr>
              <w:t xml:space="preserve"> of a 1:10,000 solution) intravenous injection. </w:t>
            </w:r>
          </w:p>
          <w:p w:rsidRPr="00BF112A" w:rsidR="00BF112A" w:rsidP="00BF112A" w:rsidRDefault="00BF112A" w14:paraId="5242883C" w14:textId="77777777">
            <w:pPr>
              <w:rPr>
                <w:lang w:val="en-AU"/>
              </w:rPr>
            </w:pPr>
            <w:r w:rsidRPr="00BF112A">
              <w:rPr>
                <w:lang w:val="en-AU"/>
              </w:rPr>
              <w:t>This dose can be repeated every few minutes if the heart rate remains &lt; 60 beats per minute despite effective ventilation and cardiac compressions.[1-3]</w:t>
            </w:r>
          </w:p>
        </w:tc>
      </w:tr>
      <w:tr w:rsidRPr="00BF112A" w:rsidR="00BF112A" w:rsidTr="00BF112A" w14:paraId="1BCE56BA" w14:textId="77777777">
        <w:trPr>
          <w:trHeight w:val="222"/>
        </w:trPr>
        <w:tc>
          <w:tcPr>
            <w:tcW w:w="1730" w:type="dxa"/>
          </w:tcPr>
          <w:p w:rsidRPr="00BF112A" w:rsidR="00BF112A" w:rsidP="00BF112A" w:rsidRDefault="00BF112A" w14:paraId="607475EA" w14:textId="77777777">
            <w:pPr>
              <w:rPr>
                <w:b/>
                <w:lang w:val="en-AU"/>
              </w:rPr>
            </w:pPr>
            <w:r w:rsidRPr="00BF112A">
              <w:rPr>
                <w:b/>
                <w:lang w:val="en-AU"/>
              </w:rPr>
              <w:t>Dose adjustment</w:t>
            </w:r>
          </w:p>
        </w:tc>
        <w:tc>
          <w:tcPr>
            <w:tcW w:w="7513" w:type="dxa"/>
          </w:tcPr>
          <w:p w:rsidRPr="00BF112A" w:rsidR="00BF112A" w:rsidP="00BF112A" w:rsidRDefault="00BF112A" w14:paraId="6EDC7DAD" w14:textId="77777777">
            <w:pPr>
              <w:rPr>
                <w:lang w:val="en-AU"/>
              </w:rPr>
            </w:pPr>
            <w:r w:rsidRPr="00BF112A">
              <w:rPr>
                <w:lang w:val="en-AU"/>
              </w:rPr>
              <w:t>Not applicable.</w:t>
            </w:r>
          </w:p>
        </w:tc>
      </w:tr>
      <w:tr w:rsidRPr="00BF112A" w:rsidR="00BF112A" w:rsidTr="00BF112A" w14:paraId="3AD4E3AE" w14:textId="77777777">
        <w:trPr>
          <w:trHeight w:val="113"/>
        </w:trPr>
        <w:tc>
          <w:tcPr>
            <w:tcW w:w="1730" w:type="dxa"/>
          </w:tcPr>
          <w:p w:rsidRPr="00BF112A" w:rsidR="00BF112A" w:rsidP="00BF112A" w:rsidRDefault="00BF112A" w14:paraId="55E1E13B" w14:textId="77777777">
            <w:pPr>
              <w:rPr>
                <w:b/>
                <w:lang w:val="en-AU"/>
              </w:rPr>
            </w:pPr>
            <w:r w:rsidRPr="00BF112A">
              <w:rPr>
                <w:b/>
                <w:lang w:val="en-AU"/>
              </w:rPr>
              <w:t>Maximum dose</w:t>
            </w:r>
          </w:p>
        </w:tc>
        <w:tc>
          <w:tcPr>
            <w:tcW w:w="7513" w:type="dxa"/>
          </w:tcPr>
          <w:p w:rsidRPr="00BF112A" w:rsidR="00BF112A" w:rsidP="00BF112A" w:rsidRDefault="00BF112A" w14:paraId="558A6F19" w14:textId="77777777">
            <w:pPr>
              <w:rPr>
                <w:lang w:val="en-AU"/>
              </w:rPr>
            </w:pPr>
          </w:p>
        </w:tc>
      </w:tr>
      <w:tr w:rsidRPr="00BF112A" w:rsidR="00BF112A" w:rsidTr="00BF112A" w14:paraId="6D5FC0E7" w14:textId="77777777">
        <w:trPr>
          <w:trHeight w:val="144"/>
        </w:trPr>
        <w:tc>
          <w:tcPr>
            <w:tcW w:w="1730" w:type="dxa"/>
          </w:tcPr>
          <w:p w:rsidRPr="00BF112A" w:rsidR="00BF112A" w:rsidP="00BF112A" w:rsidRDefault="00BF112A" w14:paraId="142F5CA3" w14:textId="77777777">
            <w:pPr>
              <w:rPr>
                <w:b/>
                <w:bCs/>
                <w:lang w:val="en-AU"/>
              </w:rPr>
            </w:pPr>
            <w:r w:rsidRPr="00BF112A">
              <w:rPr>
                <w:b/>
                <w:lang w:val="en-AU"/>
              </w:rPr>
              <w:t>Total cumulative dose</w:t>
            </w:r>
          </w:p>
        </w:tc>
        <w:tc>
          <w:tcPr>
            <w:tcW w:w="7513" w:type="dxa"/>
          </w:tcPr>
          <w:p w:rsidRPr="00BF112A" w:rsidR="00BF112A" w:rsidP="00BF112A" w:rsidRDefault="00BF112A" w14:paraId="78018532" w14:textId="77777777">
            <w:pPr>
              <w:rPr>
                <w:b/>
                <w:lang w:val="en-AU"/>
              </w:rPr>
            </w:pPr>
          </w:p>
        </w:tc>
      </w:tr>
      <w:tr w:rsidRPr="00BF112A" w:rsidR="00BF112A" w:rsidTr="00BF112A" w14:paraId="058EF4F5" w14:textId="77777777">
        <w:trPr>
          <w:trHeight w:val="294"/>
        </w:trPr>
        <w:tc>
          <w:tcPr>
            <w:tcW w:w="1730" w:type="dxa"/>
          </w:tcPr>
          <w:p w:rsidRPr="00BF112A" w:rsidR="00BF112A" w:rsidP="00BF112A" w:rsidRDefault="00BF112A" w14:paraId="0D7853EF" w14:textId="77777777">
            <w:pPr>
              <w:rPr>
                <w:lang w:val="en-AU"/>
              </w:rPr>
            </w:pPr>
            <w:r w:rsidRPr="00BF112A">
              <w:rPr>
                <w:b/>
                <w:bCs/>
                <w:lang w:val="en-AU"/>
              </w:rPr>
              <w:t xml:space="preserve">Route </w:t>
            </w:r>
          </w:p>
        </w:tc>
        <w:tc>
          <w:tcPr>
            <w:tcW w:w="7513" w:type="dxa"/>
          </w:tcPr>
          <w:p w:rsidRPr="00BF112A" w:rsidR="00BF112A" w:rsidP="00BF112A" w:rsidRDefault="00BF112A" w14:paraId="5C38AE98" w14:textId="77777777">
            <w:pPr>
              <w:rPr>
                <w:lang w:val="en-AU"/>
              </w:rPr>
            </w:pPr>
            <w:r w:rsidRPr="00BF112A">
              <w:rPr>
                <w:lang w:val="en-AU"/>
              </w:rPr>
              <w:t>Intravenous.</w:t>
            </w:r>
          </w:p>
        </w:tc>
      </w:tr>
      <w:tr w:rsidRPr="00BF112A" w:rsidR="00BF112A" w:rsidTr="00BF112A" w14:paraId="234927CD" w14:textId="77777777">
        <w:trPr>
          <w:trHeight w:val="93"/>
        </w:trPr>
        <w:tc>
          <w:tcPr>
            <w:tcW w:w="1730" w:type="dxa"/>
          </w:tcPr>
          <w:p w:rsidRPr="00BF112A" w:rsidR="00BF112A" w:rsidP="00BF112A" w:rsidRDefault="00BF112A" w14:paraId="58581885" w14:textId="77777777">
            <w:pPr>
              <w:rPr>
                <w:b/>
                <w:bCs/>
                <w:lang w:val="en-AU"/>
              </w:rPr>
            </w:pPr>
            <w:r w:rsidRPr="00BF112A">
              <w:rPr>
                <w:b/>
                <w:bCs/>
                <w:lang w:val="en-AU"/>
              </w:rPr>
              <w:t xml:space="preserve">Preparation </w:t>
            </w:r>
          </w:p>
        </w:tc>
        <w:tc>
          <w:tcPr>
            <w:tcW w:w="7513" w:type="dxa"/>
          </w:tcPr>
          <w:p w:rsidRPr="00BF112A" w:rsidR="00BF112A" w:rsidP="00BF112A" w:rsidRDefault="00BF112A" w14:paraId="46B18507" w14:textId="77777777">
            <w:pPr>
              <w:rPr>
                <w:lang w:val="en-AU"/>
              </w:rPr>
            </w:pPr>
            <w:r w:rsidRPr="00BF112A">
              <w:rPr>
                <w:lang w:val="en-AU"/>
              </w:rPr>
              <w:t xml:space="preserve">Draw up 10-30 microgram/kg </w:t>
            </w:r>
            <w:r w:rsidRPr="00BF112A">
              <w:rPr>
                <w:b/>
                <w:bCs/>
                <w:lang w:val="en-AU"/>
              </w:rPr>
              <w:t>(0.1–0.3 mL/kg</w:t>
            </w:r>
            <w:r w:rsidRPr="00BF112A">
              <w:rPr>
                <w:lang w:val="en-AU"/>
              </w:rPr>
              <w:t xml:space="preserve"> of adrenaline from 1:10,000 ampoule [1 mg/10 mL] undiluted. [1 mL contains 0.1 mg (100 microgram) of adrenaline].</w:t>
            </w:r>
          </w:p>
        </w:tc>
      </w:tr>
      <w:tr w:rsidRPr="00BF112A" w:rsidR="00BF112A" w:rsidTr="00BF112A" w14:paraId="49A4B657" w14:textId="77777777">
        <w:trPr>
          <w:trHeight w:val="224"/>
        </w:trPr>
        <w:tc>
          <w:tcPr>
            <w:tcW w:w="1730" w:type="dxa"/>
          </w:tcPr>
          <w:p w:rsidRPr="00BF112A" w:rsidR="00BF112A" w:rsidP="00BF112A" w:rsidRDefault="00BF112A" w14:paraId="4888972C" w14:textId="77777777">
            <w:pPr>
              <w:rPr>
                <w:b/>
                <w:bCs/>
                <w:lang w:val="en-AU"/>
              </w:rPr>
            </w:pPr>
            <w:r w:rsidRPr="00BF112A">
              <w:rPr>
                <w:b/>
                <w:bCs/>
                <w:lang w:val="en-AU"/>
              </w:rPr>
              <w:t xml:space="preserve">Administration </w:t>
            </w:r>
          </w:p>
        </w:tc>
        <w:tc>
          <w:tcPr>
            <w:tcW w:w="7513" w:type="dxa"/>
            <w:vAlign w:val="center"/>
          </w:tcPr>
          <w:p w:rsidRPr="00BF112A" w:rsidR="00BF112A" w:rsidP="00BF112A" w:rsidRDefault="00BF112A" w14:paraId="3B1C5990" w14:textId="77777777">
            <w:pPr>
              <w:rPr>
                <w:lang w:val="en-AU"/>
              </w:rPr>
            </w:pPr>
            <w:r w:rsidRPr="00BF112A">
              <w:rPr>
                <w:lang w:val="en-AU"/>
              </w:rPr>
              <w:t>Intravenous as a rapid bolus ideally through a central venous catheter followed by a sodium chloride 0.9% flush.[1]</w:t>
            </w:r>
          </w:p>
        </w:tc>
      </w:tr>
      <w:tr w:rsidRPr="00BF112A" w:rsidR="00BF112A" w:rsidTr="00BF112A" w14:paraId="3968A17F" w14:textId="77777777">
        <w:trPr>
          <w:trHeight w:val="215"/>
        </w:trPr>
        <w:tc>
          <w:tcPr>
            <w:tcW w:w="1730" w:type="dxa"/>
          </w:tcPr>
          <w:p w:rsidRPr="00BF112A" w:rsidR="00BF112A" w:rsidP="00BF112A" w:rsidRDefault="00BF112A" w14:paraId="4EF3F6F4" w14:textId="77777777">
            <w:pPr>
              <w:rPr>
                <w:b/>
                <w:bCs/>
                <w:lang w:val="en-AU"/>
              </w:rPr>
            </w:pPr>
            <w:r w:rsidRPr="00BF112A">
              <w:rPr>
                <w:b/>
                <w:bCs/>
                <w:lang w:val="en-AU"/>
              </w:rPr>
              <w:t>Monitoring</w:t>
            </w:r>
          </w:p>
        </w:tc>
        <w:tc>
          <w:tcPr>
            <w:tcW w:w="7513" w:type="dxa"/>
          </w:tcPr>
          <w:p w:rsidRPr="00BF112A" w:rsidR="00BF112A" w:rsidP="00BF112A" w:rsidRDefault="00BF112A" w14:paraId="0055D632" w14:textId="77777777">
            <w:pPr>
              <w:rPr>
                <w:lang w:val="en-AU"/>
              </w:rPr>
            </w:pPr>
            <w:r w:rsidRPr="00BF112A">
              <w:rPr>
                <w:lang w:val="en-AU"/>
              </w:rPr>
              <w:t xml:space="preserve">Assessment throughout the resuscitation is based on the infant’s heart rate, breathing, tone and oxygenation. A prompt increase in heart rate remains the most sensitive indicator of resuscitation efficacy.[4] </w:t>
            </w:r>
          </w:p>
          <w:p w:rsidRPr="00BF112A" w:rsidR="00BF112A" w:rsidP="00BF112A" w:rsidRDefault="00BF112A" w14:paraId="7806F0B0" w14:textId="77777777">
            <w:pPr>
              <w:rPr>
                <w:lang w:val="en-AU"/>
              </w:rPr>
            </w:pPr>
            <w:r w:rsidRPr="00BF112A">
              <w:rPr>
                <w:lang w:val="en-AU"/>
              </w:rPr>
              <w:t>For babies requiring resuscitation and/or respiratory support, pulse oximetry is recommended both to monitor heart rate and to assess oxygenation. The sensor should be placed on the infant’s right hand or wrist before connecting the probe to the instrument. Heart rate monitored using an oximeter should be checked intermittently during resuscitation by auscultation.[4]</w:t>
            </w:r>
          </w:p>
          <w:p w:rsidRPr="00BF112A" w:rsidR="00BF112A" w:rsidP="00BF112A" w:rsidRDefault="00BF112A" w14:paraId="3D4C7671" w14:textId="77777777">
            <w:pPr>
              <w:rPr>
                <w:lang w:val="en-AU"/>
              </w:rPr>
            </w:pPr>
            <w:r w:rsidRPr="00BF112A">
              <w:rPr>
                <w:lang w:val="en-AU"/>
              </w:rPr>
              <w:lastRenderedPageBreak/>
              <w:t>Observe IV site closely for blanching and extravasation.</w:t>
            </w:r>
          </w:p>
        </w:tc>
      </w:tr>
      <w:tr w:rsidRPr="00BF112A" w:rsidR="00BF112A" w:rsidTr="00BF112A" w14:paraId="08100F88" w14:textId="77777777">
        <w:trPr>
          <w:trHeight w:val="342"/>
        </w:trPr>
        <w:tc>
          <w:tcPr>
            <w:tcW w:w="1730" w:type="dxa"/>
          </w:tcPr>
          <w:p w:rsidRPr="00BF112A" w:rsidR="00BF112A" w:rsidP="00BF112A" w:rsidRDefault="00BF112A" w14:paraId="7E0853CF" w14:textId="77777777">
            <w:pPr>
              <w:rPr>
                <w:b/>
                <w:bCs/>
                <w:lang w:val="en-AU"/>
              </w:rPr>
            </w:pPr>
            <w:r w:rsidRPr="00BF112A">
              <w:rPr>
                <w:b/>
                <w:bCs/>
                <w:lang w:val="en-AU"/>
              </w:rPr>
              <w:lastRenderedPageBreak/>
              <w:t>Contraindications</w:t>
            </w:r>
          </w:p>
        </w:tc>
        <w:tc>
          <w:tcPr>
            <w:tcW w:w="7513" w:type="dxa"/>
          </w:tcPr>
          <w:p w:rsidRPr="00BF112A" w:rsidR="00BF112A" w:rsidP="00BF112A" w:rsidRDefault="00BF112A" w14:paraId="208421C4" w14:textId="77777777">
            <w:pPr>
              <w:rPr>
                <w:lang w:val="en-AU"/>
              </w:rPr>
            </w:pPr>
            <w:r w:rsidRPr="00BF112A">
              <w:rPr>
                <w:lang w:val="en-AU"/>
              </w:rPr>
              <w:t>Nil</w:t>
            </w:r>
          </w:p>
        </w:tc>
      </w:tr>
      <w:tr w:rsidRPr="00BF112A" w:rsidR="00BF112A" w:rsidTr="00BF112A" w14:paraId="5CAAC021" w14:textId="77777777">
        <w:tc>
          <w:tcPr>
            <w:tcW w:w="1730" w:type="dxa"/>
          </w:tcPr>
          <w:p w:rsidRPr="00BF112A" w:rsidR="00BF112A" w:rsidP="00BF112A" w:rsidRDefault="00BF112A" w14:paraId="6B309824" w14:textId="77777777">
            <w:pPr>
              <w:rPr>
                <w:b/>
                <w:bCs/>
                <w:lang w:val="en-AU"/>
              </w:rPr>
            </w:pPr>
            <w:r w:rsidRPr="00BF112A">
              <w:rPr>
                <w:lang w:val="en-AU"/>
              </w:rPr>
              <w:br w:type="page"/>
            </w:r>
            <w:r w:rsidRPr="00BF112A">
              <w:rPr>
                <w:b/>
                <w:bCs/>
                <w:lang w:val="en-AU"/>
              </w:rPr>
              <w:t>Precautions</w:t>
            </w:r>
          </w:p>
        </w:tc>
        <w:tc>
          <w:tcPr>
            <w:tcW w:w="7513" w:type="dxa"/>
          </w:tcPr>
          <w:p w:rsidRPr="00BF112A" w:rsidR="00BF112A" w:rsidP="00BF112A" w:rsidRDefault="00BF112A" w14:paraId="42497EB6" w14:textId="77777777">
            <w:pPr>
              <w:rPr>
                <w:lang w:val="en-AU"/>
              </w:rPr>
            </w:pPr>
            <w:r w:rsidRPr="00BF112A">
              <w:rPr>
                <w:lang w:val="en-AU"/>
              </w:rPr>
              <w:t xml:space="preserve">Infants with arrhythmias, hypertension or hyperthyroidism. </w:t>
            </w:r>
          </w:p>
          <w:p w:rsidRPr="00BF112A" w:rsidR="00BF112A" w:rsidP="00BF112A" w:rsidRDefault="00BF112A" w14:paraId="188ED9AC" w14:textId="77777777">
            <w:pPr>
              <w:rPr>
                <w:lang w:val="en-AU"/>
              </w:rPr>
            </w:pPr>
            <w:r w:rsidRPr="00BF112A">
              <w:rPr>
                <w:lang w:val="en-AU"/>
              </w:rPr>
              <w:t xml:space="preserve">Infants with dilated or ischaemic cardiac disease. </w:t>
            </w:r>
          </w:p>
          <w:p w:rsidRPr="00BF112A" w:rsidR="00BF112A" w:rsidP="00BF112A" w:rsidRDefault="00BF112A" w14:paraId="3B414EE3" w14:textId="77777777">
            <w:pPr>
              <w:rPr>
                <w:lang w:val="en-AU"/>
              </w:rPr>
            </w:pPr>
            <w:r w:rsidRPr="00BF112A">
              <w:rPr>
                <w:lang w:val="en-AU"/>
              </w:rPr>
              <w:t>Intra-arterial and intramuscular administration should be avoided as it may cause local ischaemic damage.</w:t>
            </w:r>
          </w:p>
          <w:p w:rsidRPr="00BF112A" w:rsidR="00BF112A" w:rsidP="00BF112A" w:rsidRDefault="00BF112A" w14:paraId="537C252B" w14:textId="77777777">
            <w:pPr>
              <w:rPr>
                <w:lang w:val="en-AU"/>
              </w:rPr>
            </w:pPr>
            <w:r w:rsidRPr="00BF112A">
              <w:rPr>
                <w:lang w:val="en-AU"/>
              </w:rPr>
              <w:t>Do not use if the injection is pink or brown or contains a precipitate.</w:t>
            </w:r>
          </w:p>
        </w:tc>
      </w:tr>
      <w:tr w:rsidRPr="00BF112A" w:rsidR="00BF112A" w:rsidTr="00BF112A" w14:paraId="71E61756" w14:textId="77777777">
        <w:trPr>
          <w:trHeight w:val="70"/>
        </w:trPr>
        <w:tc>
          <w:tcPr>
            <w:tcW w:w="1730" w:type="dxa"/>
          </w:tcPr>
          <w:p w:rsidRPr="00BF112A" w:rsidR="00BF112A" w:rsidP="00BF112A" w:rsidRDefault="00BF112A" w14:paraId="1D99A634" w14:textId="77777777">
            <w:pPr>
              <w:rPr>
                <w:b/>
                <w:bCs/>
                <w:lang w:val="en-AU"/>
              </w:rPr>
            </w:pPr>
            <w:r w:rsidRPr="00BF112A">
              <w:rPr>
                <w:b/>
                <w:bCs/>
                <w:lang w:val="en-AU"/>
              </w:rPr>
              <w:t>Drug interactions</w:t>
            </w:r>
          </w:p>
        </w:tc>
        <w:tc>
          <w:tcPr>
            <w:tcW w:w="7513" w:type="dxa"/>
          </w:tcPr>
          <w:p w:rsidRPr="00BF112A" w:rsidR="00BF112A" w:rsidP="00BF112A" w:rsidRDefault="00BF112A" w14:paraId="2A89E82B" w14:textId="77777777">
            <w:pPr>
              <w:rPr>
                <w:lang w:val="en-AU"/>
              </w:rPr>
            </w:pPr>
            <w:r w:rsidRPr="00BF112A">
              <w:rPr>
                <w:lang w:val="en-AU"/>
              </w:rPr>
              <w:t xml:space="preserve">Hypotension may be observed with concurrent use of vasodilators such as glyceryl trinitrate, nitroprusside and calcium channel blockers. </w:t>
            </w:r>
          </w:p>
          <w:p w:rsidRPr="00BF112A" w:rsidR="00BF112A" w:rsidP="00BF112A" w:rsidRDefault="00BF112A" w14:paraId="079C73D8" w14:textId="77777777">
            <w:pPr>
              <w:rPr>
                <w:lang w:val="en-AU"/>
              </w:rPr>
            </w:pPr>
            <w:r w:rsidRPr="00BF112A">
              <w:rPr>
                <w:lang w:val="en-AU"/>
              </w:rPr>
              <w:t xml:space="preserve">Concurrent use of digitalis glycosides may increase the risk of cardiac arrhythmias. </w:t>
            </w:r>
          </w:p>
          <w:p w:rsidRPr="00BF112A" w:rsidR="00BF112A" w:rsidP="00BF112A" w:rsidRDefault="00BF112A" w14:paraId="1814DE1E" w14:textId="77777777">
            <w:pPr>
              <w:rPr>
                <w:lang w:val="en-AU"/>
              </w:rPr>
            </w:pPr>
            <w:r w:rsidRPr="00BF112A">
              <w:rPr>
                <w:lang w:val="en-AU"/>
              </w:rPr>
              <w:t>Concurrent use of IV phenytoin with adrenaline may result in dose dependent, sudden hypotension and bradycardia.</w:t>
            </w:r>
          </w:p>
          <w:p w:rsidRPr="00BF112A" w:rsidR="00BF112A" w:rsidP="00BF112A" w:rsidRDefault="00BF112A" w14:paraId="7399E4A9" w14:textId="77777777">
            <w:pPr>
              <w:rPr>
                <w:lang w:val="en-AU"/>
              </w:rPr>
            </w:pPr>
            <w:r w:rsidRPr="00BF112A">
              <w:rPr>
                <w:lang w:val="en-AU"/>
              </w:rPr>
              <w:t>Concurrent use of adrenaline and linezolid may result in increased hypertensive effects.</w:t>
            </w:r>
          </w:p>
        </w:tc>
      </w:tr>
      <w:tr w:rsidRPr="00BF112A" w:rsidR="00BF112A" w:rsidTr="00BF112A" w14:paraId="496041E4" w14:textId="77777777">
        <w:trPr>
          <w:trHeight w:val="332"/>
        </w:trPr>
        <w:tc>
          <w:tcPr>
            <w:tcW w:w="1730" w:type="dxa"/>
          </w:tcPr>
          <w:p w:rsidRPr="00BF112A" w:rsidR="00BF112A" w:rsidP="00BF112A" w:rsidRDefault="00BF112A" w14:paraId="231A2678" w14:textId="77777777">
            <w:pPr>
              <w:rPr>
                <w:b/>
                <w:bCs/>
                <w:lang w:val="en-AU"/>
              </w:rPr>
            </w:pPr>
            <w:r w:rsidRPr="00BF112A">
              <w:rPr>
                <w:b/>
                <w:bCs/>
                <w:lang w:val="en-AU"/>
              </w:rPr>
              <w:t xml:space="preserve">Adverse reactions </w:t>
            </w:r>
          </w:p>
        </w:tc>
        <w:tc>
          <w:tcPr>
            <w:tcW w:w="7513" w:type="dxa"/>
          </w:tcPr>
          <w:p w:rsidRPr="00BF112A" w:rsidR="00BF112A" w:rsidP="00BF112A" w:rsidRDefault="00BF112A" w14:paraId="3D42968C" w14:textId="77777777">
            <w:pPr>
              <w:rPr>
                <w:lang w:val="en-AU"/>
              </w:rPr>
            </w:pPr>
            <w:r w:rsidRPr="00BF112A">
              <w:rPr>
                <w:lang w:val="en-AU"/>
              </w:rPr>
              <w:t xml:space="preserve">Tachycardia and arrhythmia. </w:t>
            </w:r>
          </w:p>
          <w:p w:rsidRPr="00BF112A" w:rsidR="00BF112A" w:rsidP="00BF112A" w:rsidRDefault="00BF112A" w14:paraId="3E96413E" w14:textId="77777777">
            <w:pPr>
              <w:rPr>
                <w:lang w:val="en-AU"/>
              </w:rPr>
            </w:pPr>
            <w:r w:rsidRPr="00BF112A">
              <w:rPr>
                <w:lang w:val="en-AU"/>
              </w:rPr>
              <w:t xml:space="preserve">Systemic hypertension and lactic acidosis especially at higher doses. </w:t>
            </w:r>
          </w:p>
          <w:p w:rsidRPr="00BF112A" w:rsidR="00BF112A" w:rsidP="00BF112A" w:rsidRDefault="00BF112A" w14:paraId="2551ACD6" w14:textId="77777777">
            <w:pPr>
              <w:rPr>
                <w:lang w:val="en-AU"/>
              </w:rPr>
            </w:pPr>
            <w:r w:rsidRPr="00BF112A">
              <w:rPr>
                <w:lang w:val="en-AU"/>
              </w:rPr>
              <w:t>Tissue ischaemia and necrosis especially if administered intra-arterially, intramuscularly or with extravasation.</w:t>
            </w:r>
          </w:p>
        </w:tc>
      </w:tr>
      <w:tr w:rsidRPr="00BF112A" w:rsidR="00BF112A" w:rsidTr="00BF112A" w14:paraId="116D586C" w14:textId="77777777">
        <w:trPr>
          <w:trHeight w:val="180"/>
        </w:trPr>
        <w:tc>
          <w:tcPr>
            <w:tcW w:w="1730" w:type="dxa"/>
          </w:tcPr>
          <w:p w:rsidRPr="00BF112A" w:rsidR="00BF112A" w:rsidP="00BF112A" w:rsidRDefault="00BF112A" w14:paraId="0CCCB1DB" w14:textId="77777777">
            <w:pPr>
              <w:rPr>
                <w:b/>
                <w:bCs/>
                <w:lang w:val="en-AU"/>
              </w:rPr>
            </w:pPr>
            <w:r w:rsidRPr="00BF112A">
              <w:rPr>
                <w:b/>
                <w:bCs/>
                <w:lang w:val="en-AU"/>
              </w:rPr>
              <w:t>Compatibility</w:t>
            </w:r>
          </w:p>
        </w:tc>
        <w:tc>
          <w:tcPr>
            <w:tcW w:w="7513" w:type="dxa"/>
          </w:tcPr>
          <w:p w:rsidRPr="00BF112A" w:rsidR="00BF112A" w:rsidP="00BF112A" w:rsidRDefault="00BF112A" w14:paraId="23CFD2DC" w14:textId="77777777">
            <w:pPr>
              <w:rPr>
                <w:b/>
                <w:lang w:val="en-AU"/>
              </w:rPr>
            </w:pPr>
            <w:r w:rsidRPr="00BF112A">
              <w:rPr>
                <w:b/>
                <w:lang w:val="en-AU"/>
              </w:rPr>
              <w:t xml:space="preserve">Adrenaline acid tartrate (2,3) </w:t>
            </w:r>
          </w:p>
          <w:p w:rsidRPr="00BF112A" w:rsidR="00BF112A" w:rsidP="00BF112A" w:rsidRDefault="00BF112A" w14:paraId="76D91384" w14:textId="77777777">
            <w:pPr>
              <w:rPr>
                <w:lang w:val="en-AU"/>
              </w:rPr>
            </w:pPr>
            <w:r w:rsidRPr="00BF112A">
              <w:rPr>
                <w:lang w:val="en-AU"/>
              </w:rPr>
              <w:t>Fluids: Solutions of adrenaline (epinephrine) acid tartrate in sodium chloride 0.9% or glucose 5% are commonly used in practice despite the lack of compatibility and stability information. Always inspect solutions closely for signs of incompatibility.</w:t>
            </w:r>
          </w:p>
          <w:p w:rsidRPr="00BF112A" w:rsidR="00BF112A" w:rsidP="00BF112A" w:rsidRDefault="00BF112A" w14:paraId="00CEA7BE" w14:textId="77777777">
            <w:pPr>
              <w:rPr>
                <w:lang w:val="en-AU"/>
              </w:rPr>
            </w:pPr>
            <w:r w:rsidRPr="00BF112A">
              <w:rPr>
                <w:lang w:val="en-AU"/>
              </w:rPr>
              <w:t>Glucose 5% is the preferred fluid in critical care settings.</w:t>
            </w:r>
          </w:p>
          <w:p w:rsidRPr="00BF112A" w:rsidR="00BF112A" w:rsidP="00BF112A" w:rsidRDefault="00BF112A" w14:paraId="1305D002" w14:textId="77777777">
            <w:pPr>
              <w:rPr>
                <w:lang w:val="en-AU"/>
              </w:rPr>
            </w:pPr>
            <w:r w:rsidRPr="00BF112A">
              <w:rPr>
                <w:lang w:val="en-AU"/>
              </w:rPr>
              <w:t>Y-site: Giving other drugs via Y-site may change the infusion rate of adrenaline (epinephrine). A dedicated line is preferred.</w:t>
            </w:r>
          </w:p>
          <w:p w:rsidRPr="00BF112A" w:rsidR="00BF112A" w:rsidP="00BF112A" w:rsidRDefault="00BF112A" w14:paraId="6109A81B" w14:textId="77777777">
            <w:pPr>
              <w:rPr>
                <w:b/>
                <w:lang w:val="en-AU"/>
              </w:rPr>
            </w:pPr>
            <w:r w:rsidRPr="00BF112A">
              <w:rPr>
                <w:b/>
                <w:lang w:val="en-AU"/>
              </w:rPr>
              <w:t>Adrenaline hydrochloride (2,3)</w:t>
            </w:r>
          </w:p>
          <w:p w:rsidRPr="00BF112A" w:rsidR="00BF112A" w:rsidP="00BF112A" w:rsidRDefault="00BF112A" w14:paraId="4A82EECF" w14:textId="77777777">
            <w:pPr>
              <w:rPr>
                <w:lang w:val="en-AU"/>
              </w:rPr>
            </w:pPr>
            <w:r w:rsidRPr="00BF112A">
              <w:rPr>
                <w:lang w:val="en-AU"/>
              </w:rPr>
              <w:t>Fluids: Glucose 5%, glucose 10%, sodium chloride 0.9%.</w:t>
            </w:r>
          </w:p>
          <w:p w:rsidRPr="00BF112A" w:rsidR="00BF112A" w:rsidP="00BF112A" w:rsidRDefault="00BF112A" w14:paraId="1C105903" w14:textId="77777777">
            <w:pPr>
              <w:rPr>
                <w:lang w:val="en-AU"/>
              </w:rPr>
            </w:pPr>
            <w:r w:rsidRPr="00BF112A">
              <w:rPr>
                <w:lang w:val="en-AU"/>
              </w:rPr>
              <w:t>Y-site: Giving other drugs via Y-site may change the infusion rate of adrenaline (epinephrine). A dedicated line is preferred.</w:t>
            </w:r>
          </w:p>
          <w:p w:rsidRPr="00BF112A" w:rsidR="00BF112A" w:rsidP="00BF112A" w:rsidRDefault="00BF112A" w14:paraId="3A338B73" w14:textId="77777777">
            <w:pPr>
              <w:rPr>
                <w:lang w:val="en-AU"/>
              </w:rPr>
            </w:pPr>
            <w:r w:rsidRPr="00BF112A">
              <w:rPr>
                <w:u w:val="single"/>
                <w:lang w:val="en-AU"/>
              </w:rPr>
              <w:t>Adrenaline (epinephrine) at 60 microgram/mL:</w:t>
            </w:r>
            <w:r w:rsidRPr="00BF112A">
              <w:rPr>
                <w:lang w:val="en-AU"/>
              </w:rPr>
              <w:t xml:space="preserve"> insulin (Novorapid).</w:t>
            </w:r>
          </w:p>
          <w:p w:rsidRPr="00BF112A" w:rsidR="00BF112A" w:rsidP="00BF112A" w:rsidRDefault="00BF112A" w14:paraId="66799FEE" w14:textId="77777777">
            <w:pPr>
              <w:rPr>
                <w:lang w:val="en-AU"/>
              </w:rPr>
            </w:pPr>
          </w:p>
          <w:p w:rsidRPr="00BF112A" w:rsidR="00BF112A" w:rsidP="00BF112A" w:rsidRDefault="00BF112A" w14:paraId="62F94F8A" w14:textId="77777777">
            <w:pPr>
              <w:rPr>
                <w:lang w:val="en-AU"/>
              </w:rPr>
            </w:pPr>
            <w:r w:rsidRPr="00BF112A">
              <w:rPr>
                <w:u w:val="single"/>
                <w:lang w:val="en-AU"/>
              </w:rPr>
              <w:t>Adrenaline (epinephrine) hydrochloride at 60 microgram/mL (or higher):</w:t>
            </w:r>
            <w:r w:rsidRPr="00BF112A">
              <w:rPr>
                <w:lang w:val="en-AU"/>
              </w:rPr>
              <w:t xml:space="preserve"> amikacin, amiodarone, atracurium, cefazolin, cefotaxime, ceftazidime, ceftriaxone, clindamycin, dexamethasone , dobutamine, dopamine, ephedrine sulfate, esmolol, fentanyl, fluconazole, gentamicin, glyceryl trinitrate, heparin sodium, labetalol, lidocaine, magnesium sulfate, methylprednisolone sodium succinate, metoclopramide, midazolam, milrinone, morphine sulfate, phenylephrine, potassium chloride, ranitidine, sodium nitroprusside, tobramycin, verapamil.</w:t>
            </w:r>
          </w:p>
        </w:tc>
      </w:tr>
      <w:tr w:rsidRPr="00BF112A" w:rsidR="00BF112A" w:rsidTr="00BF112A" w14:paraId="21A01744" w14:textId="77777777">
        <w:trPr>
          <w:trHeight w:val="230"/>
        </w:trPr>
        <w:tc>
          <w:tcPr>
            <w:tcW w:w="1730" w:type="dxa"/>
          </w:tcPr>
          <w:p w:rsidRPr="00BF112A" w:rsidR="00BF112A" w:rsidP="00BF112A" w:rsidRDefault="00BF112A" w14:paraId="2AE5E14E" w14:textId="77777777">
            <w:pPr>
              <w:rPr>
                <w:b/>
                <w:bCs/>
                <w:lang w:val="en-AU"/>
              </w:rPr>
            </w:pPr>
            <w:r w:rsidRPr="00BF112A">
              <w:rPr>
                <w:b/>
                <w:bCs/>
                <w:lang w:val="en-AU"/>
              </w:rPr>
              <w:t>Incompatibility</w:t>
            </w:r>
          </w:p>
        </w:tc>
        <w:tc>
          <w:tcPr>
            <w:tcW w:w="7513" w:type="dxa"/>
          </w:tcPr>
          <w:p w:rsidRPr="00BF112A" w:rsidR="00BF112A" w:rsidP="00BF112A" w:rsidRDefault="00BF112A" w14:paraId="50013E68" w14:textId="77777777">
            <w:pPr>
              <w:rPr>
                <w:lang w:val="en-AU"/>
              </w:rPr>
            </w:pPr>
            <w:r w:rsidRPr="00BF112A">
              <w:rPr>
                <w:lang w:val="en-AU"/>
              </w:rPr>
              <w:t xml:space="preserve">Fluids (2): No information. </w:t>
            </w:r>
          </w:p>
          <w:p w:rsidRPr="00BF112A" w:rsidR="00BF112A" w:rsidP="00BF112A" w:rsidRDefault="00BF112A" w14:paraId="5AC40A26" w14:textId="77777777">
            <w:pPr>
              <w:rPr>
                <w:lang w:val="en-AU"/>
              </w:rPr>
            </w:pPr>
            <w:r w:rsidRPr="00BF112A">
              <w:rPr>
                <w:lang w:val="en-AU"/>
              </w:rPr>
              <w:lastRenderedPageBreak/>
              <w:t>Y-site (2): Aciclovir, aminophylline, azathioprine, cefalotin, ganciclovir, hyaluronidase, indometacin, micafungin, phenobarbital, sodium bicarbonate, thiopental.</w:t>
            </w:r>
          </w:p>
          <w:p w:rsidRPr="00BF112A" w:rsidR="00BF112A" w:rsidP="00BF112A" w:rsidRDefault="00BF112A" w14:paraId="2DC64300" w14:textId="77777777">
            <w:pPr>
              <w:rPr>
                <w:lang w:val="en-AU"/>
              </w:rPr>
            </w:pPr>
          </w:p>
          <w:p w:rsidRPr="00BF112A" w:rsidR="00BF112A" w:rsidP="00BF112A" w:rsidRDefault="00BF112A" w14:paraId="2A051FC2" w14:textId="77777777">
            <w:pPr>
              <w:rPr>
                <w:lang w:val="en-AU"/>
              </w:rPr>
            </w:pPr>
            <w:r w:rsidRPr="00BF112A">
              <w:rPr>
                <w:lang w:val="en-AU"/>
              </w:rPr>
              <w:t xml:space="preserve">The product information for adrenaline (epinephrine) </w:t>
            </w:r>
            <w:r w:rsidRPr="00BF112A">
              <w:rPr>
                <w:b/>
                <w:lang w:val="en-AU"/>
              </w:rPr>
              <w:t>acid tartrate</w:t>
            </w:r>
            <w:r w:rsidRPr="00BF112A">
              <w:rPr>
                <w:lang w:val="en-AU"/>
              </w:rPr>
              <w:t xml:space="preserve"> injection states that it is incompatible with noradrenaline (norepinephrine), however several studies have demonstrated compatibility of adrenaline (epinephrine) </w:t>
            </w:r>
            <w:r w:rsidRPr="00BF112A">
              <w:rPr>
                <w:b/>
                <w:lang w:val="en-AU"/>
              </w:rPr>
              <w:t>hydrochloride</w:t>
            </w:r>
            <w:r w:rsidRPr="00BF112A">
              <w:rPr>
                <w:lang w:val="en-AU"/>
              </w:rPr>
              <w:t xml:space="preserve"> and noradrenaline (norepinephrine) at various concentrations.(2)</w:t>
            </w:r>
          </w:p>
        </w:tc>
      </w:tr>
      <w:tr w:rsidRPr="00BF112A" w:rsidR="00BF112A" w:rsidTr="00BF112A" w14:paraId="4C57DF18" w14:textId="77777777">
        <w:trPr>
          <w:trHeight w:val="79"/>
        </w:trPr>
        <w:tc>
          <w:tcPr>
            <w:tcW w:w="1730" w:type="dxa"/>
          </w:tcPr>
          <w:p w:rsidRPr="00BF112A" w:rsidR="00BF112A" w:rsidP="00BF112A" w:rsidRDefault="00BF112A" w14:paraId="15A9519D" w14:textId="77777777">
            <w:pPr>
              <w:rPr>
                <w:b/>
                <w:bCs/>
                <w:lang w:val="en-AU"/>
              </w:rPr>
            </w:pPr>
            <w:r w:rsidRPr="00BF112A">
              <w:rPr>
                <w:b/>
                <w:bCs/>
                <w:lang w:val="en-AU"/>
              </w:rPr>
              <w:lastRenderedPageBreak/>
              <w:t>Stability</w:t>
            </w:r>
          </w:p>
        </w:tc>
        <w:tc>
          <w:tcPr>
            <w:tcW w:w="7513" w:type="dxa"/>
          </w:tcPr>
          <w:p w:rsidRPr="00BF112A" w:rsidR="00BF112A" w:rsidP="00BF112A" w:rsidRDefault="00BF112A" w14:paraId="1BACB992" w14:textId="77777777">
            <w:pPr>
              <w:rPr>
                <w:lang w:val="en-AU"/>
              </w:rPr>
            </w:pPr>
            <w:r w:rsidRPr="00BF112A">
              <w:rPr>
                <w:lang w:val="en-AU"/>
              </w:rPr>
              <w:t xml:space="preserve">Not for dilution. </w:t>
            </w:r>
          </w:p>
        </w:tc>
      </w:tr>
      <w:tr w:rsidRPr="00BF112A" w:rsidR="00BF112A" w:rsidTr="00BF112A" w14:paraId="66F98593" w14:textId="77777777">
        <w:trPr>
          <w:trHeight w:val="70"/>
        </w:trPr>
        <w:tc>
          <w:tcPr>
            <w:tcW w:w="1730" w:type="dxa"/>
          </w:tcPr>
          <w:p w:rsidRPr="00BF112A" w:rsidR="00BF112A" w:rsidP="00BF112A" w:rsidRDefault="00BF112A" w14:paraId="62167961" w14:textId="77777777">
            <w:pPr>
              <w:rPr>
                <w:b/>
                <w:bCs/>
                <w:lang w:val="en-AU"/>
              </w:rPr>
            </w:pPr>
            <w:r w:rsidRPr="00BF112A">
              <w:rPr>
                <w:b/>
                <w:bCs/>
                <w:lang w:val="en-AU"/>
              </w:rPr>
              <w:t xml:space="preserve">Storage </w:t>
            </w:r>
          </w:p>
        </w:tc>
        <w:tc>
          <w:tcPr>
            <w:tcW w:w="7513" w:type="dxa"/>
          </w:tcPr>
          <w:p w:rsidRPr="00BF112A" w:rsidR="00BF112A" w:rsidP="00BF112A" w:rsidRDefault="00BF112A" w14:paraId="133B5A07" w14:textId="77777777">
            <w:pPr>
              <w:rPr>
                <w:lang w:val="en-AU"/>
              </w:rPr>
            </w:pPr>
            <w:r w:rsidRPr="00BF112A">
              <w:rPr>
                <w:lang w:val="en-AU"/>
              </w:rPr>
              <w:t>Store below 25°C. Protect from light.</w:t>
            </w:r>
          </w:p>
        </w:tc>
      </w:tr>
      <w:tr w:rsidRPr="00BF112A" w:rsidR="00BF112A" w:rsidTr="00BF112A" w14:paraId="76B14615" w14:textId="77777777">
        <w:trPr>
          <w:trHeight w:val="70"/>
        </w:trPr>
        <w:tc>
          <w:tcPr>
            <w:tcW w:w="1730" w:type="dxa"/>
          </w:tcPr>
          <w:p w:rsidRPr="00BF112A" w:rsidR="00BF112A" w:rsidP="00BF112A" w:rsidRDefault="00BF112A" w14:paraId="0D8639BD" w14:textId="77777777">
            <w:pPr>
              <w:rPr>
                <w:b/>
                <w:bCs/>
                <w:lang w:val="en-AU"/>
              </w:rPr>
            </w:pPr>
            <w:r w:rsidRPr="00BF112A">
              <w:rPr>
                <w:b/>
                <w:bCs/>
                <w:lang w:val="en-AU"/>
              </w:rPr>
              <w:t>Excipients</w:t>
            </w:r>
          </w:p>
        </w:tc>
        <w:tc>
          <w:tcPr>
            <w:tcW w:w="7513" w:type="dxa"/>
          </w:tcPr>
          <w:p w:rsidRPr="00BF112A" w:rsidR="00BF112A" w:rsidP="00BF112A" w:rsidRDefault="00BF112A" w14:paraId="7161B943" w14:textId="77777777">
            <w:pPr>
              <w:rPr>
                <w:lang w:val="en-AU"/>
              </w:rPr>
            </w:pPr>
            <w:r w:rsidRPr="00BF112A">
              <w:rPr>
                <w:lang w:val="en-AU"/>
              </w:rPr>
              <w:t>Aspen Adrenaline: Tartaric acid, sodium metabisulfite, sodium chloride, water for injections.</w:t>
            </w:r>
          </w:p>
          <w:p w:rsidRPr="00BF112A" w:rsidR="00BF112A" w:rsidP="00BF112A" w:rsidRDefault="00BF112A" w14:paraId="4D0D229F" w14:textId="77777777">
            <w:pPr>
              <w:rPr>
                <w:lang w:val="en-AU"/>
              </w:rPr>
            </w:pPr>
            <w:r w:rsidRPr="00BF112A">
              <w:rPr>
                <w:lang w:val="en-AU"/>
              </w:rPr>
              <w:t>Adrenaline-Link: Sodium metabisulfite, sodium chloride, sodium citrate dihydrate and citric acid monohydrate, water for injections and dilute hydrochloric acid.</w:t>
            </w:r>
          </w:p>
          <w:p w:rsidRPr="00BF112A" w:rsidR="00BF112A" w:rsidP="00BF112A" w:rsidRDefault="00BF112A" w14:paraId="0BF5FB2B" w14:textId="77777777">
            <w:pPr>
              <w:rPr>
                <w:lang w:val="en-AU"/>
              </w:rPr>
            </w:pPr>
            <w:r w:rsidRPr="00BF112A">
              <w:rPr>
                <w:lang w:val="en-AU"/>
              </w:rPr>
              <w:t>Min-I-Jet Adrenaline: Water, sulfur dioxide (not more than 0.2% from an equivalent amount of sodium metabisulfite as an antioxidant), sodium chloride, sodium citrate, citric acid monohydrate and hydrochloric acid.</w:t>
            </w:r>
          </w:p>
        </w:tc>
      </w:tr>
      <w:tr w:rsidRPr="00BF112A" w:rsidR="00BF112A" w:rsidTr="00BF112A" w14:paraId="4536B20B" w14:textId="77777777">
        <w:trPr>
          <w:trHeight w:val="270"/>
        </w:trPr>
        <w:tc>
          <w:tcPr>
            <w:tcW w:w="1730" w:type="dxa"/>
          </w:tcPr>
          <w:p w:rsidRPr="00BF112A" w:rsidR="00BF112A" w:rsidP="00BF112A" w:rsidRDefault="00BF112A" w14:paraId="09DA8CF1" w14:textId="77777777">
            <w:pPr>
              <w:rPr>
                <w:b/>
                <w:bCs/>
                <w:lang w:val="en-AU"/>
              </w:rPr>
            </w:pPr>
            <w:r w:rsidRPr="00BF112A">
              <w:rPr>
                <w:b/>
                <w:bCs/>
                <w:lang w:val="en-AU"/>
              </w:rPr>
              <w:t xml:space="preserve">Special comments </w:t>
            </w:r>
          </w:p>
        </w:tc>
        <w:tc>
          <w:tcPr>
            <w:tcW w:w="7513" w:type="dxa"/>
          </w:tcPr>
          <w:p w:rsidRPr="00BF112A" w:rsidR="00BF112A" w:rsidP="00BF112A" w:rsidRDefault="00BF112A" w14:paraId="205DB007" w14:textId="77777777">
            <w:pPr>
              <w:rPr>
                <w:lang w:val="en-AU"/>
              </w:rPr>
            </w:pPr>
            <w:r w:rsidRPr="00BF112A">
              <w:rPr>
                <w:lang w:val="en-AU"/>
              </w:rPr>
              <w:t>Onset of action is 1 to 2 minutes, duration of effect is short and half-life is 5 minutes.</w:t>
            </w:r>
          </w:p>
        </w:tc>
      </w:tr>
      <w:tr w:rsidRPr="00BF112A" w:rsidR="00BF112A" w:rsidTr="00BF112A" w14:paraId="12EE092D" w14:textId="77777777">
        <w:trPr>
          <w:trHeight w:val="280"/>
        </w:trPr>
        <w:tc>
          <w:tcPr>
            <w:tcW w:w="1730" w:type="dxa"/>
          </w:tcPr>
          <w:p w:rsidRPr="00BF112A" w:rsidR="00BF112A" w:rsidP="00BF112A" w:rsidRDefault="00BF112A" w14:paraId="5E591DFF" w14:textId="77777777">
            <w:pPr>
              <w:rPr>
                <w:b/>
                <w:bCs/>
                <w:lang w:val="en-AU"/>
              </w:rPr>
            </w:pPr>
            <w:r w:rsidRPr="00BF112A">
              <w:rPr>
                <w:b/>
                <w:bCs/>
                <w:lang w:val="en-AU"/>
              </w:rPr>
              <w:t>Evidence</w:t>
            </w:r>
          </w:p>
        </w:tc>
        <w:tc>
          <w:tcPr>
            <w:tcW w:w="7513" w:type="dxa"/>
          </w:tcPr>
          <w:p w:rsidRPr="00BF112A" w:rsidR="00BF112A" w:rsidP="00BF112A" w:rsidRDefault="00BF112A" w14:paraId="1BE09CDA" w14:textId="77777777">
            <w:pPr>
              <w:rPr>
                <w:sz w:val="16"/>
                <w:szCs w:val="16"/>
                <w:lang w:val="en-AU"/>
              </w:rPr>
            </w:pPr>
            <w:r w:rsidRPr="00BF112A">
              <w:rPr>
                <w:sz w:val="16"/>
                <w:szCs w:val="16"/>
                <w:lang w:val="en-AU"/>
              </w:rPr>
              <w:t>ILCOR 2020 recommendations: (1) Establishing ventilation is the most important step to correct low heart rate. However, if heart rate remains less than 60 beats/min after optimal ventilation with 100% oxygen (preferably through an endotracheal tube) and chest compressions, it may be reasonable to administer intravascular epinephrine (0.01 to 0.03 mg/kg); (2) While vascular access is being obtained, it may be reasonable to administer endotracheal epinephrine at a larger dose (0.05 to 0.1 mg/kg); (3) If endotracheal epinephrine is given before vascular access is available and response is inadequate, it may be reasonable to give an intravascular (intravenous or intraosseous) dose as soon as access is obtained, regardless of the interval; (4) It may be reasonable to administer further doses of epinephrine every 3 to 5 min, preferably intravascularly, if the heart rate remains less than 60 beats/min.</w:t>
            </w:r>
          </w:p>
        </w:tc>
      </w:tr>
      <w:tr w:rsidRPr="00BF112A" w:rsidR="00BF112A" w:rsidTr="00BF112A" w14:paraId="46F78CE7" w14:textId="77777777">
        <w:trPr>
          <w:trHeight w:val="108"/>
        </w:trPr>
        <w:tc>
          <w:tcPr>
            <w:tcW w:w="1730" w:type="dxa"/>
          </w:tcPr>
          <w:p w:rsidRPr="00BF112A" w:rsidR="00BF112A" w:rsidP="00BF112A" w:rsidRDefault="00BF112A" w14:paraId="50E2BCBE" w14:textId="77777777">
            <w:pPr>
              <w:rPr>
                <w:b/>
                <w:bCs/>
                <w:lang w:val="en-AU"/>
              </w:rPr>
            </w:pPr>
            <w:r w:rsidRPr="00BF112A">
              <w:rPr>
                <w:b/>
                <w:bCs/>
                <w:lang w:val="en-AU"/>
              </w:rPr>
              <w:t>Practice points</w:t>
            </w:r>
          </w:p>
        </w:tc>
        <w:tc>
          <w:tcPr>
            <w:tcW w:w="7513" w:type="dxa"/>
          </w:tcPr>
          <w:p w:rsidRPr="00BF112A" w:rsidR="00BF112A" w:rsidP="00BF112A" w:rsidRDefault="00BF112A" w14:paraId="256FA41C" w14:textId="77777777">
            <w:pPr>
              <w:rPr>
                <w:sz w:val="16"/>
                <w:szCs w:val="16"/>
                <w:lang w:val="en-AU"/>
              </w:rPr>
            </w:pPr>
          </w:p>
        </w:tc>
      </w:tr>
      <w:tr w:rsidRPr="00BF112A" w:rsidR="00BF112A" w:rsidTr="00BF112A" w14:paraId="514D8696" w14:textId="77777777">
        <w:trPr>
          <w:trHeight w:val="70"/>
        </w:trPr>
        <w:tc>
          <w:tcPr>
            <w:tcW w:w="1730" w:type="dxa"/>
          </w:tcPr>
          <w:p w:rsidRPr="00BF112A" w:rsidR="00BF112A" w:rsidP="00BF112A" w:rsidRDefault="00BF112A" w14:paraId="21E565BE" w14:textId="77777777">
            <w:pPr>
              <w:rPr>
                <w:b/>
                <w:bCs/>
                <w:lang w:val="en-AU"/>
              </w:rPr>
            </w:pPr>
            <w:r w:rsidRPr="00BF112A">
              <w:rPr>
                <w:b/>
                <w:lang w:val="en-AU"/>
              </w:rPr>
              <w:t>References</w:t>
            </w:r>
          </w:p>
        </w:tc>
        <w:tc>
          <w:tcPr>
            <w:tcW w:w="7513" w:type="dxa"/>
          </w:tcPr>
          <w:p w:rsidRPr="00BF112A" w:rsidR="00BF112A" w:rsidP="001B0E05" w:rsidRDefault="00BF112A" w14:paraId="787CEC1B" w14:textId="77777777">
            <w:pPr>
              <w:numPr>
                <w:ilvl w:val="0"/>
                <w:numId w:val="147"/>
              </w:numPr>
              <w:rPr>
                <w:sz w:val="16"/>
                <w:szCs w:val="16"/>
                <w:lang w:val="en-AU"/>
              </w:rPr>
            </w:pPr>
            <w:r w:rsidRPr="00BF112A">
              <w:rPr>
                <w:sz w:val="16"/>
                <w:szCs w:val="16"/>
                <w:lang w:val="en-AU"/>
              </w:rPr>
              <w:t>Aziz K, Lee HC, Escobedo MB, Hoover AV, Kamath-Rayne BD, Kapadia VS, Magid DJ, Niermeyer S, Schmölzer GM, Szyld E, Weiner GM. Part 5: neonatal resuscitation: 2020 American heart association guidelines for cardiopulmonary resuscitation and emergency cardiovascular care. Circulation. 2020 Oct 20;142(16_Suppl_2):S524-50.</w:t>
            </w:r>
          </w:p>
          <w:p w:rsidRPr="00BF112A" w:rsidR="00BF112A" w:rsidP="001B0E05" w:rsidRDefault="00BF112A" w14:paraId="6B7ACFF3" w14:textId="77777777">
            <w:pPr>
              <w:numPr>
                <w:ilvl w:val="0"/>
                <w:numId w:val="147"/>
              </w:numPr>
              <w:rPr>
                <w:sz w:val="16"/>
                <w:szCs w:val="16"/>
                <w:lang w:val="en-AU"/>
              </w:rPr>
            </w:pPr>
            <w:r w:rsidRPr="00BF112A">
              <w:rPr>
                <w:sz w:val="16"/>
                <w:szCs w:val="16"/>
                <w:lang w:val="en-AU"/>
              </w:rPr>
              <w:t>Australian injectable drugs handbook. Adrenaline (epinephrine). Accessed on 4 May 2021.</w:t>
            </w:r>
          </w:p>
          <w:p w:rsidRPr="00BF112A" w:rsidR="00BF112A" w:rsidP="001B0E05" w:rsidRDefault="00BF112A" w14:paraId="61889F20" w14:textId="77777777">
            <w:pPr>
              <w:numPr>
                <w:ilvl w:val="0"/>
                <w:numId w:val="147"/>
              </w:numPr>
              <w:rPr>
                <w:sz w:val="16"/>
                <w:szCs w:val="16"/>
                <w:lang w:val="en-AU"/>
              </w:rPr>
            </w:pPr>
            <w:r w:rsidRPr="00BF112A">
              <w:rPr>
                <w:sz w:val="16"/>
                <w:szCs w:val="16"/>
                <w:lang w:val="en-AU"/>
              </w:rPr>
              <w:t>Micromedex. Epinephrine. Accessed on 4 May 2021.</w:t>
            </w:r>
          </w:p>
        </w:tc>
      </w:tr>
    </w:tbl>
    <w:p w:rsidRPr="00E25790" w:rsidR="00BF112A" w:rsidP="006F0321" w:rsidRDefault="00BF112A" w14:paraId="27027BEE" w14:textId="77777777"/>
    <w:p w:rsidRPr="00E25790" w:rsidR="00A87894" w:rsidP="006F0321" w:rsidRDefault="00A87894" w14:paraId="6749785C" w14:textId="77777777"/>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6"/>
        <w:gridCol w:w="4536"/>
      </w:tblGrid>
      <w:tr w:rsidRPr="0053172C" w:rsidR="00E424B4" w:rsidTr="00AB1A55" w14:paraId="1081EED1" w14:textId="77777777">
        <w:tc>
          <w:tcPr>
            <w:tcW w:w="4536" w:type="dxa"/>
            <w:vAlign w:val="center"/>
          </w:tcPr>
          <w:p w:rsidRPr="00F83197" w:rsidR="002410B7" w:rsidP="009E664B" w:rsidRDefault="002410B7" w14:paraId="2138D3EB" w14:textId="2F7ED031">
            <w:r w:rsidRPr="00F83197">
              <w:t xml:space="preserve">Original version Date: </w:t>
            </w:r>
            <w:r w:rsidR="00CC6FD6">
              <w:t>9/1/2014</w:t>
            </w:r>
          </w:p>
        </w:tc>
        <w:tc>
          <w:tcPr>
            <w:tcW w:w="4536" w:type="dxa"/>
            <w:vAlign w:val="center"/>
          </w:tcPr>
          <w:p w:rsidRPr="00F83197" w:rsidR="002410B7" w:rsidP="009E664B" w:rsidRDefault="002410B7" w14:paraId="1C269DD6" w14:textId="4ED038D3">
            <w:r w:rsidRPr="00F83197">
              <w:t xml:space="preserve">Author: </w:t>
            </w:r>
            <w:r w:rsidR="00CC6FD6">
              <w:t>AK, JD</w:t>
            </w:r>
          </w:p>
        </w:tc>
      </w:tr>
      <w:tr w:rsidRPr="0053172C" w:rsidR="00E424B4" w:rsidTr="00AB1A55" w14:paraId="44A64AE6" w14:textId="77777777">
        <w:tc>
          <w:tcPr>
            <w:tcW w:w="4536" w:type="dxa"/>
            <w:vAlign w:val="center"/>
          </w:tcPr>
          <w:p w:rsidRPr="00F83197" w:rsidR="002410B7" w:rsidP="009E664B" w:rsidRDefault="002410B7" w14:paraId="63B373C2" w14:textId="267CE695">
            <w:pPr>
              <w:rPr>
                <w:bCs/>
              </w:rPr>
            </w:pPr>
            <w:r w:rsidRPr="00F83197">
              <w:t xml:space="preserve">Current Version number:  </w:t>
            </w:r>
            <w:r w:rsidR="00BF112A">
              <w:t>3</w:t>
            </w:r>
          </w:p>
        </w:tc>
        <w:tc>
          <w:tcPr>
            <w:tcW w:w="4536" w:type="dxa"/>
            <w:vAlign w:val="center"/>
          </w:tcPr>
          <w:p w:rsidRPr="00F83197" w:rsidR="002410B7" w:rsidP="009E664B" w:rsidRDefault="002410B7" w14:paraId="766CBD47" w14:textId="26C93D30">
            <w:r w:rsidRPr="00F83197">
              <w:t xml:space="preserve">Current Version Date:  </w:t>
            </w:r>
            <w:r w:rsidR="00BF112A">
              <w:t>9-6-2021</w:t>
            </w:r>
          </w:p>
        </w:tc>
      </w:tr>
      <w:tr w:rsidRPr="0053172C" w:rsidR="00E424B4" w:rsidTr="00AB1A55" w14:paraId="15AE98CC" w14:textId="77777777">
        <w:tc>
          <w:tcPr>
            <w:tcW w:w="4536" w:type="dxa"/>
            <w:vAlign w:val="center"/>
          </w:tcPr>
          <w:p w:rsidRPr="00F83197" w:rsidR="002410B7" w:rsidP="009E664B" w:rsidRDefault="002410B7" w14:paraId="3A942801" w14:textId="3A62A971">
            <w:r w:rsidRPr="00F83197">
              <w:t xml:space="preserve">Risk Rating: </w:t>
            </w:r>
            <w:r w:rsidR="00414653">
              <w:t>Low</w:t>
            </w:r>
          </w:p>
        </w:tc>
        <w:tc>
          <w:tcPr>
            <w:tcW w:w="4536" w:type="dxa"/>
            <w:vAlign w:val="center"/>
          </w:tcPr>
          <w:p w:rsidRPr="00F83197" w:rsidR="002410B7" w:rsidP="009E664B" w:rsidRDefault="002410B7" w14:paraId="60CF8F05" w14:textId="55D8190B">
            <w:r w:rsidRPr="00F83197">
              <w:t xml:space="preserve">Due for Review:  </w:t>
            </w:r>
            <w:r w:rsidR="00BF112A">
              <w:t>9-6-2026</w:t>
            </w:r>
          </w:p>
        </w:tc>
      </w:tr>
      <w:tr w:rsidRPr="0053172C" w:rsidR="00E424B4" w:rsidTr="00AB1A55" w14:paraId="053BFBBC" w14:textId="77777777">
        <w:trPr>
          <w:trHeight w:val="344"/>
        </w:trPr>
        <w:tc>
          <w:tcPr>
            <w:tcW w:w="4536" w:type="dxa"/>
            <w:tcBorders>
              <w:bottom w:val="single" w:color="auto" w:sz="4" w:space="0"/>
            </w:tcBorders>
            <w:vAlign w:val="center"/>
          </w:tcPr>
          <w:p w:rsidRPr="00F83197" w:rsidR="002410B7" w:rsidP="009E664B" w:rsidRDefault="002410B7" w14:paraId="662885C0" w14:textId="77777777">
            <w:r w:rsidRPr="00F83197">
              <w:t>Approval by: DTC</w:t>
            </w:r>
          </w:p>
        </w:tc>
        <w:tc>
          <w:tcPr>
            <w:tcW w:w="4536" w:type="dxa"/>
            <w:tcBorders>
              <w:bottom w:val="single" w:color="auto" w:sz="4" w:space="0"/>
            </w:tcBorders>
            <w:vAlign w:val="center"/>
          </w:tcPr>
          <w:p w:rsidRPr="00F83197" w:rsidR="002410B7" w:rsidP="009E664B" w:rsidRDefault="002410B7" w14:paraId="3BA00711" w14:textId="0DE90100">
            <w:r w:rsidRPr="00F83197">
              <w:t xml:space="preserve">Approval Date: </w:t>
            </w:r>
            <w:r w:rsidR="008315F0">
              <w:t>April</w:t>
            </w:r>
            <w:r w:rsidR="00260BC8">
              <w:t xml:space="preserve"> 2021</w:t>
            </w:r>
          </w:p>
        </w:tc>
      </w:tr>
    </w:tbl>
    <w:p w:rsidRPr="00E25790" w:rsidR="00800B76" w:rsidP="006F0321" w:rsidRDefault="00A87894" w14:paraId="089B4275" w14:textId="77777777">
      <w:r w:rsidRPr="00E25790">
        <w:br w:type="page"/>
      </w:r>
    </w:p>
    <w:p w:rsidRPr="00E25790" w:rsidR="00A87894" w:rsidP="006F0321" w:rsidRDefault="00A87894" w14:paraId="47513E99" w14:textId="77777777"/>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E25790" w:rsidR="00A87894" w:rsidTr="009469DB" w14:paraId="0058CF61" w14:textId="77777777">
        <w:trPr>
          <w:cantSplit/>
          <w:trHeight w:val="720"/>
        </w:trPr>
        <w:tc>
          <w:tcPr>
            <w:tcW w:w="9049" w:type="dxa"/>
            <w:gridSpan w:val="2"/>
            <w:shd w:val="clear" w:color="auto" w:fill="FFFF00"/>
          </w:tcPr>
          <w:p w:rsidRPr="00E25790" w:rsidR="00A87894" w:rsidP="009469DB" w:rsidRDefault="00890605" w14:paraId="12DB40FC" w14:textId="77777777">
            <w:pPr>
              <w:pStyle w:val="Heading1"/>
            </w:pPr>
            <w:bookmarkStart w:name="_Toc38106803" w:id="63"/>
            <w:bookmarkStart w:name="_Toc75339927" w:id="64"/>
            <w:r w:rsidRPr="00E25790">
              <w:t>Adrenaline (</w:t>
            </w:r>
            <w:r w:rsidRPr="00E25790" w:rsidR="00F83197">
              <w:t>Epinephrine</w:t>
            </w:r>
            <w:r w:rsidRPr="00E25790" w:rsidR="00A87894">
              <w:t>)</w:t>
            </w:r>
            <w:r w:rsidRPr="00E25790" w:rsidR="00F83197">
              <w:t xml:space="preserve"> IV infusion</w:t>
            </w:r>
            <w:bookmarkEnd w:id="63"/>
            <w:bookmarkEnd w:id="64"/>
            <w:r w:rsidRPr="00E25790" w:rsidR="00A87894">
              <w:fldChar w:fldCharType="begin"/>
            </w:r>
            <w:r w:rsidRPr="00E25790" w:rsidR="00A87894">
              <w:instrText>tc "Adrenaline" \l 0</w:instrText>
            </w:r>
            <w:r w:rsidRPr="00E25790" w:rsidR="00A87894">
              <w:fldChar w:fldCharType="end"/>
            </w:r>
          </w:p>
        </w:tc>
      </w:tr>
      <w:tr w:rsidRPr="00E25790" w:rsidR="00A87894" w:rsidTr="009469DB" w14:paraId="78B95F00" w14:textId="77777777">
        <w:trPr>
          <w:cantSplit/>
          <w:trHeight w:val="480"/>
        </w:trPr>
        <w:tc>
          <w:tcPr>
            <w:tcW w:w="4153" w:type="dxa"/>
            <w:shd w:val="clear" w:color="auto" w:fill="FFFF00"/>
          </w:tcPr>
          <w:p w:rsidRPr="00E25790" w:rsidR="00A87894" w:rsidP="006F0321" w:rsidRDefault="00A87894" w14:paraId="6A1868D2" w14:textId="5F5A4863">
            <w:r w:rsidRPr="00E25790">
              <w:t>Revision Date</w:t>
            </w:r>
            <w:r w:rsidRPr="00E25790">
              <w:rPr>
                <w:b/>
              </w:rPr>
              <w:t xml:space="preserve"> : </w:t>
            </w:r>
            <w:r w:rsidR="00F520AA">
              <w:rPr>
                <w:b/>
              </w:rPr>
              <w:t>15/12/2020</w:t>
            </w:r>
          </w:p>
        </w:tc>
        <w:tc>
          <w:tcPr>
            <w:tcW w:w="4896" w:type="dxa"/>
            <w:shd w:val="clear" w:color="auto" w:fill="FFFF00"/>
          </w:tcPr>
          <w:p w:rsidRPr="00E25790" w:rsidR="00A87894" w:rsidP="006F0321" w:rsidRDefault="00A87894" w14:paraId="457A1D0D" w14:textId="77777777">
            <w:r w:rsidRPr="00E25790">
              <w:t xml:space="preserve">Approved : </w:t>
            </w:r>
            <w:r w:rsidRPr="00E25790" w:rsidR="008C6702">
              <w:t>TC, KOH</w:t>
            </w:r>
          </w:p>
        </w:tc>
      </w:tr>
    </w:tbl>
    <w:p w:rsidRPr="00E25790" w:rsidR="00A87894" w:rsidP="006F0321" w:rsidRDefault="00A87894" w14:paraId="7A7E76B0" w14:textId="77777777"/>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263"/>
        <w:gridCol w:w="6804"/>
      </w:tblGrid>
      <w:tr w:rsidRPr="00E25790" w:rsidR="00F83197" w:rsidTr="77BEE3D0" w14:paraId="7E3CF99F" w14:textId="77777777">
        <w:trPr>
          <w:trHeight w:val="363"/>
        </w:trPr>
        <w:tc>
          <w:tcPr>
            <w:tcW w:w="2263" w:type="dxa"/>
          </w:tcPr>
          <w:p w:rsidRPr="00E25790" w:rsidR="00F83197" w:rsidP="00AA0623" w:rsidRDefault="00F83197" w14:paraId="609C2929" w14:textId="77777777">
            <w:pPr>
              <w:rPr>
                <w:lang w:val="en-AU"/>
              </w:rPr>
            </w:pPr>
            <w:r w:rsidRPr="00E25790">
              <w:rPr>
                <w:lang w:val="en-AU"/>
              </w:rPr>
              <w:t>Alert</w:t>
            </w:r>
          </w:p>
        </w:tc>
        <w:tc>
          <w:tcPr>
            <w:tcW w:w="6804" w:type="dxa"/>
          </w:tcPr>
          <w:p w:rsidRPr="00E25790" w:rsidR="00F83197" w:rsidP="00AA0623" w:rsidRDefault="00F83197" w14:paraId="61E3E109" w14:textId="77777777">
            <w:pPr>
              <w:rPr>
                <w:lang w:val="en-AU"/>
              </w:rPr>
            </w:pPr>
            <w:r w:rsidRPr="00E25790">
              <w:rPr>
                <w:lang w:val="en-AU"/>
              </w:rPr>
              <w:t>1:10,000 (1 mg/10 mL) ampoule is the preferred preparation for adrenaline infusion.</w:t>
            </w:r>
          </w:p>
        </w:tc>
      </w:tr>
      <w:tr w:rsidRPr="00E25790" w:rsidR="00F83197" w:rsidTr="77BEE3D0" w14:paraId="42E675C5" w14:textId="77777777">
        <w:trPr>
          <w:trHeight w:val="438"/>
        </w:trPr>
        <w:tc>
          <w:tcPr>
            <w:tcW w:w="2263" w:type="dxa"/>
          </w:tcPr>
          <w:p w:rsidRPr="00E25790" w:rsidR="00F83197" w:rsidP="00AA0623" w:rsidRDefault="00F83197" w14:paraId="0441436C" w14:textId="77777777">
            <w:pPr>
              <w:rPr>
                <w:lang w:val="en-AU"/>
              </w:rPr>
            </w:pPr>
            <w:r w:rsidRPr="00E25790">
              <w:rPr>
                <w:lang w:val="en-AU"/>
              </w:rPr>
              <w:t xml:space="preserve">Indication            </w:t>
            </w:r>
          </w:p>
        </w:tc>
        <w:tc>
          <w:tcPr>
            <w:tcW w:w="6804" w:type="dxa"/>
          </w:tcPr>
          <w:p w:rsidRPr="00E25790" w:rsidR="00F83197" w:rsidP="00AA0623" w:rsidRDefault="00F83197" w14:paraId="56C4470C" w14:textId="77777777">
            <w:pPr>
              <w:rPr>
                <w:lang w:val="en-AU"/>
              </w:rPr>
            </w:pPr>
            <w:r w:rsidRPr="00E25790">
              <w:rPr>
                <w:lang w:val="en-AU"/>
              </w:rPr>
              <w:t xml:space="preserve">Treatment of hypotensive shock with or without myocardial dysfunction. </w:t>
            </w:r>
          </w:p>
        </w:tc>
      </w:tr>
      <w:tr w:rsidRPr="00E25790" w:rsidR="00F83197" w:rsidTr="77BEE3D0" w14:paraId="2BDC2684" w14:textId="77777777">
        <w:trPr>
          <w:trHeight w:val="472"/>
        </w:trPr>
        <w:tc>
          <w:tcPr>
            <w:tcW w:w="2263" w:type="dxa"/>
          </w:tcPr>
          <w:p w:rsidRPr="00E25790" w:rsidR="00F83197" w:rsidP="00AA0623" w:rsidRDefault="00F83197" w14:paraId="1E40DB50" w14:textId="77777777">
            <w:pPr>
              <w:rPr>
                <w:lang w:val="en-AU"/>
              </w:rPr>
            </w:pPr>
            <w:r w:rsidRPr="00E25790">
              <w:rPr>
                <w:lang w:val="en-AU"/>
              </w:rPr>
              <w:t>Action</w:t>
            </w:r>
          </w:p>
        </w:tc>
        <w:tc>
          <w:tcPr>
            <w:tcW w:w="6804" w:type="dxa"/>
          </w:tcPr>
          <w:p w:rsidRPr="00E25790" w:rsidR="00F83197" w:rsidP="00AA0623" w:rsidRDefault="00F83197" w14:paraId="392A503F" w14:textId="77777777">
            <w:pPr>
              <w:rPr>
                <w:lang w:val="en-AU"/>
              </w:rPr>
            </w:pPr>
            <w:r w:rsidRPr="00E25790">
              <w:rPr>
                <w:lang w:val="en-AU"/>
              </w:rPr>
              <w:t>Catecholamine with alpha and beta adrenergic actions.</w:t>
            </w:r>
            <w:r w:rsidRPr="00E25790">
              <w:rPr>
                <w:lang w:val="en-AU"/>
              </w:rPr>
              <w:br/>
            </w:r>
            <w:r w:rsidRPr="00E25790">
              <w:rPr>
                <w:lang w:val="en-AU"/>
              </w:rPr>
              <w:t>Haemodynamic effects are dose dependent:</w:t>
            </w:r>
          </w:p>
          <w:p w:rsidRPr="00AA0623" w:rsidR="00F83197" w:rsidP="001B0E05" w:rsidRDefault="00F83197" w14:paraId="275565F8" w14:textId="77777777">
            <w:pPr>
              <w:pStyle w:val="ListParagraph"/>
              <w:numPr>
                <w:ilvl w:val="0"/>
                <w:numId w:val="47"/>
              </w:numPr>
              <w:rPr>
                <w:lang w:val="en-AU"/>
              </w:rPr>
            </w:pPr>
            <w:r w:rsidRPr="00AA0623">
              <w:rPr>
                <w:lang w:val="en-AU"/>
              </w:rPr>
              <w:t xml:space="preserve">At low doses of 0.01–0.1 microgram/kg/minute primarily stimulates cardiac and vascular beta 1- and beta 2-adrenoreceptors leading to increased inotropy, chronotropy, conduction velocity and peripheral vasodilation. </w:t>
            </w:r>
          </w:p>
          <w:p w:rsidRPr="00AA0623" w:rsidR="00F83197" w:rsidP="001B0E05" w:rsidRDefault="00F83197" w14:paraId="12358FD9" w14:textId="77777777">
            <w:pPr>
              <w:pStyle w:val="ListParagraph"/>
              <w:numPr>
                <w:ilvl w:val="0"/>
                <w:numId w:val="47"/>
              </w:numPr>
              <w:rPr>
                <w:rFonts w:cs="Arial"/>
                <w:vertAlign w:val="superscript"/>
                <w:lang w:val="en-AU"/>
              </w:rPr>
            </w:pPr>
            <w:r w:rsidRPr="00AA0623">
              <w:rPr>
                <w:lang w:val="en-AU"/>
              </w:rPr>
              <w:t>At doses greater than 0.1 microgram/kg/minute adrenaline also stimulates vascular and cardiac alpha 1-receptors causing vasoconstriction and increased inotropy. The net effects are increases in blood pressure and systemic blood flow caused by the drug-induced increases in systemic vascular resistance (SVR) and cardiac output.</w:t>
            </w:r>
            <w:r w:rsidRPr="00AA0623">
              <w:rPr>
                <w:vertAlign w:val="superscript"/>
                <w:lang w:val="en-AU"/>
              </w:rPr>
              <w:t>1</w:t>
            </w:r>
          </w:p>
        </w:tc>
      </w:tr>
      <w:tr w:rsidRPr="00E25790" w:rsidR="00F83197" w:rsidTr="77BEE3D0" w14:paraId="4658BF2A" w14:textId="77777777">
        <w:trPr>
          <w:trHeight w:val="266"/>
        </w:trPr>
        <w:tc>
          <w:tcPr>
            <w:tcW w:w="2263" w:type="dxa"/>
          </w:tcPr>
          <w:p w:rsidRPr="00E25790" w:rsidR="00F83197" w:rsidP="00AA0623" w:rsidRDefault="00F83197" w14:paraId="37BE4FA6" w14:textId="77777777">
            <w:pPr>
              <w:rPr>
                <w:lang w:val="en-AU"/>
              </w:rPr>
            </w:pPr>
            <w:r w:rsidRPr="00E25790">
              <w:rPr>
                <w:lang w:val="en-AU"/>
              </w:rPr>
              <w:t xml:space="preserve">Drug Type                                   </w:t>
            </w:r>
          </w:p>
        </w:tc>
        <w:tc>
          <w:tcPr>
            <w:tcW w:w="6804" w:type="dxa"/>
          </w:tcPr>
          <w:p w:rsidRPr="00E25790" w:rsidR="00F83197" w:rsidP="00AA0623" w:rsidRDefault="00F83197" w14:paraId="1B0267E7" w14:textId="77777777">
            <w:pPr>
              <w:rPr>
                <w:rFonts w:cs="Arial"/>
                <w:lang w:val="en-AU"/>
              </w:rPr>
            </w:pPr>
            <w:r w:rsidRPr="00E25790">
              <w:rPr>
                <w:lang w:val="en-AU"/>
              </w:rPr>
              <w:t>Inotropic vasopressor.</w:t>
            </w:r>
          </w:p>
        </w:tc>
      </w:tr>
      <w:tr w:rsidRPr="00E25790" w:rsidR="00F83197" w:rsidTr="77BEE3D0" w14:paraId="065E6914" w14:textId="77777777">
        <w:trPr>
          <w:trHeight w:val="384"/>
        </w:trPr>
        <w:tc>
          <w:tcPr>
            <w:tcW w:w="2263" w:type="dxa"/>
          </w:tcPr>
          <w:p w:rsidRPr="00E25790" w:rsidR="00F83197" w:rsidP="00AA0623" w:rsidRDefault="00F83197" w14:paraId="55AA9B94" w14:textId="77777777">
            <w:pPr>
              <w:rPr>
                <w:lang w:val="en-AU"/>
              </w:rPr>
            </w:pPr>
            <w:r w:rsidRPr="00E25790">
              <w:rPr>
                <w:lang w:val="en-AU"/>
              </w:rPr>
              <w:t xml:space="preserve">Trade Name                  </w:t>
            </w:r>
          </w:p>
        </w:tc>
        <w:tc>
          <w:tcPr>
            <w:tcW w:w="6804" w:type="dxa"/>
          </w:tcPr>
          <w:p w:rsidRPr="00E25790" w:rsidR="00F83197" w:rsidP="00AA0623" w:rsidRDefault="00F83197" w14:paraId="0D1F5722" w14:textId="77777777">
            <w:pPr>
              <w:rPr>
                <w:lang w:val="en-AU"/>
              </w:rPr>
            </w:pPr>
            <w:r w:rsidRPr="00E25790">
              <w:rPr>
                <w:lang w:val="en-AU"/>
              </w:rPr>
              <w:t xml:space="preserve">Aspen Adrenaline 1: 10,000 injection; Adrenaline 1:1,000 injection. </w:t>
            </w:r>
          </w:p>
        </w:tc>
      </w:tr>
      <w:tr w:rsidRPr="00E25790" w:rsidR="00F83197" w:rsidTr="77BEE3D0" w14:paraId="3A21AAB8" w14:textId="77777777">
        <w:trPr>
          <w:trHeight w:val="403"/>
        </w:trPr>
        <w:tc>
          <w:tcPr>
            <w:tcW w:w="2263" w:type="dxa"/>
          </w:tcPr>
          <w:p w:rsidRPr="00E25790" w:rsidR="00F83197" w:rsidP="00AA0623" w:rsidRDefault="00F83197" w14:paraId="6EF1E0CE" w14:textId="77777777">
            <w:pPr>
              <w:rPr>
                <w:lang w:val="en-AU"/>
              </w:rPr>
            </w:pPr>
            <w:r w:rsidRPr="00E25790">
              <w:rPr>
                <w:lang w:val="en-AU"/>
              </w:rPr>
              <w:t xml:space="preserve">Presentation </w:t>
            </w:r>
          </w:p>
        </w:tc>
        <w:tc>
          <w:tcPr>
            <w:tcW w:w="6804" w:type="dxa"/>
          </w:tcPr>
          <w:p w:rsidRPr="00E25790" w:rsidR="00F83197" w:rsidP="00AA0623" w:rsidRDefault="00F83197" w14:paraId="504A360C" w14:textId="77777777">
            <w:pPr>
              <w:rPr>
                <w:lang w:val="en-AU"/>
              </w:rPr>
            </w:pPr>
            <w:r w:rsidRPr="00E25790">
              <w:rPr>
                <w:lang w:val="en-AU"/>
              </w:rPr>
              <w:t>1 mg/10 mL or 1:10,000 ampoule [100 microgram/mL]</w:t>
            </w:r>
          </w:p>
          <w:p w:rsidRPr="00E25790" w:rsidR="00F83197" w:rsidP="00AA0623" w:rsidRDefault="00F83197" w14:paraId="4A0843E6" w14:textId="77777777">
            <w:pPr>
              <w:rPr>
                <w:lang w:val="en-AU"/>
              </w:rPr>
            </w:pPr>
            <w:r w:rsidRPr="00E25790">
              <w:rPr>
                <w:lang w:val="en-AU"/>
              </w:rPr>
              <w:t>1 mg/mL or 1:1,000 ampoule [1000 microgram/mL]</w:t>
            </w:r>
          </w:p>
        </w:tc>
      </w:tr>
      <w:tr w:rsidRPr="00E25790" w:rsidR="00F83197" w:rsidTr="77BEE3D0" w14:paraId="4437209C" w14:textId="77777777">
        <w:trPr>
          <w:trHeight w:val="587"/>
        </w:trPr>
        <w:tc>
          <w:tcPr>
            <w:tcW w:w="2263" w:type="dxa"/>
          </w:tcPr>
          <w:p w:rsidRPr="00E25790" w:rsidR="00F83197" w:rsidP="00AA0623" w:rsidRDefault="00F83197" w14:paraId="389F185B" w14:textId="77777777">
            <w:pPr>
              <w:rPr>
                <w:lang w:val="en-AU"/>
              </w:rPr>
            </w:pPr>
            <w:r w:rsidRPr="00E25790">
              <w:rPr>
                <w:lang w:val="en-AU"/>
              </w:rPr>
              <w:t xml:space="preserve">Dosage / Interval                           </w:t>
            </w:r>
          </w:p>
          <w:p w:rsidRPr="00E25790" w:rsidR="00F83197" w:rsidP="00AA0623" w:rsidRDefault="00F83197" w14:paraId="4A7627C9" w14:textId="77777777">
            <w:pPr>
              <w:rPr>
                <w:lang w:val="en-AU"/>
              </w:rPr>
            </w:pPr>
          </w:p>
        </w:tc>
        <w:tc>
          <w:tcPr>
            <w:tcW w:w="6804" w:type="dxa"/>
          </w:tcPr>
          <w:p w:rsidRPr="00E25790" w:rsidR="00F83197" w:rsidP="00AA0623" w:rsidRDefault="00F83197" w14:paraId="31E123DC" w14:textId="77777777">
            <w:pPr>
              <w:rPr>
                <w:lang w:val="en-AU"/>
              </w:rPr>
            </w:pPr>
            <w:r w:rsidRPr="00E25790">
              <w:rPr>
                <w:lang w:val="en-AU"/>
              </w:rPr>
              <w:t>Low dose: 0.05–0.1 microgram/kg/minute</w:t>
            </w:r>
          </w:p>
          <w:p w:rsidRPr="00E25790" w:rsidR="00F83197" w:rsidP="00AA0623" w:rsidRDefault="00F83197" w14:paraId="25298098" w14:textId="77777777">
            <w:pPr>
              <w:rPr>
                <w:lang w:val="en-AU"/>
              </w:rPr>
            </w:pPr>
            <w:r w:rsidRPr="00E25790">
              <w:rPr>
                <w:lang w:val="en-AU"/>
              </w:rPr>
              <w:t>High dose: 0.1–1 microgram/kg/minute</w:t>
            </w:r>
          </w:p>
        </w:tc>
      </w:tr>
      <w:tr w:rsidRPr="00E25790" w:rsidR="00F83197" w:rsidTr="77BEE3D0" w14:paraId="1CA7B7AE" w14:textId="77777777">
        <w:trPr>
          <w:trHeight w:val="244"/>
        </w:trPr>
        <w:tc>
          <w:tcPr>
            <w:tcW w:w="2263" w:type="dxa"/>
          </w:tcPr>
          <w:p w:rsidRPr="00E25790" w:rsidR="00F83197" w:rsidP="00AA0623" w:rsidRDefault="00F83197" w14:paraId="11EACEE6" w14:textId="77777777">
            <w:pPr>
              <w:rPr>
                <w:lang w:val="en-AU"/>
              </w:rPr>
            </w:pPr>
            <w:r w:rsidRPr="00E25790">
              <w:rPr>
                <w:lang w:val="en-AU"/>
              </w:rPr>
              <w:t xml:space="preserve">Route                                       </w:t>
            </w:r>
          </w:p>
        </w:tc>
        <w:tc>
          <w:tcPr>
            <w:tcW w:w="6804" w:type="dxa"/>
          </w:tcPr>
          <w:p w:rsidRPr="00E25790" w:rsidR="00F83197" w:rsidP="00AA0623" w:rsidRDefault="00F83197" w14:paraId="7810194E" w14:textId="77777777">
            <w:pPr>
              <w:rPr>
                <w:lang w:val="en-AU"/>
              </w:rPr>
            </w:pPr>
            <w:r w:rsidRPr="00E25790">
              <w:rPr>
                <w:lang w:val="en-AU"/>
              </w:rPr>
              <w:t>Continuous IV infusion.</w:t>
            </w:r>
          </w:p>
        </w:tc>
      </w:tr>
      <w:tr w:rsidRPr="00E25790" w:rsidR="00F83197" w:rsidTr="77BEE3D0" w14:paraId="3ED8FE47" w14:textId="77777777">
        <w:tc>
          <w:tcPr>
            <w:tcW w:w="2263" w:type="dxa"/>
          </w:tcPr>
          <w:p w:rsidRPr="00E25790" w:rsidR="00F83197" w:rsidP="00AA0623" w:rsidRDefault="3AA66D41" w14:paraId="157EC232" w14:textId="4E30D5E0">
            <w:pPr>
              <w:rPr>
                <w:highlight w:val="cyan"/>
                <w:lang w:val="en-AU"/>
              </w:rPr>
            </w:pPr>
            <w:r w:rsidRPr="77BEE3D0">
              <w:rPr>
                <w:lang w:val="en-AU"/>
              </w:rPr>
              <w:t xml:space="preserve">Preparation/Dilution </w:t>
            </w:r>
          </w:p>
        </w:tc>
        <w:tc>
          <w:tcPr>
            <w:tcW w:w="6804" w:type="dxa"/>
            <w:shd w:val="clear" w:color="auto" w:fill="auto"/>
          </w:tcPr>
          <w:p w:rsidRPr="00A15E31" w:rsidR="009469DB" w:rsidP="00AA0623" w:rsidRDefault="009469DB" w14:paraId="3AECC591" w14:textId="77777777">
            <w:pPr>
              <w:pStyle w:val="BodyText"/>
              <w:jc w:val="left"/>
            </w:pPr>
            <w:r w:rsidRPr="00A15E31">
              <w:t xml:space="preserve">Preparation using </w:t>
            </w:r>
            <w:r w:rsidRPr="005021B7">
              <w:rPr>
                <w:highlight w:val="yellow"/>
                <w:shd w:val="clear" w:color="auto" w:fill="AEAAAA"/>
              </w:rPr>
              <w:t>1:10,000 (1 mg/10 mL) ampoule</w:t>
            </w:r>
          </w:p>
          <w:p w:rsidRPr="00A15E31" w:rsidR="009469DB" w:rsidP="00AA0623" w:rsidRDefault="009469DB" w14:paraId="28641781" w14:textId="77777777">
            <w:pPr>
              <w:pStyle w:val="BodyText"/>
              <w:jc w:val="left"/>
            </w:pPr>
          </w:p>
          <w:p w:rsidRPr="00A15E31" w:rsidR="009469DB" w:rsidP="00AA0623" w:rsidRDefault="009469DB" w14:paraId="22E682D0" w14:textId="77777777">
            <w:pPr>
              <w:pStyle w:val="BodyText"/>
              <w:jc w:val="left"/>
            </w:pPr>
            <w:r w:rsidRPr="00A15E31">
              <w:t>LOW CONCENTRATION IV infusion</w:t>
            </w:r>
          </w:p>
          <w:tbl>
            <w:tblPr>
              <w:tblW w:w="6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2"/>
              <w:gridCol w:w="3202"/>
            </w:tblGrid>
            <w:tr w:rsidRPr="003D40B9" w:rsidR="009469DB" w:rsidTr="009469DB" w14:paraId="6031B976" w14:textId="77777777">
              <w:tc>
                <w:tcPr>
                  <w:tcW w:w="3202" w:type="dxa"/>
                  <w:shd w:val="clear" w:color="auto" w:fill="auto"/>
                </w:tcPr>
                <w:p w:rsidRPr="00A15E31" w:rsidR="009469DB" w:rsidP="00AA0623" w:rsidRDefault="009469DB" w14:paraId="00351BF7" w14:textId="77777777">
                  <w:pPr>
                    <w:pStyle w:val="BodyText"/>
                    <w:jc w:val="left"/>
                  </w:pPr>
                  <w:r w:rsidRPr="00A15E31">
                    <w:t>Infusion dose</w:t>
                  </w:r>
                </w:p>
              </w:tc>
              <w:tc>
                <w:tcPr>
                  <w:tcW w:w="3202" w:type="dxa"/>
                  <w:shd w:val="clear" w:color="auto" w:fill="auto"/>
                </w:tcPr>
                <w:p w:rsidRPr="00A15E31" w:rsidR="009469DB" w:rsidP="00AA0623" w:rsidRDefault="009469DB" w14:paraId="107E8144" w14:textId="77777777">
                  <w:pPr>
                    <w:pStyle w:val="BodyText"/>
                    <w:jc w:val="left"/>
                  </w:pPr>
                  <w:r w:rsidRPr="00A15E31">
                    <w:t>Prescribed amount</w:t>
                  </w:r>
                </w:p>
              </w:tc>
            </w:tr>
            <w:tr w:rsidRPr="003D40B9" w:rsidR="009469DB" w:rsidTr="009469DB" w14:paraId="3C863531" w14:textId="77777777">
              <w:tc>
                <w:tcPr>
                  <w:tcW w:w="3202" w:type="dxa"/>
                  <w:shd w:val="clear" w:color="auto" w:fill="auto"/>
                </w:tcPr>
                <w:p w:rsidRPr="00A15E31" w:rsidR="009469DB" w:rsidP="00AA0623" w:rsidRDefault="009469DB" w14:paraId="6EA4CF11" w14:textId="77777777">
                  <w:pPr>
                    <w:pStyle w:val="BodyText"/>
                    <w:jc w:val="left"/>
                  </w:pPr>
                  <w:r w:rsidRPr="00A15E31">
                    <w:t>1 mL/hour = 0.05 microgram/kg/minute</w:t>
                  </w:r>
                </w:p>
              </w:tc>
              <w:tc>
                <w:tcPr>
                  <w:tcW w:w="3202" w:type="dxa"/>
                  <w:shd w:val="clear" w:color="auto" w:fill="auto"/>
                </w:tcPr>
                <w:p w:rsidRPr="00A15E31" w:rsidR="009469DB" w:rsidP="00AA0623" w:rsidRDefault="009469DB" w14:paraId="43A8C479" w14:textId="77777777">
                  <w:pPr>
                    <w:pStyle w:val="BodyText"/>
                    <w:jc w:val="left"/>
                  </w:pPr>
                  <w:r w:rsidRPr="00A15E31">
                    <w:t>150 microgram/kg adrenaline and make up to 50 mL</w:t>
                  </w:r>
                </w:p>
              </w:tc>
            </w:tr>
          </w:tbl>
          <w:p w:rsidR="00AA0623" w:rsidP="00AA0623" w:rsidRDefault="00AA0623" w14:paraId="03B36D79" w14:textId="77777777">
            <w:pPr>
              <w:pStyle w:val="BodyText"/>
              <w:jc w:val="left"/>
            </w:pPr>
          </w:p>
          <w:p w:rsidRPr="00A15E31" w:rsidR="009469DB" w:rsidP="00AA0623" w:rsidRDefault="009469DB" w14:paraId="157B782D" w14:textId="77777777">
            <w:pPr>
              <w:pStyle w:val="BodyText"/>
              <w:jc w:val="left"/>
              <w:rPr>
                <w:rFonts w:cs="Arial"/>
              </w:rPr>
            </w:pPr>
            <w:r w:rsidRPr="00A15E31">
              <w:t xml:space="preserve">Draw up </w:t>
            </w:r>
            <w:r w:rsidRPr="00A15E31">
              <w:rPr>
                <w:rFonts w:cs="Arial"/>
              </w:rPr>
              <w:t xml:space="preserve">150 microgram/kg [1.5 mL/kg] </w:t>
            </w:r>
            <w:r w:rsidRPr="00A15E31">
              <w:t xml:space="preserve">of </w:t>
            </w:r>
            <w:r w:rsidRPr="00A15E31">
              <w:rPr>
                <w:rFonts w:cs="Arial"/>
              </w:rPr>
              <w:t xml:space="preserve">1:10,000 </w:t>
            </w:r>
            <w:r w:rsidRPr="00A15E31">
              <w:t xml:space="preserve">adrenaline and add glucose 5%, glucose 10% or sodium chloride 0.9% to make a final volume of 50 mL with a concentration of 3 microgram/kg/mL. Infusing at a rate of </w:t>
            </w:r>
            <w:r w:rsidRPr="00A15E31">
              <w:rPr>
                <w:b/>
              </w:rPr>
              <w:t>1 mL/hour = 0.05 microgram/kg/minute.</w:t>
            </w:r>
          </w:p>
          <w:p w:rsidR="009469DB" w:rsidP="00AA0623" w:rsidRDefault="009469DB" w14:paraId="3CBE192F" w14:textId="77777777">
            <w:pPr>
              <w:pStyle w:val="BodyText"/>
              <w:jc w:val="left"/>
            </w:pPr>
          </w:p>
          <w:p w:rsidR="00AA0623" w:rsidP="00AA0623" w:rsidRDefault="00AA0623" w14:paraId="63D8FACF" w14:textId="77777777">
            <w:pPr>
              <w:pStyle w:val="BodyText"/>
              <w:jc w:val="left"/>
            </w:pPr>
          </w:p>
          <w:p w:rsidR="00AA0623" w:rsidP="00AA0623" w:rsidRDefault="00AA0623" w14:paraId="161AD621" w14:textId="77777777">
            <w:pPr>
              <w:pStyle w:val="BodyText"/>
              <w:jc w:val="left"/>
            </w:pPr>
          </w:p>
          <w:p w:rsidRPr="00A15E31" w:rsidR="00AA0623" w:rsidP="00AA0623" w:rsidRDefault="00AA0623" w14:paraId="1E957E4A" w14:textId="77777777">
            <w:pPr>
              <w:pStyle w:val="BodyText"/>
              <w:jc w:val="left"/>
            </w:pPr>
          </w:p>
          <w:p w:rsidRPr="00A15E31" w:rsidR="009469DB" w:rsidP="00AA0623" w:rsidRDefault="009469DB" w14:paraId="681AAF9A" w14:textId="77777777">
            <w:pPr>
              <w:pStyle w:val="BodyText"/>
              <w:jc w:val="left"/>
            </w:pPr>
            <w:r w:rsidRPr="00A15E31">
              <w:t>HIGH CONCENTRATION IV infusion</w:t>
            </w:r>
          </w:p>
          <w:tbl>
            <w:tblPr>
              <w:tblW w:w="6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2"/>
              <w:gridCol w:w="3202"/>
            </w:tblGrid>
            <w:tr w:rsidRPr="003D40B9" w:rsidR="009469DB" w:rsidTr="009469DB" w14:paraId="4A9C91F3" w14:textId="77777777">
              <w:tc>
                <w:tcPr>
                  <w:tcW w:w="3202" w:type="dxa"/>
                  <w:shd w:val="clear" w:color="auto" w:fill="auto"/>
                </w:tcPr>
                <w:p w:rsidRPr="00A15E31" w:rsidR="009469DB" w:rsidP="00AA0623" w:rsidRDefault="009469DB" w14:paraId="62CF952A" w14:textId="77777777">
                  <w:pPr>
                    <w:pStyle w:val="BodyText"/>
                    <w:jc w:val="left"/>
                  </w:pPr>
                  <w:r w:rsidRPr="00A15E31">
                    <w:t>Infusion dose</w:t>
                  </w:r>
                </w:p>
              </w:tc>
              <w:tc>
                <w:tcPr>
                  <w:tcW w:w="3202" w:type="dxa"/>
                  <w:shd w:val="clear" w:color="auto" w:fill="auto"/>
                </w:tcPr>
                <w:p w:rsidRPr="00A15E31" w:rsidR="009469DB" w:rsidP="00AA0623" w:rsidRDefault="009469DB" w14:paraId="509A4D84" w14:textId="77777777">
                  <w:pPr>
                    <w:pStyle w:val="BodyText"/>
                    <w:jc w:val="left"/>
                  </w:pPr>
                  <w:r w:rsidRPr="00A15E31">
                    <w:t>Prescribed amount</w:t>
                  </w:r>
                </w:p>
              </w:tc>
            </w:tr>
            <w:tr w:rsidRPr="003D40B9" w:rsidR="009469DB" w:rsidTr="009469DB" w14:paraId="384EE1B7" w14:textId="77777777">
              <w:tc>
                <w:tcPr>
                  <w:tcW w:w="3202" w:type="dxa"/>
                  <w:shd w:val="clear" w:color="auto" w:fill="auto"/>
                </w:tcPr>
                <w:p w:rsidRPr="00A15E31" w:rsidR="009469DB" w:rsidP="00AA0623" w:rsidRDefault="009469DB" w14:paraId="7397FEAD" w14:textId="77777777">
                  <w:pPr>
                    <w:pStyle w:val="BodyText"/>
                    <w:jc w:val="left"/>
                  </w:pPr>
                  <w:r w:rsidRPr="00A15E31">
                    <w:t>1 mL/hour = 0.2 microgram/kg/minute</w:t>
                  </w:r>
                </w:p>
              </w:tc>
              <w:tc>
                <w:tcPr>
                  <w:tcW w:w="3202" w:type="dxa"/>
                  <w:shd w:val="clear" w:color="auto" w:fill="auto"/>
                </w:tcPr>
                <w:p w:rsidRPr="00A15E31" w:rsidR="009469DB" w:rsidP="00AA0623" w:rsidRDefault="009469DB" w14:paraId="2912262A" w14:textId="77777777">
                  <w:pPr>
                    <w:pStyle w:val="BodyText"/>
                    <w:jc w:val="left"/>
                  </w:pPr>
                  <w:r w:rsidRPr="00A15E31">
                    <w:t>600 microgram/kg adrenaline and make up to 50 mL</w:t>
                  </w:r>
                </w:p>
              </w:tc>
            </w:tr>
          </w:tbl>
          <w:p w:rsidRPr="00A15E31" w:rsidR="009469DB" w:rsidP="00AA0623" w:rsidRDefault="009469DB" w14:paraId="4535F5C2" w14:textId="77777777">
            <w:pPr>
              <w:pStyle w:val="BodyText"/>
              <w:jc w:val="left"/>
              <w:rPr>
                <w:b/>
              </w:rPr>
            </w:pPr>
            <w:r w:rsidRPr="00A15E31">
              <w:t xml:space="preserve">Draw up </w:t>
            </w:r>
            <w:r w:rsidRPr="00A15E31">
              <w:rPr>
                <w:rFonts w:cs="Arial"/>
              </w:rPr>
              <w:t>600 microgram/kg [6 mL/kg]</w:t>
            </w:r>
            <w:r w:rsidRPr="00A15E31">
              <w:t xml:space="preserve"> of</w:t>
            </w:r>
            <w:r w:rsidRPr="00A15E31">
              <w:rPr>
                <w:rFonts w:cs="Arial"/>
              </w:rPr>
              <w:t xml:space="preserve"> 1:10,000</w:t>
            </w:r>
            <w:r w:rsidRPr="00A15E31">
              <w:t xml:space="preserve"> adrenaline and add glucose 5%, glucose 10% or sodium chloride 0.9% to make a final volume of 50 mL with a concentration of 12 microgram/kg/mL. Infusing at a rate of </w:t>
            </w:r>
            <w:r w:rsidRPr="00A15E31">
              <w:rPr>
                <w:b/>
              </w:rPr>
              <w:t>1 mL/hour = 0.2 microgram/kg/minute.</w:t>
            </w:r>
          </w:p>
          <w:p w:rsidRPr="00A15E31" w:rsidR="009469DB" w:rsidP="00AA0623" w:rsidRDefault="009469DB" w14:paraId="4221E9DE" w14:textId="77777777">
            <w:pPr>
              <w:pStyle w:val="BodyText"/>
              <w:jc w:val="left"/>
            </w:pPr>
          </w:p>
          <w:p w:rsidRPr="00A15E31" w:rsidR="009469DB" w:rsidP="00AA0623" w:rsidRDefault="009469DB" w14:paraId="2A15D40C" w14:textId="77777777">
            <w:pPr>
              <w:pStyle w:val="BodyText"/>
              <w:jc w:val="left"/>
            </w:pPr>
            <w:r w:rsidRPr="00A15E31">
              <w:t xml:space="preserve">For infants requiring fluid restriction consider: </w:t>
            </w:r>
          </w:p>
          <w:p w:rsidRPr="00A15E31" w:rsidR="009469DB" w:rsidP="00AA0623" w:rsidRDefault="009469DB" w14:paraId="2274A781" w14:textId="77777777">
            <w:pPr>
              <w:pStyle w:val="BodyText"/>
              <w:jc w:val="left"/>
            </w:pPr>
            <w:r w:rsidRPr="00A15E31">
              <w:t>VERY HIGH CONCENTRATION IV infusion*</w:t>
            </w:r>
          </w:p>
          <w:tbl>
            <w:tblPr>
              <w:tblW w:w="6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2"/>
              <w:gridCol w:w="3202"/>
            </w:tblGrid>
            <w:tr w:rsidRPr="003D40B9" w:rsidR="009469DB" w:rsidTr="009469DB" w14:paraId="5CBA1F5F" w14:textId="77777777">
              <w:tc>
                <w:tcPr>
                  <w:tcW w:w="3202" w:type="dxa"/>
                  <w:shd w:val="clear" w:color="auto" w:fill="auto"/>
                </w:tcPr>
                <w:p w:rsidRPr="00A15E31" w:rsidR="009469DB" w:rsidP="00AA0623" w:rsidRDefault="009469DB" w14:paraId="704ABCDA" w14:textId="77777777">
                  <w:pPr>
                    <w:pStyle w:val="BodyText"/>
                    <w:jc w:val="left"/>
                  </w:pPr>
                  <w:r w:rsidRPr="00A15E31">
                    <w:t>Infusion dose</w:t>
                  </w:r>
                </w:p>
              </w:tc>
              <w:tc>
                <w:tcPr>
                  <w:tcW w:w="3202" w:type="dxa"/>
                  <w:shd w:val="clear" w:color="auto" w:fill="auto"/>
                </w:tcPr>
                <w:p w:rsidRPr="00A15E31" w:rsidR="009469DB" w:rsidP="00AA0623" w:rsidRDefault="009469DB" w14:paraId="7E3BF1D9" w14:textId="77777777">
                  <w:pPr>
                    <w:pStyle w:val="BodyText"/>
                    <w:jc w:val="left"/>
                  </w:pPr>
                  <w:r w:rsidRPr="00A15E31">
                    <w:t>Prescribed amount</w:t>
                  </w:r>
                </w:p>
              </w:tc>
            </w:tr>
            <w:tr w:rsidRPr="003D40B9" w:rsidR="009469DB" w:rsidTr="009469DB" w14:paraId="06A7CBC3" w14:textId="77777777">
              <w:tc>
                <w:tcPr>
                  <w:tcW w:w="3202" w:type="dxa"/>
                  <w:shd w:val="clear" w:color="auto" w:fill="auto"/>
                </w:tcPr>
                <w:p w:rsidRPr="00A15E31" w:rsidR="009469DB" w:rsidP="00AA0623" w:rsidRDefault="009469DB" w14:paraId="6B525DFE" w14:textId="77777777">
                  <w:pPr>
                    <w:pStyle w:val="BodyText"/>
                    <w:jc w:val="left"/>
                  </w:pPr>
                  <w:r w:rsidRPr="00A15E31">
                    <w:t>1 mL/hour = 0.4 microgram/kg/minute</w:t>
                  </w:r>
                </w:p>
              </w:tc>
              <w:tc>
                <w:tcPr>
                  <w:tcW w:w="3202" w:type="dxa"/>
                  <w:shd w:val="clear" w:color="auto" w:fill="auto"/>
                </w:tcPr>
                <w:p w:rsidRPr="00A15E31" w:rsidR="009469DB" w:rsidP="00AA0623" w:rsidRDefault="009469DB" w14:paraId="51ECDB59" w14:textId="77777777">
                  <w:pPr>
                    <w:pStyle w:val="BodyText"/>
                    <w:jc w:val="left"/>
                  </w:pPr>
                  <w:r w:rsidRPr="00A15E31">
                    <w:t>1200 microgram/kg adrenaline and make up to 50 mL</w:t>
                  </w:r>
                </w:p>
              </w:tc>
            </w:tr>
          </w:tbl>
          <w:p w:rsidRPr="00A15E31" w:rsidR="009469DB" w:rsidP="00AA0623" w:rsidRDefault="009469DB" w14:paraId="6E40B6ED" w14:textId="77777777">
            <w:pPr>
              <w:pStyle w:val="BodyText"/>
              <w:jc w:val="left"/>
              <w:rPr>
                <w:b/>
              </w:rPr>
            </w:pPr>
            <w:r w:rsidRPr="00A15E31">
              <w:t xml:space="preserve">Draw up 1200 microgram/kg [12 mL/kg] of 1:10,000 adrenaline and add glucose 5% ONLY to make a final volume of 50 mL with a concentration of 24 microgram/kg/mL. Infusing at a rate of </w:t>
            </w:r>
            <w:r w:rsidRPr="00A15E31">
              <w:rPr>
                <w:b/>
              </w:rPr>
              <w:t>1 mL/hour = 0.4 microgram/kg/minute.</w:t>
            </w:r>
          </w:p>
          <w:p w:rsidRPr="00A15E31" w:rsidR="009469DB" w:rsidP="00AA0623" w:rsidRDefault="009469DB" w14:paraId="43B6A00D" w14:textId="77777777">
            <w:pPr>
              <w:pStyle w:val="BodyText"/>
              <w:jc w:val="left"/>
              <w:rPr>
                <w:rFonts w:cs="Arial"/>
                <w:szCs w:val="24"/>
              </w:rPr>
            </w:pPr>
            <w:r w:rsidRPr="00A15E31">
              <w:t>*Stability data only available for 5% glucose for very high concentration.</w:t>
            </w:r>
          </w:p>
          <w:p w:rsidRPr="00A15E31" w:rsidR="009469DB" w:rsidP="00AA0623" w:rsidRDefault="009469DB" w14:paraId="5026F999" w14:textId="77777777">
            <w:pPr>
              <w:pStyle w:val="BodyText"/>
              <w:jc w:val="left"/>
            </w:pPr>
          </w:p>
          <w:p w:rsidRPr="00747ABF" w:rsidR="009469DB" w:rsidP="00AA0623" w:rsidRDefault="009469DB" w14:paraId="02424B7C" w14:textId="77777777">
            <w:pPr>
              <w:pStyle w:val="BodyText"/>
              <w:jc w:val="left"/>
              <w:rPr>
                <w:sz w:val="22"/>
                <w:szCs w:val="22"/>
              </w:rPr>
            </w:pPr>
            <w:r w:rsidRPr="00A15E31">
              <w:t xml:space="preserve">Preparation using </w:t>
            </w:r>
            <w:r w:rsidRPr="00A15E31">
              <w:rPr>
                <w:highlight w:val="yellow"/>
              </w:rPr>
              <w:t>1:1,000 (1 mg/mL) ampoule</w:t>
            </w:r>
            <w:r w:rsidRPr="00A15E31">
              <w:t xml:space="preserve"> </w:t>
            </w:r>
            <w:r>
              <w:t xml:space="preserve">- </w:t>
            </w:r>
            <w:r w:rsidRPr="00747ABF">
              <w:rPr>
                <w:sz w:val="22"/>
                <w:szCs w:val="22"/>
              </w:rPr>
              <w:t>Occasionally used for infants&gt;4 kg.</w:t>
            </w:r>
          </w:p>
          <w:p w:rsidRPr="00747ABF" w:rsidR="009469DB" w:rsidP="00AA0623" w:rsidRDefault="009469DB" w14:paraId="445692E9" w14:textId="77777777">
            <w:pPr>
              <w:pStyle w:val="BodyText"/>
              <w:jc w:val="left"/>
            </w:pPr>
            <w:r w:rsidRPr="00747ABF">
              <w:t>: 1:1000 (1 mg/mL) ampoule is generally not kept in the NICUs</w:t>
            </w:r>
          </w:p>
          <w:p w:rsidRPr="00A15E31" w:rsidR="009469DB" w:rsidP="00AA0623" w:rsidRDefault="009469DB" w14:paraId="484EDDB2" w14:textId="77777777">
            <w:pPr>
              <w:pStyle w:val="BodyText"/>
              <w:jc w:val="left"/>
            </w:pPr>
          </w:p>
          <w:p w:rsidRPr="00A15E31" w:rsidR="009469DB" w:rsidP="00AA0623" w:rsidRDefault="009469DB" w14:paraId="149BD979" w14:textId="77777777">
            <w:pPr>
              <w:pStyle w:val="BodyText"/>
              <w:jc w:val="left"/>
            </w:pPr>
            <w:r w:rsidRPr="00A15E31">
              <w:t>LOW CONCENTRATION IV infusion</w:t>
            </w:r>
          </w:p>
          <w:tbl>
            <w:tblPr>
              <w:tblW w:w="64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3"/>
              <w:gridCol w:w="3203"/>
            </w:tblGrid>
            <w:tr w:rsidRPr="003D40B9" w:rsidR="009469DB" w:rsidTr="00AA0623" w14:paraId="414DBC16" w14:textId="77777777">
              <w:tc>
                <w:tcPr>
                  <w:tcW w:w="3203" w:type="dxa"/>
                  <w:shd w:val="clear" w:color="auto" w:fill="auto"/>
                </w:tcPr>
                <w:p w:rsidRPr="00A15E31" w:rsidR="009469DB" w:rsidP="00AA0623" w:rsidRDefault="009469DB" w14:paraId="39F2A856" w14:textId="77777777">
                  <w:pPr>
                    <w:pStyle w:val="BodyText"/>
                    <w:jc w:val="left"/>
                  </w:pPr>
                  <w:r w:rsidRPr="00A15E31">
                    <w:t>Infusion dose</w:t>
                  </w:r>
                </w:p>
              </w:tc>
              <w:tc>
                <w:tcPr>
                  <w:tcW w:w="3203" w:type="dxa"/>
                  <w:shd w:val="clear" w:color="auto" w:fill="auto"/>
                </w:tcPr>
                <w:p w:rsidRPr="00A15E31" w:rsidR="009469DB" w:rsidP="00AA0623" w:rsidRDefault="009469DB" w14:paraId="2D30B99E" w14:textId="77777777">
                  <w:pPr>
                    <w:pStyle w:val="BodyText"/>
                    <w:jc w:val="left"/>
                  </w:pPr>
                  <w:r w:rsidRPr="00A15E31">
                    <w:t>Prescribed amount</w:t>
                  </w:r>
                </w:p>
              </w:tc>
            </w:tr>
            <w:tr w:rsidRPr="003D40B9" w:rsidR="009469DB" w:rsidTr="00AA0623" w14:paraId="536FF063" w14:textId="77777777">
              <w:tc>
                <w:tcPr>
                  <w:tcW w:w="3203" w:type="dxa"/>
                  <w:shd w:val="clear" w:color="auto" w:fill="auto"/>
                </w:tcPr>
                <w:p w:rsidRPr="00A15E31" w:rsidR="009469DB" w:rsidP="00AA0623" w:rsidRDefault="009469DB" w14:paraId="5E358217" w14:textId="77777777">
                  <w:pPr>
                    <w:pStyle w:val="BodyText"/>
                    <w:jc w:val="left"/>
                  </w:pPr>
                  <w:r w:rsidRPr="00A15E31">
                    <w:t>1 mL/hour = 0.05 microgram/kg/minute</w:t>
                  </w:r>
                </w:p>
              </w:tc>
              <w:tc>
                <w:tcPr>
                  <w:tcW w:w="3203" w:type="dxa"/>
                  <w:shd w:val="clear" w:color="auto" w:fill="auto"/>
                </w:tcPr>
                <w:p w:rsidRPr="00A15E31" w:rsidR="009469DB" w:rsidP="00AA0623" w:rsidRDefault="009469DB" w14:paraId="45CC8DFD" w14:textId="77777777">
                  <w:pPr>
                    <w:pStyle w:val="BodyText"/>
                    <w:jc w:val="left"/>
                  </w:pPr>
                  <w:r w:rsidRPr="00A15E31">
                    <w:t>150 microgram/kg adrenaline and make up to 50 mL</w:t>
                  </w:r>
                </w:p>
              </w:tc>
            </w:tr>
          </w:tbl>
          <w:p w:rsidRPr="00A15E31" w:rsidR="009469DB" w:rsidP="00AA0623" w:rsidRDefault="009469DB" w14:paraId="0865D8C4" w14:textId="77777777">
            <w:pPr>
              <w:pStyle w:val="BodyText"/>
              <w:jc w:val="left"/>
              <w:rPr>
                <w:rFonts w:cs="Arial"/>
              </w:rPr>
            </w:pPr>
            <w:r w:rsidRPr="00A15E31">
              <w:t xml:space="preserve">Draw up </w:t>
            </w:r>
            <w:r w:rsidRPr="00A15E31">
              <w:rPr>
                <w:rFonts w:cs="Arial"/>
              </w:rPr>
              <w:t xml:space="preserve">150 microgram/kg [0.15 mL/kg] </w:t>
            </w:r>
            <w:r w:rsidRPr="00A15E31">
              <w:t xml:space="preserve">of </w:t>
            </w:r>
            <w:r w:rsidRPr="00A15E31">
              <w:rPr>
                <w:rFonts w:cs="Arial"/>
              </w:rPr>
              <w:t xml:space="preserve">1:1000 </w:t>
            </w:r>
            <w:r w:rsidRPr="00A15E31">
              <w:t xml:space="preserve">adrenaline and add glucose 5%, glucose 10% or sodium chloride 0.9% to make a final volume of 50 mL with a concentration of 3 microgram/kg/mL. Infusing at a rate of </w:t>
            </w:r>
            <w:r w:rsidRPr="00A15E31">
              <w:rPr>
                <w:b/>
              </w:rPr>
              <w:t>1 mL/hour = 0.05 microgram/kg/minute.</w:t>
            </w:r>
          </w:p>
          <w:p w:rsidRPr="00A15E31" w:rsidR="009469DB" w:rsidP="00AA0623" w:rsidRDefault="009469DB" w14:paraId="46397FAA" w14:textId="77777777">
            <w:pPr>
              <w:pStyle w:val="BodyText"/>
              <w:jc w:val="left"/>
            </w:pPr>
          </w:p>
          <w:p w:rsidRPr="00A15E31" w:rsidR="009469DB" w:rsidP="00AA0623" w:rsidRDefault="009469DB" w14:paraId="26E379E5" w14:textId="77777777">
            <w:pPr>
              <w:pStyle w:val="BodyText"/>
              <w:jc w:val="left"/>
            </w:pPr>
            <w:r w:rsidRPr="00A15E31">
              <w:t>HIGH CONCENTRATION IV infusion</w:t>
            </w:r>
          </w:p>
          <w:tbl>
            <w:tblPr>
              <w:tblW w:w="64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3"/>
              <w:gridCol w:w="3203"/>
            </w:tblGrid>
            <w:tr w:rsidRPr="003D40B9" w:rsidR="009469DB" w:rsidTr="00AA0623" w14:paraId="4A7EDD96" w14:textId="77777777">
              <w:tc>
                <w:tcPr>
                  <w:tcW w:w="3203" w:type="dxa"/>
                  <w:shd w:val="clear" w:color="auto" w:fill="auto"/>
                </w:tcPr>
                <w:p w:rsidRPr="00A15E31" w:rsidR="009469DB" w:rsidP="00AA0623" w:rsidRDefault="009469DB" w14:paraId="7FC8178F" w14:textId="77777777">
                  <w:pPr>
                    <w:pStyle w:val="BodyText"/>
                    <w:jc w:val="left"/>
                  </w:pPr>
                  <w:r w:rsidRPr="00A15E31">
                    <w:t>Infusion dose</w:t>
                  </w:r>
                </w:p>
              </w:tc>
              <w:tc>
                <w:tcPr>
                  <w:tcW w:w="3203" w:type="dxa"/>
                  <w:shd w:val="clear" w:color="auto" w:fill="auto"/>
                </w:tcPr>
                <w:p w:rsidRPr="00A15E31" w:rsidR="009469DB" w:rsidP="00AA0623" w:rsidRDefault="009469DB" w14:paraId="3A3CD331" w14:textId="77777777">
                  <w:pPr>
                    <w:pStyle w:val="BodyText"/>
                    <w:jc w:val="left"/>
                  </w:pPr>
                  <w:r w:rsidRPr="00A15E31">
                    <w:t>Prescribed amount</w:t>
                  </w:r>
                </w:p>
              </w:tc>
            </w:tr>
            <w:tr w:rsidRPr="003D40B9" w:rsidR="009469DB" w:rsidTr="00AA0623" w14:paraId="7CC0442F" w14:textId="77777777">
              <w:tc>
                <w:tcPr>
                  <w:tcW w:w="3203" w:type="dxa"/>
                  <w:shd w:val="clear" w:color="auto" w:fill="auto"/>
                </w:tcPr>
                <w:p w:rsidRPr="00A15E31" w:rsidR="009469DB" w:rsidP="00AA0623" w:rsidRDefault="009469DB" w14:paraId="000794B8" w14:textId="77777777">
                  <w:pPr>
                    <w:pStyle w:val="BodyText"/>
                    <w:jc w:val="left"/>
                  </w:pPr>
                  <w:r w:rsidRPr="00A15E31">
                    <w:t>1 mL/hour = 0.2 microgram/kg/minute</w:t>
                  </w:r>
                </w:p>
              </w:tc>
              <w:tc>
                <w:tcPr>
                  <w:tcW w:w="3203" w:type="dxa"/>
                  <w:shd w:val="clear" w:color="auto" w:fill="auto"/>
                </w:tcPr>
                <w:p w:rsidRPr="00A15E31" w:rsidR="009469DB" w:rsidP="00AA0623" w:rsidRDefault="009469DB" w14:paraId="3DE1066C" w14:textId="77777777">
                  <w:pPr>
                    <w:pStyle w:val="BodyText"/>
                    <w:jc w:val="left"/>
                  </w:pPr>
                  <w:r w:rsidRPr="00A15E31">
                    <w:t>600 microgram/kg adrenaline and make up to 50 mL</w:t>
                  </w:r>
                </w:p>
              </w:tc>
            </w:tr>
          </w:tbl>
          <w:p w:rsidRPr="00A15E31" w:rsidR="009469DB" w:rsidP="00AA0623" w:rsidRDefault="009469DB" w14:paraId="7704BC93" w14:textId="77777777">
            <w:pPr>
              <w:pStyle w:val="BodyText"/>
              <w:jc w:val="left"/>
              <w:rPr>
                <w:b/>
              </w:rPr>
            </w:pPr>
            <w:r w:rsidRPr="00A15E31">
              <w:t xml:space="preserve">Draw up </w:t>
            </w:r>
            <w:r w:rsidRPr="00A15E31">
              <w:rPr>
                <w:rFonts w:cs="Arial"/>
              </w:rPr>
              <w:t>600 microgram/kg [0.6 mL/kg]</w:t>
            </w:r>
            <w:r w:rsidRPr="00A15E31">
              <w:t xml:space="preserve"> of</w:t>
            </w:r>
            <w:r w:rsidRPr="00A15E31">
              <w:rPr>
                <w:rFonts w:cs="Arial"/>
              </w:rPr>
              <w:t xml:space="preserve"> 1:1000</w:t>
            </w:r>
            <w:r w:rsidRPr="00A15E31">
              <w:t xml:space="preserve"> adrenaline and add glucose 5%, glucose 10% or sodium chloride 0.9% to make a final volume of 50 mL with a concentration of </w:t>
            </w:r>
            <w:r w:rsidRPr="00A15E31">
              <w:lastRenderedPageBreak/>
              <w:t xml:space="preserve">12 microgram/kg/mL. Infusing at a rate of </w:t>
            </w:r>
            <w:r w:rsidRPr="00A15E31">
              <w:rPr>
                <w:b/>
              </w:rPr>
              <w:t>1 mL/hour = 0.2 microgram/kg/minute.</w:t>
            </w:r>
          </w:p>
          <w:p w:rsidRPr="00A15E31" w:rsidR="009469DB" w:rsidP="00AA0623" w:rsidRDefault="009469DB" w14:paraId="0BC35D33" w14:textId="77777777">
            <w:pPr>
              <w:pStyle w:val="BodyText"/>
              <w:jc w:val="left"/>
            </w:pPr>
          </w:p>
          <w:p w:rsidRPr="00A15E31" w:rsidR="009469DB" w:rsidP="00AA0623" w:rsidRDefault="009469DB" w14:paraId="60DB2280" w14:textId="77777777">
            <w:pPr>
              <w:pStyle w:val="BodyText"/>
              <w:jc w:val="left"/>
            </w:pPr>
            <w:r w:rsidRPr="00A15E31">
              <w:t xml:space="preserve">For infants requiring fluid restriction consider: </w:t>
            </w:r>
          </w:p>
          <w:p w:rsidRPr="00A15E31" w:rsidR="009469DB" w:rsidP="00AA0623" w:rsidRDefault="009469DB" w14:paraId="51C77273" w14:textId="77777777">
            <w:pPr>
              <w:pStyle w:val="BodyText"/>
              <w:jc w:val="left"/>
            </w:pPr>
            <w:r w:rsidRPr="00A15E31">
              <w:t>VERY HIGH CONCENTRATION IV infusion*</w:t>
            </w:r>
          </w:p>
          <w:tbl>
            <w:tblPr>
              <w:tblW w:w="64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3"/>
              <w:gridCol w:w="3203"/>
            </w:tblGrid>
            <w:tr w:rsidRPr="003D40B9" w:rsidR="009469DB" w:rsidTr="00AA0623" w14:paraId="1AB27AE6" w14:textId="77777777">
              <w:tc>
                <w:tcPr>
                  <w:tcW w:w="3203" w:type="dxa"/>
                  <w:shd w:val="clear" w:color="auto" w:fill="auto"/>
                </w:tcPr>
                <w:p w:rsidRPr="00A15E31" w:rsidR="009469DB" w:rsidP="00AA0623" w:rsidRDefault="009469DB" w14:paraId="6B7E7978" w14:textId="77777777">
                  <w:pPr>
                    <w:pStyle w:val="BodyText"/>
                    <w:jc w:val="left"/>
                  </w:pPr>
                  <w:r w:rsidRPr="00A15E31">
                    <w:t>Infusion dose</w:t>
                  </w:r>
                </w:p>
              </w:tc>
              <w:tc>
                <w:tcPr>
                  <w:tcW w:w="3203" w:type="dxa"/>
                  <w:shd w:val="clear" w:color="auto" w:fill="auto"/>
                </w:tcPr>
                <w:p w:rsidRPr="00A15E31" w:rsidR="009469DB" w:rsidP="00AA0623" w:rsidRDefault="009469DB" w14:paraId="6E06ECAC" w14:textId="77777777">
                  <w:pPr>
                    <w:pStyle w:val="BodyText"/>
                    <w:jc w:val="left"/>
                  </w:pPr>
                  <w:r w:rsidRPr="00A15E31">
                    <w:t>Prescribed amount</w:t>
                  </w:r>
                </w:p>
              </w:tc>
            </w:tr>
            <w:tr w:rsidRPr="003D40B9" w:rsidR="009469DB" w:rsidTr="00AA0623" w14:paraId="60191DD7" w14:textId="77777777">
              <w:tc>
                <w:tcPr>
                  <w:tcW w:w="3203" w:type="dxa"/>
                  <w:shd w:val="clear" w:color="auto" w:fill="auto"/>
                </w:tcPr>
                <w:p w:rsidRPr="00A15E31" w:rsidR="009469DB" w:rsidP="00AA0623" w:rsidRDefault="009469DB" w14:paraId="4C217922" w14:textId="77777777">
                  <w:pPr>
                    <w:pStyle w:val="BodyText"/>
                    <w:jc w:val="left"/>
                  </w:pPr>
                  <w:r w:rsidRPr="00A15E31">
                    <w:t>1 mL/hour = 0.4 microgram/kg/minute</w:t>
                  </w:r>
                </w:p>
              </w:tc>
              <w:tc>
                <w:tcPr>
                  <w:tcW w:w="3203" w:type="dxa"/>
                  <w:shd w:val="clear" w:color="auto" w:fill="auto"/>
                </w:tcPr>
                <w:p w:rsidRPr="00A15E31" w:rsidR="009469DB" w:rsidP="00AA0623" w:rsidRDefault="009469DB" w14:paraId="3B30F44E" w14:textId="77777777">
                  <w:pPr>
                    <w:pStyle w:val="BodyText"/>
                    <w:jc w:val="left"/>
                  </w:pPr>
                  <w:r w:rsidRPr="00A15E31">
                    <w:t>1200 microgram/kg adrenaline and make up to 50 mL</w:t>
                  </w:r>
                </w:p>
              </w:tc>
            </w:tr>
          </w:tbl>
          <w:p w:rsidRPr="00A15E31" w:rsidR="009469DB" w:rsidP="00AA0623" w:rsidRDefault="009469DB" w14:paraId="3E9AA237" w14:textId="77777777">
            <w:pPr>
              <w:pStyle w:val="BodyText"/>
              <w:jc w:val="left"/>
              <w:rPr>
                <w:b/>
              </w:rPr>
            </w:pPr>
            <w:r w:rsidRPr="00A15E31">
              <w:t xml:space="preserve">Draw up 1200 microgram/kg [1.2 mL/kg] of 1:1000 adrenaline and add glucose 5% ONLY to make a final volume of 50 mL with a concentration of 24 microgram/kg/mL. Infusing at a rate of </w:t>
            </w:r>
            <w:r w:rsidRPr="00A15E31">
              <w:rPr>
                <w:b/>
              </w:rPr>
              <w:t>1 mL/hour = 0.4 microgram/kg/minute.</w:t>
            </w:r>
          </w:p>
          <w:p w:rsidRPr="00E25790" w:rsidR="00F83197" w:rsidP="00AA0623" w:rsidRDefault="009469DB" w14:paraId="4D4DDB0A" w14:textId="77777777">
            <w:pPr>
              <w:rPr>
                <w:lang w:val="en-AU"/>
              </w:rPr>
            </w:pPr>
            <w:r w:rsidRPr="00A15E31">
              <w:t>*Stability data only available for 5% glucose for very high concentration</w:t>
            </w:r>
            <w:r>
              <w:t>.</w:t>
            </w:r>
          </w:p>
        </w:tc>
      </w:tr>
      <w:tr w:rsidRPr="00E25790" w:rsidR="00F83197" w:rsidTr="77BEE3D0" w14:paraId="0D8278F9" w14:textId="77777777">
        <w:trPr>
          <w:trHeight w:val="315"/>
        </w:trPr>
        <w:tc>
          <w:tcPr>
            <w:tcW w:w="2263" w:type="dxa"/>
          </w:tcPr>
          <w:p w:rsidRPr="00E25790" w:rsidR="00F83197" w:rsidP="00AA0623" w:rsidRDefault="00F83197" w14:paraId="259FB5FF" w14:textId="77777777">
            <w:pPr>
              <w:rPr>
                <w:lang w:val="en-AU"/>
              </w:rPr>
            </w:pPr>
            <w:r w:rsidRPr="00E25790">
              <w:rPr>
                <w:lang w:val="en-AU"/>
              </w:rPr>
              <w:lastRenderedPageBreak/>
              <w:t xml:space="preserve">Administration </w:t>
            </w:r>
          </w:p>
        </w:tc>
        <w:tc>
          <w:tcPr>
            <w:tcW w:w="6804" w:type="dxa"/>
          </w:tcPr>
          <w:p w:rsidRPr="00E25790" w:rsidR="00F83197" w:rsidP="00AA0623" w:rsidRDefault="00F83197" w14:paraId="7B15C70F" w14:textId="77777777">
            <w:pPr>
              <w:rPr>
                <w:rFonts w:cs="Arial"/>
                <w:lang w:val="en-AU"/>
              </w:rPr>
            </w:pPr>
            <w:r w:rsidRPr="00E25790">
              <w:rPr>
                <w:lang w:val="en-AU"/>
              </w:rPr>
              <w:t>Continuous intravenous infusion via a central line. Use with caution via a peripheral line.</w:t>
            </w:r>
          </w:p>
        </w:tc>
      </w:tr>
      <w:tr w:rsidRPr="00E25790" w:rsidR="00F83197" w:rsidTr="77BEE3D0" w14:paraId="65167728" w14:textId="77777777">
        <w:trPr>
          <w:trHeight w:val="221"/>
        </w:trPr>
        <w:tc>
          <w:tcPr>
            <w:tcW w:w="2263" w:type="dxa"/>
          </w:tcPr>
          <w:p w:rsidRPr="00E25790" w:rsidR="00F83197" w:rsidP="00AA0623" w:rsidRDefault="00F83197" w14:paraId="616798EF" w14:textId="77777777">
            <w:pPr>
              <w:rPr>
                <w:lang w:val="en-AU"/>
              </w:rPr>
            </w:pPr>
            <w:r w:rsidRPr="00E25790">
              <w:rPr>
                <w:lang w:val="en-AU"/>
              </w:rPr>
              <w:t xml:space="preserve">Monitoring                              </w:t>
            </w:r>
          </w:p>
          <w:p w:rsidRPr="00E25790" w:rsidR="00F83197" w:rsidP="00AA0623" w:rsidRDefault="00F83197" w14:paraId="5E62F6AB" w14:textId="77777777">
            <w:pPr>
              <w:rPr>
                <w:lang w:val="en-AU"/>
              </w:rPr>
            </w:pPr>
          </w:p>
        </w:tc>
        <w:tc>
          <w:tcPr>
            <w:tcW w:w="6804" w:type="dxa"/>
          </w:tcPr>
          <w:p w:rsidRPr="00E25790" w:rsidR="00F83197" w:rsidP="00AA0623" w:rsidRDefault="00F83197" w14:paraId="159DE2E7" w14:textId="77777777">
            <w:pPr>
              <w:rPr>
                <w:rFonts w:cs="Arial"/>
                <w:lang w:val="en-AU"/>
              </w:rPr>
            </w:pPr>
            <w:r w:rsidRPr="00E25790">
              <w:rPr>
                <w:lang w:val="en-AU"/>
              </w:rPr>
              <w:t xml:space="preserve">Continuous heart rate, ECG and blood pressure monitoring preferable. </w:t>
            </w:r>
            <w:r w:rsidRPr="00E25790">
              <w:rPr>
                <w:lang w:val="en-AU"/>
              </w:rPr>
              <w:br/>
            </w:r>
            <w:r w:rsidRPr="00E25790">
              <w:rPr>
                <w:lang w:val="en-AU"/>
              </w:rPr>
              <w:t xml:space="preserve">Assess urine output and peripheral perfusion frequently. </w:t>
            </w:r>
            <w:r w:rsidRPr="00E25790">
              <w:rPr>
                <w:lang w:val="en-AU"/>
              </w:rPr>
              <w:br/>
            </w:r>
            <w:r w:rsidRPr="00E25790">
              <w:rPr>
                <w:lang w:val="en-AU"/>
              </w:rPr>
              <w:t xml:space="preserve">Observe IV site closely for blanching and extravasation. </w:t>
            </w:r>
          </w:p>
        </w:tc>
      </w:tr>
      <w:tr w:rsidRPr="00E25790" w:rsidR="00F83197" w:rsidTr="77BEE3D0" w14:paraId="3467B060" w14:textId="77777777">
        <w:trPr>
          <w:trHeight w:val="342"/>
        </w:trPr>
        <w:tc>
          <w:tcPr>
            <w:tcW w:w="2263" w:type="dxa"/>
          </w:tcPr>
          <w:p w:rsidRPr="00E25790" w:rsidR="00F83197" w:rsidP="00AA0623" w:rsidRDefault="00F83197" w14:paraId="29E61F10" w14:textId="77777777">
            <w:pPr>
              <w:rPr>
                <w:lang w:val="en-AU"/>
              </w:rPr>
            </w:pPr>
            <w:r w:rsidRPr="00E25790">
              <w:rPr>
                <w:lang w:val="en-AU"/>
              </w:rPr>
              <w:t xml:space="preserve">Contraindications                        </w:t>
            </w:r>
          </w:p>
          <w:p w:rsidRPr="00E25790" w:rsidR="00F83197" w:rsidP="00AA0623" w:rsidRDefault="00F83197" w14:paraId="7C426101" w14:textId="77777777">
            <w:pPr>
              <w:rPr>
                <w:lang w:val="en-AU"/>
              </w:rPr>
            </w:pPr>
          </w:p>
        </w:tc>
        <w:tc>
          <w:tcPr>
            <w:tcW w:w="6804" w:type="dxa"/>
          </w:tcPr>
          <w:p w:rsidRPr="00E25790" w:rsidR="00F83197" w:rsidP="00AA0623" w:rsidRDefault="00F83197" w14:paraId="19906C69" w14:textId="77777777">
            <w:pPr>
              <w:rPr>
                <w:lang w:val="en-AU"/>
              </w:rPr>
            </w:pPr>
            <w:r w:rsidRPr="00E25790">
              <w:rPr>
                <w:lang w:val="en-AU"/>
              </w:rPr>
              <w:t>Arrhythmia and tachyarrhythmia.</w:t>
            </w:r>
          </w:p>
          <w:p w:rsidRPr="00E25790" w:rsidR="00F83197" w:rsidP="00AA0623" w:rsidRDefault="00F83197" w14:paraId="549BB429" w14:textId="77777777">
            <w:pPr>
              <w:rPr>
                <w:lang w:val="en-AU"/>
              </w:rPr>
            </w:pPr>
            <w:r w:rsidRPr="00E25790">
              <w:rPr>
                <w:lang w:val="en-AU"/>
              </w:rPr>
              <w:t>Cardiovascular disease resulting in arterial narrowing including cerebrovascular disease, coronary artery disease and digital ischaemia.</w:t>
            </w:r>
          </w:p>
          <w:p w:rsidRPr="00E25790" w:rsidR="00F83197" w:rsidP="00AA0623" w:rsidRDefault="00F83197" w14:paraId="745B75B0" w14:textId="77777777">
            <w:pPr>
              <w:rPr>
                <w:lang w:val="en-AU"/>
              </w:rPr>
            </w:pPr>
            <w:r w:rsidRPr="00E25790">
              <w:rPr>
                <w:lang w:val="en-AU"/>
              </w:rPr>
              <w:t>Phaeochromocytoma.</w:t>
            </w:r>
          </w:p>
          <w:p w:rsidRPr="00E25790" w:rsidR="00F83197" w:rsidP="00AA0623" w:rsidRDefault="00F83197" w14:paraId="73BED73F" w14:textId="77777777">
            <w:pPr>
              <w:rPr>
                <w:lang w:val="en-AU"/>
              </w:rPr>
            </w:pPr>
            <w:r w:rsidRPr="00E25790">
              <w:rPr>
                <w:lang w:val="en-AU"/>
              </w:rPr>
              <w:t>Thyrotoxicosis.</w:t>
            </w:r>
          </w:p>
          <w:p w:rsidRPr="00E25790" w:rsidR="00F83197" w:rsidP="00AA0623" w:rsidRDefault="00F83197" w14:paraId="7B5484E5" w14:textId="77777777">
            <w:pPr>
              <w:rPr>
                <w:lang w:val="en-AU"/>
              </w:rPr>
            </w:pPr>
            <w:r w:rsidRPr="00E25790">
              <w:rPr>
                <w:lang w:val="en-AU"/>
              </w:rPr>
              <w:t>Glaucoma.</w:t>
            </w:r>
          </w:p>
          <w:p w:rsidRPr="00E25790" w:rsidR="00F83197" w:rsidP="00AA0623" w:rsidRDefault="00F83197" w14:paraId="747B2C84" w14:textId="77777777">
            <w:pPr>
              <w:rPr>
                <w:lang w:val="en-AU"/>
              </w:rPr>
            </w:pPr>
            <w:r w:rsidRPr="00E25790">
              <w:rPr>
                <w:lang w:val="en-AU"/>
              </w:rPr>
              <w:t>Known hypersensitivity to sympathomimetic amines.</w:t>
            </w:r>
          </w:p>
        </w:tc>
      </w:tr>
      <w:tr w:rsidRPr="00E25790" w:rsidR="00F83197" w:rsidTr="77BEE3D0" w14:paraId="2F65C225" w14:textId="77777777">
        <w:tc>
          <w:tcPr>
            <w:tcW w:w="2263" w:type="dxa"/>
          </w:tcPr>
          <w:p w:rsidRPr="00E25790" w:rsidR="00F83197" w:rsidP="00AA0623" w:rsidRDefault="00F83197" w14:paraId="08E6266C" w14:textId="77777777">
            <w:pPr>
              <w:rPr>
                <w:lang w:val="en-AU"/>
              </w:rPr>
            </w:pPr>
            <w:r w:rsidRPr="00E25790">
              <w:rPr>
                <w:lang w:val="en-AU"/>
              </w:rPr>
              <w:br w:type="page"/>
            </w:r>
            <w:r w:rsidRPr="00E25790">
              <w:rPr>
                <w:lang w:val="en-AU"/>
              </w:rPr>
              <w:t>Precautions</w:t>
            </w:r>
          </w:p>
        </w:tc>
        <w:tc>
          <w:tcPr>
            <w:tcW w:w="6804" w:type="dxa"/>
          </w:tcPr>
          <w:p w:rsidRPr="00E25790" w:rsidR="00F83197" w:rsidP="00AA0623" w:rsidRDefault="00F83197" w14:paraId="005CC505" w14:textId="77777777">
            <w:pPr>
              <w:rPr>
                <w:lang w:val="en-AU"/>
              </w:rPr>
            </w:pPr>
            <w:r w:rsidRPr="00E25790">
              <w:rPr>
                <w:lang w:val="en-AU"/>
              </w:rPr>
              <w:t xml:space="preserve">Ensure adequate circulating blood volume prior to commencement. </w:t>
            </w:r>
            <w:r w:rsidRPr="00E25790">
              <w:rPr>
                <w:lang w:val="en-AU"/>
              </w:rPr>
              <w:br/>
            </w:r>
            <w:r w:rsidRPr="00E25790">
              <w:rPr>
                <w:lang w:val="en-AU"/>
              </w:rPr>
              <w:t xml:space="preserve">Adrenaline is a potent chronotrope and vasopressor – may cause excessive tachycardia, severe hypertension and ventricular arrhythmias. </w:t>
            </w:r>
          </w:p>
          <w:p w:rsidRPr="00E25790" w:rsidR="00F83197" w:rsidP="00AA0623" w:rsidRDefault="00F83197" w14:paraId="01FF04BF" w14:textId="77777777">
            <w:pPr>
              <w:rPr>
                <w:lang w:val="en-AU"/>
              </w:rPr>
            </w:pPr>
            <w:r w:rsidRPr="00E25790">
              <w:rPr>
                <w:lang w:val="en-AU"/>
              </w:rPr>
              <w:t xml:space="preserve">Adrenaline may cause lactic acidosis and hyperglycaemia. </w:t>
            </w:r>
          </w:p>
        </w:tc>
      </w:tr>
      <w:tr w:rsidRPr="00E25790" w:rsidR="00F83197" w:rsidTr="77BEE3D0" w14:paraId="1D80E125" w14:textId="77777777">
        <w:trPr>
          <w:trHeight w:val="276"/>
        </w:trPr>
        <w:tc>
          <w:tcPr>
            <w:tcW w:w="2263" w:type="dxa"/>
          </w:tcPr>
          <w:p w:rsidRPr="00E25790" w:rsidR="00F83197" w:rsidP="00AA0623" w:rsidRDefault="00F83197" w14:paraId="6DD5D47A" w14:textId="77777777">
            <w:pPr>
              <w:rPr>
                <w:lang w:val="en-AU"/>
              </w:rPr>
            </w:pPr>
            <w:r w:rsidRPr="00E25790">
              <w:rPr>
                <w:lang w:val="en-AU"/>
              </w:rPr>
              <w:t>Drug Interactions</w:t>
            </w:r>
          </w:p>
        </w:tc>
        <w:tc>
          <w:tcPr>
            <w:tcW w:w="6804" w:type="dxa"/>
          </w:tcPr>
          <w:p w:rsidRPr="00E25790" w:rsidR="00F83197" w:rsidP="00AA0623" w:rsidRDefault="00F83197" w14:paraId="3F453E79" w14:textId="77777777">
            <w:pPr>
              <w:rPr>
                <w:lang w:val="en-AU"/>
              </w:rPr>
            </w:pPr>
            <w:r w:rsidRPr="00E25790">
              <w:rPr>
                <w:lang w:val="en-AU"/>
              </w:rPr>
              <w:t>Hypotension may be observed with concurrent use of vasodilators such as glyceryl trinitrate, nitroprusside and calcium channel blockers.</w:t>
            </w:r>
          </w:p>
          <w:p w:rsidRPr="00E25790" w:rsidR="00F83197" w:rsidP="00AA0623" w:rsidRDefault="00F83197" w14:paraId="5E7A8AA3" w14:textId="77777777">
            <w:pPr>
              <w:rPr>
                <w:lang w:val="en-AU"/>
              </w:rPr>
            </w:pPr>
            <w:r w:rsidRPr="00E25790">
              <w:rPr>
                <w:lang w:val="en-AU"/>
              </w:rPr>
              <w:t>Concurrent use of digitalis glycosides may increase the risk of cardiac arrhythmias.</w:t>
            </w:r>
          </w:p>
          <w:p w:rsidRPr="00E25790" w:rsidR="00F83197" w:rsidP="00AA0623" w:rsidRDefault="00F83197" w14:paraId="1E257186" w14:textId="77777777">
            <w:pPr>
              <w:rPr>
                <w:rFonts w:cs="Arial"/>
                <w:lang w:val="en-AU"/>
              </w:rPr>
            </w:pPr>
            <w:r w:rsidRPr="00E25790">
              <w:rPr>
                <w:lang w:val="en-AU"/>
              </w:rPr>
              <w:t>Concurrent use of IV phenytoin with adrenaline may result in dose dependent, sudden hypotension and bradycardia.</w:t>
            </w:r>
          </w:p>
        </w:tc>
      </w:tr>
      <w:tr w:rsidRPr="00E25790" w:rsidR="00F83197" w:rsidTr="77BEE3D0" w14:paraId="48A4C211" w14:textId="77777777">
        <w:trPr>
          <w:trHeight w:val="416"/>
        </w:trPr>
        <w:tc>
          <w:tcPr>
            <w:tcW w:w="2263" w:type="dxa"/>
          </w:tcPr>
          <w:p w:rsidRPr="00E25790" w:rsidR="00F83197" w:rsidP="00AA0623" w:rsidRDefault="00F83197" w14:paraId="744A1C82" w14:textId="77777777">
            <w:pPr>
              <w:rPr>
                <w:lang w:val="en-AU"/>
              </w:rPr>
            </w:pPr>
            <w:r w:rsidRPr="00E25790">
              <w:rPr>
                <w:lang w:val="en-AU"/>
              </w:rPr>
              <w:t xml:space="preserve">Adverse Reactions         </w:t>
            </w:r>
          </w:p>
          <w:p w:rsidRPr="00E25790" w:rsidR="00F83197" w:rsidP="00AA0623" w:rsidRDefault="00F83197" w14:paraId="5A349FC9" w14:textId="77777777">
            <w:pPr>
              <w:rPr>
                <w:lang w:val="en-AU"/>
              </w:rPr>
            </w:pPr>
          </w:p>
        </w:tc>
        <w:tc>
          <w:tcPr>
            <w:tcW w:w="6804" w:type="dxa"/>
          </w:tcPr>
          <w:p w:rsidRPr="00E25790" w:rsidR="00F83197" w:rsidP="00AA0623" w:rsidRDefault="00F83197" w14:paraId="2FE2C5E6" w14:textId="77777777">
            <w:pPr>
              <w:rPr>
                <w:lang w:val="en-AU"/>
              </w:rPr>
            </w:pPr>
            <w:r w:rsidRPr="00E25790">
              <w:rPr>
                <w:lang w:val="en-AU"/>
              </w:rPr>
              <w:t xml:space="preserve">Tachycardia and arrhythmia. </w:t>
            </w:r>
            <w:r w:rsidRPr="00E25790">
              <w:rPr>
                <w:lang w:val="en-AU"/>
              </w:rPr>
              <w:br/>
            </w:r>
            <w:r w:rsidRPr="00E25790">
              <w:rPr>
                <w:lang w:val="en-AU"/>
              </w:rPr>
              <w:t xml:space="preserve">Systemic hypertension especially at higher doses. </w:t>
            </w:r>
          </w:p>
          <w:p w:rsidRPr="00E25790" w:rsidR="00F83197" w:rsidP="00AA0623" w:rsidRDefault="00F83197" w14:paraId="29CEE744" w14:textId="77777777">
            <w:pPr>
              <w:rPr>
                <w:lang w:val="en-AU"/>
              </w:rPr>
            </w:pPr>
            <w:r w:rsidRPr="00E25790">
              <w:rPr>
                <w:lang w:val="en-AU"/>
              </w:rPr>
              <w:lastRenderedPageBreak/>
              <w:t>May cause hypokalaemia.</w:t>
            </w:r>
            <w:r w:rsidRPr="00E25790">
              <w:rPr>
                <w:lang w:val="en-AU"/>
              </w:rPr>
              <w:br/>
            </w:r>
            <w:r w:rsidRPr="00E25790">
              <w:rPr>
                <w:lang w:val="en-AU"/>
              </w:rPr>
              <w:t>Tissue necrosis at infusion site with extravasation.</w:t>
            </w:r>
          </w:p>
          <w:p w:rsidRPr="00E25790" w:rsidR="00F83197" w:rsidP="00AA0623" w:rsidRDefault="00F83197" w14:paraId="018AE5F6" w14:textId="77777777">
            <w:pPr>
              <w:rPr>
                <w:rFonts w:cs="Arial"/>
                <w:lang w:val="en-AU"/>
              </w:rPr>
            </w:pPr>
            <w:r w:rsidRPr="00E25790">
              <w:rPr>
                <w:lang w:val="en-AU"/>
              </w:rPr>
              <w:t xml:space="preserve">Digital ischaemia. </w:t>
            </w:r>
          </w:p>
        </w:tc>
      </w:tr>
      <w:tr w:rsidRPr="00E25790" w:rsidR="00F83197" w:rsidTr="77BEE3D0" w14:paraId="614CBE76" w14:textId="77777777">
        <w:trPr>
          <w:trHeight w:val="396"/>
        </w:trPr>
        <w:tc>
          <w:tcPr>
            <w:tcW w:w="2263" w:type="dxa"/>
          </w:tcPr>
          <w:p w:rsidRPr="00E25790" w:rsidR="00F83197" w:rsidP="00AA0623" w:rsidRDefault="00F83197" w14:paraId="73B5ECC0" w14:textId="77777777">
            <w:pPr>
              <w:rPr>
                <w:lang w:val="en-AU"/>
              </w:rPr>
            </w:pPr>
            <w:r w:rsidRPr="00E25790">
              <w:rPr>
                <w:lang w:val="en-AU"/>
              </w:rPr>
              <w:lastRenderedPageBreak/>
              <w:t>Compatibility</w:t>
            </w:r>
          </w:p>
          <w:p w:rsidRPr="00E25790" w:rsidR="00F83197" w:rsidP="00AA0623" w:rsidRDefault="00F83197" w14:paraId="2548809B" w14:textId="77777777">
            <w:pPr>
              <w:rPr>
                <w:lang w:val="en-AU"/>
              </w:rPr>
            </w:pPr>
          </w:p>
        </w:tc>
        <w:tc>
          <w:tcPr>
            <w:tcW w:w="6804" w:type="dxa"/>
          </w:tcPr>
          <w:p w:rsidRPr="00E25790" w:rsidR="00F83197" w:rsidP="00AA0623" w:rsidRDefault="00F83197" w14:paraId="697A81B7" w14:textId="77777777">
            <w:pPr>
              <w:rPr>
                <w:lang w:val="en-AU"/>
              </w:rPr>
            </w:pPr>
            <w:r w:rsidRPr="00E25790">
              <w:rPr>
                <w:lang w:val="en-AU"/>
              </w:rPr>
              <w:t xml:space="preserve">Fluids: </w:t>
            </w:r>
            <w:r w:rsidRPr="00E25790">
              <w:rPr>
                <w:rFonts w:cs="Helvetica"/>
                <w:color w:val="333333"/>
                <w:lang w:val="en"/>
              </w:rPr>
              <w:t xml:space="preserve">Glucose 5%, glucose 10%, Hartmann’s, sodium chloride 0.9%. </w:t>
            </w:r>
            <w:r w:rsidRPr="00E25790">
              <w:rPr>
                <w:lang w:val="en-AU"/>
              </w:rPr>
              <w:t>Stability data only available for 5% glucose for very high concentration.</w:t>
            </w:r>
          </w:p>
          <w:p w:rsidRPr="00E25790" w:rsidR="00F83197" w:rsidP="00AA0623" w:rsidRDefault="00F83197" w14:paraId="1BCF274B" w14:textId="77777777">
            <w:pPr>
              <w:rPr>
                <w:lang w:val="en-AU"/>
              </w:rPr>
            </w:pPr>
          </w:p>
          <w:p w:rsidRPr="00E25790" w:rsidR="00F83197" w:rsidP="00AA0623" w:rsidRDefault="00F83197" w14:paraId="75232B9B" w14:textId="77777777">
            <w:pPr>
              <w:rPr>
                <w:lang w:val="en-AU"/>
              </w:rPr>
            </w:pPr>
            <w:r w:rsidRPr="00E25790">
              <w:rPr>
                <w:lang w:val="en-AU"/>
              </w:rPr>
              <w:t xml:space="preserve">Y-site: Amino acid solutions. </w:t>
            </w:r>
            <w:r w:rsidRPr="00E25790">
              <w:rPr>
                <w:lang w:val="en"/>
              </w:rPr>
              <w:t>Amiodarone, anidulafungin, atracurium, bivalirudin, caspofungin, cisatracurium, dexmedetomidine, dobutamine, dopamine, ethanol, fentanyl, glyceryl trinitrate, heparin sodium, milrinone, morphine sulfate, pancuronium, potassium chloride, ranitidine, remifentanil, sodium nitroprusside, tigecycline, tirofiban, vecuronium.</w:t>
            </w:r>
          </w:p>
        </w:tc>
      </w:tr>
      <w:tr w:rsidRPr="00E25790" w:rsidR="00F83197" w:rsidTr="77BEE3D0" w14:paraId="02A74419" w14:textId="77777777">
        <w:trPr>
          <w:trHeight w:val="388"/>
        </w:trPr>
        <w:tc>
          <w:tcPr>
            <w:tcW w:w="2263" w:type="dxa"/>
          </w:tcPr>
          <w:p w:rsidRPr="00E25790" w:rsidR="00F83197" w:rsidP="00AA0623" w:rsidRDefault="00F83197" w14:paraId="58339719" w14:textId="77777777">
            <w:pPr>
              <w:rPr>
                <w:lang w:val="en-AU"/>
              </w:rPr>
            </w:pPr>
            <w:r w:rsidRPr="00E25790">
              <w:rPr>
                <w:lang w:val="en-AU"/>
              </w:rPr>
              <w:t xml:space="preserve">Incompatibility      </w:t>
            </w:r>
          </w:p>
          <w:p w:rsidRPr="00E25790" w:rsidR="00F83197" w:rsidP="00AA0623" w:rsidRDefault="00F83197" w14:paraId="4E3878F1" w14:textId="77777777">
            <w:pPr>
              <w:rPr>
                <w:lang w:val="en-AU"/>
              </w:rPr>
            </w:pPr>
            <w:r w:rsidRPr="00E25790">
              <w:rPr>
                <w:lang w:val="en-AU"/>
              </w:rPr>
              <w:t xml:space="preserve">               </w:t>
            </w:r>
            <w:r w:rsidRPr="00E25790">
              <w:rPr>
                <w:lang w:val="en-AU"/>
              </w:rPr>
              <w:tab/>
            </w:r>
          </w:p>
        </w:tc>
        <w:tc>
          <w:tcPr>
            <w:tcW w:w="6804" w:type="dxa"/>
          </w:tcPr>
          <w:p w:rsidRPr="00E25790" w:rsidR="00F83197" w:rsidP="00AA0623" w:rsidRDefault="00F83197" w14:paraId="67848DBD" w14:textId="77777777">
            <w:pPr>
              <w:rPr>
                <w:lang w:val="en-AU"/>
              </w:rPr>
            </w:pPr>
            <w:r w:rsidRPr="00E25790">
              <w:rPr>
                <w:lang w:val="en-AU"/>
              </w:rPr>
              <w:t>Fluids: Sodium bicarbonate.</w:t>
            </w:r>
          </w:p>
          <w:p w:rsidRPr="00E25790" w:rsidR="00F83197" w:rsidP="00AA0623" w:rsidRDefault="00F83197" w14:paraId="633E83D8" w14:textId="77777777">
            <w:pPr>
              <w:rPr>
                <w:lang w:val="en-AU"/>
              </w:rPr>
            </w:pPr>
          </w:p>
          <w:p w:rsidRPr="00E25790" w:rsidR="00F83197" w:rsidP="00AA0623" w:rsidRDefault="00F83197" w14:paraId="7054DCCB" w14:textId="77777777">
            <w:pPr>
              <w:rPr>
                <w:rFonts w:cs="Arial"/>
                <w:lang w:val="en-AU"/>
              </w:rPr>
            </w:pPr>
            <w:r w:rsidRPr="00E25790">
              <w:rPr>
                <w:lang w:val="en-AU"/>
              </w:rPr>
              <w:t xml:space="preserve">Y-site: </w:t>
            </w:r>
            <w:r w:rsidRPr="00E25790">
              <w:rPr>
                <w:lang w:val="en"/>
              </w:rPr>
              <w:t>Aciclovir, aminophylline, ampicillin, atropine, azathioprine, calcium chloride, calcium gluconate, cefalotin, chloramphenicol, digoxin, ergometrine, ganciclovir, hyaluronidase</w:t>
            </w:r>
            <w:r w:rsidRPr="00E25790">
              <w:rPr>
                <w:vertAlign w:val="superscript"/>
                <w:lang w:val="en"/>
              </w:rPr>
              <w:t>,</w:t>
            </w:r>
            <w:r w:rsidRPr="00E25790">
              <w:rPr>
                <w:lang w:val="en"/>
              </w:rPr>
              <w:t>, hydrocortisone sodium succinate, indomethacin, noradrenaline, phenobarbitone sodium, sodium bicarbonate, thiopentone, vancomycin.</w:t>
            </w:r>
          </w:p>
        </w:tc>
      </w:tr>
      <w:tr w:rsidRPr="00E25790" w:rsidR="00F83197" w:rsidTr="77BEE3D0" w14:paraId="0CC20902" w14:textId="77777777">
        <w:trPr>
          <w:trHeight w:val="512"/>
        </w:trPr>
        <w:tc>
          <w:tcPr>
            <w:tcW w:w="2263" w:type="dxa"/>
          </w:tcPr>
          <w:p w:rsidRPr="00E25790" w:rsidR="00F83197" w:rsidP="00AA0623" w:rsidRDefault="00F83197" w14:paraId="65EC195E" w14:textId="77777777">
            <w:pPr>
              <w:rPr>
                <w:lang w:val="en-AU"/>
              </w:rPr>
            </w:pPr>
            <w:r w:rsidRPr="00E25790">
              <w:rPr>
                <w:lang w:val="en-AU"/>
              </w:rPr>
              <w:t xml:space="preserve">Stability                  </w:t>
            </w:r>
          </w:p>
        </w:tc>
        <w:tc>
          <w:tcPr>
            <w:tcW w:w="6804" w:type="dxa"/>
          </w:tcPr>
          <w:p w:rsidRPr="00E25790" w:rsidR="00F83197" w:rsidP="00AA0623" w:rsidRDefault="00F83197" w14:paraId="2D962463" w14:textId="77777777">
            <w:pPr>
              <w:rPr>
                <w:lang w:val="en-AU"/>
              </w:rPr>
            </w:pPr>
            <w:r w:rsidRPr="00E25790">
              <w:rPr>
                <w:lang w:val="en-AU"/>
              </w:rPr>
              <w:t>Ampoule: Store below 30°C. Protect from light.</w:t>
            </w:r>
          </w:p>
          <w:p w:rsidRPr="00E25790" w:rsidR="00F83197" w:rsidP="00AA0623" w:rsidRDefault="00F83197" w14:paraId="73FEB065" w14:textId="77777777">
            <w:pPr>
              <w:rPr>
                <w:rFonts w:cs="Arial"/>
                <w:lang w:val="en-AU"/>
              </w:rPr>
            </w:pPr>
            <w:r w:rsidRPr="00E25790">
              <w:rPr>
                <w:lang w:val="en-AU"/>
              </w:rPr>
              <w:t>Diluted solution: Stable for 24 hours below 25°C.</w:t>
            </w:r>
          </w:p>
        </w:tc>
      </w:tr>
      <w:tr w:rsidRPr="00E25790" w:rsidR="00F83197" w:rsidTr="77BEE3D0" w14:paraId="7FDD2226" w14:textId="77777777">
        <w:trPr>
          <w:trHeight w:val="371"/>
        </w:trPr>
        <w:tc>
          <w:tcPr>
            <w:tcW w:w="2263" w:type="dxa"/>
          </w:tcPr>
          <w:p w:rsidRPr="00E25790" w:rsidR="00F83197" w:rsidP="00AA0623" w:rsidRDefault="00F83197" w14:paraId="0AE03E03" w14:textId="77777777">
            <w:pPr>
              <w:rPr>
                <w:lang w:val="en-AU"/>
              </w:rPr>
            </w:pPr>
            <w:r w:rsidRPr="00E25790">
              <w:rPr>
                <w:lang w:val="en-AU"/>
              </w:rPr>
              <w:t xml:space="preserve">Storage             </w:t>
            </w:r>
          </w:p>
        </w:tc>
        <w:tc>
          <w:tcPr>
            <w:tcW w:w="6804" w:type="dxa"/>
          </w:tcPr>
          <w:p w:rsidRPr="00E25790" w:rsidR="00F83197" w:rsidP="00AA0623" w:rsidRDefault="00F83197" w14:paraId="57B7B9FA" w14:textId="77777777">
            <w:pPr>
              <w:rPr>
                <w:lang w:val="en-AU"/>
              </w:rPr>
            </w:pPr>
            <w:r w:rsidRPr="00E25790">
              <w:rPr>
                <w:lang w:val="en-AU"/>
              </w:rPr>
              <w:t>Ampolue:</w:t>
            </w:r>
          </w:p>
          <w:p w:rsidRPr="00E25790" w:rsidR="00F83197" w:rsidP="00AA0623" w:rsidRDefault="00F83197" w14:paraId="3E669133" w14:textId="77777777">
            <w:pPr>
              <w:rPr>
                <w:rFonts w:cs="Arial"/>
                <w:lang w:val="en-AU"/>
              </w:rPr>
            </w:pPr>
            <w:r w:rsidRPr="00E25790">
              <w:rPr>
                <w:lang w:val="en-AU"/>
              </w:rPr>
              <w:t>Store below 25°C.</w:t>
            </w:r>
            <w:r w:rsidRPr="00E25790">
              <w:rPr>
                <w:lang w:val="en-AU"/>
              </w:rPr>
              <w:br/>
            </w:r>
            <w:r w:rsidRPr="00E25790">
              <w:rPr>
                <w:lang w:val="en-AU"/>
              </w:rPr>
              <w:t>Protect from light.</w:t>
            </w:r>
            <w:r w:rsidRPr="00E25790">
              <w:rPr>
                <w:lang w:val="en-AU"/>
              </w:rPr>
              <w:br/>
            </w:r>
            <w:r w:rsidRPr="00E25790">
              <w:rPr>
                <w:lang w:val="en-AU"/>
              </w:rPr>
              <w:t>Discard remainder after use.</w:t>
            </w:r>
          </w:p>
        </w:tc>
      </w:tr>
      <w:tr w:rsidRPr="00E25790" w:rsidR="00F83197" w:rsidTr="77BEE3D0" w14:paraId="2A1677F2" w14:textId="77777777">
        <w:trPr>
          <w:trHeight w:val="395"/>
        </w:trPr>
        <w:tc>
          <w:tcPr>
            <w:tcW w:w="2263" w:type="dxa"/>
          </w:tcPr>
          <w:p w:rsidRPr="00E25790" w:rsidR="00F83197" w:rsidP="00AA0623" w:rsidRDefault="00F83197" w14:paraId="6173F6BA" w14:textId="77777777">
            <w:pPr>
              <w:rPr>
                <w:lang w:val="en-AU"/>
              </w:rPr>
            </w:pPr>
            <w:r w:rsidRPr="00E25790">
              <w:rPr>
                <w:lang w:val="en-AU"/>
              </w:rPr>
              <w:t xml:space="preserve">Special Comments       </w:t>
            </w:r>
          </w:p>
          <w:p w:rsidRPr="00E25790" w:rsidR="00F83197" w:rsidP="00AA0623" w:rsidRDefault="00F83197" w14:paraId="38CD1F34" w14:textId="77777777">
            <w:pPr>
              <w:rPr>
                <w:lang w:val="en-AU"/>
              </w:rPr>
            </w:pPr>
          </w:p>
        </w:tc>
        <w:tc>
          <w:tcPr>
            <w:tcW w:w="6804" w:type="dxa"/>
          </w:tcPr>
          <w:p w:rsidRPr="00E25790" w:rsidR="00F83197" w:rsidP="00AA0623" w:rsidRDefault="00F83197" w14:paraId="3032DB5E" w14:textId="77777777">
            <w:pPr>
              <w:rPr>
                <w:rFonts w:cs="Arial"/>
                <w:lang w:val="en-AU"/>
              </w:rPr>
            </w:pPr>
            <w:r w:rsidRPr="00E25790">
              <w:rPr>
                <w:lang w:val="en-AU"/>
              </w:rPr>
              <w:t>Ensure adrenaline has a "dedicated" line to avoid accidental bolus. Do not use as a side line with maintenance fluids.</w:t>
            </w:r>
            <w:r w:rsidRPr="00E25790">
              <w:rPr>
                <w:lang w:val="en-AU"/>
              </w:rPr>
              <w:br/>
            </w:r>
            <w:r w:rsidRPr="00E25790">
              <w:rPr>
                <w:lang w:val="en-AU"/>
              </w:rPr>
              <w:t>Discard admixtures exhibiting colour change.</w:t>
            </w:r>
          </w:p>
        </w:tc>
      </w:tr>
      <w:tr w:rsidRPr="00E25790" w:rsidR="00F83197" w:rsidTr="77BEE3D0" w14:paraId="4DBBA883" w14:textId="77777777">
        <w:trPr>
          <w:trHeight w:val="573"/>
        </w:trPr>
        <w:tc>
          <w:tcPr>
            <w:tcW w:w="2263" w:type="dxa"/>
          </w:tcPr>
          <w:p w:rsidRPr="00E25790" w:rsidR="00F83197" w:rsidP="00AA0623" w:rsidRDefault="00F83197" w14:paraId="3B044DBD" w14:textId="77777777">
            <w:pPr>
              <w:rPr>
                <w:lang w:val="en-AU"/>
              </w:rPr>
            </w:pPr>
            <w:r w:rsidRPr="00E25790">
              <w:rPr>
                <w:lang w:val="en-AU"/>
              </w:rPr>
              <w:t>Evidence summary</w:t>
            </w:r>
          </w:p>
        </w:tc>
        <w:tc>
          <w:tcPr>
            <w:tcW w:w="6804" w:type="dxa"/>
          </w:tcPr>
          <w:p w:rsidRPr="002410B7" w:rsidR="00F83197" w:rsidP="00AA0623" w:rsidRDefault="00F83197" w14:paraId="2F2728CC" w14:textId="77777777">
            <w:pPr>
              <w:rPr>
                <w:sz w:val="16"/>
                <w:szCs w:val="16"/>
                <w:lang w:val="en-AU"/>
              </w:rPr>
            </w:pPr>
            <w:r w:rsidRPr="002410B7">
              <w:rPr>
                <w:sz w:val="16"/>
                <w:szCs w:val="16"/>
                <w:lang w:val="en-AU"/>
              </w:rPr>
              <w:t xml:space="preserve">Efficacy: </w:t>
            </w:r>
            <w:r w:rsidRPr="002410B7">
              <w:rPr>
                <w:sz w:val="16"/>
                <w:szCs w:val="16"/>
                <w:lang w:val="en-AU"/>
              </w:rPr>
              <w:br/>
            </w:r>
            <w:r w:rsidRPr="002410B7">
              <w:rPr>
                <w:sz w:val="16"/>
                <w:szCs w:val="16"/>
                <w:lang w:val="en-AU"/>
              </w:rPr>
              <w:t>Treatment of hypotension in preterm infants: A single study of adrenaline 0.125−0.5 microgram/kg/minute versus dopamine 2.5−10 microgram/kg/minute reported they are equally effective at treating hypotension and increasing cerebral blood flow in very preterm infants. Adrenaline is associated with worse acid base status and increased hyperglycaemia. No difference in clinical outcomes was reported. [1−3] A single study of adrenaline 0.125, 0.250, 0.375, 0.5 microgram/kg/minute versus dopamine 5, 10, 15, 20 microgram/kg/minute reported dopamine reduced left ventricular output (LVO) 10% compared to a 14% increase in LVO with adrenaline. Dopamine and adrenaline caused significant increases in mean BP and pulmonary artery pressure. (LOE II, GOR C)</w:t>
            </w:r>
          </w:p>
          <w:p w:rsidRPr="002410B7" w:rsidR="00F83197" w:rsidP="00AA0623" w:rsidRDefault="00F83197" w14:paraId="0C54EB7C" w14:textId="77777777">
            <w:pPr>
              <w:rPr>
                <w:sz w:val="16"/>
                <w:szCs w:val="16"/>
                <w:lang w:val="en-AU"/>
              </w:rPr>
            </w:pPr>
          </w:p>
          <w:p w:rsidRPr="002410B7" w:rsidR="00F83197" w:rsidP="00AA0623" w:rsidRDefault="00F83197" w14:paraId="30DAB190" w14:textId="77777777">
            <w:pPr>
              <w:rPr>
                <w:sz w:val="16"/>
                <w:szCs w:val="16"/>
                <w:lang w:val="en-AU"/>
              </w:rPr>
            </w:pPr>
            <w:r w:rsidRPr="002410B7">
              <w:rPr>
                <w:sz w:val="16"/>
                <w:szCs w:val="16"/>
                <w:lang w:val="en-AU"/>
              </w:rPr>
              <w:t>Infants and children with septic shock: Early administration of adrenaline 0.1–0.3 microgram/kg/minute was associated with increased survival compared to dopamine. [4] (LOE II, GOR B)</w:t>
            </w:r>
          </w:p>
          <w:p w:rsidRPr="002410B7" w:rsidR="00F83197" w:rsidP="00AA0623" w:rsidRDefault="00F83197" w14:paraId="50DAC005" w14:textId="77777777">
            <w:pPr>
              <w:rPr>
                <w:sz w:val="16"/>
                <w:szCs w:val="16"/>
                <w:lang w:val="en-AU"/>
              </w:rPr>
            </w:pPr>
          </w:p>
          <w:p w:rsidRPr="002410B7" w:rsidR="00F83197" w:rsidP="00AA0623" w:rsidRDefault="00F83197" w14:paraId="7305706E" w14:textId="77777777">
            <w:pPr>
              <w:rPr>
                <w:sz w:val="16"/>
                <w:szCs w:val="16"/>
                <w:lang w:val="en-AU"/>
              </w:rPr>
            </w:pPr>
            <w:r w:rsidRPr="002410B7">
              <w:rPr>
                <w:sz w:val="16"/>
                <w:szCs w:val="16"/>
                <w:lang w:val="en-AU"/>
              </w:rPr>
              <w:t>Vasopressors for hypotensive shock (newborns excluded): In treatment of hypotensive shock beyond the newborn period, there was no difference in mortality comparing adrenaline and other vasopressors (noradrenaline, noradrenaline and dobutamine, or noradrenaline and dopexamine). [5] (LOE I, GOR B)</w:t>
            </w:r>
          </w:p>
          <w:p w:rsidRPr="002410B7" w:rsidR="00F83197" w:rsidP="00AA0623" w:rsidRDefault="00F83197" w14:paraId="32B72C64" w14:textId="77777777">
            <w:pPr>
              <w:rPr>
                <w:sz w:val="16"/>
                <w:szCs w:val="16"/>
                <w:lang w:val="en-AU"/>
              </w:rPr>
            </w:pPr>
          </w:p>
          <w:p w:rsidRPr="002410B7" w:rsidR="00F83197" w:rsidP="00AA0623" w:rsidRDefault="00F83197" w14:paraId="382EB8B1" w14:textId="77777777">
            <w:pPr>
              <w:rPr>
                <w:sz w:val="16"/>
                <w:szCs w:val="16"/>
                <w:lang w:val="en-AU"/>
              </w:rPr>
            </w:pPr>
            <w:r w:rsidRPr="002410B7">
              <w:rPr>
                <w:sz w:val="16"/>
                <w:szCs w:val="16"/>
                <w:lang w:val="en-AU"/>
              </w:rPr>
              <w:t>Summary: Adrenaline may be used in hypotensive neonates with vasodilatory shock with or without myocardial dysfunction, particularly those with septic shock or unresponsive to other inotropes. (LOE II, GOR B)</w:t>
            </w:r>
          </w:p>
          <w:p w:rsidRPr="002410B7" w:rsidR="00F83197" w:rsidP="00AA0623" w:rsidRDefault="00F83197" w14:paraId="73703943" w14:textId="77777777">
            <w:pPr>
              <w:rPr>
                <w:sz w:val="16"/>
                <w:szCs w:val="16"/>
                <w:lang w:val="en-AU"/>
              </w:rPr>
            </w:pPr>
          </w:p>
          <w:p w:rsidRPr="002410B7" w:rsidR="00F83197" w:rsidP="00AA0623" w:rsidRDefault="00F83197" w14:paraId="3351ACD0" w14:textId="77777777">
            <w:pPr>
              <w:rPr>
                <w:sz w:val="16"/>
                <w:szCs w:val="16"/>
                <w:lang w:val="en-AU"/>
              </w:rPr>
            </w:pPr>
            <w:r w:rsidRPr="002410B7">
              <w:rPr>
                <w:sz w:val="16"/>
                <w:szCs w:val="16"/>
                <w:lang w:val="en-AU"/>
              </w:rPr>
              <w:t>Safety: Adrenaline may be associated with worse acid base status and increased hyperglycaemia.[3] Adrenaline is a potent vasoconstrictor. [6]</w:t>
            </w:r>
          </w:p>
          <w:p w:rsidRPr="002410B7" w:rsidR="00F83197" w:rsidP="00AA0623" w:rsidRDefault="00F83197" w14:paraId="5F5F6993" w14:textId="77777777">
            <w:pPr>
              <w:rPr>
                <w:sz w:val="16"/>
                <w:szCs w:val="16"/>
                <w:lang w:val="en-AU"/>
              </w:rPr>
            </w:pPr>
          </w:p>
          <w:p w:rsidRPr="002410B7" w:rsidR="00F83197" w:rsidP="00AA0623" w:rsidRDefault="00F83197" w14:paraId="6A620737" w14:textId="77777777">
            <w:pPr>
              <w:rPr>
                <w:rFonts w:cs="Arial"/>
                <w:sz w:val="16"/>
                <w:szCs w:val="16"/>
                <w:lang w:val="en-AU"/>
              </w:rPr>
            </w:pPr>
            <w:r w:rsidRPr="002410B7">
              <w:rPr>
                <w:sz w:val="16"/>
                <w:szCs w:val="16"/>
                <w:lang w:val="en-AU"/>
              </w:rPr>
              <w:t>Pharmacokinetics: The onset of action is rapid and after intravenous infusion the half-life is approximately 5−10 minutes. [7] However, the half-life of intravenous adrenaline has not been reported in sick newborn infants. The plasma half-life of intratracheal adrenaline for newborn resuscitation is likely to average approximately50 minutes.[8]</w:t>
            </w:r>
          </w:p>
        </w:tc>
      </w:tr>
      <w:tr w:rsidRPr="00E25790" w:rsidR="00F83197" w:rsidTr="77BEE3D0" w14:paraId="5829F45E" w14:textId="77777777">
        <w:trPr>
          <w:trHeight w:val="128"/>
        </w:trPr>
        <w:tc>
          <w:tcPr>
            <w:tcW w:w="2263" w:type="dxa"/>
          </w:tcPr>
          <w:p w:rsidRPr="00E25790" w:rsidR="00F83197" w:rsidP="00AA0623" w:rsidRDefault="00F83197" w14:paraId="333C9A22" w14:textId="77777777">
            <w:pPr>
              <w:rPr>
                <w:rFonts w:cs="Arial"/>
                <w:bCs/>
                <w:lang w:val="en-AU"/>
              </w:rPr>
            </w:pPr>
            <w:r w:rsidRPr="00E25790">
              <w:rPr>
                <w:lang w:val="en-AU"/>
              </w:rPr>
              <w:lastRenderedPageBreak/>
              <w:t>References</w:t>
            </w:r>
          </w:p>
          <w:p w:rsidRPr="00E25790" w:rsidR="00F83197" w:rsidP="00AA0623" w:rsidRDefault="00F83197" w14:paraId="36F1DD73" w14:textId="77777777">
            <w:pPr>
              <w:rPr>
                <w:lang w:val="en-AU"/>
              </w:rPr>
            </w:pPr>
          </w:p>
          <w:p w:rsidRPr="00E25790" w:rsidR="00F83197" w:rsidP="00AA0623" w:rsidRDefault="00F83197" w14:paraId="77C9491C" w14:textId="77777777">
            <w:pPr>
              <w:rPr>
                <w:lang w:val="en-AU"/>
              </w:rPr>
            </w:pPr>
          </w:p>
          <w:p w:rsidRPr="00E25790" w:rsidR="00F83197" w:rsidP="00AA0623" w:rsidRDefault="00F83197" w14:paraId="0006AA31" w14:textId="77777777">
            <w:pPr>
              <w:rPr>
                <w:lang w:val="en-AU"/>
              </w:rPr>
            </w:pPr>
          </w:p>
          <w:p w:rsidRPr="00E25790" w:rsidR="00F83197" w:rsidP="00AA0623" w:rsidRDefault="00F83197" w14:paraId="1ABBC663" w14:textId="77777777">
            <w:pPr>
              <w:rPr>
                <w:lang w:val="en-AU"/>
              </w:rPr>
            </w:pPr>
          </w:p>
          <w:p w:rsidRPr="00E25790" w:rsidR="00F83197" w:rsidP="00AA0623" w:rsidRDefault="00F83197" w14:paraId="30B67A5E" w14:textId="77777777">
            <w:pPr>
              <w:rPr>
                <w:lang w:val="en-AU"/>
              </w:rPr>
            </w:pPr>
          </w:p>
          <w:p w:rsidRPr="00E25790" w:rsidR="00F83197" w:rsidP="00AA0623" w:rsidRDefault="00F83197" w14:paraId="63812450" w14:textId="77777777">
            <w:pPr>
              <w:rPr>
                <w:lang w:val="en-AU"/>
              </w:rPr>
            </w:pPr>
          </w:p>
        </w:tc>
        <w:tc>
          <w:tcPr>
            <w:tcW w:w="6804" w:type="dxa"/>
          </w:tcPr>
          <w:p w:rsidRPr="002410B7" w:rsidR="00F83197" w:rsidP="001B0E05" w:rsidRDefault="00F83197" w14:paraId="6C5B0BCB" w14:textId="77777777">
            <w:pPr>
              <w:pStyle w:val="ListParagraph"/>
              <w:numPr>
                <w:ilvl w:val="0"/>
                <w:numId w:val="48"/>
              </w:numPr>
              <w:ind w:left="360"/>
              <w:rPr>
                <w:sz w:val="16"/>
                <w:szCs w:val="16"/>
                <w:lang w:val="en-AU"/>
              </w:rPr>
            </w:pPr>
            <w:r w:rsidRPr="002410B7">
              <w:rPr>
                <w:sz w:val="16"/>
                <w:szCs w:val="16"/>
                <w:lang w:val="en-AU"/>
              </w:rPr>
              <w:t>Pellicer A, Bravo MDC, Madero R, Salas S, Quero J, Cabañas F. Early systemic hypotension and vasopressor support in low birth weight infants: Impact on neurodevelopment. Pediatrics. 2009;123:1369-76.</w:t>
            </w:r>
          </w:p>
          <w:p w:rsidRPr="002410B7" w:rsidR="00F83197" w:rsidP="001B0E05" w:rsidRDefault="00F83197" w14:paraId="7BE058D0" w14:textId="77777777">
            <w:pPr>
              <w:pStyle w:val="ListParagraph"/>
              <w:numPr>
                <w:ilvl w:val="0"/>
                <w:numId w:val="48"/>
              </w:numPr>
              <w:ind w:left="360"/>
              <w:rPr>
                <w:sz w:val="16"/>
                <w:szCs w:val="16"/>
                <w:lang w:val="en-AU"/>
              </w:rPr>
            </w:pPr>
            <w:r w:rsidRPr="002410B7">
              <w:rPr>
                <w:sz w:val="16"/>
                <w:szCs w:val="16"/>
                <w:lang w:val="en-AU"/>
              </w:rPr>
              <w:t>Pellicer A, Valverde E, Elorza MD, Madero R, Gayá F, Quero J, Cabañas F. Cardiovascular support for low birth weight infants and cerebral hemodynamics: A randomized, blinded, clinical trial. Pediatrics. 2005;115:1501-12.</w:t>
            </w:r>
          </w:p>
          <w:p w:rsidRPr="002410B7" w:rsidR="00F83197" w:rsidP="001B0E05" w:rsidRDefault="00F83197" w14:paraId="68BC1D52" w14:textId="77777777">
            <w:pPr>
              <w:pStyle w:val="ListParagraph"/>
              <w:numPr>
                <w:ilvl w:val="0"/>
                <w:numId w:val="48"/>
              </w:numPr>
              <w:ind w:left="360"/>
              <w:rPr>
                <w:sz w:val="16"/>
                <w:szCs w:val="16"/>
                <w:lang w:val="en-AU"/>
              </w:rPr>
            </w:pPr>
            <w:r w:rsidRPr="002410B7">
              <w:rPr>
                <w:sz w:val="16"/>
                <w:szCs w:val="16"/>
                <w:lang w:val="en-AU"/>
              </w:rPr>
              <w:t>Valverde E, Pellicer A, Madero R, Elorza D, Quero J, Cabanas F. Dopamine versus epinephrine for cardiovascular support in low birth weight infants: analysis of systemic effects and neonatal clinical outcomes. Pediatrics. 2006;117:e1213-22.</w:t>
            </w:r>
          </w:p>
          <w:p w:rsidRPr="002410B7" w:rsidR="00F83197" w:rsidP="001B0E05" w:rsidRDefault="00F83197" w14:paraId="13BDB313" w14:textId="77777777">
            <w:pPr>
              <w:pStyle w:val="ListParagraph"/>
              <w:numPr>
                <w:ilvl w:val="0"/>
                <w:numId w:val="48"/>
              </w:numPr>
              <w:ind w:left="360"/>
              <w:rPr>
                <w:sz w:val="16"/>
                <w:szCs w:val="16"/>
                <w:lang w:val="en-AU"/>
              </w:rPr>
            </w:pPr>
            <w:r w:rsidRPr="002410B7">
              <w:rPr>
                <w:sz w:val="16"/>
                <w:szCs w:val="16"/>
                <w:lang w:val="en-AU"/>
              </w:rPr>
              <w:t>Ventura AMC, Shieh HH, Bousso A, Góes PF, Fernandes IDCFO, De Souza DC, Paulo RLP, Chagas F, Gilio AE. Double-blind prospective randomized controlled trial of dopamine versus epinephrine as first-line vasoactive drugs in pediatric septic shock. Critical Care Medicine. 2015;43:2292-302.</w:t>
            </w:r>
          </w:p>
          <w:p w:rsidRPr="002410B7" w:rsidR="00F83197" w:rsidP="001B0E05" w:rsidRDefault="00F83197" w14:paraId="6F8BA309" w14:textId="77777777">
            <w:pPr>
              <w:pStyle w:val="ListParagraph"/>
              <w:numPr>
                <w:ilvl w:val="0"/>
                <w:numId w:val="48"/>
              </w:numPr>
              <w:ind w:left="360"/>
              <w:rPr>
                <w:sz w:val="16"/>
                <w:szCs w:val="16"/>
                <w:lang w:val="en-AU"/>
              </w:rPr>
            </w:pPr>
            <w:r w:rsidRPr="002410B7">
              <w:rPr>
                <w:sz w:val="16"/>
                <w:szCs w:val="16"/>
                <w:lang w:val="en-AU"/>
              </w:rPr>
              <w:t>Havel C, Arrich J, Losert H, Gamper G, Mullner M, Herkner H. Vasopressors for hypotensive shock. The Cochrane database of systematic reviews. 2011:CD003709.</w:t>
            </w:r>
          </w:p>
          <w:p w:rsidRPr="002410B7" w:rsidR="00F83197" w:rsidP="001B0E05" w:rsidRDefault="00F83197" w14:paraId="5AFA86E1" w14:textId="77777777">
            <w:pPr>
              <w:pStyle w:val="ListParagraph"/>
              <w:numPr>
                <w:ilvl w:val="0"/>
                <w:numId w:val="48"/>
              </w:numPr>
              <w:ind w:left="360"/>
              <w:rPr>
                <w:sz w:val="16"/>
                <w:szCs w:val="16"/>
                <w:lang w:val="en-AU"/>
              </w:rPr>
            </w:pPr>
            <w:r w:rsidRPr="002410B7">
              <w:rPr>
                <w:sz w:val="16"/>
                <w:szCs w:val="16"/>
                <w:lang w:val="en-AU"/>
              </w:rPr>
              <w:t>Noori S, Seri I. Neonatal blood pressure support: the use of inotropes, lusitropes, and other vasopressor agents. Clinics in perinatology. 2012;39:221-38.</w:t>
            </w:r>
          </w:p>
          <w:p w:rsidRPr="002410B7" w:rsidR="00F83197" w:rsidP="001B0E05" w:rsidRDefault="00F83197" w14:paraId="58155442" w14:textId="77777777">
            <w:pPr>
              <w:pStyle w:val="ListParagraph"/>
              <w:numPr>
                <w:ilvl w:val="0"/>
                <w:numId w:val="48"/>
              </w:numPr>
              <w:ind w:left="360"/>
              <w:rPr>
                <w:sz w:val="16"/>
                <w:szCs w:val="16"/>
                <w:lang w:val="en-AU"/>
              </w:rPr>
            </w:pPr>
            <w:r w:rsidRPr="002410B7">
              <w:rPr>
                <w:sz w:val="16"/>
                <w:szCs w:val="16"/>
                <w:lang w:val="en-AU"/>
              </w:rPr>
              <w:t>Fitzgerald GA, Barnes P, Hamilton CA, Dollery CT. Circulating adrenaline and blood pressure: the metabolic effects and kinetics of infused adrenaline in man. European journal of clinical investigation. 1980;10:401-6.</w:t>
            </w:r>
          </w:p>
          <w:p w:rsidRPr="002410B7" w:rsidR="00F83197" w:rsidP="001B0E05" w:rsidRDefault="00F83197" w14:paraId="454E3EBE" w14:textId="77777777">
            <w:pPr>
              <w:pStyle w:val="ListParagraph"/>
              <w:numPr>
                <w:ilvl w:val="0"/>
                <w:numId w:val="48"/>
              </w:numPr>
              <w:ind w:left="360"/>
              <w:rPr>
                <w:sz w:val="16"/>
                <w:szCs w:val="16"/>
                <w:lang w:val="en-AU"/>
              </w:rPr>
            </w:pPr>
            <w:r w:rsidRPr="002410B7">
              <w:rPr>
                <w:sz w:val="16"/>
                <w:szCs w:val="16"/>
                <w:lang w:val="en-AU"/>
              </w:rPr>
              <w:t>Schwab KO, von Stockhausen HB. Plasma catecholamines after endotracheal administration of adrenaline during postnatal resuscitation. Archives of disease in childhood Fetal and neonatal edition. 1994;70:F213-7.</w:t>
            </w:r>
          </w:p>
          <w:p w:rsidRPr="002410B7" w:rsidR="00F83197" w:rsidP="001B0E05" w:rsidRDefault="00F83197" w14:paraId="65C9E5E6" w14:textId="77777777">
            <w:pPr>
              <w:pStyle w:val="ListParagraph"/>
              <w:numPr>
                <w:ilvl w:val="0"/>
                <w:numId w:val="48"/>
              </w:numPr>
              <w:ind w:left="360"/>
              <w:rPr>
                <w:sz w:val="16"/>
                <w:szCs w:val="16"/>
                <w:lang w:val="en-AU"/>
              </w:rPr>
            </w:pPr>
            <w:r w:rsidRPr="002410B7">
              <w:rPr>
                <w:sz w:val="16"/>
                <w:szCs w:val="16"/>
                <w:lang w:val="en-AU"/>
              </w:rPr>
              <w:t>Young TE, Mangum B [2008]. Neofax: A manual of drugs used in neonatal care. Acorn Publishing, Inc. Raleigh, NC 27619</w:t>
            </w:r>
          </w:p>
          <w:p w:rsidRPr="002410B7" w:rsidR="00F83197" w:rsidP="001B0E05" w:rsidRDefault="00F83197" w14:paraId="0D859175" w14:textId="77777777">
            <w:pPr>
              <w:pStyle w:val="ListParagraph"/>
              <w:numPr>
                <w:ilvl w:val="0"/>
                <w:numId w:val="48"/>
              </w:numPr>
              <w:ind w:left="360"/>
              <w:rPr>
                <w:sz w:val="16"/>
                <w:szCs w:val="16"/>
                <w:lang w:val="en-AU"/>
              </w:rPr>
            </w:pPr>
            <w:r w:rsidRPr="002410B7">
              <w:rPr>
                <w:sz w:val="16"/>
                <w:szCs w:val="16"/>
                <w:lang w:val="en-AU"/>
              </w:rPr>
              <w:t>Australian Injectable Drugs Handbook, 6th Edition, Society of Hospital Pharmacists of Australia 2014.</w:t>
            </w:r>
          </w:p>
        </w:tc>
      </w:tr>
    </w:tbl>
    <w:p w:rsidRPr="00E25790" w:rsidR="00A87894" w:rsidP="006F0321" w:rsidRDefault="00A87894" w14:paraId="5C90A332" w14:textId="77777777"/>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6"/>
        <w:gridCol w:w="4536"/>
      </w:tblGrid>
      <w:tr w:rsidRPr="0053172C" w:rsidR="00E424B4" w:rsidTr="00AA0623" w14:paraId="0BA860B5" w14:textId="77777777">
        <w:tc>
          <w:tcPr>
            <w:tcW w:w="4536" w:type="dxa"/>
            <w:vAlign w:val="center"/>
          </w:tcPr>
          <w:p w:rsidRPr="00F83197" w:rsidR="00F83197" w:rsidP="00AA0623" w:rsidRDefault="00F83197" w14:paraId="33D1A854" w14:textId="77777777">
            <w:r w:rsidRPr="00F83197">
              <w:t>Original version Date: 31/03/2016</w:t>
            </w:r>
          </w:p>
        </w:tc>
        <w:tc>
          <w:tcPr>
            <w:tcW w:w="4536" w:type="dxa"/>
            <w:vAlign w:val="center"/>
          </w:tcPr>
          <w:p w:rsidRPr="00F83197" w:rsidR="00F83197" w:rsidP="00AA0623" w:rsidRDefault="00F83197" w14:paraId="0D337F54" w14:textId="77777777">
            <w:r w:rsidRPr="00F83197">
              <w:t>Author: NMF Consensus Group</w:t>
            </w:r>
          </w:p>
        </w:tc>
      </w:tr>
      <w:tr w:rsidRPr="0053172C" w:rsidR="00E424B4" w:rsidTr="00AA0623" w14:paraId="46146B4F" w14:textId="77777777">
        <w:tc>
          <w:tcPr>
            <w:tcW w:w="4536" w:type="dxa"/>
            <w:vAlign w:val="center"/>
          </w:tcPr>
          <w:p w:rsidRPr="00F83197" w:rsidR="00F83197" w:rsidP="00AA0623" w:rsidRDefault="00F83197" w14:paraId="5592B327" w14:textId="6FD0A2CA">
            <w:pPr>
              <w:rPr>
                <w:bCs/>
              </w:rPr>
            </w:pPr>
            <w:r w:rsidRPr="00F83197">
              <w:t xml:space="preserve">Current Version number:  </w:t>
            </w:r>
            <w:r w:rsidR="00F520AA">
              <w:t>2</w:t>
            </w:r>
          </w:p>
        </w:tc>
        <w:tc>
          <w:tcPr>
            <w:tcW w:w="4536" w:type="dxa"/>
            <w:vAlign w:val="center"/>
          </w:tcPr>
          <w:p w:rsidRPr="00F83197" w:rsidR="00F83197" w:rsidP="00AA0623" w:rsidRDefault="00F83197" w14:paraId="77EFD03B" w14:textId="606F5CCF">
            <w:r w:rsidRPr="00F83197">
              <w:t xml:space="preserve">Current Version Date:  </w:t>
            </w:r>
            <w:r w:rsidR="00F520AA">
              <w:t>15/12/2020</w:t>
            </w:r>
          </w:p>
        </w:tc>
      </w:tr>
      <w:tr w:rsidRPr="0053172C" w:rsidR="00E424B4" w:rsidTr="00AA0623" w14:paraId="567EF3B8" w14:textId="77777777">
        <w:tc>
          <w:tcPr>
            <w:tcW w:w="4536" w:type="dxa"/>
            <w:vAlign w:val="center"/>
          </w:tcPr>
          <w:p w:rsidRPr="00F83197" w:rsidR="00F83197" w:rsidP="00AA0623" w:rsidRDefault="00F83197" w14:paraId="1865838D" w14:textId="77777777">
            <w:r w:rsidRPr="00F83197">
              <w:t>Risk Rating: Medium</w:t>
            </w:r>
          </w:p>
        </w:tc>
        <w:tc>
          <w:tcPr>
            <w:tcW w:w="4536" w:type="dxa"/>
            <w:vAlign w:val="center"/>
          </w:tcPr>
          <w:p w:rsidRPr="00F83197" w:rsidR="00F83197" w:rsidP="00AA0623" w:rsidRDefault="00F83197" w14:paraId="09748780" w14:textId="4D73C70D">
            <w:r w:rsidRPr="00F83197">
              <w:t xml:space="preserve">Due for Review:  </w:t>
            </w:r>
            <w:r w:rsidR="00F520AA">
              <w:t>15</w:t>
            </w:r>
            <w:r w:rsidRPr="00F83197">
              <w:t>/</w:t>
            </w:r>
            <w:r w:rsidR="00F520AA">
              <w:t>12</w:t>
            </w:r>
            <w:r w:rsidRPr="00F83197">
              <w:t>/202</w:t>
            </w:r>
            <w:r w:rsidR="00F520AA">
              <w:t>3</w:t>
            </w:r>
          </w:p>
        </w:tc>
      </w:tr>
      <w:tr w:rsidRPr="0053172C" w:rsidR="00E424B4" w:rsidTr="00AA0623" w14:paraId="62AD5EBB" w14:textId="77777777">
        <w:trPr>
          <w:trHeight w:val="344"/>
        </w:trPr>
        <w:tc>
          <w:tcPr>
            <w:tcW w:w="4536" w:type="dxa"/>
            <w:tcBorders>
              <w:bottom w:val="single" w:color="auto" w:sz="4" w:space="0"/>
            </w:tcBorders>
            <w:vAlign w:val="center"/>
          </w:tcPr>
          <w:p w:rsidRPr="00F83197" w:rsidR="00F83197" w:rsidP="00AA0623" w:rsidRDefault="00F83197" w14:paraId="5F58B8DA" w14:textId="77777777">
            <w:r w:rsidRPr="00F83197">
              <w:t>Approval by: DTC</w:t>
            </w:r>
          </w:p>
        </w:tc>
        <w:tc>
          <w:tcPr>
            <w:tcW w:w="4536" w:type="dxa"/>
            <w:tcBorders>
              <w:bottom w:val="single" w:color="auto" w:sz="4" w:space="0"/>
            </w:tcBorders>
            <w:vAlign w:val="center"/>
          </w:tcPr>
          <w:p w:rsidRPr="00F83197" w:rsidR="00F83197" w:rsidP="00AA0623" w:rsidRDefault="00F83197" w14:paraId="69B86952" w14:textId="77777777">
            <w:r w:rsidRPr="00F83197">
              <w:t>Approval Date: 5/12/2017</w:t>
            </w:r>
          </w:p>
        </w:tc>
      </w:tr>
    </w:tbl>
    <w:p w:rsidR="00AA0623" w:rsidP="006F0321" w:rsidRDefault="00AA0623" w14:paraId="30181403" w14:textId="77777777"/>
    <w:p w:rsidR="00AA0623" w:rsidRDefault="00AA0623" w14:paraId="26C47608" w14:textId="77777777">
      <w:r>
        <w:br w:type="page"/>
      </w:r>
    </w:p>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4B3096" w:rsidR="004B3096" w:rsidTr="00AA0623" w14:paraId="07FD8EFF" w14:textId="77777777">
        <w:trPr>
          <w:cantSplit/>
          <w:trHeight w:val="720"/>
        </w:trPr>
        <w:tc>
          <w:tcPr>
            <w:tcW w:w="9049" w:type="dxa"/>
            <w:gridSpan w:val="2"/>
            <w:shd w:val="clear" w:color="auto" w:fill="FFFF00"/>
          </w:tcPr>
          <w:p w:rsidRPr="004B3096" w:rsidR="004B3096" w:rsidP="009469DB" w:rsidRDefault="004B3096" w14:paraId="59F0DA8F" w14:textId="77777777">
            <w:pPr>
              <w:pStyle w:val="Heading1"/>
            </w:pPr>
            <w:bookmarkStart w:name="_Toc38106804" w:id="65"/>
            <w:bookmarkStart w:name="_Toc75339928" w:id="66"/>
            <w:r w:rsidRPr="004B3096">
              <w:lastRenderedPageBreak/>
              <w:t xml:space="preserve">Adrenaline (Epinephrine) </w:t>
            </w:r>
            <w:r>
              <w:t>Inhalation</w:t>
            </w:r>
            <w:bookmarkEnd w:id="65"/>
            <w:bookmarkEnd w:id="66"/>
            <w:r w:rsidRPr="004B3096">
              <w:fldChar w:fldCharType="begin"/>
            </w:r>
            <w:r w:rsidRPr="004B3096">
              <w:instrText>tc "Adrenaline" \l 0</w:instrText>
            </w:r>
            <w:r w:rsidRPr="004B3096">
              <w:fldChar w:fldCharType="end"/>
            </w:r>
          </w:p>
        </w:tc>
      </w:tr>
      <w:tr w:rsidRPr="004B3096" w:rsidR="004B3096" w:rsidTr="00AA0623" w14:paraId="042115EF" w14:textId="77777777">
        <w:trPr>
          <w:cantSplit/>
          <w:trHeight w:val="480"/>
        </w:trPr>
        <w:tc>
          <w:tcPr>
            <w:tcW w:w="4153" w:type="dxa"/>
            <w:shd w:val="clear" w:color="auto" w:fill="FFFF00"/>
          </w:tcPr>
          <w:p w:rsidRPr="004B3096" w:rsidR="004B3096" w:rsidP="006F0321" w:rsidRDefault="004B3096" w14:paraId="25638775" w14:textId="77777777">
            <w:r w:rsidRPr="004B3096">
              <w:t>Revision Date</w:t>
            </w:r>
            <w:r w:rsidRPr="004B3096">
              <w:rPr>
                <w:b/>
              </w:rPr>
              <w:t xml:space="preserve"> : </w:t>
            </w:r>
            <w:r>
              <w:rPr>
                <w:b/>
              </w:rPr>
              <w:t>April 2020</w:t>
            </w:r>
          </w:p>
        </w:tc>
        <w:tc>
          <w:tcPr>
            <w:tcW w:w="4896" w:type="dxa"/>
            <w:shd w:val="clear" w:color="auto" w:fill="FFFF00"/>
          </w:tcPr>
          <w:p w:rsidRPr="004B3096" w:rsidR="004B3096" w:rsidP="006F0321" w:rsidRDefault="004B3096" w14:paraId="76505D88" w14:textId="77777777">
            <w:r w:rsidRPr="004B3096">
              <w:t>Approved : TC, KOH</w:t>
            </w:r>
          </w:p>
        </w:tc>
      </w:tr>
    </w:tbl>
    <w:p w:rsidRPr="00E25790" w:rsidR="004B3096" w:rsidP="006F0321" w:rsidRDefault="004B3096" w14:paraId="0453181E" w14:textId="77777777"/>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37"/>
        <w:gridCol w:w="6130"/>
      </w:tblGrid>
      <w:tr w:rsidRPr="00E25790" w:rsidR="004B3096" w:rsidTr="00AA0623" w14:paraId="76F0FA6B" w14:textId="77777777">
        <w:tc>
          <w:tcPr>
            <w:tcW w:w="2937" w:type="dxa"/>
            <w:shd w:val="clear" w:color="auto" w:fill="auto"/>
          </w:tcPr>
          <w:p w:rsidRPr="00E25790" w:rsidR="004B3096" w:rsidP="006F0321" w:rsidRDefault="004B3096" w14:paraId="02D0E369" w14:textId="77777777">
            <w:pPr>
              <w:rPr>
                <w:lang w:val="en-AU"/>
              </w:rPr>
            </w:pPr>
            <w:r w:rsidRPr="00E25790">
              <w:rPr>
                <w:lang w:val="en-AU"/>
              </w:rPr>
              <w:t>Alert</w:t>
            </w:r>
          </w:p>
        </w:tc>
        <w:tc>
          <w:tcPr>
            <w:tcW w:w="6130" w:type="dxa"/>
            <w:shd w:val="clear" w:color="auto" w:fill="auto"/>
          </w:tcPr>
          <w:p w:rsidRPr="00E25790" w:rsidR="004B3096" w:rsidP="006F0321" w:rsidRDefault="004B3096" w14:paraId="22B0E294" w14:textId="77777777">
            <w:pPr>
              <w:rPr>
                <w:lang w:val="en-AU"/>
              </w:rPr>
            </w:pPr>
          </w:p>
        </w:tc>
      </w:tr>
      <w:tr w:rsidRPr="00E25790" w:rsidR="004B3096" w:rsidTr="00AA0623" w14:paraId="0373DDC2" w14:textId="77777777">
        <w:tc>
          <w:tcPr>
            <w:tcW w:w="2937" w:type="dxa"/>
            <w:shd w:val="clear" w:color="auto" w:fill="auto"/>
          </w:tcPr>
          <w:p w:rsidRPr="00E25790" w:rsidR="004B3096" w:rsidP="006F0321" w:rsidRDefault="004B3096" w14:paraId="15C3C3A0" w14:textId="77777777">
            <w:pPr>
              <w:rPr>
                <w:lang w:val="en-AU"/>
              </w:rPr>
            </w:pPr>
            <w:r w:rsidRPr="00E25790">
              <w:rPr>
                <w:lang w:val="en-AU"/>
              </w:rPr>
              <w:t xml:space="preserve">Indication </w:t>
            </w:r>
          </w:p>
        </w:tc>
        <w:tc>
          <w:tcPr>
            <w:tcW w:w="6130" w:type="dxa"/>
            <w:shd w:val="clear" w:color="auto" w:fill="auto"/>
          </w:tcPr>
          <w:p w:rsidRPr="00E25790" w:rsidR="004B3096" w:rsidP="006F0321" w:rsidRDefault="004B3096" w14:paraId="12348235" w14:textId="77777777">
            <w:pPr>
              <w:rPr>
                <w:lang w:val="en-AU"/>
              </w:rPr>
            </w:pPr>
            <w:r w:rsidRPr="00E25790">
              <w:rPr>
                <w:lang w:val="en-AU"/>
              </w:rPr>
              <w:t>Management of post-extubation stridor [evidence for effectiveness is not clear]. [1-4] Initial treatment of outpatients with moderate to severe bronchiolitis. [5] Initial treatment of croup.[6]</w:t>
            </w:r>
          </w:p>
        </w:tc>
      </w:tr>
      <w:tr w:rsidRPr="00E25790" w:rsidR="004B3096" w:rsidTr="00AA0623" w14:paraId="1AB39A9E" w14:textId="77777777">
        <w:tc>
          <w:tcPr>
            <w:tcW w:w="2937" w:type="dxa"/>
            <w:shd w:val="clear" w:color="auto" w:fill="auto"/>
          </w:tcPr>
          <w:p w:rsidRPr="00E25790" w:rsidR="004B3096" w:rsidP="006F0321" w:rsidRDefault="004B3096" w14:paraId="0F0F1F4A" w14:textId="77777777">
            <w:pPr>
              <w:rPr>
                <w:lang w:val="en-AU"/>
              </w:rPr>
            </w:pPr>
            <w:r w:rsidRPr="00E25790">
              <w:rPr>
                <w:lang w:val="en-AU"/>
              </w:rPr>
              <w:t>Action</w:t>
            </w:r>
          </w:p>
        </w:tc>
        <w:tc>
          <w:tcPr>
            <w:tcW w:w="6130" w:type="dxa"/>
            <w:shd w:val="clear" w:color="auto" w:fill="auto"/>
          </w:tcPr>
          <w:p w:rsidRPr="00E25790" w:rsidR="004B3096" w:rsidP="006F0321" w:rsidRDefault="004B3096" w14:paraId="52301C1E" w14:textId="77777777">
            <w:pPr>
              <w:rPr>
                <w:lang w:val="en-AU"/>
              </w:rPr>
            </w:pPr>
            <w:r w:rsidRPr="00E25790">
              <w:rPr>
                <w:lang w:val="en-AU"/>
              </w:rPr>
              <w:t>Catecholamine drug with combined alpha and beta-agonist actions resulting in peripheral vasoconstriction reversing hypotension and mucosal oedema; increased rate and force of cardiac contractions, reversing hypotension; and reversal of bronchoconstriction and reduction in the release of inflammatory mediators. [7]</w:t>
            </w:r>
          </w:p>
        </w:tc>
      </w:tr>
      <w:tr w:rsidRPr="00E25790" w:rsidR="004B3096" w:rsidTr="00AA0623" w14:paraId="2234F694" w14:textId="77777777">
        <w:tc>
          <w:tcPr>
            <w:tcW w:w="2937" w:type="dxa"/>
            <w:shd w:val="clear" w:color="auto" w:fill="auto"/>
          </w:tcPr>
          <w:p w:rsidRPr="00E25790" w:rsidR="004B3096" w:rsidP="006F0321" w:rsidRDefault="004B3096" w14:paraId="773F7291" w14:textId="77777777">
            <w:pPr>
              <w:rPr>
                <w:lang w:val="en-AU"/>
              </w:rPr>
            </w:pPr>
            <w:r w:rsidRPr="00E25790">
              <w:rPr>
                <w:lang w:val="en-AU"/>
              </w:rPr>
              <w:t>Drug Type</w:t>
            </w:r>
          </w:p>
        </w:tc>
        <w:tc>
          <w:tcPr>
            <w:tcW w:w="6130" w:type="dxa"/>
            <w:shd w:val="clear" w:color="auto" w:fill="auto"/>
          </w:tcPr>
          <w:p w:rsidRPr="00E25790" w:rsidR="004B3096" w:rsidP="006F0321" w:rsidRDefault="004B3096" w14:paraId="581B1657" w14:textId="77777777">
            <w:pPr>
              <w:rPr>
                <w:lang w:val="en-AU"/>
              </w:rPr>
            </w:pPr>
            <w:r w:rsidRPr="00E25790">
              <w:rPr>
                <w:lang w:val="en-AU"/>
              </w:rPr>
              <w:t>Inotropic vasopressor.</w:t>
            </w:r>
          </w:p>
        </w:tc>
      </w:tr>
      <w:tr w:rsidRPr="00E25790" w:rsidR="004B3096" w:rsidTr="00AA0623" w14:paraId="1C5D0C02" w14:textId="77777777">
        <w:tc>
          <w:tcPr>
            <w:tcW w:w="2937" w:type="dxa"/>
            <w:shd w:val="clear" w:color="auto" w:fill="auto"/>
          </w:tcPr>
          <w:p w:rsidRPr="00E25790" w:rsidR="004B3096" w:rsidP="006F0321" w:rsidRDefault="004B3096" w14:paraId="64E43F9D" w14:textId="77777777">
            <w:pPr>
              <w:rPr>
                <w:lang w:val="en-AU"/>
              </w:rPr>
            </w:pPr>
            <w:r w:rsidRPr="00E25790">
              <w:rPr>
                <w:lang w:val="en-AU"/>
              </w:rPr>
              <w:t>Trade Name</w:t>
            </w:r>
          </w:p>
        </w:tc>
        <w:tc>
          <w:tcPr>
            <w:tcW w:w="6130" w:type="dxa"/>
            <w:shd w:val="clear" w:color="auto" w:fill="auto"/>
          </w:tcPr>
          <w:p w:rsidRPr="00E25790" w:rsidR="004B3096" w:rsidP="006F0321" w:rsidRDefault="004B3096" w14:paraId="23695E8D" w14:textId="77777777">
            <w:pPr>
              <w:rPr>
                <w:lang w:val="en-AU"/>
              </w:rPr>
            </w:pPr>
            <w:r w:rsidRPr="00E25790">
              <w:rPr>
                <w:lang w:val="en-AU"/>
              </w:rPr>
              <w:t>Aspen Adrenaline 1:1,000 injection</w:t>
            </w:r>
          </w:p>
        </w:tc>
      </w:tr>
      <w:tr w:rsidRPr="00E25790" w:rsidR="004B3096" w:rsidTr="00AA0623" w14:paraId="073F57F0" w14:textId="77777777">
        <w:tc>
          <w:tcPr>
            <w:tcW w:w="2937" w:type="dxa"/>
            <w:shd w:val="clear" w:color="auto" w:fill="auto"/>
          </w:tcPr>
          <w:p w:rsidRPr="00E25790" w:rsidR="004B3096" w:rsidP="006F0321" w:rsidRDefault="004B3096" w14:paraId="38A278D3" w14:textId="77777777">
            <w:pPr>
              <w:rPr>
                <w:lang w:val="en-AU"/>
              </w:rPr>
            </w:pPr>
            <w:r w:rsidRPr="00E25790">
              <w:rPr>
                <w:lang w:val="en-AU"/>
              </w:rPr>
              <w:t>Presentation</w:t>
            </w:r>
          </w:p>
        </w:tc>
        <w:tc>
          <w:tcPr>
            <w:tcW w:w="6130" w:type="dxa"/>
            <w:shd w:val="clear" w:color="auto" w:fill="auto"/>
          </w:tcPr>
          <w:p w:rsidRPr="00E25790" w:rsidR="004B3096" w:rsidP="006F0321" w:rsidRDefault="004B3096" w14:paraId="4C021729" w14:textId="77777777">
            <w:pPr>
              <w:rPr>
                <w:lang w:val="en-AU"/>
              </w:rPr>
            </w:pPr>
            <w:r w:rsidRPr="00E25790">
              <w:rPr>
                <w:lang w:val="en-AU"/>
              </w:rPr>
              <w:t>1:1,000 ampoule [1mg/1 mL]</w:t>
            </w:r>
          </w:p>
        </w:tc>
      </w:tr>
      <w:tr w:rsidRPr="00E25790" w:rsidR="004B3096" w:rsidTr="00AA0623" w14:paraId="6F515767" w14:textId="77777777">
        <w:tc>
          <w:tcPr>
            <w:tcW w:w="2937" w:type="dxa"/>
            <w:shd w:val="clear" w:color="auto" w:fill="auto"/>
          </w:tcPr>
          <w:p w:rsidRPr="00E25790" w:rsidR="004B3096" w:rsidP="006F0321" w:rsidRDefault="004B3096" w14:paraId="241D5613" w14:textId="77777777">
            <w:pPr>
              <w:rPr>
                <w:lang w:val="en-AU"/>
              </w:rPr>
            </w:pPr>
            <w:r w:rsidRPr="00E25790">
              <w:rPr>
                <w:lang w:val="en-AU"/>
              </w:rPr>
              <w:t>Dosage / Interval</w:t>
            </w:r>
          </w:p>
        </w:tc>
        <w:tc>
          <w:tcPr>
            <w:tcW w:w="6130" w:type="dxa"/>
            <w:shd w:val="clear" w:color="auto" w:fill="auto"/>
          </w:tcPr>
          <w:p w:rsidRPr="00E25790" w:rsidR="004B3096" w:rsidP="006F0321" w:rsidRDefault="004B3096" w14:paraId="147BE01C" w14:textId="77777777">
            <w:pPr>
              <w:rPr>
                <w:lang w:val="en-AU"/>
              </w:rPr>
            </w:pPr>
            <w:r w:rsidRPr="00E25790">
              <w:rPr>
                <w:lang w:val="en-AU"/>
              </w:rPr>
              <w:t>0.5 mg/kg [0.5 mL/kg of adrenaline 1:1000 ampoule]. Dose may be repeated every 60 minutes if required following medical assessment of previous dose effect</w:t>
            </w:r>
          </w:p>
        </w:tc>
      </w:tr>
      <w:tr w:rsidRPr="00E25790" w:rsidR="004B3096" w:rsidTr="00AA0623" w14:paraId="3EA867C5" w14:textId="77777777">
        <w:tc>
          <w:tcPr>
            <w:tcW w:w="2937" w:type="dxa"/>
            <w:shd w:val="clear" w:color="auto" w:fill="auto"/>
          </w:tcPr>
          <w:p w:rsidRPr="00E25790" w:rsidR="004B3096" w:rsidP="006F0321" w:rsidRDefault="004B3096" w14:paraId="1E930454" w14:textId="77777777">
            <w:pPr>
              <w:rPr>
                <w:lang w:val="en-AU"/>
              </w:rPr>
            </w:pPr>
            <w:r w:rsidRPr="00E25790">
              <w:rPr>
                <w:lang w:val="en-AU"/>
              </w:rPr>
              <w:t xml:space="preserve">Maximum dose </w:t>
            </w:r>
          </w:p>
        </w:tc>
        <w:tc>
          <w:tcPr>
            <w:tcW w:w="6130" w:type="dxa"/>
            <w:shd w:val="clear" w:color="auto" w:fill="auto"/>
          </w:tcPr>
          <w:p w:rsidRPr="00E25790" w:rsidR="004B3096" w:rsidP="006F0321" w:rsidRDefault="004B3096" w14:paraId="0919D260" w14:textId="77777777">
            <w:pPr>
              <w:rPr>
                <w:lang w:val="en-AU"/>
              </w:rPr>
            </w:pPr>
            <w:r w:rsidRPr="00E25790">
              <w:rPr>
                <w:lang w:val="en-AU"/>
              </w:rPr>
              <w:t>N/A</w:t>
            </w:r>
          </w:p>
        </w:tc>
      </w:tr>
      <w:tr w:rsidRPr="00E25790" w:rsidR="004B3096" w:rsidTr="00AA0623" w14:paraId="036E7170" w14:textId="77777777">
        <w:tc>
          <w:tcPr>
            <w:tcW w:w="2937" w:type="dxa"/>
            <w:shd w:val="clear" w:color="auto" w:fill="auto"/>
          </w:tcPr>
          <w:p w:rsidRPr="00E25790" w:rsidR="004B3096" w:rsidP="006F0321" w:rsidRDefault="004B3096" w14:paraId="5DA1C190" w14:textId="77777777">
            <w:pPr>
              <w:rPr>
                <w:lang w:val="en-AU"/>
              </w:rPr>
            </w:pPr>
            <w:r w:rsidRPr="00E25790">
              <w:rPr>
                <w:lang w:val="en-AU"/>
              </w:rPr>
              <w:t xml:space="preserve">Route </w:t>
            </w:r>
          </w:p>
        </w:tc>
        <w:tc>
          <w:tcPr>
            <w:tcW w:w="6130" w:type="dxa"/>
            <w:shd w:val="clear" w:color="auto" w:fill="auto"/>
          </w:tcPr>
          <w:p w:rsidRPr="00E25790" w:rsidR="004B3096" w:rsidP="006F0321" w:rsidRDefault="004B3096" w14:paraId="218B98B7" w14:textId="77777777">
            <w:pPr>
              <w:rPr>
                <w:lang w:val="en-AU"/>
              </w:rPr>
            </w:pPr>
            <w:r w:rsidRPr="00E25790">
              <w:rPr>
                <w:lang w:val="en-AU"/>
              </w:rPr>
              <w:t>Nebulised</w:t>
            </w:r>
          </w:p>
        </w:tc>
      </w:tr>
      <w:tr w:rsidRPr="00E25790" w:rsidR="004B3096" w:rsidTr="00AA0623" w14:paraId="7855E053" w14:textId="77777777">
        <w:tc>
          <w:tcPr>
            <w:tcW w:w="2937" w:type="dxa"/>
            <w:shd w:val="clear" w:color="auto" w:fill="auto"/>
          </w:tcPr>
          <w:p w:rsidRPr="00E25790" w:rsidR="004B3096" w:rsidP="006F0321" w:rsidRDefault="004B3096" w14:paraId="3F0277B5" w14:textId="77777777">
            <w:pPr>
              <w:rPr>
                <w:lang w:val="en-AU"/>
              </w:rPr>
            </w:pPr>
            <w:r w:rsidRPr="00E25790">
              <w:rPr>
                <w:lang w:val="en-AU"/>
              </w:rPr>
              <w:t xml:space="preserve">Preparation/Dilution </w:t>
            </w:r>
          </w:p>
        </w:tc>
        <w:tc>
          <w:tcPr>
            <w:tcW w:w="6130" w:type="dxa"/>
            <w:shd w:val="clear" w:color="auto" w:fill="auto"/>
          </w:tcPr>
          <w:p w:rsidRPr="00E25790" w:rsidR="004B3096" w:rsidP="006F0321" w:rsidRDefault="004B3096" w14:paraId="5CB72010" w14:textId="77777777">
            <w:pPr>
              <w:rPr>
                <w:lang w:val="en-AU"/>
              </w:rPr>
            </w:pPr>
            <w:r w:rsidRPr="00E25790">
              <w:rPr>
                <w:lang w:val="en-AU"/>
              </w:rPr>
              <w:t>Draw up 0.5 mL/kg (0.5 mg/kg) of adrenaline 1:1,000 [1mg/1 mL] ampoule and add sodium chloride 0.9% to make a final volume of 4 mL.</w:t>
            </w:r>
          </w:p>
        </w:tc>
      </w:tr>
      <w:tr w:rsidRPr="00E25790" w:rsidR="004B3096" w:rsidTr="00AA0623" w14:paraId="0EEBC390" w14:textId="77777777">
        <w:tc>
          <w:tcPr>
            <w:tcW w:w="2937" w:type="dxa"/>
            <w:shd w:val="clear" w:color="auto" w:fill="auto"/>
          </w:tcPr>
          <w:p w:rsidRPr="00E25790" w:rsidR="004B3096" w:rsidP="006F0321" w:rsidRDefault="004B3096" w14:paraId="118BBA2E" w14:textId="77777777">
            <w:pPr>
              <w:rPr>
                <w:lang w:val="en-AU"/>
              </w:rPr>
            </w:pPr>
            <w:r w:rsidRPr="00E25790">
              <w:rPr>
                <w:lang w:val="en-AU"/>
              </w:rPr>
              <w:t>Administration</w:t>
            </w:r>
          </w:p>
        </w:tc>
        <w:tc>
          <w:tcPr>
            <w:tcW w:w="6130" w:type="dxa"/>
            <w:shd w:val="clear" w:color="auto" w:fill="auto"/>
          </w:tcPr>
          <w:p w:rsidRPr="00E25790" w:rsidR="004B3096" w:rsidP="006F0321" w:rsidRDefault="004B3096" w14:paraId="38722B16" w14:textId="77777777">
            <w:pPr>
              <w:rPr>
                <w:lang w:val="en-AU"/>
              </w:rPr>
            </w:pPr>
            <w:r w:rsidRPr="00E25790">
              <w:rPr>
                <w:lang w:val="en-AU"/>
              </w:rPr>
              <w:t>Deliver final volume of 4 mL via nebuliser [kept upright] over 15 minutes. Driving gas as prescribed by medical staff. Set flow rate at 6 L/minute. There will always be dead space that is not available for nebulisation – it is not possible to nebulise to dryness.</w:t>
            </w:r>
          </w:p>
        </w:tc>
      </w:tr>
      <w:tr w:rsidRPr="00E25790" w:rsidR="004B3096" w:rsidTr="00AA0623" w14:paraId="520C2850" w14:textId="77777777">
        <w:tc>
          <w:tcPr>
            <w:tcW w:w="2937" w:type="dxa"/>
            <w:shd w:val="clear" w:color="auto" w:fill="auto"/>
          </w:tcPr>
          <w:p w:rsidRPr="00E25790" w:rsidR="004B3096" w:rsidP="006F0321" w:rsidRDefault="004B3096" w14:paraId="05BA1341" w14:textId="77777777">
            <w:pPr>
              <w:rPr>
                <w:lang w:val="en-AU"/>
              </w:rPr>
            </w:pPr>
            <w:r w:rsidRPr="00E25790">
              <w:rPr>
                <w:lang w:val="en-AU"/>
              </w:rPr>
              <w:t>Monitoring</w:t>
            </w:r>
          </w:p>
        </w:tc>
        <w:tc>
          <w:tcPr>
            <w:tcW w:w="6130" w:type="dxa"/>
            <w:shd w:val="clear" w:color="auto" w:fill="auto"/>
          </w:tcPr>
          <w:p w:rsidRPr="00E25790" w:rsidR="004B3096" w:rsidP="006F0321" w:rsidRDefault="004B3096" w14:paraId="4E8150F8" w14:textId="77777777">
            <w:pPr>
              <w:rPr>
                <w:lang w:val="en-AU"/>
              </w:rPr>
            </w:pPr>
            <w:r w:rsidRPr="00E25790">
              <w:rPr>
                <w:lang w:val="en-AU"/>
              </w:rPr>
              <w:t>Administer under close supervision of medical staff. Ensure cardiorespiratory monitoring including respiratory rate, oxygen saturation, heart rate and blood pressure.</w:t>
            </w:r>
          </w:p>
        </w:tc>
      </w:tr>
      <w:tr w:rsidRPr="00E25790" w:rsidR="004B3096" w:rsidTr="00AA0623" w14:paraId="030E8E6D" w14:textId="77777777">
        <w:tc>
          <w:tcPr>
            <w:tcW w:w="2937" w:type="dxa"/>
            <w:shd w:val="clear" w:color="auto" w:fill="auto"/>
          </w:tcPr>
          <w:p w:rsidRPr="00E25790" w:rsidR="004B3096" w:rsidP="006F0321" w:rsidRDefault="004B3096" w14:paraId="37736652" w14:textId="77777777">
            <w:pPr>
              <w:rPr>
                <w:lang w:val="en-AU"/>
              </w:rPr>
            </w:pPr>
            <w:r w:rsidRPr="00E25790">
              <w:rPr>
                <w:lang w:val="en-AU"/>
              </w:rPr>
              <w:t>Contraindications</w:t>
            </w:r>
          </w:p>
        </w:tc>
        <w:tc>
          <w:tcPr>
            <w:tcW w:w="6130" w:type="dxa"/>
            <w:shd w:val="clear" w:color="auto" w:fill="auto"/>
          </w:tcPr>
          <w:p w:rsidRPr="00E25790" w:rsidR="004B3096" w:rsidP="006F0321" w:rsidRDefault="004B3096" w14:paraId="612928C9" w14:textId="77777777">
            <w:pPr>
              <w:rPr>
                <w:lang w:val="en-AU"/>
              </w:rPr>
            </w:pPr>
            <w:r w:rsidRPr="00E25790">
              <w:rPr>
                <w:lang w:val="en-AU"/>
              </w:rPr>
              <w:t>Nil</w:t>
            </w:r>
          </w:p>
        </w:tc>
      </w:tr>
      <w:tr w:rsidRPr="00E25790" w:rsidR="004B3096" w:rsidTr="00AA0623" w14:paraId="146A6B9B" w14:textId="77777777">
        <w:tc>
          <w:tcPr>
            <w:tcW w:w="2937" w:type="dxa"/>
            <w:shd w:val="clear" w:color="auto" w:fill="auto"/>
          </w:tcPr>
          <w:p w:rsidRPr="00E25790" w:rsidR="004B3096" w:rsidP="006F0321" w:rsidRDefault="004B3096" w14:paraId="607A922F" w14:textId="77777777">
            <w:pPr>
              <w:rPr>
                <w:lang w:val="en-AU"/>
              </w:rPr>
            </w:pPr>
            <w:r w:rsidRPr="00E25790">
              <w:rPr>
                <w:lang w:val="en-AU"/>
              </w:rPr>
              <w:t>Precautions</w:t>
            </w:r>
          </w:p>
        </w:tc>
        <w:tc>
          <w:tcPr>
            <w:tcW w:w="6130" w:type="dxa"/>
            <w:shd w:val="clear" w:color="auto" w:fill="auto"/>
          </w:tcPr>
          <w:p w:rsidRPr="00E25790" w:rsidR="004B3096" w:rsidP="006F0321" w:rsidRDefault="004B3096" w14:paraId="594703D2" w14:textId="77777777">
            <w:pPr>
              <w:rPr>
                <w:lang w:val="en-AU"/>
              </w:rPr>
            </w:pPr>
            <w:r w:rsidRPr="00E25790">
              <w:rPr>
                <w:lang w:val="en-AU"/>
              </w:rPr>
              <w:t>Infants with arrhythmias, hypertension or hyperthyroidism. Infants with dilated or ischaemic cardiac disease.</w:t>
            </w:r>
          </w:p>
        </w:tc>
      </w:tr>
      <w:tr w:rsidRPr="00E25790" w:rsidR="004B3096" w:rsidTr="00AA0623" w14:paraId="7D6C67EF" w14:textId="77777777">
        <w:tc>
          <w:tcPr>
            <w:tcW w:w="2937" w:type="dxa"/>
            <w:shd w:val="clear" w:color="auto" w:fill="auto"/>
          </w:tcPr>
          <w:p w:rsidRPr="00E25790" w:rsidR="004B3096" w:rsidP="006F0321" w:rsidRDefault="004B3096" w14:paraId="51AEC464" w14:textId="77777777">
            <w:pPr>
              <w:rPr>
                <w:lang w:val="en-AU"/>
              </w:rPr>
            </w:pPr>
            <w:r w:rsidRPr="00E25790">
              <w:rPr>
                <w:lang w:val="en-AU"/>
              </w:rPr>
              <w:t xml:space="preserve">Drug Interactions </w:t>
            </w:r>
          </w:p>
        </w:tc>
        <w:tc>
          <w:tcPr>
            <w:tcW w:w="6130" w:type="dxa"/>
            <w:shd w:val="clear" w:color="auto" w:fill="auto"/>
          </w:tcPr>
          <w:p w:rsidRPr="00E25790" w:rsidR="004B3096" w:rsidP="006F0321" w:rsidRDefault="004B3096" w14:paraId="38B11B2D" w14:textId="77777777">
            <w:pPr>
              <w:rPr>
                <w:lang w:val="en-AU"/>
              </w:rPr>
            </w:pPr>
            <w:r w:rsidRPr="00E25790">
              <w:rPr>
                <w:lang w:val="en-AU"/>
              </w:rPr>
              <w:t>No information.</w:t>
            </w:r>
          </w:p>
        </w:tc>
      </w:tr>
      <w:tr w:rsidRPr="00E25790" w:rsidR="004B3096" w:rsidTr="00AA0623" w14:paraId="6773E190" w14:textId="77777777">
        <w:tc>
          <w:tcPr>
            <w:tcW w:w="2937" w:type="dxa"/>
            <w:shd w:val="clear" w:color="auto" w:fill="auto"/>
          </w:tcPr>
          <w:p w:rsidRPr="00E25790" w:rsidR="004B3096" w:rsidP="006F0321" w:rsidRDefault="004B3096" w14:paraId="42DC2CD1" w14:textId="77777777">
            <w:pPr>
              <w:rPr>
                <w:lang w:val="en-AU"/>
              </w:rPr>
            </w:pPr>
            <w:r w:rsidRPr="00E25790">
              <w:rPr>
                <w:lang w:val="en-AU"/>
              </w:rPr>
              <w:t>Adverse Reactions</w:t>
            </w:r>
          </w:p>
        </w:tc>
        <w:tc>
          <w:tcPr>
            <w:tcW w:w="6130" w:type="dxa"/>
            <w:shd w:val="clear" w:color="auto" w:fill="auto"/>
          </w:tcPr>
          <w:p w:rsidRPr="00E25790" w:rsidR="004B3096" w:rsidP="006F0321" w:rsidRDefault="004B3096" w14:paraId="13B02479" w14:textId="77777777">
            <w:pPr>
              <w:rPr>
                <w:lang w:val="en-AU"/>
              </w:rPr>
            </w:pPr>
            <w:r w:rsidRPr="00E25790">
              <w:rPr>
                <w:lang w:val="en-AU"/>
              </w:rPr>
              <w:t>Tachycardia and arrhythmia. Systemic hypertension.</w:t>
            </w:r>
          </w:p>
        </w:tc>
      </w:tr>
      <w:tr w:rsidRPr="00E25790" w:rsidR="004B3096" w:rsidTr="00AA0623" w14:paraId="4E493593" w14:textId="77777777">
        <w:tc>
          <w:tcPr>
            <w:tcW w:w="2937" w:type="dxa"/>
            <w:shd w:val="clear" w:color="auto" w:fill="auto"/>
          </w:tcPr>
          <w:p w:rsidRPr="00E25790" w:rsidR="004B3096" w:rsidP="006F0321" w:rsidRDefault="004B3096" w14:paraId="63A14693" w14:textId="77777777">
            <w:pPr>
              <w:rPr>
                <w:lang w:val="en-AU"/>
              </w:rPr>
            </w:pPr>
            <w:r w:rsidRPr="00E25790">
              <w:rPr>
                <w:lang w:val="en-AU"/>
              </w:rPr>
              <w:t>Compatibility</w:t>
            </w:r>
          </w:p>
        </w:tc>
        <w:tc>
          <w:tcPr>
            <w:tcW w:w="6130" w:type="dxa"/>
            <w:shd w:val="clear" w:color="auto" w:fill="auto"/>
          </w:tcPr>
          <w:p w:rsidRPr="00E25790" w:rsidR="004B3096" w:rsidP="006F0321" w:rsidRDefault="004B3096" w14:paraId="3D1D5982" w14:textId="77777777">
            <w:pPr>
              <w:rPr>
                <w:lang w:val="en-AU"/>
              </w:rPr>
            </w:pPr>
            <w:r w:rsidRPr="00E25790">
              <w:rPr>
                <w:lang w:val="en-AU"/>
              </w:rPr>
              <w:t>Fluids: Sodium chloride 0.9%</w:t>
            </w:r>
          </w:p>
          <w:p w:rsidRPr="00E25790" w:rsidR="004B3096" w:rsidP="006F0321" w:rsidRDefault="004B3096" w14:paraId="29FF9D7B" w14:textId="77777777">
            <w:pPr>
              <w:rPr>
                <w:lang w:val="en-AU"/>
              </w:rPr>
            </w:pPr>
            <w:r w:rsidRPr="00E25790">
              <w:rPr>
                <w:lang w:val="en-AU"/>
              </w:rPr>
              <w:t>Drugs: No information.</w:t>
            </w:r>
          </w:p>
        </w:tc>
      </w:tr>
      <w:tr w:rsidRPr="00E25790" w:rsidR="004B3096" w:rsidTr="00AA0623" w14:paraId="508DA796" w14:textId="77777777">
        <w:tc>
          <w:tcPr>
            <w:tcW w:w="2937" w:type="dxa"/>
            <w:shd w:val="clear" w:color="auto" w:fill="auto"/>
          </w:tcPr>
          <w:p w:rsidRPr="00E25790" w:rsidR="004B3096" w:rsidP="006F0321" w:rsidRDefault="004B3096" w14:paraId="69992396" w14:textId="77777777">
            <w:pPr>
              <w:rPr>
                <w:lang w:val="en-AU"/>
              </w:rPr>
            </w:pPr>
            <w:r w:rsidRPr="00E25790">
              <w:rPr>
                <w:lang w:val="en-AU"/>
              </w:rPr>
              <w:t>Incompatibility</w:t>
            </w:r>
          </w:p>
        </w:tc>
        <w:tc>
          <w:tcPr>
            <w:tcW w:w="6130" w:type="dxa"/>
            <w:shd w:val="clear" w:color="auto" w:fill="auto"/>
          </w:tcPr>
          <w:p w:rsidRPr="00E25790" w:rsidR="004B3096" w:rsidP="006F0321" w:rsidRDefault="004B3096" w14:paraId="32F733DE" w14:textId="77777777">
            <w:pPr>
              <w:rPr>
                <w:lang w:val="en-AU"/>
              </w:rPr>
            </w:pPr>
            <w:r w:rsidRPr="00E25790">
              <w:rPr>
                <w:lang w:val="en-AU"/>
              </w:rPr>
              <w:t>Fluids and drugs: No information.</w:t>
            </w:r>
          </w:p>
        </w:tc>
      </w:tr>
      <w:tr w:rsidRPr="00E25790" w:rsidR="004B3096" w:rsidTr="00AA0623" w14:paraId="309AE4B8" w14:textId="77777777">
        <w:tc>
          <w:tcPr>
            <w:tcW w:w="2937" w:type="dxa"/>
            <w:shd w:val="clear" w:color="auto" w:fill="auto"/>
          </w:tcPr>
          <w:p w:rsidRPr="00E25790" w:rsidR="004B3096" w:rsidP="006F0321" w:rsidRDefault="004B3096" w14:paraId="6562FA75" w14:textId="77777777">
            <w:pPr>
              <w:rPr>
                <w:lang w:val="en-AU"/>
              </w:rPr>
            </w:pPr>
            <w:r w:rsidRPr="00E25790">
              <w:rPr>
                <w:lang w:val="en-AU"/>
              </w:rPr>
              <w:t>Stability</w:t>
            </w:r>
          </w:p>
        </w:tc>
        <w:tc>
          <w:tcPr>
            <w:tcW w:w="6130" w:type="dxa"/>
            <w:shd w:val="clear" w:color="auto" w:fill="auto"/>
          </w:tcPr>
          <w:p w:rsidRPr="00E25790" w:rsidR="004B3096" w:rsidP="006F0321" w:rsidRDefault="004B3096" w14:paraId="212F59F6" w14:textId="77777777">
            <w:pPr>
              <w:rPr>
                <w:lang w:val="en-AU"/>
              </w:rPr>
            </w:pPr>
            <w:r w:rsidRPr="00E25790">
              <w:rPr>
                <w:lang w:val="en-AU"/>
              </w:rPr>
              <w:t>Discard remainder after use.</w:t>
            </w:r>
          </w:p>
        </w:tc>
      </w:tr>
      <w:tr w:rsidRPr="00E25790" w:rsidR="004B3096" w:rsidTr="00AA0623" w14:paraId="2C53C5C7" w14:textId="77777777">
        <w:tc>
          <w:tcPr>
            <w:tcW w:w="2937" w:type="dxa"/>
            <w:shd w:val="clear" w:color="auto" w:fill="auto"/>
          </w:tcPr>
          <w:p w:rsidRPr="00E25790" w:rsidR="004B3096" w:rsidP="006F0321" w:rsidRDefault="004B3096" w14:paraId="41454315" w14:textId="77777777">
            <w:pPr>
              <w:rPr>
                <w:lang w:val="en-AU"/>
              </w:rPr>
            </w:pPr>
            <w:r w:rsidRPr="00E25790">
              <w:rPr>
                <w:lang w:val="en-AU"/>
              </w:rPr>
              <w:lastRenderedPageBreak/>
              <w:t>Storage</w:t>
            </w:r>
          </w:p>
        </w:tc>
        <w:tc>
          <w:tcPr>
            <w:tcW w:w="6130" w:type="dxa"/>
            <w:shd w:val="clear" w:color="auto" w:fill="auto"/>
          </w:tcPr>
          <w:p w:rsidRPr="00E25790" w:rsidR="004B3096" w:rsidP="006F0321" w:rsidRDefault="004B3096" w14:paraId="192B471C" w14:textId="77777777">
            <w:pPr>
              <w:rPr>
                <w:lang w:val="en-AU"/>
              </w:rPr>
            </w:pPr>
            <w:r w:rsidRPr="00E25790">
              <w:rPr>
                <w:lang w:val="en-AU"/>
              </w:rPr>
              <w:t>Store below 25°C. Protect from light.</w:t>
            </w:r>
          </w:p>
        </w:tc>
      </w:tr>
      <w:tr w:rsidRPr="00E25790" w:rsidR="004B3096" w:rsidTr="00AA0623" w14:paraId="18B3B806" w14:textId="77777777">
        <w:tc>
          <w:tcPr>
            <w:tcW w:w="2937" w:type="dxa"/>
            <w:shd w:val="clear" w:color="auto" w:fill="auto"/>
          </w:tcPr>
          <w:p w:rsidRPr="00E25790" w:rsidR="004B3096" w:rsidP="006F0321" w:rsidRDefault="004B3096" w14:paraId="24D73D82" w14:textId="77777777">
            <w:pPr>
              <w:rPr>
                <w:lang w:val="en-AU"/>
              </w:rPr>
            </w:pPr>
            <w:r w:rsidRPr="00E25790">
              <w:rPr>
                <w:lang w:val="en-AU"/>
              </w:rPr>
              <w:t>Special comments</w:t>
            </w:r>
          </w:p>
        </w:tc>
        <w:tc>
          <w:tcPr>
            <w:tcW w:w="6130" w:type="dxa"/>
            <w:shd w:val="clear" w:color="auto" w:fill="auto"/>
          </w:tcPr>
          <w:p w:rsidRPr="00E25790" w:rsidR="004B3096" w:rsidP="006F0321" w:rsidRDefault="004B3096" w14:paraId="705F7260" w14:textId="77777777">
            <w:pPr>
              <w:rPr>
                <w:lang w:val="en-AU"/>
              </w:rPr>
            </w:pPr>
            <w:r w:rsidRPr="00E25790">
              <w:rPr>
                <w:lang w:val="en-AU"/>
              </w:rPr>
              <w:t>Cross-check correct adrenaline strength ampoule used</w:t>
            </w:r>
          </w:p>
        </w:tc>
      </w:tr>
      <w:tr w:rsidRPr="00E25790" w:rsidR="004B3096" w:rsidTr="00AA0623" w14:paraId="2CF0BCD6" w14:textId="77777777">
        <w:tc>
          <w:tcPr>
            <w:tcW w:w="2937" w:type="dxa"/>
            <w:shd w:val="clear" w:color="auto" w:fill="auto"/>
          </w:tcPr>
          <w:p w:rsidRPr="00E25790" w:rsidR="004B3096" w:rsidP="006F0321" w:rsidRDefault="004B3096" w14:paraId="41A78E6E" w14:textId="77777777">
            <w:pPr>
              <w:rPr>
                <w:lang w:val="en-AU"/>
              </w:rPr>
            </w:pPr>
            <w:r w:rsidRPr="00E25790">
              <w:rPr>
                <w:lang w:val="en-AU"/>
              </w:rPr>
              <w:t>Evidence summary</w:t>
            </w:r>
          </w:p>
        </w:tc>
        <w:tc>
          <w:tcPr>
            <w:tcW w:w="6130" w:type="dxa"/>
            <w:shd w:val="clear" w:color="auto" w:fill="auto"/>
          </w:tcPr>
          <w:p w:rsidRPr="00145DA4" w:rsidR="004B3096" w:rsidP="006F0321" w:rsidRDefault="004B3096" w14:paraId="540FDA0B" w14:textId="77777777">
            <w:pPr>
              <w:rPr>
                <w:sz w:val="16"/>
                <w:szCs w:val="16"/>
                <w:lang w:val="en-AU"/>
              </w:rPr>
            </w:pPr>
            <w:r w:rsidRPr="00145DA4">
              <w:rPr>
                <w:sz w:val="16"/>
                <w:szCs w:val="16"/>
                <w:lang w:val="en-AU"/>
              </w:rPr>
              <w:t xml:space="preserve">Efficacy: </w:t>
            </w:r>
          </w:p>
          <w:p w:rsidRPr="00145DA4" w:rsidR="004B3096" w:rsidP="006F0321" w:rsidRDefault="004B3096" w14:paraId="7F2CA7CB" w14:textId="77777777">
            <w:pPr>
              <w:rPr>
                <w:sz w:val="16"/>
                <w:szCs w:val="16"/>
                <w:lang w:val="en-AU"/>
              </w:rPr>
            </w:pPr>
            <w:r w:rsidRPr="00145DA4">
              <w:rPr>
                <w:b/>
                <w:sz w:val="16"/>
                <w:szCs w:val="16"/>
                <w:lang w:val="en-AU"/>
              </w:rPr>
              <w:t>Nebulised racemic adrenaline for extubation of newborn infants:</w:t>
            </w:r>
            <w:r w:rsidRPr="00145DA4">
              <w:rPr>
                <w:sz w:val="16"/>
                <w:szCs w:val="16"/>
                <w:lang w:val="en-AU"/>
              </w:rPr>
              <w:t xml:space="preserve"> There are no trials proving the efficacy of nebulised adrenaline compared to placebo or intravenous dexamethasone for post extubation stridor. [1-4]</w:t>
            </w:r>
          </w:p>
          <w:p w:rsidRPr="00145DA4" w:rsidR="004B3096" w:rsidP="006F0321" w:rsidRDefault="004B3096" w14:paraId="6F2E01BE" w14:textId="77777777">
            <w:pPr>
              <w:rPr>
                <w:sz w:val="16"/>
                <w:szCs w:val="16"/>
                <w:lang w:val="en-AU"/>
              </w:rPr>
            </w:pPr>
            <w:r w:rsidRPr="00145DA4">
              <w:rPr>
                <w:b/>
                <w:sz w:val="16"/>
                <w:szCs w:val="16"/>
                <w:lang w:val="en-AU"/>
              </w:rPr>
              <w:t xml:space="preserve">Treatment and prevention of bronchiolitis in newborns and infants: </w:t>
            </w:r>
            <w:r w:rsidRPr="00145DA4">
              <w:rPr>
                <w:sz w:val="16"/>
                <w:szCs w:val="16"/>
                <w:lang w:val="en-AU"/>
              </w:rPr>
              <w:t xml:space="preserve">Nebulised adrenaline decreases hospitalisations in patients presenting to ED. There is no evidence to support the use of adrenaline for inpatients. [5, 8] (LOE I, GOR A) </w:t>
            </w:r>
          </w:p>
          <w:p w:rsidRPr="00145DA4" w:rsidR="004B3096" w:rsidP="006F0321" w:rsidRDefault="004B3096" w14:paraId="5305BE8C" w14:textId="77777777">
            <w:pPr>
              <w:rPr>
                <w:sz w:val="16"/>
                <w:szCs w:val="16"/>
                <w:lang w:val="en-AU"/>
              </w:rPr>
            </w:pPr>
            <w:r w:rsidRPr="00145DA4">
              <w:rPr>
                <w:b/>
                <w:sz w:val="16"/>
                <w:szCs w:val="16"/>
                <w:lang w:val="en-AU"/>
              </w:rPr>
              <w:t>Treatment of children with croup:</w:t>
            </w:r>
            <w:r w:rsidRPr="00145DA4">
              <w:rPr>
                <w:sz w:val="16"/>
                <w:szCs w:val="16"/>
                <w:lang w:val="en-AU"/>
              </w:rPr>
              <w:t xml:space="preserve"> Nebulised adrenaline is associated with clinically and statistically significant transient reduction of symptoms of croup 30 minutes posttreatment. [6] 30 (LOE I, GOR A) Evidence does not favour racemic adrenaline or Ladrenaline, or IPPB over simple nebulisation. (LOE II, GOR B) Safety: Nebulised adrenaline is associated with increased heart rate and blood pressure. [2, 8] </w:t>
            </w:r>
          </w:p>
          <w:p w:rsidRPr="00145DA4" w:rsidR="004B3096" w:rsidP="006F0321" w:rsidRDefault="004B3096" w14:paraId="1E6BE9B0" w14:textId="77777777">
            <w:pPr>
              <w:rPr>
                <w:sz w:val="16"/>
                <w:szCs w:val="16"/>
                <w:lang w:val="en-AU"/>
              </w:rPr>
            </w:pPr>
            <w:r w:rsidRPr="00145DA4">
              <w:rPr>
                <w:b/>
                <w:sz w:val="16"/>
                <w:szCs w:val="16"/>
                <w:lang w:val="en-AU"/>
              </w:rPr>
              <w:t>Pharmacokinetics:</w:t>
            </w:r>
            <w:r w:rsidRPr="00145DA4">
              <w:rPr>
                <w:sz w:val="16"/>
                <w:szCs w:val="16"/>
                <w:lang w:val="en-AU"/>
              </w:rPr>
              <w:t xml:space="preserve"> Not reported for nebuliser use in newborns or children. No difference in plasma adrenaline concentrations in asymptomatic children with history of anaphylaxis given adrenaline inhaler (10–20 activations) versus children given a placebo.[9]</w:t>
            </w:r>
          </w:p>
        </w:tc>
      </w:tr>
      <w:tr w:rsidRPr="00E25790" w:rsidR="004B3096" w:rsidTr="00AA0623" w14:paraId="00E821A3" w14:textId="77777777">
        <w:tc>
          <w:tcPr>
            <w:tcW w:w="2937" w:type="dxa"/>
            <w:shd w:val="clear" w:color="auto" w:fill="auto"/>
          </w:tcPr>
          <w:p w:rsidRPr="00E25790" w:rsidR="004B3096" w:rsidP="006F0321" w:rsidRDefault="004B3096" w14:paraId="2A89248D" w14:textId="77777777">
            <w:pPr>
              <w:rPr>
                <w:lang w:val="en-AU"/>
              </w:rPr>
            </w:pPr>
            <w:r w:rsidRPr="00E25790">
              <w:rPr>
                <w:lang w:val="en-AU"/>
              </w:rPr>
              <w:t>References</w:t>
            </w:r>
          </w:p>
        </w:tc>
        <w:tc>
          <w:tcPr>
            <w:tcW w:w="6130" w:type="dxa"/>
            <w:shd w:val="clear" w:color="auto" w:fill="auto"/>
          </w:tcPr>
          <w:p w:rsidRPr="00145DA4" w:rsidR="004B3096" w:rsidP="006F0321" w:rsidRDefault="004B3096" w14:paraId="6A4C01A6" w14:textId="77777777">
            <w:pPr>
              <w:rPr>
                <w:sz w:val="16"/>
                <w:szCs w:val="16"/>
                <w:lang w:val="en-AU"/>
              </w:rPr>
            </w:pPr>
            <w:r w:rsidRPr="00145DA4">
              <w:rPr>
                <w:sz w:val="16"/>
                <w:szCs w:val="16"/>
                <w:lang w:val="en-AU"/>
              </w:rPr>
              <w:t>1. Cesar RG, de Carvalho WB. L-epinephrine and dexamethasone in postextubation airway obstruction: a prospective, randomized, double-blind placebo-controlled study. International journal of pediatric otorhinolaryngology. 2009;73:1639-43. 2. da Silva PS, Fonseca MC, Iglesias SB, Junior EL, de Aguiar VE, de Carvalho WB. Nebulized 0.5, 2.5 and 5 ml L-epinephrine for post-extubation stridor in children: a prospective, randomized, double-blind clinical trial. Intensive care medicine. 2012;38:286-93. 3. Davies MW, Davis PG. Nebulized racemic epinephrine for extubation of newborn infants. The Cochrane database of systematic reviews. 2002:CD000506. 4. Preutthipan A, Poomthavorn P, Sumanapisan A, Chinrat B, Thasuntia S, Plitponkarnpim A, Chantarojanasiri T. A prospective, randomized double-blind study in children comparing two doses of nebulized L-epinephrine in postintubation croup. Journal of the Medical Association of Thailand = Chotmaihet thangphaet. 2005;88:508-12. 5. Baraldi E, Lanari M, Manzoni P, Rossi GA, Vandini S, Rimini A, Romagnoli C, Colonna P, Biondi A, Biban P, Chiamenti G, Bernardini R, Picca M, Cappa M, Magazzu G, Catassi C, Urbino AF, Memo L, Donzelli G, Minetti C, Paravati F, Di Mauro G, Festini F, Esposito S, Corsello G. Inter-society consensus document on treatment and prevention of bronchiolitis in newborns and infants. Italian journal of pediatrics. 2014;40:65. 6. Bjornson C, Russell K, Vandermeer B, Klassen TP, Johnson DW. Nebulized epinephrine for croup in children. The Cochrane database of systematic reviews. 2013;10:CD006619. 7. Muraro A, Roberts G, Worm M, Bilo MB, Brockow K, Fernandez Rivas M, Santos AF, Zolkipli ZQ, Bellou A, Beyer K, Bindslev-Jensen C, Cardona V, Clark AT, Demoly P, Dubois AE, DunnGalvin A, Eigenmann P, Halken S, Harada L, Lack G, Jutel M, Niggemann B, Rueff F, Timmermans F, Vlieg-Boerstra BJ, Werfel T, Dhami S, Panesar S, Akdis CA, Sheikh A, Allergy EF, Anaphylaxis Guidelines G. Anaphylaxis: guidelines from the European Academy of Allergy and Clinical Immunology. Allergy. 2014;69:1026-45. 8. Hartling L, Bialy LM, Vandermeer B, Tjosvold L, Johnson DW, Plint AC, Klassen TP, Patel H, Fernandes RM. Epinephrine for bronchiolitis. The Cochrane database of systematic reviews. 2011:CD003123. 9. Simons FE, Gu X, Johnston LM, Simons KJ. Can epinephrine inhalations be substituted for epinephrine injection in children at risk for systemic anaphylaxis? Pediatrics. 2000;106:1040-4.</w:t>
            </w:r>
          </w:p>
        </w:tc>
      </w:tr>
    </w:tbl>
    <w:p w:rsidRPr="00E25790" w:rsidR="00E25790" w:rsidP="006F0321" w:rsidRDefault="00E25790" w14:paraId="645F2601" w14:textId="77777777"/>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6"/>
        <w:gridCol w:w="4536"/>
      </w:tblGrid>
      <w:tr w:rsidRPr="0053172C" w:rsidR="00E424B4" w:rsidTr="00AA0623" w14:paraId="4FECAAC7" w14:textId="77777777">
        <w:tc>
          <w:tcPr>
            <w:tcW w:w="4536" w:type="dxa"/>
            <w:vAlign w:val="center"/>
          </w:tcPr>
          <w:p w:rsidRPr="004B3096" w:rsidR="004B3096" w:rsidP="00AA0623" w:rsidRDefault="004B3096" w14:paraId="3141F29F" w14:textId="77777777">
            <w:r w:rsidRPr="004B3096">
              <w:t>Original version Date: 31/03/2016</w:t>
            </w:r>
          </w:p>
        </w:tc>
        <w:tc>
          <w:tcPr>
            <w:tcW w:w="4536" w:type="dxa"/>
            <w:vAlign w:val="center"/>
          </w:tcPr>
          <w:p w:rsidRPr="004B3096" w:rsidR="004B3096" w:rsidP="00AA0623" w:rsidRDefault="004B3096" w14:paraId="4A057F2D" w14:textId="77777777">
            <w:r w:rsidRPr="004B3096">
              <w:t>Author: NMF Consensus Group</w:t>
            </w:r>
          </w:p>
        </w:tc>
      </w:tr>
      <w:tr w:rsidRPr="0053172C" w:rsidR="00E424B4" w:rsidTr="00AA0623" w14:paraId="0E51C723" w14:textId="77777777">
        <w:tc>
          <w:tcPr>
            <w:tcW w:w="4536" w:type="dxa"/>
            <w:vAlign w:val="center"/>
          </w:tcPr>
          <w:p w:rsidRPr="004B3096" w:rsidR="004B3096" w:rsidP="00AA0623" w:rsidRDefault="004B3096" w14:paraId="45606E6F" w14:textId="77777777">
            <w:pPr>
              <w:rPr>
                <w:bCs/>
              </w:rPr>
            </w:pPr>
            <w:r w:rsidRPr="004B3096">
              <w:t>Current Version number:  1</w:t>
            </w:r>
          </w:p>
        </w:tc>
        <w:tc>
          <w:tcPr>
            <w:tcW w:w="4536" w:type="dxa"/>
            <w:vAlign w:val="center"/>
          </w:tcPr>
          <w:p w:rsidRPr="004B3096" w:rsidR="004B3096" w:rsidP="00AA0623" w:rsidRDefault="004B3096" w14:paraId="1F795F82" w14:textId="77777777">
            <w:r w:rsidRPr="004B3096">
              <w:t>Current Version Date:  April 2020</w:t>
            </w:r>
          </w:p>
        </w:tc>
      </w:tr>
      <w:tr w:rsidRPr="0053172C" w:rsidR="00E424B4" w:rsidTr="00AA0623" w14:paraId="0737EE30" w14:textId="77777777">
        <w:tc>
          <w:tcPr>
            <w:tcW w:w="4536" w:type="dxa"/>
            <w:vAlign w:val="center"/>
          </w:tcPr>
          <w:p w:rsidRPr="004B3096" w:rsidR="004B3096" w:rsidP="00AA0623" w:rsidRDefault="004B3096" w14:paraId="72513313" w14:textId="77777777">
            <w:r w:rsidRPr="004B3096">
              <w:t>Risk Rating: Medium</w:t>
            </w:r>
          </w:p>
        </w:tc>
        <w:tc>
          <w:tcPr>
            <w:tcW w:w="4536" w:type="dxa"/>
            <w:vAlign w:val="center"/>
          </w:tcPr>
          <w:p w:rsidRPr="004B3096" w:rsidR="004B3096" w:rsidP="00AA0623" w:rsidRDefault="004B3096" w14:paraId="302143EF" w14:textId="77777777">
            <w:r w:rsidRPr="004B3096">
              <w:t>Due for Review:  April 2023</w:t>
            </w:r>
          </w:p>
        </w:tc>
      </w:tr>
      <w:tr w:rsidRPr="0053172C" w:rsidR="00E424B4" w:rsidTr="00AA0623" w14:paraId="392E9F34" w14:textId="77777777">
        <w:trPr>
          <w:trHeight w:val="344"/>
        </w:trPr>
        <w:tc>
          <w:tcPr>
            <w:tcW w:w="4536" w:type="dxa"/>
            <w:tcBorders>
              <w:bottom w:val="single" w:color="auto" w:sz="4" w:space="0"/>
            </w:tcBorders>
            <w:vAlign w:val="center"/>
          </w:tcPr>
          <w:p w:rsidRPr="004B3096" w:rsidR="004B3096" w:rsidP="00AA0623" w:rsidRDefault="004B3096" w14:paraId="07B94A0F" w14:textId="77777777">
            <w:r w:rsidRPr="004B3096">
              <w:t>Approval by: DTC</w:t>
            </w:r>
          </w:p>
        </w:tc>
        <w:tc>
          <w:tcPr>
            <w:tcW w:w="4536" w:type="dxa"/>
            <w:tcBorders>
              <w:bottom w:val="single" w:color="auto" w:sz="4" w:space="0"/>
            </w:tcBorders>
            <w:vAlign w:val="center"/>
          </w:tcPr>
          <w:p w:rsidRPr="004B3096" w:rsidR="004B3096" w:rsidP="00AA0623" w:rsidRDefault="004B3096" w14:paraId="6A5AD1C7" w14:textId="77777777">
            <w:r w:rsidRPr="004B3096">
              <w:t>Approval Date: April 2020</w:t>
            </w:r>
          </w:p>
        </w:tc>
      </w:tr>
    </w:tbl>
    <w:p w:rsidRPr="00E25790" w:rsidR="004B3096" w:rsidP="006F0321" w:rsidRDefault="004B3096" w14:paraId="4C9E548C" w14:textId="77777777"/>
    <w:p w:rsidRPr="00E25790" w:rsidR="00A87894" w:rsidP="006F0321" w:rsidRDefault="00AA0623" w14:paraId="711E63B6" w14:textId="77777777">
      <w:r>
        <w:br w:type="page"/>
      </w:r>
    </w:p>
    <w:tbl>
      <w:tblPr>
        <w:tblW w:w="9049" w:type="dxa"/>
        <w:tblLayout w:type="fixed"/>
        <w:tblLook w:val="0000" w:firstRow="0" w:lastRow="0" w:firstColumn="0" w:lastColumn="0" w:noHBand="0" w:noVBand="0"/>
      </w:tblPr>
      <w:tblGrid>
        <w:gridCol w:w="4153"/>
        <w:gridCol w:w="4896"/>
      </w:tblGrid>
      <w:tr w:rsidRPr="00E25790" w:rsidR="00800B76" w:rsidTr="00AA0623" w14:paraId="0D20266C"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800B76" w:rsidP="009469DB" w:rsidRDefault="004B3096" w14:paraId="35E429B0" w14:textId="59A23B72">
            <w:pPr>
              <w:pStyle w:val="Heading1"/>
            </w:pPr>
            <w:bookmarkStart w:name="_Toc38106805" w:id="67"/>
            <w:bookmarkStart w:name="_Toc75339929" w:id="68"/>
            <w:r w:rsidRPr="00E25790">
              <w:lastRenderedPageBreak/>
              <w:t>A</w:t>
            </w:r>
            <w:r w:rsidRPr="00E25790" w:rsidR="00800B76">
              <w:t>lbumin</w:t>
            </w:r>
            <w:bookmarkEnd w:id="67"/>
            <w:r w:rsidR="009A1574">
              <w:t xml:space="preserve"> 4%</w:t>
            </w:r>
            <w:bookmarkEnd w:id="68"/>
            <w:r w:rsidRPr="00E25790" w:rsidR="00800B76">
              <w:fldChar w:fldCharType="begin"/>
            </w:r>
            <w:r w:rsidRPr="00E25790" w:rsidR="00800B76">
              <w:instrText>tc "Acetylcysteine" \l 0</w:instrText>
            </w:r>
            <w:r w:rsidRPr="00E25790" w:rsidR="00800B76">
              <w:fldChar w:fldCharType="end"/>
            </w:r>
          </w:p>
        </w:tc>
      </w:tr>
      <w:tr w:rsidRPr="00E25790" w:rsidR="00800B76" w:rsidTr="00AA0623" w14:paraId="3246422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800B76" w:rsidP="006F0321" w:rsidRDefault="00800B76" w14:paraId="256EBCC7" w14:textId="3DDA06B5">
            <w:r w:rsidRPr="00E25790">
              <w:t xml:space="preserve">Revision Date : </w:t>
            </w:r>
            <w:r w:rsidR="00805B00">
              <w:t>18-02-2021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800B76" w:rsidP="006F0321" w:rsidRDefault="00800B76" w14:paraId="244CD2F8" w14:textId="203AFBB3">
            <w:r w:rsidRPr="00E25790">
              <w:t xml:space="preserve">Approved : </w:t>
            </w:r>
            <w:r w:rsidR="009A1574">
              <w:t>TC,KOH</w:t>
            </w:r>
          </w:p>
        </w:tc>
      </w:tr>
    </w:tbl>
    <w:p w:rsidRPr="00E25790" w:rsidR="00800B76" w:rsidP="006F0321" w:rsidRDefault="00800B76" w14:paraId="4C654FCD" w14:textId="77777777"/>
    <w:tbl>
      <w:tblPr>
        <w:tblW w:w="5582"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87"/>
        <w:gridCol w:w="8078"/>
      </w:tblGrid>
      <w:tr w:rsidRPr="00EE3DA5" w:rsidR="00113159" w:rsidTr="00FE4186" w14:paraId="359D665C" w14:textId="77777777">
        <w:trPr>
          <w:trHeight w:val="93"/>
        </w:trPr>
        <w:tc>
          <w:tcPr>
            <w:tcW w:w="987" w:type="pct"/>
          </w:tcPr>
          <w:p w:rsidRPr="00EE3DA5" w:rsidR="00113159" w:rsidP="00FE4186" w:rsidRDefault="00113159" w14:paraId="53EC9DB7" w14:textId="77777777">
            <w:pPr>
              <w:pStyle w:val="BodyText"/>
              <w:tabs>
                <w:tab w:val="center" w:pos="1476"/>
              </w:tabs>
              <w:rPr>
                <w:rFonts w:cs="Arial" w:asciiTheme="minorHAnsi" w:hAnsiTheme="minorHAnsi"/>
                <w:b/>
                <w:sz w:val="20"/>
              </w:rPr>
            </w:pPr>
            <w:r w:rsidRPr="00EE3DA5">
              <w:rPr>
                <w:rFonts w:cs="Arial" w:asciiTheme="minorHAnsi" w:hAnsiTheme="minorHAnsi"/>
                <w:b/>
                <w:sz w:val="20"/>
              </w:rPr>
              <w:t>Alert</w:t>
            </w:r>
          </w:p>
        </w:tc>
        <w:tc>
          <w:tcPr>
            <w:tcW w:w="4013" w:type="pct"/>
          </w:tcPr>
          <w:p w:rsidRPr="00EE3DA5" w:rsidR="00113159" w:rsidP="00FE4186" w:rsidRDefault="00113159" w14:paraId="376B570A" w14:textId="77777777">
            <w:pPr>
              <w:pStyle w:val="BodyText"/>
              <w:rPr>
                <w:rFonts w:asciiTheme="minorHAnsi" w:hAnsiTheme="minorHAnsi"/>
                <w:sz w:val="20"/>
              </w:rPr>
            </w:pPr>
            <w:r w:rsidRPr="00EE3DA5">
              <w:rPr>
                <w:rFonts w:asciiTheme="minorHAnsi" w:hAnsiTheme="minorHAnsi"/>
                <w:sz w:val="20"/>
              </w:rPr>
              <w:t xml:space="preserve">Albumex® 4 is normally clear or slightly opalescent. If it appears to be turbid, it must not be used and the bottle should be returned unopened to the Australian Red Cross Blood Service. </w:t>
            </w:r>
          </w:p>
          <w:p w:rsidRPr="00EE3DA5" w:rsidR="00113159" w:rsidP="00FE4186" w:rsidRDefault="00113159" w14:paraId="2BF6EC9B" w14:textId="77777777">
            <w:pPr>
              <w:pStyle w:val="BodyText"/>
              <w:rPr>
                <w:rFonts w:asciiTheme="minorHAnsi" w:hAnsiTheme="minorHAnsi"/>
                <w:sz w:val="20"/>
              </w:rPr>
            </w:pPr>
            <w:r w:rsidRPr="00EE3DA5">
              <w:rPr>
                <w:rFonts w:asciiTheme="minorHAnsi" w:hAnsiTheme="minorHAnsi"/>
                <w:sz w:val="20"/>
              </w:rPr>
              <w:t>Albumin is not recommended as the initial resuscitating fluid in hypotensive infants.</w:t>
            </w:r>
          </w:p>
          <w:p w:rsidRPr="00EE3DA5" w:rsidR="00113159" w:rsidP="00FE4186" w:rsidRDefault="00113159" w14:paraId="3ADFC535" w14:textId="77777777">
            <w:pPr>
              <w:pStyle w:val="BodyText"/>
              <w:rPr>
                <w:rFonts w:asciiTheme="minorHAnsi" w:hAnsiTheme="minorHAnsi"/>
                <w:sz w:val="20"/>
              </w:rPr>
            </w:pPr>
            <w:r w:rsidRPr="00EE3DA5">
              <w:rPr>
                <w:rFonts w:asciiTheme="minorHAnsi" w:hAnsiTheme="minorHAnsi"/>
                <w:sz w:val="20"/>
              </w:rPr>
              <w:t>If the product has been stored in the refrigerator it should be allowed to reach room temperature before administration.</w:t>
            </w:r>
          </w:p>
        </w:tc>
      </w:tr>
      <w:tr w:rsidRPr="00EE3DA5" w:rsidR="00113159" w:rsidTr="00FE4186" w14:paraId="10F32797" w14:textId="77777777">
        <w:trPr>
          <w:trHeight w:val="282"/>
        </w:trPr>
        <w:tc>
          <w:tcPr>
            <w:tcW w:w="987" w:type="pct"/>
          </w:tcPr>
          <w:p w:rsidRPr="00EE3DA5" w:rsidR="00113159" w:rsidP="00FE4186" w:rsidRDefault="00113159" w14:paraId="726CA4AC" w14:textId="77777777">
            <w:pPr>
              <w:pStyle w:val="BodyText"/>
              <w:rPr>
                <w:rFonts w:cs="Arial" w:asciiTheme="minorHAnsi" w:hAnsiTheme="minorHAnsi"/>
                <w:b/>
                <w:bCs/>
                <w:sz w:val="20"/>
              </w:rPr>
            </w:pPr>
            <w:r w:rsidRPr="00EE3DA5">
              <w:rPr>
                <w:rFonts w:cs="Arial" w:asciiTheme="minorHAnsi" w:hAnsiTheme="minorHAnsi"/>
                <w:b/>
                <w:bCs/>
                <w:sz w:val="20"/>
              </w:rPr>
              <w:t xml:space="preserve">Indication                        </w:t>
            </w:r>
          </w:p>
        </w:tc>
        <w:tc>
          <w:tcPr>
            <w:tcW w:w="4013" w:type="pct"/>
          </w:tcPr>
          <w:p w:rsidRPr="00EE3DA5" w:rsidR="00113159" w:rsidP="00FE4186" w:rsidRDefault="00113159" w14:paraId="4CF63EBD" w14:textId="77777777">
            <w:pPr>
              <w:rPr>
                <w:rFonts w:asciiTheme="minorHAnsi" w:hAnsiTheme="minorHAnsi"/>
                <w:sz w:val="20"/>
              </w:rPr>
            </w:pPr>
            <w:r w:rsidRPr="00EE3DA5">
              <w:rPr>
                <w:rFonts w:asciiTheme="minorHAnsi" w:hAnsiTheme="minorHAnsi"/>
                <w:sz w:val="20"/>
              </w:rPr>
              <w:t>Hypovolaemia/shock with or without hypoalbuminaemia</w:t>
            </w:r>
          </w:p>
          <w:p w:rsidRPr="00EE3DA5" w:rsidR="00113159" w:rsidP="00FE4186" w:rsidRDefault="00113159" w14:paraId="1DD1B400" w14:textId="77777777">
            <w:pPr>
              <w:rPr>
                <w:rFonts w:asciiTheme="minorHAnsi" w:hAnsiTheme="minorHAnsi"/>
                <w:sz w:val="20"/>
              </w:rPr>
            </w:pPr>
            <w:r w:rsidRPr="00EE3DA5">
              <w:rPr>
                <w:rFonts w:asciiTheme="minorHAnsi" w:hAnsiTheme="minorHAnsi"/>
                <w:sz w:val="20"/>
              </w:rPr>
              <w:t>Plasma exchange [normal saline recommended]</w:t>
            </w:r>
          </w:p>
        </w:tc>
      </w:tr>
      <w:tr w:rsidRPr="00EE3DA5" w:rsidR="00113159" w:rsidTr="00FE4186" w14:paraId="6BE95C93" w14:textId="77777777">
        <w:trPr>
          <w:trHeight w:val="131"/>
        </w:trPr>
        <w:tc>
          <w:tcPr>
            <w:tcW w:w="987" w:type="pct"/>
          </w:tcPr>
          <w:p w:rsidRPr="00EE3DA5" w:rsidR="00113159" w:rsidP="00FE4186" w:rsidRDefault="00113159" w14:paraId="5B427930" w14:textId="77777777">
            <w:pPr>
              <w:pStyle w:val="BodyText"/>
              <w:rPr>
                <w:rFonts w:cs="Arial" w:asciiTheme="minorHAnsi" w:hAnsiTheme="minorHAnsi"/>
                <w:b/>
                <w:bCs/>
                <w:sz w:val="20"/>
              </w:rPr>
            </w:pPr>
            <w:r w:rsidRPr="00EE3DA5">
              <w:rPr>
                <w:rFonts w:cs="Arial" w:asciiTheme="minorHAnsi" w:hAnsiTheme="minorHAnsi"/>
                <w:b/>
                <w:bCs/>
                <w:sz w:val="20"/>
              </w:rPr>
              <w:t>Action</w:t>
            </w:r>
          </w:p>
        </w:tc>
        <w:tc>
          <w:tcPr>
            <w:tcW w:w="4013" w:type="pct"/>
          </w:tcPr>
          <w:p w:rsidRPr="00EE3DA5" w:rsidR="00113159" w:rsidP="00FE4186" w:rsidRDefault="00113159" w14:paraId="202FFC28" w14:textId="77777777">
            <w:pPr>
              <w:rPr>
                <w:rFonts w:cs="Arial" w:asciiTheme="minorHAnsi" w:hAnsiTheme="minorHAnsi"/>
                <w:sz w:val="20"/>
              </w:rPr>
            </w:pPr>
            <w:r w:rsidRPr="00EE3DA5">
              <w:rPr>
                <w:rFonts w:cs="Arial" w:asciiTheme="minorHAnsi" w:hAnsiTheme="minorHAnsi"/>
                <w:sz w:val="20"/>
              </w:rPr>
              <w:t xml:space="preserve">Albumin is involved in the maintenance of colloid osmotic pressure, binding and transport of plasma compounds (bilirubin, bile acids, long-chain fatty acids, thyroxine, vitamin D, calcium, magnesium, copper, zinc), renders some potential toxins harmless, is a carrier of nitric oxide and affects pharmacokinetics of many drugs. Albumin 4% is approximately isotonic with osmolality 260 mOsm/kg and pH 6.7 to 7.3. </w:t>
            </w:r>
            <w:r w:rsidRPr="00EE3DA5">
              <w:rPr>
                <w:rFonts w:asciiTheme="minorHAnsi" w:hAnsiTheme="minorHAnsi"/>
                <w:sz w:val="20"/>
              </w:rPr>
              <w:t>The half-life of albumin is about 19 days</w:t>
            </w:r>
            <w:r w:rsidRPr="00EE3DA5">
              <w:rPr>
                <w:rFonts w:cs="Arial" w:asciiTheme="minorHAnsi" w:hAnsiTheme="minorHAnsi"/>
                <w:sz w:val="20"/>
              </w:rPr>
              <w:t>.</w:t>
            </w:r>
          </w:p>
        </w:tc>
      </w:tr>
      <w:tr w:rsidRPr="00EE3DA5" w:rsidR="00113159" w:rsidTr="00FE4186" w14:paraId="1F789430" w14:textId="77777777">
        <w:trPr>
          <w:trHeight w:val="266"/>
        </w:trPr>
        <w:tc>
          <w:tcPr>
            <w:tcW w:w="987" w:type="pct"/>
          </w:tcPr>
          <w:p w:rsidRPr="00EE3DA5" w:rsidR="00113159" w:rsidP="00FE4186" w:rsidRDefault="00113159" w14:paraId="72916FA1" w14:textId="77777777">
            <w:pPr>
              <w:pStyle w:val="BodyText"/>
              <w:rPr>
                <w:rFonts w:cs="Arial" w:asciiTheme="minorHAnsi" w:hAnsiTheme="minorHAnsi"/>
                <w:sz w:val="20"/>
              </w:rPr>
            </w:pPr>
            <w:r w:rsidRPr="00EE3DA5">
              <w:rPr>
                <w:rFonts w:cs="Arial" w:asciiTheme="minorHAnsi" w:hAnsiTheme="minorHAnsi"/>
                <w:b/>
                <w:bCs/>
                <w:sz w:val="20"/>
              </w:rPr>
              <w:t xml:space="preserve">Drug Type                                   </w:t>
            </w:r>
          </w:p>
        </w:tc>
        <w:tc>
          <w:tcPr>
            <w:tcW w:w="4013" w:type="pct"/>
          </w:tcPr>
          <w:p w:rsidRPr="00EE3DA5" w:rsidR="00113159" w:rsidP="00FE4186" w:rsidRDefault="00113159" w14:paraId="507479FC" w14:textId="77777777">
            <w:pPr>
              <w:pStyle w:val="BodyText"/>
              <w:rPr>
                <w:rFonts w:cs="Arial" w:asciiTheme="minorHAnsi" w:hAnsiTheme="minorHAnsi"/>
                <w:sz w:val="20"/>
              </w:rPr>
            </w:pPr>
            <w:r w:rsidRPr="00EE3DA5">
              <w:rPr>
                <w:rFonts w:cs="Arial" w:asciiTheme="minorHAnsi" w:hAnsiTheme="minorHAnsi"/>
                <w:sz w:val="20"/>
              </w:rPr>
              <w:t>Plasma product, manufactured from human plasma collected by the Australian Red Cross Blood Service.</w:t>
            </w:r>
          </w:p>
        </w:tc>
      </w:tr>
      <w:tr w:rsidRPr="00EE3DA5" w:rsidR="00113159" w:rsidTr="00FE4186" w14:paraId="40A5F47A" w14:textId="77777777">
        <w:trPr>
          <w:trHeight w:val="178"/>
        </w:trPr>
        <w:tc>
          <w:tcPr>
            <w:tcW w:w="987" w:type="pct"/>
          </w:tcPr>
          <w:p w:rsidRPr="00EE3DA5" w:rsidR="00113159" w:rsidP="00FE4186" w:rsidRDefault="00113159" w14:paraId="6FD9AE88" w14:textId="77777777">
            <w:pPr>
              <w:pStyle w:val="BodyText"/>
              <w:rPr>
                <w:rFonts w:cs="Arial" w:asciiTheme="minorHAnsi" w:hAnsiTheme="minorHAnsi"/>
                <w:b/>
                <w:bCs/>
                <w:sz w:val="20"/>
              </w:rPr>
            </w:pPr>
            <w:r w:rsidRPr="00EE3DA5">
              <w:rPr>
                <w:rFonts w:cs="Arial" w:asciiTheme="minorHAnsi" w:hAnsiTheme="minorHAnsi"/>
                <w:b/>
                <w:bCs/>
                <w:sz w:val="20"/>
              </w:rPr>
              <w:t xml:space="preserve">Trade Name                  </w:t>
            </w:r>
          </w:p>
        </w:tc>
        <w:tc>
          <w:tcPr>
            <w:tcW w:w="4013" w:type="pct"/>
          </w:tcPr>
          <w:p w:rsidRPr="00EE3DA5" w:rsidR="00113159" w:rsidP="00FE4186" w:rsidRDefault="00113159" w14:paraId="0D0980FC" w14:textId="77777777">
            <w:pPr>
              <w:pStyle w:val="BodyText"/>
              <w:rPr>
                <w:rFonts w:cs="Arial" w:asciiTheme="minorHAnsi" w:hAnsiTheme="minorHAnsi"/>
                <w:sz w:val="20"/>
              </w:rPr>
            </w:pPr>
            <w:r w:rsidRPr="00EE3DA5">
              <w:rPr>
                <w:rFonts w:cs="Arial" w:asciiTheme="minorHAnsi" w:hAnsiTheme="minorHAnsi"/>
                <w:sz w:val="20"/>
              </w:rPr>
              <w:t xml:space="preserve">Albumex® 4 </w:t>
            </w:r>
          </w:p>
        </w:tc>
      </w:tr>
      <w:tr w:rsidRPr="00EE3DA5" w:rsidR="00113159" w:rsidTr="00FE4186" w14:paraId="4099CA0D" w14:textId="77777777">
        <w:trPr>
          <w:trHeight w:val="155"/>
        </w:trPr>
        <w:tc>
          <w:tcPr>
            <w:tcW w:w="987" w:type="pct"/>
          </w:tcPr>
          <w:p w:rsidRPr="00EE3DA5" w:rsidR="00113159" w:rsidP="00FE4186" w:rsidRDefault="00113159" w14:paraId="39A0B740" w14:textId="77777777">
            <w:pPr>
              <w:pStyle w:val="BodyText"/>
              <w:rPr>
                <w:rFonts w:cs="Arial" w:asciiTheme="minorHAnsi" w:hAnsiTheme="minorHAnsi"/>
                <w:b/>
                <w:bCs/>
                <w:sz w:val="20"/>
              </w:rPr>
            </w:pPr>
            <w:r w:rsidRPr="00EE3DA5">
              <w:rPr>
                <w:rFonts w:cs="Arial" w:asciiTheme="minorHAnsi" w:hAnsiTheme="minorHAnsi"/>
                <w:b/>
                <w:bCs/>
                <w:sz w:val="20"/>
              </w:rPr>
              <w:t xml:space="preserve">Presentation </w:t>
            </w:r>
          </w:p>
        </w:tc>
        <w:tc>
          <w:tcPr>
            <w:tcW w:w="4013" w:type="pct"/>
          </w:tcPr>
          <w:p w:rsidRPr="00EE3DA5" w:rsidR="00113159" w:rsidP="00FE4186" w:rsidRDefault="00113159" w14:paraId="65A2DE4D" w14:textId="77777777">
            <w:pPr>
              <w:pStyle w:val="BodyText"/>
              <w:rPr>
                <w:rFonts w:cs="Arial" w:asciiTheme="minorHAnsi" w:hAnsiTheme="minorHAnsi"/>
                <w:sz w:val="20"/>
              </w:rPr>
            </w:pPr>
            <w:r w:rsidRPr="00EE3DA5">
              <w:rPr>
                <w:rFonts w:cs="Arial" w:asciiTheme="minorHAnsi" w:hAnsiTheme="minorHAnsi"/>
                <w:sz w:val="20"/>
              </w:rPr>
              <w:t xml:space="preserve">Albumex® 4 50 mL (2 g albumin), 250 mL (10 g albumin) and 500 mL (20 g albumin) bottles. </w:t>
            </w:r>
          </w:p>
          <w:p w:rsidRPr="00EE3DA5" w:rsidR="00113159" w:rsidP="00FE4186" w:rsidRDefault="00113159" w14:paraId="343717D3" w14:textId="77777777">
            <w:pPr>
              <w:pStyle w:val="BodyText"/>
              <w:rPr>
                <w:rFonts w:cs="Arial" w:asciiTheme="minorHAnsi" w:hAnsiTheme="minorHAnsi"/>
                <w:sz w:val="20"/>
              </w:rPr>
            </w:pPr>
            <w:r w:rsidRPr="00EE3DA5">
              <w:rPr>
                <w:rFonts w:cs="Arial" w:asciiTheme="minorHAnsi" w:hAnsiTheme="minorHAnsi"/>
                <w:sz w:val="20"/>
              </w:rPr>
              <w:t xml:space="preserve">Each bottle contains Human Albumin 40 g/L, sodium 140 mmol/L, chloride 128 mmol/L and octanoate 6.4 mmol/L. Albumex® 4 contains trace amounts of aluminium (≤200 </w:t>
            </w:r>
            <w:r>
              <w:rPr>
                <w:rFonts w:cs="Arial" w:asciiTheme="minorHAnsi" w:hAnsiTheme="minorHAnsi"/>
                <w:sz w:val="20"/>
              </w:rPr>
              <w:t>microg</w:t>
            </w:r>
            <w:r w:rsidRPr="00EE3DA5">
              <w:rPr>
                <w:rFonts w:cs="Arial" w:asciiTheme="minorHAnsi" w:hAnsiTheme="minorHAnsi"/>
                <w:sz w:val="20"/>
              </w:rPr>
              <w:t>/L).</w:t>
            </w:r>
          </w:p>
        </w:tc>
      </w:tr>
      <w:tr w:rsidRPr="00EE3DA5" w:rsidR="00113159" w:rsidTr="00FE4186" w14:paraId="3905D4BE" w14:textId="77777777">
        <w:trPr>
          <w:trHeight w:val="987"/>
        </w:trPr>
        <w:tc>
          <w:tcPr>
            <w:tcW w:w="987" w:type="pct"/>
          </w:tcPr>
          <w:p w:rsidRPr="00EE3DA5" w:rsidR="00113159" w:rsidP="00FE4186" w:rsidRDefault="00113159" w14:paraId="66E92ABD" w14:textId="77777777">
            <w:pPr>
              <w:pStyle w:val="BodyText"/>
              <w:rPr>
                <w:rFonts w:cs="Arial" w:asciiTheme="minorHAnsi" w:hAnsiTheme="minorHAnsi"/>
                <w:b/>
                <w:bCs/>
                <w:sz w:val="20"/>
              </w:rPr>
            </w:pPr>
            <w:r w:rsidRPr="00EE3DA5">
              <w:rPr>
                <w:rFonts w:cs="Arial" w:asciiTheme="minorHAnsi" w:hAnsiTheme="minorHAnsi"/>
                <w:b/>
                <w:bCs/>
                <w:sz w:val="20"/>
              </w:rPr>
              <w:t xml:space="preserve">Dosage/Interval                           </w:t>
            </w:r>
          </w:p>
          <w:p w:rsidRPr="00EE3DA5" w:rsidR="00113159" w:rsidP="00FE4186" w:rsidRDefault="00113159" w14:paraId="1A198295" w14:textId="77777777">
            <w:pPr>
              <w:pStyle w:val="BodyText"/>
              <w:rPr>
                <w:rFonts w:cs="Arial" w:asciiTheme="minorHAnsi" w:hAnsiTheme="minorHAnsi"/>
                <w:sz w:val="20"/>
              </w:rPr>
            </w:pPr>
          </w:p>
        </w:tc>
        <w:tc>
          <w:tcPr>
            <w:tcW w:w="4013" w:type="pct"/>
          </w:tcPr>
          <w:p w:rsidRPr="00EE3DA5" w:rsidR="00113159" w:rsidP="00FE4186" w:rsidRDefault="00113159" w14:paraId="5FB35383" w14:textId="77777777">
            <w:pPr>
              <w:pStyle w:val="BodyText"/>
              <w:rPr>
                <w:rFonts w:asciiTheme="minorHAnsi" w:hAnsiTheme="minorHAnsi"/>
                <w:sz w:val="20"/>
              </w:rPr>
            </w:pPr>
            <w:r w:rsidRPr="00EE3DA5">
              <w:rPr>
                <w:rFonts w:asciiTheme="minorHAnsi" w:hAnsiTheme="minorHAnsi"/>
                <w:sz w:val="20"/>
              </w:rPr>
              <w:t xml:space="preserve">Hypovolaemia/shock </w:t>
            </w:r>
          </w:p>
          <w:p w:rsidRPr="00EE3DA5" w:rsidR="00113159" w:rsidP="00FE4186" w:rsidRDefault="00113159" w14:paraId="7D97AA11" w14:textId="77777777">
            <w:pPr>
              <w:pStyle w:val="BodyText"/>
              <w:ind w:left="720"/>
              <w:rPr>
                <w:rFonts w:asciiTheme="minorHAnsi" w:hAnsiTheme="minorHAnsi"/>
                <w:sz w:val="20"/>
              </w:rPr>
            </w:pPr>
            <w:r w:rsidRPr="00EE3DA5">
              <w:rPr>
                <w:rFonts w:asciiTheme="minorHAnsi" w:hAnsiTheme="minorHAnsi"/>
                <w:sz w:val="20"/>
              </w:rPr>
              <w:t>10 to 20 mL/kg over 10 to 60 minutes titrated to clinical response.</w:t>
            </w:r>
          </w:p>
          <w:p w:rsidRPr="00EE3DA5" w:rsidR="00113159" w:rsidP="00FE4186" w:rsidRDefault="00113159" w14:paraId="3E645A71" w14:textId="77777777">
            <w:pPr>
              <w:pStyle w:val="BodyText"/>
              <w:rPr>
                <w:rFonts w:asciiTheme="minorHAnsi" w:hAnsiTheme="minorHAnsi"/>
                <w:sz w:val="20"/>
              </w:rPr>
            </w:pPr>
          </w:p>
          <w:p w:rsidRPr="00EE3DA5" w:rsidR="00113159" w:rsidP="00FE4186" w:rsidRDefault="00113159" w14:paraId="2AEE7C17" w14:textId="77777777">
            <w:pPr>
              <w:pStyle w:val="BodyText"/>
              <w:rPr>
                <w:rFonts w:asciiTheme="minorHAnsi" w:hAnsiTheme="minorHAnsi"/>
                <w:sz w:val="20"/>
              </w:rPr>
            </w:pPr>
            <w:r w:rsidRPr="00EE3DA5">
              <w:rPr>
                <w:rFonts w:asciiTheme="minorHAnsi" w:hAnsiTheme="minorHAnsi"/>
                <w:sz w:val="20"/>
              </w:rPr>
              <w:t>Plasma exchange [normal saline recommended]:</w:t>
            </w:r>
          </w:p>
          <w:p w:rsidRPr="00CB15E6" w:rsidR="00113159" w:rsidP="00FE4186" w:rsidRDefault="00113159" w14:paraId="1A1B4C6F" w14:textId="77777777">
            <w:pPr>
              <w:pStyle w:val="BodyText"/>
              <w:ind w:left="720"/>
              <w:rPr>
                <w:rFonts w:asciiTheme="minorHAnsi" w:hAnsiTheme="minorHAnsi" w:cstheme="minorHAnsi"/>
                <w:sz w:val="20"/>
              </w:rPr>
            </w:pPr>
            <m:oMath>
              <m:r>
                <w:rPr>
                  <w:rFonts w:ascii="Cambria Math" w:hAnsi="Cambria Math" w:cstheme="minorHAnsi"/>
                  <w:sz w:val="20"/>
                </w:rPr>
                <m:t xml:space="preserve">Volume albumin 4% (mL)=total blood volume x </m:t>
              </m:r>
              <m:f>
                <m:fPr>
                  <m:ctrlPr>
                    <w:rPr>
                      <w:rFonts w:ascii="Cambria Math" w:hAnsi="Cambria Math" w:cstheme="minorHAnsi"/>
                      <w:i/>
                      <w:sz w:val="20"/>
                    </w:rPr>
                  </m:ctrlPr>
                </m:fPr>
                <m:num>
                  <m:d>
                    <m:dPr>
                      <m:ctrlPr>
                        <w:rPr>
                          <w:rFonts w:ascii="Cambria Math" w:hAnsi="Cambria Math" w:cstheme="minorHAnsi"/>
                          <w:i/>
                          <w:sz w:val="20"/>
                        </w:rPr>
                      </m:ctrlPr>
                    </m:dPr>
                    <m:e>
                      <m:r>
                        <w:rPr>
                          <w:rFonts w:ascii="Cambria Math" w:hAnsi="Cambria Math" w:cstheme="minorHAnsi"/>
                          <w:sz w:val="20"/>
                        </w:rPr>
                        <m:t>observed PCV-desired PCV</m:t>
                      </m:r>
                    </m:e>
                  </m:d>
                </m:num>
                <m:den>
                  <m:r>
                    <w:rPr>
                      <w:rFonts w:ascii="Cambria Math" w:hAnsi="Cambria Math" w:cstheme="minorHAnsi"/>
                      <w:sz w:val="20"/>
                    </w:rPr>
                    <m:t>observed PCV</m:t>
                  </m:r>
                </m:den>
              </m:f>
            </m:oMath>
            <w:r w:rsidRPr="00CB15E6">
              <w:rPr>
                <w:rFonts w:asciiTheme="minorHAnsi" w:hAnsiTheme="minorHAnsi" w:cstheme="minorHAnsi"/>
                <w:sz w:val="20"/>
              </w:rPr>
              <w:t xml:space="preserve"> </w:t>
            </w:r>
          </w:p>
          <w:p w:rsidRPr="00EE3DA5" w:rsidR="00113159" w:rsidP="00FE4186" w:rsidRDefault="00113159" w14:paraId="244FFC24" w14:textId="77777777">
            <w:pPr>
              <w:pStyle w:val="BodyText"/>
              <w:ind w:left="720"/>
              <w:rPr>
                <w:rFonts w:asciiTheme="minorHAnsi" w:hAnsiTheme="minorHAnsi"/>
                <w:sz w:val="20"/>
              </w:rPr>
            </w:pPr>
            <w:r w:rsidRPr="00EE3DA5">
              <w:rPr>
                <w:rFonts w:asciiTheme="minorHAnsi" w:hAnsiTheme="minorHAnsi"/>
                <w:sz w:val="20"/>
              </w:rPr>
              <w:t>Where total blood volume = 80 mL/kg; desired PCV = 0.55</w:t>
            </w:r>
          </w:p>
          <w:p w:rsidRPr="00EE3DA5" w:rsidR="00113159" w:rsidP="00FE4186" w:rsidRDefault="00113159" w14:paraId="2B88C54D" w14:textId="77777777">
            <w:pPr>
              <w:pStyle w:val="BodyText"/>
              <w:ind w:left="720"/>
              <w:rPr>
                <w:rFonts w:asciiTheme="minorHAnsi" w:hAnsiTheme="minorHAnsi"/>
                <w:sz w:val="20"/>
              </w:rPr>
            </w:pPr>
            <w:r w:rsidRPr="00EE3DA5">
              <w:rPr>
                <w:rFonts w:asciiTheme="minorHAnsi" w:hAnsiTheme="minorHAnsi"/>
                <w:sz w:val="20"/>
              </w:rPr>
              <w:t>Infusion rate to match 1:1 with the rate of removal of blood.</w:t>
            </w:r>
          </w:p>
        </w:tc>
      </w:tr>
      <w:tr w:rsidRPr="00EE3DA5" w:rsidR="00113159" w:rsidTr="00FE4186" w14:paraId="1E676CE2" w14:textId="77777777">
        <w:trPr>
          <w:trHeight w:val="182"/>
        </w:trPr>
        <w:tc>
          <w:tcPr>
            <w:tcW w:w="987" w:type="pct"/>
          </w:tcPr>
          <w:p w:rsidRPr="00EE3DA5" w:rsidR="00113159" w:rsidP="00FE4186" w:rsidRDefault="00113159" w14:paraId="2FBF5896" w14:textId="77777777">
            <w:pPr>
              <w:pStyle w:val="BodyText"/>
              <w:rPr>
                <w:rFonts w:asciiTheme="minorHAnsi" w:hAnsiTheme="minorHAnsi"/>
                <w:b/>
                <w:sz w:val="20"/>
              </w:rPr>
            </w:pPr>
            <w:r w:rsidRPr="00EE3DA5">
              <w:rPr>
                <w:rFonts w:asciiTheme="minorHAnsi" w:hAnsiTheme="minorHAnsi"/>
                <w:b/>
                <w:sz w:val="20"/>
              </w:rPr>
              <w:t>Maximum daily dose</w:t>
            </w:r>
          </w:p>
        </w:tc>
        <w:tc>
          <w:tcPr>
            <w:tcW w:w="4013" w:type="pct"/>
          </w:tcPr>
          <w:p w:rsidRPr="00EE3DA5" w:rsidR="00113159" w:rsidP="00FE4186" w:rsidRDefault="00113159" w14:paraId="5AB64AFB" w14:textId="77777777">
            <w:pPr>
              <w:pStyle w:val="BodyText"/>
              <w:rPr>
                <w:rFonts w:asciiTheme="minorHAnsi" w:hAnsiTheme="minorHAnsi"/>
                <w:sz w:val="20"/>
              </w:rPr>
            </w:pPr>
          </w:p>
        </w:tc>
      </w:tr>
      <w:tr w:rsidRPr="00EE3DA5" w:rsidR="00113159" w:rsidTr="00FE4186" w14:paraId="3DAFAE74" w14:textId="77777777">
        <w:trPr>
          <w:trHeight w:val="245"/>
        </w:trPr>
        <w:tc>
          <w:tcPr>
            <w:tcW w:w="987" w:type="pct"/>
          </w:tcPr>
          <w:p w:rsidRPr="00EE3DA5" w:rsidR="00113159" w:rsidP="00FE4186" w:rsidRDefault="00113159" w14:paraId="00C8CA96" w14:textId="77777777">
            <w:pPr>
              <w:pStyle w:val="BodyText"/>
              <w:rPr>
                <w:rFonts w:cs="Arial" w:asciiTheme="minorHAnsi" w:hAnsiTheme="minorHAnsi"/>
                <w:b/>
                <w:bCs/>
                <w:sz w:val="20"/>
              </w:rPr>
            </w:pPr>
            <w:r w:rsidRPr="00EE3DA5">
              <w:rPr>
                <w:rFonts w:cs="Arial" w:asciiTheme="minorHAnsi" w:hAnsiTheme="minorHAnsi"/>
                <w:b/>
                <w:bCs/>
                <w:sz w:val="20"/>
              </w:rPr>
              <w:t xml:space="preserve">Route                               </w:t>
            </w:r>
          </w:p>
        </w:tc>
        <w:tc>
          <w:tcPr>
            <w:tcW w:w="4013" w:type="pct"/>
          </w:tcPr>
          <w:p w:rsidRPr="00EE3DA5" w:rsidR="00113159" w:rsidP="00FE4186" w:rsidRDefault="00113159" w14:paraId="32107D9D" w14:textId="77777777">
            <w:pPr>
              <w:pStyle w:val="BodyText"/>
              <w:rPr>
                <w:rFonts w:cs="Arial" w:asciiTheme="minorHAnsi" w:hAnsiTheme="minorHAnsi"/>
                <w:sz w:val="20"/>
              </w:rPr>
            </w:pPr>
            <w:r w:rsidRPr="00EE3DA5">
              <w:rPr>
                <w:rFonts w:cs="Arial" w:asciiTheme="minorHAnsi" w:hAnsiTheme="minorHAnsi"/>
                <w:sz w:val="20"/>
              </w:rPr>
              <w:t>Intravenous</w:t>
            </w:r>
          </w:p>
        </w:tc>
      </w:tr>
      <w:tr w:rsidRPr="00EE3DA5" w:rsidR="00113159" w:rsidTr="00FE4186" w14:paraId="789F69CD" w14:textId="77777777">
        <w:trPr>
          <w:trHeight w:val="70"/>
        </w:trPr>
        <w:tc>
          <w:tcPr>
            <w:tcW w:w="987" w:type="pct"/>
          </w:tcPr>
          <w:p w:rsidRPr="00EE3DA5" w:rsidR="00113159" w:rsidP="00FE4186" w:rsidRDefault="00113159" w14:paraId="17C462E2" w14:textId="77777777">
            <w:pPr>
              <w:pStyle w:val="BodyText"/>
              <w:rPr>
                <w:rFonts w:cs="Arial" w:asciiTheme="minorHAnsi" w:hAnsiTheme="minorHAnsi"/>
                <w:b/>
                <w:bCs/>
                <w:sz w:val="20"/>
                <w:highlight w:val="cyan"/>
              </w:rPr>
            </w:pPr>
            <w:r w:rsidRPr="00EE3DA5">
              <w:rPr>
                <w:rFonts w:cs="Arial" w:asciiTheme="minorHAnsi" w:hAnsiTheme="minorHAnsi"/>
                <w:b/>
                <w:bCs/>
                <w:sz w:val="20"/>
              </w:rPr>
              <w:t xml:space="preserve">Preparation/Dilution </w:t>
            </w:r>
            <w:r w:rsidRPr="00EE3DA5">
              <w:rPr>
                <w:rFonts w:cs="Arial" w:asciiTheme="minorHAnsi" w:hAnsiTheme="minorHAnsi"/>
                <w:b/>
                <w:bCs/>
                <w:sz w:val="20"/>
                <w:highlight w:val="cyan"/>
              </w:rPr>
              <w:t xml:space="preserve">                </w:t>
            </w:r>
          </w:p>
        </w:tc>
        <w:tc>
          <w:tcPr>
            <w:tcW w:w="4013" w:type="pct"/>
          </w:tcPr>
          <w:p w:rsidRPr="00EE3DA5" w:rsidR="00113159" w:rsidP="00FE4186" w:rsidRDefault="00113159" w14:paraId="641245E0" w14:textId="77777777">
            <w:pPr>
              <w:pStyle w:val="BodyText"/>
              <w:rPr>
                <w:rFonts w:asciiTheme="minorHAnsi" w:hAnsiTheme="minorHAnsi"/>
                <w:sz w:val="20"/>
              </w:rPr>
            </w:pPr>
            <w:r w:rsidRPr="00EE3DA5">
              <w:rPr>
                <w:rFonts w:asciiTheme="minorHAnsi" w:hAnsiTheme="minorHAnsi"/>
                <w:sz w:val="20"/>
              </w:rPr>
              <w:t>Administer undiluted</w:t>
            </w:r>
          </w:p>
          <w:p w:rsidRPr="00EE3DA5" w:rsidR="00113159" w:rsidP="001B0E05" w:rsidRDefault="00113159" w14:paraId="2C0F910C" w14:textId="77777777">
            <w:pPr>
              <w:pStyle w:val="BodyText"/>
              <w:numPr>
                <w:ilvl w:val="0"/>
                <w:numId w:val="59"/>
              </w:numPr>
              <w:overflowPunct w:val="0"/>
              <w:autoSpaceDE w:val="0"/>
              <w:autoSpaceDN w:val="0"/>
              <w:adjustRightInd w:val="0"/>
              <w:jc w:val="left"/>
              <w:textAlignment w:val="baseline"/>
              <w:rPr>
                <w:rFonts w:asciiTheme="minorHAnsi" w:hAnsiTheme="minorHAnsi"/>
                <w:sz w:val="20"/>
              </w:rPr>
            </w:pPr>
            <w:r w:rsidRPr="00EE3DA5">
              <w:rPr>
                <w:rFonts w:asciiTheme="minorHAnsi" w:hAnsiTheme="minorHAnsi"/>
                <w:sz w:val="20"/>
              </w:rPr>
              <w:t>If the product has been stored in the refrigerator it should be allowed to reach room temperature before administration.</w:t>
            </w:r>
          </w:p>
          <w:p w:rsidRPr="00EE3DA5" w:rsidR="00113159" w:rsidP="001B0E05" w:rsidRDefault="00113159" w14:paraId="6C3C37B3" w14:textId="77777777">
            <w:pPr>
              <w:pStyle w:val="BodyText"/>
              <w:numPr>
                <w:ilvl w:val="0"/>
                <w:numId w:val="59"/>
              </w:numPr>
              <w:overflowPunct w:val="0"/>
              <w:autoSpaceDE w:val="0"/>
              <w:autoSpaceDN w:val="0"/>
              <w:adjustRightInd w:val="0"/>
              <w:jc w:val="left"/>
              <w:textAlignment w:val="baseline"/>
              <w:rPr>
                <w:rFonts w:asciiTheme="minorHAnsi" w:hAnsiTheme="minorHAnsi"/>
                <w:sz w:val="20"/>
              </w:rPr>
            </w:pPr>
            <w:r w:rsidRPr="00EE3DA5">
              <w:rPr>
                <w:rFonts w:asciiTheme="minorHAnsi" w:hAnsiTheme="minorHAnsi"/>
                <w:sz w:val="20"/>
              </w:rPr>
              <w:t>Always record the name and batch number of the product in order to maintain a link between the patient and the batch of the product.</w:t>
            </w:r>
          </w:p>
          <w:p w:rsidRPr="00EE3DA5" w:rsidR="00113159" w:rsidP="00FE4186" w:rsidRDefault="00113159" w14:paraId="5D31ACA9" w14:textId="77777777">
            <w:pPr>
              <w:pStyle w:val="BodyText"/>
              <w:rPr>
                <w:rFonts w:asciiTheme="minorHAnsi" w:hAnsiTheme="minorHAnsi"/>
                <w:sz w:val="20"/>
              </w:rPr>
            </w:pPr>
          </w:p>
          <w:p w:rsidR="00113159" w:rsidP="00FE4186" w:rsidRDefault="00113159" w14:paraId="55B9B91E" w14:textId="77777777">
            <w:pPr>
              <w:pStyle w:val="BodyText"/>
              <w:rPr>
                <w:rFonts w:asciiTheme="minorHAnsi" w:hAnsiTheme="minorHAnsi"/>
                <w:sz w:val="20"/>
                <w:u w:val="single"/>
              </w:rPr>
            </w:pPr>
            <w:r w:rsidRPr="00EE3DA5">
              <w:rPr>
                <w:rFonts w:asciiTheme="minorHAnsi" w:hAnsiTheme="minorHAnsi"/>
                <w:sz w:val="20"/>
                <w:u w:val="single"/>
              </w:rPr>
              <w:t>Dilution of Albumex® 20 to Albumin 4% in case of unavailability of albumin 4%</w:t>
            </w:r>
          </w:p>
          <w:p w:rsidRPr="00EE3DA5" w:rsidR="00113159" w:rsidP="00FE4186" w:rsidRDefault="00113159" w14:paraId="50FF990D" w14:textId="77777777">
            <w:pPr>
              <w:pStyle w:val="BodyText"/>
              <w:rPr>
                <w:rFonts w:asciiTheme="minorHAnsi" w:hAnsiTheme="minorHAnsi"/>
                <w:sz w:val="20"/>
              </w:rPr>
            </w:pPr>
            <w:r w:rsidRPr="00EE3DA5">
              <w:rPr>
                <w:rFonts w:asciiTheme="minorHAnsi" w:hAnsiTheme="minorHAnsi"/>
                <w:sz w:val="20"/>
              </w:rPr>
              <w:t>Albumex® 20 can be diluted to an iso-oncotic protein concentration (4 to 5% albumin) prior to administration. Dilute in the proportion of 1 mL of Albumex® 20 to 4 mL of crystalloid solution (sodium chloride 0.9% or glucose 5% or 10%). DO NOT dilute with water since the lower tonicity will lead to intravascular haemolysis.</w:t>
            </w:r>
          </w:p>
        </w:tc>
      </w:tr>
      <w:tr w:rsidRPr="00EE3DA5" w:rsidR="00113159" w:rsidTr="00FE4186" w14:paraId="105FC707" w14:textId="77777777">
        <w:trPr>
          <w:trHeight w:val="180"/>
        </w:trPr>
        <w:tc>
          <w:tcPr>
            <w:tcW w:w="987" w:type="pct"/>
          </w:tcPr>
          <w:p w:rsidRPr="00EE3DA5" w:rsidR="00113159" w:rsidP="00FE4186" w:rsidRDefault="00113159" w14:paraId="16AAD4C3" w14:textId="77777777">
            <w:pPr>
              <w:pStyle w:val="BodyText"/>
              <w:rPr>
                <w:rFonts w:cs="Arial" w:asciiTheme="minorHAnsi" w:hAnsiTheme="minorHAnsi"/>
                <w:b/>
                <w:bCs/>
                <w:sz w:val="20"/>
              </w:rPr>
            </w:pPr>
            <w:r w:rsidRPr="00EE3DA5">
              <w:rPr>
                <w:rFonts w:cs="Arial" w:asciiTheme="minorHAnsi" w:hAnsiTheme="minorHAnsi"/>
                <w:b/>
                <w:bCs/>
                <w:sz w:val="20"/>
              </w:rPr>
              <w:t xml:space="preserve">Administration                </w:t>
            </w:r>
          </w:p>
        </w:tc>
        <w:tc>
          <w:tcPr>
            <w:tcW w:w="4013" w:type="pct"/>
            <w:vAlign w:val="center"/>
          </w:tcPr>
          <w:p w:rsidR="00113159" w:rsidP="00FE4186" w:rsidRDefault="00113159" w14:paraId="32B0F6E9" w14:textId="77777777">
            <w:pPr>
              <w:pStyle w:val="BodyText"/>
              <w:rPr>
                <w:rFonts w:asciiTheme="minorHAnsi" w:hAnsiTheme="minorHAnsi"/>
                <w:sz w:val="20"/>
              </w:rPr>
            </w:pPr>
            <w:r>
              <w:rPr>
                <w:rFonts w:cs="Arial" w:asciiTheme="minorHAnsi" w:hAnsiTheme="minorHAnsi"/>
                <w:sz w:val="20"/>
              </w:rPr>
              <w:t xml:space="preserve">Hypovolaemia/shock: </w:t>
            </w:r>
            <w:r w:rsidRPr="00EE3DA5">
              <w:rPr>
                <w:rFonts w:cs="Arial" w:asciiTheme="minorHAnsi" w:hAnsiTheme="minorHAnsi"/>
                <w:sz w:val="20"/>
              </w:rPr>
              <w:t>Intravenously over</w:t>
            </w:r>
            <w:r w:rsidRPr="00EE3DA5">
              <w:rPr>
                <w:rFonts w:asciiTheme="minorHAnsi" w:hAnsiTheme="minorHAnsi"/>
                <w:sz w:val="20"/>
              </w:rPr>
              <w:t xml:space="preserve"> 10 to 60 minutes titrated to clinical response.</w:t>
            </w:r>
          </w:p>
          <w:p w:rsidR="00113159" w:rsidP="00FE4186" w:rsidRDefault="00113159" w14:paraId="49FD19B7" w14:textId="77777777">
            <w:pPr>
              <w:pStyle w:val="BodyText"/>
              <w:rPr>
                <w:rFonts w:asciiTheme="minorHAnsi" w:hAnsiTheme="minorHAnsi"/>
                <w:sz w:val="20"/>
              </w:rPr>
            </w:pPr>
            <w:r>
              <w:rPr>
                <w:rFonts w:asciiTheme="minorHAnsi" w:hAnsiTheme="minorHAnsi"/>
                <w:sz w:val="20"/>
              </w:rPr>
              <w:t xml:space="preserve">Plasma exchange [normal saline recommended]: </w:t>
            </w:r>
            <w:r w:rsidRPr="00EE3DA5">
              <w:rPr>
                <w:rFonts w:asciiTheme="minorHAnsi" w:hAnsiTheme="minorHAnsi"/>
                <w:sz w:val="20"/>
              </w:rPr>
              <w:t>Infusion rate to match 1:1 with the rate of removal of blood.</w:t>
            </w:r>
          </w:p>
          <w:p w:rsidRPr="00EE3DA5" w:rsidR="00113159" w:rsidP="00FE4186" w:rsidRDefault="00113159" w14:paraId="0DD06FDA" w14:textId="77777777">
            <w:pPr>
              <w:pStyle w:val="BodyText"/>
              <w:rPr>
                <w:rFonts w:asciiTheme="minorHAnsi" w:hAnsiTheme="minorHAnsi"/>
                <w:sz w:val="20"/>
              </w:rPr>
            </w:pPr>
            <w:r w:rsidRPr="00EE3DA5">
              <w:rPr>
                <w:rFonts w:asciiTheme="minorHAnsi" w:hAnsiTheme="minorHAnsi"/>
                <w:sz w:val="20"/>
              </w:rPr>
              <w:t>Albumex</w:t>
            </w:r>
            <w:r>
              <w:rPr>
                <w:rFonts w:asciiTheme="minorHAnsi" w:hAnsiTheme="minorHAnsi"/>
                <w:sz w:val="20"/>
              </w:rPr>
              <w:t>®</w:t>
            </w:r>
            <w:r w:rsidRPr="00EE3DA5">
              <w:rPr>
                <w:rFonts w:asciiTheme="minorHAnsi" w:hAnsiTheme="minorHAnsi"/>
                <w:sz w:val="20"/>
              </w:rPr>
              <w:t xml:space="preserve"> 4 is packaged in a glass bottle that must be vented during use. </w:t>
            </w:r>
            <w:r w:rsidRPr="00EE3DA5">
              <w:rPr>
                <w:rFonts w:asciiTheme="minorHAnsi" w:hAnsiTheme="minorHAnsi"/>
                <w:noProof/>
                <w:sz w:val="20"/>
              </w:rPr>
              <w:t>[1]</w:t>
            </w:r>
          </w:p>
        </w:tc>
      </w:tr>
      <w:tr w:rsidRPr="00EE3DA5" w:rsidR="00113159" w:rsidTr="00FE4186" w14:paraId="17935DC0" w14:textId="77777777">
        <w:trPr>
          <w:trHeight w:val="221"/>
        </w:trPr>
        <w:tc>
          <w:tcPr>
            <w:tcW w:w="987" w:type="pct"/>
          </w:tcPr>
          <w:p w:rsidRPr="00EE3DA5" w:rsidR="00113159" w:rsidP="00FE4186" w:rsidRDefault="00113159" w14:paraId="4563204C" w14:textId="77777777">
            <w:pPr>
              <w:pStyle w:val="BodyText"/>
              <w:rPr>
                <w:rFonts w:cs="Arial" w:asciiTheme="minorHAnsi" w:hAnsiTheme="minorHAnsi"/>
                <w:b/>
                <w:bCs/>
                <w:sz w:val="20"/>
              </w:rPr>
            </w:pPr>
            <w:r w:rsidRPr="00EE3DA5">
              <w:rPr>
                <w:rFonts w:cs="Arial" w:asciiTheme="minorHAnsi" w:hAnsiTheme="minorHAnsi"/>
                <w:b/>
                <w:bCs/>
                <w:sz w:val="20"/>
              </w:rPr>
              <w:t xml:space="preserve">Monitoring                              </w:t>
            </w:r>
          </w:p>
        </w:tc>
        <w:tc>
          <w:tcPr>
            <w:tcW w:w="4013" w:type="pct"/>
          </w:tcPr>
          <w:p w:rsidRPr="00EE3DA5" w:rsidR="00113159" w:rsidP="00FE4186" w:rsidRDefault="00113159" w14:paraId="06DAEBC3" w14:textId="77777777">
            <w:pPr>
              <w:pStyle w:val="BodyText"/>
              <w:rPr>
                <w:rFonts w:cs="Arial" w:asciiTheme="minorHAnsi" w:hAnsiTheme="minorHAnsi"/>
                <w:sz w:val="20"/>
              </w:rPr>
            </w:pPr>
            <w:r w:rsidRPr="00EE3DA5">
              <w:rPr>
                <w:rFonts w:cs="Arial" w:asciiTheme="minorHAnsi" w:hAnsiTheme="minorHAnsi"/>
                <w:sz w:val="20"/>
              </w:rPr>
              <w:t xml:space="preserve">Continuous cardiorespiratory and temperature observations. </w:t>
            </w:r>
          </w:p>
        </w:tc>
      </w:tr>
      <w:tr w:rsidRPr="00EE3DA5" w:rsidR="00113159" w:rsidTr="00FE4186" w14:paraId="69FD0E0F" w14:textId="77777777">
        <w:trPr>
          <w:trHeight w:val="131"/>
        </w:trPr>
        <w:tc>
          <w:tcPr>
            <w:tcW w:w="987" w:type="pct"/>
          </w:tcPr>
          <w:p w:rsidRPr="00EE3DA5" w:rsidR="00113159" w:rsidP="00FE4186" w:rsidRDefault="00113159" w14:paraId="0B805449" w14:textId="77777777">
            <w:pPr>
              <w:pStyle w:val="BodyText"/>
              <w:rPr>
                <w:rFonts w:cs="Arial" w:asciiTheme="minorHAnsi" w:hAnsiTheme="minorHAnsi"/>
                <w:b/>
                <w:bCs/>
                <w:sz w:val="20"/>
              </w:rPr>
            </w:pPr>
            <w:r w:rsidRPr="00EE3DA5">
              <w:rPr>
                <w:rFonts w:cs="Arial" w:asciiTheme="minorHAnsi" w:hAnsiTheme="minorHAnsi"/>
                <w:b/>
                <w:bCs/>
                <w:sz w:val="20"/>
              </w:rPr>
              <w:t xml:space="preserve">Contraindications                        </w:t>
            </w:r>
          </w:p>
        </w:tc>
        <w:tc>
          <w:tcPr>
            <w:tcW w:w="4013" w:type="pct"/>
          </w:tcPr>
          <w:p w:rsidRPr="00CB15E6" w:rsidR="00113159" w:rsidP="00FE4186" w:rsidRDefault="00113159" w14:paraId="552E3D93" w14:textId="77777777">
            <w:pPr>
              <w:pStyle w:val="BodyText"/>
              <w:rPr>
                <w:rFonts w:asciiTheme="minorHAnsi" w:hAnsiTheme="minorHAnsi"/>
                <w:sz w:val="20"/>
              </w:rPr>
            </w:pPr>
            <w:r w:rsidRPr="00CB15E6">
              <w:rPr>
                <w:rFonts w:asciiTheme="minorHAnsi" w:hAnsiTheme="minorHAnsi"/>
                <w:sz w:val="20"/>
              </w:rPr>
              <w:t xml:space="preserve">History of allergy to albumin. </w:t>
            </w:r>
          </w:p>
        </w:tc>
      </w:tr>
      <w:tr w:rsidRPr="00EE3DA5" w:rsidR="00113159" w:rsidTr="00FE4186" w14:paraId="70A74CA1" w14:textId="77777777">
        <w:tc>
          <w:tcPr>
            <w:tcW w:w="987" w:type="pct"/>
          </w:tcPr>
          <w:p w:rsidRPr="00EE3DA5" w:rsidR="00113159" w:rsidP="00FE4186" w:rsidRDefault="00113159" w14:paraId="2C11579A" w14:textId="77777777">
            <w:pPr>
              <w:pStyle w:val="BodyText"/>
              <w:rPr>
                <w:rFonts w:cs="Arial" w:asciiTheme="minorHAnsi" w:hAnsiTheme="minorHAnsi"/>
                <w:b/>
                <w:bCs/>
                <w:sz w:val="20"/>
              </w:rPr>
            </w:pPr>
            <w:r w:rsidRPr="00EE3DA5">
              <w:rPr>
                <w:rFonts w:asciiTheme="minorHAnsi" w:hAnsiTheme="minorHAnsi"/>
                <w:sz w:val="20"/>
              </w:rPr>
              <w:br w:type="page"/>
            </w:r>
            <w:r w:rsidRPr="00EE3DA5">
              <w:rPr>
                <w:rFonts w:cs="Arial" w:asciiTheme="minorHAnsi" w:hAnsiTheme="minorHAnsi"/>
                <w:b/>
                <w:bCs/>
                <w:sz w:val="20"/>
              </w:rPr>
              <w:t>Precautions</w:t>
            </w:r>
          </w:p>
        </w:tc>
        <w:tc>
          <w:tcPr>
            <w:tcW w:w="4013" w:type="pct"/>
          </w:tcPr>
          <w:p w:rsidRPr="00CB15E6" w:rsidR="00113159" w:rsidP="00FE4186" w:rsidRDefault="00113159" w14:paraId="305A75FB" w14:textId="77777777">
            <w:pPr>
              <w:pStyle w:val="BodyText"/>
              <w:rPr>
                <w:rFonts w:asciiTheme="minorHAnsi" w:hAnsiTheme="minorHAnsi"/>
                <w:sz w:val="20"/>
              </w:rPr>
            </w:pPr>
            <w:r w:rsidRPr="00CB15E6">
              <w:rPr>
                <w:rFonts w:asciiTheme="minorHAnsi" w:hAnsiTheme="minorHAnsi"/>
                <w:sz w:val="20"/>
              </w:rPr>
              <w:t>Cardiac failure, pulmonary oedema or severe anaemia.</w:t>
            </w:r>
          </w:p>
          <w:p w:rsidRPr="00EE3DA5" w:rsidR="00113159" w:rsidP="00FE4186" w:rsidRDefault="00113159" w14:paraId="196CD928" w14:textId="77777777">
            <w:pPr>
              <w:pStyle w:val="BodyText"/>
              <w:rPr>
                <w:rFonts w:cs="Arial" w:asciiTheme="minorHAnsi" w:hAnsiTheme="minorHAnsi"/>
                <w:sz w:val="20"/>
              </w:rPr>
            </w:pPr>
            <w:r w:rsidRPr="00EE3DA5">
              <w:rPr>
                <w:rFonts w:cs="Arial" w:asciiTheme="minorHAnsi" w:hAnsiTheme="minorHAnsi"/>
                <w:sz w:val="20"/>
              </w:rPr>
              <w:lastRenderedPageBreak/>
              <w:t xml:space="preserve">The sodium </w:t>
            </w:r>
            <w:r>
              <w:rPr>
                <w:rFonts w:cs="Arial" w:asciiTheme="minorHAnsi" w:hAnsiTheme="minorHAnsi"/>
                <w:sz w:val="20"/>
              </w:rPr>
              <w:t>concentration</w:t>
            </w:r>
            <w:r w:rsidRPr="00EE3DA5">
              <w:rPr>
                <w:rFonts w:cs="Arial" w:asciiTheme="minorHAnsi" w:hAnsiTheme="minorHAnsi"/>
                <w:sz w:val="20"/>
              </w:rPr>
              <w:t xml:space="preserve"> in this product </w:t>
            </w:r>
            <w:r>
              <w:rPr>
                <w:rFonts w:cs="Arial" w:asciiTheme="minorHAnsi" w:hAnsiTheme="minorHAnsi"/>
                <w:sz w:val="20"/>
              </w:rPr>
              <w:t>is</w:t>
            </w:r>
            <w:r w:rsidRPr="00EE3DA5">
              <w:rPr>
                <w:rFonts w:cs="Arial" w:asciiTheme="minorHAnsi" w:hAnsiTheme="minorHAnsi"/>
                <w:sz w:val="20"/>
              </w:rPr>
              <w:t xml:space="preserve"> 140 mmol/L. This should be noted when the product is used in patients requiring sodium restriction.</w:t>
            </w:r>
          </w:p>
          <w:p w:rsidRPr="00EE3DA5" w:rsidR="00113159" w:rsidP="00FE4186" w:rsidRDefault="00113159" w14:paraId="7FD38521" w14:textId="77777777">
            <w:pPr>
              <w:pStyle w:val="BodyText"/>
              <w:rPr>
                <w:rFonts w:cs="Arial" w:asciiTheme="minorHAnsi" w:hAnsiTheme="minorHAnsi"/>
                <w:sz w:val="20"/>
              </w:rPr>
            </w:pPr>
            <w:r w:rsidRPr="00EE3DA5">
              <w:rPr>
                <w:rFonts w:cs="Arial" w:asciiTheme="minorHAnsi" w:hAnsiTheme="minorHAnsi"/>
                <w:sz w:val="20"/>
              </w:rPr>
              <w:t>Administration of albumin can aggravate myocardial depression in patients with shock.</w:t>
            </w:r>
          </w:p>
        </w:tc>
      </w:tr>
      <w:tr w:rsidRPr="00EE3DA5" w:rsidR="00113159" w:rsidTr="00FE4186" w14:paraId="712B96DD" w14:textId="77777777">
        <w:trPr>
          <w:trHeight w:val="235"/>
        </w:trPr>
        <w:tc>
          <w:tcPr>
            <w:tcW w:w="987" w:type="pct"/>
          </w:tcPr>
          <w:p w:rsidRPr="00EE3DA5" w:rsidR="00113159" w:rsidP="00FE4186" w:rsidRDefault="00113159" w14:paraId="5D33B040" w14:textId="77777777">
            <w:pPr>
              <w:pStyle w:val="BodyText"/>
              <w:rPr>
                <w:rFonts w:cs="Arial" w:asciiTheme="minorHAnsi" w:hAnsiTheme="minorHAnsi"/>
                <w:b/>
                <w:bCs/>
                <w:sz w:val="20"/>
              </w:rPr>
            </w:pPr>
            <w:r w:rsidRPr="00EE3DA5">
              <w:rPr>
                <w:rFonts w:cs="Arial" w:asciiTheme="minorHAnsi" w:hAnsiTheme="minorHAnsi"/>
                <w:b/>
                <w:bCs/>
                <w:sz w:val="20"/>
              </w:rPr>
              <w:lastRenderedPageBreak/>
              <w:t>Drug Interactions</w:t>
            </w:r>
          </w:p>
        </w:tc>
        <w:tc>
          <w:tcPr>
            <w:tcW w:w="4013" w:type="pct"/>
          </w:tcPr>
          <w:p w:rsidRPr="00EE3DA5" w:rsidR="00113159" w:rsidP="00FE4186" w:rsidRDefault="00113159" w14:paraId="22FD7985" w14:textId="77777777">
            <w:pPr>
              <w:pStyle w:val="BodyText"/>
              <w:rPr>
                <w:rFonts w:cs="Arial" w:asciiTheme="minorHAnsi" w:hAnsiTheme="minorHAnsi"/>
                <w:sz w:val="20"/>
              </w:rPr>
            </w:pPr>
            <w:r w:rsidRPr="00EE3DA5">
              <w:rPr>
                <w:rFonts w:cs="Arial" w:asciiTheme="minorHAnsi" w:hAnsiTheme="minorHAnsi"/>
                <w:sz w:val="20"/>
              </w:rPr>
              <w:t xml:space="preserve">Hypotension has been reported in patients given albumin who are on </w:t>
            </w:r>
            <w:r>
              <w:rPr>
                <w:rFonts w:cs="Arial" w:asciiTheme="minorHAnsi" w:hAnsiTheme="minorHAnsi"/>
                <w:sz w:val="20"/>
              </w:rPr>
              <w:t>a</w:t>
            </w:r>
            <w:r w:rsidRPr="00EE3DA5">
              <w:rPr>
                <w:rFonts w:cs="Arial" w:asciiTheme="minorHAnsi" w:hAnsiTheme="minorHAnsi"/>
                <w:sz w:val="20"/>
              </w:rPr>
              <w:t xml:space="preserve">ngiotensin </w:t>
            </w:r>
            <w:r>
              <w:rPr>
                <w:rFonts w:cs="Arial" w:asciiTheme="minorHAnsi" w:hAnsiTheme="minorHAnsi"/>
                <w:sz w:val="20"/>
              </w:rPr>
              <w:t>c</w:t>
            </w:r>
            <w:r w:rsidRPr="00EE3DA5">
              <w:rPr>
                <w:rFonts w:cs="Arial" w:asciiTheme="minorHAnsi" w:hAnsiTheme="minorHAnsi"/>
                <w:sz w:val="20"/>
              </w:rPr>
              <w:t xml:space="preserve">onverting </w:t>
            </w:r>
            <w:r>
              <w:rPr>
                <w:rFonts w:cs="Arial" w:asciiTheme="minorHAnsi" w:hAnsiTheme="minorHAnsi"/>
                <w:sz w:val="20"/>
              </w:rPr>
              <w:t>e</w:t>
            </w:r>
            <w:r w:rsidRPr="00EE3DA5">
              <w:rPr>
                <w:rFonts w:cs="Arial" w:asciiTheme="minorHAnsi" w:hAnsiTheme="minorHAnsi"/>
                <w:sz w:val="20"/>
              </w:rPr>
              <w:t>nzyme (ACE) inhibitors. The addition of other medicines to Albumex® 4 has not been evaluated.</w:t>
            </w:r>
          </w:p>
        </w:tc>
      </w:tr>
      <w:tr w:rsidRPr="00EE3DA5" w:rsidR="00113159" w:rsidTr="00FE4186" w14:paraId="7A20360B" w14:textId="77777777">
        <w:trPr>
          <w:trHeight w:val="416"/>
        </w:trPr>
        <w:tc>
          <w:tcPr>
            <w:tcW w:w="987" w:type="pct"/>
          </w:tcPr>
          <w:p w:rsidRPr="00EE3DA5" w:rsidR="00113159" w:rsidP="00FE4186" w:rsidRDefault="00113159" w14:paraId="30479B4A" w14:textId="77777777">
            <w:pPr>
              <w:pStyle w:val="BodyText"/>
              <w:rPr>
                <w:rFonts w:cs="Arial" w:asciiTheme="minorHAnsi" w:hAnsiTheme="minorHAnsi"/>
                <w:b/>
                <w:bCs/>
                <w:sz w:val="20"/>
              </w:rPr>
            </w:pPr>
            <w:r w:rsidRPr="00EE3DA5">
              <w:rPr>
                <w:rFonts w:cs="Arial" w:asciiTheme="minorHAnsi" w:hAnsiTheme="minorHAnsi"/>
                <w:b/>
                <w:bCs/>
                <w:sz w:val="20"/>
              </w:rPr>
              <w:t xml:space="preserve">Adverse Reactions         </w:t>
            </w:r>
          </w:p>
          <w:p w:rsidRPr="00EE3DA5" w:rsidR="00113159" w:rsidP="00FE4186" w:rsidRDefault="00113159" w14:paraId="461D3B3A" w14:textId="77777777">
            <w:pPr>
              <w:pStyle w:val="BodyText"/>
              <w:rPr>
                <w:rFonts w:cs="Arial" w:asciiTheme="minorHAnsi" w:hAnsiTheme="minorHAnsi"/>
                <w:b/>
                <w:bCs/>
                <w:sz w:val="20"/>
              </w:rPr>
            </w:pPr>
          </w:p>
        </w:tc>
        <w:tc>
          <w:tcPr>
            <w:tcW w:w="4013" w:type="pct"/>
          </w:tcPr>
          <w:p w:rsidRPr="00EE3DA5" w:rsidR="00113159" w:rsidP="00FE4186" w:rsidRDefault="00113159" w14:paraId="6A75F5A3" w14:textId="77777777">
            <w:pPr>
              <w:pStyle w:val="BodyText"/>
              <w:rPr>
                <w:rFonts w:cs="Arial" w:asciiTheme="minorHAnsi" w:hAnsiTheme="minorHAnsi"/>
                <w:sz w:val="20"/>
              </w:rPr>
            </w:pPr>
            <w:r w:rsidRPr="00EE3DA5">
              <w:rPr>
                <w:rFonts w:cs="Arial" w:asciiTheme="minorHAnsi" w:hAnsiTheme="minorHAnsi"/>
                <w:sz w:val="20"/>
              </w:rPr>
              <w:t>Allergic reactions.</w:t>
            </w:r>
          </w:p>
          <w:p w:rsidRPr="00EE3DA5" w:rsidR="00113159" w:rsidP="00FE4186" w:rsidRDefault="00113159" w14:paraId="4A5D58B0" w14:textId="77777777">
            <w:pPr>
              <w:pStyle w:val="BodyText"/>
              <w:rPr>
                <w:rFonts w:cs="Arial" w:asciiTheme="minorHAnsi" w:hAnsiTheme="minorHAnsi"/>
                <w:sz w:val="20"/>
              </w:rPr>
            </w:pPr>
            <w:r w:rsidRPr="00EE3DA5">
              <w:rPr>
                <w:rFonts w:asciiTheme="minorHAnsi" w:hAnsiTheme="minorHAnsi"/>
                <w:sz w:val="20"/>
              </w:rPr>
              <w:t>Possible harms associated with albumin infusion in neonates include fluid overload (pulmonary oedema, impaired gas exchange, worsening oxygenation, chronic lung disease, patent ductus arteriosus, myocardial dysfunction especially for infants with birth asphyxia), neurological injury (cerebral oedema, intraventricular haemorrhage due to rapid bolus administration), salt loading and fluid retention.</w:t>
            </w:r>
          </w:p>
        </w:tc>
      </w:tr>
      <w:tr w:rsidRPr="00EE3DA5" w:rsidR="00113159" w:rsidTr="00FE4186" w14:paraId="76B767EA" w14:textId="77777777">
        <w:trPr>
          <w:trHeight w:val="197"/>
        </w:trPr>
        <w:tc>
          <w:tcPr>
            <w:tcW w:w="987" w:type="pct"/>
          </w:tcPr>
          <w:p w:rsidRPr="00EE3DA5" w:rsidR="00113159" w:rsidP="00FE4186" w:rsidRDefault="00113159" w14:paraId="40C64998" w14:textId="77777777">
            <w:pPr>
              <w:pStyle w:val="BodyText"/>
              <w:rPr>
                <w:rFonts w:cs="Arial" w:asciiTheme="minorHAnsi" w:hAnsiTheme="minorHAnsi"/>
                <w:b/>
                <w:bCs/>
                <w:sz w:val="20"/>
              </w:rPr>
            </w:pPr>
            <w:r w:rsidRPr="00EE3DA5">
              <w:rPr>
                <w:rFonts w:cs="Arial" w:asciiTheme="minorHAnsi" w:hAnsiTheme="minorHAnsi"/>
                <w:b/>
                <w:bCs/>
                <w:sz w:val="20"/>
              </w:rPr>
              <w:t>Compatibility</w:t>
            </w:r>
          </w:p>
        </w:tc>
        <w:tc>
          <w:tcPr>
            <w:tcW w:w="4013" w:type="pct"/>
          </w:tcPr>
          <w:p w:rsidRPr="00EE3DA5" w:rsidR="00113159" w:rsidP="00FE4186" w:rsidRDefault="00113159" w14:paraId="120220F7" w14:textId="77777777">
            <w:pPr>
              <w:pStyle w:val="BodyText"/>
              <w:rPr>
                <w:rFonts w:asciiTheme="minorHAnsi" w:hAnsiTheme="minorHAnsi"/>
                <w:sz w:val="20"/>
              </w:rPr>
            </w:pPr>
            <w:r w:rsidRPr="00EE3DA5">
              <w:rPr>
                <w:rFonts w:asciiTheme="minorHAnsi" w:hAnsiTheme="minorHAnsi"/>
                <w:sz w:val="20"/>
              </w:rPr>
              <w:t xml:space="preserve">Glucose 5% and 10%, glucose-sodium chloride combination. </w:t>
            </w:r>
            <w:r w:rsidRPr="00EE3DA5">
              <w:rPr>
                <w:rFonts w:asciiTheme="minorHAnsi" w:hAnsiTheme="minorHAnsi"/>
                <w:noProof/>
                <w:sz w:val="20"/>
              </w:rPr>
              <w:t>[2]</w:t>
            </w:r>
          </w:p>
        </w:tc>
      </w:tr>
      <w:tr w:rsidRPr="00EE3DA5" w:rsidR="00113159" w:rsidTr="00FE4186" w14:paraId="200F14CD" w14:textId="77777777">
        <w:trPr>
          <w:trHeight w:val="215"/>
        </w:trPr>
        <w:tc>
          <w:tcPr>
            <w:tcW w:w="987" w:type="pct"/>
          </w:tcPr>
          <w:p w:rsidRPr="00EE3DA5" w:rsidR="00113159" w:rsidP="00FE4186" w:rsidRDefault="00113159" w14:paraId="751A6115" w14:textId="77777777">
            <w:pPr>
              <w:pStyle w:val="BodyText"/>
              <w:rPr>
                <w:rFonts w:cs="Arial" w:asciiTheme="minorHAnsi" w:hAnsiTheme="minorHAnsi"/>
                <w:b/>
                <w:bCs/>
                <w:sz w:val="20"/>
              </w:rPr>
            </w:pPr>
            <w:r w:rsidRPr="00EE3DA5">
              <w:rPr>
                <w:rFonts w:cs="Arial" w:asciiTheme="minorHAnsi" w:hAnsiTheme="minorHAnsi"/>
                <w:b/>
                <w:bCs/>
                <w:sz w:val="20"/>
              </w:rPr>
              <w:t>Incompatibility</w:t>
            </w:r>
          </w:p>
        </w:tc>
        <w:tc>
          <w:tcPr>
            <w:tcW w:w="4013" w:type="pct"/>
          </w:tcPr>
          <w:p w:rsidRPr="00EE3DA5" w:rsidR="00113159" w:rsidP="00FE4186" w:rsidRDefault="00113159" w14:paraId="100B642F" w14:textId="77777777">
            <w:pPr>
              <w:pStyle w:val="BodyText"/>
              <w:rPr>
                <w:rFonts w:cs="Arial" w:asciiTheme="minorHAnsi" w:hAnsiTheme="minorHAnsi"/>
                <w:sz w:val="20"/>
              </w:rPr>
            </w:pPr>
            <w:r w:rsidRPr="00EE3DA5">
              <w:rPr>
                <w:rFonts w:cs="Arial" w:asciiTheme="minorHAnsi" w:hAnsiTheme="minorHAnsi"/>
                <w:sz w:val="20"/>
              </w:rPr>
              <w:t>Albumex® 4 should not be mixed with protein hydrolysates, amino acid solutions, solutions containing alcohol or solutions containing drugs that bind to albumin (e.g. calcium channel blockers, antibiotics and benzodiazepines).</w:t>
            </w:r>
          </w:p>
        </w:tc>
      </w:tr>
      <w:tr w:rsidRPr="00EE3DA5" w:rsidR="00113159" w:rsidTr="00FE4186" w14:paraId="061F2684" w14:textId="77777777">
        <w:trPr>
          <w:trHeight w:val="253"/>
        </w:trPr>
        <w:tc>
          <w:tcPr>
            <w:tcW w:w="987" w:type="pct"/>
          </w:tcPr>
          <w:p w:rsidRPr="00EE3DA5" w:rsidR="00113159" w:rsidP="00FE4186" w:rsidRDefault="00113159" w14:paraId="7D9DB903" w14:textId="77777777">
            <w:pPr>
              <w:pStyle w:val="BodyText"/>
              <w:rPr>
                <w:rFonts w:cs="Arial" w:asciiTheme="minorHAnsi" w:hAnsiTheme="minorHAnsi"/>
                <w:b/>
                <w:bCs/>
                <w:sz w:val="20"/>
              </w:rPr>
            </w:pPr>
            <w:r w:rsidRPr="00EE3DA5">
              <w:rPr>
                <w:rFonts w:cs="Arial" w:asciiTheme="minorHAnsi" w:hAnsiTheme="minorHAnsi"/>
                <w:b/>
                <w:bCs/>
                <w:sz w:val="20"/>
              </w:rPr>
              <w:t xml:space="preserve">Stability                  </w:t>
            </w:r>
          </w:p>
        </w:tc>
        <w:tc>
          <w:tcPr>
            <w:tcW w:w="4013" w:type="pct"/>
          </w:tcPr>
          <w:p w:rsidRPr="00EE3DA5" w:rsidR="00113159" w:rsidP="00FE4186" w:rsidRDefault="00113159" w14:paraId="26CF9F4D" w14:textId="77777777">
            <w:pPr>
              <w:pStyle w:val="BodyText"/>
              <w:rPr>
                <w:rFonts w:cs="Arial" w:asciiTheme="minorHAnsi" w:hAnsiTheme="minorHAnsi"/>
                <w:sz w:val="20"/>
              </w:rPr>
            </w:pPr>
          </w:p>
        </w:tc>
      </w:tr>
      <w:tr w:rsidRPr="00EE3DA5" w:rsidR="00113159" w:rsidTr="00FE4186" w14:paraId="7B5A3CEC" w14:textId="77777777">
        <w:trPr>
          <w:trHeight w:val="117"/>
        </w:trPr>
        <w:tc>
          <w:tcPr>
            <w:tcW w:w="987" w:type="pct"/>
          </w:tcPr>
          <w:p w:rsidRPr="00EE3DA5" w:rsidR="00113159" w:rsidP="00FE4186" w:rsidRDefault="00113159" w14:paraId="74154BC0" w14:textId="77777777">
            <w:pPr>
              <w:pStyle w:val="BodyText"/>
              <w:rPr>
                <w:rFonts w:cs="Arial" w:asciiTheme="minorHAnsi" w:hAnsiTheme="minorHAnsi"/>
                <w:b/>
                <w:bCs/>
                <w:sz w:val="20"/>
              </w:rPr>
            </w:pPr>
            <w:r w:rsidRPr="00EE3DA5">
              <w:rPr>
                <w:rFonts w:cs="Arial" w:asciiTheme="minorHAnsi" w:hAnsiTheme="minorHAnsi"/>
                <w:b/>
                <w:bCs/>
                <w:sz w:val="20"/>
              </w:rPr>
              <w:t xml:space="preserve">Storage             </w:t>
            </w:r>
          </w:p>
        </w:tc>
        <w:tc>
          <w:tcPr>
            <w:tcW w:w="4013" w:type="pct"/>
          </w:tcPr>
          <w:p w:rsidRPr="00EE3DA5" w:rsidR="00113159" w:rsidP="00FE4186" w:rsidRDefault="00113159" w14:paraId="7007EE9F" w14:textId="77777777">
            <w:pPr>
              <w:pStyle w:val="BodyText"/>
              <w:rPr>
                <w:rFonts w:cs="Arial" w:asciiTheme="minorHAnsi" w:hAnsiTheme="minorHAnsi"/>
                <w:sz w:val="20"/>
              </w:rPr>
            </w:pPr>
            <w:r w:rsidRPr="00EE3DA5">
              <w:rPr>
                <w:rFonts w:cs="Arial" w:asciiTheme="minorHAnsi" w:hAnsiTheme="minorHAnsi"/>
                <w:sz w:val="20"/>
              </w:rPr>
              <w:t>Store below 30°C (Do not freeze). Protect from light.</w:t>
            </w:r>
            <w:r w:rsidRPr="00EE3DA5">
              <w:rPr>
                <w:rFonts w:asciiTheme="minorHAnsi" w:hAnsiTheme="minorHAnsi"/>
                <w:sz w:val="20"/>
              </w:rPr>
              <w:t xml:space="preserve"> </w:t>
            </w:r>
            <w:r w:rsidRPr="00EE3DA5">
              <w:rPr>
                <w:rFonts w:cs="Arial" w:asciiTheme="minorHAnsi" w:hAnsiTheme="minorHAnsi"/>
                <w:sz w:val="20"/>
              </w:rPr>
              <w:t>If the product has been stored in the refrigerator it should be allowed to reach room temperature before administration. Do not use if the solution has been frozen.</w:t>
            </w:r>
          </w:p>
        </w:tc>
      </w:tr>
      <w:tr w:rsidRPr="00EE3DA5" w:rsidR="00113159" w:rsidTr="00FE4186" w14:paraId="03B96BE9" w14:textId="77777777">
        <w:trPr>
          <w:trHeight w:val="231"/>
        </w:trPr>
        <w:tc>
          <w:tcPr>
            <w:tcW w:w="987" w:type="pct"/>
          </w:tcPr>
          <w:p w:rsidRPr="00EE3DA5" w:rsidR="00113159" w:rsidP="00FE4186" w:rsidRDefault="00113159" w14:paraId="4FE030FB" w14:textId="77777777">
            <w:pPr>
              <w:pStyle w:val="BodyText"/>
              <w:rPr>
                <w:rFonts w:cs="Arial" w:asciiTheme="minorHAnsi" w:hAnsiTheme="minorHAnsi"/>
                <w:b/>
                <w:bCs/>
                <w:sz w:val="20"/>
              </w:rPr>
            </w:pPr>
            <w:r w:rsidRPr="00EE3DA5">
              <w:rPr>
                <w:rFonts w:cs="Arial" w:asciiTheme="minorHAnsi" w:hAnsiTheme="minorHAnsi"/>
                <w:b/>
                <w:bCs/>
                <w:sz w:val="20"/>
              </w:rPr>
              <w:t xml:space="preserve">Special Comments       </w:t>
            </w:r>
          </w:p>
        </w:tc>
        <w:tc>
          <w:tcPr>
            <w:tcW w:w="4013" w:type="pct"/>
          </w:tcPr>
          <w:p w:rsidRPr="00EE3DA5" w:rsidR="00113159" w:rsidP="00FE4186" w:rsidRDefault="00113159" w14:paraId="66C3E1C7" w14:textId="77777777">
            <w:pPr>
              <w:pStyle w:val="BodyText"/>
              <w:rPr>
                <w:rFonts w:cs="Arial" w:asciiTheme="minorHAnsi" w:hAnsiTheme="minorHAnsi"/>
                <w:sz w:val="20"/>
              </w:rPr>
            </w:pPr>
          </w:p>
        </w:tc>
      </w:tr>
      <w:tr w:rsidRPr="00EE3DA5" w:rsidR="00113159" w:rsidTr="00FE4186" w14:paraId="229D1B44" w14:textId="77777777">
        <w:trPr>
          <w:trHeight w:val="763"/>
        </w:trPr>
        <w:tc>
          <w:tcPr>
            <w:tcW w:w="987" w:type="pct"/>
          </w:tcPr>
          <w:p w:rsidRPr="00EE3DA5" w:rsidR="00113159" w:rsidP="00FE4186" w:rsidRDefault="00113159" w14:paraId="7B6D6A3C" w14:textId="77777777">
            <w:pPr>
              <w:pStyle w:val="BodyText"/>
              <w:rPr>
                <w:rFonts w:cs="Arial" w:asciiTheme="minorHAnsi" w:hAnsiTheme="minorHAnsi"/>
                <w:b/>
                <w:bCs/>
                <w:sz w:val="20"/>
              </w:rPr>
            </w:pPr>
            <w:r w:rsidRPr="00EE3DA5">
              <w:rPr>
                <w:rFonts w:cs="Arial" w:asciiTheme="minorHAnsi" w:hAnsiTheme="minorHAnsi"/>
                <w:b/>
                <w:bCs/>
                <w:sz w:val="20"/>
              </w:rPr>
              <w:t>Evidence summary</w:t>
            </w:r>
          </w:p>
        </w:tc>
        <w:tc>
          <w:tcPr>
            <w:tcW w:w="4013" w:type="pct"/>
          </w:tcPr>
          <w:p w:rsidRPr="00113159" w:rsidR="00113159" w:rsidP="00FE4186" w:rsidRDefault="00113159" w14:paraId="2F918086" w14:textId="77777777">
            <w:pPr>
              <w:pStyle w:val="BodyText"/>
              <w:tabs>
                <w:tab w:val="left" w:pos="1168"/>
              </w:tabs>
              <w:rPr>
                <w:rFonts w:asciiTheme="minorHAnsi" w:hAnsiTheme="minorHAnsi"/>
                <w:b/>
                <w:sz w:val="16"/>
                <w:szCs w:val="16"/>
              </w:rPr>
            </w:pPr>
            <w:r w:rsidRPr="00113159">
              <w:rPr>
                <w:rFonts w:asciiTheme="minorHAnsi" w:hAnsiTheme="minorHAnsi"/>
                <w:b/>
                <w:sz w:val="16"/>
                <w:szCs w:val="16"/>
              </w:rPr>
              <w:t>Efficacy</w:t>
            </w:r>
          </w:p>
          <w:p w:rsidRPr="00113159" w:rsidR="00113159" w:rsidP="00FE4186" w:rsidRDefault="00113159" w14:paraId="7BFC70EA" w14:textId="77777777">
            <w:pPr>
              <w:pStyle w:val="BodyText"/>
              <w:tabs>
                <w:tab w:val="left" w:pos="1168"/>
              </w:tabs>
              <w:rPr>
                <w:rFonts w:asciiTheme="minorHAnsi" w:hAnsiTheme="minorHAnsi"/>
                <w:sz w:val="16"/>
                <w:szCs w:val="16"/>
              </w:rPr>
            </w:pPr>
            <w:r w:rsidRPr="00113159">
              <w:rPr>
                <w:rFonts w:asciiTheme="minorHAnsi" w:hAnsiTheme="minorHAnsi"/>
                <w:b/>
                <w:sz w:val="16"/>
                <w:szCs w:val="16"/>
              </w:rPr>
              <w:t>Hypotensive preterm infants:</w:t>
            </w:r>
            <w:r w:rsidRPr="00113159">
              <w:rPr>
                <w:rFonts w:asciiTheme="minorHAnsi" w:hAnsiTheme="minorHAnsi"/>
                <w:sz w:val="16"/>
                <w:szCs w:val="16"/>
              </w:rPr>
              <w:t xml:space="preserve"> Two RCTs </w:t>
            </w:r>
            <w:r w:rsidRPr="00113159">
              <w:rPr>
                <w:rFonts w:asciiTheme="minorHAnsi" w:hAnsiTheme="minorHAnsi"/>
                <w:noProof/>
                <w:sz w:val="16"/>
                <w:szCs w:val="16"/>
              </w:rPr>
              <w:t>[3, 4]</w:t>
            </w:r>
            <w:r w:rsidRPr="00113159">
              <w:rPr>
                <w:rFonts w:asciiTheme="minorHAnsi" w:hAnsiTheme="minorHAnsi"/>
                <w:sz w:val="16"/>
                <w:szCs w:val="16"/>
              </w:rPr>
              <w:t xml:space="preserve"> have compared volume expansion using albumin 5% to normal saline 10 mL/kg in hypotensive preterm infants. Meta-analysis </w:t>
            </w:r>
            <w:r w:rsidRPr="00113159">
              <w:rPr>
                <w:rFonts w:asciiTheme="minorHAnsi" w:hAnsiTheme="minorHAnsi"/>
                <w:noProof/>
                <w:sz w:val="16"/>
                <w:szCs w:val="16"/>
              </w:rPr>
              <w:t>[5]</w:t>
            </w:r>
            <w:r w:rsidRPr="00113159">
              <w:rPr>
                <w:rFonts w:asciiTheme="minorHAnsi" w:hAnsiTheme="minorHAnsi"/>
                <w:sz w:val="16"/>
                <w:szCs w:val="16"/>
              </w:rPr>
              <w:t xml:space="preserve"> found no significant difference in mortality (typical RR 1.02; 95% CI 0.50, 2.06) or PIVH. No data were available for periventricular leukomalacia (PVL) or long-term disability. Meta-analysis found no significant difference in treatment failure (2 studies, 163 infants; typical RR 0.76, 95% CI 0.54, 1.07) although there was substantial heterogeneity between studies. There were no significant differences for other neonatal morbidities including BPD, PDA, NEC and sepsis. One trial </w:t>
            </w:r>
            <w:r w:rsidRPr="00113159">
              <w:rPr>
                <w:rFonts w:asciiTheme="minorHAnsi" w:hAnsiTheme="minorHAnsi"/>
                <w:noProof/>
                <w:sz w:val="16"/>
                <w:szCs w:val="16"/>
              </w:rPr>
              <w:t>[6]</w:t>
            </w:r>
            <w:r w:rsidRPr="00113159">
              <w:rPr>
                <w:rFonts w:asciiTheme="minorHAnsi" w:hAnsiTheme="minorHAnsi"/>
                <w:sz w:val="16"/>
                <w:szCs w:val="16"/>
              </w:rPr>
              <w:t xml:space="preserve"> with 20 infants in each group with a systolic BP &lt;40 mmHg compared fresh frozen plasma to albumin 4.5% 15 mL/kg and reported no difference in change in mean BP, although both these groups had a significantly greater increase in mean BP than a control group who received albumin 20% 5 mL/kg. Other outcomes were not reported. Systematic review concluded there is insufficient evidence to determine whether infants with cardiovascular compromise benefit from volume expansion or what type of volume expansion should be used in preterm infants (if at all) </w:t>
            </w:r>
            <w:r w:rsidRPr="00113159">
              <w:rPr>
                <w:rFonts w:asciiTheme="minorHAnsi" w:hAnsiTheme="minorHAnsi"/>
                <w:noProof/>
                <w:sz w:val="16"/>
                <w:szCs w:val="16"/>
              </w:rPr>
              <w:t>[5]</w:t>
            </w:r>
            <w:r w:rsidRPr="00113159">
              <w:rPr>
                <w:rFonts w:asciiTheme="minorHAnsi" w:hAnsiTheme="minorHAnsi"/>
                <w:sz w:val="16"/>
                <w:szCs w:val="16"/>
              </w:rPr>
              <w:t xml:space="preserve">. In addition, two RCTs </w:t>
            </w:r>
            <w:r w:rsidRPr="00113159">
              <w:rPr>
                <w:rFonts w:asciiTheme="minorHAnsi" w:hAnsiTheme="minorHAnsi"/>
                <w:noProof/>
                <w:sz w:val="16"/>
                <w:szCs w:val="16"/>
              </w:rPr>
              <w:t>[7, 8]</w:t>
            </w:r>
            <w:r w:rsidRPr="00113159">
              <w:rPr>
                <w:rFonts w:asciiTheme="minorHAnsi" w:hAnsiTheme="minorHAnsi"/>
                <w:sz w:val="16"/>
                <w:szCs w:val="16"/>
              </w:rPr>
              <w:t xml:space="preserve"> have compared albumin 4.5% 15 to 20 mL/kg to dopamine in a total of 63 hypotensive preterm infants. Systematic review </w:t>
            </w:r>
            <w:r w:rsidRPr="00113159">
              <w:rPr>
                <w:rFonts w:asciiTheme="minorHAnsi" w:hAnsiTheme="minorHAnsi"/>
                <w:noProof/>
                <w:sz w:val="16"/>
                <w:szCs w:val="16"/>
              </w:rPr>
              <w:t>[9]</w:t>
            </w:r>
            <w:r w:rsidRPr="00113159">
              <w:rPr>
                <w:rFonts w:asciiTheme="minorHAnsi" w:hAnsiTheme="minorHAnsi"/>
                <w:sz w:val="16"/>
                <w:szCs w:val="16"/>
              </w:rPr>
              <w:t xml:space="preserve"> found dopamine was more successful than albumin at correcting low BP in hypotensive preterm infants, but neither dopamine nor albumin improved blood flow, mortality or morbidity in preterm infants. </w:t>
            </w:r>
          </w:p>
          <w:p w:rsidRPr="00113159" w:rsidR="00113159" w:rsidP="00FE4186" w:rsidRDefault="00113159" w14:paraId="1E84B1DA" w14:textId="77777777">
            <w:pPr>
              <w:pStyle w:val="BodyText"/>
              <w:tabs>
                <w:tab w:val="left" w:pos="1168"/>
              </w:tabs>
              <w:rPr>
                <w:rFonts w:asciiTheme="minorHAnsi" w:hAnsiTheme="minorHAnsi"/>
                <w:sz w:val="16"/>
                <w:szCs w:val="16"/>
              </w:rPr>
            </w:pPr>
          </w:p>
          <w:p w:rsidRPr="00113159" w:rsidR="00113159" w:rsidP="00FE4186" w:rsidRDefault="00113159" w14:paraId="63A7C0F3" w14:textId="77777777">
            <w:pPr>
              <w:pStyle w:val="BodyText"/>
              <w:tabs>
                <w:tab w:val="left" w:pos="1168"/>
              </w:tabs>
              <w:rPr>
                <w:rFonts w:asciiTheme="minorHAnsi" w:hAnsiTheme="minorHAnsi"/>
                <w:sz w:val="16"/>
                <w:szCs w:val="16"/>
              </w:rPr>
            </w:pPr>
            <w:r w:rsidRPr="00113159">
              <w:rPr>
                <w:rFonts w:asciiTheme="minorHAnsi" w:hAnsiTheme="minorHAnsi"/>
                <w:sz w:val="16"/>
                <w:szCs w:val="16"/>
              </w:rPr>
              <w:t xml:space="preserve">A systematic review of RCTs comparing albumin or PPF with no albumin or PPF or with a crystalloid solution in critically ill patients with hypovolaemia, burns or hypoalbuminaemia included 38 trials with 1,958 deaths among 10,842 participants </w:t>
            </w:r>
            <w:r w:rsidRPr="00113159">
              <w:rPr>
                <w:rFonts w:asciiTheme="minorHAnsi" w:hAnsiTheme="minorHAnsi"/>
                <w:noProof/>
                <w:sz w:val="16"/>
                <w:szCs w:val="16"/>
              </w:rPr>
              <w:t>[10]</w:t>
            </w:r>
            <w:r w:rsidRPr="00113159">
              <w:rPr>
                <w:rFonts w:asciiTheme="minorHAnsi" w:hAnsiTheme="minorHAnsi"/>
                <w:sz w:val="16"/>
                <w:szCs w:val="16"/>
              </w:rPr>
              <w:t>. Several trials were in newborn infants although no subgroup analysis was performed. Overall, for hypovolaemia there was no difference in death following albumin administration (RR 1.02, 95% CI 0.92 to 1.13). For burns, the relative risk was 2.93 (95% CI 1.28 to 6.72) and for hypoalbuminaemia the relative risk was 1.26 (95% CI 0.84 to 1.88).</w:t>
            </w:r>
          </w:p>
          <w:p w:rsidRPr="00113159" w:rsidR="00113159" w:rsidP="00FE4186" w:rsidRDefault="00113159" w14:paraId="35A2126E" w14:textId="77777777">
            <w:pPr>
              <w:pStyle w:val="BodyText"/>
              <w:tabs>
                <w:tab w:val="left" w:pos="1168"/>
              </w:tabs>
              <w:rPr>
                <w:rFonts w:asciiTheme="minorHAnsi" w:hAnsiTheme="minorHAnsi"/>
                <w:sz w:val="16"/>
                <w:szCs w:val="16"/>
              </w:rPr>
            </w:pPr>
          </w:p>
          <w:p w:rsidRPr="00113159" w:rsidR="00113159" w:rsidP="00FE4186" w:rsidRDefault="00113159" w14:paraId="25A9CBDF" w14:textId="77777777">
            <w:pPr>
              <w:pStyle w:val="BodyText"/>
              <w:tabs>
                <w:tab w:val="left" w:pos="1168"/>
              </w:tabs>
              <w:rPr>
                <w:rFonts w:asciiTheme="minorHAnsi" w:hAnsiTheme="minorHAnsi"/>
                <w:sz w:val="16"/>
                <w:szCs w:val="16"/>
              </w:rPr>
            </w:pPr>
            <w:r w:rsidRPr="00113159">
              <w:rPr>
                <w:rFonts w:asciiTheme="minorHAnsi" w:hAnsiTheme="minorHAnsi"/>
                <w:sz w:val="16"/>
                <w:szCs w:val="16"/>
              </w:rPr>
              <w:t>Conclusion: Albumin solutions cannot be recommended as treatment for hypotension in newborn infants. [LOE I, GOR C]</w:t>
            </w:r>
          </w:p>
          <w:p w:rsidRPr="00113159" w:rsidR="00113159" w:rsidP="00FE4186" w:rsidRDefault="00113159" w14:paraId="7DFEEF8B" w14:textId="77777777">
            <w:pPr>
              <w:pStyle w:val="BodyText"/>
              <w:tabs>
                <w:tab w:val="left" w:pos="1168"/>
              </w:tabs>
              <w:rPr>
                <w:rFonts w:asciiTheme="minorHAnsi" w:hAnsiTheme="minorHAnsi"/>
                <w:sz w:val="16"/>
                <w:szCs w:val="16"/>
              </w:rPr>
            </w:pPr>
          </w:p>
          <w:p w:rsidRPr="00113159" w:rsidR="00113159" w:rsidP="00FE4186" w:rsidRDefault="00113159" w14:paraId="383896EA" w14:textId="77777777">
            <w:pPr>
              <w:pStyle w:val="BodyText"/>
              <w:tabs>
                <w:tab w:val="left" w:pos="1168"/>
              </w:tabs>
              <w:rPr>
                <w:rFonts w:asciiTheme="minorHAnsi" w:hAnsiTheme="minorHAnsi"/>
                <w:sz w:val="16"/>
                <w:szCs w:val="16"/>
              </w:rPr>
            </w:pPr>
            <w:r w:rsidRPr="00113159">
              <w:rPr>
                <w:rFonts w:asciiTheme="minorHAnsi" w:hAnsiTheme="minorHAnsi"/>
                <w:b/>
                <w:sz w:val="16"/>
                <w:szCs w:val="16"/>
              </w:rPr>
              <w:t>Hyperbilirubinaemia:</w:t>
            </w:r>
            <w:r w:rsidRPr="00113159">
              <w:rPr>
                <w:rFonts w:asciiTheme="minorHAnsi" w:hAnsiTheme="minorHAnsi"/>
                <w:sz w:val="16"/>
                <w:szCs w:val="16"/>
              </w:rPr>
              <w:t xml:space="preserve"> Trials of albumin infusion pre-exchange transfusion for severe neonatal jaundice reported use of albumin 20% (see albumin 20% formulary). </w:t>
            </w:r>
          </w:p>
          <w:p w:rsidRPr="00113159" w:rsidR="00113159" w:rsidP="00FE4186" w:rsidRDefault="00113159" w14:paraId="6E026CBE" w14:textId="77777777">
            <w:pPr>
              <w:pStyle w:val="BodyText"/>
              <w:tabs>
                <w:tab w:val="left" w:pos="1168"/>
              </w:tabs>
              <w:rPr>
                <w:rFonts w:asciiTheme="minorHAnsi" w:hAnsiTheme="minorHAnsi"/>
                <w:sz w:val="16"/>
                <w:szCs w:val="16"/>
              </w:rPr>
            </w:pPr>
          </w:p>
          <w:p w:rsidRPr="00113159" w:rsidR="00113159" w:rsidP="00FE4186" w:rsidRDefault="00113159" w14:paraId="6E1297C7" w14:textId="77777777">
            <w:pPr>
              <w:pStyle w:val="BodyText"/>
              <w:tabs>
                <w:tab w:val="left" w:pos="1168"/>
              </w:tabs>
              <w:rPr>
                <w:rFonts w:asciiTheme="minorHAnsi" w:hAnsiTheme="minorHAnsi"/>
                <w:sz w:val="16"/>
                <w:szCs w:val="16"/>
              </w:rPr>
            </w:pPr>
            <w:r w:rsidRPr="00113159">
              <w:rPr>
                <w:rFonts w:asciiTheme="minorHAnsi" w:hAnsiTheme="minorHAnsi"/>
                <w:b/>
                <w:sz w:val="16"/>
                <w:szCs w:val="16"/>
              </w:rPr>
              <w:t>Polycythaemia:</w:t>
            </w:r>
            <w:r w:rsidRPr="00113159">
              <w:rPr>
                <w:rFonts w:asciiTheme="minorHAnsi" w:hAnsiTheme="minorHAnsi"/>
                <w:sz w:val="16"/>
                <w:szCs w:val="16"/>
              </w:rPr>
              <w:t xml:space="preserve"> A single RCT </w:t>
            </w:r>
            <w:r w:rsidRPr="00113159">
              <w:rPr>
                <w:rFonts w:asciiTheme="minorHAnsi" w:hAnsiTheme="minorHAnsi"/>
                <w:noProof/>
                <w:sz w:val="16"/>
                <w:szCs w:val="16"/>
              </w:rPr>
              <w:t>[11]</w:t>
            </w:r>
            <w:r w:rsidRPr="00113159">
              <w:rPr>
                <w:rFonts w:asciiTheme="minorHAnsi" w:hAnsiTheme="minorHAnsi"/>
                <w:sz w:val="16"/>
                <w:szCs w:val="16"/>
              </w:rPr>
              <w:t xml:space="preserve"> compared isotonic saline versus 5% albumin in 102 term infants as replacement fluid in partial exchange transfusion (PET) for the treatment of neonatal polycythaemia. PET with either resulted in a decline in haematocrit up to 24 hours after PET with no difference between groups and no adverse event reported. A systematic review </w:t>
            </w:r>
            <w:r w:rsidRPr="00113159">
              <w:rPr>
                <w:rFonts w:asciiTheme="minorHAnsi" w:hAnsiTheme="minorHAnsi"/>
                <w:noProof/>
                <w:sz w:val="16"/>
                <w:szCs w:val="16"/>
              </w:rPr>
              <w:t>[12]</w:t>
            </w:r>
            <w:r w:rsidRPr="00113159">
              <w:rPr>
                <w:rFonts w:asciiTheme="minorHAnsi" w:hAnsiTheme="minorHAnsi"/>
                <w:sz w:val="16"/>
                <w:szCs w:val="16"/>
              </w:rPr>
              <w:t xml:space="preserve"> of PET for polycythaemia, most RCTs compared plasma preparations to no treatment. The review reported there are no proven clinically significant short or long-term benefits of PET in polycythaemic newborn infants who are clinically well or who have minor symptoms related to hyperviscosity, and there may be an increased risk of NEC. Conclusion: Albumin solutions cannot be recommended as the preferred method of PET for polycythaemia. [LOE II GOR C]</w:t>
            </w:r>
          </w:p>
          <w:p w:rsidRPr="00113159" w:rsidR="00113159" w:rsidP="00FE4186" w:rsidRDefault="00113159" w14:paraId="5A5596B7" w14:textId="77777777">
            <w:pPr>
              <w:pStyle w:val="BodyText"/>
              <w:tabs>
                <w:tab w:val="left" w:pos="1168"/>
              </w:tabs>
              <w:rPr>
                <w:rFonts w:asciiTheme="minorHAnsi" w:hAnsiTheme="minorHAnsi"/>
                <w:sz w:val="16"/>
                <w:szCs w:val="16"/>
              </w:rPr>
            </w:pPr>
          </w:p>
          <w:p w:rsidRPr="00113159" w:rsidR="00113159" w:rsidP="00FE4186" w:rsidRDefault="00113159" w14:paraId="2083DA33" w14:textId="77777777">
            <w:pPr>
              <w:pStyle w:val="BodyText"/>
              <w:tabs>
                <w:tab w:val="left" w:pos="1168"/>
              </w:tabs>
              <w:rPr>
                <w:rFonts w:asciiTheme="minorHAnsi" w:hAnsiTheme="minorHAnsi"/>
                <w:sz w:val="16"/>
                <w:szCs w:val="16"/>
              </w:rPr>
            </w:pPr>
            <w:r w:rsidRPr="00113159">
              <w:rPr>
                <w:rFonts w:asciiTheme="minorHAnsi" w:hAnsiTheme="minorHAnsi"/>
                <w:b/>
                <w:sz w:val="16"/>
                <w:szCs w:val="16"/>
              </w:rPr>
              <w:t xml:space="preserve">Liver cirrhosis and nephrotic syndrome: </w:t>
            </w:r>
            <w:r w:rsidRPr="00113159">
              <w:rPr>
                <w:rFonts w:asciiTheme="minorHAnsi" w:hAnsiTheme="minorHAnsi"/>
                <w:sz w:val="16"/>
                <w:szCs w:val="16"/>
              </w:rPr>
              <w:t xml:space="preserve">Hypoalbuminemia, oedema and ascites may be manifestation of liver cirrhosis and nephrotic syndrome </w:t>
            </w:r>
            <w:r w:rsidRPr="00113159">
              <w:rPr>
                <w:rFonts w:asciiTheme="minorHAnsi" w:hAnsiTheme="minorHAnsi"/>
                <w:noProof/>
                <w:sz w:val="16"/>
                <w:szCs w:val="16"/>
              </w:rPr>
              <w:t>[13]</w:t>
            </w:r>
            <w:r w:rsidRPr="00113159">
              <w:rPr>
                <w:rFonts w:asciiTheme="minorHAnsi" w:hAnsiTheme="minorHAnsi"/>
                <w:sz w:val="16"/>
                <w:szCs w:val="16"/>
              </w:rPr>
              <w:t xml:space="preserve">. </w:t>
            </w:r>
            <w:r w:rsidRPr="00113159">
              <w:rPr>
                <w:rFonts w:asciiTheme="minorHAnsi" w:hAnsiTheme="minorHAnsi"/>
                <w:b/>
                <w:i/>
                <w:sz w:val="16"/>
                <w:szCs w:val="16"/>
              </w:rPr>
              <w:t>Liver disorders:</w:t>
            </w:r>
            <w:r w:rsidRPr="00113159">
              <w:rPr>
                <w:rFonts w:asciiTheme="minorHAnsi" w:hAnsiTheme="minorHAnsi"/>
                <w:sz w:val="16"/>
                <w:szCs w:val="16"/>
              </w:rPr>
              <w:t xml:space="preserve"> No studies have reported on the use of albumin infusion therapy in neonates with liver disorders. Infusions of albumin has been used in infants and children undergoing high volume paracentesis with a reported lower incidence of post-paracentesis circulatory dysfunction and asymptomatic hyponatremia but no difference in other clinical outcome </w:t>
            </w:r>
            <w:r w:rsidRPr="00113159">
              <w:rPr>
                <w:rFonts w:asciiTheme="minorHAnsi" w:hAnsiTheme="minorHAnsi"/>
                <w:noProof/>
                <w:sz w:val="16"/>
                <w:szCs w:val="16"/>
              </w:rPr>
              <w:t>[14]</w:t>
            </w:r>
            <w:r w:rsidRPr="00113159">
              <w:rPr>
                <w:rFonts w:asciiTheme="minorHAnsi" w:hAnsiTheme="minorHAnsi"/>
                <w:sz w:val="16"/>
                <w:szCs w:val="16"/>
              </w:rPr>
              <w:t xml:space="preserve">. However, as a fluid extraction of &lt;200 mL/kg at a slow rate was associated with better haemodynamic stability, albumin infusion is not recommended </w:t>
            </w:r>
            <w:r w:rsidRPr="00113159">
              <w:rPr>
                <w:rFonts w:asciiTheme="minorHAnsi" w:hAnsiTheme="minorHAnsi"/>
                <w:noProof/>
                <w:sz w:val="16"/>
                <w:szCs w:val="16"/>
              </w:rPr>
              <w:t>[13, 14]</w:t>
            </w:r>
            <w:r w:rsidRPr="00113159">
              <w:rPr>
                <w:rFonts w:asciiTheme="minorHAnsi" w:hAnsiTheme="minorHAnsi"/>
                <w:sz w:val="16"/>
                <w:szCs w:val="16"/>
              </w:rPr>
              <w:t xml:space="preserve">. </w:t>
            </w:r>
            <w:r w:rsidRPr="00113159">
              <w:rPr>
                <w:rFonts w:asciiTheme="minorHAnsi" w:hAnsiTheme="minorHAnsi"/>
                <w:b/>
                <w:i/>
                <w:sz w:val="16"/>
                <w:szCs w:val="16"/>
              </w:rPr>
              <w:t>Nephrotic syndrome:</w:t>
            </w:r>
            <w:r w:rsidRPr="00113159">
              <w:rPr>
                <w:rFonts w:asciiTheme="minorHAnsi" w:hAnsiTheme="minorHAnsi"/>
                <w:sz w:val="16"/>
                <w:szCs w:val="16"/>
              </w:rPr>
              <w:t xml:space="preserve"> In infants with </w:t>
            </w:r>
            <w:r w:rsidRPr="00113159">
              <w:rPr>
                <w:rFonts w:asciiTheme="minorHAnsi" w:hAnsiTheme="minorHAnsi"/>
                <w:sz w:val="16"/>
                <w:szCs w:val="16"/>
              </w:rPr>
              <w:lastRenderedPageBreak/>
              <w:t xml:space="preserve">congenital nephrotic syndrome and massive oedema, treatment with intravenous albumin and diuretic infusions has been used. However, the treatment has a risk of respiratory failure and congestive heart failure, so use of albumin infusion is cautioned </w:t>
            </w:r>
            <w:r w:rsidRPr="00113159">
              <w:rPr>
                <w:rFonts w:asciiTheme="minorHAnsi" w:hAnsiTheme="minorHAnsi"/>
                <w:noProof/>
                <w:sz w:val="16"/>
                <w:szCs w:val="16"/>
              </w:rPr>
              <w:t>[13]</w:t>
            </w:r>
            <w:r w:rsidRPr="00113159">
              <w:rPr>
                <w:rFonts w:asciiTheme="minorHAnsi" w:hAnsiTheme="minorHAnsi"/>
                <w:sz w:val="16"/>
                <w:szCs w:val="16"/>
              </w:rPr>
              <w:t>.</w:t>
            </w:r>
          </w:p>
          <w:p w:rsidRPr="00113159" w:rsidR="00113159" w:rsidP="00FE4186" w:rsidRDefault="00113159" w14:paraId="7D56A9B2" w14:textId="77777777">
            <w:pPr>
              <w:pStyle w:val="BodyText"/>
              <w:tabs>
                <w:tab w:val="left" w:pos="1168"/>
              </w:tabs>
              <w:rPr>
                <w:rFonts w:asciiTheme="minorHAnsi" w:hAnsiTheme="minorHAnsi"/>
                <w:b/>
                <w:sz w:val="16"/>
                <w:szCs w:val="16"/>
              </w:rPr>
            </w:pPr>
          </w:p>
          <w:p w:rsidRPr="00113159" w:rsidR="00113159" w:rsidP="00FE4186" w:rsidRDefault="00113159" w14:paraId="00B90356" w14:textId="77777777">
            <w:pPr>
              <w:pStyle w:val="BodyText"/>
              <w:tabs>
                <w:tab w:val="left" w:pos="1168"/>
              </w:tabs>
              <w:rPr>
                <w:rFonts w:asciiTheme="minorHAnsi" w:hAnsiTheme="minorHAnsi"/>
                <w:b/>
                <w:sz w:val="16"/>
                <w:szCs w:val="16"/>
              </w:rPr>
            </w:pPr>
            <w:r w:rsidRPr="00113159">
              <w:rPr>
                <w:rFonts w:asciiTheme="minorHAnsi" w:hAnsiTheme="minorHAnsi"/>
                <w:b/>
                <w:sz w:val="16"/>
                <w:szCs w:val="16"/>
              </w:rPr>
              <w:t xml:space="preserve">Safety </w:t>
            </w:r>
          </w:p>
          <w:p w:rsidRPr="00113159" w:rsidR="00113159" w:rsidP="00FE4186" w:rsidRDefault="00113159" w14:paraId="54C19C7C" w14:textId="77777777">
            <w:pPr>
              <w:pStyle w:val="BodyText"/>
              <w:tabs>
                <w:tab w:val="left" w:pos="1168"/>
              </w:tabs>
              <w:rPr>
                <w:rFonts w:asciiTheme="minorHAnsi" w:hAnsiTheme="minorHAnsi"/>
                <w:sz w:val="16"/>
                <w:szCs w:val="16"/>
              </w:rPr>
            </w:pPr>
            <w:r w:rsidRPr="00113159">
              <w:rPr>
                <w:rFonts w:asciiTheme="minorHAnsi" w:hAnsiTheme="minorHAnsi"/>
                <w:sz w:val="16"/>
                <w:szCs w:val="16"/>
              </w:rPr>
              <w:t xml:space="preserve">There are insufficient data from RCTs in newborn infants to determine the safety of albumin infusion for any indication, although no adverse events attributable to albumin infusion were reported in trials in newborn infants </w:t>
            </w:r>
            <w:r w:rsidRPr="00113159">
              <w:rPr>
                <w:rFonts w:asciiTheme="minorHAnsi" w:hAnsiTheme="minorHAnsi"/>
                <w:noProof/>
                <w:sz w:val="16"/>
                <w:szCs w:val="16"/>
              </w:rPr>
              <w:t>[5, 9, 15]</w:t>
            </w:r>
            <w:r w:rsidRPr="00113159">
              <w:rPr>
                <w:rFonts w:asciiTheme="minorHAnsi" w:hAnsiTheme="minorHAnsi"/>
                <w:sz w:val="16"/>
                <w:szCs w:val="16"/>
              </w:rPr>
              <w:t xml:space="preserve">. Human albumin contains no preservatives and undergoes a rigorous pasteurisation process to ensure pathogen inactivation. It does not contain isoagglutinins or blood group substances; hence the risk of minor or major incompatibility is impossible. Additionally, hypersensitivity reactions such as flushing, urticaria, fever and nausea rarely occur following its administration, since albumin preparations are considered non-immunogenic </w:t>
            </w:r>
            <w:r w:rsidRPr="00113159">
              <w:rPr>
                <w:rFonts w:asciiTheme="minorHAnsi" w:hAnsiTheme="minorHAnsi"/>
                <w:noProof/>
                <w:sz w:val="16"/>
                <w:szCs w:val="16"/>
              </w:rPr>
              <w:t>[13]</w:t>
            </w:r>
            <w:r w:rsidRPr="00113159">
              <w:rPr>
                <w:rFonts w:asciiTheme="minorHAnsi" w:hAnsiTheme="minorHAnsi"/>
                <w:sz w:val="16"/>
                <w:szCs w:val="16"/>
              </w:rPr>
              <w:t xml:space="preserve">. However, possible harms associated with albumin infusion in neonates include fluid overload (pulmonary oedema, impaired gas exchange, worsening oxygenation, chronic lung disease, patent ductus arteriosus, myocardial dysfunction especially for infants with birth asphyxia), neurological injury (cerebral oedema, intraventricular haemorrhage due to rapid bolus administration), salt loading and fluid retention, and higher cost compared with crystalloids </w:t>
            </w:r>
            <w:r w:rsidRPr="00113159">
              <w:rPr>
                <w:rFonts w:asciiTheme="minorHAnsi" w:hAnsiTheme="minorHAnsi"/>
                <w:noProof/>
                <w:sz w:val="16"/>
                <w:szCs w:val="16"/>
              </w:rPr>
              <w:t>[13]</w:t>
            </w:r>
            <w:r w:rsidRPr="00113159">
              <w:rPr>
                <w:rFonts w:asciiTheme="minorHAnsi" w:hAnsiTheme="minorHAnsi"/>
                <w:sz w:val="16"/>
                <w:szCs w:val="16"/>
              </w:rPr>
              <w:t>.</w:t>
            </w:r>
          </w:p>
        </w:tc>
      </w:tr>
      <w:tr w:rsidRPr="00EE3DA5" w:rsidR="00113159" w:rsidTr="00FE4186" w14:paraId="7EE975E2" w14:textId="77777777">
        <w:trPr>
          <w:trHeight w:val="905"/>
        </w:trPr>
        <w:tc>
          <w:tcPr>
            <w:tcW w:w="987" w:type="pct"/>
          </w:tcPr>
          <w:p w:rsidRPr="00EE3DA5" w:rsidR="00113159" w:rsidP="00FE4186" w:rsidRDefault="00113159" w14:paraId="002BB2F5" w14:textId="77777777">
            <w:pPr>
              <w:pStyle w:val="BodyText"/>
              <w:rPr>
                <w:rFonts w:cs="Arial" w:asciiTheme="minorHAnsi" w:hAnsiTheme="minorHAnsi"/>
                <w:b/>
                <w:bCs/>
                <w:sz w:val="20"/>
              </w:rPr>
            </w:pPr>
            <w:r w:rsidRPr="00EE3DA5">
              <w:rPr>
                <w:rFonts w:asciiTheme="minorHAnsi" w:hAnsiTheme="minorHAnsi"/>
                <w:b/>
                <w:sz w:val="20"/>
              </w:rPr>
              <w:lastRenderedPageBreak/>
              <w:t>References</w:t>
            </w:r>
          </w:p>
        </w:tc>
        <w:tc>
          <w:tcPr>
            <w:tcW w:w="4013" w:type="pct"/>
          </w:tcPr>
          <w:p w:rsidRPr="00113159" w:rsidR="00113159" w:rsidP="001B0E05" w:rsidRDefault="00113159" w14:paraId="277D1DC6"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MIMS online. Accessed on 18 July 2019.</w:t>
            </w:r>
          </w:p>
          <w:p w:rsidRPr="00113159" w:rsidR="00113159" w:rsidP="001B0E05" w:rsidRDefault="00113159" w14:paraId="05EBF453"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Australian Injectable Drugs Handbook, 7th Edition, Society of Hospital Pharmacists of Australia. 2019.</w:t>
            </w:r>
          </w:p>
          <w:p w:rsidRPr="00113159" w:rsidR="00113159" w:rsidP="001B0E05" w:rsidRDefault="00113159" w14:paraId="4808C947"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Lynch SK, Mullett MD, Graeber JE, Polak MJ. A comparison of albumin-bolus therapy versus normal saline-bolus therapy for hypotension in neonates. J Perinatol. 2008;28:29-33.</w:t>
            </w:r>
          </w:p>
          <w:p w:rsidRPr="00113159" w:rsidR="00113159" w:rsidP="001B0E05" w:rsidRDefault="00113159" w14:paraId="141E7A51"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So KW, Fok TF, Ng PC, Wong WW, Cheung KL. Randomised controlled trial of colloid or crystalloid in hypotensive preterm infants. Arch Dis Child Fetal Neonatal Ed. 1997;76:F43-6.</w:t>
            </w:r>
          </w:p>
          <w:p w:rsidRPr="00113159" w:rsidR="00113159" w:rsidP="001B0E05" w:rsidRDefault="00113159" w14:paraId="704740E0"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Osborn DA, Evans NJ. Early volume expansion for prevention of morbidity and mortality in very preterm infants. Cochrane Database of Systematic Reviews. 2004.</w:t>
            </w:r>
          </w:p>
          <w:p w:rsidRPr="00113159" w:rsidR="00113159" w:rsidP="001B0E05" w:rsidRDefault="00113159" w14:paraId="7890CE34"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Emery EF, Greenough A, Gamsu HR. Randomised controlled trial of colloid infusions in hypotensive preterm infants. Arch Dis Child. 1992;67:1185-8.</w:t>
            </w:r>
          </w:p>
          <w:p w:rsidRPr="00113159" w:rsidR="00113159" w:rsidP="001B0E05" w:rsidRDefault="00113159" w14:paraId="66439268"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Gill AB, Weindling AM. Randomised controlled trial of plasma protein fraction versus dopamine in hypotensive very low birthweight infants. Arch Dis Child. 1993;69:284-7.</w:t>
            </w:r>
          </w:p>
          <w:p w:rsidRPr="00113159" w:rsidR="00113159" w:rsidP="001B0E05" w:rsidRDefault="00113159" w14:paraId="495480D0"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Lundstrom K, Pryds O, Greisen G. The haemodynamic effects of dopamine and volume expansion in sick preterm infants. Early Hum Dev. 2000;57:157-63.</w:t>
            </w:r>
          </w:p>
          <w:p w:rsidRPr="00113159" w:rsidR="00113159" w:rsidP="001B0E05" w:rsidRDefault="00113159" w14:paraId="49DE8E05"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Osborn DA, Evans NJ. Early volume expansion versus inotrope for prevention of morbidity and mortality in very preterm infants. Cochrane Database of Systematic Reviews. 2001.</w:t>
            </w:r>
          </w:p>
          <w:p w:rsidRPr="00113159" w:rsidR="00113159" w:rsidP="001B0E05" w:rsidRDefault="00113159" w14:paraId="79FB2337"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Roberts I, Blackhall K, Alderson P, Bunn F, Schierhout G. Human albumin solution for resuscitation and volume expansion in critically ill patients. Cochrane Database of Systematic Reviews. 2011.</w:t>
            </w:r>
          </w:p>
          <w:p w:rsidRPr="00113159" w:rsidR="00113159" w:rsidP="001B0E05" w:rsidRDefault="00113159" w14:paraId="3282E72C"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Wong W, Fok TF, Lee CH, Ng PC, So KW, Ou Y, Cheung KL. Randomised controlled trial: comparison of colloid or crystalloid for partial exchange transfusion for treatment of neonatal polycythaemia. Arch Dis Child Fetal Neonatal Ed. 1997;77:F115-8.</w:t>
            </w:r>
          </w:p>
          <w:p w:rsidRPr="00113159" w:rsidR="00113159" w:rsidP="001B0E05" w:rsidRDefault="00113159" w14:paraId="62EB55EE"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Ozek E, Soll R, Schimmel MS. Partial exchange transfusion to prevent neurodevelopmental disability in infants with polycythemia. Cochrane Database Syst Rev. 2010:CD005089.</w:t>
            </w:r>
          </w:p>
          <w:p w:rsidRPr="00113159" w:rsidR="00113159" w:rsidP="001B0E05" w:rsidRDefault="00113159" w14:paraId="794C6838"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Shalish W, Olivier F, Aly H, Sant'Anna G. Uses and misuses of albumin during resuscitation and in the neonatal intensive care unit. Seminars in Fetal and Neonatal Medicine. 2017;22:328-35.</w:t>
            </w:r>
          </w:p>
          <w:p w:rsidRPr="00113159" w:rsidR="00113159" w:rsidP="001B0E05" w:rsidRDefault="00113159" w14:paraId="0347279B"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Church JT, Antunez AG, Dean A, Matusko N, Deatrick KB, Attar MA, Gadepalli SK. Evidence-based management of chylothorax in infants. Journal of Pediatric Surgery. 2017;52:907-12.</w:t>
            </w:r>
          </w:p>
          <w:p w:rsidRPr="00113159" w:rsidR="00113159" w:rsidP="001B0E05" w:rsidRDefault="00113159" w14:paraId="5BC71124" w14:textId="77777777">
            <w:pPr>
              <w:pStyle w:val="EndNoteBibliography"/>
              <w:numPr>
                <w:ilvl w:val="0"/>
                <w:numId w:val="60"/>
              </w:numPr>
              <w:ind w:left="360"/>
              <w:rPr>
                <w:rFonts w:asciiTheme="minorHAnsi" w:hAnsiTheme="minorHAnsi"/>
                <w:sz w:val="16"/>
                <w:szCs w:val="16"/>
                <w:lang w:val="en-AU"/>
              </w:rPr>
            </w:pPr>
            <w:r w:rsidRPr="00113159">
              <w:rPr>
                <w:rFonts w:asciiTheme="minorHAnsi" w:hAnsiTheme="minorHAnsi"/>
                <w:sz w:val="16"/>
                <w:szCs w:val="16"/>
                <w:lang w:val="en-AU"/>
              </w:rPr>
              <w:t>Jardine LA, Jenkins</w:t>
            </w:r>
            <w:r w:rsidRPr="00113159">
              <w:rPr>
                <w:rFonts w:cs="Cambria Math" w:asciiTheme="minorHAnsi" w:hAnsiTheme="minorHAnsi"/>
                <w:sz w:val="16"/>
                <w:szCs w:val="16"/>
                <w:lang w:val="en-AU"/>
              </w:rPr>
              <w:t>‐</w:t>
            </w:r>
            <w:r w:rsidRPr="00113159">
              <w:rPr>
                <w:rFonts w:asciiTheme="minorHAnsi" w:hAnsiTheme="minorHAnsi"/>
                <w:sz w:val="16"/>
                <w:szCs w:val="16"/>
                <w:lang w:val="en-AU"/>
              </w:rPr>
              <w:t>Marsh S, Davies MW. Albumin infusion for low serum albumin in preterm newborn infants. Cochrane Database of Systematic Reviews. 2004.</w:t>
            </w:r>
          </w:p>
        </w:tc>
      </w:tr>
    </w:tbl>
    <w:p w:rsidR="00800B76" w:rsidP="006F0321" w:rsidRDefault="00800B76" w14:paraId="1CACB92B" w14:textId="6DBCD8E9"/>
    <w:p w:rsidR="00113159" w:rsidP="006F0321" w:rsidRDefault="00113159" w14:paraId="00DA5B49"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10214E" w:rsidTr="0010214E" w14:paraId="61EBFBA7"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RDefault="0010214E" w14:paraId="5712969D" w14:textId="33669B3F">
            <w:pPr>
              <w:spacing w:line="252" w:lineRule="auto"/>
              <w:rPr>
                <w:sz w:val="22"/>
                <w:lang w:val="en-AU"/>
              </w:rPr>
            </w:pPr>
            <w:r>
              <w:t>Original version Date: 22/07/2019</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10214E" w:rsidRDefault="0010214E" w14:paraId="7F28F92C" w14:textId="77777777">
            <w:pPr>
              <w:spacing w:line="252" w:lineRule="auto"/>
            </w:pPr>
            <w:r>
              <w:t>Author: NeoMed Consensus Group</w:t>
            </w:r>
          </w:p>
        </w:tc>
      </w:tr>
      <w:tr w:rsidR="0010214E" w:rsidTr="0010214E" w14:paraId="332C17FB"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RDefault="0010214E" w14:paraId="35221A73" w14:textId="6A35AD21">
            <w:pPr>
              <w:spacing w:line="252" w:lineRule="auto"/>
            </w:pPr>
            <w:r>
              <w:t xml:space="preserve">Current Version number:  </w:t>
            </w:r>
            <w:r w:rsidR="00805B00">
              <w:t>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0214E" w:rsidRDefault="0010214E" w14:paraId="785D6D04" w14:textId="26FB4A77">
            <w:pPr>
              <w:spacing w:line="252" w:lineRule="auto"/>
            </w:pPr>
            <w:r>
              <w:t xml:space="preserve">Current Version Date:  </w:t>
            </w:r>
            <w:r w:rsidR="00805B00">
              <w:t>18/02</w:t>
            </w:r>
            <w:r>
              <w:t>/20</w:t>
            </w:r>
            <w:r w:rsidR="00805B00">
              <w:t>21</w:t>
            </w:r>
          </w:p>
        </w:tc>
      </w:tr>
      <w:tr w:rsidR="0010214E" w:rsidTr="0010214E" w14:paraId="563C5A96"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RDefault="0010214E" w14:paraId="3DA0D6D2" w14:textId="2B10C4DE">
            <w:pPr>
              <w:spacing w:line="252" w:lineRule="auto"/>
            </w:pPr>
            <w:r>
              <w:t xml:space="preserve">Risk Rating: </w:t>
            </w:r>
            <w:r w:rsidR="00100129">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0214E" w:rsidRDefault="0010214E" w14:paraId="5E5DF993" w14:textId="5724737B">
            <w:pPr>
              <w:spacing w:line="252" w:lineRule="auto"/>
            </w:pPr>
            <w:r>
              <w:t xml:space="preserve">Due for Review:  </w:t>
            </w:r>
            <w:r w:rsidR="00805B00">
              <w:t>18/02</w:t>
            </w:r>
            <w:r>
              <w:t>/20</w:t>
            </w:r>
            <w:r w:rsidR="00145DA4">
              <w:t>2</w:t>
            </w:r>
            <w:r w:rsidR="00805B00">
              <w:t>6</w:t>
            </w:r>
          </w:p>
        </w:tc>
      </w:tr>
      <w:tr w:rsidR="0010214E" w:rsidTr="0010214E" w14:paraId="651F8692"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RDefault="0010214E" w14:paraId="646C12B1"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0214E" w:rsidRDefault="0010214E" w14:paraId="21160737" w14:textId="2E0EA718">
            <w:pPr>
              <w:spacing w:line="252" w:lineRule="auto"/>
            </w:pPr>
            <w:r>
              <w:t xml:space="preserve">Approval Date: </w:t>
            </w:r>
            <w:r w:rsidR="00260BC8">
              <w:t>APRIL 2021</w:t>
            </w:r>
          </w:p>
        </w:tc>
      </w:tr>
    </w:tbl>
    <w:p w:rsidRPr="00E25790" w:rsidR="0010214E" w:rsidP="006F0321" w:rsidRDefault="0010214E" w14:paraId="36B95ED0" w14:textId="77777777"/>
    <w:p w:rsidR="0010214E" w:rsidP="006F0321" w:rsidRDefault="0010214E" w14:paraId="04768BF3" w14:textId="77777777"/>
    <w:p w:rsidR="0010214E" w:rsidP="006F0321" w:rsidRDefault="0010214E" w14:paraId="00FBAA0C" w14:textId="77777777"/>
    <w:p w:rsidR="0010214E" w:rsidP="006F0321" w:rsidRDefault="0010214E" w14:paraId="7F9072F6" w14:textId="77777777"/>
    <w:p w:rsidR="0010214E" w:rsidP="006F0321" w:rsidRDefault="0010214E" w14:paraId="3E4B163B" w14:textId="77777777"/>
    <w:p w:rsidR="0010214E" w:rsidP="006F0321" w:rsidRDefault="0010214E" w14:paraId="6C850132" w14:textId="77777777"/>
    <w:p w:rsidR="0010214E" w:rsidP="006F0321" w:rsidRDefault="0010214E" w14:paraId="1D078964" w14:textId="77777777"/>
    <w:p w:rsidR="0010214E" w:rsidP="006F0321" w:rsidRDefault="0010214E" w14:paraId="22357528" w14:textId="77777777"/>
    <w:p w:rsidR="0010214E" w:rsidP="006F0321" w:rsidRDefault="0010214E" w14:paraId="58A2E29C" w14:textId="77777777"/>
    <w:tbl>
      <w:tblPr>
        <w:tblW w:w="9049" w:type="dxa"/>
        <w:tblLayout w:type="fixed"/>
        <w:tblLook w:val="0000" w:firstRow="0" w:lastRow="0" w:firstColumn="0" w:lastColumn="0" w:noHBand="0" w:noVBand="0"/>
      </w:tblPr>
      <w:tblGrid>
        <w:gridCol w:w="4153"/>
        <w:gridCol w:w="4896"/>
      </w:tblGrid>
      <w:tr w:rsidRPr="00E25790" w:rsidR="0010214E" w:rsidTr="0010214E" w14:paraId="0B1F3F6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0214E" w:rsidP="0010214E" w:rsidRDefault="0010214E" w14:paraId="290049E3" w14:textId="170285E4">
            <w:pPr>
              <w:pStyle w:val="Heading1"/>
            </w:pPr>
            <w:bookmarkStart w:name="_Toc75339930" w:id="69"/>
            <w:r w:rsidRPr="00E25790">
              <w:lastRenderedPageBreak/>
              <w:t>Albumin</w:t>
            </w:r>
            <w:r>
              <w:t xml:space="preserve"> 20%</w:t>
            </w:r>
            <w:bookmarkEnd w:id="69"/>
            <w:r w:rsidRPr="00E25790">
              <w:fldChar w:fldCharType="begin"/>
            </w:r>
            <w:r w:rsidRPr="00E25790">
              <w:instrText>tc "Acetylcysteine" \l 0</w:instrText>
            </w:r>
            <w:r w:rsidRPr="00E25790">
              <w:fldChar w:fldCharType="end"/>
            </w:r>
          </w:p>
        </w:tc>
      </w:tr>
      <w:tr w:rsidRPr="00E25790" w:rsidR="0010214E" w:rsidTr="0010214E" w14:paraId="68DF0AFF"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0214E" w:rsidP="0010214E" w:rsidRDefault="0010214E" w14:paraId="48D096F4" w14:textId="77777777">
            <w:r w:rsidRPr="00E25790">
              <w:t xml:space="preserve">Revision Date : </w:t>
            </w:r>
            <w:r>
              <w:fldChar w:fldCharType="begin"/>
            </w:r>
            <w:r>
              <w:instrText xml:space="preserve"> CREATEDATE  </w:instrText>
            </w:r>
            <w:r>
              <w:fldChar w:fldCharType="separate"/>
            </w:r>
            <w:r>
              <w:rPr>
                <w:noProof/>
              </w:rPr>
              <w:t>22/07/2019</w:t>
            </w:r>
            <w:r>
              <w:rPr>
                <w:noProof/>
              </w:rPr>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0214E" w:rsidP="0010214E" w:rsidRDefault="0010214E" w14:paraId="053BF97E" w14:textId="77777777">
            <w:r w:rsidRPr="00E25790">
              <w:t xml:space="preserve">Approved : </w:t>
            </w:r>
            <w:r>
              <w:t>TC,KOH</w:t>
            </w:r>
          </w:p>
        </w:tc>
      </w:tr>
    </w:tbl>
    <w:p w:rsidR="0010214E" w:rsidP="006F0321" w:rsidRDefault="0010214E" w14:paraId="1D8D8602" w14:textId="77777777"/>
    <w:tbl>
      <w:tblPr>
        <w:tblW w:w="102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6"/>
        <w:gridCol w:w="8250"/>
      </w:tblGrid>
      <w:tr w:rsidRPr="00270D8C" w:rsidR="00273A16" w:rsidTr="00532883" w14:paraId="18F852EB" w14:textId="77777777">
        <w:trPr>
          <w:trHeight w:val="93"/>
        </w:trPr>
        <w:tc>
          <w:tcPr>
            <w:tcW w:w="1986" w:type="dxa"/>
          </w:tcPr>
          <w:p w:rsidRPr="00270D8C" w:rsidR="0010214E" w:rsidP="0010214E" w:rsidRDefault="0010214E" w14:paraId="42F2BD3D" w14:textId="77777777">
            <w:pPr>
              <w:pStyle w:val="BodyText"/>
              <w:tabs>
                <w:tab w:val="center" w:pos="1476"/>
              </w:tabs>
              <w:rPr>
                <w:rFonts w:cs="Arial" w:asciiTheme="minorHAnsi" w:hAnsiTheme="minorHAnsi"/>
                <w:b/>
                <w:sz w:val="20"/>
              </w:rPr>
            </w:pPr>
            <w:r w:rsidRPr="00270D8C">
              <w:rPr>
                <w:rFonts w:cs="Arial" w:asciiTheme="minorHAnsi" w:hAnsiTheme="minorHAnsi"/>
                <w:b/>
                <w:sz w:val="20"/>
              </w:rPr>
              <w:t>Alert</w:t>
            </w:r>
          </w:p>
        </w:tc>
        <w:tc>
          <w:tcPr>
            <w:tcW w:w="8250" w:type="dxa"/>
          </w:tcPr>
          <w:p w:rsidRPr="00270D8C" w:rsidR="0010214E" w:rsidP="0010214E" w:rsidRDefault="0010214E" w14:paraId="7552A2A7" w14:textId="77777777">
            <w:pPr>
              <w:pStyle w:val="BodyText"/>
              <w:rPr>
                <w:rFonts w:asciiTheme="minorHAnsi" w:hAnsiTheme="minorHAnsi"/>
                <w:sz w:val="20"/>
              </w:rPr>
            </w:pPr>
            <w:r w:rsidRPr="00270D8C">
              <w:rPr>
                <w:rFonts w:asciiTheme="minorHAnsi" w:hAnsiTheme="minorHAnsi"/>
                <w:sz w:val="20"/>
              </w:rPr>
              <w:t>Albumex® 20 is normally clear or slightly opalescent. If it appears to be turbid it must not be used</w:t>
            </w:r>
            <w:r w:rsidRPr="00270D8C">
              <w:t xml:space="preserve"> </w:t>
            </w:r>
            <w:r w:rsidRPr="00270D8C">
              <w:rPr>
                <w:rFonts w:asciiTheme="minorHAnsi" w:hAnsiTheme="minorHAnsi"/>
                <w:sz w:val="20"/>
              </w:rPr>
              <w:t xml:space="preserve">and the bottle should be returned unopened to the Australian Red Cross Blood Service. </w:t>
            </w:r>
          </w:p>
          <w:p w:rsidRPr="00270D8C" w:rsidR="0010214E" w:rsidP="0010214E" w:rsidRDefault="0010214E" w14:paraId="7E36C42B" w14:textId="77777777">
            <w:pPr>
              <w:pStyle w:val="BodyText"/>
              <w:rPr>
                <w:rFonts w:asciiTheme="minorHAnsi" w:hAnsiTheme="minorHAnsi"/>
                <w:sz w:val="20"/>
              </w:rPr>
            </w:pPr>
            <w:r w:rsidRPr="00270D8C">
              <w:rPr>
                <w:rFonts w:asciiTheme="minorHAnsi" w:hAnsiTheme="minorHAnsi"/>
                <w:b/>
                <w:sz w:val="20"/>
              </w:rPr>
              <w:t>Albumin 20% must not be used as the initial resuscitating fluid in hypotensive infants</w:t>
            </w:r>
            <w:r w:rsidRPr="00270D8C">
              <w:rPr>
                <w:rFonts w:asciiTheme="minorHAnsi" w:hAnsiTheme="minorHAnsi"/>
                <w:sz w:val="20"/>
              </w:rPr>
              <w:t>.</w:t>
            </w:r>
          </w:p>
          <w:p w:rsidRPr="00270D8C" w:rsidR="0010214E" w:rsidP="0010214E" w:rsidRDefault="0010214E" w14:paraId="1610AE38" w14:textId="77777777">
            <w:pPr>
              <w:pStyle w:val="BodyText"/>
              <w:rPr>
                <w:rFonts w:asciiTheme="minorHAnsi" w:hAnsiTheme="minorHAnsi"/>
                <w:sz w:val="20"/>
              </w:rPr>
            </w:pPr>
            <w:r w:rsidRPr="00270D8C">
              <w:rPr>
                <w:rFonts w:asciiTheme="minorHAnsi" w:hAnsiTheme="minorHAnsi"/>
                <w:sz w:val="20"/>
              </w:rPr>
              <w:t>If the product has been stored in the refrigerator it should be allowed to reach room temperature before administration.</w:t>
            </w:r>
          </w:p>
        </w:tc>
      </w:tr>
      <w:tr w:rsidRPr="00270D8C" w:rsidR="00273A16" w:rsidTr="00532883" w14:paraId="2C2E1E7E" w14:textId="77777777">
        <w:trPr>
          <w:trHeight w:val="282"/>
        </w:trPr>
        <w:tc>
          <w:tcPr>
            <w:tcW w:w="1986" w:type="dxa"/>
          </w:tcPr>
          <w:p w:rsidRPr="00270D8C" w:rsidR="0010214E" w:rsidP="0010214E" w:rsidRDefault="0010214E" w14:paraId="0991BA2C" w14:textId="77777777">
            <w:pPr>
              <w:pStyle w:val="BodyText"/>
              <w:rPr>
                <w:rFonts w:cs="Arial" w:asciiTheme="minorHAnsi" w:hAnsiTheme="minorHAnsi"/>
                <w:b/>
                <w:bCs/>
                <w:sz w:val="20"/>
              </w:rPr>
            </w:pPr>
            <w:r w:rsidRPr="00270D8C">
              <w:rPr>
                <w:rFonts w:cs="Arial" w:asciiTheme="minorHAnsi" w:hAnsiTheme="minorHAnsi"/>
                <w:b/>
                <w:bCs/>
                <w:sz w:val="20"/>
              </w:rPr>
              <w:t xml:space="preserve">Indication                        </w:t>
            </w:r>
          </w:p>
        </w:tc>
        <w:tc>
          <w:tcPr>
            <w:tcW w:w="8250" w:type="dxa"/>
          </w:tcPr>
          <w:p w:rsidRPr="00270D8C" w:rsidR="0010214E" w:rsidP="0010214E" w:rsidRDefault="0010214E" w14:paraId="369FD153" w14:textId="77777777">
            <w:pPr>
              <w:rPr>
                <w:rFonts w:asciiTheme="minorHAnsi" w:hAnsiTheme="minorHAnsi"/>
                <w:sz w:val="20"/>
              </w:rPr>
            </w:pPr>
            <w:r w:rsidRPr="00270D8C">
              <w:rPr>
                <w:rFonts w:asciiTheme="minorHAnsi" w:hAnsiTheme="minorHAnsi"/>
                <w:sz w:val="20"/>
              </w:rPr>
              <w:t>Hypoalbuminaemia</w:t>
            </w:r>
          </w:p>
        </w:tc>
      </w:tr>
      <w:tr w:rsidRPr="00270D8C" w:rsidR="00273A16" w:rsidTr="00532883" w14:paraId="52EA4C42" w14:textId="77777777">
        <w:trPr>
          <w:trHeight w:val="131"/>
        </w:trPr>
        <w:tc>
          <w:tcPr>
            <w:tcW w:w="1986" w:type="dxa"/>
          </w:tcPr>
          <w:p w:rsidRPr="00270D8C" w:rsidR="0010214E" w:rsidP="0010214E" w:rsidRDefault="0010214E" w14:paraId="00548A3D" w14:textId="77777777">
            <w:pPr>
              <w:pStyle w:val="BodyText"/>
              <w:rPr>
                <w:rFonts w:cs="Arial" w:asciiTheme="minorHAnsi" w:hAnsiTheme="minorHAnsi"/>
                <w:b/>
                <w:bCs/>
                <w:sz w:val="20"/>
              </w:rPr>
            </w:pPr>
            <w:r w:rsidRPr="00270D8C">
              <w:rPr>
                <w:rFonts w:cs="Arial" w:asciiTheme="minorHAnsi" w:hAnsiTheme="minorHAnsi"/>
                <w:b/>
                <w:bCs/>
                <w:sz w:val="20"/>
              </w:rPr>
              <w:t>Action</w:t>
            </w:r>
          </w:p>
        </w:tc>
        <w:tc>
          <w:tcPr>
            <w:tcW w:w="8250" w:type="dxa"/>
          </w:tcPr>
          <w:p w:rsidRPr="00270D8C" w:rsidR="0010214E" w:rsidP="0010214E" w:rsidRDefault="0010214E" w14:paraId="4647FE0E" w14:textId="77777777">
            <w:pPr>
              <w:rPr>
                <w:rFonts w:cs="Arial" w:asciiTheme="minorHAnsi" w:hAnsiTheme="minorHAnsi"/>
                <w:sz w:val="20"/>
              </w:rPr>
            </w:pPr>
            <w:r w:rsidRPr="00270D8C">
              <w:rPr>
                <w:rFonts w:cs="Arial" w:asciiTheme="minorHAnsi" w:hAnsiTheme="minorHAnsi"/>
                <w:sz w:val="20"/>
              </w:rPr>
              <w:t>Albumin is involved in the maintenance of colloid osmotic pressure, binding and transport of plasma compounds (bilirubin, bile acids, long-chain fatty acids, thyroxin, vitamin D, calcium, magnesium, copper, zinc), renders some potential toxins harmless, is a carrier of nitric oxide and affects pharmacokinetics of many drugs. Albumin 20% is hyper-oncotic but hypo-osmotic (130 mOsm/kg) compared to human serum with a pH 6.7 to 7.3.</w:t>
            </w:r>
            <w:r w:rsidRPr="00270D8C">
              <w:rPr>
                <w:rFonts w:asciiTheme="minorHAnsi" w:hAnsiTheme="minorHAnsi"/>
                <w:sz w:val="20"/>
              </w:rPr>
              <w:t xml:space="preserve"> The half-life of albumin is about 19 days</w:t>
            </w:r>
            <w:r w:rsidRPr="00270D8C">
              <w:rPr>
                <w:rFonts w:cs="Arial" w:asciiTheme="minorHAnsi" w:hAnsiTheme="minorHAnsi"/>
                <w:sz w:val="20"/>
              </w:rPr>
              <w:t>.</w:t>
            </w:r>
          </w:p>
        </w:tc>
      </w:tr>
      <w:tr w:rsidRPr="00270D8C" w:rsidR="00273A16" w:rsidTr="00532883" w14:paraId="0048BF8E" w14:textId="77777777">
        <w:trPr>
          <w:trHeight w:val="266"/>
        </w:trPr>
        <w:tc>
          <w:tcPr>
            <w:tcW w:w="1986" w:type="dxa"/>
          </w:tcPr>
          <w:p w:rsidRPr="00270D8C" w:rsidR="0010214E" w:rsidP="0010214E" w:rsidRDefault="0010214E" w14:paraId="017C5ACB" w14:textId="77777777">
            <w:pPr>
              <w:pStyle w:val="BodyText"/>
              <w:rPr>
                <w:rFonts w:cs="Arial" w:asciiTheme="minorHAnsi" w:hAnsiTheme="minorHAnsi"/>
                <w:sz w:val="20"/>
              </w:rPr>
            </w:pPr>
            <w:r w:rsidRPr="00270D8C">
              <w:rPr>
                <w:rFonts w:cs="Arial" w:asciiTheme="minorHAnsi" w:hAnsiTheme="minorHAnsi"/>
                <w:b/>
                <w:bCs/>
                <w:sz w:val="20"/>
              </w:rPr>
              <w:t xml:space="preserve">Drug Type                                   </w:t>
            </w:r>
          </w:p>
        </w:tc>
        <w:tc>
          <w:tcPr>
            <w:tcW w:w="8250" w:type="dxa"/>
          </w:tcPr>
          <w:p w:rsidRPr="00270D8C" w:rsidR="0010214E" w:rsidP="0010214E" w:rsidRDefault="0010214E" w14:paraId="1AB3D6EB" w14:textId="77777777">
            <w:pPr>
              <w:pStyle w:val="BodyText"/>
              <w:rPr>
                <w:rFonts w:cs="Arial" w:asciiTheme="minorHAnsi" w:hAnsiTheme="minorHAnsi"/>
                <w:sz w:val="20"/>
              </w:rPr>
            </w:pPr>
            <w:r w:rsidRPr="00270D8C">
              <w:rPr>
                <w:rFonts w:cs="Arial" w:asciiTheme="minorHAnsi" w:hAnsiTheme="minorHAnsi"/>
                <w:sz w:val="20"/>
              </w:rPr>
              <w:t>Plasma product, manufactured from human plasma collected by the Australian Red Cross Blood Service.</w:t>
            </w:r>
          </w:p>
        </w:tc>
      </w:tr>
      <w:tr w:rsidRPr="00270D8C" w:rsidR="00273A16" w:rsidTr="00532883" w14:paraId="78E889DD" w14:textId="77777777">
        <w:trPr>
          <w:trHeight w:val="178"/>
        </w:trPr>
        <w:tc>
          <w:tcPr>
            <w:tcW w:w="1986" w:type="dxa"/>
          </w:tcPr>
          <w:p w:rsidRPr="00270D8C" w:rsidR="0010214E" w:rsidP="0010214E" w:rsidRDefault="0010214E" w14:paraId="01E962D3" w14:textId="77777777">
            <w:pPr>
              <w:pStyle w:val="BodyText"/>
              <w:rPr>
                <w:rFonts w:cs="Arial" w:asciiTheme="minorHAnsi" w:hAnsiTheme="minorHAnsi"/>
                <w:b/>
                <w:bCs/>
                <w:sz w:val="20"/>
              </w:rPr>
            </w:pPr>
            <w:r w:rsidRPr="00270D8C">
              <w:rPr>
                <w:rFonts w:cs="Arial" w:asciiTheme="minorHAnsi" w:hAnsiTheme="minorHAnsi"/>
                <w:b/>
                <w:bCs/>
                <w:sz w:val="20"/>
              </w:rPr>
              <w:t xml:space="preserve">Trade Name                  </w:t>
            </w:r>
          </w:p>
        </w:tc>
        <w:tc>
          <w:tcPr>
            <w:tcW w:w="8250" w:type="dxa"/>
          </w:tcPr>
          <w:p w:rsidRPr="00270D8C" w:rsidR="0010214E" w:rsidP="0010214E" w:rsidRDefault="0010214E" w14:paraId="7180E545" w14:textId="77777777">
            <w:pPr>
              <w:pStyle w:val="BodyText"/>
              <w:rPr>
                <w:rFonts w:cs="Arial" w:asciiTheme="minorHAnsi" w:hAnsiTheme="minorHAnsi"/>
                <w:sz w:val="20"/>
              </w:rPr>
            </w:pPr>
            <w:r w:rsidRPr="00270D8C">
              <w:rPr>
                <w:rFonts w:cs="Arial" w:asciiTheme="minorHAnsi" w:hAnsiTheme="minorHAnsi"/>
                <w:sz w:val="20"/>
              </w:rPr>
              <w:t xml:space="preserve">Albumex® 20 </w:t>
            </w:r>
          </w:p>
        </w:tc>
      </w:tr>
      <w:tr w:rsidRPr="00270D8C" w:rsidR="00273A16" w:rsidTr="00532883" w14:paraId="1162C3EE" w14:textId="77777777">
        <w:trPr>
          <w:trHeight w:val="155"/>
        </w:trPr>
        <w:tc>
          <w:tcPr>
            <w:tcW w:w="1986" w:type="dxa"/>
          </w:tcPr>
          <w:p w:rsidRPr="00270D8C" w:rsidR="0010214E" w:rsidP="0010214E" w:rsidRDefault="0010214E" w14:paraId="0BFDEAFC" w14:textId="77777777">
            <w:pPr>
              <w:pStyle w:val="BodyText"/>
              <w:rPr>
                <w:rFonts w:cs="Arial" w:asciiTheme="minorHAnsi" w:hAnsiTheme="minorHAnsi"/>
                <w:b/>
                <w:bCs/>
                <w:sz w:val="20"/>
              </w:rPr>
            </w:pPr>
            <w:r w:rsidRPr="00270D8C">
              <w:rPr>
                <w:rFonts w:cs="Arial" w:asciiTheme="minorHAnsi" w:hAnsiTheme="minorHAnsi"/>
                <w:b/>
                <w:bCs/>
                <w:sz w:val="20"/>
              </w:rPr>
              <w:t xml:space="preserve">Presentation </w:t>
            </w:r>
          </w:p>
        </w:tc>
        <w:tc>
          <w:tcPr>
            <w:tcW w:w="8250" w:type="dxa"/>
          </w:tcPr>
          <w:p w:rsidRPr="00270D8C" w:rsidR="0010214E" w:rsidP="0010214E" w:rsidRDefault="0010214E" w14:paraId="272C773A" w14:textId="77777777">
            <w:pPr>
              <w:pStyle w:val="BodyText"/>
              <w:rPr>
                <w:rFonts w:cs="Arial" w:asciiTheme="minorHAnsi" w:hAnsiTheme="minorHAnsi"/>
                <w:sz w:val="20"/>
              </w:rPr>
            </w:pPr>
            <w:r w:rsidRPr="00270D8C">
              <w:rPr>
                <w:rFonts w:cs="Arial" w:asciiTheme="minorHAnsi" w:hAnsiTheme="minorHAnsi"/>
                <w:sz w:val="20"/>
              </w:rPr>
              <w:t xml:space="preserve">Albumex® 20 </w:t>
            </w:r>
            <w:r>
              <w:rPr>
                <w:rFonts w:cs="Arial" w:asciiTheme="minorHAnsi" w:hAnsiTheme="minorHAnsi"/>
                <w:sz w:val="20"/>
              </w:rPr>
              <w:t>–</w:t>
            </w:r>
            <w:r w:rsidRPr="00270D8C">
              <w:rPr>
                <w:rFonts w:cs="Arial" w:asciiTheme="minorHAnsi" w:hAnsiTheme="minorHAnsi"/>
                <w:sz w:val="20"/>
              </w:rPr>
              <w:t xml:space="preserve"> 10 mL (2 g albumin) and 100 mL (20 g albumin) bottles. </w:t>
            </w:r>
          </w:p>
          <w:p w:rsidRPr="00270D8C" w:rsidR="0010214E" w:rsidP="0010214E" w:rsidRDefault="0010214E" w14:paraId="6FE6AFF4" w14:textId="77777777">
            <w:pPr>
              <w:pStyle w:val="BodyText"/>
              <w:rPr>
                <w:rFonts w:cs="Arial" w:asciiTheme="minorHAnsi" w:hAnsiTheme="minorHAnsi"/>
                <w:sz w:val="20"/>
              </w:rPr>
            </w:pPr>
            <w:r w:rsidRPr="00270D8C">
              <w:rPr>
                <w:rFonts w:cs="Arial" w:asciiTheme="minorHAnsi" w:hAnsiTheme="minorHAnsi"/>
                <w:sz w:val="20"/>
              </w:rPr>
              <w:t xml:space="preserve">Each bottle contains Human Albumin 200 g/L and sodium 48 to 100 mmol/L. </w:t>
            </w:r>
          </w:p>
          <w:p w:rsidRPr="00270D8C" w:rsidR="0010214E" w:rsidP="0010214E" w:rsidRDefault="0010214E" w14:paraId="7FF91335" w14:textId="77777777">
            <w:pPr>
              <w:pStyle w:val="BodyText"/>
              <w:rPr>
                <w:rFonts w:cs="Arial" w:asciiTheme="minorHAnsi" w:hAnsiTheme="minorHAnsi"/>
                <w:sz w:val="20"/>
              </w:rPr>
            </w:pPr>
            <w:r w:rsidRPr="00270D8C">
              <w:rPr>
                <w:rFonts w:cs="Arial" w:asciiTheme="minorHAnsi" w:hAnsiTheme="minorHAnsi"/>
                <w:sz w:val="20"/>
              </w:rPr>
              <w:t xml:space="preserve">Albumex® 20 contains trace amounts of aluminium (≤200 </w:t>
            </w:r>
            <w:r>
              <w:rPr>
                <w:rFonts w:cs="Arial" w:asciiTheme="minorHAnsi" w:hAnsiTheme="minorHAnsi"/>
                <w:sz w:val="20"/>
              </w:rPr>
              <w:t>micrograms</w:t>
            </w:r>
            <w:r w:rsidRPr="00270D8C">
              <w:rPr>
                <w:rFonts w:cs="Arial" w:asciiTheme="minorHAnsi" w:hAnsiTheme="minorHAnsi"/>
                <w:sz w:val="20"/>
              </w:rPr>
              <w:t>/L).</w:t>
            </w:r>
          </w:p>
        </w:tc>
      </w:tr>
      <w:tr w:rsidRPr="00270D8C" w:rsidR="00273A16" w:rsidTr="00532883" w14:paraId="313E7038" w14:textId="77777777">
        <w:trPr>
          <w:trHeight w:val="70"/>
        </w:trPr>
        <w:tc>
          <w:tcPr>
            <w:tcW w:w="1986" w:type="dxa"/>
          </w:tcPr>
          <w:p w:rsidRPr="00270D8C" w:rsidR="0010214E" w:rsidP="0010214E" w:rsidRDefault="0010214E" w14:paraId="150335B0" w14:textId="77777777">
            <w:pPr>
              <w:pStyle w:val="BodyText"/>
              <w:rPr>
                <w:rFonts w:cs="Arial" w:asciiTheme="minorHAnsi" w:hAnsiTheme="minorHAnsi"/>
                <w:b/>
                <w:bCs/>
                <w:sz w:val="20"/>
              </w:rPr>
            </w:pPr>
            <w:r w:rsidRPr="00270D8C">
              <w:rPr>
                <w:rFonts w:cs="Arial" w:asciiTheme="minorHAnsi" w:hAnsiTheme="minorHAnsi"/>
                <w:b/>
                <w:bCs/>
                <w:sz w:val="20"/>
              </w:rPr>
              <w:t xml:space="preserve">Dosage/Interval                           </w:t>
            </w:r>
          </w:p>
        </w:tc>
        <w:tc>
          <w:tcPr>
            <w:tcW w:w="8250" w:type="dxa"/>
          </w:tcPr>
          <w:p w:rsidRPr="00270D8C" w:rsidR="0010214E" w:rsidP="0010214E" w:rsidRDefault="0010214E" w14:paraId="372F6B91" w14:textId="77777777">
            <w:pPr>
              <w:pStyle w:val="BodyText"/>
              <w:rPr>
                <w:rFonts w:asciiTheme="minorHAnsi" w:hAnsiTheme="minorHAnsi"/>
                <w:sz w:val="20"/>
              </w:rPr>
            </w:pPr>
            <w:r w:rsidRPr="00270D8C">
              <w:rPr>
                <w:rFonts w:asciiTheme="minorHAnsi" w:hAnsiTheme="minorHAnsi"/>
                <w:sz w:val="20"/>
              </w:rPr>
              <w:t>IV 0.5 to 1 g/kg/dose (2.5 to 5 mL/kg/dose) of Albumex® 20.</w:t>
            </w:r>
          </w:p>
        </w:tc>
      </w:tr>
      <w:tr w:rsidRPr="00270D8C" w:rsidR="00273A16" w:rsidTr="00532883" w14:paraId="6B52D441" w14:textId="77777777">
        <w:trPr>
          <w:trHeight w:val="182"/>
        </w:trPr>
        <w:tc>
          <w:tcPr>
            <w:tcW w:w="1986" w:type="dxa"/>
          </w:tcPr>
          <w:p w:rsidRPr="00270D8C" w:rsidR="0010214E" w:rsidP="0010214E" w:rsidRDefault="0010214E" w14:paraId="4363E651" w14:textId="77777777">
            <w:pPr>
              <w:pStyle w:val="BodyText"/>
              <w:rPr>
                <w:rFonts w:asciiTheme="minorHAnsi" w:hAnsiTheme="minorHAnsi"/>
                <w:b/>
                <w:sz w:val="20"/>
              </w:rPr>
            </w:pPr>
            <w:r w:rsidRPr="00270D8C">
              <w:rPr>
                <w:rFonts w:asciiTheme="minorHAnsi" w:hAnsiTheme="minorHAnsi"/>
                <w:b/>
                <w:sz w:val="20"/>
              </w:rPr>
              <w:t>Maximum daily dose</w:t>
            </w:r>
          </w:p>
        </w:tc>
        <w:tc>
          <w:tcPr>
            <w:tcW w:w="8250" w:type="dxa"/>
          </w:tcPr>
          <w:p w:rsidRPr="00270D8C" w:rsidR="0010214E" w:rsidP="0010214E" w:rsidRDefault="0010214E" w14:paraId="6A878053" w14:textId="77777777">
            <w:pPr>
              <w:pStyle w:val="BodyText"/>
              <w:rPr>
                <w:rFonts w:asciiTheme="minorHAnsi" w:hAnsiTheme="minorHAnsi"/>
                <w:sz w:val="20"/>
              </w:rPr>
            </w:pPr>
          </w:p>
        </w:tc>
      </w:tr>
      <w:tr w:rsidRPr="00270D8C" w:rsidR="00273A16" w:rsidTr="00532883" w14:paraId="44CD6936" w14:textId="77777777">
        <w:trPr>
          <w:trHeight w:val="126"/>
        </w:trPr>
        <w:tc>
          <w:tcPr>
            <w:tcW w:w="1986" w:type="dxa"/>
          </w:tcPr>
          <w:p w:rsidRPr="00270D8C" w:rsidR="0010214E" w:rsidP="0010214E" w:rsidRDefault="0010214E" w14:paraId="63A5B53A" w14:textId="77777777">
            <w:pPr>
              <w:pStyle w:val="BodyText"/>
              <w:rPr>
                <w:rFonts w:cs="Arial" w:asciiTheme="minorHAnsi" w:hAnsiTheme="minorHAnsi"/>
                <w:b/>
                <w:bCs/>
                <w:sz w:val="20"/>
              </w:rPr>
            </w:pPr>
            <w:r w:rsidRPr="00270D8C">
              <w:rPr>
                <w:rFonts w:cs="Arial" w:asciiTheme="minorHAnsi" w:hAnsiTheme="minorHAnsi"/>
                <w:b/>
                <w:bCs/>
                <w:sz w:val="20"/>
              </w:rPr>
              <w:t xml:space="preserve">Route                               </w:t>
            </w:r>
          </w:p>
        </w:tc>
        <w:tc>
          <w:tcPr>
            <w:tcW w:w="8250" w:type="dxa"/>
          </w:tcPr>
          <w:p w:rsidRPr="00270D8C" w:rsidR="0010214E" w:rsidP="0010214E" w:rsidRDefault="0010214E" w14:paraId="67265666" w14:textId="77777777">
            <w:pPr>
              <w:pStyle w:val="BodyText"/>
              <w:rPr>
                <w:rFonts w:cs="Arial" w:asciiTheme="minorHAnsi" w:hAnsiTheme="minorHAnsi"/>
                <w:sz w:val="20"/>
              </w:rPr>
            </w:pPr>
            <w:r w:rsidRPr="00270D8C">
              <w:rPr>
                <w:rFonts w:cs="Arial" w:asciiTheme="minorHAnsi" w:hAnsiTheme="minorHAnsi"/>
                <w:sz w:val="20"/>
              </w:rPr>
              <w:t>Intravenous Infusion over 2</w:t>
            </w:r>
            <w:r>
              <w:rPr>
                <w:rFonts w:cs="Arial" w:asciiTheme="minorHAnsi" w:hAnsiTheme="minorHAnsi"/>
                <w:sz w:val="20"/>
              </w:rPr>
              <w:t>–</w:t>
            </w:r>
            <w:r w:rsidRPr="00270D8C">
              <w:rPr>
                <w:rFonts w:cs="Arial" w:asciiTheme="minorHAnsi" w:hAnsiTheme="minorHAnsi"/>
                <w:sz w:val="20"/>
              </w:rPr>
              <w:t>4 hours.</w:t>
            </w:r>
          </w:p>
        </w:tc>
      </w:tr>
      <w:tr w:rsidRPr="00270D8C" w:rsidR="00273A16" w:rsidTr="00532883" w14:paraId="77DA9013" w14:textId="77777777">
        <w:trPr>
          <w:trHeight w:val="70"/>
        </w:trPr>
        <w:tc>
          <w:tcPr>
            <w:tcW w:w="1986" w:type="dxa"/>
          </w:tcPr>
          <w:p w:rsidRPr="00270D8C" w:rsidR="0010214E" w:rsidP="77BEE3D0" w:rsidRDefault="0010214E" w14:paraId="174A1483" w14:textId="163D1360">
            <w:pPr>
              <w:pStyle w:val="BodyText"/>
              <w:rPr>
                <w:rFonts w:cs="Arial" w:asciiTheme="minorHAnsi" w:hAnsiTheme="minorHAnsi"/>
                <w:b/>
                <w:bCs/>
                <w:sz w:val="20"/>
                <w:highlight w:val="cyan"/>
              </w:rPr>
            </w:pPr>
            <w:r w:rsidRPr="77BEE3D0">
              <w:rPr>
                <w:rFonts w:cs="Arial" w:asciiTheme="minorHAnsi" w:hAnsiTheme="minorHAnsi"/>
                <w:b/>
                <w:bCs/>
                <w:sz w:val="20"/>
              </w:rPr>
              <w:t>Preparation/Dilution</w:t>
            </w:r>
          </w:p>
        </w:tc>
        <w:tc>
          <w:tcPr>
            <w:tcW w:w="8250" w:type="dxa"/>
          </w:tcPr>
          <w:p w:rsidRPr="00270D8C" w:rsidR="0010214E" w:rsidP="0010214E" w:rsidRDefault="0010214E" w14:paraId="10019B8B" w14:textId="77777777">
            <w:pPr>
              <w:pStyle w:val="BodyText"/>
              <w:rPr>
                <w:rFonts w:asciiTheme="minorHAnsi" w:hAnsiTheme="minorHAnsi"/>
                <w:sz w:val="20"/>
              </w:rPr>
            </w:pPr>
            <w:r w:rsidRPr="00270D8C">
              <w:rPr>
                <w:rFonts w:asciiTheme="minorHAnsi" w:hAnsiTheme="minorHAnsi"/>
                <w:sz w:val="20"/>
              </w:rPr>
              <w:t>Administer undiluted.</w:t>
            </w:r>
          </w:p>
          <w:p w:rsidRPr="00270D8C" w:rsidR="0010214E" w:rsidP="001B0E05" w:rsidRDefault="0010214E" w14:paraId="28B8CE95" w14:textId="77777777">
            <w:pPr>
              <w:pStyle w:val="BodyText"/>
              <w:numPr>
                <w:ilvl w:val="0"/>
                <w:numId w:val="59"/>
              </w:numPr>
              <w:overflowPunct w:val="0"/>
              <w:autoSpaceDE w:val="0"/>
              <w:autoSpaceDN w:val="0"/>
              <w:adjustRightInd w:val="0"/>
              <w:textAlignment w:val="baseline"/>
              <w:rPr>
                <w:rFonts w:asciiTheme="minorHAnsi" w:hAnsiTheme="minorHAnsi"/>
                <w:sz w:val="20"/>
              </w:rPr>
            </w:pPr>
            <w:r w:rsidRPr="00270D8C">
              <w:rPr>
                <w:rFonts w:asciiTheme="minorHAnsi" w:hAnsiTheme="minorHAnsi"/>
                <w:sz w:val="20"/>
              </w:rPr>
              <w:t>If the product has been stored in the refrigerator it should be allowed to reach room temperature before administration.</w:t>
            </w:r>
          </w:p>
          <w:p w:rsidRPr="00270D8C" w:rsidR="0010214E" w:rsidP="001B0E05" w:rsidRDefault="0010214E" w14:paraId="54D9EE9D" w14:textId="77777777">
            <w:pPr>
              <w:pStyle w:val="BodyText"/>
              <w:numPr>
                <w:ilvl w:val="0"/>
                <w:numId w:val="59"/>
              </w:numPr>
              <w:overflowPunct w:val="0"/>
              <w:autoSpaceDE w:val="0"/>
              <w:autoSpaceDN w:val="0"/>
              <w:adjustRightInd w:val="0"/>
              <w:textAlignment w:val="baseline"/>
              <w:rPr>
                <w:rFonts w:asciiTheme="minorHAnsi" w:hAnsiTheme="minorHAnsi"/>
                <w:sz w:val="20"/>
              </w:rPr>
            </w:pPr>
            <w:r w:rsidRPr="00270D8C">
              <w:rPr>
                <w:rFonts w:asciiTheme="minorHAnsi" w:hAnsiTheme="minorHAnsi"/>
                <w:sz w:val="20"/>
              </w:rPr>
              <w:t>Always record the name and batch number of the product be recorded in order to maintain a link between the patient and the batch of the product.</w:t>
            </w:r>
          </w:p>
          <w:p w:rsidRPr="00270D8C" w:rsidR="0010214E" w:rsidP="0010214E" w:rsidRDefault="0010214E" w14:paraId="47A3D7A0" w14:textId="77777777">
            <w:pPr>
              <w:pStyle w:val="BodyText"/>
              <w:rPr>
                <w:rFonts w:asciiTheme="minorHAnsi" w:hAnsiTheme="minorHAnsi"/>
                <w:sz w:val="20"/>
                <w:u w:val="single"/>
              </w:rPr>
            </w:pPr>
          </w:p>
          <w:p w:rsidR="0010214E" w:rsidP="0010214E" w:rsidRDefault="0010214E" w14:paraId="7393DFC0" w14:textId="77777777">
            <w:pPr>
              <w:pStyle w:val="BodyText"/>
              <w:rPr>
                <w:rFonts w:asciiTheme="minorHAnsi" w:hAnsiTheme="minorHAnsi"/>
                <w:sz w:val="20"/>
                <w:u w:val="single"/>
              </w:rPr>
            </w:pPr>
            <w:r w:rsidRPr="00270D8C">
              <w:rPr>
                <w:rFonts w:asciiTheme="minorHAnsi" w:hAnsiTheme="minorHAnsi"/>
                <w:sz w:val="20"/>
                <w:u w:val="single"/>
              </w:rPr>
              <w:t>Dilution of Albumex® 20 to Albumin 4% in case of unavailability of albumin 4%</w:t>
            </w:r>
          </w:p>
          <w:p w:rsidRPr="00270D8C" w:rsidR="0010214E" w:rsidP="0010214E" w:rsidRDefault="0010214E" w14:paraId="0AFBC5A9" w14:textId="77777777">
            <w:pPr>
              <w:pStyle w:val="BodyText"/>
              <w:rPr>
                <w:rFonts w:asciiTheme="minorHAnsi" w:hAnsiTheme="minorHAnsi"/>
                <w:sz w:val="20"/>
              </w:rPr>
            </w:pPr>
            <w:r w:rsidRPr="00270D8C">
              <w:rPr>
                <w:rFonts w:asciiTheme="minorHAnsi" w:hAnsiTheme="minorHAnsi"/>
                <w:sz w:val="20"/>
              </w:rPr>
              <w:t>Albumex® 20 can be diluted to an iso-oncotic protein concentration (4 to 5% albumin) prior to administration. Dilute in the proportion of 1 mL of Albumex® 20 to 4 mL of crystalloid solution (sodium chloride 0.9% or glucose 5% or 10%). DO NOT dilute with water since the lower tonicity will lead to intravascular haemolysis.</w:t>
            </w:r>
          </w:p>
        </w:tc>
      </w:tr>
      <w:tr w:rsidRPr="00270D8C" w:rsidR="00E424B4" w:rsidTr="00532883" w14:paraId="3DEA959C" w14:textId="77777777">
        <w:trPr>
          <w:trHeight w:val="180"/>
        </w:trPr>
        <w:tc>
          <w:tcPr>
            <w:tcW w:w="1986" w:type="dxa"/>
          </w:tcPr>
          <w:p w:rsidRPr="00270D8C" w:rsidR="0010214E" w:rsidP="0010214E" w:rsidRDefault="0010214E" w14:paraId="16D62523" w14:textId="77777777">
            <w:pPr>
              <w:pStyle w:val="BodyText"/>
              <w:rPr>
                <w:rFonts w:cs="Arial" w:asciiTheme="minorHAnsi" w:hAnsiTheme="minorHAnsi"/>
                <w:b/>
                <w:bCs/>
                <w:sz w:val="20"/>
              </w:rPr>
            </w:pPr>
            <w:r w:rsidRPr="00270D8C">
              <w:rPr>
                <w:rFonts w:cs="Arial" w:asciiTheme="minorHAnsi" w:hAnsiTheme="minorHAnsi"/>
                <w:b/>
                <w:bCs/>
                <w:sz w:val="20"/>
              </w:rPr>
              <w:t xml:space="preserve">Administration                </w:t>
            </w:r>
          </w:p>
        </w:tc>
        <w:tc>
          <w:tcPr>
            <w:tcW w:w="8250" w:type="dxa"/>
            <w:vAlign w:val="center"/>
          </w:tcPr>
          <w:p w:rsidRPr="00270D8C" w:rsidR="0010214E" w:rsidP="0010214E" w:rsidRDefault="0010214E" w14:paraId="305B697C" w14:textId="77777777">
            <w:pPr>
              <w:pStyle w:val="BodyText"/>
              <w:rPr>
                <w:rFonts w:cs="Arial" w:asciiTheme="minorHAnsi" w:hAnsiTheme="minorHAnsi"/>
                <w:sz w:val="20"/>
              </w:rPr>
            </w:pPr>
            <w:r w:rsidRPr="00270D8C">
              <w:rPr>
                <w:rFonts w:cs="Arial" w:asciiTheme="minorHAnsi" w:hAnsiTheme="minorHAnsi"/>
                <w:sz w:val="20"/>
              </w:rPr>
              <w:t>Intravenously over 2 to 4 hours.</w:t>
            </w:r>
            <w:r w:rsidRPr="00270D8C">
              <w:t xml:space="preserve"> </w:t>
            </w:r>
            <w:r w:rsidRPr="00270D8C">
              <w:rPr>
                <w:rFonts w:cs="Arial" w:asciiTheme="minorHAnsi" w:hAnsiTheme="minorHAnsi"/>
                <w:sz w:val="20"/>
              </w:rPr>
              <w:t>Albumex 20 is packaged in a glass bottle that must be vented during use.</w:t>
            </w:r>
            <w:r w:rsidRPr="00270D8C">
              <w:rPr>
                <w:rFonts w:cs="Arial" w:asciiTheme="minorHAnsi" w:hAnsiTheme="minorHAnsi"/>
                <w:sz w:val="20"/>
                <w:vertAlign w:val="superscript"/>
              </w:rPr>
              <w:t>17</w:t>
            </w:r>
          </w:p>
        </w:tc>
      </w:tr>
      <w:tr w:rsidRPr="00270D8C" w:rsidR="00273A16" w:rsidTr="00532883" w14:paraId="233FABB3" w14:textId="77777777">
        <w:trPr>
          <w:trHeight w:val="221"/>
        </w:trPr>
        <w:tc>
          <w:tcPr>
            <w:tcW w:w="1986" w:type="dxa"/>
          </w:tcPr>
          <w:p w:rsidRPr="00270D8C" w:rsidR="0010214E" w:rsidP="0010214E" w:rsidRDefault="0010214E" w14:paraId="6B7A5A29" w14:textId="77777777">
            <w:pPr>
              <w:pStyle w:val="BodyText"/>
              <w:rPr>
                <w:rFonts w:cs="Arial" w:asciiTheme="minorHAnsi" w:hAnsiTheme="minorHAnsi"/>
                <w:b/>
                <w:bCs/>
                <w:sz w:val="20"/>
              </w:rPr>
            </w:pPr>
            <w:r w:rsidRPr="00270D8C">
              <w:rPr>
                <w:rFonts w:cs="Arial" w:asciiTheme="minorHAnsi" w:hAnsiTheme="minorHAnsi"/>
                <w:b/>
                <w:bCs/>
                <w:sz w:val="20"/>
              </w:rPr>
              <w:t xml:space="preserve">Monitoring                              </w:t>
            </w:r>
          </w:p>
        </w:tc>
        <w:tc>
          <w:tcPr>
            <w:tcW w:w="8250" w:type="dxa"/>
          </w:tcPr>
          <w:p w:rsidRPr="00270D8C" w:rsidR="0010214E" w:rsidP="0010214E" w:rsidRDefault="0010214E" w14:paraId="4FE1C497" w14:textId="77777777">
            <w:pPr>
              <w:pStyle w:val="BodyText"/>
              <w:rPr>
                <w:rFonts w:cs="Arial" w:asciiTheme="minorHAnsi" w:hAnsiTheme="minorHAnsi"/>
                <w:sz w:val="20"/>
              </w:rPr>
            </w:pPr>
            <w:r w:rsidRPr="00270D8C">
              <w:rPr>
                <w:rFonts w:cs="Arial" w:asciiTheme="minorHAnsi" w:hAnsiTheme="minorHAnsi"/>
                <w:sz w:val="20"/>
              </w:rPr>
              <w:t xml:space="preserve">Continuous cardiorespiratory and temperature observations. </w:t>
            </w:r>
          </w:p>
        </w:tc>
      </w:tr>
      <w:tr w:rsidRPr="0011362C" w:rsidR="00273A16" w:rsidTr="00532883" w14:paraId="17B02CF8" w14:textId="77777777">
        <w:trPr>
          <w:trHeight w:val="121"/>
        </w:trPr>
        <w:tc>
          <w:tcPr>
            <w:tcW w:w="1986" w:type="dxa"/>
          </w:tcPr>
          <w:p w:rsidRPr="00270D8C" w:rsidR="0010214E" w:rsidP="0010214E" w:rsidRDefault="0010214E" w14:paraId="5CAAB982" w14:textId="77777777">
            <w:pPr>
              <w:pStyle w:val="BodyText"/>
              <w:rPr>
                <w:rFonts w:cs="Arial" w:asciiTheme="minorHAnsi" w:hAnsiTheme="minorHAnsi"/>
                <w:b/>
                <w:bCs/>
                <w:sz w:val="20"/>
              </w:rPr>
            </w:pPr>
            <w:r w:rsidRPr="00270D8C">
              <w:rPr>
                <w:rFonts w:cs="Arial" w:asciiTheme="minorHAnsi" w:hAnsiTheme="minorHAnsi"/>
                <w:b/>
                <w:bCs/>
                <w:sz w:val="20"/>
              </w:rPr>
              <w:t xml:space="preserve">Contraindications                        </w:t>
            </w:r>
          </w:p>
        </w:tc>
        <w:tc>
          <w:tcPr>
            <w:tcW w:w="8250" w:type="dxa"/>
          </w:tcPr>
          <w:p w:rsidRPr="0011362C" w:rsidR="0010214E" w:rsidP="0010214E" w:rsidRDefault="0010214E" w14:paraId="1C9B9502" w14:textId="77777777">
            <w:pPr>
              <w:pStyle w:val="BodyText"/>
              <w:rPr>
                <w:rFonts w:asciiTheme="minorHAnsi" w:hAnsiTheme="minorHAnsi"/>
                <w:sz w:val="20"/>
              </w:rPr>
            </w:pPr>
            <w:r w:rsidRPr="0011362C">
              <w:rPr>
                <w:rFonts w:asciiTheme="minorHAnsi" w:hAnsiTheme="minorHAnsi"/>
                <w:sz w:val="20"/>
              </w:rPr>
              <w:t xml:space="preserve">History of allergy to albumin. </w:t>
            </w:r>
          </w:p>
        </w:tc>
      </w:tr>
      <w:tr w:rsidRPr="00270D8C" w:rsidR="00273A16" w:rsidTr="00532883" w14:paraId="4FDBEA75" w14:textId="77777777">
        <w:tc>
          <w:tcPr>
            <w:tcW w:w="1986" w:type="dxa"/>
          </w:tcPr>
          <w:p w:rsidRPr="00270D8C" w:rsidR="0010214E" w:rsidP="0010214E" w:rsidRDefault="0010214E" w14:paraId="5CB9E542" w14:textId="77777777">
            <w:pPr>
              <w:pStyle w:val="BodyText"/>
              <w:rPr>
                <w:rFonts w:cs="Arial" w:asciiTheme="minorHAnsi" w:hAnsiTheme="minorHAnsi"/>
                <w:b/>
                <w:bCs/>
                <w:sz w:val="20"/>
              </w:rPr>
            </w:pPr>
            <w:r w:rsidRPr="00270D8C">
              <w:rPr>
                <w:rFonts w:asciiTheme="minorHAnsi" w:hAnsiTheme="minorHAnsi"/>
                <w:sz w:val="20"/>
              </w:rPr>
              <w:br w:type="page"/>
            </w:r>
            <w:r w:rsidRPr="00270D8C">
              <w:rPr>
                <w:rFonts w:cs="Arial" w:asciiTheme="minorHAnsi" w:hAnsiTheme="minorHAnsi"/>
                <w:b/>
                <w:bCs/>
                <w:sz w:val="20"/>
              </w:rPr>
              <w:t>Precautions</w:t>
            </w:r>
          </w:p>
        </w:tc>
        <w:tc>
          <w:tcPr>
            <w:tcW w:w="8250" w:type="dxa"/>
          </w:tcPr>
          <w:p w:rsidRPr="0011362C" w:rsidR="0010214E" w:rsidP="0010214E" w:rsidRDefault="0010214E" w14:paraId="629CF389" w14:textId="77777777">
            <w:pPr>
              <w:pStyle w:val="BodyText"/>
              <w:rPr>
                <w:rFonts w:asciiTheme="minorHAnsi" w:hAnsiTheme="minorHAnsi"/>
                <w:sz w:val="20"/>
              </w:rPr>
            </w:pPr>
            <w:r w:rsidRPr="0011362C">
              <w:rPr>
                <w:rFonts w:asciiTheme="minorHAnsi" w:hAnsiTheme="minorHAnsi"/>
                <w:sz w:val="20"/>
              </w:rPr>
              <w:t xml:space="preserve">Cardiac failure, pulmonary </w:t>
            </w:r>
            <w:r w:rsidRPr="00270D8C">
              <w:rPr>
                <w:rFonts w:asciiTheme="minorHAnsi" w:hAnsiTheme="minorHAnsi"/>
                <w:sz w:val="20"/>
              </w:rPr>
              <w:t>oedema</w:t>
            </w:r>
            <w:r w:rsidRPr="0011362C">
              <w:rPr>
                <w:rFonts w:asciiTheme="minorHAnsi" w:hAnsiTheme="minorHAnsi"/>
                <w:sz w:val="20"/>
              </w:rPr>
              <w:t xml:space="preserve"> or severe </w:t>
            </w:r>
            <w:r w:rsidRPr="00270D8C">
              <w:rPr>
                <w:rFonts w:asciiTheme="minorHAnsi" w:hAnsiTheme="minorHAnsi"/>
                <w:sz w:val="20"/>
              </w:rPr>
              <w:t>anaemia</w:t>
            </w:r>
            <w:r w:rsidRPr="0011362C">
              <w:rPr>
                <w:rFonts w:asciiTheme="minorHAnsi" w:hAnsiTheme="minorHAnsi"/>
                <w:sz w:val="20"/>
              </w:rPr>
              <w:t>.</w:t>
            </w:r>
          </w:p>
          <w:p w:rsidRPr="00270D8C" w:rsidR="0010214E" w:rsidP="0010214E" w:rsidRDefault="0010214E" w14:paraId="3A37B173" w14:textId="77777777">
            <w:pPr>
              <w:pStyle w:val="BodyText"/>
              <w:rPr>
                <w:rFonts w:cs="Arial" w:asciiTheme="minorHAnsi" w:hAnsiTheme="minorHAnsi"/>
                <w:sz w:val="20"/>
              </w:rPr>
            </w:pPr>
            <w:r w:rsidRPr="00270D8C">
              <w:rPr>
                <w:rFonts w:cs="Arial" w:asciiTheme="minorHAnsi" w:hAnsiTheme="minorHAnsi"/>
                <w:sz w:val="20"/>
              </w:rPr>
              <w:t xml:space="preserve">The sodium </w:t>
            </w:r>
            <w:r>
              <w:rPr>
                <w:rFonts w:cs="Arial" w:asciiTheme="minorHAnsi" w:hAnsiTheme="minorHAnsi"/>
                <w:sz w:val="20"/>
              </w:rPr>
              <w:t>concentration</w:t>
            </w:r>
            <w:r w:rsidRPr="00270D8C">
              <w:rPr>
                <w:rFonts w:cs="Arial" w:asciiTheme="minorHAnsi" w:hAnsiTheme="minorHAnsi"/>
                <w:sz w:val="20"/>
              </w:rPr>
              <w:t xml:space="preserve"> in this product </w:t>
            </w:r>
            <w:r>
              <w:rPr>
                <w:rFonts w:cs="Arial" w:asciiTheme="minorHAnsi" w:hAnsiTheme="minorHAnsi"/>
                <w:sz w:val="20"/>
              </w:rPr>
              <w:t>varies between</w:t>
            </w:r>
            <w:r w:rsidRPr="00270D8C">
              <w:rPr>
                <w:rFonts w:cs="Arial" w:asciiTheme="minorHAnsi" w:hAnsiTheme="minorHAnsi"/>
                <w:sz w:val="20"/>
              </w:rPr>
              <w:t xml:space="preserve"> 48 </w:t>
            </w:r>
            <w:r>
              <w:rPr>
                <w:rFonts w:cs="Arial" w:asciiTheme="minorHAnsi" w:hAnsiTheme="minorHAnsi"/>
                <w:sz w:val="20"/>
              </w:rPr>
              <w:t>and</w:t>
            </w:r>
            <w:r w:rsidRPr="00270D8C">
              <w:rPr>
                <w:rFonts w:cs="Arial" w:asciiTheme="minorHAnsi" w:hAnsiTheme="minorHAnsi"/>
                <w:sz w:val="20"/>
              </w:rPr>
              <w:t xml:space="preserve"> 100 mmol/L. This should be noted when the product is used in patients requiring sodium restriction.</w:t>
            </w:r>
          </w:p>
          <w:p w:rsidRPr="00270D8C" w:rsidR="0010214E" w:rsidP="0010214E" w:rsidRDefault="0010214E" w14:paraId="059F6B16" w14:textId="77777777">
            <w:pPr>
              <w:pStyle w:val="BodyText"/>
              <w:rPr>
                <w:rFonts w:cs="Arial" w:asciiTheme="minorHAnsi" w:hAnsiTheme="minorHAnsi"/>
                <w:sz w:val="20"/>
              </w:rPr>
            </w:pPr>
            <w:r w:rsidRPr="00270D8C">
              <w:rPr>
                <w:rFonts w:cs="Arial" w:asciiTheme="minorHAnsi" w:hAnsiTheme="minorHAnsi"/>
                <w:sz w:val="20"/>
              </w:rPr>
              <w:t>Administration of albumin can aggravate myocardial depression in patients with shock.</w:t>
            </w:r>
          </w:p>
        </w:tc>
      </w:tr>
      <w:tr w:rsidRPr="00270D8C" w:rsidR="00273A16" w:rsidTr="00532883" w14:paraId="37E07463" w14:textId="77777777">
        <w:trPr>
          <w:trHeight w:val="235"/>
        </w:trPr>
        <w:tc>
          <w:tcPr>
            <w:tcW w:w="1986" w:type="dxa"/>
          </w:tcPr>
          <w:p w:rsidRPr="00270D8C" w:rsidR="0010214E" w:rsidP="0010214E" w:rsidRDefault="0010214E" w14:paraId="42BE5E93" w14:textId="77777777">
            <w:pPr>
              <w:pStyle w:val="BodyText"/>
              <w:rPr>
                <w:rFonts w:cs="Arial" w:asciiTheme="minorHAnsi" w:hAnsiTheme="minorHAnsi"/>
                <w:b/>
                <w:bCs/>
                <w:sz w:val="20"/>
              </w:rPr>
            </w:pPr>
            <w:r w:rsidRPr="00270D8C">
              <w:rPr>
                <w:rFonts w:cs="Arial" w:asciiTheme="minorHAnsi" w:hAnsiTheme="minorHAnsi"/>
                <w:b/>
                <w:bCs/>
                <w:sz w:val="20"/>
              </w:rPr>
              <w:t>Drug Interactions</w:t>
            </w:r>
          </w:p>
        </w:tc>
        <w:tc>
          <w:tcPr>
            <w:tcW w:w="8250" w:type="dxa"/>
          </w:tcPr>
          <w:p w:rsidRPr="00270D8C" w:rsidR="0010214E" w:rsidP="0010214E" w:rsidRDefault="0010214E" w14:paraId="1C3EFF9A" w14:textId="77777777">
            <w:pPr>
              <w:pStyle w:val="BodyText"/>
              <w:rPr>
                <w:rFonts w:cs="Arial" w:asciiTheme="minorHAnsi" w:hAnsiTheme="minorHAnsi"/>
                <w:sz w:val="20"/>
              </w:rPr>
            </w:pPr>
            <w:r w:rsidRPr="00270D8C">
              <w:rPr>
                <w:rFonts w:cs="Arial" w:asciiTheme="minorHAnsi" w:hAnsiTheme="minorHAnsi"/>
                <w:sz w:val="20"/>
              </w:rPr>
              <w:t xml:space="preserve">Hypotension has been reported in patients given albumin who are on </w:t>
            </w:r>
            <w:r>
              <w:rPr>
                <w:rFonts w:cs="Arial" w:asciiTheme="minorHAnsi" w:hAnsiTheme="minorHAnsi"/>
                <w:sz w:val="20"/>
              </w:rPr>
              <w:t>a</w:t>
            </w:r>
            <w:r w:rsidRPr="00270D8C">
              <w:rPr>
                <w:rFonts w:cs="Arial" w:asciiTheme="minorHAnsi" w:hAnsiTheme="minorHAnsi"/>
                <w:sz w:val="20"/>
              </w:rPr>
              <w:t xml:space="preserve">ngiotensin </w:t>
            </w:r>
            <w:r>
              <w:rPr>
                <w:rFonts w:cs="Arial" w:asciiTheme="minorHAnsi" w:hAnsiTheme="minorHAnsi"/>
                <w:sz w:val="20"/>
              </w:rPr>
              <w:t>c</w:t>
            </w:r>
            <w:r w:rsidRPr="00270D8C">
              <w:rPr>
                <w:rFonts w:cs="Arial" w:asciiTheme="minorHAnsi" w:hAnsiTheme="minorHAnsi"/>
                <w:sz w:val="20"/>
              </w:rPr>
              <w:t xml:space="preserve">onverting </w:t>
            </w:r>
            <w:r>
              <w:rPr>
                <w:rFonts w:cs="Arial" w:asciiTheme="minorHAnsi" w:hAnsiTheme="minorHAnsi"/>
                <w:sz w:val="20"/>
              </w:rPr>
              <w:t>e</w:t>
            </w:r>
            <w:r w:rsidRPr="00270D8C">
              <w:rPr>
                <w:rFonts w:cs="Arial" w:asciiTheme="minorHAnsi" w:hAnsiTheme="minorHAnsi"/>
                <w:sz w:val="20"/>
              </w:rPr>
              <w:t>nzyme (ACE) inhibitors. The addition of other medicines to Albumex® 20 has not been evaluated.</w:t>
            </w:r>
          </w:p>
        </w:tc>
      </w:tr>
      <w:tr w:rsidRPr="00270D8C" w:rsidR="00273A16" w:rsidTr="00532883" w14:paraId="44CE8D8C" w14:textId="77777777">
        <w:trPr>
          <w:trHeight w:val="416"/>
        </w:trPr>
        <w:tc>
          <w:tcPr>
            <w:tcW w:w="1986" w:type="dxa"/>
          </w:tcPr>
          <w:p w:rsidRPr="00270D8C" w:rsidR="0010214E" w:rsidP="0010214E" w:rsidRDefault="0010214E" w14:paraId="38DDD1B5" w14:textId="77777777">
            <w:pPr>
              <w:pStyle w:val="BodyText"/>
              <w:rPr>
                <w:rFonts w:cs="Arial" w:asciiTheme="minorHAnsi" w:hAnsiTheme="minorHAnsi"/>
                <w:b/>
                <w:bCs/>
                <w:sz w:val="20"/>
              </w:rPr>
            </w:pPr>
            <w:r w:rsidRPr="00270D8C">
              <w:rPr>
                <w:rFonts w:cs="Arial" w:asciiTheme="minorHAnsi" w:hAnsiTheme="minorHAnsi"/>
                <w:b/>
                <w:bCs/>
                <w:sz w:val="20"/>
              </w:rPr>
              <w:t xml:space="preserve">Adverse Reactions         </w:t>
            </w:r>
          </w:p>
          <w:p w:rsidRPr="00270D8C" w:rsidR="0010214E" w:rsidP="0010214E" w:rsidRDefault="0010214E" w14:paraId="30C2DB21" w14:textId="77777777">
            <w:pPr>
              <w:pStyle w:val="BodyText"/>
              <w:rPr>
                <w:rFonts w:cs="Arial" w:asciiTheme="minorHAnsi" w:hAnsiTheme="minorHAnsi"/>
                <w:b/>
                <w:bCs/>
                <w:sz w:val="20"/>
              </w:rPr>
            </w:pPr>
          </w:p>
        </w:tc>
        <w:tc>
          <w:tcPr>
            <w:tcW w:w="8250" w:type="dxa"/>
          </w:tcPr>
          <w:p w:rsidRPr="00270D8C" w:rsidR="0010214E" w:rsidP="0010214E" w:rsidRDefault="0010214E" w14:paraId="3E5D5AAE" w14:textId="77777777">
            <w:pPr>
              <w:pStyle w:val="BodyText"/>
              <w:rPr>
                <w:rFonts w:cs="Arial" w:asciiTheme="minorHAnsi" w:hAnsiTheme="minorHAnsi"/>
                <w:sz w:val="20"/>
              </w:rPr>
            </w:pPr>
            <w:r w:rsidRPr="00270D8C">
              <w:rPr>
                <w:rFonts w:cs="Arial" w:asciiTheme="minorHAnsi" w:hAnsiTheme="minorHAnsi"/>
                <w:sz w:val="20"/>
              </w:rPr>
              <w:t>Allergic reactions.</w:t>
            </w:r>
          </w:p>
          <w:p w:rsidRPr="00270D8C" w:rsidR="0010214E" w:rsidP="0010214E" w:rsidRDefault="0010214E" w14:paraId="1E6C88F3" w14:textId="77777777">
            <w:pPr>
              <w:pStyle w:val="BodyText"/>
              <w:rPr>
                <w:rFonts w:cs="Arial" w:asciiTheme="minorHAnsi" w:hAnsiTheme="minorHAnsi"/>
                <w:sz w:val="20"/>
              </w:rPr>
            </w:pPr>
            <w:r w:rsidRPr="00270D8C">
              <w:rPr>
                <w:rFonts w:asciiTheme="minorHAnsi" w:hAnsiTheme="minorHAnsi"/>
                <w:sz w:val="20"/>
              </w:rPr>
              <w:t xml:space="preserve">Possible harms associated with albumin infusion in neonates include fluid overload (pulmonary oedema, impaired gas exchange, worsening oxygenation, chronic lung disease, patent ductus arteriosus, myocardial dysfunction especially for infants with birth asphyxia), neurological injury </w:t>
            </w:r>
            <w:r w:rsidRPr="00270D8C">
              <w:rPr>
                <w:rFonts w:asciiTheme="minorHAnsi" w:hAnsiTheme="minorHAnsi"/>
                <w:sz w:val="20"/>
              </w:rPr>
              <w:lastRenderedPageBreak/>
              <w:t>(cerebral oedema, intraventricular haemorrhage due to rapid bolus administration), salt loading and fluid retention.</w:t>
            </w:r>
          </w:p>
        </w:tc>
      </w:tr>
      <w:tr w:rsidRPr="00270D8C" w:rsidR="00273A16" w:rsidTr="00532883" w14:paraId="27C83576" w14:textId="77777777">
        <w:trPr>
          <w:trHeight w:val="197"/>
        </w:trPr>
        <w:tc>
          <w:tcPr>
            <w:tcW w:w="1986" w:type="dxa"/>
          </w:tcPr>
          <w:p w:rsidRPr="00270D8C" w:rsidR="0010214E" w:rsidP="0010214E" w:rsidRDefault="0010214E" w14:paraId="43190156" w14:textId="77777777">
            <w:pPr>
              <w:pStyle w:val="BodyText"/>
              <w:rPr>
                <w:rFonts w:cs="Arial" w:asciiTheme="minorHAnsi" w:hAnsiTheme="minorHAnsi"/>
                <w:b/>
                <w:bCs/>
                <w:sz w:val="20"/>
              </w:rPr>
            </w:pPr>
            <w:r w:rsidRPr="00270D8C">
              <w:rPr>
                <w:rFonts w:cs="Arial" w:asciiTheme="minorHAnsi" w:hAnsiTheme="minorHAnsi"/>
                <w:b/>
                <w:bCs/>
                <w:sz w:val="20"/>
              </w:rPr>
              <w:lastRenderedPageBreak/>
              <w:t>Compatibility</w:t>
            </w:r>
          </w:p>
        </w:tc>
        <w:tc>
          <w:tcPr>
            <w:tcW w:w="8250" w:type="dxa"/>
          </w:tcPr>
          <w:p w:rsidRPr="00270D8C" w:rsidR="0010214E" w:rsidP="0010214E" w:rsidRDefault="0010214E" w14:paraId="3155130A" w14:textId="77777777">
            <w:pPr>
              <w:pStyle w:val="BodyText"/>
              <w:rPr>
                <w:rFonts w:asciiTheme="minorHAnsi" w:hAnsiTheme="minorHAnsi"/>
                <w:sz w:val="20"/>
              </w:rPr>
            </w:pPr>
            <w:r w:rsidRPr="00270D8C">
              <w:rPr>
                <w:rFonts w:asciiTheme="minorHAnsi" w:hAnsiTheme="minorHAnsi"/>
                <w:sz w:val="20"/>
              </w:rPr>
              <w:t>Glucose 5% and 10%, glucose-sodium chloride combination.</w:t>
            </w:r>
            <w:r w:rsidRPr="00270D8C">
              <w:rPr>
                <w:rFonts w:asciiTheme="minorHAnsi" w:hAnsiTheme="minorHAnsi"/>
                <w:sz w:val="20"/>
                <w:vertAlign w:val="superscript"/>
              </w:rPr>
              <w:t>18</w:t>
            </w:r>
          </w:p>
        </w:tc>
      </w:tr>
      <w:tr w:rsidRPr="00270D8C" w:rsidR="00273A16" w:rsidTr="00532883" w14:paraId="7A5DF827" w14:textId="77777777">
        <w:trPr>
          <w:trHeight w:val="215"/>
        </w:trPr>
        <w:tc>
          <w:tcPr>
            <w:tcW w:w="1986" w:type="dxa"/>
          </w:tcPr>
          <w:p w:rsidRPr="00270D8C" w:rsidR="0010214E" w:rsidP="0010214E" w:rsidRDefault="0010214E" w14:paraId="46B7A6A4" w14:textId="77777777">
            <w:pPr>
              <w:pStyle w:val="BodyText"/>
              <w:rPr>
                <w:rFonts w:cs="Arial" w:asciiTheme="minorHAnsi" w:hAnsiTheme="minorHAnsi"/>
                <w:b/>
                <w:bCs/>
                <w:sz w:val="20"/>
              </w:rPr>
            </w:pPr>
            <w:r w:rsidRPr="00270D8C">
              <w:rPr>
                <w:rFonts w:cs="Arial" w:asciiTheme="minorHAnsi" w:hAnsiTheme="minorHAnsi"/>
                <w:b/>
                <w:bCs/>
                <w:sz w:val="20"/>
              </w:rPr>
              <w:t>Incompatibility</w:t>
            </w:r>
          </w:p>
        </w:tc>
        <w:tc>
          <w:tcPr>
            <w:tcW w:w="8250" w:type="dxa"/>
          </w:tcPr>
          <w:p w:rsidRPr="00270D8C" w:rsidR="0010214E" w:rsidP="0010214E" w:rsidRDefault="0010214E" w14:paraId="0E80B2F4" w14:textId="77777777">
            <w:pPr>
              <w:pStyle w:val="BodyText"/>
              <w:rPr>
                <w:rFonts w:cs="Arial" w:asciiTheme="minorHAnsi" w:hAnsiTheme="minorHAnsi"/>
                <w:sz w:val="20"/>
              </w:rPr>
            </w:pPr>
            <w:r w:rsidRPr="00270D8C">
              <w:rPr>
                <w:rFonts w:cs="Arial" w:asciiTheme="minorHAnsi" w:hAnsiTheme="minorHAnsi"/>
                <w:sz w:val="20"/>
              </w:rPr>
              <w:t>Albumex® 20 should not be mixed with protein hydrolysates, amino acid solutions, solutions containing alcohol or solutions containing drugs that bind to albumin (e.g. calcium channel blockers, antibiotics and benzodiazepines).</w:t>
            </w:r>
          </w:p>
        </w:tc>
      </w:tr>
      <w:tr w:rsidRPr="00270D8C" w:rsidR="00273A16" w:rsidTr="00532883" w14:paraId="00B64D5D" w14:textId="77777777">
        <w:trPr>
          <w:trHeight w:val="253"/>
        </w:trPr>
        <w:tc>
          <w:tcPr>
            <w:tcW w:w="1986" w:type="dxa"/>
          </w:tcPr>
          <w:p w:rsidRPr="00270D8C" w:rsidR="0010214E" w:rsidP="0010214E" w:rsidRDefault="0010214E" w14:paraId="0205F53F" w14:textId="77777777">
            <w:pPr>
              <w:pStyle w:val="BodyText"/>
              <w:rPr>
                <w:rFonts w:cs="Arial" w:asciiTheme="minorHAnsi" w:hAnsiTheme="minorHAnsi"/>
                <w:b/>
                <w:bCs/>
                <w:sz w:val="20"/>
              </w:rPr>
            </w:pPr>
            <w:r w:rsidRPr="00270D8C">
              <w:rPr>
                <w:rFonts w:cs="Arial" w:asciiTheme="minorHAnsi" w:hAnsiTheme="minorHAnsi"/>
                <w:b/>
                <w:bCs/>
                <w:sz w:val="20"/>
              </w:rPr>
              <w:t xml:space="preserve">Stability                  </w:t>
            </w:r>
          </w:p>
        </w:tc>
        <w:tc>
          <w:tcPr>
            <w:tcW w:w="8250" w:type="dxa"/>
          </w:tcPr>
          <w:p w:rsidRPr="00270D8C" w:rsidR="0010214E" w:rsidP="0010214E" w:rsidRDefault="0010214E" w14:paraId="399E15C7" w14:textId="77777777">
            <w:pPr>
              <w:pStyle w:val="BodyText"/>
              <w:rPr>
                <w:rFonts w:cs="Arial" w:asciiTheme="minorHAnsi" w:hAnsiTheme="minorHAnsi"/>
                <w:sz w:val="20"/>
              </w:rPr>
            </w:pPr>
          </w:p>
        </w:tc>
      </w:tr>
      <w:tr w:rsidRPr="00270D8C" w:rsidR="00273A16" w:rsidTr="00532883" w14:paraId="06998D01" w14:textId="77777777">
        <w:trPr>
          <w:trHeight w:val="117"/>
        </w:trPr>
        <w:tc>
          <w:tcPr>
            <w:tcW w:w="1986" w:type="dxa"/>
          </w:tcPr>
          <w:p w:rsidRPr="00270D8C" w:rsidR="0010214E" w:rsidP="0010214E" w:rsidRDefault="0010214E" w14:paraId="6CC299A3" w14:textId="77777777">
            <w:pPr>
              <w:pStyle w:val="BodyText"/>
              <w:rPr>
                <w:rFonts w:cs="Arial" w:asciiTheme="minorHAnsi" w:hAnsiTheme="minorHAnsi"/>
                <w:b/>
                <w:bCs/>
                <w:sz w:val="20"/>
              </w:rPr>
            </w:pPr>
            <w:r w:rsidRPr="00270D8C">
              <w:rPr>
                <w:rFonts w:cs="Arial" w:asciiTheme="minorHAnsi" w:hAnsiTheme="minorHAnsi"/>
                <w:b/>
                <w:bCs/>
                <w:sz w:val="20"/>
              </w:rPr>
              <w:t xml:space="preserve">Storage             </w:t>
            </w:r>
          </w:p>
        </w:tc>
        <w:tc>
          <w:tcPr>
            <w:tcW w:w="8250" w:type="dxa"/>
          </w:tcPr>
          <w:p w:rsidRPr="00270D8C" w:rsidR="0010214E" w:rsidP="0010214E" w:rsidRDefault="0010214E" w14:paraId="008CEC8B" w14:textId="77777777">
            <w:pPr>
              <w:pStyle w:val="BodyText"/>
              <w:rPr>
                <w:rFonts w:cs="Arial" w:asciiTheme="minorHAnsi" w:hAnsiTheme="minorHAnsi"/>
                <w:sz w:val="20"/>
              </w:rPr>
            </w:pPr>
            <w:r w:rsidRPr="00270D8C">
              <w:rPr>
                <w:rFonts w:cs="Arial" w:asciiTheme="minorHAnsi" w:hAnsiTheme="minorHAnsi"/>
                <w:sz w:val="20"/>
              </w:rPr>
              <w:t>10 mL: Store at 2°C to 8°C (Refrigerate. Do not freeze).</w:t>
            </w:r>
          </w:p>
          <w:p w:rsidRPr="00270D8C" w:rsidR="0010214E" w:rsidP="0010214E" w:rsidRDefault="0010214E" w14:paraId="395B45EC" w14:textId="77777777">
            <w:pPr>
              <w:pStyle w:val="BodyText"/>
              <w:rPr>
                <w:rFonts w:cs="Arial" w:asciiTheme="minorHAnsi" w:hAnsiTheme="minorHAnsi"/>
                <w:sz w:val="20"/>
              </w:rPr>
            </w:pPr>
            <w:r w:rsidRPr="00270D8C">
              <w:rPr>
                <w:rFonts w:cs="Arial" w:asciiTheme="minorHAnsi" w:hAnsiTheme="minorHAnsi"/>
                <w:sz w:val="20"/>
              </w:rPr>
              <w:t>100 mL: Store below 30°C (Do not freeze).</w:t>
            </w:r>
          </w:p>
          <w:p w:rsidRPr="00270D8C" w:rsidR="0010214E" w:rsidP="0010214E" w:rsidRDefault="0010214E" w14:paraId="7D9635C4" w14:textId="77777777">
            <w:pPr>
              <w:pStyle w:val="BodyText"/>
              <w:rPr>
                <w:rFonts w:cs="Arial" w:asciiTheme="minorHAnsi" w:hAnsiTheme="minorHAnsi"/>
                <w:sz w:val="20"/>
              </w:rPr>
            </w:pPr>
            <w:r w:rsidRPr="00270D8C">
              <w:rPr>
                <w:rFonts w:cs="Arial" w:asciiTheme="minorHAnsi" w:hAnsiTheme="minorHAnsi"/>
                <w:sz w:val="20"/>
              </w:rPr>
              <w:t>Protect from light.</w:t>
            </w:r>
          </w:p>
        </w:tc>
      </w:tr>
      <w:tr w:rsidRPr="00270D8C" w:rsidR="00273A16" w:rsidTr="00532883" w14:paraId="3C01791E" w14:textId="77777777">
        <w:trPr>
          <w:trHeight w:val="118"/>
        </w:trPr>
        <w:tc>
          <w:tcPr>
            <w:tcW w:w="1986" w:type="dxa"/>
          </w:tcPr>
          <w:p w:rsidRPr="00270D8C" w:rsidR="0010214E" w:rsidP="0010214E" w:rsidRDefault="0010214E" w14:paraId="4BC308F3" w14:textId="77777777">
            <w:pPr>
              <w:pStyle w:val="BodyText"/>
              <w:rPr>
                <w:rFonts w:cs="Arial" w:asciiTheme="minorHAnsi" w:hAnsiTheme="minorHAnsi"/>
                <w:b/>
                <w:bCs/>
                <w:sz w:val="20"/>
              </w:rPr>
            </w:pPr>
            <w:r w:rsidRPr="00270D8C">
              <w:rPr>
                <w:rFonts w:cs="Arial" w:asciiTheme="minorHAnsi" w:hAnsiTheme="minorHAnsi"/>
                <w:b/>
                <w:bCs/>
                <w:sz w:val="20"/>
              </w:rPr>
              <w:t xml:space="preserve">Special Comments       </w:t>
            </w:r>
          </w:p>
        </w:tc>
        <w:tc>
          <w:tcPr>
            <w:tcW w:w="8250" w:type="dxa"/>
          </w:tcPr>
          <w:p w:rsidRPr="00270D8C" w:rsidR="0010214E" w:rsidP="0010214E" w:rsidRDefault="0010214E" w14:paraId="143B24DA" w14:textId="77777777">
            <w:pPr>
              <w:pStyle w:val="BodyText"/>
              <w:rPr>
                <w:rFonts w:cs="Arial" w:asciiTheme="minorHAnsi" w:hAnsiTheme="minorHAnsi"/>
                <w:sz w:val="20"/>
              </w:rPr>
            </w:pPr>
          </w:p>
        </w:tc>
      </w:tr>
      <w:tr w:rsidRPr="00270D8C" w:rsidR="00273A16" w:rsidTr="00532883" w14:paraId="40788BDD" w14:textId="77777777">
        <w:trPr>
          <w:trHeight w:val="310"/>
        </w:trPr>
        <w:tc>
          <w:tcPr>
            <w:tcW w:w="1986" w:type="dxa"/>
          </w:tcPr>
          <w:p w:rsidRPr="00270D8C" w:rsidR="0010214E" w:rsidP="0010214E" w:rsidRDefault="0010214E" w14:paraId="1F903709" w14:textId="77777777">
            <w:pPr>
              <w:pStyle w:val="BodyText"/>
              <w:rPr>
                <w:rFonts w:cs="Arial" w:asciiTheme="minorHAnsi" w:hAnsiTheme="minorHAnsi"/>
                <w:b/>
                <w:bCs/>
                <w:sz w:val="20"/>
              </w:rPr>
            </w:pPr>
            <w:r w:rsidRPr="00270D8C">
              <w:rPr>
                <w:rFonts w:cs="Arial" w:asciiTheme="minorHAnsi" w:hAnsiTheme="minorHAnsi"/>
                <w:b/>
                <w:bCs/>
                <w:sz w:val="20"/>
              </w:rPr>
              <w:t>Evidence summary</w:t>
            </w:r>
          </w:p>
        </w:tc>
        <w:tc>
          <w:tcPr>
            <w:tcW w:w="8250" w:type="dxa"/>
          </w:tcPr>
          <w:p w:rsidRPr="00532883" w:rsidR="0010214E" w:rsidP="0010214E" w:rsidRDefault="0010214E" w14:paraId="7A9C2484" w14:textId="77777777">
            <w:pPr>
              <w:pStyle w:val="BodyText"/>
              <w:tabs>
                <w:tab w:val="left" w:pos="1168"/>
              </w:tabs>
              <w:rPr>
                <w:rFonts w:asciiTheme="minorHAnsi" w:hAnsiTheme="minorHAnsi"/>
                <w:b/>
                <w:sz w:val="16"/>
                <w:szCs w:val="16"/>
              </w:rPr>
            </w:pPr>
            <w:r w:rsidRPr="00532883">
              <w:rPr>
                <w:rFonts w:asciiTheme="minorHAnsi" w:hAnsiTheme="minorHAnsi"/>
                <w:b/>
                <w:sz w:val="16"/>
                <w:szCs w:val="16"/>
              </w:rPr>
              <w:t>Efficacy</w:t>
            </w:r>
          </w:p>
          <w:p w:rsidRPr="00532883" w:rsidR="0010214E" w:rsidP="0010214E" w:rsidRDefault="0010214E" w14:paraId="5331CA66" w14:textId="77777777">
            <w:pPr>
              <w:pStyle w:val="BodyText"/>
              <w:tabs>
                <w:tab w:val="left" w:pos="1168"/>
              </w:tabs>
              <w:rPr>
                <w:rFonts w:asciiTheme="minorHAnsi" w:hAnsiTheme="minorHAnsi"/>
                <w:sz w:val="16"/>
                <w:szCs w:val="16"/>
              </w:rPr>
            </w:pPr>
            <w:r w:rsidRPr="00532883">
              <w:rPr>
                <w:rFonts w:asciiTheme="minorHAnsi" w:hAnsiTheme="minorHAnsi"/>
                <w:b/>
                <w:sz w:val="16"/>
                <w:szCs w:val="16"/>
              </w:rPr>
              <w:t xml:space="preserve">Hypoalbuminemia: </w:t>
            </w:r>
            <w:r w:rsidRPr="00532883">
              <w:rPr>
                <w:rFonts w:asciiTheme="minorHAnsi" w:hAnsiTheme="minorHAnsi"/>
                <w:sz w:val="16"/>
                <w:szCs w:val="16"/>
              </w:rPr>
              <w:t xml:space="preserve">Two randomised, controlled trials (RCT) </w:t>
            </w:r>
            <w:r w:rsidRPr="00532883">
              <w:rPr>
                <w:rFonts w:asciiTheme="minorHAnsi" w:hAnsiTheme="minorHAnsi"/>
                <w:noProof/>
                <w:sz w:val="16"/>
                <w:szCs w:val="16"/>
              </w:rPr>
              <w:t>[1, 2]</w:t>
            </w:r>
            <w:r w:rsidRPr="00532883">
              <w:rPr>
                <w:rFonts w:asciiTheme="minorHAnsi" w:hAnsiTheme="minorHAnsi"/>
                <w:sz w:val="16"/>
                <w:szCs w:val="16"/>
              </w:rPr>
              <w:t xml:space="preserve"> have compared 5 mL/kg albumin 20% (1 g/kg) infusion in preterm infants with plasma albumin &lt;30 g/L, although one of the studies did not report major clinical outcomes. The other study </w:t>
            </w:r>
            <w:r w:rsidRPr="00532883">
              <w:rPr>
                <w:rFonts w:asciiTheme="minorHAnsi" w:hAnsiTheme="minorHAnsi"/>
                <w:noProof/>
                <w:sz w:val="16"/>
                <w:szCs w:val="16"/>
              </w:rPr>
              <w:t>[2]</w:t>
            </w:r>
            <w:r w:rsidRPr="00532883">
              <w:rPr>
                <w:rFonts w:asciiTheme="minorHAnsi" w:hAnsiTheme="minorHAnsi"/>
                <w:sz w:val="16"/>
                <w:szCs w:val="16"/>
              </w:rPr>
              <w:t xml:space="preserve"> reported no difference in mortality (RR 1.5, 95% CI 0.3–7.43), peri/intraventricular haemorrhage (PIVH), patent ductus arteriosus (PDA), necrotising enterocolitis (NEC), bronchopulmonary dysplasia (BPD), duration of mechanical ventilation and oxygen therapy. Systematic review concluded there is a lack of evidence from randomised trials to determine whether the routine use of albumin infusion in preterm neonates with low serum albumin reduces mortality or morbidity and no evidence to assess whether albumin infusion is associated with significant side effects </w:t>
            </w:r>
            <w:r w:rsidRPr="00532883">
              <w:rPr>
                <w:rFonts w:asciiTheme="minorHAnsi" w:hAnsiTheme="minorHAnsi"/>
                <w:noProof/>
                <w:sz w:val="16"/>
                <w:szCs w:val="16"/>
              </w:rPr>
              <w:t>[3]</w:t>
            </w:r>
            <w:r w:rsidRPr="00532883">
              <w:rPr>
                <w:rFonts w:asciiTheme="minorHAnsi" w:hAnsiTheme="minorHAnsi"/>
                <w:sz w:val="16"/>
                <w:szCs w:val="16"/>
              </w:rPr>
              <w:t xml:space="preserve">. </w:t>
            </w:r>
          </w:p>
          <w:p w:rsidRPr="00532883" w:rsidR="0010214E" w:rsidP="0010214E" w:rsidRDefault="0010214E" w14:paraId="382E7B01" w14:textId="77777777">
            <w:pPr>
              <w:pStyle w:val="BodyText"/>
              <w:tabs>
                <w:tab w:val="left" w:pos="1168"/>
              </w:tabs>
              <w:rPr>
                <w:rFonts w:asciiTheme="minorHAnsi" w:hAnsiTheme="minorHAnsi"/>
                <w:sz w:val="16"/>
                <w:szCs w:val="16"/>
              </w:rPr>
            </w:pPr>
          </w:p>
          <w:p w:rsidRPr="00532883" w:rsidR="0010214E" w:rsidP="0010214E" w:rsidRDefault="0010214E" w14:paraId="6A31A7EF" w14:textId="77777777">
            <w:pPr>
              <w:pStyle w:val="BodyText"/>
              <w:tabs>
                <w:tab w:val="left" w:pos="1168"/>
              </w:tabs>
              <w:rPr>
                <w:rFonts w:asciiTheme="minorHAnsi" w:hAnsiTheme="minorHAnsi"/>
                <w:sz w:val="16"/>
                <w:szCs w:val="16"/>
              </w:rPr>
            </w:pPr>
            <w:r w:rsidRPr="00532883">
              <w:rPr>
                <w:rFonts w:asciiTheme="minorHAnsi" w:hAnsiTheme="minorHAnsi"/>
                <w:sz w:val="16"/>
                <w:szCs w:val="16"/>
              </w:rPr>
              <w:t xml:space="preserve">A systematic review of RCTs comparing albumin or plasma protein fraction (PPF) with no albumin or PPF or with a crystalloid solution in critically ill patients with hypoalbuminaemia included 12 trials with 121 deaths among 757 participants </w:t>
            </w:r>
            <w:r w:rsidRPr="00532883">
              <w:rPr>
                <w:rFonts w:asciiTheme="minorHAnsi" w:hAnsiTheme="minorHAnsi"/>
                <w:noProof/>
                <w:sz w:val="16"/>
                <w:szCs w:val="16"/>
              </w:rPr>
              <w:t>[4]</w:t>
            </w:r>
            <w:r w:rsidRPr="00532883">
              <w:rPr>
                <w:rFonts w:asciiTheme="minorHAnsi" w:hAnsiTheme="minorHAnsi"/>
                <w:sz w:val="16"/>
                <w:szCs w:val="16"/>
              </w:rPr>
              <w:t>. Several trials were in newborn infants although no subgroup analysis was performed. Overall, for hypoalbuminaemia the relative risk for mortality was 1.26 (95% CI 0.84 to 1.88).</w:t>
            </w:r>
          </w:p>
          <w:p w:rsidRPr="00532883" w:rsidR="0010214E" w:rsidP="0010214E" w:rsidRDefault="0010214E" w14:paraId="0E045C1C" w14:textId="77777777">
            <w:pPr>
              <w:pStyle w:val="BodyText"/>
              <w:tabs>
                <w:tab w:val="left" w:pos="1168"/>
              </w:tabs>
              <w:rPr>
                <w:rFonts w:asciiTheme="minorHAnsi" w:hAnsiTheme="minorHAnsi"/>
                <w:sz w:val="16"/>
                <w:szCs w:val="16"/>
              </w:rPr>
            </w:pPr>
          </w:p>
          <w:p w:rsidRPr="00532883" w:rsidR="0010214E" w:rsidP="0010214E" w:rsidRDefault="0010214E" w14:paraId="584E614E" w14:textId="77777777">
            <w:pPr>
              <w:pStyle w:val="BodyText"/>
              <w:tabs>
                <w:tab w:val="left" w:pos="1168"/>
              </w:tabs>
              <w:rPr>
                <w:rFonts w:asciiTheme="minorHAnsi" w:hAnsiTheme="minorHAnsi"/>
                <w:sz w:val="16"/>
                <w:szCs w:val="16"/>
              </w:rPr>
            </w:pPr>
            <w:r w:rsidRPr="00532883">
              <w:rPr>
                <w:rFonts w:asciiTheme="minorHAnsi" w:hAnsiTheme="minorHAnsi"/>
                <w:sz w:val="16"/>
                <w:szCs w:val="16"/>
              </w:rPr>
              <w:t xml:space="preserve">Conclusion: There is insufficient evidence to determine the efficacy and safety of albumin 20% infusion in newborn infants with hypoalbuminaemia. [LOE II GOR D] Recommendation is for albumin infusion to only be considered in neonates with overwhelming continuous albumin loss including significant chylothorax, high-output ostomy drainage and severe congenital nephrotic syndrome </w:t>
            </w:r>
            <w:r w:rsidRPr="00532883">
              <w:rPr>
                <w:rFonts w:asciiTheme="minorHAnsi" w:hAnsiTheme="minorHAnsi"/>
                <w:noProof/>
                <w:sz w:val="16"/>
                <w:szCs w:val="16"/>
              </w:rPr>
              <w:t>[5]</w:t>
            </w:r>
            <w:r w:rsidRPr="00532883">
              <w:rPr>
                <w:rFonts w:asciiTheme="minorHAnsi" w:hAnsiTheme="minorHAnsi"/>
                <w:sz w:val="16"/>
                <w:szCs w:val="16"/>
              </w:rPr>
              <w:t xml:space="preserve">. </w:t>
            </w:r>
          </w:p>
          <w:p w:rsidRPr="00532883" w:rsidR="0010214E" w:rsidP="0010214E" w:rsidRDefault="0010214E" w14:paraId="51F7E3F2" w14:textId="77777777">
            <w:pPr>
              <w:pStyle w:val="BodyText"/>
              <w:tabs>
                <w:tab w:val="left" w:pos="1168"/>
              </w:tabs>
              <w:rPr>
                <w:rFonts w:asciiTheme="minorHAnsi" w:hAnsiTheme="minorHAnsi"/>
                <w:sz w:val="16"/>
                <w:szCs w:val="16"/>
              </w:rPr>
            </w:pPr>
          </w:p>
          <w:p w:rsidRPr="00532883" w:rsidR="0010214E" w:rsidP="0010214E" w:rsidRDefault="0010214E" w14:paraId="2DF0A95C" w14:textId="77777777">
            <w:pPr>
              <w:pStyle w:val="BodyText"/>
              <w:tabs>
                <w:tab w:val="left" w:pos="1168"/>
              </w:tabs>
              <w:rPr>
                <w:rFonts w:asciiTheme="minorHAnsi" w:hAnsiTheme="minorHAnsi"/>
                <w:sz w:val="16"/>
                <w:szCs w:val="16"/>
              </w:rPr>
            </w:pPr>
            <w:r w:rsidRPr="00532883">
              <w:rPr>
                <w:rFonts w:asciiTheme="minorHAnsi" w:hAnsiTheme="minorHAnsi"/>
                <w:b/>
                <w:sz w:val="16"/>
                <w:szCs w:val="16"/>
              </w:rPr>
              <w:t xml:space="preserve">Chylothorax: </w:t>
            </w:r>
            <w:r w:rsidRPr="00532883">
              <w:rPr>
                <w:rFonts w:asciiTheme="minorHAnsi" w:hAnsiTheme="minorHAnsi"/>
                <w:sz w:val="16"/>
                <w:szCs w:val="16"/>
              </w:rPr>
              <w:t xml:space="preserve">Although chyle contains 22.4 g/L (12.6 to 30) of albumin, there are no studies of albumin replacement in high-output chylothorax and recent reviews on chylothorax management have not recommended albumin infusion </w:t>
            </w:r>
            <w:r w:rsidRPr="00532883">
              <w:rPr>
                <w:rFonts w:asciiTheme="minorHAnsi" w:hAnsiTheme="minorHAnsi"/>
                <w:noProof/>
                <w:sz w:val="16"/>
                <w:szCs w:val="16"/>
              </w:rPr>
              <w:t>[5, 6]</w:t>
            </w:r>
            <w:r w:rsidRPr="00532883">
              <w:rPr>
                <w:rFonts w:asciiTheme="minorHAnsi" w:hAnsiTheme="minorHAnsi"/>
                <w:sz w:val="16"/>
                <w:szCs w:val="16"/>
              </w:rPr>
              <w:t>.</w:t>
            </w:r>
          </w:p>
          <w:p w:rsidRPr="00532883" w:rsidR="0010214E" w:rsidP="0010214E" w:rsidRDefault="0010214E" w14:paraId="049DFE39" w14:textId="77777777">
            <w:pPr>
              <w:pStyle w:val="BodyText"/>
              <w:tabs>
                <w:tab w:val="left" w:pos="1168"/>
              </w:tabs>
              <w:rPr>
                <w:rFonts w:asciiTheme="minorHAnsi" w:hAnsiTheme="minorHAnsi"/>
                <w:sz w:val="16"/>
                <w:szCs w:val="16"/>
              </w:rPr>
            </w:pPr>
          </w:p>
          <w:p w:rsidRPr="00532883" w:rsidR="0010214E" w:rsidP="0010214E" w:rsidRDefault="0010214E" w14:paraId="3C2E9558" w14:textId="77777777">
            <w:pPr>
              <w:pStyle w:val="BodyText"/>
              <w:tabs>
                <w:tab w:val="left" w:pos="1168"/>
              </w:tabs>
              <w:rPr>
                <w:rFonts w:asciiTheme="minorHAnsi" w:hAnsiTheme="minorHAnsi"/>
                <w:sz w:val="16"/>
                <w:szCs w:val="16"/>
              </w:rPr>
            </w:pPr>
            <w:r w:rsidRPr="00532883">
              <w:rPr>
                <w:rFonts w:asciiTheme="minorHAnsi" w:hAnsiTheme="minorHAnsi"/>
                <w:b/>
                <w:sz w:val="16"/>
                <w:szCs w:val="16"/>
              </w:rPr>
              <w:t xml:space="preserve">Liver cirrhosis and nephrotic syndrome: </w:t>
            </w:r>
            <w:r w:rsidRPr="00532883">
              <w:rPr>
                <w:rFonts w:asciiTheme="minorHAnsi" w:hAnsiTheme="minorHAnsi"/>
                <w:sz w:val="16"/>
                <w:szCs w:val="16"/>
              </w:rPr>
              <w:t xml:space="preserve">Hypoalbuminemia, oedema and ascites may be manifestation of liver cirrhosis and nephrotic syndrome </w:t>
            </w:r>
            <w:r w:rsidRPr="00532883">
              <w:rPr>
                <w:rFonts w:asciiTheme="minorHAnsi" w:hAnsiTheme="minorHAnsi"/>
                <w:noProof/>
                <w:sz w:val="16"/>
                <w:szCs w:val="16"/>
              </w:rPr>
              <w:t>[5]</w:t>
            </w:r>
            <w:r w:rsidRPr="00532883">
              <w:rPr>
                <w:rFonts w:asciiTheme="minorHAnsi" w:hAnsiTheme="minorHAnsi"/>
                <w:sz w:val="16"/>
                <w:szCs w:val="16"/>
              </w:rPr>
              <w:t xml:space="preserve">. </w:t>
            </w:r>
            <w:r w:rsidRPr="00532883">
              <w:rPr>
                <w:rFonts w:asciiTheme="minorHAnsi" w:hAnsiTheme="minorHAnsi"/>
                <w:b/>
                <w:i/>
                <w:sz w:val="16"/>
                <w:szCs w:val="16"/>
              </w:rPr>
              <w:t>Liver disorders:</w:t>
            </w:r>
            <w:r w:rsidRPr="00532883">
              <w:rPr>
                <w:rFonts w:asciiTheme="minorHAnsi" w:hAnsiTheme="minorHAnsi"/>
                <w:sz w:val="16"/>
                <w:szCs w:val="16"/>
              </w:rPr>
              <w:t xml:space="preserve"> No studies have reported on the use of albumin infusion therapy in neonates with liver disorders. Infusions of albumin has been used in infants and children undergoing high volume paracentesis with a reported lower incidence of post-paracentesis circulatory dysfunction and asymptomatic hyponatremia but no difference in other clinical outcome </w:t>
            </w:r>
            <w:r w:rsidRPr="00532883">
              <w:rPr>
                <w:rFonts w:asciiTheme="minorHAnsi" w:hAnsiTheme="minorHAnsi"/>
                <w:noProof/>
                <w:sz w:val="16"/>
                <w:szCs w:val="16"/>
              </w:rPr>
              <w:t>[7]</w:t>
            </w:r>
            <w:r w:rsidRPr="00532883">
              <w:rPr>
                <w:rFonts w:asciiTheme="minorHAnsi" w:hAnsiTheme="minorHAnsi"/>
                <w:sz w:val="16"/>
                <w:szCs w:val="16"/>
              </w:rPr>
              <w:t xml:space="preserve">. However, as a fluid extraction of &lt;200 mL/kg at a slow rate was associated with better haemodynamic stability, albumin infusion is not recommended </w:t>
            </w:r>
            <w:r w:rsidRPr="00532883">
              <w:rPr>
                <w:rFonts w:asciiTheme="minorHAnsi" w:hAnsiTheme="minorHAnsi"/>
                <w:noProof/>
                <w:sz w:val="16"/>
                <w:szCs w:val="16"/>
              </w:rPr>
              <w:t>[6, 7]</w:t>
            </w:r>
            <w:r w:rsidRPr="00532883">
              <w:rPr>
                <w:rFonts w:asciiTheme="minorHAnsi" w:hAnsiTheme="minorHAnsi"/>
                <w:sz w:val="16"/>
                <w:szCs w:val="16"/>
              </w:rPr>
              <w:t xml:space="preserve">. </w:t>
            </w:r>
            <w:r w:rsidRPr="00532883">
              <w:rPr>
                <w:rFonts w:asciiTheme="minorHAnsi" w:hAnsiTheme="minorHAnsi"/>
                <w:b/>
                <w:i/>
                <w:sz w:val="16"/>
                <w:szCs w:val="16"/>
              </w:rPr>
              <w:t>Nephrotic syndrome:</w:t>
            </w:r>
            <w:r w:rsidRPr="00532883">
              <w:rPr>
                <w:rFonts w:asciiTheme="minorHAnsi" w:hAnsiTheme="minorHAnsi"/>
                <w:sz w:val="16"/>
                <w:szCs w:val="16"/>
              </w:rPr>
              <w:t xml:space="preserve"> In infants with congenital nephrotic syndrome and massive oedema, treatment with intravenous albumin and diuretic infusions has been used. However, the treatment has a risk of respiratory failure and congestive heart failure, so use of albumin infusion is cautioned </w:t>
            </w:r>
            <w:r w:rsidRPr="00532883">
              <w:rPr>
                <w:rFonts w:asciiTheme="minorHAnsi" w:hAnsiTheme="minorHAnsi"/>
                <w:noProof/>
                <w:sz w:val="16"/>
                <w:szCs w:val="16"/>
              </w:rPr>
              <w:t>[6]</w:t>
            </w:r>
            <w:r w:rsidRPr="00532883">
              <w:rPr>
                <w:rFonts w:asciiTheme="minorHAnsi" w:hAnsiTheme="minorHAnsi"/>
                <w:sz w:val="16"/>
                <w:szCs w:val="16"/>
              </w:rPr>
              <w:t>.</w:t>
            </w:r>
          </w:p>
          <w:p w:rsidRPr="00532883" w:rsidR="0010214E" w:rsidP="0010214E" w:rsidRDefault="0010214E" w14:paraId="62241321" w14:textId="77777777">
            <w:pPr>
              <w:pStyle w:val="BodyText"/>
              <w:tabs>
                <w:tab w:val="left" w:pos="1168"/>
              </w:tabs>
              <w:rPr>
                <w:rFonts w:asciiTheme="minorHAnsi" w:hAnsiTheme="minorHAnsi"/>
                <w:b/>
                <w:sz w:val="16"/>
                <w:szCs w:val="16"/>
              </w:rPr>
            </w:pPr>
          </w:p>
          <w:p w:rsidRPr="00532883" w:rsidR="0010214E" w:rsidP="0010214E" w:rsidRDefault="0010214E" w14:paraId="1CFEC1BE" w14:textId="77777777">
            <w:pPr>
              <w:pStyle w:val="BodyText"/>
              <w:tabs>
                <w:tab w:val="left" w:pos="1168"/>
              </w:tabs>
              <w:rPr>
                <w:rFonts w:asciiTheme="minorHAnsi" w:hAnsiTheme="minorHAnsi"/>
                <w:sz w:val="16"/>
                <w:szCs w:val="16"/>
              </w:rPr>
            </w:pPr>
            <w:r w:rsidRPr="00532883">
              <w:rPr>
                <w:rFonts w:asciiTheme="minorHAnsi" w:hAnsiTheme="minorHAnsi"/>
                <w:b/>
                <w:sz w:val="16"/>
                <w:szCs w:val="16"/>
              </w:rPr>
              <w:t>Hypotensive preterm infants:</w:t>
            </w:r>
            <w:r w:rsidRPr="00532883">
              <w:rPr>
                <w:rFonts w:asciiTheme="minorHAnsi" w:hAnsiTheme="minorHAnsi"/>
                <w:sz w:val="16"/>
                <w:szCs w:val="16"/>
              </w:rPr>
              <w:t xml:space="preserve"> One trial </w:t>
            </w:r>
            <w:r w:rsidRPr="00532883">
              <w:rPr>
                <w:rFonts w:asciiTheme="minorHAnsi" w:hAnsiTheme="minorHAnsi"/>
                <w:noProof/>
                <w:sz w:val="16"/>
                <w:szCs w:val="16"/>
              </w:rPr>
              <w:t>[8]</w:t>
            </w:r>
            <w:r w:rsidRPr="00532883">
              <w:rPr>
                <w:rFonts w:asciiTheme="minorHAnsi" w:hAnsiTheme="minorHAnsi"/>
                <w:sz w:val="16"/>
                <w:szCs w:val="16"/>
              </w:rPr>
              <w:t xml:space="preserve"> with 20 infants in each group with a systolic BP &lt;40 mmHg compared fresh frozen plasma to albumin 4.5% 15 mL/kg and reported no difference in change in mean BP, although both these groups had a significantly greater increase in mean BP than a control group who received albumin 20% 5mL/kg. Other outcomes were not reported. </w:t>
            </w:r>
          </w:p>
          <w:p w:rsidRPr="00532883" w:rsidR="0010214E" w:rsidP="0010214E" w:rsidRDefault="0010214E" w14:paraId="745B46F3" w14:textId="77777777">
            <w:pPr>
              <w:pStyle w:val="BodyText"/>
              <w:tabs>
                <w:tab w:val="left" w:pos="1168"/>
              </w:tabs>
              <w:rPr>
                <w:rFonts w:asciiTheme="minorHAnsi" w:hAnsiTheme="minorHAnsi"/>
                <w:sz w:val="16"/>
                <w:szCs w:val="16"/>
              </w:rPr>
            </w:pPr>
            <w:r w:rsidRPr="00532883">
              <w:rPr>
                <w:rFonts w:asciiTheme="minorHAnsi" w:hAnsiTheme="minorHAnsi"/>
                <w:sz w:val="16"/>
                <w:szCs w:val="16"/>
              </w:rPr>
              <w:t>Conclusion: Albumin 20% solution cannot be recommended as treatment of hypotension in newborn infants. [LOE II, GOR C]</w:t>
            </w:r>
          </w:p>
          <w:p w:rsidRPr="00532883" w:rsidR="0010214E" w:rsidP="0010214E" w:rsidRDefault="0010214E" w14:paraId="6CBDC991" w14:textId="77777777">
            <w:pPr>
              <w:pStyle w:val="BodyText"/>
              <w:tabs>
                <w:tab w:val="left" w:pos="1168"/>
              </w:tabs>
              <w:rPr>
                <w:rFonts w:asciiTheme="minorHAnsi" w:hAnsiTheme="minorHAnsi"/>
                <w:sz w:val="16"/>
                <w:szCs w:val="16"/>
              </w:rPr>
            </w:pPr>
          </w:p>
          <w:p w:rsidRPr="00532883" w:rsidR="0010214E" w:rsidP="0010214E" w:rsidRDefault="0010214E" w14:paraId="47EAB217" w14:textId="77777777">
            <w:pPr>
              <w:pStyle w:val="BodyText"/>
              <w:tabs>
                <w:tab w:val="left" w:pos="1168"/>
              </w:tabs>
              <w:rPr>
                <w:rFonts w:asciiTheme="minorHAnsi" w:hAnsiTheme="minorHAnsi"/>
                <w:sz w:val="16"/>
                <w:szCs w:val="16"/>
              </w:rPr>
            </w:pPr>
            <w:r w:rsidRPr="00532883">
              <w:rPr>
                <w:rFonts w:asciiTheme="minorHAnsi" w:hAnsiTheme="minorHAnsi"/>
                <w:b/>
                <w:sz w:val="16"/>
                <w:szCs w:val="16"/>
              </w:rPr>
              <w:t>Routine treatment of preterm infants:</w:t>
            </w:r>
            <w:r w:rsidRPr="00532883">
              <w:rPr>
                <w:rFonts w:asciiTheme="minorHAnsi" w:hAnsiTheme="minorHAnsi"/>
                <w:sz w:val="16"/>
                <w:szCs w:val="16"/>
              </w:rPr>
              <w:t xml:space="preserve"> One study </w:t>
            </w:r>
            <w:r w:rsidRPr="00532883">
              <w:rPr>
                <w:rFonts w:asciiTheme="minorHAnsi" w:hAnsiTheme="minorHAnsi"/>
                <w:noProof/>
                <w:sz w:val="16"/>
                <w:szCs w:val="16"/>
              </w:rPr>
              <w:t>[9]</w:t>
            </w:r>
            <w:r w:rsidRPr="00532883">
              <w:rPr>
                <w:rFonts w:asciiTheme="minorHAnsi" w:hAnsiTheme="minorHAnsi"/>
                <w:sz w:val="16"/>
                <w:szCs w:val="16"/>
              </w:rPr>
              <w:t xml:space="preserve"> randomised 25 normotensive preterm infants to routine treatment with albumin 20% 15 mL/kg (3 g/kg) or no treatment and reported no difference in mortality (RR 0.92, 95% CI 0.23, 3.72) or periventricular leukomalacia. Conclusion: Albumin 20% solution cannot be recommended as routine treatment in preterm infants. [LOE I GOR C]</w:t>
            </w:r>
          </w:p>
          <w:p w:rsidRPr="00532883" w:rsidR="0010214E" w:rsidP="0010214E" w:rsidRDefault="0010214E" w14:paraId="11BF0449" w14:textId="77777777">
            <w:pPr>
              <w:pStyle w:val="BodyText"/>
              <w:tabs>
                <w:tab w:val="left" w:pos="1168"/>
              </w:tabs>
              <w:rPr>
                <w:rFonts w:asciiTheme="minorHAnsi" w:hAnsiTheme="minorHAnsi"/>
                <w:sz w:val="16"/>
                <w:szCs w:val="16"/>
              </w:rPr>
            </w:pPr>
          </w:p>
          <w:p w:rsidRPr="00532883" w:rsidR="0010214E" w:rsidP="0010214E" w:rsidRDefault="0010214E" w14:paraId="68141585" w14:textId="77777777">
            <w:pPr>
              <w:pStyle w:val="BodyText"/>
              <w:tabs>
                <w:tab w:val="left" w:pos="1168"/>
              </w:tabs>
              <w:rPr>
                <w:rFonts w:asciiTheme="minorHAnsi" w:hAnsiTheme="minorHAnsi"/>
                <w:sz w:val="16"/>
                <w:szCs w:val="16"/>
              </w:rPr>
            </w:pPr>
            <w:r w:rsidRPr="00532883">
              <w:rPr>
                <w:rFonts w:asciiTheme="minorHAnsi" w:hAnsiTheme="minorHAnsi"/>
                <w:b/>
                <w:sz w:val="16"/>
                <w:szCs w:val="16"/>
              </w:rPr>
              <w:t>Hyperbilirubinaemia:</w:t>
            </w:r>
            <w:r w:rsidRPr="00532883">
              <w:rPr>
                <w:rFonts w:asciiTheme="minorHAnsi" w:hAnsiTheme="minorHAnsi"/>
                <w:sz w:val="16"/>
                <w:szCs w:val="16"/>
              </w:rPr>
              <w:t xml:space="preserve"> Trials of albumin infusion pre-exchange transfusion for severe neonatal jaundice have reported heterogeneous results. Chan et al </w:t>
            </w:r>
            <w:r w:rsidRPr="00532883">
              <w:rPr>
                <w:rFonts w:asciiTheme="minorHAnsi" w:hAnsiTheme="minorHAnsi"/>
                <w:noProof/>
                <w:sz w:val="16"/>
                <w:szCs w:val="16"/>
              </w:rPr>
              <w:t>[10]</w:t>
            </w:r>
            <w:r w:rsidRPr="00532883">
              <w:rPr>
                <w:rFonts w:asciiTheme="minorHAnsi" w:hAnsiTheme="minorHAnsi"/>
                <w:sz w:val="16"/>
                <w:szCs w:val="16"/>
              </w:rPr>
              <w:t xml:space="preserve"> compared albumin 1 g/kg versus no treatment pre-exchange in 42 infants with severe neonatal jaundice and reported no difference in albumin-binding capacity, bilirubin, albumin or red cell bilirubin at pre- and one-hour post-albumin infusion in the primed infants. All infants received an exchange transfusion. Shahian et al </w:t>
            </w:r>
            <w:r w:rsidRPr="00532883">
              <w:rPr>
                <w:rFonts w:asciiTheme="minorHAnsi" w:hAnsiTheme="minorHAnsi"/>
                <w:noProof/>
                <w:sz w:val="16"/>
                <w:szCs w:val="16"/>
              </w:rPr>
              <w:t>[11]</w:t>
            </w:r>
            <w:r w:rsidRPr="00532883">
              <w:rPr>
                <w:rFonts w:asciiTheme="minorHAnsi" w:hAnsiTheme="minorHAnsi"/>
                <w:sz w:val="16"/>
                <w:szCs w:val="16"/>
              </w:rPr>
              <w:t xml:space="preserve"> in 50 infants with severe jaundice compared 5 mL/kg of albumin 20% (1 g/kg) to no treatment pre-exchange transfusion. Bilirubin concentration was lower than at 6 and 12 hours post-exchange (P&lt;0.001), duration of phototherapy was reduced (8.6 vs. 25 hours; P&lt;0.001) and none of 25 needed repeat exchange transfusion compared to 4/25 in the control group. </w:t>
            </w:r>
          </w:p>
          <w:p w:rsidRPr="00532883" w:rsidR="0010214E" w:rsidP="0010214E" w:rsidRDefault="0010214E" w14:paraId="658A8793" w14:textId="77777777">
            <w:pPr>
              <w:pStyle w:val="BodyText"/>
              <w:tabs>
                <w:tab w:val="left" w:pos="1168"/>
              </w:tabs>
              <w:rPr>
                <w:rFonts w:asciiTheme="minorHAnsi" w:hAnsiTheme="minorHAnsi"/>
                <w:sz w:val="16"/>
                <w:szCs w:val="16"/>
              </w:rPr>
            </w:pPr>
            <w:r w:rsidRPr="00532883">
              <w:rPr>
                <w:rFonts w:asciiTheme="minorHAnsi" w:hAnsiTheme="minorHAnsi"/>
                <w:sz w:val="16"/>
                <w:szCs w:val="16"/>
              </w:rPr>
              <w:t xml:space="preserve">Dash et </w:t>
            </w:r>
            <w:r w:rsidRPr="00532883">
              <w:rPr>
                <w:rFonts w:asciiTheme="minorHAnsi" w:hAnsiTheme="minorHAnsi"/>
                <w:noProof/>
                <w:sz w:val="16"/>
                <w:szCs w:val="16"/>
              </w:rPr>
              <w:t>[12]</w:t>
            </w:r>
            <w:r w:rsidRPr="00532883">
              <w:rPr>
                <w:rFonts w:asciiTheme="minorHAnsi" w:hAnsiTheme="minorHAnsi"/>
                <w:sz w:val="16"/>
                <w:szCs w:val="16"/>
              </w:rPr>
              <w:t xml:space="preserve"> compared 5 mL/kg of 20% human albumin (n=23) versus saline (n=27) infusion one hour prior to exchange transfusion. Phototherapy duration was not different [Median 29 vs. 33 hours; P=0.76], serial changes in total serum bilirubin following exchange transfusion and need for repeat exchange transfusion were similar (2/23 versus 2/27).</w:t>
            </w:r>
          </w:p>
          <w:p w:rsidRPr="00532883" w:rsidR="0010214E" w:rsidP="0010214E" w:rsidRDefault="0010214E" w14:paraId="0E8000B3" w14:textId="77777777">
            <w:pPr>
              <w:pStyle w:val="BodyText"/>
              <w:tabs>
                <w:tab w:val="left" w:pos="1168"/>
              </w:tabs>
              <w:rPr>
                <w:rFonts w:asciiTheme="minorHAnsi" w:hAnsiTheme="minorHAnsi"/>
                <w:sz w:val="16"/>
                <w:szCs w:val="16"/>
              </w:rPr>
            </w:pPr>
            <w:r w:rsidRPr="00532883">
              <w:rPr>
                <w:rFonts w:asciiTheme="minorHAnsi" w:hAnsiTheme="minorHAnsi"/>
                <w:sz w:val="16"/>
                <w:szCs w:val="16"/>
              </w:rPr>
              <w:lastRenderedPageBreak/>
              <w:t xml:space="preserve">A systematic review </w:t>
            </w:r>
            <w:r w:rsidRPr="00532883">
              <w:rPr>
                <w:rFonts w:asciiTheme="minorHAnsi" w:hAnsiTheme="minorHAnsi"/>
                <w:noProof/>
                <w:sz w:val="16"/>
                <w:szCs w:val="16"/>
              </w:rPr>
              <w:t>[13]</w:t>
            </w:r>
            <w:r w:rsidRPr="00532883">
              <w:rPr>
                <w:rFonts w:asciiTheme="minorHAnsi" w:hAnsiTheme="minorHAnsi"/>
                <w:sz w:val="16"/>
                <w:szCs w:val="16"/>
              </w:rPr>
              <w:t xml:space="preserve"> compared IV fluid supplementation versus no fluid supplementation in newborn infants with unconjugated hyperbilirubinaemia who required phototherapy. Duration of phototherapy was significantly shorter for fluid-supplemented infants, (MD </w:t>
            </w:r>
            <w:r w:rsidRPr="00532883">
              <w:rPr>
                <w:rFonts w:eastAsia="Symbol" w:cs="Symbol" w:asciiTheme="minorHAnsi" w:hAnsiTheme="minorHAnsi"/>
                <w:sz w:val="16"/>
                <w:szCs w:val="16"/>
              </w:rPr>
              <w:t>-</w:t>
            </w:r>
            <w:r w:rsidRPr="00532883">
              <w:rPr>
                <w:rFonts w:asciiTheme="minorHAnsi" w:hAnsiTheme="minorHAnsi"/>
                <w:sz w:val="16"/>
                <w:szCs w:val="16"/>
              </w:rPr>
              <w:t xml:space="preserve">10.70 hours, 95%CI </w:t>
            </w:r>
            <w:r w:rsidRPr="00532883">
              <w:rPr>
                <w:rFonts w:eastAsia="Symbol" w:cs="Symbol" w:asciiTheme="minorHAnsi" w:hAnsiTheme="minorHAnsi"/>
                <w:sz w:val="16"/>
                <w:szCs w:val="16"/>
              </w:rPr>
              <w:t>-</w:t>
            </w:r>
            <w:r w:rsidRPr="00532883">
              <w:rPr>
                <w:rFonts w:asciiTheme="minorHAnsi" w:hAnsiTheme="minorHAnsi"/>
                <w:sz w:val="16"/>
                <w:szCs w:val="16"/>
              </w:rPr>
              <w:t xml:space="preserve">15.55 to </w:t>
            </w:r>
            <w:r w:rsidRPr="00532883">
              <w:rPr>
                <w:rFonts w:eastAsia="Symbol" w:cs="Symbol" w:asciiTheme="minorHAnsi" w:hAnsiTheme="minorHAnsi"/>
                <w:sz w:val="16"/>
                <w:szCs w:val="16"/>
              </w:rPr>
              <w:t>-</w:t>
            </w:r>
            <w:r w:rsidRPr="00532883">
              <w:rPr>
                <w:rFonts w:asciiTheme="minorHAnsi" w:hAnsiTheme="minorHAnsi"/>
                <w:sz w:val="16"/>
                <w:szCs w:val="16"/>
              </w:rPr>
              <w:t xml:space="preserve">5.85; participants = 218; studies = 3; I² = 67%) and fluid-supplemented infants were less likely to require exchange transfusion (RR 0.39, 95% CI 0.21 to 0.71; participants = 462; studies = 6; I² = 72%). There was no evidence that IV fluid supplementation affected important clinical outcomes such as bilirubin encephalopathy, kernicterus or cerebral palsy. </w:t>
            </w:r>
          </w:p>
          <w:p w:rsidRPr="00532883" w:rsidR="0010214E" w:rsidP="0010214E" w:rsidRDefault="0010214E" w14:paraId="5FA794E3" w14:textId="77777777">
            <w:pPr>
              <w:pStyle w:val="BodyText"/>
              <w:tabs>
                <w:tab w:val="left" w:pos="1168"/>
              </w:tabs>
              <w:rPr>
                <w:rFonts w:asciiTheme="minorHAnsi" w:hAnsiTheme="minorHAnsi"/>
                <w:sz w:val="16"/>
                <w:szCs w:val="16"/>
              </w:rPr>
            </w:pPr>
            <w:r w:rsidRPr="00532883">
              <w:rPr>
                <w:rFonts w:asciiTheme="minorHAnsi" w:hAnsiTheme="minorHAnsi"/>
                <w:sz w:val="16"/>
                <w:szCs w:val="16"/>
              </w:rPr>
              <w:t xml:space="preserve">Conclusion: Heterogeneous evidence suggests intravenous fluid treatment may reduce serum bilirubin levels and exchange transfusion requirements in infants with unconjugated hyperbilirubinaemia, although there is no evidence of a reduction in bilirubin encephalopathy, kernicterus or cerebral palsy </w:t>
            </w:r>
            <w:r w:rsidRPr="00532883">
              <w:rPr>
                <w:rFonts w:asciiTheme="minorHAnsi" w:hAnsiTheme="minorHAnsi"/>
                <w:noProof/>
                <w:sz w:val="16"/>
                <w:szCs w:val="16"/>
              </w:rPr>
              <w:t>[11, 13]</w:t>
            </w:r>
            <w:r w:rsidRPr="00532883">
              <w:rPr>
                <w:rFonts w:asciiTheme="minorHAnsi" w:hAnsiTheme="minorHAnsi"/>
                <w:sz w:val="16"/>
                <w:szCs w:val="16"/>
              </w:rPr>
              <w:t xml:space="preserve">. [LOE I GOR C] There is no evidence that albumin solutions are more efficacious than saline for reducing bilirubin or repeat exchange transfusion in infants undergoing exchange transfusion for hyperbilirubinaemia </w:t>
            </w:r>
            <w:r w:rsidRPr="00532883">
              <w:rPr>
                <w:rFonts w:asciiTheme="minorHAnsi" w:hAnsiTheme="minorHAnsi"/>
                <w:noProof/>
                <w:sz w:val="16"/>
                <w:szCs w:val="16"/>
              </w:rPr>
              <w:t>[12]</w:t>
            </w:r>
            <w:r w:rsidRPr="00532883">
              <w:rPr>
                <w:rFonts w:asciiTheme="minorHAnsi" w:hAnsiTheme="minorHAnsi"/>
                <w:sz w:val="16"/>
                <w:szCs w:val="16"/>
              </w:rPr>
              <w:t>. [LOE II GOR C]</w:t>
            </w:r>
          </w:p>
          <w:p w:rsidRPr="00532883" w:rsidR="0010214E" w:rsidP="0010214E" w:rsidRDefault="0010214E" w14:paraId="3B07BBB5" w14:textId="77777777">
            <w:pPr>
              <w:pStyle w:val="BodyText"/>
              <w:tabs>
                <w:tab w:val="left" w:pos="1168"/>
              </w:tabs>
              <w:rPr>
                <w:rFonts w:asciiTheme="minorHAnsi" w:hAnsiTheme="minorHAnsi"/>
                <w:sz w:val="16"/>
                <w:szCs w:val="16"/>
              </w:rPr>
            </w:pPr>
          </w:p>
          <w:p w:rsidRPr="00532883" w:rsidR="0010214E" w:rsidP="0010214E" w:rsidRDefault="0010214E" w14:paraId="32B8D02B" w14:textId="77777777">
            <w:pPr>
              <w:pStyle w:val="BodyText"/>
              <w:tabs>
                <w:tab w:val="left" w:pos="1168"/>
              </w:tabs>
              <w:rPr>
                <w:rFonts w:asciiTheme="minorHAnsi" w:hAnsiTheme="minorHAnsi"/>
                <w:b/>
                <w:sz w:val="16"/>
                <w:szCs w:val="16"/>
              </w:rPr>
            </w:pPr>
            <w:r w:rsidRPr="00532883">
              <w:rPr>
                <w:rFonts w:asciiTheme="minorHAnsi" w:hAnsiTheme="minorHAnsi"/>
                <w:b/>
                <w:sz w:val="16"/>
                <w:szCs w:val="16"/>
              </w:rPr>
              <w:t xml:space="preserve">Safety </w:t>
            </w:r>
          </w:p>
          <w:p w:rsidRPr="00532883" w:rsidR="0010214E" w:rsidP="0010214E" w:rsidRDefault="0010214E" w14:paraId="7716CB0C" w14:textId="77777777">
            <w:pPr>
              <w:pStyle w:val="BodyText"/>
              <w:tabs>
                <w:tab w:val="left" w:pos="1168"/>
              </w:tabs>
              <w:rPr>
                <w:rFonts w:asciiTheme="minorHAnsi" w:hAnsiTheme="minorHAnsi"/>
                <w:sz w:val="16"/>
                <w:szCs w:val="16"/>
              </w:rPr>
            </w:pPr>
            <w:r w:rsidRPr="00532883">
              <w:rPr>
                <w:rFonts w:asciiTheme="minorHAnsi" w:hAnsiTheme="minorHAnsi"/>
                <w:sz w:val="16"/>
                <w:szCs w:val="16"/>
              </w:rPr>
              <w:t xml:space="preserve">There are insufficient data from RCTs in newborn infants to determine the safety of albumin infusion for any indication, although no adverse events attributable to albumin infusion were reported in trials in newborn infants </w:t>
            </w:r>
            <w:r w:rsidRPr="00532883">
              <w:rPr>
                <w:rFonts w:asciiTheme="minorHAnsi" w:hAnsiTheme="minorHAnsi"/>
                <w:noProof/>
                <w:sz w:val="16"/>
                <w:szCs w:val="16"/>
              </w:rPr>
              <w:t>[3, 14, 15]</w:t>
            </w:r>
            <w:r w:rsidRPr="00532883">
              <w:rPr>
                <w:rFonts w:asciiTheme="minorHAnsi" w:hAnsiTheme="minorHAnsi"/>
                <w:sz w:val="16"/>
                <w:szCs w:val="16"/>
              </w:rPr>
              <w:t xml:space="preserve">. Human albumin contains no preservatives and undergoes a rigorous pasteurisation process to ensure pathogen inactivation. It does not contain isoagglutinins or blood group substances; hence the risk of minor or major incompatibility is impossible. Additionally, hypersensitivity reactions such as flushing, urticaria, fever and nausea rarely occur following its administration, since albumin preparations are considered non-immunogenic </w:t>
            </w:r>
            <w:r w:rsidRPr="00532883">
              <w:rPr>
                <w:rFonts w:asciiTheme="minorHAnsi" w:hAnsiTheme="minorHAnsi"/>
                <w:noProof/>
                <w:sz w:val="16"/>
                <w:szCs w:val="16"/>
              </w:rPr>
              <w:t>[5]</w:t>
            </w:r>
            <w:r w:rsidRPr="00532883">
              <w:rPr>
                <w:rFonts w:asciiTheme="minorHAnsi" w:hAnsiTheme="minorHAnsi"/>
                <w:sz w:val="16"/>
                <w:szCs w:val="16"/>
              </w:rPr>
              <w:t xml:space="preserve">. However, possible harms associated with albumin infusion in neonates include fluid overload (pulmonary oedema, impaired gas exchange, worsening oxygenation, chronic lung disease, patent ductus arteriosus, myocardial dysfunction especially for infants with birth asphyxia), neurological injury (cerebral oedema, intraventricular haemorrhage due to rapid bolus administration), salt loading and fluid retention, and higher cost compared with crystalloids </w:t>
            </w:r>
            <w:r w:rsidRPr="00532883">
              <w:rPr>
                <w:rFonts w:asciiTheme="minorHAnsi" w:hAnsiTheme="minorHAnsi"/>
                <w:noProof/>
                <w:sz w:val="16"/>
                <w:szCs w:val="16"/>
              </w:rPr>
              <w:t>[5]</w:t>
            </w:r>
            <w:r w:rsidRPr="00532883">
              <w:rPr>
                <w:rFonts w:asciiTheme="minorHAnsi" w:hAnsiTheme="minorHAnsi"/>
                <w:sz w:val="16"/>
                <w:szCs w:val="16"/>
              </w:rPr>
              <w:t>.</w:t>
            </w:r>
          </w:p>
        </w:tc>
      </w:tr>
      <w:tr w:rsidRPr="0011362C" w:rsidR="00273A16" w:rsidTr="00532883" w14:paraId="2F92EF32" w14:textId="77777777">
        <w:trPr>
          <w:trHeight w:val="398"/>
        </w:trPr>
        <w:tc>
          <w:tcPr>
            <w:tcW w:w="1986" w:type="dxa"/>
          </w:tcPr>
          <w:p w:rsidRPr="00270D8C" w:rsidR="0010214E" w:rsidP="0010214E" w:rsidRDefault="0010214E" w14:paraId="6B9A648A" w14:textId="77777777">
            <w:pPr>
              <w:pStyle w:val="BodyText"/>
              <w:rPr>
                <w:rFonts w:cs="Arial" w:asciiTheme="minorHAnsi" w:hAnsiTheme="minorHAnsi"/>
                <w:b/>
                <w:bCs/>
                <w:sz w:val="20"/>
              </w:rPr>
            </w:pPr>
            <w:r w:rsidRPr="00270D8C">
              <w:rPr>
                <w:rFonts w:asciiTheme="minorHAnsi" w:hAnsiTheme="minorHAnsi"/>
                <w:b/>
                <w:sz w:val="20"/>
              </w:rPr>
              <w:lastRenderedPageBreak/>
              <w:t>References</w:t>
            </w:r>
          </w:p>
        </w:tc>
        <w:tc>
          <w:tcPr>
            <w:tcW w:w="8250" w:type="dxa"/>
          </w:tcPr>
          <w:p w:rsidRPr="00532883" w:rsidR="0010214E" w:rsidP="001B0E05" w:rsidRDefault="0010214E" w14:paraId="1D0FF85F"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Greenough A, Emery E, Hird MF, Gamsu HR. Randomised controlled trial of albumin infusion in ill preterm infants. Eur J Pediatr. 1993;152:157-9.</w:t>
            </w:r>
          </w:p>
          <w:p w:rsidRPr="00532883" w:rsidR="0010214E" w:rsidP="001B0E05" w:rsidRDefault="0010214E" w14:paraId="08B82045"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Kanarek KS, Williams PR, Blair C. Concurrent administration of albumin with total parenteral nutrition in sick newborn infants. JPEN J Parenter Enteral Nutr. 1992;16:49-53.</w:t>
            </w:r>
          </w:p>
          <w:p w:rsidRPr="00532883" w:rsidR="0010214E" w:rsidP="001B0E05" w:rsidRDefault="0010214E" w14:paraId="1ABA9CAF"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Jardine LA, Jenkins</w:t>
            </w:r>
            <w:r w:rsidRPr="00532883">
              <w:rPr>
                <w:rFonts w:cs="Cambria Math" w:asciiTheme="minorHAnsi" w:hAnsiTheme="minorHAnsi"/>
                <w:sz w:val="16"/>
                <w:szCs w:val="16"/>
                <w:lang w:val="en-AU"/>
              </w:rPr>
              <w:t>‐</w:t>
            </w:r>
            <w:r w:rsidRPr="00532883">
              <w:rPr>
                <w:rFonts w:asciiTheme="minorHAnsi" w:hAnsiTheme="minorHAnsi"/>
                <w:sz w:val="16"/>
                <w:szCs w:val="16"/>
                <w:lang w:val="en-AU"/>
              </w:rPr>
              <w:t>Marsh S, Davies MW. Albumin infusion for low serum albumin in preterm newborn infants. Cochrane Database of Systematic Reviews. 2004.</w:t>
            </w:r>
          </w:p>
          <w:p w:rsidRPr="00532883" w:rsidR="0010214E" w:rsidP="001B0E05" w:rsidRDefault="0010214E" w14:paraId="0419A019"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Roberts I, Blackhall K, Alderson P, Bunn F, Schierhout G. Human albumin solution for resuscitation and volume expansion in critically ill patients. Cochrane Database of Systematic Reviews. 2011.</w:t>
            </w:r>
          </w:p>
          <w:p w:rsidRPr="00532883" w:rsidR="0010214E" w:rsidP="001B0E05" w:rsidRDefault="0010214E" w14:paraId="661F8D3C"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Shalish W, Olivier F, Aly H, Sant'Anna G. Uses and misuses of albumin during resuscitation and in the neonatal intensive care unit. Seminars in Fetal and Neonatal Medicine. 2017;22:328-35.</w:t>
            </w:r>
          </w:p>
          <w:p w:rsidRPr="00532883" w:rsidR="0010214E" w:rsidP="001B0E05" w:rsidRDefault="0010214E" w14:paraId="637A32CD"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Church JT, Antunez AG, Dean A, Matusko N, Deatrick KB, Attar MA, Gadepalli SK. Evidence-based management of chylothorax in infants. Journal of Pediatric Surgery. 2017;52:907-12.</w:t>
            </w:r>
          </w:p>
          <w:p w:rsidRPr="00532883" w:rsidR="0010214E" w:rsidP="001B0E05" w:rsidRDefault="0010214E" w14:paraId="61FBD3EA"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Sen Sarma M, Yachha SK, Bhatia V, Srivastava A, Poddar U. Safety, complications and outcome of large volume paracentesis with or without albumin therapy in children with severe ascites due to liver disease. Journal of Hepatology. 2015;63:1126-32.</w:t>
            </w:r>
          </w:p>
          <w:p w:rsidRPr="00532883" w:rsidR="0010214E" w:rsidP="001B0E05" w:rsidRDefault="0010214E" w14:paraId="14FD9200"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Emery EF, Greenough A, Gamsu HR. Randomised controlled trial of colloid infusions in hypotensive preterm infants. Arch Dis Child. 1992;67:1185-8.</w:t>
            </w:r>
          </w:p>
          <w:p w:rsidRPr="00532883" w:rsidR="0010214E" w:rsidP="001B0E05" w:rsidRDefault="0010214E" w14:paraId="5ED6C33E"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Lundstrom K, Pryds O, Greisen G. The haemodynamic effects of dopamine and volume expansion in sick preterm infants. Early Hum Dev. 2000;57:157-63.</w:t>
            </w:r>
          </w:p>
          <w:p w:rsidRPr="00532883" w:rsidR="0010214E" w:rsidP="001B0E05" w:rsidRDefault="0010214E" w14:paraId="700D1908"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Chan G, Schiff D. Variance in albumin loading in exchange transfusions. J Pediatr. 1976;88:609-13.</w:t>
            </w:r>
          </w:p>
          <w:p w:rsidRPr="00532883" w:rsidR="0010214E" w:rsidP="001B0E05" w:rsidRDefault="0010214E" w14:paraId="41863D3F"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Shahian M, Moslehi MA. Effect of albumin administration prior to exchange transfusion in term neonates with hyperbilirubinemia--a randomized controlled trial. Indian Pediatr. 2010;47:241-4.</w:t>
            </w:r>
          </w:p>
          <w:p w:rsidRPr="00532883" w:rsidR="0010214E" w:rsidP="001B0E05" w:rsidRDefault="0010214E" w14:paraId="55E85EBF"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Dash N, Kumar P, Sundaram V, Attri SV. Pre exchange Albumin Administration in Neonates with Hyperbilirubinemia: A Randomized Controlled Trial. Indian Pediatr. 2015;52:763-7.</w:t>
            </w:r>
          </w:p>
          <w:p w:rsidRPr="00532883" w:rsidR="0010214E" w:rsidP="001B0E05" w:rsidRDefault="0010214E" w14:paraId="4E879C74"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Lai NM, Ahmad Kamar A, Choo YM, Kong JY, Ngim CF. Fluid supplementation for neonatal unconjugated hyperbilirubinaemia. Cochrane Database of Systematic Reviews. 2017;8:CD011891.</w:t>
            </w:r>
          </w:p>
          <w:p w:rsidRPr="00532883" w:rsidR="0010214E" w:rsidP="001B0E05" w:rsidRDefault="0010214E" w14:paraId="4389EA87"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Osborn DA, Evans NJ. Early volume expansion versus inotrope for prevention of morbidity and mortality in very preterm infants. Cochrane Database of Systematic Reviews. 2001.</w:t>
            </w:r>
          </w:p>
          <w:p w:rsidRPr="00532883" w:rsidR="0010214E" w:rsidP="001B0E05" w:rsidRDefault="0010214E" w14:paraId="1CF71576"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Osborn DA, Evans NJ. Early volume expansion for prevention of morbidity and mortality in very preterm infants. Cochrane Database of Systematic Reviews. 2004.</w:t>
            </w:r>
          </w:p>
          <w:p w:rsidRPr="00532883" w:rsidR="0010214E" w:rsidP="001B0E05" w:rsidRDefault="0010214E" w14:paraId="4DFF103B"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Albumex® 20 Product Information. https://www.cslbehring.com.au/products/products-list# Obtained on 26 June 2019.</w:t>
            </w:r>
          </w:p>
          <w:p w:rsidRPr="00532883" w:rsidR="0010214E" w:rsidP="001B0E05" w:rsidRDefault="0010214E" w14:paraId="4D1E8265"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MIMS online. Accessed on 18 July 2019.</w:t>
            </w:r>
          </w:p>
          <w:p w:rsidRPr="00532883" w:rsidR="0010214E" w:rsidP="001B0E05" w:rsidRDefault="0010214E" w14:paraId="267D4A2A" w14:textId="77777777">
            <w:pPr>
              <w:pStyle w:val="EndNoteBibliography"/>
              <w:numPr>
                <w:ilvl w:val="0"/>
                <w:numId w:val="61"/>
              </w:numPr>
              <w:ind w:left="360"/>
              <w:rPr>
                <w:rFonts w:asciiTheme="minorHAnsi" w:hAnsiTheme="minorHAnsi"/>
                <w:sz w:val="16"/>
                <w:szCs w:val="16"/>
                <w:lang w:val="en-AU"/>
              </w:rPr>
            </w:pPr>
            <w:r w:rsidRPr="00532883">
              <w:rPr>
                <w:rFonts w:asciiTheme="minorHAnsi" w:hAnsiTheme="minorHAnsi"/>
                <w:sz w:val="16"/>
                <w:szCs w:val="16"/>
                <w:lang w:val="en-AU"/>
              </w:rPr>
              <w:t>Australian Injectable Drugs Handbook, 7th Edition, Society of Hospital Pharmacists of Australia 2019</w:t>
            </w:r>
          </w:p>
        </w:tc>
      </w:tr>
    </w:tbl>
    <w:p w:rsidR="0010214E" w:rsidP="006F0321" w:rsidRDefault="0010214E" w14:paraId="0B29A0E8"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10214E" w:rsidTr="0010214E" w14:paraId="3C05797C"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5D50B3DE" w14:textId="77777777">
            <w:pPr>
              <w:spacing w:line="252" w:lineRule="auto"/>
              <w:rPr>
                <w:sz w:val="22"/>
                <w:lang w:val="en-AU"/>
              </w:rPr>
            </w:pPr>
            <w:r>
              <w:t>Original version Date: 22/07/2019</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7C113AB0" w14:textId="77777777">
            <w:pPr>
              <w:spacing w:line="252" w:lineRule="auto"/>
            </w:pPr>
            <w:r>
              <w:t>Author: NeoMed Consensus Group</w:t>
            </w:r>
          </w:p>
        </w:tc>
      </w:tr>
      <w:tr w:rsidR="0010214E" w:rsidTr="0010214E" w14:paraId="389DB411"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39125427" w14:textId="77777777">
            <w:pPr>
              <w:spacing w:line="252" w:lineRule="auto"/>
            </w:pPr>
            <w:r>
              <w:t>Current Version number:  1</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0F33284C" w14:textId="77777777">
            <w:pPr>
              <w:spacing w:line="252" w:lineRule="auto"/>
            </w:pPr>
            <w:r>
              <w:t>Current Version Date:  22/07/2019</w:t>
            </w:r>
          </w:p>
        </w:tc>
      </w:tr>
      <w:tr w:rsidR="0010214E" w:rsidTr="0010214E" w14:paraId="58243FCE"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1511BC75" w14:textId="778FABBA">
            <w:pPr>
              <w:spacing w:line="252" w:lineRule="auto"/>
            </w:pPr>
            <w:r>
              <w:t xml:space="preserve">Risk Rating: </w:t>
            </w:r>
            <w:r w:rsidR="00100129">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64778488" w14:textId="4C3A5405">
            <w:pPr>
              <w:spacing w:line="252" w:lineRule="auto"/>
            </w:pPr>
            <w:r>
              <w:t>Due for Review:  22/07/20</w:t>
            </w:r>
            <w:r w:rsidR="00145DA4">
              <w:t>24</w:t>
            </w:r>
          </w:p>
        </w:tc>
      </w:tr>
      <w:tr w:rsidR="0010214E" w:rsidTr="0010214E" w14:paraId="11999CA6"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01B098FB"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0214E" w:rsidP="0010214E" w:rsidRDefault="0010214E" w14:paraId="6EE9922C" w14:textId="74C84923">
            <w:pPr>
              <w:spacing w:line="252" w:lineRule="auto"/>
            </w:pPr>
            <w:r>
              <w:t xml:space="preserve">Approval Date: </w:t>
            </w:r>
            <w:r w:rsidR="00260BC8">
              <w:t>APRIL 2021</w:t>
            </w:r>
          </w:p>
        </w:tc>
      </w:tr>
    </w:tbl>
    <w:p w:rsidR="0010214E" w:rsidP="006F0321" w:rsidRDefault="0010214E" w14:paraId="645F907A" w14:textId="77777777"/>
    <w:p w:rsidR="0010214E" w:rsidP="006F0321" w:rsidRDefault="0010214E" w14:paraId="62F9C737" w14:textId="77777777"/>
    <w:p w:rsidR="00904873" w:rsidP="006F0321" w:rsidRDefault="00904873" w14:paraId="44E26EF8" w14:textId="77777777"/>
    <w:tbl>
      <w:tblPr>
        <w:tblW w:w="9049" w:type="dxa"/>
        <w:tblLayout w:type="fixed"/>
        <w:tblLook w:val="0000" w:firstRow="0" w:lastRow="0" w:firstColumn="0" w:lastColumn="0" w:noHBand="0" w:noVBand="0"/>
      </w:tblPr>
      <w:tblGrid>
        <w:gridCol w:w="4153"/>
        <w:gridCol w:w="4896"/>
      </w:tblGrid>
      <w:tr w:rsidRPr="00E25790" w:rsidR="00904873" w:rsidTr="0059793A" w14:paraId="370BFAA5"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904873" w:rsidP="00D03862" w:rsidRDefault="00904873" w14:paraId="051CA5A9" w14:textId="288DE4C0">
            <w:pPr>
              <w:pStyle w:val="Heading1"/>
            </w:pPr>
            <w:bookmarkStart w:name="_Toc75339931" w:id="70"/>
            <w:r>
              <w:t>Amikacin</w:t>
            </w:r>
            <w:bookmarkEnd w:id="70"/>
            <w:r w:rsidRPr="00E25790">
              <w:fldChar w:fldCharType="begin"/>
            </w:r>
            <w:r w:rsidRPr="00E25790">
              <w:instrText>tc "Acetylcysteine" \l 0</w:instrText>
            </w:r>
            <w:r w:rsidRPr="00E25790">
              <w:fldChar w:fldCharType="end"/>
            </w:r>
          </w:p>
        </w:tc>
      </w:tr>
      <w:tr w:rsidRPr="00E25790" w:rsidR="00904873" w:rsidTr="0059793A" w14:paraId="7DE3E27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904873" w:rsidP="0059793A" w:rsidRDefault="00904873" w14:paraId="619B52E6" w14:textId="0728BDAF">
            <w:r w:rsidRPr="00E25790">
              <w:t xml:space="preserve">Revision Date : </w:t>
            </w:r>
            <w:r w:rsidR="00B92C2A">
              <w:t>18</w:t>
            </w:r>
            <w:r>
              <w:t>/</w:t>
            </w:r>
            <w:r w:rsidR="00B92C2A">
              <w:t>2</w:t>
            </w:r>
            <w:r>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904873" w:rsidP="0059793A" w:rsidRDefault="00904873" w14:paraId="1EC81BEC" w14:textId="77777777">
            <w:r w:rsidRPr="00E25790">
              <w:t xml:space="preserve">Approved : </w:t>
            </w:r>
            <w:r>
              <w:t>TC,KOH</w:t>
            </w:r>
          </w:p>
        </w:tc>
      </w:tr>
    </w:tbl>
    <w:p w:rsidR="00904873" w:rsidP="006F0321" w:rsidRDefault="00904873" w14:paraId="74FCA4AD" w14:textId="77777777"/>
    <w:tbl>
      <w:tblPr>
        <w:tblW w:w="5582"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7"/>
        <w:gridCol w:w="8078"/>
      </w:tblGrid>
      <w:tr w:rsidRPr="007D7A90" w:rsidR="00107E60" w:rsidTr="00FE4186" w14:paraId="5A5FDE3D" w14:textId="77777777">
        <w:trPr>
          <w:trHeight w:val="363"/>
        </w:trPr>
        <w:tc>
          <w:tcPr>
            <w:tcW w:w="987" w:type="pct"/>
          </w:tcPr>
          <w:p w:rsidRPr="007D7A90" w:rsidR="00107E60" w:rsidP="00FE4186" w:rsidRDefault="00107E60" w14:paraId="7FC47058" w14:textId="77777777">
            <w:pPr>
              <w:pStyle w:val="BodyText"/>
              <w:tabs>
                <w:tab w:val="center" w:pos="1476"/>
              </w:tabs>
              <w:rPr>
                <w:rFonts w:cs="Arial" w:asciiTheme="minorHAnsi" w:hAnsiTheme="minorHAnsi"/>
                <w:b/>
                <w:sz w:val="20"/>
              </w:rPr>
            </w:pPr>
            <w:r w:rsidRPr="007D7A90">
              <w:rPr>
                <w:rFonts w:cs="Arial" w:asciiTheme="minorHAnsi" w:hAnsiTheme="minorHAnsi"/>
                <w:b/>
                <w:sz w:val="20"/>
              </w:rPr>
              <w:t>Alert</w:t>
            </w:r>
            <w:r w:rsidRPr="007D7A90">
              <w:rPr>
                <w:rFonts w:cs="Arial" w:asciiTheme="minorHAnsi" w:hAnsiTheme="minorHAnsi"/>
                <w:b/>
                <w:sz w:val="20"/>
              </w:rPr>
              <w:tab/>
            </w:r>
          </w:p>
          <w:p w:rsidRPr="007D7A90" w:rsidR="00107E60" w:rsidP="00FE4186" w:rsidRDefault="00107E60" w14:paraId="2E16DD2D" w14:textId="77777777">
            <w:pPr>
              <w:pStyle w:val="BodyText"/>
              <w:tabs>
                <w:tab w:val="center" w:pos="1476"/>
              </w:tabs>
              <w:rPr>
                <w:rFonts w:cs="Arial" w:asciiTheme="minorHAnsi" w:hAnsiTheme="minorHAnsi"/>
                <w:b/>
                <w:sz w:val="20"/>
              </w:rPr>
            </w:pPr>
            <w:r w:rsidRPr="007D7A90">
              <w:rPr>
                <w:rFonts w:cs="Arial" w:asciiTheme="minorHAnsi" w:hAnsiTheme="minorHAnsi"/>
                <w:b/>
                <w:sz w:val="20"/>
              </w:rPr>
              <w:t xml:space="preserve"> </w:t>
            </w:r>
          </w:p>
        </w:tc>
        <w:tc>
          <w:tcPr>
            <w:tcW w:w="4013" w:type="pct"/>
            <w:shd w:val="clear" w:color="auto" w:fill="auto"/>
          </w:tcPr>
          <w:p w:rsidRPr="007D7A90" w:rsidR="00107E60" w:rsidP="00FE4186" w:rsidRDefault="00107E60" w14:paraId="3E2FCEE8" w14:textId="77777777">
            <w:pPr>
              <w:pStyle w:val="BodyText"/>
              <w:rPr>
                <w:rFonts w:asciiTheme="minorHAnsi" w:hAnsiTheme="minorHAnsi"/>
                <w:sz w:val="20"/>
              </w:rPr>
            </w:pPr>
            <w:r w:rsidRPr="007D7A90">
              <w:rPr>
                <w:rFonts w:asciiTheme="minorHAnsi" w:hAnsiTheme="minorHAnsi"/>
                <w:sz w:val="20"/>
              </w:rPr>
              <w:t>Amikacin and gentamicin are both AMINOGLYCOSIDE antibiotics and MUST NOT be prescribed at the same time.</w:t>
            </w:r>
          </w:p>
          <w:p w:rsidRPr="007D7A90" w:rsidR="00107E60" w:rsidP="00FE4186" w:rsidRDefault="00107E60" w14:paraId="4B215FAA" w14:textId="77777777">
            <w:pPr>
              <w:pStyle w:val="BodyText"/>
              <w:rPr>
                <w:rFonts w:cs="Arial" w:asciiTheme="minorHAnsi" w:hAnsiTheme="minorHAnsi"/>
                <w:sz w:val="20"/>
              </w:rPr>
            </w:pPr>
            <w:r w:rsidRPr="007D7A90">
              <w:rPr>
                <w:rFonts w:asciiTheme="minorHAnsi" w:hAnsiTheme="minorHAnsi"/>
                <w:sz w:val="20"/>
              </w:rPr>
              <w:t xml:space="preserve">The Antimicrobial Stewardship Team has listed this drug under the following category: </w:t>
            </w:r>
            <w:r w:rsidRPr="007D7A90">
              <w:rPr>
                <w:rFonts w:asciiTheme="minorHAnsi" w:hAnsiTheme="minorHAnsi"/>
                <w:b/>
                <w:sz w:val="20"/>
              </w:rPr>
              <w:t>Restricted.</w:t>
            </w:r>
            <w:r w:rsidRPr="007D7A90">
              <w:rPr>
                <w:rFonts w:asciiTheme="minorHAnsi" w:hAnsiTheme="minorHAnsi"/>
                <w:sz w:val="20"/>
              </w:rPr>
              <w:t xml:space="preserve"> </w:t>
            </w:r>
          </w:p>
        </w:tc>
      </w:tr>
      <w:tr w:rsidRPr="007D7A90" w:rsidR="00107E60" w:rsidTr="00FE4186" w14:paraId="139FE040" w14:textId="77777777">
        <w:trPr>
          <w:trHeight w:val="553"/>
        </w:trPr>
        <w:tc>
          <w:tcPr>
            <w:tcW w:w="987" w:type="pct"/>
          </w:tcPr>
          <w:p w:rsidRPr="007D7A90" w:rsidR="00107E60" w:rsidP="00FE4186" w:rsidRDefault="00107E60" w14:paraId="2ADDB010" w14:textId="77777777">
            <w:pPr>
              <w:pStyle w:val="BodyText"/>
              <w:rPr>
                <w:rFonts w:cs="Arial" w:asciiTheme="minorHAnsi" w:hAnsiTheme="minorHAnsi"/>
                <w:b/>
                <w:bCs/>
                <w:sz w:val="20"/>
              </w:rPr>
            </w:pPr>
            <w:r w:rsidRPr="007D7A90">
              <w:rPr>
                <w:rFonts w:cs="Arial" w:asciiTheme="minorHAnsi" w:hAnsiTheme="minorHAnsi"/>
                <w:b/>
                <w:bCs/>
                <w:sz w:val="20"/>
              </w:rPr>
              <w:t xml:space="preserve">Indication                         </w:t>
            </w:r>
          </w:p>
          <w:p w:rsidRPr="007D7A90" w:rsidR="00107E60" w:rsidP="00FE4186" w:rsidRDefault="00107E60" w14:paraId="15B830DA" w14:textId="77777777">
            <w:pPr>
              <w:pStyle w:val="BodyText"/>
              <w:rPr>
                <w:rFonts w:cs="Arial" w:asciiTheme="minorHAnsi" w:hAnsiTheme="minorHAnsi"/>
                <w:sz w:val="20"/>
              </w:rPr>
            </w:pPr>
          </w:p>
        </w:tc>
        <w:tc>
          <w:tcPr>
            <w:tcW w:w="4013" w:type="pct"/>
          </w:tcPr>
          <w:p w:rsidRPr="007D7A90" w:rsidR="00107E60" w:rsidP="00FE4186" w:rsidRDefault="00107E60" w14:paraId="5636E945" w14:textId="77777777">
            <w:pPr>
              <w:rPr>
                <w:rFonts w:asciiTheme="minorHAnsi" w:hAnsiTheme="minorHAnsi"/>
                <w:sz w:val="20"/>
              </w:rPr>
            </w:pPr>
            <w:r w:rsidRPr="007D7A90">
              <w:rPr>
                <w:rFonts w:asciiTheme="minorHAnsi" w:hAnsiTheme="minorHAnsi"/>
                <w:sz w:val="20"/>
              </w:rPr>
              <w:t>Treatment of suspected or proven gram</w:t>
            </w:r>
            <w:r>
              <w:rPr>
                <w:rFonts w:asciiTheme="minorHAnsi" w:hAnsiTheme="minorHAnsi"/>
                <w:sz w:val="20"/>
              </w:rPr>
              <w:t>-</w:t>
            </w:r>
            <w:r w:rsidRPr="007D7A90">
              <w:rPr>
                <w:rFonts w:asciiTheme="minorHAnsi" w:hAnsiTheme="minorHAnsi"/>
                <w:sz w:val="20"/>
              </w:rPr>
              <w:t>negative infection resistant to other aminoglycosides. Used in combination with a beta-lactam antibiotic for sepsis in the newborn.</w:t>
            </w:r>
          </w:p>
        </w:tc>
      </w:tr>
      <w:tr w:rsidRPr="007D7A90" w:rsidR="00107E60" w:rsidTr="00FE4186" w14:paraId="0CC4E531" w14:textId="77777777">
        <w:trPr>
          <w:trHeight w:val="226"/>
        </w:trPr>
        <w:tc>
          <w:tcPr>
            <w:tcW w:w="987" w:type="pct"/>
          </w:tcPr>
          <w:p w:rsidRPr="007D7A90" w:rsidR="00107E60" w:rsidP="00FE4186" w:rsidRDefault="00107E60" w14:paraId="776AA51A" w14:textId="77777777">
            <w:pPr>
              <w:pStyle w:val="BodyText"/>
              <w:rPr>
                <w:rFonts w:cs="Arial" w:asciiTheme="minorHAnsi" w:hAnsiTheme="minorHAnsi"/>
                <w:b/>
                <w:bCs/>
                <w:sz w:val="20"/>
              </w:rPr>
            </w:pPr>
            <w:r w:rsidRPr="007D7A90">
              <w:rPr>
                <w:rFonts w:cs="Arial" w:asciiTheme="minorHAnsi" w:hAnsiTheme="minorHAnsi"/>
                <w:b/>
                <w:bCs/>
                <w:sz w:val="20"/>
              </w:rPr>
              <w:t>Action</w:t>
            </w:r>
          </w:p>
        </w:tc>
        <w:tc>
          <w:tcPr>
            <w:tcW w:w="4013" w:type="pct"/>
          </w:tcPr>
          <w:p w:rsidRPr="007D7A90" w:rsidR="00107E60" w:rsidP="00FE4186" w:rsidRDefault="00107E60" w14:paraId="514CDCF1" w14:textId="77777777">
            <w:pPr>
              <w:rPr>
                <w:rFonts w:cs="Arial" w:asciiTheme="minorHAnsi" w:hAnsiTheme="minorHAnsi"/>
                <w:sz w:val="20"/>
              </w:rPr>
            </w:pPr>
            <w:r w:rsidRPr="007D7A90">
              <w:rPr>
                <w:rFonts w:asciiTheme="minorHAnsi" w:hAnsiTheme="minorHAnsi"/>
                <w:sz w:val="20"/>
              </w:rPr>
              <w:t>Bactericidal agent that acts by inhibiting protein synthesis in susceptible bacteria.</w:t>
            </w:r>
          </w:p>
        </w:tc>
      </w:tr>
      <w:tr w:rsidRPr="007D7A90" w:rsidR="00107E60" w:rsidTr="00FE4186" w14:paraId="523F517E" w14:textId="77777777">
        <w:trPr>
          <w:trHeight w:val="266"/>
        </w:trPr>
        <w:tc>
          <w:tcPr>
            <w:tcW w:w="987" w:type="pct"/>
          </w:tcPr>
          <w:p w:rsidRPr="007D7A90" w:rsidR="00107E60" w:rsidP="00FE4186" w:rsidRDefault="00107E60" w14:paraId="789941E5" w14:textId="77777777">
            <w:pPr>
              <w:pStyle w:val="BodyText"/>
              <w:rPr>
                <w:rFonts w:cs="Arial" w:asciiTheme="minorHAnsi" w:hAnsiTheme="minorHAnsi"/>
                <w:sz w:val="20"/>
              </w:rPr>
            </w:pPr>
            <w:r w:rsidRPr="007D7A90">
              <w:rPr>
                <w:rFonts w:cs="Arial" w:asciiTheme="minorHAnsi" w:hAnsiTheme="minorHAnsi"/>
                <w:b/>
                <w:bCs/>
                <w:sz w:val="20"/>
              </w:rPr>
              <w:t xml:space="preserve">Drug Type                                   </w:t>
            </w:r>
          </w:p>
        </w:tc>
        <w:tc>
          <w:tcPr>
            <w:tcW w:w="4013" w:type="pct"/>
          </w:tcPr>
          <w:p w:rsidRPr="007D7A90" w:rsidR="00107E60" w:rsidP="00FE4186" w:rsidRDefault="00107E60" w14:paraId="2A81D7C4" w14:textId="77777777">
            <w:pPr>
              <w:pStyle w:val="BodyText"/>
              <w:rPr>
                <w:rFonts w:cs="Arial" w:asciiTheme="minorHAnsi" w:hAnsiTheme="minorHAnsi"/>
                <w:sz w:val="20"/>
              </w:rPr>
            </w:pPr>
            <w:r w:rsidRPr="007D7A90">
              <w:rPr>
                <w:rFonts w:asciiTheme="minorHAnsi" w:hAnsiTheme="minorHAnsi"/>
                <w:sz w:val="20"/>
              </w:rPr>
              <w:t>Aminoglycoside</w:t>
            </w:r>
          </w:p>
        </w:tc>
      </w:tr>
      <w:tr w:rsidRPr="007D7A90" w:rsidR="00107E60" w:rsidTr="00FE4186" w14:paraId="4400D0EC" w14:textId="77777777">
        <w:trPr>
          <w:trHeight w:val="128"/>
        </w:trPr>
        <w:tc>
          <w:tcPr>
            <w:tcW w:w="987" w:type="pct"/>
          </w:tcPr>
          <w:p w:rsidRPr="007D7A90" w:rsidR="00107E60" w:rsidP="00FE4186" w:rsidRDefault="00107E60" w14:paraId="62264010" w14:textId="77777777">
            <w:pPr>
              <w:pStyle w:val="BodyText"/>
              <w:rPr>
                <w:rFonts w:cs="Arial" w:asciiTheme="minorHAnsi" w:hAnsiTheme="minorHAnsi"/>
                <w:b/>
                <w:bCs/>
                <w:sz w:val="20"/>
              </w:rPr>
            </w:pPr>
            <w:r w:rsidRPr="007D7A90">
              <w:rPr>
                <w:rFonts w:cs="Arial" w:asciiTheme="minorHAnsi" w:hAnsiTheme="minorHAnsi"/>
                <w:b/>
                <w:bCs/>
                <w:sz w:val="20"/>
              </w:rPr>
              <w:t xml:space="preserve">Trade Name                  </w:t>
            </w:r>
          </w:p>
        </w:tc>
        <w:tc>
          <w:tcPr>
            <w:tcW w:w="4013" w:type="pct"/>
          </w:tcPr>
          <w:p w:rsidRPr="007D7A90" w:rsidR="00107E60" w:rsidP="00FE4186" w:rsidRDefault="00107E60" w14:paraId="7074983A" w14:textId="77777777">
            <w:pPr>
              <w:pStyle w:val="BodyText"/>
              <w:rPr>
                <w:rFonts w:cs="Arial" w:asciiTheme="minorHAnsi" w:hAnsiTheme="minorHAnsi"/>
                <w:sz w:val="20"/>
              </w:rPr>
            </w:pPr>
            <w:r w:rsidRPr="007D7A90">
              <w:rPr>
                <w:rFonts w:cs="Arial" w:asciiTheme="minorHAnsi" w:hAnsiTheme="minorHAnsi"/>
                <w:sz w:val="20"/>
              </w:rPr>
              <w:t>DBL Amikacin, Amikacin SXP, Amikacin Wockhardt.</w:t>
            </w:r>
          </w:p>
        </w:tc>
      </w:tr>
      <w:tr w:rsidRPr="007D7A90" w:rsidR="00107E60" w:rsidTr="00FE4186" w14:paraId="7B1AE011" w14:textId="77777777">
        <w:trPr>
          <w:trHeight w:val="403"/>
        </w:trPr>
        <w:tc>
          <w:tcPr>
            <w:tcW w:w="987" w:type="pct"/>
          </w:tcPr>
          <w:p w:rsidRPr="007D7A90" w:rsidR="00107E60" w:rsidP="00FE4186" w:rsidRDefault="00107E60" w14:paraId="6E5BBE48" w14:textId="77777777">
            <w:pPr>
              <w:pStyle w:val="BodyText"/>
              <w:rPr>
                <w:rFonts w:cs="Arial" w:asciiTheme="minorHAnsi" w:hAnsiTheme="minorHAnsi"/>
                <w:b/>
                <w:bCs/>
                <w:sz w:val="20"/>
              </w:rPr>
            </w:pPr>
            <w:r w:rsidRPr="007D7A90">
              <w:rPr>
                <w:rFonts w:cs="Arial" w:asciiTheme="minorHAnsi" w:hAnsiTheme="minorHAnsi"/>
                <w:b/>
                <w:bCs/>
                <w:sz w:val="20"/>
              </w:rPr>
              <w:t xml:space="preserve">Presentation </w:t>
            </w:r>
          </w:p>
        </w:tc>
        <w:tc>
          <w:tcPr>
            <w:tcW w:w="4013" w:type="pct"/>
          </w:tcPr>
          <w:p w:rsidRPr="007D7A90" w:rsidR="00107E60" w:rsidP="00FE4186" w:rsidRDefault="00107E60" w14:paraId="509FB41C" w14:textId="77777777">
            <w:pPr>
              <w:pStyle w:val="BodyText"/>
              <w:ind w:left="34"/>
              <w:rPr>
                <w:rFonts w:cs="Arial" w:asciiTheme="minorHAnsi" w:hAnsiTheme="minorHAnsi"/>
                <w:sz w:val="20"/>
              </w:rPr>
            </w:pPr>
            <w:r w:rsidRPr="007D7A90">
              <w:rPr>
                <w:rFonts w:cs="Arial" w:asciiTheme="minorHAnsi" w:hAnsiTheme="minorHAnsi"/>
                <w:sz w:val="20"/>
              </w:rPr>
              <w:t>500 mg/2 mL</w:t>
            </w:r>
          </w:p>
          <w:p w:rsidRPr="007D7A90" w:rsidR="00107E60" w:rsidP="00FE4186" w:rsidRDefault="00107E60" w14:paraId="19CD7C01" w14:textId="77777777">
            <w:pPr>
              <w:pStyle w:val="BodyText"/>
              <w:ind w:left="34"/>
              <w:rPr>
                <w:rFonts w:cs="Arial" w:asciiTheme="minorHAnsi" w:hAnsiTheme="minorHAnsi"/>
                <w:sz w:val="20"/>
              </w:rPr>
            </w:pPr>
            <w:r w:rsidRPr="007D7A90">
              <w:rPr>
                <w:rFonts w:cs="Arial" w:asciiTheme="minorHAnsi" w:hAnsiTheme="minorHAnsi"/>
                <w:sz w:val="20"/>
              </w:rPr>
              <w:t>Excipients: Sodium citrate, sodium metabisulfite.</w:t>
            </w:r>
          </w:p>
        </w:tc>
      </w:tr>
      <w:tr w:rsidRPr="007D7A90" w:rsidR="00107E60" w:rsidTr="00FE4186" w14:paraId="78BC30ED" w14:textId="77777777">
        <w:trPr>
          <w:trHeight w:val="587"/>
        </w:trPr>
        <w:tc>
          <w:tcPr>
            <w:tcW w:w="987" w:type="pct"/>
          </w:tcPr>
          <w:p w:rsidRPr="007D7A90" w:rsidR="00107E60" w:rsidP="00FE4186" w:rsidRDefault="00107E60" w14:paraId="5112E4BC" w14:textId="77777777">
            <w:pPr>
              <w:pStyle w:val="BodyText"/>
              <w:rPr>
                <w:rFonts w:cs="Arial" w:asciiTheme="minorHAnsi" w:hAnsiTheme="minorHAnsi"/>
                <w:b/>
                <w:bCs/>
                <w:sz w:val="20"/>
              </w:rPr>
            </w:pPr>
            <w:r w:rsidRPr="007D7A90">
              <w:rPr>
                <w:rFonts w:cs="Arial" w:asciiTheme="minorHAnsi" w:hAnsiTheme="minorHAnsi"/>
                <w:b/>
                <w:bCs/>
                <w:sz w:val="20"/>
              </w:rPr>
              <w:t xml:space="preserve">Dosage/Interval                           </w:t>
            </w:r>
          </w:p>
          <w:p w:rsidRPr="007D7A90" w:rsidR="00107E60" w:rsidP="00FE4186" w:rsidRDefault="00107E60" w14:paraId="5CDDE42D" w14:textId="77777777">
            <w:pPr>
              <w:pStyle w:val="BodyText"/>
              <w:rPr>
                <w:rFonts w:cs="Arial" w:asciiTheme="minorHAnsi" w:hAnsiTheme="minorHAnsi"/>
                <w:sz w:val="20"/>
              </w:rPr>
            </w:pPr>
          </w:p>
        </w:tc>
        <w:tc>
          <w:tcPr>
            <w:tcW w:w="4013" w:type="pct"/>
          </w:tcPr>
          <w:tbl>
            <w:tblPr>
              <w:tblStyle w:val="TableGrid"/>
              <w:tblW w:w="0" w:type="auto"/>
              <w:tblLayout w:type="fixed"/>
              <w:tblLook w:val="04A0" w:firstRow="1" w:lastRow="0" w:firstColumn="1" w:lastColumn="0" w:noHBand="0" w:noVBand="1"/>
            </w:tblPr>
            <w:tblGrid>
              <w:gridCol w:w="2725"/>
              <w:gridCol w:w="1559"/>
              <w:gridCol w:w="1417"/>
              <w:gridCol w:w="1843"/>
            </w:tblGrid>
            <w:tr w:rsidRPr="007D7A90" w:rsidR="00107E60" w:rsidTr="00FE4186" w14:paraId="4F41A0DF" w14:textId="77777777">
              <w:tc>
                <w:tcPr>
                  <w:tcW w:w="2725" w:type="dxa"/>
                </w:tcPr>
                <w:p w:rsidRPr="00A56878" w:rsidR="00107E60" w:rsidP="00FE4186" w:rsidRDefault="00107E60" w14:paraId="4787710F" w14:textId="77777777">
                  <w:pPr>
                    <w:pStyle w:val="EndNoteBibliography"/>
                    <w:rPr>
                      <w:rFonts w:asciiTheme="minorHAnsi" w:hAnsiTheme="minorHAnsi"/>
                      <w:sz w:val="20"/>
                      <w:szCs w:val="20"/>
                      <w:lang w:val="en-AU"/>
                    </w:rPr>
                  </w:pPr>
                  <w:r>
                    <w:rPr>
                      <w:rFonts w:asciiTheme="minorHAnsi" w:hAnsiTheme="minorHAnsi"/>
                      <w:sz w:val="20"/>
                      <w:szCs w:val="20"/>
                      <w:lang w:val="en-AU"/>
                    </w:rPr>
                    <w:t>Postmenstrual</w:t>
                  </w:r>
                  <w:r w:rsidRPr="00A56878">
                    <w:rPr>
                      <w:rFonts w:asciiTheme="minorHAnsi" w:hAnsiTheme="minorHAnsi"/>
                      <w:sz w:val="20"/>
                      <w:szCs w:val="20"/>
                      <w:lang w:val="en-AU"/>
                    </w:rPr>
                    <w:t xml:space="preserve"> age</w:t>
                  </w:r>
                  <w:r>
                    <w:rPr>
                      <w:rFonts w:asciiTheme="minorHAnsi" w:hAnsiTheme="minorHAnsi"/>
                      <w:sz w:val="20"/>
                      <w:szCs w:val="20"/>
                      <w:lang w:val="en-AU"/>
                    </w:rPr>
                    <w:t>/corrected gestational age</w:t>
                  </w:r>
                  <w:r w:rsidRPr="00A56878">
                    <w:rPr>
                      <w:rFonts w:asciiTheme="minorHAnsi" w:hAnsiTheme="minorHAnsi"/>
                      <w:sz w:val="20"/>
                      <w:szCs w:val="20"/>
                      <w:lang w:val="en-AU"/>
                    </w:rPr>
                    <w:t xml:space="preserve"> </w:t>
                  </w:r>
                </w:p>
              </w:tc>
              <w:tc>
                <w:tcPr>
                  <w:tcW w:w="1559" w:type="dxa"/>
                </w:tcPr>
                <w:p w:rsidRPr="00A56878" w:rsidR="00107E60" w:rsidP="00FE4186" w:rsidRDefault="00107E60" w14:paraId="320916B4"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Postnatal age</w:t>
                  </w:r>
                </w:p>
              </w:tc>
              <w:tc>
                <w:tcPr>
                  <w:tcW w:w="1417" w:type="dxa"/>
                </w:tcPr>
                <w:p w:rsidRPr="00A56878" w:rsidR="00107E60" w:rsidP="00FE4186" w:rsidRDefault="00107E60" w14:paraId="21B8D175"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Dose</w:t>
                  </w:r>
                </w:p>
              </w:tc>
              <w:tc>
                <w:tcPr>
                  <w:tcW w:w="1843" w:type="dxa"/>
                </w:tcPr>
                <w:p w:rsidRPr="00A56878" w:rsidR="00107E60" w:rsidP="00FE4186" w:rsidRDefault="00107E60" w14:paraId="4A4835B8"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Interval</w:t>
                  </w:r>
                </w:p>
              </w:tc>
            </w:tr>
            <w:tr w:rsidRPr="007D7A90" w:rsidR="00107E60" w:rsidTr="00FE4186" w14:paraId="18599305" w14:textId="77777777">
              <w:tc>
                <w:tcPr>
                  <w:tcW w:w="2725" w:type="dxa"/>
                </w:tcPr>
                <w:p w:rsidRPr="00A56878" w:rsidR="00107E60" w:rsidP="00FE4186" w:rsidRDefault="00107E60" w14:paraId="23C55A5D" w14:textId="77777777">
                  <w:pPr>
                    <w:pStyle w:val="EndNoteBibliography"/>
                    <w:rPr>
                      <w:rFonts w:asciiTheme="minorHAnsi" w:hAnsiTheme="minorHAnsi"/>
                      <w:b/>
                      <w:bCs/>
                      <w:sz w:val="20"/>
                      <w:szCs w:val="20"/>
                      <w:lang w:val="en-AU"/>
                    </w:rPr>
                  </w:pPr>
                  <w:r w:rsidRPr="00A56878">
                    <w:rPr>
                      <w:rFonts w:asciiTheme="minorHAnsi" w:hAnsiTheme="minorHAnsi"/>
                      <w:b/>
                      <w:bCs/>
                      <w:sz w:val="20"/>
                      <w:szCs w:val="20"/>
                      <w:lang w:val="en-AU"/>
                    </w:rPr>
                    <w:t>≤29 weeks</w:t>
                  </w:r>
                </w:p>
              </w:tc>
              <w:tc>
                <w:tcPr>
                  <w:tcW w:w="1559" w:type="dxa"/>
                </w:tcPr>
                <w:p w:rsidRPr="00A56878" w:rsidR="00107E60" w:rsidP="00FE4186" w:rsidRDefault="00107E60" w14:paraId="652862F9"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0</w:t>
                  </w:r>
                  <w:r>
                    <w:rPr>
                      <w:rFonts w:asciiTheme="minorHAnsi" w:hAnsiTheme="minorHAnsi"/>
                      <w:sz w:val="20"/>
                      <w:szCs w:val="20"/>
                      <w:lang w:val="en-AU"/>
                    </w:rPr>
                    <w:t>–</w:t>
                  </w:r>
                  <w:r w:rsidRPr="00A56878">
                    <w:rPr>
                      <w:rFonts w:asciiTheme="minorHAnsi" w:hAnsiTheme="minorHAnsi"/>
                      <w:sz w:val="20"/>
                      <w:szCs w:val="20"/>
                      <w:lang w:val="en-AU"/>
                    </w:rPr>
                    <w:t>7 days</w:t>
                  </w:r>
                </w:p>
              </w:tc>
              <w:tc>
                <w:tcPr>
                  <w:tcW w:w="1417" w:type="dxa"/>
                </w:tcPr>
                <w:p w:rsidRPr="00A56878" w:rsidR="00107E60" w:rsidP="00FE4186" w:rsidRDefault="00107E60" w14:paraId="5969C558"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14 mg/kg</w:t>
                  </w:r>
                </w:p>
              </w:tc>
              <w:tc>
                <w:tcPr>
                  <w:tcW w:w="1843" w:type="dxa"/>
                </w:tcPr>
                <w:p w:rsidRPr="00A56878" w:rsidR="00107E60" w:rsidP="00FE4186" w:rsidRDefault="00107E60" w14:paraId="49C4A778"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48</w:t>
                  </w:r>
                  <w:r>
                    <w:rPr>
                      <w:rFonts w:asciiTheme="minorHAnsi" w:hAnsiTheme="minorHAnsi"/>
                      <w:sz w:val="20"/>
                      <w:szCs w:val="20"/>
                      <w:lang w:val="en-AU"/>
                    </w:rPr>
                    <w:t>-</w:t>
                  </w:r>
                  <w:r w:rsidRPr="00A56878">
                    <w:rPr>
                      <w:rFonts w:asciiTheme="minorHAnsi" w:hAnsiTheme="minorHAnsi"/>
                      <w:sz w:val="20"/>
                      <w:szCs w:val="20"/>
                      <w:lang w:val="en-AU"/>
                    </w:rPr>
                    <w:t>hourly</w:t>
                  </w:r>
                </w:p>
              </w:tc>
            </w:tr>
            <w:tr w:rsidRPr="007D7A90" w:rsidR="00107E60" w:rsidTr="00FE4186" w14:paraId="400C30A4" w14:textId="77777777">
              <w:tc>
                <w:tcPr>
                  <w:tcW w:w="2725" w:type="dxa"/>
                </w:tcPr>
                <w:p w:rsidRPr="00A56878" w:rsidR="00107E60" w:rsidP="00FE4186" w:rsidRDefault="00107E60" w14:paraId="3F69D3EC" w14:textId="77777777">
                  <w:pPr>
                    <w:pStyle w:val="EndNoteBibliography"/>
                    <w:rPr>
                      <w:rFonts w:asciiTheme="minorHAnsi" w:hAnsiTheme="minorHAnsi"/>
                      <w:b/>
                      <w:bCs/>
                      <w:sz w:val="20"/>
                      <w:szCs w:val="20"/>
                      <w:lang w:val="en-AU"/>
                    </w:rPr>
                  </w:pPr>
                </w:p>
              </w:tc>
              <w:tc>
                <w:tcPr>
                  <w:tcW w:w="1559" w:type="dxa"/>
                </w:tcPr>
                <w:p w:rsidRPr="00A56878" w:rsidR="00107E60" w:rsidP="00FE4186" w:rsidRDefault="00107E60" w14:paraId="59F3EBE9"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8</w:t>
                  </w:r>
                  <w:r>
                    <w:rPr>
                      <w:rFonts w:asciiTheme="minorHAnsi" w:hAnsiTheme="minorHAnsi"/>
                      <w:sz w:val="20"/>
                      <w:szCs w:val="20"/>
                      <w:lang w:val="en-AU"/>
                    </w:rPr>
                    <w:t>–</w:t>
                  </w:r>
                  <w:r w:rsidRPr="00A56878">
                    <w:rPr>
                      <w:rFonts w:asciiTheme="minorHAnsi" w:hAnsiTheme="minorHAnsi"/>
                      <w:sz w:val="20"/>
                      <w:szCs w:val="20"/>
                      <w:lang w:val="en-AU"/>
                    </w:rPr>
                    <w:t>28 days</w:t>
                  </w:r>
                </w:p>
              </w:tc>
              <w:tc>
                <w:tcPr>
                  <w:tcW w:w="1417" w:type="dxa"/>
                </w:tcPr>
                <w:p w:rsidRPr="00A56878" w:rsidR="00107E60" w:rsidP="00FE4186" w:rsidRDefault="00107E60" w14:paraId="7DAE280D"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12 mg/kg</w:t>
                  </w:r>
                </w:p>
              </w:tc>
              <w:tc>
                <w:tcPr>
                  <w:tcW w:w="1843" w:type="dxa"/>
                </w:tcPr>
                <w:p w:rsidRPr="00A56878" w:rsidR="00107E60" w:rsidP="00FE4186" w:rsidRDefault="00107E60" w14:paraId="1D4375D5"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36</w:t>
                  </w:r>
                  <w:r>
                    <w:rPr>
                      <w:rFonts w:asciiTheme="minorHAnsi" w:hAnsiTheme="minorHAnsi"/>
                      <w:sz w:val="20"/>
                      <w:szCs w:val="20"/>
                      <w:lang w:val="en-AU"/>
                    </w:rPr>
                    <w:t>-</w:t>
                  </w:r>
                  <w:r w:rsidRPr="00A56878">
                    <w:rPr>
                      <w:rFonts w:asciiTheme="minorHAnsi" w:hAnsiTheme="minorHAnsi"/>
                      <w:sz w:val="20"/>
                      <w:szCs w:val="20"/>
                      <w:lang w:val="en-AU"/>
                    </w:rPr>
                    <w:t>hourly</w:t>
                  </w:r>
                </w:p>
              </w:tc>
            </w:tr>
            <w:tr w:rsidRPr="007D7A90" w:rsidR="00107E60" w:rsidTr="00FE4186" w14:paraId="2B4ED1DF" w14:textId="77777777">
              <w:tc>
                <w:tcPr>
                  <w:tcW w:w="2725" w:type="dxa"/>
                </w:tcPr>
                <w:p w:rsidRPr="00A56878" w:rsidR="00107E60" w:rsidP="00FE4186" w:rsidRDefault="00107E60" w14:paraId="2EB2C943" w14:textId="77777777">
                  <w:pPr>
                    <w:pStyle w:val="EndNoteBibliography"/>
                    <w:rPr>
                      <w:rFonts w:asciiTheme="minorHAnsi" w:hAnsiTheme="minorHAnsi"/>
                      <w:b/>
                      <w:bCs/>
                      <w:sz w:val="20"/>
                      <w:szCs w:val="20"/>
                      <w:lang w:val="en-AU"/>
                    </w:rPr>
                  </w:pPr>
                </w:p>
              </w:tc>
              <w:tc>
                <w:tcPr>
                  <w:tcW w:w="1559" w:type="dxa"/>
                </w:tcPr>
                <w:p w:rsidRPr="00A56878" w:rsidR="00107E60" w:rsidP="00FE4186" w:rsidRDefault="00107E60" w14:paraId="1BDFE656"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≥29 days</w:t>
                  </w:r>
                </w:p>
              </w:tc>
              <w:tc>
                <w:tcPr>
                  <w:tcW w:w="1417" w:type="dxa"/>
                </w:tcPr>
                <w:p w:rsidRPr="00A56878" w:rsidR="00107E60" w:rsidP="00FE4186" w:rsidRDefault="00107E60" w14:paraId="7794204B"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12 mg/kg</w:t>
                  </w:r>
                </w:p>
              </w:tc>
              <w:tc>
                <w:tcPr>
                  <w:tcW w:w="1843" w:type="dxa"/>
                </w:tcPr>
                <w:p w:rsidRPr="00A56878" w:rsidR="00107E60" w:rsidP="00FE4186" w:rsidRDefault="00107E60" w14:paraId="08A7E026"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24</w:t>
                  </w:r>
                  <w:r>
                    <w:rPr>
                      <w:rFonts w:asciiTheme="minorHAnsi" w:hAnsiTheme="minorHAnsi"/>
                      <w:sz w:val="20"/>
                      <w:szCs w:val="20"/>
                      <w:lang w:val="en-AU"/>
                    </w:rPr>
                    <w:t>-</w:t>
                  </w:r>
                  <w:r w:rsidRPr="00A56878">
                    <w:rPr>
                      <w:rFonts w:asciiTheme="minorHAnsi" w:hAnsiTheme="minorHAnsi"/>
                      <w:sz w:val="20"/>
                      <w:szCs w:val="20"/>
                      <w:lang w:val="en-AU"/>
                    </w:rPr>
                    <w:t>hourly</w:t>
                  </w:r>
                </w:p>
              </w:tc>
            </w:tr>
            <w:tr w:rsidRPr="007D7A90" w:rsidR="00107E60" w:rsidTr="00FE4186" w14:paraId="303560F2" w14:textId="77777777">
              <w:tc>
                <w:tcPr>
                  <w:tcW w:w="2725" w:type="dxa"/>
                </w:tcPr>
                <w:p w:rsidRPr="00A56878" w:rsidR="00107E60" w:rsidP="00FE4186" w:rsidRDefault="00107E60" w14:paraId="09D6171B" w14:textId="77777777">
                  <w:pPr>
                    <w:pStyle w:val="EndNoteBibliography"/>
                    <w:rPr>
                      <w:rFonts w:asciiTheme="minorHAnsi" w:hAnsiTheme="minorHAnsi"/>
                      <w:b/>
                      <w:bCs/>
                      <w:sz w:val="20"/>
                      <w:szCs w:val="20"/>
                      <w:lang w:val="en-AU"/>
                    </w:rPr>
                  </w:pPr>
                  <w:r w:rsidRPr="00A56878">
                    <w:rPr>
                      <w:rFonts w:asciiTheme="minorHAnsi" w:hAnsiTheme="minorHAnsi"/>
                      <w:b/>
                      <w:bCs/>
                      <w:sz w:val="20"/>
                      <w:szCs w:val="20"/>
                      <w:lang w:val="en-AU"/>
                    </w:rPr>
                    <w:t>30–34 weeks</w:t>
                  </w:r>
                </w:p>
              </w:tc>
              <w:tc>
                <w:tcPr>
                  <w:tcW w:w="1559" w:type="dxa"/>
                </w:tcPr>
                <w:p w:rsidRPr="00A56878" w:rsidR="00107E60" w:rsidP="00FE4186" w:rsidRDefault="00107E60" w14:paraId="75411809"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0</w:t>
                  </w:r>
                  <w:r>
                    <w:rPr>
                      <w:rFonts w:asciiTheme="minorHAnsi" w:hAnsiTheme="minorHAnsi"/>
                      <w:sz w:val="20"/>
                      <w:szCs w:val="20"/>
                      <w:lang w:val="en-AU"/>
                    </w:rPr>
                    <w:t>–</w:t>
                  </w:r>
                  <w:r w:rsidRPr="00A56878">
                    <w:rPr>
                      <w:rFonts w:asciiTheme="minorHAnsi" w:hAnsiTheme="minorHAnsi"/>
                      <w:sz w:val="20"/>
                      <w:szCs w:val="20"/>
                      <w:lang w:val="en-AU"/>
                    </w:rPr>
                    <w:t>7 days</w:t>
                  </w:r>
                </w:p>
              </w:tc>
              <w:tc>
                <w:tcPr>
                  <w:tcW w:w="1417" w:type="dxa"/>
                </w:tcPr>
                <w:p w:rsidRPr="00A56878" w:rsidR="00107E60" w:rsidP="00FE4186" w:rsidRDefault="00107E60" w14:paraId="5D43F812"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12 mg/kg</w:t>
                  </w:r>
                </w:p>
              </w:tc>
              <w:tc>
                <w:tcPr>
                  <w:tcW w:w="1843" w:type="dxa"/>
                </w:tcPr>
                <w:p w:rsidRPr="00A56878" w:rsidR="00107E60" w:rsidP="00FE4186" w:rsidRDefault="00107E60" w14:paraId="1390AC79"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36</w:t>
                  </w:r>
                  <w:r>
                    <w:rPr>
                      <w:rFonts w:asciiTheme="minorHAnsi" w:hAnsiTheme="minorHAnsi"/>
                      <w:sz w:val="20"/>
                      <w:szCs w:val="20"/>
                      <w:lang w:val="en-AU"/>
                    </w:rPr>
                    <w:t>-</w:t>
                  </w:r>
                  <w:r w:rsidRPr="00A56878">
                    <w:rPr>
                      <w:rFonts w:asciiTheme="minorHAnsi" w:hAnsiTheme="minorHAnsi"/>
                      <w:sz w:val="20"/>
                      <w:szCs w:val="20"/>
                      <w:lang w:val="en-AU"/>
                    </w:rPr>
                    <w:t>hourly</w:t>
                  </w:r>
                </w:p>
              </w:tc>
            </w:tr>
            <w:tr w:rsidRPr="007D7A90" w:rsidR="00107E60" w:rsidTr="00FE4186" w14:paraId="39A7F68D" w14:textId="77777777">
              <w:tc>
                <w:tcPr>
                  <w:tcW w:w="2725" w:type="dxa"/>
                </w:tcPr>
                <w:p w:rsidRPr="00A56878" w:rsidR="00107E60" w:rsidP="00FE4186" w:rsidRDefault="00107E60" w14:paraId="0AD4E63B" w14:textId="77777777">
                  <w:pPr>
                    <w:pStyle w:val="EndNoteBibliography"/>
                    <w:rPr>
                      <w:rFonts w:asciiTheme="minorHAnsi" w:hAnsiTheme="minorHAnsi"/>
                      <w:b/>
                      <w:bCs/>
                      <w:sz w:val="20"/>
                      <w:szCs w:val="20"/>
                      <w:lang w:val="en-AU"/>
                    </w:rPr>
                  </w:pPr>
                </w:p>
              </w:tc>
              <w:tc>
                <w:tcPr>
                  <w:tcW w:w="1559" w:type="dxa"/>
                </w:tcPr>
                <w:p w:rsidRPr="00A56878" w:rsidR="00107E60" w:rsidP="00FE4186" w:rsidRDefault="00107E60" w14:paraId="24910F65"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≥8 days</w:t>
                  </w:r>
                </w:p>
              </w:tc>
              <w:tc>
                <w:tcPr>
                  <w:tcW w:w="1417" w:type="dxa"/>
                </w:tcPr>
                <w:p w:rsidRPr="00A56878" w:rsidR="00107E60" w:rsidP="00FE4186" w:rsidRDefault="00107E60" w14:paraId="6C0864BD"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12 mg/kg</w:t>
                  </w:r>
                </w:p>
              </w:tc>
              <w:tc>
                <w:tcPr>
                  <w:tcW w:w="1843" w:type="dxa"/>
                </w:tcPr>
                <w:p w:rsidRPr="00A56878" w:rsidR="00107E60" w:rsidP="00FE4186" w:rsidRDefault="00107E60" w14:paraId="190D98B4"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24</w:t>
                  </w:r>
                  <w:r>
                    <w:rPr>
                      <w:rFonts w:asciiTheme="minorHAnsi" w:hAnsiTheme="minorHAnsi"/>
                      <w:sz w:val="20"/>
                      <w:szCs w:val="20"/>
                      <w:lang w:val="en-AU"/>
                    </w:rPr>
                    <w:t>-</w:t>
                  </w:r>
                  <w:r w:rsidRPr="00A56878">
                    <w:rPr>
                      <w:rFonts w:asciiTheme="minorHAnsi" w:hAnsiTheme="minorHAnsi"/>
                      <w:sz w:val="20"/>
                      <w:szCs w:val="20"/>
                      <w:lang w:val="en-AU"/>
                    </w:rPr>
                    <w:t>hourly</w:t>
                  </w:r>
                </w:p>
              </w:tc>
            </w:tr>
            <w:tr w:rsidRPr="007D7A90" w:rsidR="00107E60" w:rsidTr="00FE4186" w14:paraId="234DF657" w14:textId="77777777">
              <w:tc>
                <w:tcPr>
                  <w:tcW w:w="2725" w:type="dxa"/>
                </w:tcPr>
                <w:p w:rsidRPr="00A56878" w:rsidR="00107E60" w:rsidP="00FE4186" w:rsidRDefault="00107E60" w14:paraId="7BAA4BCC" w14:textId="77777777">
                  <w:pPr>
                    <w:pStyle w:val="EndNoteBibliography"/>
                    <w:rPr>
                      <w:rFonts w:asciiTheme="minorHAnsi" w:hAnsiTheme="minorHAnsi"/>
                      <w:b/>
                      <w:bCs/>
                      <w:sz w:val="20"/>
                      <w:szCs w:val="20"/>
                      <w:lang w:val="en-AU"/>
                    </w:rPr>
                  </w:pPr>
                  <w:r w:rsidRPr="00A56878">
                    <w:rPr>
                      <w:rFonts w:asciiTheme="minorHAnsi" w:hAnsiTheme="minorHAnsi"/>
                      <w:b/>
                      <w:bCs/>
                      <w:sz w:val="20"/>
                      <w:szCs w:val="20"/>
                      <w:lang w:val="en-AU"/>
                    </w:rPr>
                    <w:t>≥35 weeks</w:t>
                  </w:r>
                </w:p>
              </w:tc>
              <w:tc>
                <w:tcPr>
                  <w:tcW w:w="1559" w:type="dxa"/>
                </w:tcPr>
                <w:p w:rsidRPr="00A56878" w:rsidR="00107E60" w:rsidP="00FE4186" w:rsidRDefault="00107E60" w14:paraId="4F2AC360"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All</w:t>
                  </w:r>
                </w:p>
              </w:tc>
              <w:tc>
                <w:tcPr>
                  <w:tcW w:w="1417" w:type="dxa"/>
                </w:tcPr>
                <w:p w:rsidRPr="00A56878" w:rsidR="00107E60" w:rsidP="00FE4186" w:rsidRDefault="00107E60" w14:paraId="369613DD"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12 mg/kg</w:t>
                  </w:r>
                </w:p>
              </w:tc>
              <w:tc>
                <w:tcPr>
                  <w:tcW w:w="1843" w:type="dxa"/>
                </w:tcPr>
                <w:p w:rsidRPr="00A56878" w:rsidR="00107E60" w:rsidP="00FE4186" w:rsidRDefault="00107E60" w14:paraId="3684E4E5" w14:textId="77777777">
                  <w:pPr>
                    <w:pStyle w:val="EndNoteBibliography"/>
                    <w:rPr>
                      <w:rFonts w:asciiTheme="minorHAnsi" w:hAnsiTheme="minorHAnsi"/>
                      <w:sz w:val="20"/>
                      <w:szCs w:val="20"/>
                      <w:lang w:val="en-AU"/>
                    </w:rPr>
                  </w:pPr>
                  <w:r w:rsidRPr="00A56878">
                    <w:rPr>
                      <w:rFonts w:asciiTheme="minorHAnsi" w:hAnsiTheme="minorHAnsi"/>
                      <w:sz w:val="20"/>
                      <w:szCs w:val="20"/>
                      <w:lang w:val="en-AU"/>
                    </w:rPr>
                    <w:t>24</w:t>
                  </w:r>
                  <w:r>
                    <w:rPr>
                      <w:rFonts w:asciiTheme="minorHAnsi" w:hAnsiTheme="minorHAnsi"/>
                      <w:sz w:val="20"/>
                      <w:szCs w:val="20"/>
                      <w:lang w:val="en-AU"/>
                    </w:rPr>
                    <w:t>-</w:t>
                  </w:r>
                  <w:r w:rsidRPr="00A56878">
                    <w:rPr>
                      <w:rFonts w:asciiTheme="minorHAnsi" w:hAnsiTheme="minorHAnsi"/>
                      <w:sz w:val="20"/>
                      <w:szCs w:val="20"/>
                      <w:lang w:val="en-AU"/>
                    </w:rPr>
                    <w:t>hourly</w:t>
                  </w:r>
                </w:p>
              </w:tc>
            </w:tr>
          </w:tbl>
          <w:p w:rsidRPr="007D7A90" w:rsidR="00107E60" w:rsidP="00FE4186" w:rsidRDefault="00107E60" w14:paraId="00F03696" w14:textId="77777777">
            <w:pPr>
              <w:pStyle w:val="BodyText"/>
              <w:rPr>
                <w:rFonts w:asciiTheme="minorHAnsi" w:hAnsiTheme="minorHAnsi"/>
                <w:sz w:val="20"/>
              </w:rPr>
            </w:pPr>
          </w:p>
          <w:p w:rsidRPr="007D7A90" w:rsidR="00107E60" w:rsidP="00FE4186" w:rsidRDefault="00107E60" w14:paraId="1A6AB6D7" w14:textId="77777777">
            <w:pPr>
              <w:pStyle w:val="BodyText"/>
              <w:rPr>
                <w:rFonts w:asciiTheme="minorHAnsi" w:hAnsiTheme="minorHAnsi"/>
                <w:sz w:val="20"/>
              </w:rPr>
            </w:pPr>
            <w:r w:rsidRPr="007D7A90">
              <w:rPr>
                <w:rFonts w:asciiTheme="minorHAnsi" w:hAnsiTheme="minorHAnsi"/>
                <w:sz w:val="20"/>
              </w:rPr>
              <w:t xml:space="preserve">Infants with perinatal asphyxia and on therapeutic hypothermia: </w:t>
            </w:r>
            <w:r w:rsidRPr="007D7A90">
              <w:rPr>
                <w:rFonts w:asciiTheme="minorHAnsi" w:hAnsiTheme="minorHAnsi"/>
                <w:b/>
                <w:sz w:val="20"/>
              </w:rPr>
              <w:t>Increase dose interval by 12 hours</w:t>
            </w:r>
            <w:r w:rsidRPr="007D7A90">
              <w:rPr>
                <w:rFonts w:asciiTheme="minorHAnsi" w:hAnsiTheme="minorHAnsi"/>
                <w:sz w:val="20"/>
              </w:rPr>
              <w:t xml:space="preserve"> </w:t>
            </w:r>
            <w:r w:rsidRPr="007D7A90">
              <w:rPr>
                <w:rFonts w:asciiTheme="minorHAnsi" w:hAnsiTheme="minorHAnsi"/>
                <w:noProof/>
                <w:sz w:val="20"/>
              </w:rPr>
              <w:t>[1-3]</w:t>
            </w:r>
            <w:r w:rsidRPr="007D7A90">
              <w:rPr>
                <w:rFonts w:asciiTheme="minorHAnsi" w:hAnsiTheme="minorHAnsi"/>
                <w:sz w:val="20"/>
              </w:rPr>
              <w:t xml:space="preserve">. </w:t>
            </w:r>
          </w:p>
          <w:p w:rsidRPr="007D7A90" w:rsidR="00107E60" w:rsidP="00FE4186" w:rsidRDefault="00107E60" w14:paraId="0AF51F3D" w14:textId="77777777">
            <w:pPr>
              <w:pStyle w:val="BodyText"/>
              <w:rPr>
                <w:rFonts w:asciiTheme="minorHAnsi" w:hAnsiTheme="minorHAnsi"/>
                <w:sz w:val="20"/>
              </w:rPr>
            </w:pPr>
            <w:r w:rsidRPr="007D7A90">
              <w:rPr>
                <w:rFonts w:asciiTheme="minorHAnsi" w:hAnsiTheme="minorHAnsi"/>
                <w:sz w:val="20"/>
              </w:rPr>
              <w:t xml:space="preserve">Infants treated with cyclo-oxygenase inhibitors (indomethacin or ibuprofen): </w:t>
            </w:r>
            <w:r w:rsidRPr="007D7A90">
              <w:rPr>
                <w:rFonts w:asciiTheme="minorHAnsi" w:hAnsiTheme="minorHAnsi"/>
                <w:b/>
                <w:sz w:val="20"/>
              </w:rPr>
              <w:t>Increase dose interval by 12 hours</w:t>
            </w:r>
            <w:r w:rsidRPr="007D7A90">
              <w:rPr>
                <w:rFonts w:asciiTheme="minorHAnsi" w:hAnsiTheme="minorHAnsi"/>
                <w:sz w:val="20"/>
              </w:rPr>
              <w:t xml:space="preserve"> [1-3]</w:t>
            </w:r>
          </w:p>
        </w:tc>
      </w:tr>
      <w:tr w:rsidRPr="007D7A90" w:rsidR="00107E60" w:rsidTr="00FE4186" w14:paraId="5432BD0B" w14:textId="77777777">
        <w:trPr>
          <w:trHeight w:val="197"/>
        </w:trPr>
        <w:tc>
          <w:tcPr>
            <w:tcW w:w="987" w:type="pct"/>
          </w:tcPr>
          <w:p w:rsidRPr="007D7A90" w:rsidR="00107E60" w:rsidP="00FE4186" w:rsidRDefault="00107E60" w14:paraId="66ADDA69" w14:textId="77777777">
            <w:pPr>
              <w:pStyle w:val="BodyText"/>
              <w:rPr>
                <w:rFonts w:asciiTheme="minorHAnsi" w:hAnsiTheme="minorHAnsi"/>
                <w:b/>
                <w:sz w:val="20"/>
              </w:rPr>
            </w:pPr>
            <w:r w:rsidRPr="007D7A90">
              <w:rPr>
                <w:rFonts w:asciiTheme="minorHAnsi" w:hAnsiTheme="minorHAnsi"/>
                <w:b/>
                <w:sz w:val="20"/>
              </w:rPr>
              <w:t>Maximum daily dose</w:t>
            </w:r>
          </w:p>
        </w:tc>
        <w:tc>
          <w:tcPr>
            <w:tcW w:w="4013" w:type="pct"/>
          </w:tcPr>
          <w:p w:rsidRPr="007D7A90" w:rsidR="00107E60" w:rsidP="00FE4186" w:rsidRDefault="00107E60" w14:paraId="36A0DC5D" w14:textId="77777777">
            <w:pPr>
              <w:pStyle w:val="BodyText"/>
              <w:rPr>
                <w:rFonts w:asciiTheme="minorHAnsi" w:hAnsiTheme="minorHAnsi"/>
                <w:sz w:val="20"/>
              </w:rPr>
            </w:pPr>
          </w:p>
        </w:tc>
      </w:tr>
      <w:tr w:rsidRPr="007D7A90" w:rsidR="00107E60" w:rsidTr="00FE4186" w14:paraId="1FFB79DF" w14:textId="77777777">
        <w:trPr>
          <w:trHeight w:val="398"/>
        </w:trPr>
        <w:tc>
          <w:tcPr>
            <w:tcW w:w="987" w:type="pct"/>
          </w:tcPr>
          <w:p w:rsidRPr="007D7A90" w:rsidR="00107E60" w:rsidP="00FE4186" w:rsidRDefault="00107E60" w14:paraId="398B1FFF" w14:textId="77777777">
            <w:pPr>
              <w:pStyle w:val="BodyText"/>
              <w:rPr>
                <w:rFonts w:cs="Arial" w:asciiTheme="minorHAnsi" w:hAnsiTheme="minorHAnsi"/>
                <w:b/>
                <w:bCs/>
                <w:sz w:val="20"/>
              </w:rPr>
            </w:pPr>
            <w:r w:rsidRPr="007D7A90">
              <w:rPr>
                <w:rFonts w:cs="Arial" w:asciiTheme="minorHAnsi" w:hAnsiTheme="minorHAnsi"/>
                <w:b/>
                <w:bCs/>
                <w:sz w:val="20"/>
              </w:rPr>
              <w:t xml:space="preserve">Route                                </w:t>
            </w:r>
          </w:p>
          <w:p w:rsidRPr="007D7A90" w:rsidR="00107E60" w:rsidP="00FE4186" w:rsidRDefault="00107E60" w14:paraId="29573AAD" w14:textId="77777777">
            <w:pPr>
              <w:pStyle w:val="BodyText"/>
              <w:rPr>
                <w:rFonts w:cs="Arial" w:asciiTheme="minorHAnsi" w:hAnsiTheme="minorHAnsi"/>
                <w:sz w:val="20"/>
              </w:rPr>
            </w:pPr>
            <w:r w:rsidRPr="007D7A90">
              <w:rPr>
                <w:rFonts w:cs="Arial" w:asciiTheme="minorHAnsi" w:hAnsiTheme="minorHAnsi"/>
                <w:b/>
                <w:bCs/>
                <w:sz w:val="20"/>
              </w:rPr>
              <w:t xml:space="preserve">           </w:t>
            </w:r>
          </w:p>
        </w:tc>
        <w:tc>
          <w:tcPr>
            <w:tcW w:w="4013" w:type="pct"/>
          </w:tcPr>
          <w:p w:rsidRPr="007D7A90" w:rsidR="00107E60" w:rsidP="00FE4186" w:rsidRDefault="00107E60" w14:paraId="1272CBCD" w14:textId="77777777">
            <w:pPr>
              <w:pStyle w:val="BodyText"/>
              <w:rPr>
                <w:rFonts w:cs="Arial" w:asciiTheme="minorHAnsi" w:hAnsiTheme="minorHAnsi"/>
                <w:sz w:val="20"/>
              </w:rPr>
            </w:pPr>
            <w:r w:rsidRPr="007D7A90">
              <w:rPr>
                <w:rFonts w:cs="Arial" w:asciiTheme="minorHAnsi" w:hAnsiTheme="minorHAnsi"/>
                <w:sz w:val="20"/>
              </w:rPr>
              <w:t>Intravenous infusion</w:t>
            </w:r>
          </w:p>
          <w:p w:rsidRPr="007D7A90" w:rsidR="00107E60" w:rsidP="00FE4186" w:rsidRDefault="00107E60" w14:paraId="59013FDA" w14:textId="77777777">
            <w:pPr>
              <w:pStyle w:val="BodyText"/>
              <w:rPr>
                <w:rFonts w:cs="Arial" w:asciiTheme="minorHAnsi" w:hAnsiTheme="minorHAnsi"/>
                <w:sz w:val="20"/>
              </w:rPr>
            </w:pPr>
            <w:r w:rsidRPr="007D7A90">
              <w:rPr>
                <w:rFonts w:cs="Arial" w:asciiTheme="minorHAnsi" w:hAnsiTheme="minorHAnsi"/>
                <w:sz w:val="20"/>
              </w:rPr>
              <w:t>Intramuscular injection</w:t>
            </w:r>
          </w:p>
        </w:tc>
      </w:tr>
      <w:tr w:rsidRPr="007D7A90" w:rsidR="00107E60" w:rsidTr="00FE4186" w14:paraId="449640FD" w14:textId="77777777">
        <w:trPr>
          <w:trHeight w:val="227"/>
        </w:trPr>
        <w:tc>
          <w:tcPr>
            <w:tcW w:w="987" w:type="pct"/>
          </w:tcPr>
          <w:p w:rsidRPr="007D7A90" w:rsidR="00107E60" w:rsidP="00FE4186" w:rsidRDefault="00107E60" w14:paraId="0D7F142A" w14:textId="77777777">
            <w:pPr>
              <w:pStyle w:val="BodyText"/>
              <w:rPr>
                <w:rFonts w:cs="Arial" w:asciiTheme="minorHAnsi" w:hAnsiTheme="minorHAnsi"/>
                <w:b/>
                <w:bCs/>
                <w:sz w:val="20"/>
                <w:highlight w:val="cyan"/>
              </w:rPr>
            </w:pPr>
            <w:r w:rsidRPr="007D7A90">
              <w:rPr>
                <w:rFonts w:cs="Arial" w:asciiTheme="minorHAnsi" w:hAnsiTheme="minorHAnsi"/>
                <w:b/>
                <w:bCs/>
                <w:sz w:val="20"/>
              </w:rPr>
              <w:t xml:space="preserve">Preparation/Dilution </w:t>
            </w:r>
          </w:p>
        </w:tc>
        <w:tc>
          <w:tcPr>
            <w:tcW w:w="4013" w:type="pct"/>
          </w:tcPr>
          <w:p w:rsidRPr="007D7A90" w:rsidR="00107E60" w:rsidP="00FE4186" w:rsidRDefault="00107E60" w14:paraId="5F3552EB" w14:textId="77777777">
            <w:pPr>
              <w:pStyle w:val="BodyText"/>
              <w:rPr>
                <w:rFonts w:cs="Arial" w:asciiTheme="minorHAnsi" w:hAnsiTheme="minorHAnsi"/>
                <w:b/>
                <w:sz w:val="20"/>
              </w:rPr>
            </w:pPr>
            <w:r>
              <w:rPr>
                <w:rFonts w:cs="Arial" w:asciiTheme="minorHAnsi" w:hAnsiTheme="minorHAnsi"/>
                <w:b/>
                <w:sz w:val="20"/>
              </w:rPr>
              <w:t>IV t</w:t>
            </w:r>
            <w:r w:rsidRPr="007D7A90">
              <w:rPr>
                <w:rFonts w:cs="Arial" w:asciiTheme="minorHAnsi" w:hAnsiTheme="minorHAnsi"/>
                <w:b/>
                <w:sz w:val="20"/>
              </w:rPr>
              <w:t>wo-step dilution:</w:t>
            </w:r>
          </w:p>
          <w:p w:rsidRPr="007D7A90" w:rsidR="00107E60" w:rsidP="00FE4186" w:rsidRDefault="00107E60" w14:paraId="1BBADC09" w14:textId="77777777">
            <w:pPr>
              <w:pStyle w:val="BodyText"/>
              <w:rPr>
                <w:rFonts w:cs="Arial" w:asciiTheme="minorHAnsi" w:hAnsiTheme="minorHAnsi"/>
                <w:sz w:val="20"/>
              </w:rPr>
            </w:pPr>
            <w:r w:rsidRPr="007D7A90">
              <w:rPr>
                <w:rFonts w:cs="Arial" w:asciiTheme="minorHAnsi" w:hAnsiTheme="minorHAnsi"/>
                <w:sz w:val="20"/>
              </w:rPr>
              <w:t>Step 1: Add 1</w:t>
            </w:r>
            <w:r>
              <w:rPr>
                <w:rFonts w:cs="Arial" w:asciiTheme="minorHAnsi" w:hAnsiTheme="minorHAnsi"/>
                <w:sz w:val="20"/>
              </w:rPr>
              <w:t> </w:t>
            </w:r>
            <w:r w:rsidRPr="007D7A90">
              <w:rPr>
                <w:rFonts w:cs="Arial" w:asciiTheme="minorHAnsi" w:hAnsiTheme="minorHAnsi"/>
                <w:sz w:val="20"/>
              </w:rPr>
              <w:t xml:space="preserve">mL (250 mg) of </w:t>
            </w:r>
            <w:r>
              <w:rPr>
                <w:rFonts w:cs="Arial" w:asciiTheme="minorHAnsi" w:hAnsiTheme="minorHAnsi"/>
                <w:sz w:val="20"/>
              </w:rPr>
              <w:t>a</w:t>
            </w:r>
            <w:r w:rsidRPr="007D7A90">
              <w:rPr>
                <w:rFonts w:cs="Arial" w:asciiTheme="minorHAnsi" w:hAnsiTheme="minorHAnsi"/>
                <w:sz w:val="20"/>
              </w:rPr>
              <w:t>mikacin to 9</w:t>
            </w:r>
            <w:r>
              <w:rPr>
                <w:rFonts w:cs="Arial" w:asciiTheme="minorHAnsi" w:hAnsiTheme="minorHAnsi"/>
                <w:sz w:val="20"/>
              </w:rPr>
              <w:t> </w:t>
            </w:r>
            <w:r w:rsidRPr="007D7A90">
              <w:rPr>
                <w:rFonts w:cs="Arial" w:asciiTheme="minorHAnsi" w:hAnsiTheme="minorHAnsi"/>
                <w:sz w:val="20"/>
              </w:rPr>
              <w:t xml:space="preserve">mL of sodium chloride 0.9% to make a 25 mg/mL solution. </w:t>
            </w:r>
          </w:p>
          <w:p w:rsidR="00107E60" w:rsidP="00FE4186" w:rsidRDefault="00107E60" w14:paraId="6A9816DD" w14:textId="77777777">
            <w:pPr>
              <w:pStyle w:val="BodyText"/>
              <w:rPr>
                <w:rFonts w:cs="Arial" w:asciiTheme="minorHAnsi" w:hAnsiTheme="minorHAnsi"/>
                <w:sz w:val="20"/>
              </w:rPr>
            </w:pPr>
            <w:r w:rsidRPr="008F172A">
              <w:rPr>
                <w:rFonts w:cs="Arial" w:asciiTheme="minorHAnsi" w:hAnsiTheme="minorHAnsi"/>
                <w:sz w:val="20"/>
              </w:rPr>
              <w:t>Step 2: FURTHER DILUTE</w:t>
            </w:r>
          </w:p>
          <w:p w:rsidR="00107E60" w:rsidP="00FE4186" w:rsidRDefault="00107E60" w14:paraId="67B21511" w14:textId="77777777">
            <w:pPr>
              <w:pStyle w:val="BodyText"/>
              <w:rPr>
                <w:rFonts w:cs="Arial" w:asciiTheme="minorHAnsi" w:hAnsiTheme="minorHAnsi"/>
                <w:sz w:val="20"/>
              </w:rPr>
            </w:pPr>
            <w:r>
              <w:rPr>
                <w:rFonts w:cs="Arial" w:asciiTheme="minorHAnsi" w:hAnsiTheme="minorHAnsi"/>
                <w:sz w:val="20"/>
              </w:rPr>
              <w:t>Draw up 3 </w:t>
            </w:r>
            <w:r w:rsidRPr="008F172A">
              <w:rPr>
                <w:rFonts w:cs="Arial" w:asciiTheme="minorHAnsi" w:hAnsiTheme="minorHAnsi"/>
                <w:sz w:val="20"/>
              </w:rPr>
              <w:t>mL (</w:t>
            </w:r>
            <w:r>
              <w:rPr>
                <w:rFonts w:cs="Arial" w:asciiTheme="minorHAnsi" w:hAnsiTheme="minorHAnsi"/>
                <w:sz w:val="20"/>
              </w:rPr>
              <w:t>7</w:t>
            </w:r>
            <w:r w:rsidRPr="008F172A">
              <w:rPr>
                <w:rFonts w:cs="Arial" w:asciiTheme="minorHAnsi" w:hAnsiTheme="minorHAnsi"/>
                <w:sz w:val="20"/>
              </w:rPr>
              <w:t>5</w:t>
            </w:r>
            <w:r>
              <w:rPr>
                <w:rFonts w:cs="Arial" w:asciiTheme="minorHAnsi" w:hAnsiTheme="minorHAnsi"/>
                <w:sz w:val="20"/>
              </w:rPr>
              <w:t> </w:t>
            </w:r>
            <w:r w:rsidRPr="008F172A">
              <w:rPr>
                <w:rFonts w:cs="Arial" w:asciiTheme="minorHAnsi" w:hAnsiTheme="minorHAnsi"/>
                <w:sz w:val="20"/>
              </w:rPr>
              <w:t xml:space="preserve">mg) of this solution </w:t>
            </w:r>
            <w:r>
              <w:rPr>
                <w:rFonts w:cs="Arial" w:asciiTheme="minorHAnsi" w:hAnsiTheme="minorHAnsi"/>
                <w:sz w:val="20"/>
              </w:rPr>
              <w:t>and add</w:t>
            </w:r>
            <w:r w:rsidRPr="008F172A">
              <w:rPr>
                <w:rFonts w:cs="Arial" w:asciiTheme="minorHAnsi" w:hAnsiTheme="minorHAnsi"/>
                <w:sz w:val="20"/>
              </w:rPr>
              <w:t xml:space="preserve"> </w:t>
            </w:r>
            <w:r>
              <w:rPr>
                <w:rFonts w:cs="Arial" w:asciiTheme="minorHAnsi" w:hAnsiTheme="minorHAnsi"/>
                <w:sz w:val="20"/>
              </w:rPr>
              <w:t>12 </w:t>
            </w:r>
            <w:r w:rsidRPr="008F172A">
              <w:rPr>
                <w:rFonts w:cs="Arial" w:asciiTheme="minorHAnsi" w:hAnsiTheme="minorHAnsi"/>
                <w:sz w:val="20"/>
              </w:rPr>
              <w:t>m</w:t>
            </w:r>
            <w:r>
              <w:rPr>
                <w:rFonts w:cs="Arial" w:asciiTheme="minorHAnsi" w:hAnsiTheme="minorHAnsi"/>
                <w:sz w:val="20"/>
              </w:rPr>
              <w:t>L</w:t>
            </w:r>
            <w:r w:rsidRPr="008F172A">
              <w:rPr>
                <w:rFonts w:cs="Arial" w:asciiTheme="minorHAnsi" w:hAnsiTheme="minorHAnsi"/>
                <w:sz w:val="20"/>
              </w:rPr>
              <w:t xml:space="preserve"> of sodium chloride 0.9% </w:t>
            </w:r>
            <w:r>
              <w:rPr>
                <w:rFonts w:cs="Arial" w:asciiTheme="minorHAnsi" w:hAnsiTheme="minorHAnsi"/>
                <w:sz w:val="20"/>
              </w:rPr>
              <w:t xml:space="preserve">to make a final volume of 15mL with a final concentration of </w:t>
            </w:r>
            <w:r w:rsidRPr="008F172A">
              <w:rPr>
                <w:rFonts w:cs="Arial" w:asciiTheme="minorHAnsi" w:hAnsiTheme="minorHAnsi"/>
                <w:sz w:val="20"/>
              </w:rPr>
              <w:t>5 mg/mL.</w:t>
            </w:r>
          </w:p>
          <w:p w:rsidR="00107E60" w:rsidP="00FE4186" w:rsidRDefault="00107E60" w14:paraId="35DF25E3" w14:textId="77777777">
            <w:pPr>
              <w:pStyle w:val="BodyText"/>
              <w:rPr>
                <w:rFonts w:cs="Arial" w:asciiTheme="minorHAnsi" w:hAnsiTheme="minorHAnsi"/>
                <w:sz w:val="20"/>
              </w:rPr>
            </w:pPr>
          </w:p>
          <w:p w:rsidRPr="00421F77" w:rsidR="00107E60" w:rsidP="00FE4186" w:rsidRDefault="00107E60" w14:paraId="4CBD40D8" w14:textId="77777777">
            <w:pPr>
              <w:pStyle w:val="BodyText"/>
              <w:rPr>
                <w:rFonts w:cs="Arial" w:asciiTheme="minorHAnsi" w:hAnsiTheme="minorHAnsi"/>
                <w:b/>
                <w:bCs/>
                <w:sz w:val="20"/>
              </w:rPr>
            </w:pPr>
            <w:r w:rsidRPr="00421F77">
              <w:rPr>
                <w:rFonts w:cs="Arial" w:asciiTheme="minorHAnsi" w:hAnsiTheme="minorHAnsi"/>
                <w:b/>
                <w:bCs/>
                <w:sz w:val="20"/>
              </w:rPr>
              <w:t>IM:</w:t>
            </w:r>
          </w:p>
          <w:p w:rsidRPr="00F72AB5" w:rsidR="00107E60" w:rsidP="00FE4186" w:rsidRDefault="00107E60" w14:paraId="136D6DF9" w14:textId="77777777">
            <w:pPr>
              <w:pStyle w:val="BodyText"/>
              <w:rPr>
                <w:rFonts w:cs="Arial" w:asciiTheme="minorHAnsi" w:hAnsiTheme="minorHAnsi" w:eastAsiaTheme="minorHAnsi"/>
                <w:color w:val="000000"/>
                <w:sz w:val="20"/>
              </w:rPr>
            </w:pPr>
            <w:r>
              <w:rPr>
                <w:rFonts w:cs="Arial" w:asciiTheme="minorHAnsi" w:hAnsiTheme="minorHAnsi" w:eastAsiaTheme="minorHAnsi"/>
                <w:color w:val="000000"/>
                <w:sz w:val="20"/>
              </w:rPr>
              <w:t>&lt; 1.5 kg: Add 1 mL (250 mg) of amikacin to 9 mL of sodium chloride 0.9% to make a 25 mg/mL solution.</w:t>
            </w:r>
          </w:p>
          <w:p w:rsidRPr="008F172A" w:rsidR="00107E60" w:rsidP="00FE4186" w:rsidRDefault="00107E60" w14:paraId="68209237" w14:textId="77777777">
            <w:pPr>
              <w:pStyle w:val="BodyText"/>
              <w:rPr>
                <w:rFonts w:cs="Arial" w:asciiTheme="minorHAnsi" w:hAnsiTheme="minorHAnsi"/>
                <w:sz w:val="20"/>
              </w:rPr>
            </w:pPr>
            <w:bookmarkStart w:name="_Hlk64301709" w:id="71"/>
            <w:r w:rsidRPr="00421F77">
              <w:rPr>
                <w:rFonts w:asciiTheme="minorHAnsi" w:hAnsiTheme="minorHAnsi"/>
                <w:sz w:val="20"/>
              </w:rPr>
              <w:t>≥</w:t>
            </w:r>
            <w:bookmarkEnd w:id="71"/>
            <w:r>
              <w:rPr>
                <w:rFonts w:asciiTheme="minorHAnsi" w:hAnsiTheme="minorHAnsi"/>
                <w:sz w:val="20"/>
              </w:rPr>
              <w:t xml:space="preserve"> 1.5 kg: No dilution required.</w:t>
            </w:r>
            <w:r>
              <w:rPr>
                <w:rFonts w:asciiTheme="minorHAnsi" w:hAnsiTheme="minorHAnsi"/>
                <w:b/>
                <w:bCs/>
                <w:sz w:val="20"/>
              </w:rPr>
              <w:t xml:space="preserve"> </w:t>
            </w:r>
          </w:p>
        </w:tc>
      </w:tr>
      <w:tr w:rsidRPr="007D7A90" w:rsidR="00107E60" w:rsidTr="00FE4186" w14:paraId="12183580" w14:textId="77777777">
        <w:trPr>
          <w:trHeight w:val="558"/>
        </w:trPr>
        <w:tc>
          <w:tcPr>
            <w:tcW w:w="987" w:type="pct"/>
          </w:tcPr>
          <w:p w:rsidRPr="007D7A90" w:rsidR="00107E60" w:rsidP="00FE4186" w:rsidRDefault="00107E60" w14:paraId="53481129" w14:textId="77777777">
            <w:pPr>
              <w:pStyle w:val="BodyText"/>
              <w:rPr>
                <w:rFonts w:cs="Arial" w:asciiTheme="minorHAnsi" w:hAnsiTheme="minorHAnsi"/>
                <w:b/>
                <w:bCs/>
                <w:sz w:val="20"/>
              </w:rPr>
            </w:pPr>
            <w:r w:rsidRPr="007D7A90">
              <w:rPr>
                <w:rFonts w:cs="Arial" w:asciiTheme="minorHAnsi" w:hAnsiTheme="minorHAnsi"/>
                <w:b/>
                <w:bCs/>
                <w:sz w:val="20"/>
              </w:rPr>
              <w:t xml:space="preserve">Administration               </w:t>
            </w:r>
          </w:p>
          <w:p w:rsidRPr="007D7A90" w:rsidR="00107E60" w:rsidP="00FE4186" w:rsidRDefault="00107E60" w14:paraId="0EC73747" w14:textId="77777777">
            <w:pPr>
              <w:pStyle w:val="BodyText"/>
              <w:rPr>
                <w:rFonts w:cs="Arial" w:asciiTheme="minorHAnsi" w:hAnsiTheme="minorHAnsi"/>
                <w:sz w:val="20"/>
              </w:rPr>
            </w:pPr>
          </w:p>
        </w:tc>
        <w:tc>
          <w:tcPr>
            <w:tcW w:w="4013" w:type="pct"/>
            <w:vAlign w:val="center"/>
          </w:tcPr>
          <w:p w:rsidRPr="007D7A90" w:rsidR="00107E60" w:rsidP="00FE4186" w:rsidRDefault="00107E60" w14:paraId="0BA0490E" w14:textId="77777777">
            <w:pPr>
              <w:pStyle w:val="BodyText"/>
              <w:rPr>
                <w:rFonts w:cs="Arial" w:asciiTheme="minorHAnsi" w:hAnsiTheme="minorHAnsi" w:eastAsiaTheme="minorHAnsi"/>
                <w:color w:val="000000"/>
                <w:sz w:val="20"/>
              </w:rPr>
            </w:pPr>
            <w:r w:rsidRPr="007D7A90">
              <w:rPr>
                <w:rFonts w:cs="Arial" w:asciiTheme="minorHAnsi" w:hAnsiTheme="minorHAnsi" w:eastAsiaTheme="minorHAnsi"/>
                <w:color w:val="000000"/>
                <w:sz w:val="20"/>
              </w:rPr>
              <w:t>IV infusion over 60 minutes using the proximal IV port.</w:t>
            </w:r>
          </w:p>
          <w:p w:rsidRPr="008F172A" w:rsidR="00107E60" w:rsidP="00FE4186" w:rsidRDefault="00107E60" w14:paraId="1F1F62A6" w14:textId="77777777">
            <w:pPr>
              <w:pStyle w:val="BodyText"/>
              <w:rPr>
                <w:rFonts w:cs="Arial" w:asciiTheme="minorHAnsi" w:hAnsiTheme="minorHAnsi"/>
                <w:sz w:val="20"/>
              </w:rPr>
            </w:pPr>
            <w:r w:rsidRPr="007D7A90">
              <w:rPr>
                <w:rFonts w:cs="Arial" w:asciiTheme="minorHAnsi" w:hAnsiTheme="minorHAnsi" w:eastAsiaTheme="minorHAnsi"/>
                <w:color w:val="000000"/>
                <w:sz w:val="20"/>
              </w:rPr>
              <w:t xml:space="preserve">IM: </w:t>
            </w:r>
            <w:r>
              <w:rPr>
                <w:rFonts w:cs="Arial" w:asciiTheme="minorHAnsi" w:hAnsiTheme="minorHAnsi" w:eastAsiaTheme="minorHAnsi"/>
                <w:color w:val="000000"/>
                <w:sz w:val="20"/>
              </w:rPr>
              <w:t>M</w:t>
            </w:r>
            <w:r w:rsidRPr="008F172A">
              <w:rPr>
                <w:rFonts w:cs="Arial" w:asciiTheme="minorHAnsi" w:hAnsiTheme="minorHAnsi" w:eastAsiaTheme="minorHAnsi"/>
                <w:color w:val="000000"/>
                <w:sz w:val="20"/>
              </w:rPr>
              <w:t>ay be given if IV route not available.</w:t>
            </w:r>
            <w:r>
              <w:rPr>
                <w:rFonts w:cs="Arial" w:asciiTheme="minorHAnsi" w:hAnsiTheme="minorHAnsi" w:eastAsiaTheme="minorHAnsi"/>
                <w:color w:val="000000"/>
                <w:sz w:val="20"/>
              </w:rPr>
              <w:t xml:space="preserve"> </w:t>
            </w:r>
          </w:p>
        </w:tc>
      </w:tr>
      <w:tr w:rsidRPr="007D7A90" w:rsidR="00107E60" w:rsidTr="00FE4186" w14:paraId="43A350B0" w14:textId="77777777">
        <w:trPr>
          <w:trHeight w:val="221"/>
        </w:trPr>
        <w:tc>
          <w:tcPr>
            <w:tcW w:w="987" w:type="pct"/>
          </w:tcPr>
          <w:p w:rsidRPr="007D7A90" w:rsidR="00107E60" w:rsidP="00FE4186" w:rsidRDefault="00107E60" w14:paraId="45C93602" w14:textId="77777777">
            <w:pPr>
              <w:pStyle w:val="BodyText"/>
              <w:rPr>
                <w:rFonts w:cs="Arial" w:asciiTheme="minorHAnsi" w:hAnsiTheme="minorHAnsi"/>
                <w:b/>
                <w:bCs/>
                <w:sz w:val="20"/>
              </w:rPr>
            </w:pPr>
            <w:r w:rsidRPr="007D7A90">
              <w:rPr>
                <w:rFonts w:cs="Arial" w:asciiTheme="minorHAnsi" w:hAnsiTheme="minorHAnsi"/>
                <w:b/>
                <w:bCs/>
                <w:sz w:val="20"/>
              </w:rPr>
              <w:t xml:space="preserve">Monitoring                              </w:t>
            </w:r>
          </w:p>
          <w:p w:rsidRPr="007D7A90" w:rsidR="00107E60" w:rsidP="00FE4186" w:rsidRDefault="00107E60" w14:paraId="5329C1A4" w14:textId="77777777">
            <w:pPr>
              <w:pStyle w:val="BodyText"/>
              <w:rPr>
                <w:rFonts w:cs="Arial" w:asciiTheme="minorHAnsi" w:hAnsiTheme="minorHAnsi"/>
                <w:sz w:val="20"/>
              </w:rPr>
            </w:pPr>
          </w:p>
        </w:tc>
        <w:tc>
          <w:tcPr>
            <w:tcW w:w="4013" w:type="pct"/>
          </w:tcPr>
          <w:p w:rsidRPr="000E5E6F" w:rsidR="00107E60" w:rsidP="00FE4186" w:rsidRDefault="00107E60" w14:paraId="03F6A565" w14:textId="77777777">
            <w:pPr>
              <w:pStyle w:val="BodyText"/>
              <w:rPr>
                <w:rFonts w:cs="Arial" w:asciiTheme="minorHAnsi" w:hAnsiTheme="minorHAnsi"/>
                <w:sz w:val="20"/>
              </w:rPr>
            </w:pPr>
            <w:r w:rsidRPr="008F172A">
              <w:rPr>
                <w:rFonts w:asciiTheme="minorHAnsi" w:hAnsiTheme="minorHAnsi"/>
                <w:sz w:val="20"/>
              </w:rPr>
              <w:t>Routine therapeutic drug monitoring for ≤48 hours duration of therapy is not necessary unless renal function is impaired.</w:t>
            </w:r>
          </w:p>
          <w:p w:rsidRPr="000E5E6F" w:rsidR="00107E60" w:rsidP="00FE4186" w:rsidRDefault="00107E60" w14:paraId="2833CDFD" w14:textId="77777777">
            <w:pPr>
              <w:pStyle w:val="BodyText"/>
              <w:rPr>
                <w:rFonts w:cs="Arial" w:asciiTheme="minorHAnsi" w:hAnsiTheme="minorHAnsi"/>
                <w:sz w:val="20"/>
              </w:rPr>
            </w:pPr>
            <w:r w:rsidRPr="008F172A">
              <w:rPr>
                <w:rFonts w:cs="Arial" w:asciiTheme="minorHAnsi" w:hAnsiTheme="minorHAnsi"/>
                <w:sz w:val="20"/>
              </w:rPr>
              <w:t>For infants on continuing treatment, perform early trough and peak leve</w:t>
            </w:r>
            <w:r>
              <w:rPr>
                <w:rFonts w:cs="Arial" w:asciiTheme="minorHAnsi" w:hAnsiTheme="minorHAnsi"/>
                <w:sz w:val="20"/>
              </w:rPr>
              <w:t>ls</w:t>
            </w:r>
            <w:r w:rsidRPr="008F172A">
              <w:rPr>
                <w:rFonts w:cs="Arial" w:asciiTheme="minorHAnsi" w:hAnsiTheme="minorHAnsi"/>
                <w:sz w:val="20"/>
              </w:rPr>
              <w:t xml:space="preserve"> (prior to and 1 hour after the second amikacin dose). Target peak levels 24–35 mg/L and troughs &lt;5 mg/L </w:t>
            </w:r>
            <w:r w:rsidRPr="000E5E6F">
              <w:rPr>
                <w:rFonts w:cs="Arial" w:asciiTheme="minorHAnsi" w:hAnsiTheme="minorHAnsi"/>
                <w:noProof/>
                <w:sz w:val="20"/>
              </w:rPr>
              <w:t>[2]</w:t>
            </w:r>
            <w:r w:rsidRPr="000E5E6F">
              <w:rPr>
                <w:rFonts w:cs="Arial" w:asciiTheme="minorHAnsi" w:hAnsiTheme="minorHAnsi"/>
                <w:sz w:val="20"/>
              </w:rPr>
              <w:t xml:space="preserve">. </w:t>
            </w:r>
          </w:p>
          <w:p w:rsidRPr="007D7A90" w:rsidR="00107E60" w:rsidP="00FE4186" w:rsidRDefault="00107E60" w14:paraId="66722286" w14:textId="77777777">
            <w:pPr>
              <w:pStyle w:val="BodyText"/>
              <w:rPr>
                <w:rFonts w:cs="Arial" w:asciiTheme="minorHAnsi" w:hAnsiTheme="minorHAnsi"/>
                <w:sz w:val="20"/>
              </w:rPr>
            </w:pPr>
            <w:r w:rsidRPr="007D7A90">
              <w:rPr>
                <w:rFonts w:cs="Arial" w:asciiTheme="minorHAnsi" w:hAnsiTheme="minorHAnsi"/>
                <w:sz w:val="20"/>
              </w:rPr>
              <w:lastRenderedPageBreak/>
              <w:t>Assess renal function.</w:t>
            </w:r>
          </w:p>
        </w:tc>
      </w:tr>
      <w:tr w:rsidRPr="007D7A90" w:rsidR="00107E60" w:rsidTr="00FE4186" w14:paraId="244514B8" w14:textId="77777777">
        <w:trPr>
          <w:trHeight w:val="342"/>
        </w:trPr>
        <w:tc>
          <w:tcPr>
            <w:tcW w:w="987" w:type="pct"/>
          </w:tcPr>
          <w:p w:rsidRPr="007D7A90" w:rsidR="00107E60" w:rsidP="00FE4186" w:rsidRDefault="00107E60" w14:paraId="6B5B39E4" w14:textId="77777777">
            <w:pPr>
              <w:pStyle w:val="BodyText"/>
              <w:rPr>
                <w:rFonts w:cs="Arial" w:asciiTheme="minorHAnsi" w:hAnsiTheme="minorHAnsi"/>
                <w:b/>
                <w:bCs/>
                <w:sz w:val="20"/>
              </w:rPr>
            </w:pPr>
            <w:r w:rsidRPr="007D7A90">
              <w:rPr>
                <w:rFonts w:cs="Arial" w:asciiTheme="minorHAnsi" w:hAnsiTheme="minorHAnsi"/>
                <w:b/>
                <w:bCs/>
                <w:sz w:val="20"/>
              </w:rPr>
              <w:lastRenderedPageBreak/>
              <w:t xml:space="preserve">Contraindications                        </w:t>
            </w:r>
          </w:p>
          <w:p w:rsidRPr="007D7A90" w:rsidR="00107E60" w:rsidP="00FE4186" w:rsidRDefault="00107E60" w14:paraId="25C8C462" w14:textId="77777777">
            <w:pPr>
              <w:pStyle w:val="BodyText"/>
              <w:rPr>
                <w:rFonts w:cs="Arial" w:asciiTheme="minorHAnsi" w:hAnsiTheme="minorHAnsi"/>
                <w:sz w:val="20"/>
              </w:rPr>
            </w:pPr>
          </w:p>
        </w:tc>
        <w:tc>
          <w:tcPr>
            <w:tcW w:w="4013" w:type="pct"/>
          </w:tcPr>
          <w:p w:rsidRPr="007D7A90" w:rsidR="00107E60" w:rsidP="00FE4186" w:rsidRDefault="00107E60" w14:paraId="2222B474" w14:textId="77777777">
            <w:pPr>
              <w:pStyle w:val="BodyText"/>
              <w:rPr>
                <w:rFonts w:cs="Arial" w:asciiTheme="minorHAnsi" w:hAnsiTheme="minorHAnsi"/>
                <w:sz w:val="20"/>
              </w:rPr>
            </w:pPr>
            <w:r w:rsidRPr="007D7A90">
              <w:rPr>
                <w:rFonts w:cs="Arial" w:asciiTheme="minorHAnsi" w:hAnsiTheme="minorHAnsi"/>
                <w:sz w:val="20"/>
              </w:rPr>
              <w:t>Hypersensitivity to amikacin or other aminoglycosides.</w:t>
            </w:r>
          </w:p>
          <w:p w:rsidRPr="007D7A90" w:rsidR="00107E60" w:rsidP="00FE4186" w:rsidRDefault="00107E60" w14:paraId="2871793E" w14:textId="77777777">
            <w:pPr>
              <w:pStyle w:val="BodyText"/>
              <w:rPr>
                <w:rFonts w:cs="Arial" w:asciiTheme="minorHAnsi" w:hAnsiTheme="minorHAnsi"/>
                <w:sz w:val="20"/>
              </w:rPr>
            </w:pPr>
            <w:r w:rsidRPr="007D7A90">
              <w:rPr>
                <w:rFonts w:cs="Arial" w:asciiTheme="minorHAnsi" w:hAnsiTheme="minorHAnsi"/>
                <w:sz w:val="20"/>
              </w:rPr>
              <w:t>Myasthenia Gravis</w:t>
            </w:r>
            <w:r w:rsidRPr="007D7A90">
              <w:rPr>
                <w:rFonts w:cs="Arial" w:asciiTheme="minorHAnsi" w:hAnsiTheme="minorHAnsi"/>
                <w:sz w:val="20"/>
                <w:vertAlign w:val="superscript"/>
              </w:rPr>
              <w:t>13</w:t>
            </w:r>
          </w:p>
        </w:tc>
      </w:tr>
      <w:tr w:rsidRPr="007D7A90" w:rsidR="00107E60" w:rsidTr="00FE4186" w14:paraId="7A698930" w14:textId="77777777">
        <w:tc>
          <w:tcPr>
            <w:tcW w:w="987" w:type="pct"/>
          </w:tcPr>
          <w:p w:rsidRPr="007D7A90" w:rsidR="00107E60" w:rsidP="00FE4186" w:rsidRDefault="00107E60" w14:paraId="09389E7B" w14:textId="77777777">
            <w:pPr>
              <w:pStyle w:val="BodyText"/>
              <w:rPr>
                <w:rFonts w:cs="Arial" w:asciiTheme="minorHAnsi" w:hAnsiTheme="minorHAnsi"/>
                <w:b/>
                <w:bCs/>
                <w:sz w:val="20"/>
              </w:rPr>
            </w:pPr>
            <w:r w:rsidRPr="007D7A90">
              <w:rPr>
                <w:rFonts w:asciiTheme="minorHAnsi" w:hAnsiTheme="minorHAnsi"/>
                <w:sz w:val="20"/>
              </w:rPr>
              <w:br w:type="page"/>
            </w:r>
            <w:r w:rsidRPr="007D7A90">
              <w:rPr>
                <w:rFonts w:cs="Arial" w:asciiTheme="minorHAnsi" w:hAnsiTheme="minorHAnsi"/>
                <w:b/>
                <w:bCs/>
                <w:sz w:val="20"/>
              </w:rPr>
              <w:t>Precautions</w:t>
            </w:r>
          </w:p>
        </w:tc>
        <w:tc>
          <w:tcPr>
            <w:tcW w:w="4013" w:type="pct"/>
          </w:tcPr>
          <w:p w:rsidRPr="007D7A90" w:rsidR="00107E60" w:rsidP="00FE4186" w:rsidRDefault="00107E60" w14:paraId="5C247AAC" w14:textId="77777777">
            <w:pPr>
              <w:pStyle w:val="BodyText"/>
              <w:rPr>
                <w:rFonts w:asciiTheme="minorHAnsi" w:hAnsiTheme="minorHAnsi"/>
                <w:sz w:val="20"/>
              </w:rPr>
            </w:pPr>
            <w:r w:rsidRPr="007D7A90">
              <w:rPr>
                <w:rFonts w:asciiTheme="minorHAnsi" w:hAnsiTheme="minorHAnsi"/>
                <w:sz w:val="20"/>
              </w:rPr>
              <w:t>Treatment with amikacin for more than 14 days has not been established as being safe.</w:t>
            </w:r>
          </w:p>
          <w:p w:rsidRPr="007D7A90" w:rsidR="00107E60" w:rsidP="00FE4186" w:rsidRDefault="00107E60" w14:paraId="7E82F5D7" w14:textId="77777777">
            <w:pPr>
              <w:pStyle w:val="BodyText"/>
              <w:rPr>
                <w:rFonts w:cs="Arial" w:asciiTheme="minorHAnsi" w:hAnsiTheme="minorHAnsi"/>
                <w:sz w:val="20"/>
              </w:rPr>
            </w:pPr>
            <w:r w:rsidRPr="007D7A90">
              <w:rPr>
                <w:rFonts w:asciiTheme="minorHAnsi" w:hAnsiTheme="minorHAnsi"/>
                <w:sz w:val="20"/>
              </w:rPr>
              <w:t>CAUTION in patients with pre-existing renal impairment, auditory or vestibular impairment, hypocalcaemia, depressed neuromuscular transmission.</w:t>
            </w:r>
          </w:p>
          <w:p w:rsidRPr="000E5E6F" w:rsidR="00107E60" w:rsidP="00FE4186" w:rsidRDefault="00107E60" w14:paraId="011E45C0" w14:textId="77777777">
            <w:pPr>
              <w:pStyle w:val="BodyText"/>
              <w:rPr>
                <w:rFonts w:cs="Arial" w:asciiTheme="minorHAnsi" w:hAnsiTheme="minorHAnsi"/>
                <w:sz w:val="20"/>
              </w:rPr>
            </w:pPr>
            <w:r w:rsidRPr="008F172A">
              <w:rPr>
                <w:rFonts w:cs="Arial" w:asciiTheme="minorHAnsi" w:hAnsiTheme="minorHAnsi"/>
                <w:sz w:val="20"/>
              </w:rPr>
              <w:t>Gastrointestinal:</w:t>
            </w:r>
            <w:r w:rsidRPr="008F172A">
              <w:t xml:space="preserve"> </w:t>
            </w:r>
            <w:r w:rsidRPr="008F172A">
              <w:rPr>
                <w:rFonts w:asciiTheme="minorHAnsi" w:hAnsiTheme="minorHAnsi" w:cstheme="minorHAnsi"/>
                <w:sz w:val="20"/>
              </w:rPr>
              <w:t xml:space="preserve">Amikacin has been associated with </w:t>
            </w:r>
            <w:r w:rsidRPr="00A56878">
              <w:rPr>
                <w:rFonts w:asciiTheme="minorHAnsi" w:hAnsiTheme="minorHAnsi" w:cstheme="minorHAnsi"/>
                <w:i/>
                <w:sz w:val="20"/>
              </w:rPr>
              <w:t>Clostridium difficile</w:t>
            </w:r>
            <w:r w:rsidRPr="008F172A">
              <w:rPr>
                <w:rFonts w:asciiTheme="minorHAnsi" w:hAnsiTheme="minorHAnsi" w:cstheme="minorHAnsi"/>
                <w:sz w:val="20"/>
              </w:rPr>
              <w:t xml:space="preserve"> diarrhoea; </w:t>
            </w:r>
            <w:r w:rsidRPr="008F172A">
              <w:rPr>
                <w:rFonts w:cs="Arial" w:asciiTheme="minorHAnsi" w:hAnsiTheme="minorHAnsi"/>
                <w:sz w:val="20"/>
              </w:rPr>
              <w:t>discontinue use if suspected.</w:t>
            </w:r>
          </w:p>
          <w:p w:rsidRPr="008F172A" w:rsidR="00107E60" w:rsidP="00FE4186" w:rsidRDefault="00107E60" w14:paraId="016687FB" w14:textId="77777777">
            <w:pPr>
              <w:pStyle w:val="BodyText"/>
              <w:rPr>
                <w:rFonts w:cs="Arial" w:asciiTheme="minorHAnsi" w:hAnsiTheme="minorHAnsi"/>
                <w:sz w:val="20"/>
              </w:rPr>
            </w:pPr>
            <w:r w:rsidRPr="000E5E6F">
              <w:rPr>
                <w:rFonts w:cs="Arial" w:asciiTheme="minorHAnsi" w:hAnsiTheme="minorHAnsi"/>
                <w:sz w:val="20"/>
              </w:rPr>
              <w:t>Immunologi</w:t>
            </w:r>
            <w:r>
              <w:rPr>
                <w:rFonts w:cs="Arial" w:asciiTheme="minorHAnsi" w:hAnsiTheme="minorHAnsi"/>
                <w:sz w:val="20"/>
              </w:rPr>
              <w:t>cal</w:t>
            </w:r>
            <w:r w:rsidRPr="008F172A">
              <w:rPr>
                <w:rFonts w:cs="Arial" w:asciiTheme="minorHAnsi" w:hAnsiTheme="minorHAnsi"/>
                <w:sz w:val="20"/>
              </w:rPr>
              <w:t>: Allergic-type reactions, including anaphylaxis and life-threatening or less severe asthmatic reactions, may occur in patients with sulfite sensitivity as preparation contains sodium metabisulfite.</w:t>
            </w:r>
          </w:p>
          <w:p w:rsidRPr="008F172A" w:rsidR="00107E60" w:rsidP="00FE4186" w:rsidRDefault="00107E60" w14:paraId="557B689F" w14:textId="77777777">
            <w:pPr>
              <w:pStyle w:val="BodyText"/>
              <w:rPr>
                <w:rFonts w:cs="Arial" w:asciiTheme="minorHAnsi" w:hAnsiTheme="minorHAnsi"/>
                <w:sz w:val="20"/>
              </w:rPr>
            </w:pPr>
            <w:r w:rsidRPr="008F172A">
              <w:rPr>
                <w:rFonts w:cs="Arial" w:asciiTheme="minorHAnsi" w:hAnsiTheme="minorHAnsi"/>
                <w:sz w:val="20"/>
              </w:rPr>
              <w:t>Neurologi</w:t>
            </w:r>
            <w:r>
              <w:rPr>
                <w:rFonts w:cs="Arial" w:asciiTheme="minorHAnsi" w:hAnsiTheme="minorHAnsi"/>
                <w:sz w:val="20"/>
              </w:rPr>
              <w:t>cal</w:t>
            </w:r>
            <w:r w:rsidRPr="008F172A">
              <w:rPr>
                <w:rFonts w:cs="Arial" w:asciiTheme="minorHAnsi" w:hAnsiTheme="minorHAnsi"/>
                <w:sz w:val="20"/>
              </w:rPr>
              <w:t>: Use caution in patients with parkinsonism; muscle weakness may be aggravated.</w:t>
            </w:r>
          </w:p>
        </w:tc>
      </w:tr>
      <w:tr w:rsidRPr="007D7A90" w:rsidR="00107E60" w:rsidTr="00FE4186" w14:paraId="3292A939" w14:textId="77777777">
        <w:trPr>
          <w:trHeight w:val="276"/>
        </w:trPr>
        <w:tc>
          <w:tcPr>
            <w:tcW w:w="987" w:type="pct"/>
          </w:tcPr>
          <w:p w:rsidRPr="007D7A90" w:rsidR="00107E60" w:rsidP="00FE4186" w:rsidRDefault="00107E60" w14:paraId="3DC0FDD5" w14:textId="77777777">
            <w:pPr>
              <w:pStyle w:val="BodyText"/>
              <w:rPr>
                <w:rFonts w:cs="Arial" w:asciiTheme="minorHAnsi" w:hAnsiTheme="minorHAnsi"/>
                <w:b/>
                <w:bCs/>
                <w:sz w:val="20"/>
              </w:rPr>
            </w:pPr>
            <w:r w:rsidRPr="007D7A90">
              <w:rPr>
                <w:rFonts w:cs="Arial" w:asciiTheme="minorHAnsi" w:hAnsiTheme="minorHAnsi"/>
                <w:b/>
                <w:bCs/>
                <w:sz w:val="20"/>
              </w:rPr>
              <w:t>Drug Interactions</w:t>
            </w:r>
          </w:p>
        </w:tc>
        <w:tc>
          <w:tcPr>
            <w:tcW w:w="4013" w:type="pct"/>
          </w:tcPr>
          <w:p w:rsidRPr="007D7A90" w:rsidR="00107E60" w:rsidP="00FE4186" w:rsidRDefault="00107E60" w14:paraId="2FD6B6E9" w14:textId="77777777">
            <w:pPr>
              <w:pStyle w:val="BodyText"/>
              <w:rPr>
                <w:rFonts w:cs="Arial" w:asciiTheme="minorHAnsi" w:hAnsiTheme="minorHAnsi"/>
                <w:sz w:val="20"/>
              </w:rPr>
            </w:pPr>
            <w:r w:rsidRPr="007D7A90">
              <w:rPr>
                <w:rFonts w:cs="Arial" w:asciiTheme="minorHAnsi" w:hAnsiTheme="minorHAnsi"/>
                <w:sz w:val="20"/>
              </w:rPr>
              <w:t>Diuretics may cause ototoxicity or enhance aminoglycoside toxicity by altering antibiotic concentrations.</w:t>
            </w:r>
          </w:p>
          <w:p w:rsidRPr="000E5E6F" w:rsidR="00107E60" w:rsidP="00FE4186" w:rsidRDefault="00107E60" w14:paraId="5B33DD03" w14:textId="77777777">
            <w:pPr>
              <w:pStyle w:val="BodyText"/>
              <w:rPr>
                <w:rFonts w:cs="Arial" w:asciiTheme="minorHAnsi" w:hAnsiTheme="minorHAnsi"/>
                <w:sz w:val="20"/>
              </w:rPr>
            </w:pPr>
            <w:r w:rsidRPr="007D7A90">
              <w:rPr>
                <w:rFonts w:cs="Arial" w:asciiTheme="minorHAnsi" w:hAnsiTheme="minorHAnsi"/>
                <w:sz w:val="20"/>
              </w:rPr>
              <w:t xml:space="preserve">Neurotoxic and/or nephrotoxic agents: </w:t>
            </w:r>
            <w:r>
              <w:rPr>
                <w:rFonts w:cs="Arial" w:asciiTheme="minorHAnsi" w:hAnsiTheme="minorHAnsi"/>
                <w:sz w:val="20"/>
              </w:rPr>
              <w:t>A</w:t>
            </w:r>
            <w:r w:rsidRPr="008F172A">
              <w:rPr>
                <w:rFonts w:cs="Arial" w:asciiTheme="minorHAnsi" w:hAnsiTheme="minorHAnsi"/>
                <w:sz w:val="20"/>
              </w:rPr>
              <w:t>void concurrent or sequential use of other neurotoxic and/or nephrotoxic antibiotics, including other aminoglyc</w:t>
            </w:r>
            <w:r w:rsidRPr="000E5E6F">
              <w:rPr>
                <w:rFonts w:cs="Arial" w:asciiTheme="minorHAnsi" w:hAnsiTheme="minorHAnsi"/>
                <w:sz w:val="20"/>
              </w:rPr>
              <w:t>osides, polymyxin B, colistin, cisplatin, vancomycin, amphotericin B, clindamycin and cephalosporins.</w:t>
            </w:r>
          </w:p>
          <w:p w:rsidRPr="000E5E6F" w:rsidR="00107E60" w:rsidP="00FE4186" w:rsidRDefault="00107E60" w14:paraId="6FB2AA28" w14:textId="77777777">
            <w:pPr>
              <w:pStyle w:val="BodyText"/>
              <w:rPr>
                <w:rFonts w:cs="Arial" w:asciiTheme="minorHAnsi" w:hAnsiTheme="minorHAnsi"/>
                <w:sz w:val="20"/>
              </w:rPr>
            </w:pPr>
            <w:r w:rsidRPr="007D7A90">
              <w:rPr>
                <w:rFonts w:cs="Arial" w:asciiTheme="minorHAnsi" w:hAnsiTheme="minorHAnsi"/>
                <w:sz w:val="20"/>
              </w:rPr>
              <w:t>Anaesthetics/neuromuscular blocking agents or medications with neuromuscular blocking activity: succinylcholine, tubocurarine, decamethonium, halogenated hydrocarbon inhalation anaesthetics, opioid analgesics and massive transfusions with citrat</w:t>
            </w:r>
            <w:r>
              <w:rPr>
                <w:rFonts w:cs="Arial" w:asciiTheme="minorHAnsi" w:hAnsiTheme="minorHAnsi"/>
                <w:sz w:val="20"/>
              </w:rPr>
              <w:t>e</w:t>
            </w:r>
            <w:r w:rsidRPr="008F172A">
              <w:rPr>
                <w:rFonts w:cs="Arial" w:asciiTheme="minorHAnsi" w:hAnsiTheme="minorHAnsi"/>
                <w:sz w:val="20"/>
              </w:rPr>
              <w:t xml:space="preserve"> anticoagulated blood may increase neuromuscular blockade. Treatment with anticholinesterase agents or calcium salts may help to reverse the blockade.</w:t>
            </w:r>
          </w:p>
          <w:p w:rsidRPr="007D7A90" w:rsidR="00107E60" w:rsidP="00FE4186" w:rsidRDefault="00107E60" w14:paraId="3436BA37" w14:textId="77777777">
            <w:pPr>
              <w:pStyle w:val="BodyText"/>
              <w:rPr>
                <w:rFonts w:cs="Arial" w:asciiTheme="minorHAnsi" w:hAnsiTheme="minorHAnsi"/>
                <w:sz w:val="20"/>
              </w:rPr>
            </w:pPr>
            <w:r w:rsidRPr="000E5E6F">
              <w:rPr>
                <w:rFonts w:cs="Arial" w:asciiTheme="minorHAnsi" w:hAnsiTheme="minorHAnsi"/>
                <w:sz w:val="20"/>
              </w:rPr>
              <w:t>Penicillins: Aminoglycosides are inactivated by solutions containing penicillins. Ensure line is adequately flushed between antibiotics.</w:t>
            </w:r>
          </w:p>
        </w:tc>
      </w:tr>
      <w:tr w:rsidRPr="007D7A90" w:rsidR="00107E60" w:rsidTr="00FE4186" w14:paraId="0A9DB632" w14:textId="77777777">
        <w:trPr>
          <w:trHeight w:val="416"/>
        </w:trPr>
        <w:tc>
          <w:tcPr>
            <w:tcW w:w="987" w:type="pct"/>
          </w:tcPr>
          <w:p w:rsidRPr="000E5E6F" w:rsidR="00107E60" w:rsidP="00FE4186" w:rsidRDefault="00107E60" w14:paraId="3F72AFFF" w14:textId="77777777">
            <w:pPr>
              <w:pStyle w:val="BodyText"/>
              <w:rPr>
                <w:rFonts w:cs="Arial" w:asciiTheme="minorHAnsi" w:hAnsiTheme="minorHAnsi"/>
                <w:b/>
                <w:bCs/>
                <w:sz w:val="20"/>
              </w:rPr>
            </w:pPr>
            <w:r w:rsidRPr="000E5E6F">
              <w:rPr>
                <w:rFonts w:cs="Arial" w:asciiTheme="minorHAnsi" w:hAnsiTheme="minorHAnsi"/>
                <w:b/>
                <w:bCs/>
                <w:sz w:val="20"/>
              </w:rPr>
              <w:t xml:space="preserve">Adverse Reactions         </w:t>
            </w:r>
          </w:p>
          <w:p w:rsidRPr="007D7A90" w:rsidR="00107E60" w:rsidP="00FE4186" w:rsidRDefault="00107E60" w14:paraId="2DD69DA2" w14:textId="77777777">
            <w:pPr>
              <w:pStyle w:val="BodyText"/>
              <w:rPr>
                <w:rFonts w:cs="Arial" w:asciiTheme="minorHAnsi" w:hAnsiTheme="minorHAnsi"/>
                <w:b/>
                <w:bCs/>
                <w:sz w:val="20"/>
              </w:rPr>
            </w:pPr>
          </w:p>
        </w:tc>
        <w:tc>
          <w:tcPr>
            <w:tcW w:w="4013" w:type="pct"/>
          </w:tcPr>
          <w:p w:rsidRPr="007D7A90" w:rsidR="00107E60" w:rsidP="00FE4186" w:rsidRDefault="00107E60" w14:paraId="1D6A1B15" w14:textId="77777777">
            <w:pPr>
              <w:pStyle w:val="BodyText"/>
              <w:rPr>
                <w:rFonts w:cs="Arial" w:asciiTheme="minorHAnsi" w:hAnsiTheme="minorHAnsi"/>
                <w:sz w:val="20"/>
              </w:rPr>
            </w:pPr>
            <w:r w:rsidRPr="007D7A90">
              <w:rPr>
                <w:rFonts w:cs="Arial" w:asciiTheme="minorHAnsi" w:hAnsiTheme="minorHAnsi"/>
                <w:sz w:val="20"/>
              </w:rPr>
              <w:t>Serious reactions include neuromuscular blockade with subsequent respiratory paralysis, ototoxicity and nephrotoxicity (see evidence review).</w:t>
            </w:r>
          </w:p>
        </w:tc>
      </w:tr>
      <w:tr w:rsidRPr="007D7A90" w:rsidR="00107E60" w:rsidTr="00FE4186" w14:paraId="0B155FCB" w14:textId="77777777">
        <w:trPr>
          <w:trHeight w:val="396"/>
        </w:trPr>
        <w:tc>
          <w:tcPr>
            <w:tcW w:w="987" w:type="pct"/>
          </w:tcPr>
          <w:p w:rsidRPr="007D7A90" w:rsidR="00107E60" w:rsidP="00FE4186" w:rsidRDefault="00107E60" w14:paraId="5F634D2A" w14:textId="77777777">
            <w:pPr>
              <w:pStyle w:val="BodyText"/>
              <w:rPr>
                <w:rFonts w:cs="Arial" w:asciiTheme="minorHAnsi" w:hAnsiTheme="minorHAnsi"/>
                <w:b/>
                <w:bCs/>
                <w:sz w:val="20"/>
              </w:rPr>
            </w:pPr>
            <w:r w:rsidRPr="007D7A90">
              <w:rPr>
                <w:rFonts w:cs="Arial" w:asciiTheme="minorHAnsi" w:hAnsiTheme="minorHAnsi"/>
                <w:b/>
                <w:bCs/>
                <w:sz w:val="20"/>
              </w:rPr>
              <w:t>Compatibility</w:t>
            </w:r>
          </w:p>
          <w:p w:rsidRPr="007D7A90" w:rsidR="00107E60" w:rsidP="00FE4186" w:rsidRDefault="00107E60" w14:paraId="7F943C84" w14:textId="77777777">
            <w:pPr>
              <w:pStyle w:val="BodyText"/>
              <w:rPr>
                <w:rFonts w:cs="Arial" w:asciiTheme="minorHAnsi" w:hAnsiTheme="minorHAnsi"/>
                <w:b/>
                <w:bCs/>
                <w:sz w:val="20"/>
              </w:rPr>
            </w:pPr>
          </w:p>
        </w:tc>
        <w:tc>
          <w:tcPr>
            <w:tcW w:w="4013" w:type="pct"/>
          </w:tcPr>
          <w:p w:rsidRPr="000E5E6F" w:rsidR="00107E60" w:rsidP="00FE4186" w:rsidRDefault="00107E60" w14:paraId="74E2823F" w14:textId="77777777">
            <w:pPr>
              <w:pStyle w:val="BodyText"/>
              <w:rPr>
                <w:rFonts w:asciiTheme="minorHAnsi" w:hAnsiTheme="minorHAnsi"/>
                <w:sz w:val="20"/>
              </w:rPr>
            </w:pPr>
            <w:r w:rsidRPr="008F172A">
              <w:rPr>
                <w:rFonts w:asciiTheme="minorHAnsi" w:hAnsiTheme="minorHAnsi"/>
                <w:sz w:val="20"/>
              </w:rPr>
              <w:t xml:space="preserve">Fluids: Glucose 5%, </w:t>
            </w:r>
            <w:r>
              <w:rPr>
                <w:rFonts w:asciiTheme="minorHAnsi" w:hAnsiTheme="minorHAnsi"/>
                <w:sz w:val="20"/>
              </w:rPr>
              <w:t>g</w:t>
            </w:r>
            <w:r w:rsidRPr="008F172A">
              <w:rPr>
                <w:rFonts w:asciiTheme="minorHAnsi" w:hAnsiTheme="minorHAnsi"/>
                <w:sz w:val="20"/>
              </w:rPr>
              <w:t xml:space="preserve">lucose 10%, </w:t>
            </w:r>
            <w:r>
              <w:rPr>
                <w:rFonts w:asciiTheme="minorHAnsi" w:hAnsiTheme="minorHAnsi"/>
                <w:sz w:val="20"/>
              </w:rPr>
              <w:t>g</w:t>
            </w:r>
            <w:r w:rsidRPr="008F172A">
              <w:rPr>
                <w:rFonts w:asciiTheme="minorHAnsi" w:hAnsiTheme="minorHAnsi"/>
                <w:sz w:val="20"/>
              </w:rPr>
              <w:t>lucose 20%, sodium chloride 0.9%, amino acid solutions.</w:t>
            </w:r>
          </w:p>
          <w:p w:rsidRPr="000E5E6F" w:rsidR="00107E60" w:rsidP="00FE4186" w:rsidRDefault="00107E60" w14:paraId="30AB931D" w14:textId="77777777">
            <w:pPr>
              <w:pStyle w:val="BodyText"/>
              <w:rPr>
                <w:rFonts w:asciiTheme="minorHAnsi" w:hAnsiTheme="minorHAnsi"/>
                <w:sz w:val="20"/>
              </w:rPr>
            </w:pPr>
          </w:p>
          <w:p w:rsidRPr="008F172A" w:rsidR="00107E60" w:rsidP="00FE4186" w:rsidRDefault="00107E60" w14:paraId="41378C7D" w14:textId="77777777">
            <w:pPr>
              <w:pStyle w:val="BodyText"/>
              <w:rPr>
                <w:rFonts w:asciiTheme="minorHAnsi" w:hAnsiTheme="minorHAnsi"/>
                <w:sz w:val="20"/>
              </w:rPr>
            </w:pPr>
            <w:r>
              <w:rPr>
                <w:rFonts w:asciiTheme="minorHAnsi" w:hAnsiTheme="minorHAnsi"/>
                <w:sz w:val="20"/>
              </w:rPr>
              <w:t>A</w:t>
            </w:r>
            <w:r w:rsidRPr="008F172A">
              <w:rPr>
                <w:rFonts w:asciiTheme="minorHAnsi" w:hAnsiTheme="minorHAnsi"/>
                <w:sz w:val="20"/>
              </w:rPr>
              <w:t xml:space="preserve">ciclovir, amiodarone, atenolol, atracurium, atropine, aztreonam, buprenorphine, calcium chloride/gluconate, caspofungin, cefazolin, cefotaxime, cefoxitin, ceftazidime, ceftriaxone, chloramphenicol, cimetidine, clindamycin, dexamethasone, dexmedetomidine, digoxin, dobutamine, </w:t>
            </w:r>
            <w:r>
              <w:rPr>
                <w:rFonts w:asciiTheme="minorHAnsi" w:hAnsiTheme="minorHAnsi"/>
                <w:sz w:val="20"/>
              </w:rPr>
              <w:t>adrenaline (</w:t>
            </w:r>
            <w:r w:rsidRPr="008F172A">
              <w:rPr>
                <w:rFonts w:asciiTheme="minorHAnsi" w:hAnsiTheme="minorHAnsi"/>
                <w:sz w:val="20"/>
              </w:rPr>
              <w:t>epinephrine</w:t>
            </w:r>
            <w:r>
              <w:rPr>
                <w:rFonts w:asciiTheme="minorHAnsi" w:hAnsiTheme="minorHAnsi"/>
                <w:sz w:val="20"/>
              </w:rPr>
              <w:t>)</w:t>
            </w:r>
            <w:r w:rsidRPr="008F172A">
              <w:rPr>
                <w:rFonts w:asciiTheme="minorHAnsi" w:hAnsiTheme="minorHAnsi"/>
                <w:sz w:val="20"/>
              </w:rPr>
              <w:t>, epoetin alfa, erythromycin, esmolol, fentanyl, filgrastim, fluconazole, foscarnet, furosemide</w:t>
            </w:r>
            <w:r>
              <w:rPr>
                <w:rFonts w:asciiTheme="minorHAnsi" w:hAnsiTheme="minorHAnsi"/>
                <w:sz w:val="20"/>
              </w:rPr>
              <w:t xml:space="preserve"> (frusemide)</w:t>
            </w:r>
            <w:r w:rsidRPr="008F172A">
              <w:rPr>
                <w:rFonts w:asciiTheme="minorHAnsi" w:hAnsiTheme="minorHAnsi"/>
                <w:sz w:val="20"/>
              </w:rPr>
              <w:t xml:space="preserve">, gentamicin, </w:t>
            </w:r>
            <w:r>
              <w:rPr>
                <w:rFonts w:asciiTheme="minorHAnsi" w:hAnsiTheme="minorHAnsi"/>
                <w:sz w:val="20"/>
              </w:rPr>
              <w:t>isoprenaline</w:t>
            </w:r>
            <w:r w:rsidRPr="008F172A">
              <w:rPr>
                <w:rFonts w:asciiTheme="minorHAnsi" w:hAnsiTheme="minorHAnsi"/>
                <w:sz w:val="20"/>
              </w:rPr>
              <w:t>, ketamine, labetalol, lidocaine</w:t>
            </w:r>
            <w:r>
              <w:rPr>
                <w:rFonts w:asciiTheme="minorHAnsi" w:hAnsiTheme="minorHAnsi"/>
                <w:sz w:val="20"/>
              </w:rPr>
              <w:t xml:space="preserve"> (lignocaine)</w:t>
            </w:r>
            <w:r w:rsidRPr="008F172A">
              <w:rPr>
                <w:rFonts w:asciiTheme="minorHAnsi" w:hAnsiTheme="minorHAnsi"/>
                <w:sz w:val="20"/>
              </w:rPr>
              <w:t xml:space="preserve">, linezolid, magnesium sulfate, methadone, methylprednisolone, midazolam, milrinone, morphine, </w:t>
            </w:r>
            <w:r>
              <w:rPr>
                <w:rFonts w:asciiTheme="minorHAnsi" w:hAnsiTheme="minorHAnsi"/>
                <w:sz w:val="20"/>
              </w:rPr>
              <w:t>glyceryl trinitrate</w:t>
            </w:r>
            <w:r w:rsidRPr="008F172A">
              <w:rPr>
                <w:rFonts w:asciiTheme="minorHAnsi" w:hAnsiTheme="minorHAnsi"/>
                <w:sz w:val="20"/>
              </w:rPr>
              <w:t xml:space="preserve">, </w:t>
            </w:r>
            <w:r>
              <w:rPr>
                <w:rFonts w:asciiTheme="minorHAnsi" w:hAnsiTheme="minorHAnsi"/>
                <w:sz w:val="20"/>
              </w:rPr>
              <w:t>noradrenaline (</w:t>
            </w:r>
            <w:r w:rsidRPr="008F172A">
              <w:rPr>
                <w:rFonts w:asciiTheme="minorHAnsi" w:hAnsiTheme="minorHAnsi"/>
                <w:sz w:val="20"/>
              </w:rPr>
              <w:t>norepinephrine</w:t>
            </w:r>
            <w:r>
              <w:rPr>
                <w:rFonts w:asciiTheme="minorHAnsi" w:hAnsiTheme="minorHAnsi"/>
                <w:sz w:val="20"/>
              </w:rPr>
              <w:t>)</w:t>
            </w:r>
            <w:r w:rsidRPr="008F172A">
              <w:rPr>
                <w:rFonts w:asciiTheme="minorHAnsi" w:hAnsiTheme="minorHAnsi"/>
                <w:sz w:val="20"/>
              </w:rPr>
              <w:t>, octreotide, ondansetron, pancuronium, pethidine, phenobarbital</w:t>
            </w:r>
            <w:r>
              <w:rPr>
                <w:rFonts w:asciiTheme="minorHAnsi" w:hAnsiTheme="minorHAnsi"/>
                <w:sz w:val="20"/>
              </w:rPr>
              <w:t xml:space="preserve"> (phenobarbitone)</w:t>
            </w:r>
            <w:r w:rsidRPr="008F172A">
              <w:rPr>
                <w:rFonts w:asciiTheme="minorHAnsi" w:hAnsiTheme="minorHAnsi"/>
                <w:sz w:val="20"/>
              </w:rPr>
              <w:t xml:space="preserve">, </w:t>
            </w:r>
            <w:r w:rsidRPr="008F172A">
              <w:rPr>
                <w:rFonts w:cs="Arial" w:asciiTheme="minorHAnsi" w:hAnsiTheme="minorHAnsi"/>
                <w:sz w:val="20"/>
              </w:rPr>
              <w:t>piperacillin, piperacillin-tazobactam, potassium chloride, procainamide, propranolol, protamine, pyridoxine, ranitidine, remifentanil, rocuronium, sodium acetate, sodium bicarbonate, succinylcholine, vancomycin, vasopressin, vecuronium, warfarin, zidovudine</w:t>
            </w:r>
          </w:p>
        </w:tc>
      </w:tr>
      <w:tr w:rsidRPr="007D7A90" w:rsidR="00107E60" w:rsidTr="00FE4186" w14:paraId="7D4C3381" w14:textId="77777777">
        <w:trPr>
          <w:trHeight w:val="388"/>
        </w:trPr>
        <w:tc>
          <w:tcPr>
            <w:tcW w:w="987" w:type="pct"/>
          </w:tcPr>
          <w:p w:rsidRPr="007D7A90" w:rsidR="00107E60" w:rsidP="00FE4186" w:rsidRDefault="00107E60" w14:paraId="4E08B40E" w14:textId="77777777">
            <w:pPr>
              <w:pStyle w:val="BodyText"/>
              <w:rPr>
                <w:rFonts w:cs="Arial" w:asciiTheme="minorHAnsi" w:hAnsiTheme="minorHAnsi"/>
                <w:b/>
                <w:bCs/>
                <w:sz w:val="20"/>
              </w:rPr>
            </w:pPr>
            <w:r w:rsidRPr="007D7A90">
              <w:rPr>
                <w:rFonts w:cs="Arial" w:asciiTheme="minorHAnsi" w:hAnsiTheme="minorHAnsi"/>
                <w:b/>
                <w:bCs/>
                <w:sz w:val="20"/>
              </w:rPr>
              <w:t xml:space="preserve">Incompatibility      </w:t>
            </w:r>
          </w:p>
          <w:p w:rsidRPr="007D7A90" w:rsidR="00107E60" w:rsidP="00FE4186" w:rsidRDefault="00107E60" w14:paraId="3EF0579A" w14:textId="77777777">
            <w:pPr>
              <w:pStyle w:val="BodyText"/>
              <w:rPr>
                <w:rFonts w:cs="Arial" w:asciiTheme="minorHAnsi" w:hAnsiTheme="minorHAnsi"/>
                <w:b/>
                <w:bCs/>
                <w:sz w:val="20"/>
              </w:rPr>
            </w:pPr>
            <w:r w:rsidRPr="007D7A90">
              <w:rPr>
                <w:rFonts w:cs="Arial" w:asciiTheme="minorHAnsi" w:hAnsiTheme="minorHAnsi"/>
                <w:b/>
                <w:bCs/>
                <w:sz w:val="20"/>
              </w:rPr>
              <w:t xml:space="preserve">               </w:t>
            </w:r>
            <w:r w:rsidRPr="007D7A90">
              <w:rPr>
                <w:rFonts w:cs="Arial" w:asciiTheme="minorHAnsi" w:hAnsiTheme="minorHAnsi"/>
                <w:b/>
                <w:bCs/>
                <w:sz w:val="20"/>
              </w:rPr>
              <w:tab/>
            </w:r>
          </w:p>
        </w:tc>
        <w:tc>
          <w:tcPr>
            <w:tcW w:w="4013" w:type="pct"/>
          </w:tcPr>
          <w:p w:rsidRPr="007D7A90" w:rsidR="00107E60" w:rsidP="00FE4186" w:rsidRDefault="00107E60" w14:paraId="255D729C" w14:textId="77777777">
            <w:pPr>
              <w:pStyle w:val="BodyText"/>
              <w:rPr>
                <w:rFonts w:cs="Arial" w:asciiTheme="minorHAnsi" w:hAnsiTheme="minorHAnsi"/>
                <w:sz w:val="20"/>
              </w:rPr>
            </w:pPr>
            <w:r w:rsidRPr="007D7A90">
              <w:rPr>
                <w:rFonts w:cs="Arial" w:asciiTheme="minorHAnsi" w:hAnsiTheme="minorHAnsi"/>
                <w:sz w:val="20"/>
              </w:rPr>
              <w:t>Fluids: No information</w:t>
            </w:r>
          </w:p>
          <w:p w:rsidRPr="007D7A90" w:rsidR="00107E60" w:rsidP="00FE4186" w:rsidRDefault="00107E60" w14:paraId="0D027EFA" w14:textId="77777777">
            <w:pPr>
              <w:pStyle w:val="BodyText"/>
              <w:rPr>
                <w:rFonts w:cs="Arial" w:asciiTheme="minorHAnsi" w:hAnsiTheme="minorHAnsi"/>
                <w:sz w:val="20"/>
              </w:rPr>
            </w:pPr>
          </w:p>
          <w:p w:rsidRPr="000E5E6F" w:rsidR="00107E60" w:rsidP="00FE4186" w:rsidRDefault="00107E60" w14:paraId="33CDE80E" w14:textId="77777777">
            <w:pPr>
              <w:pStyle w:val="BodyText"/>
              <w:rPr>
                <w:rFonts w:cs="Arial" w:asciiTheme="minorHAnsi" w:hAnsiTheme="minorHAnsi"/>
                <w:sz w:val="20"/>
              </w:rPr>
            </w:pPr>
            <w:r>
              <w:rPr>
                <w:rFonts w:cs="Arial" w:asciiTheme="minorHAnsi" w:hAnsiTheme="minorHAnsi"/>
                <w:sz w:val="20"/>
              </w:rPr>
              <w:t>P</w:t>
            </w:r>
            <w:r w:rsidRPr="008F172A">
              <w:rPr>
                <w:rFonts w:cs="Arial" w:asciiTheme="minorHAnsi" w:hAnsiTheme="minorHAnsi"/>
                <w:sz w:val="20"/>
              </w:rPr>
              <w:t>enicillins and cephalosporins, amphotericin, azathioprine, azithromycin, diazepam, diazoxide, folic acid, ganciclovir, heparin, hydralazine, ibuprofen, indomethacin, insulin, pentamidine</w:t>
            </w:r>
            <w:r w:rsidRPr="000E5E6F">
              <w:rPr>
                <w:rFonts w:cs="Arial" w:asciiTheme="minorHAnsi" w:hAnsiTheme="minorHAnsi"/>
                <w:sz w:val="20"/>
              </w:rPr>
              <w:t>, pentobarbital</w:t>
            </w:r>
            <w:r>
              <w:rPr>
                <w:rFonts w:cs="Arial" w:asciiTheme="minorHAnsi" w:hAnsiTheme="minorHAnsi"/>
                <w:sz w:val="20"/>
              </w:rPr>
              <w:t xml:space="preserve"> (pentobarbitone)</w:t>
            </w:r>
            <w:r w:rsidRPr="000E5E6F">
              <w:rPr>
                <w:rFonts w:cs="Arial" w:asciiTheme="minorHAnsi" w:hAnsiTheme="minorHAnsi"/>
                <w:sz w:val="20"/>
              </w:rPr>
              <w:t>, phenytoin, potassium chloride, propofol, sulfamethoxazole-trimethoprim, teicoplanin</w:t>
            </w:r>
          </w:p>
        </w:tc>
      </w:tr>
      <w:tr w:rsidRPr="007D7A90" w:rsidR="00107E60" w:rsidTr="00FE4186" w14:paraId="017BC57F" w14:textId="77777777">
        <w:trPr>
          <w:trHeight w:val="418"/>
        </w:trPr>
        <w:tc>
          <w:tcPr>
            <w:tcW w:w="987" w:type="pct"/>
          </w:tcPr>
          <w:p w:rsidRPr="007D7A90" w:rsidR="00107E60" w:rsidP="00FE4186" w:rsidRDefault="00107E60" w14:paraId="6F60D492" w14:textId="77777777">
            <w:pPr>
              <w:pStyle w:val="BodyText"/>
              <w:rPr>
                <w:rFonts w:cs="Arial" w:asciiTheme="minorHAnsi" w:hAnsiTheme="minorHAnsi"/>
                <w:b/>
                <w:bCs/>
                <w:sz w:val="20"/>
              </w:rPr>
            </w:pPr>
            <w:r w:rsidRPr="007D7A90">
              <w:rPr>
                <w:rFonts w:cs="Arial" w:asciiTheme="minorHAnsi" w:hAnsiTheme="minorHAnsi"/>
                <w:b/>
                <w:bCs/>
                <w:sz w:val="20"/>
              </w:rPr>
              <w:t xml:space="preserve">Stability                  </w:t>
            </w:r>
          </w:p>
        </w:tc>
        <w:tc>
          <w:tcPr>
            <w:tcW w:w="4013" w:type="pct"/>
          </w:tcPr>
          <w:p w:rsidRPr="007D7A90" w:rsidR="00107E60" w:rsidP="00FE4186" w:rsidRDefault="00107E60" w14:paraId="70C7D6DA" w14:textId="77777777">
            <w:pPr>
              <w:rPr>
                <w:rFonts w:cs="Arial" w:asciiTheme="minorHAnsi" w:hAnsiTheme="minorHAnsi"/>
                <w:sz w:val="20"/>
              </w:rPr>
            </w:pPr>
            <w:r w:rsidRPr="007D7A90">
              <w:rPr>
                <w:rFonts w:asciiTheme="minorHAnsi" w:hAnsiTheme="minorHAnsi"/>
                <w:sz w:val="20"/>
              </w:rPr>
              <w:t>Administer immediately, discard unused portion.</w:t>
            </w:r>
          </w:p>
          <w:p w:rsidRPr="000E5E6F" w:rsidR="00107E60" w:rsidP="00FE4186" w:rsidRDefault="00107E60" w14:paraId="3D8A661A" w14:textId="77777777">
            <w:pPr>
              <w:rPr>
                <w:rFonts w:cs="Arial" w:asciiTheme="minorHAnsi" w:hAnsiTheme="minorHAnsi"/>
                <w:sz w:val="20"/>
              </w:rPr>
            </w:pPr>
            <w:r w:rsidRPr="007D7A90">
              <w:rPr>
                <w:rFonts w:cs="Arial" w:asciiTheme="minorHAnsi" w:hAnsiTheme="minorHAnsi"/>
                <w:sz w:val="20"/>
              </w:rPr>
              <w:t>The diluted solution is stable for 24</w:t>
            </w:r>
            <w:r>
              <w:rPr>
                <w:rFonts w:cs="Arial" w:asciiTheme="minorHAnsi" w:hAnsiTheme="minorHAnsi"/>
                <w:sz w:val="20"/>
              </w:rPr>
              <w:t>-</w:t>
            </w:r>
            <w:r w:rsidRPr="000E5E6F">
              <w:rPr>
                <w:rFonts w:cs="Arial" w:asciiTheme="minorHAnsi" w:hAnsiTheme="minorHAnsi"/>
                <w:sz w:val="20"/>
              </w:rPr>
              <w:t xml:space="preserve">hours at room temperature.  </w:t>
            </w:r>
          </w:p>
        </w:tc>
      </w:tr>
      <w:tr w:rsidRPr="007D7A90" w:rsidR="00107E60" w:rsidTr="00FE4186" w14:paraId="5E23BC6F" w14:textId="77777777">
        <w:trPr>
          <w:trHeight w:val="197"/>
        </w:trPr>
        <w:tc>
          <w:tcPr>
            <w:tcW w:w="987" w:type="pct"/>
          </w:tcPr>
          <w:p w:rsidRPr="007D7A90" w:rsidR="00107E60" w:rsidP="00FE4186" w:rsidRDefault="00107E60" w14:paraId="045448A5" w14:textId="77777777">
            <w:pPr>
              <w:pStyle w:val="BodyText"/>
              <w:rPr>
                <w:rFonts w:cs="Arial" w:asciiTheme="minorHAnsi" w:hAnsiTheme="minorHAnsi"/>
                <w:b/>
                <w:bCs/>
                <w:sz w:val="20"/>
              </w:rPr>
            </w:pPr>
            <w:r w:rsidRPr="007D7A90">
              <w:rPr>
                <w:rFonts w:cs="Arial" w:asciiTheme="minorHAnsi" w:hAnsiTheme="minorHAnsi"/>
                <w:b/>
                <w:bCs/>
                <w:sz w:val="20"/>
              </w:rPr>
              <w:t xml:space="preserve">Storage             </w:t>
            </w:r>
          </w:p>
        </w:tc>
        <w:tc>
          <w:tcPr>
            <w:tcW w:w="4013" w:type="pct"/>
          </w:tcPr>
          <w:p w:rsidRPr="007D7A90" w:rsidR="00107E60" w:rsidP="00FE4186" w:rsidRDefault="00107E60" w14:paraId="30739B90" w14:textId="77777777">
            <w:pPr>
              <w:pStyle w:val="BodyText"/>
              <w:rPr>
                <w:rFonts w:cs="Arial" w:asciiTheme="minorHAnsi" w:hAnsiTheme="minorHAnsi"/>
                <w:sz w:val="20"/>
              </w:rPr>
            </w:pPr>
            <w:r w:rsidRPr="007D7A90">
              <w:rPr>
                <w:rFonts w:cs="Arial" w:asciiTheme="minorHAnsi" w:hAnsiTheme="minorHAnsi"/>
                <w:sz w:val="20"/>
              </w:rPr>
              <w:t xml:space="preserve">Store below 25°C. </w:t>
            </w:r>
          </w:p>
        </w:tc>
      </w:tr>
      <w:tr w:rsidRPr="007D7A90" w:rsidR="00107E60" w:rsidTr="00FE4186" w14:paraId="7795E280" w14:textId="77777777">
        <w:trPr>
          <w:trHeight w:val="231"/>
        </w:trPr>
        <w:tc>
          <w:tcPr>
            <w:tcW w:w="987" w:type="pct"/>
          </w:tcPr>
          <w:p w:rsidRPr="007D7A90" w:rsidR="00107E60" w:rsidP="00FE4186" w:rsidRDefault="00107E60" w14:paraId="1C00D611" w14:textId="77777777">
            <w:pPr>
              <w:pStyle w:val="BodyText"/>
              <w:rPr>
                <w:rFonts w:cs="Arial" w:asciiTheme="minorHAnsi" w:hAnsiTheme="minorHAnsi"/>
                <w:b/>
                <w:bCs/>
                <w:sz w:val="20"/>
              </w:rPr>
            </w:pPr>
            <w:r w:rsidRPr="007D7A90">
              <w:rPr>
                <w:rFonts w:cs="Arial" w:asciiTheme="minorHAnsi" w:hAnsiTheme="minorHAnsi"/>
                <w:b/>
                <w:bCs/>
                <w:sz w:val="20"/>
              </w:rPr>
              <w:t xml:space="preserve">Special Comments       </w:t>
            </w:r>
          </w:p>
        </w:tc>
        <w:tc>
          <w:tcPr>
            <w:tcW w:w="4013" w:type="pct"/>
          </w:tcPr>
          <w:p w:rsidRPr="007D7A90" w:rsidR="00107E60" w:rsidP="00FE4186" w:rsidRDefault="00107E60" w14:paraId="6720FCFA" w14:textId="77777777">
            <w:pPr>
              <w:pStyle w:val="BodyText"/>
              <w:rPr>
                <w:rFonts w:cs="Arial" w:asciiTheme="minorHAnsi" w:hAnsiTheme="minorHAnsi"/>
                <w:sz w:val="20"/>
              </w:rPr>
            </w:pPr>
          </w:p>
        </w:tc>
      </w:tr>
      <w:tr w:rsidRPr="007D7A90" w:rsidR="00107E60" w:rsidTr="00FE4186" w14:paraId="4AB9EA89" w14:textId="77777777">
        <w:trPr>
          <w:trHeight w:val="793"/>
        </w:trPr>
        <w:tc>
          <w:tcPr>
            <w:tcW w:w="987" w:type="pct"/>
          </w:tcPr>
          <w:p w:rsidRPr="007D7A90" w:rsidR="00107E60" w:rsidP="00FE4186" w:rsidRDefault="00107E60" w14:paraId="4C1F46FB" w14:textId="77777777">
            <w:pPr>
              <w:pStyle w:val="BodyText"/>
              <w:rPr>
                <w:rFonts w:cs="Arial" w:asciiTheme="minorHAnsi" w:hAnsiTheme="minorHAnsi"/>
                <w:b/>
                <w:bCs/>
                <w:sz w:val="20"/>
              </w:rPr>
            </w:pPr>
            <w:r w:rsidRPr="007D7A90">
              <w:rPr>
                <w:rFonts w:cs="Arial" w:asciiTheme="minorHAnsi" w:hAnsiTheme="minorHAnsi"/>
                <w:b/>
                <w:bCs/>
                <w:sz w:val="20"/>
              </w:rPr>
              <w:t>Evidence summary</w:t>
            </w:r>
          </w:p>
        </w:tc>
        <w:tc>
          <w:tcPr>
            <w:tcW w:w="4013" w:type="pct"/>
          </w:tcPr>
          <w:p w:rsidRPr="00107E60" w:rsidR="00107E60" w:rsidP="00FE4186" w:rsidRDefault="00107E60" w14:paraId="66F2D609" w14:textId="77777777">
            <w:pPr>
              <w:pStyle w:val="BodyText"/>
              <w:tabs>
                <w:tab w:val="left" w:pos="1168"/>
              </w:tabs>
              <w:rPr>
                <w:rFonts w:cs="Arial" w:asciiTheme="minorHAnsi" w:hAnsiTheme="minorHAnsi"/>
                <w:sz w:val="16"/>
                <w:szCs w:val="16"/>
              </w:rPr>
            </w:pPr>
            <w:r w:rsidRPr="00107E60">
              <w:rPr>
                <w:rFonts w:cs="Arial" w:asciiTheme="minorHAnsi" w:hAnsiTheme="minorHAnsi"/>
                <w:b/>
                <w:sz w:val="16"/>
                <w:szCs w:val="16"/>
              </w:rPr>
              <w:t xml:space="preserve">Efficacy: </w:t>
            </w:r>
            <w:r w:rsidRPr="00107E60">
              <w:rPr>
                <w:rFonts w:cs="Arial" w:asciiTheme="minorHAnsi" w:hAnsiTheme="minorHAnsi"/>
                <w:sz w:val="16"/>
                <w:szCs w:val="16"/>
              </w:rPr>
              <w:t xml:space="preserve">Increasing organism resistance is being reported in infants with neonatal infection requiring tailoring of antibiotic regimens. A recent systematic review identifying organism and antimicrobial resistance of pathogens in neonatal septicaemia in China reported over 50% of the Gram-negative isolates, including </w:t>
            </w:r>
            <w:r w:rsidRPr="00107E60">
              <w:rPr>
                <w:rFonts w:cs="Arial" w:asciiTheme="minorHAnsi" w:hAnsiTheme="minorHAnsi"/>
                <w:i/>
                <w:sz w:val="16"/>
                <w:szCs w:val="16"/>
              </w:rPr>
              <w:t>Escherichia</w:t>
            </w:r>
            <w:r w:rsidRPr="00107E60">
              <w:rPr>
                <w:rFonts w:cs="Arial" w:asciiTheme="minorHAnsi" w:hAnsiTheme="minorHAnsi"/>
                <w:sz w:val="16"/>
                <w:szCs w:val="16"/>
              </w:rPr>
              <w:t xml:space="preserve"> and </w:t>
            </w:r>
            <w:r w:rsidRPr="00107E60">
              <w:rPr>
                <w:rFonts w:cs="Arial" w:asciiTheme="minorHAnsi" w:hAnsiTheme="minorHAnsi"/>
                <w:i/>
                <w:sz w:val="16"/>
                <w:szCs w:val="16"/>
              </w:rPr>
              <w:t>Klebsiella</w:t>
            </w:r>
            <w:r w:rsidRPr="00107E60">
              <w:rPr>
                <w:rFonts w:cs="Arial" w:asciiTheme="minorHAnsi" w:hAnsiTheme="minorHAnsi"/>
                <w:sz w:val="16"/>
                <w:szCs w:val="16"/>
              </w:rPr>
              <w:t xml:space="preserve">, were resistant to third-generation cephalosporins. Most of the Gram-positive and Gram-negative bacteria isolated were sensitive to aminoglycosides, especially amikacin (&lt;20% resistance) </w:t>
            </w:r>
            <w:r w:rsidRPr="00107E60">
              <w:rPr>
                <w:rFonts w:cs="Arial" w:asciiTheme="minorHAnsi" w:hAnsiTheme="minorHAnsi"/>
                <w:noProof/>
                <w:sz w:val="16"/>
                <w:szCs w:val="16"/>
              </w:rPr>
              <w:t>[4]</w:t>
            </w:r>
            <w:r w:rsidRPr="00107E60">
              <w:rPr>
                <w:rFonts w:cs="Arial" w:asciiTheme="minorHAnsi" w:hAnsiTheme="minorHAnsi"/>
                <w:sz w:val="16"/>
                <w:szCs w:val="16"/>
              </w:rPr>
              <w:t xml:space="preserve">. </w:t>
            </w:r>
          </w:p>
          <w:p w:rsidRPr="00107E60" w:rsidR="00107E60" w:rsidP="00FE4186" w:rsidRDefault="00107E60" w14:paraId="0D0A02B8" w14:textId="77777777">
            <w:pPr>
              <w:pStyle w:val="BodyText"/>
              <w:tabs>
                <w:tab w:val="left" w:pos="1168"/>
              </w:tabs>
              <w:rPr>
                <w:rFonts w:cs="Arial" w:asciiTheme="minorHAnsi" w:hAnsiTheme="minorHAnsi"/>
                <w:sz w:val="16"/>
                <w:szCs w:val="16"/>
              </w:rPr>
            </w:pPr>
            <w:r w:rsidRPr="00107E60">
              <w:rPr>
                <w:rFonts w:cs="Arial" w:asciiTheme="minorHAnsi" w:hAnsiTheme="minorHAnsi"/>
                <w:sz w:val="16"/>
                <w:szCs w:val="16"/>
              </w:rPr>
              <w:lastRenderedPageBreak/>
              <w:t xml:space="preserve">The most recent Cochrane review on one dose per day compared to multiple doses per day for gentamicin in neonates found insufficient evidence from the currently available RCTs to conclude whether a 'once a day' or a 'multiple doses a day' regimen of gentamicin is superior in treating proven neonatal sepsis. However, a 'once a day' gentamicin regimen was superior to a 'multiple doses a day' regimen in achieving higher peak concentrations while avoiding toxic trough concentrations </w:t>
            </w:r>
            <w:r w:rsidRPr="00107E60">
              <w:rPr>
                <w:rFonts w:cs="Arial" w:asciiTheme="minorHAnsi" w:hAnsiTheme="minorHAnsi"/>
                <w:noProof/>
                <w:sz w:val="16"/>
                <w:szCs w:val="16"/>
              </w:rPr>
              <w:t>[5]</w:t>
            </w:r>
            <w:r w:rsidRPr="00107E60">
              <w:rPr>
                <w:rFonts w:cs="Arial" w:asciiTheme="minorHAnsi" w:hAnsiTheme="minorHAnsi"/>
                <w:sz w:val="16"/>
                <w:szCs w:val="16"/>
              </w:rPr>
              <w:t>.</w:t>
            </w:r>
          </w:p>
          <w:p w:rsidRPr="00107E60" w:rsidR="00107E60" w:rsidP="00FE4186" w:rsidRDefault="00107E60" w14:paraId="54171274" w14:textId="77777777">
            <w:pPr>
              <w:pStyle w:val="BodyText"/>
              <w:tabs>
                <w:tab w:val="left" w:pos="1168"/>
              </w:tabs>
              <w:rPr>
                <w:rFonts w:cs="Arial" w:asciiTheme="minorHAnsi" w:hAnsiTheme="minorHAnsi"/>
                <w:b/>
                <w:sz w:val="16"/>
                <w:szCs w:val="16"/>
              </w:rPr>
            </w:pPr>
            <w:r w:rsidRPr="00107E60">
              <w:rPr>
                <w:rFonts w:cs="Arial" w:asciiTheme="minorHAnsi" w:hAnsiTheme="minorHAnsi"/>
                <w:sz w:val="16"/>
                <w:szCs w:val="16"/>
              </w:rPr>
              <w:t xml:space="preserve">Sherwin 2009, in a cohort study, reported a peak/MIC ratio of &lt;8 predicted treatment failure </w:t>
            </w:r>
            <w:r w:rsidRPr="00107E60">
              <w:rPr>
                <w:rFonts w:cs="Arial" w:asciiTheme="minorHAnsi" w:hAnsiTheme="minorHAnsi"/>
                <w:noProof/>
                <w:sz w:val="16"/>
                <w:szCs w:val="16"/>
              </w:rPr>
              <w:t>[6]</w:t>
            </w:r>
            <w:r w:rsidRPr="00107E60">
              <w:rPr>
                <w:rFonts w:cs="Arial" w:asciiTheme="minorHAnsi" w:hAnsiTheme="minorHAnsi"/>
                <w:sz w:val="16"/>
                <w:szCs w:val="16"/>
              </w:rPr>
              <w:t>.</w:t>
            </w:r>
          </w:p>
          <w:p w:rsidRPr="00107E60" w:rsidR="00107E60" w:rsidP="00FE4186" w:rsidRDefault="00107E60" w14:paraId="142BBC2B" w14:textId="77777777">
            <w:pPr>
              <w:pStyle w:val="BodyText"/>
              <w:tabs>
                <w:tab w:val="left" w:pos="1168"/>
              </w:tabs>
              <w:rPr>
                <w:rFonts w:cs="Arial" w:asciiTheme="minorHAnsi" w:hAnsiTheme="minorHAnsi"/>
                <w:sz w:val="16"/>
                <w:szCs w:val="16"/>
              </w:rPr>
            </w:pPr>
            <w:r w:rsidRPr="00107E60">
              <w:rPr>
                <w:rFonts w:cs="Arial" w:asciiTheme="minorHAnsi" w:hAnsiTheme="minorHAnsi"/>
                <w:b/>
                <w:sz w:val="16"/>
                <w:szCs w:val="16"/>
              </w:rPr>
              <w:t>Safety</w:t>
            </w:r>
            <w:r w:rsidRPr="00107E60">
              <w:rPr>
                <w:rFonts w:cs="Arial" w:asciiTheme="minorHAnsi" w:hAnsiTheme="minorHAnsi"/>
                <w:sz w:val="16"/>
                <w:szCs w:val="16"/>
              </w:rPr>
              <w:t xml:space="preserve">: Toxicity is thought to be related to the Area Under the time versus concentration Curve (AUC), reflected by the trough concentration </w:t>
            </w:r>
            <w:r w:rsidRPr="00107E60">
              <w:rPr>
                <w:rFonts w:cs="Arial" w:asciiTheme="minorHAnsi" w:hAnsiTheme="minorHAnsi"/>
                <w:noProof/>
                <w:sz w:val="16"/>
                <w:szCs w:val="16"/>
              </w:rPr>
              <w:t>[2]</w:t>
            </w:r>
            <w:r w:rsidRPr="00107E60">
              <w:rPr>
                <w:rFonts w:cs="Arial" w:asciiTheme="minorHAnsi" w:hAnsiTheme="minorHAnsi"/>
                <w:sz w:val="16"/>
                <w:szCs w:val="16"/>
              </w:rPr>
              <w:t xml:space="preserve">. For amikacin, historical data (prospective clinical trials 1975–1982) suggest an incidence of cochlear, vestibular and renal toxicity of 13.9%, 2.8%, and 9.4% in adults </w:t>
            </w:r>
            <w:r w:rsidRPr="00107E60">
              <w:rPr>
                <w:rFonts w:cs="Arial" w:asciiTheme="minorHAnsi" w:hAnsiTheme="minorHAnsi"/>
                <w:noProof/>
                <w:sz w:val="16"/>
                <w:szCs w:val="16"/>
              </w:rPr>
              <w:t>[7]</w:t>
            </w:r>
            <w:r w:rsidRPr="00107E60">
              <w:rPr>
                <w:rFonts w:cs="Arial" w:asciiTheme="minorHAnsi" w:hAnsiTheme="minorHAnsi"/>
                <w:sz w:val="16"/>
                <w:szCs w:val="16"/>
              </w:rPr>
              <w:t xml:space="preserve">. This high incidence may relate to the practice of using multiple doses per day regimens. Although short-term renal toxicity in human neonates has been reported, there is consistently a lower rate of ototoxicity and nephrotoxicity in neonates when compared to adults </w:t>
            </w:r>
            <w:r w:rsidRPr="00107E60">
              <w:rPr>
                <w:rFonts w:cs="Arial" w:asciiTheme="minorHAnsi" w:hAnsiTheme="minorHAnsi"/>
                <w:noProof/>
                <w:sz w:val="16"/>
                <w:szCs w:val="16"/>
              </w:rPr>
              <w:t>[2]</w:t>
            </w:r>
            <w:r w:rsidRPr="00107E60">
              <w:rPr>
                <w:rFonts w:cs="Arial" w:asciiTheme="minorHAnsi" w:hAnsiTheme="minorHAnsi"/>
                <w:sz w:val="16"/>
                <w:szCs w:val="16"/>
              </w:rPr>
              <w:t xml:space="preserve">. The most recent Cochrane review on one dose per day compared to multiple doses per day for gentamicin in neonates found (pooled, all dosing regimens) the incidence of ototoxicity was 1.4% (n = 3/214) with no cases (n = 0/348) of nephrotoxicity (increased creatinine or decreased creatinine clearance) </w:t>
            </w:r>
            <w:r w:rsidRPr="00107E60">
              <w:rPr>
                <w:rFonts w:cs="Arial" w:asciiTheme="minorHAnsi" w:hAnsiTheme="minorHAnsi"/>
                <w:noProof/>
                <w:sz w:val="16"/>
                <w:szCs w:val="16"/>
              </w:rPr>
              <w:t>[5]</w:t>
            </w:r>
            <w:r w:rsidRPr="00107E60">
              <w:rPr>
                <w:rFonts w:cs="Arial" w:asciiTheme="minorHAnsi" w:hAnsiTheme="minorHAnsi"/>
                <w:sz w:val="16"/>
                <w:szCs w:val="16"/>
              </w:rPr>
              <w:t xml:space="preserve">. Limited reports have not identified a link between amikacin pharmacokinetics and ototoxicity in neonates </w:t>
            </w:r>
            <w:r w:rsidRPr="00107E60">
              <w:rPr>
                <w:rFonts w:cs="Arial" w:asciiTheme="minorHAnsi" w:hAnsiTheme="minorHAnsi"/>
                <w:noProof/>
                <w:sz w:val="16"/>
                <w:szCs w:val="16"/>
              </w:rPr>
              <w:t>[2]</w:t>
            </w:r>
            <w:r w:rsidRPr="00107E60">
              <w:rPr>
                <w:rFonts w:cs="Arial" w:asciiTheme="minorHAnsi" w:hAnsiTheme="minorHAnsi"/>
                <w:sz w:val="16"/>
                <w:szCs w:val="16"/>
              </w:rPr>
              <w:t xml:space="preserve">. However, extrapolated from other populations, to avoid adaptive resistance and toxicity, it is recommended higher doses should be combined with extended interval dosing </w:t>
            </w:r>
            <w:r w:rsidRPr="00107E60">
              <w:rPr>
                <w:rFonts w:cs="Arial" w:asciiTheme="minorHAnsi" w:hAnsiTheme="minorHAnsi"/>
                <w:noProof/>
                <w:sz w:val="16"/>
                <w:szCs w:val="16"/>
              </w:rPr>
              <w:t>[2]</w:t>
            </w:r>
            <w:r w:rsidRPr="00107E60">
              <w:rPr>
                <w:rFonts w:cs="Arial" w:asciiTheme="minorHAnsi" w:hAnsiTheme="minorHAnsi"/>
                <w:sz w:val="16"/>
                <w:szCs w:val="16"/>
              </w:rPr>
              <w:t>.</w:t>
            </w:r>
          </w:p>
          <w:p w:rsidRPr="00107E60" w:rsidR="00107E60" w:rsidP="00FE4186" w:rsidRDefault="00107E60" w14:paraId="6CDE70CB" w14:textId="77777777">
            <w:pPr>
              <w:pStyle w:val="BodyText"/>
              <w:tabs>
                <w:tab w:val="left" w:pos="1168"/>
              </w:tabs>
              <w:rPr>
                <w:rFonts w:cs="Arial" w:asciiTheme="minorHAnsi" w:hAnsiTheme="minorHAnsi"/>
                <w:sz w:val="16"/>
                <w:szCs w:val="16"/>
              </w:rPr>
            </w:pPr>
            <w:r w:rsidRPr="00107E60">
              <w:rPr>
                <w:rFonts w:cs="Arial" w:asciiTheme="minorHAnsi" w:hAnsiTheme="minorHAnsi"/>
                <w:b/>
                <w:sz w:val="16"/>
                <w:szCs w:val="16"/>
              </w:rPr>
              <w:t>Pharmacokinetics/pharmacodynamics:</w:t>
            </w:r>
            <w:r w:rsidRPr="00107E60">
              <w:rPr>
                <w:rFonts w:cs="Arial" w:asciiTheme="minorHAnsi" w:hAnsiTheme="minorHAnsi"/>
                <w:sz w:val="16"/>
                <w:szCs w:val="16"/>
              </w:rPr>
              <w:t xml:space="preserve"> Sherwin 2009, in a cohort study, reported a peak/MIC ratio of &lt;8 predicted treatment failure </w:t>
            </w:r>
            <w:r w:rsidRPr="00107E60">
              <w:rPr>
                <w:rFonts w:cs="Arial" w:asciiTheme="minorHAnsi" w:hAnsiTheme="minorHAnsi"/>
                <w:noProof/>
                <w:sz w:val="16"/>
                <w:szCs w:val="16"/>
              </w:rPr>
              <w:t>[6]</w:t>
            </w:r>
            <w:r w:rsidRPr="00107E60">
              <w:rPr>
                <w:rFonts w:cs="Arial" w:asciiTheme="minorHAnsi" w:hAnsiTheme="minorHAnsi"/>
                <w:sz w:val="16"/>
                <w:szCs w:val="16"/>
              </w:rPr>
              <w:t xml:space="preserve">. Allegaert 2007 reported weight explained 47.3% of drug clearance; post menstrual age 25.2%; co-administration of a nonselective cyclo-oxygenase inhibitor 3.5%; renal function 7.6% and being born SGA, 1.7%. Renal drug clearance was significantly lower in preterm neonates born SGA </w:t>
            </w:r>
            <w:r w:rsidRPr="00107E60">
              <w:rPr>
                <w:rFonts w:cs="Arial" w:asciiTheme="minorHAnsi" w:hAnsiTheme="minorHAnsi"/>
                <w:noProof/>
                <w:sz w:val="16"/>
                <w:szCs w:val="16"/>
              </w:rPr>
              <w:t>[8]</w:t>
            </w:r>
            <w:r w:rsidRPr="00107E60">
              <w:rPr>
                <w:rFonts w:cs="Arial" w:asciiTheme="minorHAnsi" w:hAnsiTheme="minorHAnsi"/>
                <w:sz w:val="16"/>
                <w:szCs w:val="16"/>
              </w:rPr>
              <w:t xml:space="preserve">, infants on cyclo-oxygenase inhibitors </w:t>
            </w:r>
            <w:r w:rsidRPr="00107E60">
              <w:rPr>
                <w:rFonts w:cs="Arial" w:asciiTheme="minorHAnsi" w:hAnsiTheme="minorHAnsi"/>
                <w:noProof/>
                <w:sz w:val="16"/>
                <w:szCs w:val="16"/>
              </w:rPr>
              <w:t>[2, 3, 9]</w:t>
            </w:r>
            <w:r w:rsidRPr="00107E60">
              <w:rPr>
                <w:rFonts w:cs="Arial" w:asciiTheme="minorHAnsi" w:hAnsiTheme="minorHAnsi"/>
                <w:sz w:val="16"/>
                <w:szCs w:val="16"/>
              </w:rPr>
              <w:t xml:space="preserve"> and infants with perinatal asphyxia </w:t>
            </w:r>
            <w:r w:rsidRPr="00107E60">
              <w:rPr>
                <w:rFonts w:cs="Arial" w:asciiTheme="minorHAnsi" w:hAnsiTheme="minorHAnsi"/>
                <w:noProof/>
                <w:sz w:val="16"/>
                <w:szCs w:val="16"/>
              </w:rPr>
              <w:t>[2].</w:t>
            </w:r>
            <w:r w:rsidRPr="00107E60">
              <w:rPr>
                <w:rFonts w:asciiTheme="minorHAnsi" w:hAnsiTheme="minorHAnsi"/>
                <w:sz w:val="16"/>
                <w:szCs w:val="16"/>
              </w:rPr>
              <w:t xml:space="preserve"> </w:t>
            </w:r>
            <w:r w:rsidRPr="00107E60">
              <w:rPr>
                <w:rFonts w:cs="Arial" w:asciiTheme="minorHAnsi" w:hAnsiTheme="minorHAnsi"/>
                <w:sz w:val="16"/>
                <w:szCs w:val="16"/>
              </w:rPr>
              <w:t xml:space="preserve">Labaune 2001 </w:t>
            </w:r>
            <w:r w:rsidRPr="00107E60">
              <w:rPr>
                <w:rFonts w:cs="Arial" w:asciiTheme="minorHAnsi" w:hAnsiTheme="minorHAnsi"/>
                <w:noProof/>
                <w:sz w:val="16"/>
                <w:szCs w:val="16"/>
              </w:rPr>
              <w:t>[10]</w:t>
            </w:r>
            <w:r w:rsidRPr="00107E60">
              <w:rPr>
                <w:rFonts w:cs="Arial" w:asciiTheme="minorHAnsi" w:hAnsiTheme="minorHAnsi"/>
                <w:sz w:val="16"/>
                <w:szCs w:val="16"/>
              </w:rPr>
              <w:t xml:space="preserve"> reported validation of an individualised dosing regimen for neonates in the first two days of life to target attainment of C</w:t>
            </w:r>
            <w:r w:rsidRPr="00107E60">
              <w:rPr>
                <w:rFonts w:cs="Arial" w:asciiTheme="minorHAnsi" w:hAnsiTheme="minorHAnsi"/>
                <w:sz w:val="16"/>
                <w:szCs w:val="16"/>
                <w:vertAlign w:val="subscript"/>
              </w:rPr>
              <w:t>max</w:t>
            </w:r>
            <w:r w:rsidRPr="00107E60">
              <w:rPr>
                <w:rFonts w:cs="Arial" w:asciiTheme="minorHAnsi" w:hAnsiTheme="minorHAnsi"/>
                <w:sz w:val="16"/>
                <w:szCs w:val="16"/>
              </w:rPr>
              <w:t>/MIC ratio &gt;10 using a simplified once-a-day regimen with target peak serum concentrations obtained in 62</w:t>
            </w:r>
            <w:r w:rsidRPr="00107E60">
              <w:rPr>
                <w:rFonts w:ascii="MS Gothic" w:hAnsi="MS Gothic" w:eastAsia="MS Gothic" w:cs="MS Gothic"/>
                <w:sz w:val="16"/>
                <w:szCs w:val="16"/>
              </w:rPr>
              <w:t>–</w:t>
            </w:r>
            <w:r w:rsidRPr="00107E60">
              <w:rPr>
                <w:rFonts w:cs="Arial" w:asciiTheme="minorHAnsi" w:hAnsiTheme="minorHAnsi"/>
                <w:sz w:val="16"/>
                <w:szCs w:val="16"/>
              </w:rPr>
              <w:t>80% of patients after the first dose and in 80</w:t>
            </w:r>
            <w:r w:rsidRPr="00107E60">
              <w:rPr>
                <w:rFonts w:ascii="MS Gothic" w:hAnsi="MS Gothic" w:eastAsia="MS Gothic" w:cs="MS Gothic"/>
                <w:sz w:val="16"/>
                <w:szCs w:val="16"/>
              </w:rPr>
              <w:t>–</w:t>
            </w:r>
            <w:r w:rsidRPr="00107E60">
              <w:rPr>
                <w:rFonts w:cs="Arial" w:asciiTheme="minorHAnsi" w:hAnsiTheme="minorHAnsi"/>
                <w:sz w:val="16"/>
                <w:szCs w:val="16"/>
              </w:rPr>
              <w:t xml:space="preserve">100% after the second dose, and trough concentrations were obtained in 100%. </w:t>
            </w:r>
          </w:p>
          <w:p w:rsidRPr="00107E60" w:rsidR="00107E60" w:rsidP="00FE4186" w:rsidRDefault="00107E60" w14:paraId="2C9A1E46" w14:textId="77777777">
            <w:pPr>
              <w:pStyle w:val="BodyText"/>
              <w:tabs>
                <w:tab w:val="left" w:pos="1168"/>
              </w:tabs>
              <w:rPr>
                <w:rFonts w:cs="Arial" w:asciiTheme="minorHAnsi" w:hAnsiTheme="minorHAnsi"/>
                <w:sz w:val="16"/>
                <w:szCs w:val="16"/>
              </w:rPr>
            </w:pPr>
            <w:r w:rsidRPr="00107E60">
              <w:rPr>
                <w:rFonts w:cs="Arial" w:asciiTheme="minorHAnsi" w:hAnsiTheme="minorHAnsi"/>
                <w:sz w:val="16"/>
                <w:szCs w:val="16"/>
              </w:rPr>
              <w:t xml:space="preserve">Two recent pharmacokinetic studies have reported attainment of therapeutic peak and trough levels for modelled amikacin regimens </w:t>
            </w:r>
            <w:r w:rsidRPr="00107E60">
              <w:rPr>
                <w:rFonts w:cs="Arial" w:asciiTheme="minorHAnsi" w:hAnsiTheme="minorHAnsi"/>
                <w:noProof/>
                <w:sz w:val="16"/>
                <w:szCs w:val="16"/>
              </w:rPr>
              <w:t>[2, 11]</w:t>
            </w:r>
            <w:r w:rsidRPr="00107E60">
              <w:rPr>
                <w:rFonts w:cs="Arial" w:asciiTheme="minorHAnsi" w:hAnsiTheme="minorHAnsi"/>
                <w:sz w:val="16"/>
                <w:szCs w:val="16"/>
              </w:rPr>
              <w:t xml:space="preserve">. The regimens had similar rates of attainment of target concentrations with the regimen assessed by Hughes et al </w:t>
            </w:r>
            <w:r w:rsidRPr="00107E60">
              <w:rPr>
                <w:rFonts w:cs="Arial" w:asciiTheme="minorHAnsi" w:hAnsiTheme="minorHAnsi"/>
                <w:noProof/>
                <w:sz w:val="16"/>
                <w:szCs w:val="16"/>
              </w:rPr>
              <w:t>[11]</w:t>
            </w:r>
            <w:r w:rsidRPr="00107E60">
              <w:rPr>
                <w:rFonts w:cs="Arial" w:asciiTheme="minorHAnsi" w:hAnsiTheme="minorHAnsi"/>
                <w:sz w:val="16"/>
                <w:szCs w:val="16"/>
              </w:rPr>
              <w:t xml:space="preserve"> considered the preferable regimen for ease of implementation by the ANMF group (Table 1).</w:t>
            </w:r>
          </w:p>
          <w:p w:rsidRPr="00107E60" w:rsidR="00107E60" w:rsidP="00FE4186" w:rsidRDefault="00107E60" w14:paraId="2F882717" w14:textId="77777777">
            <w:pPr>
              <w:pStyle w:val="BodyText"/>
              <w:tabs>
                <w:tab w:val="left" w:pos="1168"/>
              </w:tabs>
              <w:rPr>
                <w:rFonts w:cs="Arial" w:asciiTheme="minorHAnsi" w:hAnsiTheme="minorHAnsi"/>
                <w:sz w:val="16"/>
                <w:szCs w:val="16"/>
              </w:rPr>
            </w:pPr>
            <w:r w:rsidRPr="00107E60">
              <w:rPr>
                <w:rFonts w:cs="Arial" w:asciiTheme="minorHAnsi" w:hAnsiTheme="minorHAnsi"/>
                <w:sz w:val="16"/>
                <w:szCs w:val="16"/>
              </w:rPr>
              <w:t xml:space="preserve">Hughes 2017 </w:t>
            </w:r>
            <w:r w:rsidRPr="00107E60">
              <w:rPr>
                <w:rFonts w:cs="Arial" w:asciiTheme="minorHAnsi" w:hAnsiTheme="minorHAnsi"/>
                <w:noProof/>
                <w:sz w:val="16"/>
                <w:szCs w:val="16"/>
              </w:rPr>
              <w:t>[11]</w:t>
            </w:r>
            <w:r w:rsidRPr="00107E60">
              <w:rPr>
                <w:rFonts w:cs="Arial" w:asciiTheme="minorHAnsi" w:hAnsiTheme="minorHAnsi"/>
                <w:sz w:val="16"/>
                <w:szCs w:val="16"/>
              </w:rPr>
              <w:t xml:space="preserve"> targeted peak concentrations 20 to 35 mg/L with sub- and supra-therapeutic peak concentrations were defined as &lt;20 mg/L and &gt;35 mg/L, respectively; and supra-therapeutic trough concentrations &gt;8 mg/L using the regimen in table 1. They reported 12% peak concentrations &gt;35 mg/L and 2% trough concentrations &gt;8mg/L.</w:t>
            </w:r>
          </w:p>
          <w:tbl>
            <w:tblPr>
              <w:tblStyle w:val="TableGrid"/>
              <w:tblW w:w="0" w:type="auto"/>
              <w:tblLayout w:type="fixed"/>
              <w:tblLook w:val="04A0" w:firstRow="1" w:lastRow="0" w:firstColumn="1" w:lastColumn="0" w:noHBand="0" w:noVBand="1"/>
            </w:tblPr>
            <w:tblGrid>
              <w:gridCol w:w="2345"/>
              <w:gridCol w:w="2324"/>
              <w:gridCol w:w="2253"/>
            </w:tblGrid>
            <w:tr w:rsidRPr="00107E60" w:rsidR="00107E60" w:rsidTr="00FE4186" w14:paraId="4B19296A" w14:textId="77777777">
              <w:tc>
                <w:tcPr>
                  <w:tcW w:w="6922" w:type="dxa"/>
                  <w:gridSpan w:val="3"/>
                </w:tcPr>
                <w:p w:rsidRPr="00107E60" w:rsidR="00107E60" w:rsidP="00FE4186" w:rsidRDefault="00107E60" w14:paraId="15507806"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Table 1</w:t>
                  </w:r>
                </w:p>
              </w:tc>
            </w:tr>
            <w:tr w:rsidRPr="00107E60" w:rsidR="00107E60" w:rsidTr="00FE4186" w14:paraId="02C3E645" w14:textId="77777777">
              <w:tc>
                <w:tcPr>
                  <w:tcW w:w="2345" w:type="dxa"/>
                </w:tcPr>
                <w:p w:rsidRPr="00107E60" w:rsidR="00107E60" w:rsidP="00FE4186" w:rsidRDefault="00107E60" w14:paraId="1F5699E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 xml:space="preserve">–Postmenstrual age </w:t>
                  </w:r>
                </w:p>
              </w:tc>
              <w:tc>
                <w:tcPr>
                  <w:tcW w:w="2324" w:type="dxa"/>
                </w:tcPr>
                <w:p w:rsidRPr="00107E60" w:rsidR="00107E60" w:rsidP="00FE4186" w:rsidRDefault="00107E60" w14:paraId="585C11C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 xml:space="preserve">Postnatal age </w:t>
                  </w:r>
                </w:p>
              </w:tc>
              <w:tc>
                <w:tcPr>
                  <w:tcW w:w="2253" w:type="dxa"/>
                </w:tcPr>
                <w:p w:rsidRPr="00107E60" w:rsidR="00107E60" w:rsidP="00FE4186" w:rsidRDefault="00107E60" w14:paraId="5F23FD93"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Dose</w:t>
                  </w:r>
                </w:p>
              </w:tc>
            </w:tr>
            <w:tr w:rsidRPr="00107E60" w:rsidR="00107E60" w:rsidTr="00FE4186" w14:paraId="11B8799F" w14:textId="77777777">
              <w:tc>
                <w:tcPr>
                  <w:tcW w:w="2345" w:type="dxa"/>
                </w:tcPr>
                <w:p w:rsidRPr="00107E60" w:rsidR="00107E60" w:rsidP="00FE4186" w:rsidRDefault="00107E60" w14:paraId="30658DD4"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≤29 weeks</w:t>
                  </w:r>
                </w:p>
              </w:tc>
              <w:tc>
                <w:tcPr>
                  <w:tcW w:w="2324" w:type="dxa"/>
                </w:tcPr>
                <w:p w:rsidRPr="00107E60" w:rsidR="00107E60" w:rsidP="00FE4186" w:rsidRDefault="00107E60" w14:paraId="42FED0AA"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0–7 days</w:t>
                  </w:r>
                </w:p>
              </w:tc>
              <w:tc>
                <w:tcPr>
                  <w:tcW w:w="2253" w:type="dxa"/>
                </w:tcPr>
                <w:p w:rsidRPr="00107E60" w:rsidR="00107E60" w:rsidP="00FE4186" w:rsidRDefault="00107E60" w14:paraId="4497E1A6"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14 mg/kg, q48h</w:t>
                  </w:r>
                </w:p>
              </w:tc>
            </w:tr>
            <w:tr w:rsidRPr="00107E60" w:rsidR="00107E60" w:rsidTr="00FE4186" w14:paraId="19BEF9D3" w14:textId="77777777">
              <w:tc>
                <w:tcPr>
                  <w:tcW w:w="2345" w:type="dxa"/>
                </w:tcPr>
                <w:p w:rsidRPr="00107E60" w:rsidR="00107E60" w:rsidP="00FE4186" w:rsidRDefault="00107E60" w14:paraId="6D1E73D8" w14:textId="77777777">
                  <w:pPr>
                    <w:pStyle w:val="EndNoteBibliography"/>
                    <w:rPr>
                      <w:rFonts w:asciiTheme="minorHAnsi" w:hAnsiTheme="minorHAnsi"/>
                      <w:sz w:val="16"/>
                      <w:szCs w:val="16"/>
                      <w:lang w:val="en-AU"/>
                    </w:rPr>
                  </w:pPr>
                </w:p>
              </w:tc>
              <w:tc>
                <w:tcPr>
                  <w:tcW w:w="2324" w:type="dxa"/>
                </w:tcPr>
                <w:p w:rsidRPr="00107E60" w:rsidR="00107E60" w:rsidP="00FE4186" w:rsidRDefault="00107E60" w14:paraId="444F1051"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8–28 days</w:t>
                  </w:r>
                </w:p>
              </w:tc>
              <w:tc>
                <w:tcPr>
                  <w:tcW w:w="2253" w:type="dxa"/>
                </w:tcPr>
                <w:p w:rsidRPr="00107E60" w:rsidR="00107E60" w:rsidP="00FE4186" w:rsidRDefault="00107E60" w14:paraId="2831CE2A"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12 mg/kg, q36h</w:t>
                  </w:r>
                </w:p>
              </w:tc>
            </w:tr>
            <w:tr w:rsidRPr="00107E60" w:rsidR="00107E60" w:rsidTr="00FE4186" w14:paraId="53380FD6" w14:textId="77777777">
              <w:tc>
                <w:tcPr>
                  <w:tcW w:w="2345" w:type="dxa"/>
                </w:tcPr>
                <w:p w:rsidRPr="00107E60" w:rsidR="00107E60" w:rsidP="00FE4186" w:rsidRDefault="00107E60" w14:paraId="4E82E1F4" w14:textId="77777777">
                  <w:pPr>
                    <w:pStyle w:val="EndNoteBibliography"/>
                    <w:rPr>
                      <w:rFonts w:asciiTheme="minorHAnsi" w:hAnsiTheme="minorHAnsi"/>
                      <w:sz w:val="16"/>
                      <w:szCs w:val="16"/>
                      <w:lang w:val="en-AU"/>
                    </w:rPr>
                  </w:pPr>
                </w:p>
              </w:tc>
              <w:tc>
                <w:tcPr>
                  <w:tcW w:w="2324" w:type="dxa"/>
                </w:tcPr>
                <w:p w:rsidRPr="00107E60" w:rsidR="00107E60" w:rsidP="00FE4186" w:rsidRDefault="00107E60" w14:paraId="0E23205D" w14:textId="77777777">
                  <w:pPr>
                    <w:pStyle w:val="EndNoteBibliography"/>
                    <w:rPr>
                      <w:rFonts w:asciiTheme="minorHAnsi" w:hAnsiTheme="minorHAnsi"/>
                      <w:b/>
                      <w:sz w:val="16"/>
                      <w:szCs w:val="16"/>
                      <w:lang w:val="en-AU"/>
                    </w:rPr>
                  </w:pPr>
                  <w:r w:rsidRPr="00107E60">
                    <w:rPr>
                      <w:rFonts w:asciiTheme="minorHAnsi" w:hAnsiTheme="minorHAnsi"/>
                      <w:sz w:val="16"/>
                      <w:szCs w:val="16"/>
                      <w:lang w:val="en-AU"/>
                    </w:rPr>
                    <w:t>≥29 days</w:t>
                  </w:r>
                </w:p>
              </w:tc>
              <w:tc>
                <w:tcPr>
                  <w:tcW w:w="2253" w:type="dxa"/>
                </w:tcPr>
                <w:p w:rsidRPr="00107E60" w:rsidR="00107E60" w:rsidP="00FE4186" w:rsidRDefault="00107E60" w14:paraId="749D57A3"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12 mg/kg, q24h</w:t>
                  </w:r>
                </w:p>
              </w:tc>
            </w:tr>
            <w:tr w:rsidRPr="00107E60" w:rsidR="00107E60" w:rsidTr="00FE4186" w14:paraId="7E2224FC" w14:textId="77777777">
              <w:tc>
                <w:tcPr>
                  <w:tcW w:w="2345" w:type="dxa"/>
                </w:tcPr>
                <w:p w:rsidRPr="00107E60" w:rsidR="00107E60" w:rsidP="00FE4186" w:rsidRDefault="00107E60" w14:paraId="28C455E4"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30–34 weeks</w:t>
                  </w:r>
                </w:p>
              </w:tc>
              <w:tc>
                <w:tcPr>
                  <w:tcW w:w="2324" w:type="dxa"/>
                </w:tcPr>
                <w:p w:rsidRPr="00107E60" w:rsidR="00107E60" w:rsidP="00FE4186" w:rsidRDefault="00107E60" w14:paraId="0F1FDACE" w14:textId="77777777">
                  <w:pPr>
                    <w:pStyle w:val="EndNoteBibliography"/>
                    <w:rPr>
                      <w:rFonts w:asciiTheme="minorHAnsi" w:hAnsiTheme="minorHAnsi"/>
                      <w:b/>
                      <w:sz w:val="16"/>
                      <w:szCs w:val="16"/>
                      <w:lang w:val="en-AU"/>
                    </w:rPr>
                  </w:pPr>
                  <w:r w:rsidRPr="00107E60">
                    <w:rPr>
                      <w:rFonts w:asciiTheme="minorHAnsi" w:hAnsiTheme="minorHAnsi"/>
                      <w:sz w:val="16"/>
                      <w:szCs w:val="16"/>
                      <w:lang w:val="en-AU"/>
                    </w:rPr>
                    <w:t>0–7 days</w:t>
                  </w:r>
                </w:p>
              </w:tc>
              <w:tc>
                <w:tcPr>
                  <w:tcW w:w="2253" w:type="dxa"/>
                </w:tcPr>
                <w:p w:rsidRPr="00107E60" w:rsidR="00107E60" w:rsidP="00FE4186" w:rsidRDefault="00107E60" w14:paraId="5419D58B"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12 mg/kg, q36h</w:t>
                  </w:r>
                </w:p>
              </w:tc>
            </w:tr>
            <w:tr w:rsidRPr="00107E60" w:rsidR="00107E60" w:rsidTr="00FE4186" w14:paraId="5DEAD94F" w14:textId="77777777">
              <w:tc>
                <w:tcPr>
                  <w:tcW w:w="2345" w:type="dxa"/>
                </w:tcPr>
                <w:p w:rsidRPr="00107E60" w:rsidR="00107E60" w:rsidP="00FE4186" w:rsidRDefault="00107E60" w14:paraId="7EF1E289" w14:textId="77777777">
                  <w:pPr>
                    <w:pStyle w:val="EndNoteBibliography"/>
                    <w:rPr>
                      <w:rFonts w:asciiTheme="minorHAnsi" w:hAnsiTheme="minorHAnsi"/>
                      <w:sz w:val="16"/>
                      <w:szCs w:val="16"/>
                      <w:lang w:val="en-AU"/>
                    </w:rPr>
                  </w:pPr>
                </w:p>
              </w:tc>
              <w:tc>
                <w:tcPr>
                  <w:tcW w:w="2324" w:type="dxa"/>
                </w:tcPr>
                <w:p w:rsidRPr="00107E60" w:rsidR="00107E60" w:rsidP="00FE4186" w:rsidRDefault="00107E60" w14:paraId="208C9FE0" w14:textId="77777777">
                  <w:pPr>
                    <w:pStyle w:val="EndNoteBibliography"/>
                    <w:rPr>
                      <w:rFonts w:asciiTheme="minorHAnsi" w:hAnsiTheme="minorHAnsi"/>
                      <w:b/>
                      <w:sz w:val="16"/>
                      <w:szCs w:val="16"/>
                      <w:lang w:val="en-AU"/>
                    </w:rPr>
                  </w:pPr>
                  <w:r w:rsidRPr="00107E60">
                    <w:rPr>
                      <w:rFonts w:asciiTheme="minorHAnsi" w:hAnsiTheme="minorHAnsi"/>
                      <w:sz w:val="16"/>
                      <w:szCs w:val="16"/>
                      <w:lang w:val="en-AU"/>
                    </w:rPr>
                    <w:t>≥8 days</w:t>
                  </w:r>
                </w:p>
              </w:tc>
              <w:tc>
                <w:tcPr>
                  <w:tcW w:w="2253" w:type="dxa"/>
                </w:tcPr>
                <w:p w:rsidRPr="00107E60" w:rsidR="00107E60" w:rsidP="00FE4186" w:rsidRDefault="00107E60" w14:paraId="4DDE22D3"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12 mg/kg, q24h</w:t>
                  </w:r>
                </w:p>
              </w:tc>
            </w:tr>
            <w:tr w:rsidRPr="00107E60" w:rsidR="00107E60" w:rsidTr="00FE4186" w14:paraId="01A76826" w14:textId="77777777">
              <w:tc>
                <w:tcPr>
                  <w:tcW w:w="2345" w:type="dxa"/>
                </w:tcPr>
                <w:p w:rsidRPr="00107E60" w:rsidR="00107E60" w:rsidP="00FE4186" w:rsidRDefault="00107E60" w14:paraId="159F91A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≥35 weeks</w:t>
                  </w:r>
                </w:p>
              </w:tc>
              <w:tc>
                <w:tcPr>
                  <w:tcW w:w="2324" w:type="dxa"/>
                </w:tcPr>
                <w:p w:rsidRPr="00107E60" w:rsidR="00107E60" w:rsidP="00FE4186" w:rsidRDefault="00107E60" w14:paraId="25A47BDB"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All</w:t>
                  </w:r>
                </w:p>
              </w:tc>
              <w:tc>
                <w:tcPr>
                  <w:tcW w:w="2253" w:type="dxa"/>
                </w:tcPr>
                <w:p w:rsidRPr="00107E60" w:rsidR="00107E60" w:rsidP="00FE4186" w:rsidRDefault="00107E60" w14:paraId="32304A84"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12 mg/kg, q24h</w:t>
                  </w:r>
                </w:p>
              </w:tc>
            </w:tr>
          </w:tbl>
          <w:p w:rsidRPr="00107E60" w:rsidR="00107E60" w:rsidP="00FE4186" w:rsidRDefault="00107E60" w14:paraId="0E532424" w14:textId="77777777">
            <w:pPr>
              <w:pStyle w:val="BodyText"/>
              <w:tabs>
                <w:tab w:val="left" w:pos="1168"/>
              </w:tabs>
              <w:rPr>
                <w:rFonts w:cs="Arial" w:asciiTheme="minorHAnsi" w:hAnsiTheme="minorHAnsi"/>
                <w:sz w:val="16"/>
                <w:szCs w:val="16"/>
              </w:rPr>
            </w:pPr>
          </w:p>
          <w:p w:rsidRPr="00107E60" w:rsidR="00107E60" w:rsidP="00FE4186" w:rsidRDefault="00107E60" w14:paraId="269E449C" w14:textId="77777777">
            <w:pPr>
              <w:pStyle w:val="BodyText"/>
              <w:tabs>
                <w:tab w:val="left" w:pos="1168"/>
              </w:tabs>
              <w:rPr>
                <w:rFonts w:cs="Arial" w:asciiTheme="minorHAnsi" w:hAnsiTheme="minorHAnsi"/>
                <w:sz w:val="16"/>
                <w:szCs w:val="16"/>
              </w:rPr>
            </w:pPr>
            <w:r w:rsidRPr="00107E60">
              <w:rPr>
                <w:rFonts w:cs="Arial" w:asciiTheme="minorHAnsi" w:hAnsiTheme="minorHAnsi"/>
                <w:sz w:val="16"/>
                <w:szCs w:val="16"/>
              </w:rPr>
              <w:t xml:space="preserve">Smits 2017 </w:t>
            </w:r>
            <w:r w:rsidRPr="00107E60">
              <w:rPr>
                <w:rFonts w:cs="Arial" w:asciiTheme="minorHAnsi" w:hAnsiTheme="minorHAnsi"/>
                <w:noProof/>
                <w:sz w:val="16"/>
                <w:szCs w:val="16"/>
              </w:rPr>
              <w:t>[2, 3]</w:t>
            </w:r>
            <w:r w:rsidRPr="00107E60">
              <w:rPr>
                <w:rFonts w:cs="Arial" w:asciiTheme="minorHAnsi" w:hAnsiTheme="minorHAnsi"/>
                <w:sz w:val="16"/>
                <w:szCs w:val="16"/>
              </w:rPr>
              <w:t xml:space="preserve"> targeted trough concentrations of 1.5–3 mg/L and peak concentrations of 24–35 mg/L. They reported 98% of peak concentrations in target zone &gt;20 mg/L (90% 24–35 mg/L) and 90% of troughs in target zone &lt;5 mg/L (53% &lt;3 mg/L) using the regimen in Table 2. </w:t>
            </w:r>
            <w:r w:rsidRPr="00107E60">
              <w:rPr>
                <w:rFonts w:asciiTheme="minorHAnsi" w:hAnsiTheme="minorHAnsi"/>
                <w:sz w:val="16"/>
                <w:szCs w:val="16"/>
              </w:rPr>
              <w:t>Cristea 2017 retrospectively q</w:t>
            </w:r>
            <w:r w:rsidRPr="00107E60">
              <w:rPr>
                <w:rFonts w:cs="Arial" w:asciiTheme="minorHAnsi" w:hAnsiTheme="minorHAnsi"/>
                <w:sz w:val="16"/>
                <w:szCs w:val="16"/>
              </w:rPr>
              <w:t xml:space="preserve">uantified the impact of perinatal asphyxia treated with therapeutic hypothermia on amikacin clearance in neonates and reported amikacin clearance decreased by 40.6%. A 12-hour increase in the dosing interval while keeping the amikacin dose (milligram per kilogram) unchanged, had a minimal impact on the peak concentrations but improved the attained trough concentrations </w:t>
            </w:r>
            <w:r w:rsidRPr="00107E60">
              <w:rPr>
                <w:rFonts w:cs="Arial" w:asciiTheme="minorHAnsi" w:hAnsiTheme="minorHAnsi"/>
                <w:noProof/>
                <w:sz w:val="16"/>
                <w:szCs w:val="16"/>
              </w:rPr>
              <w:t>[1]</w:t>
            </w:r>
            <w:r w:rsidRPr="00107E60">
              <w:rPr>
                <w:rFonts w:cs="Arial" w:asciiTheme="minorHAnsi" w:hAnsiTheme="minorHAnsi"/>
                <w:sz w:val="16"/>
                <w:szCs w:val="16"/>
              </w:rPr>
              <w:t xml:space="preserve">. Smits 2015 reported attainment of therapeutic targets when dose intervals were increased by 10 hours for infants on ibuprofen </w:t>
            </w:r>
            <w:r w:rsidRPr="00107E60">
              <w:rPr>
                <w:rFonts w:cs="Arial" w:asciiTheme="minorHAnsi" w:hAnsiTheme="minorHAnsi"/>
                <w:noProof/>
                <w:sz w:val="16"/>
                <w:szCs w:val="16"/>
              </w:rPr>
              <w:t>[3]</w:t>
            </w:r>
            <w:r w:rsidRPr="00107E60">
              <w:rPr>
                <w:rFonts w:cs="Arial" w:asciiTheme="minorHAnsi" w:hAnsiTheme="minorHAnsi"/>
                <w:sz w:val="16"/>
                <w:szCs w:val="16"/>
              </w:rPr>
              <w:t>.</w:t>
            </w:r>
          </w:p>
          <w:p w:rsidRPr="00107E60" w:rsidR="00107E60" w:rsidP="00FE4186" w:rsidRDefault="00107E60" w14:paraId="20BAD73F" w14:textId="77777777">
            <w:pPr>
              <w:pStyle w:val="BodyText"/>
              <w:tabs>
                <w:tab w:val="left" w:pos="1168"/>
              </w:tabs>
              <w:rPr>
                <w:rFonts w:cs="Arial" w:asciiTheme="minorHAnsi" w:hAnsiTheme="minorHAnsi"/>
                <w:sz w:val="16"/>
                <w:szCs w:val="16"/>
              </w:rPr>
            </w:pPr>
          </w:p>
          <w:tbl>
            <w:tblPr>
              <w:tblStyle w:val="TableGrid"/>
              <w:tblW w:w="0" w:type="auto"/>
              <w:tblLayout w:type="fixed"/>
              <w:tblLook w:val="04A0" w:firstRow="1" w:lastRow="0" w:firstColumn="1" w:lastColumn="0" w:noHBand="0" w:noVBand="1"/>
            </w:tblPr>
            <w:tblGrid>
              <w:gridCol w:w="2272"/>
              <w:gridCol w:w="2326"/>
              <w:gridCol w:w="2324"/>
            </w:tblGrid>
            <w:tr w:rsidRPr="00107E60" w:rsidR="00107E60" w:rsidTr="00FE4186" w14:paraId="4D0619AE" w14:textId="77777777">
              <w:tc>
                <w:tcPr>
                  <w:tcW w:w="6922" w:type="dxa"/>
                  <w:gridSpan w:val="3"/>
                </w:tcPr>
                <w:p w:rsidRPr="00107E60" w:rsidR="00107E60" w:rsidP="00FE4186" w:rsidRDefault="00107E60" w14:paraId="3AE0616B" w14:textId="77777777">
                  <w:pPr>
                    <w:rPr>
                      <w:rFonts w:asciiTheme="minorHAnsi" w:hAnsiTheme="minorHAnsi"/>
                      <w:sz w:val="16"/>
                      <w:szCs w:val="16"/>
                    </w:rPr>
                  </w:pPr>
                  <w:r w:rsidRPr="00107E60">
                    <w:rPr>
                      <w:rFonts w:asciiTheme="minorHAnsi" w:hAnsiTheme="minorHAnsi"/>
                      <w:sz w:val="16"/>
                      <w:szCs w:val="16"/>
                    </w:rPr>
                    <w:t>Table 2</w:t>
                  </w:r>
                </w:p>
              </w:tc>
            </w:tr>
            <w:tr w:rsidRPr="00107E60" w:rsidR="00107E60" w:rsidTr="00FE4186" w14:paraId="06EBBB0E" w14:textId="77777777">
              <w:tc>
                <w:tcPr>
                  <w:tcW w:w="2272" w:type="dxa"/>
                </w:tcPr>
                <w:p w:rsidRPr="00107E60" w:rsidR="00107E60" w:rsidP="00FE4186" w:rsidRDefault="00107E60" w14:paraId="7E13F53C" w14:textId="77777777">
                  <w:pPr>
                    <w:rPr>
                      <w:rFonts w:asciiTheme="minorHAnsi" w:hAnsiTheme="minorHAnsi"/>
                      <w:sz w:val="16"/>
                      <w:szCs w:val="16"/>
                    </w:rPr>
                  </w:pPr>
                  <w:r w:rsidRPr="00107E60">
                    <w:rPr>
                      <w:rFonts w:asciiTheme="minorHAnsi" w:hAnsiTheme="minorHAnsi"/>
                      <w:sz w:val="16"/>
                      <w:szCs w:val="16"/>
                    </w:rPr>
                    <w:t>Current body weight (g)</w:t>
                  </w:r>
                </w:p>
              </w:tc>
              <w:tc>
                <w:tcPr>
                  <w:tcW w:w="2326" w:type="dxa"/>
                </w:tcPr>
                <w:p w:rsidRPr="00107E60" w:rsidR="00107E60" w:rsidP="00FE4186" w:rsidRDefault="00107E60" w14:paraId="5EB3F482" w14:textId="77777777">
                  <w:pPr>
                    <w:rPr>
                      <w:rFonts w:asciiTheme="minorHAnsi" w:hAnsiTheme="minorHAnsi"/>
                      <w:sz w:val="16"/>
                      <w:szCs w:val="16"/>
                    </w:rPr>
                  </w:pPr>
                  <w:r w:rsidRPr="00107E60">
                    <w:rPr>
                      <w:rFonts w:asciiTheme="minorHAnsi" w:hAnsiTheme="minorHAnsi"/>
                      <w:sz w:val="16"/>
                      <w:szCs w:val="16"/>
                    </w:rPr>
                    <w:t>Postnatal age &lt;14 days</w:t>
                  </w:r>
                </w:p>
              </w:tc>
              <w:tc>
                <w:tcPr>
                  <w:tcW w:w="2324" w:type="dxa"/>
                </w:tcPr>
                <w:p w:rsidRPr="00107E60" w:rsidR="00107E60" w:rsidP="00FE4186" w:rsidRDefault="00107E60" w14:paraId="38B806DA" w14:textId="77777777">
                  <w:pPr>
                    <w:rPr>
                      <w:rFonts w:asciiTheme="minorHAnsi" w:hAnsiTheme="minorHAnsi"/>
                      <w:sz w:val="16"/>
                      <w:szCs w:val="16"/>
                    </w:rPr>
                  </w:pPr>
                  <w:r w:rsidRPr="00107E60">
                    <w:rPr>
                      <w:rFonts w:asciiTheme="minorHAnsi" w:hAnsiTheme="minorHAnsi"/>
                      <w:sz w:val="16"/>
                      <w:szCs w:val="16"/>
                    </w:rPr>
                    <w:t>Postnatal age ≥14 days</w:t>
                  </w:r>
                </w:p>
              </w:tc>
            </w:tr>
            <w:tr w:rsidRPr="00107E60" w:rsidR="00107E60" w:rsidTr="00FE4186" w14:paraId="1EA41C88" w14:textId="77777777">
              <w:tc>
                <w:tcPr>
                  <w:tcW w:w="2272" w:type="dxa"/>
                </w:tcPr>
                <w:p w:rsidRPr="00107E60" w:rsidR="00107E60" w:rsidP="00FE4186" w:rsidRDefault="00107E60" w14:paraId="1C73C41B" w14:textId="77777777">
                  <w:pPr>
                    <w:rPr>
                      <w:rFonts w:asciiTheme="minorHAnsi" w:hAnsiTheme="minorHAnsi"/>
                      <w:sz w:val="16"/>
                      <w:szCs w:val="16"/>
                    </w:rPr>
                  </w:pPr>
                  <w:r w:rsidRPr="00107E60">
                    <w:rPr>
                      <w:rFonts w:asciiTheme="minorHAnsi" w:hAnsiTheme="minorHAnsi"/>
                      <w:sz w:val="16"/>
                      <w:szCs w:val="16"/>
                    </w:rPr>
                    <w:t>&lt;800</w:t>
                  </w:r>
                </w:p>
              </w:tc>
              <w:tc>
                <w:tcPr>
                  <w:tcW w:w="2326" w:type="dxa"/>
                </w:tcPr>
                <w:p w:rsidRPr="00107E60" w:rsidR="00107E60" w:rsidP="00FE4186" w:rsidRDefault="00107E60" w14:paraId="2037063E" w14:textId="77777777">
                  <w:pPr>
                    <w:rPr>
                      <w:rFonts w:asciiTheme="minorHAnsi" w:hAnsiTheme="minorHAnsi"/>
                      <w:sz w:val="16"/>
                      <w:szCs w:val="16"/>
                    </w:rPr>
                  </w:pPr>
                  <w:r w:rsidRPr="00107E60">
                    <w:rPr>
                      <w:rFonts w:asciiTheme="minorHAnsi" w:hAnsiTheme="minorHAnsi"/>
                      <w:sz w:val="16"/>
                      <w:szCs w:val="16"/>
                    </w:rPr>
                    <w:t>16 mg/kg, q48h</w:t>
                  </w:r>
                </w:p>
              </w:tc>
              <w:tc>
                <w:tcPr>
                  <w:tcW w:w="2324" w:type="dxa"/>
                </w:tcPr>
                <w:p w:rsidRPr="00107E60" w:rsidR="00107E60" w:rsidP="00FE4186" w:rsidRDefault="00107E60" w14:paraId="79F74878" w14:textId="77777777">
                  <w:pPr>
                    <w:rPr>
                      <w:rFonts w:asciiTheme="minorHAnsi" w:hAnsiTheme="minorHAnsi"/>
                      <w:sz w:val="16"/>
                      <w:szCs w:val="16"/>
                    </w:rPr>
                  </w:pPr>
                  <w:r w:rsidRPr="00107E60">
                    <w:rPr>
                      <w:rFonts w:asciiTheme="minorHAnsi" w:hAnsiTheme="minorHAnsi"/>
                      <w:sz w:val="16"/>
                      <w:szCs w:val="16"/>
                    </w:rPr>
                    <w:t>20 mg/kg, q42h</w:t>
                  </w:r>
                </w:p>
              </w:tc>
            </w:tr>
            <w:tr w:rsidRPr="00107E60" w:rsidR="00107E60" w:rsidTr="00FE4186" w14:paraId="31E3A1EF" w14:textId="77777777">
              <w:tc>
                <w:tcPr>
                  <w:tcW w:w="2272" w:type="dxa"/>
                </w:tcPr>
                <w:p w:rsidRPr="00107E60" w:rsidR="00107E60" w:rsidP="00FE4186" w:rsidRDefault="00107E60" w14:paraId="18E7477A" w14:textId="77777777">
                  <w:pPr>
                    <w:rPr>
                      <w:rFonts w:asciiTheme="minorHAnsi" w:hAnsiTheme="minorHAnsi"/>
                      <w:sz w:val="16"/>
                      <w:szCs w:val="16"/>
                    </w:rPr>
                  </w:pPr>
                  <w:r w:rsidRPr="00107E60">
                    <w:rPr>
                      <w:rFonts w:asciiTheme="minorHAnsi" w:hAnsiTheme="minorHAnsi"/>
                      <w:sz w:val="16"/>
                      <w:szCs w:val="16"/>
                    </w:rPr>
                    <w:t>800–1199</w:t>
                  </w:r>
                </w:p>
              </w:tc>
              <w:tc>
                <w:tcPr>
                  <w:tcW w:w="2326" w:type="dxa"/>
                </w:tcPr>
                <w:p w:rsidRPr="00107E60" w:rsidR="00107E60" w:rsidP="00FE4186" w:rsidRDefault="00107E60" w14:paraId="7BADE464" w14:textId="77777777">
                  <w:pPr>
                    <w:rPr>
                      <w:rFonts w:asciiTheme="minorHAnsi" w:hAnsiTheme="minorHAnsi"/>
                      <w:sz w:val="16"/>
                      <w:szCs w:val="16"/>
                    </w:rPr>
                  </w:pPr>
                  <w:r w:rsidRPr="00107E60">
                    <w:rPr>
                      <w:rFonts w:asciiTheme="minorHAnsi" w:hAnsiTheme="minorHAnsi"/>
                      <w:sz w:val="16"/>
                      <w:szCs w:val="16"/>
                    </w:rPr>
                    <w:t>16 mg/kg, q42h</w:t>
                  </w:r>
                </w:p>
              </w:tc>
              <w:tc>
                <w:tcPr>
                  <w:tcW w:w="2324" w:type="dxa"/>
                </w:tcPr>
                <w:p w:rsidRPr="00107E60" w:rsidR="00107E60" w:rsidP="00FE4186" w:rsidRDefault="00107E60" w14:paraId="591FBEB2" w14:textId="77777777">
                  <w:pPr>
                    <w:rPr>
                      <w:rFonts w:asciiTheme="minorHAnsi" w:hAnsiTheme="minorHAnsi"/>
                      <w:sz w:val="16"/>
                      <w:szCs w:val="16"/>
                    </w:rPr>
                  </w:pPr>
                  <w:r w:rsidRPr="00107E60">
                    <w:rPr>
                      <w:rFonts w:asciiTheme="minorHAnsi" w:hAnsiTheme="minorHAnsi"/>
                      <w:sz w:val="16"/>
                      <w:szCs w:val="16"/>
                    </w:rPr>
                    <w:t>20 mg/kg, q36h</w:t>
                  </w:r>
                </w:p>
              </w:tc>
            </w:tr>
            <w:tr w:rsidRPr="00107E60" w:rsidR="00107E60" w:rsidTr="00FE4186" w14:paraId="38F2868C" w14:textId="77777777">
              <w:tc>
                <w:tcPr>
                  <w:tcW w:w="2272" w:type="dxa"/>
                </w:tcPr>
                <w:p w:rsidRPr="00107E60" w:rsidR="00107E60" w:rsidP="00FE4186" w:rsidRDefault="00107E60" w14:paraId="04C81D8D" w14:textId="77777777">
                  <w:pPr>
                    <w:rPr>
                      <w:rFonts w:asciiTheme="minorHAnsi" w:hAnsiTheme="minorHAnsi"/>
                      <w:sz w:val="16"/>
                      <w:szCs w:val="16"/>
                    </w:rPr>
                  </w:pPr>
                  <w:r w:rsidRPr="00107E60">
                    <w:rPr>
                      <w:rFonts w:asciiTheme="minorHAnsi" w:hAnsiTheme="minorHAnsi"/>
                      <w:sz w:val="16"/>
                      <w:szCs w:val="16"/>
                    </w:rPr>
                    <w:t>1200–1999</w:t>
                  </w:r>
                </w:p>
              </w:tc>
              <w:tc>
                <w:tcPr>
                  <w:tcW w:w="2326" w:type="dxa"/>
                </w:tcPr>
                <w:p w:rsidRPr="00107E60" w:rsidR="00107E60" w:rsidP="00FE4186" w:rsidRDefault="00107E60" w14:paraId="0C2267E4" w14:textId="77777777">
                  <w:pPr>
                    <w:rPr>
                      <w:rFonts w:asciiTheme="minorHAnsi" w:hAnsiTheme="minorHAnsi"/>
                      <w:sz w:val="16"/>
                      <w:szCs w:val="16"/>
                    </w:rPr>
                  </w:pPr>
                  <w:r w:rsidRPr="00107E60">
                    <w:rPr>
                      <w:rFonts w:asciiTheme="minorHAnsi" w:hAnsiTheme="minorHAnsi"/>
                      <w:sz w:val="16"/>
                      <w:szCs w:val="16"/>
                    </w:rPr>
                    <w:t>15 mg/kg, q36h</w:t>
                  </w:r>
                </w:p>
              </w:tc>
              <w:tc>
                <w:tcPr>
                  <w:tcW w:w="2324" w:type="dxa"/>
                </w:tcPr>
                <w:p w:rsidRPr="00107E60" w:rsidR="00107E60" w:rsidP="00FE4186" w:rsidRDefault="00107E60" w14:paraId="1EF85C1D" w14:textId="77777777">
                  <w:pPr>
                    <w:rPr>
                      <w:rFonts w:asciiTheme="minorHAnsi" w:hAnsiTheme="minorHAnsi"/>
                      <w:sz w:val="16"/>
                      <w:szCs w:val="16"/>
                    </w:rPr>
                  </w:pPr>
                  <w:r w:rsidRPr="00107E60">
                    <w:rPr>
                      <w:rFonts w:asciiTheme="minorHAnsi" w:hAnsiTheme="minorHAnsi"/>
                      <w:sz w:val="16"/>
                      <w:szCs w:val="16"/>
                    </w:rPr>
                    <w:t>18 mg/kg, q30h</w:t>
                  </w:r>
                </w:p>
              </w:tc>
            </w:tr>
            <w:tr w:rsidRPr="00107E60" w:rsidR="00107E60" w:rsidTr="00FE4186" w14:paraId="7C54B3BB" w14:textId="77777777">
              <w:tc>
                <w:tcPr>
                  <w:tcW w:w="2272" w:type="dxa"/>
                </w:tcPr>
                <w:p w:rsidRPr="00107E60" w:rsidR="00107E60" w:rsidP="00FE4186" w:rsidRDefault="00107E60" w14:paraId="4B2083AC" w14:textId="77777777">
                  <w:pPr>
                    <w:rPr>
                      <w:rFonts w:asciiTheme="minorHAnsi" w:hAnsiTheme="minorHAnsi"/>
                      <w:sz w:val="16"/>
                      <w:szCs w:val="16"/>
                    </w:rPr>
                  </w:pPr>
                  <w:r w:rsidRPr="00107E60">
                    <w:rPr>
                      <w:rFonts w:asciiTheme="minorHAnsi" w:hAnsiTheme="minorHAnsi"/>
                      <w:sz w:val="16"/>
                      <w:szCs w:val="16"/>
                    </w:rPr>
                    <w:t>2000–2799</w:t>
                  </w:r>
                </w:p>
              </w:tc>
              <w:tc>
                <w:tcPr>
                  <w:tcW w:w="2326" w:type="dxa"/>
                </w:tcPr>
                <w:p w:rsidRPr="00107E60" w:rsidR="00107E60" w:rsidP="00FE4186" w:rsidRDefault="00107E60" w14:paraId="39683D05" w14:textId="77777777">
                  <w:pPr>
                    <w:rPr>
                      <w:rFonts w:asciiTheme="minorHAnsi" w:hAnsiTheme="minorHAnsi"/>
                      <w:sz w:val="16"/>
                      <w:szCs w:val="16"/>
                    </w:rPr>
                  </w:pPr>
                  <w:r w:rsidRPr="00107E60">
                    <w:rPr>
                      <w:rFonts w:asciiTheme="minorHAnsi" w:hAnsiTheme="minorHAnsi"/>
                      <w:sz w:val="16"/>
                      <w:szCs w:val="16"/>
                    </w:rPr>
                    <w:t>15mg/kg, q36h</w:t>
                  </w:r>
                </w:p>
              </w:tc>
              <w:tc>
                <w:tcPr>
                  <w:tcW w:w="2324" w:type="dxa"/>
                </w:tcPr>
                <w:p w:rsidRPr="00107E60" w:rsidR="00107E60" w:rsidP="00FE4186" w:rsidRDefault="00107E60" w14:paraId="6EF9B2FE" w14:textId="77777777">
                  <w:pPr>
                    <w:rPr>
                      <w:rFonts w:asciiTheme="minorHAnsi" w:hAnsiTheme="minorHAnsi"/>
                      <w:sz w:val="16"/>
                      <w:szCs w:val="16"/>
                    </w:rPr>
                  </w:pPr>
                  <w:r w:rsidRPr="00107E60">
                    <w:rPr>
                      <w:rFonts w:asciiTheme="minorHAnsi" w:hAnsiTheme="minorHAnsi"/>
                      <w:sz w:val="16"/>
                      <w:szCs w:val="16"/>
                    </w:rPr>
                    <w:t>18 mg/kg, q24h</w:t>
                  </w:r>
                </w:p>
              </w:tc>
            </w:tr>
            <w:tr w:rsidRPr="00107E60" w:rsidR="00107E60" w:rsidTr="00FE4186" w14:paraId="51CEA52F" w14:textId="77777777">
              <w:tc>
                <w:tcPr>
                  <w:tcW w:w="2272" w:type="dxa"/>
                </w:tcPr>
                <w:p w:rsidRPr="00107E60" w:rsidR="00107E60" w:rsidP="00FE4186" w:rsidRDefault="00107E60" w14:paraId="587FF7B5" w14:textId="77777777">
                  <w:pPr>
                    <w:rPr>
                      <w:rFonts w:asciiTheme="minorHAnsi" w:hAnsiTheme="minorHAnsi"/>
                      <w:sz w:val="16"/>
                      <w:szCs w:val="16"/>
                    </w:rPr>
                  </w:pPr>
                  <w:r w:rsidRPr="00107E60">
                    <w:rPr>
                      <w:rFonts w:asciiTheme="minorHAnsi" w:hAnsiTheme="minorHAnsi"/>
                      <w:sz w:val="16"/>
                      <w:szCs w:val="16"/>
                    </w:rPr>
                    <w:t>≥2800</w:t>
                  </w:r>
                </w:p>
              </w:tc>
              <w:tc>
                <w:tcPr>
                  <w:tcW w:w="2326" w:type="dxa"/>
                </w:tcPr>
                <w:p w:rsidRPr="00107E60" w:rsidR="00107E60" w:rsidP="00FE4186" w:rsidRDefault="00107E60" w14:paraId="404EAE73" w14:textId="77777777">
                  <w:pPr>
                    <w:rPr>
                      <w:rFonts w:asciiTheme="minorHAnsi" w:hAnsiTheme="minorHAnsi"/>
                      <w:sz w:val="16"/>
                      <w:szCs w:val="16"/>
                    </w:rPr>
                  </w:pPr>
                  <w:r w:rsidRPr="00107E60">
                    <w:rPr>
                      <w:rFonts w:asciiTheme="minorHAnsi" w:hAnsiTheme="minorHAnsi"/>
                      <w:sz w:val="16"/>
                      <w:szCs w:val="16"/>
                    </w:rPr>
                    <w:t>15mg/kg, q30h</w:t>
                  </w:r>
                </w:p>
              </w:tc>
              <w:tc>
                <w:tcPr>
                  <w:tcW w:w="2324" w:type="dxa"/>
                </w:tcPr>
                <w:p w:rsidRPr="00107E60" w:rsidR="00107E60" w:rsidP="00FE4186" w:rsidRDefault="00107E60" w14:paraId="2587477F" w14:textId="77777777">
                  <w:pPr>
                    <w:rPr>
                      <w:rFonts w:asciiTheme="minorHAnsi" w:hAnsiTheme="minorHAnsi"/>
                      <w:sz w:val="16"/>
                      <w:szCs w:val="16"/>
                    </w:rPr>
                  </w:pPr>
                  <w:r w:rsidRPr="00107E60">
                    <w:rPr>
                      <w:rFonts w:asciiTheme="minorHAnsi" w:hAnsiTheme="minorHAnsi"/>
                      <w:sz w:val="16"/>
                      <w:szCs w:val="16"/>
                    </w:rPr>
                    <w:t>18 mg/kg, q20h</w:t>
                  </w:r>
                </w:p>
              </w:tc>
            </w:tr>
          </w:tbl>
          <w:p w:rsidRPr="00107E60" w:rsidR="00107E60" w:rsidP="00FE4186" w:rsidRDefault="00107E60" w14:paraId="7FA3D1F0" w14:textId="77777777">
            <w:pPr>
              <w:pStyle w:val="BodyText"/>
              <w:tabs>
                <w:tab w:val="left" w:pos="1168"/>
              </w:tabs>
              <w:rPr>
                <w:rFonts w:cs="Arial" w:asciiTheme="minorHAnsi" w:hAnsiTheme="minorHAnsi"/>
                <w:sz w:val="16"/>
                <w:szCs w:val="16"/>
              </w:rPr>
            </w:pPr>
          </w:p>
        </w:tc>
      </w:tr>
      <w:tr w:rsidRPr="007D7A90" w:rsidR="00107E60" w:rsidTr="00FE4186" w14:paraId="7C0D24F1" w14:textId="77777777">
        <w:trPr>
          <w:trHeight w:val="361"/>
        </w:trPr>
        <w:tc>
          <w:tcPr>
            <w:tcW w:w="987" w:type="pct"/>
          </w:tcPr>
          <w:p w:rsidRPr="007D7A90" w:rsidR="00107E60" w:rsidP="00FE4186" w:rsidRDefault="00107E60" w14:paraId="59675778" w14:textId="77777777">
            <w:pPr>
              <w:pStyle w:val="BodyText"/>
              <w:rPr>
                <w:rFonts w:cs="Arial" w:asciiTheme="minorHAnsi" w:hAnsiTheme="minorHAnsi"/>
                <w:b/>
                <w:bCs/>
                <w:sz w:val="20"/>
              </w:rPr>
            </w:pPr>
            <w:r w:rsidRPr="007D7A90">
              <w:rPr>
                <w:rFonts w:asciiTheme="minorHAnsi" w:hAnsiTheme="minorHAnsi"/>
                <w:b/>
                <w:sz w:val="20"/>
              </w:rPr>
              <w:lastRenderedPageBreak/>
              <w:t>References</w:t>
            </w:r>
          </w:p>
        </w:tc>
        <w:tc>
          <w:tcPr>
            <w:tcW w:w="4013" w:type="pct"/>
          </w:tcPr>
          <w:p w:rsidRPr="00107E60" w:rsidR="00107E60" w:rsidP="00FE4186" w:rsidRDefault="00107E60" w14:paraId="6C937E4B"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 Cristea S, Smits A, Kulo A, Knibbe CAJ, van Weissenbruch M, Krekels EHJ, Allegaert K. Amikacin Pharmacokinetics To Optimize Dosing in Neonates with Perinatal Asphyxia Treated with Hypothermia. Antimicrob Agents Chemother. 2017;61.</w:t>
            </w:r>
          </w:p>
          <w:p w:rsidRPr="00107E60" w:rsidR="00107E60" w:rsidP="00FE4186" w:rsidRDefault="00107E60" w14:paraId="7160EC11"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2. Smits A, Kulo A, van den Anker J, Allegaert K. The amikacin research program: a stepwise approach to validate dosing regimens in neonates. Expert Opin Drug Metab Toxicol. 2017;13:157-66.</w:t>
            </w:r>
          </w:p>
          <w:p w:rsidRPr="00107E60" w:rsidR="00107E60" w:rsidP="00FE4186" w:rsidRDefault="00107E60" w14:paraId="2E4D4CE0"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3. Smits A, De Cock RF, Allegaert K, Vanhaesebrouck S, Danhof M, Knibbe CA. Prospective Evaluation of a Model-Based Dosing Regimen for Amikacin in Preterm and Term Neonates in Clinical Practice. Antimicrob Agents Chemother. 2015;59:6344-51.</w:t>
            </w:r>
          </w:p>
          <w:p w:rsidRPr="00107E60" w:rsidR="00107E60" w:rsidP="00FE4186" w:rsidRDefault="00107E60" w14:paraId="668AFB39"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4. Li JY, Chen SQ, Yan YY, Hu YY, Wei J, Wu QP, Lin ZL, Lin J. Identification and antimicrobial resistance of pathogens in neonatal septicemia in China-A meta-analysis. Int J Infect Dis. 2018;71:89-93.</w:t>
            </w:r>
          </w:p>
          <w:p w:rsidRPr="00107E60" w:rsidR="00107E60" w:rsidP="00FE4186" w:rsidRDefault="00107E60" w14:paraId="7CD4AF57"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lastRenderedPageBreak/>
              <w:t>5. Rao SC, Srinivasjois R, Moon K. One dose per day compared to multiple doses per day of gentamicin for treatment of suspected or proven sepsis in neonates. Cochrane Database Syst Rev. 2016;12:CD005091.</w:t>
            </w:r>
          </w:p>
          <w:p w:rsidRPr="00107E60" w:rsidR="00107E60" w:rsidP="00FE4186" w:rsidRDefault="00107E60" w14:paraId="0657A38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6. Sherwin CMT, Svahn S, Van Der Linden A, Broadbent RS, Medlicott NJ, Reith DM. Individualised dosing of amikacin in neonates: A pharmacokinetic/ pharmacodynamic analysis. European Journal of Clinical Pharmacology. 2009;65:705-13.</w:t>
            </w:r>
          </w:p>
          <w:p w:rsidRPr="00107E60" w:rsidR="00107E60" w:rsidP="00FE4186" w:rsidRDefault="00107E60" w14:paraId="6B2A374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7. Kahlmeter G, Dahlager JI. Aminoglycoside toxicity - a review of clinical studies published between 1975 and 1982. J Antimicrob Chemother. 1984;13 Suppl A:9-22.</w:t>
            </w:r>
          </w:p>
          <w:p w:rsidRPr="00107E60" w:rsidR="00107E60" w:rsidP="00FE4186" w:rsidRDefault="00107E60" w14:paraId="4D98986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8. Allegaert K, Anderson BJ, van den Anker JN, Vanhaesebrouck S, de Zegher F. Renal drug clearance in preterm neonates: relation to prenatal growth. Ther Drug Monit. 2007;29:284-91.</w:t>
            </w:r>
          </w:p>
          <w:p w:rsidRPr="00107E60" w:rsidR="00107E60" w:rsidP="00FE4186" w:rsidRDefault="00107E60" w14:paraId="721C9FC8"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9. Allegaert K. The impact of ibuprofen or indomethacin on renal drug clearance in neonates. J Matern Fetal Neonatal Med. 2009;22 Suppl 3:88-91.</w:t>
            </w:r>
          </w:p>
          <w:p w:rsidRPr="00107E60" w:rsidR="00107E60" w:rsidP="00FE4186" w:rsidRDefault="00107E60" w14:paraId="4F2AA41B"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10. Labaune JM, Bleyzac N, Maire P, Jelliffe RW, Boutroy MJ, Aulagner G, Putet G. Once-a-day individualized amikacin dosing for suspected infection at birth based on population pharmacokinetic models. Biol Neonate. 2001;80:142-7.</w:t>
            </w:r>
          </w:p>
          <w:p w:rsidRPr="00107E60" w:rsidR="00107E60" w:rsidP="00FE4186" w:rsidRDefault="00107E60" w14:paraId="31E681BE" w14:textId="77777777">
            <w:pPr>
              <w:pStyle w:val="EndNoteBibliography"/>
              <w:rPr>
                <w:rFonts w:asciiTheme="minorHAnsi" w:hAnsiTheme="minorHAnsi"/>
                <w:sz w:val="16"/>
                <w:szCs w:val="16"/>
                <w:lang w:val="en-AU"/>
              </w:rPr>
            </w:pPr>
            <w:r w:rsidRPr="00107E60">
              <w:rPr>
                <w:rFonts w:asciiTheme="minorHAnsi" w:hAnsiTheme="minorHAnsi"/>
                <w:sz w:val="16"/>
                <w:szCs w:val="16"/>
                <w:lang w:val="en-AU"/>
              </w:rPr>
              <w:t>11. Hughes KM, Johnson PN, Anderson MP, Sekar KC, Welliver RC, Miller JL. Comparison of Amikacin Pharmacokinetics in Neonates Following Implementation of a New Dosage Protocol. J Pediatr Pharmacol Ther. 2017;22:33-40.</w:t>
            </w:r>
          </w:p>
          <w:p w:rsidRPr="00107E60" w:rsidR="00107E60" w:rsidP="00FE4186" w:rsidRDefault="00107E60" w14:paraId="730C1902" w14:textId="77777777">
            <w:pPr>
              <w:pStyle w:val="EndNoteBibliography"/>
              <w:rPr>
                <w:rFonts w:cs="Arial" w:asciiTheme="minorHAnsi" w:hAnsiTheme="minorHAnsi"/>
                <w:sz w:val="16"/>
                <w:szCs w:val="16"/>
                <w:lang w:val="en-AU"/>
              </w:rPr>
            </w:pPr>
            <w:r w:rsidRPr="00107E60">
              <w:rPr>
                <w:rFonts w:cs="Arial" w:asciiTheme="minorHAnsi" w:hAnsiTheme="minorHAnsi"/>
                <w:sz w:val="16"/>
                <w:szCs w:val="16"/>
                <w:lang w:val="en-AU"/>
              </w:rPr>
              <w:t xml:space="preserve">12. Micromedex accessed 09/05/2019: </w:t>
            </w:r>
            <w:hyperlink w:history="1" r:id="rId11">
              <w:r w:rsidRPr="00107E60">
                <w:rPr>
                  <w:rStyle w:val="Hyperlink"/>
                  <w:rFonts w:cs="Arial" w:asciiTheme="minorHAnsi" w:hAnsiTheme="minorHAnsi"/>
                  <w:sz w:val="16"/>
                  <w:szCs w:val="16"/>
                  <w:lang w:val="en-AU"/>
                </w:rPr>
                <w:t>https://www.micromedexsolutions.com.acs.hcn.com.au/micromedex2/librarian?acc=36422</w:t>
              </w:r>
            </w:hyperlink>
            <w:r w:rsidRPr="00107E60">
              <w:rPr>
                <w:rFonts w:cs="Arial" w:asciiTheme="minorHAnsi" w:hAnsiTheme="minorHAnsi"/>
                <w:sz w:val="16"/>
                <w:szCs w:val="16"/>
                <w:lang w:val="en-AU"/>
              </w:rPr>
              <w:t xml:space="preserve"> </w:t>
            </w:r>
          </w:p>
          <w:p w:rsidRPr="00107E60" w:rsidR="00107E60" w:rsidP="00FE4186" w:rsidRDefault="00107E60" w14:paraId="32284A67" w14:textId="77777777">
            <w:pPr>
              <w:pStyle w:val="EndNoteBibliography"/>
              <w:rPr>
                <w:rFonts w:cs="Arial" w:asciiTheme="minorHAnsi" w:hAnsiTheme="minorHAnsi"/>
                <w:sz w:val="16"/>
                <w:szCs w:val="16"/>
                <w:lang w:val="en-AU"/>
              </w:rPr>
            </w:pPr>
            <w:r w:rsidRPr="00107E60">
              <w:rPr>
                <w:rFonts w:cs="Arial" w:asciiTheme="minorHAnsi" w:hAnsiTheme="minorHAnsi"/>
                <w:sz w:val="16"/>
                <w:szCs w:val="16"/>
                <w:lang w:val="en-AU"/>
              </w:rPr>
              <w:t xml:space="preserve">13. MIMS online accessed 09/05/2019: </w:t>
            </w:r>
            <w:hyperlink w:history="1" r:id="rId12">
              <w:r w:rsidRPr="00107E60">
                <w:rPr>
                  <w:rStyle w:val="Hyperlink"/>
                  <w:rFonts w:cs="Arial" w:asciiTheme="minorHAnsi" w:hAnsiTheme="minorHAnsi"/>
                  <w:sz w:val="16"/>
                  <w:szCs w:val="16"/>
                  <w:lang w:val="en-AU"/>
                </w:rPr>
                <w:t>https://www.mimsonline.com.au.acs.hcn.com.au/Search/Search.aspx</w:t>
              </w:r>
            </w:hyperlink>
            <w:r w:rsidRPr="00107E60">
              <w:rPr>
                <w:rFonts w:cs="Arial" w:asciiTheme="minorHAnsi" w:hAnsiTheme="minorHAnsi"/>
                <w:sz w:val="16"/>
                <w:szCs w:val="16"/>
                <w:lang w:val="en-AU"/>
              </w:rPr>
              <w:t xml:space="preserve"> </w:t>
            </w:r>
          </w:p>
          <w:p w:rsidRPr="00107E60" w:rsidR="00107E60" w:rsidP="00FE4186" w:rsidRDefault="00107E60" w14:paraId="4EBB21D1" w14:textId="77777777">
            <w:pPr>
              <w:pStyle w:val="EndNoteBibliography"/>
              <w:rPr>
                <w:rFonts w:cs="Arial" w:asciiTheme="minorHAnsi" w:hAnsiTheme="minorHAnsi"/>
                <w:sz w:val="16"/>
                <w:szCs w:val="16"/>
                <w:lang w:val="en-AU"/>
              </w:rPr>
            </w:pPr>
            <w:r w:rsidRPr="00107E60">
              <w:rPr>
                <w:rFonts w:cs="Arial" w:asciiTheme="minorHAnsi" w:hAnsiTheme="minorHAnsi"/>
                <w:sz w:val="16"/>
                <w:szCs w:val="16"/>
                <w:lang w:val="en-AU"/>
              </w:rPr>
              <w:t>14. Australian Injectable Drugs Handbook, 7th Edition, Society of Hospital Pharmacists of Australia 2019.</w:t>
            </w:r>
          </w:p>
        </w:tc>
      </w:tr>
    </w:tbl>
    <w:p w:rsidR="00182844" w:rsidP="006F0321" w:rsidRDefault="00182844" w14:paraId="27B075C8" w14:textId="77777777"/>
    <w:p w:rsidR="00904873" w:rsidP="006F0321" w:rsidRDefault="00904873" w14:paraId="52DD75A4"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904873" w:rsidTr="0059793A" w14:paraId="066BB6DD"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14F6FB75" w14:textId="1C873486">
            <w:pPr>
              <w:spacing w:line="252" w:lineRule="auto"/>
              <w:rPr>
                <w:sz w:val="22"/>
                <w:lang w:val="en-AU"/>
              </w:rPr>
            </w:pPr>
            <w:r>
              <w:t>Original version Date: 2019</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62197A0A" w14:textId="0CD355FF">
            <w:pPr>
              <w:spacing w:line="252" w:lineRule="auto"/>
            </w:pPr>
            <w:r>
              <w:t>Author: Neomed Consensus group</w:t>
            </w:r>
          </w:p>
        </w:tc>
      </w:tr>
      <w:tr w:rsidR="00904873" w:rsidTr="0059793A" w14:paraId="0A48BBDD"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6D52FEF8" w14:textId="77777777">
            <w:pPr>
              <w:spacing w:line="252" w:lineRule="auto"/>
            </w:pPr>
            <w:r>
              <w:t>Current Version number:  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240C6343" w14:textId="640E6154">
            <w:pPr>
              <w:spacing w:line="252" w:lineRule="auto"/>
            </w:pPr>
            <w:r>
              <w:t xml:space="preserve">Current Version Date:  </w:t>
            </w:r>
            <w:r w:rsidR="00D251FE">
              <w:t>18</w:t>
            </w:r>
            <w:r>
              <w:t>/</w:t>
            </w:r>
            <w:r w:rsidR="00D251FE">
              <w:t>2</w:t>
            </w:r>
            <w:r>
              <w:t>/202</w:t>
            </w:r>
            <w:r w:rsidR="00D251FE">
              <w:t>1</w:t>
            </w:r>
          </w:p>
        </w:tc>
      </w:tr>
      <w:tr w:rsidR="00904873" w:rsidTr="0059793A" w14:paraId="61247EBE"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235BBB71" w14:textId="77777777">
            <w:pPr>
              <w:spacing w:line="252" w:lineRule="auto"/>
            </w:pPr>
            <w:r>
              <w:t>Risk Rating: 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1132B3B2" w14:textId="34B03C7D">
            <w:pPr>
              <w:spacing w:line="252" w:lineRule="auto"/>
            </w:pPr>
            <w:r>
              <w:t xml:space="preserve">Due for Review:  </w:t>
            </w:r>
            <w:r w:rsidR="00D251FE">
              <w:t>18/2/2026</w:t>
            </w:r>
          </w:p>
        </w:tc>
      </w:tr>
      <w:tr w:rsidR="00904873" w:rsidTr="0059793A" w14:paraId="6E0A0F2C"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501F1903"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904873" w:rsidP="0059793A" w:rsidRDefault="00904873" w14:paraId="540F67B3" w14:textId="28D25D96">
            <w:pPr>
              <w:spacing w:line="252" w:lineRule="auto"/>
            </w:pPr>
            <w:r>
              <w:t xml:space="preserve">Approval Date: </w:t>
            </w:r>
            <w:r w:rsidR="00260BC8">
              <w:t>APRIL 2021</w:t>
            </w:r>
          </w:p>
        </w:tc>
      </w:tr>
    </w:tbl>
    <w:p w:rsidRPr="00E25790" w:rsidR="00187DA1" w:rsidP="006F0321" w:rsidRDefault="00187DA1" w14:paraId="2948565A" w14:textId="46AF6C60">
      <w:r w:rsidRPr="00E25790">
        <w:br w:type="page"/>
      </w:r>
    </w:p>
    <w:tbl>
      <w:tblPr>
        <w:tblW w:w="9049" w:type="dxa"/>
        <w:tblLayout w:type="fixed"/>
        <w:tblLook w:val="0000" w:firstRow="0" w:lastRow="0" w:firstColumn="0" w:lastColumn="0" w:noHBand="0" w:noVBand="0"/>
      </w:tblPr>
      <w:tblGrid>
        <w:gridCol w:w="4153"/>
        <w:gridCol w:w="4896"/>
      </w:tblGrid>
      <w:tr w:rsidRPr="00E25790" w:rsidR="00187DA1" w:rsidTr="00AA0623" w14:paraId="560E10F8"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87DA1" w:rsidP="009469DB" w:rsidRDefault="00187DA1" w14:paraId="57258938" w14:textId="77777777">
            <w:pPr>
              <w:pStyle w:val="Heading1"/>
            </w:pPr>
            <w:bookmarkStart w:name="_Toc38106806" w:id="72"/>
            <w:bookmarkStart w:name="_Toc75339932" w:id="73"/>
            <w:r w:rsidRPr="00E25790">
              <w:lastRenderedPageBreak/>
              <w:t>Amlodipine</w:t>
            </w:r>
            <w:bookmarkEnd w:id="72"/>
            <w:bookmarkEnd w:id="73"/>
            <w:r w:rsidRPr="00E25790">
              <w:fldChar w:fldCharType="begin"/>
            </w:r>
            <w:r w:rsidRPr="00E25790">
              <w:instrText>tc "CAP Trial" \l 0</w:instrText>
            </w:r>
            <w:r w:rsidRPr="00E25790">
              <w:fldChar w:fldCharType="end"/>
            </w:r>
          </w:p>
        </w:tc>
      </w:tr>
      <w:tr w:rsidRPr="00E25790" w:rsidR="003D6A99" w:rsidTr="00AA0623" w14:paraId="2986A8E7"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3D6A99" w:rsidP="003D6A99" w:rsidRDefault="003D6A99" w14:paraId="74ADDBF2" w14:textId="2388DB31">
            <w:r w:rsidRPr="00E25790">
              <w:t>Revision Date : 2</w:t>
            </w:r>
            <w:r>
              <w:t>6 Oct 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3D6A99" w:rsidP="003D6A99" w:rsidRDefault="003D6A99" w14:paraId="4CDBDBA8" w14:textId="0BD5AD9E">
            <w:r w:rsidRPr="00E25790">
              <w:t xml:space="preserve">Approved : </w:t>
            </w:r>
            <w:r>
              <w:t>TCo</w:t>
            </w:r>
            <w:r w:rsidR="00141FB2">
              <w:t>, KOH</w:t>
            </w:r>
          </w:p>
        </w:tc>
      </w:tr>
    </w:tbl>
    <w:p w:rsidRPr="00E25790" w:rsidR="00187DA1" w:rsidP="006F0321" w:rsidRDefault="00187DA1" w14:paraId="2E0A7CD6" w14:textId="77777777"/>
    <w:tbl>
      <w:tblPr>
        <w:tblW w:w="9064" w:type="dxa"/>
        <w:tblLayout w:type="fixed"/>
        <w:tblLook w:val="0000" w:firstRow="0" w:lastRow="0" w:firstColumn="0" w:lastColumn="0" w:noHBand="0" w:noVBand="0"/>
      </w:tblPr>
      <w:tblGrid>
        <w:gridCol w:w="2093"/>
        <w:gridCol w:w="6971"/>
      </w:tblGrid>
      <w:tr w:rsidRPr="00E25790" w:rsidR="00141FB2" w:rsidTr="009E664B" w14:paraId="580277AF" w14:textId="77777777">
        <w:trPr>
          <w:cantSplit/>
          <w:trHeight w:val="358"/>
        </w:trPr>
        <w:tc>
          <w:tcPr>
            <w:tcW w:w="2093" w:type="dxa"/>
            <w:tcBorders>
              <w:top w:val="single" w:color="auto" w:sz="6" w:space="0"/>
              <w:left w:val="single" w:color="auto" w:sz="6" w:space="0"/>
              <w:bottom w:val="single" w:color="auto" w:sz="6" w:space="0"/>
            </w:tcBorders>
          </w:tcPr>
          <w:p w:rsidRPr="00E25790" w:rsidR="00141FB2" w:rsidP="009E664B" w:rsidRDefault="00141FB2" w14:paraId="1513370B" w14:textId="77777777">
            <w:r w:rsidRPr="00E25790">
              <w:t>Indicatio</w:t>
            </w:r>
            <w:r w:rsidRPr="00E25790" w:rsidDel="00D51160">
              <w:t>n</w:t>
            </w:r>
            <w:r w:rsidRPr="00E25790">
              <w:t xml:space="preserve"> :  </w:t>
            </w:r>
          </w:p>
        </w:tc>
        <w:tc>
          <w:tcPr>
            <w:tcW w:w="6971" w:type="dxa"/>
            <w:tcBorders>
              <w:top w:val="single" w:color="auto" w:sz="6" w:space="0"/>
              <w:bottom w:val="single" w:color="auto" w:sz="6" w:space="0"/>
              <w:right w:val="single" w:color="auto" w:sz="6" w:space="0"/>
            </w:tcBorders>
          </w:tcPr>
          <w:p w:rsidRPr="00E25790" w:rsidR="00141FB2" w:rsidP="009E664B" w:rsidRDefault="00141FB2" w14:paraId="1D3366FB" w14:textId="77777777">
            <w:pPr>
              <w:spacing w:after="120"/>
            </w:pPr>
            <w:r w:rsidRPr="00E25790">
              <w:t>Antihypertensive agent</w:t>
            </w:r>
          </w:p>
        </w:tc>
      </w:tr>
      <w:tr w:rsidRPr="00E25790" w:rsidR="00141FB2" w:rsidTr="009E664B" w14:paraId="15D572DD" w14:textId="77777777">
        <w:trPr>
          <w:cantSplit/>
          <w:trHeight w:val="973"/>
        </w:trPr>
        <w:tc>
          <w:tcPr>
            <w:tcW w:w="2093" w:type="dxa"/>
            <w:tcBorders>
              <w:top w:val="single" w:color="auto" w:sz="6" w:space="0"/>
              <w:left w:val="single" w:color="auto" w:sz="6" w:space="0"/>
              <w:bottom w:val="single" w:color="auto" w:sz="6" w:space="0"/>
            </w:tcBorders>
          </w:tcPr>
          <w:p w:rsidRPr="00E25790" w:rsidR="00141FB2" w:rsidP="009E664B" w:rsidRDefault="00141FB2" w14:paraId="71B65FDE" w14:textId="77777777">
            <w:r w:rsidRPr="00E25790">
              <w:t>Dose :</w:t>
            </w:r>
          </w:p>
        </w:tc>
        <w:tc>
          <w:tcPr>
            <w:tcW w:w="6971" w:type="dxa"/>
            <w:tcBorders>
              <w:top w:val="single" w:color="auto" w:sz="6" w:space="0"/>
              <w:bottom w:val="single" w:color="auto" w:sz="6" w:space="0"/>
              <w:right w:val="single" w:color="auto" w:sz="6" w:space="0"/>
            </w:tcBorders>
          </w:tcPr>
          <w:p w:rsidR="00141FB2" w:rsidP="009E664B" w:rsidRDefault="00141FB2" w14:paraId="7C88CC0B" w14:textId="77777777">
            <w:r>
              <w:t>Initial dose 0.05-0.2mg/kg</w:t>
            </w:r>
          </w:p>
          <w:p w:rsidRPr="00E25790" w:rsidR="00141FB2" w:rsidP="009E664B" w:rsidRDefault="00141FB2" w14:paraId="2708C0B4" w14:textId="77777777">
            <w:pPr>
              <w:spacing w:after="120"/>
            </w:pPr>
            <w:r>
              <w:t xml:space="preserve">Slowly titrate dose to effect to usual maximum of </w:t>
            </w:r>
            <w:r w:rsidRPr="00E25790">
              <w:t>0.4 mg/kg</w:t>
            </w:r>
            <w:r>
              <w:t xml:space="preserve"> (maximum 0.6mg/kg, recommend subspecialist advice)</w:t>
            </w:r>
          </w:p>
        </w:tc>
      </w:tr>
      <w:tr w:rsidRPr="00E25790" w:rsidR="00141FB2" w:rsidTr="009E664B" w14:paraId="2B38DC29" w14:textId="77777777">
        <w:trPr>
          <w:cantSplit/>
          <w:trHeight w:val="376"/>
        </w:trPr>
        <w:tc>
          <w:tcPr>
            <w:tcW w:w="2093" w:type="dxa"/>
            <w:tcBorders>
              <w:top w:val="single" w:color="auto" w:sz="6" w:space="0"/>
              <w:left w:val="single" w:color="auto" w:sz="6" w:space="0"/>
              <w:bottom w:val="single" w:color="auto" w:sz="6" w:space="0"/>
            </w:tcBorders>
          </w:tcPr>
          <w:p w:rsidRPr="00E25790" w:rsidR="00141FB2" w:rsidP="009E664B" w:rsidRDefault="00141FB2" w14:paraId="38A447FA" w14:textId="77777777">
            <w:r w:rsidRPr="00E25790">
              <w:t>Interval :</w:t>
            </w:r>
          </w:p>
        </w:tc>
        <w:tc>
          <w:tcPr>
            <w:tcW w:w="6971" w:type="dxa"/>
            <w:tcBorders>
              <w:top w:val="single" w:color="auto" w:sz="6" w:space="0"/>
              <w:bottom w:val="single" w:color="auto" w:sz="6" w:space="0"/>
              <w:right w:val="single" w:color="auto" w:sz="6" w:space="0"/>
            </w:tcBorders>
          </w:tcPr>
          <w:p w:rsidRPr="00E25790" w:rsidR="00141FB2" w:rsidP="009E664B" w:rsidRDefault="00141FB2" w14:paraId="116A046F" w14:textId="77777777">
            <w:pPr>
              <w:spacing w:after="120"/>
            </w:pPr>
            <w:r>
              <w:t xml:space="preserve">Once </w:t>
            </w:r>
            <w:r w:rsidRPr="00E25790">
              <w:t>Daily</w:t>
            </w:r>
          </w:p>
        </w:tc>
      </w:tr>
      <w:tr w:rsidRPr="00E25790" w:rsidR="00141FB2" w:rsidTr="009E664B" w14:paraId="23F11649" w14:textId="77777777">
        <w:trPr>
          <w:cantSplit/>
          <w:trHeight w:val="298"/>
        </w:trPr>
        <w:tc>
          <w:tcPr>
            <w:tcW w:w="2093" w:type="dxa"/>
            <w:tcBorders>
              <w:top w:val="single" w:color="auto" w:sz="6" w:space="0"/>
              <w:left w:val="single" w:color="auto" w:sz="6" w:space="0"/>
              <w:bottom w:val="single" w:color="auto" w:sz="6" w:space="0"/>
            </w:tcBorders>
          </w:tcPr>
          <w:p w:rsidRPr="00E25790" w:rsidR="00141FB2" w:rsidP="009E664B" w:rsidRDefault="00141FB2" w14:paraId="3F62CF76" w14:textId="77777777">
            <w:r w:rsidRPr="00E25790">
              <w:t>Route :</w:t>
            </w:r>
          </w:p>
        </w:tc>
        <w:tc>
          <w:tcPr>
            <w:tcW w:w="6971" w:type="dxa"/>
            <w:tcBorders>
              <w:top w:val="single" w:color="auto" w:sz="6" w:space="0"/>
              <w:bottom w:val="single" w:color="auto" w:sz="6" w:space="0"/>
              <w:right w:val="single" w:color="auto" w:sz="6" w:space="0"/>
            </w:tcBorders>
          </w:tcPr>
          <w:p w:rsidRPr="00E25790" w:rsidR="00141FB2" w:rsidP="009E664B" w:rsidRDefault="00141FB2" w14:paraId="4CBDAF0B" w14:textId="77777777">
            <w:pPr>
              <w:spacing w:after="120"/>
            </w:pPr>
            <w:r w:rsidRPr="00E25790">
              <w:t xml:space="preserve">Oral </w:t>
            </w:r>
          </w:p>
        </w:tc>
      </w:tr>
      <w:tr w:rsidRPr="00E25790" w:rsidR="00141FB2" w:rsidTr="009E664B" w14:paraId="06B23330"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72F0A776" w14:textId="77777777">
            <w:r w:rsidRPr="00E25790">
              <w:t>Total Daily Dose :</w:t>
            </w:r>
          </w:p>
        </w:tc>
        <w:tc>
          <w:tcPr>
            <w:tcW w:w="6971" w:type="dxa"/>
            <w:tcBorders>
              <w:top w:val="single" w:color="auto" w:sz="6" w:space="0"/>
              <w:bottom w:val="single" w:color="auto" w:sz="6" w:space="0"/>
              <w:right w:val="single" w:color="auto" w:sz="6" w:space="0"/>
            </w:tcBorders>
          </w:tcPr>
          <w:p w:rsidRPr="00E25790" w:rsidR="00141FB2" w:rsidP="009E664B" w:rsidRDefault="00141FB2" w14:paraId="15555BDF" w14:textId="77777777">
            <w:pPr>
              <w:spacing w:after="120"/>
            </w:pPr>
            <w:r>
              <w:t>Usual m</w:t>
            </w:r>
            <w:r w:rsidRPr="00E25790">
              <w:t>aximum dose 0.4 mg/kg/day</w:t>
            </w:r>
          </w:p>
        </w:tc>
      </w:tr>
      <w:tr w:rsidRPr="00E25790" w:rsidR="00141FB2" w:rsidTr="009E664B" w14:paraId="22220AEE" w14:textId="77777777">
        <w:trPr>
          <w:cantSplit/>
          <w:trHeight w:val="1200"/>
        </w:trPr>
        <w:tc>
          <w:tcPr>
            <w:tcW w:w="2093" w:type="dxa"/>
            <w:tcBorders>
              <w:top w:val="single" w:color="auto" w:sz="6" w:space="0"/>
              <w:left w:val="single" w:color="auto" w:sz="6" w:space="0"/>
              <w:bottom w:val="single" w:color="auto" w:sz="6" w:space="0"/>
            </w:tcBorders>
          </w:tcPr>
          <w:p w:rsidRPr="00E25790" w:rsidR="00141FB2" w:rsidP="009E664B" w:rsidRDefault="00141FB2" w14:paraId="7D625C40" w14:textId="77777777">
            <w:r w:rsidRPr="00E25790">
              <w:t>Comments :</w:t>
            </w:r>
          </w:p>
        </w:tc>
        <w:tc>
          <w:tcPr>
            <w:tcW w:w="6971" w:type="dxa"/>
            <w:tcBorders>
              <w:top w:val="single" w:color="auto" w:sz="6" w:space="0"/>
              <w:bottom w:val="single" w:color="auto" w:sz="6" w:space="0"/>
              <w:right w:val="single" w:color="auto" w:sz="6" w:space="0"/>
            </w:tcBorders>
          </w:tcPr>
          <w:p w:rsidR="00141FB2" w:rsidP="009E664B" w:rsidRDefault="00141FB2" w14:paraId="4179FCB6" w14:textId="77777777">
            <w:r w:rsidRPr="00E25790">
              <w:t xml:space="preserve">Amlodipine is a long acting dihydropyridine calcium channel antagonist with resultant antihypertensive activity related to smooth muscle relaxation. </w:t>
            </w:r>
          </w:p>
          <w:p w:rsidR="00141FB2" w:rsidP="009E664B" w:rsidRDefault="00141FB2" w14:paraId="7FE09686" w14:textId="77777777">
            <w:r>
              <w:t>Slow onset of action, do not repeat dose due to perceived lack of effect as this may precipitate overdosage.</w:t>
            </w:r>
          </w:p>
          <w:p w:rsidR="00141FB2" w:rsidP="009E664B" w:rsidRDefault="00141FB2" w14:paraId="65FB8CA9" w14:textId="77777777">
            <w:r>
              <w:t>Invasive or regular non invasive (1</w:t>
            </w:r>
            <w:r w:rsidRPr="00D51160">
              <w:rPr>
                <w:vertAlign w:val="superscript"/>
              </w:rPr>
              <w:t>st</w:t>
            </w:r>
            <w:r>
              <w:t xml:space="preserve"> reading 1-2 hours after dose then 3-6hrly blood pressure monitoring should occur for 48hrs after initiation and any dose titration)</w:t>
            </w:r>
          </w:p>
          <w:p w:rsidR="00141FB2" w:rsidP="009E664B" w:rsidRDefault="00141FB2" w14:paraId="7E502481" w14:textId="77777777">
            <w:r>
              <w:t>Use with caution with left heart outflow obstruction (aortic stenosis, coarctation) and with heart failure</w:t>
            </w:r>
          </w:p>
          <w:p w:rsidR="00141FB2" w:rsidP="009E664B" w:rsidRDefault="00141FB2" w14:paraId="63956564" w14:textId="77777777">
            <w:r w:rsidRPr="00E25790">
              <w:t xml:space="preserve">Adverse effects may include hypotension, feed intolerance and alteration of liver function tests, flushing, peripheral oedema and palpitations. Caution when used in combination with other </w:t>
            </w:r>
            <w:r>
              <w:t>medication which may lower blood pressure</w:t>
            </w:r>
            <w:r w:rsidRPr="00E25790">
              <w:t>.</w:t>
            </w:r>
            <w:r>
              <w:t xml:space="preserve"> </w:t>
            </w:r>
          </w:p>
          <w:p w:rsidR="00141FB2" w:rsidP="009E664B" w:rsidRDefault="00141FB2" w14:paraId="755FA955" w14:textId="77777777">
            <w:r>
              <w:t>Overdose syndrome may cause profound treatment resistant shock, hypotension and bradycardia.</w:t>
            </w:r>
            <w:r w:rsidRPr="00E25790">
              <w:t xml:space="preserve"> </w:t>
            </w:r>
          </w:p>
          <w:p w:rsidRPr="00E25790" w:rsidR="00141FB2" w:rsidP="009E664B" w:rsidRDefault="00141FB2" w14:paraId="71F01351" w14:textId="77777777">
            <w:pPr>
              <w:spacing w:after="120"/>
            </w:pPr>
            <w:r w:rsidRPr="00E25790">
              <w:t xml:space="preserve">Caution when used with other medications metabolised via CYP3A4 (eg </w:t>
            </w:r>
            <w:r>
              <w:t xml:space="preserve">CYP3A4 inhibitors </w:t>
            </w:r>
            <w:r w:rsidRPr="00E25790">
              <w:t xml:space="preserve">erythromycin, </w:t>
            </w:r>
            <w:r>
              <w:t xml:space="preserve">azole </w:t>
            </w:r>
            <w:r w:rsidRPr="00E25790">
              <w:t>antifungals</w:t>
            </w:r>
            <w:r>
              <w:t xml:space="preserve"> may potentiate effects causing hypotension; CYP3A4 inducers Phenobarbitone and rifampicin may reduce effects</w:t>
            </w:r>
            <w:r w:rsidRPr="00E25790">
              <w:t>).</w:t>
            </w:r>
          </w:p>
        </w:tc>
      </w:tr>
      <w:tr w:rsidRPr="00E25790" w:rsidR="00141FB2" w:rsidTr="009E664B" w14:paraId="0AD570D2"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0F0A13B9" w14:textId="77777777">
            <w:r w:rsidRPr="00E25790">
              <w:t>Supplied as :</w:t>
            </w:r>
          </w:p>
        </w:tc>
        <w:tc>
          <w:tcPr>
            <w:tcW w:w="6971" w:type="dxa"/>
            <w:tcBorders>
              <w:top w:val="single" w:color="auto" w:sz="6" w:space="0"/>
              <w:bottom w:val="single" w:color="auto" w:sz="6" w:space="0"/>
              <w:right w:val="single" w:color="auto" w:sz="6" w:space="0"/>
            </w:tcBorders>
          </w:tcPr>
          <w:p w:rsidRPr="00E25790" w:rsidR="00141FB2" w:rsidP="009E664B" w:rsidRDefault="00141FB2" w14:paraId="10A349B8" w14:textId="77777777">
            <w:pPr>
              <w:rPr>
                <w:color w:val="1F497D"/>
              </w:rPr>
            </w:pPr>
            <w:r w:rsidRPr="00E25790">
              <w:t>5 mg tablet</w:t>
            </w:r>
          </w:p>
          <w:p w:rsidRPr="00E25790" w:rsidR="00141FB2" w:rsidP="009E664B" w:rsidRDefault="00141FB2" w14:paraId="634FE372" w14:textId="77777777">
            <w:pPr>
              <w:spacing w:after="120"/>
            </w:pPr>
            <w:r w:rsidRPr="00E25790">
              <w:t>1mg/mL Suspension (made in pharmacy)</w:t>
            </w:r>
          </w:p>
        </w:tc>
      </w:tr>
      <w:tr w:rsidRPr="00E25790" w:rsidR="00141FB2" w:rsidTr="009E664B" w14:paraId="68D62F75" w14:textId="77777777">
        <w:trPr>
          <w:cantSplit/>
          <w:trHeight w:val="960"/>
        </w:trPr>
        <w:tc>
          <w:tcPr>
            <w:tcW w:w="2093" w:type="dxa"/>
            <w:tcBorders>
              <w:top w:val="single" w:color="auto" w:sz="6" w:space="0"/>
              <w:left w:val="single" w:color="auto" w:sz="6" w:space="0"/>
              <w:bottom w:val="single" w:color="auto" w:sz="6" w:space="0"/>
            </w:tcBorders>
          </w:tcPr>
          <w:p w:rsidRPr="00E25790" w:rsidR="00141FB2" w:rsidP="009E664B" w:rsidRDefault="00141FB2" w14:paraId="3955EB0D" w14:textId="77777777">
            <w:r w:rsidRPr="00E25790">
              <w:t>Dilution :</w:t>
            </w:r>
          </w:p>
        </w:tc>
        <w:tc>
          <w:tcPr>
            <w:tcW w:w="6971" w:type="dxa"/>
            <w:tcBorders>
              <w:top w:val="single" w:color="auto" w:sz="6" w:space="0"/>
              <w:bottom w:val="single" w:color="auto" w:sz="6" w:space="0"/>
              <w:right w:val="single" w:color="auto" w:sz="6" w:space="0"/>
            </w:tcBorders>
          </w:tcPr>
          <w:p w:rsidRPr="00E25790" w:rsidR="00141FB2" w:rsidP="009E664B" w:rsidRDefault="00141FB2" w14:paraId="3027257E" w14:textId="77777777">
            <w:pPr>
              <w:spacing w:after="120"/>
            </w:pPr>
            <w:r w:rsidRPr="00E25790">
              <w:t xml:space="preserve">Pharmacy will prepare a 1mg/mL suspension during normal hours. For doses after hours, crush and disperse a 5mg tablet in 5mL of sterile water to make a 1mg/mL mixture. Shake for even drug distribution immediately prior to drawing up dose and discard remainder.  Use immediately as amlodipine is very sensitive to light. </w:t>
            </w:r>
          </w:p>
        </w:tc>
      </w:tr>
      <w:tr w:rsidRPr="00E25790" w:rsidR="00141FB2" w:rsidTr="009E664B" w14:paraId="53F1AA72"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7BE78FCA" w14:textId="77777777">
            <w:r w:rsidRPr="00E25790">
              <w:lastRenderedPageBreak/>
              <w:t>Stability :</w:t>
            </w:r>
          </w:p>
        </w:tc>
        <w:tc>
          <w:tcPr>
            <w:tcW w:w="6971" w:type="dxa"/>
            <w:tcBorders>
              <w:top w:val="single" w:color="auto" w:sz="6" w:space="0"/>
              <w:bottom w:val="single" w:color="auto" w:sz="6" w:space="0"/>
              <w:right w:val="single" w:color="auto" w:sz="6" w:space="0"/>
            </w:tcBorders>
          </w:tcPr>
          <w:p w:rsidRPr="00E25790" w:rsidR="00141FB2" w:rsidP="009E664B" w:rsidRDefault="00141FB2" w14:paraId="7D8434FC" w14:textId="77777777">
            <w:pPr>
              <w:spacing w:after="120"/>
            </w:pPr>
            <w:r w:rsidRPr="00E25790">
              <w:t xml:space="preserve">Use </w:t>
            </w:r>
            <w:r>
              <w:t xml:space="preserve">prepared medication </w:t>
            </w:r>
            <w:r w:rsidRPr="00E25790">
              <w:t>immediately as amlodipine is very sensitive to light.</w:t>
            </w:r>
          </w:p>
        </w:tc>
      </w:tr>
      <w:tr w:rsidRPr="00E25790" w:rsidR="00141FB2" w:rsidTr="009E664B" w14:paraId="2D0CDBAD"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7924BDD6" w14:textId="77777777">
            <w:r w:rsidRPr="00E25790">
              <w:t>Storage :</w:t>
            </w:r>
          </w:p>
        </w:tc>
        <w:tc>
          <w:tcPr>
            <w:tcW w:w="6971" w:type="dxa"/>
            <w:tcBorders>
              <w:top w:val="single" w:color="auto" w:sz="6" w:space="0"/>
              <w:bottom w:val="single" w:color="auto" w:sz="6" w:space="0"/>
              <w:right w:val="single" w:color="auto" w:sz="6" w:space="0"/>
            </w:tcBorders>
          </w:tcPr>
          <w:p w:rsidRPr="00E25790" w:rsidR="00141FB2" w:rsidP="009E664B" w:rsidRDefault="00141FB2" w14:paraId="1193C690" w14:textId="77777777">
            <w:r w:rsidRPr="00E25790">
              <w:t xml:space="preserve">Store below 25 degrees Celsius (tablets and mixture). </w:t>
            </w:r>
          </w:p>
          <w:p w:rsidRPr="00E25790" w:rsidR="00141FB2" w:rsidP="009E664B" w:rsidRDefault="00141FB2" w14:paraId="6D3533B0" w14:textId="77777777">
            <w:pPr>
              <w:spacing w:after="120"/>
            </w:pPr>
            <w:r w:rsidRPr="00E25790">
              <w:t>Protect from light.</w:t>
            </w:r>
          </w:p>
        </w:tc>
      </w:tr>
      <w:tr w:rsidRPr="00E25790" w:rsidR="00141FB2" w:rsidTr="009E664B" w14:paraId="629EC40F"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615455AF" w14:textId="77777777">
            <w:r w:rsidRPr="00E25790">
              <w:t>Incompatibility :</w:t>
            </w:r>
          </w:p>
        </w:tc>
        <w:tc>
          <w:tcPr>
            <w:tcW w:w="6971" w:type="dxa"/>
            <w:tcBorders>
              <w:top w:val="single" w:color="auto" w:sz="6" w:space="0"/>
              <w:bottom w:val="single" w:color="auto" w:sz="6" w:space="0"/>
              <w:right w:val="single" w:color="auto" w:sz="6" w:space="0"/>
            </w:tcBorders>
          </w:tcPr>
          <w:p w:rsidRPr="00E25790" w:rsidR="00141FB2" w:rsidP="009E664B" w:rsidRDefault="00141FB2" w14:paraId="7B68129B" w14:textId="77777777"/>
        </w:tc>
      </w:tr>
      <w:tr w:rsidRPr="00E25790" w:rsidR="00141FB2" w:rsidTr="009E664B" w14:paraId="4342F2D5"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7FD4681C" w14:textId="77777777">
            <w:r w:rsidRPr="00E25790">
              <w:t>Serum Levels :</w:t>
            </w:r>
          </w:p>
        </w:tc>
        <w:tc>
          <w:tcPr>
            <w:tcW w:w="6971" w:type="dxa"/>
            <w:tcBorders>
              <w:top w:val="single" w:color="auto" w:sz="6" w:space="0"/>
              <w:bottom w:val="single" w:color="auto" w:sz="6" w:space="0"/>
              <w:right w:val="single" w:color="auto" w:sz="6" w:space="0"/>
            </w:tcBorders>
          </w:tcPr>
          <w:p w:rsidRPr="00E25790" w:rsidR="00141FB2" w:rsidP="009E664B" w:rsidRDefault="00141FB2" w14:paraId="12AAF342" w14:textId="77777777">
            <w:r>
              <w:t>Not applicable</w:t>
            </w:r>
          </w:p>
        </w:tc>
      </w:tr>
      <w:tr w:rsidRPr="00E25790" w:rsidR="00141FB2" w:rsidTr="009E664B" w14:paraId="50DA17B0" w14:textId="77777777">
        <w:trPr>
          <w:cantSplit/>
          <w:trHeight w:val="480"/>
        </w:trPr>
        <w:tc>
          <w:tcPr>
            <w:tcW w:w="2093" w:type="dxa"/>
            <w:tcBorders>
              <w:top w:val="single" w:color="auto" w:sz="6" w:space="0"/>
              <w:left w:val="single" w:color="auto" w:sz="6" w:space="0"/>
              <w:bottom w:val="single" w:color="auto" w:sz="6" w:space="0"/>
            </w:tcBorders>
          </w:tcPr>
          <w:p w:rsidRPr="00E25790" w:rsidR="00141FB2" w:rsidP="009E664B" w:rsidRDefault="00141FB2" w14:paraId="7A6AB6A2" w14:textId="77777777">
            <w:r>
              <w:t xml:space="preserve">References:  </w:t>
            </w:r>
          </w:p>
        </w:tc>
        <w:tc>
          <w:tcPr>
            <w:tcW w:w="6971" w:type="dxa"/>
            <w:tcBorders>
              <w:top w:val="single" w:color="auto" w:sz="6" w:space="0"/>
              <w:bottom w:val="single" w:color="auto" w:sz="6" w:space="0"/>
              <w:right w:val="single" w:color="auto" w:sz="6" w:space="0"/>
            </w:tcBorders>
          </w:tcPr>
          <w:p w:rsidR="00141FB2" w:rsidP="009E664B" w:rsidRDefault="00141FB2" w14:paraId="6AED5C36" w14:textId="77777777">
            <w:r>
              <w:t xml:space="preserve">1. AMH children, Amlodipine monograph latest update July 2020 </w:t>
            </w:r>
            <w:hyperlink w:history="1" r:id="rId13">
              <w:r w:rsidRPr="00630EE0">
                <w:rPr>
                  <w:rStyle w:val="Hyperlink"/>
                </w:rPr>
                <w:t>https://childrens.amh.net.au/monographs/amlodipine</w:t>
              </w:r>
            </w:hyperlink>
          </w:p>
          <w:p w:rsidR="00141FB2" w:rsidP="009E664B" w:rsidRDefault="00141FB2" w14:paraId="2EF76B18" w14:textId="77777777">
            <w:r>
              <w:t xml:space="preserve">2. Up To Date; Amlodipine Paediatric Drug Information, accessed Oct 2020 </w:t>
            </w:r>
          </w:p>
          <w:p w:rsidR="00141FB2" w:rsidP="009E664B" w:rsidRDefault="006B3E26" w14:paraId="64D44BB6" w14:textId="77777777">
            <w:hyperlink w:history="1" r:id="rId14">
              <w:r w:rsidRPr="00630EE0" w:rsidR="00141FB2">
                <w:rPr>
                  <w:rStyle w:val="Hyperlink"/>
                </w:rPr>
                <w:t>https://www.uptodate.com/contents/amlodipine-pediatric-drug-information?search=amlodipine%20paediatric&amp;topicRef=16308&amp;source=see_link</w:t>
              </w:r>
            </w:hyperlink>
          </w:p>
          <w:p w:rsidR="00141FB2" w:rsidP="009E664B" w:rsidRDefault="00141FB2" w14:paraId="3F6976B5" w14:textId="77777777">
            <w:r>
              <w:t>3. Drug doses, 17</w:t>
            </w:r>
            <w:r w:rsidRPr="00B459EF">
              <w:rPr>
                <w:vertAlign w:val="superscript"/>
              </w:rPr>
              <w:t>th</w:t>
            </w:r>
            <w:r>
              <w:t xml:space="preserve"> Ed Frank Shann Melbourne 2017</w:t>
            </w:r>
          </w:p>
          <w:p w:rsidR="00141FB2" w:rsidP="009E664B" w:rsidRDefault="00141FB2" w14:paraId="4BFBE5AE" w14:textId="77777777">
            <w:r>
              <w:t>4. eTG Complete, Cardiovascular, Urgent control of elevated blood pressure  Therapeutic Guidelines  August 2020 Edition</w:t>
            </w:r>
          </w:p>
          <w:p w:rsidR="00141FB2" w:rsidP="009E664B" w:rsidRDefault="006B3E26" w14:paraId="19A71B94" w14:textId="77777777">
            <w:pPr>
              <w:spacing w:after="120"/>
              <w:rPr>
                <w:rStyle w:val="Hyperlink"/>
              </w:rPr>
            </w:pPr>
            <w:hyperlink w:history="1" w:anchor="toc_d1e652" r:id="rId15">
              <w:r w:rsidRPr="00630EE0" w:rsidR="00141FB2">
                <w:rPr>
                  <w:rStyle w:val="Hyperlink"/>
                </w:rPr>
                <w:t>https://tgldcdp.tg.org.au/viewTopic?topicfile=urgent-control-severe-bp-elevation#toc_d1e652</w:t>
              </w:r>
            </w:hyperlink>
          </w:p>
          <w:p w:rsidRPr="001460B9" w:rsidR="00141FB2" w:rsidP="009E664B" w:rsidRDefault="00141FB2" w14:paraId="3AD9CEAA" w14:textId="77777777">
            <w:pPr>
              <w:spacing w:after="120"/>
            </w:pPr>
            <w:r w:rsidRPr="001460B9">
              <w:rPr>
                <w:rStyle w:val="Hyperlink"/>
                <w:color w:val="auto"/>
                <w:u w:val="none"/>
              </w:rPr>
              <w:t xml:space="preserve">5.Ainsworth, S; </w:t>
            </w:r>
            <w:r w:rsidRPr="001460B9">
              <w:rPr>
                <w:rStyle w:val="Hyperlink"/>
                <w:i/>
                <w:iCs/>
                <w:color w:val="auto"/>
                <w:u w:val="none"/>
              </w:rPr>
              <w:t xml:space="preserve">Neonatal Formulary </w:t>
            </w:r>
            <w:r w:rsidRPr="001460B9">
              <w:rPr>
                <w:rStyle w:val="Hyperlink"/>
                <w:color w:val="auto"/>
                <w:u w:val="none"/>
              </w:rPr>
              <w:t>8</w:t>
            </w:r>
            <w:r w:rsidRPr="001460B9">
              <w:rPr>
                <w:rStyle w:val="Hyperlink"/>
                <w:color w:val="auto"/>
                <w:u w:val="none"/>
                <w:vertAlign w:val="superscript"/>
              </w:rPr>
              <w:t>th</w:t>
            </w:r>
            <w:r w:rsidRPr="001460B9">
              <w:rPr>
                <w:rStyle w:val="Hyperlink"/>
                <w:color w:val="auto"/>
                <w:u w:val="none"/>
              </w:rPr>
              <w:t xml:space="preserve"> ed. 2020, Oxford University Press</w:t>
            </w:r>
          </w:p>
        </w:tc>
      </w:tr>
    </w:tbl>
    <w:p w:rsidRPr="00E25790" w:rsidR="00187DA1" w:rsidP="006F0321" w:rsidRDefault="00187DA1" w14:paraId="42A22A84"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111571" w:rsidTr="009E664B" w14:paraId="6A5C22F9"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73C5C3FC" w14:textId="477A4865">
            <w:pPr>
              <w:spacing w:line="252" w:lineRule="auto"/>
              <w:rPr>
                <w:sz w:val="22"/>
                <w:lang w:val="en-AU"/>
              </w:rPr>
            </w:pPr>
            <w:r>
              <w:t>Original version Date: 2013</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04FC9E93" w14:textId="57838081">
            <w:pPr>
              <w:spacing w:line="252" w:lineRule="auto"/>
            </w:pPr>
            <w:r>
              <w:t>Author: AK, JD</w:t>
            </w:r>
          </w:p>
        </w:tc>
      </w:tr>
      <w:tr w:rsidR="00111571" w:rsidTr="009E664B" w14:paraId="65756DBF"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6BB6A5C9" w14:textId="09AB12B6">
            <w:pPr>
              <w:spacing w:line="252" w:lineRule="auto"/>
            </w:pPr>
            <w:r>
              <w:t>Current Version number:  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59030F79" w14:textId="26F6169C">
            <w:pPr>
              <w:spacing w:line="252" w:lineRule="auto"/>
            </w:pPr>
            <w:r>
              <w:t>Current Version Date:  29/10/2020</w:t>
            </w:r>
          </w:p>
        </w:tc>
      </w:tr>
      <w:tr w:rsidR="00111571" w:rsidTr="009E664B" w14:paraId="43FF62BF"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65001B97" w14:textId="47E42596">
            <w:pPr>
              <w:spacing w:line="252" w:lineRule="auto"/>
            </w:pPr>
            <w:r>
              <w:t xml:space="preserve">Risk Rating: </w:t>
            </w:r>
            <w:r w:rsidR="00A7025A">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502F5C93" w14:textId="32FED236">
            <w:pPr>
              <w:spacing w:line="252" w:lineRule="auto"/>
            </w:pPr>
            <w:r>
              <w:t>Due for Review:  29/10/2025</w:t>
            </w:r>
          </w:p>
        </w:tc>
      </w:tr>
      <w:tr w:rsidR="00111571" w:rsidTr="009E664B" w14:paraId="632A1801"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377C1014"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11571" w:rsidP="009E664B" w:rsidRDefault="00111571" w14:paraId="2D81AF2D" w14:textId="72DF4732">
            <w:pPr>
              <w:spacing w:line="252" w:lineRule="auto"/>
            </w:pPr>
            <w:r>
              <w:t xml:space="preserve">Approval Date: </w:t>
            </w:r>
            <w:r w:rsidR="00260BC8">
              <w:t>APRIL 2021</w:t>
            </w:r>
          </w:p>
        </w:tc>
      </w:tr>
    </w:tbl>
    <w:p w:rsidR="001E0BD5" w:rsidP="006F0321" w:rsidRDefault="001E0BD5" w14:paraId="097783D4" w14:textId="77777777"/>
    <w:p w:rsidR="001E0BD5" w:rsidP="006F0321" w:rsidRDefault="001E0BD5" w14:paraId="7DF72BAC" w14:textId="77777777"/>
    <w:p w:rsidR="001E0BD5" w:rsidP="006F0321" w:rsidRDefault="001E0BD5" w14:paraId="2F03D309" w14:textId="77777777"/>
    <w:p w:rsidR="001E0BD5" w:rsidP="006F0321" w:rsidRDefault="001E0BD5" w14:paraId="3273EE4A" w14:textId="77777777"/>
    <w:p w:rsidR="001E0BD5" w:rsidP="006F0321" w:rsidRDefault="001E0BD5" w14:paraId="422327D3" w14:textId="77777777"/>
    <w:p w:rsidR="001E0BD5" w:rsidP="006F0321" w:rsidRDefault="001E0BD5" w14:paraId="0E620B9D" w14:textId="77777777"/>
    <w:p w:rsidR="001E0BD5" w:rsidP="006F0321" w:rsidRDefault="001E0BD5" w14:paraId="39BD0B3D" w14:textId="77777777"/>
    <w:p w:rsidR="001E0BD5" w:rsidP="006F0321" w:rsidRDefault="001E0BD5" w14:paraId="4E2E7E7F" w14:textId="77777777"/>
    <w:p w:rsidR="001E0BD5" w:rsidP="006F0321" w:rsidRDefault="001E0BD5" w14:paraId="673B646F" w14:textId="77777777"/>
    <w:p w:rsidR="001E0BD5" w:rsidP="006F0321" w:rsidRDefault="001E0BD5" w14:paraId="57FFC8EB" w14:textId="77777777"/>
    <w:p w:rsidR="001E0BD5" w:rsidP="006F0321" w:rsidRDefault="001E0BD5" w14:paraId="4858B294" w14:textId="77777777"/>
    <w:p w:rsidR="001E0BD5" w:rsidP="006F0321" w:rsidRDefault="001E0BD5" w14:paraId="3F1DEE31" w14:textId="77777777"/>
    <w:p w:rsidR="001E0BD5" w:rsidP="006F0321" w:rsidRDefault="001E0BD5" w14:paraId="27B26A60" w14:textId="77777777"/>
    <w:p w:rsidR="009F0974" w:rsidP="006F0321" w:rsidRDefault="009F0974" w14:paraId="758E9197" w14:textId="77777777"/>
    <w:p w:rsidR="001E0BD5" w:rsidP="006F0321" w:rsidRDefault="001E0BD5" w14:paraId="768058D7" w14:textId="77777777"/>
    <w:p w:rsidR="001E0BD5" w:rsidP="006F0321" w:rsidRDefault="001E0BD5" w14:paraId="2595E3BD" w14:textId="77777777"/>
    <w:tbl>
      <w:tblPr>
        <w:tblW w:w="9049" w:type="dxa"/>
        <w:tblLayout w:type="fixed"/>
        <w:tblLook w:val="0000" w:firstRow="0" w:lastRow="0" w:firstColumn="0" w:lastColumn="0" w:noHBand="0" w:noVBand="0"/>
      </w:tblPr>
      <w:tblGrid>
        <w:gridCol w:w="4153"/>
        <w:gridCol w:w="4896"/>
      </w:tblGrid>
      <w:tr w:rsidRPr="00E25790" w:rsidR="009F0974" w:rsidTr="0059793A" w14:paraId="63A972C3"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9F0974" w:rsidP="00D03862" w:rsidRDefault="009F0974" w14:paraId="7CA511D1" w14:textId="5591C238">
            <w:pPr>
              <w:pStyle w:val="Heading1"/>
            </w:pPr>
            <w:bookmarkStart w:name="_Toc75339933" w:id="74"/>
            <w:r w:rsidRPr="00E25790">
              <w:lastRenderedPageBreak/>
              <w:t>Am</w:t>
            </w:r>
            <w:r>
              <w:t>oxycil</w:t>
            </w:r>
            <w:r w:rsidR="005C0B5E">
              <w:t>li</w:t>
            </w:r>
            <w:r>
              <w:t>n</w:t>
            </w:r>
            <w:bookmarkEnd w:id="74"/>
            <w:r w:rsidRPr="00E25790">
              <w:fldChar w:fldCharType="begin"/>
            </w:r>
            <w:r w:rsidRPr="00E25790">
              <w:instrText>tc "CAP Trial" \l 0</w:instrText>
            </w:r>
            <w:r w:rsidRPr="00E25790">
              <w:fldChar w:fldCharType="end"/>
            </w:r>
          </w:p>
        </w:tc>
      </w:tr>
      <w:tr w:rsidRPr="00E25790" w:rsidR="009F0974" w:rsidTr="0059793A" w14:paraId="445EA1B8"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9F0974" w:rsidP="0059793A" w:rsidRDefault="009F0974" w14:paraId="76A49C25" w14:textId="186940D8">
            <w:r w:rsidRPr="00E25790">
              <w:t xml:space="preserve">Revision Date : </w:t>
            </w:r>
            <w:r w:rsidR="00E235EF">
              <w:t>18-6</w:t>
            </w:r>
            <w:r w:rsidR="00C261E9">
              <w:t>-202</w:t>
            </w:r>
            <w:r w:rsidR="00E235EF">
              <w:t>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9F0974" w:rsidP="0059793A" w:rsidRDefault="009F0974" w14:paraId="24073A91" w14:textId="47F56429">
            <w:r w:rsidRPr="00E25790">
              <w:t xml:space="preserve">Approved : </w:t>
            </w:r>
            <w:r>
              <w:t>TC, KOH</w:t>
            </w:r>
          </w:p>
        </w:tc>
      </w:tr>
    </w:tbl>
    <w:p w:rsidR="001E0BD5" w:rsidP="006F0321" w:rsidRDefault="001E0BD5" w14:paraId="189F13D4" w14:textId="77777777"/>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014"/>
        <w:gridCol w:w="7371"/>
      </w:tblGrid>
      <w:tr w:rsidRPr="009D7CFB" w:rsidR="005C3258" w:rsidTr="005C3258" w14:paraId="383EFF18" w14:textId="77777777">
        <w:tc>
          <w:tcPr>
            <w:tcW w:w="2014" w:type="dxa"/>
          </w:tcPr>
          <w:p w:rsidRPr="009D7CFB" w:rsidR="005C3258" w:rsidP="00131848" w:rsidRDefault="005C3258" w14:paraId="1DD9A390" w14:textId="77777777">
            <w:pPr>
              <w:pStyle w:val="BodyText"/>
              <w:tabs>
                <w:tab w:val="center" w:pos="1476"/>
              </w:tabs>
              <w:rPr>
                <w:rFonts w:cs="Arial"/>
                <w:b/>
                <w:sz w:val="22"/>
                <w:szCs w:val="22"/>
              </w:rPr>
            </w:pPr>
            <w:r w:rsidRPr="009D7CFB">
              <w:rPr>
                <w:rFonts w:cs="Arial"/>
                <w:b/>
                <w:sz w:val="22"/>
                <w:szCs w:val="22"/>
              </w:rPr>
              <w:t>Alert</w:t>
            </w:r>
            <w:r w:rsidRPr="009D7CFB">
              <w:rPr>
                <w:rFonts w:cs="Arial"/>
                <w:b/>
                <w:sz w:val="22"/>
                <w:szCs w:val="22"/>
              </w:rPr>
              <w:tab/>
            </w:r>
          </w:p>
          <w:p w:rsidRPr="009D7CFB" w:rsidR="005C3258" w:rsidP="00131848" w:rsidRDefault="005C3258" w14:paraId="4164883B" w14:textId="77777777">
            <w:pPr>
              <w:pStyle w:val="BodyText"/>
              <w:tabs>
                <w:tab w:val="center" w:pos="1476"/>
              </w:tabs>
              <w:rPr>
                <w:rFonts w:cs="Arial"/>
                <w:b/>
                <w:sz w:val="20"/>
              </w:rPr>
            </w:pPr>
            <w:r w:rsidRPr="009D7CFB">
              <w:rPr>
                <w:rFonts w:cs="Arial"/>
                <w:b/>
                <w:sz w:val="20"/>
              </w:rPr>
              <w:t xml:space="preserve"> </w:t>
            </w:r>
          </w:p>
        </w:tc>
        <w:tc>
          <w:tcPr>
            <w:tcW w:w="7371" w:type="dxa"/>
          </w:tcPr>
          <w:p w:rsidR="005C3258" w:rsidP="00131848" w:rsidRDefault="005C3258" w14:paraId="48CB0CC2" w14:textId="77777777">
            <w:pPr>
              <w:pStyle w:val="BodyText"/>
              <w:rPr>
                <w:sz w:val="20"/>
              </w:rPr>
            </w:pPr>
            <w:r>
              <w:rPr>
                <w:sz w:val="20"/>
              </w:rPr>
              <w:t>High risk medicine.</w:t>
            </w:r>
          </w:p>
          <w:p w:rsidRPr="009D7CFB" w:rsidR="005C3258" w:rsidP="00131848" w:rsidRDefault="005C3258" w14:paraId="30B559B3" w14:textId="77777777">
            <w:pPr>
              <w:pStyle w:val="BodyText"/>
              <w:rPr>
                <w:rFonts w:cs="Arial"/>
                <w:sz w:val="20"/>
              </w:rPr>
            </w:pPr>
            <w:r w:rsidRPr="009D7CFB">
              <w:rPr>
                <w:sz w:val="20"/>
              </w:rPr>
              <w:t xml:space="preserve">Antimicrobial Stewardship Team recommends this drug is listed </w:t>
            </w:r>
            <w:r>
              <w:rPr>
                <w:sz w:val="20"/>
              </w:rPr>
              <w:t>as</w:t>
            </w:r>
            <w:r w:rsidRPr="009D7CFB">
              <w:rPr>
                <w:sz w:val="20"/>
              </w:rPr>
              <w:t xml:space="preserve"> </w:t>
            </w:r>
            <w:r>
              <w:rPr>
                <w:sz w:val="20"/>
              </w:rPr>
              <w:t>u</w:t>
            </w:r>
            <w:r w:rsidRPr="009D7CFB">
              <w:rPr>
                <w:sz w:val="20"/>
              </w:rPr>
              <w:t>nrestricte</w:t>
            </w:r>
            <w:r>
              <w:rPr>
                <w:sz w:val="20"/>
              </w:rPr>
              <w:t>d.</w:t>
            </w:r>
          </w:p>
        </w:tc>
      </w:tr>
      <w:tr w:rsidRPr="009D7CFB" w:rsidR="005C3258" w:rsidTr="005C3258" w14:paraId="0C6DB856" w14:textId="77777777">
        <w:trPr>
          <w:trHeight w:val="1085"/>
        </w:trPr>
        <w:tc>
          <w:tcPr>
            <w:tcW w:w="2014" w:type="dxa"/>
          </w:tcPr>
          <w:p w:rsidRPr="009D7CFB" w:rsidR="005C3258" w:rsidP="00131848" w:rsidRDefault="005C3258" w14:paraId="63CD181A" w14:textId="77777777">
            <w:pPr>
              <w:pStyle w:val="BodyText"/>
              <w:rPr>
                <w:rFonts w:cs="Arial"/>
                <w:b/>
                <w:bCs/>
                <w:szCs w:val="24"/>
              </w:rPr>
            </w:pPr>
            <w:r w:rsidRPr="009D7CFB">
              <w:rPr>
                <w:rFonts w:cs="Arial"/>
                <w:b/>
                <w:bCs/>
                <w:szCs w:val="24"/>
              </w:rPr>
              <w:t xml:space="preserve">Indication                         </w:t>
            </w:r>
          </w:p>
          <w:p w:rsidRPr="009D7CFB" w:rsidR="005C3258" w:rsidP="00131848" w:rsidRDefault="005C3258" w14:paraId="4E229C39" w14:textId="77777777">
            <w:pPr>
              <w:pStyle w:val="BodyText"/>
              <w:rPr>
                <w:rFonts w:cs="Arial"/>
                <w:sz w:val="20"/>
              </w:rPr>
            </w:pPr>
          </w:p>
        </w:tc>
        <w:tc>
          <w:tcPr>
            <w:tcW w:w="7371" w:type="dxa"/>
          </w:tcPr>
          <w:p w:rsidR="005C3258" w:rsidP="00131848" w:rsidRDefault="005C3258" w14:paraId="20D01D70" w14:textId="77777777">
            <w:pPr>
              <w:rPr>
                <w:sz w:val="20"/>
              </w:rPr>
            </w:pPr>
            <w:r w:rsidRPr="009D7CFB">
              <w:rPr>
                <w:sz w:val="20"/>
              </w:rPr>
              <w:t xml:space="preserve">Directed treatment of infections caused by </w:t>
            </w:r>
          </w:p>
          <w:p w:rsidRPr="007270EE" w:rsidR="005C3258" w:rsidP="005C3258" w:rsidRDefault="005C3258" w14:paraId="6B060649" w14:textId="77777777">
            <w:pPr>
              <w:pStyle w:val="ListParagraph"/>
              <w:numPr>
                <w:ilvl w:val="0"/>
                <w:numId w:val="95"/>
              </w:numPr>
              <w:ind w:left="318" w:hanging="284"/>
              <w:rPr>
                <w:sz w:val="20"/>
              </w:rPr>
            </w:pPr>
            <w:r w:rsidRPr="007270EE">
              <w:rPr>
                <w:sz w:val="20"/>
              </w:rPr>
              <w:t xml:space="preserve">susceptible gram positive (including </w:t>
            </w:r>
            <w:r w:rsidRPr="007270EE">
              <w:rPr>
                <w:i/>
                <w:sz w:val="20"/>
              </w:rPr>
              <w:t xml:space="preserve">Streptococcus </w:t>
            </w:r>
            <w:r w:rsidRPr="007270EE">
              <w:rPr>
                <w:sz w:val="20"/>
              </w:rPr>
              <w:t xml:space="preserve">species, </w:t>
            </w:r>
            <w:r w:rsidRPr="007270EE">
              <w:rPr>
                <w:i/>
                <w:sz w:val="20"/>
              </w:rPr>
              <w:t>Enterococcus faecalis</w:t>
            </w:r>
            <w:r w:rsidRPr="007270EE">
              <w:rPr>
                <w:sz w:val="20"/>
              </w:rPr>
              <w:t xml:space="preserve"> and </w:t>
            </w:r>
            <w:r w:rsidRPr="007270EE">
              <w:rPr>
                <w:i/>
                <w:sz w:val="20"/>
              </w:rPr>
              <w:t>Listeria monocytogenes</w:t>
            </w:r>
            <w:r w:rsidRPr="007270EE">
              <w:rPr>
                <w:sz w:val="20"/>
              </w:rPr>
              <w:t xml:space="preserve">) and </w:t>
            </w:r>
          </w:p>
          <w:p w:rsidR="005C3258" w:rsidP="005C3258" w:rsidRDefault="005C3258" w14:paraId="612C0BFD" w14:textId="77777777">
            <w:pPr>
              <w:pStyle w:val="ListParagraph"/>
              <w:numPr>
                <w:ilvl w:val="0"/>
                <w:numId w:val="95"/>
              </w:numPr>
              <w:ind w:left="318" w:hanging="284"/>
              <w:rPr>
                <w:sz w:val="20"/>
              </w:rPr>
            </w:pPr>
            <w:r w:rsidRPr="007270EE">
              <w:rPr>
                <w:sz w:val="20"/>
              </w:rPr>
              <w:t>susceptible gram</w:t>
            </w:r>
            <w:r>
              <w:rPr>
                <w:sz w:val="20"/>
              </w:rPr>
              <w:t>-</w:t>
            </w:r>
            <w:r w:rsidRPr="007270EE">
              <w:rPr>
                <w:sz w:val="20"/>
              </w:rPr>
              <w:t xml:space="preserve">negative bacteria (some strains of </w:t>
            </w:r>
            <w:r w:rsidRPr="007270EE">
              <w:rPr>
                <w:i/>
                <w:sz w:val="20"/>
              </w:rPr>
              <w:t>Escherichia coli</w:t>
            </w:r>
            <w:r w:rsidRPr="007270EE">
              <w:rPr>
                <w:sz w:val="20"/>
              </w:rPr>
              <w:t xml:space="preserve">, non-beta-lactamase-producing </w:t>
            </w:r>
            <w:r w:rsidRPr="007270EE">
              <w:rPr>
                <w:i/>
                <w:sz w:val="20"/>
              </w:rPr>
              <w:t>Haemophilus influenzae, Neisseria meningitidis, non-penicillinase-producing strains of Proteus</w:t>
            </w:r>
            <w:r w:rsidRPr="007270EE">
              <w:rPr>
                <w:sz w:val="20"/>
              </w:rPr>
              <w:t xml:space="preserve"> and </w:t>
            </w:r>
            <w:r w:rsidRPr="007270EE">
              <w:rPr>
                <w:i/>
                <w:sz w:val="20"/>
              </w:rPr>
              <w:t>Salmonellae</w:t>
            </w:r>
            <w:r w:rsidRPr="007270EE">
              <w:rPr>
                <w:sz w:val="20"/>
              </w:rPr>
              <w:t xml:space="preserve">). </w:t>
            </w:r>
          </w:p>
          <w:p w:rsidRPr="007270EE" w:rsidR="005C3258" w:rsidP="00131848" w:rsidRDefault="005C3258" w14:paraId="71D4D148" w14:textId="77777777">
            <w:pPr>
              <w:ind w:left="34"/>
              <w:rPr>
                <w:sz w:val="20"/>
              </w:rPr>
            </w:pPr>
            <w:r w:rsidRPr="007270EE">
              <w:rPr>
                <w:sz w:val="20"/>
              </w:rPr>
              <w:t>Empiric treatment of suspected early onset sepsis including meningitis, with an aminoglycoside.</w:t>
            </w:r>
          </w:p>
        </w:tc>
      </w:tr>
      <w:tr w:rsidRPr="009D7CFB" w:rsidR="005C3258" w:rsidTr="005C3258" w14:paraId="6745C308" w14:textId="77777777">
        <w:trPr>
          <w:trHeight w:val="472"/>
        </w:trPr>
        <w:tc>
          <w:tcPr>
            <w:tcW w:w="2014" w:type="dxa"/>
          </w:tcPr>
          <w:p w:rsidRPr="009D7CFB" w:rsidR="005C3258" w:rsidP="00131848" w:rsidRDefault="005C3258" w14:paraId="68457469" w14:textId="77777777">
            <w:pPr>
              <w:pStyle w:val="BodyText"/>
              <w:rPr>
                <w:rFonts w:cs="Arial"/>
                <w:b/>
                <w:bCs/>
                <w:szCs w:val="24"/>
              </w:rPr>
            </w:pPr>
            <w:r w:rsidRPr="009D7CFB">
              <w:rPr>
                <w:rFonts w:cs="Arial"/>
                <w:b/>
                <w:bCs/>
                <w:szCs w:val="24"/>
              </w:rPr>
              <w:t>Action</w:t>
            </w:r>
          </w:p>
        </w:tc>
        <w:tc>
          <w:tcPr>
            <w:tcW w:w="7371" w:type="dxa"/>
          </w:tcPr>
          <w:p w:rsidRPr="009D7CFB" w:rsidR="005C3258" w:rsidP="00131848" w:rsidRDefault="005C3258" w14:paraId="4B8FD0B0" w14:textId="77777777">
            <w:pPr>
              <w:rPr>
                <w:rFonts w:cs="Arial"/>
                <w:sz w:val="20"/>
              </w:rPr>
            </w:pPr>
            <w:r w:rsidRPr="009D7CFB">
              <w:rPr>
                <w:sz w:val="20"/>
              </w:rPr>
              <w:t xml:space="preserve">Bactericidal </w:t>
            </w:r>
            <w:r>
              <w:rPr>
                <w:sz w:val="20"/>
              </w:rPr>
              <w:t>–</w:t>
            </w:r>
            <w:r w:rsidRPr="009D7CFB">
              <w:rPr>
                <w:sz w:val="20"/>
              </w:rPr>
              <w:t xml:space="preserve"> inhibits synthesis of the bacterial cell wall. Am</w:t>
            </w:r>
            <w:r>
              <w:rPr>
                <w:sz w:val="20"/>
              </w:rPr>
              <w:t>oxicillin</w:t>
            </w:r>
            <w:r w:rsidRPr="009D7CFB">
              <w:rPr>
                <w:sz w:val="20"/>
              </w:rPr>
              <w:t xml:space="preserve"> is hydrolysed by beta-lactamases and therefore not effective against penicillinase</w:t>
            </w:r>
            <w:r>
              <w:rPr>
                <w:sz w:val="20"/>
              </w:rPr>
              <w:t>-</w:t>
            </w:r>
            <w:r w:rsidRPr="009D7CFB">
              <w:rPr>
                <w:sz w:val="20"/>
              </w:rPr>
              <w:t>producing bacteria.</w:t>
            </w:r>
          </w:p>
        </w:tc>
      </w:tr>
      <w:tr w:rsidRPr="009D7CFB" w:rsidR="005C3258" w:rsidTr="005C3258" w14:paraId="5A5E7250" w14:textId="77777777">
        <w:trPr>
          <w:trHeight w:val="266"/>
        </w:trPr>
        <w:tc>
          <w:tcPr>
            <w:tcW w:w="2014" w:type="dxa"/>
          </w:tcPr>
          <w:p w:rsidRPr="009D7CFB" w:rsidR="005C3258" w:rsidP="00131848" w:rsidRDefault="005C3258" w14:paraId="7A57F49A" w14:textId="77777777">
            <w:pPr>
              <w:pStyle w:val="BodyText"/>
              <w:rPr>
                <w:rFonts w:cs="Arial"/>
                <w:szCs w:val="24"/>
              </w:rPr>
            </w:pPr>
            <w:r w:rsidRPr="009D7CFB">
              <w:rPr>
                <w:rFonts w:cs="Arial"/>
                <w:b/>
                <w:bCs/>
                <w:szCs w:val="24"/>
              </w:rPr>
              <w:t xml:space="preserve">Drug Type                                   </w:t>
            </w:r>
          </w:p>
        </w:tc>
        <w:tc>
          <w:tcPr>
            <w:tcW w:w="7371" w:type="dxa"/>
          </w:tcPr>
          <w:p w:rsidRPr="009D7CFB" w:rsidR="005C3258" w:rsidP="00131848" w:rsidRDefault="005C3258" w14:paraId="1B4FAAF6" w14:textId="77777777">
            <w:pPr>
              <w:pStyle w:val="BodyText"/>
              <w:rPr>
                <w:rFonts w:cs="Arial"/>
                <w:sz w:val="20"/>
              </w:rPr>
            </w:pPr>
            <w:r w:rsidRPr="009D7CFB">
              <w:rPr>
                <w:sz w:val="20"/>
              </w:rPr>
              <w:t xml:space="preserve">Antibacterial </w:t>
            </w:r>
            <w:r>
              <w:rPr>
                <w:sz w:val="20"/>
              </w:rPr>
              <w:t>–</w:t>
            </w:r>
            <w:r w:rsidRPr="009D7CFB">
              <w:rPr>
                <w:sz w:val="20"/>
              </w:rPr>
              <w:t xml:space="preserve"> </w:t>
            </w:r>
            <w:r>
              <w:rPr>
                <w:sz w:val="20"/>
              </w:rPr>
              <w:t>semi-synthetic, bactericidal aminop</w:t>
            </w:r>
            <w:r w:rsidRPr="009D7CFB">
              <w:rPr>
                <w:sz w:val="20"/>
              </w:rPr>
              <w:t>enicillin</w:t>
            </w:r>
          </w:p>
        </w:tc>
      </w:tr>
      <w:tr w:rsidRPr="009D7CFB" w:rsidR="005C3258" w:rsidTr="005C3258" w14:paraId="1BF92F0F" w14:textId="77777777">
        <w:trPr>
          <w:trHeight w:val="384"/>
        </w:trPr>
        <w:tc>
          <w:tcPr>
            <w:tcW w:w="2014" w:type="dxa"/>
          </w:tcPr>
          <w:p w:rsidRPr="009D7CFB" w:rsidR="005C3258" w:rsidP="00131848" w:rsidRDefault="005C3258" w14:paraId="745443D2" w14:textId="77777777">
            <w:pPr>
              <w:pStyle w:val="BodyText"/>
              <w:rPr>
                <w:rFonts w:cs="Arial"/>
                <w:b/>
                <w:bCs/>
                <w:szCs w:val="24"/>
              </w:rPr>
            </w:pPr>
            <w:r w:rsidRPr="009D7CFB">
              <w:rPr>
                <w:rFonts w:cs="Arial"/>
                <w:b/>
                <w:bCs/>
                <w:szCs w:val="24"/>
              </w:rPr>
              <w:t xml:space="preserve">Trade Name                  </w:t>
            </w:r>
          </w:p>
        </w:tc>
        <w:tc>
          <w:tcPr>
            <w:tcW w:w="7371" w:type="dxa"/>
          </w:tcPr>
          <w:p w:rsidRPr="009D7CFB" w:rsidR="005C3258" w:rsidP="00131848" w:rsidRDefault="005C3258" w14:paraId="5FBACA8B" w14:textId="77777777">
            <w:pPr>
              <w:pStyle w:val="BodyText"/>
              <w:rPr>
                <w:rFonts w:cs="Arial"/>
                <w:sz w:val="20"/>
              </w:rPr>
            </w:pPr>
            <w:r>
              <w:rPr>
                <w:sz w:val="20"/>
              </w:rPr>
              <w:t>Multiple brands are available</w:t>
            </w:r>
          </w:p>
        </w:tc>
      </w:tr>
      <w:tr w:rsidRPr="009D7CFB" w:rsidR="005C3258" w:rsidTr="005C3258" w14:paraId="0F962C33" w14:textId="77777777">
        <w:trPr>
          <w:trHeight w:val="222"/>
        </w:trPr>
        <w:tc>
          <w:tcPr>
            <w:tcW w:w="2014" w:type="dxa"/>
          </w:tcPr>
          <w:p w:rsidRPr="009D7CFB" w:rsidR="005C3258" w:rsidP="00131848" w:rsidRDefault="005C3258" w14:paraId="418F0FE4" w14:textId="77777777">
            <w:pPr>
              <w:pStyle w:val="BodyText"/>
              <w:rPr>
                <w:rFonts w:cs="Arial"/>
                <w:b/>
                <w:bCs/>
                <w:szCs w:val="24"/>
              </w:rPr>
            </w:pPr>
            <w:r w:rsidRPr="009D7CFB">
              <w:rPr>
                <w:rFonts w:cs="Arial"/>
                <w:b/>
                <w:bCs/>
                <w:szCs w:val="24"/>
              </w:rPr>
              <w:t xml:space="preserve">Presentation </w:t>
            </w:r>
          </w:p>
        </w:tc>
        <w:tc>
          <w:tcPr>
            <w:tcW w:w="7371" w:type="dxa"/>
          </w:tcPr>
          <w:p w:rsidR="005C3258" w:rsidP="00131848" w:rsidRDefault="005C3258" w14:paraId="28617592" w14:textId="77777777">
            <w:pPr>
              <w:pStyle w:val="BodyText"/>
              <w:ind w:left="34"/>
              <w:rPr>
                <w:rFonts w:cs="Arial"/>
                <w:sz w:val="20"/>
              </w:rPr>
            </w:pPr>
            <w:r>
              <w:rPr>
                <w:rFonts w:cs="Arial"/>
                <w:sz w:val="20"/>
              </w:rPr>
              <w:t xml:space="preserve">IV: </w:t>
            </w:r>
            <w:r w:rsidRPr="009D7CFB">
              <w:rPr>
                <w:rFonts w:cs="Arial"/>
                <w:sz w:val="20"/>
              </w:rPr>
              <w:t>Am</w:t>
            </w:r>
            <w:r>
              <w:rPr>
                <w:rFonts w:cs="Arial"/>
                <w:sz w:val="20"/>
              </w:rPr>
              <w:t>oxicillin 1 g</w:t>
            </w:r>
            <w:r w:rsidRPr="009D7CFB">
              <w:rPr>
                <w:rFonts w:cs="Arial"/>
                <w:sz w:val="20"/>
              </w:rPr>
              <w:t xml:space="preserve"> vial</w:t>
            </w:r>
            <w:r>
              <w:rPr>
                <w:rFonts w:cs="Arial"/>
                <w:sz w:val="20"/>
              </w:rPr>
              <w:t xml:space="preserve">. </w:t>
            </w:r>
          </w:p>
          <w:p w:rsidRPr="009D7CFB" w:rsidR="005C3258" w:rsidP="00131848" w:rsidRDefault="005C3258" w14:paraId="3DE8306A" w14:textId="77777777">
            <w:pPr>
              <w:pStyle w:val="BodyText"/>
              <w:ind w:left="34"/>
              <w:rPr>
                <w:rFonts w:cs="Arial"/>
                <w:sz w:val="20"/>
              </w:rPr>
            </w:pPr>
            <w:r>
              <w:rPr>
                <w:rFonts w:cs="Arial"/>
                <w:sz w:val="20"/>
              </w:rPr>
              <w:t>Oral: S</w:t>
            </w:r>
            <w:r w:rsidRPr="008B5195">
              <w:rPr>
                <w:rFonts w:cs="Arial"/>
                <w:sz w:val="20"/>
              </w:rPr>
              <w:t>yrup 125 mg/5 mL</w:t>
            </w:r>
            <w:r>
              <w:rPr>
                <w:rFonts w:cs="Arial"/>
                <w:sz w:val="20"/>
              </w:rPr>
              <w:t xml:space="preserve"> and </w:t>
            </w:r>
            <w:r w:rsidRPr="008B5195">
              <w:rPr>
                <w:rFonts w:cs="Arial"/>
                <w:sz w:val="20"/>
              </w:rPr>
              <w:t>250 mg/5 mL</w:t>
            </w:r>
            <w:r>
              <w:rPr>
                <w:rFonts w:cs="Arial"/>
                <w:sz w:val="20"/>
              </w:rPr>
              <w:t xml:space="preserve">; </w:t>
            </w:r>
            <w:r w:rsidRPr="008B5195">
              <w:rPr>
                <w:rFonts w:cs="Arial"/>
                <w:sz w:val="20"/>
              </w:rPr>
              <w:t>Paediatric drops 100 mg/mL</w:t>
            </w:r>
            <w:r>
              <w:rPr>
                <w:rFonts w:cs="Arial"/>
                <w:sz w:val="20"/>
              </w:rPr>
              <w:t xml:space="preserve">. </w:t>
            </w:r>
          </w:p>
        </w:tc>
      </w:tr>
      <w:tr w:rsidRPr="009D7CFB" w:rsidR="005C3258" w:rsidTr="005C3258" w14:paraId="294A8AFB" w14:textId="77777777">
        <w:trPr>
          <w:trHeight w:val="3659"/>
        </w:trPr>
        <w:tc>
          <w:tcPr>
            <w:tcW w:w="2014" w:type="dxa"/>
          </w:tcPr>
          <w:p w:rsidRPr="009D7CFB" w:rsidR="005C3258" w:rsidP="00131848" w:rsidRDefault="005C3258" w14:paraId="0F2A6444" w14:textId="77777777">
            <w:pPr>
              <w:pStyle w:val="BodyText"/>
              <w:rPr>
                <w:rFonts w:cs="Arial"/>
                <w:b/>
                <w:bCs/>
                <w:szCs w:val="24"/>
              </w:rPr>
            </w:pPr>
            <w:r w:rsidRPr="009D7CFB">
              <w:rPr>
                <w:rFonts w:cs="Arial"/>
                <w:b/>
                <w:bCs/>
                <w:szCs w:val="24"/>
              </w:rPr>
              <w:t xml:space="preserve">Dosage                           </w:t>
            </w:r>
          </w:p>
          <w:p w:rsidRPr="009D7CFB" w:rsidR="005C3258" w:rsidP="00131848" w:rsidRDefault="005C3258" w14:paraId="68553FF8" w14:textId="77777777">
            <w:pPr>
              <w:pStyle w:val="BodyText"/>
              <w:rPr>
                <w:rFonts w:cs="Arial"/>
                <w:sz w:val="20"/>
              </w:rPr>
            </w:pPr>
          </w:p>
        </w:tc>
        <w:tc>
          <w:tcPr>
            <w:tcW w:w="7371" w:type="dxa"/>
          </w:tcPr>
          <w:p w:rsidRPr="00E47B75" w:rsidR="005C3258" w:rsidP="00131848" w:rsidRDefault="005C3258" w14:paraId="298400EF" w14:textId="77777777">
            <w:pPr>
              <w:pStyle w:val="BodyText"/>
              <w:rPr>
                <w:rFonts w:cs="Arial"/>
                <w:b/>
                <w:sz w:val="20"/>
              </w:rPr>
            </w:pPr>
            <w:r w:rsidRPr="00E47B75">
              <w:rPr>
                <w:rFonts w:cs="Arial"/>
                <w:b/>
                <w:sz w:val="20"/>
              </w:rPr>
              <w:t>IV</w:t>
            </w:r>
          </w:p>
          <w:p w:rsidRPr="00CE2DC5" w:rsidR="005C3258" w:rsidP="00131848" w:rsidRDefault="005C3258" w14:paraId="4824A39F" w14:textId="77777777">
            <w:pPr>
              <w:pStyle w:val="BodyText"/>
              <w:ind w:left="720"/>
              <w:rPr>
                <w:rFonts w:cs="Arial"/>
                <w:sz w:val="20"/>
              </w:rPr>
            </w:pPr>
            <w:r>
              <w:rPr>
                <w:rFonts w:cs="Arial"/>
                <w:sz w:val="20"/>
              </w:rPr>
              <w:t>S</w:t>
            </w:r>
            <w:r w:rsidRPr="00CE2DC5">
              <w:rPr>
                <w:rFonts w:cs="Arial"/>
                <w:sz w:val="20"/>
              </w:rPr>
              <w:t xml:space="preserve">tandard infections: 50 mg/kg/dose. </w:t>
            </w:r>
          </w:p>
          <w:p w:rsidRPr="00CE2DC5" w:rsidR="005C3258" w:rsidP="00131848" w:rsidRDefault="005C3258" w14:paraId="40A5D996" w14:textId="77777777">
            <w:pPr>
              <w:pStyle w:val="BodyText"/>
              <w:ind w:left="720"/>
              <w:rPr>
                <w:rFonts w:cs="Arial"/>
                <w:sz w:val="20"/>
              </w:rPr>
            </w:pPr>
            <w:r>
              <w:rPr>
                <w:rFonts w:cs="Arial"/>
                <w:sz w:val="20"/>
              </w:rPr>
              <w:t>M</w:t>
            </w:r>
            <w:r w:rsidRPr="00CE2DC5">
              <w:rPr>
                <w:rFonts w:cs="Arial"/>
                <w:sz w:val="20"/>
              </w:rPr>
              <w:t>eningitis: 100 mg/kg/dose.</w:t>
            </w:r>
          </w:p>
          <w:tbl>
            <w:tblPr>
              <w:tblW w:w="68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394"/>
              <w:gridCol w:w="1280"/>
              <w:gridCol w:w="1134"/>
            </w:tblGrid>
            <w:tr w:rsidRPr="00E47B75" w:rsidR="005C3258" w:rsidTr="005C3258" w14:paraId="28A23B2F" w14:textId="77777777">
              <w:trPr>
                <w:trHeight w:val="248"/>
              </w:trPr>
              <w:tc>
                <w:tcPr>
                  <w:tcW w:w="4394" w:type="dxa"/>
                  <w:vAlign w:val="center"/>
                </w:tcPr>
                <w:p w:rsidRPr="00E47B75" w:rsidR="005C3258" w:rsidP="00131848" w:rsidRDefault="005C3258" w14:paraId="35992CA1" w14:textId="77777777">
                  <w:pPr>
                    <w:pStyle w:val="BodyText"/>
                    <w:jc w:val="center"/>
                    <w:rPr>
                      <w:rFonts w:cs="Arial"/>
                      <w:b/>
                      <w:sz w:val="20"/>
                    </w:rPr>
                  </w:pPr>
                  <w:r>
                    <w:rPr>
                      <w:rFonts w:cs="Arial"/>
                      <w:b/>
                      <w:sz w:val="20"/>
                    </w:rPr>
                    <w:t>Corrected gestational age/postmenstrual age*</w:t>
                  </w:r>
                </w:p>
              </w:tc>
              <w:tc>
                <w:tcPr>
                  <w:tcW w:w="1280" w:type="dxa"/>
                  <w:vAlign w:val="center"/>
                </w:tcPr>
                <w:p w:rsidRPr="00E47B75" w:rsidR="005C3258" w:rsidP="00131848" w:rsidRDefault="005C3258" w14:paraId="5051EDDC" w14:textId="77777777">
                  <w:pPr>
                    <w:pStyle w:val="BodyText"/>
                    <w:jc w:val="center"/>
                    <w:rPr>
                      <w:rFonts w:cs="Arial"/>
                      <w:b/>
                      <w:sz w:val="20"/>
                    </w:rPr>
                  </w:pPr>
                  <w:r>
                    <w:rPr>
                      <w:rFonts w:cs="Arial"/>
                      <w:b/>
                      <w:sz w:val="20"/>
                    </w:rPr>
                    <w:t>Day of life</w:t>
                  </w:r>
                </w:p>
              </w:tc>
              <w:tc>
                <w:tcPr>
                  <w:tcW w:w="1134" w:type="dxa"/>
                </w:tcPr>
                <w:p w:rsidRPr="00E47B75" w:rsidR="005C3258" w:rsidP="00131848" w:rsidRDefault="005C3258" w14:paraId="721EF4CC" w14:textId="77777777">
                  <w:pPr>
                    <w:pStyle w:val="BodyText"/>
                    <w:rPr>
                      <w:rFonts w:cs="Arial"/>
                      <w:b/>
                      <w:sz w:val="20"/>
                    </w:rPr>
                  </w:pPr>
                  <w:r>
                    <w:rPr>
                      <w:rFonts w:cs="Arial"/>
                      <w:b/>
                      <w:sz w:val="20"/>
                    </w:rPr>
                    <w:t>Interval</w:t>
                  </w:r>
                </w:p>
              </w:tc>
            </w:tr>
            <w:tr w:rsidRPr="00E47B75" w:rsidR="005C3258" w:rsidTr="005C3258" w14:paraId="317944BD" w14:textId="77777777">
              <w:trPr>
                <w:trHeight w:val="247"/>
              </w:trPr>
              <w:tc>
                <w:tcPr>
                  <w:tcW w:w="4394" w:type="dxa"/>
                </w:tcPr>
                <w:p w:rsidRPr="00E27942" w:rsidR="005C3258" w:rsidP="00131848" w:rsidRDefault="005C3258" w14:paraId="72C54453" w14:textId="77777777">
                  <w:pPr>
                    <w:rPr>
                      <w:sz w:val="20"/>
                    </w:rPr>
                  </w:pPr>
                  <w:r w:rsidRPr="00E27942">
                    <w:rPr>
                      <w:sz w:val="20"/>
                    </w:rPr>
                    <w:t>&lt; 30</w:t>
                  </w:r>
                  <w:r w:rsidRPr="00C85387">
                    <w:rPr>
                      <w:sz w:val="20"/>
                      <w:vertAlign w:val="superscript"/>
                    </w:rPr>
                    <w:t>+0</w:t>
                  </w:r>
                  <w:r w:rsidRPr="00E27942">
                    <w:rPr>
                      <w:sz w:val="20"/>
                    </w:rPr>
                    <w:t xml:space="preserve"> weeks  </w:t>
                  </w:r>
                </w:p>
              </w:tc>
              <w:tc>
                <w:tcPr>
                  <w:tcW w:w="1280" w:type="dxa"/>
                </w:tcPr>
                <w:p w:rsidRPr="00E27942" w:rsidR="005C3258" w:rsidP="00131848" w:rsidRDefault="005C3258" w14:paraId="14DB2495" w14:textId="77777777">
                  <w:pPr>
                    <w:rPr>
                      <w:sz w:val="20"/>
                    </w:rPr>
                  </w:pPr>
                  <w:r w:rsidRPr="00E27942">
                    <w:rPr>
                      <w:sz w:val="20"/>
                    </w:rPr>
                    <w:t xml:space="preserve">0–28 days </w:t>
                  </w:r>
                </w:p>
              </w:tc>
              <w:tc>
                <w:tcPr>
                  <w:tcW w:w="1134" w:type="dxa"/>
                </w:tcPr>
                <w:p w:rsidRPr="00E47B75" w:rsidR="005C3258" w:rsidP="00131848" w:rsidRDefault="005C3258" w14:paraId="3617287E" w14:textId="77777777">
                  <w:pPr>
                    <w:pStyle w:val="BodyText"/>
                    <w:rPr>
                      <w:rFonts w:cs="Arial"/>
                      <w:sz w:val="20"/>
                    </w:rPr>
                  </w:pPr>
                  <w:r w:rsidRPr="00E47B75">
                    <w:rPr>
                      <w:sz w:val="20"/>
                    </w:rPr>
                    <w:t>12 hourly</w:t>
                  </w:r>
                </w:p>
              </w:tc>
            </w:tr>
            <w:tr w:rsidRPr="00E47B75" w:rsidR="005C3258" w:rsidTr="005C3258" w14:paraId="2C154B69" w14:textId="77777777">
              <w:tc>
                <w:tcPr>
                  <w:tcW w:w="4394" w:type="dxa"/>
                </w:tcPr>
                <w:p w:rsidRPr="00E27942" w:rsidR="005C3258" w:rsidP="00131848" w:rsidRDefault="005C3258" w14:paraId="144ECDC5" w14:textId="77777777">
                  <w:pPr>
                    <w:rPr>
                      <w:sz w:val="20"/>
                    </w:rPr>
                  </w:pPr>
                  <w:r w:rsidRPr="00E27942">
                    <w:rPr>
                      <w:sz w:val="20"/>
                    </w:rPr>
                    <w:t>&lt; 30</w:t>
                  </w:r>
                  <w:r w:rsidRPr="00C85387">
                    <w:rPr>
                      <w:sz w:val="20"/>
                      <w:vertAlign w:val="superscript"/>
                    </w:rPr>
                    <w:t>+0</w:t>
                  </w:r>
                  <w:r w:rsidRPr="00E27942">
                    <w:rPr>
                      <w:sz w:val="20"/>
                    </w:rPr>
                    <w:t xml:space="preserve"> weeks  </w:t>
                  </w:r>
                </w:p>
              </w:tc>
              <w:tc>
                <w:tcPr>
                  <w:tcW w:w="1280" w:type="dxa"/>
                </w:tcPr>
                <w:p w:rsidRPr="00E27942" w:rsidR="005C3258" w:rsidP="00131848" w:rsidRDefault="005C3258" w14:paraId="2E38C081" w14:textId="77777777">
                  <w:pPr>
                    <w:rPr>
                      <w:sz w:val="20"/>
                    </w:rPr>
                  </w:pPr>
                  <w:r w:rsidRPr="00E27942">
                    <w:rPr>
                      <w:sz w:val="20"/>
                    </w:rPr>
                    <w:t>29+ days</w:t>
                  </w:r>
                </w:p>
              </w:tc>
              <w:tc>
                <w:tcPr>
                  <w:tcW w:w="1134" w:type="dxa"/>
                </w:tcPr>
                <w:p w:rsidRPr="00E47B75" w:rsidR="005C3258" w:rsidP="00131848" w:rsidRDefault="005C3258" w14:paraId="523DE8B5" w14:textId="77777777">
                  <w:pPr>
                    <w:pStyle w:val="BodyText"/>
                    <w:rPr>
                      <w:rFonts w:cs="Arial"/>
                      <w:sz w:val="20"/>
                    </w:rPr>
                  </w:pPr>
                  <w:r w:rsidRPr="00E47B75">
                    <w:rPr>
                      <w:sz w:val="20"/>
                    </w:rPr>
                    <w:t>8 hourly</w:t>
                  </w:r>
                </w:p>
              </w:tc>
            </w:tr>
            <w:tr w:rsidRPr="00E47B75" w:rsidR="005C3258" w:rsidTr="005C3258" w14:paraId="4E613934" w14:textId="77777777">
              <w:tc>
                <w:tcPr>
                  <w:tcW w:w="4394" w:type="dxa"/>
                </w:tcPr>
                <w:p w:rsidRPr="00E27942" w:rsidR="005C3258" w:rsidP="00131848" w:rsidRDefault="005C3258" w14:paraId="47FAC4F3" w14:textId="77777777">
                  <w:pPr>
                    <w:rPr>
                      <w:sz w:val="20"/>
                    </w:rPr>
                  </w:pPr>
                  <w:r w:rsidRPr="00E27942">
                    <w:rPr>
                      <w:sz w:val="20"/>
                    </w:rPr>
                    <w:t>30</w:t>
                  </w:r>
                  <w:r w:rsidRPr="007270EE">
                    <w:rPr>
                      <w:sz w:val="20"/>
                      <w:vertAlign w:val="superscript"/>
                    </w:rPr>
                    <w:t>+0</w:t>
                  </w:r>
                  <w:r w:rsidRPr="00E27942">
                    <w:rPr>
                      <w:sz w:val="20"/>
                    </w:rPr>
                    <w:t>−36</w:t>
                  </w:r>
                  <w:r w:rsidRPr="007270EE">
                    <w:rPr>
                      <w:sz w:val="20"/>
                      <w:vertAlign w:val="superscript"/>
                    </w:rPr>
                    <w:t>+6</w:t>
                  </w:r>
                  <w:r w:rsidRPr="00E27942">
                    <w:rPr>
                      <w:sz w:val="20"/>
                    </w:rPr>
                    <w:t xml:space="preserve"> weeks  </w:t>
                  </w:r>
                </w:p>
              </w:tc>
              <w:tc>
                <w:tcPr>
                  <w:tcW w:w="1280" w:type="dxa"/>
                </w:tcPr>
                <w:p w:rsidRPr="00E27942" w:rsidR="005C3258" w:rsidP="00131848" w:rsidRDefault="005C3258" w14:paraId="7A6274E4" w14:textId="77777777">
                  <w:pPr>
                    <w:rPr>
                      <w:sz w:val="20"/>
                    </w:rPr>
                  </w:pPr>
                  <w:r w:rsidRPr="00E27942">
                    <w:rPr>
                      <w:sz w:val="20"/>
                    </w:rPr>
                    <w:t>0−14 days</w:t>
                  </w:r>
                </w:p>
              </w:tc>
              <w:tc>
                <w:tcPr>
                  <w:tcW w:w="1134" w:type="dxa"/>
                </w:tcPr>
                <w:p w:rsidRPr="00E47B75" w:rsidR="005C3258" w:rsidP="00131848" w:rsidRDefault="005C3258" w14:paraId="2E2B4E22" w14:textId="77777777">
                  <w:pPr>
                    <w:rPr>
                      <w:sz w:val="20"/>
                    </w:rPr>
                  </w:pPr>
                  <w:r w:rsidRPr="00E47B75">
                    <w:rPr>
                      <w:sz w:val="20"/>
                    </w:rPr>
                    <w:t>12 hourly</w:t>
                  </w:r>
                </w:p>
              </w:tc>
            </w:tr>
            <w:tr w:rsidRPr="00E47B75" w:rsidR="005C3258" w:rsidTr="005C3258" w14:paraId="4AC3CAE8" w14:textId="77777777">
              <w:tc>
                <w:tcPr>
                  <w:tcW w:w="4394" w:type="dxa"/>
                </w:tcPr>
                <w:p w:rsidRPr="00E27942" w:rsidR="005C3258" w:rsidP="00131848" w:rsidRDefault="005C3258" w14:paraId="02DC6B58" w14:textId="77777777">
                  <w:pPr>
                    <w:rPr>
                      <w:sz w:val="20"/>
                    </w:rPr>
                  </w:pPr>
                  <w:r w:rsidRPr="00E27942">
                    <w:rPr>
                      <w:sz w:val="20"/>
                    </w:rPr>
                    <w:t>30</w:t>
                  </w:r>
                  <w:r w:rsidRPr="007270EE">
                    <w:rPr>
                      <w:sz w:val="20"/>
                      <w:vertAlign w:val="superscript"/>
                    </w:rPr>
                    <w:t>+0</w:t>
                  </w:r>
                  <w:r w:rsidRPr="00E27942">
                    <w:rPr>
                      <w:sz w:val="20"/>
                    </w:rPr>
                    <w:t>−36</w:t>
                  </w:r>
                  <w:r w:rsidRPr="007270EE">
                    <w:rPr>
                      <w:sz w:val="20"/>
                      <w:vertAlign w:val="superscript"/>
                    </w:rPr>
                    <w:t>+6</w:t>
                  </w:r>
                  <w:r w:rsidRPr="00E27942">
                    <w:rPr>
                      <w:sz w:val="20"/>
                    </w:rPr>
                    <w:t xml:space="preserve"> weeks  </w:t>
                  </w:r>
                </w:p>
              </w:tc>
              <w:tc>
                <w:tcPr>
                  <w:tcW w:w="1280" w:type="dxa"/>
                </w:tcPr>
                <w:p w:rsidRPr="00E27942" w:rsidR="005C3258" w:rsidP="00131848" w:rsidRDefault="005C3258" w14:paraId="5D0EAE36" w14:textId="77777777">
                  <w:pPr>
                    <w:rPr>
                      <w:sz w:val="20"/>
                    </w:rPr>
                  </w:pPr>
                  <w:r w:rsidRPr="00E27942">
                    <w:rPr>
                      <w:sz w:val="20"/>
                    </w:rPr>
                    <w:t>15+ days</w:t>
                  </w:r>
                </w:p>
              </w:tc>
              <w:tc>
                <w:tcPr>
                  <w:tcW w:w="1134" w:type="dxa"/>
                </w:tcPr>
                <w:p w:rsidRPr="00E47B75" w:rsidR="005C3258" w:rsidP="00131848" w:rsidRDefault="005C3258" w14:paraId="173E4402" w14:textId="77777777">
                  <w:pPr>
                    <w:pStyle w:val="BodyText"/>
                    <w:rPr>
                      <w:rFonts w:cs="Arial"/>
                      <w:sz w:val="20"/>
                    </w:rPr>
                  </w:pPr>
                  <w:r w:rsidRPr="00E47B75">
                    <w:rPr>
                      <w:sz w:val="20"/>
                    </w:rPr>
                    <w:t>8 hourly</w:t>
                  </w:r>
                </w:p>
              </w:tc>
            </w:tr>
            <w:tr w:rsidRPr="00E47B75" w:rsidR="005C3258" w:rsidTr="005C3258" w14:paraId="407A41F6" w14:textId="77777777">
              <w:tc>
                <w:tcPr>
                  <w:tcW w:w="4394" w:type="dxa"/>
                </w:tcPr>
                <w:p w:rsidRPr="00E27942" w:rsidR="005C3258" w:rsidP="00131848" w:rsidRDefault="005C3258" w14:paraId="544BF960" w14:textId="77777777">
                  <w:pPr>
                    <w:rPr>
                      <w:sz w:val="20"/>
                    </w:rPr>
                  </w:pPr>
                  <w:r w:rsidRPr="00E27942">
                    <w:rPr>
                      <w:sz w:val="20"/>
                    </w:rPr>
                    <w:t>37</w:t>
                  </w:r>
                  <w:r w:rsidRPr="00BE698E">
                    <w:rPr>
                      <w:sz w:val="20"/>
                      <w:vertAlign w:val="superscript"/>
                    </w:rPr>
                    <w:t>+0</w:t>
                  </w:r>
                  <w:r w:rsidRPr="00E27942">
                    <w:rPr>
                      <w:sz w:val="20"/>
                    </w:rPr>
                    <w:t>−44</w:t>
                  </w:r>
                  <w:r w:rsidRPr="00BE698E">
                    <w:rPr>
                      <w:sz w:val="20"/>
                      <w:vertAlign w:val="superscript"/>
                    </w:rPr>
                    <w:t>+6</w:t>
                  </w:r>
                  <w:r w:rsidRPr="00E27942">
                    <w:rPr>
                      <w:sz w:val="20"/>
                    </w:rPr>
                    <w:t xml:space="preserve"> weeks </w:t>
                  </w:r>
                </w:p>
              </w:tc>
              <w:tc>
                <w:tcPr>
                  <w:tcW w:w="1280" w:type="dxa"/>
                </w:tcPr>
                <w:p w:rsidRPr="00E27942" w:rsidR="005C3258" w:rsidP="00131848" w:rsidRDefault="005C3258" w14:paraId="01AAC294" w14:textId="77777777">
                  <w:pPr>
                    <w:rPr>
                      <w:sz w:val="20"/>
                    </w:rPr>
                  </w:pPr>
                  <w:r w:rsidRPr="00E27942">
                    <w:rPr>
                      <w:sz w:val="20"/>
                    </w:rPr>
                    <w:t>0−7 days</w:t>
                  </w:r>
                </w:p>
              </w:tc>
              <w:tc>
                <w:tcPr>
                  <w:tcW w:w="1134" w:type="dxa"/>
                </w:tcPr>
                <w:p w:rsidRPr="00E47B75" w:rsidR="005C3258" w:rsidP="00131848" w:rsidRDefault="005C3258" w14:paraId="0EF74E0F" w14:textId="77777777">
                  <w:pPr>
                    <w:pStyle w:val="BodyText"/>
                    <w:rPr>
                      <w:sz w:val="20"/>
                    </w:rPr>
                  </w:pPr>
                  <w:r w:rsidRPr="00E47B75">
                    <w:rPr>
                      <w:sz w:val="20"/>
                    </w:rPr>
                    <w:t>12 hourly</w:t>
                  </w:r>
                </w:p>
              </w:tc>
            </w:tr>
            <w:tr w:rsidRPr="00E47B75" w:rsidR="005C3258" w:rsidTr="005C3258" w14:paraId="4FB7241E" w14:textId="77777777">
              <w:tc>
                <w:tcPr>
                  <w:tcW w:w="4394" w:type="dxa"/>
                </w:tcPr>
                <w:p w:rsidRPr="00E27942" w:rsidR="005C3258" w:rsidP="00131848" w:rsidRDefault="005C3258" w14:paraId="2D4140CD" w14:textId="77777777">
                  <w:pPr>
                    <w:rPr>
                      <w:sz w:val="20"/>
                    </w:rPr>
                  </w:pPr>
                  <w:r w:rsidRPr="00E27942">
                    <w:rPr>
                      <w:sz w:val="20"/>
                    </w:rPr>
                    <w:t>37</w:t>
                  </w:r>
                  <w:r w:rsidRPr="00BE698E">
                    <w:rPr>
                      <w:sz w:val="20"/>
                      <w:vertAlign w:val="superscript"/>
                    </w:rPr>
                    <w:t>+0</w:t>
                  </w:r>
                  <w:r w:rsidRPr="00E27942">
                    <w:rPr>
                      <w:sz w:val="20"/>
                    </w:rPr>
                    <w:t>−44</w:t>
                  </w:r>
                  <w:r w:rsidRPr="00BE698E">
                    <w:rPr>
                      <w:sz w:val="20"/>
                      <w:vertAlign w:val="superscript"/>
                    </w:rPr>
                    <w:t>+6</w:t>
                  </w:r>
                  <w:r w:rsidRPr="00E27942">
                    <w:rPr>
                      <w:sz w:val="20"/>
                    </w:rPr>
                    <w:t xml:space="preserve"> weeks </w:t>
                  </w:r>
                </w:p>
              </w:tc>
              <w:tc>
                <w:tcPr>
                  <w:tcW w:w="1280" w:type="dxa"/>
                </w:tcPr>
                <w:p w:rsidRPr="00E27942" w:rsidR="005C3258" w:rsidP="00131848" w:rsidRDefault="005C3258" w14:paraId="3B5FC86C" w14:textId="77777777">
                  <w:pPr>
                    <w:rPr>
                      <w:sz w:val="20"/>
                    </w:rPr>
                  </w:pPr>
                  <w:r w:rsidRPr="00E27942">
                    <w:rPr>
                      <w:sz w:val="20"/>
                    </w:rPr>
                    <w:t>8+ days</w:t>
                  </w:r>
                </w:p>
              </w:tc>
              <w:tc>
                <w:tcPr>
                  <w:tcW w:w="1134" w:type="dxa"/>
                </w:tcPr>
                <w:p w:rsidRPr="00E47B75" w:rsidR="005C3258" w:rsidP="00131848" w:rsidRDefault="005C3258" w14:paraId="6498A9CE" w14:textId="77777777">
                  <w:pPr>
                    <w:pStyle w:val="BodyText"/>
                    <w:rPr>
                      <w:sz w:val="20"/>
                    </w:rPr>
                  </w:pPr>
                  <w:r w:rsidRPr="00E47B75">
                    <w:rPr>
                      <w:sz w:val="20"/>
                    </w:rPr>
                    <w:t>8 hourly</w:t>
                  </w:r>
                </w:p>
              </w:tc>
            </w:tr>
          </w:tbl>
          <w:p w:rsidRPr="00E47B75" w:rsidR="005C3258" w:rsidP="00131848" w:rsidRDefault="005C3258" w14:paraId="3FF17C66" w14:textId="77777777">
            <w:pPr>
              <w:pStyle w:val="BodyText"/>
              <w:ind w:left="720"/>
              <w:rPr>
                <w:rFonts w:cs="Arial"/>
                <w:sz w:val="20"/>
              </w:rPr>
            </w:pPr>
            <w:r>
              <w:rPr>
                <w:rFonts w:cs="Arial"/>
                <w:sz w:val="20"/>
              </w:rPr>
              <w:t>*Also referred to as “current gestational age”</w:t>
            </w:r>
          </w:p>
          <w:p w:rsidRPr="00CE2DC5" w:rsidR="005C3258" w:rsidP="00131848" w:rsidRDefault="005C3258" w14:paraId="2E3E254E" w14:textId="77777777">
            <w:pPr>
              <w:pStyle w:val="BodyText"/>
              <w:rPr>
                <w:rFonts w:cs="Arial"/>
                <w:b/>
                <w:sz w:val="20"/>
              </w:rPr>
            </w:pPr>
            <w:r>
              <w:rPr>
                <w:rFonts w:cs="Arial"/>
                <w:b/>
                <w:sz w:val="20"/>
              </w:rPr>
              <w:t>ORAL</w:t>
            </w:r>
          </w:p>
          <w:p w:rsidRPr="00E47B75" w:rsidR="005C3258" w:rsidP="00131848" w:rsidRDefault="005C3258" w14:paraId="2129E96B" w14:textId="77777777">
            <w:pPr>
              <w:pStyle w:val="BodyText"/>
              <w:ind w:left="720"/>
              <w:rPr>
                <w:rFonts w:cs="Arial"/>
                <w:sz w:val="20"/>
              </w:rPr>
            </w:pPr>
            <w:r w:rsidRPr="00E47B75">
              <w:rPr>
                <w:rFonts w:cs="Arial"/>
                <w:sz w:val="20"/>
              </w:rPr>
              <w:t>Treatment: 25</w:t>
            </w:r>
            <w:r>
              <w:rPr>
                <w:rFonts w:cs="Arial"/>
                <w:sz w:val="20"/>
              </w:rPr>
              <w:t>–</w:t>
            </w:r>
            <w:r w:rsidRPr="00E47B75">
              <w:rPr>
                <w:rFonts w:cs="Arial"/>
                <w:sz w:val="20"/>
              </w:rPr>
              <w:t>50 mg/kg/dose.</w:t>
            </w:r>
          </w:p>
          <w:tbl>
            <w:tblPr>
              <w:tblW w:w="6808"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36"/>
              <w:gridCol w:w="1138"/>
              <w:gridCol w:w="1134"/>
            </w:tblGrid>
            <w:tr w:rsidRPr="00E47B75" w:rsidR="005C3258" w:rsidTr="005C3258" w14:paraId="28E216FC" w14:textId="77777777">
              <w:trPr>
                <w:trHeight w:val="248"/>
              </w:trPr>
              <w:tc>
                <w:tcPr>
                  <w:tcW w:w="4536" w:type="dxa"/>
                  <w:vAlign w:val="center"/>
                </w:tcPr>
                <w:p w:rsidRPr="00E47B75" w:rsidR="005C3258" w:rsidP="00131848" w:rsidRDefault="005C3258" w14:paraId="5FEC7DAB" w14:textId="77777777">
                  <w:pPr>
                    <w:pStyle w:val="BodyText"/>
                    <w:jc w:val="center"/>
                    <w:rPr>
                      <w:rFonts w:cs="Arial"/>
                      <w:b/>
                      <w:sz w:val="20"/>
                    </w:rPr>
                  </w:pPr>
                  <w:r w:rsidRPr="001D5197">
                    <w:rPr>
                      <w:rFonts w:cs="Arial"/>
                      <w:b/>
                      <w:sz w:val="20"/>
                    </w:rPr>
                    <w:t>Corrected gestational age/postmenstrual age*</w:t>
                  </w:r>
                </w:p>
              </w:tc>
              <w:tc>
                <w:tcPr>
                  <w:tcW w:w="1138" w:type="dxa"/>
                  <w:vAlign w:val="center"/>
                </w:tcPr>
                <w:p w:rsidRPr="00E47B75" w:rsidR="005C3258" w:rsidP="00131848" w:rsidRDefault="005C3258" w14:paraId="0E9DF41F" w14:textId="77777777">
                  <w:pPr>
                    <w:pStyle w:val="BodyText"/>
                    <w:jc w:val="center"/>
                    <w:rPr>
                      <w:rFonts w:cs="Arial"/>
                      <w:b/>
                      <w:sz w:val="20"/>
                    </w:rPr>
                  </w:pPr>
                  <w:r>
                    <w:rPr>
                      <w:rFonts w:cs="Arial"/>
                      <w:b/>
                      <w:sz w:val="20"/>
                    </w:rPr>
                    <w:t>Day of life</w:t>
                  </w:r>
                </w:p>
              </w:tc>
              <w:tc>
                <w:tcPr>
                  <w:tcW w:w="1134" w:type="dxa"/>
                  <w:vAlign w:val="center"/>
                </w:tcPr>
                <w:p w:rsidRPr="00E47B75" w:rsidR="005C3258" w:rsidP="00131848" w:rsidRDefault="005C3258" w14:paraId="5CAB0B6C" w14:textId="77777777">
                  <w:pPr>
                    <w:pStyle w:val="BodyText"/>
                    <w:jc w:val="center"/>
                    <w:rPr>
                      <w:rFonts w:cs="Arial"/>
                      <w:b/>
                      <w:sz w:val="20"/>
                    </w:rPr>
                  </w:pPr>
                  <w:r>
                    <w:rPr>
                      <w:rFonts w:cs="Arial"/>
                      <w:b/>
                      <w:sz w:val="20"/>
                    </w:rPr>
                    <w:t>Interval</w:t>
                  </w:r>
                </w:p>
              </w:tc>
            </w:tr>
            <w:tr w:rsidRPr="00E47B75" w:rsidR="005C3258" w:rsidTr="005C3258" w14:paraId="6D03F5B6" w14:textId="77777777">
              <w:trPr>
                <w:trHeight w:val="247"/>
              </w:trPr>
              <w:tc>
                <w:tcPr>
                  <w:tcW w:w="4536" w:type="dxa"/>
                </w:tcPr>
                <w:p w:rsidRPr="00E47B75" w:rsidR="005C3258" w:rsidP="00131848" w:rsidRDefault="005C3258" w14:paraId="049898D8" w14:textId="77777777">
                  <w:pPr>
                    <w:pStyle w:val="BodyText"/>
                    <w:rPr>
                      <w:sz w:val="20"/>
                    </w:rPr>
                  </w:pPr>
                  <w:r w:rsidRPr="00E47B75">
                    <w:rPr>
                      <w:sz w:val="20"/>
                    </w:rPr>
                    <w:t>37</w:t>
                  </w:r>
                  <w:r w:rsidRPr="00E47B75">
                    <w:rPr>
                      <w:sz w:val="20"/>
                      <w:vertAlign w:val="superscript"/>
                    </w:rPr>
                    <w:t>+0</w:t>
                  </w:r>
                  <w:r w:rsidRPr="00E47B75">
                    <w:rPr>
                      <w:sz w:val="20"/>
                    </w:rPr>
                    <w:t>−44</w:t>
                  </w:r>
                  <w:r w:rsidRPr="00E47B75">
                    <w:rPr>
                      <w:sz w:val="20"/>
                      <w:vertAlign w:val="superscript"/>
                    </w:rPr>
                    <w:t>+6</w:t>
                  </w:r>
                  <w:r w:rsidRPr="00E47B75">
                    <w:rPr>
                      <w:sz w:val="20"/>
                    </w:rPr>
                    <w:t xml:space="preserve"> weeks </w:t>
                  </w:r>
                </w:p>
              </w:tc>
              <w:tc>
                <w:tcPr>
                  <w:tcW w:w="1138" w:type="dxa"/>
                </w:tcPr>
                <w:p w:rsidRPr="00E47B75" w:rsidR="005C3258" w:rsidP="00131848" w:rsidRDefault="005C3258" w14:paraId="6D2C3B08" w14:textId="77777777">
                  <w:pPr>
                    <w:pStyle w:val="BodyText"/>
                    <w:rPr>
                      <w:sz w:val="20"/>
                    </w:rPr>
                  </w:pPr>
                  <w:r w:rsidRPr="00E47B75">
                    <w:rPr>
                      <w:sz w:val="20"/>
                    </w:rPr>
                    <w:t>0−7 days</w:t>
                  </w:r>
                </w:p>
              </w:tc>
              <w:tc>
                <w:tcPr>
                  <w:tcW w:w="1134" w:type="dxa"/>
                </w:tcPr>
                <w:p w:rsidRPr="00E47B75" w:rsidR="005C3258" w:rsidP="00131848" w:rsidRDefault="005C3258" w14:paraId="54E19452" w14:textId="77777777">
                  <w:pPr>
                    <w:pStyle w:val="BodyText"/>
                    <w:rPr>
                      <w:sz w:val="20"/>
                    </w:rPr>
                  </w:pPr>
                  <w:r w:rsidRPr="00E47B75">
                    <w:rPr>
                      <w:sz w:val="20"/>
                    </w:rPr>
                    <w:t>12 hourly</w:t>
                  </w:r>
                </w:p>
              </w:tc>
            </w:tr>
            <w:tr w:rsidRPr="00E47B75" w:rsidR="005C3258" w:rsidTr="005C3258" w14:paraId="4A012D4B" w14:textId="77777777">
              <w:tc>
                <w:tcPr>
                  <w:tcW w:w="4536" w:type="dxa"/>
                </w:tcPr>
                <w:p w:rsidRPr="00E47B75" w:rsidR="005C3258" w:rsidP="00131848" w:rsidRDefault="005C3258" w14:paraId="4BF644D9" w14:textId="77777777">
                  <w:pPr>
                    <w:pStyle w:val="BodyText"/>
                    <w:rPr>
                      <w:sz w:val="20"/>
                    </w:rPr>
                  </w:pPr>
                  <w:r w:rsidRPr="00E47B75">
                    <w:rPr>
                      <w:sz w:val="20"/>
                    </w:rPr>
                    <w:t>37</w:t>
                  </w:r>
                  <w:r w:rsidRPr="00E47B75">
                    <w:rPr>
                      <w:sz w:val="20"/>
                      <w:vertAlign w:val="superscript"/>
                    </w:rPr>
                    <w:t>+0</w:t>
                  </w:r>
                  <w:r w:rsidRPr="00E47B75">
                    <w:rPr>
                      <w:sz w:val="20"/>
                    </w:rPr>
                    <w:t>−44</w:t>
                  </w:r>
                  <w:r w:rsidRPr="00E47B75">
                    <w:rPr>
                      <w:sz w:val="20"/>
                      <w:vertAlign w:val="superscript"/>
                    </w:rPr>
                    <w:t>+6</w:t>
                  </w:r>
                  <w:r w:rsidRPr="00E47B75">
                    <w:rPr>
                      <w:sz w:val="20"/>
                    </w:rPr>
                    <w:t xml:space="preserve"> weeks </w:t>
                  </w:r>
                </w:p>
              </w:tc>
              <w:tc>
                <w:tcPr>
                  <w:tcW w:w="1138" w:type="dxa"/>
                </w:tcPr>
                <w:p w:rsidRPr="00E47B75" w:rsidR="005C3258" w:rsidP="00131848" w:rsidRDefault="005C3258" w14:paraId="41BC0AE1" w14:textId="77777777">
                  <w:pPr>
                    <w:pStyle w:val="BodyText"/>
                    <w:rPr>
                      <w:sz w:val="20"/>
                    </w:rPr>
                  </w:pPr>
                  <w:r w:rsidRPr="00E47B75">
                    <w:rPr>
                      <w:sz w:val="20"/>
                    </w:rPr>
                    <w:t>8+ days</w:t>
                  </w:r>
                </w:p>
              </w:tc>
              <w:tc>
                <w:tcPr>
                  <w:tcW w:w="1134" w:type="dxa"/>
                </w:tcPr>
                <w:p w:rsidRPr="00E47B75" w:rsidR="005C3258" w:rsidP="00131848" w:rsidRDefault="005C3258" w14:paraId="65FA2F9B" w14:textId="77777777">
                  <w:pPr>
                    <w:pStyle w:val="BodyText"/>
                    <w:rPr>
                      <w:sz w:val="20"/>
                    </w:rPr>
                  </w:pPr>
                  <w:r w:rsidRPr="00E47B75">
                    <w:rPr>
                      <w:sz w:val="20"/>
                    </w:rPr>
                    <w:t>8 hourly</w:t>
                  </w:r>
                </w:p>
              </w:tc>
            </w:tr>
          </w:tbl>
          <w:p w:rsidR="005C3258" w:rsidP="00131848" w:rsidRDefault="005C3258" w14:paraId="2A3363E0" w14:textId="77777777">
            <w:pPr>
              <w:pStyle w:val="BodyText"/>
              <w:ind w:left="720"/>
              <w:rPr>
                <w:rFonts w:cs="Arial"/>
                <w:sz w:val="20"/>
              </w:rPr>
            </w:pPr>
            <w:r w:rsidRPr="00C755B8">
              <w:rPr>
                <w:rFonts w:cs="Arial"/>
                <w:sz w:val="20"/>
              </w:rPr>
              <w:t>*</w:t>
            </w:r>
            <w:r>
              <w:rPr>
                <w:rFonts w:cs="Arial"/>
                <w:sz w:val="20"/>
              </w:rPr>
              <w:t>Also referred to as “c</w:t>
            </w:r>
            <w:r w:rsidRPr="00C755B8">
              <w:rPr>
                <w:rFonts w:cs="Arial"/>
                <w:sz w:val="20"/>
              </w:rPr>
              <w:t>urrent gestational age</w:t>
            </w:r>
            <w:r>
              <w:rPr>
                <w:rFonts w:cs="Arial"/>
                <w:sz w:val="20"/>
              </w:rPr>
              <w:t>”</w:t>
            </w:r>
          </w:p>
          <w:p w:rsidRPr="00E47B75" w:rsidR="005C3258" w:rsidP="00131848" w:rsidRDefault="005C3258" w14:paraId="108B42BF" w14:textId="77777777">
            <w:pPr>
              <w:pStyle w:val="BodyText"/>
              <w:ind w:left="720"/>
              <w:rPr>
                <w:rFonts w:cs="Arial"/>
                <w:sz w:val="20"/>
              </w:rPr>
            </w:pPr>
          </w:p>
          <w:p w:rsidRPr="00CE2DC5" w:rsidR="005C3258" w:rsidP="00131848" w:rsidRDefault="005C3258" w14:paraId="498C5FF8" w14:textId="77777777">
            <w:pPr>
              <w:pStyle w:val="BodyText"/>
              <w:ind w:left="720"/>
              <w:rPr>
                <w:rFonts w:cs="Arial"/>
                <w:sz w:val="20"/>
              </w:rPr>
            </w:pPr>
            <w:r w:rsidRPr="00E47B75">
              <w:rPr>
                <w:rFonts w:cs="Arial"/>
                <w:sz w:val="20"/>
              </w:rPr>
              <w:t>Prophylaxis (e.g. U</w:t>
            </w:r>
            <w:r>
              <w:rPr>
                <w:rFonts w:cs="Arial"/>
                <w:sz w:val="20"/>
              </w:rPr>
              <w:t>rinary Tract Infection</w:t>
            </w:r>
            <w:r w:rsidRPr="00E47B75">
              <w:rPr>
                <w:rFonts w:cs="Arial"/>
                <w:sz w:val="20"/>
              </w:rPr>
              <w:t>): 10</w:t>
            </w:r>
            <w:r>
              <w:rPr>
                <w:rFonts w:cs="Arial"/>
                <w:sz w:val="20"/>
              </w:rPr>
              <w:t>–</w:t>
            </w:r>
            <w:r w:rsidRPr="00E47B75">
              <w:rPr>
                <w:rFonts w:cs="Arial"/>
                <w:sz w:val="20"/>
              </w:rPr>
              <w:t>15 mg/kg/dose once a day</w:t>
            </w:r>
          </w:p>
        </w:tc>
      </w:tr>
      <w:tr w:rsidRPr="009D7CFB" w:rsidR="005C3258" w:rsidTr="005C3258" w14:paraId="7B228137" w14:textId="77777777">
        <w:trPr>
          <w:trHeight w:val="407"/>
        </w:trPr>
        <w:tc>
          <w:tcPr>
            <w:tcW w:w="2014" w:type="dxa"/>
          </w:tcPr>
          <w:p w:rsidRPr="009D7CFB" w:rsidR="005C3258" w:rsidP="00131848" w:rsidRDefault="005C3258" w14:paraId="2BC28984" w14:textId="77777777">
            <w:pPr>
              <w:pStyle w:val="BodyText"/>
              <w:rPr>
                <w:rFonts w:cs="Arial"/>
                <w:b/>
                <w:bCs/>
                <w:szCs w:val="24"/>
              </w:rPr>
            </w:pPr>
            <w:r w:rsidRPr="009D7CFB">
              <w:rPr>
                <w:b/>
              </w:rPr>
              <w:t>Maximum Daily Dose</w:t>
            </w:r>
          </w:p>
        </w:tc>
        <w:tc>
          <w:tcPr>
            <w:tcW w:w="7371" w:type="dxa"/>
          </w:tcPr>
          <w:p w:rsidRPr="009D7CFB" w:rsidR="005C3258" w:rsidP="00131848" w:rsidRDefault="005C3258" w14:paraId="6122479F" w14:textId="77777777">
            <w:pPr>
              <w:pStyle w:val="BodyText"/>
              <w:rPr>
                <w:rFonts w:cs="Arial"/>
                <w:b/>
                <w:sz w:val="20"/>
              </w:rPr>
            </w:pPr>
            <w:r>
              <w:rPr>
                <w:sz w:val="20"/>
              </w:rPr>
              <w:t>3</w:t>
            </w:r>
            <w:r w:rsidRPr="009D7CFB">
              <w:rPr>
                <w:sz w:val="20"/>
              </w:rPr>
              <w:t>00 mg/kg/day</w:t>
            </w:r>
          </w:p>
        </w:tc>
      </w:tr>
      <w:tr w:rsidRPr="009D7CFB" w:rsidR="005C3258" w:rsidTr="005C3258" w14:paraId="56B5D282" w14:textId="77777777">
        <w:trPr>
          <w:trHeight w:val="414"/>
        </w:trPr>
        <w:tc>
          <w:tcPr>
            <w:tcW w:w="2014" w:type="dxa"/>
          </w:tcPr>
          <w:p w:rsidRPr="009D7CFB" w:rsidR="005C3258" w:rsidP="00131848" w:rsidRDefault="005C3258" w14:paraId="75C40EBE" w14:textId="77777777">
            <w:pPr>
              <w:pStyle w:val="BodyText"/>
              <w:rPr>
                <w:rFonts w:cs="Arial"/>
                <w:b/>
                <w:bCs/>
                <w:szCs w:val="24"/>
              </w:rPr>
            </w:pPr>
            <w:r w:rsidRPr="009D7CFB">
              <w:rPr>
                <w:rFonts w:cs="Arial"/>
                <w:b/>
                <w:bCs/>
                <w:szCs w:val="24"/>
              </w:rPr>
              <w:t xml:space="preserve">Route                                </w:t>
            </w:r>
          </w:p>
          <w:p w:rsidRPr="009D7CFB" w:rsidR="005C3258" w:rsidP="00131848" w:rsidRDefault="005C3258" w14:paraId="7D768149" w14:textId="77777777">
            <w:pPr>
              <w:pStyle w:val="BodyText"/>
              <w:rPr>
                <w:rFonts w:cs="Arial"/>
                <w:sz w:val="20"/>
              </w:rPr>
            </w:pPr>
            <w:r w:rsidRPr="009D7CFB">
              <w:rPr>
                <w:rFonts w:cs="Arial"/>
                <w:b/>
                <w:bCs/>
                <w:sz w:val="20"/>
              </w:rPr>
              <w:t xml:space="preserve">           </w:t>
            </w:r>
          </w:p>
        </w:tc>
        <w:tc>
          <w:tcPr>
            <w:tcW w:w="7371" w:type="dxa"/>
          </w:tcPr>
          <w:p w:rsidRPr="009D7CFB" w:rsidR="005C3258" w:rsidP="00131848" w:rsidRDefault="005C3258" w14:paraId="464ACDDF" w14:textId="77777777">
            <w:pPr>
              <w:pStyle w:val="BodyText"/>
              <w:rPr>
                <w:rFonts w:cs="Arial"/>
                <w:sz w:val="20"/>
              </w:rPr>
            </w:pPr>
            <w:r w:rsidRPr="009D7CFB">
              <w:rPr>
                <w:rFonts w:cs="Arial"/>
                <w:sz w:val="20"/>
              </w:rPr>
              <w:t>IV</w:t>
            </w:r>
          </w:p>
          <w:p w:rsidR="005C3258" w:rsidP="00131848" w:rsidRDefault="005C3258" w14:paraId="3EC8C3B2" w14:textId="77777777">
            <w:pPr>
              <w:pStyle w:val="BodyText"/>
              <w:rPr>
                <w:sz w:val="20"/>
              </w:rPr>
            </w:pPr>
            <w:r w:rsidRPr="009D7CFB">
              <w:rPr>
                <w:rFonts w:cs="Arial"/>
                <w:sz w:val="20"/>
              </w:rPr>
              <w:t>IM (</w:t>
            </w:r>
            <w:r w:rsidRPr="009D7CFB">
              <w:rPr>
                <w:sz w:val="20"/>
              </w:rPr>
              <w:t>only if IV route not possible as intramuscular route is painful)</w:t>
            </w:r>
          </w:p>
          <w:p w:rsidRPr="009D7CFB" w:rsidR="005C3258" w:rsidP="00131848" w:rsidRDefault="005C3258" w14:paraId="37085BC8" w14:textId="77777777">
            <w:pPr>
              <w:pStyle w:val="BodyText"/>
              <w:rPr>
                <w:rFonts w:cs="Arial"/>
                <w:sz w:val="20"/>
              </w:rPr>
            </w:pPr>
            <w:r>
              <w:rPr>
                <w:sz w:val="20"/>
              </w:rPr>
              <w:t>ORAL</w:t>
            </w:r>
          </w:p>
        </w:tc>
      </w:tr>
      <w:tr w:rsidRPr="009D7CFB" w:rsidR="005C3258" w:rsidTr="005C3258" w14:paraId="264B4303" w14:textId="77777777">
        <w:trPr>
          <w:trHeight w:val="802"/>
        </w:trPr>
        <w:tc>
          <w:tcPr>
            <w:tcW w:w="2014" w:type="dxa"/>
          </w:tcPr>
          <w:p w:rsidRPr="009D7CFB" w:rsidR="005C3258" w:rsidP="00131848" w:rsidRDefault="005C3258" w14:paraId="1859B0AD" w14:textId="77777777">
            <w:pPr>
              <w:pStyle w:val="BodyText"/>
              <w:rPr>
                <w:rFonts w:cs="Arial"/>
                <w:b/>
                <w:bCs/>
                <w:szCs w:val="24"/>
                <w:highlight w:val="cyan"/>
              </w:rPr>
            </w:pPr>
            <w:r w:rsidRPr="009D7CFB">
              <w:rPr>
                <w:rFonts w:cs="Arial"/>
                <w:b/>
                <w:bCs/>
                <w:szCs w:val="24"/>
              </w:rPr>
              <w:t xml:space="preserve">Preparation </w:t>
            </w:r>
            <w:r w:rsidRPr="009D7CFB">
              <w:rPr>
                <w:rFonts w:cs="Arial"/>
                <w:b/>
                <w:bCs/>
                <w:szCs w:val="24"/>
                <w:highlight w:val="cyan"/>
              </w:rPr>
              <w:t xml:space="preserve">                </w:t>
            </w:r>
          </w:p>
          <w:p w:rsidRPr="009D7CFB" w:rsidR="005C3258" w:rsidP="00131848" w:rsidRDefault="005C3258" w14:paraId="43DBA275" w14:textId="77777777">
            <w:pPr>
              <w:pStyle w:val="BodyText"/>
              <w:rPr>
                <w:rFonts w:cs="Arial"/>
                <w:sz w:val="20"/>
                <w:highlight w:val="cyan"/>
              </w:rPr>
            </w:pPr>
            <w:r w:rsidRPr="009D7CFB">
              <w:rPr>
                <w:rFonts w:cs="Arial"/>
                <w:b/>
                <w:bCs/>
                <w:sz w:val="20"/>
                <w:highlight w:val="cyan"/>
              </w:rPr>
              <w:t xml:space="preserve">           </w:t>
            </w:r>
          </w:p>
        </w:tc>
        <w:tc>
          <w:tcPr>
            <w:tcW w:w="7371" w:type="dxa"/>
          </w:tcPr>
          <w:p w:rsidRPr="009D7CFB" w:rsidR="005C3258" w:rsidP="00131848" w:rsidRDefault="005C3258" w14:paraId="5BF43287" w14:textId="77777777">
            <w:pPr>
              <w:pStyle w:val="BodyText"/>
              <w:rPr>
                <w:rFonts w:cs="Arial"/>
                <w:b/>
                <w:sz w:val="20"/>
              </w:rPr>
            </w:pPr>
            <w:r w:rsidRPr="009D7CFB">
              <w:rPr>
                <w:rFonts w:cs="Arial"/>
                <w:b/>
                <w:sz w:val="20"/>
              </w:rPr>
              <w:t xml:space="preserve">IV </w:t>
            </w:r>
          </w:p>
          <w:p w:rsidRPr="009D7CFB" w:rsidR="005C3258" w:rsidP="00131848" w:rsidRDefault="005C3258" w14:paraId="42433E95" w14:textId="77777777">
            <w:pPr>
              <w:pStyle w:val="BodyText"/>
              <w:rPr>
                <w:sz w:val="20"/>
              </w:rPr>
            </w:pPr>
            <w:r w:rsidRPr="009D7CFB">
              <w:rPr>
                <w:sz w:val="20"/>
              </w:rPr>
              <w:t>Add 9.</w:t>
            </w:r>
            <w:r>
              <w:rPr>
                <w:sz w:val="20"/>
              </w:rPr>
              <w:t>2</w:t>
            </w:r>
            <w:r w:rsidRPr="009D7CFB">
              <w:rPr>
                <w:sz w:val="20"/>
              </w:rPr>
              <w:t xml:space="preserve"> mL of water for injection to the 1 g vial to make 100 mg/mL solution.</w:t>
            </w:r>
          </w:p>
          <w:p w:rsidRPr="007C79A4" w:rsidR="005C3258" w:rsidP="00131848" w:rsidRDefault="005C3258" w14:paraId="28C4B64B" w14:textId="77777777">
            <w:pPr>
              <w:pStyle w:val="BodyText"/>
              <w:rPr>
                <w:rFonts w:cs="Arial"/>
                <w:b/>
                <w:sz w:val="20"/>
              </w:rPr>
            </w:pPr>
            <w:r w:rsidRPr="007C79A4">
              <w:rPr>
                <w:rFonts w:cs="Arial"/>
                <w:b/>
                <w:sz w:val="20"/>
              </w:rPr>
              <w:t>FURTHER DILU</w:t>
            </w:r>
            <w:r>
              <w:rPr>
                <w:rFonts w:cs="Arial"/>
                <w:b/>
                <w:sz w:val="20"/>
              </w:rPr>
              <w:t>TE</w:t>
            </w:r>
          </w:p>
          <w:p w:rsidR="005C3258" w:rsidP="00131848" w:rsidRDefault="005C3258" w14:paraId="1D921EC2" w14:textId="77777777">
            <w:pPr>
              <w:pStyle w:val="BodyText"/>
              <w:rPr>
                <w:rFonts w:cs="Arial"/>
                <w:sz w:val="20"/>
              </w:rPr>
            </w:pPr>
            <w:r>
              <w:rPr>
                <w:rFonts w:cs="Arial"/>
                <w:sz w:val="20"/>
              </w:rPr>
              <w:t xml:space="preserve">Draw up </w:t>
            </w:r>
            <w:r w:rsidRPr="00CB38A7">
              <w:rPr>
                <w:rFonts w:cs="Arial"/>
                <w:sz w:val="20"/>
              </w:rPr>
              <w:t>5 mL (500 mg of am</w:t>
            </w:r>
            <w:r>
              <w:rPr>
                <w:rFonts w:cs="Arial"/>
                <w:sz w:val="20"/>
              </w:rPr>
              <w:t>oxicillin) of</w:t>
            </w:r>
            <w:r w:rsidRPr="00CB38A7">
              <w:rPr>
                <w:rFonts w:cs="Arial"/>
                <w:sz w:val="20"/>
              </w:rPr>
              <w:t xml:space="preserve"> </w:t>
            </w:r>
            <w:r>
              <w:rPr>
                <w:rFonts w:cs="Arial"/>
                <w:sz w:val="20"/>
              </w:rPr>
              <w:t xml:space="preserve">the above </w:t>
            </w:r>
            <w:r w:rsidRPr="00CB38A7">
              <w:rPr>
                <w:rFonts w:cs="Arial"/>
                <w:sz w:val="20"/>
              </w:rPr>
              <w:t xml:space="preserve">solution </w:t>
            </w:r>
            <w:r>
              <w:rPr>
                <w:rFonts w:cs="Arial"/>
                <w:sz w:val="20"/>
              </w:rPr>
              <w:t>and add</w:t>
            </w:r>
            <w:r w:rsidRPr="00CB38A7">
              <w:rPr>
                <w:rFonts w:cs="Arial"/>
                <w:sz w:val="20"/>
              </w:rPr>
              <w:t xml:space="preserve"> 5 mL sodium chloride 0.9% to make a</w:t>
            </w:r>
            <w:r>
              <w:rPr>
                <w:rFonts w:cs="Arial"/>
                <w:sz w:val="20"/>
              </w:rPr>
              <w:t xml:space="preserve"> final volume of 10mL with a final concentration of </w:t>
            </w:r>
            <w:r w:rsidRPr="00CB38A7">
              <w:rPr>
                <w:rFonts w:cs="Arial"/>
                <w:sz w:val="20"/>
              </w:rPr>
              <w:t>50 mg/mL</w:t>
            </w:r>
            <w:r>
              <w:rPr>
                <w:rFonts w:cs="Arial"/>
                <w:sz w:val="20"/>
              </w:rPr>
              <w:t xml:space="preserve">. </w:t>
            </w:r>
          </w:p>
          <w:p w:rsidR="005C3258" w:rsidP="00131848" w:rsidRDefault="005C3258" w14:paraId="09B2C535" w14:textId="77777777">
            <w:pPr>
              <w:pStyle w:val="BodyText"/>
              <w:rPr>
                <w:rFonts w:cs="Arial"/>
                <w:sz w:val="20"/>
              </w:rPr>
            </w:pPr>
            <w:r>
              <w:rPr>
                <w:rFonts w:cs="Arial"/>
                <w:sz w:val="20"/>
              </w:rPr>
              <w:lastRenderedPageBreak/>
              <w:t>Use immediately as concentrated solution &gt;30 mg/mL is not stable.(9)</w:t>
            </w:r>
          </w:p>
          <w:p w:rsidR="005C3258" w:rsidP="00131848" w:rsidRDefault="005C3258" w14:paraId="2A4435BB" w14:textId="77777777">
            <w:pPr>
              <w:pStyle w:val="BodyText"/>
              <w:rPr>
                <w:sz w:val="20"/>
              </w:rPr>
            </w:pPr>
            <w:r w:rsidRPr="009D7CFB">
              <w:rPr>
                <w:rFonts w:cs="Arial"/>
                <w:b/>
                <w:sz w:val="20"/>
              </w:rPr>
              <w:t>IM</w:t>
            </w:r>
          </w:p>
          <w:p w:rsidR="005C3258" w:rsidP="00131848" w:rsidRDefault="005C3258" w14:paraId="15CE189C" w14:textId="77777777">
            <w:pPr>
              <w:pStyle w:val="BodyText"/>
              <w:rPr>
                <w:rFonts w:cs="Arial"/>
                <w:sz w:val="20"/>
              </w:rPr>
            </w:pPr>
            <w:r>
              <w:rPr>
                <w:sz w:val="20"/>
              </w:rPr>
              <w:t>Add 3.2 mL of water for injection or lidocaine (lignocaine) 1% to the 1g vial to make 250 mg/mL solution.</w:t>
            </w:r>
          </w:p>
          <w:p w:rsidRPr="00CE2DC5" w:rsidR="005C3258" w:rsidP="00131848" w:rsidRDefault="005C3258" w14:paraId="1E92CBB3" w14:textId="77777777">
            <w:pPr>
              <w:pStyle w:val="BodyText"/>
              <w:rPr>
                <w:rFonts w:cs="Arial"/>
                <w:b/>
                <w:sz w:val="20"/>
              </w:rPr>
            </w:pPr>
            <w:r>
              <w:rPr>
                <w:rFonts w:cs="Arial"/>
                <w:b/>
                <w:sz w:val="20"/>
              </w:rPr>
              <w:t>ORAL</w:t>
            </w:r>
          </w:p>
          <w:p w:rsidR="005C3258" w:rsidP="00131848" w:rsidRDefault="005C3258" w14:paraId="009D6042" w14:textId="77777777">
            <w:pPr>
              <w:pStyle w:val="BodyText"/>
              <w:rPr>
                <w:rFonts w:cs="Arial"/>
                <w:sz w:val="20"/>
                <w:u w:val="single"/>
              </w:rPr>
            </w:pPr>
            <w:r>
              <w:rPr>
                <w:rFonts w:cs="Arial"/>
                <w:sz w:val="20"/>
              </w:rPr>
              <w:t>1. S</w:t>
            </w:r>
            <w:r w:rsidRPr="008B5195">
              <w:rPr>
                <w:rFonts w:cs="Arial"/>
                <w:sz w:val="20"/>
              </w:rPr>
              <w:t xml:space="preserve">yrup 125 mg/5 mL: Add 87 mL </w:t>
            </w:r>
            <w:r>
              <w:rPr>
                <w:rFonts w:cs="Arial"/>
                <w:sz w:val="20"/>
              </w:rPr>
              <w:t>of water for irrigation to make a final volume of 100mL with a final concentration of 125mg/5mL of suspension.</w:t>
            </w:r>
          </w:p>
          <w:p w:rsidR="005C3258" w:rsidP="00131848" w:rsidRDefault="005C3258" w14:paraId="3082695E" w14:textId="77777777">
            <w:pPr>
              <w:pStyle w:val="BodyText"/>
              <w:rPr>
                <w:rFonts w:cs="Arial"/>
                <w:sz w:val="20"/>
              </w:rPr>
            </w:pPr>
            <w:r>
              <w:rPr>
                <w:rFonts w:cs="Arial"/>
                <w:sz w:val="20"/>
              </w:rPr>
              <w:t>2</w:t>
            </w:r>
            <w:r w:rsidRPr="008B5195">
              <w:rPr>
                <w:rFonts w:cs="Arial"/>
                <w:sz w:val="20"/>
              </w:rPr>
              <w:t xml:space="preserve"> </w:t>
            </w:r>
            <w:r>
              <w:rPr>
                <w:rFonts w:cs="Arial"/>
                <w:sz w:val="20"/>
              </w:rPr>
              <w:t xml:space="preserve">Syrup 250mg/5mL:  </w:t>
            </w:r>
            <w:r w:rsidRPr="008B5195">
              <w:rPr>
                <w:rFonts w:cs="Arial"/>
                <w:sz w:val="20"/>
              </w:rPr>
              <w:t xml:space="preserve">Add 87 mL </w:t>
            </w:r>
            <w:r>
              <w:rPr>
                <w:rFonts w:cs="Arial"/>
                <w:sz w:val="20"/>
              </w:rPr>
              <w:t>of water for irrigation to make a final volume of 100mL with a final concentration of 250mg/5mL of suspension.</w:t>
            </w:r>
          </w:p>
          <w:p w:rsidR="005C3258" w:rsidP="00131848" w:rsidRDefault="005C3258" w14:paraId="16110721" w14:textId="77777777">
            <w:pPr>
              <w:pStyle w:val="BodyText"/>
              <w:rPr>
                <w:rFonts w:cs="Arial"/>
                <w:sz w:val="20"/>
              </w:rPr>
            </w:pPr>
            <w:r>
              <w:rPr>
                <w:rFonts w:cs="Arial"/>
                <w:sz w:val="20"/>
              </w:rPr>
              <w:t xml:space="preserve">3. </w:t>
            </w:r>
            <w:r w:rsidRPr="008B5195">
              <w:rPr>
                <w:rFonts w:cs="Arial"/>
                <w:sz w:val="20"/>
              </w:rPr>
              <w:t>Paediatric drops 100 mg/mL: Add 18 mL water</w:t>
            </w:r>
            <w:r>
              <w:rPr>
                <w:rFonts w:cs="Arial"/>
                <w:sz w:val="20"/>
              </w:rPr>
              <w:t xml:space="preserve"> for injection to make a final volume of 21mL with a final concentration of 100mg/mL.</w:t>
            </w:r>
          </w:p>
        </w:tc>
      </w:tr>
      <w:tr w:rsidRPr="009D7CFB" w:rsidR="005C3258" w:rsidTr="005C3258" w14:paraId="045F429C" w14:textId="77777777">
        <w:trPr>
          <w:trHeight w:val="558"/>
        </w:trPr>
        <w:tc>
          <w:tcPr>
            <w:tcW w:w="2014" w:type="dxa"/>
          </w:tcPr>
          <w:p w:rsidRPr="009D7CFB" w:rsidR="005C3258" w:rsidP="00131848" w:rsidRDefault="005C3258" w14:paraId="305686E5" w14:textId="77777777">
            <w:pPr>
              <w:pStyle w:val="BodyText"/>
              <w:rPr>
                <w:rFonts w:cs="Arial"/>
                <w:b/>
                <w:bCs/>
                <w:szCs w:val="24"/>
              </w:rPr>
            </w:pPr>
            <w:r w:rsidRPr="009D7CFB">
              <w:rPr>
                <w:rFonts w:cs="Arial"/>
                <w:b/>
                <w:bCs/>
                <w:szCs w:val="24"/>
              </w:rPr>
              <w:lastRenderedPageBreak/>
              <w:t xml:space="preserve">Administration                 </w:t>
            </w:r>
          </w:p>
          <w:p w:rsidRPr="009D7CFB" w:rsidR="005C3258" w:rsidP="00131848" w:rsidRDefault="005C3258" w14:paraId="0281D540" w14:textId="77777777">
            <w:pPr>
              <w:pStyle w:val="BodyText"/>
              <w:rPr>
                <w:rFonts w:cs="Arial"/>
                <w:szCs w:val="24"/>
              </w:rPr>
            </w:pPr>
          </w:p>
        </w:tc>
        <w:tc>
          <w:tcPr>
            <w:tcW w:w="7371" w:type="dxa"/>
            <w:vAlign w:val="center"/>
          </w:tcPr>
          <w:p w:rsidRPr="00CB56F8" w:rsidR="005C3258" w:rsidP="00131848" w:rsidRDefault="005C3258" w14:paraId="49DEB01C" w14:textId="77777777">
            <w:pPr>
              <w:pStyle w:val="BodyText"/>
              <w:rPr>
                <w:sz w:val="20"/>
              </w:rPr>
            </w:pPr>
            <w:r w:rsidRPr="009D7CFB">
              <w:rPr>
                <w:sz w:val="20"/>
              </w:rPr>
              <w:t xml:space="preserve">IV: </w:t>
            </w:r>
            <w:r w:rsidRPr="0098549F">
              <w:rPr>
                <w:bCs/>
                <w:sz w:val="20"/>
              </w:rPr>
              <w:t>Infuse over 30 minutes into the proximal cannula site.</w:t>
            </w:r>
            <w:r w:rsidRPr="007C79A4">
              <w:rPr>
                <w:b/>
                <w:sz w:val="20"/>
              </w:rPr>
              <w:br/>
            </w:r>
            <w:r w:rsidRPr="009D7CFB">
              <w:rPr>
                <w:sz w:val="20"/>
              </w:rPr>
              <w:t xml:space="preserve">Separate from aminoglycosides by clearing the lines with a flush as </w:t>
            </w:r>
            <w:r>
              <w:rPr>
                <w:sz w:val="20"/>
              </w:rPr>
              <w:t>penicillins</w:t>
            </w:r>
            <w:r w:rsidRPr="009D7CFB">
              <w:rPr>
                <w:sz w:val="20"/>
              </w:rPr>
              <w:t xml:space="preserve"> inactivate them. </w:t>
            </w:r>
          </w:p>
          <w:p w:rsidR="005C3258" w:rsidP="00131848" w:rsidRDefault="005C3258" w14:paraId="7F16F8AD" w14:textId="77777777">
            <w:pPr>
              <w:pStyle w:val="BodyText"/>
              <w:rPr>
                <w:rFonts w:cs="Arial"/>
                <w:sz w:val="20"/>
              </w:rPr>
            </w:pPr>
            <w:r w:rsidRPr="00CB38A7">
              <w:rPr>
                <w:rFonts w:cs="Arial"/>
                <w:sz w:val="20"/>
              </w:rPr>
              <w:t>IM injection: Only if IV route is not possible.</w:t>
            </w:r>
          </w:p>
          <w:p w:rsidRPr="009D7CFB" w:rsidR="005C3258" w:rsidP="00131848" w:rsidRDefault="005C3258" w14:paraId="2F4EFD7C" w14:textId="77777777">
            <w:pPr>
              <w:pStyle w:val="BodyText"/>
              <w:rPr>
                <w:rFonts w:cs="Arial"/>
                <w:sz w:val="20"/>
              </w:rPr>
            </w:pPr>
            <w:r>
              <w:rPr>
                <w:rFonts w:cs="Arial"/>
                <w:sz w:val="20"/>
              </w:rPr>
              <w:t xml:space="preserve">PO: </w:t>
            </w:r>
            <w:r w:rsidRPr="00DF7E39">
              <w:rPr>
                <w:rFonts w:cs="Arial"/>
                <w:sz w:val="20"/>
              </w:rPr>
              <w:t>The liquid preparation should be shaken well</w:t>
            </w:r>
            <w:r>
              <w:rPr>
                <w:rFonts w:cs="Arial"/>
                <w:sz w:val="20"/>
              </w:rPr>
              <w:t xml:space="preserve">. </w:t>
            </w:r>
            <w:r w:rsidRPr="00DF7E39">
              <w:rPr>
                <w:rFonts w:cs="Arial"/>
                <w:sz w:val="20"/>
              </w:rPr>
              <w:t>After mixing, administer immediately. The dose may be mixed with milk.</w:t>
            </w:r>
          </w:p>
        </w:tc>
      </w:tr>
      <w:tr w:rsidRPr="009D7CFB" w:rsidR="005C3258" w:rsidTr="005C3258" w14:paraId="7C02CCB9" w14:textId="77777777">
        <w:trPr>
          <w:trHeight w:val="407"/>
        </w:trPr>
        <w:tc>
          <w:tcPr>
            <w:tcW w:w="2014" w:type="dxa"/>
          </w:tcPr>
          <w:p w:rsidRPr="009D7CFB" w:rsidR="005C3258" w:rsidP="00131848" w:rsidRDefault="005C3258" w14:paraId="558B15DD" w14:textId="77777777">
            <w:pPr>
              <w:pStyle w:val="BodyText"/>
              <w:rPr>
                <w:rFonts w:cs="Arial"/>
                <w:b/>
                <w:bCs/>
                <w:szCs w:val="24"/>
              </w:rPr>
            </w:pPr>
            <w:r w:rsidRPr="009D7CFB">
              <w:rPr>
                <w:rFonts w:cs="Arial"/>
                <w:b/>
                <w:bCs/>
                <w:szCs w:val="24"/>
              </w:rPr>
              <w:t xml:space="preserve">Monitoring                              </w:t>
            </w:r>
          </w:p>
          <w:p w:rsidRPr="009D7CFB" w:rsidR="005C3258" w:rsidP="00131848" w:rsidRDefault="005C3258" w14:paraId="53D2AC28" w14:textId="77777777">
            <w:pPr>
              <w:pStyle w:val="BodyText"/>
              <w:rPr>
                <w:rFonts w:cs="Arial"/>
                <w:szCs w:val="24"/>
              </w:rPr>
            </w:pPr>
          </w:p>
        </w:tc>
        <w:tc>
          <w:tcPr>
            <w:tcW w:w="7371" w:type="dxa"/>
          </w:tcPr>
          <w:p w:rsidR="005C3258" w:rsidP="00131848" w:rsidRDefault="005C3258" w14:paraId="54235172" w14:textId="77777777">
            <w:pPr>
              <w:pStyle w:val="BodyText"/>
              <w:rPr>
                <w:sz w:val="20"/>
              </w:rPr>
            </w:pPr>
            <w:r>
              <w:rPr>
                <w:sz w:val="20"/>
              </w:rPr>
              <w:t xml:space="preserve">Monitoring is not required. </w:t>
            </w:r>
          </w:p>
          <w:p w:rsidRPr="009D7CFB" w:rsidR="005C3258" w:rsidP="00131848" w:rsidRDefault="005C3258" w14:paraId="69F8773A" w14:textId="77777777">
            <w:pPr>
              <w:pStyle w:val="BodyText"/>
              <w:rPr>
                <w:rFonts w:cs="Arial"/>
                <w:sz w:val="20"/>
              </w:rPr>
            </w:pPr>
            <w:r>
              <w:rPr>
                <w:sz w:val="20"/>
              </w:rPr>
              <w:t>Follow infectious disease/microbiology advice in case of poor therapeutic response.</w:t>
            </w:r>
          </w:p>
        </w:tc>
      </w:tr>
      <w:tr w:rsidRPr="009D7CFB" w:rsidR="005C3258" w:rsidTr="005C3258" w14:paraId="2407837A" w14:textId="77777777">
        <w:trPr>
          <w:trHeight w:val="364"/>
        </w:trPr>
        <w:tc>
          <w:tcPr>
            <w:tcW w:w="2014" w:type="dxa"/>
          </w:tcPr>
          <w:p w:rsidRPr="007C79A4" w:rsidR="005C3258" w:rsidP="00131848" w:rsidRDefault="005C3258" w14:paraId="1274E18D" w14:textId="77777777">
            <w:pPr>
              <w:pStyle w:val="BodyText"/>
              <w:rPr>
                <w:rFonts w:cs="Arial"/>
                <w:b/>
                <w:bCs/>
                <w:szCs w:val="24"/>
              </w:rPr>
            </w:pPr>
            <w:r w:rsidRPr="009D7CFB">
              <w:rPr>
                <w:rFonts w:cs="Arial"/>
                <w:b/>
                <w:bCs/>
                <w:szCs w:val="24"/>
              </w:rPr>
              <w:t xml:space="preserve">Contraindications                           </w:t>
            </w:r>
          </w:p>
        </w:tc>
        <w:tc>
          <w:tcPr>
            <w:tcW w:w="7371" w:type="dxa"/>
          </w:tcPr>
          <w:p w:rsidRPr="009D7CFB" w:rsidR="005C3258" w:rsidP="00131848" w:rsidRDefault="005C3258" w14:paraId="28FD99F1" w14:textId="77777777">
            <w:pPr>
              <w:pStyle w:val="BodyText"/>
              <w:rPr>
                <w:rFonts w:cs="Arial"/>
                <w:sz w:val="20"/>
              </w:rPr>
            </w:pPr>
            <w:r w:rsidRPr="009D7CFB">
              <w:rPr>
                <w:sz w:val="20"/>
              </w:rPr>
              <w:t>Hypersensitivity</w:t>
            </w:r>
            <w:r>
              <w:rPr>
                <w:sz w:val="20"/>
              </w:rPr>
              <w:t xml:space="preserve"> to penicillins (unlikely to be an issue</w:t>
            </w:r>
            <w:r w:rsidRPr="009D7CFB">
              <w:rPr>
                <w:sz w:val="20"/>
              </w:rPr>
              <w:t xml:space="preserve"> in neonates</w:t>
            </w:r>
            <w:r>
              <w:rPr>
                <w:sz w:val="20"/>
              </w:rPr>
              <w:t>).</w:t>
            </w:r>
            <w:r w:rsidRPr="009D7CFB" w:rsidDel="009D7CFB">
              <w:rPr>
                <w:sz w:val="20"/>
              </w:rPr>
              <w:t xml:space="preserve"> </w:t>
            </w:r>
          </w:p>
        </w:tc>
      </w:tr>
      <w:tr w:rsidRPr="009D7CFB" w:rsidR="005C3258" w:rsidTr="005C3258" w14:paraId="4DF3D16C" w14:textId="77777777">
        <w:tc>
          <w:tcPr>
            <w:tcW w:w="2014" w:type="dxa"/>
          </w:tcPr>
          <w:p w:rsidRPr="009D7CFB" w:rsidR="005C3258" w:rsidP="00131848" w:rsidRDefault="005C3258" w14:paraId="4F4B9964" w14:textId="77777777">
            <w:pPr>
              <w:pStyle w:val="BodyText"/>
              <w:rPr>
                <w:rFonts w:cs="Arial"/>
                <w:b/>
                <w:bCs/>
                <w:szCs w:val="24"/>
              </w:rPr>
            </w:pPr>
            <w:r w:rsidRPr="009D7CFB">
              <w:rPr>
                <w:szCs w:val="24"/>
              </w:rPr>
              <w:br w:type="page"/>
            </w:r>
            <w:r w:rsidRPr="009D7CFB">
              <w:rPr>
                <w:rFonts w:cs="Arial"/>
                <w:b/>
                <w:bCs/>
                <w:szCs w:val="24"/>
              </w:rPr>
              <w:t>Precautions</w:t>
            </w:r>
          </w:p>
        </w:tc>
        <w:tc>
          <w:tcPr>
            <w:tcW w:w="7371" w:type="dxa"/>
          </w:tcPr>
          <w:p w:rsidRPr="009D7CFB" w:rsidR="005C3258" w:rsidP="00131848" w:rsidRDefault="005C3258" w14:paraId="22486267" w14:textId="77777777">
            <w:pPr>
              <w:pStyle w:val="BodyText"/>
              <w:rPr>
                <w:rFonts w:cs="Arial"/>
                <w:sz w:val="20"/>
              </w:rPr>
            </w:pPr>
            <w:r w:rsidRPr="009D7CFB">
              <w:rPr>
                <w:sz w:val="20"/>
              </w:rPr>
              <w:t xml:space="preserve">Hypersensitivity to </w:t>
            </w:r>
            <w:r>
              <w:rPr>
                <w:sz w:val="20"/>
              </w:rPr>
              <w:t>cephalosporins (unlikely to be an issue in neonates)</w:t>
            </w:r>
            <w:r w:rsidRPr="009D7CFB">
              <w:rPr>
                <w:sz w:val="20"/>
              </w:rPr>
              <w:t>.</w:t>
            </w:r>
            <w:r w:rsidRPr="009D7CFB">
              <w:rPr>
                <w:sz w:val="20"/>
              </w:rPr>
              <w:br/>
            </w:r>
            <w:r w:rsidRPr="009D7CFB">
              <w:rPr>
                <w:sz w:val="20"/>
              </w:rPr>
              <w:t>In renal impairment</w:t>
            </w:r>
            <w:r>
              <w:rPr>
                <w:sz w:val="20"/>
              </w:rPr>
              <w:t>,</w:t>
            </w:r>
            <w:r w:rsidRPr="009D7CFB">
              <w:rPr>
                <w:sz w:val="20"/>
              </w:rPr>
              <w:t xml:space="preserve"> the excretion of am</w:t>
            </w:r>
            <w:r>
              <w:rPr>
                <w:sz w:val="20"/>
              </w:rPr>
              <w:t>oxicillin</w:t>
            </w:r>
            <w:r w:rsidRPr="009D7CFB">
              <w:rPr>
                <w:sz w:val="20"/>
              </w:rPr>
              <w:t xml:space="preserve"> will be delayed. In infants with severe renal impairment</w:t>
            </w:r>
            <w:r>
              <w:rPr>
                <w:sz w:val="20"/>
              </w:rPr>
              <w:t>,</w:t>
            </w:r>
            <w:r w:rsidRPr="009D7CFB">
              <w:rPr>
                <w:sz w:val="20"/>
              </w:rPr>
              <w:t xml:space="preserve"> it may be necessary to reduce the total daily dose. </w:t>
            </w:r>
          </w:p>
        </w:tc>
      </w:tr>
      <w:tr w:rsidRPr="009D7CFB" w:rsidR="005C3258" w:rsidTr="005C3258" w14:paraId="74982BE8" w14:textId="77777777">
        <w:trPr>
          <w:trHeight w:val="874"/>
        </w:trPr>
        <w:tc>
          <w:tcPr>
            <w:tcW w:w="2014" w:type="dxa"/>
          </w:tcPr>
          <w:p w:rsidRPr="009D7CFB" w:rsidR="005C3258" w:rsidP="00131848" w:rsidRDefault="005C3258" w14:paraId="1DB60B6E" w14:textId="77777777">
            <w:pPr>
              <w:pStyle w:val="BodyText"/>
              <w:rPr>
                <w:rFonts w:cs="Arial"/>
                <w:b/>
                <w:bCs/>
                <w:szCs w:val="24"/>
              </w:rPr>
            </w:pPr>
            <w:r w:rsidRPr="009D7CFB">
              <w:rPr>
                <w:rFonts w:cs="Arial"/>
                <w:b/>
                <w:bCs/>
                <w:szCs w:val="24"/>
              </w:rPr>
              <w:t>Drug Interactions</w:t>
            </w:r>
          </w:p>
        </w:tc>
        <w:tc>
          <w:tcPr>
            <w:tcW w:w="7371" w:type="dxa"/>
          </w:tcPr>
          <w:p w:rsidR="005C3258" w:rsidP="00131848" w:rsidRDefault="005C3258" w14:paraId="6BE143B7" w14:textId="77777777">
            <w:pPr>
              <w:pStyle w:val="BodyText"/>
              <w:rPr>
                <w:sz w:val="20"/>
              </w:rPr>
            </w:pPr>
            <w:r>
              <w:rPr>
                <w:sz w:val="20"/>
              </w:rPr>
              <w:t xml:space="preserve">IV: </w:t>
            </w:r>
            <w:r w:rsidRPr="009D7CFB">
              <w:rPr>
                <w:sz w:val="20"/>
              </w:rPr>
              <w:t>Aminoglycosides</w:t>
            </w:r>
            <w:r>
              <w:rPr>
                <w:sz w:val="20"/>
              </w:rPr>
              <w:t>,</w:t>
            </w:r>
            <w:r w:rsidRPr="009D7CFB">
              <w:rPr>
                <w:sz w:val="20"/>
              </w:rPr>
              <w:t xml:space="preserve"> including gentamicin</w:t>
            </w:r>
            <w:r>
              <w:rPr>
                <w:sz w:val="20"/>
              </w:rPr>
              <w:t>,</w:t>
            </w:r>
            <w:r w:rsidRPr="009D7CFB">
              <w:rPr>
                <w:sz w:val="20"/>
              </w:rPr>
              <w:t xml:space="preserve"> should not be mixed with am</w:t>
            </w:r>
            <w:r>
              <w:rPr>
                <w:sz w:val="20"/>
              </w:rPr>
              <w:t>oxicillin</w:t>
            </w:r>
            <w:r w:rsidRPr="009D7CFB">
              <w:rPr>
                <w:sz w:val="20"/>
              </w:rPr>
              <w:t xml:space="preserve"> when both drugs are given parenterally as inactivation </w:t>
            </w:r>
            <w:r>
              <w:rPr>
                <w:sz w:val="20"/>
              </w:rPr>
              <w:t xml:space="preserve">of the aminoglycoside </w:t>
            </w:r>
            <w:r w:rsidRPr="009D7CFB">
              <w:rPr>
                <w:sz w:val="20"/>
              </w:rPr>
              <w:t>occurs. Ensure line is adequately flushed between antibiotics.</w:t>
            </w:r>
          </w:p>
          <w:p w:rsidRPr="007C79A4" w:rsidR="005C3258" w:rsidP="00131848" w:rsidRDefault="005C3258" w14:paraId="3BEFABA2" w14:textId="77777777">
            <w:pPr>
              <w:pStyle w:val="BodyText"/>
              <w:rPr>
                <w:sz w:val="20"/>
              </w:rPr>
            </w:pPr>
            <w:r>
              <w:rPr>
                <w:sz w:val="20"/>
              </w:rPr>
              <w:t xml:space="preserve">PO: </w:t>
            </w:r>
            <w:r w:rsidRPr="00DF7E39">
              <w:rPr>
                <w:sz w:val="20"/>
              </w:rPr>
              <w:t>No significant drug-drug interaction found for neonates on oral amoxicillin</w:t>
            </w:r>
            <w:r>
              <w:rPr>
                <w:sz w:val="20"/>
              </w:rPr>
              <w:t>.</w:t>
            </w:r>
          </w:p>
        </w:tc>
      </w:tr>
      <w:tr w:rsidRPr="009D7CFB" w:rsidR="005C3258" w:rsidTr="005C3258" w14:paraId="05447671" w14:textId="77777777">
        <w:trPr>
          <w:trHeight w:val="878"/>
        </w:trPr>
        <w:tc>
          <w:tcPr>
            <w:tcW w:w="2014" w:type="dxa"/>
          </w:tcPr>
          <w:p w:rsidRPr="009D7CFB" w:rsidR="005C3258" w:rsidP="00131848" w:rsidRDefault="005C3258" w14:paraId="0CD95D1E" w14:textId="77777777">
            <w:pPr>
              <w:pStyle w:val="BodyText"/>
              <w:rPr>
                <w:rFonts w:cs="Arial"/>
                <w:b/>
                <w:bCs/>
                <w:szCs w:val="24"/>
              </w:rPr>
            </w:pPr>
            <w:r w:rsidRPr="009D7CFB">
              <w:rPr>
                <w:rFonts w:cs="Arial"/>
                <w:b/>
                <w:bCs/>
                <w:szCs w:val="24"/>
              </w:rPr>
              <w:t xml:space="preserve">Adverse Reactions         </w:t>
            </w:r>
          </w:p>
          <w:p w:rsidRPr="009D7CFB" w:rsidR="005C3258" w:rsidP="00131848" w:rsidRDefault="005C3258" w14:paraId="09D608DD" w14:textId="77777777">
            <w:pPr>
              <w:pStyle w:val="BodyText"/>
              <w:rPr>
                <w:rFonts w:cs="Arial"/>
                <w:b/>
                <w:bCs/>
                <w:szCs w:val="24"/>
              </w:rPr>
            </w:pPr>
          </w:p>
        </w:tc>
        <w:tc>
          <w:tcPr>
            <w:tcW w:w="7371" w:type="dxa"/>
          </w:tcPr>
          <w:p w:rsidR="005C3258" w:rsidP="00131848" w:rsidRDefault="005C3258" w14:paraId="731ECC44" w14:textId="77777777">
            <w:pPr>
              <w:pStyle w:val="BodyText"/>
              <w:rPr>
                <w:sz w:val="20"/>
              </w:rPr>
            </w:pPr>
            <w:r>
              <w:rPr>
                <w:sz w:val="20"/>
              </w:rPr>
              <w:t>Common: Diarrhoea, skin rash (erythematous maculopapular), phlebitis at the injection site,</w:t>
            </w:r>
            <w:r>
              <w:t xml:space="preserve"> </w:t>
            </w:r>
            <w:r w:rsidRPr="003E75D1">
              <w:rPr>
                <w:sz w:val="20"/>
              </w:rPr>
              <w:t>superinfection with resistant organisms</w:t>
            </w:r>
            <w:r>
              <w:rPr>
                <w:sz w:val="20"/>
              </w:rPr>
              <w:t xml:space="preserve"> during prolonged therapy.</w:t>
            </w:r>
          </w:p>
          <w:p w:rsidR="005C3258" w:rsidP="00131848" w:rsidRDefault="005C3258" w14:paraId="7F8F3F91" w14:textId="77777777">
            <w:pPr>
              <w:pStyle w:val="BodyText"/>
              <w:rPr>
                <w:sz w:val="20"/>
              </w:rPr>
            </w:pPr>
            <w:r>
              <w:rPr>
                <w:sz w:val="20"/>
              </w:rPr>
              <w:t xml:space="preserve">Uncommon/rare: Neurotoxicity, electrolyte disturbances e.g. hypernatraemia due to the sodium content (2.6 mmol per gram in Fisamox IV and 3.3 mmol per gram in Ibiamox IV), </w:t>
            </w:r>
            <w:r w:rsidRPr="007C79A4">
              <w:rPr>
                <w:sz w:val="20"/>
              </w:rPr>
              <w:t xml:space="preserve">erythema multiforme, exfoliative skin lesions, </w:t>
            </w:r>
            <w:r w:rsidRPr="009549D1">
              <w:rPr>
                <w:i/>
                <w:sz w:val="20"/>
              </w:rPr>
              <w:t>C. difficile</w:t>
            </w:r>
            <w:r w:rsidRPr="007C79A4">
              <w:rPr>
                <w:sz w:val="20"/>
              </w:rPr>
              <w:t xml:space="preserve"> diarrhoea, pancytopenia, raised liver enzymes</w:t>
            </w:r>
            <w:r>
              <w:rPr>
                <w:sz w:val="20"/>
              </w:rPr>
              <w:t>.</w:t>
            </w:r>
            <w:r w:rsidRPr="007C79A4">
              <w:rPr>
                <w:sz w:val="20"/>
              </w:rPr>
              <w:t xml:space="preserve"> </w:t>
            </w:r>
          </w:p>
          <w:p w:rsidRPr="007C79A4" w:rsidR="005C3258" w:rsidP="00131848" w:rsidRDefault="005C3258" w14:paraId="3586890D" w14:textId="77777777">
            <w:pPr>
              <w:pStyle w:val="BodyText"/>
              <w:rPr>
                <w:sz w:val="20"/>
              </w:rPr>
            </w:pPr>
            <w:r w:rsidRPr="00DF7E39">
              <w:rPr>
                <w:sz w:val="20"/>
              </w:rPr>
              <w:t>Amoxicillin may result in a false positive for glucose in the urine due to excessive amounts of urinary amoxicillin</w:t>
            </w:r>
            <w:r>
              <w:rPr>
                <w:sz w:val="20"/>
              </w:rPr>
              <w:t>.</w:t>
            </w:r>
          </w:p>
        </w:tc>
      </w:tr>
      <w:tr w:rsidRPr="009D7CFB" w:rsidR="005C3258" w:rsidTr="005C3258" w14:paraId="12032A04" w14:textId="77777777">
        <w:trPr>
          <w:trHeight w:val="801"/>
        </w:trPr>
        <w:tc>
          <w:tcPr>
            <w:tcW w:w="2014" w:type="dxa"/>
          </w:tcPr>
          <w:p w:rsidRPr="009D7CFB" w:rsidR="005C3258" w:rsidP="00131848" w:rsidRDefault="005C3258" w14:paraId="2E8081CD" w14:textId="77777777">
            <w:pPr>
              <w:pStyle w:val="BodyText"/>
              <w:rPr>
                <w:rFonts w:cs="Arial"/>
                <w:b/>
                <w:bCs/>
                <w:szCs w:val="24"/>
              </w:rPr>
            </w:pPr>
            <w:r w:rsidRPr="009D7CFB">
              <w:rPr>
                <w:rFonts w:cs="Arial"/>
                <w:b/>
                <w:bCs/>
                <w:szCs w:val="24"/>
              </w:rPr>
              <w:t>Compatibility</w:t>
            </w:r>
          </w:p>
        </w:tc>
        <w:tc>
          <w:tcPr>
            <w:tcW w:w="7371" w:type="dxa"/>
          </w:tcPr>
          <w:p w:rsidRPr="007C79A4" w:rsidR="005C3258" w:rsidP="00131848" w:rsidRDefault="005C3258" w14:paraId="13006A85" w14:textId="77777777">
            <w:pPr>
              <w:pStyle w:val="BodyText"/>
              <w:rPr>
                <w:color w:val="000000"/>
                <w:sz w:val="20"/>
              </w:rPr>
            </w:pPr>
            <w:r w:rsidRPr="007C79A4">
              <w:rPr>
                <w:color w:val="000000"/>
                <w:sz w:val="20"/>
              </w:rPr>
              <w:t xml:space="preserve">Fluids: </w:t>
            </w:r>
            <w:r>
              <w:rPr>
                <w:color w:val="000000"/>
                <w:sz w:val="20"/>
              </w:rPr>
              <w:t>Glucose 5%, glucose 5% in sodium chloride 0.45% (less stable in carbohydrate solutions, it is preferable to avoid adding it to them) (13), s</w:t>
            </w:r>
            <w:r w:rsidRPr="007C79A4">
              <w:rPr>
                <w:color w:val="000000"/>
                <w:sz w:val="20"/>
              </w:rPr>
              <w:t>odium chloride 0.9%</w:t>
            </w:r>
            <w:r>
              <w:rPr>
                <w:color w:val="000000"/>
                <w:sz w:val="20"/>
              </w:rPr>
              <w:t>, water for injection (WFI)</w:t>
            </w:r>
            <w:r w:rsidRPr="007C79A4">
              <w:rPr>
                <w:color w:val="000000"/>
                <w:sz w:val="20"/>
              </w:rPr>
              <w:br/>
            </w:r>
            <w:r w:rsidRPr="007C79A4">
              <w:rPr>
                <w:color w:val="000000"/>
                <w:sz w:val="20"/>
              </w:rPr>
              <w:br/>
            </w:r>
            <w:r w:rsidRPr="007C79A4">
              <w:rPr>
                <w:color w:val="000000"/>
                <w:sz w:val="20"/>
              </w:rPr>
              <w:t>Y site: No information</w:t>
            </w:r>
            <w:r>
              <w:rPr>
                <w:color w:val="000000"/>
                <w:sz w:val="20"/>
              </w:rPr>
              <w:t xml:space="preserve"> (9)</w:t>
            </w:r>
          </w:p>
        </w:tc>
      </w:tr>
      <w:tr w:rsidRPr="009D7CFB" w:rsidR="005C3258" w:rsidTr="005C3258" w14:paraId="3F67C3E4" w14:textId="77777777">
        <w:tc>
          <w:tcPr>
            <w:tcW w:w="2014" w:type="dxa"/>
          </w:tcPr>
          <w:p w:rsidRPr="009D7CFB" w:rsidR="005C3258" w:rsidP="00131848" w:rsidRDefault="005C3258" w14:paraId="1E6F89B0" w14:textId="77777777">
            <w:pPr>
              <w:pStyle w:val="BodyText"/>
              <w:rPr>
                <w:rFonts w:cs="Arial"/>
                <w:b/>
                <w:bCs/>
                <w:szCs w:val="24"/>
              </w:rPr>
            </w:pPr>
            <w:r w:rsidRPr="009D7CFB">
              <w:rPr>
                <w:rFonts w:cs="Arial"/>
                <w:b/>
                <w:bCs/>
                <w:szCs w:val="24"/>
              </w:rPr>
              <w:t xml:space="preserve">Incompatibility      </w:t>
            </w:r>
          </w:p>
          <w:p w:rsidRPr="009D7CFB" w:rsidR="005C3258" w:rsidP="00131848" w:rsidRDefault="005C3258" w14:paraId="3801DB30" w14:textId="77777777">
            <w:pPr>
              <w:pStyle w:val="BodyText"/>
              <w:rPr>
                <w:rFonts w:cs="Arial"/>
                <w:b/>
                <w:bCs/>
                <w:sz w:val="20"/>
              </w:rPr>
            </w:pPr>
            <w:r w:rsidRPr="009D7CFB">
              <w:rPr>
                <w:rFonts w:cs="Arial"/>
                <w:b/>
                <w:bCs/>
                <w:sz w:val="20"/>
              </w:rPr>
              <w:t xml:space="preserve">               </w:t>
            </w:r>
            <w:r w:rsidRPr="009D7CFB">
              <w:rPr>
                <w:rFonts w:cs="Arial"/>
                <w:b/>
                <w:bCs/>
                <w:sz w:val="20"/>
              </w:rPr>
              <w:tab/>
            </w:r>
          </w:p>
        </w:tc>
        <w:tc>
          <w:tcPr>
            <w:tcW w:w="7371" w:type="dxa"/>
          </w:tcPr>
          <w:p w:rsidR="005C3258" w:rsidP="00131848" w:rsidRDefault="005C3258" w14:paraId="3A428765" w14:textId="77777777">
            <w:pPr>
              <w:pStyle w:val="BodyText"/>
              <w:rPr>
                <w:color w:val="000000"/>
                <w:sz w:val="20"/>
              </w:rPr>
            </w:pPr>
            <w:r w:rsidRPr="007C79A4">
              <w:rPr>
                <w:color w:val="000000"/>
                <w:sz w:val="20"/>
              </w:rPr>
              <w:t xml:space="preserve">Fluids: </w:t>
            </w:r>
            <w:r>
              <w:rPr>
                <w:color w:val="000000"/>
                <w:sz w:val="20"/>
              </w:rPr>
              <w:t xml:space="preserve">Blood products, dextran, </w:t>
            </w:r>
            <w:r w:rsidRPr="007C79A4">
              <w:rPr>
                <w:color w:val="000000"/>
                <w:sz w:val="20"/>
              </w:rPr>
              <w:t>fat emulsions</w:t>
            </w:r>
            <w:r>
              <w:rPr>
                <w:color w:val="000000"/>
                <w:sz w:val="20"/>
              </w:rPr>
              <w:t>, amino acid solutions</w:t>
            </w:r>
          </w:p>
          <w:p w:rsidRPr="007C79A4" w:rsidR="005C3258" w:rsidP="00131848" w:rsidRDefault="005C3258" w14:paraId="2551080F" w14:textId="77777777">
            <w:pPr>
              <w:pStyle w:val="BodyText"/>
              <w:rPr>
                <w:color w:val="000000"/>
                <w:sz w:val="20"/>
              </w:rPr>
            </w:pPr>
          </w:p>
          <w:p w:rsidRPr="007C79A4" w:rsidR="005C3258" w:rsidP="00131848" w:rsidRDefault="005C3258" w14:paraId="30AEDD2D" w14:textId="77777777">
            <w:pPr>
              <w:pStyle w:val="BodyText"/>
              <w:rPr>
                <w:rFonts w:cs="Arial"/>
                <w:color w:val="FF0000"/>
                <w:sz w:val="20"/>
              </w:rPr>
            </w:pPr>
            <w:r w:rsidRPr="007C79A4">
              <w:rPr>
                <w:color w:val="000000"/>
                <w:sz w:val="20"/>
              </w:rPr>
              <w:t xml:space="preserve">Y site: </w:t>
            </w:r>
            <w:r>
              <w:rPr>
                <w:color w:val="000000"/>
                <w:sz w:val="20"/>
              </w:rPr>
              <w:t xml:space="preserve">Amikacin, </w:t>
            </w:r>
            <w:r w:rsidRPr="007C79A4">
              <w:rPr>
                <w:color w:val="000000"/>
                <w:sz w:val="20"/>
              </w:rPr>
              <w:t xml:space="preserve">ciprofloxacin, </w:t>
            </w:r>
            <w:r>
              <w:rPr>
                <w:color w:val="000000"/>
                <w:sz w:val="20"/>
              </w:rPr>
              <w:t xml:space="preserve">gentamicin, </w:t>
            </w:r>
            <w:r w:rsidRPr="007C79A4">
              <w:rPr>
                <w:color w:val="000000"/>
                <w:sz w:val="20"/>
              </w:rPr>
              <w:t xml:space="preserve">imipenem-cilastatin, midazolam, potassium chloride, </w:t>
            </w:r>
            <w:r>
              <w:rPr>
                <w:color w:val="000000"/>
                <w:sz w:val="20"/>
              </w:rPr>
              <w:t xml:space="preserve">rocuronium, </w:t>
            </w:r>
            <w:r w:rsidRPr="007C79A4">
              <w:rPr>
                <w:color w:val="000000"/>
                <w:sz w:val="20"/>
              </w:rPr>
              <w:t>sodium bicarbonate</w:t>
            </w:r>
            <w:r>
              <w:rPr>
                <w:color w:val="000000"/>
                <w:sz w:val="20"/>
              </w:rPr>
              <w:t>, tobramycin (9)</w:t>
            </w:r>
          </w:p>
        </w:tc>
      </w:tr>
      <w:tr w:rsidRPr="009D7CFB" w:rsidR="005C3258" w:rsidTr="005C3258" w14:paraId="04567E07" w14:textId="77777777">
        <w:trPr>
          <w:trHeight w:val="483"/>
        </w:trPr>
        <w:tc>
          <w:tcPr>
            <w:tcW w:w="2014" w:type="dxa"/>
          </w:tcPr>
          <w:p w:rsidRPr="009D7CFB" w:rsidR="005C3258" w:rsidP="00131848" w:rsidRDefault="005C3258" w14:paraId="0AD2D2AE" w14:textId="77777777">
            <w:pPr>
              <w:pStyle w:val="BodyText"/>
              <w:rPr>
                <w:rFonts w:cs="Arial"/>
                <w:b/>
                <w:bCs/>
                <w:szCs w:val="24"/>
              </w:rPr>
            </w:pPr>
            <w:r w:rsidRPr="009D7CFB">
              <w:rPr>
                <w:rFonts w:cs="Arial"/>
                <w:b/>
                <w:bCs/>
                <w:szCs w:val="24"/>
              </w:rPr>
              <w:t xml:space="preserve">Stability                  </w:t>
            </w:r>
          </w:p>
        </w:tc>
        <w:tc>
          <w:tcPr>
            <w:tcW w:w="7371" w:type="dxa"/>
          </w:tcPr>
          <w:p w:rsidR="005C3258" w:rsidP="00131848" w:rsidRDefault="005C3258" w14:paraId="54E91050" w14:textId="77777777">
            <w:pPr>
              <w:pStyle w:val="BodyText"/>
              <w:rPr>
                <w:sz w:val="20"/>
              </w:rPr>
            </w:pPr>
            <w:r>
              <w:rPr>
                <w:sz w:val="20"/>
              </w:rPr>
              <w:t>IV: The reconstituted solution should be a</w:t>
            </w:r>
            <w:r w:rsidRPr="009D7CFB">
              <w:rPr>
                <w:sz w:val="20"/>
              </w:rPr>
              <w:t>dminister</w:t>
            </w:r>
            <w:r>
              <w:rPr>
                <w:sz w:val="20"/>
              </w:rPr>
              <w:t>ed</w:t>
            </w:r>
            <w:r w:rsidRPr="009D7CFB">
              <w:rPr>
                <w:sz w:val="20"/>
              </w:rPr>
              <w:t xml:space="preserve"> immediately; discard unused portion</w:t>
            </w:r>
            <w:r>
              <w:rPr>
                <w:sz w:val="20"/>
              </w:rPr>
              <w:t>.</w:t>
            </w:r>
          </w:p>
          <w:p w:rsidR="005C3258" w:rsidP="00131848" w:rsidRDefault="005C3258" w14:paraId="0C23A242" w14:textId="77777777">
            <w:pPr>
              <w:pStyle w:val="BodyText"/>
              <w:rPr>
                <w:sz w:val="20"/>
              </w:rPr>
            </w:pPr>
            <w:r>
              <w:rPr>
                <w:sz w:val="20"/>
              </w:rPr>
              <w:t>A transient pink or slight opalescence may appear during reconstitution. Do NOT administer if reconstituted solution is pink.</w:t>
            </w:r>
          </w:p>
          <w:p w:rsidRPr="009D7CFB" w:rsidR="005C3258" w:rsidP="00131848" w:rsidRDefault="005C3258" w14:paraId="4E14859C" w14:textId="77777777">
            <w:pPr>
              <w:pStyle w:val="BodyText"/>
              <w:rPr>
                <w:rFonts w:cs="Arial"/>
                <w:sz w:val="20"/>
              </w:rPr>
            </w:pPr>
            <w:r>
              <w:rPr>
                <w:sz w:val="20"/>
              </w:rPr>
              <w:t xml:space="preserve">PO: The </w:t>
            </w:r>
            <w:r w:rsidRPr="007C79A4">
              <w:rPr>
                <w:sz w:val="20"/>
              </w:rPr>
              <w:t>medication mixed with milk should be administered immediately.</w:t>
            </w:r>
          </w:p>
        </w:tc>
      </w:tr>
      <w:tr w:rsidRPr="009D7CFB" w:rsidR="005C3258" w:rsidTr="005C3258" w14:paraId="4DE67B3A" w14:textId="77777777">
        <w:trPr>
          <w:trHeight w:val="371"/>
        </w:trPr>
        <w:tc>
          <w:tcPr>
            <w:tcW w:w="2014" w:type="dxa"/>
          </w:tcPr>
          <w:p w:rsidRPr="009D7CFB" w:rsidR="005C3258" w:rsidP="00131848" w:rsidRDefault="005C3258" w14:paraId="052D898B" w14:textId="77777777">
            <w:pPr>
              <w:pStyle w:val="BodyText"/>
              <w:rPr>
                <w:rFonts w:cs="Arial"/>
                <w:b/>
                <w:bCs/>
                <w:szCs w:val="24"/>
              </w:rPr>
            </w:pPr>
            <w:r w:rsidRPr="009D7CFB">
              <w:rPr>
                <w:rFonts w:cs="Arial"/>
                <w:b/>
                <w:bCs/>
                <w:szCs w:val="24"/>
              </w:rPr>
              <w:t xml:space="preserve">Storage             </w:t>
            </w:r>
          </w:p>
        </w:tc>
        <w:tc>
          <w:tcPr>
            <w:tcW w:w="7371" w:type="dxa"/>
          </w:tcPr>
          <w:p w:rsidR="005C3258" w:rsidP="00131848" w:rsidRDefault="005C3258" w14:paraId="3F025969" w14:textId="77777777">
            <w:pPr>
              <w:pStyle w:val="BodyText"/>
              <w:rPr>
                <w:sz w:val="20"/>
              </w:rPr>
            </w:pPr>
            <w:r>
              <w:rPr>
                <w:sz w:val="20"/>
              </w:rPr>
              <w:t xml:space="preserve">IV: </w:t>
            </w:r>
            <w:r w:rsidRPr="009D7CFB">
              <w:rPr>
                <w:sz w:val="20"/>
              </w:rPr>
              <w:t>Store below 25°C</w:t>
            </w:r>
            <w:r>
              <w:rPr>
                <w:sz w:val="20"/>
              </w:rPr>
              <w:t>. P</w:t>
            </w:r>
            <w:r w:rsidRPr="009D7CFB">
              <w:rPr>
                <w:sz w:val="20"/>
              </w:rPr>
              <w:t>rotect from light.</w:t>
            </w:r>
            <w:r>
              <w:rPr>
                <w:sz w:val="20"/>
              </w:rPr>
              <w:t xml:space="preserve"> </w:t>
            </w:r>
          </w:p>
          <w:p w:rsidRPr="009D7CFB" w:rsidR="005C3258" w:rsidP="00131848" w:rsidRDefault="005C3258" w14:paraId="582CE8A9" w14:textId="77777777">
            <w:pPr>
              <w:pStyle w:val="BodyText"/>
              <w:rPr>
                <w:rFonts w:cs="Arial"/>
                <w:sz w:val="20"/>
              </w:rPr>
            </w:pPr>
            <w:r>
              <w:rPr>
                <w:sz w:val="20"/>
              </w:rPr>
              <w:lastRenderedPageBreak/>
              <w:t xml:space="preserve">PO: </w:t>
            </w:r>
            <w:r w:rsidRPr="00DF7E39">
              <w:rPr>
                <w:sz w:val="20"/>
              </w:rPr>
              <w:t>Store unreconstituted powder for oral suspension at 20</w:t>
            </w:r>
            <w:r>
              <w:rPr>
                <w:sz w:val="20"/>
              </w:rPr>
              <w:t>–</w:t>
            </w:r>
            <w:r w:rsidRPr="00DF7E39">
              <w:rPr>
                <w:sz w:val="20"/>
              </w:rPr>
              <w:t xml:space="preserve">25 </w:t>
            </w:r>
            <w:r w:rsidRPr="007270EE">
              <w:rPr>
                <w:sz w:val="20"/>
                <w:vertAlign w:val="superscript"/>
              </w:rPr>
              <w:t>0</w:t>
            </w:r>
            <w:r w:rsidRPr="00DF7E39">
              <w:rPr>
                <w:sz w:val="20"/>
              </w:rPr>
              <w:t>C. Reconstituted suspension is stable for 14 days at room temperature or if refrigerated. Refrigeration is preferred.</w:t>
            </w:r>
          </w:p>
        </w:tc>
      </w:tr>
      <w:tr w:rsidRPr="009D7CFB" w:rsidR="005C3258" w:rsidTr="005C3258" w14:paraId="448B7611" w14:textId="77777777">
        <w:trPr>
          <w:trHeight w:val="673"/>
        </w:trPr>
        <w:tc>
          <w:tcPr>
            <w:tcW w:w="2014" w:type="dxa"/>
          </w:tcPr>
          <w:p w:rsidRPr="009D7CFB" w:rsidR="005C3258" w:rsidP="00131848" w:rsidRDefault="005C3258" w14:paraId="1E124620" w14:textId="77777777">
            <w:pPr>
              <w:pStyle w:val="BodyText"/>
              <w:rPr>
                <w:rFonts w:cs="Arial"/>
                <w:b/>
                <w:bCs/>
                <w:szCs w:val="24"/>
              </w:rPr>
            </w:pPr>
            <w:r w:rsidRPr="009D7CFB">
              <w:rPr>
                <w:rFonts w:cs="Arial"/>
                <w:b/>
                <w:bCs/>
                <w:szCs w:val="24"/>
              </w:rPr>
              <w:lastRenderedPageBreak/>
              <w:t xml:space="preserve">Special Comments       </w:t>
            </w:r>
          </w:p>
          <w:p w:rsidRPr="009D7CFB" w:rsidR="005C3258" w:rsidP="00131848" w:rsidRDefault="005C3258" w14:paraId="3E18FC3D" w14:textId="77777777">
            <w:pPr>
              <w:pStyle w:val="BodyText"/>
              <w:rPr>
                <w:rFonts w:cs="Arial"/>
                <w:b/>
                <w:bCs/>
                <w:szCs w:val="24"/>
              </w:rPr>
            </w:pPr>
          </w:p>
        </w:tc>
        <w:tc>
          <w:tcPr>
            <w:tcW w:w="7371" w:type="dxa"/>
          </w:tcPr>
          <w:p w:rsidR="005C3258" w:rsidP="00131848" w:rsidRDefault="005C3258" w14:paraId="5F9175FE" w14:textId="77777777">
            <w:pPr>
              <w:pStyle w:val="BodyText"/>
              <w:rPr>
                <w:sz w:val="20"/>
              </w:rPr>
            </w:pPr>
            <w:r w:rsidRPr="009D7CFB">
              <w:rPr>
                <w:sz w:val="20"/>
              </w:rPr>
              <w:t>Clearance is primarily by the renal route. Clearance increases with increasing gestational age and post</w:t>
            </w:r>
            <w:r>
              <w:rPr>
                <w:sz w:val="20"/>
              </w:rPr>
              <w:t>menstrual</w:t>
            </w:r>
            <w:r w:rsidRPr="009D7CFB">
              <w:rPr>
                <w:sz w:val="20"/>
              </w:rPr>
              <w:t xml:space="preserve"> age. Serum half-life is longer in premature infants and infants younger than 7 days.</w:t>
            </w:r>
          </w:p>
          <w:p w:rsidRPr="009D7CFB" w:rsidR="005C3258" w:rsidP="00131848" w:rsidRDefault="005C3258" w14:paraId="6A687633" w14:textId="77777777">
            <w:pPr>
              <w:pStyle w:val="BodyText"/>
              <w:rPr>
                <w:rFonts w:cs="Arial"/>
                <w:sz w:val="20"/>
              </w:rPr>
            </w:pPr>
            <w:r>
              <w:rPr>
                <w:sz w:val="20"/>
              </w:rPr>
              <w:t>Fisamox and Ibiamox 1g vial powder displacement volume ~ 0.8 mL.</w:t>
            </w:r>
          </w:p>
        </w:tc>
      </w:tr>
      <w:tr w:rsidRPr="009D7CFB" w:rsidR="005C3258" w:rsidTr="005C3258" w14:paraId="4584E958" w14:textId="77777777">
        <w:trPr>
          <w:trHeight w:val="388"/>
        </w:trPr>
        <w:tc>
          <w:tcPr>
            <w:tcW w:w="2014" w:type="dxa"/>
          </w:tcPr>
          <w:p w:rsidRPr="009D7CFB" w:rsidR="005C3258" w:rsidP="00131848" w:rsidRDefault="005C3258" w14:paraId="353D4776" w14:textId="77777777">
            <w:pPr>
              <w:pStyle w:val="BodyText"/>
              <w:rPr>
                <w:rFonts w:cs="Arial"/>
                <w:b/>
                <w:bCs/>
                <w:szCs w:val="24"/>
              </w:rPr>
            </w:pPr>
            <w:r w:rsidRPr="009D7CFB">
              <w:rPr>
                <w:rFonts w:cs="Arial"/>
                <w:b/>
                <w:bCs/>
                <w:szCs w:val="24"/>
              </w:rPr>
              <w:t>Evidence</w:t>
            </w:r>
          </w:p>
        </w:tc>
        <w:tc>
          <w:tcPr>
            <w:tcW w:w="7371" w:type="dxa"/>
          </w:tcPr>
          <w:p w:rsidRPr="005C3258" w:rsidR="005C3258" w:rsidP="00131848" w:rsidRDefault="005C3258" w14:paraId="0AEB592E" w14:textId="77777777">
            <w:pPr>
              <w:pStyle w:val="BodyText"/>
              <w:rPr>
                <w:rFonts w:cs="Arial"/>
                <w:b/>
                <w:sz w:val="16"/>
                <w:szCs w:val="16"/>
              </w:rPr>
            </w:pPr>
            <w:r w:rsidRPr="005C3258">
              <w:rPr>
                <w:rFonts w:cs="Arial"/>
                <w:b/>
                <w:sz w:val="16"/>
                <w:szCs w:val="16"/>
              </w:rPr>
              <w:t xml:space="preserve">Effectiveness: </w:t>
            </w:r>
          </w:p>
          <w:p w:rsidRPr="005C3258" w:rsidR="005C3258" w:rsidP="00131848" w:rsidRDefault="005C3258" w14:paraId="01C8EEFD" w14:textId="77777777">
            <w:pPr>
              <w:pStyle w:val="BodyText"/>
              <w:rPr>
                <w:rFonts w:cs="Arial"/>
                <w:color w:val="000000"/>
                <w:sz w:val="16"/>
                <w:szCs w:val="16"/>
              </w:rPr>
            </w:pPr>
            <w:r w:rsidRPr="005C3258">
              <w:rPr>
                <w:rFonts w:cs="Arial"/>
                <w:color w:val="000000"/>
                <w:sz w:val="16"/>
                <w:szCs w:val="16"/>
              </w:rPr>
              <w:t>There are few studies of amoxicillin in the neonatal population to study effectiveness and the majority of the information is derived from studies of ampicillin. A study in two Estonian NICUs comparing ampicillin + gentamicin versus penicillin + gentamicin in the empiric therapy of neonates at risk of early-onset sepsis showed similar effectiveness in need to change antibiotics at 72 hours and/or 7-day all-cause mortality.(1) Subgroup analysis in ELBW neonates showed similar results, though NICU mortality was lower in the ampicillin group in &lt; 26 weeks gestation neonates. (2)</w:t>
            </w:r>
          </w:p>
          <w:p w:rsidRPr="005C3258" w:rsidR="005C3258" w:rsidP="00131848" w:rsidRDefault="005C3258" w14:paraId="14851902" w14:textId="77777777">
            <w:pPr>
              <w:pStyle w:val="BodyText"/>
              <w:rPr>
                <w:rFonts w:cs="Arial"/>
                <w:color w:val="000000"/>
                <w:sz w:val="16"/>
                <w:szCs w:val="16"/>
              </w:rPr>
            </w:pPr>
            <w:r w:rsidRPr="005C3258">
              <w:rPr>
                <w:rFonts w:cs="Arial"/>
                <w:color w:val="000000"/>
                <w:sz w:val="16"/>
                <w:szCs w:val="16"/>
              </w:rPr>
              <w:t xml:space="preserve">In an RCT of amoxicillin prophylaxis for prevention of catheter-related infections in newborn infants with central venous catheters, bacterial contamination of the catheter tip at removal was significantly reduced in the amoxicillin group. No significant difference was found in the incidence of invasive infection.(3) In a randomised, open-label, equivalence trial in Africa, oral amoxicillin was found to be equivalent to injectable procaine penicillin plus gentamicin in the treatment of neonates and young infants with fast breathing.(4) </w:t>
            </w:r>
            <w:r w:rsidRPr="005C3258">
              <w:rPr>
                <w:rFonts w:cs="Arial"/>
                <w:color w:val="000000"/>
                <w:sz w:val="16"/>
                <w:szCs w:val="16"/>
                <w:vertAlign w:val="superscript"/>
              </w:rPr>
              <w:t xml:space="preserve"> </w:t>
            </w:r>
          </w:p>
          <w:p w:rsidRPr="005C3258" w:rsidR="005C3258" w:rsidP="00131848" w:rsidRDefault="005C3258" w14:paraId="511D24F0" w14:textId="77777777">
            <w:pPr>
              <w:pStyle w:val="BodyText"/>
              <w:rPr>
                <w:rFonts w:cs="Arial"/>
                <w:sz w:val="16"/>
                <w:szCs w:val="16"/>
              </w:rPr>
            </w:pPr>
            <w:r w:rsidRPr="005C3258">
              <w:rPr>
                <w:rFonts w:cs="Arial"/>
                <w:sz w:val="16"/>
                <w:szCs w:val="16"/>
              </w:rPr>
              <w:t>IV amoxicillin has similar properties to ampicillin and there is little to choose between the two when given by the IV route to treat susceptible organisms.(5) Amoxicillin achieves higher serum and CSF concentrations than ampicillin.(6)</w:t>
            </w:r>
            <w:r w:rsidRPr="005C3258">
              <w:rPr>
                <w:sz w:val="16"/>
                <w:szCs w:val="16"/>
              </w:rPr>
              <w:t xml:space="preserve"> Oral a</w:t>
            </w:r>
            <w:r w:rsidRPr="005C3258">
              <w:rPr>
                <w:rFonts w:cs="Arial"/>
                <w:sz w:val="16"/>
                <w:szCs w:val="16"/>
              </w:rPr>
              <w:t>moxicillin has similar properties to ampicillin. Both the antibiotics are well absorbed when given by mouth, widely distributed in body tissues (including bronchial secretions) and rapidly excreted in the urine. Oral amoxicillin has better bioavailability but can be variable in young children.(5) Oral medication can nearly always be used to complete any sustained course of treatment.(12)</w:t>
            </w:r>
          </w:p>
          <w:p w:rsidRPr="005C3258" w:rsidR="005C3258" w:rsidP="00131848" w:rsidRDefault="005C3258" w14:paraId="661EF968" w14:textId="77777777">
            <w:pPr>
              <w:pStyle w:val="BodyText"/>
              <w:rPr>
                <w:rFonts w:cs="Arial"/>
                <w:sz w:val="16"/>
                <w:szCs w:val="16"/>
              </w:rPr>
            </w:pPr>
          </w:p>
          <w:p w:rsidRPr="005C3258" w:rsidR="005C3258" w:rsidP="00131848" w:rsidRDefault="005C3258" w14:paraId="4D52EC0A" w14:textId="77777777">
            <w:pPr>
              <w:pStyle w:val="BodyText"/>
              <w:rPr>
                <w:rFonts w:cs="Arial"/>
                <w:b/>
                <w:sz w:val="16"/>
                <w:szCs w:val="16"/>
              </w:rPr>
            </w:pPr>
            <w:r w:rsidRPr="005C3258">
              <w:rPr>
                <w:rFonts w:cs="Arial"/>
                <w:b/>
                <w:sz w:val="16"/>
                <w:szCs w:val="16"/>
              </w:rPr>
              <w:t>Pharmacokinetics:</w:t>
            </w:r>
          </w:p>
          <w:p w:rsidRPr="005C3258" w:rsidR="005C3258" w:rsidP="00131848" w:rsidRDefault="005C3258" w14:paraId="01360CA2" w14:textId="77777777">
            <w:pPr>
              <w:pStyle w:val="BodyText"/>
              <w:rPr>
                <w:rFonts w:cs="Arial"/>
                <w:sz w:val="16"/>
                <w:szCs w:val="16"/>
              </w:rPr>
            </w:pPr>
            <w:r w:rsidRPr="005C3258">
              <w:rPr>
                <w:rFonts w:cs="Arial"/>
                <w:sz w:val="16"/>
                <w:szCs w:val="16"/>
              </w:rPr>
              <w:t>Study of amoxicillin pharmacokinetics in preterm infants</w:t>
            </w:r>
            <w:r w:rsidRPr="005C3258">
              <w:rPr>
                <w:rFonts w:cs="Arial"/>
                <w:sz w:val="16"/>
                <w:szCs w:val="16"/>
                <w:vertAlign w:val="superscript"/>
              </w:rPr>
              <w:t>7</w:t>
            </w:r>
            <w:r w:rsidRPr="005C3258">
              <w:rPr>
                <w:rFonts w:cs="Arial"/>
                <w:sz w:val="16"/>
                <w:szCs w:val="16"/>
              </w:rPr>
              <w:t xml:space="preserve"> has shown that a q12h schedule in the first week achieves serum concentrations well above the MIC for major micro-organisms in neonatal infections.(7) Another study in neonates older than 1 week showed that amoxicillin clearance was related to post-conceptional age and not to postnatal age with a rapid linear increase in clearance after 34 weeks post-conceptional age.(8) </w:t>
            </w:r>
          </w:p>
          <w:p w:rsidRPr="005C3258" w:rsidR="005C3258" w:rsidP="00131848" w:rsidRDefault="005C3258" w14:paraId="118F63E4" w14:textId="77777777">
            <w:pPr>
              <w:pStyle w:val="BodyText"/>
              <w:rPr>
                <w:rFonts w:cs="Arial"/>
                <w:sz w:val="16"/>
                <w:szCs w:val="16"/>
              </w:rPr>
            </w:pPr>
            <w:r w:rsidRPr="005C3258">
              <w:rPr>
                <w:rFonts w:cs="Arial"/>
                <w:sz w:val="16"/>
                <w:szCs w:val="16"/>
              </w:rPr>
              <w:t>In a study</w:t>
            </w:r>
            <w:r w:rsidRPr="005C3258">
              <w:rPr>
                <w:rFonts w:cs="Arial"/>
                <w:sz w:val="16"/>
                <w:szCs w:val="16"/>
                <w:vertAlign w:val="superscript"/>
              </w:rPr>
              <w:t>10</w:t>
            </w:r>
            <w:r w:rsidRPr="005C3258">
              <w:rPr>
                <w:rFonts w:cs="Arial"/>
                <w:sz w:val="16"/>
                <w:szCs w:val="16"/>
              </w:rPr>
              <w:t>, early switching to the oral route in asymptomatic full-term newborns with early onset GBS disease maintained serum amoxicillin concentrations within the therapeutic range.(10) The dose used in that study was 200–300 mg/kg/day in 4 divided doses. All the concentrations were in the therapeutic range with the lower dose. Another pharmacokinetic study in 6–13 days old neonates concluded that amoxicillin should be useful for oral treatment of neonatal infections caused by susceptible micro-organisms in infants who are not critically ill. The dose used was 50 mg/kg twice a day.(11)</w:t>
            </w:r>
          </w:p>
          <w:p w:rsidRPr="005C3258" w:rsidR="005C3258" w:rsidP="00131848" w:rsidRDefault="005C3258" w14:paraId="44F7EEC8" w14:textId="77777777">
            <w:pPr>
              <w:pStyle w:val="BodyText"/>
              <w:rPr>
                <w:rFonts w:cs="Arial"/>
                <w:sz w:val="16"/>
                <w:szCs w:val="16"/>
              </w:rPr>
            </w:pPr>
          </w:p>
          <w:p w:rsidRPr="005C3258" w:rsidR="005C3258" w:rsidP="00131848" w:rsidRDefault="005C3258" w14:paraId="76904289" w14:textId="77777777">
            <w:pPr>
              <w:pStyle w:val="BodyText"/>
              <w:rPr>
                <w:rFonts w:cs="Arial"/>
                <w:b/>
                <w:sz w:val="16"/>
                <w:szCs w:val="16"/>
              </w:rPr>
            </w:pPr>
            <w:r w:rsidRPr="005C3258">
              <w:rPr>
                <w:rFonts w:cs="Arial"/>
                <w:b/>
                <w:sz w:val="16"/>
                <w:szCs w:val="16"/>
              </w:rPr>
              <w:t xml:space="preserve">Recommendation: </w:t>
            </w:r>
          </w:p>
          <w:p w:rsidRPr="005C3258" w:rsidR="005C3258" w:rsidP="00131848" w:rsidRDefault="005C3258" w14:paraId="17557C0E" w14:textId="77777777">
            <w:pPr>
              <w:pStyle w:val="BodyText"/>
              <w:rPr>
                <w:rFonts w:cs="Arial"/>
                <w:sz w:val="16"/>
                <w:szCs w:val="16"/>
              </w:rPr>
            </w:pPr>
            <w:r w:rsidRPr="005C3258">
              <w:rPr>
                <w:rFonts w:cs="Arial"/>
                <w:sz w:val="16"/>
                <w:szCs w:val="16"/>
              </w:rPr>
              <w:t xml:space="preserve">Amoxicillin can be used as a substitute for benzylpenicillin or ampicillin for suspected, early-onset, neonatal sepsis in combination with an aminoglycoside. When amoxicillin is used in combination with an aminoglycoside for the treatment of meningitis, it is recommended that the dose be doubled from 50 to 100 mg/kg/dose.(12) This is in keeping with similar recommendations for benzylpenicillin and ampicillin based on high minimum bactericidal concentration of group B streptococci and high inocula of the organisms in neonatal meningitis. (Level of evidence 5, Grade of recommendation D). </w:t>
            </w:r>
          </w:p>
        </w:tc>
      </w:tr>
      <w:tr w:rsidRPr="009D7CFB" w:rsidR="005C3258" w:rsidTr="005C3258" w14:paraId="5AF477D1" w14:textId="77777777">
        <w:trPr>
          <w:trHeight w:val="361"/>
        </w:trPr>
        <w:tc>
          <w:tcPr>
            <w:tcW w:w="2014" w:type="dxa"/>
          </w:tcPr>
          <w:p w:rsidRPr="009D7CFB" w:rsidR="005C3258" w:rsidP="00131848" w:rsidRDefault="005C3258" w14:paraId="16F8C105" w14:textId="77777777">
            <w:pPr>
              <w:pStyle w:val="BodyText"/>
              <w:rPr>
                <w:rFonts w:cs="Arial"/>
                <w:b/>
                <w:bCs/>
                <w:szCs w:val="24"/>
              </w:rPr>
            </w:pPr>
            <w:r w:rsidRPr="009D7CFB">
              <w:rPr>
                <w:b/>
                <w:szCs w:val="24"/>
              </w:rPr>
              <w:t>References</w:t>
            </w:r>
          </w:p>
        </w:tc>
        <w:tc>
          <w:tcPr>
            <w:tcW w:w="7371" w:type="dxa"/>
          </w:tcPr>
          <w:p w:rsidRPr="005C3258" w:rsidR="005C3258" w:rsidP="005C3258" w:rsidRDefault="005C3258" w14:paraId="60118D71" w14:textId="77777777">
            <w:pPr>
              <w:pStyle w:val="ListParagraph"/>
              <w:numPr>
                <w:ilvl w:val="0"/>
                <w:numId w:val="159"/>
              </w:numPr>
              <w:ind w:left="360"/>
              <w:rPr>
                <w:sz w:val="16"/>
                <w:szCs w:val="16"/>
              </w:rPr>
            </w:pPr>
            <w:r w:rsidRPr="005C3258">
              <w:rPr>
                <w:sz w:val="16"/>
                <w:szCs w:val="16"/>
              </w:rPr>
              <w:t xml:space="preserve">Metsvaht T, Ilmoja ML, Parm U, Maipuu L, Merila M, Lutsar I. Comparison of ampicillin plus gentamicin vs. penicillin plus gentamicin in empiric treatment of neonates at risk of early onset sepsis. Acta Paediatr 2010;99:665–72 </w:t>
            </w:r>
          </w:p>
          <w:p w:rsidRPr="005C3258" w:rsidR="005C3258" w:rsidP="005C3258" w:rsidRDefault="005C3258" w14:paraId="1C6C23D6" w14:textId="77777777">
            <w:pPr>
              <w:pStyle w:val="ListParagraph"/>
              <w:numPr>
                <w:ilvl w:val="0"/>
                <w:numId w:val="159"/>
              </w:numPr>
              <w:ind w:left="360"/>
              <w:rPr>
                <w:sz w:val="16"/>
                <w:szCs w:val="16"/>
              </w:rPr>
            </w:pPr>
            <w:r w:rsidRPr="005C3258">
              <w:rPr>
                <w:sz w:val="16"/>
                <w:szCs w:val="16"/>
              </w:rPr>
              <w:t>Metsvaht T, Ilmoja ML, Parm U, Merila M, Maipuu L, Muursepp P et al. Ampicillin versus penicillin in the empiric therapy of extremely low-birthweight neonates at risk of early onset sepsis. Pediatr Int 2011;53:873–80</w:t>
            </w:r>
          </w:p>
          <w:p w:rsidRPr="005C3258" w:rsidR="005C3258" w:rsidP="005C3258" w:rsidRDefault="005C3258" w14:paraId="7BA77EE9" w14:textId="77777777">
            <w:pPr>
              <w:pStyle w:val="ListParagraph"/>
              <w:numPr>
                <w:ilvl w:val="0"/>
                <w:numId w:val="159"/>
              </w:numPr>
              <w:ind w:left="360"/>
              <w:rPr>
                <w:sz w:val="16"/>
                <w:szCs w:val="16"/>
              </w:rPr>
            </w:pPr>
            <w:r w:rsidRPr="005C3258">
              <w:rPr>
                <w:sz w:val="16"/>
                <w:szCs w:val="16"/>
              </w:rPr>
              <w:t xml:space="preserve">Harms K, Herting E, Kron M, Schiffmann H, Schulz-Ehlbeck H. Randomized, controlled trial of amoxicillin prophylaxis for prevention of catheter-related infections in newborn infants with central venous silicone elastomer catheters. J Pediatr 1995; 127: 615-9 </w:t>
            </w:r>
          </w:p>
          <w:p w:rsidRPr="005C3258" w:rsidR="005C3258" w:rsidP="005C3258" w:rsidRDefault="005C3258" w14:paraId="63BCBD5C" w14:textId="77777777">
            <w:pPr>
              <w:pStyle w:val="ListParagraph"/>
              <w:numPr>
                <w:ilvl w:val="0"/>
                <w:numId w:val="159"/>
              </w:numPr>
              <w:ind w:left="360"/>
              <w:rPr>
                <w:sz w:val="16"/>
                <w:szCs w:val="16"/>
              </w:rPr>
            </w:pPr>
            <w:r w:rsidRPr="005C3258">
              <w:rPr>
                <w:sz w:val="16"/>
                <w:szCs w:val="16"/>
              </w:rPr>
              <w:t>African Neonatal Sepsis Trial (AFRINEST) group, Tshefu A, Lokangaka A, Ngaima S, Engmann C, Esamai F, Gisore P et al. Oral amoxicillin compared with injectable procaine benzylpenicillin plus gentamicin for treatment of neonates and young infants with fast breathing when referral is not possible: a randomised, open-label, equivalence trial. Lancet 2015; 385: 1758-66</w:t>
            </w:r>
          </w:p>
          <w:p w:rsidRPr="005C3258" w:rsidR="005C3258" w:rsidP="005C3258" w:rsidRDefault="005C3258" w14:paraId="5AB9510E" w14:textId="77777777">
            <w:pPr>
              <w:pStyle w:val="ListParagraph"/>
              <w:numPr>
                <w:ilvl w:val="0"/>
                <w:numId w:val="159"/>
              </w:numPr>
              <w:ind w:left="360"/>
              <w:rPr>
                <w:sz w:val="16"/>
                <w:szCs w:val="16"/>
              </w:rPr>
            </w:pPr>
            <w:r w:rsidRPr="005C3258">
              <w:rPr>
                <w:sz w:val="16"/>
                <w:szCs w:val="16"/>
              </w:rPr>
              <w:t>Neonatal Formulary: Drug use in pregnancy and the first year of life. 7</w:t>
            </w:r>
            <w:r w:rsidRPr="005C3258">
              <w:rPr>
                <w:sz w:val="16"/>
                <w:szCs w:val="16"/>
                <w:vertAlign w:val="superscript"/>
              </w:rPr>
              <w:t>th</w:t>
            </w:r>
            <w:r w:rsidRPr="005C3258">
              <w:rPr>
                <w:sz w:val="16"/>
                <w:szCs w:val="16"/>
              </w:rPr>
              <w:t xml:space="preserve"> Ed. 2015: 76-7</w:t>
            </w:r>
          </w:p>
          <w:p w:rsidRPr="005C3258" w:rsidR="005C3258" w:rsidP="005C3258" w:rsidRDefault="005C3258" w14:paraId="12676FBD" w14:textId="77777777">
            <w:pPr>
              <w:pStyle w:val="ListParagraph"/>
              <w:numPr>
                <w:ilvl w:val="0"/>
                <w:numId w:val="159"/>
              </w:numPr>
              <w:ind w:left="360"/>
              <w:rPr>
                <w:sz w:val="16"/>
                <w:szCs w:val="16"/>
              </w:rPr>
            </w:pPr>
            <w:r w:rsidRPr="005C3258">
              <w:rPr>
                <w:sz w:val="16"/>
                <w:szCs w:val="16"/>
              </w:rPr>
              <w:t>Fanos V, Dall’Agnola A. Antibiotics in neonatal infections: A Review. Drugs 1999; 58: 405-27</w:t>
            </w:r>
          </w:p>
          <w:p w:rsidRPr="005C3258" w:rsidR="005C3258" w:rsidP="005C3258" w:rsidRDefault="005C3258" w14:paraId="25365D7C" w14:textId="77777777">
            <w:pPr>
              <w:pStyle w:val="ListParagraph"/>
              <w:numPr>
                <w:ilvl w:val="0"/>
                <w:numId w:val="159"/>
              </w:numPr>
              <w:ind w:left="360"/>
              <w:rPr>
                <w:sz w:val="16"/>
                <w:szCs w:val="16"/>
              </w:rPr>
            </w:pPr>
            <w:r w:rsidRPr="005C3258">
              <w:rPr>
                <w:sz w:val="16"/>
                <w:szCs w:val="16"/>
              </w:rPr>
              <w:t>Huisman-de Boer J, van den Anker JN, Vogel M, Goessens WHF, Schoemaker RC, de Groot R. Amoxicillin pharmacokinetics in preterm infants with gestational ages of less than 32 weeks. Antimicrob Agents Chemother 1995; 39: 431-4</w:t>
            </w:r>
          </w:p>
          <w:p w:rsidRPr="005C3258" w:rsidR="005C3258" w:rsidP="005C3258" w:rsidRDefault="005C3258" w14:paraId="31AD1DE3" w14:textId="77777777">
            <w:pPr>
              <w:pStyle w:val="ListParagraph"/>
              <w:numPr>
                <w:ilvl w:val="0"/>
                <w:numId w:val="159"/>
              </w:numPr>
              <w:ind w:left="360"/>
              <w:rPr>
                <w:sz w:val="16"/>
                <w:szCs w:val="16"/>
              </w:rPr>
            </w:pPr>
            <w:r w:rsidRPr="005C3258">
              <w:rPr>
                <w:sz w:val="16"/>
                <w:szCs w:val="16"/>
              </w:rPr>
              <w:lastRenderedPageBreak/>
              <w:t>Pullen J, Driessen M, Stolk LML, Degraeuwe PLJ, van Tiel FH, Neef C et al. Amoxicillin pharmacokinetics in (preterm) infants aged 10 to 52 days: Effect of postnatal age. Ther Drug Monit 2007; 29: 376-80</w:t>
            </w:r>
          </w:p>
          <w:p w:rsidRPr="005C3258" w:rsidR="005C3258" w:rsidP="005C3258" w:rsidRDefault="005C3258" w14:paraId="59605E03" w14:textId="77777777">
            <w:pPr>
              <w:pStyle w:val="ListParagraph"/>
              <w:numPr>
                <w:ilvl w:val="0"/>
                <w:numId w:val="159"/>
              </w:numPr>
              <w:ind w:left="360"/>
              <w:rPr>
                <w:sz w:val="16"/>
                <w:szCs w:val="16"/>
              </w:rPr>
            </w:pPr>
            <w:r w:rsidRPr="005C3258">
              <w:rPr>
                <w:sz w:val="16"/>
                <w:szCs w:val="16"/>
              </w:rPr>
              <w:t>Australian Injectable Drugs Handbook. Accessed on 9 March 2021.</w:t>
            </w:r>
          </w:p>
          <w:p w:rsidRPr="005C3258" w:rsidR="005C3258" w:rsidP="005C3258" w:rsidRDefault="005C3258" w14:paraId="61037D0B" w14:textId="77777777">
            <w:pPr>
              <w:pStyle w:val="ListParagraph"/>
              <w:numPr>
                <w:ilvl w:val="0"/>
                <w:numId w:val="159"/>
              </w:numPr>
              <w:ind w:left="360"/>
              <w:rPr>
                <w:sz w:val="16"/>
                <w:szCs w:val="16"/>
              </w:rPr>
            </w:pPr>
            <w:r w:rsidRPr="005C3258">
              <w:rPr>
                <w:sz w:val="16"/>
                <w:szCs w:val="16"/>
              </w:rPr>
              <w:t>Gras-Le Guen C, Boscher C, Godon N, Caillon J, Denis C, Nguyen JM et al. Therapeutic amoxicillin levels achieved with oral administration in term neonates. Eur J Clin Pharmacol 2007; 63: 657-62</w:t>
            </w:r>
          </w:p>
          <w:p w:rsidRPr="005C3258" w:rsidR="005C3258" w:rsidP="005C3258" w:rsidRDefault="005C3258" w14:paraId="5DE0F4AC" w14:textId="77777777">
            <w:pPr>
              <w:pStyle w:val="ListParagraph"/>
              <w:numPr>
                <w:ilvl w:val="0"/>
                <w:numId w:val="159"/>
              </w:numPr>
              <w:ind w:left="360"/>
              <w:rPr>
                <w:sz w:val="16"/>
                <w:szCs w:val="16"/>
              </w:rPr>
            </w:pPr>
            <w:r w:rsidRPr="005C3258">
              <w:rPr>
                <w:sz w:val="16"/>
                <w:szCs w:val="16"/>
              </w:rPr>
              <w:t>Lonnerholm G, Bengtsson S, Ewald U. Oral pivampicillin and amoxycillin in newborn infants. Scand J Infect Dis 1982; 14: 127-30.</w:t>
            </w:r>
          </w:p>
          <w:p w:rsidRPr="005C3258" w:rsidR="005C3258" w:rsidP="005C3258" w:rsidRDefault="005C3258" w14:paraId="1A1756FC" w14:textId="77777777">
            <w:pPr>
              <w:pStyle w:val="ListParagraph"/>
              <w:numPr>
                <w:ilvl w:val="0"/>
                <w:numId w:val="159"/>
              </w:numPr>
              <w:ind w:left="360"/>
              <w:rPr>
                <w:sz w:val="16"/>
                <w:szCs w:val="16"/>
              </w:rPr>
            </w:pPr>
            <w:r w:rsidRPr="005C3258">
              <w:rPr>
                <w:sz w:val="16"/>
                <w:szCs w:val="16"/>
              </w:rPr>
              <w:t>McMullan BJ, Andresen D, Blyth CC, Avent ML, Bowen AC, Britton PN, Clark JE, Cooper CM, Curtis N, Goeman E, Hazelton B, Haeusler GM, Khatami A, Newcombe JP, Osowicki J, Palasanthiran P, Starr M, Lai T, Nourse C, Francis JR, Isaacs D, Bryant PA, ANZPID-ASAP group. Antibiotic duration and timing of the switch from intravenous to oral route for bacterial infections in children: systematic review and guidelines. Lancet Infect Dis 2016;16(8):e139-52.</w:t>
            </w:r>
          </w:p>
          <w:p w:rsidRPr="005C3258" w:rsidR="005C3258" w:rsidP="005C3258" w:rsidRDefault="005C3258" w14:paraId="0C70B5A0" w14:textId="77777777">
            <w:pPr>
              <w:pStyle w:val="ListParagraph"/>
              <w:numPr>
                <w:ilvl w:val="0"/>
                <w:numId w:val="159"/>
              </w:numPr>
              <w:ind w:left="360"/>
              <w:rPr>
                <w:sz w:val="16"/>
                <w:szCs w:val="16"/>
              </w:rPr>
            </w:pPr>
            <w:r w:rsidRPr="005C3258">
              <w:rPr>
                <w:rFonts w:asciiTheme="minorHAnsi" w:hAnsiTheme="minorHAnsi" w:cstheme="minorHAnsi"/>
                <w:sz w:val="16"/>
                <w:szCs w:val="16"/>
              </w:rPr>
              <w:t>Ibiamox. Product information. Accessed on 9 March 2021.</w:t>
            </w:r>
          </w:p>
        </w:tc>
      </w:tr>
    </w:tbl>
    <w:p w:rsidR="005C0B5E" w:rsidP="006F0321" w:rsidRDefault="005C0B5E" w14:paraId="0834994F" w14:textId="75EAB506"/>
    <w:p w:rsidR="00E235EF" w:rsidP="006F0321" w:rsidRDefault="00E235EF" w14:paraId="482F9FD0" w14:textId="77777777"/>
    <w:tbl>
      <w:tblPr>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40"/>
        <w:gridCol w:w="4439"/>
      </w:tblGrid>
      <w:tr w:rsidR="005C0B5E" w:rsidTr="0059793A" w14:paraId="0296AD9D" w14:textId="77777777">
        <w:tc>
          <w:tcPr>
            <w:tcW w:w="4465" w:type="dxa"/>
            <w:vAlign w:val="center"/>
          </w:tcPr>
          <w:p w:rsidR="005C0B5E" w:rsidP="0059793A" w:rsidRDefault="005C0B5E" w14:paraId="64EA18BB" w14:textId="64D5A3CC">
            <w:pPr>
              <w:rPr>
                <w:b/>
                <w:bCs/>
                <w:lang w:val="en-AU"/>
              </w:rPr>
            </w:pPr>
            <w:r w:rsidRPr="48F57877">
              <w:rPr>
                <w:b/>
                <w:bCs/>
                <w:lang w:val="en-AU"/>
              </w:rPr>
              <w:t xml:space="preserve">Original version Date: </w:t>
            </w:r>
            <w:r w:rsidR="00E6281A">
              <w:rPr>
                <w:b/>
                <w:bCs/>
                <w:lang w:val="en-AU"/>
              </w:rPr>
              <w:t>16/11/2020</w:t>
            </w:r>
          </w:p>
        </w:tc>
        <w:tc>
          <w:tcPr>
            <w:tcW w:w="4465" w:type="dxa"/>
            <w:vAlign w:val="center"/>
          </w:tcPr>
          <w:p w:rsidR="005C0B5E" w:rsidP="0059793A" w:rsidRDefault="005C0B5E" w14:paraId="03C39E25" w14:textId="77777777">
            <w:pPr>
              <w:rPr>
                <w:b/>
                <w:bCs/>
                <w:lang w:val="en-AU"/>
              </w:rPr>
            </w:pPr>
            <w:r w:rsidRPr="48F57877">
              <w:rPr>
                <w:b/>
                <w:bCs/>
                <w:lang w:val="en-AU"/>
              </w:rPr>
              <w:t>Author: NeoMed Consensus Group</w:t>
            </w:r>
          </w:p>
        </w:tc>
      </w:tr>
      <w:tr w:rsidR="005C0B5E" w:rsidTr="0059793A" w14:paraId="043B7AB8" w14:textId="77777777">
        <w:tc>
          <w:tcPr>
            <w:tcW w:w="4465" w:type="dxa"/>
            <w:vAlign w:val="center"/>
          </w:tcPr>
          <w:p w:rsidR="005C0B5E" w:rsidP="0059793A" w:rsidRDefault="005C0B5E" w14:paraId="698F0E0A" w14:textId="4C58074C">
            <w:pPr>
              <w:rPr>
                <w:b/>
                <w:bCs/>
                <w:lang w:val="en-AU"/>
              </w:rPr>
            </w:pPr>
            <w:r w:rsidRPr="48F57877">
              <w:rPr>
                <w:b/>
                <w:bCs/>
                <w:lang w:val="en-AU"/>
              </w:rPr>
              <w:t xml:space="preserve">Current Version number:  </w:t>
            </w:r>
            <w:r w:rsidR="00E235EF">
              <w:rPr>
                <w:b/>
                <w:bCs/>
                <w:lang w:val="en-AU"/>
              </w:rPr>
              <w:t>2</w:t>
            </w:r>
          </w:p>
        </w:tc>
        <w:tc>
          <w:tcPr>
            <w:tcW w:w="4465" w:type="dxa"/>
            <w:vAlign w:val="center"/>
          </w:tcPr>
          <w:p w:rsidR="005C0B5E" w:rsidP="0059793A" w:rsidRDefault="005C0B5E" w14:paraId="301A83B5" w14:textId="559EE4F6">
            <w:pPr>
              <w:rPr>
                <w:b/>
                <w:bCs/>
                <w:lang w:val="en-AU"/>
              </w:rPr>
            </w:pPr>
            <w:r w:rsidRPr="48F57877">
              <w:rPr>
                <w:b/>
                <w:bCs/>
                <w:lang w:val="en-AU"/>
              </w:rPr>
              <w:t xml:space="preserve">Current Version Date:  </w:t>
            </w:r>
            <w:r w:rsidR="00E235EF">
              <w:rPr>
                <w:b/>
                <w:bCs/>
                <w:lang w:val="en-AU"/>
              </w:rPr>
              <w:t>18</w:t>
            </w:r>
            <w:r w:rsidR="00E6281A">
              <w:rPr>
                <w:b/>
                <w:bCs/>
                <w:lang w:val="en-AU"/>
              </w:rPr>
              <w:t>/</w:t>
            </w:r>
            <w:r w:rsidR="00E235EF">
              <w:rPr>
                <w:b/>
                <w:bCs/>
                <w:lang w:val="en-AU"/>
              </w:rPr>
              <w:t>6</w:t>
            </w:r>
            <w:r w:rsidR="00E6281A">
              <w:rPr>
                <w:b/>
                <w:bCs/>
                <w:lang w:val="en-AU"/>
              </w:rPr>
              <w:t>/202</w:t>
            </w:r>
            <w:r w:rsidR="00E235EF">
              <w:rPr>
                <w:b/>
                <w:bCs/>
                <w:lang w:val="en-AU"/>
              </w:rPr>
              <w:t>1</w:t>
            </w:r>
          </w:p>
        </w:tc>
      </w:tr>
      <w:tr w:rsidR="005C0B5E" w:rsidTr="0059793A" w14:paraId="7E8A536F" w14:textId="77777777">
        <w:tc>
          <w:tcPr>
            <w:tcW w:w="4465" w:type="dxa"/>
            <w:vAlign w:val="center"/>
          </w:tcPr>
          <w:p w:rsidR="005C0B5E" w:rsidP="0059793A" w:rsidRDefault="005C0B5E" w14:paraId="78DF8EA7" w14:textId="77777777">
            <w:pPr>
              <w:rPr>
                <w:b/>
                <w:bCs/>
                <w:lang w:val="en-AU"/>
              </w:rPr>
            </w:pPr>
            <w:r w:rsidRPr="48F57877">
              <w:rPr>
                <w:b/>
                <w:bCs/>
                <w:lang w:val="en-AU"/>
              </w:rPr>
              <w:t xml:space="preserve">Risk Rating: </w:t>
            </w:r>
            <w:r>
              <w:rPr>
                <w:b/>
                <w:bCs/>
                <w:lang w:val="en-AU"/>
              </w:rPr>
              <w:t>Low</w:t>
            </w:r>
          </w:p>
        </w:tc>
        <w:tc>
          <w:tcPr>
            <w:tcW w:w="4465" w:type="dxa"/>
            <w:vAlign w:val="center"/>
          </w:tcPr>
          <w:p w:rsidR="005C0B5E" w:rsidP="0059793A" w:rsidRDefault="005C0B5E" w14:paraId="33708425" w14:textId="216AB76F">
            <w:pPr>
              <w:rPr>
                <w:b/>
                <w:bCs/>
                <w:lang w:val="en-AU"/>
              </w:rPr>
            </w:pPr>
            <w:r w:rsidRPr="48F57877">
              <w:rPr>
                <w:b/>
                <w:bCs/>
                <w:lang w:val="en-AU"/>
              </w:rPr>
              <w:t xml:space="preserve">Due for Review:  </w:t>
            </w:r>
            <w:r w:rsidR="00E235EF">
              <w:rPr>
                <w:b/>
                <w:bCs/>
                <w:lang w:val="en-AU"/>
              </w:rPr>
              <w:t>18</w:t>
            </w:r>
            <w:r w:rsidR="00E6281A">
              <w:rPr>
                <w:b/>
                <w:bCs/>
                <w:lang w:val="en-AU"/>
              </w:rPr>
              <w:t>/</w:t>
            </w:r>
            <w:r w:rsidR="00E235EF">
              <w:rPr>
                <w:b/>
                <w:bCs/>
                <w:lang w:val="en-AU"/>
              </w:rPr>
              <w:t>6</w:t>
            </w:r>
            <w:r w:rsidR="00E6281A">
              <w:rPr>
                <w:b/>
                <w:bCs/>
                <w:lang w:val="en-AU"/>
              </w:rPr>
              <w:t>/202</w:t>
            </w:r>
            <w:r w:rsidR="00E235EF">
              <w:rPr>
                <w:b/>
                <w:bCs/>
                <w:lang w:val="en-AU"/>
              </w:rPr>
              <w:t>6</w:t>
            </w:r>
          </w:p>
        </w:tc>
      </w:tr>
      <w:tr w:rsidR="005C0B5E" w:rsidTr="0059793A" w14:paraId="59B8CA30" w14:textId="77777777">
        <w:trPr>
          <w:trHeight w:val="344"/>
        </w:trPr>
        <w:tc>
          <w:tcPr>
            <w:tcW w:w="4465" w:type="dxa"/>
            <w:tcBorders>
              <w:bottom w:val="single" w:color="auto" w:sz="4" w:space="0"/>
            </w:tcBorders>
            <w:vAlign w:val="center"/>
          </w:tcPr>
          <w:p w:rsidR="005C0B5E" w:rsidP="0059793A" w:rsidRDefault="005C0B5E" w14:paraId="1BAFBAEB" w14:textId="77777777">
            <w:pPr>
              <w:rPr>
                <w:b/>
                <w:bCs/>
                <w:lang w:val="en-AU"/>
              </w:rPr>
            </w:pPr>
            <w:r w:rsidRPr="48F57877">
              <w:rPr>
                <w:b/>
                <w:bCs/>
                <w:lang w:val="en-AU"/>
              </w:rPr>
              <w:t>Approval by: DTC</w:t>
            </w:r>
          </w:p>
        </w:tc>
        <w:tc>
          <w:tcPr>
            <w:tcW w:w="4465" w:type="dxa"/>
            <w:tcBorders>
              <w:bottom w:val="single" w:color="auto" w:sz="4" w:space="0"/>
            </w:tcBorders>
            <w:vAlign w:val="center"/>
          </w:tcPr>
          <w:p w:rsidR="005C0B5E" w:rsidP="0059793A" w:rsidRDefault="005C0B5E" w14:paraId="3FA28AEF" w14:textId="7DE64DB9">
            <w:pPr>
              <w:rPr>
                <w:b/>
                <w:bCs/>
                <w:lang w:val="en-AU"/>
              </w:rPr>
            </w:pPr>
            <w:r w:rsidRPr="48F57877">
              <w:rPr>
                <w:b/>
                <w:bCs/>
                <w:lang w:val="en-AU"/>
              </w:rPr>
              <w:t xml:space="preserve">Approval Date: </w:t>
            </w:r>
            <w:r w:rsidR="00260BC8">
              <w:rPr>
                <w:b/>
                <w:bCs/>
                <w:lang w:val="en-AU"/>
              </w:rPr>
              <w:t>APRIL 2021</w:t>
            </w:r>
          </w:p>
        </w:tc>
      </w:tr>
    </w:tbl>
    <w:p w:rsidRPr="00E25790" w:rsidR="00115F48" w:rsidP="006F0321" w:rsidRDefault="00800B76" w14:paraId="6245D913" w14:textId="4CAF9D5B">
      <w:r>
        <w:br w:type="page"/>
      </w:r>
    </w:p>
    <w:p w:rsidR="41C26842" w:rsidP="41C26842" w:rsidRDefault="41C26842" w14:paraId="1C8497EE" w14:textId="64AA185D"/>
    <w:p w:rsidR="41C26842" w:rsidP="41C26842" w:rsidRDefault="41C26842" w14:paraId="75CAF3CD" w14:textId="4798E9D9"/>
    <w:tbl>
      <w:tblPr>
        <w:tblW w:w="0" w:type="auto"/>
        <w:tblLook w:val="0000" w:firstRow="0" w:lastRow="0" w:firstColumn="0" w:lastColumn="0" w:noHBand="0" w:noVBand="0"/>
      </w:tblPr>
      <w:tblGrid>
        <w:gridCol w:w="4122"/>
        <w:gridCol w:w="4858"/>
      </w:tblGrid>
      <w:tr w:rsidR="62E769FC" w:rsidTr="62E769FC" w14:paraId="2EAD988D" w14:textId="77777777">
        <w:trPr>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62E769FC" w:rsidP="62E769FC" w:rsidRDefault="62E769FC" w14:paraId="5C7E0F51" w14:textId="5B23D5E5">
            <w:pPr>
              <w:pStyle w:val="Heading1"/>
            </w:pPr>
            <w:bookmarkStart w:name="_Toc75339934" w:id="75"/>
            <w:r>
              <w:t>Am</w:t>
            </w:r>
            <w:r w:rsidR="16967FBD">
              <w:t>oxicillin Cla</w:t>
            </w:r>
            <w:r w:rsidR="0020518D">
              <w:t>vulanate</w:t>
            </w:r>
            <w:bookmarkEnd w:id="75"/>
            <w:r>
              <w:fldChar w:fldCharType="begin"/>
            </w:r>
            <w:r>
              <w:instrText>tc "CAP Trial" \l 0</w:instrText>
            </w:r>
            <w:r>
              <w:fldChar w:fldCharType="end"/>
            </w:r>
          </w:p>
        </w:tc>
      </w:tr>
      <w:tr w:rsidR="62E769FC" w:rsidTr="62E769FC" w14:paraId="67B6EE71" w14:textId="77777777">
        <w:trPr>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62E769FC" w:rsidRDefault="62E769FC" w14:paraId="7400BD7C" w14:textId="52118DE5">
            <w:r>
              <w:t xml:space="preserve">Revision Date : </w:t>
            </w:r>
            <w:r w:rsidR="00C261E9">
              <w:t>16-11-2020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62E769FC" w:rsidRDefault="62E769FC" w14:paraId="1CDB8B52" w14:textId="3E6369D8">
            <w:r>
              <w:t xml:space="preserve">Approved : </w:t>
            </w:r>
            <w:r w:rsidR="35958275">
              <w:t>TC</w:t>
            </w:r>
            <w:r>
              <w:t>, KOH</w:t>
            </w:r>
          </w:p>
        </w:tc>
      </w:tr>
    </w:tbl>
    <w:p w:rsidR="41C26842" w:rsidP="62E769FC" w:rsidRDefault="41C26842" w14:paraId="5B138F10" w14:textId="59EC6E06"/>
    <w:tbl>
      <w:tblPr>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260" w:firstRow="1" w:lastRow="1" w:firstColumn="0" w:lastColumn="0" w:noHBand="1" w:noVBand="0"/>
      </w:tblPr>
      <w:tblGrid>
        <w:gridCol w:w="1957"/>
        <w:gridCol w:w="7377"/>
      </w:tblGrid>
      <w:tr w:rsidR="00273A16" w:rsidTr="77BEE3D0" w14:paraId="25382762" w14:textId="77777777">
        <w:trPr>
          <w:trHeight w:val="282"/>
        </w:trPr>
        <w:tc>
          <w:tcPr>
            <w:tcW w:w="1983" w:type="dxa"/>
          </w:tcPr>
          <w:p w:rsidR="2A350E09" w:rsidP="30CD2787" w:rsidRDefault="2A350E09" w14:paraId="1FC4F365" w14:textId="2B59B256">
            <w:pPr>
              <w:pStyle w:val="BodyText"/>
              <w:rPr>
                <w:rFonts w:cs="Arial" w:asciiTheme="minorHAnsi" w:hAnsiTheme="minorHAnsi"/>
                <w:b/>
                <w:bCs/>
                <w:sz w:val="20"/>
              </w:rPr>
            </w:pPr>
            <w:r w:rsidRPr="30CD2787">
              <w:rPr>
                <w:rFonts w:cs="Arial" w:asciiTheme="minorHAnsi" w:hAnsiTheme="minorHAnsi"/>
                <w:b/>
                <w:bCs/>
                <w:sz w:val="20"/>
              </w:rPr>
              <w:t>Alert</w:t>
            </w:r>
          </w:p>
        </w:tc>
        <w:tc>
          <w:tcPr>
            <w:tcW w:w="7351" w:type="dxa"/>
          </w:tcPr>
          <w:p w:rsidR="542EE8A6" w:rsidP="30CD2787" w:rsidRDefault="542EE8A6" w14:paraId="1B2C87A6" w14:textId="6FDB5863">
            <w:pPr>
              <w:rPr>
                <w:rFonts w:asciiTheme="minorHAnsi" w:hAnsiTheme="minorHAnsi"/>
                <w:sz w:val="20"/>
              </w:rPr>
            </w:pPr>
            <w:r w:rsidRPr="30CD2787">
              <w:rPr>
                <w:rFonts w:asciiTheme="minorHAnsi" w:hAnsiTheme="minorHAnsi"/>
                <w:sz w:val="20"/>
              </w:rPr>
              <w:t xml:space="preserve">Not for </w:t>
            </w:r>
            <w:r w:rsidRPr="30CD2787" w:rsidR="101D983B">
              <w:rPr>
                <w:rFonts w:asciiTheme="minorHAnsi" w:hAnsiTheme="minorHAnsi"/>
                <w:sz w:val="20"/>
              </w:rPr>
              <w:t>intramuscular</w:t>
            </w:r>
            <w:r w:rsidRPr="30CD2787">
              <w:rPr>
                <w:rFonts w:asciiTheme="minorHAnsi" w:hAnsiTheme="minorHAnsi"/>
                <w:sz w:val="20"/>
              </w:rPr>
              <w:t xml:space="preserve"> </w:t>
            </w:r>
            <w:r w:rsidRPr="30CD2787" w:rsidR="780D3989">
              <w:rPr>
                <w:rFonts w:asciiTheme="minorHAnsi" w:hAnsiTheme="minorHAnsi"/>
                <w:sz w:val="20"/>
              </w:rPr>
              <w:t>administration</w:t>
            </w:r>
            <w:r w:rsidRPr="30CD2787">
              <w:rPr>
                <w:rFonts w:asciiTheme="minorHAnsi" w:hAnsiTheme="minorHAnsi"/>
                <w:sz w:val="20"/>
              </w:rPr>
              <w:t xml:space="preserve">. </w:t>
            </w:r>
            <w:r w:rsidRPr="30CD2787" w:rsidR="60F5F233">
              <w:rPr>
                <w:rFonts w:asciiTheme="minorHAnsi" w:hAnsiTheme="minorHAnsi"/>
                <w:sz w:val="20"/>
              </w:rPr>
              <w:t>The</w:t>
            </w:r>
            <w:r w:rsidRPr="30CD2787">
              <w:rPr>
                <w:rFonts w:asciiTheme="minorHAnsi" w:hAnsiTheme="minorHAnsi"/>
                <w:sz w:val="20"/>
              </w:rPr>
              <w:t xml:space="preserve"> pharmacokinetics of clavulanate has not been evaluated in </w:t>
            </w:r>
            <w:r w:rsidRPr="30CD2787" w:rsidR="109C89BC">
              <w:rPr>
                <w:rFonts w:asciiTheme="minorHAnsi" w:hAnsiTheme="minorHAnsi"/>
                <w:sz w:val="20"/>
              </w:rPr>
              <w:t>neonates</w:t>
            </w:r>
            <w:r w:rsidRPr="30CD2787">
              <w:rPr>
                <w:rFonts w:asciiTheme="minorHAnsi" w:hAnsiTheme="minorHAnsi"/>
                <w:sz w:val="20"/>
              </w:rPr>
              <w:t xml:space="preserve">. Dose and </w:t>
            </w:r>
            <w:r w:rsidRPr="30CD2787" w:rsidR="43017445">
              <w:rPr>
                <w:rFonts w:asciiTheme="minorHAnsi" w:hAnsiTheme="minorHAnsi"/>
                <w:sz w:val="20"/>
              </w:rPr>
              <w:t>frequency</w:t>
            </w:r>
            <w:r w:rsidRPr="30CD2787" w:rsidR="0BC76720">
              <w:rPr>
                <w:rFonts w:asciiTheme="minorHAnsi" w:hAnsiTheme="minorHAnsi"/>
                <w:sz w:val="20"/>
              </w:rPr>
              <w:t xml:space="preserve"> are product specific and the products are not interchangeable. 5:1 ratio of amoxicillin and </w:t>
            </w:r>
            <w:r w:rsidRPr="30CD2787" w:rsidR="0663E7DF">
              <w:rPr>
                <w:rFonts w:asciiTheme="minorHAnsi" w:hAnsiTheme="minorHAnsi"/>
                <w:sz w:val="20"/>
              </w:rPr>
              <w:t>clavulanate</w:t>
            </w:r>
            <w:r w:rsidRPr="30CD2787" w:rsidR="0BC76720">
              <w:rPr>
                <w:rFonts w:asciiTheme="minorHAnsi" w:hAnsiTheme="minorHAnsi"/>
                <w:sz w:val="20"/>
              </w:rPr>
              <w:t xml:space="preserve"> used are for intravenou</w:t>
            </w:r>
            <w:r w:rsidRPr="30CD2787" w:rsidR="5413C17C">
              <w:rPr>
                <w:rFonts w:asciiTheme="minorHAnsi" w:hAnsiTheme="minorHAnsi"/>
                <w:sz w:val="20"/>
              </w:rPr>
              <w:t xml:space="preserve">s and 4:1 ratios of amoxicillin and clavulanate used for oral </w:t>
            </w:r>
            <w:r w:rsidRPr="30CD2787" w:rsidR="1C2A147E">
              <w:rPr>
                <w:rFonts w:asciiTheme="minorHAnsi" w:hAnsiTheme="minorHAnsi"/>
                <w:sz w:val="20"/>
              </w:rPr>
              <w:t xml:space="preserve">administration in </w:t>
            </w:r>
            <w:r w:rsidRPr="30CD2787" w:rsidR="69BFF39D">
              <w:rPr>
                <w:rFonts w:asciiTheme="minorHAnsi" w:hAnsiTheme="minorHAnsi"/>
                <w:sz w:val="20"/>
              </w:rPr>
              <w:t>neonates</w:t>
            </w:r>
            <w:r w:rsidRPr="30CD2787" w:rsidR="1C2A147E">
              <w:rPr>
                <w:rFonts w:asciiTheme="minorHAnsi" w:hAnsiTheme="minorHAnsi"/>
                <w:sz w:val="20"/>
              </w:rPr>
              <w:t xml:space="preserve">. </w:t>
            </w:r>
          </w:p>
        </w:tc>
      </w:tr>
      <w:tr w:rsidR="00273A16" w:rsidTr="77BEE3D0" w14:paraId="3B7FAF16" w14:textId="77777777">
        <w:trPr>
          <w:trHeight w:val="282"/>
        </w:trPr>
        <w:tc>
          <w:tcPr>
            <w:tcW w:w="1986" w:type="dxa"/>
          </w:tcPr>
          <w:p w:rsidR="62E769FC" w:rsidP="62E769FC" w:rsidRDefault="62E769FC" w14:paraId="11EDD06F" w14:textId="77777777">
            <w:pPr>
              <w:pStyle w:val="BodyText"/>
              <w:rPr>
                <w:rFonts w:cs="Arial" w:asciiTheme="minorHAnsi" w:hAnsiTheme="minorHAnsi"/>
                <w:b/>
                <w:bCs/>
                <w:sz w:val="20"/>
              </w:rPr>
            </w:pPr>
            <w:r w:rsidRPr="62E769FC">
              <w:rPr>
                <w:rFonts w:cs="Arial" w:asciiTheme="minorHAnsi" w:hAnsiTheme="minorHAnsi"/>
                <w:b/>
                <w:bCs/>
                <w:sz w:val="20"/>
              </w:rPr>
              <w:t xml:space="preserve">Indication                        </w:t>
            </w:r>
          </w:p>
        </w:tc>
        <w:tc>
          <w:tcPr>
            <w:tcW w:w="7938" w:type="dxa"/>
          </w:tcPr>
          <w:p w:rsidR="62E769FC" w:rsidP="30CD2787" w:rsidRDefault="5811DF6B" w14:paraId="0CEEAAB6" w14:textId="6B023554">
            <w:pPr>
              <w:rPr>
                <w:rFonts w:asciiTheme="minorHAnsi" w:hAnsiTheme="minorHAnsi"/>
                <w:sz w:val="20"/>
              </w:rPr>
            </w:pPr>
            <w:r w:rsidRPr="30CD2787">
              <w:rPr>
                <w:rFonts w:asciiTheme="minorHAnsi" w:hAnsiTheme="minorHAnsi"/>
                <w:sz w:val="20"/>
              </w:rPr>
              <w:t>Directed treatment of susceptible bacterial infections covered by amoxicillin but producing beta-lactamase when amoxicillin alone is ineffective; including skin infection, ear infection, sinusitis, urinary tract infection, upper and lower respiratory tract infection, and animal bites. [1,2]</w:t>
            </w:r>
          </w:p>
          <w:p w:rsidR="62E769FC" w:rsidP="30CD2787" w:rsidRDefault="62E769FC" w14:paraId="776AA0B1" w14:textId="1F36DC77">
            <w:pPr>
              <w:rPr>
                <w:rFonts w:asciiTheme="minorHAnsi" w:hAnsiTheme="minorHAnsi"/>
                <w:sz w:val="20"/>
              </w:rPr>
            </w:pPr>
          </w:p>
        </w:tc>
      </w:tr>
      <w:tr w:rsidR="00273A16" w:rsidTr="77BEE3D0" w14:paraId="51030A49" w14:textId="77777777">
        <w:trPr>
          <w:trHeight w:val="131"/>
        </w:trPr>
        <w:tc>
          <w:tcPr>
            <w:tcW w:w="1986" w:type="dxa"/>
          </w:tcPr>
          <w:p w:rsidR="62E769FC" w:rsidP="62E769FC" w:rsidRDefault="62E769FC" w14:paraId="19DD581B" w14:textId="77777777">
            <w:pPr>
              <w:pStyle w:val="BodyText"/>
              <w:rPr>
                <w:rFonts w:cs="Arial" w:asciiTheme="minorHAnsi" w:hAnsiTheme="minorHAnsi"/>
                <w:b/>
                <w:bCs/>
                <w:sz w:val="20"/>
              </w:rPr>
            </w:pPr>
            <w:r w:rsidRPr="62E769FC">
              <w:rPr>
                <w:rFonts w:cs="Arial" w:asciiTheme="minorHAnsi" w:hAnsiTheme="minorHAnsi"/>
                <w:b/>
                <w:bCs/>
                <w:sz w:val="20"/>
              </w:rPr>
              <w:t>Action</w:t>
            </w:r>
          </w:p>
        </w:tc>
        <w:tc>
          <w:tcPr>
            <w:tcW w:w="7938" w:type="dxa"/>
          </w:tcPr>
          <w:p w:rsidR="62E769FC" w:rsidP="30CD2787" w:rsidRDefault="4AC358B1" w14:paraId="390B6BCB" w14:textId="5F6360B3">
            <w:pPr>
              <w:rPr>
                <w:rFonts w:cs="Arial" w:asciiTheme="minorHAnsi" w:hAnsiTheme="minorHAnsi"/>
                <w:sz w:val="20"/>
              </w:rPr>
            </w:pPr>
            <w:r w:rsidRPr="30CD2787">
              <w:rPr>
                <w:rFonts w:cs="Arial" w:asciiTheme="minorHAnsi" w:hAnsiTheme="minorHAnsi"/>
                <w:sz w:val="20"/>
              </w:rPr>
              <w:t>Semi-synthetic penicillin with similar antibacterial spectrum as ampicillin. It is bactericidal against both, gram-positive and gram-negative bacteria but is destroyed by beta-lactamase produced by many of, these bacteria. Clavulanate binds irreversibly with beta-lactamases produced by a variety of gram-, positive and gram-negative microorganisms and protects amoxicillin from degradation. Thus extending, the spectrum of amoxicillin. [1], Amoxicillin is better -absorbed than ampicillin, following oral administration. [1]</w:t>
            </w:r>
          </w:p>
          <w:p w:rsidR="62E769FC" w:rsidP="30CD2787" w:rsidRDefault="62E769FC" w14:paraId="4EB7D529" w14:textId="5144F13F">
            <w:pPr>
              <w:rPr>
                <w:rFonts w:cs="Arial" w:asciiTheme="minorHAnsi" w:hAnsiTheme="minorHAnsi"/>
                <w:sz w:val="20"/>
              </w:rPr>
            </w:pPr>
          </w:p>
        </w:tc>
      </w:tr>
      <w:tr w:rsidR="00273A16" w:rsidTr="77BEE3D0" w14:paraId="14189EF5" w14:textId="77777777">
        <w:trPr>
          <w:trHeight w:val="266"/>
        </w:trPr>
        <w:tc>
          <w:tcPr>
            <w:tcW w:w="1986" w:type="dxa"/>
          </w:tcPr>
          <w:p w:rsidR="62E769FC" w:rsidP="62E769FC" w:rsidRDefault="62E769FC" w14:paraId="36DB7412" w14:textId="77777777">
            <w:pPr>
              <w:pStyle w:val="BodyText"/>
              <w:rPr>
                <w:rFonts w:cs="Arial" w:asciiTheme="minorHAnsi" w:hAnsiTheme="minorHAnsi"/>
                <w:sz w:val="20"/>
              </w:rPr>
            </w:pPr>
            <w:r w:rsidRPr="62E769FC">
              <w:rPr>
                <w:rFonts w:cs="Arial" w:asciiTheme="minorHAnsi" w:hAnsiTheme="minorHAnsi"/>
                <w:b/>
                <w:bCs/>
                <w:sz w:val="20"/>
              </w:rPr>
              <w:t xml:space="preserve">Drug Type                                   </w:t>
            </w:r>
          </w:p>
        </w:tc>
        <w:tc>
          <w:tcPr>
            <w:tcW w:w="7938" w:type="dxa"/>
          </w:tcPr>
          <w:p w:rsidR="62E769FC" w:rsidP="30CD2787" w:rsidRDefault="4AE6BFA6" w14:paraId="4B778514" w14:textId="48741745">
            <w:pPr>
              <w:pStyle w:val="BodyText"/>
              <w:rPr>
                <w:rFonts w:cs="Arial" w:asciiTheme="minorHAnsi" w:hAnsiTheme="minorHAnsi"/>
                <w:sz w:val="20"/>
              </w:rPr>
            </w:pPr>
            <w:r w:rsidRPr="30CD2787">
              <w:rPr>
                <w:rFonts w:cs="Arial" w:asciiTheme="minorHAnsi" w:hAnsiTheme="minorHAnsi"/>
                <w:sz w:val="20"/>
              </w:rPr>
              <w:t>Antimicrobial agent – Beta-lactam aminopenicillin and Beta-lactamase inhibitor combination</w:t>
            </w:r>
          </w:p>
        </w:tc>
      </w:tr>
      <w:tr w:rsidR="00273A16" w:rsidTr="77BEE3D0" w14:paraId="145386CB" w14:textId="77777777">
        <w:trPr>
          <w:trHeight w:val="178"/>
        </w:trPr>
        <w:tc>
          <w:tcPr>
            <w:tcW w:w="1986" w:type="dxa"/>
          </w:tcPr>
          <w:p w:rsidR="62E769FC" w:rsidP="62E769FC" w:rsidRDefault="62E769FC" w14:paraId="64E9E868" w14:textId="77777777">
            <w:pPr>
              <w:pStyle w:val="BodyText"/>
              <w:rPr>
                <w:rFonts w:cs="Arial" w:asciiTheme="minorHAnsi" w:hAnsiTheme="minorHAnsi"/>
                <w:b/>
                <w:bCs/>
                <w:sz w:val="20"/>
              </w:rPr>
            </w:pPr>
            <w:r w:rsidRPr="62E769FC">
              <w:rPr>
                <w:rFonts w:cs="Arial" w:asciiTheme="minorHAnsi" w:hAnsiTheme="minorHAnsi"/>
                <w:b/>
                <w:bCs/>
                <w:sz w:val="20"/>
              </w:rPr>
              <w:t xml:space="preserve">Trade Name                  </w:t>
            </w:r>
          </w:p>
        </w:tc>
        <w:tc>
          <w:tcPr>
            <w:tcW w:w="7938" w:type="dxa"/>
          </w:tcPr>
          <w:p w:rsidR="62E769FC" w:rsidP="30CD2787" w:rsidRDefault="6BACFF46" w14:paraId="030681D1" w14:textId="056C8CB2">
            <w:pPr>
              <w:pStyle w:val="BodyText"/>
              <w:rPr>
                <w:rFonts w:cs="Arial" w:asciiTheme="minorHAnsi" w:hAnsiTheme="minorHAnsi"/>
                <w:sz w:val="20"/>
              </w:rPr>
            </w:pPr>
            <w:r w:rsidRPr="30CD2787">
              <w:rPr>
                <w:rFonts w:cs="Arial" w:asciiTheme="minorHAnsi" w:hAnsiTheme="minorHAnsi"/>
                <w:sz w:val="20"/>
              </w:rPr>
              <w:t xml:space="preserve">Oral: Curam 125mg/31.25mg Powder for Suspension,  </w:t>
            </w:r>
          </w:p>
          <w:p w:rsidR="62E769FC" w:rsidP="62E769FC" w:rsidRDefault="6BACFF46" w14:paraId="7DB45469" w14:textId="728F0DB9">
            <w:pPr>
              <w:pStyle w:val="BodyText"/>
            </w:pPr>
            <w:r w:rsidRPr="30CD2787">
              <w:rPr>
                <w:rFonts w:cs="Arial" w:asciiTheme="minorHAnsi" w:hAnsiTheme="minorHAnsi"/>
                <w:sz w:val="20"/>
              </w:rPr>
              <w:t xml:space="preserve">IV: Amoxiclav Juno 1000/200, Curam 500/100, Curam 1000/200,  </w:t>
            </w:r>
          </w:p>
          <w:p w:rsidR="62E769FC" w:rsidP="30CD2787" w:rsidRDefault="62E769FC" w14:paraId="347C855F" w14:textId="5131FF1F">
            <w:pPr>
              <w:pStyle w:val="BodyText"/>
              <w:rPr>
                <w:rFonts w:cs="Arial" w:asciiTheme="minorHAnsi" w:hAnsiTheme="minorHAnsi"/>
                <w:sz w:val="20"/>
              </w:rPr>
            </w:pPr>
          </w:p>
        </w:tc>
      </w:tr>
      <w:tr w:rsidR="00273A16" w:rsidTr="77BEE3D0" w14:paraId="0E03F7E0" w14:textId="77777777">
        <w:trPr>
          <w:trHeight w:val="155"/>
        </w:trPr>
        <w:tc>
          <w:tcPr>
            <w:tcW w:w="1986" w:type="dxa"/>
          </w:tcPr>
          <w:p w:rsidR="62E769FC" w:rsidP="62E769FC" w:rsidRDefault="62E769FC" w14:paraId="690FAAFF" w14:textId="77777777">
            <w:pPr>
              <w:pStyle w:val="BodyText"/>
              <w:rPr>
                <w:rFonts w:cs="Arial" w:asciiTheme="minorHAnsi" w:hAnsiTheme="minorHAnsi"/>
                <w:b/>
                <w:bCs/>
                <w:sz w:val="20"/>
              </w:rPr>
            </w:pPr>
            <w:r w:rsidRPr="62E769FC">
              <w:rPr>
                <w:rFonts w:cs="Arial" w:asciiTheme="minorHAnsi" w:hAnsiTheme="minorHAnsi"/>
                <w:b/>
                <w:bCs/>
                <w:sz w:val="20"/>
              </w:rPr>
              <w:t xml:space="preserve">Presentation </w:t>
            </w:r>
          </w:p>
        </w:tc>
        <w:tc>
          <w:tcPr>
            <w:tcW w:w="7938" w:type="dxa"/>
          </w:tcPr>
          <w:p w:rsidR="62E769FC" w:rsidP="30CD2787" w:rsidRDefault="13E208C3" w14:paraId="036CD2A3" w14:textId="61838039">
            <w:pPr>
              <w:pStyle w:val="BodyText"/>
              <w:rPr>
                <w:rFonts w:cs="Arial" w:asciiTheme="minorHAnsi" w:hAnsiTheme="minorHAnsi"/>
                <w:sz w:val="20"/>
              </w:rPr>
            </w:pPr>
            <w:r w:rsidRPr="30CD2787">
              <w:rPr>
                <w:rFonts w:cs="Arial" w:asciiTheme="minorHAnsi" w:hAnsiTheme="minorHAnsi"/>
                <w:b/>
                <w:bCs/>
                <w:sz w:val="20"/>
              </w:rPr>
              <w:t>IV</w:t>
            </w:r>
          </w:p>
          <w:p w:rsidR="62E769FC" w:rsidP="62E769FC" w:rsidRDefault="13E208C3" w14:paraId="251556CE" w14:textId="5AFF531D">
            <w:pPr>
              <w:pStyle w:val="BodyText"/>
            </w:pPr>
            <w:r w:rsidRPr="30CD2787">
              <w:rPr>
                <w:rFonts w:cs="Arial" w:asciiTheme="minorHAnsi" w:hAnsiTheme="minorHAnsi"/>
                <w:sz w:val="20"/>
              </w:rPr>
              <w:t xml:space="preserve">500mg/100mg vial (500 mg of amoxicillin and 100 mg of clavulanic acid) [5:1 ratio], </w:t>
            </w:r>
          </w:p>
          <w:p w:rsidR="62E769FC" w:rsidP="62E769FC" w:rsidRDefault="13E208C3" w14:paraId="249FE028" w14:textId="7B3F9F37">
            <w:pPr>
              <w:pStyle w:val="BodyText"/>
            </w:pPr>
            <w:r w:rsidRPr="30CD2787">
              <w:rPr>
                <w:rFonts w:cs="Arial" w:asciiTheme="minorHAnsi" w:hAnsiTheme="minorHAnsi"/>
                <w:sz w:val="20"/>
              </w:rPr>
              <w:t xml:space="preserve">1000mg/200mg vial (1000 mg of amoxicillin and 200 mg of clavulanic acid) [5:1 ratio]., </w:t>
            </w:r>
          </w:p>
          <w:p w:rsidR="62E769FC" w:rsidP="62E769FC" w:rsidRDefault="13E208C3" w14:paraId="435CAA97" w14:textId="1CEE337A">
            <w:pPr>
              <w:pStyle w:val="BodyText"/>
            </w:pPr>
            <w:r w:rsidRPr="30CD2787">
              <w:rPr>
                <w:rFonts w:cs="Arial" w:asciiTheme="minorHAnsi" w:hAnsiTheme="minorHAnsi"/>
                <w:sz w:val="20"/>
              </w:rPr>
              <w:t>Vials containing alternative ratios have not been included in this formulary.</w:t>
            </w:r>
          </w:p>
          <w:p w:rsidR="62E769FC" w:rsidP="30CD2787" w:rsidRDefault="13E208C3" w14:paraId="0F8B97E1" w14:textId="7E0E08E4">
            <w:pPr>
              <w:pStyle w:val="BodyText"/>
              <w:rPr>
                <w:rFonts w:cs="Arial" w:asciiTheme="minorHAnsi" w:hAnsiTheme="minorHAnsi"/>
                <w:b/>
                <w:bCs/>
                <w:sz w:val="20"/>
              </w:rPr>
            </w:pPr>
            <w:r w:rsidRPr="30CD2787">
              <w:rPr>
                <w:rFonts w:cs="Arial" w:asciiTheme="minorHAnsi" w:hAnsiTheme="minorHAnsi"/>
                <w:b/>
                <w:bCs/>
                <w:sz w:val="20"/>
              </w:rPr>
              <w:t>Oral</w:t>
            </w:r>
          </w:p>
          <w:p w:rsidR="62E769FC" w:rsidP="62E769FC" w:rsidRDefault="13E208C3" w14:paraId="001A6FC6" w14:textId="576F540D">
            <w:pPr>
              <w:pStyle w:val="BodyText"/>
            </w:pPr>
            <w:r w:rsidRPr="30CD2787">
              <w:rPr>
                <w:rFonts w:cs="Arial" w:asciiTheme="minorHAnsi" w:hAnsiTheme="minorHAnsi"/>
                <w:sz w:val="20"/>
              </w:rPr>
              <w:t>Reconstituted suspension (125 mg amoxicillin and 31.25 mg clavulanate per 5 mL) [4:1 ratio].</w:t>
            </w:r>
          </w:p>
          <w:p w:rsidR="62E769FC" w:rsidP="30CD2787" w:rsidRDefault="62E769FC" w14:paraId="2507779E" w14:textId="07A9586A">
            <w:pPr>
              <w:pStyle w:val="BodyText"/>
              <w:rPr>
                <w:rFonts w:cs="Arial" w:asciiTheme="minorHAnsi" w:hAnsiTheme="minorHAnsi"/>
                <w:sz w:val="20"/>
              </w:rPr>
            </w:pPr>
          </w:p>
        </w:tc>
      </w:tr>
      <w:tr w:rsidR="00273A16" w:rsidTr="77BEE3D0" w14:paraId="61E53FF0" w14:textId="77777777">
        <w:trPr>
          <w:trHeight w:val="70"/>
        </w:trPr>
        <w:tc>
          <w:tcPr>
            <w:tcW w:w="1986" w:type="dxa"/>
          </w:tcPr>
          <w:p w:rsidR="62E769FC" w:rsidP="62E769FC" w:rsidRDefault="62E769FC" w14:paraId="1F3260C0" w14:textId="77777777">
            <w:pPr>
              <w:pStyle w:val="BodyText"/>
              <w:rPr>
                <w:rFonts w:cs="Arial" w:asciiTheme="minorHAnsi" w:hAnsiTheme="minorHAnsi"/>
                <w:b/>
                <w:bCs/>
                <w:sz w:val="20"/>
              </w:rPr>
            </w:pPr>
            <w:r w:rsidRPr="62E769FC">
              <w:rPr>
                <w:rFonts w:cs="Arial" w:asciiTheme="minorHAnsi" w:hAnsiTheme="minorHAnsi"/>
                <w:b/>
                <w:bCs/>
                <w:sz w:val="20"/>
              </w:rPr>
              <w:t xml:space="preserve">Dosage/Interval                           </w:t>
            </w:r>
          </w:p>
        </w:tc>
        <w:tc>
          <w:tcPr>
            <w:tcW w:w="7938" w:type="dxa"/>
          </w:tcPr>
          <w:p w:rsidR="62E769FC" w:rsidP="30CD2787" w:rsidRDefault="3F3999EE" w14:paraId="2A58E343" w14:textId="2E09EC0B">
            <w:pPr>
              <w:pStyle w:val="BodyText"/>
              <w:rPr>
                <w:rFonts w:asciiTheme="minorHAnsi" w:hAnsiTheme="minorHAnsi"/>
                <w:b/>
                <w:bCs/>
                <w:sz w:val="20"/>
              </w:rPr>
            </w:pPr>
            <w:r w:rsidRPr="30CD2787">
              <w:rPr>
                <w:rFonts w:asciiTheme="minorHAnsi" w:hAnsiTheme="minorHAnsi"/>
                <w:b/>
                <w:bCs/>
                <w:sz w:val="20"/>
              </w:rPr>
              <w:t>Doses are based on amoxicillin component</w:t>
            </w:r>
          </w:p>
          <w:p w:rsidR="62E769FC" w:rsidP="30CD2787" w:rsidRDefault="3F3999EE" w14:paraId="5F8B9C46" w14:textId="146850EA">
            <w:pPr>
              <w:pStyle w:val="BodyText"/>
              <w:rPr>
                <w:rFonts w:asciiTheme="minorHAnsi" w:hAnsiTheme="minorHAnsi"/>
                <w:b/>
                <w:bCs/>
                <w:sz w:val="20"/>
              </w:rPr>
            </w:pPr>
            <w:r w:rsidRPr="30CD2787">
              <w:rPr>
                <w:rFonts w:asciiTheme="minorHAnsi" w:hAnsiTheme="minorHAnsi"/>
                <w:b/>
                <w:bCs/>
                <w:sz w:val="20"/>
              </w:rPr>
              <w:t>IV:</w:t>
            </w:r>
          </w:p>
          <w:p w:rsidR="62E769FC" w:rsidP="62E769FC" w:rsidRDefault="3F3999EE" w14:paraId="6F207526" w14:textId="26F14095">
            <w:pPr>
              <w:pStyle w:val="BodyText"/>
            </w:pPr>
            <w:r w:rsidRPr="30CD2787">
              <w:rPr>
                <w:rFonts w:asciiTheme="minorHAnsi" w:hAnsiTheme="minorHAnsi"/>
                <w:sz w:val="20"/>
              </w:rPr>
              <w:t>25 mg (of amoxicillin component)/kg/dose, 12 hourly. [1-4]</w:t>
            </w:r>
          </w:p>
          <w:p w:rsidR="62E769FC" w:rsidP="30CD2787" w:rsidRDefault="3F3999EE" w14:paraId="1264DA12" w14:textId="0A75DE0B">
            <w:pPr>
              <w:pStyle w:val="BodyText"/>
              <w:rPr>
                <w:rFonts w:asciiTheme="minorHAnsi" w:hAnsiTheme="minorHAnsi"/>
                <w:b/>
                <w:bCs/>
                <w:sz w:val="20"/>
              </w:rPr>
            </w:pPr>
            <w:r w:rsidRPr="30CD2787">
              <w:rPr>
                <w:rFonts w:asciiTheme="minorHAnsi" w:hAnsiTheme="minorHAnsi"/>
                <w:b/>
                <w:bCs/>
                <w:sz w:val="20"/>
              </w:rPr>
              <w:t>Oral:</w:t>
            </w:r>
          </w:p>
          <w:p w:rsidR="62E769FC" w:rsidP="62E769FC" w:rsidRDefault="3F3999EE" w14:paraId="0CF1F511" w14:textId="2976DADC">
            <w:pPr>
              <w:pStyle w:val="BodyText"/>
            </w:pPr>
            <w:r w:rsidRPr="30CD2787">
              <w:rPr>
                <w:rFonts w:asciiTheme="minorHAnsi" w:hAnsiTheme="minorHAnsi"/>
                <w:sz w:val="20"/>
              </w:rPr>
              <w:t>15-20 mg (of amoxicillin component)/kg/dose, 12 hourly. [5]</w:t>
            </w:r>
          </w:p>
          <w:p w:rsidR="62E769FC" w:rsidP="30CD2787" w:rsidRDefault="62E769FC" w14:paraId="374B2E03" w14:textId="2F17A55E">
            <w:pPr>
              <w:pStyle w:val="BodyText"/>
              <w:rPr>
                <w:rFonts w:asciiTheme="minorHAnsi" w:hAnsiTheme="minorHAnsi"/>
                <w:sz w:val="20"/>
              </w:rPr>
            </w:pPr>
          </w:p>
        </w:tc>
      </w:tr>
      <w:tr w:rsidR="00273A16" w:rsidTr="77BEE3D0" w14:paraId="407C6621" w14:textId="77777777">
        <w:trPr>
          <w:trHeight w:val="182"/>
        </w:trPr>
        <w:tc>
          <w:tcPr>
            <w:tcW w:w="1986" w:type="dxa"/>
          </w:tcPr>
          <w:p w:rsidR="62E769FC" w:rsidP="30CD2787" w:rsidRDefault="21958D8D" w14:paraId="7160AD01" w14:textId="7E373E52">
            <w:pPr>
              <w:pStyle w:val="BodyText"/>
              <w:rPr>
                <w:rFonts w:asciiTheme="minorHAnsi" w:hAnsiTheme="minorHAnsi"/>
                <w:b/>
                <w:bCs/>
                <w:sz w:val="20"/>
              </w:rPr>
            </w:pPr>
            <w:r w:rsidRPr="30CD2787">
              <w:rPr>
                <w:rFonts w:asciiTheme="minorHAnsi" w:hAnsiTheme="minorHAnsi"/>
                <w:b/>
                <w:bCs/>
                <w:sz w:val="20"/>
              </w:rPr>
              <w:t>Dose adjustment</w:t>
            </w:r>
          </w:p>
        </w:tc>
        <w:tc>
          <w:tcPr>
            <w:tcW w:w="7938" w:type="dxa"/>
          </w:tcPr>
          <w:p w:rsidR="62E769FC" w:rsidP="30CD2787" w:rsidRDefault="28E24B27" w14:paraId="195CEEE7" w14:textId="34379228">
            <w:pPr>
              <w:pStyle w:val="BodyText"/>
              <w:rPr>
                <w:rFonts w:asciiTheme="minorHAnsi" w:hAnsiTheme="minorHAnsi"/>
                <w:sz w:val="20"/>
              </w:rPr>
            </w:pPr>
            <w:r w:rsidRPr="30CD2787">
              <w:rPr>
                <w:rFonts w:asciiTheme="minorHAnsi" w:hAnsiTheme="minorHAnsi"/>
                <w:sz w:val="20"/>
              </w:rPr>
              <w:t>Therapeutic hypothermia: Insufficient information to recommend any specific dose adjustment. ECMO: 25 to 50 mg/kg every 6 hours in paediatric intensive care patients after cardiac surgery may not, be adequate. Renal impairment: Consider alternate antibiotic in moderate to severe renal impairment. Hepatic: No dose adjustment required. Monitor hepatic function closely. [3]</w:t>
            </w:r>
          </w:p>
          <w:p w:rsidR="62E769FC" w:rsidP="30CD2787" w:rsidRDefault="62E769FC" w14:paraId="49E229D2" w14:textId="27E8B465">
            <w:pPr>
              <w:pStyle w:val="BodyText"/>
              <w:rPr>
                <w:rFonts w:asciiTheme="minorHAnsi" w:hAnsiTheme="minorHAnsi"/>
                <w:sz w:val="20"/>
              </w:rPr>
            </w:pPr>
          </w:p>
        </w:tc>
      </w:tr>
      <w:tr w:rsidR="00273A16" w:rsidTr="77BEE3D0" w14:paraId="0084BCAE" w14:textId="77777777">
        <w:trPr>
          <w:trHeight w:val="182"/>
        </w:trPr>
        <w:tc>
          <w:tcPr>
            <w:tcW w:w="1983" w:type="dxa"/>
          </w:tcPr>
          <w:p w:rsidR="21958D8D" w:rsidP="30CD2787" w:rsidRDefault="21958D8D" w14:paraId="3A84E034" w14:textId="733E541C">
            <w:pPr>
              <w:pStyle w:val="BodyText"/>
              <w:rPr>
                <w:rFonts w:asciiTheme="minorHAnsi" w:hAnsiTheme="minorHAnsi"/>
                <w:b/>
                <w:bCs/>
                <w:sz w:val="20"/>
              </w:rPr>
            </w:pPr>
            <w:r w:rsidRPr="30CD2787">
              <w:rPr>
                <w:rFonts w:asciiTheme="minorHAnsi" w:hAnsiTheme="minorHAnsi"/>
                <w:b/>
                <w:bCs/>
                <w:sz w:val="20"/>
              </w:rPr>
              <w:t>Maximum daily dose</w:t>
            </w:r>
          </w:p>
        </w:tc>
        <w:tc>
          <w:tcPr>
            <w:tcW w:w="7351" w:type="dxa"/>
          </w:tcPr>
          <w:p w:rsidR="40EB7A86" w:rsidP="30CD2787" w:rsidRDefault="40EB7A86" w14:paraId="7DE54243" w14:textId="5CA71249">
            <w:pPr>
              <w:pStyle w:val="BodyText"/>
              <w:rPr>
                <w:rFonts w:asciiTheme="minorHAnsi" w:hAnsiTheme="minorHAnsi"/>
                <w:sz w:val="20"/>
              </w:rPr>
            </w:pPr>
            <w:r w:rsidRPr="30CD2787">
              <w:rPr>
                <w:rFonts w:asciiTheme="minorHAnsi" w:hAnsiTheme="minorHAnsi"/>
                <w:sz w:val="20"/>
              </w:rPr>
              <w:t>ORAL –90 mg/kg/day.</w:t>
            </w:r>
          </w:p>
        </w:tc>
      </w:tr>
      <w:tr w:rsidR="00273A16" w:rsidTr="77BEE3D0" w14:paraId="394605D9" w14:textId="77777777">
        <w:trPr>
          <w:trHeight w:val="126"/>
        </w:trPr>
        <w:tc>
          <w:tcPr>
            <w:tcW w:w="1986" w:type="dxa"/>
          </w:tcPr>
          <w:p w:rsidR="62E769FC" w:rsidP="62E769FC" w:rsidRDefault="62E769FC" w14:paraId="692B2016" w14:textId="77777777">
            <w:pPr>
              <w:pStyle w:val="BodyText"/>
              <w:rPr>
                <w:rFonts w:cs="Arial" w:asciiTheme="minorHAnsi" w:hAnsiTheme="minorHAnsi"/>
                <w:b/>
                <w:bCs/>
                <w:sz w:val="20"/>
              </w:rPr>
            </w:pPr>
            <w:r w:rsidRPr="62E769FC">
              <w:rPr>
                <w:rFonts w:cs="Arial" w:asciiTheme="minorHAnsi" w:hAnsiTheme="minorHAnsi"/>
                <w:b/>
                <w:bCs/>
                <w:sz w:val="20"/>
              </w:rPr>
              <w:lastRenderedPageBreak/>
              <w:t xml:space="preserve">Route                               </w:t>
            </w:r>
          </w:p>
        </w:tc>
        <w:tc>
          <w:tcPr>
            <w:tcW w:w="7938" w:type="dxa"/>
          </w:tcPr>
          <w:p w:rsidR="62E769FC" w:rsidP="30CD2787" w:rsidRDefault="48C77515" w14:paraId="2E4B2CE8" w14:textId="4F751B53">
            <w:pPr>
              <w:pStyle w:val="BodyText"/>
              <w:rPr>
                <w:rFonts w:cs="Arial" w:asciiTheme="minorHAnsi" w:hAnsiTheme="minorHAnsi"/>
                <w:sz w:val="20"/>
              </w:rPr>
            </w:pPr>
            <w:r w:rsidRPr="30CD2787">
              <w:rPr>
                <w:rFonts w:cs="Arial" w:asciiTheme="minorHAnsi" w:hAnsiTheme="minorHAnsi"/>
                <w:sz w:val="20"/>
              </w:rPr>
              <w:t>IV</w:t>
            </w:r>
          </w:p>
          <w:p w:rsidR="62E769FC" w:rsidP="62E769FC" w:rsidRDefault="48C77515" w14:paraId="027A1C61" w14:textId="005D8050">
            <w:pPr>
              <w:pStyle w:val="BodyText"/>
            </w:pPr>
            <w:r w:rsidRPr="30CD2787">
              <w:rPr>
                <w:rFonts w:cs="Arial" w:asciiTheme="minorHAnsi" w:hAnsiTheme="minorHAnsi"/>
                <w:sz w:val="20"/>
              </w:rPr>
              <w:t>Oral</w:t>
            </w:r>
          </w:p>
          <w:p w:rsidR="62E769FC" w:rsidP="30CD2787" w:rsidRDefault="62E769FC" w14:paraId="0F6E4647" w14:textId="30A308C6">
            <w:pPr>
              <w:pStyle w:val="BodyText"/>
              <w:rPr>
                <w:rFonts w:cs="Arial" w:asciiTheme="minorHAnsi" w:hAnsiTheme="minorHAnsi"/>
                <w:sz w:val="20"/>
              </w:rPr>
            </w:pPr>
          </w:p>
        </w:tc>
      </w:tr>
      <w:tr w:rsidR="00273A16" w:rsidTr="77BEE3D0" w14:paraId="31380466" w14:textId="77777777">
        <w:trPr>
          <w:trHeight w:val="70"/>
        </w:trPr>
        <w:tc>
          <w:tcPr>
            <w:tcW w:w="1986" w:type="dxa"/>
          </w:tcPr>
          <w:p w:rsidR="62E769FC" w:rsidP="77BEE3D0" w:rsidRDefault="62735A9F" w14:paraId="1018C9FD" w14:textId="19DBCFD7">
            <w:pPr>
              <w:pStyle w:val="BodyText"/>
              <w:rPr>
                <w:rFonts w:cs="Arial" w:asciiTheme="minorHAnsi" w:hAnsiTheme="minorHAnsi"/>
                <w:b/>
                <w:bCs/>
                <w:sz w:val="20"/>
                <w:highlight w:val="cyan"/>
              </w:rPr>
            </w:pPr>
            <w:r w:rsidRPr="77BEE3D0">
              <w:rPr>
                <w:rFonts w:cs="Arial" w:asciiTheme="minorHAnsi" w:hAnsiTheme="minorHAnsi"/>
                <w:b/>
                <w:bCs/>
                <w:sz w:val="20"/>
              </w:rPr>
              <w:t xml:space="preserve">Preparation/Dilution </w:t>
            </w:r>
          </w:p>
        </w:tc>
        <w:tc>
          <w:tcPr>
            <w:tcW w:w="7938" w:type="dxa"/>
          </w:tcPr>
          <w:p w:rsidR="62E769FC" w:rsidP="30CD2787" w:rsidRDefault="4CF099EC" w14:paraId="56C05979" w14:textId="5A466F44">
            <w:pPr>
              <w:pStyle w:val="BodyText"/>
              <w:rPr>
                <w:rFonts w:asciiTheme="minorHAnsi" w:hAnsiTheme="minorHAnsi"/>
                <w:b/>
                <w:bCs/>
                <w:sz w:val="20"/>
              </w:rPr>
            </w:pPr>
            <w:r w:rsidRPr="30CD2787">
              <w:rPr>
                <w:rFonts w:asciiTheme="minorHAnsi" w:hAnsiTheme="minorHAnsi"/>
                <w:b/>
                <w:bCs/>
                <w:sz w:val="20"/>
              </w:rPr>
              <w:t>IV</w:t>
            </w:r>
          </w:p>
          <w:p w:rsidR="62E769FC" w:rsidP="62E769FC" w:rsidRDefault="4CF099EC" w14:paraId="4E8A8C51" w14:textId="7FDB400C">
            <w:pPr>
              <w:pStyle w:val="BodyText"/>
            </w:pPr>
            <w:r w:rsidRPr="30CD2787">
              <w:rPr>
                <w:rFonts w:asciiTheme="minorHAnsi" w:hAnsiTheme="minorHAnsi"/>
                <w:sz w:val="20"/>
              </w:rPr>
              <w:t xml:space="preserve">Add 9.5 mL of water for injection to the </w:t>
            </w:r>
            <w:r w:rsidRPr="30CD2787">
              <w:rPr>
                <w:rFonts w:asciiTheme="minorHAnsi" w:hAnsiTheme="minorHAnsi"/>
                <w:b/>
                <w:bCs/>
                <w:sz w:val="20"/>
              </w:rPr>
              <w:t>500mg/100 mg vial</w:t>
            </w:r>
            <w:r w:rsidRPr="30CD2787">
              <w:rPr>
                <w:rFonts w:asciiTheme="minorHAnsi" w:hAnsiTheme="minorHAnsi"/>
                <w:sz w:val="20"/>
              </w:rPr>
              <w:t xml:space="preserve"> to make a 50 mg/mL solution OR, </w:t>
            </w:r>
          </w:p>
          <w:p w:rsidR="62E769FC" w:rsidP="62E769FC" w:rsidRDefault="4CF099EC" w14:paraId="7AE547A9" w14:textId="7B3ED61C">
            <w:pPr>
              <w:pStyle w:val="BodyText"/>
            </w:pPr>
            <w:r w:rsidRPr="30CD2787">
              <w:rPr>
                <w:rFonts w:asciiTheme="minorHAnsi" w:hAnsiTheme="minorHAnsi"/>
                <w:sz w:val="20"/>
              </w:rPr>
              <w:t xml:space="preserve">Add 19.1 mL of water for injection to the </w:t>
            </w:r>
            <w:r w:rsidRPr="30CD2787">
              <w:rPr>
                <w:rFonts w:asciiTheme="minorHAnsi" w:hAnsiTheme="minorHAnsi"/>
                <w:b/>
                <w:bCs/>
                <w:sz w:val="20"/>
              </w:rPr>
              <w:t>1000mg/200 mg vial</w:t>
            </w:r>
            <w:r w:rsidRPr="30CD2787">
              <w:rPr>
                <w:rFonts w:asciiTheme="minorHAnsi" w:hAnsiTheme="minorHAnsi"/>
                <w:sz w:val="20"/>
              </w:rPr>
              <w:t xml:space="preserve"> to make a 50 mg/mL solution [6]</w:t>
            </w:r>
          </w:p>
          <w:p w:rsidR="62E769FC" w:rsidP="62E769FC" w:rsidRDefault="4CF099EC" w14:paraId="3B2AC8E3" w14:textId="1D9EC268">
            <w:pPr>
              <w:pStyle w:val="BodyText"/>
            </w:pPr>
            <w:r w:rsidRPr="30CD2787">
              <w:rPr>
                <w:rFonts w:asciiTheme="minorHAnsi" w:hAnsiTheme="minorHAnsi"/>
                <w:b/>
                <w:bCs/>
                <w:sz w:val="20"/>
              </w:rPr>
              <w:t>FURTHER DILUTE</w:t>
            </w:r>
            <w:r w:rsidRPr="30CD2787">
              <w:rPr>
                <w:rFonts w:asciiTheme="minorHAnsi" w:hAnsiTheme="minorHAnsi"/>
                <w:sz w:val="20"/>
              </w:rPr>
              <w:t xml:space="preserve"> </w:t>
            </w:r>
          </w:p>
          <w:p w:rsidR="62E769FC" w:rsidP="62E769FC" w:rsidRDefault="4CF099EC" w14:paraId="55B25DFE" w14:textId="357EE50E">
            <w:pPr>
              <w:pStyle w:val="BodyText"/>
            </w:pPr>
            <w:r w:rsidRPr="30CD2787">
              <w:rPr>
                <w:rFonts w:asciiTheme="minorHAnsi" w:hAnsiTheme="minorHAnsi"/>
                <w:sz w:val="20"/>
              </w:rPr>
              <w:t>Draw up 3 mL (150mg of amoxicillin equivalent) of the above solution and add 12 mL of sodium, chloride 0.9% to make a final volume of 15 mL with a final concentration of 10 mg/mL. [6]</w:t>
            </w:r>
          </w:p>
          <w:p w:rsidR="62E769FC" w:rsidP="30CD2787" w:rsidRDefault="4CF099EC" w14:paraId="69635544" w14:textId="49B4DD87">
            <w:pPr>
              <w:pStyle w:val="BodyText"/>
              <w:rPr>
                <w:rFonts w:asciiTheme="minorHAnsi" w:hAnsiTheme="minorHAnsi"/>
                <w:sz w:val="20"/>
              </w:rPr>
            </w:pPr>
            <w:r w:rsidRPr="30CD2787">
              <w:rPr>
                <w:rFonts w:asciiTheme="minorHAnsi" w:hAnsiTheme="minorHAnsi"/>
                <w:b/>
                <w:bCs/>
                <w:sz w:val="20"/>
              </w:rPr>
              <w:t>ORAL</w:t>
            </w:r>
          </w:p>
          <w:p w:rsidR="62E769FC" w:rsidP="62E769FC" w:rsidRDefault="4CF099EC" w14:paraId="0874812D" w14:textId="14C4ED9F">
            <w:pPr>
              <w:pStyle w:val="BodyText"/>
            </w:pPr>
            <w:r w:rsidRPr="30CD2787">
              <w:rPr>
                <w:rFonts w:asciiTheme="minorHAnsi" w:hAnsiTheme="minorHAnsi"/>
                <w:sz w:val="20"/>
              </w:rPr>
              <w:t>Reconstitute powder for oral suspension with 71 mL of water for irrigation and shake vigorously until,</w:t>
            </w:r>
            <w:r w:rsidRPr="30CD2787" w:rsidR="14961488">
              <w:rPr>
                <w:rFonts w:asciiTheme="minorHAnsi" w:hAnsiTheme="minorHAnsi"/>
                <w:sz w:val="20"/>
              </w:rPr>
              <w:t xml:space="preserve"> </w:t>
            </w:r>
            <w:r w:rsidRPr="30CD2787">
              <w:rPr>
                <w:rFonts w:asciiTheme="minorHAnsi" w:hAnsiTheme="minorHAnsi"/>
                <w:sz w:val="20"/>
              </w:rPr>
              <w:t>suspended to make a final volume of 75 mL with a final concentration of 25 mg/mL amoxicillin, equivalent</w:t>
            </w:r>
          </w:p>
          <w:p w:rsidR="62E769FC" w:rsidP="30CD2787" w:rsidRDefault="62E769FC" w14:paraId="7F8BF42D" w14:textId="2B1663A5">
            <w:pPr>
              <w:pStyle w:val="BodyText"/>
              <w:rPr>
                <w:rFonts w:asciiTheme="minorHAnsi" w:hAnsiTheme="minorHAnsi"/>
                <w:sz w:val="20"/>
              </w:rPr>
            </w:pPr>
          </w:p>
        </w:tc>
      </w:tr>
      <w:tr w:rsidR="00E424B4" w:rsidTr="77BEE3D0" w14:paraId="70A1E528" w14:textId="77777777">
        <w:trPr>
          <w:trHeight w:val="180"/>
        </w:trPr>
        <w:tc>
          <w:tcPr>
            <w:tcW w:w="1986" w:type="dxa"/>
          </w:tcPr>
          <w:p w:rsidR="62E769FC" w:rsidP="62E769FC" w:rsidRDefault="62E769FC" w14:paraId="7384751B" w14:textId="77777777">
            <w:pPr>
              <w:pStyle w:val="BodyText"/>
              <w:rPr>
                <w:rFonts w:cs="Arial" w:asciiTheme="minorHAnsi" w:hAnsiTheme="minorHAnsi"/>
                <w:b/>
                <w:bCs/>
                <w:sz w:val="20"/>
              </w:rPr>
            </w:pPr>
            <w:r w:rsidRPr="62E769FC">
              <w:rPr>
                <w:rFonts w:cs="Arial" w:asciiTheme="minorHAnsi" w:hAnsiTheme="minorHAnsi"/>
                <w:b/>
                <w:bCs/>
                <w:sz w:val="20"/>
              </w:rPr>
              <w:t xml:space="preserve">Administration                </w:t>
            </w:r>
          </w:p>
        </w:tc>
        <w:tc>
          <w:tcPr>
            <w:tcW w:w="7938" w:type="dxa"/>
            <w:vAlign w:val="center"/>
          </w:tcPr>
          <w:p w:rsidR="62E769FC" w:rsidP="30CD2787" w:rsidRDefault="1B0CC743" w14:paraId="032FE21D" w14:textId="6883839C">
            <w:pPr>
              <w:pStyle w:val="BodyText"/>
              <w:rPr>
                <w:rFonts w:cs="Arial" w:asciiTheme="minorHAnsi" w:hAnsiTheme="minorHAnsi"/>
                <w:sz w:val="20"/>
              </w:rPr>
            </w:pPr>
            <w:r w:rsidRPr="30CD2787">
              <w:rPr>
                <w:rFonts w:cs="Arial" w:asciiTheme="minorHAnsi" w:hAnsiTheme="minorHAnsi"/>
                <w:b/>
                <w:bCs/>
                <w:sz w:val="20"/>
              </w:rPr>
              <w:t>IV infusion:</w:t>
            </w:r>
            <w:r w:rsidRPr="30CD2787">
              <w:rPr>
                <w:rFonts w:cs="Arial" w:asciiTheme="minorHAnsi" w:hAnsiTheme="minorHAnsi"/>
                <w:sz w:val="20"/>
              </w:rPr>
              <w:t xml:space="preserve"> over 30 to 40 minutes. [4], </w:t>
            </w:r>
          </w:p>
          <w:p w:rsidR="62E769FC" w:rsidP="30CD2787" w:rsidRDefault="1B0CC743" w14:paraId="4F7C289A" w14:textId="7E76E86B">
            <w:pPr>
              <w:pStyle w:val="BodyText"/>
              <w:rPr>
                <w:rFonts w:cs="Arial" w:asciiTheme="minorHAnsi" w:hAnsiTheme="minorHAnsi"/>
                <w:sz w:val="20"/>
              </w:rPr>
            </w:pPr>
            <w:r w:rsidRPr="30CD2787">
              <w:rPr>
                <w:rFonts w:cs="Arial" w:asciiTheme="minorHAnsi" w:hAnsiTheme="minorHAnsi"/>
                <w:b/>
                <w:bCs/>
                <w:sz w:val="20"/>
              </w:rPr>
              <w:t>Oral:</w:t>
            </w:r>
            <w:r w:rsidRPr="30CD2787">
              <w:rPr>
                <w:rFonts w:cs="Arial" w:asciiTheme="minorHAnsi" w:hAnsiTheme="minorHAnsi"/>
                <w:sz w:val="20"/>
              </w:rPr>
              <w:t xml:space="preserve"> Administer at the start of a feed (to increase absorption and decrease stomach upset); administer, around-the-clock to promote less variation in peak and trough serum levels. Shake suspension well,</w:t>
            </w:r>
            <w:r w:rsidRPr="30CD2787" w:rsidR="4C15A52B">
              <w:rPr>
                <w:rFonts w:cs="Arial" w:asciiTheme="minorHAnsi" w:hAnsiTheme="minorHAnsi"/>
                <w:sz w:val="20"/>
              </w:rPr>
              <w:t xml:space="preserve"> </w:t>
            </w:r>
            <w:r w:rsidRPr="30CD2787">
              <w:rPr>
                <w:rFonts w:cs="Arial" w:asciiTheme="minorHAnsi" w:hAnsiTheme="minorHAnsi"/>
                <w:sz w:val="20"/>
              </w:rPr>
              <w:t>before measuring the dose. The dose may be mixed with milk. After mixing, administer immediately.</w:t>
            </w:r>
          </w:p>
          <w:p w:rsidR="62E769FC" w:rsidP="30CD2787" w:rsidRDefault="62E769FC" w14:paraId="2B0A5182" w14:textId="6D47EE9D">
            <w:pPr>
              <w:pStyle w:val="BodyText"/>
              <w:rPr>
                <w:rFonts w:cs="Arial" w:asciiTheme="minorHAnsi" w:hAnsiTheme="minorHAnsi"/>
                <w:sz w:val="20"/>
                <w:vertAlign w:val="superscript"/>
              </w:rPr>
            </w:pPr>
          </w:p>
        </w:tc>
      </w:tr>
      <w:tr w:rsidR="00273A16" w:rsidTr="77BEE3D0" w14:paraId="1B3B6A0F" w14:textId="77777777">
        <w:trPr>
          <w:trHeight w:val="221"/>
        </w:trPr>
        <w:tc>
          <w:tcPr>
            <w:tcW w:w="1986" w:type="dxa"/>
          </w:tcPr>
          <w:p w:rsidR="62E769FC" w:rsidP="62E769FC" w:rsidRDefault="62E769FC" w14:paraId="5C0111C1" w14:textId="77777777">
            <w:pPr>
              <w:pStyle w:val="BodyText"/>
              <w:rPr>
                <w:rFonts w:cs="Arial" w:asciiTheme="minorHAnsi" w:hAnsiTheme="minorHAnsi"/>
                <w:b/>
                <w:bCs/>
                <w:sz w:val="20"/>
              </w:rPr>
            </w:pPr>
            <w:r w:rsidRPr="62E769FC">
              <w:rPr>
                <w:rFonts w:cs="Arial" w:asciiTheme="minorHAnsi" w:hAnsiTheme="minorHAnsi"/>
                <w:b/>
                <w:bCs/>
                <w:sz w:val="20"/>
              </w:rPr>
              <w:t xml:space="preserve">Monitoring                              </w:t>
            </w:r>
          </w:p>
        </w:tc>
        <w:tc>
          <w:tcPr>
            <w:tcW w:w="7938" w:type="dxa"/>
          </w:tcPr>
          <w:p w:rsidR="62E769FC" w:rsidP="30CD2787" w:rsidRDefault="703DF133" w14:paraId="65955626" w14:textId="46FBFAA8">
            <w:pPr>
              <w:pStyle w:val="BodyText"/>
              <w:rPr>
                <w:rFonts w:cs="Arial" w:asciiTheme="minorHAnsi" w:hAnsiTheme="minorHAnsi"/>
                <w:sz w:val="20"/>
              </w:rPr>
            </w:pPr>
            <w:r w:rsidRPr="30CD2787">
              <w:rPr>
                <w:rFonts w:cs="Arial" w:asciiTheme="minorHAnsi" w:hAnsiTheme="minorHAnsi"/>
                <w:sz w:val="20"/>
              </w:rPr>
              <w:t>Renal and hepatic function, full blood count if on prolonged therapy.</w:t>
            </w:r>
          </w:p>
        </w:tc>
      </w:tr>
      <w:tr w:rsidR="00273A16" w:rsidTr="77BEE3D0" w14:paraId="699E4441" w14:textId="77777777">
        <w:trPr>
          <w:trHeight w:val="121"/>
        </w:trPr>
        <w:tc>
          <w:tcPr>
            <w:tcW w:w="1986" w:type="dxa"/>
          </w:tcPr>
          <w:p w:rsidR="62E769FC" w:rsidP="62E769FC" w:rsidRDefault="62E769FC" w14:paraId="564EBA80" w14:textId="77777777">
            <w:pPr>
              <w:pStyle w:val="BodyText"/>
              <w:rPr>
                <w:rFonts w:cs="Arial" w:asciiTheme="minorHAnsi" w:hAnsiTheme="minorHAnsi"/>
                <w:b/>
                <w:bCs/>
                <w:sz w:val="20"/>
              </w:rPr>
            </w:pPr>
            <w:r w:rsidRPr="62E769FC">
              <w:rPr>
                <w:rFonts w:cs="Arial" w:asciiTheme="minorHAnsi" w:hAnsiTheme="minorHAnsi"/>
                <w:b/>
                <w:bCs/>
                <w:sz w:val="20"/>
              </w:rPr>
              <w:t xml:space="preserve">Contraindications                        </w:t>
            </w:r>
          </w:p>
        </w:tc>
        <w:tc>
          <w:tcPr>
            <w:tcW w:w="7938" w:type="dxa"/>
          </w:tcPr>
          <w:p w:rsidR="62E769FC" w:rsidP="30CD2787" w:rsidRDefault="2BCF59F9" w14:paraId="58910B51" w14:textId="5077E259">
            <w:pPr>
              <w:pStyle w:val="BodyText"/>
              <w:rPr>
                <w:rFonts w:asciiTheme="minorHAnsi" w:hAnsiTheme="minorHAnsi"/>
                <w:sz w:val="20"/>
              </w:rPr>
            </w:pPr>
            <w:r w:rsidRPr="30CD2787">
              <w:rPr>
                <w:rFonts w:asciiTheme="minorHAnsi" w:hAnsiTheme="minorHAnsi"/>
                <w:sz w:val="20"/>
              </w:rPr>
              <w:t>Hypersensitivity to penicillins, cephalosporins and carbapenems. Previous history of jaundice/hepatic dysfunction associated with the combination or amoxicillin or, clavulanic acid. Severe renal impairment (creatinine clearance less than 30 mL/minute).</w:t>
            </w:r>
          </w:p>
          <w:p w:rsidR="62E769FC" w:rsidP="62E769FC" w:rsidRDefault="2BCF59F9" w14:paraId="24AE2469" w14:textId="715885F7">
            <w:pPr>
              <w:pStyle w:val="BodyText"/>
            </w:pPr>
            <w:r w:rsidRPr="30CD2787">
              <w:rPr>
                <w:rFonts w:asciiTheme="minorHAnsi" w:hAnsiTheme="minorHAnsi"/>
                <w:sz w:val="20"/>
              </w:rPr>
              <w:t>Note: infants &lt;7 days, very preterm infants and sick infants frequently have a creatinine clearance &lt;30, mL/minute.</w:t>
            </w:r>
          </w:p>
          <w:p w:rsidR="62E769FC" w:rsidP="30CD2787" w:rsidRDefault="62E769FC" w14:paraId="7ACAFF35" w14:textId="68A1A753">
            <w:pPr>
              <w:pStyle w:val="BodyText"/>
              <w:rPr>
                <w:rFonts w:asciiTheme="minorHAnsi" w:hAnsiTheme="minorHAnsi"/>
                <w:sz w:val="20"/>
              </w:rPr>
            </w:pPr>
          </w:p>
        </w:tc>
      </w:tr>
      <w:tr w:rsidR="00273A16" w:rsidTr="77BEE3D0" w14:paraId="6BBCAF55" w14:textId="77777777">
        <w:tc>
          <w:tcPr>
            <w:tcW w:w="1986" w:type="dxa"/>
          </w:tcPr>
          <w:p w:rsidR="62E769FC" w:rsidP="62E769FC" w:rsidRDefault="62E769FC" w14:paraId="15131A21" w14:textId="49338CE8">
            <w:pPr>
              <w:pStyle w:val="BodyText"/>
              <w:rPr>
                <w:rFonts w:cs="Arial" w:asciiTheme="minorHAnsi" w:hAnsiTheme="minorHAnsi"/>
                <w:b/>
                <w:bCs/>
                <w:sz w:val="20"/>
              </w:rPr>
            </w:pPr>
            <w:r w:rsidRPr="62E769FC">
              <w:rPr>
                <w:rFonts w:cs="Arial" w:asciiTheme="minorHAnsi" w:hAnsiTheme="minorHAnsi"/>
                <w:b/>
                <w:bCs/>
                <w:sz w:val="20"/>
              </w:rPr>
              <w:t>Precautions</w:t>
            </w:r>
          </w:p>
        </w:tc>
        <w:tc>
          <w:tcPr>
            <w:tcW w:w="7938" w:type="dxa"/>
          </w:tcPr>
          <w:p w:rsidR="62E769FC" w:rsidP="30CD2787" w:rsidRDefault="38ED5011" w14:paraId="18A48C03" w14:textId="3411D300">
            <w:pPr>
              <w:pStyle w:val="BodyText"/>
              <w:rPr>
                <w:rFonts w:cs="Arial" w:asciiTheme="minorHAnsi" w:hAnsiTheme="minorHAnsi"/>
                <w:sz w:val="20"/>
              </w:rPr>
            </w:pPr>
            <w:r w:rsidRPr="30CD2787">
              <w:rPr>
                <w:rFonts w:cs="Arial" w:asciiTheme="minorHAnsi" w:hAnsiTheme="minorHAnsi"/>
                <w:sz w:val="20"/>
              </w:rPr>
              <w:t>In moderate renal impairment: increase the dosing interval and maintain adequate fluid intake, especially with IV doses, to reduce the possibility of amoxicillin crystalluria.</w:t>
            </w:r>
          </w:p>
          <w:p w:rsidR="62E769FC" w:rsidP="62E769FC" w:rsidRDefault="38ED5011" w14:paraId="5FB4BB40" w14:textId="18570920">
            <w:pPr>
              <w:pStyle w:val="BodyText"/>
            </w:pPr>
            <w:r w:rsidRPr="30CD2787">
              <w:rPr>
                <w:rFonts w:cs="Arial" w:asciiTheme="minorHAnsi" w:hAnsiTheme="minorHAnsi"/>
                <w:sz w:val="20"/>
              </w:rPr>
              <w:t>Hepatic dysfunction: monitor liver function tests. Concurrent use in CMV infection increases risk of rash.</w:t>
            </w:r>
          </w:p>
          <w:p w:rsidR="62E769FC" w:rsidP="62E769FC" w:rsidRDefault="38ED5011" w14:paraId="1779C083" w14:textId="56047272">
            <w:pPr>
              <w:pStyle w:val="BodyText"/>
            </w:pPr>
            <w:r w:rsidRPr="30CD2787">
              <w:rPr>
                <w:rFonts w:cs="Arial" w:asciiTheme="minorHAnsi" w:hAnsiTheme="minorHAnsi"/>
                <w:sz w:val="20"/>
              </w:rPr>
              <w:t>Oral suspension - contains aspartame (source of phenylketonuria), therefore use with caution in, patients with phenylketonuria.</w:t>
            </w:r>
          </w:p>
          <w:p w:rsidR="62E769FC" w:rsidP="30CD2787" w:rsidRDefault="62E769FC" w14:paraId="04997419" w14:textId="7B5FCDBC">
            <w:pPr>
              <w:pStyle w:val="BodyText"/>
              <w:rPr>
                <w:rFonts w:cs="Arial" w:asciiTheme="minorHAnsi" w:hAnsiTheme="minorHAnsi"/>
                <w:sz w:val="20"/>
              </w:rPr>
            </w:pPr>
          </w:p>
        </w:tc>
      </w:tr>
      <w:tr w:rsidR="00273A16" w:rsidTr="77BEE3D0" w14:paraId="062FED69" w14:textId="77777777">
        <w:trPr>
          <w:trHeight w:val="235"/>
        </w:trPr>
        <w:tc>
          <w:tcPr>
            <w:tcW w:w="1986" w:type="dxa"/>
          </w:tcPr>
          <w:p w:rsidR="62E769FC" w:rsidP="62E769FC" w:rsidRDefault="62E769FC" w14:paraId="19DDBB09" w14:textId="77777777">
            <w:pPr>
              <w:pStyle w:val="BodyText"/>
              <w:rPr>
                <w:rFonts w:cs="Arial" w:asciiTheme="minorHAnsi" w:hAnsiTheme="minorHAnsi"/>
                <w:b/>
                <w:bCs/>
                <w:sz w:val="20"/>
              </w:rPr>
            </w:pPr>
            <w:r w:rsidRPr="62E769FC">
              <w:rPr>
                <w:rFonts w:cs="Arial" w:asciiTheme="minorHAnsi" w:hAnsiTheme="minorHAnsi"/>
                <w:b/>
                <w:bCs/>
                <w:sz w:val="20"/>
              </w:rPr>
              <w:t>Drug Interactions</w:t>
            </w:r>
          </w:p>
        </w:tc>
        <w:tc>
          <w:tcPr>
            <w:tcW w:w="7938" w:type="dxa"/>
          </w:tcPr>
          <w:p w:rsidR="62E769FC" w:rsidP="30CD2787" w:rsidRDefault="4A244EA9" w14:paraId="34F07E17" w14:textId="7699B497">
            <w:pPr>
              <w:pStyle w:val="BodyText"/>
              <w:rPr>
                <w:rFonts w:cs="Arial" w:asciiTheme="minorHAnsi" w:hAnsiTheme="minorHAnsi"/>
                <w:sz w:val="20"/>
              </w:rPr>
            </w:pPr>
            <w:r w:rsidRPr="30CD2787">
              <w:rPr>
                <w:rFonts w:cs="Arial" w:asciiTheme="minorHAnsi" w:hAnsiTheme="minorHAnsi"/>
                <w:sz w:val="20"/>
              </w:rPr>
              <w:t>Warfarin: increased risk of bleeding.</w:t>
            </w:r>
          </w:p>
          <w:p w:rsidR="62E769FC" w:rsidP="62E769FC" w:rsidRDefault="4A244EA9" w14:paraId="667D2E98" w14:textId="6BADD12E">
            <w:pPr>
              <w:pStyle w:val="BodyText"/>
            </w:pPr>
            <w:r w:rsidRPr="30CD2787">
              <w:rPr>
                <w:rFonts w:cs="Arial" w:asciiTheme="minorHAnsi" w:hAnsiTheme="minorHAnsi"/>
                <w:sz w:val="20"/>
              </w:rPr>
              <w:t>Tetracycline: reduction of efficacy.</w:t>
            </w:r>
          </w:p>
          <w:p w:rsidR="62E769FC" w:rsidP="30CD2787" w:rsidRDefault="62E769FC" w14:paraId="41022D0B" w14:textId="18CEF3BA">
            <w:pPr>
              <w:pStyle w:val="BodyText"/>
              <w:rPr>
                <w:rFonts w:cs="Arial" w:asciiTheme="minorHAnsi" w:hAnsiTheme="minorHAnsi"/>
                <w:sz w:val="20"/>
              </w:rPr>
            </w:pPr>
          </w:p>
        </w:tc>
      </w:tr>
      <w:tr w:rsidR="00273A16" w:rsidTr="77BEE3D0" w14:paraId="37D1B933" w14:textId="77777777">
        <w:trPr>
          <w:trHeight w:val="416"/>
        </w:trPr>
        <w:tc>
          <w:tcPr>
            <w:tcW w:w="1986" w:type="dxa"/>
          </w:tcPr>
          <w:p w:rsidR="62E769FC" w:rsidP="62E769FC" w:rsidRDefault="62E769FC" w14:paraId="309CD2FF" w14:textId="77777777">
            <w:pPr>
              <w:pStyle w:val="BodyText"/>
              <w:rPr>
                <w:rFonts w:cs="Arial" w:asciiTheme="minorHAnsi" w:hAnsiTheme="minorHAnsi"/>
                <w:b/>
                <w:bCs/>
                <w:sz w:val="20"/>
              </w:rPr>
            </w:pPr>
            <w:r w:rsidRPr="62E769FC">
              <w:rPr>
                <w:rFonts w:cs="Arial" w:asciiTheme="minorHAnsi" w:hAnsiTheme="minorHAnsi"/>
                <w:b/>
                <w:bCs/>
                <w:sz w:val="20"/>
              </w:rPr>
              <w:t xml:space="preserve">Adverse Reactions         </w:t>
            </w:r>
          </w:p>
          <w:p w:rsidR="62E769FC" w:rsidP="62E769FC" w:rsidRDefault="62E769FC" w14:paraId="78C03881" w14:textId="77777777">
            <w:pPr>
              <w:pStyle w:val="BodyText"/>
              <w:rPr>
                <w:rFonts w:cs="Arial" w:asciiTheme="minorHAnsi" w:hAnsiTheme="minorHAnsi"/>
                <w:b/>
                <w:bCs/>
                <w:sz w:val="20"/>
              </w:rPr>
            </w:pPr>
          </w:p>
        </w:tc>
        <w:tc>
          <w:tcPr>
            <w:tcW w:w="7938" w:type="dxa"/>
          </w:tcPr>
          <w:p w:rsidR="62E769FC" w:rsidP="30CD2787" w:rsidRDefault="5E51D9C0" w14:paraId="504D1F01" w14:textId="186F44E4">
            <w:pPr>
              <w:pStyle w:val="BodyText"/>
              <w:rPr>
                <w:rFonts w:asciiTheme="minorHAnsi" w:hAnsiTheme="minorHAnsi"/>
                <w:sz w:val="20"/>
              </w:rPr>
            </w:pPr>
            <w:r w:rsidRPr="30CD2787">
              <w:rPr>
                <w:rFonts w:asciiTheme="minorHAnsi" w:hAnsiTheme="minorHAnsi"/>
                <w:sz w:val="20"/>
              </w:rPr>
              <w:t>Mucositis, oral candidiasis, mild to life-threatening Clostridium difficile-associated diarrhoea, life-threatening hepatic dysfunction, and skin rashes including Stevens-Johnson syndrome, Toxic epidermal necrolysis and severe hypersensitivity reactions such as anaphylaxis have been reported.</w:t>
            </w:r>
          </w:p>
          <w:p w:rsidR="62E769FC" w:rsidP="30CD2787" w:rsidRDefault="62E769FC" w14:paraId="4A50F538" w14:textId="34FC5E7A">
            <w:pPr>
              <w:pStyle w:val="BodyText"/>
              <w:rPr>
                <w:rFonts w:asciiTheme="minorHAnsi" w:hAnsiTheme="minorHAnsi"/>
                <w:sz w:val="20"/>
              </w:rPr>
            </w:pPr>
          </w:p>
        </w:tc>
      </w:tr>
      <w:tr w:rsidR="00273A16" w:rsidTr="77BEE3D0" w14:paraId="1718D434" w14:textId="77777777">
        <w:trPr>
          <w:trHeight w:val="197"/>
        </w:trPr>
        <w:tc>
          <w:tcPr>
            <w:tcW w:w="1986" w:type="dxa"/>
          </w:tcPr>
          <w:p w:rsidR="62E769FC" w:rsidP="62E769FC" w:rsidRDefault="62E769FC" w14:paraId="02EB5DE2" w14:textId="77777777">
            <w:pPr>
              <w:pStyle w:val="BodyText"/>
              <w:rPr>
                <w:rFonts w:cs="Arial" w:asciiTheme="minorHAnsi" w:hAnsiTheme="minorHAnsi"/>
                <w:b/>
                <w:bCs/>
                <w:sz w:val="20"/>
              </w:rPr>
            </w:pPr>
            <w:r w:rsidRPr="62E769FC">
              <w:rPr>
                <w:rFonts w:cs="Arial" w:asciiTheme="minorHAnsi" w:hAnsiTheme="minorHAnsi"/>
                <w:b/>
                <w:bCs/>
                <w:sz w:val="20"/>
              </w:rPr>
              <w:t>Compatibility</w:t>
            </w:r>
          </w:p>
        </w:tc>
        <w:tc>
          <w:tcPr>
            <w:tcW w:w="7938" w:type="dxa"/>
          </w:tcPr>
          <w:p w:rsidR="62E769FC" w:rsidP="30CD2787" w:rsidRDefault="51585A0A" w14:paraId="54DB8F96" w14:textId="7E08F96A">
            <w:pPr>
              <w:pStyle w:val="BodyText"/>
              <w:rPr>
                <w:rFonts w:asciiTheme="minorHAnsi" w:hAnsiTheme="minorHAnsi"/>
                <w:sz w:val="20"/>
              </w:rPr>
            </w:pPr>
            <w:r w:rsidRPr="30CD2787">
              <w:rPr>
                <w:rFonts w:asciiTheme="minorHAnsi" w:hAnsiTheme="minorHAnsi"/>
                <w:sz w:val="20"/>
              </w:rPr>
              <w:t>Fluids: sodium chloride 0.9%, glucose 5% (by Y-site only), Hartmann’s, Ringer’s.</w:t>
            </w:r>
          </w:p>
          <w:p w:rsidR="62E769FC" w:rsidP="30CD2787" w:rsidRDefault="51585A0A" w14:paraId="4A2DFDEF" w14:textId="0B00EFB3">
            <w:pPr>
              <w:pStyle w:val="BodyText"/>
              <w:rPr>
                <w:rFonts w:asciiTheme="minorHAnsi" w:hAnsiTheme="minorHAnsi"/>
                <w:sz w:val="20"/>
              </w:rPr>
            </w:pPr>
            <w:r w:rsidRPr="30CD2787">
              <w:rPr>
                <w:rFonts w:asciiTheme="minorHAnsi" w:hAnsiTheme="minorHAnsi"/>
                <w:sz w:val="20"/>
              </w:rPr>
              <w:t>Y-site: No information.</w:t>
            </w:r>
          </w:p>
          <w:p w:rsidR="62E769FC" w:rsidP="30CD2787" w:rsidRDefault="62E769FC" w14:paraId="5DD3C861" w14:textId="535C031B">
            <w:pPr>
              <w:pStyle w:val="BodyText"/>
              <w:rPr>
                <w:rFonts w:asciiTheme="minorHAnsi" w:hAnsiTheme="minorHAnsi"/>
                <w:sz w:val="20"/>
                <w:vertAlign w:val="superscript"/>
              </w:rPr>
            </w:pPr>
          </w:p>
        </w:tc>
      </w:tr>
      <w:tr w:rsidR="00273A16" w:rsidTr="77BEE3D0" w14:paraId="24D31055" w14:textId="77777777">
        <w:trPr>
          <w:trHeight w:val="215"/>
        </w:trPr>
        <w:tc>
          <w:tcPr>
            <w:tcW w:w="1986" w:type="dxa"/>
          </w:tcPr>
          <w:p w:rsidR="62E769FC" w:rsidP="62E769FC" w:rsidRDefault="62E769FC" w14:paraId="51B582B6" w14:textId="77777777">
            <w:pPr>
              <w:pStyle w:val="BodyText"/>
              <w:rPr>
                <w:rFonts w:cs="Arial" w:asciiTheme="minorHAnsi" w:hAnsiTheme="minorHAnsi"/>
                <w:b/>
                <w:bCs/>
                <w:sz w:val="20"/>
              </w:rPr>
            </w:pPr>
            <w:r w:rsidRPr="62E769FC">
              <w:rPr>
                <w:rFonts w:cs="Arial" w:asciiTheme="minorHAnsi" w:hAnsiTheme="minorHAnsi"/>
                <w:b/>
                <w:bCs/>
                <w:sz w:val="20"/>
              </w:rPr>
              <w:t>Incompatibility</w:t>
            </w:r>
          </w:p>
        </w:tc>
        <w:tc>
          <w:tcPr>
            <w:tcW w:w="7938" w:type="dxa"/>
          </w:tcPr>
          <w:p w:rsidR="62E769FC" w:rsidP="30CD2787" w:rsidRDefault="06427F73" w14:paraId="302860E8" w14:textId="5E86C721">
            <w:pPr>
              <w:pStyle w:val="BodyText"/>
              <w:rPr>
                <w:rFonts w:cs="Arial" w:asciiTheme="minorHAnsi" w:hAnsiTheme="minorHAnsi"/>
                <w:sz w:val="20"/>
              </w:rPr>
            </w:pPr>
            <w:r w:rsidRPr="30CD2787">
              <w:rPr>
                <w:rFonts w:cs="Arial" w:asciiTheme="minorHAnsi" w:hAnsiTheme="minorHAnsi"/>
                <w:sz w:val="20"/>
              </w:rPr>
              <w:t xml:space="preserve">Fluids : Glucose 5%, </w:t>
            </w:r>
          </w:p>
          <w:p w:rsidR="62E769FC" w:rsidP="62E769FC" w:rsidRDefault="06427F73" w14:paraId="5EA6B1C5" w14:textId="31DF449B">
            <w:pPr>
              <w:pStyle w:val="BodyText"/>
            </w:pPr>
            <w:r w:rsidRPr="30CD2787">
              <w:rPr>
                <w:rFonts w:cs="Arial" w:asciiTheme="minorHAnsi" w:hAnsiTheme="minorHAnsi"/>
                <w:sz w:val="20"/>
              </w:rPr>
              <w:t>Drugs: amikacin, gentamicin, tobramycin, amiodarone, ciprofloxacin, metronidazole, sodium, bicarbonate.</w:t>
            </w:r>
          </w:p>
          <w:p w:rsidR="62E769FC" w:rsidP="30CD2787" w:rsidRDefault="62E769FC" w14:paraId="73B2E0F3" w14:textId="1B16B725">
            <w:pPr>
              <w:pStyle w:val="BodyText"/>
              <w:rPr>
                <w:rFonts w:cs="Arial" w:asciiTheme="minorHAnsi" w:hAnsiTheme="minorHAnsi"/>
                <w:sz w:val="20"/>
              </w:rPr>
            </w:pPr>
          </w:p>
        </w:tc>
      </w:tr>
      <w:tr w:rsidR="00273A16" w:rsidTr="77BEE3D0" w14:paraId="6821F9B7" w14:textId="77777777">
        <w:trPr>
          <w:trHeight w:val="253"/>
        </w:trPr>
        <w:tc>
          <w:tcPr>
            <w:tcW w:w="1986" w:type="dxa"/>
          </w:tcPr>
          <w:p w:rsidR="62E769FC" w:rsidP="62E769FC" w:rsidRDefault="62E769FC" w14:paraId="76C7FB0A" w14:textId="77777777">
            <w:pPr>
              <w:pStyle w:val="BodyText"/>
              <w:rPr>
                <w:rFonts w:cs="Arial" w:asciiTheme="minorHAnsi" w:hAnsiTheme="minorHAnsi"/>
                <w:b/>
                <w:bCs/>
                <w:sz w:val="20"/>
              </w:rPr>
            </w:pPr>
            <w:r w:rsidRPr="62E769FC">
              <w:rPr>
                <w:rFonts w:cs="Arial" w:asciiTheme="minorHAnsi" w:hAnsiTheme="minorHAnsi"/>
                <w:b/>
                <w:bCs/>
                <w:sz w:val="20"/>
              </w:rPr>
              <w:lastRenderedPageBreak/>
              <w:t xml:space="preserve">Stability                  </w:t>
            </w:r>
          </w:p>
        </w:tc>
        <w:tc>
          <w:tcPr>
            <w:tcW w:w="7938" w:type="dxa"/>
          </w:tcPr>
          <w:p w:rsidR="62E769FC" w:rsidP="30CD2787" w:rsidRDefault="0DC2FBF6" w14:paraId="6DD0A2E6" w14:textId="1994A38A">
            <w:pPr>
              <w:pStyle w:val="BodyText"/>
              <w:rPr>
                <w:rFonts w:cs="Arial" w:asciiTheme="minorHAnsi" w:hAnsiTheme="minorHAnsi"/>
                <w:sz w:val="20"/>
              </w:rPr>
            </w:pPr>
            <w:r w:rsidRPr="30CD2787">
              <w:rPr>
                <w:rFonts w:cs="Arial" w:asciiTheme="minorHAnsi" w:hAnsiTheme="minorHAnsi"/>
                <w:sz w:val="20"/>
              </w:rPr>
              <w:t>IV: the reconstituted solution is stable for 20 minutes at 25 °C. Diluted IV solution: stable in sodium,</w:t>
            </w:r>
            <w:r w:rsidRPr="30CD2787" w:rsidR="6511793F">
              <w:rPr>
                <w:rFonts w:cs="Arial" w:asciiTheme="minorHAnsi" w:hAnsiTheme="minorHAnsi"/>
                <w:sz w:val="20"/>
              </w:rPr>
              <w:t xml:space="preserve"> </w:t>
            </w:r>
            <w:r w:rsidRPr="30CD2787">
              <w:rPr>
                <w:rFonts w:cs="Arial" w:asciiTheme="minorHAnsi" w:hAnsiTheme="minorHAnsi"/>
                <w:sz w:val="20"/>
              </w:rPr>
              <w:t xml:space="preserve">chloride 0.9% for 4 hours and in Hartmann's and Ringer's for 3 hours at 25 °C. Stable in sodium chloride, 0.9% for 8 hours at 2 to 8 °C when added to a pre-refrigerated bag. </w:t>
            </w:r>
          </w:p>
          <w:p w:rsidR="62E769FC" w:rsidP="62E769FC" w:rsidRDefault="0DC2FBF6" w14:paraId="5A4B9B57" w14:textId="2247D65C">
            <w:pPr>
              <w:pStyle w:val="BodyText"/>
            </w:pPr>
            <w:r w:rsidRPr="30CD2787">
              <w:rPr>
                <w:rFonts w:cs="Arial" w:asciiTheme="minorHAnsi" w:hAnsiTheme="minorHAnsi"/>
                <w:sz w:val="20"/>
              </w:rPr>
              <w:t xml:space="preserve">Oral: The medication mixed with milk should be administered immediately.,  ,  </w:t>
            </w:r>
          </w:p>
          <w:p w:rsidR="62E769FC" w:rsidP="30CD2787" w:rsidRDefault="62E769FC" w14:paraId="51C5CA19" w14:textId="5D86F7E5">
            <w:pPr>
              <w:pStyle w:val="BodyText"/>
              <w:rPr>
                <w:rFonts w:cs="Arial" w:asciiTheme="minorHAnsi" w:hAnsiTheme="minorHAnsi"/>
                <w:sz w:val="20"/>
              </w:rPr>
            </w:pPr>
          </w:p>
        </w:tc>
      </w:tr>
      <w:tr w:rsidR="00273A16" w:rsidTr="77BEE3D0" w14:paraId="20B04C6F" w14:textId="77777777">
        <w:trPr>
          <w:trHeight w:val="117"/>
        </w:trPr>
        <w:tc>
          <w:tcPr>
            <w:tcW w:w="1986" w:type="dxa"/>
          </w:tcPr>
          <w:p w:rsidR="62E769FC" w:rsidP="62E769FC" w:rsidRDefault="62E769FC" w14:paraId="7A5833B9" w14:textId="77777777">
            <w:pPr>
              <w:pStyle w:val="BodyText"/>
              <w:rPr>
                <w:rFonts w:cs="Arial" w:asciiTheme="minorHAnsi" w:hAnsiTheme="minorHAnsi"/>
                <w:b/>
                <w:bCs/>
                <w:sz w:val="20"/>
              </w:rPr>
            </w:pPr>
            <w:r w:rsidRPr="62E769FC">
              <w:rPr>
                <w:rFonts w:cs="Arial" w:asciiTheme="minorHAnsi" w:hAnsiTheme="minorHAnsi"/>
                <w:b/>
                <w:bCs/>
                <w:sz w:val="20"/>
              </w:rPr>
              <w:t xml:space="preserve">Storage             </w:t>
            </w:r>
          </w:p>
        </w:tc>
        <w:tc>
          <w:tcPr>
            <w:tcW w:w="7938" w:type="dxa"/>
          </w:tcPr>
          <w:p w:rsidR="62E769FC" w:rsidP="30CD2787" w:rsidRDefault="2EC8830B" w14:paraId="20D46BCC" w14:textId="63253494">
            <w:pPr>
              <w:pStyle w:val="BodyText"/>
              <w:rPr>
                <w:rFonts w:cs="Arial" w:asciiTheme="minorHAnsi" w:hAnsiTheme="minorHAnsi"/>
                <w:sz w:val="20"/>
              </w:rPr>
            </w:pPr>
            <w:r w:rsidRPr="30CD2787">
              <w:rPr>
                <w:rFonts w:cs="Arial" w:asciiTheme="minorHAnsi" w:hAnsiTheme="minorHAnsi"/>
                <w:sz w:val="20"/>
              </w:rPr>
              <w:t>Vial: store below 25 °C. Protect from light.</w:t>
            </w:r>
          </w:p>
          <w:p w:rsidR="62E769FC" w:rsidP="62E769FC" w:rsidRDefault="2EC8830B" w14:paraId="503B938D" w14:textId="6B5474AF">
            <w:pPr>
              <w:pStyle w:val="BodyText"/>
            </w:pPr>
            <w:r w:rsidRPr="30CD2787">
              <w:rPr>
                <w:rFonts w:cs="Arial" w:asciiTheme="minorHAnsi" w:hAnsiTheme="minorHAnsi"/>
                <w:sz w:val="20"/>
              </w:rPr>
              <w:t>Oral: Store dry powder for oral suspension at 20 to 25°C. Store reconstituted suspension at 2 to 8 °C. Discard unused suspension after 7 days.</w:t>
            </w:r>
          </w:p>
          <w:p w:rsidR="62E769FC" w:rsidP="30CD2787" w:rsidRDefault="62E769FC" w14:paraId="3BA6BED0" w14:textId="62BA9EC5">
            <w:pPr>
              <w:pStyle w:val="BodyText"/>
              <w:rPr>
                <w:rFonts w:cs="Arial" w:asciiTheme="minorHAnsi" w:hAnsiTheme="minorHAnsi"/>
                <w:sz w:val="20"/>
              </w:rPr>
            </w:pPr>
          </w:p>
        </w:tc>
      </w:tr>
      <w:tr w:rsidR="00273A16" w:rsidTr="77BEE3D0" w14:paraId="7D528938" w14:textId="77777777">
        <w:trPr>
          <w:trHeight w:val="118"/>
        </w:trPr>
        <w:tc>
          <w:tcPr>
            <w:tcW w:w="1986" w:type="dxa"/>
          </w:tcPr>
          <w:p w:rsidR="62E769FC" w:rsidP="30CD2787" w:rsidRDefault="1B3AB47F" w14:paraId="4BA55117" w14:textId="113B5578">
            <w:pPr>
              <w:pStyle w:val="BodyText"/>
              <w:rPr>
                <w:rFonts w:cs="Arial" w:asciiTheme="minorHAnsi" w:hAnsiTheme="minorHAnsi"/>
                <w:b/>
                <w:bCs/>
                <w:sz w:val="20"/>
              </w:rPr>
            </w:pPr>
            <w:r w:rsidRPr="30CD2787">
              <w:rPr>
                <w:rFonts w:cs="Arial" w:asciiTheme="minorHAnsi" w:hAnsiTheme="minorHAnsi"/>
                <w:b/>
                <w:bCs/>
                <w:sz w:val="20"/>
              </w:rPr>
              <w:t>Excipients</w:t>
            </w:r>
            <w:r w:rsidRPr="30CD2787" w:rsidR="62E769FC">
              <w:rPr>
                <w:rFonts w:cs="Arial" w:asciiTheme="minorHAnsi" w:hAnsiTheme="minorHAnsi"/>
                <w:b/>
                <w:bCs/>
                <w:sz w:val="20"/>
              </w:rPr>
              <w:t xml:space="preserve">       </w:t>
            </w:r>
          </w:p>
        </w:tc>
        <w:tc>
          <w:tcPr>
            <w:tcW w:w="7938" w:type="dxa"/>
          </w:tcPr>
          <w:p w:rsidR="62E769FC" w:rsidP="30CD2787" w:rsidRDefault="5A8788DE" w14:paraId="586656F6" w14:textId="44686477">
            <w:pPr>
              <w:pStyle w:val="BodyText"/>
              <w:rPr>
                <w:rFonts w:cs="Arial" w:asciiTheme="minorHAnsi" w:hAnsiTheme="minorHAnsi"/>
                <w:sz w:val="20"/>
              </w:rPr>
            </w:pPr>
            <w:r w:rsidRPr="30CD2787">
              <w:rPr>
                <w:rFonts w:cs="Arial" w:asciiTheme="minorHAnsi" w:hAnsiTheme="minorHAnsi"/>
                <w:sz w:val="20"/>
              </w:rPr>
              <w:t xml:space="preserve">Oral, </w:t>
            </w:r>
          </w:p>
          <w:p w:rsidR="62E769FC" w:rsidP="62E769FC" w:rsidRDefault="5A8788DE" w14:paraId="6F305920" w14:textId="7FB696A5">
            <w:pPr>
              <w:pStyle w:val="BodyText"/>
            </w:pPr>
            <w:r w:rsidRPr="30CD2787">
              <w:rPr>
                <w:rFonts w:cs="Arial" w:asciiTheme="minorHAnsi" w:hAnsiTheme="minorHAnsi"/>
                <w:sz w:val="20"/>
              </w:rPr>
              <w:t>Curam Powder for Suspension: Lemon Flavouring , Peach-Apricot Flavouring, citric acid, sodium citrate, aspartame, purified talc, Orange Flavouring, Guar Gum and silicon dioxide. Contains sulfites. When, reconstituted as directed, Curam 125/31.25 contains aspartame 8.5mg/5mL. Each 5mL of suspension, contains 0.16mmol of potassium.</w:t>
            </w:r>
          </w:p>
          <w:p w:rsidR="62E769FC" w:rsidP="30CD2787" w:rsidRDefault="62E769FC" w14:paraId="4181D324" w14:textId="581F0C1A">
            <w:pPr>
              <w:pStyle w:val="BodyText"/>
              <w:rPr>
                <w:rFonts w:cs="Arial" w:asciiTheme="minorHAnsi" w:hAnsiTheme="minorHAnsi"/>
                <w:sz w:val="20"/>
              </w:rPr>
            </w:pPr>
          </w:p>
        </w:tc>
      </w:tr>
      <w:tr w:rsidR="00273A16" w:rsidTr="77BEE3D0" w14:paraId="3685314B" w14:textId="77777777">
        <w:trPr>
          <w:trHeight w:val="310"/>
        </w:trPr>
        <w:tc>
          <w:tcPr>
            <w:tcW w:w="1986" w:type="dxa"/>
          </w:tcPr>
          <w:p w:rsidR="62E769FC" w:rsidP="62E769FC" w:rsidRDefault="62E769FC" w14:paraId="5BBC9FC5" w14:textId="77777777">
            <w:pPr>
              <w:pStyle w:val="BodyText"/>
              <w:rPr>
                <w:rFonts w:cs="Arial" w:asciiTheme="minorHAnsi" w:hAnsiTheme="minorHAnsi"/>
                <w:b/>
                <w:bCs/>
                <w:sz w:val="20"/>
              </w:rPr>
            </w:pPr>
            <w:r w:rsidRPr="62E769FC">
              <w:rPr>
                <w:rFonts w:cs="Arial" w:asciiTheme="minorHAnsi" w:hAnsiTheme="minorHAnsi"/>
                <w:b/>
                <w:bCs/>
                <w:sz w:val="20"/>
              </w:rPr>
              <w:t>Evidence summary</w:t>
            </w:r>
          </w:p>
        </w:tc>
        <w:tc>
          <w:tcPr>
            <w:tcW w:w="7938" w:type="dxa"/>
          </w:tcPr>
          <w:p w:rsidRPr="00C261E9" w:rsidR="62E769FC" w:rsidP="30CD2787" w:rsidRDefault="3EC5E08F" w14:paraId="5B6CF91C" w14:textId="7628090F">
            <w:pPr>
              <w:pStyle w:val="BodyText"/>
              <w:tabs>
                <w:tab w:val="left" w:pos="1168"/>
              </w:tabs>
              <w:rPr>
                <w:rFonts w:asciiTheme="minorHAnsi" w:hAnsiTheme="minorHAnsi"/>
                <w:sz w:val="16"/>
                <w:szCs w:val="16"/>
              </w:rPr>
            </w:pPr>
            <w:r w:rsidRPr="00C261E9">
              <w:rPr>
                <w:rFonts w:asciiTheme="minorHAnsi" w:hAnsiTheme="minorHAnsi"/>
                <w:sz w:val="16"/>
                <w:szCs w:val="16"/>
              </w:rPr>
              <w:t>Amoxicillin-clavulanate shows good activity against organisms associated with acute otitis media and, community acquired pneumonia in childhood including penicillin-susceptible and -intermediate strains, of Streptococcus pneumoniae, and β-lactamase producing strains of Haemophilus influenzae and,</w:t>
            </w:r>
            <w:r w:rsidRPr="00C261E9" w:rsidR="6E2D5D75">
              <w:rPr>
                <w:rFonts w:asciiTheme="minorHAnsi" w:hAnsiTheme="minorHAnsi"/>
                <w:sz w:val="16"/>
                <w:szCs w:val="16"/>
              </w:rPr>
              <w:t xml:space="preserve"> </w:t>
            </w:r>
            <w:r w:rsidRPr="00C261E9">
              <w:rPr>
                <w:rFonts w:asciiTheme="minorHAnsi" w:hAnsiTheme="minorHAnsi"/>
                <w:sz w:val="16"/>
                <w:szCs w:val="16"/>
              </w:rPr>
              <w:t>Moraxella catarrhalis. A high-dose formulation has been developed with the aim of providing better,</w:t>
            </w:r>
            <w:r w:rsidRPr="00C261E9" w:rsidR="7B994EE6">
              <w:rPr>
                <w:rFonts w:asciiTheme="minorHAnsi" w:hAnsiTheme="minorHAnsi"/>
                <w:sz w:val="16"/>
                <w:szCs w:val="16"/>
              </w:rPr>
              <w:t xml:space="preserve"> </w:t>
            </w:r>
            <w:r w:rsidRPr="00C261E9">
              <w:rPr>
                <w:rFonts w:asciiTheme="minorHAnsi" w:hAnsiTheme="minorHAnsi"/>
                <w:sz w:val="16"/>
                <w:szCs w:val="16"/>
              </w:rPr>
              <w:t>coverage for penicillin-resistant strains. [7] Gram-negative organisms require higher and more, sustained levels of both amoxicillin and clavulanic-acid for optimal therapy. For clinical syndromes in,</w:t>
            </w:r>
            <w:r w:rsidRPr="00C261E9" w:rsidR="3BA1F1B5">
              <w:rPr>
                <w:rFonts w:asciiTheme="minorHAnsi" w:hAnsiTheme="minorHAnsi"/>
                <w:sz w:val="16"/>
                <w:szCs w:val="16"/>
              </w:rPr>
              <w:t xml:space="preserve"> </w:t>
            </w:r>
            <w:r w:rsidRPr="00C261E9">
              <w:rPr>
                <w:rFonts w:asciiTheme="minorHAnsi" w:hAnsiTheme="minorHAnsi"/>
                <w:sz w:val="16"/>
                <w:szCs w:val="16"/>
              </w:rPr>
              <w:t>which Gram-negative pathogens are causative (e.g. urinary tract infection), a narrower ratio (e.g. 4:1),</w:t>
            </w:r>
            <w:r w:rsidRPr="00C261E9" w:rsidR="049C1D5E">
              <w:rPr>
                <w:rFonts w:asciiTheme="minorHAnsi" w:hAnsiTheme="minorHAnsi"/>
                <w:sz w:val="16"/>
                <w:szCs w:val="16"/>
              </w:rPr>
              <w:t xml:space="preserve"> </w:t>
            </w:r>
            <w:r w:rsidRPr="00C261E9">
              <w:rPr>
                <w:rFonts w:asciiTheme="minorHAnsi" w:hAnsiTheme="minorHAnsi"/>
                <w:sz w:val="16"/>
                <w:szCs w:val="16"/>
              </w:rPr>
              <w:t>with more frequent dosing (three or four rather than two times daily) is needed for efficacy. [8]</w:t>
            </w:r>
            <w:r w:rsidRPr="00C261E9" w:rsidR="15C36C20">
              <w:rPr>
                <w:rFonts w:asciiTheme="minorHAnsi" w:hAnsiTheme="minorHAnsi"/>
                <w:sz w:val="16"/>
                <w:szCs w:val="16"/>
              </w:rPr>
              <w:t xml:space="preserve"> </w:t>
            </w:r>
            <w:r w:rsidRPr="00C261E9">
              <w:rPr>
                <w:rFonts w:asciiTheme="minorHAnsi" w:hAnsiTheme="minorHAnsi"/>
                <w:sz w:val="16"/>
                <w:szCs w:val="16"/>
              </w:rPr>
              <w:t>Oral antibiotics for neonatal infections: A systematic review of studies that assessed oral versus,</w:t>
            </w:r>
            <w:r w:rsidRPr="00C261E9" w:rsidR="2A30BD2C">
              <w:rPr>
                <w:rFonts w:asciiTheme="minorHAnsi" w:hAnsiTheme="minorHAnsi"/>
                <w:sz w:val="16"/>
                <w:szCs w:val="16"/>
              </w:rPr>
              <w:t xml:space="preserve"> </w:t>
            </w:r>
            <w:r w:rsidRPr="00C261E9">
              <w:rPr>
                <w:rFonts w:asciiTheme="minorHAnsi" w:hAnsiTheme="minorHAnsi"/>
                <w:sz w:val="16"/>
                <w:szCs w:val="16"/>
              </w:rPr>
              <w:t>parenteral antibiotics and switching to oral therapy from parenteral antibiotics in newborns included,</w:t>
            </w:r>
            <w:r w:rsidRPr="00C261E9" w:rsidR="490652C6">
              <w:rPr>
                <w:rFonts w:asciiTheme="minorHAnsi" w:hAnsiTheme="minorHAnsi"/>
                <w:sz w:val="16"/>
                <w:szCs w:val="16"/>
              </w:rPr>
              <w:t xml:space="preserve"> </w:t>
            </w:r>
            <w:r w:rsidRPr="00C261E9">
              <w:rPr>
                <w:rFonts w:asciiTheme="minorHAnsi" w:hAnsiTheme="minorHAnsi"/>
                <w:sz w:val="16"/>
                <w:szCs w:val="16"/>
              </w:rPr>
              <w:t>31 studies. Oral antibiotics reached maximum concentrations later and had lower bioavailability, but in, the majority of cases, adequate serum levels for bacterial killing were reached. Furthermore, studies,</w:t>
            </w:r>
            <w:r w:rsidRPr="00C261E9" w:rsidR="4EB6A61A">
              <w:rPr>
                <w:rFonts w:asciiTheme="minorHAnsi" w:hAnsiTheme="minorHAnsi"/>
                <w:sz w:val="16"/>
                <w:szCs w:val="16"/>
              </w:rPr>
              <w:t xml:space="preserve"> </w:t>
            </w:r>
            <w:r w:rsidRPr="00C261E9">
              <w:rPr>
                <w:rFonts w:asciiTheme="minorHAnsi" w:hAnsiTheme="minorHAnsi"/>
                <w:sz w:val="16"/>
                <w:szCs w:val="16"/>
              </w:rPr>
              <w:t>on efficacy of oral antibiotics showed similar relapse rates (OR 0.95; 95% CI 0.79–1.16; I2 0%) and, mortality (OR 1.11; 95% CI 0.72–1.72; I2 0%), and a reduction in hospital stay. Although early switch to, oral antibiotics after a short course of IV antibiotics is promising in term neonates with a (probable), bacterial infection, the lack of large well-designed studies in a high-income setting requires further, trials to establish the safety and efficacy of iv-to-oral switch therapy in neonates. [9] [LOE I GOR C]</w:t>
            </w:r>
          </w:p>
          <w:p w:rsidRPr="00C261E9" w:rsidR="62E769FC" w:rsidP="30CD2787" w:rsidRDefault="3EC5E08F" w14:paraId="038C7B48" w14:textId="30F7D90B">
            <w:pPr>
              <w:pStyle w:val="BodyText"/>
              <w:tabs>
                <w:tab w:val="left" w:pos="1168"/>
              </w:tabs>
              <w:rPr>
                <w:rFonts w:asciiTheme="minorHAnsi" w:hAnsiTheme="minorHAnsi"/>
                <w:b/>
                <w:bCs/>
                <w:sz w:val="16"/>
                <w:szCs w:val="16"/>
              </w:rPr>
            </w:pPr>
            <w:r w:rsidRPr="00C261E9">
              <w:rPr>
                <w:rFonts w:asciiTheme="minorHAnsi" w:hAnsiTheme="minorHAnsi"/>
                <w:b/>
                <w:bCs/>
                <w:sz w:val="16"/>
                <w:szCs w:val="16"/>
              </w:rPr>
              <w:t>Efficacy of amoxicillin-clavulanate:</w:t>
            </w:r>
          </w:p>
          <w:p w:rsidRPr="00C261E9" w:rsidR="62E769FC" w:rsidP="30CD2787" w:rsidRDefault="0727CC06" w14:paraId="7E1B9A1B" w14:textId="5ADF108E">
            <w:pPr>
              <w:pStyle w:val="BodyText"/>
              <w:tabs>
                <w:tab w:val="left" w:pos="1168"/>
              </w:tabs>
              <w:rPr>
                <w:rFonts w:asciiTheme="minorHAnsi" w:hAnsiTheme="minorHAnsi"/>
                <w:sz w:val="16"/>
                <w:szCs w:val="16"/>
              </w:rPr>
            </w:pPr>
            <w:r w:rsidRPr="00C261E9">
              <w:rPr>
                <w:rFonts w:asciiTheme="minorHAnsi" w:hAnsiTheme="minorHAnsi"/>
                <w:sz w:val="16"/>
                <w:szCs w:val="16"/>
              </w:rPr>
              <w:t>Efficacy data on the use of amoxicillin-clavulanate in neonates are limited to case series in infants with urinary tract infection (UTI) and infants with ‘bacterial colonisation’ treated with antibiotics. [5,10] In a retrospective case, series of infants with median age 19 days with UTI, 49 were treated with ampicillin and gentamicin and 105 with amoxicillin-clavulanate and gentamicin. Switch to oral amoxicillin - clavulanate was used in 75%. No treatment failure or relapse was detected, whilst 11 (8.7%) of 126 patients had renal scarring at 6 months. [10]</w:t>
            </w:r>
          </w:p>
          <w:p w:rsidRPr="00C261E9" w:rsidR="62E769FC" w:rsidP="30CD2787" w:rsidRDefault="62E769FC" w14:paraId="52C01082" w14:textId="5B98F55C">
            <w:pPr>
              <w:pStyle w:val="BodyText"/>
              <w:tabs>
                <w:tab w:val="left" w:pos="1168"/>
              </w:tabs>
              <w:rPr>
                <w:rFonts w:asciiTheme="minorHAnsi" w:hAnsiTheme="minorHAnsi"/>
                <w:b/>
                <w:bCs/>
                <w:sz w:val="16"/>
                <w:szCs w:val="16"/>
              </w:rPr>
            </w:pPr>
          </w:p>
          <w:p w:rsidRPr="00C261E9" w:rsidR="62E769FC" w:rsidP="30CD2787" w:rsidRDefault="50B6B36F" w14:paraId="407DF518" w14:textId="7C447841">
            <w:pPr>
              <w:pStyle w:val="BodyText"/>
              <w:tabs>
                <w:tab w:val="left" w:pos="1168"/>
              </w:tabs>
              <w:rPr>
                <w:rFonts w:asciiTheme="minorHAnsi" w:hAnsiTheme="minorHAnsi"/>
                <w:sz w:val="16"/>
                <w:szCs w:val="16"/>
              </w:rPr>
            </w:pPr>
            <w:r w:rsidRPr="00C261E9">
              <w:rPr>
                <w:rFonts w:asciiTheme="minorHAnsi" w:hAnsiTheme="minorHAnsi"/>
                <w:b/>
                <w:bCs/>
                <w:sz w:val="16"/>
                <w:szCs w:val="16"/>
              </w:rPr>
              <w:t>Pneumonia</w:t>
            </w:r>
          </w:p>
          <w:p w:rsidRPr="00C261E9" w:rsidR="62E769FC" w:rsidP="30CD2787" w:rsidRDefault="50B6B36F" w14:paraId="2B2AA3C4" w14:textId="12E4848F">
            <w:pPr>
              <w:pStyle w:val="BodyText"/>
              <w:tabs>
                <w:tab w:val="left" w:pos="1168"/>
              </w:tabs>
              <w:rPr>
                <w:rFonts w:asciiTheme="minorHAnsi" w:hAnsiTheme="minorHAnsi"/>
                <w:sz w:val="16"/>
                <w:szCs w:val="16"/>
              </w:rPr>
            </w:pPr>
            <w:r w:rsidRPr="00C261E9">
              <w:rPr>
                <w:rFonts w:asciiTheme="minorHAnsi" w:hAnsiTheme="minorHAnsi"/>
                <w:b/>
                <w:bCs/>
                <w:sz w:val="16"/>
                <w:szCs w:val="16"/>
              </w:rPr>
              <w:t xml:space="preserve"> </w:t>
            </w:r>
            <w:r w:rsidRPr="00C261E9">
              <w:rPr>
                <w:rFonts w:asciiTheme="minorHAnsi" w:hAnsiTheme="minorHAnsi"/>
                <w:sz w:val="16"/>
                <w:szCs w:val="16"/>
              </w:rPr>
              <w:t>A</w:t>
            </w:r>
            <w:r w:rsidRPr="00C261E9" w:rsidR="1815DDDA">
              <w:rPr>
                <w:rFonts w:asciiTheme="minorHAnsi" w:hAnsiTheme="minorHAnsi"/>
                <w:sz w:val="16"/>
                <w:szCs w:val="16"/>
              </w:rPr>
              <w:t xml:space="preserve"> </w:t>
            </w:r>
            <w:r w:rsidRPr="00C261E9">
              <w:rPr>
                <w:rFonts w:asciiTheme="minorHAnsi" w:hAnsiTheme="minorHAnsi"/>
                <w:sz w:val="16"/>
                <w:szCs w:val="16"/>
              </w:rPr>
              <w:t>systematic review [11] of antibiotics for WHO defined non -severe community-acquired pneumonia in children included 29 trials with 14,188 children. None of the trials included infants &lt;33 months of age. There was no difference in response or cure rates in comparing amoxicillin-clavulanic acid and azithromycin, cefpodoxime, penicillin and gentamycin, levofloxacin, and oxacillin and ceftriaxone. Amoxicillin -clavulanic acid was associated with an increased response rate compared to amoxicillin. Compared to azithromycin, amoxicillin-clavulanic acid was associated with an increase in side effects. In summary: Two trials with 276 infants &gt;6 months age compared azithromycin versus amoxicillin-clavulanic acid 40 mg/kg/day for 10 days with meta-analysis finding no difference in failure rate [OR 1.21, 95% CI 0.42, 3.53] but more side effects with amoxicillin-clavulanic acid [OR 0.15, 95% CI 0.04,0.61]. One trial in 100 infants ≥2 years age compared amoxicillin-clavulanic acid 250 mg + 62.5 mg or</w:t>
            </w:r>
          </w:p>
          <w:p w:rsidRPr="00C261E9" w:rsidR="62E769FC" w:rsidP="30CD2787" w:rsidRDefault="50B6B36F" w14:paraId="11A719D7" w14:textId="053EC6AB">
            <w:pPr>
              <w:pStyle w:val="BodyText"/>
              <w:tabs>
                <w:tab w:val="left" w:pos="1168"/>
              </w:tabs>
              <w:rPr>
                <w:rFonts w:asciiTheme="minorHAnsi" w:hAnsiTheme="minorHAnsi"/>
                <w:sz w:val="16"/>
                <w:szCs w:val="16"/>
              </w:rPr>
            </w:pPr>
            <w:r w:rsidRPr="00C261E9">
              <w:rPr>
                <w:rFonts w:asciiTheme="minorHAnsi" w:hAnsiTheme="minorHAnsi"/>
                <w:sz w:val="16"/>
                <w:szCs w:val="16"/>
              </w:rPr>
              <w:t xml:space="preserve"> 500 + 125 mg tds) versus amoxicillin reported reduced poor or no response [OR 0.08, 95% CI 0.01,0.67], increased cure rate OR 95% CI 10.44 [2.85, 38.21] and no difference in complications [OR 5.21, 95% CI 0.24, 111.24]. One trial with 278 infants aged ≥3 months compared cefpodoxime versus amoxicillin-clavulanic acid 6 to 13 mg/kg/day for 10 days and reported no difference in cure rate at end of treatment [OR 0.69, 95% CI 0.18, 2.60]. One trial with 71 infants aged 2 to 59 months compared penicillin and gentamycin versus amoxicillin-clavulanic acid 30 mg/kg IV q12 hourly for at least 3 days changed to oral when able to feed and reported no difference in failure rate [OR 0.86, 95% CI 0.05,14.39]. One trial with 539 infants ≥6 months age compared levofloxacin versus amoxicillin-clavulanic acid 22.5 mg/kg/dose 12 hourly for 10 days and reported no difference in cure rate [OR 1.05, 95% CI 0.46, 2.42]. One trial with 104 infants ≥2 months age compared oxacillin and ceftriaxone versus amoxicillin-clavulanic acid 100 mg/kg/day every 8 hours for 10 days and reported no difference in failure rate OR 95% CI 0.98 [0.33, 2.92] but decreased time for improvement in tachypnoea [MD -1.0, 95% CI -0.11, -1.89] and decreased length of stay [MD -3.40, 95% CI -5.46, -1.34].</w:t>
            </w:r>
          </w:p>
          <w:p w:rsidRPr="00C261E9" w:rsidR="62E769FC" w:rsidP="62E769FC" w:rsidRDefault="50B6B36F" w14:paraId="16397C2D" w14:textId="5F6659F5">
            <w:pPr>
              <w:pStyle w:val="BodyText"/>
              <w:tabs>
                <w:tab w:val="left" w:pos="1168"/>
              </w:tabs>
              <w:rPr>
                <w:sz w:val="16"/>
                <w:szCs w:val="16"/>
              </w:rPr>
            </w:pPr>
            <w:r w:rsidRPr="00C261E9">
              <w:rPr>
                <w:rFonts w:asciiTheme="minorHAnsi" w:hAnsiTheme="minorHAnsi"/>
                <w:b/>
                <w:bCs/>
                <w:sz w:val="16"/>
                <w:szCs w:val="16"/>
              </w:rPr>
              <w:t xml:space="preserve"> </w:t>
            </w:r>
          </w:p>
          <w:p w:rsidRPr="00C261E9" w:rsidR="62E769FC" w:rsidP="62E769FC" w:rsidRDefault="50B6B36F" w14:paraId="661F8AD9" w14:textId="5C6391C1">
            <w:pPr>
              <w:pStyle w:val="BodyText"/>
              <w:tabs>
                <w:tab w:val="left" w:pos="1168"/>
              </w:tabs>
              <w:rPr>
                <w:sz w:val="16"/>
                <w:szCs w:val="16"/>
              </w:rPr>
            </w:pPr>
            <w:r w:rsidRPr="00C261E9">
              <w:rPr>
                <w:rFonts w:asciiTheme="minorHAnsi" w:hAnsiTheme="minorHAnsi"/>
                <w:b/>
                <w:bCs/>
                <w:sz w:val="16"/>
                <w:szCs w:val="16"/>
              </w:rPr>
              <w:lastRenderedPageBreak/>
              <w:t>Acute otitis media</w:t>
            </w:r>
          </w:p>
          <w:p w:rsidRPr="00C261E9" w:rsidR="62E769FC" w:rsidP="30CD2787" w:rsidRDefault="50B6B36F" w14:paraId="4BD388F4" w14:textId="1C6F4D99">
            <w:pPr>
              <w:pStyle w:val="BodyText"/>
              <w:tabs>
                <w:tab w:val="left" w:pos="1168"/>
              </w:tabs>
              <w:rPr>
                <w:rFonts w:asciiTheme="minorHAnsi" w:hAnsiTheme="minorHAnsi"/>
                <w:sz w:val="16"/>
                <w:szCs w:val="16"/>
              </w:rPr>
            </w:pPr>
            <w:r w:rsidRPr="00C261E9">
              <w:rPr>
                <w:rFonts w:asciiTheme="minorHAnsi" w:hAnsiTheme="minorHAnsi"/>
                <w:b/>
                <w:bCs/>
                <w:sz w:val="16"/>
                <w:szCs w:val="16"/>
              </w:rPr>
              <w:t xml:space="preserve"> </w:t>
            </w:r>
            <w:r w:rsidRPr="00C261E9">
              <w:rPr>
                <w:rFonts w:asciiTheme="minorHAnsi" w:hAnsiTheme="minorHAnsi"/>
                <w:sz w:val="16"/>
                <w:szCs w:val="16"/>
              </w:rPr>
              <w:t>A systematic review of antibiotics for acute otitis media included 13 RCTs with 3401 children from high-income countries. [12] Early antibiotics compared had no early effect on pain, reduced pain in the days following, and reduced the number of children with tympanic perforations, contralateral otitis episodes and abnormal tympanometry findings at two to four weeks and at six to eight weeks compared with placebo. No serious complications occurred in either the antibiotic or the expectant observation group. Immediate antibiotics were associated with a substantial increased risk of vomiting, diarrhoea or rash (RR 1.71, 95% CI 1.24 to 2.36; NNTH 9). Three trials in 611 infants ≥6 months compared amoxicillin-clavulanic acid up to 90 + 6.8 mg/kg/day for 10 days to placebo and reported reduced pain, contralateral otitis media and abnormal tympanometry at 2 to 4 weeks, but increased vomiting, diarrhoea or rash. Conclusion: The benefits of antibiotics must be weighed against the possible harms: for every 14 children treated with antibiotics one child experienced an adverse event such as vomiting, diarrhoea or rash. Antibiotics are most useful in children under 2 years of age, with bilateral AOM, or with both AOM and otorrhoea. [LOE I GOR B]</w:t>
            </w:r>
          </w:p>
          <w:p w:rsidRPr="00C261E9" w:rsidR="62E769FC" w:rsidP="62E769FC" w:rsidRDefault="50B6B36F" w14:paraId="4443CF9F" w14:textId="7FEB832B">
            <w:pPr>
              <w:pStyle w:val="BodyText"/>
              <w:tabs>
                <w:tab w:val="left" w:pos="1168"/>
              </w:tabs>
              <w:rPr>
                <w:sz w:val="16"/>
                <w:szCs w:val="16"/>
              </w:rPr>
            </w:pPr>
            <w:r w:rsidRPr="00C261E9">
              <w:rPr>
                <w:rFonts w:asciiTheme="minorHAnsi" w:hAnsiTheme="minorHAnsi"/>
                <w:b/>
                <w:bCs/>
                <w:sz w:val="16"/>
                <w:szCs w:val="16"/>
              </w:rPr>
              <w:t xml:space="preserve"> </w:t>
            </w:r>
          </w:p>
          <w:p w:rsidRPr="00C261E9" w:rsidR="62E769FC" w:rsidP="62E769FC" w:rsidRDefault="50B6B36F" w14:paraId="75492F9F" w14:textId="1A991DA8">
            <w:pPr>
              <w:pStyle w:val="BodyText"/>
              <w:tabs>
                <w:tab w:val="left" w:pos="1168"/>
              </w:tabs>
              <w:rPr>
                <w:sz w:val="16"/>
                <w:szCs w:val="16"/>
              </w:rPr>
            </w:pPr>
            <w:r w:rsidRPr="00C261E9">
              <w:rPr>
                <w:rFonts w:asciiTheme="minorHAnsi" w:hAnsiTheme="minorHAnsi"/>
                <w:b/>
                <w:bCs/>
                <w:sz w:val="16"/>
                <w:szCs w:val="16"/>
              </w:rPr>
              <w:t>Urinary tract infection</w:t>
            </w:r>
          </w:p>
          <w:p w:rsidRPr="00C261E9" w:rsidR="62E769FC" w:rsidP="30CD2787" w:rsidRDefault="50B6B36F" w14:paraId="0C47395C" w14:textId="6A71387A">
            <w:pPr>
              <w:pStyle w:val="BodyText"/>
              <w:tabs>
                <w:tab w:val="left" w:pos="1168"/>
              </w:tabs>
              <w:rPr>
                <w:rFonts w:asciiTheme="minorHAnsi" w:hAnsiTheme="minorHAnsi"/>
                <w:sz w:val="16"/>
                <w:szCs w:val="16"/>
              </w:rPr>
            </w:pPr>
            <w:r w:rsidRPr="00C261E9">
              <w:rPr>
                <w:rFonts w:asciiTheme="minorHAnsi" w:hAnsiTheme="minorHAnsi"/>
                <w:b/>
                <w:bCs/>
                <w:sz w:val="16"/>
                <w:szCs w:val="16"/>
              </w:rPr>
              <w:t xml:space="preserve"> </w:t>
            </w:r>
            <w:r w:rsidRPr="00C261E9">
              <w:rPr>
                <w:rFonts w:asciiTheme="minorHAnsi" w:hAnsiTheme="minorHAnsi"/>
                <w:sz w:val="16"/>
                <w:szCs w:val="16"/>
              </w:rPr>
              <w:t>Two systematic reviews have assessed the effect of antibiotics for treating uncomplicated lower urinary tract infection in children [13,14]. The more recent included 16 RCTs in 1,116 children from 2 weeks to 18 years age [13]. The review found a long course (10-day) antibiotic treatment is more likely to eliminate bacteria from the urine than single-dose treatments, but there was no difference in rates of persistent bacteriuria, recurrence or reinfection. A single RCT in 48 children 1 to 13 years of 3 versus 10 days oral amoxicillin-clavulanate (20 + 5 mg/kg/d in 3 doses) reported no difference in bacteriuria at end of treatment (short 9/20 versus long 3/17; RR 2.55, 95% CI 0.82, 7.94) or UTI 1 to 15 months after treatment (2/20 versus 2/17; RR 0.85, 95% CI 0.13, 5.41). A single RCT in infants &lt;4 months age comparing amoxicillin-clavulanate (dose not reported) in 7 infants to 4 other antibiotics for non-severe UTI that reported no difference in rate of resolution of bacteriuria. [15]</w:t>
            </w:r>
            <w:r w:rsidRPr="00C261E9" w:rsidR="365512FB">
              <w:rPr>
                <w:rFonts w:asciiTheme="minorHAnsi" w:hAnsiTheme="minorHAnsi"/>
                <w:sz w:val="16"/>
                <w:szCs w:val="16"/>
              </w:rPr>
              <w:t xml:space="preserve"> </w:t>
            </w:r>
            <w:r w:rsidRPr="00C261E9">
              <w:rPr>
                <w:rFonts w:asciiTheme="minorHAnsi" w:hAnsiTheme="minorHAnsi"/>
                <w:sz w:val="16"/>
                <w:szCs w:val="16"/>
              </w:rPr>
              <w:t>Another systematic review assessed the effect of antibiotics for treating acute pyelonephritis in children. The review included 27 RCTs in 4452 children &gt;1 month of age and was biased towards</w:t>
            </w:r>
            <w:r w:rsidRPr="00C261E9" w:rsidR="624B768F">
              <w:rPr>
                <w:rFonts w:asciiTheme="minorHAnsi" w:hAnsiTheme="minorHAnsi"/>
                <w:sz w:val="16"/>
                <w:szCs w:val="16"/>
              </w:rPr>
              <w:t xml:space="preserve"> children who were less sick. [16] Oral antibiotics for 10 to 14 days were as effective as sequential IV therapy for 3 days followed by oral therapy for a total duration of 10 to 14 days, suggesting that children with acute pyelonephritis can be treated effectively with oral antibiotics. If IV antibiotic therapy is given, a short course of IV therapy given for two to four days followed by oral therapy with total therapy duration of 10 to 21 days was as effective as a longer duration of IV antibiotic therapy given for seven to 10 days with total duration of therapy of 10 to 21 days. [16] [LOE I GOR B for infants &gt;1 month age] Four trials including 523 infants included IV or oral amoxicillin-clavulanate as a comparator to other antibiotics with no significant differences in outcomes reported in any. The dose of intravenous amoxicillin-clavulanate was 25mg/kg/dose 6 hourly, and oral amoxicillin-clavulanate ranged from 50 mg/kg/day to 50 mg/kg/dose 8 hourly.</w:t>
            </w:r>
          </w:p>
          <w:p w:rsidRPr="00C261E9" w:rsidR="62E769FC" w:rsidP="30CD2787" w:rsidRDefault="62E769FC" w14:paraId="66E2C6A4" w14:textId="2AC06C95">
            <w:pPr>
              <w:pStyle w:val="BodyText"/>
              <w:tabs>
                <w:tab w:val="left" w:pos="1168"/>
              </w:tabs>
              <w:rPr>
                <w:rFonts w:asciiTheme="minorHAnsi" w:hAnsiTheme="minorHAnsi"/>
                <w:b/>
                <w:bCs/>
                <w:sz w:val="16"/>
                <w:szCs w:val="16"/>
              </w:rPr>
            </w:pPr>
          </w:p>
          <w:p w:rsidRPr="00C261E9" w:rsidR="62E769FC" w:rsidP="30CD2787" w:rsidRDefault="1E08085C" w14:paraId="6D5DC2EA" w14:textId="6722DF0F">
            <w:pPr>
              <w:pStyle w:val="BodyText"/>
              <w:tabs>
                <w:tab w:val="left" w:pos="1168"/>
              </w:tabs>
              <w:rPr>
                <w:rFonts w:asciiTheme="minorHAnsi" w:hAnsiTheme="minorHAnsi"/>
                <w:sz w:val="16"/>
                <w:szCs w:val="16"/>
              </w:rPr>
            </w:pPr>
            <w:r w:rsidRPr="00C261E9">
              <w:rPr>
                <w:rFonts w:asciiTheme="minorHAnsi" w:hAnsiTheme="minorHAnsi"/>
                <w:b/>
                <w:bCs/>
                <w:sz w:val="16"/>
                <w:szCs w:val="16"/>
              </w:rPr>
              <w:t>Skin infection</w:t>
            </w:r>
          </w:p>
          <w:p w:rsidRPr="00C261E9" w:rsidR="62E769FC" w:rsidP="62E769FC" w:rsidRDefault="1E08085C" w14:paraId="5C49F618" w14:textId="73D3E055">
            <w:pPr>
              <w:pStyle w:val="BodyText"/>
              <w:tabs>
                <w:tab w:val="left" w:pos="1168"/>
              </w:tabs>
              <w:rPr>
                <w:sz w:val="16"/>
                <w:szCs w:val="16"/>
              </w:rPr>
            </w:pPr>
            <w:r w:rsidRPr="00C261E9">
              <w:rPr>
                <w:rFonts w:asciiTheme="minorHAnsi" w:hAnsiTheme="minorHAnsi"/>
                <w:sz w:val="16"/>
                <w:szCs w:val="16"/>
              </w:rPr>
              <w:t xml:space="preserve"> One RCT, in 35 infants with impetigo, bullous impetigo, and impetigo complicated by cellulitis aged 6 months to 12 years, compared amoxicillin-clavulanate 25 mg/kg 8 hourly daily versus cefaclor 20 mg/kg 8 hourly. Clinical cure rates were similar: amoxicillin -clavulanate 18/21 (86%) versus cefaclor 18/20 (90%). Nine 9 (43%) of 21 on amoxicillin -clavulanate versus 1 (5%) of 20 taking cefaclor experienced an adverse reaction (diarrhoea in 9 and vomiting and diarrhoea in one).[17]</w:t>
            </w:r>
            <w:r w:rsidRPr="00C261E9" w:rsidR="58B96ADC">
              <w:rPr>
                <w:rFonts w:asciiTheme="minorHAnsi" w:hAnsiTheme="minorHAnsi"/>
                <w:sz w:val="16"/>
                <w:szCs w:val="16"/>
              </w:rPr>
              <w:t xml:space="preserve"> </w:t>
            </w:r>
            <w:r w:rsidRPr="00C261E9">
              <w:rPr>
                <w:rFonts w:asciiTheme="minorHAnsi" w:hAnsiTheme="minorHAnsi"/>
                <w:sz w:val="16"/>
                <w:szCs w:val="16"/>
              </w:rPr>
              <w:t>In another controlled clinical trial 200 infants, 10 months to 12 years ago with skin and soft tissue infections (impetigo, ecthyma, folliculitis, furunculosis and infected scabies), received amoxicillin-clavulanate 20mg/kg/dose 8 hourly for 10 days versus amoxicillin or erythromycin or co-trimoxazole. Mild to moderate infections were cleared by all regimens by the 2nd week, and the majority of severe infections cleared by all but co-trimoxazole. [18]</w:t>
            </w:r>
          </w:p>
          <w:p w:rsidRPr="00C261E9" w:rsidR="62E769FC" w:rsidP="62E769FC" w:rsidRDefault="1E08085C" w14:paraId="5F7C42BD" w14:textId="0D7A0C97">
            <w:pPr>
              <w:pStyle w:val="BodyText"/>
              <w:tabs>
                <w:tab w:val="left" w:pos="1168"/>
              </w:tabs>
              <w:rPr>
                <w:sz w:val="16"/>
                <w:szCs w:val="16"/>
              </w:rPr>
            </w:pPr>
            <w:r w:rsidRPr="00C261E9">
              <w:rPr>
                <w:rFonts w:asciiTheme="minorHAnsi" w:hAnsiTheme="minorHAnsi"/>
                <w:sz w:val="16"/>
                <w:szCs w:val="16"/>
              </w:rPr>
              <w:t xml:space="preserve"> </w:t>
            </w:r>
          </w:p>
          <w:p w:rsidRPr="00C261E9" w:rsidR="62E769FC" w:rsidP="30CD2787" w:rsidRDefault="1E08085C" w14:paraId="53D0391F" w14:textId="4448819D">
            <w:pPr>
              <w:pStyle w:val="BodyText"/>
              <w:tabs>
                <w:tab w:val="left" w:pos="1168"/>
              </w:tabs>
              <w:rPr>
                <w:rFonts w:asciiTheme="minorHAnsi" w:hAnsiTheme="minorHAnsi"/>
                <w:b/>
                <w:bCs/>
                <w:sz w:val="16"/>
                <w:szCs w:val="16"/>
              </w:rPr>
            </w:pPr>
            <w:r w:rsidRPr="00C261E9">
              <w:rPr>
                <w:rFonts w:asciiTheme="minorHAnsi" w:hAnsiTheme="minorHAnsi"/>
                <w:b/>
                <w:bCs/>
                <w:sz w:val="16"/>
                <w:szCs w:val="16"/>
              </w:rPr>
              <w:t>Safety</w:t>
            </w:r>
          </w:p>
          <w:p w:rsidRPr="00C261E9" w:rsidR="62E769FC" w:rsidP="62E769FC" w:rsidRDefault="1E08085C" w14:paraId="7DBC4E8E" w14:textId="0FBDD218">
            <w:pPr>
              <w:pStyle w:val="BodyText"/>
              <w:tabs>
                <w:tab w:val="left" w:pos="1168"/>
              </w:tabs>
              <w:rPr>
                <w:sz w:val="16"/>
                <w:szCs w:val="16"/>
              </w:rPr>
            </w:pPr>
            <w:r w:rsidRPr="00C261E9">
              <w:rPr>
                <w:rFonts w:asciiTheme="minorHAnsi" w:hAnsiTheme="minorHAnsi"/>
                <w:sz w:val="16"/>
                <w:szCs w:val="16"/>
              </w:rPr>
              <w:t xml:space="preserve"> The most frequently reported adverse events in children were mild gastrointestinal disturbances (&lt; 5%) with diarrhoea largely attributed to the clavulanate component. The incidence of diarrhoea was lower for 12 hourly than 8 hourly regimens (6.7 – 9.6% versus 10.3 – 26.7% respectively). A study on out-patient children showed an increased risk diarrhoea related to amoxicillin-clavulanate use compared with all other antibiotics combined (RR 2.43 CI 95%:1.40 – 4.21; p = 0.003) and was higher in children aged &lt; 2 years. [19] No serious adverse events and a low total incidence of events (3.6%) were reported during post marketing surveillance of 3048 children aged ≤ 14 years with acute otitis media who received amoxicillin-clavulanate 300 – 450 mg/day in three divided doses. [19]</w:t>
            </w:r>
            <w:r w:rsidRPr="00C261E9" w:rsidR="76E9E92A">
              <w:rPr>
                <w:rFonts w:asciiTheme="minorHAnsi" w:hAnsiTheme="minorHAnsi"/>
                <w:sz w:val="16"/>
                <w:szCs w:val="16"/>
              </w:rPr>
              <w:t xml:space="preserve"> </w:t>
            </w:r>
            <w:r w:rsidRPr="00C261E9">
              <w:rPr>
                <w:rFonts w:asciiTheme="minorHAnsi" w:hAnsiTheme="minorHAnsi"/>
                <w:sz w:val="16"/>
                <w:szCs w:val="16"/>
              </w:rPr>
              <w:t>Liver toxicity (incidence ranging from 1 to 1.7 per 10,000) is strongly related to amoxicillin-clavulanate treatment, whereas amoxicillin is marginally implicated. Rare cases of Steven–Johnson Syndrome occur with amoxicillin-clavulanate, despite a higher incidence of skin reactions related to amoxicillin. 19]</w:t>
            </w:r>
          </w:p>
          <w:p w:rsidRPr="00C261E9" w:rsidR="62E769FC" w:rsidP="62E769FC" w:rsidRDefault="1E08085C" w14:paraId="1F49DC9E" w14:textId="76501069">
            <w:pPr>
              <w:pStyle w:val="BodyText"/>
              <w:tabs>
                <w:tab w:val="left" w:pos="1168"/>
              </w:tabs>
              <w:rPr>
                <w:sz w:val="16"/>
                <w:szCs w:val="16"/>
              </w:rPr>
            </w:pPr>
            <w:r w:rsidRPr="00C261E9">
              <w:rPr>
                <w:rFonts w:asciiTheme="minorHAnsi" w:hAnsiTheme="minorHAnsi"/>
                <w:sz w:val="16"/>
                <w:szCs w:val="16"/>
              </w:rPr>
              <w:t xml:space="preserve"> </w:t>
            </w:r>
          </w:p>
          <w:p w:rsidRPr="00C261E9" w:rsidR="62E769FC" w:rsidP="30CD2787" w:rsidRDefault="1E08085C" w14:paraId="2E0D6B0A" w14:textId="23927288">
            <w:pPr>
              <w:pStyle w:val="BodyText"/>
              <w:tabs>
                <w:tab w:val="left" w:pos="1168"/>
              </w:tabs>
              <w:rPr>
                <w:rFonts w:asciiTheme="minorHAnsi" w:hAnsiTheme="minorHAnsi"/>
                <w:b/>
                <w:bCs/>
                <w:sz w:val="16"/>
                <w:szCs w:val="16"/>
              </w:rPr>
            </w:pPr>
            <w:r w:rsidRPr="00C261E9">
              <w:rPr>
                <w:rFonts w:asciiTheme="minorHAnsi" w:hAnsiTheme="minorHAnsi"/>
                <w:b/>
                <w:bCs/>
                <w:sz w:val="16"/>
                <w:szCs w:val="16"/>
              </w:rPr>
              <w:t>Pharmacokinetics</w:t>
            </w:r>
          </w:p>
          <w:p w:rsidRPr="00C261E9" w:rsidR="62E769FC" w:rsidP="62E769FC" w:rsidRDefault="1E08085C" w14:paraId="5FAA6BE0" w14:textId="13D1DCAC">
            <w:pPr>
              <w:pStyle w:val="BodyText"/>
              <w:tabs>
                <w:tab w:val="left" w:pos="1168"/>
              </w:tabs>
              <w:rPr>
                <w:sz w:val="16"/>
                <w:szCs w:val="16"/>
              </w:rPr>
            </w:pPr>
            <w:r w:rsidRPr="00C261E9">
              <w:rPr>
                <w:rFonts w:asciiTheme="minorHAnsi" w:hAnsiTheme="minorHAnsi"/>
                <w:sz w:val="16"/>
                <w:szCs w:val="16"/>
              </w:rPr>
              <w:t>There are 7 reported pharmacokinetic studies of amoxicillin in neonates (4 in children and 13 in adults). In summary statistics, the post menstrual age range of patients for amoxicillin ranged from 29 weeks to 82 years finding mean drug clearance for amoxicillin 10.9 (range 1.3–22.4) L/hour/70kg, and mean volume of distribution for amoxicillin 28.9 (10.7–53.5) L/70kg. There is a lower clearance and higher volume of distribution for amoxicillin in neonates. [20] The elimination half-life of amoxicillin in children averages 1 to 1.2 hours. [7]</w:t>
            </w:r>
            <w:r w:rsidRPr="00C261E9" w:rsidR="1DA7F685">
              <w:rPr>
                <w:rFonts w:asciiTheme="minorHAnsi" w:hAnsiTheme="minorHAnsi"/>
                <w:sz w:val="16"/>
                <w:szCs w:val="16"/>
              </w:rPr>
              <w:t xml:space="preserve"> </w:t>
            </w:r>
            <w:r w:rsidRPr="00C261E9">
              <w:rPr>
                <w:rFonts w:asciiTheme="minorHAnsi" w:hAnsiTheme="minorHAnsi"/>
                <w:sz w:val="16"/>
                <w:szCs w:val="16"/>
              </w:rPr>
              <w:t xml:space="preserve">There are no reported pharmacokinetic data for clavulanate in neonates. In summary statistics, the post menstrual age range for clavulanate ranged from 2.6 to 71 years finding mean drug clearance 13.9 (8.9–17.9) L/hour/70kg, </w:t>
            </w:r>
            <w:r w:rsidRPr="00C261E9">
              <w:rPr>
                <w:rFonts w:asciiTheme="minorHAnsi" w:hAnsiTheme="minorHAnsi"/>
                <w:sz w:val="16"/>
                <w:szCs w:val="16"/>
              </w:rPr>
              <w:lastRenderedPageBreak/>
              <w:t>and mean volume of distribution (all ages) (range) for clavulanate 23.9 (21.0– 30.4) L/70kg. [20] The elimination half-life of clavulanate in children averages 1.0 hours. [7]</w:t>
            </w:r>
            <w:r w:rsidRPr="00C261E9" w:rsidR="2D638B0E">
              <w:rPr>
                <w:rFonts w:asciiTheme="minorHAnsi" w:hAnsiTheme="minorHAnsi"/>
                <w:sz w:val="16"/>
                <w:szCs w:val="16"/>
              </w:rPr>
              <w:t xml:space="preserve"> </w:t>
            </w:r>
            <w:r w:rsidRPr="00C261E9">
              <w:rPr>
                <w:rFonts w:asciiTheme="minorHAnsi" w:hAnsiTheme="minorHAnsi"/>
                <w:sz w:val="16"/>
                <w:szCs w:val="16"/>
              </w:rPr>
              <w:t>To achieve sufficient amoxicillin and high clavulanate exposure, the optimal regimen is to administer narrower ratio amoxicillin-clavulanate (typically 4:1) in a three times daily regimen. [8]</w:t>
            </w:r>
            <w:r w:rsidRPr="00C261E9" w:rsidR="02291A09">
              <w:rPr>
                <w:rFonts w:asciiTheme="minorHAnsi" w:hAnsiTheme="minorHAnsi"/>
                <w:sz w:val="16"/>
                <w:szCs w:val="16"/>
              </w:rPr>
              <w:t xml:space="preserve"> </w:t>
            </w:r>
            <w:r w:rsidRPr="00C261E9">
              <w:rPr>
                <w:rFonts w:asciiTheme="minorHAnsi" w:hAnsiTheme="minorHAnsi"/>
                <w:sz w:val="16"/>
                <w:szCs w:val="16"/>
              </w:rPr>
              <w:t>In adults and children, the oral bioavailability of amoxicillin is about 70 to 90% and maximum serum concentrations occur within 60 to 90 minutes of administration. Clavulanate has variable oral bioavailability of 31 to 99%. [7] However, neonates may have reduced bioavailability of oral amoxicillin. In a crossover study in 14 fasting newborn infants 6-13 days old given IM ampicillin or amoxicillin 50 mg/kg twice daily, the mean peak level was 58% (range 35-96%) for oral compared to parenteral dosing, and area under the time-concentration curve was 75% (range 60-101%). [21] There are no data for oral bioavailability of clavulanate in neonates.</w:t>
            </w:r>
            <w:r w:rsidRPr="00C261E9" w:rsidR="5290FD2D">
              <w:rPr>
                <w:rFonts w:asciiTheme="minorHAnsi" w:hAnsiTheme="minorHAnsi"/>
                <w:sz w:val="16"/>
                <w:szCs w:val="16"/>
              </w:rPr>
              <w:t xml:space="preserve"> </w:t>
            </w:r>
            <w:r w:rsidRPr="00C261E9">
              <w:rPr>
                <w:rFonts w:asciiTheme="minorHAnsi" w:hAnsiTheme="minorHAnsi"/>
                <w:sz w:val="16"/>
                <w:szCs w:val="16"/>
              </w:rPr>
              <w:t>To decrease the patient's medication burden by prescribing only twice daily amoxicillin -clavulanate, then a higher ratio (e.g. 7:1) can be employed in order to increase amoxicillin exposure (to improve efficacy) and limit clavulanate exposure (to reduce toxicity). Twice-daily regimens are commonly</w:t>
            </w:r>
            <w:r w:rsidRPr="00C261E9" w:rsidR="60C271AF">
              <w:rPr>
                <w:rFonts w:asciiTheme="minorHAnsi" w:hAnsiTheme="minorHAnsi"/>
                <w:sz w:val="16"/>
                <w:szCs w:val="16"/>
              </w:rPr>
              <w:t xml:space="preserve"> recommended in the treatment of acute otitis media or community-acquired pneumonia during,</w:t>
            </w:r>
            <w:r w:rsidRPr="00C261E9" w:rsidR="073763D1">
              <w:rPr>
                <w:rFonts w:asciiTheme="minorHAnsi" w:hAnsiTheme="minorHAnsi"/>
                <w:sz w:val="16"/>
                <w:szCs w:val="16"/>
              </w:rPr>
              <w:t xml:space="preserve"> </w:t>
            </w:r>
            <w:r w:rsidRPr="00C261E9" w:rsidR="60C271AF">
              <w:rPr>
                <w:rFonts w:asciiTheme="minorHAnsi" w:hAnsiTheme="minorHAnsi"/>
                <w:sz w:val="16"/>
                <w:szCs w:val="16"/>
              </w:rPr>
              <w:t>childhood. [8], Gram-negative organisms require higher and more sustained levels of both amoxicillin as well as the,</w:t>
            </w:r>
            <w:r w:rsidRPr="00C261E9" w:rsidR="1BA9203F">
              <w:rPr>
                <w:rFonts w:asciiTheme="minorHAnsi" w:hAnsiTheme="minorHAnsi"/>
                <w:sz w:val="16"/>
                <w:szCs w:val="16"/>
              </w:rPr>
              <w:t xml:space="preserve"> </w:t>
            </w:r>
            <w:r w:rsidRPr="00C261E9" w:rsidR="60C271AF">
              <w:rPr>
                <w:rFonts w:asciiTheme="minorHAnsi" w:hAnsiTheme="minorHAnsi"/>
                <w:sz w:val="16"/>
                <w:szCs w:val="16"/>
              </w:rPr>
              <w:t>clavulanic-acid component for optimal therapy. For clinical syndromes in which Gram-negative, pathogens are causative (e.g. urinary tract infection), a narrower ratio (e.g. 4:1) with more frequent, dosing (three or four rather than two times daily) is needed for efficacy. [8],For Gram-positive pathogens, which appear to have a higher affinity for clavulanate and are also,</w:t>
            </w:r>
            <w:r w:rsidRPr="00C261E9" w:rsidR="51D9289D">
              <w:rPr>
                <w:rFonts w:asciiTheme="minorHAnsi" w:hAnsiTheme="minorHAnsi"/>
                <w:sz w:val="16"/>
                <w:szCs w:val="16"/>
              </w:rPr>
              <w:t xml:space="preserve"> </w:t>
            </w:r>
            <w:r w:rsidRPr="00C261E9" w:rsidR="60C271AF">
              <w:rPr>
                <w:rFonts w:asciiTheme="minorHAnsi" w:hAnsiTheme="minorHAnsi"/>
                <w:sz w:val="16"/>
                <w:szCs w:val="16"/>
              </w:rPr>
              <w:t>susceptible to lower amoxicillin concentrations, combinations with a wider ratio (e.g. 7:1) appear to be, sufficient in terms of clavulanate exposure. [8], Extreme ratios of 14:1 or 16:1 should be used with caution until more data are available.[8], Impaired renal function: Extra-renal elimination of clavulanate is much more rapid than that of,</w:t>
            </w:r>
            <w:r w:rsidRPr="00C261E9" w:rsidR="1B925143">
              <w:rPr>
                <w:rFonts w:asciiTheme="minorHAnsi" w:hAnsiTheme="minorHAnsi"/>
                <w:sz w:val="16"/>
                <w:szCs w:val="16"/>
              </w:rPr>
              <w:t xml:space="preserve"> </w:t>
            </w:r>
            <w:r w:rsidRPr="00C261E9" w:rsidR="60C271AF">
              <w:rPr>
                <w:rFonts w:asciiTheme="minorHAnsi" w:hAnsiTheme="minorHAnsi"/>
                <w:sz w:val="16"/>
                <w:szCs w:val="16"/>
              </w:rPr>
              <w:t>amoxicillin. Whereas the elimination half-life of amoxicillin increases 6-fold in patients with severe,</w:t>
            </w:r>
            <w:r w:rsidRPr="00C261E9" w:rsidR="03D20EA8">
              <w:rPr>
                <w:rFonts w:asciiTheme="minorHAnsi" w:hAnsiTheme="minorHAnsi"/>
                <w:sz w:val="16"/>
                <w:szCs w:val="16"/>
              </w:rPr>
              <w:t xml:space="preserve"> </w:t>
            </w:r>
            <w:r w:rsidRPr="00C261E9" w:rsidR="60C271AF">
              <w:rPr>
                <w:rFonts w:asciiTheme="minorHAnsi" w:hAnsiTheme="minorHAnsi"/>
                <w:sz w:val="16"/>
                <w:szCs w:val="16"/>
              </w:rPr>
              <w:t>renal failure, the corresponding increase for clavulanate is only 2.6-fold. [3],</w:t>
            </w:r>
            <w:r w:rsidRPr="00C261E9" w:rsidR="58A82640">
              <w:rPr>
                <w:rFonts w:asciiTheme="minorHAnsi" w:hAnsiTheme="minorHAnsi"/>
                <w:sz w:val="16"/>
                <w:szCs w:val="16"/>
              </w:rPr>
              <w:t xml:space="preserve"> </w:t>
            </w:r>
            <w:r w:rsidRPr="00C261E9" w:rsidR="60C271AF">
              <w:rPr>
                <w:rFonts w:asciiTheme="minorHAnsi" w:hAnsiTheme="minorHAnsi"/>
                <w:sz w:val="16"/>
                <w:szCs w:val="16"/>
              </w:rPr>
              <w:t>No dosage adjustments are required for patients with impaired hepatic function, but amoxicillin-,</w:t>
            </w:r>
            <w:r w:rsidRPr="00C261E9" w:rsidR="4E0F6A75">
              <w:rPr>
                <w:rFonts w:asciiTheme="minorHAnsi" w:hAnsiTheme="minorHAnsi"/>
                <w:sz w:val="16"/>
                <w:szCs w:val="16"/>
              </w:rPr>
              <w:t xml:space="preserve"> </w:t>
            </w:r>
            <w:r w:rsidRPr="00C261E9" w:rsidR="60C271AF">
              <w:rPr>
                <w:rFonts w:asciiTheme="minorHAnsi" w:hAnsiTheme="minorHAnsi"/>
                <w:sz w:val="16"/>
                <w:szCs w:val="16"/>
              </w:rPr>
              <w:t>clavulanic should be used with caution and hepatic function monitored. [3]</w:t>
            </w:r>
          </w:p>
          <w:p w:rsidRPr="00C261E9" w:rsidR="62E769FC" w:rsidP="30CD2787" w:rsidRDefault="62E769FC" w14:paraId="31C71156" w14:textId="2D9DEC9D">
            <w:pPr>
              <w:pStyle w:val="BodyText"/>
              <w:tabs>
                <w:tab w:val="left" w:pos="1168"/>
              </w:tabs>
              <w:rPr>
                <w:rFonts w:asciiTheme="minorHAnsi" w:hAnsiTheme="minorHAnsi"/>
                <w:sz w:val="16"/>
                <w:szCs w:val="16"/>
              </w:rPr>
            </w:pPr>
          </w:p>
          <w:p w:rsidRPr="00C261E9" w:rsidR="62E769FC" w:rsidP="30CD2787" w:rsidRDefault="62E769FC" w14:paraId="71C66F0F" w14:textId="7C7849AF">
            <w:pPr>
              <w:pStyle w:val="BodyText"/>
              <w:tabs>
                <w:tab w:val="left" w:pos="1168"/>
              </w:tabs>
              <w:rPr>
                <w:rFonts w:asciiTheme="minorHAnsi" w:hAnsiTheme="minorHAnsi"/>
                <w:sz w:val="16"/>
                <w:szCs w:val="16"/>
              </w:rPr>
            </w:pPr>
          </w:p>
        </w:tc>
      </w:tr>
      <w:tr w:rsidR="00273A16" w:rsidTr="77BEE3D0" w14:paraId="490E7EC5" w14:textId="77777777">
        <w:trPr>
          <w:trHeight w:val="310"/>
        </w:trPr>
        <w:tc>
          <w:tcPr>
            <w:tcW w:w="1983" w:type="dxa"/>
          </w:tcPr>
          <w:p w:rsidR="0A9DC867" w:rsidP="30CD2787" w:rsidRDefault="0A9DC867" w14:paraId="3E92103E" w14:textId="5CB5DA70">
            <w:pPr>
              <w:pStyle w:val="BodyText"/>
              <w:rPr>
                <w:rFonts w:cs="Arial" w:asciiTheme="minorHAnsi" w:hAnsiTheme="minorHAnsi"/>
                <w:b/>
                <w:bCs/>
                <w:sz w:val="20"/>
              </w:rPr>
            </w:pPr>
            <w:r w:rsidRPr="30CD2787">
              <w:rPr>
                <w:rFonts w:cs="Arial" w:asciiTheme="minorHAnsi" w:hAnsiTheme="minorHAnsi"/>
                <w:b/>
                <w:bCs/>
                <w:sz w:val="20"/>
              </w:rPr>
              <w:lastRenderedPageBreak/>
              <w:t>Practice Points</w:t>
            </w:r>
          </w:p>
        </w:tc>
        <w:tc>
          <w:tcPr>
            <w:tcW w:w="7351" w:type="dxa"/>
          </w:tcPr>
          <w:p w:rsidRPr="00C261E9" w:rsidR="0A9DC867" w:rsidP="30CD2787" w:rsidRDefault="0A9DC867" w14:paraId="35BA7276" w14:textId="323FEE72">
            <w:pPr>
              <w:pStyle w:val="BodyText"/>
              <w:rPr>
                <w:rFonts w:asciiTheme="minorHAnsi" w:hAnsiTheme="minorHAnsi"/>
                <w:sz w:val="16"/>
                <w:szCs w:val="16"/>
              </w:rPr>
            </w:pPr>
            <w:r w:rsidRPr="00C261E9">
              <w:rPr>
                <w:rFonts w:asciiTheme="minorHAnsi" w:hAnsiTheme="minorHAnsi"/>
                <w:sz w:val="16"/>
                <w:szCs w:val="16"/>
              </w:rPr>
              <w:t>The pharmacokinetics of clavulanate has not been evaluated in neonates. Further trials are needed to establish the safety and efficacy of iv-to-oral switch therapy in neonates, although some efficacy data exist for infants &gt;1 month age. [9] [LOE I GOR C], Amoxicillin-clavulanic acid should be considered a 2nd line agent for infants with WHO defined non-, severe community-acquired pneumonia. There are no data for infants &lt;3 months age. [LOE I, GOR B], Amoxicillin-clavulanate should be considered a 2nd line agent for infants with a urinary tract infection,</w:t>
            </w:r>
            <w:r w:rsidRPr="00C261E9" w:rsidR="74794395">
              <w:rPr>
                <w:rFonts w:asciiTheme="minorHAnsi" w:hAnsiTheme="minorHAnsi"/>
                <w:sz w:val="16"/>
                <w:szCs w:val="16"/>
              </w:rPr>
              <w:t xml:space="preserve"> </w:t>
            </w:r>
            <w:r w:rsidRPr="00C261E9">
              <w:rPr>
                <w:rFonts w:asciiTheme="minorHAnsi" w:hAnsiTheme="minorHAnsi"/>
                <w:sz w:val="16"/>
                <w:szCs w:val="16"/>
              </w:rPr>
              <w:t>or for oral to IV switch therapy for pyelonephritis with a sensitive organism for infants &gt;1 month age.[LOE I GOR B],</w:t>
            </w:r>
          </w:p>
          <w:p w:rsidRPr="00C261E9" w:rsidR="30CD2787" w:rsidP="30CD2787" w:rsidRDefault="30CD2787" w14:paraId="37C0FE6C" w14:textId="174EC8A9">
            <w:pPr>
              <w:pStyle w:val="BodyText"/>
              <w:rPr>
                <w:rFonts w:asciiTheme="minorHAnsi" w:hAnsiTheme="minorHAnsi"/>
                <w:sz w:val="16"/>
                <w:szCs w:val="16"/>
              </w:rPr>
            </w:pPr>
          </w:p>
        </w:tc>
      </w:tr>
      <w:tr w:rsidR="00273A16" w:rsidTr="77BEE3D0" w14:paraId="755644D0" w14:textId="77777777">
        <w:trPr>
          <w:trHeight w:val="398"/>
        </w:trPr>
        <w:tc>
          <w:tcPr>
            <w:tcW w:w="1986" w:type="dxa"/>
          </w:tcPr>
          <w:p w:rsidR="62E769FC" w:rsidP="62E769FC" w:rsidRDefault="62E769FC" w14:paraId="1038E1B8" w14:textId="77777777">
            <w:pPr>
              <w:pStyle w:val="BodyText"/>
              <w:rPr>
                <w:rFonts w:cs="Arial" w:asciiTheme="minorHAnsi" w:hAnsiTheme="minorHAnsi"/>
                <w:b/>
                <w:bCs/>
                <w:sz w:val="20"/>
              </w:rPr>
            </w:pPr>
            <w:r w:rsidRPr="62E769FC">
              <w:rPr>
                <w:rFonts w:asciiTheme="minorHAnsi" w:hAnsiTheme="minorHAnsi"/>
                <w:b/>
                <w:bCs/>
                <w:sz w:val="20"/>
              </w:rPr>
              <w:t>References</w:t>
            </w:r>
          </w:p>
        </w:tc>
        <w:tc>
          <w:tcPr>
            <w:tcW w:w="7938" w:type="dxa"/>
          </w:tcPr>
          <w:p w:rsidRPr="00C261E9" w:rsidR="62E769FC" w:rsidP="001B0E05" w:rsidRDefault="33F73378" w14:paraId="51DA13E7" w14:textId="129726C2">
            <w:pPr>
              <w:pStyle w:val="ListParagraph"/>
              <w:numPr>
                <w:ilvl w:val="0"/>
                <w:numId w:val="12"/>
              </w:numPr>
              <w:rPr>
                <w:rFonts w:eastAsia="Calibri" w:cs="Calibri"/>
                <w:sz w:val="16"/>
                <w:szCs w:val="16"/>
              </w:rPr>
            </w:pPr>
            <w:r w:rsidRPr="00C261E9">
              <w:rPr>
                <w:rFonts w:eastAsia="Calibri" w:cs="Calibri"/>
                <w:noProof/>
                <w:sz w:val="16"/>
                <w:szCs w:val="16"/>
                <w:lang w:val="en-AU"/>
              </w:rPr>
              <w:t>Petri WA Jr. Penicillins, cephalosporins and beta-lactam antibiotics. In Goodman and Gilman’s Th</w:t>
            </w:r>
            <w:r w:rsidRPr="00C261E9" w:rsidR="211711CC">
              <w:rPr>
                <w:rFonts w:eastAsia="Calibri" w:cs="Calibri"/>
                <w:noProof/>
                <w:sz w:val="16"/>
                <w:szCs w:val="16"/>
                <w:lang w:val="en-AU"/>
              </w:rPr>
              <w:t xml:space="preserve">e </w:t>
            </w:r>
            <w:r w:rsidRPr="00C261E9">
              <w:rPr>
                <w:rFonts w:eastAsia="Calibri" w:cs="Calibri"/>
                <w:noProof/>
                <w:sz w:val="16"/>
                <w:szCs w:val="16"/>
                <w:lang w:val="en-AU"/>
              </w:rPr>
              <w:t>Pharmacologic Basis of Therapeutics. 12th Ed. The McGrath-Hill Companies. P1477-1503.</w:t>
            </w:r>
          </w:p>
          <w:p w:rsidRPr="00C261E9" w:rsidR="62E769FC" w:rsidP="001B0E05" w:rsidRDefault="33F73378" w14:paraId="5228EE1B" w14:textId="2DCBFB99">
            <w:pPr>
              <w:pStyle w:val="ListParagraph"/>
              <w:numPr>
                <w:ilvl w:val="0"/>
                <w:numId w:val="12"/>
              </w:numPr>
              <w:rPr>
                <w:rFonts w:eastAsia="Calibri" w:cs="Calibri"/>
                <w:sz w:val="16"/>
                <w:szCs w:val="16"/>
              </w:rPr>
            </w:pPr>
            <w:r w:rsidRPr="00C261E9">
              <w:rPr>
                <w:rFonts w:eastAsia="Calibri" w:cs="Calibri"/>
                <w:noProof/>
                <w:sz w:val="16"/>
                <w:szCs w:val="16"/>
                <w:lang w:val="en-AU"/>
              </w:rPr>
              <w:t>MIMS online. Amoxicillin-clavulanic acid. Accessed on 21st October 2019.</w:t>
            </w:r>
          </w:p>
          <w:p w:rsidRPr="00C261E9" w:rsidR="62E769FC" w:rsidP="001B0E05" w:rsidRDefault="33F73378" w14:paraId="0FF91F9F" w14:textId="5741EAC9">
            <w:pPr>
              <w:pStyle w:val="ListParagraph"/>
              <w:numPr>
                <w:ilvl w:val="0"/>
                <w:numId w:val="12"/>
              </w:numPr>
              <w:rPr>
                <w:rFonts w:eastAsia="Calibri" w:cs="Calibri"/>
                <w:sz w:val="16"/>
                <w:szCs w:val="16"/>
              </w:rPr>
            </w:pPr>
            <w:r w:rsidRPr="00C261E9">
              <w:rPr>
                <w:rFonts w:eastAsia="Calibri" w:cs="Calibri"/>
                <w:noProof/>
                <w:sz w:val="16"/>
                <w:szCs w:val="16"/>
                <w:lang w:val="en-AU"/>
              </w:rPr>
              <w:t>Kucers’ The use of antibiotics. A clinical review of antibacterial, antifungal, antiparasitic andantiviral drugs. 6th ed. Grayson LM CS, McCarthy JS, Mills J, Mouton JW, Norrby SR, Paterson DL,</w:t>
            </w:r>
          </w:p>
          <w:p w:rsidRPr="00C261E9" w:rsidR="62E769FC" w:rsidP="001B0E05" w:rsidRDefault="33F73378" w14:paraId="2DF42B25" w14:textId="1CF1393F">
            <w:pPr>
              <w:pStyle w:val="ListParagraph"/>
              <w:numPr>
                <w:ilvl w:val="0"/>
                <w:numId w:val="12"/>
              </w:numPr>
              <w:rPr>
                <w:rFonts w:eastAsia="Calibri" w:cs="Calibri"/>
                <w:sz w:val="16"/>
                <w:szCs w:val="16"/>
              </w:rPr>
            </w:pPr>
            <w:r w:rsidRPr="00C261E9">
              <w:rPr>
                <w:rFonts w:eastAsia="Calibri" w:cs="Calibri"/>
                <w:noProof/>
                <w:sz w:val="16"/>
                <w:szCs w:val="16"/>
                <w:lang w:val="en-AU"/>
              </w:rPr>
              <w:t>Pfaller PA, editor: CRC Press, Taylor &amp; Francis Group; 2013.BNFC</w:t>
            </w:r>
            <w:r w:rsidRPr="00C261E9" w:rsidR="4AE005B0">
              <w:rPr>
                <w:rFonts w:eastAsia="Calibri" w:cs="Calibri"/>
                <w:noProof/>
                <w:sz w:val="16"/>
                <w:szCs w:val="16"/>
                <w:lang w:val="en-AU"/>
              </w:rPr>
              <w:t xml:space="preserve"> </w:t>
            </w:r>
            <w:hyperlink w:anchor="/content/bnfc/_522717287?hspl=augmen" r:id="rId16">
              <w:r w:rsidRPr="00C261E9">
                <w:rPr>
                  <w:rStyle w:val="Hyperlink"/>
                  <w:rFonts w:eastAsia="Calibri" w:cs="Calibri"/>
                  <w:noProof/>
                  <w:sz w:val="16"/>
                  <w:szCs w:val="16"/>
                  <w:lang w:val="en-AU"/>
                </w:rPr>
                <w:t>https://www.medicinescomplete.com.acs.hcn.com.au/#/content/bnfc/_522717287?hspl=augmen</w:t>
              </w:r>
            </w:hyperlink>
            <w:r w:rsidRPr="00C261E9" w:rsidR="4A0EF11E">
              <w:rPr>
                <w:rFonts w:eastAsia="Calibri" w:cs="Calibri"/>
                <w:noProof/>
                <w:sz w:val="16"/>
                <w:szCs w:val="16"/>
                <w:lang w:val="en-AU"/>
              </w:rPr>
              <w:t xml:space="preserve"> </w:t>
            </w:r>
            <w:r w:rsidRPr="00C261E9">
              <w:rPr>
                <w:rFonts w:eastAsia="Calibri" w:cs="Calibri"/>
                <w:noProof/>
                <w:sz w:val="16"/>
                <w:szCs w:val="16"/>
                <w:lang w:val="en-AU"/>
              </w:rPr>
              <w:t>tin#DMD94411000001100</w:t>
            </w:r>
          </w:p>
          <w:p w:rsidRPr="00C261E9" w:rsidR="62E769FC" w:rsidP="001B0E05" w:rsidRDefault="33F73378" w14:paraId="4AF08C99" w14:textId="5058518B">
            <w:pPr>
              <w:pStyle w:val="ListParagraph"/>
              <w:numPr>
                <w:ilvl w:val="0"/>
                <w:numId w:val="12"/>
              </w:numPr>
              <w:rPr>
                <w:rFonts w:eastAsia="Calibri" w:cs="Calibri"/>
                <w:sz w:val="16"/>
                <w:szCs w:val="16"/>
              </w:rPr>
            </w:pPr>
            <w:r w:rsidRPr="00C261E9">
              <w:rPr>
                <w:rFonts w:eastAsia="Calibri" w:cs="Calibri"/>
                <w:noProof/>
                <w:sz w:val="16"/>
                <w:szCs w:val="16"/>
                <w:lang w:val="en-AU"/>
              </w:rPr>
              <w:t>Blond MH, Gold F, Marchand S, Pierre F, Congard B, Soutoul JH, Laugier J. Orally administeredantibiotic treatment of infected neonates. A prospective study in a maternity unit. [French].</w:t>
            </w:r>
          </w:p>
          <w:p w:rsidRPr="00C261E9" w:rsidR="62E769FC" w:rsidP="001B0E05" w:rsidRDefault="33F73378" w14:paraId="16E734DA" w14:textId="22CD1F19">
            <w:pPr>
              <w:pStyle w:val="ListParagraph"/>
              <w:numPr>
                <w:ilvl w:val="0"/>
                <w:numId w:val="12"/>
              </w:numPr>
              <w:rPr>
                <w:rFonts w:eastAsia="Calibri" w:cs="Calibri"/>
                <w:sz w:val="16"/>
                <w:szCs w:val="16"/>
              </w:rPr>
            </w:pPr>
            <w:r w:rsidRPr="00C261E9">
              <w:rPr>
                <w:rFonts w:eastAsia="Calibri" w:cs="Calibri"/>
                <w:noProof/>
                <w:sz w:val="16"/>
                <w:szCs w:val="16"/>
                <w:lang w:val="en-AU"/>
              </w:rPr>
              <w:t>Journal de Gynecologie Obstetrique et Biologie de la Reproduction. 1990; 19:1057-60</w:t>
            </w:r>
            <w:r w:rsidRPr="00C261E9" w:rsidR="5F735ECC">
              <w:rPr>
                <w:rFonts w:eastAsia="Calibri" w:cs="Calibri"/>
                <w:noProof/>
                <w:sz w:val="16"/>
                <w:szCs w:val="16"/>
                <w:lang w:val="en-AU"/>
              </w:rPr>
              <w:t>.</w:t>
            </w:r>
            <w:r w:rsidRPr="00C261E9">
              <w:rPr>
                <w:rFonts w:eastAsia="Calibri" w:cs="Calibri"/>
                <w:noProof/>
                <w:sz w:val="16"/>
                <w:szCs w:val="16"/>
                <w:lang w:val="en-AU"/>
              </w:rPr>
              <w:t>Australian injectable drug handbook.</w:t>
            </w:r>
            <w:hyperlink r:id="rId17">
              <w:r w:rsidRPr="00C261E9">
                <w:rPr>
                  <w:rStyle w:val="Hyperlink"/>
                  <w:rFonts w:eastAsia="Calibri" w:cs="Calibri"/>
                  <w:noProof/>
                  <w:sz w:val="16"/>
                  <w:szCs w:val="16"/>
                  <w:lang w:val="en-AU"/>
                </w:rPr>
                <w:t>https://aidh.hcn.com.au/browse/a/amoxicillin_sodium_with_potassium_clavulanate</w:t>
              </w:r>
            </w:hyperlink>
            <w:r w:rsidRPr="00C261E9">
              <w:rPr>
                <w:rFonts w:eastAsia="Calibri" w:cs="Calibri"/>
                <w:noProof/>
                <w:sz w:val="16"/>
                <w:szCs w:val="16"/>
                <w:lang w:val="en-AU"/>
              </w:rPr>
              <w:t>. Accessed on</w:t>
            </w:r>
            <w:r w:rsidRPr="00C261E9" w:rsidR="2FBFD587">
              <w:rPr>
                <w:rFonts w:eastAsia="Calibri" w:cs="Calibri"/>
                <w:noProof/>
                <w:sz w:val="16"/>
                <w:szCs w:val="16"/>
                <w:lang w:val="en-AU"/>
              </w:rPr>
              <w:t xml:space="preserve"> </w:t>
            </w:r>
            <w:r w:rsidRPr="00C261E9">
              <w:rPr>
                <w:rFonts w:eastAsia="Calibri" w:cs="Calibri"/>
                <w:noProof/>
                <w:sz w:val="16"/>
                <w:szCs w:val="16"/>
                <w:lang w:val="en-AU"/>
              </w:rPr>
              <w:t>21 October 2019.</w:t>
            </w:r>
          </w:p>
          <w:p w:rsidRPr="00C261E9" w:rsidR="62E769FC" w:rsidP="001B0E05" w:rsidRDefault="33F73378" w14:paraId="429999FB" w14:textId="13C80185">
            <w:pPr>
              <w:pStyle w:val="ListParagraph"/>
              <w:numPr>
                <w:ilvl w:val="0"/>
                <w:numId w:val="12"/>
              </w:numPr>
              <w:rPr>
                <w:rFonts w:eastAsia="Calibri" w:cs="Calibri"/>
                <w:sz w:val="16"/>
                <w:szCs w:val="16"/>
              </w:rPr>
            </w:pPr>
            <w:r w:rsidRPr="00C261E9">
              <w:rPr>
                <w:rFonts w:eastAsia="Calibri" w:cs="Calibri"/>
                <w:noProof/>
                <w:sz w:val="16"/>
                <w:szCs w:val="16"/>
                <w:lang w:val="en-AU"/>
              </w:rPr>
              <w:t>Easton J, Noble S, Perry CM, Cuffini AM, Jacobs MR, Subba Rao SD, Pichichero ME, Thornsberry C.</w:t>
            </w:r>
            <w:r w:rsidRPr="00C261E9" w:rsidR="4C819ED5">
              <w:rPr>
                <w:rFonts w:eastAsia="Calibri" w:cs="Calibri"/>
                <w:noProof/>
                <w:sz w:val="16"/>
                <w:szCs w:val="16"/>
                <w:lang w:val="en-AU"/>
              </w:rPr>
              <w:t xml:space="preserve"> </w:t>
            </w:r>
            <w:r w:rsidRPr="00C261E9">
              <w:rPr>
                <w:rFonts w:eastAsia="Calibri" w:cs="Calibri"/>
                <w:noProof/>
                <w:sz w:val="16"/>
                <w:szCs w:val="16"/>
                <w:lang w:val="en-AU"/>
              </w:rPr>
              <w:t>Amoxicillin/clavulanic acid: A review of its use in the management of paediatric patients with</w:t>
            </w:r>
            <w:r w:rsidRPr="00C261E9" w:rsidR="2F0C2230">
              <w:rPr>
                <w:rFonts w:eastAsia="Calibri" w:cs="Calibri"/>
                <w:noProof/>
                <w:sz w:val="16"/>
                <w:szCs w:val="16"/>
                <w:lang w:val="en-AU"/>
              </w:rPr>
              <w:t xml:space="preserve"> </w:t>
            </w:r>
            <w:r w:rsidRPr="00C261E9">
              <w:rPr>
                <w:rFonts w:eastAsia="Calibri" w:cs="Calibri"/>
                <w:noProof/>
                <w:sz w:val="16"/>
                <w:szCs w:val="16"/>
                <w:lang w:val="en-AU"/>
              </w:rPr>
              <w:t>acute otitis media. Drugs. 2003; 63:311-40.</w:t>
            </w:r>
          </w:p>
          <w:p w:rsidRPr="00C261E9" w:rsidR="62E769FC" w:rsidP="001B0E05" w:rsidRDefault="33F73378" w14:paraId="0DA50E95" w14:textId="48D12DEB">
            <w:pPr>
              <w:pStyle w:val="ListParagraph"/>
              <w:numPr>
                <w:ilvl w:val="0"/>
                <w:numId w:val="12"/>
              </w:numPr>
              <w:rPr>
                <w:rFonts w:eastAsia="Calibri" w:cs="Calibri"/>
                <w:sz w:val="16"/>
                <w:szCs w:val="16"/>
              </w:rPr>
            </w:pPr>
            <w:r w:rsidRPr="00C261E9">
              <w:rPr>
                <w:rFonts w:eastAsia="Calibri" w:cs="Calibri"/>
                <w:noProof/>
                <w:sz w:val="16"/>
                <w:szCs w:val="16"/>
                <w:lang w:val="en-AU"/>
              </w:rPr>
              <w:t>Huttner A, Bielicki J, Clements MN, Frimodt-Moller N, Muller AE, Paccaud JP, Mouton JW. Oral</w:t>
            </w:r>
            <w:r w:rsidRPr="00C261E9" w:rsidR="04927543">
              <w:rPr>
                <w:rFonts w:eastAsia="Calibri" w:cs="Calibri"/>
                <w:noProof/>
                <w:sz w:val="16"/>
                <w:szCs w:val="16"/>
                <w:lang w:val="en-AU"/>
              </w:rPr>
              <w:t xml:space="preserve"> </w:t>
            </w:r>
            <w:r w:rsidRPr="00C261E9">
              <w:rPr>
                <w:rFonts w:eastAsia="Calibri" w:cs="Calibri"/>
                <w:noProof/>
                <w:sz w:val="16"/>
                <w:szCs w:val="16"/>
                <w:lang w:val="en-AU"/>
              </w:rPr>
              <w:t>amoxicillin and amoxicillin-clavulanic acid: properties, indications and usage. Clinical Microbiology</w:t>
            </w:r>
            <w:r w:rsidRPr="00C261E9" w:rsidR="0E2CC649">
              <w:rPr>
                <w:rFonts w:eastAsia="Calibri" w:cs="Calibri"/>
                <w:noProof/>
                <w:sz w:val="16"/>
                <w:szCs w:val="16"/>
                <w:lang w:val="en-AU"/>
              </w:rPr>
              <w:t xml:space="preserve"> </w:t>
            </w:r>
            <w:r w:rsidRPr="00C261E9">
              <w:rPr>
                <w:rFonts w:eastAsia="Calibri" w:cs="Calibri"/>
                <w:noProof/>
                <w:sz w:val="16"/>
                <w:szCs w:val="16"/>
                <w:lang w:val="en-AU"/>
              </w:rPr>
              <w:t>and Infection. 2020.</w:t>
            </w:r>
          </w:p>
          <w:p w:rsidRPr="00C261E9" w:rsidR="62E769FC" w:rsidP="001B0E05" w:rsidRDefault="33F73378" w14:paraId="466FAEED" w14:textId="17B736C3">
            <w:pPr>
              <w:pStyle w:val="ListParagraph"/>
              <w:numPr>
                <w:ilvl w:val="0"/>
                <w:numId w:val="12"/>
              </w:numPr>
              <w:rPr>
                <w:rFonts w:eastAsia="Calibri" w:cs="Calibri"/>
                <w:sz w:val="16"/>
                <w:szCs w:val="16"/>
              </w:rPr>
            </w:pPr>
            <w:r w:rsidRPr="00C261E9">
              <w:rPr>
                <w:rFonts w:eastAsia="Calibri" w:cs="Calibri"/>
                <w:noProof/>
                <w:sz w:val="16"/>
                <w:szCs w:val="16"/>
                <w:lang w:val="en-AU"/>
              </w:rPr>
              <w:t>Keij FM, Kornelisse RF, Hartwig NG, Reiss IKM, Allegaert K, Tramper-Stranders GA. Oral antibioticsfor neonatal infections: A systematic review and meta-analysis. J Antimicrob Chemother. 2019;74:3150-61.</w:t>
            </w:r>
          </w:p>
          <w:p w:rsidRPr="00C261E9" w:rsidR="62E769FC" w:rsidP="001B0E05" w:rsidRDefault="33F73378" w14:paraId="6549972E" w14:textId="43B445C0">
            <w:pPr>
              <w:pStyle w:val="ListParagraph"/>
              <w:numPr>
                <w:ilvl w:val="0"/>
                <w:numId w:val="12"/>
              </w:numPr>
              <w:rPr>
                <w:rFonts w:eastAsia="Calibri" w:cs="Calibri"/>
                <w:sz w:val="16"/>
                <w:szCs w:val="16"/>
              </w:rPr>
            </w:pPr>
            <w:r w:rsidRPr="00C261E9">
              <w:rPr>
                <w:rFonts w:eastAsia="Calibri" w:cs="Calibri"/>
                <w:noProof/>
                <w:sz w:val="16"/>
                <w:szCs w:val="16"/>
                <w:lang w:val="en-AU"/>
              </w:rPr>
              <w:t>Magin EC, Garcia-Garcia JJ, Sert SZ, Giralt AG, Cubells CL. Efficacy of short-term intravenousantibiotic in neonates with urinary tract infection. 2007; 1:83-6.</w:t>
            </w:r>
          </w:p>
          <w:p w:rsidRPr="00C261E9" w:rsidR="62E769FC" w:rsidP="001B0E05" w:rsidRDefault="33F73378" w14:paraId="07650807" w14:textId="2AE500C2">
            <w:pPr>
              <w:pStyle w:val="ListParagraph"/>
              <w:numPr>
                <w:ilvl w:val="0"/>
                <w:numId w:val="12"/>
              </w:numPr>
              <w:rPr>
                <w:rFonts w:eastAsia="Calibri" w:cs="Calibri"/>
                <w:sz w:val="16"/>
                <w:szCs w:val="16"/>
              </w:rPr>
            </w:pPr>
            <w:r w:rsidRPr="00C261E9">
              <w:rPr>
                <w:rFonts w:eastAsia="Calibri" w:cs="Calibri"/>
                <w:noProof/>
                <w:sz w:val="16"/>
                <w:szCs w:val="16"/>
                <w:lang w:val="en-AU"/>
              </w:rPr>
              <w:t>Lodha R, Kabra SK, Pandey RM. Antibiotics for community-acquired pneumonia in children.Cochrane Database Syst Rev. 2013:CD004874.</w:t>
            </w:r>
          </w:p>
          <w:p w:rsidRPr="00C261E9" w:rsidR="62E769FC" w:rsidP="001B0E05" w:rsidRDefault="33F73378" w14:paraId="584BEDD3" w14:textId="5A7C1CD6">
            <w:pPr>
              <w:pStyle w:val="ListParagraph"/>
              <w:numPr>
                <w:ilvl w:val="0"/>
                <w:numId w:val="12"/>
              </w:numPr>
              <w:rPr>
                <w:rFonts w:eastAsia="Calibri" w:cs="Calibri"/>
                <w:sz w:val="16"/>
                <w:szCs w:val="16"/>
              </w:rPr>
            </w:pPr>
            <w:r w:rsidRPr="00C261E9">
              <w:rPr>
                <w:rFonts w:eastAsia="Calibri" w:cs="Calibri"/>
                <w:noProof/>
                <w:sz w:val="16"/>
                <w:szCs w:val="16"/>
                <w:lang w:val="en-AU"/>
              </w:rPr>
              <w:t>Venekamp RP, Burton MJ, van Dongen TMA, et al. Antibiotics for otitis media with effusion in</w:t>
            </w:r>
            <w:r w:rsidRPr="00C261E9" w:rsidR="6D558955">
              <w:rPr>
                <w:rFonts w:eastAsia="Calibri" w:cs="Calibri"/>
                <w:noProof/>
                <w:sz w:val="16"/>
                <w:szCs w:val="16"/>
                <w:lang w:val="en-AU"/>
              </w:rPr>
              <w:t xml:space="preserve"> </w:t>
            </w:r>
            <w:r w:rsidRPr="00C261E9">
              <w:rPr>
                <w:rFonts w:eastAsia="Calibri" w:cs="Calibri"/>
                <w:noProof/>
                <w:sz w:val="16"/>
                <w:szCs w:val="16"/>
                <w:lang w:val="en-AU"/>
              </w:rPr>
              <w:t>children. Cochrane Database of Systematic Reviews 2016, Issue 6. Art. No.: CD009163.</w:t>
            </w:r>
          </w:p>
          <w:p w:rsidRPr="00C261E9" w:rsidR="62E769FC" w:rsidP="001B0E05" w:rsidRDefault="33F73378" w14:paraId="4CD63230" w14:textId="423BF7FE">
            <w:pPr>
              <w:pStyle w:val="ListParagraph"/>
              <w:numPr>
                <w:ilvl w:val="0"/>
                <w:numId w:val="12"/>
              </w:numPr>
              <w:rPr>
                <w:rFonts w:eastAsia="Calibri" w:cs="Calibri"/>
                <w:sz w:val="16"/>
                <w:szCs w:val="16"/>
              </w:rPr>
            </w:pPr>
            <w:r w:rsidRPr="00C261E9">
              <w:rPr>
                <w:rFonts w:eastAsia="Calibri" w:cs="Calibri"/>
                <w:noProof/>
                <w:sz w:val="16"/>
                <w:szCs w:val="16"/>
                <w:lang w:val="en-AU"/>
              </w:rPr>
              <w:t>Fitzgerald A, Mori R, Lakhanpaul M, Tullus K. Antibiotics for treating lower urinary tract infection inchildren. Cochrane Database Syst Rev. 2012:CD006857.</w:t>
            </w:r>
          </w:p>
          <w:p w:rsidRPr="00C261E9" w:rsidR="62E769FC" w:rsidP="001B0E05" w:rsidRDefault="33F73378" w14:paraId="55C3861C" w14:textId="4579BD94">
            <w:pPr>
              <w:pStyle w:val="ListParagraph"/>
              <w:numPr>
                <w:ilvl w:val="0"/>
                <w:numId w:val="12"/>
              </w:numPr>
              <w:spacing w:line="238" w:lineRule="auto"/>
              <w:rPr>
                <w:rFonts w:eastAsia="Calibri" w:cs="Calibri"/>
                <w:noProof/>
                <w:color w:val="000000" w:themeColor="text1"/>
                <w:sz w:val="16"/>
                <w:szCs w:val="16"/>
                <w:lang w:val="en-AU"/>
              </w:rPr>
            </w:pPr>
            <w:r w:rsidRPr="00C261E9">
              <w:rPr>
                <w:noProof/>
                <w:color w:val="000000" w:themeColor="text1"/>
                <w:sz w:val="16"/>
                <w:szCs w:val="16"/>
                <w:lang w:val="en-AU"/>
              </w:rPr>
              <w:lastRenderedPageBreak/>
              <w:t>Michael M, Hodson EM, Craig JC, Martin S, Moyer VA. Short versus standard duration oral antibiotic therapy for acute urinary tract infection in children. Cochrane Database Syst Rev. 2003:CD003966</w:t>
            </w:r>
            <w:r w:rsidRPr="00C261E9" w:rsidR="29931EFD">
              <w:rPr>
                <w:noProof/>
                <w:color w:val="000000" w:themeColor="text1"/>
                <w:sz w:val="16"/>
                <w:szCs w:val="16"/>
                <w:lang w:val="en-AU"/>
              </w:rPr>
              <w:t>.</w:t>
            </w:r>
          </w:p>
          <w:p w:rsidRPr="00C261E9" w:rsidR="62E769FC" w:rsidP="001B0E05" w:rsidRDefault="33F73378" w14:paraId="1C09E26A" w14:textId="5DB1310A">
            <w:pPr>
              <w:pStyle w:val="ListParagraph"/>
              <w:numPr>
                <w:ilvl w:val="0"/>
                <w:numId w:val="12"/>
              </w:numPr>
              <w:spacing w:line="238" w:lineRule="auto"/>
              <w:rPr>
                <w:rFonts w:eastAsia="Calibri" w:cs="Calibri"/>
                <w:noProof/>
                <w:color w:val="000000" w:themeColor="text1"/>
                <w:sz w:val="16"/>
                <w:szCs w:val="16"/>
                <w:lang w:val="en-AU"/>
              </w:rPr>
            </w:pPr>
            <w:r w:rsidRPr="00C261E9">
              <w:rPr>
                <w:rFonts w:eastAsia="Calibri" w:cs="Calibri"/>
                <w:noProof/>
                <w:color w:val="000000" w:themeColor="text1"/>
                <w:sz w:val="16"/>
                <w:szCs w:val="16"/>
                <w:lang w:val="en-AU"/>
              </w:rPr>
              <w:t>Sanchez UC, Balaguer A. Treatment for the urinary low tract infection. A study of 5 antibiotics. Anales Espanoles de Pediatria. 1990; 33(Suppl 41):85-6.</w:t>
            </w:r>
          </w:p>
          <w:p w:rsidRPr="00C261E9" w:rsidR="62E769FC" w:rsidP="001B0E05" w:rsidRDefault="33F73378" w14:paraId="76F4A9D9" w14:textId="3F249CB9">
            <w:pPr>
              <w:pStyle w:val="ListParagraph"/>
              <w:numPr>
                <w:ilvl w:val="0"/>
                <w:numId w:val="12"/>
              </w:numPr>
              <w:rPr>
                <w:rFonts w:eastAsia="Calibri" w:cs="Calibri"/>
                <w:noProof/>
                <w:color w:val="000000" w:themeColor="text1"/>
                <w:sz w:val="16"/>
                <w:szCs w:val="16"/>
                <w:lang w:val="en-AU"/>
              </w:rPr>
            </w:pPr>
            <w:r w:rsidRPr="00C261E9">
              <w:rPr>
                <w:rFonts w:eastAsia="Calibri" w:cs="Calibri"/>
                <w:noProof/>
                <w:color w:val="000000" w:themeColor="text1"/>
                <w:sz w:val="16"/>
                <w:szCs w:val="16"/>
                <w:lang w:val="en-AU"/>
              </w:rPr>
              <w:t>Strohmeier Y, Hodson EM, Willis NS, Webster AC, Craig JC. Antibiotics for acute pyelonephritis in children. Cochrane Database Syst Rev. 2014:CD003772.</w:t>
            </w:r>
          </w:p>
          <w:p w:rsidRPr="00C261E9" w:rsidR="62E769FC" w:rsidP="001B0E05" w:rsidRDefault="33F73378" w14:paraId="5D45ABC6" w14:textId="670A9AA4">
            <w:pPr>
              <w:pStyle w:val="ListParagraph"/>
              <w:numPr>
                <w:ilvl w:val="0"/>
                <w:numId w:val="12"/>
              </w:numPr>
              <w:spacing w:line="238" w:lineRule="auto"/>
              <w:rPr>
                <w:rFonts w:eastAsia="Calibri" w:cs="Calibri"/>
                <w:noProof/>
                <w:color w:val="000000" w:themeColor="text1"/>
                <w:sz w:val="16"/>
                <w:szCs w:val="16"/>
                <w:lang w:val="en-AU"/>
              </w:rPr>
            </w:pPr>
            <w:r w:rsidRPr="00C261E9">
              <w:rPr>
                <w:rFonts w:eastAsia="Calibri" w:cs="Calibri"/>
                <w:noProof/>
                <w:color w:val="000000" w:themeColor="text1"/>
                <w:sz w:val="16"/>
                <w:szCs w:val="16"/>
                <w:lang w:val="en-AU"/>
              </w:rPr>
              <w:t>Fleisher GR, Wilmott CM, Campos JM. Amoxicillin combined with clavulanic acid for the treatment of soft tissue infections in children. Antimicrob Agents Chemother. 1983; 24:679-81.</w:t>
            </w:r>
          </w:p>
          <w:p w:rsidRPr="00C261E9" w:rsidR="62E769FC" w:rsidP="001B0E05" w:rsidRDefault="33F73378" w14:paraId="24F69022" w14:textId="2EDB8FBB">
            <w:pPr>
              <w:pStyle w:val="ListParagraph"/>
              <w:numPr>
                <w:ilvl w:val="0"/>
                <w:numId w:val="12"/>
              </w:numPr>
              <w:rPr>
                <w:rFonts w:eastAsia="Calibri" w:cs="Calibri"/>
                <w:noProof/>
                <w:color w:val="000000" w:themeColor="text1"/>
                <w:sz w:val="16"/>
                <w:szCs w:val="16"/>
                <w:lang w:val="en-AU"/>
              </w:rPr>
            </w:pPr>
            <w:r w:rsidRPr="00C261E9">
              <w:rPr>
                <w:rFonts w:eastAsia="Calibri" w:cs="Calibri"/>
                <w:noProof/>
                <w:color w:val="000000" w:themeColor="text1"/>
                <w:sz w:val="16"/>
                <w:szCs w:val="16"/>
                <w:lang w:val="en-AU"/>
              </w:rPr>
              <w:t>Kar PK. Use of Amoxicillin and Clavulanic Acid (Augmentin) in the Treatment of Skin and Soft Tissue Infections in Children. Med J Armed Forces India. 1997; 53:87-90.</w:t>
            </w:r>
          </w:p>
          <w:p w:rsidRPr="00C261E9" w:rsidR="62E769FC" w:rsidP="001B0E05" w:rsidRDefault="33F73378" w14:paraId="5071191E" w14:textId="633822DD">
            <w:pPr>
              <w:pStyle w:val="ListParagraph"/>
              <w:numPr>
                <w:ilvl w:val="0"/>
                <w:numId w:val="12"/>
              </w:numPr>
              <w:spacing w:line="238" w:lineRule="auto"/>
              <w:rPr>
                <w:rFonts w:eastAsia="Calibri" w:cs="Calibri"/>
                <w:noProof/>
                <w:color w:val="000000" w:themeColor="text1"/>
                <w:sz w:val="16"/>
                <w:szCs w:val="16"/>
                <w:lang w:val="en-AU"/>
              </w:rPr>
            </w:pPr>
            <w:r w:rsidRPr="00C261E9">
              <w:rPr>
                <w:rFonts w:eastAsia="Calibri" w:cs="Calibri"/>
                <w:noProof/>
                <w:color w:val="000000" w:themeColor="text1"/>
                <w:sz w:val="16"/>
                <w:szCs w:val="16"/>
                <w:lang w:val="en-AU"/>
              </w:rPr>
              <w:t>Salvo F, De Sarro A, Caputi AP, Polimeni G. Amoxicillin and amoxicillin plus clavulanate: A safety review. Expert Opinion on Drug Safety. 2009; 8:111-8.</w:t>
            </w:r>
          </w:p>
          <w:p w:rsidRPr="00C261E9" w:rsidR="62E769FC" w:rsidP="001B0E05" w:rsidRDefault="33F73378" w14:paraId="10095BF3" w14:textId="17323D00">
            <w:pPr>
              <w:pStyle w:val="ListParagraph"/>
              <w:numPr>
                <w:ilvl w:val="0"/>
                <w:numId w:val="12"/>
              </w:numPr>
              <w:spacing w:line="238" w:lineRule="auto"/>
              <w:jc w:val="both"/>
              <w:rPr>
                <w:rFonts w:eastAsia="Calibri" w:cs="Calibri"/>
                <w:noProof/>
                <w:color w:val="000000" w:themeColor="text1"/>
                <w:sz w:val="16"/>
                <w:szCs w:val="16"/>
                <w:lang w:val="en-AU"/>
              </w:rPr>
            </w:pPr>
            <w:r w:rsidRPr="00C261E9">
              <w:rPr>
                <w:rFonts w:eastAsia="Calibri" w:cs="Calibri"/>
                <w:noProof/>
                <w:color w:val="000000" w:themeColor="text1"/>
                <w:sz w:val="16"/>
                <w:szCs w:val="16"/>
                <w:lang w:val="en-AU"/>
              </w:rPr>
              <w:t>Lonsdale DO, Baker EH, Kipper K, Barker C, Philips B, Rhodes A, Sharland M, Standing JF. Scaling beta-lactam antimicrobial pharmacokinetics from early life to old age. British Journal of Clinical Pharmacology. 2019; 85:316-46.</w:t>
            </w:r>
          </w:p>
          <w:p w:rsidRPr="00C261E9" w:rsidR="62E769FC" w:rsidP="001B0E05" w:rsidRDefault="33F73378" w14:paraId="5A3460AB" w14:textId="6C5E2095">
            <w:pPr>
              <w:pStyle w:val="ListParagraph"/>
              <w:numPr>
                <w:ilvl w:val="0"/>
                <w:numId w:val="12"/>
              </w:numPr>
              <w:spacing w:line="262" w:lineRule="auto"/>
              <w:rPr>
                <w:rFonts w:eastAsia="Calibri" w:cs="Calibri"/>
                <w:color w:val="000000" w:themeColor="text1"/>
                <w:sz w:val="16"/>
                <w:szCs w:val="16"/>
              </w:rPr>
            </w:pPr>
            <w:r w:rsidRPr="00C261E9">
              <w:rPr>
                <w:rFonts w:eastAsia="Calibri" w:cs="Calibri"/>
                <w:noProof/>
                <w:color w:val="000000" w:themeColor="text1"/>
                <w:sz w:val="16"/>
                <w:szCs w:val="16"/>
                <w:lang w:val="en-AU"/>
              </w:rPr>
              <w:t>Lonnerholm G, Bengtsson S, Ewald U. Oral Pivampicillin and amoxycillin in newborn infants. Scandinavian Journal of Infectious Diseases. 1982; 14:127-30.</w:t>
            </w:r>
          </w:p>
          <w:p w:rsidRPr="00C261E9" w:rsidR="62E769FC" w:rsidP="30CD2787" w:rsidRDefault="62E769FC" w14:paraId="0605B7B8" w14:textId="6EA3EEE9">
            <w:pPr>
              <w:pStyle w:val="EndNoteBibliography"/>
              <w:rPr>
                <w:color w:val="000000" w:themeColor="text1"/>
                <w:sz w:val="16"/>
                <w:szCs w:val="16"/>
                <w:lang w:val="en-AU"/>
              </w:rPr>
            </w:pPr>
          </w:p>
          <w:p w:rsidRPr="00C261E9" w:rsidR="62E769FC" w:rsidP="30CD2787" w:rsidRDefault="62E769FC" w14:paraId="19FA0818" w14:textId="1AE828B8">
            <w:pPr>
              <w:pStyle w:val="EndNoteBibliography"/>
              <w:rPr>
                <w:rFonts w:asciiTheme="minorHAnsi" w:hAnsiTheme="minorHAnsi"/>
                <w:sz w:val="16"/>
                <w:szCs w:val="16"/>
                <w:lang w:val="en-AU"/>
              </w:rPr>
            </w:pPr>
          </w:p>
          <w:p w:rsidRPr="00C261E9" w:rsidR="62E769FC" w:rsidP="30CD2787" w:rsidRDefault="62E769FC" w14:paraId="1ADEEF90" w14:textId="11AB585B">
            <w:pPr>
              <w:pStyle w:val="EndNoteBibliography"/>
              <w:rPr>
                <w:rFonts w:asciiTheme="minorHAnsi" w:hAnsiTheme="minorHAnsi"/>
                <w:sz w:val="16"/>
                <w:szCs w:val="16"/>
                <w:lang w:val="en-AU"/>
              </w:rPr>
            </w:pPr>
          </w:p>
        </w:tc>
      </w:tr>
    </w:tbl>
    <w:p w:rsidR="41C26842" w:rsidP="62E769FC" w:rsidRDefault="41C26842" w14:paraId="25BB4550" w14:textId="0D1C96F8"/>
    <w:tbl>
      <w:tblPr>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440"/>
        <w:gridCol w:w="4439"/>
      </w:tblGrid>
      <w:tr w:rsidR="30CD2787" w:rsidTr="48F57877" w14:paraId="1F848D06" w14:textId="77777777">
        <w:tc>
          <w:tcPr>
            <w:tcW w:w="4465" w:type="dxa"/>
            <w:vAlign w:val="center"/>
          </w:tcPr>
          <w:p w:rsidR="30CD2787" w:rsidP="48F57877" w:rsidRDefault="30CD2787" w14:paraId="48FA3399" w14:textId="2FD4F6A8">
            <w:pPr>
              <w:rPr>
                <w:b/>
                <w:bCs/>
                <w:lang w:val="en-AU"/>
              </w:rPr>
            </w:pPr>
            <w:r w:rsidRPr="48F57877">
              <w:rPr>
                <w:b/>
                <w:bCs/>
                <w:lang w:val="en-AU"/>
              </w:rPr>
              <w:t xml:space="preserve">Original version Date: </w:t>
            </w:r>
            <w:r w:rsidRPr="48F57877" w:rsidR="6E5ABF52">
              <w:rPr>
                <w:b/>
                <w:bCs/>
                <w:lang w:val="en-AU"/>
              </w:rPr>
              <w:t>22</w:t>
            </w:r>
            <w:r w:rsidRPr="48F57877">
              <w:rPr>
                <w:b/>
                <w:bCs/>
                <w:lang w:val="en-AU"/>
              </w:rPr>
              <w:t>/0</w:t>
            </w:r>
            <w:r w:rsidRPr="48F57877" w:rsidR="42D88C03">
              <w:rPr>
                <w:b/>
                <w:bCs/>
                <w:lang w:val="en-AU"/>
              </w:rPr>
              <w:t>6</w:t>
            </w:r>
            <w:r w:rsidRPr="48F57877">
              <w:rPr>
                <w:b/>
                <w:bCs/>
                <w:lang w:val="en-AU"/>
              </w:rPr>
              <w:t>/20</w:t>
            </w:r>
            <w:r w:rsidRPr="48F57877" w:rsidR="23379906">
              <w:rPr>
                <w:b/>
                <w:bCs/>
                <w:lang w:val="en-AU"/>
              </w:rPr>
              <w:t>20</w:t>
            </w:r>
          </w:p>
        </w:tc>
        <w:tc>
          <w:tcPr>
            <w:tcW w:w="4465" w:type="dxa"/>
            <w:vAlign w:val="center"/>
          </w:tcPr>
          <w:p w:rsidR="30CD2787" w:rsidP="48F57877" w:rsidRDefault="30CD2787" w14:paraId="6A160835" w14:textId="77777777">
            <w:pPr>
              <w:rPr>
                <w:b/>
                <w:bCs/>
                <w:lang w:val="en-AU"/>
              </w:rPr>
            </w:pPr>
            <w:r w:rsidRPr="48F57877">
              <w:rPr>
                <w:b/>
                <w:bCs/>
                <w:lang w:val="en-AU"/>
              </w:rPr>
              <w:t>Author: NeoMed Consensus Group</w:t>
            </w:r>
          </w:p>
        </w:tc>
      </w:tr>
      <w:tr w:rsidR="30CD2787" w:rsidTr="48F57877" w14:paraId="59F7F5E6" w14:textId="77777777">
        <w:tc>
          <w:tcPr>
            <w:tcW w:w="4465" w:type="dxa"/>
            <w:vAlign w:val="center"/>
          </w:tcPr>
          <w:p w:rsidR="30CD2787" w:rsidP="48F57877" w:rsidRDefault="30CD2787" w14:paraId="057289EB" w14:textId="77777777">
            <w:pPr>
              <w:rPr>
                <w:b/>
                <w:bCs/>
                <w:lang w:val="en-AU"/>
              </w:rPr>
            </w:pPr>
            <w:r w:rsidRPr="48F57877">
              <w:rPr>
                <w:b/>
                <w:bCs/>
                <w:lang w:val="en-AU"/>
              </w:rPr>
              <w:t>Current Version number:  1.1</w:t>
            </w:r>
          </w:p>
        </w:tc>
        <w:tc>
          <w:tcPr>
            <w:tcW w:w="4465" w:type="dxa"/>
            <w:vAlign w:val="center"/>
          </w:tcPr>
          <w:p w:rsidR="30CD2787" w:rsidP="48F57877" w:rsidRDefault="30CD2787" w14:paraId="12CE30D6" w14:textId="2457FC38">
            <w:pPr>
              <w:rPr>
                <w:b/>
                <w:bCs/>
                <w:lang w:val="en-AU"/>
              </w:rPr>
            </w:pPr>
            <w:r w:rsidRPr="48F57877">
              <w:rPr>
                <w:b/>
                <w:bCs/>
                <w:lang w:val="en-AU"/>
              </w:rPr>
              <w:t xml:space="preserve">Current Version Date:  </w:t>
            </w:r>
            <w:r w:rsidRPr="48F57877" w:rsidR="12ED9651">
              <w:rPr>
                <w:b/>
                <w:bCs/>
                <w:lang w:val="en-AU"/>
              </w:rPr>
              <w:t>November</w:t>
            </w:r>
            <w:r w:rsidRPr="48F57877">
              <w:rPr>
                <w:b/>
                <w:bCs/>
                <w:lang w:val="en-AU"/>
              </w:rPr>
              <w:t xml:space="preserve"> 20</w:t>
            </w:r>
            <w:r w:rsidRPr="48F57877" w:rsidR="3C82D5C9">
              <w:rPr>
                <w:b/>
                <w:bCs/>
                <w:lang w:val="en-AU"/>
              </w:rPr>
              <w:t>20</w:t>
            </w:r>
          </w:p>
        </w:tc>
      </w:tr>
      <w:tr w:rsidR="30CD2787" w:rsidTr="48F57877" w14:paraId="3A013C4B" w14:textId="77777777">
        <w:tc>
          <w:tcPr>
            <w:tcW w:w="4465" w:type="dxa"/>
            <w:vAlign w:val="center"/>
          </w:tcPr>
          <w:p w:rsidR="30CD2787" w:rsidP="48F57877" w:rsidRDefault="30CD2787" w14:paraId="2BEDC5A9" w14:textId="15E10660">
            <w:pPr>
              <w:rPr>
                <w:b/>
                <w:bCs/>
                <w:lang w:val="en-AU"/>
              </w:rPr>
            </w:pPr>
            <w:r w:rsidRPr="48F57877">
              <w:rPr>
                <w:b/>
                <w:bCs/>
                <w:lang w:val="en-AU"/>
              </w:rPr>
              <w:t xml:space="preserve">Risk Rating: </w:t>
            </w:r>
            <w:r w:rsidR="00A7025A">
              <w:rPr>
                <w:b/>
                <w:bCs/>
                <w:lang w:val="en-AU"/>
              </w:rPr>
              <w:t>Low</w:t>
            </w:r>
          </w:p>
        </w:tc>
        <w:tc>
          <w:tcPr>
            <w:tcW w:w="4465" w:type="dxa"/>
            <w:vAlign w:val="center"/>
          </w:tcPr>
          <w:p w:rsidR="30CD2787" w:rsidP="48F57877" w:rsidRDefault="30CD2787" w14:paraId="45956188" w14:textId="41D12F8C">
            <w:pPr>
              <w:rPr>
                <w:b/>
                <w:bCs/>
                <w:lang w:val="en-AU"/>
              </w:rPr>
            </w:pPr>
            <w:r w:rsidRPr="48F57877">
              <w:rPr>
                <w:b/>
                <w:bCs/>
                <w:lang w:val="en-AU"/>
              </w:rPr>
              <w:t xml:space="preserve">Due for Review:  </w:t>
            </w:r>
            <w:r w:rsidRPr="48F57877" w:rsidR="789BEA91">
              <w:rPr>
                <w:b/>
                <w:bCs/>
                <w:lang w:val="en-AU"/>
              </w:rPr>
              <w:t>November</w:t>
            </w:r>
            <w:r w:rsidRPr="48F57877">
              <w:rPr>
                <w:b/>
                <w:bCs/>
                <w:lang w:val="en-AU"/>
              </w:rPr>
              <w:t xml:space="preserve"> 202</w:t>
            </w:r>
            <w:r w:rsidRPr="48F57877" w:rsidR="1015F651">
              <w:rPr>
                <w:b/>
                <w:bCs/>
                <w:lang w:val="en-AU"/>
              </w:rPr>
              <w:t>5</w:t>
            </w:r>
          </w:p>
        </w:tc>
      </w:tr>
      <w:tr w:rsidR="30CD2787" w:rsidTr="48F57877" w14:paraId="4A64DD9F" w14:textId="77777777">
        <w:trPr>
          <w:trHeight w:val="344"/>
        </w:trPr>
        <w:tc>
          <w:tcPr>
            <w:tcW w:w="4465" w:type="dxa"/>
            <w:tcBorders>
              <w:bottom w:val="single" w:color="auto" w:sz="4" w:space="0"/>
            </w:tcBorders>
            <w:vAlign w:val="center"/>
          </w:tcPr>
          <w:p w:rsidR="30CD2787" w:rsidP="48F57877" w:rsidRDefault="30CD2787" w14:paraId="1E705657" w14:textId="77777777">
            <w:pPr>
              <w:rPr>
                <w:b/>
                <w:bCs/>
                <w:lang w:val="en-AU"/>
              </w:rPr>
            </w:pPr>
            <w:r w:rsidRPr="48F57877">
              <w:rPr>
                <w:b/>
                <w:bCs/>
                <w:lang w:val="en-AU"/>
              </w:rPr>
              <w:t>Approval by: DTC</w:t>
            </w:r>
          </w:p>
        </w:tc>
        <w:tc>
          <w:tcPr>
            <w:tcW w:w="4465" w:type="dxa"/>
            <w:tcBorders>
              <w:bottom w:val="single" w:color="auto" w:sz="4" w:space="0"/>
            </w:tcBorders>
            <w:vAlign w:val="center"/>
          </w:tcPr>
          <w:p w:rsidR="30CD2787" w:rsidP="48F57877" w:rsidRDefault="30CD2787" w14:paraId="5B61DDA7" w14:textId="4F33C2F0">
            <w:pPr>
              <w:rPr>
                <w:b/>
                <w:bCs/>
                <w:lang w:val="en-AU"/>
              </w:rPr>
            </w:pPr>
            <w:r w:rsidRPr="48F57877">
              <w:rPr>
                <w:b/>
                <w:bCs/>
                <w:lang w:val="en-AU"/>
              </w:rPr>
              <w:t xml:space="preserve">Approval Date: </w:t>
            </w:r>
          </w:p>
        </w:tc>
      </w:tr>
    </w:tbl>
    <w:p w:rsidR="41C26842" w:rsidP="30CD2787" w:rsidRDefault="41C26842" w14:paraId="15A0F02D" w14:textId="623F2F6D"/>
    <w:p w:rsidR="41C26842" w:rsidP="41C26842" w:rsidRDefault="41C26842" w14:paraId="49F8C89F" w14:textId="2FDB4106"/>
    <w:p w:rsidR="00A7025A" w:rsidP="41C26842" w:rsidRDefault="00A7025A" w14:paraId="421784F4" w14:textId="77777777"/>
    <w:p w:rsidR="00A7025A" w:rsidP="41C26842" w:rsidRDefault="00A7025A" w14:paraId="0F885D0C" w14:textId="77777777"/>
    <w:p w:rsidR="00A7025A" w:rsidP="41C26842" w:rsidRDefault="00A7025A" w14:paraId="6F369223" w14:textId="77777777"/>
    <w:p w:rsidR="00A7025A" w:rsidP="41C26842" w:rsidRDefault="00A7025A" w14:paraId="710A6ADA" w14:textId="77777777"/>
    <w:p w:rsidR="00A7025A" w:rsidP="41C26842" w:rsidRDefault="00A7025A" w14:paraId="3B0F3B76" w14:textId="77777777"/>
    <w:p w:rsidR="00A7025A" w:rsidP="41C26842" w:rsidRDefault="00A7025A" w14:paraId="44CE8CC5" w14:textId="77777777"/>
    <w:p w:rsidR="00A7025A" w:rsidP="41C26842" w:rsidRDefault="00A7025A" w14:paraId="2B957275" w14:textId="77777777"/>
    <w:p w:rsidR="00A7025A" w:rsidP="41C26842" w:rsidRDefault="00A7025A" w14:paraId="7FB7CD8E" w14:textId="0D883DFA"/>
    <w:p w:rsidR="00C261E9" w:rsidP="41C26842" w:rsidRDefault="00C261E9" w14:paraId="3EBE4AAE" w14:textId="2543CB28"/>
    <w:p w:rsidR="00C261E9" w:rsidP="41C26842" w:rsidRDefault="00C261E9" w14:paraId="34D57E1F" w14:textId="7D5434C3"/>
    <w:p w:rsidR="00C261E9" w:rsidP="41C26842" w:rsidRDefault="00C261E9" w14:paraId="22792450" w14:textId="1C72D420"/>
    <w:p w:rsidR="00C261E9" w:rsidP="41C26842" w:rsidRDefault="00C261E9" w14:paraId="7C4098E7" w14:textId="5536C87B"/>
    <w:p w:rsidR="00C261E9" w:rsidP="41C26842" w:rsidRDefault="00C261E9" w14:paraId="31B60C8C" w14:textId="300C25FC"/>
    <w:p w:rsidR="00C261E9" w:rsidP="41C26842" w:rsidRDefault="00C261E9" w14:paraId="5D1A0731" w14:textId="4A92CA0D"/>
    <w:p w:rsidR="00C261E9" w:rsidP="41C26842" w:rsidRDefault="00C261E9" w14:paraId="7C5E3A19" w14:textId="45E7C811"/>
    <w:p w:rsidR="00C261E9" w:rsidP="41C26842" w:rsidRDefault="00C261E9" w14:paraId="67F31F19" w14:textId="74FCE3A3"/>
    <w:p w:rsidR="00C261E9" w:rsidP="41C26842" w:rsidRDefault="00C261E9" w14:paraId="24B5D116" w14:textId="6E230FFB"/>
    <w:p w:rsidR="00C261E9" w:rsidP="41C26842" w:rsidRDefault="00C261E9" w14:paraId="52290BF7" w14:textId="0BBCDF45"/>
    <w:p w:rsidR="00C261E9" w:rsidP="41C26842" w:rsidRDefault="00C261E9" w14:paraId="67CE1A0E" w14:textId="68CA6991"/>
    <w:p w:rsidR="00C261E9" w:rsidP="41C26842" w:rsidRDefault="00C261E9" w14:paraId="3840E1C1" w14:textId="2C21692E"/>
    <w:p w:rsidR="00C261E9" w:rsidP="41C26842" w:rsidRDefault="00C261E9" w14:paraId="18CCC8CE" w14:textId="03403811"/>
    <w:p w:rsidR="00C261E9" w:rsidP="41C26842" w:rsidRDefault="00C261E9" w14:paraId="51B3A49D" w14:textId="73BEFCF7"/>
    <w:p w:rsidR="00C261E9" w:rsidP="41C26842" w:rsidRDefault="00C261E9" w14:paraId="00FB9016" w14:textId="4DD35550"/>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E25790" w:rsidR="00115F48" w:rsidTr="00AA0623" w14:paraId="6A011FE5" w14:textId="77777777">
        <w:trPr>
          <w:cantSplit/>
          <w:trHeight w:val="720"/>
        </w:trPr>
        <w:tc>
          <w:tcPr>
            <w:tcW w:w="9049" w:type="dxa"/>
            <w:gridSpan w:val="2"/>
            <w:shd w:val="clear" w:color="auto" w:fill="FFFF00"/>
          </w:tcPr>
          <w:p w:rsidRPr="00E25790" w:rsidR="00115F48" w:rsidP="009469DB" w:rsidRDefault="00115F48" w14:paraId="2CA5A6EA" w14:textId="77777777">
            <w:pPr>
              <w:pStyle w:val="Heading1"/>
            </w:pPr>
            <w:bookmarkStart w:name="_Toc389021507" w:id="76"/>
            <w:bookmarkStart w:name="_Toc495415467" w:id="77"/>
            <w:bookmarkStart w:name="_Toc495481072" w:id="78"/>
            <w:bookmarkStart w:name="_Toc495481198" w:id="79"/>
            <w:bookmarkStart w:name="_Toc495481323" w:id="80"/>
            <w:bookmarkStart w:name="_Toc495501504" w:id="81"/>
            <w:bookmarkStart w:name="_Toc38106807" w:id="82"/>
            <w:bookmarkStart w:name="_Toc75339935" w:id="83"/>
            <w:r w:rsidRPr="00E25790">
              <w:lastRenderedPageBreak/>
              <w:t>Ampicillin</w:t>
            </w:r>
            <w:bookmarkEnd w:id="76"/>
            <w:bookmarkEnd w:id="77"/>
            <w:bookmarkEnd w:id="78"/>
            <w:bookmarkEnd w:id="79"/>
            <w:bookmarkEnd w:id="80"/>
            <w:bookmarkEnd w:id="81"/>
            <w:bookmarkEnd w:id="82"/>
            <w:bookmarkEnd w:id="83"/>
            <w:r w:rsidRPr="00E25790">
              <w:fldChar w:fldCharType="begin"/>
            </w:r>
            <w:r w:rsidRPr="00E25790">
              <w:instrText>tc "Ampicillin" \l 0</w:instrText>
            </w:r>
            <w:r w:rsidRPr="00E25790">
              <w:fldChar w:fldCharType="end"/>
            </w:r>
          </w:p>
        </w:tc>
      </w:tr>
      <w:tr w:rsidRPr="00E25790" w:rsidR="00115F48" w:rsidTr="00AA0623" w14:paraId="19338C52" w14:textId="77777777">
        <w:trPr>
          <w:cantSplit/>
          <w:trHeight w:val="480"/>
        </w:trPr>
        <w:tc>
          <w:tcPr>
            <w:tcW w:w="4153" w:type="dxa"/>
            <w:shd w:val="clear" w:color="auto" w:fill="FFFF00"/>
          </w:tcPr>
          <w:p w:rsidRPr="00E25790" w:rsidR="00115F48" w:rsidP="006F0321" w:rsidRDefault="00115F48" w14:paraId="48317992" w14:textId="52645713">
            <w:r w:rsidRPr="00E25790">
              <w:t xml:space="preserve">Revision Date : </w:t>
            </w:r>
            <w:r w:rsidR="002A0F32">
              <w:t>26-2-2021</w:t>
            </w:r>
          </w:p>
        </w:tc>
        <w:tc>
          <w:tcPr>
            <w:tcW w:w="4896" w:type="dxa"/>
            <w:shd w:val="clear" w:color="auto" w:fill="FFFF00"/>
          </w:tcPr>
          <w:p w:rsidRPr="00E25790" w:rsidR="00115F48" w:rsidP="006F0321" w:rsidRDefault="00115F48" w14:paraId="2D11A6AA" w14:textId="77777777">
            <w:r w:rsidRPr="00E25790">
              <w:t xml:space="preserve">Approved : </w:t>
            </w:r>
            <w:r w:rsidRPr="00E25790" w:rsidR="00340AF0">
              <w:t>TC, KOH</w:t>
            </w:r>
          </w:p>
        </w:tc>
      </w:tr>
    </w:tbl>
    <w:p w:rsidRPr="00E25790" w:rsidR="00115F48" w:rsidP="006F0321" w:rsidRDefault="00115F48" w14:paraId="699AE0FB" w14:textId="77777777"/>
    <w:tbl>
      <w:tblPr>
        <w:tblW w:w="966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258"/>
      </w:tblGrid>
      <w:tr w:rsidRPr="009D7CFB" w:rsidR="0023242D" w:rsidTr="0023242D" w14:paraId="7C2EA8C6" w14:textId="77777777">
        <w:tc>
          <w:tcPr>
            <w:tcW w:w="2410" w:type="dxa"/>
          </w:tcPr>
          <w:p w:rsidRPr="00D368E0" w:rsidR="0023242D" w:rsidP="00FE4186" w:rsidRDefault="0023242D" w14:paraId="6E74428C" w14:textId="77777777">
            <w:pPr>
              <w:pStyle w:val="BodyText"/>
              <w:tabs>
                <w:tab w:val="center" w:pos="1476"/>
              </w:tabs>
              <w:rPr>
                <w:rFonts w:cs="Arial"/>
                <w:b/>
                <w:sz w:val="22"/>
                <w:szCs w:val="22"/>
                <w:lang w:val="en-AU"/>
              </w:rPr>
            </w:pPr>
            <w:r w:rsidRPr="00D368E0">
              <w:rPr>
                <w:rFonts w:cs="Arial"/>
                <w:b/>
                <w:sz w:val="22"/>
                <w:szCs w:val="22"/>
                <w:lang w:val="en-AU"/>
              </w:rPr>
              <w:t>Alert</w:t>
            </w:r>
            <w:r w:rsidRPr="00D368E0">
              <w:rPr>
                <w:rFonts w:cs="Arial"/>
                <w:b/>
                <w:sz w:val="22"/>
                <w:szCs w:val="22"/>
                <w:lang w:val="en-AU"/>
              </w:rPr>
              <w:tab/>
            </w:r>
          </w:p>
          <w:p w:rsidRPr="00D368E0" w:rsidR="0023242D" w:rsidP="00FE4186" w:rsidRDefault="0023242D" w14:paraId="7D29E03A" w14:textId="77777777">
            <w:pPr>
              <w:pStyle w:val="BodyText"/>
              <w:tabs>
                <w:tab w:val="center" w:pos="1476"/>
              </w:tabs>
              <w:rPr>
                <w:rFonts w:cs="Arial"/>
                <w:b/>
                <w:sz w:val="20"/>
                <w:lang w:val="en-AU"/>
              </w:rPr>
            </w:pPr>
            <w:r w:rsidRPr="00D368E0">
              <w:rPr>
                <w:rFonts w:cs="Arial"/>
                <w:b/>
                <w:sz w:val="20"/>
                <w:lang w:val="en-AU"/>
              </w:rPr>
              <w:t xml:space="preserve"> </w:t>
            </w:r>
          </w:p>
        </w:tc>
        <w:tc>
          <w:tcPr>
            <w:tcW w:w="7258" w:type="dxa"/>
          </w:tcPr>
          <w:p w:rsidRPr="00D368E0" w:rsidR="0023242D" w:rsidP="00FE4186" w:rsidRDefault="0023242D" w14:paraId="4A8C1C83" w14:textId="77777777">
            <w:pPr>
              <w:pStyle w:val="BodyText"/>
              <w:rPr>
                <w:rFonts w:cs="Arial"/>
                <w:sz w:val="20"/>
                <w:lang w:val="en-AU"/>
              </w:rPr>
            </w:pPr>
            <w:r w:rsidRPr="00D368E0">
              <w:rPr>
                <w:sz w:val="20"/>
                <w:lang w:val="en-AU"/>
              </w:rPr>
              <w:t>The Antimicrobial Stewardship Team recommends this drug is listed under the following category: Unrestricted.</w:t>
            </w:r>
          </w:p>
        </w:tc>
      </w:tr>
      <w:tr w:rsidRPr="009D7CFB" w:rsidR="0023242D" w:rsidTr="0023242D" w14:paraId="33D76625" w14:textId="77777777">
        <w:trPr>
          <w:trHeight w:val="1085"/>
        </w:trPr>
        <w:tc>
          <w:tcPr>
            <w:tcW w:w="2410" w:type="dxa"/>
          </w:tcPr>
          <w:p w:rsidRPr="00D368E0" w:rsidR="0023242D" w:rsidP="00FE4186" w:rsidRDefault="0023242D" w14:paraId="250DB64F" w14:textId="77777777">
            <w:pPr>
              <w:pStyle w:val="BodyText"/>
              <w:rPr>
                <w:rFonts w:cs="Arial"/>
                <w:b/>
                <w:bCs/>
                <w:szCs w:val="24"/>
                <w:lang w:val="en-AU"/>
              </w:rPr>
            </w:pPr>
            <w:r w:rsidRPr="00D368E0">
              <w:rPr>
                <w:rFonts w:cs="Arial"/>
                <w:b/>
                <w:bCs/>
                <w:szCs w:val="24"/>
                <w:lang w:val="en-AU"/>
              </w:rPr>
              <w:t xml:space="preserve">Indication                         </w:t>
            </w:r>
          </w:p>
          <w:p w:rsidRPr="00D368E0" w:rsidR="0023242D" w:rsidP="00FE4186" w:rsidRDefault="0023242D" w14:paraId="1A17AA47" w14:textId="77777777">
            <w:pPr>
              <w:pStyle w:val="BodyText"/>
              <w:rPr>
                <w:rFonts w:cs="Arial"/>
                <w:sz w:val="20"/>
                <w:lang w:val="en-AU"/>
              </w:rPr>
            </w:pPr>
          </w:p>
        </w:tc>
        <w:tc>
          <w:tcPr>
            <w:tcW w:w="7258" w:type="dxa"/>
          </w:tcPr>
          <w:p w:rsidRPr="009D7CFB" w:rsidR="0023242D" w:rsidP="00FE4186" w:rsidRDefault="0023242D" w14:paraId="18EC1467" w14:textId="77777777">
            <w:pPr>
              <w:rPr>
                <w:sz w:val="20"/>
              </w:rPr>
            </w:pPr>
            <w:r w:rsidRPr="009D7CFB">
              <w:rPr>
                <w:sz w:val="20"/>
              </w:rPr>
              <w:t xml:space="preserve">Directed treatment of infections caused by susceptible gram positive (including </w:t>
            </w:r>
            <w:r w:rsidRPr="009D7CFB">
              <w:rPr>
                <w:i/>
                <w:sz w:val="20"/>
              </w:rPr>
              <w:t xml:space="preserve">Streptococcus </w:t>
            </w:r>
            <w:r w:rsidRPr="009D7CFB">
              <w:rPr>
                <w:sz w:val="20"/>
              </w:rPr>
              <w:t xml:space="preserve">species, </w:t>
            </w:r>
            <w:r w:rsidRPr="009D7CFB">
              <w:rPr>
                <w:i/>
                <w:sz w:val="20"/>
              </w:rPr>
              <w:t>Enterococcus faecalis</w:t>
            </w:r>
            <w:r w:rsidRPr="009D7CFB">
              <w:rPr>
                <w:sz w:val="20"/>
              </w:rPr>
              <w:t xml:space="preserve"> and </w:t>
            </w:r>
            <w:r w:rsidRPr="009D7CFB">
              <w:rPr>
                <w:i/>
                <w:sz w:val="20"/>
              </w:rPr>
              <w:t>Listeria monocytogenes</w:t>
            </w:r>
            <w:r w:rsidRPr="009D7CFB">
              <w:rPr>
                <w:sz w:val="20"/>
              </w:rPr>
              <w:t>) and susceptible gram</w:t>
            </w:r>
            <w:r>
              <w:rPr>
                <w:sz w:val="20"/>
              </w:rPr>
              <w:t>-</w:t>
            </w:r>
            <w:r w:rsidRPr="009D7CFB">
              <w:rPr>
                <w:sz w:val="20"/>
              </w:rPr>
              <w:t xml:space="preserve">negative bacteria (some strains of </w:t>
            </w:r>
            <w:r w:rsidRPr="009D7CFB">
              <w:rPr>
                <w:i/>
                <w:sz w:val="20"/>
              </w:rPr>
              <w:t>Escherichia coli</w:t>
            </w:r>
            <w:r w:rsidRPr="009D7CFB">
              <w:rPr>
                <w:sz w:val="20"/>
              </w:rPr>
              <w:t xml:space="preserve">, many strains of </w:t>
            </w:r>
            <w:r w:rsidRPr="009D7CFB">
              <w:rPr>
                <w:i/>
                <w:sz w:val="20"/>
              </w:rPr>
              <w:t>Haemophilus influenzae, Neisseria meningitidis, Proteus mirabilis</w:t>
            </w:r>
            <w:r w:rsidRPr="009D7CFB">
              <w:rPr>
                <w:sz w:val="20"/>
              </w:rPr>
              <w:t xml:space="preserve"> and </w:t>
            </w:r>
            <w:r w:rsidRPr="009D7CFB">
              <w:rPr>
                <w:i/>
                <w:sz w:val="20"/>
              </w:rPr>
              <w:t>Salmonellae</w:t>
            </w:r>
            <w:r w:rsidRPr="009D7CFB">
              <w:rPr>
                <w:sz w:val="20"/>
              </w:rPr>
              <w:t xml:space="preserve">). </w:t>
            </w:r>
            <w:r w:rsidRPr="009D7CFB">
              <w:rPr>
                <w:sz w:val="20"/>
              </w:rPr>
              <w:br/>
            </w:r>
            <w:r w:rsidRPr="009D7CFB">
              <w:rPr>
                <w:sz w:val="20"/>
              </w:rPr>
              <w:t>Empiric treatment of suspected early onset sepsis including meningitis, with an aminoglycoside.</w:t>
            </w:r>
          </w:p>
        </w:tc>
      </w:tr>
      <w:tr w:rsidRPr="009D7CFB" w:rsidR="0023242D" w:rsidTr="0023242D" w14:paraId="0B89040C" w14:textId="77777777">
        <w:trPr>
          <w:trHeight w:val="472"/>
        </w:trPr>
        <w:tc>
          <w:tcPr>
            <w:tcW w:w="2410" w:type="dxa"/>
          </w:tcPr>
          <w:p w:rsidRPr="00D368E0" w:rsidR="0023242D" w:rsidP="00FE4186" w:rsidRDefault="0023242D" w14:paraId="69767228" w14:textId="77777777">
            <w:pPr>
              <w:pStyle w:val="BodyText"/>
              <w:rPr>
                <w:rFonts w:cs="Arial"/>
                <w:b/>
                <w:bCs/>
                <w:szCs w:val="24"/>
                <w:lang w:val="en-AU"/>
              </w:rPr>
            </w:pPr>
            <w:r w:rsidRPr="00D368E0">
              <w:rPr>
                <w:rFonts w:cs="Arial"/>
                <w:b/>
                <w:bCs/>
                <w:szCs w:val="24"/>
                <w:lang w:val="en-AU"/>
              </w:rPr>
              <w:t>Action</w:t>
            </w:r>
          </w:p>
        </w:tc>
        <w:tc>
          <w:tcPr>
            <w:tcW w:w="7258" w:type="dxa"/>
          </w:tcPr>
          <w:p w:rsidRPr="009D7CFB" w:rsidR="0023242D" w:rsidP="00FE4186" w:rsidRDefault="0023242D" w14:paraId="000644C6" w14:textId="77777777">
            <w:pPr>
              <w:rPr>
                <w:rFonts w:cs="Arial"/>
                <w:sz w:val="20"/>
              </w:rPr>
            </w:pPr>
            <w:r w:rsidRPr="009D7CFB">
              <w:rPr>
                <w:sz w:val="20"/>
              </w:rPr>
              <w:t>Bactericidal - inhibits the synthesis of the bacterial cell wall. Ampicillin is hydrolysed by beta-lactamases and therefore not effective against penicillinase producing bacteria.</w:t>
            </w:r>
          </w:p>
        </w:tc>
      </w:tr>
      <w:tr w:rsidRPr="009D7CFB" w:rsidR="0023242D" w:rsidTr="0023242D" w14:paraId="63AB8379" w14:textId="77777777">
        <w:trPr>
          <w:trHeight w:val="266"/>
        </w:trPr>
        <w:tc>
          <w:tcPr>
            <w:tcW w:w="2410" w:type="dxa"/>
          </w:tcPr>
          <w:p w:rsidRPr="00D368E0" w:rsidR="0023242D" w:rsidP="00FE4186" w:rsidRDefault="0023242D" w14:paraId="226D08F8" w14:textId="77777777">
            <w:pPr>
              <w:pStyle w:val="BodyText"/>
              <w:rPr>
                <w:rFonts w:cs="Arial"/>
                <w:szCs w:val="24"/>
                <w:lang w:val="en-AU"/>
              </w:rPr>
            </w:pPr>
            <w:r w:rsidRPr="00D368E0">
              <w:rPr>
                <w:rFonts w:cs="Arial"/>
                <w:b/>
                <w:bCs/>
                <w:szCs w:val="24"/>
                <w:lang w:val="en-AU"/>
              </w:rPr>
              <w:t xml:space="preserve">Drug Type                                   </w:t>
            </w:r>
          </w:p>
        </w:tc>
        <w:tc>
          <w:tcPr>
            <w:tcW w:w="7258" w:type="dxa"/>
          </w:tcPr>
          <w:p w:rsidRPr="00D368E0" w:rsidR="0023242D" w:rsidP="00FE4186" w:rsidRDefault="0023242D" w14:paraId="4BFDD399" w14:textId="77777777">
            <w:pPr>
              <w:pStyle w:val="BodyText"/>
              <w:rPr>
                <w:rFonts w:cs="Arial"/>
                <w:sz w:val="20"/>
                <w:lang w:val="en-AU"/>
              </w:rPr>
            </w:pPr>
            <w:r w:rsidRPr="00D368E0">
              <w:rPr>
                <w:sz w:val="20"/>
                <w:lang w:val="en-AU"/>
              </w:rPr>
              <w:t>Antibacterial - Penicillin</w:t>
            </w:r>
          </w:p>
        </w:tc>
      </w:tr>
      <w:tr w:rsidRPr="009D7CFB" w:rsidR="0023242D" w:rsidTr="0023242D" w14:paraId="6892CCAF" w14:textId="77777777">
        <w:trPr>
          <w:trHeight w:val="384"/>
        </w:trPr>
        <w:tc>
          <w:tcPr>
            <w:tcW w:w="2410" w:type="dxa"/>
          </w:tcPr>
          <w:p w:rsidRPr="00D368E0" w:rsidR="0023242D" w:rsidP="00FE4186" w:rsidRDefault="0023242D" w14:paraId="45DFB291" w14:textId="77777777">
            <w:pPr>
              <w:pStyle w:val="BodyText"/>
              <w:rPr>
                <w:rFonts w:cs="Arial"/>
                <w:b/>
                <w:bCs/>
                <w:szCs w:val="24"/>
                <w:lang w:val="en-AU"/>
              </w:rPr>
            </w:pPr>
            <w:r w:rsidRPr="00D368E0">
              <w:rPr>
                <w:rFonts w:cs="Arial"/>
                <w:b/>
                <w:bCs/>
                <w:szCs w:val="24"/>
                <w:lang w:val="en-AU"/>
              </w:rPr>
              <w:t xml:space="preserve">Trade Name                  </w:t>
            </w:r>
          </w:p>
        </w:tc>
        <w:tc>
          <w:tcPr>
            <w:tcW w:w="7258" w:type="dxa"/>
          </w:tcPr>
          <w:p w:rsidRPr="00D368E0" w:rsidR="0023242D" w:rsidP="00FE4186" w:rsidRDefault="0023242D" w14:paraId="31D236F3" w14:textId="77777777">
            <w:pPr>
              <w:pStyle w:val="BodyText"/>
              <w:rPr>
                <w:rFonts w:cs="Arial"/>
                <w:sz w:val="20"/>
                <w:lang w:val="en-AU"/>
              </w:rPr>
            </w:pPr>
            <w:r w:rsidRPr="00D368E0">
              <w:rPr>
                <w:sz w:val="20"/>
                <w:lang w:val="en-AU"/>
              </w:rPr>
              <w:t>Ampicyn, Austrapen, Ibimicyn</w:t>
            </w:r>
          </w:p>
        </w:tc>
      </w:tr>
      <w:tr w:rsidRPr="009D7CFB" w:rsidR="0023242D" w:rsidTr="0023242D" w14:paraId="54485FCE" w14:textId="77777777">
        <w:trPr>
          <w:trHeight w:val="564"/>
        </w:trPr>
        <w:tc>
          <w:tcPr>
            <w:tcW w:w="2410" w:type="dxa"/>
          </w:tcPr>
          <w:p w:rsidRPr="00D368E0" w:rsidR="0023242D" w:rsidP="00FE4186" w:rsidRDefault="0023242D" w14:paraId="62C34F8E" w14:textId="77777777">
            <w:pPr>
              <w:pStyle w:val="BodyText"/>
              <w:rPr>
                <w:rFonts w:cs="Arial"/>
                <w:b/>
                <w:bCs/>
                <w:szCs w:val="24"/>
                <w:lang w:val="en-AU"/>
              </w:rPr>
            </w:pPr>
            <w:r w:rsidRPr="00D368E0">
              <w:rPr>
                <w:rFonts w:cs="Arial"/>
                <w:b/>
                <w:bCs/>
                <w:szCs w:val="24"/>
                <w:lang w:val="en-AU"/>
              </w:rPr>
              <w:t xml:space="preserve">Presentation </w:t>
            </w:r>
          </w:p>
        </w:tc>
        <w:tc>
          <w:tcPr>
            <w:tcW w:w="7258" w:type="dxa"/>
          </w:tcPr>
          <w:p w:rsidRPr="00D368E0" w:rsidR="0023242D" w:rsidP="00FE4186" w:rsidRDefault="0023242D" w14:paraId="79CFEFB2" w14:textId="77777777">
            <w:pPr>
              <w:pStyle w:val="BodyText"/>
              <w:ind w:left="34"/>
              <w:rPr>
                <w:rFonts w:cs="Arial"/>
                <w:sz w:val="20"/>
                <w:lang w:val="en-AU"/>
              </w:rPr>
            </w:pPr>
            <w:r w:rsidRPr="00D368E0">
              <w:rPr>
                <w:rFonts w:cs="Arial"/>
                <w:sz w:val="20"/>
                <w:lang w:val="en-AU"/>
              </w:rPr>
              <w:t>Ampicillin 500 mg vial</w:t>
            </w:r>
          </w:p>
          <w:p w:rsidRPr="00D368E0" w:rsidR="0023242D" w:rsidP="00FE4186" w:rsidRDefault="0023242D" w14:paraId="392B7C32" w14:textId="77777777">
            <w:pPr>
              <w:pStyle w:val="BodyText"/>
              <w:ind w:left="34"/>
              <w:rPr>
                <w:rFonts w:cs="Arial"/>
                <w:sz w:val="20"/>
                <w:lang w:val="en-AU"/>
              </w:rPr>
            </w:pPr>
            <w:r w:rsidRPr="00D368E0">
              <w:rPr>
                <w:rFonts w:cs="Arial"/>
                <w:sz w:val="20"/>
                <w:lang w:val="en-AU"/>
              </w:rPr>
              <w:t>Ampicillin 1000 mg vial</w:t>
            </w:r>
          </w:p>
        </w:tc>
      </w:tr>
      <w:tr w:rsidRPr="009D7CFB" w:rsidR="0023242D" w:rsidTr="0023242D" w14:paraId="0DD39F6E" w14:textId="77777777">
        <w:trPr>
          <w:trHeight w:val="3659"/>
        </w:trPr>
        <w:tc>
          <w:tcPr>
            <w:tcW w:w="2410" w:type="dxa"/>
          </w:tcPr>
          <w:p w:rsidRPr="00D368E0" w:rsidR="0023242D" w:rsidP="00FE4186" w:rsidRDefault="0023242D" w14:paraId="77905346" w14:textId="77777777">
            <w:pPr>
              <w:pStyle w:val="BodyText"/>
              <w:rPr>
                <w:rFonts w:cs="Arial"/>
                <w:b/>
                <w:bCs/>
                <w:szCs w:val="24"/>
                <w:lang w:val="en-AU"/>
              </w:rPr>
            </w:pPr>
            <w:r w:rsidRPr="00D368E0">
              <w:rPr>
                <w:rFonts w:cs="Arial"/>
                <w:b/>
                <w:bCs/>
                <w:szCs w:val="24"/>
                <w:lang w:val="en-AU"/>
              </w:rPr>
              <w:t xml:space="preserve">Dosage / Interval                           </w:t>
            </w:r>
          </w:p>
          <w:p w:rsidRPr="00D368E0" w:rsidR="0023242D" w:rsidP="00FE4186" w:rsidRDefault="0023242D" w14:paraId="76D7A4C7" w14:textId="77777777">
            <w:pPr>
              <w:pStyle w:val="BodyText"/>
              <w:rPr>
                <w:rFonts w:cs="Arial"/>
                <w:sz w:val="20"/>
                <w:lang w:val="en-AU"/>
              </w:rPr>
            </w:pPr>
          </w:p>
        </w:tc>
        <w:tc>
          <w:tcPr>
            <w:tcW w:w="7258" w:type="dxa"/>
          </w:tcPr>
          <w:p w:rsidRPr="00D368E0" w:rsidR="0023242D" w:rsidP="00FE4186" w:rsidRDefault="0023242D" w14:paraId="49D96C57" w14:textId="77777777">
            <w:pPr>
              <w:pStyle w:val="BodyText"/>
              <w:rPr>
                <w:rFonts w:cs="Arial"/>
                <w:b/>
                <w:sz w:val="22"/>
                <w:szCs w:val="22"/>
                <w:lang w:val="en-AU"/>
              </w:rPr>
            </w:pPr>
            <w:r w:rsidRPr="00D368E0">
              <w:rPr>
                <w:rFonts w:cs="Arial"/>
                <w:b/>
                <w:sz w:val="22"/>
                <w:szCs w:val="22"/>
                <w:lang w:val="en-AU"/>
              </w:rPr>
              <w:t>Standard infections: 50 mg/kg/dose. Dosing interval as per table below</w:t>
            </w:r>
          </w:p>
          <w:p w:rsidRPr="00D368E0" w:rsidR="0023242D" w:rsidP="00FE4186" w:rsidRDefault="0023242D" w14:paraId="351E1DCC" w14:textId="77777777">
            <w:pPr>
              <w:pStyle w:val="BodyText"/>
              <w:rPr>
                <w:rFonts w:cs="Arial"/>
                <w:b/>
                <w:sz w:val="22"/>
                <w:szCs w:val="22"/>
                <w:lang w:val="en-AU"/>
              </w:rPr>
            </w:pPr>
            <w:r w:rsidRPr="00D368E0">
              <w:rPr>
                <w:rFonts w:cs="Arial"/>
                <w:b/>
                <w:sz w:val="22"/>
                <w:szCs w:val="22"/>
                <w:lang w:val="en-AU"/>
              </w:rPr>
              <w:t>Meningitis: 100 mg/kg/dose. Dosing interval as per table below</w:t>
            </w:r>
          </w:p>
          <w:p w:rsidRPr="00D368E0" w:rsidR="0023242D" w:rsidP="00FE4186" w:rsidRDefault="0023242D" w14:paraId="5F69ECEE" w14:textId="77777777">
            <w:pPr>
              <w:pStyle w:val="BodyText"/>
              <w:rPr>
                <w:rFonts w:cs="Arial"/>
                <w:sz w:val="22"/>
                <w:szCs w:val="22"/>
                <w:lang w:val="en-AU"/>
              </w:rPr>
            </w:pPr>
          </w:p>
          <w:tbl>
            <w:tblPr>
              <w:tblW w:w="6129"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36"/>
              <w:gridCol w:w="1559"/>
              <w:gridCol w:w="1134"/>
            </w:tblGrid>
            <w:tr w:rsidRPr="009D7CFB" w:rsidR="0023242D" w:rsidTr="0023242D" w14:paraId="620056CC" w14:textId="77777777">
              <w:trPr>
                <w:trHeight w:val="248"/>
              </w:trPr>
              <w:tc>
                <w:tcPr>
                  <w:tcW w:w="4995" w:type="dxa"/>
                  <w:gridSpan w:val="2"/>
                  <w:vAlign w:val="center"/>
                </w:tcPr>
                <w:p w:rsidRPr="00D368E0" w:rsidR="0023242D" w:rsidP="00FE4186" w:rsidRDefault="0023242D" w14:paraId="7DB34DC9" w14:textId="77777777">
                  <w:pPr>
                    <w:pStyle w:val="BodyText"/>
                    <w:jc w:val="center"/>
                    <w:rPr>
                      <w:rFonts w:cs="Arial"/>
                      <w:b/>
                      <w:sz w:val="22"/>
                      <w:szCs w:val="22"/>
                      <w:lang w:val="en-AU"/>
                    </w:rPr>
                  </w:pPr>
                  <w:r w:rsidRPr="00D368E0">
                    <w:rPr>
                      <w:rFonts w:cs="Arial"/>
                      <w:b/>
                      <w:sz w:val="22"/>
                      <w:szCs w:val="22"/>
                      <w:lang w:val="en-AU"/>
                    </w:rPr>
                    <w:t>Method</w:t>
                  </w:r>
                </w:p>
              </w:tc>
              <w:tc>
                <w:tcPr>
                  <w:tcW w:w="1134" w:type="dxa"/>
                  <w:vMerge w:val="restart"/>
                  <w:vAlign w:val="center"/>
                </w:tcPr>
                <w:p w:rsidRPr="00D368E0" w:rsidR="0023242D" w:rsidP="00FE4186" w:rsidRDefault="0023242D" w14:paraId="62BC045D" w14:textId="77777777">
                  <w:pPr>
                    <w:pStyle w:val="BodyText"/>
                    <w:jc w:val="center"/>
                    <w:rPr>
                      <w:rFonts w:cs="Arial"/>
                      <w:b/>
                      <w:sz w:val="22"/>
                      <w:szCs w:val="22"/>
                      <w:lang w:val="en-AU"/>
                    </w:rPr>
                  </w:pPr>
                  <w:r w:rsidRPr="00D368E0">
                    <w:rPr>
                      <w:rFonts w:cs="Arial"/>
                      <w:b/>
                      <w:sz w:val="22"/>
                      <w:szCs w:val="22"/>
                      <w:lang w:val="en-AU"/>
                    </w:rPr>
                    <w:t>Interval</w:t>
                  </w:r>
                </w:p>
              </w:tc>
            </w:tr>
            <w:tr w:rsidRPr="009D7CFB" w:rsidR="0023242D" w:rsidTr="0023242D" w14:paraId="726CAA4D" w14:textId="77777777">
              <w:trPr>
                <w:trHeight w:val="247"/>
              </w:trPr>
              <w:tc>
                <w:tcPr>
                  <w:tcW w:w="3436" w:type="dxa"/>
                  <w:vAlign w:val="center"/>
                </w:tcPr>
                <w:p w:rsidRPr="00D368E0" w:rsidR="0023242D" w:rsidP="00FE4186" w:rsidRDefault="0023242D" w14:paraId="420EC958" w14:textId="77777777">
                  <w:pPr>
                    <w:pStyle w:val="BodyText"/>
                    <w:jc w:val="center"/>
                    <w:rPr>
                      <w:rFonts w:cs="Arial"/>
                      <w:b/>
                      <w:sz w:val="22"/>
                      <w:szCs w:val="22"/>
                      <w:lang w:val="en-AU"/>
                    </w:rPr>
                  </w:pPr>
                  <w:r w:rsidRPr="00D368E0">
                    <w:rPr>
                      <w:rFonts w:cs="Arial"/>
                      <w:b/>
                      <w:sz w:val="22"/>
                      <w:szCs w:val="22"/>
                      <w:lang w:val="en-AU"/>
                    </w:rPr>
                    <w:t>Corrected Gestational Age/Postmenstrual Age</w:t>
                  </w:r>
                </w:p>
              </w:tc>
              <w:tc>
                <w:tcPr>
                  <w:tcW w:w="1559" w:type="dxa"/>
                  <w:vAlign w:val="center"/>
                </w:tcPr>
                <w:p w:rsidRPr="00D368E0" w:rsidR="0023242D" w:rsidP="00FE4186" w:rsidRDefault="0023242D" w14:paraId="4C4F0AC3" w14:textId="77777777">
                  <w:pPr>
                    <w:pStyle w:val="BodyText"/>
                    <w:jc w:val="center"/>
                    <w:rPr>
                      <w:rFonts w:cs="Arial"/>
                      <w:b/>
                      <w:sz w:val="22"/>
                      <w:szCs w:val="22"/>
                      <w:lang w:val="en-AU"/>
                    </w:rPr>
                  </w:pPr>
                  <w:r w:rsidRPr="00D368E0">
                    <w:rPr>
                      <w:rFonts w:cs="Arial"/>
                      <w:b/>
                      <w:sz w:val="22"/>
                      <w:szCs w:val="22"/>
                      <w:lang w:val="en-AU"/>
                    </w:rPr>
                    <w:t xml:space="preserve">Postnatal Age </w:t>
                  </w:r>
                </w:p>
              </w:tc>
              <w:tc>
                <w:tcPr>
                  <w:tcW w:w="1134" w:type="dxa"/>
                  <w:vMerge/>
                  <w:vAlign w:val="center"/>
                </w:tcPr>
                <w:p w:rsidRPr="00D368E0" w:rsidR="0023242D" w:rsidP="00FE4186" w:rsidRDefault="0023242D" w14:paraId="0F5CB3DC" w14:textId="77777777">
                  <w:pPr>
                    <w:pStyle w:val="BodyText"/>
                    <w:jc w:val="center"/>
                    <w:rPr>
                      <w:rFonts w:cs="Arial"/>
                      <w:b/>
                      <w:sz w:val="22"/>
                      <w:szCs w:val="22"/>
                      <w:lang w:val="en-AU"/>
                    </w:rPr>
                  </w:pPr>
                </w:p>
              </w:tc>
            </w:tr>
            <w:tr w:rsidRPr="009D7CFB" w:rsidR="0023242D" w:rsidTr="0023242D" w14:paraId="674AF60D" w14:textId="77777777">
              <w:tc>
                <w:tcPr>
                  <w:tcW w:w="3436" w:type="dxa"/>
                </w:tcPr>
                <w:p w:rsidRPr="00D368E0" w:rsidR="0023242D" w:rsidP="00FE4186" w:rsidRDefault="0023242D" w14:paraId="4DCE52B1" w14:textId="77777777">
                  <w:pPr>
                    <w:pStyle w:val="BodyText"/>
                    <w:rPr>
                      <w:rFonts w:cs="Arial"/>
                      <w:sz w:val="22"/>
                      <w:szCs w:val="22"/>
                      <w:lang w:val="en-AU"/>
                    </w:rPr>
                  </w:pPr>
                  <w:r w:rsidRPr="00D368E0">
                    <w:rPr>
                      <w:sz w:val="22"/>
                      <w:szCs w:val="22"/>
                      <w:lang w:val="en-AU"/>
                    </w:rPr>
                    <w:t>&lt; 30</w:t>
                  </w:r>
                  <w:r w:rsidRPr="00D368E0">
                    <w:rPr>
                      <w:sz w:val="22"/>
                      <w:szCs w:val="22"/>
                      <w:vertAlign w:val="superscript"/>
                      <w:lang w:val="en-AU"/>
                    </w:rPr>
                    <w:t>+0</w:t>
                  </w:r>
                  <w:r w:rsidRPr="00D368E0">
                    <w:rPr>
                      <w:sz w:val="22"/>
                      <w:szCs w:val="22"/>
                      <w:lang w:val="en-AU"/>
                    </w:rPr>
                    <w:t xml:space="preserve"> weeks  </w:t>
                  </w:r>
                </w:p>
              </w:tc>
              <w:tc>
                <w:tcPr>
                  <w:tcW w:w="1559" w:type="dxa"/>
                </w:tcPr>
                <w:p w:rsidRPr="00D368E0" w:rsidR="0023242D" w:rsidP="00FE4186" w:rsidRDefault="0023242D" w14:paraId="7F4740EA" w14:textId="77777777">
                  <w:pPr>
                    <w:pStyle w:val="BodyText"/>
                    <w:rPr>
                      <w:rFonts w:cs="Arial"/>
                      <w:sz w:val="22"/>
                      <w:szCs w:val="22"/>
                      <w:lang w:val="en-AU"/>
                    </w:rPr>
                  </w:pPr>
                  <w:r w:rsidRPr="00D368E0">
                    <w:rPr>
                      <w:sz w:val="22"/>
                      <w:szCs w:val="22"/>
                      <w:lang w:val="en-AU"/>
                    </w:rPr>
                    <w:t xml:space="preserve">0–28 days </w:t>
                  </w:r>
                </w:p>
              </w:tc>
              <w:tc>
                <w:tcPr>
                  <w:tcW w:w="1134" w:type="dxa"/>
                </w:tcPr>
                <w:p w:rsidRPr="00D368E0" w:rsidR="0023242D" w:rsidP="00FE4186" w:rsidRDefault="0023242D" w14:paraId="6B92516F" w14:textId="77777777">
                  <w:pPr>
                    <w:pStyle w:val="BodyText"/>
                    <w:rPr>
                      <w:rFonts w:cs="Arial"/>
                      <w:sz w:val="22"/>
                      <w:szCs w:val="22"/>
                      <w:lang w:val="en-AU"/>
                    </w:rPr>
                  </w:pPr>
                  <w:r w:rsidRPr="00D368E0">
                    <w:rPr>
                      <w:sz w:val="22"/>
                      <w:szCs w:val="22"/>
                      <w:lang w:val="en-AU"/>
                    </w:rPr>
                    <w:t>12 hourly</w:t>
                  </w:r>
                </w:p>
              </w:tc>
            </w:tr>
            <w:tr w:rsidRPr="009D7CFB" w:rsidR="0023242D" w:rsidTr="0023242D" w14:paraId="39E993A8" w14:textId="77777777">
              <w:tc>
                <w:tcPr>
                  <w:tcW w:w="3436" w:type="dxa"/>
                </w:tcPr>
                <w:p w:rsidRPr="00D368E0" w:rsidR="0023242D" w:rsidP="00FE4186" w:rsidRDefault="0023242D" w14:paraId="41CE2BC3" w14:textId="77777777">
                  <w:pPr>
                    <w:pStyle w:val="BodyText"/>
                    <w:rPr>
                      <w:rFonts w:cs="Arial"/>
                      <w:sz w:val="22"/>
                      <w:szCs w:val="22"/>
                      <w:lang w:val="en-AU"/>
                    </w:rPr>
                  </w:pPr>
                  <w:r w:rsidRPr="00D368E0">
                    <w:rPr>
                      <w:sz w:val="22"/>
                      <w:szCs w:val="22"/>
                      <w:lang w:val="en-AU"/>
                    </w:rPr>
                    <w:t>&lt; 30</w:t>
                  </w:r>
                  <w:r w:rsidRPr="00D368E0">
                    <w:rPr>
                      <w:sz w:val="22"/>
                      <w:szCs w:val="22"/>
                      <w:vertAlign w:val="superscript"/>
                      <w:lang w:val="en-AU"/>
                    </w:rPr>
                    <w:t>+0</w:t>
                  </w:r>
                  <w:r w:rsidRPr="00D368E0">
                    <w:rPr>
                      <w:sz w:val="22"/>
                      <w:szCs w:val="22"/>
                      <w:lang w:val="en-AU"/>
                    </w:rPr>
                    <w:t xml:space="preserve"> weeks  </w:t>
                  </w:r>
                </w:p>
              </w:tc>
              <w:tc>
                <w:tcPr>
                  <w:tcW w:w="1559" w:type="dxa"/>
                </w:tcPr>
                <w:p w:rsidRPr="00D368E0" w:rsidR="0023242D" w:rsidP="00FE4186" w:rsidRDefault="0023242D" w14:paraId="1D71A5EB" w14:textId="77777777">
                  <w:pPr>
                    <w:pStyle w:val="BodyText"/>
                    <w:rPr>
                      <w:rFonts w:cs="Arial"/>
                      <w:sz w:val="22"/>
                      <w:szCs w:val="22"/>
                      <w:lang w:val="en-AU"/>
                    </w:rPr>
                  </w:pPr>
                  <w:r w:rsidRPr="00D368E0">
                    <w:rPr>
                      <w:sz w:val="22"/>
                      <w:szCs w:val="22"/>
                      <w:lang w:val="en-AU"/>
                    </w:rPr>
                    <w:t>29+ days</w:t>
                  </w:r>
                </w:p>
              </w:tc>
              <w:tc>
                <w:tcPr>
                  <w:tcW w:w="1134" w:type="dxa"/>
                </w:tcPr>
                <w:p w:rsidRPr="00D368E0" w:rsidR="0023242D" w:rsidP="00FE4186" w:rsidRDefault="0023242D" w14:paraId="2BF6E630" w14:textId="77777777">
                  <w:pPr>
                    <w:pStyle w:val="BodyText"/>
                    <w:rPr>
                      <w:rFonts w:cs="Arial"/>
                      <w:sz w:val="22"/>
                      <w:szCs w:val="22"/>
                      <w:lang w:val="en-AU"/>
                    </w:rPr>
                  </w:pPr>
                  <w:r w:rsidRPr="00D368E0">
                    <w:rPr>
                      <w:sz w:val="22"/>
                      <w:szCs w:val="22"/>
                      <w:lang w:val="en-AU"/>
                    </w:rPr>
                    <w:t>8 hourly</w:t>
                  </w:r>
                </w:p>
              </w:tc>
            </w:tr>
            <w:tr w:rsidRPr="009D7CFB" w:rsidR="0023242D" w:rsidTr="0023242D" w14:paraId="67F6E9FC" w14:textId="77777777">
              <w:tc>
                <w:tcPr>
                  <w:tcW w:w="3436" w:type="dxa"/>
                </w:tcPr>
                <w:p w:rsidRPr="00D368E0" w:rsidR="0023242D" w:rsidP="00FE4186" w:rsidRDefault="0023242D" w14:paraId="50D2742A" w14:textId="77777777">
                  <w:pPr>
                    <w:pStyle w:val="BodyText"/>
                    <w:rPr>
                      <w:rFonts w:cs="Arial"/>
                      <w:sz w:val="22"/>
                      <w:szCs w:val="22"/>
                      <w:lang w:val="en-AU"/>
                    </w:rPr>
                  </w:pPr>
                  <w:r w:rsidRPr="00D368E0">
                    <w:rPr>
                      <w:sz w:val="22"/>
                      <w:szCs w:val="22"/>
                      <w:lang w:val="en-AU"/>
                    </w:rPr>
                    <w:t>30</w:t>
                  </w:r>
                  <w:r w:rsidRPr="00D368E0">
                    <w:rPr>
                      <w:sz w:val="22"/>
                      <w:szCs w:val="22"/>
                      <w:vertAlign w:val="superscript"/>
                      <w:lang w:val="en-AU"/>
                    </w:rPr>
                    <w:t xml:space="preserve">+0 </w:t>
                  </w:r>
                  <w:r w:rsidRPr="00D368E0">
                    <w:rPr>
                      <w:sz w:val="22"/>
                      <w:szCs w:val="22"/>
                      <w:lang w:val="en-AU"/>
                    </w:rPr>
                    <w:t>−36</w:t>
                  </w:r>
                  <w:r w:rsidRPr="00D368E0">
                    <w:rPr>
                      <w:sz w:val="22"/>
                      <w:szCs w:val="22"/>
                      <w:vertAlign w:val="superscript"/>
                      <w:lang w:val="en-AU"/>
                    </w:rPr>
                    <w:t>+6</w:t>
                  </w:r>
                  <w:r w:rsidRPr="00D368E0">
                    <w:rPr>
                      <w:sz w:val="22"/>
                      <w:szCs w:val="22"/>
                      <w:lang w:val="en-AU"/>
                    </w:rPr>
                    <w:t xml:space="preserve"> weeks  </w:t>
                  </w:r>
                </w:p>
              </w:tc>
              <w:tc>
                <w:tcPr>
                  <w:tcW w:w="1559" w:type="dxa"/>
                </w:tcPr>
                <w:p w:rsidRPr="00D368E0" w:rsidR="0023242D" w:rsidP="00FE4186" w:rsidRDefault="0023242D" w14:paraId="34BF4AD2" w14:textId="77777777">
                  <w:pPr>
                    <w:pStyle w:val="BodyText"/>
                    <w:rPr>
                      <w:rFonts w:cs="Arial"/>
                      <w:sz w:val="22"/>
                      <w:szCs w:val="22"/>
                      <w:lang w:val="en-AU"/>
                    </w:rPr>
                  </w:pPr>
                  <w:r w:rsidRPr="00D368E0">
                    <w:rPr>
                      <w:sz w:val="22"/>
                      <w:szCs w:val="22"/>
                      <w:lang w:val="en-AU"/>
                    </w:rPr>
                    <w:t>0−14 days</w:t>
                  </w:r>
                </w:p>
              </w:tc>
              <w:tc>
                <w:tcPr>
                  <w:tcW w:w="1134" w:type="dxa"/>
                </w:tcPr>
                <w:p w:rsidRPr="009D7CFB" w:rsidR="0023242D" w:rsidP="00FE4186" w:rsidRDefault="0023242D" w14:paraId="29A632C8" w14:textId="77777777">
                  <w:pPr>
                    <w:rPr>
                      <w:sz w:val="22"/>
                      <w:szCs w:val="22"/>
                    </w:rPr>
                  </w:pPr>
                  <w:r w:rsidRPr="009D7CFB">
                    <w:rPr>
                      <w:sz w:val="22"/>
                      <w:szCs w:val="22"/>
                    </w:rPr>
                    <w:t>12 hourly</w:t>
                  </w:r>
                </w:p>
              </w:tc>
            </w:tr>
            <w:tr w:rsidRPr="009D7CFB" w:rsidR="0023242D" w:rsidTr="0023242D" w14:paraId="32BFBF3E" w14:textId="77777777">
              <w:tc>
                <w:tcPr>
                  <w:tcW w:w="3436" w:type="dxa"/>
                </w:tcPr>
                <w:p w:rsidRPr="00D368E0" w:rsidR="0023242D" w:rsidP="00FE4186" w:rsidRDefault="0023242D" w14:paraId="067B65C2" w14:textId="77777777">
                  <w:pPr>
                    <w:pStyle w:val="BodyText"/>
                    <w:rPr>
                      <w:rFonts w:cs="Arial"/>
                      <w:sz w:val="22"/>
                      <w:szCs w:val="22"/>
                      <w:lang w:val="en-AU"/>
                    </w:rPr>
                  </w:pPr>
                  <w:r w:rsidRPr="00D368E0">
                    <w:rPr>
                      <w:sz w:val="22"/>
                      <w:szCs w:val="22"/>
                      <w:lang w:val="en-AU"/>
                    </w:rPr>
                    <w:t>30</w:t>
                  </w:r>
                  <w:r w:rsidRPr="00D368E0">
                    <w:rPr>
                      <w:sz w:val="22"/>
                      <w:szCs w:val="22"/>
                      <w:vertAlign w:val="superscript"/>
                      <w:lang w:val="en-AU"/>
                    </w:rPr>
                    <w:t>+0</w:t>
                  </w:r>
                  <w:r w:rsidRPr="00D368E0">
                    <w:rPr>
                      <w:sz w:val="22"/>
                      <w:szCs w:val="22"/>
                      <w:lang w:val="en-AU"/>
                    </w:rPr>
                    <w:t>−36</w:t>
                  </w:r>
                  <w:r w:rsidRPr="00D368E0">
                    <w:rPr>
                      <w:sz w:val="22"/>
                      <w:szCs w:val="22"/>
                      <w:vertAlign w:val="superscript"/>
                      <w:lang w:val="en-AU"/>
                    </w:rPr>
                    <w:t>+6</w:t>
                  </w:r>
                  <w:r w:rsidRPr="00D368E0">
                    <w:rPr>
                      <w:sz w:val="22"/>
                      <w:szCs w:val="22"/>
                      <w:lang w:val="en-AU"/>
                    </w:rPr>
                    <w:t xml:space="preserve"> weeks  </w:t>
                  </w:r>
                </w:p>
              </w:tc>
              <w:tc>
                <w:tcPr>
                  <w:tcW w:w="1559" w:type="dxa"/>
                </w:tcPr>
                <w:p w:rsidRPr="00D368E0" w:rsidR="0023242D" w:rsidP="00FE4186" w:rsidRDefault="0023242D" w14:paraId="46FB6498" w14:textId="77777777">
                  <w:pPr>
                    <w:pStyle w:val="BodyText"/>
                    <w:rPr>
                      <w:rFonts w:cs="Arial"/>
                      <w:sz w:val="22"/>
                      <w:szCs w:val="22"/>
                      <w:lang w:val="en-AU"/>
                    </w:rPr>
                  </w:pPr>
                  <w:r w:rsidRPr="00D368E0">
                    <w:rPr>
                      <w:sz w:val="22"/>
                      <w:szCs w:val="22"/>
                      <w:lang w:val="en-AU"/>
                    </w:rPr>
                    <w:t>15+ days</w:t>
                  </w:r>
                </w:p>
              </w:tc>
              <w:tc>
                <w:tcPr>
                  <w:tcW w:w="1134" w:type="dxa"/>
                </w:tcPr>
                <w:p w:rsidRPr="00D368E0" w:rsidR="0023242D" w:rsidP="00FE4186" w:rsidRDefault="0023242D" w14:paraId="354F0000" w14:textId="77777777">
                  <w:pPr>
                    <w:pStyle w:val="BodyText"/>
                    <w:rPr>
                      <w:rFonts w:cs="Arial"/>
                      <w:sz w:val="22"/>
                      <w:szCs w:val="22"/>
                      <w:lang w:val="en-AU"/>
                    </w:rPr>
                  </w:pPr>
                  <w:r w:rsidRPr="00D368E0">
                    <w:rPr>
                      <w:sz w:val="22"/>
                      <w:szCs w:val="22"/>
                      <w:lang w:val="en-AU"/>
                    </w:rPr>
                    <w:t>8 hourly</w:t>
                  </w:r>
                </w:p>
              </w:tc>
            </w:tr>
            <w:tr w:rsidRPr="009D7CFB" w:rsidR="0023242D" w:rsidTr="0023242D" w14:paraId="5CF00BBB" w14:textId="77777777">
              <w:tc>
                <w:tcPr>
                  <w:tcW w:w="3436" w:type="dxa"/>
                </w:tcPr>
                <w:p w:rsidRPr="00D368E0" w:rsidR="0023242D" w:rsidP="00FE4186" w:rsidRDefault="0023242D" w14:paraId="01186CB1" w14:textId="77777777">
                  <w:pPr>
                    <w:pStyle w:val="BodyText"/>
                    <w:rPr>
                      <w:sz w:val="22"/>
                      <w:szCs w:val="22"/>
                      <w:lang w:val="en-AU"/>
                    </w:rPr>
                  </w:pPr>
                  <w:r w:rsidRPr="00D368E0">
                    <w:rPr>
                      <w:sz w:val="22"/>
                      <w:szCs w:val="22"/>
                      <w:lang w:val="en-AU"/>
                    </w:rPr>
                    <w:t>37</w:t>
                  </w:r>
                  <w:r w:rsidRPr="00D368E0">
                    <w:rPr>
                      <w:sz w:val="22"/>
                      <w:szCs w:val="22"/>
                      <w:vertAlign w:val="superscript"/>
                      <w:lang w:val="en-AU"/>
                    </w:rPr>
                    <w:t>+0</w:t>
                  </w:r>
                  <w:r w:rsidRPr="00D368E0">
                    <w:rPr>
                      <w:sz w:val="22"/>
                      <w:szCs w:val="22"/>
                      <w:lang w:val="en-AU"/>
                    </w:rPr>
                    <w:t>−44</w:t>
                  </w:r>
                  <w:r w:rsidRPr="00D368E0">
                    <w:rPr>
                      <w:sz w:val="22"/>
                      <w:szCs w:val="22"/>
                      <w:vertAlign w:val="superscript"/>
                      <w:lang w:val="en-AU"/>
                    </w:rPr>
                    <w:t>+6</w:t>
                  </w:r>
                  <w:r w:rsidRPr="00D368E0">
                    <w:rPr>
                      <w:sz w:val="22"/>
                      <w:szCs w:val="22"/>
                      <w:lang w:val="en-AU"/>
                    </w:rPr>
                    <w:t xml:space="preserve"> weeks </w:t>
                  </w:r>
                </w:p>
              </w:tc>
              <w:tc>
                <w:tcPr>
                  <w:tcW w:w="1559" w:type="dxa"/>
                </w:tcPr>
                <w:p w:rsidRPr="00D368E0" w:rsidR="0023242D" w:rsidP="00FE4186" w:rsidRDefault="0023242D" w14:paraId="210E7A80" w14:textId="77777777">
                  <w:pPr>
                    <w:pStyle w:val="BodyText"/>
                    <w:rPr>
                      <w:sz w:val="22"/>
                      <w:szCs w:val="22"/>
                      <w:lang w:val="en-AU"/>
                    </w:rPr>
                  </w:pPr>
                  <w:r w:rsidRPr="00D368E0">
                    <w:rPr>
                      <w:sz w:val="22"/>
                      <w:szCs w:val="22"/>
                      <w:lang w:val="en-AU"/>
                    </w:rPr>
                    <w:t>0−7 days</w:t>
                  </w:r>
                </w:p>
              </w:tc>
              <w:tc>
                <w:tcPr>
                  <w:tcW w:w="1134" w:type="dxa"/>
                </w:tcPr>
                <w:p w:rsidRPr="00D368E0" w:rsidR="0023242D" w:rsidP="00FE4186" w:rsidRDefault="0023242D" w14:paraId="437E3CD2" w14:textId="77777777">
                  <w:pPr>
                    <w:pStyle w:val="BodyText"/>
                    <w:rPr>
                      <w:sz w:val="22"/>
                      <w:szCs w:val="22"/>
                      <w:lang w:val="en-AU"/>
                    </w:rPr>
                  </w:pPr>
                  <w:r w:rsidRPr="00D368E0">
                    <w:rPr>
                      <w:sz w:val="22"/>
                      <w:szCs w:val="22"/>
                      <w:lang w:val="en-AU"/>
                    </w:rPr>
                    <w:t>12 hourly</w:t>
                  </w:r>
                </w:p>
              </w:tc>
            </w:tr>
            <w:tr w:rsidRPr="009D7CFB" w:rsidR="0023242D" w:rsidTr="0023242D" w14:paraId="6C3A5D65" w14:textId="77777777">
              <w:tc>
                <w:tcPr>
                  <w:tcW w:w="3436" w:type="dxa"/>
                </w:tcPr>
                <w:p w:rsidRPr="00D368E0" w:rsidR="0023242D" w:rsidP="00FE4186" w:rsidRDefault="0023242D" w14:paraId="7FFEF95E" w14:textId="77777777">
                  <w:pPr>
                    <w:pStyle w:val="BodyText"/>
                    <w:rPr>
                      <w:sz w:val="22"/>
                      <w:szCs w:val="22"/>
                      <w:lang w:val="en-AU"/>
                    </w:rPr>
                  </w:pPr>
                  <w:r w:rsidRPr="00D368E0">
                    <w:rPr>
                      <w:sz w:val="22"/>
                      <w:szCs w:val="22"/>
                      <w:lang w:val="en-AU"/>
                    </w:rPr>
                    <w:t>37</w:t>
                  </w:r>
                  <w:r w:rsidRPr="00D368E0">
                    <w:rPr>
                      <w:sz w:val="22"/>
                      <w:szCs w:val="22"/>
                      <w:vertAlign w:val="superscript"/>
                      <w:lang w:val="en-AU"/>
                    </w:rPr>
                    <w:t>+0</w:t>
                  </w:r>
                  <w:r w:rsidRPr="00D368E0">
                    <w:rPr>
                      <w:sz w:val="22"/>
                      <w:szCs w:val="22"/>
                      <w:lang w:val="en-AU"/>
                    </w:rPr>
                    <w:t>−44</w:t>
                  </w:r>
                  <w:r w:rsidRPr="00D368E0">
                    <w:rPr>
                      <w:sz w:val="22"/>
                      <w:szCs w:val="22"/>
                      <w:vertAlign w:val="superscript"/>
                      <w:lang w:val="en-AU"/>
                    </w:rPr>
                    <w:t>+6</w:t>
                  </w:r>
                  <w:r w:rsidRPr="00D368E0">
                    <w:rPr>
                      <w:sz w:val="22"/>
                      <w:szCs w:val="22"/>
                      <w:lang w:val="en-AU"/>
                    </w:rPr>
                    <w:t xml:space="preserve"> weeks </w:t>
                  </w:r>
                </w:p>
              </w:tc>
              <w:tc>
                <w:tcPr>
                  <w:tcW w:w="1559" w:type="dxa"/>
                </w:tcPr>
                <w:p w:rsidRPr="00D368E0" w:rsidR="0023242D" w:rsidP="00FE4186" w:rsidRDefault="0023242D" w14:paraId="73B195B0" w14:textId="77777777">
                  <w:pPr>
                    <w:pStyle w:val="BodyText"/>
                    <w:rPr>
                      <w:sz w:val="22"/>
                      <w:szCs w:val="22"/>
                      <w:lang w:val="en-AU"/>
                    </w:rPr>
                  </w:pPr>
                  <w:r w:rsidRPr="00D368E0">
                    <w:rPr>
                      <w:sz w:val="22"/>
                      <w:szCs w:val="22"/>
                      <w:lang w:val="en-AU"/>
                    </w:rPr>
                    <w:t>8+ days</w:t>
                  </w:r>
                </w:p>
              </w:tc>
              <w:tc>
                <w:tcPr>
                  <w:tcW w:w="1134" w:type="dxa"/>
                </w:tcPr>
                <w:p w:rsidRPr="00D368E0" w:rsidR="0023242D" w:rsidP="00FE4186" w:rsidRDefault="0023242D" w14:paraId="7EC87B97" w14:textId="77777777">
                  <w:pPr>
                    <w:pStyle w:val="BodyText"/>
                    <w:rPr>
                      <w:sz w:val="22"/>
                      <w:szCs w:val="22"/>
                      <w:lang w:val="en-AU"/>
                    </w:rPr>
                  </w:pPr>
                  <w:r w:rsidRPr="00D368E0">
                    <w:rPr>
                      <w:sz w:val="22"/>
                      <w:szCs w:val="22"/>
                      <w:lang w:val="en-AU"/>
                    </w:rPr>
                    <w:t>8 hourly</w:t>
                  </w:r>
                </w:p>
              </w:tc>
            </w:tr>
            <w:tr w:rsidRPr="009D7CFB" w:rsidR="0023242D" w:rsidTr="0023242D" w14:paraId="70EE2DB7" w14:textId="77777777">
              <w:tc>
                <w:tcPr>
                  <w:tcW w:w="3436" w:type="dxa"/>
                </w:tcPr>
                <w:p w:rsidRPr="00D368E0" w:rsidR="0023242D" w:rsidP="00FE4186" w:rsidRDefault="0023242D" w14:paraId="161DCA2E" w14:textId="77777777">
                  <w:pPr>
                    <w:pStyle w:val="BodyText"/>
                    <w:rPr>
                      <w:sz w:val="22"/>
                      <w:szCs w:val="22"/>
                      <w:lang w:val="en-AU"/>
                    </w:rPr>
                  </w:pPr>
                  <w:r w:rsidRPr="00D368E0">
                    <w:rPr>
                      <w:sz w:val="22"/>
                      <w:szCs w:val="22"/>
                      <w:lang w:val="en-AU"/>
                    </w:rPr>
                    <w:t>≥ 45</w:t>
                  </w:r>
                  <w:r w:rsidRPr="00D368E0">
                    <w:rPr>
                      <w:sz w:val="22"/>
                      <w:szCs w:val="22"/>
                      <w:vertAlign w:val="superscript"/>
                      <w:lang w:val="en-AU"/>
                    </w:rPr>
                    <w:t>+0</w:t>
                  </w:r>
                  <w:r w:rsidRPr="00D368E0">
                    <w:rPr>
                      <w:sz w:val="22"/>
                      <w:szCs w:val="22"/>
                      <w:lang w:val="en-AU"/>
                    </w:rPr>
                    <w:t xml:space="preserve"> weeks </w:t>
                  </w:r>
                </w:p>
              </w:tc>
              <w:tc>
                <w:tcPr>
                  <w:tcW w:w="1559" w:type="dxa"/>
                </w:tcPr>
                <w:p w:rsidRPr="00D368E0" w:rsidR="0023242D" w:rsidP="00FE4186" w:rsidRDefault="0023242D" w14:paraId="0FE1FC23" w14:textId="77777777">
                  <w:pPr>
                    <w:pStyle w:val="BodyText"/>
                    <w:rPr>
                      <w:sz w:val="22"/>
                      <w:szCs w:val="22"/>
                      <w:lang w:val="en-AU"/>
                    </w:rPr>
                  </w:pPr>
                  <w:r w:rsidRPr="00D368E0">
                    <w:rPr>
                      <w:sz w:val="22"/>
                      <w:szCs w:val="22"/>
                      <w:lang w:val="en-AU"/>
                    </w:rPr>
                    <w:t>0+ days</w:t>
                  </w:r>
                </w:p>
              </w:tc>
              <w:tc>
                <w:tcPr>
                  <w:tcW w:w="1134" w:type="dxa"/>
                </w:tcPr>
                <w:p w:rsidRPr="00D368E0" w:rsidR="0023242D" w:rsidP="00FE4186" w:rsidRDefault="0023242D" w14:paraId="6B9291BF" w14:textId="77777777">
                  <w:pPr>
                    <w:pStyle w:val="BodyText"/>
                    <w:rPr>
                      <w:sz w:val="22"/>
                      <w:szCs w:val="22"/>
                      <w:lang w:val="en-AU"/>
                    </w:rPr>
                  </w:pPr>
                  <w:r w:rsidRPr="00D368E0">
                    <w:rPr>
                      <w:sz w:val="22"/>
                      <w:szCs w:val="22"/>
                      <w:lang w:val="en-AU"/>
                    </w:rPr>
                    <w:t>6 hourly</w:t>
                  </w:r>
                </w:p>
              </w:tc>
            </w:tr>
          </w:tbl>
          <w:p w:rsidRPr="00D368E0" w:rsidR="0023242D" w:rsidP="00FE4186" w:rsidRDefault="0023242D" w14:paraId="7C5CC3E2" w14:textId="77777777">
            <w:pPr>
              <w:pStyle w:val="BodyText"/>
              <w:rPr>
                <w:rFonts w:cs="Arial"/>
                <w:szCs w:val="24"/>
                <w:lang w:val="en-AU"/>
              </w:rPr>
            </w:pPr>
          </w:p>
        </w:tc>
      </w:tr>
      <w:tr w:rsidRPr="009D7CFB" w:rsidR="0023242D" w:rsidTr="0023242D" w14:paraId="4379A4CE" w14:textId="77777777">
        <w:trPr>
          <w:trHeight w:val="407"/>
        </w:trPr>
        <w:tc>
          <w:tcPr>
            <w:tcW w:w="2410" w:type="dxa"/>
          </w:tcPr>
          <w:p w:rsidRPr="00D368E0" w:rsidR="0023242D" w:rsidP="00FE4186" w:rsidRDefault="0023242D" w14:paraId="0A97E8D9" w14:textId="77777777">
            <w:pPr>
              <w:pStyle w:val="BodyText"/>
              <w:rPr>
                <w:rFonts w:cs="Arial"/>
                <w:b/>
                <w:bCs/>
                <w:szCs w:val="24"/>
                <w:lang w:val="en-AU"/>
              </w:rPr>
            </w:pPr>
            <w:r w:rsidRPr="00D368E0">
              <w:rPr>
                <w:b/>
                <w:lang w:val="en-AU"/>
              </w:rPr>
              <w:t>Maximum Daily Dose</w:t>
            </w:r>
          </w:p>
        </w:tc>
        <w:tc>
          <w:tcPr>
            <w:tcW w:w="7258" w:type="dxa"/>
          </w:tcPr>
          <w:p w:rsidRPr="00D368E0" w:rsidR="0023242D" w:rsidP="00FE4186" w:rsidRDefault="0023242D" w14:paraId="00CC94EB" w14:textId="77777777">
            <w:pPr>
              <w:pStyle w:val="BodyText"/>
              <w:rPr>
                <w:rFonts w:cs="Arial"/>
                <w:b/>
                <w:sz w:val="20"/>
                <w:lang w:val="en-AU"/>
              </w:rPr>
            </w:pPr>
            <w:r w:rsidRPr="00D368E0">
              <w:rPr>
                <w:sz w:val="20"/>
                <w:lang w:val="en-AU"/>
              </w:rPr>
              <w:t>400 mg/kg/day</w:t>
            </w:r>
          </w:p>
        </w:tc>
      </w:tr>
      <w:tr w:rsidRPr="009D7CFB" w:rsidR="0023242D" w:rsidTr="0023242D" w14:paraId="34FD1976" w14:textId="77777777">
        <w:trPr>
          <w:trHeight w:val="414"/>
        </w:trPr>
        <w:tc>
          <w:tcPr>
            <w:tcW w:w="2410" w:type="dxa"/>
          </w:tcPr>
          <w:p w:rsidRPr="00D368E0" w:rsidR="0023242D" w:rsidP="00FE4186" w:rsidRDefault="0023242D" w14:paraId="2CB45DD6" w14:textId="77777777">
            <w:pPr>
              <w:pStyle w:val="BodyText"/>
              <w:rPr>
                <w:rFonts w:cs="Arial"/>
                <w:b/>
                <w:bCs/>
                <w:szCs w:val="24"/>
                <w:lang w:val="en-AU"/>
              </w:rPr>
            </w:pPr>
            <w:r w:rsidRPr="00D368E0">
              <w:rPr>
                <w:rFonts w:cs="Arial"/>
                <w:b/>
                <w:bCs/>
                <w:szCs w:val="24"/>
                <w:lang w:val="en-AU"/>
              </w:rPr>
              <w:t xml:space="preserve">Route                                </w:t>
            </w:r>
          </w:p>
          <w:p w:rsidRPr="00D368E0" w:rsidR="0023242D" w:rsidP="00FE4186" w:rsidRDefault="0023242D" w14:paraId="1E80A85F" w14:textId="77777777">
            <w:pPr>
              <w:pStyle w:val="BodyText"/>
              <w:rPr>
                <w:rFonts w:cs="Arial"/>
                <w:sz w:val="20"/>
                <w:lang w:val="en-AU"/>
              </w:rPr>
            </w:pPr>
            <w:r w:rsidRPr="00D368E0">
              <w:rPr>
                <w:rFonts w:cs="Arial"/>
                <w:b/>
                <w:bCs/>
                <w:sz w:val="20"/>
                <w:lang w:val="en-AU"/>
              </w:rPr>
              <w:t xml:space="preserve">           </w:t>
            </w:r>
          </w:p>
        </w:tc>
        <w:tc>
          <w:tcPr>
            <w:tcW w:w="7258" w:type="dxa"/>
          </w:tcPr>
          <w:p w:rsidRPr="00D368E0" w:rsidR="0023242D" w:rsidP="00FE4186" w:rsidRDefault="0023242D" w14:paraId="48C7FEE1" w14:textId="77777777">
            <w:pPr>
              <w:pStyle w:val="BodyText"/>
              <w:rPr>
                <w:rFonts w:cs="Arial"/>
                <w:sz w:val="20"/>
                <w:lang w:val="en-AU"/>
              </w:rPr>
            </w:pPr>
            <w:r w:rsidRPr="00D368E0">
              <w:rPr>
                <w:rFonts w:cs="Arial"/>
                <w:sz w:val="20"/>
                <w:lang w:val="en-AU"/>
              </w:rPr>
              <w:t>IV</w:t>
            </w:r>
          </w:p>
          <w:p w:rsidRPr="00D368E0" w:rsidR="0023242D" w:rsidP="00FE4186" w:rsidRDefault="0023242D" w14:paraId="3B89EAAF" w14:textId="77777777">
            <w:pPr>
              <w:pStyle w:val="BodyText"/>
              <w:rPr>
                <w:rFonts w:cs="Arial"/>
                <w:sz w:val="20"/>
                <w:lang w:val="en-AU"/>
              </w:rPr>
            </w:pPr>
            <w:r w:rsidRPr="00D368E0">
              <w:rPr>
                <w:rFonts w:cs="Arial"/>
                <w:sz w:val="20"/>
                <w:lang w:val="en-AU"/>
              </w:rPr>
              <w:t>IM (</w:t>
            </w:r>
            <w:r w:rsidRPr="00D368E0">
              <w:rPr>
                <w:sz w:val="20"/>
                <w:lang w:val="en-AU"/>
              </w:rPr>
              <w:t>only if IV route not possible as intramuscular route is painful)</w:t>
            </w:r>
          </w:p>
        </w:tc>
      </w:tr>
      <w:tr w:rsidRPr="009D7CFB" w:rsidR="0023242D" w:rsidTr="00532883" w14:paraId="10577644" w14:textId="77777777">
        <w:trPr>
          <w:trHeight w:val="1134"/>
        </w:trPr>
        <w:tc>
          <w:tcPr>
            <w:tcW w:w="2410" w:type="dxa"/>
          </w:tcPr>
          <w:p w:rsidRPr="00D368E0" w:rsidR="0023242D" w:rsidP="00FE4186" w:rsidRDefault="0023242D" w14:paraId="6CC68E32" w14:textId="77777777">
            <w:pPr>
              <w:pStyle w:val="BodyText"/>
              <w:rPr>
                <w:rFonts w:cs="Arial"/>
                <w:b/>
                <w:bCs/>
                <w:szCs w:val="24"/>
                <w:highlight w:val="cyan"/>
                <w:lang w:val="en-AU"/>
              </w:rPr>
            </w:pPr>
            <w:r w:rsidRPr="00D368E0">
              <w:rPr>
                <w:rFonts w:cs="Arial"/>
                <w:b/>
                <w:bCs/>
                <w:szCs w:val="24"/>
                <w:lang w:val="en-AU"/>
              </w:rPr>
              <w:t xml:space="preserve">Preparation/Dilution </w:t>
            </w:r>
            <w:r w:rsidRPr="00D368E0">
              <w:rPr>
                <w:rFonts w:cs="Arial"/>
                <w:b/>
                <w:bCs/>
                <w:szCs w:val="24"/>
                <w:highlight w:val="cyan"/>
                <w:lang w:val="en-AU"/>
              </w:rPr>
              <w:t xml:space="preserve">                </w:t>
            </w:r>
          </w:p>
          <w:p w:rsidRPr="00D368E0" w:rsidR="0023242D" w:rsidP="00FE4186" w:rsidRDefault="0023242D" w14:paraId="1849F533" w14:textId="77777777">
            <w:pPr>
              <w:pStyle w:val="BodyText"/>
              <w:rPr>
                <w:rFonts w:cs="Arial"/>
                <w:sz w:val="20"/>
                <w:highlight w:val="cyan"/>
                <w:lang w:val="en-AU"/>
              </w:rPr>
            </w:pPr>
            <w:r w:rsidRPr="00D368E0">
              <w:rPr>
                <w:rFonts w:cs="Arial"/>
                <w:b/>
                <w:bCs/>
                <w:sz w:val="20"/>
                <w:highlight w:val="cyan"/>
                <w:lang w:val="en-AU"/>
              </w:rPr>
              <w:t xml:space="preserve">           </w:t>
            </w:r>
          </w:p>
        </w:tc>
        <w:tc>
          <w:tcPr>
            <w:tcW w:w="7258" w:type="dxa"/>
          </w:tcPr>
          <w:p w:rsidRPr="00D368E0" w:rsidR="0023242D" w:rsidP="00FE4186" w:rsidRDefault="0023242D" w14:paraId="685061B1" w14:textId="77777777">
            <w:pPr>
              <w:pStyle w:val="BodyText"/>
              <w:rPr>
                <w:rFonts w:cs="Arial"/>
                <w:b/>
                <w:sz w:val="20"/>
                <w:lang w:val="en-AU"/>
              </w:rPr>
            </w:pPr>
            <w:r w:rsidRPr="00D368E0">
              <w:rPr>
                <w:rFonts w:cs="Arial"/>
                <w:b/>
                <w:sz w:val="20"/>
                <w:lang w:val="en-AU"/>
              </w:rPr>
              <w:t xml:space="preserve">IV: </w:t>
            </w:r>
          </w:p>
          <w:p w:rsidRPr="00D368E0" w:rsidR="0023242D" w:rsidP="00FE4186" w:rsidRDefault="0023242D" w14:paraId="6EC0BE08" w14:textId="77777777">
            <w:pPr>
              <w:pStyle w:val="BodyText"/>
              <w:rPr>
                <w:sz w:val="20"/>
                <w:lang w:val="en-AU"/>
              </w:rPr>
            </w:pPr>
            <w:r w:rsidRPr="00D368E0">
              <w:rPr>
                <w:sz w:val="20"/>
                <w:lang w:val="en-AU"/>
              </w:rPr>
              <w:t>Add 4.7 mL of water for injection to the 500 mg vial for reconstitution to make 100 mg/mL solution OR</w:t>
            </w:r>
          </w:p>
          <w:p w:rsidRPr="00D368E0" w:rsidR="0023242D" w:rsidP="00FE4186" w:rsidRDefault="0023242D" w14:paraId="734726F9" w14:textId="77777777">
            <w:pPr>
              <w:pStyle w:val="BodyText"/>
              <w:rPr>
                <w:sz w:val="20"/>
                <w:lang w:val="en-AU"/>
              </w:rPr>
            </w:pPr>
            <w:r w:rsidRPr="00D368E0">
              <w:rPr>
                <w:sz w:val="20"/>
                <w:lang w:val="en-AU"/>
              </w:rPr>
              <w:t>Add 9.3 mL of water for injection to the 1 g vial for reconstitution to make 100 mg/mL solution.</w:t>
            </w:r>
          </w:p>
          <w:p w:rsidRPr="00D368E0" w:rsidR="0023242D" w:rsidP="00FE4186" w:rsidRDefault="0023242D" w14:paraId="0BAF1838" w14:textId="77777777">
            <w:pPr>
              <w:pStyle w:val="BodyText"/>
              <w:rPr>
                <w:rFonts w:cs="Arial"/>
                <w:b/>
                <w:sz w:val="20"/>
                <w:lang w:val="en-AU"/>
              </w:rPr>
            </w:pPr>
            <w:r w:rsidRPr="00D368E0">
              <w:rPr>
                <w:rFonts w:cs="Arial"/>
                <w:b/>
                <w:sz w:val="20"/>
                <w:lang w:val="en-AU"/>
              </w:rPr>
              <w:t xml:space="preserve">FURTHER DILUTE: </w:t>
            </w:r>
          </w:p>
          <w:p w:rsidRPr="00D368E0" w:rsidR="0023242D" w:rsidP="001B0E05" w:rsidRDefault="0023242D" w14:paraId="5740D643" w14:textId="77777777">
            <w:pPr>
              <w:pStyle w:val="BodyText"/>
              <w:numPr>
                <w:ilvl w:val="0"/>
                <w:numId w:val="21"/>
              </w:numPr>
              <w:overflowPunct w:val="0"/>
              <w:autoSpaceDE w:val="0"/>
              <w:autoSpaceDN w:val="0"/>
              <w:adjustRightInd w:val="0"/>
              <w:jc w:val="left"/>
              <w:textAlignment w:val="baseline"/>
              <w:rPr>
                <w:rFonts w:cs="Arial"/>
                <w:sz w:val="20"/>
                <w:lang w:val="en-AU"/>
              </w:rPr>
            </w:pPr>
            <w:r w:rsidRPr="00D368E0">
              <w:rPr>
                <w:rFonts w:cs="Arial"/>
                <w:sz w:val="20"/>
                <w:lang w:val="en-AU"/>
              </w:rPr>
              <w:t>Draw up 5 mL (500 mg of ampicillin</w:t>
            </w:r>
            <w:r>
              <w:rPr>
                <w:rFonts w:cs="Arial"/>
                <w:sz w:val="20"/>
                <w:lang w:val="en-AU"/>
              </w:rPr>
              <w:t>)</w:t>
            </w:r>
            <w:r w:rsidRPr="00D368E0">
              <w:rPr>
                <w:rFonts w:cs="Arial"/>
                <w:sz w:val="20"/>
                <w:lang w:val="en-AU"/>
              </w:rPr>
              <w:t xml:space="preserve"> </w:t>
            </w:r>
            <w:r>
              <w:rPr>
                <w:rFonts w:cs="Arial"/>
                <w:sz w:val="20"/>
                <w:lang w:val="en-AU"/>
              </w:rPr>
              <w:t xml:space="preserve">of </w:t>
            </w:r>
            <w:r w:rsidRPr="00D368E0">
              <w:rPr>
                <w:rFonts w:cs="Arial"/>
                <w:sz w:val="20"/>
                <w:lang w:val="en-AU"/>
              </w:rPr>
              <w:t xml:space="preserve">solution and add 5 mL sodium chloride 0.9% to make a final volume of 10mL with a concentration of 50 mg/mL solution OR </w:t>
            </w:r>
          </w:p>
          <w:p w:rsidRPr="00D368E0" w:rsidR="0023242D" w:rsidP="001B0E05" w:rsidRDefault="0023242D" w14:paraId="6D68B1D6" w14:textId="77777777">
            <w:pPr>
              <w:pStyle w:val="BodyText"/>
              <w:numPr>
                <w:ilvl w:val="0"/>
                <w:numId w:val="21"/>
              </w:numPr>
              <w:overflowPunct w:val="0"/>
              <w:autoSpaceDE w:val="0"/>
              <w:autoSpaceDN w:val="0"/>
              <w:adjustRightInd w:val="0"/>
              <w:jc w:val="left"/>
              <w:textAlignment w:val="baseline"/>
              <w:rPr>
                <w:rFonts w:cs="Arial"/>
                <w:sz w:val="20"/>
                <w:lang w:val="en-AU"/>
              </w:rPr>
            </w:pPr>
            <w:r w:rsidRPr="00D368E0">
              <w:rPr>
                <w:rFonts w:cs="Arial"/>
                <w:sz w:val="20"/>
                <w:lang w:val="en-AU"/>
              </w:rPr>
              <w:t>Draw up 3 mL (300 mg of ampicillin</w:t>
            </w:r>
            <w:r>
              <w:rPr>
                <w:rFonts w:cs="Arial"/>
                <w:sz w:val="20"/>
                <w:lang w:val="en-AU"/>
              </w:rPr>
              <w:t>)</w:t>
            </w:r>
            <w:r w:rsidRPr="00D368E0">
              <w:rPr>
                <w:rFonts w:cs="Arial"/>
                <w:sz w:val="20"/>
                <w:lang w:val="en-AU"/>
              </w:rPr>
              <w:t xml:space="preserve"> </w:t>
            </w:r>
            <w:r>
              <w:rPr>
                <w:rFonts w:cs="Arial"/>
                <w:sz w:val="20"/>
                <w:lang w:val="en-AU"/>
              </w:rPr>
              <w:t xml:space="preserve">of </w:t>
            </w:r>
            <w:r w:rsidRPr="00D368E0">
              <w:rPr>
                <w:rFonts w:cs="Arial"/>
                <w:sz w:val="20"/>
                <w:lang w:val="en-AU"/>
              </w:rPr>
              <w:t>solution and add</w:t>
            </w:r>
            <w:r w:rsidRPr="00D368E0" w:rsidDel="00C04194">
              <w:rPr>
                <w:rFonts w:cs="Arial"/>
                <w:sz w:val="20"/>
                <w:lang w:val="en-AU"/>
              </w:rPr>
              <w:t xml:space="preserve"> </w:t>
            </w:r>
            <w:r w:rsidRPr="00D368E0">
              <w:rPr>
                <w:rFonts w:cs="Arial"/>
                <w:sz w:val="20"/>
                <w:lang w:val="en-AU"/>
              </w:rPr>
              <w:t>7 mL sodium chloride 0.9% to make a final volume of 10mL with a concentration of 30 mg/mL solution</w:t>
            </w:r>
          </w:p>
          <w:p w:rsidRPr="00D368E0" w:rsidR="0023242D" w:rsidP="00FE4186" w:rsidRDefault="0023242D" w14:paraId="647B555A" w14:textId="77777777">
            <w:pPr>
              <w:pStyle w:val="BodyText"/>
              <w:rPr>
                <w:rFonts w:cs="Arial"/>
                <w:b/>
                <w:sz w:val="20"/>
                <w:lang w:val="en-AU"/>
              </w:rPr>
            </w:pPr>
            <w:r w:rsidRPr="00D368E0">
              <w:rPr>
                <w:rFonts w:cs="Arial"/>
                <w:b/>
                <w:sz w:val="20"/>
                <w:lang w:val="en-AU"/>
              </w:rPr>
              <w:t>IM:</w:t>
            </w:r>
          </w:p>
          <w:p w:rsidR="0023242D" w:rsidP="00FE4186" w:rsidRDefault="0023242D" w14:paraId="6A864C36" w14:textId="77777777">
            <w:pPr>
              <w:pStyle w:val="BodyText"/>
              <w:rPr>
                <w:rFonts w:cs="Arial"/>
                <w:sz w:val="20"/>
                <w:lang w:val="en-AU"/>
              </w:rPr>
            </w:pPr>
            <w:r w:rsidRPr="00D368E0">
              <w:rPr>
                <w:sz w:val="20"/>
                <w:lang w:val="en-AU"/>
              </w:rPr>
              <w:lastRenderedPageBreak/>
              <w:t>Add 1.7 mL of water for injection to the 500 mg vial for reconstitution to make 250 mg/mL solution</w:t>
            </w:r>
            <w:r>
              <w:rPr>
                <w:rFonts w:cs="Arial"/>
                <w:sz w:val="20"/>
                <w:lang w:val="en-AU"/>
              </w:rPr>
              <w:t xml:space="preserve"> OR</w:t>
            </w:r>
          </w:p>
          <w:p w:rsidRPr="00D368E0" w:rsidR="0023242D" w:rsidP="00FE4186" w:rsidRDefault="0023242D" w14:paraId="3D26B0BF" w14:textId="77777777">
            <w:pPr>
              <w:pStyle w:val="BodyText"/>
              <w:rPr>
                <w:rFonts w:cs="Arial"/>
                <w:sz w:val="20"/>
                <w:lang w:val="en-AU"/>
              </w:rPr>
            </w:pPr>
            <w:r>
              <w:rPr>
                <w:rFonts w:cs="Arial"/>
                <w:sz w:val="20"/>
                <w:lang w:val="en-AU"/>
              </w:rPr>
              <w:t>Add 3.3 mL of water for injection to the 1 g vial for reconstitution to make 250 mg/mL solution.</w:t>
            </w:r>
          </w:p>
        </w:tc>
      </w:tr>
      <w:tr w:rsidRPr="009D7CFB" w:rsidR="0023242D" w:rsidTr="0023242D" w14:paraId="5899EF41" w14:textId="77777777">
        <w:trPr>
          <w:trHeight w:val="558"/>
        </w:trPr>
        <w:tc>
          <w:tcPr>
            <w:tcW w:w="2410" w:type="dxa"/>
          </w:tcPr>
          <w:p w:rsidRPr="00D368E0" w:rsidR="0023242D" w:rsidP="00FE4186" w:rsidRDefault="0023242D" w14:paraId="0660D13E" w14:textId="77777777">
            <w:pPr>
              <w:pStyle w:val="BodyText"/>
              <w:rPr>
                <w:rFonts w:cs="Arial"/>
                <w:b/>
                <w:bCs/>
                <w:szCs w:val="24"/>
                <w:lang w:val="en-AU"/>
              </w:rPr>
            </w:pPr>
            <w:r w:rsidRPr="00D368E0">
              <w:rPr>
                <w:rFonts w:cs="Arial"/>
                <w:b/>
                <w:bCs/>
                <w:szCs w:val="24"/>
                <w:lang w:val="en-AU"/>
              </w:rPr>
              <w:lastRenderedPageBreak/>
              <w:t xml:space="preserve">Administration                 </w:t>
            </w:r>
          </w:p>
          <w:p w:rsidRPr="00D368E0" w:rsidR="0023242D" w:rsidP="00FE4186" w:rsidRDefault="0023242D" w14:paraId="4B47F663" w14:textId="77777777">
            <w:pPr>
              <w:pStyle w:val="BodyText"/>
              <w:rPr>
                <w:rFonts w:cs="Arial"/>
                <w:szCs w:val="24"/>
                <w:lang w:val="en-AU"/>
              </w:rPr>
            </w:pPr>
          </w:p>
        </w:tc>
        <w:tc>
          <w:tcPr>
            <w:tcW w:w="7258" w:type="dxa"/>
            <w:vAlign w:val="center"/>
          </w:tcPr>
          <w:p w:rsidRPr="00D368E0" w:rsidR="0023242D" w:rsidP="00FE4186" w:rsidRDefault="0023242D" w14:paraId="22C41D04" w14:textId="77777777">
            <w:pPr>
              <w:pStyle w:val="BodyText"/>
              <w:rPr>
                <w:rFonts w:cs="Arial"/>
                <w:sz w:val="20"/>
                <w:lang w:val="en-AU"/>
              </w:rPr>
            </w:pPr>
            <w:r w:rsidRPr="00D368E0">
              <w:rPr>
                <w:sz w:val="20"/>
                <w:lang w:val="en-AU"/>
              </w:rPr>
              <w:t xml:space="preserve">IV: Infusion over </w:t>
            </w:r>
            <w:r>
              <w:rPr>
                <w:sz w:val="20"/>
                <w:lang w:val="en-AU"/>
              </w:rPr>
              <w:t>30</w:t>
            </w:r>
            <w:r w:rsidRPr="00D368E0">
              <w:rPr>
                <w:sz w:val="20"/>
                <w:lang w:val="en-AU"/>
              </w:rPr>
              <w:t xml:space="preserve"> minutes</w:t>
            </w:r>
            <w:r>
              <w:rPr>
                <w:sz w:val="20"/>
                <w:lang w:val="en-AU"/>
              </w:rPr>
              <w:t>.</w:t>
            </w:r>
            <w:r w:rsidRPr="00D368E0">
              <w:rPr>
                <w:sz w:val="20"/>
                <w:lang w:val="en-AU"/>
              </w:rPr>
              <w:br/>
            </w:r>
            <w:r w:rsidRPr="00D368E0">
              <w:rPr>
                <w:sz w:val="20"/>
                <w:lang w:val="en-AU"/>
              </w:rPr>
              <w:t>Separate from aminoglycosides by clearing the lines with a flush as ampicillin inactivates them. Higher doses</w:t>
            </w:r>
            <w:r>
              <w:rPr>
                <w:sz w:val="20"/>
                <w:lang w:val="en-AU"/>
              </w:rPr>
              <w:t xml:space="preserve"> (meningitis)</w:t>
            </w:r>
            <w:r w:rsidRPr="00D368E0">
              <w:rPr>
                <w:sz w:val="20"/>
                <w:lang w:val="en-AU"/>
              </w:rPr>
              <w:t xml:space="preserve"> should be diluted to 30 mg/mL and infused over 30 minutes.</w:t>
            </w:r>
          </w:p>
        </w:tc>
      </w:tr>
      <w:tr w:rsidRPr="009D7CFB" w:rsidR="0023242D" w:rsidTr="0023242D" w14:paraId="201B12BA" w14:textId="77777777">
        <w:trPr>
          <w:trHeight w:val="407"/>
        </w:trPr>
        <w:tc>
          <w:tcPr>
            <w:tcW w:w="2410" w:type="dxa"/>
          </w:tcPr>
          <w:p w:rsidRPr="00D368E0" w:rsidR="0023242D" w:rsidP="00FE4186" w:rsidRDefault="0023242D" w14:paraId="247C716C" w14:textId="77777777">
            <w:pPr>
              <w:pStyle w:val="BodyText"/>
              <w:rPr>
                <w:rFonts w:cs="Arial"/>
                <w:b/>
                <w:bCs/>
                <w:szCs w:val="24"/>
                <w:lang w:val="en-AU"/>
              </w:rPr>
            </w:pPr>
            <w:r w:rsidRPr="00D368E0">
              <w:rPr>
                <w:rFonts w:cs="Arial"/>
                <w:b/>
                <w:bCs/>
                <w:szCs w:val="24"/>
                <w:lang w:val="en-AU"/>
              </w:rPr>
              <w:t xml:space="preserve">Monitoring                              </w:t>
            </w:r>
          </w:p>
          <w:p w:rsidRPr="00D368E0" w:rsidR="0023242D" w:rsidP="00FE4186" w:rsidRDefault="0023242D" w14:paraId="551809C9" w14:textId="77777777">
            <w:pPr>
              <w:pStyle w:val="BodyText"/>
              <w:rPr>
                <w:rFonts w:cs="Arial"/>
                <w:szCs w:val="24"/>
                <w:lang w:val="en-AU"/>
              </w:rPr>
            </w:pPr>
          </w:p>
        </w:tc>
        <w:tc>
          <w:tcPr>
            <w:tcW w:w="7258" w:type="dxa"/>
          </w:tcPr>
          <w:p w:rsidRPr="00D368E0" w:rsidR="0023242D" w:rsidP="00FE4186" w:rsidRDefault="0023242D" w14:paraId="163C3DC9" w14:textId="77777777">
            <w:pPr>
              <w:pStyle w:val="BodyText"/>
              <w:rPr>
                <w:rFonts w:cs="Arial"/>
                <w:sz w:val="20"/>
                <w:lang w:val="en-AU"/>
              </w:rPr>
            </w:pPr>
            <w:r w:rsidRPr="00D368E0">
              <w:rPr>
                <w:sz w:val="20"/>
                <w:lang w:val="en-AU"/>
              </w:rPr>
              <w:t>Plasma concentrations not usually required; however may be useful for infections caused by bacteria with high Minimum Inhibitory Concentration (MIC).</w:t>
            </w:r>
          </w:p>
        </w:tc>
      </w:tr>
      <w:tr w:rsidRPr="009D7CFB" w:rsidR="0023242D" w:rsidTr="0023242D" w14:paraId="4FB086C5" w14:textId="77777777">
        <w:trPr>
          <w:trHeight w:val="627"/>
        </w:trPr>
        <w:tc>
          <w:tcPr>
            <w:tcW w:w="2410" w:type="dxa"/>
          </w:tcPr>
          <w:p w:rsidRPr="00D368E0" w:rsidR="0023242D" w:rsidP="00FE4186" w:rsidRDefault="0023242D" w14:paraId="49AA20B8" w14:textId="77777777">
            <w:pPr>
              <w:pStyle w:val="BodyText"/>
              <w:rPr>
                <w:rFonts w:cs="Arial"/>
                <w:b/>
                <w:bCs/>
                <w:szCs w:val="24"/>
                <w:lang w:val="en-AU"/>
              </w:rPr>
            </w:pPr>
            <w:r w:rsidRPr="00D368E0">
              <w:rPr>
                <w:rFonts w:cs="Arial"/>
                <w:b/>
                <w:bCs/>
                <w:szCs w:val="24"/>
                <w:lang w:val="en-AU"/>
              </w:rPr>
              <w:t xml:space="preserve">Contraindications                           </w:t>
            </w:r>
          </w:p>
          <w:p w:rsidRPr="00D368E0" w:rsidR="0023242D" w:rsidP="00FE4186" w:rsidRDefault="0023242D" w14:paraId="1EB600B2" w14:textId="77777777">
            <w:pPr>
              <w:pStyle w:val="BodyText"/>
              <w:rPr>
                <w:rFonts w:cs="Arial"/>
                <w:szCs w:val="24"/>
                <w:lang w:val="en-AU"/>
              </w:rPr>
            </w:pPr>
          </w:p>
        </w:tc>
        <w:tc>
          <w:tcPr>
            <w:tcW w:w="7258" w:type="dxa"/>
          </w:tcPr>
          <w:p w:rsidRPr="00D368E0" w:rsidR="0023242D" w:rsidP="00FE4186" w:rsidRDefault="0023242D" w14:paraId="47457BF0" w14:textId="77777777">
            <w:pPr>
              <w:pStyle w:val="BodyText"/>
              <w:rPr>
                <w:rFonts w:cs="Arial"/>
                <w:sz w:val="20"/>
                <w:lang w:val="en-AU"/>
              </w:rPr>
            </w:pPr>
            <w:r w:rsidRPr="00D368E0">
              <w:rPr>
                <w:sz w:val="20"/>
                <w:lang w:val="en-AU"/>
              </w:rPr>
              <w:t>Hypersensitivity reactions can occur in ampicillin-treated infants younger than 6 months of age but are rarely reported in neonates.</w:t>
            </w:r>
            <w:r w:rsidRPr="00D368E0" w:rsidDel="009D7CFB">
              <w:rPr>
                <w:sz w:val="20"/>
                <w:lang w:val="en-AU"/>
              </w:rPr>
              <w:t xml:space="preserve"> </w:t>
            </w:r>
          </w:p>
        </w:tc>
      </w:tr>
      <w:tr w:rsidRPr="009D7CFB" w:rsidR="0023242D" w:rsidTr="0023242D" w14:paraId="4B3E65FC" w14:textId="77777777">
        <w:tc>
          <w:tcPr>
            <w:tcW w:w="2410" w:type="dxa"/>
          </w:tcPr>
          <w:p w:rsidRPr="00D368E0" w:rsidR="0023242D" w:rsidP="00FE4186" w:rsidRDefault="0023242D" w14:paraId="422F1293" w14:textId="77777777">
            <w:pPr>
              <w:pStyle w:val="BodyText"/>
              <w:rPr>
                <w:rFonts w:cs="Arial"/>
                <w:b/>
                <w:bCs/>
                <w:szCs w:val="24"/>
                <w:lang w:val="en-AU"/>
              </w:rPr>
            </w:pPr>
            <w:r w:rsidRPr="00D368E0">
              <w:rPr>
                <w:szCs w:val="24"/>
                <w:lang w:val="en-AU"/>
              </w:rPr>
              <w:br w:type="page"/>
            </w:r>
            <w:r w:rsidRPr="00D368E0">
              <w:rPr>
                <w:rFonts w:cs="Arial"/>
                <w:b/>
                <w:bCs/>
                <w:szCs w:val="24"/>
                <w:lang w:val="en-AU"/>
              </w:rPr>
              <w:t>Precautions</w:t>
            </w:r>
          </w:p>
        </w:tc>
        <w:tc>
          <w:tcPr>
            <w:tcW w:w="7258" w:type="dxa"/>
          </w:tcPr>
          <w:p w:rsidRPr="00D368E0" w:rsidR="0023242D" w:rsidP="00FE4186" w:rsidRDefault="0023242D" w14:paraId="22E87788" w14:textId="77777777">
            <w:pPr>
              <w:pStyle w:val="BodyText"/>
              <w:rPr>
                <w:rFonts w:cs="Arial"/>
                <w:sz w:val="20"/>
                <w:lang w:val="en-AU"/>
              </w:rPr>
            </w:pPr>
            <w:r w:rsidRPr="00D368E0">
              <w:rPr>
                <w:sz w:val="20"/>
                <w:lang w:val="en-AU"/>
              </w:rPr>
              <w:t>Hypersensitivity to penicillin derivatives.</w:t>
            </w:r>
            <w:r w:rsidRPr="00D368E0">
              <w:rPr>
                <w:sz w:val="20"/>
                <w:lang w:val="en-AU"/>
              </w:rPr>
              <w:br/>
            </w:r>
            <w:r w:rsidRPr="00D368E0">
              <w:rPr>
                <w:sz w:val="20"/>
                <w:lang w:val="en-AU"/>
              </w:rPr>
              <w:t xml:space="preserve">In renal impairment the excretion of ampicillin will be delayed. In infants with severe renal impairment it may be necessary to reduce the total daily dose. </w:t>
            </w:r>
          </w:p>
        </w:tc>
      </w:tr>
      <w:tr w:rsidRPr="009D7CFB" w:rsidR="0023242D" w:rsidTr="0023242D" w14:paraId="3903C6D5" w14:textId="77777777">
        <w:trPr>
          <w:trHeight w:val="440"/>
        </w:trPr>
        <w:tc>
          <w:tcPr>
            <w:tcW w:w="2410" w:type="dxa"/>
          </w:tcPr>
          <w:p w:rsidRPr="00D368E0" w:rsidR="0023242D" w:rsidP="00FE4186" w:rsidRDefault="0023242D" w14:paraId="33DB5CA0" w14:textId="77777777">
            <w:pPr>
              <w:pStyle w:val="BodyText"/>
              <w:rPr>
                <w:rFonts w:cs="Arial"/>
                <w:b/>
                <w:bCs/>
                <w:szCs w:val="24"/>
                <w:lang w:val="en-AU"/>
              </w:rPr>
            </w:pPr>
            <w:r w:rsidRPr="00D368E0">
              <w:rPr>
                <w:rFonts w:cs="Arial"/>
                <w:b/>
                <w:bCs/>
                <w:szCs w:val="24"/>
                <w:lang w:val="en-AU"/>
              </w:rPr>
              <w:t>Drug Interactions</w:t>
            </w:r>
          </w:p>
        </w:tc>
        <w:tc>
          <w:tcPr>
            <w:tcW w:w="7258" w:type="dxa"/>
          </w:tcPr>
          <w:p w:rsidRPr="00D368E0" w:rsidR="0023242D" w:rsidP="00FE4186" w:rsidRDefault="0023242D" w14:paraId="017D2512" w14:textId="77777777">
            <w:pPr>
              <w:pStyle w:val="BodyText"/>
              <w:rPr>
                <w:rFonts w:cs="Arial"/>
                <w:sz w:val="20"/>
                <w:lang w:val="en-AU"/>
              </w:rPr>
            </w:pPr>
            <w:r w:rsidRPr="00D368E0">
              <w:rPr>
                <w:sz w:val="20"/>
                <w:lang w:val="en-AU"/>
              </w:rPr>
              <w:t>Aminoglycosides including gentamicin should not be mixed with ampicillin when both drugs are given parenterally as inactivation occurs. Ensure line is adequately flushed between antibiotics.</w:t>
            </w:r>
          </w:p>
        </w:tc>
      </w:tr>
      <w:tr w:rsidRPr="009D7CFB" w:rsidR="0023242D" w:rsidTr="0023242D" w14:paraId="4AD90688" w14:textId="77777777">
        <w:trPr>
          <w:trHeight w:val="645"/>
        </w:trPr>
        <w:tc>
          <w:tcPr>
            <w:tcW w:w="2410" w:type="dxa"/>
          </w:tcPr>
          <w:p w:rsidRPr="00D368E0" w:rsidR="0023242D" w:rsidP="00FE4186" w:rsidRDefault="0023242D" w14:paraId="60EFA20F" w14:textId="77777777">
            <w:pPr>
              <w:pStyle w:val="BodyText"/>
              <w:rPr>
                <w:rFonts w:cs="Arial"/>
                <w:b/>
                <w:bCs/>
                <w:szCs w:val="24"/>
                <w:lang w:val="en-AU"/>
              </w:rPr>
            </w:pPr>
            <w:r w:rsidRPr="00D368E0">
              <w:rPr>
                <w:rFonts w:cs="Arial"/>
                <w:b/>
                <w:bCs/>
                <w:szCs w:val="24"/>
                <w:lang w:val="en-AU"/>
              </w:rPr>
              <w:t xml:space="preserve">Adverse Reactions         </w:t>
            </w:r>
          </w:p>
          <w:p w:rsidRPr="00D368E0" w:rsidR="0023242D" w:rsidP="00FE4186" w:rsidRDefault="0023242D" w14:paraId="64290618" w14:textId="77777777">
            <w:pPr>
              <w:pStyle w:val="BodyText"/>
              <w:rPr>
                <w:rFonts w:cs="Arial"/>
                <w:b/>
                <w:bCs/>
                <w:szCs w:val="24"/>
                <w:lang w:val="en-AU"/>
              </w:rPr>
            </w:pPr>
          </w:p>
        </w:tc>
        <w:tc>
          <w:tcPr>
            <w:tcW w:w="7258" w:type="dxa"/>
          </w:tcPr>
          <w:p w:rsidRPr="00D368E0" w:rsidR="0023242D" w:rsidP="00FE4186" w:rsidRDefault="0023242D" w14:paraId="14DBAF19" w14:textId="77777777">
            <w:pPr>
              <w:pStyle w:val="BodyText"/>
              <w:rPr>
                <w:rFonts w:cs="Arial"/>
                <w:sz w:val="20"/>
                <w:lang w:val="en-AU"/>
              </w:rPr>
            </w:pPr>
            <w:r w:rsidRPr="00D368E0">
              <w:rPr>
                <w:sz w:val="20"/>
                <w:lang w:val="en-AU"/>
              </w:rPr>
              <w:t>Allergic reactions – maculopapular or urticarial rash, fever (rare in neonates).</w:t>
            </w:r>
            <w:r w:rsidRPr="00D368E0">
              <w:rPr>
                <w:sz w:val="20"/>
                <w:lang w:val="en-AU"/>
              </w:rPr>
              <w:br/>
            </w:r>
            <w:r w:rsidRPr="00D368E0">
              <w:rPr>
                <w:sz w:val="20"/>
                <w:lang w:val="en-AU"/>
              </w:rPr>
              <w:t>Other: Diarrhoea; CNS excitation or seizures with very large doses reported in adults; and prolonged bleeding time with repeated doses.</w:t>
            </w:r>
          </w:p>
        </w:tc>
      </w:tr>
      <w:tr w:rsidRPr="009D7CFB" w:rsidR="0023242D" w:rsidTr="0023242D" w14:paraId="4449683E" w14:textId="77777777">
        <w:trPr>
          <w:trHeight w:val="1060"/>
        </w:trPr>
        <w:tc>
          <w:tcPr>
            <w:tcW w:w="2410" w:type="dxa"/>
          </w:tcPr>
          <w:p w:rsidRPr="00D368E0" w:rsidR="0023242D" w:rsidP="00FE4186" w:rsidRDefault="0023242D" w14:paraId="02DC6EF2" w14:textId="77777777">
            <w:pPr>
              <w:pStyle w:val="BodyText"/>
              <w:rPr>
                <w:rFonts w:cs="Arial"/>
                <w:b/>
                <w:bCs/>
                <w:szCs w:val="24"/>
                <w:lang w:val="en-AU"/>
              </w:rPr>
            </w:pPr>
            <w:r w:rsidRPr="00D368E0">
              <w:rPr>
                <w:rFonts w:cs="Arial"/>
                <w:b/>
                <w:bCs/>
                <w:szCs w:val="24"/>
                <w:lang w:val="en-AU"/>
              </w:rPr>
              <w:t>Compatibility</w:t>
            </w:r>
          </w:p>
          <w:p w:rsidRPr="00D368E0" w:rsidR="0023242D" w:rsidP="00FE4186" w:rsidRDefault="0023242D" w14:paraId="5D98DDBA" w14:textId="77777777">
            <w:pPr>
              <w:pStyle w:val="BodyText"/>
              <w:rPr>
                <w:rFonts w:cs="Arial"/>
                <w:b/>
                <w:bCs/>
                <w:szCs w:val="24"/>
                <w:lang w:val="en-AU"/>
              </w:rPr>
            </w:pPr>
          </w:p>
        </w:tc>
        <w:tc>
          <w:tcPr>
            <w:tcW w:w="7258" w:type="dxa"/>
          </w:tcPr>
          <w:p w:rsidRPr="00D368E0" w:rsidR="0023242D" w:rsidP="00FE4186" w:rsidRDefault="0023242D" w14:paraId="4C7F2208" w14:textId="77777777">
            <w:pPr>
              <w:pStyle w:val="BodyText"/>
              <w:rPr>
                <w:sz w:val="20"/>
                <w:lang w:val="en-AU"/>
              </w:rPr>
            </w:pPr>
            <w:r w:rsidRPr="00D368E0">
              <w:rPr>
                <w:sz w:val="20"/>
                <w:lang w:val="en-AU"/>
              </w:rPr>
              <w:t xml:space="preserve">Fluids: Sodium chloride 0.9%. </w:t>
            </w:r>
            <w:r w:rsidRPr="00D368E0">
              <w:rPr>
                <w:sz w:val="20"/>
                <w:lang w:val="en-AU"/>
              </w:rPr>
              <w:br/>
            </w:r>
            <w:r w:rsidRPr="00D368E0">
              <w:rPr>
                <w:sz w:val="20"/>
                <w:lang w:val="en-AU"/>
              </w:rPr>
              <w:br/>
            </w:r>
            <w:r w:rsidRPr="00D368E0">
              <w:rPr>
                <w:sz w:val="20"/>
                <w:lang w:val="en-AU"/>
              </w:rPr>
              <w:t>Y site: Aciclovir, amifostine, anidulafungin, aztreonam, bivalirudin, dexmedetomidine, esmolol, filgrastim, foscarnet, granisetron, heparin sodium, labetalol, linezolid, magnesium sulfate, morphine sulfate, pethidine, potassium chloride, remifentanil.</w:t>
            </w:r>
          </w:p>
        </w:tc>
      </w:tr>
      <w:tr w:rsidRPr="009D7CFB" w:rsidR="0023242D" w:rsidTr="0023242D" w14:paraId="2D5343FD" w14:textId="77777777">
        <w:tc>
          <w:tcPr>
            <w:tcW w:w="2410" w:type="dxa"/>
          </w:tcPr>
          <w:p w:rsidRPr="00D368E0" w:rsidR="0023242D" w:rsidP="00FE4186" w:rsidRDefault="0023242D" w14:paraId="4F30FC79" w14:textId="77777777">
            <w:pPr>
              <w:pStyle w:val="BodyText"/>
              <w:rPr>
                <w:rFonts w:cs="Arial"/>
                <w:b/>
                <w:bCs/>
                <w:szCs w:val="24"/>
                <w:lang w:val="en-AU"/>
              </w:rPr>
            </w:pPr>
            <w:r w:rsidRPr="00D368E0">
              <w:rPr>
                <w:rFonts w:cs="Arial"/>
                <w:b/>
                <w:bCs/>
                <w:szCs w:val="24"/>
                <w:lang w:val="en-AU"/>
              </w:rPr>
              <w:t xml:space="preserve">Incompatibility      </w:t>
            </w:r>
          </w:p>
          <w:p w:rsidRPr="00D368E0" w:rsidR="0023242D" w:rsidP="00FE4186" w:rsidRDefault="0023242D" w14:paraId="255281A7" w14:textId="77777777">
            <w:pPr>
              <w:pStyle w:val="BodyText"/>
              <w:rPr>
                <w:rFonts w:cs="Arial"/>
                <w:b/>
                <w:bCs/>
                <w:sz w:val="20"/>
                <w:lang w:val="en-AU"/>
              </w:rPr>
            </w:pPr>
            <w:r w:rsidRPr="00D368E0">
              <w:rPr>
                <w:rFonts w:cs="Arial"/>
                <w:b/>
                <w:bCs/>
                <w:sz w:val="20"/>
                <w:lang w:val="en-AU"/>
              </w:rPr>
              <w:t xml:space="preserve">               </w:t>
            </w:r>
            <w:r w:rsidRPr="00D368E0">
              <w:rPr>
                <w:rFonts w:cs="Arial"/>
                <w:b/>
                <w:bCs/>
                <w:sz w:val="20"/>
                <w:lang w:val="en-AU"/>
              </w:rPr>
              <w:tab/>
            </w:r>
          </w:p>
        </w:tc>
        <w:tc>
          <w:tcPr>
            <w:tcW w:w="7258" w:type="dxa"/>
          </w:tcPr>
          <w:p w:rsidRPr="00D368E0" w:rsidR="0023242D" w:rsidP="00FE4186" w:rsidRDefault="0023242D" w14:paraId="6944B962" w14:textId="77777777">
            <w:pPr>
              <w:pStyle w:val="BodyText"/>
              <w:rPr>
                <w:sz w:val="20"/>
                <w:lang w:val="en-AU"/>
              </w:rPr>
            </w:pPr>
            <w:r w:rsidRPr="00D368E0">
              <w:rPr>
                <w:sz w:val="20"/>
                <w:lang w:val="en-AU"/>
              </w:rPr>
              <w:t xml:space="preserve">Fluids: Glucose and glucose containing solutions, fat emulsions. </w:t>
            </w:r>
          </w:p>
          <w:p w:rsidRPr="00D368E0" w:rsidR="0023242D" w:rsidP="00FE4186" w:rsidRDefault="0023242D" w14:paraId="0C88DD04" w14:textId="77777777">
            <w:pPr>
              <w:pStyle w:val="BodyText"/>
              <w:rPr>
                <w:sz w:val="20"/>
                <w:lang w:val="en-AU"/>
              </w:rPr>
            </w:pPr>
          </w:p>
          <w:p w:rsidRPr="00D368E0" w:rsidR="0023242D" w:rsidP="00FE4186" w:rsidRDefault="0023242D" w14:paraId="799391F4" w14:textId="77777777">
            <w:pPr>
              <w:pStyle w:val="BodyText"/>
              <w:rPr>
                <w:rFonts w:cs="Arial"/>
                <w:sz w:val="20"/>
                <w:lang w:val="en-AU"/>
              </w:rPr>
            </w:pPr>
            <w:r w:rsidRPr="00D368E0">
              <w:rPr>
                <w:sz w:val="20"/>
                <w:lang w:val="en-AU"/>
              </w:rPr>
              <w:t>Y site: Amino acid solutions, adrenaline hydrochloride, aminoglycosides – amikacin, gentamicin, tobramycin; aminophylline, atropine, buprenorphine, caspofungin, chlorpromazine, clindamycin, dobutamine, dolasetron, dopamine, ergometrine, fluconazole, ganciclovir, haloperidol lactate, hydralazine, ketamine, lincomycin, metoclopramide, midazolam, mycophenolate mofetil, ondansetron, pentamidine, prochlorperazine, promethazine, protamine, sodium bicarbonate, tranexamic acid, verapamil.</w:t>
            </w:r>
          </w:p>
        </w:tc>
      </w:tr>
      <w:tr w:rsidRPr="009D7CFB" w:rsidR="0023242D" w:rsidTr="0023242D" w14:paraId="56DE4B56" w14:textId="77777777">
        <w:trPr>
          <w:trHeight w:val="483"/>
        </w:trPr>
        <w:tc>
          <w:tcPr>
            <w:tcW w:w="2410" w:type="dxa"/>
          </w:tcPr>
          <w:p w:rsidRPr="00D368E0" w:rsidR="0023242D" w:rsidP="00FE4186" w:rsidRDefault="0023242D" w14:paraId="6E640E9C" w14:textId="77777777">
            <w:pPr>
              <w:pStyle w:val="BodyText"/>
              <w:rPr>
                <w:rFonts w:cs="Arial"/>
                <w:b/>
                <w:bCs/>
                <w:szCs w:val="24"/>
                <w:lang w:val="en-AU"/>
              </w:rPr>
            </w:pPr>
            <w:r w:rsidRPr="00D368E0">
              <w:rPr>
                <w:rFonts w:cs="Arial"/>
                <w:b/>
                <w:bCs/>
                <w:szCs w:val="24"/>
                <w:lang w:val="en-AU"/>
              </w:rPr>
              <w:t xml:space="preserve">Stability                  </w:t>
            </w:r>
          </w:p>
        </w:tc>
        <w:tc>
          <w:tcPr>
            <w:tcW w:w="7258" w:type="dxa"/>
          </w:tcPr>
          <w:p w:rsidRPr="00D368E0" w:rsidR="0023242D" w:rsidP="00FE4186" w:rsidRDefault="0023242D" w14:paraId="0F915E60" w14:textId="77777777">
            <w:pPr>
              <w:pStyle w:val="BodyText"/>
              <w:rPr>
                <w:rFonts w:cs="Arial"/>
                <w:sz w:val="20"/>
                <w:lang w:val="en-AU"/>
              </w:rPr>
            </w:pPr>
            <w:r w:rsidRPr="00D368E0">
              <w:rPr>
                <w:sz w:val="20"/>
                <w:lang w:val="en-AU"/>
              </w:rPr>
              <w:t>Administer immediately; discard unused portion of reconstituted solution.</w:t>
            </w:r>
          </w:p>
        </w:tc>
      </w:tr>
      <w:tr w:rsidRPr="009D7CFB" w:rsidR="0023242D" w:rsidTr="0023242D" w14:paraId="317761EA" w14:textId="77777777">
        <w:trPr>
          <w:trHeight w:val="371"/>
        </w:trPr>
        <w:tc>
          <w:tcPr>
            <w:tcW w:w="2410" w:type="dxa"/>
          </w:tcPr>
          <w:p w:rsidRPr="00D368E0" w:rsidR="0023242D" w:rsidP="00FE4186" w:rsidRDefault="0023242D" w14:paraId="28FD0081" w14:textId="77777777">
            <w:pPr>
              <w:pStyle w:val="BodyText"/>
              <w:rPr>
                <w:rFonts w:cs="Arial"/>
                <w:b/>
                <w:bCs/>
                <w:szCs w:val="24"/>
                <w:lang w:val="en-AU"/>
              </w:rPr>
            </w:pPr>
            <w:r w:rsidRPr="00D368E0">
              <w:rPr>
                <w:rFonts w:cs="Arial"/>
                <w:b/>
                <w:bCs/>
                <w:szCs w:val="24"/>
                <w:lang w:val="en-AU"/>
              </w:rPr>
              <w:t xml:space="preserve">Storage             </w:t>
            </w:r>
          </w:p>
        </w:tc>
        <w:tc>
          <w:tcPr>
            <w:tcW w:w="7258" w:type="dxa"/>
          </w:tcPr>
          <w:p w:rsidRPr="00D368E0" w:rsidR="0023242D" w:rsidP="00FE4186" w:rsidRDefault="0023242D" w14:paraId="0D091BAD" w14:textId="77777777">
            <w:pPr>
              <w:pStyle w:val="BodyText"/>
              <w:rPr>
                <w:rFonts w:cs="Arial"/>
                <w:sz w:val="20"/>
                <w:lang w:val="en-AU"/>
              </w:rPr>
            </w:pPr>
            <w:r w:rsidRPr="00D368E0">
              <w:rPr>
                <w:sz w:val="20"/>
                <w:lang w:val="en-AU"/>
              </w:rPr>
              <w:t xml:space="preserve">Store below 25°C </w:t>
            </w:r>
            <w:r w:rsidRPr="00D368E0">
              <w:rPr>
                <w:sz w:val="20"/>
                <w:lang w:val="en-AU"/>
              </w:rPr>
              <w:br/>
            </w:r>
            <w:r w:rsidRPr="00D368E0">
              <w:rPr>
                <w:sz w:val="20"/>
                <w:lang w:val="en-AU"/>
              </w:rPr>
              <w:t>Protect from light.</w:t>
            </w:r>
          </w:p>
        </w:tc>
      </w:tr>
      <w:tr w:rsidRPr="009D7CFB" w:rsidR="0023242D" w:rsidTr="0023242D" w14:paraId="4A09FF7C" w14:textId="77777777">
        <w:trPr>
          <w:trHeight w:val="673"/>
        </w:trPr>
        <w:tc>
          <w:tcPr>
            <w:tcW w:w="2410" w:type="dxa"/>
          </w:tcPr>
          <w:p w:rsidRPr="00D368E0" w:rsidR="0023242D" w:rsidP="00FE4186" w:rsidRDefault="0023242D" w14:paraId="4BF40BF9" w14:textId="77777777">
            <w:pPr>
              <w:pStyle w:val="BodyText"/>
              <w:rPr>
                <w:rFonts w:cs="Arial"/>
                <w:b/>
                <w:bCs/>
                <w:szCs w:val="24"/>
                <w:lang w:val="en-AU"/>
              </w:rPr>
            </w:pPr>
            <w:r w:rsidRPr="00D368E0">
              <w:rPr>
                <w:rFonts w:cs="Arial"/>
                <w:b/>
                <w:bCs/>
                <w:szCs w:val="24"/>
                <w:lang w:val="en-AU"/>
              </w:rPr>
              <w:t xml:space="preserve">Special Comments       </w:t>
            </w:r>
          </w:p>
          <w:p w:rsidRPr="00D368E0" w:rsidR="0023242D" w:rsidP="00FE4186" w:rsidRDefault="0023242D" w14:paraId="6C7C319C" w14:textId="77777777">
            <w:pPr>
              <w:pStyle w:val="BodyText"/>
              <w:rPr>
                <w:rFonts w:cs="Arial"/>
                <w:b/>
                <w:bCs/>
                <w:szCs w:val="24"/>
                <w:lang w:val="en-AU"/>
              </w:rPr>
            </w:pPr>
          </w:p>
        </w:tc>
        <w:tc>
          <w:tcPr>
            <w:tcW w:w="7258" w:type="dxa"/>
          </w:tcPr>
          <w:p w:rsidRPr="00D368E0" w:rsidR="0023242D" w:rsidP="00FE4186" w:rsidRDefault="0023242D" w14:paraId="73882BEC" w14:textId="77777777">
            <w:pPr>
              <w:pStyle w:val="BodyText"/>
              <w:rPr>
                <w:rFonts w:cs="Arial"/>
                <w:sz w:val="20"/>
                <w:lang w:val="en-AU"/>
              </w:rPr>
            </w:pPr>
            <w:r w:rsidRPr="00D368E0">
              <w:rPr>
                <w:sz w:val="20"/>
                <w:lang w:val="en-AU"/>
              </w:rPr>
              <w:t>Clearance is primarily by the renal route. Clearance increases with increasing gestational age and postnatal age. Serum half-life is longer in premature infants and infants younger than 7 days.</w:t>
            </w:r>
          </w:p>
        </w:tc>
      </w:tr>
      <w:tr w:rsidRPr="009D7CFB" w:rsidR="0023242D" w:rsidTr="0023242D" w14:paraId="4D017808" w14:textId="77777777">
        <w:trPr>
          <w:trHeight w:val="388"/>
        </w:trPr>
        <w:tc>
          <w:tcPr>
            <w:tcW w:w="2410" w:type="dxa"/>
          </w:tcPr>
          <w:p w:rsidRPr="00D368E0" w:rsidR="0023242D" w:rsidP="00FE4186" w:rsidRDefault="0023242D" w14:paraId="7C9B1089" w14:textId="77777777">
            <w:pPr>
              <w:pStyle w:val="BodyText"/>
              <w:rPr>
                <w:rFonts w:cs="Arial"/>
                <w:b/>
                <w:bCs/>
                <w:szCs w:val="24"/>
                <w:lang w:val="en-AU"/>
              </w:rPr>
            </w:pPr>
            <w:r w:rsidRPr="00D368E0">
              <w:rPr>
                <w:rFonts w:cs="Arial"/>
                <w:b/>
                <w:bCs/>
                <w:szCs w:val="24"/>
                <w:lang w:val="en-AU"/>
              </w:rPr>
              <w:t>Evidence summary</w:t>
            </w:r>
          </w:p>
        </w:tc>
        <w:tc>
          <w:tcPr>
            <w:tcW w:w="7258" w:type="dxa"/>
          </w:tcPr>
          <w:p w:rsidRPr="0023242D" w:rsidR="0023242D" w:rsidP="00FE4186" w:rsidRDefault="0023242D" w14:paraId="63D64576" w14:textId="77777777">
            <w:pPr>
              <w:pStyle w:val="BodyText"/>
              <w:rPr>
                <w:rFonts w:cs="Arial"/>
                <w:sz w:val="16"/>
                <w:szCs w:val="16"/>
                <w:lang w:val="en-AU"/>
              </w:rPr>
            </w:pPr>
            <w:r w:rsidRPr="0023242D">
              <w:rPr>
                <w:rFonts w:cs="Arial"/>
                <w:sz w:val="16"/>
                <w:szCs w:val="16"/>
                <w:lang w:val="en-AU"/>
              </w:rPr>
              <w:t xml:space="preserve"> 1. Effectiveness: </w:t>
            </w:r>
          </w:p>
          <w:p w:rsidRPr="0023242D" w:rsidR="0023242D" w:rsidP="00FE4186" w:rsidRDefault="0023242D" w14:paraId="2E33BD13" w14:textId="77777777">
            <w:pPr>
              <w:pStyle w:val="BodyText"/>
              <w:rPr>
                <w:rFonts w:cs="Arial"/>
                <w:sz w:val="16"/>
                <w:szCs w:val="16"/>
                <w:lang w:val="en-AU"/>
              </w:rPr>
            </w:pPr>
            <w:r w:rsidRPr="0023242D">
              <w:rPr>
                <w:rFonts w:cs="Arial"/>
                <w:sz w:val="16"/>
                <w:szCs w:val="16"/>
                <w:lang w:val="en-AU"/>
              </w:rPr>
              <w:t xml:space="preserve">A 2 hospital crossover study comparing ampicillin versus penicillin combined with gentamicin in the empiric therapy of extremely low-birth weight neonates at risk of early onset sepsis showed similar effectiveness in change of antibiotics at 72 hours and/or 7-day all-cause mortality. 11, 12 </w:t>
            </w:r>
          </w:p>
          <w:p w:rsidRPr="0023242D" w:rsidR="0023242D" w:rsidP="00FE4186" w:rsidRDefault="0023242D" w14:paraId="11E94963" w14:textId="77777777">
            <w:pPr>
              <w:pStyle w:val="BodyText"/>
              <w:rPr>
                <w:rFonts w:cs="Arial"/>
                <w:sz w:val="16"/>
                <w:szCs w:val="16"/>
                <w:lang w:val="en-AU"/>
              </w:rPr>
            </w:pPr>
            <w:r w:rsidRPr="0023242D">
              <w:rPr>
                <w:rFonts w:cs="Arial"/>
                <w:sz w:val="16"/>
                <w:szCs w:val="16"/>
                <w:lang w:val="en-AU"/>
              </w:rPr>
              <w:t>A systematic review comparing the effectiveness and safety of penicillin or ampicillin-chloramphenicol versus third generation cephalosporin in patients with community-acquired suspected acute bacterial meningitis found 12 trials enrolling infants under 1 year of age. There were no significant differences between the groups in the risk of death, deafness, or treatment failure; there were significantly decreased risks of culture positivity of CSF after 10 to 48 hours and increases in the risk of diarrhoea between the groups (RD 8%; 95% CI 3% to 13%) with third generation cephalosporin. 13</w:t>
            </w:r>
          </w:p>
          <w:p w:rsidRPr="0023242D" w:rsidR="0023242D" w:rsidP="00FE4186" w:rsidRDefault="0023242D" w14:paraId="3DB11961" w14:textId="77777777">
            <w:pPr>
              <w:pStyle w:val="BodyText"/>
              <w:rPr>
                <w:rFonts w:cs="Arial"/>
                <w:sz w:val="16"/>
                <w:szCs w:val="16"/>
                <w:lang w:val="en-AU"/>
              </w:rPr>
            </w:pPr>
          </w:p>
          <w:p w:rsidRPr="0023242D" w:rsidR="0023242D" w:rsidP="00FE4186" w:rsidRDefault="0023242D" w14:paraId="4E2783D7" w14:textId="77777777">
            <w:pPr>
              <w:pStyle w:val="BodyText"/>
              <w:rPr>
                <w:rFonts w:cs="Arial"/>
                <w:sz w:val="16"/>
                <w:szCs w:val="16"/>
                <w:lang w:val="en-AU"/>
              </w:rPr>
            </w:pPr>
            <w:r w:rsidRPr="0023242D">
              <w:rPr>
                <w:rFonts w:cs="Arial"/>
                <w:sz w:val="16"/>
                <w:szCs w:val="16"/>
                <w:lang w:val="en-AU"/>
              </w:rPr>
              <w:lastRenderedPageBreak/>
              <w:t>2. Dose: There are no clinical trials comparing standard versus high dose ampicillin in neonates with sepsis or meningitis. Clinical trials reporting effectiveness of regimens including ampicillin for meningitis reported use of daily doses of ampicillin ≥ 200 mg/kg/day.13 Doses of ampicillin of 200 mg/kg/day result in adequate CSF concentrations for treatment of enterococcus and Listeria monocytogenes.10, 14</w:t>
            </w:r>
          </w:p>
          <w:p w:rsidRPr="0023242D" w:rsidR="0023242D" w:rsidP="00FE4186" w:rsidRDefault="0023242D" w14:paraId="5CF9B4A2" w14:textId="77777777">
            <w:pPr>
              <w:pStyle w:val="BodyText"/>
              <w:rPr>
                <w:rFonts w:cs="Arial"/>
                <w:sz w:val="16"/>
                <w:szCs w:val="16"/>
                <w:lang w:val="en-AU"/>
              </w:rPr>
            </w:pPr>
          </w:p>
          <w:p w:rsidRPr="0023242D" w:rsidR="0023242D" w:rsidP="00FE4186" w:rsidRDefault="0023242D" w14:paraId="72938969" w14:textId="77777777">
            <w:pPr>
              <w:pStyle w:val="BodyText"/>
              <w:rPr>
                <w:rFonts w:cs="Arial"/>
                <w:sz w:val="16"/>
                <w:szCs w:val="16"/>
                <w:lang w:val="en-AU"/>
              </w:rPr>
            </w:pPr>
            <w:r w:rsidRPr="0023242D">
              <w:rPr>
                <w:rFonts w:cs="Arial"/>
                <w:sz w:val="16"/>
                <w:szCs w:val="16"/>
                <w:lang w:val="en-AU"/>
              </w:rPr>
              <w:t xml:space="preserve">Recommendation: </w:t>
            </w:r>
          </w:p>
          <w:p w:rsidRPr="0023242D" w:rsidR="0023242D" w:rsidP="00FE4186" w:rsidRDefault="0023242D" w14:paraId="210B63D4" w14:textId="77777777">
            <w:pPr>
              <w:pStyle w:val="BodyText"/>
              <w:rPr>
                <w:rFonts w:cs="Arial"/>
                <w:sz w:val="16"/>
                <w:szCs w:val="16"/>
                <w:lang w:val="en-AU"/>
              </w:rPr>
            </w:pPr>
            <w:r w:rsidRPr="0023242D">
              <w:rPr>
                <w:rFonts w:cs="Arial"/>
                <w:sz w:val="16"/>
                <w:szCs w:val="16"/>
                <w:lang w:val="en-AU"/>
              </w:rPr>
              <w:t>When ampicillin is used in combination with an aminoglycoside for the treatment of meningitis, it is recommended that the dose be doubled from 50 to 100 mg/kg/dose (Level of evidence III-2, Grade of recommendation B).</w:t>
            </w:r>
          </w:p>
        </w:tc>
      </w:tr>
      <w:tr w:rsidRPr="009D7CFB" w:rsidR="0023242D" w:rsidTr="0023242D" w14:paraId="324B9722" w14:textId="77777777">
        <w:trPr>
          <w:trHeight w:val="361"/>
        </w:trPr>
        <w:tc>
          <w:tcPr>
            <w:tcW w:w="2410" w:type="dxa"/>
          </w:tcPr>
          <w:p w:rsidRPr="00D368E0" w:rsidR="0023242D" w:rsidP="00FE4186" w:rsidRDefault="0023242D" w14:paraId="4C66B7B4" w14:textId="77777777">
            <w:pPr>
              <w:pStyle w:val="BodyText"/>
              <w:rPr>
                <w:rFonts w:cs="Arial"/>
                <w:b/>
                <w:bCs/>
                <w:szCs w:val="24"/>
                <w:lang w:val="en-AU"/>
              </w:rPr>
            </w:pPr>
            <w:r w:rsidRPr="00D368E0">
              <w:rPr>
                <w:b/>
                <w:szCs w:val="24"/>
                <w:lang w:val="en-AU"/>
              </w:rPr>
              <w:lastRenderedPageBreak/>
              <w:t>References</w:t>
            </w:r>
          </w:p>
        </w:tc>
        <w:tc>
          <w:tcPr>
            <w:tcW w:w="7258" w:type="dxa"/>
          </w:tcPr>
          <w:p w:rsidRPr="0023242D" w:rsidR="0023242D" w:rsidP="00FE4186" w:rsidRDefault="0023242D" w14:paraId="1BA24457" w14:textId="77777777">
            <w:pPr>
              <w:rPr>
                <w:sz w:val="16"/>
                <w:szCs w:val="16"/>
              </w:rPr>
            </w:pPr>
            <w:r w:rsidRPr="0023242D">
              <w:rPr>
                <w:sz w:val="16"/>
                <w:szCs w:val="16"/>
              </w:rPr>
              <w:t>1. Espaze EP, Reynaud AE. Antibiotic susceptibilities of Listeria: in vitro studies. Infection. 1988;16 Suppl 2:S160–4.</w:t>
            </w:r>
          </w:p>
          <w:p w:rsidRPr="0023242D" w:rsidR="0023242D" w:rsidP="00FE4186" w:rsidRDefault="0023242D" w14:paraId="3B24902D" w14:textId="77777777">
            <w:pPr>
              <w:rPr>
                <w:sz w:val="16"/>
                <w:szCs w:val="16"/>
              </w:rPr>
            </w:pPr>
            <w:r w:rsidRPr="0023242D">
              <w:rPr>
                <w:sz w:val="16"/>
                <w:szCs w:val="16"/>
              </w:rPr>
              <w:t>2. Lamont RF, Sobel J, Mazaki-Tovi S, Kusanovic JP, Vaisbuch E, Kim SK, Uldbjerg N, Romero R. Listeriosis in human pregnancy: a systematic review. Journal of perinatal medicine. 2011;39:227–36.</w:t>
            </w:r>
          </w:p>
          <w:p w:rsidRPr="0023242D" w:rsidR="0023242D" w:rsidP="00FE4186" w:rsidRDefault="0023242D" w14:paraId="04BBEEA2" w14:textId="77777777">
            <w:pPr>
              <w:rPr>
                <w:sz w:val="16"/>
                <w:szCs w:val="16"/>
              </w:rPr>
            </w:pPr>
            <w:r w:rsidRPr="0023242D">
              <w:rPr>
                <w:sz w:val="16"/>
                <w:szCs w:val="16"/>
              </w:rPr>
              <w:t>3. Townsend RS. In vitro inactivation of gentamicin by ampicillin. American journal of hospital pharmacy. 1989;46:2250–1.</w:t>
            </w:r>
          </w:p>
          <w:p w:rsidRPr="0023242D" w:rsidR="0023242D" w:rsidP="00FE4186" w:rsidRDefault="0023242D" w14:paraId="38BE7FFD" w14:textId="77777777">
            <w:pPr>
              <w:rPr>
                <w:sz w:val="16"/>
                <w:szCs w:val="16"/>
              </w:rPr>
            </w:pPr>
            <w:r w:rsidRPr="0023242D">
              <w:rPr>
                <w:sz w:val="16"/>
                <w:szCs w:val="16"/>
              </w:rPr>
              <w:t>4. Daly JS, Dodge RA, Glew RH, Keroack MA, Bednarek FJ, Whalen M. Effect of time and temperature on inactivation of aminoglycosides by ampicillin at neonatal dosages. Journal of perinatology. 1997;17:42–5.</w:t>
            </w:r>
          </w:p>
          <w:p w:rsidRPr="0023242D" w:rsidR="0023242D" w:rsidP="00FE4186" w:rsidRDefault="0023242D" w14:paraId="7F40DD28" w14:textId="77777777">
            <w:pPr>
              <w:rPr>
                <w:sz w:val="16"/>
                <w:szCs w:val="16"/>
              </w:rPr>
            </w:pPr>
            <w:r w:rsidRPr="0023242D">
              <w:rPr>
                <w:sz w:val="16"/>
                <w:szCs w:val="16"/>
              </w:rPr>
              <w:t>5. Roberts JK, Stockmann C, Constance JE, Stiers J, Spigarelli MG, Ward RM, Sherwin CM. Pharmacokinetics and pharmacodynamics of antibacterials, antifungals, and antivirals used most frequently in neonates and infants. Clinical pharmacokinetics. 2014;53:581-610.</w:t>
            </w:r>
          </w:p>
          <w:p w:rsidRPr="0023242D" w:rsidR="0023242D" w:rsidP="00FE4186" w:rsidRDefault="0023242D" w14:paraId="767135F9" w14:textId="77777777">
            <w:pPr>
              <w:rPr>
                <w:sz w:val="16"/>
                <w:szCs w:val="16"/>
              </w:rPr>
            </w:pPr>
            <w:r w:rsidRPr="0023242D">
              <w:rPr>
                <w:sz w:val="16"/>
                <w:szCs w:val="16"/>
              </w:rPr>
              <w:t>6. Sieniawaska M, Wroblewska-Kaluzewska M, Wierzbowska-Lange B, Korniszewska J, Kazmirowska Z, Suska A, Janecki J. [Serum levels of cephalothin, ampicillin and cloxacillin in children with and without renal failure]. Pediatria polska. 1974;49:133–41.</w:t>
            </w:r>
          </w:p>
          <w:p w:rsidRPr="0023242D" w:rsidR="0023242D" w:rsidP="00FE4186" w:rsidRDefault="0023242D" w14:paraId="703087C4" w14:textId="77777777">
            <w:pPr>
              <w:rPr>
                <w:sz w:val="16"/>
                <w:szCs w:val="16"/>
              </w:rPr>
            </w:pPr>
            <w:r w:rsidRPr="0023242D">
              <w:rPr>
                <w:sz w:val="16"/>
                <w:szCs w:val="16"/>
              </w:rPr>
              <w:t>7. Hodgman T, Dasta JF, Armstrong DK, Visconti JA, Reilley TE. Ampicillin-associated seizures. Southern medical journal. 1984;77:1323–5</w:t>
            </w:r>
          </w:p>
          <w:p w:rsidRPr="0023242D" w:rsidR="0023242D" w:rsidP="00FE4186" w:rsidRDefault="0023242D" w14:paraId="10D56337" w14:textId="77777777">
            <w:pPr>
              <w:rPr>
                <w:sz w:val="16"/>
                <w:szCs w:val="16"/>
              </w:rPr>
            </w:pPr>
            <w:r w:rsidRPr="0023242D">
              <w:rPr>
                <w:sz w:val="16"/>
                <w:szCs w:val="16"/>
              </w:rPr>
              <w:t xml:space="preserve">8. Sheffield MJ, Lambert DK, Henry E, Christensen RD: Effect of ampicillin on the bleeding time of neonatal intensive care patients. J Perinatol 2010Aug;30(8):527–30. </w:t>
            </w:r>
          </w:p>
          <w:p w:rsidRPr="0023242D" w:rsidR="0023242D" w:rsidP="00FE4186" w:rsidRDefault="0023242D" w14:paraId="654BF5F1" w14:textId="77777777">
            <w:pPr>
              <w:rPr>
                <w:sz w:val="16"/>
                <w:szCs w:val="16"/>
              </w:rPr>
            </w:pPr>
            <w:r w:rsidRPr="0023242D">
              <w:rPr>
                <w:sz w:val="16"/>
                <w:szCs w:val="16"/>
              </w:rPr>
              <w:t>9. Axline SG, Yaffe SJ, Simon HJ. Clinical pharmacology of antimicrobials in premature infants. II. Ampicillin, methicillin, oxacillin, neomycin, and colistin. Pediatrics. 1967;39:97–107.</w:t>
            </w:r>
          </w:p>
          <w:p w:rsidRPr="0023242D" w:rsidR="0023242D" w:rsidP="00FE4186" w:rsidRDefault="0023242D" w14:paraId="2E270AE6" w14:textId="77777777">
            <w:pPr>
              <w:rPr>
                <w:sz w:val="16"/>
                <w:szCs w:val="16"/>
              </w:rPr>
            </w:pPr>
            <w:r w:rsidRPr="0023242D">
              <w:rPr>
                <w:sz w:val="16"/>
                <w:szCs w:val="16"/>
              </w:rPr>
              <w:t>10. Kaplan JM, McCracken GH, Jr., Horton LJ, Thomas ML, Davis N. Pharmacologic studies in neonates given large dosages of ampicillin. The Journal of pediatrics. 1974;84:571–7.</w:t>
            </w:r>
          </w:p>
          <w:p w:rsidRPr="0023242D" w:rsidR="0023242D" w:rsidP="00FE4186" w:rsidRDefault="0023242D" w14:paraId="2AD9E60F" w14:textId="77777777">
            <w:pPr>
              <w:rPr>
                <w:sz w:val="16"/>
                <w:szCs w:val="16"/>
              </w:rPr>
            </w:pPr>
            <w:r w:rsidRPr="0023242D">
              <w:rPr>
                <w:sz w:val="16"/>
                <w:szCs w:val="16"/>
              </w:rPr>
              <w:t>11. Metsvaht T, Ilmoja ML, Parm U, Maipuu L, Merila M, Lutsar I. Comparison of ampicillin plus gentamicin vs. penicillin plus gentamicin in empiric treatment of neonates at risk of early onset sepsis. Acta paediatrica. 2010;99:665–72.</w:t>
            </w:r>
          </w:p>
          <w:p w:rsidRPr="0023242D" w:rsidR="0023242D" w:rsidP="00FE4186" w:rsidRDefault="0023242D" w14:paraId="045B9263" w14:textId="77777777">
            <w:pPr>
              <w:rPr>
                <w:sz w:val="16"/>
                <w:szCs w:val="16"/>
              </w:rPr>
            </w:pPr>
            <w:r w:rsidRPr="0023242D">
              <w:rPr>
                <w:sz w:val="16"/>
                <w:szCs w:val="16"/>
              </w:rPr>
              <w:t>12. Metsvaht T, Ilmoja ML, Parm U, Merila M, Maipuu L, Muursepp P, Julge K, Sepp E, Lutsar I. Ampicillin versus penicillin in the empiric therapy of extremely low-birthweight neonates at risk of early onset sepsis. Pediatrics international : official journal of the Japan Pediatric Society. 2011;53:873–80.</w:t>
            </w:r>
          </w:p>
          <w:p w:rsidRPr="0023242D" w:rsidR="0023242D" w:rsidP="00FE4186" w:rsidRDefault="0023242D" w14:paraId="480B97A3" w14:textId="77777777">
            <w:pPr>
              <w:rPr>
                <w:sz w:val="16"/>
                <w:szCs w:val="16"/>
              </w:rPr>
            </w:pPr>
            <w:r w:rsidRPr="0023242D">
              <w:rPr>
                <w:sz w:val="16"/>
                <w:szCs w:val="16"/>
              </w:rPr>
              <w:t>13. Prasad K, Kumar A, Gupta PK, Singhal T. Third generation cephalosporins versus conventional antibiotics for treating acute bacterial meningitis. The Cochrane database of systematic reviews. 2007:CD001832</w:t>
            </w:r>
          </w:p>
          <w:p w:rsidRPr="0023242D" w:rsidR="0023242D" w:rsidP="00FE4186" w:rsidRDefault="0023242D" w14:paraId="7FC5207A" w14:textId="77777777">
            <w:pPr>
              <w:rPr>
                <w:sz w:val="16"/>
                <w:szCs w:val="16"/>
              </w:rPr>
            </w:pPr>
            <w:r w:rsidRPr="0023242D">
              <w:rPr>
                <w:sz w:val="16"/>
                <w:szCs w:val="16"/>
              </w:rPr>
              <w:t xml:space="preserve">14. Tessin I, Trollfors B, Thiringer K, Larsson P. Ampicillin-aminoglycoside combinations as initial treatment for neonatal septicaemia or meningitis. A retrospective evaluation of 12 years' experience. Acta paediatrica Scandinavica. 1991;80:911–6. </w:t>
            </w:r>
          </w:p>
          <w:p w:rsidRPr="0023242D" w:rsidR="0023242D" w:rsidP="00FE4186" w:rsidRDefault="0023242D" w14:paraId="487BE779" w14:textId="77777777">
            <w:pPr>
              <w:rPr>
                <w:sz w:val="16"/>
                <w:szCs w:val="16"/>
              </w:rPr>
            </w:pPr>
            <w:r w:rsidRPr="0023242D">
              <w:rPr>
                <w:sz w:val="16"/>
                <w:szCs w:val="16"/>
              </w:rPr>
              <w:t>15. MIMSOnline March 2015.</w:t>
            </w:r>
          </w:p>
          <w:p w:rsidRPr="0023242D" w:rsidR="0023242D" w:rsidP="00FE4186" w:rsidRDefault="0023242D" w14:paraId="546BF03C" w14:textId="77777777">
            <w:pPr>
              <w:rPr>
                <w:sz w:val="16"/>
                <w:szCs w:val="16"/>
              </w:rPr>
            </w:pPr>
            <w:r w:rsidRPr="0023242D">
              <w:rPr>
                <w:sz w:val="16"/>
                <w:szCs w:val="16"/>
              </w:rPr>
              <w:t>16. Micromedex® 2.0, (electronic version). Truven Health Analytics, Greenwood Village, Colorado, USA. Available at: http://www.micromedexsolutions.com.acs.hcn.com.au/ (cited: 03/2015.</w:t>
            </w:r>
          </w:p>
          <w:p w:rsidRPr="0023242D" w:rsidR="0023242D" w:rsidP="00FE4186" w:rsidRDefault="0023242D" w14:paraId="4BEC217C" w14:textId="77777777">
            <w:pPr>
              <w:rPr>
                <w:sz w:val="16"/>
                <w:szCs w:val="16"/>
              </w:rPr>
            </w:pPr>
            <w:r w:rsidRPr="0023242D">
              <w:rPr>
                <w:sz w:val="16"/>
                <w:szCs w:val="16"/>
              </w:rPr>
              <w:t>17. Australian Injectable Drugs Handbook, 6th Edition, Society of Hospital Pharmacists of Australia 2014.</w:t>
            </w:r>
          </w:p>
          <w:p w:rsidRPr="0023242D" w:rsidR="0023242D" w:rsidP="00FE4186" w:rsidRDefault="0023242D" w14:paraId="3CCD7D45" w14:textId="77777777">
            <w:pPr>
              <w:rPr>
                <w:sz w:val="16"/>
                <w:szCs w:val="16"/>
              </w:rPr>
            </w:pPr>
            <w:r w:rsidRPr="0023242D">
              <w:rPr>
                <w:sz w:val="16"/>
                <w:szCs w:val="16"/>
              </w:rPr>
              <w:t>18. Neofax accessed on www.neofax.micromedex.solutions.com on 29th July 2015.</w:t>
            </w:r>
          </w:p>
        </w:tc>
      </w:tr>
    </w:tbl>
    <w:p w:rsidRPr="00E25790" w:rsidR="0023242D" w:rsidP="006F0321" w:rsidRDefault="0023242D" w14:paraId="6AA2466A" w14:textId="77777777"/>
    <w:tbl>
      <w:tblPr>
        <w:tblW w:w="893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65"/>
        <w:gridCol w:w="4465"/>
      </w:tblGrid>
      <w:tr w:rsidRPr="00340AF0" w:rsidR="00340AF0" w:rsidTr="00107876" w14:paraId="5075F092" w14:textId="77777777">
        <w:tc>
          <w:tcPr>
            <w:tcW w:w="4465" w:type="dxa"/>
            <w:vAlign w:val="center"/>
          </w:tcPr>
          <w:p w:rsidRPr="00340AF0" w:rsidR="00340AF0" w:rsidP="006F0321" w:rsidRDefault="00340AF0" w14:paraId="00604307" w14:textId="77777777">
            <w:pPr>
              <w:rPr>
                <w:lang w:val="en-AU"/>
              </w:rPr>
            </w:pPr>
            <w:r w:rsidRPr="00340AF0">
              <w:rPr>
                <w:lang w:val="en-AU"/>
              </w:rPr>
              <w:t>Original version Date: 08/08/2015</w:t>
            </w:r>
          </w:p>
        </w:tc>
        <w:tc>
          <w:tcPr>
            <w:tcW w:w="4465" w:type="dxa"/>
            <w:vAlign w:val="center"/>
          </w:tcPr>
          <w:p w:rsidRPr="00340AF0" w:rsidR="00340AF0" w:rsidP="006F0321" w:rsidRDefault="00340AF0" w14:paraId="07F8021E" w14:textId="77777777">
            <w:pPr>
              <w:rPr>
                <w:lang w:val="en-AU"/>
              </w:rPr>
            </w:pPr>
            <w:r w:rsidRPr="00340AF0">
              <w:rPr>
                <w:lang w:val="en-AU"/>
              </w:rPr>
              <w:t>Author: NeoMed Consensus Group</w:t>
            </w:r>
          </w:p>
        </w:tc>
      </w:tr>
      <w:tr w:rsidRPr="00340AF0" w:rsidR="00340AF0" w:rsidTr="00107876" w14:paraId="3BFCEEA6" w14:textId="77777777">
        <w:tc>
          <w:tcPr>
            <w:tcW w:w="4465" w:type="dxa"/>
            <w:vAlign w:val="center"/>
          </w:tcPr>
          <w:p w:rsidRPr="00340AF0" w:rsidR="00340AF0" w:rsidP="006F0321" w:rsidRDefault="00340AF0" w14:paraId="579AF7AE" w14:textId="40155F05">
            <w:pPr>
              <w:rPr>
                <w:bCs/>
                <w:lang w:val="en-AU"/>
              </w:rPr>
            </w:pPr>
            <w:r w:rsidRPr="00340AF0">
              <w:rPr>
                <w:lang w:val="en-AU"/>
              </w:rPr>
              <w:t xml:space="preserve">Current Version number:  </w:t>
            </w:r>
            <w:r w:rsidR="002A0F32">
              <w:rPr>
                <w:lang w:val="en-AU"/>
              </w:rPr>
              <w:t>3</w:t>
            </w:r>
          </w:p>
        </w:tc>
        <w:tc>
          <w:tcPr>
            <w:tcW w:w="4465" w:type="dxa"/>
            <w:vAlign w:val="center"/>
          </w:tcPr>
          <w:p w:rsidRPr="00340AF0" w:rsidR="00340AF0" w:rsidP="006F0321" w:rsidRDefault="00340AF0" w14:paraId="6F1CB948" w14:textId="0678032B">
            <w:pPr>
              <w:rPr>
                <w:lang w:val="en-AU"/>
              </w:rPr>
            </w:pPr>
            <w:r w:rsidRPr="00340AF0">
              <w:rPr>
                <w:lang w:val="en-AU"/>
              </w:rPr>
              <w:t xml:space="preserve">Current Version Date:  </w:t>
            </w:r>
            <w:r w:rsidR="002A0F32">
              <w:rPr>
                <w:lang w:val="en-AU"/>
              </w:rPr>
              <w:t>26/2/2021</w:t>
            </w:r>
          </w:p>
        </w:tc>
      </w:tr>
      <w:tr w:rsidRPr="00340AF0" w:rsidR="00340AF0" w:rsidTr="00107876" w14:paraId="12F83B55" w14:textId="77777777">
        <w:tc>
          <w:tcPr>
            <w:tcW w:w="4465" w:type="dxa"/>
            <w:vAlign w:val="center"/>
          </w:tcPr>
          <w:p w:rsidRPr="00340AF0" w:rsidR="00340AF0" w:rsidP="006F0321" w:rsidRDefault="00340AF0" w14:paraId="715C3AEE" w14:textId="041365BD">
            <w:pPr>
              <w:rPr>
                <w:lang w:val="en-AU"/>
              </w:rPr>
            </w:pPr>
            <w:r w:rsidRPr="00340AF0">
              <w:rPr>
                <w:lang w:val="en-AU"/>
              </w:rPr>
              <w:t xml:space="preserve">Risk Rating: </w:t>
            </w:r>
            <w:r w:rsidR="00B83C25">
              <w:rPr>
                <w:lang w:val="en-AU"/>
              </w:rPr>
              <w:t>Low</w:t>
            </w:r>
          </w:p>
        </w:tc>
        <w:tc>
          <w:tcPr>
            <w:tcW w:w="4465" w:type="dxa"/>
            <w:vAlign w:val="center"/>
          </w:tcPr>
          <w:p w:rsidRPr="00340AF0" w:rsidR="00340AF0" w:rsidP="006F0321" w:rsidRDefault="00340AF0" w14:paraId="7A4DBA7D" w14:textId="7AB501D7">
            <w:pPr>
              <w:rPr>
                <w:lang w:val="en-AU"/>
              </w:rPr>
            </w:pPr>
            <w:r w:rsidRPr="00340AF0">
              <w:rPr>
                <w:lang w:val="en-AU"/>
              </w:rPr>
              <w:t xml:space="preserve">Due for Review:  </w:t>
            </w:r>
            <w:r w:rsidR="002A0F32">
              <w:rPr>
                <w:lang w:val="en-AU"/>
              </w:rPr>
              <w:t>26/2/2026</w:t>
            </w:r>
          </w:p>
        </w:tc>
      </w:tr>
      <w:tr w:rsidRPr="00340AF0" w:rsidR="00340AF0" w:rsidTr="00107876" w14:paraId="4F9A6015" w14:textId="77777777">
        <w:trPr>
          <w:trHeight w:val="344"/>
        </w:trPr>
        <w:tc>
          <w:tcPr>
            <w:tcW w:w="4465" w:type="dxa"/>
            <w:tcBorders>
              <w:bottom w:val="single" w:color="auto" w:sz="4" w:space="0"/>
            </w:tcBorders>
            <w:vAlign w:val="center"/>
          </w:tcPr>
          <w:p w:rsidRPr="00340AF0" w:rsidR="00340AF0" w:rsidP="006F0321" w:rsidRDefault="00340AF0" w14:paraId="5808F156" w14:textId="77777777">
            <w:pPr>
              <w:rPr>
                <w:lang w:val="en-AU"/>
              </w:rPr>
            </w:pPr>
            <w:r w:rsidRPr="00340AF0">
              <w:rPr>
                <w:lang w:val="en-AU"/>
              </w:rPr>
              <w:t>Approval by: DTC</w:t>
            </w:r>
          </w:p>
        </w:tc>
        <w:tc>
          <w:tcPr>
            <w:tcW w:w="4465" w:type="dxa"/>
            <w:tcBorders>
              <w:bottom w:val="single" w:color="auto" w:sz="4" w:space="0"/>
            </w:tcBorders>
            <w:vAlign w:val="center"/>
          </w:tcPr>
          <w:p w:rsidRPr="00340AF0" w:rsidR="00340AF0" w:rsidP="006F0321" w:rsidRDefault="00340AF0" w14:paraId="6A1F58B1" w14:textId="568DC8F6">
            <w:pPr>
              <w:rPr>
                <w:lang w:val="en-AU"/>
              </w:rPr>
            </w:pPr>
            <w:r w:rsidRPr="00340AF0">
              <w:rPr>
                <w:lang w:val="en-AU"/>
              </w:rPr>
              <w:t xml:space="preserve">Approval Date: </w:t>
            </w:r>
            <w:r w:rsidR="00260BC8">
              <w:rPr>
                <w:lang w:val="en-AU"/>
              </w:rPr>
              <w:t>APRIL 2021</w:t>
            </w:r>
          </w:p>
        </w:tc>
      </w:tr>
    </w:tbl>
    <w:p w:rsidR="00115F48" w:rsidP="006F0321" w:rsidRDefault="00115F48" w14:paraId="73EDD572" w14:textId="5685B962"/>
    <w:p w:rsidR="00107876" w:rsidP="006F0321" w:rsidRDefault="00107876" w14:paraId="6325D165" w14:textId="3CDF0601"/>
    <w:p w:rsidR="00107876" w:rsidP="006F0321" w:rsidRDefault="00107876" w14:paraId="52F626EF" w14:textId="77777777"/>
    <w:p w:rsidR="00107876" w:rsidP="006F0321" w:rsidRDefault="00107876" w14:paraId="5BD139E1" w14:textId="04A649E1"/>
    <w:p w:rsidR="00107876" w:rsidP="006F0321" w:rsidRDefault="00107876" w14:paraId="7A6CE7BE" w14:textId="3F036E44"/>
    <w:p w:rsidR="00107876" w:rsidP="006F0321" w:rsidRDefault="00107876" w14:paraId="01AA057E" w14:textId="77777777"/>
    <w:tbl>
      <w:tblPr>
        <w:tblW w:w="9072" w:type="dxa"/>
        <w:tblInd w:w="-23"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0000"/>
        <w:tblLayout w:type="fixed"/>
        <w:tblLook w:val="0000" w:firstRow="0" w:lastRow="0" w:firstColumn="0" w:lastColumn="0" w:noHBand="0" w:noVBand="0"/>
      </w:tblPr>
      <w:tblGrid>
        <w:gridCol w:w="4045"/>
        <w:gridCol w:w="5027"/>
      </w:tblGrid>
      <w:tr w:rsidRPr="00E25790" w:rsidR="00107876" w:rsidTr="00107876" w14:paraId="40093108" w14:textId="77777777">
        <w:trPr>
          <w:cantSplit/>
          <w:trHeight w:val="720"/>
        </w:trPr>
        <w:tc>
          <w:tcPr>
            <w:tcW w:w="9072" w:type="dxa"/>
            <w:gridSpan w:val="2"/>
            <w:shd w:val="clear" w:color="auto" w:fill="FF0000"/>
          </w:tcPr>
          <w:p w:rsidRPr="00E25790" w:rsidR="00107876" w:rsidP="00EB7031" w:rsidRDefault="00107876" w14:paraId="4348198E" w14:textId="77777777">
            <w:pPr>
              <w:pStyle w:val="Heading1"/>
            </w:pPr>
            <w:bookmarkStart w:name="_Toc75339936" w:id="84"/>
            <w:r w:rsidRPr="00E25790">
              <w:lastRenderedPageBreak/>
              <w:t>Amphotericin B- Liposomal</w:t>
            </w:r>
            <w:bookmarkEnd w:id="84"/>
            <w:r w:rsidRPr="00E25790">
              <w:fldChar w:fldCharType="begin"/>
            </w:r>
            <w:r w:rsidRPr="00E25790">
              <w:instrText>tc "Amphotericin B" \l 0</w:instrText>
            </w:r>
            <w:r w:rsidRPr="00E25790">
              <w:fldChar w:fldCharType="end"/>
            </w:r>
          </w:p>
        </w:tc>
      </w:tr>
      <w:tr w:rsidRPr="00E25790" w:rsidR="00107876" w:rsidTr="00107876" w14:paraId="5340E521" w14:textId="77777777">
        <w:trPr>
          <w:cantSplit/>
          <w:trHeight w:val="480"/>
        </w:trPr>
        <w:tc>
          <w:tcPr>
            <w:tcW w:w="4045" w:type="dxa"/>
            <w:shd w:val="clear" w:color="auto" w:fill="FF0000"/>
          </w:tcPr>
          <w:p w:rsidRPr="00E25790" w:rsidR="00107876" w:rsidP="00EB7031" w:rsidRDefault="00107876" w14:paraId="3BAACE95" w14:textId="77777777">
            <w:r w:rsidRPr="00E25790">
              <w:t xml:space="preserve">Revision Date : </w:t>
            </w:r>
            <w:r>
              <w:t>16-11-2020</w:t>
            </w:r>
          </w:p>
        </w:tc>
        <w:tc>
          <w:tcPr>
            <w:tcW w:w="5027" w:type="dxa"/>
            <w:shd w:val="clear" w:color="auto" w:fill="FF0000"/>
          </w:tcPr>
          <w:p w:rsidRPr="00E25790" w:rsidR="00107876" w:rsidP="00EB7031" w:rsidRDefault="00107876" w14:paraId="22C3F955" w14:textId="77777777">
            <w:r w:rsidRPr="00E25790">
              <w:t>Approved : TC, KOH</w:t>
            </w:r>
          </w:p>
        </w:tc>
      </w:tr>
    </w:tbl>
    <w:p w:rsidRPr="00E25790" w:rsidR="00131848" w:rsidP="006F0321" w:rsidRDefault="00131848" w14:paraId="29D28D2C"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67"/>
        <w:gridCol w:w="7249"/>
      </w:tblGrid>
      <w:tr w:rsidRPr="003B78EA" w:rsidR="00084BA2" w:rsidTr="00FE4186" w14:paraId="58F9FE0B" w14:textId="77777777">
        <w:trPr>
          <w:trHeight w:val="263"/>
        </w:trPr>
        <w:tc>
          <w:tcPr>
            <w:tcW w:w="980" w:type="pct"/>
          </w:tcPr>
          <w:p w:rsidRPr="003B78EA" w:rsidR="00084BA2" w:rsidP="00FE4186" w:rsidRDefault="00084BA2" w14:paraId="6A060817"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020" w:type="pct"/>
          </w:tcPr>
          <w:p w:rsidRPr="00E919A0" w:rsidR="00084BA2" w:rsidP="00FE4186" w:rsidRDefault="00084BA2" w14:paraId="047141E9" w14:textId="77777777">
            <w:pPr>
              <w:pStyle w:val="BodyText"/>
              <w:rPr>
                <w:sz w:val="20"/>
              </w:rPr>
            </w:pPr>
            <w:r w:rsidRPr="00E919A0">
              <w:rPr>
                <w:sz w:val="20"/>
              </w:rPr>
              <w:t xml:space="preserve">Antimicrobial Stewardship Team has listed this drug </w:t>
            </w:r>
            <w:r>
              <w:rPr>
                <w:sz w:val="20"/>
              </w:rPr>
              <w:t>as</w:t>
            </w:r>
            <w:r w:rsidRPr="00E919A0">
              <w:rPr>
                <w:sz w:val="20"/>
              </w:rPr>
              <w:t xml:space="preserve"> Restricted.</w:t>
            </w:r>
          </w:p>
          <w:p w:rsidR="00084BA2" w:rsidP="00FE4186" w:rsidRDefault="00084BA2" w14:paraId="07FA3C2C" w14:textId="77777777">
            <w:pPr>
              <w:pStyle w:val="BodyText"/>
              <w:rPr>
                <w:sz w:val="20"/>
              </w:rPr>
            </w:pPr>
            <w:r w:rsidRPr="00E919A0">
              <w:rPr>
                <w:sz w:val="20"/>
              </w:rPr>
              <w:t>Clinicians should liaise with local ID specialists when treating systemic fungal infections.</w:t>
            </w:r>
          </w:p>
          <w:p w:rsidRPr="00E919A0" w:rsidR="00084BA2" w:rsidP="00FE4186" w:rsidRDefault="00084BA2" w14:paraId="25E32420" w14:textId="77777777">
            <w:pPr>
              <w:pStyle w:val="BodyText"/>
              <w:rPr>
                <w:sz w:val="20"/>
              </w:rPr>
            </w:pPr>
            <w:r>
              <w:rPr>
                <w:sz w:val="20"/>
              </w:rPr>
              <w:t>A</w:t>
            </w:r>
            <w:r w:rsidRPr="00E919A0">
              <w:rPr>
                <w:sz w:val="20"/>
              </w:rPr>
              <w:t xml:space="preserve">vailable in 4 forms: Amphotericin B -conventional, Amphotericin B - liposomal, Amphotericin B </w:t>
            </w:r>
            <w:r>
              <w:rPr>
                <w:sz w:val="20"/>
              </w:rPr>
              <w:t xml:space="preserve">(phospho) </w:t>
            </w:r>
            <w:r w:rsidRPr="00E919A0">
              <w:rPr>
                <w:sz w:val="20"/>
              </w:rPr>
              <w:t>lipid complex and Amphotericin B colloidal dispersion</w:t>
            </w:r>
            <w:r>
              <w:rPr>
                <w:sz w:val="20"/>
              </w:rPr>
              <w:t xml:space="preserve"> </w:t>
            </w:r>
            <w:r w:rsidRPr="002F1F30">
              <w:rPr>
                <w:sz w:val="20"/>
              </w:rPr>
              <w:t>also known as Amphotericin B Cholesteryl Sulfate Complex</w:t>
            </w:r>
            <w:r w:rsidRPr="00E919A0">
              <w:rPr>
                <w:sz w:val="20"/>
              </w:rPr>
              <w:t>.</w:t>
            </w:r>
          </w:p>
          <w:p w:rsidRPr="003B78EA" w:rsidR="00084BA2" w:rsidP="00FE4186" w:rsidRDefault="00084BA2" w14:paraId="15EDA5B0" w14:textId="77777777">
            <w:pPr>
              <w:pStyle w:val="BodyText"/>
              <w:rPr>
                <w:rFonts w:asciiTheme="minorHAnsi" w:hAnsiTheme="minorHAnsi" w:cstheme="minorHAnsi"/>
                <w:sz w:val="20"/>
              </w:rPr>
            </w:pPr>
            <w:r w:rsidRPr="00AE77C0">
              <w:rPr>
                <w:b/>
                <w:sz w:val="20"/>
              </w:rPr>
              <w:t>Confusion between these products has led to fatal overdose as well as subtherapeutic dosing.</w:t>
            </w:r>
            <w:r w:rsidRPr="00AE77C0">
              <w:rPr>
                <w:b/>
                <w:sz w:val="20"/>
                <w:vertAlign w:val="superscript"/>
              </w:rPr>
              <w:t>1</w:t>
            </w:r>
          </w:p>
        </w:tc>
      </w:tr>
      <w:tr w:rsidRPr="003B78EA" w:rsidR="00084BA2" w:rsidTr="00FE4186" w14:paraId="6989806F" w14:textId="77777777">
        <w:trPr>
          <w:trHeight w:val="263"/>
        </w:trPr>
        <w:tc>
          <w:tcPr>
            <w:tcW w:w="980" w:type="pct"/>
          </w:tcPr>
          <w:p w:rsidRPr="003B78EA" w:rsidR="00084BA2" w:rsidP="00FE4186" w:rsidRDefault="00084BA2" w14:paraId="0993D32D"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020" w:type="pct"/>
          </w:tcPr>
          <w:p w:rsidRPr="003B78EA" w:rsidR="00084BA2" w:rsidP="00FE4186" w:rsidRDefault="00084BA2" w14:paraId="07191D66" w14:textId="77777777">
            <w:pPr>
              <w:rPr>
                <w:rFonts w:asciiTheme="minorHAnsi" w:hAnsiTheme="minorHAnsi" w:cstheme="minorHAnsi"/>
                <w:sz w:val="20"/>
              </w:rPr>
            </w:pPr>
            <w:r w:rsidRPr="00E919A0">
              <w:rPr>
                <w:sz w:val="20"/>
              </w:rPr>
              <w:t xml:space="preserve">Treatment of invasive fungal infections by susceptible fungi including </w:t>
            </w:r>
            <w:r w:rsidRPr="00E919A0">
              <w:rPr>
                <w:i/>
                <w:sz w:val="20"/>
              </w:rPr>
              <w:t>Candida</w:t>
            </w:r>
            <w:r>
              <w:rPr>
                <w:i/>
                <w:sz w:val="20"/>
              </w:rPr>
              <w:t xml:space="preserve"> spp.</w:t>
            </w:r>
            <w:r w:rsidRPr="00E919A0">
              <w:rPr>
                <w:i/>
                <w:sz w:val="20"/>
              </w:rPr>
              <w:t>, Aspergillus</w:t>
            </w:r>
            <w:r>
              <w:rPr>
                <w:i/>
                <w:sz w:val="20"/>
              </w:rPr>
              <w:t xml:space="preserve"> spp.</w:t>
            </w:r>
            <w:r w:rsidRPr="00E919A0">
              <w:rPr>
                <w:sz w:val="20"/>
              </w:rPr>
              <w:t xml:space="preserve"> and </w:t>
            </w:r>
            <w:r w:rsidRPr="00E919A0">
              <w:rPr>
                <w:i/>
                <w:sz w:val="20"/>
              </w:rPr>
              <w:t>Cryptococcus</w:t>
            </w:r>
            <w:r w:rsidRPr="00E919A0">
              <w:rPr>
                <w:sz w:val="20"/>
              </w:rPr>
              <w:t xml:space="preserve"> species.</w:t>
            </w:r>
            <w:r w:rsidRPr="00E919A0">
              <w:rPr>
                <w:sz w:val="20"/>
                <w:vertAlign w:val="superscript"/>
              </w:rPr>
              <w:t>2,3</w:t>
            </w:r>
            <w:r w:rsidRPr="00E919A0">
              <w:rPr>
                <w:sz w:val="20"/>
              </w:rPr>
              <w:t xml:space="preserve"> </w:t>
            </w:r>
            <w:r>
              <w:rPr>
                <w:i/>
                <w:sz w:val="20"/>
              </w:rPr>
              <w:t>Candida</w:t>
            </w:r>
            <w:r w:rsidRPr="00E919A0">
              <w:rPr>
                <w:i/>
                <w:sz w:val="20"/>
              </w:rPr>
              <w:t xml:space="preserve"> lusitaniae</w:t>
            </w:r>
            <w:r w:rsidRPr="00E919A0">
              <w:rPr>
                <w:sz w:val="20"/>
              </w:rPr>
              <w:t xml:space="preserve"> and </w:t>
            </w:r>
            <w:r w:rsidRPr="00E919A0">
              <w:rPr>
                <w:i/>
                <w:sz w:val="20"/>
              </w:rPr>
              <w:t>A. terreus</w:t>
            </w:r>
            <w:r w:rsidRPr="00E919A0">
              <w:rPr>
                <w:sz w:val="20"/>
              </w:rPr>
              <w:t xml:space="preserve"> are resistant.</w:t>
            </w:r>
          </w:p>
        </w:tc>
      </w:tr>
      <w:tr w:rsidRPr="003B78EA" w:rsidR="00084BA2" w:rsidTr="00FE4186" w14:paraId="6501C977" w14:textId="77777777">
        <w:trPr>
          <w:trHeight w:val="263"/>
        </w:trPr>
        <w:tc>
          <w:tcPr>
            <w:tcW w:w="980" w:type="pct"/>
          </w:tcPr>
          <w:p w:rsidRPr="003B78EA" w:rsidR="00084BA2" w:rsidP="00FE4186" w:rsidRDefault="00084BA2" w14:paraId="5B110CDF"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020" w:type="pct"/>
          </w:tcPr>
          <w:p w:rsidRPr="003B78EA" w:rsidR="00084BA2" w:rsidP="00FE4186" w:rsidRDefault="00084BA2" w14:paraId="3827AC17" w14:textId="77777777">
            <w:pPr>
              <w:rPr>
                <w:rFonts w:asciiTheme="minorHAnsi" w:hAnsiTheme="minorHAnsi" w:cstheme="minorHAnsi"/>
                <w:sz w:val="20"/>
              </w:rPr>
            </w:pPr>
            <w:r w:rsidRPr="00E919A0">
              <w:rPr>
                <w:sz w:val="20"/>
              </w:rPr>
              <w:t>Fungicidal agent which works by binding with a cytoplasmic membrane ergosterol on the organism’s surface causing cell death by increasing cell membrane permeability.</w:t>
            </w:r>
            <w:r w:rsidRPr="00E919A0">
              <w:rPr>
                <w:sz w:val="20"/>
                <w:vertAlign w:val="superscript"/>
              </w:rPr>
              <w:t>4</w:t>
            </w:r>
          </w:p>
        </w:tc>
      </w:tr>
      <w:tr w:rsidRPr="003B78EA" w:rsidR="00084BA2" w:rsidTr="00FE4186" w14:paraId="44E48806" w14:textId="77777777">
        <w:trPr>
          <w:trHeight w:val="263"/>
        </w:trPr>
        <w:tc>
          <w:tcPr>
            <w:tcW w:w="980" w:type="pct"/>
          </w:tcPr>
          <w:p w:rsidRPr="003B78EA" w:rsidR="00084BA2" w:rsidP="00FE4186" w:rsidRDefault="00084BA2" w14:paraId="109AD5A4"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020" w:type="pct"/>
          </w:tcPr>
          <w:p w:rsidRPr="003B78EA" w:rsidR="00084BA2" w:rsidP="00FE4186" w:rsidRDefault="00084BA2" w14:paraId="1F02AE46" w14:textId="77777777">
            <w:pPr>
              <w:pStyle w:val="BodyText"/>
              <w:rPr>
                <w:rFonts w:asciiTheme="minorHAnsi" w:hAnsiTheme="minorHAnsi" w:cstheme="minorHAnsi"/>
                <w:sz w:val="20"/>
              </w:rPr>
            </w:pPr>
            <w:r w:rsidRPr="00E919A0">
              <w:rPr>
                <w:sz w:val="20"/>
              </w:rPr>
              <w:t>Polyene antifungal</w:t>
            </w:r>
          </w:p>
        </w:tc>
      </w:tr>
      <w:tr w:rsidRPr="003B78EA" w:rsidR="00084BA2" w:rsidTr="00FE4186" w14:paraId="0202F7C2" w14:textId="77777777">
        <w:trPr>
          <w:trHeight w:val="263"/>
        </w:trPr>
        <w:tc>
          <w:tcPr>
            <w:tcW w:w="980" w:type="pct"/>
          </w:tcPr>
          <w:p w:rsidRPr="003B78EA" w:rsidR="00084BA2" w:rsidP="00FE4186" w:rsidRDefault="00084BA2" w14:paraId="0E432ACB"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020" w:type="pct"/>
          </w:tcPr>
          <w:p w:rsidR="00084BA2" w:rsidP="00FE4186" w:rsidRDefault="00084BA2" w14:paraId="41CD74B4" w14:textId="77777777">
            <w:pPr>
              <w:pStyle w:val="Heading2"/>
              <w:rPr>
                <w:rFonts w:cs="Arial" w:asciiTheme="minorHAnsi" w:hAnsiTheme="minorHAnsi"/>
                <w:sz w:val="20"/>
              </w:rPr>
            </w:pPr>
            <w:r w:rsidRPr="00AE77C0">
              <w:rPr>
                <w:rFonts w:asciiTheme="minorHAnsi" w:hAnsiTheme="minorHAnsi"/>
                <w:sz w:val="20"/>
              </w:rPr>
              <w:t xml:space="preserve">AmBisome </w:t>
            </w:r>
            <w:r w:rsidRPr="00AE77C0">
              <w:rPr>
                <w:rFonts w:cs="Arial" w:asciiTheme="minorHAnsi" w:hAnsiTheme="minorHAnsi"/>
                <w:sz w:val="20"/>
              </w:rPr>
              <w:t>(amphotericin B) liposome for injection</w:t>
            </w:r>
          </w:p>
        </w:tc>
      </w:tr>
      <w:tr w:rsidRPr="003B78EA" w:rsidR="00084BA2" w:rsidTr="00FE4186" w14:paraId="34F13EBF" w14:textId="77777777">
        <w:trPr>
          <w:trHeight w:val="263"/>
        </w:trPr>
        <w:tc>
          <w:tcPr>
            <w:tcW w:w="980" w:type="pct"/>
          </w:tcPr>
          <w:p w:rsidRPr="003B78EA" w:rsidR="00084BA2" w:rsidP="00FE4186" w:rsidRDefault="00084BA2" w14:paraId="46E78333"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020" w:type="pct"/>
          </w:tcPr>
          <w:p w:rsidR="00084BA2" w:rsidP="00FE4186" w:rsidRDefault="00084BA2" w14:paraId="3AA11E70" w14:textId="77777777">
            <w:pPr>
              <w:pStyle w:val="BodyText"/>
              <w:rPr>
                <w:rFonts w:cs="Arial"/>
                <w:sz w:val="20"/>
                <w:vertAlign w:val="superscript"/>
              </w:rPr>
            </w:pPr>
            <w:r>
              <w:rPr>
                <w:rFonts w:cs="Arial"/>
                <w:sz w:val="20"/>
              </w:rPr>
              <w:t>A</w:t>
            </w:r>
            <w:r w:rsidRPr="00E919A0">
              <w:rPr>
                <w:rFonts w:cs="Arial"/>
                <w:sz w:val="20"/>
              </w:rPr>
              <w:t>mphotericin BP equivalent to 50 mg of amphotericin B</w:t>
            </w:r>
            <w:r>
              <w:rPr>
                <w:rFonts w:cs="Arial"/>
                <w:sz w:val="20"/>
              </w:rPr>
              <w:t xml:space="preserve"> vial</w:t>
            </w:r>
            <w:r w:rsidRPr="00E919A0">
              <w:rPr>
                <w:rFonts w:cs="Arial"/>
                <w:sz w:val="20"/>
              </w:rPr>
              <w:t>.</w:t>
            </w:r>
            <w:r w:rsidRPr="00E919A0">
              <w:rPr>
                <w:rFonts w:cs="Arial"/>
                <w:sz w:val="20"/>
                <w:vertAlign w:val="superscript"/>
              </w:rPr>
              <w:t>5</w:t>
            </w:r>
          </w:p>
          <w:p w:rsidRPr="00A046F1" w:rsidR="00084BA2" w:rsidP="00FE4186" w:rsidRDefault="00084BA2" w14:paraId="5219702D" w14:textId="77777777">
            <w:pPr>
              <w:pStyle w:val="BodyText"/>
              <w:rPr>
                <w:rFonts w:asciiTheme="minorHAnsi" w:hAnsiTheme="minorHAnsi" w:cstheme="minorHAnsi"/>
                <w:sz w:val="20"/>
              </w:rPr>
            </w:pPr>
            <w:r>
              <w:rPr>
                <w:rFonts w:asciiTheme="minorHAnsi" w:hAnsiTheme="minorHAnsi" w:cstheme="minorHAnsi"/>
                <w:sz w:val="20"/>
              </w:rPr>
              <w:t>Premade syringe by local pharmacy</w:t>
            </w:r>
          </w:p>
        </w:tc>
      </w:tr>
      <w:tr w:rsidRPr="003B78EA" w:rsidR="00084BA2" w:rsidTr="00FE4186" w14:paraId="7F49AAFC" w14:textId="77777777">
        <w:trPr>
          <w:trHeight w:val="263"/>
        </w:trPr>
        <w:tc>
          <w:tcPr>
            <w:tcW w:w="980" w:type="pct"/>
          </w:tcPr>
          <w:p w:rsidRPr="003B78EA" w:rsidR="00084BA2" w:rsidP="00FE4186" w:rsidRDefault="00084BA2" w14:paraId="2600FB68"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020" w:type="pct"/>
          </w:tcPr>
          <w:p w:rsidR="00084BA2" w:rsidP="00FE4186" w:rsidRDefault="00084BA2" w14:paraId="0EB98C57" w14:textId="77777777">
            <w:pPr>
              <w:pStyle w:val="BodyText"/>
              <w:ind w:left="720" w:hanging="720"/>
              <w:rPr>
                <w:rFonts w:asciiTheme="minorHAnsi" w:hAnsiTheme="minorHAnsi" w:cstheme="minorHAnsi"/>
                <w:sz w:val="20"/>
              </w:rPr>
            </w:pPr>
            <w:r w:rsidRPr="00E919A0">
              <w:rPr>
                <w:rFonts w:cs="Arial"/>
                <w:sz w:val="20"/>
              </w:rPr>
              <w:t>3 mg/kg/dose daily.</w:t>
            </w:r>
            <w:r w:rsidRPr="00E919A0">
              <w:rPr>
                <w:rFonts w:cs="Arial"/>
                <w:sz w:val="20"/>
                <w:vertAlign w:val="superscript"/>
              </w:rPr>
              <w:t>6</w:t>
            </w:r>
          </w:p>
        </w:tc>
      </w:tr>
      <w:tr w:rsidRPr="003B78EA" w:rsidR="00084BA2" w:rsidTr="00FE4186" w14:paraId="0EC66158" w14:textId="77777777">
        <w:trPr>
          <w:trHeight w:val="263"/>
        </w:trPr>
        <w:tc>
          <w:tcPr>
            <w:tcW w:w="980" w:type="pct"/>
          </w:tcPr>
          <w:p w:rsidRPr="003B78EA" w:rsidR="00084BA2" w:rsidP="00FE4186" w:rsidRDefault="00084BA2" w14:paraId="48318D64"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020" w:type="pct"/>
          </w:tcPr>
          <w:p w:rsidRPr="003B78EA" w:rsidR="00084BA2" w:rsidP="00FE4186" w:rsidRDefault="00084BA2" w14:paraId="300A1B4F" w14:textId="77777777">
            <w:pPr>
              <w:pStyle w:val="BodyText"/>
              <w:rPr>
                <w:rFonts w:asciiTheme="minorHAnsi" w:hAnsiTheme="minorHAnsi" w:cstheme="minorHAnsi"/>
                <w:sz w:val="20"/>
              </w:rPr>
            </w:pPr>
            <w:r>
              <w:rPr>
                <w:rFonts w:asciiTheme="minorHAnsi" w:hAnsiTheme="minorHAnsi" w:cstheme="minorHAnsi"/>
                <w:sz w:val="20"/>
              </w:rPr>
              <w:t>To be updated.</w:t>
            </w:r>
          </w:p>
        </w:tc>
      </w:tr>
      <w:tr w:rsidRPr="003B78EA" w:rsidR="00084BA2" w:rsidTr="00FE4186" w14:paraId="194D47BC" w14:textId="77777777">
        <w:trPr>
          <w:trHeight w:val="263"/>
        </w:trPr>
        <w:tc>
          <w:tcPr>
            <w:tcW w:w="980" w:type="pct"/>
          </w:tcPr>
          <w:p w:rsidRPr="003B78EA" w:rsidR="00084BA2" w:rsidP="00FE4186" w:rsidRDefault="00084BA2" w14:paraId="6B9136EC"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020" w:type="pct"/>
          </w:tcPr>
          <w:p w:rsidRPr="003B78EA" w:rsidR="00084BA2" w:rsidP="00FE4186" w:rsidRDefault="00084BA2" w14:paraId="3CF4E04A" w14:textId="77777777">
            <w:pPr>
              <w:pStyle w:val="BodyText"/>
              <w:rPr>
                <w:rFonts w:asciiTheme="minorHAnsi" w:hAnsiTheme="minorHAnsi" w:cstheme="minorHAnsi"/>
                <w:sz w:val="20"/>
              </w:rPr>
            </w:pPr>
            <w:r w:rsidRPr="00E919A0">
              <w:rPr>
                <w:sz w:val="20"/>
              </w:rPr>
              <w:t>7 mg/kg/day.</w:t>
            </w:r>
            <w:r w:rsidRPr="00E919A0">
              <w:rPr>
                <w:sz w:val="20"/>
                <w:vertAlign w:val="superscript"/>
              </w:rPr>
              <w:t>7</w:t>
            </w:r>
          </w:p>
        </w:tc>
      </w:tr>
      <w:tr w:rsidRPr="003B78EA" w:rsidR="00084BA2" w:rsidTr="00FE4186" w14:paraId="6475BEE1" w14:textId="77777777">
        <w:trPr>
          <w:trHeight w:val="263"/>
        </w:trPr>
        <w:tc>
          <w:tcPr>
            <w:tcW w:w="980" w:type="pct"/>
          </w:tcPr>
          <w:p w:rsidRPr="003B78EA" w:rsidR="00084BA2" w:rsidP="00FE4186" w:rsidRDefault="00084BA2" w14:paraId="44C5AA66"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020" w:type="pct"/>
          </w:tcPr>
          <w:p w:rsidRPr="003B78EA" w:rsidR="00084BA2" w:rsidP="00FE4186" w:rsidRDefault="00084BA2" w14:paraId="6E26E03F" w14:textId="77777777">
            <w:pPr>
              <w:pStyle w:val="BodyText"/>
              <w:rPr>
                <w:rFonts w:asciiTheme="minorHAnsi" w:hAnsiTheme="minorHAnsi" w:cstheme="minorHAnsi"/>
                <w:b/>
                <w:sz w:val="20"/>
              </w:rPr>
            </w:pPr>
          </w:p>
        </w:tc>
      </w:tr>
      <w:tr w:rsidRPr="003B78EA" w:rsidR="00084BA2" w:rsidTr="00FE4186" w14:paraId="205927C8" w14:textId="77777777">
        <w:trPr>
          <w:trHeight w:val="263"/>
        </w:trPr>
        <w:tc>
          <w:tcPr>
            <w:tcW w:w="980" w:type="pct"/>
          </w:tcPr>
          <w:p w:rsidRPr="003B78EA" w:rsidR="00084BA2" w:rsidP="00FE4186" w:rsidRDefault="00084BA2" w14:paraId="1428B075"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020" w:type="pct"/>
          </w:tcPr>
          <w:p w:rsidRPr="003B78EA" w:rsidR="00084BA2" w:rsidP="00FE4186" w:rsidRDefault="00084BA2" w14:paraId="78062F80" w14:textId="77777777">
            <w:pPr>
              <w:pStyle w:val="BodyText"/>
              <w:rPr>
                <w:rFonts w:asciiTheme="minorHAnsi" w:hAnsiTheme="minorHAnsi" w:cstheme="minorHAnsi"/>
                <w:sz w:val="20"/>
              </w:rPr>
            </w:pPr>
            <w:r>
              <w:rPr>
                <w:rFonts w:cs="Arial"/>
                <w:sz w:val="20"/>
              </w:rPr>
              <w:t>IV</w:t>
            </w:r>
          </w:p>
        </w:tc>
      </w:tr>
      <w:tr w:rsidRPr="003B78EA" w:rsidR="00084BA2" w:rsidTr="00FE4186" w14:paraId="65006262" w14:textId="77777777">
        <w:trPr>
          <w:trHeight w:val="263"/>
        </w:trPr>
        <w:tc>
          <w:tcPr>
            <w:tcW w:w="980" w:type="pct"/>
          </w:tcPr>
          <w:p w:rsidRPr="003B78EA" w:rsidR="00084BA2" w:rsidP="00FE4186" w:rsidRDefault="00084BA2" w14:paraId="1757D4E3"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020" w:type="pct"/>
          </w:tcPr>
          <w:p w:rsidR="00084BA2" w:rsidP="00FE4186" w:rsidRDefault="00084BA2" w14:paraId="1F8EC8E8" w14:textId="77777777">
            <w:pPr>
              <w:pStyle w:val="BodyText"/>
              <w:rPr>
                <w:rFonts w:cs="Arial"/>
                <w:sz w:val="20"/>
              </w:rPr>
            </w:pPr>
            <w:r w:rsidRPr="00E919A0">
              <w:rPr>
                <w:rFonts w:cs="Arial"/>
                <w:sz w:val="20"/>
              </w:rPr>
              <w:t>Add 12 mL of water for injection to 50 mg vial to make a 4 mg/mL</w:t>
            </w:r>
            <w:r>
              <w:rPr>
                <w:rFonts w:cs="Arial"/>
                <w:sz w:val="20"/>
              </w:rPr>
              <w:t xml:space="preserve"> solution</w:t>
            </w:r>
            <w:r w:rsidRPr="00E919A0">
              <w:rPr>
                <w:rFonts w:cs="Arial"/>
                <w:sz w:val="20"/>
              </w:rPr>
              <w:t xml:space="preserve">. Shake vigorously for at least 30 seconds to disperse completely. </w:t>
            </w:r>
          </w:p>
          <w:p w:rsidR="00084BA2" w:rsidP="00FE4186" w:rsidRDefault="00084BA2" w14:paraId="43BE27D9" w14:textId="77777777">
            <w:pPr>
              <w:pStyle w:val="BodyText"/>
              <w:rPr>
                <w:rFonts w:cs="Arial"/>
                <w:sz w:val="20"/>
              </w:rPr>
            </w:pPr>
            <w:r>
              <w:rPr>
                <w:rFonts w:cs="Arial"/>
                <w:sz w:val="20"/>
              </w:rPr>
              <w:t>FURTHER DILUTE</w:t>
            </w:r>
          </w:p>
          <w:p w:rsidRPr="003B78EA" w:rsidR="00084BA2" w:rsidP="00FE4186" w:rsidRDefault="00084BA2" w14:paraId="710B992E" w14:textId="77777777">
            <w:pPr>
              <w:pStyle w:val="BodyText"/>
              <w:rPr>
                <w:rFonts w:asciiTheme="minorHAnsi" w:hAnsiTheme="minorHAnsi" w:cstheme="minorHAnsi"/>
                <w:sz w:val="20"/>
              </w:rPr>
            </w:pPr>
            <w:r w:rsidRPr="004D4874">
              <w:rPr>
                <w:rFonts w:cs="Arial"/>
                <w:sz w:val="20"/>
              </w:rPr>
              <w:t xml:space="preserve">Use the 5 micrometre filter supplied, </w:t>
            </w:r>
            <w:r>
              <w:rPr>
                <w:rFonts w:cs="Arial"/>
                <w:sz w:val="20"/>
              </w:rPr>
              <w:t>draw up</w:t>
            </w:r>
            <w:r w:rsidRPr="004D4874">
              <w:rPr>
                <w:rFonts w:cs="Arial"/>
                <w:sz w:val="20"/>
              </w:rPr>
              <w:t xml:space="preserve"> 4 m</w:t>
            </w:r>
            <w:r>
              <w:rPr>
                <w:rFonts w:cs="Arial"/>
                <w:sz w:val="20"/>
              </w:rPr>
              <w:t>L</w:t>
            </w:r>
            <w:r w:rsidRPr="004D4874">
              <w:rPr>
                <w:rFonts w:cs="Arial"/>
                <w:sz w:val="20"/>
              </w:rPr>
              <w:t xml:space="preserve"> </w:t>
            </w:r>
            <w:r>
              <w:rPr>
                <w:rFonts w:cs="Arial"/>
                <w:sz w:val="20"/>
              </w:rPr>
              <w:t xml:space="preserve">(16 mg of amphotericin B liposomal) </w:t>
            </w:r>
            <w:r w:rsidRPr="004D4874">
              <w:rPr>
                <w:rFonts w:cs="Arial"/>
                <w:sz w:val="20"/>
              </w:rPr>
              <w:t xml:space="preserve">of the </w:t>
            </w:r>
            <w:r>
              <w:rPr>
                <w:rFonts w:cs="Arial"/>
                <w:sz w:val="20"/>
              </w:rPr>
              <w:t>above solution and add 12</w:t>
            </w:r>
            <w:r w:rsidRPr="004D4874">
              <w:rPr>
                <w:rFonts w:cs="Arial"/>
                <w:sz w:val="20"/>
              </w:rPr>
              <w:t xml:space="preserve"> m</w:t>
            </w:r>
            <w:r>
              <w:rPr>
                <w:rFonts w:cs="Arial"/>
                <w:sz w:val="20"/>
              </w:rPr>
              <w:t>L</w:t>
            </w:r>
            <w:r w:rsidRPr="004D4874">
              <w:rPr>
                <w:rFonts w:cs="Arial"/>
                <w:sz w:val="20"/>
              </w:rPr>
              <w:t xml:space="preserve"> </w:t>
            </w:r>
            <w:r>
              <w:rPr>
                <w:rFonts w:cs="Arial"/>
                <w:sz w:val="20"/>
              </w:rPr>
              <w:t>of</w:t>
            </w:r>
            <w:r w:rsidRPr="004D4874">
              <w:rPr>
                <w:rFonts w:cs="Arial"/>
                <w:sz w:val="20"/>
              </w:rPr>
              <w:t xml:space="preserve"> glucose 5% </w:t>
            </w:r>
            <w:r>
              <w:rPr>
                <w:rFonts w:cs="Arial"/>
                <w:sz w:val="20"/>
              </w:rPr>
              <w:t>to make a final volume of 16mL with a final concentration of 1mg/mL.</w:t>
            </w:r>
            <w:r w:rsidRPr="00E919A0">
              <w:rPr>
                <w:rFonts w:cs="Arial"/>
                <w:sz w:val="20"/>
                <w:vertAlign w:val="superscript"/>
              </w:rPr>
              <w:t>3,5</w:t>
            </w:r>
          </w:p>
        </w:tc>
      </w:tr>
      <w:tr w:rsidRPr="003B78EA" w:rsidR="00084BA2" w:rsidTr="00FE4186" w14:paraId="0B71A282" w14:textId="77777777">
        <w:trPr>
          <w:trHeight w:val="263"/>
        </w:trPr>
        <w:tc>
          <w:tcPr>
            <w:tcW w:w="980" w:type="pct"/>
          </w:tcPr>
          <w:p w:rsidRPr="003B78EA" w:rsidR="00084BA2" w:rsidP="00FE4186" w:rsidRDefault="00084BA2" w14:paraId="5ACB405D"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020" w:type="pct"/>
            <w:vAlign w:val="center"/>
          </w:tcPr>
          <w:p w:rsidRPr="00E919A0" w:rsidR="00084BA2" w:rsidP="00FE4186" w:rsidRDefault="00084BA2" w14:paraId="427105CE" w14:textId="77777777">
            <w:pPr>
              <w:pStyle w:val="BodyText"/>
              <w:rPr>
                <w:rFonts w:cs="Arial"/>
                <w:b/>
                <w:sz w:val="20"/>
              </w:rPr>
            </w:pPr>
            <w:r w:rsidRPr="00E919A0">
              <w:rPr>
                <w:rFonts w:cs="Arial"/>
                <w:b/>
                <w:sz w:val="20"/>
              </w:rPr>
              <w:t>IV line must be flushed with 5% glucose before and after the dose.</w:t>
            </w:r>
          </w:p>
          <w:p w:rsidR="00084BA2" w:rsidP="00FE4186" w:rsidRDefault="00084BA2" w14:paraId="04F87765" w14:textId="77777777">
            <w:pPr>
              <w:pStyle w:val="BodyText"/>
              <w:rPr>
                <w:rFonts w:cs="Arial"/>
                <w:sz w:val="20"/>
                <w:vertAlign w:val="superscript"/>
              </w:rPr>
            </w:pPr>
            <w:r w:rsidRPr="00E919A0">
              <w:rPr>
                <w:rFonts w:cs="Arial"/>
                <w:sz w:val="20"/>
              </w:rPr>
              <w:t>IV infusion over 60 minutes.</w:t>
            </w:r>
            <w:r w:rsidRPr="00E919A0">
              <w:rPr>
                <w:rFonts w:cs="Arial"/>
                <w:sz w:val="20"/>
                <w:vertAlign w:val="superscript"/>
              </w:rPr>
              <w:t xml:space="preserve">3 </w:t>
            </w:r>
          </w:p>
          <w:p w:rsidRPr="00E919A0" w:rsidR="00084BA2" w:rsidP="00FE4186" w:rsidRDefault="00084BA2" w14:paraId="4B092313" w14:textId="77777777">
            <w:pPr>
              <w:pStyle w:val="BodyText"/>
              <w:rPr>
                <w:rFonts w:cs="Arial"/>
                <w:sz w:val="20"/>
              </w:rPr>
            </w:pPr>
            <w:r>
              <w:rPr>
                <w:rFonts w:cs="Arial"/>
                <w:sz w:val="20"/>
              </w:rPr>
              <w:t>In-line</w:t>
            </w:r>
            <w:r w:rsidRPr="00E919A0">
              <w:rPr>
                <w:rFonts w:cs="Arial"/>
                <w:sz w:val="20"/>
              </w:rPr>
              <w:t xml:space="preserve"> filters must have a port diameter of </w:t>
            </w:r>
            <w:r w:rsidRPr="00AE77C0">
              <w:rPr>
                <w:rFonts w:cs="Arial"/>
                <w:b/>
                <w:sz w:val="20"/>
              </w:rPr>
              <w:t>at least</w:t>
            </w:r>
            <w:r w:rsidRPr="00E919A0">
              <w:rPr>
                <w:rFonts w:cs="Arial"/>
                <w:sz w:val="20"/>
              </w:rPr>
              <w:t xml:space="preserve"> 1 micromet</w:t>
            </w:r>
            <w:r>
              <w:rPr>
                <w:rFonts w:cs="Arial"/>
                <w:sz w:val="20"/>
              </w:rPr>
              <w:t>re</w:t>
            </w:r>
            <w:r w:rsidRPr="00E919A0">
              <w:rPr>
                <w:rFonts w:cs="Arial"/>
                <w:sz w:val="20"/>
              </w:rPr>
              <w:t>.</w:t>
            </w:r>
          </w:p>
          <w:p w:rsidRPr="003B78EA" w:rsidR="00084BA2" w:rsidP="00FE4186" w:rsidRDefault="00084BA2" w14:paraId="38937163" w14:textId="77777777">
            <w:pPr>
              <w:pStyle w:val="BodyText"/>
              <w:rPr>
                <w:rFonts w:asciiTheme="minorHAnsi" w:hAnsiTheme="minorHAnsi" w:cstheme="minorHAnsi"/>
                <w:sz w:val="20"/>
              </w:rPr>
            </w:pPr>
            <w:r w:rsidRPr="00E919A0">
              <w:rPr>
                <w:b/>
                <w:sz w:val="20"/>
              </w:rPr>
              <w:t>Do not mix with any medications.</w:t>
            </w:r>
          </w:p>
        </w:tc>
      </w:tr>
      <w:tr w:rsidRPr="003B78EA" w:rsidR="00084BA2" w:rsidTr="00FE4186" w14:paraId="6156747F" w14:textId="77777777">
        <w:trPr>
          <w:trHeight w:val="263"/>
        </w:trPr>
        <w:tc>
          <w:tcPr>
            <w:tcW w:w="980" w:type="pct"/>
          </w:tcPr>
          <w:p w:rsidRPr="003B78EA" w:rsidR="00084BA2" w:rsidP="00FE4186" w:rsidRDefault="00084BA2" w14:paraId="217409E7"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020" w:type="pct"/>
          </w:tcPr>
          <w:p w:rsidRPr="00E919A0" w:rsidR="00084BA2" w:rsidP="00FE4186" w:rsidRDefault="00084BA2" w14:paraId="7BACB0FD" w14:textId="77777777">
            <w:pPr>
              <w:pStyle w:val="BodyText"/>
              <w:rPr>
                <w:sz w:val="20"/>
              </w:rPr>
            </w:pPr>
            <w:r w:rsidRPr="00E919A0">
              <w:rPr>
                <w:sz w:val="20"/>
              </w:rPr>
              <w:t>Urine output.</w:t>
            </w:r>
          </w:p>
          <w:p w:rsidRPr="00E919A0" w:rsidR="00084BA2" w:rsidP="00FE4186" w:rsidRDefault="00084BA2" w14:paraId="2B0EE474" w14:textId="77777777">
            <w:pPr>
              <w:pStyle w:val="BodyText"/>
              <w:rPr>
                <w:sz w:val="20"/>
              </w:rPr>
            </w:pPr>
            <w:r w:rsidRPr="00E919A0">
              <w:rPr>
                <w:sz w:val="20"/>
              </w:rPr>
              <w:t>Full blood count for anaemia and thrombocytopenia</w:t>
            </w:r>
          </w:p>
          <w:p w:rsidR="00084BA2" w:rsidP="00FE4186" w:rsidRDefault="00084BA2" w14:paraId="755F0A6F" w14:textId="77777777">
            <w:pPr>
              <w:pStyle w:val="BodyText"/>
              <w:rPr>
                <w:sz w:val="20"/>
              </w:rPr>
            </w:pPr>
            <w:r w:rsidRPr="00E919A0">
              <w:rPr>
                <w:sz w:val="20"/>
              </w:rPr>
              <w:t>Renal function electrolytes for hypokal</w:t>
            </w:r>
            <w:r>
              <w:rPr>
                <w:sz w:val="20"/>
              </w:rPr>
              <w:t>ae</w:t>
            </w:r>
            <w:r w:rsidRPr="00E919A0">
              <w:rPr>
                <w:sz w:val="20"/>
              </w:rPr>
              <w:t xml:space="preserve">mia </w:t>
            </w:r>
          </w:p>
          <w:p w:rsidRPr="00E919A0" w:rsidR="00084BA2" w:rsidP="00FE4186" w:rsidRDefault="00084BA2" w14:paraId="5A202B6D" w14:textId="77777777">
            <w:pPr>
              <w:pStyle w:val="BodyText"/>
              <w:rPr>
                <w:sz w:val="20"/>
              </w:rPr>
            </w:pPr>
            <w:r>
              <w:rPr>
                <w:sz w:val="20"/>
              </w:rPr>
              <w:t>L</w:t>
            </w:r>
            <w:r w:rsidRPr="00E919A0">
              <w:rPr>
                <w:sz w:val="20"/>
              </w:rPr>
              <w:t>iver function.</w:t>
            </w:r>
          </w:p>
          <w:p w:rsidRPr="007F4B77" w:rsidR="00084BA2" w:rsidP="00FE4186" w:rsidRDefault="00084BA2" w14:paraId="1F2ECC0B" w14:textId="77777777">
            <w:pPr>
              <w:pStyle w:val="BodyText"/>
              <w:rPr>
                <w:rFonts w:asciiTheme="minorHAnsi" w:hAnsiTheme="minorHAnsi" w:cstheme="minorHAnsi"/>
                <w:sz w:val="20"/>
              </w:rPr>
            </w:pPr>
            <w:r>
              <w:rPr>
                <w:rFonts w:cs="Arial"/>
                <w:sz w:val="20"/>
              </w:rPr>
              <w:t>S</w:t>
            </w:r>
            <w:r w:rsidRPr="00E919A0">
              <w:rPr>
                <w:rFonts w:cs="Arial"/>
                <w:sz w:val="20"/>
              </w:rPr>
              <w:t xml:space="preserve">erum </w:t>
            </w:r>
            <w:r>
              <w:rPr>
                <w:rFonts w:cs="Arial"/>
                <w:sz w:val="20"/>
              </w:rPr>
              <w:t>concentrations</w:t>
            </w:r>
            <w:r w:rsidRPr="00E919A0">
              <w:rPr>
                <w:rFonts w:cs="Arial"/>
                <w:sz w:val="20"/>
              </w:rPr>
              <w:t xml:space="preserve"> of concomitant nephrotoxic drugs.</w:t>
            </w:r>
          </w:p>
        </w:tc>
      </w:tr>
      <w:tr w:rsidRPr="003B78EA" w:rsidR="00084BA2" w:rsidTr="00FE4186" w14:paraId="1C7EFC54" w14:textId="77777777">
        <w:trPr>
          <w:trHeight w:val="263"/>
        </w:trPr>
        <w:tc>
          <w:tcPr>
            <w:tcW w:w="980" w:type="pct"/>
          </w:tcPr>
          <w:p w:rsidRPr="003B78EA" w:rsidR="00084BA2" w:rsidP="00FE4186" w:rsidRDefault="00084BA2" w14:paraId="4CC0164F"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020" w:type="pct"/>
          </w:tcPr>
          <w:p w:rsidRPr="003B78EA" w:rsidR="00084BA2" w:rsidP="00FE4186" w:rsidRDefault="00084BA2" w14:paraId="0024BD4E" w14:textId="77777777">
            <w:pPr>
              <w:pStyle w:val="BodyText"/>
              <w:rPr>
                <w:rFonts w:asciiTheme="minorHAnsi" w:hAnsiTheme="minorHAnsi" w:cstheme="minorHAnsi"/>
                <w:sz w:val="20"/>
              </w:rPr>
            </w:pPr>
            <w:r w:rsidRPr="00E919A0">
              <w:rPr>
                <w:sz w:val="20"/>
              </w:rPr>
              <w:t>Known hypersensitivity to amphotericin B.</w:t>
            </w:r>
          </w:p>
        </w:tc>
      </w:tr>
      <w:tr w:rsidRPr="003B78EA" w:rsidR="00084BA2" w:rsidTr="00FE4186" w14:paraId="22ADF63A" w14:textId="77777777">
        <w:trPr>
          <w:trHeight w:val="263"/>
        </w:trPr>
        <w:tc>
          <w:tcPr>
            <w:tcW w:w="980" w:type="pct"/>
          </w:tcPr>
          <w:p w:rsidRPr="003B78EA" w:rsidR="00084BA2" w:rsidP="00FE4186" w:rsidRDefault="00084BA2" w14:paraId="4EA2F5B0"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020" w:type="pct"/>
          </w:tcPr>
          <w:p w:rsidRPr="003B78EA" w:rsidR="00084BA2" w:rsidP="00FE4186" w:rsidRDefault="00084BA2" w14:paraId="5CB83AA0" w14:textId="77777777">
            <w:pPr>
              <w:pStyle w:val="BodyText"/>
              <w:rPr>
                <w:rFonts w:asciiTheme="minorHAnsi" w:hAnsiTheme="minorHAnsi" w:cstheme="minorHAnsi"/>
                <w:sz w:val="20"/>
              </w:rPr>
            </w:pPr>
            <w:r w:rsidRPr="00E919A0">
              <w:rPr>
                <w:sz w:val="20"/>
              </w:rPr>
              <w:t>Administer under close clinical supervision during the initial dosing. Anaphylaxis and respiratory distress have been reported in adults (though not in neonates).</w:t>
            </w:r>
          </w:p>
        </w:tc>
      </w:tr>
      <w:tr w:rsidRPr="003B78EA" w:rsidR="00084BA2" w:rsidTr="00FE4186" w14:paraId="10CBF560" w14:textId="77777777">
        <w:trPr>
          <w:trHeight w:val="263"/>
        </w:trPr>
        <w:tc>
          <w:tcPr>
            <w:tcW w:w="980" w:type="pct"/>
          </w:tcPr>
          <w:p w:rsidRPr="003B78EA" w:rsidR="00084BA2" w:rsidP="00FE4186" w:rsidRDefault="00084BA2" w14:paraId="06CBCA58"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020" w:type="pct"/>
          </w:tcPr>
          <w:p w:rsidRPr="00E919A0" w:rsidR="00084BA2" w:rsidP="00FE4186" w:rsidRDefault="00084BA2" w14:paraId="531E3915" w14:textId="77777777">
            <w:pPr>
              <w:pStyle w:val="BodyText"/>
              <w:rPr>
                <w:sz w:val="20"/>
              </w:rPr>
            </w:pPr>
            <w:r w:rsidRPr="00E919A0">
              <w:rPr>
                <w:sz w:val="20"/>
              </w:rPr>
              <w:t xml:space="preserve">Increased risk of nephrotoxicity if used concurrently with other nephrotoxic drugs (even though the liposomal preparation is safer than </w:t>
            </w:r>
            <w:r w:rsidRPr="00E919A0">
              <w:rPr>
                <w:b/>
                <w:sz w:val="20"/>
              </w:rPr>
              <w:t>conventional</w:t>
            </w:r>
            <w:r w:rsidRPr="00E919A0">
              <w:rPr>
                <w:sz w:val="20"/>
              </w:rPr>
              <w:t xml:space="preserve"> amphotericin B in this regard) e.g. aminoglycosides, vancomycin. Monitor renal function and relevant drug </w:t>
            </w:r>
            <w:r>
              <w:rPr>
                <w:sz w:val="20"/>
              </w:rPr>
              <w:t>concentrations</w:t>
            </w:r>
            <w:r w:rsidRPr="00E919A0">
              <w:rPr>
                <w:sz w:val="20"/>
              </w:rPr>
              <w:t xml:space="preserve"> closely.</w:t>
            </w:r>
          </w:p>
          <w:p w:rsidRPr="00E919A0" w:rsidR="00084BA2" w:rsidP="00FE4186" w:rsidRDefault="00084BA2" w14:paraId="4980AD6D" w14:textId="77777777">
            <w:pPr>
              <w:pStyle w:val="BodyText"/>
              <w:rPr>
                <w:sz w:val="20"/>
              </w:rPr>
            </w:pPr>
            <w:r w:rsidRPr="00E919A0">
              <w:rPr>
                <w:sz w:val="20"/>
              </w:rPr>
              <w:lastRenderedPageBreak/>
              <w:t>Adequate clinical studies of the use of the combination of flucytosine with AmBisome have not been conducted. Whilst synergy between flucytosine and amphotericin has been reported, amphotericin B may enhance the toxicity of flucytosine by increasing its cellular uptake and impeding its renal excretion.</w:t>
            </w:r>
            <w:r w:rsidRPr="00E919A0">
              <w:rPr>
                <w:sz w:val="20"/>
                <w:vertAlign w:val="superscript"/>
              </w:rPr>
              <w:t>3</w:t>
            </w:r>
          </w:p>
          <w:p w:rsidRPr="003B78EA" w:rsidR="00084BA2" w:rsidP="00FE4186" w:rsidRDefault="00084BA2" w14:paraId="6889FD6C" w14:textId="77777777">
            <w:pPr>
              <w:pStyle w:val="BodyText"/>
              <w:rPr>
                <w:rFonts w:asciiTheme="minorHAnsi" w:hAnsiTheme="minorHAnsi" w:cstheme="minorHAnsi"/>
                <w:sz w:val="20"/>
              </w:rPr>
            </w:pPr>
            <w:r w:rsidRPr="00E919A0">
              <w:rPr>
                <w:sz w:val="20"/>
              </w:rPr>
              <w:t xml:space="preserve">Corticosteroids and diuretics: </w:t>
            </w:r>
            <w:r>
              <w:rPr>
                <w:sz w:val="20"/>
              </w:rPr>
              <w:t>M</w:t>
            </w:r>
            <w:r w:rsidRPr="00E919A0">
              <w:rPr>
                <w:sz w:val="20"/>
              </w:rPr>
              <w:t>ay enhance the hypokal</w:t>
            </w:r>
            <w:r>
              <w:rPr>
                <w:sz w:val="20"/>
              </w:rPr>
              <w:t>ae</w:t>
            </w:r>
            <w:r w:rsidRPr="00E919A0">
              <w:rPr>
                <w:sz w:val="20"/>
              </w:rPr>
              <w:t xml:space="preserve">mic effect of amphotericin B. </w:t>
            </w:r>
          </w:p>
        </w:tc>
      </w:tr>
      <w:tr w:rsidRPr="003B78EA" w:rsidR="00084BA2" w:rsidTr="00FE4186" w14:paraId="35D5373B" w14:textId="77777777">
        <w:trPr>
          <w:trHeight w:val="263"/>
        </w:trPr>
        <w:tc>
          <w:tcPr>
            <w:tcW w:w="980" w:type="pct"/>
          </w:tcPr>
          <w:p w:rsidRPr="003B78EA" w:rsidR="00084BA2" w:rsidP="00FE4186" w:rsidRDefault="00084BA2" w14:paraId="7B910EE1"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 xml:space="preserve">Adverse reactions </w:t>
            </w:r>
          </w:p>
        </w:tc>
        <w:tc>
          <w:tcPr>
            <w:tcW w:w="4020" w:type="pct"/>
          </w:tcPr>
          <w:p w:rsidRPr="00E919A0" w:rsidR="00084BA2" w:rsidP="00FE4186" w:rsidRDefault="00084BA2" w14:paraId="06F4D7FC" w14:textId="77777777">
            <w:pPr>
              <w:pStyle w:val="BodyText"/>
              <w:rPr>
                <w:rFonts w:cs="Arial"/>
                <w:sz w:val="20"/>
              </w:rPr>
            </w:pPr>
            <w:r w:rsidRPr="00E919A0">
              <w:rPr>
                <w:rFonts w:cs="Arial"/>
                <w:sz w:val="20"/>
              </w:rPr>
              <w:t xml:space="preserve">Electrolyte derangements: </w:t>
            </w:r>
            <w:r>
              <w:rPr>
                <w:rFonts w:cs="Arial"/>
                <w:sz w:val="20"/>
              </w:rPr>
              <w:t>H</w:t>
            </w:r>
            <w:r w:rsidRPr="00E919A0">
              <w:rPr>
                <w:rFonts w:cs="Arial"/>
                <w:sz w:val="20"/>
              </w:rPr>
              <w:t>ypokal</w:t>
            </w:r>
            <w:r>
              <w:rPr>
                <w:rFonts w:cs="Arial"/>
                <w:sz w:val="20"/>
              </w:rPr>
              <w:t>a</w:t>
            </w:r>
            <w:r w:rsidRPr="00E919A0">
              <w:rPr>
                <w:rFonts w:cs="Arial"/>
                <w:sz w:val="20"/>
              </w:rPr>
              <w:t>emia, hypomagnes</w:t>
            </w:r>
            <w:r>
              <w:rPr>
                <w:rFonts w:cs="Arial"/>
                <w:sz w:val="20"/>
              </w:rPr>
              <w:t>ae</w:t>
            </w:r>
            <w:r w:rsidRPr="00E919A0">
              <w:rPr>
                <w:rFonts w:cs="Arial"/>
                <w:sz w:val="20"/>
              </w:rPr>
              <w:t>mia, hyperkal</w:t>
            </w:r>
            <w:r>
              <w:rPr>
                <w:rFonts w:cs="Arial"/>
                <w:sz w:val="20"/>
              </w:rPr>
              <w:t>ae</w:t>
            </w:r>
            <w:r w:rsidRPr="00E919A0">
              <w:rPr>
                <w:rFonts w:cs="Arial"/>
                <w:sz w:val="20"/>
              </w:rPr>
              <w:t>mia, hypocalcaemia.</w:t>
            </w:r>
          </w:p>
          <w:p w:rsidRPr="00E919A0" w:rsidR="00084BA2" w:rsidP="00FE4186" w:rsidRDefault="00084BA2" w14:paraId="7A0E96F7" w14:textId="77777777">
            <w:pPr>
              <w:pStyle w:val="BodyText"/>
              <w:rPr>
                <w:rFonts w:cs="Arial"/>
                <w:sz w:val="20"/>
              </w:rPr>
            </w:pPr>
            <w:r w:rsidRPr="00E919A0">
              <w:rPr>
                <w:rFonts w:cs="Arial"/>
                <w:sz w:val="20"/>
              </w:rPr>
              <w:t xml:space="preserve">Renal: </w:t>
            </w:r>
            <w:r>
              <w:rPr>
                <w:rFonts w:cs="Arial"/>
                <w:sz w:val="20"/>
              </w:rPr>
              <w:t>E</w:t>
            </w:r>
            <w:r w:rsidRPr="00E919A0">
              <w:rPr>
                <w:rFonts w:cs="Arial"/>
                <w:sz w:val="20"/>
              </w:rPr>
              <w:t>levated urea and creatinine, nephrogenic diabetes insipidus.</w:t>
            </w:r>
          </w:p>
          <w:p w:rsidRPr="00E919A0" w:rsidR="00084BA2" w:rsidP="00FE4186" w:rsidRDefault="00084BA2" w14:paraId="1CC27952" w14:textId="77777777">
            <w:pPr>
              <w:pStyle w:val="BodyText"/>
              <w:rPr>
                <w:rFonts w:cs="Arial"/>
                <w:sz w:val="20"/>
              </w:rPr>
            </w:pPr>
            <w:r w:rsidRPr="00E919A0">
              <w:rPr>
                <w:rFonts w:cs="Arial"/>
                <w:sz w:val="20"/>
              </w:rPr>
              <w:t xml:space="preserve">Haematological: </w:t>
            </w:r>
            <w:r>
              <w:rPr>
                <w:rFonts w:cs="Arial"/>
                <w:sz w:val="20"/>
              </w:rPr>
              <w:t>A</w:t>
            </w:r>
            <w:r w:rsidRPr="00E919A0">
              <w:rPr>
                <w:rFonts w:cs="Arial"/>
                <w:sz w:val="20"/>
              </w:rPr>
              <w:t xml:space="preserve">naemia, </w:t>
            </w:r>
            <w:r w:rsidRPr="00E919A0">
              <w:rPr>
                <w:rFonts w:cs="Arial"/>
                <w:b/>
                <w:sz w:val="20"/>
              </w:rPr>
              <w:t>leucopenia</w:t>
            </w:r>
            <w:r w:rsidRPr="00E919A0">
              <w:rPr>
                <w:rFonts w:cs="Arial"/>
                <w:sz w:val="20"/>
              </w:rPr>
              <w:t>, thrombocytopenia.</w:t>
            </w:r>
          </w:p>
          <w:p w:rsidRPr="00E919A0" w:rsidR="00084BA2" w:rsidP="00FE4186" w:rsidRDefault="00084BA2" w14:paraId="6BB4EE5E" w14:textId="77777777">
            <w:pPr>
              <w:rPr>
                <w:rFonts w:cs="Arial"/>
                <w:sz w:val="20"/>
              </w:rPr>
            </w:pPr>
            <w:r w:rsidRPr="00E919A0">
              <w:rPr>
                <w:rFonts w:cs="Arial"/>
                <w:sz w:val="20"/>
              </w:rPr>
              <w:t>Thrombophlebitis at the injection site.</w:t>
            </w:r>
          </w:p>
          <w:p w:rsidRPr="00E919A0" w:rsidR="00084BA2" w:rsidP="00FE4186" w:rsidRDefault="00084BA2" w14:paraId="1729731A" w14:textId="77777777">
            <w:pPr>
              <w:rPr>
                <w:rFonts w:cs="Arial"/>
                <w:sz w:val="20"/>
              </w:rPr>
            </w:pPr>
            <w:r w:rsidRPr="00E919A0">
              <w:rPr>
                <w:rFonts w:cs="Arial"/>
                <w:sz w:val="20"/>
              </w:rPr>
              <w:t xml:space="preserve">Gastrointestinal: </w:t>
            </w:r>
            <w:r>
              <w:rPr>
                <w:rFonts w:cs="Arial"/>
                <w:sz w:val="20"/>
              </w:rPr>
              <w:t>D</w:t>
            </w:r>
            <w:r w:rsidRPr="00E919A0">
              <w:rPr>
                <w:rFonts w:cs="Arial"/>
                <w:sz w:val="20"/>
              </w:rPr>
              <w:t>iarrhoea, vomiting, elevated liver enzymes.</w:t>
            </w:r>
          </w:p>
          <w:p w:rsidRPr="00E919A0" w:rsidR="00084BA2" w:rsidP="00FE4186" w:rsidRDefault="00084BA2" w14:paraId="2C31761A" w14:textId="77777777">
            <w:pPr>
              <w:rPr>
                <w:rFonts w:cs="Arial"/>
                <w:sz w:val="20"/>
              </w:rPr>
            </w:pPr>
            <w:r w:rsidRPr="00E919A0">
              <w:rPr>
                <w:rFonts w:cs="Arial"/>
                <w:sz w:val="20"/>
              </w:rPr>
              <w:t>Infusion</w:t>
            </w:r>
            <w:r>
              <w:rPr>
                <w:rFonts w:cs="Arial"/>
                <w:sz w:val="20"/>
              </w:rPr>
              <w:t>-</w:t>
            </w:r>
            <w:r w:rsidRPr="00E919A0">
              <w:rPr>
                <w:rFonts w:cs="Arial"/>
                <w:sz w:val="20"/>
              </w:rPr>
              <w:t xml:space="preserve">related reactions: </w:t>
            </w:r>
            <w:r>
              <w:rPr>
                <w:rFonts w:cs="Arial"/>
                <w:sz w:val="20"/>
              </w:rPr>
              <w:t>F</w:t>
            </w:r>
            <w:r w:rsidRPr="00E919A0">
              <w:rPr>
                <w:rFonts w:cs="Arial"/>
                <w:sz w:val="20"/>
              </w:rPr>
              <w:t>ever, hypotension (rare in neonates).</w:t>
            </w:r>
          </w:p>
          <w:p w:rsidRPr="00E919A0" w:rsidR="00084BA2" w:rsidP="00FE4186" w:rsidRDefault="00084BA2" w14:paraId="008C8C21" w14:textId="77777777">
            <w:pPr>
              <w:pStyle w:val="BodyText"/>
              <w:rPr>
                <w:rFonts w:cs="Arial"/>
                <w:sz w:val="20"/>
              </w:rPr>
            </w:pPr>
            <w:r w:rsidRPr="00E919A0">
              <w:rPr>
                <w:rFonts w:cs="Arial"/>
                <w:sz w:val="20"/>
              </w:rPr>
              <w:t>Skin rashes.</w:t>
            </w:r>
          </w:p>
          <w:p w:rsidRPr="003B78EA" w:rsidR="00084BA2" w:rsidP="00FE4186" w:rsidRDefault="00084BA2" w14:paraId="2AE888CF" w14:textId="77777777">
            <w:pPr>
              <w:pStyle w:val="BodyText"/>
              <w:rPr>
                <w:rFonts w:asciiTheme="minorHAnsi" w:hAnsiTheme="minorHAnsi" w:cstheme="minorHAnsi"/>
                <w:sz w:val="20"/>
              </w:rPr>
            </w:pPr>
            <w:r w:rsidRPr="00E919A0">
              <w:rPr>
                <w:rFonts w:cs="Arial"/>
                <w:sz w:val="20"/>
              </w:rPr>
              <w:t>Tachyarrhythmias, hypotension, hypertension and respiratory distress have been reported in adults.</w:t>
            </w:r>
          </w:p>
        </w:tc>
      </w:tr>
      <w:tr w:rsidRPr="003B78EA" w:rsidR="00084BA2" w:rsidTr="00FE4186" w14:paraId="3594373F" w14:textId="77777777">
        <w:trPr>
          <w:trHeight w:val="263"/>
        </w:trPr>
        <w:tc>
          <w:tcPr>
            <w:tcW w:w="980" w:type="pct"/>
          </w:tcPr>
          <w:p w:rsidRPr="003B78EA" w:rsidR="00084BA2" w:rsidP="00FE4186" w:rsidRDefault="00084BA2" w14:paraId="4FB4A318"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020" w:type="pct"/>
          </w:tcPr>
          <w:p w:rsidRPr="00E919A0" w:rsidR="00084BA2" w:rsidP="00FE4186" w:rsidRDefault="00084BA2" w14:paraId="5FE1AAFB" w14:textId="77777777">
            <w:pPr>
              <w:pStyle w:val="BodyText"/>
              <w:rPr>
                <w:sz w:val="20"/>
              </w:rPr>
            </w:pPr>
            <w:r w:rsidRPr="00E919A0">
              <w:rPr>
                <w:sz w:val="20"/>
              </w:rPr>
              <w:t xml:space="preserve">Fluids: </w:t>
            </w:r>
            <w:r>
              <w:rPr>
                <w:sz w:val="20"/>
              </w:rPr>
              <w:t>G</w:t>
            </w:r>
            <w:r w:rsidRPr="00E919A0">
              <w:rPr>
                <w:sz w:val="20"/>
              </w:rPr>
              <w:t>lucose 5%.</w:t>
            </w:r>
          </w:p>
          <w:p w:rsidRPr="00E919A0" w:rsidR="00084BA2" w:rsidP="00FE4186" w:rsidRDefault="00084BA2" w14:paraId="6F694229" w14:textId="77777777">
            <w:pPr>
              <w:pStyle w:val="BodyText"/>
              <w:rPr>
                <w:sz w:val="20"/>
              </w:rPr>
            </w:pPr>
          </w:p>
          <w:p w:rsidRPr="003B78EA" w:rsidR="00084BA2" w:rsidP="00FE4186" w:rsidRDefault="00084BA2" w14:paraId="341C1D13" w14:textId="77777777">
            <w:pPr>
              <w:pStyle w:val="BodyText"/>
              <w:rPr>
                <w:rFonts w:asciiTheme="minorHAnsi" w:hAnsiTheme="minorHAnsi" w:cstheme="minorHAnsi"/>
                <w:sz w:val="20"/>
              </w:rPr>
            </w:pPr>
            <w:r w:rsidRPr="00E919A0">
              <w:rPr>
                <w:sz w:val="20"/>
              </w:rPr>
              <w:t>Y site: Zidovudine.</w:t>
            </w:r>
          </w:p>
        </w:tc>
      </w:tr>
      <w:tr w:rsidRPr="003B78EA" w:rsidR="00084BA2" w:rsidTr="00FE4186" w14:paraId="34A31D85" w14:textId="77777777">
        <w:trPr>
          <w:trHeight w:val="263"/>
        </w:trPr>
        <w:tc>
          <w:tcPr>
            <w:tcW w:w="980" w:type="pct"/>
          </w:tcPr>
          <w:p w:rsidRPr="003B78EA" w:rsidR="00084BA2" w:rsidP="00FE4186" w:rsidRDefault="00084BA2" w14:paraId="12184175"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020" w:type="pct"/>
          </w:tcPr>
          <w:p w:rsidRPr="00E919A0" w:rsidR="00084BA2" w:rsidP="00FE4186" w:rsidRDefault="00084BA2" w14:paraId="4793E99D" w14:textId="77777777">
            <w:pPr>
              <w:pStyle w:val="BodyText"/>
              <w:rPr>
                <w:sz w:val="20"/>
              </w:rPr>
            </w:pPr>
            <w:r w:rsidRPr="00E919A0">
              <w:rPr>
                <w:b/>
                <w:sz w:val="20"/>
              </w:rPr>
              <w:t xml:space="preserve">Fluids: </w:t>
            </w:r>
            <w:r>
              <w:rPr>
                <w:sz w:val="20"/>
              </w:rPr>
              <w:t>S</w:t>
            </w:r>
            <w:r w:rsidRPr="00E919A0">
              <w:rPr>
                <w:sz w:val="20"/>
              </w:rPr>
              <w:t>odium chloride 0.9%, Amino acid/</w:t>
            </w:r>
            <w:r>
              <w:rPr>
                <w:sz w:val="20"/>
              </w:rPr>
              <w:t>glucose</w:t>
            </w:r>
            <w:r w:rsidRPr="00E919A0">
              <w:rPr>
                <w:sz w:val="20"/>
              </w:rPr>
              <w:t xml:space="preserve"> solution, </w:t>
            </w:r>
            <w:r>
              <w:rPr>
                <w:sz w:val="20"/>
              </w:rPr>
              <w:t>lipid</w:t>
            </w:r>
            <w:r w:rsidRPr="00E919A0">
              <w:rPr>
                <w:sz w:val="20"/>
              </w:rPr>
              <w:t xml:space="preserve"> emulsion.</w:t>
            </w:r>
          </w:p>
          <w:p w:rsidRPr="00E919A0" w:rsidR="00084BA2" w:rsidP="00FE4186" w:rsidRDefault="00084BA2" w14:paraId="10760A26" w14:textId="77777777">
            <w:pPr>
              <w:pStyle w:val="BodyText"/>
              <w:rPr>
                <w:b/>
                <w:sz w:val="20"/>
              </w:rPr>
            </w:pPr>
          </w:p>
          <w:p w:rsidRPr="003B78EA" w:rsidR="00084BA2" w:rsidP="00FE4186" w:rsidRDefault="00084BA2" w14:paraId="1B700CAE" w14:textId="77777777">
            <w:pPr>
              <w:pStyle w:val="BodyText"/>
              <w:rPr>
                <w:rFonts w:asciiTheme="minorHAnsi" w:hAnsiTheme="minorHAnsi" w:cstheme="minorHAnsi"/>
                <w:sz w:val="20"/>
              </w:rPr>
            </w:pPr>
            <w:r w:rsidRPr="00E919A0">
              <w:rPr>
                <w:b/>
                <w:sz w:val="20"/>
              </w:rPr>
              <w:t xml:space="preserve">Y Site: </w:t>
            </w:r>
            <w:r w:rsidRPr="00E919A0">
              <w:rPr>
                <w:sz w:val="20"/>
              </w:rPr>
              <w:t>Not compatible with any medications commonly used in newborns.</w:t>
            </w:r>
            <w:r w:rsidRPr="00E919A0">
              <w:rPr>
                <w:b/>
                <w:sz w:val="20"/>
              </w:rPr>
              <w:t xml:space="preserve"> </w:t>
            </w:r>
            <w:r w:rsidRPr="002F1F30">
              <w:rPr>
                <w:b/>
                <w:sz w:val="20"/>
              </w:rPr>
              <w:t>Do not mix with any medications.</w:t>
            </w:r>
          </w:p>
        </w:tc>
      </w:tr>
      <w:tr w:rsidRPr="003B78EA" w:rsidR="00084BA2" w:rsidTr="00FE4186" w14:paraId="43F4CB0C" w14:textId="77777777">
        <w:trPr>
          <w:trHeight w:val="263"/>
        </w:trPr>
        <w:tc>
          <w:tcPr>
            <w:tcW w:w="980" w:type="pct"/>
          </w:tcPr>
          <w:p w:rsidRPr="003B78EA" w:rsidR="00084BA2" w:rsidP="00FE4186" w:rsidRDefault="00084BA2" w14:paraId="70B03488"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020" w:type="pct"/>
          </w:tcPr>
          <w:p w:rsidRPr="003B78EA" w:rsidR="00084BA2" w:rsidP="00FE4186" w:rsidRDefault="00084BA2" w14:paraId="32DC2E9B" w14:textId="77777777">
            <w:pPr>
              <w:pStyle w:val="BodyText"/>
              <w:rPr>
                <w:rFonts w:asciiTheme="minorHAnsi" w:hAnsiTheme="minorHAnsi" w:cstheme="minorHAnsi"/>
                <w:sz w:val="20"/>
              </w:rPr>
            </w:pPr>
            <w:r w:rsidRPr="00E919A0">
              <w:rPr>
                <w:sz w:val="20"/>
              </w:rPr>
              <w:t>Reconstituted and diluted solution</w:t>
            </w:r>
            <w:r>
              <w:rPr>
                <w:sz w:val="20"/>
              </w:rPr>
              <w:t xml:space="preserve"> s</w:t>
            </w:r>
            <w:r w:rsidRPr="00E919A0">
              <w:rPr>
                <w:sz w:val="20"/>
              </w:rPr>
              <w:t>table for up to 24 hours at 2</w:t>
            </w:r>
            <w:r>
              <w:rPr>
                <w:sz w:val="20"/>
              </w:rPr>
              <w:t>–</w:t>
            </w:r>
            <w:r w:rsidRPr="00E919A0">
              <w:rPr>
                <w:sz w:val="20"/>
              </w:rPr>
              <w:t xml:space="preserve">8 </w:t>
            </w:r>
            <w:r>
              <w:rPr>
                <w:rFonts w:cs="Calibri"/>
                <w:sz w:val="20"/>
              </w:rPr>
              <w:t>°</w:t>
            </w:r>
            <w:r w:rsidRPr="00E919A0">
              <w:rPr>
                <w:rFonts w:cs="Arial"/>
                <w:sz w:val="20"/>
              </w:rPr>
              <w:t>C</w:t>
            </w:r>
            <w:r w:rsidRPr="00E919A0">
              <w:rPr>
                <w:sz w:val="20"/>
              </w:rPr>
              <w:t xml:space="preserve">. </w:t>
            </w:r>
          </w:p>
        </w:tc>
      </w:tr>
      <w:tr w:rsidRPr="003B78EA" w:rsidR="00084BA2" w:rsidTr="00FE4186" w14:paraId="4FCCBA26" w14:textId="77777777">
        <w:trPr>
          <w:trHeight w:val="263"/>
        </w:trPr>
        <w:tc>
          <w:tcPr>
            <w:tcW w:w="980" w:type="pct"/>
          </w:tcPr>
          <w:p w:rsidRPr="003B78EA" w:rsidR="00084BA2" w:rsidP="00FE4186" w:rsidRDefault="00084BA2" w14:paraId="211E63ED"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020" w:type="pct"/>
          </w:tcPr>
          <w:p w:rsidRPr="00E919A0" w:rsidR="00084BA2" w:rsidP="00FE4186" w:rsidRDefault="00084BA2" w14:paraId="25EC4966" w14:textId="77777777">
            <w:pPr>
              <w:pStyle w:val="BodyText"/>
              <w:rPr>
                <w:sz w:val="20"/>
              </w:rPr>
            </w:pPr>
            <w:r w:rsidRPr="00E919A0">
              <w:rPr>
                <w:sz w:val="20"/>
              </w:rPr>
              <w:t xml:space="preserve">Vial: Store below 25 </w:t>
            </w:r>
            <w:r>
              <w:rPr>
                <w:rFonts w:cs="Calibri"/>
                <w:sz w:val="20"/>
              </w:rPr>
              <w:t>°</w:t>
            </w:r>
            <w:r w:rsidRPr="00E919A0">
              <w:rPr>
                <w:rFonts w:cs="Arial"/>
                <w:sz w:val="20"/>
              </w:rPr>
              <w:t>C</w:t>
            </w:r>
            <w:r w:rsidRPr="00E919A0">
              <w:rPr>
                <w:sz w:val="20"/>
              </w:rPr>
              <w:t>. Do not freeze.</w:t>
            </w:r>
          </w:p>
          <w:p w:rsidRPr="003B78EA" w:rsidR="00084BA2" w:rsidP="00FE4186" w:rsidRDefault="00084BA2" w14:paraId="74C8A0C6" w14:textId="77777777">
            <w:pPr>
              <w:pStyle w:val="BodyText"/>
              <w:rPr>
                <w:rFonts w:asciiTheme="minorHAnsi" w:hAnsiTheme="minorHAnsi" w:cstheme="minorHAnsi"/>
                <w:sz w:val="20"/>
              </w:rPr>
            </w:pPr>
            <w:r w:rsidRPr="00E919A0">
              <w:rPr>
                <w:rFonts w:cs="Arial"/>
                <w:sz w:val="20"/>
              </w:rPr>
              <w:t>Reconstituted solution: Stable for 24 hours at 2</w:t>
            </w:r>
            <w:r>
              <w:rPr>
                <w:rFonts w:cs="Arial"/>
                <w:sz w:val="20"/>
              </w:rPr>
              <w:t>–</w:t>
            </w:r>
            <w:r w:rsidRPr="00E919A0">
              <w:rPr>
                <w:rFonts w:cs="Arial"/>
                <w:sz w:val="20"/>
              </w:rPr>
              <w:t>8</w:t>
            </w:r>
            <w:r>
              <w:rPr>
                <w:rFonts w:cs="Calibri"/>
                <w:sz w:val="20"/>
              </w:rPr>
              <w:t>°</w:t>
            </w:r>
            <w:r w:rsidRPr="00E919A0">
              <w:rPr>
                <w:rFonts w:cs="Arial"/>
                <w:sz w:val="20"/>
              </w:rPr>
              <w:t>C. Discard unused portion after 24 hours. Do not use the reconstituted solution or infusion if cloudy or a precipitate is present. Protect from light.</w:t>
            </w:r>
          </w:p>
        </w:tc>
      </w:tr>
      <w:tr w:rsidRPr="003B78EA" w:rsidR="00084BA2" w:rsidTr="00FE4186" w14:paraId="136901A5" w14:textId="77777777">
        <w:trPr>
          <w:trHeight w:val="263"/>
        </w:trPr>
        <w:tc>
          <w:tcPr>
            <w:tcW w:w="980" w:type="pct"/>
          </w:tcPr>
          <w:p w:rsidRPr="003B78EA" w:rsidR="00084BA2" w:rsidP="00FE4186" w:rsidRDefault="00084BA2" w14:paraId="7C0E2522"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020" w:type="pct"/>
          </w:tcPr>
          <w:p w:rsidRPr="003B78EA" w:rsidR="00084BA2" w:rsidP="00FE4186" w:rsidRDefault="00084BA2" w14:paraId="45B387AE" w14:textId="77777777">
            <w:pPr>
              <w:pStyle w:val="BodyText"/>
              <w:rPr>
                <w:rFonts w:asciiTheme="minorHAnsi" w:hAnsiTheme="minorHAnsi" w:cstheme="minorHAnsi"/>
                <w:sz w:val="20"/>
              </w:rPr>
            </w:pPr>
            <w:r>
              <w:rPr>
                <w:rFonts w:asciiTheme="minorHAnsi" w:hAnsiTheme="minorHAnsi" w:cstheme="minorHAnsi"/>
                <w:sz w:val="20"/>
              </w:rPr>
              <w:t>No information</w:t>
            </w:r>
          </w:p>
        </w:tc>
      </w:tr>
      <w:tr w:rsidRPr="003B78EA" w:rsidR="00084BA2" w:rsidTr="00FE4186" w14:paraId="359DF2ED" w14:textId="77777777">
        <w:trPr>
          <w:trHeight w:val="263"/>
        </w:trPr>
        <w:tc>
          <w:tcPr>
            <w:tcW w:w="980" w:type="pct"/>
          </w:tcPr>
          <w:p w:rsidRPr="003B78EA" w:rsidR="00084BA2" w:rsidP="00FE4186" w:rsidRDefault="00084BA2" w14:paraId="3E70CBD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020" w:type="pct"/>
          </w:tcPr>
          <w:p w:rsidRPr="00084BA2" w:rsidR="00084BA2" w:rsidP="00FE4186" w:rsidRDefault="00084BA2" w14:paraId="0848DA17" w14:textId="77777777">
            <w:pPr>
              <w:pStyle w:val="BodyText"/>
              <w:ind w:left="57"/>
              <w:rPr>
                <w:rFonts w:cs="Arial"/>
                <w:sz w:val="16"/>
                <w:szCs w:val="16"/>
              </w:rPr>
            </w:pPr>
            <w:r w:rsidRPr="00084BA2">
              <w:rPr>
                <w:rFonts w:cs="Arial"/>
                <w:sz w:val="16"/>
                <w:szCs w:val="16"/>
              </w:rPr>
              <w:t>If infusion-related immediate reactions occur (e.g. fever, hypotension), duration of infusion may be increased to 3–4 hours.</w:t>
            </w:r>
          </w:p>
          <w:p w:rsidRPr="00084BA2" w:rsidR="00084BA2" w:rsidP="00FE4186" w:rsidRDefault="00084BA2" w14:paraId="6DE355CE" w14:textId="77777777">
            <w:pPr>
              <w:pStyle w:val="BodyText"/>
              <w:ind w:left="57"/>
              <w:rPr>
                <w:rFonts w:cs="Arial"/>
                <w:sz w:val="16"/>
                <w:szCs w:val="16"/>
              </w:rPr>
            </w:pPr>
            <w:r w:rsidRPr="00084BA2">
              <w:rPr>
                <w:rFonts w:cs="Arial"/>
                <w:sz w:val="16"/>
                <w:szCs w:val="16"/>
              </w:rPr>
              <w:t>Amphotericin B Liposomal  is considered to be at a lower risk of causing harm if extravasated (as compared to amphotericin B – conventional).</w:t>
            </w:r>
            <w:r w:rsidRPr="00084BA2">
              <w:rPr>
                <w:rFonts w:cs="Arial"/>
                <w:sz w:val="16"/>
                <w:szCs w:val="16"/>
                <w:vertAlign w:val="superscript"/>
              </w:rPr>
              <w:t>17</w:t>
            </w:r>
          </w:p>
          <w:p w:rsidRPr="00084BA2" w:rsidR="00084BA2" w:rsidP="00FE4186" w:rsidRDefault="00084BA2" w14:paraId="455FBB8B" w14:textId="77777777">
            <w:pPr>
              <w:pStyle w:val="BodyText"/>
              <w:ind w:left="57"/>
              <w:rPr>
                <w:rFonts w:cs="Arial"/>
                <w:sz w:val="16"/>
                <w:szCs w:val="16"/>
              </w:rPr>
            </w:pPr>
            <w:r w:rsidRPr="00084BA2">
              <w:rPr>
                <w:rFonts w:cs="Arial"/>
                <w:sz w:val="16"/>
                <w:szCs w:val="16"/>
              </w:rPr>
              <w:t>If total parenteral nutrition (TPN) or IV fluids are turned off during the infusion, consider monitoring of blood glucose level.</w:t>
            </w:r>
          </w:p>
          <w:p w:rsidRPr="00084BA2" w:rsidR="00084BA2" w:rsidP="00FE4186" w:rsidRDefault="00084BA2" w14:paraId="04AA9925" w14:textId="77777777">
            <w:pPr>
              <w:pStyle w:val="BodyText"/>
              <w:ind w:left="57"/>
              <w:rPr>
                <w:rFonts w:cs="Arial"/>
                <w:sz w:val="16"/>
                <w:szCs w:val="16"/>
              </w:rPr>
            </w:pPr>
            <w:r w:rsidRPr="00084BA2">
              <w:rPr>
                <w:rFonts w:cs="Arial"/>
                <w:sz w:val="16"/>
                <w:szCs w:val="16"/>
              </w:rPr>
              <w:t>Cerebrospinal fluid (CSF) penetration of lipid formulations of amphotericin B is poor.</w:t>
            </w:r>
            <w:r w:rsidRPr="00084BA2">
              <w:rPr>
                <w:rFonts w:cs="Arial"/>
                <w:sz w:val="16"/>
                <w:szCs w:val="16"/>
                <w:vertAlign w:val="superscript"/>
              </w:rPr>
              <w:t>8,9</w:t>
            </w:r>
            <w:r w:rsidRPr="00084BA2">
              <w:rPr>
                <w:rFonts w:cs="Arial"/>
                <w:sz w:val="16"/>
                <w:szCs w:val="16"/>
              </w:rPr>
              <w:t xml:space="preserve"> Therefore, in cases of fungal meningitis, additional antifungal therapy is required.</w:t>
            </w:r>
          </w:p>
          <w:p w:rsidRPr="00084BA2" w:rsidR="00084BA2" w:rsidP="00FE4186" w:rsidRDefault="00084BA2" w14:paraId="1FC1C529" w14:textId="77777777">
            <w:pPr>
              <w:pStyle w:val="BodyText"/>
              <w:ind w:left="57"/>
              <w:rPr>
                <w:rFonts w:cs="Arial"/>
                <w:sz w:val="16"/>
                <w:szCs w:val="16"/>
              </w:rPr>
            </w:pPr>
            <w:r w:rsidRPr="00084BA2">
              <w:rPr>
                <w:rFonts w:cs="Arial"/>
                <w:sz w:val="16"/>
                <w:szCs w:val="16"/>
              </w:rPr>
              <w:t>Even though a neonatal pharmacokinetic study</w:t>
            </w:r>
            <w:r w:rsidRPr="00084BA2">
              <w:rPr>
                <w:rFonts w:cs="Arial"/>
                <w:sz w:val="16"/>
                <w:szCs w:val="16"/>
                <w:vertAlign w:val="superscript"/>
              </w:rPr>
              <w:t xml:space="preserve">8 </w:t>
            </w:r>
            <w:r w:rsidRPr="00084BA2">
              <w:rPr>
                <w:rFonts w:cs="Arial"/>
                <w:sz w:val="16"/>
                <w:szCs w:val="16"/>
              </w:rPr>
              <w:t>using amphotericin B - lipid complex showed substantial drug concentration in urine, a recent review</w:t>
            </w:r>
            <w:r w:rsidRPr="00084BA2">
              <w:rPr>
                <w:rFonts w:cs="Arial"/>
                <w:sz w:val="16"/>
                <w:szCs w:val="16"/>
                <w:vertAlign w:val="superscript"/>
              </w:rPr>
              <w:t>2</w:t>
            </w:r>
            <w:r w:rsidRPr="00084BA2">
              <w:rPr>
                <w:rFonts w:cs="Arial"/>
                <w:sz w:val="16"/>
                <w:szCs w:val="16"/>
              </w:rPr>
              <w:t xml:space="preserve"> suggests that the liposomal preparation of amphotericin B is a poor candidate for the treatment of neonatal candiduria as it has lesser renal tissue penetration. This reduced penetration is considered to be responsible for its reduced nephrotoxicity as compared to conventional amphotericin B.</w:t>
            </w:r>
          </w:p>
          <w:p w:rsidRPr="00084BA2" w:rsidR="00084BA2" w:rsidP="00FE4186" w:rsidRDefault="00084BA2" w14:paraId="67B56985" w14:textId="77777777">
            <w:pPr>
              <w:pStyle w:val="BodyText"/>
              <w:ind w:left="57"/>
              <w:rPr>
                <w:rFonts w:asciiTheme="minorHAnsi" w:hAnsiTheme="minorHAnsi" w:cstheme="minorHAnsi"/>
                <w:sz w:val="16"/>
                <w:szCs w:val="16"/>
              </w:rPr>
            </w:pPr>
            <w:r w:rsidRPr="00084BA2">
              <w:rPr>
                <w:rFonts w:cs="Arial"/>
                <w:sz w:val="16"/>
                <w:szCs w:val="16"/>
              </w:rPr>
              <w:t>Although amphotericin B formulations are known to cause nephrotoxicity and may cause hepatotoxicity, reducing the dose in these disease states is not currently recommended.</w:t>
            </w:r>
            <w:r w:rsidRPr="00084BA2">
              <w:rPr>
                <w:rFonts w:cs="Arial"/>
                <w:sz w:val="16"/>
                <w:szCs w:val="16"/>
                <w:vertAlign w:val="superscript"/>
              </w:rPr>
              <w:t>19</w:t>
            </w:r>
            <w:r w:rsidRPr="00084BA2">
              <w:rPr>
                <w:rFonts w:cs="Arial"/>
                <w:sz w:val="16"/>
                <w:szCs w:val="16"/>
              </w:rPr>
              <w:t xml:space="preserve"> If nephrotoxicity or hepatotoxicity is a significant concern, consider other antifungals.</w:t>
            </w:r>
          </w:p>
        </w:tc>
      </w:tr>
      <w:tr w:rsidRPr="003B78EA" w:rsidR="00084BA2" w:rsidTr="00FE4186" w14:paraId="21D71343" w14:textId="77777777">
        <w:trPr>
          <w:trHeight w:val="263"/>
        </w:trPr>
        <w:tc>
          <w:tcPr>
            <w:tcW w:w="980" w:type="pct"/>
          </w:tcPr>
          <w:p w:rsidRPr="003B78EA" w:rsidR="00084BA2" w:rsidP="00FE4186" w:rsidRDefault="00084BA2" w14:paraId="077D3F40"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020" w:type="pct"/>
          </w:tcPr>
          <w:p w:rsidRPr="00084BA2" w:rsidR="00084BA2" w:rsidP="00FE4186" w:rsidRDefault="00084BA2" w14:paraId="6AF022DC" w14:textId="77777777">
            <w:pPr>
              <w:pStyle w:val="BodyText"/>
              <w:rPr>
                <w:b/>
                <w:sz w:val="16"/>
                <w:szCs w:val="16"/>
              </w:rPr>
            </w:pPr>
            <w:r w:rsidRPr="00084BA2">
              <w:rPr>
                <w:b/>
                <w:sz w:val="16"/>
                <w:szCs w:val="16"/>
              </w:rPr>
              <w:t>Efficacy</w:t>
            </w:r>
          </w:p>
          <w:p w:rsidRPr="00084BA2" w:rsidR="00084BA2" w:rsidP="00FE4186" w:rsidRDefault="00084BA2" w14:paraId="19763CFF" w14:textId="77777777">
            <w:pPr>
              <w:pStyle w:val="BodyText"/>
              <w:rPr>
                <w:sz w:val="16"/>
                <w:szCs w:val="16"/>
              </w:rPr>
            </w:pPr>
            <w:r w:rsidRPr="00084BA2">
              <w:rPr>
                <w:sz w:val="16"/>
                <w:szCs w:val="16"/>
              </w:rPr>
              <w:t>There are no adequately powered comparative trials of different antifungal therapies for invasive fungal infection in the neonatal setting.</w:t>
            </w:r>
            <w:r w:rsidRPr="00084BA2">
              <w:rPr>
                <w:sz w:val="16"/>
                <w:szCs w:val="16"/>
                <w:vertAlign w:val="superscript"/>
              </w:rPr>
              <w:t>10,11</w:t>
            </w:r>
            <w:r w:rsidRPr="00084BA2">
              <w:rPr>
                <w:sz w:val="16"/>
                <w:szCs w:val="16"/>
              </w:rPr>
              <w:t xml:space="preserve"> One small study (24 newborn infants) that compared conventional (not liposomal) amphotericin B with fluconazole found fluconazole to have fewer side effects.</w:t>
            </w:r>
            <w:r w:rsidRPr="00084BA2">
              <w:rPr>
                <w:sz w:val="16"/>
                <w:szCs w:val="16"/>
                <w:vertAlign w:val="superscript"/>
              </w:rPr>
              <w:t>12</w:t>
            </w:r>
          </w:p>
          <w:p w:rsidRPr="00084BA2" w:rsidR="00084BA2" w:rsidP="00FE4186" w:rsidRDefault="00084BA2" w14:paraId="680ECBD7" w14:textId="77777777">
            <w:pPr>
              <w:pStyle w:val="BodyText"/>
              <w:rPr>
                <w:sz w:val="16"/>
                <w:szCs w:val="16"/>
              </w:rPr>
            </w:pPr>
            <w:r w:rsidRPr="00084BA2">
              <w:rPr>
                <w:sz w:val="16"/>
                <w:szCs w:val="16"/>
              </w:rPr>
              <w:t>Australian 2014 consensus guidelines</w:t>
            </w:r>
            <w:r w:rsidRPr="00084BA2">
              <w:rPr>
                <w:sz w:val="16"/>
                <w:szCs w:val="16"/>
                <w:vertAlign w:val="superscript"/>
              </w:rPr>
              <w:t xml:space="preserve">6 </w:t>
            </w:r>
            <w:r w:rsidRPr="00084BA2">
              <w:rPr>
                <w:sz w:val="16"/>
                <w:szCs w:val="16"/>
              </w:rPr>
              <w:t xml:space="preserve">on antifungal therapy for systemic fungal infections state that (1) the incidence of candidaemia in Australia (2001–2004) was about 1.81 cases per 100 000 population. </w:t>
            </w:r>
            <w:r w:rsidRPr="00084BA2">
              <w:rPr>
                <w:i/>
                <w:sz w:val="16"/>
                <w:szCs w:val="16"/>
              </w:rPr>
              <w:t>Candida albicans</w:t>
            </w:r>
            <w:r w:rsidRPr="00084BA2">
              <w:rPr>
                <w:sz w:val="16"/>
                <w:szCs w:val="16"/>
              </w:rPr>
              <w:t xml:space="preserve"> accounted for approximately 50% of invasive </w:t>
            </w:r>
            <w:r w:rsidRPr="00084BA2">
              <w:rPr>
                <w:i/>
                <w:sz w:val="16"/>
                <w:szCs w:val="16"/>
              </w:rPr>
              <w:t>Candida</w:t>
            </w:r>
            <w:r w:rsidRPr="00084BA2">
              <w:rPr>
                <w:sz w:val="16"/>
                <w:szCs w:val="16"/>
              </w:rPr>
              <w:t xml:space="preserve"> isolates, followed by </w:t>
            </w:r>
            <w:r w:rsidRPr="00084BA2">
              <w:rPr>
                <w:i/>
                <w:sz w:val="16"/>
                <w:szCs w:val="16"/>
              </w:rPr>
              <w:t>C. parapsilosis</w:t>
            </w:r>
            <w:r w:rsidRPr="00084BA2">
              <w:rPr>
                <w:sz w:val="16"/>
                <w:szCs w:val="16"/>
              </w:rPr>
              <w:t xml:space="preserve"> (20%), </w:t>
            </w:r>
            <w:r w:rsidRPr="00084BA2">
              <w:rPr>
                <w:i/>
                <w:sz w:val="16"/>
                <w:szCs w:val="16"/>
              </w:rPr>
              <w:t>C. glabrata</w:t>
            </w:r>
            <w:r w:rsidRPr="00084BA2">
              <w:rPr>
                <w:sz w:val="16"/>
                <w:szCs w:val="16"/>
              </w:rPr>
              <w:t xml:space="preserve"> (15%), </w:t>
            </w:r>
            <w:r w:rsidRPr="00084BA2">
              <w:rPr>
                <w:i/>
                <w:sz w:val="16"/>
                <w:szCs w:val="16"/>
              </w:rPr>
              <w:t>C. tropicalis</w:t>
            </w:r>
            <w:r w:rsidRPr="00084BA2">
              <w:rPr>
                <w:sz w:val="16"/>
                <w:szCs w:val="16"/>
              </w:rPr>
              <w:t xml:space="preserve"> (5%), </w:t>
            </w:r>
            <w:r w:rsidRPr="00084BA2">
              <w:rPr>
                <w:i/>
                <w:sz w:val="16"/>
                <w:szCs w:val="16"/>
              </w:rPr>
              <w:t>C. krusei</w:t>
            </w:r>
            <w:r w:rsidRPr="00084BA2">
              <w:rPr>
                <w:sz w:val="16"/>
                <w:szCs w:val="16"/>
              </w:rPr>
              <w:t xml:space="preserve"> (4%) and </w:t>
            </w:r>
            <w:r w:rsidRPr="00084BA2">
              <w:rPr>
                <w:i/>
                <w:sz w:val="16"/>
                <w:szCs w:val="16"/>
              </w:rPr>
              <w:t>C. dubliniensis</w:t>
            </w:r>
            <w:r w:rsidRPr="00084BA2">
              <w:rPr>
                <w:sz w:val="16"/>
                <w:szCs w:val="16"/>
              </w:rPr>
              <w:t xml:space="preserve"> (2%). In the NICU, </w:t>
            </w:r>
            <w:r w:rsidRPr="00084BA2">
              <w:rPr>
                <w:i/>
                <w:sz w:val="16"/>
                <w:szCs w:val="16"/>
              </w:rPr>
              <w:t>C. albicans</w:t>
            </w:r>
            <w:r w:rsidRPr="00084BA2">
              <w:rPr>
                <w:sz w:val="16"/>
                <w:szCs w:val="16"/>
              </w:rPr>
              <w:t xml:space="preserve"> and </w:t>
            </w:r>
            <w:r w:rsidRPr="00084BA2">
              <w:rPr>
                <w:i/>
                <w:sz w:val="16"/>
                <w:szCs w:val="16"/>
              </w:rPr>
              <w:t>C. parapsilosis</w:t>
            </w:r>
            <w:r w:rsidRPr="00084BA2">
              <w:rPr>
                <w:sz w:val="16"/>
                <w:szCs w:val="16"/>
              </w:rPr>
              <w:t xml:space="preserve"> predominate, (2) all major </w:t>
            </w:r>
            <w:r w:rsidRPr="00084BA2">
              <w:rPr>
                <w:i/>
                <w:sz w:val="16"/>
                <w:szCs w:val="16"/>
              </w:rPr>
              <w:t>Candida</w:t>
            </w:r>
            <w:r w:rsidRPr="00084BA2">
              <w:rPr>
                <w:sz w:val="16"/>
                <w:szCs w:val="16"/>
              </w:rPr>
              <w:t xml:space="preserve"> species are usually susceptible to Amphotericin B; </w:t>
            </w:r>
            <w:r w:rsidRPr="00084BA2">
              <w:rPr>
                <w:i/>
                <w:sz w:val="16"/>
                <w:szCs w:val="16"/>
              </w:rPr>
              <w:t>C. glabrata</w:t>
            </w:r>
            <w:r w:rsidRPr="00084BA2">
              <w:rPr>
                <w:sz w:val="16"/>
                <w:szCs w:val="16"/>
              </w:rPr>
              <w:t xml:space="preserve"> and </w:t>
            </w:r>
            <w:r w:rsidRPr="00084BA2">
              <w:rPr>
                <w:i/>
                <w:sz w:val="16"/>
                <w:szCs w:val="16"/>
              </w:rPr>
              <w:t>C. parapsilosis</w:t>
            </w:r>
            <w:r w:rsidRPr="00084BA2">
              <w:rPr>
                <w:sz w:val="16"/>
                <w:szCs w:val="16"/>
              </w:rPr>
              <w:t xml:space="preserve"> have reduced susceptibility to fluconazole compared to </w:t>
            </w:r>
            <w:r w:rsidRPr="00084BA2">
              <w:rPr>
                <w:i/>
                <w:sz w:val="16"/>
                <w:szCs w:val="16"/>
              </w:rPr>
              <w:t>C. albicans,</w:t>
            </w:r>
            <w:r w:rsidRPr="00084BA2">
              <w:rPr>
                <w:sz w:val="16"/>
                <w:szCs w:val="16"/>
              </w:rPr>
              <w:t xml:space="preserve"> however, fluconazole can usually be used successfully if higher doses are used i.e. 10–12 mg/kg/day</w:t>
            </w:r>
            <w:r w:rsidRPr="00084BA2">
              <w:rPr>
                <w:i/>
                <w:sz w:val="16"/>
                <w:szCs w:val="16"/>
              </w:rPr>
              <w:t>. Pichia kudriavzevii</w:t>
            </w:r>
            <w:r w:rsidRPr="00084BA2">
              <w:rPr>
                <w:sz w:val="16"/>
                <w:szCs w:val="16"/>
              </w:rPr>
              <w:t xml:space="preserve"> (formerly </w:t>
            </w:r>
            <w:r w:rsidRPr="00084BA2">
              <w:rPr>
                <w:i/>
                <w:sz w:val="16"/>
                <w:szCs w:val="16"/>
              </w:rPr>
              <w:t>C. krusei</w:t>
            </w:r>
            <w:r w:rsidRPr="00084BA2">
              <w:rPr>
                <w:sz w:val="16"/>
                <w:szCs w:val="16"/>
              </w:rPr>
              <w:t xml:space="preserve">) is intrinsically resistant to fluconazole, (3) primary resistance of </w:t>
            </w:r>
            <w:r w:rsidRPr="00084BA2">
              <w:rPr>
                <w:i/>
                <w:sz w:val="16"/>
                <w:szCs w:val="16"/>
              </w:rPr>
              <w:t>Cryptococcus</w:t>
            </w:r>
            <w:r w:rsidRPr="00084BA2">
              <w:rPr>
                <w:sz w:val="16"/>
                <w:szCs w:val="16"/>
              </w:rPr>
              <w:t xml:space="preserve"> to antifungal drugs in Australia is uncommon. Amphotericin B is used in combination therapy during the induction phase, (4) there are no prospective data on the optimal duration of therapy for invasive fungal infections and recommendations are largely based on expert opinion. For candidaemia with deep-tissue infection, treatment with systemic antifungal agents for 14 days following the last, positive, sterile-site culture and </w:t>
            </w:r>
            <w:r w:rsidRPr="00084BA2">
              <w:rPr>
                <w:sz w:val="16"/>
                <w:szCs w:val="16"/>
              </w:rPr>
              <w:lastRenderedPageBreak/>
              <w:t>resolution of clinical features of infection is recommended (LOEIII, GOR C). Similar duration is recommended for peritonitis, but 6 weeks or longer for difficult-to-treat deep foci such as endocarditis, endophthalmitis, mediastinitis or osteomyelitis (GOR D).</w:t>
            </w:r>
          </w:p>
          <w:p w:rsidRPr="00084BA2" w:rsidR="00084BA2" w:rsidP="00FE4186" w:rsidRDefault="00084BA2" w14:paraId="1AAEE2B5" w14:textId="77777777">
            <w:pPr>
              <w:pStyle w:val="BodyText"/>
              <w:rPr>
                <w:sz w:val="16"/>
                <w:szCs w:val="16"/>
              </w:rPr>
            </w:pPr>
          </w:p>
          <w:p w:rsidRPr="00084BA2" w:rsidR="00084BA2" w:rsidP="00FE4186" w:rsidRDefault="00084BA2" w14:paraId="423BE6F0" w14:textId="77777777">
            <w:pPr>
              <w:pStyle w:val="BodyText"/>
              <w:rPr>
                <w:b/>
                <w:sz w:val="16"/>
                <w:szCs w:val="16"/>
              </w:rPr>
            </w:pPr>
            <w:r w:rsidRPr="00084BA2">
              <w:rPr>
                <w:b/>
                <w:sz w:val="16"/>
                <w:szCs w:val="16"/>
              </w:rPr>
              <w:t>Dosage</w:t>
            </w:r>
          </w:p>
          <w:p w:rsidRPr="00084BA2" w:rsidR="00084BA2" w:rsidP="00FE4186" w:rsidRDefault="00084BA2" w14:paraId="0F174CF9" w14:textId="77777777">
            <w:pPr>
              <w:pStyle w:val="BodyText"/>
              <w:rPr>
                <w:sz w:val="16"/>
                <w:szCs w:val="16"/>
              </w:rPr>
            </w:pPr>
            <w:r w:rsidRPr="00084BA2">
              <w:rPr>
                <w:sz w:val="16"/>
                <w:szCs w:val="16"/>
              </w:rPr>
              <w:t>Australian 2014 Consensus recommendations on Amphotericin B - Liposomal: 3 mg/kg/dose daily.</w:t>
            </w:r>
            <w:r w:rsidRPr="00084BA2">
              <w:rPr>
                <w:sz w:val="16"/>
                <w:szCs w:val="16"/>
                <w:vertAlign w:val="superscript"/>
              </w:rPr>
              <w:t>6</w:t>
            </w:r>
          </w:p>
          <w:p w:rsidRPr="00084BA2" w:rsidR="00084BA2" w:rsidP="00FE4186" w:rsidRDefault="00084BA2" w14:paraId="0BF0A063" w14:textId="77777777">
            <w:pPr>
              <w:pStyle w:val="BodyText"/>
              <w:rPr>
                <w:sz w:val="16"/>
                <w:szCs w:val="16"/>
              </w:rPr>
            </w:pPr>
            <w:r w:rsidRPr="00084BA2">
              <w:rPr>
                <w:sz w:val="16"/>
                <w:szCs w:val="16"/>
              </w:rPr>
              <w:t>In a retrospective study</w:t>
            </w:r>
            <w:r w:rsidRPr="00084BA2">
              <w:rPr>
                <w:sz w:val="16"/>
                <w:szCs w:val="16"/>
                <w:vertAlign w:val="superscript"/>
              </w:rPr>
              <w:t>13</w:t>
            </w:r>
            <w:r w:rsidRPr="00084BA2">
              <w:rPr>
                <w:sz w:val="16"/>
                <w:szCs w:val="16"/>
              </w:rPr>
              <w:t>, Weitkamp et al collected data on 21 very low birth weight (VLBW) infants who received liposomal amphotericin B [median dose 2.6 mg/kg/day (range 1–5 mg/kg/day) and median duration: 28 days]. All patients treated with liposomal amphotericin B eradicated fungi and recovered clinically. There was no nephrotoxicity noted. Liposomal amphotericin B (2.5–7 mg/kg/day) was used in 24 VLBW infants with systemic candidiasis in a prospective study.</w:t>
            </w:r>
            <w:r w:rsidRPr="00084BA2">
              <w:rPr>
                <w:sz w:val="16"/>
                <w:szCs w:val="16"/>
                <w:vertAlign w:val="superscript"/>
              </w:rPr>
              <w:t>14</w:t>
            </w:r>
            <w:r w:rsidRPr="00084BA2">
              <w:rPr>
                <w:sz w:val="16"/>
                <w:szCs w:val="16"/>
              </w:rPr>
              <w:t xml:space="preserve"> Fungal eradication was achieved in 92% of the episodes with a mean duration of therapy until the eradication being 9 days. Four of the infants died and in 2 of these, the cause of death was directly attributed to systemic candidiasis. </w:t>
            </w:r>
          </w:p>
          <w:p w:rsidRPr="00084BA2" w:rsidR="00084BA2" w:rsidP="00FE4186" w:rsidRDefault="00084BA2" w14:paraId="2945A4B9" w14:textId="77777777">
            <w:pPr>
              <w:pStyle w:val="BodyText"/>
              <w:rPr>
                <w:sz w:val="16"/>
                <w:szCs w:val="16"/>
              </w:rPr>
            </w:pPr>
            <w:r w:rsidRPr="00084BA2">
              <w:rPr>
                <w:sz w:val="16"/>
                <w:szCs w:val="16"/>
              </w:rPr>
              <w:t>With amphotericin B treatment, drug monitoring is not done as no therapeutic range has been recommended.</w:t>
            </w:r>
            <w:r w:rsidRPr="00084BA2">
              <w:rPr>
                <w:sz w:val="16"/>
                <w:szCs w:val="16"/>
                <w:vertAlign w:val="superscript"/>
              </w:rPr>
              <w:t>18</w:t>
            </w:r>
          </w:p>
          <w:p w:rsidRPr="00084BA2" w:rsidR="00084BA2" w:rsidP="00FE4186" w:rsidRDefault="00084BA2" w14:paraId="6FCD0DDE" w14:textId="77777777">
            <w:pPr>
              <w:pStyle w:val="BodyText"/>
              <w:rPr>
                <w:sz w:val="16"/>
                <w:szCs w:val="16"/>
              </w:rPr>
            </w:pPr>
          </w:p>
          <w:p w:rsidRPr="00084BA2" w:rsidR="00084BA2" w:rsidP="00FE4186" w:rsidRDefault="00084BA2" w14:paraId="2899F47D" w14:textId="77777777">
            <w:pPr>
              <w:pStyle w:val="BodyText"/>
              <w:rPr>
                <w:b/>
                <w:sz w:val="16"/>
                <w:szCs w:val="16"/>
              </w:rPr>
            </w:pPr>
            <w:r w:rsidRPr="00084BA2">
              <w:rPr>
                <w:b/>
                <w:sz w:val="16"/>
                <w:szCs w:val="16"/>
              </w:rPr>
              <w:t>Safety</w:t>
            </w:r>
          </w:p>
          <w:p w:rsidRPr="00084BA2" w:rsidR="00084BA2" w:rsidP="00FE4186" w:rsidRDefault="00084BA2" w14:paraId="3545162F" w14:textId="77777777">
            <w:pPr>
              <w:pStyle w:val="BodyText"/>
              <w:rPr>
                <w:sz w:val="16"/>
                <w:szCs w:val="16"/>
              </w:rPr>
            </w:pPr>
            <w:r w:rsidRPr="00084BA2">
              <w:rPr>
                <w:sz w:val="16"/>
                <w:szCs w:val="16"/>
              </w:rPr>
              <w:t>Liposomal amphotericin B is less nephrotoxic and has fewer infusion related reactions than conventional amphotericin B (LOEI, GOR A).</w:t>
            </w:r>
            <w:r w:rsidRPr="00084BA2">
              <w:rPr>
                <w:sz w:val="16"/>
                <w:szCs w:val="16"/>
                <w:vertAlign w:val="superscript"/>
              </w:rPr>
              <w:t>15</w:t>
            </w:r>
            <w:r w:rsidRPr="00084BA2">
              <w:rPr>
                <w:sz w:val="16"/>
                <w:szCs w:val="16"/>
              </w:rPr>
              <w:t xml:space="preserve"> However, the finding of reduced nephrotoxicity with liposomal amphotericin B needs to be interpreted with caution as significant heterogeneity was observed (I</w:t>
            </w:r>
            <w:r w:rsidRPr="00084BA2">
              <w:rPr>
                <w:sz w:val="16"/>
                <w:szCs w:val="16"/>
                <w:vertAlign w:val="superscript"/>
              </w:rPr>
              <w:t>2</w:t>
            </w:r>
            <w:r w:rsidRPr="00084BA2">
              <w:rPr>
                <w:sz w:val="16"/>
                <w:szCs w:val="16"/>
              </w:rPr>
              <w:t xml:space="preserve"> = 59%).</w:t>
            </w:r>
            <w:r w:rsidRPr="00084BA2">
              <w:rPr>
                <w:sz w:val="16"/>
                <w:szCs w:val="16"/>
                <w:vertAlign w:val="superscript"/>
              </w:rPr>
              <w:t>11</w:t>
            </w:r>
            <w:r w:rsidRPr="00084BA2">
              <w:rPr>
                <w:sz w:val="16"/>
                <w:szCs w:val="16"/>
              </w:rPr>
              <w:t xml:space="preserve"> In a retrospective cohort study,</w:t>
            </w:r>
            <w:r w:rsidRPr="00084BA2">
              <w:rPr>
                <w:sz w:val="16"/>
                <w:szCs w:val="16"/>
                <w:vertAlign w:val="superscript"/>
              </w:rPr>
              <w:t>16</w:t>
            </w:r>
            <w:r w:rsidRPr="00084BA2">
              <w:rPr>
                <w:sz w:val="16"/>
                <w:szCs w:val="16"/>
              </w:rPr>
              <w:t xml:space="preserve"> authors noted higher mortality in infants receiving amphotericin B lipid products as compared to conventional amphotericin B. The study, however, lacked clinical data regarding underlying illnesses though there were no significant differences in the mean gestation, birth-weight, age at onset of infection or serum creatinine. Authors discuss that they were unable to determine whether more critically ill infants with higher serum creatinine were selected for amphotericin B lipid products as only 17% of the infants had serum creatinine reported within 1 day of starting treatment. It is also interesting to note that in this study, while the overall mortality is higher for the group receiving amphotericin B lipid products, the 7-day, 14-day and 30-day mortality figures seem to be no different (mortality for conventional amphotericin B and amphotericin B lipid products respectively; 7-day: 7 and 6%, 14-day: 11 and 8%, 30-day: 14 and 13%).</w:t>
            </w:r>
          </w:p>
          <w:p w:rsidRPr="00084BA2" w:rsidR="00084BA2" w:rsidP="00FE4186" w:rsidRDefault="00084BA2" w14:paraId="3670DA72" w14:textId="77777777">
            <w:pPr>
              <w:pStyle w:val="BodyText"/>
              <w:rPr>
                <w:sz w:val="16"/>
                <w:szCs w:val="16"/>
              </w:rPr>
            </w:pPr>
          </w:p>
          <w:p w:rsidRPr="00084BA2" w:rsidR="00084BA2" w:rsidP="00FE4186" w:rsidRDefault="00084BA2" w14:paraId="22792B4C" w14:textId="77777777">
            <w:pPr>
              <w:pStyle w:val="BodyText"/>
              <w:rPr>
                <w:b/>
                <w:sz w:val="16"/>
                <w:szCs w:val="16"/>
              </w:rPr>
            </w:pPr>
            <w:r w:rsidRPr="00084BA2">
              <w:rPr>
                <w:b/>
                <w:sz w:val="16"/>
                <w:szCs w:val="16"/>
              </w:rPr>
              <w:t>Pharmacokinetics</w:t>
            </w:r>
          </w:p>
          <w:p w:rsidRPr="00084BA2" w:rsidR="00084BA2" w:rsidP="00FE4186" w:rsidRDefault="00084BA2" w14:paraId="1D7EBAF5" w14:textId="77777777">
            <w:pPr>
              <w:pStyle w:val="BodyText"/>
              <w:tabs>
                <w:tab w:val="left" w:pos="1168"/>
              </w:tabs>
              <w:rPr>
                <w:rFonts w:asciiTheme="minorHAnsi" w:hAnsiTheme="minorHAnsi" w:cstheme="minorHAnsi"/>
                <w:sz w:val="16"/>
                <w:szCs w:val="16"/>
              </w:rPr>
            </w:pPr>
            <w:r w:rsidRPr="00084BA2">
              <w:rPr>
                <w:sz w:val="16"/>
                <w:szCs w:val="16"/>
              </w:rPr>
              <w:t>Amphotericin B, in both its conventional and lipid formulation, has similar pharmacokinetics in neonates and children as in adults.</w:t>
            </w:r>
            <w:r w:rsidRPr="00084BA2">
              <w:rPr>
                <w:sz w:val="16"/>
                <w:szCs w:val="16"/>
                <w:vertAlign w:val="superscript"/>
              </w:rPr>
              <w:t>6</w:t>
            </w:r>
            <w:r w:rsidRPr="00084BA2">
              <w:rPr>
                <w:sz w:val="16"/>
                <w:szCs w:val="16"/>
              </w:rPr>
              <w:t xml:space="preserve"> Wurthwein et al</w:t>
            </w:r>
            <w:r w:rsidRPr="00084BA2">
              <w:rPr>
                <w:sz w:val="16"/>
                <w:szCs w:val="16"/>
                <w:vertAlign w:val="superscript"/>
              </w:rPr>
              <w:t>8</w:t>
            </w:r>
            <w:r w:rsidRPr="00084BA2">
              <w:rPr>
                <w:sz w:val="16"/>
                <w:szCs w:val="16"/>
              </w:rPr>
              <w:t xml:space="preserve"> conducted a pharmacokinetic study of amphotericin B </w:t>
            </w:r>
            <w:r w:rsidRPr="00084BA2">
              <w:rPr>
                <w:b/>
                <w:sz w:val="16"/>
                <w:szCs w:val="16"/>
              </w:rPr>
              <w:t>lipid complex</w:t>
            </w:r>
            <w:r w:rsidRPr="00084BA2">
              <w:rPr>
                <w:sz w:val="16"/>
                <w:szCs w:val="16"/>
              </w:rPr>
              <w:t xml:space="preserve"> (ABLC) in 28 neonates (24–41 weeks gestation) with analysis of the drug concentration in blood, urine and CSF. The disposition of ABLC was similar to that observed in other age groups and weight was the only factor influencing clearance. No similar study on liposomal amphotericin B in the neonatal age group is available. </w:t>
            </w:r>
            <w:r w:rsidRPr="00084BA2">
              <w:rPr>
                <w:rFonts w:cs="Arial"/>
                <w:sz w:val="16"/>
                <w:szCs w:val="16"/>
              </w:rPr>
              <w:t>Although amphotericin B formulations are known to cause nephrotoxicity and may cause hepatotoxicity, reducing the dose in these disease states is not currently recommended.</w:t>
            </w:r>
            <w:r w:rsidRPr="00084BA2">
              <w:rPr>
                <w:rFonts w:cs="Arial"/>
                <w:sz w:val="16"/>
                <w:szCs w:val="16"/>
                <w:vertAlign w:val="superscript"/>
              </w:rPr>
              <w:t>19</w:t>
            </w:r>
            <w:r w:rsidRPr="00084BA2">
              <w:rPr>
                <w:rFonts w:cs="Arial"/>
                <w:sz w:val="16"/>
                <w:szCs w:val="16"/>
              </w:rPr>
              <w:t xml:space="preserve"> If nephrotoxicity or hepatotoxicity is a significant concern, consider other antifungals.</w:t>
            </w:r>
          </w:p>
        </w:tc>
      </w:tr>
      <w:tr w:rsidRPr="003B78EA" w:rsidR="00084BA2" w:rsidTr="00FE4186" w14:paraId="3CA07FA5" w14:textId="77777777">
        <w:trPr>
          <w:trHeight w:val="263"/>
        </w:trPr>
        <w:tc>
          <w:tcPr>
            <w:tcW w:w="980" w:type="pct"/>
          </w:tcPr>
          <w:p w:rsidRPr="003B78EA" w:rsidR="00084BA2" w:rsidP="00FE4186" w:rsidRDefault="00084BA2" w14:paraId="530AA50A"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Practice points</w:t>
            </w:r>
          </w:p>
        </w:tc>
        <w:tc>
          <w:tcPr>
            <w:tcW w:w="4020" w:type="pct"/>
          </w:tcPr>
          <w:p w:rsidRPr="00084BA2" w:rsidR="00084BA2" w:rsidP="00FE4186" w:rsidRDefault="00084BA2" w14:paraId="5A6A5735" w14:textId="77777777">
            <w:pPr>
              <w:pStyle w:val="BodyText"/>
              <w:tabs>
                <w:tab w:val="left" w:pos="1168"/>
              </w:tabs>
              <w:rPr>
                <w:rFonts w:asciiTheme="minorHAnsi" w:hAnsiTheme="minorHAnsi" w:cstheme="minorHAnsi"/>
                <w:sz w:val="16"/>
                <w:szCs w:val="16"/>
              </w:rPr>
            </w:pPr>
          </w:p>
        </w:tc>
      </w:tr>
      <w:tr w:rsidRPr="003B78EA" w:rsidR="00084BA2" w:rsidTr="00FE4186" w14:paraId="27005BB5" w14:textId="77777777">
        <w:trPr>
          <w:trHeight w:val="263"/>
        </w:trPr>
        <w:tc>
          <w:tcPr>
            <w:tcW w:w="980" w:type="pct"/>
          </w:tcPr>
          <w:p w:rsidRPr="003B78EA" w:rsidR="00084BA2" w:rsidP="00FE4186" w:rsidRDefault="00084BA2" w14:paraId="744DAC4A"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020" w:type="pct"/>
          </w:tcPr>
          <w:p w:rsidRPr="00084BA2" w:rsidR="00084BA2" w:rsidP="001B0E05" w:rsidRDefault="00084BA2" w14:paraId="62D77A6F" w14:textId="77777777">
            <w:pPr>
              <w:numPr>
                <w:ilvl w:val="0"/>
                <w:numId w:val="22"/>
              </w:numPr>
              <w:ind w:left="284" w:hanging="284"/>
              <w:rPr>
                <w:rFonts w:cs="Arial"/>
                <w:sz w:val="16"/>
                <w:szCs w:val="16"/>
              </w:rPr>
            </w:pPr>
            <w:r w:rsidRPr="00084BA2">
              <w:rPr>
                <w:rFonts w:cs="Arial"/>
                <w:sz w:val="16"/>
                <w:szCs w:val="16"/>
              </w:rPr>
              <w:t>Micromedex solutions. Amphotericin B. Accessed on 29 April 2017.</w:t>
            </w:r>
          </w:p>
          <w:p w:rsidRPr="00084BA2" w:rsidR="00084BA2" w:rsidP="001B0E05" w:rsidRDefault="00084BA2" w14:paraId="7F80CF5C" w14:textId="77777777">
            <w:pPr>
              <w:numPr>
                <w:ilvl w:val="0"/>
                <w:numId w:val="22"/>
              </w:numPr>
              <w:ind w:left="284" w:hanging="284"/>
              <w:rPr>
                <w:rFonts w:cs="Arial"/>
                <w:sz w:val="16"/>
                <w:szCs w:val="16"/>
              </w:rPr>
            </w:pPr>
            <w:r w:rsidRPr="00084BA2">
              <w:rPr>
                <w:rFonts w:cs="Arial"/>
                <w:sz w:val="16"/>
                <w:szCs w:val="16"/>
              </w:rPr>
              <w:t>Tripathi N, Watt K, Benjamin Jr DK. Treatment and prophylaxis of invasive candidiasis. Semin Perinatol 2012;36:416-23</w:t>
            </w:r>
          </w:p>
          <w:p w:rsidRPr="00084BA2" w:rsidR="00084BA2" w:rsidP="001B0E05" w:rsidRDefault="00084BA2" w14:paraId="0B9FF0DD" w14:textId="77777777">
            <w:pPr>
              <w:numPr>
                <w:ilvl w:val="0"/>
                <w:numId w:val="22"/>
              </w:numPr>
              <w:ind w:left="284" w:hanging="284"/>
              <w:rPr>
                <w:rFonts w:cs="Arial"/>
                <w:sz w:val="16"/>
                <w:szCs w:val="16"/>
              </w:rPr>
            </w:pPr>
            <w:r w:rsidRPr="00084BA2">
              <w:rPr>
                <w:rFonts w:cs="Arial"/>
                <w:sz w:val="16"/>
                <w:szCs w:val="16"/>
              </w:rPr>
              <w:t>MIMS Online accessed on 15 June 2017.</w:t>
            </w:r>
          </w:p>
          <w:p w:rsidRPr="00084BA2" w:rsidR="00084BA2" w:rsidP="001B0E05" w:rsidRDefault="00084BA2" w14:paraId="11E80C41" w14:textId="77777777">
            <w:pPr>
              <w:numPr>
                <w:ilvl w:val="0"/>
                <w:numId w:val="22"/>
              </w:numPr>
              <w:ind w:left="284" w:hanging="284"/>
              <w:rPr>
                <w:rFonts w:cs="Arial"/>
                <w:sz w:val="16"/>
                <w:szCs w:val="16"/>
              </w:rPr>
            </w:pPr>
            <w:r w:rsidRPr="00084BA2">
              <w:rPr>
                <w:rFonts w:cs="Arial"/>
                <w:sz w:val="16"/>
                <w:szCs w:val="16"/>
              </w:rPr>
              <w:t>van den Anker JN, van People NML, Sauer PJJ. Antifungal agents in neonatal systemic Candidiasis. Antimicrob Agents Chemother 1995;39:1391-7</w:t>
            </w:r>
          </w:p>
          <w:p w:rsidRPr="00084BA2" w:rsidR="00084BA2" w:rsidP="001B0E05" w:rsidRDefault="00084BA2" w14:paraId="0E2AD569" w14:textId="77777777">
            <w:pPr>
              <w:numPr>
                <w:ilvl w:val="0"/>
                <w:numId w:val="22"/>
              </w:numPr>
              <w:ind w:left="284" w:hanging="284"/>
              <w:rPr>
                <w:rFonts w:cs="Arial"/>
                <w:sz w:val="16"/>
                <w:szCs w:val="16"/>
              </w:rPr>
            </w:pPr>
            <w:r w:rsidRPr="00084BA2">
              <w:rPr>
                <w:rFonts w:cs="Arial"/>
                <w:sz w:val="16"/>
                <w:szCs w:val="16"/>
              </w:rPr>
              <w:t>Australian Injectable Drugs Handbook, 6</w:t>
            </w:r>
            <w:r w:rsidRPr="00084BA2">
              <w:rPr>
                <w:rFonts w:cs="Arial"/>
                <w:sz w:val="16"/>
                <w:szCs w:val="16"/>
                <w:vertAlign w:val="superscript"/>
              </w:rPr>
              <w:t>th</w:t>
            </w:r>
            <w:r w:rsidRPr="00084BA2">
              <w:rPr>
                <w:rFonts w:cs="Arial"/>
                <w:sz w:val="16"/>
                <w:szCs w:val="16"/>
              </w:rPr>
              <w:t xml:space="preserve"> Edition</w:t>
            </w:r>
          </w:p>
          <w:p w:rsidRPr="00084BA2" w:rsidR="00084BA2" w:rsidP="001B0E05" w:rsidRDefault="00084BA2" w14:paraId="1C49CEAD" w14:textId="77777777">
            <w:pPr>
              <w:numPr>
                <w:ilvl w:val="0"/>
                <w:numId w:val="22"/>
              </w:numPr>
              <w:ind w:left="284" w:hanging="284"/>
              <w:rPr>
                <w:rFonts w:cs="Arial"/>
                <w:sz w:val="16"/>
                <w:szCs w:val="16"/>
              </w:rPr>
            </w:pPr>
            <w:r w:rsidRPr="00084BA2">
              <w:rPr>
                <w:rFonts w:cs="Arial"/>
                <w:sz w:val="16"/>
                <w:szCs w:val="16"/>
              </w:rPr>
              <w:t>Chen SC, Sorrell TC, Chang CC, Paige EK, Bryant PA, Slavin MA. Consensus guidelines for the treatment of yeast infections in the haematology, oncology and intensive care setting, 2014. Intern Med J 2014;44:1315-32</w:t>
            </w:r>
          </w:p>
          <w:p w:rsidRPr="00084BA2" w:rsidR="00084BA2" w:rsidP="001B0E05" w:rsidRDefault="00084BA2" w14:paraId="568A78CC" w14:textId="77777777">
            <w:pPr>
              <w:numPr>
                <w:ilvl w:val="0"/>
                <w:numId w:val="22"/>
              </w:numPr>
              <w:ind w:left="284" w:hanging="284"/>
              <w:rPr>
                <w:rFonts w:cs="Arial"/>
                <w:sz w:val="16"/>
                <w:szCs w:val="16"/>
              </w:rPr>
            </w:pPr>
            <w:r w:rsidRPr="00084BA2">
              <w:rPr>
                <w:rFonts w:cs="Arial"/>
                <w:sz w:val="16"/>
                <w:szCs w:val="16"/>
              </w:rPr>
              <w:t>Juster-Reicher A, Flidel-Rimon O, Amitay M, Even-Tov S, Shinwell E, Leibovitz E. High-dose liposomal amphotericin B in the therapy of systemic candidiasis in neonates. Eur J Clin Microbiol Infect Dis 2003;22:603-7</w:t>
            </w:r>
          </w:p>
          <w:p w:rsidRPr="00084BA2" w:rsidR="00084BA2" w:rsidP="001B0E05" w:rsidRDefault="00084BA2" w14:paraId="1948FB8F" w14:textId="77777777">
            <w:pPr>
              <w:numPr>
                <w:ilvl w:val="0"/>
                <w:numId w:val="22"/>
              </w:numPr>
              <w:ind w:left="284" w:hanging="284"/>
              <w:rPr>
                <w:rFonts w:cs="Arial"/>
                <w:sz w:val="16"/>
                <w:szCs w:val="16"/>
              </w:rPr>
            </w:pPr>
            <w:r w:rsidRPr="00084BA2">
              <w:rPr>
                <w:rFonts w:cs="Arial"/>
                <w:sz w:val="16"/>
                <w:szCs w:val="16"/>
              </w:rPr>
              <w:t>Wurthwein G, Groll AH, Hempel G, Adler-Shohet FC, Lieberman JM, Walsh TJ. Population pharmacokinetics of amphotericin B lipid complex in neonates. Antimicrob Agents Chemother 2005;49:5092-8</w:t>
            </w:r>
          </w:p>
          <w:p w:rsidRPr="00084BA2" w:rsidR="00084BA2" w:rsidP="001B0E05" w:rsidRDefault="00084BA2" w14:paraId="1FE76170" w14:textId="77777777">
            <w:pPr>
              <w:numPr>
                <w:ilvl w:val="0"/>
                <w:numId w:val="22"/>
              </w:numPr>
              <w:ind w:left="284" w:hanging="284"/>
              <w:rPr>
                <w:rFonts w:cs="Arial"/>
                <w:sz w:val="16"/>
                <w:szCs w:val="16"/>
              </w:rPr>
            </w:pPr>
            <w:r w:rsidRPr="00084BA2">
              <w:rPr>
                <w:rFonts w:cs="Arial"/>
                <w:sz w:val="16"/>
                <w:szCs w:val="16"/>
              </w:rPr>
              <w:t xml:space="preserve">Nau R, Sörgel F, Eiffert H. Penetration of Drugs through the Blood-Cerebrospinal Fluid/Blood-Brain Barrier for Treatment of Central Nervous System Infections. Clinical Microbiology Reviews. 2010;23(4):858-83. </w:t>
            </w:r>
          </w:p>
          <w:p w:rsidRPr="00084BA2" w:rsidR="00084BA2" w:rsidP="001B0E05" w:rsidRDefault="00084BA2" w14:paraId="0A91B9EB" w14:textId="77777777">
            <w:pPr>
              <w:numPr>
                <w:ilvl w:val="0"/>
                <w:numId w:val="22"/>
              </w:numPr>
              <w:ind w:left="284" w:hanging="284"/>
              <w:rPr>
                <w:rFonts w:cs="Arial"/>
                <w:sz w:val="16"/>
                <w:szCs w:val="16"/>
              </w:rPr>
            </w:pPr>
            <w:r w:rsidRPr="00084BA2">
              <w:rPr>
                <w:rFonts w:cs="Arial"/>
                <w:sz w:val="16"/>
                <w:szCs w:val="16"/>
              </w:rPr>
              <w:t>Clerihew L, McGuire W. Antifungal therapy for newborn infants with invasive fungal infection. Cochrane Database Syst Rev. 2012 Jun 13;(6):CD003953 doi: 10.1002/14651858.CD003953.pub3</w:t>
            </w:r>
          </w:p>
          <w:p w:rsidRPr="00084BA2" w:rsidR="00084BA2" w:rsidP="001B0E05" w:rsidRDefault="00084BA2" w14:paraId="139610A4" w14:textId="77777777">
            <w:pPr>
              <w:numPr>
                <w:ilvl w:val="0"/>
                <w:numId w:val="22"/>
              </w:numPr>
              <w:ind w:left="284" w:hanging="284"/>
              <w:rPr>
                <w:rFonts w:cs="Arial"/>
                <w:sz w:val="16"/>
                <w:szCs w:val="16"/>
              </w:rPr>
            </w:pPr>
            <w:r w:rsidRPr="00084BA2">
              <w:rPr>
                <w:rFonts w:cs="Arial"/>
                <w:sz w:val="16"/>
                <w:szCs w:val="16"/>
              </w:rPr>
              <w:t>Blyth CC, Hale K, Palasanthiran P, O’Brien T, Bennett MH. Antifungal therapy in infants and children with proven, probable or suspected invasive fungal infections. Cochrane Database Syst Rev. 2010, Feb 17;(2):CD006343. doi: 10.1002/14651858.CD006343 pub2</w:t>
            </w:r>
          </w:p>
          <w:p w:rsidRPr="00084BA2" w:rsidR="00084BA2" w:rsidP="001B0E05" w:rsidRDefault="00084BA2" w14:paraId="7F0913C1" w14:textId="77777777">
            <w:pPr>
              <w:numPr>
                <w:ilvl w:val="0"/>
                <w:numId w:val="22"/>
              </w:numPr>
              <w:ind w:left="284" w:hanging="284"/>
              <w:rPr>
                <w:rFonts w:cs="Arial"/>
                <w:sz w:val="16"/>
                <w:szCs w:val="16"/>
              </w:rPr>
            </w:pPr>
            <w:r w:rsidRPr="00084BA2">
              <w:rPr>
                <w:rFonts w:cs="Arial"/>
                <w:sz w:val="16"/>
                <w:szCs w:val="16"/>
              </w:rPr>
              <w:t>Driessen M, Ellis JB, Cooper PA, Wainer S, Muwazi F, Hahn D et al. Fluconazole vs amphotericin B for the treatment of neonatal fungal septicaemia: a prospective randomized trial. Pediatr Infect Dis J 1996;15:1107-12</w:t>
            </w:r>
          </w:p>
          <w:p w:rsidRPr="00084BA2" w:rsidR="00084BA2" w:rsidP="001B0E05" w:rsidRDefault="00084BA2" w14:paraId="1A47CB73" w14:textId="77777777">
            <w:pPr>
              <w:numPr>
                <w:ilvl w:val="0"/>
                <w:numId w:val="22"/>
              </w:numPr>
              <w:ind w:left="284" w:hanging="284"/>
              <w:rPr>
                <w:rFonts w:cs="Arial"/>
                <w:sz w:val="16"/>
                <w:szCs w:val="16"/>
              </w:rPr>
            </w:pPr>
            <w:r w:rsidRPr="00084BA2">
              <w:rPr>
                <w:rFonts w:cs="Arial"/>
                <w:sz w:val="16"/>
                <w:szCs w:val="16"/>
              </w:rPr>
              <w:lastRenderedPageBreak/>
              <w:t xml:space="preserve">Weitkamp JH, Poets CF, Sievers R, Musswessels E, Groneck P, Thomas P et al. Candida infection in very low birth-weight infants: Outcome and nephrotoxicity of treatment with liposomal amphotericin B (AmBisome). Infection 1998;26:11-5. </w:t>
            </w:r>
          </w:p>
          <w:p w:rsidRPr="00084BA2" w:rsidR="00084BA2" w:rsidP="001B0E05" w:rsidRDefault="00084BA2" w14:paraId="4F54C9D3" w14:textId="77777777">
            <w:pPr>
              <w:numPr>
                <w:ilvl w:val="0"/>
                <w:numId w:val="22"/>
              </w:numPr>
              <w:ind w:left="284" w:hanging="284"/>
              <w:rPr>
                <w:rFonts w:cs="Arial"/>
                <w:sz w:val="16"/>
                <w:szCs w:val="16"/>
              </w:rPr>
            </w:pPr>
            <w:r w:rsidRPr="00084BA2">
              <w:rPr>
                <w:rFonts w:cs="Arial"/>
                <w:sz w:val="16"/>
                <w:szCs w:val="16"/>
              </w:rPr>
              <w:t>Juster-Reicher A, Leibovitz E, Linder N, Amitay M, Flidel-Rimon O, Even-Tov S et al. Liposomal amphotericin B (AmBisome) in the treatment of neonatal candidiasis in very low birth weight infants. Infection 2000;28:223-6</w:t>
            </w:r>
          </w:p>
          <w:p w:rsidRPr="00084BA2" w:rsidR="00084BA2" w:rsidP="001B0E05" w:rsidRDefault="00084BA2" w14:paraId="02CF95B2" w14:textId="77777777">
            <w:pPr>
              <w:numPr>
                <w:ilvl w:val="0"/>
                <w:numId w:val="22"/>
              </w:numPr>
              <w:ind w:left="284" w:hanging="284"/>
              <w:rPr>
                <w:sz w:val="16"/>
                <w:szCs w:val="16"/>
              </w:rPr>
            </w:pPr>
            <w:r w:rsidRPr="00084BA2">
              <w:rPr>
                <w:rFonts w:cs="Arial"/>
                <w:sz w:val="16"/>
                <w:szCs w:val="16"/>
              </w:rPr>
              <w:t>Botero Aguirre JP, Restrepo Hamid AM. Amphotericin B deoxycholate versus liposomal amphotericin B: effects on kidney function. Cochrane Database Syst Rev 2015 Nov 23;(11):CD010481.</w:t>
            </w:r>
          </w:p>
          <w:p w:rsidRPr="00084BA2" w:rsidR="00084BA2" w:rsidP="001B0E05" w:rsidRDefault="00084BA2" w14:paraId="70AE92AC" w14:textId="77777777">
            <w:pPr>
              <w:numPr>
                <w:ilvl w:val="0"/>
                <w:numId w:val="22"/>
              </w:numPr>
              <w:ind w:left="284" w:hanging="284"/>
              <w:rPr>
                <w:sz w:val="16"/>
                <w:szCs w:val="16"/>
              </w:rPr>
            </w:pPr>
            <w:r w:rsidRPr="00084BA2">
              <w:rPr>
                <w:sz w:val="16"/>
                <w:szCs w:val="16"/>
              </w:rPr>
              <w:t>Ascher SB, Smith PB, Watt K et al. Antifungal therapy and outcomes in infants with invasive candida infections. Pediatr Infect Dis J 2012;31:439-43</w:t>
            </w:r>
          </w:p>
          <w:p w:rsidRPr="00084BA2" w:rsidR="00084BA2" w:rsidP="001B0E05" w:rsidRDefault="00084BA2" w14:paraId="743DB57D" w14:textId="77777777">
            <w:pPr>
              <w:numPr>
                <w:ilvl w:val="0"/>
                <w:numId w:val="22"/>
              </w:numPr>
              <w:ind w:left="284" w:hanging="284"/>
              <w:rPr>
                <w:sz w:val="16"/>
                <w:szCs w:val="16"/>
              </w:rPr>
            </w:pPr>
            <w:r w:rsidRPr="00084BA2">
              <w:rPr>
                <w:sz w:val="16"/>
                <w:szCs w:val="16"/>
              </w:rPr>
              <w:t>Clark E, Giambra BK, Hingl J et al. Reducing risk of harm from extravasation: a 3-tiered evidence-based list of pediatric peripheral intravenous infusates. J Infus Nurse 2013;36:37-45</w:t>
            </w:r>
          </w:p>
          <w:p w:rsidRPr="00084BA2" w:rsidR="00084BA2" w:rsidP="001B0E05" w:rsidRDefault="00084BA2" w14:paraId="7E6867A1" w14:textId="77777777">
            <w:pPr>
              <w:numPr>
                <w:ilvl w:val="0"/>
                <w:numId w:val="22"/>
              </w:numPr>
              <w:ind w:left="284" w:hanging="284"/>
              <w:rPr>
                <w:sz w:val="16"/>
                <w:szCs w:val="16"/>
              </w:rPr>
            </w:pPr>
            <w:r w:rsidRPr="00084BA2">
              <w:rPr>
                <w:sz w:val="16"/>
                <w:szCs w:val="16"/>
              </w:rPr>
              <w:t>Roberts JK, Stockmann C, Constance JE et al. Pharmacokinetics and pharmacodynamics of antibacterials, antifungals, and antivirals used most frequently in neonates and infants. Clin Pharmacokinet 2014;53:581-610.</w:t>
            </w:r>
          </w:p>
          <w:p w:rsidRPr="00084BA2" w:rsidR="00084BA2" w:rsidP="001B0E05" w:rsidRDefault="00084BA2" w14:paraId="065C88FF" w14:textId="77777777">
            <w:pPr>
              <w:numPr>
                <w:ilvl w:val="0"/>
                <w:numId w:val="22"/>
              </w:numPr>
              <w:ind w:left="284" w:hanging="284"/>
              <w:rPr>
                <w:sz w:val="16"/>
                <w:szCs w:val="16"/>
              </w:rPr>
            </w:pPr>
            <w:r w:rsidRPr="00084BA2">
              <w:rPr>
                <w:sz w:val="16"/>
                <w:szCs w:val="16"/>
              </w:rPr>
              <w:t>Cota JM, Burgess DS. Antifungal dose adjustment in renal and hepatic dysfunction: Pharmacokinetic and pharmacodynamics considerations. Curr Fungal Infect Rep 2010;4:120-8.</w:t>
            </w:r>
          </w:p>
        </w:tc>
      </w:tr>
    </w:tbl>
    <w:p w:rsidR="00115F48" w:rsidP="006F0321" w:rsidRDefault="00115F48" w14:paraId="01468266" w14:textId="2100B71B"/>
    <w:p w:rsidRPr="00E25790" w:rsidR="00084BA2" w:rsidP="006F0321" w:rsidRDefault="00084BA2" w14:paraId="337D53D6" w14:textId="77777777"/>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78"/>
        <w:gridCol w:w="4423"/>
      </w:tblGrid>
      <w:tr w:rsidRPr="00E919A0" w:rsidR="00E424B4" w:rsidTr="00FA198C" w14:paraId="77F56AB9" w14:textId="77777777">
        <w:tc>
          <w:tcPr>
            <w:tcW w:w="4678" w:type="dxa"/>
            <w:vAlign w:val="center"/>
          </w:tcPr>
          <w:p w:rsidRPr="00E919A0" w:rsidR="00E237B1" w:rsidP="00FA198C" w:rsidRDefault="00E237B1" w14:paraId="0905406D" w14:textId="77777777">
            <w:r w:rsidRPr="00E919A0">
              <w:t xml:space="preserve">Original version Date: </w:t>
            </w:r>
            <w:r>
              <w:t>17/07/2017</w:t>
            </w:r>
          </w:p>
        </w:tc>
        <w:tc>
          <w:tcPr>
            <w:tcW w:w="4423" w:type="dxa"/>
            <w:vAlign w:val="center"/>
          </w:tcPr>
          <w:p w:rsidRPr="00E919A0" w:rsidR="00E237B1" w:rsidP="00FA198C" w:rsidRDefault="00E237B1" w14:paraId="29854003" w14:textId="77777777">
            <w:r w:rsidRPr="00E919A0">
              <w:t xml:space="preserve">Author: </w:t>
            </w:r>
            <w:r>
              <w:t>A</w:t>
            </w:r>
            <w:r w:rsidRPr="00E919A0">
              <w:t>NMF Consensus Group</w:t>
            </w:r>
          </w:p>
        </w:tc>
      </w:tr>
      <w:tr w:rsidRPr="00E919A0" w:rsidR="00E424B4" w:rsidTr="00FA198C" w14:paraId="32A9579F" w14:textId="77777777">
        <w:tc>
          <w:tcPr>
            <w:tcW w:w="4678" w:type="dxa"/>
            <w:vAlign w:val="center"/>
          </w:tcPr>
          <w:p w:rsidRPr="00E919A0" w:rsidR="00E237B1" w:rsidP="00FA198C" w:rsidRDefault="00E237B1" w14:paraId="1D0C232C" w14:textId="4D45D1D7">
            <w:pPr>
              <w:rPr>
                <w:bCs/>
              </w:rPr>
            </w:pPr>
            <w:r w:rsidRPr="00E919A0">
              <w:t xml:space="preserve">Current Version number: </w:t>
            </w:r>
            <w:r w:rsidR="0087668D">
              <w:t>3</w:t>
            </w:r>
          </w:p>
        </w:tc>
        <w:tc>
          <w:tcPr>
            <w:tcW w:w="4423" w:type="dxa"/>
            <w:vAlign w:val="center"/>
          </w:tcPr>
          <w:p w:rsidRPr="00E919A0" w:rsidR="00E237B1" w:rsidP="00FA198C" w:rsidRDefault="00E237B1" w14:paraId="75AE16B0" w14:textId="3BEF87F1">
            <w:r w:rsidRPr="00E919A0">
              <w:t xml:space="preserve">Version Date:  </w:t>
            </w:r>
            <w:r w:rsidR="0087668D">
              <w:t>16/11/2020</w:t>
            </w:r>
          </w:p>
        </w:tc>
      </w:tr>
      <w:tr w:rsidRPr="00E919A0" w:rsidR="00E424B4" w:rsidTr="00FA198C" w14:paraId="4DC4F0A9" w14:textId="77777777">
        <w:tc>
          <w:tcPr>
            <w:tcW w:w="4678" w:type="dxa"/>
            <w:vAlign w:val="center"/>
          </w:tcPr>
          <w:p w:rsidRPr="00E919A0" w:rsidR="00E237B1" w:rsidP="00FA198C" w:rsidRDefault="00E237B1" w14:paraId="25934801" w14:textId="4E6A917F">
            <w:r w:rsidRPr="00E919A0">
              <w:t xml:space="preserve">Risk Rating: </w:t>
            </w:r>
            <w:r w:rsidR="00B83C25">
              <w:t>Low</w:t>
            </w:r>
          </w:p>
        </w:tc>
        <w:tc>
          <w:tcPr>
            <w:tcW w:w="4423" w:type="dxa"/>
            <w:vAlign w:val="center"/>
          </w:tcPr>
          <w:p w:rsidRPr="00E919A0" w:rsidR="00E237B1" w:rsidP="00FA198C" w:rsidRDefault="00E237B1" w14:paraId="1E3E0EA7" w14:textId="5C3C7C32">
            <w:r w:rsidRPr="00E919A0">
              <w:t xml:space="preserve">Due for Review:  </w:t>
            </w:r>
            <w:r w:rsidR="0087668D">
              <w:t>16/11/2025</w:t>
            </w:r>
          </w:p>
        </w:tc>
      </w:tr>
      <w:tr w:rsidRPr="00E919A0" w:rsidR="00E424B4" w:rsidTr="00FA198C" w14:paraId="7F812C52" w14:textId="77777777">
        <w:trPr>
          <w:trHeight w:val="344"/>
        </w:trPr>
        <w:tc>
          <w:tcPr>
            <w:tcW w:w="4678" w:type="dxa"/>
            <w:tcBorders>
              <w:bottom w:val="single" w:color="auto" w:sz="4" w:space="0"/>
            </w:tcBorders>
            <w:vAlign w:val="center"/>
          </w:tcPr>
          <w:p w:rsidRPr="00E919A0" w:rsidR="00E237B1" w:rsidP="00FA198C" w:rsidRDefault="00E237B1" w14:paraId="175174FD" w14:textId="77777777">
            <w:r w:rsidRPr="00E919A0">
              <w:t xml:space="preserve">Approval by: </w:t>
            </w:r>
            <w:r>
              <w:t>DTC</w:t>
            </w:r>
          </w:p>
        </w:tc>
        <w:tc>
          <w:tcPr>
            <w:tcW w:w="4423" w:type="dxa"/>
            <w:tcBorders>
              <w:bottom w:val="single" w:color="auto" w:sz="4" w:space="0"/>
            </w:tcBorders>
            <w:vAlign w:val="center"/>
          </w:tcPr>
          <w:p w:rsidRPr="00E919A0" w:rsidR="00E237B1" w:rsidP="00FA198C" w:rsidRDefault="00E237B1" w14:paraId="2B01CF79" w14:textId="394ACEC7">
            <w:r w:rsidRPr="00E919A0">
              <w:t>Approval Date:</w:t>
            </w:r>
            <w:r>
              <w:t xml:space="preserve"> </w:t>
            </w:r>
            <w:r w:rsidR="00260BC8">
              <w:t>APRIL 2021</w:t>
            </w:r>
          </w:p>
        </w:tc>
      </w:tr>
    </w:tbl>
    <w:p w:rsidRPr="00E25790" w:rsidR="00115F48" w:rsidP="006F0321" w:rsidRDefault="00115F48" w14:paraId="198E3E0D" w14:textId="77777777"/>
    <w:p w:rsidRPr="00E25790" w:rsidR="001305B1" w:rsidP="006F0321" w:rsidRDefault="001305B1" w14:paraId="00EF40BC" w14:textId="77777777">
      <w:r w:rsidRPr="00E25790">
        <w:br w:type="page"/>
      </w:r>
    </w:p>
    <w:tbl>
      <w:tblPr>
        <w:tblW w:w="9072" w:type="dxa"/>
        <w:tblInd w:w="-23" w:type="dxa"/>
        <w:tblLayout w:type="fixed"/>
        <w:tblLook w:val="0000" w:firstRow="0" w:lastRow="0" w:firstColumn="0" w:lastColumn="0" w:noHBand="0" w:noVBand="0"/>
      </w:tblPr>
      <w:tblGrid>
        <w:gridCol w:w="4296"/>
        <w:gridCol w:w="4776"/>
      </w:tblGrid>
      <w:tr w:rsidRPr="00E25790" w:rsidR="00273A16" w:rsidTr="00FA198C" w14:paraId="25AA3DF6" w14:textId="77777777">
        <w:trPr>
          <w:cantSplit/>
          <w:trHeight w:val="720"/>
        </w:trPr>
        <w:tc>
          <w:tcPr>
            <w:tcW w:w="9072"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305B1" w:rsidP="009469DB" w:rsidRDefault="001305B1" w14:paraId="75930EC3" w14:textId="77777777">
            <w:pPr>
              <w:pStyle w:val="Heading1"/>
            </w:pPr>
            <w:bookmarkStart w:name="_Toc38106809" w:id="85"/>
            <w:bookmarkStart w:name="_Toc75339937" w:id="86"/>
            <w:r w:rsidRPr="00E25790">
              <w:lastRenderedPageBreak/>
              <w:t>Aspirin</w:t>
            </w:r>
            <w:bookmarkEnd w:id="85"/>
            <w:bookmarkEnd w:id="86"/>
            <w:r w:rsidRPr="00E25790">
              <w:fldChar w:fldCharType="begin"/>
            </w:r>
            <w:r w:rsidRPr="00E25790">
              <w:instrText>tc "CAP Trial" \l 0</w:instrText>
            </w:r>
            <w:r w:rsidRPr="00E25790">
              <w:fldChar w:fldCharType="end"/>
            </w:r>
          </w:p>
        </w:tc>
      </w:tr>
      <w:tr w:rsidRPr="00E25790" w:rsidR="00301F45" w:rsidTr="00FA198C" w14:paraId="1EFD0DA4" w14:textId="77777777">
        <w:trPr>
          <w:cantSplit/>
          <w:trHeight w:val="480"/>
        </w:trPr>
        <w:tc>
          <w:tcPr>
            <w:tcW w:w="4296" w:type="dxa"/>
            <w:tcBorders>
              <w:top w:val="double" w:color="auto" w:sz="6" w:space="0"/>
              <w:left w:val="double" w:color="auto" w:sz="6" w:space="0"/>
              <w:bottom w:val="double" w:color="auto" w:sz="6" w:space="0"/>
              <w:right w:val="single" w:color="auto" w:sz="6" w:space="0"/>
            </w:tcBorders>
            <w:shd w:val="clear" w:color="auto" w:fill="FFFF00"/>
          </w:tcPr>
          <w:p w:rsidRPr="00E25790" w:rsidR="001305B1" w:rsidP="006F0321" w:rsidRDefault="001305B1" w14:paraId="0F17D3C5" w14:textId="42DC069B">
            <w:r w:rsidRPr="00E25790">
              <w:t xml:space="preserve">Revision Date : </w:t>
            </w:r>
            <w:r w:rsidR="00C50822">
              <w:t>31</w:t>
            </w:r>
            <w:r w:rsidR="003921A3">
              <w:t xml:space="preserve"> </w:t>
            </w:r>
            <w:r w:rsidR="00C50822">
              <w:t>December</w:t>
            </w:r>
            <w:r w:rsidR="003921A3">
              <w:t xml:space="preserve"> 2020</w:t>
            </w:r>
          </w:p>
        </w:tc>
        <w:tc>
          <w:tcPr>
            <w:tcW w:w="4776" w:type="dxa"/>
            <w:tcBorders>
              <w:top w:val="double" w:color="auto" w:sz="6" w:space="0"/>
              <w:left w:val="single" w:color="auto" w:sz="6" w:space="0"/>
              <w:bottom w:val="double" w:color="auto" w:sz="6" w:space="0"/>
              <w:right w:val="double" w:color="auto" w:sz="6" w:space="0"/>
            </w:tcBorders>
            <w:shd w:val="clear" w:color="auto" w:fill="FFFF00"/>
          </w:tcPr>
          <w:p w:rsidRPr="00E25790" w:rsidR="001305B1" w:rsidP="006F0321" w:rsidRDefault="001305B1" w14:paraId="2023F865" w14:textId="519D8043">
            <w:r w:rsidRPr="00E25790">
              <w:t xml:space="preserve">Approved : </w:t>
            </w:r>
            <w:r w:rsidR="00A92CBA">
              <w:t>LM, KOH</w:t>
            </w:r>
          </w:p>
        </w:tc>
      </w:tr>
    </w:tbl>
    <w:p w:rsidRPr="00E25790" w:rsidR="001305B1" w:rsidP="006F0321" w:rsidRDefault="001305B1" w14:paraId="6D0102F9" w14:textId="77777777"/>
    <w:tbl>
      <w:tblPr>
        <w:tblW w:w="9348" w:type="dxa"/>
        <w:tblLayout w:type="fixed"/>
        <w:tblLook w:val="0000" w:firstRow="0" w:lastRow="0" w:firstColumn="0" w:lastColumn="0" w:noHBand="0" w:noVBand="0"/>
      </w:tblPr>
      <w:tblGrid>
        <w:gridCol w:w="2438"/>
        <w:gridCol w:w="6910"/>
      </w:tblGrid>
      <w:tr w:rsidRPr="00E25790" w:rsidR="001305B1" w:rsidTr="0047210D" w14:paraId="4EB23569" w14:textId="77777777">
        <w:trPr>
          <w:cantSplit/>
          <w:trHeight w:val="507"/>
        </w:trPr>
        <w:tc>
          <w:tcPr>
            <w:tcW w:w="2438" w:type="dxa"/>
            <w:tcBorders>
              <w:top w:val="single" w:color="auto" w:sz="6" w:space="0"/>
              <w:left w:val="single" w:color="auto" w:sz="6" w:space="0"/>
              <w:bottom w:val="single" w:color="auto" w:sz="6" w:space="0"/>
            </w:tcBorders>
          </w:tcPr>
          <w:p w:rsidRPr="00E25790" w:rsidR="001305B1" w:rsidP="006F0321" w:rsidRDefault="001305B1" w14:paraId="5ADC05B6" w14:textId="77777777">
            <w:r w:rsidRPr="00642ECE">
              <w:rPr>
                <w:b/>
              </w:rPr>
              <w:t>Indication</w:t>
            </w:r>
            <w:r w:rsidRPr="00E25790">
              <w:t xml:space="preserve"> :  </w:t>
            </w:r>
          </w:p>
          <w:p w:rsidRPr="00E25790" w:rsidR="001305B1" w:rsidP="006F0321" w:rsidRDefault="001305B1" w14:paraId="45D40FAD" w14:textId="77777777"/>
        </w:tc>
        <w:tc>
          <w:tcPr>
            <w:tcW w:w="6910" w:type="dxa"/>
            <w:tcBorders>
              <w:top w:val="single" w:color="auto" w:sz="6" w:space="0"/>
              <w:bottom w:val="single" w:color="auto" w:sz="6" w:space="0"/>
              <w:right w:val="single" w:color="auto" w:sz="6" w:space="0"/>
            </w:tcBorders>
          </w:tcPr>
          <w:p w:rsidRPr="00E25790" w:rsidR="001305B1" w:rsidP="006F0321" w:rsidRDefault="001305B1" w14:paraId="736A43A6" w14:textId="77777777">
            <w:r w:rsidRPr="00E25790">
              <w:t>Antiplatelet agent for use in neonates with cardiac shunts e.g. Blalock-Taussig shunt</w:t>
            </w:r>
          </w:p>
        </w:tc>
      </w:tr>
      <w:tr w:rsidRPr="00E25790" w:rsidR="001305B1" w:rsidTr="0047210D" w14:paraId="0519855B"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25B7CB99" w14:textId="77777777">
            <w:r w:rsidRPr="00642ECE">
              <w:rPr>
                <w:b/>
              </w:rPr>
              <w:t>Dose</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170A66E1" w14:textId="0DF64E97">
            <w:pPr>
              <w:rPr>
                <w:vertAlign w:val="superscript"/>
              </w:rPr>
            </w:pPr>
            <w:r w:rsidRPr="00E25790">
              <w:t>1 - 5mg/kg/dose</w:t>
            </w:r>
          </w:p>
        </w:tc>
      </w:tr>
      <w:tr w:rsidRPr="00E25790" w:rsidR="001305B1" w:rsidTr="0047210D" w14:paraId="68FF5285"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3F1DAFB4" w14:textId="77777777">
            <w:r w:rsidRPr="00642ECE">
              <w:rPr>
                <w:b/>
              </w:rPr>
              <w:t>Interval</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70EA5658" w14:textId="77777777">
            <w:r w:rsidRPr="00E25790">
              <w:t>Once Daily</w:t>
            </w:r>
          </w:p>
        </w:tc>
      </w:tr>
      <w:tr w:rsidRPr="00E25790" w:rsidR="001305B1" w:rsidTr="0047210D" w14:paraId="6B0DFB6B"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260DAF87" w14:textId="77777777">
            <w:r w:rsidRPr="00642ECE">
              <w:rPr>
                <w:b/>
              </w:rPr>
              <w:t>Route</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7613A781" w14:textId="77777777">
            <w:r w:rsidRPr="00E25790">
              <w:t xml:space="preserve">Oral </w:t>
            </w:r>
          </w:p>
        </w:tc>
      </w:tr>
      <w:tr w:rsidRPr="00E25790" w:rsidR="001305B1" w:rsidTr="0047210D" w14:paraId="5951611F"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127325F2" w14:textId="77777777">
            <w:r w:rsidRPr="00642ECE">
              <w:rPr>
                <w:b/>
              </w:rPr>
              <w:t>Total Daily Dose</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668361F2" w14:textId="77777777">
            <w:r w:rsidRPr="00E25790">
              <w:t>Maximum dose 5mg/kg/day</w:t>
            </w:r>
          </w:p>
        </w:tc>
      </w:tr>
      <w:tr w:rsidRPr="00E25790" w:rsidR="00CC4A14" w:rsidTr="0047210D" w14:paraId="515EC074" w14:textId="77777777">
        <w:trPr>
          <w:cantSplit/>
          <w:trHeight w:val="1200"/>
        </w:trPr>
        <w:tc>
          <w:tcPr>
            <w:tcW w:w="2438" w:type="dxa"/>
            <w:tcBorders>
              <w:top w:val="single" w:color="auto" w:sz="6" w:space="0"/>
              <w:left w:val="single" w:color="auto" w:sz="6" w:space="0"/>
              <w:bottom w:val="single" w:color="auto" w:sz="6" w:space="0"/>
            </w:tcBorders>
          </w:tcPr>
          <w:p w:rsidRPr="00E25790" w:rsidR="00CC4A14" w:rsidP="00276295" w:rsidRDefault="00CC4A14" w14:paraId="1ABE2F67" w14:textId="77777777">
            <w:r w:rsidRPr="00642ECE">
              <w:rPr>
                <w:b/>
              </w:rPr>
              <w:t>Comments</w:t>
            </w:r>
            <w:r w:rsidRPr="00E25790">
              <w:t xml:space="preserve"> :</w:t>
            </w:r>
          </w:p>
        </w:tc>
        <w:tc>
          <w:tcPr>
            <w:tcW w:w="6910" w:type="dxa"/>
            <w:tcBorders>
              <w:top w:val="single" w:color="auto" w:sz="6" w:space="0"/>
              <w:bottom w:val="single" w:color="auto" w:sz="6" w:space="0"/>
              <w:right w:val="single" w:color="auto" w:sz="6" w:space="0"/>
            </w:tcBorders>
          </w:tcPr>
          <w:p w:rsidRPr="00E25790" w:rsidR="00CC4A14" w:rsidP="001B0E05" w:rsidRDefault="00CC4A14" w14:paraId="5D87628C" w14:textId="6A56B18D">
            <w:pPr>
              <w:pStyle w:val="ListParagraph"/>
              <w:numPr>
                <w:ilvl w:val="0"/>
                <w:numId w:val="89"/>
              </w:numPr>
            </w:pPr>
            <w:r w:rsidRPr="00E25790">
              <w:t xml:space="preserve">Solprin® and Disprin® brands - contain no sodium. Aspro Clear® 300mg soluble tablets contain 6.5 </w:t>
            </w:r>
            <w:r w:rsidR="3EB4E4AC">
              <w:t>mmol</w:t>
            </w:r>
            <w:r w:rsidRPr="00E25790">
              <w:t xml:space="preserve"> sodium per tablet – caution mother not to use Aspro Clear® brand after discharge.</w:t>
            </w:r>
          </w:p>
          <w:p w:rsidR="00CC4A14" w:rsidP="001B0E05" w:rsidRDefault="00CC4A14" w14:paraId="2DDC7BBD" w14:textId="77777777">
            <w:pPr>
              <w:pStyle w:val="ListParagraph"/>
              <w:numPr>
                <w:ilvl w:val="0"/>
                <w:numId w:val="89"/>
              </w:numPr>
            </w:pPr>
            <w:r w:rsidRPr="00E25790">
              <w:t>G6PD deficient patients are at risk of haemolysis.</w:t>
            </w:r>
          </w:p>
          <w:p w:rsidR="004F1D11" w:rsidP="001B0E05" w:rsidRDefault="004F1D11" w14:paraId="209E7A20" w14:textId="77777777">
            <w:pPr>
              <w:pStyle w:val="ListParagraph"/>
              <w:numPr>
                <w:ilvl w:val="0"/>
                <w:numId w:val="89"/>
              </w:numPr>
            </w:pPr>
            <w:r w:rsidRPr="00E25790">
              <w:t xml:space="preserve">Give with feeds to reduce gastric irritation.  </w:t>
            </w:r>
          </w:p>
          <w:p w:rsidRPr="00E25790" w:rsidR="00CC4A14" w:rsidP="001B0E05" w:rsidRDefault="004F1D11" w14:paraId="200A9765" w14:textId="79880645">
            <w:pPr>
              <w:pStyle w:val="ListParagraph"/>
              <w:numPr>
                <w:ilvl w:val="0"/>
                <w:numId w:val="89"/>
              </w:numPr>
            </w:pPr>
            <w:r w:rsidRPr="00E25790">
              <w:t>Not used as an analgesic or antipyretic in neonates, infants or children</w:t>
            </w:r>
            <w:r>
              <w:t xml:space="preserve"> (due to the association with Reye’s syndrome)</w:t>
            </w:r>
            <w:r w:rsidRPr="00E25790">
              <w:t>.</w:t>
            </w:r>
          </w:p>
        </w:tc>
      </w:tr>
      <w:tr w:rsidRPr="00E25790" w:rsidR="007D785D" w:rsidTr="0047210D" w14:paraId="686CA39B" w14:textId="77777777">
        <w:trPr>
          <w:cantSplit/>
          <w:trHeight w:val="6516"/>
        </w:trPr>
        <w:tc>
          <w:tcPr>
            <w:tcW w:w="2438" w:type="dxa"/>
            <w:tcBorders>
              <w:top w:val="single" w:color="auto" w:sz="6" w:space="0"/>
              <w:left w:val="single" w:color="auto" w:sz="6" w:space="0"/>
              <w:bottom w:val="single" w:color="auto" w:sz="6" w:space="0"/>
            </w:tcBorders>
          </w:tcPr>
          <w:p w:rsidRPr="00E25790" w:rsidR="007D785D" w:rsidP="0059369E" w:rsidRDefault="0047210D" w14:paraId="5A71B172" w14:textId="1EA8697F">
            <w:r>
              <w:rPr>
                <w:b/>
              </w:rPr>
              <w:t>A</w:t>
            </w:r>
            <w:r w:rsidRPr="00642ECE" w:rsidR="007D785D">
              <w:rPr>
                <w:b/>
              </w:rPr>
              <w:t>dverse Effects</w:t>
            </w:r>
            <w:r w:rsidRPr="00E25790" w:rsidR="007D785D">
              <w:t xml:space="preserve"> :</w:t>
            </w:r>
          </w:p>
        </w:tc>
        <w:tc>
          <w:tcPr>
            <w:tcW w:w="6910" w:type="dxa"/>
            <w:tcBorders>
              <w:top w:val="single" w:color="auto" w:sz="6" w:space="0"/>
              <w:bottom w:val="single" w:color="auto" w:sz="6" w:space="0"/>
              <w:right w:val="single" w:color="auto" w:sz="6" w:space="0"/>
            </w:tcBorders>
          </w:tcPr>
          <w:p w:rsidR="007D785D" w:rsidP="0059369E" w:rsidRDefault="007D785D" w14:paraId="56B146AB" w14:textId="77777777">
            <w:r w:rsidRPr="00DF6F09">
              <w:rPr>
                <w:b/>
                <w:bCs/>
              </w:rPr>
              <w:t>Common</w:t>
            </w:r>
            <w:r>
              <w:t xml:space="preserve"> :</w:t>
            </w:r>
          </w:p>
          <w:p w:rsidR="007D785D" w:rsidP="0059369E" w:rsidRDefault="007D785D" w14:paraId="69F0E94E" w14:textId="2E78799D">
            <w:r w:rsidRPr="00E25790">
              <w:t xml:space="preserve">Aspirin may cause gastrointestinal irritation </w:t>
            </w:r>
            <w:r>
              <w:t>including nausea, vomiting, abdominal pain, gastrointestinal upset, asymptomatic blood loss.</w:t>
            </w:r>
            <w:r w:rsidRPr="00E25790">
              <w:t xml:space="preserve"> If this occurs discussion should occur with the Cardiology team managing the patient as to whether aspirin can be ceased or addition of a H2 antagonist or proton pump inhibitor is required.</w:t>
            </w:r>
          </w:p>
          <w:p w:rsidR="007D785D" w:rsidP="0059369E" w:rsidRDefault="007D785D" w14:paraId="05DA21C9" w14:textId="77777777"/>
          <w:p w:rsidR="007D785D" w:rsidP="0059369E" w:rsidRDefault="007D785D" w14:paraId="1A9B8E42" w14:textId="7ADDCB00">
            <w:r w:rsidRPr="00642ECE">
              <w:rPr>
                <w:b/>
                <w:bCs/>
              </w:rPr>
              <w:t>Infrequent</w:t>
            </w:r>
            <w:r>
              <w:t xml:space="preserve"> :</w:t>
            </w:r>
          </w:p>
          <w:p w:rsidR="007D785D" w:rsidP="0059369E" w:rsidRDefault="007D785D" w14:paraId="5A3357B6" w14:textId="5CAD2E80">
            <w:r>
              <w:t>Dyspnoea, rhinitis, severe cutaneous adverse reactions (SCARs), skin reactions, gastrointestinal haemorrhage</w:t>
            </w:r>
          </w:p>
          <w:p w:rsidR="007D785D" w:rsidP="0059369E" w:rsidRDefault="007D785D" w14:paraId="7EB8BD0D" w14:textId="77777777"/>
          <w:p w:rsidR="007D785D" w:rsidP="0059369E" w:rsidRDefault="007D785D" w14:paraId="1039970F" w14:textId="2ACD6094">
            <w:r w:rsidRPr="00642ECE">
              <w:rPr>
                <w:b/>
                <w:bCs/>
              </w:rPr>
              <w:t>Rare</w:t>
            </w:r>
            <w:r>
              <w:t xml:space="preserve"> :</w:t>
            </w:r>
          </w:p>
          <w:p w:rsidR="004F1D11" w:rsidP="00E92DE6" w:rsidRDefault="007D785D" w14:paraId="57C3EB77" w14:textId="77777777">
            <w:r>
              <w:t>Reye’s syndrome (more common with doses &gt;40mg/kg/day), aplastic anaemia, erythema nodosum, granulocytosis, haemorrhagic vasculitis, intracranial haemorrhage, thrombocytopenia</w:t>
            </w:r>
            <w:r w:rsidR="004F1D11">
              <w:t>.</w:t>
            </w:r>
          </w:p>
          <w:p w:rsidR="004F1D11" w:rsidP="00E92DE6" w:rsidRDefault="004F1D11" w14:paraId="64E66131" w14:textId="77777777"/>
          <w:p w:rsidR="004F1D11" w:rsidP="00E92DE6" w:rsidRDefault="007D785D" w14:paraId="22C9A701" w14:textId="2D189B9E">
            <w:r w:rsidRPr="00642ECE">
              <w:rPr>
                <w:b/>
              </w:rPr>
              <w:t>Allergic reaction</w:t>
            </w:r>
            <w:r>
              <w:t xml:space="preserve"> </w:t>
            </w:r>
            <w:r w:rsidR="004F1D11">
              <w:t>:</w:t>
            </w:r>
          </w:p>
          <w:p w:rsidR="007D785D" w:rsidP="0059369E" w:rsidRDefault="007D785D" w14:paraId="0C64CD54" w14:textId="2416D677">
            <w:r>
              <w:t>Bronchospasm, angioedema, urticaria and rhinitis have been precipitated by aspirin; there is cross-reactivity with other non-steroidal anti-inflammatory drugs (NSAIDs)</w:t>
            </w:r>
            <w:r w:rsidR="004F1D11">
              <w:t>.</w:t>
            </w:r>
          </w:p>
          <w:p w:rsidRPr="00E25790" w:rsidR="007D785D" w:rsidP="0059369E" w:rsidRDefault="007D785D" w14:paraId="60D50D50" w14:textId="438689F7"/>
        </w:tc>
      </w:tr>
      <w:tr w:rsidRPr="00E25790" w:rsidR="001305B1" w:rsidTr="0047210D" w14:paraId="3210745D"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70C02152" w14:textId="77777777">
            <w:r w:rsidRPr="00642ECE">
              <w:rPr>
                <w:b/>
              </w:rPr>
              <w:lastRenderedPageBreak/>
              <w:t>Supplied as</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15CB4486" w14:textId="77777777">
            <w:r w:rsidRPr="00E25790">
              <w:t xml:space="preserve">300mg dispersible tablet </w:t>
            </w:r>
          </w:p>
        </w:tc>
      </w:tr>
      <w:tr w:rsidRPr="00E25790" w:rsidR="001305B1" w:rsidTr="0047210D" w14:paraId="496644FA" w14:textId="77777777">
        <w:trPr>
          <w:cantSplit/>
          <w:trHeight w:val="960"/>
        </w:trPr>
        <w:tc>
          <w:tcPr>
            <w:tcW w:w="2438" w:type="dxa"/>
            <w:tcBorders>
              <w:top w:val="single" w:color="auto" w:sz="6" w:space="0"/>
              <w:left w:val="single" w:color="auto" w:sz="6" w:space="0"/>
              <w:bottom w:val="single" w:color="auto" w:sz="6" w:space="0"/>
            </w:tcBorders>
          </w:tcPr>
          <w:p w:rsidRPr="00E25790" w:rsidR="001305B1" w:rsidP="006F0321" w:rsidRDefault="001305B1" w14:paraId="3C4CE9A7" w14:textId="77777777">
            <w:r w:rsidRPr="00642ECE">
              <w:rPr>
                <w:b/>
              </w:rPr>
              <w:t>Dilution</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6DAC8BA6" w14:textId="77777777">
            <w:r w:rsidRPr="00E25790">
              <w:t>Disperse a 300mg tablet in about 8mL of water for injection. Wait for bubbles to subside and make up to a final volume of 10mL with extra WFI. Makes a 30mg/mL solution.</w:t>
            </w:r>
          </w:p>
          <w:p w:rsidRPr="00E25790" w:rsidR="001305B1" w:rsidP="006F0321" w:rsidRDefault="001305B1" w14:paraId="0F76534C" w14:textId="77777777">
            <w:r w:rsidRPr="00E25790">
              <w:t xml:space="preserve">Give dose immediately and discard remaining solution.  </w:t>
            </w:r>
          </w:p>
        </w:tc>
      </w:tr>
      <w:tr w:rsidRPr="00E25790" w:rsidR="001305B1" w:rsidTr="0047210D" w14:paraId="093C74C3"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737117C3" w14:textId="77777777">
            <w:r w:rsidRPr="00642ECE">
              <w:rPr>
                <w:b/>
              </w:rPr>
              <w:t>Stability</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54A99816" w14:textId="35073490">
            <w:r w:rsidRPr="00E25790">
              <w:t>Aspirin breaks down rapidly when exposed to moisture – use immediately after removal from packaging</w:t>
            </w:r>
            <w:r w:rsidR="0003533B">
              <w:t>.</w:t>
            </w:r>
          </w:p>
        </w:tc>
      </w:tr>
      <w:tr w:rsidRPr="00E25790" w:rsidR="001305B1" w:rsidTr="0047210D" w14:paraId="717056E1"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6F581E79" w14:textId="77777777">
            <w:r w:rsidRPr="00642ECE">
              <w:rPr>
                <w:b/>
              </w:rPr>
              <w:t>Storage</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22960CA8" w14:textId="77777777">
            <w:r w:rsidRPr="00E25790">
              <w:t>Store tablets below 25 degrees Celsius</w:t>
            </w:r>
          </w:p>
        </w:tc>
      </w:tr>
      <w:tr w:rsidRPr="00E25790" w:rsidR="001305B1" w:rsidTr="0047210D" w14:paraId="3CBE0154"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1305B1" w14:paraId="7DC1EB5F" w14:textId="77777777">
            <w:r w:rsidRPr="00642ECE">
              <w:rPr>
                <w:b/>
              </w:rPr>
              <w:t>Incompatibility</w:t>
            </w:r>
            <w:r w:rsidRPr="00E25790">
              <w:t xml:space="preserve"> :</w:t>
            </w:r>
          </w:p>
        </w:tc>
        <w:tc>
          <w:tcPr>
            <w:tcW w:w="6910" w:type="dxa"/>
            <w:tcBorders>
              <w:top w:val="single" w:color="auto" w:sz="6" w:space="0"/>
              <w:bottom w:val="single" w:color="auto" w:sz="6" w:space="0"/>
              <w:right w:val="single" w:color="auto" w:sz="6" w:space="0"/>
            </w:tcBorders>
          </w:tcPr>
          <w:p w:rsidRPr="00E25790" w:rsidR="001305B1" w:rsidP="006F0321" w:rsidRDefault="001305B1" w14:paraId="136FA29C" w14:textId="77777777">
            <w:r w:rsidRPr="00E25790">
              <w:t xml:space="preserve">Caution with NSAIDs and anticoagulants – increased risk of bleeding </w:t>
            </w:r>
          </w:p>
        </w:tc>
      </w:tr>
      <w:tr w:rsidRPr="00E25790" w:rsidR="00EB38FC" w:rsidTr="0047210D" w14:paraId="1C23EEC3" w14:textId="77777777">
        <w:trPr>
          <w:cantSplit/>
          <w:trHeight w:val="480"/>
        </w:trPr>
        <w:tc>
          <w:tcPr>
            <w:tcW w:w="2438" w:type="dxa"/>
            <w:tcBorders>
              <w:top w:val="single" w:color="auto" w:sz="6" w:space="0"/>
              <w:left w:val="single" w:color="auto" w:sz="6" w:space="0"/>
              <w:bottom w:val="single" w:color="auto" w:sz="6" w:space="0"/>
            </w:tcBorders>
          </w:tcPr>
          <w:p w:rsidRPr="00E25790" w:rsidR="00EB38FC" w:rsidP="00426506" w:rsidRDefault="00EB38FC" w14:paraId="7F6EA8A3" w14:textId="77777777">
            <w:r w:rsidRPr="00041657">
              <w:rPr>
                <w:b/>
                <w:bCs/>
              </w:rPr>
              <w:t>Serum Levels</w:t>
            </w:r>
            <w:r w:rsidRPr="00E25790">
              <w:t xml:space="preserve"> :</w:t>
            </w:r>
          </w:p>
        </w:tc>
        <w:tc>
          <w:tcPr>
            <w:tcW w:w="6910" w:type="dxa"/>
            <w:tcBorders>
              <w:top w:val="single" w:color="auto" w:sz="6" w:space="0"/>
              <w:bottom w:val="single" w:color="auto" w:sz="6" w:space="0"/>
              <w:right w:val="single" w:color="auto" w:sz="6" w:space="0"/>
            </w:tcBorders>
          </w:tcPr>
          <w:p w:rsidRPr="00E25790" w:rsidR="00EB38FC" w:rsidP="00426506" w:rsidRDefault="00EB38FC" w14:paraId="53486A54" w14:textId="77777777">
            <w:r w:rsidRPr="00E25790">
              <w:t>Not applicable</w:t>
            </w:r>
          </w:p>
        </w:tc>
      </w:tr>
      <w:tr w:rsidRPr="00E25790" w:rsidR="001305B1" w:rsidTr="0047210D" w14:paraId="4592C640" w14:textId="77777777">
        <w:trPr>
          <w:cantSplit/>
          <w:trHeight w:val="480"/>
        </w:trPr>
        <w:tc>
          <w:tcPr>
            <w:tcW w:w="2438" w:type="dxa"/>
            <w:tcBorders>
              <w:top w:val="single" w:color="auto" w:sz="6" w:space="0"/>
              <w:left w:val="single" w:color="auto" w:sz="6" w:space="0"/>
              <w:bottom w:val="single" w:color="auto" w:sz="6" w:space="0"/>
            </w:tcBorders>
          </w:tcPr>
          <w:p w:rsidRPr="00E25790" w:rsidR="001305B1" w:rsidP="006F0321" w:rsidRDefault="00EB38FC" w14:paraId="6045D85E" w14:textId="4F0940F9">
            <w:r w:rsidRPr="00041657">
              <w:rPr>
                <w:b/>
                <w:bCs/>
              </w:rPr>
              <w:t>References</w:t>
            </w:r>
            <w:r w:rsidRPr="00E25790" w:rsidR="001305B1">
              <w:t>:</w:t>
            </w:r>
          </w:p>
        </w:tc>
        <w:tc>
          <w:tcPr>
            <w:tcW w:w="6910" w:type="dxa"/>
            <w:tcBorders>
              <w:top w:val="single" w:color="auto" w:sz="6" w:space="0"/>
              <w:bottom w:val="single" w:color="auto" w:sz="6" w:space="0"/>
              <w:right w:val="single" w:color="auto" w:sz="6" w:space="0"/>
            </w:tcBorders>
          </w:tcPr>
          <w:p w:rsidRPr="00E25790" w:rsidR="00EB38FC" w:rsidP="001B0E05" w:rsidRDefault="00EB38FC" w14:paraId="33A29BC7" w14:textId="01EBA40D">
            <w:pPr>
              <w:pStyle w:val="ListParagraph"/>
              <w:numPr>
                <w:ilvl w:val="0"/>
                <w:numId w:val="18"/>
              </w:numPr>
              <w:rPr>
                <w:rFonts w:eastAsia="Calibri" w:cs="Calibri"/>
                <w:szCs w:val="24"/>
              </w:rPr>
            </w:pPr>
            <w:r w:rsidRPr="006F0321">
              <w:rPr>
                <w:lang w:val="it-IT"/>
              </w:rPr>
              <w:t xml:space="preserve">Pagliaro LA, Pagliaro AM editors. </w:t>
            </w:r>
            <w:r w:rsidRPr="00E25790">
              <w:t>2</w:t>
            </w:r>
            <w:r w:rsidRPr="006F0321">
              <w:rPr>
                <w:vertAlign w:val="superscript"/>
              </w:rPr>
              <w:t>nd</w:t>
            </w:r>
            <w:r w:rsidRPr="00E25790">
              <w:t xml:space="preserve"> Edition. Illinois: Problems in Paediatric Drug Therapy. 1987.</w:t>
            </w:r>
          </w:p>
          <w:p w:rsidRPr="00E25790" w:rsidR="00EB38FC" w:rsidP="001B0E05" w:rsidRDefault="0003533B" w14:paraId="003EF644" w14:textId="6679C0F7">
            <w:pPr>
              <w:pStyle w:val="ListParagraph"/>
              <w:numPr>
                <w:ilvl w:val="0"/>
                <w:numId w:val="18"/>
              </w:numPr>
            </w:pPr>
            <w:r>
              <w:t>Brustugun J, et al, Adjusting the dose in paediatric care: dispersing four different aspirin tablets and taking a portion, European Journal of Hospital Pharmacy, 2019</w:t>
            </w:r>
            <w:r w:rsidRPr="00E25790" w:rsidR="00EB38FC">
              <w:t>.</w:t>
            </w:r>
          </w:p>
          <w:p w:rsidR="52CCF2C1" w:rsidP="001B0E05" w:rsidRDefault="52CCF2C1" w14:paraId="6C19BD54" w14:textId="20C0A6B7">
            <w:pPr>
              <w:pStyle w:val="ListParagraph"/>
              <w:numPr>
                <w:ilvl w:val="0"/>
                <w:numId w:val="18"/>
              </w:numPr>
            </w:pPr>
            <w:r>
              <w:t>Australian Medicines Handbook [online] accessed 05/05/21</w:t>
            </w:r>
          </w:p>
          <w:p w:rsidRPr="00E25790" w:rsidR="001305B1" w:rsidP="006F0321" w:rsidRDefault="001305B1" w14:paraId="728A7AB7" w14:textId="67EC9F84"/>
        </w:tc>
      </w:tr>
    </w:tbl>
    <w:p w:rsidR="00972E4B" w:rsidP="009469DB" w:rsidRDefault="00972E4B" w14:paraId="34D448D3" w14:textId="77777777">
      <w:pPr>
        <w:pStyle w:val="Heading1"/>
      </w:pPr>
    </w:p>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78"/>
        <w:gridCol w:w="4423"/>
      </w:tblGrid>
      <w:tr w:rsidRPr="00E919A0" w:rsidR="00E424B4" w:rsidTr="009E664B" w14:paraId="13F2D7D7" w14:textId="77777777">
        <w:tc>
          <w:tcPr>
            <w:tcW w:w="4678" w:type="dxa"/>
            <w:vAlign w:val="center"/>
          </w:tcPr>
          <w:p w:rsidRPr="00E919A0" w:rsidR="00A92CBA" w:rsidP="009E664B" w:rsidRDefault="00A92CBA" w14:paraId="412E7636" w14:textId="2C7B3FE1">
            <w:r w:rsidRPr="00E919A0">
              <w:t xml:space="preserve">Original version Date: </w:t>
            </w:r>
            <w:r>
              <w:t>24/6/2013</w:t>
            </w:r>
          </w:p>
        </w:tc>
        <w:tc>
          <w:tcPr>
            <w:tcW w:w="4423" w:type="dxa"/>
            <w:vAlign w:val="center"/>
          </w:tcPr>
          <w:p w:rsidRPr="00E919A0" w:rsidR="00A92CBA" w:rsidP="009E664B" w:rsidRDefault="00A92CBA" w14:paraId="2E79DBD2" w14:textId="188B3A90">
            <w:r w:rsidRPr="00E919A0">
              <w:t xml:space="preserve">Author: </w:t>
            </w:r>
            <w:r>
              <w:t>AK, JD</w:t>
            </w:r>
          </w:p>
        </w:tc>
      </w:tr>
      <w:tr w:rsidRPr="00E919A0" w:rsidR="00E424B4" w:rsidTr="009E664B" w14:paraId="7B099019" w14:textId="77777777">
        <w:tc>
          <w:tcPr>
            <w:tcW w:w="4678" w:type="dxa"/>
            <w:vAlign w:val="center"/>
          </w:tcPr>
          <w:p w:rsidRPr="00E919A0" w:rsidR="00A92CBA" w:rsidP="009E664B" w:rsidRDefault="00A92CBA" w14:paraId="664F10B2" w14:textId="629068F3">
            <w:pPr>
              <w:rPr>
                <w:bCs/>
              </w:rPr>
            </w:pPr>
            <w:r w:rsidRPr="00E919A0">
              <w:t xml:space="preserve">Current Version number: </w:t>
            </w:r>
            <w:r>
              <w:t>2</w:t>
            </w:r>
            <w:r w:rsidRPr="00E919A0">
              <w:t xml:space="preserve"> </w:t>
            </w:r>
          </w:p>
        </w:tc>
        <w:tc>
          <w:tcPr>
            <w:tcW w:w="4423" w:type="dxa"/>
            <w:vAlign w:val="center"/>
          </w:tcPr>
          <w:p w:rsidRPr="00E919A0" w:rsidR="00A92CBA" w:rsidP="009E664B" w:rsidRDefault="00A92CBA" w14:paraId="02406259" w14:textId="54C07BD4">
            <w:r w:rsidRPr="00E919A0">
              <w:t xml:space="preserve">Version Date:  </w:t>
            </w:r>
            <w:r>
              <w:t>31-12-2020</w:t>
            </w:r>
          </w:p>
        </w:tc>
      </w:tr>
      <w:tr w:rsidRPr="00E919A0" w:rsidR="00E424B4" w:rsidTr="009E664B" w14:paraId="1D00399D" w14:textId="77777777">
        <w:tc>
          <w:tcPr>
            <w:tcW w:w="4678" w:type="dxa"/>
            <w:vAlign w:val="center"/>
          </w:tcPr>
          <w:p w:rsidRPr="00E919A0" w:rsidR="00A92CBA" w:rsidP="009E664B" w:rsidRDefault="00A92CBA" w14:paraId="38EA0FE3" w14:textId="539CD3D7">
            <w:r w:rsidRPr="00E919A0">
              <w:t xml:space="preserve">Risk Rating: </w:t>
            </w:r>
            <w:r w:rsidR="00BB0C06">
              <w:t>Low</w:t>
            </w:r>
          </w:p>
        </w:tc>
        <w:tc>
          <w:tcPr>
            <w:tcW w:w="4423" w:type="dxa"/>
            <w:vAlign w:val="center"/>
          </w:tcPr>
          <w:p w:rsidRPr="00E919A0" w:rsidR="00A92CBA" w:rsidP="009E664B" w:rsidRDefault="00A92CBA" w14:paraId="06704B2A" w14:textId="05AC91E3">
            <w:r w:rsidRPr="00E919A0">
              <w:t xml:space="preserve">Due for Review:  </w:t>
            </w:r>
            <w:r>
              <w:t>Dec 2025</w:t>
            </w:r>
          </w:p>
        </w:tc>
      </w:tr>
      <w:tr w:rsidRPr="00E919A0" w:rsidR="00E424B4" w:rsidTr="009E664B" w14:paraId="13F8151F" w14:textId="77777777">
        <w:trPr>
          <w:trHeight w:val="344"/>
        </w:trPr>
        <w:tc>
          <w:tcPr>
            <w:tcW w:w="4678" w:type="dxa"/>
            <w:tcBorders>
              <w:bottom w:val="single" w:color="auto" w:sz="4" w:space="0"/>
            </w:tcBorders>
            <w:vAlign w:val="center"/>
          </w:tcPr>
          <w:p w:rsidRPr="00E919A0" w:rsidR="00A92CBA" w:rsidP="009E664B" w:rsidRDefault="00A92CBA" w14:paraId="2CAF0E15" w14:textId="77777777">
            <w:r w:rsidRPr="00E919A0">
              <w:t xml:space="preserve">Approval by: </w:t>
            </w:r>
            <w:r>
              <w:t>DTC</w:t>
            </w:r>
          </w:p>
        </w:tc>
        <w:tc>
          <w:tcPr>
            <w:tcW w:w="4423" w:type="dxa"/>
            <w:tcBorders>
              <w:bottom w:val="single" w:color="auto" w:sz="4" w:space="0"/>
            </w:tcBorders>
            <w:vAlign w:val="center"/>
          </w:tcPr>
          <w:p w:rsidRPr="00E919A0" w:rsidR="00A92CBA" w:rsidP="009E664B" w:rsidRDefault="00A92CBA" w14:paraId="52BC117F" w14:textId="358A93EE">
            <w:r w:rsidRPr="00E919A0">
              <w:t>Approval Date:</w:t>
            </w:r>
            <w:r>
              <w:t xml:space="preserve"> </w:t>
            </w:r>
            <w:r w:rsidR="00260BC8">
              <w:t>APRIL 2021</w:t>
            </w:r>
          </w:p>
        </w:tc>
      </w:tr>
    </w:tbl>
    <w:p w:rsidR="00972E4B" w:rsidP="009469DB" w:rsidRDefault="00972E4B" w14:paraId="7E4DE611" w14:textId="77777777">
      <w:pPr>
        <w:pStyle w:val="Heading1"/>
      </w:pPr>
    </w:p>
    <w:p w:rsidR="00972E4B" w:rsidRDefault="00972E4B" w14:paraId="0361B0F1" w14:textId="77777777">
      <w:pPr>
        <w:rPr>
          <w:rFonts w:cs="Calibri"/>
          <w:b/>
          <w:sz w:val="28"/>
          <w:szCs w:val="28"/>
        </w:rPr>
      </w:pPr>
      <w:r>
        <w:br w:type="page"/>
      </w:r>
    </w:p>
    <w:p w:rsidRPr="00E25790" w:rsidR="00115F48" w:rsidP="006F0321" w:rsidRDefault="00115F48" w14:paraId="7C965F52" w14:textId="054B33A4"/>
    <w:tbl>
      <w:tblPr>
        <w:tblW w:w="9049" w:type="dxa"/>
        <w:tblBorders>
          <w:top w:val="double" w:color="auto" w:sz="6" w:space="0"/>
          <w:left w:val="double" w:color="auto" w:sz="6" w:space="0"/>
          <w:bottom w:val="double" w:color="auto" w:sz="6" w:space="0"/>
          <w:right w:val="double" w:color="auto" w:sz="6" w:space="0"/>
          <w:insideH w:val="double" w:color="auto" w:sz="6" w:space="0"/>
        </w:tblBorders>
        <w:tblLayout w:type="fixed"/>
        <w:tblLook w:val="0000" w:firstRow="0" w:lastRow="0" w:firstColumn="0" w:lastColumn="0" w:noHBand="0" w:noVBand="0"/>
      </w:tblPr>
      <w:tblGrid>
        <w:gridCol w:w="4153"/>
        <w:gridCol w:w="4896"/>
      </w:tblGrid>
      <w:tr w:rsidRPr="00E25790" w:rsidR="00127DC6" w:rsidTr="00FA198C" w14:paraId="68F95A36" w14:textId="77777777">
        <w:trPr>
          <w:cantSplit/>
          <w:trHeight w:val="720"/>
        </w:trPr>
        <w:tc>
          <w:tcPr>
            <w:tcW w:w="9049" w:type="dxa"/>
            <w:gridSpan w:val="2"/>
            <w:shd w:val="clear" w:color="auto" w:fill="FFFF00"/>
          </w:tcPr>
          <w:p w:rsidRPr="000F2F11" w:rsidR="00127DC6" w:rsidP="009469DB" w:rsidRDefault="00127DC6" w14:paraId="2FD3BCA9" w14:textId="77777777">
            <w:pPr>
              <w:pStyle w:val="Heading1"/>
            </w:pPr>
            <w:bookmarkStart w:name="_Toc495415470" w:id="87"/>
            <w:bookmarkStart w:name="_Toc495481075" w:id="88"/>
            <w:bookmarkStart w:name="_Toc495481201" w:id="89"/>
            <w:bookmarkStart w:name="_Toc495481326" w:id="90"/>
            <w:bookmarkStart w:name="_Toc495501507" w:id="91"/>
            <w:bookmarkStart w:name="_Toc38106811" w:id="92"/>
            <w:bookmarkStart w:name="_Toc75339938" w:id="93"/>
            <w:r w:rsidRPr="000F2F11">
              <w:t>Atropine</w:t>
            </w:r>
            <w:bookmarkEnd w:id="87"/>
            <w:bookmarkEnd w:id="88"/>
            <w:bookmarkEnd w:id="89"/>
            <w:bookmarkEnd w:id="90"/>
            <w:bookmarkEnd w:id="91"/>
            <w:bookmarkEnd w:id="92"/>
            <w:bookmarkEnd w:id="93"/>
            <w:r w:rsidRPr="000F2F11">
              <w:fldChar w:fldCharType="begin"/>
            </w:r>
            <w:r w:rsidRPr="000F2F11">
              <w:instrText>tc "Atropine" \l 0</w:instrText>
            </w:r>
            <w:r w:rsidRPr="000F2F11">
              <w:fldChar w:fldCharType="end"/>
            </w:r>
          </w:p>
        </w:tc>
      </w:tr>
      <w:tr w:rsidRPr="00E25790" w:rsidR="00127DC6" w:rsidTr="00FA198C" w14:paraId="30CDC5D4" w14:textId="77777777">
        <w:trPr>
          <w:cantSplit/>
          <w:trHeight w:val="480"/>
        </w:trPr>
        <w:tc>
          <w:tcPr>
            <w:tcW w:w="4153" w:type="dxa"/>
            <w:shd w:val="clear" w:color="auto" w:fill="FFFF00"/>
          </w:tcPr>
          <w:p w:rsidRPr="00E25790" w:rsidR="00127DC6" w:rsidP="006F0321" w:rsidRDefault="00127DC6" w14:paraId="4106BA03" w14:textId="1224BD94">
            <w:r w:rsidRPr="00E25790">
              <w:t xml:space="preserve">Revision Date </w:t>
            </w:r>
            <w:r w:rsidR="000D1E13">
              <w:t>27/06/2019</w:t>
            </w:r>
          </w:p>
        </w:tc>
        <w:tc>
          <w:tcPr>
            <w:tcW w:w="4896" w:type="dxa"/>
            <w:shd w:val="clear" w:color="auto" w:fill="FFFF00"/>
          </w:tcPr>
          <w:p w:rsidRPr="00E25790" w:rsidR="00127DC6" w:rsidP="006F0321" w:rsidRDefault="00127DC6" w14:paraId="3A1ACA40" w14:textId="67E3E6EB">
            <w:r w:rsidRPr="00E25790">
              <w:t xml:space="preserve">Approved : TC, </w:t>
            </w:r>
            <w:r w:rsidR="000D1E13">
              <w:t>KOH</w:t>
            </w:r>
          </w:p>
        </w:tc>
      </w:tr>
    </w:tbl>
    <w:p w:rsidRPr="00E25790" w:rsidR="00127DC6" w:rsidP="006F0321" w:rsidRDefault="00127DC6" w14:paraId="612B21EB" w14:textId="77777777"/>
    <w:tbl>
      <w:tblPr>
        <w:tblW w:w="952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1"/>
        <w:gridCol w:w="7116"/>
      </w:tblGrid>
      <w:tr w:rsidRPr="00D67405" w:rsidR="00273A16" w:rsidTr="00BB0C06" w14:paraId="18F96173" w14:textId="77777777">
        <w:trPr>
          <w:trHeight w:val="553"/>
        </w:trPr>
        <w:tc>
          <w:tcPr>
            <w:tcW w:w="2411" w:type="dxa"/>
          </w:tcPr>
          <w:p w:rsidRPr="00AA5FF8" w:rsidR="000D1E13" w:rsidP="000D1E13" w:rsidRDefault="000D1E13" w14:paraId="487446BE" w14:textId="77777777">
            <w:pPr>
              <w:pStyle w:val="BodyText"/>
              <w:rPr>
                <w:rFonts w:cs="Arial" w:asciiTheme="minorHAnsi" w:hAnsiTheme="minorHAnsi"/>
                <w:b/>
                <w:bCs/>
                <w:szCs w:val="24"/>
              </w:rPr>
            </w:pPr>
            <w:r w:rsidRPr="00AA5FF8">
              <w:rPr>
                <w:rFonts w:cs="Arial" w:asciiTheme="minorHAnsi" w:hAnsiTheme="minorHAnsi"/>
                <w:b/>
                <w:bCs/>
                <w:szCs w:val="24"/>
              </w:rPr>
              <w:t xml:space="preserve">Indication                         </w:t>
            </w:r>
          </w:p>
          <w:p w:rsidRPr="00AA5FF8" w:rsidR="000D1E13" w:rsidP="000D1E13" w:rsidRDefault="000D1E13" w14:paraId="2FCAC463" w14:textId="77777777">
            <w:pPr>
              <w:pStyle w:val="BodyText"/>
              <w:rPr>
                <w:rFonts w:cs="Arial" w:asciiTheme="minorHAnsi" w:hAnsiTheme="minorHAnsi"/>
                <w:sz w:val="20"/>
              </w:rPr>
            </w:pPr>
          </w:p>
        </w:tc>
        <w:tc>
          <w:tcPr>
            <w:tcW w:w="7116" w:type="dxa"/>
          </w:tcPr>
          <w:p w:rsidR="000D1E13" w:rsidP="000D1E13" w:rsidRDefault="000D1E13" w14:paraId="10DCC9E2" w14:textId="77777777">
            <w:pPr>
              <w:rPr>
                <w:rFonts w:asciiTheme="minorHAnsi" w:hAnsiTheme="minorHAnsi"/>
                <w:sz w:val="20"/>
              </w:rPr>
            </w:pPr>
            <w:r>
              <w:rPr>
                <w:rFonts w:asciiTheme="minorHAnsi" w:hAnsiTheme="minorHAnsi"/>
                <w:sz w:val="20"/>
              </w:rPr>
              <w:t xml:space="preserve">Prevention of reflex bradycardia </w:t>
            </w:r>
            <w:r w:rsidRPr="006248BF">
              <w:rPr>
                <w:rFonts w:asciiTheme="minorHAnsi" w:hAnsiTheme="minorHAnsi"/>
                <w:sz w:val="20"/>
              </w:rPr>
              <w:t>during elective endotracheal intubation</w:t>
            </w:r>
            <w:r>
              <w:rPr>
                <w:rFonts w:asciiTheme="minorHAnsi" w:hAnsiTheme="minorHAnsi"/>
                <w:sz w:val="20"/>
              </w:rPr>
              <w:t>.</w:t>
            </w:r>
          </w:p>
          <w:p w:rsidRPr="00D67405" w:rsidR="000D1E13" w:rsidP="000D1E13" w:rsidRDefault="000D1E13" w14:paraId="01399442" w14:textId="77777777">
            <w:pPr>
              <w:rPr>
                <w:rFonts w:asciiTheme="minorHAnsi" w:hAnsiTheme="minorHAnsi"/>
                <w:sz w:val="20"/>
              </w:rPr>
            </w:pPr>
            <w:r>
              <w:rPr>
                <w:rFonts w:asciiTheme="minorHAnsi" w:hAnsiTheme="minorHAnsi"/>
                <w:sz w:val="20"/>
              </w:rPr>
              <w:t>Preanaesthetic</w:t>
            </w:r>
            <w:r w:rsidRPr="00D67405">
              <w:rPr>
                <w:rFonts w:asciiTheme="minorHAnsi" w:hAnsiTheme="minorHAnsi"/>
                <w:sz w:val="20"/>
              </w:rPr>
              <w:t xml:space="preserve"> medication to prevent perioperative adverse events</w:t>
            </w:r>
            <w:r>
              <w:rPr>
                <w:rFonts w:asciiTheme="minorHAnsi" w:hAnsiTheme="minorHAnsi"/>
                <w:sz w:val="20"/>
              </w:rPr>
              <w:t>.</w:t>
            </w:r>
          </w:p>
        </w:tc>
      </w:tr>
      <w:tr w:rsidRPr="00AA5FF8" w:rsidR="00273A16" w:rsidTr="00BB0C06" w14:paraId="7CACF13B" w14:textId="77777777">
        <w:trPr>
          <w:trHeight w:val="372"/>
        </w:trPr>
        <w:tc>
          <w:tcPr>
            <w:tcW w:w="2411" w:type="dxa"/>
          </w:tcPr>
          <w:p w:rsidRPr="00AA5FF8" w:rsidR="000D1E13" w:rsidP="000D1E13" w:rsidRDefault="000D1E13" w14:paraId="321C3878" w14:textId="77777777">
            <w:pPr>
              <w:pStyle w:val="BodyText"/>
              <w:rPr>
                <w:rFonts w:cs="Arial" w:asciiTheme="minorHAnsi" w:hAnsiTheme="minorHAnsi"/>
                <w:b/>
                <w:bCs/>
                <w:szCs w:val="24"/>
              </w:rPr>
            </w:pPr>
            <w:r w:rsidRPr="00AA5FF8">
              <w:rPr>
                <w:rFonts w:cs="Arial" w:asciiTheme="minorHAnsi" w:hAnsiTheme="minorHAnsi"/>
                <w:b/>
                <w:bCs/>
                <w:szCs w:val="24"/>
              </w:rPr>
              <w:t>Action</w:t>
            </w:r>
          </w:p>
        </w:tc>
        <w:tc>
          <w:tcPr>
            <w:tcW w:w="7116" w:type="dxa"/>
          </w:tcPr>
          <w:p w:rsidRPr="00AA5FF8" w:rsidR="000D1E13" w:rsidP="000D1E13" w:rsidRDefault="000D1E13" w14:paraId="7FAF21B4" w14:textId="77777777">
            <w:pPr>
              <w:pStyle w:val="Default"/>
              <w:rPr>
                <w:rFonts w:asciiTheme="minorHAnsi" w:hAnsiTheme="minorHAnsi"/>
                <w:color w:val="auto"/>
                <w:sz w:val="20"/>
                <w:szCs w:val="20"/>
              </w:rPr>
            </w:pPr>
            <w:r>
              <w:rPr>
                <w:rFonts w:asciiTheme="minorHAnsi" w:hAnsiTheme="minorHAnsi"/>
                <w:color w:val="auto"/>
                <w:sz w:val="20"/>
                <w:szCs w:val="20"/>
              </w:rPr>
              <w:t xml:space="preserve">Competitively inhibits acetylcholine at muscarinic </w:t>
            </w:r>
            <w:r w:rsidRPr="00E06F3A">
              <w:rPr>
                <w:rFonts w:asciiTheme="minorHAnsi" w:hAnsiTheme="minorHAnsi"/>
                <w:color w:val="auto"/>
                <w:sz w:val="20"/>
                <w:szCs w:val="20"/>
              </w:rPr>
              <w:t xml:space="preserve">acetylcholine </w:t>
            </w:r>
            <w:r>
              <w:rPr>
                <w:rFonts w:asciiTheme="minorHAnsi" w:hAnsiTheme="minorHAnsi"/>
                <w:color w:val="auto"/>
                <w:sz w:val="20"/>
                <w:szCs w:val="20"/>
              </w:rPr>
              <w:t>receptors, decreases the effects of the parasympathetic nervous system and increases the effects of the sympathetic nervous system. Increases heart rate with a peak effect in 2–4 minutes after IV administration.  Salivary secretion and intestinal and gastric motor activity are decreased for up to 6 hours. Bronchial smooth muscle relaxes, decreasing airways resistance.</w:t>
            </w:r>
          </w:p>
        </w:tc>
      </w:tr>
      <w:tr w:rsidRPr="00AA5FF8" w:rsidR="00273A16" w:rsidTr="00BB0C06" w14:paraId="50D27AE3" w14:textId="77777777">
        <w:trPr>
          <w:trHeight w:val="266"/>
        </w:trPr>
        <w:tc>
          <w:tcPr>
            <w:tcW w:w="2411" w:type="dxa"/>
          </w:tcPr>
          <w:p w:rsidRPr="00AA5FF8" w:rsidR="000D1E13" w:rsidP="000D1E13" w:rsidRDefault="000D1E13" w14:paraId="11AF702E" w14:textId="77777777">
            <w:pPr>
              <w:pStyle w:val="BodyText"/>
              <w:rPr>
                <w:rFonts w:cs="Arial" w:asciiTheme="minorHAnsi" w:hAnsiTheme="minorHAnsi"/>
                <w:szCs w:val="24"/>
              </w:rPr>
            </w:pPr>
            <w:r w:rsidRPr="00AA5FF8">
              <w:rPr>
                <w:rFonts w:cs="Arial" w:asciiTheme="minorHAnsi" w:hAnsiTheme="minorHAnsi"/>
                <w:b/>
                <w:bCs/>
                <w:szCs w:val="24"/>
              </w:rPr>
              <w:t xml:space="preserve">Drug Type                                   </w:t>
            </w:r>
          </w:p>
        </w:tc>
        <w:tc>
          <w:tcPr>
            <w:tcW w:w="7116" w:type="dxa"/>
          </w:tcPr>
          <w:p w:rsidRPr="00AA5FF8" w:rsidR="000D1E13" w:rsidP="000D1E13" w:rsidRDefault="000D1E13" w14:paraId="126F3F0C" w14:textId="77777777">
            <w:pPr>
              <w:pStyle w:val="BodyText"/>
              <w:rPr>
                <w:rFonts w:cs="Arial" w:asciiTheme="minorHAnsi" w:hAnsiTheme="minorHAnsi"/>
                <w:sz w:val="20"/>
              </w:rPr>
            </w:pPr>
            <w:r>
              <w:rPr>
                <w:rFonts w:cs="Arial" w:asciiTheme="minorHAnsi" w:hAnsiTheme="minorHAnsi"/>
                <w:sz w:val="20"/>
              </w:rPr>
              <w:t>Anticholinergic</w:t>
            </w:r>
          </w:p>
        </w:tc>
      </w:tr>
      <w:tr w:rsidRPr="00AA5FF8" w:rsidR="00273A16" w:rsidTr="00BB0C06" w14:paraId="6892EADE" w14:textId="77777777">
        <w:trPr>
          <w:trHeight w:val="74"/>
        </w:trPr>
        <w:tc>
          <w:tcPr>
            <w:tcW w:w="2411" w:type="dxa"/>
          </w:tcPr>
          <w:p w:rsidRPr="00AA5FF8" w:rsidR="000D1E13" w:rsidP="000D1E13" w:rsidRDefault="000D1E13" w14:paraId="35C133E7" w14:textId="77777777">
            <w:pPr>
              <w:pStyle w:val="BodyText"/>
              <w:rPr>
                <w:rFonts w:cs="Arial" w:asciiTheme="minorHAnsi" w:hAnsiTheme="minorHAnsi"/>
                <w:b/>
                <w:bCs/>
                <w:szCs w:val="24"/>
              </w:rPr>
            </w:pPr>
            <w:r w:rsidRPr="00AA5FF8">
              <w:rPr>
                <w:rFonts w:cs="Arial" w:asciiTheme="minorHAnsi" w:hAnsiTheme="minorHAnsi"/>
                <w:b/>
                <w:bCs/>
                <w:szCs w:val="24"/>
              </w:rPr>
              <w:t xml:space="preserve">Trade Name                  </w:t>
            </w:r>
          </w:p>
        </w:tc>
        <w:tc>
          <w:tcPr>
            <w:tcW w:w="7116" w:type="dxa"/>
          </w:tcPr>
          <w:p w:rsidRPr="00AA5FF8" w:rsidR="000D1E13" w:rsidP="000D1E13" w:rsidRDefault="000D1E13" w14:paraId="4FF0EBCD" w14:textId="77777777">
            <w:pPr>
              <w:pStyle w:val="BodyText"/>
              <w:rPr>
                <w:rFonts w:cs="Arial" w:asciiTheme="minorHAnsi" w:hAnsiTheme="minorHAnsi"/>
                <w:sz w:val="20"/>
              </w:rPr>
            </w:pPr>
            <w:r>
              <w:rPr>
                <w:rFonts w:cs="Arial" w:asciiTheme="minorHAnsi" w:hAnsiTheme="minorHAnsi"/>
                <w:sz w:val="20"/>
              </w:rPr>
              <w:t>Atropine sulphate</w:t>
            </w:r>
          </w:p>
        </w:tc>
      </w:tr>
      <w:tr w:rsidRPr="00AA5FF8" w:rsidR="00273A16" w:rsidTr="00BB0C06" w14:paraId="36DF80BA" w14:textId="77777777">
        <w:trPr>
          <w:trHeight w:val="205"/>
        </w:trPr>
        <w:tc>
          <w:tcPr>
            <w:tcW w:w="2411" w:type="dxa"/>
          </w:tcPr>
          <w:p w:rsidRPr="00AA5FF8" w:rsidR="000D1E13" w:rsidP="000D1E13" w:rsidRDefault="000D1E13" w14:paraId="674926DB" w14:textId="77777777">
            <w:pPr>
              <w:pStyle w:val="BodyText"/>
              <w:rPr>
                <w:rFonts w:cs="Arial" w:asciiTheme="minorHAnsi" w:hAnsiTheme="minorHAnsi"/>
                <w:b/>
                <w:bCs/>
                <w:szCs w:val="24"/>
              </w:rPr>
            </w:pPr>
            <w:r w:rsidRPr="00AA5FF8">
              <w:rPr>
                <w:rFonts w:cs="Arial" w:asciiTheme="minorHAnsi" w:hAnsiTheme="minorHAnsi"/>
                <w:b/>
                <w:bCs/>
                <w:szCs w:val="24"/>
              </w:rPr>
              <w:t xml:space="preserve">Presentation </w:t>
            </w:r>
          </w:p>
        </w:tc>
        <w:tc>
          <w:tcPr>
            <w:tcW w:w="7116" w:type="dxa"/>
          </w:tcPr>
          <w:p w:rsidRPr="00AA5FF8" w:rsidR="000D1E13" w:rsidP="000D1E13" w:rsidRDefault="000D1E13" w14:paraId="7C648216" w14:textId="77777777">
            <w:pPr>
              <w:pStyle w:val="BodyText"/>
              <w:rPr>
                <w:rFonts w:cs="Arial" w:asciiTheme="minorHAnsi" w:hAnsiTheme="minorHAnsi"/>
                <w:sz w:val="20"/>
              </w:rPr>
            </w:pPr>
            <w:r>
              <w:rPr>
                <w:rFonts w:cs="Arial" w:asciiTheme="minorHAnsi" w:hAnsiTheme="minorHAnsi"/>
                <w:sz w:val="20"/>
              </w:rPr>
              <w:t>Vial for injection – 600 microgram/1 mL</w:t>
            </w:r>
            <w:r w:rsidRPr="00AA5FF8">
              <w:rPr>
                <w:rFonts w:cs="Arial" w:asciiTheme="minorHAnsi" w:hAnsiTheme="minorHAnsi"/>
                <w:sz w:val="20"/>
              </w:rPr>
              <w:t xml:space="preserve"> </w:t>
            </w:r>
            <w:r>
              <w:rPr>
                <w:rFonts w:cs="Arial" w:asciiTheme="minorHAnsi" w:hAnsiTheme="minorHAnsi"/>
                <w:sz w:val="20"/>
              </w:rPr>
              <w:t>ampoule.</w:t>
            </w:r>
          </w:p>
        </w:tc>
      </w:tr>
      <w:tr w:rsidRPr="00AA5FF8" w:rsidR="00273A16" w:rsidTr="00BB0C06" w14:paraId="62DC2C79" w14:textId="77777777">
        <w:trPr>
          <w:trHeight w:val="456"/>
        </w:trPr>
        <w:tc>
          <w:tcPr>
            <w:tcW w:w="2411" w:type="dxa"/>
          </w:tcPr>
          <w:p w:rsidRPr="00AA5FF8" w:rsidR="000D1E13" w:rsidP="000D1E13" w:rsidRDefault="000D1E13" w14:paraId="375A276D" w14:textId="77777777">
            <w:pPr>
              <w:pStyle w:val="BodyText"/>
              <w:rPr>
                <w:rFonts w:cs="Arial" w:asciiTheme="minorHAnsi" w:hAnsiTheme="minorHAnsi"/>
                <w:b/>
                <w:bCs/>
                <w:szCs w:val="24"/>
              </w:rPr>
            </w:pPr>
            <w:r w:rsidRPr="00AA5FF8">
              <w:rPr>
                <w:rFonts w:cs="Arial" w:asciiTheme="minorHAnsi" w:hAnsiTheme="minorHAnsi"/>
                <w:b/>
                <w:bCs/>
                <w:szCs w:val="24"/>
              </w:rPr>
              <w:t xml:space="preserve">Dosage/Interval                       </w:t>
            </w:r>
          </w:p>
          <w:p w:rsidRPr="00AA5FF8" w:rsidR="000D1E13" w:rsidP="000D1E13" w:rsidRDefault="000D1E13" w14:paraId="18A761DB" w14:textId="77777777">
            <w:pPr>
              <w:pStyle w:val="BodyText"/>
              <w:rPr>
                <w:rFonts w:cs="Arial" w:asciiTheme="minorHAnsi" w:hAnsiTheme="minorHAnsi"/>
                <w:sz w:val="20"/>
              </w:rPr>
            </w:pPr>
          </w:p>
        </w:tc>
        <w:tc>
          <w:tcPr>
            <w:tcW w:w="7116" w:type="dxa"/>
          </w:tcPr>
          <w:p w:rsidRPr="00E849C4" w:rsidR="000D1E13" w:rsidP="000D1E13" w:rsidRDefault="000D1E13" w14:paraId="6861DF8E" w14:textId="77777777">
            <w:pPr>
              <w:pStyle w:val="Default"/>
              <w:rPr>
                <w:rFonts w:asciiTheme="minorHAnsi" w:hAnsiTheme="minorHAnsi"/>
                <w:b/>
                <w:bCs/>
                <w:color w:val="auto"/>
                <w:sz w:val="20"/>
                <w:szCs w:val="20"/>
              </w:rPr>
            </w:pPr>
            <w:r w:rsidRPr="00E849C4">
              <w:rPr>
                <w:rFonts w:asciiTheme="minorHAnsi" w:hAnsiTheme="minorHAnsi"/>
                <w:b/>
                <w:bCs/>
                <w:color w:val="auto"/>
                <w:sz w:val="20"/>
                <w:szCs w:val="20"/>
              </w:rPr>
              <w:t>Intubation</w:t>
            </w:r>
          </w:p>
          <w:p w:rsidR="000D1E13" w:rsidP="000D1E13" w:rsidRDefault="000D1E13" w14:paraId="0DCA31FE" w14:textId="77777777">
            <w:pPr>
              <w:pStyle w:val="Default"/>
              <w:rPr>
                <w:rFonts w:asciiTheme="minorHAnsi" w:hAnsiTheme="minorHAnsi"/>
                <w:bCs/>
                <w:color w:val="auto"/>
                <w:sz w:val="20"/>
                <w:szCs w:val="20"/>
              </w:rPr>
            </w:pPr>
            <w:r w:rsidRPr="007D1632">
              <w:rPr>
                <w:rFonts w:asciiTheme="minorHAnsi" w:hAnsiTheme="minorHAnsi"/>
                <w:bCs/>
                <w:color w:val="auto"/>
                <w:sz w:val="20"/>
                <w:szCs w:val="20"/>
              </w:rPr>
              <w:t>IV</w:t>
            </w:r>
            <w:r>
              <w:rPr>
                <w:rFonts w:asciiTheme="minorHAnsi" w:hAnsiTheme="minorHAnsi"/>
                <w:bCs/>
                <w:color w:val="auto"/>
                <w:sz w:val="20"/>
                <w:szCs w:val="20"/>
              </w:rPr>
              <w:t>, IM</w:t>
            </w:r>
            <w:r w:rsidRPr="007D1632">
              <w:rPr>
                <w:rFonts w:asciiTheme="minorHAnsi" w:hAnsiTheme="minorHAnsi"/>
                <w:bCs/>
                <w:color w:val="auto"/>
                <w:sz w:val="20"/>
                <w:szCs w:val="20"/>
              </w:rPr>
              <w:t>:</w:t>
            </w:r>
            <w:r w:rsidRPr="00AA5FF8">
              <w:rPr>
                <w:rFonts w:asciiTheme="minorHAnsi" w:hAnsiTheme="minorHAnsi"/>
                <w:b/>
                <w:bCs/>
                <w:color w:val="auto"/>
                <w:sz w:val="20"/>
                <w:szCs w:val="20"/>
              </w:rPr>
              <w:t xml:space="preserve"> </w:t>
            </w:r>
            <w:r>
              <w:rPr>
                <w:rFonts w:asciiTheme="minorHAnsi" w:hAnsiTheme="minorHAnsi"/>
                <w:bCs/>
                <w:color w:val="auto"/>
                <w:sz w:val="20"/>
                <w:szCs w:val="20"/>
              </w:rPr>
              <w:t>1</w:t>
            </w:r>
            <w:r w:rsidRPr="00BD3404">
              <w:rPr>
                <w:rFonts w:asciiTheme="minorHAnsi" w:hAnsiTheme="minorHAnsi"/>
                <w:bCs/>
                <w:color w:val="auto"/>
                <w:sz w:val="20"/>
                <w:szCs w:val="20"/>
              </w:rPr>
              <w:t>0 microgram/kg/dose</w:t>
            </w:r>
            <w:r>
              <w:rPr>
                <w:rFonts w:asciiTheme="minorHAnsi" w:hAnsiTheme="minorHAnsi"/>
                <w:bCs/>
                <w:color w:val="auto"/>
                <w:sz w:val="20"/>
                <w:szCs w:val="20"/>
              </w:rPr>
              <w:t xml:space="preserve"> (range 10–20 microgram/kg/dose)</w:t>
            </w:r>
          </w:p>
          <w:p w:rsidR="000D1E13" w:rsidP="000D1E13" w:rsidRDefault="000D1E13" w14:paraId="20EC83DD" w14:textId="77777777">
            <w:pPr>
              <w:pStyle w:val="Default"/>
              <w:rPr>
                <w:rFonts w:asciiTheme="minorHAnsi" w:hAnsiTheme="minorHAnsi"/>
                <w:bCs/>
                <w:color w:val="auto"/>
                <w:sz w:val="20"/>
                <w:szCs w:val="20"/>
              </w:rPr>
            </w:pPr>
          </w:p>
          <w:p w:rsidRPr="00E849C4" w:rsidR="000D1E13" w:rsidP="000D1E13" w:rsidRDefault="000D1E13" w14:paraId="2C8B7DAB" w14:textId="77777777">
            <w:pPr>
              <w:pStyle w:val="Default"/>
              <w:rPr>
                <w:rFonts w:asciiTheme="minorHAnsi" w:hAnsiTheme="minorHAnsi"/>
                <w:b/>
                <w:bCs/>
                <w:color w:val="auto"/>
                <w:sz w:val="20"/>
                <w:szCs w:val="20"/>
              </w:rPr>
            </w:pPr>
            <w:r>
              <w:rPr>
                <w:rFonts w:asciiTheme="minorHAnsi" w:hAnsiTheme="minorHAnsi"/>
                <w:b/>
                <w:bCs/>
                <w:color w:val="auto"/>
                <w:sz w:val="20"/>
                <w:szCs w:val="20"/>
              </w:rPr>
              <w:t>Preanaesthetic</w:t>
            </w:r>
            <w:r w:rsidRPr="00E849C4">
              <w:rPr>
                <w:rFonts w:asciiTheme="minorHAnsi" w:hAnsiTheme="minorHAnsi"/>
                <w:b/>
                <w:bCs/>
                <w:color w:val="auto"/>
                <w:sz w:val="20"/>
                <w:szCs w:val="20"/>
              </w:rPr>
              <w:t xml:space="preserve"> </w:t>
            </w:r>
            <w:r>
              <w:rPr>
                <w:rFonts w:asciiTheme="minorHAnsi" w:hAnsiTheme="minorHAnsi"/>
                <w:b/>
                <w:bCs/>
                <w:color w:val="auto"/>
                <w:sz w:val="20"/>
                <w:szCs w:val="20"/>
              </w:rPr>
              <w:t>m</w:t>
            </w:r>
            <w:r w:rsidRPr="00E849C4">
              <w:rPr>
                <w:rFonts w:asciiTheme="minorHAnsi" w:hAnsiTheme="minorHAnsi"/>
                <w:b/>
                <w:bCs/>
                <w:color w:val="auto"/>
                <w:sz w:val="20"/>
                <w:szCs w:val="20"/>
              </w:rPr>
              <w:t>edication</w:t>
            </w:r>
          </w:p>
          <w:p w:rsidRPr="00AA5FF8" w:rsidR="000D1E13" w:rsidP="000D1E13" w:rsidRDefault="000D1E13" w14:paraId="7E60CE6D" w14:textId="77777777">
            <w:pPr>
              <w:pStyle w:val="Default"/>
              <w:rPr>
                <w:rFonts w:asciiTheme="minorHAnsi" w:hAnsiTheme="minorHAnsi"/>
                <w:color w:val="auto"/>
                <w:sz w:val="20"/>
              </w:rPr>
            </w:pPr>
            <w:r w:rsidRPr="00517215">
              <w:rPr>
                <w:rFonts w:asciiTheme="minorHAnsi" w:hAnsiTheme="minorHAnsi"/>
                <w:bCs/>
                <w:color w:val="auto"/>
                <w:sz w:val="20"/>
                <w:szCs w:val="20"/>
              </w:rPr>
              <w:t xml:space="preserve">PO: </w:t>
            </w:r>
            <w:r>
              <w:rPr>
                <w:rFonts w:asciiTheme="minorHAnsi" w:hAnsiTheme="minorHAnsi"/>
                <w:bCs/>
                <w:color w:val="auto"/>
                <w:sz w:val="20"/>
                <w:szCs w:val="20"/>
              </w:rPr>
              <w:t>2</w:t>
            </w:r>
            <w:r w:rsidRPr="00517215">
              <w:rPr>
                <w:rFonts w:asciiTheme="minorHAnsi" w:hAnsiTheme="minorHAnsi"/>
                <w:bCs/>
                <w:color w:val="auto"/>
                <w:sz w:val="20"/>
                <w:szCs w:val="20"/>
              </w:rPr>
              <w:t>0 microgram/kg/dose 1 hour prior to induction</w:t>
            </w:r>
            <w:r>
              <w:rPr>
                <w:rFonts w:asciiTheme="minorHAnsi" w:hAnsiTheme="minorHAnsi"/>
                <w:bCs/>
                <w:color w:val="auto"/>
                <w:sz w:val="20"/>
                <w:szCs w:val="20"/>
              </w:rPr>
              <w:t xml:space="preserve"> of anaesthesia (range 20–40 microgram/kg/dose).</w:t>
            </w:r>
          </w:p>
        </w:tc>
      </w:tr>
      <w:tr w:rsidRPr="00AA5FF8" w:rsidR="00273A16" w:rsidTr="00BB0C06" w14:paraId="1A58106E" w14:textId="77777777">
        <w:trPr>
          <w:trHeight w:val="160"/>
        </w:trPr>
        <w:tc>
          <w:tcPr>
            <w:tcW w:w="2411" w:type="dxa"/>
          </w:tcPr>
          <w:p w:rsidRPr="00AA5FF8" w:rsidR="000D1E13" w:rsidP="000D1E13" w:rsidRDefault="000D1E13" w14:paraId="33A307FB" w14:textId="77777777">
            <w:pPr>
              <w:pStyle w:val="BodyText"/>
              <w:rPr>
                <w:rFonts w:cs="Arial" w:asciiTheme="minorHAnsi" w:hAnsiTheme="minorHAnsi"/>
                <w:b/>
                <w:bCs/>
                <w:szCs w:val="24"/>
              </w:rPr>
            </w:pPr>
            <w:r w:rsidRPr="00AA5FF8">
              <w:rPr>
                <w:rFonts w:cs="Arial" w:asciiTheme="minorHAnsi" w:hAnsiTheme="minorHAnsi"/>
                <w:b/>
                <w:bCs/>
                <w:szCs w:val="24"/>
              </w:rPr>
              <w:t xml:space="preserve">Route                               </w:t>
            </w:r>
          </w:p>
        </w:tc>
        <w:tc>
          <w:tcPr>
            <w:tcW w:w="7116" w:type="dxa"/>
          </w:tcPr>
          <w:p w:rsidRPr="00AA5FF8" w:rsidR="000D1E13" w:rsidP="000D1E13" w:rsidRDefault="000D1E13" w14:paraId="107602DA" w14:textId="77777777">
            <w:pPr>
              <w:pStyle w:val="BodyText"/>
              <w:rPr>
                <w:rFonts w:cs="Arial" w:asciiTheme="minorHAnsi" w:hAnsiTheme="minorHAnsi"/>
                <w:sz w:val="20"/>
              </w:rPr>
            </w:pPr>
            <w:r>
              <w:rPr>
                <w:rFonts w:cs="Arial" w:asciiTheme="minorHAnsi" w:hAnsiTheme="minorHAnsi"/>
                <w:sz w:val="20"/>
              </w:rPr>
              <w:t xml:space="preserve">PO, </w:t>
            </w:r>
            <w:r w:rsidRPr="00AA5FF8">
              <w:rPr>
                <w:rFonts w:cs="Arial" w:asciiTheme="minorHAnsi" w:hAnsiTheme="minorHAnsi"/>
                <w:sz w:val="20"/>
              </w:rPr>
              <w:t xml:space="preserve">IV, </w:t>
            </w:r>
            <w:r>
              <w:rPr>
                <w:rFonts w:cs="Arial" w:asciiTheme="minorHAnsi" w:hAnsiTheme="minorHAnsi"/>
                <w:sz w:val="20"/>
              </w:rPr>
              <w:t>IM</w:t>
            </w:r>
          </w:p>
        </w:tc>
      </w:tr>
      <w:tr w:rsidRPr="00AA5FF8" w:rsidR="00273A16" w:rsidTr="00BB0C06" w14:paraId="2825A0A8" w14:textId="77777777">
        <w:trPr>
          <w:trHeight w:val="292"/>
        </w:trPr>
        <w:tc>
          <w:tcPr>
            <w:tcW w:w="2411" w:type="dxa"/>
          </w:tcPr>
          <w:p w:rsidRPr="00AA5FF8" w:rsidR="000D1E13" w:rsidP="77BEE3D0" w:rsidRDefault="000D1E13" w14:paraId="3F7B1E62" w14:textId="496CBC46">
            <w:pPr>
              <w:pStyle w:val="BodyText"/>
              <w:rPr>
                <w:rFonts w:cs="Arial" w:asciiTheme="minorHAnsi" w:hAnsiTheme="minorHAnsi"/>
                <w:b/>
                <w:bCs/>
                <w:highlight w:val="cyan"/>
              </w:rPr>
            </w:pPr>
            <w:r w:rsidRPr="77BEE3D0">
              <w:rPr>
                <w:rFonts w:cs="Arial" w:asciiTheme="minorHAnsi" w:hAnsiTheme="minorHAnsi"/>
                <w:b/>
                <w:bCs/>
              </w:rPr>
              <w:t>Preparation/Dilution</w:t>
            </w:r>
          </w:p>
        </w:tc>
        <w:tc>
          <w:tcPr>
            <w:tcW w:w="7116" w:type="dxa"/>
          </w:tcPr>
          <w:p w:rsidRPr="00AA5FF8" w:rsidR="000D1E13" w:rsidP="000D1E13" w:rsidRDefault="000D1E13" w14:paraId="714967F2" w14:textId="77777777">
            <w:pPr>
              <w:pStyle w:val="BodyText"/>
              <w:rPr>
                <w:rFonts w:cs="Arial" w:asciiTheme="minorHAnsi" w:hAnsiTheme="minorHAnsi"/>
                <w:sz w:val="20"/>
              </w:rPr>
            </w:pPr>
            <w:r>
              <w:rPr>
                <w:rFonts w:cs="Arial" w:asciiTheme="minorHAnsi" w:hAnsiTheme="minorHAnsi"/>
                <w:sz w:val="20"/>
              </w:rPr>
              <w:t xml:space="preserve">IV, IM or PO: Draw up </w:t>
            </w:r>
            <w:r w:rsidRPr="00BC4220">
              <w:rPr>
                <w:rFonts w:cs="Arial" w:asciiTheme="minorHAnsi" w:hAnsiTheme="minorHAnsi"/>
                <w:sz w:val="20"/>
              </w:rPr>
              <w:t>1</w:t>
            </w:r>
            <w:r>
              <w:rPr>
                <w:rFonts w:cs="Arial" w:asciiTheme="minorHAnsi" w:hAnsiTheme="minorHAnsi"/>
                <w:sz w:val="20"/>
              </w:rPr>
              <w:t xml:space="preserve"> mL</w:t>
            </w:r>
            <w:r w:rsidRPr="00BC4220">
              <w:rPr>
                <w:rFonts w:cs="Arial" w:asciiTheme="minorHAnsi" w:hAnsiTheme="minorHAnsi"/>
                <w:sz w:val="20"/>
              </w:rPr>
              <w:t xml:space="preserve"> (600</w:t>
            </w:r>
            <w:r>
              <w:rPr>
                <w:rFonts w:cs="Arial" w:asciiTheme="minorHAnsi" w:hAnsiTheme="minorHAnsi"/>
                <w:sz w:val="20"/>
              </w:rPr>
              <w:t xml:space="preserve"> </w:t>
            </w:r>
            <w:r w:rsidRPr="00BC4220">
              <w:rPr>
                <w:rFonts w:cs="Arial" w:asciiTheme="minorHAnsi" w:hAnsiTheme="minorHAnsi"/>
                <w:sz w:val="20"/>
              </w:rPr>
              <w:t>microgram</w:t>
            </w:r>
            <w:r>
              <w:rPr>
                <w:rFonts w:cs="Arial" w:asciiTheme="minorHAnsi" w:hAnsiTheme="minorHAnsi"/>
                <w:sz w:val="20"/>
              </w:rPr>
              <w:t xml:space="preserve"> of atropine</w:t>
            </w:r>
            <w:r w:rsidRPr="00BC4220">
              <w:rPr>
                <w:rFonts w:cs="Arial" w:asciiTheme="minorHAnsi" w:hAnsiTheme="minorHAnsi"/>
                <w:sz w:val="20"/>
              </w:rPr>
              <w:t>) and add 5</w:t>
            </w:r>
            <w:r>
              <w:rPr>
                <w:rFonts w:cs="Arial" w:asciiTheme="minorHAnsi" w:hAnsiTheme="minorHAnsi"/>
                <w:sz w:val="20"/>
              </w:rPr>
              <w:t xml:space="preserve"> mL</w:t>
            </w:r>
            <w:r w:rsidRPr="00BC4220">
              <w:rPr>
                <w:rFonts w:cs="Arial" w:asciiTheme="minorHAnsi" w:hAnsiTheme="minorHAnsi"/>
                <w:sz w:val="20"/>
              </w:rPr>
              <w:t xml:space="preserve"> WFI to make final volume 6</w:t>
            </w:r>
            <w:r>
              <w:rPr>
                <w:rFonts w:cs="Arial" w:asciiTheme="minorHAnsi" w:hAnsiTheme="minorHAnsi"/>
                <w:sz w:val="20"/>
              </w:rPr>
              <w:t xml:space="preserve"> mL</w:t>
            </w:r>
            <w:r w:rsidRPr="00BC4220">
              <w:rPr>
                <w:rFonts w:cs="Arial" w:asciiTheme="minorHAnsi" w:hAnsiTheme="minorHAnsi"/>
                <w:sz w:val="20"/>
              </w:rPr>
              <w:t xml:space="preserve"> with a concentration of 100</w:t>
            </w:r>
            <w:r>
              <w:rPr>
                <w:rFonts w:cs="Arial" w:asciiTheme="minorHAnsi" w:hAnsiTheme="minorHAnsi"/>
                <w:sz w:val="20"/>
              </w:rPr>
              <w:t xml:space="preserve"> </w:t>
            </w:r>
            <w:r w:rsidRPr="00BC4220">
              <w:rPr>
                <w:rFonts w:cs="Arial" w:asciiTheme="minorHAnsi" w:hAnsiTheme="minorHAnsi"/>
                <w:sz w:val="20"/>
              </w:rPr>
              <w:t>microgram/</w:t>
            </w:r>
            <w:r>
              <w:rPr>
                <w:rFonts w:cs="Arial" w:asciiTheme="minorHAnsi" w:hAnsiTheme="minorHAnsi"/>
                <w:sz w:val="20"/>
              </w:rPr>
              <w:t>mL.</w:t>
            </w:r>
          </w:p>
        </w:tc>
      </w:tr>
      <w:tr w:rsidRPr="00AA5FF8" w:rsidR="00E424B4" w:rsidTr="00BB0C06" w14:paraId="5E872A2D" w14:textId="77777777">
        <w:trPr>
          <w:trHeight w:val="498"/>
        </w:trPr>
        <w:tc>
          <w:tcPr>
            <w:tcW w:w="2411" w:type="dxa"/>
          </w:tcPr>
          <w:p w:rsidRPr="00AA5FF8" w:rsidR="000D1E13" w:rsidP="000D1E13" w:rsidRDefault="000D1E13" w14:paraId="46911CAE" w14:textId="77777777">
            <w:pPr>
              <w:pStyle w:val="BodyText"/>
              <w:rPr>
                <w:rFonts w:cs="Arial" w:asciiTheme="minorHAnsi" w:hAnsiTheme="minorHAnsi"/>
                <w:b/>
                <w:bCs/>
                <w:szCs w:val="24"/>
              </w:rPr>
            </w:pPr>
            <w:r w:rsidRPr="00AA5FF8">
              <w:rPr>
                <w:rFonts w:cs="Arial" w:asciiTheme="minorHAnsi" w:hAnsiTheme="minorHAnsi"/>
                <w:b/>
                <w:bCs/>
                <w:szCs w:val="24"/>
              </w:rPr>
              <w:t xml:space="preserve">Administration                 </w:t>
            </w:r>
          </w:p>
          <w:p w:rsidRPr="00AA5FF8" w:rsidR="000D1E13" w:rsidP="000D1E13" w:rsidRDefault="000D1E13" w14:paraId="48061C46" w14:textId="77777777">
            <w:pPr>
              <w:pStyle w:val="BodyText"/>
              <w:rPr>
                <w:rFonts w:cs="Arial" w:asciiTheme="minorHAnsi" w:hAnsiTheme="minorHAnsi"/>
                <w:szCs w:val="24"/>
              </w:rPr>
            </w:pPr>
          </w:p>
        </w:tc>
        <w:tc>
          <w:tcPr>
            <w:tcW w:w="7116" w:type="dxa"/>
            <w:vAlign w:val="center"/>
          </w:tcPr>
          <w:p w:rsidR="000D1E13" w:rsidP="000D1E13" w:rsidRDefault="000D1E13" w14:paraId="2D7773D6" w14:textId="77777777">
            <w:pPr>
              <w:pStyle w:val="BodyText"/>
              <w:rPr>
                <w:rFonts w:asciiTheme="minorHAnsi" w:hAnsiTheme="minorHAnsi"/>
                <w:sz w:val="20"/>
              </w:rPr>
            </w:pPr>
            <w:r w:rsidRPr="00392B44">
              <w:rPr>
                <w:rFonts w:asciiTheme="minorHAnsi" w:hAnsiTheme="minorHAnsi"/>
                <w:sz w:val="20"/>
              </w:rPr>
              <w:t xml:space="preserve">IV slow bolus </w:t>
            </w:r>
          </w:p>
          <w:p w:rsidRPr="00392B44" w:rsidR="000D1E13" w:rsidP="000D1E13" w:rsidRDefault="000D1E13" w14:paraId="5AA39A61" w14:textId="77777777">
            <w:pPr>
              <w:pStyle w:val="BodyText"/>
              <w:rPr>
                <w:rFonts w:asciiTheme="minorHAnsi" w:hAnsiTheme="minorHAnsi"/>
                <w:sz w:val="20"/>
              </w:rPr>
            </w:pPr>
            <w:r>
              <w:rPr>
                <w:rFonts w:asciiTheme="minorHAnsi" w:hAnsiTheme="minorHAnsi"/>
                <w:sz w:val="20"/>
              </w:rPr>
              <w:t>Administer orally with or without feeds</w:t>
            </w:r>
            <w:r w:rsidRPr="00517215">
              <w:rPr>
                <w:rFonts w:asciiTheme="minorHAnsi" w:hAnsiTheme="minorHAnsi"/>
                <w:sz w:val="20"/>
              </w:rPr>
              <w:t xml:space="preserve"> </w:t>
            </w:r>
          </w:p>
          <w:p w:rsidRPr="00AA5FF8" w:rsidR="000D1E13" w:rsidP="000D1E13" w:rsidRDefault="000D1E13" w14:paraId="51665992" w14:textId="77777777">
            <w:pPr>
              <w:pStyle w:val="BodyText"/>
              <w:rPr>
                <w:rFonts w:cs="Arial" w:asciiTheme="minorHAnsi" w:hAnsiTheme="minorHAnsi"/>
                <w:sz w:val="20"/>
              </w:rPr>
            </w:pPr>
            <w:r>
              <w:rPr>
                <w:rFonts w:asciiTheme="minorHAnsi" w:hAnsiTheme="minorHAnsi"/>
                <w:sz w:val="20"/>
              </w:rPr>
              <w:t>Can be repeated after 5</w:t>
            </w:r>
            <w:r w:rsidRPr="00392B44">
              <w:rPr>
                <w:rFonts w:asciiTheme="minorHAnsi" w:hAnsiTheme="minorHAnsi"/>
                <w:sz w:val="20"/>
              </w:rPr>
              <w:t xml:space="preserve"> minutes if required</w:t>
            </w:r>
            <w:r>
              <w:rPr>
                <w:rFonts w:asciiTheme="minorHAnsi" w:hAnsiTheme="minorHAnsi"/>
                <w:sz w:val="20"/>
              </w:rPr>
              <w:t>.</w:t>
            </w:r>
          </w:p>
        </w:tc>
      </w:tr>
      <w:tr w:rsidRPr="00AA5FF8" w:rsidR="00273A16" w:rsidTr="00BB0C06" w14:paraId="43A518C3" w14:textId="77777777">
        <w:trPr>
          <w:trHeight w:val="454"/>
        </w:trPr>
        <w:tc>
          <w:tcPr>
            <w:tcW w:w="2411" w:type="dxa"/>
          </w:tcPr>
          <w:p w:rsidRPr="00AA5FF8" w:rsidR="000D1E13" w:rsidP="000D1E13" w:rsidRDefault="000D1E13" w14:paraId="0269EF05" w14:textId="77777777">
            <w:pPr>
              <w:pStyle w:val="BodyText"/>
              <w:rPr>
                <w:rFonts w:cs="Arial" w:asciiTheme="minorHAnsi" w:hAnsiTheme="minorHAnsi"/>
                <w:b/>
                <w:bCs/>
                <w:szCs w:val="24"/>
              </w:rPr>
            </w:pPr>
            <w:r w:rsidRPr="00AA5FF8">
              <w:rPr>
                <w:rFonts w:cs="Arial" w:asciiTheme="minorHAnsi" w:hAnsiTheme="minorHAnsi"/>
                <w:b/>
                <w:bCs/>
                <w:szCs w:val="24"/>
              </w:rPr>
              <w:t xml:space="preserve">Monitoring                              </w:t>
            </w:r>
          </w:p>
          <w:p w:rsidRPr="00AA5FF8" w:rsidR="000D1E13" w:rsidP="000D1E13" w:rsidRDefault="000D1E13" w14:paraId="35035128" w14:textId="77777777">
            <w:pPr>
              <w:pStyle w:val="BodyText"/>
              <w:rPr>
                <w:rFonts w:cs="Arial" w:asciiTheme="minorHAnsi" w:hAnsiTheme="minorHAnsi"/>
                <w:szCs w:val="24"/>
              </w:rPr>
            </w:pPr>
          </w:p>
        </w:tc>
        <w:tc>
          <w:tcPr>
            <w:tcW w:w="7116" w:type="dxa"/>
          </w:tcPr>
          <w:p w:rsidR="000D1E13" w:rsidP="000D1E13" w:rsidRDefault="000D1E13" w14:paraId="5B4D4A2B" w14:textId="77777777">
            <w:pPr>
              <w:pStyle w:val="BodyText"/>
              <w:rPr>
                <w:rFonts w:cs="Arial" w:asciiTheme="minorHAnsi" w:hAnsiTheme="minorHAnsi"/>
                <w:sz w:val="20"/>
              </w:rPr>
            </w:pPr>
            <w:r>
              <w:rPr>
                <w:rFonts w:cs="Arial" w:asciiTheme="minorHAnsi" w:hAnsiTheme="minorHAnsi"/>
                <w:sz w:val="20"/>
              </w:rPr>
              <w:t>Continuous cardiorespiratory monitoring.</w:t>
            </w:r>
          </w:p>
          <w:p w:rsidRPr="00AA5FF8" w:rsidR="000D1E13" w:rsidP="000D1E13" w:rsidRDefault="000D1E13" w14:paraId="3F232DE9" w14:textId="77777777">
            <w:pPr>
              <w:pStyle w:val="BodyText"/>
              <w:rPr>
                <w:rFonts w:cs="Arial" w:asciiTheme="minorHAnsi" w:hAnsiTheme="minorHAnsi"/>
                <w:sz w:val="20"/>
              </w:rPr>
            </w:pPr>
            <w:r>
              <w:rPr>
                <w:rFonts w:cs="Arial" w:asciiTheme="minorHAnsi" w:hAnsiTheme="minorHAnsi"/>
                <w:sz w:val="20"/>
              </w:rPr>
              <w:t>Monitor temperature and abdominal distension.</w:t>
            </w:r>
          </w:p>
        </w:tc>
      </w:tr>
      <w:tr w:rsidRPr="00AA5FF8" w:rsidR="00273A16" w:rsidTr="00BB0C06" w14:paraId="73FCD9B1" w14:textId="77777777">
        <w:trPr>
          <w:trHeight w:val="342"/>
        </w:trPr>
        <w:tc>
          <w:tcPr>
            <w:tcW w:w="2411" w:type="dxa"/>
          </w:tcPr>
          <w:p w:rsidRPr="00AA5FF8" w:rsidR="000D1E13" w:rsidP="000D1E13" w:rsidRDefault="000D1E13" w14:paraId="2FB3D7DE" w14:textId="77777777">
            <w:pPr>
              <w:pStyle w:val="BodyText"/>
              <w:rPr>
                <w:rFonts w:cs="Arial" w:asciiTheme="minorHAnsi" w:hAnsiTheme="minorHAnsi"/>
                <w:b/>
                <w:bCs/>
                <w:szCs w:val="24"/>
              </w:rPr>
            </w:pPr>
            <w:r w:rsidRPr="00AA5FF8">
              <w:rPr>
                <w:rFonts w:cs="Arial" w:asciiTheme="minorHAnsi" w:hAnsiTheme="minorHAnsi"/>
                <w:b/>
                <w:bCs/>
                <w:szCs w:val="24"/>
              </w:rPr>
              <w:t xml:space="preserve">Contraindications                        </w:t>
            </w:r>
          </w:p>
          <w:p w:rsidRPr="00AA5FF8" w:rsidR="000D1E13" w:rsidP="000D1E13" w:rsidRDefault="000D1E13" w14:paraId="216D3020" w14:textId="77777777">
            <w:pPr>
              <w:pStyle w:val="BodyText"/>
              <w:rPr>
                <w:rFonts w:cs="Arial" w:asciiTheme="minorHAnsi" w:hAnsiTheme="minorHAnsi"/>
                <w:szCs w:val="24"/>
              </w:rPr>
            </w:pPr>
          </w:p>
        </w:tc>
        <w:tc>
          <w:tcPr>
            <w:tcW w:w="7116" w:type="dxa"/>
          </w:tcPr>
          <w:p w:rsidR="000D1E13" w:rsidP="000D1E13" w:rsidRDefault="000D1E13" w14:paraId="74DBF23F" w14:textId="77777777">
            <w:pPr>
              <w:pStyle w:val="BodyText"/>
              <w:rPr>
                <w:rFonts w:asciiTheme="minorHAnsi" w:hAnsiTheme="minorHAnsi"/>
                <w:sz w:val="20"/>
              </w:rPr>
            </w:pPr>
            <w:r>
              <w:rPr>
                <w:rFonts w:asciiTheme="minorHAnsi" w:hAnsiTheme="minorHAnsi"/>
                <w:sz w:val="20"/>
              </w:rPr>
              <w:t>Hypersensitivity to atropine.</w:t>
            </w:r>
          </w:p>
          <w:p w:rsidRPr="00AA5FF8" w:rsidR="000D1E13" w:rsidP="000D1E13" w:rsidRDefault="000D1E13" w14:paraId="34E944B0" w14:textId="77777777">
            <w:pPr>
              <w:pStyle w:val="BodyText"/>
              <w:rPr>
                <w:rFonts w:cs="Arial" w:asciiTheme="minorHAnsi" w:hAnsiTheme="minorHAnsi"/>
                <w:sz w:val="20"/>
              </w:rPr>
            </w:pPr>
            <w:r>
              <w:rPr>
                <w:rFonts w:asciiTheme="minorHAnsi" w:hAnsiTheme="minorHAnsi"/>
                <w:sz w:val="20"/>
              </w:rPr>
              <w:t>Arrhythmias, tachycardia, congenital glaucoma, intestinal obstruction, obstructive uropathy, asthma.</w:t>
            </w:r>
          </w:p>
        </w:tc>
      </w:tr>
      <w:tr w:rsidRPr="00AA5FF8" w:rsidR="00273A16" w:rsidTr="00BB0C06" w14:paraId="4608DC34" w14:textId="77777777">
        <w:trPr>
          <w:trHeight w:val="115"/>
        </w:trPr>
        <w:tc>
          <w:tcPr>
            <w:tcW w:w="2411" w:type="dxa"/>
          </w:tcPr>
          <w:p w:rsidRPr="00AA5FF8" w:rsidR="000D1E13" w:rsidP="000D1E13" w:rsidRDefault="000D1E13" w14:paraId="46385FA0" w14:textId="77777777">
            <w:pPr>
              <w:pStyle w:val="BodyText"/>
              <w:rPr>
                <w:rFonts w:cs="Arial" w:asciiTheme="minorHAnsi" w:hAnsiTheme="minorHAnsi"/>
                <w:b/>
                <w:bCs/>
                <w:szCs w:val="24"/>
              </w:rPr>
            </w:pPr>
            <w:r w:rsidRPr="00AA5FF8">
              <w:rPr>
                <w:rFonts w:asciiTheme="minorHAnsi" w:hAnsiTheme="minorHAnsi"/>
                <w:szCs w:val="24"/>
              </w:rPr>
              <w:br w:type="page"/>
            </w:r>
            <w:r w:rsidRPr="00AA5FF8">
              <w:rPr>
                <w:rFonts w:cs="Arial" w:asciiTheme="minorHAnsi" w:hAnsiTheme="minorHAnsi"/>
                <w:b/>
                <w:bCs/>
                <w:szCs w:val="24"/>
              </w:rPr>
              <w:t>Precautions</w:t>
            </w:r>
          </w:p>
        </w:tc>
        <w:tc>
          <w:tcPr>
            <w:tcW w:w="7116" w:type="dxa"/>
          </w:tcPr>
          <w:p w:rsidR="000D1E13" w:rsidP="000D1E13" w:rsidRDefault="000D1E13" w14:paraId="7BB94E92" w14:textId="77777777">
            <w:pPr>
              <w:pStyle w:val="BodyText"/>
              <w:rPr>
                <w:rFonts w:asciiTheme="minorHAnsi" w:hAnsiTheme="minorHAnsi"/>
                <w:sz w:val="20"/>
              </w:rPr>
            </w:pPr>
            <w:r>
              <w:rPr>
                <w:rFonts w:asciiTheme="minorHAnsi" w:hAnsiTheme="minorHAnsi"/>
                <w:sz w:val="20"/>
              </w:rPr>
              <w:t xml:space="preserve">Fever — in </w:t>
            </w:r>
            <w:r w:rsidRPr="00F727AD">
              <w:rPr>
                <w:rFonts w:asciiTheme="minorHAnsi" w:hAnsiTheme="minorHAnsi"/>
                <w:sz w:val="20"/>
              </w:rPr>
              <w:t xml:space="preserve">febrile patients or patients exposed to elevated ambient temperature, </w:t>
            </w:r>
            <w:r>
              <w:rPr>
                <w:rFonts w:asciiTheme="minorHAnsi" w:hAnsiTheme="minorHAnsi"/>
                <w:sz w:val="20"/>
              </w:rPr>
              <w:t>there is</w:t>
            </w:r>
            <w:r w:rsidRPr="00F727AD">
              <w:rPr>
                <w:rFonts w:asciiTheme="minorHAnsi" w:hAnsiTheme="minorHAnsi"/>
                <w:sz w:val="20"/>
              </w:rPr>
              <w:t xml:space="preserve"> risk of provoking hyperpyrexia and heat prostration</w:t>
            </w:r>
          </w:p>
          <w:p w:rsidRPr="00AA5FF8" w:rsidR="000D1E13" w:rsidP="000D1E13" w:rsidRDefault="000D1E13" w14:paraId="0F0821E4" w14:textId="77777777">
            <w:pPr>
              <w:pStyle w:val="BodyText"/>
              <w:rPr>
                <w:rFonts w:asciiTheme="minorHAnsi" w:hAnsiTheme="minorHAnsi"/>
                <w:sz w:val="20"/>
              </w:rPr>
            </w:pPr>
            <w:r>
              <w:rPr>
                <w:rFonts w:asciiTheme="minorHAnsi" w:hAnsiTheme="minorHAnsi"/>
                <w:sz w:val="20"/>
              </w:rPr>
              <w:t>Gastro-oesophageal reflux</w:t>
            </w:r>
          </w:p>
        </w:tc>
      </w:tr>
      <w:tr w:rsidRPr="00AA5FF8" w:rsidR="00273A16" w:rsidTr="00BB0C06" w14:paraId="5074C41B" w14:textId="77777777">
        <w:trPr>
          <w:trHeight w:val="276"/>
        </w:trPr>
        <w:tc>
          <w:tcPr>
            <w:tcW w:w="2411" w:type="dxa"/>
          </w:tcPr>
          <w:p w:rsidRPr="00AA5FF8" w:rsidR="000D1E13" w:rsidP="000D1E13" w:rsidRDefault="000D1E13" w14:paraId="5CF48F74" w14:textId="77777777">
            <w:pPr>
              <w:pStyle w:val="BodyText"/>
              <w:rPr>
                <w:rFonts w:cs="Arial" w:asciiTheme="minorHAnsi" w:hAnsiTheme="minorHAnsi"/>
                <w:b/>
                <w:bCs/>
                <w:szCs w:val="24"/>
              </w:rPr>
            </w:pPr>
            <w:r w:rsidRPr="00AA5FF8">
              <w:rPr>
                <w:rFonts w:cs="Arial" w:asciiTheme="minorHAnsi" w:hAnsiTheme="minorHAnsi"/>
                <w:b/>
                <w:bCs/>
                <w:szCs w:val="24"/>
              </w:rPr>
              <w:t>Drug Interactions</w:t>
            </w:r>
          </w:p>
        </w:tc>
        <w:tc>
          <w:tcPr>
            <w:tcW w:w="7116" w:type="dxa"/>
          </w:tcPr>
          <w:p w:rsidR="000D1E13" w:rsidP="000D1E13" w:rsidRDefault="000D1E13" w14:paraId="2D3049CE" w14:textId="77777777">
            <w:pPr>
              <w:pStyle w:val="Default"/>
              <w:rPr>
                <w:rFonts w:asciiTheme="minorHAnsi" w:hAnsiTheme="minorHAnsi"/>
                <w:color w:val="auto"/>
                <w:sz w:val="20"/>
                <w:szCs w:val="20"/>
              </w:rPr>
            </w:pPr>
            <w:r>
              <w:rPr>
                <w:rFonts w:asciiTheme="minorHAnsi" w:hAnsiTheme="minorHAnsi"/>
                <w:color w:val="auto"/>
                <w:sz w:val="20"/>
                <w:szCs w:val="20"/>
              </w:rPr>
              <w:t xml:space="preserve">The hypertensive and cardiac arrhythmic adverse effects of phenylephrine absorbed from eye drops can be significantly increased by systemic atropine. </w:t>
            </w:r>
          </w:p>
          <w:p w:rsidR="000D1E13" w:rsidP="000D1E13" w:rsidRDefault="000D1E13" w14:paraId="308C368F" w14:textId="77777777">
            <w:pPr>
              <w:pStyle w:val="Default"/>
              <w:rPr>
                <w:rFonts w:asciiTheme="minorHAnsi" w:hAnsiTheme="minorHAnsi"/>
                <w:color w:val="auto"/>
                <w:sz w:val="20"/>
                <w:szCs w:val="20"/>
              </w:rPr>
            </w:pPr>
            <w:r>
              <w:rPr>
                <w:rFonts w:asciiTheme="minorHAnsi" w:hAnsiTheme="minorHAnsi"/>
                <w:color w:val="auto"/>
                <w:sz w:val="20"/>
                <w:szCs w:val="20"/>
              </w:rPr>
              <w:t>There is increased risk of antimuscarinic side effects if atropine is used in combination with antihistamines (e.g. promethazine, cyclizine), codeine or phenothiazines (e.g. prochlorperazine).</w:t>
            </w:r>
          </w:p>
          <w:p w:rsidR="000D1E13" w:rsidP="000D1E13" w:rsidRDefault="000D1E13" w14:paraId="0E15D3CF" w14:textId="77777777">
            <w:pPr>
              <w:pStyle w:val="Default"/>
              <w:rPr>
                <w:rFonts w:asciiTheme="minorHAnsi" w:hAnsiTheme="minorHAnsi"/>
                <w:color w:val="auto"/>
                <w:sz w:val="20"/>
                <w:szCs w:val="20"/>
              </w:rPr>
            </w:pPr>
            <w:r>
              <w:rPr>
                <w:rFonts w:asciiTheme="minorHAnsi" w:hAnsiTheme="minorHAnsi"/>
                <w:color w:val="auto"/>
                <w:sz w:val="20"/>
                <w:szCs w:val="20"/>
              </w:rPr>
              <w:t>Atropine antagonises the gastrointestinal motility promoting effects of domperidone and metoclopramide.</w:t>
            </w:r>
          </w:p>
          <w:p w:rsidR="000D1E13" w:rsidP="000D1E13" w:rsidRDefault="000D1E13" w14:paraId="766B6717" w14:textId="77777777">
            <w:pPr>
              <w:pStyle w:val="Default"/>
              <w:rPr>
                <w:rFonts w:asciiTheme="minorHAnsi" w:hAnsiTheme="minorHAnsi"/>
                <w:color w:val="auto"/>
                <w:sz w:val="20"/>
                <w:szCs w:val="20"/>
              </w:rPr>
            </w:pPr>
            <w:r>
              <w:rPr>
                <w:rFonts w:asciiTheme="minorHAnsi" w:hAnsiTheme="minorHAnsi"/>
                <w:color w:val="auto"/>
                <w:sz w:val="20"/>
                <w:szCs w:val="20"/>
              </w:rPr>
              <w:t xml:space="preserve">May increase serum concentrations of thiazide diuretics e.g. hydrochlorothiazide. </w:t>
            </w:r>
          </w:p>
          <w:p w:rsidR="000D1E13" w:rsidP="000D1E13" w:rsidRDefault="000D1E13" w14:paraId="115ED4B8" w14:textId="77777777">
            <w:pPr>
              <w:pStyle w:val="Default"/>
              <w:rPr>
                <w:rFonts w:asciiTheme="minorHAnsi" w:hAnsiTheme="minorHAnsi"/>
                <w:color w:val="auto"/>
                <w:sz w:val="20"/>
                <w:szCs w:val="20"/>
              </w:rPr>
            </w:pPr>
            <w:r>
              <w:rPr>
                <w:rFonts w:asciiTheme="minorHAnsi" w:hAnsiTheme="minorHAnsi"/>
                <w:color w:val="auto"/>
                <w:sz w:val="20"/>
                <w:szCs w:val="20"/>
              </w:rPr>
              <w:t>Reduces the absorption of ketoconazole.</w:t>
            </w:r>
          </w:p>
          <w:p w:rsidR="000D1E13" w:rsidP="000D1E13" w:rsidRDefault="000D1E13" w14:paraId="7E1357F4" w14:textId="77777777">
            <w:pPr>
              <w:pStyle w:val="Default"/>
              <w:rPr>
                <w:rFonts w:asciiTheme="minorHAnsi" w:hAnsiTheme="minorHAnsi"/>
                <w:color w:val="auto"/>
                <w:sz w:val="20"/>
              </w:rPr>
            </w:pPr>
            <w:r>
              <w:rPr>
                <w:rFonts w:asciiTheme="minorHAnsi" w:hAnsiTheme="minorHAnsi"/>
                <w:color w:val="auto"/>
                <w:sz w:val="20"/>
              </w:rPr>
              <w:t xml:space="preserve">Increases the absorption of nitrofurantoin. </w:t>
            </w:r>
          </w:p>
          <w:p w:rsidR="000D1E13" w:rsidP="000D1E13" w:rsidRDefault="000D1E13" w14:paraId="472225EC" w14:textId="77777777">
            <w:pPr>
              <w:pStyle w:val="Default"/>
              <w:rPr>
                <w:rFonts w:asciiTheme="minorHAnsi" w:hAnsiTheme="minorHAnsi"/>
                <w:color w:val="auto"/>
                <w:sz w:val="20"/>
              </w:rPr>
            </w:pPr>
            <w:r>
              <w:rPr>
                <w:rFonts w:asciiTheme="minorHAnsi" w:hAnsiTheme="minorHAnsi"/>
                <w:color w:val="auto"/>
                <w:sz w:val="20"/>
              </w:rPr>
              <w:t>May increase the risk of opioid-induced constipation and urinary retention.</w:t>
            </w:r>
          </w:p>
          <w:p w:rsidRPr="00AA5FF8" w:rsidR="000D1E13" w:rsidP="000D1E13" w:rsidRDefault="000D1E13" w14:paraId="0415B95C" w14:textId="77777777">
            <w:pPr>
              <w:pStyle w:val="Default"/>
              <w:rPr>
                <w:rFonts w:asciiTheme="minorHAnsi" w:hAnsiTheme="minorHAnsi"/>
                <w:color w:val="auto"/>
                <w:sz w:val="20"/>
              </w:rPr>
            </w:pPr>
            <w:r>
              <w:rPr>
                <w:rFonts w:asciiTheme="minorHAnsi" w:hAnsiTheme="minorHAnsi"/>
                <w:color w:val="auto"/>
                <w:sz w:val="20"/>
              </w:rPr>
              <w:t>Anticholinergic agents, including atropine, may increase the toxic side effects of topiramate.</w:t>
            </w:r>
          </w:p>
        </w:tc>
      </w:tr>
      <w:tr w:rsidRPr="00AA5FF8" w:rsidR="00273A16" w:rsidTr="00BB0C06" w14:paraId="4D998423" w14:textId="77777777">
        <w:trPr>
          <w:trHeight w:val="416"/>
        </w:trPr>
        <w:tc>
          <w:tcPr>
            <w:tcW w:w="2411" w:type="dxa"/>
          </w:tcPr>
          <w:p w:rsidRPr="00AA5FF8" w:rsidR="000D1E13" w:rsidP="000D1E13" w:rsidRDefault="000D1E13" w14:paraId="2A9416CD" w14:textId="77777777">
            <w:pPr>
              <w:pStyle w:val="BodyText"/>
              <w:rPr>
                <w:rFonts w:cs="Arial" w:asciiTheme="minorHAnsi" w:hAnsiTheme="minorHAnsi"/>
                <w:b/>
                <w:bCs/>
                <w:szCs w:val="24"/>
              </w:rPr>
            </w:pPr>
            <w:r w:rsidRPr="00AA5FF8">
              <w:rPr>
                <w:rFonts w:cs="Arial" w:asciiTheme="minorHAnsi" w:hAnsiTheme="minorHAnsi"/>
                <w:b/>
                <w:bCs/>
                <w:szCs w:val="24"/>
              </w:rPr>
              <w:lastRenderedPageBreak/>
              <w:t xml:space="preserve">Adverse Reactions         </w:t>
            </w:r>
          </w:p>
          <w:p w:rsidRPr="00AA5FF8" w:rsidR="000D1E13" w:rsidP="000D1E13" w:rsidRDefault="000D1E13" w14:paraId="0E3B8BE5" w14:textId="77777777">
            <w:pPr>
              <w:pStyle w:val="BodyText"/>
              <w:rPr>
                <w:rFonts w:cs="Arial" w:asciiTheme="minorHAnsi" w:hAnsiTheme="minorHAnsi"/>
                <w:b/>
                <w:bCs/>
                <w:szCs w:val="24"/>
              </w:rPr>
            </w:pPr>
          </w:p>
        </w:tc>
        <w:tc>
          <w:tcPr>
            <w:tcW w:w="7116" w:type="dxa"/>
          </w:tcPr>
          <w:p w:rsidRPr="00AA5FF8" w:rsidR="000D1E13" w:rsidP="000D1E13" w:rsidRDefault="000D1E13" w14:paraId="1D72865E" w14:textId="77777777">
            <w:pPr>
              <w:pStyle w:val="BodyText"/>
              <w:rPr>
                <w:rFonts w:cs="Arial" w:asciiTheme="minorHAnsi" w:hAnsiTheme="minorHAnsi"/>
                <w:sz w:val="20"/>
              </w:rPr>
            </w:pPr>
            <w:r>
              <w:rPr>
                <w:rFonts w:asciiTheme="minorHAnsi" w:hAnsiTheme="minorHAnsi"/>
                <w:sz w:val="20"/>
              </w:rPr>
              <w:t>Tachycardia, arrhythmia, hyperthermia, flushing, irritability, abdominal distension, oesophageal reflux with decreased oesophageal sphincter tone, decreased gut motility, urinary retention, dry mouth.</w:t>
            </w:r>
          </w:p>
        </w:tc>
      </w:tr>
      <w:tr w:rsidRPr="006248BF" w:rsidR="00273A16" w:rsidTr="00BB0C06" w14:paraId="11BED9A9" w14:textId="77777777">
        <w:trPr>
          <w:trHeight w:val="270"/>
        </w:trPr>
        <w:tc>
          <w:tcPr>
            <w:tcW w:w="2411" w:type="dxa"/>
          </w:tcPr>
          <w:p w:rsidRPr="00AA5FF8" w:rsidR="000D1E13" w:rsidP="000D1E13" w:rsidRDefault="000D1E13" w14:paraId="156F1134" w14:textId="77777777">
            <w:pPr>
              <w:pStyle w:val="BodyText"/>
              <w:rPr>
                <w:rFonts w:cs="Arial" w:asciiTheme="minorHAnsi" w:hAnsiTheme="minorHAnsi"/>
                <w:b/>
                <w:bCs/>
                <w:szCs w:val="24"/>
              </w:rPr>
            </w:pPr>
            <w:r w:rsidRPr="00AA5FF8">
              <w:rPr>
                <w:rFonts w:cs="Arial" w:asciiTheme="minorHAnsi" w:hAnsiTheme="minorHAnsi"/>
                <w:b/>
                <w:bCs/>
                <w:szCs w:val="24"/>
              </w:rPr>
              <w:t>Compatibility</w:t>
            </w:r>
          </w:p>
        </w:tc>
        <w:tc>
          <w:tcPr>
            <w:tcW w:w="7116" w:type="dxa"/>
          </w:tcPr>
          <w:p w:rsidR="000D1E13" w:rsidP="000D1E13" w:rsidRDefault="000D1E13" w14:paraId="60F3AD3D" w14:textId="77777777">
            <w:pPr>
              <w:pStyle w:val="Default"/>
              <w:rPr>
                <w:rFonts w:asciiTheme="minorHAnsi" w:hAnsiTheme="minorHAnsi"/>
                <w:color w:val="auto"/>
                <w:sz w:val="20"/>
                <w:szCs w:val="20"/>
              </w:rPr>
            </w:pPr>
            <w:r>
              <w:rPr>
                <w:rFonts w:asciiTheme="minorHAnsi" w:hAnsiTheme="minorHAnsi"/>
                <w:color w:val="auto"/>
                <w:sz w:val="20"/>
                <w:szCs w:val="20"/>
              </w:rPr>
              <w:t>Fluids: sodium chloride 0.9%</w:t>
            </w:r>
          </w:p>
          <w:p w:rsidR="000D1E13" w:rsidP="000D1E13" w:rsidRDefault="000D1E13" w14:paraId="7F49E395" w14:textId="77777777">
            <w:pPr>
              <w:pStyle w:val="Default"/>
              <w:rPr>
                <w:rFonts w:asciiTheme="minorHAnsi" w:hAnsiTheme="minorHAnsi"/>
                <w:color w:val="auto"/>
                <w:sz w:val="20"/>
                <w:szCs w:val="20"/>
              </w:rPr>
            </w:pPr>
          </w:p>
          <w:p w:rsidRPr="006248BF" w:rsidR="000D1E13" w:rsidP="000D1E13" w:rsidRDefault="000D1E13" w14:paraId="50ACD6F2" w14:textId="77777777">
            <w:pPr>
              <w:pStyle w:val="Default"/>
              <w:rPr>
                <w:rFonts w:asciiTheme="minorHAnsi" w:hAnsiTheme="minorHAnsi"/>
                <w:color w:val="auto"/>
                <w:sz w:val="20"/>
                <w:szCs w:val="20"/>
              </w:rPr>
            </w:pPr>
            <w:r>
              <w:rPr>
                <w:rFonts w:asciiTheme="minorHAnsi" w:hAnsiTheme="minorHAnsi"/>
                <w:color w:val="auto"/>
                <w:sz w:val="20"/>
                <w:szCs w:val="20"/>
              </w:rPr>
              <w:t xml:space="preserve">Y-site: Adrenaline (epinephrine), amikacin, aminophylline, </w:t>
            </w:r>
            <w:r w:rsidRPr="006248BF">
              <w:rPr>
                <w:rFonts w:asciiTheme="minorHAnsi" w:hAnsiTheme="minorHAnsi"/>
                <w:color w:val="auto"/>
                <w:sz w:val="20"/>
                <w:szCs w:val="20"/>
              </w:rPr>
              <w:t xml:space="preserve">amiodarone, </w:t>
            </w:r>
            <w:r>
              <w:rPr>
                <w:rFonts w:asciiTheme="minorHAnsi" w:hAnsiTheme="minorHAnsi"/>
                <w:color w:val="auto"/>
                <w:sz w:val="20"/>
                <w:szCs w:val="20"/>
              </w:rPr>
              <w:t>calcium chloride,</w:t>
            </w:r>
            <w:r>
              <w:t xml:space="preserve"> </w:t>
            </w:r>
            <w:r>
              <w:rPr>
                <w:rFonts w:asciiTheme="minorHAnsi" w:hAnsiTheme="minorHAnsi"/>
                <w:color w:val="auto"/>
                <w:sz w:val="20"/>
                <w:szCs w:val="20"/>
              </w:rPr>
              <w:t xml:space="preserve">calcium gluconate, cefazolin, cefotaxime, ceftazidime, cefuroxime, ceftriaxone, chlorothiazide, clindamycin, dexamethasone, digoxin, dopamine, </w:t>
            </w:r>
            <w:r w:rsidRPr="006248BF">
              <w:rPr>
                <w:rFonts w:asciiTheme="minorHAnsi" w:hAnsiTheme="minorHAnsi"/>
                <w:color w:val="auto"/>
                <w:sz w:val="20"/>
                <w:szCs w:val="20"/>
              </w:rPr>
              <w:t xml:space="preserve">dobutamine, </w:t>
            </w:r>
            <w:r>
              <w:rPr>
                <w:rFonts w:asciiTheme="minorHAnsi" w:hAnsiTheme="minorHAnsi"/>
                <w:color w:val="auto"/>
                <w:sz w:val="20"/>
                <w:szCs w:val="20"/>
              </w:rPr>
              <w:t xml:space="preserve">erythromycin, </w:t>
            </w:r>
            <w:r w:rsidRPr="006248BF">
              <w:rPr>
                <w:rFonts w:asciiTheme="minorHAnsi" w:hAnsiTheme="minorHAnsi"/>
                <w:color w:val="auto"/>
                <w:sz w:val="20"/>
                <w:szCs w:val="20"/>
              </w:rPr>
              <w:t xml:space="preserve">famotidine, fentanyl, </w:t>
            </w:r>
            <w:r>
              <w:rPr>
                <w:rFonts w:asciiTheme="minorHAnsi" w:hAnsiTheme="minorHAnsi"/>
                <w:color w:val="auto"/>
                <w:sz w:val="20"/>
                <w:szCs w:val="20"/>
              </w:rPr>
              <w:t xml:space="preserve">fluconazole, folic acid, </w:t>
            </w:r>
            <w:r w:rsidRPr="006248BF">
              <w:rPr>
                <w:rFonts w:asciiTheme="minorHAnsi" w:hAnsiTheme="minorHAnsi"/>
                <w:color w:val="auto"/>
                <w:sz w:val="20"/>
                <w:szCs w:val="20"/>
              </w:rPr>
              <w:t>furosemide</w:t>
            </w:r>
            <w:r>
              <w:rPr>
                <w:rFonts w:asciiTheme="minorHAnsi" w:hAnsiTheme="minorHAnsi"/>
                <w:color w:val="auto"/>
                <w:sz w:val="20"/>
                <w:szCs w:val="20"/>
              </w:rPr>
              <w:t xml:space="preserve"> (frusemide)</w:t>
            </w:r>
            <w:r w:rsidRPr="006248BF">
              <w:rPr>
                <w:rFonts w:asciiTheme="minorHAnsi" w:hAnsiTheme="minorHAnsi"/>
                <w:color w:val="auto"/>
                <w:sz w:val="20"/>
                <w:szCs w:val="20"/>
              </w:rPr>
              <w:t xml:space="preserve">, </w:t>
            </w:r>
            <w:r>
              <w:rPr>
                <w:rFonts w:asciiTheme="minorHAnsi" w:hAnsiTheme="minorHAnsi"/>
                <w:color w:val="auto"/>
                <w:sz w:val="20"/>
                <w:szCs w:val="20"/>
              </w:rPr>
              <w:t xml:space="preserve">gentamicin, </w:t>
            </w:r>
            <w:r w:rsidRPr="0079327D">
              <w:rPr>
                <w:rFonts w:asciiTheme="minorHAnsi" w:hAnsiTheme="minorHAnsi"/>
                <w:color w:val="auto"/>
                <w:sz w:val="20"/>
                <w:szCs w:val="20"/>
              </w:rPr>
              <w:t xml:space="preserve">glycopyrronium bromide </w:t>
            </w:r>
            <w:r>
              <w:rPr>
                <w:rFonts w:asciiTheme="minorHAnsi" w:hAnsiTheme="minorHAnsi"/>
                <w:color w:val="auto"/>
                <w:sz w:val="20"/>
                <w:szCs w:val="20"/>
              </w:rPr>
              <w:t>(</w:t>
            </w:r>
            <w:r w:rsidRPr="006248BF">
              <w:rPr>
                <w:rFonts w:asciiTheme="minorHAnsi" w:hAnsiTheme="minorHAnsi"/>
                <w:color w:val="auto"/>
                <w:sz w:val="20"/>
                <w:szCs w:val="20"/>
              </w:rPr>
              <w:t>glycopyrrolate</w:t>
            </w:r>
            <w:r>
              <w:rPr>
                <w:rFonts w:asciiTheme="minorHAnsi" w:hAnsiTheme="minorHAnsi"/>
                <w:color w:val="auto"/>
                <w:sz w:val="20"/>
                <w:szCs w:val="20"/>
              </w:rPr>
              <w:t>)</w:t>
            </w:r>
            <w:r w:rsidRPr="006248BF">
              <w:rPr>
                <w:rFonts w:asciiTheme="minorHAnsi" w:hAnsiTheme="minorHAnsi"/>
                <w:color w:val="auto"/>
                <w:sz w:val="20"/>
                <w:szCs w:val="20"/>
              </w:rPr>
              <w:t xml:space="preserve">, heparin, hydrocortisone sodium succinate, </w:t>
            </w:r>
            <w:r>
              <w:rPr>
                <w:rFonts w:asciiTheme="minorHAnsi" w:hAnsiTheme="minorHAnsi"/>
                <w:color w:val="auto"/>
                <w:sz w:val="20"/>
                <w:szCs w:val="20"/>
              </w:rPr>
              <w:t xml:space="preserve">imipenem, </w:t>
            </w:r>
            <w:r w:rsidRPr="00A26ED0">
              <w:rPr>
                <w:rFonts w:asciiTheme="minorHAnsi" w:hAnsiTheme="minorHAnsi"/>
                <w:color w:val="auto"/>
                <w:sz w:val="20"/>
                <w:szCs w:val="20"/>
              </w:rPr>
              <w:t>indometacin</w:t>
            </w:r>
            <w:r>
              <w:rPr>
                <w:rFonts w:asciiTheme="minorHAnsi" w:hAnsiTheme="minorHAnsi"/>
                <w:color w:val="auto"/>
                <w:sz w:val="20"/>
                <w:szCs w:val="20"/>
              </w:rPr>
              <w:t>, insulin, lidocaine (lignocaine), magnesium sulfate</w:t>
            </w:r>
            <w:r>
              <w:t xml:space="preserve"> </w:t>
            </w:r>
            <w:r w:rsidRPr="00A26ED0">
              <w:rPr>
                <w:rFonts w:asciiTheme="minorHAnsi" w:hAnsiTheme="minorHAnsi"/>
                <w:color w:val="auto"/>
                <w:sz w:val="20"/>
                <w:szCs w:val="20"/>
              </w:rPr>
              <w:t>heptahydrate</w:t>
            </w:r>
            <w:r>
              <w:rPr>
                <w:rFonts w:asciiTheme="minorHAnsi" w:hAnsiTheme="minorHAnsi"/>
                <w:color w:val="auto"/>
                <w:sz w:val="20"/>
                <w:szCs w:val="20"/>
              </w:rPr>
              <w:t xml:space="preserve">, </w:t>
            </w:r>
            <w:r w:rsidRPr="006248BF">
              <w:rPr>
                <w:rFonts w:asciiTheme="minorHAnsi" w:hAnsiTheme="minorHAnsi"/>
                <w:color w:val="auto"/>
                <w:sz w:val="20"/>
                <w:szCs w:val="20"/>
              </w:rPr>
              <w:t>meropenem, methadone, metoclopramide</w:t>
            </w:r>
            <w:r>
              <w:t xml:space="preserve"> </w:t>
            </w:r>
            <w:r w:rsidRPr="00A26ED0">
              <w:rPr>
                <w:rFonts w:asciiTheme="minorHAnsi" w:hAnsiTheme="minorHAnsi"/>
                <w:color w:val="auto"/>
                <w:sz w:val="20"/>
                <w:szCs w:val="20"/>
              </w:rPr>
              <w:t>hydrochloride</w:t>
            </w:r>
            <w:r w:rsidRPr="006248BF">
              <w:rPr>
                <w:rFonts w:asciiTheme="minorHAnsi" w:hAnsiTheme="minorHAnsi"/>
                <w:color w:val="auto"/>
                <w:sz w:val="20"/>
                <w:szCs w:val="20"/>
              </w:rPr>
              <w:t>, morphine</w:t>
            </w:r>
            <w:r>
              <w:t xml:space="preserve"> </w:t>
            </w:r>
            <w:r w:rsidRPr="00A26ED0">
              <w:rPr>
                <w:rFonts w:asciiTheme="minorHAnsi" w:hAnsiTheme="minorHAnsi"/>
                <w:color w:val="auto"/>
                <w:sz w:val="20"/>
                <w:szCs w:val="20"/>
              </w:rPr>
              <w:t>sulfate pentahydrate</w:t>
            </w:r>
            <w:r w:rsidRPr="006248BF">
              <w:rPr>
                <w:rFonts w:asciiTheme="minorHAnsi" w:hAnsiTheme="minorHAnsi"/>
                <w:color w:val="auto"/>
                <w:sz w:val="20"/>
                <w:szCs w:val="20"/>
              </w:rPr>
              <w:t xml:space="preserve">, midazolam, nafcillin, </w:t>
            </w:r>
            <w:r>
              <w:rPr>
                <w:rFonts w:asciiTheme="minorHAnsi" w:hAnsiTheme="minorHAnsi"/>
                <w:color w:val="auto"/>
                <w:sz w:val="20"/>
                <w:szCs w:val="20"/>
              </w:rPr>
              <w:t xml:space="preserve">naloxone, noradrenaline (norepinephrine), </w:t>
            </w:r>
            <w:r w:rsidRPr="00A26ED0">
              <w:rPr>
                <w:rFonts w:asciiTheme="minorHAnsi" w:hAnsiTheme="minorHAnsi"/>
                <w:color w:val="auto"/>
                <w:sz w:val="20"/>
                <w:szCs w:val="20"/>
              </w:rPr>
              <w:t>benzylpenicillin</w:t>
            </w:r>
            <w:r>
              <w:rPr>
                <w:rFonts w:asciiTheme="minorHAnsi" w:hAnsiTheme="minorHAnsi"/>
                <w:color w:val="auto"/>
                <w:sz w:val="20"/>
                <w:szCs w:val="20"/>
              </w:rPr>
              <w:t xml:space="preserve">, </w:t>
            </w:r>
            <w:r w:rsidRPr="00E1645C">
              <w:rPr>
                <w:rFonts w:asciiTheme="minorHAnsi" w:hAnsiTheme="minorHAnsi"/>
                <w:sz w:val="20"/>
              </w:rPr>
              <w:t xml:space="preserve">phenobarbital </w:t>
            </w:r>
            <w:r>
              <w:rPr>
                <w:rFonts w:asciiTheme="minorHAnsi" w:hAnsiTheme="minorHAnsi"/>
                <w:sz w:val="20"/>
              </w:rPr>
              <w:t>(phenobarbitone</w:t>
            </w:r>
            <w:r>
              <w:rPr>
                <w:rFonts w:asciiTheme="minorHAnsi" w:hAnsiTheme="minorHAnsi"/>
                <w:color w:val="auto"/>
                <w:sz w:val="20"/>
                <w:szCs w:val="20"/>
              </w:rPr>
              <w:t xml:space="preserve">), piperacillin, </w:t>
            </w:r>
            <w:r w:rsidRPr="006248BF">
              <w:rPr>
                <w:rFonts w:asciiTheme="minorHAnsi" w:hAnsiTheme="minorHAnsi"/>
                <w:color w:val="auto"/>
                <w:sz w:val="20"/>
                <w:szCs w:val="20"/>
              </w:rPr>
              <w:t>potassium chloride</w:t>
            </w:r>
            <w:r>
              <w:rPr>
                <w:rFonts w:asciiTheme="minorHAnsi" w:hAnsiTheme="minorHAnsi"/>
                <w:color w:val="auto"/>
                <w:sz w:val="20"/>
                <w:szCs w:val="20"/>
              </w:rPr>
              <w:t>,</w:t>
            </w:r>
            <w:r w:rsidRPr="006248BF">
              <w:rPr>
                <w:rFonts w:asciiTheme="minorHAnsi" w:hAnsiTheme="minorHAnsi"/>
                <w:color w:val="auto"/>
                <w:sz w:val="20"/>
                <w:szCs w:val="20"/>
              </w:rPr>
              <w:t xml:space="preserve"> </w:t>
            </w:r>
            <w:r w:rsidRPr="006248BF">
              <w:rPr>
                <w:rFonts w:cs="Helvetica" w:asciiTheme="minorHAnsi" w:hAnsiTheme="minorHAnsi"/>
                <w:sz w:val="20"/>
                <w:szCs w:val="20"/>
              </w:rPr>
              <w:t xml:space="preserve">, </w:t>
            </w:r>
            <w:r>
              <w:rPr>
                <w:rFonts w:cs="Helvetica" w:asciiTheme="minorHAnsi" w:hAnsiTheme="minorHAnsi"/>
                <w:sz w:val="20"/>
                <w:szCs w:val="20"/>
              </w:rPr>
              <w:t xml:space="preserve">propranolol, pyridoxine, sodium bicarbonate, </w:t>
            </w:r>
            <w:r w:rsidRPr="006248BF">
              <w:rPr>
                <w:rFonts w:cs="Helvetica" w:asciiTheme="minorHAnsi" w:hAnsiTheme="minorHAnsi"/>
                <w:sz w:val="20"/>
                <w:szCs w:val="20"/>
              </w:rPr>
              <w:t>ranitidine</w:t>
            </w:r>
            <w:r>
              <w:rPr>
                <w:rFonts w:cs="Helvetica" w:asciiTheme="minorHAnsi" w:hAnsiTheme="minorHAnsi"/>
                <w:sz w:val="20"/>
                <w:szCs w:val="20"/>
              </w:rPr>
              <w:t>,</w:t>
            </w:r>
            <w:r w:rsidRPr="006248BF">
              <w:rPr>
                <w:rFonts w:cs="Helvetica" w:asciiTheme="minorHAnsi" w:hAnsiTheme="minorHAnsi"/>
                <w:sz w:val="20"/>
                <w:szCs w:val="20"/>
              </w:rPr>
              <w:t xml:space="preserve"> </w:t>
            </w:r>
            <w:r>
              <w:rPr>
                <w:rFonts w:cs="Helvetica" w:asciiTheme="minorHAnsi" w:hAnsiTheme="minorHAnsi"/>
                <w:sz w:val="20"/>
                <w:szCs w:val="20"/>
              </w:rPr>
              <w:t>theophylline, tobramycin, vancomycin</w:t>
            </w:r>
          </w:p>
        </w:tc>
      </w:tr>
      <w:tr w:rsidRPr="00AA5FF8" w:rsidR="00273A16" w:rsidTr="00BB0C06" w14:paraId="1A5088B2" w14:textId="77777777">
        <w:trPr>
          <w:trHeight w:val="206"/>
        </w:trPr>
        <w:tc>
          <w:tcPr>
            <w:tcW w:w="2411" w:type="dxa"/>
          </w:tcPr>
          <w:p w:rsidRPr="00AA5FF8" w:rsidR="000D1E13" w:rsidP="000D1E13" w:rsidRDefault="000D1E13" w14:paraId="61B0D068" w14:textId="77777777">
            <w:pPr>
              <w:pStyle w:val="BodyText"/>
              <w:rPr>
                <w:rFonts w:cs="Arial" w:asciiTheme="minorHAnsi" w:hAnsiTheme="minorHAnsi"/>
                <w:b/>
                <w:bCs/>
                <w:szCs w:val="24"/>
              </w:rPr>
            </w:pPr>
            <w:r w:rsidRPr="00AA5FF8">
              <w:rPr>
                <w:rFonts w:cs="Arial" w:asciiTheme="minorHAnsi" w:hAnsiTheme="minorHAnsi"/>
                <w:b/>
                <w:bCs/>
                <w:szCs w:val="24"/>
              </w:rPr>
              <w:t xml:space="preserve">Incompatibility </w:t>
            </w:r>
          </w:p>
        </w:tc>
        <w:tc>
          <w:tcPr>
            <w:tcW w:w="7116" w:type="dxa"/>
          </w:tcPr>
          <w:p w:rsidRPr="00AA5FF8" w:rsidR="000D1E13" w:rsidP="000D1E13" w:rsidRDefault="000D1E13" w14:paraId="5737FF78" w14:textId="77777777">
            <w:pPr>
              <w:pStyle w:val="BodyText"/>
              <w:rPr>
                <w:rFonts w:cs="Arial" w:asciiTheme="minorHAnsi" w:hAnsiTheme="minorHAnsi"/>
                <w:sz w:val="20"/>
              </w:rPr>
            </w:pPr>
            <w:r>
              <w:rPr>
                <w:rFonts w:cs="Arial" w:asciiTheme="minorHAnsi" w:hAnsiTheme="minorHAnsi"/>
                <w:sz w:val="20"/>
              </w:rPr>
              <w:t>Y-site: Ampicillin, diazoxide, diazepam, flucloxacillin, hydralazine, pantoprazole, phenytoin, propofol, sulfamethoxazole-trimethoprim, thiopentone</w:t>
            </w:r>
          </w:p>
        </w:tc>
      </w:tr>
      <w:tr w:rsidRPr="00AA5FF8" w:rsidR="00273A16" w:rsidTr="00BB0C06" w14:paraId="7B0349C4" w14:textId="77777777">
        <w:trPr>
          <w:trHeight w:val="93"/>
        </w:trPr>
        <w:tc>
          <w:tcPr>
            <w:tcW w:w="2411" w:type="dxa"/>
          </w:tcPr>
          <w:p w:rsidRPr="00AA5FF8" w:rsidR="000D1E13" w:rsidP="000D1E13" w:rsidRDefault="000D1E13" w14:paraId="1E98CFEF" w14:textId="77777777">
            <w:pPr>
              <w:pStyle w:val="BodyText"/>
              <w:rPr>
                <w:rFonts w:cs="Arial" w:asciiTheme="minorHAnsi" w:hAnsiTheme="minorHAnsi"/>
                <w:b/>
                <w:bCs/>
                <w:szCs w:val="24"/>
              </w:rPr>
            </w:pPr>
            <w:r>
              <w:rPr>
                <w:rFonts w:cs="Arial" w:asciiTheme="minorHAnsi" w:hAnsiTheme="minorHAnsi"/>
                <w:b/>
                <w:bCs/>
                <w:szCs w:val="24"/>
              </w:rPr>
              <w:t>Stability</w:t>
            </w:r>
            <w:r w:rsidRPr="00AA5FF8">
              <w:rPr>
                <w:rFonts w:cs="Arial" w:asciiTheme="minorHAnsi" w:hAnsiTheme="minorHAnsi"/>
                <w:b/>
                <w:bCs/>
                <w:szCs w:val="24"/>
              </w:rPr>
              <w:t xml:space="preserve">        </w:t>
            </w:r>
          </w:p>
        </w:tc>
        <w:tc>
          <w:tcPr>
            <w:tcW w:w="7116" w:type="dxa"/>
          </w:tcPr>
          <w:p w:rsidRPr="00AA5FF8" w:rsidR="000D1E13" w:rsidP="000D1E13" w:rsidRDefault="000D1E13" w14:paraId="676DD14C" w14:textId="77777777">
            <w:pPr>
              <w:pStyle w:val="BodyText"/>
              <w:rPr>
                <w:rFonts w:cs="Arial" w:asciiTheme="minorHAnsi" w:hAnsiTheme="minorHAnsi"/>
                <w:sz w:val="20"/>
              </w:rPr>
            </w:pPr>
            <w:r>
              <w:rPr>
                <w:rFonts w:cs="Arial" w:asciiTheme="minorHAnsi" w:hAnsiTheme="minorHAnsi"/>
                <w:sz w:val="20"/>
              </w:rPr>
              <w:t>Use once and discard residual.</w:t>
            </w:r>
          </w:p>
        </w:tc>
      </w:tr>
      <w:tr w:rsidRPr="00AA5FF8" w:rsidR="00273A16" w:rsidTr="00BB0C06" w14:paraId="767DE3D2" w14:textId="77777777">
        <w:trPr>
          <w:trHeight w:val="371"/>
        </w:trPr>
        <w:tc>
          <w:tcPr>
            <w:tcW w:w="2411" w:type="dxa"/>
          </w:tcPr>
          <w:p w:rsidRPr="00AA5FF8" w:rsidR="000D1E13" w:rsidP="000D1E13" w:rsidRDefault="000D1E13" w14:paraId="4831D964" w14:textId="77777777">
            <w:pPr>
              <w:pStyle w:val="BodyText"/>
              <w:rPr>
                <w:rFonts w:cs="Arial" w:asciiTheme="minorHAnsi" w:hAnsiTheme="minorHAnsi"/>
                <w:b/>
                <w:bCs/>
                <w:szCs w:val="24"/>
              </w:rPr>
            </w:pPr>
            <w:r w:rsidRPr="00AA5FF8">
              <w:rPr>
                <w:rFonts w:cs="Arial" w:asciiTheme="minorHAnsi" w:hAnsiTheme="minorHAnsi"/>
                <w:b/>
                <w:bCs/>
                <w:szCs w:val="24"/>
              </w:rPr>
              <w:t xml:space="preserve">Storage             </w:t>
            </w:r>
          </w:p>
        </w:tc>
        <w:tc>
          <w:tcPr>
            <w:tcW w:w="7116" w:type="dxa"/>
          </w:tcPr>
          <w:p w:rsidRPr="00AA5FF8" w:rsidR="000D1E13" w:rsidP="000D1E13" w:rsidRDefault="000D1E13" w14:paraId="3B6DAE77" w14:textId="77777777">
            <w:pPr>
              <w:pStyle w:val="BodyText"/>
              <w:rPr>
                <w:rFonts w:asciiTheme="minorHAnsi" w:hAnsiTheme="minorHAnsi"/>
                <w:sz w:val="20"/>
              </w:rPr>
            </w:pPr>
            <w:r w:rsidRPr="00AA5FF8">
              <w:rPr>
                <w:rFonts w:asciiTheme="minorHAnsi" w:hAnsiTheme="minorHAnsi"/>
                <w:sz w:val="20"/>
              </w:rPr>
              <w:t xml:space="preserve">IV − unopened vials </w:t>
            </w:r>
            <w:r>
              <w:rPr>
                <w:rFonts w:asciiTheme="minorHAnsi" w:hAnsiTheme="minorHAnsi"/>
                <w:sz w:val="20"/>
              </w:rPr>
              <w:t xml:space="preserve">stable </w:t>
            </w:r>
            <w:r w:rsidRPr="00AA5FF8">
              <w:rPr>
                <w:rFonts w:asciiTheme="minorHAnsi" w:hAnsiTheme="minorHAnsi"/>
                <w:sz w:val="20"/>
              </w:rPr>
              <w:t xml:space="preserve">at room temperature (20−25°C). </w:t>
            </w:r>
          </w:p>
          <w:p w:rsidRPr="00AA5FF8" w:rsidR="000D1E13" w:rsidP="000D1E13" w:rsidRDefault="000D1E13" w14:paraId="79CADC99" w14:textId="77777777">
            <w:pPr>
              <w:pStyle w:val="BodyText"/>
              <w:rPr>
                <w:rFonts w:cs="Arial" w:asciiTheme="minorHAnsi" w:hAnsiTheme="minorHAnsi"/>
                <w:sz w:val="20"/>
              </w:rPr>
            </w:pPr>
            <w:r>
              <w:rPr>
                <w:rFonts w:asciiTheme="minorHAnsi" w:hAnsiTheme="minorHAnsi"/>
                <w:sz w:val="20"/>
              </w:rPr>
              <w:t>Protect vial from light.</w:t>
            </w:r>
          </w:p>
        </w:tc>
      </w:tr>
      <w:tr w:rsidRPr="00AA5FF8" w:rsidR="00273A16" w:rsidTr="00BB0C06" w14:paraId="0DADC976" w14:textId="77777777">
        <w:trPr>
          <w:trHeight w:val="442"/>
        </w:trPr>
        <w:tc>
          <w:tcPr>
            <w:tcW w:w="2411" w:type="dxa"/>
          </w:tcPr>
          <w:p w:rsidRPr="00AA5FF8" w:rsidR="000D1E13" w:rsidP="000D1E13" w:rsidRDefault="000D1E13" w14:paraId="5699F470" w14:textId="77777777">
            <w:pPr>
              <w:pStyle w:val="BodyText"/>
              <w:rPr>
                <w:rFonts w:cs="Arial" w:asciiTheme="minorHAnsi" w:hAnsiTheme="minorHAnsi"/>
                <w:b/>
                <w:bCs/>
                <w:szCs w:val="24"/>
              </w:rPr>
            </w:pPr>
            <w:r>
              <w:rPr>
                <w:rFonts w:cs="Arial" w:asciiTheme="minorHAnsi" w:hAnsiTheme="minorHAnsi"/>
                <w:b/>
                <w:bCs/>
                <w:szCs w:val="24"/>
              </w:rPr>
              <w:t xml:space="preserve">Special Comments </w:t>
            </w:r>
          </w:p>
        </w:tc>
        <w:tc>
          <w:tcPr>
            <w:tcW w:w="7116" w:type="dxa"/>
          </w:tcPr>
          <w:p w:rsidRPr="00AA5FF8" w:rsidR="000D1E13" w:rsidP="000D1E13" w:rsidRDefault="000D1E13" w14:paraId="6B433DFB" w14:textId="77777777">
            <w:pPr>
              <w:pStyle w:val="Default"/>
              <w:rPr>
                <w:rFonts w:asciiTheme="minorHAnsi" w:hAnsiTheme="minorHAnsi"/>
                <w:color w:val="auto"/>
                <w:sz w:val="20"/>
                <w:szCs w:val="20"/>
              </w:rPr>
            </w:pPr>
            <w:r>
              <w:rPr>
                <w:rFonts w:asciiTheme="minorHAnsi" w:hAnsiTheme="minorHAnsi"/>
                <w:color w:val="auto"/>
                <w:sz w:val="20"/>
                <w:szCs w:val="20"/>
              </w:rPr>
              <w:t>Atropine toxicity</w:t>
            </w:r>
            <w:r w:rsidRPr="00517215">
              <w:rPr>
                <w:rFonts w:asciiTheme="minorHAnsi" w:hAnsiTheme="minorHAnsi"/>
                <w:color w:val="auto"/>
                <w:sz w:val="20"/>
                <w:szCs w:val="20"/>
              </w:rPr>
              <w:t xml:space="preserve"> – treat ant</w:t>
            </w:r>
            <w:r>
              <w:rPr>
                <w:rFonts w:asciiTheme="minorHAnsi" w:hAnsiTheme="minorHAnsi"/>
                <w:color w:val="auto"/>
                <w:sz w:val="20"/>
                <w:szCs w:val="20"/>
              </w:rPr>
              <w:t>icholinergic symptoms with phys</w:t>
            </w:r>
            <w:r w:rsidRPr="00517215">
              <w:rPr>
                <w:rFonts w:asciiTheme="minorHAnsi" w:hAnsiTheme="minorHAnsi"/>
                <w:color w:val="auto"/>
                <w:sz w:val="20"/>
                <w:szCs w:val="20"/>
              </w:rPr>
              <w:t>ostigmine (</w:t>
            </w:r>
            <w:r>
              <w:rPr>
                <w:rFonts w:asciiTheme="minorHAnsi" w:hAnsiTheme="minorHAnsi"/>
                <w:color w:val="auto"/>
                <w:sz w:val="20"/>
                <w:szCs w:val="20"/>
              </w:rPr>
              <w:t>0.01–0.04 mg/kg/dose</w:t>
            </w:r>
            <w:r w:rsidRPr="00517215">
              <w:rPr>
                <w:rFonts w:asciiTheme="minorHAnsi" w:hAnsiTheme="minorHAnsi"/>
                <w:color w:val="auto"/>
                <w:sz w:val="20"/>
                <w:szCs w:val="20"/>
              </w:rPr>
              <w:t xml:space="preserve">) by slow </w:t>
            </w:r>
            <w:r>
              <w:rPr>
                <w:rFonts w:asciiTheme="minorHAnsi" w:hAnsiTheme="minorHAnsi"/>
                <w:color w:val="auto"/>
                <w:sz w:val="20"/>
                <w:szCs w:val="20"/>
              </w:rPr>
              <w:t>IV</w:t>
            </w:r>
            <w:r w:rsidRPr="00517215">
              <w:rPr>
                <w:rFonts w:asciiTheme="minorHAnsi" w:hAnsiTheme="minorHAnsi"/>
                <w:color w:val="auto"/>
                <w:sz w:val="20"/>
                <w:szCs w:val="20"/>
              </w:rPr>
              <w:t xml:space="preserve"> infusion</w:t>
            </w:r>
            <w:r>
              <w:rPr>
                <w:rFonts w:asciiTheme="minorHAnsi" w:hAnsiTheme="minorHAnsi"/>
                <w:color w:val="auto"/>
                <w:sz w:val="20"/>
                <w:szCs w:val="20"/>
              </w:rPr>
              <w:t>.</w:t>
            </w:r>
          </w:p>
        </w:tc>
      </w:tr>
      <w:tr w:rsidRPr="004678E4" w:rsidR="00273A16" w:rsidTr="00BB0C06" w14:paraId="393C982E" w14:textId="77777777">
        <w:trPr>
          <w:trHeight w:val="1071"/>
        </w:trPr>
        <w:tc>
          <w:tcPr>
            <w:tcW w:w="2411" w:type="dxa"/>
          </w:tcPr>
          <w:p w:rsidRPr="00AA5FF8" w:rsidR="000D1E13" w:rsidP="000D1E13" w:rsidRDefault="000D1E13" w14:paraId="5F167055" w14:textId="77777777">
            <w:pPr>
              <w:pStyle w:val="BodyText"/>
              <w:rPr>
                <w:rFonts w:cs="Arial" w:asciiTheme="minorHAnsi" w:hAnsiTheme="minorHAnsi"/>
                <w:b/>
                <w:bCs/>
                <w:szCs w:val="24"/>
              </w:rPr>
            </w:pPr>
            <w:r w:rsidRPr="00AA5FF8">
              <w:rPr>
                <w:rFonts w:cs="Arial" w:asciiTheme="minorHAnsi" w:hAnsiTheme="minorHAnsi"/>
                <w:b/>
                <w:bCs/>
                <w:szCs w:val="24"/>
              </w:rPr>
              <w:t>Evidence summary</w:t>
            </w:r>
          </w:p>
        </w:tc>
        <w:tc>
          <w:tcPr>
            <w:tcW w:w="7116" w:type="dxa"/>
          </w:tcPr>
          <w:p w:rsidR="000D1E13" w:rsidP="000D1E13" w:rsidRDefault="000D1E13" w14:paraId="7AE05D1E" w14:textId="77777777">
            <w:pPr>
              <w:pStyle w:val="BodyText"/>
              <w:tabs>
                <w:tab w:val="left" w:pos="1168"/>
              </w:tabs>
              <w:rPr>
                <w:rFonts w:cs="Arial" w:asciiTheme="minorHAnsi" w:hAnsiTheme="minorHAnsi"/>
                <w:b/>
                <w:sz w:val="20"/>
              </w:rPr>
            </w:pPr>
            <w:r>
              <w:rPr>
                <w:rFonts w:cs="Arial" w:asciiTheme="minorHAnsi" w:hAnsiTheme="minorHAnsi"/>
                <w:b/>
                <w:sz w:val="20"/>
              </w:rPr>
              <w:t>Endotracheal intubation</w:t>
            </w:r>
            <w:r w:rsidRPr="00F01AC2">
              <w:rPr>
                <w:rFonts w:cs="Arial" w:asciiTheme="minorHAnsi" w:hAnsiTheme="minorHAnsi"/>
                <w:b/>
                <w:sz w:val="20"/>
              </w:rPr>
              <w:t xml:space="preserve"> </w:t>
            </w:r>
          </w:p>
          <w:p w:rsidRPr="00A34AE3" w:rsidR="000D1E13" w:rsidP="000D1E13" w:rsidRDefault="000D1E13" w14:paraId="0C614BDA" w14:textId="77777777">
            <w:pPr>
              <w:pStyle w:val="BodyText"/>
              <w:tabs>
                <w:tab w:val="left" w:pos="1168"/>
              </w:tabs>
              <w:rPr>
                <w:rFonts w:cs="Arial" w:asciiTheme="minorHAnsi" w:hAnsiTheme="minorHAnsi"/>
                <w:sz w:val="20"/>
              </w:rPr>
            </w:pPr>
            <w:r>
              <w:rPr>
                <w:rFonts w:cs="Arial" w:asciiTheme="minorHAnsi" w:hAnsiTheme="minorHAnsi"/>
                <w:sz w:val="20"/>
              </w:rPr>
              <w:t>Intravenous atropine prior to intubation is associated with a higher mean heart rate and less change in heart rate</w:t>
            </w:r>
            <w:r w:rsidRPr="00B20EF6">
              <w:rPr>
                <w:rFonts w:cs="Arial" w:asciiTheme="minorHAnsi" w:hAnsiTheme="minorHAnsi"/>
                <w:sz w:val="20"/>
              </w:rPr>
              <w:t xml:space="preserve"> compared with </w:t>
            </w:r>
            <w:r>
              <w:rPr>
                <w:rFonts w:cs="Arial" w:asciiTheme="minorHAnsi" w:hAnsiTheme="minorHAnsi"/>
                <w:sz w:val="20"/>
              </w:rPr>
              <w:t>no medication.</w:t>
            </w:r>
            <w:r>
              <w:rPr>
                <w:rFonts w:cs="Arial" w:asciiTheme="minorHAnsi" w:hAnsiTheme="minorHAnsi"/>
                <w:sz w:val="20"/>
                <w:vertAlign w:val="superscript"/>
              </w:rPr>
              <w:t>1</w:t>
            </w:r>
            <w:r>
              <w:rPr>
                <w:rFonts w:cs="Arial" w:asciiTheme="minorHAnsi" w:hAnsiTheme="minorHAnsi"/>
                <w:sz w:val="20"/>
              </w:rPr>
              <w:t xml:space="preserve"> (LOE II GOR C)</w:t>
            </w:r>
          </w:p>
          <w:p w:rsidR="000D1E13" w:rsidP="000D1E13" w:rsidRDefault="000D1E13" w14:paraId="0BA798BB" w14:textId="77777777">
            <w:pPr>
              <w:pStyle w:val="BodyText"/>
              <w:tabs>
                <w:tab w:val="left" w:pos="1168"/>
              </w:tabs>
              <w:rPr>
                <w:rFonts w:cs="Arial" w:asciiTheme="minorHAnsi" w:hAnsiTheme="minorHAnsi"/>
                <w:sz w:val="20"/>
                <w:vertAlign w:val="superscript"/>
              </w:rPr>
            </w:pPr>
          </w:p>
          <w:p w:rsidR="000D1E13" w:rsidP="000D1E13" w:rsidRDefault="000D1E13" w14:paraId="379AE9B1" w14:textId="77777777">
            <w:pPr>
              <w:pStyle w:val="BodyText"/>
              <w:tabs>
                <w:tab w:val="left" w:pos="1168"/>
              </w:tabs>
              <w:rPr>
                <w:rFonts w:cs="Arial" w:asciiTheme="minorHAnsi" w:hAnsiTheme="minorHAnsi"/>
                <w:b/>
                <w:sz w:val="20"/>
              </w:rPr>
            </w:pPr>
            <w:r>
              <w:rPr>
                <w:rFonts w:cs="Arial" w:asciiTheme="minorHAnsi" w:hAnsiTheme="minorHAnsi"/>
                <w:b/>
                <w:sz w:val="20"/>
              </w:rPr>
              <w:t>Preanaesthetic</w:t>
            </w:r>
            <w:r w:rsidRPr="00F66806">
              <w:rPr>
                <w:rFonts w:cs="Arial" w:asciiTheme="minorHAnsi" w:hAnsiTheme="minorHAnsi"/>
                <w:b/>
                <w:sz w:val="20"/>
              </w:rPr>
              <w:t xml:space="preserve"> medication</w:t>
            </w:r>
          </w:p>
          <w:p w:rsidRPr="00792F12" w:rsidR="000D1E13" w:rsidP="000D1E13" w:rsidRDefault="000D1E13" w14:paraId="4D040823" w14:textId="77777777">
            <w:pPr>
              <w:pStyle w:val="BodyText"/>
              <w:tabs>
                <w:tab w:val="left" w:pos="1168"/>
              </w:tabs>
              <w:rPr>
                <w:rFonts w:cs="Arial" w:asciiTheme="minorHAnsi" w:hAnsiTheme="minorHAnsi"/>
                <w:sz w:val="20"/>
              </w:rPr>
            </w:pPr>
            <w:r>
              <w:rPr>
                <w:rFonts w:cs="Arial" w:asciiTheme="minorHAnsi" w:hAnsiTheme="minorHAnsi"/>
                <w:sz w:val="20"/>
              </w:rPr>
              <w:t xml:space="preserve">Oral atropine given 30–90 minutes prior to induction of anaesthesia attenuates cardiovascular </w:t>
            </w:r>
            <w:r w:rsidRPr="00792F12">
              <w:rPr>
                <w:rFonts w:cs="Arial" w:asciiTheme="minorHAnsi" w:hAnsiTheme="minorHAnsi"/>
                <w:sz w:val="20"/>
              </w:rPr>
              <w:t>depression and the incidence of airway complications at induction and emergence from anaesthesia</w:t>
            </w:r>
            <w:r>
              <w:rPr>
                <w:rFonts w:cs="Arial" w:asciiTheme="minorHAnsi" w:hAnsiTheme="minorHAnsi"/>
                <w:sz w:val="20"/>
              </w:rPr>
              <w:t>.</w:t>
            </w:r>
            <w:r w:rsidRPr="00792F12">
              <w:rPr>
                <w:rFonts w:cs="Arial" w:asciiTheme="minorHAnsi" w:hAnsiTheme="minorHAnsi"/>
                <w:sz w:val="20"/>
                <w:vertAlign w:val="superscript"/>
              </w:rPr>
              <w:t>2-4</w:t>
            </w:r>
            <w:r w:rsidRPr="00792F12">
              <w:rPr>
                <w:rFonts w:cs="Arial" w:asciiTheme="minorHAnsi" w:hAnsiTheme="minorHAnsi"/>
                <w:sz w:val="20"/>
              </w:rPr>
              <w:t xml:space="preserve"> (LOE II GOR B)</w:t>
            </w:r>
          </w:p>
          <w:p w:rsidRPr="00792F12" w:rsidR="000D1E13" w:rsidP="000D1E13" w:rsidRDefault="000D1E13" w14:paraId="2EB90294" w14:textId="77777777">
            <w:pPr>
              <w:pStyle w:val="BodyText"/>
              <w:tabs>
                <w:tab w:val="left" w:pos="1168"/>
              </w:tabs>
              <w:rPr>
                <w:rFonts w:cs="Arial" w:asciiTheme="minorHAnsi" w:hAnsiTheme="minorHAnsi"/>
                <w:sz w:val="20"/>
              </w:rPr>
            </w:pPr>
          </w:p>
          <w:p w:rsidRPr="00792F12" w:rsidR="000D1E13" w:rsidP="000D1E13" w:rsidRDefault="000D1E13" w14:paraId="0AA4B5C5" w14:textId="77777777">
            <w:pPr>
              <w:pStyle w:val="BodyText"/>
              <w:tabs>
                <w:tab w:val="left" w:pos="1168"/>
              </w:tabs>
              <w:rPr>
                <w:rFonts w:cs="Arial" w:asciiTheme="minorHAnsi" w:hAnsiTheme="minorHAnsi"/>
                <w:b/>
                <w:sz w:val="20"/>
              </w:rPr>
            </w:pPr>
            <w:r w:rsidRPr="00792F12">
              <w:rPr>
                <w:rFonts w:cs="Arial" w:asciiTheme="minorHAnsi" w:hAnsiTheme="minorHAnsi"/>
                <w:b/>
                <w:sz w:val="20"/>
              </w:rPr>
              <w:t>Pharmacokinetics</w:t>
            </w:r>
          </w:p>
          <w:p w:rsidRPr="00F97B59" w:rsidR="000D1E13" w:rsidP="000D1E13" w:rsidRDefault="000D1E13" w14:paraId="6BDDFD69" w14:textId="77777777">
            <w:pPr>
              <w:pStyle w:val="BodyText"/>
              <w:tabs>
                <w:tab w:val="left" w:pos="1168"/>
              </w:tabs>
              <w:rPr>
                <w:rFonts w:asciiTheme="minorHAnsi" w:hAnsiTheme="minorHAnsi"/>
                <w:b/>
                <w:bCs/>
                <w:iCs/>
                <w:sz w:val="20"/>
              </w:rPr>
            </w:pPr>
            <w:r w:rsidRPr="00571939">
              <w:rPr>
                <w:rFonts w:cs="Arial" w:asciiTheme="minorHAnsi" w:hAnsiTheme="minorHAnsi"/>
                <w:sz w:val="20"/>
              </w:rPr>
              <w:t>Reports describing the pharmacokinetics of atropine in neonates and children are limited.</w:t>
            </w:r>
            <w:r>
              <w:rPr>
                <w:rFonts w:cs="Arial" w:asciiTheme="minorHAnsi" w:hAnsiTheme="minorHAnsi"/>
                <w:sz w:val="20"/>
              </w:rPr>
              <w:t xml:space="preserve"> Unless specified, the following information pertains to pharmacokinetics in adults.</w:t>
            </w:r>
          </w:p>
          <w:p w:rsidR="000D1E13" w:rsidP="000D1E13" w:rsidRDefault="000D1E13" w14:paraId="3E4FA3D9" w14:textId="77777777">
            <w:pPr>
              <w:pStyle w:val="BodyText"/>
              <w:tabs>
                <w:tab w:val="left" w:pos="1168"/>
              </w:tabs>
              <w:rPr>
                <w:rFonts w:asciiTheme="minorHAnsi" w:hAnsiTheme="minorHAnsi"/>
                <w:b/>
                <w:bCs/>
                <w:i/>
                <w:iCs/>
                <w:sz w:val="20"/>
              </w:rPr>
            </w:pPr>
          </w:p>
          <w:p w:rsidR="000D1E13" w:rsidP="000D1E13" w:rsidRDefault="000D1E13" w14:paraId="104D9BAB" w14:textId="77777777">
            <w:pPr>
              <w:pStyle w:val="BodyText"/>
              <w:tabs>
                <w:tab w:val="left" w:pos="1168"/>
              </w:tabs>
              <w:rPr>
                <w:rFonts w:asciiTheme="minorHAnsi" w:hAnsiTheme="minorHAnsi"/>
                <w:sz w:val="20"/>
              </w:rPr>
            </w:pPr>
            <w:r w:rsidRPr="00F97B59">
              <w:rPr>
                <w:rFonts w:asciiTheme="minorHAnsi" w:hAnsiTheme="minorHAnsi"/>
                <w:sz w:val="20"/>
              </w:rPr>
              <w:t xml:space="preserve">Atropine is well distributed throughout the body. It crosses the </w:t>
            </w:r>
            <w:r>
              <w:rPr>
                <w:rFonts w:asciiTheme="minorHAnsi" w:hAnsiTheme="minorHAnsi"/>
                <w:sz w:val="20"/>
              </w:rPr>
              <w:t>blood-brain</w:t>
            </w:r>
            <w:r w:rsidRPr="00F97B59">
              <w:rPr>
                <w:rFonts w:asciiTheme="minorHAnsi" w:hAnsiTheme="minorHAnsi"/>
                <w:sz w:val="20"/>
              </w:rPr>
              <w:t xml:space="preserve"> barrier and has a large apparent volume of distribution (2 to 4 L/kg).</w:t>
            </w:r>
            <w:r w:rsidRPr="00F97B59">
              <w:rPr>
                <w:rFonts w:asciiTheme="minorHAnsi" w:hAnsiTheme="minorHAnsi"/>
                <w:bCs/>
                <w:iCs/>
                <w:sz w:val="20"/>
              </w:rPr>
              <w:t xml:space="preserve"> It </w:t>
            </w:r>
            <w:r w:rsidRPr="00F97B59">
              <w:rPr>
                <w:rFonts w:asciiTheme="minorHAnsi" w:hAnsiTheme="minorHAnsi"/>
                <w:sz w:val="20"/>
              </w:rPr>
              <w:t>is metabolised in the liver to several metabolites and excreted mainly in the urine. Atropine has a plasma half-life of 2</w:t>
            </w:r>
            <w:r>
              <w:rPr>
                <w:rFonts w:asciiTheme="minorHAnsi" w:hAnsiTheme="minorHAnsi"/>
                <w:sz w:val="20"/>
              </w:rPr>
              <w:t>–</w:t>
            </w:r>
            <w:r w:rsidRPr="00F97B59">
              <w:rPr>
                <w:rFonts w:asciiTheme="minorHAnsi" w:hAnsiTheme="minorHAnsi"/>
                <w:sz w:val="20"/>
              </w:rPr>
              <w:t>3 hours. Following intramuscular administration</w:t>
            </w:r>
            <w:r>
              <w:rPr>
                <w:rFonts w:asciiTheme="minorHAnsi" w:hAnsiTheme="minorHAnsi"/>
                <w:sz w:val="20"/>
              </w:rPr>
              <w:t>,</w:t>
            </w:r>
            <w:r w:rsidRPr="00F97B59">
              <w:rPr>
                <w:rFonts w:asciiTheme="minorHAnsi" w:hAnsiTheme="minorHAnsi"/>
                <w:sz w:val="20"/>
              </w:rPr>
              <w:t xml:space="preserve"> elimination appears </w:t>
            </w:r>
            <w:r>
              <w:rPr>
                <w:rFonts w:asciiTheme="minorHAnsi" w:hAnsiTheme="minorHAnsi"/>
                <w:sz w:val="20"/>
              </w:rPr>
              <w:t xml:space="preserve">to be </w:t>
            </w:r>
            <w:r w:rsidRPr="00F97B59">
              <w:rPr>
                <w:rFonts w:asciiTheme="minorHAnsi" w:hAnsiTheme="minorHAnsi"/>
                <w:sz w:val="20"/>
              </w:rPr>
              <w:t xml:space="preserve">biphasic with an initial phase of about 2 hours and a half-life in the terminal phase of </w:t>
            </w:r>
            <w:r>
              <w:rPr>
                <w:rFonts w:asciiTheme="minorHAnsi" w:hAnsiTheme="minorHAnsi"/>
                <w:sz w:val="20"/>
              </w:rPr>
              <w:t xml:space="preserve">at least </w:t>
            </w:r>
            <w:r w:rsidRPr="00F97B59">
              <w:rPr>
                <w:rFonts w:asciiTheme="minorHAnsi" w:hAnsiTheme="minorHAnsi"/>
                <w:sz w:val="20"/>
              </w:rPr>
              <w:t>12.5 hours. In children, the plasma half-life is approximately 6.5 hours</w:t>
            </w:r>
            <w:r>
              <w:rPr>
                <w:rFonts w:asciiTheme="minorHAnsi" w:hAnsiTheme="minorHAnsi"/>
                <w:sz w:val="20"/>
              </w:rPr>
              <w:t>.</w:t>
            </w:r>
            <w:r>
              <w:rPr>
                <w:rFonts w:asciiTheme="minorHAnsi" w:hAnsiTheme="minorHAnsi"/>
                <w:sz w:val="20"/>
                <w:vertAlign w:val="superscript"/>
              </w:rPr>
              <w:t>5</w:t>
            </w:r>
          </w:p>
          <w:p w:rsidR="000D1E13" w:rsidP="000D1E13" w:rsidRDefault="000D1E13" w14:paraId="0C59AED0" w14:textId="77777777">
            <w:pPr>
              <w:pStyle w:val="BodyText"/>
              <w:tabs>
                <w:tab w:val="left" w:pos="1168"/>
              </w:tabs>
              <w:rPr>
                <w:rFonts w:asciiTheme="minorHAnsi" w:hAnsiTheme="minorHAnsi"/>
                <w:sz w:val="20"/>
              </w:rPr>
            </w:pPr>
          </w:p>
          <w:p w:rsidRPr="004678E4" w:rsidR="000D1E13" w:rsidP="000D1E13" w:rsidRDefault="000D1E13" w14:paraId="6794242C" w14:textId="77777777">
            <w:pPr>
              <w:pStyle w:val="BodyText"/>
              <w:tabs>
                <w:tab w:val="left" w:pos="1168"/>
              </w:tabs>
              <w:rPr>
                <w:rFonts w:cs="Arial" w:asciiTheme="minorHAnsi" w:hAnsiTheme="minorHAnsi"/>
                <w:sz w:val="20"/>
              </w:rPr>
            </w:pPr>
            <w:r w:rsidRPr="00571939">
              <w:rPr>
                <w:rFonts w:asciiTheme="minorHAnsi" w:hAnsiTheme="minorHAnsi"/>
                <w:sz w:val="20"/>
              </w:rPr>
              <w:t xml:space="preserve">With </w:t>
            </w:r>
            <w:r>
              <w:rPr>
                <w:rFonts w:asciiTheme="minorHAnsi" w:hAnsiTheme="minorHAnsi"/>
                <w:sz w:val="20"/>
              </w:rPr>
              <w:t>IV</w:t>
            </w:r>
            <w:r w:rsidRPr="00571939">
              <w:rPr>
                <w:rFonts w:asciiTheme="minorHAnsi" w:hAnsiTheme="minorHAnsi"/>
                <w:sz w:val="20"/>
              </w:rPr>
              <w:t xml:space="preserve"> administration, increased heart rate effect peaks within 2</w:t>
            </w:r>
            <w:r>
              <w:rPr>
                <w:rFonts w:asciiTheme="minorHAnsi" w:hAnsiTheme="minorHAnsi"/>
                <w:sz w:val="20"/>
              </w:rPr>
              <w:t>–</w:t>
            </w:r>
            <w:r w:rsidRPr="00571939">
              <w:rPr>
                <w:rFonts w:asciiTheme="minorHAnsi" w:hAnsiTheme="minorHAnsi"/>
                <w:sz w:val="20"/>
              </w:rPr>
              <w:t>4 minute</w:t>
            </w:r>
            <w:r>
              <w:rPr>
                <w:rFonts w:asciiTheme="minorHAnsi" w:hAnsiTheme="minorHAnsi"/>
                <w:sz w:val="20"/>
              </w:rPr>
              <w:t>s. S</w:t>
            </w:r>
            <w:r w:rsidRPr="00063889">
              <w:rPr>
                <w:rFonts w:asciiTheme="minorHAnsi" w:hAnsiTheme="minorHAnsi"/>
                <w:sz w:val="20"/>
              </w:rPr>
              <w:t xml:space="preserve">erum </w:t>
            </w:r>
            <w:r>
              <w:rPr>
                <w:rFonts w:asciiTheme="minorHAnsi" w:hAnsiTheme="minorHAnsi"/>
                <w:sz w:val="20"/>
              </w:rPr>
              <w:t>concentrations</w:t>
            </w:r>
            <w:r w:rsidRPr="00063889">
              <w:rPr>
                <w:rFonts w:asciiTheme="minorHAnsi" w:hAnsiTheme="minorHAnsi"/>
                <w:sz w:val="20"/>
              </w:rPr>
              <w:t xml:space="preserve"> drop rapidly within the first </w:t>
            </w:r>
            <w:r>
              <w:rPr>
                <w:rFonts w:asciiTheme="minorHAnsi" w:hAnsiTheme="minorHAnsi"/>
                <w:sz w:val="20"/>
              </w:rPr>
              <w:t>10</w:t>
            </w:r>
            <w:r w:rsidRPr="00063889">
              <w:rPr>
                <w:rFonts w:asciiTheme="minorHAnsi" w:hAnsiTheme="minorHAnsi"/>
                <w:sz w:val="20"/>
              </w:rPr>
              <w:t xml:space="preserve"> minutes then decrease more gradually.</w:t>
            </w:r>
            <w:r w:rsidRPr="00571939">
              <w:rPr>
                <w:rFonts w:asciiTheme="minorHAnsi" w:hAnsiTheme="minorHAnsi"/>
                <w:sz w:val="20"/>
              </w:rPr>
              <w:t xml:space="preserve"> Atropine is well absorbed following </w:t>
            </w:r>
            <w:r>
              <w:rPr>
                <w:rFonts w:asciiTheme="minorHAnsi" w:hAnsiTheme="minorHAnsi"/>
                <w:sz w:val="20"/>
              </w:rPr>
              <w:t>IM</w:t>
            </w:r>
            <w:r w:rsidRPr="00571939">
              <w:rPr>
                <w:rFonts w:asciiTheme="minorHAnsi" w:hAnsiTheme="minorHAnsi"/>
                <w:sz w:val="20"/>
              </w:rPr>
              <w:t xml:space="preserve"> administration</w:t>
            </w:r>
            <w:r>
              <w:rPr>
                <w:rFonts w:asciiTheme="minorHAnsi" w:hAnsiTheme="minorHAnsi"/>
                <w:sz w:val="20"/>
              </w:rPr>
              <w:t xml:space="preserve"> (</w:t>
            </w:r>
            <w:r w:rsidRPr="00571939">
              <w:rPr>
                <w:rFonts w:asciiTheme="minorHAnsi" w:hAnsiTheme="minorHAnsi"/>
                <w:sz w:val="20"/>
              </w:rPr>
              <w:t>peak plasma concentration within 30 minutes</w:t>
            </w:r>
            <w:r>
              <w:rPr>
                <w:rFonts w:asciiTheme="minorHAnsi" w:hAnsiTheme="minorHAnsi"/>
                <w:sz w:val="20"/>
              </w:rPr>
              <w:t>; maximum heart rate reached at 15–50 minutes)</w:t>
            </w:r>
            <w:r w:rsidRPr="00571939">
              <w:rPr>
                <w:rFonts w:asciiTheme="minorHAnsi" w:hAnsiTheme="minorHAnsi"/>
                <w:sz w:val="20"/>
              </w:rPr>
              <w:t xml:space="preserve">. The duration of effect on heart rate is up to five hours. Inhibition of salivation occurs within 30 minutes </w:t>
            </w:r>
            <w:r>
              <w:rPr>
                <w:rFonts w:asciiTheme="minorHAnsi" w:hAnsiTheme="minorHAnsi"/>
                <w:sz w:val="20"/>
              </w:rPr>
              <w:t>(</w:t>
            </w:r>
            <w:r w:rsidRPr="00571939">
              <w:rPr>
                <w:rFonts w:asciiTheme="minorHAnsi" w:hAnsiTheme="minorHAnsi"/>
                <w:sz w:val="20"/>
              </w:rPr>
              <w:t xml:space="preserve">peak within </w:t>
            </w:r>
            <w:r>
              <w:rPr>
                <w:rFonts w:asciiTheme="minorHAnsi" w:hAnsiTheme="minorHAnsi"/>
                <w:sz w:val="20"/>
              </w:rPr>
              <w:t>1–2</w:t>
            </w:r>
            <w:r w:rsidRPr="00571939">
              <w:rPr>
                <w:rFonts w:asciiTheme="minorHAnsi" w:hAnsiTheme="minorHAnsi"/>
                <w:sz w:val="20"/>
              </w:rPr>
              <w:t xml:space="preserve"> hours</w:t>
            </w:r>
            <w:r>
              <w:rPr>
                <w:rFonts w:asciiTheme="minorHAnsi" w:hAnsiTheme="minorHAnsi"/>
                <w:sz w:val="20"/>
              </w:rPr>
              <w:t>;</w:t>
            </w:r>
            <w:r w:rsidRPr="00571939">
              <w:rPr>
                <w:rFonts w:asciiTheme="minorHAnsi" w:hAnsiTheme="minorHAnsi"/>
                <w:sz w:val="20"/>
              </w:rPr>
              <w:t xml:space="preserve"> </w:t>
            </w:r>
            <w:r>
              <w:rPr>
                <w:rFonts w:asciiTheme="minorHAnsi" w:hAnsiTheme="minorHAnsi"/>
                <w:sz w:val="20"/>
              </w:rPr>
              <w:t xml:space="preserve">effect </w:t>
            </w:r>
            <w:r w:rsidRPr="00571939">
              <w:rPr>
                <w:rFonts w:asciiTheme="minorHAnsi" w:hAnsiTheme="minorHAnsi"/>
                <w:sz w:val="20"/>
              </w:rPr>
              <w:t>persists for four hours</w:t>
            </w:r>
            <w:r>
              <w:rPr>
                <w:rFonts w:asciiTheme="minorHAnsi" w:hAnsiTheme="minorHAnsi"/>
                <w:sz w:val="20"/>
              </w:rPr>
              <w:t>)</w:t>
            </w:r>
            <w:r w:rsidRPr="00571939">
              <w:rPr>
                <w:rFonts w:asciiTheme="minorHAnsi" w:hAnsiTheme="minorHAnsi"/>
                <w:sz w:val="20"/>
              </w:rPr>
              <w:t xml:space="preserve">. Low doses of the drug </w:t>
            </w:r>
            <w:r>
              <w:rPr>
                <w:rFonts w:asciiTheme="minorHAnsi" w:hAnsiTheme="minorHAnsi"/>
                <w:sz w:val="20"/>
              </w:rPr>
              <w:t xml:space="preserve">can </w:t>
            </w:r>
            <w:r w:rsidRPr="00571939">
              <w:rPr>
                <w:rFonts w:asciiTheme="minorHAnsi" w:hAnsiTheme="minorHAnsi"/>
                <w:sz w:val="20"/>
              </w:rPr>
              <w:t xml:space="preserve">cause a paradoxical decrease in heart rate. One hour after either intramuscular or intravenous injection, atropine </w:t>
            </w:r>
            <w:r>
              <w:rPr>
                <w:rFonts w:asciiTheme="minorHAnsi" w:hAnsiTheme="minorHAnsi"/>
                <w:sz w:val="20"/>
              </w:rPr>
              <w:t>concentrations</w:t>
            </w:r>
            <w:r w:rsidRPr="00571939">
              <w:rPr>
                <w:rFonts w:asciiTheme="minorHAnsi" w:hAnsiTheme="minorHAnsi"/>
                <w:sz w:val="20"/>
              </w:rPr>
              <w:t xml:space="preserve"> are very similar</w:t>
            </w:r>
            <w:r>
              <w:rPr>
                <w:rFonts w:asciiTheme="minorHAnsi" w:hAnsiTheme="minorHAnsi"/>
                <w:sz w:val="20"/>
              </w:rPr>
              <w:t>.</w:t>
            </w:r>
            <w:r>
              <w:rPr>
                <w:rFonts w:asciiTheme="minorHAnsi" w:hAnsiTheme="minorHAnsi"/>
                <w:sz w:val="20"/>
                <w:vertAlign w:val="superscript"/>
              </w:rPr>
              <w:t>5</w:t>
            </w:r>
          </w:p>
        </w:tc>
      </w:tr>
      <w:tr w:rsidRPr="00327E79" w:rsidR="00273A16" w:rsidTr="00BB0C06" w14:paraId="47001314" w14:textId="77777777">
        <w:trPr>
          <w:trHeight w:val="361"/>
        </w:trPr>
        <w:tc>
          <w:tcPr>
            <w:tcW w:w="2411" w:type="dxa"/>
          </w:tcPr>
          <w:p w:rsidRPr="00AA5FF8" w:rsidR="000D1E13" w:rsidP="000D1E13" w:rsidRDefault="000D1E13" w14:paraId="64A701A3" w14:textId="77777777">
            <w:pPr>
              <w:pStyle w:val="BodyText"/>
              <w:rPr>
                <w:rFonts w:cs="Arial" w:asciiTheme="minorHAnsi" w:hAnsiTheme="minorHAnsi"/>
                <w:b/>
                <w:bCs/>
                <w:szCs w:val="24"/>
              </w:rPr>
            </w:pPr>
            <w:r w:rsidRPr="00AA5FF8">
              <w:rPr>
                <w:rFonts w:asciiTheme="minorHAnsi" w:hAnsiTheme="minorHAnsi"/>
                <w:b/>
                <w:szCs w:val="24"/>
              </w:rPr>
              <w:lastRenderedPageBreak/>
              <w:t>References</w:t>
            </w:r>
          </w:p>
        </w:tc>
        <w:tc>
          <w:tcPr>
            <w:tcW w:w="7116" w:type="dxa"/>
          </w:tcPr>
          <w:p w:rsidRPr="00327E79" w:rsidR="000D1E13" w:rsidP="001B0E05" w:rsidRDefault="000D1E13" w14:paraId="75F6BDC0" w14:textId="77777777">
            <w:pPr>
              <w:pStyle w:val="ListParagraph"/>
              <w:numPr>
                <w:ilvl w:val="0"/>
                <w:numId w:val="62"/>
              </w:numPr>
              <w:shd w:val="clear" w:color="auto" w:fill="FFFFFF"/>
              <w:rPr>
                <w:rFonts w:asciiTheme="minorHAnsi" w:hAnsiTheme="minorHAnsi"/>
                <w:sz w:val="20"/>
              </w:rPr>
            </w:pPr>
            <w:r w:rsidRPr="00327E79">
              <w:rPr>
                <w:rFonts w:asciiTheme="minorHAnsi" w:hAnsiTheme="minorHAnsi"/>
                <w:sz w:val="20"/>
              </w:rPr>
              <w:t>Kelly MA</w:t>
            </w:r>
            <w:r>
              <w:rPr>
                <w:rFonts w:asciiTheme="minorHAnsi" w:hAnsiTheme="minorHAnsi"/>
                <w:sz w:val="20"/>
              </w:rPr>
              <w:t>,</w:t>
            </w:r>
            <w:r w:rsidRPr="00327E79">
              <w:rPr>
                <w:rFonts w:asciiTheme="minorHAnsi" w:hAnsiTheme="minorHAnsi"/>
                <w:sz w:val="20"/>
              </w:rPr>
              <w:t xml:space="preserve"> Finer NN. Nasotracheal intubation in the neonate: physiologic responses and effects of atropine and pancuronium. Journal of Pediatrics 1984:105;303-9.</w:t>
            </w:r>
          </w:p>
          <w:p w:rsidRPr="00327E79" w:rsidR="000D1E13" w:rsidP="001B0E05" w:rsidRDefault="000D1E13" w14:paraId="15DA7267" w14:textId="77777777">
            <w:pPr>
              <w:pStyle w:val="ListParagraph"/>
              <w:numPr>
                <w:ilvl w:val="0"/>
                <w:numId w:val="62"/>
              </w:numPr>
              <w:shd w:val="clear" w:color="auto" w:fill="FFFFFF"/>
              <w:rPr>
                <w:rFonts w:asciiTheme="minorHAnsi" w:hAnsiTheme="minorHAnsi"/>
                <w:sz w:val="20"/>
              </w:rPr>
            </w:pPr>
            <w:r w:rsidRPr="00327E79">
              <w:rPr>
                <w:rFonts w:asciiTheme="minorHAnsi" w:hAnsiTheme="minorHAnsi"/>
                <w:sz w:val="20"/>
              </w:rPr>
              <w:t>Shaw CA</w:t>
            </w:r>
            <w:r>
              <w:rPr>
                <w:rFonts w:asciiTheme="minorHAnsi" w:hAnsiTheme="minorHAnsi"/>
                <w:sz w:val="20"/>
              </w:rPr>
              <w:t>,</w:t>
            </w:r>
            <w:r w:rsidRPr="00327E79">
              <w:rPr>
                <w:rFonts w:asciiTheme="minorHAnsi" w:hAnsiTheme="minorHAnsi"/>
                <w:sz w:val="20"/>
              </w:rPr>
              <w:t xml:space="preserve"> Kelleher AA</w:t>
            </w:r>
            <w:r>
              <w:rPr>
                <w:rFonts w:asciiTheme="minorHAnsi" w:hAnsiTheme="minorHAnsi"/>
                <w:sz w:val="20"/>
              </w:rPr>
              <w:t>,</w:t>
            </w:r>
            <w:r w:rsidRPr="00327E79">
              <w:rPr>
                <w:rFonts w:asciiTheme="minorHAnsi" w:hAnsiTheme="minorHAnsi"/>
                <w:sz w:val="20"/>
              </w:rPr>
              <w:t xml:space="preserve"> Gill CP</w:t>
            </w:r>
            <w:r>
              <w:rPr>
                <w:rFonts w:asciiTheme="minorHAnsi" w:hAnsiTheme="minorHAnsi"/>
                <w:sz w:val="20"/>
              </w:rPr>
              <w:t>,</w:t>
            </w:r>
            <w:r w:rsidRPr="00327E79">
              <w:rPr>
                <w:rFonts w:asciiTheme="minorHAnsi" w:hAnsiTheme="minorHAnsi"/>
                <w:sz w:val="20"/>
              </w:rPr>
              <w:t xml:space="preserve"> Murdoch LJ</w:t>
            </w:r>
            <w:r>
              <w:rPr>
                <w:rFonts w:asciiTheme="minorHAnsi" w:hAnsiTheme="minorHAnsi"/>
                <w:sz w:val="20"/>
              </w:rPr>
              <w:t>,</w:t>
            </w:r>
            <w:r w:rsidRPr="00327E79">
              <w:rPr>
                <w:rFonts w:asciiTheme="minorHAnsi" w:hAnsiTheme="minorHAnsi"/>
                <w:sz w:val="20"/>
              </w:rPr>
              <w:t xml:space="preserve"> Stables RH</w:t>
            </w:r>
            <w:r>
              <w:rPr>
                <w:rFonts w:asciiTheme="minorHAnsi" w:hAnsiTheme="minorHAnsi"/>
                <w:sz w:val="20"/>
              </w:rPr>
              <w:t>,</w:t>
            </w:r>
            <w:r w:rsidRPr="00327E79">
              <w:rPr>
                <w:rFonts w:asciiTheme="minorHAnsi" w:hAnsiTheme="minorHAnsi"/>
                <w:sz w:val="20"/>
              </w:rPr>
              <w:t xml:space="preserve"> Black AE. Comparison of the incidence of complications at induction and emergence in infants receiving oral atropine vs no premedication. British Journal of Anaesthesia 2000:84;174-8.</w:t>
            </w:r>
          </w:p>
          <w:p w:rsidRPr="00327E79" w:rsidR="000D1E13" w:rsidP="001B0E05" w:rsidRDefault="000D1E13" w14:paraId="7863926F" w14:textId="77777777">
            <w:pPr>
              <w:pStyle w:val="ListParagraph"/>
              <w:numPr>
                <w:ilvl w:val="0"/>
                <w:numId w:val="62"/>
              </w:numPr>
              <w:shd w:val="clear" w:color="auto" w:fill="FFFFFF"/>
              <w:rPr>
                <w:rFonts w:asciiTheme="minorHAnsi" w:hAnsiTheme="minorHAnsi"/>
                <w:sz w:val="20"/>
              </w:rPr>
            </w:pPr>
            <w:r w:rsidRPr="00327E79">
              <w:rPr>
                <w:rFonts w:asciiTheme="minorHAnsi" w:hAnsiTheme="minorHAnsi"/>
                <w:sz w:val="20"/>
              </w:rPr>
              <w:t>Cartabuke RS</w:t>
            </w:r>
            <w:r>
              <w:rPr>
                <w:rFonts w:asciiTheme="minorHAnsi" w:hAnsiTheme="minorHAnsi"/>
                <w:sz w:val="20"/>
              </w:rPr>
              <w:t>,</w:t>
            </w:r>
            <w:r w:rsidRPr="00327E79">
              <w:rPr>
                <w:rFonts w:asciiTheme="minorHAnsi" w:hAnsiTheme="minorHAnsi"/>
                <w:sz w:val="20"/>
              </w:rPr>
              <w:t xml:space="preserve"> Davidson PJ</w:t>
            </w:r>
            <w:r>
              <w:rPr>
                <w:rFonts w:asciiTheme="minorHAnsi" w:hAnsiTheme="minorHAnsi"/>
                <w:sz w:val="20"/>
              </w:rPr>
              <w:t>,</w:t>
            </w:r>
            <w:r w:rsidRPr="00327E79">
              <w:rPr>
                <w:rFonts w:asciiTheme="minorHAnsi" w:hAnsiTheme="minorHAnsi"/>
                <w:sz w:val="20"/>
              </w:rPr>
              <w:t xml:space="preserve"> Warner LO. Is premedication with oral glycopyrrolate as effective as oral atropine in attenuating cardiovascular depression in infants receiving halothane for induction of anesthesia?. Anesthesia &amp; Analgesia 1991:73;271-4.</w:t>
            </w:r>
          </w:p>
          <w:p w:rsidRPr="002C7BC6" w:rsidR="000D1E13" w:rsidP="001B0E05" w:rsidRDefault="000D1E13" w14:paraId="1EF5B54C" w14:textId="77777777">
            <w:pPr>
              <w:pStyle w:val="ListParagraph"/>
              <w:numPr>
                <w:ilvl w:val="0"/>
                <w:numId w:val="62"/>
              </w:numPr>
              <w:shd w:val="clear" w:color="auto" w:fill="FFFFFF"/>
              <w:rPr>
                <w:rFonts w:asciiTheme="minorHAnsi" w:hAnsiTheme="minorHAnsi"/>
                <w:sz w:val="20"/>
              </w:rPr>
            </w:pPr>
            <w:r w:rsidRPr="00327E79">
              <w:rPr>
                <w:rFonts w:asciiTheme="minorHAnsi" w:hAnsiTheme="minorHAnsi"/>
                <w:sz w:val="20"/>
              </w:rPr>
              <w:t>Miller BR</w:t>
            </w:r>
            <w:r>
              <w:rPr>
                <w:rFonts w:asciiTheme="minorHAnsi" w:hAnsiTheme="minorHAnsi"/>
                <w:sz w:val="20"/>
              </w:rPr>
              <w:t>,</w:t>
            </w:r>
            <w:r w:rsidRPr="00327E79">
              <w:rPr>
                <w:rFonts w:asciiTheme="minorHAnsi" w:hAnsiTheme="minorHAnsi"/>
                <w:sz w:val="20"/>
              </w:rPr>
              <w:t xml:space="preserve"> Friesen RH. Oral atropine premedication in infants attenuates cardiovascular </w:t>
            </w:r>
            <w:r w:rsidRPr="002C7BC6">
              <w:rPr>
                <w:rFonts w:asciiTheme="minorHAnsi" w:hAnsiTheme="minorHAnsi"/>
                <w:sz w:val="20"/>
              </w:rPr>
              <w:t>depression during halothane anesthesia. Anesthesia &amp; Analgesia 1988:67;180</w:t>
            </w:r>
            <w:r>
              <w:rPr>
                <w:rFonts w:asciiTheme="minorHAnsi" w:hAnsiTheme="minorHAnsi"/>
                <w:sz w:val="20"/>
              </w:rPr>
              <w:t>.</w:t>
            </w:r>
          </w:p>
          <w:p w:rsidRPr="00327E79" w:rsidR="000D1E13" w:rsidP="001B0E05" w:rsidRDefault="000D1E13" w14:paraId="5338D995" w14:textId="77777777">
            <w:pPr>
              <w:pStyle w:val="ListParagraph"/>
              <w:numPr>
                <w:ilvl w:val="0"/>
                <w:numId w:val="62"/>
              </w:numPr>
              <w:shd w:val="clear" w:color="auto" w:fill="FFFFFF"/>
              <w:rPr>
                <w:rFonts w:asciiTheme="minorHAnsi" w:hAnsiTheme="minorHAnsi"/>
                <w:sz w:val="20"/>
              </w:rPr>
            </w:pPr>
            <w:r>
              <w:rPr>
                <w:rFonts w:asciiTheme="minorHAnsi" w:hAnsiTheme="minorHAnsi"/>
                <w:sz w:val="20"/>
              </w:rPr>
              <w:t>MIMS Australia 2016</w:t>
            </w:r>
            <w:r w:rsidRPr="00F97B59">
              <w:rPr>
                <w:rFonts w:asciiTheme="minorHAnsi" w:hAnsiTheme="minorHAnsi"/>
                <w:sz w:val="20"/>
              </w:rPr>
              <w:t xml:space="preserve">, MIMS online, viewed </w:t>
            </w:r>
            <w:r>
              <w:rPr>
                <w:rFonts w:asciiTheme="minorHAnsi" w:hAnsiTheme="minorHAnsi"/>
                <w:sz w:val="20"/>
              </w:rPr>
              <w:t>15</w:t>
            </w:r>
            <w:r w:rsidRPr="00F97B59">
              <w:rPr>
                <w:rFonts w:asciiTheme="minorHAnsi" w:hAnsiTheme="minorHAnsi"/>
                <w:sz w:val="20"/>
              </w:rPr>
              <w:t xml:space="preserve"> </w:t>
            </w:r>
            <w:r>
              <w:rPr>
                <w:rFonts w:asciiTheme="minorHAnsi" w:hAnsiTheme="minorHAnsi"/>
                <w:sz w:val="20"/>
              </w:rPr>
              <w:t>December 2016.</w:t>
            </w:r>
          </w:p>
        </w:tc>
      </w:tr>
    </w:tbl>
    <w:p w:rsidRPr="00E25790" w:rsidR="00127DC6" w:rsidP="006F0321" w:rsidRDefault="00127DC6" w14:paraId="51799316"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0D1E13" w:rsidTr="000D1E13" w14:paraId="715B6538"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37467D12" w14:textId="08C3BA7C">
            <w:pPr>
              <w:spacing w:line="252" w:lineRule="auto"/>
              <w:rPr>
                <w:sz w:val="22"/>
                <w:lang w:val="en-AU"/>
              </w:rPr>
            </w:pPr>
            <w:r>
              <w:t>Original version Date: 27/02/2017</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2638EFFC" w14:textId="77777777">
            <w:pPr>
              <w:spacing w:line="252" w:lineRule="auto"/>
            </w:pPr>
            <w:r>
              <w:t>Author: NeoMed Consensus Group</w:t>
            </w:r>
          </w:p>
        </w:tc>
      </w:tr>
      <w:tr w:rsidR="000D1E13" w:rsidTr="000D1E13" w14:paraId="56F4F731"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5A470AE8" w14:textId="0F5561DC">
            <w:pPr>
              <w:spacing w:line="252" w:lineRule="auto"/>
            </w:pPr>
            <w:r>
              <w:t xml:space="preserve">Current Version number:  </w:t>
            </w:r>
            <w:r w:rsidR="007A0A41">
              <w:t>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727A3FF8" w14:textId="18016B3B">
            <w:pPr>
              <w:spacing w:line="252" w:lineRule="auto"/>
            </w:pPr>
            <w:r>
              <w:t>Current Version Date:  27/06/2019</w:t>
            </w:r>
          </w:p>
        </w:tc>
      </w:tr>
      <w:tr w:rsidR="000D1E13" w:rsidTr="000D1E13" w14:paraId="340D7245"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0EBBF470" w14:textId="7146EE51">
            <w:pPr>
              <w:spacing w:line="252" w:lineRule="auto"/>
            </w:pPr>
            <w:r>
              <w:t xml:space="preserve">Risk Rating: </w:t>
            </w:r>
            <w:r w:rsidR="007A0A41">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5B9D13CC" w14:textId="0A6346FF">
            <w:pPr>
              <w:spacing w:line="252" w:lineRule="auto"/>
            </w:pPr>
            <w:r>
              <w:t>Due for Review:  27/06/2024</w:t>
            </w:r>
          </w:p>
        </w:tc>
      </w:tr>
      <w:tr w:rsidR="000D1E13" w:rsidTr="000D1E13" w14:paraId="6821A71A"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02E58FE5"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3BCDFAF7" w14:textId="35CCCD53">
            <w:pPr>
              <w:spacing w:line="252" w:lineRule="auto"/>
            </w:pPr>
            <w:r>
              <w:t xml:space="preserve">Approval Date: </w:t>
            </w:r>
            <w:r w:rsidR="00260BC8">
              <w:t>APRIL 2021</w:t>
            </w:r>
          </w:p>
        </w:tc>
      </w:tr>
    </w:tbl>
    <w:p w:rsidRPr="00E25790" w:rsidR="00115F48" w:rsidP="006F0321" w:rsidRDefault="00115F48" w14:paraId="400CA628" w14:textId="77777777"/>
    <w:p w:rsidR="000D1E13" w:rsidRDefault="000D1E13" w14:paraId="404F2D57" w14:textId="1DA75B7D">
      <w:r>
        <w:br w:type="page"/>
      </w:r>
    </w:p>
    <w:p w:rsidRPr="00E25790" w:rsidR="00115F48" w:rsidP="006F0321" w:rsidRDefault="00115F48" w14:paraId="386D7C63" w14:textId="77777777"/>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896"/>
      </w:tblGrid>
      <w:tr w:rsidRPr="00E25790" w:rsidR="00D878B6" w:rsidTr="00FA198C" w14:paraId="4EC3484B" w14:textId="77777777">
        <w:trPr>
          <w:cantSplit/>
          <w:trHeight w:val="720"/>
        </w:trPr>
        <w:tc>
          <w:tcPr>
            <w:tcW w:w="9049" w:type="dxa"/>
            <w:gridSpan w:val="2"/>
            <w:shd w:val="clear" w:color="auto" w:fill="FF6600"/>
          </w:tcPr>
          <w:p w:rsidRPr="000F2F11" w:rsidR="00D878B6" w:rsidP="009469DB" w:rsidRDefault="00D878B6" w14:paraId="388B3028" w14:textId="77777777">
            <w:pPr>
              <w:pStyle w:val="Heading1"/>
            </w:pPr>
            <w:bookmarkStart w:name="_Toc38106812" w:id="94"/>
            <w:bookmarkStart w:name="_Toc75339939" w:id="95"/>
            <w:r w:rsidRPr="000F2F11">
              <w:t>Azithromycin</w:t>
            </w:r>
            <w:bookmarkEnd w:id="94"/>
            <w:bookmarkEnd w:id="95"/>
            <w:r w:rsidRPr="000F2F11">
              <w:fldChar w:fldCharType="begin"/>
            </w:r>
            <w:r w:rsidRPr="000F2F11">
              <w:instrText>tc "Atropine" \l 0</w:instrText>
            </w:r>
            <w:r w:rsidRPr="000F2F11">
              <w:fldChar w:fldCharType="end"/>
            </w:r>
          </w:p>
        </w:tc>
      </w:tr>
      <w:tr w:rsidRPr="00E25790" w:rsidR="00D878B6" w:rsidTr="00FA198C" w14:paraId="07888D42" w14:textId="77777777">
        <w:trPr>
          <w:cantSplit/>
          <w:trHeight w:val="480"/>
        </w:trPr>
        <w:tc>
          <w:tcPr>
            <w:tcW w:w="4153" w:type="dxa"/>
            <w:shd w:val="clear" w:color="auto" w:fill="FF6600"/>
          </w:tcPr>
          <w:p w:rsidRPr="00E25790" w:rsidR="00D878B6" w:rsidP="006F0321" w:rsidRDefault="00D878B6" w14:paraId="34B95650" w14:textId="72B74A77">
            <w:r w:rsidRPr="00E25790">
              <w:t>Revision Date :</w:t>
            </w:r>
            <w:r w:rsidR="007A0A41">
              <w:t>2/3/2021</w:t>
            </w:r>
          </w:p>
        </w:tc>
        <w:tc>
          <w:tcPr>
            <w:tcW w:w="4896" w:type="dxa"/>
            <w:shd w:val="clear" w:color="auto" w:fill="FF6600"/>
          </w:tcPr>
          <w:p w:rsidRPr="00E25790" w:rsidR="00D878B6" w:rsidP="006F0321" w:rsidRDefault="00D878B6" w14:paraId="45311893" w14:textId="10F2B16A">
            <w:r w:rsidRPr="00E25790">
              <w:t xml:space="preserve">Approved : </w:t>
            </w:r>
            <w:r w:rsidR="000D1E13">
              <w:t>TC, KOH</w:t>
            </w:r>
          </w:p>
        </w:tc>
      </w:tr>
    </w:tbl>
    <w:p w:rsidRPr="00E25790" w:rsidR="000519D1" w:rsidP="006F0321" w:rsidRDefault="000519D1" w14:paraId="1C9FC5E4" w14:textId="77777777"/>
    <w:tbl>
      <w:tblPr>
        <w:tblW w:w="10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14"/>
        <w:gridCol w:w="8363"/>
      </w:tblGrid>
      <w:tr w:rsidRPr="00F05989" w:rsidR="00273A16" w:rsidTr="77BEE3D0" w14:paraId="6A83F49B" w14:textId="77777777">
        <w:trPr>
          <w:trHeight w:val="235"/>
        </w:trPr>
        <w:tc>
          <w:tcPr>
            <w:tcW w:w="2014" w:type="dxa"/>
          </w:tcPr>
          <w:p w:rsidRPr="00F05989" w:rsidR="000D1E13" w:rsidP="000D1E13" w:rsidRDefault="000D1E13" w14:paraId="23128B76" w14:textId="77777777">
            <w:pPr>
              <w:pStyle w:val="BodyText"/>
              <w:tabs>
                <w:tab w:val="center" w:pos="1476"/>
              </w:tabs>
              <w:rPr>
                <w:rFonts w:cs="Arial" w:asciiTheme="minorHAnsi" w:hAnsiTheme="minorHAnsi"/>
                <w:b/>
                <w:sz w:val="20"/>
              </w:rPr>
            </w:pPr>
            <w:r w:rsidRPr="00F05989">
              <w:rPr>
                <w:rFonts w:cs="Arial" w:asciiTheme="minorHAnsi" w:hAnsiTheme="minorHAnsi"/>
                <w:b/>
                <w:sz w:val="20"/>
              </w:rPr>
              <w:t>Alert</w:t>
            </w:r>
            <w:r w:rsidRPr="00F05989">
              <w:rPr>
                <w:rFonts w:cs="Arial" w:asciiTheme="minorHAnsi" w:hAnsiTheme="minorHAnsi"/>
                <w:b/>
                <w:sz w:val="20"/>
              </w:rPr>
              <w:tab/>
            </w:r>
          </w:p>
        </w:tc>
        <w:tc>
          <w:tcPr>
            <w:tcW w:w="8363" w:type="dxa"/>
          </w:tcPr>
          <w:p w:rsidR="000D1E13" w:rsidP="000D1E13" w:rsidRDefault="000D1E13" w14:paraId="3B0824E5" w14:textId="77777777">
            <w:pPr>
              <w:pStyle w:val="BodyText"/>
              <w:rPr>
                <w:rFonts w:cs="Arial" w:asciiTheme="minorHAnsi" w:hAnsiTheme="minorHAnsi"/>
                <w:sz w:val="20"/>
                <w:vertAlign w:val="superscript"/>
              </w:rPr>
            </w:pPr>
            <w:r>
              <w:rPr>
                <w:rFonts w:cs="Arial" w:asciiTheme="minorHAnsi" w:hAnsiTheme="minorHAnsi"/>
                <w:sz w:val="20"/>
              </w:rPr>
              <w:t>A</w:t>
            </w:r>
            <w:r w:rsidRPr="00AB5D72">
              <w:rPr>
                <w:rFonts w:cs="Arial" w:asciiTheme="minorHAnsi" w:hAnsiTheme="minorHAnsi"/>
                <w:sz w:val="20"/>
              </w:rPr>
              <w:t>zithromycin in the newborn period increases</w:t>
            </w:r>
            <w:r>
              <w:rPr>
                <w:rFonts w:cs="Arial" w:asciiTheme="minorHAnsi" w:hAnsiTheme="minorHAnsi"/>
                <w:sz w:val="20"/>
              </w:rPr>
              <w:t xml:space="preserve"> </w:t>
            </w:r>
            <w:r w:rsidRPr="00AB5D72">
              <w:rPr>
                <w:rFonts w:cs="Arial" w:asciiTheme="minorHAnsi" w:hAnsiTheme="minorHAnsi"/>
                <w:sz w:val="20"/>
              </w:rPr>
              <w:t>the risk of developing pyloric stenosis</w:t>
            </w:r>
            <w:r>
              <w:rPr>
                <w:rFonts w:cs="Arial" w:asciiTheme="minorHAnsi" w:hAnsiTheme="minorHAnsi"/>
                <w:sz w:val="20"/>
              </w:rPr>
              <w:t>.</w:t>
            </w:r>
            <w:r>
              <w:rPr>
                <w:rFonts w:cs="Arial" w:asciiTheme="minorHAnsi" w:hAnsiTheme="minorHAnsi"/>
                <w:sz w:val="20"/>
                <w:vertAlign w:val="superscript"/>
              </w:rPr>
              <w:t>14-15</w:t>
            </w:r>
          </w:p>
          <w:p w:rsidRPr="000D1E13" w:rsidR="000D1E13" w:rsidP="000D1E13" w:rsidRDefault="000D1E13" w14:paraId="197CF9B3" w14:textId="092725EC">
            <w:pPr>
              <w:pStyle w:val="BodyText"/>
              <w:rPr>
                <w:rFonts w:cs="Arial" w:asciiTheme="minorHAnsi" w:hAnsiTheme="minorHAnsi"/>
                <w:szCs w:val="24"/>
              </w:rPr>
            </w:pPr>
            <w:r>
              <w:rPr>
                <w:rFonts w:cs="Arial" w:asciiTheme="minorHAnsi" w:hAnsiTheme="minorHAnsi"/>
                <w:szCs w:val="24"/>
              </w:rPr>
              <w:t xml:space="preserve">This is an </w:t>
            </w:r>
            <w:r w:rsidRPr="000D1E13">
              <w:rPr>
                <w:rFonts w:cs="Arial" w:asciiTheme="minorHAnsi" w:hAnsiTheme="minorHAnsi"/>
                <w:color w:val="C45911" w:themeColor="accent2" w:themeShade="BF"/>
                <w:szCs w:val="24"/>
              </w:rPr>
              <w:t>ORANGE</w:t>
            </w:r>
            <w:r>
              <w:rPr>
                <w:rFonts w:cs="Arial" w:asciiTheme="minorHAnsi" w:hAnsiTheme="minorHAnsi"/>
                <w:szCs w:val="24"/>
              </w:rPr>
              <w:t xml:space="preserve"> Antimicrobial and requires an AMS code</w:t>
            </w:r>
          </w:p>
        </w:tc>
      </w:tr>
      <w:tr w:rsidRPr="00BE7D17" w:rsidR="00273A16" w:rsidTr="77BEE3D0" w14:paraId="413E7910" w14:textId="77777777">
        <w:trPr>
          <w:trHeight w:val="851"/>
        </w:trPr>
        <w:tc>
          <w:tcPr>
            <w:tcW w:w="2014" w:type="dxa"/>
          </w:tcPr>
          <w:p w:rsidRPr="00F05989" w:rsidR="000D1E13" w:rsidP="000D1E13" w:rsidRDefault="000D1E13" w14:paraId="634BE16E" w14:textId="77777777">
            <w:pPr>
              <w:pStyle w:val="BodyText"/>
              <w:rPr>
                <w:rFonts w:cs="Arial" w:asciiTheme="minorHAnsi" w:hAnsiTheme="minorHAnsi"/>
                <w:sz w:val="20"/>
              </w:rPr>
            </w:pPr>
            <w:r w:rsidRPr="00F05989">
              <w:rPr>
                <w:rFonts w:cs="Arial" w:asciiTheme="minorHAnsi" w:hAnsiTheme="minorHAnsi"/>
                <w:b/>
                <w:bCs/>
                <w:sz w:val="20"/>
              </w:rPr>
              <w:t xml:space="preserve">Indication </w:t>
            </w:r>
          </w:p>
        </w:tc>
        <w:tc>
          <w:tcPr>
            <w:tcW w:w="8363" w:type="dxa"/>
          </w:tcPr>
          <w:p w:rsidRPr="00BE7D17" w:rsidR="000D1E13" w:rsidP="001B0E05" w:rsidRDefault="000D1E13" w14:paraId="71143437" w14:textId="77777777">
            <w:pPr>
              <w:pStyle w:val="ListParagraph"/>
              <w:numPr>
                <w:ilvl w:val="0"/>
                <w:numId w:val="64"/>
              </w:numPr>
              <w:jc w:val="both"/>
              <w:rPr>
                <w:rFonts w:cs="Arial" w:asciiTheme="minorHAnsi" w:hAnsiTheme="minorHAnsi"/>
                <w:sz w:val="20"/>
              </w:rPr>
            </w:pPr>
            <w:r w:rsidRPr="00BE7D17">
              <w:rPr>
                <w:rFonts w:cs="Arial" w:asciiTheme="minorHAnsi" w:hAnsiTheme="minorHAnsi"/>
                <w:sz w:val="20"/>
              </w:rPr>
              <w:t xml:space="preserve">Pertussis – </w:t>
            </w:r>
            <w:r>
              <w:rPr>
                <w:rFonts w:cs="Arial" w:asciiTheme="minorHAnsi" w:hAnsiTheme="minorHAnsi"/>
                <w:sz w:val="20"/>
              </w:rPr>
              <w:t>p</w:t>
            </w:r>
            <w:r w:rsidRPr="00BE7D17">
              <w:rPr>
                <w:rFonts w:cs="Arial" w:asciiTheme="minorHAnsi" w:hAnsiTheme="minorHAnsi"/>
                <w:sz w:val="20"/>
              </w:rPr>
              <w:t>ost</w:t>
            </w:r>
            <w:r>
              <w:rPr>
                <w:rFonts w:cs="Arial" w:asciiTheme="minorHAnsi" w:hAnsiTheme="minorHAnsi"/>
                <w:sz w:val="20"/>
              </w:rPr>
              <w:t>-</w:t>
            </w:r>
            <w:r w:rsidRPr="00BE7D17">
              <w:rPr>
                <w:rFonts w:cs="Arial" w:asciiTheme="minorHAnsi" w:hAnsiTheme="minorHAnsi"/>
                <w:sz w:val="20"/>
              </w:rPr>
              <w:t>exposure prophylaxis and treatment</w:t>
            </w:r>
          </w:p>
          <w:p w:rsidRPr="00BE7D17" w:rsidR="000D1E13" w:rsidP="001B0E05" w:rsidRDefault="000D1E13" w14:paraId="2F241A77" w14:textId="77777777">
            <w:pPr>
              <w:pStyle w:val="ListParagraph"/>
              <w:numPr>
                <w:ilvl w:val="0"/>
                <w:numId w:val="64"/>
              </w:numPr>
              <w:jc w:val="both"/>
              <w:rPr>
                <w:rFonts w:cs="Arial" w:asciiTheme="minorHAnsi" w:hAnsiTheme="minorHAnsi"/>
                <w:sz w:val="20"/>
              </w:rPr>
            </w:pPr>
            <w:r>
              <w:rPr>
                <w:rFonts w:cs="Arial" w:asciiTheme="minorHAnsi" w:hAnsiTheme="minorHAnsi"/>
                <w:sz w:val="20"/>
              </w:rPr>
              <w:t>Neonatal c</w:t>
            </w:r>
            <w:r w:rsidRPr="00BE7D17">
              <w:rPr>
                <w:rFonts w:cs="Arial" w:asciiTheme="minorHAnsi" w:hAnsiTheme="minorHAnsi"/>
                <w:sz w:val="20"/>
              </w:rPr>
              <w:t xml:space="preserve">hlamydial </w:t>
            </w:r>
            <w:r>
              <w:rPr>
                <w:rFonts w:cs="Arial" w:asciiTheme="minorHAnsi" w:hAnsiTheme="minorHAnsi"/>
                <w:sz w:val="20"/>
              </w:rPr>
              <w:t>conjunctivitis</w:t>
            </w:r>
            <w:r w:rsidRPr="00BE7D17">
              <w:rPr>
                <w:rFonts w:cs="Arial" w:asciiTheme="minorHAnsi" w:hAnsiTheme="minorHAnsi"/>
                <w:sz w:val="20"/>
              </w:rPr>
              <w:t xml:space="preserve"> and pneumonia</w:t>
            </w:r>
          </w:p>
          <w:p w:rsidRPr="00BE7D17" w:rsidR="000D1E13" w:rsidP="001B0E05" w:rsidRDefault="000D1E13" w14:paraId="17182412" w14:textId="77777777">
            <w:pPr>
              <w:pStyle w:val="ListParagraph"/>
              <w:numPr>
                <w:ilvl w:val="0"/>
                <w:numId w:val="64"/>
              </w:numPr>
              <w:jc w:val="both"/>
              <w:rPr>
                <w:rFonts w:cs="Arial"/>
                <w:sz w:val="20"/>
              </w:rPr>
            </w:pPr>
            <w:r w:rsidRPr="00BE7D17">
              <w:rPr>
                <w:rFonts w:cs="Arial"/>
                <w:sz w:val="20"/>
              </w:rPr>
              <w:t xml:space="preserve">Chlamydial and </w:t>
            </w:r>
            <w:r w:rsidRPr="007D68D6">
              <w:rPr>
                <w:rFonts w:cs="Arial"/>
                <w:i/>
                <w:sz w:val="20"/>
              </w:rPr>
              <w:t>Mycoplasma</w:t>
            </w:r>
            <w:r w:rsidRPr="00BE7D17">
              <w:rPr>
                <w:rFonts w:cs="Arial"/>
                <w:sz w:val="20"/>
              </w:rPr>
              <w:t xml:space="preserve"> pneumonia &gt;3 months of age</w:t>
            </w:r>
          </w:p>
          <w:p w:rsidRPr="00BE7D17" w:rsidR="000D1E13" w:rsidP="001B0E05" w:rsidRDefault="000D1E13" w14:paraId="142C7C0A" w14:textId="77777777">
            <w:pPr>
              <w:pStyle w:val="ListParagraph"/>
              <w:numPr>
                <w:ilvl w:val="0"/>
                <w:numId w:val="64"/>
              </w:numPr>
              <w:jc w:val="both"/>
              <w:rPr>
                <w:rFonts w:cs="Arial" w:asciiTheme="minorHAnsi" w:hAnsiTheme="minorHAnsi"/>
                <w:sz w:val="20"/>
              </w:rPr>
            </w:pPr>
            <w:r w:rsidRPr="00BE7D17">
              <w:rPr>
                <w:rFonts w:cs="Arial"/>
                <w:sz w:val="20"/>
              </w:rPr>
              <w:t xml:space="preserve">Eradication of </w:t>
            </w:r>
            <w:r w:rsidRPr="007D68D6">
              <w:rPr>
                <w:rFonts w:cs="Arial"/>
                <w:i/>
                <w:sz w:val="20"/>
              </w:rPr>
              <w:t>Ureaplasma</w:t>
            </w:r>
            <w:r w:rsidRPr="00BE7D17">
              <w:rPr>
                <w:rFonts w:cs="Arial"/>
                <w:sz w:val="20"/>
              </w:rPr>
              <w:t xml:space="preserve"> in preterm infants</w:t>
            </w:r>
            <w:r w:rsidRPr="00BE7D17">
              <w:rPr>
                <w:rFonts w:cs="Arial" w:asciiTheme="minorHAnsi" w:hAnsiTheme="minorHAnsi"/>
                <w:sz w:val="20"/>
              </w:rPr>
              <w:t xml:space="preserve"> </w:t>
            </w:r>
          </w:p>
          <w:p w:rsidRPr="00BE7D17" w:rsidR="000D1E13" w:rsidP="001B0E05" w:rsidRDefault="000D1E13" w14:paraId="099F59A3" w14:textId="77777777">
            <w:pPr>
              <w:pStyle w:val="ListParagraph"/>
              <w:numPr>
                <w:ilvl w:val="0"/>
                <w:numId w:val="64"/>
              </w:numPr>
              <w:rPr>
                <w:rFonts w:cs="Arial" w:asciiTheme="minorHAnsi" w:hAnsiTheme="minorHAnsi"/>
                <w:sz w:val="20"/>
                <w:lang w:eastAsia="en-AU"/>
              </w:rPr>
            </w:pPr>
            <w:r w:rsidRPr="00BE7D17">
              <w:rPr>
                <w:rFonts w:cs="Arial" w:asciiTheme="minorHAnsi" w:hAnsiTheme="minorHAnsi"/>
                <w:sz w:val="20"/>
              </w:rPr>
              <w:t xml:space="preserve">Prevention of BPD in preterm neonates – </w:t>
            </w:r>
            <w:r>
              <w:rPr>
                <w:rFonts w:cs="Arial" w:asciiTheme="minorHAnsi" w:hAnsiTheme="minorHAnsi"/>
                <w:sz w:val="20"/>
              </w:rPr>
              <w:t>r</w:t>
            </w:r>
            <w:r w:rsidRPr="00BE7D17">
              <w:rPr>
                <w:rFonts w:cs="Arial" w:asciiTheme="minorHAnsi" w:hAnsiTheme="minorHAnsi"/>
                <w:sz w:val="20"/>
              </w:rPr>
              <w:t>outine use is not recommended.</w:t>
            </w:r>
          </w:p>
        </w:tc>
      </w:tr>
      <w:tr w:rsidRPr="00F05989" w:rsidR="00273A16" w:rsidTr="77BEE3D0" w14:paraId="49A4E92E" w14:textId="77777777">
        <w:trPr>
          <w:trHeight w:val="703"/>
        </w:trPr>
        <w:tc>
          <w:tcPr>
            <w:tcW w:w="2014" w:type="dxa"/>
          </w:tcPr>
          <w:p w:rsidRPr="00F05989" w:rsidR="000D1E13" w:rsidP="000D1E13" w:rsidRDefault="000D1E13" w14:paraId="14B73328" w14:textId="77777777">
            <w:pPr>
              <w:pStyle w:val="BodyText"/>
              <w:rPr>
                <w:rFonts w:cs="Arial" w:asciiTheme="minorHAnsi" w:hAnsiTheme="minorHAnsi"/>
                <w:b/>
                <w:bCs/>
                <w:sz w:val="20"/>
              </w:rPr>
            </w:pPr>
            <w:r w:rsidRPr="00F05989">
              <w:rPr>
                <w:rFonts w:cs="Arial" w:asciiTheme="minorHAnsi" w:hAnsiTheme="minorHAnsi"/>
                <w:b/>
                <w:bCs/>
                <w:sz w:val="20"/>
              </w:rPr>
              <w:t>Action</w:t>
            </w:r>
          </w:p>
        </w:tc>
        <w:tc>
          <w:tcPr>
            <w:tcW w:w="8363" w:type="dxa"/>
          </w:tcPr>
          <w:p w:rsidRPr="00F05989" w:rsidR="000D1E13" w:rsidP="000D1E13" w:rsidRDefault="000D1E13" w14:paraId="53323EED" w14:textId="77777777">
            <w:pPr>
              <w:rPr>
                <w:rFonts w:cs="Arial" w:asciiTheme="minorHAnsi" w:hAnsiTheme="minorHAnsi"/>
                <w:sz w:val="20"/>
              </w:rPr>
            </w:pPr>
            <w:r>
              <w:rPr>
                <w:rFonts w:cs="Arial" w:asciiTheme="minorHAnsi" w:hAnsiTheme="minorHAnsi"/>
                <w:sz w:val="20"/>
              </w:rPr>
              <w:t>A</w:t>
            </w:r>
            <w:r w:rsidRPr="00F05989">
              <w:rPr>
                <w:rFonts w:cs="Arial" w:asciiTheme="minorHAnsi" w:hAnsiTheme="minorHAnsi"/>
                <w:sz w:val="20"/>
              </w:rPr>
              <w:t>zithromycin inhibit</w:t>
            </w:r>
            <w:r>
              <w:rPr>
                <w:rFonts w:cs="Arial" w:asciiTheme="minorHAnsi" w:hAnsiTheme="minorHAnsi"/>
                <w:sz w:val="20"/>
              </w:rPr>
              <w:t>s</w:t>
            </w:r>
            <w:r w:rsidRPr="00F05989">
              <w:rPr>
                <w:rFonts w:cs="Arial" w:asciiTheme="minorHAnsi" w:hAnsiTheme="minorHAnsi"/>
                <w:sz w:val="20"/>
              </w:rPr>
              <w:t xml:space="preserve"> protein synthesis by attaching to the 50S subunit of the bacterial ribosome in susceptible organisms.</w:t>
            </w:r>
            <w:r>
              <w:t xml:space="preserve"> </w:t>
            </w:r>
            <w:r>
              <w:rPr>
                <w:rFonts w:cs="Arial" w:asciiTheme="minorHAnsi" w:hAnsiTheme="minorHAnsi"/>
                <w:sz w:val="20"/>
              </w:rPr>
              <w:t xml:space="preserve">It </w:t>
            </w:r>
            <w:r w:rsidRPr="00242B44">
              <w:rPr>
                <w:rFonts w:cs="Arial" w:asciiTheme="minorHAnsi" w:hAnsiTheme="minorHAnsi"/>
                <w:sz w:val="20"/>
              </w:rPr>
              <w:t xml:space="preserve">exhibits bacteriostatic activity with higher potency than erythromycin against </w:t>
            </w:r>
            <w:r w:rsidRPr="007D68D6">
              <w:rPr>
                <w:rFonts w:cs="Arial" w:asciiTheme="minorHAnsi" w:hAnsiTheme="minorHAnsi"/>
                <w:i/>
                <w:sz w:val="20"/>
              </w:rPr>
              <w:t>Ureaplasma</w:t>
            </w:r>
            <w:r w:rsidRPr="00242B44">
              <w:rPr>
                <w:rFonts w:cs="Arial" w:asciiTheme="minorHAnsi" w:hAnsiTheme="minorHAnsi"/>
                <w:sz w:val="20"/>
              </w:rPr>
              <w:t xml:space="preserve"> isolates in vitro</w:t>
            </w:r>
            <w:r>
              <w:rPr>
                <w:rFonts w:cs="Arial" w:asciiTheme="minorHAnsi" w:hAnsiTheme="minorHAnsi"/>
                <w:sz w:val="20"/>
              </w:rPr>
              <w:t xml:space="preserve">. </w:t>
            </w:r>
            <w:r w:rsidRPr="00242B44">
              <w:rPr>
                <w:rFonts w:cs="Arial" w:asciiTheme="minorHAnsi" w:hAnsiTheme="minorHAnsi"/>
                <w:sz w:val="20"/>
              </w:rPr>
              <w:t>Azithromycin inhibits neutrophil influx and chemoattractant/cytokine release in murine lung non</w:t>
            </w:r>
            <w:r>
              <w:rPr>
                <w:rFonts w:cs="Arial" w:asciiTheme="minorHAnsi" w:hAnsiTheme="minorHAnsi"/>
                <w:sz w:val="20"/>
              </w:rPr>
              <w:t>-</w:t>
            </w:r>
            <w:r w:rsidRPr="00242B44">
              <w:rPr>
                <w:rFonts w:cs="Arial" w:asciiTheme="minorHAnsi" w:hAnsiTheme="minorHAnsi"/>
                <w:sz w:val="20"/>
              </w:rPr>
              <w:t>infectious, as well as pneumonia</w:t>
            </w:r>
            <w:r>
              <w:rPr>
                <w:rFonts w:cs="Arial" w:asciiTheme="minorHAnsi" w:hAnsiTheme="minorHAnsi"/>
                <w:sz w:val="20"/>
              </w:rPr>
              <w:t>,</w:t>
            </w:r>
            <w:r w:rsidRPr="00242B44">
              <w:rPr>
                <w:rFonts w:cs="Arial" w:asciiTheme="minorHAnsi" w:hAnsiTheme="minorHAnsi"/>
                <w:sz w:val="20"/>
              </w:rPr>
              <w:t xml:space="preserve"> injury models. </w:t>
            </w:r>
            <w:r>
              <w:rPr>
                <w:rFonts w:cs="Arial" w:asciiTheme="minorHAnsi" w:hAnsiTheme="minorHAnsi"/>
                <w:sz w:val="20"/>
              </w:rPr>
              <w:t xml:space="preserve">It </w:t>
            </w:r>
            <w:r w:rsidRPr="00242B44">
              <w:rPr>
                <w:rFonts w:cs="Arial" w:asciiTheme="minorHAnsi" w:hAnsiTheme="minorHAnsi"/>
                <w:sz w:val="20"/>
              </w:rPr>
              <w:t>is preferentially concentrated in pulmonary epithelial lining fluid and alveolar macrophages</w:t>
            </w:r>
            <w:r>
              <w:rPr>
                <w:rFonts w:cs="Arial" w:asciiTheme="minorHAnsi" w:hAnsiTheme="minorHAnsi"/>
                <w:sz w:val="20"/>
              </w:rPr>
              <w:t>.</w:t>
            </w:r>
            <w:r w:rsidRPr="00242B44">
              <w:rPr>
                <w:rFonts w:cs="Arial" w:asciiTheme="minorHAnsi" w:hAnsiTheme="minorHAnsi"/>
                <w:sz w:val="20"/>
                <w:vertAlign w:val="superscript"/>
              </w:rPr>
              <w:t>14</w:t>
            </w:r>
          </w:p>
        </w:tc>
      </w:tr>
      <w:tr w:rsidRPr="00F05989" w:rsidR="00273A16" w:rsidTr="77BEE3D0" w14:paraId="1E271D7C" w14:textId="77777777">
        <w:trPr>
          <w:trHeight w:val="266"/>
        </w:trPr>
        <w:tc>
          <w:tcPr>
            <w:tcW w:w="2014" w:type="dxa"/>
          </w:tcPr>
          <w:p w:rsidRPr="00F05989" w:rsidR="000D1E13" w:rsidP="000D1E13" w:rsidRDefault="000D1E13" w14:paraId="569276CE" w14:textId="77777777">
            <w:pPr>
              <w:pStyle w:val="BodyText"/>
              <w:rPr>
                <w:rFonts w:cs="Arial" w:asciiTheme="minorHAnsi" w:hAnsiTheme="minorHAnsi"/>
                <w:sz w:val="20"/>
              </w:rPr>
            </w:pPr>
            <w:r w:rsidRPr="00F05989">
              <w:rPr>
                <w:rFonts w:cs="Arial" w:asciiTheme="minorHAnsi" w:hAnsiTheme="minorHAnsi"/>
                <w:b/>
                <w:bCs/>
                <w:sz w:val="20"/>
              </w:rPr>
              <w:t xml:space="preserve">Drug Type                                   </w:t>
            </w:r>
          </w:p>
        </w:tc>
        <w:tc>
          <w:tcPr>
            <w:tcW w:w="8363" w:type="dxa"/>
          </w:tcPr>
          <w:p w:rsidRPr="00F05989" w:rsidR="000D1E13" w:rsidP="000D1E13" w:rsidRDefault="000D1E13" w14:paraId="4BE4A8A8" w14:textId="77777777">
            <w:pPr>
              <w:pStyle w:val="BodyText"/>
              <w:rPr>
                <w:rFonts w:cs="Arial" w:asciiTheme="minorHAnsi" w:hAnsiTheme="minorHAnsi"/>
                <w:sz w:val="20"/>
              </w:rPr>
            </w:pPr>
            <w:r w:rsidRPr="00F05989">
              <w:rPr>
                <w:rFonts w:cs="Arial" w:asciiTheme="minorHAnsi" w:hAnsiTheme="minorHAnsi"/>
                <w:sz w:val="20"/>
              </w:rPr>
              <w:t>Macrolide antibiotic (subclass Azalide)</w:t>
            </w:r>
          </w:p>
        </w:tc>
      </w:tr>
      <w:tr w:rsidRPr="00F05989" w:rsidR="00273A16" w:rsidTr="77BEE3D0" w14:paraId="297CD57F" w14:textId="77777777">
        <w:trPr>
          <w:trHeight w:val="284"/>
        </w:trPr>
        <w:tc>
          <w:tcPr>
            <w:tcW w:w="2014" w:type="dxa"/>
          </w:tcPr>
          <w:p w:rsidRPr="00F05989" w:rsidR="000D1E13" w:rsidP="000D1E13" w:rsidRDefault="000D1E13" w14:paraId="5DA2D977" w14:textId="77777777">
            <w:pPr>
              <w:pStyle w:val="BodyText"/>
              <w:rPr>
                <w:rFonts w:cs="Arial" w:asciiTheme="minorHAnsi" w:hAnsiTheme="minorHAnsi"/>
                <w:b/>
                <w:bCs/>
                <w:sz w:val="20"/>
              </w:rPr>
            </w:pPr>
            <w:r w:rsidRPr="00F05989">
              <w:rPr>
                <w:rFonts w:cs="Arial" w:asciiTheme="minorHAnsi" w:hAnsiTheme="minorHAnsi"/>
                <w:b/>
                <w:bCs/>
                <w:sz w:val="20"/>
              </w:rPr>
              <w:t xml:space="preserve">Trade Name                  </w:t>
            </w:r>
          </w:p>
        </w:tc>
        <w:tc>
          <w:tcPr>
            <w:tcW w:w="8363" w:type="dxa"/>
          </w:tcPr>
          <w:p w:rsidRPr="00F05989" w:rsidR="000D1E13" w:rsidP="000D1E13" w:rsidRDefault="000D1E13" w14:paraId="4B7D85A5" w14:textId="77777777">
            <w:pPr>
              <w:pStyle w:val="BodyText"/>
              <w:rPr>
                <w:rFonts w:cs="Arial" w:asciiTheme="minorHAnsi" w:hAnsiTheme="minorHAnsi"/>
                <w:sz w:val="20"/>
              </w:rPr>
            </w:pPr>
            <w:r w:rsidRPr="00F05989">
              <w:rPr>
                <w:rFonts w:cs="Arial" w:asciiTheme="minorHAnsi" w:hAnsiTheme="minorHAnsi"/>
                <w:sz w:val="20"/>
              </w:rPr>
              <w:t>Azith, Azithromycin Alphapharm, Azithromycin DBL, Zithromax</w:t>
            </w:r>
          </w:p>
        </w:tc>
      </w:tr>
      <w:tr w:rsidRPr="00F05989" w:rsidR="00273A16" w:rsidTr="77BEE3D0" w14:paraId="342BEEB4" w14:textId="77777777">
        <w:trPr>
          <w:trHeight w:val="402"/>
        </w:trPr>
        <w:tc>
          <w:tcPr>
            <w:tcW w:w="2014" w:type="dxa"/>
          </w:tcPr>
          <w:p w:rsidRPr="00F05989" w:rsidR="000D1E13" w:rsidP="000D1E13" w:rsidRDefault="000D1E13" w14:paraId="351738B6" w14:textId="77777777">
            <w:pPr>
              <w:pStyle w:val="BodyText"/>
              <w:rPr>
                <w:rFonts w:cs="Arial" w:asciiTheme="minorHAnsi" w:hAnsiTheme="minorHAnsi"/>
                <w:b/>
                <w:bCs/>
                <w:sz w:val="20"/>
              </w:rPr>
            </w:pPr>
            <w:r w:rsidRPr="00F05989">
              <w:rPr>
                <w:rFonts w:cs="Arial" w:asciiTheme="minorHAnsi" w:hAnsiTheme="minorHAnsi"/>
                <w:b/>
                <w:bCs/>
                <w:sz w:val="20"/>
              </w:rPr>
              <w:t xml:space="preserve">Presentation </w:t>
            </w:r>
          </w:p>
        </w:tc>
        <w:tc>
          <w:tcPr>
            <w:tcW w:w="8363" w:type="dxa"/>
          </w:tcPr>
          <w:p w:rsidRPr="00F05989" w:rsidR="000D1E13" w:rsidP="000D1E13" w:rsidRDefault="000D1E13" w14:paraId="56E77435" w14:textId="77777777">
            <w:pPr>
              <w:pStyle w:val="BodyText"/>
              <w:ind w:left="34"/>
              <w:rPr>
                <w:rFonts w:cs="Arial" w:asciiTheme="minorHAnsi" w:hAnsiTheme="minorHAnsi"/>
                <w:sz w:val="20"/>
              </w:rPr>
            </w:pPr>
            <w:r w:rsidRPr="00F05989">
              <w:rPr>
                <w:rFonts w:cs="Arial" w:asciiTheme="minorHAnsi" w:hAnsiTheme="minorHAnsi"/>
                <w:sz w:val="20"/>
              </w:rPr>
              <w:t>Oral</w:t>
            </w:r>
            <w:r>
              <w:rPr>
                <w:rFonts w:cs="Arial" w:asciiTheme="minorHAnsi" w:hAnsiTheme="minorHAnsi"/>
                <w:sz w:val="20"/>
              </w:rPr>
              <w:t>: 200 mg/5 mL (15 mL) suspension, 500 mg tablet</w:t>
            </w:r>
            <w:r w:rsidRPr="00F05989">
              <w:rPr>
                <w:rFonts w:cs="Arial" w:asciiTheme="minorHAnsi" w:hAnsiTheme="minorHAnsi"/>
                <w:sz w:val="20"/>
              </w:rPr>
              <w:t xml:space="preserve"> </w:t>
            </w:r>
          </w:p>
          <w:p w:rsidRPr="00F05989" w:rsidR="000D1E13" w:rsidP="000D1E13" w:rsidRDefault="000D1E13" w14:paraId="08620A25" w14:textId="77777777">
            <w:pPr>
              <w:pStyle w:val="BodyText"/>
              <w:ind w:left="34"/>
              <w:rPr>
                <w:rFonts w:cs="Arial" w:asciiTheme="minorHAnsi" w:hAnsiTheme="minorHAnsi"/>
                <w:sz w:val="20"/>
              </w:rPr>
            </w:pPr>
            <w:r w:rsidRPr="00F05989">
              <w:rPr>
                <w:rFonts w:cs="Arial" w:asciiTheme="minorHAnsi" w:hAnsiTheme="minorHAnsi"/>
                <w:sz w:val="20"/>
              </w:rPr>
              <w:t>IV</w:t>
            </w:r>
            <w:r>
              <w:rPr>
                <w:rFonts w:cs="Arial" w:asciiTheme="minorHAnsi" w:hAnsiTheme="minorHAnsi"/>
                <w:sz w:val="20"/>
              </w:rPr>
              <w:t>:</w:t>
            </w:r>
            <w:r w:rsidRPr="00F05989">
              <w:rPr>
                <w:rFonts w:cs="Arial" w:asciiTheme="minorHAnsi" w:hAnsiTheme="minorHAnsi"/>
                <w:sz w:val="20"/>
              </w:rPr>
              <w:t xml:space="preserve"> 500 mg </w:t>
            </w:r>
            <w:r>
              <w:rPr>
                <w:rFonts w:cs="Arial" w:asciiTheme="minorHAnsi" w:hAnsiTheme="minorHAnsi"/>
                <w:sz w:val="20"/>
              </w:rPr>
              <w:t>vial</w:t>
            </w:r>
          </w:p>
        </w:tc>
      </w:tr>
      <w:tr w:rsidRPr="00F05989" w:rsidR="00273A16" w:rsidTr="77BEE3D0" w14:paraId="14C63EC5" w14:textId="77777777">
        <w:trPr>
          <w:trHeight w:val="1143"/>
        </w:trPr>
        <w:tc>
          <w:tcPr>
            <w:tcW w:w="2014" w:type="dxa"/>
          </w:tcPr>
          <w:p w:rsidRPr="00F05989" w:rsidR="000D1E13" w:rsidP="000D1E13" w:rsidRDefault="000D1E13" w14:paraId="14715140" w14:textId="77777777">
            <w:pPr>
              <w:pStyle w:val="BodyText"/>
              <w:rPr>
                <w:rFonts w:cs="Arial" w:asciiTheme="minorHAnsi" w:hAnsiTheme="minorHAnsi"/>
                <w:b/>
                <w:bCs/>
                <w:sz w:val="20"/>
              </w:rPr>
            </w:pPr>
            <w:r w:rsidRPr="00F05989">
              <w:rPr>
                <w:rFonts w:cs="Arial" w:asciiTheme="minorHAnsi" w:hAnsiTheme="minorHAnsi"/>
                <w:b/>
                <w:bCs/>
                <w:sz w:val="20"/>
              </w:rPr>
              <w:t xml:space="preserve">Dosage/Interval                           </w:t>
            </w:r>
          </w:p>
          <w:p w:rsidRPr="00F05989" w:rsidR="000D1E13" w:rsidP="000D1E13" w:rsidRDefault="000D1E13" w14:paraId="5A46C044" w14:textId="77777777">
            <w:pPr>
              <w:pStyle w:val="BodyText"/>
              <w:rPr>
                <w:rFonts w:cs="Arial" w:asciiTheme="minorHAnsi" w:hAnsiTheme="minorHAnsi"/>
                <w:sz w:val="20"/>
              </w:rPr>
            </w:pPr>
          </w:p>
        </w:tc>
        <w:tc>
          <w:tcPr>
            <w:tcW w:w="8363" w:type="dxa"/>
          </w:tcPr>
          <w:p w:rsidRPr="00AE2D5F" w:rsidR="000D1E13" w:rsidP="000D1E13" w:rsidRDefault="000D1E13" w14:paraId="674ADD7F" w14:textId="77777777">
            <w:pPr>
              <w:pStyle w:val="BodyText"/>
              <w:rPr>
                <w:rFonts w:cs="Arial" w:asciiTheme="minorHAnsi" w:hAnsiTheme="minorHAnsi"/>
                <w:sz w:val="20"/>
                <w:u w:val="single"/>
              </w:rPr>
            </w:pPr>
            <w:r w:rsidRPr="00AE2D5F">
              <w:rPr>
                <w:rFonts w:cs="Arial" w:asciiTheme="minorHAnsi" w:hAnsiTheme="minorHAnsi"/>
                <w:sz w:val="20"/>
                <w:u w:val="single"/>
              </w:rPr>
              <w:t>Pertussis (</w:t>
            </w:r>
            <w:r>
              <w:rPr>
                <w:rFonts w:cs="Arial" w:asciiTheme="minorHAnsi" w:hAnsiTheme="minorHAnsi"/>
                <w:sz w:val="20"/>
                <w:u w:val="single"/>
              </w:rPr>
              <w:t>p</w:t>
            </w:r>
            <w:r w:rsidRPr="00AE2D5F">
              <w:rPr>
                <w:rFonts w:cs="Arial" w:asciiTheme="minorHAnsi" w:hAnsiTheme="minorHAnsi"/>
                <w:sz w:val="20"/>
                <w:u w:val="single"/>
              </w:rPr>
              <w:t>ost-</w:t>
            </w:r>
            <w:r>
              <w:rPr>
                <w:rFonts w:cs="Arial" w:asciiTheme="minorHAnsi" w:hAnsiTheme="minorHAnsi"/>
                <w:sz w:val="20"/>
                <w:u w:val="single"/>
              </w:rPr>
              <w:t>e</w:t>
            </w:r>
            <w:r w:rsidRPr="00AE2D5F">
              <w:rPr>
                <w:rFonts w:cs="Arial" w:asciiTheme="minorHAnsi" w:hAnsiTheme="minorHAnsi"/>
                <w:sz w:val="20"/>
                <w:u w:val="single"/>
              </w:rPr>
              <w:t xml:space="preserve">xposure </w:t>
            </w:r>
            <w:r>
              <w:rPr>
                <w:rFonts w:cs="Arial" w:asciiTheme="minorHAnsi" w:hAnsiTheme="minorHAnsi"/>
                <w:sz w:val="20"/>
                <w:u w:val="single"/>
              </w:rPr>
              <w:t>p</w:t>
            </w:r>
            <w:r w:rsidRPr="00AE2D5F">
              <w:rPr>
                <w:rFonts w:cs="Arial" w:asciiTheme="minorHAnsi" w:hAnsiTheme="minorHAnsi"/>
                <w:sz w:val="20"/>
                <w:u w:val="single"/>
              </w:rPr>
              <w:t xml:space="preserve">rophylaxis or </w:t>
            </w:r>
            <w:r>
              <w:rPr>
                <w:rFonts w:cs="Arial" w:asciiTheme="minorHAnsi" w:hAnsiTheme="minorHAnsi"/>
                <w:sz w:val="20"/>
                <w:u w:val="single"/>
              </w:rPr>
              <w:t>t</w:t>
            </w:r>
            <w:r w:rsidRPr="00AE2D5F">
              <w:rPr>
                <w:rFonts w:cs="Arial" w:asciiTheme="minorHAnsi" w:hAnsiTheme="minorHAnsi"/>
                <w:sz w:val="20"/>
                <w:u w:val="single"/>
              </w:rPr>
              <w:t>reatment)</w:t>
            </w:r>
          </w:p>
          <w:p w:rsidR="000D1E13" w:rsidP="000D1E13" w:rsidRDefault="000D1E13" w14:paraId="3E204773" w14:textId="77777777">
            <w:pPr>
              <w:pStyle w:val="BodyText"/>
              <w:ind w:left="720"/>
              <w:rPr>
                <w:rFonts w:cs="Arial" w:asciiTheme="minorHAnsi" w:hAnsiTheme="minorHAnsi"/>
                <w:sz w:val="20"/>
              </w:rPr>
            </w:pPr>
            <w:r w:rsidRPr="00F05989">
              <w:rPr>
                <w:rFonts w:cs="Arial" w:asciiTheme="minorHAnsi" w:hAnsiTheme="minorHAnsi"/>
                <w:sz w:val="20"/>
              </w:rPr>
              <w:t>10 mg/kg</w:t>
            </w:r>
            <w:r>
              <w:rPr>
                <w:rFonts w:cs="Arial" w:asciiTheme="minorHAnsi" w:hAnsiTheme="minorHAnsi"/>
                <w:sz w:val="20"/>
              </w:rPr>
              <w:t xml:space="preserve">/dose daily </w:t>
            </w:r>
            <w:r w:rsidRPr="00F05989">
              <w:rPr>
                <w:rFonts w:cs="Arial" w:asciiTheme="minorHAnsi" w:hAnsiTheme="minorHAnsi"/>
                <w:sz w:val="20"/>
              </w:rPr>
              <w:t>orally</w:t>
            </w:r>
            <w:r>
              <w:rPr>
                <w:rFonts w:cs="Arial" w:asciiTheme="minorHAnsi" w:hAnsiTheme="minorHAnsi"/>
                <w:sz w:val="20"/>
              </w:rPr>
              <w:t xml:space="preserve"> or IV</w:t>
            </w:r>
            <w:r w:rsidRPr="00353F3E">
              <w:rPr>
                <w:rFonts w:cs="Arial" w:asciiTheme="minorHAnsi" w:hAnsiTheme="minorHAnsi"/>
                <w:sz w:val="20"/>
                <w:vertAlign w:val="superscript"/>
              </w:rPr>
              <w:t>2</w:t>
            </w:r>
            <w:r>
              <w:rPr>
                <w:rFonts w:cs="Arial" w:asciiTheme="minorHAnsi" w:hAnsiTheme="minorHAnsi"/>
                <w:sz w:val="20"/>
              </w:rPr>
              <w:t xml:space="preserve"> </w:t>
            </w:r>
            <w:r w:rsidRPr="00F05989">
              <w:rPr>
                <w:rFonts w:cs="Arial" w:asciiTheme="minorHAnsi" w:hAnsiTheme="minorHAnsi"/>
                <w:sz w:val="20"/>
              </w:rPr>
              <w:t>for 5</w:t>
            </w:r>
            <w:r>
              <w:rPr>
                <w:rFonts w:cs="Arial" w:asciiTheme="minorHAnsi" w:hAnsiTheme="minorHAnsi"/>
                <w:sz w:val="20"/>
              </w:rPr>
              <w:t xml:space="preserve"> </w:t>
            </w:r>
            <w:r w:rsidRPr="00F05989">
              <w:rPr>
                <w:rFonts w:cs="Arial" w:asciiTheme="minorHAnsi" w:hAnsiTheme="minorHAnsi"/>
                <w:sz w:val="20"/>
              </w:rPr>
              <w:t>days</w:t>
            </w:r>
            <w:r>
              <w:rPr>
                <w:rFonts w:cs="Arial" w:asciiTheme="minorHAnsi" w:hAnsiTheme="minorHAnsi"/>
                <w:sz w:val="20"/>
              </w:rPr>
              <w:t>.</w:t>
            </w:r>
          </w:p>
          <w:p w:rsidRPr="00F05989" w:rsidR="000D1E13" w:rsidP="000D1E13" w:rsidRDefault="000D1E13" w14:paraId="7761D958" w14:textId="77777777">
            <w:pPr>
              <w:pStyle w:val="BodyText"/>
              <w:rPr>
                <w:rFonts w:cs="Arial" w:asciiTheme="minorHAnsi" w:hAnsiTheme="minorHAnsi"/>
                <w:sz w:val="20"/>
              </w:rPr>
            </w:pPr>
          </w:p>
          <w:p w:rsidR="000D1E13" w:rsidP="000D1E13" w:rsidRDefault="000D1E13" w14:paraId="7FDC0B9C" w14:textId="77777777">
            <w:pPr>
              <w:pStyle w:val="BodyText"/>
              <w:rPr>
                <w:rFonts w:cs="Arial" w:asciiTheme="minorHAnsi" w:hAnsiTheme="minorHAnsi"/>
                <w:sz w:val="20"/>
                <w:u w:val="single"/>
              </w:rPr>
            </w:pPr>
            <w:r>
              <w:rPr>
                <w:rFonts w:cs="Arial" w:asciiTheme="minorHAnsi" w:hAnsiTheme="minorHAnsi"/>
                <w:sz w:val="20"/>
                <w:u w:val="single"/>
              </w:rPr>
              <w:t>Treatment of neonatal c</w:t>
            </w:r>
            <w:r w:rsidRPr="00AE2D5F">
              <w:rPr>
                <w:rFonts w:cs="Arial" w:asciiTheme="minorHAnsi" w:hAnsiTheme="minorHAnsi"/>
                <w:sz w:val="20"/>
                <w:u w:val="single"/>
              </w:rPr>
              <w:t>hlamydia</w:t>
            </w:r>
            <w:r>
              <w:rPr>
                <w:rFonts w:cs="Arial" w:asciiTheme="minorHAnsi" w:hAnsiTheme="minorHAnsi"/>
                <w:sz w:val="20"/>
                <w:u w:val="single"/>
              </w:rPr>
              <w:t>l</w:t>
            </w:r>
            <w:r w:rsidRPr="00AE2D5F">
              <w:rPr>
                <w:rFonts w:cs="Arial" w:asciiTheme="minorHAnsi" w:hAnsiTheme="minorHAnsi"/>
                <w:sz w:val="20"/>
                <w:u w:val="single"/>
              </w:rPr>
              <w:t xml:space="preserve"> </w:t>
            </w:r>
            <w:r>
              <w:rPr>
                <w:rFonts w:cs="Arial" w:asciiTheme="minorHAnsi" w:hAnsiTheme="minorHAnsi"/>
                <w:sz w:val="20"/>
                <w:u w:val="single"/>
              </w:rPr>
              <w:t>conjunctivitis</w:t>
            </w:r>
            <w:r w:rsidRPr="00AE2D5F">
              <w:rPr>
                <w:rFonts w:cs="Arial" w:asciiTheme="minorHAnsi" w:hAnsiTheme="minorHAnsi"/>
                <w:sz w:val="20"/>
                <w:u w:val="single"/>
              </w:rPr>
              <w:t xml:space="preserve"> and pneumonitis</w:t>
            </w:r>
          </w:p>
          <w:p w:rsidR="000D1E13" w:rsidP="000D1E13" w:rsidRDefault="000D1E13" w14:paraId="37B66F9C" w14:textId="77777777">
            <w:pPr>
              <w:pStyle w:val="BodyText"/>
              <w:ind w:left="720"/>
              <w:rPr>
                <w:rFonts w:cs="Arial" w:asciiTheme="minorHAnsi" w:hAnsiTheme="minorHAnsi"/>
                <w:sz w:val="20"/>
              </w:rPr>
            </w:pPr>
            <w:r w:rsidRPr="00F05989">
              <w:rPr>
                <w:rFonts w:cs="Arial" w:asciiTheme="minorHAnsi" w:hAnsiTheme="minorHAnsi"/>
                <w:sz w:val="20"/>
              </w:rPr>
              <w:t>20 mg/kg</w:t>
            </w:r>
            <w:r>
              <w:rPr>
                <w:rFonts w:cs="Arial" w:asciiTheme="minorHAnsi" w:hAnsiTheme="minorHAnsi"/>
                <w:sz w:val="20"/>
              </w:rPr>
              <w:t>/dose</w:t>
            </w:r>
            <w:r w:rsidRPr="00F05989">
              <w:rPr>
                <w:rFonts w:cs="Arial" w:asciiTheme="minorHAnsi" w:hAnsiTheme="minorHAnsi"/>
                <w:sz w:val="20"/>
              </w:rPr>
              <w:t xml:space="preserve"> daily </w:t>
            </w:r>
            <w:r>
              <w:rPr>
                <w:rFonts w:cs="Arial" w:asciiTheme="minorHAnsi" w:hAnsiTheme="minorHAnsi"/>
                <w:sz w:val="20"/>
              </w:rPr>
              <w:t>o</w:t>
            </w:r>
            <w:r w:rsidRPr="00F05989">
              <w:rPr>
                <w:rFonts w:cs="Arial" w:asciiTheme="minorHAnsi" w:hAnsiTheme="minorHAnsi"/>
                <w:sz w:val="20"/>
              </w:rPr>
              <w:t>ral</w:t>
            </w:r>
            <w:r>
              <w:rPr>
                <w:rFonts w:cs="Arial" w:asciiTheme="minorHAnsi" w:hAnsiTheme="minorHAnsi"/>
                <w:sz w:val="20"/>
              </w:rPr>
              <w:t>ly</w:t>
            </w:r>
            <w:r w:rsidRPr="00F05989">
              <w:rPr>
                <w:rFonts w:cs="Arial" w:asciiTheme="minorHAnsi" w:hAnsiTheme="minorHAnsi"/>
                <w:sz w:val="20"/>
              </w:rPr>
              <w:t xml:space="preserve"> for 3 days</w:t>
            </w:r>
            <w:r>
              <w:rPr>
                <w:rFonts w:cs="Arial" w:asciiTheme="minorHAnsi" w:hAnsiTheme="minorHAnsi"/>
                <w:sz w:val="20"/>
              </w:rPr>
              <w:t>.</w:t>
            </w:r>
          </w:p>
          <w:p w:rsidRPr="00F05989" w:rsidR="000D1E13" w:rsidP="000D1E13" w:rsidRDefault="000D1E13" w14:paraId="6CE48AF6" w14:textId="77777777">
            <w:pPr>
              <w:pStyle w:val="BodyText"/>
              <w:rPr>
                <w:rFonts w:cs="Arial" w:asciiTheme="minorHAnsi" w:hAnsiTheme="minorHAnsi"/>
                <w:sz w:val="20"/>
              </w:rPr>
            </w:pPr>
          </w:p>
          <w:p w:rsidRPr="00CE2B29" w:rsidR="000D1E13" w:rsidP="000D1E13" w:rsidRDefault="000D1E13" w14:paraId="16B3F0A9" w14:textId="77777777">
            <w:pPr>
              <w:pStyle w:val="BodyText"/>
              <w:rPr>
                <w:rFonts w:cs="Arial" w:asciiTheme="minorHAnsi" w:hAnsiTheme="minorHAnsi"/>
                <w:sz w:val="20"/>
                <w:u w:val="single"/>
              </w:rPr>
            </w:pPr>
            <w:r w:rsidRPr="00CE2B29">
              <w:rPr>
                <w:rFonts w:cs="Arial" w:asciiTheme="minorHAnsi" w:hAnsiTheme="minorHAnsi"/>
                <w:sz w:val="20"/>
                <w:u w:val="single"/>
              </w:rPr>
              <w:t xml:space="preserve">Eradication of </w:t>
            </w:r>
            <w:r w:rsidRPr="007D68D6">
              <w:rPr>
                <w:rFonts w:cs="Arial" w:asciiTheme="minorHAnsi" w:hAnsiTheme="minorHAnsi"/>
                <w:i/>
                <w:sz w:val="20"/>
                <w:u w:val="single"/>
              </w:rPr>
              <w:t>Ureaplasma</w:t>
            </w:r>
            <w:r w:rsidRPr="00CE2B29">
              <w:rPr>
                <w:rFonts w:cs="Arial" w:asciiTheme="minorHAnsi" w:hAnsiTheme="minorHAnsi"/>
                <w:sz w:val="20"/>
                <w:u w:val="single"/>
              </w:rPr>
              <w:t xml:space="preserve"> in preterm infants</w:t>
            </w:r>
          </w:p>
          <w:p w:rsidRPr="00F05989" w:rsidR="000D1E13" w:rsidP="000D1E13" w:rsidRDefault="000D1E13" w14:paraId="10244F73" w14:textId="77777777">
            <w:pPr>
              <w:pStyle w:val="BodyText"/>
              <w:ind w:left="720"/>
              <w:rPr>
                <w:rFonts w:cs="Arial" w:asciiTheme="minorHAnsi" w:hAnsiTheme="minorHAnsi"/>
                <w:sz w:val="20"/>
              </w:rPr>
            </w:pPr>
            <w:r w:rsidRPr="00F05989">
              <w:rPr>
                <w:rFonts w:cs="Arial" w:asciiTheme="minorHAnsi" w:hAnsiTheme="minorHAnsi"/>
                <w:sz w:val="20"/>
              </w:rPr>
              <w:t>20 mg/kg/</w:t>
            </w:r>
            <w:r>
              <w:rPr>
                <w:rFonts w:cs="Arial" w:asciiTheme="minorHAnsi" w:hAnsiTheme="minorHAnsi"/>
                <w:sz w:val="20"/>
              </w:rPr>
              <w:t>dose daily</w:t>
            </w:r>
            <w:r w:rsidRPr="00F05989">
              <w:rPr>
                <w:rFonts w:cs="Arial" w:asciiTheme="minorHAnsi" w:hAnsiTheme="minorHAnsi"/>
                <w:sz w:val="20"/>
              </w:rPr>
              <w:t xml:space="preserve"> IV for 3 days</w:t>
            </w:r>
            <w:r>
              <w:rPr>
                <w:rFonts w:cs="Arial" w:asciiTheme="minorHAnsi" w:hAnsiTheme="minorHAnsi"/>
                <w:sz w:val="20"/>
              </w:rPr>
              <w:t>.</w:t>
            </w:r>
          </w:p>
          <w:p w:rsidR="000D1E13" w:rsidP="000D1E13" w:rsidRDefault="000D1E13" w14:paraId="5C08B043" w14:textId="77777777">
            <w:pPr>
              <w:pStyle w:val="BodyText"/>
              <w:rPr>
                <w:rFonts w:cs="Arial" w:asciiTheme="minorHAnsi" w:hAnsiTheme="minorHAnsi"/>
                <w:sz w:val="20"/>
                <w:u w:val="single"/>
              </w:rPr>
            </w:pPr>
          </w:p>
          <w:p w:rsidRPr="00B85F4B" w:rsidR="000D1E13" w:rsidP="000D1E13" w:rsidRDefault="000D1E13" w14:paraId="545EF11A" w14:textId="77777777">
            <w:pPr>
              <w:pStyle w:val="BodyText"/>
              <w:rPr>
                <w:rFonts w:cs="Arial" w:asciiTheme="minorHAnsi" w:hAnsiTheme="minorHAnsi"/>
                <w:sz w:val="20"/>
                <w:u w:val="single"/>
              </w:rPr>
            </w:pPr>
            <w:r w:rsidRPr="00B85F4B">
              <w:rPr>
                <w:rFonts w:cs="Arial" w:asciiTheme="minorHAnsi" w:hAnsiTheme="minorHAnsi"/>
                <w:sz w:val="20"/>
                <w:u w:val="single"/>
              </w:rPr>
              <w:t xml:space="preserve">Pneumonia due to </w:t>
            </w:r>
            <w:r w:rsidRPr="007D68D6">
              <w:rPr>
                <w:rFonts w:cs="Arial" w:asciiTheme="minorHAnsi" w:hAnsiTheme="minorHAnsi"/>
                <w:i/>
                <w:sz w:val="20"/>
                <w:u w:val="single"/>
              </w:rPr>
              <w:t>Chlamydia</w:t>
            </w:r>
            <w:r w:rsidRPr="00B85F4B">
              <w:rPr>
                <w:rFonts w:cs="Arial" w:asciiTheme="minorHAnsi" w:hAnsiTheme="minorHAnsi"/>
                <w:sz w:val="20"/>
                <w:u w:val="single"/>
              </w:rPr>
              <w:t xml:space="preserve"> or </w:t>
            </w:r>
            <w:r w:rsidRPr="007D68D6">
              <w:rPr>
                <w:rFonts w:cs="Arial" w:asciiTheme="minorHAnsi" w:hAnsiTheme="minorHAnsi"/>
                <w:i/>
                <w:sz w:val="20"/>
                <w:u w:val="single"/>
              </w:rPr>
              <w:t>Mycoplasma</w:t>
            </w:r>
            <w:r w:rsidRPr="00B85F4B">
              <w:rPr>
                <w:rFonts w:cs="Arial" w:asciiTheme="minorHAnsi" w:hAnsiTheme="minorHAnsi"/>
                <w:sz w:val="20"/>
                <w:u w:val="single"/>
              </w:rPr>
              <w:t xml:space="preserve"> </w:t>
            </w:r>
            <w:r w:rsidRPr="007D68D6">
              <w:rPr>
                <w:rFonts w:cs="Arial" w:asciiTheme="minorHAnsi" w:hAnsiTheme="minorHAnsi"/>
                <w:i/>
                <w:sz w:val="20"/>
                <w:u w:val="single"/>
              </w:rPr>
              <w:t>pneumoniae</w:t>
            </w:r>
            <w:r>
              <w:rPr>
                <w:rFonts w:cs="Arial" w:asciiTheme="minorHAnsi" w:hAnsiTheme="minorHAnsi"/>
                <w:sz w:val="20"/>
                <w:u w:val="single"/>
              </w:rPr>
              <w:t xml:space="preserve"> </w:t>
            </w:r>
            <w:r w:rsidRPr="00B85F4B">
              <w:rPr>
                <w:rFonts w:cs="Arial" w:asciiTheme="minorHAnsi" w:hAnsiTheme="minorHAnsi"/>
                <w:sz w:val="20"/>
                <w:u w:val="single"/>
              </w:rPr>
              <w:t>&gt;3 months of age</w:t>
            </w:r>
          </w:p>
          <w:p w:rsidR="000D1E13" w:rsidP="000D1E13" w:rsidRDefault="000D1E13" w14:paraId="59544876" w14:textId="77777777">
            <w:pPr>
              <w:pStyle w:val="BodyText"/>
              <w:ind w:left="720"/>
              <w:rPr>
                <w:rFonts w:cs="Arial"/>
                <w:sz w:val="20"/>
              </w:rPr>
            </w:pPr>
            <w:r>
              <w:rPr>
                <w:rFonts w:cs="Arial"/>
                <w:sz w:val="20"/>
              </w:rPr>
              <w:t xml:space="preserve">Initial therapy or therapy for serious infection: </w:t>
            </w:r>
            <w:r w:rsidRPr="00B85F4B">
              <w:rPr>
                <w:rFonts w:cs="Arial"/>
                <w:sz w:val="20"/>
              </w:rPr>
              <w:t>10 mg/kg/</w:t>
            </w:r>
            <w:r>
              <w:rPr>
                <w:rFonts w:cs="Arial"/>
                <w:sz w:val="20"/>
              </w:rPr>
              <w:t>dose</w:t>
            </w:r>
            <w:r w:rsidRPr="00B85F4B">
              <w:rPr>
                <w:rFonts w:cs="Arial"/>
                <w:sz w:val="20"/>
              </w:rPr>
              <w:t xml:space="preserve"> </w:t>
            </w:r>
            <w:r w:rsidRPr="00B85F4B">
              <w:rPr>
                <w:rFonts w:cs="Arial"/>
                <w:b/>
                <w:sz w:val="20"/>
              </w:rPr>
              <w:t>IV</w:t>
            </w:r>
            <w:r>
              <w:rPr>
                <w:rFonts w:cs="Arial"/>
                <w:sz w:val="20"/>
              </w:rPr>
              <w:t xml:space="preserve"> </w:t>
            </w:r>
            <w:r w:rsidRPr="00B85F4B">
              <w:rPr>
                <w:rFonts w:cs="Arial"/>
                <w:sz w:val="20"/>
              </w:rPr>
              <w:t xml:space="preserve">once a day on days 1 and 2, followed by oral therapy if needed. </w:t>
            </w:r>
          </w:p>
          <w:p w:rsidRPr="00F05989" w:rsidR="000D1E13" w:rsidP="000D1E13" w:rsidRDefault="000D1E13" w14:paraId="116CC4CA" w14:textId="77777777">
            <w:pPr>
              <w:pStyle w:val="BodyText"/>
              <w:ind w:left="720"/>
              <w:rPr>
                <w:rFonts w:cs="Arial" w:asciiTheme="minorHAnsi" w:hAnsiTheme="minorHAnsi"/>
                <w:sz w:val="20"/>
              </w:rPr>
            </w:pPr>
            <w:r>
              <w:rPr>
                <w:rFonts w:cs="Arial"/>
                <w:sz w:val="20"/>
              </w:rPr>
              <w:t xml:space="preserve">Step-down or Mild therapy: </w:t>
            </w:r>
            <w:r w:rsidRPr="00B85F4B">
              <w:rPr>
                <w:rFonts w:cs="Arial"/>
                <w:sz w:val="20"/>
              </w:rPr>
              <w:t>10</w:t>
            </w:r>
            <w:r>
              <w:rPr>
                <w:rFonts w:cs="Arial"/>
                <w:sz w:val="20"/>
              </w:rPr>
              <w:t> </w:t>
            </w:r>
            <w:r w:rsidRPr="00B85F4B">
              <w:rPr>
                <w:rFonts w:cs="Arial"/>
                <w:sz w:val="20"/>
              </w:rPr>
              <w:t xml:space="preserve">mg/kg </w:t>
            </w:r>
            <w:r w:rsidRPr="00B85F4B">
              <w:rPr>
                <w:rFonts w:cs="Arial"/>
                <w:b/>
                <w:sz w:val="20"/>
              </w:rPr>
              <w:t>ORALLY</w:t>
            </w:r>
            <w:r>
              <w:rPr>
                <w:rFonts w:cs="Arial"/>
                <w:sz w:val="20"/>
              </w:rPr>
              <w:t xml:space="preserve"> </w:t>
            </w:r>
            <w:r w:rsidRPr="00B85F4B">
              <w:rPr>
                <w:rFonts w:cs="Arial"/>
                <w:sz w:val="20"/>
              </w:rPr>
              <w:t>on day 1, followed by 5</w:t>
            </w:r>
            <w:r>
              <w:rPr>
                <w:rFonts w:cs="Arial"/>
                <w:sz w:val="20"/>
              </w:rPr>
              <w:t> </w:t>
            </w:r>
            <w:r w:rsidRPr="00B85F4B">
              <w:rPr>
                <w:rFonts w:cs="Arial"/>
                <w:sz w:val="20"/>
              </w:rPr>
              <w:t>mg/kg once daily on days 2</w:t>
            </w:r>
            <w:r>
              <w:rPr>
                <w:rFonts w:cs="Arial"/>
                <w:sz w:val="20"/>
              </w:rPr>
              <w:t>–</w:t>
            </w:r>
            <w:r w:rsidRPr="00B85F4B">
              <w:rPr>
                <w:rFonts w:cs="Arial"/>
                <w:sz w:val="20"/>
              </w:rPr>
              <w:t>5</w:t>
            </w:r>
            <w:r>
              <w:rPr>
                <w:rFonts w:cs="Arial"/>
                <w:sz w:val="20"/>
              </w:rPr>
              <w:t>.</w:t>
            </w:r>
          </w:p>
        </w:tc>
      </w:tr>
      <w:tr w:rsidRPr="00F05989" w:rsidR="00273A16" w:rsidTr="77BEE3D0" w14:paraId="12C58378" w14:textId="77777777">
        <w:trPr>
          <w:trHeight w:val="431"/>
        </w:trPr>
        <w:tc>
          <w:tcPr>
            <w:tcW w:w="2014" w:type="dxa"/>
          </w:tcPr>
          <w:p w:rsidRPr="00F05989" w:rsidR="000D1E13" w:rsidP="000D1E13" w:rsidRDefault="000D1E13" w14:paraId="1462C6B0" w14:textId="77777777">
            <w:pPr>
              <w:pStyle w:val="BodyText"/>
              <w:rPr>
                <w:rFonts w:cs="Arial" w:asciiTheme="minorHAnsi" w:hAnsiTheme="minorHAnsi"/>
                <w:b/>
                <w:bCs/>
                <w:sz w:val="20"/>
              </w:rPr>
            </w:pPr>
            <w:r w:rsidRPr="00F05989">
              <w:rPr>
                <w:rFonts w:cs="Arial" w:asciiTheme="minorHAnsi" w:hAnsiTheme="minorHAnsi"/>
                <w:b/>
                <w:bCs/>
                <w:sz w:val="20"/>
              </w:rPr>
              <w:t xml:space="preserve">Route                                </w:t>
            </w:r>
          </w:p>
          <w:p w:rsidRPr="00F05989" w:rsidR="000D1E13" w:rsidP="000D1E13" w:rsidRDefault="000D1E13" w14:paraId="2C6D0D7A" w14:textId="77777777">
            <w:pPr>
              <w:pStyle w:val="BodyText"/>
              <w:rPr>
                <w:rFonts w:cs="Arial" w:asciiTheme="minorHAnsi" w:hAnsiTheme="minorHAnsi"/>
                <w:sz w:val="20"/>
              </w:rPr>
            </w:pPr>
            <w:r w:rsidRPr="00F05989">
              <w:rPr>
                <w:rFonts w:cs="Arial" w:asciiTheme="minorHAnsi" w:hAnsiTheme="minorHAnsi"/>
                <w:b/>
                <w:bCs/>
                <w:sz w:val="20"/>
              </w:rPr>
              <w:t xml:space="preserve">           </w:t>
            </w:r>
          </w:p>
        </w:tc>
        <w:tc>
          <w:tcPr>
            <w:tcW w:w="8363" w:type="dxa"/>
          </w:tcPr>
          <w:p w:rsidRPr="00F05989" w:rsidR="000D1E13" w:rsidP="000D1E13" w:rsidRDefault="000D1E13" w14:paraId="6EAADC5B" w14:textId="77777777">
            <w:pPr>
              <w:pStyle w:val="BodyText"/>
              <w:rPr>
                <w:rFonts w:cs="Arial" w:asciiTheme="minorHAnsi" w:hAnsiTheme="minorHAnsi"/>
                <w:sz w:val="20"/>
              </w:rPr>
            </w:pPr>
            <w:r w:rsidRPr="00F05989">
              <w:rPr>
                <w:rFonts w:cs="Arial" w:asciiTheme="minorHAnsi" w:hAnsiTheme="minorHAnsi"/>
                <w:sz w:val="20"/>
              </w:rPr>
              <w:t xml:space="preserve">Oral </w:t>
            </w:r>
          </w:p>
          <w:p w:rsidRPr="00F05989" w:rsidR="000D1E13" w:rsidP="000D1E13" w:rsidRDefault="000D1E13" w14:paraId="2BD48380" w14:textId="77777777">
            <w:pPr>
              <w:pStyle w:val="BodyText"/>
              <w:rPr>
                <w:rFonts w:cs="Arial" w:asciiTheme="minorHAnsi" w:hAnsiTheme="minorHAnsi"/>
                <w:sz w:val="20"/>
              </w:rPr>
            </w:pPr>
            <w:r w:rsidRPr="00F05989">
              <w:rPr>
                <w:rFonts w:cs="Arial" w:asciiTheme="minorHAnsi" w:hAnsiTheme="minorHAnsi"/>
                <w:sz w:val="20"/>
              </w:rPr>
              <w:t>IV</w:t>
            </w:r>
          </w:p>
        </w:tc>
      </w:tr>
      <w:tr w:rsidRPr="00F05989" w:rsidR="00273A16" w:rsidTr="77BEE3D0" w14:paraId="3655C4DF" w14:textId="77777777">
        <w:trPr>
          <w:trHeight w:val="204"/>
        </w:trPr>
        <w:tc>
          <w:tcPr>
            <w:tcW w:w="2014" w:type="dxa"/>
          </w:tcPr>
          <w:p w:rsidRPr="00F05989" w:rsidR="000D1E13" w:rsidP="000D1E13" w:rsidRDefault="000D1E13" w14:paraId="3E514E63" w14:textId="77777777">
            <w:pPr>
              <w:rPr>
                <w:rFonts w:asciiTheme="minorHAnsi" w:hAnsiTheme="minorHAnsi"/>
                <w:b/>
                <w:sz w:val="20"/>
              </w:rPr>
            </w:pPr>
            <w:r w:rsidRPr="00F05989">
              <w:rPr>
                <w:rFonts w:asciiTheme="minorHAnsi" w:hAnsiTheme="minorHAnsi"/>
                <w:b/>
                <w:sz w:val="20"/>
              </w:rPr>
              <w:t>Maximum Daily Dose</w:t>
            </w:r>
          </w:p>
        </w:tc>
        <w:tc>
          <w:tcPr>
            <w:tcW w:w="8363" w:type="dxa"/>
          </w:tcPr>
          <w:p w:rsidRPr="00F05989" w:rsidR="000D1E13" w:rsidP="000D1E13" w:rsidRDefault="000D1E13" w14:paraId="503903DB" w14:textId="77777777">
            <w:pPr>
              <w:rPr>
                <w:rFonts w:cs="Arial" w:asciiTheme="minorHAnsi" w:hAnsiTheme="minorHAnsi"/>
                <w:sz w:val="20"/>
              </w:rPr>
            </w:pPr>
            <w:r w:rsidRPr="00F05989">
              <w:rPr>
                <w:rFonts w:cs="Arial" w:asciiTheme="minorHAnsi" w:hAnsiTheme="minorHAnsi"/>
                <w:sz w:val="20"/>
              </w:rPr>
              <w:t>20 mg/kg</w:t>
            </w:r>
          </w:p>
        </w:tc>
      </w:tr>
      <w:tr w:rsidRPr="00F05989" w:rsidR="00273A16" w:rsidTr="77BEE3D0" w14:paraId="096FCCE8" w14:textId="77777777">
        <w:trPr>
          <w:trHeight w:val="971"/>
        </w:trPr>
        <w:tc>
          <w:tcPr>
            <w:tcW w:w="2014" w:type="dxa"/>
          </w:tcPr>
          <w:p w:rsidRPr="00F05989" w:rsidR="000D1E13" w:rsidP="77BEE3D0" w:rsidRDefault="000D1E13" w14:paraId="0EDD235B" w14:textId="536AFFCA">
            <w:pPr>
              <w:pStyle w:val="BodyText"/>
              <w:rPr>
                <w:rFonts w:cs="Arial" w:asciiTheme="minorHAnsi" w:hAnsiTheme="minorHAnsi"/>
                <w:b/>
                <w:bCs/>
                <w:sz w:val="20"/>
                <w:highlight w:val="cyan"/>
              </w:rPr>
            </w:pPr>
            <w:r w:rsidRPr="77BEE3D0">
              <w:rPr>
                <w:rFonts w:cs="Arial" w:asciiTheme="minorHAnsi" w:hAnsiTheme="minorHAnsi"/>
                <w:b/>
                <w:bCs/>
                <w:sz w:val="20"/>
              </w:rPr>
              <w:t xml:space="preserve">Preparation/Dilution </w:t>
            </w:r>
          </w:p>
        </w:tc>
        <w:tc>
          <w:tcPr>
            <w:tcW w:w="8363" w:type="dxa"/>
          </w:tcPr>
          <w:p w:rsidRPr="00F05989" w:rsidR="000D1E13" w:rsidP="000D1E13" w:rsidRDefault="000D1E13" w14:paraId="54A20E48" w14:textId="77777777">
            <w:pPr>
              <w:pStyle w:val="BodyText"/>
              <w:rPr>
                <w:rFonts w:cs="Arial" w:asciiTheme="minorHAnsi" w:hAnsiTheme="minorHAnsi"/>
                <w:sz w:val="20"/>
              </w:rPr>
            </w:pPr>
            <w:r w:rsidRPr="007D68D6">
              <w:rPr>
                <w:rFonts w:cs="Arial" w:asciiTheme="minorHAnsi" w:hAnsiTheme="minorHAnsi"/>
                <w:b/>
                <w:sz w:val="20"/>
              </w:rPr>
              <w:t>Oral:</w:t>
            </w:r>
            <w:r w:rsidRPr="00F05989">
              <w:rPr>
                <w:rFonts w:cs="Arial" w:asciiTheme="minorHAnsi" w:hAnsiTheme="minorHAnsi"/>
                <w:sz w:val="20"/>
              </w:rPr>
              <w:t xml:space="preserve"> </w:t>
            </w:r>
            <w:r w:rsidRPr="00357F91">
              <w:rPr>
                <w:rFonts w:cs="Arial" w:asciiTheme="minorHAnsi" w:hAnsiTheme="minorHAnsi"/>
                <w:sz w:val="20"/>
              </w:rPr>
              <w:t xml:space="preserve">Add 9 mL of sterile water. </w:t>
            </w:r>
            <w:r>
              <w:rPr>
                <w:rFonts w:cs="Arial" w:asciiTheme="minorHAnsi" w:hAnsiTheme="minorHAnsi"/>
                <w:sz w:val="20"/>
              </w:rPr>
              <w:t>Cap and s</w:t>
            </w:r>
            <w:r w:rsidRPr="00357F91">
              <w:rPr>
                <w:rFonts w:cs="Arial" w:asciiTheme="minorHAnsi" w:hAnsiTheme="minorHAnsi"/>
                <w:sz w:val="20"/>
              </w:rPr>
              <w:t>hake well to produce 15 mL of suspension.</w:t>
            </w:r>
            <w:r>
              <w:rPr>
                <w:rFonts w:cs="Arial" w:asciiTheme="minorHAnsi" w:hAnsiTheme="minorHAnsi"/>
                <w:sz w:val="20"/>
              </w:rPr>
              <w:t xml:space="preserve"> </w:t>
            </w:r>
            <w:r w:rsidRPr="005B4676">
              <w:rPr>
                <w:rFonts w:asciiTheme="minorHAnsi" w:hAnsiTheme="minorHAnsi"/>
                <w:sz w:val="20"/>
              </w:rPr>
              <w:t>Suspension expires 10 days after reconstitution. Write expiry date on bottle.</w:t>
            </w:r>
          </w:p>
          <w:p w:rsidR="000D1E13" w:rsidP="000D1E13" w:rsidRDefault="000D1E13" w14:paraId="680AD125" w14:textId="77777777">
            <w:pPr>
              <w:pStyle w:val="BodyText"/>
              <w:rPr>
                <w:rFonts w:cs="Arial" w:asciiTheme="minorHAnsi" w:hAnsiTheme="minorHAnsi"/>
                <w:b/>
                <w:sz w:val="20"/>
              </w:rPr>
            </w:pPr>
          </w:p>
          <w:p w:rsidRPr="00F05989" w:rsidR="000D1E13" w:rsidP="000D1E13" w:rsidRDefault="000D1E13" w14:paraId="0206755A" w14:textId="77777777">
            <w:pPr>
              <w:pStyle w:val="BodyText"/>
              <w:rPr>
                <w:rFonts w:cs="Arial" w:asciiTheme="minorHAnsi" w:hAnsiTheme="minorHAnsi"/>
                <w:sz w:val="20"/>
              </w:rPr>
            </w:pPr>
            <w:r w:rsidRPr="007D68D6">
              <w:rPr>
                <w:rFonts w:cs="Arial" w:asciiTheme="minorHAnsi" w:hAnsiTheme="minorHAnsi"/>
                <w:b/>
                <w:sz w:val="20"/>
              </w:rPr>
              <w:t>IV:</w:t>
            </w:r>
            <w:r w:rsidRPr="00F05989">
              <w:rPr>
                <w:rFonts w:cs="Arial" w:asciiTheme="minorHAnsi" w:hAnsiTheme="minorHAnsi"/>
                <w:sz w:val="20"/>
              </w:rPr>
              <w:t xml:space="preserve"> </w:t>
            </w:r>
            <w:r>
              <w:rPr>
                <w:rFonts w:cs="Arial" w:asciiTheme="minorHAnsi" w:hAnsiTheme="minorHAnsi"/>
                <w:sz w:val="20"/>
              </w:rPr>
              <w:t>Add</w:t>
            </w:r>
            <w:r w:rsidRPr="00F05989">
              <w:rPr>
                <w:rFonts w:cs="Arial" w:asciiTheme="minorHAnsi" w:hAnsiTheme="minorHAnsi"/>
                <w:sz w:val="20"/>
              </w:rPr>
              <w:t xml:space="preserve"> 4.8 mL of water for injection </w:t>
            </w:r>
            <w:r>
              <w:rPr>
                <w:rFonts w:cs="Arial" w:asciiTheme="minorHAnsi" w:hAnsiTheme="minorHAnsi"/>
                <w:sz w:val="20"/>
              </w:rPr>
              <w:t xml:space="preserve">to the vial </w:t>
            </w:r>
            <w:r w:rsidRPr="00F05989">
              <w:rPr>
                <w:rFonts w:cs="Arial" w:asciiTheme="minorHAnsi" w:hAnsiTheme="minorHAnsi"/>
                <w:sz w:val="20"/>
              </w:rPr>
              <w:t>to make a concentration of 100 mg/mL</w:t>
            </w:r>
            <w:r>
              <w:rPr>
                <w:rFonts w:cs="Arial" w:asciiTheme="minorHAnsi" w:hAnsiTheme="minorHAnsi"/>
                <w:sz w:val="20"/>
              </w:rPr>
              <w:t xml:space="preserve"> solution</w:t>
            </w:r>
            <w:r w:rsidRPr="00F05989">
              <w:rPr>
                <w:rFonts w:cs="Arial" w:asciiTheme="minorHAnsi" w:hAnsiTheme="minorHAnsi"/>
                <w:sz w:val="20"/>
              </w:rPr>
              <w:t xml:space="preserve">. Shake until dissolved. </w:t>
            </w:r>
          </w:p>
          <w:p w:rsidR="000D1E13" w:rsidP="000D1E13" w:rsidRDefault="000D1E13" w14:paraId="4CD0A94E" w14:textId="77777777">
            <w:pPr>
              <w:pStyle w:val="BodyText"/>
              <w:rPr>
                <w:rFonts w:cs="Arial" w:asciiTheme="minorHAnsi" w:hAnsiTheme="minorHAnsi"/>
                <w:sz w:val="20"/>
              </w:rPr>
            </w:pPr>
            <w:r>
              <w:rPr>
                <w:rFonts w:cs="Arial" w:asciiTheme="minorHAnsi" w:hAnsiTheme="minorHAnsi"/>
                <w:sz w:val="20"/>
              </w:rPr>
              <w:t xml:space="preserve">Add 1 mL of reconstituted solution to 49 mL of sodium chloride 0.9% to make a concentration of 2 mg/mL and infuse over 1–3 hours. </w:t>
            </w:r>
          </w:p>
          <w:p w:rsidRPr="00F05989" w:rsidR="000D1E13" w:rsidP="000D1E13" w:rsidRDefault="000D1E13" w14:paraId="7BFBE43C" w14:textId="77777777">
            <w:pPr>
              <w:pStyle w:val="BodyText"/>
              <w:rPr>
                <w:rFonts w:cs="Arial" w:asciiTheme="minorHAnsi" w:hAnsiTheme="minorHAnsi"/>
                <w:sz w:val="20"/>
              </w:rPr>
            </w:pPr>
            <w:r w:rsidRPr="00F05989">
              <w:rPr>
                <w:rFonts w:cs="Arial" w:asciiTheme="minorHAnsi" w:hAnsiTheme="minorHAnsi"/>
                <w:sz w:val="20"/>
              </w:rPr>
              <w:t>Maximum concentration for infusion is 2 mg/mL</w:t>
            </w:r>
            <w:r>
              <w:rPr>
                <w:rFonts w:cs="Arial" w:asciiTheme="minorHAnsi" w:hAnsiTheme="minorHAnsi"/>
                <w:sz w:val="20"/>
              </w:rPr>
              <w:t>.</w:t>
            </w:r>
          </w:p>
        </w:tc>
      </w:tr>
      <w:tr w:rsidRPr="00F05989" w:rsidR="00273A16" w:rsidTr="77BEE3D0" w14:paraId="52AFDBCF" w14:textId="77777777">
        <w:trPr>
          <w:trHeight w:val="368"/>
        </w:trPr>
        <w:tc>
          <w:tcPr>
            <w:tcW w:w="2014" w:type="dxa"/>
          </w:tcPr>
          <w:p w:rsidRPr="00F05989" w:rsidR="000D1E13" w:rsidP="000D1E13" w:rsidRDefault="000D1E13" w14:paraId="2114A48B" w14:textId="77777777">
            <w:pPr>
              <w:pStyle w:val="BodyText"/>
              <w:rPr>
                <w:rFonts w:cs="Arial" w:asciiTheme="minorHAnsi" w:hAnsiTheme="minorHAnsi"/>
                <w:b/>
                <w:bCs/>
                <w:sz w:val="20"/>
              </w:rPr>
            </w:pPr>
            <w:r w:rsidRPr="00F05989">
              <w:rPr>
                <w:rFonts w:cs="Arial" w:asciiTheme="minorHAnsi" w:hAnsiTheme="minorHAnsi"/>
                <w:b/>
                <w:bCs/>
                <w:sz w:val="20"/>
              </w:rPr>
              <w:t xml:space="preserve">Administration                 </w:t>
            </w:r>
          </w:p>
        </w:tc>
        <w:tc>
          <w:tcPr>
            <w:tcW w:w="8363" w:type="dxa"/>
          </w:tcPr>
          <w:p w:rsidRPr="00F05989" w:rsidR="000D1E13" w:rsidP="000D1E13" w:rsidRDefault="000D1E13" w14:paraId="2FF92E2E" w14:textId="77777777">
            <w:pPr>
              <w:pStyle w:val="BodyText"/>
              <w:rPr>
                <w:rFonts w:cs="Arial" w:asciiTheme="minorHAnsi" w:hAnsiTheme="minorHAnsi"/>
                <w:sz w:val="20"/>
              </w:rPr>
            </w:pPr>
            <w:r w:rsidRPr="007D68D6">
              <w:rPr>
                <w:rFonts w:cs="Arial" w:asciiTheme="minorHAnsi" w:hAnsiTheme="minorHAnsi"/>
                <w:b/>
                <w:sz w:val="20"/>
              </w:rPr>
              <w:t>Oral:</w:t>
            </w:r>
            <w:r w:rsidRPr="00F05989">
              <w:rPr>
                <w:rFonts w:cs="Arial" w:asciiTheme="minorHAnsi" w:hAnsiTheme="minorHAnsi"/>
                <w:sz w:val="20"/>
              </w:rPr>
              <w:t xml:space="preserve"> </w:t>
            </w:r>
            <w:r>
              <w:rPr>
                <w:rFonts w:cs="Arial" w:asciiTheme="minorHAnsi" w:hAnsiTheme="minorHAnsi"/>
                <w:sz w:val="20"/>
              </w:rPr>
              <w:t xml:space="preserve">Shake well before use. May be given with or without feed. </w:t>
            </w:r>
          </w:p>
          <w:p w:rsidRPr="00F05989" w:rsidR="000D1E13" w:rsidP="000D1E13" w:rsidRDefault="000D1E13" w14:paraId="056D71B5" w14:textId="77777777">
            <w:pPr>
              <w:pStyle w:val="BodyText"/>
              <w:rPr>
                <w:rFonts w:cs="Arial" w:asciiTheme="minorHAnsi" w:hAnsiTheme="minorHAnsi"/>
                <w:sz w:val="20"/>
              </w:rPr>
            </w:pPr>
            <w:r w:rsidRPr="007D68D6">
              <w:rPr>
                <w:rFonts w:cs="Arial" w:asciiTheme="minorHAnsi" w:hAnsiTheme="minorHAnsi"/>
                <w:b/>
                <w:sz w:val="20"/>
              </w:rPr>
              <w:t>IV:</w:t>
            </w:r>
            <w:r w:rsidRPr="00F05989">
              <w:rPr>
                <w:rFonts w:cs="Arial" w:asciiTheme="minorHAnsi" w:hAnsiTheme="minorHAnsi"/>
                <w:sz w:val="20"/>
              </w:rPr>
              <w:t xml:space="preserve"> </w:t>
            </w:r>
            <w:r>
              <w:rPr>
                <w:rFonts w:cs="Arial" w:asciiTheme="minorHAnsi" w:hAnsiTheme="minorHAnsi"/>
                <w:sz w:val="20"/>
              </w:rPr>
              <w:t>Infuse over at least 1 hour.</w:t>
            </w:r>
          </w:p>
        </w:tc>
      </w:tr>
      <w:tr w:rsidRPr="00F05989" w:rsidR="00273A16" w:rsidTr="77BEE3D0" w14:paraId="4A0E94E5" w14:textId="77777777">
        <w:trPr>
          <w:trHeight w:val="407"/>
        </w:trPr>
        <w:tc>
          <w:tcPr>
            <w:tcW w:w="2014" w:type="dxa"/>
          </w:tcPr>
          <w:p w:rsidRPr="00F05989" w:rsidR="000D1E13" w:rsidP="000D1E13" w:rsidRDefault="000D1E13" w14:paraId="3F9070BC" w14:textId="77777777">
            <w:pPr>
              <w:pStyle w:val="BodyText"/>
              <w:rPr>
                <w:rFonts w:cs="Arial" w:asciiTheme="minorHAnsi" w:hAnsiTheme="minorHAnsi"/>
                <w:b/>
                <w:bCs/>
                <w:sz w:val="20"/>
              </w:rPr>
            </w:pPr>
            <w:r w:rsidRPr="00F05989">
              <w:rPr>
                <w:rFonts w:cs="Arial" w:asciiTheme="minorHAnsi" w:hAnsiTheme="minorHAnsi"/>
                <w:b/>
                <w:bCs/>
                <w:sz w:val="20"/>
              </w:rPr>
              <w:lastRenderedPageBreak/>
              <w:t xml:space="preserve">Monitoring                              </w:t>
            </w:r>
          </w:p>
          <w:p w:rsidRPr="00F05989" w:rsidR="000D1E13" w:rsidP="000D1E13" w:rsidRDefault="000D1E13" w14:paraId="2341C2A7" w14:textId="77777777">
            <w:pPr>
              <w:pStyle w:val="BodyText"/>
              <w:rPr>
                <w:rFonts w:cs="Arial" w:asciiTheme="minorHAnsi" w:hAnsiTheme="minorHAnsi"/>
                <w:sz w:val="20"/>
              </w:rPr>
            </w:pPr>
          </w:p>
        </w:tc>
        <w:tc>
          <w:tcPr>
            <w:tcW w:w="8363" w:type="dxa"/>
          </w:tcPr>
          <w:p w:rsidRPr="00F05989" w:rsidR="000D1E13" w:rsidP="000D1E13" w:rsidRDefault="000D1E13" w14:paraId="2CD538CA" w14:textId="77777777">
            <w:pPr>
              <w:rPr>
                <w:rFonts w:cs="Arial" w:asciiTheme="minorHAnsi" w:hAnsiTheme="minorHAnsi"/>
                <w:sz w:val="20"/>
                <w:lang w:eastAsia="en-AU"/>
              </w:rPr>
            </w:pPr>
            <w:r w:rsidRPr="00F05989">
              <w:rPr>
                <w:rFonts w:cs="Arial" w:asciiTheme="minorHAnsi" w:hAnsiTheme="minorHAnsi"/>
                <w:sz w:val="20"/>
                <w:lang w:eastAsia="en-AU"/>
              </w:rPr>
              <w:t>During infusion –</w:t>
            </w:r>
            <w:r>
              <w:rPr>
                <w:rFonts w:cs="Arial" w:asciiTheme="minorHAnsi" w:hAnsiTheme="minorHAnsi"/>
                <w:sz w:val="20"/>
                <w:lang w:eastAsia="en-AU"/>
              </w:rPr>
              <w:t xml:space="preserve"> </w:t>
            </w:r>
            <w:r w:rsidRPr="00F05989">
              <w:rPr>
                <w:rFonts w:cs="Arial" w:asciiTheme="minorHAnsi" w:hAnsiTheme="minorHAnsi"/>
                <w:sz w:val="20"/>
                <w:lang w:eastAsia="en-AU"/>
              </w:rPr>
              <w:t xml:space="preserve">heart rate and blood pressure.  </w:t>
            </w:r>
          </w:p>
          <w:p w:rsidRPr="00F05989" w:rsidR="000D1E13" w:rsidP="000D1E13" w:rsidRDefault="000D1E13" w14:paraId="0AF07919" w14:textId="77777777">
            <w:pPr>
              <w:rPr>
                <w:rFonts w:cs="Arial" w:asciiTheme="minorHAnsi" w:hAnsiTheme="minorHAnsi"/>
                <w:sz w:val="20"/>
                <w:lang w:eastAsia="en-AU"/>
              </w:rPr>
            </w:pPr>
            <w:r w:rsidRPr="00F05989">
              <w:rPr>
                <w:rFonts w:cs="Arial" w:asciiTheme="minorHAnsi" w:hAnsiTheme="minorHAnsi"/>
                <w:sz w:val="20"/>
                <w:lang w:eastAsia="en-AU"/>
              </w:rPr>
              <w:t>IV site for signs of phlebitis</w:t>
            </w:r>
            <w:r>
              <w:rPr>
                <w:rFonts w:cs="Arial" w:asciiTheme="minorHAnsi" w:hAnsiTheme="minorHAnsi"/>
                <w:sz w:val="20"/>
                <w:lang w:eastAsia="en-AU"/>
              </w:rPr>
              <w:t>.</w:t>
            </w:r>
          </w:p>
          <w:p w:rsidRPr="00F05989" w:rsidR="000D1E13" w:rsidP="000D1E13" w:rsidRDefault="000D1E13" w14:paraId="46627425" w14:textId="77777777">
            <w:pPr>
              <w:rPr>
                <w:rFonts w:cs="Arial" w:asciiTheme="minorHAnsi" w:hAnsiTheme="minorHAnsi"/>
                <w:sz w:val="20"/>
                <w:lang w:eastAsia="en-AU"/>
              </w:rPr>
            </w:pPr>
            <w:r w:rsidRPr="00F05989">
              <w:rPr>
                <w:rFonts w:cs="Arial" w:asciiTheme="minorHAnsi" w:hAnsiTheme="minorHAnsi"/>
                <w:sz w:val="20"/>
                <w:lang w:eastAsia="en-AU"/>
              </w:rPr>
              <w:t>Liver function</w:t>
            </w:r>
            <w:r>
              <w:rPr>
                <w:rFonts w:cs="Arial" w:asciiTheme="minorHAnsi" w:hAnsiTheme="minorHAnsi"/>
                <w:sz w:val="20"/>
                <w:lang w:eastAsia="en-AU"/>
              </w:rPr>
              <w:t>.</w:t>
            </w:r>
          </w:p>
        </w:tc>
      </w:tr>
      <w:tr w:rsidRPr="00F05989" w:rsidR="00273A16" w:rsidTr="77BEE3D0" w14:paraId="7FD0C0AB" w14:textId="77777777">
        <w:trPr>
          <w:trHeight w:val="330"/>
        </w:trPr>
        <w:tc>
          <w:tcPr>
            <w:tcW w:w="2014" w:type="dxa"/>
          </w:tcPr>
          <w:p w:rsidRPr="00F05989" w:rsidR="000D1E13" w:rsidP="000D1E13" w:rsidRDefault="000D1E13" w14:paraId="2C72ECC9" w14:textId="77777777">
            <w:pPr>
              <w:pStyle w:val="BodyText"/>
              <w:rPr>
                <w:rFonts w:cs="Arial" w:asciiTheme="minorHAnsi" w:hAnsiTheme="minorHAnsi"/>
                <w:sz w:val="20"/>
              </w:rPr>
            </w:pPr>
            <w:r w:rsidRPr="00F05989">
              <w:rPr>
                <w:rFonts w:cs="Arial" w:asciiTheme="minorHAnsi" w:hAnsiTheme="minorHAnsi"/>
                <w:b/>
                <w:bCs/>
                <w:sz w:val="20"/>
              </w:rPr>
              <w:t>Contraindications</w:t>
            </w:r>
          </w:p>
        </w:tc>
        <w:tc>
          <w:tcPr>
            <w:tcW w:w="8363" w:type="dxa"/>
          </w:tcPr>
          <w:p w:rsidR="000D1E13" w:rsidP="000D1E13" w:rsidRDefault="000D1E13" w14:paraId="4FF29B75" w14:textId="77777777">
            <w:pPr>
              <w:pStyle w:val="BodyText"/>
              <w:rPr>
                <w:rFonts w:cs="Arial" w:asciiTheme="minorHAnsi" w:hAnsiTheme="minorHAnsi"/>
                <w:sz w:val="20"/>
              </w:rPr>
            </w:pPr>
            <w:r>
              <w:rPr>
                <w:rFonts w:cs="Arial" w:asciiTheme="minorHAnsi" w:hAnsiTheme="minorHAnsi"/>
                <w:sz w:val="20"/>
              </w:rPr>
              <w:t>Hepatic dysfunction with prior azithromycin therapy.</w:t>
            </w:r>
          </w:p>
          <w:p w:rsidRPr="00F05989" w:rsidR="000D1E13" w:rsidP="000D1E13" w:rsidRDefault="000D1E13" w14:paraId="2942B970" w14:textId="77777777">
            <w:pPr>
              <w:pStyle w:val="BodyText"/>
              <w:rPr>
                <w:rFonts w:cs="Arial" w:asciiTheme="minorHAnsi" w:hAnsiTheme="minorHAnsi"/>
                <w:sz w:val="20"/>
              </w:rPr>
            </w:pPr>
            <w:r>
              <w:rPr>
                <w:rFonts w:cs="Arial" w:asciiTheme="minorHAnsi" w:hAnsiTheme="minorHAnsi"/>
                <w:sz w:val="20"/>
              </w:rPr>
              <w:t>Concomitant therapy with QT interval prolonging drugs (e.g. cisapride)</w:t>
            </w:r>
          </w:p>
        </w:tc>
      </w:tr>
      <w:tr w:rsidRPr="00F05989" w:rsidR="00273A16" w:rsidTr="77BEE3D0" w14:paraId="65916742" w14:textId="77777777">
        <w:tc>
          <w:tcPr>
            <w:tcW w:w="2014" w:type="dxa"/>
          </w:tcPr>
          <w:p w:rsidRPr="00F05989" w:rsidR="000D1E13" w:rsidP="000D1E13" w:rsidRDefault="000D1E13" w14:paraId="067C6F2A" w14:textId="77777777">
            <w:pPr>
              <w:pStyle w:val="BodyText"/>
              <w:rPr>
                <w:rFonts w:cs="Arial" w:asciiTheme="minorHAnsi" w:hAnsiTheme="minorHAnsi"/>
                <w:b/>
                <w:bCs/>
                <w:sz w:val="20"/>
              </w:rPr>
            </w:pPr>
            <w:r w:rsidRPr="00F05989">
              <w:rPr>
                <w:rFonts w:asciiTheme="minorHAnsi" w:hAnsiTheme="minorHAnsi"/>
                <w:sz w:val="20"/>
              </w:rPr>
              <w:br w:type="page"/>
            </w:r>
            <w:r w:rsidRPr="00F05989">
              <w:rPr>
                <w:rFonts w:cs="Arial" w:asciiTheme="minorHAnsi" w:hAnsiTheme="minorHAnsi"/>
                <w:b/>
                <w:bCs/>
                <w:sz w:val="20"/>
              </w:rPr>
              <w:t>Precautions</w:t>
            </w:r>
          </w:p>
        </w:tc>
        <w:tc>
          <w:tcPr>
            <w:tcW w:w="8363" w:type="dxa"/>
          </w:tcPr>
          <w:p w:rsidRPr="00F05989" w:rsidR="000D1E13" w:rsidP="000D1E13" w:rsidRDefault="000D1E13" w14:paraId="6EC1484A" w14:textId="77777777">
            <w:pPr>
              <w:pStyle w:val="BodyText"/>
              <w:rPr>
                <w:rFonts w:cs="Arial" w:asciiTheme="minorHAnsi" w:hAnsiTheme="minorHAnsi"/>
                <w:sz w:val="20"/>
              </w:rPr>
            </w:pPr>
            <w:r>
              <w:rPr>
                <w:rFonts w:cs="Arial" w:asciiTheme="minorHAnsi" w:hAnsiTheme="minorHAnsi"/>
                <w:sz w:val="20"/>
              </w:rPr>
              <w:t>Hepatic dysfunction.</w:t>
            </w:r>
          </w:p>
          <w:p w:rsidRPr="00F05989" w:rsidR="000D1E13" w:rsidP="000D1E13" w:rsidRDefault="000D1E13" w14:paraId="07FF3B44" w14:textId="77777777">
            <w:pPr>
              <w:pStyle w:val="BodyText"/>
              <w:rPr>
                <w:rFonts w:cs="Arial" w:asciiTheme="minorHAnsi" w:hAnsiTheme="minorHAnsi"/>
                <w:sz w:val="20"/>
              </w:rPr>
            </w:pPr>
            <w:r>
              <w:rPr>
                <w:rFonts w:cs="Arial" w:asciiTheme="minorHAnsi" w:hAnsiTheme="minorHAnsi"/>
                <w:sz w:val="20"/>
              </w:rPr>
              <w:t>IV s</w:t>
            </w:r>
            <w:r w:rsidRPr="00F05989">
              <w:rPr>
                <w:rFonts w:cs="Arial" w:asciiTheme="minorHAnsi" w:hAnsiTheme="minorHAnsi"/>
                <w:sz w:val="20"/>
              </w:rPr>
              <w:t>olutions of a concentration greater than 2 mg/mL may cause local infusion-site reactions.</w:t>
            </w:r>
          </w:p>
        </w:tc>
      </w:tr>
      <w:tr w:rsidRPr="00F05989" w:rsidR="00273A16" w:rsidTr="77BEE3D0" w14:paraId="41923025" w14:textId="77777777">
        <w:trPr>
          <w:trHeight w:val="382"/>
        </w:trPr>
        <w:tc>
          <w:tcPr>
            <w:tcW w:w="2014" w:type="dxa"/>
          </w:tcPr>
          <w:p w:rsidRPr="00F05989" w:rsidR="000D1E13" w:rsidP="000D1E13" w:rsidRDefault="000D1E13" w14:paraId="16333ABA" w14:textId="77777777">
            <w:pPr>
              <w:pStyle w:val="BodyText"/>
              <w:rPr>
                <w:rFonts w:cs="Arial" w:asciiTheme="minorHAnsi" w:hAnsiTheme="minorHAnsi"/>
                <w:b/>
                <w:bCs/>
                <w:sz w:val="20"/>
              </w:rPr>
            </w:pPr>
            <w:r w:rsidRPr="00F05989">
              <w:rPr>
                <w:rFonts w:cs="Arial" w:asciiTheme="minorHAnsi" w:hAnsiTheme="minorHAnsi"/>
                <w:b/>
                <w:bCs/>
                <w:sz w:val="20"/>
              </w:rPr>
              <w:t>Drug Interactions</w:t>
            </w:r>
          </w:p>
        </w:tc>
        <w:tc>
          <w:tcPr>
            <w:tcW w:w="8363" w:type="dxa"/>
          </w:tcPr>
          <w:p w:rsidRPr="00F05989" w:rsidR="000D1E13" w:rsidP="000D1E13" w:rsidRDefault="000D1E13" w14:paraId="4660ACB0" w14:textId="77777777">
            <w:pPr>
              <w:pStyle w:val="BodyText"/>
              <w:rPr>
                <w:rFonts w:cs="Arial" w:asciiTheme="minorHAnsi" w:hAnsiTheme="minorHAnsi"/>
                <w:sz w:val="20"/>
              </w:rPr>
            </w:pPr>
            <w:r w:rsidRPr="00F05989">
              <w:rPr>
                <w:rFonts w:cs="Arial" w:asciiTheme="minorHAnsi" w:hAnsiTheme="minorHAnsi"/>
                <w:sz w:val="20"/>
              </w:rPr>
              <w:t>Drugs that can prolong QT interval</w:t>
            </w:r>
            <w:r>
              <w:rPr>
                <w:rFonts w:cs="Arial" w:asciiTheme="minorHAnsi" w:hAnsiTheme="minorHAnsi"/>
                <w:sz w:val="20"/>
              </w:rPr>
              <w:t>.</w:t>
            </w:r>
          </w:p>
          <w:p w:rsidRPr="00F05989" w:rsidR="000D1E13" w:rsidP="000D1E13" w:rsidRDefault="000D1E13" w14:paraId="05CDC1D8" w14:textId="77777777">
            <w:pPr>
              <w:pStyle w:val="BodyText"/>
              <w:rPr>
                <w:rFonts w:cs="Arial" w:asciiTheme="minorHAnsi" w:hAnsiTheme="minorHAnsi"/>
                <w:sz w:val="20"/>
              </w:rPr>
            </w:pPr>
            <w:r w:rsidRPr="00F05989">
              <w:rPr>
                <w:rFonts w:cs="Arial" w:asciiTheme="minorHAnsi" w:hAnsiTheme="minorHAnsi"/>
                <w:sz w:val="20"/>
              </w:rPr>
              <w:t>Digoxin – may result in digoxin toxicity</w:t>
            </w:r>
            <w:r>
              <w:rPr>
                <w:rFonts w:cs="Arial" w:asciiTheme="minorHAnsi" w:hAnsiTheme="minorHAnsi"/>
                <w:sz w:val="20"/>
              </w:rPr>
              <w:t>.</w:t>
            </w:r>
          </w:p>
        </w:tc>
      </w:tr>
      <w:tr w:rsidRPr="00F05989" w:rsidR="00273A16" w:rsidTr="77BEE3D0" w14:paraId="4D0B518C" w14:textId="77777777">
        <w:trPr>
          <w:trHeight w:val="878"/>
        </w:trPr>
        <w:tc>
          <w:tcPr>
            <w:tcW w:w="2014" w:type="dxa"/>
          </w:tcPr>
          <w:p w:rsidRPr="00F05989" w:rsidR="000D1E13" w:rsidP="000D1E13" w:rsidRDefault="000D1E13" w14:paraId="204DC985" w14:textId="77777777">
            <w:pPr>
              <w:pStyle w:val="BodyText"/>
              <w:rPr>
                <w:rFonts w:cs="Arial" w:asciiTheme="minorHAnsi" w:hAnsiTheme="minorHAnsi"/>
                <w:b/>
                <w:bCs/>
                <w:sz w:val="20"/>
              </w:rPr>
            </w:pPr>
            <w:r w:rsidRPr="00F05989">
              <w:rPr>
                <w:rFonts w:cs="Arial" w:asciiTheme="minorHAnsi" w:hAnsiTheme="minorHAnsi"/>
                <w:b/>
                <w:bCs/>
                <w:sz w:val="20"/>
              </w:rPr>
              <w:t xml:space="preserve">Adverse Reactions         </w:t>
            </w:r>
          </w:p>
          <w:p w:rsidRPr="00F05989" w:rsidR="000D1E13" w:rsidP="000D1E13" w:rsidRDefault="000D1E13" w14:paraId="6338B121" w14:textId="77777777">
            <w:pPr>
              <w:pStyle w:val="BodyText"/>
              <w:rPr>
                <w:rFonts w:cs="Arial" w:asciiTheme="minorHAnsi" w:hAnsiTheme="minorHAnsi"/>
                <w:b/>
                <w:bCs/>
                <w:sz w:val="20"/>
              </w:rPr>
            </w:pPr>
          </w:p>
        </w:tc>
        <w:tc>
          <w:tcPr>
            <w:tcW w:w="8363" w:type="dxa"/>
          </w:tcPr>
          <w:p w:rsidRPr="00F05989" w:rsidR="000D1E13" w:rsidP="000D1E13" w:rsidRDefault="000D1E13" w14:paraId="10F03993" w14:textId="77777777">
            <w:pPr>
              <w:pStyle w:val="BodyText"/>
              <w:rPr>
                <w:rFonts w:cs="Arial" w:asciiTheme="minorHAnsi" w:hAnsiTheme="minorHAnsi"/>
                <w:sz w:val="20"/>
              </w:rPr>
            </w:pPr>
            <w:r w:rsidRPr="00F05989">
              <w:rPr>
                <w:rFonts w:cs="Arial" w:asciiTheme="minorHAnsi" w:hAnsiTheme="minorHAnsi"/>
                <w:sz w:val="20"/>
              </w:rPr>
              <w:t>Common: Nausea, vomiting</w:t>
            </w:r>
            <w:r>
              <w:rPr>
                <w:rFonts w:cs="Arial" w:asciiTheme="minorHAnsi" w:hAnsiTheme="minorHAnsi"/>
                <w:sz w:val="20"/>
              </w:rPr>
              <w:t xml:space="preserve">, </w:t>
            </w:r>
            <w:r w:rsidRPr="00F05989">
              <w:rPr>
                <w:rFonts w:cs="Arial" w:asciiTheme="minorHAnsi" w:hAnsiTheme="minorHAnsi"/>
                <w:sz w:val="20"/>
              </w:rPr>
              <w:t xml:space="preserve">abdominal pain </w:t>
            </w:r>
            <w:r>
              <w:rPr>
                <w:rFonts w:cs="Arial" w:asciiTheme="minorHAnsi" w:hAnsiTheme="minorHAnsi"/>
                <w:sz w:val="20"/>
              </w:rPr>
              <w:t xml:space="preserve">and </w:t>
            </w:r>
            <w:r w:rsidRPr="00F05989">
              <w:rPr>
                <w:rFonts w:cs="Arial" w:asciiTheme="minorHAnsi" w:hAnsiTheme="minorHAnsi"/>
                <w:sz w:val="20"/>
              </w:rPr>
              <w:t xml:space="preserve">diarrhoea (all less than erythromycin). </w:t>
            </w:r>
          </w:p>
          <w:p w:rsidRPr="00F05989" w:rsidR="000D1E13" w:rsidP="000D1E13" w:rsidRDefault="000D1E13" w14:paraId="6ADD762B" w14:textId="77777777">
            <w:pPr>
              <w:pStyle w:val="BodyText"/>
              <w:rPr>
                <w:rFonts w:cs="Arial" w:asciiTheme="minorHAnsi" w:hAnsiTheme="minorHAnsi"/>
                <w:sz w:val="20"/>
              </w:rPr>
            </w:pPr>
            <w:r w:rsidRPr="00F05989">
              <w:rPr>
                <w:rFonts w:cs="Arial" w:asciiTheme="minorHAnsi" w:hAnsiTheme="minorHAnsi"/>
                <w:sz w:val="20"/>
              </w:rPr>
              <w:t>Rare: Hypertrophic pyloric stenosis, thrombophlebitis (after IV administration), ventricular dysrhythmias (after IV administration). In general, the risk of dysrhythmias is increased when these agents are administered in combination with other drugs that prolong the QT interval. Increased liver enzymes, hepatitis, hepatic necrosis, hypersensitivity reactions.</w:t>
            </w:r>
          </w:p>
        </w:tc>
      </w:tr>
      <w:tr w:rsidRPr="00423C54" w:rsidR="00273A16" w:rsidTr="77BEE3D0" w14:paraId="1F120D38" w14:textId="77777777">
        <w:trPr>
          <w:trHeight w:val="714"/>
        </w:trPr>
        <w:tc>
          <w:tcPr>
            <w:tcW w:w="2014" w:type="dxa"/>
          </w:tcPr>
          <w:p w:rsidRPr="00F05989" w:rsidR="000D1E13" w:rsidP="000D1E13" w:rsidRDefault="000D1E13" w14:paraId="46444080" w14:textId="77777777">
            <w:pPr>
              <w:pStyle w:val="BodyText"/>
              <w:rPr>
                <w:rFonts w:cs="Arial" w:asciiTheme="minorHAnsi" w:hAnsiTheme="minorHAnsi"/>
                <w:b/>
                <w:bCs/>
                <w:sz w:val="20"/>
              </w:rPr>
            </w:pPr>
            <w:r w:rsidRPr="00F05989">
              <w:rPr>
                <w:rFonts w:cs="Arial" w:asciiTheme="minorHAnsi" w:hAnsiTheme="minorHAnsi"/>
                <w:b/>
                <w:bCs/>
                <w:sz w:val="20"/>
              </w:rPr>
              <w:t>Compatibility</w:t>
            </w:r>
          </w:p>
          <w:p w:rsidRPr="00F05989" w:rsidR="000D1E13" w:rsidP="000D1E13" w:rsidRDefault="000D1E13" w14:paraId="436B43C5" w14:textId="77777777">
            <w:pPr>
              <w:pStyle w:val="BodyText"/>
              <w:rPr>
                <w:rFonts w:cs="Arial" w:asciiTheme="minorHAnsi" w:hAnsiTheme="minorHAnsi"/>
                <w:b/>
                <w:bCs/>
                <w:sz w:val="20"/>
              </w:rPr>
            </w:pPr>
          </w:p>
        </w:tc>
        <w:tc>
          <w:tcPr>
            <w:tcW w:w="8363" w:type="dxa"/>
          </w:tcPr>
          <w:p w:rsidRPr="00F05989" w:rsidR="000D1E13" w:rsidP="000D1E13" w:rsidRDefault="000D1E13" w14:paraId="0513AB2C" w14:textId="77777777">
            <w:pPr>
              <w:pStyle w:val="BodyText"/>
              <w:rPr>
                <w:rFonts w:cs="Arial" w:asciiTheme="minorHAnsi" w:hAnsiTheme="minorHAnsi"/>
                <w:sz w:val="20"/>
              </w:rPr>
            </w:pPr>
            <w:r w:rsidRPr="00F05989">
              <w:rPr>
                <w:rFonts w:cs="Arial" w:asciiTheme="minorHAnsi" w:hAnsiTheme="minorHAnsi"/>
                <w:sz w:val="20"/>
              </w:rPr>
              <w:t xml:space="preserve">Fluids: Glucose 5%, glucose </w:t>
            </w:r>
            <w:r>
              <w:rPr>
                <w:rFonts w:cs="Arial" w:asciiTheme="minorHAnsi" w:hAnsiTheme="minorHAnsi"/>
                <w:sz w:val="20"/>
              </w:rPr>
              <w:t xml:space="preserve">5% </w:t>
            </w:r>
            <w:r w:rsidRPr="00F05989">
              <w:rPr>
                <w:rFonts w:cs="Arial" w:asciiTheme="minorHAnsi" w:hAnsiTheme="minorHAnsi"/>
                <w:sz w:val="20"/>
              </w:rPr>
              <w:t>in sodium chloride solutions, Hartmann’s, sodium chloride 0.9%, sodium chloride 0.45%</w:t>
            </w:r>
          </w:p>
          <w:p w:rsidR="000D1E13" w:rsidP="000D1E13" w:rsidRDefault="000D1E13" w14:paraId="5E9A58DA" w14:textId="77777777">
            <w:pPr>
              <w:pStyle w:val="BodyText"/>
              <w:rPr>
                <w:rStyle w:val="Strong"/>
                <w:rFonts w:cs="Arial" w:asciiTheme="minorHAnsi" w:hAnsiTheme="minorHAnsi"/>
                <w:b w:val="0"/>
                <w:sz w:val="20"/>
              </w:rPr>
            </w:pPr>
          </w:p>
          <w:p w:rsidRPr="00423C54" w:rsidR="000D1E13" w:rsidP="000D1E13" w:rsidRDefault="000D1E13" w14:paraId="624F80EE" w14:textId="77777777">
            <w:pPr>
              <w:pStyle w:val="BodyText"/>
              <w:rPr>
                <w:rFonts w:cs="Arial" w:asciiTheme="minorHAnsi" w:hAnsiTheme="minorHAnsi"/>
                <w:sz w:val="20"/>
                <w:lang w:val="fr-FR"/>
              </w:rPr>
            </w:pPr>
            <w:r w:rsidRPr="00423C54">
              <w:rPr>
                <w:rStyle w:val="Strong"/>
                <w:rFonts w:cs="Arial" w:asciiTheme="minorHAnsi" w:hAnsiTheme="minorHAnsi"/>
                <w:sz w:val="20"/>
                <w:lang w:val="fr-FR"/>
              </w:rPr>
              <w:t>Y-site</w:t>
            </w:r>
            <w:r w:rsidRPr="00423C54">
              <w:rPr>
                <w:rFonts w:cs="Arial" w:asciiTheme="minorHAnsi" w:hAnsiTheme="minorHAnsi"/>
                <w:sz w:val="20"/>
                <w:lang w:val="fr-FR"/>
              </w:rPr>
              <w:t xml:space="preserve"> : </w:t>
            </w:r>
            <w:r>
              <w:rPr>
                <w:rFonts w:cs="Arial" w:asciiTheme="minorHAnsi" w:hAnsiTheme="minorHAnsi"/>
                <w:sz w:val="20"/>
                <w:lang w:val="fr-FR"/>
              </w:rPr>
              <w:t>B</w:t>
            </w:r>
            <w:r w:rsidRPr="00423C54">
              <w:rPr>
                <w:rFonts w:cs="Arial" w:asciiTheme="minorHAnsi" w:hAnsiTheme="minorHAnsi"/>
                <w:sz w:val="20"/>
                <w:lang w:val="fr-FR"/>
              </w:rPr>
              <w:t>ivalirudin, ceftaroline fosamil, dexmedetomidine, tigecycline</w:t>
            </w:r>
          </w:p>
        </w:tc>
      </w:tr>
      <w:tr w:rsidRPr="001E0C85" w:rsidR="00273A16" w:rsidTr="77BEE3D0" w14:paraId="3AA8E979" w14:textId="77777777">
        <w:trPr>
          <w:trHeight w:val="392"/>
        </w:trPr>
        <w:tc>
          <w:tcPr>
            <w:tcW w:w="2014" w:type="dxa"/>
          </w:tcPr>
          <w:p w:rsidRPr="00F05989" w:rsidR="000D1E13" w:rsidP="000D1E13" w:rsidRDefault="000D1E13" w14:paraId="1291E042" w14:textId="77777777">
            <w:pPr>
              <w:pStyle w:val="BodyText"/>
              <w:rPr>
                <w:rFonts w:cs="Arial" w:asciiTheme="minorHAnsi" w:hAnsiTheme="minorHAnsi"/>
                <w:b/>
                <w:bCs/>
                <w:sz w:val="20"/>
              </w:rPr>
            </w:pPr>
            <w:r w:rsidRPr="00F05989">
              <w:rPr>
                <w:rFonts w:cs="Arial" w:asciiTheme="minorHAnsi" w:hAnsiTheme="minorHAnsi"/>
                <w:b/>
                <w:bCs/>
                <w:sz w:val="20"/>
              </w:rPr>
              <w:t xml:space="preserve">Incompatibility  </w:t>
            </w:r>
          </w:p>
        </w:tc>
        <w:tc>
          <w:tcPr>
            <w:tcW w:w="8363" w:type="dxa"/>
          </w:tcPr>
          <w:p w:rsidRPr="00F05989" w:rsidR="000D1E13" w:rsidP="000D1E13" w:rsidRDefault="000D1E13" w14:paraId="0154FF53" w14:textId="77777777">
            <w:pPr>
              <w:pStyle w:val="BodyText"/>
              <w:rPr>
                <w:rFonts w:cs="Arial" w:asciiTheme="minorHAnsi" w:hAnsiTheme="minorHAnsi"/>
                <w:sz w:val="20"/>
              </w:rPr>
            </w:pPr>
            <w:r w:rsidRPr="00F05989">
              <w:rPr>
                <w:rFonts w:cs="Arial" w:asciiTheme="minorHAnsi" w:hAnsiTheme="minorHAnsi"/>
                <w:sz w:val="20"/>
              </w:rPr>
              <w:t xml:space="preserve">Fluids: </w:t>
            </w:r>
            <w:r>
              <w:rPr>
                <w:rFonts w:cs="Arial" w:asciiTheme="minorHAnsi" w:hAnsiTheme="minorHAnsi"/>
                <w:sz w:val="20"/>
              </w:rPr>
              <w:t>N</w:t>
            </w:r>
            <w:r w:rsidRPr="00F05989">
              <w:rPr>
                <w:rFonts w:cs="Arial" w:asciiTheme="minorHAnsi" w:hAnsiTheme="minorHAnsi"/>
                <w:sz w:val="20"/>
              </w:rPr>
              <w:t>o information</w:t>
            </w:r>
          </w:p>
          <w:p w:rsidRPr="001E0C85" w:rsidR="000D1E13" w:rsidP="000D1E13" w:rsidRDefault="000D1E13" w14:paraId="34D3C13C" w14:textId="77777777">
            <w:pPr>
              <w:pStyle w:val="BodyText"/>
              <w:rPr>
                <w:rFonts w:cs="Arial" w:asciiTheme="minorHAnsi" w:hAnsiTheme="minorHAnsi"/>
                <w:sz w:val="20"/>
                <w:vertAlign w:val="superscript"/>
              </w:rPr>
            </w:pPr>
            <w:r>
              <w:rPr>
                <w:rStyle w:val="Strong"/>
                <w:rFonts w:cs="Arial" w:asciiTheme="minorHAnsi" w:hAnsiTheme="minorHAnsi"/>
                <w:sz w:val="20"/>
              </w:rPr>
              <w:t>D</w:t>
            </w:r>
            <w:r w:rsidRPr="00F05989">
              <w:rPr>
                <w:rStyle w:val="Strong"/>
                <w:rFonts w:cs="Arial" w:asciiTheme="minorHAnsi" w:hAnsiTheme="minorHAnsi"/>
                <w:sz w:val="20"/>
              </w:rPr>
              <w:t>rugs</w:t>
            </w:r>
            <w:r w:rsidRPr="00F05989">
              <w:rPr>
                <w:rFonts w:cs="Arial" w:asciiTheme="minorHAnsi" w:hAnsiTheme="minorHAnsi"/>
                <w:sz w:val="20"/>
              </w:rPr>
              <w:t xml:space="preserve">: Amikacin, amiodarone, aztreonam, cefotaxime, ceftazidime, ceftriaxone, chlorpromazine, ciprofloxacin, clindamycin, fentanyl, </w:t>
            </w:r>
            <w:r>
              <w:rPr>
                <w:rFonts w:cs="Arial" w:asciiTheme="minorHAnsi" w:hAnsiTheme="minorHAnsi"/>
                <w:sz w:val="20"/>
              </w:rPr>
              <w:t>furosemide (frusemide),</w:t>
            </w:r>
            <w:r w:rsidRPr="00F05989">
              <w:rPr>
                <w:rFonts w:cs="Arial" w:asciiTheme="minorHAnsi" w:hAnsiTheme="minorHAnsi"/>
                <w:sz w:val="20"/>
              </w:rPr>
              <w:t xml:space="preserve"> gentamicin, imipenem-cilastatin, ketorolac, midazolam, morphine sulfate, mycophenolate mofetil, pentamidine, piperacillin-tazobactam (EDTA-free), potassium chloride,</w:t>
            </w:r>
            <w:r>
              <w:rPr>
                <w:rFonts w:cs="Arial" w:asciiTheme="minorHAnsi" w:hAnsiTheme="minorHAnsi"/>
                <w:sz w:val="20"/>
              </w:rPr>
              <w:t xml:space="preserve"> thiopental sodium,</w:t>
            </w:r>
            <w:r w:rsidRPr="00F05989">
              <w:rPr>
                <w:rFonts w:cs="Arial" w:asciiTheme="minorHAnsi" w:hAnsiTheme="minorHAnsi"/>
                <w:sz w:val="20"/>
              </w:rPr>
              <w:t xml:space="preserve"> ticarcillin-clavulanate, tobramycin</w:t>
            </w:r>
            <w:r>
              <w:rPr>
                <w:rFonts w:cs="Arial" w:asciiTheme="minorHAnsi" w:hAnsiTheme="minorHAnsi"/>
                <w:sz w:val="20"/>
              </w:rPr>
              <w:t>.</w:t>
            </w:r>
          </w:p>
        </w:tc>
      </w:tr>
      <w:tr w:rsidRPr="00F05989" w:rsidR="00273A16" w:rsidTr="77BEE3D0" w14:paraId="00CA7E3E" w14:textId="77777777">
        <w:trPr>
          <w:trHeight w:val="1041"/>
        </w:trPr>
        <w:tc>
          <w:tcPr>
            <w:tcW w:w="2014" w:type="dxa"/>
          </w:tcPr>
          <w:p w:rsidRPr="00F05989" w:rsidR="000D1E13" w:rsidP="000D1E13" w:rsidRDefault="000D1E13" w14:paraId="7D11A1A8" w14:textId="77777777">
            <w:pPr>
              <w:pStyle w:val="BodyText"/>
              <w:rPr>
                <w:rFonts w:cs="Arial" w:asciiTheme="minorHAnsi" w:hAnsiTheme="minorHAnsi"/>
                <w:b/>
                <w:bCs/>
                <w:sz w:val="20"/>
              </w:rPr>
            </w:pPr>
            <w:r w:rsidRPr="00F05989">
              <w:rPr>
                <w:rFonts w:cs="Arial" w:asciiTheme="minorHAnsi" w:hAnsiTheme="minorHAnsi"/>
                <w:b/>
                <w:bCs/>
                <w:sz w:val="20"/>
              </w:rPr>
              <w:t xml:space="preserve">Stability                  </w:t>
            </w:r>
          </w:p>
        </w:tc>
        <w:tc>
          <w:tcPr>
            <w:tcW w:w="8363" w:type="dxa"/>
          </w:tcPr>
          <w:p w:rsidR="000D1E13" w:rsidP="000D1E13" w:rsidRDefault="000D1E13" w14:paraId="28739255" w14:textId="77777777">
            <w:pPr>
              <w:pStyle w:val="NoSpacing"/>
              <w:rPr>
                <w:rStyle w:val="Strong"/>
                <w:rFonts w:cs="Arial" w:asciiTheme="minorHAnsi" w:hAnsiTheme="minorHAnsi"/>
                <w:b w:val="0"/>
                <w:sz w:val="20"/>
                <w:szCs w:val="20"/>
              </w:rPr>
            </w:pPr>
            <w:r>
              <w:rPr>
                <w:rStyle w:val="Strong"/>
                <w:rFonts w:cs="Arial" w:asciiTheme="minorHAnsi" w:hAnsiTheme="minorHAnsi"/>
                <w:sz w:val="20"/>
                <w:szCs w:val="20"/>
              </w:rPr>
              <w:t xml:space="preserve">Oral suspension: </w:t>
            </w:r>
            <w:r w:rsidRPr="00357F91">
              <w:rPr>
                <w:rStyle w:val="Strong"/>
                <w:rFonts w:cs="Arial" w:asciiTheme="minorHAnsi" w:hAnsiTheme="minorHAnsi"/>
                <w:sz w:val="20"/>
                <w:szCs w:val="20"/>
              </w:rPr>
              <w:t>After reconstitution, the suspension should be stored below 30</w:t>
            </w:r>
            <w:r>
              <w:rPr>
                <w:rStyle w:val="Strong"/>
                <w:rFonts w:cs="Arial" w:asciiTheme="minorHAnsi" w:hAnsiTheme="minorHAnsi"/>
                <w:sz w:val="20"/>
                <w:szCs w:val="20"/>
              </w:rPr>
              <w:t> </w:t>
            </w:r>
            <w:r w:rsidRPr="00357F91">
              <w:rPr>
                <w:rStyle w:val="Strong"/>
                <w:rFonts w:cs="Arial" w:asciiTheme="minorHAnsi" w:hAnsiTheme="minorHAnsi"/>
                <w:sz w:val="20"/>
                <w:szCs w:val="20"/>
              </w:rPr>
              <w:t>°C and any remaining suspension discarded after 10 days.</w:t>
            </w:r>
          </w:p>
          <w:p w:rsidR="000D1E13" w:rsidP="000D1E13" w:rsidRDefault="000D1E13" w14:paraId="74C19AB9" w14:textId="77777777">
            <w:pPr>
              <w:pStyle w:val="NoSpacing"/>
              <w:rPr>
                <w:rStyle w:val="Strong"/>
                <w:rFonts w:cs="Arial" w:asciiTheme="minorHAnsi" w:hAnsiTheme="minorHAnsi"/>
                <w:b w:val="0"/>
                <w:sz w:val="20"/>
                <w:szCs w:val="20"/>
              </w:rPr>
            </w:pPr>
          </w:p>
          <w:p w:rsidRPr="00F05989" w:rsidR="000D1E13" w:rsidP="000D1E13" w:rsidRDefault="000D1E13" w14:paraId="42598EDD" w14:textId="77777777">
            <w:pPr>
              <w:pStyle w:val="NoSpacing"/>
            </w:pPr>
            <w:r w:rsidRPr="006E379A">
              <w:rPr>
                <w:rStyle w:val="Strong"/>
                <w:rFonts w:cs="Arial" w:asciiTheme="minorHAnsi" w:hAnsiTheme="minorHAnsi"/>
                <w:sz w:val="20"/>
                <w:szCs w:val="20"/>
              </w:rPr>
              <w:t xml:space="preserve">Reconstituted </w:t>
            </w:r>
            <w:r>
              <w:rPr>
                <w:rStyle w:val="Strong"/>
                <w:rFonts w:cs="Arial" w:asciiTheme="minorHAnsi" w:hAnsiTheme="minorHAnsi"/>
                <w:sz w:val="20"/>
                <w:szCs w:val="20"/>
              </w:rPr>
              <w:t xml:space="preserve">IV </w:t>
            </w:r>
            <w:r w:rsidRPr="006E379A">
              <w:rPr>
                <w:rStyle w:val="Strong"/>
                <w:rFonts w:cs="Arial" w:asciiTheme="minorHAnsi" w:hAnsiTheme="minorHAnsi"/>
                <w:sz w:val="20"/>
                <w:szCs w:val="20"/>
              </w:rPr>
              <w:t>solution</w:t>
            </w:r>
            <w:r w:rsidRPr="006E379A">
              <w:rPr>
                <w:sz w:val="20"/>
                <w:szCs w:val="20"/>
              </w:rPr>
              <w:t xml:space="preserve">: Stable for 24 hours </w:t>
            </w:r>
            <w:r>
              <w:rPr>
                <w:sz w:val="20"/>
                <w:szCs w:val="20"/>
              </w:rPr>
              <w:t>at ≤</w:t>
            </w:r>
            <w:r w:rsidRPr="006E379A">
              <w:rPr>
                <w:sz w:val="20"/>
                <w:szCs w:val="20"/>
              </w:rPr>
              <w:t>30</w:t>
            </w:r>
            <w:r>
              <w:rPr>
                <w:sz w:val="20"/>
                <w:szCs w:val="20"/>
              </w:rPr>
              <w:t> </w:t>
            </w:r>
            <w:r w:rsidRPr="006E379A">
              <w:rPr>
                <w:sz w:val="20"/>
                <w:szCs w:val="20"/>
              </w:rPr>
              <w:t>°C.</w:t>
            </w:r>
          </w:p>
        </w:tc>
      </w:tr>
      <w:tr w:rsidRPr="00F05989" w:rsidR="00273A16" w:rsidTr="77BEE3D0" w14:paraId="0258A2DB" w14:textId="77777777">
        <w:trPr>
          <w:trHeight w:val="203"/>
        </w:trPr>
        <w:tc>
          <w:tcPr>
            <w:tcW w:w="2014" w:type="dxa"/>
          </w:tcPr>
          <w:p w:rsidRPr="00F05989" w:rsidR="000D1E13" w:rsidP="000D1E13" w:rsidRDefault="000D1E13" w14:paraId="7359CEB6" w14:textId="77777777">
            <w:pPr>
              <w:pStyle w:val="BodyText"/>
              <w:rPr>
                <w:rFonts w:cs="Arial" w:asciiTheme="minorHAnsi" w:hAnsiTheme="minorHAnsi"/>
                <w:b/>
                <w:bCs/>
                <w:sz w:val="20"/>
              </w:rPr>
            </w:pPr>
            <w:r w:rsidRPr="00F05989">
              <w:rPr>
                <w:rFonts w:cs="Arial" w:asciiTheme="minorHAnsi" w:hAnsiTheme="minorHAnsi"/>
                <w:b/>
                <w:bCs/>
                <w:sz w:val="20"/>
              </w:rPr>
              <w:t xml:space="preserve">Storage             </w:t>
            </w:r>
          </w:p>
        </w:tc>
        <w:tc>
          <w:tcPr>
            <w:tcW w:w="8363" w:type="dxa"/>
          </w:tcPr>
          <w:p w:rsidRPr="00F05989" w:rsidR="000D1E13" w:rsidP="000D1E13" w:rsidRDefault="000D1E13" w14:paraId="575C132E" w14:textId="77777777">
            <w:pPr>
              <w:pStyle w:val="BodyText"/>
              <w:rPr>
                <w:rFonts w:cs="Arial" w:asciiTheme="minorHAnsi" w:hAnsiTheme="minorHAnsi"/>
                <w:sz w:val="20"/>
              </w:rPr>
            </w:pPr>
            <w:r w:rsidRPr="00F05989">
              <w:rPr>
                <w:rFonts w:cs="Arial" w:asciiTheme="minorHAnsi" w:hAnsiTheme="minorHAnsi"/>
                <w:sz w:val="20"/>
              </w:rPr>
              <w:t>Oral/IV store below 25</w:t>
            </w:r>
            <w:r>
              <w:rPr>
                <w:rFonts w:cs="Arial" w:asciiTheme="minorHAnsi" w:hAnsiTheme="minorHAnsi"/>
                <w:sz w:val="20"/>
              </w:rPr>
              <w:t> </w:t>
            </w:r>
            <w:r w:rsidRPr="006E379A">
              <w:rPr>
                <w:sz w:val="20"/>
              </w:rPr>
              <w:t>°</w:t>
            </w:r>
            <w:r w:rsidRPr="00F05989">
              <w:rPr>
                <w:rFonts w:cs="Arial" w:asciiTheme="minorHAnsi" w:hAnsiTheme="minorHAnsi"/>
                <w:sz w:val="20"/>
              </w:rPr>
              <w:t>C</w:t>
            </w:r>
            <w:r>
              <w:rPr>
                <w:rFonts w:cs="Arial" w:asciiTheme="minorHAnsi" w:hAnsiTheme="minorHAnsi"/>
                <w:sz w:val="20"/>
              </w:rPr>
              <w:t>. Protect from light.</w:t>
            </w:r>
          </w:p>
        </w:tc>
      </w:tr>
      <w:tr w:rsidRPr="00F05989" w:rsidR="00273A16" w:rsidTr="77BEE3D0" w14:paraId="3BBA6F0F" w14:textId="77777777">
        <w:trPr>
          <w:trHeight w:val="222"/>
        </w:trPr>
        <w:tc>
          <w:tcPr>
            <w:tcW w:w="2014" w:type="dxa"/>
          </w:tcPr>
          <w:p w:rsidRPr="00F05989" w:rsidR="000D1E13" w:rsidP="000D1E13" w:rsidRDefault="000D1E13" w14:paraId="1D6C688D" w14:textId="77777777">
            <w:pPr>
              <w:pStyle w:val="BodyText"/>
              <w:rPr>
                <w:rFonts w:cs="Arial" w:asciiTheme="minorHAnsi" w:hAnsiTheme="minorHAnsi"/>
                <w:b/>
                <w:bCs/>
                <w:sz w:val="20"/>
              </w:rPr>
            </w:pPr>
            <w:r w:rsidRPr="00F05989">
              <w:rPr>
                <w:rFonts w:cs="Arial" w:asciiTheme="minorHAnsi" w:hAnsiTheme="minorHAnsi"/>
                <w:b/>
                <w:bCs/>
                <w:sz w:val="20"/>
              </w:rPr>
              <w:t xml:space="preserve">Special Comments   </w:t>
            </w:r>
          </w:p>
        </w:tc>
        <w:tc>
          <w:tcPr>
            <w:tcW w:w="8363" w:type="dxa"/>
          </w:tcPr>
          <w:p w:rsidRPr="00F05989" w:rsidR="000D1E13" w:rsidP="000D1E13" w:rsidRDefault="000D1E13" w14:paraId="62F3BD84" w14:textId="77777777">
            <w:pPr>
              <w:pStyle w:val="BodyText"/>
              <w:rPr>
                <w:rFonts w:cs="Arial" w:asciiTheme="minorHAnsi" w:hAnsiTheme="minorHAnsi"/>
                <w:sz w:val="20"/>
              </w:rPr>
            </w:pPr>
          </w:p>
        </w:tc>
      </w:tr>
      <w:tr w:rsidRPr="00AC3BD4" w:rsidR="00273A16" w:rsidTr="77BEE3D0" w14:paraId="02A61692" w14:textId="77777777">
        <w:trPr>
          <w:trHeight w:val="362"/>
        </w:trPr>
        <w:tc>
          <w:tcPr>
            <w:tcW w:w="2014" w:type="dxa"/>
          </w:tcPr>
          <w:p w:rsidRPr="00F05989" w:rsidR="000D1E13" w:rsidP="000D1E13" w:rsidRDefault="000D1E13" w14:paraId="7A4360D2" w14:textId="77777777">
            <w:pPr>
              <w:pStyle w:val="BodyText"/>
              <w:rPr>
                <w:rFonts w:cs="Arial" w:asciiTheme="minorHAnsi" w:hAnsiTheme="minorHAnsi"/>
                <w:b/>
                <w:bCs/>
                <w:sz w:val="20"/>
              </w:rPr>
            </w:pPr>
            <w:r w:rsidRPr="00F05989">
              <w:rPr>
                <w:rFonts w:cs="Arial" w:asciiTheme="minorHAnsi" w:hAnsiTheme="minorHAnsi"/>
                <w:b/>
                <w:bCs/>
                <w:sz w:val="20"/>
              </w:rPr>
              <w:t>Evidence summary</w:t>
            </w:r>
          </w:p>
        </w:tc>
        <w:tc>
          <w:tcPr>
            <w:tcW w:w="8363" w:type="dxa"/>
          </w:tcPr>
          <w:p w:rsidRPr="0047210D" w:rsidR="000D1E13" w:rsidP="000D1E13" w:rsidRDefault="000D1E13" w14:paraId="05E65858" w14:textId="77777777">
            <w:pPr>
              <w:pStyle w:val="BodyText"/>
              <w:rPr>
                <w:rFonts w:cs="Arial"/>
                <w:b/>
                <w:sz w:val="16"/>
                <w:szCs w:val="16"/>
              </w:rPr>
            </w:pPr>
            <w:r w:rsidRPr="0047210D">
              <w:rPr>
                <w:rFonts w:cs="Arial"/>
                <w:b/>
                <w:sz w:val="16"/>
                <w:szCs w:val="16"/>
              </w:rPr>
              <w:t>Efficacy</w:t>
            </w:r>
          </w:p>
          <w:p w:rsidRPr="0047210D" w:rsidR="000D1E13" w:rsidP="000D1E13" w:rsidRDefault="000D1E13" w14:paraId="70D7EBC7" w14:textId="77777777">
            <w:pPr>
              <w:pStyle w:val="BodyText"/>
              <w:rPr>
                <w:rFonts w:cs="Arial"/>
                <w:sz w:val="16"/>
                <w:szCs w:val="16"/>
                <w:u w:val="single"/>
              </w:rPr>
            </w:pPr>
            <w:r w:rsidRPr="0047210D">
              <w:rPr>
                <w:rFonts w:cs="Arial"/>
                <w:sz w:val="16"/>
                <w:szCs w:val="16"/>
                <w:u w:val="single"/>
              </w:rPr>
              <w:t>Pertussis – post-exposure prophylaxis and treatment</w:t>
            </w:r>
          </w:p>
          <w:p w:rsidRPr="0047210D" w:rsidR="000D1E13" w:rsidP="000D1E13" w:rsidRDefault="000D1E13" w14:paraId="267D19E5" w14:textId="77777777">
            <w:pPr>
              <w:pStyle w:val="BodyText"/>
              <w:tabs>
                <w:tab w:val="left" w:pos="1168"/>
              </w:tabs>
              <w:rPr>
                <w:rFonts w:cs="Arial" w:asciiTheme="minorHAnsi" w:hAnsiTheme="minorHAnsi"/>
                <w:sz w:val="16"/>
                <w:szCs w:val="16"/>
                <w:vertAlign w:val="superscript"/>
              </w:rPr>
            </w:pPr>
            <w:r w:rsidRPr="0047210D">
              <w:rPr>
                <w:rFonts w:cs="Arial" w:asciiTheme="minorHAnsi" w:hAnsiTheme="minorHAnsi"/>
                <w:sz w:val="16"/>
                <w:szCs w:val="16"/>
              </w:rPr>
              <w:t xml:space="preserve">Systematic review of eradicating </w:t>
            </w:r>
            <w:r w:rsidRPr="0047210D">
              <w:rPr>
                <w:rFonts w:cs="Arial" w:asciiTheme="minorHAnsi" w:hAnsiTheme="minorHAnsi"/>
                <w:i/>
                <w:sz w:val="16"/>
                <w:szCs w:val="16"/>
              </w:rPr>
              <w:t>B. pertussis</w:t>
            </w:r>
            <w:r w:rsidRPr="0047210D">
              <w:rPr>
                <w:rFonts w:cs="Arial" w:asciiTheme="minorHAnsi" w:hAnsiTheme="minorHAnsi"/>
                <w:sz w:val="16"/>
                <w:szCs w:val="16"/>
              </w:rPr>
              <w:t xml:space="preserve"> from the nasopharynx found short-term antibiotics (azithromycin for three to five days, or clarithromycin or erythromycin for seven days) were as effective as long-term (erythromycin for 10 to 14 days) (risk ratio (RR) 1.01; 95% CI 0.98 to 1.04), but had fewer side effects (RR 0.66; 95% CI 0.52 to 0.83). Effective treatment regimens included 3 days azithromycin (10 mg/kg as a single dose) (2 trials); and 5 days azithromycin (10 mg/kg on the first day and 5 mg/kg once daily on day two to five) (2 trials).</w:t>
            </w:r>
            <w:r w:rsidRPr="0047210D">
              <w:rPr>
                <w:rFonts w:cs="Arial" w:asciiTheme="minorHAnsi" w:hAnsiTheme="minorHAnsi"/>
                <w:sz w:val="16"/>
                <w:szCs w:val="16"/>
                <w:vertAlign w:val="superscript"/>
              </w:rPr>
              <w:t xml:space="preserve">1 </w:t>
            </w:r>
          </w:p>
          <w:p w:rsidRPr="0047210D" w:rsidR="000D1E13" w:rsidP="000D1E13" w:rsidRDefault="000D1E13" w14:paraId="28572F8C" w14:textId="77777777">
            <w:pPr>
              <w:pStyle w:val="BodyText"/>
              <w:rPr>
                <w:rFonts w:cs="Arial"/>
                <w:sz w:val="16"/>
                <w:szCs w:val="16"/>
                <w:vertAlign w:val="superscript"/>
              </w:rPr>
            </w:pPr>
            <w:r w:rsidRPr="0047210D">
              <w:rPr>
                <w:rFonts w:cs="Arial" w:asciiTheme="minorHAnsi" w:hAnsiTheme="minorHAnsi"/>
                <w:sz w:val="16"/>
                <w:szCs w:val="16"/>
              </w:rPr>
              <w:t>The Centers for Disease Control and Prevention recommend oral a</w:t>
            </w:r>
            <w:r w:rsidRPr="0047210D">
              <w:rPr>
                <w:rFonts w:cs="Arial"/>
                <w:sz w:val="16"/>
                <w:szCs w:val="16"/>
              </w:rPr>
              <w:t>zithromycin as the preferred agent for post-exposure prophylaxis (PEP) and treatment in infants younger than 1 month of age.</w:t>
            </w:r>
            <w:r w:rsidRPr="0047210D">
              <w:rPr>
                <w:rFonts w:cs="Arial"/>
                <w:sz w:val="16"/>
                <w:szCs w:val="16"/>
                <w:vertAlign w:val="superscript"/>
              </w:rPr>
              <w:t>2</w:t>
            </w:r>
            <w:r w:rsidRPr="0047210D">
              <w:rPr>
                <w:rFonts w:cs="Arial"/>
                <w:sz w:val="16"/>
                <w:szCs w:val="16"/>
              </w:rPr>
              <w:t xml:space="preserve"> Azithromycin has the advantage of once daily dosing and shorter duration of therapy. In infants 1 month of age and older, CDC recommends erythromycin, clarithromycin and azithromycin as preferred agents for the treatment of pertussis.</w:t>
            </w:r>
            <w:r w:rsidRPr="0047210D">
              <w:rPr>
                <w:sz w:val="16"/>
                <w:szCs w:val="16"/>
              </w:rPr>
              <w:t xml:space="preserve"> </w:t>
            </w:r>
            <w:r w:rsidRPr="0047210D">
              <w:rPr>
                <w:rFonts w:cs="Arial"/>
                <w:sz w:val="16"/>
                <w:szCs w:val="16"/>
              </w:rPr>
              <w:t>For infants 2 months of age and older, an alternative to macrolides is trimethoprim-sulfamethoxazole. Recommended azithromycin dose for both treatment and PEP is the same for infants &lt;6 months of age: 10 mg/kg/day once a day for 5 days (only limited safety data are available)</w:t>
            </w:r>
            <w:r w:rsidRPr="0047210D">
              <w:rPr>
                <w:rFonts w:cs="Arial"/>
                <w:sz w:val="16"/>
                <w:szCs w:val="16"/>
                <w:vertAlign w:val="superscript"/>
              </w:rPr>
              <w:t>2</w:t>
            </w:r>
          </w:p>
          <w:p w:rsidRPr="0047210D" w:rsidR="000D1E13" w:rsidP="000D1E13" w:rsidRDefault="000D1E13" w14:paraId="33C7E108" w14:textId="77777777">
            <w:pPr>
              <w:pStyle w:val="BodyText"/>
              <w:rPr>
                <w:rFonts w:cs="Arial"/>
                <w:sz w:val="16"/>
                <w:szCs w:val="16"/>
              </w:rPr>
            </w:pPr>
          </w:p>
          <w:p w:rsidRPr="0047210D" w:rsidR="000D1E13" w:rsidP="000D1E13" w:rsidRDefault="000D1E13" w14:paraId="1610BB36" w14:textId="77777777">
            <w:pPr>
              <w:pStyle w:val="BodyText"/>
              <w:rPr>
                <w:rFonts w:cs="Arial"/>
                <w:sz w:val="16"/>
                <w:szCs w:val="16"/>
                <w:u w:val="single"/>
              </w:rPr>
            </w:pPr>
            <w:r w:rsidRPr="0047210D">
              <w:rPr>
                <w:rFonts w:cs="Arial"/>
                <w:sz w:val="16"/>
                <w:szCs w:val="16"/>
                <w:u w:val="single"/>
              </w:rPr>
              <w:t>Treatment of chlamydial conjunctivitis and pneumonia</w:t>
            </w:r>
          </w:p>
          <w:p w:rsidRPr="0047210D" w:rsidR="000D1E13" w:rsidP="000D1E13" w:rsidRDefault="000D1E13" w14:paraId="1AEACF26" w14:textId="77777777">
            <w:pPr>
              <w:pStyle w:val="BodyText"/>
              <w:rPr>
                <w:rFonts w:cs="Arial"/>
                <w:sz w:val="16"/>
                <w:szCs w:val="16"/>
              </w:rPr>
            </w:pPr>
            <w:r w:rsidRPr="0047210D">
              <w:rPr>
                <w:rFonts w:cs="Arial"/>
                <w:i/>
                <w:sz w:val="16"/>
                <w:szCs w:val="16"/>
              </w:rPr>
              <w:t>C. trachomatis</w:t>
            </w:r>
            <w:r w:rsidRPr="0047210D">
              <w:rPr>
                <w:rFonts w:cs="Arial"/>
                <w:sz w:val="16"/>
                <w:szCs w:val="16"/>
              </w:rPr>
              <w:t xml:space="preserve"> infection in neonates is most frequently recognised by conjunctivitis that develops 5–12 days after birth. </w:t>
            </w:r>
            <w:r w:rsidRPr="0047210D">
              <w:rPr>
                <w:rFonts w:cs="Arial"/>
                <w:i/>
                <w:sz w:val="16"/>
                <w:szCs w:val="16"/>
              </w:rPr>
              <w:t>C. trachomatis</w:t>
            </w:r>
            <w:r w:rsidRPr="0047210D">
              <w:rPr>
                <w:rFonts w:cs="Arial"/>
                <w:sz w:val="16"/>
                <w:szCs w:val="16"/>
              </w:rPr>
              <w:t xml:space="preserve"> also can cause a subacute, afebrile pneumonia with onset at ages 1–3 months. There are limited data on the efficacy of azithromycin regimens in newborns. Hammerschlag 1998 reported oral azithromycin 20 mg/kg/day single dose resulted in 2 of 5 treatment failures and oral azithromycin 20 mg/kg/day single dose for 3 days resulted in 1 of 6 treatment failures.</w:t>
            </w:r>
            <w:r w:rsidRPr="0047210D">
              <w:rPr>
                <w:rFonts w:cs="Arial"/>
                <w:sz w:val="16"/>
                <w:szCs w:val="16"/>
                <w:vertAlign w:val="superscript"/>
              </w:rPr>
              <w:t>3</w:t>
            </w:r>
            <w:r w:rsidRPr="0047210D">
              <w:rPr>
                <w:rFonts w:cs="Arial"/>
                <w:sz w:val="16"/>
                <w:szCs w:val="16"/>
              </w:rPr>
              <w:t xml:space="preserve"> However, azithromycin has been extensively trialled for eradication of </w:t>
            </w:r>
            <w:r w:rsidRPr="0047210D">
              <w:rPr>
                <w:rFonts w:cs="Arial"/>
                <w:i/>
                <w:sz w:val="16"/>
                <w:szCs w:val="16"/>
              </w:rPr>
              <w:t>C.</w:t>
            </w:r>
            <w:r w:rsidRPr="0047210D">
              <w:rPr>
                <w:rFonts w:cs="Arial"/>
                <w:sz w:val="16"/>
                <w:szCs w:val="16"/>
              </w:rPr>
              <w:t xml:space="preserve"> </w:t>
            </w:r>
            <w:r w:rsidRPr="0047210D">
              <w:rPr>
                <w:rFonts w:cs="Arial"/>
                <w:i/>
                <w:sz w:val="16"/>
                <w:szCs w:val="16"/>
              </w:rPr>
              <w:t>trachomatis</w:t>
            </w:r>
            <w:r w:rsidRPr="0047210D">
              <w:rPr>
                <w:rFonts w:cs="Arial"/>
                <w:sz w:val="16"/>
                <w:szCs w:val="16"/>
              </w:rPr>
              <w:t xml:space="preserve"> in populations including infants and children.</w:t>
            </w:r>
            <w:r w:rsidRPr="0047210D">
              <w:rPr>
                <w:rFonts w:cs="Arial"/>
                <w:sz w:val="16"/>
                <w:szCs w:val="16"/>
                <w:vertAlign w:val="superscript"/>
              </w:rPr>
              <w:t xml:space="preserve">4-6 </w:t>
            </w:r>
            <w:r w:rsidRPr="0047210D">
              <w:rPr>
                <w:rFonts w:cs="Arial"/>
                <w:sz w:val="16"/>
                <w:szCs w:val="16"/>
              </w:rPr>
              <w:t xml:space="preserve">Use of azithromycin for prevention of bronchopulmonary dysplasia provides some safety data in premature infants (see below).  </w:t>
            </w:r>
          </w:p>
          <w:p w:rsidRPr="0047210D" w:rsidR="000D1E13" w:rsidP="000D1E13" w:rsidRDefault="000D1E13" w14:paraId="3D19B80D" w14:textId="77777777">
            <w:pPr>
              <w:pStyle w:val="BodyText"/>
              <w:rPr>
                <w:rFonts w:cs="Arial" w:asciiTheme="minorHAnsi" w:hAnsiTheme="minorHAnsi"/>
                <w:sz w:val="16"/>
                <w:szCs w:val="16"/>
              </w:rPr>
            </w:pPr>
            <w:r w:rsidRPr="0047210D">
              <w:rPr>
                <w:rFonts w:cs="Arial" w:asciiTheme="minorHAnsi" w:hAnsiTheme="minorHAnsi"/>
                <w:sz w:val="16"/>
                <w:szCs w:val="16"/>
              </w:rPr>
              <w:t xml:space="preserve">Recommendation: </w:t>
            </w:r>
            <w:r w:rsidRPr="0047210D">
              <w:rPr>
                <w:rFonts w:cs="Arial"/>
                <w:sz w:val="16"/>
                <w:szCs w:val="16"/>
              </w:rPr>
              <w:t>The Centers for Disease Control and Prevention (CDC) recommend oral erythromycin 50 mg/kg per day given orally in four divided doses for 14 days for either chlamydial conjunctivitis or pneumonia. An alternative regimen is azithromycin 20 mg/kg/day once daily for 3 days. Topical antibiotic therapy alone is inadequate and is unnecessary when systemic treatment is administered.</w:t>
            </w:r>
            <w:r w:rsidRPr="0047210D">
              <w:rPr>
                <w:rFonts w:cs="Arial" w:asciiTheme="minorHAnsi" w:hAnsiTheme="minorHAnsi"/>
                <w:sz w:val="16"/>
                <w:szCs w:val="16"/>
                <w:vertAlign w:val="superscript"/>
              </w:rPr>
              <w:t>7</w:t>
            </w:r>
            <w:r w:rsidRPr="0047210D">
              <w:rPr>
                <w:rFonts w:cs="Arial" w:asciiTheme="minorHAnsi" w:hAnsiTheme="minorHAnsi"/>
                <w:sz w:val="16"/>
                <w:szCs w:val="16"/>
              </w:rPr>
              <w:t xml:space="preserve"> </w:t>
            </w:r>
          </w:p>
          <w:p w:rsidRPr="0047210D" w:rsidR="000D1E13" w:rsidP="000D1E13" w:rsidRDefault="000D1E13" w14:paraId="1EB69CFF" w14:textId="77777777">
            <w:pPr>
              <w:pStyle w:val="BodyText"/>
              <w:rPr>
                <w:rFonts w:cs="Arial" w:asciiTheme="minorHAnsi" w:hAnsiTheme="minorHAnsi"/>
                <w:b/>
                <w:sz w:val="16"/>
                <w:szCs w:val="16"/>
              </w:rPr>
            </w:pPr>
          </w:p>
          <w:p w:rsidRPr="0047210D" w:rsidR="000D1E13" w:rsidP="000D1E13" w:rsidRDefault="000D1E13" w14:paraId="5EB1A70B" w14:textId="77777777">
            <w:pPr>
              <w:pStyle w:val="BodyText"/>
              <w:rPr>
                <w:rFonts w:cs="Arial" w:asciiTheme="minorHAnsi" w:hAnsiTheme="minorHAnsi"/>
                <w:sz w:val="16"/>
                <w:szCs w:val="16"/>
                <w:u w:val="single"/>
              </w:rPr>
            </w:pPr>
            <w:r w:rsidRPr="0047210D">
              <w:rPr>
                <w:rFonts w:cs="Arial" w:asciiTheme="minorHAnsi" w:hAnsiTheme="minorHAnsi"/>
                <w:sz w:val="16"/>
                <w:szCs w:val="16"/>
                <w:u w:val="single"/>
              </w:rPr>
              <w:t xml:space="preserve">Pneumonia due to </w:t>
            </w:r>
            <w:r w:rsidRPr="0047210D">
              <w:rPr>
                <w:rFonts w:cs="Arial" w:asciiTheme="minorHAnsi" w:hAnsiTheme="minorHAnsi"/>
                <w:i/>
                <w:sz w:val="16"/>
                <w:szCs w:val="16"/>
                <w:u w:val="single"/>
              </w:rPr>
              <w:t>Chlamydia trachomatis</w:t>
            </w:r>
            <w:r w:rsidRPr="0047210D">
              <w:rPr>
                <w:rFonts w:cs="Arial" w:asciiTheme="minorHAnsi" w:hAnsiTheme="minorHAnsi"/>
                <w:sz w:val="16"/>
                <w:szCs w:val="16"/>
                <w:u w:val="single"/>
              </w:rPr>
              <w:t xml:space="preserve"> or </w:t>
            </w:r>
            <w:r w:rsidRPr="0047210D">
              <w:rPr>
                <w:rFonts w:cs="Arial" w:asciiTheme="minorHAnsi" w:hAnsiTheme="minorHAnsi"/>
                <w:i/>
                <w:sz w:val="16"/>
                <w:szCs w:val="16"/>
                <w:u w:val="single"/>
              </w:rPr>
              <w:t>Mycoplasma pneumoniae</w:t>
            </w:r>
            <w:r w:rsidRPr="0047210D">
              <w:rPr>
                <w:rFonts w:cs="Arial" w:asciiTheme="minorHAnsi" w:hAnsiTheme="minorHAnsi"/>
                <w:sz w:val="16"/>
                <w:szCs w:val="16"/>
                <w:u w:val="single"/>
              </w:rPr>
              <w:t xml:space="preserve"> in infants &gt;3 months of age</w:t>
            </w:r>
          </w:p>
          <w:p w:rsidRPr="0047210D" w:rsidR="000D1E13" w:rsidP="000D1E13" w:rsidRDefault="000D1E13" w14:paraId="60624AFA" w14:textId="77777777">
            <w:pPr>
              <w:pStyle w:val="BodyText"/>
              <w:rPr>
                <w:rFonts w:asciiTheme="minorHAnsi" w:hAnsiTheme="minorHAnsi" w:cstheme="minorHAnsi"/>
                <w:sz w:val="16"/>
                <w:szCs w:val="16"/>
                <w:vertAlign w:val="superscript"/>
              </w:rPr>
            </w:pPr>
            <w:r w:rsidRPr="0047210D">
              <w:rPr>
                <w:rFonts w:cs="Arial" w:asciiTheme="minorHAnsi" w:hAnsiTheme="minorHAnsi"/>
                <w:sz w:val="16"/>
                <w:szCs w:val="16"/>
              </w:rPr>
              <w:t xml:space="preserve">A systematic review of antibiotics for community-acquired lower respiratory tract infections secondary to </w:t>
            </w:r>
            <w:r w:rsidRPr="0047210D">
              <w:rPr>
                <w:rFonts w:cs="Arial" w:asciiTheme="minorHAnsi" w:hAnsiTheme="minorHAnsi"/>
                <w:i/>
                <w:sz w:val="16"/>
                <w:szCs w:val="16"/>
              </w:rPr>
              <w:t>Mycoplasma pneumoniae</w:t>
            </w:r>
            <w:r w:rsidRPr="0047210D">
              <w:rPr>
                <w:rFonts w:cs="Arial" w:asciiTheme="minorHAnsi" w:hAnsiTheme="minorHAnsi"/>
                <w:sz w:val="16"/>
                <w:szCs w:val="16"/>
              </w:rPr>
              <w:t xml:space="preserve"> in children found no </w:t>
            </w:r>
            <w:r w:rsidRPr="0047210D">
              <w:rPr>
                <w:rFonts w:asciiTheme="minorHAnsi" w:hAnsiTheme="minorHAnsi" w:cstheme="minorHAnsi"/>
                <w:sz w:val="16"/>
                <w:szCs w:val="16"/>
              </w:rPr>
              <w:t xml:space="preserve">difference </w:t>
            </w:r>
            <w:r w:rsidRPr="0047210D">
              <w:rPr>
                <w:rFonts w:cs="Arial" w:asciiTheme="minorHAnsi" w:hAnsiTheme="minorHAnsi"/>
                <w:sz w:val="16"/>
                <w:szCs w:val="16"/>
              </w:rPr>
              <w:t xml:space="preserve">in clinical response between children randomised to a macrolide antibiotic and </w:t>
            </w:r>
            <w:r w:rsidRPr="0047210D">
              <w:rPr>
                <w:rFonts w:cs="Arial" w:asciiTheme="minorHAnsi" w:hAnsiTheme="minorHAnsi"/>
                <w:sz w:val="16"/>
                <w:szCs w:val="16"/>
              </w:rPr>
              <w:lastRenderedPageBreak/>
              <w:t xml:space="preserve">children randomised to a non-macrolide antibiotic for infants in whom a diagnosis of mycoplasma or chlamydia pneumonia was not made. In one controlled study of children with recurrent respiratory infections, whose acute LRTI was associated with </w:t>
            </w:r>
            <w:r w:rsidRPr="0047210D">
              <w:rPr>
                <w:rFonts w:cs="Arial" w:asciiTheme="minorHAnsi" w:hAnsiTheme="minorHAnsi"/>
                <w:i/>
                <w:sz w:val="16"/>
                <w:szCs w:val="16"/>
              </w:rPr>
              <w:t>Mycoplasma</w:t>
            </w:r>
            <w:r w:rsidRPr="0047210D">
              <w:rPr>
                <w:rFonts w:cs="Arial" w:asciiTheme="minorHAnsi" w:hAnsiTheme="minorHAnsi"/>
                <w:sz w:val="16"/>
                <w:szCs w:val="16"/>
              </w:rPr>
              <w:t xml:space="preserve">, </w:t>
            </w:r>
            <w:r w:rsidRPr="0047210D">
              <w:rPr>
                <w:rFonts w:cs="Arial" w:asciiTheme="minorHAnsi" w:hAnsiTheme="minorHAnsi"/>
                <w:i/>
                <w:sz w:val="16"/>
                <w:szCs w:val="16"/>
              </w:rPr>
              <w:t>Chlamydia</w:t>
            </w:r>
            <w:r w:rsidRPr="0047210D">
              <w:rPr>
                <w:rFonts w:cs="Arial" w:asciiTheme="minorHAnsi" w:hAnsiTheme="minorHAnsi"/>
                <w:sz w:val="16"/>
                <w:szCs w:val="16"/>
              </w:rPr>
              <w:t xml:space="preserve"> or both, by polymerase chain reaction and/or paired sera, 100% of children treated with azithromycin had clinical resolution of their illness compared to 77% not treated with azithromycin at one month.</w:t>
            </w:r>
            <w:r w:rsidRPr="0047210D">
              <w:rPr>
                <w:rFonts w:asciiTheme="minorHAnsi" w:hAnsiTheme="minorHAnsi" w:cstheme="minorHAnsi"/>
                <w:sz w:val="16"/>
                <w:szCs w:val="16"/>
                <w:vertAlign w:val="superscript"/>
                <w:lang w:eastAsia="en-AU"/>
              </w:rPr>
              <w:t>8</w:t>
            </w:r>
          </w:p>
          <w:p w:rsidRPr="0047210D" w:rsidR="000D1E13" w:rsidP="000D1E13" w:rsidRDefault="000D1E13" w14:paraId="35E34DEF" w14:textId="77777777">
            <w:pPr>
              <w:pStyle w:val="BodyText"/>
              <w:rPr>
                <w:rFonts w:cs="Arial" w:asciiTheme="minorHAnsi" w:hAnsiTheme="minorHAnsi"/>
                <w:sz w:val="16"/>
                <w:szCs w:val="16"/>
              </w:rPr>
            </w:pPr>
            <w:r w:rsidRPr="0047210D">
              <w:rPr>
                <w:rFonts w:cs="Arial" w:asciiTheme="minorHAnsi" w:hAnsiTheme="minorHAnsi"/>
                <w:sz w:val="16"/>
                <w:szCs w:val="16"/>
              </w:rPr>
              <w:t>Recommendation of the Pediatric Infectious Diseases Society and the Infectious Diseases Society of America: Parenteral:</w:t>
            </w:r>
            <w:r w:rsidRPr="0047210D">
              <w:rPr>
                <w:sz w:val="16"/>
                <w:szCs w:val="16"/>
              </w:rPr>
              <w:t xml:space="preserve"> </w:t>
            </w:r>
            <w:r w:rsidRPr="0047210D">
              <w:rPr>
                <w:rFonts w:cs="Arial" w:asciiTheme="minorHAnsi" w:hAnsiTheme="minorHAnsi"/>
                <w:sz w:val="16"/>
                <w:szCs w:val="16"/>
              </w:rPr>
              <w:t>Intravenous azithromycin 10 mg/kg on days 1 and 2 of therapy; transition to oral therapy if possible. Enteral: Azithromycin 10 mg/kg on day 1, followed by 5 mg/kg/day once daily on days 2–5.</w:t>
            </w:r>
            <w:r w:rsidRPr="0047210D">
              <w:rPr>
                <w:rFonts w:cs="Arial" w:asciiTheme="minorHAnsi" w:hAnsiTheme="minorHAnsi"/>
                <w:sz w:val="16"/>
                <w:szCs w:val="16"/>
                <w:vertAlign w:val="superscript"/>
              </w:rPr>
              <w:t>9</w:t>
            </w:r>
          </w:p>
          <w:p w:rsidRPr="0047210D" w:rsidR="000D1E13" w:rsidP="000D1E13" w:rsidRDefault="000D1E13" w14:paraId="6C319FFD" w14:textId="77777777">
            <w:pPr>
              <w:pStyle w:val="BodyText"/>
              <w:rPr>
                <w:rFonts w:cs="Arial" w:asciiTheme="minorHAnsi" w:hAnsiTheme="minorHAnsi"/>
                <w:b/>
                <w:sz w:val="16"/>
                <w:szCs w:val="16"/>
              </w:rPr>
            </w:pPr>
          </w:p>
          <w:p w:rsidRPr="0047210D" w:rsidR="000D1E13" w:rsidP="000D1E13" w:rsidRDefault="000D1E13" w14:paraId="46D3A8C4" w14:textId="77777777">
            <w:pPr>
              <w:pStyle w:val="BodyText"/>
              <w:rPr>
                <w:rFonts w:cs="Arial" w:asciiTheme="minorHAnsi" w:hAnsiTheme="minorHAnsi"/>
                <w:sz w:val="16"/>
                <w:szCs w:val="16"/>
                <w:u w:val="single"/>
              </w:rPr>
            </w:pPr>
            <w:r w:rsidRPr="0047210D">
              <w:rPr>
                <w:rFonts w:cs="Arial" w:asciiTheme="minorHAnsi" w:hAnsiTheme="minorHAnsi"/>
                <w:sz w:val="16"/>
                <w:szCs w:val="16"/>
                <w:u w:val="single"/>
              </w:rPr>
              <w:t>Prevention of bronchopulmonary dysplasia in preterm infants</w:t>
            </w:r>
          </w:p>
          <w:p w:rsidRPr="0047210D" w:rsidR="000D1E13" w:rsidP="000D1E13" w:rsidRDefault="000D1E13" w14:paraId="40FE4AC8" w14:textId="77777777">
            <w:pPr>
              <w:pStyle w:val="BodyText"/>
              <w:rPr>
                <w:rFonts w:cs="Arial" w:asciiTheme="minorHAnsi" w:hAnsiTheme="minorHAnsi"/>
                <w:sz w:val="16"/>
                <w:szCs w:val="16"/>
              </w:rPr>
            </w:pPr>
            <w:r w:rsidRPr="0047210D">
              <w:rPr>
                <w:rFonts w:cs="Arial" w:asciiTheme="minorHAnsi" w:hAnsiTheme="minorHAnsi"/>
                <w:sz w:val="16"/>
                <w:szCs w:val="16"/>
              </w:rPr>
              <w:t xml:space="preserve">Nair et al conducted a systematic review of azithromycin and other macrolides on the incidence of bronchopulmonary dysplasia (BPD) in preterm infants. Macrolides when used prophylactically, did not show significant reduction in BPD (risk ratio, RR, 0.88, 95% CI, 0.75–1.03), death (RR 0.89, 95% CI 0.79–1.01) or in the composite outcome of BPD/death. Similarly, there was no significant reduction in BPD (RR 0.64, 95% CI 0.31–1.31) or the composite outcome of BPD/death (RR 0.41, 95% CI 0.05–3.13), when macrolides were used in </w:t>
            </w:r>
            <w:r w:rsidRPr="0047210D">
              <w:rPr>
                <w:rFonts w:cs="Arial" w:asciiTheme="minorHAnsi" w:hAnsiTheme="minorHAnsi"/>
                <w:i/>
                <w:sz w:val="16"/>
                <w:szCs w:val="16"/>
              </w:rPr>
              <w:t>Ureaplasma</w:t>
            </w:r>
            <w:r w:rsidRPr="0047210D">
              <w:rPr>
                <w:rFonts w:cs="Arial" w:asciiTheme="minorHAnsi" w:hAnsiTheme="minorHAnsi"/>
                <w:sz w:val="16"/>
                <w:szCs w:val="16"/>
              </w:rPr>
              <w:t xml:space="preserve">-positive infants. However, prophylactic azithromycin therapy (3 studies) was associated with significant reduction in BPD (RR 0.83, 95% CI 0.71–0.97; number needed to treat, 10) and of BPD or death (RR 0.86, 95% CI 0.77–0.97; NNT 10). Dose regimens were 10 mg/kg/day for 7 days (2 studies) and 10 mg/kg/day for 7 days followed by 5 mg/kg/day for further 7 days (one study). </w:t>
            </w:r>
          </w:p>
          <w:p w:rsidRPr="0047210D" w:rsidR="000D1E13" w:rsidP="000D1E13" w:rsidRDefault="000D1E13" w14:paraId="7687C3DA" w14:textId="77777777">
            <w:pPr>
              <w:pStyle w:val="BodyText"/>
              <w:rPr>
                <w:rFonts w:cs="Arial" w:asciiTheme="minorHAnsi" w:hAnsiTheme="minorHAnsi"/>
                <w:sz w:val="16"/>
                <w:szCs w:val="16"/>
              </w:rPr>
            </w:pPr>
            <w:r w:rsidRPr="0047210D">
              <w:rPr>
                <w:rFonts w:cs="Arial" w:asciiTheme="minorHAnsi" w:hAnsiTheme="minorHAnsi"/>
                <w:sz w:val="16"/>
                <w:szCs w:val="16"/>
              </w:rPr>
              <w:t>Conclusion: Although prophylactic azithromycin therapy was associated with a reduction in BPD and BPD/death in preterm infants, there is limited information on pharmacokinetics and potential harmful effects; further studies should be done before routine use of azithromycin in the neonatal population.</w:t>
            </w:r>
            <w:r w:rsidRPr="0047210D">
              <w:rPr>
                <w:rFonts w:cs="Arial" w:asciiTheme="minorHAnsi" w:hAnsiTheme="minorHAnsi"/>
                <w:sz w:val="16"/>
                <w:szCs w:val="16"/>
                <w:vertAlign w:val="superscript"/>
              </w:rPr>
              <w:t>11</w:t>
            </w:r>
            <w:r w:rsidRPr="0047210D">
              <w:rPr>
                <w:rFonts w:cs="Arial" w:asciiTheme="minorHAnsi" w:hAnsiTheme="minorHAnsi"/>
                <w:sz w:val="16"/>
                <w:szCs w:val="16"/>
              </w:rPr>
              <w:t xml:space="preserve"> </w:t>
            </w:r>
          </w:p>
          <w:p w:rsidRPr="0047210D" w:rsidR="000D1E13" w:rsidP="000D1E13" w:rsidRDefault="000D1E13" w14:paraId="5171834C" w14:textId="77777777">
            <w:pPr>
              <w:pStyle w:val="BodyText"/>
              <w:rPr>
                <w:rFonts w:cs="Arial" w:asciiTheme="minorHAnsi" w:hAnsiTheme="minorHAnsi"/>
                <w:sz w:val="16"/>
                <w:szCs w:val="16"/>
              </w:rPr>
            </w:pPr>
          </w:p>
          <w:p w:rsidRPr="0047210D" w:rsidR="000D1E13" w:rsidP="000D1E13" w:rsidRDefault="000D1E13" w14:paraId="0AC6D341" w14:textId="77777777">
            <w:pPr>
              <w:pStyle w:val="BodyText"/>
              <w:rPr>
                <w:rFonts w:cs="Arial" w:asciiTheme="minorHAnsi" w:hAnsiTheme="minorHAnsi"/>
                <w:sz w:val="16"/>
                <w:szCs w:val="16"/>
                <w:u w:val="single"/>
              </w:rPr>
            </w:pPr>
            <w:r w:rsidRPr="0047210D">
              <w:rPr>
                <w:rFonts w:cs="Arial" w:asciiTheme="minorHAnsi" w:hAnsiTheme="minorHAnsi"/>
                <w:sz w:val="16"/>
                <w:szCs w:val="16"/>
                <w:u w:val="single"/>
              </w:rPr>
              <w:t xml:space="preserve">Eradication of </w:t>
            </w:r>
            <w:r w:rsidRPr="0047210D">
              <w:rPr>
                <w:rFonts w:cs="Arial" w:asciiTheme="minorHAnsi" w:hAnsiTheme="minorHAnsi"/>
                <w:i/>
                <w:sz w:val="16"/>
                <w:szCs w:val="16"/>
                <w:u w:val="single"/>
              </w:rPr>
              <w:t>Ureaplasma</w:t>
            </w:r>
            <w:r w:rsidRPr="0047210D">
              <w:rPr>
                <w:rFonts w:cs="Arial" w:asciiTheme="minorHAnsi" w:hAnsiTheme="minorHAnsi"/>
                <w:sz w:val="16"/>
                <w:szCs w:val="16"/>
                <w:u w:val="single"/>
              </w:rPr>
              <w:t xml:space="preserve"> in preterm infants</w:t>
            </w:r>
          </w:p>
          <w:p w:rsidRPr="0047210D" w:rsidR="000D1E13" w:rsidP="000D1E13" w:rsidRDefault="000D1E13" w14:paraId="08A31386" w14:textId="77777777">
            <w:pPr>
              <w:pStyle w:val="BodyText"/>
              <w:rPr>
                <w:rFonts w:cs="Arial" w:asciiTheme="minorHAnsi" w:hAnsiTheme="minorHAnsi"/>
                <w:sz w:val="16"/>
                <w:szCs w:val="16"/>
                <w:vertAlign w:val="superscript"/>
              </w:rPr>
            </w:pPr>
            <w:r w:rsidRPr="0047210D">
              <w:rPr>
                <w:rFonts w:cs="Arial" w:asciiTheme="minorHAnsi" w:hAnsiTheme="minorHAnsi"/>
                <w:sz w:val="16"/>
                <w:szCs w:val="16"/>
              </w:rPr>
              <w:t xml:space="preserve">A 3-day course of 20 mg/kg/day IV azithromycin commencing treatment within 72 hours of life in 24–28 weeks GA infants showed efficacy in eradicating </w:t>
            </w:r>
            <w:r w:rsidRPr="0047210D">
              <w:rPr>
                <w:rFonts w:cs="Arial" w:asciiTheme="minorHAnsi" w:hAnsiTheme="minorHAnsi"/>
                <w:i/>
                <w:sz w:val="16"/>
                <w:szCs w:val="16"/>
              </w:rPr>
              <w:t>Ureaplasma spp.</w:t>
            </w:r>
            <w:r w:rsidRPr="0047210D">
              <w:rPr>
                <w:rFonts w:cs="Arial" w:asciiTheme="minorHAnsi" w:hAnsiTheme="minorHAnsi"/>
                <w:sz w:val="16"/>
                <w:szCs w:val="16"/>
              </w:rPr>
              <w:t xml:space="preserve"> from the preterm respiratory tract.</w:t>
            </w:r>
            <w:r w:rsidRPr="0047210D">
              <w:rPr>
                <w:rFonts w:cs="Arial" w:asciiTheme="minorHAnsi" w:hAnsiTheme="minorHAnsi"/>
                <w:sz w:val="16"/>
                <w:szCs w:val="16"/>
                <w:vertAlign w:val="superscript"/>
              </w:rPr>
              <w:t>12</w:t>
            </w:r>
            <w:r w:rsidRPr="0047210D">
              <w:rPr>
                <w:rFonts w:cs="Arial" w:asciiTheme="minorHAnsi" w:hAnsiTheme="minorHAnsi"/>
                <w:sz w:val="16"/>
                <w:szCs w:val="16"/>
              </w:rPr>
              <w:t xml:space="preserve"> All post-treatment cultures were negative. Side effects reported in this study were related to prematurity. However, systematic review found no significant reduction in BPD (RR 0.64, 95% CI 0.31–1.31) or the composite outcome of BPD/death (RR 0.41, 95% CI 0.05–3.13), when macrolides were used in </w:t>
            </w:r>
            <w:r w:rsidRPr="0047210D">
              <w:rPr>
                <w:rFonts w:cs="Arial" w:asciiTheme="minorHAnsi" w:hAnsiTheme="minorHAnsi"/>
                <w:i/>
                <w:sz w:val="16"/>
                <w:szCs w:val="16"/>
              </w:rPr>
              <w:t>Ureaplasma</w:t>
            </w:r>
            <w:r w:rsidRPr="0047210D">
              <w:rPr>
                <w:rFonts w:cs="Arial" w:asciiTheme="minorHAnsi" w:hAnsiTheme="minorHAnsi"/>
                <w:sz w:val="16"/>
                <w:szCs w:val="16"/>
              </w:rPr>
              <w:t xml:space="preserve">-positive infants. Conclusion: The efficacy and safety of using macrolide antibiotics for eradication of </w:t>
            </w:r>
            <w:r w:rsidRPr="0047210D">
              <w:rPr>
                <w:rFonts w:cs="Arial" w:asciiTheme="minorHAnsi" w:hAnsiTheme="minorHAnsi"/>
                <w:i/>
                <w:sz w:val="16"/>
                <w:szCs w:val="16"/>
              </w:rPr>
              <w:t>Ureaplasma</w:t>
            </w:r>
            <w:r w:rsidRPr="0047210D">
              <w:rPr>
                <w:rFonts w:cs="Arial" w:asciiTheme="minorHAnsi" w:hAnsiTheme="minorHAnsi"/>
                <w:sz w:val="16"/>
                <w:szCs w:val="16"/>
              </w:rPr>
              <w:t xml:space="preserve"> is unproven.</w:t>
            </w:r>
            <w:r w:rsidRPr="0047210D">
              <w:rPr>
                <w:rFonts w:cs="Arial" w:asciiTheme="minorHAnsi" w:hAnsiTheme="minorHAnsi"/>
                <w:sz w:val="16"/>
                <w:szCs w:val="16"/>
                <w:vertAlign w:val="superscript"/>
              </w:rPr>
              <w:t>11</w:t>
            </w:r>
          </w:p>
          <w:p w:rsidRPr="0047210D" w:rsidR="000D1E13" w:rsidP="000D1E13" w:rsidRDefault="000D1E13" w14:paraId="7330A3EA" w14:textId="77777777">
            <w:pPr>
              <w:pStyle w:val="BodyText"/>
              <w:rPr>
                <w:rFonts w:cs="Arial" w:asciiTheme="minorHAnsi" w:hAnsiTheme="minorHAnsi"/>
                <w:sz w:val="16"/>
                <w:szCs w:val="16"/>
              </w:rPr>
            </w:pPr>
          </w:p>
          <w:p w:rsidRPr="0047210D" w:rsidR="000D1E13" w:rsidP="000D1E13" w:rsidRDefault="000D1E13" w14:paraId="2C0D369A" w14:textId="77777777">
            <w:pPr>
              <w:pStyle w:val="BodyText"/>
              <w:rPr>
                <w:rFonts w:cs="Arial" w:asciiTheme="minorHAnsi" w:hAnsiTheme="minorHAnsi"/>
                <w:b/>
                <w:sz w:val="16"/>
                <w:szCs w:val="16"/>
              </w:rPr>
            </w:pPr>
            <w:r w:rsidRPr="0047210D">
              <w:rPr>
                <w:rFonts w:cs="Arial" w:asciiTheme="minorHAnsi" w:hAnsiTheme="minorHAnsi"/>
                <w:b/>
                <w:sz w:val="16"/>
                <w:szCs w:val="16"/>
              </w:rPr>
              <w:t>Bioavailability</w:t>
            </w:r>
          </w:p>
          <w:p w:rsidRPr="0047210D" w:rsidR="000D1E13" w:rsidP="000D1E13" w:rsidRDefault="000D1E13" w14:paraId="11F48FAF" w14:textId="77777777">
            <w:pPr>
              <w:pStyle w:val="BodyText"/>
              <w:rPr>
                <w:rFonts w:cs="Arial" w:asciiTheme="minorHAnsi" w:hAnsiTheme="minorHAnsi"/>
                <w:sz w:val="16"/>
                <w:szCs w:val="16"/>
              </w:rPr>
            </w:pPr>
            <w:r w:rsidRPr="0047210D">
              <w:rPr>
                <w:rFonts w:cs="Arial" w:asciiTheme="minorHAnsi" w:hAnsiTheme="minorHAnsi"/>
                <w:sz w:val="16"/>
                <w:szCs w:val="16"/>
              </w:rPr>
              <w:t>Bioavailability of oral azithromycin is 38%.</w:t>
            </w:r>
            <w:r w:rsidRPr="0047210D">
              <w:rPr>
                <w:rFonts w:cs="Arial" w:asciiTheme="minorHAnsi" w:hAnsiTheme="minorHAnsi"/>
                <w:sz w:val="16"/>
                <w:szCs w:val="16"/>
                <w:vertAlign w:val="superscript"/>
              </w:rPr>
              <w:t>13</w:t>
            </w:r>
          </w:p>
          <w:p w:rsidRPr="0047210D" w:rsidR="000D1E13" w:rsidP="000D1E13" w:rsidRDefault="000D1E13" w14:paraId="6E38E8F7" w14:textId="77777777">
            <w:pPr>
              <w:pStyle w:val="BodyText"/>
              <w:rPr>
                <w:rFonts w:cs="Arial" w:asciiTheme="minorHAnsi" w:hAnsiTheme="minorHAnsi"/>
                <w:sz w:val="16"/>
                <w:szCs w:val="16"/>
              </w:rPr>
            </w:pPr>
          </w:p>
          <w:p w:rsidRPr="0047210D" w:rsidR="000D1E13" w:rsidP="000D1E13" w:rsidRDefault="000D1E13" w14:paraId="184E3502" w14:textId="77777777">
            <w:pPr>
              <w:pStyle w:val="BodyText"/>
              <w:rPr>
                <w:rFonts w:cs="Arial" w:asciiTheme="minorHAnsi" w:hAnsiTheme="minorHAnsi"/>
                <w:b/>
                <w:sz w:val="16"/>
                <w:szCs w:val="16"/>
              </w:rPr>
            </w:pPr>
            <w:r w:rsidRPr="0047210D">
              <w:rPr>
                <w:rFonts w:cs="Arial" w:asciiTheme="minorHAnsi" w:hAnsiTheme="minorHAnsi"/>
                <w:b/>
                <w:sz w:val="16"/>
                <w:szCs w:val="16"/>
              </w:rPr>
              <w:t>Safety</w:t>
            </w:r>
          </w:p>
          <w:p w:rsidRPr="0047210D" w:rsidR="000D1E13" w:rsidP="000D1E13" w:rsidRDefault="000D1E13" w14:paraId="0B544926" w14:textId="77777777">
            <w:pPr>
              <w:pStyle w:val="BodyText"/>
              <w:rPr>
                <w:rFonts w:cs="Arial" w:asciiTheme="minorHAnsi" w:hAnsiTheme="minorHAnsi"/>
                <w:sz w:val="16"/>
                <w:szCs w:val="16"/>
                <w:vertAlign w:val="superscript"/>
              </w:rPr>
            </w:pPr>
            <w:r w:rsidRPr="0047210D">
              <w:rPr>
                <w:rFonts w:cs="Arial" w:asciiTheme="minorHAnsi" w:hAnsiTheme="minorHAnsi"/>
                <w:sz w:val="16"/>
                <w:szCs w:val="16"/>
              </w:rPr>
              <w:t>Eberly et al</w:t>
            </w:r>
            <w:r w:rsidRPr="0047210D">
              <w:rPr>
                <w:rFonts w:cs="Arial" w:asciiTheme="minorHAnsi" w:hAnsiTheme="minorHAnsi"/>
                <w:sz w:val="16"/>
                <w:szCs w:val="16"/>
                <w:vertAlign w:val="superscript"/>
              </w:rPr>
              <w:t>14</w:t>
            </w:r>
            <w:r w:rsidRPr="0047210D">
              <w:rPr>
                <w:rFonts w:cs="Arial" w:asciiTheme="minorHAnsi" w:hAnsiTheme="minorHAnsi"/>
                <w:sz w:val="16"/>
                <w:szCs w:val="16"/>
              </w:rPr>
              <w:t xml:space="preserve"> reviewed 2466 children who developed infantile hypertrophic pyloric stenosis. Azithromycin exposure in the first 14 days had an odds ratio (OR) of 8.26 and, at 15–42 days, an OR of 2.98. No association was identified between day 43 and day 90. A systematic review of 11 articles involving 473 neonates found no significant difference in the incidence of elevated liver enzymes between the azithromycin and placebo group and reported 4 cases of infantile hypertrophic pyloric stenosis (&lt;1%).</w:t>
            </w:r>
            <w:r w:rsidRPr="0047210D">
              <w:rPr>
                <w:rFonts w:cs="Arial" w:asciiTheme="minorHAnsi" w:hAnsiTheme="minorHAnsi"/>
                <w:sz w:val="16"/>
                <w:szCs w:val="16"/>
                <w:vertAlign w:val="superscript"/>
              </w:rPr>
              <w:t>15</w:t>
            </w:r>
          </w:p>
          <w:p w:rsidRPr="0047210D" w:rsidR="000D1E13" w:rsidP="000D1E13" w:rsidRDefault="000D1E13" w14:paraId="3B86EBDB" w14:textId="77777777">
            <w:pPr>
              <w:pStyle w:val="BodyText"/>
              <w:rPr>
                <w:rFonts w:cs="Arial" w:asciiTheme="minorHAnsi" w:hAnsiTheme="minorHAnsi"/>
                <w:sz w:val="16"/>
                <w:szCs w:val="16"/>
              </w:rPr>
            </w:pPr>
          </w:p>
          <w:p w:rsidRPr="0047210D" w:rsidR="000D1E13" w:rsidP="000D1E13" w:rsidRDefault="000D1E13" w14:paraId="4212FB1D" w14:textId="77777777">
            <w:pPr>
              <w:pStyle w:val="BodyText"/>
              <w:rPr>
                <w:rFonts w:cs="Arial" w:asciiTheme="minorHAnsi" w:hAnsiTheme="minorHAnsi"/>
                <w:b/>
                <w:sz w:val="16"/>
                <w:szCs w:val="16"/>
              </w:rPr>
            </w:pPr>
            <w:r w:rsidRPr="0047210D">
              <w:rPr>
                <w:rFonts w:cs="Arial" w:asciiTheme="minorHAnsi" w:hAnsiTheme="minorHAnsi"/>
                <w:b/>
                <w:sz w:val="16"/>
                <w:szCs w:val="16"/>
              </w:rPr>
              <w:t>Pharmacokinetics</w:t>
            </w:r>
          </w:p>
          <w:p w:rsidRPr="0047210D" w:rsidR="000D1E13" w:rsidP="000D1E13" w:rsidRDefault="000D1E13" w14:paraId="6D38571B" w14:textId="77777777">
            <w:pPr>
              <w:pStyle w:val="BodyText"/>
              <w:rPr>
                <w:rFonts w:cs="Arial"/>
                <w:sz w:val="16"/>
                <w:szCs w:val="16"/>
              </w:rPr>
            </w:pPr>
            <w:r w:rsidRPr="0047210D">
              <w:rPr>
                <w:rFonts w:cs="Arial"/>
                <w:sz w:val="16"/>
                <w:szCs w:val="16"/>
              </w:rPr>
              <w:t>Preterm neonates have reduced azithromycin clearance and increased volume of distribution compared to older children.</w:t>
            </w:r>
            <w:r w:rsidRPr="0047210D">
              <w:rPr>
                <w:sz w:val="16"/>
                <w:szCs w:val="16"/>
              </w:rPr>
              <w:t xml:space="preserve"> </w:t>
            </w:r>
            <w:r w:rsidRPr="0047210D">
              <w:rPr>
                <w:rFonts w:cs="Arial"/>
                <w:sz w:val="16"/>
                <w:szCs w:val="16"/>
              </w:rPr>
              <w:t>The estimated half-life is approximately 58 hours for a typical 1 kg neonate.</w:t>
            </w:r>
            <w:r w:rsidRPr="0047210D">
              <w:rPr>
                <w:sz w:val="16"/>
                <w:szCs w:val="16"/>
              </w:rPr>
              <w:t xml:space="preserve"> </w:t>
            </w:r>
            <w:r w:rsidRPr="0047210D">
              <w:rPr>
                <w:rFonts w:cs="Arial"/>
                <w:sz w:val="16"/>
                <w:szCs w:val="16"/>
              </w:rPr>
              <w:t>Once administered, very little of azithromycin resides in the plasma and the vast majority of azithromycin accumulates intracellularly leading to a prolonged elimination t</w:t>
            </w:r>
            <w:r w:rsidRPr="0047210D">
              <w:rPr>
                <w:rFonts w:cs="Arial"/>
                <w:sz w:val="16"/>
                <w:szCs w:val="16"/>
                <w:vertAlign w:val="subscript"/>
              </w:rPr>
              <w:t>1/2</w:t>
            </w:r>
            <w:r w:rsidRPr="0047210D">
              <w:rPr>
                <w:rFonts w:cs="Arial"/>
                <w:sz w:val="16"/>
                <w:szCs w:val="16"/>
              </w:rPr>
              <w:t xml:space="preserve"> and extended mean residence time (MRT). These characteristics</w:t>
            </w:r>
            <w:r w:rsidRPr="0047210D">
              <w:rPr>
                <w:sz w:val="16"/>
                <w:szCs w:val="16"/>
              </w:rPr>
              <w:t xml:space="preserve"> </w:t>
            </w:r>
            <w:r w:rsidRPr="0047210D">
              <w:rPr>
                <w:rFonts w:cs="Arial"/>
                <w:sz w:val="16"/>
                <w:szCs w:val="16"/>
              </w:rPr>
              <w:t>favour administering higher dosage regimens of azithromycin.</w:t>
            </w:r>
            <w:r w:rsidRPr="0047210D">
              <w:rPr>
                <w:sz w:val="16"/>
                <w:szCs w:val="16"/>
              </w:rPr>
              <w:t xml:space="preserve"> </w:t>
            </w:r>
            <w:r w:rsidRPr="0047210D">
              <w:rPr>
                <w:rFonts w:cs="Arial"/>
                <w:sz w:val="16"/>
                <w:szCs w:val="16"/>
              </w:rPr>
              <w:t xml:space="preserve">For effective </w:t>
            </w:r>
            <w:r w:rsidRPr="0047210D">
              <w:rPr>
                <w:rFonts w:cs="Arial"/>
                <w:i/>
                <w:sz w:val="16"/>
                <w:szCs w:val="16"/>
              </w:rPr>
              <w:t>Ureaplasma</w:t>
            </w:r>
            <w:r w:rsidRPr="0047210D">
              <w:rPr>
                <w:rFonts w:cs="Arial"/>
                <w:sz w:val="16"/>
                <w:szCs w:val="16"/>
              </w:rPr>
              <w:t xml:space="preserve"> eradication, the plasma concentration of free unbound azithromycin must be maintained above the minimum inhibitory concentration that is required to inhibit 50% (MIC</w:t>
            </w:r>
            <w:r w:rsidRPr="0047210D">
              <w:rPr>
                <w:rFonts w:cs="Arial"/>
                <w:sz w:val="16"/>
                <w:szCs w:val="16"/>
                <w:vertAlign w:val="subscript"/>
              </w:rPr>
              <w:t>50</w:t>
            </w:r>
            <w:r w:rsidRPr="0047210D">
              <w:rPr>
                <w:rFonts w:cs="Arial"/>
                <w:sz w:val="16"/>
                <w:szCs w:val="16"/>
              </w:rPr>
              <w:t xml:space="preserve">) of </w:t>
            </w:r>
            <w:r w:rsidRPr="0047210D">
              <w:rPr>
                <w:rFonts w:cs="Arial"/>
                <w:i/>
                <w:sz w:val="16"/>
                <w:szCs w:val="16"/>
              </w:rPr>
              <w:t>Ureaplasma</w:t>
            </w:r>
            <w:r w:rsidRPr="0047210D">
              <w:rPr>
                <w:rFonts w:cs="Arial"/>
                <w:sz w:val="16"/>
                <w:szCs w:val="16"/>
              </w:rPr>
              <w:t>. Multiple dose administration of 10 mg/kg/day for 3 days azithromycin is inadequate to maintain azithromycin plasma concentrations above the MIC</w:t>
            </w:r>
            <w:r w:rsidRPr="0047210D">
              <w:rPr>
                <w:rFonts w:cs="Arial"/>
                <w:sz w:val="16"/>
                <w:szCs w:val="16"/>
                <w:vertAlign w:val="subscript"/>
              </w:rPr>
              <w:t>50</w:t>
            </w:r>
            <w:r w:rsidRPr="0047210D">
              <w:rPr>
                <w:rFonts w:cs="Arial"/>
                <w:sz w:val="16"/>
                <w:szCs w:val="16"/>
              </w:rPr>
              <w:t>. On the other hand, a dosage regimen of 20 mg/kg/day for 3 days would be sufficient to maintain azithromycin plasma concentration above the MIC</w:t>
            </w:r>
            <w:r w:rsidRPr="0047210D">
              <w:rPr>
                <w:rFonts w:cs="Arial"/>
                <w:sz w:val="16"/>
                <w:szCs w:val="16"/>
                <w:vertAlign w:val="subscript"/>
              </w:rPr>
              <w:t>50</w:t>
            </w:r>
            <w:r w:rsidRPr="0047210D">
              <w:rPr>
                <w:rFonts w:cs="Arial"/>
                <w:sz w:val="16"/>
                <w:szCs w:val="16"/>
              </w:rPr>
              <w:t>.</w:t>
            </w:r>
            <w:r w:rsidRPr="0047210D">
              <w:rPr>
                <w:rFonts w:cs="Arial"/>
                <w:sz w:val="16"/>
                <w:szCs w:val="16"/>
                <w:vertAlign w:val="superscript"/>
              </w:rPr>
              <w:t>16</w:t>
            </w:r>
          </w:p>
          <w:p w:rsidRPr="0047210D" w:rsidR="000D1E13" w:rsidP="000D1E13" w:rsidRDefault="000D1E13" w14:paraId="2572A344" w14:textId="77777777">
            <w:pPr>
              <w:pStyle w:val="BodyText"/>
              <w:rPr>
                <w:rFonts w:cs="Arial"/>
                <w:sz w:val="16"/>
                <w:szCs w:val="16"/>
              </w:rPr>
            </w:pPr>
          </w:p>
          <w:p w:rsidRPr="0047210D" w:rsidR="000D1E13" w:rsidP="000D1E13" w:rsidRDefault="000D1E13" w14:paraId="39EE364E" w14:textId="77777777">
            <w:pPr>
              <w:pStyle w:val="BodyText"/>
              <w:rPr>
                <w:rFonts w:cs="Arial"/>
                <w:sz w:val="16"/>
                <w:szCs w:val="16"/>
              </w:rPr>
            </w:pPr>
            <w:r w:rsidRPr="0047210D">
              <w:rPr>
                <w:rFonts w:cs="Arial"/>
                <w:sz w:val="16"/>
                <w:szCs w:val="16"/>
              </w:rPr>
              <w:t xml:space="preserve">Azithromycin (AZM) in fine granules was studied by Tajima T, et al 1997, for its pharmacokinetics and clinical efficacy in eight child patients with ages between 1 month and 8 years. AZM was administered to the patients once a day at a dose of 10 mg/kg for 3 days. The clinical efficacy of AZM in 8 patients with microbial infections (pneumonia in one, </w:t>
            </w:r>
            <w:r w:rsidRPr="0047210D">
              <w:rPr>
                <w:rFonts w:cs="Arial"/>
                <w:i/>
                <w:sz w:val="16"/>
                <w:szCs w:val="16"/>
              </w:rPr>
              <w:t>Mycoplasma</w:t>
            </w:r>
            <w:r w:rsidRPr="0047210D">
              <w:rPr>
                <w:rFonts w:cs="Arial"/>
                <w:sz w:val="16"/>
                <w:szCs w:val="16"/>
              </w:rPr>
              <w:t xml:space="preserve"> pneumonia in two, acute tonsillitis in one, pertussis in one, </w:t>
            </w:r>
            <w:r w:rsidRPr="0047210D">
              <w:rPr>
                <w:rFonts w:cs="Arial"/>
                <w:i/>
                <w:sz w:val="16"/>
                <w:szCs w:val="16"/>
              </w:rPr>
              <w:t>Campylobacter</w:t>
            </w:r>
            <w:r w:rsidRPr="0047210D">
              <w:rPr>
                <w:rFonts w:cs="Arial"/>
                <w:sz w:val="16"/>
                <w:szCs w:val="16"/>
              </w:rPr>
              <w:t xml:space="preserve"> enteritis in one, infectious enteritis in one, </w:t>
            </w:r>
            <w:r w:rsidRPr="0047210D">
              <w:rPr>
                <w:rFonts w:cs="Arial"/>
                <w:i/>
                <w:sz w:val="16"/>
                <w:szCs w:val="16"/>
              </w:rPr>
              <w:t>Salmonella</w:t>
            </w:r>
            <w:r w:rsidRPr="0047210D">
              <w:rPr>
                <w:rFonts w:cs="Arial"/>
                <w:sz w:val="16"/>
                <w:szCs w:val="16"/>
              </w:rPr>
              <w:t xml:space="preserve"> enteritis in one) were evaluated as "excellent" in five cases, "good" in two and "not evaluable" in one. As for the microbial efficacy, isolated strains were eradicated in 2 out of 3 patients. No adverse reaction was found except for one case with abnormal laboratory change, a mildly increased ALT value. Plasma samples were collected from 3 cases. The elimination half-life of AZM was 45.8 hours. AUC</w:t>
            </w:r>
            <w:r w:rsidRPr="0047210D">
              <w:rPr>
                <w:rFonts w:cs="Arial"/>
                <w:sz w:val="16"/>
                <w:szCs w:val="16"/>
                <w:vertAlign w:val="subscript"/>
              </w:rPr>
              <w:t>0-</w:t>
            </w:r>
            <w:r w:rsidRPr="0047210D">
              <w:rPr>
                <w:rFonts w:cs="Calibri"/>
                <w:sz w:val="16"/>
                <w:szCs w:val="16"/>
                <w:vertAlign w:val="subscript"/>
              </w:rPr>
              <w:t>∞</w:t>
            </w:r>
            <w:r w:rsidRPr="0047210D">
              <w:rPr>
                <w:rFonts w:cs="Arial"/>
                <w:sz w:val="16"/>
                <w:szCs w:val="16"/>
              </w:rPr>
              <w:t>was 12.6 microgram.h/mL. Urine sample was collected from one. AZM concentration in urine was 35.0 microgram/mL during a period between 48 and 72 hours after the start of treatment.</w:t>
            </w:r>
            <w:r w:rsidRPr="0047210D">
              <w:rPr>
                <w:rFonts w:cs="Arial"/>
                <w:sz w:val="16"/>
                <w:szCs w:val="16"/>
                <w:vertAlign w:val="superscript"/>
              </w:rPr>
              <w:t>18</w:t>
            </w:r>
          </w:p>
        </w:tc>
      </w:tr>
      <w:tr w:rsidRPr="00BE7D17" w:rsidR="00273A16" w:rsidTr="77BEE3D0" w14:paraId="732DB7AB" w14:textId="77777777">
        <w:trPr>
          <w:trHeight w:val="360"/>
        </w:trPr>
        <w:tc>
          <w:tcPr>
            <w:tcW w:w="2014" w:type="dxa"/>
          </w:tcPr>
          <w:p w:rsidRPr="00F05989" w:rsidR="000D1E13" w:rsidP="000D1E13" w:rsidRDefault="000D1E13" w14:paraId="38BC9669" w14:textId="77777777">
            <w:pPr>
              <w:pStyle w:val="BodyText"/>
              <w:rPr>
                <w:rFonts w:cs="Arial" w:asciiTheme="minorHAnsi" w:hAnsiTheme="minorHAnsi"/>
                <w:b/>
                <w:bCs/>
                <w:sz w:val="20"/>
              </w:rPr>
            </w:pPr>
            <w:r w:rsidRPr="00F05989">
              <w:rPr>
                <w:rFonts w:asciiTheme="minorHAnsi" w:hAnsiTheme="minorHAnsi"/>
                <w:b/>
                <w:sz w:val="20"/>
              </w:rPr>
              <w:lastRenderedPageBreak/>
              <w:t>References</w:t>
            </w:r>
          </w:p>
        </w:tc>
        <w:tc>
          <w:tcPr>
            <w:tcW w:w="8363" w:type="dxa"/>
          </w:tcPr>
          <w:p w:rsidRPr="0047210D" w:rsidR="000D1E13" w:rsidP="001B0E05" w:rsidRDefault="000D1E13" w14:paraId="35E31CE7"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Altunaiji SM, Kukuruzovic RH, Curtis NC, Massie J. Antibiotics for whooping cough (pertussis). Cochrane Database Syst Rev [serial on the Internet]. 2007.</w:t>
            </w:r>
          </w:p>
          <w:p w:rsidRPr="0047210D" w:rsidR="000D1E13" w:rsidP="001B0E05" w:rsidRDefault="000D1E13" w14:paraId="64D8A3D4" w14:textId="77777777">
            <w:pPr>
              <w:pStyle w:val="NoSpacing"/>
              <w:numPr>
                <w:ilvl w:val="0"/>
                <w:numId w:val="63"/>
              </w:numPr>
              <w:rPr>
                <w:rFonts w:cs="Arial" w:asciiTheme="minorHAnsi" w:hAnsiTheme="minorHAnsi"/>
                <w:sz w:val="16"/>
                <w:szCs w:val="16"/>
              </w:rPr>
            </w:pPr>
            <w:r w:rsidRPr="0047210D">
              <w:rPr>
                <w:rFonts w:cs="Arial"/>
                <w:sz w:val="16"/>
                <w:szCs w:val="16"/>
              </w:rPr>
              <w:t>Centers for Disease Control and Prevention. Recommended Antimicrobial Agents for the Treatment and Postexposure Prophylaxis of Pertussis, 2005. MMWR Recomm Rep. 2005 December 9, 2005 / 54(RR14);1-16.</w:t>
            </w:r>
          </w:p>
          <w:p w:rsidRPr="0047210D" w:rsidR="000D1E13" w:rsidP="001B0E05" w:rsidRDefault="000D1E13" w14:paraId="6611FB04"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Hammerschlag MR, Gelling M, Roblin PM, Kutlin A, Jule JE. Treatment of neonatal chlamydial conjunctivitis with azithromycin. Pediatr Infect Dis J. 1998;17:1049-50.</w:t>
            </w:r>
          </w:p>
          <w:p w:rsidRPr="0047210D" w:rsidR="000D1E13" w:rsidP="001B0E05" w:rsidRDefault="000D1E13" w14:paraId="5AD7C415"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Bailey RL, Arullendran P, Whittle HC, Mabey DC. Randomised controlled trial of single-dose azithromycin in treatment of trachoma. Lancet. 1993;342:453-6.</w:t>
            </w:r>
          </w:p>
          <w:p w:rsidRPr="0047210D" w:rsidR="000D1E13" w:rsidP="001B0E05" w:rsidRDefault="000D1E13" w14:paraId="228A4E98"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lastRenderedPageBreak/>
              <w:t>Gebre T, Ayele B, Zerihun M, Genet A, Stoller NE, Zhou Z, House JI, Yu SN, Ray KJ, Emerson PM, Keenan JD, Porco TC, Lietman TM, Gaynor BD. Comparison of annual versus twice-yearly mass azithromycin treatment for hyperendemic trachoma in Ethiopia: a cluster-randomised trial. Lancet. 2012;379:143-51.</w:t>
            </w:r>
          </w:p>
          <w:p w:rsidRPr="0047210D" w:rsidR="000D1E13" w:rsidP="001B0E05" w:rsidRDefault="000D1E13" w14:paraId="2EF5E573"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Harding-Esch EM, Sillah A, Edwards T, Burr SE, Hart JD, Joof H, Laye M, Makalo P, Manjang A, Molina S, Sarr-Sissoho I, Quinn TC, Lietman T, Holland MJ, Mabey D, West SK, Bailey R, Partnership for Rapid Elimination of Trachoma study g. Mass treatment with azithromycin for trachoma: when is one round enough? Results from the PRET Trial in the Gambia. [Erratum appears in PLoS Negl Trop Dis. 2013 Jun;7(6). doi:10.1371/annotation/0bae8b34-5ae7-4044-a071-8d88d520a01b]. PLoS Negl Trop Dis. 2013;7:e2115.</w:t>
            </w:r>
          </w:p>
          <w:p w:rsidRPr="0047210D" w:rsidR="000D1E13" w:rsidP="001B0E05" w:rsidRDefault="000D1E13" w14:paraId="2A704A84"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American Academy of Pediatrics (AAP). In: Pickering LK, Baker CJ, Kimberlin DW, Long SS, eds. Red Book: 2012 Report of the Committee on Infectious Diseases. 29th ed. Elk Grove Village, IL: American Academy of Pediatrics; 2012.</w:t>
            </w:r>
          </w:p>
          <w:p w:rsidRPr="0047210D" w:rsidR="000D1E13" w:rsidP="001B0E05" w:rsidRDefault="000D1E13" w14:paraId="30E76659" w14:textId="77777777">
            <w:pPr>
              <w:pStyle w:val="ListParagraph"/>
              <w:numPr>
                <w:ilvl w:val="0"/>
                <w:numId w:val="63"/>
              </w:numPr>
              <w:rPr>
                <w:rFonts w:eastAsia="Calibri" w:cs="Arial" w:asciiTheme="minorHAnsi" w:hAnsiTheme="minorHAnsi"/>
                <w:sz w:val="16"/>
                <w:szCs w:val="16"/>
              </w:rPr>
            </w:pPr>
            <w:r w:rsidRPr="0047210D">
              <w:rPr>
                <w:rFonts w:eastAsia="Calibri" w:cs="Arial" w:asciiTheme="minorHAnsi" w:hAnsiTheme="minorHAnsi"/>
                <w:sz w:val="16"/>
                <w:szCs w:val="16"/>
              </w:rPr>
              <w:t>Gardiner SJ, Gavranich JB, Chang AB. Antibiotics for community-acquired lower respiratory tract infections secondary to Mycoplasma pneumoniae in children. Cochrane Database Syst Rev. 2015;1:CD004875.</w:t>
            </w:r>
          </w:p>
          <w:p w:rsidRPr="0047210D" w:rsidR="000D1E13" w:rsidP="001B0E05" w:rsidRDefault="000D1E13" w14:paraId="384E273E" w14:textId="77777777">
            <w:pPr>
              <w:pStyle w:val="ListParagraph"/>
              <w:numPr>
                <w:ilvl w:val="0"/>
                <w:numId w:val="63"/>
              </w:numPr>
              <w:rPr>
                <w:rFonts w:eastAsia="Calibri" w:cs="Arial" w:asciiTheme="minorHAnsi" w:hAnsiTheme="minorHAnsi"/>
                <w:sz w:val="16"/>
                <w:szCs w:val="16"/>
              </w:rPr>
            </w:pPr>
            <w:r w:rsidRPr="0047210D">
              <w:rPr>
                <w:rFonts w:eastAsia="Calibri" w:cs="Arial" w:asciiTheme="minorHAnsi" w:hAnsiTheme="minorHAnsi"/>
                <w:sz w:val="16"/>
                <w:szCs w:val="16"/>
              </w:rPr>
              <w:t>Bradley JS, Byington CL, Shah SS, Alverson B, Carter ER, Harrison C, Kaplan SL, Mace SE, McCracken Jr GH, Moore MR, St Peter SD. The management of community-acquired pneumonia in infants and children older than 3 months of age: clinical practice guidelines by the Pediatric Infectious Diseases Society and the Infectious Diseases Society of America. Clinical infectious diseases. 2011;53(7):e25-76.</w:t>
            </w:r>
          </w:p>
          <w:p w:rsidRPr="0047210D" w:rsidR="000D1E13" w:rsidP="001B0E05" w:rsidRDefault="000D1E13" w14:paraId="2944573B"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Centers for Disease Control and Prevention. Sexually transmitted diseases treatment guidelines, 2015. MMWR Recomm Rep. 2015;64(RR-03):1-137.</w:t>
            </w:r>
          </w:p>
          <w:p w:rsidRPr="0047210D" w:rsidR="000D1E13" w:rsidP="001B0E05" w:rsidRDefault="000D1E13" w14:paraId="3DD346E1"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Nair V, Loganathan P, Soraisham AS. Azithromycin and other macrolides for prevention of bronchopulmonary dysplasia: a systematic review and meta-analysis. Neonatology. 2014;106(4):337-47.</w:t>
            </w:r>
          </w:p>
          <w:p w:rsidRPr="0047210D" w:rsidR="000D1E13" w:rsidP="001B0E05" w:rsidRDefault="000D1E13" w14:paraId="6D52F469"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Merchan LM, Hassan HE, Terrin ML, Waites KB, Kaufman DA, Ambalavanan N, Donohue P, Dulkerian SJ, Schelonka R, Magder LS, Shukla S. Pharmacokinetics, microbial response, and pulmonary outcomes of multidose intravenous azithromycin in preterm infants at risk for Ureaplasma respiratory colonization. Antimicrobial agents and chemotherapy. 2015;59(1):570-8.</w:t>
            </w:r>
          </w:p>
          <w:p w:rsidRPr="0047210D" w:rsidR="000D1E13" w:rsidP="001B0E05" w:rsidRDefault="000D1E13" w14:paraId="227755B6" w14:textId="77777777">
            <w:pPr>
              <w:pStyle w:val="NoSpacing"/>
              <w:numPr>
                <w:ilvl w:val="0"/>
                <w:numId w:val="63"/>
              </w:numPr>
              <w:rPr>
                <w:rFonts w:cs="Arial" w:asciiTheme="minorHAnsi" w:hAnsiTheme="minorHAnsi"/>
                <w:sz w:val="16"/>
                <w:szCs w:val="16"/>
              </w:rPr>
            </w:pPr>
            <w:r w:rsidRPr="0047210D">
              <w:rPr>
                <w:rFonts w:cs="Arial" w:asciiTheme="minorHAnsi" w:hAnsiTheme="minorHAnsi"/>
                <w:sz w:val="16"/>
                <w:szCs w:val="16"/>
              </w:rPr>
              <w:t xml:space="preserve">Micromedex. Accessed on 29 May 2018. </w:t>
            </w:r>
          </w:p>
          <w:p w:rsidRPr="0047210D" w:rsidR="000D1E13" w:rsidP="001B0E05" w:rsidRDefault="000D1E13" w14:paraId="571FDA71" w14:textId="77777777">
            <w:pPr>
              <w:pStyle w:val="NoSpacing"/>
              <w:numPr>
                <w:ilvl w:val="0"/>
                <w:numId w:val="63"/>
              </w:numPr>
              <w:autoSpaceDE w:val="0"/>
              <w:autoSpaceDN w:val="0"/>
              <w:adjustRightInd w:val="0"/>
              <w:rPr>
                <w:rFonts w:cs="Arial" w:asciiTheme="minorHAnsi" w:hAnsiTheme="minorHAnsi"/>
                <w:sz w:val="16"/>
                <w:szCs w:val="16"/>
              </w:rPr>
            </w:pPr>
            <w:r w:rsidRPr="0047210D">
              <w:rPr>
                <w:rFonts w:cs="Arial" w:asciiTheme="minorHAnsi" w:hAnsiTheme="minorHAnsi"/>
                <w:sz w:val="16"/>
                <w:szCs w:val="16"/>
              </w:rPr>
              <w:t>Eberly MD, Eide MB, Thompson JL, Nylund CM. Azithromycin in early infancy and pyloric stenosis. Pediatrics. 2015;135(3):483-8.</w:t>
            </w:r>
          </w:p>
          <w:p w:rsidRPr="0047210D" w:rsidR="000D1E13" w:rsidP="001B0E05" w:rsidRDefault="000D1E13" w14:paraId="7C0C0B25" w14:textId="77777777">
            <w:pPr>
              <w:pStyle w:val="NoSpacing"/>
              <w:numPr>
                <w:ilvl w:val="0"/>
                <w:numId w:val="63"/>
              </w:numPr>
              <w:autoSpaceDE w:val="0"/>
              <w:autoSpaceDN w:val="0"/>
              <w:adjustRightInd w:val="0"/>
              <w:rPr>
                <w:rFonts w:cs="Arial" w:asciiTheme="minorHAnsi" w:hAnsiTheme="minorHAnsi"/>
                <w:sz w:val="16"/>
                <w:szCs w:val="16"/>
              </w:rPr>
            </w:pPr>
            <w:r w:rsidRPr="0047210D">
              <w:rPr>
                <w:rFonts w:cs="Arial" w:asciiTheme="minorHAnsi" w:hAnsiTheme="minorHAnsi"/>
                <w:sz w:val="16"/>
                <w:szCs w:val="16"/>
              </w:rPr>
              <w:t>Smith C, Egunsola O, Choonara I, Kotecha S, Jacqz-Aigrain E, Sammons H. Use and safety of azithromycin in neonates: a systematic review. BMJ Open. 2015;5:e008194.</w:t>
            </w:r>
          </w:p>
          <w:p w:rsidRPr="0047210D" w:rsidR="000D1E13" w:rsidP="001B0E05" w:rsidRDefault="000D1E13" w14:paraId="7514926F" w14:textId="77777777">
            <w:pPr>
              <w:pStyle w:val="NoSpacing"/>
              <w:numPr>
                <w:ilvl w:val="0"/>
                <w:numId w:val="63"/>
              </w:numPr>
              <w:autoSpaceDE w:val="0"/>
              <w:autoSpaceDN w:val="0"/>
              <w:adjustRightInd w:val="0"/>
              <w:rPr>
                <w:rFonts w:cs="Arial" w:asciiTheme="minorHAnsi" w:hAnsiTheme="minorHAnsi"/>
                <w:sz w:val="16"/>
                <w:szCs w:val="16"/>
              </w:rPr>
            </w:pPr>
            <w:r w:rsidRPr="0047210D">
              <w:rPr>
                <w:rFonts w:cs="Arial"/>
                <w:sz w:val="16"/>
                <w:szCs w:val="16"/>
              </w:rPr>
              <w:t>Hassan HE, Othman AA, Eddington ND, Duffy L, Xiao L, Waites KB, Kaufman DA, Fairchild KD, Viscardi RM. Pharmacokinetics, safety, and biologic effects of azithromycin in extremely preterm infants at risk for ureaplasma colonization and bronchopulmonary dysplasia. The Journal of Clinical Pharmacology 2011;51(9):1264-75.</w:t>
            </w:r>
          </w:p>
          <w:p w:rsidRPr="0047210D" w:rsidR="000D1E13" w:rsidP="001B0E05" w:rsidRDefault="000D1E13" w14:paraId="3142A03D" w14:textId="77777777">
            <w:pPr>
              <w:pStyle w:val="NoSpacing"/>
              <w:numPr>
                <w:ilvl w:val="0"/>
                <w:numId w:val="63"/>
              </w:numPr>
              <w:autoSpaceDE w:val="0"/>
              <w:autoSpaceDN w:val="0"/>
              <w:adjustRightInd w:val="0"/>
              <w:rPr>
                <w:rFonts w:cs="Arial" w:asciiTheme="minorHAnsi" w:hAnsiTheme="minorHAnsi"/>
                <w:sz w:val="16"/>
                <w:szCs w:val="16"/>
              </w:rPr>
            </w:pPr>
            <w:r w:rsidRPr="0047210D">
              <w:rPr>
                <w:rFonts w:cs="Arial" w:asciiTheme="minorHAnsi" w:hAnsiTheme="minorHAnsi"/>
                <w:sz w:val="16"/>
                <w:szCs w:val="16"/>
              </w:rPr>
              <w:t xml:space="preserve">Australian injectable Drugs Handbook online 18 April 2018. </w:t>
            </w:r>
          </w:p>
          <w:p w:rsidRPr="0047210D" w:rsidR="000D1E13" w:rsidP="001B0E05" w:rsidRDefault="000D1E13" w14:paraId="640A1DFF" w14:textId="77777777">
            <w:pPr>
              <w:pStyle w:val="NoSpacing"/>
              <w:numPr>
                <w:ilvl w:val="0"/>
                <w:numId w:val="63"/>
              </w:numPr>
              <w:rPr>
                <w:rFonts w:cs="Arial"/>
                <w:sz w:val="16"/>
                <w:szCs w:val="16"/>
              </w:rPr>
            </w:pPr>
            <w:r w:rsidRPr="0047210D">
              <w:rPr>
                <w:rFonts w:cs="Arial" w:asciiTheme="minorHAnsi" w:hAnsiTheme="minorHAnsi"/>
                <w:sz w:val="16"/>
                <w:szCs w:val="16"/>
              </w:rPr>
              <w:t>Tajima T, Kobayashi M, Abe T, Fujii R. Pharmacokinetic, bacteriological and clinical studies on azithromycin in children. The Japanese journal of antibiotics. 1997 Feb;50(2):200-5.</w:t>
            </w:r>
          </w:p>
        </w:tc>
      </w:tr>
    </w:tbl>
    <w:p w:rsidR="000D1E13" w:rsidP="006F0321" w:rsidRDefault="000D1E13" w14:paraId="38EE92DD"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0D1E13" w:rsidTr="000D1E13" w14:paraId="67B4AC2C"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2AC67D78" w14:textId="3D089E84">
            <w:pPr>
              <w:spacing w:line="252" w:lineRule="auto"/>
              <w:rPr>
                <w:sz w:val="22"/>
                <w:lang w:val="en-AU"/>
              </w:rPr>
            </w:pPr>
            <w:r>
              <w:t>Original version Date: 20/06/2018</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1BC8215D" w14:textId="77777777">
            <w:pPr>
              <w:spacing w:line="252" w:lineRule="auto"/>
            </w:pPr>
            <w:r>
              <w:t>Author: NeoMed Consensus Group</w:t>
            </w:r>
          </w:p>
        </w:tc>
      </w:tr>
      <w:tr w:rsidR="000D1E13" w:rsidTr="000D1E13" w14:paraId="41878526"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193E0774" w14:textId="1EBF9A02">
            <w:pPr>
              <w:spacing w:line="252" w:lineRule="auto"/>
            </w:pPr>
            <w:r>
              <w:t xml:space="preserve">Current Version number:  </w:t>
            </w:r>
            <w:r w:rsidR="007A0A41">
              <w:t>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7BB09D17" w14:textId="342C0BB7">
            <w:pPr>
              <w:spacing w:line="252" w:lineRule="auto"/>
            </w:pPr>
            <w:r>
              <w:t xml:space="preserve">Current Version Date:  </w:t>
            </w:r>
            <w:r w:rsidR="007A0A41">
              <w:t>2/3/2021</w:t>
            </w:r>
          </w:p>
        </w:tc>
      </w:tr>
      <w:tr w:rsidR="000D1E13" w:rsidTr="000D1E13" w14:paraId="15A5E13E"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070BDE25" w14:textId="77777777">
            <w:pPr>
              <w:spacing w:line="252" w:lineRule="auto"/>
            </w:pPr>
            <w:r>
              <w:t>Risk Rating: Medium</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6D55F506" w14:textId="4A867755">
            <w:pPr>
              <w:spacing w:line="252" w:lineRule="auto"/>
            </w:pPr>
            <w:r>
              <w:t xml:space="preserve">Due for Review:  </w:t>
            </w:r>
            <w:r w:rsidR="007A0A41">
              <w:t>2/3</w:t>
            </w:r>
            <w:r>
              <w:t>/202</w:t>
            </w:r>
            <w:r w:rsidR="007A0A41">
              <w:t>4</w:t>
            </w:r>
          </w:p>
        </w:tc>
      </w:tr>
      <w:tr w:rsidR="000D1E13" w:rsidTr="000D1E13" w14:paraId="0CCA09C8"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17BEB6F5"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0A7D87A9" w14:textId="17EE40FE">
            <w:pPr>
              <w:spacing w:line="252" w:lineRule="auto"/>
            </w:pPr>
            <w:r>
              <w:t xml:space="preserve">Approval Date: </w:t>
            </w:r>
            <w:r w:rsidR="00260BC8">
              <w:t>APRIL 2021</w:t>
            </w:r>
          </w:p>
        </w:tc>
      </w:tr>
    </w:tbl>
    <w:p w:rsidRPr="00E25790" w:rsidR="00115F48" w:rsidP="006F0321" w:rsidRDefault="00115F48" w14:paraId="2667F432" w14:textId="156403B2">
      <w:r w:rsidRPr="00E25790">
        <w:br w:type="page"/>
      </w:r>
    </w:p>
    <w:p w:rsidRPr="00E25790" w:rsidR="00115F48" w:rsidP="006F0321" w:rsidRDefault="00115F48" w14:paraId="3439F07E" w14:textId="77777777"/>
    <w:tbl>
      <w:tblPr>
        <w:tblW w:w="9049" w:type="dxa"/>
        <w:tblLayout w:type="fixed"/>
        <w:tblLook w:val="0000" w:firstRow="0" w:lastRow="0" w:firstColumn="0" w:lastColumn="0" w:noHBand="0" w:noVBand="0"/>
      </w:tblPr>
      <w:tblGrid>
        <w:gridCol w:w="4153"/>
        <w:gridCol w:w="4896"/>
      </w:tblGrid>
      <w:tr w:rsidRPr="00E25790" w:rsidR="00115F48" w:rsidTr="00FA198C" w14:paraId="5EA317D0"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4BBAF703" w14:textId="77777777">
            <w:pPr>
              <w:pStyle w:val="Heading1"/>
            </w:pPr>
            <w:bookmarkStart w:name="_Toc38106814" w:id="96"/>
            <w:bookmarkStart w:name="_Toc75339940" w:id="97"/>
            <w:r w:rsidRPr="00E25790">
              <w:t>Caffeine</w:t>
            </w:r>
            <w:bookmarkEnd w:id="96"/>
            <w:bookmarkEnd w:id="97"/>
            <w:r w:rsidRPr="00E25790" w:rsidR="004B1C93">
              <w:t xml:space="preserve"> </w:t>
            </w:r>
          </w:p>
        </w:tc>
      </w:tr>
      <w:tr w:rsidRPr="00E25790" w:rsidR="00115F48" w:rsidTr="00FA198C" w14:paraId="79EABE3B"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31D56BB8" w14:textId="77777777">
            <w:r w:rsidRPr="00E25790">
              <w:t>Revision Date</w:t>
            </w:r>
            <w:r w:rsidRPr="00E25790">
              <w:rPr>
                <w:b/>
              </w:rPr>
              <w:t xml:space="preserve">: </w:t>
            </w:r>
            <w:r w:rsidRPr="00E25790" w:rsidR="000E7F28">
              <w:rPr>
                <w:b/>
              </w:rPr>
              <w:t>Jan 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3922D8F" w14:textId="77777777">
            <w:r w:rsidRPr="00E25790">
              <w:t xml:space="preserve">Approved : </w:t>
            </w:r>
            <w:r w:rsidRPr="00E25790" w:rsidR="000E7F28">
              <w:t>TC, KOH</w:t>
            </w:r>
          </w:p>
        </w:tc>
      </w:tr>
    </w:tbl>
    <w:p w:rsidRPr="00E25790" w:rsidR="00115F48" w:rsidP="006F0321" w:rsidRDefault="00115F48" w14:paraId="3D90E43B" w14:textId="77777777"/>
    <w:tbl>
      <w:tblPr>
        <w:tblW w:w="90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38"/>
        <w:gridCol w:w="6633"/>
      </w:tblGrid>
      <w:tr w:rsidRPr="003A7895" w:rsidR="000E7F28" w:rsidTr="77BEE3D0" w14:paraId="4541EE30" w14:textId="77777777">
        <w:trPr>
          <w:trHeight w:val="391"/>
        </w:trPr>
        <w:tc>
          <w:tcPr>
            <w:tcW w:w="2438" w:type="dxa"/>
          </w:tcPr>
          <w:p w:rsidRPr="003A7895" w:rsidR="000E7F28" w:rsidP="006F0321" w:rsidRDefault="000E7F28" w14:paraId="7A907C94" w14:textId="77777777">
            <w:pPr>
              <w:pStyle w:val="BodyText"/>
            </w:pPr>
            <w:r w:rsidRPr="003A7895">
              <w:t>Alert</w:t>
            </w:r>
            <w:r w:rsidRPr="003A7895">
              <w:tab/>
            </w:r>
          </w:p>
          <w:p w:rsidRPr="003A7895" w:rsidR="000E7F28" w:rsidP="006F0321" w:rsidRDefault="000E7F28" w14:paraId="14082F1B" w14:textId="77777777">
            <w:pPr>
              <w:pStyle w:val="BodyText"/>
            </w:pPr>
            <w:r w:rsidRPr="003A7895">
              <w:t xml:space="preserve"> </w:t>
            </w:r>
          </w:p>
        </w:tc>
        <w:tc>
          <w:tcPr>
            <w:tcW w:w="6633" w:type="dxa"/>
          </w:tcPr>
          <w:p w:rsidRPr="001D26DB" w:rsidR="000E7F28" w:rsidP="006F0321" w:rsidRDefault="000E7F28" w14:paraId="1903E3AC" w14:textId="77777777">
            <w:pPr>
              <w:pStyle w:val="BodyText"/>
              <w:rPr>
                <w:rFonts w:cs="Arial"/>
              </w:rPr>
            </w:pPr>
            <w:r w:rsidRPr="001D26DB">
              <w:t>Caution with dosing: C</w:t>
            </w:r>
            <w:r>
              <w:t>affeine citrate 2 mg = C</w:t>
            </w:r>
            <w:r w:rsidRPr="001D26DB">
              <w:t>affeine base 1 mg</w:t>
            </w:r>
          </w:p>
        </w:tc>
      </w:tr>
      <w:tr w:rsidRPr="003A7895" w:rsidR="000E7F28" w:rsidTr="77BEE3D0" w14:paraId="2EC90536" w14:textId="77777777">
        <w:trPr>
          <w:trHeight w:val="851"/>
        </w:trPr>
        <w:tc>
          <w:tcPr>
            <w:tcW w:w="2438" w:type="dxa"/>
          </w:tcPr>
          <w:p w:rsidRPr="003A7895" w:rsidR="000E7F28" w:rsidP="006F0321" w:rsidRDefault="000E7F28" w14:paraId="0D5B83D4" w14:textId="77777777">
            <w:pPr>
              <w:pStyle w:val="BodyText"/>
              <w:rPr>
                <w:sz w:val="20"/>
              </w:rPr>
            </w:pPr>
            <w:r w:rsidRPr="003A7895">
              <w:t xml:space="preserve">Indication </w:t>
            </w:r>
          </w:p>
        </w:tc>
        <w:tc>
          <w:tcPr>
            <w:tcW w:w="6633" w:type="dxa"/>
          </w:tcPr>
          <w:p w:rsidR="000E7F28" w:rsidP="001B0E05" w:rsidRDefault="000E7F28" w14:paraId="0ADD0E12" w14:textId="77777777">
            <w:pPr>
              <w:pStyle w:val="ListParagraph"/>
              <w:numPr>
                <w:ilvl w:val="0"/>
                <w:numId w:val="23"/>
              </w:numPr>
            </w:pPr>
            <w:r w:rsidRPr="00A81CD1">
              <w:t xml:space="preserve">Treatment of apnoea of prematurity. </w:t>
            </w:r>
          </w:p>
          <w:p w:rsidR="000E7F28" w:rsidP="001B0E05" w:rsidRDefault="000E7F28" w14:paraId="5D7188E7" w14:textId="77777777">
            <w:pPr>
              <w:pStyle w:val="ListParagraph"/>
              <w:numPr>
                <w:ilvl w:val="0"/>
                <w:numId w:val="23"/>
              </w:numPr>
            </w:pPr>
            <w:r w:rsidRPr="00A81CD1">
              <w:t xml:space="preserve">Weaning from mechanical ventilation. </w:t>
            </w:r>
          </w:p>
          <w:p w:rsidRPr="00A81CD1" w:rsidR="000E7F28" w:rsidP="001B0E05" w:rsidRDefault="000E7F28" w14:paraId="679DE0E1" w14:textId="77777777">
            <w:pPr>
              <w:pStyle w:val="ListParagraph"/>
              <w:numPr>
                <w:ilvl w:val="0"/>
                <w:numId w:val="23"/>
              </w:numPr>
            </w:pPr>
            <w:r w:rsidRPr="00A81CD1">
              <w:t>Prevent</w:t>
            </w:r>
            <w:r>
              <w:t>ion of</w:t>
            </w:r>
            <w:r w:rsidRPr="00A81CD1">
              <w:t xml:space="preserve"> post-operative apnoea</w:t>
            </w:r>
            <w:r>
              <w:t>.</w:t>
            </w:r>
          </w:p>
        </w:tc>
      </w:tr>
      <w:tr w:rsidRPr="003A7895" w:rsidR="000E7F28" w:rsidTr="77BEE3D0" w14:paraId="29EBA8B1" w14:textId="77777777">
        <w:trPr>
          <w:trHeight w:val="703"/>
        </w:trPr>
        <w:tc>
          <w:tcPr>
            <w:tcW w:w="2438" w:type="dxa"/>
          </w:tcPr>
          <w:p w:rsidRPr="003A7895" w:rsidR="000E7F28" w:rsidP="006F0321" w:rsidRDefault="000E7F28" w14:paraId="70D9AA8D" w14:textId="77777777">
            <w:pPr>
              <w:pStyle w:val="BodyText"/>
            </w:pPr>
            <w:r w:rsidRPr="003A7895">
              <w:t>Action</w:t>
            </w:r>
          </w:p>
        </w:tc>
        <w:tc>
          <w:tcPr>
            <w:tcW w:w="6633" w:type="dxa"/>
          </w:tcPr>
          <w:p w:rsidRPr="00A81CD1" w:rsidR="000E7F28" w:rsidP="006F0321" w:rsidRDefault="000E7F28" w14:paraId="6970DD6E" w14:textId="77777777">
            <w:pPr>
              <w:rPr>
                <w:rFonts w:cs="Arial"/>
              </w:rPr>
            </w:pPr>
            <w:r w:rsidRPr="00A81CD1">
              <w:t>Competitive inhibition of the actions of adenosine at cell surface receptors.</w:t>
            </w:r>
            <w:r w:rsidRPr="00A81CD1">
              <w:br/>
            </w:r>
            <w:r w:rsidRPr="00A81CD1">
              <w:t xml:space="preserve">Enhancement of respiratory effort and regularisation of breathing patterns through stimulation of central inspiratory drive and increased sensitivity of chemoreceptors to </w:t>
            </w:r>
            <w:r>
              <w:t>carbon dioxide</w:t>
            </w:r>
            <w:r w:rsidRPr="00A81CD1">
              <w:t>.</w:t>
            </w:r>
            <w:r w:rsidRPr="00A81CD1">
              <w:br/>
            </w:r>
            <w:r w:rsidRPr="00A81CD1">
              <w:t>Increase</w:t>
            </w:r>
            <w:r>
              <w:t xml:space="preserve"> in</w:t>
            </w:r>
            <w:r w:rsidRPr="00A81CD1">
              <w:t xml:space="preserve"> respiratory centre output, smooth muscle relaxation and cardiac output.</w:t>
            </w:r>
            <w:r w:rsidRPr="00A81CD1">
              <w:br/>
            </w:r>
            <w:r>
              <w:t>I</w:t>
            </w:r>
            <w:r w:rsidRPr="00A81CD1">
              <w:t>mprov</w:t>
            </w:r>
            <w:r>
              <w:t>ement in</w:t>
            </w:r>
            <w:r w:rsidRPr="00A81CD1">
              <w:t xml:space="preserve"> the contractility of the diaphragm and hence increasing the force of contraction and decreasing muscular fatigue.</w:t>
            </w:r>
          </w:p>
        </w:tc>
      </w:tr>
      <w:tr w:rsidRPr="003A7895" w:rsidR="000E7F28" w:rsidTr="77BEE3D0" w14:paraId="6E27D85E" w14:textId="77777777">
        <w:trPr>
          <w:trHeight w:val="429"/>
        </w:trPr>
        <w:tc>
          <w:tcPr>
            <w:tcW w:w="2438" w:type="dxa"/>
          </w:tcPr>
          <w:p w:rsidRPr="003A7895" w:rsidR="000E7F28" w:rsidP="006F0321" w:rsidRDefault="000E7F28" w14:paraId="50B35F13" w14:textId="77777777">
            <w:pPr>
              <w:pStyle w:val="BodyText"/>
            </w:pPr>
            <w:r w:rsidRPr="003A7895">
              <w:t xml:space="preserve">Drug Type                                   </w:t>
            </w:r>
          </w:p>
        </w:tc>
        <w:tc>
          <w:tcPr>
            <w:tcW w:w="6633" w:type="dxa"/>
          </w:tcPr>
          <w:p w:rsidRPr="00A81CD1" w:rsidR="000E7F28" w:rsidP="006F0321" w:rsidRDefault="000E7F28" w14:paraId="0C532E67" w14:textId="77777777">
            <w:pPr>
              <w:pStyle w:val="BodyText"/>
              <w:rPr>
                <w:rFonts w:cs="Arial"/>
              </w:rPr>
            </w:pPr>
            <w:r>
              <w:t>Central nervous system stimulant, respiratory s</w:t>
            </w:r>
            <w:r w:rsidRPr="00A81CD1">
              <w:t>timulant</w:t>
            </w:r>
            <w:r>
              <w:t>.</w:t>
            </w:r>
          </w:p>
        </w:tc>
      </w:tr>
      <w:tr w:rsidRPr="003A7895" w:rsidR="000E7F28" w:rsidTr="77BEE3D0" w14:paraId="08130E87" w14:textId="77777777">
        <w:trPr>
          <w:trHeight w:val="405"/>
        </w:trPr>
        <w:tc>
          <w:tcPr>
            <w:tcW w:w="2438" w:type="dxa"/>
          </w:tcPr>
          <w:p w:rsidRPr="003A7895" w:rsidR="000E7F28" w:rsidP="006F0321" w:rsidRDefault="000E7F28" w14:paraId="09A47BC6" w14:textId="77777777">
            <w:pPr>
              <w:pStyle w:val="BodyText"/>
            </w:pPr>
            <w:r w:rsidRPr="003A7895">
              <w:t xml:space="preserve">Trade Name                  </w:t>
            </w:r>
          </w:p>
        </w:tc>
        <w:tc>
          <w:tcPr>
            <w:tcW w:w="6633" w:type="dxa"/>
          </w:tcPr>
          <w:p w:rsidRPr="00A81CD1" w:rsidR="000E7F28" w:rsidP="006F0321" w:rsidRDefault="000E7F28" w14:paraId="062D0485" w14:textId="77777777">
            <w:pPr>
              <w:pStyle w:val="BodyText"/>
              <w:rPr>
                <w:rFonts w:cs="Arial"/>
              </w:rPr>
            </w:pPr>
            <w:r w:rsidRPr="00A81CD1">
              <w:t>Cafnea</w:t>
            </w:r>
            <w:r>
              <w:t xml:space="preserve"> (caffeine citrate)</w:t>
            </w:r>
            <w:r w:rsidRPr="00A81CD1">
              <w:t>,</w:t>
            </w:r>
            <w:r>
              <w:t xml:space="preserve"> Caffeine base</w:t>
            </w:r>
            <w:r w:rsidRPr="00A81CD1">
              <w:t xml:space="preserve"> </w:t>
            </w:r>
            <w:r>
              <w:t>(</w:t>
            </w:r>
            <w:r w:rsidRPr="00A81CD1">
              <w:t>Auspman</w:t>
            </w:r>
            <w:r>
              <w:t>)</w:t>
            </w:r>
          </w:p>
        </w:tc>
      </w:tr>
      <w:tr w:rsidRPr="003A7895" w:rsidR="000E7F28" w:rsidTr="77BEE3D0" w14:paraId="099C2BA4" w14:textId="77777777">
        <w:trPr>
          <w:trHeight w:val="354"/>
        </w:trPr>
        <w:tc>
          <w:tcPr>
            <w:tcW w:w="2438" w:type="dxa"/>
          </w:tcPr>
          <w:p w:rsidRPr="003A7895" w:rsidR="000E7F28" w:rsidP="006F0321" w:rsidRDefault="000E7F28" w14:paraId="5E210AF6" w14:textId="77777777">
            <w:pPr>
              <w:pStyle w:val="BodyText"/>
            </w:pPr>
            <w:r w:rsidRPr="003A7895">
              <w:t xml:space="preserve">Presentation </w:t>
            </w:r>
          </w:p>
        </w:tc>
        <w:tc>
          <w:tcPr>
            <w:tcW w:w="6633" w:type="dxa"/>
          </w:tcPr>
          <w:p w:rsidRPr="00A81CD1" w:rsidR="000E7F28" w:rsidP="006F0321" w:rsidRDefault="000E7F28" w14:paraId="34AE68DE" w14:textId="77777777">
            <w:pPr>
              <w:pStyle w:val="BodyText"/>
            </w:pPr>
            <w:r w:rsidRPr="00A81CD1">
              <w:t>Caffeine citrate IV 40</w:t>
            </w:r>
            <w:r>
              <w:t xml:space="preserve"> </w:t>
            </w:r>
            <w:r w:rsidRPr="00A81CD1">
              <w:t>mg/2</w:t>
            </w:r>
            <w:r>
              <w:t xml:space="preserve"> </w:t>
            </w:r>
            <w:r w:rsidRPr="00A81CD1">
              <w:t>mL vial</w:t>
            </w:r>
          </w:p>
          <w:p w:rsidRPr="00A81CD1" w:rsidR="000E7F28" w:rsidP="006F0321" w:rsidRDefault="000E7F28" w14:paraId="21F9DCE6" w14:textId="77777777">
            <w:pPr>
              <w:pStyle w:val="BodyText"/>
              <w:rPr>
                <w:rFonts w:cs="Arial"/>
              </w:rPr>
            </w:pPr>
            <w:r w:rsidRPr="00A81CD1">
              <w:t>Caffeine citrate oral 25</w:t>
            </w:r>
            <w:r>
              <w:t xml:space="preserve"> </w:t>
            </w:r>
            <w:r w:rsidRPr="00A81CD1">
              <w:t>mg/5</w:t>
            </w:r>
            <w:r>
              <w:t xml:space="preserve"> </w:t>
            </w:r>
            <w:r w:rsidRPr="00A81CD1">
              <w:t xml:space="preserve">mL </w:t>
            </w:r>
            <w:r>
              <w:t>solution</w:t>
            </w:r>
            <w:r w:rsidRPr="00A81CD1">
              <w:br/>
            </w:r>
            <w:r w:rsidRPr="00A81CD1">
              <w:rPr>
                <w:rFonts w:cs="Arial"/>
              </w:rPr>
              <w:t>Caffeine base IV</w:t>
            </w:r>
            <w:r>
              <w:t xml:space="preserve"> 50 mg/5 mL</w:t>
            </w:r>
            <w:r w:rsidRPr="00A81CD1">
              <w:t xml:space="preserve"> ampoule</w:t>
            </w:r>
            <w:r w:rsidRPr="00A81CD1">
              <w:br/>
            </w:r>
            <w:r w:rsidRPr="00A81CD1">
              <w:rPr>
                <w:rFonts w:cs="Arial"/>
              </w:rPr>
              <w:t xml:space="preserve">Caffeine </w:t>
            </w:r>
            <w:r>
              <w:rPr>
                <w:rFonts w:cs="Arial"/>
              </w:rPr>
              <w:t>b</w:t>
            </w:r>
            <w:r w:rsidRPr="00A81CD1">
              <w:rPr>
                <w:rFonts w:cs="Arial"/>
              </w:rPr>
              <w:t>ase oral</w:t>
            </w:r>
            <w:r w:rsidRPr="00A81CD1">
              <w:t xml:space="preserve"> 10</w:t>
            </w:r>
            <w:r>
              <w:t xml:space="preserve"> </w:t>
            </w:r>
            <w:r w:rsidRPr="00A81CD1">
              <w:t xml:space="preserve">mg/mL </w:t>
            </w:r>
            <w:r>
              <w:t>s</w:t>
            </w:r>
            <w:r w:rsidRPr="00A81CD1">
              <w:t>olution</w:t>
            </w:r>
          </w:p>
        </w:tc>
      </w:tr>
      <w:tr w:rsidRPr="003A7895" w:rsidR="000E7F28" w:rsidTr="77BEE3D0" w14:paraId="1F235520" w14:textId="77777777">
        <w:trPr>
          <w:trHeight w:val="3912"/>
        </w:trPr>
        <w:tc>
          <w:tcPr>
            <w:tcW w:w="2438" w:type="dxa"/>
          </w:tcPr>
          <w:p w:rsidRPr="003A7895" w:rsidR="000E7F28" w:rsidP="006F0321" w:rsidRDefault="000E7F28" w14:paraId="4742DC03" w14:textId="77777777">
            <w:pPr>
              <w:pStyle w:val="BodyText"/>
            </w:pPr>
            <w:r w:rsidRPr="003A7895">
              <w:t xml:space="preserve">Dosage/Interval                           </w:t>
            </w:r>
          </w:p>
          <w:p w:rsidRPr="003A7895" w:rsidR="000E7F28" w:rsidP="006F0321" w:rsidRDefault="000E7F28" w14:paraId="6AFF4A16" w14:textId="77777777">
            <w:pPr>
              <w:pStyle w:val="BodyText"/>
            </w:pPr>
          </w:p>
        </w:tc>
        <w:tc>
          <w:tcPr>
            <w:tcW w:w="6633" w:type="dxa"/>
          </w:tcPr>
          <w:p w:rsidRPr="00DD0CB9" w:rsidR="000E7F28" w:rsidP="006F0321" w:rsidRDefault="000E7F28" w14:paraId="5ECA1684" w14:textId="77777777">
            <w:pPr>
              <w:pStyle w:val="BodyText"/>
            </w:pPr>
            <w:r w:rsidRPr="00DD0CB9">
              <w:t>Caffeine citrate</w:t>
            </w:r>
          </w:p>
          <w:p w:rsidR="000E7F28" w:rsidP="006F0321" w:rsidRDefault="000E7F28" w14:paraId="09CEAEC8" w14:textId="77777777">
            <w:pPr>
              <w:pStyle w:val="BodyText"/>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63"/>
              <w:gridCol w:w="1241"/>
              <w:gridCol w:w="2723"/>
              <w:gridCol w:w="1580"/>
            </w:tblGrid>
            <w:tr w:rsidRPr="00200044" w:rsidR="000E7F28" w:rsidTr="005B2301" w14:paraId="7382B1F5" w14:textId="77777777">
              <w:tc>
                <w:tcPr>
                  <w:tcW w:w="1021" w:type="dxa"/>
                  <w:shd w:val="clear" w:color="auto" w:fill="auto"/>
                </w:tcPr>
                <w:p w:rsidRPr="00200044" w:rsidR="000E7F28" w:rsidP="006F0321" w:rsidRDefault="000E7F28" w14:paraId="5913E68D" w14:textId="77777777">
                  <w:pPr>
                    <w:pStyle w:val="BodyText"/>
                  </w:pPr>
                </w:p>
              </w:tc>
              <w:tc>
                <w:tcPr>
                  <w:tcW w:w="1418" w:type="dxa"/>
                  <w:shd w:val="clear" w:color="auto" w:fill="auto"/>
                  <w:vAlign w:val="center"/>
                </w:tcPr>
                <w:p w:rsidRPr="00200044" w:rsidR="000E7F28" w:rsidP="006F0321" w:rsidRDefault="000E7F28" w14:paraId="6B809C64" w14:textId="77777777">
                  <w:pPr>
                    <w:pStyle w:val="BodyText"/>
                  </w:pPr>
                  <w:r w:rsidRPr="00200044">
                    <w:t>Loading dose</w:t>
                  </w:r>
                </w:p>
              </w:tc>
              <w:tc>
                <w:tcPr>
                  <w:tcW w:w="3544" w:type="dxa"/>
                  <w:shd w:val="clear" w:color="auto" w:fill="auto"/>
                  <w:vAlign w:val="center"/>
                </w:tcPr>
                <w:p w:rsidRPr="00200044" w:rsidR="000E7F28" w:rsidP="006F0321" w:rsidRDefault="000E7F28" w14:paraId="3FFC9B1E" w14:textId="77777777">
                  <w:pPr>
                    <w:pStyle w:val="BodyText"/>
                  </w:pPr>
                  <w:r w:rsidRPr="00200044">
                    <w:t>Maintenance dose</w:t>
                  </w:r>
                </w:p>
                <w:p w:rsidRPr="00200044" w:rsidR="000E7F28" w:rsidP="006F0321" w:rsidRDefault="000E7F28" w14:paraId="58D7B23A" w14:textId="77777777">
                  <w:pPr>
                    <w:pStyle w:val="BodyText"/>
                  </w:pPr>
                  <w:r w:rsidRPr="00200044">
                    <w:t>24 hours after loading dose</w:t>
                  </w:r>
                </w:p>
              </w:tc>
              <w:tc>
                <w:tcPr>
                  <w:tcW w:w="2008" w:type="dxa"/>
                  <w:shd w:val="clear" w:color="auto" w:fill="auto"/>
                  <w:vAlign w:val="center"/>
                </w:tcPr>
                <w:p w:rsidRPr="00200044" w:rsidR="000E7F28" w:rsidP="006F0321" w:rsidRDefault="000E7F28" w14:paraId="65DD3D39" w14:textId="77777777">
                  <w:pPr>
                    <w:pStyle w:val="BodyText"/>
                  </w:pPr>
                  <w:r w:rsidRPr="00200044">
                    <w:t>Post-Op apnoea</w:t>
                  </w:r>
                  <w:r>
                    <w:t xml:space="preserve"> (single dose)</w:t>
                  </w:r>
                </w:p>
              </w:tc>
            </w:tr>
            <w:tr w:rsidRPr="00200044" w:rsidR="000E7F28" w:rsidTr="005B2301" w14:paraId="4EBD3E09" w14:textId="77777777">
              <w:tc>
                <w:tcPr>
                  <w:tcW w:w="1021" w:type="dxa"/>
                  <w:shd w:val="clear" w:color="auto" w:fill="auto"/>
                </w:tcPr>
                <w:p w:rsidRPr="00200044" w:rsidR="000E7F28" w:rsidP="006F0321" w:rsidRDefault="000E7F28" w14:paraId="77F206AD" w14:textId="77777777">
                  <w:pPr>
                    <w:pStyle w:val="BodyText"/>
                  </w:pPr>
                  <w:r w:rsidRPr="00200044">
                    <w:t>IV</w:t>
                  </w:r>
                </w:p>
              </w:tc>
              <w:tc>
                <w:tcPr>
                  <w:tcW w:w="1418" w:type="dxa"/>
                  <w:shd w:val="clear" w:color="auto" w:fill="auto"/>
                </w:tcPr>
                <w:p w:rsidRPr="00200044" w:rsidR="000E7F28" w:rsidP="006F0321" w:rsidRDefault="000E7F28" w14:paraId="1AF712A9" w14:textId="77777777">
                  <w:pPr>
                    <w:pStyle w:val="BodyText"/>
                  </w:pPr>
                  <w:r w:rsidRPr="00200044">
                    <w:t>20</w:t>
                  </w:r>
                  <w:r>
                    <w:t xml:space="preserve"> </w:t>
                  </w:r>
                  <w:r w:rsidRPr="00200044">
                    <w:t>mg/kg</w:t>
                  </w:r>
                </w:p>
              </w:tc>
              <w:tc>
                <w:tcPr>
                  <w:tcW w:w="3544" w:type="dxa"/>
                  <w:shd w:val="clear" w:color="auto" w:fill="auto"/>
                </w:tcPr>
                <w:p w:rsidRPr="00200044" w:rsidR="000E7F28" w:rsidP="006F0321" w:rsidRDefault="000E7F28" w14:paraId="1393A1F5" w14:textId="77777777">
                  <w:pPr>
                    <w:pStyle w:val="BodyText"/>
                  </w:pPr>
                  <w:r w:rsidRPr="00200044">
                    <w:t>10</w:t>
                  </w:r>
                  <w:r>
                    <w:t xml:space="preserve"> mg/kg (range 5−</w:t>
                  </w:r>
                  <w:r w:rsidRPr="00200044">
                    <w:t>20mg/kg)</w:t>
                  </w:r>
                  <w:r>
                    <w:t xml:space="preserve"> daily</w:t>
                  </w:r>
                </w:p>
              </w:tc>
              <w:tc>
                <w:tcPr>
                  <w:tcW w:w="2008" w:type="dxa"/>
                  <w:shd w:val="clear" w:color="auto" w:fill="auto"/>
                </w:tcPr>
                <w:p w:rsidRPr="00200044" w:rsidR="000E7F28" w:rsidP="006F0321" w:rsidRDefault="000E7F28" w14:paraId="21B8EF33" w14:textId="77777777">
                  <w:pPr>
                    <w:pStyle w:val="BodyText"/>
                  </w:pPr>
                  <w:r w:rsidRPr="00200044">
                    <w:t>10</w:t>
                  </w:r>
                  <w:r>
                    <w:t xml:space="preserve"> </w:t>
                  </w:r>
                  <w:r w:rsidRPr="00200044">
                    <w:t>mg/kg</w:t>
                  </w:r>
                </w:p>
              </w:tc>
            </w:tr>
            <w:tr w:rsidRPr="00200044" w:rsidR="000E7F28" w:rsidTr="005B2301" w14:paraId="7F35E33D" w14:textId="77777777">
              <w:tc>
                <w:tcPr>
                  <w:tcW w:w="1021" w:type="dxa"/>
                  <w:shd w:val="clear" w:color="auto" w:fill="auto"/>
                </w:tcPr>
                <w:p w:rsidRPr="00200044" w:rsidR="000E7F28" w:rsidP="006F0321" w:rsidRDefault="000E7F28" w14:paraId="4D01B630" w14:textId="77777777">
                  <w:pPr>
                    <w:pStyle w:val="BodyText"/>
                  </w:pPr>
                  <w:r w:rsidRPr="00200044">
                    <w:t>Oral</w:t>
                  </w:r>
                </w:p>
              </w:tc>
              <w:tc>
                <w:tcPr>
                  <w:tcW w:w="1418" w:type="dxa"/>
                  <w:shd w:val="clear" w:color="auto" w:fill="auto"/>
                </w:tcPr>
                <w:p w:rsidRPr="00200044" w:rsidR="000E7F28" w:rsidP="006F0321" w:rsidRDefault="000E7F28" w14:paraId="55B71DE3" w14:textId="77777777">
                  <w:pPr>
                    <w:pStyle w:val="BodyText"/>
                  </w:pPr>
                  <w:r w:rsidRPr="00200044">
                    <w:t>20</w:t>
                  </w:r>
                  <w:r>
                    <w:t xml:space="preserve"> </w:t>
                  </w:r>
                  <w:r w:rsidRPr="00200044">
                    <w:t>mg/kg</w:t>
                  </w:r>
                </w:p>
              </w:tc>
              <w:tc>
                <w:tcPr>
                  <w:tcW w:w="3544" w:type="dxa"/>
                  <w:shd w:val="clear" w:color="auto" w:fill="auto"/>
                </w:tcPr>
                <w:p w:rsidRPr="00200044" w:rsidR="000E7F28" w:rsidP="006F0321" w:rsidRDefault="000E7F28" w14:paraId="6D026E1F" w14:textId="77777777">
                  <w:pPr>
                    <w:pStyle w:val="BodyText"/>
                  </w:pPr>
                  <w:r w:rsidRPr="00200044">
                    <w:t>10</w:t>
                  </w:r>
                  <w:r>
                    <w:t xml:space="preserve"> mg/kg (range 5−</w:t>
                  </w:r>
                  <w:r w:rsidRPr="00200044">
                    <w:t>20mg/kg)</w:t>
                  </w:r>
                  <w:r>
                    <w:t xml:space="preserve"> daily</w:t>
                  </w:r>
                </w:p>
              </w:tc>
              <w:tc>
                <w:tcPr>
                  <w:tcW w:w="2008" w:type="dxa"/>
                  <w:shd w:val="clear" w:color="auto" w:fill="auto"/>
                </w:tcPr>
                <w:p w:rsidRPr="00200044" w:rsidR="000E7F28" w:rsidP="006F0321" w:rsidRDefault="000E7F28" w14:paraId="1147813E" w14:textId="77777777">
                  <w:pPr>
                    <w:pStyle w:val="BodyText"/>
                  </w:pPr>
                  <w:r w:rsidRPr="00200044">
                    <w:t>10</w:t>
                  </w:r>
                  <w:r>
                    <w:t xml:space="preserve"> </w:t>
                  </w:r>
                  <w:r w:rsidRPr="00200044">
                    <w:t>mg/kg</w:t>
                  </w:r>
                  <w:r>
                    <w:t xml:space="preserve"> </w:t>
                  </w:r>
                </w:p>
              </w:tc>
            </w:tr>
          </w:tbl>
          <w:p w:rsidR="000E7F28" w:rsidP="006F0321" w:rsidRDefault="000E7F28" w14:paraId="515B9272" w14:textId="77777777">
            <w:pPr>
              <w:pStyle w:val="BodyText"/>
              <w:rPr>
                <w:rFonts w:cs="Arial"/>
              </w:rPr>
            </w:pPr>
            <w:r w:rsidRPr="00200044">
              <w:t>Ma</w:t>
            </w:r>
            <w:r>
              <w:t xml:space="preserve">intenance dose may be increased or decreased as per the clinical need. </w:t>
            </w:r>
          </w:p>
          <w:p w:rsidR="000E7F28" w:rsidP="006F0321" w:rsidRDefault="000E7F28" w14:paraId="410DFFD9" w14:textId="77777777">
            <w:pPr>
              <w:pStyle w:val="BodyText"/>
            </w:pPr>
          </w:p>
          <w:p w:rsidR="00FA198C" w:rsidP="006F0321" w:rsidRDefault="00FA198C" w14:paraId="511CF8E7" w14:textId="77777777">
            <w:pPr>
              <w:pStyle w:val="BodyText"/>
            </w:pPr>
          </w:p>
          <w:p w:rsidR="00FA198C" w:rsidP="006F0321" w:rsidRDefault="00FA198C" w14:paraId="5F85A449" w14:textId="77777777">
            <w:pPr>
              <w:pStyle w:val="BodyText"/>
            </w:pPr>
          </w:p>
          <w:p w:rsidR="00FA198C" w:rsidP="006F0321" w:rsidRDefault="00FA198C" w14:paraId="24FC73B7" w14:textId="77777777">
            <w:pPr>
              <w:pStyle w:val="BodyText"/>
            </w:pPr>
          </w:p>
          <w:p w:rsidR="00FA198C" w:rsidP="006F0321" w:rsidRDefault="00FA198C" w14:paraId="03EFFC3D" w14:textId="77777777">
            <w:pPr>
              <w:pStyle w:val="BodyText"/>
            </w:pPr>
          </w:p>
          <w:p w:rsidR="00FA198C" w:rsidP="006F0321" w:rsidRDefault="00FA198C" w14:paraId="28AC71F3" w14:textId="77777777">
            <w:pPr>
              <w:pStyle w:val="BodyText"/>
            </w:pPr>
          </w:p>
          <w:p w:rsidR="000E7F28" w:rsidP="006F0321" w:rsidRDefault="000E7F28" w14:paraId="7A9C3D2F" w14:textId="77777777">
            <w:pPr>
              <w:pStyle w:val="BodyText"/>
            </w:pPr>
            <w:r w:rsidRPr="00DD0CB9">
              <w:t>Caffeine base</w:t>
            </w:r>
          </w:p>
          <w:p w:rsidRPr="00DD0CB9" w:rsidR="000E7F28" w:rsidP="006F0321" w:rsidRDefault="000E7F28" w14:paraId="56E41FF8" w14:textId="77777777">
            <w:pPr>
              <w:pStyle w:val="BodyText"/>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743"/>
              <w:gridCol w:w="1237"/>
              <w:gridCol w:w="2815"/>
              <w:gridCol w:w="1612"/>
            </w:tblGrid>
            <w:tr w:rsidRPr="00200044" w:rsidR="000E7F28" w:rsidTr="005B2301" w14:paraId="73B25211" w14:textId="77777777">
              <w:tc>
                <w:tcPr>
                  <w:tcW w:w="580" w:type="pct"/>
                  <w:shd w:val="clear" w:color="auto" w:fill="auto"/>
                </w:tcPr>
                <w:p w:rsidRPr="00200044" w:rsidR="000E7F28" w:rsidP="006F0321" w:rsidRDefault="000E7F28" w14:paraId="08AB5C84" w14:textId="77777777">
                  <w:pPr>
                    <w:pStyle w:val="BodyText"/>
                  </w:pPr>
                </w:p>
              </w:tc>
              <w:tc>
                <w:tcPr>
                  <w:tcW w:w="965" w:type="pct"/>
                  <w:shd w:val="clear" w:color="auto" w:fill="auto"/>
                  <w:vAlign w:val="center"/>
                </w:tcPr>
                <w:p w:rsidRPr="00200044" w:rsidR="000E7F28" w:rsidP="006F0321" w:rsidRDefault="000E7F28" w14:paraId="3108EB40" w14:textId="77777777">
                  <w:pPr>
                    <w:pStyle w:val="BodyText"/>
                  </w:pPr>
                  <w:r w:rsidRPr="00200044">
                    <w:t>Loading dose</w:t>
                  </w:r>
                </w:p>
              </w:tc>
              <w:tc>
                <w:tcPr>
                  <w:tcW w:w="2197" w:type="pct"/>
                  <w:shd w:val="clear" w:color="auto" w:fill="auto"/>
                  <w:vAlign w:val="center"/>
                </w:tcPr>
                <w:p w:rsidRPr="00200044" w:rsidR="000E7F28" w:rsidP="006F0321" w:rsidRDefault="000E7F28" w14:paraId="3E35D20A" w14:textId="77777777">
                  <w:pPr>
                    <w:pStyle w:val="BodyText"/>
                  </w:pPr>
                  <w:r w:rsidRPr="00200044">
                    <w:t>Maintenance dose</w:t>
                  </w:r>
                </w:p>
                <w:p w:rsidRPr="00200044" w:rsidR="000E7F28" w:rsidP="006F0321" w:rsidRDefault="000E7F28" w14:paraId="31C790AB" w14:textId="77777777">
                  <w:pPr>
                    <w:pStyle w:val="BodyText"/>
                  </w:pPr>
                  <w:r w:rsidRPr="00200044">
                    <w:t>24 hours after loading dose</w:t>
                  </w:r>
                </w:p>
              </w:tc>
              <w:tc>
                <w:tcPr>
                  <w:tcW w:w="1259" w:type="pct"/>
                </w:tcPr>
                <w:p w:rsidR="000E7F28" w:rsidP="006F0321" w:rsidRDefault="000E7F28" w14:paraId="5005AB17" w14:textId="77777777">
                  <w:pPr>
                    <w:pStyle w:val="BodyText"/>
                  </w:pPr>
                  <w:r>
                    <w:t xml:space="preserve">Post-Op apnoea </w:t>
                  </w:r>
                </w:p>
                <w:p w:rsidRPr="00200044" w:rsidR="000E7F28" w:rsidP="006F0321" w:rsidRDefault="000E7F28" w14:paraId="04816953" w14:textId="77777777">
                  <w:pPr>
                    <w:pStyle w:val="BodyText"/>
                  </w:pPr>
                  <w:r>
                    <w:t>(single dose)</w:t>
                  </w:r>
                </w:p>
              </w:tc>
            </w:tr>
            <w:tr w:rsidRPr="00200044" w:rsidR="000E7F28" w:rsidTr="005B2301" w14:paraId="47825C44" w14:textId="77777777">
              <w:tc>
                <w:tcPr>
                  <w:tcW w:w="580" w:type="pct"/>
                  <w:shd w:val="clear" w:color="auto" w:fill="auto"/>
                </w:tcPr>
                <w:p w:rsidRPr="00200044" w:rsidR="000E7F28" w:rsidP="006F0321" w:rsidRDefault="000E7F28" w14:paraId="1B0349DE" w14:textId="77777777">
                  <w:pPr>
                    <w:pStyle w:val="BodyText"/>
                  </w:pPr>
                  <w:r w:rsidRPr="00200044">
                    <w:t>IV</w:t>
                  </w:r>
                </w:p>
              </w:tc>
              <w:tc>
                <w:tcPr>
                  <w:tcW w:w="965" w:type="pct"/>
                  <w:shd w:val="clear" w:color="auto" w:fill="auto"/>
                </w:tcPr>
                <w:p w:rsidRPr="00200044" w:rsidR="000E7F28" w:rsidP="006F0321" w:rsidRDefault="000E7F28" w14:paraId="68358E81" w14:textId="77777777">
                  <w:pPr>
                    <w:pStyle w:val="BodyText"/>
                  </w:pPr>
                  <w:r w:rsidRPr="00200044">
                    <w:t>10</w:t>
                  </w:r>
                  <w:r>
                    <w:t xml:space="preserve"> </w:t>
                  </w:r>
                  <w:r w:rsidRPr="00200044">
                    <w:t>mg/kg</w:t>
                  </w:r>
                </w:p>
              </w:tc>
              <w:tc>
                <w:tcPr>
                  <w:tcW w:w="2197" w:type="pct"/>
                  <w:shd w:val="clear" w:color="auto" w:fill="auto"/>
                </w:tcPr>
                <w:p w:rsidRPr="00200044" w:rsidR="000E7F28" w:rsidP="006F0321" w:rsidRDefault="000E7F28" w14:paraId="69A8E84B" w14:textId="77777777">
                  <w:pPr>
                    <w:pStyle w:val="BodyText"/>
                  </w:pPr>
                  <w:r>
                    <w:t>5 mg/kg (range 2.5−</w:t>
                  </w:r>
                  <w:r w:rsidRPr="00200044">
                    <w:t>10 mg/kg)</w:t>
                  </w:r>
                  <w:r>
                    <w:t xml:space="preserve"> daily</w:t>
                  </w:r>
                </w:p>
              </w:tc>
              <w:tc>
                <w:tcPr>
                  <w:tcW w:w="1259" w:type="pct"/>
                </w:tcPr>
                <w:p w:rsidRPr="00200044" w:rsidR="000E7F28" w:rsidP="006F0321" w:rsidRDefault="000E7F28" w14:paraId="0FE461A3" w14:textId="77777777">
                  <w:pPr>
                    <w:pStyle w:val="BodyText"/>
                  </w:pPr>
                  <w:r>
                    <w:t>5 mg/kg</w:t>
                  </w:r>
                </w:p>
              </w:tc>
            </w:tr>
            <w:tr w:rsidRPr="00200044" w:rsidR="000E7F28" w:rsidTr="005B2301" w14:paraId="6A1E8A6D" w14:textId="77777777">
              <w:tc>
                <w:tcPr>
                  <w:tcW w:w="580" w:type="pct"/>
                  <w:shd w:val="clear" w:color="auto" w:fill="auto"/>
                </w:tcPr>
                <w:p w:rsidRPr="00200044" w:rsidR="000E7F28" w:rsidP="006F0321" w:rsidRDefault="000E7F28" w14:paraId="6F1A836D" w14:textId="77777777">
                  <w:pPr>
                    <w:pStyle w:val="BodyText"/>
                  </w:pPr>
                  <w:r w:rsidRPr="00200044">
                    <w:t>Oral</w:t>
                  </w:r>
                </w:p>
              </w:tc>
              <w:tc>
                <w:tcPr>
                  <w:tcW w:w="965" w:type="pct"/>
                  <w:shd w:val="clear" w:color="auto" w:fill="auto"/>
                </w:tcPr>
                <w:p w:rsidRPr="00200044" w:rsidR="000E7F28" w:rsidP="006F0321" w:rsidRDefault="000E7F28" w14:paraId="6730EDEC" w14:textId="77777777">
                  <w:pPr>
                    <w:pStyle w:val="BodyText"/>
                  </w:pPr>
                  <w:r w:rsidRPr="00200044">
                    <w:t>10</w:t>
                  </w:r>
                  <w:r>
                    <w:t xml:space="preserve"> </w:t>
                  </w:r>
                  <w:r w:rsidRPr="00200044">
                    <w:t>mg/kg</w:t>
                  </w:r>
                </w:p>
              </w:tc>
              <w:tc>
                <w:tcPr>
                  <w:tcW w:w="2197" w:type="pct"/>
                  <w:shd w:val="clear" w:color="auto" w:fill="auto"/>
                </w:tcPr>
                <w:p w:rsidRPr="00200044" w:rsidR="000E7F28" w:rsidP="006F0321" w:rsidRDefault="000E7F28" w14:paraId="5B24645A" w14:textId="77777777">
                  <w:pPr>
                    <w:pStyle w:val="BodyText"/>
                  </w:pPr>
                  <w:r>
                    <w:t>5 mg/kg (range 2.5−</w:t>
                  </w:r>
                  <w:r w:rsidRPr="00200044">
                    <w:t>10 mg/kg)</w:t>
                  </w:r>
                  <w:r>
                    <w:t xml:space="preserve"> daily</w:t>
                  </w:r>
                </w:p>
              </w:tc>
              <w:tc>
                <w:tcPr>
                  <w:tcW w:w="1259" w:type="pct"/>
                </w:tcPr>
                <w:p w:rsidRPr="00200044" w:rsidR="000E7F28" w:rsidP="006F0321" w:rsidRDefault="000E7F28" w14:paraId="1E2AC6EF" w14:textId="77777777">
                  <w:pPr>
                    <w:pStyle w:val="BodyText"/>
                  </w:pPr>
                  <w:r>
                    <w:t>5 mg/kg</w:t>
                  </w:r>
                </w:p>
              </w:tc>
            </w:tr>
          </w:tbl>
          <w:p w:rsidRPr="00200044" w:rsidR="000E7F28" w:rsidP="006F0321" w:rsidRDefault="000E7F28" w14:paraId="30B15C01" w14:textId="77777777">
            <w:pPr>
              <w:pStyle w:val="BodyText"/>
              <w:rPr>
                <w:rFonts w:cs="Arial"/>
              </w:rPr>
            </w:pPr>
            <w:r w:rsidRPr="00DB2475">
              <w:t>Maintenance dose may be increased or decreased as per the clinical need.</w:t>
            </w:r>
          </w:p>
        </w:tc>
      </w:tr>
      <w:tr w:rsidRPr="003A7895" w:rsidR="000E7F28" w:rsidTr="77BEE3D0" w14:paraId="58ECDD6D" w14:textId="77777777">
        <w:trPr>
          <w:trHeight w:val="557"/>
        </w:trPr>
        <w:tc>
          <w:tcPr>
            <w:tcW w:w="2438" w:type="dxa"/>
          </w:tcPr>
          <w:p w:rsidRPr="003A7895" w:rsidR="000E7F28" w:rsidP="006F0321" w:rsidRDefault="000E7F28" w14:paraId="29858066" w14:textId="77777777">
            <w:pPr>
              <w:pStyle w:val="BodyText"/>
            </w:pPr>
            <w:r w:rsidRPr="003A7895">
              <w:lastRenderedPageBreak/>
              <w:t xml:space="preserve">Route                                </w:t>
            </w:r>
          </w:p>
          <w:p w:rsidRPr="003A7895" w:rsidR="000E7F28" w:rsidP="006F0321" w:rsidRDefault="000E7F28" w14:paraId="019B7F62" w14:textId="77777777">
            <w:pPr>
              <w:pStyle w:val="BodyText"/>
            </w:pPr>
            <w:r w:rsidRPr="003A7895">
              <w:t xml:space="preserve">           </w:t>
            </w:r>
          </w:p>
        </w:tc>
        <w:tc>
          <w:tcPr>
            <w:tcW w:w="6633" w:type="dxa"/>
          </w:tcPr>
          <w:p w:rsidR="000E7F28" w:rsidP="006F0321" w:rsidRDefault="000E7F28" w14:paraId="45727A2A" w14:textId="77777777">
            <w:pPr>
              <w:pStyle w:val="BodyText"/>
            </w:pPr>
            <w:r>
              <w:t xml:space="preserve">IV </w:t>
            </w:r>
          </w:p>
          <w:p w:rsidRPr="003A7895" w:rsidR="000E7F28" w:rsidP="006F0321" w:rsidRDefault="000E7F28" w14:paraId="53C57380" w14:textId="77777777">
            <w:pPr>
              <w:pStyle w:val="BodyText"/>
            </w:pPr>
            <w:r>
              <w:t>Oral</w:t>
            </w:r>
          </w:p>
        </w:tc>
      </w:tr>
      <w:tr w:rsidRPr="003A7895" w:rsidR="000E7F28" w:rsidTr="77BEE3D0" w14:paraId="7989266B" w14:textId="77777777">
        <w:trPr>
          <w:trHeight w:val="557"/>
        </w:trPr>
        <w:tc>
          <w:tcPr>
            <w:tcW w:w="2438" w:type="dxa"/>
          </w:tcPr>
          <w:p w:rsidRPr="003A7895" w:rsidR="000E7F28" w:rsidP="006F0321" w:rsidRDefault="000E7F28" w14:paraId="11F775F8" w14:textId="77777777">
            <w:r w:rsidRPr="003A7895">
              <w:t>Maximum Daily Dose</w:t>
            </w:r>
          </w:p>
        </w:tc>
        <w:tc>
          <w:tcPr>
            <w:tcW w:w="6633" w:type="dxa"/>
          </w:tcPr>
          <w:p w:rsidRPr="00A81CD1" w:rsidR="000E7F28" w:rsidP="006F0321" w:rsidRDefault="000E7F28" w14:paraId="5D7556A0" w14:textId="77777777">
            <w:r>
              <w:t>Loading dose: A</w:t>
            </w:r>
            <w:r w:rsidRPr="00A81CD1">
              <w:t>s high as 80</w:t>
            </w:r>
            <w:r>
              <w:t xml:space="preserve"> </w:t>
            </w:r>
            <w:r w:rsidRPr="00A81CD1">
              <w:t>mg/kg of caffeine citrate ha</w:t>
            </w:r>
            <w:r>
              <w:t>s</w:t>
            </w:r>
            <w:r w:rsidRPr="00A81CD1">
              <w:t xml:space="preserve"> been reported; some centres repeat a load of 20</w:t>
            </w:r>
            <w:r>
              <w:t xml:space="preserve"> </w:t>
            </w:r>
            <w:r w:rsidRPr="00A81CD1">
              <w:t>mg/kg as caffeine citrate to a maximum cumulative dose load of 80</w:t>
            </w:r>
            <w:r>
              <w:t xml:space="preserve"> </w:t>
            </w:r>
            <w:r w:rsidRPr="00A81CD1">
              <w:t>mg/kg in refracto</w:t>
            </w:r>
            <w:r>
              <w:t>ry patients.</w:t>
            </w:r>
            <w:r>
              <w:br/>
            </w:r>
            <w:r>
              <w:t>Maintenance dose: S</w:t>
            </w:r>
            <w:r w:rsidRPr="00A81CD1">
              <w:t xml:space="preserve">ome centres increase </w:t>
            </w:r>
            <w:r>
              <w:t>the</w:t>
            </w:r>
            <w:r w:rsidRPr="00A81CD1">
              <w:t xml:space="preserve"> dose in 5</w:t>
            </w:r>
            <w:r>
              <w:t xml:space="preserve"> </w:t>
            </w:r>
            <w:r w:rsidRPr="00A81CD1">
              <w:t>mg/kg</w:t>
            </w:r>
            <w:r>
              <w:t xml:space="preserve"> daily</w:t>
            </w:r>
            <w:r w:rsidRPr="00A81CD1">
              <w:t xml:space="preserve"> increments of caffeine citrate to a maximum of 20</w:t>
            </w:r>
            <w:r>
              <w:t xml:space="preserve"> </w:t>
            </w:r>
            <w:r w:rsidRPr="00A81CD1">
              <w:t xml:space="preserve">mg/kg/day in refractory patients based on clinical response </w:t>
            </w:r>
            <w:r>
              <w:rPr>
                <w:rFonts w:cs="Calibri"/>
              </w:rPr>
              <w:t>±</w:t>
            </w:r>
            <w:r w:rsidRPr="00A81CD1">
              <w:t xml:space="preserve"> serum caffeine concentrations.</w:t>
            </w:r>
            <w:r w:rsidRPr="0065498D">
              <w:t xml:space="preserve"> [1]</w:t>
            </w:r>
          </w:p>
        </w:tc>
      </w:tr>
      <w:tr w:rsidRPr="003A7895" w:rsidR="000E7F28" w:rsidTr="77BEE3D0" w14:paraId="226C47BA" w14:textId="77777777">
        <w:trPr>
          <w:trHeight w:val="1836"/>
        </w:trPr>
        <w:tc>
          <w:tcPr>
            <w:tcW w:w="2438" w:type="dxa"/>
          </w:tcPr>
          <w:p w:rsidRPr="003A7895" w:rsidR="000E7F28" w:rsidP="006F0321" w:rsidRDefault="779A578A" w14:paraId="4816EF09" w14:textId="4D15CFF3">
            <w:pPr>
              <w:pStyle w:val="BodyText"/>
              <w:rPr>
                <w:highlight w:val="cyan"/>
              </w:rPr>
            </w:pPr>
            <w:r>
              <w:t>Preparation/Dilution</w:t>
            </w:r>
          </w:p>
        </w:tc>
        <w:tc>
          <w:tcPr>
            <w:tcW w:w="6633" w:type="dxa"/>
          </w:tcPr>
          <w:p w:rsidR="000E7F28" w:rsidP="006F0321" w:rsidRDefault="000E7F28" w14:paraId="32DCF4A7" w14:textId="77777777">
            <w:pPr>
              <w:pStyle w:val="BodyText"/>
            </w:pPr>
            <w:r>
              <w:t>IV INFUSION</w:t>
            </w:r>
          </w:p>
          <w:p w:rsidRPr="008E0FAD" w:rsidR="000E7F28" w:rsidP="006F0321" w:rsidRDefault="000E7F28" w14:paraId="61A26FFA" w14:textId="77777777">
            <w:pPr>
              <w:pStyle w:val="BodyText"/>
            </w:pPr>
            <w:r w:rsidRPr="008E0FAD">
              <w:t>Caffeine citrate</w:t>
            </w:r>
          </w:p>
          <w:p w:rsidR="000E7F28" w:rsidP="006F0321" w:rsidRDefault="000E7F28" w14:paraId="2FAEA456" w14:textId="77777777">
            <w:pPr>
              <w:pStyle w:val="BodyText"/>
              <w:rPr>
                <w:rFonts w:cs="Arial"/>
              </w:rPr>
            </w:pPr>
            <w:r w:rsidRPr="00200044">
              <w:t>Draw up 1</w:t>
            </w:r>
            <w:r>
              <w:t xml:space="preserve"> </w:t>
            </w:r>
            <w:r w:rsidRPr="00200044">
              <w:t>m</w:t>
            </w:r>
            <w:r>
              <w:t>L</w:t>
            </w:r>
            <w:r w:rsidRPr="00200044">
              <w:t xml:space="preserve"> (20</w:t>
            </w:r>
            <w:r>
              <w:t xml:space="preserve"> </w:t>
            </w:r>
            <w:r w:rsidRPr="00200044">
              <w:t>mg) of caffeine citrate and add 4</w:t>
            </w:r>
            <w:r>
              <w:t xml:space="preserve"> </w:t>
            </w:r>
            <w:r w:rsidRPr="00200044">
              <w:t>m</w:t>
            </w:r>
            <w:r>
              <w:t>L sodium c</w:t>
            </w:r>
            <w:r w:rsidRPr="00200044">
              <w:t xml:space="preserve">hloride 0.9% </w:t>
            </w:r>
            <w:r>
              <w:t xml:space="preserve">or glucose 5% </w:t>
            </w:r>
            <w:r w:rsidRPr="00200044">
              <w:t>to make</w:t>
            </w:r>
            <w:r>
              <w:t xml:space="preserve"> a</w:t>
            </w:r>
            <w:r w:rsidRPr="00200044">
              <w:t xml:space="preserve"> final volume</w:t>
            </w:r>
            <w:r>
              <w:t xml:space="preserve"> of</w:t>
            </w:r>
            <w:r w:rsidRPr="00200044">
              <w:t xml:space="preserve"> 5</w:t>
            </w:r>
            <w:r>
              <w:t xml:space="preserve"> </w:t>
            </w:r>
            <w:r w:rsidRPr="00200044">
              <w:t>m</w:t>
            </w:r>
            <w:r>
              <w:t>L</w:t>
            </w:r>
            <w:r w:rsidRPr="00200044">
              <w:t xml:space="preserve"> with a concentration of 4</w:t>
            </w:r>
            <w:r>
              <w:t xml:space="preserve"> </w:t>
            </w:r>
            <w:r w:rsidRPr="00200044">
              <w:t>mg/m</w:t>
            </w:r>
            <w:r>
              <w:t>L</w:t>
            </w:r>
            <w:r w:rsidRPr="00200044">
              <w:t>.</w:t>
            </w:r>
            <w:r w:rsidRPr="00200044">
              <w:br/>
            </w:r>
          </w:p>
          <w:p w:rsidR="000E7F28" w:rsidP="006F0321" w:rsidRDefault="000E7F28" w14:paraId="59E33AE7" w14:textId="77777777">
            <w:pPr>
              <w:pStyle w:val="BodyText"/>
            </w:pPr>
            <w:r w:rsidRPr="008E0FAD">
              <w:t>Caffeine base</w:t>
            </w:r>
          </w:p>
          <w:p w:rsidRPr="00200044" w:rsidR="000E7F28" w:rsidP="006F0321" w:rsidRDefault="000E7F28" w14:paraId="7D578A94" w14:textId="77777777">
            <w:pPr>
              <w:pStyle w:val="BodyText"/>
              <w:rPr>
                <w:rFonts w:cs="Arial"/>
                <w:b/>
                <w:u w:val="single"/>
              </w:rPr>
            </w:pPr>
            <w:r w:rsidRPr="00200044">
              <w:t>Draw up 2</w:t>
            </w:r>
            <w:r>
              <w:t xml:space="preserve"> </w:t>
            </w:r>
            <w:r w:rsidRPr="00200044">
              <w:t>m</w:t>
            </w:r>
            <w:r>
              <w:t>L</w:t>
            </w:r>
            <w:r w:rsidRPr="00200044">
              <w:t xml:space="preserve"> caffeine base (20</w:t>
            </w:r>
            <w:r>
              <w:t xml:space="preserve"> </w:t>
            </w:r>
            <w:r w:rsidRPr="00200044">
              <w:t>mg) and add 8</w:t>
            </w:r>
            <w:r>
              <w:t xml:space="preserve"> </w:t>
            </w:r>
            <w:r w:rsidRPr="00200044">
              <w:t>m</w:t>
            </w:r>
            <w:r>
              <w:t>L</w:t>
            </w:r>
            <w:r w:rsidRPr="00200044">
              <w:t xml:space="preserve"> </w:t>
            </w:r>
            <w:r>
              <w:t>sodium c</w:t>
            </w:r>
            <w:r w:rsidRPr="008E0FAD">
              <w:t xml:space="preserve">hloride 0.9% </w:t>
            </w:r>
            <w:r>
              <w:t xml:space="preserve">or glucose 5% </w:t>
            </w:r>
            <w:r w:rsidRPr="00200044">
              <w:t>to make</w:t>
            </w:r>
            <w:r>
              <w:t xml:space="preserve"> a</w:t>
            </w:r>
            <w:r w:rsidRPr="00200044">
              <w:t xml:space="preserve"> final volume</w:t>
            </w:r>
            <w:r>
              <w:t xml:space="preserve"> of</w:t>
            </w:r>
            <w:r w:rsidRPr="00200044">
              <w:t xml:space="preserve"> 10</w:t>
            </w:r>
            <w:r>
              <w:t xml:space="preserve"> </w:t>
            </w:r>
            <w:r w:rsidRPr="00200044">
              <w:t>m</w:t>
            </w:r>
            <w:r>
              <w:t>L</w:t>
            </w:r>
            <w:r w:rsidRPr="00200044">
              <w:t xml:space="preserve"> with a concentration of 2</w:t>
            </w:r>
            <w:r>
              <w:t xml:space="preserve"> </w:t>
            </w:r>
            <w:r w:rsidRPr="00200044">
              <w:t>mg/m</w:t>
            </w:r>
            <w:r>
              <w:t>L.</w:t>
            </w:r>
            <w:r w:rsidRPr="00200044">
              <w:br/>
            </w:r>
          </w:p>
        </w:tc>
      </w:tr>
      <w:tr w:rsidRPr="003A7895" w:rsidR="000E7F28" w:rsidTr="77BEE3D0" w14:paraId="039F1522" w14:textId="77777777">
        <w:trPr>
          <w:trHeight w:val="1283"/>
        </w:trPr>
        <w:tc>
          <w:tcPr>
            <w:tcW w:w="2438" w:type="dxa"/>
          </w:tcPr>
          <w:p w:rsidRPr="003A7895" w:rsidR="000E7F28" w:rsidP="006F0321" w:rsidRDefault="000E7F28" w14:paraId="2F087D11" w14:textId="77777777">
            <w:pPr>
              <w:pStyle w:val="BodyText"/>
            </w:pPr>
            <w:r w:rsidRPr="003A7895">
              <w:t xml:space="preserve">Administration                 </w:t>
            </w:r>
          </w:p>
          <w:p w:rsidRPr="003A7895" w:rsidR="000E7F28" w:rsidP="006F0321" w:rsidRDefault="000E7F28" w14:paraId="73B2CE7D" w14:textId="77777777">
            <w:pPr>
              <w:pStyle w:val="BodyText"/>
            </w:pPr>
          </w:p>
        </w:tc>
        <w:tc>
          <w:tcPr>
            <w:tcW w:w="6633" w:type="dxa"/>
            <w:vAlign w:val="center"/>
          </w:tcPr>
          <w:p w:rsidR="000E7F28" w:rsidP="006F0321" w:rsidRDefault="000E7F28" w14:paraId="2DA87F08" w14:textId="77777777">
            <w:pPr>
              <w:pStyle w:val="BodyText"/>
            </w:pPr>
            <w:r w:rsidRPr="00A81CD1">
              <w:t>IV: Infuse loading dose over at least 30 minutes and maintenance over 10 minutes.</w:t>
            </w:r>
            <w:r w:rsidRPr="00A81CD1">
              <w:br/>
            </w:r>
          </w:p>
          <w:p w:rsidRPr="00A81CD1" w:rsidR="000E7F28" w:rsidP="006F0321" w:rsidRDefault="000E7F28" w14:paraId="341E25DB" w14:textId="77777777">
            <w:pPr>
              <w:pStyle w:val="BodyText"/>
              <w:rPr>
                <w:rFonts w:cs="Arial"/>
              </w:rPr>
            </w:pPr>
            <w:r w:rsidRPr="009C7C7C">
              <w:t>ORAL:</w:t>
            </w:r>
            <w:r>
              <w:rPr>
                <w:b/>
              </w:rPr>
              <w:t xml:space="preserve"> </w:t>
            </w:r>
            <w:r>
              <w:t>Solution m</w:t>
            </w:r>
            <w:r w:rsidRPr="00A81CD1">
              <w:t>ay be administered without regard to feeds, however consider giving with feeds to reduce gastric irritation.</w:t>
            </w:r>
          </w:p>
        </w:tc>
      </w:tr>
      <w:tr w:rsidRPr="003A7895" w:rsidR="000E7F28" w:rsidTr="77BEE3D0" w14:paraId="62B1F67E" w14:textId="77777777">
        <w:trPr>
          <w:trHeight w:val="407"/>
        </w:trPr>
        <w:tc>
          <w:tcPr>
            <w:tcW w:w="2438" w:type="dxa"/>
          </w:tcPr>
          <w:p w:rsidRPr="003A7895" w:rsidR="000E7F28" w:rsidP="006F0321" w:rsidRDefault="000E7F28" w14:paraId="08FA7346" w14:textId="77777777">
            <w:pPr>
              <w:pStyle w:val="BodyText"/>
            </w:pPr>
            <w:r w:rsidRPr="003A7895">
              <w:t xml:space="preserve">Monitoring                              </w:t>
            </w:r>
          </w:p>
          <w:p w:rsidRPr="003A7895" w:rsidR="000E7F28" w:rsidP="006F0321" w:rsidRDefault="000E7F28" w14:paraId="0B250792" w14:textId="77777777">
            <w:pPr>
              <w:pStyle w:val="BodyText"/>
            </w:pPr>
          </w:p>
        </w:tc>
        <w:tc>
          <w:tcPr>
            <w:tcW w:w="6633" w:type="dxa"/>
          </w:tcPr>
          <w:p w:rsidRPr="0065498D" w:rsidR="000E7F28" w:rsidP="006F0321" w:rsidRDefault="000E7F28" w14:paraId="26A015ED" w14:textId="77777777">
            <w:pPr>
              <w:pStyle w:val="BodyText"/>
            </w:pPr>
            <w:r w:rsidRPr="0065498D">
              <w:t>Heart rate, number and severity of apnoea episodes and assess for agitation.</w:t>
            </w:r>
          </w:p>
          <w:p w:rsidRPr="0065498D" w:rsidR="000E7F28" w:rsidP="006F0321" w:rsidRDefault="000E7F28" w14:paraId="6675ED2D" w14:textId="77777777">
            <w:pPr>
              <w:pStyle w:val="BodyText"/>
            </w:pPr>
            <w:r w:rsidRPr="0065498D">
              <w:t>Consider withholding dose if HR &gt; 180 bpm.</w:t>
            </w:r>
          </w:p>
          <w:p w:rsidRPr="0065498D" w:rsidR="000E7F28" w:rsidP="006F0321" w:rsidRDefault="000E7F28" w14:paraId="5518CD82" w14:textId="77777777">
            <w:pPr>
              <w:pStyle w:val="BodyText"/>
            </w:pPr>
            <w:r w:rsidRPr="0065498D">
              <w:t>Cardiorespiratory monitoring should continue for at least 5-7 days after the cessation of</w:t>
            </w:r>
          </w:p>
          <w:p w:rsidRPr="0065498D" w:rsidR="000E7F28" w:rsidP="006F0321" w:rsidRDefault="000E7F28" w14:paraId="3390DF3A" w14:textId="77777777">
            <w:pPr>
              <w:pStyle w:val="BodyText"/>
            </w:pPr>
            <w:r w:rsidRPr="0065498D">
              <w:lastRenderedPageBreak/>
              <w:t>caffeine treatment for apnoea.</w:t>
            </w:r>
          </w:p>
          <w:p w:rsidRPr="0065498D" w:rsidR="000E7F28" w:rsidP="006F0321" w:rsidRDefault="000E7F28" w14:paraId="57D0763B" w14:textId="77777777">
            <w:pPr>
              <w:pStyle w:val="BodyText"/>
            </w:pPr>
            <w:r w:rsidRPr="0065498D">
              <w:t>Therapeutic drug monitoring is usually not necessary. [2] Trough concentrations may be</w:t>
            </w:r>
          </w:p>
          <w:p w:rsidRPr="0065498D" w:rsidR="000E7F28" w:rsidP="006F0321" w:rsidRDefault="000E7F28" w14:paraId="73549E2E" w14:textId="77777777">
            <w:pPr>
              <w:pStyle w:val="BodyText"/>
            </w:pPr>
            <w:r w:rsidRPr="0065498D">
              <w:t>taken one hour before the next dose is due but should only be done if using high doses or</w:t>
            </w:r>
          </w:p>
          <w:p w:rsidRPr="0065498D" w:rsidR="000E7F28" w:rsidP="006F0321" w:rsidRDefault="000E7F28" w14:paraId="1045485E" w14:textId="77777777">
            <w:pPr>
              <w:pStyle w:val="BodyText"/>
            </w:pPr>
            <w:r w:rsidRPr="0065498D">
              <w:t>toxicity is suspected. Monitoring of serum drug concentration should be determined on</w:t>
            </w:r>
          </w:p>
          <w:p w:rsidRPr="0065498D" w:rsidR="000E7F28" w:rsidP="006F0321" w:rsidRDefault="000E7F28" w14:paraId="4CF60927" w14:textId="77777777">
            <w:pPr>
              <w:pStyle w:val="BodyText"/>
            </w:pPr>
            <w:r w:rsidRPr="0065498D">
              <w:t>approximately day 5 of therapy.</w:t>
            </w:r>
          </w:p>
          <w:p w:rsidRPr="0065498D" w:rsidR="000E7F28" w:rsidP="006F0321" w:rsidRDefault="000E7F28" w14:paraId="15C9F031" w14:textId="77777777">
            <w:pPr>
              <w:pStyle w:val="BodyText"/>
            </w:pPr>
            <w:r w:rsidRPr="0065498D">
              <w:t>Standard caffeine dosing of a 20 mg/kg load followed by 5 mg/kg once daily results in serum</w:t>
            </w:r>
          </w:p>
          <w:p w:rsidRPr="0065498D" w:rsidR="000E7F28" w:rsidP="006F0321" w:rsidRDefault="000E7F28" w14:paraId="7F10452A" w14:textId="77777777">
            <w:pPr>
              <w:pStyle w:val="BodyText"/>
            </w:pPr>
            <w:r w:rsidRPr="0065498D">
              <w:t>concentrations of 5–20 mg/L (26-103 micromol/L).</w:t>
            </w:r>
          </w:p>
          <w:p w:rsidRPr="0065498D" w:rsidR="000E7F28" w:rsidP="006F0321" w:rsidRDefault="000E7F28" w14:paraId="2E3A5365" w14:textId="77777777">
            <w:pPr>
              <w:pStyle w:val="BodyText"/>
            </w:pPr>
            <w:r w:rsidRPr="0065498D">
              <w:t>Supratherapeutic levels 20-60 mg/L (103 – 308 micromol/L) offer potential increased effect.</w:t>
            </w:r>
          </w:p>
          <w:p w:rsidRPr="00A81CD1" w:rsidR="000E7F28" w:rsidP="006F0321" w:rsidRDefault="000E7F28" w14:paraId="0E9E1C57" w14:textId="77777777">
            <w:pPr>
              <w:pStyle w:val="BodyText"/>
              <w:rPr>
                <w:rFonts w:cs="Arial"/>
              </w:rPr>
            </w:pPr>
            <w:r w:rsidRPr="0065498D">
              <w:t>Levels &gt;60 mg/L (&gt;308 micromol/L) are considered the toxic range. [3]</w:t>
            </w:r>
          </w:p>
        </w:tc>
      </w:tr>
      <w:tr w:rsidRPr="003A7895" w:rsidR="000E7F28" w:rsidTr="77BEE3D0" w14:paraId="286A454F" w14:textId="77777777">
        <w:trPr>
          <w:trHeight w:val="330"/>
        </w:trPr>
        <w:tc>
          <w:tcPr>
            <w:tcW w:w="2438" w:type="dxa"/>
          </w:tcPr>
          <w:p w:rsidRPr="003A7895" w:rsidR="000E7F28" w:rsidP="006F0321" w:rsidRDefault="000E7F28" w14:paraId="604A2526" w14:textId="77777777">
            <w:pPr>
              <w:pStyle w:val="BodyText"/>
            </w:pPr>
            <w:r w:rsidRPr="003A7895">
              <w:lastRenderedPageBreak/>
              <w:t>Contraindications</w:t>
            </w:r>
          </w:p>
        </w:tc>
        <w:tc>
          <w:tcPr>
            <w:tcW w:w="6633" w:type="dxa"/>
          </w:tcPr>
          <w:p w:rsidRPr="00A81CD1" w:rsidR="000E7F28" w:rsidP="006F0321" w:rsidRDefault="000E7F28" w14:paraId="178019CB" w14:textId="77777777">
            <w:pPr>
              <w:pStyle w:val="BodyText"/>
              <w:rPr>
                <w:rFonts w:cs="Arial"/>
              </w:rPr>
            </w:pPr>
            <w:r w:rsidRPr="00A81CD1">
              <w:t>Contraindicated in infants with hypersensitivity to methylxanthines or citrate.</w:t>
            </w:r>
          </w:p>
        </w:tc>
      </w:tr>
      <w:tr w:rsidRPr="003A7895" w:rsidR="000E7F28" w:rsidTr="77BEE3D0" w14:paraId="3FFF36F2" w14:textId="77777777">
        <w:tc>
          <w:tcPr>
            <w:tcW w:w="2438" w:type="dxa"/>
          </w:tcPr>
          <w:p w:rsidRPr="003A7895" w:rsidR="000E7F28" w:rsidP="006F0321" w:rsidRDefault="000E7F28" w14:paraId="0FF1A2E5" w14:textId="77777777">
            <w:pPr>
              <w:pStyle w:val="BodyText"/>
            </w:pPr>
            <w:r w:rsidRPr="003A7895">
              <w:br w:type="page"/>
            </w:r>
            <w:r w:rsidRPr="003A7895">
              <w:t>Precautions</w:t>
            </w:r>
          </w:p>
        </w:tc>
        <w:tc>
          <w:tcPr>
            <w:tcW w:w="6633" w:type="dxa"/>
          </w:tcPr>
          <w:p w:rsidRPr="00A81CD1" w:rsidR="000E7F28" w:rsidP="006F0321" w:rsidRDefault="000E7F28" w14:paraId="4402F1B3" w14:textId="77777777">
            <w:pPr>
              <w:pStyle w:val="BodyText"/>
              <w:rPr>
                <w:rFonts w:cs="Arial"/>
              </w:rPr>
            </w:pPr>
            <w:r w:rsidRPr="00A81CD1">
              <w:t>Use with caution in infants with impaired renal or hepatic function, seizure disorders, cardiovascular disease or congenital heart disease.</w:t>
            </w:r>
          </w:p>
        </w:tc>
      </w:tr>
      <w:tr w:rsidRPr="003A7895" w:rsidR="000E7F28" w:rsidTr="77BEE3D0" w14:paraId="14B89508" w14:textId="77777777">
        <w:trPr>
          <w:trHeight w:val="874"/>
        </w:trPr>
        <w:tc>
          <w:tcPr>
            <w:tcW w:w="2438" w:type="dxa"/>
          </w:tcPr>
          <w:p w:rsidRPr="003A7895" w:rsidR="000E7F28" w:rsidP="006F0321" w:rsidRDefault="000E7F28" w14:paraId="3CEBB05D" w14:textId="77777777">
            <w:pPr>
              <w:pStyle w:val="BodyText"/>
            </w:pPr>
            <w:r w:rsidRPr="003A7895">
              <w:t>Drug Interactions</w:t>
            </w:r>
          </w:p>
        </w:tc>
        <w:tc>
          <w:tcPr>
            <w:tcW w:w="6633" w:type="dxa"/>
          </w:tcPr>
          <w:p w:rsidRPr="00A81CD1" w:rsidR="000E7F28" w:rsidP="006F0321" w:rsidRDefault="000E7F28" w14:paraId="38D9C072" w14:textId="77777777">
            <w:pPr>
              <w:pStyle w:val="BodyText"/>
              <w:rPr>
                <w:rFonts w:cs="Arial"/>
              </w:rPr>
            </w:pPr>
            <w:r w:rsidRPr="00A81CD1">
              <w:t>Fluconaz</w:t>
            </w:r>
            <w:r>
              <w:t>ole</w:t>
            </w:r>
            <w:r w:rsidRPr="00A81CD1">
              <w:t xml:space="preserve"> and verapamil ma</w:t>
            </w:r>
            <w:r>
              <w:t>y decrease caffeine elimination.</w:t>
            </w:r>
            <w:r w:rsidRPr="00A81CD1">
              <w:br/>
            </w:r>
            <w:r w:rsidRPr="00A81CD1">
              <w:t>Phenytoin may increase caffeine elimination.</w:t>
            </w:r>
            <w:r w:rsidRPr="00A81CD1">
              <w:br/>
            </w:r>
            <w:r w:rsidRPr="00A81CD1">
              <w:t>Caffeine antagonises the effects of benzodiazepines.</w:t>
            </w:r>
            <w:r w:rsidRPr="00A81CD1">
              <w:br/>
            </w:r>
            <w:r w:rsidRPr="00A81CD1">
              <w:t>Other methylxanthines (theophylline, aminophylline) should not be used concomitantly</w:t>
            </w:r>
            <w:r>
              <w:t>.</w:t>
            </w:r>
          </w:p>
        </w:tc>
      </w:tr>
      <w:tr w:rsidRPr="003A7895" w:rsidR="000E7F28" w:rsidTr="77BEE3D0" w14:paraId="6A58169D" w14:textId="77777777">
        <w:trPr>
          <w:trHeight w:val="878"/>
        </w:trPr>
        <w:tc>
          <w:tcPr>
            <w:tcW w:w="2438" w:type="dxa"/>
          </w:tcPr>
          <w:p w:rsidRPr="003A7895" w:rsidR="000E7F28" w:rsidP="006F0321" w:rsidRDefault="000E7F28" w14:paraId="083A0F8E" w14:textId="77777777">
            <w:pPr>
              <w:pStyle w:val="BodyText"/>
            </w:pPr>
            <w:r w:rsidRPr="003A7895">
              <w:t xml:space="preserve">Adverse Reactions         </w:t>
            </w:r>
          </w:p>
          <w:p w:rsidRPr="003A7895" w:rsidR="000E7F28" w:rsidP="006F0321" w:rsidRDefault="000E7F28" w14:paraId="36735E2E" w14:textId="77777777">
            <w:pPr>
              <w:pStyle w:val="BodyText"/>
            </w:pPr>
          </w:p>
        </w:tc>
        <w:tc>
          <w:tcPr>
            <w:tcW w:w="6633" w:type="dxa"/>
          </w:tcPr>
          <w:p w:rsidRPr="00A81CD1" w:rsidR="000E7F28" w:rsidP="006F0321" w:rsidRDefault="000E7F28" w14:paraId="02F0C8E8" w14:textId="77777777">
            <w:pPr>
              <w:pStyle w:val="BodyText"/>
              <w:rPr>
                <w:rFonts w:cs="Arial"/>
              </w:rPr>
            </w:pPr>
            <w:r w:rsidRPr="00A81CD1">
              <w:t>Arrhythmia (ventricular), flushing, tachycardia, vasodilat</w:t>
            </w:r>
            <w:r>
              <w:t>at</w:t>
            </w:r>
            <w:r w:rsidRPr="00A81CD1">
              <w:t>ion, functional cardiac symptoms</w:t>
            </w:r>
            <w:r>
              <w:t>.</w:t>
            </w:r>
            <w:r w:rsidRPr="00A81CD1">
              <w:t xml:space="preserve"> </w:t>
            </w:r>
            <w:r>
              <w:t>I</w:t>
            </w:r>
            <w:r w:rsidRPr="00A81CD1">
              <w:t>ncreased left ventricular output &amp; increased stroke volume, hypotension</w:t>
            </w:r>
            <w:r>
              <w:t>.</w:t>
            </w:r>
            <w:r w:rsidRPr="00A81CD1">
              <w:br/>
            </w:r>
            <w:r w:rsidRPr="00A81CD1">
              <w:t>Agitation, irritability, restlessness, sleep disturbances, seizures (with toxic doses)</w:t>
            </w:r>
            <w:r>
              <w:t>.</w:t>
            </w:r>
            <w:r w:rsidRPr="00A81CD1">
              <w:br/>
            </w:r>
            <w:r w:rsidRPr="00A81CD1">
              <w:t>May relax the lower oesophageal sphincter &amp; increase gastric acid secretion leading to increased episodes of gastro-oesophageal refl</w:t>
            </w:r>
            <w:r>
              <w:t>u</w:t>
            </w:r>
            <w:r w:rsidRPr="00A81CD1">
              <w:t>x, gastritis, vomiting</w:t>
            </w:r>
            <w:r>
              <w:t>.</w:t>
            </w:r>
            <w:r w:rsidRPr="00A81CD1">
              <w:br/>
            </w:r>
            <w:r w:rsidRPr="00A81CD1">
              <w:t>Urticaria, alterations in serum glucose, diuresis, tachypnoea</w:t>
            </w:r>
            <w:r>
              <w:t>.</w:t>
            </w:r>
          </w:p>
        </w:tc>
      </w:tr>
      <w:tr w:rsidRPr="003A7895" w:rsidR="000E7F28" w:rsidTr="77BEE3D0" w14:paraId="53E81F45" w14:textId="77777777">
        <w:trPr>
          <w:trHeight w:val="539"/>
        </w:trPr>
        <w:tc>
          <w:tcPr>
            <w:tcW w:w="2438" w:type="dxa"/>
          </w:tcPr>
          <w:p w:rsidRPr="003A7895" w:rsidR="000E7F28" w:rsidP="006F0321" w:rsidRDefault="000E7F28" w14:paraId="506876EE" w14:textId="77777777">
            <w:pPr>
              <w:pStyle w:val="BodyText"/>
            </w:pPr>
            <w:r w:rsidRPr="003A7895">
              <w:t>Compatibility</w:t>
            </w:r>
          </w:p>
          <w:p w:rsidRPr="003A7895" w:rsidR="000E7F28" w:rsidP="006F0321" w:rsidRDefault="000E7F28" w14:paraId="52A75689" w14:textId="77777777">
            <w:pPr>
              <w:pStyle w:val="BodyText"/>
            </w:pPr>
          </w:p>
        </w:tc>
        <w:tc>
          <w:tcPr>
            <w:tcW w:w="6633" w:type="dxa"/>
          </w:tcPr>
          <w:p w:rsidR="000E7F28" w:rsidP="006F0321" w:rsidRDefault="000E7F28" w14:paraId="78AFA9F2" w14:textId="77777777">
            <w:pPr>
              <w:pStyle w:val="BodyText"/>
            </w:pPr>
            <w:r w:rsidRPr="00A81CD1">
              <w:t>Fluid</w:t>
            </w:r>
            <w:r>
              <w:t>s</w:t>
            </w:r>
            <w:r w:rsidRPr="00A81CD1">
              <w:t>: Glucose</w:t>
            </w:r>
            <w:r>
              <w:t xml:space="preserve"> 5%, Glucose 10%, Glucose 50% and sodium chloride 0.9%.</w:t>
            </w:r>
          </w:p>
          <w:p w:rsidRPr="00A81CD1" w:rsidR="000E7F28" w:rsidP="006F0321" w:rsidRDefault="000E7F28" w14:paraId="0617A380" w14:textId="77777777">
            <w:pPr>
              <w:pStyle w:val="BodyText"/>
              <w:rPr>
                <w:rFonts w:cs="Arial"/>
              </w:rPr>
            </w:pPr>
            <w:r w:rsidRPr="00A81CD1">
              <w:t>Y-site: Dopamine, fentanyl, heparin</w:t>
            </w:r>
            <w:r>
              <w:t>, a</w:t>
            </w:r>
            <w:r w:rsidRPr="00ED05F7">
              <w:t>mino acid solutions and fat emulsions</w:t>
            </w:r>
            <w:r>
              <w:t>.</w:t>
            </w:r>
          </w:p>
        </w:tc>
      </w:tr>
      <w:tr w:rsidRPr="003A7895" w:rsidR="000E7F28" w:rsidTr="77BEE3D0" w14:paraId="3BE3F3CC" w14:textId="77777777">
        <w:trPr>
          <w:trHeight w:val="392"/>
        </w:trPr>
        <w:tc>
          <w:tcPr>
            <w:tcW w:w="2438" w:type="dxa"/>
          </w:tcPr>
          <w:p w:rsidRPr="003A7895" w:rsidR="000E7F28" w:rsidP="006F0321" w:rsidRDefault="000E7F28" w14:paraId="0B0475A2" w14:textId="77777777">
            <w:pPr>
              <w:pStyle w:val="BodyText"/>
              <w:rPr>
                <w:sz w:val="20"/>
              </w:rPr>
            </w:pPr>
            <w:r w:rsidRPr="003A7895">
              <w:t xml:space="preserve">Incompatibility  </w:t>
            </w:r>
          </w:p>
        </w:tc>
        <w:tc>
          <w:tcPr>
            <w:tcW w:w="6633" w:type="dxa"/>
          </w:tcPr>
          <w:p w:rsidR="000E7F28" w:rsidP="006F0321" w:rsidRDefault="000E7F28" w14:paraId="452179FB" w14:textId="77777777">
            <w:pPr>
              <w:pStyle w:val="BodyText"/>
            </w:pPr>
            <w:r w:rsidRPr="00A81CD1">
              <w:t>Fluid</w:t>
            </w:r>
            <w:r>
              <w:t>s</w:t>
            </w:r>
            <w:r w:rsidRPr="00A81CD1">
              <w:t>: No information</w:t>
            </w:r>
            <w:r>
              <w:t>.</w:t>
            </w:r>
          </w:p>
          <w:p w:rsidRPr="00A81CD1" w:rsidR="000E7F28" w:rsidP="006F0321" w:rsidRDefault="000E7F28" w14:paraId="30515984" w14:textId="77777777">
            <w:pPr>
              <w:pStyle w:val="BodyText"/>
              <w:rPr>
                <w:rFonts w:cs="Arial"/>
              </w:rPr>
            </w:pPr>
            <w:r>
              <w:t>Y-site:</w:t>
            </w:r>
            <w:r w:rsidRPr="00A81CD1">
              <w:t xml:space="preserve"> </w:t>
            </w:r>
            <w:r w:rsidRPr="00B85E94">
              <w:t>Aciclovir, frusemide, glyceryl trinitrate</w:t>
            </w:r>
            <w:r>
              <w:t xml:space="preserve"> and ibuprofen lysine.</w:t>
            </w:r>
          </w:p>
        </w:tc>
      </w:tr>
      <w:tr w:rsidRPr="003A7895" w:rsidR="000E7F28" w:rsidTr="77BEE3D0" w14:paraId="03D41D75" w14:textId="77777777">
        <w:trPr>
          <w:trHeight w:val="483"/>
        </w:trPr>
        <w:tc>
          <w:tcPr>
            <w:tcW w:w="2438" w:type="dxa"/>
          </w:tcPr>
          <w:p w:rsidRPr="003A7895" w:rsidR="000E7F28" w:rsidP="006F0321" w:rsidRDefault="000E7F28" w14:paraId="330CA098" w14:textId="77777777">
            <w:pPr>
              <w:pStyle w:val="BodyText"/>
            </w:pPr>
            <w:r w:rsidRPr="003A7895">
              <w:t xml:space="preserve">Stability                  </w:t>
            </w:r>
          </w:p>
        </w:tc>
        <w:tc>
          <w:tcPr>
            <w:tcW w:w="6633" w:type="dxa"/>
          </w:tcPr>
          <w:p w:rsidRPr="00A81CD1" w:rsidR="000E7F28" w:rsidP="006F0321" w:rsidRDefault="000E7F28" w14:paraId="0679A5A3" w14:textId="77777777">
            <w:pPr>
              <w:pStyle w:val="BodyText"/>
              <w:rPr>
                <w:rFonts w:cs="Arial"/>
              </w:rPr>
            </w:pPr>
            <w:r w:rsidRPr="00A81CD1">
              <w:t xml:space="preserve">Caffeine citrate: </w:t>
            </w:r>
            <w:r>
              <w:t>D</w:t>
            </w:r>
            <w:r w:rsidRPr="003A7895">
              <w:t>iscard unused portion</w:t>
            </w:r>
            <w:r>
              <w:t>.</w:t>
            </w:r>
            <w:r w:rsidRPr="00A81CD1">
              <w:br/>
            </w:r>
            <w:r w:rsidRPr="00A81CD1">
              <w:t>Caffeine base: I</w:t>
            </w:r>
            <w:r>
              <w:t>V −</w:t>
            </w:r>
            <w:r w:rsidRPr="00A81CD1">
              <w:t xml:space="preserve"> </w:t>
            </w:r>
            <w:r w:rsidRPr="003A7895">
              <w:t>discard unused portion</w:t>
            </w:r>
            <w:r>
              <w:t>. Oral solution −</w:t>
            </w:r>
            <w:r w:rsidRPr="00A81CD1">
              <w:t xml:space="preserve"> store at room temperature</w:t>
            </w:r>
            <w:r>
              <w:t>.</w:t>
            </w:r>
          </w:p>
        </w:tc>
      </w:tr>
      <w:tr w:rsidRPr="003A7895" w:rsidR="000E7F28" w:rsidTr="77BEE3D0" w14:paraId="7DD40C0A" w14:textId="77777777">
        <w:trPr>
          <w:trHeight w:val="296"/>
        </w:trPr>
        <w:tc>
          <w:tcPr>
            <w:tcW w:w="2438" w:type="dxa"/>
          </w:tcPr>
          <w:p w:rsidRPr="003A7895" w:rsidR="000E7F28" w:rsidP="006F0321" w:rsidRDefault="000E7F28" w14:paraId="7B7AD0AA" w14:textId="77777777">
            <w:pPr>
              <w:pStyle w:val="BodyText"/>
            </w:pPr>
            <w:r w:rsidRPr="003A7895">
              <w:t xml:space="preserve">Storage             </w:t>
            </w:r>
          </w:p>
        </w:tc>
        <w:tc>
          <w:tcPr>
            <w:tcW w:w="6633" w:type="dxa"/>
          </w:tcPr>
          <w:p w:rsidRPr="003A7895" w:rsidR="000E7F28" w:rsidP="006F0321" w:rsidRDefault="000E7F28" w14:paraId="31A40EAF" w14:textId="77777777">
            <w:pPr>
              <w:pStyle w:val="BodyText"/>
              <w:rPr>
                <w:rFonts w:cs="Arial"/>
              </w:rPr>
            </w:pPr>
            <w:r w:rsidRPr="003A7895">
              <w:t xml:space="preserve">Store below </w:t>
            </w:r>
            <w:r>
              <w:t xml:space="preserve">30 </w:t>
            </w:r>
            <w:r w:rsidRPr="003A7895">
              <w:t>°</w:t>
            </w:r>
            <w:r>
              <w:t>C</w:t>
            </w:r>
          </w:p>
        </w:tc>
      </w:tr>
      <w:tr w:rsidRPr="003A7895" w:rsidR="000E7F28" w:rsidTr="77BEE3D0" w14:paraId="68BEA5C9" w14:textId="77777777">
        <w:trPr>
          <w:trHeight w:val="710"/>
        </w:trPr>
        <w:tc>
          <w:tcPr>
            <w:tcW w:w="2438" w:type="dxa"/>
          </w:tcPr>
          <w:p w:rsidRPr="003A7895" w:rsidR="000E7F28" w:rsidP="006F0321" w:rsidRDefault="000E7F28" w14:paraId="4ADECBE0" w14:textId="77777777">
            <w:pPr>
              <w:pStyle w:val="BodyText"/>
            </w:pPr>
            <w:r w:rsidRPr="003A7895">
              <w:lastRenderedPageBreak/>
              <w:t xml:space="preserve">Special Comments       </w:t>
            </w:r>
          </w:p>
          <w:p w:rsidRPr="003A7895" w:rsidR="000E7F28" w:rsidP="006F0321" w:rsidRDefault="000E7F28" w14:paraId="60402E1C" w14:textId="77777777">
            <w:pPr>
              <w:pStyle w:val="BodyText"/>
            </w:pPr>
          </w:p>
        </w:tc>
        <w:tc>
          <w:tcPr>
            <w:tcW w:w="6633" w:type="dxa"/>
          </w:tcPr>
          <w:p w:rsidRPr="00E874E6" w:rsidR="000E7F28" w:rsidP="006F0321" w:rsidRDefault="000E7F28" w14:paraId="1935CAEE" w14:textId="77777777">
            <w:pPr>
              <w:pStyle w:val="BodyText"/>
            </w:pPr>
            <w:r w:rsidRPr="00E874E6">
              <w:t>Half-life in neonates: 72−96 hours (range 40−230 hours decreasing with advancing corrected</w:t>
            </w:r>
            <w:r w:rsidRPr="00E874E6" w:rsidR="00E874E6">
              <w:t xml:space="preserve"> </w:t>
            </w:r>
            <w:r w:rsidRPr="00E874E6">
              <w:t>gestational age). [4, 5]</w:t>
            </w:r>
          </w:p>
          <w:p w:rsidRPr="00E874E6" w:rsidR="000E7F28" w:rsidP="006F0321" w:rsidRDefault="000E7F28" w14:paraId="3FB6CF5F" w14:textId="77777777">
            <w:pPr>
              <w:pStyle w:val="BodyText"/>
            </w:pPr>
            <w:r w:rsidRPr="00E874E6">
              <w:t>Time to peak serum concentration: Within 30 minutes to 2 hours in oral administration.</w:t>
            </w:r>
          </w:p>
          <w:p w:rsidRPr="00E874E6" w:rsidR="000E7F28" w:rsidP="006F0321" w:rsidRDefault="000E7F28" w14:paraId="633E5137" w14:textId="77777777">
            <w:pPr>
              <w:pStyle w:val="BodyText"/>
              <w:rPr>
                <w:rFonts w:cs="Arial"/>
                <w:sz w:val="12"/>
                <w:szCs w:val="12"/>
              </w:rPr>
            </w:pPr>
            <w:r w:rsidRPr="00E874E6">
              <w:t>Caffeine may not reach subtherapeutic levels until 11 to 12 days post cessation [6].</w:t>
            </w:r>
          </w:p>
        </w:tc>
      </w:tr>
      <w:tr w:rsidRPr="003A7895" w:rsidR="000E7F28" w:rsidTr="77BEE3D0" w14:paraId="6165C5C1" w14:textId="77777777">
        <w:trPr>
          <w:trHeight w:val="362"/>
        </w:trPr>
        <w:tc>
          <w:tcPr>
            <w:tcW w:w="2438" w:type="dxa"/>
          </w:tcPr>
          <w:p w:rsidRPr="003A7895" w:rsidR="000E7F28" w:rsidP="006F0321" w:rsidRDefault="00E874E6" w14:paraId="74EB050E" w14:textId="77777777">
            <w:pPr>
              <w:pStyle w:val="BodyText"/>
            </w:pPr>
            <w:r>
              <w:t>E</w:t>
            </w:r>
            <w:r w:rsidRPr="003A7895" w:rsidR="000E7F28">
              <w:t>vidence summary</w:t>
            </w:r>
          </w:p>
        </w:tc>
        <w:tc>
          <w:tcPr>
            <w:tcW w:w="6633" w:type="dxa"/>
          </w:tcPr>
          <w:p w:rsidRPr="001313E0" w:rsidR="000E7F28" w:rsidP="006F0321" w:rsidRDefault="000E7F28" w14:paraId="772DDFA5" w14:textId="77777777">
            <w:pPr>
              <w:pStyle w:val="BodyText"/>
              <w:rPr>
                <w:sz w:val="16"/>
                <w:szCs w:val="16"/>
              </w:rPr>
            </w:pPr>
            <w:r w:rsidRPr="001313E0">
              <w:rPr>
                <w:sz w:val="16"/>
                <w:szCs w:val="16"/>
              </w:rPr>
              <w:t>Weaning from mechanical ventilation.</w:t>
            </w:r>
          </w:p>
          <w:p w:rsidRPr="001313E0" w:rsidR="00E874E6" w:rsidP="006F0321" w:rsidRDefault="000E7F28" w14:paraId="35E9BCFF" w14:textId="77777777">
            <w:pPr>
              <w:pStyle w:val="BodyText"/>
              <w:rPr>
                <w:sz w:val="16"/>
                <w:szCs w:val="16"/>
              </w:rPr>
            </w:pPr>
            <w:r w:rsidRPr="001313E0">
              <w:rPr>
                <w:sz w:val="16"/>
                <w:szCs w:val="16"/>
              </w:rPr>
              <w:t>In a subgroup analysis of the CAP 2016 trial [7], use of caffeine citrate (20mg/kg loading dose</w:t>
            </w:r>
            <w:r w:rsidRPr="001313E0" w:rsidR="00E874E6">
              <w:rPr>
                <w:sz w:val="16"/>
                <w:szCs w:val="16"/>
              </w:rPr>
              <w:t xml:space="preserve"> </w:t>
            </w:r>
            <w:r w:rsidRPr="001313E0">
              <w:rPr>
                <w:sz w:val="16"/>
                <w:szCs w:val="16"/>
              </w:rPr>
              <w:t>followed by 5 mg/kg maintenance) versus placebo for extubation of preterm infants born</w:t>
            </w:r>
            <w:r w:rsidRPr="001313E0" w:rsidR="00E874E6">
              <w:rPr>
                <w:sz w:val="16"/>
                <w:szCs w:val="16"/>
              </w:rPr>
              <w:t xml:space="preserve"> </w:t>
            </w:r>
            <w:r w:rsidRPr="001313E0">
              <w:rPr>
                <w:sz w:val="16"/>
                <w:szCs w:val="16"/>
              </w:rPr>
              <w:t>500 to 1250g found a reduction in PDA ligation (717 infants; RR 0.32 [95%CI 0.20, 0.52]),</w:t>
            </w:r>
            <w:r w:rsidRPr="001313E0" w:rsidR="00E874E6">
              <w:rPr>
                <w:sz w:val="16"/>
                <w:szCs w:val="16"/>
              </w:rPr>
              <w:t xml:space="preserve"> </w:t>
            </w:r>
            <w:r w:rsidRPr="001313E0">
              <w:rPr>
                <w:sz w:val="16"/>
                <w:szCs w:val="16"/>
              </w:rPr>
              <w:t>PMA at last oxygen therapy (666 infants; MD -1.5 [-2.25, -0.75] days), PMA at last</w:t>
            </w:r>
            <w:r w:rsidRPr="001313E0" w:rsidR="00E874E6">
              <w:rPr>
                <w:sz w:val="16"/>
                <w:szCs w:val="16"/>
              </w:rPr>
              <w:t xml:space="preserve"> </w:t>
            </w:r>
            <w:r w:rsidRPr="001313E0">
              <w:rPr>
                <w:sz w:val="16"/>
                <w:szCs w:val="16"/>
              </w:rPr>
              <w:t>endotracheal tube (668 infants; MD -0.90 [-1.42, -0.38] weeks), PMA at last positive pressure</w:t>
            </w:r>
            <w:r w:rsidRPr="001313E0" w:rsidR="00E874E6">
              <w:rPr>
                <w:sz w:val="16"/>
                <w:szCs w:val="16"/>
              </w:rPr>
              <w:t xml:space="preserve"> </w:t>
            </w:r>
            <w:r w:rsidRPr="001313E0">
              <w:rPr>
                <w:sz w:val="16"/>
                <w:szCs w:val="16"/>
              </w:rPr>
              <w:t xml:space="preserve">ventilation (667 infants; MD -1.10 [-1.64, -0.56] weeks) and bronchopulmonary dysplasia at </w:t>
            </w:r>
            <w:r w:rsidRPr="001313E0" w:rsidR="00E874E6">
              <w:rPr>
                <w:sz w:val="16"/>
                <w:szCs w:val="16"/>
              </w:rPr>
              <w:t xml:space="preserve"> </w:t>
            </w:r>
            <w:r w:rsidRPr="001313E0">
              <w:rPr>
                <w:sz w:val="16"/>
                <w:szCs w:val="16"/>
              </w:rPr>
              <w:t>term age (672 infants; RR 0.81 [0.70, 0.93]). Caffeine was associated with a reduction</w:t>
            </w:r>
            <w:r w:rsidRPr="001313E0" w:rsidR="00E874E6">
              <w:rPr>
                <w:sz w:val="16"/>
                <w:szCs w:val="16"/>
              </w:rPr>
              <w:t xml:space="preserve"> </w:t>
            </w:r>
            <w:r w:rsidRPr="001313E0">
              <w:rPr>
                <w:sz w:val="16"/>
                <w:szCs w:val="16"/>
              </w:rPr>
              <w:t>cerebral palsy (644 infants; RR 0.54 [0.32, 0.92]) and death or major disability by 18-21</w:t>
            </w:r>
            <w:r w:rsidRPr="001313E0" w:rsidR="00E874E6">
              <w:rPr>
                <w:sz w:val="16"/>
                <w:szCs w:val="16"/>
              </w:rPr>
              <w:t xml:space="preserve"> </w:t>
            </w:r>
            <w:r w:rsidRPr="001313E0">
              <w:rPr>
                <w:sz w:val="16"/>
                <w:szCs w:val="16"/>
              </w:rPr>
              <w:t>months (676 infants; RR 0.85 [0.73, 0.99]) [8]. At age 11 years the caffeine-treated children</w:t>
            </w:r>
            <w:r w:rsidRPr="001313E0" w:rsidR="00E874E6">
              <w:rPr>
                <w:sz w:val="16"/>
                <w:szCs w:val="16"/>
              </w:rPr>
              <w:t xml:space="preserve"> </w:t>
            </w:r>
            <w:r w:rsidRPr="001313E0">
              <w:rPr>
                <w:sz w:val="16"/>
                <w:szCs w:val="16"/>
              </w:rPr>
              <w:t>had better respiratory function and reduced risk of motor impairment [9].</w:t>
            </w:r>
            <w:r w:rsidRPr="001313E0" w:rsidR="00E874E6">
              <w:rPr>
                <w:sz w:val="16"/>
                <w:szCs w:val="16"/>
              </w:rPr>
              <w:t xml:space="preserve"> </w:t>
            </w:r>
          </w:p>
          <w:p w:rsidRPr="001313E0" w:rsidR="000E7F28" w:rsidP="006F0321" w:rsidRDefault="000E7F28" w14:paraId="63044672" w14:textId="77777777">
            <w:pPr>
              <w:pStyle w:val="BodyText"/>
              <w:rPr>
                <w:sz w:val="16"/>
                <w:szCs w:val="16"/>
              </w:rPr>
            </w:pPr>
            <w:r w:rsidRPr="001313E0">
              <w:rPr>
                <w:sz w:val="16"/>
                <w:szCs w:val="16"/>
              </w:rPr>
              <w:t>Prevention of apnea in preterm infants</w:t>
            </w:r>
          </w:p>
          <w:p w:rsidRPr="001313E0" w:rsidR="000E7F28" w:rsidP="006F0321" w:rsidRDefault="000E7F28" w14:paraId="360F6C04" w14:textId="77777777">
            <w:pPr>
              <w:pStyle w:val="BodyText"/>
              <w:rPr>
                <w:sz w:val="16"/>
                <w:szCs w:val="16"/>
              </w:rPr>
            </w:pPr>
            <w:r w:rsidRPr="001313E0">
              <w:rPr>
                <w:sz w:val="16"/>
                <w:szCs w:val="16"/>
              </w:rPr>
              <w:t>In two trials including 104 preterm infants comparing caffeine versus placebo for prevention</w:t>
            </w:r>
            <w:r w:rsidRPr="001313E0" w:rsidR="00E874E6">
              <w:rPr>
                <w:sz w:val="16"/>
                <w:szCs w:val="16"/>
              </w:rPr>
              <w:t xml:space="preserve"> </w:t>
            </w:r>
            <w:r w:rsidRPr="001313E0">
              <w:rPr>
                <w:sz w:val="16"/>
                <w:szCs w:val="16"/>
              </w:rPr>
              <w:t>of apnea reported no significant difference in apnoea, bradycardia, hypoxaemic episodes,</w:t>
            </w:r>
            <w:r w:rsidRPr="001313E0" w:rsidR="00E874E6">
              <w:rPr>
                <w:sz w:val="16"/>
                <w:szCs w:val="16"/>
              </w:rPr>
              <w:t xml:space="preserve"> </w:t>
            </w:r>
            <w:r w:rsidRPr="001313E0">
              <w:rPr>
                <w:sz w:val="16"/>
                <w:szCs w:val="16"/>
              </w:rPr>
              <w:t>use of IPPV or side effects. Meta-analysis found no significant difference in use of IPPV or</w:t>
            </w:r>
            <w:r w:rsidRPr="001313E0" w:rsidR="00E874E6">
              <w:rPr>
                <w:sz w:val="16"/>
                <w:szCs w:val="16"/>
              </w:rPr>
              <w:t xml:space="preserve"> </w:t>
            </w:r>
            <w:r w:rsidRPr="001313E0">
              <w:rPr>
                <w:sz w:val="16"/>
                <w:szCs w:val="16"/>
              </w:rPr>
              <w:t>tachycardia. [10] In a subgroup analysis of the CAP 2006 trial [7], infants treated with</w:t>
            </w:r>
            <w:r w:rsidRPr="001313E0" w:rsidR="00E874E6">
              <w:rPr>
                <w:sz w:val="16"/>
                <w:szCs w:val="16"/>
              </w:rPr>
              <w:t xml:space="preserve"> </w:t>
            </w:r>
            <w:r w:rsidRPr="001313E0">
              <w:rPr>
                <w:sz w:val="16"/>
                <w:szCs w:val="16"/>
              </w:rPr>
              <w:t>prophylactic caffeine had a reduction in PDA (453 infants; RR 0.41, 95%CI 0.20, 0.84) and</w:t>
            </w:r>
            <w:r w:rsidRPr="001313E0" w:rsidR="00E874E6">
              <w:rPr>
                <w:sz w:val="16"/>
                <w:szCs w:val="16"/>
              </w:rPr>
              <w:t xml:space="preserve"> </w:t>
            </w:r>
            <w:r w:rsidRPr="001313E0">
              <w:rPr>
                <w:sz w:val="16"/>
                <w:szCs w:val="16"/>
              </w:rPr>
              <w:t>PMA at last positive pressure ventilation (432 infants; MD -1.00, 95%CI -1.62, -0.38 weeks].</w:t>
            </w:r>
            <w:r w:rsidRPr="001313E0" w:rsidR="00E874E6">
              <w:rPr>
                <w:sz w:val="16"/>
                <w:szCs w:val="16"/>
              </w:rPr>
              <w:t xml:space="preserve"> </w:t>
            </w:r>
            <w:r w:rsidRPr="001313E0">
              <w:rPr>
                <w:sz w:val="16"/>
                <w:szCs w:val="16"/>
              </w:rPr>
              <w:t>There was no reported difference in PMA at last oxygen therapy, PMA at last endotracheal</w:t>
            </w:r>
            <w:r w:rsidRPr="001313E0" w:rsidR="00E874E6">
              <w:rPr>
                <w:sz w:val="16"/>
                <w:szCs w:val="16"/>
              </w:rPr>
              <w:t xml:space="preserve"> </w:t>
            </w:r>
            <w:r w:rsidRPr="001313E0">
              <w:rPr>
                <w:sz w:val="16"/>
                <w:szCs w:val="16"/>
              </w:rPr>
              <w:t>tube, bronchopulmonary dysplasia (437 infants; RR 0.83, 95%CI 0.67, 1.05), cognitive delay</w:t>
            </w:r>
            <w:r w:rsidRPr="001313E0" w:rsidR="00E874E6">
              <w:rPr>
                <w:sz w:val="16"/>
                <w:szCs w:val="16"/>
              </w:rPr>
              <w:t xml:space="preserve"> </w:t>
            </w:r>
            <w:r w:rsidRPr="001313E0">
              <w:rPr>
                <w:sz w:val="16"/>
                <w:szCs w:val="16"/>
              </w:rPr>
              <w:t>(396 infants; RR 1.08, 95%CI 0.83, 1.40), cerebral palsy (415 infants; RR 1.03, 95%CI 0.43,</w:t>
            </w:r>
            <w:r w:rsidRPr="001313E0" w:rsidR="00E874E6">
              <w:rPr>
                <w:sz w:val="16"/>
                <w:szCs w:val="16"/>
              </w:rPr>
              <w:t xml:space="preserve"> </w:t>
            </w:r>
            <w:r w:rsidRPr="001313E0">
              <w:rPr>
                <w:sz w:val="16"/>
                <w:szCs w:val="16"/>
              </w:rPr>
              <w:t>2.49) or death or major disability (423 infants; RR 1.00, 95%CI 0.80, 1.24).</w:t>
            </w:r>
          </w:p>
          <w:p w:rsidRPr="001313E0" w:rsidR="000E7F28" w:rsidP="006F0321" w:rsidRDefault="000E7F28" w14:paraId="08AF9ED0" w14:textId="77777777">
            <w:pPr>
              <w:pStyle w:val="BodyText"/>
              <w:rPr>
                <w:sz w:val="16"/>
                <w:szCs w:val="16"/>
              </w:rPr>
            </w:pPr>
            <w:r w:rsidRPr="001313E0">
              <w:rPr>
                <w:sz w:val="16"/>
                <w:szCs w:val="16"/>
              </w:rPr>
              <w:t>Higher versus lower dosage caffeine</w:t>
            </w:r>
          </w:p>
          <w:p w:rsidRPr="001313E0" w:rsidR="000E7F28" w:rsidP="006F0321" w:rsidRDefault="000E7F28" w14:paraId="546C3E5E" w14:textId="77777777">
            <w:pPr>
              <w:pStyle w:val="BodyText"/>
              <w:rPr>
                <w:sz w:val="16"/>
                <w:szCs w:val="16"/>
              </w:rPr>
            </w:pPr>
            <w:r w:rsidRPr="001313E0">
              <w:rPr>
                <w:sz w:val="16"/>
                <w:szCs w:val="16"/>
              </w:rPr>
              <w:t>Several systematic reviews [1, 11, 12] have assessed the effects of higher (loading dose &gt;20</w:t>
            </w:r>
            <w:r w:rsidRPr="001313E0" w:rsidR="00E874E6">
              <w:rPr>
                <w:sz w:val="16"/>
                <w:szCs w:val="16"/>
              </w:rPr>
              <w:t xml:space="preserve"> </w:t>
            </w:r>
            <w:r w:rsidRPr="001313E0">
              <w:rPr>
                <w:sz w:val="16"/>
                <w:szCs w:val="16"/>
              </w:rPr>
              <w:t>mg/kg and maintenance &gt;10 mg/kg/day) versus lower dose caffeine citrate in preterm</w:t>
            </w:r>
            <w:r w:rsidRPr="001313E0" w:rsidR="00E874E6">
              <w:rPr>
                <w:sz w:val="16"/>
                <w:szCs w:val="16"/>
              </w:rPr>
              <w:t xml:space="preserve"> </w:t>
            </w:r>
            <w:r w:rsidRPr="001313E0">
              <w:rPr>
                <w:sz w:val="16"/>
                <w:szCs w:val="16"/>
              </w:rPr>
              <w:t>infants. Loading and maintenance caffeine citrate doses varied in trials between 20 and 80</w:t>
            </w:r>
            <w:r w:rsidRPr="001313E0" w:rsidR="00E874E6">
              <w:rPr>
                <w:sz w:val="16"/>
                <w:szCs w:val="16"/>
              </w:rPr>
              <w:t xml:space="preserve"> </w:t>
            </w:r>
            <w:r w:rsidRPr="001313E0">
              <w:rPr>
                <w:sz w:val="16"/>
                <w:szCs w:val="16"/>
              </w:rPr>
              <w:t>mg/kg/day and 3 and 20 mg/kg/day, respectively.[1] In the largest review, 13 RCTs reporting</w:t>
            </w:r>
          </w:p>
          <w:p w:rsidRPr="001313E0" w:rsidR="000E7F28" w:rsidP="006F0321" w:rsidRDefault="000E7F28" w14:paraId="57A18DD0" w14:textId="77777777">
            <w:pPr>
              <w:pStyle w:val="BodyText"/>
              <w:rPr>
                <w:sz w:val="16"/>
                <w:szCs w:val="16"/>
              </w:rPr>
            </w:pPr>
            <w:r w:rsidRPr="001313E0">
              <w:rPr>
                <w:sz w:val="16"/>
                <w:szCs w:val="16"/>
              </w:rPr>
              <w:t>1515 infants compared low-dose 5-10 mg/kg daily versus high-dose group (10-20 mg/kg</w:t>
            </w:r>
            <w:r w:rsidRPr="001313E0" w:rsidR="00E874E6">
              <w:rPr>
                <w:sz w:val="16"/>
                <w:szCs w:val="16"/>
              </w:rPr>
              <w:t xml:space="preserve"> </w:t>
            </w:r>
            <w:r w:rsidRPr="001313E0">
              <w:rPr>
                <w:sz w:val="16"/>
                <w:szCs w:val="16"/>
              </w:rPr>
              <w:t>daily) caffeine citrate. The high-dose group had a lower extubation failure rate (RR: 0.5,</w:t>
            </w:r>
            <w:r w:rsidRPr="001313E0" w:rsidR="00E874E6">
              <w:rPr>
                <w:sz w:val="16"/>
                <w:szCs w:val="16"/>
              </w:rPr>
              <w:t xml:space="preserve"> </w:t>
            </w:r>
            <w:r w:rsidRPr="001313E0">
              <w:rPr>
                <w:sz w:val="16"/>
                <w:szCs w:val="16"/>
              </w:rPr>
              <w:t>95%CI: 0.35 to 0.71, P=0.0001), frequency of apnea (MD: -1.55, 95%CI: -2.72 to -0.39,</w:t>
            </w:r>
            <w:r w:rsidRPr="001313E0" w:rsidR="00E874E6">
              <w:rPr>
                <w:sz w:val="16"/>
                <w:szCs w:val="16"/>
              </w:rPr>
              <w:t xml:space="preserve"> </w:t>
            </w:r>
            <w:r w:rsidRPr="001313E0">
              <w:rPr>
                <w:sz w:val="16"/>
                <w:szCs w:val="16"/>
              </w:rPr>
              <w:t>P=0.009), apnea duration (MD: -4.85, 95%CI: -8.29 to -1.40, P=0.006), and incidence of</w:t>
            </w:r>
            <w:r w:rsidRPr="001313E0" w:rsidR="00E874E6">
              <w:rPr>
                <w:sz w:val="16"/>
                <w:szCs w:val="16"/>
              </w:rPr>
              <w:t xml:space="preserve"> </w:t>
            </w:r>
            <w:r w:rsidRPr="001313E0">
              <w:rPr>
                <w:sz w:val="16"/>
                <w:szCs w:val="16"/>
              </w:rPr>
              <w:t>bronchopulmonary dysplasia (RR: 0.79, 95%CI: 0.68 to 0.91, P=0.002), but higher incidence of</w:t>
            </w:r>
            <w:r w:rsidRPr="001313E0" w:rsidR="00E874E6">
              <w:rPr>
                <w:sz w:val="16"/>
                <w:szCs w:val="16"/>
              </w:rPr>
              <w:t xml:space="preserve"> </w:t>
            </w:r>
            <w:r w:rsidRPr="001313E0">
              <w:rPr>
                <w:sz w:val="16"/>
                <w:szCs w:val="16"/>
              </w:rPr>
              <w:t>tachycardia (RR: 2.02, 5%CI: 1.30 to 3.12, P=0.002). There were no significant group</w:t>
            </w:r>
            <w:r w:rsidRPr="001313E0" w:rsidR="00E874E6">
              <w:rPr>
                <w:sz w:val="16"/>
                <w:szCs w:val="16"/>
              </w:rPr>
              <w:t xml:space="preserve"> </w:t>
            </w:r>
            <w:r w:rsidRPr="001313E0">
              <w:rPr>
                <w:sz w:val="16"/>
                <w:szCs w:val="16"/>
              </w:rPr>
              <w:t>differences in other adverse events including in-hospital death (P&gt;0.05). [12] Higher</w:t>
            </w:r>
            <w:r w:rsidRPr="001313E0" w:rsidR="00E874E6">
              <w:rPr>
                <w:sz w:val="16"/>
                <w:szCs w:val="16"/>
              </w:rPr>
              <w:t xml:space="preserve"> </w:t>
            </w:r>
            <w:r w:rsidRPr="001313E0">
              <w:rPr>
                <w:sz w:val="16"/>
                <w:szCs w:val="16"/>
              </w:rPr>
              <w:t>maintenance doses of caffeine citrate was more effective and safer than low maintenance</w:t>
            </w:r>
          </w:p>
          <w:p w:rsidRPr="001313E0" w:rsidR="00E874E6" w:rsidP="006F0321" w:rsidRDefault="000E7F28" w14:paraId="6BCA5374" w14:textId="77777777">
            <w:pPr>
              <w:pStyle w:val="BodyText"/>
              <w:rPr>
                <w:sz w:val="16"/>
                <w:szCs w:val="16"/>
              </w:rPr>
            </w:pPr>
            <w:r w:rsidRPr="001313E0">
              <w:rPr>
                <w:sz w:val="16"/>
                <w:szCs w:val="16"/>
              </w:rPr>
              <w:t>doses for treatment of premature apnea, despite a higher incidence of tachycardia. [LOE I</w:t>
            </w:r>
            <w:r w:rsidRPr="001313E0" w:rsidR="00E874E6">
              <w:rPr>
                <w:sz w:val="16"/>
                <w:szCs w:val="16"/>
              </w:rPr>
              <w:t xml:space="preserve"> </w:t>
            </w:r>
            <w:r w:rsidRPr="001313E0">
              <w:rPr>
                <w:sz w:val="16"/>
                <w:szCs w:val="16"/>
              </w:rPr>
              <w:t>GOR C]</w:t>
            </w:r>
            <w:r w:rsidRPr="001313E0" w:rsidR="00E874E6">
              <w:rPr>
                <w:sz w:val="16"/>
                <w:szCs w:val="16"/>
              </w:rPr>
              <w:t xml:space="preserve"> </w:t>
            </w:r>
          </w:p>
          <w:p w:rsidRPr="001313E0" w:rsidR="000E7F28" w:rsidP="006F0321" w:rsidRDefault="000E7F28" w14:paraId="4BF082C0" w14:textId="77777777">
            <w:pPr>
              <w:pStyle w:val="BodyText"/>
              <w:rPr>
                <w:sz w:val="16"/>
                <w:szCs w:val="16"/>
              </w:rPr>
            </w:pPr>
            <w:r w:rsidRPr="001313E0">
              <w:rPr>
                <w:sz w:val="16"/>
                <w:szCs w:val="16"/>
              </w:rPr>
              <w:t>Prevention of post-operative apnoea.</w:t>
            </w:r>
          </w:p>
          <w:p w:rsidRPr="001313E0" w:rsidR="000E7F28" w:rsidP="006F0321" w:rsidRDefault="000E7F28" w14:paraId="64D4D218" w14:textId="77777777">
            <w:pPr>
              <w:pStyle w:val="BodyText"/>
              <w:rPr>
                <w:sz w:val="16"/>
                <w:szCs w:val="16"/>
              </w:rPr>
            </w:pPr>
            <w:r w:rsidRPr="001313E0">
              <w:rPr>
                <w:sz w:val="16"/>
                <w:szCs w:val="16"/>
              </w:rPr>
              <w:t>Prophylactic caffeine for prevention of postoperative apnea following general anaesthesia in</w:t>
            </w:r>
            <w:r w:rsidRPr="001313E0" w:rsidR="00E874E6">
              <w:rPr>
                <w:sz w:val="16"/>
                <w:szCs w:val="16"/>
              </w:rPr>
              <w:t xml:space="preserve"> </w:t>
            </w:r>
            <w:r w:rsidRPr="001313E0">
              <w:rPr>
                <w:sz w:val="16"/>
                <w:szCs w:val="16"/>
              </w:rPr>
              <w:t>preterm infants reduced postoperative apnoea/bradycardia (3 trials, 78 infants; RR 0.09</w:t>
            </w:r>
            <w:r w:rsidRPr="001313E0" w:rsidR="00E874E6">
              <w:rPr>
                <w:sz w:val="16"/>
                <w:szCs w:val="16"/>
              </w:rPr>
              <w:t xml:space="preserve"> </w:t>
            </w:r>
            <w:r w:rsidRPr="001313E0">
              <w:rPr>
                <w:sz w:val="16"/>
                <w:szCs w:val="16"/>
              </w:rPr>
              <w:t>[0.02, 0.34] and postoperative oxygen desaturations (2 trials, 58 infants; RR 0.13 [0.03,</w:t>
            </w:r>
            <w:r w:rsidRPr="001313E0" w:rsidR="00E874E6">
              <w:rPr>
                <w:sz w:val="16"/>
                <w:szCs w:val="16"/>
              </w:rPr>
              <w:t xml:space="preserve"> </w:t>
            </w:r>
            <w:r w:rsidRPr="001313E0">
              <w:rPr>
                <w:sz w:val="16"/>
                <w:szCs w:val="16"/>
              </w:rPr>
              <w:t xml:space="preserve">0.63].[13] Caffeine can be used to prevent postoperative apnea/bradycardia and </w:t>
            </w:r>
            <w:r w:rsidRPr="001313E0" w:rsidR="00E874E6">
              <w:rPr>
                <w:sz w:val="16"/>
                <w:szCs w:val="16"/>
              </w:rPr>
              <w:t xml:space="preserve"> e</w:t>
            </w:r>
            <w:r w:rsidRPr="001313E0">
              <w:rPr>
                <w:sz w:val="16"/>
                <w:szCs w:val="16"/>
              </w:rPr>
              <w:t>pisodes of</w:t>
            </w:r>
            <w:r w:rsidRPr="001313E0" w:rsidR="00E874E6">
              <w:rPr>
                <w:sz w:val="16"/>
                <w:szCs w:val="16"/>
              </w:rPr>
              <w:t xml:space="preserve"> </w:t>
            </w:r>
            <w:r w:rsidRPr="001313E0">
              <w:rPr>
                <w:sz w:val="16"/>
                <w:szCs w:val="16"/>
              </w:rPr>
              <w:t>oxygen desaturation in preterm infants at risk [14] undergoing general anaesthesia for</w:t>
            </w:r>
          </w:p>
          <w:p w:rsidRPr="001313E0" w:rsidR="000E7F28" w:rsidP="006F0321" w:rsidRDefault="000E7F28" w14:paraId="538CD476" w14:textId="77777777">
            <w:pPr>
              <w:pStyle w:val="BodyText"/>
              <w:rPr>
                <w:sz w:val="16"/>
                <w:szCs w:val="16"/>
              </w:rPr>
            </w:pPr>
            <w:r w:rsidRPr="001313E0">
              <w:rPr>
                <w:sz w:val="16"/>
                <w:szCs w:val="16"/>
              </w:rPr>
              <w:t>surgery. [LOE I GOR B]</w:t>
            </w:r>
          </w:p>
          <w:p w:rsidRPr="001313E0" w:rsidR="000E7F28" w:rsidP="006F0321" w:rsidRDefault="000E7F28" w14:paraId="5CBF825D" w14:textId="77777777">
            <w:pPr>
              <w:pStyle w:val="BodyText"/>
              <w:rPr>
                <w:sz w:val="16"/>
                <w:szCs w:val="16"/>
              </w:rPr>
            </w:pPr>
            <w:r w:rsidRPr="001313E0">
              <w:rPr>
                <w:sz w:val="16"/>
                <w:szCs w:val="16"/>
              </w:rPr>
              <w:t>Safety</w:t>
            </w:r>
          </w:p>
          <w:p w:rsidRPr="001313E0" w:rsidR="000E7F28" w:rsidP="006F0321" w:rsidRDefault="000E7F28" w14:paraId="39F91F46" w14:textId="77777777">
            <w:pPr>
              <w:pStyle w:val="BodyText"/>
              <w:rPr>
                <w:sz w:val="16"/>
                <w:szCs w:val="16"/>
              </w:rPr>
            </w:pPr>
            <w:r w:rsidRPr="001313E0">
              <w:rPr>
                <w:sz w:val="16"/>
                <w:szCs w:val="16"/>
              </w:rPr>
              <w:t>Systematic review of RCTs largely report caffeine to be safe and well tolerated in preterm</w:t>
            </w:r>
            <w:r w:rsidRPr="001313E0" w:rsidR="00E874E6">
              <w:rPr>
                <w:sz w:val="16"/>
                <w:szCs w:val="16"/>
              </w:rPr>
              <w:t xml:space="preserve"> </w:t>
            </w:r>
            <w:r w:rsidRPr="001313E0">
              <w:rPr>
                <w:sz w:val="16"/>
                <w:szCs w:val="16"/>
              </w:rPr>
              <w:t>infants with few side effects and improved clinical outcomes [15-17]. Caffeine has been</w:t>
            </w:r>
            <w:r w:rsidRPr="001313E0" w:rsidR="00E874E6">
              <w:rPr>
                <w:sz w:val="16"/>
                <w:szCs w:val="16"/>
              </w:rPr>
              <w:t xml:space="preserve"> </w:t>
            </w:r>
            <w:r w:rsidRPr="001313E0">
              <w:rPr>
                <w:sz w:val="16"/>
                <w:szCs w:val="16"/>
              </w:rPr>
              <w:t>reported to have fewer side effects including tachycardia than other methylxanthines [18].</w:t>
            </w:r>
            <w:r w:rsidRPr="001313E0" w:rsidR="00E874E6">
              <w:rPr>
                <w:sz w:val="16"/>
                <w:szCs w:val="16"/>
              </w:rPr>
              <w:t xml:space="preserve"> </w:t>
            </w:r>
            <w:r w:rsidRPr="001313E0">
              <w:rPr>
                <w:sz w:val="16"/>
                <w:szCs w:val="16"/>
              </w:rPr>
              <w:t>Early lower dose caffeine compared to placebo was no associated with significant differences</w:t>
            </w:r>
            <w:r w:rsidRPr="001313E0" w:rsidR="00E874E6">
              <w:rPr>
                <w:sz w:val="16"/>
                <w:szCs w:val="16"/>
              </w:rPr>
              <w:t xml:space="preserve"> </w:t>
            </w:r>
            <w:r w:rsidRPr="001313E0">
              <w:rPr>
                <w:sz w:val="16"/>
                <w:szCs w:val="16"/>
              </w:rPr>
              <w:t>in tachycardia (3 trials, 156 infants; RR 4.0, 95%CI0.48, 33.5), bradycardia (2 trials, 102</w:t>
            </w:r>
            <w:r w:rsidRPr="001313E0" w:rsidR="00E874E6">
              <w:rPr>
                <w:sz w:val="16"/>
                <w:szCs w:val="16"/>
              </w:rPr>
              <w:t xml:space="preserve"> </w:t>
            </w:r>
            <w:r w:rsidRPr="001313E0">
              <w:rPr>
                <w:sz w:val="16"/>
                <w:szCs w:val="16"/>
              </w:rPr>
              <w:t>infants; RR 0.36, 95%CI 0.01, 12.85) or hypoxaemia (2 trials, 102 infants: RR 0.59, 95%CI</w:t>
            </w:r>
            <w:r w:rsidRPr="001313E0" w:rsidR="00E874E6">
              <w:rPr>
                <w:sz w:val="16"/>
                <w:szCs w:val="16"/>
              </w:rPr>
              <w:t xml:space="preserve"> </w:t>
            </w:r>
            <w:r w:rsidRPr="001313E0">
              <w:rPr>
                <w:sz w:val="16"/>
                <w:szCs w:val="16"/>
              </w:rPr>
              <w:t>2.02)[15].</w:t>
            </w:r>
            <w:r w:rsidRPr="001313E0" w:rsidR="00E874E6">
              <w:rPr>
                <w:sz w:val="16"/>
                <w:szCs w:val="16"/>
              </w:rPr>
              <w:t xml:space="preserve"> </w:t>
            </w:r>
            <w:r w:rsidRPr="001313E0">
              <w:rPr>
                <w:sz w:val="16"/>
                <w:szCs w:val="16"/>
              </w:rPr>
              <w:t>Systematic reviews of higher versus lower dose caffeine also report higher dose caffeine was</w:t>
            </w:r>
            <w:r w:rsidRPr="001313E0" w:rsidR="00E874E6">
              <w:rPr>
                <w:sz w:val="16"/>
                <w:szCs w:val="16"/>
              </w:rPr>
              <w:t xml:space="preserve"> </w:t>
            </w:r>
            <w:r w:rsidRPr="001313E0">
              <w:rPr>
                <w:sz w:val="16"/>
                <w:szCs w:val="16"/>
              </w:rPr>
              <w:t>more effective than lower dose caffeine at reducing extubation failure [1, 11, 12] and apnea</w:t>
            </w:r>
            <w:r w:rsidRPr="001313E0" w:rsidR="00E874E6">
              <w:rPr>
                <w:sz w:val="16"/>
                <w:szCs w:val="16"/>
              </w:rPr>
              <w:t xml:space="preserve"> </w:t>
            </w:r>
            <w:r w:rsidRPr="001313E0">
              <w:rPr>
                <w:sz w:val="16"/>
                <w:szCs w:val="16"/>
              </w:rPr>
              <w:t>[1, 12], and may reduce the rate of BPD [12]. Higher dose caffeine is associated with higher</w:t>
            </w:r>
          </w:p>
          <w:p w:rsidRPr="001313E0" w:rsidR="000E7F28" w:rsidP="006F0321" w:rsidRDefault="000E7F28" w14:paraId="25319314" w14:textId="77777777">
            <w:pPr>
              <w:pStyle w:val="BodyText"/>
              <w:rPr>
                <w:sz w:val="16"/>
                <w:szCs w:val="16"/>
              </w:rPr>
            </w:pPr>
            <w:r w:rsidRPr="001313E0">
              <w:rPr>
                <w:sz w:val="16"/>
                <w:szCs w:val="16"/>
              </w:rPr>
              <w:t>incidence of tachycardia (RR: 2.02, 5%CI: 1.30 to 3.12, P=0.002) [12]. Despite the increased</w:t>
            </w:r>
            <w:r w:rsidRPr="001313E0" w:rsidR="00E874E6">
              <w:rPr>
                <w:sz w:val="16"/>
                <w:szCs w:val="16"/>
              </w:rPr>
              <w:t xml:space="preserve"> </w:t>
            </w:r>
            <w:r w:rsidRPr="001313E0">
              <w:rPr>
                <w:sz w:val="16"/>
                <w:szCs w:val="16"/>
              </w:rPr>
              <w:t>incidence of tachycardia, growth was not adversely affected in infants in the CAP trial</w:t>
            </w:r>
            <w:r w:rsidRPr="001313E0" w:rsidR="00E874E6">
              <w:rPr>
                <w:sz w:val="16"/>
                <w:szCs w:val="16"/>
              </w:rPr>
              <w:t xml:space="preserve"> </w:t>
            </w:r>
            <w:r w:rsidRPr="001313E0">
              <w:rPr>
                <w:sz w:val="16"/>
                <w:szCs w:val="16"/>
              </w:rPr>
              <w:t>assessed at 18 to 24 months [8]. A trial of caffeine versus aminophylline reported similar</w:t>
            </w:r>
            <w:r w:rsidRPr="001313E0" w:rsidR="00E874E6">
              <w:rPr>
                <w:sz w:val="16"/>
                <w:szCs w:val="16"/>
              </w:rPr>
              <w:t xml:space="preserve"> </w:t>
            </w:r>
            <w:r w:rsidRPr="001313E0">
              <w:rPr>
                <w:sz w:val="16"/>
                <w:szCs w:val="16"/>
              </w:rPr>
              <w:t>growth parameters at 18 to 24 months [19].</w:t>
            </w:r>
            <w:r w:rsidRPr="001313E0" w:rsidR="00E874E6">
              <w:rPr>
                <w:sz w:val="16"/>
                <w:szCs w:val="16"/>
              </w:rPr>
              <w:t xml:space="preserve"> </w:t>
            </w:r>
            <w:r w:rsidRPr="001313E0">
              <w:rPr>
                <w:sz w:val="16"/>
                <w:szCs w:val="16"/>
              </w:rPr>
              <w:t>Although higher maintenance doses of up to 20 mg/kg/day may be even more effective]</w:t>
            </w:r>
            <w:r w:rsidRPr="001313E0" w:rsidR="00E874E6">
              <w:rPr>
                <w:sz w:val="16"/>
                <w:szCs w:val="16"/>
              </w:rPr>
              <w:t xml:space="preserve"> </w:t>
            </w:r>
            <w:r w:rsidRPr="001313E0">
              <w:rPr>
                <w:sz w:val="16"/>
                <w:szCs w:val="16"/>
              </w:rPr>
              <w:t>[11], it is recommended [20] this needs further testing in randomised trials as higher doses</w:t>
            </w:r>
            <w:r w:rsidRPr="001313E0" w:rsidR="00E874E6">
              <w:rPr>
                <w:sz w:val="16"/>
                <w:szCs w:val="16"/>
              </w:rPr>
              <w:t xml:space="preserve"> </w:t>
            </w:r>
            <w:r w:rsidRPr="001313E0">
              <w:rPr>
                <w:sz w:val="16"/>
                <w:szCs w:val="16"/>
              </w:rPr>
              <w:t>(80 mg/kg loading dose) were reported in a clinical trial to be associated with increased risk</w:t>
            </w:r>
            <w:r w:rsidRPr="001313E0" w:rsidR="00E874E6">
              <w:rPr>
                <w:sz w:val="16"/>
                <w:szCs w:val="16"/>
              </w:rPr>
              <w:t xml:space="preserve"> </w:t>
            </w:r>
            <w:r w:rsidRPr="001313E0">
              <w:rPr>
                <w:sz w:val="16"/>
                <w:szCs w:val="16"/>
              </w:rPr>
              <w:t xml:space="preserve">of </w:t>
            </w:r>
            <w:r w:rsidRPr="001313E0">
              <w:rPr>
                <w:sz w:val="16"/>
                <w:szCs w:val="16"/>
              </w:rPr>
              <w:lastRenderedPageBreak/>
              <w:t>cerebellar haemorrhage, hypertonicity and possibly seizure burden [21, 22], a concern not</w:t>
            </w:r>
            <w:r w:rsidRPr="001313E0" w:rsidR="00E874E6">
              <w:rPr>
                <w:sz w:val="16"/>
                <w:szCs w:val="16"/>
              </w:rPr>
              <w:t xml:space="preserve"> </w:t>
            </w:r>
            <w:r w:rsidRPr="001313E0">
              <w:rPr>
                <w:sz w:val="16"/>
                <w:szCs w:val="16"/>
              </w:rPr>
              <w:t>completely addressed by the reporting of a retrospective cohort which did not find an</w:t>
            </w:r>
            <w:r w:rsidRPr="001313E0" w:rsidR="00E874E6">
              <w:rPr>
                <w:sz w:val="16"/>
                <w:szCs w:val="16"/>
              </w:rPr>
              <w:t xml:space="preserve"> </w:t>
            </w:r>
            <w:r w:rsidRPr="001313E0">
              <w:rPr>
                <w:sz w:val="16"/>
                <w:szCs w:val="16"/>
              </w:rPr>
              <w:t>association [23, 24].</w:t>
            </w:r>
          </w:p>
          <w:p w:rsidRPr="001313E0" w:rsidR="000E7F28" w:rsidP="006F0321" w:rsidRDefault="000E7F28" w14:paraId="79E42726" w14:textId="77777777">
            <w:pPr>
              <w:pStyle w:val="BodyText"/>
              <w:rPr>
                <w:sz w:val="16"/>
                <w:szCs w:val="16"/>
              </w:rPr>
            </w:pPr>
            <w:r w:rsidRPr="001313E0">
              <w:rPr>
                <w:sz w:val="16"/>
                <w:szCs w:val="16"/>
              </w:rPr>
              <w:t>Pharmacokinetics and pharmacodynamics</w:t>
            </w:r>
          </w:p>
          <w:p w:rsidRPr="001313E0" w:rsidR="000E7F28" w:rsidP="006F0321" w:rsidRDefault="000E7F28" w14:paraId="40BEE88C" w14:textId="77777777">
            <w:pPr>
              <w:pStyle w:val="BodyText"/>
              <w:rPr>
                <w:sz w:val="16"/>
                <w:szCs w:val="16"/>
              </w:rPr>
            </w:pPr>
            <w:r w:rsidRPr="001313E0">
              <w:rPr>
                <w:sz w:val="16"/>
                <w:szCs w:val="16"/>
              </w:rPr>
              <w:t>Caffeine has a long elimination half-life in preterm infants of 72–96 hours (range 40–230</w:t>
            </w:r>
            <w:r w:rsidRPr="001313E0" w:rsidR="00E874E6">
              <w:rPr>
                <w:sz w:val="16"/>
                <w:szCs w:val="16"/>
              </w:rPr>
              <w:t xml:space="preserve"> </w:t>
            </w:r>
            <w:r w:rsidRPr="001313E0">
              <w:rPr>
                <w:sz w:val="16"/>
                <w:szCs w:val="16"/>
              </w:rPr>
              <w:t>hours) [4, 5], necessitating a loading dose to rapidly achieve therapeutic concentrations and</w:t>
            </w:r>
            <w:r w:rsidRPr="001313E0" w:rsidR="00E874E6">
              <w:rPr>
                <w:sz w:val="16"/>
                <w:szCs w:val="16"/>
              </w:rPr>
              <w:t xml:space="preserve"> </w:t>
            </w:r>
            <w:r w:rsidRPr="001313E0">
              <w:rPr>
                <w:sz w:val="16"/>
                <w:szCs w:val="16"/>
              </w:rPr>
              <w:t>allowing for once-daily dosing. In contrast, the half-life of caffeine in adults is 4–5 hours.</w:t>
            </w:r>
            <w:r w:rsidRPr="001313E0" w:rsidR="00E874E6">
              <w:rPr>
                <w:sz w:val="16"/>
                <w:szCs w:val="16"/>
              </w:rPr>
              <w:t xml:space="preserve"> </w:t>
            </w:r>
            <w:r w:rsidRPr="001313E0">
              <w:rPr>
                <w:sz w:val="16"/>
                <w:szCs w:val="16"/>
              </w:rPr>
              <w:t>Caffeine is metabolized in the liver by cytochrome P450 1A2 before rapid renal elimination of</w:t>
            </w:r>
            <w:r w:rsidRPr="001313E0" w:rsidR="00E874E6">
              <w:rPr>
                <w:sz w:val="16"/>
                <w:szCs w:val="16"/>
              </w:rPr>
              <w:t xml:space="preserve"> </w:t>
            </w:r>
            <w:r w:rsidRPr="001313E0">
              <w:rPr>
                <w:sz w:val="16"/>
                <w:szCs w:val="16"/>
              </w:rPr>
              <w:t>metabolites. This pathway is limited in preterm infants because of immaturity of hepatic</w:t>
            </w:r>
            <w:r w:rsidRPr="001313E0" w:rsidR="00E874E6">
              <w:rPr>
                <w:sz w:val="16"/>
                <w:szCs w:val="16"/>
              </w:rPr>
              <w:t xml:space="preserve"> </w:t>
            </w:r>
            <w:r w:rsidRPr="001313E0">
              <w:rPr>
                <w:sz w:val="16"/>
                <w:szCs w:val="16"/>
              </w:rPr>
              <w:t>enzyme system, therefore, most of a caffeine dose is eliminated unchanged in infancy, with</w:t>
            </w:r>
            <w:r w:rsidRPr="001313E0" w:rsidR="00E874E6">
              <w:rPr>
                <w:sz w:val="16"/>
                <w:szCs w:val="16"/>
              </w:rPr>
              <w:t xml:space="preserve"> </w:t>
            </w:r>
            <w:r w:rsidRPr="001313E0">
              <w:rPr>
                <w:sz w:val="16"/>
                <w:szCs w:val="16"/>
              </w:rPr>
              <w:t>86 percent of the dose excreted in the urine at a slow rate. In contrast, only 1 percent of a</w:t>
            </w:r>
            <w:r w:rsidRPr="001313E0" w:rsidR="00E874E6">
              <w:rPr>
                <w:sz w:val="16"/>
                <w:szCs w:val="16"/>
              </w:rPr>
              <w:t xml:space="preserve"> </w:t>
            </w:r>
            <w:r w:rsidRPr="001313E0">
              <w:rPr>
                <w:sz w:val="16"/>
                <w:szCs w:val="16"/>
              </w:rPr>
              <w:t>caffeine dose is excreted unchanged by the kidneys in adults. The time to peak concentration</w:t>
            </w:r>
            <w:r w:rsidRPr="001313E0" w:rsidR="00E874E6">
              <w:rPr>
                <w:sz w:val="16"/>
                <w:szCs w:val="16"/>
              </w:rPr>
              <w:t xml:space="preserve"> </w:t>
            </w:r>
            <w:r w:rsidRPr="001313E0">
              <w:rPr>
                <w:sz w:val="16"/>
                <w:szCs w:val="16"/>
              </w:rPr>
              <w:t>from an oral dose is 30 minutes to two hours. The volume of distribution in infants is 0.8–0.9</w:t>
            </w:r>
          </w:p>
          <w:p w:rsidRPr="001313E0" w:rsidR="000E7F28" w:rsidP="006F0321" w:rsidRDefault="000E7F28" w14:paraId="76EC138E" w14:textId="77777777">
            <w:pPr>
              <w:pStyle w:val="BodyText"/>
              <w:rPr>
                <w:sz w:val="16"/>
                <w:szCs w:val="16"/>
              </w:rPr>
            </w:pPr>
            <w:r w:rsidRPr="001313E0">
              <w:rPr>
                <w:sz w:val="16"/>
                <w:szCs w:val="16"/>
              </w:rPr>
              <w:t>L/kg.[3, 5] Loading doses of caffeine citrate produce relatively predictable serum</w:t>
            </w:r>
            <w:r w:rsidRPr="001313E0" w:rsidR="00E874E6">
              <w:rPr>
                <w:sz w:val="16"/>
                <w:szCs w:val="16"/>
              </w:rPr>
              <w:t xml:space="preserve"> </w:t>
            </w:r>
            <w:r w:rsidRPr="001313E0">
              <w:rPr>
                <w:sz w:val="16"/>
                <w:szCs w:val="16"/>
              </w:rPr>
              <w:t>concentrations. Caffeine citrate is 50 percent caffeine base; therefore, a loading dose of</w:t>
            </w:r>
            <w:r w:rsidRPr="001313E0" w:rsidR="00E874E6">
              <w:rPr>
                <w:sz w:val="16"/>
                <w:szCs w:val="16"/>
              </w:rPr>
              <w:t xml:space="preserve"> </w:t>
            </w:r>
            <w:r w:rsidRPr="001313E0">
              <w:rPr>
                <w:sz w:val="16"/>
                <w:szCs w:val="16"/>
              </w:rPr>
              <w:t>caffeine citrate 20 mg/kg produces a serum concentration of approximately 10 mg/L.</w:t>
            </w:r>
            <w:r w:rsidRPr="001313E0" w:rsidR="00E874E6">
              <w:rPr>
                <w:sz w:val="16"/>
                <w:szCs w:val="16"/>
              </w:rPr>
              <w:t xml:space="preserve"> </w:t>
            </w:r>
            <w:r w:rsidRPr="001313E0">
              <w:rPr>
                <w:sz w:val="16"/>
                <w:szCs w:val="16"/>
              </w:rPr>
              <w:t>Loading doses ranging from 6 to 60 mg/kg with daily maintenance doses ranging from 3 to</w:t>
            </w:r>
          </w:p>
          <w:p w:rsidRPr="001313E0" w:rsidR="00E874E6" w:rsidP="006F0321" w:rsidRDefault="000E7F28" w14:paraId="59B7207A" w14:textId="77777777">
            <w:pPr>
              <w:pStyle w:val="BodyText"/>
              <w:rPr>
                <w:sz w:val="16"/>
                <w:szCs w:val="16"/>
              </w:rPr>
            </w:pPr>
            <w:r w:rsidRPr="001313E0">
              <w:rPr>
                <w:sz w:val="16"/>
                <w:szCs w:val="16"/>
              </w:rPr>
              <w:t>30 mg/kg examined in clinical trials and resulted in serum levels ranging from 6.7 to 59.9</w:t>
            </w:r>
            <w:r w:rsidRPr="001313E0" w:rsidR="00E874E6">
              <w:rPr>
                <w:sz w:val="16"/>
                <w:szCs w:val="16"/>
              </w:rPr>
              <w:t xml:space="preserve"> </w:t>
            </w:r>
            <w:r w:rsidRPr="001313E0">
              <w:rPr>
                <w:sz w:val="16"/>
                <w:szCs w:val="16"/>
              </w:rPr>
              <w:t>mg/L. Standard caffeine dosing of a 20 mg/kg load followed by 5 mg/kg once daily results in</w:t>
            </w:r>
            <w:r w:rsidRPr="001313E0" w:rsidR="00E874E6">
              <w:rPr>
                <w:sz w:val="16"/>
                <w:szCs w:val="16"/>
              </w:rPr>
              <w:t xml:space="preserve"> </w:t>
            </w:r>
            <w:r w:rsidRPr="001313E0">
              <w:rPr>
                <w:sz w:val="16"/>
                <w:szCs w:val="16"/>
              </w:rPr>
              <w:t>serum concentrations of 5–20 mg/L. Supratherapeutic levels 20-60 mg/L offer potential</w:t>
            </w:r>
            <w:r w:rsidRPr="001313E0" w:rsidR="00E874E6">
              <w:rPr>
                <w:sz w:val="16"/>
                <w:szCs w:val="16"/>
              </w:rPr>
              <w:t xml:space="preserve"> </w:t>
            </w:r>
            <w:r w:rsidRPr="001313E0">
              <w:rPr>
                <w:sz w:val="16"/>
                <w:szCs w:val="16"/>
              </w:rPr>
              <w:t>increased therapeutic effect, whereas levels &gt;60 mg/L are considered the toxic range.[3]</w:t>
            </w:r>
            <w:r w:rsidRPr="001313E0" w:rsidR="00E874E6">
              <w:rPr>
                <w:sz w:val="16"/>
                <w:szCs w:val="16"/>
              </w:rPr>
              <w:t xml:space="preserve"> </w:t>
            </w:r>
            <w:r w:rsidRPr="001313E0">
              <w:rPr>
                <w:sz w:val="16"/>
                <w:szCs w:val="16"/>
              </w:rPr>
              <w:t>Following cessation of caffeine at a mean postmenstrual age of 35 weeks, caffeine levels</w:t>
            </w:r>
            <w:r w:rsidRPr="001313E0" w:rsidR="00E874E6">
              <w:rPr>
                <w:sz w:val="16"/>
                <w:szCs w:val="16"/>
              </w:rPr>
              <w:t xml:space="preserve"> </w:t>
            </w:r>
            <w:r w:rsidRPr="001313E0">
              <w:rPr>
                <w:sz w:val="16"/>
                <w:szCs w:val="16"/>
              </w:rPr>
              <w:t>decreased from 13.3 ± 3.8 to 4.3 ± 2 mg/L (n = 50) at 24 and 168 hours respectively (P&lt;0.01).</w:t>
            </w:r>
            <w:r w:rsidRPr="001313E0" w:rsidR="00E874E6">
              <w:rPr>
                <w:sz w:val="16"/>
                <w:szCs w:val="16"/>
              </w:rPr>
              <w:t xml:space="preserve"> </w:t>
            </w:r>
            <w:r w:rsidRPr="001313E0">
              <w:rPr>
                <w:sz w:val="16"/>
                <w:szCs w:val="16"/>
              </w:rPr>
              <w:t>The mean caffeine half-life was 87 ± 25 hours. Seven days after discontinuation of caffeine,</w:t>
            </w:r>
            <w:r w:rsidRPr="001313E0" w:rsidR="00E874E6">
              <w:rPr>
                <w:sz w:val="16"/>
                <w:szCs w:val="16"/>
              </w:rPr>
              <w:t xml:space="preserve"> </w:t>
            </w:r>
            <w:r w:rsidRPr="001313E0">
              <w:rPr>
                <w:sz w:val="16"/>
                <w:szCs w:val="16"/>
              </w:rPr>
              <w:t>64% of the infants had pathologic apnea. Caffeine may not reach subtherapeutic levels until</w:t>
            </w:r>
            <w:r w:rsidRPr="001313E0" w:rsidR="00E874E6">
              <w:rPr>
                <w:sz w:val="16"/>
                <w:szCs w:val="16"/>
              </w:rPr>
              <w:t xml:space="preserve"> </w:t>
            </w:r>
            <w:r w:rsidRPr="001313E0">
              <w:rPr>
                <w:sz w:val="16"/>
                <w:szCs w:val="16"/>
              </w:rPr>
              <w:t>11–12 days post cessation [6].</w:t>
            </w:r>
          </w:p>
        </w:tc>
      </w:tr>
      <w:tr w:rsidRPr="003A7895" w:rsidR="000E7F28" w:rsidTr="77BEE3D0" w14:paraId="76A42E13" w14:textId="77777777">
        <w:trPr>
          <w:trHeight w:val="362"/>
        </w:trPr>
        <w:tc>
          <w:tcPr>
            <w:tcW w:w="2438" w:type="dxa"/>
          </w:tcPr>
          <w:p w:rsidRPr="003A7895" w:rsidR="000E7F28" w:rsidP="006F0321" w:rsidRDefault="000E7F28" w14:paraId="18606A5D" w14:textId="77777777">
            <w:pPr>
              <w:pStyle w:val="BodyText"/>
            </w:pPr>
            <w:r w:rsidRPr="0065498D">
              <w:lastRenderedPageBreak/>
              <w:t>Practice points</w:t>
            </w:r>
          </w:p>
        </w:tc>
        <w:tc>
          <w:tcPr>
            <w:tcW w:w="6633" w:type="dxa"/>
          </w:tcPr>
          <w:p w:rsidRPr="000E7F28" w:rsidR="000E7F28" w:rsidP="006F0321" w:rsidRDefault="000E7F28" w14:paraId="45DD1ED1" w14:textId="77777777">
            <w:pPr>
              <w:pStyle w:val="BodyText"/>
            </w:pPr>
            <w:r w:rsidRPr="000E7F28">
              <w:t>European Consensus Guidelines on the Management of Respiratory Distress Syndrome:</w:t>
            </w:r>
          </w:p>
          <w:p w:rsidR="000F2F11" w:rsidP="006F0321" w:rsidRDefault="000E7F28" w14:paraId="4EF41822" w14:textId="77777777">
            <w:pPr>
              <w:pStyle w:val="BodyText"/>
            </w:pPr>
            <w:r w:rsidRPr="000E7F28">
              <w:t>Caffeine should be used to facilitate weaning from MV (High quality; Strong</w:t>
            </w:r>
            <w:r w:rsidR="000F2F11">
              <w:t xml:space="preserve"> </w:t>
            </w:r>
            <w:r w:rsidRPr="000E7F28">
              <w:t>recommendation for using intervention). Early caffeine should be considered for babies at</w:t>
            </w:r>
            <w:r w:rsidR="000F2F11">
              <w:t xml:space="preserve"> </w:t>
            </w:r>
            <w:r w:rsidRPr="000E7F28">
              <w:t>high risk of needing MV such as those on non-invasive respiratory support (Low qualityStrong recommendation for using intervention). [20]</w:t>
            </w:r>
          </w:p>
          <w:p w:rsidRPr="000E7F28" w:rsidR="000E7F28" w:rsidP="006F0321" w:rsidRDefault="000E7F28" w14:paraId="054EB2E3" w14:textId="77777777">
            <w:pPr>
              <w:pStyle w:val="BodyText"/>
            </w:pPr>
            <w:r w:rsidRPr="000E7F28">
              <w:rPr>
                <w:b/>
              </w:rPr>
              <w:t>AAP Committee on fetus and newborn:</w:t>
            </w:r>
            <w:r w:rsidRPr="000E7F28">
              <w:t xml:space="preserve"> Caffeine citrate is a safe and effective treatment of</w:t>
            </w:r>
            <w:r w:rsidR="000F2F11">
              <w:t xml:space="preserve"> </w:t>
            </w:r>
            <w:r w:rsidRPr="000E7F28">
              <w:t>apnea of prematurity when administered at a 20-mg/kg loading dose and 5 to 10 mg/kg per</w:t>
            </w:r>
            <w:r w:rsidR="000F2F11">
              <w:t xml:space="preserve">  </w:t>
            </w:r>
            <w:r w:rsidRPr="000E7F28">
              <w:t>day maintenance. Monitoring routine serum caffeine levels usually is not contributory to</w:t>
            </w:r>
            <w:r w:rsidR="000F2F11">
              <w:t xml:space="preserve"> </w:t>
            </w:r>
            <w:r w:rsidRPr="000E7F28">
              <w:t>management. A trial off caffeine may be considered when an infant has been free of</w:t>
            </w:r>
          </w:p>
          <w:p w:rsidRPr="000E7F28" w:rsidR="000E7F28" w:rsidP="006F0321" w:rsidRDefault="000E7F28" w14:paraId="37315C79" w14:textId="77777777">
            <w:pPr>
              <w:pStyle w:val="BodyText"/>
            </w:pPr>
            <w:r w:rsidRPr="000E7F28">
              <w:t>clinically significant apnea/bradycardia events off positive pressure for 5 to 7 days or at 33 to</w:t>
            </w:r>
            <w:r w:rsidR="000F2F11">
              <w:t xml:space="preserve"> </w:t>
            </w:r>
            <w:r w:rsidRPr="000E7F28">
              <w:t>34 weeks’ PMA, whichever comes first. [2] However, caffeine may not reach subtherapeutic</w:t>
            </w:r>
            <w:r w:rsidR="000F2F11">
              <w:t xml:space="preserve"> </w:t>
            </w:r>
            <w:r w:rsidRPr="000E7F28">
              <w:t>levels until 11-12 days post-cessation [6].</w:t>
            </w:r>
          </w:p>
          <w:p w:rsidRPr="000E7F28" w:rsidR="000E7F28" w:rsidP="006F0321" w:rsidRDefault="000E7F28" w14:paraId="7BB555A9" w14:textId="77777777">
            <w:pPr>
              <w:pStyle w:val="BodyText"/>
              <w:rPr>
                <w:b/>
              </w:rPr>
            </w:pPr>
            <w:r w:rsidRPr="000E7F28">
              <w:rPr>
                <w:b/>
              </w:rPr>
              <w:t>Caffeine as a primary neuroprotectice agent for preterm infants:</w:t>
            </w:r>
            <w:r w:rsidRPr="000E7F28">
              <w:t xml:space="preserve"> By definition,</w:t>
            </w:r>
            <w:r w:rsidR="000F2F11">
              <w:t xml:space="preserve"> </w:t>
            </w:r>
            <w:r w:rsidRPr="000E7F28">
              <w:t>neuroprotection is an effect that may result in salvage, recovery or regeneration of the</w:t>
            </w:r>
            <w:r w:rsidR="000F2F11">
              <w:t xml:space="preserve"> </w:t>
            </w:r>
            <w:r w:rsidRPr="000E7F28">
              <w:t>nervous system, its cells, structure and function.[25] Routine use of caffeine as a</w:t>
            </w:r>
            <w:r w:rsidR="000F2F11">
              <w:t xml:space="preserve"> </w:t>
            </w:r>
            <w:r w:rsidRPr="000E7F28">
              <w:t>neuroprotective agent in preterm infants (non-ventilated with no history of apneas) has not</w:t>
            </w:r>
            <w:r w:rsidR="000F2F11">
              <w:t xml:space="preserve"> </w:t>
            </w:r>
            <w:r w:rsidRPr="000E7F28">
              <w:t>been proven.</w:t>
            </w:r>
          </w:p>
        </w:tc>
      </w:tr>
      <w:tr w:rsidRPr="003A7895" w:rsidR="000E7F28" w:rsidTr="77BEE3D0" w14:paraId="58B7270D" w14:textId="77777777">
        <w:trPr>
          <w:trHeight w:val="360"/>
        </w:trPr>
        <w:tc>
          <w:tcPr>
            <w:tcW w:w="2438" w:type="dxa"/>
          </w:tcPr>
          <w:p w:rsidRPr="003A7895" w:rsidR="000E7F28" w:rsidP="006F0321" w:rsidRDefault="000E7F28" w14:paraId="13888E82" w14:textId="77777777">
            <w:pPr>
              <w:pStyle w:val="BodyText"/>
              <w:rPr>
                <w:rFonts w:cs="Arial"/>
                <w:bCs/>
              </w:rPr>
            </w:pPr>
            <w:r w:rsidRPr="003A7895">
              <w:t>References</w:t>
            </w:r>
          </w:p>
        </w:tc>
        <w:tc>
          <w:tcPr>
            <w:tcW w:w="6633" w:type="dxa"/>
          </w:tcPr>
          <w:p w:rsidRPr="001313E0" w:rsidR="000E7F28" w:rsidP="006F0321" w:rsidRDefault="000E7F28" w14:paraId="78CFD196" w14:textId="77777777">
            <w:pPr>
              <w:rPr>
                <w:sz w:val="16"/>
                <w:szCs w:val="16"/>
              </w:rPr>
            </w:pPr>
            <w:r w:rsidRPr="001313E0">
              <w:rPr>
                <w:sz w:val="16"/>
                <w:szCs w:val="16"/>
              </w:rPr>
              <w:t>1. Brattstrom P, Russo C, Ley D, Bruschettini M. High-versus low-dose caffeine in preterm</w:t>
            </w:r>
            <w:r w:rsidRPr="001313E0" w:rsidR="000F2F11">
              <w:rPr>
                <w:sz w:val="16"/>
                <w:szCs w:val="16"/>
              </w:rPr>
              <w:t xml:space="preserve"> </w:t>
            </w:r>
            <w:r w:rsidRPr="001313E0">
              <w:rPr>
                <w:sz w:val="16"/>
                <w:szCs w:val="16"/>
              </w:rPr>
              <w:t>infants: a systematic review and meta-analysis. Acta Paediatrica, International Journal of</w:t>
            </w:r>
            <w:r w:rsidRPr="001313E0" w:rsidR="000F2F11">
              <w:rPr>
                <w:sz w:val="16"/>
                <w:szCs w:val="16"/>
              </w:rPr>
              <w:t xml:space="preserve"> </w:t>
            </w:r>
            <w:r w:rsidRPr="001313E0">
              <w:rPr>
                <w:sz w:val="16"/>
                <w:szCs w:val="16"/>
              </w:rPr>
              <w:t>Paediatrics. 2019;108:401-10.</w:t>
            </w:r>
          </w:p>
          <w:p w:rsidRPr="001313E0" w:rsidR="000E7F28" w:rsidP="006F0321" w:rsidRDefault="000E7F28" w14:paraId="57A868D1" w14:textId="77777777">
            <w:pPr>
              <w:rPr>
                <w:sz w:val="16"/>
                <w:szCs w:val="16"/>
              </w:rPr>
            </w:pPr>
            <w:r w:rsidRPr="001313E0">
              <w:rPr>
                <w:sz w:val="16"/>
                <w:szCs w:val="16"/>
              </w:rPr>
              <w:t>2. Eichenwald EC, Committee on F, Newborn AAoP. Apnea of Prematurity. Pediatrics.</w:t>
            </w:r>
            <w:r w:rsidRPr="001313E0" w:rsidR="000F2F11">
              <w:rPr>
                <w:sz w:val="16"/>
                <w:szCs w:val="16"/>
              </w:rPr>
              <w:t xml:space="preserve"> </w:t>
            </w:r>
            <w:r w:rsidRPr="001313E0">
              <w:rPr>
                <w:sz w:val="16"/>
                <w:szCs w:val="16"/>
              </w:rPr>
              <w:t>2016;137.</w:t>
            </w:r>
          </w:p>
          <w:p w:rsidRPr="001313E0" w:rsidR="000E7F28" w:rsidP="006F0321" w:rsidRDefault="000E7F28" w14:paraId="72CA078B" w14:textId="77777777">
            <w:pPr>
              <w:rPr>
                <w:sz w:val="16"/>
                <w:szCs w:val="16"/>
              </w:rPr>
            </w:pPr>
            <w:r w:rsidRPr="001313E0">
              <w:rPr>
                <w:sz w:val="16"/>
                <w:szCs w:val="16"/>
              </w:rPr>
              <w:t>3. Rostas SE, McPherson C. Caffeine Therapy in Preterm Infants: The Dose (and Timing) Make</w:t>
            </w:r>
            <w:r w:rsidRPr="001313E0" w:rsidR="000F2F11">
              <w:rPr>
                <w:sz w:val="16"/>
                <w:szCs w:val="16"/>
              </w:rPr>
              <w:t xml:space="preserve"> </w:t>
            </w:r>
            <w:r w:rsidRPr="001313E0">
              <w:rPr>
                <w:sz w:val="16"/>
                <w:szCs w:val="16"/>
              </w:rPr>
              <w:t>the Medicine. Neonatal network : NN. 2019;38:365-74.</w:t>
            </w:r>
          </w:p>
          <w:p w:rsidRPr="001313E0" w:rsidR="000E7F28" w:rsidP="006F0321" w:rsidRDefault="000E7F28" w14:paraId="4B9055BC" w14:textId="77777777">
            <w:pPr>
              <w:rPr>
                <w:sz w:val="16"/>
                <w:szCs w:val="16"/>
              </w:rPr>
            </w:pPr>
            <w:r w:rsidRPr="001313E0">
              <w:rPr>
                <w:sz w:val="16"/>
                <w:szCs w:val="16"/>
              </w:rPr>
              <w:t>4. Charles BG, Townsend SR, Steer PA, Flenady VJ, Gray PH, Shearman A. Caffeine citrate</w:t>
            </w:r>
            <w:r w:rsidRPr="001313E0" w:rsidR="000F2F11">
              <w:rPr>
                <w:sz w:val="16"/>
                <w:szCs w:val="16"/>
              </w:rPr>
              <w:t xml:space="preserve"> </w:t>
            </w:r>
            <w:r w:rsidRPr="001313E0">
              <w:rPr>
                <w:sz w:val="16"/>
                <w:szCs w:val="16"/>
              </w:rPr>
              <w:t xml:space="preserve">treatment for extremely premature infants with apnea: population pharmacokinetics, </w:t>
            </w:r>
            <w:r w:rsidRPr="001313E0" w:rsidR="000F2F11">
              <w:rPr>
                <w:sz w:val="16"/>
                <w:szCs w:val="16"/>
              </w:rPr>
              <w:t xml:space="preserve"> </w:t>
            </w:r>
            <w:r w:rsidRPr="001313E0">
              <w:rPr>
                <w:sz w:val="16"/>
                <w:szCs w:val="16"/>
              </w:rPr>
              <w:t xml:space="preserve">absolute </w:t>
            </w:r>
            <w:r w:rsidRPr="001313E0">
              <w:rPr>
                <w:sz w:val="16"/>
                <w:szCs w:val="16"/>
              </w:rPr>
              <w:lastRenderedPageBreak/>
              <w:t>bioavailability, and implications for therapeutic drug monitoring. Ther Drug Monit.</w:t>
            </w:r>
            <w:r w:rsidRPr="001313E0" w:rsidR="000F2F11">
              <w:rPr>
                <w:sz w:val="16"/>
                <w:szCs w:val="16"/>
              </w:rPr>
              <w:t xml:space="preserve"> </w:t>
            </w:r>
            <w:r w:rsidRPr="001313E0">
              <w:rPr>
                <w:sz w:val="16"/>
                <w:szCs w:val="16"/>
              </w:rPr>
              <w:t>2008;30:709-16.</w:t>
            </w:r>
          </w:p>
          <w:p w:rsidRPr="001313E0" w:rsidR="000E7F28" w:rsidP="006F0321" w:rsidRDefault="000E7F28" w14:paraId="7B35D90C" w14:textId="77777777">
            <w:pPr>
              <w:rPr>
                <w:sz w:val="16"/>
                <w:szCs w:val="16"/>
              </w:rPr>
            </w:pPr>
            <w:r w:rsidRPr="001313E0">
              <w:rPr>
                <w:sz w:val="16"/>
                <w:szCs w:val="16"/>
              </w:rPr>
              <w:t>5. Lee TC, Charles B, Steer P, Flenady V, Shearman A. Population pharmacokinetics of</w:t>
            </w:r>
            <w:r w:rsidRPr="001313E0" w:rsidR="000F2F11">
              <w:rPr>
                <w:sz w:val="16"/>
                <w:szCs w:val="16"/>
              </w:rPr>
              <w:t xml:space="preserve"> </w:t>
            </w:r>
            <w:r w:rsidRPr="001313E0">
              <w:rPr>
                <w:sz w:val="16"/>
                <w:szCs w:val="16"/>
              </w:rPr>
              <w:t>intravenous caffeine in neonates with apnea of prematurity. Clin Pharmacol Ther.</w:t>
            </w:r>
            <w:r w:rsidRPr="001313E0" w:rsidR="000F2F11">
              <w:rPr>
                <w:sz w:val="16"/>
                <w:szCs w:val="16"/>
              </w:rPr>
              <w:t xml:space="preserve"> </w:t>
            </w:r>
            <w:r w:rsidRPr="001313E0">
              <w:rPr>
                <w:sz w:val="16"/>
                <w:szCs w:val="16"/>
              </w:rPr>
              <w:t>1997;61:628-40.</w:t>
            </w:r>
          </w:p>
          <w:p w:rsidRPr="001313E0" w:rsidR="000E7F28" w:rsidP="006F0321" w:rsidRDefault="000E7F28" w14:paraId="5BD493B3" w14:textId="77777777">
            <w:pPr>
              <w:rPr>
                <w:sz w:val="16"/>
                <w:szCs w:val="16"/>
              </w:rPr>
            </w:pPr>
            <w:r w:rsidRPr="001313E0">
              <w:rPr>
                <w:sz w:val="16"/>
                <w:szCs w:val="16"/>
              </w:rPr>
              <w:t>6. Doyle J, Davidson D, Katz S, Varela M, Demeglio D, DeCristofaro J. Apnea of prematurity</w:t>
            </w:r>
            <w:r w:rsidRPr="001313E0" w:rsidR="000F2F11">
              <w:rPr>
                <w:sz w:val="16"/>
                <w:szCs w:val="16"/>
              </w:rPr>
              <w:t xml:space="preserve"> </w:t>
            </w:r>
            <w:r w:rsidRPr="001313E0">
              <w:rPr>
                <w:sz w:val="16"/>
                <w:szCs w:val="16"/>
              </w:rPr>
              <w:t xml:space="preserve">and caffeine </w:t>
            </w:r>
            <w:r w:rsidRPr="001313E0" w:rsidR="000F2F11">
              <w:rPr>
                <w:sz w:val="16"/>
                <w:szCs w:val="16"/>
              </w:rPr>
              <w:t xml:space="preserve"> p</w:t>
            </w:r>
            <w:r w:rsidRPr="001313E0">
              <w:rPr>
                <w:sz w:val="16"/>
                <w:szCs w:val="16"/>
              </w:rPr>
              <w:t>harmacokinetics: Potential impact on hospital discharge. Journal of</w:t>
            </w:r>
            <w:r w:rsidRPr="001313E0" w:rsidR="000F2F11">
              <w:rPr>
                <w:sz w:val="16"/>
                <w:szCs w:val="16"/>
              </w:rPr>
              <w:t xml:space="preserve"> </w:t>
            </w:r>
            <w:r w:rsidRPr="001313E0">
              <w:rPr>
                <w:sz w:val="16"/>
                <w:szCs w:val="16"/>
              </w:rPr>
              <w:t>Perinatology. 2016;36:141-4.</w:t>
            </w:r>
          </w:p>
          <w:p w:rsidRPr="001313E0" w:rsidR="000E7F28" w:rsidP="006F0321" w:rsidRDefault="000E7F28" w14:paraId="05331B10" w14:textId="77777777">
            <w:pPr>
              <w:rPr>
                <w:sz w:val="16"/>
                <w:szCs w:val="16"/>
              </w:rPr>
            </w:pPr>
            <w:r w:rsidRPr="001313E0">
              <w:rPr>
                <w:sz w:val="16"/>
                <w:szCs w:val="16"/>
              </w:rPr>
              <w:t>7. Schmidt B, Roberts RS, Davis P, Doyle LW, Barrington KJ, Ohlsson A, Solimano A, Tin W.</w:t>
            </w:r>
            <w:r w:rsidRPr="001313E0" w:rsidR="000F2F11">
              <w:rPr>
                <w:sz w:val="16"/>
                <w:szCs w:val="16"/>
              </w:rPr>
              <w:t xml:space="preserve"> </w:t>
            </w:r>
            <w:r w:rsidRPr="001313E0">
              <w:rPr>
                <w:sz w:val="16"/>
                <w:szCs w:val="16"/>
              </w:rPr>
              <w:t>Caffeine therapy for apnea of prematurity. The New England journal of medicine.</w:t>
            </w:r>
            <w:r w:rsidRPr="001313E0" w:rsidR="000F2F11">
              <w:rPr>
                <w:sz w:val="16"/>
                <w:szCs w:val="16"/>
              </w:rPr>
              <w:t xml:space="preserve"> </w:t>
            </w:r>
            <w:r w:rsidRPr="001313E0">
              <w:rPr>
                <w:sz w:val="16"/>
                <w:szCs w:val="16"/>
              </w:rPr>
              <w:t>2006;354:2112-21.</w:t>
            </w:r>
          </w:p>
          <w:p w:rsidRPr="001313E0" w:rsidR="000E7F28" w:rsidP="006F0321" w:rsidRDefault="000E7F28" w14:paraId="14A1F0E8" w14:textId="77777777">
            <w:pPr>
              <w:rPr>
                <w:sz w:val="16"/>
                <w:szCs w:val="16"/>
              </w:rPr>
            </w:pPr>
            <w:r w:rsidRPr="001313E0">
              <w:rPr>
                <w:sz w:val="16"/>
                <w:szCs w:val="16"/>
              </w:rPr>
              <w:t>8. Schmidt B, Roberts RS, Davis P, Doyle LW, Barrington KJ, Ohlsson A, Solimano A, Tin W.</w:t>
            </w:r>
            <w:r w:rsidRPr="001313E0" w:rsidR="000F2F11">
              <w:rPr>
                <w:sz w:val="16"/>
                <w:szCs w:val="16"/>
              </w:rPr>
              <w:t>Lo</w:t>
            </w:r>
            <w:r w:rsidRPr="001313E0">
              <w:rPr>
                <w:sz w:val="16"/>
                <w:szCs w:val="16"/>
              </w:rPr>
              <w:t>ng-term effects of caffeine therapy for apnea of prematurity. The New England journal of</w:t>
            </w:r>
            <w:r w:rsidRPr="001313E0" w:rsidR="000F2F11">
              <w:rPr>
                <w:sz w:val="16"/>
                <w:szCs w:val="16"/>
              </w:rPr>
              <w:t xml:space="preserve">  </w:t>
            </w:r>
            <w:r w:rsidRPr="001313E0">
              <w:rPr>
                <w:sz w:val="16"/>
                <w:szCs w:val="16"/>
              </w:rPr>
              <w:t>medicine. 2007;357:1893-902.</w:t>
            </w:r>
          </w:p>
          <w:p w:rsidRPr="001313E0" w:rsidR="000E7F28" w:rsidP="006F0321" w:rsidRDefault="000E7F28" w14:paraId="23A3C1AF" w14:textId="77777777">
            <w:pPr>
              <w:rPr>
                <w:sz w:val="16"/>
                <w:szCs w:val="16"/>
              </w:rPr>
            </w:pPr>
            <w:r w:rsidRPr="001313E0">
              <w:rPr>
                <w:sz w:val="16"/>
                <w:szCs w:val="16"/>
              </w:rPr>
              <w:t>9. Murner-Lavanchy IM, Doyle LW, Schmidt B, Roberts RS, Asztalos EV, Costantini L, et al.</w:t>
            </w:r>
            <w:r w:rsidRPr="001313E0" w:rsidR="000F2F11">
              <w:rPr>
                <w:sz w:val="16"/>
                <w:szCs w:val="16"/>
              </w:rPr>
              <w:t xml:space="preserve"> </w:t>
            </w:r>
            <w:r w:rsidRPr="001313E0">
              <w:rPr>
                <w:sz w:val="16"/>
                <w:szCs w:val="16"/>
              </w:rPr>
              <w:t>Neurobehavioral outcomes 11 years after neonatal caffeine therapy for apnea of</w:t>
            </w:r>
            <w:r w:rsidRPr="001313E0" w:rsidR="000F2F11">
              <w:rPr>
                <w:sz w:val="16"/>
                <w:szCs w:val="16"/>
              </w:rPr>
              <w:t xml:space="preserve"> </w:t>
            </w:r>
            <w:r w:rsidRPr="001313E0">
              <w:rPr>
                <w:sz w:val="16"/>
                <w:szCs w:val="16"/>
              </w:rPr>
              <w:t>prematurity. Pediatrics. 2018;141 (5) (no pagination).</w:t>
            </w:r>
          </w:p>
          <w:p w:rsidRPr="001313E0" w:rsidR="000E7F28" w:rsidP="006F0321" w:rsidRDefault="000E7F28" w14:paraId="5C4A2266" w14:textId="77777777">
            <w:pPr>
              <w:rPr>
                <w:sz w:val="16"/>
                <w:szCs w:val="16"/>
              </w:rPr>
            </w:pPr>
            <w:r w:rsidRPr="001313E0">
              <w:rPr>
                <w:sz w:val="16"/>
                <w:szCs w:val="16"/>
              </w:rPr>
              <w:t>10. HendersonSmart DJ, De Paoli AG. Prophylactic methylxanthine for prevention of apnoea</w:t>
            </w:r>
            <w:r w:rsidRPr="001313E0" w:rsidR="000F2F11">
              <w:rPr>
                <w:sz w:val="16"/>
                <w:szCs w:val="16"/>
              </w:rPr>
              <w:t xml:space="preserve"> </w:t>
            </w:r>
            <w:r w:rsidRPr="001313E0">
              <w:rPr>
                <w:sz w:val="16"/>
                <w:szCs w:val="16"/>
              </w:rPr>
              <w:t>in preterm infants. Cochrane Database of Systematic Reviews. 2013.</w:t>
            </w:r>
          </w:p>
          <w:p w:rsidRPr="001313E0" w:rsidR="000E7F28" w:rsidP="006F0321" w:rsidRDefault="000E7F28" w14:paraId="23169C5E" w14:textId="77777777">
            <w:pPr>
              <w:rPr>
                <w:sz w:val="16"/>
                <w:szCs w:val="16"/>
              </w:rPr>
            </w:pPr>
            <w:r w:rsidRPr="001313E0">
              <w:rPr>
                <w:sz w:val="16"/>
                <w:szCs w:val="16"/>
              </w:rPr>
              <w:t>11. Vliegenthart R, Miedema M, Hutten GJ, van Kaam AH, Onland W. High versus standard</w:t>
            </w:r>
            <w:r w:rsidRPr="001313E0" w:rsidR="000F2F11">
              <w:rPr>
                <w:sz w:val="16"/>
                <w:szCs w:val="16"/>
              </w:rPr>
              <w:t xml:space="preserve"> </w:t>
            </w:r>
            <w:r w:rsidRPr="001313E0">
              <w:rPr>
                <w:sz w:val="16"/>
                <w:szCs w:val="16"/>
              </w:rPr>
              <w:t>dose caffeine for apnoea: a systematic review. Arch Dis Child Fetal Neonatal Ed.</w:t>
            </w:r>
            <w:r w:rsidRPr="001313E0" w:rsidR="000F2F11">
              <w:rPr>
                <w:sz w:val="16"/>
                <w:szCs w:val="16"/>
              </w:rPr>
              <w:t xml:space="preserve"> </w:t>
            </w:r>
            <w:r w:rsidRPr="001313E0">
              <w:rPr>
                <w:sz w:val="16"/>
                <w:szCs w:val="16"/>
              </w:rPr>
              <w:t>2018;103:F523-F9.</w:t>
            </w:r>
          </w:p>
          <w:p w:rsidRPr="001313E0" w:rsidR="000E7F28" w:rsidP="006F0321" w:rsidRDefault="000E7F28" w14:paraId="3579788C" w14:textId="77777777">
            <w:pPr>
              <w:rPr>
                <w:sz w:val="16"/>
                <w:szCs w:val="16"/>
              </w:rPr>
            </w:pPr>
            <w:r w:rsidRPr="001313E0">
              <w:rPr>
                <w:sz w:val="16"/>
                <w:szCs w:val="16"/>
              </w:rPr>
              <w:t>12. Chen J, Jin L, Chen X. Efficacy and safety of different maintenance doses of caffeine</w:t>
            </w:r>
            <w:r w:rsidRPr="001313E0" w:rsidR="000F2F11">
              <w:rPr>
                <w:sz w:val="16"/>
                <w:szCs w:val="16"/>
              </w:rPr>
              <w:t xml:space="preserve"> </w:t>
            </w:r>
            <w:r w:rsidRPr="001313E0">
              <w:rPr>
                <w:sz w:val="16"/>
                <w:szCs w:val="16"/>
              </w:rPr>
              <w:t>citrate for treatment of apnea in premature infants: A systematic review and meta-analysis.</w:t>
            </w:r>
            <w:r w:rsidRPr="001313E0" w:rsidR="000F2F11">
              <w:rPr>
                <w:sz w:val="16"/>
                <w:szCs w:val="16"/>
              </w:rPr>
              <w:t xml:space="preserve"> </w:t>
            </w:r>
            <w:r w:rsidRPr="001313E0">
              <w:rPr>
                <w:sz w:val="16"/>
                <w:szCs w:val="16"/>
              </w:rPr>
              <w:t>BioMed Research International. 2018;2018 (no pagination).</w:t>
            </w:r>
          </w:p>
          <w:p w:rsidRPr="001313E0" w:rsidR="000E7F28" w:rsidP="006F0321" w:rsidRDefault="000E7F28" w14:paraId="101267C2" w14:textId="77777777">
            <w:pPr>
              <w:rPr>
                <w:sz w:val="16"/>
                <w:szCs w:val="16"/>
              </w:rPr>
            </w:pPr>
            <w:r w:rsidRPr="001313E0">
              <w:rPr>
                <w:sz w:val="16"/>
                <w:szCs w:val="16"/>
              </w:rPr>
              <w:t>13. Henderson-Smart DJ, Steer P. Prophylactic caffeine to prevent postoperative apnea</w:t>
            </w:r>
            <w:r w:rsidRPr="001313E0" w:rsidR="000F2F11">
              <w:rPr>
                <w:sz w:val="16"/>
                <w:szCs w:val="16"/>
              </w:rPr>
              <w:t xml:space="preserve"> </w:t>
            </w:r>
            <w:r w:rsidRPr="001313E0">
              <w:rPr>
                <w:sz w:val="16"/>
                <w:szCs w:val="16"/>
              </w:rPr>
              <w:t>following general anesthesia in preterm infants. Cochrane database of systematic reviews.</w:t>
            </w:r>
            <w:r w:rsidRPr="001313E0" w:rsidR="000F2F11">
              <w:rPr>
                <w:sz w:val="16"/>
                <w:szCs w:val="16"/>
              </w:rPr>
              <w:t xml:space="preserve"> </w:t>
            </w:r>
            <w:r w:rsidRPr="001313E0">
              <w:rPr>
                <w:sz w:val="16"/>
                <w:szCs w:val="16"/>
              </w:rPr>
              <w:t>2001:CD000048.</w:t>
            </w:r>
          </w:p>
          <w:p w:rsidRPr="001313E0" w:rsidR="000E7F28" w:rsidP="006F0321" w:rsidRDefault="000E7F28" w14:paraId="2D23293C" w14:textId="77777777">
            <w:pPr>
              <w:rPr>
                <w:sz w:val="16"/>
                <w:szCs w:val="16"/>
              </w:rPr>
            </w:pPr>
            <w:r w:rsidRPr="001313E0">
              <w:rPr>
                <w:sz w:val="16"/>
                <w:szCs w:val="16"/>
              </w:rPr>
              <w:t>14. Massoud M, Kuhlmann AYR, Van Dijk M, Staals LM, Wijnen RMH, Van Rosmalen J, Sloots</w:t>
            </w:r>
            <w:r w:rsidRPr="001313E0" w:rsidR="000F2F11">
              <w:rPr>
                <w:sz w:val="16"/>
                <w:szCs w:val="16"/>
              </w:rPr>
              <w:t xml:space="preserve"> </w:t>
            </w:r>
            <w:r w:rsidRPr="001313E0">
              <w:rPr>
                <w:sz w:val="16"/>
                <w:szCs w:val="16"/>
              </w:rPr>
              <w:t>CEJ, Keyzer-Dekker CMG. Does the incidence of postoperative complications after inguinal</w:t>
            </w:r>
            <w:r w:rsidRPr="001313E0" w:rsidR="000F2F11">
              <w:rPr>
                <w:sz w:val="16"/>
                <w:szCs w:val="16"/>
              </w:rPr>
              <w:t xml:space="preserve"> </w:t>
            </w:r>
            <w:r w:rsidRPr="001313E0">
              <w:rPr>
                <w:sz w:val="16"/>
                <w:szCs w:val="16"/>
              </w:rPr>
              <w:t>hernia repair justify hospital admission in prematurely and term born infants? Anesthesia</w:t>
            </w:r>
            <w:r w:rsidRPr="001313E0" w:rsidR="000F2F11">
              <w:rPr>
                <w:sz w:val="16"/>
                <w:szCs w:val="16"/>
              </w:rPr>
              <w:t xml:space="preserve"> </w:t>
            </w:r>
            <w:r w:rsidRPr="001313E0">
              <w:rPr>
                <w:sz w:val="16"/>
                <w:szCs w:val="16"/>
              </w:rPr>
              <w:t>and Analgesia. 2019;128:525-32.</w:t>
            </w:r>
          </w:p>
          <w:p w:rsidRPr="001313E0" w:rsidR="000E7F28" w:rsidP="006F0321" w:rsidRDefault="000E7F28" w14:paraId="38F1BFA2" w14:textId="77777777">
            <w:pPr>
              <w:rPr>
                <w:sz w:val="16"/>
                <w:szCs w:val="16"/>
              </w:rPr>
            </w:pPr>
            <w:r w:rsidRPr="001313E0">
              <w:rPr>
                <w:sz w:val="16"/>
                <w:szCs w:val="16"/>
              </w:rPr>
              <w:t>15. Kua KP, Lee SWH. Systematic review and meta-analysis of clinical outcomes of early</w:t>
            </w:r>
            <w:r w:rsidRPr="001313E0" w:rsidR="000F2F11">
              <w:rPr>
                <w:sz w:val="16"/>
                <w:szCs w:val="16"/>
              </w:rPr>
              <w:t xml:space="preserve"> </w:t>
            </w:r>
            <w:r w:rsidRPr="001313E0">
              <w:rPr>
                <w:sz w:val="16"/>
                <w:szCs w:val="16"/>
              </w:rPr>
              <w:t>caffeine therapy in preterm neonates. British Journal of Clinical Pharmacology. 2017;83:180-</w:t>
            </w:r>
            <w:r w:rsidRPr="001313E0" w:rsidR="000F2F11">
              <w:rPr>
                <w:sz w:val="16"/>
                <w:szCs w:val="16"/>
              </w:rPr>
              <w:t xml:space="preserve"> </w:t>
            </w:r>
            <w:r w:rsidRPr="001313E0">
              <w:rPr>
                <w:sz w:val="16"/>
                <w:szCs w:val="16"/>
              </w:rPr>
              <w:t>91.</w:t>
            </w:r>
          </w:p>
          <w:p w:rsidRPr="001313E0" w:rsidR="000E7F28" w:rsidP="006F0321" w:rsidRDefault="000E7F28" w14:paraId="2D5185B7" w14:textId="77777777">
            <w:pPr>
              <w:rPr>
                <w:sz w:val="16"/>
                <w:szCs w:val="16"/>
              </w:rPr>
            </w:pPr>
            <w:r w:rsidRPr="001313E0">
              <w:rPr>
                <w:sz w:val="16"/>
                <w:szCs w:val="16"/>
              </w:rPr>
              <w:t>16. Park HW, Lim G, Chung SH, Chung S, Kim KS, Kim SN. Early Caffeine Use in Very Low Birth</w:t>
            </w:r>
            <w:r w:rsidRPr="001313E0" w:rsidR="000F2F11">
              <w:rPr>
                <w:sz w:val="16"/>
                <w:szCs w:val="16"/>
              </w:rPr>
              <w:t xml:space="preserve"> </w:t>
            </w:r>
            <w:r w:rsidRPr="001313E0">
              <w:rPr>
                <w:sz w:val="16"/>
                <w:szCs w:val="16"/>
              </w:rPr>
              <w:t>Weight Infants and Neonatal Outcomes: A Systematic Review and Meta-Analysis. Journal of</w:t>
            </w:r>
            <w:r w:rsidRPr="001313E0" w:rsidR="000F2F11">
              <w:rPr>
                <w:sz w:val="16"/>
                <w:szCs w:val="16"/>
              </w:rPr>
              <w:t xml:space="preserve"> </w:t>
            </w:r>
            <w:r w:rsidRPr="001313E0">
              <w:rPr>
                <w:sz w:val="16"/>
                <w:szCs w:val="16"/>
              </w:rPr>
              <w:t>Korean medical science. 2015;30:1828-35.</w:t>
            </w:r>
          </w:p>
          <w:p w:rsidRPr="001313E0" w:rsidR="000E7F28" w:rsidP="006F0321" w:rsidRDefault="000E7F28" w14:paraId="2B838B7B" w14:textId="77777777">
            <w:pPr>
              <w:rPr>
                <w:sz w:val="16"/>
                <w:szCs w:val="16"/>
              </w:rPr>
            </w:pPr>
            <w:r w:rsidRPr="001313E0">
              <w:rPr>
                <w:sz w:val="16"/>
                <w:szCs w:val="16"/>
              </w:rPr>
              <w:t>17. HendersonSmart DJ, Davis PG. Prophylactic methylxanthines for endotracheal extubation</w:t>
            </w:r>
            <w:r w:rsidRPr="001313E0" w:rsidR="000F2F11">
              <w:rPr>
                <w:sz w:val="16"/>
                <w:szCs w:val="16"/>
              </w:rPr>
              <w:t xml:space="preserve"> </w:t>
            </w:r>
            <w:r w:rsidRPr="001313E0">
              <w:rPr>
                <w:sz w:val="16"/>
                <w:szCs w:val="16"/>
              </w:rPr>
              <w:t>in preterm infants. Cochrane Database of Systematic Reviews. 2013.</w:t>
            </w:r>
          </w:p>
          <w:p w:rsidRPr="001313E0" w:rsidR="000E7F28" w:rsidP="006F0321" w:rsidRDefault="000E7F28" w14:paraId="708ACAE4" w14:textId="77777777">
            <w:pPr>
              <w:rPr>
                <w:sz w:val="16"/>
                <w:szCs w:val="16"/>
              </w:rPr>
            </w:pPr>
            <w:r w:rsidRPr="001313E0">
              <w:rPr>
                <w:sz w:val="16"/>
                <w:szCs w:val="16"/>
              </w:rPr>
              <w:t>18. Henderson-Smart DJ, Davis PG. Prophylactic methylxanthines for endotracheal</w:t>
            </w:r>
            <w:r w:rsidRPr="001313E0" w:rsidR="000F2F11">
              <w:rPr>
                <w:sz w:val="16"/>
                <w:szCs w:val="16"/>
              </w:rPr>
              <w:t xml:space="preserve"> </w:t>
            </w:r>
            <w:r w:rsidRPr="001313E0">
              <w:rPr>
                <w:sz w:val="16"/>
                <w:szCs w:val="16"/>
              </w:rPr>
              <w:t>extubation in preterm infants. Cochrane database of systematic reviews. 2010:CD000139.</w:t>
            </w:r>
          </w:p>
          <w:p w:rsidRPr="001313E0" w:rsidR="000F2F11" w:rsidP="006F0321" w:rsidRDefault="000E7F28" w14:paraId="17968B89" w14:textId="77777777">
            <w:pPr>
              <w:rPr>
                <w:sz w:val="16"/>
                <w:szCs w:val="16"/>
              </w:rPr>
            </w:pPr>
            <w:r w:rsidRPr="001313E0">
              <w:rPr>
                <w:sz w:val="16"/>
                <w:szCs w:val="16"/>
              </w:rPr>
              <w:t>19. Khurana S, Shivakumar M, Sujith Kumar Reddy GV, Jayashree P, Ramesh Bhat Y, Lewis</w:t>
            </w:r>
            <w:r w:rsidRPr="001313E0" w:rsidR="000F2F11">
              <w:rPr>
                <w:sz w:val="16"/>
                <w:szCs w:val="16"/>
              </w:rPr>
              <w:t xml:space="preserve"> </w:t>
            </w:r>
            <w:r w:rsidRPr="001313E0">
              <w:rPr>
                <w:sz w:val="16"/>
                <w:szCs w:val="16"/>
              </w:rPr>
              <w:t>LES, Shashikala. Long-term neurodevelopment outcome of caffeine versus aminophylline</w:t>
            </w:r>
            <w:r w:rsidRPr="001313E0" w:rsidR="000F2F11">
              <w:rPr>
                <w:sz w:val="16"/>
                <w:szCs w:val="16"/>
              </w:rPr>
              <w:t xml:space="preserve"> </w:t>
            </w:r>
            <w:r w:rsidRPr="001313E0">
              <w:rPr>
                <w:sz w:val="16"/>
                <w:szCs w:val="16"/>
              </w:rPr>
              <w:t>therapy for apnea of prematurity. Journal of Neonatal-Perinatal Medicine. 2017;10:355-62.</w:t>
            </w:r>
          </w:p>
          <w:p w:rsidRPr="001313E0" w:rsidR="000E7F28" w:rsidP="006F0321" w:rsidRDefault="000E7F28" w14:paraId="0573C03E" w14:textId="77777777">
            <w:pPr>
              <w:rPr>
                <w:sz w:val="16"/>
                <w:szCs w:val="16"/>
              </w:rPr>
            </w:pPr>
            <w:r w:rsidRPr="001313E0">
              <w:rPr>
                <w:sz w:val="16"/>
                <w:szCs w:val="16"/>
              </w:rPr>
              <w:t>20. Sweet DG, Carnielli V, Greisen G, Hallman M, Ozek E, Te Pas A, Plavka R, Roehr CC,</w:t>
            </w:r>
            <w:r w:rsidRPr="001313E0" w:rsidR="000F2F11">
              <w:rPr>
                <w:sz w:val="16"/>
                <w:szCs w:val="16"/>
              </w:rPr>
              <w:t xml:space="preserve"> </w:t>
            </w:r>
            <w:r w:rsidRPr="001313E0">
              <w:rPr>
                <w:sz w:val="16"/>
                <w:szCs w:val="16"/>
              </w:rPr>
              <w:t>Saugstad OD, Simeoni U, Speer CP, Vento M, Visser GHA, Halliday HL. European Consensus</w:t>
            </w:r>
            <w:r w:rsidRPr="001313E0" w:rsidR="000F2F11">
              <w:rPr>
                <w:sz w:val="16"/>
                <w:szCs w:val="16"/>
              </w:rPr>
              <w:t xml:space="preserve"> </w:t>
            </w:r>
            <w:r w:rsidRPr="001313E0">
              <w:rPr>
                <w:sz w:val="16"/>
                <w:szCs w:val="16"/>
              </w:rPr>
              <w:t>Guidelines on the Management of Respiratory Distress Syndrome - 2019 Update.</w:t>
            </w:r>
            <w:r w:rsidRPr="001313E0" w:rsidR="000F2F11">
              <w:rPr>
                <w:sz w:val="16"/>
                <w:szCs w:val="16"/>
              </w:rPr>
              <w:t xml:space="preserve"> </w:t>
            </w:r>
            <w:r w:rsidRPr="001313E0">
              <w:rPr>
                <w:sz w:val="16"/>
                <w:szCs w:val="16"/>
              </w:rPr>
              <w:t>Neonatology. 2019;115:432-50.</w:t>
            </w:r>
          </w:p>
          <w:p w:rsidRPr="001313E0" w:rsidR="000E7F28" w:rsidP="006F0321" w:rsidRDefault="000E7F28" w14:paraId="44A2CA36" w14:textId="77777777">
            <w:pPr>
              <w:rPr>
                <w:sz w:val="16"/>
                <w:szCs w:val="16"/>
              </w:rPr>
            </w:pPr>
            <w:r w:rsidRPr="001313E0">
              <w:rPr>
                <w:sz w:val="16"/>
                <w:szCs w:val="16"/>
              </w:rPr>
              <w:t>21. McPherson C, Neil JJ, Tjoeng TH, Pineda R, Inder TE. A pilot randomized trial of high-dose</w:t>
            </w:r>
            <w:r w:rsidRPr="001313E0" w:rsidR="000F2F11">
              <w:rPr>
                <w:sz w:val="16"/>
                <w:szCs w:val="16"/>
              </w:rPr>
              <w:t xml:space="preserve"> </w:t>
            </w:r>
            <w:r w:rsidRPr="001313E0">
              <w:rPr>
                <w:sz w:val="16"/>
                <w:szCs w:val="16"/>
              </w:rPr>
              <w:t>caffeine therapy in preterm infants. Pediatr Res. 2015;78:198-204.</w:t>
            </w:r>
          </w:p>
          <w:p w:rsidRPr="001313E0" w:rsidR="000E7F28" w:rsidP="006F0321" w:rsidRDefault="000E7F28" w14:paraId="34346298" w14:textId="77777777">
            <w:pPr>
              <w:rPr>
                <w:sz w:val="16"/>
                <w:szCs w:val="16"/>
              </w:rPr>
            </w:pPr>
            <w:r w:rsidRPr="001313E0">
              <w:rPr>
                <w:sz w:val="16"/>
                <w:szCs w:val="16"/>
              </w:rPr>
              <w:t>22. Vesoulis ZA, McPherson C, Neil JJ, Mathur AM, Inder TE. Early High-Dose Caffeine</w:t>
            </w:r>
            <w:r w:rsidRPr="001313E0" w:rsidR="000F2F11">
              <w:rPr>
                <w:sz w:val="16"/>
                <w:szCs w:val="16"/>
              </w:rPr>
              <w:t xml:space="preserve"> </w:t>
            </w:r>
            <w:r w:rsidRPr="001313E0">
              <w:rPr>
                <w:sz w:val="16"/>
                <w:szCs w:val="16"/>
              </w:rPr>
              <w:t>Increases Seizure Burden in Extremely Preterm Neonates: A Preliminary Study. Journal of</w:t>
            </w:r>
            <w:r w:rsidRPr="001313E0" w:rsidR="000F2F11">
              <w:rPr>
                <w:sz w:val="16"/>
                <w:szCs w:val="16"/>
              </w:rPr>
              <w:t xml:space="preserve"> </w:t>
            </w:r>
            <w:r w:rsidRPr="001313E0">
              <w:rPr>
                <w:sz w:val="16"/>
                <w:szCs w:val="16"/>
              </w:rPr>
              <w:t>Caffeine Research. 2016;6:101-7.</w:t>
            </w:r>
          </w:p>
        </w:tc>
      </w:tr>
    </w:tbl>
    <w:p w:rsidRPr="00E25790" w:rsidR="00115F48" w:rsidP="006F0321" w:rsidRDefault="00115F48" w14:paraId="056202A8"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53"/>
        <w:gridCol w:w="4536"/>
      </w:tblGrid>
      <w:tr w:rsidRPr="003A7895" w:rsidR="00E424B4" w:rsidTr="000E7F28" w14:paraId="2E4DEF6C" w14:textId="77777777">
        <w:tc>
          <w:tcPr>
            <w:tcW w:w="4253" w:type="dxa"/>
            <w:vAlign w:val="center"/>
          </w:tcPr>
          <w:p w:rsidRPr="003A7895" w:rsidR="000E7F28" w:rsidP="00FA198C" w:rsidRDefault="000E7F28" w14:paraId="1C0C8DD9" w14:textId="77777777">
            <w:r w:rsidRPr="003A7895">
              <w:t>Original version Date: 08/0</w:t>
            </w:r>
            <w:r>
              <w:t>8</w:t>
            </w:r>
            <w:r w:rsidRPr="003A7895">
              <w:t>/2015</w:t>
            </w:r>
          </w:p>
        </w:tc>
        <w:tc>
          <w:tcPr>
            <w:tcW w:w="4536" w:type="dxa"/>
            <w:vAlign w:val="center"/>
          </w:tcPr>
          <w:p w:rsidRPr="003A7895" w:rsidR="000E7F28" w:rsidP="00FA198C" w:rsidRDefault="000E7F28" w14:paraId="28AA74C2" w14:textId="77777777">
            <w:r>
              <w:t>Author: NeoMed Consensus Group</w:t>
            </w:r>
          </w:p>
        </w:tc>
      </w:tr>
      <w:tr w:rsidRPr="003A7895" w:rsidR="00E424B4" w:rsidTr="000E7F28" w14:paraId="51584C51" w14:textId="77777777">
        <w:tc>
          <w:tcPr>
            <w:tcW w:w="4253" w:type="dxa"/>
            <w:vAlign w:val="center"/>
          </w:tcPr>
          <w:p w:rsidRPr="003A7895" w:rsidR="000E7F28" w:rsidP="00FA198C" w:rsidRDefault="000E7F28" w14:paraId="7EE6DDDE" w14:textId="77777777">
            <w:pPr>
              <w:rPr>
                <w:bCs/>
              </w:rPr>
            </w:pPr>
            <w:r w:rsidRPr="003A7895">
              <w:t xml:space="preserve">Current Version number:  </w:t>
            </w:r>
            <w:r>
              <w:t>3</w:t>
            </w:r>
          </w:p>
        </w:tc>
        <w:tc>
          <w:tcPr>
            <w:tcW w:w="4536" w:type="dxa"/>
            <w:vAlign w:val="center"/>
          </w:tcPr>
          <w:p w:rsidRPr="003A7895" w:rsidR="000E7F28" w:rsidP="00FA198C" w:rsidRDefault="000E7F28" w14:paraId="79DA9378" w14:textId="77777777">
            <w:r w:rsidRPr="003A7895">
              <w:t xml:space="preserve">Version Date:  </w:t>
            </w:r>
            <w:r w:rsidRPr="00EA0D55">
              <w:t>Jan 2020</w:t>
            </w:r>
          </w:p>
        </w:tc>
      </w:tr>
      <w:tr w:rsidRPr="003A7895" w:rsidR="00E424B4" w:rsidTr="000E7F28" w14:paraId="0912F6A6" w14:textId="77777777">
        <w:tc>
          <w:tcPr>
            <w:tcW w:w="4253" w:type="dxa"/>
            <w:vAlign w:val="center"/>
          </w:tcPr>
          <w:p w:rsidRPr="003A7895" w:rsidR="000E7F28" w:rsidP="00FA198C" w:rsidRDefault="000E7F28" w14:paraId="4374A4A7" w14:textId="77777777">
            <w:r>
              <w:t>Risk Rating: Medium</w:t>
            </w:r>
          </w:p>
        </w:tc>
        <w:tc>
          <w:tcPr>
            <w:tcW w:w="4536" w:type="dxa"/>
            <w:vAlign w:val="center"/>
          </w:tcPr>
          <w:p w:rsidRPr="003A7895" w:rsidR="000E7F28" w:rsidP="00FA198C" w:rsidRDefault="000E7F28" w14:paraId="6CDD83B7" w14:textId="36B35DFA">
            <w:r w:rsidRPr="003A7895">
              <w:t xml:space="preserve">Due for Review:  </w:t>
            </w:r>
            <w:r w:rsidR="001D786C">
              <w:t>Jan 2025</w:t>
            </w:r>
          </w:p>
        </w:tc>
      </w:tr>
      <w:tr w:rsidRPr="003A7895" w:rsidR="00E424B4" w:rsidTr="000E7F28" w14:paraId="4C11ECA1" w14:textId="77777777">
        <w:trPr>
          <w:trHeight w:val="344"/>
        </w:trPr>
        <w:tc>
          <w:tcPr>
            <w:tcW w:w="4253" w:type="dxa"/>
            <w:tcBorders>
              <w:bottom w:val="single" w:color="auto" w:sz="4" w:space="0"/>
            </w:tcBorders>
            <w:vAlign w:val="center"/>
          </w:tcPr>
          <w:p w:rsidRPr="003A7895" w:rsidR="000E7F28" w:rsidP="00FA198C" w:rsidRDefault="000E7F28" w14:paraId="378CF8D3" w14:textId="77777777">
            <w:r w:rsidRPr="003A7895">
              <w:t>Approv</w:t>
            </w:r>
            <w:r>
              <w:t xml:space="preserve">al </w:t>
            </w:r>
            <w:r w:rsidRPr="003A7895">
              <w:t>by</w:t>
            </w:r>
            <w:r>
              <w:t>: DTC</w:t>
            </w:r>
          </w:p>
        </w:tc>
        <w:tc>
          <w:tcPr>
            <w:tcW w:w="4536" w:type="dxa"/>
            <w:tcBorders>
              <w:bottom w:val="single" w:color="auto" w:sz="4" w:space="0"/>
            </w:tcBorders>
            <w:vAlign w:val="center"/>
          </w:tcPr>
          <w:p w:rsidRPr="003A7895" w:rsidR="000E7F28" w:rsidP="00FA198C" w:rsidRDefault="000E7F28" w14:paraId="36328B2C" w14:textId="77777777">
            <w:r w:rsidRPr="003A7895">
              <w:t>Approval Date:</w:t>
            </w:r>
            <w:r>
              <w:t xml:space="preserve"> Jan 2020</w:t>
            </w:r>
          </w:p>
        </w:tc>
      </w:tr>
    </w:tbl>
    <w:p w:rsidRPr="00E25790" w:rsidR="00115F48" w:rsidP="006F0321" w:rsidRDefault="00115F48" w14:paraId="66AFA790"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FA198C" w14:paraId="7FE33C5D"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7BBC3FA9" w14:textId="77777777">
            <w:pPr>
              <w:pStyle w:val="Heading1"/>
            </w:pPr>
            <w:bookmarkStart w:name="_Toc495481079" w:id="98"/>
            <w:bookmarkStart w:name="_Toc495481205" w:id="99"/>
            <w:bookmarkStart w:name="_Toc495481330" w:id="100"/>
            <w:bookmarkStart w:name="_Toc495501511" w:id="101"/>
            <w:bookmarkStart w:name="_Toc38106815" w:id="102"/>
            <w:bookmarkStart w:name="_Toc75339941" w:id="103"/>
            <w:r w:rsidRPr="00E25790">
              <w:lastRenderedPageBreak/>
              <w:t>Calcium Gluconate</w:t>
            </w:r>
            <w:bookmarkEnd w:id="98"/>
            <w:bookmarkEnd w:id="99"/>
            <w:bookmarkEnd w:id="100"/>
            <w:bookmarkEnd w:id="101"/>
            <w:bookmarkEnd w:id="102"/>
            <w:bookmarkEnd w:id="103"/>
            <w:r w:rsidRPr="00E25790">
              <w:fldChar w:fldCharType="begin"/>
            </w:r>
            <w:r w:rsidRPr="00E25790">
              <w:instrText>tc "Calcium gluconate" \l 0</w:instrText>
            </w:r>
            <w:r w:rsidRPr="00E25790">
              <w:fldChar w:fldCharType="end"/>
            </w:r>
          </w:p>
        </w:tc>
      </w:tr>
      <w:tr w:rsidRPr="00E25790" w:rsidR="00115F48" w:rsidTr="00FA198C" w14:paraId="0256D41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B8FB34C" w14:textId="682785D3">
            <w:r w:rsidRPr="00E25790">
              <w:t>Revision Date</w:t>
            </w:r>
            <w:r w:rsidRPr="00E25790" w:rsidR="004211D1">
              <w:rPr>
                <w:b/>
              </w:rPr>
              <w:t xml:space="preserve">: </w:t>
            </w:r>
            <w:r w:rsidR="00E940B8">
              <w:rPr>
                <w:b/>
              </w:rPr>
              <w:t>2-3-2021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2DE39A8" w14:textId="77777777">
            <w:r w:rsidRPr="00E25790">
              <w:t xml:space="preserve">Approved : </w:t>
            </w:r>
            <w:r w:rsidRPr="00E25790" w:rsidR="004211D1">
              <w:t>TC, KOH</w:t>
            </w:r>
          </w:p>
        </w:tc>
      </w:tr>
    </w:tbl>
    <w:p w:rsidRPr="00E25790" w:rsidR="00115F48" w:rsidP="006F0321" w:rsidRDefault="00115F48" w14:paraId="5812A1E9"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56"/>
        <w:gridCol w:w="7678"/>
      </w:tblGrid>
      <w:tr w:rsidRPr="00933E45" w:rsidR="00E940B8" w:rsidTr="0059793A" w14:paraId="5DA2A726" w14:textId="77777777">
        <w:trPr>
          <w:trHeight w:val="391"/>
        </w:trPr>
        <w:tc>
          <w:tcPr>
            <w:tcW w:w="1015" w:type="pct"/>
          </w:tcPr>
          <w:p w:rsidRPr="00933E45" w:rsidR="00E940B8" w:rsidP="0059793A" w:rsidRDefault="00E940B8" w14:paraId="063BD956" w14:textId="77777777">
            <w:pPr>
              <w:pStyle w:val="BodyText"/>
              <w:tabs>
                <w:tab w:val="center" w:pos="1476"/>
              </w:tabs>
              <w:rPr>
                <w:rFonts w:cs="Arial" w:asciiTheme="minorHAnsi" w:hAnsiTheme="minorHAnsi"/>
                <w:b/>
                <w:sz w:val="20"/>
              </w:rPr>
            </w:pPr>
            <w:r w:rsidRPr="00933E45">
              <w:rPr>
                <w:rFonts w:cs="Arial" w:asciiTheme="minorHAnsi" w:hAnsiTheme="minorHAnsi"/>
                <w:b/>
                <w:sz w:val="20"/>
              </w:rPr>
              <w:t>Alert</w:t>
            </w:r>
            <w:r w:rsidRPr="00933E45">
              <w:rPr>
                <w:rFonts w:cs="Arial" w:asciiTheme="minorHAnsi" w:hAnsiTheme="minorHAnsi"/>
                <w:b/>
                <w:sz w:val="20"/>
              </w:rPr>
              <w:tab/>
            </w:r>
          </w:p>
          <w:p w:rsidRPr="00933E45" w:rsidR="00E940B8" w:rsidP="0059793A" w:rsidRDefault="00E940B8" w14:paraId="410D7263" w14:textId="77777777">
            <w:pPr>
              <w:pStyle w:val="BodyText"/>
              <w:tabs>
                <w:tab w:val="center" w:pos="1476"/>
              </w:tabs>
              <w:rPr>
                <w:rFonts w:cs="Arial" w:asciiTheme="minorHAnsi" w:hAnsiTheme="minorHAnsi"/>
                <w:b/>
                <w:sz w:val="20"/>
              </w:rPr>
            </w:pPr>
            <w:r w:rsidRPr="00933E45">
              <w:rPr>
                <w:rFonts w:cs="Arial" w:asciiTheme="minorHAnsi" w:hAnsiTheme="minorHAnsi"/>
                <w:b/>
                <w:sz w:val="20"/>
              </w:rPr>
              <w:t xml:space="preserve"> </w:t>
            </w:r>
          </w:p>
        </w:tc>
        <w:tc>
          <w:tcPr>
            <w:tcW w:w="3985" w:type="pct"/>
          </w:tcPr>
          <w:p w:rsidR="00E940B8" w:rsidP="0059793A" w:rsidRDefault="00E940B8" w14:paraId="3BEA1802" w14:textId="77777777">
            <w:pPr>
              <w:pStyle w:val="BodyText"/>
              <w:rPr>
                <w:rFonts w:asciiTheme="minorHAnsi" w:hAnsiTheme="minorHAnsi"/>
                <w:sz w:val="20"/>
              </w:rPr>
            </w:pPr>
            <w:r w:rsidRPr="00933E45">
              <w:rPr>
                <w:rFonts w:asciiTheme="minorHAnsi" w:hAnsiTheme="minorHAnsi"/>
                <w:sz w:val="20"/>
              </w:rPr>
              <w:t xml:space="preserve">Multiple forms of calcium exist with varying amounts of elemental calcium expressed in varying units. Therefore careful attention is required in prescription and administration of calcium to avoid over- or under-dosing. </w:t>
            </w:r>
          </w:p>
          <w:p w:rsidRPr="00B20F3D" w:rsidR="00E940B8" w:rsidP="0059793A" w:rsidRDefault="00E940B8" w14:paraId="1EA7C89D" w14:textId="77777777">
            <w:pPr>
              <w:pStyle w:val="BodyText"/>
              <w:rPr>
                <w:rFonts w:asciiTheme="minorHAnsi" w:hAnsiTheme="minorHAnsi"/>
                <w:b/>
                <w:sz w:val="20"/>
              </w:rPr>
            </w:pPr>
            <w:r w:rsidRPr="00B20F3D">
              <w:rPr>
                <w:rFonts w:asciiTheme="minorHAnsi" w:hAnsiTheme="minorHAnsi"/>
                <w:b/>
                <w:sz w:val="20"/>
              </w:rPr>
              <w:t xml:space="preserve">Conversion factor for elemental Ca: 1 mg = 0.02 mmol = 0.05 mEq. </w:t>
            </w:r>
          </w:p>
          <w:p w:rsidR="00E940B8" w:rsidP="0059793A" w:rsidRDefault="00E940B8" w14:paraId="25C7F83E" w14:textId="77777777">
            <w:pPr>
              <w:pStyle w:val="BodyText"/>
              <w:rPr>
                <w:rFonts w:asciiTheme="minorHAnsi" w:hAnsiTheme="minorHAnsi"/>
                <w:b/>
                <w:sz w:val="20"/>
              </w:rPr>
            </w:pPr>
            <w:r w:rsidRPr="00B20F3D">
              <w:rPr>
                <w:rFonts w:asciiTheme="minorHAnsi" w:hAnsiTheme="minorHAnsi"/>
                <w:b/>
                <w:sz w:val="20"/>
              </w:rPr>
              <w:t xml:space="preserve">Prescribe calcium in mmol/kg/dose (not in mL/kg/dose) </w:t>
            </w:r>
          </w:p>
          <w:p w:rsidRPr="00933E45" w:rsidR="00E940B8" w:rsidP="0059793A" w:rsidRDefault="00E940B8" w14:paraId="038B27C3" w14:textId="77777777">
            <w:pPr>
              <w:pStyle w:val="BodyText"/>
              <w:rPr>
                <w:rFonts w:cs="Arial" w:asciiTheme="minorHAnsi" w:hAnsiTheme="minorHAnsi"/>
                <w:sz w:val="20"/>
              </w:rPr>
            </w:pPr>
            <w:r w:rsidRPr="00933E45">
              <w:rPr>
                <w:rFonts w:cs="Arial" w:asciiTheme="minorHAnsi" w:hAnsiTheme="minorHAnsi"/>
                <w:sz w:val="20"/>
              </w:rPr>
              <w:t xml:space="preserve">Calcium can slow the heart rate and precipitate arrhythmias. In cardiac arrest, calcium may be given by rapid intravenous injection. In the presence of a spontaneous circulation give it slowly. </w:t>
            </w:r>
          </w:p>
          <w:p w:rsidRPr="00933E45" w:rsidR="00E940B8" w:rsidP="0059793A" w:rsidRDefault="00E940B8" w14:paraId="0C811106" w14:textId="77777777">
            <w:pPr>
              <w:pStyle w:val="BodyText"/>
              <w:rPr>
                <w:rFonts w:cs="Arial" w:asciiTheme="minorHAnsi" w:hAnsiTheme="minorHAnsi"/>
                <w:sz w:val="20"/>
              </w:rPr>
            </w:pPr>
            <w:r w:rsidRPr="00933E45">
              <w:rPr>
                <w:rFonts w:cs="Arial" w:asciiTheme="minorHAnsi" w:hAnsiTheme="minorHAnsi"/>
                <w:sz w:val="20"/>
              </w:rPr>
              <w:t>Do not give calcium solutions and sodium bicarbonate simultaneously by the same route to avoid precipitation.</w:t>
            </w:r>
          </w:p>
          <w:p w:rsidRPr="00933E45" w:rsidR="00E940B8" w:rsidP="0059793A" w:rsidRDefault="00E940B8" w14:paraId="4E76DAF6" w14:textId="77777777">
            <w:pPr>
              <w:pStyle w:val="BodyText"/>
              <w:rPr>
                <w:rFonts w:asciiTheme="minorHAnsi" w:hAnsiTheme="minorHAnsi"/>
                <w:sz w:val="20"/>
              </w:rPr>
            </w:pPr>
            <w:r w:rsidRPr="00933E45">
              <w:rPr>
                <w:rFonts w:asciiTheme="minorHAnsi" w:hAnsiTheme="minorHAnsi"/>
                <w:sz w:val="20"/>
              </w:rPr>
              <w:t xml:space="preserve">Calcium chloride 10% may be preferred over calcium gluconate 10% for rapid IV administration. </w:t>
            </w:r>
          </w:p>
          <w:p w:rsidRPr="00B20F3D" w:rsidR="00E940B8" w:rsidP="0059793A" w:rsidRDefault="00E940B8" w14:paraId="40BAE9A8" w14:textId="77777777">
            <w:pPr>
              <w:pStyle w:val="BodyText"/>
              <w:rPr>
                <w:rFonts w:cs="Arial" w:asciiTheme="minorHAnsi" w:hAnsiTheme="minorHAnsi"/>
                <w:b/>
                <w:sz w:val="20"/>
              </w:rPr>
            </w:pPr>
            <w:r w:rsidRPr="00933E45">
              <w:rPr>
                <w:rFonts w:asciiTheme="minorHAnsi" w:hAnsiTheme="minorHAnsi"/>
                <w:sz w:val="20"/>
              </w:rPr>
              <w:t>Calcium gluconate in glass vials should not be used for repeated or prolonged treatment due to the high aluminium content.</w:t>
            </w:r>
          </w:p>
        </w:tc>
      </w:tr>
      <w:tr w:rsidRPr="00933E45" w:rsidR="00E940B8" w:rsidTr="0059793A" w14:paraId="55077668" w14:textId="77777777">
        <w:trPr>
          <w:trHeight w:val="851"/>
        </w:trPr>
        <w:tc>
          <w:tcPr>
            <w:tcW w:w="1015" w:type="pct"/>
          </w:tcPr>
          <w:p w:rsidRPr="00933E45" w:rsidR="00E940B8" w:rsidP="0059793A" w:rsidRDefault="00E940B8" w14:paraId="43F343D5" w14:textId="77777777">
            <w:pPr>
              <w:pStyle w:val="BodyText"/>
              <w:rPr>
                <w:rFonts w:cs="Arial" w:asciiTheme="minorHAnsi" w:hAnsiTheme="minorHAnsi"/>
                <w:sz w:val="20"/>
              </w:rPr>
            </w:pPr>
            <w:r w:rsidRPr="00933E45">
              <w:rPr>
                <w:rFonts w:cs="Arial" w:asciiTheme="minorHAnsi" w:hAnsiTheme="minorHAnsi"/>
                <w:b/>
                <w:bCs/>
                <w:sz w:val="20"/>
              </w:rPr>
              <w:t xml:space="preserve">Indication </w:t>
            </w:r>
          </w:p>
        </w:tc>
        <w:tc>
          <w:tcPr>
            <w:tcW w:w="3985" w:type="pct"/>
          </w:tcPr>
          <w:p w:rsidRPr="00933E45" w:rsidR="00E940B8" w:rsidP="0059793A" w:rsidRDefault="00E940B8" w14:paraId="667E12DA" w14:textId="77777777">
            <w:pPr>
              <w:rPr>
                <w:rFonts w:asciiTheme="minorHAnsi" w:hAnsiTheme="minorHAnsi"/>
                <w:sz w:val="20"/>
              </w:rPr>
            </w:pPr>
            <w:r w:rsidRPr="00933E45">
              <w:rPr>
                <w:rFonts w:asciiTheme="minorHAnsi" w:hAnsiTheme="minorHAnsi"/>
                <w:sz w:val="20"/>
              </w:rPr>
              <w:t>Asymptomatic or symptomatic hypocalcaemia.</w:t>
            </w:r>
          </w:p>
          <w:p w:rsidRPr="00933E45" w:rsidR="00E940B8" w:rsidP="0059793A" w:rsidRDefault="00E940B8" w14:paraId="0DA6122F" w14:textId="77777777">
            <w:pPr>
              <w:rPr>
                <w:rFonts w:asciiTheme="minorHAnsi" w:hAnsiTheme="minorHAnsi"/>
                <w:sz w:val="20"/>
              </w:rPr>
            </w:pPr>
            <w:r w:rsidRPr="00933E45">
              <w:rPr>
                <w:rFonts w:asciiTheme="minorHAnsi" w:hAnsiTheme="minorHAnsi"/>
                <w:sz w:val="20"/>
              </w:rPr>
              <w:t>Hyperkalaemia.</w:t>
            </w:r>
          </w:p>
          <w:p w:rsidRPr="00933E45" w:rsidR="00E940B8" w:rsidP="0059793A" w:rsidRDefault="00E940B8" w14:paraId="37145883" w14:textId="77777777">
            <w:pPr>
              <w:rPr>
                <w:rFonts w:asciiTheme="minorHAnsi" w:hAnsiTheme="minorHAnsi"/>
                <w:sz w:val="20"/>
              </w:rPr>
            </w:pPr>
            <w:r w:rsidRPr="00933E45">
              <w:rPr>
                <w:rFonts w:asciiTheme="minorHAnsi" w:hAnsiTheme="minorHAnsi"/>
                <w:sz w:val="20"/>
              </w:rPr>
              <w:t>Exchange transfusion.</w:t>
            </w:r>
          </w:p>
          <w:p w:rsidRPr="00933E45" w:rsidR="00E940B8" w:rsidP="0059793A" w:rsidRDefault="00E940B8" w14:paraId="22945F5A" w14:textId="77777777">
            <w:pPr>
              <w:rPr>
                <w:rFonts w:asciiTheme="minorHAnsi" w:hAnsiTheme="minorHAnsi"/>
                <w:sz w:val="20"/>
              </w:rPr>
            </w:pPr>
            <w:r w:rsidRPr="00933E45">
              <w:rPr>
                <w:rFonts w:asciiTheme="minorHAnsi" w:hAnsiTheme="minorHAnsi"/>
                <w:sz w:val="20"/>
              </w:rPr>
              <w:t>Magnesium toxicity.</w:t>
            </w:r>
          </w:p>
          <w:p w:rsidRPr="00933E45" w:rsidR="00E940B8" w:rsidP="0059793A" w:rsidRDefault="00E940B8" w14:paraId="311AB74B" w14:textId="77777777">
            <w:pPr>
              <w:rPr>
                <w:rFonts w:asciiTheme="minorHAnsi" w:hAnsiTheme="minorHAnsi"/>
                <w:sz w:val="20"/>
              </w:rPr>
            </w:pPr>
            <w:r w:rsidRPr="00933E45">
              <w:rPr>
                <w:rFonts w:asciiTheme="minorHAnsi" w:hAnsiTheme="minorHAnsi"/>
                <w:sz w:val="20"/>
              </w:rPr>
              <w:t xml:space="preserve">Calcium channel blocker overdose. </w:t>
            </w:r>
          </w:p>
          <w:p w:rsidRPr="00933E45" w:rsidR="00E940B8" w:rsidP="0059793A" w:rsidRDefault="00E940B8" w14:paraId="68F6898B" w14:textId="77777777">
            <w:pPr>
              <w:rPr>
                <w:rFonts w:asciiTheme="minorHAnsi" w:hAnsiTheme="minorHAnsi"/>
                <w:sz w:val="20"/>
              </w:rPr>
            </w:pPr>
            <w:r w:rsidRPr="00933E45">
              <w:rPr>
                <w:rFonts w:asciiTheme="minorHAnsi" w:hAnsiTheme="minorHAnsi"/>
                <w:sz w:val="20"/>
              </w:rPr>
              <w:t>Supplementation in parenteral nutrition (beyond the scope of this guideline).</w:t>
            </w:r>
          </w:p>
        </w:tc>
      </w:tr>
      <w:tr w:rsidRPr="00933E45" w:rsidR="00E940B8" w:rsidTr="0059793A" w14:paraId="70888497" w14:textId="77777777">
        <w:trPr>
          <w:trHeight w:val="703"/>
        </w:trPr>
        <w:tc>
          <w:tcPr>
            <w:tcW w:w="1015" w:type="pct"/>
          </w:tcPr>
          <w:p w:rsidRPr="00933E45" w:rsidR="00E940B8" w:rsidP="0059793A" w:rsidRDefault="00E940B8" w14:paraId="1A56569D" w14:textId="77777777">
            <w:pPr>
              <w:pStyle w:val="BodyText"/>
              <w:rPr>
                <w:rFonts w:cs="Arial" w:asciiTheme="minorHAnsi" w:hAnsiTheme="minorHAnsi"/>
                <w:b/>
                <w:bCs/>
                <w:sz w:val="20"/>
              </w:rPr>
            </w:pPr>
            <w:r w:rsidRPr="00933E45">
              <w:rPr>
                <w:rFonts w:cs="Arial" w:asciiTheme="minorHAnsi" w:hAnsiTheme="minorHAnsi"/>
                <w:b/>
                <w:bCs/>
                <w:sz w:val="20"/>
              </w:rPr>
              <w:t>Action</w:t>
            </w:r>
          </w:p>
        </w:tc>
        <w:tc>
          <w:tcPr>
            <w:tcW w:w="3985" w:type="pct"/>
          </w:tcPr>
          <w:p w:rsidRPr="00933E45" w:rsidR="00E940B8" w:rsidP="0059793A" w:rsidRDefault="00E940B8" w14:paraId="7D458EE9" w14:textId="77777777">
            <w:pPr>
              <w:rPr>
                <w:rFonts w:cs="Arial" w:asciiTheme="minorHAnsi" w:hAnsiTheme="minorHAnsi"/>
                <w:sz w:val="20"/>
              </w:rPr>
            </w:pPr>
            <w:r w:rsidRPr="00933E45">
              <w:rPr>
                <w:rFonts w:asciiTheme="minorHAnsi" w:hAnsiTheme="minorHAnsi"/>
                <w:sz w:val="20"/>
              </w:rPr>
              <w:t xml:space="preserve">Calcium is essential for the functional integrity of the nervous, muscular, skeletal and cardiac systems and for clotting function. It antagonises the cardiotoxic effects (arrhythmias) of hyperkalaemia, hypermagnesaemia and calcium channel blockers. </w:t>
            </w:r>
          </w:p>
        </w:tc>
      </w:tr>
      <w:tr w:rsidRPr="00933E45" w:rsidR="00E940B8" w:rsidTr="0059793A" w14:paraId="1F8D3BBE" w14:textId="77777777">
        <w:trPr>
          <w:trHeight w:val="230"/>
        </w:trPr>
        <w:tc>
          <w:tcPr>
            <w:tcW w:w="1015" w:type="pct"/>
          </w:tcPr>
          <w:p w:rsidRPr="00933E45" w:rsidR="00E940B8" w:rsidP="0059793A" w:rsidRDefault="00E940B8" w14:paraId="4053901D" w14:textId="77777777">
            <w:pPr>
              <w:pStyle w:val="BodyText"/>
              <w:rPr>
                <w:rFonts w:cs="Arial" w:asciiTheme="minorHAnsi" w:hAnsiTheme="minorHAnsi"/>
                <w:sz w:val="20"/>
              </w:rPr>
            </w:pPr>
            <w:r w:rsidRPr="00933E45">
              <w:rPr>
                <w:rFonts w:cs="Arial" w:asciiTheme="minorHAnsi" w:hAnsiTheme="minorHAnsi"/>
                <w:b/>
                <w:bCs/>
                <w:sz w:val="20"/>
              </w:rPr>
              <w:t xml:space="preserve">Drug Type                                   </w:t>
            </w:r>
          </w:p>
        </w:tc>
        <w:tc>
          <w:tcPr>
            <w:tcW w:w="3985" w:type="pct"/>
          </w:tcPr>
          <w:p w:rsidRPr="00933E45" w:rsidR="00E940B8" w:rsidP="0059793A" w:rsidRDefault="00E940B8" w14:paraId="60CC7ABB" w14:textId="77777777">
            <w:pPr>
              <w:pStyle w:val="BodyText"/>
              <w:rPr>
                <w:rFonts w:cs="Arial" w:asciiTheme="minorHAnsi" w:hAnsiTheme="minorHAnsi"/>
                <w:sz w:val="20"/>
              </w:rPr>
            </w:pPr>
            <w:r w:rsidRPr="00933E45">
              <w:rPr>
                <w:rFonts w:asciiTheme="minorHAnsi" w:hAnsiTheme="minorHAnsi"/>
                <w:sz w:val="20"/>
              </w:rPr>
              <w:t>Mineral.</w:t>
            </w:r>
          </w:p>
        </w:tc>
      </w:tr>
      <w:tr w:rsidRPr="00933E45" w:rsidR="00E940B8" w:rsidTr="0059793A" w14:paraId="47A98F6F" w14:textId="77777777">
        <w:trPr>
          <w:trHeight w:val="349"/>
        </w:trPr>
        <w:tc>
          <w:tcPr>
            <w:tcW w:w="1015" w:type="pct"/>
          </w:tcPr>
          <w:p w:rsidRPr="00933E45" w:rsidR="00E940B8" w:rsidP="0059793A" w:rsidRDefault="00E940B8" w14:paraId="08399968" w14:textId="77777777">
            <w:pPr>
              <w:pStyle w:val="BodyText"/>
              <w:rPr>
                <w:rFonts w:cs="Arial" w:asciiTheme="minorHAnsi" w:hAnsiTheme="minorHAnsi"/>
                <w:b/>
                <w:bCs/>
                <w:sz w:val="20"/>
              </w:rPr>
            </w:pPr>
            <w:r w:rsidRPr="00933E45">
              <w:rPr>
                <w:rFonts w:cs="Arial" w:asciiTheme="minorHAnsi" w:hAnsiTheme="minorHAnsi"/>
                <w:b/>
                <w:bCs/>
                <w:sz w:val="20"/>
              </w:rPr>
              <w:t xml:space="preserve">Trade Name                  </w:t>
            </w:r>
          </w:p>
        </w:tc>
        <w:tc>
          <w:tcPr>
            <w:tcW w:w="3985" w:type="pct"/>
          </w:tcPr>
          <w:p w:rsidRPr="00933E45" w:rsidR="00E940B8" w:rsidP="0059793A" w:rsidRDefault="00E940B8" w14:paraId="24BED2CC" w14:textId="77777777">
            <w:pPr>
              <w:pStyle w:val="BodyText"/>
              <w:rPr>
                <w:rFonts w:asciiTheme="minorHAnsi" w:hAnsiTheme="minorHAnsi"/>
                <w:sz w:val="20"/>
              </w:rPr>
            </w:pPr>
            <w:r w:rsidRPr="00933E45">
              <w:rPr>
                <w:rFonts w:asciiTheme="minorHAnsi" w:hAnsiTheme="minorHAnsi"/>
                <w:sz w:val="20"/>
              </w:rPr>
              <w:t>Calcium Gluconate Injection [Phebra] 10% injection (calcium 0.22 mmol/mL)</w:t>
            </w:r>
          </w:p>
        </w:tc>
      </w:tr>
      <w:tr w:rsidRPr="00933E45" w:rsidR="00E940B8" w:rsidTr="0059793A" w14:paraId="0EB39921" w14:textId="77777777">
        <w:trPr>
          <w:trHeight w:val="212"/>
        </w:trPr>
        <w:tc>
          <w:tcPr>
            <w:tcW w:w="1015" w:type="pct"/>
          </w:tcPr>
          <w:p w:rsidRPr="00933E45" w:rsidR="00E940B8" w:rsidP="0059793A" w:rsidRDefault="00E940B8" w14:paraId="4EF07F6C" w14:textId="77777777">
            <w:pPr>
              <w:pStyle w:val="BodyText"/>
              <w:rPr>
                <w:rFonts w:cs="Arial" w:asciiTheme="minorHAnsi" w:hAnsiTheme="minorHAnsi"/>
                <w:b/>
                <w:bCs/>
                <w:sz w:val="20"/>
              </w:rPr>
            </w:pPr>
            <w:r w:rsidRPr="00933E45">
              <w:rPr>
                <w:rFonts w:cs="Arial" w:asciiTheme="minorHAnsi" w:hAnsiTheme="minorHAnsi"/>
                <w:b/>
                <w:bCs/>
                <w:sz w:val="20"/>
              </w:rPr>
              <w:t>Maximum  Dose</w:t>
            </w:r>
          </w:p>
        </w:tc>
        <w:tc>
          <w:tcPr>
            <w:tcW w:w="3985" w:type="pct"/>
          </w:tcPr>
          <w:p w:rsidRPr="00933E45" w:rsidR="00E940B8" w:rsidP="0059793A" w:rsidRDefault="00E940B8" w14:paraId="7B5533DD" w14:textId="77777777">
            <w:pPr>
              <w:pStyle w:val="BodyText"/>
              <w:rPr>
                <w:rFonts w:asciiTheme="minorHAnsi" w:hAnsiTheme="minorHAnsi"/>
                <w:sz w:val="20"/>
              </w:rPr>
            </w:pPr>
            <w:r>
              <w:rPr>
                <w:rFonts w:asciiTheme="minorHAnsi" w:hAnsiTheme="minorHAnsi"/>
                <w:sz w:val="20"/>
              </w:rPr>
              <w:t>3 mmol/kg/day</w:t>
            </w:r>
            <w:r w:rsidRPr="00255C8C">
              <w:rPr>
                <w:rFonts w:asciiTheme="minorHAnsi" w:hAnsiTheme="minorHAnsi"/>
                <w:sz w:val="20"/>
                <w:vertAlign w:val="superscript"/>
              </w:rPr>
              <w:t>25</w:t>
            </w:r>
          </w:p>
        </w:tc>
      </w:tr>
      <w:tr w:rsidRPr="00933E45" w:rsidR="00E940B8" w:rsidTr="0059793A" w14:paraId="775D415D" w14:textId="77777777">
        <w:trPr>
          <w:trHeight w:val="354"/>
        </w:trPr>
        <w:tc>
          <w:tcPr>
            <w:tcW w:w="1015" w:type="pct"/>
          </w:tcPr>
          <w:p w:rsidRPr="00933E45" w:rsidR="00E940B8" w:rsidP="0059793A" w:rsidRDefault="00E940B8" w14:paraId="1B063393" w14:textId="77777777">
            <w:pPr>
              <w:pStyle w:val="BodyText"/>
              <w:rPr>
                <w:rFonts w:cs="Arial" w:asciiTheme="minorHAnsi" w:hAnsiTheme="minorHAnsi"/>
                <w:b/>
                <w:bCs/>
                <w:sz w:val="20"/>
              </w:rPr>
            </w:pPr>
            <w:r w:rsidRPr="00933E45">
              <w:rPr>
                <w:rFonts w:cs="Arial" w:asciiTheme="minorHAnsi" w:hAnsiTheme="minorHAnsi"/>
                <w:b/>
                <w:bCs/>
                <w:sz w:val="20"/>
              </w:rPr>
              <w:t xml:space="preserve">Presentation </w:t>
            </w:r>
          </w:p>
        </w:tc>
        <w:tc>
          <w:tcPr>
            <w:tcW w:w="3985" w:type="pct"/>
          </w:tcPr>
          <w:p w:rsidRPr="00933E45" w:rsidR="00E940B8" w:rsidP="0059793A" w:rsidRDefault="00E940B8" w14:paraId="57F544CD" w14:textId="77777777">
            <w:pPr>
              <w:pStyle w:val="BodyText"/>
              <w:ind w:left="34"/>
              <w:rPr>
                <w:rFonts w:cs="Arial" w:asciiTheme="minorHAnsi" w:hAnsiTheme="minorHAnsi"/>
                <w:sz w:val="20"/>
              </w:rPr>
            </w:pPr>
            <w:r w:rsidRPr="00933E45">
              <w:rPr>
                <w:rFonts w:cs="Arial" w:asciiTheme="minorHAnsi" w:hAnsiTheme="minorHAnsi"/>
                <w:sz w:val="20"/>
              </w:rPr>
              <w:t>Calcium gluconate 10% 10 mL vial contains 0.22 mmol/mL of elemental calcium.</w:t>
            </w:r>
            <w:r w:rsidRPr="00B20F3D">
              <w:rPr>
                <w:rFonts w:cs="Arial" w:asciiTheme="minorHAnsi" w:hAnsiTheme="minorHAnsi"/>
                <w:sz w:val="20"/>
                <w:vertAlign w:val="superscript"/>
              </w:rPr>
              <w:t>23</w:t>
            </w:r>
          </w:p>
        </w:tc>
      </w:tr>
      <w:tr w:rsidRPr="00933E45" w:rsidR="00E940B8" w:rsidTr="0059793A" w14:paraId="64C54EC8" w14:textId="77777777">
        <w:trPr>
          <w:trHeight w:val="1653"/>
        </w:trPr>
        <w:tc>
          <w:tcPr>
            <w:tcW w:w="1015" w:type="pct"/>
          </w:tcPr>
          <w:p w:rsidRPr="00933E45" w:rsidR="00E940B8" w:rsidP="0059793A" w:rsidRDefault="00E940B8" w14:paraId="4FA18545" w14:textId="77777777">
            <w:pPr>
              <w:pStyle w:val="BodyText"/>
              <w:rPr>
                <w:rFonts w:cs="Arial" w:asciiTheme="minorHAnsi" w:hAnsiTheme="minorHAnsi"/>
                <w:b/>
                <w:bCs/>
                <w:sz w:val="20"/>
              </w:rPr>
            </w:pPr>
            <w:r w:rsidRPr="00933E45">
              <w:rPr>
                <w:rFonts w:cs="Arial" w:asciiTheme="minorHAnsi" w:hAnsiTheme="minorHAnsi"/>
                <w:b/>
                <w:bCs/>
                <w:sz w:val="20"/>
              </w:rPr>
              <w:t xml:space="preserve">Dosage/Interval                           </w:t>
            </w:r>
          </w:p>
          <w:p w:rsidRPr="00933E45" w:rsidR="00E940B8" w:rsidP="0059793A" w:rsidRDefault="00E940B8" w14:paraId="028284E8" w14:textId="77777777">
            <w:pPr>
              <w:pStyle w:val="BodyText"/>
              <w:rPr>
                <w:rFonts w:cs="Arial" w:asciiTheme="minorHAnsi" w:hAnsiTheme="minorHAnsi"/>
                <w:sz w:val="20"/>
              </w:rPr>
            </w:pPr>
          </w:p>
        </w:tc>
        <w:tc>
          <w:tcPr>
            <w:tcW w:w="3985" w:type="pct"/>
          </w:tcPr>
          <w:p w:rsidRPr="00933E45" w:rsidR="00E940B8" w:rsidP="0059793A" w:rsidRDefault="00E940B8" w14:paraId="64316DC7" w14:textId="77777777">
            <w:pPr>
              <w:pStyle w:val="BodyText"/>
              <w:rPr>
                <w:rFonts w:asciiTheme="minorHAnsi" w:hAnsiTheme="minorHAnsi"/>
                <w:b/>
                <w:sz w:val="20"/>
              </w:rPr>
            </w:pPr>
            <w:r w:rsidRPr="00933E45">
              <w:rPr>
                <w:rFonts w:asciiTheme="minorHAnsi" w:hAnsiTheme="minorHAnsi"/>
                <w:b/>
                <w:sz w:val="20"/>
              </w:rPr>
              <w:t>Hypocalcaemia, hyperkalaemia, magnesium toxicity, calcium channel blocker overdose</w:t>
            </w:r>
          </w:p>
          <w:p w:rsidRPr="00933E45" w:rsidR="00E940B8" w:rsidP="0059793A" w:rsidRDefault="00E940B8" w14:paraId="574D5FA8" w14:textId="77777777">
            <w:pPr>
              <w:pStyle w:val="BodyText"/>
              <w:ind w:left="720"/>
              <w:rPr>
                <w:rFonts w:cs="Arial" w:asciiTheme="minorHAnsi" w:hAnsiTheme="minorHAnsi"/>
                <w:sz w:val="20"/>
              </w:rPr>
            </w:pPr>
            <w:r w:rsidRPr="00933E45">
              <w:rPr>
                <w:rFonts w:cs="Arial" w:asciiTheme="minorHAnsi" w:hAnsiTheme="minorHAnsi"/>
                <w:sz w:val="20"/>
              </w:rPr>
              <w:t>IV</w:t>
            </w:r>
            <w:r>
              <w:rPr>
                <w:rFonts w:cs="Arial" w:asciiTheme="minorHAnsi" w:hAnsiTheme="minorHAnsi"/>
                <w:sz w:val="20"/>
              </w:rPr>
              <w:t xml:space="preserve"> or IO</w:t>
            </w:r>
            <w:r w:rsidRPr="00933E45">
              <w:rPr>
                <w:rFonts w:cs="Arial" w:asciiTheme="minorHAnsi" w:hAnsiTheme="minorHAnsi"/>
                <w:sz w:val="20"/>
              </w:rPr>
              <w:t xml:space="preserve">: </w:t>
            </w:r>
            <w:r>
              <w:rPr>
                <w:rFonts w:cs="Arial" w:asciiTheme="minorHAnsi" w:hAnsiTheme="minorHAnsi"/>
                <w:sz w:val="20"/>
              </w:rPr>
              <w:t xml:space="preserve">Elemental </w:t>
            </w:r>
            <w:r w:rsidRPr="00933E45">
              <w:rPr>
                <w:rFonts w:cs="Arial" w:asciiTheme="minorHAnsi" w:hAnsiTheme="minorHAnsi"/>
                <w:sz w:val="20"/>
              </w:rPr>
              <w:t xml:space="preserve">Calcium </w:t>
            </w:r>
            <w:r>
              <w:rPr>
                <w:rFonts w:cs="Arial" w:asciiTheme="minorHAnsi" w:hAnsiTheme="minorHAnsi"/>
                <w:sz w:val="20"/>
              </w:rPr>
              <w:t xml:space="preserve">- </w:t>
            </w:r>
            <w:r w:rsidRPr="00933E45">
              <w:rPr>
                <w:rFonts w:cs="Arial" w:asciiTheme="minorHAnsi" w:hAnsiTheme="minorHAnsi"/>
                <w:sz w:val="20"/>
              </w:rPr>
              <w:t xml:space="preserve">0.15 mmol/kg </w:t>
            </w:r>
            <w:r>
              <w:rPr>
                <w:rFonts w:cs="Arial" w:asciiTheme="minorHAnsi" w:hAnsiTheme="minorHAnsi"/>
                <w:sz w:val="20"/>
              </w:rPr>
              <w:t xml:space="preserve">(= </w:t>
            </w:r>
            <w:r w:rsidRPr="00933E45">
              <w:rPr>
                <w:rFonts w:cs="Arial" w:asciiTheme="minorHAnsi" w:hAnsiTheme="minorHAnsi"/>
                <w:sz w:val="20"/>
              </w:rPr>
              <w:t xml:space="preserve">0.7mL/kg of </w:t>
            </w:r>
            <w:r w:rsidRPr="00B20F3D">
              <w:rPr>
                <w:rFonts w:cs="Arial" w:asciiTheme="minorHAnsi" w:hAnsiTheme="minorHAnsi"/>
                <w:b/>
                <w:sz w:val="20"/>
              </w:rPr>
              <w:t>UNDILUTRED</w:t>
            </w:r>
            <w:r>
              <w:rPr>
                <w:rFonts w:cs="Arial" w:asciiTheme="minorHAnsi" w:hAnsiTheme="minorHAnsi"/>
                <w:sz w:val="20"/>
              </w:rPr>
              <w:t xml:space="preserve"> </w:t>
            </w:r>
            <w:r w:rsidRPr="00933E45">
              <w:rPr>
                <w:rFonts w:cs="Arial" w:asciiTheme="minorHAnsi" w:hAnsiTheme="minorHAnsi"/>
                <w:sz w:val="20"/>
              </w:rPr>
              <w:t>10% calcium gluconate</w:t>
            </w:r>
            <w:r>
              <w:rPr>
                <w:rFonts w:cs="Arial" w:asciiTheme="minorHAnsi" w:hAnsiTheme="minorHAnsi"/>
                <w:sz w:val="20"/>
              </w:rPr>
              <w:t>). Repeat as necessary.</w:t>
            </w:r>
          </w:p>
          <w:p w:rsidR="00E940B8" w:rsidP="0059793A" w:rsidRDefault="00E940B8" w14:paraId="4E5BA43F" w14:textId="77777777">
            <w:pPr>
              <w:pStyle w:val="BodyText"/>
              <w:rPr>
                <w:rFonts w:asciiTheme="minorHAnsi" w:hAnsiTheme="minorHAnsi"/>
                <w:b/>
                <w:sz w:val="20"/>
              </w:rPr>
            </w:pPr>
          </w:p>
          <w:p w:rsidR="00E940B8" w:rsidP="0059793A" w:rsidRDefault="00E940B8" w14:paraId="2CB8D42A" w14:textId="77777777">
            <w:pPr>
              <w:pStyle w:val="BodyText"/>
              <w:rPr>
                <w:rFonts w:asciiTheme="minorHAnsi" w:hAnsiTheme="minorHAnsi"/>
                <w:b/>
                <w:sz w:val="20"/>
              </w:rPr>
            </w:pPr>
            <w:r>
              <w:rPr>
                <w:rFonts w:asciiTheme="minorHAnsi" w:hAnsiTheme="minorHAnsi"/>
                <w:b/>
                <w:sz w:val="20"/>
              </w:rPr>
              <w:t>Maintenance IV calcium therapy – Titrate to serum calcium levels</w:t>
            </w:r>
          </w:p>
          <w:p w:rsidRPr="00B20F3D" w:rsidR="00E940B8" w:rsidP="0059793A" w:rsidRDefault="00E940B8" w14:paraId="49B0097A" w14:textId="77777777">
            <w:pPr>
              <w:pStyle w:val="BodyText"/>
              <w:ind w:left="720"/>
              <w:rPr>
                <w:rFonts w:asciiTheme="minorHAnsi" w:hAnsiTheme="minorHAnsi"/>
                <w:sz w:val="20"/>
              </w:rPr>
            </w:pPr>
            <w:r w:rsidRPr="00B20F3D">
              <w:rPr>
                <w:rFonts w:asciiTheme="minorHAnsi" w:hAnsiTheme="minorHAnsi"/>
                <w:sz w:val="20"/>
              </w:rPr>
              <w:t xml:space="preserve">IV bolus: </w:t>
            </w:r>
            <w:r>
              <w:rPr>
                <w:rFonts w:asciiTheme="minorHAnsi" w:hAnsiTheme="minorHAnsi"/>
                <w:sz w:val="20"/>
              </w:rPr>
              <w:t xml:space="preserve">Elemental </w:t>
            </w:r>
            <w:r w:rsidRPr="00B20F3D">
              <w:rPr>
                <w:rFonts w:asciiTheme="minorHAnsi" w:hAnsiTheme="minorHAnsi"/>
                <w:sz w:val="20"/>
              </w:rPr>
              <w:t>Calcium – 0.15 mmol/kg/dose 4-6 hourly</w:t>
            </w:r>
            <w:r>
              <w:rPr>
                <w:rFonts w:asciiTheme="minorHAnsi" w:hAnsiTheme="minorHAnsi"/>
                <w:sz w:val="20"/>
              </w:rPr>
              <w:t xml:space="preserve"> (maximum daily dose 3 mmol/kg/day)</w:t>
            </w:r>
          </w:p>
          <w:p w:rsidRPr="00933E45" w:rsidR="00E940B8" w:rsidP="0059793A" w:rsidRDefault="00E940B8" w14:paraId="01686C55" w14:textId="77777777">
            <w:pPr>
              <w:pStyle w:val="BodyText"/>
              <w:ind w:left="720"/>
              <w:rPr>
                <w:rFonts w:asciiTheme="minorHAnsi" w:hAnsiTheme="minorHAnsi"/>
                <w:b/>
                <w:sz w:val="20"/>
              </w:rPr>
            </w:pPr>
          </w:p>
          <w:p w:rsidRPr="00933E45" w:rsidR="00E940B8" w:rsidP="0059793A" w:rsidRDefault="00E940B8" w14:paraId="1E10B8A5" w14:textId="77777777">
            <w:pPr>
              <w:pStyle w:val="BodyText"/>
              <w:rPr>
                <w:rFonts w:asciiTheme="minorHAnsi" w:hAnsiTheme="minorHAnsi"/>
                <w:b/>
                <w:sz w:val="20"/>
              </w:rPr>
            </w:pPr>
            <w:r w:rsidRPr="00933E45">
              <w:rPr>
                <w:rFonts w:asciiTheme="minorHAnsi" w:hAnsiTheme="minorHAnsi"/>
                <w:b/>
                <w:sz w:val="20"/>
              </w:rPr>
              <w:t xml:space="preserve">Exchange transfusion: Administer if hypocalcaemia: </w:t>
            </w:r>
          </w:p>
          <w:p w:rsidRPr="00933E45" w:rsidR="00E940B8" w:rsidP="0059793A" w:rsidRDefault="00E940B8" w14:paraId="02885B87" w14:textId="77777777">
            <w:pPr>
              <w:pStyle w:val="BodyText"/>
              <w:ind w:left="1440"/>
              <w:rPr>
                <w:rFonts w:asciiTheme="minorHAnsi" w:hAnsiTheme="minorHAnsi"/>
                <w:b/>
                <w:sz w:val="20"/>
              </w:rPr>
            </w:pPr>
            <w:r w:rsidRPr="00933E45">
              <w:rPr>
                <w:rFonts w:asciiTheme="minorHAnsi" w:hAnsiTheme="minorHAnsi"/>
                <w:b/>
                <w:sz w:val="20"/>
              </w:rPr>
              <w:t xml:space="preserve">IV: </w:t>
            </w:r>
            <w:r w:rsidRPr="00B20F3D">
              <w:rPr>
                <w:rFonts w:asciiTheme="minorHAnsi" w:hAnsiTheme="minorHAnsi"/>
                <w:sz w:val="20"/>
              </w:rPr>
              <w:t>Elemental calcium 0.23 mmol/kg</w:t>
            </w:r>
            <w:r>
              <w:rPr>
                <w:rFonts w:asciiTheme="minorHAnsi" w:hAnsiTheme="minorHAnsi"/>
                <w:sz w:val="20"/>
              </w:rPr>
              <w:t xml:space="preserve"> (= 1 mL/kg of </w:t>
            </w:r>
            <w:r w:rsidRPr="00A216AD">
              <w:rPr>
                <w:rFonts w:asciiTheme="minorHAnsi" w:hAnsiTheme="minorHAnsi"/>
                <w:b/>
                <w:sz w:val="20"/>
              </w:rPr>
              <w:t>UNDILUTED</w:t>
            </w:r>
          </w:p>
          <w:p w:rsidRPr="00933E45" w:rsidR="00E940B8" w:rsidP="0059793A" w:rsidRDefault="00E940B8" w14:paraId="442BF0E5" w14:textId="77777777">
            <w:pPr>
              <w:pStyle w:val="BodyText"/>
              <w:ind w:left="1440"/>
              <w:rPr>
                <w:rFonts w:asciiTheme="minorHAnsi" w:hAnsiTheme="minorHAnsi"/>
                <w:sz w:val="20"/>
              </w:rPr>
            </w:pPr>
            <w:r w:rsidRPr="00933E45">
              <w:rPr>
                <w:rFonts w:asciiTheme="minorHAnsi" w:hAnsiTheme="minorHAnsi"/>
                <w:sz w:val="20"/>
              </w:rPr>
              <w:t>Calcium gluconate 10%</w:t>
            </w:r>
            <w:r>
              <w:rPr>
                <w:rFonts w:asciiTheme="minorHAnsi" w:hAnsiTheme="minorHAnsi"/>
                <w:sz w:val="20"/>
              </w:rPr>
              <w:t>)</w:t>
            </w:r>
            <w:r w:rsidRPr="00933E45">
              <w:rPr>
                <w:rFonts w:asciiTheme="minorHAnsi" w:hAnsiTheme="minorHAnsi"/>
                <w:sz w:val="20"/>
              </w:rPr>
              <w:t>; repeat as necessary.</w:t>
            </w:r>
            <w:r w:rsidRPr="00933E45">
              <w:rPr>
                <w:rFonts w:asciiTheme="minorHAnsi" w:hAnsiTheme="minorHAnsi"/>
                <w:b/>
                <w:sz w:val="20"/>
              </w:rPr>
              <w:t xml:space="preserve"> </w:t>
            </w:r>
          </w:p>
        </w:tc>
      </w:tr>
      <w:tr w:rsidRPr="00933E45" w:rsidR="00E940B8" w:rsidTr="0059793A" w14:paraId="10CED119" w14:textId="77777777">
        <w:trPr>
          <w:trHeight w:val="294"/>
        </w:trPr>
        <w:tc>
          <w:tcPr>
            <w:tcW w:w="1015" w:type="pct"/>
          </w:tcPr>
          <w:p w:rsidRPr="00933E45" w:rsidR="00E940B8" w:rsidP="0059793A" w:rsidRDefault="00E940B8" w14:paraId="006C2FB1" w14:textId="77777777">
            <w:pPr>
              <w:pStyle w:val="BodyText"/>
              <w:rPr>
                <w:rFonts w:cs="Arial" w:asciiTheme="minorHAnsi" w:hAnsiTheme="minorHAnsi"/>
                <w:sz w:val="20"/>
              </w:rPr>
            </w:pPr>
            <w:r w:rsidRPr="00933E45">
              <w:rPr>
                <w:rFonts w:cs="Arial" w:asciiTheme="minorHAnsi" w:hAnsiTheme="minorHAnsi"/>
                <w:b/>
                <w:bCs/>
                <w:sz w:val="20"/>
              </w:rPr>
              <w:t>Route</w:t>
            </w:r>
          </w:p>
        </w:tc>
        <w:tc>
          <w:tcPr>
            <w:tcW w:w="3985" w:type="pct"/>
          </w:tcPr>
          <w:p w:rsidRPr="00933E45" w:rsidR="00E940B8" w:rsidP="0059793A" w:rsidRDefault="00E940B8" w14:paraId="516E5564" w14:textId="77777777">
            <w:pPr>
              <w:pStyle w:val="BodyText"/>
              <w:rPr>
                <w:rFonts w:cs="Arial" w:asciiTheme="minorHAnsi" w:hAnsiTheme="minorHAnsi"/>
                <w:sz w:val="20"/>
              </w:rPr>
            </w:pPr>
            <w:r w:rsidRPr="00933E45">
              <w:rPr>
                <w:rFonts w:cs="Arial" w:asciiTheme="minorHAnsi" w:hAnsiTheme="minorHAnsi"/>
                <w:sz w:val="20"/>
              </w:rPr>
              <w:t>IV (via a central line where possible). Oral (see separate guideline ‘Calcium- ORAL’)</w:t>
            </w:r>
          </w:p>
        </w:tc>
      </w:tr>
      <w:tr w:rsidRPr="00933E45" w:rsidR="00E940B8" w:rsidTr="0059793A" w14:paraId="55EC0A0E" w14:textId="77777777">
        <w:trPr>
          <w:trHeight w:val="559"/>
        </w:trPr>
        <w:tc>
          <w:tcPr>
            <w:tcW w:w="1015" w:type="pct"/>
          </w:tcPr>
          <w:p w:rsidRPr="00A216AD" w:rsidR="00E940B8" w:rsidP="0059793A" w:rsidRDefault="00E940B8" w14:paraId="69385D02" w14:textId="77777777">
            <w:pPr>
              <w:pStyle w:val="BodyText"/>
              <w:rPr>
                <w:rFonts w:cs="Arial" w:asciiTheme="minorHAnsi" w:hAnsiTheme="minorHAnsi"/>
                <w:b/>
                <w:bCs/>
                <w:sz w:val="20"/>
              </w:rPr>
            </w:pPr>
            <w:r w:rsidRPr="00A216AD">
              <w:rPr>
                <w:rFonts w:cs="Arial" w:asciiTheme="minorHAnsi" w:hAnsiTheme="minorHAnsi"/>
                <w:b/>
                <w:bCs/>
                <w:sz w:val="20"/>
              </w:rPr>
              <w:t xml:space="preserve">Preparation/Dilution                 </w:t>
            </w:r>
          </w:p>
          <w:p w:rsidRPr="00A216AD" w:rsidR="00E940B8" w:rsidP="0059793A" w:rsidRDefault="00E940B8" w14:paraId="32550705" w14:textId="77777777">
            <w:pPr>
              <w:pStyle w:val="BodyText"/>
              <w:rPr>
                <w:rFonts w:cs="Arial" w:asciiTheme="minorHAnsi" w:hAnsiTheme="minorHAnsi"/>
                <w:sz w:val="20"/>
              </w:rPr>
            </w:pPr>
            <w:r w:rsidRPr="00A216AD">
              <w:rPr>
                <w:rFonts w:cs="Arial" w:asciiTheme="minorHAnsi" w:hAnsiTheme="minorHAnsi"/>
                <w:b/>
                <w:bCs/>
                <w:sz w:val="20"/>
              </w:rPr>
              <w:t xml:space="preserve">           </w:t>
            </w:r>
          </w:p>
        </w:tc>
        <w:tc>
          <w:tcPr>
            <w:tcW w:w="3985" w:type="pct"/>
          </w:tcPr>
          <w:p w:rsidRPr="00A216AD" w:rsidR="00E940B8" w:rsidP="0059793A" w:rsidRDefault="00E940B8" w14:paraId="02FB16DF" w14:textId="77777777">
            <w:pPr>
              <w:pStyle w:val="BodyText"/>
              <w:rPr>
                <w:rFonts w:cs="Arial" w:asciiTheme="minorHAnsi" w:hAnsiTheme="minorHAnsi"/>
                <w:b/>
                <w:sz w:val="20"/>
              </w:rPr>
            </w:pPr>
            <w:r w:rsidRPr="00A216AD">
              <w:rPr>
                <w:rFonts w:cs="Arial" w:asciiTheme="minorHAnsi" w:hAnsiTheme="minorHAnsi"/>
                <w:b/>
                <w:sz w:val="20"/>
              </w:rPr>
              <w:t>Calcium gluconate − IV intermittent</w:t>
            </w:r>
          </w:p>
          <w:p w:rsidRPr="00A216AD" w:rsidR="00E940B8" w:rsidP="0059793A" w:rsidRDefault="00E940B8" w14:paraId="75A92A7F" w14:textId="77777777">
            <w:pPr>
              <w:pStyle w:val="BodyText"/>
              <w:rPr>
                <w:rFonts w:cs="Arial" w:asciiTheme="minorHAnsi" w:hAnsiTheme="minorHAnsi"/>
                <w:sz w:val="20"/>
              </w:rPr>
            </w:pPr>
            <w:r w:rsidRPr="00A216AD">
              <w:rPr>
                <w:rFonts w:cs="Arial" w:asciiTheme="minorHAnsi" w:hAnsiTheme="minorHAnsi"/>
                <w:sz w:val="20"/>
              </w:rPr>
              <w:t xml:space="preserve">Draw up 4.5 mL (1.0 mmol) and add 5.5 mL of sodium chloride 0.9%, glucose 5% or glucose 10% to make a final volume of 10 mL with a concentration of 0.1 mmol/mL. Infuse dose over 10−60 minutes via a central line (if possible). </w:t>
            </w:r>
          </w:p>
          <w:p w:rsidRPr="00A216AD" w:rsidR="00E940B8" w:rsidP="0059793A" w:rsidRDefault="00E940B8" w14:paraId="75D040E6" w14:textId="77777777">
            <w:pPr>
              <w:pStyle w:val="BodyText"/>
              <w:rPr>
                <w:rFonts w:cs="Arial" w:asciiTheme="minorHAnsi" w:hAnsiTheme="minorHAnsi"/>
                <w:sz w:val="20"/>
              </w:rPr>
            </w:pPr>
          </w:p>
          <w:p w:rsidRPr="00A216AD" w:rsidR="00E940B8" w:rsidP="0059793A" w:rsidRDefault="00E940B8" w14:paraId="5156A493" w14:textId="77777777">
            <w:pPr>
              <w:pStyle w:val="BodyText"/>
              <w:rPr>
                <w:rFonts w:cs="Arial" w:asciiTheme="minorHAnsi" w:hAnsiTheme="minorHAnsi"/>
                <w:b/>
                <w:sz w:val="20"/>
              </w:rPr>
            </w:pPr>
            <w:r w:rsidRPr="00A216AD">
              <w:rPr>
                <w:rFonts w:cs="Arial" w:asciiTheme="minorHAnsi" w:hAnsiTheme="minorHAnsi"/>
                <w:b/>
                <w:sz w:val="20"/>
              </w:rPr>
              <w:t>Calcium gluconate – cardiac arrest</w:t>
            </w:r>
            <w:r>
              <w:rPr>
                <w:rFonts w:cs="Arial" w:asciiTheme="minorHAnsi" w:hAnsiTheme="minorHAnsi"/>
                <w:b/>
                <w:sz w:val="20"/>
              </w:rPr>
              <w:t xml:space="preserve"> (secondary to </w:t>
            </w:r>
            <w:r w:rsidRPr="00A119D1">
              <w:rPr>
                <w:rFonts w:cs="Arial" w:asciiTheme="minorHAnsi" w:hAnsiTheme="minorHAnsi"/>
                <w:b/>
                <w:sz w:val="20"/>
              </w:rPr>
              <w:t>hyperkalaemia, hypocalcaemia, hypermagnesaemia or calcium</w:t>
            </w:r>
            <w:r>
              <w:rPr>
                <w:rFonts w:cs="Arial" w:asciiTheme="minorHAnsi" w:hAnsiTheme="minorHAnsi"/>
                <w:b/>
                <w:sz w:val="20"/>
              </w:rPr>
              <w:t xml:space="preserve"> </w:t>
            </w:r>
            <w:r w:rsidRPr="00A119D1">
              <w:rPr>
                <w:rFonts w:cs="Arial" w:asciiTheme="minorHAnsi" w:hAnsiTheme="minorHAnsi"/>
                <w:b/>
                <w:sz w:val="20"/>
              </w:rPr>
              <w:t>channel blocker</w:t>
            </w:r>
            <w:r>
              <w:rPr>
                <w:rFonts w:cs="Arial" w:asciiTheme="minorHAnsi" w:hAnsiTheme="minorHAnsi"/>
                <w:b/>
                <w:sz w:val="20"/>
              </w:rPr>
              <w:t>)</w:t>
            </w:r>
          </w:p>
          <w:p w:rsidRPr="00A216AD" w:rsidR="00E940B8" w:rsidP="0059793A" w:rsidRDefault="00E940B8" w14:paraId="03F48056" w14:textId="77777777">
            <w:pPr>
              <w:pStyle w:val="BodyText"/>
              <w:rPr>
                <w:rFonts w:cs="Arial" w:asciiTheme="minorHAnsi" w:hAnsiTheme="minorHAnsi"/>
                <w:sz w:val="20"/>
              </w:rPr>
            </w:pPr>
            <w:r w:rsidRPr="00A216AD">
              <w:rPr>
                <w:rFonts w:cs="Arial" w:asciiTheme="minorHAnsi" w:hAnsiTheme="minorHAnsi"/>
                <w:sz w:val="20"/>
              </w:rPr>
              <w:lastRenderedPageBreak/>
              <w:t>Infuse undiluted over 5 – 10 minutes via a central line (if possible).</w:t>
            </w:r>
          </w:p>
        </w:tc>
      </w:tr>
      <w:tr w:rsidRPr="00933E45" w:rsidR="00E940B8" w:rsidTr="0059793A" w14:paraId="43549A4F" w14:textId="77777777">
        <w:trPr>
          <w:trHeight w:val="235"/>
        </w:trPr>
        <w:tc>
          <w:tcPr>
            <w:tcW w:w="1015" w:type="pct"/>
          </w:tcPr>
          <w:p w:rsidRPr="00933E45" w:rsidR="00E940B8" w:rsidP="0059793A" w:rsidRDefault="00E940B8" w14:paraId="5B4A985F" w14:textId="77777777">
            <w:pPr>
              <w:pStyle w:val="BodyText"/>
              <w:rPr>
                <w:rFonts w:cs="Arial" w:asciiTheme="minorHAnsi" w:hAnsiTheme="minorHAnsi"/>
                <w:b/>
                <w:bCs/>
                <w:sz w:val="20"/>
              </w:rPr>
            </w:pPr>
            <w:r w:rsidRPr="00933E45">
              <w:rPr>
                <w:rFonts w:cs="Arial" w:asciiTheme="minorHAnsi" w:hAnsiTheme="minorHAnsi"/>
                <w:b/>
                <w:bCs/>
                <w:sz w:val="20"/>
              </w:rPr>
              <w:lastRenderedPageBreak/>
              <w:t xml:space="preserve">Administration                 </w:t>
            </w:r>
          </w:p>
          <w:p w:rsidRPr="00933E45" w:rsidR="00E940B8" w:rsidP="0059793A" w:rsidRDefault="00E940B8" w14:paraId="57C453D2" w14:textId="77777777">
            <w:pPr>
              <w:pStyle w:val="BodyText"/>
              <w:rPr>
                <w:rFonts w:cs="Arial" w:asciiTheme="minorHAnsi" w:hAnsiTheme="minorHAnsi"/>
                <w:sz w:val="20"/>
              </w:rPr>
            </w:pPr>
          </w:p>
        </w:tc>
        <w:tc>
          <w:tcPr>
            <w:tcW w:w="3985" w:type="pct"/>
            <w:vAlign w:val="center"/>
          </w:tcPr>
          <w:p w:rsidRPr="00933E45" w:rsidR="00E940B8" w:rsidP="0059793A" w:rsidRDefault="00E940B8" w14:paraId="21D07AEE" w14:textId="77777777">
            <w:pPr>
              <w:pStyle w:val="BodyText"/>
              <w:rPr>
                <w:rFonts w:cs="Arial" w:asciiTheme="minorHAnsi" w:hAnsiTheme="minorHAnsi"/>
                <w:b/>
                <w:sz w:val="20"/>
              </w:rPr>
            </w:pPr>
            <w:r w:rsidRPr="00933E45">
              <w:rPr>
                <w:rFonts w:cs="Arial" w:asciiTheme="minorHAnsi" w:hAnsiTheme="minorHAnsi"/>
                <w:b/>
                <w:sz w:val="20"/>
              </w:rPr>
              <w:t>Calcium gluconate − IV intermittent</w:t>
            </w:r>
          </w:p>
          <w:p w:rsidRPr="00933E45" w:rsidR="00E940B8" w:rsidP="0059793A" w:rsidRDefault="00E940B8" w14:paraId="5608B58E" w14:textId="77777777">
            <w:pPr>
              <w:pStyle w:val="BodyText"/>
              <w:rPr>
                <w:rFonts w:cs="Arial" w:asciiTheme="minorHAnsi" w:hAnsiTheme="minorHAnsi"/>
                <w:sz w:val="20"/>
              </w:rPr>
            </w:pPr>
            <w:r w:rsidRPr="00933E45">
              <w:rPr>
                <w:rFonts w:cs="Arial" w:asciiTheme="minorHAnsi" w:hAnsiTheme="minorHAnsi"/>
                <w:sz w:val="20"/>
              </w:rPr>
              <w:t>In cardiac arrest secondary to hypocalcaemia, hyperkalaemia, magnesium toxicity or calcium channel blocker overdose, calcium may be given by rapid intravenous injection.</w:t>
            </w:r>
          </w:p>
          <w:p w:rsidRPr="00933E45" w:rsidR="00E940B8" w:rsidP="0059793A" w:rsidRDefault="00E940B8" w14:paraId="2729F229" w14:textId="77777777">
            <w:pPr>
              <w:pStyle w:val="BodyText"/>
              <w:rPr>
                <w:rFonts w:cs="Arial" w:asciiTheme="minorHAnsi" w:hAnsiTheme="minorHAnsi"/>
                <w:sz w:val="20"/>
              </w:rPr>
            </w:pPr>
            <w:r w:rsidRPr="00933E45">
              <w:rPr>
                <w:rFonts w:cs="Arial" w:asciiTheme="minorHAnsi" w:hAnsiTheme="minorHAnsi"/>
                <w:sz w:val="20"/>
              </w:rPr>
              <w:t>In the presence of a spontaneous circulation give it slowly. Infuse dose over 10−60 minutes (5-10 minutes in cardiac arrest) via a central line (if possible and compatibilities permit). If NO central access is available, consult the Neonatologist on service before administering via peripheral route. If administering peripherally give via a large vein.</w:t>
            </w:r>
          </w:p>
          <w:p w:rsidRPr="00933E45" w:rsidR="00E940B8" w:rsidP="0059793A" w:rsidRDefault="00E940B8" w14:paraId="0F3BE61D" w14:textId="77777777">
            <w:pPr>
              <w:pStyle w:val="BodyText"/>
              <w:rPr>
                <w:rFonts w:cs="Arial" w:asciiTheme="minorHAnsi" w:hAnsiTheme="minorHAnsi"/>
                <w:sz w:val="20"/>
              </w:rPr>
            </w:pPr>
            <w:r w:rsidRPr="00933E45">
              <w:rPr>
                <w:rFonts w:cs="Arial" w:asciiTheme="minorHAnsi" w:hAnsiTheme="minorHAnsi"/>
                <w:sz w:val="20"/>
              </w:rPr>
              <w:t>In poorly perfused patients, consider diluting the infusion further (two-fold) and infuse over at least TWO hours.</w:t>
            </w:r>
          </w:p>
          <w:p w:rsidRPr="00933E45" w:rsidR="00E940B8" w:rsidP="0059793A" w:rsidRDefault="00E940B8" w14:paraId="07F7AA80" w14:textId="77777777">
            <w:pPr>
              <w:pStyle w:val="BodyText"/>
              <w:rPr>
                <w:rFonts w:cs="Arial" w:asciiTheme="minorHAnsi" w:hAnsiTheme="minorHAnsi"/>
                <w:sz w:val="20"/>
              </w:rPr>
            </w:pPr>
            <w:r w:rsidRPr="00933E45">
              <w:rPr>
                <w:rFonts w:cs="Arial" w:asciiTheme="minorHAnsi" w:hAnsiTheme="minorHAnsi"/>
                <w:sz w:val="20"/>
              </w:rPr>
              <w:t>MUST NOT be injected intra-arterially, intramuscularly or subcutaneously.</w:t>
            </w:r>
          </w:p>
        </w:tc>
      </w:tr>
      <w:tr w:rsidRPr="00933E45" w:rsidR="00E940B8" w:rsidTr="0059793A" w14:paraId="7C8C7B27" w14:textId="77777777">
        <w:trPr>
          <w:trHeight w:val="436"/>
        </w:trPr>
        <w:tc>
          <w:tcPr>
            <w:tcW w:w="1015" w:type="pct"/>
          </w:tcPr>
          <w:p w:rsidRPr="00933E45" w:rsidR="00E940B8" w:rsidP="0059793A" w:rsidRDefault="00E940B8" w14:paraId="1FB0B02D" w14:textId="77777777">
            <w:pPr>
              <w:pStyle w:val="BodyText"/>
              <w:rPr>
                <w:rFonts w:cs="Arial" w:asciiTheme="minorHAnsi" w:hAnsiTheme="minorHAnsi"/>
                <w:b/>
                <w:bCs/>
                <w:sz w:val="20"/>
              </w:rPr>
            </w:pPr>
            <w:r w:rsidRPr="00933E45">
              <w:rPr>
                <w:rFonts w:cs="Arial" w:asciiTheme="minorHAnsi" w:hAnsiTheme="minorHAnsi"/>
                <w:b/>
                <w:bCs/>
                <w:sz w:val="20"/>
              </w:rPr>
              <w:t xml:space="preserve">Monitoring                              </w:t>
            </w:r>
          </w:p>
          <w:p w:rsidRPr="00933E45" w:rsidR="00E940B8" w:rsidP="0059793A" w:rsidRDefault="00E940B8" w14:paraId="58638244" w14:textId="77777777">
            <w:pPr>
              <w:pStyle w:val="BodyText"/>
              <w:rPr>
                <w:rFonts w:cs="Arial" w:asciiTheme="minorHAnsi" w:hAnsiTheme="minorHAnsi"/>
                <w:sz w:val="20"/>
              </w:rPr>
            </w:pPr>
          </w:p>
        </w:tc>
        <w:tc>
          <w:tcPr>
            <w:tcW w:w="3985" w:type="pct"/>
          </w:tcPr>
          <w:p w:rsidRPr="00933E45" w:rsidR="00E940B8" w:rsidP="0059793A" w:rsidRDefault="00E940B8" w14:paraId="7C895553" w14:textId="77777777">
            <w:pPr>
              <w:pStyle w:val="BodyText"/>
              <w:rPr>
                <w:rFonts w:cs="Arial" w:asciiTheme="minorHAnsi" w:hAnsiTheme="minorHAnsi"/>
                <w:sz w:val="20"/>
              </w:rPr>
            </w:pPr>
            <w:r w:rsidRPr="00933E45">
              <w:rPr>
                <w:rFonts w:cs="Arial" w:asciiTheme="minorHAnsi" w:hAnsiTheme="minorHAnsi"/>
                <w:sz w:val="20"/>
              </w:rPr>
              <w:t>Continuous ECG monitoring to monitor heart rate and rhythm (stop infusion if HR &lt; 100 bpm).</w:t>
            </w:r>
          </w:p>
          <w:p w:rsidRPr="00933E45" w:rsidR="00E940B8" w:rsidP="0059793A" w:rsidRDefault="00E940B8" w14:paraId="3B9B3D33" w14:textId="77777777">
            <w:pPr>
              <w:pStyle w:val="BodyText"/>
              <w:rPr>
                <w:rFonts w:cs="Arial" w:asciiTheme="minorHAnsi" w:hAnsiTheme="minorHAnsi"/>
                <w:sz w:val="20"/>
              </w:rPr>
            </w:pPr>
            <w:r w:rsidRPr="00933E45">
              <w:rPr>
                <w:rFonts w:cs="Arial" w:asciiTheme="minorHAnsi" w:hAnsiTheme="minorHAnsi"/>
                <w:sz w:val="20"/>
              </w:rPr>
              <w:t>Measurement of ionised calcium preferred over total calcium.</w:t>
            </w:r>
          </w:p>
          <w:p w:rsidRPr="00933E45" w:rsidR="00E940B8" w:rsidP="0059793A" w:rsidRDefault="00E940B8" w14:paraId="4D87A4AB" w14:textId="77777777">
            <w:pPr>
              <w:pStyle w:val="BodyText"/>
              <w:rPr>
                <w:rFonts w:cs="Arial" w:asciiTheme="minorHAnsi" w:hAnsiTheme="minorHAnsi"/>
                <w:sz w:val="20"/>
              </w:rPr>
            </w:pPr>
            <w:r w:rsidRPr="00933E45">
              <w:rPr>
                <w:rFonts w:cs="Arial" w:asciiTheme="minorHAnsi" w:hAnsiTheme="minorHAnsi"/>
                <w:sz w:val="20"/>
              </w:rPr>
              <w:t>Blood gas machines measure ionised calcium directly and are more accurate than the main pathology laboratory which calculates the ionised calcium from a complex formula.</w:t>
            </w:r>
          </w:p>
          <w:p w:rsidRPr="00933E45" w:rsidR="00E940B8" w:rsidP="0059793A" w:rsidRDefault="00E940B8" w14:paraId="67C51779" w14:textId="77777777">
            <w:pPr>
              <w:pStyle w:val="BodyText"/>
              <w:rPr>
                <w:rFonts w:cs="Arial" w:asciiTheme="minorHAnsi" w:hAnsiTheme="minorHAnsi"/>
                <w:sz w:val="20"/>
              </w:rPr>
            </w:pPr>
            <w:r w:rsidRPr="00933E45">
              <w:rPr>
                <w:rFonts w:cs="Arial" w:asciiTheme="minorHAnsi" w:hAnsiTheme="minorHAnsi"/>
                <w:sz w:val="20"/>
              </w:rPr>
              <w:t>Observe IV tubing for precipitates.</w:t>
            </w:r>
          </w:p>
          <w:p w:rsidRPr="00933E45" w:rsidR="00E940B8" w:rsidP="0059793A" w:rsidRDefault="00E940B8" w14:paraId="0F22779E" w14:textId="77777777">
            <w:pPr>
              <w:pStyle w:val="BodyText"/>
              <w:rPr>
                <w:rFonts w:cs="Arial" w:asciiTheme="minorHAnsi" w:hAnsiTheme="minorHAnsi"/>
                <w:sz w:val="20"/>
              </w:rPr>
            </w:pPr>
            <w:r w:rsidRPr="00933E45">
              <w:rPr>
                <w:rFonts w:cs="Arial" w:asciiTheme="minorHAnsi" w:hAnsiTheme="minorHAnsi"/>
                <w:sz w:val="20"/>
              </w:rPr>
              <w:t>Observe IV insertion site for extravasation.</w:t>
            </w:r>
          </w:p>
          <w:p w:rsidRPr="00933E45" w:rsidR="00E940B8" w:rsidP="0059793A" w:rsidRDefault="00E940B8" w14:paraId="3853A923" w14:textId="77777777">
            <w:pPr>
              <w:pStyle w:val="BodyText"/>
              <w:rPr>
                <w:rFonts w:cs="Arial" w:asciiTheme="minorHAnsi" w:hAnsiTheme="minorHAnsi"/>
                <w:sz w:val="20"/>
              </w:rPr>
            </w:pPr>
            <w:r w:rsidRPr="00933E45">
              <w:rPr>
                <w:rFonts w:cs="Arial" w:asciiTheme="minorHAnsi" w:hAnsiTheme="minorHAnsi"/>
                <w:sz w:val="20"/>
              </w:rPr>
              <w:t>Correct hypomagnesaemia if present.</w:t>
            </w:r>
          </w:p>
        </w:tc>
      </w:tr>
      <w:tr w:rsidRPr="00933E45" w:rsidR="00E940B8" w:rsidTr="0059793A" w14:paraId="418858A0" w14:textId="77777777">
        <w:trPr>
          <w:trHeight w:val="330"/>
        </w:trPr>
        <w:tc>
          <w:tcPr>
            <w:tcW w:w="1015" w:type="pct"/>
          </w:tcPr>
          <w:p w:rsidRPr="00933E45" w:rsidR="00E940B8" w:rsidP="0059793A" w:rsidRDefault="00E940B8" w14:paraId="345D8666" w14:textId="77777777">
            <w:pPr>
              <w:pStyle w:val="BodyText"/>
              <w:rPr>
                <w:rFonts w:cs="Arial" w:asciiTheme="minorHAnsi" w:hAnsiTheme="minorHAnsi"/>
                <w:sz w:val="20"/>
              </w:rPr>
            </w:pPr>
            <w:r w:rsidRPr="00933E45">
              <w:rPr>
                <w:rFonts w:cs="Arial" w:asciiTheme="minorHAnsi" w:hAnsiTheme="minorHAnsi"/>
                <w:b/>
                <w:bCs/>
                <w:sz w:val="20"/>
              </w:rPr>
              <w:t>Contraindications</w:t>
            </w:r>
          </w:p>
        </w:tc>
        <w:tc>
          <w:tcPr>
            <w:tcW w:w="3985" w:type="pct"/>
          </w:tcPr>
          <w:p w:rsidRPr="00933E45" w:rsidR="00E940B8" w:rsidP="0059793A" w:rsidRDefault="00E940B8" w14:paraId="02F9BB05" w14:textId="77777777">
            <w:pPr>
              <w:pStyle w:val="BodyText"/>
              <w:rPr>
                <w:rFonts w:cs="Arial" w:asciiTheme="minorHAnsi" w:hAnsiTheme="minorHAnsi"/>
                <w:sz w:val="20"/>
              </w:rPr>
            </w:pPr>
            <w:r w:rsidRPr="00933E45">
              <w:rPr>
                <w:rFonts w:cs="Arial" w:asciiTheme="minorHAnsi" w:hAnsiTheme="minorHAnsi"/>
                <w:sz w:val="20"/>
              </w:rPr>
              <w:t>Caution in patients with renal or cardiac impairment.</w:t>
            </w:r>
          </w:p>
        </w:tc>
      </w:tr>
      <w:tr w:rsidRPr="00933E45" w:rsidR="00E940B8" w:rsidTr="0059793A" w14:paraId="5E7D30C3" w14:textId="77777777">
        <w:tc>
          <w:tcPr>
            <w:tcW w:w="1015" w:type="pct"/>
          </w:tcPr>
          <w:p w:rsidRPr="00933E45" w:rsidR="00E940B8" w:rsidP="0059793A" w:rsidRDefault="00E940B8" w14:paraId="26BCD99B" w14:textId="77777777">
            <w:pPr>
              <w:pStyle w:val="BodyText"/>
              <w:rPr>
                <w:rFonts w:cs="Arial" w:asciiTheme="minorHAnsi" w:hAnsiTheme="minorHAnsi"/>
                <w:b/>
                <w:bCs/>
                <w:sz w:val="20"/>
              </w:rPr>
            </w:pPr>
            <w:r w:rsidRPr="00933E45">
              <w:rPr>
                <w:rFonts w:asciiTheme="minorHAnsi" w:hAnsiTheme="minorHAnsi"/>
                <w:sz w:val="20"/>
              </w:rPr>
              <w:br w:type="page"/>
            </w:r>
            <w:r w:rsidRPr="00933E45">
              <w:rPr>
                <w:rFonts w:cs="Arial" w:asciiTheme="minorHAnsi" w:hAnsiTheme="minorHAnsi"/>
                <w:b/>
                <w:bCs/>
                <w:sz w:val="20"/>
              </w:rPr>
              <w:t>Precautions</w:t>
            </w:r>
          </w:p>
        </w:tc>
        <w:tc>
          <w:tcPr>
            <w:tcW w:w="3985" w:type="pct"/>
          </w:tcPr>
          <w:p w:rsidRPr="00933E45" w:rsidR="00E940B8" w:rsidP="0059793A" w:rsidRDefault="00E940B8" w14:paraId="35F4D3DE" w14:textId="77777777">
            <w:pPr>
              <w:pStyle w:val="BodyText"/>
              <w:rPr>
                <w:rFonts w:cs="Arial" w:asciiTheme="minorHAnsi" w:hAnsiTheme="minorHAnsi"/>
                <w:sz w:val="20"/>
              </w:rPr>
            </w:pPr>
            <w:r w:rsidRPr="00933E45">
              <w:rPr>
                <w:rFonts w:cs="Arial" w:asciiTheme="minorHAnsi" w:hAnsiTheme="minorHAnsi"/>
                <w:sz w:val="20"/>
              </w:rPr>
              <w:t>Do not give calcium solutions and sodium bicarbonate simultaneously by the same route to avoid precipitation.</w:t>
            </w:r>
          </w:p>
          <w:p w:rsidRPr="00933E45" w:rsidR="00E940B8" w:rsidP="0059793A" w:rsidRDefault="00E940B8" w14:paraId="0C70CD35" w14:textId="77777777">
            <w:pPr>
              <w:pStyle w:val="BodyText"/>
              <w:rPr>
                <w:rFonts w:cs="Arial" w:asciiTheme="minorHAnsi" w:hAnsiTheme="minorHAnsi"/>
                <w:sz w:val="20"/>
              </w:rPr>
            </w:pPr>
            <w:r w:rsidRPr="00933E45">
              <w:rPr>
                <w:rFonts w:cs="Arial" w:asciiTheme="minorHAnsi" w:hAnsiTheme="minorHAnsi"/>
                <w:sz w:val="20"/>
              </w:rPr>
              <w:t>Ensure IV calcium is administered at a different time to phosphates, carbonates, sulfates or tartrates (precipitates can occur).</w:t>
            </w:r>
          </w:p>
        </w:tc>
      </w:tr>
      <w:tr w:rsidRPr="00933E45" w:rsidR="00E940B8" w:rsidTr="0059793A" w14:paraId="78B17BC1" w14:textId="77777777">
        <w:trPr>
          <w:trHeight w:val="235"/>
        </w:trPr>
        <w:tc>
          <w:tcPr>
            <w:tcW w:w="1015" w:type="pct"/>
          </w:tcPr>
          <w:p w:rsidRPr="00933E45" w:rsidR="00E940B8" w:rsidP="0059793A" w:rsidRDefault="00E940B8" w14:paraId="03C47FC3" w14:textId="77777777">
            <w:pPr>
              <w:pStyle w:val="BodyText"/>
              <w:rPr>
                <w:rFonts w:cs="Arial" w:asciiTheme="minorHAnsi" w:hAnsiTheme="minorHAnsi"/>
                <w:b/>
                <w:bCs/>
                <w:sz w:val="20"/>
              </w:rPr>
            </w:pPr>
            <w:r w:rsidRPr="00933E45">
              <w:rPr>
                <w:rFonts w:cs="Arial" w:asciiTheme="minorHAnsi" w:hAnsiTheme="minorHAnsi"/>
                <w:b/>
                <w:bCs/>
                <w:sz w:val="20"/>
              </w:rPr>
              <w:t>Drug Interactions</w:t>
            </w:r>
          </w:p>
        </w:tc>
        <w:tc>
          <w:tcPr>
            <w:tcW w:w="3985" w:type="pct"/>
          </w:tcPr>
          <w:p w:rsidRPr="00933E45" w:rsidR="00E940B8" w:rsidP="0059793A" w:rsidRDefault="00E940B8" w14:paraId="246603EE" w14:textId="77777777">
            <w:pPr>
              <w:pStyle w:val="BodyText"/>
              <w:rPr>
                <w:rFonts w:asciiTheme="minorHAnsi" w:hAnsiTheme="minorHAnsi"/>
                <w:sz w:val="20"/>
              </w:rPr>
            </w:pPr>
            <w:r w:rsidRPr="00933E45">
              <w:rPr>
                <w:rFonts w:asciiTheme="minorHAnsi" w:hAnsiTheme="minorHAnsi"/>
                <w:sz w:val="20"/>
              </w:rPr>
              <w:t>Ceftriaxone (may cause insoluble precipitates and can be fatal), digoxin (serious risk of arrhythmia and cardiovascular collapse), thiazide diuretics (increased risk of hypercalcaemia), ketoconazole (decreased ketoconazole effect).</w:t>
            </w:r>
          </w:p>
        </w:tc>
      </w:tr>
      <w:tr w:rsidRPr="00933E45" w:rsidR="00E940B8" w:rsidTr="0059793A" w14:paraId="164B8FE2" w14:textId="77777777">
        <w:trPr>
          <w:trHeight w:val="878"/>
        </w:trPr>
        <w:tc>
          <w:tcPr>
            <w:tcW w:w="1015" w:type="pct"/>
          </w:tcPr>
          <w:p w:rsidRPr="00933E45" w:rsidR="00E940B8" w:rsidP="0059793A" w:rsidRDefault="00E940B8" w14:paraId="4BE58117" w14:textId="77777777">
            <w:pPr>
              <w:pStyle w:val="BodyText"/>
              <w:rPr>
                <w:rFonts w:cs="Arial" w:asciiTheme="minorHAnsi" w:hAnsiTheme="minorHAnsi"/>
                <w:b/>
                <w:bCs/>
                <w:sz w:val="20"/>
              </w:rPr>
            </w:pPr>
            <w:r w:rsidRPr="00933E45">
              <w:rPr>
                <w:rFonts w:cs="Arial" w:asciiTheme="minorHAnsi" w:hAnsiTheme="minorHAnsi"/>
                <w:b/>
                <w:bCs/>
                <w:sz w:val="20"/>
              </w:rPr>
              <w:t xml:space="preserve">Adverse Reactions         </w:t>
            </w:r>
          </w:p>
          <w:p w:rsidRPr="00933E45" w:rsidR="00E940B8" w:rsidP="0059793A" w:rsidRDefault="00E940B8" w14:paraId="3E963170" w14:textId="77777777">
            <w:pPr>
              <w:pStyle w:val="BodyText"/>
              <w:rPr>
                <w:rFonts w:cs="Arial" w:asciiTheme="minorHAnsi" w:hAnsiTheme="minorHAnsi"/>
                <w:b/>
                <w:bCs/>
                <w:sz w:val="20"/>
              </w:rPr>
            </w:pPr>
          </w:p>
        </w:tc>
        <w:tc>
          <w:tcPr>
            <w:tcW w:w="3985" w:type="pct"/>
          </w:tcPr>
          <w:p w:rsidRPr="00933E45" w:rsidR="00E940B8" w:rsidP="0059793A" w:rsidRDefault="00E940B8" w14:paraId="22F3669D" w14:textId="77777777">
            <w:pPr>
              <w:pStyle w:val="BodyText"/>
              <w:rPr>
                <w:rFonts w:asciiTheme="minorHAnsi" w:hAnsiTheme="minorHAnsi"/>
                <w:sz w:val="20"/>
              </w:rPr>
            </w:pPr>
            <w:r w:rsidRPr="00933E45">
              <w:rPr>
                <w:rFonts w:asciiTheme="minorHAnsi" w:hAnsiTheme="minorHAnsi"/>
                <w:sz w:val="20"/>
              </w:rPr>
              <w:t>Rapid administration is associated with bradycardia or asystole.</w:t>
            </w:r>
            <w:r w:rsidRPr="00933E45">
              <w:rPr>
                <w:rFonts w:asciiTheme="minorHAnsi" w:hAnsiTheme="minorHAnsi"/>
                <w:sz w:val="20"/>
              </w:rPr>
              <w:br/>
            </w:r>
            <w:r w:rsidRPr="00933E45">
              <w:rPr>
                <w:rFonts w:asciiTheme="minorHAnsi" w:hAnsiTheme="minorHAnsi"/>
                <w:sz w:val="20"/>
              </w:rPr>
              <w:t>Rash, pain, burning at injection site, cutaneous necrosis with extravasation (give via central line unless otherwise instructed by a neonatologist)</w:t>
            </w:r>
            <w:r w:rsidRPr="00933E45">
              <w:rPr>
                <w:rFonts w:asciiTheme="minorHAnsi" w:hAnsiTheme="minorHAnsi"/>
                <w:sz w:val="20"/>
              </w:rPr>
              <w:br/>
            </w:r>
            <w:r w:rsidRPr="00933E45">
              <w:rPr>
                <w:rFonts w:asciiTheme="minorHAnsi" w:hAnsiTheme="minorHAnsi"/>
                <w:sz w:val="20"/>
              </w:rPr>
              <w:t>Nephrolithiasis with long-term use.</w:t>
            </w:r>
          </w:p>
          <w:p w:rsidRPr="00933E45" w:rsidR="00E940B8" w:rsidP="0059793A" w:rsidRDefault="00E940B8" w14:paraId="6EB44F1A" w14:textId="77777777">
            <w:pPr>
              <w:pStyle w:val="BodyText"/>
              <w:rPr>
                <w:rFonts w:cs="Arial" w:asciiTheme="minorHAnsi" w:hAnsiTheme="minorHAnsi"/>
                <w:sz w:val="20"/>
              </w:rPr>
            </w:pPr>
            <w:r w:rsidRPr="00933E45">
              <w:rPr>
                <w:rFonts w:asciiTheme="minorHAnsi" w:hAnsiTheme="minorHAnsi"/>
                <w:sz w:val="20"/>
              </w:rPr>
              <w:t>Gastric irritation, diarrhoea and NEC have occurred during oral therapy with hyperosmolar preparations (must be diluted if used orally. See separate guideline Calcium - ORAL)</w:t>
            </w:r>
          </w:p>
        </w:tc>
      </w:tr>
      <w:tr w:rsidRPr="00933E45" w:rsidR="00E940B8" w:rsidTr="0059793A" w14:paraId="3F581D27" w14:textId="77777777">
        <w:trPr>
          <w:trHeight w:val="714"/>
        </w:trPr>
        <w:tc>
          <w:tcPr>
            <w:tcW w:w="1015" w:type="pct"/>
          </w:tcPr>
          <w:p w:rsidRPr="00933E45" w:rsidR="00E940B8" w:rsidP="0059793A" w:rsidRDefault="00E940B8" w14:paraId="6BDB9941" w14:textId="77777777">
            <w:pPr>
              <w:pStyle w:val="BodyText"/>
              <w:rPr>
                <w:rFonts w:cs="Arial" w:asciiTheme="minorHAnsi" w:hAnsiTheme="minorHAnsi"/>
                <w:b/>
                <w:bCs/>
                <w:sz w:val="20"/>
              </w:rPr>
            </w:pPr>
            <w:r w:rsidRPr="00933E45">
              <w:rPr>
                <w:rFonts w:cs="Arial" w:asciiTheme="minorHAnsi" w:hAnsiTheme="minorHAnsi"/>
                <w:b/>
                <w:bCs/>
                <w:sz w:val="20"/>
              </w:rPr>
              <w:t>Compatibility</w:t>
            </w:r>
          </w:p>
          <w:p w:rsidRPr="00933E45" w:rsidR="00E940B8" w:rsidP="0059793A" w:rsidRDefault="00E940B8" w14:paraId="62934FBE" w14:textId="77777777">
            <w:pPr>
              <w:pStyle w:val="BodyText"/>
              <w:rPr>
                <w:rFonts w:cs="Arial" w:asciiTheme="minorHAnsi" w:hAnsiTheme="minorHAnsi"/>
                <w:b/>
                <w:bCs/>
                <w:sz w:val="20"/>
              </w:rPr>
            </w:pPr>
          </w:p>
        </w:tc>
        <w:tc>
          <w:tcPr>
            <w:tcW w:w="3985" w:type="pct"/>
          </w:tcPr>
          <w:p w:rsidRPr="00933E45" w:rsidR="00E940B8" w:rsidP="0059793A" w:rsidRDefault="00E940B8" w14:paraId="4867130D" w14:textId="77777777">
            <w:pPr>
              <w:pStyle w:val="BodyText"/>
              <w:rPr>
                <w:rFonts w:asciiTheme="minorHAnsi" w:hAnsiTheme="minorHAnsi"/>
                <w:sz w:val="20"/>
              </w:rPr>
            </w:pPr>
            <w:r w:rsidRPr="00933E45">
              <w:rPr>
                <w:rFonts w:asciiTheme="minorHAnsi" w:hAnsiTheme="minorHAnsi"/>
                <w:sz w:val="20"/>
              </w:rPr>
              <w:t>Fluids: Glucose 5%, glucose 10%, Hartmann’s, sodium chloride 0.9%</w:t>
            </w:r>
            <w:r w:rsidRPr="00933E45">
              <w:rPr>
                <w:rFonts w:asciiTheme="minorHAnsi" w:hAnsiTheme="minorHAnsi"/>
                <w:sz w:val="20"/>
              </w:rPr>
              <w:br/>
            </w:r>
          </w:p>
          <w:p w:rsidRPr="00933E45" w:rsidR="00E940B8" w:rsidP="0059793A" w:rsidRDefault="00E940B8" w14:paraId="3552AA32" w14:textId="77777777">
            <w:pPr>
              <w:pStyle w:val="BodyText"/>
              <w:rPr>
                <w:rFonts w:cs="Arial" w:asciiTheme="minorHAnsi" w:hAnsiTheme="minorHAnsi"/>
                <w:sz w:val="20"/>
              </w:rPr>
            </w:pPr>
            <w:r w:rsidRPr="00933E45">
              <w:rPr>
                <w:rFonts w:asciiTheme="minorHAnsi" w:hAnsiTheme="minorHAnsi"/>
                <w:sz w:val="20"/>
              </w:rPr>
              <w:t>Y-site: Amifostine, amiodarone, aztreonam, bivalirudin, ceftaroline fosamil, cisatracurium, dexmedetomidine, doripenem, filgrastim, granisetron, heparin sodium, hydrocortisone sodium succinate, labetalol, linezolid, midazolam, milrinone, piperacillin-tazobactam (EDTA-free), potassium chloride, remifentanil.</w:t>
            </w:r>
          </w:p>
        </w:tc>
      </w:tr>
      <w:tr w:rsidRPr="00933E45" w:rsidR="00E940B8" w:rsidTr="0059793A" w14:paraId="24896727" w14:textId="77777777">
        <w:trPr>
          <w:trHeight w:val="392"/>
        </w:trPr>
        <w:tc>
          <w:tcPr>
            <w:tcW w:w="1015" w:type="pct"/>
          </w:tcPr>
          <w:p w:rsidRPr="00933E45" w:rsidR="00E940B8" w:rsidP="0059793A" w:rsidRDefault="00E940B8" w14:paraId="3263249B" w14:textId="77777777">
            <w:pPr>
              <w:pStyle w:val="BodyText"/>
              <w:rPr>
                <w:rFonts w:cs="Arial" w:asciiTheme="minorHAnsi" w:hAnsiTheme="minorHAnsi"/>
                <w:b/>
                <w:bCs/>
                <w:sz w:val="20"/>
              </w:rPr>
            </w:pPr>
            <w:r w:rsidRPr="00933E45">
              <w:rPr>
                <w:rFonts w:cs="Arial" w:asciiTheme="minorHAnsi" w:hAnsiTheme="minorHAnsi"/>
                <w:b/>
                <w:bCs/>
                <w:sz w:val="20"/>
              </w:rPr>
              <w:t xml:space="preserve">Incompatibility  </w:t>
            </w:r>
          </w:p>
        </w:tc>
        <w:tc>
          <w:tcPr>
            <w:tcW w:w="3985" w:type="pct"/>
          </w:tcPr>
          <w:p w:rsidRPr="00933E45" w:rsidR="00E940B8" w:rsidP="0059793A" w:rsidRDefault="00E940B8" w14:paraId="20801412" w14:textId="77777777">
            <w:pPr>
              <w:pStyle w:val="BodyText"/>
              <w:rPr>
                <w:rFonts w:asciiTheme="minorHAnsi" w:hAnsiTheme="minorHAnsi"/>
                <w:sz w:val="20"/>
              </w:rPr>
            </w:pPr>
            <w:r w:rsidRPr="00933E45">
              <w:rPr>
                <w:rFonts w:asciiTheme="minorHAnsi" w:hAnsiTheme="minorHAnsi"/>
                <w:sz w:val="20"/>
              </w:rPr>
              <w:t xml:space="preserve">Fluids: Fat emulsion </w:t>
            </w:r>
          </w:p>
          <w:p w:rsidRPr="00933E45" w:rsidR="00E940B8" w:rsidP="0059793A" w:rsidRDefault="00E940B8" w14:paraId="6C8EAE22" w14:textId="77777777">
            <w:pPr>
              <w:pStyle w:val="BodyText"/>
              <w:rPr>
                <w:rFonts w:asciiTheme="minorHAnsi" w:hAnsiTheme="minorHAnsi"/>
                <w:sz w:val="20"/>
              </w:rPr>
            </w:pPr>
          </w:p>
          <w:p w:rsidRPr="00933E45" w:rsidR="00E940B8" w:rsidP="0059793A" w:rsidRDefault="00E940B8" w14:paraId="38BB4603" w14:textId="77777777">
            <w:pPr>
              <w:pStyle w:val="BodyText"/>
              <w:rPr>
                <w:rFonts w:asciiTheme="minorHAnsi" w:hAnsiTheme="minorHAnsi"/>
                <w:sz w:val="20"/>
              </w:rPr>
            </w:pPr>
            <w:r w:rsidRPr="00933E45">
              <w:rPr>
                <w:rFonts w:asciiTheme="minorHAnsi" w:hAnsiTheme="minorHAnsi"/>
                <w:sz w:val="20"/>
              </w:rPr>
              <w:t>Y-site: Adrenaline (epinephrine) hydrochloride, cefalotin, ceftriaxone, clindamycin, dexamethasone, dobutamine, flucloxacillin, fluconazole, foscarnet, indometacin, methylprednisolone sodium succinate, metoclopramide, mycophenolate mofetil, sodium bicarbonate, thiopentone, carbonate, phosphate and sulfate salts.</w:t>
            </w:r>
          </w:p>
          <w:p w:rsidRPr="00933E45" w:rsidR="00E940B8" w:rsidP="0059793A" w:rsidRDefault="00E940B8" w14:paraId="0379BE14" w14:textId="77777777">
            <w:pPr>
              <w:pStyle w:val="BodyText"/>
              <w:rPr>
                <w:rFonts w:asciiTheme="minorHAnsi" w:hAnsiTheme="minorHAnsi"/>
                <w:sz w:val="20"/>
              </w:rPr>
            </w:pPr>
          </w:p>
          <w:p w:rsidRPr="00933E45" w:rsidR="00E940B8" w:rsidP="0059793A" w:rsidRDefault="00E940B8" w14:paraId="707DC8B3" w14:textId="77777777">
            <w:pPr>
              <w:pStyle w:val="BodyText"/>
              <w:rPr>
                <w:rFonts w:cs="Arial" w:asciiTheme="minorHAnsi" w:hAnsiTheme="minorHAnsi"/>
                <w:sz w:val="20"/>
              </w:rPr>
            </w:pPr>
            <w:r w:rsidRPr="00933E45">
              <w:rPr>
                <w:rFonts w:asciiTheme="minorHAnsi" w:hAnsiTheme="minorHAnsi"/>
                <w:b/>
                <w:sz w:val="20"/>
              </w:rPr>
              <w:t>Do not mix with any medication that contains phosphates, carbonates, sulfates or tartrates.</w:t>
            </w:r>
          </w:p>
        </w:tc>
      </w:tr>
      <w:tr w:rsidRPr="00933E45" w:rsidR="00E940B8" w:rsidTr="0059793A" w14:paraId="1FCF2B12" w14:textId="77777777">
        <w:trPr>
          <w:trHeight w:val="483"/>
        </w:trPr>
        <w:tc>
          <w:tcPr>
            <w:tcW w:w="1015" w:type="pct"/>
          </w:tcPr>
          <w:p w:rsidRPr="00933E45" w:rsidR="00E940B8" w:rsidP="0059793A" w:rsidRDefault="00E940B8" w14:paraId="4646FAD7" w14:textId="77777777">
            <w:pPr>
              <w:pStyle w:val="BodyText"/>
              <w:rPr>
                <w:rFonts w:cs="Arial" w:asciiTheme="minorHAnsi" w:hAnsiTheme="minorHAnsi"/>
                <w:b/>
                <w:bCs/>
                <w:sz w:val="20"/>
              </w:rPr>
            </w:pPr>
            <w:r w:rsidRPr="00933E45">
              <w:rPr>
                <w:rFonts w:cs="Arial" w:asciiTheme="minorHAnsi" w:hAnsiTheme="minorHAnsi"/>
                <w:b/>
                <w:bCs/>
                <w:sz w:val="20"/>
              </w:rPr>
              <w:t xml:space="preserve">Stability                  </w:t>
            </w:r>
          </w:p>
        </w:tc>
        <w:tc>
          <w:tcPr>
            <w:tcW w:w="3985" w:type="pct"/>
          </w:tcPr>
          <w:p w:rsidRPr="00933E45" w:rsidR="00E940B8" w:rsidP="0059793A" w:rsidRDefault="00E940B8" w14:paraId="2C11E25F" w14:textId="77777777">
            <w:pPr>
              <w:pStyle w:val="BodyText"/>
              <w:rPr>
                <w:rFonts w:cs="Arial" w:asciiTheme="minorHAnsi" w:hAnsiTheme="minorHAnsi"/>
                <w:sz w:val="20"/>
              </w:rPr>
            </w:pPr>
            <w:r w:rsidRPr="00933E45">
              <w:rPr>
                <w:rFonts w:cs="Arial" w:asciiTheme="minorHAnsi" w:hAnsiTheme="minorHAnsi"/>
                <w:sz w:val="20"/>
              </w:rPr>
              <w:t>Calcium gluconate is a supersaturated solution and may precipitate in the vial at room temperature. Inspect the vial before use.</w:t>
            </w:r>
          </w:p>
          <w:p w:rsidRPr="00933E45" w:rsidR="00E940B8" w:rsidP="0059793A" w:rsidRDefault="00E940B8" w14:paraId="45262F4D" w14:textId="77777777">
            <w:pPr>
              <w:pStyle w:val="BodyText"/>
              <w:rPr>
                <w:rFonts w:cs="Arial" w:asciiTheme="minorHAnsi" w:hAnsiTheme="minorHAnsi"/>
                <w:sz w:val="20"/>
              </w:rPr>
            </w:pPr>
          </w:p>
          <w:p w:rsidRPr="00933E45" w:rsidR="00E940B8" w:rsidP="0059793A" w:rsidRDefault="00E940B8" w14:paraId="64F1802D" w14:textId="77777777">
            <w:pPr>
              <w:pStyle w:val="BodyText"/>
              <w:rPr>
                <w:rFonts w:cs="Arial" w:asciiTheme="minorHAnsi" w:hAnsiTheme="minorHAnsi"/>
                <w:sz w:val="20"/>
              </w:rPr>
            </w:pPr>
            <w:r w:rsidRPr="00933E45">
              <w:rPr>
                <w:rFonts w:cs="Arial" w:asciiTheme="minorHAnsi" w:hAnsiTheme="minorHAnsi"/>
                <w:sz w:val="20"/>
              </w:rPr>
              <w:lastRenderedPageBreak/>
              <w:t>IV diluted solution: Do not use if discoloured, cloudy, turbid or if a precipitate is present. Discard remaining solution after use.</w:t>
            </w:r>
          </w:p>
        </w:tc>
      </w:tr>
      <w:tr w:rsidRPr="00933E45" w:rsidR="00E940B8" w:rsidTr="0059793A" w14:paraId="2ECD27A3" w14:textId="77777777">
        <w:trPr>
          <w:trHeight w:val="234"/>
        </w:trPr>
        <w:tc>
          <w:tcPr>
            <w:tcW w:w="1015" w:type="pct"/>
          </w:tcPr>
          <w:p w:rsidRPr="00933E45" w:rsidR="00E940B8" w:rsidP="0059793A" w:rsidRDefault="00E940B8" w14:paraId="69B41A84" w14:textId="77777777">
            <w:pPr>
              <w:pStyle w:val="BodyText"/>
              <w:rPr>
                <w:rFonts w:cs="Arial" w:asciiTheme="minorHAnsi" w:hAnsiTheme="minorHAnsi"/>
                <w:b/>
                <w:bCs/>
                <w:sz w:val="20"/>
              </w:rPr>
            </w:pPr>
            <w:r w:rsidRPr="00933E45">
              <w:rPr>
                <w:rFonts w:cs="Arial" w:asciiTheme="minorHAnsi" w:hAnsiTheme="minorHAnsi"/>
                <w:b/>
                <w:bCs/>
                <w:sz w:val="20"/>
              </w:rPr>
              <w:lastRenderedPageBreak/>
              <w:t xml:space="preserve">Storage      </w:t>
            </w:r>
          </w:p>
        </w:tc>
        <w:tc>
          <w:tcPr>
            <w:tcW w:w="3985" w:type="pct"/>
          </w:tcPr>
          <w:p w:rsidRPr="00933E45" w:rsidR="00E940B8" w:rsidP="0059793A" w:rsidRDefault="00E940B8" w14:paraId="3D6A3702" w14:textId="77777777">
            <w:pPr>
              <w:pStyle w:val="BodyText"/>
              <w:rPr>
                <w:rFonts w:cs="Arial" w:asciiTheme="minorHAnsi" w:hAnsiTheme="minorHAnsi"/>
                <w:sz w:val="20"/>
              </w:rPr>
            </w:pPr>
            <w:r w:rsidRPr="00933E45">
              <w:rPr>
                <w:rFonts w:asciiTheme="minorHAnsi" w:hAnsiTheme="minorHAnsi"/>
                <w:sz w:val="20"/>
              </w:rPr>
              <w:t>Ampoule: Store below 25°C.</w:t>
            </w:r>
          </w:p>
        </w:tc>
      </w:tr>
      <w:tr w:rsidRPr="00933E45" w:rsidR="00E940B8" w:rsidTr="0059793A" w14:paraId="462ECB0D" w14:textId="77777777">
        <w:trPr>
          <w:trHeight w:val="885"/>
        </w:trPr>
        <w:tc>
          <w:tcPr>
            <w:tcW w:w="1015" w:type="pct"/>
          </w:tcPr>
          <w:p w:rsidRPr="00933E45" w:rsidR="00E940B8" w:rsidP="0059793A" w:rsidRDefault="00E940B8" w14:paraId="0F765EE0" w14:textId="77777777">
            <w:pPr>
              <w:pStyle w:val="BodyText"/>
              <w:rPr>
                <w:rFonts w:cs="Arial" w:asciiTheme="minorHAnsi" w:hAnsiTheme="minorHAnsi"/>
                <w:b/>
                <w:bCs/>
                <w:sz w:val="20"/>
              </w:rPr>
            </w:pPr>
            <w:r w:rsidRPr="00933E45">
              <w:rPr>
                <w:rFonts w:cs="Arial" w:asciiTheme="minorHAnsi" w:hAnsiTheme="minorHAnsi"/>
                <w:b/>
                <w:bCs/>
                <w:sz w:val="20"/>
              </w:rPr>
              <w:t xml:space="preserve">Special Comments       </w:t>
            </w:r>
          </w:p>
          <w:p w:rsidRPr="00933E45" w:rsidR="00E940B8" w:rsidP="0059793A" w:rsidRDefault="00E940B8" w14:paraId="4B2275DD" w14:textId="77777777">
            <w:pPr>
              <w:pStyle w:val="BodyText"/>
              <w:rPr>
                <w:rFonts w:cs="Arial" w:asciiTheme="minorHAnsi" w:hAnsiTheme="minorHAnsi"/>
                <w:b/>
                <w:bCs/>
                <w:sz w:val="20"/>
              </w:rPr>
            </w:pPr>
          </w:p>
        </w:tc>
        <w:tc>
          <w:tcPr>
            <w:tcW w:w="3985" w:type="pct"/>
          </w:tcPr>
          <w:p w:rsidRPr="00933E45" w:rsidR="00E940B8" w:rsidP="0059793A" w:rsidRDefault="00E940B8" w14:paraId="04108BDC" w14:textId="77777777">
            <w:pPr>
              <w:pStyle w:val="BodyText"/>
              <w:rPr>
                <w:rFonts w:cs="Arial" w:asciiTheme="minorHAnsi" w:hAnsiTheme="minorHAnsi"/>
                <w:sz w:val="20"/>
              </w:rPr>
            </w:pPr>
            <w:r w:rsidRPr="00933E45">
              <w:rPr>
                <w:rFonts w:cs="Arial" w:asciiTheme="minorHAnsi" w:hAnsiTheme="minorHAnsi"/>
                <w:sz w:val="20"/>
              </w:rPr>
              <w:t>Hypocalcaemia defined as a serum total calcium concentration below 1.875 mol/L [7.5 mg/dL] or ionized calcium less than 1.2 mmol/L.</w:t>
            </w:r>
            <w:r w:rsidRPr="00933E45">
              <w:rPr>
                <w:rFonts w:cs="Arial" w:asciiTheme="minorHAnsi" w:hAnsiTheme="minorHAnsi"/>
                <w:noProof/>
                <w:sz w:val="20"/>
              </w:rPr>
              <w:t>[1]</w:t>
            </w:r>
          </w:p>
          <w:p w:rsidRPr="00933E45" w:rsidR="00E940B8" w:rsidP="0059793A" w:rsidRDefault="00E940B8" w14:paraId="09D231F8" w14:textId="77777777">
            <w:pPr>
              <w:pStyle w:val="BodyText"/>
              <w:rPr>
                <w:rFonts w:cs="Arial" w:asciiTheme="minorHAnsi" w:hAnsiTheme="minorHAnsi"/>
                <w:sz w:val="20"/>
              </w:rPr>
            </w:pPr>
          </w:p>
          <w:p w:rsidRPr="00933E45" w:rsidR="00E940B8" w:rsidP="0059793A" w:rsidRDefault="00E940B8" w14:paraId="5FD3AFAA" w14:textId="77777777">
            <w:pPr>
              <w:pStyle w:val="BodyText"/>
              <w:rPr>
                <w:rFonts w:cs="Arial" w:asciiTheme="minorHAnsi" w:hAnsiTheme="minorHAnsi"/>
                <w:sz w:val="20"/>
              </w:rPr>
            </w:pPr>
            <w:r w:rsidRPr="00933E45">
              <w:rPr>
                <w:rFonts w:cs="Arial" w:asciiTheme="minorHAnsi" w:hAnsiTheme="minorHAnsi"/>
                <w:sz w:val="20"/>
              </w:rPr>
              <w:t>Blood gas machines measure ionised calcium directly and are more accurate than the main pathology laboratory which calculates the ionised calcium from a complex formula.</w:t>
            </w:r>
          </w:p>
          <w:p w:rsidRPr="00933E45" w:rsidR="00E940B8" w:rsidP="0059793A" w:rsidRDefault="00E940B8" w14:paraId="5706EBEA" w14:textId="77777777">
            <w:pPr>
              <w:pStyle w:val="BodyText"/>
              <w:rPr>
                <w:rFonts w:cs="Arial" w:asciiTheme="minorHAnsi" w:hAnsiTheme="minorHAnsi"/>
                <w:sz w:val="20"/>
              </w:rPr>
            </w:pPr>
            <w:r w:rsidRPr="00933E45">
              <w:rPr>
                <w:rFonts w:cs="Arial" w:asciiTheme="minorHAnsi" w:hAnsiTheme="minorHAnsi"/>
                <w:sz w:val="20"/>
              </w:rPr>
              <w:t>Corrected calcium is calculated (when albumin &lt; 40 or &gt; 45) by the formula:</w:t>
            </w:r>
          </w:p>
          <w:p w:rsidRPr="00933E45" w:rsidR="00E940B8" w:rsidP="0059793A" w:rsidRDefault="00E940B8" w14:paraId="3F956412" w14:textId="77777777">
            <w:pPr>
              <w:pStyle w:val="BodyText"/>
              <w:jc w:val="center"/>
              <w:rPr>
                <w:rFonts w:cs="Arial" w:asciiTheme="minorHAnsi" w:hAnsiTheme="minorHAnsi"/>
                <w:sz w:val="20"/>
              </w:rPr>
            </w:pPr>
            <w:r w:rsidRPr="00933E45">
              <w:rPr>
                <w:rFonts w:cs="Arial" w:asciiTheme="minorHAnsi" w:hAnsiTheme="minorHAnsi"/>
                <w:sz w:val="20"/>
              </w:rPr>
              <w:t>= measured Ca (mmol/L) + 0.025 x (40 – albumin (g/L))</w:t>
            </w:r>
          </w:p>
          <w:p w:rsidRPr="00933E45" w:rsidR="00E940B8" w:rsidP="0059793A" w:rsidRDefault="00E940B8" w14:paraId="612CEE3D" w14:textId="77777777">
            <w:pPr>
              <w:pStyle w:val="BodyText"/>
              <w:rPr>
                <w:rFonts w:cs="Arial" w:asciiTheme="minorHAnsi" w:hAnsiTheme="minorHAnsi"/>
                <w:sz w:val="20"/>
              </w:rPr>
            </w:pPr>
          </w:p>
          <w:p w:rsidRPr="00933E45" w:rsidR="00E940B8" w:rsidP="0059793A" w:rsidRDefault="00E940B8" w14:paraId="13BC82FD" w14:textId="77777777">
            <w:pPr>
              <w:pStyle w:val="BodyText"/>
              <w:rPr>
                <w:rFonts w:asciiTheme="minorHAnsi" w:hAnsiTheme="minorHAnsi"/>
                <w:sz w:val="20"/>
              </w:rPr>
            </w:pPr>
            <w:r w:rsidRPr="00933E45">
              <w:rPr>
                <w:rFonts w:asciiTheme="minorHAnsi" w:hAnsiTheme="minorHAnsi"/>
                <w:sz w:val="20"/>
              </w:rPr>
              <w:t>Consider use of hyaluronidase for treatment of extravasation injuries.</w:t>
            </w:r>
          </w:p>
          <w:p w:rsidRPr="00933E45" w:rsidR="00E940B8" w:rsidP="0059793A" w:rsidRDefault="00E940B8" w14:paraId="41F9DBCF" w14:textId="77777777">
            <w:pPr>
              <w:pStyle w:val="BodyText"/>
              <w:rPr>
                <w:rFonts w:asciiTheme="minorHAnsi" w:hAnsiTheme="minorHAnsi"/>
                <w:sz w:val="20"/>
              </w:rPr>
            </w:pPr>
          </w:p>
          <w:p w:rsidRPr="00933E45" w:rsidR="00E940B8" w:rsidP="0059793A" w:rsidRDefault="00E940B8" w14:paraId="29725B02" w14:textId="77777777">
            <w:pPr>
              <w:pStyle w:val="BodyText"/>
              <w:rPr>
                <w:rFonts w:asciiTheme="minorHAnsi" w:hAnsiTheme="minorHAnsi"/>
                <w:b/>
                <w:sz w:val="20"/>
              </w:rPr>
            </w:pPr>
            <w:r w:rsidRPr="00933E45">
              <w:rPr>
                <w:rFonts w:asciiTheme="minorHAnsi" w:hAnsiTheme="minorHAnsi"/>
                <w:b/>
                <w:sz w:val="20"/>
              </w:rPr>
              <w:t>Calcium salt equivalents of elemental calcium</w:t>
            </w:r>
          </w:p>
          <w:p w:rsidRPr="00933E45" w:rsidR="00E940B8" w:rsidP="0059793A" w:rsidRDefault="00E940B8" w14:paraId="231A2828" w14:textId="77777777">
            <w:pPr>
              <w:pStyle w:val="BodyText"/>
              <w:rPr>
                <w:rFonts w:asciiTheme="minorHAnsi" w:hAnsiTheme="minorHAnsi"/>
                <w:b/>
                <w:sz w:val="20"/>
              </w:rPr>
            </w:pPr>
          </w:p>
          <w:tbl>
            <w:tblPr>
              <w:tblW w:w="5000" w:type="pct"/>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Look w:val="04A0" w:firstRow="1" w:lastRow="0" w:firstColumn="1" w:lastColumn="0" w:noHBand="0" w:noVBand="1"/>
            </w:tblPr>
            <w:tblGrid>
              <w:gridCol w:w="3378"/>
              <w:gridCol w:w="1025"/>
              <w:gridCol w:w="1185"/>
              <w:gridCol w:w="1864"/>
            </w:tblGrid>
            <w:tr w:rsidRPr="00933E45" w:rsidR="00E940B8" w:rsidTr="0059793A" w14:paraId="23B07B24" w14:textId="77777777">
              <w:trPr>
                <w:tblCellSpacing w:w="7" w:type="dxa"/>
                <w:jc w:val="center"/>
              </w:trPr>
              <w:tc>
                <w:tcPr>
                  <w:tcW w:w="2262" w:type="pct"/>
                  <w:vAlign w:val="center"/>
                  <w:hideMark/>
                </w:tcPr>
                <w:p w:rsidRPr="00933E45" w:rsidR="00E940B8" w:rsidP="0059793A" w:rsidRDefault="00E940B8" w14:paraId="3D83447F" w14:textId="77777777">
                  <w:pPr>
                    <w:pStyle w:val="BodyText"/>
                    <w:rPr>
                      <w:rFonts w:asciiTheme="minorHAnsi" w:hAnsiTheme="minorHAnsi"/>
                      <w:b/>
                      <w:i/>
                      <w:sz w:val="20"/>
                    </w:rPr>
                  </w:pPr>
                  <w:r w:rsidRPr="00933E45">
                    <w:rPr>
                      <w:rFonts w:asciiTheme="minorHAnsi" w:hAnsiTheme="minorHAnsi"/>
                      <w:b/>
                      <w:i/>
                      <w:sz w:val="20"/>
                    </w:rPr>
                    <w:t> Salt</w:t>
                  </w:r>
                </w:p>
              </w:tc>
              <w:tc>
                <w:tcPr>
                  <w:tcW w:w="2712" w:type="pct"/>
                  <w:gridSpan w:val="3"/>
                  <w:vAlign w:val="bottom"/>
                  <w:hideMark/>
                </w:tcPr>
                <w:p w:rsidRPr="00933E45" w:rsidR="00E940B8" w:rsidP="0059793A" w:rsidRDefault="00E940B8" w14:paraId="6FE79E4A" w14:textId="77777777">
                  <w:pPr>
                    <w:pStyle w:val="BodyText"/>
                    <w:rPr>
                      <w:rFonts w:asciiTheme="minorHAnsi" w:hAnsiTheme="minorHAnsi"/>
                      <w:sz w:val="20"/>
                    </w:rPr>
                  </w:pPr>
                  <w:r w:rsidRPr="00933E45">
                    <w:rPr>
                      <w:rFonts w:asciiTheme="minorHAnsi" w:hAnsiTheme="minorHAnsi"/>
                      <w:b/>
                      <w:bCs/>
                      <w:i/>
                      <w:iCs/>
                      <w:sz w:val="20"/>
                    </w:rPr>
                    <w:t>Elemental Ca</w:t>
                  </w:r>
                </w:p>
              </w:tc>
            </w:tr>
            <w:tr w:rsidRPr="00933E45" w:rsidR="00E940B8" w:rsidTr="0059793A" w14:paraId="4ACDF62C" w14:textId="77777777">
              <w:trPr>
                <w:tblCellSpacing w:w="7" w:type="dxa"/>
                <w:jc w:val="center"/>
              </w:trPr>
              <w:tc>
                <w:tcPr>
                  <w:tcW w:w="2262" w:type="pct"/>
                </w:tcPr>
                <w:p w:rsidRPr="00933E45" w:rsidR="00E940B8" w:rsidP="0059793A" w:rsidRDefault="00E940B8" w14:paraId="4470CA1A" w14:textId="77777777">
                  <w:pPr>
                    <w:pStyle w:val="BodyText"/>
                    <w:rPr>
                      <w:rFonts w:asciiTheme="minorHAnsi" w:hAnsiTheme="minorHAnsi"/>
                      <w:sz w:val="20"/>
                    </w:rPr>
                  </w:pPr>
                  <w:r w:rsidRPr="00933E45">
                    <w:rPr>
                      <w:rFonts w:asciiTheme="minorHAnsi" w:hAnsiTheme="minorHAnsi"/>
                      <w:sz w:val="20"/>
                    </w:rPr>
                    <w:t xml:space="preserve">Calcium chloride 10% 1 mL   </w:t>
                  </w:r>
                </w:p>
              </w:tc>
              <w:tc>
                <w:tcPr>
                  <w:tcW w:w="681" w:type="pct"/>
                  <w:vAlign w:val="bottom"/>
                </w:tcPr>
                <w:p w:rsidRPr="00933E45" w:rsidR="00E940B8" w:rsidP="0059793A" w:rsidRDefault="00E940B8" w14:paraId="36061FDD" w14:textId="77777777">
                  <w:pPr>
                    <w:pStyle w:val="BodyText"/>
                    <w:rPr>
                      <w:rFonts w:asciiTheme="minorHAnsi" w:hAnsiTheme="minorHAnsi"/>
                      <w:sz w:val="20"/>
                    </w:rPr>
                  </w:pPr>
                  <w:r w:rsidRPr="00933E45">
                    <w:rPr>
                      <w:rFonts w:asciiTheme="minorHAnsi" w:hAnsiTheme="minorHAnsi"/>
                      <w:sz w:val="20"/>
                    </w:rPr>
                    <w:t>1.36 mEq</w:t>
                  </w:r>
                </w:p>
              </w:tc>
              <w:tc>
                <w:tcPr>
                  <w:tcW w:w="789" w:type="pct"/>
                </w:tcPr>
                <w:p w:rsidRPr="00933E45" w:rsidR="00E940B8" w:rsidP="0059793A" w:rsidRDefault="00E940B8" w14:paraId="240121A7" w14:textId="77777777">
                  <w:pPr>
                    <w:pStyle w:val="BodyText"/>
                    <w:rPr>
                      <w:rFonts w:asciiTheme="minorHAnsi" w:hAnsiTheme="minorHAnsi"/>
                      <w:sz w:val="20"/>
                    </w:rPr>
                  </w:pPr>
                  <w:r w:rsidRPr="00933E45">
                    <w:rPr>
                      <w:rFonts w:asciiTheme="minorHAnsi" w:hAnsiTheme="minorHAnsi"/>
                      <w:sz w:val="20"/>
                    </w:rPr>
                    <w:t xml:space="preserve">27.3 mg      </w:t>
                  </w:r>
                </w:p>
              </w:tc>
              <w:tc>
                <w:tcPr>
                  <w:tcW w:w="1224" w:type="pct"/>
                </w:tcPr>
                <w:p w:rsidRPr="00933E45" w:rsidR="00E940B8" w:rsidP="0059793A" w:rsidRDefault="00E940B8" w14:paraId="5A74B844" w14:textId="77777777">
                  <w:pPr>
                    <w:pStyle w:val="BodyText"/>
                    <w:rPr>
                      <w:rFonts w:asciiTheme="minorHAnsi" w:hAnsiTheme="minorHAnsi"/>
                      <w:sz w:val="20"/>
                    </w:rPr>
                  </w:pPr>
                  <w:r w:rsidRPr="00933E45">
                    <w:rPr>
                      <w:rFonts w:asciiTheme="minorHAnsi" w:hAnsiTheme="minorHAnsi"/>
                      <w:sz w:val="20"/>
                    </w:rPr>
                    <w:t>0.68 mmol</w:t>
                  </w:r>
                </w:p>
              </w:tc>
            </w:tr>
            <w:tr w:rsidRPr="00933E45" w:rsidR="00E940B8" w:rsidTr="0059793A" w14:paraId="2E773D2D" w14:textId="77777777">
              <w:trPr>
                <w:tblCellSpacing w:w="7" w:type="dxa"/>
                <w:jc w:val="center"/>
              </w:trPr>
              <w:tc>
                <w:tcPr>
                  <w:tcW w:w="2262" w:type="pct"/>
                </w:tcPr>
                <w:p w:rsidRPr="00933E45" w:rsidR="00E940B8" w:rsidP="0059793A" w:rsidRDefault="00E940B8" w14:paraId="5A69DE49" w14:textId="77777777">
                  <w:pPr>
                    <w:pStyle w:val="BodyText"/>
                    <w:rPr>
                      <w:rFonts w:asciiTheme="minorHAnsi" w:hAnsiTheme="minorHAnsi"/>
                      <w:sz w:val="20"/>
                    </w:rPr>
                  </w:pPr>
                  <w:r w:rsidRPr="00933E45">
                    <w:rPr>
                      <w:rFonts w:asciiTheme="minorHAnsi" w:hAnsiTheme="minorHAnsi"/>
                      <w:sz w:val="20"/>
                    </w:rPr>
                    <w:t>Calcium gluconate 10% 1 mL</w:t>
                  </w:r>
                </w:p>
              </w:tc>
              <w:tc>
                <w:tcPr>
                  <w:tcW w:w="681" w:type="pct"/>
                  <w:vAlign w:val="bottom"/>
                </w:tcPr>
                <w:p w:rsidRPr="00933E45" w:rsidR="00E940B8" w:rsidP="0059793A" w:rsidRDefault="00E940B8" w14:paraId="2A816A5E" w14:textId="77777777">
                  <w:pPr>
                    <w:pStyle w:val="BodyText"/>
                    <w:rPr>
                      <w:rFonts w:asciiTheme="minorHAnsi" w:hAnsiTheme="minorHAnsi"/>
                      <w:sz w:val="20"/>
                    </w:rPr>
                  </w:pPr>
                  <w:r w:rsidRPr="00933E45">
                    <w:rPr>
                      <w:rFonts w:asciiTheme="minorHAnsi" w:hAnsiTheme="minorHAnsi"/>
                      <w:sz w:val="20"/>
                    </w:rPr>
                    <w:t>0.46 mEq</w:t>
                  </w:r>
                </w:p>
              </w:tc>
              <w:tc>
                <w:tcPr>
                  <w:tcW w:w="789" w:type="pct"/>
                </w:tcPr>
                <w:p w:rsidRPr="00933E45" w:rsidR="00E940B8" w:rsidP="0059793A" w:rsidRDefault="00E940B8" w14:paraId="41DA5571" w14:textId="77777777">
                  <w:pPr>
                    <w:pStyle w:val="BodyText"/>
                    <w:rPr>
                      <w:rFonts w:asciiTheme="minorHAnsi" w:hAnsiTheme="minorHAnsi"/>
                      <w:sz w:val="20"/>
                    </w:rPr>
                  </w:pPr>
                  <w:r w:rsidRPr="00933E45">
                    <w:rPr>
                      <w:rFonts w:asciiTheme="minorHAnsi" w:hAnsiTheme="minorHAnsi"/>
                      <w:sz w:val="20"/>
                    </w:rPr>
                    <w:t xml:space="preserve">9.3 mg       </w:t>
                  </w:r>
                </w:p>
              </w:tc>
              <w:tc>
                <w:tcPr>
                  <w:tcW w:w="1224" w:type="pct"/>
                </w:tcPr>
                <w:p w:rsidRPr="00933E45" w:rsidR="00E940B8" w:rsidP="0059793A" w:rsidRDefault="00E940B8" w14:paraId="700C99DA" w14:textId="77777777">
                  <w:pPr>
                    <w:pStyle w:val="BodyText"/>
                    <w:rPr>
                      <w:rFonts w:asciiTheme="minorHAnsi" w:hAnsiTheme="minorHAnsi"/>
                      <w:sz w:val="20"/>
                    </w:rPr>
                  </w:pPr>
                  <w:r w:rsidRPr="00933E45">
                    <w:rPr>
                      <w:rFonts w:asciiTheme="minorHAnsi" w:hAnsiTheme="minorHAnsi"/>
                      <w:sz w:val="20"/>
                    </w:rPr>
                    <w:t>0.</w:t>
                  </w:r>
                  <w:r>
                    <w:rPr>
                      <w:rFonts w:asciiTheme="minorHAnsi" w:hAnsiTheme="minorHAnsi"/>
                      <w:sz w:val="20"/>
                    </w:rPr>
                    <w:t>22</w:t>
                  </w:r>
                  <w:r w:rsidRPr="00933E45">
                    <w:rPr>
                      <w:rFonts w:asciiTheme="minorHAnsi" w:hAnsiTheme="minorHAnsi"/>
                      <w:sz w:val="20"/>
                    </w:rPr>
                    <w:t xml:space="preserve"> mmol</w:t>
                  </w:r>
                  <w:r w:rsidRPr="00B20F3D">
                    <w:rPr>
                      <w:rFonts w:asciiTheme="minorHAnsi" w:hAnsiTheme="minorHAnsi"/>
                      <w:sz w:val="20"/>
                      <w:vertAlign w:val="superscript"/>
                    </w:rPr>
                    <w:t>23</w:t>
                  </w:r>
                </w:p>
              </w:tc>
            </w:tr>
            <w:tr w:rsidRPr="00933E45" w:rsidR="00E940B8" w:rsidTr="0059793A" w14:paraId="77343E74" w14:textId="77777777">
              <w:trPr>
                <w:tblCellSpacing w:w="7" w:type="dxa"/>
                <w:jc w:val="center"/>
              </w:trPr>
              <w:tc>
                <w:tcPr>
                  <w:tcW w:w="2262" w:type="pct"/>
                </w:tcPr>
                <w:p w:rsidRPr="00933E45" w:rsidR="00E940B8" w:rsidP="0059793A" w:rsidRDefault="00E940B8" w14:paraId="2F72C04A" w14:textId="77777777">
                  <w:pPr>
                    <w:pStyle w:val="BodyText"/>
                    <w:rPr>
                      <w:rFonts w:asciiTheme="minorHAnsi" w:hAnsiTheme="minorHAnsi"/>
                      <w:sz w:val="20"/>
                    </w:rPr>
                  </w:pPr>
                  <w:r w:rsidRPr="00933E45">
                    <w:rPr>
                      <w:rFonts w:asciiTheme="minorHAnsi" w:hAnsiTheme="minorHAnsi"/>
                      <w:b/>
                      <w:bCs/>
                      <w:i/>
                      <w:iCs/>
                      <w:sz w:val="20"/>
                    </w:rPr>
                    <w:t>Salt 1g</w:t>
                  </w:r>
                </w:p>
              </w:tc>
              <w:tc>
                <w:tcPr>
                  <w:tcW w:w="681" w:type="pct"/>
                  <w:vAlign w:val="bottom"/>
                </w:tcPr>
                <w:p w:rsidRPr="00933E45" w:rsidR="00E940B8" w:rsidP="0059793A" w:rsidRDefault="00E940B8" w14:paraId="6047A1A9" w14:textId="77777777">
                  <w:pPr>
                    <w:pStyle w:val="BodyText"/>
                    <w:rPr>
                      <w:rFonts w:asciiTheme="minorHAnsi" w:hAnsiTheme="minorHAnsi"/>
                      <w:sz w:val="20"/>
                    </w:rPr>
                  </w:pPr>
                </w:p>
              </w:tc>
              <w:tc>
                <w:tcPr>
                  <w:tcW w:w="789" w:type="pct"/>
                </w:tcPr>
                <w:p w:rsidRPr="00933E45" w:rsidR="00E940B8" w:rsidP="0059793A" w:rsidRDefault="00E940B8" w14:paraId="3711B4E0" w14:textId="77777777">
                  <w:pPr>
                    <w:pStyle w:val="BodyText"/>
                    <w:rPr>
                      <w:rFonts w:asciiTheme="minorHAnsi" w:hAnsiTheme="minorHAnsi"/>
                      <w:sz w:val="20"/>
                    </w:rPr>
                  </w:pPr>
                </w:p>
              </w:tc>
              <w:tc>
                <w:tcPr>
                  <w:tcW w:w="1224" w:type="pct"/>
                </w:tcPr>
                <w:p w:rsidRPr="00933E45" w:rsidR="00E940B8" w:rsidP="0059793A" w:rsidRDefault="00E940B8" w14:paraId="3D54BF1B" w14:textId="77777777">
                  <w:pPr>
                    <w:pStyle w:val="BodyText"/>
                    <w:rPr>
                      <w:rFonts w:asciiTheme="minorHAnsi" w:hAnsiTheme="minorHAnsi"/>
                      <w:sz w:val="20"/>
                    </w:rPr>
                  </w:pPr>
                </w:p>
              </w:tc>
            </w:tr>
            <w:tr w:rsidRPr="00933E45" w:rsidR="00E940B8" w:rsidTr="0059793A" w14:paraId="353633E4" w14:textId="77777777">
              <w:trPr>
                <w:tblCellSpacing w:w="7" w:type="dxa"/>
                <w:jc w:val="center"/>
              </w:trPr>
              <w:tc>
                <w:tcPr>
                  <w:tcW w:w="2262" w:type="pct"/>
                  <w:hideMark/>
                </w:tcPr>
                <w:p w:rsidRPr="00933E45" w:rsidR="00E940B8" w:rsidP="0059793A" w:rsidRDefault="00E940B8" w14:paraId="2A4CEB91" w14:textId="77777777">
                  <w:pPr>
                    <w:pStyle w:val="BodyText"/>
                    <w:rPr>
                      <w:rFonts w:asciiTheme="minorHAnsi" w:hAnsiTheme="minorHAnsi"/>
                      <w:sz w:val="20"/>
                    </w:rPr>
                  </w:pPr>
                  <w:r w:rsidRPr="00933E45">
                    <w:rPr>
                      <w:rFonts w:asciiTheme="minorHAnsi" w:hAnsiTheme="minorHAnsi"/>
                      <w:sz w:val="20"/>
                    </w:rPr>
                    <w:t xml:space="preserve">Calcium Acetate </w:t>
                  </w:r>
                </w:p>
              </w:tc>
              <w:tc>
                <w:tcPr>
                  <w:tcW w:w="681" w:type="pct"/>
                  <w:vAlign w:val="bottom"/>
                  <w:hideMark/>
                </w:tcPr>
                <w:p w:rsidRPr="00933E45" w:rsidR="00E940B8" w:rsidP="0059793A" w:rsidRDefault="00E940B8" w14:paraId="63F5E43A" w14:textId="77777777">
                  <w:pPr>
                    <w:pStyle w:val="BodyText"/>
                    <w:rPr>
                      <w:rFonts w:asciiTheme="minorHAnsi" w:hAnsiTheme="minorHAnsi"/>
                      <w:sz w:val="20"/>
                    </w:rPr>
                  </w:pPr>
                  <w:r w:rsidRPr="00933E45">
                    <w:rPr>
                      <w:rFonts w:asciiTheme="minorHAnsi" w:hAnsiTheme="minorHAnsi"/>
                      <w:sz w:val="20"/>
                    </w:rPr>
                    <w:t xml:space="preserve">12.6 mEq </w:t>
                  </w:r>
                </w:p>
              </w:tc>
              <w:tc>
                <w:tcPr>
                  <w:tcW w:w="789" w:type="pct"/>
                  <w:hideMark/>
                </w:tcPr>
                <w:p w:rsidRPr="00933E45" w:rsidR="00E940B8" w:rsidP="0059793A" w:rsidRDefault="00E940B8" w14:paraId="6B417B01" w14:textId="77777777">
                  <w:pPr>
                    <w:pStyle w:val="BodyText"/>
                    <w:rPr>
                      <w:rFonts w:asciiTheme="minorHAnsi" w:hAnsiTheme="minorHAnsi"/>
                      <w:sz w:val="20"/>
                    </w:rPr>
                  </w:pPr>
                  <w:r w:rsidRPr="00933E45">
                    <w:rPr>
                      <w:rFonts w:asciiTheme="minorHAnsi" w:hAnsiTheme="minorHAnsi"/>
                      <w:sz w:val="20"/>
                    </w:rPr>
                    <w:t xml:space="preserve">253 mg </w:t>
                  </w:r>
                </w:p>
              </w:tc>
              <w:tc>
                <w:tcPr>
                  <w:tcW w:w="1224" w:type="pct"/>
                  <w:hideMark/>
                </w:tcPr>
                <w:p w:rsidRPr="00933E45" w:rsidR="00E940B8" w:rsidP="0059793A" w:rsidRDefault="00E940B8" w14:paraId="4A18D1D2" w14:textId="77777777">
                  <w:pPr>
                    <w:pStyle w:val="BodyText"/>
                    <w:rPr>
                      <w:rFonts w:asciiTheme="minorHAnsi" w:hAnsiTheme="minorHAnsi"/>
                      <w:sz w:val="20"/>
                    </w:rPr>
                  </w:pPr>
                  <w:r w:rsidRPr="00933E45">
                    <w:rPr>
                      <w:rFonts w:asciiTheme="minorHAnsi" w:hAnsiTheme="minorHAnsi"/>
                      <w:sz w:val="20"/>
                    </w:rPr>
                    <w:t xml:space="preserve">6.30 mmol </w:t>
                  </w:r>
                </w:p>
              </w:tc>
            </w:tr>
            <w:tr w:rsidRPr="00933E45" w:rsidR="00E940B8" w:rsidTr="0059793A" w14:paraId="42B9D87B" w14:textId="77777777">
              <w:trPr>
                <w:tblCellSpacing w:w="7" w:type="dxa"/>
                <w:jc w:val="center"/>
              </w:trPr>
              <w:tc>
                <w:tcPr>
                  <w:tcW w:w="2262" w:type="pct"/>
                  <w:hideMark/>
                </w:tcPr>
                <w:p w:rsidRPr="00933E45" w:rsidR="00E940B8" w:rsidP="0059793A" w:rsidRDefault="00E940B8" w14:paraId="7B717A0E" w14:textId="77777777">
                  <w:pPr>
                    <w:pStyle w:val="BodyText"/>
                    <w:rPr>
                      <w:rFonts w:asciiTheme="minorHAnsi" w:hAnsiTheme="minorHAnsi"/>
                      <w:sz w:val="20"/>
                    </w:rPr>
                  </w:pPr>
                  <w:r w:rsidRPr="00933E45">
                    <w:rPr>
                      <w:rFonts w:asciiTheme="minorHAnsi" w:hAnsiTheme="minorHAnsi"/>
                      <w:sz w:val="20"/>
                    </w:rPr>
                    <w:t xml:space="preserve">Calcium Carbonate </w:t>
                  </w:r>
                </w:p>
              </w:tc>
              <w:tc>
                <w:tcPr>
                  <w:tcW w:w="681" w:type="pct"/>
                  <w:vAlign w:val="bottom"/>
                  <w:hideMark/>
                </w:tcPr>
                <w:p w:rsidRPr="00933E45" w:rsidR="00E940B8" w:rsidP="0059793A" w:rsidRDefault="00E940B8" w14:paraId="4B646F2F" w14:textId="77777777">
                  <w:pPr>
                    <w:pStyle w:val="BodyText"/>
                    <w:rPr>
                      <w:rFonts w:asciiTheme="minorHAnsi" w:hAnsiTheme="minorHAnsi"/>
                      <w:sz w:val="20"/>
                    </w:rPr>
                  </w:pPr>
                  <w:r w:rsidRPr="00933E45">
                    <w:rPr>
                      <w:rFonts w:asciiTheme="minorHAnsi" w:hAnsiTheme="minorHAnsi"/>
                      <w:sz w:val="20"/>
                    </w:rPr>
                    <w:t xml:space="preserve">19.9 mEq </w:t>
                  </w:r>
                </w:p>
              </w:tc>
              <w:tc>
                <w:tcPr>
                  <w:tcW w:w="789" w:type="pct"/>
                  <w:hideMark/>
                </w:tcPr>
                <w:p w:rsidRPr="00933E45" w:rsidR="00E940B8" w:rsidP="0059793A" w:rsidRDefault="00E940B8" w14:paraId="670A40E7" w14:textId="77777777">
                  <w:pPr>
                    <w:pStyle w:val="BodyText"/>
                    <w:rPr>
                      <w:rFonts w:asciiTheme="minorHAnsi" w:hAnsiTheme="minorHAnsi"/>
                      <w:sz w:val="20"/>
                    </w:rPr>
                  </w:pPr>
                  <w:r w:rsidRPr="00933E45">
                    <w:rPr>
                      <w:rFonts w:asciiTheme="minorHAnsi" w:hAnsiTheme="minorHAnsi"/>
                      <w:sz w:val="20"/>
                    </w:rPr>
                    <w:t xml:space="preserve">400 mg </w:t>
                  </w:r>
                </w:p>
              </w:tc>
              <w:tc>
                <w:tcPr>
                  <w:tcW w:w="1224" w:type="pct"/>
                  <w:hideMark/>
                </w:tcPr>
                <w:p w:rsidRPr="00933E45" w:rsidR="00E940B8" w:rsidP="0059793A" w:rsidRDefault="00E940B8" w14:paraId="0F68CE2A" w14:textId="77777777">
                  <w:pPr>
                    <w:pStyle w:val="BodyText"/>
                    <w:rPr>
                      <w:rFonts w:asciiTheme="minorHAnsi" w:hAnsiTheme="minorHAnsi"/>
                      <w:sz w:val="20"/>
                    </w:rPr>
                  </w:pPr>
                  <w:r w:rsidRPr="00933E45">
                    <w:rPr>
                      <w:rFonts w:asciiTheme="minorHAnsi" w:hAnsiTheme="minorHAnsi"/>
                      <w:sz w:val="20"/>
                    </w:rPr>
                    <w:t xml:space="preserve">9.96 mmol </w:t>
                  </w:r>
                </w:p>
              </w:tc>
            </w:tr>
            <w:tr w:rsidRPr="00933E45" w:rsidR="00E940B8" w:rsidTr="0059793A" w14:paraId="01A77245" w14:textId="77777777">
              <w:trPr>
                <w:tblCellSpacing w:w="7" w:type="dxa"/>
                <w:jc w:val="center"/>
              </w:trPr>
              <w:tc>
                <w:tcPr>
                  <w:tcW w:w="2262" w:type="pct"/>
                  <w:hideMark/>
                </w:tcPr>
                <w:p w:rsidRPr="00933E45" w:rsidR="00E940B8" w:rsidP="0059793A" w:rsidRDefault="00E940B8" w14:paraId="6EB2BB80" w14:textId="77777777">
                  <w:pPr>
                    <w:pStyle w:val="BodyText"/>
                    <w:rPr>
                      <w:rFonts w:asciiTheme="minorHAnsi" w:hAnsiTheme="minorHAnsi"/>
                      <w:sz w:val="20"/>
                    </w:rPr>
                  </w:pPr>
                  <w:r w:rsidRPr="00933E45">
                    <w:rPr>
                      <w:rFonts w:asciiTheme="minorHAnsi" w:hAnsiTheme="minorHAnsi"/>
                      <w:sz w:val="20"/>
                    </w:rPr>
                    <w:t xml:space="preserve">Calcium Citrate </w:t>
                  </w:r>
                </w:p>
              </w:tc>
              <w:tc>
                <w:tcPr>
                  <w:tcW w:w="681" w:type="pct"/>
                  <w:vAlign w:val="bottom"/>
                  <w:hideMark/>
                </w:tcPr>
                <w:p w:rsidRPr="00933E45" w:rsidR="00E940B8" w:rsidP="0059793A" w:rsidRDefault="00E940B8" w14:paraId="59D00F04" w14:textId="77777777">
                  <w:pPr>
                    <w:pStyle w:val="BodyText"/>
                    <w:rPr>
                      <w:rFonts w:asciiTheme="minorHAnsi" w:hAnsiTheme="minorHAnsi"/>
                      <w:sz w:val="20"/>
                    </w:rPr>
                  </w:pPr>
                  <w:r w:rsidRPr="00933E45">
                    <w:rPr>
                      <w:rFonts w:asciiTheme="minorHAnsi" w:hAnsiTheme="minorHAnsi"/>
                      <w:sz w:val="20"/>
                    </w:rPr>
                    <w:t xml:space="preserve">10.5 mEq </w:t>
                  </w:r>
                </w:p>
              </w:tc>
              <w:tc>
                <w:tcPr>
                  <w:tcW w:w="789" w:type="pct"/>
                  <w:hideMark/>
                </w:tcPr>
                <w:p w:rsidRPr="00933E45" w:rsidR="00E940B8" w:rsidP="0059793A" w:rsidRDefault="00E940B8" w14:paraId="1DDCED7D" w14:textId="77777777">
                  <w:pPr>
                    <w:pStyle w:val="BodyText"/>
                    <w:rPr>
                      <w:rFonts w:asciiTheme="minorHAnsi" w:hAnsiTheme="minorHAnsi"/>
                      <w:sz w:val="20"/>
                    </w:rPr>
                  </w:pPr>
                  <w:r w:rsidRPr="00933E45">
                    <w:rPr>
                      <w:rFonts w:asciiTheme="minorHAnsi" w:hAnsiTheme="minorHAnsi"/>
                      <w:sz w:val="20"/>
                    </w:rPr>
                    <w:t xml:space="preserve">211 mg </w:t>
                  </w:r>
                </w:p>
              </w:tc>
              <w:tc>
                <w:tcPr>
                  <w:tcW w:w="1224" w:type="pct"/>
                  <w:hideMark/>
                </w:tcPr>
                <w:p w:rsidRPr="00933E45" w:rsidR="00E940B8" w:rsidP="0059793A" w:rsidRDefault="00E940B8" w14:paraId="3F8F9081" w14:textId="77777777">
                  <w:pPr>
                    <w:pStyle w:val="BodyText"/>
                    <w:rPr>
                      <w:rFonts w:asciiTheme="minorHAnsi" w:hAnsiTheme="minorHAnsi"/>
                      <w:sz w:val="20"/>
                    </w:rPr>
                  </w:pPr>
                  <w:r w:rsidRPr="00933E45">
                    <w:rPr>
                      <w:rFonts w:asciiTheme="minorHAnsi" w:hAnsiTheme="minorHAnsi"/>
                      <w:sz w:val="20"/>
                    </w:rPr>
                    <w:t xml:space="preserve">5.26 mmol </w:t>
                  </w:r>
                </w:p>
              </w:tc>
            </w:tr>
            <w:tr w:rsidRPr="00933E45" w:rsidR="00E940B8" w:rsidTr="0059793A" w14:paraId="65B81D75" w14:textId="77777777">
              <w:trPr>
                <w:tblCellSpacing w:w="7" w:type="dxa"/>
                <w:jc w:val="center"/>
              </w:trPr>
              <w:tc>
                <w:tcPr>
                  <w:tcW w:w="2262" w:type="pct"/>
                  <w:hideMark/>
                </w:tcPr>
                <w:p w:rsidRPr="00933E45" w:rsidR="00E940B8" w:rsidP="0059793A" w:rsidRDefault="00E940B8" w14:paraId="0FD76689" w14:textId="77777777">
                  <w:pPr>
                    <w:pStyle w:val="BodyText"/>
                    <w:rPr>
                      <w:rFonts w:asciiTheme="minorHAnsi" w:hAnsiTheme="minorHAnsi"/>
                      <w:sz w:val="20"/>
                    </w:rPr>
                  </w:pPr>
                  <w:r w:rsidRPr="00933E45">
                    <w:rPr>
                      <w:rFonts w:asciiTheme="minorHAnsi" w:hAnsiTheme="minorHAnsi"/>
                      <w:sz w:val="20"/>
                    </w:rPr>
                    <w:t>Calcium Chloride</w:t>
                  </w:r>
                </w:p>
              </w:tc>
              <w:tc>
                <w:tcPr>
                  <w:tcW w:w="681" w:type="pct"/>
                  <w:vAlign w:val="bottom"/>
                  <w:hideMark/>
                </w:tcPr>
                <w:p w:rsidRPr="00933E45" w:rsidR="00E940B8" w:rsidP="0059793A" w:rsidRDefault="00E940B8" w14:paraId="5585425A" w14:textId="77777777">
                  <w:pPr>
                    <w:pStyle w:val="BodyText"/>
                    <w:rPr>
                      <w:rFonts w:asciiTheme="minorHAnsi" w:hAnsiTheme="minorHAnsi"/>
                      <w:sz w:val="20"/>
                    </w:rPr>
                  </w:pPr>
                  <w:r w:rsidRPr="00933E45">
                    <w:rPr>
                      <w:rFonts w:asciiTheme="minorHAnsi" w:hAnsiTheme="minorHAnsi"/>
                      <w:sz w:val="20"/>
                    </w:rPr>
                    <w:t xml:space="preserve">13.6 mEq </w:t>
                  </w:r>
                </w:p>
              </w:tc>
              <w:tc>
                <w:tcPr>
                  <w:tcW w:w="789" w:type="pct"/>
                  <w:hideMark/>
                </w:tcPr>
                <w:p w:rsidRPr="00933E45" w:rsidR="00E940B8" w:rsidP="0059793A" w:rsidRDefault="00E940B8" w14:paraId="744F5EF5" w14:textId="77777777">
                  <w:pPr>
                    <w:pStyle w:val="BodyText"/>
                    <w:rPr>
                      <w:rFonts w:asciiTheme="minorHAnsi" w:hAnsiTheme="minorHAnsi"/>
                      <w:sz w:val="20"/>
                    </w:rPr>
                  </w:pPr>
                  <w:r w:rsidRPr="00933E45">
                    <w:rPr>
                      <w:rFonts w:asciiTheme="minorHAnsi" w:hAnsiTheme="minorHAnsi"/>
                      <w:sz w:val="20"/>
                    </w:rPr>
                    <w:t xml:space="preserve">273 mg </w:t>
                  </w:r>
                </w:p>
              </w:tc>
              <w:tc>
                <w:tcPr>
                  <w:tcW w:w="1224" w:type="pct"/>
                  <w:hideMark/>
                </w:tcPr>
                <w:p w:rsidRPr="00933E45" w:rsidR="00E940B8" w:rsidP="0059793A" w:rsidRDefault="00E940B8" w14:paraId="23FAC083" w14:textId="77777777">
                  <w:pPr>
                    <w:pStyle w:val="BodyText"/>
                    <w:rPr>
                      <w:rFonts w:asciiTheme="minorHAnsi" w:hAnsiTheme="minorHAnsi"/>
                      <w:sz w:val="20"/>
                    </w:rPr>
                  </w:pPr>
                  <w:r w:rsidRPr="00933E45">
                    <w:rPr>
                      <w:rFonts w:asciiTheme="minorHAnsi" w:hAnsiTheme="minorHAnsi"/>
                      <w:sz w:val="20"/>
                    </w:rPr>
                    <w:t xml:space="preserve">6.80 mmol </w:t>
                  </w:r>
                </w:p>
              </w:tc>
            </w:tr>
            <w:tr w:rsidRPr="00933E45" w:rsidR="00E940B8" w:rsidTr="0059793A" w14:paraId="078B3745" w14:textId="77777777">
              <w:trPr>
                <w:tblCellSpacing w:w="7" w:type="dxa"/>
                <w:jc w:val="center"/>
              </w:trPr>
              <w:tc>
                <w:tcPr>
                  <w:tcW w:w="2262" w:type="pct"/>
                  <w:hideMark/>
                </w:tcPr>
                <w:p w:rsidRPr="00933E45" w:rsidR="00E940B8" w:rsidP="0059793A" w:rsidRDefault="00E940B8" w14:paraId="634EF05C" w14:textId="77777777">
                  <w:pPr>
                    <w:pStyle w:val="BodyText"/>
                    <w:rPr>
                      <w:rFonts w:asciiTheme="minorHAnsi" w:hAnsiTheme="minorHAnsi"/>
                      <w:sz w:val="20"/>
                    </w:rPr>
                  </w:pPr>
                  <w:r w:rsidRPr="00933E45">
                    <w:rPr>
                      <w:rFonts w:asciiTheme="minorHAnsi" w:hAnsiTheme="minorHAnsi"/>
                      <w:sz w:val="20"/>
                    </w:rPr>
                    <w:t xml:space="preserve">Calcium Glubionate </w:t>
                  </w:r>
                </w:p>
              </w:tc>
              <w:tc>
                <w:tcPr>
                  <w:tcW w:w="681" w:type="pct"/>
                  <w:vAlign w:val="bottom"/>
                  <w:hideMark/>
                </w:tcPr>
                <w:p w:rsidRPr="00933E45" w:rsidR="00E940B8" w:rsidP="0059793A" w:rsidRDefault="00E940B8" w14:paraId="6667F7F9" w14:textId="77777777">
                  <w:pPr>
                    <w:pStyle w:val="BodyText"/>
                    <w:rPr>
                      <w:rFonts w:asciiTheme="minorHAnsi" w:hAnsiTheme="minorHAnsi"/>
                      <w:sz w:val="20"/>
                    </w:rPr>
                  </w:pPr>
                  <w:r w:rsidRPr="00933E45">
                    <w:rPr>
                      <w:rFonts w:asciiTheme="minorHAnsi" w:hAnsiTheme="minorHAnsi"/>
                      <w:sz w:val="20"/>
                    </w:rPr>
                    <w:t xml:space="preserve">3.29 mEq </w:t>
                  </w:r>
                </w:p>
              </w:tc>
              <w:tc>
                <w:tcPr>
                  <w:tcW w:w="789" w:type="pct"/>
                  <w:hideMark/>
                </w:tcPr>
                <w:p w:rsidRPr="00933E45" w:rsidR="00E940B8" w:rsidP="0059793A" w:rsidRDefault="00E940B8" w14:paraId="3DA103A4" w14:textId="77777777">
                  <w:pPr>
                    <w:pStyle w:val="BodyText"/>
                    <w:rPr>
                      <w:rFonts w:asciiTheme="minorHAnsi" w:hAnsiTheme="minorHAnsi"/>
                      <w:sz w:val="20"/>
                    </w:rPr>
                  </w:pPr>
                  <w:r w:rsidRPr="00933E45">
                    <w:rPr>
                      <w:rFonts w:asciiTheme="minorHAnsi" w:hAnsiTheme="minorHAnsi"/>
                      <w:sz w:val="20"/>
                    </w:rPr>
                    <w:t xml:space="preserve">66 mg </w:t>
                  </w:r>
                </w:p>
              </w:tc>
              <w:tc>
                <w:tcPr>
                  <w:tcW w:w="1224" w:type="pct"/>
                  <w:hideMark/>
                </w:tcPr>
                <w:p w:rsidRPr="00933E45" w:rsidR="00E940B8" w:rsidP="0059793A" w:rsidRDefault="00E940B8" w14:paraId="651591E7" w14:textId="77777777">
                  <w:pPr>
                    <w:pStyle w:val="BodyText"/>
                    <w:rPr>
                      <w:rFonts w:asciiTheme="minorHAnsi" w:hAnsiTheme="minorHAnsi"/>
                      <w:sz w:val="20"/>
                    </w:rPr>
                  </w:pPr>
                  <w:r w:rsidRPr="00933E45">
                    <w:rPr>
                      <w:rFonts w:asciiTheme="minorHAnsi" w:hAnsiTheme="minorHAnsi"/>
                      <w:sz w:val="20"/>
                    </w:rPr>
                    <w:t xml:space="preserve">1.64 mmol </w:t>
                  </w:r>
                </w:p>
              </w:tc>
            </w:tr>
            <w:tr w:rsidRPr="00933E45" w:rsidR="00E940B8" w:rsidTr="0059793A" w14:paraId="24247ACC" w14:textId="77777777">
              <w:trPr>
                <w:tblCellSpacing w:w="7" w:type="dxa"/>
                <w:jc w:val="center"/>
              </w:trPr>
              <w:tc>
                <w:tcPr>
                  <w:tcW w:w="2262" w:type="pct"/>
                  <w:hideMark/>
                </w:tcPr>
                <w:p w:rsidRPr="00933E45" w:rsidR="00E940B8" w:rsidP="0059793A" w:rsidRDefault="00E940B8" w14:paraId="02D3F835" w14:textId="77777777">
                  <w:pPr>
                    <w:pStyle w:val="BodyText"/>
                    <w:rPr>
                      <w:rFonts w:asciiTheme="minorHAnsi" w:hAnsiTheme="minorHAnsi"/>
                      <w:sz w:val="20"/>
                    </w:rPr>
                  </w:pPr>
                  <w:r w:rsidRPr="00933E45">
                    <w:rPr>
                      <w:rFonts w:asciiTheme="minorHAnsi" w:hAnsiTheme="minorHAnsi"/>
                      <w:sz w:val="20"/>
                    </w:rPr>
                    <w:t xml:space="preserve">Calcium Gluceptate </w:t>
                  </w:r>
                </w:p>
              </w:tc>
              <w:tc>
                <w:tcPr>
                  <w:tcW w:w="681" w:type="pct"/>
                  <w:vAlign w:val="bottom"/>
                  <w:hideMark/>
                </w:tcPr>
                <w:p w:rsidRPr="00933E45" w:rsidR="00E940B8" w:rsidP="0059793A" w:rsidRDefault="00E940B8" w14:paraId="18E5CE31" w14:textId="77777777">
                  <w:pPr>
                    <w:pStyle w:val="BodyText"/>
                    <w:rPr>
                      <w:rFonts w:asciiTheme="minorHAnsi" w:hAnsiTheme="minorHAnsi"/>
                      <w:sz w:val="20"/>
                    </w:rPr>
                  </w:pPr>
                  <w:r w:rsidRPr="00933E45">
                    <w:rPr>
                      <w:rFonts w:asciiTheme="minorHAnsi" w:hAnsiTheme="minorHAnsi"/>
                      <w:sz w:val="20"/>
                    </w:rPr>
                    <w:t xml:space="preserve">4.08 mEq </w:t>
                  </w:r>
                </w:p>
              </w:tc>
              <w:tc>
                <w:tcPr>
                  <w:tcW w:w="789" w:type="pct"/>
                  <w:hideMark/>
                </w:tcPr>
                <w:p w:rsidRPr="00933E45" w:rsidR="00E940B8" w:rsidP="0059793A" w:rsidRDefault="00E940B8" w14:paraId="4323E57A" w14:textId="77777777">
                  <w:pPr>
                    <w:pStyle w:val="BodyText"/>
                    <w:rPr>
                      <w:rFonts w:asciiTheme="minorHAnsi" w:hAnsiTheme="minorHAnsi"/>
                      <w:sz w:val="20"/>
                    </w:rPr>
                  </w:pPr>
                  <w:r w:rsidRPr="00933E45">
                    <w:rPr>
                      <w:rFonts w:asciiTheme="minorHAnsi" w:hAnsiTheme="minorHAnsi"/>
                      <w:sz w:val="20"/>
                    </w:rPr>
                    <w:t xml:space="preserve">82 mg </w:t>
                  </w:r>
                </w:p>
              </w:tc>
              <w:tc>
                <w:tcPr>
                  <w:tcW w:w="1224" w:type="pct"/>
                  <w:hideMark/>
                </w:tcPr>
                <w:p w:rsidRPr="00933E45" w:rsidR="00E940B8" w:rsidP="0059793A" w:rsidRDefault="00E940B8" w14:paraId="5327423A" w14:textId="77777777">
                  <w:pPr>
                    <w:pStyle w:val="BodyText"/>
                    <w:rPr>
                      <w:rFonts w:asciiTheme="minorHAnsi" w:hAnsiTheme="minorHAnsi"/>
                      <w:sz w:val="20"/>
                    </w:rPr>
                  </w:pPr>
                  <w:r w:rsidRPr="00933E45">
                    <w:rPr>
                      <w:rFonts w:asciiTheme="minorHAnsi" w:hAnsiTheme="minorHAnsi"/>
                      <w:sz w:val="20"/>
                    </w:rPr>
                    <w:t xml:space="preserve">2.04 mmol </w:t>
                  </w:r>
                </w:p>
              </w:tc>
            </w:tr>
            <w:tr w:rsidRPr="00933E45" w:rsidR="00E940B8" w:rsidTr="0059793A" w14:paraId="7636D457" w14:textId="77777777">
              <w:trPr>
                <w:tblCellSpacing w:w="7" w:type="dxa"/>
                <w:jc w:val="center"/>
              </w:trPr>
              <w:tc>
                <w:tcPr>
                  <w:tcW w:w="2262" w:type="pct"/>
                  <w:hideMark/>
                </w:tcPr>
                <w:p w:rsidRPr="00933E45" w:rsidR="00E940B8" w:rsidP="0059793A" w:rsidRDefault="00E940B8" w14:paraId="2687A1C7" w14:textId="77777777">
                  <w:pPr>
                    <w:pStyle w:val="BodyText"/>
                    <w:rPr>
                      <w:rFonts w:asciiTheme="minorHAnsi" w:hAnsiTheme="minorHAnsi"/>
                      <w:sz w:val="20"/>
                    </w:rPr>
                  </w:pPr>
                  <w:r w:rsidRPr="00933E45">
                    <w:rPr>
                      <w:rFonts w:asciiTheme="minorHAnsi" w:hAnsiTheme="minorHAnsi"/>
                      <w:sz w:val="20"/>
                    </w:rPr>
                    <w:t>Calcium Gluconate</w:t>
                  </w:r>
                </w:p>
              </w:tc>
              <w:tc>
                <w:tcPr>
                  <w:tcW w:w="681" w:type="pct"/>
                  <w:vAlign w:val="bottom"/>
                  <w:hideMark/>
                </w:tcPr>
                <w:p w:rsidRPr="00933E45" w:rsidR="00E940B8" w:rsidP="0059793A" w:rsidRDefault="00E940B8" w14:paraId="3C561594" w14:textId="77777777">
                  <w:pPr>
                    <w:pStyle w:val="BodyText"/>
                    <w:rPr>
                      <w:rFonts w:asciiTheme="minorHAnsi" w:hAnsiTheme="minorHAnsi"/>
                      <w:sz w:val="20"/>
                    </w:rPr>
                  </w:pPr>
                  <w:r w:rsidRPr="00933E45">
                    <w:rPr>
                      <w:rFonts w:asciiTheme="minorHAnsi" w:hAnsiTheme="minorHAnsi"/>
                      <w:sz w:val="20"/>
                    </w:rPr>
                    <w:t xml:space="preserve">4.65 mEq </w:t>
                  </w:r>
                </w:p>
              </w:tc>
              <w:tc>
                <w:tcPr>
                  <w:tcW w:w="789" w:type="pct"/>
                  <w:hideMark/>
                </w:tcPr>
                <w:p w:rsidRPr="00933E45" w:rsidR="00E940B8" w:rsidP="0059793A" w:rsidRDefault="00E940B8" w14:paraId="4D8690C7" w14:textId="77777777">
                  <w:pPr>
                    <w:pStyle w:val="BodyText"/>
                    <w:rPr>
                      <w:rFonts w:asciiTheme="minorHAnsi" w:hAnsiTheme="minorHAnsi"/>
                      <w:sz w:val="20"/>
                    </w:rPr>
                  </w:pPr>
                  <w:r w:rsidRPr="00933E45">
                    <w:rPr>
                      <w:rFonts w:asciiTheme="minorHAnsi" w:hAnsiTheme="minorHAnsi"/>
                      <w:sz w:val="20"/>
                    </w:rPr>
                    <w:t xml:space="preserve">93 mg </w:t>
                  </w:r>
                </w:p>
              </w:tc>
              <w:tc>
                <w:tcPr>
                  <w:tcW w:w="1224" w:type="pct"/>
                  <w:hideMark/>
                </w:tcPr>
                <w:p w:rsidRPr="00933E45" w:rsidR="00E940B8" w:rsidP="0059793A" w:rsidRDefault="00E940B8" w14:paraId="3E6CFD1B" w14:textId="77777777">
                  <w:pPr>
                    <w:pStyle w:val="BodyText"/>
                    <w:rPr>
                      <w:rFonts w:asciiTheme="minorHAnsi" w:hAnsiTheme="minorHAnsi"/>
                      <w:sz w:val="20"/>
                    </w:rPr>
                  </w:pPr>
                  <w:r w:rsidRPr="00933E45">
                    <w:rPr>
                      <w:rFonts w:asciiTheme="minorHAnsi" w:hAnsiTheme="minorHAnsi"/>
                      <w:sz w:val="20"/>
                    </w:rPr>
                    <w:t xml:space="preserve">2.32 mmol </w:t>
                  </w:r>
                </w:p>
              </w:tc>
            </w:tr>
          </w:tbl>
          <w:p w:rsidRPr="00933E45" w:rsidR="00E940B8" w:rsidP="0059793A" w:rsidRDefault="00E940B8" w14:paraId="307CFE26" w14:textId="77777777">
            <w:pPr>
              <w:pStyle w:val="BodyText"/>
              <w:rPr>
                <w:rFonts w:asciiTheme="minorHAnsi" w:hAnsiTheme="minorHAnsi"/>
                <w:sz w:val="20"/>
              </w:rPr>
            </w:pPr>
          </w:p>
        </w:tc>
      </w:tr>
      <w:tr w:rsidRPr="00933E45" w:rsidR="00E940B8" w:rsidTr="0059793A" w14:paraId="00D573C8" w14:textId="77777777">
        <w:trPr>
          <w:trHeight w:val="362"/>
        </w:trPr>
        <w:tc>
          <w:tcPr>
            <w:tcW w:w="1015" w:type="pct"/>
          </w:tcPr>
          <w:p w:rsidRPr="00933E45" w:rsidR="00E940B8" w:rsidP="0059793A" w:rsidRDefault="00E940B8" w14:paraId="0C3083FF" w14:textId="77777777">
            <w:pPr>
              <w:pStyle w:val="BodyText"/>
              <w:rPr>
                <w:rFonts w:cs="Arial" w:asciiTheme="minorHAnsi" w:hAnsiTheme="minorHAnsi"/>
                <w:b/>
                <w:bCs/>
                <w:sz w:val="20"/>
              </w:rPr>
            </w:pPr>
            <w:r w:rsidRPr="00933E45">
              <w:rPr>
                <w:rFonts w:cs="Arial" w:asciiTheme="minorHAnsi" w:hAnsiTheme="minorHAnsi"/>
                <w:b/>
                <w:bCs/>
                <w:sz w:val="20"/>
              </w:rPr>
              <w:t>Evidence summary</w:t>
            </w:r>
          </w:p>
        </w:tc>
        <w:tc>
          <w:tcPr>
            <w:tcW w:w="3985" w:type="pct"/>
          </w:tcPr>
          <w:p w:rsidRPr="00137DCA" w:rsidR="00E940B8" w:rsidP="0059793A" w:rsidRDefault="00E940B8" w14:paraId="3C44920C" w14:textId="77777777">
            <w:pPr>
              <w:pStyle w:val="BodyText"/>
              <w:rPr>
                <w:rFonts w:cs="Arial" w:asciiTheme="minorHAnsi" w:hAnsiTheme="minorHAnsi"/>
                <w:b/>
                <w:sz w:val="16"/>
                <w:szCs w:val="16"/>
              </w:rPr>
            </w:pPr>
            <w:r w:rsidRPr="00137DCA">
              <w:rPr>
                <w:rFonts w:cs="Arial" w:asciiTheme="minorHAnsi" w:hAnsiTheme="minorHAnsi"/>
                <w:b/>
                <w:sz w:val="16"/>
                <w:szCs w:val="16"/>
              </w:rPr>
              <w:t>Hypocalcaemia:</w:t>
            </w:r>
          </w:p>
          <w:p w:rsidRPr="00137DCA" w:rsidR="00E940B8" w:rsidP="0059793A" w:rsidRDefault="00E940B8" w14:paraId="2DA3A9FB" w14:textId="77777777">
            <w:pPr>
              <w:pStyle w:val="BodyText"/>
              <w:rPr>
                <w:rFonts w:cs="Arial" w:asciiTheme="minorHAnsi" w:hAnsiTheme="minorHAnsi"/>
                <w:sz w:val="16"/>
                <w:szCs w:val="16"/>
              </w:rPr>
            </w:pPr>
            <w:r w:rsidRPr="00137DCA">
              <w:rPr>
                <w:rFonts w:cs="Arial" w:asciiTheme="minorHAnsi" w:hAnsiTheme="minorHAnsi"/>
                <w:sz w:val="16"/>
                <w:szCs w:val="16"/>
              </w:rPr>
              <w:t>Hypocalcaemia may be defined as a serum total calcium concentration &lt;1.875 mmol/L (7.5 mg/dL) or ionized calcium &lt; 1.2 mmol/L.</w:t>
            </w:r>
            <w:r w:rsidRPr="00137DCA">
              <w:rPr>
                <w:rFonts w:cs="Arial" w:asciiTheme="minorHAnsi" w:hAnsiTheme="minorHAnsi"/>
                <w:noProof/>
                <w:sz w:val="16"/>
                <w:szCs w:val="16"/>
              </w:rPr>
              <w:t>[1]</w:t>
            </w:r>
            <w:r w:rsidRPr="00137DCA">
              <w:rPr>
                <w:rFonts w:cs="Arial" w:asciiTheme="minorHAnsi" w:hAnsiTheme="minorHAnsi"/>
                <w:sz w:val="16"/>
                <w:szCs w:val="16"/>
              </w:rPr>
              <w:t xml:space="preserve"> Calcium concentrations decrease transiently after birth.</w:t>
            </w:r>
            <w:r w:rsidRPr="00137DCA">
              <w:rPr>
                <w:rFonts w:cs="Arial" w:asciiTheme="minorHAnsi" w:hAnsiTheme="minorHAnsi"/>
                <w:noProof/>
                <w:sz w:val="16"/>
                <w:szCs w:val="16"/>
              </w:rPr>
              <w:t>[2-4]</w:t>
            </w:r>
            <w:r w:rsidRPr="00137DCA">
              <w:rPr>
                <w:rFonts w:cs="Arial" w:asciiTheme="minorHAnsi" w:hAnsiTheme="minorHAnsi"/>
                <w:sz w:val="16"/>
                <w:szCs w:val="16"/>
              </w:rPr>
              <w:t xml:space="preserve"> Early neonatal hypocalcaemia occurs within the first 3 days of life and is common in premature infants with 26% to 50% having levels &lt; 1.75 mmol/L (7 mg/dL).</w:t>
            </w:r>
            <w:r w:rsidRPr="00137DCA">
              <w:rPr>
                <w:rFonts w:cs="Arial" w:asciiTheme="minorHAnsi" w:hAnsiTheme="minorHAnsi"/>
                <w:noProof/>
                <w:sz w:val="16"/>
                <w:szCs w:val="16"/>
              </w:rPr>
              <w:t>[2-4]</w:t>
            </w:r>
            <w:r w:rsidRPr="00137DCA">
              <w:rPr>
                <w:rFonts w:cs="Arial" w:asciiTheme="minorHAnsi" w:hAnsiTheme="minorHAnsi"/>
                <w:sz w:val="16"/>
                <w:szCs w:val="16"/>
              </w:rPr>
              <w:t xml:space="preserve"> Most infants will be asymptomatic, with hypocalcaemia detected only on routine chemistries. They may present with symptoms of neuromuscular irritability including tremulousness, tetany, exaggerated startle response, seizures and laryngospasm, and nonspecific symptoms such as apnea.</w:t>
            </w:r>
            <w:r w:rsidRPr="00137DCA">
              <w:rPr>
                <w:rFonts w:cs="Arial" w:asciiTheme="minorHAnsi" w:hAnsiTheme="minorHAnsi"/>
                <w:noProof/>
                <w:sz w:val="16"/>
                <w:szCs w:val="16"/>
              </w:rPr>
              <w:t>[1, 3]</w:t>
            </w:r>
            <w:r w:rsidRPr="00137DCA">
              <w:rPr>
                <w:rFonts w:cs="Arial" w:asciiTheme="minorHAnsi" w:hAnsiTheme="minorHAnsi"/>
                <w:sz w:val="16"/>
                <w:szCs w:val="16"/>
              </w:rPr>
              <w:t xml:space="preserve"> </w:t>
            </w:r>
          </w:p>
          <w:p w:rsidRPr="00137DCA" w:rsidR="00E940B8" w:rsidP="0059793A" w:rsidRDefault="00E940B8" w14:paraId="7ABCD0EE" w14:textId="77777777">
            <w:pPr>
              <w:pStyle w:val="BodyText"/>
              <w:rPr>
                <w:rFonts w:cs="Arial" w:asciiTheme="minorHAnsi" w:hAnsiTheme="minorHAnsi"/>
                <w:b/>
                <w:sz w:val="16"/>
                <w:szCs w:val="16"/>
              </w:rPr>
            </w:pPr>
          </w:p>
          <w:p w:rsidRPr="00137DCA" w:rsidR="00E940B8" w:rsidP="0059793A" w:rsidRDefault="00E940B8" w14:paraId="38A836FE" w14:textId="77777777">
            <w:pPr>
              <w:pStyle w:val="BodyText"/>
              <w:rPr>
                <w:rFonts w:cs="Arial" w:asciiTheme="minorHAnsi" w:hAnsiTheme="minorHAnsi"/>
                <w:b/>
                <w:sz w:val="16"/>
                <w:szCs w:val="16"/>
              </w:rPr>
            </w:pPr>
            <w:r w:rsidRPr="00137DCA">
              <w:rPr>
                <w:rFonts w:cs="Arial" w:asciiTheme="minorHAnsi" w:hAnsiTheme="minorHAnsi"/>
                <w:b/>
                <w:sz w:val="16"/>
                <w:szCs w:val="16"/>
              </w:rPr>
              <w:t xml:space="preserve">Efficacy: </w:t>
            </w:r>
          </w:p>
          <w:p w:rsidRPr="00137DCA" w:rsidR="00E940B8" w:rsidP="0059793A" w:rsidRDefault="00E940B8" w14:paraId="285283EB" w14:textId="77777777">
            <w:pPr>
              <w:pStyle w:val="BodyText"/>
              <w:rPr>
                <w:rFonts w:cs="Arial" w:asciiTheme="minorHAnsi" w:hAnsiTheme="minorHAnsi"/>
                <w:sz w:val="16"/>
                <w:szCs w:val="16"/>
              </w:rPr>
            </w:pPr>
            <w:r w:rsidRPr="00137DCA">
              <w:rPr>
                <w:rFonts w:cs="Arial" w:asciiTheme="minorHAnsi" w:hAnsiTheme="minorHAnsi"/>
                <w:b/>
                <w:sz w:val="16"/>
                <w:szCs w:val="16"/>
              </w:rPr>
              <w:t>Treatment of hypocalcaemia:</w:t>
            </w:r>
            <w:r w:rsidRPr="00137DCA">
              <w:rPr>
                <w:rFonts w:cs="Arial" w:asciiTheme="minorHAnsi" w:hAnsiTheme="minorHAnsi"/>
                <w:sz w:val="16"/>
                <w:szCs w:val="16"/>
              </w:rPr>
              <w:t xml:space="preserve"> In normocalcaemic infants, a randomised trial of calcium chloride 10% (2.5 mg/kg) vs calcium gluconate 10% (7.5 mg/kg) reported an equal effect on calcium concentrations.</w:t>
            </w:r>
            <w:r w:rsidRPr="00137DCA">
              <w:rPr>
                <w:rFonts w:cs="Arial" w:asciiTheme="minorHAnsi" w:hAnsiTheme="minorHAnsi"/>
                <w:noProof/>
                <w:sz w:val="16"/>
                <w:szCs w:val="16"/>
              </w:rPr>
              <w:t>[5]</w:t>
            </w:r>
            <w:r w:rsidRPr="00137DCA">
              <w:rPr>
                <w:rFonts w:cs="Arial" w:asciiTheme="minorHAnsi" w:hAnsiTheme="minorHAnsi"/>
                <w:sz w:val="16"/>
                <w:szCs w:val="16"/>
              </w:rPr>
              <w:t xml:space="preserve"> However, in 49 critically ill, hypocalcaemic infants (age 1 day to 17 years), calcium chloride 0.136 mEq/kg per dose resulted in a greater increase in ionised calcium and blood pressure than calcium gluconate 0.136 mEq/kg per dose. The group receiving calcium chloride had an increase in MAP of nearly 6 mm Hg (p &lt;0.05). No change in blood pressure was seen in the group receiving calcium gluconate.</w:t>
            </w:r>
            <w:r w:rsidRPr="00137DCA">
              <w:rPr>
                <w:rFonts w:cs="Arial" w:asciiTheme="minorHAnsi" w:hAnsiTheme="minorHAnsi"/>
                <w:noProof/>
                <w:sz w:val="16"/>
                <w:szCs w:val="16"/>
              </w:rPr>
              <w:t>[6]</w:t>
            </w:r>
            <w:r w:rsidRPr="00137DCA">
              <w:rPr>
                <w:rFonts w:cs="Arial" w:asciiTheme="minorHAnsi" w:hAnsiTheme="minorHAnsi"/>
                <w:sz w:val="16"/>
                <w:szCs w:val="16"/>
              </w:rPr>
              <w:t xml:space="preserve"> In 104 newborns with late symptomatic hypocalcaemia after artificial feeding with a full-cream evaporated milk were randomly allocated to calcium gluconate 10% 10 ml orally vs phenobarbitone 75 mg 6-hourly orally for 48 hours vs magnesium sulphate 50% 0.2 mL/kg intramuscularly on two occasions 12 hourly. The plasma calcium levels rose in all groups, but infants treated with magnesium sulphate had higher plasma-calcium concentrations after 48 hours’ treatment and fewer convulsions during and after the treatment period.</w:t>
            </w:r>
            <w:r w:rsidRPr="00137DCA">
              <w:rPr>
                <w:rFonts w:cs="Arial" w:asciiTheme="minorHAnsi" w:hAnsiTheme="minorHAnsi"/>
                <w:noProof/>
                <w:sz w:val="16"/>
                <w:szCs w:val="16"/>
              </w:rPr>
              <w:t>[7]</w:t>
            </w:r>
          </w:p>
          <w:p w:rsidRPr="00137DCA" w:rsidR="00E940B8" w:rsidP="0059793A" w:rsidRDefault="00E940B8" w14:paraId="009B9974" w14:textId="77777777">
            <w:pPr>
              <w:pStyle w:val="BodyText"/>
              <w:rPr>
                <w:rFonts w:cs="Arial" w:asciiTheme="minorHAnsi" w:hAnsiTheme="minorHAnsi"/>
                <w:sz w:val="16"/>
                <w:szCs w:val="16"/>
              </w:rPr>
            </w:pPr>
            <w:r w:rsidRPr="00137DCA">
              <w:rPr>
                <w:rFonts w:cs="Arial" w:asciiTheme="minorHAnsi" w:hAnsiTheme="minorHAnsi"/>
                <w:b/>
                <w:sz w:val="16"/>
                <w:szCs w:val="16"/>
              </w:rPr>
              <w:t xml:space="preserve">Prevention of hypocalcaemia: </w:t>
            </w:r>
            <w:r w:rsidRPr="00137DCA">
              <w:rPr>
                <w:rFonts w:cs="Arial" w:asciiTheme="minorHAnsi" w:hAnsiTheme="minorHAnsi"/>
                <w:sz w:val="16"/>
                <w:szCs w:val="16"/>
              </w:rPr>
              <w:t>In preterm and sick newborn infants, the addition of calcium gluconate 10% at 4 ml/kg/day [0.93 mmol/day calcium] to maintenance fluids for 120 hours resulted in a reduction in hypocalcaemia incidence (15% vs 48% ionised Ca &lt;0.7 mmol/l) but an increased incidence of extravasation with tissue damage (35% vs 10%). The benefit of intravenous calcium was short lived and associated with a significant risk of local tissue necrosis.</w:t>
            </w:r>
            <w:r w:rsidRPr="00137DCA">
              <w:rPr>
                <w:rFonts w:cs="Arial" w:asciiTheme="minorHAnsi" w:hAnsiTheme="minorHAnsi"/>
                <w:noProof/>
                <w:sz w:val="16"/>
                <w:szCs w:val="16"/>
              </w:rPr>
              <w:t>[8]</w:t>
            </w:r>
          </w:p>
          <w:p w:rsidRPr="00137DCA" w:rsidR="00E940B8" w:rsidP="0059793A" w:rsidRDefault="00E940B8" w14:paraId="6C5AAAC4" w14:textId="77777777">
            <w:pPr>
              <w:pStyle w:val="BodyText"/>
              <w:rPr>
                <w:rFonts w:cs="Arial" w:asciiTheme="minorHAnsi" w:hAnsiTheme="minorHAnsi"/>
                <w:b/>
                <w:sz w:val="16"/>
                <w:szCs w:val="16"/>
              </w:rPr>
            </w:pPr>
            <w:r w:rsidRPr="00137DCA">
              <w:rPr>
                <w:rFonts w:cs="Arial" w:asciiTheme="minorHAnsi" w:hAnsiTheme="minorHAnsi"/>
                <w:b/>
                <w:sz w:val="16"/>
                <w:szCs w:val="16"/>
              </w:rPr>
              <w:t xml:space="preserve">Recommendation: </w:t>
            </w:r>
          </w:p>
          <w:p w:rsidRPr="00137DCA" w:rsidR="00E940B8" w:rsidP="0059793A" w:rsidRDefault="00E940B8" w14:paraId="6D5600CF" w14:textId="77777777">
            <w:pPr>
              <w:pStyle w:val="BodyText"/>
              <w:rPr>
                <w:rFonts w:cs="Arial" w:asciiTheme="minorHAnsi" w:hAnsiTheme="minorHAnsi"/>
                <w:sz w:val="16"/>
                <w:szCs w:val="16"/>
              </w:rPr>
            </w:pPr>
            <w:r w:rsidRPr="00137DCA">
              <w:rPr>
                <w:rFonts w:cs="Arial" w:asciiTheme="minorHAnsi" w:hAnsiTheme="minorHAnsi"/>
                <w:sz w:val="16"/>
                <w:szCs w:val="16"/>
              </w:rPr>
              <w:t>Routine addition of calcium to maintenance fluids cannot be recommended in high risk babies.</w:t>
            </w:r>
            <w:r w:rsidRPr="00137DCA">
              <w:rPr>
                <w:rFonts w:cs="Arial" w:asciiTheme="minorHAnsi" w:hAnsiTheme="minorHAnsi"/>
                <w:noProof/>
                <w:sz w:val="16"/>
                <w:szCs w:val="16"/>
              </w:rPr>
              <w:t>[8]</w:t>
            </w:r>
            <w:r w:rsidRPr="00137DCA">
              <w:rPr>
                <w:rFonts w:cs="Arial" w:asciiTheme="minorHAnsi" w:hAnsiTheme="minorHAnsi"/>
                <w:sz w:val="16"/>
                <w:szCs w:val="16"/>
              </w:rPr>
              <w:t xml:space="preserve">(LOE II GOR C) </w:t>
            </w:r>
          </w:p>
          <w:p w:rsidRPr="00137DCA" w:rsidR="00E940B8" w:rsidP="0059793A" w:rsidRDefault="00E940B8" w14:paraId="176A0840" w14:textId="77777777">
            <w:pPr>
              <w:pStyle w:val="BodyText"/>
              <w:rPr>
                <w:rFonts w:cs="Arial" w:asciiTheme="minorHAnsi" w:hAnsiTheme="minorHAnsi"/>
                <w:sz w:val="16"/>
                <w:szCs w:val="16"/>
              </w:rPr>
            </w:pPr>
            <w:r w:rsidRPr="00137DCA">
              <w:rPr>
                <w:rFonts w:cs="Arial" w:asciiTheme="minorHAnsi" w:hAnsiTheme="minorHAnsi"/>
                <w:sz w:val="16"/>
                <w:szCs w:val="16"/>
              </w:rPr>
              <w:t xml:space="preserve">Treatment of newborns with acute or symptomatic hypocalcaemia is accomplished best by the intravenous infusion of calcium salts - 10% calcium gluconate (9.3 mg/mL of elemental calcium) is used most commonly. In asymptomatic newborns, treatment is indicated when the total serum calcium concentration &lt; 1.5 mmol/L (6 mg/dL) in the </w:t>
            </w:r>
            <w:r w:rsidRPr="00137DCA">
              <w:rPr>
                <w:rFonts w:cs="Arial" w:asciiTheme="minorHAnsi" w:hAnsiTheme="minorHAnsi"/>
                <w:sz w:val="16"/>
                <w:szCs w:val="16"/>
              </w:rPr>
              <w:lastRenderedPageBreak/>
              <w:t xml:space="preserve">preterm infant and less than &lt;1.75 mmol/L (7 mg/dL) in the term infant. Calcium supplementation can be given either by the intravenous or oral route, depending on the clinical status of the infant. </w:t>
            </w:r>
            <w:r w:rsidRPr="00137DCA">
              <w:rPr>
                <w:rFonts w:cs="Arial" w:asciiTheme="minorHAnsi" w:hAnsiTheme="minorHAnsi"/>
                <w:noProof/>
                <w:sz w:val="16"/>
                <w:szCs w:val="16"/>
              </w:rPr>
              <w:t>[1]</w:t>
            </w:r>
            <w:r w:rsidRPr="00137DCA">
              <w:rPr>
                <w:rFonts w:cs="Arial" w:asciiTheme="minorHAnsi" w:hAnsiTheme="minorHAnsi"/>
                <w:sz w:val="16"/>
                <w:szCs w:val="16"/>
              </w:rPr>
              <w:t xml:space="preserve"> [Expert opinion].</w:t>
            </w:r>
          </w:p>
          <w:p w:rsidRPr="00137DCA" w:rsidR="00E940B8" w:rsidP="0059793A" w:rsidRDefault="00E940B8" w14:paraId="59CB4D40" w14:textId="77777777">
            <w:pPr>
              <w:pStyle w:val="BodyText"/>
              <w:rPr>
                <w:rFonts w:cs="Arial" w:asciiTheme="minorHAnsi" w:hAnsiTheme="minorHAnsi"/>
                <w:sz w:val="16"/>
                <w:szCs w:val="16"/>
              </w:rPr>
            </w:pPr>
          </w:p>
          <w:p w:rsidRPr="00137DCA" w:rsidR="00E940B8" w:rsidP="0059793A" w:rsidRDefault="00E940B8" w14:paraId="675F6D75" w14:textId="77777777">
            <w:pPr>
              <w:pStyle w:val="BodyText"/>
              <w:rPr>
                <w:rFonts w:cs="Arial" w:asciiTheme="minorHAnsi" w:hAnsiTheme="minorHAnsi"/>
                <w:sz w:val="16"/>
                <w:szCs w:val="16"/>
              </w:rPr>
            </w:pPr>
            <w:r w:rsidRPr="00137DCA">
              <w:rPr>
                <w:rFonts w:cs="Arial" w:asciiTheme="minorHAnsi" w:hAnsiTheme="minorHAnsi"/>
                <w:b/>
                <w:sz w:val="16"/>
                <w:szCs w:val="16"/>
              </w:rPr>
              <w:t xml:space="preserve">Treatment in cardiac arrest: </w:t>
            </w:r>
            <w:r w:rsidRPr="00137DCA">
              <w:rPr>
                <w:rFonts w:cs="Arial" w:asciiTheme="minorHAnsi" w:hAnsiTheme="minorHAnsi"/>
                <w:sz w:val="16"/>
                <w:szCs w:val="16"/>
              </w:rPr>
              <w:t>Calcium is not commended for use in neonatal resuscitation by ILCOR or ANZCOR.</w:t>
            </w:r>
            <w:r w:rsidRPr="00137DCA">
              <w:rPr>
                <w:rFonts w:cs="Arial" w:asciiTheme="minorHAnsi" w:hAnsiTheme="minorHAnsi"/>
                <w:noProof/>
                <w:sz w:val="16"/>
                <w:szCs w:val="16"/>
              </w:rPr>
              <w:t>[9, 10]</w:t>
            </w:r>
            <w:r w:rsidRPr="00137DCA">
              <w:rPr>
                <w:rFonts w:cs="Arial" w:asciiTheme="minorHAnsi" w:hAnsiTheme="minorHAnsi"/>
                <w:sz w:val="16"/>
                <w:szCs w:val="16"/>
              </w:rPr>
              <w:t xml:space="preserve"> Evidence from three LOE 2 studies in children and five LOE 5 adult studies failed to document an improvement in survival to hospital admission, hospital discharge, or favourable neurological outcome when calcium was administered during cardiopulmonary arrest in the absence of documented hypocalcaemia, calcium channel blocker overdose, hypermagnesaemia or hyperkalaemia. </w:t>
            </w:r>
            <w:r w:rsidRPr="00137DCA">
              <w:rPr>
                <w:rFonts w:cs="Arial" w:asciiTheme="minorHAnsi" w:hAnsiTheme="minorHAnsi"/>
                <w:noProof/>
                <w:sz w:val="16"/>
                <w:szCs w:val="16"/>
              </w:rPr>
              <w:t>[11, 12]</w:t>
            </w:r>
            <w:r w:rsidRPr="00137DCA">
              <w:rPr>
                <w:rFonts w:cs="Arial" w:asciiTheme="minorHAnsi" w:hAnsiTheme="minorHAnsi"/>
                <w:sz w:val="16"/>
                <w:szCs w:val="16"/>
              </w:rPr>
              <w:t xml:space="preserve"> [Expert Consensus Opinion] </w:t>
            </w:r>
          </w:p>
          <w:p w:rsidRPr="00137DCA" w:rsidR="00E940B8" w:rsidP="0059793A" w:rsidRDefault="00E940B8" w14:paraId="52F72035" w14:textId="77777777">
            <w:pPr>
              <w:pStyle w:val="BodyText"/>
              <w:rPr>
                <w:rFonts w:cs="Arial" w:asciiTheme="minorHAnsi" w:hAnsiTheme="minorHAnsi"/>
                <w:sz w:val="16"/>
                <w:szCs w:val="16"/>
              </w:rPr>
            </w:pPr>
            <w:r w:rsidRPr="00137DCA">
              <w:rPr>
                <w:rFonts w:cs="Arial" w:asciiTheme="minorHAnsi" w:hAnsiTheme="minorHAnsi"/>
                <w:b/>
                <w:i/>
                <w:sz w:val="16"/>
                <w:szCs w:val="16"/>
              </w:rPr>
              <w:t>ANZCOR Paediatric recommendation:</w:t>
            </w:r>
            <w:r w:rsidRPr="00137DCA">
              <w:rPr>
                <w:rFonts w:cs="Arial" w:asciiTheme="minorHAnsi" w:hAnsiTheme="minorHAnsi"/>
                <w:sz w:val="16"/>
                <w:szCs w:val="16"/>
              </w:rPr>
              <w:t xml:space="preserve"> Calcium may be used as an inotropic or vasopressor but it has no place in the management of an arrhythmia unless it is caused by hyperkalaemia, hypocalcaemia, hypermagnesaemia or calcium channel blocker. It should not be given routinely at a cardiac arrest and is associated with worse outcome. </w:t>
            </w:r>
            <w:r w:rsidRPr="00137DCA">
              <w:rPr>
                <w:rFonts w:cs="Arial" w:asciiTheme="minorHAnsi" w:hAnsiTheme="minorHAnsi"/>
                <w:noProof/>
                <w:sz w:val="16"/>
                <w:szCs w:val="16"/>
              </w:rPr>
              <w:t>[11]</w:t>
            </w:r>
            <w:r w:rsidRPr="00137DCA">
              <w:rPr>
                <w:rFonts w:cs="Arial" w:asciiTheme="minorHAnsi" w:hAnsiTheme="minorHAnsi"/>
                <w:sz w:val="16"/>
                <w:szCs w:val="16"/>
              </w:rPr>
              <w:t xml:space="preserve"> [Expert Consensus Opinion]</w:t>
            </w:r>
          </w:p>
          <w:p w:rsidRPr="00137DCA" w:rsidR="00E940B8" w:rsidP="0059793A" w:rsidRDefault="00E940B8" w14:paraId="6D9B7103" w14:textId="77777777">
            <w:pPr>
              <w:pStyle w:val="BodyText"/>
              <w:rPr>
                <w:rFonts w:cs="Arial" w:asciiTheme="minorHAnsi" w:hAnsiTheme="minorHAnsi"/>
                <w:b/>
                <w:sz w:val="16"/>
                <w:szCs w:val="16"/>
              </w:rPr>
            </w:pPr>
          </w:p>
          <w:p w:rsidRPr="00137DCA" w:rsidR="00E940B8" w:rsidP="0059793A" w:rsidRDefault="00E940B8" w14:paraId="7F4B5F2C" w14:textId="77777777">
            <w:pPr>
              <w:pStyle w:val="BodyText"/>
              <w:rPr>
                <w:rFonts w:cs="Arial" w:asciiTheme="minorHAnsi" w:hAnsiTheme="minorHAnsi"/>
                <w:sz w:val="16"/>
                <w:szCs w:val="16"/>
              </w:rPr>
            </w:pPr>
            <w:r w:rsidRPr="00137DCA">
              <w:rPr>
                <w:rFonts w:cs="Arial" w:asciiTheme="minorHAnsi" w:hAnsiTheme="minorHAnsi"/>
                <w:b/>
                <w:sz w:val="16"/>
                <w:szCs w:val="16"/>
              </w:rPr>
              <w:t xml:space="preserve">Arrhythmia caused by hyperkalaemia, hypocalcaemia or hypermagnesaemia, or hypotension caused by calcium channel blocker: </w:t>
            </w:r>
            <w:r w:rsidRPr="00137DCA">
              <w:rPr>
                <w:rFonts w:cs="Arial" w:asciiTheme="minorHAnsi" w:hAnsiTheme="minorHAnsi"/>
                <w:sz w:val="16"/>
                <w:szCs w:val="16"/>
              </w:rPr>
              <w:t xml:space="preserve">In a case series, extremely premature infants with arrhythmia secondary to hyperkalaemia were all initially successfully treated with an intravenous bolus of calcium (dose not reported). </w:t>
            </w:r>
            <w:r w:rsidRPr="00137DCA">
              <w:rPr>
                <w:rFonts w:cs="Arial" w:asciiTheme="minorHAnsi" w:hAnsiTheme="minorHAnsi"/>
                <w:noProof/>
                <w:sz w:val="16"/>
                <w:szCs w:val="16"/>
              </w:rPr>
              <w:t>[13, 14]</w:t>
            </w:r>
            <w:r w:rsidRPr="00137DCA">
              <w:rPr>
                <w:rFonts w:cs="Arial" w:asciiTheme="minorHAnsi" w:hAnsiTheme="minorHAnsi"/>
                <w:sz w:val="16"/>
                <w:szCs w:val="16"/>
              </w:rPr>
              <w:t xml:space="preserve"> </w:t>
            </w:r>
          </w:p>
          <w:p w:rsidRPr="00137DCA" w:rsidR="00E940B8" w:rsidP="0059793A" w:rsidRDefault="00E940B8" w14:paraId="098F0829" w14:textId="77777777">
            <w:pPr>
              <w:pStyle w:val="BodyText"/>
              <w:rPr>
                <w:rFonts w:cs="Arial" w:asciiTheme="minorHAnsi" w:hAnsiTheme="minorHAnsi"/>
                <w:sz w:val="16"/>
                <w:szCs w:val="16"/>
              </w:rPr>
            </w:pPr>
            <w:r w:rsidRPr="00137DCA">
              <w:rPr>
                <w:rFonts w:cs="Arial" w:asciiTheme="minorHAnsi" w:hAnsiTheme="minorHAnsi"/>
                <w:b/>
                <w:i/>
                <w:sz w:val="16"/>
                <w:szCs w:val="16"/>
              </w:rPr>
              <w:t>ANZCOR Paediatric guideline:</w:t>
            </w:r>
            <w:r w:rsidRPr="00137DCA">
              <w:rPr>
                <w:rFonts w:cs="Arial" w:asciiTheme="minorHAnsi" w:hAnsiTheme="minorHAnsi"/>
                <w:sz w:val="16"/>
                <w:szCs w:val="16"/>
              </w:rPr>
              <w:t xml:space="preserve"> Calcium (0.15 mmol/kg) is the antidote to hypotension caused by a calcium channel blocker.</w:t>
            </w:r>
            <w:r w:rsidRPr="00137DCA">
              <w:rPr>
                <w:rFonts w:cs="Arial" w:asciiTheme="minorHAnsi" w:hAnsiTheme="minorHAnsi"/>
                <w:noProof/>
                <w:sz w:val="16"/>
                <w:szCs w:val="16"/>
              </w:rPr>
              <w:t>[9]</w:t>
            </w:r>
            <w:r w:rsidRPr="00137DCA">
              <w:rPr>
                <w:rFonts w:cs="Arial" w:asciiTheme="minorHAnsi" w:hAnsiTheme="minorHAnsi"/>
                <w:sz w:val="16"/>
                <w:szCs w:val="16"/>
              </w:rPr>
              <w:t xml:space="preserve"> The intravenous or intraosseous dose is 0.2mL/kg of 10% calcium chloride or 0.7mL/kg of 10% calcium gluconate. </w:t>
            </w:r>
            <w:r w:rsidRPr="00137DCA">
              <w:rPr>
                <w:rFonts w:cs="Arial" w:asciiTheme="minorHAnsi" w:hAnsiTheme="minorHAnsi"/>
                <w:noProof/>
                <w:sz w:val="16"/>
                <w:szCs w:val="16"/>
              </w:rPr>
              <w:t>[11]</w:t>
            </w:r>
            <w:r w:rsidRPr="00137DCA">
              <w:rPr>
                <w:rFonts w:cs="Arial" w:asciiTheme="minorHAnsi" w:hAnsiTheme="minorHAnsi"/>
                <w:sz w:val="16"/>
                <w:szCs w:val="16"/>
              </w:rPr>
              <w:t xml:space="preserve"> [Expert Consensus Opinion]</w:t>
            </w:r>
          </w:p>
          <w:p w:rsidRPr="00137DCA" w:rsidR="00E940B8" w:rsidP="0059793A" w:rsidRDefault="00E940B8" w14:paraId="4F38B308" w14:textId="77777777">
            <w:pPr>
              <w:pStyle w:val="BodyText"/>
              <w:rPr>
                <w:rFonts w:cs="Arial" w:asciiTheme="minorHAnsi" w:hAnsiTheme="minorHAnsi"/>
                <w:sz w:val="16"/>
                <w:szCs w:val="16"/>
              </w:rPr>
            </w:pPr>
          </w:p>
          <w:p w:rsidRPr="00137DCA" w:rsidR="00E940B8" w:rsidP="0059793A" w:rsidRDefault="00E940B8" w14:paraId="4D392534" w14:textId="77777777">
            <w:pPr>
              <w:pStyle w:val="BodyText"/>
              <w:rPr>
                <w:rFonts w:cs="Arial" w:asciiTheme="minorHAnsi" w:hAnsiTheme="minorHAnsi"/>
                <w:sz w:val="16"/>
                <w:szCs w:val="16"/>
              </w:rPr>
            </w:pPr>
            <w:r w:rsidRPr="00137DCA">
              <w:rPr>
                <w:rFonts w:cs="Arial" w:asciiTheme="minorHAnsi" w:hAnsiTheme="minorHAnsi"/>
                <w:b/>
                <w:sz w:val="16"/>
                <w:szCs w:val="16"/>
              </w:rPr>
              <w:t xml:space="preserve">Exchange transfusion: </w:t>
            </w:r>
            <w:r w:rsidRPr="00137DCA">
              <w:rPr>
                <w:rFonts w:cs="Arial" w:asciiTheme="minorHAnsi" w:hAnsiTheme="minorHAnsi"/>
                <w:sz w:val="16"/>
                <w:szCs w:val="16"/>
              </w:rPr>
              <w:t>Exchange transfusion with blood stored in citrate causes a fall in ionised calcium concentrations.</w:t>
            </w:r>
            <w:r w:rsidRPr="00137DCA">
              <w:rPr>
                <w:rFonts w:cs="Arial" w:asciiTheme="minorHAnsi" w:hAnsiTheme="minorHAnsi"/>
                <w:noProof/>
                <w:sz w:val="16"/>
                <w:szCs w:val="16"/>
              </w:rPr>
              <w:t>[15, 16]</w:t>
            </w:r>
            <w:r w:rsidRPr="00137DCA">
              <w:rPr>
                <w:rFonts w:cs="Arial" w:asciiTheme="minorHAnsi" w:hAnsiTheme="minorHAnsi"/>
                <w:sz w:val="16"/>
                <w:szCs w:val="16"/>
              </w:rPr>
              <w:t xml:space="preserve"> Current supplies of Australian Red Cross Blood Service whole blood contain citrate, whereas packed red cells contain saline, adenine, glucose and mannitol. A quasi-random trial of 30 infants undergoing exchange transfusion for hyperbilirubinaemia with CPD stored whole blood with intervention group receiving 1 mL 10% calcium gluconate for every 100 mL blood reported the intervention group had a significant increase in total and ionised calcium whereas control group had a fall in total and ionised calcium. However, the difference was not clinically important.</w:t>
            </w:r>
            <w:r w:rsidRPr="00137DCA">
              <w:rPr>
                <w:rFonts w:cs="Arial" w:asciiTheme="minorHAnsi" w:hAnsiTheme="minorHAnsi"/>
                <w:noProof/>
                <w:sz w:val="16"/>
                <w:szCs w:val="16"/>
              </w:rPr>
              <w:t>[17]</w:t>
            </w:r>
            <w:r w:rsidRPr="00137DCA">
              <w:rPr>
                <w:rFonts w:cs="Arial" w:asciiTheme="minorHAnsi" w:hAnsiTheme="minorHAnsi"/>
                <w:sz w:val="16"/>
                <w:szCs w:val="16"/>
              </w:rPr>
              <w:t xml:space="preserve">  Conclusion: A systematic review concluded there is no good-quality evidence to support or reject continual use of calcium during exchange transfusion with citrated blood.</w:t>
            </w:r>
            <w:r w:rsidRPr="00137DCA">
              <w:rPr>
                <w:rFonts w:cs="Arial" w:asciiTheme="minorHAnsi" w:hAnsiTheme="minorHAnsi"/>
                <w:noProof/>
                <w:sz w:val="16"/>
                <w:szCs w:val="16"/>
              </w:rPr>
              <w:t>[18]</w:t>
            </w:r>
          </w:p>
          <w:p w:rsidRPr="00137DCA" w:rsidR="00E940B8" w:rsidP="0059793A" w:rsidRDefault="00E940B8" w14:paraId="245519ED" w14:textId="77777777">
            <w:pPr>
              <w:pStyle w:val="BodyText"/>
              <w:rPr>
                <w:rFonts w:cs="Arial" w:asciiTheme="minorHAnsi" w:hAnsiTheme="minorHAnsi"/>
                <w:sz w:val="16"/>
                <w:szCs w:val="16"/>
              </w:rPr>
            </w:pPr>
          </w:p>
          <w:p w:rsidRPr="00137DCA" w:rsidR="00E940B8" w:rsidP="0059793A" w:rsidRDefault="00E940B8" w14:paraId="6FD0715C" w14:textId="77777777">
            <w:pPr>
              <w:pStyle w:val="BodyText"/>
              <w:rPr>
                <w:rFonts w:cs="Arial" w:asciiTheme="minorHAnsi" w:hAnsiTheme="minorHAnsi"/>
                <w:b/>
                <w:sz w:val="16"/>
                <w:szCs w:val="16"/>
              </w:rPr>
            </w:pPr>
            <w:r w:rsidRPr="00137DCA">
              <w:rPr>
                <w:rFonts w:cs="Arial" w:asciiTheme="minorHAnsi" w:hAnsiTheme="minorHAnsi"/>
                <w:b/>
                <w:sz w:val="16"/>
                <w:szCs w:val="16"/>
              </w:rPr>
              <w:t xml:space="preserve">Safety: </w:t>
            </w:r>
          </w:p>
          <w:p w:rsidRPr="00137DCA" w:rsidR="00E940B8" w:rsidP="0059793A" w:rsidRDefault="00E940B8" w14:paraId="2A99D594" w14:textId="77777777">
            <w:pPr>
              <w:pStyle w:val="BodyText"/>
              <w:rPr>
                <w:rFonts w:cs="Arial" w:asciiTheme="minorHAnsi" w:hAnsiTheme="minorHAnsi"/>
                <w:sz w:val="16"/>
                <w:szCs w:val="16"/>
              </w:rPr>
            </w:pPr>
            <w:r w:rsidRPr="00137DCA">
              <w:rPr>
                <w:rFonts w:cs="Arial" w:asciiTheme="minorHAnsi" w:hAnsiTheme="minorHAnsi"/>
                <w:sz w:val="16"/>
                <w:szCs w:val="16"/>
              </w:rPr>
              <w:t>The addition of calcium gluconate 10% at 4 ml/kg/day [0.93 mmol/day calcium] to intravenous maintenance fluids increased incidence of extravasation with tissue damage (35% vs 10%).</w:t>
            </w:r>
          </w:p>
          <w:p w:rsidRPr="00137DCA" w:rsidR="00E940B8" w:rsidP="0059793A" w:rsidRDefault="00E940B8" w14:paraId="6AA34BAE" w14:textId="77777777">
            <w:pPr>
              <w:pStyle w:val="BodyText"/>
              <w:rPr>
                <w:rFonts w:cs="Arial" w:asciiTheme="minorHAnsi" w:hAnsiTheme="minorHAnsi"/>
                <w:sz w:val="16"/>
                <w:szCs w:val="16"/>
              </w:rPr>
            </w:pPr>
            <w:r w:rsidRPr="00137DCA">
              <w:rPr>
                <w:rFonts w:cs="Arial" w:asciiTheme="minorHAnsi" w:hAnsiTheme="minorHAnsi"/>
                <w:sz w:val="16"/>
                <w:szCs w:val="16"/>
              </w:rPr>
              <w:t xml:space="preserve">Calcium gluconate solution in glass containers contains almost 200 times more aluminium than calcium gluconate in plastic containers, due to the solution leaching aluminium from the glass. The Paediatric Medicines Expert Advisory Group recommended that these products should no longer be used for repeated or prolonged treatment of children or those with impaired renal function. </w:t>
            </w:r>
            <w:r w:rsidRPr="00137DCA">
              <w:rPr>
                <w:rFonts w:cs="Arial" w:asciiTheme="minorHAnsi" w:hAnsiTheme="minorHAnsi"/>
                <w:noProof/>
                <w:sz w:val="16"/>
                <w:szCs w:val="16"/>
              </w:rPr>
              <w:t>[19]</w:t>
            </w:r>
          </w:p>
          <w:p w:rsidRPr="00137DCA" w:rsidR="00E940B8" w:rsidP="0059793A" w:rsidRDefault="00E940B8" w14:paraId="159B45E7" w14:textId="77777777">
            <w:pPr>
              <w:pStyle w:val="BodyText"/>
              <w:rPr>
                <w:rFonts w:cs="Arial" w:asciiTheme="minorHAnsi" w:hAnsiTheme="minorHAnsi"/>
                <w:sz w:val="16"/>
                <w:szCs w:val="16"/>
              </w:rPr>
            </w:pPr>
            <w:r w:rsidRPr="00137DCA">
              <w:rPr>
                <w:rFonts w:cs="Arial" w:asciiTheme="minorHAnsi" w:hAnsiTheme="minorHAnsi"/>
                <w:sz w:val="16"/>
                <w:szCs w:val="16"/>
              </w:rPr>
              <w:t>Calcium can slow the heart rate and precipitate arrhythmias. In cardiac arrest, calcium may be given by rapid intravenous injection. In the presence of a spontaneous circulation give it slowly. Do not give calcium solutions and sodium bicarbonate simultaneously by the same route to avoid precipitation.</w:t>
            </w:r>
            <w:r w:rsidRPr="00137DCA">
              <w:rPr>
                <w:rFonts w:cs="Arial" w:asciiTheme="minorHAnsi" w:hAnsiTheme="minorHAnsi"/>
                <w:noProof/>
                <w:sz w:val="16"/>
                <w:szCs w:val="16"/>
              </w:rPr>
              <w:t>[20]</w:t>
            </w:r>
          </w:p>
        </w:tc>
      </w:tr>
      <w:tr w:rsidRPr="00933E45" w:rsidR="00E940B8" w:rsidTr="0059793A" w14:paraId="4E4E1A68" w14:textId="77777777">
        <w:trPr>
          <w:trHeight w:val="360"/>
        </w:trPr>
        <w:tc>
          <w:tcPr>
            <w:tcW w:w="1015" w:type="pct"/>
          </w:tcPr>
          <w:p w:rsidRPr="00933E45" w:rsidR="00E940B8" w:rsidP="0059793A" w:rsidRDefault="00E940B8" w14:paraId="17C7705D" w14:textId="77777777">
            <w:pPr>
              <w:pStyle w:val="BodyText"/>
              <w:rPr>
                <w:rFonts w:cs="Arial" w:asciiTheme="minorHAnsi" w:hAnsiTheme="minorHAnsi"/>
                <w:b/>
                <w:bCs/>
                <w:sz w:val="20"/>
              </w:rPr>
            </w:pPr>
            <w:r w:rsidRPr="00933E45">
              <w:rPr>
                <w:rFonts w:asciiTheme="minorHAnsi" w:hAnsiTheme="minorHAnsi"/>
                <w:b/>
                <w:sz w:val="20"/>
              </w:rPr>
              <w:lastRenderedPageBreak/>
              <w:t>References</w:t>
            </w:r>
          </w:p>
        </w:tc>
        <w:tc>
          <w:tcPr>
            <w:tcW w:w="3985" w:type="pct"/>
          </w:tcPr>
          <w:p w:rsidRPr="00137DCA" w:rsidR="00E940B8" w:rsidP="0059793A" w:rsidRDefault="00E940B8" w14:paraId="592E55CF" w14:textId="77777777">
            <w:pPr>
              <w:pStyle w:val="EndNoteBibliography"/>
              <w:rPr>
                <w:rFonts w:asciiTheme="minorHAnsi" w:hAnsiTheme="minorHAnsi"/>
                <w:sz w:val="16"/>
                <w:szCs w:val="16"/>
              </w:rPr>
            </w:pPr>
            <w:r w:rsidRPr="00137DCA">
              <w:rPr>
                <w:rFonts w:asciiTheme="minorHAnsi" w:hAnsiTheme="minorHAnsi"/>
                <w:sz w:val="16"/>
                <w:szCs w:val="16"/>
              </w:rPr>
              <w:t>1. Hyman SJ, Novoa Y, Holzman I. Perinatal Endocrinology: Common Endocrine Disorders in the Sick and Premature Newborn. Endocrinology and Metabolism Clinics of North America. 2009;38:509-24.</w:t>
            </w:r>
          </w:p>
          <w:p w:rsidRPr="00137DCA" w:rsidR="00E940B8" w:rsidP="0059793A" w:rsidRDefault="00E940B8" w14:paraId="619ECA1D" w14:textId="77777777">
            <w:pPr>
              <w:pStyle w:val="EndNoteBibliography"/>
              <w:rPr>
                <w:rFonts w:asciiTheme="minorHAnsi" w:hAnsiTheme="minorHAnsi"/>
                <w:sz w:val="16"/>
                <w:szCs w:val="16"/>
              </w:rPr>
            </w:pPr>
            <w:r w:rsidRPr="00137DCA">
              <w:rPr>
                <w:rFonts w:asciiTheme="minorHAnsi" w:hAnsiTheme="minorHAnsi"/>
                <w:sz w:val="16"/>
                <w:szCs w:val="16"/>
              </w:rPr>
              <w:t>2. Altirkawi K, Rozycki HJ. Hypocalcemia is common in the first 48 h of life in ELBW infants. Journal of Perinatal Medicine. 2008;36:348-53.</w:t>
            </w:r>
          </w:p>
          <w:p w:rsidRPr="00137DCA" w:rsidR="00E940B8" w:rsidP="0059793A" w:rsidRDefault="00E940B8" w14:paraId="23BCAFE0" w14:textId="77777777">
            <w:pPr>
              <w:pStyle w:val="EndNoteBibliography"/>
              <w:rPr>
                <w:rFonts w:asciiTheme="minorHAnsi" w:hAnsiTheme="minorHAnsi"/>
                <w:sz w:val="16"/>
                <w:szCs w:val="16"/>
              </w:rPr>
            </w:pPr>
            <w:r w:rsidRPr="00137DCA">
              <w:rPr>
                <w:rFonts w:asciiTheme="minorHAnsi" w:hAnsiTheme="minorHAnsi"/>
                <w:sz w:val="16"/>
                <w:szCs w:val="16"/>
              </w:rPr>
              <w:t>3. Rosli A, Fanconi A. Neonatal hypocalcaemia. 'Early type' in low birth weight newborns. Helvetica Paediatrica Acta. 1973;28:443-57.</w:t>
            </w:r>
          </w:p>
          <w:p w:rsidRPr="00137DCA" w:rsidR="00E940B8" w:rsidP="0059793A" w:rsidRDefault="00E940B8" w14:paraId="18B3E916" w14:textId="77777777">
            <w:pPr>
              <w:pStyle w:val="EndNoteBibliography"/>
              <w:rPr>
                <w:rFonts w:asciiTheme="minorHAnsi" w:hAnsiTheme="minorHAnsi"/>
                <w:sz w:val="16"/>
                <w:szCs w:val="16"/>
              </w:rPr>
            </w:pPr>
            <w:r w:rsidRPr="00137DCA">
              <w:rPr>
                <w:rFonts w:asciiTheme="minorHAnsi" w:hAnsiTheme="minorHAnsi"/>
                <w:sz w:val="16"/>
                <w:szCs w:val="16"/>
              </w:rPr>
              <w:t>4. Tsang RC, Oh W. Neonatal hypocalcemia in low birth weight infants. Pediatrics. 1970;45:773-81.</w:t>
            </w:r>
          </w:p>
          <w:p w:rsidRPr="00137DCA" w:rsidR="00E940B8" w:rsidP="0059793A" w:rsidRDefault="00E940B8" w14:paraId="4901BA1F" w14:textId="77777777">
            <w:pPr>
              <w:pStyle w:val="EndNoteBibliography"/>
              <w:rPr>
                <w:rFonts w:asciiTheme="minorHAnsi" w:hAnsiTheme="minorHAnsi"/>
                <w:sz w:val="16"/>
                <w:szCs w:val="16"/>
              </w:rPr>
            </w:pPr>
            <w:r w:rsidRPr="00137DCA">
              <w:rPr>
                <w:rFonts w:asciiTheme="minorHAnsi" w:hAnsiTheme="minorHAnsi"/>
                <w:sz w:val="16"/>
                <w:szCs w:val="16"/>
              </w:rPr>
              <w:t>5. Cote CJ, Drop LJ, Daniels AL, Hoaglin DC. Calcium chloride versus calcium gluconate: comparison of ionization and cardiovascular effects in children and dogs. Anesthesiology. 1987;66:465-70.</w:t>
            </w:r>
          </w:p>
          <w:p w:rsidRPr="00137DCA" w:rsidR="00E940B8" w:rsidP="0059793A" w:rsidRDefault="00E940B8" w14:paraId="624E1BE3" w14:textId="77777777">
            <w:pPr>
              <w:pStyle w:val="EndNoteBibliography"/>
              <w:rPr>
                <w:rFonts w:asciiTheme="minorHAnsi" w:hAnsiTheme="minorHAnsi"/>
                <w:sz w:val="16"/>
                <w:szCs w:val="16"/>
              </w:rPr>
            </w:pPr>
            <w:r w:rsidRPr="00137DCA">
              <w:rPr>
                <w:rFonts w:asciiTheme="minorHAnsi" w:hAnsiTheme="minorHAnsi"/>
                <w:sz w:val="16"/>
                <w:szCs w:val="16"/>
              </w:rPr>
              <w:t>6. Broner CW, Stidham GL, Westenkirchner DF, Watson DC. A prospective study, randomized, double-blind comparison of calcium chloride and calcium gluconate therapies for hypocalcemia in critically ill children. Journal of Pediatrics. 1990;117:986-9.</w:t>
            </w:r>
          </w:p>
          <w:p w:rsidRPr="00137DCA" w:rsidR="00E940B8" w:rsidP="0059793A" w:rsidRDefault="00E940B8" w14:paraId="6990D17E" w14:textId="77777777">
            <w:pPr>
              <w:pStyle w:val="EndNoteBibliography"/>
              <w:rPr>
                <w:rFonts w:asciiTheme="minorHAnsi" w:hAnsiTheme="minorHAnsi"/>
                <w:sz w:val="16"/>
                <w:szCs w:val="16"/>
              </w:rPr>
            </w:pPr>
            <w:r w:rsidRPr="00137DCA">
              <w:rPr>
                <w:rFonts w:asciiTheme="minorHAnsi" w:hAnsiTheme="minorHAnsi"/>
                <w:sz w:val="16"/>
                <w:szCs w:val="16"/>
              </w:rPr>
              <w:t>7. Turner TL, Cockburn F, Forfar JO. Magnesium therapy in neonatal tetany. Lancet. 1977;1:283-4.</w:t>
            </w:r>
          </w:p>
          <w:p w:rsidRPr="00137DCA" w:rsidR="00E940B8" w:rsidP="0059793A" w:rsidRDefault="00E940B8" w14:paraId="73C1BC8A" w14:textId="77777777">
            <w:pPr>
              <w:pStyle w:val="EndNoteBibliography"/>
              <w:rPr>
                <w:rFonts w:asciiTheme="minorHAnsi" w:hAnsiTheme="minorHAnsi"/>
                <w:sz w:val="16"/>
                <w:szCs w:val="16"/>
              </w:rPr>
            </w:pPr>
            <w:r w:rsidRPr="00137DCA">
              <w:rPr>
                <w:rFonts w:asciiTheme="minorHAnsi" w:hAnsiTheme="minorHAnsi"/>
                <w:sz w:val="16"/>
                <w:szCs w:val="16"/>
              </w:rPr>
              <w:t>8. Khan MAG, Upadhyay A, Chikanna S, Jaiswal V. Efficacy of prophylactic intravenous calcium administration in first 5 days of life in high risk neonates to prevent early onset neonatal hypocalcaemia: A randomised controlled trial. Archives of Disease in Childhood: Fetal and Neonatal Edition. 2010;95:F462-F3.</w:t>
            </w:r>
          </w:p>
          <w:p w:rsidRPr="00137DCA" w:rsidR="00E940B8" w:rsidP="0059793A" w:rsidRDefault="00E940B8" w14:paraId="6A6AFE4E" w14:textId="77777777">
            <w:pPr>
              <w:pStyle w:val="EndNoteBibliography"/>
              <w:rPr>
                <w:rFonts w:asciiTheme="minorHAnsi" w:hAnsiTheme="minorHAnsi"/>
                <w:sz w:val="16"/>
                <w:szCs w:val="16"/>
              </w:rPr>
            </w:pPr>
            <w:r w:rsidRPr="00137DCA">
              <w:rPr>
                <w:rFonts w:asciiTheme="minorHAnsi" w:hAnsiTheme="minorHAnsi"/>
                <w:sz w:val="16"/>
                <w:szCs w:val="16"/>
              </w:rPr>
              <w:t>9. Australian Resuscitation Council. New Zealand Resuscitation Council. Medication or fluids for the resuscitation of the newborn infant. ARC and NZRC Guideline 2010. Emerg Med Australas. 2011;23:442-4.</w:t>
            </w:r>
          </w:p>
          <w:p w:rsidRPr="00137DCA" w:rsidR="00E940B8" w:rsidP="0059793A" w:rsidRDefault="00E940B8" w14:paraId="25AAE010" w14:textId="77777777">
            <w:pPr>
              <w:pStyle w:val="EndNoteBibliography"/>
              <w:rPr>
                <w:rFonts w:asciiTheme="minorHAnsi" w:hAnsiTheme="minorHAnsi"/>
                <w:sz w:val="16"/>
                <w:szCs w:val="16"/>
              </w:rPr>
            </w:pPr>
            <w:r w:rsidRPr="00137DCA">
              <w:rPr>
                <w:rFonts w:asciiTheme="minorHAnsi" w:hAnsiTheme="minorHAnsi"/>
                <w:sz w:val="16"/>
                <w:szCs w:val="16"/>
              </w:rPr>
              <w:t>10. Wyllie J, Perlman JM, Kattwinkel J, Wyckoff MH, Aziz K, Guinsburg R, Kim HS, Liley HG, Mildenhall L, Simon WM, Szyld E, Tamura M, Velaphi S, Neonatal Resuscitation Chapter C. Part 7: Neonatal resuscitation: 2015 International Consensus on Cardiopulmonary Resuscitation and Emergency Cardiovascular Care Science with Treatment Recommendations. Resuscitation. 2015;95:e169-201.</w:t>
            </w:r>
          </w:p>
          <w:p w:rsidRPr="00137DCA" w:rsidR="00E940B8" w:rsidP="0059793A" w:rsidRDefault="00E940B8" w14:paraId="2762849B" w14:textId="77777777">
            <w:pPr>
              <w:pStyle w:val="EndNoteBibliography"/>
              <w:rPr>
                <w:rFonts w:asciiTheme="minorHAnsi" w:hAnsiTheme="minorHAnsi"/>
                <w:sz w:val="16"/>
                <w:szCs w:val="16"/>
              </w:rPr>
            </w:pPr>
            <w:r w:rsidRPr="00137DCA">
              <w:rPr>
                <w:rFonts w:asciiTheme="minorHAnsi" w:hAnsiTheme="minorHAnsi"/>
                <w:sz w:val="16"/>
                <w:szCs w:val="16"/>
              </w:rPr>
              <w:t>11. Australian Resuscitation Council. New Zealand Resuscitation Council. Medications and fluids in paediatric advanced life support. ARC and NZRC Guideline 2010. Emerg Med Australas. 2011;23:405-8.</w:t>
            </w:r>
          </w:p>
          <w:p w:rsidRPr="00137DCA" w:rsidR="00E940B8" w:rsidP="0059793A" w:rsidRDefault="00E940B8" w14:paraId="0985EA08" w14:textId="77777777">
            <w:pPr>
              <w:pStyle w:val="EndNoteBibliography"/>
              <w:rPr>
                <w:rFonts w:asciiTheme="minorHAnsi" w:hAnsiTheme="minorHAnsi"/>
                <w:sz w:val="16"/>
                <w:szCs w:val="16"/>
              </w:rPr>
            </w:pPr>
            <w:r w:rsidRPr="00137DCA">
              <w:rPr>
                <w:rFonts w:asciiTheme="minorHAnsi" w:hAnsiTheme="minorHAnsi"/>
                <w:sz w:val="16"/>
                <w:szCs w:val="16"/>
              </w:rPr>
              <w:t xml:space="preserve">12. de Caen AR, Kleinman ME, Chameides L, Atkins DL, Berg RA, Berg MD, Bhanji F, Biarent D, Bingham R, Coovadia AH, Hazinski MF, Hickey RW, Nadkarni VM, Reis AG, Rodriguez-Nunez A, Tibballs J, Zaritsky AL, Zideman D, Paediatric B, Advanced Life Support Chapter C. Part 10: Paediatric basic and advanced life support: 2010 </w:t>
            </w:r>
            <w:r w:rsidRPr="00137DCA">
              <w:rPr>
                <w:rFonts w:asciiTheme="minorHAnsi" w:hAnsiTheme="minorHAnsi"/>
                <w:sz w:val="16"/>
                <w:szCs w:val="16"/>
              </w:rPr>
              <w:lastRenderedPageBreak/>
              <w:t>International Consensus on Cardiopulmonary Resuscitation and Emergency Cardiovascular Care Science with Treatment Recommendations. Resuscitation. 2010;81 Suppl 1:e213-59.</w:t>
            </w:r>
          </w:p>
          <w:p w:rsidRPr="00137DCA" w:rsidR="00E940B8" w:rsidP="0059793A" w:rsidRDefault="00E940B8" w14:paraId="716FDF76" w14:textId="77777777">
            <w:pPr>
              <w:pStyle w:val="EndNoteBibliography"/>
              <w:rPr>
                <w:rFonts w:asciiTheme="minorHAnsi" w:hAnsiTheme="minorHAnsi"/>
                <w:sz w:val="16"/>
                <w:szCs w:val="16"/>
              </w:rPr>
            </w:pPr>
            <w:r w:rsidRPr="00137DCA">
              <w:rPr>
                <w:rFonts w:asciiTheme="minorHAnsi" w:hAnsiTheme="minorHAnsi"/>
                <w:sz w:val="16"/>
                <w:szCs w:val="16"/>
              </w:rPr>
              <w:t>13. Kilbride HW, Cater G, Warady BA. Early onset hyperkalemia in extremely low birth weight infants. J Perinatol. 1988;8:211-4.</w:t>
            </w:r>
          </w:p>
          <w:p w:rsidRPr="00137DCA" w:rsidR="00E940B8" w:rsidP="0059793A" w:rsidRDefault="00E940B8" w14:paraId="6BDCB8A9" w14:textId="77777777">
            <w:pPr>
              <w:pStyle w:val="EndNoteBibliography"/>
              <w:rPr>
                <w:rFonts w:asciiTheme="minorHAnsi" w:hAnsiTheme="minorHAnsi"/>
                <w:sz w:val="16"/>
                <w:szCs w:val="16"/>
              </w:rPr>
            </w:pPr>
            <w:r w:rsidRPr="00137DCA">
              <w:rPr>
                <w:rFonts w:asciiTheme="minorHAnsi" w:hAnsiTheme="minorHAnsi"/>
                <w:sz w:val="16"/>
                <w:szCs w:val="16"/>
              </w:rPr>
              <w:t>14. Vemgal P, Ohlsson A. Interventions for non-oliguric hyperkalaemia in preterm neonates. Cochrane Database Syst Rev. 2012:CD005257.</w:t>
            </w:r>
          </w:p>
          <w:p w:rsidRPr="00137DCA" w:rsidR="00E940B8" w:rsidP="0059793A" w:rsidRDefault="00E940B8" w14:paraId="0DA522E9" w14:textId="77777777">
            <w:pPr>
              <w:pStyle w:val="EndNoteBibliography"/>
              <w:rPr>
                <w:rFonts w:asciiTheme="minorHAnsi" w:hAnsiTheme="minorHAnsi"/>
                <w:sz w:val="16"/>
                <w:szCs w:val="16"/>
              </w:rPr>
            </w:pPr>
            <w:r w:rsidRPr="00137DCA">
              <w:rPr>
                <w:rFonts w:asciiTheme="minorHAnsi" w:hAnsiTheme="minorHAnsi"/>
                <w:sz w:val="16"/>
                <w:szCs w:val="16"/>
              </w:rPr>
              <w:t>15. Maisels MJ, Li TK, Piechocki JT, Werthman MW. The effect of exchange transfusion on serum ionized calcium. Pediatrics. 1974;53:683-6.</w:t>
            </w:r>
          </w:p>
          <w:p w:rsidRPr="00137DCA" w:rsidR="00E940B8" w:rsidP="0059793A" w:rsidRDefault="00E940B8" w14:paraId="1338ED55" w14:textId="77777777">
            <w:pPr>
              <w:pStyle w:val="EndNoteBibliography"/>
              <w:rPr>
                <w:rFonts w:asciiTheme="minorHAnsi" w:hAnsiTheme="minorHAnsi"/>
                <w:sz w:val="16"/>
                <w:szCs w:val="16"/>
              </w:rPr>
            </w:pPr>
            <w:r w:rsidRPr="00137DCA">
              <w:rPr>
                <w:rFonts w:asciiTheme="minorHAnsi" w:hAnsiTheme="minorHAnsi"/>
                <w:sz w:val="16"/>
                <w:szCs w:val="16"/>
              </w:rPr>
              <w:t>16. Smits-Wintjens VE, Rath ME, van Zwet EW, Oepkes D, Brand A, Walther FJ, Lopriore E. Neonatal morbidity after exchange transfusion for red cell alloimmune hemolytic disease. Neonatology. 2013;103:141-7.</w:t>
            </w:r>
          </w:p>
          <w:p w:rsidRPr="00137DCA" w:rsidR="00E940B8" w:rsidP="0059793A" w:rsidRDefault="00E940B8" w14:paraId="09F5A18F" w14:textId="77777777">
            <w:pPr>
              <w:pStyle w:val="EndNoteBibliography"/>
              <w:rPr>
                <w:rFonts w:asciiTheme="minorHAnsi" w:hAnsiTheme="minorHAnsi"/>
                <w:sz w:val="16"/>
                <w:szCs w:val="16"/>
              </w:rPr>
            </w:pPr>
            <w:r w:rsidRPr="00137DCA">
              <w:rPr>
                <w:rFonts w:asciiTheme="minorHAnsi" w:hAnsiTheme="minorHAnsi"/>
                <w:sz w:val="16"/>
                <w:szCs w:val="16"/>
              </w:rPr>
              <w:t>17. Locham KK, Kaur K, Tandon R, Kaur M, Garg R. Exchange blood transfusion in neonatal hyperbilirubinemia-role of calcium. Indian pediatrics. 2002;39:657-9.</w:t>
            </w:r>
          </w:p>
          <w:p w:rsidRPr="00137DCA" w:rsidR="00E940B8" w:rsidP="0059793A" w:rsidRDefault="00E940B8" w14:paraId="2F43AFF6" w14:textId="77777777">
            <w:pPr>
              <w:pStyle w:val="EndNoteBibliography"/>
              <w:rPr>
                <w:rFonts w:asciiTheme="minorHAnsi" w:hAnsiTheme="minorHAnsi"/>
                <w:sz w:val="16"/>
                <w:szCs w:val="16"/>
              </w:rPr>
            </w:pPr>
            <w:r w:rsidRPr="00137DCA">
              <w:rPr>
                <w:rFonts w:asciiTheme="minorHAnsi" w:hAnsiTheme="minorHAnsi"/>
                <w:sz w:val="16"/>
                <w:szCs w:val="16"/>
              </w:rPr>
              <w:t>18. Ogunlesi TA, Lesi FE, Oduwole O. Prophylactic intravenous calcium therapy for exchange blood transfusion in the newborn. Cochrane Database Syst Rev. 2017;10:CD011048.</w:t>
            </w:r>
          </w:p>
          <w:p w:rsidRPr="00137DCA" w:rsidR="00E940B8" w:rsidP="0059793A" w:rsidRDefault="00E940B8" w14:paraId="52C22F02" w14:textId="77777777">
            <w:pPr>
              <w:pStyle w:val="EndNoteBibliography"/>
              <w:rPr>
                <w:rFonts w:asciiTheme="minorHAnsi" w:hAnsiTheme="minorHAnsi"/>
                <w:sz w:val="16"/>
                <w:szCs w:val="16"/>
              </w:rPr>
            </w:pPr>
            <w:r w:rsidRPr="00137DCA">
              <w:rPr>
                <w:rFonts w:asciiTheme="minorHAnsi" w:hAnsiTheme="minorHAnsi"/>
                <w:sz w:val="16"/>
                <w:szCs w:val="16"/>
              </w:rPr>
              <w:t>19. Medicines and Healthcare products Regulatory Agency (MHRA) report. Calcium gluconate 10% in 10 mL glass containers: risk of aluminium exposure. http://www.mhra.gov.uk/safety-public-assessment-reports/CON105682. 2010.</w:t>
            </w:r>
          </w:p>
          <w:p w:rsidRPr="00137DCA" w:rsidR="00E940B8" w:rsidP="0059793A" w:rsidRDefault="00E940B8" w14:paraId="7E9233DE" w14:textId="77777777">
            <w:pPr>
              <w:pStyle w:val="EndNoteBibliography"/>
              <w:rPr>
                <w:rFonts w:asciiTheme="minorHAnsi" w:hAnsiTheme="minorHAnsi"/>
                <w:sz w:val="16"/>
                <w:szCs w:val="16"/>
              </w:rPr>
            </w:pPr>
            <w:r w:rsidRPr="00137DCA">
              <w:rPr>
                <w:rFonts w:asciiTheme="minorHAnsi" w:hAnsiTheme="minorHAnsi"/>
                <w:sz w:val="16"/>
                <w:szCs w:val="16"/>
              </w:rPr>
              <w:t>20. Soar J, Nolan JP, Bottiger BW, Perkins GD, Lott C, Carli P, Pellis T, Sandroni C, Skrifvars MB, Smith GB, Sunde K, Deakin CD, Adult advanced life support section C. European Resuscitation Council Guidelines for Resuscitation 2015: Section 3. Adult advanced life support. Resuscitation. 2015;95:100-47.</w:t>
            </w:r>
          </w:p>
          <w:p w:rsidRPr="00137DCA" w:rsidR="00E940B8" w:rsidP="0059793A" w:rsidRDefault="00E940B8" w14:paraId="49DCCB2D" w14:textId="77777777">
            <w:pPr>
              <w:pStyle w:val="Default"/>
              <w:rPr>
                <w:rFonts w:asciiTheme="minorHAnsi" w:hAnsiTheme="minorHAnsi"/>
                <w:sz w:val="16"/>
                <w:szCs w:val="16"/>
              </w:rPr>
            </w:pPr>
            <w:r w:rsidRPr="00137DCA">
              <w:rPr>
                <w:rFonts w:asciiTheme="minorHAnsi" w:hAnsiTheme="minorHAnsi"/>
                <w:sz w:val="16"/>
                <w:szCs w:val="16"/>
              </w:rPr>
              <w:t>21. Calcium chloride – Micromedex. Accessed online 24/3/2016.</w:t>
            </w:r>
          </w:p>
          <w:p w:rsidRPr="00137DCA" w:rsidR="00E940B8" w:rsidP="0059793A" w:rsidRDefault="00E940B8" w14:paraId="366B5D2F" w14:textId="77777777">
            <w:pPr>
              <w:pStyle w:val="Default"/>
              <w:rPr>
                <w:rFonts w:asciiTheme="minorHAnsi" w:hAnsiTheme="minorHAnsi"/>
                <w:sz w:val="16"/>
                <w:szCs w:val="16"/>
              </w:rPr>
            </w:pPr>
            <w:r w:rsidRPr="00137DCA">
              <w:rPr>
                <w:rFonts w:asciiTheme="minorHAnsi" w:hAnsiTheme="minorHAnsi"/>
                <w:sz w:val="16"/>
                <w:szCs w:val="16"/>
              </w:rPr>
              <w:t>22. Calcium gluconate – Micromedex. Accessed online 24/3/2016.</w:t>
            </w:r>
          </w:p>
          <w:p w:rsidRPr="00137DCA" w:rsidR="00E940B8" w:rsidP="0059793A" w:rsidRDefault="00E940B8" w14:paraId="4FE293C3" w14:textId="77777777">
            <w:pPr>
              <w:pStyle w:val="Default"/>
              <w:rPr>
                <w:rFonts w:asciiTheme="minorHAnsi" w:hAnsiTheme="minorHAnsi"/>
                <w:sz w:val="16"/>
                <w:szCs w:val="16"/>
              </w:rPr>
            </w:pPr>
            <w:r w:rsidRPr="00137DCA">
              <w:rPr>
                <w:rFonts w:asciiTheme="minorHAnsi" w:hAnsiTheme="minorHAnsi"/>
                <w:sz w:val="16"/>
                <w:szCs w:val="16"/>
              </w:rPr>
              <w:t>23. Australian Injectable Drugs Handbook, 6th Edition, Society of Hospital Pharmacists of Australia 2014. Accessed on 24/3/2016.</w:t>
            </w:r>
          </w:p>
          <w:p w:rsidRPr="00137DCA" w:rsidR="00E940B8" w:rsidP="0059793A" w:rsidRDefault="00E940B8" w14:paraId="424B88D1" w14:textId="77777777">
            <w:pPr>
              <w:pStyle w:val="Default"/>
              <w:rPr>
                <w:rFonts w:asciiTheme="minorHAnsi" w:hAnsiTheme="minorHAnsi"/>
                <w:sz w:val="16"/>
                <w:szCs w:val="16"/>
              </w:rPr>
            </w:pPr>
            <w:r w:rsidRPr="00137DCA">
              <w:rPr>
                <w:rFonts w:asciiTheme="minorHAnsi" w:hAnsiTheme="minorHAnsi"/>
                <w:sz w:val="16"/>
                <w:szCs w:val="16"/>
              </w:rPr>
              <w:t xml:space="preserve">24. Calcium equivalents. </w:t>
            </w:r>
            <w:hyperlink w:history="1" r:id="rId18">
              <w:r w:rsidRPr="00137DCA">
                <w:rPr>
                  <w:rStyle w:val="Hyperlink"/>
                  <w:rFonts w:asciiTheme="minorHAnsi" w:hAnsiTheme="minorHAnsi"/>
                  <w:sz w:val="16"/>
                  <w:szCs w:val="16"/>
                </w:rPr>
                <w:t>http://www-users.med.cornell.edu/~spon/picu/calc/cacalc.htm</w:t>
              </w:r>
            </w:hyperlink>
            <w:r w:rsidRPr="00137DCA">
              <w:rPr>
                <w:rFonts w:asciiTheme="minorHAnsi" w:hAnsiTheme="minorHAnsi"/>
                <w:sz w:val="16"/>
                <w:szCs w:val="16"/>
              </w:rPr>
              <w:t>. Accessed on 7 06 2016.</w:t>
            </w:r>
          </w:p>
          <w:p w:rsidRPr="00137DCA" w:rsidR="00E940B8" w:rsidP="0059793A" w:rsidRDefault="00E940B8" w14:paraId="66CC7FC2" w14:textId="77777777">
            <w:pPr>
              <w:pStyle w:val="Default"/>
              <w:rPr>
                <w:rFonts w:asciiTheme="minorHAnsi" w:hAnsiTheme="minorHAnsi"/>
                <w:sz w:val="16"/>
                <w:szCs w:val="16"/>
              </w:rPr>
            </w:pPr>
            <w:r w:rsidRPr="00137DCA">
              <w:rPr>
                <w:rFonts w:asciiTheme="minorHAnsi" w:hAnsiTheme="minorHAnsi"/>
                <w:sz w:val="16"/>
                <w:szCs w:val="16"/>
              </w:rPr>
              <w:t>25. Koletzko B, Goulet O, Hunt J, Krohn K, Shamir R. 1. Guidelines on Paediatric Parenteral Nutrition of the European Society of Paediatric Gastroenterology, Hepatology and Nutrition (ESPGHAN) and the European Society for Clinical Nutrition and Metabolism (ESPEN), Supported by the European Society of Paediatric Research (ESPR). Journal of pediatric gastroenterology and nutrition. 2005;41 Suppl 2:S1-87.</w:t>
            </w:r>
          </w:p>
        </w:tc>
      </w:tr>
    </w:tbl>
    <w:p w:rsidR="00115F48" w:rsidP="006F0321" w:rsidRDefault="00115F48" w14:paraId="66BCC777"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53"/>
        <w:gridCol w:w="4536"/>
      </w:tblGrid>
      <w:tr w:rsidRPr="00E51EE4" w:rsidR="00E424B4" w:rsidTr="00D03862" w14:paraId="74C99C98" w14:textId="77777777">
        <w:tc>
          <w:tcPr>
            <w:tcW w:w="4253" w:type="dxa"/>
            <w:vAlign w:val="center"/>
          </w:tcPr>
          <w:p w:rsidRPr="00E51EE4" w:rsidR="00A14418" w:rsidP="0059793A" w:rsidRDefault="00A14418" w14:paraId="50F1C930" w14:textId="77777777">
            <w:pPr>
              <w:pStyle w:val="Title"/>
              <w:rPr>
                <w:b w:val="0"/>
                <w:bCs/>
                <w:sz w:val="24"/>
                <w:szCs w:val="24"/>
              </w:rPr>
            </w:pPr>
            <w:r w:rsidRPr="00E51EE4">
              <w:rPr>
                <w:b w:val="0"/>
                <w:bCs/>
                <w:sz w:val="24"/>
                <w:szCs w:val="24"/>
              </w:rPr>
              <w:t>Original version Date: 24/8/2016</w:t>
            </w:r>
          </w:p>
        </w:tc>
        <w:tc>
          <w:tcPr>
            <w:tcW w:w="4536" w:type="dxa"/>
            <w:vAlign w:val="center"/>
          </w:tcPr>
          <w:p w:rsidRPr="00E51EE4" w:rsidR="00A14418" w:rsidP="0059793A" w:rsidRDefault="00A14418" w14:paraId="66C027F4" w14:textId="77777777">
            <w:pPr>
              <w:pStyle w:val="Title"/>
              <w:rPr>
                <w:b w:val="0"/>
                <w:bCs/>
                <w:sz w:val="24"/>
                <w:szCs w:val="24"/>
              </w:rPr>
            </w:pPr>
            <w:r w:rsidRPr="00E51EE4">
              <w:rPr>
                <w:b w:val="0"/>
                <w:bCs/>
                <w:sz w:val="24"/>
                <w:szCs w:val="24"/>
              </w:rPr>
              <w:t>Author: NMF Consensus Group</w:t>
            </w:r>
          </w:p>
        </w:tc>
      </w:tr>
      <w:tr w:rsidRPr="00E51EE4" w:rsidR="00E424B4" w:rsidTr="00D03862" w14:paraId="4C9AE236" w14:textId="77777777">
        <w:tc>
          <w:tcPr>
            <w:tcW w:w="4253" w:type="dxa"/>
            <w:vAlign w:val="center"/>
          </w:tcPr>
          <w:p w:rsidRPr="00E51EE4" w:rsidR="00A14418" w:rsidP="0059793A" w:rsidRDefault="00A14418" w14:paraId="75897511" w14:textId="77777777">
            <w:pPr>
              <w:pStyle w:val="Title"/>
              <w:rPr>
                <w:b w:val="0"/>
                <w:bCs/>
                <w:sz w:val="24"/>
                <w:szCs w:val="24"/>
              </w:rPr>
            </w:pPr>
            <w:r w:rsidRPr="00E51EE4">
              <w:rPr>
                <w:b w:val="0"/>
                <w:bCs/>
                <w:sz w:val="24"/>
                <w:szCs w:val="24"/>
              </w:rPr>
              <w:t xml:space="preserve">Current Version number:  </w:t>
            </w:r>
            <w:r>
              <w:rPr>
                <w:b w:val="0"/>
                <w:bCs/>
                <w:sz w:val="24"/>
                <w:szCs w:val="24"/>
              </w:rPr>
              <w:t>2</w:t>
            </w:r>
          </w:p>
        </w:tc>
        <w:tc>
          <w:tcPr>
            <w:tcW w:w="4536" w:type="dxa"/>
            <w:vAlign w:val="center"/>
          </w:tcPr>
          <w:p w:rsidRPr="00E51EE4" w:rsidR="00A14418" w:rsidP="0059793A" w:rsidRDefault="00A14418" w14:paraId="355D0523" w14:textId="3DC205B3">
            <w:pPr>
              <w:pStyle w:val="Title"/>
              <w:rPr>
                <w:b w:val="0"/>
                <w:bCs/>
                <w:sz w:val="24"/>
                <w:szCs w:val="24"/>
              </w:rPr>
            </w:pPr>
            <w:r w:rsidRPr="00E51EE4">
              <w:rPr>
                <w:b w:val="0"/>
                <w:bCs/>
                <w:sz w:val="24"/>
                <w:szCs w:val="24"/>
              </w:rPr>
              <w:t xml:space="preserve">Version Date:  </w:t>
            </w:r>
            <w:r w:rsidR="007B1384">
              <w:rPr>
                <w:b w:val="0"/>
                <w:bCs/>
                <w:sz w:val="24"/>
                <w:szCs w:val="24"/>
              </w:rPr>
              <w:t>2/3/2021</w:t>
            </w:r>
          </w:p>
        </w:tc>
      </w:tr>
      <w:tr w:rsidRPr="00E51EE4" w:rsidR="00E424B4" w:rsidTr="00D03862" w14:paraId="407E0794" w14:textId="77777777">
        <w:tc>
          <w:tcPr>
            <w:tcW w:w="4253" w:type="dxa"/>
            <w:vAlign w:val="center"/>
          </w:tcPr>
          <w:p w:rsidRPr="00E51EE4" w:rsidR="00A14418" w:rsidP="0059793A" w:rsidRDefault="00A14418" w14:paraId="6CE50AEE" w14:textId="77777777">
            <w:pPr>
              <w:pStyle w:val="Title"/>
              <w:rPr>
                <w:b w:val="0"/>
                <w:bCs/>
                <w:sz w:val="24"/>
                <w:szCs w:val="24"/>
              </w:rPr>
            </w:pPr>
            <w:r w:rsidRPr="00E51EE4">
              <w:rPr>
                <w:b w:val="0"/>
                <w:bCs/>
                <w:sz w:val="24"/>
                <w:szCs w:val="24"/>
              </w:rPr>
              <w:t>Risk Rating: Medium</w:t>
            </w:r>
          </w:p>
        </w:tc>
        <w:tc>
          <w:tcPr>
            <w:tcW w:w="4536" w:type="dxa"/>
            <w:vAlign w:val="center"/>
          </w:tcPr>
          <w:p w:rsidRPr="00E51EE4" w:rsidR="00A14418" w:rsidP="0059793A" w:rsidRDefault="00A14418" w14:paraId="29E13A15" w14:textId="1367B588">
            <w:pPr>
              <w:pStyle w:val="Title"/>
              <w:rPr>
                <w:b w:val="0"/>
                <w:bCs/>
                <w:sz w:val="24"/>
                <w:szCs w:val="24"/>
              </w:rPr>
            </w:pPr>
            <w:r w:rsidRPr="00E51EE4">
              <w:rPr>
                <w:b w:val="0"/>
                <w:bCs/>
                <w:sz w:val="24"/>
                <w:szCs w:val="24"/>
              </w:rPr>
              <w:t xml:space="preserve">Due for Review: </w:t>
            </w:r>
            <w:r w:rsidR="007B1384">
              <w:rPr>
                <w:b w:val="0"/>
                <w:bCs/>
                <w:sz w:val="24"/>
                <w:szCs w:val="24"/>
              </w:rPr>
              <w:t>2/3/2024</w:t>
            </w:r>
          </w:p>
        </w:tc>
      </w:tr>
      <w:tr w:rsidRPr="00E51EE4" w:rsidR="00A14418" w:rsidTr="00D03862" w14:paraId="68D7F82D" w14:textId="77777777">
        <w:trPr>
          <w:trHeight w:val="344"/>
        </w:trPr>
        <w:tc>
          <w:tcPr>
            <w:tcW w:w="4253" w:type="dxa"/>
            <w:tcBorders>
              <w:bottom w:val="single" w:color="auto" w:sz="4" w:space="0"/>
            </w:tcBorders>
            <w:vAlign w:val="center"/>
          </w:tcPr>
          <w:p w:rsidRPr="00E51EE4" w:rsidR="00A14418" w:rsidP="0059793A" w:rsidRDefault="00A14418" w14:paraId="3DF58B56" w14:textId="77777777">
            <w:pPr>
              <w:rPr>
                <w:bCs/>
                <w:szCs w:val="24"/>
              </w:rPr>
            </w:pPr>
            <w:r w:rsidRPr="00E51EE4">
              <w:rPr>
                <w:bCs/>
                <w:szCs w:val="24"/>
              </w:rPr>
              <w:t>Approval by: DTC</w:t>
            </w:r>
          </w:p>
        </w:tc>
        <w:tc>
          <w:tcPr>
            <w:tcW w:w="4536" w:type="dxa"/>
            <w:tcBorders>
              <w:bottom w:val="single" w:color="auto" w:sz="4" w:space="0"/>
            </w:tcBorders>
            <w:vAlign w:val="center"/>
          </w:tcPr>
          <w:p w:rsidRPr="00E51EE4" w:rsidR="00A14418" w:rsidP="0059793A" w:rsidRDefault="00A14418" w14:paraId="0FEF4287" w14:textId="75E242A6">
            <w:pPr>
              <w:pStyle w:val="Title"/>
              <w:rPr>
                <w:b w:val="0"/>
                <w:bCs/>
                <w:sz w:val="24"/>
                <w:szCs w:val="24"/>
              </w:rPr>
            </w:pPr>
            <w:r w:rsidRPr="00E51EE4">
              <w:rPr>
                <w:b w:val="0"/>
                <w:bCs/>
                <w:sz w:val="24"/>
                <w:szCs w:val="24"/>
              </w:rPr>
              <w:t xml:space="preserve">Approval Date: </w:t>
            </w:r>
            <w:r w:rsidR="00260BC8">
              <w:rPr>
                <w:b w:val="0"/>
                <w:bCs/>
                <w:sz w:val="24"/>
                <w:szCs w:val="24"/>
              </w:rPr>
              <w:t>APRIL 2021</w:t>
            </w:r>
          </w:p>
        </w:tc>
      </w:tr>
    </w:tbl>
    <w:p w:rsidR="006C4C17" w:rsidP="006F0321" w:rsidRDefault="006C4C17" w14:paraId="733D1857" w14:textId="77777777"/>
    <w:p w:rsidR="00A14418" w:rsidP="006F0321" w:rsidRDefault="00A14418" w14:paraId="4FF57B0C" w14:textId="77777777"/>
    <w:p w:rsidR="00A14418" w:rsidP="006F0321" w:rsidRDefault="00A14418" w14:paraId="64C55521" w14:textId="77777777"/>
    <w:p w:rsidR="00A14418" w:rsidP="006F0321" w:rsidRDefault="00A14418" w14:paraId="5002C0D7" w14:textId="77777777"/>
    <w:p w:rsidR="006C4C17" w:rsidP="006F0321" w:rsidRDefault="006C4C17" w14:paraId="09DBB05A" w14:textId="77777777"/>
    <w:p w:rsidR="006C4C17" w:rsidP="006F0321" w:rsidRDefault="006C4C17" w14:paraId="4C093227" w14:textId="77777777"/>
    <w:p w:rsidR="006C4C17" w:rsidP="006F0321" w:rsidRDefault="006C4C17" w14:paraId="17D5EA9F" w14:textId="77777777"/>
    <w:p w:rsidR="006C4C17" w:rsidP="006F0321" w:rsidRDefault="006C4C17" w14:paraId="0496912F" w14:textId="77777777"/>
    <w:p w:rsidR="006C4C17" w:rsidP="006F0321" w:rsidRDefault="006C4C17" w14:paraId="1F4C6D20" w14:textId="77777777"/>
    <w:p w:rsidR="006C4C17" w:rsidP="006F0321" w:rsidRDefault="006C4C17" w14:paraId="52032F2E" w14:textId="77777777"/>
    <w:p w:rsidR="006C4C17" w:rsidP="006F0321" w:rsidRDefault="006C4C17" w14:paraId="5F35C749" w14:textId="77777777"/>
    <w:p w:rsidR="006C4C17" w:rsidP="006F0321" w:rsidRDefault="006C4C17" w14:paraId="2D2B119D" w14:textId="77777777"/>
    <w:p w:rsidR="006C4C17" w:rsidP="006F0321" w:rsidRDefault="006C4C17" w14:paraId="684F828F" w14:textId="77777777"/>
    <w:p w:rsidR="006C4C17" w:rsidP="006F0321" w:rsidRDefault="006C4C17" w14:paraId="4D508F93" w14:textId="77777777"/>
    <w:p w:rsidR="006C4C17" w:rsidP="006F0321" w:rsidRDefault="006C4C17" w14:paraId="26A0DC43" w14:textId="77777777"/>
    <w:p w:rsidR="006C4C17" w:rsidP="006F0321" w:rsidRDefault="006C4C17" w14:paraId="042EB25D" w14:textId="77777777"/>
    <w:p w:rsidR="006C4C17" w:rsidP="006F0321" w:rsidRDefault="006C4C17" w14:paraId="0E7D39DC" w14:textId="77777777"/>
    <w:p w:rsidR="006C4C17" w:rsidP="006F0321" w:rsidRDefault="006C4C17" w14:paraId="75215681" w14:textId="77777777"/>
    <w:p w:rsidR="006C4C17" w:rsidP="006F0321" w:rsidRDefault="006C4C17" w14:paraId="1B008BCD" w14:textId="77777777"/>
    <w:p w:rsidRPr="00E25790" w:rsidR="006C4C17" w:rsidP="006F0321" w:rsidRDefault="006C4C17" w14:paraId="7EFFF18A" w14:textId="77777777"/>
    <w:tbl>
      <w:tblPr>
        <w:tblW w:w="9049" w:type="dxa"/>
        <w:tblLayout w:type="fixed"/>
        <w:tblLook w:val="0000" w:firstRow="0" w:lastRow="0" w:firstColumn="0" w:lastColumn="0" w:noHBand="0" w:noVBand="0"/>
      </w:tblPr>
      <w:tblGrid>
        <w:gridCol w:w="4153"/>
        <w:gridCol w:w="4896"/>
      </w:tblGrid>
      <w:tr w:rsidRPr="00E25790" w:rsidR="00115F48" w:rsidTr="00900C7F" w14:paraId="6FBAD331"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6C741D" w14:paraId="3BE23292" w14:textId="77777777">
            <w:pPr>
              <w:pStyle w:val="Heading1"/>
            </w:pPr>
            <w:bookmarkStart w:name="_Toc495481080" w:id="104"/>
            <w:bookmarkStart w:name="_Toc495481206" w:id="105"/>
            <w:bookmarkStart w:name="_Toc495481331" w:id="106"/>
            <w:bookmarkStart w:name="_Toc495501512" w:id="107"/>
            <w:bookmarkStart w:name="_Toc38106816" w:id="108"/>
            <w:bookmarkStart w:name="_Toc75339942" w:id="109"/>
            <w:r w:rsidRPr="00E25790">
              <w:lastRenderedPageBreak/>
              <w:t xml:space="preserve">Calcium </w:t>
            </w:r>
            <w:bookmarkEnd w:id="104"/>
            <w:bookmarkEnd w:id="105"/>
            <w:bookmarkEnd w:id="106"/>
            <w:bookmarkEnd w:id="107"/>
            <w:r w:rsidRPr="00E25790" w:rsidR="00AC6A3A">
              <w:t>Oral</w:t>
            </w:r>
            <w:bookmarkEnd w:id="108"/>
            <w:bookmarkEnd w:id="109"/>
            <w:r w:rsidRPr="00E25790">
              <w:t xml:space="preserve"> </w:t>
            </w:r>
            <w:r w:rsidRPr="00E25790" w:rsidR="00115F48">
              <w:fldChar w:fldCharType="begin"/>
            </w:r>
            <w:r w:rsidRPr="00E25790" w:rsidR="00115F48">
              <w:instrText>tc "Sandocal" \l 0</w:instrText>
            </w:r>
            <w:r w:rsidRPr="00E25790" w:rsidR="00115F48">
              <w:fldChar w:fldCharType="end"/>
            </w:r>
          </w:p>
        </w:tc>
      </w:tr>
      <w:tr w:rsidRPr="00E25790" w:rsidR="00115F48" w:rsidTr="00900C7F" w14:paraId="2EC24BF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6D44FBEE" w14:textId="538D7CC4">
            <w:r w:rsidRPr="00E25790">
              <w:t xml:space="preserve">Revision Date : </w:t>
            </w:r>
            <w:r w:rsidR="002E44B2">
              <w:t>31-12-2020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A81C07E" w14:textId="77777777">
            <w:r w:rsidRPr="00E25790">
              <w:t xml:space="preserve">Approved : </w:t>
            </w:r>
            <w:r w:rsidRPr="00E25790" w:rsidR="00AC6A3A">
              <w:t>TC, KOH</w:t>
            </w:r>
          </w:p>
        </w:tc>
      </w:tr>
    </w:tbl>
    <w:p w:rsidR="00900C7F" w:rsidRDefault="00900C7F" w14:paraId="6EE8D9F5" w14:textId="77777777"/>
    <w:tbl>
      <w:tblPr>
        <w:tblW w:w="1009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684"/>
      </w:tblGrid>
      <w:tr w:rsidRPr="003A7895" w:rsidR="00273A16" w:rsidTr="77BEE3D0" w14:paraId="60F8AF84" w14:textId="77777777">
        <w:trPr>
          <w:trHeight w:val="70"/>
        </w:trPr>
        <w:tc>
          <w:tcPr>
            <w:tcW w:w="2410" w:type="dxa"/>
          </w:tcPr>
          <w:p w:rsidRPr="00B53E9B" w:rsidR="003612B9" w:rsidP="009E664B" w:rsidRDefault="003612B9" w14:paraId="621191E0"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7684" w:type="dxa"/>
          </w:tcPr>
          <w:p w:rsidRPr="00930AB0" w:rsidR="003612B9" w:rsidP="009E664B" w:rsidRDefault="003612B9" w14:paraId="57161956" w14:textId="77777777">
            <w:pPr>
              <w:pStyle w:val="BodyText"/>
              <w:rPr>
                <w:rFonts w:cs="Arial"/>
                <w:sz w:val="20"/>
                <w:lang w:val="en-AU"/>
              </w:rPr>
            </w:pPr>
            <w:r w:rsidRPr="00930AB0">
              <w:rPr>
                <w:rFonts w:cs="Arial"/>
                <w:sz w:val="20"/>
                <w:lang w:val="en-AU"/>
              </w:rPr>
              <w:t xml:space="preserve">Multiple forms of calcium exist with varying amounts of elemental calcium expressed in varying units. Therefore careful attention is required in prescription and administration of calcium to avoid over- or under-dosing. Conversion factor for elemental Ca: 1 mg = 0.025 mmol = 0.05 mEq. </w:t>
            </w:r>
          </w:p>
          <w:p w:rsidRPr="00930AB0" w:rsidR="003612B9" w:rsidP="009E664B" w:rsidRDefault="003612B9" w14:paraId="05D6E5B7" w14:textId="77777777">
            <w:pPr>
              <w:pStyle w:val="BodyText"/>
              <w:rPr>
                <w:rFonts w:cs="Arial"/>
                <w:sz w:val="20"/>
                <w:lang w:val="en-AU"/>
              </w:rPr>
            </w:pPr>
            <w:r w:rsidRPr="00930AB0">
              <w:rPr>
                <w:rFonts w:cs="Arial"/>
                <w:sz w:val="20"/>
                <w:lang w:val="en-AU"/>
              </w:rPr>
              <w:t>Do not give calcium solutions and sodium bicarbonate simultaneously by the same route to avoid precipitation.</w:t>
            </w:r>
          </w:p>
          <w:p w:rsidRPr="00930AB0" w:rsidR="003612B9" w:rsidP="009E664B" w:rsidRDefault="003612B9" w14:paraId="20375F6B" w14:textId="77777777">
            <w:pPr>
              <w:pStyle w:val="BodyText"/>
              <w:rPr>
                <w:rFonts w:cs="Arial"/>
                <w:sz w:val="20"/>
                <w:lang w:val="en-AU"/>
              </w:rPr>
            </w:pPr>
            <w:r w:rsidRPr="00CC4F92">
              <w:rPr>
                <w:rFonts w:cs="Arial"/>
                <w:sz w:val="20"/>
                <w:highlight w:val="yellow"/>
                <w:lang w:val="en-AU"/>
              </w:rPr>
              <w:t>Do not mix with any medication that contains phosphates</w:t>
            </w:r>
            <w:r w:rsidRPr="00930AB0">
              <w:rPr>
                <w:rFonts w:cs="Arial"/>
                <w:sz w:val="20"/>
                <w:lang w:val="en-AU"/>
              </w:rPr>
              <w:t>, carbonates, sulfates or tartrates.</w:t>
            </w:r>
          </w:p>
          <w:p w:rsidRPr="00930AB0" w:rsidR="003612B9" w:rsidP="009E664B" w:rsidRDefault="003612B9" w14:paraId="07545FB8" w14:textId="77777777">
            <w:pPr>
              <w:pStyle w:val="BodyText"/>
              <w:rPr>
                <w:rFonts w:cs="Arial"/>
                <w:sz w:val="20"/>
                <w:lang w:val="en-AU"/>
              </w:rPr>
            </w:pPr>
            <w:r w:rsidRPr="00CC4F92">
              <w:rPr>
                <w:rFonts w:cs="Arial"/>
                <w:sz w:val="20"/>
                <w:highlight w:val="yellow"/>
                <w:lang w:val="en-AU"/>
              </w:rPr>
              <w:t>Separate doses of the following by at least 2 hours: phosphate, iron</w:t>
            </w:r>
            <w:r w:rsidRPr="00930AB0">
              <w:rPr>
                <w:rFonts w:cs="Arial"/>
                <w:sz w:val="20"/>
                <w:lang w:val="en-AU"/>
              </w:rPr>
              <w:t>, thyroxine and phenytoin.</w:t>
            </w:r>
          </w:p>
          <w:p w:rsidRPr="00026F20" w:rsidR="003612B9" w:rsidP="009E664B" w:rsidRDefault="003612B9" w14:paraId="4AE8D322" w14:textId="77777777">
            <w:pPr>
              <w:pStyle w:val="BodyText"/>
              <w:rPr>
                <w:rFonts w:cs="Arial"/>
                <w:sz w:val="20"/>
                <w:lang w:val="en-AU"/>
              </w:rPr>
            </w:pPr>
            <w:r w:rsidRPr="00930AB0">
              <w:rPr>
                <w:rFonts w:cs="Arial"/>
                <w:sz w:val="20"/>
                <w:lang w:val="en-AU"/>
              </w:rPr>
              <w:t>CalSource Effervescent tablets were discontinued in 2019.</w:t>
            </w:r>
          </w:p>
        </w:tc>
      </w:tr>
      <w:tr w:rsidRPr="003A7895" w:rsidR="00273A16" w:rsidTr="77BEE3D0" w14:paraId="5EC6CAA9" w14:textId="77777777">
        <w:trPr>
          <w:trHeight w:val="72"/>
        </w:trPr>
        <w:tc>
          <w:tcPr>
            <w:tcW w:w="2410" w:type="dxa"/>
          </w:tcPr>
          <w:p w:rsidRPr="00B53E9B" w:rsidR="003612B9" w:rsidP="009E664B" w:rsidRDefault="003612B9" w14:paraId="3F7257EF" w14:textId="77777777">
            <w:pPr>
              <w:pStyle w:val="BodyText"/>
              <w:rPr>
                <w:rFonts w:cs="Arial"/>
                <w:sz w:val="20"/>
                <w:lang w:val="en-AU"/>
              </w:rPr>
            </w:pPr>
            <w:r w:rsidRPr="00B53E9B">
              <w:rPr>
                <w:rFonts w:cs="Arial"/>
                <w:b/>
                <w:bCs/>
                <w:sz w:val="20"/>
                <w:lang w:val="en-AU"/>
              </w:rPr>
              <w:t>Indication</w:t>
            </w:r>
          </w:p>
        </w:tc>
        <w:tc>
          <w:tcPr>
            <w:tcW w:w="7684" w:type="dxa"/>
          </w:tcPr>
          <w:p w:rsidRPr="00930AB0" w:rsidR="003612B9" w:rsidP="009E664B" w:rsidRDefault="003612B9" w14:paraId="20A444C4" w14:textId="77777777">
            <w:pPr>
              <w:rPr>
                <w:sz w:val="20"/>
              </w:rPr>
            </w:pPr>
            <w:r w:rsidRPr="00930AB0">
              <w:rPr>
                <w:sz w:val="20"/>
              </w:rPr>
              <w:t xml:space="preserve">Oral calcium supplement to prevent / treat calcium deficiency. </w:t>
            </w:r>
          </w:p>
          <w:p w:rsidRPr="00A4414D" w:rsidR="003612B9" w:rsidP="009E664B" w:rsidRDefault="003612B9" w14:paraId="58EEDDFB" w14:textId="77777777">
            <w:pPr>
              <w:rPr>
                <w:sz w:val="20"/>
              </w:rPr>
            </w:pPr>
            <w:r w:rsidRPr="00930AB0">
              <w:rPr>
                <w:sz w:val="20"/>
              </w:rPr>
              <w:t>Asymptomatic hypocalcaemia.</w:t>
            </w:r>
          </w:p>
        </w:tc>
      </w:tr>
      <w:tr w:rsidRPr="003A7895" w:rsidR="00273A16" w:rsidTr="77BEE3D0" w14:paraId="575A2882" w14:textId="77777777">
        <w:trPr>
          <w:trHeight w:val="70"/>
        </w:trPr>
        <w:tc>
          <w:tcPr>
            <w:tcW w:w="2410" w:type="dxa"/>
          </w:tcPr>
          <w:p w:rsidRPr="00B53E9B" w:rsidR="003612B9" w:rsidP="009E664B" w:rsidRDefault="003612B9" w14:paraId="0B59A57E" w14:textId="77777777">
            <w:pPr>
              <w:pStyle w:val="BodyText"/>
              <w:rPr>
                <w:rFonts w:cs="Arial"/>
                <w:b/>
                <w:bCs/>
                <w:sz w:val="20"/>
                <w:lang w:val="en-AU"/>
              </w:rPr>
            </w:pPr>
            <w:r w:rsidRPr="00B53E9B">
              <w:rPr>
                <w:rFonts w:cs="Arial"/>
                <w:b/>
                <w:bCs/>
                <w:sz w:val="20"/>
                <w:lang w:val="en-AU"/>
              </w:rPr>
              <w:t>Action</w:t>
            </w:r>
          </w:p>
        </w:tc>
        <w:tc>
          <w:tcPr>
            <w:tcW w:w="7684" w:type="dxa"/>
          </w:tcPr>
          <w:p w:rsidRPr="00A4414D" w:rsidR="003612B9" w:rsidP="009E664B" w:rsidRDefault="003612B9" w14:paraId="092E7C10" w14:textId="77777777">
            <w:pPr>
              <w:rPr>
                <w:rFonts w:cs="Arial"/>
                <w:sz w:val="20"/>
              </w:rPr>
            </w:pPr>
            <w:r w:rsidRPr="00930AB0">
              <w:rPr>
                <w:rFonts w:cs="Arial"/>
                <w:sz w:val="20"/>
              </w:rPr>
              <w:t>Calcium is essential for the functional integrity of the nervous, muscular, skeletal and cardiac systems and for clotting function.</w:t>
            </w:r>
          </w:p>
        </w:tc>
      </w:tr>
      <w:tr w:rsidRPr="003A7895" w:rsidR="00273A16" w:rsidTr="77BEE3D0" w14:paraId="39E13EC4" w14:textId="77777777">
        <w:trPr>
          <w:trHeight w:val="266"/>
        </w:trPr>
        <w:tc>
          <w:tcPr>
            <w:tcW w:w="2410" w:type="dxa"/>
          </w:tcPr>
          <w:p w:rsidRPr="00B53E9B" w:rsidR="003612B9" w:rsidP="009E664B" w:rsidRDefault="003612B9" w14:paraId="38D0F3FF"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7684" w:type="dxa"/>
          </w:tcPr>
          <w:p w:rsidRPr="00022717" w:rsidR="003612B9" w:rsidP="009E664B" w:rsidRDefault="003612B9" w14:paraId="432D3F46" w14:textId="77777777">
            <w:pPr>
              <w:pStyle w:val="BodyText"/>
              <w:rPr>
                <w:rFonts w:cs="Arial" w:asciiTheme="minorHAnsi" w:hAnsiTheme="minorHAnsi"/>
                <w:sz w:val="20"/>
              </w:rPr>
            </w:pPr>
            <w:r w:rsidRPr="00022717">
              <w:rPr>
                <w:rFonts w:asciiTheme="minorHAnsi" w:hAnsiTheme="minorHAnsi"/>
                <w:sz w:val="20"/>
              </w:rPr>
              <w:t>Mineral.</w:t>
            </w:r>
          </w:p>
        </w:tc>
      </w:tr>
      <w:tr w:rsidRPr="003A7895" w:rsidR="00273A16" w:rsidTr="77BEE3D0" w14:paraId="223317BB" w14:textId="77777777">
        <w:trPr>
          <w:trHeight w:val="114"/>
        </w:trPr>
        <w:tc>
          <w:tcPr>
            <w:tcW w:w="2410" w:type="dxa"/>
          </w:tcPr>
          <w:p w:rsidRPr="00B53E9B" w:rsidR="003612B9" w:rsidP="009E664B" w:rsidRDefault="003612B9" w14:paraId="1131B2FB"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7684" w:type="dxa"/>
          </w:tcPr>
          <w:p w:rsidRPr="008306AA" w:rsidR="003612B9" w:rsidP="009E664B" w:rsidRDefault="003612B9" w14:paraId="3AAC0F7D" w14:textId="77777777">
            <w:pPr>
              <w:pStyle w:val="BodyText"/>
              <w:rPr>
                <w:rFonts w:asciiTheme="minorHAnsi" w:hAnsiTheme="minorHAnsi"/>
                <w:sz w:val="20"/>
              </w:rPr>
            </w:pPr>
            <w:r w:rsidRPr="008306AA">
              <w:rPr>
                <w:rFonts w:asciiTheme="minorHAnsi" w:hAnsiTheme="minorHAnsi"/>
                <w:sz w:val="20"/>
              </w:rPr>
              <w:t>Caltrate 600mg, Cal-600 tablets:  Calcium carbonate 1500mg (contains elemental calcium 600mg)</w:t>
            </w:r>
          </w:p>
          <w:p w:rsidRPr="008306AA" w:rsidR="003612B9" w:rsidP="009E664B" w:rsidRDefault="003612B9" w14:paraId="75DB131C" w14:textId="77777777">
            <w:pPr>
              <w:pStyle w:val="BodyText"/>
              <w:rPr>
                <w:rFonts w:asciiTheme="minorHAnsi" w:hAnsiTheme="minorHAnsi"/>
                <w:sz w:val="20"/>
              </w:rPr>
            </w:pPr>
            <w:r w:rsidRPr="008306AA">
              <w:rPr>
                <w:rFonts w:asciiTheme="minorHAnsi" w:hAnsiTheme="minorHAnsi"/>
                <w:sz w:val="20"/>
              </w:rPr>
              <w:t xml:space="preserve">AUSPMAN 100mg/mL calcium carbonate suspension </w:t>
            </w:r>
            <w:r>
              <w:rPr>
                <w:rFonts w:asciiTheme="minorHAnsi" w:hAnsiTheme="minorHAnsi"/>
                <w:sz w:val="20"/>
                <w:lang w:val="en-AU"/>
              </w:rPr>
              <w:t>[</w:t>
            </w:r>
            <w:r w:rsidRPr="008306AA">
              <w:rPr>
                <w:rFonts w:asciiTheme="minorHAnsi" w:hAnsiTheme="minorHAnsi"/>
                <w:sz w:val="20"/>
              </w:rPr>
              <w:t>1mmol/mL</w:t>
            </w:r>
            <w:r>
              <w:rPr>
                <w:rFonts w:asciiTheme="minorHAnsi" w:hAnsiTheme="minorHAnsi"/>
                <w:sz w:val="20"/>
              </w:rPr>
              <w:t>(40 mg/mL) of elemental calcium]</w:t>
            </w:r>
            <w:r w:rsidRPr="008306AA">
              <w:rPr>
                <w:rFonts w:asciiTheme="minorHAnsi" w:hAnsiTheme="minorHAnsi"/>
                <w:sz w:val="20"/>
              </w:rPr>
              <w:t xml:space="preserve"> </w:t>
            </w:r>
          </w:p>
          <w:p w:rsidRPr="008306AA" w:rsidR="003612B9" w:rsidP="009E664B" w:rsidRDefault="003612B9" w14:paraId="70791E2B" w14:textId="77777777">
            <w:pPr>
              <w:pStyle w:val="BodyText"/>
              <w:rPr>
                <w:rFonts w:asciiTheme="minorHAnsi" w:hAnsiTheme="minorHAnsi"/>
                <w:sz w:val="20"/>
              </w:rPr>
            </w:pPr>
            <w:r w:rsidRPr="008306AA">
              <w:rPr>
                <w:rFonts w:asciiTheme="minorHAnsi" w:hAnsiTheme="minorHAnsi"/>
                <w:sz w:val="20"/>
              </w:rPr>
              <w:t>If required:</w:t>
            </w:r>
          </w:p>
          <w:p w:rsidRPr="008306AA" w:rsidR="003612B9" w:rsidP="009E664B" w:rsidRDefault="003612B9" w14:paraId="71874158" w14:textId="77777777">
            <w:pPr>
              <w:pStyle w:val="BodyText"/>
              <w:rPr>
                <w:rFonts w:asciiTheme="minorHAnsi" w:hAnsiTheme="minorHAnsi"/>
                <w:sz w:val="20"/>
              </w:rPr>
            </w:pPr>
            <w:r w:rsidRPr="008306AA">
              <w:rPr>
                <w:rFonts w:asciiTheme="minorHAnsi" w:hAnsiTheme="minorHAnsi"/>
                <w:sz w:val="20"/>
              </w:rPr>
              <w:t>Calcium Gluconate Injection (Phebra) (calcium 0.22 mmol/mL).</w:t>
            </w:r>
          </w:p>
          <w:p w:rsidRPr="008306AA" w:rsidR="003612B9" w:rsidP="009E664B" w:rsidRDefault="003612B9" w14:paraId="6CE2B232" w14:textId="77777777">
            <w:pPr>
              <w:pStyle w:val="BodyText"/>
              <w:rPr>
                <w:rFonts w:asciiTheme="minorHAnsi" w:hAnsiTheme="minorHAnsi"/>
                <w:sz w:val="20"/>
              </w:rPr>
            </w:pPr>
            <w:r w:rsidRPr="008306AA">
              <w:rPr>
                <w:rFonts w:asciiTheme="minorHAnsi" w:hAnsiTheme="minorHAnsi"/>
                <w:sz w:val="20"/>
              </w:rPr>
              <w:t>Calcium Chloride Injection (Phebra) 10% (calcium 0.68 mmol/mL).</w:t>
            </w:r>
          </w:p>
          <w:p w:rsidRPr="003B6562" w:rsidR="003612B9" w:rsidP="009E664B" w:rsidRDefault="003612B9" w14:paraId="4FDB114A" w14:textId="77777777">
            <w:pPr>
              <w:rPr>
                <w:rFonts w:asciiTheme="minorHAnsi" w:hAnsiTheme="minorHAnsi"/>
                <w:sz w:val="20"/>
              </w:rPr>
            </w:pPr>
            <w:r w:rsidRPr="008306AA">
              <w:rPr>
                <w:rFonts w:asciiTheme="minorHAnsi" w:hAnsiTheme="minorHAnsi"/>
                <w:sz w:val="20"/>
              </w:rPr>
              <w:t>CalSource Effervescent tablets were discontinued in 2019, but SAS product (Calcium (SAS) (Sandoz Fortissimum) 1 g Effervescent tablet) is available.</w:t>
            </w:r>
          </w:p>
        </w:tc>
      </w:tr>
      <w:tr w:rsidRPr="003A7895" w:rsidR="00273A16" w:rsidTr="77BEE3D0" w14:paraId="76ED6A79" w14:textId="77777777">
        <w:trPr>
          <w:trHeight w:val="70"/>
        </w:trPr>
        <w:tc>
          <w:tcPr>
            <w:tcW w:w="2410" w:type="dxa"/>
          </w:tcPr>
          <w:p w:rsidRPr="00B53E9B" w:rsidR="003612B9" w:rsidP="009E664B" w:rsidRDefault="003612B9" w14:paraId="1D221E3A" w14:textId="77777777">
            <w:pPr>
              <w:pStyle w:val="BodyText"/>
              <w:rPr>
                <w:rFonts w:cs="Arial"/>
                <w:b/>
                <w:bCs/>
                <w:sz w:val="20"/>
                <w:lang w:val="en-AU"/>
              </w:rPr>
            </w:pPr>
            <w:r w:rsidRPr="00B53E9B">
              <w:rPr>
                <w:rFonts w:cs="Arial"/>
                <w:b/>
                <w:bCs/>
                <w:sz w:val="20"/>
                <w:lang w:val="en-AU"/>
              </w:rPr>
              <w:t xml:space="preserve">Presentation </w:t>
            </w:r>
          </w:p>
        </w:tc>
        <w:tc>
          <w:tcPr>
            <w:tcW w:w="7684" w:type="dxa"/>
          </w:tcPr>
          <w:p w:rsidRPr="003B6562" w:rsidR="003612B9" w:rsidP="009E664B" w:rsidRDefault="003612B9" w14:paraId="40EE60E0" w14:textId="77777777">
            <w:pPr>
              <w:pStyle w:val="BodyText"/>
              <w:rPr>
                <w:rFonts w:asciiTheme="minorHAnsi" w:hAnsiTheme="minorHAnsi"/>
                <w:sz w:val="20"/>
              </w:rPr>
            </w:pPr>
            <w:r w:rsidRPr="003B6562">
              <w:rPr>
                <w:rFonts w:asciiTheme="minorHAnsi" w:hAnsiTheme="minorHAnsi"/>
                <w:sz w:val="20"/>
              </w:rPr>
              <w:t>Caltrate</w:t>
            </w:r>
            <w:r>
              <w:rPr>
                <w:rFonts w:asciiTheme="minorHAnsi" w:hAnsiTheme="minorHAnsi"/>
                <w:sz w:val="20"/>
                <w:lang w:val="en-AU"/>
              </w:rPr>
              <w:t xml:space="preserve"> 600</w:t>
            </w:r>
            <w:r w:rsidRPr="003B6562">
              <w:rPr>
                <w:rFonts w:asciiTheme="minorHAnsi" w:hAnsiTheme="minorHAnsi"/>
                <w:sz w:val="20"/>
              </w:rPr>
              <w:t>, Cal-600:  Calcium carbonate 1500mg (contains elemental calcium 600mg)</w:t>
            </w:r>
          </w:p>
          <w:p w:rsidRPr="003B6562" w:rsidR="003612B9" w:rsidP="009E664B" w:rsidRDefault="003612B9" w14:paraId="140747FF" w14:textId="77777777">
            <w:pPr>
              <w:pStyle w:val="BodyText"/>
              <w:rPr>
                <w:rFonts w:asciiTheme="minorHAnsi" w:hAnsiTheme="minorHAnsi" w:cstheme="minorHAnsi"/>
                <w:sz w:val="20"/>
              </w:rPr>
            </w:pPr>
            <w:r w:rsidRPr="003B6562">
              <w:rPr>
                <w:rFonts w:asciiTheme="minorHAnsi" w:hAnsiTheme="minorHAnsi" w:cstheme="minorHAnsi"/>
                <w:sz w:val="20"/>
              </w:rPr>
              <w:t>AUSPMAN 40mg/mL (1mmol elemental calcium/mL) calcium (carbonate) suspension</w:t>
            </w:r>
          </w:p>
          <w:p w:rsidRPr="003B6562" w:rsidR="003612B9" w:rsidP="009E664B" w:rsidRDefault="003612B9" w14:paraId="7661B436" w14:textId="77777777">
            <w:pPr>
              <w:pStyle w:val="BodyText"/>
              <w:ind w:left="34"/>
              <w:rPr>
                <w:rFonts w:cs="Arial" w:asciiTheme="minorHAnsi" w:hAnsiTheme="minorHAnsi"/>
                <w:sz w:val="20"/>
              </w:rPr>
            </w:pPr>
            <w:r w:rsidRPr="003B6562">
              <w:rPr>
                <w:rFonts w:cs="Arial" w:asciiTheme="minorHAnsi" w:hAnsiTheme="minorHAnsi"/>
                <w:sz w:val="20"/>
              </w:rPr>
              <w:t>If required:</w:t>
            </w:r>
          </w:p>
          <w:p w:rsidRPr="003B6562" w:rsidR="003612B9" w:rsidP="009E664B" w:rsidRDefault="003612B9" w14:paraId="1D4B6CC3" w14:textId="77777777">
            <w:pPr>
              <w:pStyle w:val="BodyText"/>
              <w:ind w:left="34"/>
              <w:rPr>
                <w:rFonts w:cs="Arial" w:asciiTheme="minorHAnsi" w:hAnsiTheme="minorHAnsi"/>
                <w:sz w:val="20"/>
              </w:rPr>
            </w:pPr>
            <w:r w:rsidRPr="003B6562">
              <w:rPr>
                <w:rFonts w:cs="Arial" w:asciiTheme="minorHAnsi" w:hAnsiTheme="minorHAnsi"/>
                <w:sz w:val="20"/>
              </w:rPr>
              <w:t>Calcium gluconate 10% 10 mL vial contains 0.22 mmol/mL of elemental calcium.</w:t>
            </w:r>
          </w:p>
          <w:p w:rsidRPr="003B6562" w:rsidR="003612B9" w:rsidP="009E664B" w:rsidRDefault="003612B9" w14:paraId="7198331A" w14:textId="77777777">
            <w:pPr>
              <w:pStyle w:val="BodyText"/>
              <w:ind w:left="34"/>
              <w:rPr>
                <w:rFonts w:cs="Arial" w:asciiTheme="minorHAnsi" w:hAnsiTheme="minorHAnsi"/>
                <w:sz w:val="20"/>
              </w:rPr>
            </w:pPr>
            <w:r w:rsidRPr="003B6562">
              <w:rPr>
                <w:rFonts w:cs="Arial" w:asciiTheme="minorHAnsi" w:hAnsiTheme="minorHAnsi"/>
                <w:sz w:val="20"/>
              </w:rPr>
              <w:t>Calcium chloride 10% 10 mL vial contains 0.68 mmol/mL of elemental calcium.</w:t>
            </w:r>
          </w:p>
        </w:tc>
      </w:tr>
      <w:tr w:rsidRPr="000E2236" w:rsidR="00273A16" w:rsidTr="77BEE3D0" w14:paraId="119DFD1C" w14:textId="77777777">
        <w:trPr>
          <w:trHeight w:val="70"/>
        </w:trPr>
        <w:tc>
          <w:tcPr>
            <w:tcW w:w="2410" w:type="dxa"/>
          </w:tcPr>
          <w:p w:rsidRPr="00B53E9B" w:rsidR="003612B9" w:rsidP="009E664B" w:rsidRDefault="003612B9" w14:paraId="0D1A91E1"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7684" w:type="dxa"/>
          </w:tcPr>
          <w:p w:rsidRPr="00022717" w:rsidR="003612B9" w:rsidP="009E664B" w:rsidRDefault="003612B9" w14:paraId="4F5B2A32" w14:textId="77777777">
            <w:pPr>
              <w:pStyle w:val="BodyText"/>
              <w:rPr>
                <w:rFonts w:asciiTheme="minorHAnsi" w:hAnsiTheme="minorHAnsi"/>
                <w:sz w:val="20"/>
              </w:rPr>
            </w:pPr>
            <w:r w:rsidRPr="00022717">
              <w:rPr>
                <w:rFonts w:asciiTheme="minorHAnsi" w:hAnsiTheme="minorHAnsi"/>
                <w:sz w:val="20"/>
              </w:rPr>
              <w:t>Dose can vary.</w:t>
            </w:r>
          </w:p>
          <w:p w:rsidRPr="00022717" w:rsidR="003612B9" w:rsidP="009E664B" w:rsidRDefault="003612B9" w14:paraId="776EA89C" w14:textId="77777777">
            <w:pPr>
              <w:pStyle w:val="BodyText"/>
              <w:rPr>
                <w:rFonts w:asciiTheme="minorHAnsi" w:hAnsiTheme="minorHAnsi"/>
                <w:sz w:val="20"/>
              </w:rPr>
            </w:pPr>
            <w:r w:rsidRPr="00022717">
              <w:rPr>
                <w:rFonts w:asciiTheme="minorHAnsi" w:hAnsiTheme="minorHAnsi"/>
                <w:sz w:val="20"/>
              </w:rPr>
              <w:t>Estimate the calcium intake from all sources before prescribing oral calcium.</w:t>
            </w:r>
          </w:p>
          <w:p w:rsidRPr="00022717" w:rsidR="003612B9" w:rsidP="009E664B" w:rsidRDefault="003612B9" w14:paraId="6B4770D0" w14:textId="77777777">
            <w:pPr>
              <w:pStyle w:val="BodyText"/>
              <w:rPr>
                <w:rFonts w:asciiTheme="minorHAnsi" w:hAnsiTheme="minorHAnsi"/>
                <w:sz w:val="20"/>
              </w:rPr>
            </w:pPr>
            <w:r w:rsidRPr="00022717">
              <w:rPr>
                <w:rFonts w:asciiTheme="minorHAnsi" w:hAnsiTheme="minorHAnsi"/>
                <w:sz w:val="20"/>
              </w:rPr>
              <w:t xml:space="preserve">Recommended total daily intake of elemental calcium from all sources: 120–200 mg/kg/day (3–5 mmol/kg/day). </w:t>
            </w:r>
          </w:p>
          <w:p w:rsidRPr="00022717" w:rsidR="003612B9" w:rsidP="009E664B" w:rsidRDefault="003612B9" w14:paraId="2EBFDD6A" w14:textId="39FEFC92">
            <w:pPr>
              <w:pStyle w:val="BodyText"/>
              <w:rPr>
                <w:rFonts w:asciiTheme="minorHAnsi" w:hAnsiTheme="minorHAnsi"/>
                <w:sz w:val="20"/>
              </w:rPr>
            </w:pPr>
            <w:r w:rsidRPr="00022717">
              <w:rPr>
                <w:rFonts w:asciiTheme="minorHAnsi" w:hAnsiTheme="minorHAnsi"/>
                <w:sz w:val="20"/>
              </w:rPr>
              <w:t>Usual starting oral calcium dose: 20 mg/kg/day</w:t>
            </w:r>
            <w:r>
              <w:rPr>
                <w:rFonts w:asciiTheme="minorHAnsi" w:hAnsiTheme="minorHAnsi"/>
                <w:sz w:val="20"/>
              </w:rPr>
              <w:t xml:space="preserve"> (0.5 mmol/kg/day)</w:t>
            </w:r>
            <w:r w:rsidRPr="00022717">
              <w:rPr>
                <w:rFonts w:asciiTheme="minorHAnsi" w:hAnsiTheme="minorHAnsi"/>
                <w:sz w:val="20"/>
              </w:rPr>
              <w:t>. Can increase up to 80 mg/kg/day</w:t>
            </w:r>
            <w:r>
              <w:rPr>
                <w:rFonts w:asciiTheme="minorHAnsi" w:hAnsiTheme="minorHAnsi"/>
                <w:sz w:val="20"/>
              </w:rPr>
              <w:t xml:space="preserve"> (2.0 mmol/kg/day)</w:t>
            </w:r>
            <w:r w:rsidRPr="00022717">
              <w:rPr>
                <w:rFonts w:asciiTheme="minorHAnsi" w:hAnsiTheme="minorHAnsi"/>
                <w:sz w:val="20"/>
              </w:rPr>
              <w:t xml:space="preserve">. Divide the daily dose into 2-4 doses (Do not mix with Phosphate – See Drug Interactions). </w:t>
            </w:r>
          </w:p>
        </w:tc>
      </w:tr>
      <w:tr w:rsidRPr="003A7895" w:rsidR="00273A16" w:rsidTr="77BEE3D0" w14:paraId="4C01681C" w14:textId="77777777">
        <w:trPr>
          <w:trHeight w:val="70"/>
        </w:trPr>
        <w:tc>
          <w:tcPr>
            <w:tcW w:w="2410" w:type="dxa"/>
          </w:tcPr>
          <w:p w:rsidRPr="00B53E9B" w:rsidR="003612B9" w:rsidP="009E664B" w:rsidRDefault="003612B9" w14:paraId="7503C73A" w14:textId="77777777">
            <w:pPr>
              <w:pStyle w:val="BodyText"/>
              <w:rPr>
                <w:b/>
                <w:sz w:val="20"/>
                <w:lang w:val="en-AU"/>
              </w:rPr>
            </w:pPr>
            <w:r w:rsidRPr="00B53E9B">
              <w:rPr>
                <w:b/>
                <w:sz w:val="20"/>
                <w:lang w:val="en-AU"/>
              </w:rPr>
              <w:t xml:space="preserve">Dose </w:t>
            </w:r>
            <w:r>
              <w:rPr>
                <w:b/>
                <w:sz w:val="20"/>
                <w:lang w:val="en-AU"/>
              </w:rPr>
              <w:t>– Special scenarios</w:t>
            </w:r>
          </w:p>
        </w:tc>
        <w:tc>
          <w:tcPr>
            <w:tcW w:w="7684" w:type="dxa"/>
          </w:tcPr>
          <w:p w:rsidRPr="00026F20" w:rsidR="003612B9" w:rsidP="009E664B" w:rsidRDefault="003612B9" w14:paraId="2CFEF4C8" w14:textId="77777777">
            <w:pPr>
              <w:pStyle w:val="BodyText"/>
              <w:rPr>
                <w:sz w:val="20"/>
                <w:lang w:val="en-AU"/>
              </w:rPr>
            </w:pPr>
            <w:r>
              <w:rPr>
                <w:sz w:val="20"/>
                <w:lang w:val="en-AU"/>
              </w:rPr>
              <w:t>Not applicable.</w:t>
            </w:r>
          </w:p>
        </w:tc>
      </w:tr>
      <w:tr w:rsidRPr="003A7895" w:rsidR="00273A16" w:rsidTr="77BEE3D0" w14:paraId="1C389D3A" w14:textId="77777777">
        <w:trPr>
          <w:trHeight w:val="113"/>
        </w:trPr>
        <w:tc>
          <w:tcPr>
            <w:tcW w:w="2410" w:type="dxa"/>
          </w:tcPr>
          <w:p w:rsidRPr="00B53E9B" w:rsidR="003612B9" w:rsidP="009E664B" w:rsidRDefault="003612B9" w14:paraId="6D03D0A3" w14:textId="77777777">
            <w:pPr>
              <w:pStyle w:val="BodyText"/>
              <w:rPr>
                <w:b/>
                <w:sz w:val="20"/>
                <w:lang w:val="en-AU"/>
              </w:rPr>
            </w:pPr>
            <w:r w:rsidRPr="00B53E9B">
              <w:rPr>
                <w:b/>
                <w:sz w:val="20"/>
                <w:lang w:val="en-AU"/>
              </w:rPr>
              <w:t>Maximum dose</w:t>
            </w:r>
          </w:p>
        </w:tc>
        <w:tc>
          <w:tcPr>
            <w:tcW w:w="7684" w:type="dxa"/>
          </w:tcPr>
          <w:p w:rsidRPr="00026F20" w:rsidR="003612B9" w:rsidP="009E664B" w:rsidRDefault="003612B9" w14:paraId="4667EE95" w14:textId="77777777">
            <w:pPr>
              <w:pStyle w:val="BodyText"/>
              <w:rPr>
                <w:sz w:val="20"/>
                <w:lang w:val="en-AU"/>
              </w:rPr>
            </w:pPr>
            <w:r w:rsidRPr="00930AB0">
              <w:rPr>
                <w:sz w:val="20"/>
                <w:lang w:val="en-AU"/>
              </w:rPr>
              <w:t>Oral – 5.5 mmol/kg</w:t>
            </w:r>
          </w:p>
        </w:tc>
      </w:tr>
      <w:tr w:rsidRPr="003A7895" w:rsidR="00273A16" w:rsidTr="77BEE3D0" w14:paraId="3FF5FD32" w14:textId="77777777">
        <w:trPr>
          <w:trHeight w:val="144"/>
        </w:trPr>
        <w:tc>
          <w:tcPr>
            <w:tcW w:w="2410" w:type="dxa"/>
          </w:tcPr>
          <w:p w:rsidRPr="00B53E9B" w:rsidR="003612B9" w:rsidP="009E664B" w:rsidRDefault="003612B9" w14:paraId="42F47E68" w14:textId="77777777">
            <w:pPr>
              <w:pStyle w:val="BodyText"/>
              <w:rPr>
                <w:rFonts w:cs="Arial"/>
                <w:b/>
                <w:bCs/>
                <w:sz w:val="20"/>
                <w:lang w:val="en-AU"/>
              </w:rPr>
            </w:pPr>
            <w:r w:rsidRPr="00B53E9B">
              <w:rPr>
                <w:b/>
                <w:sz w:val="20"/>
                <w:lang w:val="en-AU"/>
              </w:rPr>
              <w:t>Total cumulative dose</w:t>
            </w:r>
          </w:p>
        </w:tc>
        <w:tc>
          <w:tcPr>
            <w:tcW w:w="7684" w:type="dxa"/>
          </w:tcPr>
          <w:p w:rsidRPr="00026F20" w:rsidR="003612B9" w:rsidP="009E664B" w:rsidRDefault="003612B9" w14:paraId="38A2286F" w14:textId="77777777">
            <w:pPr>
              <w:pStyle w:val="BodyText"/>
              <w:rPr>
                <w:rFonts w:cs="Arial"/>
                <w:b/>
                <w:sz w:val="20"/>
                <w:lang w:val="en-AU"/>
              </w:rPr>
            </w:pPr>
          </w:p>
        </w:tc>
      </w:tr>
      <w:tr w:rsidRPr="003A7895" w:rsidR="00273A16" w:rsidTr="77BEE3D0" w14:paraId="7D20FD8F" w14:textId="77777777">
        <w:trPr>
          <w:trHeight w:val="294"/>
        </w:trPr>
        <w:tc>
          <w:tcPr>
            <w:tcW w:w="2410" w:type="dxa"/>
          </w:tcPr>
          <w:p w:rsidRPr="00B53E9B" w:rsidR="003612B9" w:rsidP="009E664B" w:rsidRDefault="003612B9" w14:paraId="5AFF3CF5" w14:textId="77777777">
            <w:pPr>
              <w:pStyle w:val="BodyText"/>
              <w:rPr>
                <w:rFonts w:cs="Arial"/>
                <w:sz w:val="20"/>
                <w:lang w:val="en-AU"/>
              </w:rPr>
            </w:pPr>
            <w:r w:rsidRPr="00B53E9B">
              <w:rPr>
                <w:rFonts w:cs="Arial"/>
                <w:b/>
                <w:bCs/>
                <w:sz w:val="20"/>
                <w:lang w:val="en-AU"/>
              </w:rPr>
              <w:t xml:space="preserve">Route                                </w:t>
            </w:r>
          </w:p>
        </w:tc>
        <w:tc>
          <w:tcPr>
            <w:tcW w:w="7684" w:type="dxa"/>
          </w:tcPr>
          <w:p w:rsidRPr="00026F20" w:rsidR="003612B9" w:rsidP="009E664B" w:rsidRDefault="003612B9" w14:paraId="0CD25C06" w14:textId="77777777">
            <w:pPr>
              <w:pStyle w:val="BodyText"/>
              <w:rPr>
                <w:rFonts w:cs="Arial"/>
                <w:sz w:val="20"/>
                <w:lang w:val="en-AU"/>
              </w:rPr>
            </w:pPr>
            <w:r>
              <w:rPr>
                <w:rFonts w:cs="Arial"/>
                <w:sz w:val="20"/>
                <w:lang w:val="en-AU"/>
              </w:rPr>
              <w:t>Oral</w:t>
            </w:r>
          </w:p>
        </w:tc>
      </w:tr>
      <w:tr w:rsidRPr="003A7895" w:rsidR="00273A16" w:rsidTr="77BEE3D0" w14:paraId="26898F48" w14:textId="77777777">
        <w:trPr>
          <w:trHeight w:val="93"/>
        </w:trPr>
        <w:tc>
          <w:tcPr>
            <w:tcW w:w="2410" w:type="dxa"/>
          </w:tcPr>
          <w:p w:rsidRPr="00B53E9B" w:rsidR="003612B9" w:rsidP="77BEE3D0" w:rsidRDefault="0039125B" w14:paraId="75AC5DAB" w14:textId="26315B72">
            <w:pPr>
              <w:pStyle w:val="BodyText"/>
              <w:rPr>
                <w:rFonts w:cs="Arial"/>
                <w:b/>
                <w:bCs/>
                <w:sz w:val="20"/>
                <w:highlight w:val="cyan"/>
                <w:lang w:val="en-AU"/>
              </w:rPr>
            </w:pPr>
            <w:r w:rsidRPr="77BEE3D0">
              <w:rPr>
                <w:rFonts w:cs="Arial"/>
                <w:b/>
                <w:bCs/>
                <w:sz w:val="20"/>
                <w:lang w:val="en-AU"/>
              </w:rPr>
              <w:t>Preparation</w:t>
            </w:r>
          </w:p>
        </w:tc>
        <w:tc>
          <w:tcPr>
            <w:tcW w:w="7684" w:type="dxa"/>
          </w:tcPr>
          <w:p w:rsidR="003612B9" w:rsidP="009E664B" w:rsidRDefault="003612B9" w14:paraId="709259BC" w14:textId="77777777">
            <w:pPr>
              <w:pStyle w:val="BodyText"/>
              <w:rPr>
                <w:rFonts w:cs="Arial" w:asciiTheme="minorHAnsi" w:hAnsiTheme="minorHAnsi"/>
                <w:sz w:val="20"/>
              </w:rPr>
            </w:pPr>
            <w:r>
              <w:rPr>
                <w:rFonts w:cs="Arial" w:asciiTheme="minorHAnsi" w:hAnsiTheme="minorHAnsi"/>
                <w:sz w:val="20"/>
              </w:rPr>
              <w:t>AUSPMAN suspension – no further dilution necessary</w:t>
            </w:r>
          </w:p>
          <w:p w:rsidR="003612B9" w:rsidP="009E664B" w:rsidRDefault="003612B9" w14:paraId="398981CD" w14:textId="77777777">
            <w:pPr>
              <w:pStyle w:val="BodyText"/>
              <w:rPr>
                <w:rFonts w:asciiTheme="minorHAnsi" w:hAnsiTheme="minorHAnsi"/>
                <w:sz w:val="20"/>
              </w:rPr>
            </w:pPr>
          </w:p>
          <w:p w:rsidR="003612B9" w:rsidP="009E664B" w:rsidRDefault="003612B9" w14:paraId="6B455CBA" w14:textId="77777777">
            <w:pPr>
              <w:pStyle w:val="BodyText"/>
              <w:rPr>
                <w:rFonts w:asciiTheme="minorHAnsi" w:hAnsiTheme="minorHAnsi"/>
                <w:sz w:val="20"/>
              </w:rPr>
            </w:pPr>
            <w:r>
              <w:rPr>
                <w:rFonts w:asciiTheme="minorHAnsi" w:hAnsiTheme="minorHAnsi"/>
                <w:sz w:val="20"/>
              </w:rPr>
              <w:t>Caltrate, Cal-600:  Calcium carbonate 1500mg (contains elemental calcium 600mg)</w:t>
            </w:r>
          </w:p>
          <w:p w:rsidR="003612B9" w:rsidP="009E664B" w:rsidRDefault="003612B9" w14:paraId="5F0341CE" w14:textId="77777777">
            <w:pPr>
              <w:pStyle w:val="BodyText"/>
              <w:rPr>
                <w:rFonts w:asciiTheme="minorHAnsi" w:hAnsiTheme="minorHAnsi" w:cstheme="minorHAnsi"/>
                <w:color w:val="000000" w:themeColor="text1"/>
                <w:sz w:val="20"/>
              </w:rPr>
            </w:pPr>
            <w:r>
              <w:rPr>
                <w:rFonts w:asciiTheme="minorHAnsi" w:hAnsiTheme="minorHAnsi"/>
                <w:sz w:val="20"/>
              </w:rPr>
              <w:t xml:space="preserve">Crush and dissolve one tablet in 30 mL of water. This will give a solution containing 0.5 mmol/mL (20mg/mL). </w:t>
            </w:r>
            <w:r w:rsidRPr="00C57FFA">
              <w:rPr>
                <w:rFonts w:asciiTheme="minorHAnsi" w:hAnsiTheme="minorHAnsi" w:cstheme="minorHAnsi"/>
                <w:color w:val="000000" w:themeColor="text1"/>
                <w:sz w:val="20"/>
              </w:rPr>
              <w:t xml:space="preserve">The relevant dose should be calculated and withdrawn by oral syringe </w:t>
            </w:r>
            <w:r w:rsidRPr="00C57FFA">
              <w:rPr>
                <w:rFonts w:asciiTheme="minorHAnsi" w:hAnsiTheme="minorHAnsi" w:cstheme="minorHAnsi"/>
                <w:color w:val="000000" w:themeColor="text1"/>
                <w:sz w:val="20"/>
              </w:rPr>
              <w:lastRenderedPageBreak/>
              <w:t>immediately on complete dispersion of tablet (so as not to let dispersed liquid settle). Any remaining liquid should be discarded.</w:t>
            </w:r>
            <w:r>
              <w:rPr>
                <w:rFonts w:asciiTheme="minorHAnsi" w:hAnsiTheme="minorHAnsi" w:cstheme="minorHAnsi"/>
                <w:color w:val="000000" w:themeColor="text1"/>
                <w:sz w:val="20"/>
              </w:rPr>
              <w:t xml:space="preserve"> Please refer to Appendix A.</w:t>
            </w:r>
          </w:p>
          <w:p w:rsidR="003612B9" w:rsidP="009E664B" w:rsidRDefault="003612B9" w14:paraId="1B006DF4" w14:textId="77777777">
            <w:pPr>
              <w:pStyle w:val="BodyText"/>
              <w:rPr>
                <w:rFonts w:asciiTheme="minorHAnsi" w:hAnsiTheme="minorHAnsi" w:cstheme="minorHAnsi"/>
                <w:color w:val="000000" w:themeColor="text1"/>
                <w:sz w:val="20"/>
              </w:rPr>
            </w:pPr>
          </w:p>
          <w:p w:rsidRPr="00764471" w:rsidR="003612B9" w:rsidP="009E664B" w:rsidRDefault="003612B9" w14:paraId="7A86F59D" w14:textId="3568946C">
            <w:pPr>
              <w:pStyle w:val="BodyText"/>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Calcium Effervescent tablet: </w:t>
            </w:r>
            <w:r w:rsidRPr="00764471">
              <w:rPr>
                <w:rFonts w:asciiTheme="minorHAnsi" w:hAnsiTheme="minorHAnsi" w:cstheme="minorHAnsi"/>
                <w:color w:val="000000" w:themeColor="text1"/>
                <w:sz w:val="20"/>
              </w:rPr>
              <w:t xml:space="preserve">Dissolve one calcium 1000 mg effervescent tablet in 10 mL of sterile water to make a </w:t>
            </w:r>
            <w:r w:rsidR="00A910F6">
              <w:rPr>
                <w:rFonts w:asciiTheme="minorHAnsi" w:hAnsiTheme="minorHAnsi" w:cstheme="minorHAnsi"/>
                <w:color w:val="000000" w:themeColor="text1"/>
                <w:sz w:val="20"/>
              </w:rPr>
              <w:t>100</w:t>
            </w:r>
            <w:r w:rsidR="00164F7E">
              <w:rPr>
                <w:rFonts w:asciiTheme="minorHAnsi" w:hAnsiTheme="minorHAnsi" w:cstheme="minorHAnsi"/>
                <w:color w:val="000000" w:themeColor="text1"/>
                <w:sz w:val="20"/>
              </w:rPr>
              <w:t xml:space="preserve"> </w:t>
            </w:r>
            <w:r w:rsidR="00A910F6">
              <w:rPr>
                <w:rFonts w:asciiTheme="minorHAnsi" w:hAnsiTheme="minorHAnsi" w:cstheme="minorHAnsi"/>
                <w:color w:val="000000" w:themeColor="text1"/>
                <w:sz w:val="20"/>
              </w:rPr>
              <w:t>mg/mL</w:t>
            </w:r>
            <w:r w:rsidR="00164F7E">
              <w:rPr>
                <w:rFonts w:asciiTheme="minorHAnsi" w:hAnsiTheme="minorHAnsi" w:cstheme="minorHAnsi"/>
                <w:color w:val="000000" w:themeColor="text1"/>
                <w:sz w:val="20"/>
              </w:rPr>
              <w:t xml:space="preserve"> (</w:t>
            </w:r>
            <w:r w:rsidRPr="00764471">
              <w:rPr>
                <w:rFonts w:asciiTheme="minorHAnsi" w:hAnsiTheme="minorHAnsi" w:cstheme="minorHAnsi"/>
                <w:color w:val="000000" w:themeColor="text1"/>
                <w:sz w:val="20"/>
              </w:rPr>
              <w:t>2.5 mmol/mL</w:t>
            </w:r>
            <w:r w:rsidR="00164F7E">
              <w:rPr>
                <w:rFonts w:asciiTheme="minorHAnsi" w:hAnsiTheme="minorHAnsi" w:cstheme="minorHAnsi"/>
                <w:color w:val="000000" w:themeColor="text1"/>
                <w:sz w:val="20"/>
              </w:rPr>
              <w:t>)</w:t>
            </w:r>
            <w:r w:rsidRPr="00764471">
              <w:rPr>
                <w:rFonts w:asciiTheme="minorHAnsi" w:hAnsiTheme="minorHAnsi" w:cstheme="minorHAnsi"/>
                <w:color w:val="000000" w:themeColor="text1"/>
                <w:sz w:val="20"/>
              </w:rPr>
              <w:t xml:space="preserve"> solution.</w:t>
            </w:r>
          </w:p>
        </w:tc>
      </w:tr>
      <w:tr w:rsidRPr="003A7895" w:rsidR="00E424B4" w:rsidTr="77BEE3D0" w14:paraId="3CE87876" w14:textId="77777777">
        <w:trPr>
          <w:trHeight w:val="224"/>
        </w:trPr>
        <w:tc>
          <w:tcPr>
            <w:tcW w:w="2410" w:type="dxa"/>
          </w:tcPr>
          <w:p w:rsidRPr="00B53E9B" w:rsidR="003612B9" w:rsidP="009E664B" w:rsidRDefault="003612B9" w14:paraId="064A91C1" w14:textId="77777777">
            <w:pPr>
              <w:pStyle w:val="BodyText"/>
              <w:rPr>
                <w:rFonts w:cs="Arial"/>
                <w:b/>
                <w:bCs/>
                <w:sz w:val="20"/>
                <w:lang w:val="en-AU"/>
              </w:rPr>
            </w:pPr>
            <w:r w:rsidRPr="00B53E9B">
              <w:rPr>
                <w:rFonts w:cs="Arial"/>
                <w:b/>
                <w:bCs/>
                <w:sz w:val="20"/>
                <w:lang w:val="en-AU"/>
              </w:rPr>
              <w:lastRenderedPageBreak/>
              <w:t xml:space="preserve">Administration                </w:t>
            </w:r>
          </w:p>
        </w:tc>
        <w:tc>
          <w:tcPr>
            <w:tcW w:w="7684" w:type="dxa"/>
            <w:vAlign w:val="center"/>
          </w:tcPr>
          <w:p w:rsidRPr="00022717" w:rsidR="003612B9" w:rsidP="00CC4F92" w:rsidRDefault="00146FC9" w14:paraId="75C64F5C" w14:textId="3607364E">
            <w:pPr>
              <w:pStyle w:val="BodyText"/>
              <w:shd w:val="clear" w:color="auto" w:fill="FFFF00"/>
              <w:rPr>
                <w:rFonts w:cs="Arial" w:asciiTheme="minorHAnsi" w:hAnsiTheme="minorHAnsi"/>
                <w:sz w:val="20"/>
              </w:rPr>
            </w:pPr>
            <w:r>
              <w:rPr>
                <w:rFonts w:cs="Arial" w:asciiTheme="minorHAnsi" w:hAnsiTheme="minorHAnsi"/>
                <w:sz w:val="20"/>
              </w:rPr>
              <w:t xml:space="preserve">Do not administer with feeds as </w:t>
            </w:r>
            <w:r w:rsidR="000C24D5">
              <w:rPr>
                <w:rFonts w:cs="Arial" w:asciiTheme="minorHAnsi" w:hAnsiTheme="minorHAnsi"/>
                <w:sz w:val="20"/>
              </w:rPr>
              <w:t>calcium can combine with phosphate in the milk decreasing absorption</w:t>
            </w:r>
            <w:r w:rsidRPr="00022717" w:rsidR="003612B9">
              <w:rPr>
                <w:rFonts w:cs="Arial" w:asciiTheme="minorHAnsi" w:hAnsiTheme="minorHAnsi"/>
                <w:sz w:val="20"/>
              </w:rPr>
              <w:t xml:space="preserve">.  </w:t>
            </w:r>
          </w:p>
          <w:p w:rsidRPr="00022717" w:rsidR="003612B9" w:rsidP="009E664B" w:rsidRDefault="003612B9" w14:paraId="53DF69BE" w14:textId="77777777">
            <w:pPr>
              <w:pStyle w:val="BodyText"/>
              <w:rPr>
                <w:rFonts w:cs="Arial" w:asciiTheme="minorHAnsi" w:hAnsiTheme="minorHAnsi"/>
                <w:color w:val="FF0000"/>
                <w:sz w:val="20"/>
              </w:rPr>
            </w:pPr>
            <w:r w:rsidRPr="00022717">
              <w:rPr>
                <w:rFonts w:cs="Arial" w:asciiTheme="minorHAnsi" w:hAnsiTheme="minorHAnsi"/>
                <w:sz w:val="20"/>
              </w:rPr>
              <w:t>If required, calcium IV vials may be given orally (must be diluted at least 1:4 with sterile water).</w:t>
            </w:r>
          </w:p>
        </w:tc>
      </w:tr>
      <w:tr w:rsidRPr="003A7895" w:rsidR="00273A16" w:rsidTr="77BEE3D0" w14:paraId="397ED014" w14:textId="77777777">
        <w:trPr>
          <w:trHeight w:val="215"/>
        </w:trPr>
        <w:tc>
          <w:tcPr>
            <w:tcW w:w="2410" w:type="dxa"/>
          </w:tcPr>
          <w:p w:rsidRPr="00B53E9B" w:rsidR="003612B9" w:rsidP="009E664B" w:rsidRDefault="003612B9" w14:paraId="3D6229EC" w14:textId="77777777">
            <w:pPr>
              <w:pStyle w:val="BodyText"/>
              <w:rPr>
                <w:rFonts w:cs="Arial"/>
                <w:b/>
                <w:bCs/>
                <w:sz w:val="20"/>
                <w:lang w:val="en-AU"/>
              </w:rPr>
            </w:pPr>
            <w:r w:rsidRPr="00B53E9B">
              <w:rPr>
                <w:rFonts w:cs="Arial"/>
                <w:b/>
                <w:bCs/>
                <w:sz w:val="20"/>
                <w:lang w:val="en-AU"/>
              </w:rPr>
              <w:t xml:space="preserve">Monitoring                              </w:t>
            </w:r>
          </w:p>
        </w:tc>
        <w:tc>
          <w:tcPr>
            <w:tcW w:w="7684" w:type="dxa"/>
          </w:tcPr>
          <w:p w:rsidRPr="00022717" w:rsidR="003612B9" w:rsidP="009E664B" w:rsidRDefault="003612B9" w14:paraId="79EF2184" w14:textId="77777777">
            <w:pPr>
              <w:pStyle w:val="BodyText"/>
              <w:rPr>
                <w:rFonts w:cs="Arial" w:asciiTheme="minorHAnsi" w:hAnsiTheme="minorHAnsi"/>
                <w:sz w:val="20"/>
              </w:rPr>
            </w:pPr>
            <w:r w:rsidRPr="00022717">
              <w:rPr>
                <w:rFonts w:cs="Arial" w:asciiTheme="minorHAnsi" w:hAnsiTheme="minorHAnsi"/>
                <w:sz w:val="20"/>
              </w:rPr>
              <w:t>Monitor calcium, phosphate and magnesium. Measurement of ionised calcium preferred over total calcium.</w:t>
            </w:r>
          </w:p>
          <w:p w:rsidRPr="00022717" w:rsidR="003612B9" w:rsidP="009E664B" w:rsidRDefault="003612B9" w14:paraId="65E5BC89" w14:textId="77777777">
            <w:pPr>
              <w:pStyle w:val="BodyText"/>
              <w:rPr>
                <w:rFonts w:cs="Arial" w:asciiTheme="minorHAnsi" w:hAnsiTheme="minorHAnsi"/>
                <w:sz w:val="20"/>
              </w:rPr>
            </w:pPr>
            <w:r w:rsidRPr="00022717">
              <w:rPr>
                <w:rFonts w:cs="Arial" w:asciiTheme="minorHAnsi" w:hAnsiTheme="minorHAnsi"/>
                <w:sz w:val="20"/>
              </w:rPr>
              <w:t>Correct hypomagnesaemia if present.</w:t>
            </w:r>
          </w:p>
        </w:tc>
      </w:tr>
      <w:tr w:rsidRPr="003A7895" w:rsidR="00273A16" w:rsidTr="77BEE3D0" w14:paraId="41FC9CEB" w14:textId="77777777">
        <w:trPr>
          <w:trHeight w:val="342"/>
        </w:trPr>
        <w:tc>
          <w:tcPr>
            <w:tcW w:w="2410" w:type="dxa"/>
          </w:tcPr>
          <w:p w:rsidRPr="00B53E9B" w:rsidR="003612B9" w:rsidP="009E664B" w:rsidRDefault="003612B9" w14:paraId="51014FDA" w14:textId="77777777">
            <w:pPr>
              <w:pStyle w:val="BodyText"/>
              <w:rPr>
                <w:rFonts w:cs="Arial"/>
                <w:b/>
                <w:bCs/>
                <w:sz w:val="20"/>
                <w:lang w:val="en-AU"/>
              </w:rPr>
            </w:pPr>
            <w:r w:rsidRPr="00B53E9B">
              <w:rPr>
                <w:rFonts w:cs="Arial"/>
                <w:b/>
                <w:bCs/>
                <w:sz w:val="20"/>
                <w:lang w:val="en-AU"/>
              </w:rPr>
              <w:t xml:space="preserve">Contraindications                        </w:t>
            </w:r>
          </w:p>
        </w:tc>
        <w:tc>
          <w:tcPr>
            <w:tcW w:w="7684" w:type="dxa"/>
          </w:tcPr>
          <w:p w:rsidRPr="00022717" w:rsidR="003612B9" w:rsidP="009E664B" w:rsidRDefault="003612B9" w14:paraId="3A614E10" w14:textId="77777777">
            <w:pPr>
              <w:pStyle w:val="BodyText"/>
              <w:rPr>
                <w:rFonts w:cs="Arial" w:asciiTheme="minorHAnsi" w:hAnsiTheme="minorHAnsi"/>
                <w:sz w:val="20"/>
              </w:rPr>
            </w:pPr>
            <w:r w:rsidRPr="00022717">
              <w:rPr>
                <w:rFonts w:cs="Arial" w:asciiTheme="minorHAnsi" w:hAnsiTheme="minorHAnsi"/>
                <w:sz w:val="20"/>
              </w:rPr>
              <w:t>Caution in patients with renal or cardiac impairment</w:t>
            </w:r>
          </w:p>
        </w:tc>
      </w:tr>
      <w:tr w:rsidRPr="003A7895" w:rsidR="00273A16" w:rsidTr="77BEE3D0" w14:paraId="61960387" w14:textId="77777777">
        <w:tc>
          <w:tcPr>
            <w:tcW w:w="2410" w:type="dxa"/>
          </w:tcPr>
          <w:p w:rsidRPr="00B53E9B" w:rsidR="003612B9" w:rsidP="009E664B" w:rsidRDefault="003612B9" w14:paraId="131CCCCC"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7684" w:type="dxa"/>
          </w:tcPr>
          <w:p w:rsidRPr="00022717" w:rsidR="003612B9" w:rsidP="009E664B" w:rsidRDefault="003612B9" w14:paraId="52E97763" w14:textId="77777777">
            <w:pPr>
              <w:pStyle w:val="BodyText"/>
              <w:rPr>
                <w:rFonts w:cs="Arial" w:asciiTheme="minorHAnsi" w:hAnsiTheme="minorHAnsi"/>
                <w:sz w:val="20"/>
              </w:rPr>
            </w:pPr>
            <w:r w:rsidRPr="00022717">
              <w:rPr>
                <w:rFonts w:cs="Arial" w:asciiTheme="minorHAnsi" w:hAnsiTheme="minorHAnsi"/>
                <w:sz w:val="20"/>
              </w:rPr>
              <w:t>Do not mix with any medication that contains phosphates, carbonates, sulfates or tartrates.</w:t>
            </w:r>
          </w:p>
        </w:tc>
      </w:tr>
      <w:tr w:rsidRPr="003A7895" w:rsidR="00273A16" w:rsidTr="77BEE3D0" w14:paraId="07719C96" w14:textId="77777777">
        <w:trPr>
          <w:trHeight w:val="70"/>
        </w:trPr>
        <w:tc>
          <w:tcPr>
            <w:tcW w:w="2410" w:type="dxa"/>
          </w:tcPr>
          <w:p w:rsidRPr="00B53E9B" w:rsidR="003612B9" w:rsidP="009E664B" w:rsidRDefault="003612B9" w14:paraId="531247D4"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7684" w:type="dxa"/>
          </w:tcPr>
          <w:p w:rsidRPr="00022717" w:rsidR="003612B9" w:rsidP="009E664B" w:rsidRDefault="003612B9" w14:paraId="7F5A7E88" w14:textId="77777777">
            <w:pPr>
              <w:pStyle w:val="BodyText"/>
              <w:rPr>
                <w:rFonts w:asciiTheme="minorHAnsi" w:hAnsiTheme="minorHAnsi"/>
                <w:sz w:val="20"/>
              </w:rPr>
            </w:pPr>
            <w:r w:rsidRPr="00022717">
              <w:rPr>
                <w:rFonts w:asciiTheme="minorHAnsi" w:hAnsiTheme="minorHAnsi"/>
                <w:sz w:val="20"/>
              </w:rPr>
              <w:t>Do not mix with any medication that contains phosphates, carbonates, sulfates or tartrates.</w:t>
            </w:r>
          </w:p>
          <w:p w:rsidRPr="00022717" w:rsidR="003612B9" w:rsidP="009E664B" w:rsidRDefault="003612B9" w14:paraId="4DB52489" w14:textId="77777777">
            <w:pPr>
              <w:pStyle w:val="BodyText"/>
              <w:rPr>
                <w:rFonts w:asciiTheme="minorHAnsi" w:hAnsiTheme="minorHAnsi"/>
                <w:sz w:val="20"/>
              </w:rPr>
            </w:pPr>
            <w:r w:rsidRPr="00022717">
              <w:rPr>
                <w:rFonts w:asciiTheme="minorHAnsi" w:hAnsiTheme="minorHAnsi"/>
                <w:sz w:val="20"/>
              </w:rPr>
              <w:t>Separate doses of the following by at least 2 hours: Phosphate, iron,</w:t>
            </w:r>
            <w:r w:rsidRPr="00022717">
              <w:rPr>
                <w:rFonts w:asciiTheme="minorHAnsi" w:hAnsiTheme="minorHAnsi"/>
                <w:sz w:val="20"/>
                <w:vertAlign w:val="superscript"/>
              </w:rPr>
              <w:t>21</w:t>
            </w:r>
            <w:r w:rsidRPr="00022717">
              <w:rPr>
                <w:rFonts w:asciiTheme="minorHAnsi" w:hAnsiTheme="minorHAnsi"/>
                <w:sz w:val="20"/>
              </w:rPr>
              <w:t xml:space="preserve"> thyroxine and phenytoin.</w:t>
            </w:r>
          </w:p>
          <w:p w:rsidRPr="00022717" w:rsidR="003612B9" w:rsidP="009E664B" w:rsidRDefault="003612B9" w14:paraId="394782CC" w14:textId="77777777">
            <w:pPr>
              <w:pStyle w:val="BodyText"/>
              <w:rPr>
                <w:rFonts w:asciiTheme="minorHAnsi" w:hAnsiTheme="minorHAnsi"/>
                <w:sz w:val="20"/>
              </w:rPr>
            </w:pPr>
            <w:r w:rsidRPr="00022717">
              <w:rPr>
                <w:rFonts w:asciiTheme="minorHAnsi" w:hAnsiTheme="minorHAnsi"/>
                <w:sz w:val="20"/>
              </w:rPr>
              <w:t>Digoxin (serious risk of arrhythmia and cardiovascular collapse), thiazide diuretics (increased risk of hypercalcaemia), ketoconazole (decreased ketoconazole effect).</w:t>
            </w:r>
          </w:p>
        </w:tc>
      </w:tr>
      <w:tr w:rsidRPr="003A7895" w:rsidR="00273A16" w:rsidTr="77BEE3D0" w14:paraId="54112800" w14:textId="77777777">
        <w:trPr>
          <w:trHeight w:val="332"/>
        </w:trPr>
        <w:tc>
          <w:tcPr>
            <w:tcW w:w="2410" w:type="dxa"/>
          </w:tcPr>
          <w:p w:rsidRPr="00B53E9B" w:rsidR="003612B9" w:rsidP="009E664B" w:rsidRDefault="003612B9" w14:paraId="2C90DD1E"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7684" w:type="dxa"/>
          </w:tcPr>
          <w:p w:rsidRPr="00022717" w:rsidR="003612B9" w:rsidP="009E664B" w:rsidRDefault="003612B9" w14:paraId="4C7F8B55" w14:textId="77777777">
            <w:pPr>
              <w:pStyle w:val="BodyText"/>
              <w:rPr>
                <w:rFonts w:cs="Arial" w:asciiTheme="minorHAnsi" w:hAnsiTheme="minorHAnsi"/>
                <w:sz w:val="20"/>
              </w:rPr>
            </w:pPr>
            <w:r w:rsidRPr="00022717">
              <w:rPr>
                <w:rFonts w:asciiTheme="minorHAnsi" w:hAnsiTheme="minorHAnsi"/>
                <w:sz w:val="20"/>
              </w:rPr>
              <w:t>Nephrolithiasis with long term use.</w:t>
            </w:r>
            <w:r w:rsidRPr="00022717">
              <w:rPr>
                <w:rFonts w:asciiTheme="minorHAnsi" w:hAnsiTheme="minorHAnsi"/>
                <w:sz w:val="20"/>
              </w:rPr>
              <w:br/>
            </w:r>
            <w:r w:rsidRPr="00022717">
              <w:rPr>
                <w:rFonts w:asciiTheme="minorHAnsi" w:hAnsiTheme="minorHAnsi"/>
                <w:sz w:val="20"/>
              </w:rPr>
              <w:t>Gastric irritation, diarrhoea and NEC have occurred during oral therapy with hyperosmolar preparations (must dilute with water)</w:t>
            </w:r>
          </w:p>
        </w:tc>
      </w:tr>
      <w:tr w:rsidRPr="003A7895" w:rsidR="00273A16" w:rsidTr="77BEE3D0" w14:paraId="7EDED9AA" w14:textId="77777777">
        <w:trPr>
          <w:trHeight w:val="180"/>
        </w:trPr>
        <w:tc>
          <w:tcPr>
            <w:tcW w:w="2410" w:type="dxa"/>
          </w:tcPr>
          <w:p w:rsidRPr="00B53E9B" w:rsidR="003612B9" w:rsidP="009E664B" w:rsidRDefault="003612B9" w14:paraId="313865F6" w14:textId="77777777">
            <w:pPr>
              <w:pStyle w:val="BodyText"/>
              <w:rPr>
                <w:rFonts w:cs="Arial"/>
                <w:b/>
                <w:bCs/>
                <w:sz w:val="20"/>
                <w:lang w:val="en-AU"/>
              </w:rPr>
            </w:pPr>
            <w:r w:rsidRPr="00B53E9B">
              <w:rPr>
                <w:rFonts w:cs="Arial"/>
                <w:b/>
                <w:bCs/>
                <w:sz w:val="20"/>
                <w:lang w:val="en-AU"/>
              </w:rPr>
              <w:t>Compatibility</w:t>
            </w:r>
          </w:p>
        </w:tc>
        <w:tc>
          <w:tcPr>
            <w:tcW w:w="7684" w:type="dxa"/>
          </w:tcPr>
          <w:p w:rsidRPr="00022717" w:rsidR="003612B9" w:rsidP="009E664B" w:rsidRDefault="003612B9" w14:paraId="5BAC5FAA" w14:textId="77777777">
            <w:pPr>
              <w:pStyle w:val="BodyText"/>
              <w:rPr>
                <w:rFonts w:cs="Arial" w:asciiTheme="minorHAnsi" w:hAnsiTheme="minorHAnsi"/>
                <w:sz w:val="20"/>
              </w:rPr>
            </w:pPr>
          </w:p>
        </w:tc>
      </w:tr>
      <w:tr w:rsidRPr="003A7895" w:rsidR="00273A16" w:rsidTr="77BEE3D0" w14:paraId="7B85ACC5" w14:textId="77777777">
        <w:trPr>
          <w:trHeight w:val="230"/>
        </w:trPr>
        <w:tc>
          <w:tcPr>
            <w:tcW w:w="2410" w:type="dxa"/>
          </w:tcPr>
          <w:p w:rsidRPr="00B53E9B" w:rsidR="003612B9" w:rsidP="009E664B" w:rsidRDefault="003612B9" w14:paraId="465157F4" w14:textId="77777777">
            <w:pPr>
              <w:pStyle w:val="BodyText"/>
              <w:rPr>
                <w:rFonts w:cs="Arial"/>
                <w:b/>
                <w:bCs/>
                <w:sz w:val="20"/>
                <w:lang w:val="en-AU"/>
              </w:rPr>
            </w:pPr>
            <w:r w:rsidRPr="00B53E9B">
              <w:rPr>
                <w:rFonts w:cs="Arial"/>
                <w:b/>
                <w:bCs/>
                <w:sz w:val="20"/>
                <w:lang w:val="en-AU"/>
              </w:rPr>
              <w:t>Incompatibility</w:t>
            </w:r>
          </w:p>
        </w:tc>
        <w:tc>
          <w:tcPr>
            <w:tcW w:w="7684" w:type="dxa"/>
          </w:tcPr>
          <w:p w:rsidRPr="00022717" w:rsidR="003612B9" w:rsidP="009E664B" w:rsidRDefault="003612B9" w14:paraId="39A7F598" w14:textId="77777777">
            <w:pPr>
              <w:pStyle w:val="BodyText"/>
              <w:rPr>
                <w:rFonts w:cs="Arial" w:asciiTheme="minorHAnsi" w:hAnsiTheme="minorHAnsi"/>
                <w:sz w:val="20"/>
              </w:rPr>
            </w:pPr>
            <w:r w:rsidRPr="00022717">
              <w:rPr>
                <w:rFonts w:asciiTheme="minorHAnsi" w:hAnsiTheme="minorHAnsi"/>
                <w:b/>
                <w:sz w:val="20"/>
              </w:rPr>
              <w:t>Do not mix with any medication that contains phosphates, carbonates, sulfates or tartrates.</w:t>
            </w:r>
          </w:p>
        </w:tc>
      </w:tr>
      <w:tr w:rsidRPr="003A7895" w:rsidR="00273A16" w:rsidTr="77BEE3D0" w14:paraId="10205D9B" w14:textId="77777777">
        <w:trPr>
          <w:trHeight w:val="79"/>
        </w:trPr>
        <w:tc>
          <w:tcPr>
            <w:tcW w:w="2410" w:type="dxa"/>
          </w:tcPr>
          <w:p w:rsidRPr="00B53E9B" w:rsidR="003612B9" w:rsidP="009E664B" w:rsidRDefault="003612B9" w14:paraId="5241F8A0" w14:textId="77777777">
            <w:pPr>
              <w:pStyle w:val="BodyText"/>
              <w:rPr>
                <w:rFonts w:cs="Arial"/>
                <w:b/>
                <w:bCs/>
                <w:sz w:val="20"/>
                <w:lang w:val="en-AU"/>
              </w:rPr>
            </w:pPr>
            <w:r w:rsidRPr="00B53E9B">
              <w:rPr>
                <w:rFonts w:cs="Arial"/>
                <w:b/>
                <w:bCs/>
                <w:sz w:val="20"/>
                <w:lang w:val="en-AU"/>
              </w:rPr>
              <w:t xml:space="preserve">Stability   </w:t>
            </w:r>
          </w:p>
        </w:tc>
        <w:tc>
          <w:tcPr>
            <w:tcW w:w="7684" w:type="dxa"/>
          </w:tcPr>
          <w:p w:rsidRPr="00022717" w:rsidR="003612B9" w:rsidP="009E664B" w:rsidRDefault="003612B9" w14:paraId="47EC0417" w14:textId="77777777">
            <w:pPr>
              <w:pStyle w:val="BodyText"/>
              <w:rPr>
                <w:rFonts w:cs="Arial" w:asciiTheme="minorHAnsi" w:hAnsiTheme="minorHAnsi"/>
                <w:sz w:val="20"/>
              </w:rPr>
            </w:pPr>
            <w:r w:rsidRPr="00022717">
              <w:rPr>
                <w:rFonts w:cs="Arial" w:asciiTheme="minorHAnsi" w:hAnsiTheme="minorHAnsi"/>
                <w:sz w:val="20"/>
              </w:rPr>
              <w:t xml:space="preserve">Oral solution: Discard remaining after use. </w:t>
            </w:r>
          </w:p>
          <w:p w:rsidRPr="00022717" w:rsidR="003612B9" w:rsidP="009E664B" w:rsidRDefault="003612B9" w14:paraId="4465CAC2" w14:textId="77777777">
            <w:pPr>
              <w:pStyle w:val="BodyText"/>
              <w:rPr>
                <w:rFonts w:cs="Arial" w:asciiTheme="minorHAnsi" w:hAnsiTheme="minorHAnsi"/>
                <w:sz w:val="20"/>
              </w:rPr>
            </w:pPr>
            <w:r w:rsidRPr="00022717">
              <w:rPr>
                <w:rFonts w:cs="Arial" w:asciiTheme="minorHAnsi" w:hAnsiTheme="minorHAnsi"/>
                <w:sz w:val="20"/>
              </w:rPr>
              <w:t>Calcium gluconate is a supersaturated solution and may precipitate in the vial at room temperature. Inspect the vial before use.</w:t>
            </w:r>
          </w:p>
        </w:tc>
      </w:tr>
      <w:tr w:rsidRPr="003A7895" w:rsidR="00273A16" w:rsidTr="77BEE3D0" w14:paraId="16BF655E" w14:textId="77777777">
        <w:trPr>
          <w:trHeight w:val="70"/>
        </w:trPr>
        <w:tc>
          <w:tcPr>
            <w:tcW w:w="2410" w:type="dxa"/>
          </w:tcPr>
          <w:p w:rsidRPr="00B53E9B" w:rsidR="003612B9" w:rsidP="009E664B" w:rsidRDefault="003612B9" w14:paraId="44B3B0B7" w14:textId="77777777">
            <w:pPr>
              <w:pStyle w:val="BodyText"/>
              <w:rPr>
                <w:rFonts w:cs="Arial"/>
                <w:b/>
                <w:bCs/>
                <w:sz w:val="20"/>
                <w:lang w:val="en-AU"/>
              </w:rPr>
            </w:pPr>
            <w:r w:rsidRPr="00B53E9B">
              <w:rPr>
                <w:rFonts w:cs="Arial"/>
                <w:b/>
                <w:bCs/>
                <w:sz w:val="20"/>
                <w:lang w:val="en-AU"/>
              </w:rPr>
              <w:t xml:space="preserve">Storage             </w:t>
            </w:r>
          </w:p>
        </w:tc>
        <w:tc>
          <w:tcPr>
            <w:tcW w:w="7684" w:type="dxa"/>
          </w:tcPr>
          <w:p w:rsidRPr="008306AA" w:rsidR="003612B9" w:rsidP="009E664B" w:rsidRDefault="003612B9" w14:paraId="3C8F392B" w14:textId="77777777">
            <w:pPr>
              <w:pStyle w:val="BodyText"/>
              <w:rPr>
                <w:rFonts w:asciiTheme="minorHAnsi" w:hAnsiTheme="minorHAnsi"/>
                <w:sz w:val="20"/>
                <w:lang w:val="en-AU"/>
              </w:rPr>
            </w:pPr>
            <w:r w:rsidRPr="008306AA">
              <w:rPr>
                <w:rFonts w:asciiTheme="minorHAnsi" w:hAnsiTheme="minorHAnsi"/>
                <w:sz w:val="20"/>
              </w:rPr>
              <w:t>Caltrate</w:t>
            </w:r>
            <w:r w:rsidRPr="008306AA">
              <w:rPr>
                <w:rFonts w:asciiTheme="minorHAnsi" w:hAnsiTheme="minorHAnsi"/>
                <w:sz w:val="20"/>
                <w:lang w:val="en-AU"/>
              </w:rPr>
              <w:t xml:space="preserve"> 600mg tablets: Store below 25°C</w:t>
            </w:r>
            <w:r>
              <w:rPr>
                <w:rFonts w:asciiTheme="minorHAnsi" w:hAnsiTheme="minorHAnsi"/>
                <w:sz w:val="20"/>
                <w:lang w:val="en-AU"/>
              </w:rPr>
              <w:t>.</w:t>
            </w:r>
          </w:p>
          <w:p w:rsidRPr="008306AA" w:rsidR="003612B9" w:rsidP="009E664B" w:rsidRDefault="003612B9" w14:paraId="5D90F48C" w14:textId="77777777">
            <w:pPr>
              <w:pStyle w:val="BodyText"/>
              <w:rPr>
                <w:rFonts w:asciiTheme="minorHAnsi" w:hAnsiTheme="minorHAnsi"/>
                <w:sz w:val="20"/>
                <w:lang w:val="en-AU"/>
              </w:rPr>
            </w:pPr>
            <w:r w:rsidRPr="008306AA">
              <w:rPr>
                <w:rFonts w:asciiTheme="minorHAnsi" w:hAnsiTheme="minorHAnsi"/>
                <w:sz w:val="20"/>
              </w:rPr>
              <w:t>Cal-600</w:t>
            </w:r>
            <w:r w:rsidRPr="008306AA">
              <w:rPr>
                <w:rFonts w:asciiTheme="minorHAnsi" w:hAnsiTheme="minorHAnsi"/>
                <w:sz w:val="20"/>
                <w:lang w:val="en-AU"/>
              </w:rPr>
              <w:t xml:space="preserve"> tablets:</w:t>
            </w:r>
            <w:r w:rsidRPr="008306AA">
              <w:t xml:space="preserve"> </w:t>
            </w:r>
            <w:r w:rsidRPr="008306AA">
              <w:rPr>
                <w:rFonts w:asciiTheme="minorHAnsi" w:hAnsiTheme="minorHAnsi"/>
                <w:sz w:val="20"/>
                <w:lang w:val="en-AU"/>
              </w:rPr>
              <w:t>Store below 25°</w:t>
            </w:r>
            <w:r>
              <w:rPr>
                <w:rFonts w:asciiTheme="minorHAnsi" w:hAnsiTheme="minorHAnsi"/>
                <w:sz w:val="20"/>
                <w:lang w:val="en-AU"/>
              </w:rPr>
              <w:t>C.</w:t>
            </w:r>
          </w:p>
          <w:p w:rsidRPr="008306AA" w:rsidR="003612B9" w:rsidP="009E664B" w:rsidRDefault="003612B9" w14:paraId="1D02751B" w14:textId="77777777">
            <w:pPr>
              <w:pStyle w:val="BodyText"/>
              <w:rPr>
                <w:rFonts w:asciiTheme="minorHAnsi" w:hAnsiTheme="minorHAnsi" w:cstheme="minorHAnsi"/>
                <w:sz w:val="20"/>
                <w:lang w:val="en-AU"/>
              </w:rPr>
            </w:pPr>
            <w:r w:rsidRPr="008306AA">
              <w:rPr>
                <w:rFonts w:asciiTheme="minorHAnsi" w:hAnsiTheme="minorHAnsi" w:cstheme="minorHAnsi"/>
                <w:sz w:val="20"/>
              </w:rPr>
              <w:t>AUSPMAN suspension</w:t>
            </w:r>
            <w:r w:rsidRPr="008306AA">
              <w:rPr>
                <w:rFonts w:asciiTheme="minorHAnsi" w:hAnsiTheme="minorHAnsi" w:cstheme="minorHAnsi"/>
                <w:sz w:val="20"/>
                <w:lang w:val="en-AU"/>
              </w:rPr>
              <w:t>: Store below</w:t>
            </w:r>
            <w:r>
              <w:rPr>
                <w:rFonts w:asciiTheme="minorHAnsi" w:hAnsiTheme="minorHAnsi" w:cstheme="minorHAnsi"/>
                <w:sz w:val="20"/>
                <w:lang w:val="en-AU"/>
              </w:rPr>
              <w:t xml:space="preserve"> 25°</w:t>
            </w:r>
            <w:r w:rsidRPr="008306AA">
              <w:rPr>
                <w:rFonts w:asciiTheme="minorHAnsi" w:hAnsiTheme="minorHAnsi" w:cstheme="minorHAnsi"/>
                <w:sz w:val="20"/>
                <w:lang w:val="en-AU"/>
              </w:rPr>
              <w:t>C.</w:t>
            </w:r>
          </w:p>
          <w:p w:rsidRPr="008306AA" w:rsidR="003612B9" w:rsidP="009E664B" w:rsidRDefault="003612B9" w14:paraId="025342E9" w14:textId="77777777">
            <w:pPr>
              <w:pStyle w:val="BodyText"/>
              <w:rPr>
                <w:rFonts w:asciiTheme="minorHAnsi" w:hAnsiTheme="minorHAnsi"/>
                <w:sz w:val="20"/>
                <w:lang w:val="en-AU"/>
              </w:rPr>
            </w:pPr>
            <w:r w:rsidRPr="008306AA">
              <w:rPr>
                <w:rFonts w:asciiTheme="minorHAnsi" w:hAnsiTheme="minorHAnsi"/>
                <w:sz w:val="20"/>
              </w:rPr>
              <w:t xml:space="preserve">Calcium Gluconate Injection (Phebra) </w:t>
            </w:r>
            <w:r w:rsidRPr="008306AA">
              <w:rPr>
                <w:rFonts w:asciiTheme="minorHAnsi" w:hAnsiTheme="minorHAnsi"/>
                <w:sz w:val="20"/>
                <w:lang w:val="en-AU"/>
              </w:rPr>
              <w:t>: Store below 30°C. Do not refrigerate.</w:t>
            </w:r>
          </w:p>
          <w:p w:rsidRPr="008306AA" w:rsidR="003612B9" w:rsidP="009E664B" w:rsidRDefault="003612B9" w14:paraId="4F3A9DAA" w14:textId="77777777">
            <w:pPr>
              <w:pStyle w:val="BodyText"/>
              <w:rPr>
                <w:rFonts w:cs="Arial" w:asciiTheme="minorHAnsi" w:hAnsiTheme="minorHAnsi"/>
                <w:sz w:val="20"/>
              </w:rPr>
            </w:pPr>
            <w:r w:rsidRPr="008306AA">
              <w:rPr>
                <w:rFonts w:asciiTheme="minorHAnsi" w:hAnsiTheme="minorHAnsi"/>
                <w:sz w:val="20"/>
              </w:rPr>
              <w:t>Calc</w:t>
            </w:r>
            <w:r>
              <w:rPr>
                <w:rFonts w:asciiTheme="minorHAnsi" w:hAnsiTheme="minorHAnsi"/>
                <w:sz w:val="20"/>
              </w:rPr>
              <w:t>ium Chloride Injection (Phebra)</w:t>
            </w:r>
            <w:r w:rsidRPr="008306AA">
              <w:rPr>
                <w:rFonts w:asciiTheme="minorHAnsi" w:hAnsiTheme="minorHAnsi"/>
                <w:sz w:val="20"/>
                <w:lang w:val="en-AU"/>
              </w:rPr>
              <w:t>: Store below 25°C</w:t>
            </w:r>
            <w:r w:rsidRPr="008306AA">
              <w:rPr>
                <w:rFonts w:asciiTheme="minorHAnsi" w:hAnsiTheme="minorHAnsi"/>
                <w:sz w:val="20"/>
              </w:rPr>
              <w:t>.</w:t>
            </w:r>
          </w:p>
        </w:tc>
      </w:tr>
      <w:tr w:rsidRPr="003A7895" w:rsidR="00273A16" w:rsidTr="77BEE3D0" w14:paraId="7AC27460" w14:textId="77777777">
        <w:trPr>
          <w:trHeight w:val="70"/>
        </w:trPr>
        <w:tc>
          <w:tcPr>
            <w:tcW w:w="2410" w:type="dxa"/>
          </w:tcPr>
          <w:p w:rsidRPr="00B53E9B" w:rsidR="003612B9" w:rsidP="009E664B" w:rsidRDefault="003612B9" w14:paraId="47A09320" w14:textId="77777777">
            <w:pPr>
              <w:pStyle w:val="BodyText"/>
              <w:rPr>
                <w:rFonts w:cs="Arial"/>
                <w:b/>
                <w:bCs/>
                <w:sz w:val="20"/>
                <w:lang w:val="en-AU"/>
              </w:rPr>
            </w:pPr>
            <w:r w:rsidRPr="00B53E9B">
              <w:rPr>
                <w:rFonts w:cs="Arial"/>
                <w:b/>
                <w:bCs/>
                <w:sz w:val="20"/>
                <w:lang w:val="en-AU"/>
              </w:rPr>
              <w:t>Excipients</w:t>
            </w:r>
          </w:p>
        </w:tc>
        <w:tc>
          <w:tcPr>
            <w:tcW w:w="7684" w:type="dxa"/>
          </w:tcPr>
          <w:p w:rsidRPr="008306AA" w:rsidR="003612B9" w:rsidP="009E664B" w:rsidRDefault="003612B9" w14:paraId="76391381" w14:textId="77777777">
            <w:pPr>
              <w:pStyle w:val="BodyText"/>
              <w:rPr>
                <w:rFonts w:asciiTheme="minorHAnsi" w:hAnsiTheme="minorHAnsi"/>
                <w:sz w:val="20"/>
                <w:lang w:val="en-AU"/>
              </w:rPr>
            </w:pPr>
            <w:r w:rsidRPr="008306AA">
              <w:rPr>
                <w:rFonts w:asciiTheme="minorHAnsi" w:hAnsiTheme="minorHAnsi"/>
                <w:sz w:val="20"/>
                <w:lang w:val="en-AU"/>
              </w:rPr>
              <w:t>Caltrate tablets: Excipients not listed.</w:t>
            </w:r>
          </w:p>
          <w:p w:rsidRPr="008306AA" w:rsidR="003612B9" w:rsidP="009E664B" w:rsidRDefault="003612B9" w14:paraId="06AE36C0" w14:textId="77777777">
            <w:pPr>
              <w:pStyle w:val="BodyText"/>
              <w:rPr>
                <w:rFonts w:asciiTheme="minorHAnsi" w:hAnsiTheme="minorHAnsi"/>
                <w:sz w:val="20"/>
                <w:lang w:val="en-AU"/>
              </w:rPr>
            </w:pPr>
            <w:r w:rsidRPr="008306AA">
              <w:rPr>
                <w:rFonts w:asciiTheme="minorHAnsi" w:hAnsiTheme="minorHAnsi"/>
                <w:sz w:val="20"/>
              </w:rPr>
              <w:t>Cal-600</w:t>
            </w:r>
            <w:r w:rsidRPr="008306AA">
              <w:rPr>
                <w:rFonts w:asciiTheme="minorHAnsi" w:hAnsiTheme="minorHAnsi"/>
                <w:sz w:val="20"/>
                <w:lang w:val="en-AU"/>
              </w:rPr>
              <w:t xml:space="preserve"> tablets</w:t>
            </w:r>
            <w:r w:rsidRPr="008306AA">
              <w:rPr>
                <w:rFonts w:asciiTheme="minorHAnsi" w:hAnsiTheme="minorHAnsi"/>
                <w:sz w:val="20"/>
              </w:rPr>
              <w:t xml:space="preserve">:  </w:t>
            </w:r>
            <w:r w:rsidRPr="008306AA">
              <w:rPr>
                <w:rFonts w:asciiTheme="minorHAnsi" w:hAnsiTheme="minorHAnsi"/>
                <w:sz w:val="20"/>
                <w:lang w:val="en-AU"/>
              </w:rPr>
              <w:t>Excipients not listed.</w:t>
            </w:r>
          </w:p>
          <w:p w:rsidRPr="008306AA" w:rsidR="003612B9" w:rsidP="009E664B" w:rsidRDefault="003612B9" w14:paraId="64771307" w14:textId="77777777">
            <w:pPr>
              <w:pStyle w:val="BodyText"/>
              <w:rPr>
                <w:rFonts w:asciiTheme="minorHAnsi" w:hAnsiTheme="minorHAnsi" w:cstheme="minorHAnsi"/>
                <w:sz w:val="20"/>
                <w:lang w:val="en-AU"/>
              </w:rPr>
            </w:pPr>
            <w:r w:rsidRPr="008306AA">
              <w:rPr>
                <w:rFonts w:asciiTheme="minorHAnsi" w:hAnsiTheme="minorHAnsi" w:cstheme="minorHAnsi"/>
                <w:sz w:val="20"/>
              </w:rPr>
              <w:t>AUSPMAN  suspension</w:t>
            </w:r>
            <w:r w:rsidRPr="008306AA">
              <w:rPr>
                <w:rFonts w:asciiTheme="minorHAnsi" w:hAnsiTheme="minorHAnsi" w:cstheme="minorHAnsi"/>
                <w:sz w:val="20"/>
                <w:lang w:val="en-AU"/>
              </w:rPr>
              <w:t>: Hydroxybenzoate.</w:t>
            </w:r>
          </w:p>
          <w:p w:rsidRPr="008306AA" w:rsidR="003612B9" w:rsidP="009E664B" w:rsidRDefault="003612B9" w14:paraId="4721E4FC" w14:textId="77777777">
            <w:pPr>
              <w:pStyle w:val="BodyText"/>
              <w:rPr>
                <w:rFonts w:asciiTheme="minorHAnsi" w:hAnsiTheme="minorHAnsi"/>
                <w:sz w:val="20"/>
                <w:lang w:val="en-AU"/>
              </w:rPr>
            </w:pPr>
            <w:r w:rsidRPr="008306AA">
              <w:rPr>
                <w:rFonts w:asciiTheme="minorHAnsi" w:hAnsiTheme="minorHAnsi"/>
                <w:sz w:val="20"/>
              </w:rPr>
              <w:t>Calcium Gluconate Injection (Phebra) (calcium 0.22 mmol/mL)</w:t>
            </w:r>
            <w:r w:rsidRPr="008306AA">
              <w:rPr>
                <w:rFonts w:asciiTheme="minorHAnsi" w:hAnsiTheme="minorHAnsi"/>
                <w:sz w:val="20"/>
                <w:lang w:val="en-AU"/>
              </w:rPr>
              <w:t>: Excipients not listed..</w:t>
            </w:r>
          </w:p>
          <w:p w:rsidRPr="008306AA" w:rsidR="003612B9" w:rsidP="009E664B" w:rsidRDefault="003612B9" w14:paraId="7A5A7188" w14:textId="77777777">
            <w:pPr>
              <w:pStyle w:val="BodyText"/>
              <w:rPr>
                <w:rFonts w:cs="Arial"/>
                <w:sz w:val="20"/>
                <w:lang w:val="en-AU"/>
              </w:rPr>
            </w:pPr>
            <w:r w:rsidRPr="008306AA">
              <w:rPr>
                <w:rFonts w:asciiTheme="minorHAnsi" w:hAnsiTheme="minorHAnsi"/>
                <w:sz w:val="20"/>
              </w:rPr>
              <w:t>Calcium Chloride Injection (Phebra) 10%</w:t>
            </w:r>
            <w:r w:rsidRPr="008306AA">
              <w:rPr>
                <w:rFonts w:asciiTheme="minorHAnsi" w:hAnsiTheme="minorHAnsi"/>
                <w:sz w:val="20"/>
                <w:lang w:val="en-AU"/>
              </w:rPr>
              <w:t xml:space="preserve">: Sodium hydroxide and/or hydrochloric acid may be used for pH adjustment. </w:t>
            </w:r>
          </w:p>
        </w:tc>
      </w:tr>
      <w:tr w:rsidRPr="003A7895" w:rsidR="00273A16" w:rsidTr="77BEE3D0" w14:paraId="1E9DCBDB" w14:textId="77777777">
        <w:trPr>
          <w:trHeight w:val="270"/>
        </w:trPr>
        <w:tc>
          <w:tcPr>
            <w:tcW w:w="2410" w:type="dxa"/>
          </w:tcPr>
          <w:p w:rsidRPr="00B53E9B" w:rsidR="003612B9" w:rsidP="009E664B" w:rsidRDefault="003612B9" w14:paraId="10F77E64"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7684" w:type="dxa"/>
          </w:tcPr>
          <w:p w:rsidRPr="00930AB0" w:rsidR="003612B9" w:rsidP="009E664B" w:rsidRDefault="003612B9" w14:paraId="01B86B05" w14:textId="77777777">
            <w:pPr>
              <w:overflowPunct w:val="0"/>
              <w:autoSpaceDE w:val="0"/>
              <w:autoSpaceDN w:val="0"/>
              <w:adjustRightInd w:val="0"/>
              <w:textAlignment w:val="baseline"/>
              <w:rPr>
                <w:rFonts w:cs="Arial"/>
                <w:sz w:val="20"/>
              </w:rPr>
            </w:pPr>
            <w:r w:rsidRPr="00930AB0">
              <w:rPr>
                <w:rFonts w:cs="Arial"/>
                <w:sz w:val="20"/>
              </w:rPr>
              <w:t>Hypocalcaemia defined as a serum total calcium concentration below 1.875 mol/L [7.5 mg/dL] or ionized calcium less than 1.2 mmol/L.</w:t>
            </w:r>
            <w:r w:rsidRPr="00930AB0">
              <w:rPr>
                <w:rFonts w:cs="Arial"/>
                <w:noProof/>
                <w:sz w:val="20"/>
              </w:rPr>
              <w:t>[1]</w:t>
            </w:r>
          </w:p>
          <w:p w:rsidRPr="00930AB0" w:rsidR="003612B9" w:rsidP="009E664B" w:rsidRDefault="003612B9" w14:paraId="1AEE4422" w14:textId="77777777">
            <w:pPr>
              <w:overflowPunct w:val="0"/>
              <w:autoSpaceDE w:val="0"/>
              <w:autoSpaceDN w:val="0"/>
              <w:adjustRightInd w:val="0"/>
              <w:textAlignment w:val="baseline"/>
              <w:rPr>
                <w:rFonts w:cs="Arial"/>
                <w:sz w:val="20"/>
              </w:rPr>
            </w:pPr>
          </w:p>
          <w:p w:rsidRPr="00930AB0" w:rsidR="003612B9" w:rsidP="009E664B" w:rsidRDefault="003612B9" w14:paraId="41B8915D" w14:textId="77777777">
            <w:pPr>
              <w:overflowPunct w:val="0"/>
              <w:autoSpaceDE w:val="0"/>
              <w:autoSpaceDN w:val="0"/>
              <w:adjustRightInd w:val="0"/>
              <w:textAlignment w:val="baseline"/>
              <w:rPr>
                <w:rFonts w:cs="Arial"/>
                <w:sz w:val="20"/>
              </w:rPr>
            </w:pPr>
            <w:r w:rsidRPr="00930AB0">
              <w:rPr>
                <w:rFonts w:cs="Arial"/>
                <w:sz w:val="20"/>
              </w:rPr>
              <w:t>Blood gas machines measure ionised calcium directly and are more accurate than the main pathology laboratory which calculates the ionised calcium from a complex formula. Corrected calcium is calculated (when albumin &lt; 40 or &gt; 45) by the formula:</w:t>
            </w:r>
          </w:p>
          <w:p w:rsidRPr="00930AB0" w:rsidR="003612B9" w:rsidP="009E664B" w:rsidRDefault="003612B9" w14:paraId="60AD726D" w14:textId="77777777">
            <w:pPr>
              <w:overflowPunct w:val="0"/>
              <w:autoSpaceDE w:val="0"/>
              <w:autoSpaceDN w:val="0"/>
              <w:adjustRightInd w:val="0"/>
              <w:jc w:val="center"/>
              <w:textAlignment w:val="baseline"/>
              <w:rPr>
                <w:rFonts w:cs="Arial"/>
                <w:sz w:val="20"/>
              </w:rPr>
            </w:pPr>
            <w:r w:rsidRPr="00930AB0">
              <w:rPr>
                <w:rFonts w:cs="Arial"/>
                <w:sz w:val="20"/>
              </w:rPr>
              <w:t>Measured Ca (mmol/L) + (40 – albumin (g/L) x 0.025)</w:t>
            </w:r>
          </w:p>
          <w:p w:rsidRPr="00930AB0" w:rsidR="003612B9" w:rsidP="009E664B" w:rsidRDefault="003612B9" w14:paraId="790BB109" w14:textId="77777777">
            <w:pPr>
              <w:overflowPunct w:val="0"/>
              <w:autoSpaceDE w:val="0"/>
              <w:autoSpaceDN w:val="0"/>
              <w:adjustRightInd w:val="0"/>
              <w:textAlignment w:val="baseline"/>
              <w:rPr>
                <w:sz w:val="20"/>
              </w:rPr>
            </w:pPr>
          </w:p>
          <w:p w:rsidRPr="00930AB0" w:rsidR="003612B9" w:rsidP="009E664B" w:rsidRDefault="003612B9" w14:paraId="5093A69F" w14:textId="77777777">
            <w:pPr>
              <w:overflowPunct w:val="0"/>
              <w:autoSpaceDE w:val="0"/>
              <w:autoSpaceDN w:val="0"/>
              <w:adjustRightInd w:val="0"/>
              <w:textAlignment w:val="baseline"/>
              <w:rPr>
                <w:b/>
                <w:sz w:val="20"/>
              </w:rPr>
            </w:pPr>
            <w:r w:rsidRPr="00930AB0">
              <w:rPr>
                <w:b/>
                <w:sz w:val="20"/>
              </w:rPr>
              <w:t>Calcium salt equivalents of elemental calcium</w:t>
            </w:r>
          </w:p>
          <w:p w:rsidRPr="00930AB0" w:rsidR="003612B9" w:rsidP="009E664B" w:rsidRDefault="003612B9" w14:paraId="4B6C0172" w14:textId="77777777">
            <w:pPr>
              <w:overflowPunct w:val="0"/>
              <w:autoSpaceDE w:val="0"/>
              <w:autoSpaceDN w:val="0"/>
              <w:adjustRightInd w:val="0"/>
              <w:textAlignment w:val="baseline"/>
              <w:rPr>
                <w:b/>
                <w:sz w:val="20"/>
              </w:rPr>
            </w:pPr>
          </w:p>
          <w:tbl>
            <w:tblPr>
              <w:tblW w:w="5000" w:type="pct"/>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Look w:val="04A0" w:firstRow="1" w:lastRow="0" w:firstColumn="1" w:lastColumn="0" w:noHBand="0" w:noVBand="1"/>
            </w:tblPr>
            <w:tblGrid>
              <w:gridCol w:w="3370"/>
              <w:gridCol w:w="1023"/>
              <w:gridCol w:w="1181"/>
              <w:gridCol w:w="1884"/>
            </w:tblGrid>
            <w:tr w:rsidRPr="00930AB0" w:rsidR="003612B9" w:rsidTr="009E664B" w14:paraId="4507E56C" w14:textId="77777777">
              <w:trPr>
                <w:tblCellSpacing w:w="7" w:type="dxa"/>
                <w:jc w:val="center"/>
              </w:trPr>
              <w:tc>
                <w:tcPr>
                  <w:tcW w:w="2254" w:type="pct"/>
                  <w:vAlign w:val="center"/>
                  <w:hideMark/>
                </w:tcPr>
                <w:p w:rsidRPr="00930AB0" w:rsidR="003612B9" w:rsidP="009E664B" w:rsidRDefault="003612B9" w14:paraId="09804A89" w14:textId="77777777">
                  <w:pPr>
                    <w:overflowPunct w:val="0"/>
                    <w:autoSpaceDE w:val="0"/>
                    <w:autoSpaceDN w:val="0"/>
                    <w:adjustRightInd w:val="0"/>
                    <w:textAlignment w:val="baseline"/>
                    <w:rPr>
                      <w:b/>
                      <w:i/>
                      <w:sz w:val="20"/>
                    </w:rPr>
                  </w:pPr>
                  <w:r w:rsidRPr="00930AB0">
                    <w:rPr>
                      <w:b/>
                      <w:i/>
                      <w:sz w:val="20"/>
                    </w:rPr>
                    <w:t> Salt</w:t>
                  </w:r>
                </w:p>
              </w:tc>
              <w:tc>
                <w:tcPr>
                  <w:tcW w:w="2719" w:type="pct"/>
                  <w:gridSpan w:val="3"/>
                  <w:vAlign w:val="bottom"/>
                  <w:hideMark/>
                </w:tcPr>
                <w:p w:rsidRPr="00930AB0" w:rsidR="003612B9" w:rsidP="009E664B" w:rsidRDefault="003612B9" w14:paraId="19B80E43" w14:textId="77777777">
                  <w:pPr>
                    <w:overflowPunct w:val="0"/>
                    <w:autoSpaceDE w:val="0"/>
                    <w:autoSpaceDN w:val="0"/>
                    <w:adjustRightInd w:val="0"/>
                    <w:textAlignment w:val="baseline"/>
                    <w:rPr>
                      <w:sz w:val="20"/>
                    </w:rPr>
                  </w:pPr>
                  <w:r w:rsidRPr="00930AB0">
                    <w:rPr>
                      <w:b/>
                      <w:bCs/>
                      <w:i/>
                      <w:iCs/>
                      <w:sz w:val="20"/>
                    </w:rPr>
                    <w:t>Elemental Ca</w:t>
                  </w:r>
                </w:p>
              </w:tc>
            </w:tr>
            <w:tr w:rsidRPr="00930AB0" w:rsidR="003612B9" w:rsidTr="009E664B" w14:paraId="0415F483" w14:textId="77777777">
              <w:trPr>
                <w:tblCellSpacing w:w="7" w:type="dxa"/>
                <w:jc w:val="center"/>
              </w:trPr>
              <w:tc>
                <w:tcPr>
                  <w:tcW w:w="2254" w:type="pct"/>
                </w:tcPr>
                <w:p w:rsidRPr="00930AB0" w:rsidR="003612B9" w:rsidP="009E664B" w:rsidRDefault="003612B9" w14:paraId="5AF94C34" w14:textId="77777777">
                  <w:pPr>
                    <w:overflowPunct w:val="0"/>
                    <w:autoSpaceDE w:val="0"/>
                    <w:autoSpaceDN w:val="0"/>
                    <w:adjustRightInd w:val="0"/>
                    <w:textAlignment w:val="baseline"/>
                    <w:rPr>
                      <w:sz w:val="20"/>
                    </w:rPr>
                  </w:pPr>
                  <w:r w:rsidRPr="00930AB0">
                    <w:rPr>
                      <w:sz w:val="20"/>
                    </w:rPr>
                    <w:t xml:space="preserve">Calcium chloride 10% 1 mL   </w:t>
                  </w:r>
                </w:p>
              </w:tc>
              <w:tc>
                <w:tcPr>
                  <w:tcW w:w="679" w:type="pct"/>
                  <w:vAlign w:val="bottom"/>
                </w:tcPr>
                <w:p w:rsidRPr="00930AB0" w:rsidR="003612B9" w:rsidP="009E664B" w:rsidRDefault="003612B9" w14:paraId="28ED5D47" w14:textId="77777777">
                  <w:pPr>
                    <w:overflowPunct w:val="0"/>
                    <w:autoSpaceDE w:val="0"/>
                    <w:autoSpaceDN w:val="0"/>
                    <w:adjustRightInd w:val="0"/>
                    <w:textAlignment w:val="baseline"/>
                    <w:rPr>
                      <w:sz w:val="20"/>
                    </w:rPr>
                  </w:pPr>
                  <w:r w:rsidRPr="00930AB0">
                    <w:rPr>
                      <w:sz w:val="20"/>
                    </w:rPr>
                    <w:t>1.36 mEq</w:t>
                  </w:r>
                </w:p>
              </w:tc>
              <w:tc>
                <w:tcPr>
                  <w:tcW w:w="786" w:type="pct"/>
                </w:tcPr>
                <w:p w:rsidRPr="00930AB0" w:rsidR="003612B9" w:rsidP="009E664B" w:rsidRDefault="003612B9" w14:paraId="35204655" w14:textId="77777777">
                  <w:pPr>
                    <w:overflowPunct w:val="0"/>
                    <w:autoSpaceDE w:val="0"/>
                    <w:autoSpaceDN w:val="0"/>
                    <w:adjustRightInd w:val="0"/>
                    <w:textAlignment w:val="baseline"/>
                    <w:rPr>
                      <w:sz w:val="20"/>
                    </w:rPr>
                  </w:pPr>
                  <w:r w:rsidRPr="00930AB0">
                    <w:rPr>
                      <w:sz w:val="20"/>
                    </w:rPr>
                    <w:t xml:space="preserve">27.3 mg      </w:t>
                  </w:r>
                </w:p>
              </w:tc>
              <w:tc>
                <w:tcPr>
                  <w:tcW w:w="1237" w:type="pct"/>
                </w:tcPr>
                <w:p w:rsidRPr="00930AB0" w:rsidR="003612B9" w:rsidP="009E664B" w:rsidRDefault="003612B9" w14:paraId="3237070B" w14:textId="77777777">
                  <w:pPr>
                    <w:overflowPunct w:val="0"/>
                    <w:autoSpaceDE w:val="0"/>
                    <w:autoSpaceDN w:val="0"/>
                    <w:adjustRightInd w:val="0"/>
                    <w:textAlignment w:val="baseline"/>
                    <w:rPr>
                      <w:sz w:val="20"/>
                    </w:rPr>
                  </w:pPr>
                  <w:r w:rsidRPr="00930AB0">
                    <w:rPr>
                      <w:sz w:val="20"/>
                    </w:rPr>
                    <w:t>0.68 mmol</w:t>
                  </w:r>
                </w:p>
              </w:tc>
            </w:tr>
            <w:tr w:rsidRPr="00930AB0" w:rsidR="003612B9" w:rsidTr="009E664B" w14:paraId="42234301" w14:textId="77777777">
              <w:trPr>
                <w:tblCellSpacing w:w="7" w:type="dxa"/>
                <w:jc w:val="center"/>
              </w:trPr>
              <w:tc>
                <w:tcPr>
                  <w:tcW w:w="2254" w:type="pct"/>
                </w:tcPr>
                <w:p w:rsidRPr="00930AB0" w:rsidR="003612B9" w:rsidP="009E664B" w:rsidRDefault="003612B9" w14:paraId="5951EBF4" w14:textId="77777777">
                  <w:pPr>
                    <w:overflowPunct w:val="0"/>
                    <w:autoSpaceDE w:val="0"/>
                    <w:autoSpaceDN w:val="0"/>
                    <w:adjustRightInd w:val="0"/>
                    <w:textAlignment w:val="baseline"/>
                    <w:rPr>
                      <w:sz w:val="20"/>
                    </w:rPr>
                  </w:pPr>
                  <w:r w:rsidRPr="00930AB0">
                    <w:rPr>
                      <w:sz w:val="20"/>
                    </w:rPr>
                    <w:t>Calcium gluconate 10% 1 mL</w:t>
                  </w:r>
                </w:p>
              </w:tc>
              <w:tc>
                <w:tcPr>
                  <w:tcW w:w="679" w:type="pct"/>
                  <w:vAlign w:val="bottom"/>
                </w:tcPr>
                <w:p w:rsidRPr="00930AB0" w:rsidR="003612B9" w:rsidP="009E664B" w:rsidRDefault="003612B9" w14:paraId="36D5C97B" w14:textId="77777777">
                  <w:pPr>
                    <w:overflowPunct w:val="0"/>
                    <w:autoSpaceDE w:val="0"/>
                    <w:autoSpaceDN w:val="0"/>
                    <w:adjustRightInd w:val="0"/>
                    <w:textAlignment w:val="baseline"/>
                    <w:rPr>
                      <w:sz w:val="20"/>
                    </w:rPr>
                  </w:pPr>
                  <w:r w:rsidRPr="00930AB0">
                    <w:rPr>
                      <w:sz w:val="20"/>
                    </w:rPr>
                    <w:t>0.46 mEq</w:t>
                  </w:r>
                </w:p>
              </w:tc>
              <w:tc>
                <w:tcPr>
                  <w:tcW w:w="786" w:type="pct"/>
                </w:tcPr>
                <w:p w:rsidRPr="00930AB0" w:rsidR="003612B9" w:rsidP="009E664B" w:rsidRDefault="003612B9" w14:paraId="429F455B" w14:textId="77777777">
                  <w:pPr>
                    <w:overflowPunct w:val="0"/>
                    <w:autoSpaceDE w:val="0"/>
                    <w:autoSpaceDN w:val="0"/>
                    <w:adjustRightInd w:val="0"/>
                    <w:textAlignment w:val="baseline"/>
                    <w:rPr>
                      <w:sz w:val="20"/>
                    </w:rPr>
                  </w:pPr>
                  <w:r w:rsidRPr="00930AB0">
                    <w:rPr>
                      <w:sz w:val="20"/>
                    </w:rPr>
                    <w:t xml:space="preserve">9.3 mg       </w:t>
                  </w:r>
                </w:p>
              </w:tc>
              <w:tc>
                <w:tcPr>
                  <w:tcW w:w="1237" w:type="pct"/>
                </w:tcPr>
                <w:p w:rsidRPr="00930AB0" w:rsidR="003612B9" w:rsidP="009E664B" w:rsidRDefault="003612B9" w14:paraId="73348D72" w14:textId="77777777">
                  <w:pPr>
                    <w:overflowPunct w:val="0"/>
                    <w:autoSpaceDE w:val="0"/>
                    <w:autoSpaceDN w:val="0"/>
                    <w:adjustRightInd w:val="0"/>
                    <w:textAlignment w:val="baseline"/>
                    <w:rPr>
                      <w:sz w:val="20"/>
                    </w:rPr>
                  </w:pPr>
                  <w:r w:rsidRPr="00930AB0">
                    <w:rPr>
                      <w:sz w:val="20"/>
                    </w:rPr>
                    <w:t>0.23 mmol</w:t>
                  </w:r>
                </w:p>
              </w:tc>
            </w:tr>
            <w:tr w:rsidRPr="00930AB0" w:rsidR="003612B9" w:rsidTr="009E664B" w14:paraId="3D4142C8" w14:textId="77777777">
              <w:trPr>
                <w:tblCellSpacing w:w="7" w:type="dxa"/>
                <w:jc w:val="center"/>
              </w:trPr>
              <w:tc>
                <w:tcPr>
                  <w:tcW w:w="2254" w:type="pct"/>
                </w:tcPr>
                <w:p w:rsidRPr="00930AB0" w:rsidR="003612B9" w:rsidP="009E664B" w:rsidRDefault="003612B9" w14:paraId="5DCE491D" w14:textId="77777777">
                  <w:pPr>
                    <w:overflowPunct w:val="0"/>
                    <w:autoSpaceDE w:val="0"/>
                    <w:autoSpaceDN w:val="0"/>
                    <w:adjustRightInd w:val="0"/>
                    <w:textAlignment w:val="baseline"/>
                    <w:rPr>
                      <w:sz w:val="20"/>
                    </w:rPr>
                  </w:pPr>
                  <w:r w:rsidRPr="00930AB0">
                    <w:rPr>
                      <w:b/>
                      <w:bCs/>
                      <w:i/>
                      <w:iCs/>
                      <w:sz w:val="20"/>
                    </w:rPr>
                    <w:lastRenderedPageBreak/>
                    <w:t>Salt 1g</w:t>
                  </w:r>
                </w:p>
              </w:tc>
              <w:tc>
                <w:tcPr>
                  <w:tcW w:w="679" w:type="pct"/>
                  <w:vAlign w:val="bottom"/>
                </w:tcPr>
                <w:p w:rsidRPr="00930AB0" w:rsidR="003612B9" w:rsidP="009E664B" w:rsidRDefault="003612B9" w14:paraId="4DD7CFE0" w14:textId="77777777">
                  <w:pPr>
                    <w:overflowPunct w:val="0"/>
                    <w:autoSpaceDE w:val="0"/>
                    <w:autoSpaceDN w:val="0"/>
                    <w:adjustRightInd w:val="0"/>
                    <w:textAlignment w:val="baseline"/>
                    <w:rPr>
                      <w:sz w:val="20"/>
                    </w:rPr>
                  </w:pPr>
                </w:p>
              </w:tc>
              <w:tc>
                <w:tcPr>
                  <w:tcW w:w="786" w:type="pct"/>
                </w:tcPr>
                <w:p w:rsidRPr="00930AB0" w:rsidR="003612B9" w:rsidP="009E664B" w:rsidRDefault="003612B9" w14:paraId="6B4EA541" w14:textId="77777777">
                  <w:pPr>
                    <w:overflowPunct w:val="0"/>
                    <w:autoSpaceDE w:val="0"/>
                    <w:autoSpaceDN w:val="0"/>
                    <w:adjustRightInd w:val="0"/>
                    <w:textAlignment w:val="baseline"/>
                    <w:rPr>
                      <w:sz w:val="20"/>
                    </w:rPr>
                  </w:pPr>
                </w:p>
              </w:tc>
              <w:tc>
                <w:tcPr>
                  <w:tcW w:w="1237" w:type="pct"/>
                </w:tcPr>
                <w:p w:rsidRPr="00930AB0" w:rsidR="003612B9" w:rsidP="009E664B" w:rsidRDefault="003612B9" w14:paraId="4326A97F" w14:textId="77777777">
                  <w:pPr>
                    <w:overflowPunct w:val="0"/>
                    <w:autoSpaceDE w:val="0"/>
                    <w:autoSpaceDN w:val="0"/>
                    <w:adjustRightInd w:val="0"/>
                    <w:textAlignment w:val="baseline"/>
                    <w:rPr>
                      <w:sz w:val="20"/>
                    </w:rPr>
                  </w:pPr>
                </w:p>
              </w:tc>
            </w:tr>
            <w:tr w:rsidRPr="00930AB0" w:rsidR="003612B9" w:rsidTr="009E664B" w14:paraId="64779FB0" w14:textId="77777777">
              <w:trPr>
                <w:tblCellSpacing w:w="7" w:type="dxa"/>
                <w:jc w:val="center"/>
              </w:trPr>
              <w:tc>
                <w:tcPr>
                  <w:tcW w:w="2254" w:type="pct"/>
                  <w:hideMark/>
                </w:tcPr>
                <w:p w:rsidRPr="00930AB0" w:rsidR="003612B9" w:rsidP="009E664B" w:rsidRDefault="003612B9" w14:paraId="0BABBDBD" w14:textId="77777777">
                  <w:pPr>
                    <w:overflowPunct w:val="0"/>
                    <w:autoSpaceDE w:val="0"/>
                    <w:autoSpaceDN w:val="0"/>
                    <w:adjustRightInd w:val="0"/>
                    <w:textAlignment w:val="baseline"/>
                    <w:rPr>
                      <w:sz w:val="20"/>
                    </w:rPr>
                  </w:pPr>
                  <w:r w:rsidRPr="00930AB0">
                    <w:rPr>
                      <w:sz w:val="20"/>
                    </w:rPr>
                    <w:t xml:space="preserve">Calcium Acetate </w:t>
                  </w:r>
                </w:p>
              </w:tc>
              <w:tc>
                <w:tcPr>
                  <w:tcW w:w="679" w:type="pct"/>
                  <w:vAlign w:val="bottom"/>
                  <w:hideMark/>
                </w:tcPr>
                <w:p w:rsidRPr="00930AB0" w:rsidR="003612B9" w:rsidP="009E664B" w:rsidRDefault="003612B9" w14:paraId="569AAF49" w14:textId="77777777">
                  <w:pPr>
                    <w:overflowPunct w:val="0"/>
                    <w:autoSpaceDE w:val="0"/>
                    <w:autoSpaceDN w:val="0"/>
                    <w:adjustRightInd w:val="0"/>
                    <w:textAlignment w:val="baseline"/>
                    <w:rPr>
                      <w:sz w:val="20"/>
                    </w:rPr>
                  </w:pPr>
                  <w:r w:rsidRPr="00930AB0">
                    <w:rPr>
                      <w:sz w:val="20"/>
                    </w:rPr>
                    <w:t xml:space="preserve">12.6 mEq </w:t>
                  </w:r>
                </w:p>
              </w:tc>
              <w:tc>
                <w:tcPr>
                  <w:tcW w:w="786" w:type="pct"/>
                  <w:hideMark/>
                </w:tcPr>
                <w:p w:rsidRPr="00930AB0" w:rsidR="003612B9" w:rsidP="009E664B" w:rsidRDefault="003612B9" w14:paraId="07436322" w14:textId="77777777">
                  <w:pPr>
                    <w:overflowPunct w:val="0"/>
                    <w:autoSpaceDE w:val="0"/>
                    <w:autoSpaceDN w:val="0"/>
                    <w:adjustRightInd w:val="0"/>
                    <w:textAlignment w:val="baseline"/>
                    <w:rPr>
                      <w:sz w:val="20"/>
                    </w:rPr>
                  </w:pPr>
                  <w:r w:rsidRPr="00930AB0">
                    <w:rPr>
                      <w:sz w:val="20"/>
                    </w:rPr>
                    <w:t xml:space="preserve">253 mg </w:t>
                  </w:r>
                </w:p>
              </w:tc>
              <w:tc>
                <w:tcPr>
                  <w:tcW w:w="1237" w:type="pct"/>
                  <w:hideMark/>
                </w:tcPr>
                <w:p w:rsidRPr="00930AB0" w:rsidR="003612B9" w:rsidP="009E664B" w:rsidRDefault="003612B9" w14:paraId="3F3EBA23" w14:textId="77777777">
                  <w:pPr>
                    <w:overflowPunct w:val="0"/>
                    <w:autoSpaceDE w:val="0"/>
                    <w:autoSpaceDN w:val="0"/>
                    <w:adjustRightInd w:val="0"/>
                    <w:textAlignment w:val="baseline"/>
                    <w:rPr>
                      <w:sz w:val="20"/>
                    </w:rPr>
                  </w:pPr>
                  <w:r w:rsidRPr="00930AB0">
                    <w:rPr>
                      <w:sz w:val="20"/>
                    </w:rPr>
                    <w:t xml:space="preserve">6.30 mmol </w:t>
                  </w:r>
                </w:p>
              </w:tc>
            </w:tr>
            <w:tr w:rsidRPr="00930AB0" w:rsidR="003612B9" w:rsidTr="009E664B" w14:paraId="39FD3D08" w14:textId="77777777">
              <w:trPr>
                <w:tblCellSpacing w:w="7" w:type="dxa"/>
                <w:jc w:val="center"/>
              </w:trPr>
              <w:tc>
                <w:tcPr>
                  <w:tcW w:w="2254" w:type="pct"/>
                  <w:hideMark/>
                </w:tcPr>
                <w:p w:rsidRPr="00930AB0" w:rsidR="003612B9" w:rsidP="009E664B" w:rsidRDefault="003612B9" w14:paraId="5C360E02" w14:textId="77777777">
                  <w:pPr>
                    <w:overflowPunct w:val="0"/>
                    <w:autoSpaceDE w:val="0"/>
                    <w:autoSpaceDN w:val="0"/>
                    <w:adjustRightInd w:val="0"/>
                    <w:textAlignment w:val="baseline"/>
                    <w:rPr>
                      <w:sz w:val="20"/>
                    </w:rPr>
                  </w:pPr>
                  <w:r w:rsidRPr="00930AB0">
                    <w:rPr>
                      <w:sz w:val="20"/>
                    </w:rPr>
                    <w:t xml:space="preserve">Calcium Carbonate </w:t>
                  </w:r>
                </w:p>
              </w:tc>
              <w:tc>
                <w:tcPr>
                  <w:tcW w:w="679" w:type="pct"/>
                  <w:vAlign w:val="bottom"/>
                  <w:hideMark/>
                </w:tcPr>
                <w:p w:rsidRPr="00930AB0" w:rsidR="003612B9" w:rsidP="009E664B" w:rsidRDefault="003612B9" w14:paraId="20C45239" w14:textId="77777777">
                  <w:pPr>
                    <w:overflowPunct w:val="0"/>
                    <w:autoSpaceDE w:val="0"/>
                    <w:autoSpaceDN w:val="0"/>
                    <w:adjustRightInd w:val="0"/>
                    <w:textAlignment w:val="baseline"/>
                    <w:rPr>
                      <w:sz w:val="20"/>
                    </w:rPr>
                  </w:pPr>
                  <w:r w:rsidRPr="00930AB0">
                    <w:rPr>
                      <w:sz w:val="20"/>
                    </w:rPr>
                    <w:t xml:space="preserve">19.9 mEq </w:t>
                  </w:r>
                </w:p>
              </w:tc>
              <w:tc>
                <w:tcPr>
                  <w:tcW w:w="786" w:type="pct"/>
                  <w:hideMark/>
                </w:tcPr>
                <w:p w:rsidRPr="00930AB0" w:rsidR="003612B9" w:rsidP="009E664B" w:rsidRDefault="003612B9" w14:paraId="269312F9" w14:textId="77777777">
                  <w:pPr>
                    <w:overflowPunct w:val="0"/>
                    <w:autoSpaceDE w:val="0"/>
                    <w:autoSpaceDN w:val="0"/>
                    <w:adjustRightInd w:val="0"/>
                    <w:textAlignment w:val="baseline"/>
                    <w:rPr>
                      <w:sz w:val="20"/>
                    </w:rPr>
                  </w:pPr>
                  <w:r w:rsidRPr="00930AB0">
                    <w:rPr>
                      <w:sz w:val="20"/>
                    </w:rPr>
                    <w:t xml:space="preserve">400 mg </w:t>
                  </w:r>
                </w:p>
              </w:tc>
              <w:tc>
                <w:tcPr>
                  <w:tcW w:w="1237" w:type="pct"/>
                  <w:hideMark/>
                </w:tcPr>
                <w:p w:rsidRPr="00930AB0" w:rsidR="003612B9" w:rsidP="009E664B" w:rsidRDefault="003612B9" w14:paraId="734BB21F" w14:textId="77777777">
                  <w:pPr>
                    <w:overflowPunct w:val="0"/>
                    <w:autoSpaceDE w:val="0"/>
                    <w:autoSpaceDN w:val="0"/>
                    <w:adjustRightInd w:val="0"/>
                    <w:textAlignment w:val="baseline"/>
                    <w:rPr>
                      <w:sz w:val="20"/>
                    </w:rPr>
                  </w:pPr>
                  <w:r w:rsidRPr="00930AB0">
                    <w:rPr>
                      <w:sz w:val="20"/>
                    </w:rPr>
                    <w:t xml:space="preserve">9.96 mmol </w:t>
                  </w:r>
                </w:p>
              </w:tc>
            </w:tr>
            <w:tr w:rsidRPr="00930AB0" w:rsidR="003612B9" w:rsidTr="009E664B" w14:paraId="4178768F" w14:textId="77777777">
              <w:trPr>
                <w:tblCellSpacing w:w="7" w:type="dxa"/>
                <w:jc w:val="center"/>
              </w:trPr>
              <w:tc>
                <w:tcPr>
                  <w:tcW w:w="2254" w:type="pct"/>
                  <w:hideMark/>
                </w:tcPr>
                <w:p w:rsidRPr="00930AB0" w:rsidR="003612B9" w:rsidP="009E664B" w:rsidRDefault="003612B9" w14:paraId="431B39CB" w14:textId="77777777">
                  <w:pPr>
                    <w:overflowPunct w:val="0"/>
                    <w:autoSpaceDE w:val="0"/>
                    <w:autoSpaceDN w:val="0"/>
                    <w:adjustRightInd w:val="0"/>
                    <w:textAlignment w:val="baseline"/>
                    <w:rPr>
                      <w:sz w:val="20"/>
                    </w:rPr>
                  </w:pPr>
                  <w:r w:rsidRPr="00930AB0">
                    <w:rPr>
                      <w:sz w:val="20"/>
                    </w:rPr>
                    <w:t xml:space="preserve">Calcium Citrate </w:t>
                  </w:r>
                </w:p>
              </w:tc>
              <w:tc>
                <w:tcPr>
                  <w:tcW w:w="679" w:type="pct"/>
                  <w:vAlign w:val="bottom"/>
                  <w:hideMark/>
                </w:tcPr>
                <w:p w:rsidRPr="00930AB0" w:rsidR="003612B9" w:rsidP="009E664B" w:rsidRDefault="003612B9" w14:paraId="0684EB14" w14:textId="77777777">
                  <w:pPr>
                    <w:overflowPunct w:val="0"/>
                    <w:autoSpaceDE w:val="0"/>
                    <w:autoSpaceDN w:val="0"/>
                    <w:adjustRightInd w:val="0"/>
                    <w:textAlignment w:val="baseline"/>
                    <w:rPr>
                      <w:sz w:val="20"/>
                    </w:rPr>
                  </w:pPr>
                  <w:r w:rsidRPr="00930AB0">
                    <w:rPr>
                      <w:sz w:val="20"/>
                    </w:rPr>
                    <w:t xml:space="preserve">10.5 mEq </w:t>
                  </w:r>
                </w:p>
              </w:tc>
              <w:tc>
                <w:tcPr>
                  <w:tcW w:w="786" w:type="pct"/>
                  <w:hideMark/>
                </w:tcPr>
                <w:p w:rsidRPr="00930AB0" w:rsidR="003612B9" w:rsidP="009E664B" w:rsidRDefault="003612B9" w14:paraId="343B18EF" w14:textId="77777777">
                  <w:pPr>
                    <w:overflowPunct w:val="0"/>
                    <w:autoSpaceDE w:val="0"/>
                    <w:autoSpaceDN w:val="0"/>
                    <w:adjustRightInd w:val="0"/>
                    <w:textAlignment w:val="baseline"/>
                    <w:rPr>
                      <w:sz w:val="20"/>
                    </w:rPr>
                  </w:pPr>
                  <w:r w:rsidRPr="00930AB0">
                    <w:rPr>
                      <w:sz w:val="20"/>
                    </w:rPr>
                    <w:t xml:space="preserve">211 mg </w:t>
                  </w:r>
                </w:p>
              </w:tc>
              <w:tc>
                <w:tcPr>
                  <w:tcW w:w="1237" w:type="pct"/>
                  <w:hideMark/>
                </w:tcPr>
                <w:p w:rsidRPr="00930AB0" w:rsidR="003612B9" w:rsidP="009E664B" w:rsidRDefault="003612B9" w14:paraId="5A386B47" w14:textId="77777777">
                  <w:pPr>
                    <w:overflowPunct w:val="0"/>
                    <w:autoSpaceDE w:val="0"/>
                    <w:autoSpaceDN w:val="0"/>
                    <w:adjustRightInd w:val="0"/>
                    <w:textAlignment w:val="baseline"/>
                    <w:rPr>
                      <w:sz w:val="20"/>
                    </w:rPr>
                  </w:pPr>
                  <w:r w:rsidRPr="00930AB0">
                    <w:rPr>
                      <w:sz w:val="20"/>
                    </w:rPr>
                    <w:t xml:space="preserve">5.26 mmol </w:t>
                  </w:r>
                </w:p>
              </w:tc>
            </w:tr>
            <w:tr w:rsidRPr="00930AB0" w:rsidR="003612B9" w:rsidTr="009E664B" w14:paraId="5028DC5A" w14:textId="77777777">
              <w:trPr>
                <w:tblCellSpacing w:w="7" w:type="dxa"/>
                <w:jc w:val="center"/>
              </w:trPr>
              <w:tc>
                <w:tcPr>
                  <w:tcW w:w="2254" w:type="pct"/>
                  <w:hideMark/>
                </w:tcPr>
                <w:p w:rsidRPr="00930AB0" w:rsidR="003612B9" w:rsidP="009E664B" w:rsidRDefault="003612B9" w14:paraId="456917C7" w14:textId="77777777">
                  <w:pPr>
                    <w:overflowPunct w:val="0"/>
                    <w:autoSpaceDE w:val="0"/>
                    <w:autoSpaceDN w:val="0"/>
                    <w:adjustRightInd w:val="0"/>
                    <w:textAlignment w:val="baseline"/>
                    <w:rPr>
                      <w:sz w:val="20"/>
                    </w:rPr>
                  </w:pPr>
                  <w:r w:rsidRPr="00930AB0">
                    <w:rPr>
                      <w:sz w:val="20"/>
                    </w:rPr>
                    <w:t>Calcium Chloride</w:t>
                  </w:r>
                </w:p>
              </w:tc>
              <w:tc>
                <w:tcPr>
                  <w:tcW w:w="679" w:type="pct"/>
                  <w:vAlign w:val="bottom"/>
                  <w:hideMark/>
                </w:tcPr>
                <w:p w:rsidRPr="00930AB0" w:rsidR="003612B9" w:rsidP="009E664B" w:rsidRDefault="003612B9" w14:paraId="6BC2003C" w14:textId="77777777">
                  <w:pPr>
                    <w:overflowPunct w:val="0"/>
                    <w:autoSpaceDE w:val="0"/>
                    <w:autoSpaceDN w:val="0"/>
                    <w:adjustRightInd w:val="0"/>
                    <w:textAlignment w:val="baseline"/>
                    <w:rPr>
                      <w:sz w:val="20"/>
                    </w:rPr>
                  </w:pPr>
                  <w:r w:rsidRPr="00930AB0">
                    <w:rPr>
                      <w:sz w:val="20"/>
                    </w:rPr>
                    <w:t xml:space="preserve">13.6 mEq </w:t>
                  </w:r>
                </w:p>
              </w:tc>
              <w:tc>
                <w:tcPr>
                  <w:tcW w:w="786" w:type="pct"/>
                  <w:hideMark/>
                </w:tcPr>
                <w:p w:rsidRPr="00930AB0" w:rsidR="003612B9" w:rsidP="009E664B" w:rsidRDefault="003612B9" w14:paraId="0C9000ED" w14:textId="77777777">
                  <w:pPr>
                    <w:overflowPunct w:val="0"/>
                    <w:autoSpaceDE w:val="0"/>
                    <w:autoSpaceDN w:val="0"/>
                    <w:adjustRightInd w:val="0"/>
                    <w:textAlignment w:val="baseline"/>
                    <w:rPr>
                      <w:sz w:val="20"/>
                    </w:rPr>
                  </w:pPr>
                  <w:r w:rsidRPr="00930AB0">
                    <w:rPr>
                      <w:sz w:val="20"/>
                    </w:rPr>
                    <w:t xml:space="preserve">273 mg </w:t>
                  </w:r>
                </w:p>
              </w:tc>
              <w:tc>
                <w:tcPr>
                  <w:tcW w:w="1237" w:type="pct"/>
                  <w:hideMark/>
                </w:tcPr>
                <w:p w:rsidRPr="00930AB0" w:rsidR="003612B9" w:rsidP="009E664B" w:rsidRDefault="003612B9" w14:paraId="0B8032C8" w14:textId="77777777">
                  <w:pPr>
                    <w:overflowPunct w:val="0"/>
                    <w:autoSpaceDE w:val="0"/>
                    <w:autoSpaceDN w:val="0"/>
                    <w:adjustRightInd w:val="0"/>
                    <w:textAlignment w:val="baseline"/>
                    <w:rPr>
                      <w:sz w:val="20"/>
                    </w:rPr>
                  </w:pPr>
                  <w:r w:rsidRPr="00930AB0">
                    <w:rPr>
                      <w:sz w:val="20"/>
                    </w:rPr>
                    <w:t xml:space="preserve">6.80 mmol </w:t>
                  </w:r>
                </w:p>
              </w:tc>
            </w:tr>
            <w:tr w:rsidRPr="00930AB0" w:rsidR="003612B9" w:rsidTr="009E664B" w14:paraId="36AEDBDE" w14:textId="77777777">
              <w:trPr>
                <w:tblCellSpacing w:w="7" w:type="dxa"/>
                <w:jc w:val="center"/>
              </w:trPr>
              <w:tc>
                <w:tcPr>
                  <w:tcW w:w="2254" w:type="pct"/>
                  <w:hideMark/>
                </w:tcPr>
                <w:p w:rsidRPr="00930AB0" w:rsidR="003612B9" w:rsidP="009E664B" w:rsidRDefault="003612B9" w14:paraId="4A9A3D4A" w14:textId="77777777">
                  <w:pPr>
                    <w:overflowPunct w:val="0"/>
                    <w:autoSpaceDE w:val="0"/>
                    <w:autoSpaceDN w:val="0"/>
                    <w:adjustRightInd w:val="0"/>
                    <w:textAlignment w:val="baseline"/>
                    <w:rPr>
                      <w:sz w:val="20"/>
                    </w:rPr>
                  </w:pPr>
                  <w:r w:rsidRPr="00930AB0">
                    <w:rPr>
                      <w:sz w:val="20"/>
                    </w:rPr>
                    <w:t xml:space="preserve">Calcium Glubionate </w:t>
                  </w:r>
                </w:p>
              </w:tc>
              <w:tc>
                <w:tcPr>
                  <w:tcW w:w="679" w:type="pct"/>
                  <w:vAlign w:val="bottom"/>
                  <w:hideMark/>
                </w:tcPr>
                <w:p w:rsidRPr="00930AB0" w:rsidR="003612B9" w:rsidP="009E664B" w:rsidRDefault="003612B9" w14:paraId="1A2E1C7F" w14:textId="77777777">
                  <w:pPr>
                    <w:overflowPunct w:val="0"/>
                    <w:autoSpaceDE w:val="0"/>
                    <w:autoSpaceDN w:val="0"/>
                    <w:adjustRightInd w:val="0"/>
                    <w:textAlignment w:val="baseline"/>
                    <w:rPr>
                      <w:sz w:val="20"/>
                    </w:rPr>
                  </w:pPr>
                  <w:r w:rsidRPr="00930AB0">
                    <w:rPr>
                      <w:sz w:val="20"/>
                    </w:rPr>
                    <w:t xml:space="preserve">3.29 mEq </w:t>
                  </w:r>
                </w:p>
              </w:tc>
              <w:tc>
                <w:tcPr>
                  <w:tcW w:w="786" w:type="pct"/>
                  <w:hideMark/>
                </w:tcPr>
                <w:p w:rsidRPr="00930AB0" w:rsidR="003612B9" w:rsidP="009E664B" w:rsidRDefault="003612B9" w14:paraId="7607FB17" w14:textId="77777777">
                  <w:pPr>
                    <w:overflowPunct w:val="0"/>
                    <w:autoSpaceDE w:val="0"/>
                    <w:autoSpaceDN w:val="0"/>
                    <w:adjustRightInd w:val="0"/>
                    <w:textAlignment w:val="baseline"/>
                    <w:rPr>
                      <w:sz w:val="20"/>
                    </w:rPr>
                  </w:pPr>
                  <w:r w:rsidRPr="00930AB0">
                    <w:rPr>
                      <w:sz w:val="20"/>
                    </w:rPr>
                    <w:t xml:space="preserve">66 mg </w:t>
                  </w:r>
                </w:p>
              </w:tc>
              <w:tc>
                <w:tcPr>
                  <w:tcW w:w="1237" w:type="pct"/>
                  <w:hideMark/>
                </w:tcPr>
                <w:p w:rsidRPr="00930AB0" w:rsidR="003612B9" w:rsidP="009E664B" w:rsidRDefault="003612B9" w14:paraId="2B38A215" w14:textId="77777777">
                  <w:pPr>
                    <w:overflowPunct w:val="0"/>
                    <w:autoSpaceDE w:val="0"/>
                    <w:autoSpaceDN w:val="0"/>
                    <w:adjustRightInd w:val="0"/>
                    <w:textAlignment w:val="baseline"/>
                    <w:rPr>
                      <w:sz w:val="20"/>
                    </w:rPr>
                  </w:pPr>
                  <w:r w:rsidRPr="00930AB0">
                    <w:rPr>
                      <w:sz w:val="20"/>
                    </w:rPr>
                    <w:t xml:space="preserve">1.64 mmol </w:t>
                  </w:r>
                </w:p>
              </w:tc>
            </w:tr>
            <w:tr w:rsidRPr="00930AB0" w:rsidR="003612B9" w:rsidTr="009E664B" w14:paraId="278E2FFF" w14:textId="77777777">
              <w:trPr>
                <w:tblCellSpacing w:w="7" w:type="dxa"/>
                <w:jc w:val="center"/>
              </w:trPr>
              <w:tc>
                <w:tcPr>
                  <w:tcW w:w="2254" w:type="pct"/>
                  <w:hideMark/>
                </w:tcPr>
                <w:p w:rsidRPr="00930AB0" w:rsidR="003612B9" w:rsidP="009E664B" w:rsidRDefault="003612B9" w14:paraId="6D359E20" w14:textId="77777777">
                  <w:pPr>
                    <w:overflowPunct w:val="0"/>
                    <w:autoSpaceDE w:val="0"/>
                    <w:autoSpaceDN w:val="0"/>
                    <w:adjustRightInd w:val="0"/>
                    <w:textAlignment w:val="baseline"/>
                    <w:rPr>
                      <w:sz w:val="20"/>
                    </w:rPr>
                  </w:pPr>
                  <w:r w:rsidRPr="00930AB0">
                    <w:rPr>
                      <w:sz w:val="20"/>
                    </w:rPr>
                    <w:t xml:space="preserve">Calcium Gluceptate </w:t>
                  </w:r>
                </w:p>
              </w:tc>
              <w:tc>
                <w:tcPr>
                  <w:tcW w:w="679" w:type="pct"/>
                  <w:vAlign w:val="bottom"/>
                  <w:hideMark/>
                </w:tcPr>
                <w:p w:rsidRPr="00930AB0" w:rsidR="003612B9" w:rsidP="009E664B" w:rsidRDefault="003612B9" w14:paraId="3D002098" w14:textId="77777777">
                  <w:pPr>
                    <w:overflowPunct w:val="0"/>
                    <w:autoSpaceDE w:val="0"/>
                    <w:autoSpaceDN w:val="0"/>
                    <w:adjustRightInd w:val="0"/>
                    <w:textAlignment w:val="baseline"/>
                    <w:rPr>
                      <w:sz w:val="20"/>
                    </w:rPr>
                  </w:pPr>
                  <w:r w:rsidRPr="00930AB0">
                    <w:rPr>
                      <w:sz w:val="20"/>
                    </w:rPr>
                    <w:t xml:space="preserve">4.08 mEq </w:t>
                  </w:r>
                </w:p>
              </w:tc>
              <w:tc>
                <w:tcPr>
                  <w:tcW w:w="786" w:type="pct"/>
                  <w:hideMark/>
                </w:tcPr>
                <w:p w:rsidRPr="00930AB0" w:rsidR="003612B9" w:rsidP="009E664B" w:rsidRDefault="003612B9" w14:paraId="48EF4182" w14:textId="77777777">
                  <w:pPr>
                    <w:overflowPunct w:val="0"/>
                    <w:autoSpaceDE w:val="0"/>
                    <w:autoSpaceDN w:val="0"/>
                    <w:adjustRightInd w:val="0"/>
                    <w:textAlignment w:val="baseline"/>
                    <w:rPr>
                      <w:sz w:val="20"/>
                    </w:rPr>
                  </w:pPr>
                  <w:r w:rsidRPr="00930AB0">
                    <w:rPr>
                      <w:sz w:val="20"/>
                    </w:rPr>
                    <w:t xml:space="preserve">82 mg </w:t>
                  </w:r>
                </w:p>
              </w:tc>
              <w:tc>
                <w:tcPr>
                  <w:tcW w:w="1237" w:type="pct"/>
                  <w:hideMark/>
                </w:tcPr>
                <w:p w:rsidRPr="00930AB0" w:rsidR="003612B9" w:rsidP="009E664B" w:rsidRDefault="003612B9" w14:paraId="1DB0ED59" w14:textId="77777777">
                  <w:pPr>
                    <w:overflowPunct w:val="0"/>
                    <w:autoSpaceDE w:val="0"/>
                    <w:autoSpaceDN w:val="0"/>
                    <w:adjustRightInd w:val="0"/>
                    <w:textAlignment w:val="baseline"/>
                    <w:rPr>
                      <w:sz w:val="20"/>
                    </w:rPr>
                  </w:pPr>
                  <w:r w:rsidRPr="00930AB0">
                    <w:rPr>
                      <w:sz w:val="20"/>
                    </w:rPr>
                    <w:t xml:space="preserve">2.04 mmol </w:t>
                  </w:r>
                </w:p>
              </w:tc>
            </w:tr>
            <w:tr w:rsidRPr="00930AB0" w:rsidR="003612B9" w:rsidTr="009E664B" w14:paraId="5B82322C" w14:textId="77777777">
              <w:trPr>
                <w:tblCellSpacing w:w="7" w:type="dxa"/>
                <w:jc w:val="center"/>
              </w:trPr>
              <w:tc>
                <w:tcPr>
                  <w:tcW w:w="2254" w:type="pct"/>
                  <w:hideMark/>
                </w:tcPr>
                <w:p w:rsidRPr="00930AB0" w:rsidR="003612B9" w:rsidP="009E664B" w:rsidRDefault="003612B9" w14:paraId="14D41A1D" w14:textId="77777777">
                  <w:pPr>
                    <w:overflowPunct w:val="0"/>
                    <w:autoSpaceDE w:val="0"/>
                    <w:autoSpaceDN w:val="0"/>
                    <w:adjustRightInd w:val="0"/>
                    <w:textAlignment w:val="baseline"/>
                    <w:rPr>
                      <w:sz w:val="20"/>
                    </w:rPr>
                  </w:pPr>
                  <w:r w:rsidRPr="00930AB0">
                    <w:rPr>
                      <w:sz w:val="20"/>
                    </w:rPr>
                    <w:t>Calcium Gluconate</w:t>
                  </w:r>
                </w:p>
              </w:tc>
              <w:tc>
                <w:tcPr>
                  <w:tcW w:w="679" w:type="pct"/>
                  <w:vAlign w:val="bottom"/>
                  <w:hideMark/>
                </w:tcPr>
                <w:p w:rsidRPr="00930AB0" w:rsidR="003612B9" w:rsidP="009E664B" w:rsidRDefault="003612B9" w14:paraId="27FA8129" w14:textId="77777777">
                  <w:pPr>
                    <w:overflowPunct w:val="0"/>
                    <w:autoSpaceDE w:val="0"/>
                    <w:autoSpaceDN w:val="0"/>
                    <w:adjustRightInd w:val="0"/>
                    <w:textAlignment w:val="baseline"/>
                    <w:rPr>
                      <w:sz w:val="20"/>
                    </w:rPr>
                  </w:pPr>
                  <w:r w:rsidRPr="00930AB0">
                    <w:rPr>
                      <w:sz w:val="20"/>
                    </w:rPr>
                    <w:t xml:space="preserve">4.65 mEq </w:t>
                  </w:r>
                </w:p>
              </w:tc>
              <w:tc>
                <w:tcPr>
                  <w:tcW w:w="786" w:type="pct"/>
                  <w:hideMark/>
                </w:tcPr>
                <w:p w:rsidRPr="00930AB0" w:rsidR="003612B9" w:rsidP="009E664B" w:rsidRDefault="003612B9" w14:paraId="5039C554" w14:textId="77777777">
                  <w:pPr>
                    <w:overflowPunct w:val="0"/>
                    <w:autoSpaceDE w:val="0"/>
                    <w:autoSpaceDN w:val="0"/>
                    <w:adjustRightInd w:val="0"/>
                    <w:textAlignment w:val="baseline"/>
                    <w:rPr>
                      <w:sz w:val="20"/>
                    </w:rPr>
                  </w:pPr>
                  <w:r w:rsidRPr="00930AB0">
                    <w:rPr>
                      <w:sz w:val="20"/>
                    </w:rPr>
                    <w:t xml:space="preserve">93 mg </w:t>
                  </w:r>
                </w:p>
              </w:tc>
              <w:tc>
                <w:tcPr>
                  <w:tcW w:w="1237" w:type="pct"/>
                  <w:hideMark/>
                </w:tcPr>
                <w:p w:rsidRPr="00930AB0" w:rsidR="003612B9" w:rsidP="009E664B" w:rsidRDefault="003612B9" w14:paraId="535413A3" w14:textId="77777777">
                  <w:pPr>
                    <w:overflowPunct w:val="0"/>
                    <w:autoSpaceDE w:val="0"/>
                    <w:autoSpaceDN w:val="0"/>
                    <w:adjustRightInd w:val="0"/>
                    <w:textAlignment w:val="baseline"/>
                    <w:rPr>
                      <w:sz w:val="20"/>
                    </w:rPr>
                  </w:pPr>
                  <w:r w:rsidRPr="00930AB0">
                    <w:rPr>
                      <w:sz w:val="20"/>
                    </w:rPr>
                    <w:t xml:space="preserve">2.32 mmol </w:t>
                  </w:r>
                </w:p>
              </w:tc>
            </w:tr>
          </w:tbl>
          <w:p w:rsidRPr="00026F20" w:rsidR="003612B9" w:rsidP="009E664B" w:rsidRDefault="003612B9" w14:paraId="2CCBB9A5" w14:textId="77777777">
            <w:pPr>
              <w:pStyle w:val="BodyText"/>
              <w:rPr>
                <w:rFonts w:cs="Arial"/>
                <w:sz w:val="20"/>
                <w:lang w:val="en-AU"/>
              </w:rPr>
            </w:pPr>
          </w:p>
        </w:tc>
      </w:tr>
      <w:tr w:rsidRPr="003A7895" w:rsidR="00273A16" w:rsidTr="77BEE3D0" w14:paraId="44FA3EC1" w14:textId="77777777">
        <w:trPr>
          <w:trHeight w:val="280"/>
        </w:trPr>
        <w:tc>
          <w:tcPr>
            <w:tcW w:w="2410" w:type="dxa"/>
          </w:tcPr>
          <w:p w:rsidRPr="00B53E9B" w:rsidR="003612B9" w:rsidP="009E664B" w:rsidRDefault="003612B9" w14:paraId="26A24D07" w14:textId="77777777">
            <w:pPr>
              <w:pStyle w:val="BodyText"/>
              <w:rPr>
                <w:rFonts w:cs="Arial"/>
                <w:b/>
                <w:bCs/>
                <w:sz w:val="20"/>
                <w:lang w:val="en-AU"/>
              </w:rPr>
            </w:pPr>
            <w:r w:rsidRPr="00B53E9B">
              <w:rPr>
                <w:rFonts w:cs="Arial"/>
                <w:b/>
                <w:bCs/>
                <w:sz w:val="20"/>
                <w:lang w:val="en-AU"/>
              </w:rPr>
              <w:lastRenderedPageBreak/>
              <w:t xml:space="preserve">Evidence </w:t>
            </w:r>
          </w:p>
        </w:tc>
        <w:tc>
          <w:tcPr>
            <w:tcW w:w="7684" w:type="dxa"/>
          </w:tcPr>
          <w:p w:rsidRPr="00AF438D" w:rsidR="003612B9" w:rsidP="009E664B" w:rsidRDefault="003612B9" w14:paraId="3B71CF6C" w14:textId="77777777">
            <w:pPr>
              <w:pStyle w:val="BodyText"/>
              <w:tabs>
                <w:tab w:val="left" w:pos="1168"/>
              </w:tabs>
              <w:rPr>
                <w:rFonts w:cs="Arial"/>
                <w:b/>
                <w:sz w:val="16"/>
                <w:szCs w:val="16"/>
                <w:lang w:val="en-AU"/>
              </w:rPr>
            </w:pPr>
            <w:r w:rsidRPr="00AF438D">
              <w:rPr>
                <w:rFonts w:cs="Arial"/>
                <w:b/>
                <w:sz w:val="16"/>
                <w:szCs w:val="16"/>
                <w:lang w:val="en-AU"/>
              </w:rPr>
              <w:t>Efficacy</w:t>
            </w:r>
          </w:p>
          <w:p w:rsidRPr="00AF438D" w:rsidR="003612B9" w:rsidP="009E664B" w:rsidRDefault="003612B9" w14:paraId="182F3FD3" w14:textId="77777777">
            <w:pPr>
              <w:pStyle w:val="BodyText"/>
              <w:tabs>
                <w:tab w:val="left" w:pos="1168"/>
              </w:tabs>
              <w:rPr>
                <w:rFonts w:cs="Arial"/>
                <w:sz w:val="16"/>
                <w:szCs w:val="16"/>
                <w:lang w:val="en-AU"/>
              </w:rPr>
            </w:pPr>
            <w:r w:rsidRPr="00AF438D">
              <w:rPr>
                <w:rFonts w:cs="Arial"/>
                <w:sz w:val="16"/>
                <w:szCs w:val="16"/>
                <w:lang w:val="en-AU"/>
              </w:rPr>
              <w:t>Recommended mineral intake:</w:t>
            </w:r>
          </w:p>
          <w:p w:rsidRPr="00AF438D" w:rsidR="003612B9" w:rsidP="009E664B" w:rsidRDefault="003612B9" w14:paraId="67B0301B" w14:textId="77777777">
            <w:pPr>
              <w:pStyle w:val="BodyText"/>
              <w:tabs>
                <w:tab w:val="left" w:pos="1168"/>
              </w:tabs>
              <w:rPr>
                <w:rFonts w:cs="Arial"/>
                <w:sz w:val="16"/>
                <w:szCs w:val="16"/>
                <w:lang w:val="en-AU"/>
              </w:rPr>
            </w:pPr>
            <w:r w:rsidRPr="00AF438D">
              <w:rPr>
                <w:rFonts w:cs="Arial"/>
                <w:sz w:val="16"/>
                <w:szCs w:val="16"/>
                <w:lang w:val="en-AU"/>
              </w:rPr>
              <w:t xml:space="preserve">One mmol of calcium (Ca) equates to 40 mg calcium and 1 mmol of phosphorus equates to 31 mg phosphorus (P).[2] A 1:1 Ca:P molar ratio is equal to 1.3: 1 weight (mg) ratio. Transplacental Ca and P delivery to the fetus occurs actively against a concentration gradient and is greatest after the 24th gestational week. It is estimated that 80% of mineral accretion occurs in the 3rd trimester of pregnancy.[3] The average accretion rates during the last 3 months of pregnancy are 3 mmol/kg/day of Ca and 1.9 mmol/kg/day of P.[4] </w:t>
            </w:r>
          </w:p>
          <w:p w:rsidRPr="00AF438D" w:rsidR="003612B9" w:rsidP="009E664B" w:rsidRDefault="003612B9" w14:paraId="6D326D53" w14:textId="77777777">
            <w:pPr>
              <w:pStyle w:val="BodyText"/>
              <w:tabs>
                <w:tab w:val="left" w:pos="1168"/>
              </w:tabs>
              <w:rPr>
                <w:rFonts w:cs="Arial"/>
                <w:sz w:val="16"/>
                <w:szCs w:val="16"/>
                <w:lang w:val="en-AU"/>
              </w:rPr>
            </w:pPr>
          </w:p>
          <w:p w:rsidRPr="00AF438D" w:rsidR="003612B9" w:rsidP="009E664B" w:rsidRDefault="003612B9" w14:paraId="4298EA1C" w14:textId="77777777">
            <w:pPr>
              <w:pStyle w:val="BodyText"/>
              <w:tabs>
                <w:tab w:val="left" w:pos="1168"/>
              </w:tabs>
              <w:rPr>
                <w:rFonts w:cs="Arial"/>
                <w:sz w:val="16"/>
                <w:szCs w:val="16"/>
                <w:lang w:val="en-AU"/>
              </w:rPr>
            </w:pPr>
            <w:r w:rsidRPr="00AF438D">
              <w:rPr>
                <w:rFonts w:cs="Arial"/>
                <w:sz w:val="16"/>
                <w:szCs w:val="16"/>
                <w:lang w:val="en-AU"/>
              </w:rPr>
              <w:t xml:space="preserve">For prevention and treatment of metabolic bone disease in premature infants, the goal is not only to maintain normal serum levels but also mimic in utero bone accretion rates for calcium and phosphorus.[5] The recommended calcium intake is 150 to 220 mg/kg per day [3.7 to 5.5 mmol/kg/day] and phosphorus 75 to 140 mg/kg per day [2.4 to 4.5 mmol/kg/day] to provide a calcium-to-phosphorous ratio less than 2:1. Although no optimal calcium-to-phosphorous ratio is identified, a 1.5 to 1.7:1 ratio may be optimal for preterm infants.[6] There is a concern that an intake of calcium 5 mmol/kg/day may be associated with nephrocalcinosis.[7] </w:t>
            </w:r>
          </w:p>
          <w:p w:rsidRPr="00AF438D" w:rsidR="003612B9" w:rsidP="009E664B" w:rsidRDefault="003612B9" w14:paraId="7F5A0FCE" w14:textId="77777777">
            <w:pPr>
              <w:pStyle w:val="BodyText"/>
              <w:tabs>
                <w:tab w:val="left" w:pos="1168"/>
              </w:tabs>
              <w:rPr>
                <w:rFonts w:cs="Arial"/>
                <w:sz w:val="16"/>
                <w:szCs w:val="16"/>
                <w:lang w:val="en-AU"/>
              </w:rPr>
            </w:pPr>
          </w:p>
          <w:p w:rsidRPr="00AF438D" w:rsidR="003612B9" w:rsidP="009E664B" w:rsidRDefault="003612B9" w14:paraId="3D1D57A9" w14:textId="77777777">
            <w:pPr>
              <w:pStyle w:val="BodyText"/>
              <w:tabs>
                <w:tab w:val="left" w:pos="1168"/>
              </w:tabs>
              <w:rPr>
                <w:rFonts w:cs="Arial"/>
                <w:sz w:val="16"/>
                <w:szCs w:val="16"/>
                <w:lang w:val="en-AU"/>
              </w:rPr>
            </w:pPr>
            <w:r w:rsidRPr="00AF438D">
              <w:rPr>
                <w:rFonts w:cs="Arial"/>
                <w:sz w:val="16"/>
                <w:szCs w:val="16"/>
                <w:lang w:val="en-AU"/>
              </w:rPr>
              <w:t xml:space="preserve">Infants on full feeds with multicomponent fortified human milk (or preterm formula) reach an optimal level of mineral intake with approximately 180- 220 mg/kg/day calcium and 100-130 mg/kg/day phosphorus.[5] </w:t>
            </w:r>
          </w:p>
          <w:p w:rsidRPr="00AF438D" w:rsidR="003612B9" w:rsidP="009E664B" w:rsidRDefault="003612B9" w14:paraId="29B8B1C2" w14:textId="77777777">
            <w:pPr>
              <w:pStyle w:val="BodyText"/>
              <w:tabs>
                <w:tab w:val="left" w:pos="1168"/>
              </w:tabs>
              <w:rPr>
                <w:rFonts w:cs="Arial"/>
                <w:sz w:val="16"/>
                <w:szCs w:val="16"/>
                <w:lang w:val="en-AU"/>
              </w:rPr>
            </w:pPr>
          </w:p>
          <w:p w:rsidRPr="00AF438D" w:rsidR="003612B9" w:rsidP="009E664B" w:rsidRDefault="003612B9" w14:paraId="2D881E45" w14:textId="77777777">
            <w:pPr>
              <w:pStyle w:val="BodyText"/>
              <w:tabs>
                <w:tab w:val="left" w:pos="1168"/>
              </w:tabs>
              <w:rPr>
                <w:rFonts w:cs="Arial"/>
                <w:sz w:val="16"/>
                <w:szCs w:val="16"/>
                <w:lang w:val="en-AU"/>
              </w:rPr>
            </w:pPr>
            <w:r w:rsidRPr="00AF438D">
              <w:rPr>
                <w:rFonts w:cs="Arial"/>
                <w:sz w:val="16"/>
                <w:szCs w:val="16"/>
                <w:lang w:val="en-AU"/>
              </w:rPr>
              <w:t xml:space="preserve">Oral mineral supplementation: A single RCT in 40 premature human milk fed infants compared oral calcium gluconate 10% 5ml/kg/day (45mg/kg/day of elemental divided 8 hourly), potassium phosphate 17% 1 ml/kg/day (24 mg/kg/day divided 12-hourly) and vitamin D 400 U daily versus a control group that received only vitamin D 400 U daily. Although serum alkaline phosphatase concentration was reduced in the group receiving supplementation at six weeks postnatal age, the difference is unlikely to be of clinical significance.[8, 9] A second control study compared calcium intake varied from 2.5 versus 3.75 versus 5 mmol/kg/day combined with phosphate 2.5 mmol/kg/day. Low calcium intake was associated with raised alkaline phosphatase. High calcium intake was associated with nephrocalcinosis.[7] Conclusion: A calcium intake of 3.75 mmol/kg/day in combination with phosphate 2.5 mmol/kg/day is sufficient for adequate bone mineralization with a low level of side effects.[7] Further trials of mineral supplementation are not recommended as supplementation with multicomponent human milk fortifiers is now usual.[8] </w:t>
            </w:r>
          </w:p>
          <w:p w:rsidRPr="00AF438D" w:rsidR="003612B9" w:rsidP="009E664B" w:rsidRDefault="003612B9" w14:paraId="59FDF8C8" w14:textId="77777777">
            <w:pPr>
              <w:pStyle w:val="BodyText"/>
              <w:tabs>
                <w:tab w:val="left" w:pos="1168"/>
              </w:tabs>
              <w:rPr>
                <w:rFonts w:cs="Arial"/>
                <w:sz w:val="16"/>
                <w:szCs w:val="16"/>
                <w:lang w:val="en-AU"/>
              </w:rPr>
            </w:pPr>
            <w:r w:rsidRPr="00AF438D">
              <w:rPr>
                <w:rFonts w:cs="Arial"/>
                <w:sz w:val="16"/>
                <w:szCs w:val="16"/>
                <w:lang w:val="en-AU"/>
              </w:rPr>
              <w:t xml:space="preserve"> </w:t>
            </w:r>
          </w:p>
          <w:p w:rsidRPr="00AF438D" w:rsidR="003612B9" w:rsidP="009E664B" w:rsidRDefault="003612B9" w14:paraId="7F3E07F0" w14:textId="77777777">
            <w:pPr>
              <w:pStyle w:val="BodyText"/>
              <w:tabs>
                <w:tab w:val="left" w:pos="1168"/>
              </w:tabs>
              <w:rPr>
                <w:rFonts w:cs="Arial"/>
                <w:sz w:val="16"/>
                <w:szCs w:val="16"/>
                <w:lang w:val="en-AU"/>
              </w:rPr>
            </w:pPr>
            <w:r w:rsidRPr="00AF438D">
              <w:rPr>
                <w:rFonts w:cs="Arial"/>
                <w:sz w:val="16"/>
                <w:szCs w:val="16"/>
                <w:lang w:val="en-AU"/>
              </w:rPr>
              <w:t xml:space="preserve">Optimising mineral supplementation: In infants with mineral deficiency serum calcium is protected by increased parathyroid hormone so is not useful for optimising intake. Reaching target mineral intakes through optimised use of multicomponent human milk fortifiers for enterally fed infants lowers the probability of development of metabolic bone disease in preterm infants.[10] For infants with hypophosphatemia, phosphorus supplementation can be adjusted to reach a target serum phosphorus of &gt;5.5 mg/dl [1.8 mmol/L).[5] An alternative method to optimise mineral intake is to supplement calcium and phosphate with the goal of achieving a slight surplus of supply (SSS).[11] In infants not on diuretics or methylxanthines, this is achieved by regular adjustments to mineral intake with a goal of achieving a slight excess of urinary mineral excretion: Urinary calcium ≥ 1.2mmol/L and phosphate ≥0.4 mmol/L.[11-13] </w:t>
            </w:r>
          </w:p>
          <w:p w:rsidRPr="00AF438D" w:rsidR="003612B9" w:rsidP="009E664B" w:rsidRDefault="003612B9" w14:paraId="09C388FD" w14:textId="77777777">
            <w:pPr>
              <w:pStyle w:val="BodyText"/>
              <w:tabs>
                <w:tab w:val="left" w:pos="1168"/>
              </w:tabs>
              <w:rPr>
                <w:rFonts w:cs="Arial"/>
                <w:sz w:val="16"/>
                <w:szCs w:val="16"/>
                <w:lang w:val="en-AU"/>
              </w:rPr>
            </w:pPr>
          </w:p>
          <w:p w:rsidRPr="00AF438D" w:rsidR="003612B9" w:rsidP="009E664B" w:rsidRDefault="003612B9" w14:paraId="2D6AFCB2" w14:textId="77777777">
            <w:pPr>
              <w:pStyle w:val="BodyText"/>
              <w:tabs>
                <w:tab w:val="left" w:pos="1168"/>
              </w:tabs>
              <w:rPr>
                <w:rFonts w:cs="Arial"/>
                <w:sz w:val="16"/>
                <w:szCs w:val="16"/>
                <w:lang w:val="en-AU"/>
              </w:rPr>
            </w:pPr>
            <w:r w:rsidRPr="00AF438D">
              <w:rPr>
                <w:rFonts w:cs="Arial"/>
                <w:sz w:val="16"/>
                <w:szCs w:val="16"/>
                <w:lang w:val="en-AU"/>
              </w:rPr>
              <w:t>Supplementation with calcium and phosphorus when further increase cannot be made in diet alone: Calcium starting dose 20 mg/kg/day; maximum dose 70 to 100 mg/kg/day. Phosphate starting dose 10-20 mg/kg/day; maximum dose 40 to 50 mg/kg/day.[5]</w:t>
            </w:r>
          </w:p>
          <w:p w:rsidRPr="00AF438D" w:rsidR="003612B9" w:rsidP="009E664B" w:rsidRDefault="003612B9" w14:paraId="7C6D07A3" w14:textId="77777777">
            <w:pPr>
              <w:pStyle w:val="BodyText"/>
              <w:tabs>
                <w:tab w:val="left" w:pos="1168"/>
              </w:tabs>
              <w:rPr>
                <w:rFonts w:cs="Arial"/>
                <w:sz w:val="16"/>
                <w:szCs w:val="16"/>
                <w:lang w:val="en-AU"/>
              </w:rPr>
            </w:pPr>
          </w:p>
          <w:p w:rsidRPr="00AF438D" w:rsidR="003612B9" w:rsidP="009E664B" w:rsidRDefault="003612B9" w14:paraId="7DCAE349" w14:textId="77777777">
            <w:pPr>
              <w:pStyle w:val="BodyText"/>
              <w:tabs>
                <w:tab w:val="left" w:pos="1168"/>
              </w:tabs>
              <w:rPr>
                <w:rFonts w:cs="Arial"/>
                <w:b/>
                <w:sz w:val="16"/>
                <w:szCs w:val="16"/>
                <w:lang w:val="en-AU"/>
              </w:rPr>
            </w:pPr>
            <w:r w:rsidRPr="00AF438D">
              <w:rPr>
                <w:rFonts w:cs="Arial"/>
                <w:b/>
                <w:sz w:val="16"/>
                <w:szCs w:val="16"/>
                <w:lang w:val="en-AU"/>
              </w:rPr>
              <w:t>Hypocalcaemia:</w:t>
            </w:r>
          </w:p>
          <w:p w:rsidRPr="00AF438D" w:rsidR="003612B9" w:rsidP="009E664B" w:rsidRDefault="003612B9" w14:paraId="6B7E5716" w14:textId="77777777">
            <w:pPr>
              <w:pStyle w:val="BodyText"/>
              <w:tabs>
                <w:tab w:val="left" w:pos="1168"/>
              </w:tabs>
              <w:rPr>
                <w:rFonts w:cs="Arial"/>
                <w:sz w:val="16"/>
                <w:szCs w:val="16"/>
                <w:lang w:val="en-AU"/>
              </w:rPr>
            </w:pPr>
            <w:r w:rsidRPr="00AF438D">
              <w:rPr>
                <w:rFonts w:cs="Arial"/>
                <w:sz w:val="16"/>
                <w:szCs w:val="16"/>
                <w:lang w:val="en-AU"/>
              </w:rPr>
              <w:t>Hypocalcaemia may be defined as a serum total calcium concentration &lt;1.875 mmol/L (7.5 mg/dL) or ionized calcium &lt; 1.2 mmol/L.[1] Calcium concentrations decrease transiently after birth.[14-16] Early neonatal hypocalcaemia occurs within the first 3 days of life and is common in premature infants with 26% to 50% having levels &lt; 1.75 mmol/L (7 mg/dL).[14-16] Most infants will be asymptomatic, with hypocalcaemia detected only on routine chemistries. They may present with symptoms of neuromuscular irritability including tremulousness, tetany, exaggerated startle response, seizures and laryngospasm, and nonspecific symptoms such as apnea.[1, 15]</w:t>
            </w:r>
          </w:p>
          <w:p w:rsidRPr="00AF438D" w:rsidR="003612B9" w:rsidP="009E664B" w:rsidRDefault="003612B9" w14:paraId="68DFD2A9" w14:textId="77777777">
            <w:pPr>
              <w:pStyle w:val="BodyText"/>
              <w:tabs>
                <w:tab w:val="left" w:pos="1168"/>
              </w:tabs>
              <w:rPr>
                <w:rFonts w:cs="Arial"/>
                <w:sz w:val="16"/>
                <w:szCs w:val="16"/>
                <w:lang w:val="en-AU"/>
              </w:rPr>
            </w:pPr>
            <w:r w:rsidRPr="00AF438D">
              <w:rPr>
                <w:rFonts w:cs="Arial"/>
                <w:sz w:val="16"/>
                <w:szCs w:val="16"/>
                <w:lang w:val="en-AU"/>
              </w:rPr>
              <w:t xml:space="preserve">Treatment of hypocalcaemia: In normocalcaemic infants, a randomised trial of calcium chloride 10% (2.5 mg/kg) vs calcium gluconate 10% (7.5 mg/kg) reported an equal effect on calcium concentrations.[17] However, in 49 critically ill, hypocalcaemic infants (age 1 day to 17 years), calcium chloride 0.136 mEq/kg per dose resulted in a greater </w:t>
            </w:r>
            <w:r w:rsidRPr="00AF438D">
              <w:rPr>
                <w:rFonts w:cs="Arial"/>
                <w:sz w:val="16"/>
                <w:szCs w:val="16"/>
                <w:lang w:val="en-AU"/>
              </w:rPr>
              <w:lastRenderedPageBreak/>
              <w:t>increase in ionised calcium and blood pressure than calcium gluconate 0.136 mEq/kg per dose. The group receiving calcium chloride had an increase in MAP of nearly 6 mm Hg (p &lt;0.05). No change in blood pressure was seen in the group receiving calcium gluconate.[18] In 104 newborns with late symptomatic hypocalcaemia after artificial feeding with a full-cream evaporated milk were randomly allocated to calcium gluconate 10% 10 ml orally vs phenobarbitone 75 mg 6-hourly orally for 48 hours vs magnesium sulphate 50% 0.2 mL/kg intramuscularly on two occasions 12 hourly. The plasma calcium levels rose in all groups, but infants treated with magnesium sulphate had higher plasma-calcium concentrations after 48 hours’ treatment and fewer convulsions during and after the treatment period.[19] Recommendation: Treatment of newborns with acute or symptomatic hypocalcaemia is accomplished best by the intravenous infusion of calcium salts - 10% calcium gluconate (9.3 mg/mL of elemental calcium) is used most commonly. In asymptomatic newborns, treatment is indicated when the total serum calcium concentration &lt; 1.5 mmol/L (6 mg/dL) in the preterm infant and less than &lt;1.75 mmol/L (7 mg/dL) in the term infant. Calcium supplementation can be given either by the intravenous or oral route, depending on the clinical status of the infant. [1] [Expert opinion].</w:t>
            </w:r>
          </w:p>
          <w:p w:rsidRPr="00AF438D" w:rsidR="003612B9" w:rsidP="009E664B" w:rsidRDefault="003612B9" w14:paraId="6DA19E58" w14:textId="77777777">
            <w:pPr>
              <w:pStyle w:val="BodyText"/>
              <w:tabs>
                <w:tab w:val="left" w:pos="1168"/>
              </w:tabs>
              <w:rPr>
                <w:rFonts w:cs="Arial"/>
                <w:sz w:val="16"/>
                <w:szCs w:val="16"/>
                <w:lang w:val="en-AU"/>
              </w:rPr>
            </w:pPr>
          </w:p>
          <w:p w:rsidRPr="00AF438D" w:rsidR="003612B9" w:rsidP="009E664B" w:rsidRDefault="003612B9" w14:paraId="6C4486F5" w14:textId="77777777">
            <w:pPr>
              <w:pStyle w:val="BodyText"/>
              <w:tabs>
                <w:tab w:val="left" w:pos="1168"/>
              </w:tabs>
              <w:rPr>
                <w:rFonts w:cs="Arial"/>
                <w:b/>
                <w:sz w:val="16"/>
                <w:szCs w:val="16"/>
                <w:lang w:val="en-AU"/>
              </w:rPr>
            </w:pPr>
            <w:r w:rsidRPr="00AF438D">
              <w:rPr>
                <w:rFonts w:cs="Arial"/>
                <w:b/>
                <w:sz w:val="16"/>
                <w:szCs w:val="16"/>
                <w:lang w:val="en-AU"/>
              </w:rPr>
              <w:t xml:space="preserve">Safety: </w:t>
            </w:r>
          </w:p>
          <w:p w:rsidRPr="00AF438D" w:rsidR="003612B9" w:rsidP="009E664B" w:rsidRDefault="003612B9" w14:paraId="1BFA61E9" w14:textId="77777777">
            <w:pPr>
              <w:pStyle w:val="BodyText"/>
              <w:tabs>
                <w:tab w:val="left" w:pos="1168"/>
              </w:tabs>
              <w:rPr>
                <w:rFonts w:cs="Arial"/>
                <w:sz w:val="16"/>
                <w:szCs w:val="16"/>
                <w:lang w:val="en-AU"/>
              </w:rPr>
            </w:pPr>
            <w:r w:rsidRPr="00AF438D">
              <w:rPr>
                <w:rFonts w:cs="Arial"/>
                <w:sz w:val="16"/>
                <w:szCs w:val="16"/>
                <w:lang w:val="en-AU"/>
              </w:rPr>
              <w:t>Excessive mineral intake (calcium 5 mmol/kg/day) may contribute to nephrocalcinosis.[7]</w:t>
            </w:r>
          </w:p>
          <w:p w:rsidRPr="00AF438D" w:rsidR="003612B9" w:rsidP="009E664B" w:rsidRDefault="003612B9" w14:paraId="6F8AF9B0" w14:textId="77777777">
            <w:pPr>
              <w:pStyle w:val="BodyText"/>
              <w:tabs>
                <w:tab w:val="left" w:pos="1168"/>
              </w:tabs>
              <w:rPr>
                <w:rFonts w:cs="Arial"/>
                <w:sz w:val="16"/>
                <w:szCs w:val="16"/>
                <w:lang w:val="en-AU"/>
              </w:rPr>
            </w:pPr>
            <w:r w:rsidRPr="00AF438D">
              <w:rPr>
                <w:rFonts w:cs="Arial"/>
                <w:sz w:val="16"/>
                <w:szCs w:val="16"/>
                <w:lang w:val="en-AU"/>
              </w:rPr>
              <w:t>Calcium gluconate solution in glass containers contains almost 200 times more aluminium than calcium gluconate in plastic containers, due to the solution leaching aluminium from the glass. The Paediatric Medicines Expert Advisory Group recommended that these products should no longer be used for repeated or prolonged treatment of children or those with impaired renal function. [20]</w:t>
            </w:r>
          </w:p>
          <w:p w:rsidRPr="00AF438D" w:rsidR="003612B9" w:rsidP="009E664B" w:rsidRDefault="003612B9" w14:paraId="4199D12B" w14:textId="77777777">
            <w:pPr>
              <w:pStyle w:val="BodyText"/>
              <w:tabs>
                <w:tab w:val="left" w:pos="1168"/>
              </w:tabs>
              <w:rPr>
                <w:rFonts w:cs="Arial"/>
                <w:sz w:val="16"/>
                <w:szCs w:val="16"/>
                <w:lang w:val="en-AU"/>
              </w:rPr>
            </w:pPr>
            <w:r w:rsidRPr="00AF438D">
              <w:rPr>
                <w:rFonts w:cs="Arial"/>
                <w:sz w:val="16"/>
                <w:szCs w:val="16"/>
                <w:lang w:val="en-AU"/>
              </w:rPr>
              <w:t>Calcium can slow the heart rate and precipitate arrhythmias. Do not give calcium solutions and sodium bicarbonate simultaneously by the same route to avoid precipitation.[21]</w:t>
            </w:r>
          </w:p>
        </w:tc>
      </w:tr>
      <w:tr w:rsidRPr="003A7895" w:rsidR="00273A16" w:rsidTr="77BEE3D0" w14:paraId="5178D6F0" w14:textId="77777777">
        <w:trPr>
          <w:trHeight w:val="108"/>
        </w:trPr>
        <w:tc>
          <w:tcPr>
            <w:tcW w:w="2410" w:type="dxa"/>
          </w:tcPr>
          <w:p w:rsidRPr="00B53E9B" w:rsidR="003612B9" w:rsidP="009E664B" w:rsidRDefault="003612B9" w14:paraId="4F464DAD" w14:textId="77777777">
            <w:pPr>
              <w:pStyle w:val="BodyText"/>
              <w:rPr>
                <w:rFonts w:cs="Arial"/>
                <w:b/>
                <w:bCs/>
                <w:sz w:val="20"/>
                <w:lang w:val="en-AU"/>
              </w:rPr>
            </w:pPr>
            <w:r w:rsidRPr="00B53E9B">
              <w:rPr>
                <w:rFonts w:cs="Arial"/>
                <w:b/>
                <w:bCs/>
                <w:sz w:val="20"/>
                <w:lang w:val="en-AU"/>
              </w:rPr>
              <w:lastRenderedPageBreak/>
              <w:t>Practice points</w:t>
            </w:r>
          </w:p>
        </w:tc>
        <w:tc>
          <w:tcPr>
            <w:tcW w:w="7684" w:type="dxa"/>
          </w:tcPr>
          <w:p w:rsidR="00B15A79" w:rsidP="00B15A79" w:rsidRDefault="00B15A79" w14:paraId="1EFA505A" w14:textId="70639EC1">
            <w:r>
              <w:t xml:space="preserve">Do not give </w:t>
            </w:r>
            <w:r w:rsidR="51CFBA02">
              <w:t>Ca</w:t>
            </w:r>
            <w:r w:rsidR="450569B1">
              <w:t>lcium</w:t>
            </w:r>
            <w:r>
              <w:t xml:space="preserve"> and </w:t>
            </w:r>
            <w:r w:rsidR="51CFBA02">
              <w:t>P</w:t>
            </w:r>
            <w:r w:rsidR="7BDB882F">
              <w:t>hosphate</w:t>
            </w:r>
            <w:r>
              <w:t xml:space="preserve"> supplements at the same time</w:t>
            </w:r>
          </w:p>
          <w:p w:rsidR="00B15A79" w:rsidP="00B15A79" w:rsidRDefault="00B15A79" w14:paraId="03E94379" w14:textId="1891DACD">
            <w:r>
              <w:t xml:space="preserve">Do not give </w:t>
            </w:r>
            <w:r w:rsidR="51CFBA02">
              <w:t>Ca</w:t>
            </w:r>
            <w:r w:rsidR="132D4CD0">
              <w:t>lcium</w:t>
            </w:r>
            <w:r>
              <w:t xml:space="preserve"> and </w:t>
            </w:r>
            <w:r w:rsidR="51CFBA02">
              <w:t>P</w:t>
            </w:r>
            <w:r w:rsidR="4B711C30">
              <w:t>hosphate</w:t>
            </w:r>
            <w:r>
              <w:t xml:space="preserve"> supplements with feeds</w:t>
            </w:r>
          </w:p>
          <w:p w:rsidRPr="00026F20" w:rsidR="003612B9" w:rsidP="009E664B" w:rsidRDefault="003612B9" w14:paraId="571EBE56" w14:textId="77777777">
            <w:pPr>
              <w:pStyle w:val="BodyText"/>
              <w:tabs>
                <w:tab w:val="left" w:pos="1168"/>
              </w:tabs>
              <w:rPr>
                <w:rFonts w:cs="Arial"/>
                <w:sz w:val="20"/>
                <w:lang w:val="en-AU"/>
              </w:rPr>
            </w:pPr>
          </w:p>
        </w:tc>
      </w:tr>
      <w:tr w:rsidRPr="003A7895" w:rsidR="00273A16" w:rsidTr="77BEE3D0" w14:paraId="2C22634B" w14:textId="77777777">
        <w:trPr>
          <w:trHeight w:val="70"/>
        </w:trPr>
        <w:tc>
          <w:tcPr>
            <w:tcW w:w="2410" w:type="dxa"/>
          </w:tcPr>
          <w:p w:rsidRPr="00B53E9B" w:rsidR="003612B9" w:rsidP="009E664B" w:rsidRDefault="003612B9" w14:paraId="23DA8C08" w14:textId="77777777">
            <w:pPr>
              <w:pStyle w:val="BodyText"/>
              <w:rPr>
                <w:rFonts w:cs="Arial"/>
                <w:b/>
                <w:bCs/>
                <w:sz w:val="20"/>
                <w:lang w:val="en-AU"/>
              </w:rPr>
            </w:pPr>
            <w:r w:rsidRPr="00B53E9B">
              <w:rPr>
                <w:b/>
                <w:sz w:val="20"/>
                <w:lang w:val="en-AU"/>
              </w:rPr>
              <w:t>References</w:t>
            </w:r>
          </w:p>
        </w:tc>
        <w:tc>
          <w:tcPr>
            <w:tcW w:w="7684" w:type="dxa"/>
          </w:tcPr>
          <w:p w:rsidRPr="00AF438D" w:rsidR="003612B9" w:rsidP="001B0E05" w:rsidRDefault="003612B9" w14:paraId="123AD664" w14:textId="77777777">
            <w:pPr>
              <w:pStyle w:val="ListParagraph"/>
              <w:numPr>
                <w:ilvl w:val="0"/>
                <w:numId w:val="91"/>
              </w:numPr>
              <w:rPr>
                <w:sz w:val="16"/>
                <w:szCs w:val="16"/>
                <w:lang w:val="en-US"/>
              </w:rPr>
            </w:pPr>
            <w:r w:rsidRPr="00AF438D">
              <w:rPr>
                <w:sz w:val="16"/>
                <w:szCs w:val="16"/>
                <w:lang w:val="en-US"/>
              </w:rPr>
              <w:t>Hyman SJ, Novoa Y, Holzman I. Perinatal Endocrinology: Common Endocrine Disorders in the Sick and Premature Newborn. Endocrinology and Metabolism Clinics of North America. 2009;38:509-24.</w:t>
            </w:r>
          </w:p>
          <w:p w:rsidRPr="00AF438D" w:rsidR="003612B9" w:rsidP="001B0E05" w:rsidRDefault="003612B9" w14:paraId="763F78BE" w14:textId="77777777">
            <w:pPr>
              <w:pStyle w:val="ListParagraph"/>
              <w:numPr>
                <w:ilvl w:val="0"/>
                <w:numId w:val="91"/>
              </w:numPr>
              <w:rPr>
                <w:sz w:val="16"/>
                <w:szCs w:val="16"/>
                <w:lang w:val="en-US"/>
              </w:rPr>
            </w:pPr>
            <w:r w:rsidRPr="00AF438D">
              <w:rPr>
                <w:sz w:val="16"/>
                <w:szCs w:val="16"/>
                <w:lang w:val="en-US"/>
              </w:rPr>
              <w:t>Nutrient Reference values for Australia and New Zealand. https://www.nrv.gov.au/nutrients/calcium. Accessed on 29 August 2017.</w:t>
            </w:r>
          </w:p>
          <w:p w:rsidRPr="00AF438D" w:rsidR="003612B9" w:rsidP="001B0E05" w:rsidRDefault="003612B9" w14:paraId="7C07F69F" w14:textId="77777777">
            <w:pPr>
              <w:pStyle w:val="ListParagraph"/>
              <w:numPr>
                <w:ilvl w:val="0"/>
                <w:numId w:val="91"/>
              </w:numPr>
              <w:rPr>
                <w:sz w:val="16"/>
                <w:szCs w:val="16"/>
                <w:lang w:val="en-US"/>
              </w:rPr>
            </w:pPr>
            <w:r w:rsidRPr="00AF438D">
              <w:rPr>
                <w:sz w:val="16"/>
                <w:szCs w:val="16"/>
                <w:lang w:val="en-US"/>
              </w:rPr>
              <w:t>Sparks JW. Human intrauterine growth and nutrient accretion. Semin Perinatol. 1984;8:74-93.</w:t>
            </w:r>
          </w:p>
          <w:p w:rsidRPr="00AF438D" w:rsidR="003612B9" w:rsidP="001B0E05" w:rsidRDefault="003612B9" w14:paraId="588D3DA7" w14:textId="77777777">
            <w:pPr>
              <w:pStyle w:val="ListParagraph"/>
              <w:numPr>
                <w:ilvl w:val="0"/>
                <w:numId w:val="91"/>
              </w:numPr>
              <w:rPr>
                <w:sz w:val="16"/>
                <w:szCs w:val="16"/>
                <w:lang w:val="en-US"/>
              </w:rPr>
            </w:pPr>
            <w:r w:rsidRPr="00AF438D">
              <w:rPr>
                <w:sz w:val="16"/>
                <w:szCs w:val="16"/>
                <w:lang w:val="en-US"/>
              </w:rPr>
              <w:t>Widdowson EM, Mc CR, Spray CM. The chemical composition of the human body. Clin Sci. 1951;10:113-25.</w:t>
            </w:r>
          </w:p>
          <w:p w:rsidRPr="00AF438D" w:rsidR="003612B9" w:rsidP="001B0E05" w:rsidRDefault="003612B9" w14:paraId="3D830E4E" w14:textId="77777777">
            <w:pPr>
              <w:pStyle w:val="ListParagraph"/>
              <w:numPr>
                <w:ilvl w:val="0"/>
                <w:numId w:val="91"/>
              </w:numPr>
              <w:rPr>
                <w:sz w:val="16"/>
                <w:szCs w:val="16"/>
                <w:lang w:val="en-US"/>
              </w:rPr>
            </w:pPr>
            <w:r w:rsidRPr="00AF438D">
              <w:rPr>
                <w:sz w:val="16"/>
                <w:szCs w:val="16"/>
                <w:lang w:val="en-US"/>
              </w:rPr>
              <w:t>Rustico SE, Calabria AC, Garber SJ. Metabolic bone disease of prematurity. J Clin Transl Endocrinol. 2014;1:85-91.</w:t>
            </w:r>
          </w:p>
          <w:p w:rsidRPr="00AF438D" w:rsidR="003612B9" w:rsidP="001B0E05" w:rsidRDefault="003612B9" w14:paraId="67C8899F" w14:textId="77777777">
            <w:pPr>
              <w:pStyle w:val="ListParagraph"/>
              <w:numPr>
                <w:ilvl w:val="0"/>
                <w:numId w:val="91"/>
              </w:numPr>
              <w:rPr>
                <w:sz w:val="16"/>
                <w:szCs w:val="16"/>
                <w:lang w:val="en-US"/>
              </w:rPr>
            </w:pPr>
            <w:r w:rsidRPr="00AF438D">
              <w:rPr>
                <w:sz w:val="16"/>
                <w:szCs w:val="16"/>
                <w:lang w:val="en-US"/>
              </w:rPr>
              <w:t>Abrams SA, Committee on N. Calcium and vitamin d requirements of enterally fed preterm infants. Pediatrics. 2013;131:e1676-83.</w:t>
            </w:r>
          </w:p>
          <w:p w:rsidRPr="00AF438D" w:rsidR="003612B9" w:rsidP="001B0E05" w:rsidRDefault="003612B9" w14:paraId="135476F3" w14:textId="77777777">
            <w:pPr>
              <w:pStyle w:val="ListParagraph"/>
              <w:numPr>
                <w:ilvl w:val="0"/>
                <w:numId w:val="91"/>
              </w:numPr>
              <w:rPr>
                <w:sz w:val="16"/>
                <w:szCs w:val="16"/>
                <w:lang w:val="en-US"/>
              </w:rPr>
            </w:pPr>
            <w:r w:rsidRPr="00AF438D">
              <w:rPr>
                <w:sz w:val="16"/>
                <w:szCs w:val="16"/>
                <w:lang w:val="en-US"/>
              </w:rPr>
              <w:t>Kreuder J, Otten A, Reiter H, Klingmüller V, Wolf H. Efficacy and side effects of differential calcium and phosphate administration in prevention of osteopenia in premature infants. Monatsschrift Kinderheilkunde [serial on the Internet]. 1990; 138(11): Available from: http://onlinelibrary.wiley.com/o/cochrane/clcentral/articles/567/CN-00337567/frame.html.</w:t>
            </w:r>
          </w:p>
          <w:p w:rsidRPr="00AF438D" w:rsidR="003612B9" w:rsidP="001B0E05" w:rsidRDefault="003612B9" w14:paraId="2A64081E" w14:textId="77777777">
            <w:pPr>
              <w:pStyle w:val="ListParagraph"/>
              <w:numPr>
                <w:ilvl w:val="0"/>
                <w:numId w:val="91"/>
              </w:numPr>
              <w:rPr>
                <w:sz w:val="16"/>
                <w:szCs w:val="16"/>
                <w:lang w:val="en-US"/>
              </w:rPr>
            </w:pPr>
            <w:r w:rsidRPr="00AF438D">
              <w:rPr>
                <w:sz w:val="16"/>
                <w:szCs w:val="16"/>
                <w:lang w:val="en-US"/>
              </w:rPr>
              <w:t>Harding JE, Wilson J, Brown J. Calcium and phosphorus supplementation of human milk for preterm infants. Cochrane Database Syst Rev. 2017;2:CD003310.</w:t>
            </w:r>
          </w:p>
          <w:p w:rsidRPr="00AF438D" w:rsidR="003612B9" w:rsidP="001B0E05" w:rsidRDefault="003612B9" w14:paraId="5A983772" w14:textId="77777777">
            <w:pPr>
              <w:pStyle w:val="ListParagraph"/>
              <w:numPr>
                <w:ilvl w:val="0"/>
                <w:numId w:val="91"/>
              </w:numPr>
              <w:rPr>
                <w:sz w:val="16"/>
                <w:szCs w:val="16"/>
                <w:lang w:val="en-US"/>
              </w:rPr>
            </w:pPr>
            <w:r w:rsidRPr="00AF438D">
              <w:rPr>
                <w:sz w:val="16"/>
                <w:szCs w:val="16"/>
                <w:lang w:val="en-US"/>
              </w:rPr>
              <w:t>Torabi Z, Moemeni N, Ahmadiafshar A, Mazloomzadeh S. The effect of calcium and phosphorus supplemtation on metabolic bone disorders in premature infants. Journal of the Pakistan Medical Association. 2014;64:635-9.</w:t>
            </w:r>
          </w:p>
          <w:p w:rsidRPr="00AF438D" w:rsidR="003612B9" w:rsidP="001B0E05" w:rsidRDefault="003612B9" w14:paraId="1C93F45F" w14:textId="77777777">
            <w:pPr>
              <w:pStyle w:val="ListParagraph"/>
              <w:numPr>
                <w:ilvl w:val="0"/>
                <w:numId w:val="91"/>
              </w:numPr>
              <w:rPr>
                <w:sz w:val="16"/>
                <w:szCs w:val="16"/>
                <w:lang w:val="en-US"/>
              </w:rPr>
            </w:pPr>
            <w:r w:rsidRPr="00AF438D">
              <w:rPr>
                <w:sz w:val="16"/>
                <w:szCs w:val="16"/>
                <w:lang w:val="en-US"/>
              </w:rPr>
              <w:t>Brown JV, Embleton ND, Harding JE, McGuire W. Multi-nutrient fortification of human milk for preterm infants. Cochrane Database of Systematic Reviews [serial on the Internet]. 2016; (5): Available from: http://cochranelibrary-wiley.com/doi/10.1002/14651858.CD000343.pub3/abstract.</w:t>
            </w:r>
          </w:p>
          <w:p w:rsidRPr="00AF438D" w:rsidR="003612B9" w:rsidP="001B0E05" w:rsidRDefault="003612B9" w14:paraId="73129FD3" w14:textId="77777777">
            <w:pPr>
              <w:pStyle w:val="ListParagraph"/>
              <w:numPr>
                <w:ilvl w:val="0"/>
                <w:numId w:val="91"/>
              </w:numPr>
              <w:rPr>
                <w:sz w:val="16"/>
                <w:szCs w:val="16"/>
                <w:lang w:val="en-US"/>
              </w:rPr>
            </w:pPr>
            <w:r w:rsidRPr="00AF438D">
              <w:rPr>
                <w:sz w:val="16"/>
                <w:szCs w:val="16"/>
                <w:lang w:val="en-US"/>
              </w:rPr>
              <w:t>Pohlandt F, Mihatsch WA. Reference values for urinary calcium and phosphorus to prevent osteopenia of prematurity. Pediatr Nephrol. 2004;19:1192-3.</w:t>
            </w:r>
          </w:p>
          <w:p w:rsidRPr="00AF438D" w:rsidR="003612B9" w:rsidP="001B0E05" w:rsidRDefault="003612B9" w14:paraId="2C8A4E26" w14:textId="77777777">
            <w:pPr>
              <w:pStyle w:val="ListParagraph"/>
              <w:numPr>
                <w:ilvl w:val="0"/>
                <w:numId w:val="91"/>
              </w:numPr>
              <w:rPr>
                <w:sz w:val="16"/>
                <w:szCs w:val="16"/>
                <w:lang w:val="en-US"/>
              </w:rPr>
            </w:pPr>
            <w:r w:rsidRPr="00AF438D">
              <w:rPr>
                <w:sz w:val="16"/>
                <w:szCs w:val="16"/>
                <w:lang w:val="en-US"/>
              </w:rPr>
              <w:t>Demarini S. Calcium and phosphorus nutrition in preterm infants. Acta Paediatr Suppl. 2005;94:87-92.</w:t>
            </w:r>
          </w:p>
          <w:p w:rsidRPr="00AF438D" w:rsidR="003612B9" w:rsidP="001B0E05" w:rsidRDefault="003612B9" w14:paraId="50E4E23E" w14:textId="77777777">
            <w:pPr>
              <w:pStyle w:val="ListParagraph"/>
              <w:numPr>
                <w:ilvl w:val="0"/>
                <w:numId w:val="91"/>
              </w:numPr>
              <w:rPr>
                <w:sz w:val="16"/>
                <w:szCs w:val="16"/>
                <w:lang w:val="en-US"/>
              </w:rPr>
            </w:pPr>
            <w:r w:rsidRPr="00AF438D">
              <w:rPr>
                <w:sz w:val="16"/>
                <w:szCs w:val="16"/>
                <w:lang w:val="en-US"/>
              </w:rPr>
              <w:t>Pohlandt F. Prevention of postnatal bone demineralization in very low-birth-weight infants by individually monitored supplementation with calcium and phosphorus. Pediatr Res. 1994;35:125-9.</w:t>
            </w:r>
          </w:p>
          <w:p w:rsidRPr="00AF438D" w:rsidR="003612B9" w:rsidP="001B0E05" w:rsidRDefault="003612B9" w14:paraId="77C84793" w14:textId="77777777">
            <w:pPr>
              <w:pStyle w:val="ListParagraph"/>
              <w:numPr>
                <w:ilvl w:val="0"/>
                <w:numId w:val="91"/>
              </w:numPr>
              <w:rPr>
                <w:sz w:val="16"/>
                <w:szCs w:val="16"/>
                <w:lang w:val="en-US"/>
              </w:rPr>
            </w:pPr>
            <w:r w:rsidRPr="00AF438D">
              <w:rPr>
                <w:sz w:val="16"/>
                <w:szCs w:val="16"/>
                <w:lang w:val="en-US"/>
              </w:rPr>
              <w:t>Altirkawi K, Rozycki HJ. Hypocalcemia is common in the first 48 h of life in ELBW infants. Journal of Perinatal Medicine. 2008;36:348-53.</w:t>
            </w:r>
          </w:p>
          <w:p w:rsidRPr="00AF438D" w:rsidR="003612B9" w:rsidP="001B0E05" w:rsidRDefault="003612B9" w14:paraId="596ED78C" w14:textId="77777777">
            <w:pPr>
              <w:pStyle w:val="ListParagraph"/>
              <w:numPr>
                <w:ilvl w:val="0"/>
                <w:numId w:val="91"/>
              </w:numPr>
              <w:rPr>
                <w:sz w:val="16"/>
                <w:szCs w:val="16"/>
                <w:lang w:val="en-US"/>
              </w:rPr>
            </w:pPr>
            <w:r w:rsidRPr="00AF438D">
              <w:rPr>
                <w:sz w:val="16"/>
                <w:szCs w:val="16"/>
                <w:lang w:val="en-US"/>
              </w:rPr>
              <w:t>Rosli A, Fanconi A. Neonatal hypocalcaemia. 'Early type' in low birth weight newborns. Helvetica Paediatrica Acta. 1973;28:443-57.</w:t>
            </w:r>
          </w:p>
          <w:p w:rsidRPr="00AF438D" w:rsidR="003612B9" w:rsidP="001B0E05" w:rsidRDefault="003612B9" w14:paraId="0C500D86" w14:textId="77777777">
            <w:pPr>
              <w:pStyle w:val="ListParagraph"/>
              <w:numPr>
                <w:ilvl w:val="0"/>
                <w:numId w:val="91"/>
              </w:numPr>
              <w:rPr>
                <w:sz w:val="16"/>
                <w:szCs w:val="16"/>
                <w:lang w:val="en-US"/>
              </w:rPr>
            </w:pPr>
            <w:r w:rsidRPr="00AF438D">
              <w:rPr>
                <w:sz w:val="16"/>
                <w:szCs w:val="16"/>
                <w:lang w:val="en-US"/>
              </w:rPr>
              <w:t>Tsang RC, Oh W. Neonatal hypocalcemia in low birth weight infants. Pediatrics. 1970;45:773-81.</w:t>
            </w:r>
          </w:p>
          <w:p w:rsidRPr="00AF438D" w:rsidR="003612B9" w:rsidP="001B0E05" w:rsidRDefault="003612B9" w14:paraId="76238439" w14:textId="77777777">
            <w:pPr>
              <w:pStyle w:val="ListParagraph"/>
              <w:numPr>
                <w:ilvl w:val="0"/>
                <w:numId w:val="91"/>
              </w:numPr>
              <w:rPr>
                <w:sz w:val="16"/>
                <w:szCs w:val="16"/>
                <w:lang w:val="en-US"/>
              </w:rPr>
            </w:pPr>
            <w:r w:rsidRPr="00AF438D">
              <w:rPr>
                <w:sz w:val="16"/>
                <w:szCs w:val="16"/>
                <w:lang w:val="en-US"/>
              </w:rPr>
              <w:t>Cote CJ, Drop LJ, Daniels AL, Hoaglin DC. Calcium chloride versus calcium gluconate: comparison of ionization and cardiovascular effects in children and dogs. Anesthesiology. 1987;66:465-70.</w:t>
            </w:r>
          </w:p>
          <w:p w:rsidRPr="00AF438D" w:rsidR="003612B9" w:rsidP="001B0E05" w:rsidRDefault="003612B9" w14:paraId="4B9487E6" w14:textId="77777777">
            <w:pPr>
              <w:pStyle w:val="ListParagraph"/>
              <w:numPr>
                <w:ilvl w:val="0"/>
                <w:numId w:val="91"/>
              </w:numPr>
              <w:rPr>
                <w:sz w:val="16"/>
                <w:szCs w:val="16"/>
                <w:lang w:val="en-US"/>
              </w:rPr>
            </w:pPr>
            <w:r w:rsidRPr="00AF438D">
              <w:rPr>
                <w:sz w:val="16"/>
                <w:szCs w:val="16"/>
                <w:lang w:val="en-US"/>
              </w:rPr>
              <w:t>Broner CW, Stidham GL, Westenkirchner DF, Watson DC. A prospective study, randomized, double-blind comparison of calcium chloride and calcium gluconate therapies for hypocalcemia in critically ill children. Journal of Pediatrics. 1990;117:986-9.</w:t>
            </w:r>
          </w:p>
          <w:p w:rsidRPr="00AF438D" w:rsidR="003612B9" w:rsidP="001B0E05" w:rsidRDefault="003612B9" w14:paraId="1C2E72E0" w14:textId="77777777">
            <w:pPr>
              <w:pStyle w:val="ListParagraph"/>
              <w:numPr>
                <w:ilvl w:val="0"/>
                <w:numId w:val="91"/>
              </w:numPr>
              <w:rPr>
                <w:sz w:val="16"/>
                <w:szCs w:val="16"/>
                <w:lang w:val="en-US"/>
              </w:rPr>
            </w:pPr>
            <w:r w:rsidRPr="00AF438D">
              <w:rPr>
                <w:sz w:val="16"/>
                <w:szCs w:val="16"/>
                <w:lang w:val="en-US"/>
              </w:rPr>
              <w:t>Turner TL, Cockburn F, Forfar JO. Magnesium therapy in neonatal tetany. Lancet. 1977;1:283-4.</w:t>
            </w:r>
          </w:p>
          <w:p w:rsidRPr="00AF438D" w:rsidR="003612B9" w:rsidP="001B0E05" w:rsidRDefault="003612B9" w14:paraId="3CF9B991" w14:textId="77777777">
            <w:pPr>
              <w:pStyle w:val="ListParagraph"/>
              <w:numPr>
                <w:ilvl w:val="0"/>
                <w:numId w:val="91"/>
              </w:numPr>
              <w:rPr>
                <w:sz w:val="16"/>
                <w:szCs w:val="16"/>
                <w:lang w:val="en-US"/>
              </w:rPr>
            </w:pPr>
            <w:r w:rsidRPr="00AF438D">
              <w:rPr>
                <w:sz w:val="16"/>
                <w:szCs w:val="16"/>
                <w:lang w:val="en-US"/>
              </w:rPr>
              <w:t>Medicines and Healthcare products Regulatory Agency (MHRA) report. Calcium gluconate 10% in 10 mL glass containers: risk of aluminium exposure. http://www.mhra.gov.uk/safety-public-assessment-reports/CON105682. 2010.</w:t>
            </w:r>
          </w:p>
          <w:p w:rsidRPr="00AF438D" w:rsidR="003612B9" w:rsidP="001B0E05" w:rsidRDefault="003612B9" w14:paraId="5350C05F" w14:textId="77777777">
            <w:pPr>
              <w:pStyle w:val="ListParagraph"/>
              <w:numPr>
                <w:ilvl w:val="0"/>
                <w:numId w:val="91"/>
              </w:numPr>
              <w:rPr>
                <w:sz w:val="16"/>
                <w:szCs w:val="16"/>
                <w:lang w:val="en-US"/>
              </w:rPr>
            </w:pPr>
            <w:r w:rsidRPr="00AF438D">
              <w:rPr>
                <w:sz w:val="16"/>
                <w:szCs w:val="16"/>
                <w:lang w:val="en-US"/>
              </w:rPr>
              <w:lastRenderedPageBreak/>
              <w:t>Soar J, Nolan JP, Bottiger BW, Perkins GD, Lott C, Carli P, Pellis T, Sandroni C, Skrifvars MB, Smith GB, Sunde K, Deakin CD, Adult advanced life support section C. European Resuscitation Council Guidelines for Resuscitation 2015: Section 3. Adult advanced life support. Resuscitation. 2015;95:100-47.</w:t>
            </w:r>
          </w:p>
          <w:p w:rsidRPr="00AF438D" w:rsidR="003612B9" w:rsidP="001B0E05" w:rsidRDefault="003612B9" w14:paraId="5BF0EE67" w14:textId="77777777">
            <w:pPr>
              <w:pStyle w:val="ListParagraph"/>
              <w:numPr>
                <w:ilvl w:val="0"/>
                <w:numId w:val="91"/>
              </w:numPr>
              <w:rPr>
                <w:sz w:val="16"/>
                <w:szCs w:val="16"/>
                <w:lang w:val="en-US"/>
              </w:rPr>
            </w:pPr>
            <w:r w:rsidRPr="00AF438D">
              <w:rPr>
                <w:sz w:val="16"/>
                <w:szCs w:val="16"/>
                <w:lang w:val="en-US"/>
              </w:rPr>
              <w:t xml:space="preserve">Calcium chloride – Micromedex. Accessed online 24/3/2016. </w:t>
            </w:r>
          </w:p>
          <w:p w:rsidRPr="00AF438D" w:rsidR="003612B9" w:rsidP="001B0E05" w:rsidRDefault="003612B9" w14:paraId="44F6C2DB" w14:textId="77777777">
            <w:pPr>
              <w:pStyle w:val="ListParagraph"/>
              <w:numPr>
                <w:ilvl w:val="0"/>
                <w:numId w:val="91"/>
              </w:numPr>
              <w:rPr>
                <w:sz w:val="16"/>
                <w:szCs w:val="16"/>
                <w:lang w:val="en-US"/>
              </w:rPr>
            </w:pPr>
            <w:r w:rsidRPr="00AF438D">
              <w:rPr>
                <w:sz w:val="16"/>
                <w:szCs w:val="16"/>
                <w:lang w:val="en-US"/>
              </w:rPr>
              <w:t>Calcium gluconate – Micromedex. Accessed online 24/3/2016.</w:t>
            </w:r>
          </w:p>
          <w:p w:rsidRPr="00AF438D" w:rsidR="003612B9" w:rsidP="001B0E05" w:rsidRDefault="003612B9" w14:paraId="499E1271" w14:textId="77777777">
            <w:pPr>
              <w:pStyle w:val="ListParagraph"/>
              <w:numPr>
                <w:ilvl w:val="0"/>
                <w:numId w:val="91"/>
              </w:numPr>
              <w:rPr>
                <w:sz w:val="16"/>
                <w:szCs w:val="16"/>
                <w:lang w:val="en-US"/>
              </w:rPr>
            </w:pPr>
            <w:r w:rsidRPr="00AF438D">
              <w:rPr>
                <w:sz w:val="16"/>
                <w:szCs w:val="16"/>
                <w:lang w:val="en-US"/>
              </w:rPr>
              <w:t>Australian Injectable Drugs Handbook, 6th Edition, Society of Hospital Pharmacists of Australia 2014. Accessed on 24/3/2016.</w:t>
            </w:r>
          </w:p>
          <w:p w:rsidRPr="00AF438D" w:rsidR="003612B9" w:rsidP="001B0E05" w:rsidRDefault="003612B9" w14:paraId="50364C72" w14:textId="77777777">
            <w:pPr>
              <w:pStyle w:val="ListParagraph"/>
              <w:numPr>
                <w:ilvl w:val="0"/>
                <w:numId w:val="91"/>
              </w:numPr>
              <w:rPr>
                <w:sz w:val="16"/>
                <w:szCs w:val="16"/>
              </w:rPr>
            </w:pPr>
            <w:r w:rsidRPr="00AF438D">
              <w:rPr>
                <w:sz w:val="16"/>
                <w:szCs w:val="16"/>
              </w:rPr>
              <w:t xml:space="preserve">Calcium equivalents. </w:t>
            </w:r>
            <w:hyperlink w:history="1" r:id="rId19">
              <w:r w:rsidRPr="00AF438D">
                <w:rPr>
                  <w:rStyle w:val="Hyperlink"/>
                  <w:sz w:val="16"/>
                  <w:szCs w:val="16"/>
                </w:rPr>
                <w:t>http://www-users.med.cornell.edu/~spon/picu/calc/cacalc.htm</w:t>
              </w:r>
            </w:hyperlink>
            <w:r w:rsidRPr="00AF438D">
              <w:rPr>
                <w:sz w:val="16"/>
                <w:szCs w:val="16"/>
              </w:rPr>
              <w:t>. Accessed on 7 06 2016</w:t>
            </w:r>
          </w:p>
          <w:p w:rsidRPr="00AF438D" w:rsidR="003612B9" w:rsidP="001B0E05" w:rsidRDefault="003612B9" w14:paraId="4E1F919F" w14:textId="77777777">
            <w:pPr>
              <w:pStyle w:val="ListParagraph"/>
              <w:numPr>
                <w:ilvl w:val="0"/>
                <w:numId w:val="91"/>
              </w:numPr>
              <w:rPr>
                <w:sz w:val="16"/>
                <w:szCs w:val="16"/>
              </w:rPr>
            </w:pPr>
            <w:r w:rsidRPr="00AF438D">
              <w:rPr>
                <w:sz w:val="16"/>
                <w:szCs w:val="16"/>
              </w:rPr>
              <w:t>MIMS online. Accessed on 14 January 2020.</w:t>
            </w:r>
          </w:p>
        </w:tc>
      </w:tr>
    </w:tbl>
    <w:p w:rsidR="003612B9" w:rsidRDefault="003612B9" w14:paraId="3D9D995E" w14:textId="77777777"/>
    <w:p w:rsidRPr="00E25790" w:rsidR="00D90D90" w:rsidP="006F0321" w:rsidRDefault="00D90D90" w14:paraId="69DB6D72"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53"/>
        <w:gridCol w:w="4536"/>
      </w:tblGrid>
      <w:tr w:rsidRPr="00E51EE4" w:rsidR="00E424B4" w:rsidTr="001A45D6" w14:paraId="1AA9BF12" w14:textId="77777777">
        <w:tc>
          <w:tcPr>
            <w:tcW w:w="4253" w:type="dxa"/>
            <w:vAlign w:val="center"/>
          </w:tcPr>
          <w:p w:rsidRPr="00E51EE4" w:rsidR="00D90D90" w:rsidP="006F0321" w:rsidRDefault="00D90D90" w14:paraId="22028F00" w14:textId="77777777">
            <w:pPr>
              <w:pStyle w:val="Title"/>
              <w:rPr>
                <w:b w:val="0"/>
                <w:bCs/>
                <w:sz w:val="24"/>
                <w:szCs w:val="24"/>
              </w:rPr>
            </w:pPr>
            <w:r w:rsidRPr="00E51EE4">
              <w:rPr>
                <w:b w:val="0"/>
                <w:bCs/>
                <w:sz w:val="24"/>
                <w:szCs w:val="24"/>
              </w:rPr>
              <w:t>Original version Date: 24/8/2016</w:t>
            </w:r>
          </w:p>
        </w:tc>
        <w:tc>
          <w:tcPr>
            <w:tcW w:w="4536" w:type="dxa"/>
            <w:vAlign w:val="center"/>
          </w:tcPr>
          <w:p w:rsidRPr="00E51EE4" w:rsidR="00D90D90" w:rsidP="006F0321" w:rsidRDefault="00D90D90" w14:paraId="5734ABA5" w14:textId="77777777">
            <w:pPr>
              <w:pStyle w:val="Title"/>
              <w:rPr>
                <w:b w:val="0"/>
                <w:bCs/>
                <w:sz w:val="24"/>
                <w:szCs w:val="24"/>
              </w:rPr>
            </w:pPr>
            <w:r w:rsidRPr="00E51EE4">
              <w:rPr>
                <w:b w:val="0"/>
                <w:bCs/>
                <w:sz w:val="24"/>
                <w:szCs w:val="24"/>
              </w:rPr>
              <w:t>Author: NMF Consensus Group</w:t>
            </w:r>
          </w:p>
        </w:tc>
      </w:tr>
      <w:tr w:rsidRPr="00E51EE4" w:rsidR="00E424B4" w:rsidTr="001A45D6" w14:paraId="46E55AD6" w14:textId="77777777">
        <w:tc>
          <w:tcPr>
            <w:tcW w:w="4253" w:type="dxa"/>
            <w:vAlign w:val="center"/>
          </w:tcPr>
          <w:p w:rsidRPr="00E51EE4" w:rsidR="00D90D90" w:rsidP="006F0321" w:rsidRDefault="00D90D90" w14:paraId="7D13DF1E" w14:textId="713A675F">
            <w:pPr>
              <w:pStyle w:val="Title"/>
              <w:rPr>
                <w:b w:val="0"/>
                <w:bCs/>
                <w:sz w:val="24"/>
                <w:szCs w:val="24"/>
              </w:rPr>
            </w:pPr>
            <w:r w:rsidRPr="00E51EE4">
              <w:rPr>
                <w:b w:val="0"/>
                <w:bCs/>
                <w:sz w:val="24"/>
                <w:szCs w:val="24"/>
              </w:rPr>
              <w:t xml:space="preserve">Current Version number:  </w:t>
            </w:r>
            <w:r w:rsidR="00B15A79">
              <w:rPr>
                <w:b w:val="0"/>
                <w:bCs/>
                <w:sz w:val="24"/>
                <w:szCs w:val="24"/>
              </w:rPr>
              <w:t>2</w:t>
            </w:r>
          </w:p>
        </w:tc>
        <w:tc>
          <w:tcPr>
            <w:tcW w:w="4536" w:type="dxa"/>
            <w:vAlign w:val="center"/>
          </w:tcPr>
          <w:p w:rsidRPr="00E51EE4" w:rsidR="00D90D90" w:rsidP="006F0321" w:rsidRDefault="00D90D90" w14:paraId="7E6369F8" w14:textId="31C27B0D">
            <w:pPr>
              <w:pStyle w:val="Title"/>
              <w:rPr>
                <w:b w:val="0"/>
                <w:bCs/>
                <w:sz w:val="24"/>
                <w:szCs w:val="24"/>
              </w:rPr>
            </w:pPr>
            <w:r w:rsidRPr="00E51EE4">
              <w:rPr>
                <w:b w:val="0"/>
                <w:bCs/>
                <w:sz w:val="24"/>
                <w:szCs w:val="24"/>
              </w:rPr>
              <w:t xml:space="preserve">Version Date:  </w:t>
            </w:r>
            <w:r w:rsidR="00B15A79">
              <w:rPr>
                <w:b w:val="0"/>
                <w:bCs/>
                <w:sz w:val="24"/>
                <w:szCs w:val="24"/>
              </w:rPr>
              <w:t>31/12/2020</w:t>
            </w:r>
          </w:p>
        </w:tc>
      </w:tr>
      <w:tr w:rsidRPr="00E51EE4" w:rsidR="00E424B4" w:rsidTr="001A45D6" w14:paraId="346DD134" w14:textId="77777777">
        <w:tc>
          <w:tcPr>
            <w:tcW w:w="4253" w:type="dxa"/>
            <w:vAlign w:val="center"/>
          </w:tcPr>
          <w:p w:rsidRPr="00E51EE4" w:rsidR="00D90D90" w:rsidP="006F0321" w:rsidRDefault="00D90D90" w14:paraId="67DA9470" w14:textId="77777777">
            <w:pPr>
              <w:pStyle w:val="Title"/>
              <w:rPr>
                <w:b w:val="0"/>
                <w:bCs/>
                <w:sz w:val="24"/>
                <w:szCs w:val="24"/>
              </w:rPr>
            </w:pPr>
            <w:r w:rsidRPr="00E51EE4">
              <w:rPr>
                <w:b w:val="0"/>
                <w:bCs/>
                <w:sz w:val="24"/>
                <w:szCs w:val="24"/>
              </w:rPr>
              <w:t>Risk Rating: Medium</w:t>
            </w:r>
          </w:p>
        </w:tc>
        <w:tc>
          <w:tcPr>
            <w:tcW w:w="4536" w:type="dxa"/>
            <w:vAlign w:val="center"/>
          </w:tcPr>
          <w:p w:rsidRPr="00E51EE4" w:rsidR="00D90D90" w:rsidP="006F0321" w:rsidRDefault="00D90D90" w14:paraId="477D7E94" w14:textId="12BBC469">
            <w:pPr>
              <w:pStyle w:val="Title"/>
              <w:rPr>
                <w:b w:val="0"/>
                <w:bCs/>
                <w:sz w:val="24"/>
                <w:szCs w:val="24"/>
              </w:rPr>
            </w:pPr>
            <w:r w:rsidRPr="00E51EE4">
              <w:rPr>
                <w:b w:val="0"/>
                <w:bCs/>
                <w:sz w:val="24"/>
                <w:szCs w:val="24"/>
              </w:rPr>
              <w:t xml:space="preserve">Due for Review: </w:t>
            </w:r>
            <w:r w:rsidR="00B15A79">
              <w:rPr>
                <w:b w:val="0"/>
                <w:bCs/>
                <w:sz w:val="24"/>
                <w:szCs w:val="24"/>
              </w:rPr>
              <w:t>31/12/2025</w:t>
            </w:r>
          </w:p>
        </w:tc>
      </w:tr>
      <w:tr w:rsidRPr="00E51EE4" w:rsidR="00E424B4" w:rsidTr="001A45D6" w14:paraId="7E03616F" w14:textId="77777777">
        <w:trPr>
          <w:trHeight w:val="344"/>
        </w:trPr>
        <w:tc>
          <w:tcPr>
            <w:tcW w:w="4253" w:type="dxa"/>
            <w:tcBorders>
              <w:bottom w:val="single" w:color="auto" w:sz="4" w:space="0"/>
            </w:tcBorders>
            <w:vAlign w:val="center"/>
          </w:tcPr>
          <w:p w:rsidRPr="00E51EE4" w:rsidR="00D90D90" w:rsidP="006F0321" w:rsidRDefault="00D90D90" w14:paraId="73FF7EC5" w14:textId="77777777">
            <w:pPr>
              <w:rPr>
                <w:bCs/>
                <w:szCs w:val="24"/>
              </w:rPr>
            </w:pPr>
            <w:r w:rsidRPr="00E51EE4">
              <w:rPr>
                <w:bCs/>
                <w:szCs w:val="24"/>
              </w:rPr>
              <w:t>Approval by: DTC</w:t>
            </w:r>
          </w:p>
        </w:tc>
        <w:tc>
          <w:tcPr>
            <w:tcW w:w="4536" w:type="dxa"/>
            <w:tcBorders>
              <w:bottom w:val="single" w:color="auto" w:sz="4" w:space="0"/>
            </w:tcBorders>
            <w:vAlign w:val="center"/>
          </w:tcPr>
          <w:p w:rsidRPr="00E51EE4" w:rsidR="00D90D90" w:rsidP="006F0321" w:rsidRDefault="00D90D90" w14:paraId="2BAF4554" w14:textId="77777777">
            <w:pPr>
              <w:pStyle w:val="Title"/>
              <w:rPr>
                <w:b w:val="0"/>
                <w:bCs/>
                <w:sz w:val="24"/>
                <w:szCs w:val="24"/>
              </w:rPr>
            </w:pPr>
            <w:r w:rsidRPr="00E51EE4">
              <w:rPr>
                <w:b w:val="0"/>
                <w:bCs/>
                <w:sz w:val="24"/>
                <w:szCs w:val="24"/>
              </w:rPr>
              <w:t>Approval Date: 24/11/2017</w:t>
            </w:r>
          </w:p>
        </w:tc>
      </w:tr>
    </w:tbl>
    <w:p w:rsidR="00D90D90" w:rsidP="006F0321" w:rsidRDefault="00D90D90" w14:paraId="62BDC8D2" w14:textId="77777777"/>
    <w:p w:rsidR="00E51EE4" w:rsidP="006F0321" w:rsidRDefault="00E51EE4" w14:paraId="3B51CE42" w14:textId="77777777"/>
    <w:p w:rsidR="00E51EE4" w:rsidP="006F0321" w:rsidRDefault="00E51EE4" w14:paraId="7A88E4B8" w14:textId="77777777"/>
    <w:p w:rsidR="00E51EE4" w:rsidP="006F0321" w:rsidRDefault="00E51EE4" w14:paraId="4FD2C827" w14:textId="77777777"/>
    <w:p w:rsidR="00955268" w:rsidP="006F0321" w:rsidRDefault="00955268" w14:paraId="440145DF" w14:textId="77777777"/>
    <w:p w:rsidR="00955268" w:rsidP="006F0321" w:rsidRDefault="00955268" w14:paraId="29DED40A" w14:textId="77777777"/>
    <w:p w:rsidR="00955268" w:rsidP="006F0321" w:rsidRDefault="00955268" w14:paraId="1E06C803" w14:textId="77777777"/>
    <w:p w:rsidR="00955268" w:rsidP="006F0321" w:rsidRDefault="00955268" w14:paraId="3212051F" w14:textId="77777777"/>
    <w:p w:rsidR="00955268" w:rsidP="006F0321" w:rsidRDefault="00955268" w14:paraId="60735A41" w14:textId="77777777"/>
    <w:p w:rsidR="00955268" w:rsidP="006F0321" w:rsidRDefault="00955268" w14:paraId="5BDF7DD7" w14:textId="77777777"/>
    <w:p w:rsidR="00955268" w:rsidP="006F0321" w:rsidRDefault="00955268" w14:paraId="0FDE2755" w14:textId="77777777"/>
    <w:p w:rsidR="00955268" w:rsidP="006F0321" w:rsidRDefault="00955268" w14:paraId="49E252BB" w14:textId="77777777"/>
    <w:p w:rsidR="00955268" w:rsidP="006F0321" w:rsidRDefault="00955268" w14:paraId="53EF04DB" w14:textId="77777777"/>
    <w:p w:rsidR="00955268" w:rsidP="006F0321" w:rsidRDefault="00955268" w14:paraId="1C514B1B" w14:textId="77777777"/>
    <w:p w:rsidR="00955268" w:rsidP="006F0321" w:rsidRDefault="00955268" w14:paraId="24B6A5CB" w14:textId="77777777"/>
    <w:p w:rsidR="00955268" w:rsidP="006F0321" w:rsidRDefault="00955268" w14:paraId="28F390F7" w14:textId="77777777"/>
    <w:p w:rsidR="00955268" w:rsidP="006F0321" w:rsidRDefault="00955268" w14:paraId="47167FB3" w14:textId="77777777"/>
    <w:p w:rsidR="00955268" w:rsidP="006F0321" w:rsidRDefault="00955268" w14:paraId="0A893DF1" w14:textId="77777777"/>
    <w:p w:rsidR="00955268" w:rsidP="006F0321" w:rsidRDefault="00955268" w14:paraId="58AD4CC7" w14:textId="77777777"/>
    <w:p w:rsidR="00955268" w:rsidP="006F0321" w:rsidRDefault="00955268" w14:paraId="17776D4C" w14:textId="77777777"/>
    <w:p w:rsidR="00955268" w:rsidP="006F0321" w:rsidRDefault="00955268" w14:paraId="743B2DD9" w14:textId="77777777"/>
    <w:p w:rsidR="00955268" w:rsidP="006F0321" w:rsidRDefault="00955268" w14:paraId="3F80EDFC" w14:textId="77777777"/>
    <w:p w:rsidR="00955268" w:rsidP="006F0321" w:rsidRDefault="00955268" w14:paraId="5F55D63F" w14:textId="77777777"/>
    <w:p w:rsidR="00955268" w:rsidP="006F0321" w:rsidRDefault="00955268" w14:paraId="25CE6BAA" w14:textId="77777777"/>
    <w:p w:rsidR="00955268" w:rsidP="006F0321" w:rsidRDefault="00955268" w14:paraId="0FC97C66" w14:textId="77777777"/>
    <w:p w:rsidR="00955268" w:rsidP="006F0321" w:rsidRDefault="00955268" w14:paraId="44D12252" w14:textId="77777777"/>
    <w:p w:rsidR="00955268" w:rsidP="006F0321" w:rsidRDefault="00955268" w14:paraId="7ACC1AE6" w14:textId="77777777"/>
    <w:p w:rsidR="00955268" w:rsidP="006F0321" w:rsidRDefault="00955268" w14:paraId="0537183B" w14:textId="76181FF2"/>
    <w:p w:rsidR="00137DCA" w:rsidP="006F0321" w:rsidRDefault="00137DCA" w14:paraId="168E7F1A" w14:textId="73AEC968"/>
    <w:p w:rsidR="00137DCA" w:rsidP="006F0321" w:rsidRDefault="00137DCA" w14:paraId="13718721" w14:textId="77777777"/>
    <w:p w:rsidR="00E51EE4" w:rsidP="006F0321" w:rsidRDefault="00E51EE4" w14:paraId="39CB44C1" w14:textId="77777777"/>
    <w:tbl>
      <w:tblPr>
        <w:tblW w:w="9049" w:type="dxa"/>
        <w:tblLayout w:type="fixed"/>
        <w:tblLook w:val="0000" w:firstRow="0" w:lastRow="0" w:firstColumn="0" w:lastColumn="0" w:noHBand="0" w:noVBand="0"/>
      </w:tblPr>
      <w:tblGrid>
        <w:gridCol w:w="4153"/>
        <w:gridCol w:w="4896"/>
      </w:tblGrid>
      <w:tr w:rsidRPr="00E25790" w:rsidR="00115F48" w:rsidTr="00900C7F" w14:paraId="6E5163FF"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25CE16E7" w14:textId="77777777">
            <w:pPr>
              <w:pStyle w:val="Heading1"/>
            </w:pPr>
            <w:bookmarkStart w:name="_Toc495481081" w:id="110"/>
            <w:bookmarkStart w:name="_Toc495481207" w:id="111"/>
            <w:bookmarkStart w:name="_Toc495481332" w:id="112"/>
            <w:bookmarkStart w:name="_Toc495501513" w:id="113"/>
            <w:bookmarkStart w:name="_Toc38106817" w:id="114"/>
            <w:bookmarkStart w:name="_Toc75339943" w:id="115"/>
            <w:r w:rsidRPr="00E25790">
              <w:lastRenderedPageBreak/>
              <w:t>Calcitriol</w:t>
            </w:r>
            <w:bookmarkEnd w:id="110"/>
            <w:bookmarkEnd w:id="111"/>
            <w:bookmarkEnd w:id="112"/>
            <w:bookmarkEnd w:id="113"/>
            <w:bookmarkEnd w:id="114"/>
            <w:bookmarkEnd w:id="115"/>
            <w:r w:rsidRPr="00E25790">
              <w:fldChar w:fldCharType="begin"/>
            </w:r>
            <w:r w:rsidRPr="00E25790">
              <w:instrText>tc "Calcitriol" \l 0</w:instrText>
            </w:r>
            <w:r w:rsidRPr="00E25790">
              <w:fldChar w:fldCharType="end"/>
            </w:r>
          </w:p>
        </w:tc>
      </w:tr>
      <w:tr w:rsidRPr="00E25790" w:rsidR="00115F48" w:rsidTr="00900C7F" w14:paraId="3B06B83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5F6282" w:rsidP="006F0321" w:rsidRDefault="00115F48" w14:paraId="437623CC" w14:textId="5222E6BD">
            <w:r w:rsidRPr="00E25790">
              <w:t xml:space="preserve">Revision Date : </w:t>
            </w:r>
            <w:r w:rsidR="00A00D32">
              <w:t>23-12-202</w:t>
            </w:r>
            <w:r w:rsidR="00DA1B54">
              <w:t>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2648342F" w14:textId="6A1D0D61">
            <w:r w:rsidRPr="00E25790">
              <w:t xml:space="preserve">Approved : </w:t>
            </w:r>
            <w:r w:rsidR="00864B78">
              <w:t>TC, KOH</w:t>
            </w:r>
          </w:p>
        </w:tc>
      </w:tr>
    </w:tbl>
    <w:p w:rsidRPr="00E25790" w:rsidR="00115F48" w:rsidP="006F0321" w:rsidRDefault="00115F48" w14:paraId="0BD58786" w14:textId="77777777"/>
    <w:tbl>
      <w:tblPr>
        <w:tblW w:w="9071" w:type="dxa"/>
        <w:tblLayout w:type="fixed"/>
        <w:tblLook w:val="0000" w:firstRow="0" w:lastRow="0" w:firstColumn="0" w:lastColumn="0" w:noHBand="0" w:noVBand="0"/>
      </w:tblPr>
      <w:tblGrid>
        <w:gridCol w:w="2438"/>
        <w:gridCol w:w="6633"/>
      </w:tblGrid>
      <w:tr w:rsidRPr="00E25790" w:rsidR="00115F48" w:rsidTr="00900C7F" w14:paraId="47D8E073" w14:textId="77777777">
        <w:trPr>
          <w:cantSplit/>
          <w:trHeight w:val="1200"/>
        </w:trPr>
        <w:tc>
          <w:tcPr>
            <w:tcW w:w="2438" w:type="dxa"/>
            <w:tcBorders>
              <w:top w:val="single" w:color="auto" w:sz="6" w:space="0"/>
              <w:left w:val="single" w:color="auto" w:sz="6" w:space="0"/>
              <w:bottom w:val="single" w:color="auto" w:sz="6" w:space="0"/>
            </w:tcBorders>
          </w:tcPr>
          <w:p w:rsidRPr="00E25790" w:rsidR="00115F48" w:rsidP="006F0321" w:rsidRDefault="00115F48" w14:paraId="19BCD0FC" w14:textId="77777777">
            <w:r w:rsidRPr="00E25790">
              <w:t>Indication :</w:t>
            </w:r>
          </w:p>
        </w:tc>
        <w:tc>
          <w:tcPr>
            <w:tcW w:w="6633" w:type="dxa"/>
            <w:tcBorders>
              <w:top w:val="single" w:color="auto" w:sz="6" w:space="0"/>
              <w:bottom w:val="single" w:color="auto" w:sz="6" w:space="0"/>
              <w:right w:val="single" w:color="auto" w:sz="6" w:space="0"/>
            </w:tcBorders>
          </w:tcPr>
          <w:p w:rsidR="00115F48" w:rsidP="006F0321" w:rsidRDefault="00FE4A24" w14:paraId="4C44DDB6" w14:textId="77777777">
            <w:r>
              <w:t>Hypocalcemia</w:t>
            </w:r>
          </w:p>
          <w:p w:rsidR="00FE4A24" w:rsidP="006F0321" w:rsidRDefault="00FE4A24" w14:paraId="1C0035FB" w14:textId="77777777">
            <w:r>
              <w:t>Hypoparathyroidism</w:t>
            </w:r>
          </w:p>
          <w:p w:rsidRPr="00E25790" w:rsidR="00FE4A24" w:rsidP="006F0321" w:rsidRDefault="00FE4A24" w14:paraId="7BAA1AF3" w14:textId="0DFA3856">
            <w:r>
              <w:t>Neonatal Rickets</w:t>
            </w:r>
          </w:p>
        </w:tc>
      </w:tr>
      <w:tr w:rsidRPr="00E25790" w:rsidR="00115F48" w:rsidTr="00900C7F" w14:paraId="55D73CC0"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66278580" w14:textId="77777777">
            <w:r w:rsidRPr="00E25790">
              <w:t>Dose :</w:t>
            </w:r>
          </w:p>
        </w:tc>
        <w:tc>
          <w:tcPr>
            <w:tcW w:w="6633" w:type="dxa"/>
            <w:tcBorders>
              <w:top w:val="single" w:color="auto" w:sz="6" w:space="0"/>
              <w:bottom w:val="single" w:color="auto" w:sz="6" w:space="0"/>
              <w:right w:val="single" w:color="auto" w:sz="6" w:space="0"/>
            </w:tcBorders>
          </w:tcPr>
          <w:p w:rsidRPr="00E25790" w:rsidR="00115F48" w:rsidP="006F0321" w:rsidRDefault="00AE6460" w14:paraId="153964A8" w14:textId="35640734">
            <w:r>
              <w:t>I</w:t>
            </w:r>
            <w:r w:rsidRPr="00AE6460">
              <w:t>nitial, 0.25 mcg to 1 mcg orally</w:t>
            </w:r>
            <w:r>
              <w:t xml:space="preserve">. </w:t>
            </w:r>
            <w:r w:rsidRPr="00FE4B4A" w:rsidR="00FE4B4A">
              <w:t xml:space="preserve">Increase by 0.25microgram every 4 weeks according to Calcium levels Adjust dose to maintain serum calcium in the lower range </w:t>
            </w:r>
          </w:p>
        </w:tc>
      </w:tr>
      <w:tr w:rsidRPr="00E25790" w:rsidR="00115F48" w:rsidTr="00900C7F" w14:paraId="6E574871"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3D4262AC" w14:textId="77777777">
            <w:r w:rsidRPr="00E25790">
              <w:t>Interval :</w:t>
            </w:r>
          </w:p>
        </w:tc>
        <w:tc>
          <w:tcPr>
            <w:tcW w:w="6633" w:type="dxa"/>
            <w:tcBorders>
              <w:top w:val="single" w:color="auto" w:sz="6" w:space="0"/>
              <w:bottom w:val="single" w:color="auto" w:sz="6" w:space="0"/>
              <w:right w:val="single" w:color="auto" w:sz="6" w:space="0"/>
            </w:tcBorders>
          </w:tcPr>
          <w:p w:rsidRPr="00E25790" w:rsidR="00115F48" w:rsidP="006F0321" w:rsidRDefault="009D16E2" w14:paraId="36D040EB" w14:textId="6E251A3C">
            <w:r>
              <w:t>Once daily</w:t>
            </w:r>
          </w:p>
        </w:tc>
      </w:tr>
      <w:tr w:rsidRPr="00E25790" w:rsidR="00115F48" w:rsidTr="00900C7F" w14:paraId="2AF839CE"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2583056C" w14:textId="77777777">
            <w:r w:rsidRPr="00E25790">
              <w:t>Route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2E73C924" w14:textId="59752277">
            <w:r w:rsidRPr="00E25790">
              <w:t>Oral</w:t>
            </w:r>
          </w:p>
        </w:tc>
      </w:tr>
      <w:tr w:rsidRPr="00E25790" w:rsidR="00115F48" w:rsidTr="00900C7F" w14:paraId="6388DBD1"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FCE5181" w14:textId="77777777">
            <w:r w:rsidRPr="00E25790">
              <w:t>Total Daily Dose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79198825" w14:textId="77777777">
            <w:r w:rsidRPr="00E25790">
              <w:t>N/A</w:t>
            </w:r>
          </w:p>
        </w:tc>
      </w:tr>
      <w:tr w:rsidRPr="00E25790" w:rsidR="00115F48" w:rsidTr="00900C7F" w14:paraId="28ACAF3C" w14:textId="77777777">
        <w:trPr>
          <w:cantSplit/>
          <w:trHeight w:val="1200"/>
        </w:trPr>
        <w:tc>
          <w:tcPr>
            <w:tcW w:w="2438" w:type="dxa"/>
            <w:tcBorders>
              <w:top w:val="single" w:color="auto" w:sz="6" w:space="0"/>
              <w:left w:val="single" w:color="auto" w:sz="6" w:space="0"/>
              <w:bottom w:val="single" w:color="auto" w:sz="6" w:space="0"/>
            </w:tcBorders>
          </w:tcPr>
          <w:p w:rsidRPr="00E25790" w:rsidR="00115F48" w:rsidP="006F0321" w:rsidRDefault="00115F48" w14:paraId="1465BBD1" w14:textId="77777777">
            <w:r w:rsidRPr="00E25790">
              <w:t>Comments :</w:t>
            </w:r>
          </w:p>
        </w:tc>
        <w:tc>
          <w:tcPr>
            <w:tcW w:w="6633" w:type="dxa"/>
            <w:tcBorders>
              <w:top w:val="single" w:color="auto" w:sz="6" w:space="0"/>
              <w:bottom w:val="single" w:color="auto" w:sz="6" w:space="0"/>
              <w:right w:val="single" w:color="auto" w:sz="6" w:space="0"/>
            </w:tcBorders>
          </w:tcPr>
          <w:p w:rsidR="00115F48" w:rsidP="006F0321" w:rsidRDefault="00115F48" w14:paraId="481F0315" w14:textId="77777777">
            <w:r w:rsidRPr="00E25790">
              <w:t xml:space="preserve">The most active form of Vitamin D.  Hypercalcaemia is a danger and the dosage should be adjusted to avoid intoxication.  Regular monitoring of serum calcium, phosphate and ALP is necessary.  Symptoms of </w:t>
            </w:r>
            <w:r w:rsidR="00C50542">
              <w:t>hypercalcemia</w:t>
            </w:r>
            <w:r w:rsidRPr="00E25790">
              <w:t xml:space="preserve"> include lethargy, weakness, ectopic calcification, </w:t>
            </w:r>
            <w:r w:rsidR="002F3C8C">
              <w:t>constipation, polyuria and weight loss</w:t>
            </w:r>
            <w:r w:rsidRPr="00E25790">
              <w:t>.</w:t>
            </w:r>
          </w:p>
          <w:p w:rsidRPr="00E25790" w:rsidR="009E188B" w:rsidP="006F0321" w:rsidRDefault="009E188B" w14:paraId="1DE30111" w14:textId="1A5DBE25">
            <w:r>
              <w:t xml:space="preserve">Can be administered at anytime </w:t>
            </w:r>
            <w:r w:rsidR="002219F6">
              <w:t>with regards to feeds</w:t>
            </w:r>
          </w:p>
        </w:tc>
      </w:tr>
      <w:tr w:rsidRPr="00E25790" w:rsidR="00115F48" w:rsidTr="00900C7F" w14:paraId="4478078C"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3CB6445" w14:textId="77777777">
            <w:r w:rsidRPr="00E25790">
              <w:t>Supplied as :</w:t>
            </w:r>
          </w:p>
        </w:tc>
        <w:tc>
          <w:tcPr>
            <w:tcW w:w="6633" w:type="dxa"/>
            <w:tcBorders>
              <w:top w:val="single" w:color="auto" w:sz="6" w:space="0"/>
              <w:bottom w:val="single" w:color="auto" w:sz="6" w:space="0"/>
              <w:right w:val="single" w:color="auto" w:sz="6" w:space="0"/>
            </w:tcBorders>
          </w:tcPr>
          <w:p w:rsidRPr="00E25790" w:rsidR="0006170B" w:rsidP="006F0321" w:rsidRDefault="00CD7A28" w14:paraId="1F817526" w14:textId="3AF0B8A1">
            <w:r>
              <w:t>O</w:t>
            </w:r>
            <w:r w:rsidR="00A810C3">
              <w:t>ral solution</w:t>
            </w:r>
            <w:r w:rsidRPr="00E25790" w:rsidR="0006170B">
              <w:t>: 1microg/mL available on SAS (Special Access Scheme)</w:t>
            </w:r>
          </w:p>
        </w:tc>
      </w:tr>
      <w:tr w:rsidRPr="00E25790" w:rsidR="00115F48" w:rsidTr="00A810C3" w14:paraId="3E201509" w14:textId="77777777">
        <w:trPr>
          <w:cantSplit/>
          <w:trHeight w:val="623"/>
        </w:trPr>
        <w:tc>
          <w:tcPr>
            <w:tcW w:w="2438" w:type="dxa"/>
            <w:tcBorders>
              <w:top w:val="single" w:color="auto" w:sz="6" w:space="0"/>
              <w:left w:val="single" w:color="auto" w:sz="6" w:space="0"/>
              <w:bottom w:val="single" w:color="auto" w:sz="6" w:space="0"/>
            </w:tcBorders>
          </w:tcPr>
          <w:p w:rsidRPr="00E25790" w:rsidR="00115F48" w:rsidP="006F0321" w:rsidRDefault="00115F48" w14:paraId="4BC67068" w14:textId="77777777">
            <w:r w:rsidRPr="00E25790">
              <w:t>Dilution :</w:t>
            </w:r>
          </w:p>
        </w:tc>
        <w:tc>
          <w:tcPr>
            <w:tcW w:w="6633" w:type="dxa"/>
            <w:tcBorders>
              <w:top w:val="single" w:color="auto" w:sz="6" w:space="0"/>
              <w:bottom w:val="single" w:color="auto" w:sz="6" w:space="0"/>
              <w:right w:val="single" w:color="auto" w:sz="6" w:space="0"/>
            </w:tcBorders>
          </w:tcPr>
          <w:p w:rsidRPr="00E25790" w:rsidR="00115F48" w:rsidP="006F0321" w:rsidRDefault="00115F48" w14:paraId="16D32ADD" w14:textId="77777777">
            <w:r w:rsidRPr="00E25790">
              <w:t xml:space="preserve">Not required.  Remove fluid from capsule with syringe and administer </w:t>
            </w:r>
            <w:r w:rsidRPr="00E25790" w:rsidR="00881FAE">
              <w:t>orally</w:t>
            </w:r>
            <w:r w:rsidRPr="00E25790">
              <w:t>.</w:t>
            </w:r>
          </w:p>
        </w:tc>
      </w:tr>
      <w:tr w:rsidRPr="00E25790" w:rsidR="00115F48" w:rsidTr="00900C7F" w14:paraId="42084A01"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6FD3CF50" w14:textId="77777777">
            <w:r w:rsidRPr="00E25790">
              <w:t>Stability :</w:t>
            </w:r>
          </w:p>
        </w:tc>
        <w:tc>
          <w:tcPr>
            <w:tcW w:w="6633" w:type="dxa"/>
            <w:tcBorders>
              <w:top w:val="single" w:color="auto" w:sz="6" w:space="0"/>
              <w:bottom w:val="single" w:color="auto" w:sz="6" w:space="0"/>
              <w:right w:val="single" w:color="auto" w:sz="6" w:space="0"/>
            </w:tcBorders>
          </w:tcPr>
          <w:p w:rsidRPr="00E25790" w:rsidR="00115F48" w:rsidP="006F0321" w:rsidRDefault="00115F48" w14:paraId="2BC5101F" w14:textId="77777777">
            <w:r w:rsidRPr="00E25790">
              <w:t>Use immediately.</w:t>
            </w:r>
          </w:p>
        </w:tc>
      </w:tr>
      <w:tr w:rsidRPr="00E25790" w:rsidR="00115F48" w:rsidTr="00900C7F" w14:paraId="284BC952"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530BF2E9" w14:textId="77777777">
            <w:r w:rsidRPr="00E25790">
              <w:t>Storage :</w:t>
            </w:r>
          </w:p>
        </w:tc>
        <w:tc>
          <w:tcPr>
            <w:tcW w:w="6633" w:type="dxa"/>
            <w:tcBorders>
              <w:top w:val="single" w:color="auto" w:sz="6" w:space="0"/>
              <w:bottom w:val="single" w:color="auto" w:sz="6" w:space="0"/>
              <w:right w:val="single" w:color="auto" w:sz="6" w:space="0"/>
            </w:tcBorders>
          </w:tcPr>
          <w:p w:rsidRPr="00E25790" w:rsidR="00115F48" w:rsidP="006F0321" w:rsidRDefault="00115F48" w14:paraId="0C72B9BA" w14:textId="0B4C7E75">
            <w:r w:rsidRPr="00E25790">
              <w:t>Protect from light.</w:t>
            </w:r>
            <w:r w:rsidR="00A076F9">
              <w:t xml:space="preserve"> Store below 25degree celsius</w:t>
            </w:r>
          </w:p>
        </w:tc>
      </w:tr>
      <w:tr w:rsidRPr="00E25790" w:rsidR="00115F48" w:rsidTr="00900C7F" w14:paraId="7DE6D76E"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7E7723D4" w14:textId="77777777">
            <w:r w:rsidRPr="00E25790">
              <w:t>Incompatibility :</w:t>
            </w:r>
          </w:p>
        </w:tc>
        <w:tc>
          <w:tcPr>
            <w:tcW w:w="6633" w:type="dxa"/>
            <w:tcBorders>
              <w:top w:val="single" w:color="auto" w:sz="6" w:space="0"/>
              <w:bottom w:val="single" w:color="auto" w:sz="6" w:space="0"/>
              <w:right w:val="single" w:color="auto" w:sz="6" w:space="0"/>
            </w:tcBorders>
          </w:tcPr>
          <w:p w:rsidRPr="00E25790" w:rsidR="00115F48" w:rsidP="006F0321" w:rsidRDefault="00115F48" w14:paraId="3BA68270" w14:textId="77777777">
            <w:r w:rsidRPr="00E25790">
              <w:t>Not Applicable.</w:t>
            </w:r>
          </w:p>
        </w:tc>
      </w:tr>
      <w:tr w:rsidRPr="00E25790" w:rsidR="00115F48" w:rsidTr="00900C7F" w14:paraId="5EFE7430"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1BE38183" w14:textId="77777777">
            <w:r w:rsidRPr="00E25790">
              <w:t>Serum Levels :</w:t>
            </w:r>
          </w:p>
        </w:tc>
        <w:tc>
          <w:tcPr>
            <w:tcW w:w="6633" w:type="dxa"/>
            <w:tcBorders>
              <w:top w:val="single" w:color="auto" w:sz="6" w:space="0"/>
              <w:bottom w:val="single" w:color="auto" w:sz="6" w:space="0"/>
              <w:right w:val="single" w:color="auto" w:sz="6" w:space="0"/>
            </w:tcBorders>
          </w:tcPr>
          <w:p w:rsidRPr="00E25790" w:rsidR="00115F48" w:rsidP="006F0321" w:rsidRDefault="00115F48" w14:paraId="01EC3D75" w14:textId="77777777">
            <w:r w:rsidRPr="00E25790">
              <w:t>N/A.</w:t>
            </w:r>
          </w:p>
        </w:tc>
      </w:tr>
    </w:tbl>
    <w:p w:rsidRPr="00E25790" w:rsidR="00115F48" w:rsidP="006F0321" w:rsidRDefault="00115F48" w14:paraId="62BC489A" w14:textId="77777777"/>
    <w:p w:rsidRPr="00E25790" w:rsidR="00115F48" w:rsidP="006F0321" w:rsidRDefault="00115F48" w14:paraId="6C3A33C1" w14:textId="77777777"/>
    <w:p w:rsidR="002219F6" w:rsidP="006F0321" w:rsidRDefault="002219F6" w14:paraId="40FD888A" w14:textId="77777777">
      <w:r w:rsidRPr="002219F6">
        <w:t>References</w:t>
      </w:r>
    </w:p>
    <w:p w:rsidR="00DC1176" w:rsidP="001B0E05" w:rsidRDefault="00DC1176" w14:paraId="07C79408" w14:textId="744CACA3">
      <w:pPr>
        <w:pStyle w:val="ListParagraph"/>
        <w:numPr>
          <w:ilvl w:val="0"/>
          <w:numId w:val="83"/>
        </w:numPr>
      </w:pPr>
      <w:r>
        <w:t xml:space="preserve">Takemoto CK, Hodding JH, Kraus DM. Pediatric &amp; neonatal dosage handbook with international trade names index : a universal resource for clinicians treating pediatric and neonatal patients. 24th  ed. Hudson (Ohio): Lexicomp; 2019. 2,401. </w:t>
      </w:r>
    </w:p>
    <w:p w:rsidR="00DC1176" w:rsidP="001B0E05" w:rsidRDefault="00DC1176" w14:paraId="61514B9B" w14:textId="419B2ED2">
      <w:pPr>
        <w:pStyle w:val="ListParagraph"/>
        <w:numPr>
          <w:ilvl w:val="0"/>
          <w:numId w:val="83"/>
        </w:numPr>
      </w:pPr>
      <w:r>
        <w:t>Truven Health Analytics. Calcitriol. In: NeoFax [Internet]. Greenwood Village (CO): Truven Health Analytics; 20</w:t>
      </w:r>
      <w:r w:rsidR="006B36EA">
        <w:t>20</w:t>
      </w:r>
      <w:r>
        <w:t xml:space="preserve"> [cited </w:t>
      </w:r>
      <w:r w:rsidR="006B36EA">
        <w:t>23-12-20</w:t>
      </w:r>
      <w:r>
        <w:t xml:space="preserve">]. Available from: https://neofax.micromedexsolutions.com/ </w:t>
      </w:r>
    </w:p>
    <w:p w:rsidRPr="007B5656" w:rsidR="00EA7666" w:rsidP="001B0E05" w:rsidRDefault="00DC1176" w14:paraId="6FCF6279" w14:textId="729EFDEC">
      <w:pPr>
        <w:pStyle w:val="ListParagraph"/>
        <w:numPr>
          <w:ilvl w:val="0"/>
          <w:numId w:val="83"/>
        </w:numPr>
        <w:rPr>
          <w:rStyle w:val="Hyperlink"/>
          <w:color w:val="auto"/>
          <w:u w:val="none"/>
        </w:rPr>
      </w:pPr>
      <w:r>
        <w:lastRenderedPageBreak/>
        <w:t>Australian Medicines Handbook. Calcitriol. In: Australian Medicines Handbook [Internet]. Adelaide (South Australia): Australian Medicines Handbook; 20</w:t>
      </w:r>
      <w:r w:rsidR="006B36EA">
        <w:t>20</w:t>
      </w:r>
      <w:r>
        <w:t xml:space="preserve"> [cited </w:t>
      </w:r>
      <w:r w:rsidR="006B36EA">
        <w:t>23-12-2020</w:t>
      </w:r>
      <w:r>
        <w:t xml:space="preserve">]. Available from: </w:t>
      </w:r>
      <w:hyperlink w:history="1" r:id="rId20">
        <w:r w:rsidRPr="007C0E2E" w:rsidR="00EA7666">
          <w:rPr>
            <w:rStyle w:val="Hyperlink"/>
          </w:rPr>
          <w:t>https://amhonline.amh.net.au/</w:t>
        </w:r>
      </w:hyperlink>
    </w:p>
    <w:p w:rsidR="007B5656" w:rsidP="007B5656" w:rsidRDefault="007B5656" w14:paraId="65568A49" w14:textId="77777777"/>
    <w:p w:rsidR="00917324" w:rsidP="00EA7666" w:rsidRDefault="00917324" w14:paraId="7C49820D"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53"/>
        <w:gridCol w:w="4536"/>
      </w:tblGrid>
      <w:tr w:rsidRPr="00E51EE4" w:rsidR="00E424B4" w:rsidTr="009E664B" w14:paraId="41D83C23" w14:textId="77777777">
        <w:tc>
          <w:tcPr>
            <w:tcW w:w="4253" w:type="dxa"/>
            <w:vAlign w:val="center"/>
          </w:tcPr>
          <w:p w:rsidRPr="00E51EE4" w:rsidR="00917324" w:rsidP="009E664B" w:rsidRDefault="00917324" w14:paraId="2B0F273B" w14:textId="732B7A18">
            <w:pPr>
              <w:pStyle w:val="Title"/>
              <w:rPr>
                <w:b w:val="0"/>
                <w:bCs/>
                <w:sz w:val="24"/>
                <w:szCs w:val="24"/>
              </w:rPr>
            </w:pPr>
            <w:r w:rsidRPr="00E51EE4">
              <w:rPr>
                <w:b w:val="0"/>
                <w:bCs/>
                <w:sz w:val="24"/>
                <w:szCs w:val="24"/>
              </w:rPr>
              <w:t xml:space="preserve">Original version Date: </w:t>
            </w:r>
            <w:r w:rsidR="00DA1B54">
              <w:rPr>
                <w:b w:val="0"/>
                <w:bCs/>
                <w:sz w:val="24"/>
                <w:szCs w:val="24"/>
              </w:rPr>
              <w:t>9/1/2014</w:t>
            </w:r>
          </w:p>
        </w:tc>
        <w:tc>
          <w:tcPr>
            <w:tcW w:w="4536" w:type="dxa"/>
            <w:vAlign w:val="center"/>
          </w:tcPr>
          <w:p w:rsidRPr="00E51EE4" w:rsidR="00917324" w:rsidP="009E664B" w:rsidRDefault="00917324" w14:paraId="7F60DBAB" w14:textId="679F9530">
            <w:pPr>
              <w:pStyle w:val="Title"/>
              <w:rPr>
                <w:b w:val="0"/>
                <w:bCs/>
                <w:sz w:val="24"/>
                <w:szCs w:val="24"/>
              </w:rPr>
            </w:pPr>
            <w:r w:rsidRPr="00E51EE4">
              <w:rPr>
                <w:b w:val="0"/>
                <w:bCs/>
                <w:sz w:val="24"/>
                <w:szCs w:val="24"/>
              </w:rPr>
              <w:t xml:space="preserve">Author: </w:t>
            </w:r>
            <w:r w:rsidR="00DA1B54">
              <w:rPr>
                <w:b w:val="0"/>
                <w:bCs/>
                <w:sz w:val="24"/>
                <w:szCs w:val="24"/>
              </w:rPr>
              <w:t>AK, JD</w:t>
            </w:r>
          </w:p>
        </w:tc>
      </w:tr>
      <w:tr w:rsidRPr="00E51EE4" w:rsidR="00E424B4" w:rsidTr="009E664B" w14:paraId="7A4E66AC" w14:textId="77777777">
        <w:tc>
          <w:tcPr>
            <w:tcW w:w="4253" w:type="dxa"/>
            <w:vAlign w:val="center"/>
          </w:tcPr>
          <w:p w:rsidRPr="00E51EE4" w:rsidR="00917324" w:rsidP="009E664B" w:rsidRDefault="00917324" w14:paraId="1F87DEDD" w14:textId="77777777">
            <w:pPr>
              <w:pStyle w:val="Title"/>
              <w:rPr>
                <w:b w:val="0"/>
                <w:bCs/>
                <w:sz w:val="24"/>
                <w:szCs w:val="24"/>
              </w:rPr>
            </w:pPr>
            <w:r w:rsidRPr="00E51EE4">
              <w:rPr>
                <w:b w:val="0"/>
                <w:bCs/>
                <w:sz w:val="24"/>
                <w:szCs w:val="24"/>
              </w:rPr>
              <w:t xml:space="preserve">Current Version number:  </w:t>
            </w:r>
            <w:r>
              <w:rPr>
                <w:b w:val="0"/>
                <w:bCs/>
                <w:sz w:val="24"/>
                <w:szCs w:val="24"/>
              </w:rPr>
              <w:t>2</w:t>
            </w:r>
          </w:p>
        </w:tc>
        <w:tc>
          <w:tcPr>
            <w:tcW w:w="4536" w:type="dxa"/>
            <w:vAlign w:val="center"/>
          </w:tcPr>
          <w:p w:rsidRPr="00E51EE4" w:rsidR="00917324" w:rsidP="009E664B" w:rsidRDefault="00917324" w14:paraId="3A7D7716" w14:textId="32E17B60">
            <w:pPr>
              <w:pStyle w:val="Title"/>
              <w:rPr>
                <w:b w:val="0"/>
                <w:bCs/>
                <w:sz w:val="24"/>
                <w:szCs w:val="24"/>
              </w:rPr>
            </w:pPr>
            <w:r w:rsidRPr="00E51EE4">
              <w:rPr>
                <w:b w:val="0"/>
                <w:bCs/>
                <w:sz w:val="24"/>
                <w:szCs w:val="24"/>
              </w:rPr>
              <w:t xml:space="preserve">Version Date:  </w:t>
            </w:r>
            <w:r w:rsidR="00DA1B54">
              <w:rPr>
                <w:b w:val="0"/>
                <w:bCs/>
                <w:sz w:val="24"/>
                <w:szCs w:val="24"/>
              </w:rPr>
              <w:t>23</w:t>
            </w:r>
            <w:r>
              <w:rPr>
                <w:b w:val="0"/>
                <w:bCs/>
                <w:sz w:val="24"/>
                <w:szCs w:val="24"/>
              </w:rPr>
              <w:t>/12/2020</w:t>
            </w:r>
          </w:p>
        </w:tc>
      </w:tr>
      <w:tr w:rsidRPr="00E51EE4" w:rsidR="00E424B4" w:rsidTr="009E664B" w14:paraId="422AF794" w14:textId="77777777">
        <w:tc>
          <w:tcPr>
            <w:tcW w:w="4253" w:type="dxa"/>
            <w:vAlign w:val="center"/>
          </w:tcPr>
          <w:p w:rsidRPr="00E51EE4" w:rsidR="00917324" w:rsidP="009E664B" w:rsidRDefault="00917324" w14:paraId="2CC5D2F7" w14:textId="77777777">
            <w:pPr>
              <w:pStyle w:val="Title"/>
              <w:rPr>
                <w:b w:val="0"/>
                <w:bCs/>
                <w:sz w:val="24"/>
                <w:szCs w:val="24"/>
              </w:rPr>
            </w:pPr>
            <w:r w:rsidRPr="00E51EE4">
              <w:rPr>
                <w:b w:val="0"/>
                <w:bCs/>
                <w:sz w:val="24"/>
                <w:szCs w:val="24"/>
              </w:rPr>
              <w:t>Risk Rating: Medium</w:t>
            </w:r>
          </w:p>
        </w:tc>
        <w:tc>
          <w:tcPr>
            <w:tcW w:w="4536" w:type="dxa"/>
            <w:vAlign w:val="center"/>
          </w:tcPr>
          <w:p w:rsidRPr="00E51EE4" w:rsidR="00917324" w:rsidP="009E664B" w:rsidRDefault="00917324" w14:paraId="3C3B1896" w14:textId="4AB70765">
            <w:pPr>
              <w:pStyle w:val="Title"/>
              <w:rPr>
                <w:b w:val="0"/>
                <w:bCs/>
                <w:sz w:val="24"/>
                <w:szCs w:val="24"/>
              </w:rPr>
            </w:pPr>
            <w:r w:rsidRPr="00E51EE4">
              <w:rPr>
                <w:b w:val="0"/>
                <w:bCs/>
                <w:sz w:val="24"/>
                <w:szCs w:val="24"/>
              </w:rPr>
              <w:t xml:space="preserve">Due for Review: </w:t>
            </w:r>
            <w:r w:rsidR="00DA1B54">
              <w:rPr>
                <w:b w:val="0"/>
                <w:bCs/>
                <w:sz w:val="24"/>
                <w:szCs w:val="24"/>
              </w:rPr>
              <w:t>23</w:t>
            </w:r>
            <w:r>
              <w:rPr>
                <w:b w:val="0"/>
                <w:bCs/>
                <w:sz w:val="24"/>
                <w:szCs w:val="24"/>
              </w:rPr>
              <w:t>/12/2025</w:t>
            </w:r>
          </w:p>
        </w:tc>
      </w:tr>
      <w:tr w:rsidRPr="00E51EE4" w:rsidR="00E424B4" w:rsidTr="009E664B" w14:paraId="57231918" w14:textId="77777777">
        <w:trPr>
          <w:trHeight w:val="344"/>
        </w:trPr>
        <w:tc>
          <w:tcPr>
            <w:tcW w:w="4253" w:type="dxa"/>
            <w:tcBorders>
              <w:bottom w:val="single" w:color="auto" w:sz="4" w:space="0"/>
            </w:tcBorders>
            <w:vAlign w:val="center"/>
          </w:tcPr>
          <w:p w:rsidRPr="00E51EE4" w:rsidR="00917324" w:rsidP="009E664B" w:rsidRDefault="00917324" w14:paraId="0568AE61" w14:textId="77777777">
            <w:pPr>
              <w:rPr>
                <w:bCs/>
                <w:szCs w:val="24"/>
              </w:rPr>
            </w:pPr>
            <w:r w:rsidRPr="00E51EE4">
              <w:rPr>
                <w:bCs/>
                <w:szCs w:val="24"/>
              </w:rPr>
              <w:t>Approval by: DTC</w:t>
            </w:r>
          </w:p>
        </w:tc>
        <w:tc>
          <w:tcPr>
            <w:tcW w:w="4536" w:type="dxa"/>
            <w:tcBorders>
              <w:bottom w:val="single" w:color="auto" w:sz="4" w:space="0"/>
            </w:tcBorders>
            <w:vAlign w:val="center"/>
          </w:tcPr>
          <w:p w:rsidRPr="00E51EE4" w:rsidR="00917324" w:rsidP="009E664B" w:rsidRDefault="00917324" w14:paraId="1BF668E7" w14:textId="6FBBD0CD">
            <w:pPr>
              <w:pStyle w:val="Title"/>
              <w:rPr>
                <w:b w:val="0"/>
                <w:bCs/>
                <w:sz w:val="24"/>
                <w:szCs w:val="24"/>
              </w:rPr>
            </w:pPr>
            <w:r w:rsidRPr="00E51EE4">
              <w:rPr>
                <w:b w:val="0"/>
                <w:bCs/>
                <w:sz w:val="24"/>
                <w:szCs w:val="24"/>
              </w:rPr>
              <w:t xml:space="preserve">Approval Date: </w:t>
            </w:r>
            <w:r w:rsidR="00260BC8">
              <w:rPr>
                <w:b w:val="0"/>
                <w:bCs/>
                <w:sz w:val="24"/>
                <w:szCs w:val="24"/>
              </w:rPr>
              <w:t>APRIL 2021</w:t>
            </w:r>
          </w:p>
        </w:tc>
      </w:tr>
    </w:tbl>
    <w:p w:rsidRPr="00185D91" w:rsidR="00115F48" w:rsidP="00EA7666" w:rsidRDefault="00115F48" w14:paraId="0FE05DF7" w14:textId="7ED99581">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900C7F" w14:paraId="5C42C15F"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2D81811B" w14:textId="77777777">
            <w:pPr>
              <w:pStyle w:val="Heading1"/>
            </w:pPr>
            <w:bookmarkStart w:name="_Toc495481083" w:id="116"/>
            <w:bookmarkStart w:name="_Toc495481209" w:id="117"/>
            <w:bookmarkStart w:name="_Toc495481334" w:id="118"/>
            <w:bookmarkStart w:name="_Toc495501515" w:id="119"/>
            <w:bookmarkStart w:name="_Toc38106818" w:id="120"/>
            <w:bookmarkStart w:name="_Toc75339944" w:id="121"/>
            <w:r w:rsidRPr="00E25790">
              <w:lastRenderedPageBreak/>
              <w:t>Captopril</w:t>
            </w:r>
            <w:bookmarkEnd w:id="116"/>
            <w:bookmarkEnd w:id="117"/>
            <w:bookmarkEnd w:id="118"/>
            <w:bookmarkEnd w:id="119"/>
            <w:bookmarkEnd w:id="120"/>
            <w:bookmarkEnd w:id="121"/>
            <w:r w:rsidRPr="00E25790">
              <w:fldChar w:fldCharType="begin"/>
            </w:r>
            <w:r w:rsidRPr="00E25790">
              <w:instrText>tc "Captopril" \l 0</w:instrText>
            </w:r>
            <w:r w:rsidRPr="00E25790">
              <w:fldChar w:fldCharType="end"/>
            </w:r>
          </w:p>
        </w:tc>
      </w:tr>
      <w:tr w:rsidRPr="00E25790" w:rsidR="00115F48" w:rsidTr="00900C7F" w14:paraId="4A4D656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C6320C" w:rsidP="006F0321" w:rsidRDefault="00115F48" w14:paraId="08014E2E" w14:textId="233D2E6A">
            <w:r w:rsidRPr="00E25790">
              <w:t xml:space="preserve">Revision Date : </w:t>
            </w:r>
            <w:r w:rsidR="00C6320C">
              <w:t>23-12-2020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520E712" w14:textId="11B21161">
            <w:pPr>
              <w:rPr>
                <w:color w:val="000000"/>
              </w:rPr>
            </w:pPr>
            <w:r w:rsidRPr="00E25790">
              <w:t xml:space="preserve">Approved : </w:t>
            </w:r>
            <w:r w:rsidR="00C6320C">
              <w:t>TC, KOH</w:t>
            </w:r>
          </w:p>
        </w:tc>
      </w:tr>
      <w:tr w:rsidRPr="00E25790" w:rsidR="00C82FC2" w:rsidTr="00E525C7" w14:paraId="321F239B" w14:textId="77777777">
        <w:trPr>
          <w:cantSplit/>
          <w:trHeight w:val="48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A00233" w:rsidR="00A00233" w:rsidP="00A00233" w:rsidRDefault="00A00233" w14:paraId="55CA172E" w14:textId="77777777">
            <w:pPr>
              <w:jc w:val="center"/>
              <w:rPr>
                <w:b/>
                <w:bCs/>
                <w:color w:val="FF0000"/>
              </w:rPr>
            </w:pPr>
            <w:r w:rsidRPr="00A00233">
              <w:rPr>
                <w:b/>
                <w:bCs/>
                <w:color w:val="FF0000"/>
              </w:rPr>
              <w:t>High Risk Medication</w:t>
            </w:r>
          </w:p>
          <w:p w:rsidRPr="00A00233" w:rsidR="00A00233" w:rsidP="00A00233" w:rsidRDefault="00A00233" w14:paraId="626B7C7B" w14:textId="77777777">
            <w:pPr>
              <w:jc w:val="center"/>
              <w:rPr>
                <w:color w:val="FF0000"/>
              </w:rPr>
            </w:pPr>
            <w:r w:rsidRPr="00A00233">
              <w:rPr>
                <w:color w:val="FF0000"/>
              </w:rPr>
              <w:t>Use with caution – a test dose is recommended</w:t>
            </w:r>
          </w:p>
          <w:p w:rsidRPr="00A00233" w:rsidR="00C82FC2" w:rsidP="00A00233" w:rsidRDefault="00A00233" w14:paraId="72293690" w14:textId="43E6F342">
            <w:pPr>
              <w:jc w:val="center"/>
              <w:rPr>
                <w:color w:val="FF0000"/>
              </w:rPr>
            </w:pPr>
            <w:r w:rsidRPr="00A00233">
              <w:rPr>
                <w:color w:val="FF0000"/>
              </w:rPr>
              <w:t>An overdose can be fatal – associated with significant seizures, apnoea and renal complications</w:t>
            </w:r>
          </w:p>
        </w:tc>
      </w:tr>
    </w:tbl>
    <w:p w:rsidRPr="00E25790" w:rsidR="00115F48" w:rsidP="006F0321" w:rsidRDefault="00115F48" w14:paraId="1637B4F4" w14:textId="77777777"/>
    <w:tbl>
      <w:tblPr>
        <w:tblW w:w="9490" w:type="dxa"/>
        <w:tblLayout w:type="fixed"/>
        <w:tblLook w:val="0000" w:firstRow="0" w:lastRow="0" w:firstColumn="0" w:lastColumn="0" w:noHBand="0" w:noVBand="0"/>
      </w:tblPr>
      <w:tblGrid>
        <w:gridCol w:w="2438"/>
        <w:gridCol w:w="7052"/>
      </w:tblGrid>
      <w:tr w:rsidRPr="00E25790" w:rsidR="00115F48" w:rsidTr="00204576" w14:paraId="6FCDFC42" w14:textId="77777777">
        <w:trPr>
          <w:cantSplit/>
          <w:trHeight w:val="813"/>
        </w:trPr>
        <w:tc>
          <w:tcPr>
            <w:tcW w:w="2438" w:type="dxa"/>
            <w:tcBorders>
              <w:top w:val="single" w:color="auto" w:sz="6" w:space="0"/>
              <w:left w:val="single" w:color="auto" w:sz="6" w:space="0"/>
              <w:bottom w:val="single" w:color="auto" w:sz="6" w:space="0"/>
            </w:tcBorders>
          </w:tcPr>
          <w:p w:rsidRPr="00E25790" w:rsidR="00115F48" w:rsidP="006F0321" w:rsidRDefault="00115F48" w14:paraId="72259F46" w14:textId="77777777">
            <w:r w:rsidRPr="00E25790">
              <w:t>Indication :</w:t>
            </w:r>
          </w:p>
        </w:tc>
        <w:tc>
          <w:tcPr>
            <w:tcW w:w="7052" w:type="dxa"/>
            <w:tcBorders>
              <w:top w:val="single" w:color="auto" w:sz="6" w:space="0"/>
              <w:bottom w:val="single" w:color="auto" w:sz="6" w:space="0"/>
              <w:right w:val="single" w:color="auto" w:sz="6" w:space="0"/>
            </w:tcBorders>
          </w:tcPr>
          <w:p w:rsidRPr="00E25790" w:rsidR="00115F48" w:rsidP="006F0321" w:rsidRDefault="00115F48" w14:paraId="285C27D5" w14:textId="77777777">
            <w:r w:rsidRPr="00E25790">
              <w:t>Hypertension</w:t>
            </w:r>
          </w:p>
          <w:p w:rsidRPr="00E25790" w:rsidR="00115F48" w:rsidP="006F0321" w:rsidRDefault="00273AA5" w14:paraId="7270E354" w14:textId="50656439">
            <w:r w:rsidRPr="00273AA5">
              <w:t>Afterload reduction in patients with congestive heart failure</w:t>
            </w:r>
          </w:p>
        </w:tc>
      </w:tr>
      <w:tr w:rsidRPr="00E25790" w:rsidR="00115F48" w:rsidTr="00204576" w14:paraId="4AADF49A"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4C535BCC" w14:textId="77777777">
            <w:r w:rsidRPr="00E25790">
              <w:t>Dose :</w:t>
            </w:r>
          </w:p>
        </w:tc>
        <w:tc>
          <w:tcPr>
            <w:tcW w:w="7052" w:type="dxa"/>
            <w:tcBorders>
              <w:top w:val="single" w:color="auto" w:sz="6" w:space="0"/>
              <w:bottom w:val="single" w:color="auto" w:sz="6" w:space="0"/>
              <w:right w:val="single" w:color="auto" w:sz="6" w:space="0"/>
            </w:tcBorders>
          </w:tcPr>
          <w:p w:rsidRPr="000371C2" w:rsidR="000371C2" w:rsidP="004D5A4D" w:rsidRDefault="004D5A4D" w14:paraId="2E10A6B2" w14:textId="77777777">
            <w:pPr>
              <w:rPr>
                <w:b/>
                <w:bCs/>
                <w:u w:val="single"/>
              </w:rPr>
            </w:pPr>
            <w:r w:rsidRPr="000371C2">
              <w:rPr>
                <w:b/>
                <w:bCs/>
                <w:u w:val="single"/>
              </w:rPr>
              <w:t xml:space="preserve">Oral: </w:t>
            </w:r>
          </w:p>
          <w:p w:rsidR="000371C2" w:rsidP="004D5A4D" w:rsidRDefault="004D5A4D" w14:paraId="268A2454" w14:textId="77777777">
            <w:r>
              <w:t>Monitor blood pressure during administration</w:t>
            </w:r>
          </w:p>
          <w:p w:rsidRPr="000371C2" w:rsidR="000371C2" w:rsidP="004D5A4D" w:rsidRDefault="004D5A4D" w14:paraId="540B33DA" w14:textId="7DA8D74B">
            <w:pPr>
              <w:rPr>
                <w:b/>
                <w:bCs/>
              </w:rPr>
            </w:pPr>
            <w:r w:rsidRPr="000371C2">
              <w:rPr>
                <w:b/>
                <w:bCs/>
              </w:rPr>
              <w:t>&lt; 37 weeks</w:t>
            </w:r>
          </w:p>
          <w:p w:rsidR="004D5A4D" w:rsidP="004D5A4D" w:rsidRDefault="004D5A4D" w14:paraId="4C5415C3" w14:textId="2E1593F2">
            <w:r>
              <w:t xml:space="preserve">Initial test dose: 10microgam/kg. If tolerated can give </w:t>
            </w:r>
            <w:r w:rsidR="008B3D6F">
              <w:t>1</w:t>
            </w:r>
            <w:r>
              <w:t>0</w:t>
            </w:r>
            <w:r w:rsidR="008B3D6F">
              <w:t xml:space="preserve"> </w:t>
            </w:r>
            <w:r>
              <w:t xml:space="preserve">microgram/kg every 8 hours  Titrate slowly according to response  </w:t>
            </w:r>
          </w:p>
          <w:p w:rsidR="004D5A4D" w:rsidP="004D5A4D" w:rsidRDefault="004D5A4D" w14:paraId="50D3AD4F" w14:textId="77777777">
            <w:r>
              <w:t xml:space="preserve"> </w:t>
            </w:r>
          </w:p>
          <w:p w:rsidR="008B3D6F" w:rsidP="004D5A4D" w:rsidRDefault="004D5A4D" w14:paraId="22417D0D" w14:textId="77777777">
            <w:pPr>
              <w:rPr>
                <w:b/>
                <w:bCs/>
              </w:rPr>
            </w:pPr>
            <w:r w:rsidRPr="008B3D6F">
              <w:rPr>
                <w:b/>
                <w:bCs/>
              </w:rPr>
              <w:t>≥ 37 weeks</w:t>
            </w:r>
          </w:p>
          <w:p w:rsidRPr="00E25790" w:rsidR="00115F48" w:rsidP="004D5A4D" w:rsidRDefault="004D5A4D" w14:paraId="34F589A3" w14:textId="0CD969C8">
            <w:r>
              <w:t xml:space="preserve">Initial test dose: 10-50microgram/kg If tolerated can give 10-50microgram/kg every 8-12 hours  Titrate according to response </w:t>
            </w:r>
          </w:p>
        </w:tc>
      </w:tr>
      <w:tr w:rsidRPr="00E25790" w:rsidR="00115F48" w:rsidTr="00204576" w14:paraId="5D5E75A1"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E8D8F3D" w14:textId="77777777">
            <w:r w:rsidRPr="00E25790">
              <w:t>Interval :</w:t>
            </w:r>
          </w:p>
        </w:tc>
        <w:tc>
          <w:tcPr>
            <w:tcW w:w="7052" w:type="dxa"/>
            <w:tcBorders>
              <w:top w:val="single" w:color="auto" w:sz="6" w:space="0"/>
              <w:bottom w:val="single" w:color="auto" w:sz="6" w:space="0"/>
              <w:right w:val="single" w:color="auto" w:sz="6" w:space="0"/>
            </w:tcBorders>
          </w:tcPr>
          <w:p w:rsidRPr="00E25790" w:rsidR="00115F48" w:rsidP="006F0321" w:rsidRDefault="008B3D6F" w14:paraId="543A5868" w14:textId="36C81CED">
            <w:r>
              <w:t>8-12 hourly</w:t>
            </w:r>
          </w:p>
        </w:tc>
      </w:tr>
      <w:tr w:rsidRPr="00E25790" w:rsidR="00115F48" w:rsidTr="00204576" w14:paraId="2EC50FA0"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BD39841" w14:textId="77777777">
            <w:r w:rsidRPr="00E25790">
              <w:t>Route :</w:t>
            </w:r>
          </w:p>
        </w:tc>
        <w:tc>
          <w:tcPr>
            <w:tcW w:w="7052" w:type="dxa"/>
            <w:tcBorders>
              <w:top w:val="single" w:color="auto" w:sz="6" w:space="0"/>
              <w:bottom w:val="single" w:color="auto" w:sz="6" w:space="0"/>
              <w:right w:val="single" w:color="auto" w:sz="6" w:space="0"/>
            </w:tcBorders>
          </w:tcPr>
          <w:p w:rsidR="00115F48" w:rsidP="006F0321" w:rsidRDefault="00115F48" w14:paraId="036A65BC" w14:textId="77777777">
            <w:r w:rsidRPr="00E25790">
              <w:t>Oral</w:t>
            </w:r>
          </w:p>
          <w:p w:rsidR="00906BDE" w:rsidP="00906BDE" w:rsidRDefault="00906BDE" w14:paraId="70D71A3B" w14:textId="74D5BB89">
            <w:r>
              <w:t xml:space="preserve">Extremely unpalatable – mix well with part of a feed (this is not necessary if being fed by intragastric tube). Separate dose from remainder of feed by 1 hour  as feeds may limit absorption </w:t>
            </w:r>
          </w:p>
          <w:p w:rsidRPr="00E25790" w:rsidR="00906BDE" w:rsidP="00906BDE" w:rsidRDefault="00906BDE" w14:paraId="4F84A544" w14:textId="0716370F">
            <w:r>
              <w:t>Adverse</w:t>
            </w:r>
          </w:p>
        </w:tc>
      </w:tr>
      <w:tr w:rsidRPr="00E25790" w:rsidR="00115F48" w:rsidTr="00204576" w14:paraId="6FFFB3A7"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58F53282" w14:textId="77777777">
            <w:r w:rsidRPr="00E25790">
              <w:t>Total Daily Dose :</w:t>
            </w:r>
          </w:p>
        </w:tc>
        <w:tc>
          <w:tcPr>
            <w:tcW w:w="7052" w:type="dxa"/>
            <w:tcBorders>
              <w:top w:val="single" w:color="auto" w:sz="6" w:space="0"/>
              <w:bottom w:val="single" w:color="auto" w:sz="6" w:space="0"/>
              <w:right w:val="single" w:color="auto" w:sz="6" w:space="0"/>
            </w:tcBorders>
          </w:tcPr>
          <w:p w:rsidRPr="00C06029" w:rsidR="00C06029" w:rsidP="00C06029" w:rsidRDefault="00C06029" w14:paraId="0918A5E0" w14:textId="77777777">
            <w:pPr>
              <w:rPr>
                <w:b/>
                <w:bCs/>
              </w:rPr>
            </w:pPr>
            <w:r w:rsidRPr="00C06029">
              <w:rPr>
                <w:b/>
                <w:bCs/>
              </w:rPr>
              <w:t>&lt; 37 weeks</w:t>
            </w:r>
          </w:p>
          <w:p w:rsidR="00C06029" w:rsidP="00C06029" w:rsidRDefault="00C06029" w14:paraId="11A028F7" w14:textId="06B1C850">
            <w:r>
              <w:t xml:space="preserve">Maximum 300microgram/ kg in 24 hours   </w:t>
            </w:r>
          </w:p>
          <w:p w:rsidR="00C06029" w:rsidP="00C06029" w:rsidRDefault="00C06029" w14:paraId="4850541C" w14:textId="77777777">
            <w:r>
              <w:t xml:space="preserve"> </w:t>
            </w:r>
          </w:p>
          <w:p w:rsidRPr="00C06029" w:rsidR="00C06029" w:rsidP="00C06029" w:rsidRDefault="00C06029" w14:paraId="4CB7A1D8" w14:textId="77777777">
            <w:pPr>
              <w:rPr>
                <w:b/>
                <w:bCs/>
              </w:rPr>
            </w:pPr>
            <w:r w:rsidRPr="00C06029">
              <w:rPr>
                <w:b/>
                <w:bCs/>
              </w:rPr>
              <w:t>≥ 37 weeks</w:t>
            </w:r>
          </w:p>
          <w:p w:rsidRPr="00E25790" w:rsidR="00115F48" w:rsidP="00C06029" w:rsidRDefault="00C06029" w14:paraId="519F86B5" w14:textId="6D5E66B2">
            <w:r>
              <w:t xml:space="preserve">Maximum of 2000microgram/ kg in 24 hours   </w:t>
            </w:r>
          </w:p>
        </w:tc>
      </w:tr>
      <w:tr w:rsidRPr="00E25790" w:rsidR="00861343" w:rsidTr="00204576" w14:paraId="16639216" w14:textId="77777777">
        <w:trPr>
          <w:cantSplit/>
          <w:trHeight w:val="1200"/>
        </w:trPr>
        <w:tc>
          <w:tcPr>
            <w:tcW w:w="2438" w:type="dxa"/>
            <w:tcBorders>
              <w:top w:val="single" w:color="auto" w:sz="6" w:space="0"/>
              <w:left w:val="single" w:color="auto" w:sz="6" w:space="0"/>
              <w:bottom w:val="single" w:color="auto" w:sz="6" w:space="0"/>
            </w:tcBorders>
          </w:tcPr>
          <w:p w:rsidRPr="00E25790" w:rsidR="00861343" w:rsidP="006F0321" w:rsidRDefault="00861343" w14:paraId="3F9C0F12" w14:textId="3EF3B9D8">
            <w:r>
              <w:t>Adverse Reactions:</w:t>
            </w:r>
          </w:p>
        </w:tc>
        <w:tc>
          <w:tcPr>
            <w:tcW w:w="7052" w:type="dxa"/>
            <w:tcBorders>
              <w:top w:val="single" w:color="auto" w:sz="6" w:space="0"/>
              <w:bottom w:val="single" w:color="auto" w:sz="6" w:space="0"/>
              <w:right w:val="single" w:color="auto" w:sz="6" w:space="0"/>
            </w:tcBorders>
          </w:tcPr>
          <w:p w:rsidR="00861343" w:rsidP="00061BE9" w:rsidRDefault="00861343" w14:paraId="272D7BFF" w14:textId="77777777">
            <w:r>
              <w:t>Common: cough, hypotension, raised creatinine</w:t>
            </w:r>
          </w:p>
          <w:p w:rsidRPr="00E25790" w:rsidR="00861343" w:rsidP="006F0321" w:rsidRDefault="00861343" w14:paraId="60FAF3B0" w14:textId="16FAA807">
            <w:r w:rsidRPr="00861343">
              <w:t>Serious: hyperkalaemia,  angioedema /anaphylaxis, apnoea, seizures</w:t>
            </w:r>
          </w:p>
        </w:tc>
      </w:tr>
      <w:tr w:rsidRPr="00E25790" w:rsidR="00861343" w:rsidTr="00204576" w14:paraId="092554D7" w14:textId="77777777">
        <w:trPr>
          <w:cantSplit/>
          <w:trHeight w:val="1015"/>
        </w:trPr>
        <w:tc>
          <w:tcPr>
            <w:tcW w:w="2438" w:type="dxa"/>
            <w:tcBorders>
              <w:top w:val="single" w:color="auto" w:sz="6" w:space="0"/>
              <w:left w:val="single" w:color="auto" w:sz="6" w:space="0"/>
              <w:bottom w:val="single" w:color="auto" w:sz="6" w:space="0"/>
            </w:tcBorders>
          </w:tcPr>
          <w:p w:rsidRPr="00E25790" w:rsidR="00861343" w:rsidP="006F0321" w:rsidRDefault="00861343" w14:paraId="55ABA18A" w14:textId="6A007DE2">
            <w:r w:rsidRPr="00E25790">
              <w:lastRenderedPageBreak/>
              <w:t>Comments :</w:t>
            </w:r>
          </w:p>
        </w:tc>
        <w:tc>
          <w:tcPr>
            <w:tcW w:w="7052" w:type="dxa"/>
            <w:tcBorders>
              <w:top w:val="single" w:color="auto" w:sz="6" w:space="0"/>
              <w:bottom w:val="single" w:color="auto" w:sz="6" w:space="0"/>
              <w:right w:val="single" w:color="auto" w:sz="6" w:space="0"/>
            </w:tcBorders>
          </w:tcPr>
          <w:p w:rsidR="00337E85" w:rsidP="00061BE9" w:rsidRDefault="00C87BC5" w14:paraId="20003696" w14:textId="07AEEC93">
            <w:r>
              <w:t xml:space="preserve">- </w:t>
            </w:r>
            <w:r w:rsidRPr="00E25790" w:rsidR="00861343">
              <w:t>ACE inhibitor functions in cases of presumed hyper-reninaemia.</w:t>
            </w:r>
          </w:p>
          <w:p w:rsidR="00C87BC5" w:rsidP="00061BE9" w:rsidRDefault="00C87BC5" w14:paraId="73796774" w14:textId="5CB6669E">
            <w:r>
              <w:t xml:space="preserve">- </w:t>
            </w:r>
            <w:r w:rsidRPr="00337E85" w:rsidR="00337E85">
              <w:t>High risk of hyperkalaemia if used with potassium sparing diuretics (i.e. spironolactone) or potassium supplementation</w:t>
            </w:r>
            <w:r w:rsidR="00337E85">
              <w:t>.</w:t>
            </w:r>
          </w:p>
          <w:p w:rsidR="00861343" w:rsidP="00061BE9" w:rsidRDefault="00C87BC5" w14:paraId="43B1402A" w14:textId="5C8BA379">
            <w:r>
              <w:t xml:space="preserve">- </w:t>
            </w:r>
            <w:r w:rsidRPr="00337E85" w:rsidR="00337E85">
              <w:t>Pentoxifylline and sildenafil may increase captopril effects</w:t>
            </w:r>
            <w:r w:rsidRPr="00E25790" w:rsidR="00861343">
              <w:t xml:space="preserve">  </w:t>
            </w:r>
          </w:p>
          <w:p w:rsidR="00C87BC5" w:rsidP="00061BE9" w:rsidRDefault="00C87BC5" w14:paraId="3F464C15" w14:textId="740B3E42">
            <w:r>
              <w:t xml:space="preserve">- Monitor </w:t>
            </w:r>
            <w:r w:rsidRPr="00C87BC5">
              <w:t xml:space="preserve">Urea and electrolytes (particularly creatinine and potassium) </w:t>
            </w:r>
          </w:p>
          <w:p w:rsidR="00C87BC5" w:rsidP="00061BE9" w:rsidRDefault="00C87BC5" w14:paraId="6C6B6B87" w14:textId="77777777">
            <w:pPr>
              <w:rPr>
                <w:b/>
                <w:bCs/>
              </w:rPr>
            </w:pPr>
            <w:r>
              <w:t xml:space="preserve">- </w:t>
            </w:r>
            <w:r w:rsidRPr="00C87BC5">
              <w:t>Continuous blood pressure monitoring</w:t>
            </w:r>
            <w:r w:rsidR="00E752E8">
              <w:t xml:space="preserve">. </w:t>
            </w:r>
            <w:r w:rsidRPr="00E752E8" w:rsidR="00E752E8">
              <w:rPr>
                <w:b/>
                <w:bCs/>
              </w:rPr>
              <w:t>Neonatal response to captopril is variable and neonates can become profoundly hypotensive even with a small dose</w:t>
            </w:r>
          </w:p>
          <w:p w:rsidRPr="00E25790" w:rsidR="00E752E8" w:rsidP="00061BE9" w:rsidRDefault="00E752E8" w14:paraId="346105B9" w14:textId="00F06421">
            <w:r>
              <w:rPr>
                <w:b/>
                <w:bCs/>
              </w:rPr>
              <w:t>-Contraindicated in renal artery stenosis</w:t>
            </w:r>
          </w:p>
        </w:tc>
      </w:tr>
      <w:tr w:rsidRPr="00E25790" w:rsidR="00861343" w:rsidTr="00204576" w14:paraId="1600AC61" w14:textId="77777777">
        <w:trPr>
          <w:cantSplit/>
          <w:trHeight w:val="1015"/>
        </w:trPr>
        <w:tc>
          <w:tcPr>
            <w:tcW w:w="2438" w:type="dxa"/>
            <w:tcBorders>
              <w:top w:val="single" w:color="auto" w:sz="6" w:space="0"/>
              <w:left w:val="single" w:color="auto" w:sz="6" w:space="0"/>
              <w:bottom w:val="single" w:color="auto" w:sz="6" w:space="0"/>
            </w:tcBorders>
          </w:tcPr>
          <w:p w:rsidR="00861343" w:rsidP="00861343" w:rsidRDefault="00861343" w14:paraId="0A813AAB" w14:textId="5BE5EAD0">
            <w:r w:rsidRPr="00E25790">
              <w:t>Supplied as :</w:t>
            </w:r>
          </w:p>
        </w:tc>
        <w:tc>
          <w:tcPr>
            <w:tcW w:w="7052" w:type="dxa"/>
            <w:tcBorders>
              <w:top w:val="single" w:color="auto" w:sz="6" w:space="0"/>
              <w:bottom w:val="single" w:color="auto" w:sz="6" w:space="0"/>
              <w:right w:val="single" w:color="auto" w:sz="6" w:space="0"/>
            </w:tcBorders>
          </w:tcPr>
          <w:p w:rsidR="00861343" w:rsidP="00861343" w:rsidRDefault="00861343" w14:paraId="0121296F" w14:textId="77777777">
            <w:r w:rsidRPr="00E25790">
              <w:t>A clear, colourless, plum flavoured syrup containing 5</w:t>
            </w:r>
            <w:r>
              <w:t>000 microg</w:t>
            </w:r>
            <w:r w:rsidRPr="00E25790">
              <w:t>/ml of solution.</w:t>
            </w:r>
            <w:r>
              <w:t xml:space="preserve"> May be diluted with water for lower doses</w:t>
            </w:r>
          </w:p>
          <w:p w:rsidRPr="00E25790" w:rsidR="00861343" w:rsidP="00861343" w:rsidRDefault="00861343" w14:paraId="703F4271" w14:textId="77777777"/>
          <w:p w:rsidR="00861343" w:rsidP="00861343" w:rsidRDefault="00861343" w14:paraId="1AB467D9" w14:textId="45E4CEF4">
            <w:r w:rsidRPr="00E25790">
              <w:t>When syrup is unavailable, disperse one tablet in water to make a 1</w:t>
            </w:r>
            <w:r>
              <w:t>000 microg</w:t>
            </w:r>
            <w:r w:rsidRPr="00E25790">
              <w:t>/mL mixture. Discard unused portion immediately after preparation.</w:t>
            </w:r>
          </w:p>
        </w:tc>
      </w:tr>
      <w:tr w:rsidRPr="00E25790" w:rsidR="00861343" w:rsidTr="00204576" w14:paraId="0FE2D867" w14:textId="77777777">
        <w:trPr>
          <w:cantSplit/>
          <w:trHeight w:val="480"/>
        </w:trPr>
        <w:tc>
          <w:tcPr>
            <w:tcW w:w="2438" w:type="dxa"/>
            <w:tcBorders>
              <w:top w:val="single" w:color="auto" w:sz="6" w:space="0"/>
              <w:left w:val="single" w:color="auto" w:sz="6" w:space="0"/>
              <w:bottom w:val="single" w:color="auto" w:sz="6" w:space="0"/>
            </w:tcBorders>
          </w:tcPr>
          <w:p w:rsidRPr="00E25790" w:rsidR="00861343" w:rsidP="00861343" w:rsidRDefault="00861343" w14:paraId="04E82618" w14:textId="52732A5F">
            <w:r w:rsidRPr="00E25790">
              <w:t>Dilution :</w:t>
            </w:r>
          </w:p>
        </w:tc>
        <w:tc>
          <w:tcPr>
            <w:tcW w:w="7052" w:type="dxa"/>
            <w:tcBorders>
              <w:top w:val="single" w:color="auto" w:sz="6" w:space="0"/>
              <w:bottom w:val="single" w:color="auto" w:sz="6" w:space="0"/>
              <w:right w:val="single" w:color="auto" w:sz="6" w:space="0"/>
            </w:tcBorders>
          </w:tcPr>
          <w:p w:rsidRPr="00E25790" w:rsidR="00861343" w:rsidP="00861343" w:rsidRDefault="00861343" w14:paraId="749B9653" w14:textId="1010D87A">
            <w:r w:rsidRPr="00E25790">
              <w:t>Dilute 1 ml of syrup with 4 ml of water to make 1 mg/ml solution.  Administer immediately and discard remainder after use.</w:t>
            </w:r>
          </w:p>
        </w:tc>
      </w:tr>
      <w:tr w:rsidRPr="00E25790" w:rsidR="00861343" w:rsidTr="00204576" w14:paraId="3F0903C0" w14:textId="77777777">
        <w:trPr>
          <w:cantSplit/>
          <w:trHeight w:val="799"/>
        </w:trPr>
        <w:tc>
          <w:tcPr>
            <w:tcW w:w="2438" w:type="dxa"/>
            <w:tcBorders>
              <w:top w:val="single" w:color="auto" w:sz="6" w:space="0"/>
              <w:left w:val="single" w:color="auto" w:sz="6" w:space="0"/>
              <w:bottom w:val="single" w:color="auto" w:sz="6" w:space="0"/>
            </w:tcBorders>
          </w:tcPr>
          <w:p w:rsidRPr="00E25790" w:rsidR="00861343" w:rsidP="00861343" w:rsidRDefault="00861343" w14:paraId="0C94B0C7" w14:textId="438868F9">
            <w:r w:rsidRPr="00E25790">
              <w:t>Stability :</w:t>
            </w:r>
          </w:p>
        </w:tc>
        <w:tc>
          <w:tcPr>
            <w:tcW w:w="7052" w:type="dxa"/>
            <w:tcBorders>
              <w:top w:val="single" w:color="auto" w:sz="6" w:space="0"/>
              <w:bottom w:val="single" w:color="auto" w:sz="6" w:space="0"/>
              <w:right w:val="single" w:color="auto" w:sz="6" w:space="0"/>
            </w:tcBorders>
          </w:tcPr>
          <w:p w:rsidRPr="00E25790" w:rsidR="00861343" w:rsidP="00861343" w:rsidRDefault="00861343" w14:paraId="3F4E6F1A" w14:textId="3E78416C">
            <w:r w:rsidRPr="00E25790">
              <w:t>may be kept up to 28 days after opening.</w:t>
            </w:r>
          </w:p>
        </w:tc>
      </w:tr>
      <w:tr w:rsidRPr="00E25790" w:rsidR="00861343" w:rsidTr="00204576" w14:paraId="25F9D7B1" w14:textId="77777777">
        <w:trPr>
          <w:cantSplit/>
          <w:trHeight w:val="480"/>
        </w:trPr>
        <w:tc>
          <w:tcPr>
            <w:tcW w:w="2438" w:type="dxa"/>
            <w:tcBorders>
              <w:top w:val="single" w:color="auto" w:sz="6" w:space="0"/>
              <w:left w:val="single" w:color="auto" w:sz="6" w:space="0"/>
              <w:bottom w:val="single" w:color="auto" w:sz="6" w:space="0"/>
            </w:tcBorders>
          </w:tcPr>
          <w:p w:rsidRPr="00E25790" w:rsidR="00861343" w:rsidP="00861343" w:rsidRDefault="00861343" w14:paraId="57E1A548" w14:textId="1959A18F">
            <w:r w:rsidRPr="00E25790">
              <w:t>Storage :</w:t>
            </w:r>
          </w:p>
        </w:tc>
        <w:tc>
          <w:tcPr>
            <w:tcW w:w="7052" w:type="dxa"/>
            <w:tcBorders>
              <w:top w:val="single" w:color="auto" w:sz="6" w:space="0"/>
              <w:bottom w:val="single" w:color="auto" w:sz="6" w:space="0"/>
              <w:right w:val="single" w:color="auto" w:sz="6" w:space="0"/>
            </w:tcBorders>
          </w:tcPr>
          <w:p w:rsidRPr="00E25790" w:rsidR="00861343" w:rsidP="00861343" w:rsidRDefault="00252B08" w14:paraId="068E8E68" w14:textId="1066A15B">
            <w:r w:rsidRPr="00252B08">
              <w:t>Store oral solution in the refrigerator between 2-8 degrees. Discard oral solution 28 days after opening bottle</w:t>
            </w:r>
          </w:p>
        </w:tc>
      </w:tr>
      <w:tr w:rsidRPr="00E25790" w:rsidR="00861343" w:rsidTr="00204576" w14:paraId="18C4836A" w14:textId="77777777">
        <w:trPr>
          <w:cantSplit/>
          <w:trHeight w:val="480"/>
        </w:trPr>
        <w:tc>
          <w:tcPr>
            <w:tcW w:w="2438" w:type="dxa"/>
            <w:tcBorders>
              <w:top w:val="single" w:color="auto" w:sz="6" w:space="0"/>
              <w:left w:val="single" w:color="auto" w:sz="6" w:space="0"/>
              <w:bottom w:val="single" w:color="auto" w:sz="6" w:space="0"/>
            </w:tcBorders>
          </w:tcPr>
          <w:p w:rsidRPr="00E25790" w:rsidR="00861343" w:rsidP="00861343" w:rsidRDefault="00861343" w14:paraId="7CD465B5" w14:textId="547548E4">
            <w:r w:rsidRPr="00E25790">
              <w:t>Incompatibility :</w:t>
            </w:r>
          </w:p>
        </w:tc>
        <w:tc>
          <w:tcPr>
            <w:tcW w:w="7052" w:type="dxa"/>
            <w:tcBorders>
              <w:top w:val="single" w:color="auto" w:sz="6" w:space="0"/>
              <w:bottom w:val="single" w:color="auto" w:sz="6" w:space="0"/>
              <w:right w:val="single" w:color="auto" w:sz="6" w:space="0"/>
            </w:tcBorders>
          </w:tcPr>
          <w:p w:rsidRPr="00E25790" w:rsidR="00861343" w:rsidP="00861343" w:rsidRDefault="00861343" w14:paraId="7B4ECABC" w14:textId="327A2DF1">
            <w:r w:rsidRPr="00E25790">
              <w:t>Not Applicable.</w:t>
            </w:r>
          </w:p>
        </w:tc>
      </w:tr>
      <w:tr w:rsidRPr="00E25790" w:rsidR="00861343" w:rsidTr="00204576" w14:paraId="5B000FFB" w14:textId="77777777">
        <w:trPr>
          <w:cantSplit/>
          <w:trHeight w:val="480"/>
        </w:trPr>
        <w:tc>
          <w:tcPr>
            <w:tcW w:w="2438" w:type="dxa"/>
            <w:tcBorders>
              <w:top w:val="single" w:color="auto" w:sz="6" w:space="0"/>
              <w:left w:val="single" w:color="auto" w:sz="6" w:space="0"/>
              <w:bottom w:val="single" w:color="auto" w:sz="6" w:space="0"/>
            </w:tcBorders>
          </w:tcPr>
          <w:p w:rsidRPr="00E25790" w:rsidR="00861343" w:rsidP="00861343" w:rsidRDefault="00861343" w14:paraId="45F22963" w14:textId="27FDE647">
            <w:r w:rsidRPr="00E25790">
              <w:t>Serum Levels :</w:t>
            </w:r>
          </w:p>
        </w:tc>
        <w:tc>
          <w:tcPr>
            <w:tcW w:w="7052" w:type="dxa"/>
            <w:tcBorders>
              <w:top w:val="single" w:color="auto" w:sz="6" w:space="0"/>
              <w:bottom w:val="single" w:color="auto" w:sz="6" w:space="0"/>
              <w:right w:val="single" w:color="auto" w:sz="6" w:space="0"/>
            </w:tcBorders>
          </w:tcPr>
          <w:p w:rsidRPr="00E25790" w:rsidR="00861343" w:rsidP="00861343" w:rsidRDefault="00861343" w14:paraId="762A976C" w14:textId="6199E093">
            <w:r w:rsidRPr="00E25790">
              <w:t>Not Applicable.</w:t>
            </w:r>
          </w:p>
        </w:tc>
      </w:tr>
      <w:tr w:rsidRPr="00E25790" w:rsidR="00861343" w:rsidTr="00204576" w14:paraId="61FA88AE" w14:textId="77777777">
        <w:trPr>
          <w:cantSplit/>
          <w:trHeight w:val="480"/>
        </w:trPr>
        <w:tc>
          <w:tcPr>
            <w:tcW w:w="2438" w:type="dxa"/>
            <w:tcBorders>
              <w:top w:val="single" w:color="auto" w:sz="6" w:space="0"/>
              <w:left w:val="single" w:color="auto" w:sz="6" w:space="0"/>
              <w:bottom w:val="single" w:color="auto" w:sz="6" w:space="0"/>
            </w:tcBorders>
          </w:tcPr>
          <w:p w:rsidRPr="00E25790" w:rsidR="00861343" w:rsidP="00861343" w:rsidRDefault="00861343" w14:paraId="2C71F2DE" w14:textId="0C308D9E"/>
        </w:tc>
        <w:tc>
          <w:tcPr>
            <w:tcW w:w="7052" w:type="dxa"/>
            <w:tcBorders>
              <w:top w:val="single" w:color="auto" w:sz="6" w:space="0"/>
              <w:bottom w:val="single" w:color="auto" w:sz="6" w:space="0"/>
              <w:right w:val="single" w:color="auto" w:sz="6" w:space="0"/>
            </w:tcBorders>
          </w:tcPr>
          <w:p w:rsidRPr="00E25790" w:rsidR="00861343" w:rsidP="00861343" w:rsidRDefault="00861343" w14:paraId="2A7EEA98" w14:textId="3CBF2664"/>
        </w:tc>
      </w:tr>
    </w:tbl>
    <w:p w:rsidR="00115F48" w:rsidP="006F0321" w:rsidRDefault="00115F48" w14:paraId="635A75A4" w14:textId="77777777"/>
    <w:p w:rsidRPr="00CA1D91" w:rsidR="00CA1D91" w:rsidP="006F0321" w:rsidRDefault="00CA1D91" w14:paraId="1A91FC3A" w14:textId="0F692886">
      <w:pPr>
        <w:rPr>
          <w:b/>
          <w:bCs/>
        </w:rPr>
      </w:pPr>
      <w:r w:rsidRPr="00CA1D91">
        <w:rPr>
          <w:b/>
          <w:bCs/>
        </w:rPr>
        <w:t>References</w:t>
      </w:r>
      <w:r>
        <w:rPr>
          <w:b/>
          <w:bCs/>
        </w:rPr>
        <w:t>:</w:t>
      </w:r>
    </w:p>
    <w:p w:rsidRPr="00DA1B54" w:rsidR="00CA1D91" w:rsidP="001B0E05" w:rsidRDefault="00CA1D91" w14:paraId="6E6BC82B" w14:textId="0FF04CA9">
      <w:pPr>
        <w:pStyle w:val="ListParagraph"/>
        <w:numPr>
          <w:ilvl w:val="0"/>
          <w:numId w:val="84"/>
        </w:numPr>
        <w:rPr>
          <w:sz w:val="16"/>
          <w:szCs w:val="16"/>
        </w:rPr>
      </w:pPr>
      <w:r w:rsidRPr="00DA1B54">
        <w:rPr>
          <w:sz w:val="16"/>
          <w:szCs w:val="16"/>
        </w:rPr>
        <w:t xml:space="preserve">Truven Health Analytics. Captopril. In: NeoFax [Internet]. Greenwood Village (CO): Truven Health Analytics; 2020 [cited 23-12-2020]. Available from: </w:t>
      </w:r>
      <w:hyperlink w:history="1" r:id="rId21">
        <w:r w:rsidRPr="00DA1B54">
          <w:rPr>
            <w:rStyle w:val="Hyperlink"/>
            <w:sz w:val="16"/>
            <w:szCs w:val="16"/>
          </w:rPr>
          <w:t>https://neofax.micromedexsolutions.com/</w:t>
        </w:r>
      </w:hyperlink>
    </w:p>
    <w:p w:rsidRPr="00DA1B54" w:rsidR="00CA1D91" w:rsidP="001B0E05" w:rsidRDefault="00CA1D91" w14:paraId="28DBC8E4" w14:textId="77777777">
      <w:pPr>
        <w:pStyle w:val="ListParagraph"/>
        <w:numPr>
          <w:ilvl w:val="0"/>
          <w:numId w:val="84"/>
        </w:numPr>
        <w:rPr>
          <w:sz w:val="16"/>
          <w:szCs w:val="16"/>
        </w:rPr>
      </w:pPr>
      <w:r w:rsidRPr="00DA1B54">
        <w:rPr>
          <w:sz w:val="16"/>
          <w:szCs w:val="16"/>
        </w:rPr>
        <w:t>Ainsworth SB. Neonatal formulary 7: drug use in pregnancy and the first year of life. Seventh ed. Chichester (West Sussex): John Wiley &amp; Sons Inc.; 2015. P124.</w:t>
      </w:r>
    </w:p>
    <w:p w:rsidRPr="00DA1B54" w:rsidR="00CA1D91" w:rsidP="001B0E05" w:rsidRDefault="00CA1D91" w14:paraId="3321E1AD" w14:textId="77777777">
      <w:pPr>
        <w:pStyle w:val="ListParagraph"/>
        <w:numPr>
          <w:ilvl w:val="0"/>
          <w:numId w:val="84"/>
        </w:numPr>
        <w:rPr>
          <w:sz w:val="16"/>
          <w:szCs w:val="16"/>
        </w:rPr>
      </w:pPr>
      <w:r w:rsidRPr="00DA1B54">
        <w:rPr>
          <w:sz w:val="16"/>
          <w:szCs w:val="16"/>
        </w:rPr>
        <w:t>Takemoto CK, Hodding JH, Kraus DM. Pediatric &amp; neonatal dosage handbook with international trade names index : a universal resource for clinicians treating pediatric and neonatal patients. 24th ed. Hudson (Ohio): Lexicomp; 2019. P346-9.</w:t>
      </w:r>
    </w:p>
    <w:p w:rsidRPr="00DA1B54" w:rsidR="00CA1D91" w:rsidP="001B0E05" w:rsidRDefault="00CA1D91" w14:paraId="4F92F94F" w14:textId="35DB7B00">
      <w:pPr>
        <w:pStyle w:val="ListParagraph"/>
        <w:numPr>
          <w:ilvl w:val="0"/>
          <w:numId w:val="84"/>
        </w:numPr>
        <w:rPr>
          <w:sz w:val="16"/>
          <w:szCs w:val="16"/>
        </w:rPr>
      </w:pPr>
      <w:r w:rsidRPr="00DA1B54">
        <w:rPr>
          <w:sz w:val="16"/>
          <w:szCs w:val="16"/>
        </w:rPr>
        <w:t>British National Formulary. BNF for Children. 2018-19 ed. London, UK: BMJ Group and Pharmaceutical Press; 2018.</w:t>
      </w:r>
    </w:p>
    <w:p w:rsidRPr="00E25790" w:rsidR="00115F48" w:rsidP="006F0321" w:rsidRDefault="00115F48" w14:paraId="20600D24"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53"/>
        <w:gridCol w:w="4536"/>
      </w:tblGrid>
      <w:tr w:rsidRPr="00E51EE4" w:rsidR="00E424B4" w:rsidTr="009E664B" w14:paraId="517C1A1D" w14:textId="77777777">
        <w:tc>
          <w:tcPr>
            <w:tcW w:w="4253" w:type="dxa"/>
            <w:vAlign w:val="center"/>
          </w:tcPr>
          <w:p w:rsidRPr="00E51EE4" w:rsidR="00DA1B54" w:rsidP="009E664B" w:rsidRDefault="00DA1B54" w14:paraId="1B9722DA" w14:textId="0EE14B11">
            <w:pPr>
              <w:pStyle w:val="Title"/>
              <w:rPr>
                <w:b w:val="0"/>
                <w:bCs/>
                <w:sz w:val="24"/>
                <w:szCs w:val="24"/>
              </w:rPr>
            </w:pPr>
            <w:r w:rsidRPr="00E51EE4">
              <w:rPr>
                <w:b w:val="0"/>
                <w:bCs/>
                <w:sz w:val="24"/>
                <w:szCs w:val="24"/>
              </w:rPr>
              <w:t xml:space="preserve">Original version Date: </w:t>
            </w:r>
            <w:r>
              <w:rPr>
                <w:b w:val="0"/>
                <w:bCs/>
                <w:sz w:val="24"/>
                <w:szCs w:val="24"/>
              </w:rPr>
              <w:t>9/1/2014</w:t>
            </w:r>
          </w:p>
        </w:tc>
        <w:tc>
          <w:tcPr>
            <w:tcW w:w="4536" w:type="dxa"/>
            <w:vAlign w:val="center"/>
          </w:tcPr>
          <w:p w:rsidRPr="00E51EE4" w:rsidR="00DA1B54" w:rsidP="009E664B" w:rsidRDefault="00DA1B54" w14:paraId="1020B2E8" w14:textId="4C48D0AD">
            <w:pPr>
              <w:pStyle w:val="Title"/>
              <w:rPr>
                <w:b w:val="0"/>
                <w:bCs/>
                <w:sz w:val="24"/>
                <w:szCs w:val="24"/>
              </w:rPr>
            </w:pPr>
            <w:r w:rsidRPr="00E51EE4">
              <w:rPr>
                <w:b w:val="0"/>
                <w:bCs/>
                <w:sz w:val="24"/>
                <w:szCs w:val="24"/>
              </w:rPr>
              <w:t xml:space="preserve">Author: </w:t>
            </w:r>
            <w:r>
              <w:rPr>
                <w:b w:val="0"/>
                <w:bCs/>
                <w:sz w:val="24"/>
                <w:szCs w:val="24"/>
              </w:rPr>
              <w:t>AK, JD</w:t>
            </w:r>
          </w:p>
        </w:tc>
      </w:tr>
      <w:tr w:rsidRPr="00E51EE4" w:rsidR="00E424B4" w:rsidTr="009E664B" w14:paraId="02777FB6" w14:textId="77777777">
        <w:tc>
          <w:tcPr>
            <w:tcW w:w="4253" w:type="dxa"/>
            <w:vAlign w:val="center"/>
          </w:tcPr>
          <w:p w:rsidRPr="00E51EE4" w:rsidR="00DA1B54" w:rsidP="009E664B" w:rsidRDefault="00DA1B54" w14:paraId="2102AE58" w14:textId="77777777">
            <w:pPr>
              <w:pStyle w:val="Title"/>
              <w:rPr>
                <w:b w:val="0"/>
                <w:bCs/>
                <w:sz w:val="24"/>
                <w:szCs w:val="24"/>
              </w:rPr>
            </w:pPr>
            <w:r w:rsidRPr="00E51EE4">
              <w:rPr>
                <w:b w:val="0"/>
                <w:bCs/>
                <w:sz w:val="24"/>
                <w:szCs w:val="24"/>
              </w:rPr>
              <w:t xml:space="preserve">Current Version number:  </w:t>
            </w:r>
            <w:r>
              <w:rPr>
                <w:b w:val="0"/>
                <w:bCs/>
                <w:sz w:val="24"/>
                <w:szCs w:val="24"/>
              </w:rPr>
              <w:t>2</w:t>
            </w:r>
          </w:p>
        </w:tc>
        <w:tc>
          <w:tcPr>
            <w:tcW w:w="4536" w:type="dxa"/>
            <w:vAlign w:val="center"/>
          </w:tcPr>
          <w:p w:rsidRPr="00E51EE4" w:rsidR="00DA1B54" w:rsidP="009E664B" w:rsidRDefault="00DA1B54" w14:paraId="7EE71758" w14:textId="669FB81B">
            <w:pPr>
              <w:pStyle w:val="Title"/>
              <w:rPr>
                <w:b w:val="0"/>
                <w:bCs/>
                <w:sz w:val="24"/>
                <w:szCs w:val="24"/>
              </w:rPr>
            </w:pPr>
            <w:r w:rsidRPr="00E51EE4">
              <w:rPr>
                <w:b w:val="0"/>
                <w:bCs/>
                <w:sz w:val="24"/>
                <w:szCs w:val="24"/>
              </w:rPr>
              <w:t xml:space="preserve">Version Date:  </w:t>
            </w:r>
            <w:r>
              <w:rPr>
                <w:b w:val="0"/>
                <w:bCs/>
                <w:sz w:val="24"/>
                <w:szCs w:val="24"/>
              </w:rPr>
              <w:t>23/12/2020</w:t>
            </w:r>
          </w:p>
        </w:tc>
      </w:tr>
      <w:tr w:rsidRPr="00E51EE4" w:rsidR="00E424B4" w:rsidTr="009E664B" w14:paraId="70724F38" w14:textId="77777777">
        <w:tc>
          <w:tcPr>
            <w:tcW w:w="4253" w:type="dxa"/>
            <w:vAlign w:val="center"/>
          </w:tcPr>
          <w:p w:rsidRPr="00E51EE4" w:rsidR="00DA1B54" w:rsidP="009E664B" w:rsidRDefault="00DA1B54" w14:paraId="3D6B1C98" w14:textId="77777777">
            <w:pPr>
              <w:pStyle w:val="Title"/>
              <w:rPr>
                <w:b w:val="0"/>
                <w:bCs/>
                <w:sz w:val="24"/>
                <w:szCs w:val="24"/>
              </w:rPr>
            </w:pPr>
            <w:r w:rsidRPr="00E51EE4">
              <w:rPr>
                <w:b w:val="0"/>
                <w:bCs/>
                <w:sz w:val="24"/>
                <w:szCs w:val="24"/>
              </w:rPr>
              <w:t>Risk Rating: Medium</w:t>
            </w:r>
          </w:p>
        </w:tc>
        <w:tc>
          <w:tcPr>
            <w:tcW w:w="4536" w:type="dxa"/>
            <w:vAlign w:val="center"/>
          </w:tcPr>
          <w:p w:rsidRPr="00E51EE4" w:rsidR="00DA1B54" w:rsidP="009E664B" w:rsidRDefault="00DA1B54" w14:paraId="5134C4E4" w14:textId="04B0846C">
            <w:pPr>
              <w:pStyle w:val="Title"/>
              <w:rPr>
                <w:b w:val="0"/>
                <w:bCs/>
                <w:sz w:val="24"/>
                <w:szCs w:val="24"/>
              </w:rPr>
            </w:pPr>
            <w:r w:rsidRPr="00E51EE4">
              <w:rPr>
                <w:b w:val="0"/>
                <w:bCs/>
                <w:sz w:val="24"/>
                <w:szCs w:val="24"/>
              </w:rPr>
              <w:t xml:space="preserve">Due for Review: </w:t>
            </w:r>
            <w:r>
              <w:rPr>
                <w:b w:val="0"/>
                <w:bCs/>
                <w:sz w:val="24"/>
                <w:szCs w:val="24"/>
              </w:rPr>
              <w:t>23/12/2025</w:t>
            </w:r>
          </w:p>
        </w:tc>
      </w:tr>
      <w:tr w:rsidRPr="00E51EE4" w:rsidR="00E424B4" w:rsidTr="009E664B" w14:paraId="5E5C1BEB" w14:textId="77777777">
        <w:trPr>
          <w:trHeight w:val="344"/>
        </w:trPr>
        <w:tc>
          <w:tcPr>
            <w:tcW w:w="4253" w:type="dxa"/>
            <w:tcBorders>
              <w:bottom w:val="single" w:color="auto" w:sz="4" w:space="0"/>
            </w:tcBorders>
            <w:vAlign w:val="center"/>
          </w:tcPr>
          <w:p w:rsidRPr="00E51EE4" w:rsidR="00DA1B54" w:rsidP="009E664B" w:rsidRDefault="00DA1B54" w14:paraId="6C5602DD" w14:textId="77777777">
            <w:pPr>
              <w:rPr>
                <w:bCs/>
                <w:szCs w:val="24"/>
              </w:rPr>
            </w:pPr>
            <w:r w:rsidRPr="00E51EE4">
              <w:rPr>
                <w:bCs/>
                <w:szCs w:val="24"/>
              </w:rPr>
              <w:t>Approval by: DTC</w:t>
            </w:r>
          </w:p>
        </w:tc>
        <w:tc>
          <w:tcPr>
            <w:tcW w:w="4536" w:type="dxa"/>
            <w:tcBorders>
              <w:bottom w:val="single" w:color="auto" w:sz="4" w:space="0"/>
            </w:tcBorders>
            <w:vAlign w:val="center"/>
          </w:tcPr>
          <w:p w:rsidRPr="00E51EE4" w:rsidR="00DA1B54" w:rsidP="009E664B" w:rsidRDefault="00DA1B54" w14:paraId="3AB8CB4D" w14:textId="063A3665">
            <w:pPr>
              <w:pStyle w:val="Title"/>
              <w:rPr>
                <w:b w:val="0"/>
                <w:bCs/>
                <w:sz w:val="24"/>
                <w:szCs w:val="24"/>
              </w:rPr>
            </w:pPr>
            <w:r w:rsidRPr="00E51EE4">
              <w:rPr>
                <w:b w:val="0"/>
                <w:bCs/>
                <w:sz w:val="24"/>
                <w:szCs w:val="24"/>
              </w:rPr>
              <w:t xml:space="preserve">Approval Date: </w:t>
            </w:r>
            <w:r w:rsidR="00260BC8">
              <w:rPr>
                <w:b w:val="0"/>
                <w:bCs/>
                <w:sz w:val="24"/>
                <w:szCs w:val="24"/>
              </w:rPr>
              <w:t>APRIL 2021</w:t>
            </w:r>
          </w:p>
        </w:tc>
      </w:tr>
    </w:tbl>
    <w:p w:rsidR="0010184A" w:rsidP="006F0321" w:rsidRDefault="0010184A" w14:paraId="09A84C7D" w14:textId="77777777"/>
    <w:p w:rsidR="0010184A" w:rsidP="006F0321" w:rsidRDefault="0010184A" w14:paraId="27840B47" w14:textId="77777777"/>
    <w:p w:rsidR="0010184A" w:rsidP="006F0321" w:rsidRDefault="0010184A" w14:paraId="26606C07" w14:textId="77777777"/>
    <w:p w:rsidR="0010184A" w:rsidP="006F0321" w:rsidRDefault="0010184A" w14:paraId="603F0F01" w14:textId="77777777"/>
    <w:p w:rsidR="0010184A" w:rsidP="006F0321" w:rsidRDefault="0010184A" w14:paraId="2D242669" w14:textId="77777777"/>
    <w:tbl>
      <w:tblPr>
        <w:tblW w:w="9049" w:type="dxa"/>
        <w:tblLayout w:type="fixed"/>
        <w:tblLook w:val="0000" w:firstRow="0" w:lastRow="0" w:firstColumn="0" w:lastColumn="0" w:noHBand="0" w:noVBand="0"/>
      </w:tblPr>
      <w:tblGrid>
        <w:gridCol w:w="4153"/>
        <w:gridCol w:w="4896"/>
      </w:tblGrid>
      <w:tr w:rsidRPr="00E25790" w:rsidR="009772E1" w:rsidTr="0059793A" w14:paraId="77DE2A7C"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9772E1" w:rsidP="00D03862" w:rsidRDefault="009772E1" w14:paraId="0EFF6BFB" w14:textId="73A6D3D9">
            <w:pPr>
              <w:pStyle w:val="Heading1"/>
            </w:pPr>
            <w:bookmarkStart w:name="_Toc75339945" w:id="122"/>
            <w:r w:rsidRPr="00E25790">
              <w:lastRenderedPageBreak/>
              <w:t>C</w:t>
            </w:r>
            <w:r>
              <w:t>efalexin</w:t>
            </w:r>
            <w:bookmarkEnd w:id="122"/>
            <w:r w:rsidRPr="00E25790">
              <w:fldChar w:fldCharType="begin"/>
            </w:r>
            <w:r w:rsidRPr="00E25790">
              <w:instrText>tc "Calcitriol" \l 0</w:instrText>
            </w:r>
            <w:r w:rsidRPr="00E25790">
              <w:fldChar w:fldCharType="end"/>
            </w:r>
          </w:p>
        </w:tc>
      </w:tr>
      <w:tr w:rsidRPr="00E25790" w:rsidR="009772E1" w:rsidTr="0059793A" w14:paraId="137C73C9"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9772E1" w:rsidP="0059793A" w:rsidRDefault="009772E1" w14:paraId="2110E0FE" w14:textId="6949F907">
            <w:r w:rsidRPr="00E25790">
              <w:t xml:space="preserve">Revision Date : </w:t>
            </w:r>
            <w:r>
              <w:t>16-12-2020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9772E1" w:rsidP="0059793A" w:rsidRDefault="009772E1" w14:paraId="1F943330" w14:textId="77777777">
            <w:r w:rsidRPr="00E25790">
              <w:t xml:space="preserve">Approved : </w:t>
            </w:r>
            <w:r>
              <w:t>TC, KOH</w:t>
            </w:r>
          </w:p>
        </w:tc>
      </w:tr>
    </w:tbl>
    <w:p w:rsidR="009772E1" w:rsidP="006F0321" w:rsidRDefault="009772E1" w14:paraId="5958DCB4"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7331"/>
      </w:tblGrid>
      <w:tr w:rsidRPr="003B78EA" w:rsidR="009772E1" w:rsidTr="00204576" w14:paraId="1BD1D293" w14:textId="77777777">
        <w:trPr>
          <w:trHeight w:val="263"/>
        </w:trPr>
        <w:tc>
          <w:tcPr>
            <w:tcW w:w="901" w:type="pct"/>
          </w:tcPr>
          <w:p w:rsidRPr="003B78EA" w:rsidR="009772E1" w:rsidP="0059793A" w:rsidRDefault="009772E1" w14:paraId="4117D855"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099" w:type="pct"/>
          </w:tcPr>
          <w:p w:rsidRPr="003B78EA" w:rsidR="009772E1" w:rsidP="0059793A" w:rsidRDefault="009772E1" w14:paraId="4AD300C8" w14:textId="77777777">
            <w:pPr>
              <w:pStyle w:val="BodyText"/>
              <w:rPr>
                <w:rFonts w:asciiTheme="minorHAnsi" w:hAnsiTheme="minorHAnsi" w:cstheme="minorHAnsi"/>
                <w:sz w:val="20"/>
              </w:rPr>
            </w:pPr>
            <w:r>
              <w:rPr>
                <w:rFonts w:asciiTheme="minorHAnsi" w:hAnsiTheme="minorHAnsi"/>
                <w:sz w:val="20"/>
              </w:rPr>
              <w:t xml:space="preserve">High risk medicine. </w:t>
            </w:r>
            <w:r w:rsidRPr="00A542D2">
              <w:rPr>
                <w:rFonts w:asciiTheme="minorHAnsi" w:hAnsiTheme="minorHAnsi"/>
                <w:sz w:val="20"/>
              </w:rPr>
              <w:t>The Antimicrobial Stewardship Team recommends this drug is listed under the following category: Unrestricted.</w:t>
            </w:r>
          </w:p>
        </w:tc>
      </w:tr>
      <w:tr w:rsidRPr="003B78EA" w:rsidR="009772E1" w:rsidTr="00204576" w14:paraId="405318C0" w14:textId="77777777">
        <w:trPr>
          <w:trHeight w:val="263"/>
        </w:trPr>
        <w:tc>
          <w:tcPr>
            <w:tcW w:w="901" w:type="pct"/>
          </w:tcPr>
          <w:p w:rsidRPr="003B78EA" w:rsidR="009772E1" w:rsidP="0059793A" w:rsidRDefault="009772E1" w14:paraId="5B8803AE"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099" w:type="pct"/>
          </w:tcPr>
          <w:p w:rsidRPr="00A542D2" w:rsidR="009772E1" w:rsidP="0059793A" w:rsidRDefault="009772E1" w14:paraId="0C01FF7C" w14:textId="77777777">
            <w:pPr>
              <w:rPr>
                <w:rFonts w:asciiTheme="minorHAnsi" w:hAnsiTheme="minorHAnsi"/>
                <w:sz w:val="20"/>
              </w:rPr>
            </w:pPr>
            <w:r w:rsidRPr="00A542D2">
              <w:rPr>
                <w:rFonts w:asciiTheme="minorHAnsi" w:hAnsiTheme="minorHAnsi"/>
                <w:sz w:val="20"/>
              </w:rPr>
              <w:t xml:space="preserve">Treatment of mild infections due to susceptible strains of bacteria. </w:t>
            </w:r>
          </w:p>
          <w:p w:rsidRPr="003B78EA" w:rsidR="009772E1" w:rsidP="0059793A" w:rsidRDefault="009772E1" w14:paraId="43B2E049" w14:textId="77777777">
            <w:pPr>
              <w:rPr>
                <w:rFonts w:asciiTheme="minorHAnsi" w:hAnsiTheme="minorHAnsi" w:cstheme="minorHAnsi"/>
                <w:sz w:val="20"/>
              </w:rPr>
            </w:pPr>
            <w:r w:rsidRPr="00A542D2">
              <w:rPr>
                <w:rFonts w:asciiTheme="minorHAnsi" w:hAnsiTheme="minorHAnsi"/>
                <w:sz w:val="20"/>
              </w:rPr>
              <w:t>Prophylaxis of urinary tract infections in patients at risk</w:t>
            </w:r>
            <w:r>
              <w:rPr>
                <w:rFonts w:asciiTheme="minorHAnsi" w:hAnsiTheme="minorHAnsi"/>
                <w:sz w:val="20"/>
              </w:rPr>
              <w:t xml:space="preserve">, such as </w:t>
            </w:r>
            <w:r w:rsidRPr="00A542D2">
              <w:rPr>
                <w:rFonts w:asciiTheme="minorHAnsi" w:hAnsiTheme="minorHAnsi"/>
                <w:sz w:val="20"/>
              </w:rPr>
              <w:t>vesicoureteric reflux.</w:t>
            </w:r>
          </w:p>
        </w:tc>
      </w:tr>
      <w:tr w:rsidRPr="003B78EA" w:rsidR="009772E1" w:rsidTr="00204576" w14:paraId="43AB4FBF" w14:textId="77777777">
        <w:trPr>
          <w:trHeight w:val="263"/>
        </w:trPr>
        <w:tc>
          <w:tcPr>
            <w:tcW w:w="901" w:type="pct"/>
          </w:tcPr>
          <w:p w:rsidRPr="003B78EA" w:rsidR="009772E1" w:rsidP="0059793A" w:rsidRDefault="009772E1" w14:paraId="4EE95B7C"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099" w:type="pct"/>
          </w:tcPr>
          <w:p w:rsidRPr="003B78EA" w:rsidR="009772E1" w:rsidP="0059793A" w:rsidRDefault="009772E1" w14:paraId="696786CD" w14:textId="77777777">
            <w:pPr>
              <w:rPr>
                <w:rFonts w:asciiTheme="minorHAnsi" w:hAnsiTheme="minorHAnsi" w:cstheme="minorHAnsi"/>
                <w:sz w:val="20"/>
              </w:rPr>
            </w:pPr>
            <w:r w:rsidRPr="00A542D2">
              <w:rPr>
                <w:rFonts w:asciiTheme="minorHAnsi" w:hAnsiTheme="minorHAnsi"/>
                <w:sz w:val="20"/>
              </w:rPr>
              <w:t xml:space="preserve">First generation cephalosporin. Bactericidal − inhibits cell wall synthesis in susceptible organisms. Most active against </w:t>
            </w:r>
            <w:r>
              <w:rPr>
                <w:rFonts w:asciiTheme="minorHAnsi" w:hAnsiTheme="minorHAnsi"/>
                <w:sz w:val="20"/>
              </w:rPr>
              <w:t>G</w:t>
            </w:r>
            <w:r w:rsidRPr="00A542D2">
              <w:rPr>
                <w:rFonts w:asciiTheme="minorHAnsi" w:hAnsiTheme="minorHAnsi"/>
                <w:sz w:val="20"/>
              </w:rPr>
              <w:t xml:space="preserve">ram-positive cocci, including MSSA and streptococci. </w:t>
            </w:r>
            <w:r>
              <w:rPr>
                <w:rFonts w:asciiTheme="minorHAnsi" w:hAnsiTheme="minorHAnsi"/>
                <w:sz w:val="20"/>
              </w:rPr>
              <w:t>Has</w:t>
            </w:r>
            <w:r w:rsidRPr="00A542D2">
              <w:rPr>
                <w:rFonts w:asciiTheme="minorHAnsi" w:hAnsiTheme="minorHAnsi"/>
                <w:sz w:val="20"/>
              </w:rPr>
              <w:t xml:space="preserve"> have no activity against enterococci, MRSA or </w:t>
            </w:r>
            <w:r w:rsidRPr="009312CB">
              <w:rPr>
                <w:rFonts w:asciiTheme="minorHAnsi" w:hAnsiTheme="minorHAnsi"/>
                <w:i/>
                <w:sz w:val="20"/>
              </w:rPr>
              <w:t>Listeria</w:t>
            </w:r>
            <w:r w:rsidRPr="00A542D2">
              <w:rPr>
                <w:rFonts w:asciiTheme="minorHAnsi" w:hAnsiTheme="minorHAnsi"/>
                <w:sz w:val="20"/>
              </w:rPr>
              <w:t>.</w:t>
            </w:r>
            <w:r w:rsidRPr="009312CB">
              <w:rPr>
                <w:rFonts w:asciiTheme="minorHAnsi" w:hAnsiTheme="minorHAnsi"/>
                <w:sz w:val="20"/>
                <w:vertAlign w:val="superscript"/>
              </w:rPr>
              <w:t>1</w:t>
            </w:r>
          </w:p>
        </w:tc>
      </w:tr>
      <w:tr w:rsidRPr="003B78EA" w:rsidR="009772E1" w:rsidTr="00204576" w14:paraId="5C1C86EE" w14:textId="77777777">
        <w:trPr>
          <w:trHeight w:val="263"/>
        </w:trPr>
        <w:tc>
          <w:tcPr>
            <w:tcW w:w="901" w:type="pct"/>
          </w:tcPr>
          <w:p w:rsidRPr="003B78EA" w:rsidR="009772E1" w:rsidP="0059793A" w:rsidRDefault="009772E1" w14:paraId="1E1F3418"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099" w:type="pct"/>
          </w:tcPr>
          <w:p w:rsidRPr="003B78EA" w:rsidR="009772E1" w:rsidP="0059793A" w:rsidRDefault="009772E1" w14:paraId="2E1E512A" w14:textId="77777777">
            <w:pPr>
              <w:pStyle w:val="BodyText"/>
              <w:rPr>
                <w:rFonts w:asciiTheme="minorHAnsi" w:hAnsiTheme="minorHAnsi" w:cstheme="minorHAnsi"/>
                <w:sz w:val="20"/>
              </w:rPr>
            </w:pPr>
            <w:r w:rsidRPr="00A542D2">
              <w:rPr>
                <w:rFonts w:asciiTheme="minorHAnsi" w:hAnsiTheme="minorHAnsi"/>
                <w:sz w:val="20"/>
              </w:rPr>
              <w:t>Cephalosporin antibiotic.</w:t>
            </w:r>
          </w:p>
        </w:tc>
      </w:tr>
      <w:tr w:rsidRPr="003B78EA" w:rsidR="009772E1" w:rsidTr="00204576" w14:paraId="200FEFE1" w14:textId="77777777">
        <w:trPr>
          <w:trHeight w:val="263"/>
        </w:trPr>
        <w:tc>
          <w:tcPr>
            <w:tcW w:w="901" w:type="pct"/>
          </w:tcPr>
          <w:p w:rsidRPr="003B78EA" w:rsidR="009772E1" w:rsidP="0059793A" w:rsidRDefault="009772E1" w14:paraId="4D714E06"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099" w:type="pct"/>
          </w:tcPr>
          <w:p w:rsidRPr="003B78EA" w:rsidR="009772E1" w:rsidP="0059793A" w:rsidRDefault="009772E1" w14:paraId="0ECB15CC" w14:textId="77777777">
            <w:pPr>
              <w:pStyle w:val="BodyText"/>
              <w:rPr>
                <w:rFonts w:asciiTheme="minorHAnsi" w:hAnsiTheme="minorHAnsi" w:cstheme="minorHAnsi"/>
                <w:sz w:val="20"/>
              </w:rPr>
            </w:pPr>
            <w:r w:rsidRPr="00A542D2">
              <w:rPr>
                <w:rFonts w:asciiTheme="minorHAnsi" w:hAnsiTheme="minorHAnsi"/>
                <w:sz w:val="20"/>
              </w:rPr>
              <w:t>APO-Cephalexin, Cefalexin Sandoz,</w:t>
            </w:r>
            <w:r>
              <w:rPr>
                <w:rFonts w:asciiTheme="minorHAnsi" w:hAnsiTheme="minorHAnsi"/>
                <w:sz w:val="20"/>
              </w:rPr>
              <w:t xml:space="preserve"> Ialex, Ibilex, Keflex.</w:t>
            </w:r>
            <w:r w:rsidRPr="00A542D2">
              <w:rPr>
                <w:rFonts w:asciiTheme="minorHAnsi" w:hAnsiTheme="minorHAnsi"/>
                <w:sz w:val="20"/>
              </w:rPr>
              <w:t xml:space="preserve"> </w:t>
            </w:r>
          </w:p>
        </w:tc>
      </w:tr>
      <w:tr w:rsidRPr="003B78EA" w:rsidR="009772E1" w:rsidTr="00204576" w14:paraId="16BE3AEB" w14:textId="77777777">
        <w:trPr>
          <w:trHeight w:val="263"/>
        </w:trPr>
        <w:tc>
          <w:tcPr>
            <w:tcW w:w="901" w:type="pct"/>
          </w:tcPr>
          <w:p w:rsidRPr="003B78EA" w:rsidR="009772E1" w:rsidP="0059793A" w:rsidRDefault="009772E1" w14:paraId="1E724A21"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099" w:type="pct"/>
          </w:tcPr>
          <w:p w:rsidRPr="00A542D2" w:rsidR="009772E1" w:rsidP="0059793A" w:rsidRDefault="009772E1" w14:paraId="2192A117" w14:textId="77777777">
            <w:pPr>
              <w:pStyle w:val="BodyText"/>
              <w:ind w:left="34"/>
              <w:rPr>
                <w:rFonts w:cs="Arial" w:asciiTheme="minorHAnsi" w:hAnsiTheme="minorHAnsi"/>
                <w:sz w:val="20"/>
              </w:rPr>
            </w:pPr>
            <w:r w:rsidRPr="00A542D2">
              <w:rPr>
                <w:rFonts w:cs="Arial" w:asciiTheme="minorHAnsi" w:hAnsiTheme="minorHAnsi"/>
                <w:sz w:val="20"/>
              </w:rPr>
              <w:t>125 mg/5 mL suspension</w:t>
            </w:r>
          </w:p>
          <w:p w:rsidRPr="003B78EA" w:rsidR="009772E1" w:rsidP="0059793A" w:rsidRDefault="009772E1" w14:paraId="113AC5AD" w14:textId="77777777">
            <w:pPr>
              <w:pStyle w:val="BodyText"/>
              <w:rPr>
                <w:rFonts w:asciiTheme="minorHAnsi" w:hAnsiTheme="minorHAnsi" w:cstheme="minorHAnsi"/>
                <w:sz w:val="20"/>
              </w:rPr>
            </w:pPr>
            <w:r w:rsidRPr="00A542D2">
              <w:rPr>
                <w:rFonts w:cs="Arial" w:asciiTheme="minorHAnsi" w:hAnsiTheme="minorHAnsi"/>
                <w:sz w:val="20"/>
              </w:rPr>
              <w:t>250 mg/5mL suspension</w:t>
            </w:r>
          </w:p>
        </w:tc>
      </w:tr>
      <w:tr w:rsidRPr="003B78EA" w:rsidR="009772E1" w:rsidTr="00204576" w14:paraId="47A382F4" w14:textId="77777777">
        <w:trPr>
          <w:trHeight w:val="263"/>
        </w:trPr>
        <w:tc>
          <w:tcPr>
            <w:tcW w:w="901" w:type="pct"/>
          </w:tcPr>
          <w:p w:rsidRPr="003B78EA" w:rsidR="009772E1" w:rsidP="0059793A" w:rsidRDefault="009772E1" w14:paraId="1AE6FE46"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099" w:type="pct"/>
          </w:tcPr>
          <w:p w:rsidRPr="00A542D2" w:rsidR="009772E1" w:rsidP="0059793A" w:rsidRDefault="009772E1" w14:paraId="2AB5800C" w14:textId="77777777">
            <w:pPr>
              <w:pStyle w:val="BodyText"/>
              <w:rPr>
                <w:rFonts w:cs="Arial" w:asciiTheme="minorHAnsi" w:hAnsiTheme="minorHAnsi"/>
                <w:b/>
                <w:sz w:val="20"/>
              </w:rPr>
            </w:pPr>
            <w:r w:rsidRPr="00A542D2">
              <w:rPr>
                <w:rFonts w:cs="Arial" w:asciiTheme="minorHAnsi" w:hAnsiTheme="minorHAnsi"/>
                <w:b/>
                <w:sz w:val="20"/>
              </w:rPr>
              <w:t>Treatment</w:t>
            </w:r>
          </w:p>
          <w:tbl>
            <w:tblPr>
              <w:tblW w:w="4692"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45"/>
              <w:gridCol w:w="2447"/>
              <w:gridCol w:w="1775"/>
            </w:tblGrid>
            <w:tr w:rsidRPr="00A542D2" w:rsidR="009772E1" w:rsidTr="0059793A" w14:paraId="3AF85D1F" w14:textId="77777777">
              <w:trPr>
                <w:trHeight w:val="247"/>
              </w:trPr>
              <w:tc>
                <w:tcPr>
                  <w:tcW w:w="1834" w:type="pct"/>
                </w:tcPr>
                <w:p w:rsidRPr="00A542D2" w:rsidR="009772E1" w:rsidP="0059793A" w:rsidRDefault="009772E1" w14:paraId="0FFE242E" w14:textId="77777777">
                  <w:pPr>
                    <w:pStyle w:val="BodyText"/>
                    <w:jc w:val="center"/>
                    <w:rPr>
                      <w:rFonts w:cs="Arial" w:asciiTheme="minorHAnsi" w:hAnsiTheme="minorHAnsi"/>
                      <w:b/>
                      <w:sz w:val="20"/>
                    </w:rPr>
                  </w:pPr>
                  <w:r w:rsidRPr="00A542D2">
                    <w:rPr>
                      <w:rFonts w:cs="Arial" w:asciiTheme="minorHAnsi" w:hAnsiTheme="minorHAnsi"/>
                      <w:b/>
                      <w:sz w:val="20"/>
                    </w:rPr>
                    <w:t>Postnatal Age (Days)</w:t>
                  </w:r>
                </w:p>
              </w:tc>
              <w:tc>
                <w:tcPr>
                  <w:tcW w:w="1835" w:type="pct"/>
                </w:tcPr>
                <w:p w:rsidRPr="00A542D2" w:rsidR="009772E1" w:rsidP="0059793A" w:rsidRDefault="009772E1" w14:paraId="23BEA7B1" w14:textId="77777777">
                  <w:pPr>
                    <w:pStyle w:val="BodyText"/>
                    <w:jc w:val="center"/>
                    <w:rPr>
                      <w:rFonts w:cs="Arial" w:asciiTheme="minorHAnsi" w:hAnsiTheme="minorHAnsi"/>
                      <w:b/>
                      <w:sz w:val="20"/>
                    </w:rPr>
                  </w:pPr>
                  <w:r w:rsidRPr="00A542D2">
                    <w:rPr>
                      <w:rFonts w:cs="Arial" w:asciiTheme="minorHAnsi" w:hAnsiTheme="minorHAnsi"/>
                      <w:b/>
                      <w:sz w:val="20"/>
                    </w:rPr>
                    <w:t>Dose</w:t>
                  </w:r>
                </w:p>
              </w:tc>
              <w:tc>
                <w:tcPr>
                  <w:tcW w:w="1331" w:type="pct"/>
                </w:tcPr>
                <w:p w:rsidRPr="00A542D2" w:rsidR="009772E1" w:rsidP="0059793A" w:rsidRDefault="009772E1" w14:paraId="643406DE" w14:textId="77777777">
                  <w:pPr>
                    <w:pStyle w:val="BodyText"/>
                    <w:jc w:val="center"/>
                    <w:rPr>
                      <w:rFonts w:cs="Arial" w:asciiTheme="minorHAnsi" w:hAnsiTheme="minorHAnsi"/>
                      <w:b/>
                      <w:sz w:val="20"/>
                    </w:rPr>
                  </w:pPr>
                  <w:r>
                    <w:rPr>
                      <w:rFonts w:cs="Arial" w:asciiTheme="minorHAnsi" w:hAnsiTheme="minorHAnsi"/>
                      <w:b/>
                      <w:sz w:val="20"/>
                    </w:rPr>
                    <w:t>Interval</w:t>
                  </w:r>
                </w:p>
              </w:tc>
            </w:tr>
            <w:tr w:rsidRPr="00A542D2" w:rsidR="009772E1" w:rsidTr="0059793A" w14:paraId="716BCFAA" w14:textId="77777777">
              <w:tc>
                <w:tcPr>
                  <w:tcW w:w="1834" w:type="pct"/>
                </w:tcPr>
                <w:p w:rsidRPr="00A542D2" w:rsidR="009772E1" w:rsidP="0059793A" w:rsidRDefault="009772E1" w14:paraId="65194C5F" w14:textId="77777777">
                  <w:pPr>
                    <w:pStyle w:val="BodyText"/>
                    <w:jc w:val="center"/>
                    <w:rPr>
                      <w:rFonts w:cs="Arial" w:asciiTheme="minorHAnsi" w:hAnsiTheme="minorHAnsi"/>
                      <w:sz w:val="20"/>
                    </w:rPr>
                  </w:pPr>
                  <w:r w:rsidRPr="00A542D2">
                    <w:rPr>
                      <w:rFonts w:cs="Arial" w:asciiTheme="minorHAnsi" w:hAnsiTheme="minorHAnsi"/>
                      <w:sz w:val="20"/>
                    </w:rPr>
                    <w:t>0─7 days</w:t>
                  </w:r>
                </w:p>
              </w:tc>
              <w:tc>
                <w:tcPr>
                  <w:tcW w:w="1835" w:type="pct"/>
                </w:tcPr>
                <w:p w:rsidRPr="00A542D2" w:rsidR="009772E1" w:rsidP="0059793A" w:rsidRDefault="009772E1" w14:paraId="1693B7C0" w14:textId="77777777">
                  <w:pPr>
                    <w:pStyle w:val="BodyText"/>
                    <w:jc w:val="center"/>
                    <w:rPr>
                      <w:rFonts w:cs="Arial" w:asciiTheme="minorHAnsi" w:hAnsiTheme="minorHAnsi"/>
                      <w:sz w:val="20"/>
                    </w:rPr>
                  </w:pPr>
                  <w:r w:rsidRPr="00A542D2">
                    <w:rPr>
                      <w:rFonts w:cs="Arial" w:asciiTheme="minorHAnsi" w:hAnsiTheme="minorHAnsi"/>
                      <w:sz w:val="20"/>
                    </w:rPr>
                    <w:t>25 mg/kg</w:t>
                  </w:r>
                </w:p>
              </w:tc>
              <w:tc>
                <w:tcPr>
                  <w:tcW w:w="1331" w:type="pct"/>
                </w:tcPr>
                <w:p w:rsidRPr="00A542D2" w:rsidR="009772E1" w:rsidP="0059793A" w:rsidRDefault="009772E1" w14:paraId="3BFCEF0E" w14:textId="77777777">
                  <w:pPr>
                    <w:pStyle w:val="BodyText"/>
                    <w:jc w:val="center"/>
                    <w:rPr>
                      <w:rFonts w:cs="Arial" w:asciiTheme="minorHAnsi" w:hAnsiTheme="minorHAnsi"/>
                      <w:sz w:val="20"/>
                    </w:rPr>
                  </w:pPr>
                  <w:r w:rsidRPr="00A542D2">
                    <w:rPr>
                      <w:rFonts w:cs="Arial" w:asciiTheme="minorHAnsi" w:hAnsiTheme="minorHAnsi"/>
                      <w:sz w:val="20"/>
                    </w:rPr>
                    <w:t>12</w:t>
                  </w:r>
                  <w:r>
                    <w:rPr>
                      <w:rFonts w:cs="Arial" w:asciiTheme="minorHAnsi" w:hAnsiTheme="minorHAnsi"/>
                      <w:sz w:val="20"/>
                    </w:rPr>
                    <w:t>-</w:t>
                  </w:r>
                  <w:r w:rsidRPr="00A542D2">
                    <w:rPr>
                      <w:rFonts w:cs="Arial" w:asciiTheme="minorHAnsi" w:hAnsiTheme="minorHAnsi"/>
                      <w:sz w:val="20"/>
                    </w:rPr>
                    <w:t>hourly</w:t>
                  </w:r>
                </w:p>
              </w:tc>
            </w:tr>
            <w:tr w:rsidRPr="00A542D2" w:rsidR="009772E1" w:rsidTr="0059793A" w14:paraId="5FC09E27" w14:textId="77777777">
              <w:tc>
                <w:tcPr>
                  <w:tcW w:w="1834" w:type="pct"/>
                </w:tcPr>
                <w:p w:rsidRPr="00A542D2" w:rsidR="009772E1" w:rsidP="0059793A" w:rsidRDefault="009772E1" w14:paraId="500A95F5" w14:textId="77777777">
                  <w:pPr>
                    <w:pStyle w:val="BodyText"/>
                    <w:jc w:val="center"/>
                    <w:rPr>
                      <w:rFonts w:cs="Arial" w:asciiTheme="minorHAnsi" w:hAnsiTheme="minorHAnsi"/>
                      <w:sz w:val="20"/>
                    </w:rPr>
                  </w:pPr>
                  <w:r w:rsidRPr="00A542D2">
                    <w:rPr>
                      <w:rFonts w:cs="Arial" w:asciiTheme="minorHAnsi" w:hAnsiTheme="minorHAnsi"/>
                      <w:sz w:val="20"/>
                    </w:rPr>
                    <w:t>8─28 days</w:t>
                  </w:r>
                </w:p>
              </w:tc>
              <w:tc>
                <w:tcPr>
                  <w:tcW w:w="1835" w:type="pct"/>
                </w:tcPr>
                <w:p w:rsidRPr="00A542D2" w:rsidR="009772E1" w:rsidP="0059793A" w:rsidRDefault="009772E1" w14:paraId="4127B2BE" w14:textId="77777777">
                  <w:pPr>
                    <w:pStyle w:val="BodyText"/>
                    <w:jc w:val="center"/>
                    <w:rPr>
                      <w:rFonts w:cs="Arial" w:asciiTheme="minorHAnsi" w:hAnsiTheme="minorHAnsi"/>
                      <w:sz w:val="20"/>
                    </w:rPr>
                  </w:pPr>
                  <w:r w:rsidRPr="00A542D2">
                    <w:rPr>
                      <w:rFonts w:cs="Arial" w:asciiTheme="minorHAnsi" w:hAnsiTheme="minorHAnsi"/>
                      <w:sz w:val="20"/>
                    </w:rPr>
                    <w:t>25 mg/kg</w:t>
                  </w:r>
                </w:p>
              </w:tc>
              <w:tc>
                <w:tcPr>
                  <w:tcW w:w="1331" w:type="pct"/>
                </w:tcPr>
                <w:p w:rsidRPr="00A542D2" w:rsidR="009772E1" w:rsidP="0059793A" w:rsidRDefault="009772E1" w14:paraId="2B00FB97" w14:textId="77777777">
                  <w:pPr>
                    <w:pStyle w:val="BodyText"/>
                    <w:jc w:val="center"/>
                    <w:rPr>
                      <w:rFonts w:cs="Arial" w:asciiTheme="minorHAnsi" w:hAnsiTheme="minorHAnsi"/>
                      <w:sz w:val="20"/>
                    </w:rPr>
                  </w:pPr>
                  <w:r w:rsidRPr="00A542D2">
                    <w:rPr>
                      <w:rFonts w:cs="Arial" w:asciiTheme="minorHAnsi" w:hAnsiTheme="minorHAnsi"/>
                      <w:sz w:val="20"/>
                    </w:rPr>
                    <w:t>8</w:t>
                  </w:r>
                  <w:r>
                    <w:rPr>
                      <w:rFonts w:cs="Arial" w:asciiTheme="minorHAnsi" w:hAnsiTheme="minorHAnsi"/>
                      <w:sz w:val="20"/>
                    </w:rPr>
                    <w:t>-</w:t>
                  </w:r>
                  <w:r w:rsidRPr="00A542D2">
                    <w:rPr>
                      <w:rFonts w:cs="Arial" w:asciiTheme="minorHAnsi" w:hAnsiTheme="minorHAnsi"/>
                      <w:sz w:val="20"/>
                    </w:rPr>
                    <w:t>hourly</w:t>
                  </w:r>
                </w:p>
              </w:tc>
            </w:tr>
            <w:tr w:rsidRPr="00A542D2" w:rsidR="009772E1" w:rsidTr="0059793A" w14:paraId="1366C811" w14:textId="77777777">
              <w:tc>
                <w:tcPr>
                  <w:tcW w:w="1834" w:type="pct"/>
                </w:tcPr>
                <w:p w:rsidRPr="00A542D2" w:rsidR="009772E1" w:rsidP="0059793A" w:rsidRDefault="009772E1" w14:paraId="7B803740" w14:textId="77777777">
                  <w:pPr>
                    <w:pStyle w:val="BodyText"/>
                    <w:jc w:val="center"/>
                    <w:rPr>
                      <w:rFonts w:cs="Arial" w:asciiTheme="minorHAnsi" w:hAnsiTheme="minorHAnsi"/>
                      <w:sz w:val="20"/>
                    </w:rPr>
                  </w:pPr>
                  <w:r>
                    <w:rPr>
                      <w:rFonts w:cs="Arial" w:asciiTheme="minorHAnsi" w:hAnsiTheme="minorHAnsi"/>
                      <w:sz w:val="20"/>
                    </w:rPr>
                    <w:t>≥29</w:t>
                  </w:r>
                  <w:r w:rsidRPr="00A542D2">
                    <w:rPr>
                      <w:rFonts w:cs="Arial" w:asciiTheme="minorHAnsi" w:hAnsiTheme="minorHAnsi"/>
                      <w:sz w:val="20"/>
                    </w:rPr>
                    <w:t xml:space="preserve"> days</w:t>
                  </w:r>
                </w:p>
              </w:tc>
              <w:tc>
                <w:tcPr>
                  <w:tcW w:w="1835" w:type="pct"/>
                </w:tcPr>
                <w:p w:rsidRPr="00A542D2" w:rsidR="009772E1" w:rsidP="0059793A" w:rsidRDefault="009772E1" w14:paraId="00D48079" w14:textId="77777777">
                  <w:pPr>
                    <w:pStyle w:val="BodyText"/>
                    <w:jc w:val="center"/>
                    <w:rPr>
                      <w:rFonts w:cs="Arial" w:asciiTheme="minorHAnsi" w:hAnsiTheme="minorHAnsi"/>
                      <w:sz w:val="20"/>
                    </w:rPr>
                  </w:pPr>
                  <w:r w:rsidRPr="00A542D2">
                    <w:rPr>
                      <w:rFonts w:cs="Arial" w:asciiTheme="minorHAnsi" w:hAnsiTheme="minorHAnsi"/>
                      <w:sz w:val="20"/>
                    </w:rPr>
                    <w:t>25 mg/kg</w:t>
                  </w:r>
                </w:p>
              </w:tc>
              <w:tc>
                <w:tcPr>
                  <w:tcW w:w="1331" w:type="pct"/>
                </w:tcPr>
                <w:p w:rsidRPr="00A542D2" w:rsidR="009772E1" w:rsidP="0059793A" w:rsidRDefault="009772E1" w14:paraId="73515CEC" w14:textId="77777777">
                  <w:pPr>
                    <w:jc w:val="center"/>
                    <w:rPr>
                      <w:rFonts w:asciiTheme="minorHAnsi" w:hAnsiTheme="minorHAnsi"/>
                      <w:sz w:val="20"/>
                    </w:rPr>
                  </w:pPr>
                  <w:r w:rsidRPr="00A542D2">
                    <w:rPr>
                      <w:rFonts w:asciiTheme="minorHAnsi" w:hAnsiTheme="minorHAnsi"/>
                      <w:sz w:val="20"/>
                    </w:rPr>
                    <w:t>6</w:t>
                  </w:r>
                  <w:r>
                    <w:rPr>
                      <w:rFonts w:asciiTheme="minorHAnsi" w:hAnsiTheme="minorHAnsi"/>
                      <w:sz w:val="20"/>
                    </w:rPr>
                    <w:t>-</w:t>
                  </w:r>
                  <w:r w:rsidRPr="00A542D2">
                    <w:rPr>
                      <w:rFonts w:asciiTheme="minorHAnsi" w:hAnsiTheme="minorHAnsi"/>
                      <w:sz w:val="20"/>
                    </w:rPr>
                    <w:t>hourly</w:t>
                  </w:r>
                </w:p>
              </w:tc>
            </w:tr>
          </w:tbl>
          <w:p w:rsidRPr="00A542D2" w:rsidR="009772E1" w:rsidP="0059793A" w:rsidRDefault="009772E1" w14:paraId="6915FCA1" w14:textId="77777777">
            <w:pPr>
              <w:pStyle w:val="BodyText"/>
              <w:rPr>
                <w:rFonts w:cs="Arial" w:asciiTheme="minorHAnsi" w:hAnsiTheme="minorHAnsi"/>
                <w:b/>
                <w:sz w:val="20"/>
              </w:rPr>
            </w:pPr>
          </w:p>
          <w:p w:rsidRPr="00A542D2" w:rsidR="009772E1" w:rsidP="0059793A" w:rsidRDefault="009772E1" w14:paraId="0B899F22" w14:textId="77777777">
            <w:pPr>
              <w:pStyle w:val="BodyText"/>
              <w:rPr>
                <w:rFonts w:cs="Arial" w:asciiTheme="minorHAnsi" w:hAnsiTheme="minorHAnsi"/>
                <w:b/>
                <w:sz w:val="20"/>
              </w:rPr>
            </w:pPr>
            <w:r w:rsidRPr="00A542D2">
              <w:rPr>
                <w:rFonts w:cs="Arial" w:asciiTheme="minorHAnsi" w:hAnsiTheme="minorHAnsi"/>
                <w:b/>
                <w:sz w:val="20"/>
              </w:rPr>
              <w:t>Prophylaxis of urinary tract infection (UTI)</w:t>
            </w:r>
          </w:p>
          <w:p w:rsidRPr="00A542D2" w:rsidR="009772E1" w:rsidP="0059793A" w:rsidRDefault="009772E1" w14:paraId="39AA8B62" w14:textId="77777777">
            <w:pPr>
              <w:pStyle w:val="BodyText"/>
              <w:rPr>
                <w:rFonts w:cs="Arial" w:asciiTheme="minorHAnsi" w:hAnsiTheme="minorHAnsi"/>
                <w:sz w:val="20"/>
              </w:rPr>
            </w:pPr>
            <w:r w:rsidRPr="00A542D2">
              <w:rPr>
                <w:rFonts w:cs="Arial" w:asciiTheme="minorHAnsi" w:hAnsiTheme="minorHAnsi"/>
                <w:sz w:val="20"/>
              </w:rPr>
              <w:t>12.5 (10</w:t>
            </w:r>
            <w:r>
              <w:rPr>
                <w:rFonts w:cs="Arial" w:asciiTheme="minorHAnsi" w:hAnsiTheme="minorHAnsi"/>
                <w:sz w:val="20"/>
              </w:rPr>
              <w:t>–</w:t>
            </w:r>
            <w:r w:rsidRPr="00A542D2">
              <w:rPr>
                <w:rFonts w:cs="Arial" w:asciiTheme="minorHAnsi" w:hAnsiTheme="minorHAnsi"/>
                <w:sz w:val="20"/>
              </w:rPr>
              <w:t>15) mg/kg/dose DAILY (</w:t>
            </w:r>
            <w:r>
              <w:rPr>
                <w:rFonts w:cs="Arial" w:asciiTheme="minorHAnsi" w:hAnsiTheme="minorHAnsi"/>
                <w:sz w:val="20"/>
              </w:rPr>
              <w:t>m</w:t>
            </w:r>
            <w:r w:rsidRPr="00A542D2">
              <w:rPr>
                <w:rFonts w:cs="Arial" w:asciiTheme="minorHAnsi" w:hAnsiTheme="minorHAnsi"/>
                <w:sz w:val="20"/>
              </w:rPr>
              <w:t>aximum dose 125 mg daily)</w:t>
            </w:r>
            <w:r>
              <w:rPr>
                <w:rFonts w:cs="Arial" w:asciiTheme="minorHAnsi" w:hAnsiTheme="minorHAnsi"/>
                <w:sz w:val="20"/>
              </w:rPr>
              <w:t>.</w:t>
            </w:r>
            <w:r w:rsidRPr="009312CB">
              <w:rPr>
                <w:rFonts w:cs="Arial" w:asciiTheme="minorHAnsi" w:hAnsiTheme="minorHAnsi"/>
                <w:sz w:val="20"/>
                <w:vertAlign w:val="superscript"/>
              </w:rPr>
              <w:t>7,8</w:t>
            </w:r>
          </w:p>
          <w:p w:rsidRPr="00A542D2" w:rsidR="009772E1" w:rsidP="0059793A" w:rsidRDefault="009772E1" w14:paraId="5EB1F2A3" w14:textId="77777777">
            <w:pPr>
              <w:pStyle w:val="BodyText"/>
              <w:rPr>
                <w:rFonts w:cs="Arial" w:asciiTheme="minorHAnsi" w:hAnsiTheme="minorHAnsi"/>
                <w:sz w:val="20"/>
              </w:rPr>
            </w:pPr>
          </w:p>
          <w:p w:rsidRPr="00A542D2" w:rsidR="009772E1" w:rsidP="0059793A" w:rsidRDefault="009772E1" w14:paraId="6BB62E5B" w14:textId="77777777">
            <w:pPr>
              <w:pStyle w:val="BodyText"/>
              <w:rPr>
                <w:rFonts w:cs="Arial" w:asciiTheme="minorHAnsi" w:hAnsiTheme="minorHAnsi"/>
                <w:b/>
                <w:sz w:val="20"/>
              </w:rPr>
            </w:pPr>
            <w:r w:rsidRPr="00A542D2">
              <w:rPr>
                <w:rFonts w:cs="Arial" w:asciiTheme="minorHAnsi" w:hAnsiTheme="minorHAnsi"/>
                <w:b/>
                <w:sz w:val="20"/>
              </w:rPr>
              <w:t xml:space="preserve">Prophylaxis around </w:t>
            </w:r>
            <w:r>
              <w:rPr>
                <w:rFonts w:cs="Arial" w:asciiTheme="minorHAnsi" w:hAnsiTheme="minorHAnsi"/>
                <w:b/>
                <w:sz w:val="20"/>
              </w:rPr>
              <w:t>Micturating</w:t>
            </w:r>
            <w:r w:rsidRPr="00A542D2">
              <w:rPr>
                <w:rFonts w:cs="Arial" w:asciiTheme="minorHAnsi" w:hAnsiTheme="minorHAnsi"/>
                <w:b/>
                <w:sz w:val="20"/>
              </w:rPr>
              <w:t xml:space="preserve"> Cystourethrogram</w:t>
            </w:r>
            <w:r>
              <w:rPr>
                <w:rFonts w:cs="Arial" w:asciiTheme="minorHAnsi" w:hAnsiTheme="minorHAnsi"/>
                <w:b/>
                <w:sz w:val="20"/>
              </w:rPr>
              <w:t xml:space="preserve"> (MCU)</w:t>
            </w:r>
          </w:p>
          <w:p w:rsidR="009772E1" w:rsidP="0059793A" w:rsidRDefault="009772E1" w14:paraId="471D3C6A" w14:textId="77777777">
            <w:pPr>
              <w:pStyle w:val="BodyText"/>
              <w:ind w:left="720" w:hanging="720"/>
              <w:rPr>
                <w:rFonts w:asciiTheme="minorHAnsi" w:hAnsiTheme="minorHAnsi" w:cstheme="minorHAnsi"/>
                <w:sz w:val="20"/>
              </w:rPr>
            </w:pPr>
            <w:r w:rsidRPr="00A542D2">
              <w:rPr>
                <w:rFonts w:cs="Arial" w:asciiTheme="minorHAnsi" w:hAnsiTheme="minorHAnsi"/>
                <w:sz w:val="20"/>
              </w:rPr>
              <w:t>12.5 (10</w:t>
            </w:r>
            <w:r>
              <w:rPr>
                <w:rFonts w:cs="Arial" w:asciiTheme="minorHAnsi" w:hAnsiTheme="minorHAnsi"/>
                <w:sz w:val="20"/>
              </w:rPr>
              <w:t>–</w:t>
            </w:r>
            <w:r w:rsidRPr="00A542D2">
              <w:rPr>
                <w:rFonts w:cs="Arial" w:asciiTheme="minorHAnsi" w:hAnsiTheme="minorHAnsi"/>
                <w:sz w:val="20"/>
              </w:rPr>
              <w:t>15) mg/kg/dose 8</w:t>
            </w:r>
            <w:r>
              <w:rPr>
                <w:rFonts w:cs="Arial" w:asciiTheme="minorHAnsi" w:hAnsiTheme="minorHAnsi"/>
                <w:sz w:val="20"/>
              </w:rPr>
              <w:t>-</w:t>
            </w:r>
            <w:r w:rsidRPr="00A542D2">
              <w:rPr>
                <w:rFonts w:cs="Arial" w:asciiTheme="minorHAnsi" w:hAnsiTheme="minorHAnsi"/>
                <w:sz w:val="20"/>
              </w:rPr>
              <w:t>hourly for 3 days (day prior, on the</w:t>
            </w:r>
            <w:r>
              <w:rPr>
                <w:rFonts w:cs="Arial" w:asciiTheme="minorHAnsi" w:hAnsiTheme="minorHAnsi"/>
                <w:sz w:val="20"/>
              </w:rPr>
              <w:t xml:space="preserve"> day and one day after MCU).</w:t>
            </w:r>
            <w:r w:rsidRPr="009312CB">
              <w:rPr>
                <w:rFonts w:cs="Arial" w:asciiTheme="minorHAnsi" w:hAnsiTheme="minorHAnsi"/>
                <w:sz w:val="20"/>
                <w:vertAlign w:val="superscript"/>
              </w:rPr>
              <w:t>10</w:t>
            </w:r>
          </w:p>
        </w:tc>
      </w:tr>
      <w:tr w:rsidRPr="003B78EA" w:rsidR="009772E1" w:rsidTr="00204576" w14:paraId="1EC8DEBE" w14:textId="77777777">
        <w:trPr>
          <w:trHeight w:val="263"/>
        </w:trPr>
        <w:tc>
          <w:tcPr>
            <w:tcW w:w="901" w:type="pct"/>
          </w:tcPr>
          <w:p w:rsidRPr="003B78EA" w:rsidR="009772E1" w:rsidP="0059793A" w:rsidRDefault="009772E1" w14:paraId="66E39950"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099" w:type="pct"/>
          </w:tcPr>
          <w:p w:rsidRPr="003B78EA" w:rsidR="009772E1" w:rsidP="0059793A" w:rsidRDefault="009772E1" w14:paraId="447D87A0" w14:textId="77777777">
            <w:pPr>
              <w:pStyle w:val="BodyText"/>
              <w:rPr>
                <w:rFonts w:asciiTheme="minorHAnsi" w:hAnsiTheme="minorHAnsi" w:cstheme="minorHAnsi"/>
                <w:sz w:val="20"/>
              </w:rPr>
            </w:pPr>
          </w:p>
        </w:tc>
      </w:tr>
      <w:tr w:rsidRPr="003B78EA" w:rsidR="009772E1" w:rsidTr="00204576" w14:paraId="2DFA9DD1" w14:textId="77777777">
        <w:trPr>
          <w:trHeight w:val="263"/>
        </w:trPr>
        <w:tc>
          <w:tcPr>
            <w:tcW w:w="901" w:type="pct"/>
          </w:tcPr>
          <w:p w:rsidRPr="003B78EA" w:rsidR="009772E1" w:rsidP="0059793A" w:rsidRDefault="009772E1" w14:paraId="1B15DBCB"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099" w:type="pct"/>
          </w:tcPr>
          <w:p w:rsidRPr="003B78EA" w:rsidR="009772E1" w:rsidP="0059793A" w:rsidRDefault="009772E1" w14:paraId="309DBA23" w14:textId="77777777">
            <w:pPr>
              <w:pStyle w:val="BodyText"/>
              <w:rPr>
                <w:rFonts w:asciiTheme="minorHAnsi" w:hAnsiTheme="minorHAnsi" w:cstheme="minorHAnsi"/>
                <w:sz w:val="20"/>
              </w:rPr>
            </w:pPr>
            <w:r w:rsidRPr="00A542D2">
              <w:rPr>
                <w:rFonts w:asciiTheme="minorHAnsi" w:hAnsiTheme="minorHAnsi"/>
                <w:sz w:val="20"/>
              </w:rPr>
              <w:t>500 mg</w:t>
            </w:r>
          </w:p>
        </w:tc>
      </w:tr>
      <w:tr w:rsidRPr="003B78EA" w:rsidR="009772E1" w:rsidTr="00204576" w14:paraId="1BAE3DE8" w14:textId="77777777">
        <w:trPr>
          <w:trHeight w:val="263"/>
        </w:trPr>
        <w:tc>
          <w:tcPr>
            <w:tcW w:w="901" w:type="pct"/>
          </w:tcPr>
          <w:p w:rsidRPr="003B78EA" w:rsidR="009772E1" w:rsidP="0059793A" w:rsidRDefault="009772E1" w14:paraId="0285313F"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099" w:type="pct"/>
          </w:tcPr>
          <w:p w:rsidRPr="003B78EA" w:rsidR="009772E1" w:rsidP="0059793A" w:rsidRDefault="009772E1" w14:paraId="4ABEFAF4" w14:textId="77777777">
            <w:pPr>
              <w:pStyle w:val="BodyText"/>
              <w:rPr>
                <w:rFonts w:asciiTheme="minorHAnsi" w:hAnsiTheme="minorHAnsi" w:cstheme="minorHAnsi"/>
                <w:b/>
                <w:sz w:val="20"/>
              </w:rPr>
            </w:pPr>
          </w:p>
        </w:tc>
      </w:tr>
      <w:tr w:rsidRPr="003B78EA" w:rsidR="009772E1" w:rsidTr="00204576" w14:paraId="1A50724B" w14:textId="77777777">
        <w:trPr>
          <w:trHeight w:val="263"/>
        </w:trPr>
        <w:tc>
          <w:tcPr>
            <w:tcW w:w="901" w:type="pct"/>
          </w:tcPr>
          <w:p w:rsidRPr="003B78EA" w:rsidR="009772E1" w:rsidP="0059793A" w:rsidRDefault="009772E1" w14:paraId="0689C0E8"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099" w:type="pct"/>
          </w:tcPr>
          <w:p w:rsidRPr="003B78EA" w:rsidR="009772E1" w:rsidP="0059793A" w:rsidRDefault="009772E1" w14:paraId="6DBA2CAA" w14:textId="77777777">
            <w:pPr>
              <w:pStyle w:val="BodyText"/>
              <w:rPr>
                <w:rFonts w:asciiTheme="minorHAnsi" w:hAnsiTheme="minorHAnsi" w:cstheme="minorHAnsi"/>
                <w:sz w:val="20"/>
              </w:rPr>
            </w:pPr>
            <w:r w:rsidRPr="00A542D2">
              <w:rPr>
                <w:rFonts w:cs="Arial" w:asciiTheme="minorHAnsi" w:hAnsiTheme="minorHAnsi"/>
                <w:sz w:val="20"/>
              </w:rPr>
              <w:t>Oral</w:t>
            </w:r>
          </w:p>
        </w:tc>
      </w:tr>
      <w:tr w:rsidRPr="003B78EA" w:rsidR="009772E1" w:rsidTr="00204576" w14:paraId="0709FDDD" w14:textId="77777777">
        <w:trPr>
          <w:trHeight w:val="263"/>
        </w:trPr>
        <w:tc>
          <w:tcPr>
            <w:tcW w:w="901" w:type="pct"/>
          </w:tcPr>
          <w:p w:rsidRPr="003B78EA" w:rsidR="009772E1" w:rsidP="0059793A" w:rsidRDefault="009772E1" w14:paraId="1B3D5687"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099" w:type="pct"/>
          </w:tcPr>
          <w:p w:rsidR="009772E1" w:rsidP="0059793A" w:rsidRDefault="009772E1" w14:paraId="1B2D4420" w14:textId="77777777">
            <w:pPr>
              <w:pStyle w:val="BodyText"/>
              <w:rPr>
                <w:rFonts w:asciiTheme="minorHAnsi" w:hAnsiTheme="minorHAnsi"/>
                <w:sz w:val="20"/>
              </w:rPr>
            </w:pPr>
            <w:r>
              <w:rPr>
                <w:rFonts w:asciiTheme="minorHAnsi" w:hAnsiTheme="minorHAnsi"/>
                <w:sz w:val="20"/>
              </w:rPr>
              <w:t>Supplied reconstituted</w:t>
            </w:r>
            <w:r w:rsidRPr="00A542D2">
              <w:rPr>
                <w:rFonts w:asciiTheme="minorHAnsi" w:hAnsiTheme="minorHAnsi"/>
                <w:sz w:val="20"/>
              </w:rPr>
              <w:t xml:space="preserve"> by Pharmacy. </w:t>
            </w:r>
          </w:p>
          <w:p w:rsidRPr="003B78EA" w:rsidR="009772E1" w:rsidP="0059793A" w:rsidRDefault="009772E1" w14:paraId="329B3340" w14:textId="77777777">
            <w:pPr>
              <w:pStyle w:val="BodyText"/>
              <w:rPr>
                <w:rFonts w:asciiTheme="minorHAnsi" w:hAnsiTheme="minorHAnsi" w:cstheme="minorHAnsi"/>
                <w:sz w:val="20"/>
              </w:rPr>
            </w:pPr>
            <w:r w:rsidRPr="00A542D2">
              <w:rPr>
                <w:rFonts w:asciiTheme="minorHAnsi" w:hAnsiTheme="minorHAnsi"/>
                <w:sz w:val="20"/>
              </w:rPr>
              <w:t>If supplied unreconstituted, us</w:t>
            </w:r>
            <w:r>
              <w:rPr>
                <w:rFonts w:asciiTheme="minorHAnsi" w:hAnsiTheme="minorHAnsi"/>
                <w:sz w:val="20"/>
              </w:rPr>
              <w:t>e</w:t>
            </w:r>
            <w:r w:rsidRPr="00A542D2">
              <w:rPr>
                <w:rFonts w:asciiTheme="minorHAnsi" w:hAnsiTheme="minorHAnsi"/>
                <w:sz w:val="20"/>
              </w:rPr>
              <w:t xml:space="preserve"> water for injection with the volume specified on the </w:t>
            </w:r>
            <w:r>
              <w:rPr>
                <w:rFonts w:asciiTheme="minorHAnsi" w:hAnsiTheme="minorHAnsi"/>
                <w:sz w:val="20"/>
              </w:rPr>
              <w:t>packaging for reconstitution</w:t>
            </w:r>
            <w:r w:rsidRPr="00A542D2">
              <w:rPr>
                <w:rFonts w:asciiTheme="minorHAnsi" w:hAnsiTheme="minorHAnsi"/>
                <w:sz w:val="20"/>
              </w:rPr>
              <w:t>.</w:t>
            </w:r>
          </w:p>
        </w:tc>
      </w:tr>
      <w:tr w:rsidRPr="003B78EA" w:rsidR="009772E1" w:rsidTr="00204576" w14:paraId="712E85F6" w14:textId="77777777">
        <w:trPr>
          <w:trHeight w:val="263"/>
        </w:trPr>
        <w:tc>
          <w:tcPr>
            <w:tcW w:w="901" w:type="pct"/>
          </w:tcPr>
          <w:p w:rsidRPr="003B78EA" w:rsidR="009772E1" w:rsidP="0059793A" w:rsidRDefault="009772E1" w14:paraId="255CB212"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099" w:type="pct"/>
            <w:vAlign w:val="center"/>
          </w:tcPr>
          <w:p w:rsidR="009772E1" w:rsidP="0059793A" w:rsidRDefault="009772E1" w14:paraId="70282B83" w14:textId="77777777">
            <w:pPr>
              <w:pStyle w:val="BodyText"/>
              <w:rPr>
                <w:rFonts w:asciiTheme="minorHAnsi" w:hAnsiTheme="minorHAnsi"/>
                <w:sz w:val="20"/>
              </w:rPr>
            </w:pPr>
            <w:r w:rsidRPr="00A542D2">
              <w:rPr>
                <w:rFonts w:asciiTheme="minorHAnsi" w:hAnsiTheme="minorHAnsi"/>
                <w:sz w:val="20"/>
              </w:rPr>
              <w:t>Shake bottle well before measuring dose.</w:t>
            </w:r>
          </w:p>
          <w:p w:rsidRPr="00A542D2" w:rsidR="009772E1" w:rsidP="0059793A" w:rsidRDefault="009772E1" w14:paraId="501A2BA9" w14:textId="77777777">
            <w:pPr>
              <w:pStyle w:val="BodyText"/>
              <w:rPr>
                <w:rFonts w:asciiTheme="minorHAnsi" w:hAnsiTheme="minorHAnsi"/>
                <w:sz w:val="20"/>
              </w:rPr>
            </w:pPr>
            <w:r w:rsidRPr="00A542D2">
              <w:rPr>
                <w:rFonts w:asciiTheme="minorHAnsi" w:hAnsiTheme="minorHAnsi"/>
                <w:sz w:val="20"/>
              </w:rPr>
              <w:t xml:space="preserve">Prophylactic </w:t>
            </w:r>
            <w:r>
              <w:rPr>
                <w:rFonts w:asciiTheme="minorHAnsi" w:hAnsiTheme="minorHAnsi"/>
                <w:sz w:val="20"/>
              </w:rPr>
              <w:t>d</w:t>
            </w:r>
            <w:r w:rsidRPr="00A542D2">
              <w:rPr>
                <w:rFonts w:asciiTheme="minorHAnsi" w:hAnsiTheme="minorHAnsi"/>
                <w:sz w:val="20"/>
              </w:rPr>
              <w:t xml:space="preserve">ose: May be taken with or without food. </w:t>
            </w:r>
          </w:p>
          <w:p w:rsidRPr="003B78EA" w:rsidR="009772E1" w:rsidP="0059793A" w:rsidRDefault="009772E1" w14:paraId="1709E1F7" w14:textId="77777777">
            <w:pPr>
              <w:pStyle w:val="BodyText"/>
              <w:rPr>
                <w:rFonts w:asciiTheme="minorHAnsi" w:hAnsiTheme="minorHAnsi" w:cstheme="minorHAnsi"/>
                <w:sz w:val="20"/>
              </w:rPr>
            </w:pPr>
            <w:r w:rsidRPr="00A542D2">
              <w:rPr>
                <w:rFonts w:asciiTheme="minorHAnsi" w:hAnsiTheme="minorHAnsi"/>
                <w:sz w:val="20"/>
              </w:rPr>
              <w:t xml:space="preserve">Treatment dose: </w:t>
            </w:r>
            <w:r>
              <w:rPr>
                <w:rFonts w:asciiTheme="minorHAnsi" w:hAnsiTheme="minorHAnsi"/>
                <w:sz w:val="20"/>
              </w:rPr>
              <w:t>P</w:t>
            </w:r>
            <w:r w:rsidRPr="00A542D2">
              <w:rPr>
                <w:rFonts w:asciiTheme="minorHAnsi" w:hAnsiTheme="minorHAnsi"/>
                <w:sz w:val="20"/>
              </w:rPr>
              <w:t xml:space="preserve">referably </w:t>
            </w:r>
            <w:r>
              <w:rPr>
                <w:rFonts w:asciiTheme="minorHAnsi" w:hAnsiTheme="minorHAnsi"/>
                <w:sz w:val="20"/>
              </w:rPr>
              <w:t>c</w:t>
            </w:r>
            <w:r w:rsidRPr="00A542D2">
              <w:rPr>
                <w:rFonts w:asciiTheme="minorHAnsi" w:hAnsiTheme="minorHAnsi"/>
                <w:sz w:val="20"/>
              </w:rPr>
              <w:t xml:space="preserve">ommence treatment </w:t>
            </w:r>
            <w:r w:rsidRPr="00F9796B">
              <w:rPr>
                <w:rFonts w:asciiTheme="minorHAnsi" w:hAnsiTheme="minorHAnsi"/>
                <w:b/>
                <w:sz w:val="20"/>
              </w:rPr>
              <w:t>without</w:t>
            </w:r>
            <w:r w:rsidRPr="00A542D2">
              <w:rPr>
                <w:rFonts w:asciiTheme="minorHAnsi" w:hAnsiTheme="minorHAnsi"/>
                <w:sz w:val="20"/>
              </w:rPr>
              <w:t xml:space="preserve"> feeds </w:t>
            </w:r>
            <w:r>
              <w:rPr>
                <w:rFonts w:asciiTheme="minorHAnsi" w:hAnsiTheme="minorHAnsi"/>
                <w:sz w:val="20"/>
              </w:rPr>
              <w:t xml:space="preserve">for </w:t>
            </w:r>
            <w:r w:rsidRPr="00A542D2">
              <w:rPr>
                <w:rFonts w:asciiTheme="minorHAnsi" w:hAnsiTheme="minorHAnsi"/>
                <w:sz w:val="20"/>
              </w:rPr>
              <w:t>faster absorption and higher peak concentrations</w:t>
            </w:r>
            <w:r w:rsidRPr="00A542D2">
              <w:rPr>
                <w:rFonts w:asciiTheme="minorHAnsi" w:hAnsiTheme="minorHAnsi"/>
                <w:sz w:val="20"/>
                <w:vertAlign w:val="superscript"/>
              </w:rPr>
              <w:t>3</w:t>
            </w:r>
            <w:r w:rsidRPr="00A542D2">
              <w:rPr>
                <w:rFonts w:asciiTheme="minorHAnsi" w:hAnsiTheme="minorHAnsi"/>
                <w:sz w:val="20"/>
              </w:rPr>
              <w:t xml:space="preserve"> </w:t>
            </w:r>
          </w:p>
        </w:tc>
      </w:tr>
      <w:tr w:rsidRPr="003B78EA" w:rsidR="009772E1" w:rsidTr="00204576" w14:paraId="28370890" w14:textId="77777777">
        <w:trPr>
          <w:trHeight w:val="263"/>
        </w:trPr>
        <w:tc>
          <w:tcPr>
            <w:tcW w:w="901" w:type="pct"/>
          </w:tcPr>
          <w:p w:rsidRPr="003B78EA" w:rsidR="009772E1" w:rsidP="0059793A" w:rsidRDefault="009772E1" w14:paraId="20D62847"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099" w:type="pct"/>
          </w:tcPr>
          <w:p w:rsidRPr="007F4B77" w:rsidR="009772E1" w:rsidP="0059793A" w:rsidRDefault="009772E1" w14:paraId="52D3F3A6" w14:textId="77777777">
            <w:pPr>
              <w:pStyle w:val="BodyText"/>
              <w:rPr>
                <w:rFonts w:asciiTheme="minorHAnsi" w:hAnsiTheme="minorHAnsi" w:cstheme="minorHAnsi"/>
                <w:sz w:val="20"/>
              </w:rPr>
            </w:pPr>
            <w:r>
              <w:rPr>
                <w:rFonts w:asciiTheme="minorHAnsi" w:hAnsiTheme="minorHAnsi"/>
                <w:sz w:val="20"/>
              </w:rPr>
              <w:t>R</w:t>
            </w:r>
            <w:r w:rsidRPr="00A542D2">
              <w:rPr>
                <w:rFonts w:asciiTheme="minorHAnsi" w:hAnsiTheme="minorHAnsi"/>
                <w:sz w:val="20"/>
              </w:rPr>
              <w:t>enal, hepatic and haematological function with prolonged use.</w:t>
            </w:r>
          </w:p>
        </w:tc>
      </w:tr>
      <w:tr w:rsidRPr="003B78EA" w:rsidR="009772E1" w:rsidTr="00204576" w14:paraId="56056A6F" w14:textId="77777777">
        <w:trPr>
          <w:trHeight w:val="263"/>
        </w:trPr>
        <w:tc>
          <w:tcPr>
            <w:tcW w:w="901" w:type="pct"/>
          </w:tcPr>
          <w:p w:rsidRPr="003B78EA" w:rsidR="009772E1" w:rsidP="0059793A" w:rsidRDefault="009772E1" w14:paraId="62504D4F"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099" w:type="pct"/>
          </w:tcPr>
          <w:p w:rsidRPr="00A542D2" w:rsidR="009772E1" w:rsidP="0059793A" w:rsidRDefault="009772E1" w14:paraId="3DB2B71A" w14:textId="77777777">
            <w:pPr>
              <w:pStyle w:val="BodyText"/>
              <w:rPr>
                <w:rFonts w:asciiTheme="minorHAnsi" w:hAnsiTheme="minorHAnsi"/>
                <w:sz w:val="20"/>
              </w:rPr>
            </w:pPr>
            <w:r w:rsidRPr="00A542D2">
              <w:rPr>
                <w:rFonts w:asciiTheme="minorHAnsi" w:hAnsiTheme="minorHAnsi"/>
                <w:sz w:val="20"/>
              </w:rPr>
              <w:t>Hypersensitivity to cephalosporins.</w:t>
            </w:r>
          </w:p>
          <w:p w:rsidRPr="003B78EA" w:rsidR="009772E1" w:rsidP="0059793A" w:rsidRDefault="009772E1" w14:paraId="0C272D66" w14:textId="77777777">
            <w:pPr>
              <w:pStyle w:val="BodyText"/>
              <w:rPr>
                <w:rFonts w:asciiTheme="minorHAnsi" w:hAnsiTheme="minorHAnsi" w:cstheme="minorHAnsi"/>
                <w:sz w:val="20"/>
              </w:rPr>
            </w:pPr>
            <w:r w:rsidRPr="00A542D2">
              <w:rPr>
                <w:rFonts w:asciiTheme="minorHAnsi" w:hAnsiTheme="minorHAnsi"/>
                <w:sz w:val="20"/>
              </w:rPr>
              <w:t>Immediate hypersensitivity or severe reaction to penicillins.</w:t>
            </w:r>
          </w:p>
        </w:tc>
      </w:tr>
      <w:tr w:rsidRPr="003B78EA" w:rsidR="009772E1" w:rsidTr="00204576" w14:paraId="265D8FD5" w14:textId="77777777">
        <w:trPr>
          <w:trHeight w:val="263"/>
        </w:trPr>
        <w:tc>
          <w:tcPr>
            <w:tcW w:w="901" w:type="pct"/>
          </w:tcPr>
          <w:p w:rsidRPr="003B78EA" w:rsidR="009772E1" w:rsidP="0059793A" w:rsidRDefault="009772E1" w14:paraId="28D10FFF"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099" w:type="pct"/>
          </w:tcPr>
          <w:p w:rsidRPr="003B78EA" w:rsidR="009772E1" w:rsidP="0059793A" w:rsidRDefault="009772E1" w14:paraId="775F8426" w14:textId="77777777">
            <w:pPr>
              <w:pStyle w:val="BodyText"/>
              <w:rPr>
                <w:rFonts w:asciiTheme="minorHAnsi" w:hAnsiTheme="minorHAnsi" w:cstheme="minorHAnsi"/>
                <w:sz w:val="20"/>
              </w:rPr>
            </w:pPr>
            <w:r w:rsidRPr="00A542D2">
              <w:rPr>
                <w:rFonts w:asciiTheme="minorHAnsi" w:hAnsiTheme="minorHAnsi"/>
                <w:sz w:val="20"/>
              </w:rPr>
              <w:t>Use with caution in patients with hypersensitivity or mild adverse reactions to penicillins or carbapenems as cross-reactivity can occur (e.g. rash).</w:t>
            </w:r>
          </w:p>
        </w:tc>
      </w:tr>
      <w:tr w:rsidRPr="003B78EA" w:rsidR="009772E1" w:rsidTr="00204576" w14:paraId="4962B7A9" w14:textId="77777777">
        <w:trPr>
          <w:trHeight w:val="263"/>
        </w:trPr>
        <w:tc>
          <w:tcPr>
            <w:tcW w:w="901" w:type="pct"/>
          </w:tcPr>
          <w:p w:rsidRPr="003B78EA" w:rsidR="009772E1" w:rsidP="0059793A" w:rsidRDefault="009772E1" w14:paraId="6E6392C0"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099" w:type="pct"/>
          </w:tcPr>
          <w:p w:rsidRPr="003B78EA" w:rsidR="009772E1" w:rsidP="0059793A" w:rsidRDefault="009772E1" w14:paraId="7D01CEAD" w14:textId="77777777">
            <w:pPr>
              <w:pStyle w:val="BodyText"/>
              <w:rPr>
                <w:rFonts w:asciiTheme="minorHAnsi" w:hAnsiTheme="minorHAnsi" w:cstheme="minorHAnsi"/>
                <w:sz w:val="20"/>
              </w:rPr>
            </w:pPr>
            <w:r>
              <w:rPr>
                <w:rFonts w:cs="Arial" w:asciiTheme="minorHAnsi" w:hAnsiTheme="minorHAnsi"/>
                <w:sz w:val="20"/>
              </w:rPr>
              <w:t>Not applicable</w:t>
            </w:r>
            <w:r w:rsidRPr="00A542D2">
              <w:rPr>
                <w:rFonts w:cs="Arial" w:asciiTheme="minorHAnsi" w:hAnsiTheme="minorHAnsi"/>
                <w:sz w:val="20"/>
              </w:rPr>
              <w:t>.</w:t>
            </w:r>
          </w:p>
        </w:tc>
      </w:tr>
      <w:tr w:rsidRPr="003B78EA" w:rsidR="009772E1" w:rsidTr="00204576" w14:paraId="0160706E" w14:textId="77777777">
        <w:trPr>
          <w:trHeight w:val="263"/>
        </w:trPr>
        <w:tc>
          <w:tcPr>
            <w:tcW w:w="901" w:type="pct"/>
          </w:tcPr>
          <w:p w:rsidRPr="003B78EA" w:rsidR="009772E1" w:rsidP="0059793A" w:rsidRDefault="009772E1" w14:paraId="6B2CAF20"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099" w:type="pct"/>
          </w:tcPr>
          <w:p w:rsidRPr="00A542D2" w:rsidR="009772E1" w:rsidP="0059793A" w:rsidRDefault="009772E1" w14:paraId="2C474B93" w14:textId="77777777">
            <w:pPr>
              <w:pStyle w:val="BodyText"/>
              <w:rPr>
                <w:rFonts w:asciiTheme="minorHAnsi" w:hAnsiTheme="minorHAnsi"/>
                <w:sz w:val="20"/>
              </w:rPr>
            </w:pPr>
            <w:r w:rsidRPr="00A542D2">
              <w:rPr>
                <w:rFonts w:asciiTheme="minorHAnsi" w:hAnsiTheme="minorHAnsi"/>
                <w:sz w:val="20"/>
              </w:rPr>
              <w:t>Diarrhoea, abdominal pain, vomiting.</w:t>
            </w:r>
          </w:p>
          <w:p w:rsidRPr="00A542D2" w:rsidR="009772E1" w:rsidP="0059793A" w:rsidRDefault="009772E1" w14:paraId="462AFE13" w14:textId="77777777">
            <w:pPr>
              <w:pStyle w:val="BodyText"/>
              <w:rPr>
                <w:rFonts w:asciiTheme="minorHAnsi" w:hAnsiTheme="minorHAnsi"/>
                <w:sz w:val="20"/>
              </w:rPr>
            </w:pPr>
            <w:r w:rsidRPr="00A542D2">
              <w:rPr>
                <w:rFonts w:asciiTheme="minorHAnsi" w:hAnsiTheme="minorHAnsi"/>
                <w:sz w:val="20"/>
              </w:rPr>
              <w:t>Pseudomembranous colitis (rare).</w:t>
            </w:r>
          </w:p>
          <w:p w:rsidRPr="00A542D2" w:rsidR="009772E1" w:rsidP="0059793A" w:rsidRDefault="009772E1" w14:paraId="7A61F72A" w14:textId="77777777">
            <w:pPr>
              <w:pStyle w:val="BodyText"/>
              <w:rPr>
                <w:rFonts w:asciiTheme="minorHAnsi" w:hAnsiTheme="minorHAnsi"/>
                <w:sz w:val="20"/>
              </w:rPr>
            </w:pPr>
            <w:r w:rsidRPr="00A542D2">
              <w:rPr>
                <w:rFonts w:asciiTheme="minorHAnsi" w:hAnsiTheme="minorHAnsi"/>
                <w:sz w:val="20"/>
              </w:rPr>
              <w:t>Transient elevation of liver enzymes.</w:t>
            </w:r>
          </w:p>
          <w:p w:rsidRPr="003B78EA" w:rsidR="009772E1" w:rsidP="0059793A" w:rsidRDefault="009772E1" w14:paraId="1B54056A" w14:textId="77777777">
            <w:pPr>
              <w:pStyle w:val="BodyText"/>
              <w:rPr>
                <w:rFonts w:asciiTheme="minorHAnsi" w:hAnsiTheme="minorHAnsi" w:cstheme="minorHAnsi"/>
                <w:sz w:val="20"/>
              </w:rPr>
            </w:pPr>
            <w:r w:rsidRPr="00A542D2">
              <w:rPr>
                <w:rFonts w:asciiTheme="minorHAnsi" w:hAnsiTheme="minorHAnsi"/>
                <w:sz w:val="20"/>
              </w:rPr>
              <w:t>Hypersensitivity: Immediate − urticaria, bronchospasm, anaphylaxis. Delayed − maculopapular rash, fever, eosinophilia.</w:t>
            </w:r>
          </w:p>
        </w:tc>
      </w:tr>
      <w:tr w:rsidRPr="003B78EA" w:rsidR="009772E1" w:rsidTr="00204576" w14:paraId="7EC7A3AE" w14:textId="77777777">
        <w:trPr>
          <w:trHeight w:val="263"/>
        </w:trPr>
        <w:tc>
          <w:tcPr>
            <w:tcW w:w="901" w:type="pct"/>
          </w:tcPr>
          <w:p w:rsidRPr="003B78EA" w:rsidR="009772E1" w:rsidP="0059793A" w:rsidRDefault="009772E1" w14:paraId="6BC5D2EC"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Compatibility</w:t>
            </w:r>
          </w:p>
        </w:tc>
        <w:tc>
          <w:tcPr>
            <w:tcW w:w="4099" w:type="pct"/>
          </w:tcPr>
          <w:p w:rsidRPr="003B78EA" w:rsidR="009772E1" w:rsidP="0059793A" w:rsidRDefault="009772E1" w14:paraId="1F3992F6" w14:textId="77777777">
            <w:pPr>
              <w:pStyle w:val="BodyText"/>
              <w:rPr>
                <w:rFonts w:asciiTheme="minorHAnsi" w:hAnsiTheme="minorHAnsi" w:cstheme="minorHAnsi"/>
                <w:sz w:val="20"/>
              </w:rPr>
            </w:pPr>
            <w:r>
              <w:rPr>
                <w:rFonts w:cs="Arial" w:asciiTheme="minorHAnsi" w:hAnsiTheme="minorHAnsi"/>
                <w:sz w:val="20"/>
              </w:rPr>
              <w:t>Not applicable</w:t>
            </w:r>
            <w:r w:rsidRPr="00A542D2">
              <w:rPr>
                <w:rFonts w:cs="Arial" w:asciiTheme="minorHAnsi" w:hAnsiTheme="minorHAnsi"/>
                <w:sz w:val="20"/>
              </w:rPr>
              <w:t>.</w:t>
            </w:r>
          </w:p>
        </w:tc>
      </w:tr>
      <w:tr w:rsidRPr="003B78EA" w:rsidR="009772E1" w:rsidTr="00204576" w14:paraId="0640F9C0" w14:textId="77777777">
        <w:trPr>
          <w:trHeight w:val="263"/>
        </w:trPr>
        <w:tc>
          <w:tcPr>
            <w:tcW w:w="901" w:type="pct"/>
          </w:tcPr>
          <w:p w:rsidRPr="003B78EA" w:rsidR="009772E1" w:rsidP="0059793A" w:rsidRDefault="009772E1" w14:paraId="4BDF52E1"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099" w:type="pct"/>
          </w:tcPr>
          <w:p w:rsidRPr="003B78EA" w:rsidR="009772E1" w:rsidP="0059793A" w:rsidRDefault="009772E1" w14:paraId="517B6791" w14:textId="77777777">
            <w:pPr>
              <w:pStyle w:val="BodyText"/>
              <w:rPr>
                <w:rFonts w:asciiTheme="minorHAnsi" w:hAnsiTheme="minorHAnsi" w:cstheme="minorHAnsi"/>
                <w:sz w:val="20"/>
              </w:rPr>
            </w:pPr>
            <w:r w:rsidRPr="00A542D2">
              <w:rPr>
                <w:rFonts w:cs="Arial" w:asciiTheme="minorHAnsi" w:hAnsiTheme="minorHAnsi"/>
                <w:sz w:val="20"/>
              </w:rPr>
              <w:t>Not applicable.</w:t>
            </w:r>
          </w:p>
        </w:tc>
      </w:tr>
      <w:tr w:rsidRPr="003B78EA" w:rsidR="009772E1" w:rsidTr="00204576" w14:paraId="08E93992" w14:textId="77777777">
        <w:trPr>
          <w:trHeight w:val="263"/>
        </w:trPr>
        <w:tc>
          <w:tcPr>
            <w:tcW w:w="901" w:type="pct"/>
          </w:tcPr>
          <w:p w:rsidRPr="003B78EA" w:rsidR="009772E1" w:rsidP="0059793A" w:rsidRDefault="009772E1" w14:paraId="05B9E696"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099" w:type="pct"/>
          </w:tcPr>
          <w:p w:rsidRPr="003B78EA" w:rsidR="009772E1" w:rsidP="0059793A" w:rsidRDefault="009772E1" w14:paraId="47CFC5EF" w14:textId="77777777">
            <w:pPr>
              <w:pStyle w:val="BodyText"/>
              <w:rPr>
                <w:rFonts w:asciiTheme="minorHAnsi" w:hAnsiTheme="minorHAnsi" w:cstheme="minorHAnsi"/>
                <w:sz w:val="20"/>
              </w:rPr>
            </w:pPr>
            <w:r w:rsidRPr="00A542D2">
              <w:rPr>
                <w:rFonts w:cs="Arial" w:asciiTheme="minorHAnsi" w:hAnsiTheme="minorHAnsi"/>
                <w:sz w:val="20"/>
              </w:rPr>
              <w:t>Reconstituted solution should be discarded after 14 days.</w:t>
            </w:r>
          </w:p>
        </w:tc>
      </w:tr>
      <w:tr w:rsidRPr="003B78EA" w:rsidR="009772E1" w:rsidTr="00204576" w14:paraId="3E6ABC07" w14:textId="77777777">
        <w:trPr>
          <w:trHeight w:val="263"/>
        </w:trPr>
        <w:tc>
          <w:tcPr>
            <w:tcW w:w="901" w:type="pct"/>
          </w:tcPr>
          <w:p w:rsidRPr="003B78EA" w:rsidR="009772E1" w:rsidP="0059793A" w:rsidRDefault="009772E1" w14:paraId="76523E0C"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099" w:type="pct"/>
          </w:tcPr>
          <w:p w:rsidRPr="00A542D2" w:rsidR="009772E1" w:rsidP="0059793A" w:rsidRDefault="009772E1" w14:paraId="4C235269" w14:textId="77777777">
            <w:pPr>
              <w:pStyle w:val="BodyText"/>
              <w:rPr>
                <w:rFonts w:cs="Arial" w:asciiTheme="minorHAnsi" w:hAnsiTheme="minorHAnsi"/>
                <w:sz w:val="20"/>
              </w:rPr>
            </w:pPr>
            <w:r w:rsidRPr="00A542D2">
              <w:rPr>
                <w:rFonts w:cs="Arial" w:asciiTheme="minorHAnsi" w:hAnsiTheme="minorHAnsi"/>
                <w:sz w:val="20"/>
              </w:rPr>
              <w:t>Store powder below 25</w:t>
            </w:r>
            <w:r w:rsidRPr="00A542D2">
              <w:rPr>
                <w:rFonts w:cs="Calibri" w:asciiTheme="minorHAnsi" w:hAnsiTheme="minorHAnsi"/>
                <w:sz w:val="20"/>
              </w:rPr>
              <w:t>°</w:t>
            </w:r>
            <w:r w:rsidRPr="00A542D2">
              <w:rPr>
                <w:rFonts w:cs="Arial" w:asciiTheme="minorHAnsi" w:hAnsiTheme="minorHAnsi"/>
                <w:sz w:val="20"/>
              </w:rPr>
              <w:t xml:space="preserve">C </w:t>
            </w:r>
          </w:p>
          <w:p w:rsidRPr="003B78EA" w:rsidR="009772E1" w:rsidP="0059793A" w:rsidRDefault="009772E1" w14:paraId="021D7052" w14:textId="77777777">
            <w:pPr>
              <w:pStyle w:val="BodyText"/>
              <w:rPr>
                <w:rFonts w:asciiTheme="minorHAnsi" w:hAnsiTheme="minorHAnsi" w:cstheme="minorHAnsi"/>
                <w:sz w:val="20"/>
              </w:rPr>
            </w:pPr>
            <w:r w:rsidRPr="00A542D2">
              <w:rPr>
                <w:rFonts w:cs="Arial" w:asciiTheme="minorHAnsi" w:hAnsiTheme="minorHAnsi"/>
                <w:sz w:val="20"/>
              </w:rPr>
              <w:t>Store reconstituted solution between 2</w:t>
            </w:r>
            <w:r>
              <w:rPr>
                <w:rFonts w:cs="Arial" w:asciiTheme="minorHAnsi" w:hAnsiTheme="minorHAnsi"/>
                <w:sz w:val="20"/>
              </w:rPr>
              <w:t xml:space="preserve"> and </w:t>
            </w:r>
            <w:r w:rsidRPr="00A542D2">
              <w:rPr>
                <w:rFonts w:cs="Arial" w:asciiTheme="minorHAnsi" w:hAnsiTheme="minorHAnsi"/>
                <w:sz w:val="20"/>
              </w:rPr>
              <w:t>8</w:t>
            </w:r>
            <w:r w:rsidRPr="00A542D2">
              <w:rPr>
                <w:rFonts w:cs="Calibri" w:asciiTheme="minorHAnsi" w:hAnsiTheme="minorHAnsi"/>
                <w:sz w:val="20"/>
              </w:rPr>
              <w:t>°</w:t>
            </w:r>
            <w:r w:rsidRPr="00A542D2">
              <w:rPr>
                <w:rFonts w:cs="Arial" w:asciiTheme="minorHAnsi" w:hAnsiTheme="minorHAnsi"/>
                <w:sz w:val="20"/>
              </w:rPr>
              <w:t>C</w:t>
            </w:r>
          </w:p>
        </w:tc>
      </w:tr>
      <w:tr w:rsidRPr="003B78EA" w:rsidR="009772E1" w:rsidTr="00204576" w14:paraId="71D7EE2B" w14:textId="77777777">
        <w:trPr>
          <w:trHeight w:val="263"/>
        </w:trPr>
        <w:tc>
          <w:tcPr>
            <w:tcW w:w="901" w:type="pct"/>
          </w:tcPr>
          <w:p w:rsidRPr="003B78EA" w:rsidR="009772E1" w:rsidP="0059793A" w:rsidRDefault="009772E1" w14:paraId="1FBC21E7"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099" w:type="pct"/>
          </w:tcPr>
          <w:p w:rsidRPr="003B78EA" w:rsidR="009772E1" w:rsidP="0059793A" w:rsidRDefault="009772E1" w14:paraId="0F6D5EBB" w14:textId="77777777">
            <w:pPr>
              <w:pStyle w:val="BodyText"/>
              <w:rPr>
                <w:rFonts w:asciiTheme="minorHAnsi" w:hAnsiTheme="minorHAnsi" w:cstheme="minorHAnsi"/>
                <w:sz w:val="20"/>
              </w:rPr>
            </w:pPr>
          </w:p>
        </w:tc>
      </w:tr>
      <w:tr w:rsidRPr="003B78EA" w:rsidR="009772E1" w:rsidTr="00204576" w14:paraId="6E211800" w14:textId="77777777">
        <w:trPr>
          <w:trHeight w:val="263"/>
        </w:trPr>
        <w:tc>
          <w:tcPr>
            <w:tcW w:w="901" w:type="pct"/>
          </w:tcPr>
          <w:p w:rsidRPr="003B78EA" w:rsidR="009772E1" w:rsidP="0059793A" w:rsidRDefault="009772E1" w14:paraId="03D8D758"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099" w:type="pct"/>
          </w:tcPr>
          <w:p w:rsidRPr="00A542D2" w:rsidR="009772E1" w:rsidP="0059793A" w:rsidRDefault="009772E1" w14:paraId="30C9F7DA" w14:textId="77777777">
            <w:pPr>
              <w:pStyle w:val="BodyText"/>
              <w:rPr>
                <w:rFonts w:cs="Arial" w:asciiTheme="minorHAnsi" w:hAnsiTheme="minorHAnsi"/>
                <w:sz w:val="20"/>
              </w:rPr>
            </w:pPr>
            <w:r w:rsidRPr="00A542D2">
              <w:rPr>
                <w:rFonts w:cs="Arial" w:asciiTheme="minorHAnsi" w:hAnsiTheme="minorHAnsi"/>
                <w:sz w:val="20"/>
              </w:rPr>
              <w:t xml:space="preserve">May cause false positive Coombs test. </w:t>
            </w:r>
          </w:p>
          <w:p w:rsidRPr="003B78EA" w:rsidR="009772E1" w:rsidP="0059793A" w:rsidRDefault="009772E1" w14:paraId="4F363877" w14:textId="77777777">
            <w:pPr>
              <w:pStyle w:val="BodyText"/>
              <w:rPr>
                <w:rFonts w:asciiTheme="minorHAnsi" w:hAnsiTheme="minorHAnsi" w:cstheme="minorHAnsi"/>
                <w:sz w:val="20"/>
              </w:rPr>
            </w:pPr>
            <w:r w:rsidRPr="00A542D2">
              <w:rPr>
                <w:rFonts w:cs="Arial" w:asciiTheme="minorHAnsi" w:hAnsiTheme="minorHAnsi"/>
                <w:sz w:val="20"/>
              </w:rPr>
              <w:t>Consider increasing dosing interval in significant renal impairment.</w:t>
            </w:r>
          </w:p>
        </w:tc>
      </w:tr>
      <w:tr w:rsidRPr="003B78EA" w:rsidR="009772E1" w:rsidTr="00204576" w14:paraId="485D2CBC" w14:textId="77777777">
        <w:trPr>
          <w:trHeight w:val="263"/>
        </w:trPr>
        <w:tc>
          <w:tcPr>
            <w:tcW w:w="901" w:type="pct"/>
          </w:tcPr>
          <w:p w:rsidRPr="003B78EA" w:rsidR="009772E1" w:rsidP="0059793A" w:rsidRDefault="009772E1" w14:paraId="06A2B1FD"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099" w:type="pct"/>
          </w:tcPr>
          <w:p w:rsidRPr="00A542D2" w:rsidR="009772E1" w:rsidP="0059793A" w:rsidRDefault="009772E1" w14:paraId="2A92DF4C" w14:textId="77777777">
            <w:pPr>
              <w:pStyle w:val="BodyText"/>
              <w:rPr>
                <w:rFonts w:cs="Arial" w:asciiTheme="minorHAnsi" w:hAnsiTheme="minorHAnsi"/>
                <w:sz w:val="20"/>
              </w:rPr>
            </w:pPr>
            <w:r w:rsidRPr="00A542D2">
              <w:rPr>
                <w:rFonts w:cs="Arial" w:asciiTheme="minorHAnsi" w:hAnsiTheme="minorHAnsi"/>
                <w:b/>
                <w:sz w:val="20"/>
              </w:rPr>
              <w:t>Pharmacokinetics and pharmacodynamics</w:t>
            </w:r>
          </w:p>
          <w:p w:rsidRPr="00A542D2" w:rsidR="009772E1" w:rsidP="0059793A" w:rsidRDefault="009772E1" w14:paraId="5F8D3CC6" w14:textId="77777777">
            <w:pPr>
              <w:pStyle w:val="BodyText"/>
              <w:rPr>
                <w:rFonts w:cs="Arial" w:asciiTheme="minorHAnsi" w:hAnsiTheme="minorHAnsi"/>
                <w:sz w:val="20"/>
              </w:rPr>
            </w:pPr>
            <w:r w:rsidRPr="00A542D2">
              <w:rPr>
                <w:rFonts w:cs="Arial" w:asciiTheme="minorHAnsi" w:hAnsiTheme="minorHAnsi"/>
                <w:sz w:val="20"/>
              </w:rPr>
              <w:t xml:space="preserve">First-generation cephalosporins are most active against gram-positive cocci, including MSSA and streptococci. They have no activity against enterococci, MRSA, or </w:t>
            </w:r>
            <w:r w:rsidRPr="009312CB">
              <w:rPr>
                <w:rFonts w:cs="Arial" w:asciiTheme="minorHAnsi" w:hAnsiTheme="minorHAnsi"/>
                <w:i/>
                <w:sz w:val="20"/>
              </w:rPr>
              <w:t>Listeria</w:t>
            </w:r>
            <w:r w:rsidRPr="00A542D2">
              <w:rPr>
                <w:rFonts w:cs="Arial" w:asciiTheme="minorHAnsi" w:hAnsiTheme="minorHAnsi"/>
                <w:sz w:val="20"/>
              </w:rPr>
              <w:t>. Therapeutic concentrations occur in most tissues, including pleura, synovial fluids, and bone, but not middle ear fluid. First-generation cephalosporins should not be used if bacterial meningitis is possible, due to poor CSF penetration, with or without inflammation.</w:t>
            </w:r>
            <w:r w:rsidRPr="009312CB">
              <w:rPr>
                <w:rFonts w:cs="Arial" w:asciiTheme="minorHAnsi" w:hAnsiTheme="minorHAnsi"/>
                <w:sz w:val="20"/>
                <w:vertAlign w:val="superscript"/>
              </w:rPr>
              <w:t>1</w:t>
            </w:r>
            <w:r w:rsidRPr="00A542D2">
              <w:rPr>
                <w:rFonts w:cs="Arial" w:asciiTheme="minorHAnsi" w:hAnsiTheme="minorHAnsi"/>
                <w:sz w:val="20"/>
              </w:rPr>
              <w:t xml:space="preserve"> Ce</w:t>
            </w:r>
            <w:r>
              <w:rPr>
                <w:rFonts w:cs="Arial" w:asciiTheme="minorHAnsi" w:hAnsiTheme="minorHAnsi"/>
                <w:sz w:val="20"/>
              </w:rPr>
              <w:t>f</w:t>
            </w:r>
            <w:r w:rsidRPr="00A542D2">
              <w:rPr>
                <w:rFonts w:cs="Arial" w:asciiTheme="minorHAnsi" w:hAnsiTheme="minorHAnsi"/>
                <w:sz w:val="20"/>
              </w:rPr>
              <w:t>alexin is rapidly absorbed in the upper intestine. Distribution to the tissues, other than the spinal fluid and aqueous humour, is rapidly achieved. Ce</w:t>
            </w:r>
            <w:r>
              <w:rPr>
                <w:rFonts w:cs="Arial" w:asciiTheme="minorHAnsi" w:hAnsiTheme="minorHAnsi"/>
                <w:sz w:val="20"/>
              </w:rPr>
              <w:t>f</w:t>
            </w:r>
            <w:r w:rsidRPr="00A542D2">
              <w:rPr>
                <w:rFonts w:cs="Arial" w:asciiTheme="minorHAnsi" w:hAnsiTheme="minorHAnsi"/>
                <w:sz w:val="20"/>
              </w:rPr>
              <w:t>alexin does not penetrate host cells, which probably accounts for its low incidence of side effects. Binding to human serum proteins is low and there is no measurable metabolism in body fluids. Ce</w:t>
            </w:r>
            <w:r>
              <w:rPr>
                <w:rFonts w:cs="Arial" w:asciiTheme="minorHAnsi" w:hAnsiTheme="minorHAnsi"/>
                <w:sz w:val="20"/>
              </w:rPr>
              <w:t>f</w:t>
            </w:r>
            <w:r w:rsidRPr="00A542D2">
              <w:rPr>
                <w:rFonts w:cs="Arial" w:asciiTheme="minorHAnsi" w:hAnsiTheme="minorHAnsi"/>
                <w:sz w:val="20"/>
              </w:rPr>
              <w:t>alexin is rapidly cleared from the body by the kidneys. In adults, 70 to 100% of the dose is found in the urine 6</w:t>
            </w:r>
            <w:r>
              <w:rPr>
                <w:rFonts w:cs="Arial" w:asciiTheme="minorHAnsi" w:hAnsiTheme="minorHAnsi"/>
                <w:sz w:val="20"/>
              </w:rPr>
              <w:t>–</w:t>
            </w:r>
            <w:r w:rsidRPr="00A542D2">
              <w:rPr>
                <w:rFonts w:cs="Arial" w:asciiTheme="minorHAnsi" w:hAnsiTheme="minorHAnsi"/>
                <w:sz w:val="20"/>
              </w:rPr>
              <w:t xml:space="preserve">8 </w:t>
            </w:r>
            <w:r>
              <w:rPr>
                <w:rFonts w:cs="Arial" w:asciiTheme="minorHAnsi" w:hAnsiTheme="minorHAnsi"/>
                <w:sz w:val="20"/>
              </w:rPr>
              <w:t>h</w:t>
            </w:r>
            <w:r w:rsidRPr="00A542D2">
              <w:rPr>
                <w:rFonts w:cs="Arial" w:asciiTheme="minorHAnsi" w:hAnsiTheme="minorHAnsi"/>
                <w:sz w:val="20"/>
              </w:rPr>
              <w:t xml:space="preserve"> after each dose. The elimination half-life was 0.8 hours in adults.</w:t>
            </w:r>
            <w:r w:rsidRPr="009312CB">
              <w:rPr>
                <w:rFonts w:cs="Arial" w:asciiTheme="minorHAnsi" w:hAnsiTheme="minorHAnsi"/>
                <w:sz w:val="20"/>
                <w:vertAlign w:val="superscript"/>
              </w:rPr>
              <w:t>2</w:t>
            </w:r>
            <w:r w:rsidRPr="00A542D2">
              <w:rPr>
                <w:rFonts w:cs="Arial" w:asciiTheme="minorHAnsi" w:hAnsiTheme="minorHAnsi"/>
                <w:sz w:val="20"/>
              </w:rPr>
              <w:t xml:space="preserve"> In infants and children, following ingestion of a 15 mg/kg dose, mean peak concentrations of ce</w:t>
            </w:r>
            <w:r>
              <w:rPr>
                <w:rFonts w:cs="Arial" w:asciiTheme="minorHAnsi" w:hAnsiTheme="minorHAnsi"/>
                <w:sz w:val="20"/>
              </w:rPr>
              <w:t>f</w:t>
            </w:r>
            <w:r w:rsidRPr="00A542D2">
              <w:rPr>
                <w:rFonts w:cs="Arial" w:asciiTheme="minorHAnsi" w:hAnsiTheme="minorHAnsi"/>
                <w:sz w:val="20"/>
              </w:rPr>
              <w:t xml:space="preserve">alexin in serum were achieved at one-half hour (23.4 </w:t>
            </w:r>
            <w:r>
              <w:rPr>
                <w:rFonts w:cs="Arial" w:asciiTheme="minorHAnsi" w:hAnsiTheme="minorHAnsi"/>
                <w:sz w:val="20"/>
              </w:rPr>
              <w:t>microgram</w:t>
            </w:r>
            <w:r w:rsidRPr="00A542D2">
              <w:rPr>
                <w:rFonts w:cs="Arial" w:asciiTheme="minorHAnsi" w:hAnsiTheme="minorHAnsi"/>
                <w:sz w:val="20"/>
              </w:rPr>
              <w:t>/m</w:t>
            </w:r>
            <w:r>
              <w:rPr>
                <w:rFonts w:cs="Arial" w:asciiTheme="minorHAnsi" w:hAnsiTheme="minorHAnsi"/>
                <w:sz w:val="20"/>
              </w:rPr>
              <w:t>L</w:t>
            </w:r>
            <w:r w:rsidRPr="00A542D2">
              <w:rPr>
                <w:rFonts w:cs="Arial" w:asciiTheme="minorHAnsi" w:hAnsiTheme="minorHAnsi"/>
                <w:sz w:val="20"/>
              </w:rPr>
              <w:t xml:space="preserve">) in fasting and at one hour (9.0 </w:t>
            </w:r>
            <w:r>
              <w:rPr>
                <w:rFonts w:cs="Arial" w:asciiTheme="minorHAnsi" w:hAnsiTheme="minorHAnsi"/>
                <w:sz w:val="20"/>
              </w:rPr>
              <w:t>microg</w:t>
            </w:r>
            <w:r w:rsidRPr="00A542D2">
              <w:rPr>
                <w:rFonts w:cs="Arial" w:asciiTheme="minorHAnsi" w:hAnsiTheme="minorHAnsi"/>
                <w:sz w:val="20"/>
              </w:rPr>
              <w:t>/m</w:t>
            </w:r>
            <w:r>
              <w:rPr>
                <w:rFonts w:cs="Arial" w:asciiTheme="minorHAnsi" w:hAnsiTheme="minorHAnsi"/>
                <w:sz w:val="20"/>
              </w:rPr>
              <w:t>L</w:t>
            </w:r>
            <w:r w:rsidRPr="00A542D2">
              <w:rPr>
                <w:rFonts w:cs="Arial" w:asciiTheme="minorHAnsi" w:hAnsiTheme="minorHAnsi"/>
                <w:sz w:val="20"/>
              </w:rPr>
              <w:t>) in no</w:t>
            </w:r>
            <w:r>
              <w:rPr>
                <w:rFonts w:cs="Arial" w:asciiTheme="minorHAnsi" w:hAnsiTheme="minorHAnsi"/>
                <w:sz w:val="20"/>
              </w:rPr>
              <w:t>n-f</w:t>
            </w:r>
            <w:r w:rsidRPr="00A542D2">
              <w:rPr>
                <w:rFonts w:cs="Arial" w:asciiTheme="minorHAnsi" w:hAnsiTheme="minorHAnsi"/>
                <w:sz w:val="20"/>
              </w:rPr>
              <w:t>asting patients. Administration of drug with milk reduced the mean peak concentration by 60% and the area-under-the-curve value by approximately 40%. The half-life in serum was approximately 60 minutes. Concentrations in tears and saliva were below MIC for many organisms.</w:t>
            </w:r>
            <w:r w:rsidRPr="009312CB">
              <w:rPr>
                <w:rFonts w:cs="Arial" w:asciiTheme="minorHAnsi" w:hAnsiTheme="minorHAnsi"/>
                <w:sz w:val="20"/>
                <w:vertAlign w:val="superscript"/>
              </w:rPr>
              <w:t>3</w:t>
            </w:r>
            <w:r w:rsidRPr="00A542D2">
              <w:rPr>
                <w:rFonts w:cs="Arial" w:asciiTheme="minorHAnsi" w:hAnsiTheme="minorHAnsi"/>
                <w:sz w:val="20"/>
              </w:rPr>
              <w:t xml:space="preserve"> In 40 newborn infants given 15 mg/kg ce</w:t>
            </w:r>
            <w:r>
              <w:rPr>
                <w:rFonts w:cs="Arial" w:asciiTheme="minorHAnsi" w:hAnsiTheme="minorHAnsi"/>
                <w:sz w:val="20"/>
              </w:rPr>
              <w:t>f</w:t>
            </w:r>
            <w:r w:rsidRPr="00A542D2">
              <w:rPr>
                <w:rFonts w:cs="Arial" w:asciiTheme="minorHAnsi" w:hAnsiTheme="minorHAnsi"/>
                <w:sz w:val="20"/>
              </w:rPr>
              <w:t xml:space="preserve">alexin every 8 hours the serum </w:t>
            </w:r>
            <w:r>
              <w:rPr>
                <w:rFonts w:cs="Arial" w:asciiTheme="minorHAnsi" w:hAnsiTheme="minorHAnsi"/>
                <w:sz w:val="20"/>
              </w:rPr>
              <w:t>concentrations</w:t>
            </w:r>
            <w:r w:rsidRPr="00A542D2">
              <w:rPr>
                <w:rFonts w:cs="Arial" w:asciiTheme="minorHAnsi" w:hAnsiTheme="minorHAnsi"/>
                <w:sz w:val="20"/>
              </w:rPr>
              <w:t xml:space="preserve"> of ce</w:t>
            </w:r>
            <w:r>
              <w:rPr>
                <w:rFonts w:cs="Arial" w:asciiTheme="minorHAnsi" w:hAnsiTheme="minorHAnsi"/>
                <w:sz w:val="20"/>
              </w:rPr>
              <w:t>f</w:t>
            </w:r>
            <w:r w:rsidRPr="00A542D2">
              <w:rPr>
                <w:rFonts w:cs="Arial" w:asciiTheme="minorHAnsi" w:hAnsiTheme="minorHAnsi"/>
                <w:sz w:val="20"/>
              </w:rPr>
              <w:t xml:space="preserve">alexin were lower than the average MIC for many of the Gram-negative organisms encountered in the neonatal period. In a second series, </w:t>
            </w:r>
            <w:r>
              <w:rPr>
                <w:rFonts w:cs="Arial" w:asciiTheme="minorHAnsi" w:hAnsiTheme="minorHAnsi"/>
                <w:sz w:val="20"/>
              </w:rPr>
              <w:t>i</w:t>
            </w:r>
            <w:r w:rsidRPr="00A542D2">
              <w:rPr>
                <w:rFonts w:cs="Arial" w:asciiTheme="minorHAnsi" w:hAnsiTheme="minorHAnsi"/>
                <w:sz w:val="20"/>
              </w:rPr>
              <w:t>n 30 newborn infants who received 50 mg/kg every 12 hours</w:t>
            </w:r>
            <w:r>
              <w:rPr>
                <w:rFonts w:cs="Arial" w:asciiTheme="minorHAnsi" w:hAnsiTheme="minorHAnsi"/>
                <w:sz w:val="20"/>
              </w:rPr>
              <w:t>,</w:t>
            </w:r>
            <w:r w:rsidRPr="00A542D2">
              <w:rPr>
                <w:rFonts w:cs="Arial" w:asciiTheme="minorHAnsi" w:hAnsiTheme="minorHAnsi"/>
                <w:sz w:val="20"/>
              </w:rPr>
              <w:t xml:space="preserve"> adequate serum </w:t>
            </w:r>
            <w:r>
              <w:rPr>
                <w:rFonts w:cs="Arial" w:asciiTheme="minorHAnsi" w:hAnsiTheme="minorHAnsi"/>
                <w:sz w:val="20"/>
              </w:rPr>
              <w:t>concentrations</w:t>
            </w:r>
            <w:r w:rsidRPr="00A542D2">
              <w:rPr>
                <w:rFonts w:cs="Arial" w:asciiTheme="minorHAnsi" w:hAnsiTheme="minorHAnsi"/>
                <w:sz w:val="20"/>
              </w:rPr>
              <w:t xml:space="preserve"> were achieved. Urinary excretion of ce</w:t>
            </w:r>
            <w:r>
              <w:rPr>
                <w:rFonts w:cs="Arial" w:asciiTheme="minorHAnsi" w:hAnsiTheme="minorHAnsi"/>
                <w:sz w:val="20"/>
              </w:rPr>
              <w:t>f</w:t>
            </w:r>
            <w:r w:rsidRPr="00A542D2">
              <w:rPr>
                <w:rFonts w:cs="Arial" w:asciiTheme="minorHAnsi" w:hAnsiTheme="minorHAnsi"/>
                <w:sz w:val="20"/>
              </w:rPr>
              <w:t>alexin in 24 hours ranged from 5 to 66% of the total daily dose suggesting 50 to 60% of the administered dose of ce</w:t>
            </w:r>
            <w:r>
              <w:rPr>
                <w:rFonts w:cs="Arial" w:asciiTheme="minorHAnsi" w:hAnsiTheme="minorHAnsi"/>
                <w:sz w:val="20"/>
              </w:rPr>
              <w:t>f</w:t>
            </w:r>
            <w:r w:rsidRPr="00A542D2">
              <w:rPr>
                <w:rFonts w:cs="Arial" w:asciiTheme="minorHAnsi" w:hAnsiTheme="minorHAnsi"/>
                <w:sz w:val="20"/>
              </w:rPr>
              <w:t>alexin is absorbed by the newborn infant.</w:t>
            </w:r>
            <w:r w:rsidRPr="009312CB">
              <w:rPr>
                <w:rFonts w:cs="Arial" w:asciiTheme="minorHAnsi" w:hAnsiTheme="minorHAnsi"/>
                <w:sz w:val="20"/>
                <w:vertAlign w:val="superscript"/>
              </w:rPr>
              <w:t>4</w:t>
            </w:r>
            <w:r w:rsidRPr="00A542D2">
              <w:rPr>
                <w:rFonts w:cs="Arial" w:asciiTheme="minorHAnsi" w:hAnsiTheme="minorHAnsi"/>
                <w:sz w:val="20"/>
              </w:rPr>
              <w:t xml:space="preserve"> Pharmacokinetic data are lacking in preterm infants.</w:t>
            </w:r>
          </w:p>
          <w:p w:rsidRPr="00A542D2" w:rsidR="009772E1" w:rsidP="0059793A" w:rsidRDefault="009772E1" w14:paraId="486173C9" w14:textId="77777777">
            <w:pPr>
              <w:pStyle w:val="BodyText"/>
              <w:rPr>
                <w:rFonts w:cs="Arial" w:asciiTheme="minorHAnsi" w:hAnsiTheme="minorHAnsi"/>
                <w:b/>
                <w:sz w:val="20"/>
              </w:rPr>
            </w:pPr>
          </w:p>
          <w:p w:rsidRPr="00A542D2" w:rsidR="009772E1" w:rsidP="0059793A" w:rsidRDefault="009772E1" w14:paraId="5DA3C986" w14:textId="77777777">
            <w:pPr>
              <w:pStyle w:val="BodyText"/>
              <w:rPr>
                <w:rFonts w:cs="Arial" w:asciiTheme="minorHAnsi" w:hAnsiTheme="minorHAnsi"/>
                <w:b/>
                <w:sz w:val="20"/>
              </w:rPr>
            </w:pPr>
            <w:r w:rsidRPr="00A542D2">
              <w:rPr>
                <w:rFonts w:cs="Arial" w:asciiTheme="minorHAnsi" w:hAnsiTheme="minorHAnsi"/>
                <w:b/>
                <w:sz w:val="20"/>
              </w:rPr>
              <w:t>Efficacy</w:t>
            </w:r>
          </w:p>
          <w:p w:rsidRPr="00A542D2" w:rsidR="009772E1" w:rsidP="0059793A" w:rsidRDefault="009772E1" w14:paraId="6F76FBE8" w14:textId="77777777">
            <w:pPr>
              <w:pStyle w:val="BodyText"/>
              <w:rPr>
                <w:rFonts w:cs="Arial" w:asciiTheme="minorHAnsi" w:hAnsiTheme="minorHAnsi"/>
                <w:sz w:val="20"/>
              </w:rPr>
            </w:pPr>
            <w:r w:rsidRPr="00A542D2">
              <w:rPr>
                <w:rFonts w:cs="Arial" w:asciiTheme="minorHAnsi" w:hAnsiTheme="minorHAnsi"/>
                <w:sz w:val="20"/>
              </w:rPr>
              <w:t>Trials on ce</w:t>
            </w:r>
            <w:r>
              <w:rPr>
                <w:rFonts w:cs="Arial" w:asciiTheme="minorHAnsi" w:hAnsiTheme="minorHAnsi"/>
                <w:sz w:val="20"/>
              </w:rPr>
              <w:t>f</w:t>
            </w:r>
            <w:r w:rsidRPr="00A542D2">
              <w:rPr>
                <w:rFonts w:cs="Arial" w:asciiTheme="minorHAnsi" w:hAnsiTheme="minorHAnsi"/>
                <w:sz w:val="20"/>
              </w:rPr>
              <w:t xml:space="preserve">alexin in treating specific infections in neonates are lacking. Beyond </w:t>
            </w:r>
            <w:r>
              <w:rPr>
                <w:rFonts w:cs="Arial" w:asciiTheme="minorHAnsi" w:hAnsiTheme="minorHAnsi"/>
                <w:sz w:val="20"/>
              </w:rPr>
              <w:t xml:space="preserve">the </w:t>
            </w:r>
            <w:r w:rsidRPr="00A542D2">
              <w:rPr>
                <w:rFonts w:cs="Arial" w:asciiTheme="minorHAnsi" w:hAnsiTheme="minorHAnsi"/>
                <w:sz w:val="20"/>
              </w:rPr>
              <w:t xml:space="preserve">neonatal age group, American Academy of Pediatrics recommends </w:t>
            </w:r>
            <w:r>
              <w:rPr>
                <w:rFonts w:cs="Arial" w:asciiTheme="minorHAnsi" w:hAnsiTheme="minorHAnsi"/>
                <w:sz w:val="20"/>
              </w:rPr>
              <w:t xml:space="preserve">a </w:t>
            </w:r>
            <w:r w:rsidRPr="00A542D2">
              <w:rPr>
                <w:rFonts w:cs="Arial" w:asciiTheme="minorHAnsi" w:hAnsiTheme="minorHAnsi"/>
                <w:sz w:val="20"/>
              </w:rPr>
              <w:t>ce</w:t>
            </w:r>
            <w:r>
              <w:rPr>
                <w:rFonts w:cs="Arial" w:asciiTheme="minorHAnsi" w:hAnsiTheme="minorHAnsi"/>
                <w:sz w:val="20"/>
              </w:rPr>
              <w:t>f</w:t>
            </w:r>
            <w:r w:rsidRPr="00A542D2">
              <w:rPr>
                <w:rFonts w:cs="Arial" w:asciiTheme="minorHAnsi" w:hAnsiTheme="minorHAnsi"/>
                <w:sz w:val="20"/>
              </w:rPr>
              <w:t xml:space="preserve">alexin </w:t>
            </w:r>
            <w:r>
              <w:rPr>
                <w:rFonts w:cs="Arial" w:asciiTheme="minorHAnsi" w:hAnsiTheme="minorHAnsi"/>
                <w:sz w:val="20"/>
              </w:rPr>
              <w:t>dosage of</w:t>
            </w:r>
            <w:r w:rsidRPr="00A542D2">
              <w:rPr>
                <w:rFonts w:cs="Arial" w:asciiTheme="minorHAnsi" w:hAnsiTheme="minorHAnsi"/>
                <w:sz w:val="20"/>
              </w:rPr>
              <w:t xml:space="preserve"> 50</w:t>
            </w:r>
            <w:r>
              <w:rPr>
                <w:rFonts w:cs="Arial" w:asciiTheme="minorHAnsi" w:hAnsiTheme="minorHAnsi"/>
                <w:sz w:val="20"/>
              </w:rPr>
              <w:t>–</w:t>
            </w:r>
            <w:r w:rsidRPr="00A542D2">
              <w:rPr>
                <w:rFonts w:cs="Arial" w:asciiTheme="minorHAnsi" w:hAnsiTheme="minorHAnsi"/>
                <w:sz w:val="20"/>
              </w:rPr>
              <w:t>100 mg/kg/day in 4 divided doses.</w:t>
            </w:r>
            <w:r w:rsidRPr="009312CB">
              <w:rPr>
                <w:rFonts w:cs="Arial" w:asciiTheme="minorHAnsi" w:hAnsiTheme="minorHAnsi"/>
                <w:sz w:val="20"/>
                <w:vertAlign w:val="superscript"/>
              </w:rPr>
              <w:t>5,6</w:t>
            </w:r>
          </w:p>
          <w:p w:rsidRPr="00A542D2" w:rsidR="009772E1" w:rsidP="0059793A" w:rsidRDefault="009772E1" w14:paraId="42AAF881" w14:textId="77777777">
            <w:pPr>
              <w:pStyle w:val="BodyText"/>
              <w:rPr>
                <w:rFonts w:cs="Arial" w:asciiTheme="minorHAnsi" w:hAnsiTheme="minorHAnsi"/>
                <w:sz w:val="20"/>
              </w:rPr>
            </w:pPr>
          </w:p>
          <w:p w:rsidRPr="00A542D2" w:rsidR="009772E1" w:rsidP="0059793A" w:rsidRDefault="009772E1" w14:paraId="340C4534" w14:textId="77777777">
            <w:pPr>
              <w:pStyle w:val="BodyText"/>
              <w:rPr>
                <w:rFonts w:cs="Arial" w:asciiTheme="minorHAnsi" w:hAnsiTheme="minorHAnsi"/>
                <w:sz w:val="20"/>
              </w:rPr>
            </w:pPr>
            <w:r w:rsidRPr="00A542D2">
              <w:rPr>
                <w:rFonts w:cs="Arial" w:asciiTheme="minorHAnsi" w:hAnsiTheme="minorHAnsi"/>
                <w:sz w:val="20"/>
              </w:rPr>
              <w:t>Antimicrobial prophylaxis for UTI: The suggested prophylactic dose of ce</w:t>
            </w:r>
            <w:r>
              <w:rPr>
                <w:rFonts w:cs="Arial" w:asciiTheme="minorHAnsi" w:hAnsiTheme="minorHAnsi"/>
                <w:sz w:val="20"/>
              </w:rPr>
              <w:t>f</w:t>
            </w:r>
            <w:r w:rsidRPr="00A542D2">
              <w:rPr>
                <w:rFonts w:cs="Arial" w:asciiTheme="minorHAnsi" w:hAnsiTheme="minorHAnsi"/>
                <w:sz w:val="20"/>
              </w:rPr>
              <w:t>alexin ranges from 10</w:t>
            </w:r>
            <w:r>
              <w:rPr>
                <w:rFonts w:cs="Arial" w:asciiTheme="minorHAnsi" w:hAnsiTheme="minorHAnsi"/>
                <w:sz w:val="20"/>
              </w:rPr>
              <w:t>–</w:t>
            </w:r>
            <w:r w:rsidRPr="00A542D2">
              <w:rPr>
                <w:rFonts w:cs="Arial" w:asciiTheme="minorHAnsi" w:hAnsiTheme="minorHAnsi"/>
                <w:sz w:val="20"/>
              </w:rPr>
              <w:t>12.5 mg/kg/dose daily.</w:t>
            </w:r>
            <w:r w:rsidRPr="009312CB">
              <w:rPr>
                <w:rFonts w:cs="Arial" w:asciiTheme="minorHAnsi" w:hAnsiTheme="minorHAnsi"/>
                <w:sz w:val="20"/>
                <w:vertAlign w:val="superscript"/>
              </w:rPr>
              <w:t>7,8</w:t>
            </w:r>
            <w:r>
              <w:rPr>
                <w:rFonts w:cs="Arial" w:asciiTheme="minorHAnsi" w:hAnsiTheme="minorHAnsi"/>
                <w:noProof/>
                <w:sz w:val="20"/>
              </w:rPr>
              <w:t xml:space="preserve"> </w:t>
            </w:r>
            <w:r w:rsidRPr="00A542D2">
              <w:rPr>
                <w:rFonts w:cs="Arial" w:asciiTheme="minorHAnsi" w:hAnsiTheme="minorHAnsi"/>
                <w:sz w:val="20"/>
              </w:rPr>
              <w:t xml:space="preserve">Due to concerns </w:t>
            </w:r>
            <w:r>
              <w:rPr>
                <w:rFonts w:cs="Arial" w:asciiTheme="minorHAnsi" w:hAnsiTheme="minorHAnsi"/>
                <w:sz w:val="20"/>
              </w:rPr>
              <w:t>about</w:t>
            </w:r>
            <w:r w:rsidRPr="00A542D2">
              <w:rPr>
                <w:rFonts w:cs="Arial" w:asciiTheme="minorHAnsi" w:hAnsiTheme="minorHAnsi"/>
                <w:sz w:val="20"/>
              </w:rPr>
              <w:t xml:space="preserve"> bacterial resistance, it is suggested to use cefalexin or amoxicillin (based on culture and susceptibility results) as second-choice antibiotics for prophylaxis beyond 3 months of age.</w:t>
            </w:r>
            <w:r w:rsidRPr="009312CB">
              <w:rPr>
                <w:rFonts w:cs="Arial" w:asciiTheme="minorHAnsi" w:hAnsiTheme="minorHAnsi"/>
                <w:sz w:val="20"/>
                <w:vertAlign w:val="superscript"/>
              </w:rPr>
              <w:t>8</w:t>
            </w:r>
          </w:p>
          <w:p w:rsidRPr="00A542D2" w:rsidR="009772E1" w:rsidP="0059793A" w:rsidRDefault="009772E1" w14:paraId="55C7BBA6" w14:textId="77777777">
            <w:pPr>
              <w:pStyle w:val="BodyText"/>
              <w:rPr>
                <w:rFonts w:cs="Arial" w:asciiTheme="minorHAnsi" w:hAnsiTheme="minorHAnsi"/>
                <w:sz w:val="20"/>
              </w:rPr>
            </w:pPr>
          </w:p>
          <w:p w:rsidRPr="00A542D2" w:rsidR="009772E1" w:rsidP="0059793A" w:rsidRDefault="009772E1" w14:paraId="6A76AE63" w14:textId="77777777">
            <w:pPr>
              <w:pStyle w:val="BodyText"/>
              <w:rPr>
                <w:rFonts w:cs="Arial" w:asciiTheme="minorHAnsi" w:hAnsiTheme="minorHAnsi"/>
                <w:sz w:val="20"/>
              </w:rPr>
            </w:pPr>
            <w:r w:rsidRPr="00A542D2">
              <w:rPr>
                <w:rFonts w:cs="Arial" w:asciiTheme="minorHAnsi" w:hAnsiTheme="minorHAnsi"/>
                <w:sz w:val="20"/>
              </w:rPr>
              <w:t>Antimicrobial prophylaxis for micturating cystourethrogram (MCUG): NICE Guideline 2007 recommen</w:t>
            </w:r>
            <w:r>
              <w:rPr>
                <w:rFonts w:cs="Arial" w:asciiTheme="minorHAnsi" w:hAnsiTheme="minorHAnsi"/>
                <w:sz w:val="20"/>
              </w:rPr>
              <w:t>ds</w:t>
            </w:r>
            <w:r w:rsidRPr="00A542D2">
              <w:rPr>
                <w:rFonts w:cs="Arial" w:asciiTheme="minorHAnsi" w:hAnsiTheme="minorHAnsi"/>
                <w:sz w:val="20"/>
              </w:rPr>
              <w:t xml:space="preserve"> a 3-day antibiotic course with MCUG taking place on the second day.</w:t>
            </w:r>
            <w:r w:rsidRPr="009312CB">
              <w:rPr>
                <w:rFonts w:cs="Arial" w:asciiTheme="minorHAnsi" w:hAnsiTheme="minorHAnsi"/>
                <w:noProof/>
                <w:sz w:val="20"/>
                <w:vertAlign w:val="superscript"/>
              </w:rPr>
              <w:t>9</w:t>
            </w:r>
            <w:r>
              <w:rPr>
                <w:rFonts w:cs="Arial" w:asciiTheme="minorHAnsi" w:hAnsiTheme="minorHAnsi"/>
                <w:sz w:val="20"/>
              </w:rPr>
              <w:t xml:space="preserve"> </w:t>
            </w:r>
            <w:r w:rsidRPr="00A542D2">
              <w:rPr>
                <w:rFonts w:cs="Arial" w:asciiTheme="minorHAnsi" w:hAnsiTheme="minorHAnsi"/>
                <w:sz w:val="20"/>
              </w:rPr>
              <w:t>Cefalexin 10</w:t>
            </w:r>
            <w:r>
              <w:rPr>
                <w:rFonts w:cs="Arial" w:asciiTheme="minorHAnsi" w:hAnsiTheme="minorHAnsi"/>
                <w:sz w:val="20"/>
              </w:rPr>
              <w:t>–</w:t>
            </w:r>
            <w:r w:rsidRPr="00A542D2">
              <w:rPr>
                <w:rFonts w:cs="Arial" w:asciiTheme="minorHAnsi" w:hAnsiTheme="minorHAnsi"/>
                <w:sz w:val="20"/>
              </w:rPr>
              <w:t>15 mg/kg/dose 8</w:t>
            </w:r>
            <w:r>
              <w:rPr>
                <w:rFonts w:cs="Arial" w:asciiTheme="minorHAnsi" w:hAnsiTheme="minorHAnsi"/>
                <w:sz w:val="20"/>
              </w:rPr>
              <w:t>-</w:t>
            </w:r>
            <w:r w:rsidRPr="00A542D2">
              <w:rPr>
                <w:rFonts w:cs="Arial" w:asciiTheme="minorHAnsi" w:hAnsiTheme="minorHAnsi"/>
                <w:sz w:val="20"/>
              </w:rPr>
              <w:t>hourly for 3 days in children aged 2 months to 5 years undergoing MCUG was reported to reduce MCUG</w:t>
            </w:r>
            <w:r>
              <w:rPr>
                <w:rFonts w:cs="Arial" w:asciiTheme="minorHAnsi" w:hAnsiTheme="minorHAnsi"/>
                <w:sz w:val="20"/>
              </w:rPr>
              <w:t>-</w:t>
            </w:r>
            <w:r w:rsidRPr="00A542D2">
              <w:rPr>
                <w:rFonts w:cs="Arial" w:asciiTheme="minorHAnsi" w:hAnsiTheme="minorHAnsi"/>
                <w:sz w:val="20"/>
              </w:rPr>
              <w:t>associated UTI in a randomised</w:t>
            </w:r>
            <w:r>
              <w:rPr>
                <w:rFonts w:cs="Arial" w:asciiTheme="minorHAnsi" w:hAnsiTheme="minorHAnsi"/>
                <w:sz w:val="20"/>
              </w:rPr>
              <w:t>,</w:t>
            </w:r>
            <w:r w:rsidRPr="00A542D2">
              <w:rPr>
                <w:rFonts w:cs="Arial" w:asciiTheme="minorHAnsi" w:hAnsiTheme="minorHAnsi"/>
                <w:sz w:val="20"/>
              </w:rPr>
              <w:t xml:space="preserve"> controlled trial.</w:t>
            </w:r>
            <w:r w:rsidRPr="009312CB">
              <w:rPr>
                <w:rFonts w:cs="Arial" w:asciiTheme="minorHAnsi" w:hAnsiTheme="minorHAnsi"/>
                <w:sz w:val="20"/>
                <w:vertAlign w:val="superscript"/>
              </w:rPr>
              <w:t>10</w:t>
            </w:r>
            <w:r>
              <w:rPr>
                <w:rFonts w:cs="Arial" w:asciiTheme="minorHAnsi" w:hAnsiTheme="minorHAnsi"/>
                <w:noProof/>
                <w:sz w:val="20"/>
              </w:rPr>
              <w:t xml:space="preserve"> </w:t>
            </w:r>
            <w:r w:rsidRPr="00A542D2">
              <w:rPr>
                <w:rFonts w:cs="Arial" w:asciiTheme="minorHAnsi" w:hAnsiTheme="minorHAnsi"/>
                <w:sz w:val="20"/>
              </w:rPr>
              <w:t>(LOE:II)</w:t>
            </w:r>
          </w:p>
          <w:p w:rsidRPr="00A542D2" w:rsidR="009772E1" w:rsidP="0059793A" w:rsidRDefault="009772E1" w14:paraId="660CF90F" w14:textId="77777777">
            <w:pPr>
              <w:pStyle w:val="BodyText"/>
              <w:rPr>
                <w:rFonts w:cs="Arial" w:asciiTheme="minorHAnsi" w:hAnsiTheme="minorHAnsi"/>
                <w:b/>
                <w:sz w:val="20"/>
              </w:rPr>
            </w:pPr>
          </w:p>
          <w:p w:rsidRPr="00A542D2" w:rsidR="009772E1" w:rsidP="0059793A" w:rsidRDefault="009772E1" w14:paraId="1ABBA046" w14:textId="77777777">
            <w:pPr>
              <w:pStyle w:val="BodyText"/>
              <w:rPr>
                <w:rFonts w:cs="Arial" w:asciiTheme="minorHAnsi" w:hAnsiTheme="minorHAnsi"/>
                <w:b/>
                <w:sz w:val="20"/>
              </w:rPr>
            </w:pPr>
            <w:r w:rsidRPr="00A542D2">
              <w:rPr>
                <w:rFonts w:cs="Arial" w:asciiTheme="minorHAnsi" w:hAnsiTheme="minorHAnsi"/>
                <w:b/>
                <w:sz w:val="20"/>
              </w:rPr>
              <w:t>Safety</w:t>
            </w:r>
          </w:p>
          <w:p w:rsidRPr="003B78EA" w:rsidR="009772E1" w:rsidP="0059793A" w:rsidRDefault="009772E1" w14:paraId="2B005F85" w14:textId="77777777">
            <w:pPr>
              <w:pStyle w:val="BodyText"/>
              <w:tabs>
                <w:tab w:val="left" w:pos="1168"/>
              </w:tabs>
              <w:rPr>
                <w:rFonts w:asciiTheme="minorHAnsi" w:hAnsiTheme="minorHAnsi" w:cstheme="minorHAnsi"/>
                <w:sz w:val="20"/>
              </w:rPr>
            </w:pPr>
            <w:r w:rsidRPr="00A542D2">
              <w:rPr>
                <w:rFonts w:cs="Arial" w:asciiTheme="minorHAnsi" w:hAnsiTheme="minorHAnsi"/>
                <w:sz w:val="20"/>
              </w:rPr>
              <w:t>No</w:t>
            </w:r>
            <w:r>
              <w:rPr>
                <w:rFonts w:cs="Arial" w:asciiTheme="minorHAnsi" w:hAnsiTheme="minorHAnsi"/>
                <w:sz w:val="20"/>
              </w:rPr>
              <w:t>n-p</w:t>
            </w:r>
            <w:r w:rsidRPr="00A542D2">
              <w:rPr>
                <w:rFonts w:cs="Arial" w:asciiTheme="minorHAnsi" w:hAnsiTheme="minorHAnsi"/>
                <w:sz w:val="20"/>
              </w:rPr>
              <w:t xml:space="preserve">ruritic rashes occur in 1% to 2.8% of patients and are not a contraindication to future use. True anaphylactic reactions related to cephalosporins are rare, with an </w:t>
            </w:r>
            <w:r w:rsidRPr="00A542D2">
              <w:rPr>
                <w:rFonts w:cs="Arial" w:asciiTheme="minorHAnsi" w:hAnsiTheme="minorHAnsi"/>
                <w:sz w:val="20"/>
              </w:rPr>
              <w:lastRenderedPageBreak/>
              <w:t>estimated risk of 0.0001% to 0.1%. Cephalosporin</w:t>
            </w:r>
            <w:r>
              <w:rPr>
                <w:rFonts w:cs="Arial" w:asciiTheme="minorHAnsi" w:hAnsiTheme="minorHAnsi"/>
                <w:sz w:val="20"/>
              </w:rPr>
              <w:t>-</w:t>
            </w:r>
            <w:r w:rsidRPr="00A542D2">
              <w:rPr>
                <w:rFonts w:cs="Arial" w:asciiTheme="minorHAnsi" w:hAnsiTheme="minorHAnsi"/>
                <w:sz w:val="20"/>
              </w:rPr>
              <w:t>induced anaphylaxis is no greater among penicillin-allergic patients according to newer evidence that established that previous rates of cross-reactivity between penicillins and cephalosporins were overestimated.</w:t>
            </w:r>
            <w:r w:rsidRPr="009312CB">
              <w:rPr>
                <w:rFonts w:cs="Arial" w:asciiTheme="minorHAnsi" w:hAnsiTheme="minorHAnsi"/>
                <w:noProof/>
                <w:sz w:val="20"/>
                <w:vertAlign w:val="superscript"/>
              </w:rPr>
              <w:t>1</w:t>
            </w:r>
          </w:p>
        </w:tc>
      </w:tr>
      <w:tr w:rsidRPr="003B78EA" w:rsidR="009772E1" w:rsidTr="00204576" w14:paraId="39A7C10F" w14:textId="77777777">
        <w:trPr>
          <w:trHeight w:val="263"/>
        </w:trPr>
        <w:tc>
          <w:tcPr>
            <w:tcW w:w="901" w:type="pct"/>
          </w:tcPr>
          <w:p w:rsidRPr="003B78EA" w:rsidR="009772E1" w:rsidP="0059793A" w:rsidRDefault="009772E1" w14:paraId="398A03B6"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Practice points</w:t>
            </w:r>
          </w:p>
        </w:tc>
        <w:tc>
          <w:tcPr>
            <w:tcW w:w="4099" w:type="pct"/>
          </w:tcPr>
          <w:p w:rsidRPr="003B78EA" w:rsidR="009772E1" w:rsidP="0059793A" w:rsidRDefault="009772E1" w14:paraId="7EBD27AB" w14:textId="77777777">
            <w:pPr>
              <w:pStyle w:val="BodyText"/>
              <w:tabs>
                <w:tab w:val="left" w:pos="1168"/>
              </w:tabs>
              <w:rPr>
                <w:rFonts w:asciiTheme="minorHAnsi" w:hAnsiTheme="minorHAnsi" w:cstheme="minorHAnsi"/>
                <w:sz w:val="20"/>
              </w:rPr>
            </w:pPr>
          </w:p>
        </w:tc>
      </w:tr>
      <w:tr w:rsidRPr="003B78EA" w:rsidR="009772E1" w:rsidTr="00204576" w14:paraId="42C3E3C5" w14:textId="77777777">
        <w:trPr>
          <w:trHeight w:val="263"/>
        </w:trPr>
        <w:tc>
          <w:tcPr>
            <w:tcW w:w="901" w:type="pct"/>
          </w:tcPr>
          <w:p w:rsidRPr="003B78EA" w:rsidR="009772E1" w:rsidP="0059793A" w:rsidRDefault="009772E1" w14:paraId="73A632B0"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099" w:type="pct"/>
          </w:tcPr>
          <w:p w:rsidRPr="009312CB" w:rsidR="009772E1" w:rsidP="0059793A" w:rsidRDefault="009772E1" w14:paraId="49F38CC3"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1. Harrison CJ, Bratcher D. Cephalosporins: a review. Pediatr Rev. 2008;29:264-7.</w:t>
            </w:r>
          </w:p>
          <w:p w:rsidRPr="009312CB" w:rsidR="009772E1" w:rsidP="0059793A" w:rsidRDefault="009772E1" w14:paraId="1F6BF460"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2. Griffith RS. The pharmacology of cephalexin. Postgrad Med J. 1983;59 Suppl 5:16-27.</w:t>
            </w:r>
          </w:p>
          <w:p w:rsidRPr="009312CB" w:rsidR="009772E1" w:rsidP="0059793A" w:rsidRDefault="009772E1" w14:paraId="0B8AD10F"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3. McCracken GH, Jr., Ginsburg CM, Clahsen JC, Thomas ML. Pharmacologic evaluation of orally administered antibiotics in infants and children: effect of feeding on bioavailability. Pediatrics. 1978;62:738-43.</w:t>
            </w:r>
          </w:p>
          <w:p w:rsidRPr="009312CB" w:rsidR="009772E1" w:rsidP="0059793A" w:rsidRDefault="009772E1" w14:paraId="6782D92E"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4. Boothman R, Kerr MM, Marshall MJ, Burland WL. Absorption and excretion of cephalexin by the newborn infant. Arch Dis Child. 1973;48:147-50.</w:t>
            </w:r>
          </w:p>
          <w:p w:rsidRPr="009312CB" w:rsidR="009772E1" w:rsidP="0059793A" w:rsidRDefault="009772E1" w14:paraId="21D2A469"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5. Paintsil E. Update on recent guidelines for the management of urinary tract infections in children: the shifting paradigm. Curr Opin Pediatr. 2013;25:88-94.</w:t>
            </w:r>
          </w:p>
          <w:p w:rsidRPr="009312CB" w:rsidR="009772E1" w:rsidP="0059793A" w:rsidRDefault="009772E1" w14:paraId="28FA1CCC" w14:textId="77777777">
            <w:pPr>
              <w:pStyle w:val="EndNoteBibliography"/>
              <w:rPr>
                <w:rFonts w:ascii="Segoe UI" w:hAnsi="Segoe UI" w:cs="Segoe UI" w:eastAsiaTheme="minorHAnsi"/>
                <w:sz w:val="18"/>
                <w:szCs w:val="18"/>
                <w:lang w:val="en-AU"/>
              </w:rPr>
            </w:pPr>
            <w:r w:rsidRPr="009312CB">
              <w:rPr>
                <w:rFonts w:asciiTheme="minorHAnsi" w:hAnsiTheme="minorHAnsi"/>
                <w:sz w:val="20"/>
                <w:szCs w:val="20"/>
                <w:lang w:val="en-AU"/>
              </w:rPr>
              <w:t xml:space="preserve">6. </w:t>
            </w:r>
            <w:r w:rsidRPr="009312CB">
              <w:rPr>
                <w:rFonts w:ascii="Segoe UI" w:hAnsi="Segoe UI" w:cs="Segoe UI" w:eastAsiaTheme="minorHAnsi"/>
                <w:sz w:val="18"/>
                <w:szCs w:val="18"/>
                <w:lang w:val="en-AU"/>
              </w:rPr>
              <w:t>Subcommittee on Urinary Tract Infection, Steering Committee on Quality Improvement Management, Roberts KB. Urinary tract infection: clinical practice guideline for the diagnosis and management of the initial UTI in febrile infants and children 2 to 24 months. Pediatrics. 2011;128:595-610.</w:t>
            </w:r>
          </w:p>
          <w:p w:rsidRPr="009312CB" w:rsidR="009772E1" w:rsidP="0059793A" w:rsidRDefault="009772E1" w14:paraId="1E2F90FC"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7. Baracco R, Mattoo TK. Diagnosis and management of urinary tract infection and vesicoureteral reflux in the neonate. Clin Perinatol. 2014;41:633-42.</w:t>
            </w:r>
          </w:p>
          <w:p w:rsidRPr="009312CB" w:rsidR="009772E1" w:rsidP="0059793A" w:rsidRDefault="009772E1" w14:paraId="21D9C2FB"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8. NICE Guidelines. Urinary tract infections. Antimicrobial prescribing. 31 October 2018. https://www.nice.org.uk/guidance/ng112/chapter/Recommendations#treatment-for-children-and-young-people-under-16-years-with-recurrent-uti.</w:t>
            </w:r>
          </w:p>
          <w:p w:rsidRPr="009312CB" w:rsidR="009772E1" w:rsidP="0059793A" w:rsidRDefault="009772E1" w14:paraId="3A19C9D6" w14:textId="77777777">
            <w:pPr>
              <w:pStyle w:val="EndNoteBibliography"/>
              <w:rPr>
                <w:rFonts w:asciiTheme="minorHAnsi" w:hAnsiTheme="minorHAnsi"/>
                <w:sz w:val="20"/>
                <w:szCs w:val="20"/>
                <w:lang w:val="en-AU"/>
              </w:rPr>
            </w:pPr>
            <w:r w:rsidRPr="009312CB">
              <w:rPr>
                <w:rFonts w:asciiTheme="minorHAnsi" w:hAnsiTheme="minorHAnsi"/>
                <w:sz w:val="20"/>
                <w:szCs w:val="20"/>
                <w:lang w:val="en-AU"/>
              </w:rPr>
              <w:t xml:space="preserve">9. NICE Guidelines. Urinary tract infection in under 16s: diagnosis and management. 22 August 2007. https://www.nice.org.uk/guidance/cg54/chapter/Recommendations#imaging-tests </w:t>
            </w:r>
          </w:p>
          <w:p w:rsidRPr="00300BD7" w:rsidR="009772E1" w:rsidP="0059793A" w:rsidRDefault="009772E1" w14:paraId="0A60E87E" w14:textId="77777777">
            <w:pPr>
              <w:spacing w:after="160" w:line="259" w:lineRule="auto"/>
              <w:ind w:left="360" w:hanging="360"/>
              <w:contextualSpacing/>
              <w:rPr>
                <w:rFonts w:asciiTheme="minorHAnsi" w:hAnsiTheme="minorHAnsi" w:eastAsiaTheme="minorHAnsi" w:cstheme="minorHAnsi"/>
                <w:sz w:val="20"/>
              </w:rPr>
            </w:pPr>
            <w:r w:rsidRPr="009312CB">
              <w:rPr>
                <w:rFonts w:asciiTheme="minorHAnsi" w:hAnsiTheme="minorHAnsi"/>
                <w:sz w:val="20"/>
              </w:rPr>
              <w:t>10. Sinha R, Saha S, Maji B, Tse Y. Antibiotics for performing voiding cystourethrogram: a randomised control trial. Arch Dis Child. 2018;103:230-4.</w:t>
            </w:r>
          </w:p>
        </w:tc>
      </w:tr>
    </w:tbl>
    <w:p w:rsidR="009772E1" w:rsidP="006F0321" w:rsidRDefault="009772E1" w14:paraId="65D908D2" w14:textId="77777777"/>
    <w:tbl>
      <w:tblPr>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252"/>
      </w:tblGrid>
      <w:tr w:rsidRPr="001A45D6" w:rsidR="00E424B4" w:rsidTr="00D03862" w14:paraId="120C0906" w14:textId="77777777">
        <w:tc>
          <w:tcPr>
            <w:tcW w:w="4395" w:type="dxa"/>
            <w:vAlign w:val="center"/>
          </w:tcPr>
          <w:p w:rsidRPr="001A45D6" w:rsidR="009772E1" w:rsidP="0059793A" w:rsidRDefault="009772E1" w14:paraId="52345B8C" w14:textId="1A9EDB61">
            <w:pPr>
              <w:rPr>
                <w:lang w:val="en-AU"/>
              </w:rPr>
            </w:pPr>
            <w:r w:rsidRPr="001A45D6">
              <w:rPr>
                <w:lang w:val="en-AU"/>
              </w:rPr>
              <w:t xml:space="preserve">Original version Date: </w:t>
            </w:r>
            <w:r>
              <w:rPr>
                <w:lang w:val="en-AU"/>
              </w:rPr>
              <w:t>16/12/2020</w:t>
            </w:r>
          </w:p>
        </w:tc>
        <w:tc>
          <w:tcPr>
            <w:tcW w:w="4252" w:type="dxa"/>
            <w:vAlign w:val="center"/>
          </w:tcPr>
          <w:p w:rsidRPr="001A45D6" w:rsidR="009772E1" w:rsidP="0059793A" w:rsidRDefault="009772E1" w14:paraId="3DA8DBFB" w14:textId="77777777">
            <w:pPr>
              <w:rPr>
                <w:lang w:val="en-AU"/>
              </w:rPr>
            </w:pPr>
            <w:r w:rsidRPr="001A45D6">
              <w:rPr>
                <w:lang w:val="en-AU"/>
              </w:rPr>
              <w:t>Author: NeoMed Consensus Group</w:t>
            </w:r>
          </w:p>
        </w:tc>
      </w:tr>
      <w:tr w:rsidRPr="001A45D6" w:rsidR="00E424B4" w:rsidTr="00D03862" w14:paraId="57FC91E7" w14:textId="77777777">
        <w:tc>
          <w:tcPr>
            <w:tcW w:w="4395" w:type="dxa"/>
            <w:vAlign w:val="center"/>
          </w:tcPr>
          <w:p w:rsidRPr="001A45D6" w:rsidR="009772E1" w:rsidP="0059793A" w:rsidRDefault="009772E1" w14:paraId="72C2E0AD" w14:textId="7EFEADD6">
            <w:pPr>
              <w:rPr>
                <w:bCs/>
                <w:lang w:val="en-AU"/>
              </w:rPr>
            </w:pPr>
            <w:r w:rsidRPr="001A45D6">
              <w:rPr>
                <w:lang w:val="en-AU"/>
              </w:rPr>
              <w:t xml:space="preserve">Current Version number:  </w:t>
            </w:r>
            <w:r w:rsidR="00AB1946">
              <w:rPr>
                <w:lang w:val="en-AU"/>
              </w:rPr>
              <w:t>3</w:t>
            </w:r>
          </w:p>
        </w:tc>
        <w:tc>
          <w:tcPr>
            <w:tcW w:w="4252" w:type="dxa"/>
            <w:vAlign w:val="center"/>
          </w:tcPr>
          <w:p w:rsidRPr="001A45D6" w:rsidR="009772E1" w:rsidP="0059793A" w:rsidRDefault="009772E1" w14:paraId="39324136" w14:textId="66136158">
            <w:pPr>
              <w:rPr>
                <w:lang w:val="en-AU"/>
              </w:rPr>
            </w:pPr>
            <w:r w:rsidRPr="001A45D6">
              <w:rPr>
                <w:lang w:val="en-AU"/>
              </w:rPr>
              <w:t xml:space="preserve">Version Date:  </w:t>
            </w:r>
            <w:r w:rsidR="00E57D33">
              <w:rPr>
                <w:lang w:val="en-AU"/>
              </w:rPr>
              <w:t>16/12/2020</w:t>
            </w:r>
          </w:p>
        </w:tc>
      </w:tr>
      <w:tr w:rsidRPr="001A45D6" w:rsidR="00E424B4" w:rsidTr="00D03862" w14:paraId="5B8CD536" w14:textId="77777777">
        <w:tc>
          <w:tcPr>
            <w:tcW w:w="4395" w:type="dxa"/>
            <w:vAlign w:val="center"/>
          </w:tcPr>
          <w:p w:rsidRPr="001A45D6" w:rsidR="009772E1" w:rsidP="0059793A" w:rsidRDefault="009772E1" w14:paraId="0F762A3B" w14:textId="1BA39323">
            <w:pPr>
              <w:rPr>
                <w:lang w:val="en-AU"/>
              </w:rPr>
            </w:pPr>
            <w:r w:rsidRPr="001A45D6">
              <w:rPr>
                <w:lang w:val="en-AU"/>
              </w:rPr>
              <w:t xml:space="preserve">Risk Rating: </w:t>
            </w:r>
            <w:r w:rsidR="00E57D33">
              <w:rPr>
                <w:lang w:val="en-AU"/>
              </w:rPr>
              <w:t>Low</w:t>
            </w:r>
          </w:p>
        </w:tc>
        <w:tc>
          <w:tcPr>
            <w:tcW w:w="4252" w:type="dxa"/>
            <w:vAlign w:val="center"/>
          </w:tcPr>
          <w:p w:rsidRPr="001A45D6" w:rsidR="009772E1" w:rsidP="0059793A" w:rsidRDefault="009772E1" w14:paraId="433ECEB5" w14:textId="2974F119">
            <w:pPr>
              <w:rPr>
                <w:lang w:val="en-AU"/>
              </w:rPr>
            </w:pPr>
            <w:r w:rsidRPr="001A45D6">
              <w:rPr>
                <w:lang w:val="en-AU"/>
              </w:rPr>
              <w:t xml:space="preserve">Due for Review:  </w:t>
            </w:r>
            <w:r w:rsidR="00E57D33">
              <w:rPr>
                <w:lang w:val="en-AU"/>
              </w:rPr>
              <w:t>16/12/2025</w:t>
            </w:r>
          </w:p>
        </w:tc>
      </w:tr>
      <w:tr w:rsidRPr="001A45D6" w:rsidR="009772E1" w:rsidTr="00D03862" w14:paraId="53BF88C7" w14:textId="77777777">
        <w:trPr>
          <w:trHeight w:val="344"/>
        </w:trPr>
        <w:tc>
          <w:tcPr>
            <w:tcW w:w="4395" w:type="dxa"/>
            <w:tcBorders>
              <w:bottom w:val="single" w:color="auto" w:sz="4" w:space="0"/>
            </w:tcBorders>
            <w:vAlign w:val="center"/>
          </w:tcPr>
          <w:p w:rsidRPr="001A45D6" w:rsidR="009772E1" w:rsidP="0059793A" w:rsidRDefault="009772E1" w14:paraId="44DC6231" w14:textId="77777777">
            <w:pPr>
              <w:rPr>
                <w:lang w:val="en-AU"/>
              </w:rPr>
            </w:pPr>
            <w:r w:rsidRPr="001A45D6">
              <w:rPr>
                <w:lang w:val="en-AU"/>
              </w:rPr>
              <w:t>Approved by: DTC</w:t>
            </w:r>
          </w:p>
        </w:tc>
        <w:tc>
          <w:tcPr>
            <w:tcW w:w="4252" w:type="dxa"/>
            <w:tcBorders>
              <w:bottom w:val="single" w:color="auto" w:sz="4" w:space="0"/>
            </w:tcBorders>
            <w:vAlign w:val="center"/>
          </w:tcPr>
          <w:p w:rsidRPr="001A45D6" w:rsidR="009772E1" w:rsidP="0059793A" w:rsidRDefault="009772E1" w14:paraId="55AFC904" w14:textId="3D7807F1">
            <w:pPr>
              <w:rPr>
                <w:lang w:val="en-AU"/>
              </w:rPr>
            </w:pPr>
            <w:r w:rsidRPr="001A45D6">
              <w:rPr>
                <w:lang w:val="en-AU"/>
              </w:rPr>
              <w:t xml:space="preserve">Approval Date: </w:t>
            </w:r>
            <w:r w:rsidR="00260BC8">
              <w:rPr>
                <w:lang w:val="en-AU"/>
              </w:rPr>
              <w:t>APRIL 2021</w:t>
            </w:r>
          </w:p>
        </w:tc>
      </w:tr>
    </w:tbl>
    <w:p w:rsidRPr="00E25790" w:rsidR="00115F48" w:rsidP="006F0321" w:rsidRDefault="00115F48" w14:paraId="1FE4DB86" w14:textId="417FFB50">
      <w:r w:rsidRPr="00E25790">
        <w:br w:type="page"/>
      </w:r>
    </w:p>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896"/>
      </w:tblGrid>
      <w:tr w:rsidRPr="00E25790" w:rsidR="00115F48" w:rsidTr="00900C7F" w14:paraId="38B9EED3" w14:textId="77777777">
        <w:trPr>
          <w:cantSplit/>
          <w:trHeight w:val="720"/>
        </w:trPr>
        <w:tc>
          <w:tcPr>
            <w:tcW w:w="9049" w:type="dxa"/>
            <w:gridSpan w:val="2"/>
            <w:shd w:val="clear" w:color="auto" w:fill="FF6600"/>
          </w:tcPr>
          <w:p w:rsidRPr="00E25790" w:rsidR="00115F48" w:rsidP="009469DB" w:rsidRDefault="00115F48" w14:paraId="29C6550F" w14:textId="77777777">
            <w:pPr>
              <w:pStyle w:val="Heading1"/>
            </w:pPr>
            <w:bookmarkStart w:name="_Toc495481084" w:id="123"/>
            <w:bookmarkStart w:name="_Toc495481210" w:id="124"/>
            <w:bookmarkStart w:name="_Toc495481335" w:id="125"/>
            <w:bookmarkStart w:name="_Toc495501516" w:id="126"/>
            <w:bookmarkStart w:name="_Toc38106819" w:id="127"/>
            <w:bookmarkStart w:name="_Toc75339946" w:id="128"/>
            <w:r w:rsidRPr="00E25790">
              <w:lastRenderedPageBreak/>
              <w:t>Cefotaxime</w:t>
            </w:r>
            <w:bookmarkEnd w:id="123"/>
            <w:bookmarkEnd w:id="124"/>
            <w:bookmarkEnd w:id="125"/>
            <w:bookmarkEnd w:id="126"/>
            <w:bookmarkEnd w:id="127"/>
            <w:bookmarkEnd w:id="128"/>
            <w:r w:rsidRPr="00E25790">
              <w:fldChar w:fldCharType="begin"/>
            </w:r>
            <w:r w:rsidRPr="00E25790">
              <w:instrText>tc "Cefotaxime" \l 0</w:instrText>
            </w:r>
            <w:r w:rsidRPr="00E25790">
              <w:fldChar w:fldCharType="end"/>
            </w:r>
          </w:p>
        </w:tc>
      </w:tr>
      <w:tr w:rsidRPr="00E25790" w:rsidR="00115F48" w:rsidTr="00900C7F" w14:paraId="07BB0007" w14:textId="77777777">
        <w:trPr>
          <w:cantSplit/>
          <w:trHeight w:val="480"/>
        </w:trPr>
        <w:tc>
          <w:tcPr>
            <w:tcW w:w="4153" w:type="dxa"/>
            <w:shd w:val="clear" w:color="auto" w:fill="FF6600"/>
          </w:tcPr>
          <w:p w:rsidRPr="00E25790" w:rsidR="00115F48" w:rsidP="006F0321" w:rsidRDefault="00115F48" w14:paraId="500BEE57" w14:textId="0B5791C2">
            <w:r w:rsidRPr="00E25790">
              <w:t xml:space="preserve">Revision Date : </w:t>
            </w:r>
            <w:r w:rsidR="00D360F4">
              <w:t>16-12-2020</w:t>
            </w:r>
          </w:p>
        </w:tc>
        <w:tc>
          <w:tcPr>
            <w:tcW w:w="4896" w:type="dxa"/>
            <w:shd w:val="clear" w:color="auto" w:fill="FF6600"/>
          </w:tcPr>
          <w:p w:rsidRPr="00E25790" w:rsidR="00115F48" w:rsidP="006F0321" w:rsidRDefault="00115F48" w14:paraId="74C369B3" w14:textId="77777777">
            <w:pPr>
              <w:rPr>
                <w:color w:val="000000"/>
              </w:rPr>
            </w:pPr>
            <w:r w:rsidRPr="00E25790">
              <w:t xml:space="preserve">Approved : </w:t>
            </w:r>
            <w:r w:rsidRPr="00E25790" w:rsidR="001A45D6">
              <w:t>TC, KOH</w:t>
            </w:r>
          </w:p>
        </w:tc>
      </w:tr>
    </w:tbl>
    <w:p w:rsidRPr="00E25790" w:rsidR="00115F48" w:rsidP="006F0321" w:rsidRDefault="00115F48" w14:paraId="2BFCB3BB"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8333"/>
      </w:tblGrid>
      <w:tr w:rsidRPr="006527B3" w:rsidR="009B1161" w:rsidTr="00204576" w14:paraId="0C42781B" w14:textId="77777777">
        <w:trPr>
          <w:trHeight w:val="263"/>
        </w:trPr>
        <w:tc>
          <w:tcPr>
            <w:tcW w:w="786" w:type="pct"/>
          </w:tcPr>
          <w:p w:rsidRPr="006527B3" w:rsidR="009B1161" w:rsidP="00FE4186" w:rsidRDefault="009B1161" w14:paraId="7887710B" w14:textId="77777777">
            <w:pPr>
              <w:pStyle w:val="BodyText"/>
              <w:tabs>
                <w:tab w:val="center" w:pos="1476"/>
              </w:tabs>
              <w:rPr>
                <w:rFonts w:asciiTheme="minorHAnsi" w:hAnsiTheme="minorHAnsi" w:cstheme="minorHAnsi"/>
                <w:b/>
                <w:sz w:val="20"/>
              </w:rPr>
            </w:pPr>
            <w:r w:rsidRPr="006527B3">
              <w:rPr>
                <w:rFonts w:asciiTheme="minorHAnsi" w:hAnsiTheme="minorHAnsi" w:cstheme="minorHAnsi"/>
                <w:b/>
                <w:sz w:val="20"/>
              </w:rPr>
              <w:t>Alert</w:t>
            </w:r>
          </w:p>
        </w:tc>
        <w:tc>
          <w:tcPr>
            <w:tcW w:w="4214" w:type="pct"/>
          </w:tcPr>
          <w:p w:rsidRPr="006527B3" w:rsidR="009B1161" w:rsidP="00FE4186" w:rsidRDefault="009B1161" w14:paraId="7F08B631" w14:textId="77777777">
            <w:pPr>
              <w:pStyle w:val="BodyText"/>
              <w:rPr>
                <w:rFonts w:asciiTheme="minorHAnsi" w:hAnsiTheme="minorHAnsi" w:cstheme="minorHAnsi"/>
                <w:sz w:val="20"/>
              </w:rPr>
            </w:pPr>
            <w:r w:rsidRPr="00CC793A">
              <w:rPr>
                <w:rFonts w:asciiTheme="minorHAnsi" w:hAnsiTheme="minorHAnsi"/>
                <w:sz w:val="20"/>
              </w:rPr>
              <w:t>High risk medicine. The Antimicrobial Stewardship Team recommends this drug is listed under the following category: Restricted.</w:t>
            </w:r>
          </w:p>
        </w:tc>
      </w:tr>
      <w:tr w:rsidRPr="006527B3" w:rsidR="009B1161" w:rsidTr="00204576" w14:paraId="191C8157" w14:textId="77777777">
        <w:trPr>
          <w:trHeight w:val="263"/>
        </w:trPr>
        <w:tc>
          <w:tcPr>
            <w:tcW w:w="786" w:type="pct"/>
          </w:tcPr>
          <w:p w:rsidRPr="006527B3" w:rsidR="009B1161" w:rsidP="00FE4186" w:rsidRDefault="009B1161" w14:paraId="6D06527D" w14:textId="77777777">
            <w:pPr>
              <w:pStyle w:val="BodyText"/>
              <w:rPr>
                <w:rFonts w:asciiTheme="minorHAnsi" w:hAnsiTheme="minorHAnsi" w:cstheme="minorHAnsi"/>
                <w:sz w:val="20"/>
              </w:rPr>
            </w:pPr>
            <w:r w:rsidRPr="006527B3">
              <w:rPr>
                <w:rFonts w:asciiTheme="minorHAnsi" w:hAnsiTheme="minorHAnsi" w:cstheme="minorHAnsi"/>
                <w:b/>
                <w:bCs/>
                <w:sz w:val="20"/>
              </w:rPr>
              <w:t>Indication</w:t>
            </w:r>
          </w:p>
        </w:tc>
        <w:tc>
          <w:tcPr>
            <w:tcW w:w="4214" w:type="pct"/>
          </w:tcPr>
          <w:p w:rsidRPr="006527B3" w:rsidR="009B1161" w:rsidP="00FE4186" w:rsidRDefault="009B1161" w14:paraId="26976578" w14:textId="77777777">
            <w:pPr>
              <w:rPr>
                <w:rFonts w:asciiTheme="minorHAnsi" w:hAnsiTheme="minorHAnsi" w:cstheme="minorHAnsi"/>
                <w:sz w:val="20"/>
              </w:rPr>
            </w:pPr>
            <w:r w:rsidRPr="00CC793A">
              <w:rPr>
                <w:rFonts w:asciiTheme="minorHAnsi" w:hAnsiTheme="minorHAnsi"/>
                <w:sz w:val="20"/>
              </w:rPr>
              <w:t xml:space="preserve">As part of therapy for suspected meningitis. </w:t>
            </w:r>
            <w:r w:rsidRPr="00CC793A">
              <w:rPr>
                <w:rFonts w:asciiTheme="minorHAnsi" w:hAnsiTheme="minorHAnsi"/>
                <w:sz w:val="20"/>
              </w:rPr>
              <w:br/>
            </w:r>
            <w:r w:rsidRPr="00CC793A">
              <w:rPr>
                <w:rFonts w:asciiTheme="minorHAnsi" w:hAnsiTheme="minorHAnsi"/>
                <w:sz w:val="20"/>
              </w:rPr>
              <w:t xml:space="preserve">Treatment of proven meningitis and sepsis caused by susceptible organisms (e.g., </w:t>
            </w:r>
            <w:r w:rsidRPr="00CC793A">
              <w:rPr>
                <w:rFonts w:asciiTheme="minorHAnsi" w:hAnsiTheme="minorHAnsi"/>
                <w:i/>
                <w:sz w:val="20"/>
              </w:rPr>
              <w:t xml:space="preserve">E.coli, H. influenzae, Klebsiella </w:t>
            </w:r>
            <w:r w:rsidRPr="00CC793A">
              <w:rPr>
                <w:rFonts w:asciiTheme="minorHAnsi" w:hAnsiTheme="minorHAnsi"/>
                <w:sz w:val="20"/>
              </w:rPr>
              <w:t>spp.).</w:t>
            </w:r>
          </w:p>
        </w:tc>
      </w:tr>
      <w:tr w:rsidRPr="006527B3" w:rsidR="009B1161" w:rsidTr="00204576" w14:paraId="3DFA460E" w14:textId="77777777">
        <w:trPr>
          <w:trHeight w:val="263"/>
        </w:trPr>
        <w:tc>
          <w:tcPr>
            <w:tcW w:w="786" w:type="pct"/>
          </w:tcPr>
          <w:p w:rsidRPr="006527B3" w:rsidR="009B1161" w:rsidP="00FE4186" w:rsidRDefault="009B1161" w14:paraId="759AAACA" w14:textId="77777777">
            <w:pPr>
              <w:pStyle w:val="BodyText"/>
              <w:rPr>
                <w:rFonts w:asciiTheme="minorHAnsi" w:hAnsiTheme="minorHAnsi" w:cstheme="minorHAnsi"/>
                <w:b/>
                <w:bCs/>
                <w:sz w:val="20"/>
              </w:rPr>
            </w:pPr>
            <w:r w:rsidRPr="006527B3">
              <w:rPr>
                <w:rFonts w:asciiTheme="minorHAnsi" w:hAnsiTheme="minorHAnsi" w:cstheme="minorHAnsi"/>
                <w:b/>
                <w:bCs/>
                <w:sz w:val="20"/>
              </w:rPr>
              <w:t>Action</w:t>
            </w:r>
          </w:p>
        </w:tc>
        <w:tc>
          <w:tcPr>
            <w:tcW w:w="4214" w:type="pct"/>
          </w:tcPr>
          <w:p w:rsidRPr="006527B3" w:rsidR="009B1161" w:rsidP="00FE4186" w:rsidRDefault="009B1161" w14:paraId="4996EC76" w14:textId="77777777">
            <w:pPr>
              <w:rPr>
                <w:rFonts w:asciiTheme="minorHAnsi" w:hAnsiTheme="minorHAnsi" w:cstheme="minorHAnsi"/>
                <w:sz w:val="20"/>
              </w:rPr>
            </w:pPr>
            <w:r w:rsidRPr="00CC793A">
              <w:rPr>
                <w:rFonts w:asciiTheme="minorHAnsi" w:hAnsiTheme="minorHAnsi"/>
                <w:sz w:val="20"/>
              </w:rPr>
              <w:t>Bactericidal agent which inhibits cell wall synthesis in susceptible bacteria.</w:t>
            </w:r>
            <w:r w:rsidRPr="00CC793A">
              <w:rPr>
                <w:rFonts w:asciiTheme="minorHAnsi" w:hAnsiTheme="minorHAnsi"/>
                <w:sz w:val="20"/>
              </w:rPr>
              <w:br/>
            </w:r>
            <w:r w:rsidRPr="00CC793A">
              <w:rPr>
                <w:rFonts w:asciiTheme="minorHAnsi" w:hAnsiTheme="minorHAnsi"/>
                <w:sz w:val="20"/>
              </w:rPr>
              <w:t xml:space="preserve">Broad spectrum against gram positive and many gram negative organisms but not </w:t>
            </w:r>
            <w:r w:rsidRPr="00CC793A">
              <w:rPr>
                <w:rFonts w:asciiTheme="minorHAnsi" w:hAnsiTheme="minorHAnsi"/>
                <w:i/>
                <w:sz w:val="20"/>
              </w:rPr>
              <w:t>Pseudomonas</w:t>
            </w:r>
            <w:r w:rsidRPr="00CC793A">
              <w:rPr>
                <w:rFonts w:asciiTheme="minorHAnsi" w:hAnsiTheme="minorHAnsi"/>
                <w:sz w:val="20"/>
              </w:rPr>
              <w:t xml:space="preserve"> species.</w:t>
            </w:r>
          </w:p>
        </w:tc>
      </w:tr>
      <w:tr w:rsidRPr="006527B3" w:rsidR="009B1161" w:rsidTr="00204576" w14:paraId="6A4A9EC8" w14:textId="77777777">
        <w:trPr>
          <w:trHeight w:val="263"/>
        </w:trPr>
        <w:tc>
          <w:tcPr>
            <w:tcW w:w="786" w:type="pct"/>
          </w:tcPr>
          <w:p w:rsidRPr="006527B3" w:rsidR="009B1161" w:rsidP="00FE4186" w:rsidRDefault="009B1161" w14:paraId="455E6319" w14:textId="77777777">
            <w:pPr>
              <w:pStyle w:val="BodyText"/>
              <w:rPr>
                <w:rFonts w:asciiTheme="minorHAnsi" w:hAnsiTheme="minorHAnsi" w:cstheme="minorHAnsi"/>
                <w:sz w:val="20"/>
              </w:rPr>
            </w:pPr>
            <w:r w:rsidRPr="006527B3">
              <w:rPr>
                <w:rFonts w:asciiTheme="minorHAnsi" w:hAnsiTheme="minorHAnsi" w:cstheme="minorHAnsi"/>
                <w:b/>
                <w:bCs/>
                <w:sz w:val="20"/>
              </w:rPr>
              <w:t>Drug type</w:t>
            </w:r>
          </w:p>
        </w:tc>
        <w:tc>
          <w:tcPr>
            <w:tcW w:w="4214" w:type="pct"/>
          </w:tcPr>
          <w:p w:rsidRPr="006527B3" w:rsidR="009B1161" w:rsidP="00FE4186" w:rsidRDefault="009B1161" w14:paraId="510C9205" w14:textId="77777777">
            <w:pPr>
              <w:pStyle w:val="BodyText"/>
              <w:rPr>
                <w:rFonts w:asciiTheme="minorHAnsi" w:hAnsiTheme="minorHAnsi" w:cstheme="minorHAnsi"/>
                <w:sz w:val="20"/>
              </w:rPr>
            </w:pPr>
            <w:r w:rsidRPr="00CC793A">
              <w:rPr>
                <w:rFonts w:asciiTheme="minorHAnsi" w:hAnsiTheme="minorHAnsi"/>
                <w:sz w:val="20"/>
              </w:rPr>
              <w:t>Cephalosporin antibiotic.</w:t>
            </w:r>
          </w:p>
        </w:tc>
      </w:tr>
      <w:tr w:rsidRPr="006527B3" w:rsidR="009B1161" w:rsidTr="00204576" w14:paraId="269550B4" w14:textId="77777777">
        <w:trPr>
          <w:trHeight w:val="263"/>
        </w:trPr>
        <w:tc>
          <w:tcPr>
            <w:tcW w:w="786" w:type="pct"/>
          </w:tcPr>
          <w:p w:rsidRPr="006527B3" w:rsidR="009B1161" w:rsidP="00FE4186" w:rsidRDefault="009B1161" w14:paraId="4BBA5E1C" w14:textId="77777777">
            <w:pPr>
              <w:pStyle w:val="BodyText"/>
              <w:rPr>
                <w:rFonts w:asciiTheme="minorHAnsi" w:hAnsiTheme="minorHAnsi" w:cstheme="minorHAnsi"/>
                <w:b/>
                <w:bCs/>
                <w:sz w:val="20"/>
              </w:rPr>
            </w:pPr>
            <w:r w:rsidRPr="006527B3">
              <w:rPr>
                <w:rFonts w:asciiTheme="minorHAnsi" w:hAnsiTheme="minorHAnsi" w:cstheme="minorHAnsi"/>
                <w:b/>
                <w:bCs/>
                <w:sz w:val="20"/>
              </w:rPr>
              <w:t>Trade name</w:t>
            </w:r>
          </w:p>
        </w:tc>
        <w:tc>
          <w:tcPr>
            <w:tcW w:w="4214" w:type="pct"/>
          </w:tcPr>
          <w:p w:rsidRPr="006527B3" w:rsidR="009B1161" w:rsidP="00FE4186" w:rsidRDefault="009B1161" w14:paraId="47B930E3" w14:textId="77777777">
            <w:pPr>
              <w:pStyle w:val="BodyText"/>
              <w:rPr>
                <w:rFonts w:asciiTheme="minorHAnsi" w:hAnsiTheme="minorHAnsi" w:cstheme="minorHAnsi"/>
                <w:sz w:val="20"/>
              </w:rPr>
            </w:pPr>
            <w:r w:rsidRPr="00CC793A">
              <w:rPr>
                <w:rFonts w:asciiTheme="minorHAnsi" w:hAnsiTheme="minorHAnsi"/>
                <w:sz w:val="20"/>
              </w:rPr>
              <w:t>Cefotaxime Sandoz, DBL Cefotaxime Sodium</w:t>
            </w:r>
          </w:p>
        </w:tc>
      </w:tr>
      <w:tr w:rsidRPr="006527B3" w:rsidR="009B1161" w:rsidTr="00204576" w14:paraId="5818B99C" w14:textId="77777777">
        <w:trPr>
          <w:trHeight w:val="263"/>
        </w:trPr>
        <w:tc>
          <w:tcPr>
            <w:tcW w:w="786" w:type="pct"/>
          </w:tcPr>
          <w:p w:rsidRPr="006527B3" w:rsidR="009B1161" w:rsidP="00FE4186" w:rsidRDefault="009B1161" w14:paraId="4945D3DE" w14:textId="77777777">
            <w:pPr>
              <w:pStyle w:val="BodyText"/>
              <w:rPr>
                <w:rFonts w:asciiTheme="minorHAnsi" w:hAnsiTheme="minorHAnsi" w:cstheme="minorHAnsi"/>
                <w:b/>
                <w:bCs/>
                <w:sz w:val="20"/>
              </w:rPr>
            </w:pPr>
            <w:r w:rsidRPr="006527B3">
              <w:rPr>
                <w:rFonts w:asciiTheme="minorHAnsi" w:hAnsiTheme="minorHAnsi" w:cstheme="minorHAnsi"/>
                <w:b/>
                <w:bCs/>
                <w:sz w:val="20"/>
              </w:rPr>
              <w:t xml:space="preserve">Presentation </w:t>
            </w:r>
          </w:p>
        </w:tc>
        <w:tc>
          <w:tcPr>
            <w:tcW w:w="4214" w:type="pct"/>
          </w:tcPr>
          <w:p w:rsidR="009B1161" w:rsidP="00FE4186" w:rsidRDefault="009B1161" w14:paraId="16DDDA9F" w14:textId="77777777">
            <w:pPr>
              <w:pStyle w:val="BodyText"/>
              <w:ind w:left="34"/>
              <w:rPr>
                <w:rFonts w:asciiTheme="minorHAnsi" w:hAnsiTheme="minorHAnsi" w:cstheme="minorHAnsi"/>
                <w:sz w:val="20"/>
              </w:rPr>
            </w:pPr>
            <w:r w:rsidRPr="00CC793A">
              <w:rPr>
                <w:rFonts w:cs="Arial" w:asciiTheme="minorHAnsi" w:hAnsiTheme="minorHAnsi"/>
                <w:sz w:val="20"/>
              </w:rPr>
              <w:t>500 mg and 1 g vial</w:t>
            </w:r>
          </w:p>
        </w:tc>
      </w:tr>
      <w:tr w:rsidRPr="006527B3" w:rsidR="009B1161" w:rsidTr="00204576" w14:paraId="20AD1AE5" w14:textId="77777777">
        <w:trPr>
          <w:trHeight w:val="263"/>
        </w:trPr>
        <w:tc>
          <w:tcPr>
            <w:tcW w:w="786" w:type="pct"/>
          </w:tcPr>
          <w:p w:rsidRPr="006527B3" w:rsidR="009B1161" w:rsidP="00FE4186" w:rsidRDefault="009B1161" w14:paraId="47958A2F" w14:textId="77777777">
            <w:pPr>
              <w:pStyle w:val="BodyText"/>
              <w:rPr>
                <w:rFonts w:asciiTheme="minorHAnsi" w:hAnsiTheme="minorHAnsi" w:cstheme="minorHAnsi"/>
                <w:b/>
                <w:bCs/>
                <w:sz w:val="20"/>
              </w:rPr>
            </w:pPr>
            <w:r w:rsidRPr="006527B3">
              <w:rPr>
                <w:rFonts w:asciiTheme="minorHAnsi" w:hAnsiTheme="minorHAnsi" w:cstheme="minorHAnsi"/>
                <w:b/>
                <w:bCs/>
                <w:sz w:val="20"/>
              </w:rPr>
              <w:t>Dose</w:t>
            </w:r>
          </w:p>
        </w:tc>
        <w:tc>
          <w:tcPr>
            <w:tcW w:w="4214" w:type="pct"/>
          </w:tcPr>
          <w:p w:rsidRPr="00CC793A" w:rsidR="009B1161" w:rsidP="00FE4186" w:rsidRDefault="009B1161" w14:paraId="4EE31839" w14:textId="77777777">
            <w:pPr>
              <w:pStyle w:val="BodyText"/>
              <w:rPr>
                <w:rFonts w:cs="Arial" w:asciiTheme="minorHAnsi" w:hAnsiTheme="minorHAnsi"/>
                <w:b/>
                <w:sz w:val="20"/>
              </w:rPr>
            </w:pPr>
            <w:r w:rsidRPr="00CC793A">
              <w:rPr>
                <w:rFonts w:cs="Arial" w:asciiTheme="minorHAnsi" w:hAnsiTheme="minorHAnsi"/>
                <w:b/>
                <w:sz w:val="20"/>
              </w:rPr>
              <w:t xml:space="preserve">50 mg/kg/dose. </w:t>
            </w:r>
          </w:p>
          <w:p w:rsidRPr="00CC793A" w:rsidR="009B1161" w:rsidP="00FE4186" w:rsidRDefault="009B1161" w14:paraId="792512CD" w14:textId="77777777">
            <w:pPr>
              <w:pStyle w:val="BodyText"/>
              <w:rPr>
                <w:rFonts w:cs="Arial" w:asciiTheme="minorHAnsi" w:hAnsiTheme="minorHAnsi"/>
                <w:sz w:val="20"/>
              </w:rPr>
            </w:pPr>
          </w:p>
          <w:tbl>
            <w:tblPr>
              <w:tblW w:w="7794"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6"/>
              <w:gridCol w:w="1559"/>
              <w:gridCol w:w="1699"/>
            </w:tblGrid>
            <w:tr w:rsidRPr="006527B3" w:rsidR="009B1161" w:rsidTr="00FE4186" w14:paraId="0FEF9307" w14:textId="77777777">
              <w:trPr>
                <w:trHeight w:val="247"/>
              </w:trPr>
              <w:tc>
                <w:tcPr>
                  <w:tcW w:w="4536" w:type="dxa"/>
                  <w:vAlign w:val="center"/>
                </w:tcPr>
                <w:p w:rsidRPr="00CC793A" w:rsidR="009B1161" w:rsidP="00FE4186" w:rsidRDefault="009B1161" w14:paraId="1E4F4959" w14:textId="77777777">
                  <w:pPr>
                    <w:pStyle w:val="BodyText"/>
                    <w:jc w:val="center"/>
                    <w:rPr>
                      <w:rFonts w:cs="Arial" w:asciiTheme="minorHAnsi" w:hAnsiTheme="minorHAnsi"/>
                      <w:b/>
                      <w:sz w:val="20"/>
                    </w:rPr>
                  </w:pPr>
                  <w:r w:rsidRPr="00CC793A">
                    <w:rPr>
                      <w:rFonts w:cs="Arial" w:asciiTheme="minorHAnsi" w:hAnsiTheme="minorHAnsi"/>
                      <w:b/>
                      <w:sz w:val="20"/>
                    </w:rPr>
                    <w:t>Corrected Gestational Age/Postmenstrual Age</w:t>
                  </w:r>
                </w:p>
              </w:tc>
              <w:tc>
                <w:tcPr>
                  <w:tcW w:w="1559" w:type="dxa"/>
                  <w:vAlign w:val="center"/>
                </w:tcPr>
                <w:p w:rsidRPr="00CC793A" w:rsidR="009B1161" w:rsidP="00FE4186" w:rsidRDefault="009B1161" w14:paraId="62BD8D02" w14:textId="77777777">
                  <w:pPr>
                    <w:pStyle w:val="BodyText"/>
                    <w:jc w:val="center"/>
                    <w:rPr>
                      <w:rFonts w:cs="Arial" w:asciiTheme="minorHAnsi" w:hAnsiTheme="minorHAnsi"/>
                      <w:b/>
                      <w:sz w:val="20"/>
                    </w:rPr>
                  </w:pPr>
                  <w:r w:rsidRPr="00CC793A">
                    <w:rPr>
                      <w:rFonts w:cs="Arial" w:asciiTheme="minorHAnsi" w:hAnsiTheme="minorHAnsi"/>
                      <w:b/>
                      <w:sz w:val="20"/>
                    </w:rPr>
                    <w:t xml:space="preserve">Postnatal Age </w:t>
                  </w:r>
                </w:p>
              </w:tc>
              <w:tc>
                <w:tcPr>
                  <w:tcW w:w="1699" w:type="dxa"/>
                  <w:vAlign w:val="center"/>
                </w:tcPr>
                <w:p w:rsidRPr="00CC793A" w:rsidR="009B1161" w:rsidP="00FE4186" w:rsidRDefault="009B1161" w14:paraId="1CD76FFA" w14:textId="77777777">
                  <w:pPr>
                    <w:pStyle w:val="BodyText"/>
                    <w:jc w:val="center"/>
                    <w:rPr>
                      <w:rFonts w:cs="Arial" w:asciiTheme="minorHAnsi" w:hAnsiTheme="minorHAnsi"/>
                      <w:b/>
                      <w:sz w:val="20"/>
                    </w:rPr>
                  </w:pPr>
                  <w:r w:rsidRPr="00CC793A">
                    <w:rPr>
                      <w:rFonts w:cs="Arial" w:asciiTheme="minorHAnsi" w:hAnsiTheme="minorHAnsi"/>
                      <w:b/>
                      <w:sz w:val="20"/>
                    </w:rPr>
                    <w:t>Interval</w:t>
                  </w:r>
                </w:p>
              </w:tc>
            </w:tr>
            <w:tr w:rsidRPr="006527B3" w:rsidR="009B1161" w:rsidTr="00FE4186" w14:paraId="6FFA069F" w14:textId="77777777">
              <w:tc>
                <w:tcPr>
                  <w:tcW w:w="4536" w:type="dxa"/>
                </w:tcPr>
                <w:p w:rsidRPr="00CC793A" w:rsidR="009B1161" w:rsidP="00FE4186" w:rsidRDefault="009B1161" w14:paraId="74E838C6" w14:textId="77777777">
                  <w:pPr>
                    <w:pStyle w:val="BodyText"/>
                    <w:rPr>
                      <w:rFonts w:cs="Arial" w:asciiTheme="minorHAnsi" w:hAnsiTheme="minorHAnsi"/>
                      <w:sz w:val="20"/>
                    </w:rPr>
                  </w:pPr>
                  <w:r w:rsidRPr="00CC793A">
                    <w:rPr>
                      <w:rFonts w:asciiTheme="minorHAnsi" w:hAnsiTheme="minorHAnsi"/>
                      <w:sz w:val="20"/>
                    </w:rPr>
                    <w:t>&lt; 30</w:t>
                  </w:r>
                  <w:r w:rsidRPr="00CC793A">
                    <w:rPr>
                      <w:rFonts w:asciiTheme="minorHAnsi" w:hAnsiTheme="minorHAnsi"/>
                      <w:sz w:val="20"/>
                      <w:vertAlign w:val="superscript"/>
                    </w:rPr>
                    <w:t>+0</w:t>
                  </w:r>
                  <w:r w:rsidRPr="00CC793A">
                    <w:rPr>
                      <w:rFonts w:asciiTheme="minorHAnsi" w:hAnsiTheme="minorHAnsi"/>
                      <w:sz w:val="20"/>
                    </w:rPr>
                    <w:t xml:space="preserve"> weeks  </w:t>
                  </w:r>
                </w:p>
              </w:tc>
              <w:tc>
                <w:tcPr>
                  <w:tcW w:w="1559" w:type="dxa"/>
                </w:tcPr>
                <w:p w:rsidRPr="00CC793A" w:rsidR="009B1161" w:rsidP="00FE4186" w:rsidRDefault="009B1161" w14:paraId="0BD6FDD7" w14:textId="77777777">
                  <w:pPr>
                    <w:pStyle w:val="BodyText"/>
                    <w:rPr>
                      <w:rFonts w:cs="Arial" w:asciiTheme="minorHAnsi" w:hAnsiTheme="minorHAnsi"/>
                      <w:sz w:val="20"/>
                    </w:rPr>
                  </w:pPr>
                  <w:r w:rsidRPr="00CC793A">
                    <w:rPr>
                      <w:rFonts w:asciiTheme="minorHAnsi" w:hAnsiTheme="minorHAnsi"/>
                      <w:sz w:val="20"/>
                    </w:rPr>
                    <w:t>0─28 days</w:t>
                  </w:r>
                </w:p>
              </w:tc>
              <w:tc>
                <w:tcPr>
                  <w:tcW w:w="1699" w:type="dxa"/>
                </w:tcPr>
                <w:p w:rsidRPr="00CC793A" w:rsidR="009B1161" w:rsidP="00FE4186" w:rsidRDefault="009B1161" w14:paraId="51D4E8F6" w14:textId="77777777">
                  <w:pPr>
                    <w:pStyle w:val="BodyText"/>
                    <w:rPr>
                      <w:rFonts w:cs="Arial" w:asciiTheme="minorHAnsi" w:hAnsiTheme="minorHAnsi"/>
                      <w:sz w:val="20"/>
                    </w:rPr>
                  </w:pPr>
                  <w:r w:rsidRPr="00CC793A">
                    <w:rPr>
                      <w:rFonts w:asciiTheme="minorHAnsi" w:hAnsiTheme="minorHAnsi"/>
                      <w:sz w:val="20"/>
                    </w:rPr>
                    <w:t>12 hourly</w:t>
                  </w:r>
                </w:p>
              </w:tc>
            </w:tr>
            <w:tr w:rsidRPr="006527B3" w:rsidR="009B1161" w:rsidTr="00FE4186" w14:paraId="18B5AF64" w14:textId="77777777">
              <w:tc>
                <w:tcPr>
                  <w:tcW w:w="4536" w:type="dxa"/>
                </w:tcPr>
                <w:p w:rsidRPr="00CC793A" w:rsidR="009B1161" w:rsidP="00FE4186" w:rsidRDefault="009B1161" w14:paraId="65DCF91F" w14:textId="77777777">
                  <w:pPr>
                    <w:pStyle w:val="BodyText"/>
                    <w:rPr>
                      <w:rFonts w:cs="Arial" w:asciiTheme="minorHAnsi" w:hAnsiTheme="minorHAnsi"/>
                      <w:sz w:val="20"/>
                    </w:rPr>
                  </w:pPr>
                  <w:r w:rsidRPr="00CC793A">
                    <w:rPr>
                      <w:rFonts w:asciiTheme="minorHAnsi" w:hAnsiTheme="minorHAnsi"/>
                      <w:sz w:val="20"/>
                    </w:rPr>
                    <w:t>&lt; 30</w:t>
                  </w:r>
                  <w:r w:rsidRPr="00CC793A">
                    <w:rPr>
                      <w:rFonts w:asciiTheme="minorHAnsi" w:hAnsiTheme="minorHAnsi"/>
                      <w:sz w:val="20"/>
                      <w:vertAlign w:val="superscript"/>
                    </w:rPr>
                    <w:t>+0</w:t>
                  </w:r>
                  <w:r w:rsidRPr="00CC793A">
                    <w:rPr>
                      <w:rFonts w:asciiTheme="minorHAnsi" w:hAnsiTheme="minorHAnsi"/>
                      <w:sz w:val="20"/>
                    </w:rPr>
                    <w:t xml:space="preserve"> weeks  </w:t>
                  </w:r>
                </w:p>
              </w:tc>
              <w:tc>
                <w:tcPr>
                  <w:tcW w:w="1559" w:type="dxa"/>
                </w:tcPr>
                <w:p w:rsidRPr="00CC793A" w:rsidR="009B1161" w:rsidP="00FE4186" w:rsidRDefault="009B1161" w14:paraId="694E01BC" w14:textId="77777777">
                  <w:pPr>
                    <w:pStyle w:val="BodyText"/>
                    <w:rPr>
                      <w:rFonts w:cs="Arial" w:asciiTheme="minorHAnsi" w:hAnsiTheme="minorHAnsi"/>
                      <w:sz w:val="20"/>
                    </w:rPr>
                  </w:pPr>
                  <w:r>
                    <w:rPr>
                      <w:rFonts w:asciiTheme="minorHAnsi" w:hAnsiTheme="minorHAnsi" w:cstheme="minorHAnsi"/>
                      <w:sz w:val="20"/>
                    </w:rPr>
                    <w:t>≥</w:t>
                  </w:r>
                  <w:r w:rsidRPr="00CC793A">
                    <w:rPr>
                      <w:rFonts w:asciiTheme="minorHAnsi" w:hAnsiTheme="minorHAnsi"/>
                      <w:sz w:val="20"/>
                    </w:rPr>
                    <w:t>29 days</w:t>
                  </w:r>
                </w:p>
              </w:tc>
              <w:tc>
                <w:tcPr>
                  <w:tcW w:w="1699" w:type="dxa"/>
                </w:tcPr>
                <w:p w:rsidRPr="00CC793A" w:rsidR="009B1161" w:rsidP="00FE4186" w:rsidRDefault="009B1161" w14:paraId="70A58394" w14:textId="77777777">
                  <w:pPr>
                    <w:pStyle w:val="BodyText"/>
                    <w:rPr>
                      <w:rFonts w:cs="Arial" w:asciiTheme="minorHAnsi" w:hAnsiTheme="minorHAnsi"/>
                      <w:sz w:val="20"/>
                    </w:rPr>
                  </w:pPr>
                  <w:r w:rsidRPr="00CC793A">
                    <w:rPr>
                      <w:rFonts w:asciiTheme="minorHAnsi" w:hAnsiTheme="minorHAnsi"/>
                      <w:sz w:val="20"/>
                    </w:rPr>
                    <w:t>8 hourly</w:t>
                  </w:r>
                </w:p>
              </w:tc>
            </w:tr>
            <w:tr w:rsidRPr="006527B3" w:rsidR="009B1161" w:rsidTr="00FE4186" w14:paraId="5853EB19" w14:textId="77777777">
              <w:tc>
                <w:tcPr>
                  <w:tcW w:w="4536" w:type="dxa"/>
                </w:tcPr>
                <w:p w:rsidRPr="00CC793A" w:rsidR="009B1161" w:rsidP="00FE4186" w:rsidRDefault="009B1161" w14:paraId="0D165517" w14:textId="77777777">
                  <w:pPr>
                    <w:pStyle w:val="BodyText"/>
                    <w:rPr>
                      <w:rFonts w:cs="Arial" w:asciiTheme="minorHAnsi" w:hAnsiTheme="minorHAnsi"/>
                      <w:sz w:val="20"/>
                    </w:rPr>
                  </w:pPr>
                  <w:r w:rsidRPr="00CC793A">
                    <w:rPr>
                      <w:rFonts w:asciiTheme="minorHAnsi" w:hAnsiTheme="minorHAnsi"/>
                      <w:sz w:val="20"/>
                    </w:rPr>
                    <w:t>30</w:t>
                  </w:r>
                  <w:r w:rsidRPr="00CC793A">
                    <w:rPr>
                      <w:rFonts w:asciiTheme="minorHAnsi" w:hAnsiTheme="minorHAnsi"/>
                      <w:sz w:val="20"/>
                      <w:vertAlign w:val="superscript"/>
                    </w:rPr>
                    <w:t>+0</w:t>
                  </w:r>
                  <w:r w:rsidRPr="00CC793A">
                    <w:rPr>
                      <w:rFonts w:asciiTheme="minorHAnsi" w:hAnsiTheme="minorHAnsi"/>
                      <w:sz w:val="20"/>
                    </w:rPr>
                    <w:t>─36</w:t>
                  </w:r>
                  <w:r w:rsidRPr="00CC793A">
                    <w:rPr>
                      <w:rFonts w:asciiTheme="minorHAnsi" w:hAnsiTheme="minorHAnsi"/>
                      <w:sz w:val="20"/>
                      <w:vertAlign w:val="superscript"/>
                    </w:rPr>
                    <w:t>+6</w:t>
                  </w:r>
                  <w:r w:rsidRPr="00CC793A">
                    <w:rPr>
                      <w:rFonts w:asciiTheme="minorHAnsi" w:hAnsiTheme="minorHAnsi"/>
                      <w:sz w:val="20"/>
                    </w:rPr>
                    <w:t xml:space="preserve"> weeks  </w:t>
                  </w:r>
                </w:p>
              </w:tc>
              <w:tc>
                <w:tcPr>
                  <w:tcW w:w="1559" w:type="dxa"/>
                </w:tcPr>
                <w:p w:rsidRPr="00CC793A" w:rsidR="009B1161" w:rsidP="00FE4186" w:rsidRDefault="009B1161" w14:paraId="2CCB0AF4" w14:textId="77777777">
                  <w:pPr>
                    <w:pStyle w:val="BodyText"/>
                    <w:rPr>
                      <w:rFonts w:cs="Arial" w:asciiTheme="minorHAnsi" w:hAnsiTheme="minorHAnsi"/>
                      <w:sz w:val="20"/>
                    </w:rPr>
                  </w:pPr>
                  <w:r w:rsidRPr="00CC793A">
                    <w:rPr>
                      <w:rFonts w:asciiTheme="minorHAnsi" w:hAnsiTheme="minorHAnsi"/>
                      <w:sz w:val="20"/>
                    </w:rPr>
                    <w:t>0─14 days</w:t>
                  </w:r>
                </w:p>
              </w:tc>
              <w:tc>
                <w:tcPr>
                  <w:tcW w:w="1699" w:type="dxa"/>
                </w:tcPr>
                <w:p w:rsidRPr="00CC793A" w:rsidR="009B1161" w:rsidP="00FE4186" w:rsidRDefault="009B1161" w14:paraId="047003F1" w14:textId="77777777">
                  <w:pPr>
                    <w:rPr>
                      <w:rFonts w:asciiTheme="minorHAnsi" w:hAnsiTheme="minorHAnsi"/>
                      <w:sz w:val="20"/>
                    </w:rPr>
                  </w:pPr>
                  <w:r w:rsidRPr="00CC793A">
                    <w:rPr>
                      <w:rFonts w:asciiTheme="minorHAnsi" w:hAnsiTheme="minorHAnsi"/>
                      <w:sz w:val="20"/>
                    </w:rPr>
                    <w:t>12 hourly</w:t>
                  </w:r>
                </w:p>
              </w:tc>
            </w:tr>
            <w:tr w:rsidRPr="006527B3" w:rsidR="009B1161" w:rsidTr="00FE4186" w14:paraId="3B520B8B" w14:textId="77777777">
              <w:tc>
                <w:tcPr>
                  <w:tcW w:w="4536" w:type="dxa"/>
                </w:tcPr>
                <w:p w:rsidRPr="00CC793A" w:rsidR="009B1161" w:rsidP="00FE4186" w:rsidRDefault="009B1161" w14:paraId="266F00EA" w14:textId="77777777">
                  <w:pPr>
                    <w:pStyle w:val="BodyText"/>
                    <w:rPr>
                      <w:rFonts w:cs="Arial" w:asciiTheme="minorHAnsi" w:hAnsiTheme="minorHAnsi"/>
                      <w:sz w:val="20"/>
                    </w:rPr>
                  </w:pPr>
                  <w:r w:rsidRPr="00CC793A">
                    <w:rPr>
                      <w:rFonts w:asciiTheme="minorHAnsi" w:hAnsiTheme="minorHAnsi"/>
                      <w:sz w:val="20"/>
                    </w:rPr>
                    <w:t>30</w:t>
                  </w:r>
                  <w:r w:rsidRPr="00CC793A">
                    <w:rPr>
                      <w:rFonts w:asciiTheme="minorHAnsi" w:hAnsiTheme="minorHAnsi"/>
                      <w:sz w:val="20"/>
                      <w:vertAlign w:val="superscript"/>
                    </w:rPr>
                    <w:t>+0</w:t>
                  </w:r>
                  <w:r w:rsidRPr="00CC793A">
                    <w:rPr>
                      <w:rFonts w:asciiTheme="minorHAnsi" w:hAnsiTheme="minorHAnsi"/>
                      <w:sz w:val="20"/>
                    </w:rPr>
                    <w:t>─36</w:t>
                  </w:r>
                  <w:r w:rsidRPr="00CC793A">
                    <w:rPr>
                      <w:rFonts w:asciiTheme="minorHAnsi" w:hAnsiTheme="minorHAnsi"/>
                      <w:sz w:val="20"/>
                      <w:vertAlign w:val="superscript"/>
                    </w:rPr>
                    <w:t>+6</w:t>
                  </w:r>
                  <w:r w:rsidRPr="00CC793A">
                    <w:rPr>
                      <w:rFonts w:asciiTheme="minorHAnsi" w:hAnsiTheme="minorHAnsi"/>
                      <w:sz w:val="20"/>
                    </w:rPr>
                    <w:t xml:space="preserve"> weeks </w:t>
                  </w:r>
                </w:p>
              </w:tc>
              <w:tc>
                <w:tcPr>
                  <w:tcW w:w="1559" w:type="dxa"/>
                </w:tcPr>
                <w:p w:rsidRPr="00CC793A" w:rsidR="009B1161" w:rsidP="00FE4186" w:rsidRDefault="009B1161" w14:paraId="0B82DAE4" w14:textId="77777777">
                  <w:pPr>
                    <w:pStyle w:val="BodyText"/>
                    <w:rPr>
                      <w:rFonts w:cs="Arial" w:asciiTheme="minorHAnsi" w:hAnsiTheme="minorHAnsi"/>
                      <w:sz w:val="20"/>
                    </w:rPr>
                  </w:pPr>
                  <w:r>
                    <w:rPr>
                      <w:rFonts w:asciiTheme="minorHAnsi" w:hAnsiTheme="minorHAnsi" w:cstheme="minorHAnsi"/>
                      <w:sz w:val="20"/>
                    </w:rPr>
                    <w:t>≥</w:t>
                  </w:r>
                  <w:r w:rsidRPr="00CC793A">
                    <w:rPr>
                      <w:rFonts w:asciiTheme="minorHAnsi" w:hAnsiTheme="minorHAnsi"/>
                      <w:sz w:val="20"/>
                    </w:rPr>
                    <w:t>15 days</w:t>
                  </w:r>
                </w:p>
              </w:tc>
              <w:tc>
                <w:tcPr>
                  <w:tcW w:w="1699" w:type="dxa"/>
                </w:tcPr>
                <w:p w:rsidRPr="00CC793A" w:rsidR="009B1161" w:rsidP="00FE4186" w:rsidRDefault="009B1161" w14:paraId="3614140D" w14:textId="77777777">
                  <w:pPr>
                    <w:pStyle w:val="BodyText"/>
                    <w:rPr>
                      <w:rFonts w:cs="Arial" w:asciiTheme="minorHAnsi" w:hAnsiTheme="minorHAnsi"/>
                      <w:sz w:val="20"/>
                    </w:rPr>
                  </w:pPr>
                  <w:r w:rsidRPr="00CC793A">
                    <w:rPr>
                      <w:rFonts w:asciiTheme="minorHAnsi" w:hAnsiTheme="minorHAnsi"/>
                      <w:sz w:val="20"/>
                    </w:rPr>
                    <w:t>8 hourly</w:t>
                  </w:r>
                </w:p>
              </w:tc>
            </w:tr>
            <w:tr w:rsidRPr="006527B3" w:rsidR="009B1161" w:rsidTr="00FE4186" w14:paraId="30E5668A" w14:textId="77777777">
              <w:tc>
                <w:tcPr>
                  <w:tcW w:w="4536" w:type="dxa"/>
                </w:tcPr>
                <w:p w:rsidRPr="00CC793A" w:rsidR="009B1161" w:rsidP="00FE4186" w:rsidRDefault="009B1161" w14:paraId="55919EA6" w14:textId="77777777">
                  <w:pPr>
                    <w:pStyle w:val="BodyText"/>
                    <w:rPr>
                      <w:rFonts w:asciiTheme="minorHAnsi" w:hAnsiTheme="minorHAnsi"/>
                      <w:sz w:val="20"/>
                    </w:rPr>
                  </w:pPr>
                  <w:r w:rsidRPr="00CC793A">
                    <w:rPr>
                      <w:rFonts w:asciiTheme="minorHAnsi" w:hAnsiTheme="minorHAnsi"/>
                      <w:sz w:val="20"/>
                    </w:rPr>
                    <w:t>≥ 37</w:t>
                  </w:r>
                  <w:r w:rsidRPr="00CC793A">
                    <w:rPr>
                      <w:rFonts w:asciiTheme="minorHAnsi" w:hAnsiTheme="minorHAnsi"/>
                      <w:sz w:val="20"/>
                      <w:vertAlign w:val="superscript"/>
                    </w:rPr>
                    <w:t>+0</w:t>
                  </w:r>
                  <w:r w:rsidRPr="00CC793A">
                    <w:rPr>
                      <w:rFonts w:asciiTheme="minorHAnsi" w:hAnsiTheme="minorHAnsi"/>
                      <w:sz w:val="20"/>
                    </w:rPr>
                    <w:t xml:space="preserve"> weeks</w:t>
                  </w:r>
                </w:p>
              </w:tc>
              <w:tc>
                <w:tcPr>
                  <w:tcW w:w="1559" w:type="dxa"/>
                </w:tcPr>
                <w:p w:rsidRPr="00CC793A" w:rsidR="009B1161" w:rsidP="00FE4186" w:rsidRDefault="009B1161" w14:paraId="4E802743" w14:textId="77777777">
                  <w:pPr>
                    <w:pStyle w:val="BodyText"/>
                    <w:rPr>
                      <w:rFonts w:asciiTheme="minorHAnsi" w:hAnsiTheme="minorHAnsi"/>
                      <w:sz w:val="20"/>
                    </w:rPr>
                  </w:pPr>
                  <w:r w:rsidRPr="00CC793A">
                    <w:rPr>
                      <w:rFonts w:asciiTheme="minorHAnsi" w:hAnsiTheme="minorHAnsi"/>
                      <w:sz w:val="20"/>
                    </w:rPr>
                    <w:t>0─7 days</w:t>
                  </w:r>
                </w:p>
              </w:tc>
              <w:tc>
                <w:tcPr>
                  <w:tcW w:w="1699" w:type="dxa"/>
                </w:tcPr>
                <w:p w:rsidRPr="00CC793A" w:rsidR="009B1161" w:rsidP="00FE4186" w:rsidRDefault="009B1161" w14:paraId="256F10D4" w14:textId="77777777">
                  <w:pPr>
                    <w:pStyle w:val="BodyText"/>
                    <w:rPr>
                      <w:rFonts w:asciiTheme="minorHAnsi" w:hAnsiTheme="minorHAnsi"/>
                      <w:sz w:val="20"/>
                    </w:rPr>
                  </w:pPr>
                  <w:r w:rsidRPr="00CC793A">
                    <w:rPr>
                      <w:rFonts w:asciiTheme="minorHAnsi" w:hAnsiTheme="minorHAnsi"/>
                      <w:sz w:val="20"/>
                    </w:rPr>
                    <w:t>8 hourly</w:t>
                  </w:r>
                </w:p>
              </w:tc>
            </w:tr>
            <w:tr w:rsidRPr="006527B3" w:rsidR="009B1161" w:rsidTr="00FE4186" w14:paraId="4C664A46" w14:textId="77777777">
              <w:tc>
                <w:tcPr>
                  <w:tcW w:w="4536" w:type="dxa"/>
                </w:tcPr>
                <w:p w:rsidRPr="00CC793A" w:rsidR="009B1161" w:rsidP="00FE4186" w:rsidRDefault="009B1161" w14:paraId="6B9B8795" w14:textId="77777777">
                  <w:pPr>
                    <w:pStyle w:val="BodyText"/>
                    <w:rPr>
                      <w:rFonts w:asciiTheme="minorHAnsi" w:hAnsiTheme="minorHAnsi"/>
                      <w:sz w:val="20"/>
                    </w:rPr>
                  </w:pPr>
                  <w:r w:rsidRPr="00CC793A">
                    <w:rPr>
                      <w:rFonts w:asciiTheme="minorHAnsi" w:hAnsiTheme="minorHAnsi"/>
                      <w:sz w:val="20"/>
                    </w:rPr>
                    <w:t>≥ 37</w:t>
                  </w:r>
                  <w:r w:rsidRPr="00CC793A">
                    <w:rPr>
                      <w:rFonts w:asciiTheme="minorHAnsi" w:hAnsiTheme="minorHAnsi"/>
                      <w:sz w:val="20"/>
                      <w:vertAlign w:val="superscript"/>
                    </w:rPr>
                    <w:t>+0</w:t>
                  </w:r>
                  <w:r w:rsidRPr="00CC793A">
                    <w:rPr>
                      <w:rFonts w:asciiTheme="minorHAnsi" w:hAnsiTheme="minorHAnsi"/>
                      <w:sz w:val="20"/>
                    </w:rPr>
                    <w:t xml:space="preserve"> weeks </w:t>
                  </w:r>
                </w:p>
              </w:tc>
              <w:tc>
                <w:tcPr>
                  <w:tcW w:w="1559" w:type="dxa"/>
                </w:tcPr>
                <w:p w:rsidRPr="00CC793A" w:rsidR="009B1161" w:rsidP="00FE4186" w:rsidRDefault="009B1161" w14:paraId="48AD5BF6" w14:textId="77777777">
                  <w:pPr>
                    <w:pStyle w:val="BodyText"/>
                    <w:rPr>
                      <w:rFonts w:asciiTheme="minorHAnsi" w:hAnsiTheme="minorHAnsi"/>
                      <w:sz w:val="20"/>
                    </w:rPr>
                  </w:pPr>
                  <w:r>
                    <w:rPr>
                      <w:rFonts w:asciiTheme="minorHAnsi" w:hAnsiTheme="minorHAnsi" w:cstheme="minorHAnsi"/>
                      <w:sz w:val="20"/>
                    </w:rPr>
                    <w:t>≥</w:t>
                  </w:r>
                  <w:r w:rsidRPr="00CC793A">
                    <w:rPr>
                      <w:rFonts w:asciiTheme="minorHAnsi" w:hAnsiTheme="minorHAnsi"/>
                      <w:sz w:val="20"/>
                    </w:rPr>
                    <w:t>8 days</w:t>
                  </w:r>
                </w:p>
              </w:tc>
              <w:tc>
                <w:tcPr>
                  <w:tcW w:w="1699" w:type="dxa"/>
                </w:tcPr>
                <w:p w:rsidRPr="00CC793A" w:rsidR="009B1161" w:rsidP="00FE4186" w:rsidRDefault="009B1161" w14:paraId="3DADB785" w14:textId="77777777">
                  <w:pPr>
                    <w:pStyle w:val="BodyText"/>
                    <w:rPr>
                      <w:rFonts w:asciiTheme="minorHAnsi" w:hAnsiTheme="minorHAnsi"/>
                      <w:sz w:val="20"/>
                    </w:rPr>
                  </w:pPr>
                  <w:r w:rsidRPr="00CC793A">
                    <w:rPr>
                      <w:rFonts w:asciiTheme="minorHAnsi" w:hAnsiTheme="minorHAnsi"/>
                      <w:sz w:val="20"/>
                    </w:rPr>
                    <w:t>6 hourly</w:t>
                  </w:r>
                </w:p>
              </w:tc>
            </w:tr>
          </w:tbl>
          <w:p w:rsidRPr="006527B3" w:rsidR="009B1161" w:rsidP="00FE4186" w:rsidRDefault="009B1161" w14:paraId="0B3C3AEC" w14:textId="77777777">
            <w:pPr>
              <w:pStyle w:val="BodyText"/>
              <w:ind w:left="720" w:hanging="720"/>
              <w:rPr>
                <w:rFonts w:asciiTheme="minorHAnsi" w:hAnsiTheme="minorHAnsi" w:cstheme="minorHAnsi"/>
                <w:sz w:val="20"/>
              </w:rPr>
            </w:pPr>
          </w:p>
        </w:tc>
      </w:tr>
      <w:tr w:rsidRPr="006527B3" w:rsidR="009B1161" w:rsidTr="00204576" w14:paraId="5C7C5525" w14:textId="77777777">
        <w:trPr>
          <w:trHeight w:val="263"/>
        </w:trPr>
        <w:tc>
          <w:tcPr>
            <w:tcW w:w="786" w:type="pct"/>
          </w:tcPr>
          <w:p w:rsidRPr="006527B3" w:rsidR="009B1161" w:rsidP="00FE4186" w:rsidRDefault="009B1161" w14:paraId="2BED8EA5" w14:textId="77777777">
            <w:pPr>
              <w:pStyle w:val="BodyText"/>
              <w:rPr>
                <w:rFonts w:asciiTheme="minorHAnsi" w:hAnsiTheme="minorHAnsi" w:cstheme="minorHAnsi"/>
                <w:b/>
                <w:sz w:val="20"/>
              </w:rPr>
            </w:pPr>
            <w:r w:rsidRPr="006527B3">
              <w:rPr>
                <w:rFonts w:asciiTheme="minorHAnsi" w:hAnsiTheme="minorHAnsi" w:cstheme="minorHAnsi"/>
                <w:b/>
                <w:sz w:val="20"/>
              </w:rPr>
              <w:t>Dose adjustment</w:t>
            </w:r>
          </w:p>
        </w:tc>
        <w:tc>
          <w:tcPr>
            <w:tcW w:w="4214" w:type="pct"/>
          </w:tcPr>
          <w:p w:rsidRPr="006527B3" w:rsidR="009B1161" w:rsidP="00FE4186" w:rsidRDefault="009B1161" w14:paraId="53862668" w14:textId="77777777">
            <w:pPr>
              <w:pStyle w:val="BodyText"/>
              <w:rPr>
                <w:rFonts w:asciiTheme="minorHAnsi" w:hAnsiTheme="minorHAnsi" w:cstheme="minorHAnsi"/>
                <w:sz w:val="20"/>
              </w:rPr>
            </w:pPr>
          </w:p>
        </w:tc>
      </w:tr>
      <w:tr w:rsidRPr="006527B3" w:rsidR="009B1161" w:rsidTr="00204576" w14:paraId="7E66075F" w14:textId="77777777">
        <w:trPr>
          <w:trHeight w:val="263"/>
        </w:trPr>
        <w:tc>
          <w:tcPr>
            <w:tcW w:w="786" w:type="pct"/>
          </w:tcPr>
          <w:p w:rsidRPr="006527B3" w:rsidR="009B1161" w:rsidP="00FE4186" w:rsidRDefault="009B1161" w14:paraId="28DB65D4" w14:textId="77777777">
            <w:pPr>
              <w:pStyle w:val="BodyText"/>
              <w:rPr>
                <w:rFonts w:asciiTheme="minorHAnsi" w:hAnsiTheme="minorHAnsi" w:cstheme="minorHAnsi"/>
                <w:b/>
                <w:sz w:val="20"/>
              </w:rPr>
            </w:pPr>
            <w:r w:rsidRPr="006527B3">
              <w:rPr>
                <w:rFonts w:asciiTheme="minorHAnsi" w:hAnsiTheme="minorHAnsi" w:cstheme="minorHAnsi"/>
                <w:b/>
                <w:sz w:val="20"/>
              </w:rPr>
              <w:t>Maximum dose</w:t>
            </w:r>
          </w:p>
        </w:tc>
        <w:tc>
          <w:tcPr>
            <w:tcW w:w="4214" w:type="pct"/>
          </w:tcPr>
          <w:p w:rsidRPr="006527B3" w:rsidR="009B1161" w:rsidP="00FE4186" w:rsidRDefault="009B1161" w14:paraId="03DE3363" w14:textId="77777777">
            <w:pPr>
              <w:pStyle w:val="BodyText"/>
              <w:rPr>
                <w:rFonts w:asciiTheme="minorHAnsi" w:hAnsiTheme="minorHAnsi" w:cstheme="minorHAnsi"/>
                <w:sz w:val="20"/>
              </w:rPr>
            </w:pPr>
          </w:p>
        </w:tc>
      </w:tr>
      <w:tr w:rsidRPr="006527B3" w:rsidR="009B1161" w:rsidTr="00204576" w14:paraId="5517CD24" w14:textId="77777777">
        <w:trPr>
          <w:trHeight w:val="263"/>
        </w:trPr>
        <w:tc>
          <w:tcPr>
            <w:tcW w:w="786" w:type="pct"/>
          </w:tcPr>
          <w:p w:rsidRPr="006527B3" w:rsidR="009B1161" w:rsidP="00FE4186" w:rsidRDefault="009B1161" w14:paraId="2B35C05F" w14:textId="77777777">
            <w:pPr>
              <w:pStyle w:val="BodyText"/>
              <w:rPr>
                <w:rFonts w:asciiTheme="minorHAnsi" w:hAnsiTheme="minorHAnsi" w:cstheme="minorHAnsi"/>
                <w:b/>
                <w:bCs/>
                <w:sz w:val="20"/>
              </w:rPr>
            </w:pPr>
            <w:r w:rsidRPr="006527B3">
              <w:rPr>
                <w:rFonts w:asciiTheme="minorHAnsi" w:hAnsiTheme="minorHAnsi" w:cstheme="minorHAnsi"/>
                <w:b/>
                <w:sz w:val="20"/>
              </w:rPr>
              <w:t>Total cumulative dose</w:t>
            </w:r>
          </w:p>
        </w:tc>
        <w:tc>
          <w:tcPr>
            <w:tcW w:w="4214" w:type="pct"/>
          </w:tcPr>
          <w:p w:rsidRPr="006527B3" w:rsidR="009B1161" w:rsidP="00FE4186" w:rsidRDefault="009B1161" w14:paraId="4821D5E7" w14:textId="77777777">
            <w:pPr>
              <w:pStyle w:val="BodyText"/>
              <w:rPr>
                <w:rFonts w:asciiTheme="minorHAnsi" w:hAnsiTheme="minorHAnsi" w:cstheme="minorHAnsi"/>
                <w:b/>
                <w:sz w:val="20"/>
              </w:rPr>
            </w:pPr>
          </w:p>
        </w:tc>
      </w:tr>
      <w:tr w:rsidRPr="006527B3" w:rsidR="009B1161" w:rsidTr="00204576" w14:paraId="56DFECF6" w14:textId="77777777">
        <w:trPr>
          <w:trHeight w:val="263"/>
        </w:trPr>
        <w:tc>
          <w:tcPr>
            <w:tcW w:w="786" w:type="pct"/>
          </w:tcPr>
          <w:p w:rsidRPr="006527B3" w:rsidR="009B1161" w:rsidP="00FE4186" w:rsidRDefault="009B1161" w14:paraId="0D25D033" w14:textId="77777777">
            <w:pPr>
              <w:pStyle w:val="BodyText"/>
              <w:rPr>
                <w:rFonts w:asciiTheme="minorHAnsi" w:hAnsiTheme="minorHAnsi" w:cstheme="minorHAnsi"/>
                <w:sz w:val="20"/>
              </w:rPr>
            </w:pPr>
            <w:r w:rsidRPr="006527B3">
              <w:rPr>
                <w:rFonts w:asciiTheme="minorHAnsi" w:hAnsiTheme="minorHAnsi" w:cstheme="minorHAnsi"/>
                <w:b/>
                <w:bCs/>
                <w:sz w:val="20"/>
              </w:rPr>
              <w:t>Route</w:t>
            </w:r>
          </w:p>
        </w:tc>
        <w:tc>
          <w:tcPr>
            <w:tcW w:w="4214" w:type="pct"/>
          </w:tcPr>
          <w:p w:rsidRPr="00CC793A" w:rsidR="009B1161" w:rsidP="00FE4186" w:rsidRDefault="009B1161" w14:paraId="7EB0DA23" w14:textId="77777777">
            <w:pPr>
              <w:pStyle w:val="BodyText"/>
              <w:rPr>
                <w:rFonts w:cs="Arial" w:asciiTheme="minorHAnsi" w:hAnsiTheme="minorHAnsi"/>
                <w:sz w:val="20"/>
              </w:rPr>
            </w:pPr>
            <w:r w:rsidRPr="00CC793A">
              <w:rPr>
                <w:rFonts w:cs="Arial" w:asciiTheme="minorHAnsi" w:hAnsiTheme="minorHAnsi"/>
                <w:sz w:val="20"/>
              </w:rPr>
              <w:t>IV</w:t>
            </w:r>
          </w:p>
          <w:p w:rsidRPr="006527B3" w:rsidR="009B1161" w:rsidP="00FE4186" w:rsidRDefault="009B1161" w14:paraId="61AD77F5" w14:textId="77777777">
            <w:pPr>
              <w:pStyle w:val="BodyText"/>
              <w:rPr>
                <w:rFonts w:asciiTheme="minorHAnsi" w:hAnsiTheme="minorHAnsi" w:cstheme="minorHAnsi"/>
                <w:sz w:val="20"/>
              </w:rPr>
            </w:pPr>
            <w:r w:rsidRPr="00CC793A">
              <w:rPr>
                <w:rFonts w:cs="Arial" w:asciiTheme="minorHAnsi" w:hAnsiTheme="minorHAnsi"/>
                <w:sz w:val="20"/>
              </w:rPr>
              <w:t>IM</w:t>
            </w:r>
          </w:p>
        </w:tc>
      </w:tr>
      <w:tr w:rsidRPr="006527B3" w:rsidR="009B1161" w:rsidTr="00204576" w14:paraId="0886A8A6" w14:textId="77777777">
        <w:trPr>
          <w:trHeight w:val="263"/>
        </w:trPr>
        <w:tc>
          <w:tcPr>
            <w:tcW w:w="786" w:type="pct"/>
          </w:tcPr>
          <w:p w:rsidRPr="006527B3" w:rsidR="009B1161" w:rsidP="00FE4186" w:rsidRDefault="009B1161" w14:paraId="679275FA" w14:textId="77777777">
            <w:pPr>
              <w:pStyle w:val="BodyText"/>
              <w:rPr>
                <w:rFonts w:asciiTheme="minorHAnsi" w:hAnsiTheme="minorHAnsi" w:cstheme="minorHAnsi"/>
                <w:b/>
                <w:bCs/>
                <w:sz w:val="20"/>
                <w:highlight w:val="cyan"/>
              </w:rPr>
            </w:pPr>
            <w:r w:rsidRPr="006527B3">
              <w:rPr>
                <w:rFonts w:asciiTheme="minorHAnsi" w:hAnsiTheme="minorHAnsi" w:cstheme="minorHAnsi"/>
                <w:b/>
                <w:bCs/>
                <w:sz w:val="20"/>
              </w:rPr>
              <w:t>Preparation</w:t>
            </w:r>
          </w:p>
        </w:tc>
        <w:tc>
          <w:tcPr>
            <w:tcW w:w="4214" w:type="pct"/>
          </w:tcPr>
          <w:p w:rsidRPr="00CC793A" w:rsidR="009B1161" w:rsidP="00FE4186" w:rsidRDefault="009B1161" w14:paraId="78C4E523" w14:textId="77777777">
            <w:pPr>
              <w:pStyle w:val="BodyText"/>
              <w:rPr>
                <w:rFonts w:asciiTheme="minorHAnsi" w:hAnsiTheme="minorHAnsi"/>
                <w:b/>
                <w:sz w:val="20"/>
              </w:rPr>
            </w:pPr>
            <w:r w:rsidRPr="00CC793A">
              <w:rPr>
                <w:rFonts w:asciiTheme="minorHAnsi" w:hAnsiTheme="minorHAnsi"/>
                <w:b/>
                <w:sz w:val="20"/>
              </w:rPr>
              <w:t>IV</w:t>
            </w:r>
          </w:p>
          <w:p w:rsidRPr="00CC793A" w:rsidR="009B1161" w:rsidP="00FE4186" w:rsidRDefault="009B1161" w14:paraId="34977071" w14:textId="77777777">
            <w:pPr>
              <w:pStyle w:val="BodyText"/>
              <w:rPr>
                <w:rFonts w:asciiTheme="minorHAnsi" w:hAnsiTheme="minorHAnsi"/>
                <w:sz w:val="20"/>
              </w:rPr>
            </w:pPr>
            <w:r w:rsidRPr="00CC793A">
              <w:rPr>
                <w:rFonts w:asciiTheme="minorHAnsi" w:hAnsiTheme="minorHAnsi"/>
                <w:sz w:val="20"/>
              </w:rPr>
              <w:t xml:space="preserve">Add 9.8 mL of water for injection to the </w:t>
            </w:r>
            <w:r w:rsidRPr="00CC793A">
              <w:rPr>
                <w:rFonts w:asciiTheme="minorHAnsi" w:hAnsiTheme="minorHAnsi"/>
                <w:b/>
                <w:sz w:val="20"/>
              </w:rPr>
              <w:t>500 mg powder</w:t>
            </w:r>
            <w:r w:rsidRPr="00CC793A">
              <w:rPr>
                <w:rFonts w:asciiTheme="minorHAnsi" w:hAnsiTheme="minorHAnsi"/>
                <w:sz w:val="20"/>
              </w:rPr>
              <w:t xml:space="preserve"> to make a 50 mg/mL solution OR</w:t>
            </w:r>
          </w:p>
          <w:p w:rsidRPr="00CC793A" w:rsidR="009B1161" w:rsidP="00FE4186" w:rsidRDefault="009B1161" w14:paraId="30C17B4A" w14:textId="77777777">
            <w:pPr>
              <w:pStyle w:val="BodyText"/>
              <w:rPr>
                <w:rFonts w:asciiTheme="minorHAnsi" w:hAnsiTheme="minorHAnsi"/>
                <w:sz w:val="20"/>
              </w:rPr>
            </w:pPr>
            <w:r w:rsidRPr="00CC793A">
              <w:rPr>
                <w:rFonts w:asciiTheme="minorHAnsi" w:hAnsiTheme="minorHAnsi"/>
                <w:sz w:val="20"/>
              </w:rPr>
              <w:t xml:space="preserve">Add 9.6 mL of water for injection to the </w:t>
            </w:r>
            <w:r w:rsidRPr="00CC793A">
              <w:rPr>
                <w:rFonts w:asciiTheme="minorHAnsi" w:hAnsiTheme="minorHAnsi"/>
                <w:b/>
                <w:sz w:val="20"/>
              </w:rPr>
              <w:t>1 g powder</w:t>
            </w:r>
            <w:r w:rsidRPr="00CC793A">
              <w:rPr>
                <w:rFonts w:asciiTheme="minorHAnsi" w:hAnsiTheme="minorHAnsi"/>
                <w:sz w:val="20"/>
              </w:rPr>
              <w:t xml:space="preserve"> to make a 100 mg/mL solution.</w:t>
            </w:r>
          </w:p>
          <w:p w:rsidRPr="00CC793A" w:rsidR="009B1161" w:rsidP="00FE4186" w:rsidRDefault="009B1161" w14:paraId="09A3905D" w14:textId="77777777">
            <w:pPr>
              <w:pStyle w:val="BodyText"/>
              <w:rPr>
                <w:rFonts w:asciiTheme="minorHAnsi" w:hAnsiTheme="minorHAnsi"/>
                <w:sz w:val="20"/>
              </w:rPr>
            </w:pPr>
          </w:p>
          <w:p w:rsidRPr="00CC793A" w:rsidR="009B1161" w:rsidP="00FE4186" w:rsidRDefault="009B1161" w14:paraId="62E60864" w14:textId="77777777">
            <w:pPr>
              <w:pStyle w:val="BodyText"/>
              <w:rPr>
                <w:rFonts w:cs="Arial" w:asciiTheme="minorHAnsi" w:hAnsiTheme="minorHAnsi"/>
                <w:sz w:val="20"/>
              </w:rPr>
            </w:pPr>
            <w:r w:rsidRPr="00CC793A">
              <w:rPr>
                <w:rFonts w:asciiTheme="minorHAnsi" w:hAnsiTheme="minorHAnsi"/>
                <w:b/>
                <w:sz w:val="20"/>
              </w:rPr>
              <w:t>IM injection</w:t>
            </w:r>
            <w:r w:rsidRPr="00CC793A">
              <w:rPr>
                <w:rFonts w:asciiTheme="minorHAnsi" w:hAnsiTheme="minorHAnsi"/>
                <w:b/>
                <w:sz w:val="20"/>
              </w:rPr>
              <w:br/>
            </w:r>
            <w:r w:rsidRPr="00CC793A">
              <w:rPr>
                <w:rFonts w:cs="Arial" w:asciiTheme="minorHAnsi" w:hAnsiTheme="minorHAnsi"/>
                <w:sz w:val="20"/>
              </w:rPr>
              <w:t xml:space="preserve">Add 2 mL of water for injection to the </w:t>
            </w:r>
            <w:r w:rsidRPr="00CC793A">
              <w:rPr>
                <w:rFonts w:cs="Arial" w:asciiTheme="minorHAnsi" w:hAnsiTheme="minorHAnsi"/>
                <w:b/>
                <w:sz w:val="20"/>
              </w:rPr>
              <w:t>500 mg powder</w:t>
            </w:r>
            <w:r w:rsidRPr="00CC793A">
              <w:rPr>
                <w:rFonts w:cs="Arial" w:asciiTheme="minorHAnsi" w:hAnsiTheme="minorHAnsi"/>
                <w:sz w:val="20"/>
              </w:rPr>
              <w:t xml:space="preserve"> to make a 230 mg/mL solution OR</w:t>
            </w:r>
          </w:p>
          <w:p w:rsidRPr="00CC793A" w:rsidR="009B1161" w:rsidP="00FE4186" w:rsidRDefault="009B1161" w14:paraId="2DDCBE8B" w14:textId="77777777">
            <w:pPr>
              <w:pStyle w:val="BodyText"/>
              <w:rPr>
                <w:rFonts w:asciiTheme="minorHAnsi" w:hAnsiTheme="minorHAnsi" w:cstheme="minorHAnsi"/>
                <w:sz w:val="20"/>
              </w:rPr>
            </w:pPr>
            <w:r w:rsidRPr="00CC793A">
              <w:rPr>
                <w:rFonts w:asciiTheme="minorHAnsi" w:hAnsiTheme="minorHAnsi"/>
                <w:sz w:val="20"/>
              </w:rPr>
              <w:t xml:space="preserve">Add 3 mL of water for injection to the </w:t>
            </w:r>
            <w:r w:rsidRPr="00CC793A">
              <w:rPr>
                <w:rFonts w:asciiTheme="minorHAnsi" w:hAnsiTheme="minorHAnsi"/>
                <w:b/>
                <w:sz w:val="20"/>
              </w:rPr>
              <w:t>1 g powder</w:t>
            </w:r>
            <w:r w:rsidRPr="00CC793A">
              <w:rPr>
                <w:rFonts w:asciiTheme="minorHAnsi" w:hAnsiTheme="minorHAnsi"/>
                <w:sz w:val="20"/>
              </w:rPr>
              <w:t xml:space="preserve"> to make a 300 mg/mL solution.</w:t>
            </w:r>
          </w:p>
        </w:tc>
      </w:tr>
      <w:tr w:rsidRPr="006527B3" w:rsidR="009B1161" w:rsidTr="00204576" w14:paraId="661311A5" w14:textId="77777777">
        <w:trPr>
          <w:trHeight w:val="263"/>
        </w:trPr>
        <w:tc>
          <w:tcPr>
            <w:tcW w:w="786" w:type="pct"/>
          </w:tcPr>
          <w:p w:rsidRPr="006527B3" w:rsidR="009B1161" w:rsidP="00FE4186" w:rsidRDefault="009B1161" w14:paraId="3100AD17" w14:textId="77777777">
            <w:pPr>
              <w:pStyle w:val="BodyText"/>
              <w:rPr>
                <w:rFonts w:asciiTheme="minorHAnsi" w:hAnsiTheme="minorHAnsi" w:cstheme="minorHAnsi"/>
                <w:b/>
                <w:bCs/>
                <w:sz w:val="20"/>
              </w:rPr>
            </w:pPr>
            <w:r w:rsidRPr="006527B3">
              <w:rPr>
                <w:rFonts w:asciiTheme="minorHAnsi" w:hAnsiTheme="minorHAnsi" w:cstheme="minorHAnsi"/>
                <w:b/>
                <w:bCs/>
                <w:sz w:val="20"/>
              </w:rPr>
              <w:t>Administration</w:t>
            </w:r>
          </w:p>
        </w:tc>
        <w:tc>
          <w:tcPr>
            <w:tcW w:w="4214" w:type="pct"/>
            <w:vAlign w:val="center"/>
          </w:tcPr>
          <w:p w:rsidRPr="006527B3" w:rsidR="009B1161" w:rsidP="00FE4186" w:rsidRDefault="009B1161" w14:paraId="01FD1B75" w14:textId="77777777">
            <w:pPr>
              <w:pStyle w:val="BodyText"/>
              <w:rPr>
                <w:rFonts w:asciiTheme="minorHAnsi" w:hAnsiTheme="minorHAnsi" w:cstheme="minorHAnsi"/>
                <w:sz w:val="20"/>
              </w:rPr>
            </w:pPr>
            <w:r w:rsidRPr="00CC793A">
              <w:rPr>
                <w:rFonts w:asciiTheme="minorHAnsi" w:hAnsiTheme="minorHAnsi"/>
                <w:b/>
                <w:sz w:val="20"/>
              </w:rPr>
              <w:t xml:space="preserve">IV </w:t>
            </w:r>
            <w:r>
              <w:rPr>
                <w:rFonts w:asciiTheme="minorHAnsi" w:hAnsiTheme="minorHAnsi"/>
                <w:b/>
                <w:sz w:val="20"/>
              </w:rPr>
              <w:t>bolus</w:t>
            </w:r>
            <w:r w:rsidRPr="00CC793A">
              <w:rPr>
                <w:rFonts w:asciiTheme="minorHAnsi" w:hAnsiTheme="minorHAnsi"/>
                <w:sz w:val="20"/>
              </w:rPr>
              <w:t xml:space="preserve">: </w:t>
            </w:r>
            <w:r>
              <w:rPr>
                <w:rFonts w:asciiTheme="minorHAnsi" w:hAnsiTheme="minorHAnsi"/>
                <w:sz w:val="20"/>
              </w:rPr>
              <w:t>o</w:t>
            </w:r>
            <w:r w:rsidRPr="00CC793A">
              <w:rPr>
                <w:rFonts w:asciiTheme="minorHAnsi" w:hAnsiTheme="minorHAnsi"/>
                <w:sz w:val="20"/>
              </w:rPr>
              <w:t>ver 3─5 minutes.</w:t>
            </w:r>
            <w:r w:rsidRPr="00CC793A">
              <w:rPr>
                <w:rFonts w:asciiTheme="minorHAnsi" w:hAnsiTheme="minorHAnsi"/>
                <w:sz w:val="20"/>
              </w:rPr>
              <w:br/>
            </w:r>
            <w:r w:rsidRPr="00CC793A">
              <w:rPr>
                <w:rFonts w:asciiTheme="minorHAnsi" w:hAnsiTheme="minorHAnsi"/>
                <w:b/>
                <w:sz w:val="20"/>
              </w:rPr>
              <w:t>IV infusion</w:t>
            </w:r>
            <w:r w:rsidRPr="00CC793A">
              <w:rPr>
                <w:rFonts w:asciiTheme="minorHAnsi" w:hAnsiTheme="minorHAnsi"/>
                <w:sz w:val="20"/>
              </w:rPr>
              <w:t xml:space="preserve">: </w:t>
            </w:r>
            <w:r>
              <w:rPr>
                <w:rFonts w:asciiTheme="minorHAnsi" w:hAnsiTheme="minorHAnsi"/>
                <w:sz w:val="20"/>
              </w:rPr>
              <w:t>o</w:t>
            </w:r>
            <w:r w:rsidRPr="00CC793A">
              <w:rPr>
                <w:rFonts w:asciiTheme="minorHAnsi" w:hAnsiTheme="minorHAnsi"/>
                <w:sz w:val="20"/>
              </w:rPr>
              <w:t xml:space="preserve">ver 15─30 minutes </w:t>
            </w:r>
            <w:r w:rsidRPr="00CC793A">
              <w:rPr>
                <w:rFonts w:asciiTheme="minorHAnsi" w:hAnsiTheme="minorHAnsi"/>
                <w:sz w:val="20"/>
              </w:rPr>
              <w:br/>
            </w:r>
            <w:r w:rsidRPr="00CC793A">
              <w:rPr>
                <w:rFonts w:asciiTheme="minorHAnsi" w:hAnsiTheme="minorHAnsi"/>
                <w:b/>
                <w:sz w:val="20"/>
              </w:rPr>
              <w:t>IM injection</w:t>
            </w:r>
            <w:r w:rsidRPr="00CC793A">
              <w:rPr>
                <w:rFonts w:asciiTheme="minorHAnsi" w:hAnsiTheme="minorHAnsi"/>
                <w:sz w:val="20"/>
              </w:rPr>
              <w:t>: Inject deep into the large muscle.</w:t>
            </w:r>
          </w:p>
        </w:tc>
      </w:tr>
      <w:tr w:rsidRPr="006527B3" w:rsidR="009B1161" w:rsidTr="00204576" w14:paraId="10871EE5" w14:textId="77777777">
        <w:trPr>
          <w:trHeight w:val="263"/>
        </w:trPr>
        <w:tc>
          <w:tcPr>
            <w:tcW w:w="786" w:type="pct"/>
          </w:tcPr>
          <w:p w:rsidRPr="006527B3" w:rsidR="009B1161" w:rsidP="00FE4186" w:rsidRDefault="009B1161" w14:paraId="0498E55A" w14:textId="77777777">
            <w:pPr>
              <w:pStyle w:val="BodyText"/>
              <w:rPr>
                <w:rFonts w:asciiTheme="minorHAnsi" w:hAnsiTheme="minorHAnsi" w:cstheme="minorHAnsi"/>
                <w:b/>
                <w:bCs/>
                <w:sz w:val="20"/>
              </w:rPr>
            </w:pPr>
            <w:r w:rsidRPr="006527B3">
              <w:rPr>
                <w:rFonts w:asciiTheme="minorHAnsi" w:hAnsiTheme="minorHAnsi" w:cstheme="minorHAnsi"/>
                <w:b/>
                <w:bCs/>
                <w:sz w:val="20"/>
              </w:rPr>
              <w:t>Monitoring</w:t>
            </w:r>
          </w:p>
        </w:tc>
        <w:tc>
          <w:tcPr>
            <w:tcW w:w="4214" w:type="pct"/>
          </w:tcPr>
          <w:p w:rsidR="009B1161" w:rsidP="00FE4186" w:rsidRDefault="009B1161" w14:paraId="78A36238" w14:textId="77777777">
            <w:pPr>
              <w:pStyle w:val="BodyText"/>
              <w:rPr>
                <w:rFonts w:asciiTheme="minorHAnsi" w:hAnsiTheme="minorHAnsi"/>
                <w:sz w:val="20"/>
              </w:rPr>
            </w:pPr>
            <w:r w:rsidRPr="00CC793A">
              <w:rPr>
                <w:rFonts w:asciiTheme="minorHAnsi" w:hAnsiTheme="minorHAnsi"/>
                <w:sz w:val="20"/>
              </w:rPr>
              <w:t>Cefotaxime has a high therapeutic index.</w:t>
            </w:r>
          </w:p>
          <w:p w:rsidRPr="006527B3" w:rsidR="009B1161" w:rsidP="00FE4186" w:rsidRDefault="009B1161" w14:paraId="2EFBE4D9" w14:textId="77777777">
            <w:pPr>
              <w:pStyle w:val="BodyText"/>
              <w:rPr>
                <w:rFonts w:asciiTheme="minorHAnsi" w:hAnsiTheme="minorHAnsi" w:cstheme="minorHAnsi"/>
                <w:sz w:val="20"/>
              </w:rPr>
            </w:pPr>
            <w:r>
              <w:rPr>
                <w:rFonts w:asciiTheme="minorHAnsi" w:hAnsiTheme="minorHAnsi"/>
                <w:sz w:val="20"/>
              </w:rPr>
              <w:t>Consider monitoring renal function, blood count and electrolytes if therapy is prolonged.</w:t>
            </w:r>
          </w:p>
        </w:tc>
      </w:tr>
      <w:tr w:rsidRPr="006527B3" w:rsidR="009B1161" w:rsidTr="00204576" w14:paraId="3578E36E" w14:textId="77777777">
        <w:trPr>
          <w:trHeight w:val="263"/>
        </w:trPr>
        <w:tc>
          <w:tcPr>
            <w:tcW w:w="786" w:type="pct"/>
          </w:tcPr>
          <w:p w:rsidRPr="006527B3" w:rsidR="009B1161" w:rsidP="00FE4186" w:rsidRDefault="009B1161" w14:paraId="2AB8E44D" w14:textId="77777777">
            <w:pPr>
              <w:pStyle w:val="BodyText"/>
              <w:rPr>
                <w:rFonts w:asciiTheme="minorHAnsi" w:hAnsiTheme="minorHAnsi" w:cstheme="minorHAnsi"/>
                <w:b/>
                <w:bCs/>
                <w:sz w:val="20"/>
              </w:rPr>
            </w:pPr>
            <w:r w:rsidRPr="006527B3">
              <w:rPr>
                <w:rFonts w:asciiTheme="minorHAnsi" w:hAnsiTheme="minorHAnsi" w:cstheme="minorHAnsi"/>
                <w:b/>
                <w:bCs/>
                <w:sz w:val="20"/>
              </w:rPr>
              <w:t>Contraindications</w:t>
            </w:r>
          </w:p>
        </w:tc>
        <w:tc>
          <w:tcPr>
            <w:tcW w:w="4214" w:type="pct"/>
          </w:tcPr>
          <w:p w:rsidRPr="006527B3" w:rsidR="009B1161" w:rsidP="00FE4186" w:rsidRDefault="009B1161" w14:paraId="121B1ECA" w14:textId="77777777">
            <w:pPr>
              <w:pStyle w:val="BodyText"/>
              <w:rPr>
                <w:rFonts w:asciiTheme="minorHAnsi" w:hAnsiTheme="minorHAnsi" w:cstheme="minorHAnsi"/>
                <w:sz w:val="20"/>
              </w:rPr>
            </w:pPr>
            <w:r w:rsidRPr="00CC793A">
              <w:rPr>
                <w:rFonts w:asciiTheme="minorHAnsi" w:hAnsiTheme="minorHAnsi"/>
                <w:sz w:val="20"/>
              </w:rPr>
              <w:t>Hypersensitivity to cefotaxime or other cephalosporins or previous history of major allergic response to a penicillin.</w:t>
            </w:r>
          </w:p>
        </w:tc>
      </w:tr>
      <w:tr w:rsidRPr="006527B3" w:rsidR="009B1161" w:rsidTr="00204576" w14:paraId="1828926B" w14:textId="77777777">
        <w:trPr>
          <w:trHeight w:val="263"/>
        </w:trPr>
        <w:tc>
          <w:tcPr>
            <w:tcW w:w="786" w:type="pct"/>
          </w:tcPr>
          <w:p w:rsidRPr="006527B3" w:rsidR="009B1161" w:rsidP="00FE4186" w:rsidRDefault="009B1161" w14:paraId="79B9C7B4" w14:textId="77777777">
            <w:pPr>
              <w:pStyle w:val="BodyText"/>
              <w:rPr>
                <w:rFonts w:asciiTheme="minorHAnsi" w:hAnsiTheme="minorHAnsi" w:cstheme="minorHAnsi"/>
                <w:b/>
                <w:bCs/>
                <w:sz w:val="20"/>
              </w:rPr>
            </w:pPr>
            <w:r w:rsidRPr="006527B3">
              <w:rPr>
                <w:rFonts w:asciiTheme="minorHAnsi" w:hAnsiTheme="minorHAnsi" w:cstheme="minorHAnsi"/>
                <w:sz w:val="20"/>
              </w:rPr>
              <w:br w:type="page"/>
            </w:r>
            <w:r w:rsidRPr="006527B3">
              <w:rPr>
                <w:rFonts w:asciiTheme="minorHAnsi" w:hAnsiTheme="minorHAnsi" w:cstheme="minorHAnsi"/>
                <w:b/>
                <w:bCs/>
                <w:sz w:val="20"/>
              </w:rPr>
              <w:t>Precautions</w:t>
            </w:r>
          </w:p>
        </w:tc>
        <w:tc>
          <w:tcPr>
            <w:tcW w:w="4214" w:type="pct"/>
          </w:tcPr>
          <w:p w:rsidRPr="006527B3" w:rsidR="009B1161" w:rsidP="00FE4186" w:rsidRDefault="009B1161" w14:paraId="672F2EF0" w14:textId="77777777">
            <w:pPr>
              <w:pStyle w:val="BodyText"/>
              <w:rPr>
                <w:rFonts w:asciiTheme="minorHAnsi" w:hAnsiTheme="minorHAnsi" w:cstheme="minorHAnsi"/>
                <w:sz w:val="20"/>
              </w:rPr>
            </w:pPr>
            <w:r w:rsidRPr="00CC793A">
              <w:rPr>
                <w:rFonts w:asciiTheme="minorHAnsi" w:hAnsiTheme="minorHAnsi"/>
                <w:sz w:val="20"/>
              </w:rPr>
              <w:t>Liver and renal disease.</w:t>
            </w:r>
            <w:r w:rsidRPr="00CC793A">
              <w:rPr>
                <w:rFonts w:asciiTheme="minorHAnsi" w:hAnsiTheme="minorHAnsi"/>
                <w:sz w:val="20"/>
              </w:rPr>
              <w:br/>
            </w:r>
            <w:r w:rsidRPr="00CC793A">
              <w:rPr>
                <w:rFonts w:asciiTheme="minorHAnsi" w:hAnsiTheme="minorHAnsi"/>
                <w:sz w:val="20"/>
              </w:rPr>
              <w:t xml:space="preserve">Sodium restriction – cefotaxime contains 48.2 mg/g (2.1 mmol/g) sodium. </w:t>
            </w:r>
          </w:p>
        </w:tc>
      </w:tr>
      <w:tr w:rsidRPr="006527B3" w:rsidR="009B1161" w:rsidTr="00204576" w14:paraId="0C89F590" w14:textId="77777777">
        <w:trPr>
          <w:trHeight w:val="263"/>
        </w:trPr>
        <w:tc>
          <w:tcPr>
            <w:tcW w:w="786" w:type="pct"/>
          </w:tcPr>
          <w:p w:rsidRPr="006527B3" w:rsidR="009B1161" w:rsidP="00FE4186" w:rsidRDefault="009B1161" w14:paraId="6785D58E" w14:textId="77777777">
            <w:pPr>
              <w:pStyle w:val="BodyText"/>
              <w:rPr>
                <w:rFonts w:asciiTheme="minorHAnsi" w:hAnsiTheme="minorHAnsi" w:cstheme="minorHAnsi"/>
                <w:b/>
                <w:bCs/>
                <w:sz w:val="20"/>
              </w:rPr>
            </w:pPr>
            <w:r w:rsidRPr="006527B3">
              <w:rPr>
                <w:rFonts w:asciiTheme="minorHAnsi" w:hAnsiTheme="minorHAnsi" w:cstheme="minorHAnsi"/>
                <w:b/>
                <w:bCs/>
                <w:sz w:val="20"/>
              </w:rPr>
              <w:t>Drug interactions</w:t>
            </w:r>
          </w:p>
        </w:tc>
        <w:tc>
          <w:tcPr>
            <w:tcW w:w="4214" w:type="pct"/>
          </w:tcPr>
          <w:p w:rsidRPr="006527B3" w:rsidR="009B1161" w:rsidP="00FE4186" w:rsidRDefault="009B1161" w14:paraId="145E9BC1" w14:textId="77777777">
            <w:pPr>
              <w:pStyle w:val="BodyText"/>
              <w:rPr>
                <w:rFonts w:asciiTheme="minorHAnsi" w:hAnsiTheme="minorHAnsi" w:cstheme="minorHAnsi"/>
                <w:sz w:val="20"/>
              </w:rPr>
            </w:pPr>
            <w:r>
              <w:rPr>
                <w:rFonts w:asciiTheme="minorHAnsi" w:hAnsiTheme="minorHAnsi"/>
                <w:sz w:val="20"/>
              </w:rPr>
              <w:t>M</w:t>
            </w:r>
            <w:r w:rsidRPr="00CC793A">
              <w:rPr>
                <w:rFonts w:asciiTheme="minorHAnsi" w:hAnsiTheme="minorHAnsi"/>
                <w:sz w:val="20"/>
              </w:rPr>
              <w:t>ay potentiate the renal toxicity of nephrotoxic drugs.</w:t>
            </w:r>
            <w:r w:rsidRPr="00CC793A">
              <w:rPr>
                <w:rFonts w:asciiTheme="minorHAnsi" w:hAnsiTheme="minorHAnsi"/>
                <w:sz w:val="20"/>
              </w:rPr>
              <w:br/>
            </w:r>
            <w:r>
              <w:rPr>
                <w:rFonts w:asciiTheme="minorHAnsi" w:hAnsiTheme="minorHAnsi"/>
                <w:sz w:val="20"/>
              </w:rPr>
              <w:t>S</w:t>
            </w:r>
            <w:r w:rsidRPr="00CC793A">
              <w:rPr>
                <w:rFonts w:asciiTheme="minorHAnsi" w:hAnsiTheme="minorHAnsi"/>
                <w:sz w:val="20"/>
              </w:rPr>
              <w:t xml:space="preserve">hould not be combined with bacteriostatic antibiotics (e.g., tetracycline, erythromycin or chloramphenicol) since </w:t>
            </w:r>
            <w:r w:rsidRPr="00A24395">
              <w:rPr>
                <w:rFonts w:asciiTheme="minorHAnsi" w:hAnsiTheme="minorHAnsi"/>
                <w:sz w:val="20"/>
              </w:rPr>
              <w:t>there may be</w:t>
            </w:r>
            <w:r>
              <w:rPr>
                <w:rFonts w:asciiTheme="minorHAnsi" w:hAnsiTheme="minorHAnsi"/>
                <w:sz w:val="20"/>
              </w:rPr>
              <w:t xml:space="preserve"> </w:t>
            </w:r>
            <w:r w:rsidRPr="00CC793A">
              <w:rPr>
                <w:rFonts w:asciiTheme="minorHAnsi" w:hAnsiTheme="minorHAnsi"/>
                <w:sz w:val="20"/>
              </w:rPr>
              <w:t>a</w:t>
            </w:r>
            <w:r>
              <w:rPr>
                <w:rFonts w:asciiTheme="minorHAnsi" w:hAnsiTheme="minorHAnsi"/>
                <w:sz w:val="20"/>
              </w:rPr>
              <w:t xml:space="preserve"> potential</w:t>
            </w:r>
            <w:r w:rsidRPr="00CC793A">
              <w:rPr>
                <w:rFonts w:asciiTheme="minorHAnsi" w:hAnsiTheme="minorHAnsi"/>
                <w:sz w:val="20"/>
              </w:rPr>
              <w:t xml:space="preserve"> antagonistic effect.</w:t>
            </w:r>
          </w:p>
        </w:tc>
      </w:tr>
      <w:tr w:rsidRPr="006527B3" w:rsidR="009B1161" w:rsidTr="00204576" w14:paraId="130D091A" w14:textId="77777777">
        <w:trPr>
          <w:trHeight w:val="263"/>
        </w:trPr>
        <w:tc>
          <w:tcPr>
            <w:tcW w:w="786" w:type="pct"/>
          </w:tcPr>
          <w:p w:rsidRPr="006527B3" w:rsidR="009B1161" w:rsidP="00FE4186" w:rsidRDefault="009B1161" w14:paraId="239E3C81" w14:textId="77777777">
            <w:pPr>
              <w:pStyle w:val="BodyText"/>
              <w:rPr>
                <w:rFonts w:asciiTheme="minorHAnsi" w:hAnsiTheme="minorHAnsi" w:cstheme="minorHAnsi"/>
                <w:b/>
                <w:bCs/>
                <w:sz w:val="20"/>
              </w:rPr>
            </w:pPr>
            <w:r w:rsidRPr="006527B3">
              <w:rPr>
                <w:rFonts w:asciiTheme="minorHAnsi" w:hAnsiTheme="minorHAnsi" w:cstheme="minorHAnsi"/>
                <w:b/>
                <w:bCs/>
                <w:sz w:val="20"/>
              </w:rPr>
              <w:lastRenderedPageBreak/>
              <w:t xml:space="preserve">Adverse reactions </w:t>
            </w:r>
          </w:p>
        </w:tc>
        <w:tc>
          <w:tcPr>
            <w:tcW w:w="4214" w:type="pct"/>
          </w:tcPr>
          <w:p w:rsidRPr="00CC793A" w:rsidR="009B1161" w:rsidP="00FE4186" w:rsidRDefault="009B1161" w14:paraId="0883D445" w14:textId="77777777">
            <w:pPr>
              <w:pStyle w:val="BodyText"/>
              <w:rPr>
                <w:rFonts w:asciiTheme="minorHAnsi" w:hAnsiTheme="minorHAnsi"/>
                <w:sz w:val="20"/>
              </w:rPr>
            </w:pPr>
            <w:r w:rsidRPr="00CC793A">
              <w:rPr>
                <w:rFonts w:asciiTheme="minorHAnsi" w:hAnsiTheme="minorHAnsi"/>
                <w:sz w:val="20"/>
              </w:rPr>
              <w:t>Leucop</w:t>
            </w:r>
            <w:r>
              <w:rPr>
                <w:rFonts w:asciiTheme="minorHAnsi" w:hAnsiTheme="minorHAnsi"/>
                <w:sz w:val="20"/>
              </w:rPr>
              <w:t>a</w:t>
            </w:r>
            <w:r w:rsidRPr="00CC793A">
              <w:rPr>
                <w:rFonts w:asciiTheme="minorHAnsi" w:hAnsiTheme="minorHAnsi"/>
                <w:sz w:val="20"/>
              </w:rPr>
              <w:t>enia, granulocytop</w:t>
            </w:r>
            <w:r>
              <w:rPr>
                <w:rFonts w:asciiTheme="minorHAnsi" w:hAnsiTheme="minorHAnsi"/>
                <w:sz w:val="20"/>
              </w:rPr>
              <w:t>a</w:t>
            </w:r>
            <w:r w:rsidRPr="00CC793A">
              <w:rPr>
                <w:rFonts w:asciiTheme="minorHAnsi" w:hAnsiTheme="minorHAnsi"/>
                <w:sz w:val="20"/>
              </w:rPr>
              <w:t>enia, agranulocytosis.</w:t>
            </w:r>
            <w:r w:rsidRPr="00CC793A">
              <w:rPr>
                <w:rFonts w:asciiTheme="minorHAnsi" w:hAnsiTheme="minorHAnsi"/>
                <w:sz w:val="20"/>
              </w:rPr>
              <w:br/>
            </w:r>
            <w:r w:rsidRPr="00CC793A">
              <w:rPr>
                <w:rFonts w:asciiTheme="minorHAnsi" w:hAnsiTheme="minorHAnsi"/>
                <w:sz w:val="20"/>
              </w:rPr>
              <w:t>Moderate and transient rise in liver enzymes and</w:t>
            </w:r>
            <w:r>
              <w:rPr>
                <w:rFonts w:asciiTheme="minorHAnsi" w:hAnsiTheme="minorHAnsi"/>
                <w:sz w:val="20"/>
              </w:rPr>
              <w:t>/</w:t>
            </w:r>
            <w:r w:rsidRPr="00CC793A">
              <w:rPr>
                <w:rFonts w:asciiTheme="minorHAnsi" w:hAnsiTheme="minorHAnsi"/>
                <w:sz w:val="20"/>
              </w:rPr>
              <w:t>or bilirubin.</w:t>
            </w:r>
            <w:r w:rsidRPr="00CC793A">
              <w:rPr>
                <w:rFonts w:asciiTheme="minorHAnsi" w:hAnsiTheme="minorHAnsi"/>
                <w:sz w:val="20"/>
              </w:rPr>
              <w:br/>
            </w:r>
            <w:r w:rsidRPr="00CC793A">
              <w:rPr>
                <w:rFonts w:asciiTheme="minorHAnsi" w:hAnsiTheme="minorHAnsi"/>
                <w:sz w:val="20"/>
              </w:rPr>
              <w:t>Hypersensitivity reactions.</w:t>
            </w:r>
            <w:r w:rsidRPr="00CC793A">
              <w:rPr>
                <w:rFonts w:asciiTheme="minorHAnsi" w:hAnsiTheme="minorHAnsi"/>
                <w:sz w:val="20"/>
              </w:rPr>
              <w:br/>
            </w:r>
            <w:r w:rsidRPr="00CC793A">
              <w:rPr>
                <w:rFonts w:asciiTheme="minorHAnsi" w:hAnsiTheme="minorHAnsi"/>
                <w:sz w:val="20"/>
              </w:rPr>
              <w:t>Arrhythmias have occurred in patients who received rapid IV administration through a central venous catheter.</w:t>
            </w:r>
          </w:p>
          <w:p w:rsidRPr="00CC793A" w:rsidR="009B1161" w:rsidP="00FE4186" w:rsidRDefault="009B1161" w14:paraId="4472FF68" w14:textId="77777777">
            <w:pPr>
              <w:pStyle w:val="BodyText"/>
              <w:rPr>
                <w:rFonts w:asciiTheme="minorHAnsi" w:hAnsiTheme="minorHAnsi"/>
                <w:sz w:val="20"/>
              </w:rPr>
            </w:pPr>
            <w:r w:rsidRPr="00CC793A">
              <w:rPr>
                <w:rFonts w:asciiTheme="minorHAnsi" w:hAnsiTheme="minorHAnsi"/>
                <w:sz w:val="20"/>
              </w:rPr>
              <w:t>Fungal sepsis.</w:t>
            </w:r>
          </w:p>
          <w:p w:rsidRPr="006527B3" w:rsidR="009B1161" w:rsidP="00FE4186" w:rsidRDefault="009B1161" w14:paraId="0ABD164C" w14:textId="77777777">
            <w:pPr>
              <w:pStyle w:val="BodyText"/>
              <w:rPr>
                <w:rFonts w:asciiTheme="minorHAnsi" w:hAnsiTheme="minorHAnsi" w:cstheme="minorHAnsi"/>
                <w:sz w:val="20"/>
              </w:rPr>
            </w:pPr>
            <w:r w:rsidRPr="00CC793A">
              <w:rPr>
                <w:rFonts w:asciiTheme="minorHAnsi" w:hAnsiTheme="minorHAnsi"/>
                <w:sz w:val="20"/>
              </w:rPr>
              <w:t>Bacterial resistance.</w:t>
            </w:r>
          </w:p>
        </w:tc>
      </w:tr>
      <w:tr w:rsidRPr="006527B3" w:rsidR="009B1161" w:rsidTr="00204576" w14:paraId="35453B3C" w14:textId="77777777">
        <w:trPr>
          <w:trHeight w:val="263"/>
        </w:trPr>
        <w:tc>
          <w:tcPr>
            <w:tcW w:w="786" w:type="pct"/>
          </w:tcPr>
          <w:p w:rsidRPr="006527B3" w:rsidR="009B1161" w:rsidP="00FE4186" w:rsidRDefault="009B1161" w14:paraId="7622D35A" w14:textId="77777777">
            <w:pPr>
              <w:pStyle w:val="BodyText"/>
              <w:rPr>
                <w:rFonts w:asciiTheme="minorHAnsi" w:hAnsiTheme="minorHAnsi" w:cstheme="minorHAnsi"/>
                <w:b/>
                <w:bCs/>
                <w:sz w:val="20"/>
              </w:rPr>
            </w:pPr>
            <w:r w:rsidRPr="006527B3">
              <w:rPr>
                <w:rFonts w:asciiTheme="minorHAnsi" w:hAnsiTheme="minorHAnsi" w:cstheme="minorHAnsi"/>
                <w:b/>
                <w:bCs/>
                <w:sz w:val="20"/>
              </w:rPr>
              <w:t>Compatibility</w:t>
            </w:r>
          </w:p>
        </w:tc>
        <w:tc>
          <w:tcPr>
            <w:tcW w:w="4214" w:type="pct"/>
          </w:tcPr>
          <w:p w:rsidRPr="00CC793A" w:rsidR="009B1161" w:rsidP="00FE4186" w:rsidRDefault="009B1161" w14:paraId="31132AA4" w14:textId="77777777">
            <w:pPr>
              <w:pStyle w:val="BodyText"/>
              <w:rPr>
                <w:rFonts w:asciiTheme="minorHAnsi" w:hAnsiTheme="minorHAnsi"/>
                <w:sz w:val="20"/>
              </w:rPr>
            </w:pPr>
            <w:r w:rsidRPr="00CC793A">
              <w:rPr>
                <w:rFonts w:asciiTheme="minorHAnsi" w:hAnsiTheme="minorHAnsi"/>
                <w:sz w:val="20"/>
              </w:rPr>
              <w:t>Fluids: Glucose 5%, glucose 10%, Hartmann’s, sodium chloride 0.9%</w:t>
            </w:r>
          </w:p>
          <w:p w:rsidRPr="00CC793A" w:rsidR="009B1161" w:rsidP="00FE4186" w:rsidRDefault="009B1161" w14:paraId="4757B4A9" w14:textId="77777777">
            <w:pPr>
              <w:pStyle w:val="BodyText"/>
              <w:rPr>
                <w:rFonts w:asciiTheme="minorHAnsi" w:hAnsiTheme="minorHAnsi"/>
                <w:sz w:val="20"/>
              </w:rPr>
            </w:pPr>
          </w:p>
          <w:p w:rsidRPr="006527B3" w:rsidR="009B1161" w:rsidP="00FE4186" w:rsidRDefault="009B1161" w14:paraId="0ABAA47E" w14:textId="77777777">
            <w:pPr>
              <w:pStyle w:val="BodyText"/>
              <w:rPr>
                <w:rFonts w:asciiTheme="minorHAnsi" w:hAnsiTheme="minorHAnsi" w:cstheme="minorHAnsi"/>
                <w:sz w:val="20"/>
              </w:rPr>
            </w:pPr>
            <w:r w:rsidRPr="00CC793A">
              <w:rPr>
                <w:rFonts w:asciiTheme="minorHAnsi" w:hAnsiTheme="minorHAnsi"/>
                <w:sz w:val="20"/>
              </w:rPr>
              <w:t>Y site: Amino acid solutions, aciclovir, amifostine, aztreonam, bivalirudin, dexmedetomidine, granisetron, hydromorphone, magnesium sulfate, midazolam, morphine sulfate, pethidine, remifentanil, tigecycline.</w:t>
            </w:r>
          </w:p>
        </w:tc>
      </w:tr>
      <w:tr w:rsidRPr="006527B3" w:rsidR="009B1161" w:rsidTr="00204576" w14:paraId="220CDECE" w14:textId="77777777">
        <w:trPr>
          <w:trHeight w:val="263"/>
        </w:trPr>
        <w:tc>
          <w:tcPr>
            <w:tcW w:w="786" w:type="pct"/>
          </w:tcPr>
          <w:p w:rsidRPr="006527B3" w:rsidR="009B1161" w:rsidP="00FE4186" w:rsidRDefault="009B1161" w14:paraId="3BFE2EE2" w14:textId="77777777">
            <w:pPr>
              <w:pStyle w:val="BodyText"/>
              <w:rPr>
                <w:rFonts w:asciiTheme="minorHAnsi" w:hAnsiTheme="minorHAnsi" w:cstheme="minorHAnsi"/>
                <w:b/>
                <w:bCs/>
                <w:sz w:val="20"/>
              </w:rPr>
            </w:pPr>
            <w:r w:rsidRPr="006527B3">
              <w:rPr>
                <w:rFonts w:asciiTheme="minorHAnsi" w:hAnsiTheme="minorHAnsi" w:cstheme="minorHAnsi"/>
                <w:b/>
                <w:bCs/>
                <w:sz w:val="20"/>
              </w:rPr>
              <w:t>Incompatibility</w:t>
            </w:r>
          </w:p>
        </w:tc>
        <w:tc>
          <w:tcPr>
            <w:tcW w:w="4214" w:type="pct"/>
          </w:tcPr>
          <w:p w:rsidRPr="00CC793A" w:rsidR="009B1161" w:rsidP="00FE4186" w:rsidRDefault="009B1161" w14:paraId="215975E3" w14:textId="77777777">
            <w:pPr>
              <w:pStyle w:val="BodyText"/>
              <w:rPr>
                <w:rFonts w:asciiTheme="minorHAnsi" w:hAnsiTheme="minorHAnsi"/>
                <w:sz w:val="20"/>
              </w:rPr>
            </w:pPr>
            <w:r w:rsidRPr="00CC793A">
              <w:rPr>
                <w:rFonts w:asciiTheme="minorHAnsi" w:hAnsiTheme="minorHAnsi"/>
                <w:sz w:val="20"/>
              </w:rPr>
              <w:t>Fluids: Alkaline solutions e.g., containing sodium bicarbonate.</w:t>
            </w:r>
          </w:p>
          <w:p w:rsidRPr="00CC793A" w:rsidR="009B1161" w:rsidP="00FE4186" w:rsidRDefault="009B1161" w14:paraId="000C3A85" w14:textId="77777777">
            <w:pPr>
              <w:pStyle w:val="BodyText"/>
              <w:rPr>
                <w:rFonts w:asciiTheme="minorHAnsi" w:hAnsiTheme="minorHAnsi"/>
                <w:sz w:val="20"/>
              </w:rPr>
            </w:pPr>
          </w:p>
          <w:p w:rsidRPr="006527B3" w:rsidR="009B1161" w:rsidP="00FE4186" w:rsidRDefault="009B1161" w14:paraId="702DA481" w14:textId="77777777">
            <w:pPr>
              <w:pStyle w:val="BodyText"/>
              <w:rPr>
                <w:rFonts w:asciiTheme="minorHAnsi" w:hAnsiTheme="minorHAnsi" w:cstheme="minorHAnsi"/>
                <w:sz w:val="20"/>
              </w:rPr>
            </w:pPr>
            <w:r w:rsidRPr="00CC793A">
              <w:rPr>
                <w:rFonts w:asciiTheme="minorHAnsi" w:hAnsiTheme="minorHAnsi"/>
                <w:sz w:val="20"/>
              </w:rPr>
              <w:t>Y site: Aminoglycosides – amikacin, gentamicin, tobramycin; azathioprine, azithromycin, caspofungin, chloramphenicol, chlorpromazine, dobutamine, dolasetron, filgrastim, fluconazole, ganciclovir, haloperidol lactate, hydralazine, labetalol, methylprednisolone sodium succinate, mycophenolate mofetil, pentamidine, phenobarbitone, phentolamine, promethazine, protamine, sodium bicarbonate, vecuronium.</w:t>
            </w:r>
          </w:p>
        </w:tc>
      </w:tr>
      <w:tr w:rsidRPr="006527B3" w:rsidR="009B1161" w:rsidTr="00204576" w14:paraId="7A4B4108" w14:textId="77777777">
        <w:trPr>
          <w:trHeight w:val="263"/>
        </w:trPr>
        <w:tc>
          <w:tcPr>
            <w:tcW w:w="786" w:type="pct"/>
          </w:tcPr>
          <w:p w:rsidRPr="006527B3" w:rsidR="009B1161" w:rsidP="00FE4186" w:rsidRDefault="009B1161" w14:paraId="62CC425A" w14:textId="77777777">
            <w:pPr>
              <w:pStyle w:val="BodyText"/>
              <w:rPr>
                <w:rFonts w:asciiTheme="minorHAnsi" w:hAnsiTheme="minorHAnsi" w:cstheme="minorHAnsi"/>
                <w:b/>
                <w:bCs/>
                <w:sz w:val="20"/>
              </w:rPr>
            </w:pPr>
            <w:r w:rsidRPr="006527B3">
              <w:rPr>
                <w:rFonts w:asciiTheme="minorHAnsi" w:hAnsiTheme="minorHAnsi" w:cstheme="minorHAnsi"/>
                <w:b/>
                <w:bCs/>
                <w:sz w:val="20"/>
              </w:rPr>
              <w:t>Stability</w:t>
            </w:r>
          </w:p>
        </w:tc>
        <w:tc>
          <w:tcPr>
            <w:tcW w:w="4214" w:type="pct"/>
          </w:tcPr>
          <w:p w:rsidRPr="006527B3" w:rsidR="009B1161" w:rsidP="00FE4186" w:rsidRDefault="009B1161" w14:paraId="511A5567" w14:textId="77777777">
            <w:pPr>
              <w:pStyle w:val="BodyText"/>
              <w:rPr>
                <w:rFonts w:asciiTheme="minorHAnsi" w:hAnsiTheme="minorHAnsi" w:cstheme="minorHAnsi"/>
                <w:sz w:val="20"/>
              </w:rPr>
            </w:pPr>
            <w:r w:rsidRPr="00CC793A">
              <w:rPr>
                <w:rFonts w:asciiTheme="minorHAnsi" w:hAnsiTheme="minorHAnsi"/>
                <w:sz w:val="20"/>
              </w:rPr>
              <w:t>Reconstituted solution</w:t>
            </w:r>
            <w:r>
              <w:rPr>
                <w:rFonts w:asciiTheme="minorHAnsi" w:hAnsiTheme="minorHAnsi"/>
                <w:sz w:val="20"/>
              </w:rPr>
              <w:t xml:space="preserve"> is s</w:t>
            </w:r>
            <w:r w:rsidRPr="00CC793A">
              <w:rPr>
                <w:rFonts w:asciiTheme="minorHAnsi" w:hAnsiTheme="minorHAnsi"/>
                <w:sz w:val="20"/>
              </w:rPr>
              <w:t>table for 24 hours at 2 to 8 °C. Protect from light.</w:t>
            </w:r>
            <w:r w:rsidRPr="00CC793A">
              <w:rPr>
                <w:rFonts w:asciiTheme="minorHAnsi" w:hAnsiTheme="minorHAnsi"/>
                <w:sz w:val="20"/>
              </w:rPr>
              <w:br/>
            </w:r>
            <w:r w:rsidRPr="00CC793A">
              <w:rPr>
                <w:rFonts w:asciiTheme="minorHAnsi" w:hAnsiTheme="minorHAnsi"/>
                <w:sz w:val="20"/>
              </w:rPr>
              <w:t>Do not use if powder or solutions have darkened in colour.</w:t>
            </w:r>
          </w:p>
        </w:tc>
      </w:tr>
      <w:tr w:rsidRPr="006527B3" w:rsidR="009B1161" w:rsidTr="00204576" w14:paraId="49B39C45" w14:textId="77777777">
        <w:trPr>
          <w:trHeight w:val="263"/>
        </w:trPr>
        <w:tc>
          <w:tcPr>
            <w:tcW w:w="786" w:type="pct"/>
          </w:tcPr>
          <w:p w:rsidRPr="006527B3" w:rsidR="009B1161" w:rsidP="00FE4186" w:rsidRDefault="009B1161" w14:paraId="340AD056" w14:textId="77777777">
            <w:pPr>
              <w:pStyle w:val="BodyText"/>
              <w:rPr>
                <w:rFonts w:asciiTheme="minorHAnsi" w:hAnsiTheme="minorHAnsi" w:cstheme="minorHAnsi"/>
                <w:b/>
                <w:bCs/>
                <w:sz w:val="20"/>
              </w:rPr>
            </w:pPr>
            <w:r w:rsidRPr="006527B3">
              <w:rPr>
                <w:rFonts w:asciiTheme="minorHAnsi" w:hAnsiTheme="minorHAnsi" w:cstheme="minorHAnsi"/>
                <w:b/>
                <w:bCs/>
                <w:sz w:val="20"/>
              </w:rPr>
              <w:t>Storage</w:t>
            </w:r>
          </w:p>
        </w:tc>
        <w:tc>
          <w:tcPr>
            <w:tcW w:w="4214" w:type="pct"/>
          </w:tcPr>
          <w:p w:rsidRPr="006527B3" w:rsidR="009B1161" w:rsidP="00FE4186" w:rsidRDefault="009B1161" w14:paraId="1DE7339C" w14:textId="77777777">
            <w:pPr>
              <w:pStyle w:val="BodyText"/>
              <w:rPr>
                <w:rFonts w:asciiTheme="minorHAnsi" w:hAnsiTheme="minorHAnsi" w:cstheme="minorHAnsi"/>
                <w:sz w:val="20"/>
              </w:rPr>
            </w:pPr>
            <w:r w:rsidRPr="00CC793A">
              <w:rPr>
                <w:rFonts w:asciiTheme="minorHAnsi" w:hAnsiTheme="minorHAnsi"/>
                <w:sz w:val="20"/>
              </w:rPr>
              <w:t xml:space="preserve">Store below 25°C </w:t>
            </w:r>
            <w:r w:rsidRPr="00CC793A">
              <w:rPr>
                <w:rFonts w:asciiTheme="minorHAnsi" w:hAnsiTheme="minorHAnsi"/>
                <w:sz w:val="20"/>
              </w:rPr>
              <w:br/>
            </w:r>
            <w:r w:rsidRPr="00CC793A">
              <w:rPr>
                <w:rFonts w:asciiTheme="minorHAnsi" w:hAnsiTheme="minorHAnsi"/>
                <w:sz w:val="20"/>
              </w:rPr>
              <w:t>Protect from light.</w:t>
            </w:r>
          </w:p>
        </w:tc>
      </w:tr>
      <w:tr w:rsidRPr="006527B3" w:rsidR="009B1161" w:rsidTr="00204576" w14:paraId="71AFA662" w14:textId="77777777">
        <w:trPr>
          <w:trHeight w:val="263"/>
        </w:trPr>
        <w:tc>
          <w:tcPr>
            <w:tcW w:w="786" w:type="pct"/>
          </w:tcPr>
          <w:p w:rsidRPr="006527B3" w:rsidR="009B1161" w:rsidP="00FE4186" w:rsidRDefault="009B1161" w14:paraId="0A7EF08A" w14:textId="77777777">
            <w:pPr>
              <w:pStyle w:val="BodyText"/>
              <w:rPr>
                <w:rFonts w:asciiTheme="minorHAnsi" w:hAnsiTheme="minorHAnsi" w:cstheme="minorHAnsi"/>
                <w:b/>
                <w:bCs/>
                <w:sz w:val="20"/>
              </w:rPr>
            </w:pPr>
            <w:r w:rsidRPr="006527B3">
              <w:rPr>
                <w:rFonts w:asciiTheme="minorHAnsi" w:hAnsiTheme="minorHAnsi" w:cstheme="minorHAnsi"/>
                <w:b/>
                <w:bCs/>
                <w:sz w:val="20"/>
              </w:rPr>
              <w:t>Excipients</w:t>
            </w:r>
          </w:p>
        </w:tc>
        <w:tc>
          <w:tcPr>
            <w:tcW w:w="4214" w:type="pct"/>
          </w:tcPr>
          <w:p w:rsidRPr="006527B3" w:rsidR="009B1161" w:rsidP="00FE4186" w:rsidRDefault="009B1161" w14:paraId="42DEA012" w14:textId="77777777">
            <w:pPr>
              <w:pStyle w:val="BodyText"/>
              <w:rPr>
                <w:rFonts w:asciiTheme="minorHAnsi" w:hAnsiTheme="minorHAnsi" w:cstheme="minorHAnsi"/>
                <w:sz w:val="20"/>
              </w:rPr>
            </w:pPr>
          </w:p>
        </w:tc>
      </w:tr>
      <w:tr w:rsidRPr="006527B3" w:rsidR="009B1161" w:rsidTr="00204576" w14:paraId="65671116" w14:textId="77777777">
        <w:trPr>
          <w:trHeight w:val="263"/>
        </w:trPr>
        <w:tc>
          <w:tcPr>
            <w:tcW w:w="786" w:type="pct"/>
          </w:tcPr>
          <w:p w:rsidRPr="006527B3" w:rsidR="009B1161" w:rsidP="00FE4186" w:rsidRDefault="009B1161" w14:paraId="7A8EE141" w14:textId="77777777">
            <w:pPr>
              <w:pStyle w:val="BodyText"/>
              <w:rPr>
                <w:rFonts w:asciiTheme="minorHAnsi" w:hAnsiTheme="minorHAnsi" w:cstheme="minorHAnsi"/>
                <w:b/>
                <w:bCs/>
                <w:sz w:val="20"/>
              </w:rPr>
            </w:pPr>
            <w:r w:rsidRPr="006527B3">
              <w:rPr>
                <w:rFonts w:asciiTheme="minorHAnsi" w:hAnsiTheme="minorHAnsi" w:cstheme="minorHAnsi"/>
                <w:b/>
                <w:bCs/>
                <w:sz w:val="20"/>
              </w:rPr>
              <w:t xml:space="preserve">Special comments </w:t>
            </w:r>
          </w:p>
        </w:tc>
        <w:tc>
          <w:tcPr>
            <w:tcW w:w="4214" w:type="pct"/>
          </w:tcPr>
          <w:p w:rsidRPr="006527B3" w:rsidR="009B1161" w:rsidP="00FE4186" w:rsidRDefault="009B1161" w14:paraId="56646AEE" w14:textId="77777777">
            <w:pPr>
              <w:pStyle w:val="BodyText"/>
              <w:rPr>
                <w:rFonts w:asciiTheme="minorHAnsi" w:hAnsiTheme="minorHAnsi" w:cstheme="minorHAnsi"/>
                <w:sz w:val="20"/>
              </w:rPr>
            </w:pPr>
            <w:r w:rsidRPr="00CC793A">
              <w:rPr>
                <w:rFonts w:asciiTheme="minorHAnsi" w:hAnsiTheme="minorHAnsi"/>
                <w:sz w:val="20"/>
              </w:rPr>
              <w:t xml:space="preserve">The main metabolite of cefotaxime is desacetylcefotaxime. This metabolite is active and is thought to enhance activity against Gram negative organisms. It has a longer half-life than cefotaxime. </w:t>
            </w:r>
            <w:r w:rsidRPr="00CC793A">
              <w:rPr>
                <w:rFonts w:asciiTheme="minorHAnsi" w:hAnsiTheme="minorHAnsi"/>
                <w:sz w:val="20"/>
              </w:rPr>
              <w:br/>
            </w:r>
            <w:r w:rsidRPr="00CC793A">
              <w:rPr>
                <w:rFonts w:asciiTheme="minorHAnsi" w:hAnsiTheme="minorHAnsi"/>
                <w:sz w:val="20"/>
              </w:rPr>
              <w:t>The major route of clearance of both cefotaxime and desacetylcefotaxime is renal.</w:t>
            </w:r>
          </w:p>
        </w:tc>
      </w:tr>
      <w:tr w:rsidRPr="006527B3" w:rsidR="009B1161" w:rsidTr="00204576" w14:paraId="7680A04D" w14:textId="77777777">
        <w:trPr>
          <w:trHeight w:val="263"/>
        </w:trPr>
        <w:tc>
          <w:tcPr>
            <w:tcW w:w="786" w:type="pct"/>
          </w:tcPr>
          <w:p w:rsidRPr="006527B3" w:rsidR="009B1161" w:rsidP="00FE4186" w:rsidRDefault="009B1161" w14:paraId="3E077706" w14:textId="77777777">
            <w:pPr>
              <w:pStyle w:val="BodyText"/>
              <w:rPr>
                <w:rFonts w:asciiTheme="minorHAnsi" w:hAnsiTheme="minorHAnsi" w:cstheme="minorHAnsi"/>
                <w:b/>
                <w:bCs/>
                <w:sz w:val="20"/>
              </w:rPr>
            </w:pPr>
            <w:r w:rsidRPr="006527B3">
              <w:rPr>
                <w:rFonts w:asciiTheme="minorHAnsi" w:hAnsiTheme="minorHAnsi" w:cstheme="minorHAnsi"/>
                <w:b/>
                <w:bCs/>
                <w:sz w:val="20"/>
              </w:rPr>
              <w:t xml:space="preserve">Evidence </w:t>
            </w:r>
          </w:p>
        </w:tc>
        <w:tc>
          <w:tcPr>
            <w:tcW w:w="4214" w:type="pct"/>
          </w:tcPr>
          <w:p w:rsidRPr="006527B3" w:rsidR="009B1161" w:rsidP="00FE4186" w:rsidRDefault="009B1161" w14:paraId="3F6DE896" w14:textId="77777777">
            <w:pPr>
              <w:pStyle w:val="BodyText"/>
              <w:tabs>
                <w:tab w:val="left" w:pos="1168"/>
              </w:tabs>
              <w:rPr>
                <w:rFonts w:asciiTheme="minorHAnsi" w:hAnsiTheme="minorHAnsi" w:cstheme="minorHAnsi"/>
                <w:sz w:val="20"/>
              </w:rPr>
            </w:pPr>
            <w:r w:rsidRPr="00A24395">
              <w:rPr>
                <w:rFonts w:cs="Arial" w:asciiTheme="minorHAnsi" w:hAnsiTheme="minorHAnsi"/>
                <w:sz w:val="20"/>
              </w:rPr>
              <w:t>To be updated.</w:t>
            </w:r>
          </w:p>
        </w:tc>
      </w:tr>
      <w:tr w:rsidRPr="006527B3" w:rsidR="009B1161" w:rsidTr="00204576" w14:paraId="25B12BE1" w14:textId="77777777">
        <w:trPr>
          <w:trHeight w:val="263"/>
        </w:trPr>
        <w:tc>
          <w:tcPr>
            <w:tcW w:w="786" w:type="pct"/>
          </w:tcPr>
          <w:p w:rsidRPr="006527B3" w:rsidR="009B1161" w:rsidP="00FE4186" w:rsidRDefault="009B1161" w14:paraId="3F9293B2" w14:textId="77777777">
            <w:pPr>
              <w:pStyle w:val="BodyText"/>
              <w:rPr>
                <w:rFonts w:asciiTheme="minorHAnsi" w:hAnsiTheme="minorHAnsi" w:cstheme="minorHAnsi"/>
                <w:b/>
                <w:bCs/>
                <w:sz w:val="20"/>
              </w:rPr>
            </w:pPr>
            <w:r w:rsidRPr="006527B3">
              <w:rPr>
                <w:rFonts w:asciiTheme="minorHAnsi" w:hAnsiTheme="minorHAnsi" w:cstheme="minorHAnsi"/>
                <w:b/>
                <w:bCs/>
                <w:sz w:val="20"/>
              </w:rPr>
              <w:t>Practice points</w:t>
            </w:r>
          </w:p>
        </w:tc>
        <w:tc>
          <w:tcPr>
            <w:tcW w:w="4214" w:type="pct"/>
          </w:tcPr>
          <w:p w:rsidRPr="006527B3" w:rsidR="009B1161" w:rsidP="00FE4186" w:rsidRDefault="009B1161" w14:paraId="7538F8E4" w14:textId="77777777">
            <w:pPr>
              <w:pStyle w:val="BodyText"/>
              <w:tabs>
                <w:tab w:val="left" w:pos="1168"/>
              </w:tabs>
              <w:rPr>
                <w:rFonts w:asciiTheme="minorHAnsi" w:hAnsiTheme="minorHAnsi" w:cstheme="minorHAnsi"/>
                <w:sz w:val="20"/>
              </w:rPr>
            </w:pPr>
          </w:p>
        </w:tc>
      </w:tr>
      <w:tr w:rsidRPr="006527B3" w:rsidR="009B1161" w:rsidTr="00204576" w14:paraId="2D3CCC47" w14:textId="77777777">
        <w:trPr>
          <w:trHeight w:val="263"/>
        </w:trPr>
        <w:tc>
          <w:tcPr>
            <w:tcW w:w="786" w:type="pct"/>
          </w:tcPr>
          <w:p w:rsidRPr="006527B3" w:rsidR="009B1161" w:rsidP="00FE4186" w:rsidRDefault="009B1161" w14:paraId="18ED23B1" w14:textId="77777777">
            <w:pPr>
              <w:pStyle w:val="BodyText"/>
              <w:rPr>
                <w:rFonts w:asciiTheme="minorHAnsi" w:hAnsiTheme="minorHAnsi" w:cstheme="minorHAnsi"/>
                <w:b/>
                <w:bCs/>
                <w:sz w:val="20"/>
              </w:rPr>
            </w:pPr>
            <w:r w:rsidRPr="006527B3">
              <w:rPr>
                <w:rFonts w:asciiTheme="minorHAnsi" w:hAnsiTheme="minorHAnsi" w:cstheme="minorHAnsi"/>
                <w:b/>
                <w:sz w:val="20"/>
              </w:rPr>
              <w:t>References</w:t>
            </w:r>
          </w:p>
        </w:tc>
        <w:tc>
          <w:tcPr>
            <w:tcW w:w="4214" w:type="pct"/>
          </w:tcPr>
          <w:p w:rsidRPr="009B1161" w:rsidR="009B1161" w:rsidP="00FE4186" w:rsidRDefault="009B1161" w14:paraId="5C7F05AE" w14:textId="77777777">
            <w:pPr>
              <w:rPr>
                <w:rFonts w:asciiTheme="minorHAnsi" w:hAnsiTheme="minorHAnsi"/>
                <w:sz w:val="16"/>
                <w:szCs w:val="16"/>
              </w:rPr>
            </w:pPr>
            <w:r w:rsidRPr="009B1161">
              <w:rPr>
                <w:rFonts w:asciiTheme="minorHAnsi" w:hAnsiTheme="minorHAnsi"/>
                <w:sz w:val="16"/>
                <w:szCs w:val="16"/>
              </w:rPr>
              <w:t>1. Aujard Y, Brion F, Jacqz-Aigrain E, et al: Pharmacokinetics of cefotaxime and desacetylcefotaxime in the newborn. Diagn Microbial Infect Dis 1989;12:87–91.</w:t>
            </w:r>
            <w:r w:rsidRPr="009B1161">
              <w:rPr>
                <w:rFonts w:asciiTheme="minorHAnsi" w:hAnsiTheme="minorHAnsi"/>
                <w:sz w:val="16"/>
                <w:szCs w:val="16"/>
              </w:rPr>
              <w:br/>
            </w:r>
            <w:r w:rsidRPr="009B1161">
              <w:rPr>
                <w:rFonts w:asciiTheme="minorHAnsi" w:hAnsiTheme="minorHAnsi"/>
                <w:sz w:val="16"/>
                <w:szCs w:val="16"/>
              </w:rPr>
              <w:t>2. Jacobs R, Kearns G: Cefotaxime and deacetylcefotaxime in neonates and children: a review of microbiologic, pharmacokinetic and clinical experience. Diagn Microbial Infect Dis 1989;12:93–99.</w:t>
            </w:r>
            <w:r w:rsidRPr="009B1161">
              <w:rPr>
                <w:rFonts w:asciiTheme="minorHAnsi" w:hAnsiTheme="minorHAnsi"/>
                <w:sz w:val="16"/>
                <w:szCs w:val="16"/>
              </w:rPr>
              <w:br/>
            </w:r>
            <w:r w:rsidRPr="009B1161">
              <w:rPr>
                <w:rFonts w:asciiTheme="minorHAnsi" w:hAnsiTheme="minorHAnsi"/>
                <w:sz w:val="16"/>
                <w:szCs w:val="16"/>
              </w:rPr>
              <w:t>3. Kafetzis D, Brater D, Kapiki A, et al: Treatment of severe neonatal infections with cefotaxime. Efficacy and pharmacokinetics. The Journal of Pediatrics 1982;100:483–489.</w:t>
            </w:r>
            <w:r w:rsidRPr="009B1161">
              <w:rPr>
                <w:rFonts w:asciiTheme="minorHAnsi" w:hAnsiTheme="minorHAnsi"/>
                <w:sz w:val="16"/>
                <w:szCs w:val="16"/>
              </w:rPr>
              <w:br/>
            </w:r>
            <w:r w:rsidRPr="009B1161">
              <w:rPr>
                <w:rFonts w:asciiTheme="minorHAnsi" w:hAnsiTheme="minorHAnsi"/>
                <w:sz w:val="16"/>
                <w:szCs w:val="16"/>
              </w:rPr>
              <w:t>4. Kearns G, Young R: Pharmacokinetics of cefotaxime and deacetylcefotaxime in the young. Diagn Microbial Infect Dis 1995;22:97–104.</w:t>
            </w:r>
            <w:r w:rsidRPr="009B1161">
              <w:rPr>
                <w:rFonts w:asciiTheme="minorHAnsi" w:hAnsiTheme="minorHAnsi"/>
                <w:sz w:val="16"/>
                <w:szCs w:val="16"/>
              </w:rPr>
              <w:br/>
            </w:r>
            <w:r w:rsidRPr="009B1161">
              <w:rPr>
                <w:rFonts w:asciiTheme="minorHAnsi" w:hAnsiTheme="minorHAnsi"/>
                <w:sz w:val="16"/>
                <w:szCs w:val="16"/>
              </w:rPr>
              <w:t>5. Kearns G, Jacorbs R, Thomas B, et al: Cefotaxime and desacetylcefotaxime pharmacokinetics in very low birth weight neonates. The Journal of Pediatrics 1989;114:461–7.</w:t>
            </w:r>
            <w:r w:rsidRPr="009B1161">
              <w:rPr>
                <w:rFonts w:asciiTheme="minorHAnsi" w:hAnsiTheme="minorHAnsi"/>
                <w:sz w:val="16"/>
                <w:szCs w:val="16"/>
              </w:rPr>
              <w:br/>
            </w:r>
            <w:r w:rsidRPr="009B1161">
              <w:rPr>
                <w:rFonts w:asciiTheme="minorHAnsi" w:hAnsiTheme="minorHAnsi"/>
                <w:sz w:val="16"/>
                <w:szCs w:val="16"/>
              </w:rPr>
              <w:t>6. Odio C: Cefotaxime for treatment of neonatal sepsis and meningitis. Diagn Microbial Infect Dis 1995;22:111–117.</w:t>
            </w:r>
            <w:r w:rsidRPr="009B1161">
              <w:rPr>
                <w:rFonts w:asciiTheme="minorHAnsi" w:hAnsiTheme="minorHAnsi"/>
                <w:sz w:val="16"/>
                <w:szCs w:val="16"/>
              </w:rPr>
              <w:br/>
            </w:r>
            <w:r w:rsidRPr="009B1161">
              <w:rPr>
                <w:rFonts w:asciiTheme="minorHAnsi" w:hAnsiTheme="minorHAnsi"/>
                <w:sz w:val="16"/>
                <w:szCs w:val="16"/>
              </w:rPr>
              <w:t>7. Sivanandan S, Soraisham A, Swarnam K: Choice and duration of antimicrobial therapy for neonatal sepsis and meningitis. International Journal of Pediatrics, 2011:712150. doi: 10.1155/2011/71215.</w:t>
            </w:r>
          </w:p>
          <w:p w:rsidRPr="009B1161" w:rsidR="009B1161" w:rsidP="00FE4186" w:rsidRDefault="009B1161" w14:paraId="1009CFE3" w14:textId="77777777">
            <w:pPr>
              <w:rPr>
                <w:rFonts w:asciiTheme="minorHAnsi" w:hAnsiTheme="minorHAnsi"/>
                <w:sz w:val="16"/>
                <w:szCs w:val="16"/>
              </w:rPr>
            </w:pPr>
            <w:r w:rsidRPr="009B1161">
              <w:rPr>
                <w:rFonts w:asciiTheme="minorHAnsi" w:hAnsiTheme="minorHAnsi"/>
                <w:sz w:val="16"/>
                <w:szCs w:val="16"/>
              </w:rPr>
              <w:t>8. Craig W: Interrelationship between pharmacokinetics and pharmacodynamics in determining dosage regimens for broad spectrum cephalosporins. Diagn Microbial Infect Dis 1995;22:89–96</w:t>
            </w:r>
            <w:r w:rsidRPr="009B1161">
              <w:rPr>
                <w:rFonts w:asciiTheme="minorHAnsi" w:hAnsiTheme="minorHAnsi"/>
                <w:sz w:val="16"/>
                <w:szCs w:val="16"/>
              </w:rPr>
              <w:br/>
            </w:r>
            <w:r w:rsidRPr="009B1161">
              <w:rPr>
                <w:rFonts w:asciiTheme="minorHAnsi" w:hAnsiTheme="minorHAnsi"/>
                <w:sz w:val="16"/>
                <w:szCs w:val="16"/>
              </w:rPr>
              <w:t>9. Pacifici G: Pharmacokinetics of cephalosporins in the neonate: a review. Clinics 2011;66(7):1267–1274.</w:t>
            </w:r>
            <w:r w:rsidRPr="009B1161">
              <w:rPr>
                <w:rFonts w:asciiTheme="minorHAnsi" w:hAnsiTheme="minorHAnsi"/>
                <w:sz w:val="16"/>
                <w:szCs w:val="16"/>
              </w:rPr>
              <w:br/>
            </w:r>
            <w:r w:rsidRPr="009B1161">
              <w:rPr>
                <w:rFonts w:asciiTheme="minorHAnsi" w:hAnsiTheme="minorHAnsi"/>
                <w:sz w:val="16"/>
                <w:szCs w:val="16"/>
              </w:rPr>
              <w:t>10. Young T, Mangum B Neofax 23rd edition, Thomson Reuters 2010.</w:t>
            </w:r>
            <w:r w:rsidRPr="009B1161">
              <w:rPr>
                <w:rFonts w:asciiTheme="minorHAnsi" w:hAnsiTheme="minorHAnsi"/>
                <w:sz w:val="16"/>
                <w:szCs w:val="16"/>
              </w:rPr>
              <w:br/>
            </w:r>
            <w:r w:rsidRPr="009B1161">
              <w:rPr>
                <w:rFonts w:asciiTheme="minorHAnsi" w:hAnsiTheme="minorHAnsi"/>
                <w:sz w:val="16"/>
                <w:szCs w:val="16"/>
              </w:rPr>
              <w:t>11. Australian Injectable Drugs Handbook. 5th Edition. The Society of Hospital Pharmacists of Australia. 2011.</w:t>
            </w:r>
            <w:r w:rsidRPr="009B1161">
              <w:rPr>
                <w:rFonts w:asciiTheme="minorHAnsi" w:hAnsiTheme="minorHAnsi"/>
                <w:sz w:val="16"/>
                <w:szCs w:val="16"/>
              </w:rPr>
              <w:br/>
            </w:r>
            <w:r w:rsidRPr="009B1161">
              <w:rPr>
                <w:rFonts w:asciiTheme="minorHAnsi" w:hAnsiTheme="minorHAnsi"/>
                <w:sz w:val="16"/>
                <w:szCs w:val="16"/>
              </w:rPr>
              <w:t>12. MIMS online via CIAP accessed 7</w:t>
            </w:r>
            <w:r w:rsidRPr="009B1161">
              <w:rPr>
                <w:rFonts w:asciiTheme="minorHAnsi" w:hAnsiTheme="minorHAnsi"/>
                <w:sz w:val="16"/>
                <w:szCs w:val="16"/>
                <w:vertAlign w:val="superscript"/>
              </w:rPr>
              <w:t>th</w:t>
            </w:r>
            <w:r w:rsidRPr="009B1161">
              <w:rPr>
                <w:rFonts w:asciiTheme="minorHAnsi" w:hAnsiTheme="minorHAnsi"/>
                <w:sz w:val="16"/>
                <w:szCs w:val="16"/>
              </w:rPr>
              <w:t xml:space="preserve"> July 2015.</w:t>
            </w:r>
          </w:p>
          <w:p w:rsidRPr="009B1161" w:rsidR="009B1161" w:rsidP="00FE4186" w:rsidRDefault="009B1161" w14:paraId="6378EB9D" w14:textId="77777777">
            <w:pPr>
              <w:rPr>
                <w:rFonts w:asciiTheme="minorHAnsi" w:hAnsiTheme="minorHAnsi"/>
                <w:sz w:val="16"/>
                <w:szCs w:val="16"/>
              </w:rPr>
            </w:pPr>
            <w:r w:rsidRPr="009B1161">
              <w:rPr>
                <w:rFonts w:asciiTheme="minorHAnsi" w:hAnsiTheme="minorHAnsi"/>
                <w:sz w:val="16"/>
                <w:szCs w:val="16"/>
              </w:rPr>
              <w:t xml:space="preserve">13. Cotten CM, McDonald S, Stoll B, Goldberg RN, Poole K, Benjamin DK Jr, National Institute for Child Health and Human Development Neonatal Research Network. The association of third-generation cephalosporin use and invasive candidiasis in extremely low birth-weight infants.   Pediatrics 2006;118(2):717–22. </w:t>
            </w:r>
          </w:p>
          <w:p w:rsidRPr="009B1161" w:rsidR="009B1161" w:rsidP="00FE4186" w:rsidRDefault="009B1161" w14:paraId="30F3D00F" w14:textId="77777777">
            <w:pPr>
              <w:rPr>
                <w:rFonts w:asciiTheme="minorHAnsi" w:hAnsiTheme="minorHAnsi"/>
                <w:sz w:val="16"/>
                <w:szCs w:val="16"/>
              </w:rPr>
            </w:pPr>
            <w:r w:rsidRPr="009B1161">
              <w:rPr>
                <w:rFonts w:asciiTheme="minorHAnsi" w:hAnsiTheme="minorHAnsi"/>
                <w:sz w:val="16"/>
                <w:szCs w:val="16"/>
              </w:rPr>
              <w:t xml:space="preserve">14. Calil R, Marba ST, von Nowakonski A, Tresoldi AT. Reduction in colonization and nosocomial infection by multiresistant bacteria in a neonatal unit after institution of educational measures and restriction in the use of cephalosporins. Am J Infect Control 2001;29(3):133–8. </w:t>
            </w:r>
          </w:p>
          <w:p w:rsidRPr="009B1161" w:rsidR="009B1161" w:rsidP="00FE4186" w:rsidRDefault="009B1161" w14:paraId="1481AA1E" w14:textId="77777777">
            <w:pPr>
              <w:rPr>
                <w:rFonts w:asciiTheme="minorHAnsi" w:hAnsiTheme="minorHAnsi"/>
                <w:sz w:val="16"/>
                <w:szCs w:val="16"/>
              </w:rPr>
            </w:pPr>
            <w:r w:rsidRPr="009B1161">
              <w:rPr>
                <w:rFonts w:asciiTheme="minorHAnsi" w:hAnsiTheme="minorHAnsi"/>
                <w:sz w:val="16"/>
                <w:szCs w:val="16"/>
              </w:rPr>
              <w:t xml:space="preserve">15. Dellagrammaticas HD, Christodoulou C, Megaloyanni E, Papadimitriou M, Kapetanakis J, Kourakis G. Treatment of gram-negative bacterial meningitis in term neonates with third generation cephalosporins plus amikacin. Biol Neonate 2000;77(3):139–46. </w:t>
            </w:r>
          </w:p>
          <w:p w:rsidRPr="009B1161" w:rsidR="009B1161" w:rsidP="00FE4186" w:rsidRDefault="009B1161" w14:paraId="4D67EC22" w14:textId="77777777">
            <w:pPr>
              <w:rPr>
                <w:rFonts w:asciiTheme="minorHAnsi" w:hAnsiTheme="minorHAnsi"/>
                <w:sz w:val="16"/>
                <w:szCs w:val="16"/>
              </w:rPr>
            </w:pPr>
            <w:r w:rsidRPr="009B1161">
              <w:rPr>
                <w:rFonts w:asciiTheme="minorHAnsi" w:hAnsiTheme="minorHAnsi"/>
                <w:sz w:val="16"/>
                <w:szCs w:val="16"/>
              </w:rPr>
              <w:t>16. Harvey D, Holt DE, Bedford H. Bacterial meningitis in the newborn: a prospective study of mortality and morbidity. Semin Perinatol 1999;23(3):218–25.</w:t>
            </w:r>
          </w:p>
          <w:p w:rsidRPr="009B1161" w:rsidR="009B1161" w:rsidP="00FE4186" w:rsidRDefault="009B1161" w14:paraId="26DAA6C6" w14:textId="77777777">
            <w:pPr>
              <w:spacing w:after="160" w:line="259" w:lineRule="auto"/>
              <w:ind w:left="360" w:hanging="360"/>
              <w:contextualSpacing/>
              <w:rPr>
                <w:rFonts w:asciiTheme="minorHAnsi" w:hAnsiTheme="minorHAnsi" w:eastAsiaTheme="minorHAnsi" w:cstheme="minorHAnsi"/>
                <w:sz w:val="16"/>
                <w:szCs w:val="16"/>
              </w:rPr>
            </w:pPr>
            <w:r w:rsidRPr="009B1161">
              <w:rPr>
                <w:rFonts w:asciiTheme="minorHAnsi" w:hAnsiTheme="minorHAnsi"/>
                <w:sz w:val="16"/>
                <w:szCs w:val="16"/>
              </w:rPr>
              <w:lastRenderedPageBreak/>
              <w:t xml:space="preserve">17. Neofax accessed on </w:t>
            </w:r>
            <w:hyperlink w:history="1" r:id="rId22">
              <w:r w:rsidRPr="009B1161">
                <w:rPr>
                  <w:rStyle w:val="Hyperlink"/>
                  <w:rFonts w:asciiTheme="minorHAnsi" w:hAnsiTheme="minorHAnsi"/>
                  <w:sz w:val="16"/>
                  <w:szCs w:val="16"/>
                </w:rPr>
                <w:t>www.neofax.micromedex.solutions.com</w:t>
              </w:r>
            </w:hyperlink>
            <w:r w:rsidRPr="009B1161">
              <w:rPr>
                <w:rFonts w:asciiTheme="minorHAnsi" w:hAnsiTheme="minorHAnsi"/>
                <w:sz w:val="16"/>
                <w:szCs w:val="16"/>
              </w:rPr>
              <w:t xml:space="preserve"> on 29</w:t>
            </w:r>
            <w:r w:rsidRPr="009B1161">
              <w:rPr>
                <w:rFonts w:asciiTheme="minorHAnsi" w:hAnsiTheme="minorHAnsi"/>
                <w:sz w:val="16"/>
                <w:szCs w:val="16"/>
                <w:vertAlign w:val="superscript"/>
              </w:rPr>
              <w:t>th</w:t>
            </w:r>
            <w:r w:rsidRPr="009B1161">
              <w:rPr>
                <w:rFonts w:asciiTheme="minorHAnsi" w:hAnsiTheme="minorHAnsi"/>
                <w:sz w:val="16"/>
                <w:szCs w:val="16"/>
              </w:rPr>
              <w:t xml:space="preserve"> July 2015.</w:t>
            </w:r>
          </w:p>
        </w:tc>
      </w:tr>
    </w:tbl>
    <w:p w:rsidR="00115F48" w:rsidP="006F0321" w:rsidRDefault="00115F48" w14:paraId="64EFD4BA" w14:textId="56C82253"/>
    <w:p w:rsidRPr="00E25790" w:rsidR="009B1161" w:rsidP="006F0321" w:rsidRDefault="009B1161" w14:paraId="56D9B1D1" w14:textId="77777777"/>
    <w:tbl>
      <w:tblPr>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252"/>
      </w:tblGrid>
      <w:tr w:rsidRPr="001A45D6" w:rsidR="00E424B4" w:rsidTr="001A45D6" w14:paraId="381777D9" w14:textId="77777777">
        <w:tc>
          <w:tcPr>
            <w:tcW w:w="4395" w:type="dxa"/>
            <w:vAlign w:val="center"/>
          </w:tcPr>
          <w:p w:rsidRPr="001A45D6" w:rsidR="001A45D6" w:rsidP="006F0321" w:rsidRDefault="001A45D6" w14:paraId="5FC0C127" w14:textId="77777777">
            <w:pPr>
              <w:rPr>
                <w:lang w:val="en-AU"/>
              </w:rPr>
            </w:pPr>
            <w:r w:rsidRPr="001A45D6">
              <w:rPr>
                <w:lang w:val="en-AU"/>
              </w:rPr>
              <w:t>Original version Date: 08/08/2015</w:t>
            </w:r>
          </w:p>
        </w:tc>
        <w:tc>
          <w:tcPr>
            <w:tcW w:w="4252" w:type="dxa"/>
            <w:vAlign w:val="center"/>
          </w:tcPr>
          <w:p w:rsidRPr="001A45D6" w:rsidR="001A45D6" w:rsidP="006F0321" w:rsidRDefault="001A45D6" w14:paraId="00BEF05B" w14:textId="77777777">
            <w:pPr>
              <w:rPr>
                <w:lang w:val="en-AU"/>
              </w:rPr>
            </w:pPr>
            <w:r w:rsidRPr="001A45D6">
              <w:rPr>
                <w:lang w:val="en-AU"/>
              </w:rPr>
              <w:t>Author: NeoMed Consensus Group</w:t>
            </w:r>
          </w:p>
        </w:tc>
      </w:tr>
      <w:tr w:rsidRPr="001A45D6" w:rsidR="00E424B4" w:rsidTr="001A45D6" w14:paraId="19F348E6" w14:textId="77777777">
        <w:tc>
          <w:tcPr>
            <w:tcW w:w="4395" w:type="dxa"/>
            <w:vAlign w:val="center"/>
          </w:tcPr>
          <w:p w:rsidRPr="001A45D6" w:rsidR="001A45D6" w:rsidP="006F0321" w:rsidRDefault="001A45D6" w14:paraId="775DA0CA" w14:textId="34C9AFCE">
            <w:pPr>
              <w:rPr>
                <w:bCs/>
                <w:lang w:val="en-AU"/>
              </w:rPr>
            </w:pPr>
            <w:r w:rsidRPr="001A45D6">
              <w:rPr>
                <w:lang w:val="en-AU"/>
              </w:rPr>
              <w:t xml:space="preserve">Current Version number:  </w:t>
            </w:r>
            <w:r w:rsidR="00D360F4">
              <w:rPr>
                <w:lang w:val="en-AU"/>
              </w:rPr>
              <w:t>3</w:t>
            </w:r>
          </w:p>
        </w:tc>
        <w:tc>
          <w:tcPr>
            <w:tcW w:w="4252" w:type="dxa"/>
            <w:vAlign w:val="center"/>
          </w:tcPr>
          <w:p w:rsidRPr="001A45D6" w:rsidR="001A45D6" w:rsidP="006F0321" w:rsidRDefault="001A45D6" w14:paraId="5DEE4C55" w14:textId="3B21DA63">
            <w:pPr>
              <w:rPr>
                <w:lang w:val="en-AU"/>
              </w:rPr>
            </w:pPr>
            <w:r w:rsidRPr="001A45D6">
              <w:rPr>
                <w:lang w:val="en-AU"/>
              </w:rPr>
              <w:t xml:space="preserve">Version Date:  </w:t>
            </w:r>
            <w:r w:rsidR="009B1161">
              <w:rPr>
                <w:lang w:val="en-AU"/>
              </w:rPr>
              <w:t>16</w:t>
            </w:r>
            <w:r w:rsidR="00D360F4">
              <w:rPr>
                <w:lang w:val="en-AU"/>
              </w:rPr>
              <w:t>/</w:t>
            </w:r>
            <w:r w:rsidR="009B1161">
              <w:rPr>
                <w:lang w:val="en-AU"/>
              </w:rPr>
              <w:t>12</w:t>
            </w:r>
            <w:r w:rsidR="00D360F4">
              <w:rPr>
                <w:lang w:val="en-AU"/>
              </w:rPr>
              <w:t>/</w:t>
            </w:r>
            <w:r w:rsidR="009B1161">
              <w:rPr>
                <w:lang w:val="en-AU"/>
              </w:rPr>
              <w:t>2020</w:t>
            </w:r>
          </w:p>
        </w:tc>
      </w:tr>
      <w:tr w:rsidRPr="001A45D6" w:rsidR="00E424B4" w:rsidTr="001A45D6" w14:paraId="1571B537" w14:textId="77777777">
        <w:tc>
          <w:tcPr>
            <w:tcW w:w="4395" w:type="dxa"/>
            <w:vAlign w:val="center"/>
          </w:tcPr>
          <w:p w:rsidRPr="001A45D6" w:rsidR="001A45D6" w:rsidP="006F0321" w:rsidRDefault="001A45D6" w14:paraId="2540683D" w14:textId="77777777">
            <w:pPr>
              <w:rPr>
                <w:lang w:val="en-AU"/>
              </w:rPr>
            </w:pPr>
            <w:r w:rsidRPr="001A45D6">
              <w:rPr>
                <w:lang w:val="en-AU"/>
              </w:rPr>
              <w:t>Risk Rating: Medium</w:t>
            </w:r>
          </w:p>
        </w:tc>
        <w:tc>
          <w:tcPr>
            <w:tcW w:w="4252" w:type="dxa"/>
            <w:vAlign w:val="center"/>
          </w:tcPr>
          <w:p w:rsidRPr="001A45D6" w:rsidR="001A45D6" w:rsidP="006F0321" w:rsidRDefault="001A45D6" w14:paraId="32EBA6FB" w14:textId="1DB44459">
            <w:pPr>
              <w:rPr>
                <w:lang w:val="en-AU"/>
              </w:rPr>
            </w:pPr>
            <w:r w:rsidRPr="001A45D6">
              <w:rPr>
                <w:lang w:val="en-AU"/>
              </w:rPr>
              <w:t xml:space="preserve">Due for Review:  </w:t>
            </w:r>
            <w:r w:rsidR="009B1161">
              <w:rPr>
                <w:lang w:val="en-AU"/>
              </w:rPr>
              <w:t>16</w:t>
            </w:r>
            <w:r w:rsidR="00D360F4">
              <w:rPr>
                <w:lang w:val="en-AU"/>
              </w:rPr>
              <w:t>/</w:t>
            </w:r>
            <w:r w:rsidR="009B1161">
              <w:rPr>
                <w:lang w:val="en-AU"/>
              </w:rPr>
              <w:t>12</w:t>
            </w:r>
            <w:r w:rsidR="00D360F4">
              <w:rPr>
                <w:lang w:val="en-AU"/>
              </w:rPr>
              <w:t>/</w:t>
            </w:r>
            <w:r w:rsidR="009B1161">
              <w:rPr>
                <w:lang w:val="en-AU"/>
              </w:rPr>
              <w:t>2025</w:t>
            </w:r>
          </w:p>
        </w:tc>
      </w:tr>
      <w:tr w:rsidRPr="001A45D6" w:rsidR="00E424B4" w:rsidTr="001A45D6" w14:paraId="175EA9F0" w14:textId="77777777">
        <w:trPr>
          <w:trHeight w:val="344"/>
        </w:trPr>
        <w:tc>
          <w:tcPr>
            <w:tcW w:w="4395" w:type="dxa"/>
            <w:tcBorders>
              <w:bottom w:val="single" w:color="auto" w:sz="4" w:space="0"/>
            </w:tcBorders>
            <w:vAlign w:val="center"/>
          </w:tcPr>
          <w:p w:rsidRPr="001A45D6" w:rsidR="001A45D6" w:rsidP="006F0321" w:rsidRDefault="001A45D6" w14:paraId="4641C424" w14:textId="77777777">
            <w:pPr>
              <w:rPr>
                <w:lang w:val="en-AU"/>
              </w:rPr>
            </w:pPr>
            <w:r w:rsidRPr="001A45D6">
              <w:rPr>
                <w:lang w:val="en-AU"/>
              </w:rPr>
              <w:t>Approved by: DTC</w:t>
            </w:r>
          </w:p>
        </w:tc>
        <w:tc>
          <w:tcPr>
            <w:tcW w:w="4252" w:type="dxa"/>
            <w:tcBorders>
              <w:bottom w:val="single" w:color="auto" w:sz="4" w:space="0"/>
            </w:tcBorders>
            <w:vAlign w:val="center"/>
          </w:tcPr>
          <w:p w:rsidRPr="001A45D6" w:rsidR="001A45D6" w:rsidP="006F0321" w:rsidRDefault="001A45D6" w14:paraId="640E65A7" w14:textId="573D9E6E">
            <w:pPr>
              <w:rPr>
                <w:lang w:val="en-AU"/>
              </w:rPr>
            </w:pPr>
            <w:r w:rsidRPr="001A45D6">
              <w:rPr>
                <w:lang w:val="en-AU"/>
              </w:rPr>
              <w:t xml:space="preserve">Approval Date: </w:t>
            </w:r>
            <w:r w:rsidR="00260BC8">
              <w:rPr>
                <w:lang w:val="en-AU"/>
              </w:rPr>
              <w:t>APRIL 2021</w:t>
            </w:r>
          </w:p>
        </w:tc>
      </w:tr>
    </w:tbl>
    <w:p w:rsidRPr="00E25790" w:rsidR="00115F48" w:rsidP="006F0321" w:rsidRDefault="00115F48" w14:paraId="25AA0FBD" w14:textId="77777777"/>
    <w:p w:rsidRPr="00E25790" w:rsidR="001A45D6" w:rsidP="006F0321" w:rsidRDefault="001A45D6" w14:paraId="082A9E4E" w14:textId="77777777"/>
    <w:p w:rsidRPr="00E25790" w:rsidR="00115F48" w:rsidP="006F0321" w:rsidRDefault="00115F48" w14:paraId="6607C53D" w14:textId="77777777">
      <w:r w:rsidRPr="00E25790">
        <w:br w:type="page"/>
      </w:r>
    </w:p>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896"/>
      </w:tblGrid>
      <w:tr w:rsidRPr="00E25790" w:rsidR="00115F48" w:rsidTr="00900C7F" w14:paraId="0D5955DC" w14:textId="77777777">
        <w:trPr>
          <w:cantSplit/>
          <w:trHeight w:val="720"/>
        </w:trPr>
        <w:tc>
          <w:tcPr>
            <w:tcW w:w="9049" w:type="dxa"/>
            <w:gridSpan w:val="2"/>
            <w:shd w:val="clear" w:color="auto" w:fill="FF6600"/>
          </w:tcPr>
          <w:p w:rsidRPr="00E25790" w:rsidR="00115F48" w:rsidP="009469DB" w:rsidRDefault="00115F48" w14:paraId="5326AA1F" w14:textId="77777777">
            <w:pPr>
              <w:pStyle w:val="Heading1"/>
            </w:pPr>
            <w:bookmarkStart w:name="_Toc495481085" w:id="129"/>
            <w:bookmarkStart w:name="_Toc495481211" w:id="130"/>
            <w:bookmarkStart w:name="_Toc495481336" w:id="131"/>
            <w:bookmarkStart w:name="_Toc495501517" w:id="132"/>
            <w:bookmarkStart w:name="_Toc38106820" w:id="133"/>
            <w:bookmarkStart w:name="_Toc75339947" w:id="134"/>
            <w:r w:rsidRPr="00E25790">
              <w:lastRenderedPageBreak/>
              <w:t>Ceftazidime</w:t>
            </w:r>
            <w:bookmarkEnd w:id="129"/>
            <w:bookmarkEnd w:id="130"/>
            <w:bookmarkEnd w:id="131"/>
            <w:bookmarkEnd w:id="132"/>
            <w:r w:rsidRPr="00E25790">
              <w:t xml:space="preserve"> penthydrate</w:t>
            </w:r>
            <w:bookmarkEnd w:id="133"/>
            <w:bookmarkEnd w:id="134"/>
            <w:r w:rsidRPr="00E25790">
              <w:fldChar w:fldCharType="begin"/>
            </w:r>
            <w:r w:rsidRPr="00E25790">
              <w:instrText>tc "Ceftazidime" \l 0</w:instrText>
            </w:r>
            <w:r w:rsidRPr="00E25790">
              <w:fldChar w:fldCharType="end"/>
            </w:r>
          </w:p>
        </w:tc>
      </w:tr>
      <w:tr w:rsidRPr="00E25790" w:rsidR="00115F48" w:rsidTr="00900C7F" w14:paraId="45C89946" w14:textId="77777777">
        <w:trPr>
          <w:cantSplit/>
          <w:trHeight w:val="480"/>
        </w:trPr>
        <w:tc>
          <w:tcPr>
            <w:tcW w:w="4153" w:type="dxa"/>
            <w:shd w:val="clear" w:color="auto" w:fill="FF6600"/>
          </w:tcPr>
          <w:p w:rsidRPr="00E25790" w:rsidR="00115F48" w:rsidP="006F0321" w:rsidRDefault="00115F48" w14:paraId="373F904B" w14:textId="02891C11">
            <w:r w:rsidRPr="00E25790">
              <w:t xml:space="preserve">Revision Date : </w:t>
            </w:r>
            <w:r w:rsidR="000D1E13">
              <w:t>1</w:t>
            </w:r>
            <w:r w:rsidR="00683597">
              <w:t>8</w:t>
            </w:r>
            <w:r w:rsidR="000D1E13">
              <w:t>/</w:t>
            </w:r>
            <w:r w:rsidR="00683597">
              <w:t>6</w:t>
            </w:r>
            <w:r w:rsidR="000D1E13">
              <w:t>/20</w:t>
            </w:r>
            <w:r w:rsidR="000A79F3">
              <w:t>2</w:t>
            </w:r>
            <w:r w:rsidR="00683597">
              <w:t>1</w:t>
            </w:r>
          </w:p>
        </w:tc>
        <w:tc>
          <w:tcPr>
            <w:tcW w:w="4896" w:type="dxa"/>
            <w:shd w:val="clear" w:color="auto" w:fill="FF6600"/>
          </w:tcPr>
          <w:p w:rsidRPr="00E25790" w:rsidR="00115F48" w:rsidP="006F0321" w:rsidRDefault="00115F48" w14:paraId="1C8F7001" w14:textId="33805050">
            <w:r w:rsidRPr="00E25790">
              <w:t xml:space="preserve">Approved : </w:t>
            </w:r>
            <w:r w:rsidR="000D1E13">
              <w:t>TC,KOH</w:t>
            </w:r>
          </w:p>
        </w:tc>
      </w:tr>
    </w:tbl>
    <w:p w:rsidRPr="00E25790" w:rsidR="00115F48" w:rsidP="006F0321" w:rsidRDefault="00115F48" w14:paraId="3BACF423" w14:textId="77777777"/>
    <w:tbl>
      <w:tblPr>
        <w:tblW w:w="565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408"/>
        <w:gridCol w:w="8793"/>
      </w:tblGrid>
      <w:tr w:rsidRPr="003B78EA" w:rsidR="00BF2978" w:rsidTr="00204576" w14:paraId="53E19D8C" w14:textId="77777777">
        <w:trPr>
          <w:trHeight w:val="261"/>
        </w:trPr>
        <w:tc>
          <w:tcPr>
            <w:tcW w:w="690" w:type="pct"/>
          </w:tcPr>
          <w:p w:rsidRPr="003B78EA" w:rsidR="00BF2978" w:rsidP="00131848" w:rsidRDefault="00BF2978" w14:paraId="0DBB592D"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310" w:type="pct"/>
          </w:tcPr>
          <w:p w:rsidRPr="003B78EA" w:rsidR="00BF2978" w:rsidP="00131848" w:rsidRDefault="00BF2978" w14:paraId="6758C745" w14:textId="77777777">
            <w:pPr>
              <w:pStyle w:val="BodyText"/>
              <w:rPr>
                <w:rFonts w:asciiTheme="minorHAnsi" w:hAnsiTheme="minorHAnsi" w:cstheme="minorHAnsi"/>
                <w:sz w:val="20"/>
              </w:rPr>
            </w:pPr>
            <w:r>
              <w:rPr>
                <w:sz w:val="20"/>
              </w:rPr>
              <w:t xml:space="preserve">High risk medicine. </w:t>
            </w:r>
            <w:r w:rsidRPr="00037B37">
              <w:rPr>
                <w:sz w:val="20"/>
              </w:rPr>
              <w:t>The Antimicrobial Stewardship Team recommends this drug is listed under the following category: Restricted.</w:t>
            </w:r>
          </w:p>
        </w:tc>
      </w:tr>
      <w:tr w:rsidRPr="003B78EA" w:rsidR="00BF2978" w:rsidTr="00204576" w14:paraId="6B72922C" w14:textId="77777777">
        <w:trPr>
          <w:trHeight w:val="261"/>
        </w:trPr>
        <w:tc>
          <w:tcPr>
            <w:tcW w:w="690" w:type="pct"/>
          </w:tcPr>
          <w:p w:rsidRPr="003B78EA" w:rsidR="00BF2978" w:rsidP="00131848" w:rsidRDefault="00BF2978" w14:paraId="1165EAE4"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310" w:type="pct"/>
          </w:tcPr>
          <w:p w:rsidRPr="003B78EA" w:rsidR="00BF2978" w:rsidP="00131848" w:rsidRDefault="00BF2978" w14:paraId="0DF0D6F1" w14:textId="77777777">
            <w:pPr>
              <w:rPr>
                <w:rFonts w:asciiTheme="minorHAnsi" w:hAnsiTheme="minorHAnsi" w:cstheme="minorHAnsi"/>
                <w:sz w:val="20"/>
              </w:rPr>
            </w:pPr>
            <w:r>
              <w:rPr>
                <w:sz w:val="20"/>
              </w:rPr>
              <w:t>Treatment of m</w:t>
            </w:r>
            <w:r w:rsidRPr="005F4C48">
              <w:rPr>
                <w:sz w:val="20"/>
              </w:rPr>
              <w:t xml:space="preserve">eningitis and sepsis caused by susceptible gram-negative organisms (especially </w:t>
            </w:r>
            <w:r w:rsidRPr="0099222C">
              <w:rPr>
                <w:i/>
                <w:sz w:val="20"/>
              </w:rPr>
              <w:t>Pseudomonas aeruginosa</w:t>
            </w:r>
            <w:r w:rsidRPr="005F4C48">
              <w:rPr>
                <w:sz w:val="20"/>
              </w:rPr>
              <w:t>) and susceptible gram-positive organisms.</w:t>
            </w:r>
          </w:p>
        </w:tc>
      </w:tr>
      <w:tr w:rsidRPr="003B78EA" w:rsidR="00BF2978" w:rsidTr="00204576" w14:paraId="3071A741" w14:textId="77777777">
        <w:trPr>
          <w:trHeight w:val="261"/>
        </w:trPr>
        <w:tc>
          <w:tcPr>
            <w:tcW w:w="690" w:type="pct"/>
          </w:tcPr>
          <w:p w:rsidRPr="003B78EA" w:rsidR="00BF2978" w:rsidP="00131848" w:rsidRDefault="00BF2978" w14:paraId="255E8BC9"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310" w:type="pct"/>
          </w:tcPr>
          <w:p w:rsidRPr="003B78EA" w:rsidR="00BF2978" w:rsidP="00131848" w:rsidRDefault="00BF2978" w14:paraId="372563C7" w14:textId="77777777">
            <w:pPr>
              <w:rPr>
                <w:rFonts w:asciiTheme="minorHAnsi" w:hAnsiTheme="minorHAnsi" w:cstheme="minorHAnsi"/>
                <w:sz w:val="20"/>
              </w:rPr>
            </w:pPr>
            <w:r w:rsidRPr="005F4C48">
              <w:rPr>
                <w:sz w:val="20"/>
              </w:rPr>
              <w:t>Bactericidal agent which inhibits cell wall synthesis in susceptible bacteria.</w:t>
            </w:r>
          </w:p>
        </w:tc>
      </w:tr>
      <w:tr w:rsidRPr="003B78EA" w:rsidR="00BF2978" w:rsidTr="00204576" w14:paraId="5243366A" w14:textId="77777777">
        <w:trPr>
          <w:trHeight w:val="261"/>
        </w:trPr>
        <w:tc>
          <w:tcPr>
            <w:tcW w:w="690" w:type="pct"/>
          </w:tcPr>
          <w:p w:rsidRPr="003B78EA" w:rsidR="00BF2978" w:rsidP="00131848" w:rsidRDefault="00BF2978" w14:paraId="132A39EA"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310" w:type="pct"/>
          </w:tcPr>
          <w:p w:rsidRPr="003B78EA" w:rsidR="00BF2978" w:rsidP="00131848" w:rsidRDefault="00BF2978" w14:paraId="55FC7C8E" w14:textId="77777777">
            <w:pPr>
              <w:pStyle w:val="BodyText"/>
              <w:rPr>
                <w:rFonts w:asciiTheme="minorHAnsi" w:hAnsiTheme="minorHAnsi" w:cstheme="minorHAnsi"/>
                <w:sz w:val="20"/>
              </w:rPr>
            </w:pPr>
            <w:r w:rsidRPr="00037B37">
              <w:rPr>
                <w:sz w:val="20"/>
              </w:rPr>
              <w:t xml:space="preserve">Cephalosporin antibiotic. </w:t>
            </w:r>
          </w:p>
        </w:tc>
      </w:tr>
      <w:tr w:rsidRPr="003B78EA" w:rsidR="00BF2978" w:rsidTr="00204576" w14:paraId="0596DF24" w14:textId="77777777">
        <w:trPr>
          <w:trHeight w:val="261"/>
        </w:trPr>
        <w:tc>
          <w:tcPr>
            <w:tcW w:w="690" w:type="pct"/>
          </w:tcPr>
          <w:p w:rsidRPr="003B78EA" w:rsidR="00BF2978" w:rsidP="00131848" w:rsidRDefault="00BF2978" w14:paraId="778B70BF"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310" w:type="pct"/>
          </w:tcPr>
          <w:p w:rsidRPr="003B78EA" w:rsidR="00BF2978" w:rsidP="00131848" w:rsidRDefault="00BF2978" w14:paraId="3B715356" w14:textId="77777777">
            <w:pPr>
              <w:pStyle w:val="BodyText"/>
              <w:rPr>
                <w:rFonts w:asciiTheme="minorHAnsi" w:hAnsiTheme="minorHAnsi" w:cstheme="minorHAnsi"/>
                <w:sz w:val="20"/>
              </w:rPr>
            </w:pPr>
            <w:r w:rsidRPr="00037B37">
              <w:rPr>
                <w:sz w:val="20"/>
              </w:rPr>
              <w:t xml:space="preserve">Ceftazidime Alphapharm, Ceftazidime Aspen, </w:t>
            </w:r>
            <w:r>
              <w:rPr>
                <w:sz w:val="20"/>
              </w:rPr>
              <w:t xml:space="preserve">Ceftazidime Juno </w:t>
            </w:r>
            <w:r w:rsidRPr="00037B37">
              <w:rPr>
                <w:sz w:val="20"/>
              </w:rPr>
              <w:t>Ceftazidime Sandoz, Fortum, Hospira Ceftazidime.</w:t>
            </w:r>
          </w:p>
        </w:tc>
      </w:tr>
      <w:tr w:rsidRPr="003B78EA" w:rsidR="00BF2978" w:rsidTr="00204576" w14:paraId="73F26AA0" w14:textId="77777777">
        <w:trPr>
          <w:trHeight w:val="261"/>
        </w:trPr>
        <w:tc>
          <w:tcPr>
            <w:tcW w:w="690" w:type="pct"/>
          </w:tcPr>
          <w:p w:rsidRPr="003B78EA" w:rsidR="00BF2978" w:rsidP="00131848" w:rsidRDefault="00BF2978" w14:paraId="07FB13D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310" w:type="pct"/>
          </w:tcPr>
          <w:p w:rsidRPr="003B78EA" w:rsidR="00BF2978" w:rsidP="00131848" w:rsidRDefault="00BF2978" w14:paraId="4634D594" w14:textId="77777777">
            <w:pPr>
              <w:pStyle w:val="BodyText"/>
              <w:ind w:left="34"/>
              <w:rPr>
                <w:rFonts w:asciiTheme="minorHAnsi" w:hAnsiTheme="minorHAnsi" w:cstheme="minorHAnsi"/>
                <w:sz w:val="20"/>
              </w:rPr>
            </w:pPr>
            <w:r w:rsidRPr="00037B37">
              <w:rPr>
                <w:rFonts w:cs="Arial"/>
                <w:sz w:val="20"/>
              </w:rPr>
              <w:t>1 g</w:t>
            </w:r>
            <w:r>
              <w:rPr>
                <w:rFonts w:cs="Arial"/>
                <w:sz w:val="20"/>
              </w:rPr>
              <w:t xml:space="preserve"> and 2 g </w:t>
            </w:r>
            <w:r w:rsidRPr="00037B37">
              <w:rPr>
                <w:rFonts w:cs="Arial"/>
                <w:sz w:val="20"/>
              </w:rPr>
              <w:t>vial</w:t>
            </w:r>
          </w:p>
        </w:tc>
      </w:tr>
      <w:tr w:rsidRPr="003B78EA" w:rsidR="00BF2978" w:rsidTr="00204576" w14:paraId="6DE6EF85" w14:textId="77777777">
        <w:trPr>
          <w:trHeight w:val="261"/>
        </w:trPr>
        <w:tc>
          <w:tcPr>
            <w:tcW w:w="690" w:type="pct"/>
          </w:tcPr>
          <w:p w:rsidRPr="003B78EA" w:rsidR="00BF2978" w:rsidP="00131848" w:rsidRDefault="00BF2978" w14:paraId="35F1707D"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310" w:type="pct"/>
          </w:tcPr>
          <w:p w:rsidR="00BF2978" w:rsidP="00131848" w:rsidRDefault="00BF2978" w14:paraId="0A7548B3" w14:textId="77777777">
            <w:pPr>
              <w:pStyle w:val="BodyText"/>
              <w:rPr>
                <w:rFonts w:cs="Arial"/>
                <w:b/>
                <w:sz w:val="20"/>
              </w:rPr>
            </w:pPr>
            <w:r w:rsidRPr="00037B37">
              <w:rPr>
                <w:rFonts w:cs="Arial"/>
                <w:b/>
                <w:sz w:val="20"/>
              </w:rPr>
              <w:t xml:space="preserve">50 mg/kg/dose </w:t>
            </w:r>
          </w:p>
          <w:p w:rsidRPr="00037B37" w:rsidR="00BF2978" w:rsidP="00131848" w:rsidRDefault="00BF2978" w14:paraId="5072B3F9" w14:textId="77777777">
            <w:pPr>
              <w:pStyle w:val="BodyText"/>
              <w:rPr>
                <w:rFonts w:cs="Arial"/>
                <w:b/>
                <w:sz w:val="20"/>
              </w:rPr>
            </w:pPr>
          </w:p>
          <w:tbl>
            <w:tblPr>
              <w:tblW w:w="6737" w:type="dxa"/>
              <w:tblInd w:w="4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44"/>
              <w:gridCol w:w="1418"/>
              <w:gridCol w:w="1175"/>
            </w:tblGrid>
            <w:tr w:rsidRPr="005F4C48" w:rsidR="00BF2978" w:rsidTr="00131848" w14:paraId="7EA816F3" w14:textId="77777777">
              <w:trPr>
                <w:trHeight w:val="245"/>
              </w:trPr>
              <w:tc>
                <w:tcPr>
                  <w:tcW w:w="4144" w:type="dxa"/>
                  <w:vAlign w:val="center"/>
                </w:tcPr>
                <w:p w:rsidRPr="00037B37" w:rsidR="00BF2978" w:rsidP="00131848" w:rsidRDefault="00BF2978" w14:paraId="5B6F3318" w14:textId="77777777">
                  <w:pPr>
                    <w:pStyle w:val="BodyText"/>
                    <w:jc w:val="center"/>
                    <w:rPr>
                      <w:rFonts w:cs="Arial"/>
                      <w:b/>
                      <w:sz w:val="20"/>
                    </w:rPr>
                  </w:pPr>
                  <w:r w:rsidRPr="00037B37">
                    <w:rPr>
                      <w:rFonts w:cs="Arial"/>
                      <w:b/>
                      <w:sz w:val="20"/>
                    </w:rPr>
                    <w:t>Corrected Gestational Age/Postmenstrual Age</w:t>
                  </w:r>
                </w:p>
              </w:tc>
              <w:tc>
                <w:tcPr>
                  <w:tcW w:w="1418" w:type="dxa"/>
                  <w:vAlign w:val="center"/>
                </w:tcPr>
                <w:p w:rsidRPr="00037B37" w:rsidR="00BF2978" w:rsidP="00131848" w:rsidRDefault="00BF2978" w14:paraId="5407FF2D" w14:textId="77777777">
                  <w:pPr>
                    <w:pStyle w:val="BodyText"/>
                    <w:jc w:val="center"/>
                    <w:rPr>
                      <w:rFonts w:cs="Arial"/>
                      <w:b/>
                      <w:sz w:val="20"/>
                    </w:rPr>
                  </w:pPr>
                  <w:r w:rsidRPr="00037B37">
                    <w:rPr>
                      <w:rFonts w:cs="Arial"/>
                      <w:b/>
                      <w:sz w:val="20"/>
                    </w:rPr>
                    <w:t xml:space="preserve">Postnatal Age </w:t>
                  </w:r>
                </w:p>
              </w:tc>
              <w:tc>
                <w:tcPr>
                  <w:tcW w:w="1175" w:type="dxa"/>
                  <w:vAlign w:val="center"/>
                </w:tcPr>
                <w:p w:rsidRPr="00037B37" w:rsidR="00BF2978" w:rsidP="00131848" w:rsidRDefault="00BF2978" w14:paraId="51D54AEC" w14:textId="77777777">
                  <w:pPr>
                    <w:pStyle w:val="BodyText"/>
                    <w:jc w:val="center"/>
                    <w:rPr>
                      <w:rFonts w:cs="Arial"/>
                      <w:b/>
                      <w:sz w:val="20"/>
                    </w:rPr>
                  </w:pPr>
                  <w:r w:rsidRPr="00037B37">
                    <w:rPr>
                      <w:rFonts w:cs="Arial"/>
                      <w:b/>
                      <w:sz w:val="20"/>
                    </w:rPr>
                    <w:t>Interval</w:t>
                  </w:r>
                </w:p>
              </w:tc>
            </w:tr>
            <w:tr w:rsidRPr="005F4C48" w:rsidR="00BF2978" w:rsidTr="00131848" w14:paraId="74044CAF" w14:textId="77777777">
              <w:trPr>
                <w:trHeight w:val="268"/>
              </w:trPr>
              <w:tc>
                <w:tcPr>
                  <w:tcW w:w="4144" w:type="dxa"/>
                </w:tcPr>
                <w:p w:rsidRPr="00037B37" w:rsidR="00BF2978" w:rsidP="00131848" w:rsidRDefault="00BF2978" w14:paraId="1185529B" w14:textId="77777777">
                  <w:pPr>
                    <w:pStyle w:val="BodyText"/>
                    <w:rPr>
                      <w:rFonts w:cs="Arial"/>
                      <w:sz w:val="22"/>
                      <w:szCs w:val="22"/>
                    </w:rPr>
                  </w:pPr>
                  <w:r w:rsidRPr="00037B37">
                    <w:rPr>
                      <w:sz w:val="22"/>
                      <w:szCs w:val="22"/>
                    </w:rPr>
                    <w:t>&lt; 30</w:t>
                  </w:r>
                  <w:r w:rsidRPr="00037B37">
                    <w:rPr>
                      <w:sz w:val="22"/>
                      <w:szCs w:val="22"/>
                      <w:vertAlign w:val="superscript"/>
                    </w:rPr>
                    <w:t>+0</w:t>
                  </w:r>
                  <w:r w:rsidRPr="00037B37">
                    <w:rPr>
                      <w:sz w:val="22"/>
                      <w:szCs w:val="22"/>
                    </w:rPr>
                    <w:t xml:space="preserve"> weeks  </w:t>
                  </w:r>
                </w:p>
              </w:tc>
              <w:tc>
                <w:tcPr>
                  <w:tcW w:w="1418" w:type="dxa"/>
                </w:tcPr>
                <w:p w:rsidRPr="00037B37" w:rsidR="00BF2978" w:rsidP="00131848" w:rsidRDefault="00BF2978" w14:paraId="42BEAE32" w14:textId="77777777">
                  <w:pPr>
                    <w:pStyle w:val="BodyText"/>
                    <w:rPr>
                      <w:rFonts w:cs="Arial"/>
                      <w:sz w:val="20"/>
                    </w:rPr>
                  </w:pPr>
                  <w:r w:rsidRPr="00037B37">
                    <w:rPr>
                      <w:sz w:val="20"/>
                    </w:rPr>
                    <w:t xml:space="preserve">0─28 days </w:t>
                  </w:r>
                </w:p>
              </w:tc>
              <w:tc>
                <w:tcPr>
                  <w:tcW w:w="1175" w:type="dxa"/>
                </w:tcPr>
                <w:p w:rsidRPr="00037B37" w:rsidR="00BF2978" w:rsidP="00131848" w:rsidRDefault="00BF2978" w14:paraId="282D7C3F" w14:textId="77777777">
                  <w:pPr>
                    <w:pStyle w:val="BodyText"/>
                    <w:rPr>
                      <w:rFonts w:cs="Arial"/>
                      <w:sz w:val="20"/>
                    </w:rPr>
                  </w:pPr>
                  <w:r w:rsidRPr="00037B37">
                    <w:rPr>
                      <w:sz w:val="20"/>
                    </w:rPr>
                    <w:t>12 hourly</w:t>
                  </w:r>
                </w:p>
              </w:tc>
            </w:tr>
            <w:tr w:rsidRPr="005F4C48" w:rsidR="00BF2978" w:rsidTr="00131848" w14:paraId="42D3371B" w14:textId="77777777">
              <w:trPr>
                <w:trHeight w:val="253"/>
              </w:trPr>
              <w:tc>
                <w:tcPr>
                  <w:tcW w:w="4144" w:type="dxa"/>
                </w:tcPr>
                <w:p w:rsidRPr="00037B37" w:rsidR="00BF2978" w:rsidP="00131848" w:rsidRDefault="00BF2978" w14:paraId="63FEC092" w14:textId="77777777">
                  <w:pPr>
                    <w:pStyle w:val="BodyText"/>
                    <w:rPr>
                      <w:rFonts w:cs="Arial"/>
                      <w:sz w:val="22"/>
                      <w:szCs w:val="22"/>
                    </w:rPr>
                  </w:pPr>
                  <w:r w:rsidRPr="00037B37">
                    <w:rPr>
                      <w:sz w:val="22"/>
                      <w:szCs w:val="22"/>
                    </w:rPr>
                    <w:t>&lt; 30</w:t>
                  </w:r>
                  <w:r w:rsidRPr="00037B37">
                    <w:rPr>
                      <w:sz w:val="22"/>
                      <w:szCs w:val="22"/>
                      <w:vertAlign w:val="superscript"/>
                    </w:rPr>
                    <w:t>+0</w:t>
                  </w:r>
                  <w:r w:rsidRPr="00037B37">
                    <w:rPr>
                      <w:sz w:val="22"/>
                      <w:szCs w:val="22"/>
                    </w:rPr>
                    <w:t xml:space="preserve"> weeks  </w:t>
                  </w:r>
                </w:p>
              </w:tc>
              <w:tc>
                <w:tcPr>
                  <w:tcW w:w="1418" w:type="dxa"/>
                </w:tcPr>
                <w:p w:rsidRPr="00037B37" w:rsidR="00BF2978" w:rsidP="00131848" w:rsidRDefault="00BF2978" w14:paraId="3F2E8990" w14:textId="77777777">
                  <w:pPr>
                    <w:pStyle w:val="BodyText"/>
                    <w:rPr>
                      <w:rFonts w:cs="Arial"/>
                      <w:sz w:val="20"/>
                    </w:rPr>
                  </w:pPr>
                  <w:r w:rsidRPr="00037B37">
                    <w:rPr>
                      <w:sz w:val="20"/>
                    </w:rPr>
                    <w:t>29+ days</w:t>
                  </w:r>
                </w:p>
              </w:tc>
              <w:tc>
                <w:tcPr>
                  <w:tcW w:w="1175" w:type="dxa"/>
                </w:tcPr>
                <w:p w:rsidRPr="00037B37" w:rsidR="00BF2978" w:rsidP="00131848" w:rsidRDefault="00BF2978" w14:paraId="7760420F" w14:textId="77777777">
                  <w:pPr>
                    <w:pStyle w:val="BodyText"/>
                    <w:rPr>
                      <w:rFonts w:cs="Arial"/>
                      <w:sz w:val="20"/>
                    </w:rPr>
                  </w:pPr>
                  <w:r w:rsidRPr="00037B37">
                    <w:rPr>
                      <w:sz w:val="20"/>
                    </w:rPr>
                    <w:t>8 hourly</w:t>
                  </w:r>
                </w:p>
              </w:tc>
            </w:tr>
            <w:tr w:rsidRPr="005F4C48" w:rsidR="00BF2978" w:rsidTr="00131848" w14:paraId="7D4846B1" w14:textId="77777777">
              <w:trPr>
                <w:trHeight w:val="268"/>
              </w:trPr>
              <w:tc>
                <w:tcPr>
                  <w:tcW w:w="4144" w:type="dxa"/>
                </w:tcPr>
                <w:p w:rsidRPr="00037B37" w:rsidR="00BF2978" w:rsidP="00131848" w:rsidRDefault="00BF2978" w14:paraId="3BF5D1D0" w14:textId="77777777">
                  <w:pPr>
                    <w:pStyle w:val="BodyText"/>
                    <w:rPr>
                      <w:rFonts w:cs="Arial"/>
                      <w:sz w:val="22"/>
                      <w:szCs w:val="22"/>
                    </w:rPr>
                  </w:pPr>
                  <w:r w:rsidRPr="00037B37">
                    <w:rPr>
                      <w:sz w:val="22"/>
                      <w:szCs w:val="22"/>
                    </w:rPr>
                    <w:t>30</w:t>
                  </w:r>
                  <w:r w:rsidRPr="00037B37">
                    <w:rPr>
                      <w:sz w:val="22"/>
                      <w:szCs w:val="22"/>
                      <w:vertAlign w:val="superscript"/>
                    </w:rPr>
                    <w:t>+0</w:t>
                  </w:r>
                  <w:r w:rsidRPr="00037B37">
                    <w:rPr>
                      <w:sz w:val="22"/>
                      <w:szCs w:val="22"/>
                    </w:rPr>
                    <w:t>─36</w:t>
                  </w:r>
                  <w:r w:rsidRPr="00037B37">
                    <w:rPr>
                      <w:sz w:val="22"/>
                      <w:szCs w:val="22"/>
                      <w:vertAlign w:val="superscript"/>
                    </w:rPr>
                    <w:t>+6</w:t>
                  </w:r>
                  <w:r w:rsidRPr="00037B37">
                    <w:rPr>
                      <w:sz w:val="22"/>
                      <w:szCs w:val="22"/>
                    </w:rPr>
                    <w:t xml:space="preserve"> weeks  </w:t>
                  </w:r>
                </w:p>
              </w:tc>
              <w:tc>
                <w:tcPr>
                  <w:tcW w:w="1418" w:type="dxa"/>
                </w:tcPr>
                <w:p w:rsidRPr="00037B37" w:rsidR="00BF2978" w:rsidP="00131848" w:rsidRDefault="00BF2978" w14:paraId="607EEB95" w14:textId="77777777">
                  <w:pPr>
                    <w:pStyle w:val="BodyText"/>
                    <w:rPr>
                      <w:rFonts w:cs="Arial"/>
                      <w:sz w:val="20"/>
                    </w:rPr>
                  </w:pPr>
                  <w:r w:rsidRPr="00037B37">
                    <w:rPr>
                      <w:sz w:val="20"/>
                    </w:rPr>
                    <w:t>0─14 days</w:t>
                  </w:r>
                </w:p>
              </w:tc>
              <w:tc>
                <w:tcPr>
                  <w:tcW w:w="1175" w:type="dxa"/>
                </w:tcPr>
                <w:p w:rsidRPr="005F4C48" w:rsidR="00BF2978" w:rsidP="00131848" w:rsidRDefault="00BF2978" w14:paraId="002096DD" w14:textId="77777777">
                  <w:pPr>
                    <w:rPr>
                      <w:sz w:val="20"/>
                    </w:rPr>
                  </w:pPr>
                  <w:r w:rsidRPr="005F4C48">
                    <w:rPr>
                      <w:sz w:val="20"/>
                    </w:rPr>
                    <w:t>12 hourly</w:t>
                  </w:r>
                </w:p>
              </w:tc>
            </w:tr>
            <w:tr w:rsidRPr="005F4C48" w:rsidR="00BF2978" w:rsidTr="00131848" w14:paraId="2364EB26" w14:textId="77777777">
              <w:trPr>
                <w:trHeight w:val="253"/>
              </w:trPr>
              <w:tc>
                <w:tcPr>
                  <w:tcW w:w="4144" w:type="dxa"/>
                </w:tcPr>
                <w:p w:rsidRPr="00037B37" w:rsidR="00BF2978" w:rsidP="00131848" w:rsidRDefault="00BF2978" w14:paraId="58CCED29" w14:textId="77777777">
                  <w:pPr>
                    <w:pStyle w:val="BodyText"/>
                    <w:rPr>
                      <w:rFonts w:cs="Arial"/>
                      <w:sz w:val="22"/>
                      <w:szCs w:val="22"/>
                    </w:rPr>
                  </w:pPr>
                  <w:r w:rsidRPr="00037B37">
                    <w:rPr>
                      <w:sz w:val="22"/>
                      <w:szCs w:val="22"/>
                    </w:rPr>
                    <w:t>30</w:t>
                  </w:r>
                  <w:r w:rsidRPr="00037B37">
                    <w:rPr>
                      <w:sz w:val="22"/>
                      <w:szCs w:val="22"/>
                      <w:vertAlign w:val="superscript"/>
                    </w:rPr>
                    <w:t>+0</w:t>
                  </w:r>
                  <w:r w:rsidRPr="00037B37">
                    <w:rPr>
                      <w:sz w:val="22"/>
                      <w:szCs w:val="22"/>
                    </w:rPr>
                    <w:t>─36</w:t>
                  </w:r>
                  <w:r w:rsidRPr="00037B37">
                    <w:rPr>
                      <w:sz w:val="22"/>
                      <w:szCs w:val="22"/>
                      <w:vertAlign w:val="superscript"/>
                    </w:rPr>
                    <w:t>+6</w:t>
                  </w:r>
                  <w:r w:rsidRPr="00037B37">
                    <w:rPr>
                      <w:sz w:val="22"/>
                      <w:szCs w:val="22"/>
                    </w:rPr>
                    <w:t xml:space="preserve"> weeks </w:t>
                  </w:r>
                </w:p>
              </w:tc>
              <w:tc>
                <w:tcPr>
                  <w:tcW w:w="1418" w:type="dxa"/>
                </w:tcPr>
                <w:p w:rsidRPr="00037B37" w:rsidR="00BF2978" w:rsidP="00131848" w:rsidRDefault="00BF2978" w14:paraId="48B325AC" w14:textId="77777777">
                  <w:pPr>
                    <w:pStyle w:val="BodyText"/>
                    <w:rPr>
                      <w:rFonts w:cs="Arial"/>
                      <w:sz w:val="20"/>
                    </w:rPr>
                  </w:pPr>
                  <w:r w:rsidRPr="00037B37">
                    <w:rPr>
                      <w:sz w:val="20"/>
                    </w:rPr>
                    <w:t>15+ days</w:t>
                  </w:r>
                </w:p>
              </w:tc>
              <w:tc>
                <w:tcPr>
                  <w:tcW w:w="1175" w:type="dxa"/>
                </w:tcPr>
                <w:p w:rsidRPr="00037B37" w:rsidR="00BF2978" w:rsidP="00131848" w:rsidRDefault="00BF2978" w14:paraId="1BB900EB" w14:textId="77777777">
                  <w:pPr>
                    <w:pStyle w:val="BodyText"/>
                    <w:rPr>
                      <w:rFonts w:cs="Arial"/>
                      <w:sz w:val="20"/>
                    </w:rPr>
                  </w:pPr>
                  <w:r w:rsidRPr="00037B37">
                    <w:rPr>
                      <w:sz w:val="20"/>
                    </w:rPr>
                    <w:t>8 hourly</w:t>
                  </w:r>
                </w:p>
              </w:tc>
            </w:tr>
            <w:tr w:rsidRPr="005F4C48" w:rsidR="00BF2978" w:rsidTr="00131848" w14:paraId="5A5B9634" w14:textId="77777777">
              <w:trPr>
                <w:trHeight w:val="268"/>
              </w:trPr>
              <w:tc>
                <w:tcPr>
                  <w:tcW w:w="4144" w:type="dxa"/>
                </w:tcPr>
                <w:p w:rsidRPr="00037B37" w:rsidR="00BF2978" w:rsidP="00131848" w:rsidRDefault="00BF2978" w14:paraId="719DD7FC" w14:textId="77777777">
                  <w:pPr>
                    <w:pStyle w:val="BodyText"/>
                    <w:rPr>
                      <w:sz w:val="22"/>
                      <w:szCs w:val="22"/>
                    </w:rPr>
                  </w:pPr>
                  <w:r w:rsidRPr="00037B37">
                    <w:rPr>
                      <w:sz w:val="22"/>
                      <w:szCs w:val="22"/>
                    </w:rPr>
                    <w:t>37</w:t>
                  </w:r>
                  <w:r w:rsidRPr="00037B37">
                    <w:rPr>
                      <w:sz w:val="22"/>
                      <w:szCs w:val="22"/>
                      <w:vertAlign w:val="superscript"/>
                    </w:rPr>
                    <w:t>+0</w:t>
                  </w:r>
                  <w:r w:rsidRPr="00037B37">
                    <w:rPr>
                      <w:sz w:val="22"/>
                      <w:szCs w:val="22"/>
                    </w:rPr>
                    <w:t>─44</w:t>
                  </w:r>
                  <w:r w:rsidRPr="00037B37">
                    <w:rPr>
                      <w:sz w:val="22"/>
                      <w:szCs w:val="22"/>
                      <w:vertAlign w:val="superscript"/>
                    </w:rPr>
                    <w:t>+6</w:t>
                  </w:r>
                  <w:r w:rsidRPr="00037B37">
                    <w:rPr>
                      <w:sz w:val="22"/>
                      <w:szCs w:val="22"/>
                    </w:rPr>
                    <w:t xml:space="preserve"> weeks</w:t>
                  </w:r>
                </w:p>
              </w:tc>
              <w:tc>
                <w:tcPr>
                  <w:tcW w:w="1418" w:type="dxa"/>
                </w:tcPr>
                <w:p w:rsidRPr="00037B37" w:rsidR="00BF2978" w:rsidP="00131848" w:rsidRDefault="00BF2978" w14:paraId="4F73CDD1" w14:textId="77777777">
                  <w:pPr>
                    <w:pStyle w:val="BodyText"/>
                    <w:rPr>
                      <w:sz w:val="20"/>
                    </w:rPr>
                  </w:pPr>
                  <w:r w:rsidRPr="00037B37">
                    <w:rPr>
                      <w:sz w:val="20"/>
                    </w:rPr>
                    <w:t>0─7 days</w:t>
                  </w:r>
                </w:p>
              </w:tc>
              <w:tc>
                <w:tcPr>
                  <w:tcW w:w="1175" w:type="dxa"/>
                </w:tcPr>
                <w:p w:rsidRPr="00037B37" w:rsidR="00BF2978" w:rsidP="00131848" w:rsidRDefault="00BF2978" w14:paraId="28AB9ABA" w14:textId="77777777">
                  <w:pPr>
                    <w:pStyle w:val="BodyText"/>
                    <w:rPr>
                      <w:sz w:val="20"/>
                    </w:rPr>
                  </w:pPr>
                  <w:r w:rsidRPr="00037B37">
                    <w:rPr>
                      <w:sz w:val="20"/>
                    </w:rPr>
                    <w:t>12 hourly</w:t>
                  </w:r>
                </w:p>
              </w:tc>
            </w:tr>
            <w:tr w:rsidRPr="005F4C48" w:rsidR="00BF2978" w:rsidTr="00131848" w14:paraId="6CF46911" w14:textId="77777777">
              <w:trPr>
                <w:trHeight w:val="268"/>
              </w:trPr>
              <w:tc>
                <w:tcPr>
                  <w:tcW w:w="4144" w:type="dxa"/>
                </w:tcPr>
                <w:p w:rsidRPr="00037B37" w:rsidR="00BF2978" w:rsidP="00131848" w:rsidRDefault="00BF2978" w14:paraId="069E316B" w14:textId="77777777">
                  <w:pPr>
                    <w:pStyle w:val="BodyText"/>
                    <w:rPr>
                      <w:sz w:val="22"/>
                      <w:szCs w:val="22"/>
                    </w:rPr>
                  </w:pPr>
                  <w:r w:rsidRPr="00037B37">
                    <w:rPr>
                      <w:sz w:val="22"/>
                      <w:szCs w:val="22"/>
                    </w:rPr>
                    <w:t>37</w:t>
                  </w:r>
                  <w:r w:rsidRPr="00037B37">
                    <w:rPr>
                      <w:sz w:val="22"/>
                      <w:szCs w:val="22"/>
                      <w:vertAlign w:val="superscript"/>
                    </w:rPr>
                    <w:t>+0</w:t>
                  </w:r>
                  <w:r w:rsidRPr="00037B37">
                    <w:rPr>
                      <w:sz w:val="22"/>
                      <w:szCs w:val="22"/>
                    </w:rPr>
                    <w:t>─44</w:t>
                  </w:r>
                  <w:r w:rsidRPr="00037B37">
                    <w:rPr>
                      <w:sz w:val="22"/>
                      <w:szCs w:val="22"/>
                      <w:vertAlign w:val="superscript"/>
                    </w:rPr>
                    <w:t>+6</w:t>
                  </w:r>
                  <w:r w:rsidRPr="00037B37">
                    <w:rPr>
                      <w:sz w:val="22"/>
                      <w:szCs w:val="22"/>
                    </w:rPr>
                    <w:t xml:space="preserve"> weeks </w:t>
                  </w:r>
                </w:p>
              </w:tc>
              <w:tc>
                <w:tcPr>
                  <w:tcW w:w="1418" w:type="dxa"/>
                </w:tcPr>
                <w:p w:rsidRPr="00037B37" w:rsidR="00BF2978" w:rsidP="00131848" w:rsidRDefault="00BF2978" w14:paraId="7DDA9841" w14:textId="77777777">
                  <w:pPr>
                    <w:pStyle w:val="BodyText"/>
                    <w:rPr>
                      <w:sz w:val="20"/>
                    </w:rPr>
                  </w:pPr>
                  <w:r w:rsidRPr="00037B37">
                    <w:rPr>
                      <w:sz w:val="20"/>
                    </w:rPr>
                    <w:t>8+ days</w:t>
                  </w:r>
                </w:p>
              </w:tc>
              <w:tc>
                <w:tcPr>
                  <w:tcW w:w="1175" w:type="dxa"/>
                </w:tcPr>
                <w:p w:rsidRPr="00037B37" w:rsidR="00BF2978" w:rsidP="00131848" w:rsidRDefault="00BF2978" w14:paraId="460FF345" w14:textId="77777777">
                  <w:pPr>
                    <w:pStyle w:val="BodyText"/>
                    <w:rPr>
                      <w:sz w:val="20"/>
                    </w:rPr>
                  </w:pPr>
                  <w:r w:rsidRPr="00037B37">
                    <w:rPr>
                      <w:sz w:val="20"/>
                    </w:rPr>
                    <w:t>8 hourly</w:t>
                  </w:r>
                </w:p>
              </w:tc>
            </w:tr>
            <w:tr w:rsidRPr="005F4C48" w:rsidR="00BF2978" w:rsidTr="00131848" w14:paraId="00C4D7EB" w14:textId="77777777">
              <w:trPr>
                <w:trHeight w:val="223"/>
              </w:trPr>
              <w:tc>
                <w:tcPr>
                  <w:tcW w:w="4144" w:type="dxa"/>
                </w:tcPr>
                <w:p w:rsidRPr="00037B37" w:rsidR="00BF2978" w:rsidP="00131848" w:rsidRDefault="00BF2978" w14:paraId="776FAA8E" w14:textId="77777777">
                  <w:pPr>
                    <w:pStyle w:val="BodyText"/>
                    <w:rPr>
                      <w:sz w:val="20"/>
                    </w:rPr>
                  </w:pPr>
                  <w:r w:rsidRPr="00037B37">
                    <w:rPr>
                      <w:sz w:val="20"/>
                    </w:rPr>
                    <w:t xml:space="preserve">≥ 45 weeks </w:t>
                  </w:r>
                </w:p>
              </w:tc>
              <w:tc>
                <w:tcPr>
                  <w:tcW w:w="1418" w:type="dxa"/>
                </w:tcPr>
                <w:p w:rsidRPr="00037B37" w:rsidR="00BF2978" w:rsidP="00131848" w:rsidRDefault="00BF2978" w14:paraId="11EF13AF" w14:textId="77777777">
                  <w:pPr>
                    <w:pStyle w:val="BodyText"/>
                    <w:rPr>
                      <w:sz w:val="20"/>
                    </w:rPr>
                  </w:pPr>
                  <w:r w:rsidRPr="00037B37">
                    <w:rPr>
                      <w:sz w:val="20"/>
                    </w:rPr>
                    <w:t>0+</w:t>
                  </w:r>
                  <w:r>
                    <w:rPr>
                      <w:sz w:val="20"/>
                    </w:rPr>
                    <w:t xml:space="preserve"> days</w:t>
                  </w:r>
                </w:p>
              </w:tc>
              <w:tc>
                <w:tcPr>
                  <w:tcW w:w="1175" w:type="dxa"/>
                </w:tcPr>
                <w:p w:rsidRPr="00037B37" w:rsidR="00BF2978" w:rsidP="00131848" w:rsidRDefault="00BF2978" w14:paraId="1BD2CB10" w14:textId="77777777">
                  <w:pPr>
                    <w:pStyle w:val="BodyText"/>
                    <w:rPr>
                      <w:sz w:val="20"/>
                    </w:rPr>
                  </w:pPr>
                  <w:r w:rsidRPr="00037B37">
                    <w:rPr>
                      <w:sz w:val="20"/>
                    </w:rPr>
                    <w:t>8 hourly</w:t>
                  </w:r>
                </w:p>
              </w:tc>
            </w:tr>
          </w:tbl>
          <w:p w:rsidR="00BF2978" w:rsidP="00131848" w:rsidRDefault="00BF2978" w14:paraId="1A9C0134" w14:textId="77777777">
            <w:pPr>
              <w:pStyle w:val="BodyText"/>
              <w:ind w:left="720" w:hanging="720"/>
              <w:rPr>
                <w:rFonts w:asciiTheme="minorHAnsi" w:hAnsiTheme="minorHAnsi" w:cstheme="minorHAnsi"/>
                <w:sz w:val="20"/>
              </w:rPr>
            </w:pPr>
          </w:p>
        </w:tc>
      </w:tr>
      <w:tr w:rsidRPr="003B78EA" w:rsidR="00BF2978" w:rsidTr="00204576" w14:paraId="23F80901" w14:textId="77777777">
        <w:trPr>
          <w:trHeight w:val="261"/>
        </w:trPr>
        <w:tc>
          <w:tcPr>
            <w:tcW w:w="690" w:type="pct"/>
          </w:tcPr>
          <w:p w:rsidRPr="003B78EA" w:rsidR="00BF2978" w:rsidP="00131848" w:rsidRDefault="00BF2978" w14:paraId="4F7FBF88"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310" w:type="pct"/>
          </w:tcPr>
          <w:p w:rsidRPr="003B78EA" w:rsidR="00BF2978" w:rsidP="00131848" w:rsidRDefault="00BF2978" w14:paraId="72E3B086" w14:textId="77777777">
            <w:pPr>
              <w:pStyle w:val="BodyText"/>
              <w:rPr>
                <w:rFonts w:asciiTheme="minorHAnsi" w:hAnsiTheme="minorHAnsi" w:cstheme="minorHAnsi"/>
                <w:sz w:val="20"/>
              </w:rPr>
            </w:pPr>
            <w:r w:rsidRPr="00037B37">
              <w:rPr>
                <w:sz w:val="20"/>
              </w:rPr>
              <w:t>Renal impairment: Consider increasing dosage interval in those with significant renal impairment.</w:t>
            </w:r>
          </w:p>
        </w:tc>
      </w:tr>
      <w:tr w:rsidRPr="003B78EA" w:rsidR="00BF2978" w:rsidTr="00204576" w14:paraId="7E0DF318" w14:textId="77777777">
        <w:trPr>
          <w:trHeight w:val="261"/>
        </w:trPr>
        <w:tc>
          <w:tcPr>
            <w:tcW w:w="690" w:type="pct"/>
          </w:tcPr>
          <w:p w:rsidRPr="003B78EA" w:rsidR="00BF2978" w:rsidP="00131848" w:rsidRDefault="00BF2978" w14:paraId="7D7E3CCF"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310" w:type="pct"/>
          </w:tcPr>
          <w:p w:rsidRPr="003B78EA" w:rsidR="00BF2978" w:rsidP="00131848" w:rsidRDefault="00BF2978" w14:paraId="6EEFBC0B" w14:textId="77777777">
            <w:pPr>
              <w:pStyle w:val="BodyText"/>
              <w:rPr>
                <w:rFonts w:asciiTheme="minorHAnsi" w:hAnsiTheme="minorHAnsi" w:cstheme="minorHAnsi"/>
                <w:sz w:val="20"/>
              </w:rPr>
            </w:pPr>
            <w:r>
              <w:rPr>
                <w:sz w:val="20"/>
              </w:rPr>
              <w:t>150mg/kg/day</w:t>
            </w:r>
          </w:p>
        </w:tc>
      </w:tr>
      <w:tr w:rsidRPr="003B78EA" w:rsidR="00BF2978" w:rsidTr="00204576" w14:paraId="4B90DADE" w14:textId="77777777">
        <w:trPr>
          <w:trHeight w:val="261"/>
        </w:trPr>
        <w:tc>
          <w:tcPr>
            <w:tcW w:w="690" w:type="pct"/>
          </w:tcPr>
          <w:p w:rsidRPr="003B78EA" w:rsidR="00BF2978" w:rsidP="00131848" w:rsidRDefault="00BF2978" w14:paraId="7833DEB8"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310" w:type="pct"/>
          </w:tcPr>
          <w:p w:rsidRPr="003B78EA" w:rsidR="00BF2978" w:rsidP="00131848" w:rsidRDefault="00BF2978" w14:paraId="78F4348C" w14:textId="77777777">
            <w:pPr>
              <w:pStyle w:val="BodyText"/>
              <w:rPr>
                <w:rFonts w:asciiTheme="minorHAnsi" w:hAnsiTheme="minorHAnsi" w:cstheme="minorHAnsi"/>
                <w:b/>
                <w:sz w:val="20"/>
              </w:rPr>
            </w:pPr>
          </w:p>
        </w:tc>
      </w:tr>
      <w:tr w:rsidRPr="003B78EA" w:rsidR="00BF2978" w:rsidTr="00204576" w14:paraId="4E0AF573" w14:textId="77777777">
        <w:trPr>
          <w:trHeight w:val="261"/>
        </w:trPr>
        <w:tc>
          <w:tcPr>
            <w:tcW w:w="690" w:type="pct"/>
          </w:tcPr>
          <w:p w:rsidRPr="003B78EA" w:rsidR="00BF2978" w:rsidP="00131848" w:rsidRDefault="00BF2978" w14:paraId="0F2941CE"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310" w:type="pct"/>
          </w:tcPr>
          <w:p w:rsidRPr="003B78EA" w:rsidR="00BF2978" w:rsidP="00131848" w:rsidRDefault="00BF2978" w14:paraId="3CCE366E" w14:textId="77777777">
            <w:pPr>
              <w:pStyle w:val="BodyText"/>
              <w:rPr>
                <w:rFonts w:asciiTheme="minorHAnsi" w:hAnsiTheme="minorHAnsi" w:cstheme="minorHAnsi"/>
                <w:sz w:val="20"/>
              </w:rPr>
            </w:pPr>
            <w:r w:rsidRPr="00037B37">
              <w:rPr>
                <w:rFonts w:cs="Arial"/>
                <w:sz w:val="20"/>
              </w:rPr>
              <w:t>IV</w:t>
            </w:r>
            <w:r>
              <w:rPr>
                <w:rFonts w:cs="Arial"/>
                <w:sz w:val="20"/>
              </w:rPr>
              <w:t xml:space="preserve">, </w:t>
            </w:r>
            <w:r w:rsidRPr="00037B37">
              <w:rPr>
                <w:rFonts w:cs="Arial"/>
                <w:sz w:val="20"/>
              </w:rPr>
              <w:t>IM</w:t>
            </w:r>
          </w:p>
        </w:tc>
      </w:tr>
      <w:tr w:rsidRPr="003B78EA" w:rsidR="00BF2978" w:rsidTr="00204576" w14:paraId="778B0F3B" w14:textId="77777777">
        <w:trPr>
          <w:trHeight w:val="261"/>
        </w:trPr>
        <w:tc>
          <w:tcPr>
            <w:tcW w:w="690" w:type="pct"/>
          </w:tcPr>
          <w:p w:rsidRPr="003B78EA" w:rsidR="00BF2978" w:rsidP="00131848" w:rsidRDefault="00BF2978" w14:paraId="15770E4D"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310" w:type="pct"/>
          </w:tcPr>
          <w:tbl>
            <w:tblPr>
              <w:tblW w:w="69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6975"/>
            </w:tblGrid>
            <w:tr w:rsidRPr="00037B37" w:rsidR="00BF2978" w:rsidTr="00BF2978" w14:paraId="4C4C820B" w14:textId="77777777">
              <w:trPr>
                <w:trHeight w:val="499"/>
              </w:trPr>
              <w:tc>
                <w:tcPr>
                  <w:tcW w:w="6975" w:type="dxa"/>
                </w:tcPr>
                <w:p w:rsidRPr="00037B37" w:rsidR="00BF2978" w:rsidP="00131848" w:rsidRDefault="00BF2978" w14:paraId="136C6B6E" w14:textId="77777777">
                  <w:pPr>
                    <w:pStyle w:val="BodyText"/>
                    <w:rPr>
                      <w:b/>
                      <w:sz w:val="20"/>
                    </w:rPr>
                  </w:pPr>
                  <w:r w:rsidRPr="00037B37">
                    <w:rPr>
                      <w:b/>
                      <w:sz w:val="20"/>
                    </w:rPr>
                    <w:t xml:space="preserve">IV </w:t>
                  </w:r>
                  <w:r>
                    <w:rPr>
                      <w:b/>
                      <w:sz w:val="20"/>
                    </w:rPr>
                    <w:t>bolus</w:t>
                  </w:r>
                </w:p>
                <w:p w:rsidR="00BF2978" w:rsidP="00131848" w:rsidRDefault="00BF2978" w14:paraId="41620B11" w14:textId="77777777">
                  <w:pPr>
                    <w:pStyle w:val="BodyText"/>
                    <w:rPr>
                      <w:sz w:val="20"/>
                    </w:rPr>
                  </w:pPr>
                  <w:r>
                    <w:rPr>
                      <w:sz w:val="20"/>
                    </w:rPr>
                    <w:t xml:space="preserve">1 g vial: </w:t>
                  </w:r>
                  <w:r w:rsidRPr="00037B37">
                    <w:rPr>
                      <w:sz w:val="20"/>
                    </w:rPr>
                    <w:t xml:space="preserve">Add 8.9 mL of water for injection to the 1 g </w:t>
                  </w:r>
                  <w:r>
                    <w:rPr>
                      <w:sz w:val="20"/>
                    </w:rPr>
                    <w:t>vial</w:t>
                  </w:r>
                  <w:r w:rsidRPr="00037B37">
                    <w:rPr>
                      <w:sz w:val="20"/>
                    </w:rPr>
                    <w:t xml:space="preserve"> to make a 100 mg/mL solution.</w:t>
                  </w:r>
                  <w:r>
                    <w:rPr>
                      <w:sz w:val="20"/>
                    </w:rPr>
                    <w:t xml:space="preserve"> OR</w:t>
                  </w:r>
                </w:p>
                <w:p w:rsidRPr="00037B37" w:rsidR="00BF2978" w:rsidP="00131848" w:rsidRDefault="00BF2978" w14:paraId="694F562D" w14:textId="77777777">
                  <w:pPr>
                    <w:pStyle w:val="BodyText"/>
                    <w:rPr>
                      <w:sz w:val="20"/>
                    </w:rPr>
                  </w:pPr>
                  <w:r>
                    <w:rPr>
                      <w:sz w:val="20"/>
                    </w:rPr>
                    <w:t>2 g vial: Add 8.2 mL of water for injection to the 2 g vial to make a 200mg/mL solution. Draw up 10 mL and add a further 10 mL water for injection in a 20 mL syringe to make 100 mg/mL solution.</w:t>
                  </w:r>
                </w:p>
                <w:p w:rsidR="00BF2978" w:rsidP="00131848" w:rsidRDefault="00BF2978" w14:paraId="23A9F5BC" w14:textId="77777777">
                  <w:pPr>
                    <w:pStyle w:val="BodyText"/>
                    <w:rPr>
                      <w:sz w:val="20"/>
                    </w:rPr>
                  </w:pPr>
                </w:p>
                <w:p w:rsidR="00BF2978" w:rsidP="00131848" w:rsidRDefault="00BF2978" w14:paraId="4A44EAAA" w14:textId="77777777">
                  <w:pPr>
                    <w:pStyle w:val="BodyText"/>
                    <w:rPr>
                      <w:sz w:val="20"/>
                    </w:rPr>
                  </w:pPr>
                  <w:r>
                    <w:rPr>
                      <w:sz w:val="20"/>
                    </w:rPr>
                    <w:t>IV Infusion</w:t>
                  </w:r>
                </w:p>
                <w:p w:rsidRPr="0067462B" w:rsidR="00BF2978" w:rsidP="00131848" w:rsidRDefault="00BF2978" w14:paraId="50EB4C88" w14:textId="77777777">
                  <w:pPr>
                    <w:widowControl w:val="0"/>
                    <w:autoSpaceDE w:val="0"/>
                    <w:autoSpaceDN w:val="0"/>
                    <w:adjustRightInd w:val="0"/>
                    <w:rPr>
                      <w:color w:val="000000"/>
                      <w:sz w:val="20"/>
                      <w:lang w:val="en-US"/>
                    </w:rPr>
                  </w:pPr>
                  <w:r>
                    <w:rPr>
                      <w:color w:val="000000"/>
                      <w:sz w:val="20"/>
                      <w:lang w:val="en-US"/>
                    </w:rPr>
                    <w:t>Add 8.9</w:t>
                  </w:r>
                  <w:r w:rsidRPr="0067462B">
                    <w:rPr>
                      <w:color w:val="000000"/>
                      <w:sz w:val="20"/>
                      <w:lang w:val="en-US"/>
                    </w:rPr>
                    <w:t xml:space="preserve"> mL water for injection to the 1 g vial to make 100 mg/mL solution</w:t>
                  </w:r>
                  <w:r>
                    <w:rPr>
                      <w:color w:val="000000"/>
                      <w:sz w:val="20"/>
                      <w:lang w:val="en-US"/>
                    </w:rPr>
                    <w:t xml:space="preserve"> OR Add 8.2 mL of water for injection to the 2g vial to make 200 mg/mL</w:t>
                  </w:r>
                </w:p>
                <w:p w:rsidRPr="0067462B" w:rsidR="00BF2978" w:rsidP="00131848" w:rsidRDefault="00BF2978" w14:paraId="6DE3CFE6" w14:textId="77777777">
                  <w:pPr>
                    <w:widowControl w:val="0"/>
                    <w:autoSpaceDE w:val="0"/>
                    <w:autoSpaceDN w:val="0"/>
                    <w:adjustRightInd w:val="0"/>
                    <w:rPr>
                      <w:b/>
                      <w:color w:val="000000"/>
                      <w:sz w:val="20"/>
                      <w:lang w:val="en-US"/>
                    </w:rPr>
                  </w:pPr>
                  <w:r w:rsidRPr="0067462B">
                    <w:rPr>
                      <w:b/>
                      <w:color w:val="000000"/>
                      <w:sz w:val="20"/>
                      <w:lang w:val="en-US"/>
                    </w:rPr>
                    <w:t>FURTHER DILUTE</w:t>
                  </w:r>
                </w:p>
                <w:p w:rsidR="00BF2978" w:rsidP="00131848" w:rsidRDefault="00BF2978" w14:paraId="57ABAA3B" w14:textId="77777777">
                  <w:pPr>
                    <w:widowControl w:val="0"/>
                    <w:autoSpaceDE w:val="0"/>
                    <w:autoSpaceDN w:val="0"/>
                    <w:adjustRightInd w:val="0"/>
                    <w:rPr>
                      <w:color w:val="000000"/>
                      <w:sz w:val="20"/>
                      <w:lang w:val="en-US"/>
                    </w:rPr>
                  </w:pPr>
                  <w:r>
                    <w:rPr>
                      <w:color w:val="000000"/>
                      <w:sz w:val="20"/>
                      <w:lang w:val="en-US"/>
                    </w:rPr>
                    <w:t xml:space="preserve">From the 1 g vial </w:t>
                  </w:r>
                  <w:r w:rsidRPr="0067462B">
                    <w:rPr>
                      <w:color w:val="000000"/>
                      <w:sz w:val="20"/>
                      <w:lang w:val="en-US"/>
                    </w:rPr>
                    <w:t xml:space="preserve">Draw up </w:t>
                  </w:r>
                  <w:r>
                    <w:rPr>
                      <w:color w:val="000000"/>
                      <w:sz w:val="20"/>
                      <w:lang w:val="en-US"/>
                    </w:rPr>
                    <w:t>3</w:t>
                  </w:r>
                  <w:r w:rsidRPr="0067462B">
                    <w:rPr>
                      <w:color w:val="000000"/>
                      <w:sz w:val="20"/>
                      <w:lang w:val="en-US"/>
                    </w:rPr>
                    <w:t xml:space="preserve"> </w:t>
                  </w:r>
                  <w:r>
                    <w:rPr>
                      <w:color w:val="000000"/>
                      <w:sz w:val="20"/>
                      <w:lang w:val="en-US"/>
                    </w:rPr>
                    <w:t>mL (3</w:t>
                  </w:r>
                  <w:r w:rsidRPr="0067462B">
                    <w:rPr>
                      <w:color w:val="000000"/>
                      <w:sz w:val="20"/>
                      <w:lang w:val="en-US"/>
                    </w:rPr>
                    <w:t>00 mg</w:t>
                  </w:r>
                  <w:r>
                    <w:rPr>
                      <w:color w:val="000000"/>
                      <w:sz w:val="20"/>
                      <w:lang w:val="en-US"/>
                    </w:rPr>
                    <w:t xml:space="preserve"> of ceftazidime</w:t>
                  </w:r>
                  <w:r w:rsidRPr="0067462B">
                    <w:rPr>
                      <w:color w:val="000000"/>
                      <w:sz w:val="20"/>
                      <w:lang w:val="en-US"/>
                    </w:rPr>
                    <w:t>) and add</w:t>
                  </w:r>
                  <w:r>
                    <w:rPr>
                      <w:color w:val="000000"/>
                      <w:sz w:val="20"/>
                      <w:lang w:val="en-US"/>
                    </w:rPr>
                    <w:t xml:space="preserve"> 12</w:t>
                  </w:r>
                  <w:r w:rsidRPr="0067462B">
                    <w:rPr>
                      <w:color w:val="000000"/>
                      <w:sz w:val="20"/>
                      <w:lang w:val="en-US"/>
                    </w:rPr>
                    <w:t xml:space="preserve"> mL of sodium chloride 0</w:t>
                  </w:r>
                  <w:r>
                    <w:rPr>
                      <w:color w:val="000000"/>
                      <w:sz w:val="20"/>
                      <w:lang w:val="en-US"/>
                    </w:rPr>
                    <w:t>.9% to make a final volume of 15</w:t>
                  </w:r>
                  <w:r w:rsidRPr="0067462B">
                    <w:rPr>
                      <w:color w:val="000000"/>
                      <w:sz w:val="20"/>
                      <w:lang w:val="en-US"/>
                    </w:rPr>
                    <w:t xml:space="preserve"> mL with a final </w:t>
                  </w:r>
                  <w:r>
                    <w:rPr>
                      <w:color w:val="000000"/>
                      <w:sz w:val="20"/>
                      <w:lang w:val="en-US"/>
                    </w:rPr>
                    <w:t>concentration of 20</w:t>
                  </w:r>
                  <w:r w:rsidRPr="0067462B">
                    <w:rPr>
                      <w:color w:val="000000"/>
                      <w:sz w:val="20"/>
                      <w:lang w:val="en-US"/>
                    </w:rPr>
                    <w:t xml:space="preserve"> mg/mL. </w:t>
                  </w:r>
                </w:p>
                <w:p w:rsidRPr="0067462B" w:rsidR="00BF2978" w:rsidP="00131848" w:rsidRDefault="00BF2978" w14:paraId="6FAE870D" w14:textId="77777777">
                  <w:pPr>
                    <w:widowControl w:val="0"/>
                    <w:autoSpaceDE w:val="0"/>
                    <w:autoSpaceDN w:val="0"/>
                    <w:adjustRightInd w:val="0"/>
                    <w:rPr>
                      <w:color w:val="000000"/>
                      <w:sz w:val="20"/>
                      <w:lang w:val="en-US"/>
                    </w:rPr>
                  </w:pPr>
                  <w:r>
                    <w:rPr>
                      <w:color w:val="000000"/>
                      <w:sz w:val="20"/>
                      <w:lang w:val="en-US"/>
                    </w:rPr>
                    <w:t>From the 2 g vial draw up 1.5mL (300mg of Ceftazidime) and add 13.5mL of sodium chloride 0.9% to make a final volume of 15mL with a final concentration of 20 mg/mL</w:t>
                  </w:r>
                </w:p>
                <w:p w:rsidR="00BF2978" w:rsidP="00131848" w:rsidRDefault="00BF2978" w14:paraId="157FF3F6" w14:textId="77777777">
                  <w:pPr>
                    <w:widowControl w:val="0"/>
                    <w:autoSpaceDE w:val="0"/>
                    <w:autoSpaceDN w:val="0"/>
                    <w:adjustRightInd w:val="0"/>
                    <w:rPr>
                      <w:color w:val="000000"/>
                      <w:sz w:val="20"/>
                      <w:lang w:val="en-US"/>
                    </w:rPr>
                  </w:pPr>
                </w:p>
                <w:p w:rsidRPr="00037B37" w:rsidR="00BF2978" w:rsidP="00131848" w:rsidRDefault="00BF2978" w14:paraId="68BEF01E" w14:textId="77777777">
                  <w:pPr>
                    <w:pStyle w:val="BodyText"/>
                    <w:rPr>
                      <w:sz w:val="20"/>
                    </w:rPr>
                  </w:pPr>
                </w:p>
                <w:p w:rsidRPr="00037B37" w:rsidR="00BF2978" w:rsidP="00131848" w:rsidRDefault="00BF2978" w14:paraId="000EA13E" w14:textId="77777777">
                  <w:pPr>
                    <w:pStyle w:val="BodyText"/>
                    <w:rPr>
                      <w:rFonts w:cs="Arial"/>
                      <w:b/>
                      <w:sz w:val="20"/>
                    </w:rPr>
                  </w:pPr>
                  <w:r w:rsidRPr="00037B37">
                    <w:rPr>
                      <w:b/>
                      <w:sz w:val="20"/>
                    </w:rPr>
                    <w:t>IM injection</w:t>
                  </w:r>
                  <w:r w:rsidRPr="00037B37">
                    <w:rPr>
                      <w:b/>
                      <w:sz w:val="20"/>
                    </w:rPr>
                    <w:br/>
                  </w:r>
                  <w:r w:rsidRPr="00037B37">
                    <w:rPr>
                      <w:rFonts w:cs="Arial"/>
                      <w:sz w:val="20"/>
                    </w:rPr>
                    <w:t>Add 3 mL water for injection to the 1 g powder for reconstitution to make a 260 mg/mL solution.</w:t>
                  </w:r>
                </w:p>
              </w:tc>
            </w:tr>
          </w:tbl>
          <w:p w:rsidRPr="003B78EA" w:rsidR="00BF2978" w:rsidP="00131848" w:rsidRDefault="00BF2978" w14:paraId="2E25B485" w14:textId="77777777">
            <w:pPr>
              <w:pStyle w:val="BodyText"/>
              <w:rPr>
                <w:rFonts w:asciiTheme="minorHAnsi" w:hAnsiTheme="minorHAnsi" w:cstheme="minorHAnsi"/>
                <w:sz w:val="20"/>
              </w:rPr>
            </w:pPr>
          </w:p>
        </w:tc>
      </w:tr>
      <w:tr w:rsidRPr="003B78EA" w:rsidR="00BF2978" w:rsidTr="00204576" w14:paraId="1232B6ED" w14:textId="77777777">
        <w:trPr>
          <w:trHeight w:val="261"/>
        </w:trPr>
        <w:tc>
          <w:tcPr>
            <w:tcW w:w="690" w:type="pct"/>
          </w:tcPr>
          <w:p w:rsidRPr="003B78EA" w:rsidR="00BF2978" w:rsidP="00131848" w:rsidRDefault="00BF2978" w14:paraId="2CD43E20"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Administration</w:t>
            </w:r>
          </w:p>
        </w:tc>
        <w:tc>
          <w:tcPr>
            <w:tcW w:w="4310" w:type="pct"/>
            <w:vAlign w:val="center"/>
          </w:tcPr>
          <w:p w:rsidRPr="00037B37" w:rsidR="00BF2978" w:rsidP="00131848" w:rsidRDefault="00BF2978" w14:paraId="6560167B" w14:textId="77777777">
            <w:pPr>
              <w:pStyle w:val="BodyText"/>
              <w:rPr>
                <w:sz w:val="20"/>
              </w:rPr>
            </w:pPr>
            <w:r w:rsidRPr="00037B37">
              <w:rPr>
                <w:b/>
                <w:sz w:val="20"/>
              </w:rPr>
              <w:t>IV injection</w:t>
            </w:r>
            <w:r w:rsidRPr="00037B37">
              <w:rPr>
                <w:sz w:val="20"/>
              </w:rPr>
              <w:t xml:space="preserve">: </w:t>
            </w:r>
            <w:r>
              <w:rPr>
                <w:sz w:val="20"/>
              </w:rPr>
              <w:t>g</w:t>
            </w:r>
            <w:r w:rsidRPr="00037B37">
              <w:rPr>
                <w:sz w:val="20"/>
              </w:rPr>
              <w:t>ive over at least 3 to 5 minutes.</w:t>
            </w:r>
          </w:p>
          <w:p w:rsidR="00BF2978" w:rsidP="00131848" w:rsidRDefault="00BF2978" w14:paraId="324B6A1D" w14:textId="77777777">
            <w:pPr>
              <w:pStyle w:val="BodyText"/>
              <w:rPr>
                <w:rFonts w:asciiTheme="minorHAnsi" w:hAnsiTheme="minorHAnsi" w:cstheme="minorHAnsi"/>
                <w:sz w:val="20"/>
              </w:rPr>
            </w:pPr>
            <w:r w:rsidRPr="00037B37">
              <w:rPr>
                <w:b/>
                <w:sz w:val="20"/>
              </w:rPr>
              <w:t>IV infusion:</w:t>
            </w:r>
            <w:r w:rsidRPr="00037B37">
              <w:rPr>
                <w:sz w:val="20"/>
              </w:rPr>
              <w:t xml:space="preserve"> </w:t>
            </w:r>
            <w:r>
              <w:rPr>
                <w:sz w:val="20"/>
              </w:rPr>
              <w:t>o</w:t>
            </w:r>
            <w:r w:rsidRPr="00037B37">
              <w:rPr>
                <w:sz w:val="20"/>
              </w:rPr>
              <w:t xml:space="preserve">ver 15─30 minutes </w:t>
            </w:r>
            <w:r w:rsidRPr="00037B37">
              <w:rPr>
                <w:sz w:val="20"/>
              </w:rPr>
              <w:br/>
            </w:r>
            <w:r w:rsidRPr="00037B37">
              <w:rPr>
                <w:b/>
                <w:sz w:val="20"/>
              </w:rPr>
              <w:t>IM injection</w:t>
            </w:r>
            <w:r w:rsidRPr="00037B37">
              <w:rPr>
                <w:sz w:val="20"/>
              </w:rPr>
              <w:t xml:space="preserve">: </w:t>
            </w:r>
            <w:r>
              <w:rPr>
                <w:sz w:val="20"/>
              </w:rPr>
              <w:t>n</w:t>
            </w:r>
            <w:r w:rsidRPr="00037B37">
              <w:rPr>
                <w:sz w:val="20"/>
              </w:rPr>
              <w:t>ot recommended. If IM administration is necessary, reconstitute with lignocaine 1%.</w:t>
            </w:r>
          </w:p>
        </w:tc>
      </w:tr>
      <w:tr w:rsidRPr="003B78EA" w:rsidR="00BF2978" w:rsidTr="00204576" w14:paraId="6958685E" w14:textId="77777777">
        <w:trPr>
          <w:trHeight w:val="261"/>
        </w:trPr>
        <w:tc>
          <w:tcPr>
            <w:tcW w:w="690" w:type="pct"/>
          </w:tcPr>
          <w:p w:rsidRPr="003B78EA" w:rsidR="00BF2978" w:rsidP="00131848" w:rsidRDefault="00BF2978" w14:paraId="3EA05426"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310" w:type="pct"/>
          </w:tcPr>
          <w:p w:rsidRPr="007F4B77" w:rsidR="00BF2978" w:rsidP="00131848" w:rsidRDefault="00BF2978" w14:paraId="27C91C88" w14:textId="77777777">
            <w:pPr>
              <w:pStyle w:val="BodyText"/>
              <w:rPr>
                <w:rFonts w:asciiTheme="minorHAnsi" w:hAnsiTheme="minorHAnsi" w:cstheme="minorHAnsi"/>
                <w:sz w:val="20"/>
              </w:rPr>
            </w:pPr>
            <w:r>
              <w:rPr>
                <w:sz w:val="20"/>
              </w:rPr>
              <w:t>Renal function, liver function.</w:t>
            </w:r>
            <w:r w:rsidRPr="00037B37">
              <w:rPr>
                <w:sz w:val="20"/>
              </w:rPr>
              <w:t xml:space="preserve"> </w:t>
            </w:r>
          </w:p>
        </w:tc>
      </w:tr>
      <w:tr w:rsidRPr="003B78EA" w:rsidR="00BF2978" w:rsidTr="00204576" w14:paraId="33F62AE0" w14:textId="77777777">
        <w:trPr>
          <w:trHeight w:val="261"/>
        </w:trPr>
        <w:tc>
          <w:tcPr>
            <w:tcW w:w="690" w:type="pct"/>
          </w:tcPr>
          <w:p w:rsidRPr="003B78EA" w:rsidR="00BF2978" w:rsidP="00131848" w:rsidRDefault="00BF2978" w14:paraId="7FA8CB9D"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310" w:type="pct"/>
          </w:tcPr>
          <w:p w:rsidRPr="003B78EA" w:rsidR="00BF2978" w:rsidP="00131848" w:rsidRDefault="00BF2978" w14:paraId="099854B4" w14:textId="77777777">
            <w:pPr>
              <w:pStyle w:val="BodyText"/>
              <w:rPr>
                <w:rFonts w:asciiTheme="minorHAnsi" w:hAnsiTheme="minorHAnsi" w:cstheme="minorHAnsi"/>
                <w:sz w:val="20"/>
              </w:rPr>
            </w:pPr>
            <w:r w:rsidRPr="00037B37">
              <w:rPr>
                <w:sz w:val="20"/>
              </w:rPr>
              <w:t>Hypersensitivity to penicillins or cephalosporins.</w:t>
            </w:r>
          </w:p>
        </w:tc>
      </w:tr>
      <w:tr w:rsidRPr="003B78EA" w:rsidR="00BF2978" w:rsidTr="00204576" w14:paraId="574A8FB7" w14:textId="77777777">
        <w:trPr>
          <w:trHeight w:val="261"/>
        </w:trPr>
        <w:tc>
          <w:tcPr>
            <w:tcW w:w="690" w:type="pct"/>
          </w:tcPr>
          <w:p w:rsidRPr="003B78EA" w:rsidR="00BF2978" w:rsidP="00131848" w:rsidRDefault="00BF2978" w14:paraId="05D790AC"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310" w:type="pct"/>
          </w:tcPr>
          <w:p w:rsidRPr="003B78EA" w:rsidR="00BF2978" w:rsidP="00131848" w:rsidRDefault="00BF2978" w14:paraId="39D5B9ED" w14:textId="77777777">
            <w:pPr>
              <w:pStyle w:val="BodyText"/>
              <w:rPr>
                <w:rFonts w:asciiTheme="minorHAnsi" w:hAnsiTheme="minorHAnsi" w:cstheme="minorHAnsi"/>
                <w:sz w:val="20"/>
              </w:rPr>
            </w:pPr>
            <w:r w:rsidRPr="00037B37">
              <w:rPr>
                <w:sz w:val="20"/>
              </w:rPr>
              <w:t>Sodium restriction (each gram contains 52 mg [2.3 mmol] of sodium)..</w:t>
            </w:r>
          </w:p>
        </w:tc>
      </w:tr>
      <w:tr w:rsidRPr="003B78EA" w:rsidR="00BF2978" w:rsidTr="00204576" w14:paraId="1B6C2192" w14:textId="77777777">
        <w:trPr>
          <w:trHeight w:val="261"/>
        </w:trPr>
        <w:tc>
          <w:tcPr>
            <w:tcW w:w="690" w:type="pct"/>
          </w:tcPr>
          <w:p w:rsidRPr="003B78EA" w:rsidR="00BF2978" w:rsidP="00131848" w:rsidRDefault="00BF2978" w14:paraId="6278386B"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310" w:type="pct"/>
          </w:tcPr>
          <w:p w:rsidRPr="003B78EA" w:rsidR="00BF2978" w:rsidP="00131848" w:rsidRDefault="00BF2978" w14:paraId="39195203" w14:textId="77777777">
            <w:pPr>
              <w:pStyle w:val="BodyText"/>
              <w:rPr>
                <w:rFonts w:asciiTheme="minorHAnsi" w:hAnsiTheme="minorHAnsi" w:cstheme="minorHAnsi"/>
                <w:sz w:val="20"/>
              </w:rPr>
            </w:pPr>
            <w:r w:rsidRPr="00037B37">
              <w:rPr>
                <w:sz w:val="20"/>
              </w:rPr>
              <w:t>Concurrent use of high doses with nephrotoxic drugs may adversely affect renal function.</w:t>
            </w:r>
          </w:p>
        </w:tc>
      </w:tr>
      <w:tr w:rsidRPr="003B78EA" w:rsidR="00BF2978" w:rsidTr="00204576" w14:paraId="33B21B0B" w14:textId="77777777">
        <w:trPr>
          <w:trHeight w:val="261"/>
        </w:trPr>
        <w:tc>
          <w:tcPr>
            <w:tcW w:w="690" w:type="pct"/>
          </w:tcPr>
          <w:p w:rsidRPr="003B78EA" w:rsidR="00BF2978" w:rsidP="00131848" w:rsidRDefault="00BF2978" w14:paraId="1E50A7C5"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310" w:type="pct"/>
          </w:tcPr>
          <w:p w:rsidRPr="003B78EA" w:rsidR="00BF2978" w:rsidP="00131848" w:rsidRDefault="00BF2978" w14:paraId="17410038" w14:textId="77777777">
            <w:pPr>
              <w:pStyle w:val="BodyText"/>
              <w:rPr>
                <w:rFonts w:asciiTheme="minorHAnsi" w:hAnsiTheme="minorHAnsi" w:cstheme="minorHAnsi"/>
                <w:sz w:val="20"/>
              </w:rPr>
            </w:pPr>
            <w:r w:rsidRPr="00037B37">
              <w:rPr>
                <w:sz w:val="20"/>
              </w:rPr>
              <w:t>Rash</w:t>
            </w:r>
            <w:r>
              <w:rPr>
                <w:sz w:val="20"/>
              </w:rPr>
              <w:t xml:space="preserve">, </w:t>
            </w:r>
            <w:r w:rsidRPr="00037B37">
              <w:rPr>
                <w:sz w:val="20"/>
              </w:rPr>
              <w:t>Diarrhoea</w:t>
            </w:r>
            <w:r>
              <w:rPr>
                <w:sz w:val="20"/>
              </w:rPr>
              <w:t xml:space="preserve">, </w:t>
            </w:r>
            <w:r w:rsidRPr="00037B37">
              <w:rPr>
                <w:sz w:val="20"/>
              </w:rPr>
              <w:t>Elevated hepatic transaminases</w:t>
            </w:r>
            <w:r w:rsidRPr="00037B37">
              <w:rPr>
                <w:sz w:val="20"/>
              </w:rPr>
              <w:br/>
            </w:r>
            <w:r w:rsidRPr="00037B37">
              <w:rPr>
                <w:sz w:val="20"/>
              </w:rPr>
              <w:t>Eosinophillia, thrombocytopenia, haemolytic anaemia</w:t>
            </w:r>
            <w:r w:rsidRPr="00037B37">
              <w:rPr>
                <w:sz w:val="20"/>
              </w:rPr>
              <w:br/>
            </w:r>
            <w:r w:rsidRPr="00037B37">
              <w:rPr>
                <w:sz w:val="20"/>
              </w:rPr>
              <w:t>Positive Coombs test</w:t>
            </w:r>
            <w:r w:rsidRPr="00037B37">
              <w:rPr>
                <w:sz w:val="20"/>
              </w:rPr>
              <w:br/>
            </w:r>
            <w:r w:rsidRPr="00037B37">
              <w:rPr>
                <w:sz w:val="20"/>
              </w:rPr>
              <w:t xml:space="preserve">Superinfection following prolonged use (esp. </w:t>
            </w:r>
            <w:r w:rsidRPr="00037B37">
              <w:rPr>
                <w:i/>
                <w:sz w:val="20"/>
              </w:rPr>
              <w:t>Candida</w:t>
            </w:r>
            <w:r w:rsidRPr="00037B37">
              <w:rPr>
                <w:sz w:val="20"/>
              </w:rPr>
              <w:t>)</w:t>
            </w:r>
          </w:p>
        </w:tc>
      </w:tr>
      <w:tr w:rsidRPr="003B78EA" w:rsidR="00BF2978" w:rsidTr="00204576" w14:paraId="2C936C03" w14:textId="77777777">
        <w:trPr>
          <w:trHeight w:val="261"/>
        </w:trPr>
        <w:tc>
          <w:tcPr>
            <w:tcW w:w="690" w:type="pct"/>
          </w:tcPr>
          <w:p w:rsidRPr="003B78EA" w:rsidR="00BF2978" w:rsidP="00131848" w:rsidRDefault="00BF2978" w14:paraId="52C43F66"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310" w:type="pct"/>
          </w:tcPr>
          <w:p w:rsidRPr="00204576" w:rsidR="00BF2978" w:rsidP="00131848" w:rsidRDefault="00BF2978" w14:paraId="4DC1140E" w14:textId="77777777">
            <w:pPr>
              <w:pStyle w:val="BodyText"/>
              <w:rPr>
                <w:sz w:val="16"/>
                <w:szCs w:val="16"/>
              </w:rPr>
            </w:pPr>
            <w:r w:rsidRPr="00204576">
              <w:rPr>
                <w:sz w:val="16"/>
                <w:szCs w:val="16"/>
              </w:rPr>
              <w:t>Fluids: Sodium chloride 0.9%, glucose 5%, glucose 10%, Hartmann’s.</w:t>
            </w:r>
          </w:p>
          <w:p w:rsidRPr="00204576" w:rsidR="00BF2978" w:rsidP="00131848" w:rsidRDefault="00BF2978" w14:paraId="032B3B6D" w14:textId="77777777">
            <w:pPr>
              <w:pStyle w:val="BodyText"/>
              <w:rPr>
                <w:rFonts w:asciiTheme="minorHAnsi" w:hAnsiTheme="minorHAnsi" w:cstheme="minorHAnsi"/>
                <w:sz w:val="16"/>
                <w:szCs w:val="16"/>
              </w:rPr>
            </w:pPr>
            <w:r w:rsidRPr="00204576">
              <w:rPr>
                <w:sz w:val="16"/>
                <w:szCs w:val="16"/>
              </w:rPr>
              <w:t>Y-site: Amino acid solutions, aciclovir, anidulafungin, aztreonam, ciprofloxacin, dexmedetomidine, esmolol, ibuprofen lysine, ketamine, labetalol, linezolid, morphine sulfate, sodium valproate, tacrolimus, tigecycline, tobramycin, zidovudine.</w:t>
            </w:r>
          </w:p>
        </w:tc>
      </w:tr>
      <w:tr w:rsidRPr="003B78EA" w:rsidR="00BF2978" w:rsidTr="00204576" w14:paraId="4A2E2CE8" w14:textId="77777777">
        <w:trPr>
          <w:trHeight w:val="261"/>
        </w:trPr>
        <w:tc>
          <w:tcPr>
            <w:tcW w:w="690" w:type="pct"/>
          </w:tcPr>
          <w:p w:rsidRPr="003B78EA" w:rsidR="00BF2978" w:rsidP="00131848" w:rsidRDefault="00BF2978" w14:paraId="2EA37766"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310" w:type="pct"/>
          </w:tcPr>
          <w:p w:rsidRPr="00204576" w:rsidR="00BF2978" w:rsidP="00131848" w:rsidRDefault="00BF2978" w14:paraId="50285966" w14:textId="77777777">
            <w:pPr>
              <w:pStyle w:val="BodyText"/>
              <w:rPr>
                <w:sz w:val="16"/>
                <w:szCs w:val="16"/>
              </w:rPr>
            </w:pPr>
            <w:r w:rsidRPr="00204576">
              <w:rPr>
                <w:sz w:val="16"/>
                <w:szCs w:val="16"/>
              </w:rPr>
              <w:t>Fluids: Sodium bicarbonate.</w:t>
            </w:r>
          </w:p>
          <w:p w:rsidRPr="00204576" w:rsidR="00BF2978" w:rsidP="00131848" w:rsidRDefault="00BF2978" w14:paraId="36FA73A0" w14:textId="77777777">
            <w:pPr>
              <w:pStyle w:val="BodyText"/>
              <w:rPr>
                <w:sz w:val="16"/>
                <w:szCs w:val="16"/>
              </w:rPr>
            </w:pPr>
          </w:p>
          <w:p w:rsidRPr="00204576" w:rsidR="00BF2978" w:rsidP="00131848" w:rsidRDefault="00BF2978" w14:paraId="4132853C" w14:textId="77777777">
            <w:pPr>
              <w:pStyle w:val="BodyText"/>
              <w:rPr>
                <w:rFonts w:asciiTheme="minorHAnsi" w:hAnsiTheme="minorHAnsi" w:cstheme="minorHAnsi"/>
                <w:sz w:val="16"/>
                <w:szCs w:val="16"/>
              </w:rPr>
            </w:pPr>
            <w:r w:rsidRPr="00204576">
              <w:rPr>
                <w:sz w:val="16"/>
                <w:szCs w:val="16"/>
              </w:rPr>
              <w:t>Y-site: Acetylcysteine, aminoglycosides – amikacin, gentamicin, tobramycin; amiodarone, atracurium, azathioprine, azithromycin, calcium chloride, caspofungin, chloramphenicol, chlorpromazine, dobutamine, erythromycin, fluconazole, ganciclovir, hydralazine, midazolam, pentamidine, phenytoin, promethazine, protamine, sodium ascorbate, sodium nitroprusside, vancomycin, verapamil.</w:t>
            </w:r>
          </w:p>
        </w:tc>
      </w:tr>
      <w:tr w:rsidRPr="003B78EA" w:rsidR="00BF2978" w:rsidTr="00204576" w14:paraId="372A3A58" w14:textId="77777777">
        <w:trPr>
          <w:trHeight w:val="261"/>
        </w:trPr>
        <w:tc>
          <w:tcPr>
            <w:tcW w:w="690" w:type="pct"/>
          </w:tcPr>
          <w:p w:rsidRPr="003B78EA" w:rsidR="00BF2978" w:rsidP="00131848" w:rsidRDefault="00BF2978" w14:paraId="687D9F83"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310" w:type="pct"/>
          </w:tcPr>
          <w:p w:rsidRPr="003B78EA" w:rsidR="00BF2978" w:rsidP="00131848" w:rsidRDefault="00BF2978" w14:paraId="365D5F9F" w14:textId="77777777">
            <w:pPr>
              <w:pStyle w:val="BodyText"/>
              <w:rPr>
                <w:rFonts w:asciiTheme="minorHAnsi" w:hAnsiTheme="minorHAnsi" w:cstheme="minorHAnsi"/>
                <w:sz w:val="20"/>
              </w:rPr>
            </w:pPr>
            <w:r w:rsidRPr="00037B37">
              <w:rPr>
                <w:sz w:val="20"/>
              </w:rPr>
              <w:t>Reconstitution with water for injection: Solution stable for 12 hours below 25°C and 24 hours at 2 to 8°C.</w:t>
            </w:r>
            <w:r w:rsidRPr="00037B37">
              <w:rPr>
                <w:sz w:val="20"/>
              </w:rPr>
              <w:br/>
            </w:r>
            <w:r w:rsidRPr="00037B37">
              <w:rPr>
                <w:sz w:val="20"/>
              </w:rPr>
              <w:t>Reconstitution with lignocaine: Stable for 6 hours below 25°C and 24 hours at 2 to 8°C.</w:t>
            </w:r>
          </w:p>
        </w:tc>
      </w:tr>
      <w:tr w:rsidRPr="003B78EA" w:rsidR="00BF2978" w:rsidTr="00204576" w14:paraId="53A738F7" w14:textId="77777777">
        <w:trPr>
          <w:trHeight w:val="261"/>
        </w:trPr>
        <w:tc>
          <w:tcPr>
            <w:tcW w:w="690" w:type="pct"/>
          </w:tcPr>
          <w:p w:rsidRPr="003B78EA" w:rsidR="00BF2978" w:rsidP="00131848" w:rsidRDefault="00BF2978" w14:paraId="6A0D04CD"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310" w:type="pct"/>
          </w:tcPr>
          <w:p w:rsidRPr="003B78EA" w:rsidR="00BF2978" w:rsidP="00131848" w:rsidRDefault="00BF2978" w14:paraId="107E2D94" w14:textId="77777777">
            <w:pPr>
              <w:pStyle w:val="BodyText"/>
              <w:rPr>
                <w:rFonts w:asciiTheme="minorHAnsi" w:hAnsiTheme="minorHAnsi" w:cstheme="minorHAnsi"/>
                <w:sz w:val="20"/>
              </w:rPr>
            </w:pPr>
            <w:r w:rsidRPr="00037B37">
              <w:rPr>
                <w:sz w:val="20"/>
              </w:rPr>
              <w:t xml:space="preserve">Store </w:t>
            </w:r>
            <w:r>
              <w:rPr>
                <w:sz w:val="20"/>
              </w:rPr>
              <w:t xml:space="preserve">vial </w:t>
            </w:r>
            <w:r w:rsidRPr="00037B37">
              <w:rPr>
                <w:sz w:val="20"/>
              </w:rPr>
              <w:t>below 25°C. Protect from light.</w:t>
            </w:r>
          </w:p>
        </w:tc>
      </w:tr>
      <w:tr w:rsidRPr="003B78EA" w:rsidR="00BF2978" w:rsidTr="00204576" w14:paraId="4EFA7B5D" w14:textId="77777777">
        <w:trPr>
          <w:trHeight w:val="261"/>
        </w:trPr>
        <w:tc>
          <w:tcPr>
            <w:tcW w:w="690" w:type="pct"/>
          </w:tcPr>
          <w:p w:rsidRPr="003B78EA" w:rsidR="00BF2978" w:rsidP="00131848" w:rsidRDefault="00BF2978" w14:paraId="51415065"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310" w:type="pct"/>
          </w:tcPr>
          <w:p w:rsidRPr="003B78EA" w:rsidR="00BF2978" w:rsidP="00131848" w:rsidRDefault="00BF2978" w14:paraId="51B60569" w14:textId="77777777">
            <w:pPr>
              <w:pStyle w:val="BodyText"/>
              <w:rPr>
                <w:rFonts w:asciiTheme="minorHAnsi" w:hAnsiTheme="minorHAnsi" w:cstheme="minorHAnsi"/>
                <w:sz w:val="20"/>
              </w:rPr>
            </w:pPr>
            <w:r>
              <w:rPr>
                <w:rFonts w:asciiTheme="minorHAnsi" w:hAnsiTheme="minorHAnsi" w:cstheme="minorHAnsi"/>
                <w:sz w:val="20"/>
              </w:rPr>
              <w:t xml:space="preserve">Sodium carbonate </w:t>
            </w:r>
          </w:p>
        </w:tc>
      </w:tr>
      <w:tr w:rsidRPr="003B78EA" w:rsidR="00BF2978" w:rsidTr="00204576" w14:paraId="344F55C0" w14:textId="77777777">
        <w:trPr>
          <w:trHeight w:val="261"/>
        </w:trPr>
        <w:tc>
          <w:tcPr>
            <w:tcW w:w="690" w:type="pct"/>
          </w:tcPr>
          <w:p w:rsidRPr="003B78EA" w:rsidR="00BF2978" w:rsidP="00131848" w:rsidRDefault="00BF2978" w14:paraId="7A5B800A"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310" w:type="pct"/>
          </w:tcPr>
          <w:p w:rsidRPr="003B78EA" w:rsidR="00BF2978" w:rsidP="00131848" w:rsidRDefault="00BF2978" w14:paraId="234BF6FF" w14:textId="77777777">
            <w:pPr>
              <w:pStyle w:val="BodyText"/>
              <w:rPr>
                <w:rFonts w:asciiTheme="minorHAnsi" w:hAnsiTheme="minorHAnsi" w:cstheme="minorHAnsi"/>
                <w:sz w:val="20"/>
              </w:rPr>
            </w:pPr>
          </w:p>
        </w:tc>
      </w:tr>
      <w:tr w:rsidRPr="003B78EA" w:rsidR="00BF2978" w:rsidTr="00204576" w14:paraId="70385111" w14:textId="77777777">
        <w:trPr>
          <w:trHeight w:val="261"/>
        </w:trPr>
        <w:tc>
          <w:tcPr>
            <w:tcW w:w="690" w:type="pct"/>
          </w:tcPr>
          <w:p w:rsidRPr="003B78EA" w:rsidR="00BF2978" w:rsidP="00131848" w:rsidRDefault="00BF2978" w14:paraId="62997AAB"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310" w:type="pct"/>
          </w:tcPr>
          <w:p w:rsidRPr="003B78EA" w:rsidR="00BF2978" w:rsidP="00131848" w:rsidRDefault="00BF2978" w14:paraId="3503DCBF" w14:textId="77777777">
            <w:pPr>
              <w:pStyle w:val="BodyText"/>
              <w:tabs>
                <w:tab w:val="left" w:pos="1168"/>
              </w:tabs>
              <w:rPr>
                <w:rFonts w:asciiTheme="minorHAnsi" w:hAnsiTheme="minorHAnsi" w:cstheme="minorHAnsi"/>
                <w:sz w:val="20"/>
              </w:rPr>
            </w:pPr>
            <w:r w:rsidRPr="00037B37">
              <w:rPr>
                <w:rFonts w:cs="Arial"/>
                <w:sz w:val="20"/>
                <w:highlight w:val="yellow"/>
              </w:rPr>
              <w:t>To be updated.</w:t>
            </w:r>
          </w:p>
        </w:tc>
      </w:tr>
      <w:tr w:rsidRPr="003B78EA" w:rsidR="00BF2978" w:rsidTr="00204576" w14:paraId="45FD1F0F" w14:textId="77777777">
        <w:trPr>
          <w:trHeight w:val="261"/>
        </w:trPr>
        <w:tc>
          <w:tcPr>
            <w:tcW w:w="690" w:type="pct"/>
          </w:tcPr>
          <w:p w:rsidRPr="003B78EA" w:rsidR="00BF2978" w:rsidP="00131848" w:rsidRDefault="00BF2978" w14:paraId="3B8AF688"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4310" w:type="pct"/>
          </w:tcPr>
          <w:p w:rsidRPr="003B78EA" w:rsidR="00BF2978" w:rsidP="00131848" w:rsidRDefault="00BF2978" w14:paraId="5D2094E6" w14:textId="77777777">
            <w:pPr>
              <w:pStyle w:val="BodyText"/>
              <w:tabs>
                <w:tab w:val="left" w:pos="1168"/>
              </w:tabs>
              <w:rPr>
                <w:rFonts w:asciiTheme="minorHAnsi" w:hAnsiTheme="minorHAnsi" w:cstheme="minorHAnsi"/>
                <w:sz w:val="20"/>
              </w:rPr>
            </w:pPr>
          </w:p>
        </w:tc>
      </w:tr>
      <w:tr w:rsidRPr="003B78EA" w:rsidR="00BF2978" w:rsidTr="00204576" w14:paraId="6E2F3CDC" w14:textId="77777777">
        <w:trPr>
          <w:trHeight w:val="261"/>
        </w:trPr>
        <w:tc>
          <w:tcPr>
            <w:tcW w:w="690" w:type="pct"/>
          </w:tcPr>
          <w:p w:rsidRPr="003B78EA" w:rsidR="00BF2978" w:rsidP="00131848" w:rsidRDefault="00BF2978" w14:paraId="1A9D64AF"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310" w:type="pct"/>
          </w:tcPr>
          <w:p w:rsidRPr="00BF2978" w:rsidR="00BF2978" w:rsidP="00131848" w:rsidRDefault="00BF2978" w14:paraId="232C4612" w14:textId="77777777">
            <w:pPr>
              <w:rPr>
                <w:sz w:val="16"/>
                <w:szCs w:val="16"/>
              </w:rPr>
            </w:pPr>
            <w:r w:rsidRPr="00BF2978">
              <w:rPr>
                <w:sz w:val="16"/>
                <w:szCs w:val="16"/>
              </w:rPr>
              <w:t>1. Hey E. (Ed) [2003]. Neonatal Formulary 4th Edition. BMJ Publishing Group, London.</w:t>
            </w:r>
            <w:r w:rsidRPr="00BF2978">
              <w:rPr>
                <w:sz w:val="16"/>
                <w:szCs w:val="16"/>
              </w:rPr>
              <w:br/>
            </w:r>
            <w:r w:rsidRPr="00BF2978">
              <w:rPr>
                <w:sz w:val="16"/>
                <w:szCs w:val="16"/>
              </w:rPr>
              <w:t xml:space="preserve">2. Neofax accessed on </w:t>
            </w:r>
            <w:hyperlink w:history="1" r:id="rId23">
              <w:r w:rsidRPr="00BF2978">
                <w:rPr>
                  <w:rStyle w:val="Hyperlink"/>
                  <w:sz w:val="16"/>
                  <w:szCs w:val="16"/>
                </w:rPr>
                <w:t>www.neofax.micromedex.solutions.com</w:t>
              </w:r>
            </w:hyperlink>
            <w:r w:rsidRPr="00BF2978">
              <w:rPr>
                <w:sz w:val="16"/>
                <w:szCs w:val="16"/>
              </w:rPr>
              <w:t xml:space="preserve"> on 29</w:t>
            </w:r>
            <w:r w:rsidRPr="00BF2978">
              <w:rPr>
                <w:sz w:val="16"/>
                <w:szCs w:val="16"/>
                <w:vertAlign w:val="superscript"/>
              </w:rPr>
              <w:t>th</w:t>
            </w:r>
            <w:r w:rsidRPr="00BF2978">
              <w:rPr>
                <w:sz w:val="16"/>
                <w:szCs w:val="16"/>
              </w:rPr>
              <w:t xml:space="preserve"> July 2015.</w:t>
            </w:r>
          </w:p>
          <w:p w:rsidRPr="00BF2978" w:rsidR="00BF2978" w:rsidP="00131848" w:rsidRDefault="00BF2978" w14:paraId="7488F8BA" w14:textId="77777777">
            <w:pPr>
              <w:rPr>
                <w:sz w:val="16"/>
                <w:szCs w:val="16"/>
              </w:rPr>
            </w:pPr>
            <w:r w:rsidRPr="00BF2978">
              <w:rPr>
                <w:sz w:val="16"/>
                <w:szCs w:val="16"/>
              </w:rPr>
              <w:t>3. MIMS Online Accessed 7</w:t>
            </w:r>
            <w:r w:rsidRPr="00BF2978">
              <w:rPr>
                <w:sz w:val="16"/>
                <w:szCs w:val="16"/>
                <w:vertAlign w:val="superscript"/>
              </w:rPr>
              <w:t>th</w:t>
            </w:r>
            <w:r w:rsidRPr="00BF2978">
              <w:rPr>
                <w:sz w:val="16"/>
                <w:szCs w:val="16"/>
              </w:rPr>
              <w:t xml:space="preserve"> July 2015.</w:t>
            </w:r>
            <w:r w:rsidRPr="00BF2978">
              <w:rPr>
                <w:sz w:val="16"/>
                <w:szCs w:val="16"/>
              </w:rPr>
              <w:br/>
            </w:r>
            <w:r w:rsidRPr="00BF2978">
              <w:rPr>
                <w:sz w:val="16"/>
                <w:szCs w:val="16"/>
              </w:rPr>
              <w:t>4. Australian Injectable Drugs Handbook, 6th Edition, Society of Hospital Pharmacists of Australia 2015.</w:t>
            </w:r>
            <w:r w:rsidRPr="00BF2978">
              <w:rPr>
                <w:sz w:val="16"/>
                <w:szCs w:val="16"/>
              </w:rPr>
              <w:br/>
            </w:r>
            <w:r w:rsidRPr="00BF2978">
              <w:rPr>
                <w:sz w:val="16"/>
                <w:szCs w:val="16"/>
              </w:rPr>
              <w:t>5. Micromedex® 2.0, (electronic version). Truven Health Analytics, Greenwood Village, Colorado, USA. Available at: http://www.micromedexsolutions.com.acs.hcn.com.au. Accessed 7</w:t>
            </w:r>
            <w:r w:rsidRPr="00BF2978">
              <w:rPr>
                <w:sz w:val="16"/>
                <w:szCs w:val="16"/>
                <w:vertAlign w:val="superscript"/>
              </w:rPr>
              <w:t>th</w:t>
            </w:r>
            <w:r w:rsidRPr="00BF2978">
              <w:rPr>
                <w:sz w:val="16"/>
                <w:szCs w:val="16"/>
              </w:rPr>
              <w:t xml:space="preserve"> July 2015.</w:t>
            </w:r>
          </w:p>
          <w:p w:rsidRPr="00BF2978" w:rsidR="00BF2978" w:rsidP="00131848" w:rsidRDefault="00BF2978" w14:paraId="45BAEFC1" w14:textId="77777777">
            <w:pPr>
              <w:rPr>
                <w:sz w:val="16"/>
                <w:szCs w:val="16"/>
              </w:rPr>
            </w:pPr>
            <w:r w:rsidRPr="00BF2978">
              <w:rPr>
                <w:sz w:val="16"/>
                <w:szCs w:val="16"/>
              </w:rPr>
              <w:t xml:space="preserve">6. Cotten CM, McDonald S, Stoll B, Goldberg RN, Poole K, Benjamin DK Jr, National Institute for Child Health and Human Development Neonatal Research Network. The association of third-generation cephalosporin use and invasive candidiasis in extremely low birth-weight infants.   Pediatrics 2006;118(2):717–22. </w:t>
            </w:r>
          </w:p>
          <w:p w:rsidRPr="00BF2978" w:rsidR="00BF2978" w:rsidP="00131848" w:rsidRDefault="00BF2978" w14:paraId="2F8CA671" w14:textId="77777777">
            <w:pPr>
              <w:rPr>
                <w:sz w:val="16"/>
                <w:szCs w:val="16"/>
              </w:rPr>
            </w:pPr>
            <w:r w:rsidRPr="00BF2978">
              <w:rPr>
                <w:sz w:val="16"/>
                <w:szCs w:val="16"/>
              </w:rPr>
              <w:t xml:space="preserve">7. Calil R, Marba ST, von Nowakonski A, Tresoldi AT. Reduction in colonization and nosocomial infection by multiresistant bacteria in a neonatal unit after institution of educational measures and restriction in the use of cephalosporins.   Am J Infect Control 2001;29(3):133–8. </w:t>
            </w:r>
          </w:p>
          <w:p w:rsidRPr="00BF2978" w:rsidR="00BF2978" w:rsidP="00131848" w:rsidRDefault="00BF2978" w14:paraId="41DA0309" w14:textId="77777777">
            <w:pPr>
              <w:rPr>
                <w:sz w:val="16"/>
                <w:szCs w:val="16"/>
              </w:rPr>
            </w:pPr>
            <w:r w:rsidRPr="00BF2978">
              <w:rPr>
                <w:sz w:val="16"/>
                <w:szCs w:val="16"/>
              </w:rPr>
              <w:t xml:space="preserve">8. Dellagrammaticas HD, Christodoulou C, Megaloyanni E, Papadimitriou M, Kapetanakis J, Kourakis G. Treatment of gram-negative bacterial meningitis in term neonates with third generation cephalosporins plus amikacin.   Biol Neonate 2000;77(3):139–46. </w:t>
            </w:r>
          </w:p>
          <w:p w:rsidRPr="00BF2978" w:rsidR="00BF2978" w:rsidP="00131848" w:rsidRDefault="00BF2978" w14:paraId="63B33CC5" w14:textId="77777777">
            <w:pPr>
              <w:spacing w:after="160" w:line="259" w:lineRule="auto"/>
              <w:ind w:left="360" w:hanging="360"/>
              <w:contextualSpacing/>
              <w:rPr>
                <w:rFonts w:asciiTheme="minorHAnsi" w:hAnsiTheme="minorHAnsi" w:eastAsiaTheme="minorHAnsi" w:cstheme="minorHAnsi"/>
                <w:sz w:val="16"/>
                <w:szCs w:val="16"/>
              </w:rPr>
            </w:pPr>
            <w:r w:rsidRPr="00BF2978">
              <w:rPr>
                <w:rFonts w:asciiTheme="minorHAnsi" w:hAnsiTheme="minorHAnsi" w:cstheme="minorHAnsi"/>
                <w:sz w:val="16"/>
                <w:szCs w:val="16"/>
              </w:rPr>
              <w:t>9. Harvey D, Holt DE, Bedford H. Bacterial meningitis in the newborn: a prospective study of mortality and morbidity. Semin Perinatol 1999;23(3):218–25.</w:t>
            </w:r>
          </w:p>
        </w:tc>
      </w:tr>
    </w:tbl>
    <w:p w:rsidRPr="00E25790" w:rsidR="00D10C39" w:rsidP="006F0321" w:rsidRDefault="00D10C39" w14:paraId="32E97CAE" w14:textId="77777777"/>
    <w:tbl>
      <w:tblPr>
        <w:tblW w:w="9096" w:type="dxa"/>
        <w:tblInd w:w="-34" w:type="dxa"/>
        <w:tblCellMar>
          <w:left w:w="0" w:type="dxa"/>
          <w:right w:w="0" w:type="dxa"/>
        </w:tblCellMar>
        <w:tblLook w:val="04A0" w:firstRow="1" w:lastRow="0" w:firstColumn="1" w:lastColumn="0" w:noHBand="0" w:noVBand="1"/>
      </w:tblPr>
      <w:tblGrid>
        <w:gridCol w:w="47"/>
        <w:gridCol w:w="4061"/>
        <w:gridCol w:w="92"/>
        <w:gridCol w:w="4725"/>
        <w:gridCol w:w="171"/>
      </w:tblGrid>
      <w:tr w:rsidR="000D1E13" w:rsidTr="00204576" w14:paraId="2132DD7C" w14:textId="77777777">
        <w:trPr>
          <w:gridAfter w:val="1"/>
          <w:wAfter w:w="171" w:type="dxa"/>
        </w:trPr>
        <w:tc>
          <w:tcPr>
            <w:tcW w:w="4108"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04E6E43E" w14:textId="67674C75">
            <w:pPr>
              <w:spacing w:line="252" w:lineRule="auto"/>
              <w:rPr>
                <w:sz w:val="22"/>
                <w:lang w:val="en-AU"/>
              </w:rPr>
            </w:pPr>
            <w:r>
              <w:t>Original version Date: 08/08/2015</w:t>
            </w:r>
          </w:p>
        </w:tc>
        <w:tc>
          <w:tcPr>
            <w:tcW w:w="4817"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28CED0F4" w14:textId="77777777">
            <w:pPr>
              <w:spacing w:line="252" w:lineRule="auto"/>
            </w:pPr>
            <w:r>
              <w:t>Author: NeoMed Consensus Group</w:t>
            </w:r>
          </w:p>
        </w:tc>
      </w:tr>
      <w:tr w:rsidR="000D1E13" w:rsidTr="00204576" w14:paraId="0ADFF989" w14:textId="77777777">
        <w:trPr>
          <w:gridAfter w:val="1"/>
          <w:wAfter w:w="171" w:type="dxa"/>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3767A468" w14:textId="77777777">
            <w:pPr>
              <w:spacing w:line="252" w:lineRule="auto"/>
            </w:pPr>
            <w:r>
              <w:t>Current Version number:  2</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1E1AF2C4" w14:textId="7CC479AA">
            <w:pPr>
              <w:spacing w:line="252" w:lineRule="auto"/>
            </w:pPr>
            <w:r>
              <w:t xml:space="preserve">Current Version Date:  </w:t>
            </w:r>
            <w:r w:rsidR="00BF2978">
              <w:t>18</w:t>
            </w:r>
            <w:r>
              <w:t>/</w:t>
            </w:r>
            <w:r w:rsidR="00BF2978">
              <w:t>6</w:t>
            </w:r>
            <w:r>
              <w:t>/202</w:t>
            </w:r>
            <w:r w:rsidR="00BF2978">
              <w:t>1</w:t>
            </w:r>
          </w:p>
        </w:tc>
      </w:tr>
      <w:tr w:rsidR="000D1E13" w:rsidTr="00204576" w14:paraId="6AD9F27B" w14:textId="77777777">
        <w:trPr>
          <w:gridAfter w:val="1"/>
          <w:wAfter w:w="171" w:type="dxa"/>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4D74B650" w14:textId="528C8880">
            <w:pPr>
              <w:spacing w:line="252" w:lineRule="auto"/>
            </w:pPr>
            <w:r>
              <w:t xml:space="preserve">Risk Rating: </w:t>
            </w:r>
            <w:r w:rsidR="00862D39">
              <w:t>Low</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11830816" w14:textId="4947947E">
            <w:pPr>
              <w:spacing w:line="252" w:lineRule="auto"/>
            </w:pPr>
            <w:r>
              <w:t xml:space="preserve">Due for Review:  </w:t>
            </w:r>
            <w:r w:rsidR="00BF2978">
              <w:t>18-6-2026</w:t>
            </w:r>
          </w:p>
        </w:tc>
      </w:tr>
      <w:tr w:rsidR="000D1E13" w:rsidTr="00204576" w14:paraId="76016E9E" w14:textId="77777777">
        <w:trPr>
          <w:gridAfter w:val="1"/>
          <w:wAfter w:w="171" w:type="dxa"/>
          <w:trHeight w:val="344"/>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D1E13" w:rsidRDefault="000D1E13" w14:paraId="46384541" w14:textId="77777777">
            <w:pPr>
              <w:spacing w:line="252" w:lineRule="auto"/>
            </w:pPr>
            <w:r>
              <w:t>Approved by: DTC</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000D1E13" w:rsidRDefault="000D1E13" w14:paraId="77C5B018" w14:textId="2DA3C2B7">
            <w:pPr>
              <w:spacing w:line="252" w:lineRule="auto"/>
            </w:pPr>
            <w:r>
              <w:t xml:space="preserve">Approval Date: </w:t>
            </w:r>
            <w:r w:rsidR="00260BC8">
              <w:t>APRIL 2021</w:t>
            </w:r>
          </w:p>
        </w:tc>
      </w:tr>
      <w:tr w:rsidRPr="00E25790" w:rsidR="00D33FE0" w:rsidTr="00204576" w14:paraId="72FB4177" w14:textId="77777777">
        <w:tblPrEx>
          <w:tblCellMar>
            <w:left w:w="108" w:type="dxa"/>
            <w:right w:w="108" w:type="dxa"/>
          </w:tblCellMar>
          <w:tblLook w:val="0000" w:firstRow="0" w:lastRow="0" w:firstColumn="0" w:lastColumn="0" w:noHBand="0" w:noVBand="0"/>
        </w:tblPrEx>
        <w:trPr>
          <w:gridBefore w:val="1"/>
          <w:wBefore w:w="47" w:type="dxa"/>
          <w:cantSplit/>
          <w:trHeight w:val="720"/>
        </w:trPr>
        <w:tc>
          <w:tcPr>
            <w:tcW w:w="9049" w:type="dxa"/>
            <w:gridSpan w:val="4"/>
            <w:tcBorders>
              <w:top w:val="double" w:color="auto" w:sz="6" w:space="0"/>
              <w:left w:val="double" w:color="auto" w:sz="6" w:space="0"/>
              <w:bottom w:val="double" w:color="auto" w:sz="6" w:space="0"/>
              <w:right w:val="double" w:color="auto" w:sz="6" w:space="0"/>
            </w:tcBorders>
            <w:shd w:val="clear" w:color="auto" w:fill="FFFF00"/>
          </w:tcPr>
          <w:p w:rsidRPr="00E25790" w:rsidR="00D33FE0" w:rsidP="009469DB" w:rsidRDefault="00D33FE0" w14:paraId="723193AD" w14:textId="77777777">
            <w:pPr>
              <w:pStyle w:val="Heading1"/>
            </w:pPr>
            <w:bookmarkStart w:name="_Toc38106821" w:id="135"/>
            <w:bookmarkStart w:name="_Toc75339948" w:id="136"/>
            <w:r w:rsidRPr="00E25790">
              <w:lastRenderedPageBreak/>
              <w:t>Cephazolin</w:t>
            </w:r>
            <w:bookmarkEnd w:id="135"/>
            <w:bookmarkEnd w:id="136"/>
            <w:r w:rsidRPr="00E25790">
              <w:t xml:space="preserve"> </w:t>
            </w:r>
            <w:r w:rsidRPr="00E25790">
              <w:fldChar w:fldCharType="begin"/>
            </w:r>
            <w:r w:rsidRPr="00E25790">
              <w:instrText>tc "Ceftazidime" \l 0</w:instrText>
            </w:r>
            <w:r w:rsidRPr="00E25790">
              <w:fldChar w:fldCharType="end"/>
            </w:r>
          </w:p>
        </w:tc>
      </w:tr>
      <w:tr w:rsidRPr="00E25790" w:rsidR="00D33FE0" w:rsidTr="00204576" w14:paraId="0DD29F55" w14:textId="77777777">
        <w:tblPrEx>
          <w:tblCellMar>
            <w:left w:w="108" w:type="dxa"/>
            <w:right w:w="108" w:type="dxa"/>
          </w:tblCellMar>
          <w:tblLook w:val="0000" w:firstRow="0" w:lastRow="0" w:firstColumn="0" w:lastColumn="0" w:noHBand="0" w:noVBand="0"/>
        </w:tblPrEx>
        <w:trPr>
          <w:gridBefore w:val="1"/>
          <w:wBefore w:w="47" w:type="dxa"/>
          <w:cantSplit/>
          <w:trHeight w:val="480"/>
        </w:trPr>
        <w:tc>
          <w:tcPr>
            <w:tcW w:w="4153" w:type="dxa"/>
            <w:gridSpan w:val="2"/>
            <w:tcBorders>
              <w:top w:val="double" w:color="auto" w:sz="6" w:space="0"/>
              <w:left w:val="double" w:color="auto" w:sz="6" w:space="0"/>
              <w:bottom w:val="double" w:color="auto" w:sz="6" w:space="0"/>
              <w:right w:val="single" w:color="auto" w:sz="6" w:space="0"/>
            </w:tcBorders>
            <w:shd w:val="clear" w:color="auto" w:fill="FFFF00"/>
          </w:tcPr>
          <w:p w:rsidRPr="00E25790" w:rsidR="00D33FE0" w:rsidP="006F0321" w:rsidRDefault="00D33FE0" w14:paraId="2C0B688B" w14:textId="0BF62930">
            <w:r w:rsidRPr="00E25790">
              <w:t xml:space="preserve">Revision Date : </w:t>
            </w:r>
            <w:r w:rsidR="00C53706">
              <w:t>16-12-2020</w:t>
            </w:r>
          </w:p>
        </w:tc>
        <w:tc>
          <w:tcPr>
            <w:tcW w:w="4896" w:type="dxa"/>
            <w:gridSpan w:val="2"/>
            <w:tcBorders>
              <w:top w:val="double" w:color="auto" w:sz="6" w:space="0"/>
              <w:left w:val="single" w:color="auto" w:sz="6" w:space="0"/>
              <w:bottom w:val="double" w:color="auto" w:sz="6" w:space="0"/>
              <w:right w:val="double" w:color="auto" w:sz="6" w:space="0"/>
            </w:tcBorders>
            <w:shd w:val="clear" w:color="auto" w:fill="FFFF00"/>
          </w:tcPr>
          <w:p w:rsidRPr="00E25790" w:rsidR="00D33FE0" w:rsidP="006F0321" w:rsidRDefault="00D33FE0" w14:paraId="4CB66F24" w14:textId="77777777">
            <w:r w:rsidRPr="00E25790">
              <w:t xml:space="preserve">Approved: </w:t>
            </w:r>
            <w:r w:rsidRPr="00E25790" w:rsidR="00C7657E">
              <w:t>TC, KOH</w:t>
            </w:r>
          </w:p>
        </w:tc>
      </w:tr>
    </w:tbl>
    <w:p w:rsidRPr="00E25790" w:rsidR="00D33FE0" w:rsidP="006F0321" w:rsidRDefault="00D33FE0" w14:paraId="64373EE4"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6"/>
        <w:gridCol w:w="7948"/>
      </w:tblGrid>
      <w:tr w:rsidRPr="0027711D" w:rsidR="0092511E" w:rsidTr="00204576" w14:paraId="7327BD08" w14:textId="77777777">
        <w:trPr>
          <w:trHeight w:val="263"/>
        </w:trPr>
        <w:tc>
          <w:tcPr>
            <w:tcW w:w="875" w:type="pct"/>
          </w:tcPr>
          <w:p w:rsidRPr="0027711D" w:rsidR="0092511E" w:rsidP="0059793A" w:rsidRDefault="0092511E" w14:paraId="1146963B" w14:textId="77777777">
            <w:pPr>
              <w:pStyle w:val="BodyText"/>
              <w:tabs>
                <w:tab w:val="center" w:pos="1476"/>
              </w:tabs>
              <w:rPr>
                <w:rFonts w:asciiTheme="minorHAnsi" w:hAnsiTheme="minorHAnsi" w:cstheme="minorHAnsi"/>
                <w:b/>
                <w:sz w:val="20"/>
              </w:rPr>
            </w:pPr>
            <w:r w:rsidRPr="0027711D">
              <w:rPr>
                <w:rFonts w:asciiTheme="minorHAnsi" w:hAnsiTheme="minorHAnsi" w:cstheme="minorHAnsi"/>
                <w:b/>
                <w:sz w:val="20"/>
              </w:rPr>
              <w:t>Alert</w:t>
            </w:r>
          </w:p>
        </w:tc>
        <w:tc>
          <w:tcPr>
            <w:tcW w:w="4125" w:type="pct"/>
          </w:tcPr>
          <w:p w:rsidR="0092511E" w:rsidP="0059793A" w:rsidRDefault="0092511E" w14:paraId="5BFE08C2" w14:textId="77777777">
            <w:pPr>
              <w:pStyle w:val="BodyText"/>
              <w:rPr>
                <w:rFonts w:asciiTheme="minorHAnsi" w:hAnsiTheme="minorHAnsi" w:cstheme="minorHAnsi"/>
                <w:sz w:val="20"/>
              </w:rPr>
            </w:pPr>
            <w:r w:rsidRPr="0027711D">
              <w:rPr>
                <w:rFonts w:asciiTheme="minorHAnsi" w:hAnsiTheme="minorHAnsi" w:cstheme="minorHAnsi"/>
                <w:sz w:val="20"/>
              </w:rPr>
              <w:t>High risk medicine. The Antimicrobial Stewardship Team recommends this drug is listed under the following category: Unrestricted.</w:t>
            </w:r>
          </w:p>
          <w:p w:rsidRPr="0027711D" w:rsidR="0092511E" w:rsidP="0059793A" w:rsidRDefault="0092511E" w14:paraId="3BA2E493" w14:textId="77777777">
            <w:pPr>
              <w:pStyle w:val="BodyText"/>
              <w:rPr>
                <w:rFonts w:asciiTheme="minorHAnsi" w:hAnsiTheme="minorHAnsi" w:cstheme="minorHAnsi"/>
                <w:sz w:val="20"/>
              </w:rPr>
            </w:pPr>
            <w:r>
              <w:rPr>
                <w:rFonts w:asciiTheme="minorHAnsi" w:hAnsiTheme="minorHAnsi" w:cstheme="minorHAnsi"/>
                <w:sz w:val="20"/>
              </w:rPr>
              <w:t>Contains 48 mg of sodium per gram of cefazolin sodium.</w:t>
            </w:r>
          </w:p>
        </w:tc>
      </w:tr>
      <w:tr w:rsidRPr="0027711D" w:rsidR="0092511E" w:rsidTr="00204576" w14:paraId="00801615" w14:textId="77777777">
        <w:trPr>
          <w:trHeight w:val="263"/>
        </w:trPr>
        <w:tc>
          <w:tcPr>
            <w:tcW w:w="875" w:type="pct"/>
          </w:tcPr>
          <w:p w:rsidRPr="0027711D" w:rsidR="0092511E" w:rsidP="0059793A" w:rsidRDefault="0092511E" w14:paraId="568BCFBF" w14:textId="77777777">
            <w:pPr>
              <w:pStyle w:val="BodyText"/>
              <w:rPr>
                <w:rFonts w:asciiTheme="minorHAnsi" w:hAnsiTheme="minorHAnsi" w:cstheme="minorHAnsi"/>
                <w:sz w:val="20"/>
              </w:rPr>
            </w:pPr>
            <w:r w:rsidRPr="0027711D">
              <w:rPr>
                <w:rFonts w:asciiTheme="minorHAnsi" w:hAnsiTheme="minorHAnsi" w:cstheme="minorHAnsi"/>
                <w:b/>
                <w:bCs/>
                <w:sz w:val="20"/>
              </w:rPr>
              <w:t>Indication</w:t>
            </w:r>
          </w:p>
        </w:tc>
        <w:tc>
          <w:tcPr>
            <w:tcW w:w="4125" w:type="pct"/>
          </w:tcPr>
          <w:p w:rsidRPr="0027711D" w:rsidR="0092511E" w:rsidP="0059793A" w:rsidRDefault="0092511E" w14:paraId="4CADA555" w14:textId="77777777">
            <w:pPr>
              <w:rPr>
                <w:rFonts w:asciiTheme="minorHAnsi" w:hAnsiTheme="minorHAnsi" w:cstheme="minorHAnsi"/>
                <w:sz w:val="20"/>
              </w:rPr>
            </w:pPr>
            <w:r w:rsidRPr="0027711D">
              <w:rPr>
                <w:rFonts w:asciiTheme="minorHAnsi" w:hAnsiTheme="minorHAnsi" w:cstheme="minorHAnsi"/>
                <w:sz w:val="20"/>
              </w:rPr>
              <w:t xml:space="preserve">Treatment of infections caused by susceptible organisms: </w:t>
            </w:r>
          </w:p>
          <w:p w:rsidRPr="0027711D" w:rsidR="0092511E" w:rsidP="001B0E05" w:rsidRDefault="0092511E" w14:paraId="3CAC8AA4" w14:textId="77777777">
            <w:pPr>
              <w:pStyle w:val="ListParagraph"/>
              <w:numPr>
                <w:ilvl w:val="0"/>
                <w:numId w:val="96"/>
              </w:numPr>
              <w:rPr>
                <w:rFonts w:asciiTheme="minorHAnsi" w:hAnsiTheme="minorHAnsi" w:cstheme="minorHAnsi"/>
                <w:sz w:val="20"/>
              </w:rPr>
            </w:pPr>
            <w:r w:rsidRPr="0027711D">
              <w:rPr>
                <w:rFonts w:asciiTheme="minorHAnsi" w:hAnsiTheme="minorHAnsi" w:cstheme="minorHAnsi"/>
                <w:sz w:val="20"/>
              </w:rPr>
              <w:t xml:space="preserve">Gram positive bacteria Streptococci and Staphylococci including beta-lactamase producing Staphylococci </w:t>
            </w:r>
          </w:p>
          <w:p w:rsidRPr="0027711D" w:rsidR="0092511E" w:rsidP="001B0E05" w:rsidRDefault="0092511E" w14:paraId="424F8A79" w14:textId="77777777">
            <w:pPr>
              <w:pStyle w:val="ListParagraph"/>
              <w:numPr>
                <w:ilvl w:val="0"/>
                <w:numId w:val="96"/>
              </w:numPr>
              <w:rPr>
                <w:rFonts w:asciiTheme="minorHAnsi" w:hAnsiTheme="minorHAnsi" w:cstheme="minorHAnsi"/>
                <w:sz w:val="20"/>
              </w:rPr>
            </w:pPr>
            <w:r w:rsidRPr="0027711D">
              <w:rPr>
                <w:rFonts w:asciiTheme="minorHAnsi" w:hAnsiTheme="minorHAnsi" w:cstheme="minorHAnsi"/>
                <w:sz w:val="20"/>
              </w:rPr>
              <w:t xml:space="preserve">Gram negative bacteria </w:t>
            </w:r>
            <w:r w:rsidRPr="0027711D">
              <w:rPr>
                <w:rFonts w:asciiTheme="minorHAnsi" w:hAnsiTheme="minorHAnsi" w:cstheme="minorHAnsi"/>
                <w:i/>
                <w:sz w:val="20"/>
              </w:rPr>
              <w:t>Escherichia coli</w:t>
            </w:r>
            <w:r w:rsidRPr="0027711D">
              <w:rPr>
                <w:rFonts w:asciiTheme="minorHAnsi" w:hAnsiTheme="minorHAnsi" w:cstheme="minorHAnsi"/>
                <w:sz w:val="20"/>
              </w:rPr>
              <w:t xml:space="preserve"> and some </w:t>
            </w:r>
            <w:r w:rsidRPr="0027711D">
              <w:rPr>
                <w:rFonts w:asciiTheme="minorHAnsi" w:hAnsiTheme="minorHAnsi" w:cstheme="minorHAnsi"/>
                <w:i/>
                <w:sz w:val="20"/>
              </w:rPr>
              <w:t>Klebsiella</w:t>
            </w:r>
            <w:r w:rsidRPr="0027711D">
              <w:rPr>
                <w:rFonts w:asciiTheme="minorHAnsi" w:hAnsiTheme="minorHAnsi" w:cstheme="minorHAnsi"/>
                <w:sz w:val="20"/>
              </w:rPr>
              <w:t xml:space="preserve"> specie, provided these are reported susceptible to cefazolin).</w:t>
            </w:r>
          </w:p>
        </w:tc>
      </w:tr>
      <w:tr w:rsidRPr="0027711D" w:rsidR="0092511E" w:rsidTr="00204576" w14:paraId="3B64F72A" w14:textId="77777777">
        <w:trPr>
          <w:trHeight w:val="263"/>
        </w:trPr>
        <w:tc>
          <w:tcPr>
            <w:tcW w:w="875" w:type="pct"/>
          </w:tcPr>
          <w:p w:rsidRPr="0027711D" w:rsidR="0092511E" w:rsidP="0059793A" w:rsidRDefault="0092511E" w14:paraId="4CDBDA1A" w14:textId="77777777">
            <w:pPr>
              <w:pStyle w:val="BodyText"/>
              <w:rPr>
                <w:rFonts w:asciiTheme="minorHAnsi" w:hAnsiTheme="minorHAnsi" w:cstheme="minorHAnsi"/>
                <w:b/>
                <w:bCs/>
                <w:sz w:val="20"/>
              </w:rPr>
            </w:pPr>
            <w:r w:rsidRPr="0027711D">
              <w:rPr>
                <w:rFonts w:asciiTheme="minorHAnsi" w:hAnsiTheme="minorHAnsi" w:cstheme="minorHAnsi"/>
                <w:b/>
                <w:bCs/>
                <w:sz w:val="20"/>
              </w:rPr>
              <w:t>Action</w:t>
            </w:r>
          </w:p>
        </w:tc>
        <w:tc>
          <w:tcPr>
            <w:tcW w:w="4125" w:type="pct"/>
          </w:tcPr>
          <w:p w:rsidRPr="0027711D" w:rsidR="0092511E" w:rsidP="0059793A" w:rsidRDefault="0092511E" w14:paraId="294AF34F" w14:textId="77777777">
            <w:pPr>
              <w:rPr>
                <w:rFonts w:asciiTheme="minorHAnsi" w:hAnsiTheme="minorHAnsi" w:cstheme="minorHAnsi"/>
                <w:sz w:val="20"/>
              </w:rPr>
            </w:pPr>
            <w:r w:rsidRPr="0027711D">
              <w:rPr>
                <w:rFonts w:asciiTheme="minorHAnsi" w:hAnsiTheme="minorHAnsi" w:cstheme="minorHAnsi"/>
                <w:sz w:val="20"/>
              </w:rPr>
              <w:t>Bactericidal. Inhibits bacterial cell wall synthesis of actively dividing cells by binding to one or more penicillin binding proteins.</w:t>
            </w:r>
          </w:p>
        </w:tc>
      </w:tr>
      <w:tr w:rsidRPr="0027711D" w:rsidR="0092511E" w:rsidTr="00204576" w14:paraId="4ECA5048" w14:textId="77777777">
        <w:trPr>
          <w:trHeight w:val="263"/>
        </w:trPr>
        <w:tc>
          <w:tcPr>
            <w:tcW w:w="875" w:type="pct"/>
          </w:tcPr>
          <w:p w:rsidRPr="0027711D" w:rsidR="0092511E" w:rsidP="0059793A" w:rsidRDefault="0092511E" w14:paraId="2B6ADB74" w14:textId="77777777">
            <w:pPr>
              <w:pStyle w:val="BodyText"/>
              <w:rPr>
                <w:rFonts w:asciiTheme="minorHAnsi" w:hAnsiTheme="minorHAnsi" w:cstheme="minorHAnsi"/>
                <w:sz w:val="20"/>
              </w:rPr>
            </w:pPr>
            <w:r w:rsidRPr="0027711D">
              <w:rPr>
                <w:rFonts w:asciiTheme="minorHAnsi" w:hAnsiTheme="minorHAnsi" w:cstheme="minorHAnsi"/>
                <w:b/>
                <w:bCs/>
                <w:sz w:val="20"/>
              </w:rPr>
              <w:t>Drug type</w:t>
            </w:r>
          </w:p>
        </w:tc>
        <w:tc>
          <w:tcPr>
            <w:tcW w:w="4125" w:type="pct"/>
          </w:tcPr>
          <w:p w:rsidRPr="0027711D" w:rsidR="0092511E" w:rsidP="0059793A" w:rsidRDefault="0092511E" w14:paraId="3D71B8C6" w14:textId="77777777">
            <w:pPr>
              <w:pStyle w:val="BodyText"/>
              <w:rPr>
                <w:rFonts w:asciiTheme="minorHAnsi" w:hAnsiTheme="minorHAnsi" w:cstheme="minorHAnsi"/>
                <w:sz w:val="20"/>
              </w:rPr>
            </w:pPr>
            <w:r w:rsidRPr="0027711D">
              <w:rPr>
                <w:rFonts w:asciiTheme="minorHAnsi" w:hAnsiTheme="minorHAnsi" w:cstheme="minorHAnsi"/>
                <w:sz w:val="20"/>
              </w:rPr>
              <w:t>Antibiotic, First generation cephalosporin.</w:t>
            </w:r>
          </w:p>
        </w:tc>
      </w:tr>
      <w:tr w:rsidRPr="0027711D" w:rsidR="0092511E" w:rsidTr="00204576" w14:paraId="2D1993F4" w14:textId="77777777">
        <w:trPr>
          <w:trHeight w:val="263"/>
        </w:trPr>
        <w:tc>
          <w:tcPr>
            <w:tcW w:w="875" w:type="pct"/>
          </w:tcPr>
          <w:p w:rsidRPr="0027711D" w:rsidR="0092511E" w:rsidP="0059793A" w:rsidRDefault="0092511E" w14:paraId="4276B784" w14:textId="77777777">
            <w:pPr>
              <w:pStyle w:val="BodyText"/>
              <w:rPr>
                <w:rFonts w:asciiTheme="minorHAnsi" w:hAnsiTheme="minorHAnsi" w:cstheme="minorHAnsi"/>
                <w:b/>
                <w:bCs/>
                <w:sz w:val="20"/>
              </w:rPr>
            </w:pPr>
            <w:r w:rsidRPr="0027711D">
              <w:rPr>
                <w:rFonts w:asciiTheme="minorHAnsi" w:hAnsiTheme="minorHAnsi" w:cstheme="minorHAnsi"/>
                <w:b/>
                <w:bCs/>
                <w:sz w:val="20"/>
              </w:rPr>
              <w:t>Trade name</w:t>
            </w:r>
          </w:p>
        </w:tc>
        <w:tc>
          <w:tcPr>
            <w:tcW w:w="4125" w:type="pct"/>
          </w:tcPr>
          <w:p w:rsidRPr="0027711D" w:rsidR="0092511E" w:rsidP="0059793A" w:rsidRDefault="0092511E" w14:paraId="5F6B293B" w14:textId="77777777">
            <w:pPr>
              <w:pStyle w:val="BodyText"/>
              <w:rPr>
                <w:rFonts w:asciiTheme="minorHAnsi" w:hAnsiTheme="minorHAnsi" w:cstheme="minorHAnsi"/>
                <w:sz w:val="20"/>
              </w:rPr>
            </w:pPr>
            <w:r w:rsidRPr="0027711D">
              <w:rPr>
                <w:rFonts w:asciiTheme="minorHAnsi" w:hAnsiTheme="minorHAnsi" w:cstheme="minorHAnsi"/>
                <w:sz w:val="20"/>
              </w:rPr>
              <w:t>Cefazolin Sandoz, Cefazolin-AFT, Hospira Cefazolin, Kefzol, Cephazolin Alphapharm</w:t>
            </w:r>
          </w:p>
        </w:tc>
      </w:tr>
      <w:tr w:rsidRPr="0027711D" w:rsidR="0092511E" w:rsidTr="00204576" w14:paraId="728824AE" w14:textId="77777777">
        <w:trPr>
          <w:trHeight w:val="263"/>
        </w:trPr>
        <w:tc>
          <w:tcPr>
            <w:tcW w:w="875" w:type="pct"/>
          </w:tcPr>
          <w:p w:rsidRPr="0027711D" w:rsidR="0092511E" w:rsidP="0059793A" w:rsidRDefault="0092511E" w14:paraId="494DB11C" w14:textId="77777777">
            <w:pPr>
              <w:pStyle w:val="BodyText"/>
              <w:rPr>
                <w:rFonts w:asciiTheme="minorHAnsi" w:hAnsiTheme="minorHAnsi" w:cstheme="minorHAnsi"/>
                <w:b/>
                <w:bCs/>
                <w:sz w:val="20"/>
              </w:rPr>
            </w:pPr>
            <w:r w:rsidRPr="0027711D">
              <w:rPr>
                <w:rFonts w:asciiTheme="minorHAnsi" w:hAnsiTheme="minorHAnsi" w:cstheme="minorHAnsi"/>
                <w:b/>
                <w:bCs/>
                <w:sz w:val="20"/>
              </w:rPr>
              <w:t xml:space="preserve">Presentation </w:t>
            </w:r>
          </w:p>
        </w:tc>
        <w:tc>
          <w:tcPr>
            <w:tcW w:w="4125" w:type="pct"/>
          </w:tcPr>
          <w:p w:rsidRPr="0027711D" w:rsidR="0092511E" w:rsidP="0059793A" w:rsidRDefault="0092511E" w14:paraId="44906539" w14:textId="77777777">
            <w:pPr>
              <w:pStyle w:val="BodyText"/>
              <w:rPr>
                <w:rFonts w:asciiTheme="minorHAnsi" w:hAnsiTheme="minorHAnsi" w:cstheme="minorHAnsi"/>
                <w:sz w:val="20"/>
              </w:rPr>
            </w:pPr>
            <w:r w:rsidRPr="0027711D">
              <w:rPr>
                <w:rFonts w:asciiTheme="minorHAnsi" w:hAnsiTheme="minorHAnsi" w:cstheme="minorHAnsi"/>
                <w:sz w:val="20"/>
              </w:rPr>
              <w:t xml:space="preserve">1 g vial. </w:t>
            </w:r>
          </w:p>
        </w:tc>
      </w:tr>
      <w:tr w:rsidRPr="0027711D" w:rsidR="0092511E" w:rsidTr="00204576" w14:paraId="0AEA611E" w14:textId="77777777">
        <w:trPr>
          <w:trHeight w:val="263"/>
        </w:trPr>
        <w:tc>
          <w:tcPr>
            <w:tcW w:w="875" w:type="pct"/>
          </w:tcPr>
          <w:p w:rsidRPr="0027711D" w:rsidR="0092511E" w:rsidP="0059793A" w:rsidRDefault="0092511E" w14:paraId="6BF41368" w14:textId="77777777">
            <w:pPr>
              <w:pStyle w:val="BodyText"/>
              <w:rPr>
                <w:rFonts w:asciiTheme="minorHAnsi" w:hAnsiTheme="minorHAnsi" w:cstheme="minorHAnsi"/>
                <w:b/>
                <w:bCs/>
                <w:sz w:val="20"/>
              </w:rPr>
            </w:pPr>
            <w:r w:rsidRPr="0027711D">
              <w:rPr>
                <w:rFonts w:asciiTheme="minorHAnsi" w:hAnsiTheme="minorHAnsi" w:cstheme="minorHAnsi"/>
                <w:b/>
                <w:bCs/>
                <w:sz w:val="20"/>
              </w:rPr>
              <w:t>Dose</w:t>
            </w:r>
          </w:p>
        </w:tc>
        <w:tc>
          <w:tcPr>
            <w:tcW w:w="4125" w:type="pct"/>
          </w:tcPr>
          <w:p w:rsidRPr="0027711D" w:rsidR="0092511E" w:rsidP="0059793A" w:rsidRDefault="0092511E" w14:paraId="0D9961B7" w14:textId="77777777">
            <w:pPr>
              <w:rPr>
                <w:rFonts w:asciiTheme="minorHAnsi" w:hAnsiTheme="minorHAnsi" w:cstheme="minorHAnsi"/>
                <w:vanish/>
                <w:sz w:val="20"/>
              </w:rPr>
            </w:pPr>
          </w:p>
          <w:tbl>
            <w:tblPr>
              <w:tblpPr w:leftFromText="180" w:rightFromText="180" w:vertAnchor="page" w:horzAnchor="margin" w:tblpXSpec="center" w:tblpY="6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980"/>
              <w:gridCol w:w="1559"/>
              <w:gridCol w:w="2126"/>
              <w:gridCol w:w="1843"/>
            </w:tblGrid>
            <w:tr w:rsidRPr="0027711D" w:rsidR="0092511E" w:rsidTr="0059793A" w14:paraId="30BF6FBA" w14:textId="77777777">
              <w:trPr>
                <w:trHeight w:val="247"/>
              </w:trPr>
              <w:tc>
                <w:tcPr>
                  <w:tcW w:w="1980" w:type="dxa"/>
                  <w:tcBorders>
                    <w:top w:val="single" w:color="auto" w:sz="4" w:space="0"/>
                    <w:left w:val="single" w:color="auto" w:sz="4" w:space="0"/>
                    <w:bottom w:val="single" w:color="auto" w:sz="4" w:space="0"/>
                    <w:right w:val="single" w:color="auto" w:sz="4" w:space="0"/>
                  </w:tcBorders>
                  <w:vAlign w:val="center"/>
                </w:tcPr>
                <w:p w:rsidRPr="0027711D" w:rsidR="0092511E" w:rsidP="0059793A" w:rsidRDefault="0092511E" w14:paraId="5046505E" w14:textId="77777777">
                  <w:pPr>
                    <w:jc w:val="center"/>
                    <w:rPr>
                      <w:rFonts w:asciiTheme="minorHAnsi" w:hAnsiTheme="minorHAnsi" w:cstheme="minorHAnsi"/>
                      <w:b/>
                      <w:sz w:val="20"/>
                    </w:rPr>
                  </w:pPr>
                  <w:r w:rsidRPr="0027711D">
                    <w:rPr>
                      <w:rFonts w:asciiTheme="minorHAnsi" w:hAnsiTheme="minorHAnsi" w:cstheme="minorHAnsi"/>
                      <w:b/>
                      <w:sz w:val="20"/>
                    </w:rPr>
                    <w:t>Postnatal age</w:t>
                  </w:r>
                </w:p>
              </w:tc>
              <w:tc>
                <w:tcPr>
                  <w:tcW w:w="1559"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34860A67" w14:textId="77777777">
                  <w:pPr>
                    <w:rPr>
                      <w:rFonts w:asciiTheme="minorHAnsi" w:hAnsiTheme="minorHAnsi" w:cstheme="minorHAnsi"/>
                      <w:b/>
                      <w:sz w:val="20"/>
                    </w:rPr>
                  </w:pPr>
                  <w:r w:rsidRPr="0027711D">
                    <w:rPr>
                      <w:rFonts w:asciiTheme="minorHAnsi" w:hAnsiTheme="minorHAnsi" w:cstheme="minorHAnsi"/>
                      <w:b/>
                      <w:sz w:val="20"/>
                    </w:rPr>
                    <w:t>Weight (g)</w:t>
                  </w:r>
                </w:p>
              </w:tc>
              <w:tc>
                <w:tcPr>
                  <w:tcW w:w="2126" w:type="dxa"/>
                  <w:tcBorders>
                    <w:top w:val="single" w:color="auto" w:sz="4" w:space="0"/>
                    <w:left w:val="single" w:color="auto" w:sz="4" w:space="0"/>
                    <w:bottom w:val="single" w:color="auto" w:sz="4" w:space="0"/>
                    <w:right w:val="single" w:color="auto" w:sz="4" w:space="0"/>
                  </w:tcBorders>
                  <w:vAlign w:val="center"/>
                </w:tcPr>
                <w:p w:rsidRPr="0027711D" w:rsidR="0092511E" w:rsidP="0059793A" w:rsidRDefault="0092511E" w14:paraId="1549EC9C" w14:textId="77777777">
                  <w:pPr>
                    <w:rPr>
                      <w:rFonts w:asciiTheme="minorHAnsi" w:hAnsiTheme="minorHAnsi" w:cstheme="minorHAnsi"/>
                      <w:b/>
                      <w:sz w:val="20"/>
                    </w:rPr>
                  </w:pPr>
                  <w:r w:rsidRPr="0027711D">
                    <w:rPr>
                      <w:rFonts w:asciiTheme="minorHAnsi" w:hAnsiTheme="minorHAnsi" w:cstheme="minorHAnsi"/>
                      <w:b/>
                      <w:sz w:val="20"/>
                    </w:rPr>
                    <w:t xml:space="preserve">Dose </w:t>
                  </w:r>
                </w:p>
              </w:tc>
              <w:tc>
                <w:tcPr>
                  <w:tcW w:w="1843"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5006D252" w14:textId="77777777">
                  <w:pPr>
                    <w:rPr>
                      <w:rFonts w:asciiTheme="minorHAnsi" w:hAnsiTheme="minorHAnsi" w:cstheme="minorHAnsi"/>
                      <w:b/>
                      <w:sz w:val="20"/>
                    </w:rPr>
                  </w:pPr>
                  <w:r w:rsidRPr="0027711D">
                    <w:rPr>
                      <w:rFonts w:asciiTheme="minorHAnsi" w:hAnsiTheme="minorHAnsi" w:cstheme="minorHAnsi"/>
                      <w:b/>
                      <w:sz w:val="20"/>
                    </w:rPr>
                    <w:t>Interval</w:t>
                  </w:r>
                </w:p>
              </w:tc>
            </w:tr>
            <w:tr w:rsidRPr="0027711D" w:rsidR="0092511E" w:rsidTr="0059793A" w14:paraId="62B4006F" w14:textId="77777777">
              <w:tc>
                <w:tcPr>
                  <w:tcW w:w="1980" w:type="dxa"/>
                  <w:vMerge w:val="restart"/>
                  <w:tcBorders>
                    <w:top w:val="single" w:color="auto" w:sz="4" w:space="0"/>
                    <w:left w:val="single" w:color="auto" w:sz="4" w:space="0"/>
                    <w:right w:val="single" w:color="auto" w:sz="4" w:space="0"/>
                  </w:tcBorders>
                  <w:vAlign w:val="center"/>
                </w:tcPr>
                <w:p w:rsidRPr="0027711D" w:rsidR="0092511E" w:rsidP="0059793A" w:rsidRDefault="0092511E" w14:paraId="3B2E078A" w14:textId="77777777">
                  <w:pPr>
                    <w:rPr>
                      <w:rFonts w:asciiTheme="minorHAnsi" w:hAnsiTheme="minorHAnsi" w:cstheme="minorHAnsi"/>
                      <w:sz w:val="20"/>
                    </w:rPr>
                  </w:pPr>
                  <w:r w:rsidRPr="0027711D">
                    <w:rPr>
                      <w:rFonts w:asciiTheme="minorHAnsi" w:hAnsiTheme="minorHAnsi" w:cstheme="minorHAnsi"/>
                      <w:sz w:val="20"/>
                    </w:rPr>
                    <w:t xml:space="preserve">&lt; 8 days </w:t>
                  </w:r>
                </w:p>
              </w:tc>
              <w:tc>
                <w:tcPr>
                  <w:tcW w:w="1559" w:type="dxa"/>
                  <w:tcBorders>
                    <w:top w:val="single" w:color="auto" w:sz="4" w:space="0"/>
                    <w:left w:val="single" w:color="auto" w:sz="4" w:space="0"/>
                    <w:right w:val="single" w:color="auto" w:sz="4" w:space="0"/>
                  </w:tcBorders>
                </w:tcPr>
                <w:p w:rsidRPr="0027711D" w:rsidR="0092511E" w:rsidP="0059793A" w:rsidRDefault="0092511E" w14:paraId="6FE41238" w14:textId="77777777">
                  <w:pPr>
                    <w:rPr>
                      <w:rFonts w:asciiTheme="minorHAnsi" w:hAnsiTheme="minorHAnsi" w:cstheme="minorHAnsi"/>
                      <w:sz w:val="20"/>
                    </w:rPr>
                  </w:pPr>
                  <w:r w:rsidRPr="0027711D">
                    <w:rPr>
                      <w:rFonts w:asciiTheme="minorHAnsi" w:hAnsiTheme="minorHAnsi" w:cstheme="minorHAnsi"/>
                      <w:sz w:val="20"/>
                    </w:rPr>
                    <w:t>&lt; 2000</w:t>
                  </w:r>
                </w:p>
              </w:tc>
              <w:tc>
                <w:tcPr>
                  <w:tcW w:w="2126" w:type="dxa"/>
                  <w:tcBorders>
                    <w:top w:val="single" w:color="auto" w:sz="4" w:space="0"/>
                    <w:left w:val="single" w:color="auto" w:sz="4" w:space="0"/>
                    <w:bottom w:val="single" w:color="auto" w:sz="4" w:space="0"/>
                    <w:right w:val="single" w:color="auto" w:sz="4" w:space="0"/>
                  </w:tcBorders>
                  <w:vAlign w:val="center"/>
                </w:tcPr>
                <w:p w:rsidRPr="0027711D" w:rsidR="0092511E" w:rsidP="0059793A" w:rsidRDefault="0092511E" w14:paraId="1B9BED6D" w14:textId="77777777">
                  <w:pPr>
                    <w:rPr>
                      <w:rFonts w:asciiTheme="minorHAnsi" w:hAnsiTheme="minorHAnsi" w:cstheme="minorHAnsi"/>
                      <w:sz w:val="20"/>
                    </w:rPr>
                  </w:pPr>
                  <w:r w:rsidRPr="0027711D">
                    <w:rPr>
                      <w:rFonts w:asciiTheme="minorHAnsi" w:hAnsiTheme="minorHAnsi" w:cstheme="minorHAnsi"/>
                      <w:sz w:val="20"/>
                    </w:rPr>
                    <w:t>25 mg/kg/dose</w:t>
                  </w:r>
                </w:p>
              </w:tc>
              <w:tc>
                <w:tcPr>
                  <w:tcW w:w="1843"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47F02479" w14:textId="77777777">
                  <w:pPr>
                    <w:rPr>
                      <w:rFonts w:asciiTheme="minorHAnsi" w:hAnsiTheme="minorHAnsi" w:cstheme="minorHAnsi"/>
                      <w:sz w:val="20"/>
                    </w:rPr>
                  </w:pPr>
                  <w:r w:rsidRPr="0027711D">
                    <w:rPr>
                      <w:rFonts w:asciiTheme="minorHAnsi" w:hAnsiTheme="minorHAnsi" w:cstheme="minorHAnsi"/>
                      <w:sz w:val="20"/>
                    </w:rPr>
                    <w:t>12 hourly</w:t>
                  </w:r>
                </w:p>
              </w:tc>
            </w:tr>
            <w:tr w:rsidRPr="0027711D" w:rsidR="0092511E" w:rsidTr="0059793A" w14:paraId="086CD10C" w14:textId="77777777">
              <w:tc>
                <w:tcPr>
                  <w:tcW w:w="1980" w:type="dxa"/>
                  <w:vMerge/>
                  <w:tcBorders>
                    <w:left w:val="single" w:color="auto" w:sz="4" w:space="0"/>
                    <w:bottom w:val="single" w:color="auto" w:sz="4" w:space="0"/>
                    <w:right w:val="single" w:color="auto" w:sz="4" w:space="0"/>
                  </w:tcBorders>
                  <w:vAlign w:val="center"/>
                </w:tcPr>
                <w:p w:rsidRPr="0027711D" w:rsidR="0092511E" w:rsidP="0059793A" w:rsidRDefault="0092511E" w14:paraId="2E81914B" w14:textId="77777777">
                  <w:pPr>
                    <w:rPr>
                      <w:rFonts w:asciiTheme="minorHAnsi" w:hAnsiTheme="minorHAnsi" w:cstheme="minorHAnsi"/>
                      <w:sz w:val="20"/>
                    </w:rPr>
                  </w:pPr>
                </w:p>
              </w:tc>
              <w:tc>
                <w:tcPr>
                  <w:tcW w:w="1559" w:type="dxa"/>
                  <w:tcBorders>
                    <w:left w:val="single" w:color="auto" w:sz="4" w:space="0"/>
                    <w:bottom w:val="single" w:color="auto" w:sz="4" w:space="0"/>
                    <w:right w:val="single" w:color="auto" w:sz="4" w:space="0"/>
                  </w:tcBorders>
                </w:tcPr>
                <w:p w:rsidRPr="0027711D" w:rsidR="0092511E" w:rsidP="0059793A" w:rsidRDefault="0092511E" w14:paraId="3BAFC476" w14:textId="77777777">
                  <w:pPr>
                    <w:rPr>
                      <w:rFonts w:asciiTheme="minorHAnsi" w:hAnsiTheme="minorHAnsi" w:cstheme="minorHAnsi"/>
                      <w:sz w:val="20"/>
                    </w:rPr>
                  </w:pPr>
                  <w:r w:rsidRPr="0027711D">
                    <w:rPr>
                      <w:rFonts w:asciiTheme="minorHAnsi" w:hAnsiTheme="minorHAnsi" w:cstheme="minorHAnsi"/>
                      <w:sz w:val="20"/>
                    </w:rPr>
                    <w:t>≥ 2000</w:t>
                  </w:r>
                </w:p>
              </w:tc>
              <w:tc>
                <w:tcPr>
                  <w:tcW w:w="2126" w:type="dxa"/>
                  <w:tcBorders>
                    <w:top w:val="single" w:color="auto" w:sz="4" w:space="0"/>
                    <w:left w:val="single" w:color="auto" w:sz="4" w:space="0"/>
                    <w:bottom w:val="single" w:color="auto" w:sz="4" w:space="0"/>
                    <w:right w:val="single" w:color="auto" w:sz="4" w:space="0"/>
                  </w:tcBorders>
                  <w:vAlign w:val="center"/>
                </w:tcPr>
                <w:p w:rsidRPr="0027711D" w:rsidR="0092511E" w:rsidP="0059793A" w:rsidRDefault="0092511E" w14:paraId="6110B104" w14:textId="77777777">
                  <w:pPr>
                    <w:rPr>
                      <w:rFonts w:asciiTheme="minorHAnsi" w:hAnsiTheme="minorHAnsi" w:cstheme="minorHAnsi"/>
                      <w:sz w:val="20"/>
                    </w:rPr>
                  </w:pPr>
                  <w:r w:rsidRPr="0027711D">
                    <w:rPr>
                      <w:rFonts w:asciiTheme="minorHAnsi" w:hAnsiTheme="minorHAnsi" w:cstheme="minorHAnsi"/>
                      <w:sz w:val="20"/>
                    </w:rPr>
                    <w:t>50 mg/kg/dose</w:t>
                  </w:r>
                </w:p>
              </w:tc>
              <w:tc>
                <w:tcPr>
                  <w:tcW w:w="1843"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5863D199" w14:textId="77777777">
                  <w:pPr>
                    <w:rPr>
                      <w:rFonts w:asciiTheme="minorHAnsi" w:hAnsiTheme="minorHAnsi" w:cstheme="minorHAnsi"/>
                      <w:sz w:val="20"/>
                    </w:rPr>
                  </w:pPr>
                  <w:r w:rsidRPr="0027711D">
                    <w:rPr>
                      <w:rFonts w:asciiTheme="minorHAnsi" w:hAnsiTheme="minorHAnsi" w:cstheme="minorHAnsi"/>
                      <w:sz w:val="20"/>
                    </w:rPr>
                    <w:t>12 hourly</w:t>
                  </w:r>
                </w:p>
              </w:tc>
            </w:tr>
            <w:tr w:rsidRPr="0027711D" w:rsidR="0092511E" w:rsidTr="0059793A" w14:paraId="1483E2FE" w14:textId="77777777">
              <w:tc>
                <w:tcPr>
                  <w:tcW w:w="1980" w:type="dxa"/>
                  <w:vMerge w:val="restart"/>
                  <w:tcBorders>
                    <w:top w:val="single" w:color="auto" w:sz="4" w:space="0"/>
                    <w:left w:val="single" w:color="auto" w:sz="4" w:space="0"/>
                    <w:right w:val="single" w:color="auto" w:sz="4" w:space="0"/>
                  </w:tcBorders>
                  <w:vAlign w:val="center"/>
                </w:tcPr>
                <w:p w:rsidRPr="0027711D" w:rsidR="0092511E" w:rsidP="0059793A" w:rsidRDefault="0092511E" w14:paraId="519C7381" w14:textId="77777777">
                  <w:pPr>
                    <w:rPr>
                      <w:rFonts w:asciiTheme="minorHAnsi" w:hAnsiTheme="minorHAnsi" w:cstheme="minorHAnsi"/>
                      <w:sz w:val="20"/>
                    </w:rPr>
                  </w:pPr>
                  <w:r w:rsidRPr="0027711D">
                    <w:rPr>
                      <w:rFonts w:asciiTheme="minorHAnsi" w:hAnsiTheme="minorHAnsi" w:cstheme="minorHAnsi"/>
                      <w:sz w:val="20"/>
                    </w:rPr>
                    <w:t>≥ 8 days</w:t>
                  </w:r>
                </w:p>
              </w:tc>
              <w:tc>
                <w:tcPr>
                  <w:tcW w:w="1559"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7A07F3E7" w14:textId="77777777">
                  <w:pPr>
                    <w:rPr>
                      <w:rFonts w:asciiTheme="minorHAnsi" w:hAnsiTheme="minorHAnsi" w:cstheme="minorHAnsi"/>
                      <w:sz w:val="20"/>
                    </w:rPr>
                  </w:pPr>
                  <w:r w:rsidRPr="0027711D">
                    <w:rPr>
                      <w:rFonts w:asciiTheme="minorHAnsi" w:hAnsiTheme="minorHAnsi" w:cstheme="minorHAnsi"/>
                      <w:sz w:val="20"/>
                    </w:rPr>
                    <w:t>&lt; 2000</w:t>
                  </w:r>
                </w:p>
              </w:tc>
              <w:tc>
                <w:tcPr>
                  <w:tcW w:w="2126" w:type="dxa"/>
                  <w:tcBorders>
                    <w:top w:val="single" w:color="auto" w:sz="4" w:space="0"/>
                    <w:left w:val="single" w:color="auto" w:sz="4" w:space="0"/>
                    <w:bottom w:val="single" w:color="auto" w:sz="4" w:space="0"/>
                    <w:right w:val="single" w:color="auto" w:sz="4" w:space="0"/>
                  </w:tcBorders>
                  <w:vAlign w:val="center"/>
                </w:tcPr>
                <w:p w:rsidRPr="0027711D" w:rsidR="0092511E" w:rsidP="0059793A" w:rsidRDefault="0092511E" w14:paraId="1E24CF2B" w14:textId="77777777">
                  <w:pPr>
                    <w:rPr>
                      <w:rFonts w:asciiTheme="minorHAnsi" w:hAnsiTheme="minorHAnsi" w:cstheme="minorHAnsi"/>
                      <w:sz w:val="20"/>
                    </w:rPr>
                  </w:pPr>
                  <w:r w:rsidRPr="0027711D">
                    <w:rPr>
                      <w:rFonts w:asciiTheme="minorHAnsi" w:hAnsiTheme="minorHAnsi" w:cstheme="minorHAnsi"/>
                      <w:sz w:val="20"/>
                    </w:rPr>
                    <w:t>25 mg/kg/dose</w:t>
                  </w:r>
                </w:p>
              </w:tc>
              <w:tc>
                <w:tcPr>
                  <w:tcW w:w="1843"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052C6DFB" w14:textId="77777777">
                  <w:pPr>
                    <w:rPr>
                      <w:rFonts w:asciiTheme="minorHAnsi" w:hAnsiTheme="minorHAnsi" w:cstheme="minorHAnsi"/>
                      <w:sz w:val="20"/>
                    </w:rPr>
                  </w:pPr>
                  <w:r w:rsidRPr="0027711D">
                    <w:rPr>
                      <w:rFonts w:asciiTheme="minorHAnsi" w:hAnsiTheme="minorHAnsi" w:cstheme="minorHAnsi"/>
                      <w:sz w:val="20"/>
                    </w:rPr>
                    <w:t>8 hourly</w:t>
                  </w:r>
                </w:p>
              </w:tc>
            </w:tr>
            <w:tr w:rsidRPr="0027711D" w:rsidR="0092511E" w:rsidTr="0059793A" w14:paraId="49641FCA" w14:textId="77777777">
              <w:tc>
                <w:tcPr>
                  <w:tcW w:w="1980" w:type="dxa"/>
                  <w:vMerge/>
                  <w:tcBorders>
                    <w:left w:val="single" w:color="auto" w:sz="4" w:space="0"/>
                    <w:bottom w:val="single" w:color="auto" w:sz="4" w:space="0"/>
                    <w:right w:val="single" w:color="auto" w:sz="4" w:space="0"/>
                  </w:tcBorders>
                  <w:vAlign w:val="center"/>
                </w:tcPr>
                <w:p w:rsidRPr="0027711D" w:rsidR="0092511E" w:rsidP="0059793A" w:rsidRDefault="0092511E" w14:paraId="22A7F594" w14:textId="77777777">
                  <w:pPr>
                    <w:rPr>
                      <w:rFonts w:asciiTheme="minorHAnsi" w:hAnsiTheme="minorHAnsi" w:cstheme="minorHAnsi"/>
                      <w:sz w:val="20"/>
                    </w:rPr>
                  </w:pPr>
                </w:p>
              </w:tc>
              <w:tc>
                <w:tcPr>
                  <w:tcW w:w="1559"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2084F74C" w14:textId="77777777">
                  <w:pPr>
                    <w:rPr>
                      <w:rFonts w:asciiTheme="minorHAnsi" w:hAnsiTheme="minorHAnsi" w:cstheme="minorHAnsi"/>
                      <w:sz w:val="20"/>
                    </w:rPr>
                  </w:pPr>
                  <w:r w:rsidRPr="0027711D">
                    <w:rPr>
                      <w:rFonts w:asciiTheme="minorHAnsi" w:hAnsiTheme="minorHAnsi" w:cstheme="minorHAnsi"/>
                      <w:sz w:val="20"/>
                    </w:rPr>
                    <w:t>≥ 2000</w:t>
                  </w:r>
                </w:p>
              </w:tc>
              <w:tc>
                <w:tcPr>
                  <w:tcW w:w="2126" w:type="dxa"/>
                  <w:tcBorders>
                    <w:top w:val="single" w:color="auto" w:sz="4" w:space="0"/>
                    <w:left w:val="single" w:color="auto" w:sz="4" w:space="0"/>
                    <w:bottom w:val="single" w:color="auto" w:sz="4" w:space="0"/>
                    <w:right w:val="single" w:color="auto" w:sz="4" w:space="0"/>
                  </w:tcBorders>
                  <w:vAlign w:val="center"/>
                </w:tcPr>
                <w:p w:rsidRPr="0027711D" w:rsidR="0092511E" w:rsidP="0059793A" w:rsidRDefault="0092511E" w14:paraId="280FF1DB" w14:textId="77777777">
                  <w:pPr>
                    <w:rPr>
                      <w:rFonts w:asciiTheme="minorHAnsi" w:hAnsiTheme="minorHAnsi" w:cstheme="minorHAnsi"/>
                      <w:sz w:val="20"/>
                    </w:rPr>
                  </w:pPr>
                  <w:r w:rsidRPr="0027711D">
                    <w:rPr>
                      <w:rFonts w:asciiTheme="minorHAnsi" w:hAnsiTheme="minorHAnsi" w:cstheme="minorHAnsi"/>
                      <w:sz w:val="20"/>
                    </w:rPr>
                    <w:t>50 mg/kg/dose</w:t>
                  </w:r>
                </w:p>
              </w:tc>
              <w:tc>
                <w:tcPr>
                  <w:tcW w:w="1843" w:type="dxa"/>
                  <w:tcBorders>
                    <w:top w:val="single" w:color="auto" w:sz="4" w:space="0"/>
                    <w:left w:val="single" w:color="auto" w:sz="4" w:space="0"/>
                    <w:bottom w:val="single" w:color="auto" w:sz="4" w:space="0"/>
                    <w:right w:val="single" w:color="auto" w:sz="4" w:space="0"/>
                  </w:tcBorders>
                </w:tcPr>
                <w:p w:rsidRPr="0027711D" w:rsidR="0092511E" w:rsidP="0059793A" w:rsidRDefault="0092511E" w14:paraId="06BE30D5" w14:textId="77777777">
                  <w:pPr>
                    <w:rPr>
                      <w:rFonts w:asciiTheme="minorHAnsi" w:hAnsiTheme="minorHAnsi" w:cstheme="minorHAnsi"/>
                      <w:sz w:val="20"/>
                    </w:rPr>
                  </w:pPr>
                  <w:r w:rsidRPr="0027711D">
                    <w:rPr>
                      <w:rFonts w:asciiTheme="minorHAnsi" w:hAnsiTheme="minorHAnsi" w:cstheme="minorHAnsi"/>
                      <w:sz w:val="20"/>
                    </w:rPr>
                    <w:t>8 hourly</w:t>
                  </w:r>
                </w:p>
              </w:tc>
            </w:tr>
          </w:tbl>
          <w:p w:rsidRPr="0027711D" w:rsidR="0092511E" w:rsidP="0059793A" w:rsidRDefault="0092511E" w14:paraId="21245C01" w14:textId="77777777">
            <w:pPr>
              <w:pStyle w:val="BodyText"/>
              <w:ind w:left="720" w:hanging="720"/>
              <w:rPr>
                <w:rFonts w:asciiTheme="minorHAnsi" w:hAnsiTheme="minorHAnsi" w:cstheme="minorHAnsi"/>
                <w:sz w:val="20"/>
              </w:rPr>
            </w:pPr>
          </w:p>
        </w:tc>
      </w:tr>
      <w:tr w:rsidRPr="0027711D" w:rsidR="0092511E" w:rsidTr="00204576" w14:paraId="68079A9B" w14:textId="77777777">
        <w:trPr>
          <w:trHeight w:val="263"/>
        </w:trPr>
        <w:tc>
          <w:tcPr>
            <w:tcW w:w="875" w:type="pct"/>
          </w:tcPr>
          <w:p w:rsidRPr="0027711D" w:rsidR="0092511E" w:rsidP="0059793A" w:rsidRDefault="0092511E" w14:paraId="5C9C6BB4" w14:textId="77777777">
            <w:pPr>
              <w:pStyle w:val="BodyText"/>
              <w:rPr>
                <w:rFonts w:asciiTheme="minorHAnsi" w:hAnsiTheme="minorHAnsi" w:cstheme="minorHAnsi"/>
                <w:b/>
                <w:sz w:val="20"/>
              </w:rPr>
            </w:pPr>
            <w:r w:rsidRPr="0027711D">
              <w:rPr>
                <w:rFonts w:asciiTheme="minorHAnsi" w:hAnsiTheme="minorHAnsi" w:cstheme="minorHAnsi"/>
                <w:b/>
                <w:sz w:val="20"/>
              </w:rPr>
              <w:t>Dose adjustment</w:t>
            </w:r>
          </w:p>
        </w:tc>
        <w:tc>
          <w:tcPr>
            <w:tcW w:w="4125" w:type="pct"/>
          </w:tcPr>
          <w:p w:rsidRPr="0027711D" w:rsidR="0092511E" w:rsidP="0059793A" w:rsidRDefault="0092511E" w14:paraId="77DCADE1" w14:textId="77777777">
            <w:pPr>
              <w:pStyle w:val="BodyText"/>
              <w:rPr>
                <w:rFonts w:asciiTheme="minorHAnsi" w:hAnsiTheme="minorHAnsi" w:cstheme="minorHAnsi"/>
                <w:sz w:val="20"/>
              </w:rPr>
            </w:pPr>
          </w:p>
        </w:tc>
      </w:tr>
      <w:tr w:rsidRPr="0027711D" w:rsidR="0092511E" w:rsidTr="00204576" w14:paraId="33A6C277" w14:textId="77777777">
        <w:trPr>
          <w:trHeight w:val="263"/>
        </w:trPr>
        <w:tc>
          <w:tcPr>
            <w:tcW w:w="875" w:type="pct"/>
          </w:tcPr>
          <w:p w:rsidRPr="0027711D" w:rsidR="0092511E" w:rsidP="0059793A" w:rsidRDefault="0092511E" w14:paraId="06C30E8B" w14:textId="77777777">
            <w:pPr>
              <w:pStyle w:val="BodyText"/>
              <w:rPr>
                <w:rFonts w:asciiTheme="minorHAnsi" w:hAnsiTheme="minorHAnsi" w:cstheme="minorHAnsi"/>
                <w:b/>
                <w:sz w:val="20"/>
              </w:rPr>
            </w:pPr>
            <w:r w:rsidRPr="0027711D">
              <w:rPr>
                <w:rFonts w:asciiTheme="minorHAnsi" w:hAnsiTheme="minorHAnsi" w:cstheme="minorHAnsi"/>
                <w:b/>
                <w:sz w:val="20"/>
              </w:rPr>
              <w:t>Maximum dose</w:t>
            </w:r>
          </w:p>
        </w:tc>
        <w:tc>
          <w:tcPr>
            <w:tcW w:w="4125" w:type="pct"/>
          </w:tcPr>
          <w:p w:rsidRPr="0027711D" w:rsidR="0092511E" w:rsidP="0059793A" w:rsidRDefault="0092511E" w14:paraId="0411A2FF" w14:textId="77777777">
            <w:pPr>
              <w:pStyle w:val="BodyText"/>
              <w:rPr>
                <w:rFonts w:asciiTheme="minorHAnsi" w:hAnsiTheme="minorHAnsi" w:cstheme="minorHAnsi"/>
                <w:sz w:val="20"/>
              </w:rPr>
            </w:pPr>
          </w:p>
        </w:tc>
      </w:tr>
      <w:tr w:rsidRPr="0027711D" w:rsidR="0092511E" w:rsidTr="00204576" w14:paraId="58FDD3B4" w14:textId="77777777">
        <w:trPr>
          <w:trHeight w:val="263"/>
        </w:trPr>
        <w:tc>
          <w:tcPr>
            <w:tcW w:w="875" w:type="pct"/>
          </w:tcPr>
          <w:p w:rsidRPr="0027711D" w:rsidR="0092511E" w:rsidP="0059793A" w:rsidRDefault="0092511E" w14:paraId="1F7F210E" w14:textId="77777777">
            <w:pPr>
              <w:pStyle w:val="BodyText"/>
              <w:rPr>
                <w:rFonts w:asciiTheme="minorHAnsi" w:hAnsiTheme="minorHAnsi" w:cstheme="minorHAnsi"/>
                <w:b/>
                <w:bCs/>
                <w:sz w:val="20"/>
              </w:rPr>
            </w:pPr>
            <w:r w:rsidRPr="0027711D">
              <w:rPr>
                <w:rFonts w:asciiTheme="minorHAnsi" w:hAnsiTheme="minorHAnsi" w:cstheme="minorHAnsi"/>
                <w:b/>
                <w:sz w:val="20"/>
              </w:rPr>
              <w:t>Total cumulative dose</w:t>
            </w:r>
          </w:p>
        </w:tc>
        <w:tc>
          <w:tcPr>
            <w:tcW w:w="4125" w:type="pct"/>
          </w:tcPr>
          <w:p w:rsidRPr="0027711D" w:rsidR="0092511E" w:rsidP="0059793A" w:rsidRDefault="0092511E" w14:paraId="6B23D70C" w14:textId="77777777">
            <w:pPr>
              <w:pStyle w:val="BodyText"/>
              <w:rPr>
                <w:rFonts w:asciiTheme="minorHAnsi" w:hAnsiTheme="minorHAnsi" w:cstheme="minorHAnsi"/>
                <w:b/>
                <w:sz w:val="20"/>
              </w:rPr>
            </w:pPr>
          </w:p>
        </w:tc>
      </w:tr>
      <w:tr w:rsidRPr="0027711D" w:rsidR="0092511E" w:rsidTr="00204576" w14:paraId="45BF81D9" w14:textId="77777777">
        <w:trPr>
          <w:trHeight w:val="263"/>
        </w:trPr>
        <w:tc>
          <w:tcPr>
            <w:tcW w:w="875" w:type="pct"/>
          </w:tcPr>
          <w:p w:rsidRPr="0027711D" w:rsidR="0092511E" w:rsidP="0059793A" w:rsidRDefault="0092511E" w14:paraId="1CAF9368" w14:textId="77777777">
            <w:pPr>
              <w:pStyle w:val="BodyText"/>
              <w:rPr>
                <w:rFonts w:asciiTheme="minorHAnsi" w:hAnsiTheme="minorHAnsi" w:cstheme="minorHAnsi"/>
                <w:sz w:val="20"/>
              </w:rPr>
            </w:pPr>
            <w:r w:rsidRPr="0027711D">
              <w:rPr>
                <w:rFonts w:asciiTheme="minorHAnsi" w:hAnsiTheme="minorHAnsi" w:cstheme="minorHAnsi"/>
                <w:b/>
                <w:bCs/>
                <w:sz w:val="20"/>
              </w:rPr>
              <w:t>Route</w:t>
            </w:r>
          </w:p>
        </w:tc>
        <w:tc>
          <w:tcPr>
            <w:tcW w:w="4125" w:type="pct"/>
          </w:tcPr>
          <w:p w:rsidRPr="0027711D" w:rsidR="0092511E" w:rsidP="0059793A" w:rsidRDefault="0092511E" w14:paraId="16B6CFA8" w14:textId="77777777">
            <w:pPr>
              <w:pStyle w:val="BodyText"/>
              <w:rPr>
                <w:rFonts w:asciiTheme="minorHAnsi" w:hAnsiTheme="minorHAnsi" w:cstheme="minorHAnsi"/>
                <w:sz w:val="20"/>
              </w:rPr>
            </w:pPr>
            <w:r w:rsidRPr="0027711D">
              <w:rPr>
                <w:rFonts w:asciiTheme="minorHAnsi" w:hAnsiTheme="minorHAnsi" w:cstheme="minorHAnsi"/>
                <w:sz w:val="20"/>
              </w:rPr>
              <w:t>IV infusion (preferable)</w:t>
            </w:r>
          </w:p>
          <w:p w:rsidRPr="0027711D" w:rsidR="0092511E" w:rsidP="0059793A" w:rsidRDefault="0092511E" w14:paraId="7E490F75" w14:textId="77777777">
            <w:pPr>
              <w:pStyle w:val="BodyText"/>
              <w:rPr>
                <w:rFonts w:asciiTheme="minorHAnsi" w:hAnsiTheme="minorHAnsi" w:cstheme="minorHAnsi"/>
                <w:sz w:val="20"/>
              </w:rPr>
            </w:pPr>
            <w:r w:rsidRPr="0027711D">
              <w:rPr>
                <w:rFonts w:asciiTheme="minorHAnsi" w:hAnsiTheme="minorHAnsi" w:cstheme="minorHAnsi"/>
                <w:sz w:val="20"/>
              </w:rPr>
              <w:t>IV bolus</w:t>
            </w:r>
          </w:p>
          <w:p w:rsidRPr="0027711D" w:rsidR="0092511E" w:rsidP="0059793A" w:rsidRDefault="0092511E" w14:paraId="53E2FAE2" w14:textId="77777777">
            <w:pPr>
              <w:pStyle w:val="BodyText"/>
              <w:rPr>
                <w:rFonts w:asciiTheme="minorHAnsi" w:hAnsiTheme="minorHAnsi" w:cstheme="minorHAnsi"/>
                <w:sz w:val="20"/>
              </w:rPr>
            </w:pPr>
            <w:r w:rsidRPr="0027711D">
              <w:rPr>
                <w:rFonts w:asciiTheme="minorHAnsi" w:hAnsiTheme="minorHAnsi" w:cstheme="minorHAnsi"/>
                <w:sz w:val="20"/>
              </w:rPr>
              <w:t>IM</w:t>
            </w:r>
          </w:p>
        </w:tc>
      </w:tr>
      <w:tr w:rsidRPr="0027711D" w:rsidR="0092511E" w:rsidTr="00204576" w14:paraId="1D0CA134" w14:textId="77777777">
        <w:trPr>
          <w:trHeight w:val="263"/>
        </w:trPr>
        <w:tc>
          <w:tcPr>
            <w:tcW w:w="875" w:type="pct"/>
          </w:tcPr>
          <w:p w:rsidRPr="0027711D" w:rsidR="0092511E" w:rsidP="0059793A" w:rsidRDefault="0092511E" w14:paraId="5EE54230" w14:textId="77777777">
            <w:pPr>
              <w:pStyle w:val="BodyText"/>
              <w:rPr>
                <w:rFonts w:asciiTheme="minorHAnsi" w:hAnsiTheme="minorHAnsi" w:cstheme="minorHAnsi"/>
                <w:b/>
                <w:bCs/>
                <w:sz w:val="20"/>
                <w:highlight w:val="cyan"/>
              </w:rPr>
            </w:pPr>
            <w:r w:rsidRPr="0027711D">
              <w:rPr>
                <w:rFonts w:asciiTheme="minorHAnsi" w:hAnsiTheme="minorHAnsi" w:cstheme="minorHAnsi"/>
                <w:b/>
                <w:bCs/>
                <w:sz w:val="20"/>
              </w:rPr>
              <w:t>Preparation</w:t>
            </w:r>
          </w:p>
        </w:tc>
        <w:tc>
          <w:tcPr>
            <w:tcW w:w="4125" w:type="pct"/>
          </w:tcPr>
          <w:p w:rsidRPr="0027711D" w:rsidR="0092511E" w:rsidP="0059793A" w:rsidRDefault="0092511E" w14:paraId="1C291BE8" w14:textId="77777777">
            <w:pPr>
              <w:widowControl w:val="0"/>
              <w:autoSpaceDE w:val="0"/>
              <w:autoSpaceDN w:val="0"/>
              <w:adjustRightInd w:val="0"/>
              <w:rPr>
                <w:rFonts w:asciiTheme="minorHAnsi" w:hAnsiTheme="minorHAnsi" w:cstheme="minorHAnsi"/>
                <w:b/>
                <w:color w:val="000000"/>
                <w:sz w:val="20"/>
                <w:u w:val="single"/>
                <w:lang w:val="en-US"/>
              </w:rPr>
            </w:pPr>
            <w:r w:rsidRPr="0027711D">
              <w:rPr>
                <w:rFonts w:asciiTheme="minorHAnsi" w:hAnsiTheme="minorHAnsi" w:cstheme="minorHAnsi"/>
                <w:b/>
                <w:color w:val="000000"/>
                <w:sz w:val="20"/>
                <w:u w:val="single"/>
                <w:lang w:val="en-US"/>
              </w:rPr>
              <w:t>IV Infusion</w:t>
            </w:r>
          </w:p>
          <w:p w:rsidRPr="0027711D" w:rsidR="0092511E" w:rsidP="0059793A" w:rsidRDefault="0092511E" w14:paraId="70205F68" w14:textId="77777777">
            <w:pPr>
              <w:widowControl w:val="0"/>
              <w:autoSpaceDE w:val="0"/>
              <w:autoSpaceDN w:val="0"/>
              <w:adjustRightInd w:val="0"/>
              <w:rPr>
                <w:rFonts w:asciiTheme="minorHAnsi" w:hAnsiTheme="minorHAnsi" w:cstheme="minorHAnsi"/>
                <w:color w:val="000000"/>
                <w:sz w:val="20"/>
                <w:lang w:val="en-US"/>
              </w:rPr>
            </w:pPr>
            <w:r w:rsidRPr="0027711D">
              <w:rPr>
                <w:rFonts w:asciiTheme="minorHAnsi" w:hAnsiTheme="minorHAnsi" w:cstheme="minorHAnsi"/>
                <w:color w:val="000000"/>
                <w:sz w:val="20"/>
                <w:lang w:val="en-US"/>
              </w:rPr>
              <w:t>Add 9.5 mL water for injection to the 1 g vial to make 100 mg/mL solution</w:t>
            </w:r>
          </w:p>
          <w:p w:rsidRPr="0027711D" w:rsidR="0092511E" w:rsidP="0059793A" w:rsidRDefault="0092511E" w14:paraId="24F9079A" w14:textId="77777777">
            <w:pPr>
              <w:widowControl w:val="0"/>
              <w:autoSpaceDE w:val="0"/>
              <w:autoSpaceDN w:val="0"/>
              <w:adjustRightInd w:val="0"/>
              <w:rPr>
                <w:rFonts w:asciiTheme="minorHAnsi" w:hAnsiTheme="minorHAnsi" w:cstheme="minorHAnsi"/>
                <w:b/>
                <w:color w:val="000000"/>
                <w:sz w:val="20"/>
                <w:lang w:val="en-US"/>
              </w:rPr>
            </w:pPr>
            <w:r w:rsidRPr="0027711D">
              <w:rPr>
                <w:rFonts w:asciiTheme="minorHAnsi" w:hAnsiTheme="minorHAnsi" w:cstheme="minorHAnsi"/>
                <w:b/>
                <w:color w:val="000000"/>
                <w:sz w:val="20"/>
                <w:lang w:val="en-US"/>
              </w:rPr>
              <w:t>FURTHER DILUTE</w:t>
            </w:r>
          </w:p>
          <w:p w:rsidRPr="0027711D" w:rsidR="0092511E" w:rsidP="0059793A" w:rsidRDefault="0092511E" w14:paraId="00A56B4D" w14:textId="77777777">
            <w:pPr>
              <w:widowControl w:val="0"/>
              <w:autoSpaceDE w:val="0"/>
              <w:autoSpaceDN w:val="0"/>
              <w:adjustRightInd w:val="0"/>
              <w:rPr>
                <w:rFonts w:asciiTheme="minorHAnsi" w:hAnsiTheme="minorHAnsi" w:cstheme="minorHAnsi"/>
                <w:color w:val="000000"/>
                <w:sz w:val="20"/>
                <w:lang w:val="en-US"/>
              </w:rPr>
            </w:pPr>
            <w:r w:rsidRPr="0027711D">
              <w:rPr>
                <w:rFonts w:asciiTheme="minorHAnsi" w:hAnsiTheme="minorHAnsi" w:cstheme="minorHAnsi"/>
                <w:color w:val="000000"/>
                <w:sz w:val="20"/>
                <w:lang w:val="en-US"/>
              </w:rPr>
              <w:t xml:space="preserve">Draw up 5 mL (500 mg of cefazolin) and add 15 mL of sodium chloride 0.9% to make a final volume of 20 mL with a final </w:t>
            </w:r>
            <w:r>
              <w:rPr>
                <w:rFonts w:asciiTheme="minorHAnsi" w:hAnsiTheme="minorHAnsi" w:cstheme="minorHAnsi"/>
                <w:color w:val="000000"/>
                <w:sz w:val="20"/>
                <w:lang w:val="en-US"/>
              </w:rPr>
              <w:t>concentration of 25 mg/mL.</w:t>
            </w:r>
          </w:p>
          <w:p w:rsidRPr="0027711D" w:rsidR="0092511E" w:rsidP="0059793A" w:rsidRDefault="0092511E" w14:paraId="65121FF8" w14:textId="77777777">
            <w:pPr>
              <w:widowControl w:val="0"/>
              <w:autoSpaceDE w:val="0"/>
              <w:autoSpaceDN w:val="0"/>
              <w:adjustRightInd w:val="0"/>
              <w:rPr>
                <w:rFonts w:asciiTheme="minorHAnsi" w:hAnsiTheme="minorHAnsi" w:cstheme="minorHAnsi"/>
                <w:color w:val="000000"/>
                <w:sz w:val="20"/>
                <w:lang w:val="en-US"/>
              </w:rPr>
            </w:pPr>
          </w:p>
          <w:p w:rsidRPr="0027711D" w:rsidR="0092511E" w:rsidP="0059793A" w:rsidRDefault="0092511E" w14:paraId="03615360" w14:textId="77777777">
            <w:pPr>
              <w:widowControl w:val="0"/>
              <w:autoSpaceDE w:val="0"/>
              <w:autoSpaceDN w:val="0"/>
              <w:adjustRightInd w:val="0"/>
              <w:rPr>
                <w:rFonts w:asciiTheme="minorHAnsi" w:hAnsiTheme="minorHAnsi" w:cstheme="minorHAnsi"/>
                <w:color w:val="000000"/>
                <w:sz w:val="20"/>
                <w:lang w:val="en-US"/>
              </w:rPr>
            </w:pPr>
            <w:r w:rsidRPr="0027711D">
              <w:rPr>
                <w:rFonts w:asciiTheme="minorHAnsi" w:hAnsiTheme="minorHAnsi" w:cstheme="minorHAnsi"/>
                <w:b/>
                <w:color w:val="000000"/>
                <w:sz w:val="20"/>
                <w:u w:val="single"/>
                <w:lang w:val="en-US"/>
              </w:rPr>
              <w:t>IV bolus</w:t>
            </w:r>
            <w:r w:rsidRPr="0027711D">
              <w:rPr>
                <w:rFonts w:asciiTheme="minorHAnsi" w:hAnsiTheme="minorHAnsi" w:cstheme="minorHAnsi"/>
                <w:b/>
                <w:color w:val="000000"/>
                <w:sz w:val="20"/>
                <w:lang w:val="en-US"/>
              </w:rPr>
              <w:t>:</w:t>
            </w:r>
            <w:r w:rsidRPr="0027711D">
              <w:rPr>
                <w:rFonts w:asciiTheme="minorHAnsi" w:hAnsiTheme="minorHAnsi" w:cstheme="minorHAnsi"/>
                <w:color w:val="000000"/>
                <w:sz w:val="20"/>
                <w:lang w:val="en-US"/>
              </w:rPr>
              <w:t xml:space="preserve"> Add 9.5 mL water for injection to the 1 g vial to make a 100 mg/mL solution.</w:t>
            </w:r>
          </w:p>
          <w:p w:rsidRPr="0027711D" w:rsidR="0092511E" w:rsidP="0059793A" w:rsidRDefault="0092511E" w14:paraId="47C8467E" w14:textId="77777777">
            <w:pPr>
              <w:widowControl w:val="0"/>
              <w:autoSpaceDE w:val="0"/>
              <w:autoSpaceDN w:val="0"/>
              <w:adjustRightInd w:val="0"/>
              <w:rPr>
                <w:rFonts w:asciiTheme="minorHAnsi" w:hAnsiTheme="minorHAnsi" w:cstheme="minorHAnsi"/>
                <w:color w:val="000000"/>
                <w:sz w:val="20"/>
                <w:lang w:val="en-US"/>
              </w:rPr>
            </w:pPr>
          </w:p>
          <w:p w:rsidRPr="0027711D" w:rsidR="0092511E" w:rsidP="0059793A" w:rsidRDefault="0092511E" w14:paraId="69452796" w14:textId="77777777">
            <w:pPr>
              <w:pStyle w:val="BodyText"/>
              <w:rPr>
                <w:rFonts w:asciiTheme="minorHAnsi" w:hAnsiTheme="minorHAnsi" w:cstheme="minorHAnsi"/>
                <w:sz w:val="20"/>
              </w:rPr>
            </w:pPr>
            <w:r w:rsidRPr="0027711D">
              <w:rPr>
                <w:rFonts w:asciiTheme="minorHAnsi" w:hAnsiTheme="minorHAnsi" w:cstheme="minorHAnsi"/>
                <w:b/>
                <w:color w:val="000000"/>
                <w:sz w:val="20"/>
                <w:u w:val="single"/>
                <w:lang w:val="en-US"/>
              </w:rPr>
              <w:t>IM</w:t>
            </w:r>
            <w:r w:rsidRPr="0027711D">
              <w:rPr>
                <w:rFonts w:asciiTheme="minorHAnsi" w:hAnsiTheme="minorHAnsi" w:cstheme="minorHAnsi"/>
                <w:b/>
                <w:color w:val="000000"/>
                <w:sz w:val="20"/>
                <w:lang w:val="en-US"/>
              </w:rPr>
              <w:t>:</w:t>
            </w:r>
            <w:r w:rsidRPr="0027711D">
              <w:rPr>
                <w:rFonts w:asciiTheme="minorHAnsi" w:hAnsiTheme="minorHAnsi" w:cstheme="minorHAnsi"/>
                <w:color w:val="000000"/>
                <w:sz w:val="20"/>
                <w:lang w:val="en-US"/>
              </w:rPr>
              <w:t xml:space="preserve"> Add 2.5 mL water for injection to the 1 g vial to make a 330 mg/mL solution.</w:t>
            </w:r>
          </w:p>
        </w:tc>
      </w:tr>
      <w:tr w:rsidRPr="0027711D" w:rsidR="0092511E" w:rsidTr="00204576" w14:paraId="64C4647B" w14:textId="77777777">
        <w:trPr>
          <w:trHeight w:val="263"/>
        </w:trPr>
        <w:tc>
          <w:tcPr>
            <w:tcW w:w="875" w:type="pct"/>
          </w:tcPr>
          <w:p w:rsidRPr="0027711D" w:rsidR="0092511E" w:rsidP="0059793A" w:rsidRDefault="0092511E" w14:paraId="0890F719" w14:textId="77777777">
            <w:pPr>
              <w:pStyle w:val="BodyText"/>
              <w:rPr>
                <w:rFonts w:asciiTheme="minorHAnsi" w:hAnsiTheme="minorHAnsi" w:cstheme="minorHAnsi"/>
                <w:b/>
                <w:bCs/>
                <w:sz w:val="20"/>
              </w:rPr>
            </w:pPr>
            <w:r w:rsidRPr="0027711D">
              <w:rPr>
                <w:rFonts w:asciiTheme="minorHAnsi" w:hAnsiTheme="minorHAnsi" w:cstheme="minorHAnsi"/>
                <w:b/>
                <w:bCs/>
                <w:sz w:val="20"/>
              </w:rPr>
              <w:t>Administration</w:t>
            </w:r>
          </w:p>
        </w:tc>
        <w:tc>
          <w:tcPr>
            <w:tcW w:w="4125" w:type="pct"/>
          </w:tcPr>
          <w:p w:rsidRPr="0027711D" w:rsidR="0092511E" w:rsidP="0059793A" w:rsidRDefault="0092511E" w14:paraId="3C643E31" w14:textId="77777777">
            <w:pPr>
              <w:pStyle w:val="BodyText"/>
              <w:rPr>
                <w:rFonts w:asciiTheme="minorHAnsi" w:hAnsiTheme="minorHAnsi" w:cstheme="minorHAnsi"/>
                <w:sz w:val="20"/>
              </w:rPr>
            </w:pPr>
            <w:r w:rsidRPr="0027711D">
              <w:rPr>
                <w:rFonts w:asciiTheme="minorHAnsi" w:hAnsiTheme="minorHAnsi" w:cstheme="minorHAnsi"/>
                <w:sz w:val="20"/>
              </w:rPr>
              <w:t>IV infusion: Infuse over 30 minutes (10-60 minutes).</w:t>
            </w:r>
          </w:p>
          <w:p w:rsidRPr="0027711D" w:rsidR="0092511E" w:rsidP="0059793A" w:rsidRDefault="0092511E" w14:paraId="6CB2BBE9" w14:textId="77777777">
            <w:pPr>
              <w:pStyle w:val="BodyText"/>
              <w:rPr>
                <w:rFonts w:asciiTheme="minorHAnsi" w:hAnsiTheme="minorHAnsi" w:cstheme="minorHAnsi"/>
                <w:sz w:val="20"/>
              </w:rPr>
            </w:pPr>
            <w:r w:rsidRPr="0027711D">
              <w:rPr>
                <w:rFonts w:asciiTheme="minorHAnsi" w:hAnsiTheme="minorHAnsi" w:cstheme="minorHAnsi"/>
                <w:sz w:val="20"/>
              </w:rPr>
              <w:t xml:space="preserve">IV bolus: Slow injection over 5 minutes. </w:t>
            </w:r>
          </w:p>
          <w:p w:rsidRPr="0027711D" w:rsidR="0092511E" w:rsidP="0059793A" w:rsidRDefault="0092511E" w14:paraId="1FDFB8E1" w14:textId="77777777">
            <w:pPr>
              <w:pStyle w:val="BodyText"/>
              <w:rPr>
                <w:rFonts w:asciiTheme="minorHAnsi" w:hAnsiTheme="minorHAnsi" w:cstheme="minorHAnsi"/>
                <w:sz w:val="20"/>
              </w:rPr>
            </w:pPr>
            <w:r w:rsidRPr="0027711D">
              <w:rPr>
                <w:rFonts w:asciiTheme="minorHAnsi" w:hAnsiTheme="minorHAnsi" w:cstheme="minorHAnsi"/>
                <w:sz w:val="20"/>
              </w:rPr>
              <w:t xml:space="preserve">IM: Inject deep into large muscle mass. </w:t>
            </w:r>
          </w:p>
        </w:tc>
      </w:tr>
      <w:tr w:rsidRPr="0027711D" w:rsidR="0092511E" w:rsidTr="00204576" w14:paraId="04EFD770" w14:textId="77777777">
        <w:trPr>
          <w:trHeight w:val="263"/>
        </w:trPr>
        <w:tc>
          <w:tcPr>
            <w:tcW w:w="875" w:type="pct"/>
          </w:tcPr>
          <w:p w:rsidRPr="0027711D" w:rsidR="0092511E" w:rsidP="0059793A" w:rsidRDefault="0092511E" w14:paraId="5D4FAD3B" w14:textId="77777777">
            <w:pPr>
              <w:pStyle w:val="BodyText"/>
              <w:rPr>
                <w:rFonts w:asciiTheme="minorHAnsi" w:hAnsiTheme="minorHAnsi" w:cstheme="minorHAnsi"/>
                <w:b/>
                <w:bCs/>
                <w:sz w:val="20"/>
              </w:rPr>
            </w:pPr>
            <w:r w:rsidRPr="0027711D">
              <w:rPr>
                <w:rFonts w:asciiTheme="minorHAnsi" w:hAnsiTheme="minorHAnsi" w:cstheme="minorHAnsi"/>
                <w:b/>
                <w:bCs/>
                <w:sz w:val="20"/>
              </w:rPr>
              <w:t>Monitoring</w:t>
            </w:r>
          </w:p>
        </w:tc>
        <w:tc>
          <w:tcPr>
            <w:tcW w:w="4125" w:type="pct"/>
          </w:tcPr>
          <w:p w:rsidRPr="0027711D" w:rsidR="0092511E" w:rsidP="0059793A" w:rsidRDefault="0092511E" w14:paraId="54B59583" w14:textId="77777777">
            <w:pPr>
              <w:pStyle w:val="BodyText"/>
              <w:rPr>
                <w:rFonts w:asciiTheme="minorHAnsi" w:hAnsiTheme="minorHAnsi" w:cstheme="minorHAnsi"/>
                <w:sz w:val="20"/>
              </w:rPr>
            </w:pPr>
            <w:r w:rsidRPr="0027711D">
              <w:rPr>
                <w:rFonts w:asciiTheme="minorHAnsi" w:hAnsiTheme="minorHAnsi" w:cstheme="minorHAnsi"/>
                <w:sz w:val="20"/>
              </w:rPr>
              <w:t>Serum concentrations are not routinely monitored.</w:t>
            </w:r>
          </w:p>
          <w:p w:rsidRPr="0027711D" w:rsidR="0092511E" w:rsidP="0059793A" w:rsidRDefault="0092511E" w14:paraId="55359DB4" w14:textId="77777777">
            <w:pPr>
              <w:pStyle w:val="BodyText"/>
              <w:rPr>
                <w:rFonts w:asciiTheme="minorHAnsi" w:hAnsiTheme="minorHAnsi" w:cstheme="minorHAnsi"/>
                <w:sz w:val="20"/>
              </w:rPr>
            </w:pPr>
            <w:r w:rsidRPr="0027711D">
              <w:rPr>
                <w:rFonts w:asciiTheme="minorHAnsi" w:hAnsiTheme="minorHAnsi" w:cstheme="minorHAnsi"/>
                <w:sz w:val="20"/>
              </w:rPr>
              <w:t>Perform renal function, electrolytes and FBC during prolonged (&gt; 10 days) therapy.</w:t>
            </w:r>
          </w:p>
        </w:tc>
      </w:tr>
      <w:tr w:rsidRPr="0027711D" w:rsidR="0092511E" w:rsidTr="00204576" w14:paraId="487793C7" w14:textId="77777777">
        <w:trPr>
          <w:trHeight w:val="263"/>
        </w:trPr>
        <w:tc>
          <w:tcPr>
            <w:tcW w:w="875" w:type="pct"/>
          </w:tcPr>
          <w:p w:rsidRPr="0027711D" w:rsidR="0092511E" w:rsidP="0059793A" w:rsidRDefault="0092511E" w14:paraId="00289D63" w14:textId="77777777">
            <w:pPr>
              <w:pStyle w:val="BodyText"/>
              <w:rPr>
                <w:rFonts w:asciiTheme="minorHAnsi" w:hAnsiTheme="minorHAnsi" w:cstheme="minorHAnsi"/>
                <w:b/>
                <w:bCs/>
                <w:sz w:val="20"/>
              </w:rPr>
            </w:pPr>
            <w:r w:rsidRPr="0027711D">
              <w:rPr>
                <w:rFonts w:asciiTheme="minorHAnsi" w:hAnsiTheme="minorHAnsi" w:cstheme="minorHAnsi"/>
                <w:b/>
                <w:bCs/>
                <w:sz w:val="20"/>
              </w:rPr>
              <w:t>Contraindications</w:t>
            </w:r>
          </w:p>
        </w:tc>
        <w:tc>
          <w:tcPr>
            <w:tcW w:w="4125" w:type="pct"/>
          </w:tcPr>
          <w:p w:rsidRPr="0027711D" w:rsidR="0092511E" w:rsidP="0059793A" w:rsidRDefault="0092511E" w14:paraId="312A8D32" w14:textId="77777777">
            <w:pPr>
              <w:pStyle w:val="BodyText"/>
              <w:rPr>
                <w:rFonts w:asciiTheme="minorHAnsi" w:hAnsiTheme="minorHAnsi" w:cstheme="minorHAnsi"/>
                <w:sz w:val="20"/>
              </w:rPr>
            </w:pPr>
            <w:r w:rsidRPr="0027711D">
              <w:rPr>
                <w:rFonts w:asciiTheme="minorHAnsi" w:hAnsiTheme="minorHAnsi" w:cstheme="minorHAnsi"/>
                <w:sz w:val="20"/>
                <w:lang w:val="en-US"/>
              </w:rPr>
              <w:t>History of allergy to cephalosporins, anaphylaxis to penicillin or carbapenem.</w:t>
            </w:r>
          </w:p>
        </w:tc>
      </w:tr>
      <w:tr w:rsidRPr="0027711D" w:rsidR="0092511E" w:rsidTr="00204576" w14:paraId="01A12152" w14:textId="77777777">
        <w:trPr>
          <w:trHeight w:val="263"/>
        </w:trPr>
        <w:tc>
          <w:tcPr>
            <w:tcW w:w="875" w:type="pct"/>
          </w:tcPr>
          <w:p w:rsidRPr="0027711D" w:rsidR="0092511E" w:rsidP="0059793A" w:rsidRDefault="0092511E" w14:paraId="2E6D0EA3" w14:textId="77777777">
            <w:pPr>
              <w:pStyle w:val="BodyText"/>
              <w:rPr>
                <w:rFonts w:asciiTheme="minorHAnsi" w:hAnsiTheme="minorHAnsi" w:cstheme="minorHAnsi"/>
                <w:b/>
                <w:bCs/>
                <w:sz w:val="20"/>
              </w:rPr>
            </w:pPr>
            <w:r w:rsidRPr="0027711D">
              <w:rPr>
                <w:rFonts w:asciiTheme="minorHAnsi" w:hAnsiTheme="minorHAnsi" w:cstheme="minorHAnsi"/>
                <w:sz w:val="20"/>
              </w:rPr>
              <w:br w:type="page"/>
            </w:r>
            <w:r w:rsidRPr="0027711D">
              <w:rPr>
                <w:rFonts w:asciiTheme="minorHAnsi" w:hAnsiTheme="minorHAnsi" w:cstheme="minorHAnsi"/>
                <w:b/>
                <w:bCs/>
                <w:sz w:val="20"/>
              </w:rPr>
              <w:t>Precautions</w:t>
            </w:r>
          </w:p>
        </w:tc>
        <w:tc>
          <w:tcPr>
            <w:tcW w:w="4125" w:type="pct"/>
          </w:tcPr>
          <w:p w:rsidRPr="0027711D" w:rsidR="0092511E" w:rsidP="0059793A" w:rsidRDefault="0092511E" w14:paraId="28D758C9" w14:textId="77777777">
            <w:pPr>
              <w:pStyle w:val="BodyText"/>
              <w:rPr>
                <w:rFonts w:asciiTheme="minorHAnsi" w:hAnsiTheme="minorHAnsi" w:cstheme="minorHAnsi"/>
                <w:sz w:val="20"/>
              </w:rPr>
            </w:pPr>
            <w:r w:rsidRPr="0027711D">
              <w:rPr>
                <w:rFonts w:asciiTheme="minorHAnsi" w:hAnsiTheme="minorHAnsi" w:cstheme="minorHAnsi"/>
                <w:sz w:val="20"/>
              </w:rPr>
              <w:t xml:space="preserve">Sodium restriction — each gram of cefazolin contains 48.3 mg (2.1 mmol) sodium. </w:t>
            </w:r>
          </w:p>
          <w:p w:rsidRPr="0027711D" w:rsidR="0092511E" w:rsidP="0059793A" w:rsidRDefault="0092511E" w14:paraId="6875DB21" w14:textId="77777777">
            <w:pPr>
              <w:pStyle w:val="BodyText"/>
              <w:rPr>
                <w:rFonts w:asciiTheme="minorHAnsi" w:hAnsiTheme="minorHAnsi" w:cstheme="minorHAnsi"/>
                <w:sz w:val="20"/>
              </w:rPr>
            </w:pPr>
            <w:r w:rsidRPr="0027711D">
              <w:rPr>
                <w:rFonts w:asciiTheme="minorHAnsi" w:hAnsiTheme="minorHAnsi" w:cstheme="minorHAnsi"/>
                <w:sz w:val="20"/>
              </w:rPr>
              <w:t>May increase risk of bleeding due to its effect on clotting factors.</w:t>
            </w:r>
          </w:p>
          <w:p w:rsidRPr="0027711D" w:rsidR="0092511E" w:rsidP="0059793A" w:rsidRDefault="0092511E" w14:paraId="0C645F1A" w14:textId="77777777">
            <w:pPr>
              <w:pStyle w:val="BodyText"/>
              <w:rPr>
                <w:rFonts w:asciiTheme="minorHAnsi" w:hAnsiTheme="minorHAnsi" w:cstheme="minorHAnsi"/>
                <w:sz w:val="20"/>
              </w:rPr>
            </w:pPr>
            <w:r w:rsidRPr="0027711D">
              <w:rPr>
                <w:rFonts w:asciiTheme="minorHAnsi" w:hAnsiTheme="minorHAnsi" w:cstheme="minorHAnsi"/>
                <w:sz w:val="20"/>
              </w:rPr>
              <w:t>Impaired renal function: consider reducing dose as seizures may occur if inappropriately high doses are administered.</w:t>
            </w:r>
          </w:p>
        </w:tc>
      </w:tr>
      <w:tr w:rsidRPr="0027711D" w:rsidR="0092511E" w:rsidTr="00204576" w14:paraId="3D1DC150" w14:textId="77777777">
        <w:trPr>
          <w:trHeight w:val="263"/>
        </w:trPr>
        <w:tc>
          <w:tcPr>
            <w:tcW w:w="875" w:type="pct"/>
          </w:tcPr>
          <w:p w:rsidRPr="0027711D" w:rsidR="0092511E" w:rsidP="0059793A" w:rsidRDefault="0092511E" w14:paraId="1D87F519" w14:textId="77777777">
            <w:pPr>
              <w:pStyle w:val="BodyText"/>
              <w:rPr>
                <w:rFonts w:asciiTheme="minorHAnsi" w:hAnsiTheme="minorHAnsi" w:cstheme="minorHAnsi"/>
                <w:b/>
                <w:bCs/>
                <w:sz w:val="20"/>
              </w:rPr>
            </w:pPr>
            <w:r w:rsidRPr="0027711D">
              <w:rPr>
                <w:rFonts w:asciiTheme="minorHAnsi" w:hAnsiTheme="minorHAnsi" w:cstheme="minorHAnsi"/>
                <w:b/>
                <w:bCs/>
                <w:sz w:val="20"/>
              </w:rPr>
              <w:lastRenderedPageBreak/>
              <w:t>Drug interactions</w:t>
            </w:r>
          </w:p>
        </w:tc>
        <w:tc>
          <w:tcPr>
            <w:tcW w:w="4125" w:type="pct"/>
          </w:tcPr>
          <w:p w:rsidRPr="0027711D" w:rsidR="0092511E" w:rsidP="0059793A" w:rsidRDefault="0092511E" w14:paraId="03D27D4E" w14:textId="77777777">
            <w:pPr>
              <w:pStyle w:val="BodyText"/>
              <w:rPr>
                <w:rFonts w:asciiTheme="minorHAnsi" w:hAnsiTheme="minorHAnsi" w:cstheme="minorHAnsi"/>
                <w:sz w:val="20"/>
              </w:rPr>
            </w:pPr>
            <w:r w:rsidRPr="0027711D">
              <w:rPr>
                <w:rFonts w:asciiTheme="minorHAnsi" w:hAnsiTheme="minorHAnsi" w:cstheme="minorHAnsi"/>
                <w:sz w:val="20"/>
              </w:rPr>
              <w:t>Administration with other drugs, particularly aminoglycosides may increase risk of nephrotoxicity.</w:t>
            </w:r>
          </w:p>
        </w:tc>
      </w:tr>
      <w:tr w:rsidRPr="0027711D" w:rsidR="0092511E" w:rsidTr="00204576" w14:paraId="24F4147A" w14:textId="77777777">
        <w:trPr>
          <w:trHeight w:val="263"/>
        </w:trPr>
        <w:tc>
          <w:tcPr>
            <w:tcW w:w="875" w:type="pct"/>
          </w:tcPr>
          <w:p w:rsidRPr="0027711D" w:rsidR="0092511E" w:rsidP="0059793A" w:rsidRDefault="0092511E" w14:paraId="398DDD16" w14:textId="77777777">
            <w:pPr>
              <w:pStyle w:val="BodyText"/>
              <w:rPr>
                <w:rFonts w:asciiTheme="minorHAnsi" w:hAnsiTheme="minorHAnsi" w:cstheme="minorHAnsi"/>
                <w:b/>
                <w:bCs/>
                <w:sz w:val="20"/>
              </w:rPr>
            </w:pPr>
            <w:r w:rsidRPr="0027711D">
              <w:rPr>
                <w:rFonts w:asciiTheme="minorHAnsi" w:hAnsiTheme="minorHAnsi" w:cstheme="minorHAnsi"/>
                <w:b/>
                <w:bCs/>
                <w:sz w:val="20"/>
              </w:rPr>
              <w:t xml:space="preserve">Adverse reactions </w:t>
            </w:r>
          </w:p>
        </w:tc>
        <w:tc>
          <w:tcPr>
            <w:tcW w:w="4125" w:type="pct"/>
          </w:tcPr>
          <w:p w:rsidRPr="0027711D" w:rsidR="0092511E" w:rsidP="0059793A" w:rsidRDefault="0092511E" w14:paraId="12676E03" w14:textId="77777777">
            <w:pPr>
              <w:pStyle w:val="BodyText"/>
              <w:rPr>
                <w:rFonts w:asciiTheme="minorHAnsi" w:hAnsiTheme="minorHAnsi" w:cstheme="minorHAnsi"/>
                <w:sz w:val="20"/>
              </w:rPr>
            </w:pPr>
            <w:r w:rsidRPr="0027711D">
              <w:rPr>
                <w:rFonts w:asciiTheme="minorHAnsi" w:hAnsiTheme="minorHAnsi" w:cstheme="minorHAnsi"/>
                <w:sz w:val="20"/>
              </w:rPr>
              <w:t xml:space="preserve">Thrombophlebitis, pruritus, rash, diarrhoea, nausea, oral candidiasis, pseudomembranous colitis, vomiting, Stevens Johnson Syndrome, </w:t>
            </w:r>
            <w:r w:rsidRPr="0027711D">
              <w:rPr>
                <w:rFonts w:asciiTheme="minorHAnsi" w:hAnsiTheme="minorHAnsi" w:cstheme="minorHAnsi"/>
                <w:i/>
                <w:sz w:val="20"/>
              </w:rPr>
              <w:t>Clostridium difficile</w:t>
            </w:r>
            <w:r w:rsidRPr="0027711D">
              <w:rPr>
                <w:rFonts w:asciiTheme="minorHAnsi" w:hAnsiTheme="minorHAnsi" w:cstheme="minorHAnsi"/>
                <w:sz w:val="20"/>
              </w:rPr>
              <w:t xml:space="preserve"> colitis, positive Coombs test, eosinophilia, leukopenia, neutropenia, thrombocytopenia, thrombocytosis, blood coagulation disorder, raised liver enzymes, candidiasis, raised urea, creatinine and renal failure.</w:t>
            </w:r>
          </w:p>
        </w:tc>
      </w:tr>
      <w:tr w:rsidRPr="0027711D" w:rsidR="0092511E" w:rsidTr="00204576" w14:paraId="08BEA95A" w14:textId="77777777">
        <w:trPr>
          <w:trHeight w:val="263"/>
        </w:trPr>
        <w:tc>
          <w:tcPr>
            <w:tcW w:w="875" w:type="pct"/>
          </w:tcPr>
          <w:p w:rsidRPr="0027711D" w:rsidR="0092511E" w:rsidP="0059793A" w:rsidRDefault="0092511E" w14:paraId="42C24651" w14:textId="77777777">
            <w:pPr>
              <w:pStyle w:val="BodyText"/>
              <w:rPr>
                <w:rFonts w:asciiTheme="minorHAnsi" w:hAnsiTheme="minorHAnsi" w:cstheme="minorHAnsi"/>
                <w:b/>
                <w:bCs/>
                <w:sz w:val="20"/>
              </w:rPr>
            </w:pPr>
            <w:r w:rsidRPr="0027711D">
              <w:rPr>
                <w:rFonts w:asciiTheme="minorHAnsi" w:hAnsiTheme="minorHAnsi" w:cstheme="minorHAnsi"/>
                <w:b/>
                <w:bCs/>
                <w:sz w:val="20"/>
              </w:rPr>
              <w:t>Compatibility</w:t>
            </w:r>
          </w:p>
        </w:tc>
        <w:tc>
          <w:tcPr>
            <w:tcW w:w="4125" w:type="pct"/>
          </w:tcPr>
          <w:p w:rsidRPr="0027711D" w:rsidR="0092511E" w:rsidP="0059793A" w:rsidRDefault="0092511E" w14:paraId="32105B88" w14:textId="77777777">
            <w:pPr>
              <w:pStyle w:val="BodyText"/>
              <w:rPr>
                <w:rFonts w:asciiTheme="minorHAnsi" w:hAnsiTheme="minorHAnsi" w:cstheme="minorHAnsi"/>
                <w:sz w:val="20"/>
              </w:rPr>
            </w:pPr>
            <w:r w:rsidRPr="0027711D">
              <w:rPr>
                <w:rFonts w:asciiTheme="minorHAnsi" w:hAnsiTheme="minorHAnsi" w:cstheme="minorHAnsi"/>
                <w:sz w:val="20"/>
              </w:rPr>
              <w:t>Fluids: Glucose 5%, glucose 10%, glucose in sodium chloride solutions, Hartmann’s, sodium chloride 0.9%, water for injections.</w:t>
            </w:r>
          </w:p>
          <w:p w:rsidRPr="0027711D" w:rsidR="0092511E" w:rsidP="0059793A" w:rsidRDefault="0092511E" w14:paraId="38943C89" w14:textId="77777777">
            <w:pPr>
              <w:pStyle w:val="BodyText"/>
              <w:rPr>
                <w:rFonts w:asciiTheme="minorHAnsi" w:hAnsiTheme="minorHAnsi" w:cstheme="minorHAnsi"/>
                <w:sz w:val="20"/>
              </w:rPr>
            </w:pPr>
          </w:p>
          <w:p w:rsidRPr="0027711D" w:rsidR="0092511E" w:rsidP="0059793A" w:rsidRDefault="0092511E" w14:paraId="29E31C3A" w14:textId="77777777">
            <w:pPr>
              <w:pStyle w:val="BodyText"/>
              <w:rPr>
                <w:rFonts w:asciiTheme="minorHAnsi" w:hAnsiTheme="minorHAnsi" w:cstheme="minorHAnsi"/>
                <w:sz w:val="20"/>
              </w:rPr>
            </w:pPr>
            <w:r w:rsidRPr="0027711D">
              <w:rPr>
                <w:rFonts w:asciiTheme="minorHAnsi" w:hAnsiTheme="minorHAnsi" w:cstheme="minorHAnsi"/>
                <w:sz w:val="20"/>
              </w:rPr>
              <w:t>Y-site: Aciclovir, amifostine, anidulafungin, atracurium, aztreonam, bivalirudin, dexmedetomidine, esmolol, filgrastim, fluconazole, foscarnet, granisetron, heparin sodium, linezolid, magnesium sulfate, midazolam, morphine sulfate, palonosetron, pancuronium, pethidine, remifentanil, vecuronium.</w:t>
            </w:r>
          </w:p>
        </w:tc>
      </w:tr>
      <w:tr w:rsidRPr="0027711D" w:rsidR="0092511E" w:rsidTr="00204576" w14:paraId="79871C21" w14:textId="77777777">
        <w:trPr>
          <w:trHeight w:val="263"/>
        </w:trPr>
        <w:tc>
          <w:tcPr>
            <w:tcW w:w="875" w:type="pct"/>
          </w:tcPr>
          <w:p w:rsidRPr="0027711D" w:rsidR="0092511E" w:rsidP="0059793A" w:rsidRDefault="0092511E" w14:paraId="157391BA" w14:textId="77777777">
            <w:pPr>
              <w:pStyle w:val="BodyText"/>
              <w:rPr>
                <w:rFonts w:asciiTheme="minorHAnsi" w:hAnsiTheme="minorHAnsi" w:cstheme="minorHAnsi"/>
                <w:b/>
                <w:bCs/>
                <w:sz w:val="20"/>
              </w:rPr>
            </w:pPr>
            <w:r w:rsidRPr="0027711D">
              <w:rPr>
                <w:rFonts w:asciiTheme="minorHAnsi" w:hAnsiTheme="minorHAnsi" w:cstheme="minorHAnsi"/>
                <w:b/>
                <w:bCs/>
                <w:sz w:val="20"/>
              </w:rPr>
              <w:t>Incompatibility</w:t>
            </w:r>
          </w:p>
        </w:tc>
        <w:tc>
          <w:tcPr>
            <w:tcW w:w="4125" w:type="pct"/>
          </w:tcPr>
          <w:p w:rsidRPr="0027711D" w:rsidR="0092511E" w:rsidP="0059793A" w:rsidRDefault="0092511E" w14:paraId="0DAA509C" w14:textId="77777777">
            <w:pPr>
              <w:pStyle w:val="BodyText"/>
              <w:rPr>
                <w:rFonts w:asciiTheme="minorHAnsi" w:hAnsiTheme="minorHAnsi" w:cstheme="minorHAnsi"/>
                <w:sz w:val="20"/>
              </w:rPr>
            </w:pPr>
            <w:r w:rsidRPr="0027711D">
              <w:rPr>
                <w:rFonts w:asciiTheme="minorHAnsi" w:hAnsiTheme="minorHAnsi" w:cstheme="minorHAnsi"/>
                <w:sz w:val="20"/>
              </w:rPr>
              <w:t>Fluids: No information</w:t>
            </w:r>
          </w:p>
          <w:p w:rsidRPr="0027711D" w:rsidR="0092511E" w:rsidP="0059793A" w:rsidRDefault="0092511E" w14:paraId="59E32173" w14:textId="77777777">
            <w:pPr>
              <w:pStyle w:val="BodyText"/>
              <w:rPr>
                <w:rFonts w:asciiTheme="minorHAnsi" w:hAnsiTheme="minorHAnsi" w:cstheme="minorHAnsi"/>
                <w:sz w:val="20"/>
              </w:rPr>
            </w:pPr>
            <w:r w:rsidRPr="0027711D">
              <w:rPr>
                <w:rFonts w:asciiTheme="minorHAnsi" w:hAnsiTheme="minorHAnsi" w:cstheme="minorHAnsi"/>
                <w:sz w:val="20"/>
              </w:rPr>
              <w:t>Drugs: Aminoglycosides − amikacin, gentamicin, tobramycin; ascorbic acid, azathioprine, calcium chloride, caspofungin, chlorpromazine, dobutamine, dolasetron, dopamine, erythromycin, ganciclovir, haloperidol lactate, hydralazine, mycophenolate mofetil, pentamidine, promethazine, rocuronium.</w:t>
            </w:r>
          </w:p>
        </w:tc>
      </w:tr>
      <w:tr w:rsidRPr="0027711D" w:rsidR="0092511E" w:rsidTr="00204576" w14:paraId="1F74B24F" w14:textId="77777777">
        <w:trPr>
          <w:trHeight w:val="263"/>
        </w:trPr>
        <w:tc>
          <w:tcPr>
            <w:tcW w:w="875" w:type="pct"/>
          </w:tcPr>
          <w:p w:rsidRPr="0027711D" w:rsidR="0092511E" w:rsidP="0059793A" w:rsidRDefault="0092511E" w14:paraId="4F4F18A5" w14:textId="77777777">
            <w:pPr>
              <w:pStyle w:val="BodyText"/>
              <w:rPr>
                <w:rFonts w:asciiTheme="minorHAnsi" w:hAnsiTheme="minorHAnsi" w:cstheme="minorHAnsi"/>
                <w:b/>
                <w:bCs/>
                <w:sz w:val="20"/>
              </w:rPr>
            </w:pPr>
            <w:r w:rsidRPr="0027711D">
              <w:rPr>
                <w:rFonts w:asciiTheme="minorHAnsi" w:hAnsiTheme="minorHAnsi" w:cstheme="minorHAnsi"/>
                <w:b/>
                <w:bCs/>
                <w:sz w:val="20"/>
              </w:rPr>
              <w:t>Stability</w:t>
            </w:r>
          </w:p>
        </w:tc>
        <w:tc>
          <w:tcPr>
            <w:tcW w:w="4125" w:type="pct"/>
          </w:tcPr>
          <w:p w:rsidRPr="0027711D" w:rsidR="0092511E" w:rsidP="0059793A" w:rsidRDefault="0092511E" w14:paraId="2871591F" w14:textId="77777777">
            <w:pPr>
              <w:pStyle w:val="BodyText"/>
              <w:rPr>
                <w:rFonts w:asciiTheme="minorHAnsi" w:hAnsiTheme="minorHAnsi" w:cstheme="minorHAnsi"/>
                <w:sz w:val="20"/>
              </w:rPr>
            </w:pPr>
            <w:r w:rsidRPr="0027711D">
              <w:rPr>
                <w:rFonts w:asciiTheme="minorHAnsi" w:hAnsiTheme="minorHAnsi" w:cstheme="minorHAnsi"/>
                <w:sz w:val="20"/>
                <w:lang w:val="en-US"/>
              </w:rPr>
              <w:t>Stable for 24 hours below 25°C. However store at 2 to 8°C and use as soon as possible. Crystals may form if the solution is refrigerated. Redissolve by shaking the vial and warming in the hands.</w:t>
            </w:r>
          </w:p>
        </w:tc>
      </w:tr>
      <w:tr w:rsidRPr="0027711D" w:rsidR="0092511E" w:rsidTr="00204576" w14:paraId="732664A8" w14:textId="77777777">
        <w:trPr>
          <w:trHeight w:val="263"/>
        </w:trPr>
        <w:tc>
          <w:tcPr>
            <w:tcW w:w="875" w:type="pct"/>
          </w:tcPr>
          <w:p w:rsidRPr="0027711D" w:rsidR="0092511E" w:rsidP="0059793A" w:rsidRDefault="0092511E" w14:paraId="5AE95571" w14:textId="77777777">
            <w:pPr>
              <w:pStyle w:val="BodyText"/>
              <w:rPr>
                <w:rFonts w:asciiTheme="minorHAnsi" w:hAnsiTheme="minorHAnsi" w:cstheme="minorHAnsi"/>
                <w:b/>
                <w:bCs/>
                <w:sz w:val="20"/>
              </w:rPr>
            </w:pPr>
            <w:r w:rsidRPr="0027711D">
              <w:rPr>
                <w:rFonts w:asciiTheme="minorHAnsi" w:hAnsiTheme="minorHAnsi" w:cstheme="minorHAnsi"/>
                <w:b/>
                <w:bCs/>
                <w:sz w:val="20"/>
              </w:rPr>
              <w:t>Storage</w:t>
            </w:r>
          </w:p>
        </w:tc>
        <w:tc>
          <w:tcPr>
            <w:tcW w:w="4125" w:type="pct"/>
          </w:tcPr>
          <w:p w:rsidRPr="0027711D" w:rsidR="0092511E" w:rsidP="0059793A" w:rsidRDefault="0092511E" w14:paraId="447FBA99" w14:textId="77777777">
            <w:pPr>
              <w:pStyle w:val="BodyText"/>
              <w:rPr>
                <w:rFonts w:asciiTheme="minorHAnsi" w:hAnsiTheme="minorHAnsi" w:cstheme="minorHAnsi"/>
                <w:sz w:val="20"/>
              </w:rPr>
            </w:pPr>
            <w:r w:rsidRPr="0027711D">
              <w:rPr>
                <w:rFonts w:asciiTheme="minorHAnsi" w:hAnsiTheme="minorHAnsi" w:cstheme="minorHAnsi"/>
                <w:sz w:val="20"/>
              </w:rPr>
              <w:t>Store below 25°C. Protect from light.</w:t>
            </w:r>
          </w:p>
        </w:tc>
      </w:tr>
      <w:tr w:rsidRPr="0027711D" w:rsidR="0092511E" w:rsidTr="00204576" w14:paraId="3E845920" w14:textId="77777777">
        <w:trPr>
          <w:trHeight w:val="263"/>
        </w:trPr>
        <w:tc>
          <w:tcPr>
            <w:tcW w:w="875" w:type="pct"/>
          </w:tcPr>
          <w:p w:rsidRPr="0027711D" w:rsidR="0092511E" w:rsidP="0059793A" w:rsidRDefault="0092511E" w14:paraId="22F08282" w14:textId="77777777">
            <w:pPr>
              <w:pStyle w:val="BodyText"/>
              <w:rPr>
                <w:rFonts w:asciiTheme="minorHAnsi" w:hAnsiTheme="minorHAnsi" w:cstheme="minorHAnsi"/>
                <w:b/>
                <w:bCs/>
                <w:sz w:val="20"/>
              </w:rPr>
            </w:pPr>
            <w:r w:rsidRPr="0027711D">
              <w:rPr>
                <w:rFonts w:asciiTheme="minorHAnsi" w:hAnsiTheme="minorHAnsi" w:cstheme="minorHAnsi"/>
                <w:b/>
                <w:bCs/>
                <w:sz w:val="20"/>
              </w:rPr>
              <w:t>Excipients</w:t>
            </w:r>
          </w:p>
        </w:tc>
        <w:tc>
          <w:tcPr>
            <w:tcW w:w="4125" w:type="pct"/>
          </w:tcPr>
          <w:p w:rsidRPr="0027711D" w:rsidR="0092511E" w:rsidP="0059793A" w:rsidRDefault="0092511E" w14:paraId="7FCB8A44" w14:textId="77777777">
            <w:pPr>
              <w:pStyle w:val="BodyText"/>
              <w:rPr>
                <w:rFonts w:asciiTheme="minorHAnsi" w:hAnsiTheme="minorHAnsi" w:cstheme="minorHAnsi"/>
                <w:sz w:val="20"/>
              </w:rPr>
            </w:pPr>
          </w:p>
        </w:tc>
      </w:tr>
      <w:tr w:rsidRPr="0027711D" w:rsidR="0092511E" w:rsidTr="00204576" w14:paraId="45E0D21A" w14:textId="77777777">
        <w:trPr>
          <w:trHeight w:val="263"/>
        </w:trPr>
        <w:tc>
          <w:tcPr>
            <w:tcW w:w="875" w:type="pct"/>
          </w:tcPr>
          <w:p w:rsidRPr="0027711D" w:rsidR="0092511E" w:rsidP="0059793A" w:rsidRDefault="0092511E" w14:paraId="765BF55E" w14:textId="77777777">
            <w:pPr>
              <w:pStyle w:val="BodyText"/>
              <w:rPr>
                <w:rFonts w:asciiTheme="minorHAnsi" w:hAnsiTheme="minorHAnsi" w:cstheme="minorHAnsi"/>
                <w:b/>
                <w:bCs/>
                <w:sz w:val="20"/>
              </w:rPr>
            </w:pPr>
            <w:r w:rsidRPr="0027711D">
              <w:rPr>
                <w:rFonts w:asciiTheme="minorHAnsi" w:hAnsiTheme="minorHAnsi" w:cstheme="minorHAnsi"/>
                <w:b/>
                <w:bCs/>
                <w:sz w:val="20"/>
              </w:rPr>
              <w:t xml:space="preserve">Special comments </w:t>
            </w:r>
          </w:p>
        </w:tc>
        <w:tc>
          <w:tcPr>
            <w:tcW w:w="4125" w:type="pct"/>
          </w:tcPr>
          <w:p w:rsidRPr="0027711D" w:rsidR="0092511E" w:rsidP="0059793A" w:rsidRDefault="0092511E" w14:paraId="40E101B2" w14:textId="77777777">
            <w:pPr>
              <w:pStyle w:val="BodyText"/>
              <w:rPr>
                <w:rFonts w:asciiTheme="minorHAnsi" w:hAnsiTheme="minorHAnsi" w:cstheme="minorHAnsi"/>
                <w:sz w:val="20"/>
              </w:rPr>
            </w:pPr>
            <w:r w:rsidRPr="0027711D">
              <w:rPr>
                <w:rFonts w:asciiTheme="minorHAnsi" w:hAnsiTheme="minorHAnsi" w:cstheme="minorHAnsi"/>
                <w:sz w:val="20"/>
              </w:rPr>
              <w:t>Poor penetration into cerebrospinal fluid therefore not suitable for infections of the CNS.</w:t>
            </w:r>
          </w:p>
          <w:p w:rsidRPr="0027711D" w:rsidR="0092511E" w:rsidP="0059793A" w:rsidRDefault="0092511E" w14:paraId="130AEEE5" w14:textId="77777777">
            <w:pPr>
              <w:pStyle w:val="BodyText"/>
              <w:rPr>
                <w:rFonts w:asciiTheme="minorHAnsi" w:hAnsiTheme="minorHAnsi" w:cstheme="minorHAnsi"/>
                <w:sz w:val="20"/>
              </w:rPr>
            </w:pPr>
            <w:r w:rsidRPr="0027711D">
              <w:rPr>
                <w:rFonts w:asciiTheme="minorHAnsi" w:hAnsiTheme="minorHAnsi" w:cstheme="minorHAnsi"/>
                <w:sz w:val="20"/>
              </w:rPr>
              <w:t xml:space="preserve">Renally excreted as unchanged drug. Not metabolised. </w:t>
            </w:r>
          </w:p>
          <w:p w:rsidRPr="0027711D" w:rsidR="0092511E" w:rsidP="0059793A" w:rsidRDefault="0092511E" w14:paraId="257B89E1" w14:textId="77777777">
            <w:pPr>
              <w:pStyle w:val="BodyText"/>
              <w:rPr>
                <w:rFonts w:asciiTheme="minorHAnsi" w:hAnsiTheme="minorHAnsi" w:cstheme="minorHAnsi"/>
                <w:sz w:val="20"/>
              </w:rPr>
            </w:pPr>
            <w:r w:rsidRPr="0027711D">
              <w:rPr>
                <w:rFonts w:asciiTheme="minorHAnsi" w:hAnsiTheme="minorHAnsi" w:cstheme="minorHAnsi"/>
                <w:sz w:val="20"/>
              </w:rPr>
              <w:t>Half-life in neonates is 3 to 5 hours.</w:t>
            </w:r>
          </w:p>
          <w:p w:rsidRPr="0027711D" w:rsidR="0092511E" w:rsidP="0059793A" w:rsidRDefault="0092511E" w14:paraId="0F65498B" w14:textId="77777777">
            <w:pPr>
              <w:pStyle w:val="BodyText"/>
              <w:rPr>
                <w:rFonts w:asciiTheme="minorHAnsi" w:hAnsiTheme="minorHAnsi" w:cstheme="minorHAnsi"/>
                <w:sz w:val="20"/>
              </w:rPr>
            </w:pPr>
            <w:r w:rsidRPr="0027711D">
              <w:rPr>
                <w:rFonts w:asciiTheme="minorHAnsi" w:hAnsiTheme="minorHAnsi" w:cstheme="minorHAnsi"/>
                <w:sz w:val="20"/>
              </w:rPr>
              <w:t>Cefazolin is highly bound to serum albumin −only the unbound cefazolin is pharmacologically active.</w:t>
            </w:r>
          </w:p>
          <w:p w:rsidRPr="0027711D" w:rsidR="0092511E" w:rsidP="0059793A" w:rsidRDefault="0092511E" w14:paraId="3BC313F1" w14:textId="77777777">
            <w:pPr>
              <w:pStyle w:val="BodyText"/>
              <w:rPr>
                <w:rFonts w:asciiTheme="minorHAnsi" w:hAnsiTheme="minorHAnsi" w:cstheme="minorHAnsi"/>
                <w:sz w:val="20"/>
              </w:rPr>
            </w:pPr>
            <w:r w:rsidRPr="0027711D">
              <w:rPr>
                <w:rFonts w:asciiTheme="minorHAnsi" w:hAnsiTheme="minorHAnsi" w:cstheme="minorHAnsi"/>
                <w:sz w:val="20"/>
              </w:rPr>
              <w:t>Water for injection is the preferred diluent. Crystals may form when cefazolin is reconstituted with sodium chloride 0.9% to a concentration of 330 mg/mL. The crystals formed are small and may be overlooked. Redissolve by warming the vial in hands until the solution is clear.</w:t>
            </w:r>
          </w:p>
        </w:tc>
      </w:tr>
      <w:tr w:rsidRPr="0027711D" w:rsidR="0092511E" w:rsidTr="00204576" w14:paraId="40D8524D" w14:textId="77777777">
        <w:trPr>
          <w:trHeight w:val="263"/>
        </w:trPr>
        <w:tc>
          <w:tcPr>
            <w:tcW w:w="875" w:type="pct"/>
          </w:tcPr>
          <w:p w:rsidRPr="0027711D" w:rsidR="0092511E" w:rsidP="0059793A" w:rsidRDefault="0092511E" w14:paraId="5CE90935" w14:textId="77777777">
            <w:pPr>
              <w:pStyle w:val="BodyText"/>
              <w:rPr>
                <w:rFonts w:asciiTheme="minorHAnsi" w:hAnsiTheme="minorHAnsi" w:cstheme="minorHAnsi"/>
                <w:b/>
                <w:bCs/>
                <w:sz w:val="20"/>
              </w:rPr>
            </w:pPr>
            <w:r w:rsidRPr="0027711D">
              <w:rPr>
                <w:rFonts w:asciiTheme="minorHAnsi" w:hAnsiTheme="minorHAnsi" w:cstheme="minorHAnsi"/>
                <w:b/>
                <w:bCs/>
                <w:sz w:val="20"/>
              </w:rPr>
              <w:t xml:space="preserve">Evidence </w:t>
            </w:r>
          </w:p>
        </w:tc>
        <w:tc>
          <w:tcPr>
            <w:tcW w:w="4125" w:type="pct"/>
          </w:tcPr>
          <w:p w:rsidRPr="0027711D" w:rsidR="0092511E" w:rsidP="0059793A" w:rsidRDefault="0092511E" w14:paraId="73132751" w14:textId="77777777">
            <w:pPr>
              <w:pStyle w:val="BodyText"/>
              <w:tabs>
                <w:tab w:val="left" w:pos="1168"/>
              </w:tabs>
              <w:rPr>
                <w:rFonts w:asciiTheme="minorHAnsi" w:hAnsiTheme="minorHAnsi" w:cstheme="minorHAnsi"/>
                <w:sz w:val="20"/>
              </w:rPr>
            </w:pPr>
            <w:r w:rsidRPr="0027711D">
              <w:rPr>
                <w:rFonts w:asciiTheme="minorHAnsi" w:hAnsiTheme="minorHAnsi" w:cstheme="minorHAnsi"/>
                <w:sz w:val="20"/>
                <w:lang w:val="en-US"/>
              </w:rPr>
              <w:t>The dosing regimen adopted by the consensus group is based on a neonatal pharmacokinetic model taking into account total and unbound cefazolin concentrations with saturable plasma protein binding.</w:t>
            </w:r>
            <w:r w:rsidRPr="0027711D">
              <w:rPr>
                <w:rFonts w:asciiTheme="minorHAnsi" w:hAnsiTheme="minorHAnsi" w:cstheme="minorHAnsi"/>
                <w:sz w:val="20"/>
                <w:vertAlign w:val="superscript"/>
                <w:lang w:val="en-US"/>
              </w:rPr>
              <w:t>6</w:t>
            </w:r>
            <w:r w:rsidRPr="0027711D">
              <w:rPr>
                <w:rFonts w:asciiTheme="minorHAnsi" w:hAnsiTheme="minorHAnsi" w:cstheme="minorHAnsi"/>
                <w:sz w:val="20"/>
                <w:lang w:val="en-US"/>
              </w:rPr>
              <w:t xml:space="preserve"> A prospective validation of this dosing regimen is needed.</w:t>
            </w:r>
          </w:p>
        </w:tc>
      </w:tr>
      <w:tr w:rsidRPr="0027711D" w:rsidR="0092511E" w:rsidTr="00204576" w14:paraId="1422E6AF" w14:textId="77777777">
        <w:trPr>
          <w:trHeight w:val="263"/>
        </w:trPr>
        <w:tc>
          <w:tcPr>
            <w:tcW w:w="875" w:type="pct"/>
          </w:tcPr>
          <w:p w:rsidRPr="0027711D" w:rsidR="0092511E" w:rsidP="0059793A" w:rsidRDefault="0092511E" w14:paraId="45DA21D3" w14:textId="77777777">
            <w:pPr>
              <w:pStyle w:val="BodyText"/>
              <w:rPr>
                <w:rFonts w:asciiTheme="minorHAnsi" w:hAnsiTheme="minorHAnsi" w:cstheme="minorHAnsi"/>
                <w:b/>
                <w:bCs/>
                <w:sz w:val="20"/>
              </w:rPr>
            </w:pPr>
            <w:r w:rsidRPr="0027711D">
              <w:rPr>
                <w:rFonts w:asciiTheme="minorHAnsi" w:hAnsiTheme="minorHAnsi" w:cstheme="minorHAnsi"/>
                <w:b/>
                <w:bCs/>
                <w:sz w:val="20"/>
              </w:rPr>
              <w:t>Practice points</w:t>
            </w:r>
          </w:p>
        </w:tc>
        <w:tc>
          <w:tcPr>
            <w:tcW w:w="4125" w:type="pct"/>
          </w:tcPr>
          <w:p w:rsidRPr="0027711D" w:rsidR="0092511E" w:rsidP="0059793A" w:rsidRDefault="0092511E" w14:paraId="5C506AED" w14:textId="77777777">
            <w:pPr>
              <w:pStyle w:val="BodyText"/>
              <w:tabs>
                <w:tab w:val="left" w:pos="1168"/>
              </w:tabs>
              <w:rPr>
                <w:rFonts w:asciiTheme="minorHAnsi" w:hAnsiTheme="minorHAnsi" w:cstheme="minorHAnsi"/>
                <w:sz w:val="20"/>
              </w:rPr>
            </w:pPr>
          </w:p>
        </w:tc>
      </w:tr>
      <w:tr w:rsidRPr="0027711D" w:rsidR="0092511E" w:rsidTr="00204576" w14:paraId="6E1F6CD4" w14:textId="77777777">
        <w:trPr>
          <w:trHeight w:val="263"/>
        </w:trPr>
        <w:tc>
          <w:tcPr>
            <w:tcW w:w="875" w:type="pct"/>
          </w:tcPr>
          <w:p w:rsidRPr="0027711D" w:rsidR="0092511E" w:rsidP="0059793A" w:rsidRDefault="0092511E" w14:paraId="19F88039" w14:textId="77777777">
            <w:pPr>
              <w:pStyle w:val="BodyText"/>
              <w:rPr>
                <w:rFonts w:asciiTheme="minorHAnsi" w:hAnsiTheme="minorHAnsi" w:cstheme="minorHAnsi"/>
                <w:b/>
                <w:bCs/>
                <w:sz w:val="20"/>
              </w:rPr>
            </w:pPr>
            <w:r w:rsidRPr="0027711D">
              <w:rPr>
                <w:rFonts w:asciiTheme="minorHAnsi" w:hAnsiTheme="minorHAnsi" w:cstheme="minorHAnsi"/>
                <w:b/>
                <w:sz w:val="20"/>
              </w:rPr>
              <w:t>References</w:t>
            </w:r>
          </w:p>
        </w:tc>
        <w:tc>
          <w:tcPr>
            <w:tcW w:w="4125" w:type="pct"/>
          </w:tcPr>
          <w:p w:rsidRPr="00204576" w:rsidR="0092511E" w:rsidP="0059793A" w:rsidRDefault="0092511E" w14:paraId="6D5BCA78" w14:textId="77777777">
            <w:pPr>
              <w:autoSpaceDE w:val="0"/>
              <w:autoSpaceDN w:val="0"/>
              <w:adjustRightInd w:val="0"/>
              <w:rPr>
                <w:rFonts w:asciiTheme="minorHAnsi" w:hAnsiTheme="minorHAnsi" w:cstheme="minorHAnsi"/>
                <w:sz w:val="16"/>
                <w:szCs w:val="16"/>
                <w:lang w:eastAsia="en-AU"/>
              </w:rPr>
            </w:pPr>
            <w:r w:rsidRPr="00204576">
              <w:rPr>
                <w:rFonts w:asciiTheme="minorHAnsi" w:hAnsiTheme="minorHAnsi" w:cstheme="minorHAnsi"/>
                <w:sz w:val="16"/>
                <w:szCs w:val="16"/>
                <w:lang w:eastAsia="en-AU"/>
              </w:rPr>
              <w:t xml:space="preserve">1. Hey E. (Ed) [2003]. Neonatal Formulary 4th Edition. BMJ Publishing Group, London </w:t>
            </w:r>
          </w:p>
          <w:p w:rsidRPr="00204576" w:rsidR="0092511E" w:rsidP="0059793A" w:rsidRDefault="0092511E" w14:paraId="75734D89" w14:textId="77777777">
            <w:pPr>
              <w:autoSpaceDE w:val="0"/>
              <w:autoSpaceDN w:val="0"/>
              <w:adjustRightInd w:val="0"/>
              <w:rPr>
                <w:rFonts w:asciiTheme="minorHAnsi" w:hAnsiTheme="minorHAnsi" w:cstheme="minorHAnsi"/>
                <w:sz w:val="16"/>
                <w:szCs w:val="16"/>
                <w:lang w:eastAsia="en-AU"/>
              </w:rPr>
            </w:pPr>
            <w:r w:rsidRPr="00204576">
              <w:rPr>
                <w:rFonts w:asciiTheme="minorHAnsi" w:hAnsiTheme="minorHAnsi" w:cstheme="minorHAnsi"/>
                <w:sz w:val="16"/>
                <w:szCs w:val="16"/>
                <w:lang w:eastAsia="en-AU"/>
              </w:rPr>
              <w:t>2. MIMS Online Cited: 15/05/2015.</w:t>
            </w:r>
          </w:p>
          <w:p w:rsidRPr="00204576" w:rsidR="0092511E" w:rsidP="0059793A" w:rsidRDefault="0092511E" w14:paraId="637268FE" w14:textId="77777777">
            <w:pPr>
              <w:autoSpaceDE w:val="0"/>
              <w:autoSpaceDN w:val="0"/>
              <w:adjustRightInd w:val="0"/>
              <w:rPr>
                <w:rFonts w:asciiTheme="minorHAnsi" w:hAnsiTheme="minorHAnsi" w:cstheme="minorHAnsi"/>
                <w:sz w:val="16"/>
                <w:szCs w:val="16"/>
                <w:lang w:eastAsia="en-AU"/>
              </w:rPr>
            </w:pPr>
            <w:r w:rsidRPr="00204576">
              <w:rPr>
                <w:rFonts w:asciiTheme="minorHAnsi" w:hAnsiTheme="minorHAnsi" w:cstheme="minorHAnsi"/>
                <w:sz w:val="16"/>
                <w:szCs w:val="16"/>
                <w:lang w:eastAsia="en-AU"/>
              </w:rPr>
              <w:t>3. Micromedex® 2.0, (electronic version). Truven Health Analytics, Greenwood Village, Colorado, USA. Available at: http://www.micromedexsolutions.com.acs.hcn.com.au Cited 15/4/2015.</w:t>
            </w:r>
          </w:p>
          <w:p w:rsidRPr="00204576" w:rsidR="0092511E" w:rsidP="0059793A" w:rsidRDefault="0092511E" w14:paraId="3732CB97" w14:textId="77777777">
            <w:pPr>
              <w:autoSpaceDE w:val="0"/>
              <w:autoSpaceDN w:val="0"/>
              <w:adjustRightInd w:val="0"/>
              <w:rPr>
                <w:rFonts w:asciiTheme="minorHAnsi" w:hAnsiTheme="minorHAnsi" w:cstheme="minorHAnsi"/>
                <w:sz w:val="16"/>
                <w:szCs w:val="16"/>
                <w:lang w:eastAsia="en-AU"/>
              </w:rPr>
            </w:pPr>
            <w:r w:rsidRPr="00204576">
              <w:rPr>
                <w:rFonts w:asciiTheme="minorHAnsi" w:hAnsiTheme="minorHAnsi" w:cstheme="minorHAnsi"/>
                <w:sz w:val="16"/>
                <w:szCs w:val="16"/>
                <w:lang w:eastAsia="en-AU"/>
              </w:rPr>
              <w:t>4. Australian Medicine Handbook 2015 (online). Adelaide: Australian Medicines Handbook Pty Ltd; 2015 January.</w:t>
            </w:r>
          </w:p>
          <w:p w:rsidRPr="00204576" w:rsidR="0092511E" w:rsidP="0059793A" w:rsidRDefault="0092511E" w14:paraId="32B9283D" w14:textId="77777777">
            <w:pPr>
              <w:autoSpaceDE w:val="0"/>
              <w:autoSpaceDN w:val="0"/>
              <w:adjustRightInd w:val="0"/>
              <w:rPr>
                <w:rFonts w:asciiTheme="minorHAnsi" w:hAnsiTheme="minorHAnsi" w:cstheme="minorHAnsi"/>
                <w:sz w:val="16"/>
                <w:szCs w:val="16"/>
                <w:lang w:eastAsia="en-AU"/>
              </w:rPr>
            </w:pPr>
            <w:r w:rsidRPr="00204576">
              <w:rPr>
                <w:rFonts w:asciiTheme="minorHAnsi" w:hAnsiTheme="minorHAnsi" w:cstheme="minorHAnsi"/>
                <w:sz w:val="16"/>
                <w:szCs w:val="16"/>
                <w:lang w:eastAsia="en-AU"/>
              </w:rPr>
              <w:t>5. Antibiotic Expert Groups. Therapeutic guidelines: antibiotic. Version 15. Melbourne: Therapeutic Guidelines Limited; 2014.</w:t>
            </w:r>
          </w:p>
          <w:p w:rsidRPr="00204576" w:rsidR="0092511E" w:rsidP="0059793A" w:rsidRDefault="0092511E" w14:paraId="04497179" w14:textId="77777777">
            <w:pPr>
              <w:autoSpaceDE w:val="0"/>
              <w:autoSpaceDN w:val="0"/>
              <w:adjustRightInd w:val="0"/>
              <w:rPr>
                <w:rFonts w:asciiTheme="minorHAnsi" w:hAnsiTheme="minorHAnsi" w:cstheme="minorHAnsi"/>
                <w:sz w:val="16"/>
                <w:szCs w:val="16"/>
                <w:lang w:eastAsia="en-AU"/>
              </w:rPr>
            </w:pPr>
            <w:r w:rsidRPr="00204576">
              <w:rPr>
                <w:rFonts w:asciiTheme="minorHAnsi" w:hAnsiTheme="minorHAnsi" w:cstheme="minorHAnsi"/>
                <w:sz w:val="16"/>
                <w:szCs w:val="16"/>
                <w:lang w:eastAsia="en-AU"/>
              </w:rPr>
              <w:t>6. De Cock R, Smits A, Allegoert K et al. Population pharmacokinetic modelling of total and unbound cefazolin plasma concentrations as a guide for dosing in preterm and term neonates. Journal of antimicrobial chemotherapy. Doi:10.1093/jac/dkt527 2013</w:t>
            </w:r>
          </w:p>
          <w:p w:rsidRPr="0027711D" w:rsidR="0092511E" w:rsidP="0059793A" w:rsidRDefault="0092511E" w14:paraId="1092E31C" w14:textId="77777777">
            <w:pPr>
              <w:spacing w:after="160" w:line="259" w:lineRule="auto"/>
              <w:ind w:left="360" w:hanging="360"/>
              <w:contextualSpacing/>
              <w:rPr>
                <w:rFonts w:asciiTheme="minorHAnsi" w:hAnsiTheme="minorHAnsi" w:eastAsiaTheme="minorHAnsi" w:cstheme="minorHAnsi"/>
                <w:sz w:val="20"/>
              </w:rPr>
            </w:pPr>
            <w:r w:rsidRPr="00204576">
              <w:rPr>
                <w:rFonts w:asciiTheme="minorHAnsi" w:hAnsiTheme="minorHAnsi" w:cstheme="minorHAnsi"/>
                <w:sz w:val="16"/>
                <w:szCs w:val="16"/>
                <w:lang w:eastAsia="en-AU"/>
              </w:rPr>
              <w:t>7. Pacifici G. Pharmacaokinetics of cephalosporins in the neonate: a review. Clinics 2011;66(7):1267-1274</w:t>
            </w:r>
          </w:p>
        </w:tc>
      </w:tr>
    </w:tbl>
    <w:p w:rsidRPr="00E25790" w:rsidR="002347D8" w:rsidP="006F0321" w:rsidRDefault="002347D8" w14:paraId="15E1F8A9" w14:textId="77777777"/>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C7657E" w14:paraId="2D611EF0" w14:textId="77777777">
        <w:tc>
          <w:tcPr>
            <w:tcW w:w="4111" w:type="dxa"/>
            <w:vAlign w:val="center"/>
          </w:tcPr>
          <w:p w:rsidRPr="00646E04" w:rsidR="00C7657E" w:rsidP="00900C7F" w:rsidRDefault="00C7657E" w14:paraId="561B5706" w14:textId="77777777">
            <w:r w:rsidRPr="00646E04">
              <w:t>Original version Date: 10/02/2016</w:t>
            </w:r>
          </w:p>
        </w:tc>
        <w:tc>
          <w:tcPr>
            <w:tcW w:w="4820" w:type="dxa"/>
            <w:vAlign w:val="center"/>
          </w:tcPr>
          <w:p w:rsidRPr="00646E04" w:rsidR="00C7657E" w:rsidP="00900C7F" w:rsidRDefault="00C7657E" w14:paraId="71E65BEA" w14:textId="77777777">
            <w:r w:rsidRPr="00646E04">
              <w:t>Author: NeoMed Consensus Group</w:t>
            </w:r>
          </w:p>
        </w:tc>
      </w:tr>
      <w:tr w:rsidRPr="003C2CBA" w:rsidR="00E424B4" w:rsidTr="00C7657E" w14:paraId="533A8CFE" w14:textId="77777777">
        <w:tc>
          <w:tcPr>
            <w:tcW w:w="4111" w:type="dxa"/>
            <w:vAlign w:val="center"/>
          </w:tcPr>
          <w:p w:rsidRPr="00646E04" w:rsidR="00C7657E" w:rsidP="00900C7F" w:rsidRDefault="00C7657E" w14:paraId="01ECABA4" w14:textId="373BCEFE">
            <w:pPr>
              <w:rPr>
                <w:bCs/>
              </w:rPr>
            </w:pPr>
            <w:r w:rsidRPr="00646E04">
              <w:t xml:space="preserve">Current Version number:  </w:t>
            </w:r>
            <w:r w:rsidR="00C53706">
              <w:t>2</w:t>
            </w:r>
          </w:p>
        </w:tc>
        <w:tc>
          <w:tcPr>
            <w:tcW w:w="4820" w:type="dxa"/>
            <w:vAlign w:val="center"/>
          </w:tcPr>
          <w:p w:rsidRPr="00646E04" w:rsidR="00C7657E" w:rsidP="00900C7F" w:rsidRDefault="00C7657E" w14:paraId="6F816CDF" w14:textId="3932D9C1">
            <w:r>
              <w:t xml:space="preserve">Current </w:t>
            </w:r>
            <w:r w:rsidRPr="00646E04">
              <w:t xml:space="preserve">Version Date:  </w:t>
            </w:r>
            <w:r w:rsidR="00C53706">
              <w:t>16/12/2020</w:t>
            </w:r>
          </w:p>
        </w:tc>
      </w:tr>
      <w:tr w:rsidRPr="003C2CBA" w:rsidR="00E424B4" w:rsidTr="00C7657E" w14:paraId="6B65CD23" w14:textId="77777777">
        <w:tc>
          <w:tcPr>
            <w:tcW w:w="4111" w:type="dxa"/>
            <w:vAlign w:val="center"/>
          </w:tcPr>
          <w:p w:rsidRPr="00646E04" w:rsidR="00C7657E" w:rsidP="00900C7F" w:rsidRDefault="00C7657E" w14:paraId="083FBEEC" w14:textId="65228241">
            <w:r w:rsidRPr="00646E04">
              <w:t xml:space="preserve">Risk Rating: </w:t>
            </w:r>
            <w:r w:rsidR="00C53706">
              <w:t>Low</w:t>
            </w:r>
          </w:p>
        </w:tc>
        <w:tc>
          <w:tcPr>
            <w:tcW w:w="4820" w:type="dxa"/>
            <w:vAlign w:val="center"/>
          </w:tcPr>
          <w:p w:rsidRPr="00646E04" w:rsidR="00C7657E" w:rsidP="00900C7F" w:rsidRDefault="00C7657E" w14:paraId="108C24A0" w14:textId="35980246">
            <w:r w:rsidRPr="00646E04">
              <w:t xml:space="preserve">Due for Review:  </w:t>
            </w:r>
            <w:r w:rsidR="00C53706">
              <w:t>16/12/2025</w:t>
            </w:r>
          </w:p>
        </w:tc>
      </w:tr>
      <w:tr w:rsidRPr="003C2CBA" w:rsidR="00E424B4" w:rsidTr="00C7657E" w14:paraId="344092D6" w14:textId="77777777">
        <w:trPr>
          <w:trHeight w:val="344"/>
        </w:trPr>
        <w:tc>
          <w:tcPr>
            <w:tcW w:w="4111" w:type="dxa"/>
            <w:tcBorders>
              <w:bottom w:val="single" w:color="auto" w:sz="4" w:space="0"/>
            </w:tcBorders>
            <w:vAlign w:val="center"/>
          </w:tcPr>
          <w:p w:rsidRPr="003C2CBA" w:rsidR="00C7657E" w:rsidP="00900C7F" w:rsidRDefault="00C7657E" w14:paraId="3B7BAEB4" w14:textId="77777777">
            <w:r w:rsidRPr="003C2CBA">
              <w:t xml:space="preserve">Approved by: </w:t>
            </w:r>
            <w:r>
              <w:t>DTC</w:t>
            </w:r>
          </w:p>
        </w:tc>
        <w:tc>
          <w:tcPr>
            <w:tcW w:w="4820" w:type="dxa"/>
            <w:tcBorders>
              <w:bottom w:val="single" w:color="auto" w:sz="4" w:space="0"/>
            </w:tcBorders>
            <w:vAlign w:val="center"/>
          </w:tcPr>
          <w:p w:rsidRPr="00646E04" w:rsidR="00C7657E" w:rsidP="00900C7F" w:rsidRDefault="00C7657E" w14:paraId="12E9F3F4" w14:textId="77777777">
            <w:r w:rsidRPr="00646E04">
              <w:t xml:space="preserve">Approval Date: </w:t>
            </w:r>
            <w:r>
              <w:t>October 2019</w:t>
            </w:r>
          </w:p>
        </w:tc>
      </w:tr>
    </w:tbl>
    <w:p w:rsidRPr="00E25790" w:rsidR="00C7657E" w:rsidP="006F0321" w:rsidRDefault="00C7657E" w14:paraId="2C4DE240" w14:textId="77777777"/>
    <w:p w:rsidR="00900C7F" w:rsidRDefault="00900C7F" w14:paraId="42ED882B" w14:textId="77777777">
      <w:bookmarkStart w:name="_Toc38106822" w:id="137"/>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900C7F" w14:paraId="2E759B33"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2D8DA813" w14:textId="77777777">
            <w:pPr>
              <w:pStyle w:val="Heading1"/>
            </w:pPr>
            <w:bookmarkStart w:name="_Toc75339949" w:id="138"/>
            <w:r w:rsidRPr="00E25790">
              <w:lastRenderedPageBreak/>
              <w:t>Chloral Hydrate</w:t>
            </w:r>
            <w:bookmarkEnd w:id="137"/>
            <w:bookmarkEnd w:id="138"/>
            <w:r w:rsidRPr="00E25790">
              <w:fldChar w:fldCharType="begin"/>
            </w:r>
            <w:r w:rsidRPr="00E25790">
              <w:instrText>tc "CAP Trial" \l 0</w:instrText>
            </w:r>
            <w:r w:rsidRPr="00E25790">
              <w:fldChar w:fldCharType="end"/>
            </w:r>
          </w:p>
        </w:tc>
      </w:tr>
      <w:tr w:rsidRPr="00E25790" w:rsidR="00115F48" w:rsidTr="00900C7F" w14:paraId="1E786BF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70CFB324" w14:textId="5D7E9200">
            <w:r w:rsidRPr="00E25790">
              <w:t xml:space="preserve">Revision Date : </w:t>
            </w:r>
            <w:r w:rsidR="003361A4">
              <w:fldChar w:fldCharType="begin"/>
            </w:r>
            <w:r w:rsidR="003361A4">
              <w:instrText xml:space="preserve"> CREATEDATE  </w:instrText>
            </w:r>
            <w:r w:rsidR="003361A4">
              <w:fldChar w:fldCharType="separate"/>
            </w:r>
            <w:r w:rsidR="00240100">
              <w:rPr>
                <w:noProof/>
              </w:rPr>
              <w:t>October 2020</w:t>
            </w:r>
            <w:r w:rsidR="003361A4">
              <w:rPr>
                <w:noProof/>
              </w:rPr>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B184E15" w14:textId="79355317">
            <w:r w:rsidRPr="00E25790">
              <w:t>Approved :</w:t>
            </w:r>
            <w:r w:rsidRPr="00E25790" w:rsidR="002857CD">
              <w:t xml:space="preserve"> </w:t>
            </w:r>
            <w:r w:rsidR="004940FB">
              <w:t>TC,KOH</w:t>
            </w:r>
          </w:p>
        </w:tc>
      </w:tr>
    </w:tbl>
    <w:p w:rsidRPr="00E25790" w:rsidR="00115F48" w:rsidP="006F0321" w:rsidRDefault="00115F48" w14:paraId="0CD2078C" w14:textId="77777777"/>
    <w:tbl>
      <w:tblPr>
        <w:tblW w:w="527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42"/>
        <w:gridCol w:w="7466"/>
      </w:tblGrid>
      <w:tr w:rsidRPr="00344000" w:rsidR="004940FB" w:rsidTr="77BEE3D0" w14:paraId="1B01CB71" w14:textId="77777777">
        <w:tc>
          <w:tcPr>
            <w:tcW w:w="1074" w:type="pct"/>
          </w:tcPr>
          <w:p w:rsidRPr="00344000" w:rsidR="004940FB" w:rsidP="004940FB" w:rsidRDefault="004940FB" w14:paraId="55B10C9D" w14:textId="77777777">
            <w:pPr>
              <w:pStyle w:val="BodyText"/>
              <w:tabs>
                <w:tab w:val="center" w:pos="1476"/>
              </w:tabs>
              <w:rPr>
                <w:rFonts w:cs="Calibri"/>
                <w:b/>
                <w:sz w:val="20"/>
              </w:rPr>
            </w:pPr>
            <w:bookmarkStart w:name="_Toc495481087" w:id="139"/>
            <w:bookmarkStart w:name="_Toc495481213" w:id="140"/>
            <w:bookmarkStart w:name="_Toc495481338" w:id="141"/>
            <w:bookmarkStart w:name="_Toc495501519" w:id="142"/>
            <w:bookmarkStart w:name="_Toc38106823" w:id="143"/>
            <w:r w:rsidRPr="00344000">
              <w:rPr>
                <w:rFonts w:cs="Calibri"/>
                <w:b/>
                <w:sz w:val="20"/>
              </w:rPr>
              <w:t>Alert</w:t>
            </w:r>
            <w:r w:rsidRPr="00344000">
              <w:rPr>
                <w:rFonts w:cs="Calibri"/>
                <w:b/>
                <w:sz w:val="20"/>
              </w:rPr>
              <w:tab/>
            </w:r>
          </w:p>
          <w:p w:rsidRPr="00344000" w:rsidR="004940FB" w:rsidP="004940FB" w:rsidRDefault="004940FB" w14:paraId="043DD468" w14:textId="77777777">
            <w:pPr>
              <w:pStyle w:val="BodyText"/>
              <w:tabs>
                <w:tab w:val="center" w:pos="1476"/>
              </w:tabs>
              <w:rPr>
                <w:rFonts w:cs="Calibri"/>
                <w:b/>
                <w:sz w:val="20"/>
              </w:rPr>
            </w:pPr>
            <w:r w:rsidRPr="00344000">
              <w:rPr>
                <w:rFonts w:cs="Calibri"/>
                <w:b/>
                <w:sz w:val="20"/>
              </w:rPr>
              <w:t xml:space="preserve"> </w:t>
            </w:r>
          </w:p>
        </w:tc>
        <w:tc>
          <w:tcPr>
            <w:tcW w:w="3926" w:type="pct"/>
          </w:tcPr>
          <w:p w:rsidR="004940FB" w:rsidP="004940FB" w:rsidRDefault="004940FB" w14:paraId="530A4670" w14:textId="77777777">
            <w:pPr>
              <w:pStyle w:val="BodyText"/>
              <w:rPr>
                <w:rFonts w:cs="Calibri"/>
                <w:sz w:val="20"/>
              </w:rPr>
            </w:pPr>
            <w:r w:rsidRPr="00F42A7D">
              <w:rPr>
                <w:rFonts w:cs="Calibri"/>
                <w:sz w:val="20"/>
              </w:rPr>
              <w:t>High alert medication: risk of causing significant patient harm when used in error</w:t>
            </w:r>
            <w:r>
              <w:rPr>
                <w:rFonts w:cs="Calibri"/>
                <w:sz w:val="20"/>
              </w:rPr>
              <w:t>.</w:t>
            </w:r>
          </w:p>
          <w:p w:rsidR="004940FB" w:rsidP="004940FB" w:rsidRDefault="004940FB" w14:paraId="4C3D1A6B" w14:textId="77777777">
            <w:pPr>
              <w:pStyle w:val="BodyText"/>
            </w:pPr>
            <w:r>
              <w:rPr>
                <w:rFonts w:cs="Calibri"/>
                <w:sz w:val="20"/>
              </w:rPr>
              <w:t>Chloral hydrate should not be given by non-medical personnel in non-medical environment.</w:t>
            </w:r>
            <w:r>
              <w:t xml:space="preserve"> </w:t>
            </w:r>
          </w:p>
          <w:p w:rsidRPr="00344000" w:rsidR="004940FB" w:rsidP="004940FB" w:rsidRDefault="004940FB" w14:paraId="5F2B4BA4" w14:textId="77777777">
            <w:pPr>
              <w:pStyle w:val="BodyText"/>
              <w:rPr>
                <w:rFonts w:cs="Calibri"/>
                <w:sz w:val="20"/>
              </w:rPr>
            </w:pPr>
            <w:r w:rsidRPr="007B2D72">
              <w:rPr>
                <w:rFonts w:cs="Calibri"/>
                <w:sz w:val="20"/>
              </w:rPr>
              <w:t>Osmolality is 3285 mOsm/kg of water</w:t>
            </w:r>
          </w:p>
        </w:tc>
      </w:tr>
      <w:tr w:rsidRPr="00344000" w:rsidR="004940FB" w:rsidTr="77BEE3D0" w14:paraId="09A15B55" w14:textId="77777777">
        <w:trPr>
          <w:trHeight w:val="390"/>
        </w:trPr>
        <w:tc>
          <w:tcPr>
            <w:tcW w:w="1074" w:type="pct"/>
          </w:tcPr>
          <w:p w:rsidRPr="00344000" w:rsidR="004940FB" w:rsidP="004940FB" w:rsidRDefault="004940FB" w14:paraId="2EE66101" w14:textId="77777777">
            <w:pPr>
              <w:pStyle w:val="BodyText"/>
              <w:rPr>
                <w:rFonts w:cs="Calibri"/>
                <w:b/>
                <w:bCs/>
                <w:sz w:val="20"/>
              </w:rPr>
            </w:pPr>
            <w:r w:rsidRPr="00344000">
              <w:rPr>
                <w:rFonts w:cs="Calibri"/>
                <w:b/>
                <w:bCs/>
                <w:sz w:val="20"/>
              </w:rPr>
              <w:t xml:space="preserve">Indication                         </w:t>
            </w:r>
          </w:p>
          <w:p w:rsidRPr="00344000" w:rsidR="004940FB" w:rsidP="004940FB" w:rsidRDefault="004940FB" w14:paraId="57242A9E" w14:textId="77777777">
            <w:pPr>
              <w:pStyle w:val="BodyText"/>
              <w:rPr>
                <w:rFonts w:cs="Calibri"/>
                <w:sz w:val="20"/>
              </w:rPr>
            </w:pPr>
          </w:p>
        </w:tc>
        <w:tc>
          <w:tcPr>
            <w:tcW w:w="3926" w:type="pct"/>
          </w:tcPr>
          <w:p w:rsidRPr="00344000" w:rsidR="004940FB" w:rsidP="004940FB" w:rsidRDefault="004940FB" w14:paraId="2183E5A3" w14:textId="77777777">
            <w:pPr>
              <w:rPr>
                <w:rFonts w:cs="Calibri"/>
                <w:sz w:val="20"/>
              </w:rPr>
            </w:pPr>
            <w:r w:rsidRPr="00344000">
              <w:rPr>
                <w:rFonts w:cs="Calibri"/>
                <w:sz w:val="20"/>
              </w:rPr>
              <w:t xml:space="preserve">Sedation </w:t>
            </w:r>
            <w:r>
              <w:rPr>
                <w:rFonts w:cs="Calibri"/>
                <w:sz w:val="20"/>
              </w:rPr>
              <w:t xml:space="preserve">for painless </w:t>
            </w:r>
            <w:r w:rsidRPr="00344000">
              <w:rPr>
                <w:rFonts w:cs="Calibri"/>
                <w:sz w:val="20"/>
              </w:rPr>
              <w:t>procedure</w:t>
            </w:r>
            <w:r>
              <w:rPr>
                <w:rFonts w:cs="Calibri"/>
                <w:sz w:val="20"/>
              </w:rPr>
              <w:t xml:space="preserve"> (e.g. neuroimaging).</w:t>
            </w:r>
          </w:p>
          <w:p w:rsidRPr="00344000" w:rsidR="004940FB" w:rsidP="004940FB" w:rsidRDefault="004940FB" w14:paraId="5C0D69D1" w14:textId="77777777">
            <w:pPr>
              <w:pStyle w:val="BodyText"/>
              <w:rPr>
                <w:rFonts w:cs="Calibri"/>
                <w:sz w:val="20"/>
              </w:rPr>
            </w:pPr>
            <w:r>
              <w:rPr>
                <w:rFonts w:cs="Calibri"/>
                <w:sz w:val="20"/>
              </w:rPr>
              <w:t>Sedative/hypnotic for short-term use.</w:t>
            </w:r>
          </w:p>
        </w:tc>
      </w:tr>
      <w:tr w:rsidRPr="00A814A2" w:rsidR="004940FB" w:rsidTr="77BEE3D0" w14:paraId="20011C05" w14:textId="77777777">
        <w:trPr>
          <w:trHeight w:val="325"/>
        </w:trPr>
        <w:tc>
          <w:tcPr>
            <w:tcW w:w="1074" w:type="pct"/>
          </w:tcPr>
          <w:p w:rsidRPr="00344000" w:rsidR="004940FB" w:rsidP="004940FB" w:rsidRDefault="004940FB" w14:paraId="0E398EA5" w14:textId="77777777">
            <w:pPr>
              <w:pStyle w:val="BodyText"/>
              <w:rPr>
                <w:rFonts w:cs="Calibri"/>
                <w:b/>
                <w:bCs/>
                <w:sz w:val="20"/>
              </w:rPr>
            </w:pPr>
            <w:r w:rsidRPr="00344000">
              <w:rPr>
                <w:rFonts w:cs="Calibri"/>
                <w:b/>
                <w:bCs/>
                <w:sz w:val="20"/>
              </w:rPr>
              <w:t>Action</w:t>
            </w:r>
          </w:p>
        </w:tc>
        <w:tc>
          <w:tcPr>
            <w:tcW w:w="3926" w:type="pct"/>
          </w:tcPr>
          <w:p w:rsidRPr="00A814A2" w:rsidR="004940FB" w:rsidP="004940FB" w:rsidRDefault="004940FB" w14:paraId="5121FD59" w14:textId="77777777">
            <w:pPr>
              <w:rPr>
                <w:rFonts w:cs="Calibri"/>
                <w:sz w:val="20"/>
                <w:highlight w:val="yellow"/>
              </w:rPr>
            </w:pPr>
            <w:r w:rsidRPr="00BD03E4">
              <w:rPr>
                <w:rFonts w:cs="Calibri"/>
                <w:sz w:val="20"/>
              </w:rPr>
              <w:t>Exact mechanism of sedation is not yet known. Trichloroethanol (TCE) is considered to produce the sedative effect associated with this drug.</w:t>
            </w:r>
          </w:p>
        </w:tc>
      </w:tr>
      <w:tr w:rsidRPr="00A814A2" w:rsidR="004940FB" w:rsidTr="77BEE3D0" w14:paraId="1E75012B" w14:textId="77777777">
        <w:trPr>
          <w:trHeight w:val="137"/>
        </w:trPr>
        <w:tc>
          <w:tcPr>
            <w:tcW w:w="1074" w:type="pct"/>
          </w:tcPr>
          <w:p w:rsidRPr="00344000" w:rsidR="004940FB" w:rsidP="004940FB" w:rsidRDefault="004940FB" w14:paraId="659CB9BD" w14:textId="77777777">
            <w:pPr>
              <w:pStyle w:val="BodyText"/>
              <w:rPr>
                <w:rFonts w:cs="Calibri"/>
                <w:sz w:val="20"/>
              </w:rPr>
            </w:pPr>
            <w:r w:rsidRPr="00344000">
              <w:rPr>
                <w:rFonts w:cs="Calibri"/>
                <w:b/>
                <w:bCs/>
                <w:sz w:val="20"/>
              </w:rPr>
              <w:t xml:space="preserve">Drug Type                                   </w:t>
            </w:r>
          </w:p>
        </w:tc>
        <w:tc>
          <w:tcPr>
            <w:tcW w:w="3926" w:type="pct"/>
          </w:tcPr>
          <w:p w:rsidRPr="00A814A2" w:rsidR="004940FB" w:rsidP="004940FB" w:rsidRDefault="004940FB" w14:paraId="488E8444" w14:textId="77777777">
            <w:pPr>
              <w:autoSpaceDE w:val="0"/>
              <w:autoSpaceDN w:val="0"/>
              <w:adjustRightInd w:val="0"/>
              <w:rPr>
                <w:rFonts w:cs="Calibri"/>
                <w:sz w:val="20"/>
                <w:highlight w:val="yellow"/>
              </w:rPr>
            </w:pPr>
            <w:r>
              <w:rPr>
                <w:rFonts w:cs="Calibri"/>
                <w:sz w:val="20"/>
              </w:rPr>
              <w:t>S</w:t>
            </w:r>
            <w:r w:rsidRPr="00874217">
              <w:rPr>
                <w:rFonts w:cs="Calibri"/>
                <w:sz w:val="20"/>
              </w:rPr>
              <w:t>edative and hypnotic drug with barbiturate-like features</w:t>
            </w:r>
            <w:r>
              <w:rPr>
                <w:rFonts w:cs="Calibri"/>
                <w:sz w:val="20"/>
              </w:rPr>
              <w:t>.</w:t>
            </w:r>
          </w:p>
        </w:tc>
      </w:tr>
      <w:tr w:rsidRPr="00344000" w:rsidR="004940FB" w:rsidTr="77BEE3D0" w14:paraId="1952C36A" w14:textId="77777777">
        <w:trPr>
          <w:trHeight w:val="129"/>
        </w:trPr>
        <w:tc>
          <w:tcPr>
            <w:tcW w:w="1074" w:type="pct"/>
          </w:tcPr>
          <w:p w:rsidRPr="00344000" w:rsidR="004940FB" w:rsidP="004940FB" w:rsidRDefault="004940FB" w14:paraId="09BA87A5" w14:textId="77777777">
            <w:pPr>
              <w:pStyle w:val="BodyText"/>
              <w:rPr>
                <w:rFonts w:cs="Calibri"/>
                <w:b/>
                <w:bCs/>
                <w:sz w:val="20"/>
              </w:rPr>
            </w:pPr>
            <w:r w:rsidRPr="00344000">
              <w:rPr>
                <w:rFonts w:cs="Calibri"/>
                <w:b/>
                <w:bCs/>
                <w:sz w:val="20"/>
              </w:rPr>
              <w:t xml:space="preserve">Trade Name                  </w:t>
            </w:r>
          </w:p>
        </w:tc>
        <w:tc>
          <w:tcPr>
            <w:tcW w:w="3926" w:type="pct"/>
          </w:tcPr>
          <w:p w:rsidRPr="00344000" w:rsidR="004940FB" w:rsidP="004940FB" w:rsidRDefault="004940FB" w14:paraId="53F2812F" w14:textId="77777777">
            <w:pPr>
              <w:pStyle w:val="BodyText"/>
              <w:rPr>
                <w:rFonts w:cs="Calibri"/>
                <w:sz w:val="20"/>
              </w:rPr>
            </w:pPr>
            <w:r>
              <w:rPr>
                <w:rFonts w:cs="Calibri"/>
                <w:sz w:val="20"/>
              </w:rPr>
              <w:t xml:space="preserve">Chloral Hydrate Mixture 1 g/10 mL, (100 mg/mL) manufacturer: </w:t>
            </w:r>
            <w:r w:rsidRPr="00C14585">
              <w:rPr>
                <w:rFonts w:cs="Calibri"/>
                <w:sz w:val="20"/>
              </w:rPr>
              <w:t>Perrigo Australia</w:t>
            </w:r>
          </w:p>
        </w:tc>
      </w:tr>
      <w:tr w:rsidRPr="00344000" w:rsidR="004940FB" w:rsidTr="77BEE3D0" w14:paraId="0A1E193B" w14:textId="77777777">
        <w:trPr>
          <w:trHeight w:val="277"/>
        </w:trPr>
        <w:tc>
          <w:tcPr>
            <w:tcW w:w="1074" w:type="pct"/>
          </w:tcPr>
          <w:p w:rsidRPr="00344000" w:rsidR="004940FB" w:rsidP="004940FB" w:rsidRDefault="004940FB" w14:paraId="171F7D19" w14:textId="77777777">
            <w:pPr>
              <w:pStyle w:val="BodyText"/>
              <w:rPr>
                <w:rFonts w:cs="Calibri"/>
                <w:b/>
                <w:bCs/>
                <w:sz w:val="20"/>
              </w:rPr>
            </w:pPr>
            <w:r w:rsidRPr="00344000">
              <w:rPr>
                <w:rFonts w:cs="Calibri"/>
                <w:b/>
                <w:bCs/>
                <w:sz w:val="20"/>
              </w:rPr>
              <w:t xml:space="preserve">Presentation </w:t>
            </w:r>
          </w:p>
        </w:tc>
        <w:tc>
          <w:tcPr>
            <w:tcW w:w="3926" w:type="pct"/>
          </w:tcPr>
          <w:p w:rsidRPr="00344000" w:rsidR="004940FB" w:rsidP="004940FB" w:rsidRDefault="004940FB" w14:paraId="2E0ED56A" w14:textId="77777777">
            <w:pPr>
              <w:pStyle w:val="BodyText"/>
              <w:rPr>
                <w:rFonts w:cs="Calibri"/>
                <w:sz w:val="20"/>
              </w:rPr>
            </w:pPr>
            <w:r>
              <w:rPr>
                <w:rFonts w:cs="Calibri"/>
                <w:sz w:val="20"/>
              </w:rPr>
              <w:t>Chloral Hydrate Mixture 1 g/10 mL (100 mg/mL) oral liquid, 200 mL</w:t>
            </w:r>
          </w:p>
        </w:tc>
      </w:tr>
      <w:tr w:rsidRPr="00344000" w:rsidR="004940FB" w:rsidTr="77BEE3D0" w14:paraId="33BD7028" w14:textId="77777777">
        <w:trPr>
          <w:trHeight w:val="1758"/>
        </w:trPr>
        <w:tc>
          <w:tcPr>
            <w:tcW w:w="1074" w:type="pct"/>
          </w:tcPr>
          <w:p w:rsidRPr="00344000" w:rsidR="004940FB" w:rsidP="004940FB" w:rsidRDefault="004940FB" w14:paraId="3FBA981E" w14:textId="77777777">
            <w:pPr>
              <w:pStyle w:val="BodyText"/>
              <w:rPr>
                <w:rFonts w:cs="Calibri"/>
                <w:b/>
                <w:bCs/>
                <w:sz w:val="20"/>
              </w:rPr>
            </w:pPr>
            <w:r w:rsidRPr="00344000">
              <w:rPr>
                <w:rFonts w:cs="Calibri"/>
                <w:b/>
                <w:bCs/>
                <w:sz w:val="20"/>
              </w:rPr>
              <w:t xml:space="preserve">Dosage/Interval                           </w:t>
            </w:r>
          </w:p>
          <w:p w:rsidRPr="00344000" w:rsidR="004940FB" w:rsidP="004940FB" w:rsidRDefault="004940FB" w14:paraId="746A8CC3" w14:textId="77777777">
            <w:pPr>
              <w:pStyle w:val="BodyText"/>
              <w:rPr>
                <w:rFonts w:cs="Calibri"/>
                <w:sz w:val="20"/>
              </w:rPr>
            </w:pPr>
          </w:p>
        </w:tc>
        <w:tc>
          <w:tcPr>
            <w:tcW w:w="3926" w:type="pct"/>
          </w:tcPr>
          <w:p w:rsidRPr="00C45425" w:rsidR="004940FB" w:rsidP="004940FB" w:rsidRDefault="004940FB" w14:paraId="36A71B30" w14:textId="77777777">
            <w:pPr>
              <w:pStyle w:val="BodyText"/>
              <w:rPr>
                <w:rFonts w:cs="Calibri"/>
                <w:b/>
                <w:sz w:val="20"/>
              </w:rPr>
            </w:pPr>
            <w:r w:rsidRPr="00831831">
              <w:rPr>
                <w:rFonts w:cs="Calibri"/>
                <w:sz w:val="20"/>
              </w:rPr>
              <w:t>Sedation for painless procedure</w:t>
            </w:r>
            <w:r w:rsidRPr="00C45425">
              <w:rPr>
                <w:rFonts w:cs="Calibri"/>
                <w:b/>
                <w:sz w:val="20"/>
              </w:rPr>
              <w:t>:</w:t>
            </w:r>
          </w:p>
          <w:p w:rsidR="004940FB" w:rsidP="004940FB" w:rsidRDefault="004940FB" w14:paraId="43CACE23" w14:textId="77777777">
            <w:pPr>
              <w:pStyle w:val="BodyText"/>
              <w:ind w:left="720"/>
              <w:rPr>
                <w:rFonts w:cs="Calibri"/>
                <w:sz w:val="20"/>
              </w:rPr>
            </w:pPr>
            <w:r>
              <w:rPr>
                <w:rFonts w:cs="Calibri"/>
                <w:sz w:val="20"/>
              </w:rPr>
              <w:t>Term infants: 50 mg/kg/dose (25–75 mg/kg/dose).</w:t>
            </w:r>
          </w:p>
          <w:p w:rsidR="004940FB" w:rsidP="004940FB" w:rsidRDefault="004940FB" w14:paraId="5652FC6A" w14:textId="77777777">
            <w:pPr>
              <w:pStyle w:val="BodyText"/>
              <w:ind w:left="720"/>
              <w:rPr>
                <w:rFonts w:cs="Calibri"/>
                <w:sz w:val="20"/>
              </w:rPr>
            </w:pPr>
            <w:r>
              <w:rPr>
                <w:rFonts w:cs="Calibri"/>
                <w:sz w:val="20"/>
              </w:rPr>
              <w:t>Preterm infants: 25 mg/kg/dose (25–75 mg/kg/dose).</w:t>
            </w:r>
          </w:p>
          <w:p w:rsidRPr="00344000" w:rsidR="004940FB" w:rsidP="004940FB" w:rsidRDefault="004940FB" w14:paraId="48AA5755" w14:textId="77777777">
            <w:pPr>
              <w:pStyle w:val="BodyText"/>
              <w:ind w:left="720"/>
              <w:rPr>
                <w:rFonts w:cs="Calibri"/>
                <w:sz w:val="20"/>
              </w:rPr>
            </w:pPr>
            <w:r>
              <w:rPr>
                <w:rFonts w:cs="Calibri"/>
                <w:sz w:val="20"/>
              </w:rPr>
              <w:t>Give the dose 45 minutes before procedure. Repeated doses up to maximum of 100 mg/kg may be used with respiratory monitoring.</w:t>
            </w:r>
          </w:p>
          <w:p w:rsidR="004940FB" w:rsidP="004940FB" w:rsidRDefault="004940FB" w14:paraId="49E53623" w14:textId="77777777">
            <w:pPr>
              <w:pStyle w:val="BodyText"/>
              <w:rPr>
                <w:rFonts w:cs="Calibri"/>
                <w:sz w:val="20"/>
              </w:rPr>
            </w:pPr>
          </w:p>
          <w:p w:rsidR="004940FB" w:rsidP="004940FB" w:rsidRDefault="004940FB" w14:paraId="795AC9E2" w14:textId="77777777">
            <w:pPr>
              <w:pStyle w:val="BodyText"/>
              <w:rPr>
                <w:rFonts w:cs="Calibri"/>
                <w:sz w:val="20"/>
              </w:rPr>
            </w:pPr>
            <w:r>
              <w:rPr>
                <w:rFonts w:cs="Calibri"/>
                <w:sz w:val="20"/>
              </w:rPr>
              <w:t>Short-term sedation:</w:t>
            </w:r>
          </w:p>
          <w:p w:rsidRPr="00344000" w:rsidR="004940FB" w:rsidP="004940FB" w:rsidRDefault="004940FB" w14:paraId="2AFFD5E5" w14:textId="77777777">
            <w:pPr>
              <w:pStyle w:val="BodyText"/>
              <w:ind w:left="720"/>
              <w:rPr>
                <w:rFonts w:cs="Calibri"/>
                <w:sz w:val="20"/>
              </w:rPr>
            </w:pPr>
            <w:r>
              <w:rPr>
                <w:rFonts w:cs="Calibri"/>
                <w:sz w:val="20"/>
              </w:rPr>
              <w:t>8 mg/kg/dose q6–8 hourly.</w:t>
            </w:r>
          </w:p>
        </w:tc>
      </w:tr>
      <w:tr w:rsidRPr="00344000" w:rsidR="004940FB" w:rsidTr="77BEE3D0" w14:paraId="77833F49" w14:textId="77777777">
        <w:trPr>
          <w:trHeight w:val="424"/>
        </w:trPr>
        <w:tc>
          <w:tcPr>
            <w:tcW w:w="1074" w:type="pct"/>
          </w:tcPr>
          <w:p w:rsidRPr="00344000" w:rsidR="004940FB" w:rsidP="004940FB" w:rsidRDefault="004940FB" w14:paraId="058490B1" w14:textId="77777777">
            <w:pPr>
              <w:pStyle w:val="BodyText"/>
              <w:rPr>
                <w:rFonts w:cs="Calibri"/>
                <w:b/>
                <w:bCs/>
                <w:sz w:val="20"/>
              </w:rPr>
            </w:pPr>
            <w:r w:rsidRPr="00344000">
              <w:rPr>
                <w:rFonts w:cs="Calibri"/>
                <w:b/>
                <w:bCs/>
                <w:sz w:val="20"/>
              </w:rPr>
              <w:t xml:space="preserve">Route                                </w:t>
            </w:r>
          </w:p>
          <w:p w:rsidRPr="00344000" w:rsidR="004940FB" w:rsidP="004940FB" w:rsidRDefault="004940FB" w14:paraId="49AF87D4" w14:textId="77777777">
            <w:pPr>
              <w:pStyle w:val="BodyText"/>
              <w:rPr>
                <w:rFonts w:cs="Calibri"/>
                <w:sz w:val="20"/>
              </w:rPr>
            </w:pPr>
            <w:r w:rsidRPr="00344000">
              <w:rPr>
                <w:rFonts w:cs="Calibri"/>
                <w:b/>
                <w:bCs/>
                <w:sz w:val="20"/>
              </w:rPr>
              <w:t xml:space="preserve">           </w:t>
            </w:r>
          </w:p>
        </w:tc>
        <w:tc>
          <w:tcPr>
            <w:tcW w:w="3926" w:type="pct"/>
          </w:tcPr>
          <w:p w:rsidR="004940FB" w:rsidP="004940FB" w:rsidRDefault="004940FB" w14:paraId="6DFAAC53" w14:textId="77777777">
            <w:pPr>
              <w:autoSpaceDE w:val="0"/>
              <w:autoSpaceDN w:val="0"/>
              <w:adjustRightInd w:val="0"/>
              <w:rPr>
                <w:rFonts w:cs="Calibri"/>
                <w:sz w:val="20"/>
              </w:rPr>
            </w:pPr>
            <w:r>
              <w:rPr>
                <w:rFonts w:cs="Calibri"/>
                <w:sz w:val="20"/>
              </w:rPr>
              <w:t>Oral</w:t>
            </w:r>
          </w:p>
          <w:p w:rsidRPr="00344000" w:rsidR="004940FB" w:rsidP="004940FB" w:rsidRDefault="004940FB" w14:paraId="44B1E3F6" w14:textId="77777777">
            <w:pPr>
              <w:autoSpaceDE w:val="0"/>
              <w:autoSpaceDN w:val="0"/>
              <w:adjustRightInd w:val="0"/>
              <w:rPr>
                <w:rFonts w:cs="Calibri"/>
                <w:sz w:val="20"/>
              </w:rPr>
            </w:pPr>
            <w:r>
              <w:rPr>
                <w:rFonts w:cs="Calibri"/>
                <w:sz w:val="20"/>
              </w:rPr>
              <w:t xml:space="preserve">Note: </w:t>
            </w:r>
            <w:r>
              <w:rPr>
                <w:rFonts w:ascii="ScalaLF-Regular" w:hAnsi="ScalaLF-Regular" w:cs="ScalaLF-Regular"/>
                <w:sz w:val="18"/>
                <w:szCs w:val="18"/>
                <w:lang w:eastAsia="en-AU"/>
              </w:rPr>
              <w:t xml:space="preserve">Rectal administration is erratically absorbed and therefore not recommended. </w:t>
            </w:r>
          </w:p>
        </w:tc>
      </w:tr>
      <w:tr w:rsidRPr="00344000" w:rsidR="004940FB" w:rsidTr="77BEE3D0" w14:paraId="2982B89C" w14:textId="77777777">
        <w:trPr>
          <w:trHeight w:val="305"/>
        </w:trPr>
        <w:tc>
          <w:tcPr>
            <w:tcW w:w="1074" w:type="pct"/>
          </w:tcPr>
          <w:p w:rsidRPr="00344000" w:rsidR="004940FB" w:rsidP="004940FB" w:rsidRDefault="004940FB" w14:paraId="011FDB72" w14:textId="77777777">
            <w:pPr>
              <w:rPr>
                <w:rFonts w:cs="Calibri"/>
                <w:b/>
                <w:sz w:val="20"/>
              </w:rPr>
            </w:pPr>
            <w:r w:rsidRPr="00344000">
              <w:rPr>
                <w:rFonts w:cs="Calibri"/>
                <w:b/>
                <w:sz w:val="20"/>
              </w:rPr>
              <w:t>Maximum Daily Dose</w:t>
            </w:r>
          </w:p>
        </w:tc>
        <w:tc>
          <w:tcPr>
            <w:tcW w:w="3926" w:type="pct"/>
          </w:tcPr>
          <w:p w:rsidRPr="00344000" w:rsidR="004940FB" w:rsidP="004940FB" w:rsidRDefault="004940FB" w14:paraId="3E3244B5" w14:textId="77777777">
            <w:pPr>
              <w:rPr>
                <w:rFonts w:cs="Calibri"/>
                <w:sz w:val="20"/>
              </w:rPr>
            </w:pPr>
            <w:r>
              <w:rPr>
                <w:rFonts w:cs="Calibri"/>
                <w:sz w:val="20"/>
              </w:rPr>
              <w:t>100 mg/kg</w:t>
            </w:r>
          </w:p>
        </w:tc>
      </w:tr>
      <w:tr w:rsidRPr="00344000" w:rsidR="004940FB" w:rsidTr="77BEE3D0" w14:paraId="3E88B6A6" w14:textId="77777777">
        <w:trPr>
          <w:trHeight w:val="227"/>
        </w:trPr>
        <w:tc>
          <w:tcPr>
            <w:tcW w:w="1074" w:type="pct"/>
          </w:tcPr>
          <w:p w:rsidRPr="006B3442" w:rsidR="004940FB" w:rsidP="77BEE3D0" w:rsidRDefault="004940FB" w14:paraId="16F10A59" w14:textId="211E3AC9">
            <w:pPr>
              <w:pStyle w:val="BodyText"/>
              <w:rPr>
                <w:rFonts w:cs="Calibri"/>
                <w:b/>
                <w:bCs/>
                <w:sz w:val="20"/>
                <w:highlight w:val="cyan"/>
              </w:rPr>
            </w:pPr>
            <w:r w:rsidRPr="77BEE3D0">
              <w:rPr>
                <w:rFonts w:cs="Calibri"/>
                <w:b/>
                <w:bCs/>
                <w:sz w:val="20"/>
              </w:rPr>
              <w:t xml:space="preserve">Preparation/Dilution </w:t>
            </w:r>
          </w:p>
        </w:tc>
        <w:tc>
          <w:tcPr>
            <w:tcW w:w="3926" w:type="pct"/>
          </w:tcPr>
          <w:p w:rsidRPr="00344000" w:rsidR="004940FB" w:rsidP="004940FB" w:rsidRDefault="004940FB" w14:paraId="3826AB5C" w14:textId="77777777">
            <w:pPr>
              <w:pStyle w:val="BodyText"/>
              <w:rPr>
                <w:rFonts w:cs="Calibri"/>
                <w:b/>
                <w:sz w:val="20"/>
              </w:rPr>
            </w:pPr>
            <w:r w:rsidRPr="00CC0396">
              <w:rPr>
                <w:rFonts w:cs="Calibri"/>
                <w:sz w:val="20"/>
              </w:rPr>
              <w:t xml:space="preserve">Syrup </w:t>
            </w:r>
            <w:r>
              <w:rPr>
                <w:rFonts w:cs="Calibri"/>
                <w:sz w:val="20"/>
              </w:rPr>
              <w:t xml:space="preserve">– </w:t>
            </w:r>
            <w:r w:rsidRPr="00CC0396">
              <w:rPr>
                <w:rFonts w:cs="Calibri"/>
                <w:sz w:val="20"/>
              </w:rPr>
              <w:t>100</w:t>
            </w:r>
            <w:r>
              <w:rPr>
                <w:rFonts w:cs="Calibri"/>
                <w:sz w:val="20"/>
              </w:rPr>
              <w:t xml:space="preserve"> </w:t>
            </w:r>
            <w:r w:rsidRPr="00CC0396">
              <w:rPr>
                <w:rFonts w:cs="Calibri"/>
                <w:sz w:val="20"/>
              </w:rPr>
              <w:t>mg/</w:t>
            </w:r>
            <w:r>
              <w:rPr>
                <w:rFonts w:cs="Calibri"/>
                <w:sz w:val="20"/>
              </w:rPr>
              <w:t xml:space="preserve">mL </w:t>
            </w:r>
            <w:r w:rsidRPr="00CC0396">
              <w:rPr>
                <w:rFonts w:cs="Calibri"/>
                <w:sz w:val="20"/>
              </w:rPr>
              <w:t>(</w:t>
            </w:r>
            <w:r>
              <w:rPr>
                <w:rFonts w:cs="Calibri"/>
                <w:sz w:val="20"/>
              </w:rPr>
              <w:t>o</w:t>
            </w:r>
            <w:r w:rsidRPr="00CC0396">
              <w:rPr>
                <w:rFonts w:cs="Calibri"/>
                <w:sz w:val="20"/>
              </w:rPr>
              <w:t>smolality is 3285 mOsm/kg of water)</w:t>
            </w:r>
          </w:p>
        </w:tc>
      </w:tr>
      <w:tr w:rsidRPr="00344000" w:rsidR="004940FB" w:rsidTr="77BEE3D0" w14:paraId="62A17633" w14:textId="77777777">
        <w:trPr>
          <w:trHeight w:val="276"/>
        </w:trPr>
        <w:tc>
          <w:tcPr>
            <w:tcW w:w="1074" w:type="pct"/>
          </w:tcPr>
          <w:p w:rsidRPr="00344000" w:rsidR="004940FB" w:rsidP="004940FB" w:rsidRDefault="004940FB" w14:paraId="1DD3CA0F" w14:textId="77777777">
            <w:pPr>
              <w:pStyle w:val="BodyText"/>
              <w:rPr>
                <w:rFonts w:cs="Calibri"/>
                <w:b/>
                <w:bCs/>
                <w:sz w:val="20"/>
              </w:rPr>
            </w:pPr>
            <w:r w:rsidRPr="00344000">
              <w:rPr>
                <w:rFonts w:cs="Calibri"/>
                <w:b/>
                <w:bCs/>
                <w:sz w:val="20"/>
              </w:rPr>
              <w:t xml:space="preserve">Administration                 </w:t>
            </w:r>
          </w:p>
          <w:p w:rsidRPr="00344000" w:rsidR="004940FB" w:rsidP="004940FB" w:rsidRDefault="004940FB" w14:paraId="60FB6D6D" w14:textId="77777777">
            <w:pPr>
              <w:pStyle w:val="BodyText"/>
              <w:rPr>
                <w:rFonts w:cs="Calibri"/>
                <w:sz w:val="20"/>
              </w:rPr>
            </w:pPr>
          </w:p>
        </w:tc>
        <w:tc>
          <w:tcPr>
            <w:tcW w:w="3926" w:type="pct"/>
          </w:tcPr>
          <w:p w:rsidRPr="00344000" w:rsidR="004940FB" w:rsidP="004940FB" w:rsidRDefault="004940FB" w14:paraId="28A1CF7B" w14:textId="77777777">
            <w:pPr>
              <w:pStyle w:val="BodyText"/>
              <w:rPr>
                <w:rFonts w:cs="Calibri"/>
                <w:sz w:val="20"/>
              </w:rPr>
            </w:pPr>
            <w:r>
              <w:rPr>
                <w:rFonts w:cs="Calibri"/>
                <w:sz w:val="20"/>
              </w:rPr>
              <w:t xml:space="preserve">Oral preparation should be diluted 1:3 with water or administered after feeding to reduce gastric irritation. </w:t>
            </w:r>
          </w:p>
        </w:tc>
      </w:tr>
      <w:tr w:rsidRPr="00344000" w:rsidR="004940FB" w:rsidTr="77BEE3D0" w14:paraId="191D16D3" w14:textId="77777777">
        <w:trPr>
          <w:trHeight w:val="407"/>
        </w:trPr>
        <w:tc>
          <w:tcPr>
            <w:tcW w:w="1074" w:type="pct"/>
          </w:tcPr>
          <w:p w:rsidRPr="00344000" w:rsidR="004940FB" w:rsidP="004940FB" w:rsidRDefault="004940FB" w14:paraId="67407E88" w14:textId="77777777">
            <w:pPr>
              <w:pStyle w:val="BodyText"/>
              <w:rPr>
                <w:rFonts w:cs="Calibri"/>
                <w:sz w:val="20"/>
              </w:rPr>
            </w:pPr>
            <w:r w:rsidRPr="00344000">
              <w:rPr>
                <w:rFonts w:cs="Calibri"/>
                <w:b/>
                <w:bCs/>
                <w:sz w:val="20"/>
              </w:rPr>
              <w:t xml:space="preserve">Monitoring                              </w:t>
            </w:r>
          </w:p>
        </w:tc>
        <w:tc>
          <w:tcPr>
            <w:tcW w:w="3926" w:type="pct"/>
          </w:tcPr>
          <w:p w:rsidRPr="00344000" w:rsidR="004940FB" w:rsidP="004940FB" w:rsidRDefault="004940FB" w14:paraId="304318D9" w14:textId="77777777">
            <w:pPr>
              <w:pStyle w:val="BodyText"/>
              <w:rPr>
                <w:rFonts w:cs="Calibri"/>
                <w:sz w:val="20"/>
              </w:rPr>
            </w:pPr>
            <w:r>
              <w:rPr>
                <w:rFonts w:cs="Calibri"/>
                <w:sz w:val="20"/>
              </w:rPr>
              <w:t>Chloral hydrate is well tolerated by most patients with single dose or short-term use. Most common reported adverse effect is mild respiratory depression and bradycardia in former preterm infants.</w:t>
            </w:r>
            <w:r>
              <w:rPr>
                <w:rFonts w:cs="Calibri"/>
                <w:sz w:val="20"/>
                <w:vertAlign w:val="superscript"/>
              </w:rPr>
              <w:t>1,2</w:t>
            </w:r>
            <w:r>
              <w:rPr>
                <w:rFonts w:cs="Calibri"/>
                <w:sz w:val="20"/>
              </w:rPr>
              <w:t xml:space="preserve"> </w:t>
            </w:r>
            <w:r w:rsidRPr="00344000">
              <w:rPr>
                <w:rFonts w:cs="Calibri"/>
                <w:sz w:val="20"/>
              </w:rPr>
              <w:t>Observe for respiratory depression, blood pressure and level of sedation</w:t>
            </w:r>
            <w:r>
              <w:rPr>
                <w:rFonts w:cs="Calibri"/>
                <w:sz w:val="20"/>
              </w:rPr>
              <w:t>.</w:t>
            </w:r>
            <w:r w:rsidRPr="00344000">
              <w:rPr>
                <w:rFonts w:cs="Calibri"/>
                <w:sz w:val="20"/>
              </w:rPr>
              <w:t xml:space="preserve"> </w:t>
            </w:r>
          </w:p>
        </w:tc>
      </w:tr>
      <w:tr w:rsidRPr="00344000" w:rsidR="004940FB" w:rsidTr="77BEE3D0" w14:paraId="2DF4B3DC" w14:textId="77777777">
        <w:trPr>
          <w:trHeight w:val="441"/>
        </w:trPr>
        <w:tc>
          <w:tcPr>
            <w:tcW w:w="1074" w:type="pct"/>
          </w:tcPr>
          <w:p w:rsidRPr="00B10B3E" w:rsidR="004940FB" w:rsidP="004940FB" w:rsidRDefault="004940FB" w14:paraId="0C0155E7" w14:textId="77777777">
            <w:pPr>
              <w:pStyle w:val="BodyText"/>
              <w:rPr>
                <w:rFonts w:cs="Calibri"/>
                <w:b/>
                <w:bCs/>
                <w:sz w:val="20"/>
              </w:rPr>
            </w:pPr>
            <w:r w:rsidRPr="00344000">
              <w:rPr>
                <w:rFonts w:cs="Calibri"/>
                <w:b/>
                <w:bCs/>
                <w:sz w:val="20"/>
              </w:rPr>
              <w:t>Contraindicat</w:t>
            </w:r>
            <w:r>
              <w:rPr>
                <w:rFonts w:cs="Calibri"/>
                <w:b/>
                <w:bCs/>
                <w:sz w:val="20"/>
              </w:rPr>
              <w:t xml:space="preserve">ions             </w:t>
            </w:r>
          </w:p>
        </w:tc>
        <w:tc>
          <w:tcPr>
            <w:tcW w:w="3926" w:type="pct"/>
          </w:tcPr>
          <w:p w:rsidR="004940FB" w:rsidP="004940FB" w:rsidRDefault="004940FB" w14:paraId="2A4929B4" w14:textId="77777777">
            <w:pPr>
              <w:pStyle w:val="BodyText"/>
              <w:rPr>
                <w:rFonts w:cs="Calibri"/>
                <w:sz w:val="20"/>
              </w:rPr>
            </w:pPr>
            <w:r>
              <w:rPr>
                <w:rFonts w:cs="Calibri"/>
                <w:sz w:val="20"/>
              </w:rPr>
              <w:t>Do not use in patients with significant hepatic and/or renal disease.</w:t>
            </w:r>
          </w:p>
          <w:p w:rsidRPr="00344000" w:rsidR="004940FB" w:rsidP="004940FB" w:rsidRDefault="004940FB" w14:paraId="53D1AD5D" w14:textId="77777777">
            <w:pPr>
              <w:pStyle w:val="BodyText"/>
              <w:rPr>
                <w:rFonts w:cs="Calibri"/>
                <w:sz w:val="20"/>
              </w:rPr>
            </w:pPr>
            <w:r>
              <w:rPr>
                <w:rFonts w:cs="Calibri"/>
                <w:sz w:val="20"/>
              </w:rPr>
              <w:t>Obstructive sleep apnoea.</w:t>
            </w:r>
          </w:p>
        </w:tc>
      </w:tr>
      <w:tr w:rsidRPr="00344000" w:rsidR="004940FB" w:rsidTr="77BEE3D0" w14:paraId="7D4640D7" w14:textId="77777777">
        <w:trPr>
          <w:trHeight w:val="1771"/>
        </w:trPr>
        <w:tc>
          <w:tcPr>
            <w:tcW w:w="1074" w:type="pct"/>
          </w:tcPr>
          <w:p w:rsidRPr="00344000" w:rsidR="004940FB" w:rsidP="004940FB" w:rsidRDefault="004940FB" w14:paraId="1FA4C80E" w14:textId="77777777">
            <w:pPr>
              <w:pStyle w:val="BodyText"/>
              <w:rPr>
                <w:rFonts w:cs="Calibri"/>
                <w:b/>
                <w:bCs/>
                <w:sz w:val="20"/>
              </w:rPr>
            </w:pPr>
            <w:r w:rsidRPr="00344000">
              <w:rPr>
                <w:rFonts w:cs="Calibri"/>
                <w:sz w:val="20"/>
              </w:rPr>
              <w:br w:type="page"/>
            </w:r>
            <w:r w:rsidRPr="00344000">
              <w:rPr>
                <w:rFonts w:cs="Calibri"/>
                <w:b/>
                <w:bCs/>
                <w:sz w:val="20"/>
              </w:rPr>
              <w:t>Precautions</w:t>
            </w:r>
          </w:p>
        </w:tc>
        <w:tc>
          <w:tcPr>
            <w:tcW w:w="3926" w:type="pct"/>
          </w:tcPr>
          <w:p w:rsidR="004940FB" w:rsidP="004940FB" w:rsidRDefault="004940FB" w14:paraId="0F9B7F5B" w14:textId="77777777">
            <w:pPr>
              <w:pStyle w:val="BodyText"/>
              <w:rPr>
                <w:rFonts w:cs="Calibri"/>
                <w:sz w:val="20"/>
              </w:rPr>
            </w:pPr>
            <w:r>
              <w:rPr>
                <w:rFonts w:cs="Calibri"/>
                <w:sz w:val="20"/>
              </w:rPr>
              <w:t>Reduce dose in hepatic and renal impairment.</w:t>
            </w:r>
          </w:p>
          <w:p w:rsidR="004940FB" w:rsidP="004940FB" w:rsidRDefault="004940FB" w14:paraId="5B71775C" w14:textId="77777777">
            <w:pPr>
              <w:pStyle w:val="BodyText"/>
              <w:rPr>
                <w:rFonts w:cs="Calibri"/>
                <w:sz w:val="20"/>
              </w:rPr>
            </w:pPr>
            <w:r>
              <w:rPr>
                <w:rFonts w:cs="Calibri"/>
                <w:sz w:val="20"/>
              </w:rPr>
              <w:t>Avoid prolonged use and abrupt withdrawal thereafter.</w:t>
            </w:r>
          </w:p>
          <w:p w:rsidR="004940FB" w:rsidP="004940FB" w:rsidRDefault="004940FB" w14:paraId="2AFCF232" w14:textId="77777777">
            <w:pPr>
              <w:pStyle w:val="BodyText"/>
              <w:rPr>
                <w:rFonts w:cs="Calibri"/>
                <w:sz w:val="20"/>
              </w:rPr>
            </w:pPr>
            <w:r>
              <w:rPr>
                <w:rFonts w:cs="Calibri"/>
                <w:sz w:val="20"/>
              </w:rPr>
              <w:t>Administration with other CNS depressants such as opioids, benzodiazepines or barbiturates may produce excessive sedation.</w:t>
            </w:r>
          </w:p>
          <w:p w:rsidR="004940FB" w:rsidP="004940FB" w:rsidRDefault="004940FB" w14:paraId="44E41F9C" w14:textId="77777777">
            <w:pPr>
              <w:pStyle w:val="BodyText"/>
              <w:rPr>
                <w:rFonts w:cs="Calibri"/>
                <w:sz w:val="20"/>
              </w:rPr>
            </w:pPr>
            <w:r>
              <w:rPr>
                <w:rFonts w:cs="Calibri"/>
                <w:sz w:val="20"/>
              </w:rPr>
              <w:t>Indirect hyperbilirubinaemia may occur after prolong use because TCE and bilirubin compete for hepatic conjugation.</w:t>
            </w:r>
          </w:p>
          <w:p w:rsidRPr="00344000" w:rsidR="004940FB" w:rsidP="004940FB" w:rsidRDefault="004940FB" w14:paraId="7E9D8D64" w14:textId="77777777">
            <w:pPr>
              <w:pStyle w:val="BodyText"/>
              <w:rPr>
                <w:rFonts w:cs="Calibri"/>
                <w:sz w:val="20"/>
              </w:rPr>
            </w:pPr>
            <w:r>
              <w:rPr>
                <w:rFonts w:cs="Calibri"/>
                <w:sz w:val="20"/>
              </w:rPr>
              <w:t>Use cautiously in preterm infants because of the risk of respiratory depression.</w:t>
            </w:r>
          </w:p>
        </w:tc>
      </w:tr>
      <w:tr w:rsidRPr="00344000" w:rsidR="004940FB" w:rsidTr="77BEE3D0" w14:paraId="538256E7" w14:textId="77777777">
        <w:trPr>
          <w:trHeight w:val="394"/>
        </w:trPr>
        <w:tc>
          <w:tcPr>
            <w:tcW w:w="1074" w:type="pct"/>
          </w:tcPr>
          <w:p w:rsidRPr="00344000" w:rsidR="004940FB" w:rsidP="004940FB" w:rsidRDefault="004940FB" w14:paraId="0B3280B4" w14:textId="77777777">
            <w:pPr>
              <w:pStyle w:val="BodyText"/>
              <w:rPr>
                <w:rFonts w:cs="Calibri"/>
                <w:b/>
                <w:bCs/>
                <w:sz w:val="20"/>
              </w:rPr>
            </w:pPr>
            <w:r w:rsidRPr="00344000">
              <w:rPr>
                <w:rFonts w:cs="Calibri"/>
                <w:b/>
                <w:bCs/>
                <w:sz w:val="20"/>
              </w:rPr>
              <w:t>Drug Interactions</w:t>
            </w:r>
          </w:p>
        </w:tc>
        <w:tc>
          <w:tcPr>
            <w:tcW w:w="3926" w:type="pct"/>
          </w:tcPr>
          <w:p w:rsidR="004940FB" w:rsidP="004940FB" w:rsidRDefault="004940FB" w14:paraId="2B8031F7" w14:textId="77777777">
            <w:pPr>
              <w:pStyle w:val="BodyText"/>
              <w:rPr>
                <w:rFonts w:cs="Calibri"/>
                <w:sz w:val="20"/>
              </w:rPr>
            </w:pPr>
            <w:r>
              <w:rPr>
                <w:rFonts w:cs="Calibri"/>
                <w:sz w:val="20"/>
              </w:rPr>
              <w:t xml:space="preserve">Chloral hydrate may have an additive effect with </w:t>
            </w:r>
            <w:r w:rsidRPr="00BD73C5">
              <w:rPr>
                <w:rFonts w:cs="Calibri"/>
                <w:sz w:val="20"/>
              </w:rPr>
              <w:t>opioids, barbiturates, benzo</w:t>
            </w:r>
            <w:r>
              <w:rPr>
                <w:rFonts w:cs="Calibri"/>
                <w:sz w:val="20"/>
              </w:rPr>
              <w:t>diazepines leading to respiratory depression.</w:t>
            </w:r>
          </w:p>
          <w:p w:rsidR="004940FB" w:rsidP="004940FB" w:rsidRDefault="004940FB" w14:paraId="70098986" w14:textId="77777777">
            <w:pPr>
              <w:pStyle w:val="BodyText"/>
              <w:rPr>
                <w:rFonts w:cs="Calibri"/>
                <w:sz w:val="20"/>
              </w:rPr>
            </w:pPr>
            <w:r>
              <w:rPr>
                <w:rFonts w:cs="Calibri"/>
                <w:sz w:val="20"/>
              </w:rPr>
              <w:t>Chloral hydrate may produce a transient increase in response to warfarin due to displacement of warfarin from its protein binding site.</w:t>
            </w:r>
          </w:p>
          <w:p w:rsidR="004940FB" w:rsidP="004940FB" w:rsidRDefault="004940FB" w14:paraId="38EDCDBF" w14:textId="77777777">
            <w:pPr>
              <w:pStyle w:val="BodyText"/>
              <w:rPr>
                <w:rFonts w:cs="Calibri"/>
                <w:sz w:val="20"/>
              </w:rPr>
            </w:pPr>
            <w:r>
              <w:rPr>
                <w:rFonts w:cs="Calibri"/>
                <w:sz w:val="20"/>
              </w:rPr>
              <w:t>Intravenous furosemide administration after chloral hydrate has been reported to produce diaphoresis, flushing, changes in blood pressure and tachycardia in adults and older children.</w:t>
            </w:r>
          </w:p>
          <w:p w:rsidRPr="00344000" w:rsidR="004940FB" w:rsidP="004940FB" w:rsidRDefault="004940FB" w14:paraId="15FAD9CD" w14:textId="77777777">
            <w:pPr>
              <w:pStyle w:val="BodyText"/>
              <w:rPr>
                <w:rFonts w:cs="Calibri"/>
                <w:sz w:val="20"/>
              </w:rPr>
            </w:pPr>
            <w:r>
              <w:rPr>
                <w:rFonts w:cs="Calibri"/>
                <w:sz w:val="20"/>
              </w:rPr>
              <w:lastRenderedPageBreak/>
              <w:t>Chloral hydrate may displace phenytoin from protein binding sites and reduce its rate of elimination.</w:t>
            </w:r>
          </w:p>
        </w:tc>
      </w:tr>
      <w:tr w:rsidRPr="00344000" w:rsidR="004940FB" w:rsidTr="77BEE3D0" w14:paraId="409174E6" w14:textId="77777777">
        <w:trPr>
          <w:trHeight w:val="376"/>
        </w:trPr>
        <w:tc>
          <w:tcPr>
            <w:tcW w:w="1074" w:type="pct"/>
          </w:tcPr>
          <w:p w:rsidRPr="00344000" w:rsidR="004940FB" w:rsidP="004940FB" w:rsidRDefault="004940FB" w14:paraId="4A4CB60E" w14:textId="77777777">
            <w:pPr>
              <w:pStyle w:val="BodyText"/>
              <w:rPr>
                <w:rFonts w:cs="Calibri"/>
                <w:b/>
                <w:bCs/>
                <w:sz w:val="20"/>
              </w:rPr>
            </w:pPr>
            <w:r w:rsidRPr="00344000">
              <w:rPr>
                <w:rFonts w:cs="Calibri"/>
                <w:b/>
                <w:bCs/>
                <w:sz w:val="20"/>
              </w:rPr>
              <w:lastRenderedPageBreak/>
              <w:t xml:space="preserve">Adverse Reactions         </w:t>
            </w:r>
          </w:p>
          <w:p w:rsidRPr="00344000" w:rsidR="004940FB" w:rsidP="004940FB" w:rsidRDefault="004940FB" w14:paraId="7BF124A1" w14:textId="77777777">
            <w:pPr>
              <w:pStyle w:val="BodyText"/>
              <w:rPr>
                <w:rFonts w:cs="Calibri"/>
                <w:b/>
                <w:bCs/>
                <w:sz w:val="20"/>
              </w:rPr>
            </w:pPr>
          </w:p>
        </w:tc>
        <w:tc>
          <w:tcPr>
            <w:tcW w:w="3926" w:type="pct"/>
          </w:tcPr>
          <w:p w:rsidR="004940FB" w:rsidP="004940FB" w:rsidRDefault="004940FB" w14:paraId="6D1723C1" w14:textId="77777777">
            <w:pPr>
              <w:pStyle w:val="BodyText"/>
              <w:rPr>
                <w:rFonts w:cs="Calibri"/>
                <w:sz w:val="20"/>
              </w:rPr>
            </w:pPr>
            <w:r>
              <w:rPr>
                <w:rFonts w:cs="Calibri"/>
                <w:sz w:val="20"/>
              </w:rPr>
              <w:t>Mild respiratory depression — ensure adequate monitoring.</w:t>
            </w:r>
          </w:p>
          <w:p w:rsidR="004940FB" w:rsidP="004940FB" w:rsidRDefault="004940FB" w14:paraId="2BC39947" w14:textId="77777777">
            <w:pPr>
              <w:pStyle w:val="BodyText"/>
              <w:rPr>
                <w:rFonts w:cs="Calibri"/>
                <w:sz w:val="20"/>
              </w:rPr>
            </w:pPr>
            <w:r>
              <w:rPr>
                <w:rFonts w:cs="Calibri"/>
                <w:sz w:val="20"/>
              </w:rPr>
              <w:t>Gastric irritation with nausea and vomiting.</w:t>
            </w:r>
          </w:p>
          <w:p w:rsidR="004940FB" w:rsidP="004940FB" w:rsidRDefault="004940FB" w14:paraId="09DBFD81" w14:textId="77777777">
            <w:pPr>
              <w:pStyle w:val="BodyText"/>
              <w:rPr>
                <w:rFonts w:cs="Calibri"/>
                <w:sz w:val="20"/>
              </w:rPr>
            </w:pPr>
            <w:r>
              <w:rPr>
                <w:rFonts w:cs="Calibri"/>
                <w:sz w:val="20"/>
              </w:rPr>
              <w:t>In former premature infants , episodes of bradycardia may occur for up to 24 hours after a dose.</w:t>
            </w:r>
          </w:p>
          <w:p w:rsidR="004940FB" w:rsidP="004940FB" w:rsidRDefault="004940FB" w14:paraId="579906FE" w14:textId="77777777">
            <w:pPr>
              <w:pStyle w:val="BodyText"/>
              <w:rPr>
                <w:rFonts w:cs="Calibri"/>
                <w:sz w:val="20"/>
              </w:rPr>
            </w:pPr>
            <w:r>
              <w:rPr>
                <w:rFonts w:cs="Calibri"/>
                <w:sz w:val="20"/>
              </w:rPr>
              <w:t>Paradoxical excitement may occur.</w:t>
            </w:r>
          </w:p>
          <w:p w:rsidR="004940FB" w:rsidP="004940FB" w:rsidRDefault="004940FB" w14:paraId="24AE22E7" w14:textId="77777777">
            <w:pPr>
              <w:pStyle w:val="BodyText"/>
              <w:rPr>
                <w:rFonts w:cs="Calibri"/>
                <w:sz w:val="20"/>
              </w:rPr>
            </w:pPr>
            <w:r>
              <w:rPr>
                <w:rFonts w:cs="Calibri"/>
                <w:sz w:val="20"/>
              </w:rPr>
              <w:t>Prolonged administration or acute overdose can cause neurologic, respiratory and myocardial depression; cardiac arrhythmia and bladder atony.</w:t>
            </w:r>
          </w:p>
          <w:p w:rsidRPr="00344000" w:rsidR="004940FB" w:rsidP="004940FB" w:rsidRDefault="004940FB" w14:paraId="477DCF95" w14:textId="77777777">
            <w:pPr>
              <w:pStyle w:val="BodyText"/>
              <w:rPr>
                <w:rFonts w:cs="Calibri"/>
                <w:sz w:val="20"/>
              </w:rPr>
            </w:pPr>
            <w:r>
              <w:rPr>
                <w:rFonts w:cs="Calibri"/>
                <w:sz w:val="20"/>
              </w:rPr>
              <w:t xml:space="preserve">Serious adverse events including death/permanent neurologic injury have been reported in children in a review of adverse event care reports from </w:t>
            </w:r>
            <w:r w:rsidRPr="006E1AB6">
              <w:rPr>
                <w:rFonts w:cs="Calibri"/>
                <w:sz w:val="20"/>
              </w:rPr>
              <w:t>the adverse drug reporting system of the Food and Drug</w:t>
            </w:r>
            <w:r>
              <w:rPr>
                <w:rFonts w:cs="Calibri"/>
                <w:sz w:val="20"/>
              </w:rPr>
              <w:t xml:space="preserve"> </w:t>
            </w:r>
            <w:r w:rsidRPr="006E1AB6">
              <w:rPr>
                <w:rFonts w:cs="Calibri"/>
                <w:sz w:val="20"/>
              </w:rPr>
              <w:t>Administration, the US Pharmacopoeia, and the results</w:t>
            </w:r>
            <w:r>
              <w:rPr>
                <w:rFonts w:cs="Calibri"/>
                <w:sz w:val="20"/>
              </w:rPr>
              <w:t xml:space="preserve"> </w:t>
            </w:r>
            <w:r w:rsidRPr="006E1AB6">
              <w:rPr>
                <w:rFonts w:cs="Calibri"/>
                <w:sz w:val="20"/>
              </w:rPr>
              <w:t>of a survey of p</w:t>
            </w:r>
            <w:r>
              <w:rPr>
                <w:rFonts w:cs="Calibri"/>
                <w:sz w:val="20"/>
              </w:rPr>
              <w:t>a</w:t>
            </w:r>
            <w:r w:rsidRPr="006E1AB6">
              <w:rPr>
                <w:rFonts w:cs="Calibri"/>
                <w:sz w:val="20"/>
              </w:rPr>
              <w:t>ediatric specialists</w:t>
            </w:r>
            <w:r>
              <w:rPr>
                <w:rFonts w:cs="Calibri"/>
                <w:sz w:val="20"/>
              </w:rPr>
              <w:t>.</w:t>
            </w:r>
            <w:r w:rsidRPr="00B10B3E">
              <w:rPr>
                <w:rFonts w:cs="Calibri"/>
                <w:sz w:val="20"/>
                <w:vertAlign w:val="superscript"/>
              </w:rPr>
              <w:t>9</w:t>
            </w:r>
          </w:p>
        </w:tc>
      </w:tr>
      <w:tr w:rsidRPr="005C0C81" w:rsidR="004940FB" w:rsidTr="77BEE3D0" w14:paraId="26793662" w14:textId="77777777">
        <w:trPr>
          <w:trHeight w:val="128"/>
        </w:trPr>
        <w:tc>
          <w:tcPr>
            <w:tcW w:w="1074" w:type="pct"/>
          </w:tcPr>
          <w:p w:rsidRPr="00344000" w:rsidR="004940FB" w:rsidP="004940FB" w:rsidRDefault="004940FB" w14:paraId="273E795E" w14:textId="77777777">
            <w:pPr>
              <w:pStyle w:val="BodyText"/>
              <w:rPr>
                <w:rFonts w:cs="Calibri"/>
                <w:b/>
                <w:bCs/>
                <w:sz w:val="20"/>
              </w:rPr>
            </w:pPr>
            <w:r>
              <w:rPr>
                <w:rFonts w:cs="Calibri"/>
                <w:b/>
                <w:bCs/>
                <w:sz w:val="20"/>
              </w:rPr>
              <w:t>Compatibility</w:t>
            </w:r>
          </w:p>
        </w:tc>
        <w:tc>
          <w:tcPr>
            <w:tcW w:w="3926" w:type="pct"/>
          </w:tcPr>
          <w:p w:rsidRPr="005C0C81" w:rsidR="004940FB" w:rsidP="004940FB" w:rsidRDefault="004940FB" w14:paraId="22C2CE83" w14:textId="77777777">
            <w:pPr>
              <w:pStyle w:val="BodyText"/>
              <w:rPr>
                <w:rFonts w:cs="Calibri"/>
                <w:sz w:val="20"/>
              </w:rPr>
            </w:pPr>
            <w:r w:rsidRPr="005C0C81">
              <w:rPr>
                <w:rFonts w:cs="Calibri"/>
                <w:sz w:val="20"/>
              </w:rPr>
              <w:t>N</w:t>
            </w:r>
            <w:r>
              <w:rPr>
                <w:rFonts w:cs="Calibri"/>
                <w:sz w:val="20"/>
              </w:rPr>
              <w:t>ot applicable.</w:t>
            </w:r>
          </w:p>
        </w:tc>
      </w:tr>
      <w:tr w:rsidRPr="00344000" w:rsidR="004940FB" w:rsidTr="77BEE3D0" w14:paraId="7D36A98C" w14:textId="77777777">
        <w:trPr>
          <w:trHeight w:val="78"/>
        </w:trPr>
        <w:tc>
          <w:tcPr>
            <w:tcW w:w="1074" w:type="pct"/>
          </w:tcPr>
          <w:p w:rsidRPr="00344000" w:rsidR="004940FB" w:rsidP="004940FB" w:rsidRDefault="004940FB" w14:paraId="13280953" w14:textId="77777777">
            <w:pPr>
              <w:pStyle w:val="BodyText"/>
              <w:rPr>
                <w:rFonts w:cs="Calibri"/>
                <w:b/>
                <w:bCs/>
                <w:sz w:val="20"/>
              </w:rPr>
            </w:pPr>
            <w:r w:rsidRPr="00344000">
              <w:rPr>
                <w:rFonts w:cs="Calibri"/>
                <w:b/>
                <w:bCs/>
                <w:sz w:val="20"/>
              </w:rPr>
              <w:t>Incompatibility</w:t>
            </w:r>
            <w:r>
              <w:rPr>
                <w:rFonts w:cs="Calibri"/>
                <w:b/>
                <w:bCs/>
                <w:sz w:val="20"/>
              </w:rPr>
              <w:t xml:space="preserve"> </w:t>
            </w:r>
            <w:r w:rsidRPr="00344000">
              <w:rPr>
                <w:rFonts w:cs="Calibri"/>
                <w:b/>
                <w:bCs/>
                <w:sz w:val="20"/>
              </w:rPr>
              <w:t xml:space="preserve"> </w:t>
            </w:r>
            <w:r w:rsidRPr="00344000">
              <w:rPr>
                <w:rFonts w:cs="Calibri"/>
                <w:b/>
                <w:bCs/>
                <w:sz w:val="20"/>
              </w:rPr>
              <w:tab/>
            </w:r>
          </w:p>
        </w:tc>
        <w:tc>
          <w:tcPr>
            <w:tcW w:w="3926" w:type="pct"/>
          </w:tcPr>
          <w:p w:rsidRPr="00344000" w:rsidR="004940FB" w:rsidP="004940FB" w:rsidRDefault="004940FB" w14:paraId="01FA5FB7" w14:textId="77777777">
            <w:pPr>
              <w:pStyle w:val="BodyText"/>
              <w:rPr>
                <w:rFonts w:cs="Calibri"/>
                <w:sz w:val="20"/>
              </w:rPr>
            </w:pPr>
            <w:r>
              <w:rPr>
                <w:rFonts w:cs="Calibri"/>
                <w:sz w:val="20"/>
              </w:rPr>
              <w:t>Not applicable.</w:t>
            </w:r>
          </w:p>
        </w:tc>
      </w:tr>
      <w:tr w:rsidRPr="00344000" w:rsidR="004940FB" w:rsidTr="77BEE3D0" w14:paraId="692DBC65" w14:textId="77777777">
        <w:trPr>
          <w:trHeight w:val="215"/>
        </w:trPr>
        <w:tc>
          <w:tcPr>
            <w:tcW w:w="1074" w:type="pct"/>
          </w:tcPr>
          <w:p w:rsidRPr="00344000" w:rsidR="004940FB" w:rsidP="004940FB" w:rsidRDefault="004940FB" w14:paraId="3513574C" w14:textId="77777777">
            <w:pPr>
              <w:pStyle w:val="BodyText"/>
              <w:rPr>
                <w:rFonts w:cs="Calibri"/>
                <w:b/>
                <w:bCs/>
                <w:sz w:val="20"/>
              </w:rPr>
            </w:pPr>
            <w:r w:rsidRPr="00344000">
              <w:rPr>
                <w:rFonts w:cs="Calibri"/>
                <w:b/>
                <w:bCs/>
                <w:sz w:val="20"/>
              </w:rPr>
              <w:t xml:space="preserve">Stability                  </w:t>
            </w:r>
          </w:p>
        </w:tc>
        <w:tc>
          <w:tcPr>
            <w:tcW w:w="3926" w:type="pct"/>
          </w:tcPr>
          <w:p w:rsidRPr="00344000" w:rsidR="004940FB" w:rsidP="004940FB" w:rsidRDefault="004940FB" w14:paraId="4208DDB2" w14:textId="77777777">
            <w:pPr>
              <w:pStyle w:val="BodyText"/>
              <w:rPr>
                <w:rFonts w:cs="Calibri"/>
                <w:sz w:val="20"/>
              </w:rPr>
            </w:pPr>
            <w:r>
              <w:rPr>
                <w:rFonts w:cs="Calibri"/>
                <w:sz w:val="20"/>
              </w:rPr>
              <w:t>Not applicable.</w:t>
            </w:r>
          </w:p>
        </w:tc>
      </w:tr>
      <w:tr w:rsidRPr="00344000" w:rsidR="004940FB" w:rsidTr="77BEE3D0" w14:paraId="1BA116EC" w14:textId="77777777">
        <w:trPr>
          <w:trHeight w:val="375"/>
        </w:trPr>
        <w:tc>
          <w:tcPr>
            <w:tcW w:w="1074" w:type="pct"/>
          </w:tcPr>
          <w:p w:rsidRPr="00344000" w:rsidR="004940FB" w:rsidP="004940FB" w:rsidRDefault="004940FB" w14:paraId="1AA15A84" w14:textId="77777777">
            <w:pPr>
              <w:pStyle w:val="BodyText"/>
              <w:rPr>
                <w:rFonts w:cs="Calibri"/>
                <w:b/>
                <w:bCs/>
                <w:sz w:val="20"/>
              </w:rPr>
            </w:pPr>
            <w:r w:rsidRPr="00344000">
              <w:rPr>
                <w:rFonts w:cs="Calibri"/>
                <w:b/>
                <w:bCs/>
                <w:sz w:val="20"/>
              </w:rPr>
              <w:t xml:space="preserve">Storage        </w:t>
            </w:r>
          </w:p>
        </w:tc>
        <w:tc>
          <w:tcPr>
            <w:tcW w:w="3926" w:type="pct"/>
          </w:tcPr>
          <w:p w:rsidR="004940FB" w:rsidP="004940FB" w:rsidRDefault="004940FB" w14:paraId="3B1A3C0A" w14:textId="77777777">
            <w:pPr>
              <w:pStyle w:val="BodyText"/>
              <w:rPr>
                <w:rFonts w:cs="Calibri"/>
                <w:sz w:val="20"/>
              </w:rPr>
            </w:pPr>
            <w:r>
              <w:rPr>
                <w:rFonts w:cs="Calibri"/>
                <w:sz w:val="20"/>
              </w:rPr>
              <w:t>Store at room temperature (5–25°C).</w:t>
            </w:r>
          </w:p>
          <w:p w:rsidRPr="00344000" w:rsidR="004940FB" w:rsidP="004940FB" w:rsidRDefault="004940FB" w14:paraId="787E2D69" w14:textId="77777777">
            <w:pPr>
              <w:pStyle w:val="BodyText"/>
              <w:rPr>
                <w:rFonts w:cs="Calibri"/>
                <w:sz w:val="20"/>
              </w:rPr>
            </w:pPr>
            <w:r>
              <w:rPr>
                <w:rFonts w:cs="Calibri"/>
                <w:sz w:val="20"/>
              </w:rPr>
              <w:t>Preparation is light sensitive; store in a dark container.</w:t>
            </w:r>
          </w:p>
        </w:tc>
      </w:tr>
      <w:tr w:rsidRPr="00344000" w:rsidR="004940FB" w:rsidTr="77BEE3D0" w14:paraId="5BD7312E" w14:textId="77777777">
        <w:trPr>
          <w:trHeight w:val="808"/>
        </w:trPr>
        <w:tc>
          <w:tcPr>
            <w:tcW w:w="1074" w:type="pct"/>
          </w:tcPr>
          <w:p w:rsidRPr="00344000" w:rsidR="004940FB" w:rsidP="004940FB" w:rsidRDefault="004940FB" w14:paraId="0DF9264B" w14:textId="77777777">
            <w:pPr>
              <w:pStyle w:val="BodyText"/>
              <w:rPr>
                <w:rFonts w:cs="Calibri"/>
                <w:b/>
                <w:bCs/>
                <w:sz w:val="20"/>
              </w:rPr>
            </w:pPr>
            <w:r w:rsidRPr="00344000">
              <w:rPr>
                <w:rFonts w:cs="Calibri"/>
                <w:b/>
                <w:bCs/>
                <w:sz w:val="20"/>
              </w:rPr>
              <w:t xml:space="preserve">Special Comments       </w:t>
            </w:r>
          </w:p>
          <w:p w:rsidRPr="00344000" w:rsidR="004940FB" w:rsidP="004940FB" w:rsidRDefault="004940FB" w14:paraId="2A3EB475" w14:textId="77777777">
            <w:pPr>
              <w:pStyle w:val="BodyText"/>
              <w:rPr>
                <w:rFonts w:cs="Calibri"/>
                <w:b/>
                <w:bCs/>
                <w:sz w:val="20"/>
              </w:rPr>
            </w:pPr>
          </w:p>
        </w:tc>
        <w:tc>
          <w:tcPr>
            <w:tcW w:w="3926" w:type="pct"/>
          </w:tcPr>
          <w:p w:rsidR="004940FB" w:rsidP="004940FB" w:rsidRDefault="004940FB" w14:paraId="429DC299" w14:textId="77777777">
            <w:pPr>
              <w:autoSpaceDE w:val="0"/>
              <w:autoSpaceDN w:val="0"/>
              <w:adjustRightInd w:val="0"/>
              <w:rPr>
                <w:rFonts w:cs="Calibri"/>
                <w:sz w:val="20"/>
              </w:rPr>
            </w:pPr>
            <w:r w:rsidRPr="001639E7">
              <w:rPr>
                <w:rFonts w:cs="Calibri"/>
                <w:sz w:val="20"/>
              </w:rPr>
              <w:t xml:space="preserve">Onset of action is approximately 15 minutes with </w:t>
            </w:r>
            <w:r>
              <w:rPr>
                <w:rFonts w:cs="Calibri"/>
                <w:sz w:val="20"/>
              </w:rPr>
              <w:t>reported half-life of 9 hours.</w:t>
            </w:r>
            <w:r w:rsidRPr="00552E26">
              <w:rPr>
                <w:rFonts w:cs="Calibri"/>
                <w:sz w:val="20"/>
                <w:vertAlign w:val="superscript"/>
              </w:rPr>
              <w:t>9</w:t>
            </w:r>
          </w:p>
          <w:p w:rsidR="004940FB" w:rsidP="004940FB" w:rsidRDefault="004940FB" w14:paraId="393F361C" w14:textId="77777777">
            <w:pPr>
              <w:autoSpaceDE w:val="0"/>
              <w:autoSpaceDN w:val="0"/>
              <w:adjustRightInd w:val="0"/>
              <w:rPr>
                <w:rFonts w:cs="Calibri"/>
                <w:sz w:val="20"/>
              </w:rPr>
            </w:pPr>
            <w:r>
              <w:rPr>
                <w:rFonts w:cs="Calibri"/>
                <w:sz w:val="20"/>
              </w:rPr>
              <w:t>Chloral hydrate has no analgesic properties, excitement may occur in patients with pain.</w:t>
            </w:r>
          </w:p>
          <w:p w:rsidRPr="00344000" w:rsidR="004940FB" w:rsidP="004940FB" w:rsidRDefault="004940FB" w14:paraId="490B916F" w14:textId="77777777">
            <w:pPr>
              <w:autoSpaceDE w:val="0"/>
              <w:autoSpaceDN w:val="0"/>
              <w:adjustRightInd w:val="0"/>
              <w:rPr>
                <w:rFonts w:cs="Calibri"/>
                <w:sz w:val="20"/>
              </w:rPr>
            </w:pPr>
            <w:r w:rsidRPr="00C87C66">
              <w:rPr>
                <w:rFonts w:cs="Calibri"/>
                <w:sz w:val="20"/>
              </w:rPr>
              <w:t>Despite being restricted in some countries (</w:t>
            </w:r>
            <w:r>
              <w:rPr>
                <w:rFonts w:cs="Calibri"/>
                <w:sz w:val="20"/>
              </w:rPr>
              <w:t>e.g.</w:t>
            </w:r>
            <w:r w:rsidRPr="00C87C66">
              <w:rPr>
                <w:rFonts w:cs="Calibri"/>
                <w:sz w:val="20"/>
              </w:rPr>
              <w:t xml:space="preserve"> France) as a result of potential carcinogenicity, the American Academy of Pediatrics has judged the evidence insufficient to avoid single doses of chloral hydrate for this reason alone</w:t>
            </w:r>
            <w:r>
              <w:rPr>
                <w:rFonts w:cs="Calibri"/>
                <w:sz w:val="20"/>
              </w:rPr>
              <w:t>.</w:t>
            </w:r>
            <w:r w:rsidRPr="00F707DC">
              <w:rPr>
                <w:rFonts w:cs="Calibri"/>
                <w:sz w:val="20"/>
                <w:vertAlign w:val="superscript"/>
              </w:rPr>
              <w:t>3</w:t>
            </w:r>
            <w:r w:rsidRPr="00344000">
              <w:rPr>
                <w:rFonts w:cs="Calibri"/>
                <w:sz w:val="20"/>
              </w:rPr>
              <w:t xml:space="preserve"> </w:t>
            </w:r>
          </w:p>
        </w:tc>
      </w:tr>
      <w:tr w:rsidRPr="00344000" w:rsidR="004940FB" w:rsidTr="77BEE3D0" w14:paraId="587013E1" w14:textId="77777777">
        <w:trPr>
          <w:trHeight w:val="531"/>
        </w:trPr>
        <w:tc>
          <w:tcPr>
            <w:tcW w:w="1074" w:type="pct"/>
          </w:tcPr>
          <w:p w:rsidRPr="00344000" w:rsidR="004940FB" w:rsidP="004940FB" w:rsidRDefault="004940FB" w14:paraId="69869417" w14:textId="77777777">
            <w:pPr>
              <w:pStyle w:val="BodyText"/>
              <w:rPr>
                <w:rFonts w:cs="Calibri"/>
                <w:b/>
                <w:bCs/>
                <w:sz w:val="20"/>
              </w:rPr>
            </w:pPr>
            <w:r w:rsidRPr="00344000">
              <w:rPr>
                <w:rFonts w:cs="Calibri"/>
                <w:b/>
                <w:bCs/>
                <w:sz w:val="20"/>
              </w:rPr>
              <w:t>Evidence summary</w:t>
            </w:r>
          </w:p>
        </w:tc>
        <w:tc>
          <w:tcPr>
            <w:tcW w:w="3926" w:type="pct"/>
          </w:tcPr>
          <w:p w:rsidRPr="00344000" w:rsidR="004940FB" w:rsidP="004940FB" w:rsidRDefault="004940FB" w14:paraId="6AEC2326" w14:textId="77777777">
            <w:pPr>
              <w:pStyle w:val="BodyText"/>
              <w:rPr>
                <w:rFonts w:cs="Calibri"/>
                <w:sz w:val="20"/>
              </w:rPr>
            </w:pPr>
            <w:r w:rsidRPr="00344000">
              <w:rPr>
                <w:rFonts w:cs="Calibri"/>
                <w:b/>
                <w:sz w:val="20"/>
              </w:rPr>
              <w:t>Efficacy</w:t>
            </w:r>
          </w:p>
          <w:p w:rsidRPr="00E71094" w:rsidR="004940FB" w:rsidP="004940FB" w:rsidRDefault="004940FB" w14:paraId="000D5F1F" w14:textId="77777777">
            <w:pPr>
              <w:autoSpaceDE w:val="0"/>
              <w:autoSpaceDN w:val="0"/>
              <w:adjustRightInd w:val="0"/>
              <w:rPr>
                <w:rFonts w:cs="Calibri"/>
                <w:sz w:val="20"/>
              </w:rPr>
            </w:pPr>
            <w:r>
              <w:rPr>
                <w:rFonts w:cs="Calibri"/>
                <w:sz w:val="20"/>
              </w:rPr>
              <w:t>Chloral hydrate i</w:t>
            </w:r>
            <w:r w:rsidRPr="00E71094">
              <w:rPr>
                <w:rFonts w:cs="Calibri"/>
                <w:sz w:val="20"/>
              </w:rPr>
              <w:t xml:space="preserve">s effective </w:t>
            </w:r>
            <w:r>
              <w:rPr>
                <w:rFonts w:cs="Calibri"/>
                <w:sz w:val="20"/>
              </w:rPr>
              <w:t>for sedation for painless procedures</w:t>
            </w:r>
            <w:r>
              <w:rPr>
                <w:rFonts w:cs="Calibri"/>
                <w:sz w:val="20"/>
                <w:vertAlign w:val="superscript"/>
              </w:rPr>
              <w:t>4,5</w:t>
            </w:r>
            <w:r>
              <w:rPr>
                <w:rFonts w:cs="Calibri"/>
                <w:sz w:val="20"/>
              </w:rPr>
              <w:t>(Level II, Grade C)</w:t>
            </w:r>
          </w:p>
          <w:p w:rsidRPr="00CF53E1" w:rsidR="004940FB" w:rsidP="004940FB" w:rsidRDefault="004940FB" w14:paraId="1C06D48C" w14:textId="77777777">
            <w:pPr>
              <w:autoSpaceDE w:val="0"/>
              <w:autoSpaceDN w:val="0"/>
              <w:adjustRightInd w:val="0"/>
              <w:rPr>
                <w:rFonts w:cs="Calibri"/>
                <w:sz w:val="20"/>
              </w:rPr>
            </w:pPr>
            <w:r w:rsidRPr="00E71094">
              <w:rPr>
                <w:rFonts w:cs="Calibri"/>
                <w:sz w:val="20"/>
              </w:rPr>
              <w:t xml:space="preserve">There are insufficient data to promote the </w:t>
            </w:r>
            <w:r>
              <w:rPr>
                <w:rFonts w:cs="Calibri"/>
                <w:sz w:val="20"/>
              </w:rPr>
              <w:t xml:space="preserve">regular </w:t>
            </w:r>
            <w:r w:rsidRPr="00E71094">
              <w:rPr>
                <w:rFonts w:cs="Calibri"/>
                <w:sz w:val="20"/>
              </w:rPr>
              <w:t xml:space="preserve">use of </w:t>
            </w:r>
            <w:r>
              <w:rPr>
                <w:rFonts w:cs="Calibri"/>
                <w:sz w:val="20"/>
              </w:rPr>
              <w:t>chloral hydrate</w:t>
            </w:r>
            <w:r w:rsidRPr="00E71094">
              <w:rPr>
                <w:rFonts w:cs="Calibri"/>
                <w:sz w:val="20"/>
              </w:rPr>
              <w:t xml:space="preserve"> as a sedative for neonates undergoing intensive care</w:t>
            </w:r>
            <w:r w:rsidRPr="00F707DC">
              <w:rPr>
                <w:rFonts w:cs="Calibri"/>
                <w:sz w:val="20"/>
                <w:vertAlign w:val="superscript"/>
              </w:rPr>
              <w:t>6</w:t>
            </w:r>
            <w:r>
              <w:rPr>
                <w:rFonts w:cs="Calibri"/>
                <w:sz w:val="20"/>
              </w:rPr>
              <w:t>. (Level III, Grade C)</w:t>
            </w:r>
            <w:r w:rsidRPr="00E71094">
              <w:rPr>
                <w:rFonts w:cs="Calibri"/>
                <w:sz w:val="20"/>
              </w:rPr>
              <w:t>.</w:t>
            </w:r>
            <w:r w:rsidRPr="00E71094">
              <w:rPr>
                <w:rFonts w:ascii="AGaramond-Regular" w:hAnsi="AGaramond-Regular" w:cs="AGaramond-Regular"/>
                <w:sz w:val="18"/>
                <w:szCs w:val="18"/>
                <w:lang w:eastAsia="en-AU"/>
              </w:rPr>
              <w:t xml:space="preserve"> </w:t>
            </w:r>
          </w:p>
          <w:p w:rsidR="004940FB" w:rsidP="004940FB" w:rsidRDefault="004940FB" w14:paraId="4D14BFC0" w14:textId="77777777">
            <w:pPr>
              <w:pStyle w:val="BodyText"/>
              <w:rPr>
                <w:rFonts w:cs="Calibri"/>
                <w:b/>
                <w:sz w:val="20"/>
              </w:rPr>
            </w:pPr>
          </w:p>
          <w:p w:rsidRPr="00344000" w:rsidR="004940FB" w:rsidP="004940FB" w:rsidRDefault="004940FB" w14:paraId="300CF567" w14:textId="77777777">
            <w:pPr>
              <w:pStyle w:val="BodyText"/>
              <w:rPr>
                <w:rFonts w:cs="Calibri"/>
                <w:b/>
                <w:sz w:val="20"/>
              </w:rPr>
            </w:pPr>
            <w:r w:rsidRPr="00344000">
              <w:rPr>
                <w:rFonts w:cs="Calibri"/>
                <w:b/>
                <w:sz w:val="20"/>
              </w:rPr>
              <w:t>Safety</w:t>
            </w:r>
          </w:p>
          <w:p w:rsidR="004940FB" w:rsidP="004940FB" w:rsidRDefault="004940FB" w14:paraId="7C2F4349" w14:textId="77777777">
            <w:pPr>
              <w:autoSpaceDE w:val="0"/>
              <w:autoSpaceDN w:val="0"/>
              <w:adjustRightInd w:val="0"/>
              <w:rPr>
                <w:rFonts w:cs="Calibri"/>
                <w:sz w:val="20"/>
              </w:rPr>
            </w:pPr>
            <w:r>
              <w:rPr>
                <w:rFonts w:cs="Calibri"/>
                <w:sz w:val="20"/>
              </w:rPr>
              <w:t>Chloral hydrate overdose may produce cardiac arrhythmias including torsades de pointes.</w:t>
            </w:r>
            <w:r w:rsidRPr="00F707DC">
              <w:rPr>
                <w:rFonts w:cs="Calibri"/>
                <w:sz w:val="20"/>
                <w:vertAlign w:val="superscript"/>
              </w:rPr>
              <w:t>7</w:t>
            </w:r>
            <w:r>
              <w:rPr>
                <w:rFonts w:cs="Calibri"/>
                <w:sz w:val="20"/>
              </w:rPr>
              <w:t xml:space="preserve"> </w:t>
            </w:r>
          </w:p>
          <w:p w:rsidR="004940FB" w:rsidP="004940FB" w:rsidRDefault="004940FB" w14:paraId="3C3543AD" w14:textId="77777777">
            <w:pPr>
              <w:autoSpaceDE w:val="0"/>
              <w:autoSpaceDN w:val="0"/>
              <w:adjustRightInd w:val="0"/>
              <w:rPr>
                <w:rFonts w:cs="Calibri"/>
                <w:sz w:val="20"/>
              </w:rPr>
            </w:pPr>
            <w:r w:rsidRPr="00334815">
              <w:rPr>
                <w:rFonts w:cs="Calibri"/>
                <w:sz w:val="20"/>
              </w:rPr>
              <w:t>Administ</w:t>
            </w:r>
            <w:r>
              <w:rPr>
                <w:rFonts w:cs="Calibri"/>
                <w:sz w:val="20"/>
              </w:rPr>
              <w:t xml:space="preserve">ration of chloral hydrate in former </w:t>
            </w:r>
            <w:r w:rsidRPr="00334815">
              <w:rPr>
                <w:rFonts w:cs="Calibri"/>
                <w:sz w:val="20"/>
              </w:rPr>
              <w:t xml:space="preserve">premature infants causes significant </w:t>
            </w:r>
            <w:r>
              <w:rPr>
                <w:rFonts w:cs="Calibri"/>
                <w:sz w:val="20"/>
              </w:rPr>
              <w:t>post-procedural bradycardia</w:t>
            </w:r>
            <w:r>
              <w:rPr>
                <w:rFonts w:cs="Calibri"/>
                <w:sz w:val="20"/>
                <w:vertAlign w:val="superscript"/>
              </w:rPr>
              <w:t>1</w:t>
            </w:r>
            <w:r>
              <w:rPr>
                <w:rFonts w:cs="Calibri"/>
                <w:sz w:val="20"/>
              </w:rPr>
              <w:t xml:space="preserve"> (Level III, Grade C).</w:t>
            </w:r>
          </w:p>
          <w:p w:rsidR="004940FB" w:rsidP="004940FB" w:rsidRDefault="004940FB" w14:paraId="62721CF0" w14:textId="77777777">
            <w:pPr>
              <w:pStyle w:val="BodyText"/>
              <w:rPr>
                <w:rFonts w:cs="Calibri"/>
                <w:sz w:val="20"/>
                <w:szCs w:val="24"/>
              </w:rPr>
            </w:pPr>
            <w:r w:rsidRPr="00F5735D">
              <w:rPr>
                <w:rFonts w:cs="Calibri"/>
                <w:sz w:val="20"/>
                <w:szCs w:val="24"/>
              </w:rPr>
              <w:t>Prolon</w:t>
            </w:r>
            <w:r>
              <w:rPr>
                <w:rFonts w:cs="Calibri"/>
                <w:sz w:val="20"/>
                <w:szCs w:val="24"/>
              </w:rPr>
              <w:t>ged</w:t>
            </w:r>
            <w:r w:rsidRPr="00F5735D">
              <w:rPr>
                <w:rFonts w:cs="Calibri"/>
                <w:sz w:val="20"/>
                <w:szCs w:val="24"/>
              </w:rPr>
              <w:t xml:space="preserve"> use warrants monitoring of serum bilirubin level</w:t>
            </w:r>
            <w:r w:rsidRPr="00F707DC">
              <w:rPr>
                <w:rFonts w:cs="Calibri"/>
                <w:sz w:val="20"/>
                <w:szCs w:val="24"/>
                <w:vertAlign w:val="superscript"/>
              </w:rPr>
              <w:t>8</w:t>
            </w:r>
            <w:r>
              <w:rPr>
                <w:rFonts w:cs="Calibri"/>
                <w:sz w:val="20"/>
                <w:szCs w:val="24"/>
              </w:rPr>
              <w:t>. (Level III Grade C)</w:t>
            </w:r>
            <w:r w:rsidRPr="00F5735D">
              <w:rPr>
                <w:rFonts w:cs="Calibri"/>
                <w:sz w:val="20"/>
                <w:szCs w:val="24"/>
              </w:rPr>
              <w:t>.</w:t>
            </w:r>
          </w:p>
          <w:p w:rsidRPr="00F5735D" w:rsidR="004940FB" w:rsidP="004940FB" w:rsidRDefault="004940FB" w14:paraId="4ECCFBE7" w14:textId="77777777">
            <w:pPr>
              <w:pStyle w:val="BodyText"/>
              <w:rPr>
                <w:rFonts w:cs="Calibri"/>
                <w:sz w:val="20"/>
                <w:szCs w:val="24"/>
              </w:rPr>
            </w:pPr>
            <w:r>
              <w:rPr>
                <w:rFonts w:cs="Calibri"/>
                <w:sz w:val="20"/>
                <w:szCs w:val="24"/>
              </w:rPr>
              <w:t>Death/severe permanent neurologic injuries have been reported in children, either alone or in combination with other sedatives.</w:t>
            </w:r>
            <w:r w:rsidRPr="00B10B3E">
              <w:rPr>
                <w:rFonts w:cs="Calibri"/>
                <w:sz w:val="20"/>
                <w:szCs w:val="24"/>
                <w:vertAlign w:val="superscript"/>
              </w:rPr>
              <w:t>9</w:t>
            </w:r>
          </w:p>
          <w:p w:rsidR="004940FB" w:rsidP="004940FB" w:rsidRDefault="004940FB" w14:paraId="28E8A928" w14:textId="77777777">
            <w:pPr>
              <w:pStyle w:val="BodyText"/>
              <w:rPr>
                <w:rFonts w:cs="Calibri"/>
                <w:b/>
                <w:sz w:val="20"/>
              </w:rPr>
            </w:pPr>
          </w:p>
          <w:p w:rsidR="004940FB" w:rsidP="004940FB" w:rsidRDefault="004940FB" w14:paraId="00AE2E04" w14:textId="77777777">
            <w:pPr>
              <w:pStyle w:val="BodyText"/>
              <w:rPr>
                <w:rFonts w:cs="Calibri"/>
                <w:b/>
                <w:sz w:val="20"/>
              </w:rPr>
            </w:pPr>
            <w:r w:rsidRPr="00344000">
              <w:rPr>
                <w:rFonts w:cs="Calibri"/>
                <w:b/>
                <w:sz w:val="20"/>
              </w:rPr>
              <w:t xml:space="preserve">Pharmacokinetics </w:t>
            </w:r>
          </w:p>
          <w:p w:rsidRPr="00344000" w:rsidR="004940FB" w:rsidP="004940FB" w:rsidRDefault="004940FB" w14:paraId="3527F1B2" w14:textId="77777777">
            <w:pPr>
              <w:rPr>
                <w:rFonts w:cs="Calibri"/>
                <w:sz w:val="20"/>
              </w:rPr>
            </w:pPr>
            <w:r w:rsidRPr="009A1FC4">
              <w:rPr>
                <w:rFonts w:cs="Calibri"/>
                <w:sz w:val="20"/>
              </w:rPr>
              <w:t xml:space="preserve">Chloral hydrate is rapidly and effectively absorbed </w:t>
            </w:r>
            <w:r>
              <w:rPr>
                <w:rFonts w:cs="Calibri"/>
                <w:sz w:val="20"/>
              </w:rPr>
              <w:t>via</w:t>
            </w:r>
            <w:r w:rsidRPr="009A1FC4">
              <w:rPr>
                <w:rFonts w:cs="Calibri"/>
                <w:sz w:val="20"/>
              </w:rPr>
              <w:t xml:space="preserve"> the </w:t>
            </w:r>
            <w:r>
              <w:rPr>
                <w:rFonts w:cs="Calibri"/>
                <w:sz w:val="20"/>
              </w:rPr>
              <w:t>oral route</w:t>
            </w:r>
            <w:r w:rsidRPr="009A1FC4">
              <w:rPr>
                <w:rFonts w:cs="Calibri"/>
                <w:sz w:val="20"/>
              </w:rPr>
              <w:t xml:space="preserve"> and </w:t>
            </w:r>
            <w:r>
              <w:rPr>
                <w:rFonts w:cs="Calibri"/>
                <w:sz w:val="20"/>
              </w:rPr>
              <w:t>is immediately</w:t>
            </w:r>
            <w:r w:rsidRPr="009A1FC4">
              <w:rPr>
                <w:rFonts w:cs="Calibri"/>
                <w:sz w:val="20"/>
              </w:rPr>
              <w:t xml:space="preserve"> metabolised by liver enzym</w:t>
            </w:r>
            <w:r>
              <w:rPr>
                <w:rFonts w:cs="Calibri"/>
                <w:sz w:val="20"/>
              </w:rPr>
              <w:t>es (alcohol dehydrogenase)</w:t>
            </w:r>
            <w:r w:rsidRPr="009A1FC4">
              <w:rPr>
                <w:rFonts w:cs="Calibri"/>
                <w:sz w:val="20"/>
              </w:rPr>
              <w:t xml:space="preserve"> to the active hypnotic metabolite trichloroethanol (TCE). It is eventually excreted in the urine </w:t>
            </w:r>
            <w:r>
              <w:rPr>
                <w:rFonts w:cs="Calibri"/>
                <w:sz w:val="20"/>
              </w:rPr>
              <w:t xml:space="preserve">after </w:t>
            </w:r>
            <w:r w:rsidRPr="009A1FC4">
              <w:rPr>
                <w:rFonts w:cs="Calibri"/>
                <w:sz w:val="20"/>
              </w:rPr>
              <w:t>glucuronid</w:t>
            </w:r>
            <w:r>
              <w:rPr>
                <w:rFonts w:cs="Calibri"/>
                <w:sz w:val="20"/>
              </w:rPr>
              <w:t>ation in the liver</w:t>
            </w:r>
            <w:r w:rsidRPr="009A1FC4">
              <w:rPr>
                <w:rFonts w:cs="Calibri"/>
                <w:sz w:val="20"/>
              </w:rPr>
              <w:t>.</w:t>
            </w:r>
            <w:r>
              <w:rPr>
                <w:rFonts w:cs="Calibri"/>
                <w:sz w:val="20"/>
              </w:rPr>
              <w:t xml:space="preserve"> Plasma concentration peaks within 30 minutes to an hour. It is also metabolised to trichloroacetic acid (TCA). Both TCE (8–64 hours) and TCA (days) have long plasma half-lives in neonates and accumulate with repeated doses</w:t>
            </w:r>
            <w:r w:rsidRPr="00F707DC">
              <w:rPr>
                <w:rFonts w:cs="Calibri"/>
                <w:sz w:val="20"/>
                <w:vertAlign w:val="superscript"/>
              </w:rPr>
              <w:t>8</w:t>
            </w:r>
            <w:r>
              <w:rPr>
                <w:rFonts w:cs="Calibri"/>
                <w:sz w:val="20"/>
              </w:rPr>
              <w:t>. (Level III Grade C)</w:t>
            </w:r>
          </w:p>
        </w:tc>
      </w:tr>
      <w:tr w:rsidRPr="00B10B3E" w:rsidR="004940FB" w:rsidTr="77BEE3D0" w14:paraId="41C82ED9" w14:textId="77777777">
        <w:trPr>
          <w:trHeight w:val="815"/>
        </w:trPr>
        <w:tc>
          <w:tcPr>
            <w:tcW w:w="1074" w:type="pct"/>
          </w:tcPr>
          <w:p w:rsidRPr="00344000" w:rsidR="004940FB" w:rsidP="004940FB" w:rsidRDefault="004940FB" w14:paraId="5EB77863" w14:textId="77777777">
            <w:pPr>
              <w:pStyle w:val="BodyText"/>
              <w:rPr>
                <w:rFonts w:cs="Calibri"/>
                <w:b/>
                <w:bCs/>
                <w:sz w:val="20"/>
              </w:rPr>
            </w:pPr>
            <w:r w:rsidRPr="00344000">
              <w:rPr>
                <w:rFonts w:cs="Calibri"/>
                <w:b/>
                <w:sz w:val="20"/>
              </w:rPr>
              <w:t>References</w:t>
            </w:r>
          </w:p>
        </w:tc>
        <w:tc>
          <w:tcPr>
            <w:tcW w:w="3926" w:type="pct"/>
          </w:tcPr>
          <w:p w:rsidRPr="00F707DC" w:rsidR="004940FB" w:rsidP="001B0E05" w:rsidRDefault="004940FB" w14:paraId="3F9267CC" w14:textId="77777777">
            <w:pPr>
              <w:numPr>
                <w:ilvl w:val="0"/>
                <w:numId w:val="65"/>
              </w:numPr>
              <w:rPr>
                <w:rFonts w:cs="Calibri"/>
                <w:sz w:val="20"/>
              </w:rPr>
            </w:pPr>
            <w:r>
              <w:rPr>
                <w:rFonts w:ascii="Segoe UI" w:hAnsi="Segoe UI" w:cs="Segoe UI"/>
                <w:sz w:val="18"/>
                <w:szCs w:val="18"/>
                <w:lang w:eastAsia="en-AU"/>
              </w:rPr>
              <w:t>Allegaert K, Daniels H, Naulaers G, et al. Pharmacodynamics of chloral hydrate in former preterm infants. Eur J Pediatr 2005;164:403-7</w:t>
            </w:r>
          </w:p>
          <w:p w:rsidRPr="00F707DC" w:rsidR="004940FB" w:rsidP="001B0E05" w:rsidRDefault="004940FB" w14:paraId="6EA4E448" w14:textId="77777777">
            <w:pPr>
              <w:numPr>
                <w:ilvl w:val="0"/>
                <w:numId w:val="65"/>
              </w:numPr>
              <w:rPr>
                <w:rFonts w:cs="Calibri"/>
                <w:sz w:val="20"/>
              </w:rPr>
            </w:pPr>
            <w:r w:rsidRPr="002575C7">
              <w:rPr>
                <w:rFonts w:ascii="Segoe UI" w:hAnsi="Segoe UI" w:cs="Segoe UI"/>
                <w:sz w:val="18"/>
                <w:szCs w:val="18"/>
                <w:lang w:eastAsia="en-AU"/>
              </w:rPr>
              <w:t>Litman, RS</w:t>
            </w:r>
            <w:r>
              <w:rPr>
                <w:rFonts w:ascii="Segoe UI" w:hAnsi="Segoe UI" w:cs="Segoe UI"/>
                <w:sz w:val="18"/>
                <w:szCs w:val="18"/>
                <w:lang w:eastAsia="en-AU"/>
              </w:rPr>
              <w:t xml:space="preserve">, </w:t>
            </w:r>
            <w:r w:rsidRPr="002575C7">
              <w:rPr>
                <w:rFonts w:ascii="Segoe UI" w:hAnsi="Segoe UI" w:cs="Segoe UI"/>
                <w:sz w:val="18"/>
                <w:szCs w:val="18"/>
                <w:lang w:eastAsia="en-AU"/>
              </w:rPr>
              <w:t>Soin, K</w:t>
            </w:r>
            <w:r>
              <w:rPr>
                <w:rFonts w:ascii="Segoe UI" w:hAnsi="Segoe UI" w:cs="Segoe UI"/>
                <w:sz w:val="18"/>
                <w:szCs w:val="18"/>
                <w:lang w:eastAsia="en-AU"/>
              </w:rPr>
              <w:t>,</w:t>
            </w:r>
            <w:r w:rsidRPr="002575C7">
              <w:rPr>
                <w:rFonts w:ascii="Segoe UI" w:hAnsi="Segoe UI" w:cs="Segoe UI"/>
                <w:sz w:val="18"/>
                <w:szCs w:val="18"/>
                <w:lang w:eastAsia="en-AU"/>
              </w:rPr>
              <w:t xml:space="preserve"> Salam</w:t>
            </w:r>
            <w:r>
              <w:rPr>
                <w:rFonts w:ascii="Segoe UI" w:hAnsi="Segoe UI" w:cs="Segoe UI"/>
                <w:sz w:val="18"/>
                <w:szCs w:val="18"/>
                <w:lang w:eastAsia="en-AU"/>
              </w:rPr>
              <w:t xml:space="preserve"> </w:t>
            </w:r>
            <w:r w:rsidRPr="002575C7">
              <w:rPr>
                <w:rFonts w:ascii="Segoe UI" w:hAnsi="Segoe UI" w:cs="Segoe UI"/>
                <w:sz w:val="18"/>
                <w:szCs w:val="18"/>
                <w:lang w:eastAsia="en-AU"/>
              </w:rPr>
              <w:t>A</w:t>
            </w:r>
            <w:r>
              <w:rPr>
                <w:rFonts w:ascii="Segoe UI" w:hAnsi="Segoe UI" w:cs="Segoe UI"/>
                <w:sz w:val="18"/>
                <w:szCs w:val="18"/>
                <w:lang w:eastAsia="en-AU"/>
              </w:rPr>
              <w:t>.</w:t>
            </w:r>
            <w:r w:rsidRPr="002575C7">
              <w:rPr>
                <w:rFonts w:ascii="Segoe UI" w:hAnsi="Segoe UI" w:cs="Segoe UI"/>
                <w:sz w:val="18"/>
                <w:szCs w:val="18"/>
                <w:lang w:eastAsia="en-AU"/>
              </w:rPr>
              <w:t xml:space="preserve"> Chloral Hydrate Sedation in Term and Preterm Infants: An Analysis of Efficacy and Complications.</w:t>
            </w:r>
            <w:r>
              <w:rPr>
                <w:rFonts w:ascii="Segoe UI" w:hAnsi="Segoe UI" w:cs="Segoe UI"/>
                <w:sz w:val="18"/>
                <w:szCs w:val="18"/>
                <w:lang w:eastAsia="en-AU"/>
              </w:rPr>
              <w:t xml:space="preserve"> Anesthesia &amp; Analgesia 2010;110(3):739-46.</w:t>
            </w:r>
          </w:p>
          <w:p w:rsidR="004940FB" w:rsidP="001B0E05" w:rsidRDefault="004940FB" w14:paraId="46D6A2EE" w14:textId="77777777">
            <w:pPr>
              <w:numPr>
                <w:ilvl w:val="0"/>
                <w:numId w:val="65"/>
              </w:numPr>
              <w:rPr>
                <w:rFonts w:ascii="Segoe UI" w:hAnsi="Segoe UI" w:cs="Segoe UI"/>
                <w:sz w:val="18"/>
                <w:szCs w:val="18"/>
                <w:lang w:eastAsia="en-AU"/>
              </w:rPr>
            </w:pPr>
            <w:r>
              <w:rPr>
                <w:rFonts w:ascii="Segoe UI" w:hAnsi="Segoe UI" w:cs="Segoe UI"/>
                <w:sz w:val="18"/>
                <w:szCs w:val="18"/>
                <w:lang w:eastAsia="en-AU"/>
              </w:rPr>
              <w:t>American Academy of Pediatrics, Committee on drugs and environment health: Use of Chloral Hydrate for sedation in c</w:t>
            </w:r>
            <w:r w:rsidRPr="003408F5">
              <w:rPr>
                <w:rFonts w:ascii="Segoe UI" w:hAnsi="Segoe UI" w:cs="Segoe UI"/>
                <w:sz w:val="18"/>
                <w:szCs w:val="18"/>
                <w:lang w:eastAsia="en-AU"/>
              </w:rPr>
              <w:t>hildren. Pediatrics 1993;92;471</w:t>
            </w:r>
          </w:p>
          <w:p w:rsidRPr="008C5C03" w:rsidR="004940FB" w:rsidP="001B0E05" w:rsidRDefault="004940FB" w14:paraId="33355935" w14:textId="77777777">
            <w:pPr>
              <w:numPr>
                <w:ilvl w:val="0"/>
                <w:numId w:val="65"/>
              </w:numPr>
              <w:rPr>
                <w:rFonts w:ascii="Segoe UI" w:hAnsi="Segoe UI" w:cs="Segoe UI"/>
                <w:sz w:val="18"/>
                <w:szCs w:val="18"/>
                <w:lang w:eastAsia="en-AU"/>
              </w:rPr>
            </w:pPr>
            <w:r w:rsidRPr="008C5C03">
              <w:rPr>
                <w:rFonts w:ascii="Segoe UI" w:hAnsi="Segoe UI" w:cs="Segoe UI"/>
                <w:sz w:val="18"/>
                <w:szCs w:val="18"/>
                <w:lang w:eastAsia="en-AU"/>
              </w:rPr>
              <w:t>D'Agostino J, Terndrup TE. Chloral hydrate versus midazolam for sedation of children for neuroimaging: a randomized clinical trial. Pediatr Emerg Care 2000;16:1-4.</w:t>
            </w:r>
          </w:p>
          <w:p w:rsidR="004940FB" w:rsidP="001B0E05" w:rsidRDefault="004940FB" w14:paraId="20AC0A71" w14:textId="77777777">
            <w:pPr>
              <w:numPr>
                <w:ilvl w:val="0"/>
                <w:numId w:val="65"/>
              </w:numPr>
              <w:rPr>
                <w:rFonts w:ascii="Segoe UI" w:hAnsi="Segoe UI" w:cs="Segoe UI"/>
                <w:sz w:val="18"/>
                <w:szCs w:val="18"/>
                <w:lang w:eastAsia="en-AU"/>
              </w:rPr>
            </w:pPr>
            <w:r w:rsidRPr="008C5C03">
              <w:rPr>
                <w:rFonts w:ascii="Segoe UI" w:hAnsi="Segoe UI" w:cs="Segoe UI"/>
                <w:sz w:val="18"/>
                <w:szCs w:val="18"/>
                <w:lang w:eastAsia="en-AU"/>
              </w:rPr>
              <w:lastRenderedPageBreak/>
              <w:t>Wheeler DS, Jensen RA, Poss WB. A randomized, blinded comparison of chloral hydrate and midazolam sedation in children undergoing echocardiography. Clin Pediatr 2001;40:381-7.</w:t>
            </w:r>
            <w:r>
              <w:rPr>
                <w:rFonts w:ascii="Segoe UI" w:hAnsi="Segoe UI" w:cs="Segoe UI"/>
                <w:sz w:val="18"/>
                <w:szCs w:val="18"/>
                <w:lang w:eastAsia="en-AU"/>
              </w:rPr>
              <w:tab/>
            </w:r>
          </w:p>
          <w:p w:rsidRPr="00911277" w:rsidR="004940FB" w:rsidP="001B0E05" w:rsidRDefault="004940FB" w14:paraId="03194FC5" w14:textId="77777777">
            <w:pPr>
              <w:numPr>
                <w:ilvl w:val="0"/>
                <w:numId w:val="65"/>
              </w:numPr>
              <w:rPr>
                <w:rFonts w:ascii="Segoe UI" w:hAnsi="Segoe UI"/>
                <w:sz w:val="18"/>
              </w:rPr>
            </w:pPr>
            <w:r w:rsidRPr="00911277">
              <w:rPr>
                <w:rFonts w:ascii="Segoe UI" w:hAnsi="Segoe UI"/>
                <w:sz w:val="18"/>
              </w:rPr>
              <w:t>Cruise S, Tam-Chan D, Harrison D, Johnston L. Prospective clinical audit of chloral hydrate administration practices in a neonatal unit. Journal of paediatrics and child health. Nov 2012;48(11):1010-1015.</w:t>
            </w:r>
          </w:p>
          <w:p w:rsidRPr="002575C7" w:rsidR="004940FB" w:rsidP="001B0E05" w:rsidRDefault="004940FB" w14:paraId="7D15ED50" w14:textId="77777777">
            <w:pPr>
              <w:numPr>
                <w:ilvl w:val="0"/>
                <w:numId w:val="65"/>
              </w:numPr>
              <w:rPr>
                <w:rFonts w:cs="Calibri"/>
                <w:sz w:val="20"/>
              </w:rPr>
            </w:pPr>
            <w:r w:rsidRPr="00E65D4D">
              <w:rPr>
                <w:rFonts w:ascii="Segoe UI" w:hAnsi="Segoe UI" w:cs="Segoe UI"/>
                <w:sz w:val="18"/>
                <w:szCs w:val="18"/>
                <w:lang w:eastAsia="en-AU"/>
              </w:rPr>
              <w:t>Pershad J, Palmisano P, Nichols M. Chloral hydrate: the good and the bad. Pediatr Emerg Care 1999;15:432-5.</w:t>
            </w:r>
          </w:p>
          <w:p w:rsidRPr="00B10B3E" w:rsidR="004940FB" w:rsidP="001B0E05" w:rsidRDefault="004940FB" w14:paraId="4D3E1179" w14:textId="77777777">
            <w:pPr>
              <w:numPr>
                <w:ilvl w:val="0"/>
                <w:numId w:val="65"/>
              </w:numPr>
              <w:rPr>
                <w:rFonts w:cs="Calibri"/>
                <w:sz w:val="20"/>
              </w:rPr>
            </w:pPr>
            <w:r>
              <w:rPr>
                <w:rFonts w:ascii="Segoe UI" w:hAnsi="Segoe UI" w:cs="Segoe UI"/>
                <w:sz w:val="18"/>
                <w:szCs w:val="18"/>
                <w:lang w:eastAsia="en-AU"/>
              </w:rPr>
              <w:t>Reimche LD, Shankaran K, Hindmarsh KW et al: Chloral hydrate sedation in neonates and infants: clinical and pharmacological considerations. Dev Pharmacol Ther 1989;12:57.</w:t>
            </w:r>
          </w:p>
          <w:p w:rsidRPr="00911277" w:rsidR="004940FB" w:rsidP="001B0E05" w:rsidRDefault="004940FB" w14:paraId="61311FA7" w14:textId="77777777">
            <w:pPr>
              <w:numPr>
                <w:ilvl w:val="0"/>
                <w:numId w:val="65"/>
              </w:numPr>
              <w:rPr>
                <w:rFonts w:ascii="Segoe UI" w:hAnsi="Segoe UI"/>
                <w:sz w:val="18"/>
              </w:rPr>
            </w:pPr>
            <w:r w:rsidRPr="00911277">
              <w:rPr>
                <w:rFonts w:ascii="Segoe UI" w:hAnsi="Segoe UI"/>
                <w:sz w:val="18"/>
              </w:rPr>
              <w:t>Cote CJ, Notterman DA, Karl HW, Weinberg JA, McCloskey C. Adverse sedation events in pediatrics: a critical incident analysis of contributing factors.   Pediatrics 2000;105(4 Pt 1):805-14.</w:t>
            </w:r>
          </w:p>
          <w:p w:rsidRPr="00911277" w:rsidR="004940FB" w:rsidP="001B0E05" w:rsidRDefault="004940FB" w14:paraId="34983B8F" w14:textId="77777777">
            <w:pPr>
              <w:numPr>
                <w:ilvl w:val="0"/>
                <w:numId w:val="65"/>
              </w:numPr>
              <w:rPr>
                <w:rFonts w:ascii="Segoe UI" w:hAnsi="Segoe UI"/>
                <w:sz w:val="18"/>
              </w:rPr>
            </w:pPr>
            <w:r w:rsidRPr="00911277">
              <w:rPr>
                <w:rFonts w:ascii="Segoe UI" w:hAnsi="Segoe UI"/>
                <w:sz w:val="18"/>
                <w:lang w:val="en-US"/>
              </w:rPr>
              <w:t xml:space="preserve">Hijazi OM, Ahmed AE, Anazi JA, Al-Hashemi HE, Al-Jeraisy MI. Chloral hydrate versus midazolam as sedative agents for diagnostic procedures in children.   Saudi Med J 2014;35(2):123-31. </w:t>
            </w:r>
          </w:p>
          <w:p w:rsidRPr="00B10B3E" w:rsidR="004940FB" w:rsidP="001B0E05" w:rsidRDefault="004940FB" w14:paraId="4F31BA62" w14:textId="77777777">
            <w:pPr>
              <w:numPr>
                <w:ilvl w:val="0"/>
                <w:numId w:val="65"/>
              </w:numPr>
              <w:rPr>
                <w:rFonts w:cs="Calibri"/>
                <w:sz w:val="20"/>
              </w:rPr>
            </w:pPr>
            <w:r w:rsidRPr="00911277">
              <w:rPr>
                <w:rFonts w:ascii="Segoe UI" w:hAnsi="Segoe UI"/>
                <w:sz w:val="18"/>
              </w:rPr>
              <w:t>Esmaeili A, Keinhorst AK, Schuster T, Beske F, Schlosser R, Bastanier C. Treatment of neonatal abstinence syndrome with clonidine and chloral hydrate.   Acta Paediatr 2010;99(2):209-14.</w:t>
            </w:r>
          </w:p>
        </w:tc>
      </w:tr>
    </w:tbl>
    <w:p w:rsidR="004940FB" w:rsidRDefault="004940FB" w14:paraId="54EB0EC4" w14:textId="77777777">
      <w:pPr>
        <w:rPr>
          <w:b/>
        </w:rPr>
      </w:pPr>
    </w:p>
    <w:tbl>
      <w:tblPr>
        <w:tblW w:w="8925" w:type="dxa"/>
        <w:tblInd w:w="-34" w:type="dxa"/>
        <w:tblCellMar>
          <w:left w:w="0" w:type="dxa"/>
          <w:right w:w="0" w:type="dxa"/>
        </w:tblCellMar>
        <w:tblLook w:val="04A0" w:firstRow="1" w:lastRow="0" w:firstColumn="1" w:lastColumn="0" w:noHBand="0" w:noVBand="1"/>
      </w:tblPr>
      <w:tblGrid>
        <w:gridCol w:w="4108"/>
        <w:gridCol w:w="4817"/>
      </w:tblGrid>
      <w:tr w:rsidR="004940FB" w:rsidTr="004940FB" w14:paraId="1FC41671"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24A286B5" w14:textId="5588195C">
            <w:pPr>
              <w:spacing w:line="252" w:lineRule="auto"/>
              <w:rPr>
                <w:sz w:val="22"/>
                <w:lang w:val="en-AU"/>
              </w:rPr>
            </w:pPr>
            <w:r>
              <w:t>Original version Date: 24/08/2016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0A1697A4" w14:textId="77777777">
            <w:pPr>
              <w:spacing w:line="252" w:lineRule="auto"/>
            </w:pPr>
            <w:r>
              <w:t>Author: NeoMed Consensus Group</w:t>
            </w:r>
          </w:p>
        </w:tc>
      </w:tr>
      <w:tr w:rsidR="004940FB" w:rsidTr="004940FB" w14:paraId="69F24671"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409DB8CE" w14:textId="21F8C118">
            <w:pPr>
              <w:spacing w:line="252" w:lineRule="auto"/>
            </w:pPr>
            <w:r>
              <w:t xml:space="preserve">Current Version number:  </w:t>
            </w:r>
            <w:r w:rsidR="00240100">
              <w:t>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7DC782CF" w14:textId="59C57AC8">
            <w:pPr>
              <w:spacing w:line="252" w:lineRule="auto"/>
            </w:pPr>
            <w:r>
              <w:t xml:space="preserve">Current Version Date:  </w:t>
            </w:r>
            <w:r w:rsidR="00240100">
              <w:t>October 2020</w:t>
            </w:r>
          </w:p>
        </w:tc>
      </w:tr>
      <w:tr w:rsidR="004940FB" w:rsidTr="004940FB" w14:paraId="63A1CD90"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0E855803" w14:textId="77777777">
            <w:pPr>
              <w:spacing w:line="252" w:lineRule="auto"/>
            </w:pPr>
            <w:r>
              <w:t>Risk Rating: Medium</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2C8E2157" w14:textId="0238BC23">
            <w:pPr>
              <w:spacing w:line="252" w:lineRule="auto"/>
            </w:pPr>
            <w:r>
              <w:t xml:space="preserve">Due for Review:  </w:t>
            </w:r>
            <w:r w:rsidR="00240100">
              <w:t>October 2023</w:t>
            </w:r>
          </w:p>
        </w:tc>
      </w:tr>
      <w:tr w:rsidR="004940FB" w:rsidTr="004940FB" w14:paraId="5686BABA"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5157E7AD"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345FB3F0" w14:textId="6C8FDF99">
            <w:pPr>
              <w:spacing w:line="252" w:lineRule="auto"/>
            </w:pPr>
            <w:r>
              <w:t xml:space="preserve">Approval Date: </w:t>
            </w:r>
            <w:r w:rsidR="00260BC8">
              <w:t>APRIL 2021</w:t>
            </w:r>
          </w:p>
        </w:tc>
      </w:tr>
    </w:tbl>
    <w:p w:rsidR="00900C7F" w:rsidRDefault="00900C7F" w14:paraId="3E0E0083" w14:textId="0DC18A80">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900C7F" w14:paraId="5502157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A366D0B" w14:textId="07A3D80F">
            <w:pPr>
              <w:pStyle w:val="Heading1"/>
            </w:pPr>
            <w:bookmarkStart w:name="_Toc75339950" w:id="144"/>
            <w:r w:rsidRPr="00E25790">
              <w:lastRenderedPageBreak/>
              <w:t>Chloramphenicol</w:t>
            </w:r>
            <w:bookmarkEnd w:id="139"/>
            <w:bookmarkEnd w:id="140"/>
            <w:bookmarkEnd w:id="141"/>
            <w:bookmarkEnd w:id="142"/>
            <w:bookmarkEnd w:id="143"/>
            <w:r w:rsidR="004940FB">
              <w:t xml:space="preserve"> (Topical)</w:t>
            </w:r>
            <w:bookmarkEnd w:id="144"/>
            <w:r w:rsidRPr="00E25790">
              <w:fldChar w:fldCharType="begin"/>
            </w:r>
            <w:r w:rsidRPr="00E25790">
              <w:instrText>tc "Chloramphenicol" \l 0</w:instrText>
            </w:r>
            <w:r w:rsidRPr="00E25790">
              <w:fldChar w:fldCharType="end"/>
            </w:r>
          </w:p>
        </w:tc>
      </w:tr>
      <w:tr w:rsidRPr="00E25790" w:rsidR="00115F48" w:rsidTr="00900C7F" w14:paraId="0E96CEA9"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BFE413C" w14:textId="10705293">
            <w:r w:rsidRPr="00E25790">
              <w:t xml:space="preserve">Revision Date : </w:t>
            </w:r>
            <w:r w:rsidR="004940FB">
              <w:t>21/06/2019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74196DD1" w14:textId="587523A1">
            <w:r w:rsidRPr="00E25790">
              <w:t xml:space="preserve">Approved : </w:t>
            </w:r>
            <w:r w:rsidR="004940FB">
              <w:t>TC, KOH</w:t>
            </w:r>
          </w:p>
        </w:tc>
      </w:tr>
    </w:tbl>
    <w:p w:rsidRPr="00E25790" w:rsidR="00115F48" w:rsidP="006F0321" w:rsidRDefault="00115F48" w14:paraId="4A82D3E1" w14:textId="77777777"/>
    <w:tbl>
      <w:tblPr>
        <w:tblW w:w="5582"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7"/>
        <w:gridCol w:w="8078"/>
      </w:tblGrid>
      <w:tr w:rsidRPr="00E52E7A" w:rsidR="00273A16" w:rsidTr="004940FB" w14:paraId="0FCDE717" w14:textId="77777777">
        <w:trPr>
          <w:trHeight w:val="70"/>
        </w:trPr>
        <w:tc>
          <w:tcPr>
            <w:tcW w:w="987" w:type="pct"/>
          </w:tcPr>
          <w:p w:rsidRPr="00E52E7A" w:rsidR="004940FB" w:rsidP="004940FB" w:rsidRDefault="004940FB" w14:paraId="21AB98BB" w14:textId="77777777">
            <w:pPr>
              <w:pStyle w:val="BodyText"/>
              <w:tabs>
                <w:tab w:val="center" w:pos="1476"/>
              </w:tabs>
              <w:rPr>
                <w:rFonts w:cs="Arial" w:asciiTheme="minorHAnsi" w:hAnsiTheme="minorHAnsi"/>
                <w:b/>
                <w:sz w:val="20"/>
              </w:rPr>
            </w:pPr>
            <w:r w:rsidRPr="00E52E7A">
              <w:rPr>
                <w:rFonts w:cs="Arial" w:asciiTheme="minorHAnsi" w:hAnsiTheme="minorHAnsi"/>
                <w:b/>
                <w:sz w:val="20"/>
              </w:rPr>
              <w:t>Alert</w:t>
            </w:r>
            <w:r w:rsidRPr="00E52E7A">
              <w:rPr>
                <w:rFonts w:cs="Arial" w:asciiTheme="minorHAnsi" w:hAnsiTheme="minorHAnsi"/>
                <w:b/>
                <w:sz w:val="20"/>
              </w:rPr>
              <w:tab/>
            </w:r>
          </w:p>
        </w:tc>
        <w:tc>
          <w:tcPr>
            <w:tcW w:w="4013" w:type="pct"/>
            <w:shd w:val="clear" w:color="auto" w:fill="auto"/>
          </w:tcPr>
          <w:p w:rsidRPr="00E52E7A" w:rsidR="004940FB" w:rsidP="004940FB" w:rsidRDefault="004940FB" w14:paraId="4F0F0F61" w14:textId="77777777">
            <w:pPr>
              <w:pStyle w:val="BodyText"/>
              <w:rPr>
                <w:rFonts w:cs="Arial" w:asciiTheme="minorHAnsi" w:hAnsiTheme="minorHAnsi"/>
                <w:sz w:val="20"/>
              </w:rPr>
            </w:pPr>
            <w:r w:rsidRPr="00E52E7A">
              <w:rPr>
                <w:rFonts w:cs="Arial" w:asciiTheme="minorHAnsi" w:hAnsiTheme="minorHAnsi"/>
                <w:sz w:val="20"/>
              </w:rPr>
              <w:t xml:space="preserve">Eye ointment </w:t>
            </w:r>
            <w:r>
              <w:rPr>
                <w:rFonts w:cs="Arial" w:asciiTheme="minorHAnsi" w:hAnsiTheme="minorHAnsi"/>
                <w:sz w:val="20"/>
              </w:rPr>
              <w:t>remains</w:t>
            </w:r>
            <w:r w:rsidRPr="00E52E7A">
              <w:rPr>
                <w:rFonts w:cs="Arial" w:asciiTheme="minorHAnsi" w:hAnsiTheme="minorHAnsi"/>
                <w:sz w:val="20"/>
              </w:rPr>
              <w:t xml:space="preserve"> in the eye for longer than eye drops and may be the preferred dose form. </w:t>
            </w:r>
          </w:p>
        </w:tc>
      </w:tr>
      <w:tr w:rsidRPr="00E52E7A" w:rsidR="00273A16" w:rsidTr="004940FB" w14:paraId="43992805" w14:textId="77777777">
        <w:trPr>
          <w:trHeight w:val="70"/>
        </w:trPr>
        <w:tc>
          <w:tcPr>
            <w:tcW w:w="987" w:type="pct"/>
          </w:tcPr>
          <w:p w:rsidRPr="00E52E7A" w:rsidR="004940FB" w:rsidP="004940FB" w:rsidRDefault="004940FB" w14:paraId="69271194" w14:textId="77777777">
            <w:pPr>
              <w:pStyle w:val="BodyText"/>
              <w:rPr>
                <w:rFonts w:cs="Arial" w:asciiTheme="minorHAnsi" w:hAnsiTheme="minorHAnsi"/>
                <w:b/>
                <w:bCs/>
                <w:sz w:val="20"/>
              </w:rPr>
            </w:pPr>
            <w:r w:rsidRPr="00E52E7A">
              <w:rPr>
                <w:rFonts w:cs="Arial" w:asciiTheme="minorHAnsi" w:hAnsiTheme="minorHAnsi"/>
                <w:b/>
                <w:bCs/>
                <w:sz w:val="20"/>
              </w:rPr>
              <w:t xml:space="preserve">Indication                         </w:t>
            </w:r>
          </w:p>
        </w:tc>
        <w:tc>
          <w:tcPr>
            <w:tcW w:w="4013" w:type="pct"/>
          </w:tcPr>
          <w:p w:rsidRPr="00E52E7A" w:rsidR="004940FB" w:rsidP="004940FB" w:rsidRDefault="004940FB" w14:paraId="1ADA4BC3" w14:textId="77777777">
            <w:pPr>
              <w:rPr>
                <w:rFonts w:asciiTheme="minorHAnsi" w:hAnsiTheme="minorHAnsi"/>
                <w:sz w:val="20"/>
              </w:rPr>
            </w:pPr>
            <w:r w:rsidRPr="00E52E7A">
              <w:rPr>
                <w:rFonts w:asciiTheme="minorHAnsi" w:hAnsiTheme="minorHAnsi"/>
                <w:sz w:val="20"/>
              </w:rPr>
              <w:t>Treatment of acute bacterial conjunctivitis</w:t>
            </w:r>
          </w:p>
        </w:tc>
      </w:tr>
      <w:tr w:rsidRPr="00E52E7A" w:rsidR="00273A16" w:rsidTr="004940FB" w14:paraId="40A79343" w14:textId="77777777">
        <w:trPr>
          <w:trHeight w:val="226"/>
        </w:trPr>
        <w:tc>
          <w:tcPr>
            <w:tcW w:w="987" w:type="pct"/>
          </w:tcPr>
          <w:p w:rsidRPr="00E52E7A" w:rsidR="004940FB" w:rsidP="004940FB" w:rsidRDefault="004940FB" w14:paraId="65A119C9" w14:textId="77777777">
            <w:pPr>
              <w:pStyle w:val="BodyText"/>
              <w:rPr>
                <w:rFonts w:cs="Arial" w:asciiTheme="minorHAnsi" w:hAnsiTheme="minorHAnsi"/>
                <w:b/>
                <w:bCs/>
                <w:sz w:val="20"/>
              </w:rPr>
            </w:pPr>
            <w:r w:rsidRPr="00E52E7A">
              <w:rPr>
                <w:rFonts w:cs="Arial" w:asciiTheme="minorHAnsi" w:hAnsiTheme="minorHAnsi"/>
                <w:b/>
                <w:bCs/>
                <w:sz w:val="20"/>
              </w:rPr>
              <w:t>Action</w:t>
            </w:r>
          </w:p>
        </w:tc>
        <w:tc>
          <w:tcPr>
            <w:tcW w:w="4013" w:type="pct"/>
          </w:tcPr>
          <w:p w:rsidRPr="00E52E7A" w:rsidR="004940FB" w:rsidP="004940FB" w:rsidRDefault="004940FB" w14:paraId="70672948" w14:textId="77777777">
            <w:pPr>
              <w:rPr>
                <w:rFonts w:cs="Arial" w:asciiTheme="minorHAnsi" w:hAnsiTheme="minorHAnsi"/>
                <w:sz w:val="20"/>
              </w:rPr>
            </w:pPr>
            <w:r w:rsidRPr="00E52E7A">
              <w:rPr>
                <w:rFonts w:cs="Arial" w:asciiTheme="minorHAnsi" w:hAnsiTheme="minorHAnsi"/>
                <w:sz w:val="20"/>
              </w:rPr>
              <w:t>Bacteriostatic</w:t>
            </w:r>
            <w:r>
              <w:rPr>
                <w:rFonts w:cs="Arial" w:asciiTheme="minorHAnsi" w:hAnsiTheme="minorHAnsi"/>
                <w:sz w:val="20"/>
              </w:rPr>
              <w:t>.</w:t>
            </w:r>
            <w:r w:rsidRPr="00E52E7A">
              <w:rPr>
                <w:rFonts w:cs="Arial" w:asciiTheme="minorHAnsi" w:hAnsiTheme="minorHAnsi"/>
                <w:sz w:val="20"/>
              </w:rPr>
              <w:t xml:space="preserve"> </w:t>
            </w:r>
            <w:r>
              <w:rPr>
                <w:rFonts w:cs="Arial" w:asciiTheme="minorHAnsi" w:hAnsiTheme="minorHAnsi"/>
                <w:sz w:val="20"/>
              </w:rPr>
              <w:t>A</w:t>
            </w:r>
            <w:r w:rsidRPr="00E52E7A">
              <w:rPr>
                <w:rFonts w:cs="Arial" w:asciiTheme="minorHAnsi" w:hAnsiTheme="minorHAnsi"/>
                <w:sz w:val="20"/>
              </w:rPr>
              <w:t>cts by inhibition of protein synthesis</w:t>
            </w:r>
            <w:r>
              <w:rPr>
                <w:rFonts w:cs="Arial" w:asciiTheme="minorHAnsi" w:hAnsiTheme="minorHAnsi"/>
                <w:sz w:val="20"/>
              </w:rPr>
              <w:t>,</w:t>
            </w:r>
            <w:r w:rsidRPr="00E52E7A">
              <w:rPr>
                <w:rFonts w:cs="Arial" w:asciiTheme="minorHAnsi" w:hAnsiTheme="minorHAnsi"/>
                <w:sz w:val="20"/>
              </w:rPr>
              <w:t xml:space="preserve"> interfering with the transfer of activated amino acids from soluble RNA to ribosomes.</w:t>
            </w:r>
          </w:p>
        </w:tc>
      </w:tr>
      <w:tr w:rsidRPr="00E52E7A" w:rsidR="00273A16" w:rsidTr="004940FB" w14:paraId="1E7E0C83" w14:textId="77777777">
        <w:trPr>
          <w:trHeight w:val="266"/>
        </w:trPr>
        <w:tc>
          <w:tcPr>
            <w:tcW w:w="987" w:type="pct"/>
          </w:tcPr>
          <w:p w:rsidRPr="00E52E7A" w:rsidR="004940FB" w:rsidP="004940FB" w:rsidRDefault="004940FB" w14:paraId="77C93E96" w14:textId="77777777">
            <w:pPr>
              <w:pStyle w:val="BodyText"/>
              <w:rPr>
                <w:rFonts w:cs="Arial" w:asciiTheme="minorHAnsi" w:hAnsiTheme="minorHAnsi"/>
                <w:sz w:val="20"/>
              </w:rPr>
            </w:pPr>
            <w:r w:rsidRPr="00E52E7A">
              <w:rPr>
                <w:rFonts w:cs="Arial" w:asciiTheme="minorHAnsi" w:hAnsiTheme="minorHAnsi"/>
                <w:b/>
                <w:bCs/>
                <w:sz w:val="20"/>
              </w:rPr>
              <w:t xml:space="preserve">Drug Type                                   </w:t>
            </w:r>
          </w:p>
        </w:tc>
        <w:tc>
          <w:tcPr>
            <w:tcW w:w="4013" w:type="pct"/>
          </w:tcPr>
          <w:p w:rsidRPr="00E52E7A" w:rsidR="004940FB" w:rsidP="004940FB" w:rsidRDefault="004940FB" w14:paraId="7E730B1B" w14:textId="77777777">
            <w:pPr>
              <w:pStyle w:val="BodyText"/>
              <w:rPr>
                <w:rFonts w:cs="Arial" w:asciiTheme="minorHAnsi" w:hAnsiTheme="minorHAnsi"/>
                <w:sz w:val="20"/>
              </w:rPr>
            </w:pPr>
            <w:r w:rsidRPr="00E52E7A">
              <w:rPr>
                <w:rFonts w:cs="Arial" w:asciiTheme="minorHAnsi" w:hAnsiTheme="minorHAnsi"/>
                <w:sz w:val="20"/>
              </w:rPr>
              <w:t>Broad spectrum antibiotic</w:t>
            </w:r>
          </w:p>
        </w:tc>
      </w:tr>
      <w:tr w:rsidRPr="00E52E7A" w:rsidR="00273A16" w:rsidTr="004940FB" w14:paraId="4EF3789B" w14:textId="77777777">
        <w:trPr>
          <w:trHeight w:val="128"/>
        </w:trPr>
        <w:tc>
          <w:tcPr>
            <w:tcW w:w="987" w:type="pct"/>
          </w:tcPr>
          <w:p w:rsidRPr="00E52E7A" w:rsidR="004940FB" w:rsidP="004940FB" w:rsidRDefault="004940FB" w14:paraId="64B2C140" w14:textId="77777777">
            <w:pPr>
              <w:pStyle w:val="BodyText"/>
              <w:rPr>
                <w:rFonts w:cs="Arial" w:asciiTheme="minorHAnsi" w:hAnsiTheme="minorHAnsi"/>
                <w:b/>
                <w:bCs/>
                <w:sz w:val="20"/>
              </w:rPr>
            </w:pPr>
            <w:r w:rsidRPr="00E52E7A">
              <w:rPr>
                <w:rFonts w:cs="Arial" w:asciiTheme="minorHAnsi" w:hAnsiTheme="minorHAnsi"/>
                <w:b/>
                <w:bCs/>
                <w:sz w:val="20"/>
              </w:rPr>
              <w:t xml:space="preserve">Trade Name                  </w:t>
            </w:r>
          </w:p>
        </w:tc>
        <w:tc>
          <w:tcPr>
            <w:tcW w:w="4013" w:type="pct"/>
          </w:tcPr>
          <w:p w:rsidRPr="00E52E7A" w:rsidR="004940FB" w:rsidP="004940FB" w:rsidRDefault="004940FB" w14:paraId="38AC8EEA" w14:textId="77777777">
            <w:pPr>
              <w:pStyle w:val="BodyText"/>
              <w:rPr>
                <w:rFonts w:cs="Arial" w:asciiTheme="minorHAnsi" w:hAnsiTheme="minorHAnsi"/>
                <w:sz w:val="20"/>
              </w:rPr>
            </w:pPr>
            <w:r w:rsidRPr="00E52E7A">
              <w:rPr>
                <w:rFonts w:cs="Arial" w:asciiTheme="minorHAnsi" w:hAnsiTheme="minorHAnsi"/>
                <w:sz w:val="20"/>
              </w:rPr>
              <w:t>Chloromycetin, Chlorsig</w:t>
            </w:r>
          </w:p>
        </w:tc>
      </w:tr>
      <w:tr w:rsidRPr="00E52E7A" w:rsidR="00273A16" w:rsidTr="004940FB" w14:paraId="11A8D19D" w14:textId="77777777">
        <w:trPr>
          <w:trHeight w:val="218"/>
        </w:trPr>
        <w:tc>
          <w:tcPr>
            <w:tcW w:w="987" w:type="pct"/>
          </w:tcPr>
          <w:p w:rsidRPr="00E52E7A" w:rsidR="004940FB" w:rsidP="004940FB" w:rsidRDefault="004940FB" w14:paraId="6D66A4BA" w14:textId="77777777">
            <w:pPr>
              <w:pStyle w:val="BodyText"/>
              <w:rPr>
                <w:rFonts w:cs="Arial" w:asciiTheme="minorHAnsi" w:hAnsiTheme="minorHAnsi"/>
                <w:b/>
                <w:bCs/>
                <w:sz w:val="20"/>
              </w:rPr>
            </w:pPr>
            <w:r w:rsidRPr="00E52E7A">
              <w:rPr>
                <w:rFonts w:cs="Arial" w:asciiTheme="minorHAnsi" w:hAnsiTheme="minorHAnsi"/>
                <w:b/>
                <w:bCs/>
                <w:sz w:val="20"/>
              </w:rPr>
              <w:t xml:space="preserve">Presentation </w:t>
            </w:r>
          </w:p>
        </w:tc>
        <w:tc>
          <w:tcPr>
            <w:tcW w:w="4013" w:type="pct"/>
          </w:tcPr>
          <w:p w:rsidRPr="00E52E7A" w:rsidR="004940FB" w:rsidP="004940FB" w:rsidRDefault="004940FB" w14:paraId="15CA6C48" w14:textId="77777777">
            <w:pPr>
              <w:pStyle w:val="BodyText"/>
              <w:ind w:left="34"/>
              <w:rPr>
                <w:rFonts w:cs="Arial" w:asciiTheme="minorHAnsi" w:hAnsiTheme="minorHAnsi"/>
                <w:sz w:val="20"/>
              </w:rPr>
            </w:pPr>
            <w:r w:rsidRPr="00E52E7A">
              <w:rPr>
                <w:rFonts w:cs="Arial" w:asciiTheme="minorHAnsi" w:hAnsiTheme="minorHAnsi"/>
                <w:sz w:val="20"/>
              </w:rPr>
              <w:t xml:space="preserve">Chloramphenicol </w:t>
            </w:r>
            <w:r>
              <w:rPr>
                <w:rFonts w:cs="Arial" w:asciiTheme="minorHAnsi" w:hAnsiTheme="minorHAnsi"/>
                <w:sz w:val="20"/>
              </w:rPr>
              <w:t xml:space="preserve">eye drops </w:t>
            </w:r>
            <w:r w:rsidRPr="00E52E7A">
              <w:rPr>
                <w:rFonts w:cs="Arial" w:asciiTheme="minorHAnsi" w:hAnsiTheme="minorHAnsi"/>
                <w:sz w:val="20"/>
              </w:rPr>
              <w:t>0.5% contains 5 mg/mL</w:t>
            </w:r>
            <w:r>
              <w:rPr>
                <w:rFonts w:cs="Arial" w:asciiTheme="minorHAnsi" w:hAnsiTheme="minorHAnsi"/>
                <w:sz w:val="20"/>
              </w:rPr>
              <w:t xml:space="preserve">, </w:t>
            </w:r>
            <w:r w:rsidRPr="004940FB">
              <w:rPr>
                <w:rFonts w:cs="Arial" w:asciiTheme="minorHAnsi" w:hAnsiTheme="minorHAnsi"/>
                <w:sz w:val="20"/>
              </w:rPr>
              <w:t>chloramphenicol eye ointment 1% contains 10mg/g</w:t>
            </w:r>
          </w:p>
        </w:tc>
      </w:tr>
      <w:tr w:rsidRPr="00E52E7A" w:rsidR="00273A16" w:rsidTr="004940FB" w14:paraId="6DD102C8" w14:textId="77777777">
        <w:trPr>
          <w:trHeight w:val="587"/>
        </w:trPr>
        <w:tc>
          <w:tcPr>
            <w:tcW w:w="987" w:type="pct"/>
          </w:tcPr>
          <w:p w:rsidRPr="00E52E7A" w:rsidR="004940FB" w:rsidP="004940FB" w:rsidRDefault="004940FB" w14:paraId="147E2424" w14:textId="77777777">
            <w:pPr>
              <w:pStyle w:val="BodyText"/>
              <w:rPr>
                <w:rFonts w:cs="Arial" w:asciiTheme="minorHAnsi" w:hAnsiTheme="minorHAnsi"/>
                <w:b/>
                <w:bCs/>
                <w:sz w:val="20"/>
              </w:rPr>
            </w:pPr>
            <w:r w:rsidRPr="00E52E7A">
              <w:rPr>
                <w:rFonts w:cs="Arial" w:asciiTheme="minorHAnsi" w:hAnsiTheme="minorHAnsi"/>
                <w:b/>
                <w:bCs/>
                <w:sz w:val="20"/>
              </w:rPr>
              <w:t xml:space="preserve">Dosage/Interval                           </w:t>
            </w:r>
          </w:p>
          <w:p w:rsidRPr="00E52E7A" w:rsidR="004940FB" w:rsidP="004940FB" w:rsidRDefault="004940FB" w14:paraId="463D4415" w14:textId="77777777">
            <w:pPr>
              <w:pStyle w:val="BodyText"/>
              <w:rPr>
                <w:rFonts w:cs="Arial" w:asciiTheme="minorHAnsi" w:hAnsiTheme="minorHAnsi"/>
                <w:sz w:val="20"/>
              </w:rPr>
            </w:pPr>
          </w:p>
        </w:tc>
        <w:tc>
          <w:tcPr>
            <w:tcW w:w="4013" w:type="pct"/>
          </w:tcPr>
          <w:p w:rsidRPr="00E52E7A" w:rsidR="004940FB" w:rsidP="004940FB" w:rsidRDefault="004940FB" w14:paraId="3769ACA6" w14:textId="77777777">
            <w:pPr>
              <w:pStyle w:val="BodyText"/>
              <w:rPr>
                <w:rFonts w:asciiTheme="minorHAnsi" w:hAnsiTheme="minorHAnsi"/>
                <w:sz w:val="20"/>
              </w:rPr>
            </w:pPr>
            <w:r w:rsidRPr="00E52E7A">
              <w:rPr>
                <w:rFonts w:asciiTheme="minorHAnsi" w:hAnsiTheme="minorHAnsi"/>
                <w:sz w:val="20"/>
              </w:rPr>
              <w:t>Ointment:</w:t>
            </w:r>
          </w:p>
          <w:p w:rsidRPr="00E52E7A" w:rsidR="004940FB" w:rsidP="004940FB" w:rsidRDefault="004940FB" w14:paraId="6C114008" w14:textId="77777777">
            <w:pPr>
              <w:pStyle w:val="BodyText"/>
              <w:ind w:left="720"/>
              <w:rPr>
                <w:rFonts w:asciiTheme="minorHAnsi" w:hAnsiTheme="minorHAnsi"/>
                <w:sz w:val="20"/>
              </w:rPr>
            </w:pPr>
            <w:r w:rsidRPr="00E52E7A">
              <w:rPr>
                <w:rFonts w:asciiTheme="minorHAnsi" w:hAnsiTheme="minorHAnsi"/>
                <w:sz w:val="20"/>
              </w:rPr>
              <w:t>Apply 3 to 4 times a day in the affected eye and continue for 48 hours after clinical resolution.</w:t>
            </w:r>
          </w:p>
          <w:p w:rsidRPr="00E52E7A" w:rsidR="004940FB" w:rsidP="004940FB" w:rsidRDefault="004940FB" w14:paraId="6CD26A0A" w14:textId="77777777">
            <w:pPr>
              <w:pStyle w:val="BodyText"/>
              <w:ind w:left="720"/>
              <w:rPr>
                <w:rFonts w:asciiTheme="minorHAnsi" w:hAnsiTheme="minorHAnsi"/>
                <w:sz w:val="20"/>
              </w:rPr>
            </w:pPr>
            <w:r w:rsidRPr="00E52E7A">
              <w:rPr>
                <w:rFonts w:asciiTheme="minorHAnsi" w:hAnsiTheme="minorHAnsi"/>
                <w:sz w:val="20"/>
              </w:rPr>
              <w:t>Severe infection: May need more often at the discretion of the treating team.</w:t>
            </w:r>
          </w:p>
          <w:p w:rsidRPr="00E52E7A" w:rsidR="004940FB" w:rsidP="004940FB" w:rsidRDefault="004940FB" w14:paraId="5F3AFAA4" w14:textId="77777777">
            <w:pPr>
              <w:pStyle w:val="BodyText"/>
              <w:rPr>
                <w:rFonts w:asciiTheme="minorHAnsi" w:hAnsiTheme="minorHAnsi"/>
                <w:sz w:val="20"/>
              </w:rPr>
            </w:pPr>
            <w:r w:rsidRPr="00E52E7A">
              <w:rPr>
                <w:rFonts w:asciiTheme="minorHAnsi" w:hAnsiTheme="minorHAnsi"/>
                <w:sz w:val="20"/>
              </w:rPr>
              <w:t xml:space="preserve">DROPS: </w:t>
            </w:r>
          </w:p>
          <w:p w:rsidRPr="00E52E7A" w:rsidR="004940FB" w:rsidP="004940FB" w:rsidRDefault="004940FB" w14:paraId="74AE4CE7" w14:textId="77777777">
            <w:pPr>
              <w:pStyle w:val="BodyText"/>
              <w:ind w:left="720"/>
              <w:rPr>
                <w:rFonts w:asciiTheme="minorHAnsi" w:hAnsiTheme="minorHAnsi"/>
                <w:sz w:val="20"/>
              </w:rPr>
            </w:pPr>
            <w:r w:rsidRPr="00E52E7A">
              <w:rPr>
                <w:rFonts w:asciiTheme="minorHAnsi" w:hAnsiTheme="minorHAnsi"/>
                <w:sz w:val="20"/>
              </w:rPr>
              <w:t>Severe infection: Apply 1 drop every 2 hours in the affected eye for 48 hours and reduce frequency with controlling of infection.</w:t>
            </w:r>
          </w:p>
          <w:p w:rsidRPr="00E52E7A" w:rsidR="004940FB" w:rsidP="004940FB" w:rsidRDefault="004940FB" w14:paraId="5DC92643" w14:textId="77777777">
            <w:pPr>
              <w:pStyle w:val="BodyText"/>
              <w:ind w:left="720"/>
              <w:rPr>
                <w:rFonts w:asciiTheme="minorHAnsi" w:hAnsiTheme="minorHAnsi"/>
                <w:sz w:val="20"/>
              </w:rPr>
            </w:pPr>
            <w:r w:rsidRPr="00E52E7A">
              <w:rPr>
                <w:rFonts w:asciiTheme="minorHAnsi" w:hAnsiTheme="minorHAnsi"/>
                <w:sz w:val="20"/>
              </w:rPr>
              <w:t>Less severe infection: Apply 3 to 4 times a day in the affected eye</w:t>
            </w:r>
          </w:p>
          <w:p w:rsidRPr="00E52E7A" w:rsidR="004940FB" w:rsidP="004940FB" w:rsidRDefault="004940FB" w14:paraId="08CDCB5C" w14:textId="77777777">
            <w:pPr>
              <w:pStyle w:val="BodyText"/>
              <w:ind w:left="720"/>
              <w:rPr>
                <w:rFonts w:asciiTheme="minorHAnsi" w:hAnsiTheme="minorHAnsi"/>
                <w:sz w:val="20"/>
              </w:rPr>
            </w:pPr>
            <w:r w:rsidRPr="00E52E7A">
              <w:rPr>
                <w:rFonts w:asciiTheme="minorHAnsi" w:hAnsiTheme="minorHAnsi"/>
                <w:sz w:val="20"/>
              </w:rPr>
              <w:t>Continue for 48 hours after clinical resolution</w:t>
            </w:r>
          </w:p>
          <w:p w:rsidRPr="00E52E7A" w:rsidR="004940FB" w:rsidP="004940FB" w:rsidRDefault="004940FB" w14:paraId="59FF34EE" w14:textId="77777777">
            <w:pPr>
              <w:pStyle w:val="BodyText"/>
              <w:rPr>
                <w:rFonts w:asciiTheme="minorHAnsi" w:hAnsiTheme="minorHAnsi"/>
                <w:sz w:val="20"/>
              </w:rPr>
            </w:pPr>
          </w:p>
          <w:p w:rsidRPr="00E52E7A" w:rsidR="004940FB" w:rsidP="004940FB" w:rsidRDefault="004940FB" w14:paraId="2E9E6441" w14:textId="77777777">
            <w:pPr>
              <w:pStyle w:val="BodyText"/>
              <w:rPr>
                <w:rFonts w:asciiTheme="minorHAnsi" w:hAnsiTheme="minorHAnsi"/>
                <w:sz w:val="20"/>
              </w:rPr>
            </w:pPr>
            <w:r w:rsidRPr="00E52E7A">
              <w:rPr>
                <w:rFonts w:asciiTheme="minorHAnsi" w:hAnsiTheme="minorHAnsi"/>
                <w:sz w:val="20"/>
              </w:rPr>
              <w:t>Drops and Ointment combination:</w:t>
            </w:r>
          </w:p>
          <w:p w:rsidRPr="00E52E7A" w:rsidR="004940FB" w:rsidP="004940FB" w:rsidRDefault="004940FB" w14:paraId="0D78EAA2" w14:textId="77777777">
            <w:pPr>
              <w:pStyle w:val="BodyText"/>
              <w:ind w:left="720"/>
              <w:rPr>
                <w:rFonts w:asciiTheme="minorHAnsi" w:hAnsiTheme="minorHAnsi"/>
                <w:sz w:val="20"/>
              </w:rPr>
            </w:pPr>
            <w:r w:rsidRPr="00E52E7A">
              <w:rPr>
                <w:rFonts w:asciiTheme="minorHAnsi" w:hAnsiTheme="minorHAnsi"/>
                <w:sz w:val="20"/>
              </w:rPr>
              <w:t>Apply drops during the day as above</w:t>
            </w:r>
          </w:p>
          <w:p w:rsidRPr="00E52E7A" w:rsidR="004940FB" w:rsidP="004940FB" w:rsidRDefault="004940FB" w14:paraId="72CDF43B" w14:textId="77777777">
            <w:pPr>
              <w:pStyle w:val="BodyText"/>
              <w:ind w:left="720"/>
              <w:rPr>
                <w:rFonts w:asciiTheme="minorHAnsi" w:hAnsiTheme="minorHAnsi"/>
                <w:sz w:val="20"/>
              </w:rPr>
            </w:pPr>
            <w:r w:rsidRPr="00E52E7A">
              <w:rPr>
                <w:rFonts w:asciiTheme="minorHAnsi" w:hAnsiTheme="minorHAnsi"/>
                <w:sz w:val="20"/>
              </w:rPr>
              <w:t>Apply ointment once at night</w:t>
            </w:r>
          </w:p>
          <w:p w:rsidRPr="00E52E7A" w:rsidR="004940FB" w:rsidP="004940FB" w:rsidRDefault="004940FB" w14:paraId="621F8227" w14:textId="77777777">
            <w:pPr>
              <w:pStyle w:val="BodyText"/>
              <w:ind w:left="720"/>
              <w:rPr>
                <w:rFonts w:asciiTheme="minorHAnsi" w:hAnsiTheme="minorHAnsi"/>
                <w:sz w:val="20"/>
              </w:rPr>
            </w:pPr>
            <w:r w:rsidRPr="00E52E7A">
              <w:rPr>
                <w:rFonts w:asciiTheme="minorHAnsi" w:hAnsiTheme="minorHAnsi"/>
                <w:sz w:val="20"/>
              </w:rPr>
              <w:t>Continue for 48 hours after clinical resolution.</w:t>
            </w:r>
          </w:p>
        </w:tc>
      </w:tr>
      <w:tr w:rsidRPr="00E52E7A" w:rsidR="00273A16" w:rsidTr="004940FB" w14:paraId="3BEE6506" w14:textId="77777777">
        <w:trPr>
          <w:trHeight w:val="197"/>
        </w:trPr>
        <w:tc>
          <w:tcPr>
            <w:tcW w:w="987" w:type="pct"/>
          </w:tcPr>
          <w:p w:rsidRPr="00E52E7A" w:rsidR="004940FB" w:rsidP="004940FB" w:rsidRDefault="004940FB" w14:paraId="0664B316" w14:textId="77777777">
            <w:pPr>
              <w:pStyle w:val="BodyText"/>
              <w:rPr>
                <w:rFonts w:asciiTheme="minorHAnsi" w:hAnsiTheme="minorHAnsi"/>
                <w:b/>
                <w:sz w:val="20"/>
              </w:rPr>
            </w:pPr>
            <w:r w:rsidRPr="00E52E7A">
              <w:rPr>
                <w:rFonts w:asciiTheme="minorHAnsi" w:hAnsiTheme="minorHAnsi"/>
                <w:b/>
                <w:sz w:val="20"/>
              </w:rPr>
              <w:t>Maximum daily dose</w:t>
            </w:r>
          </w:p>
        </w:tc>
        <w:tc>
          <w:tcPr>
            <w:tcW w:w="4013" w:type="pct"/>
          </w:tcPr>
          <w:p w:rsidRPr="00E52E7A" w:rsidR="004940FB" w:rsidP="004940FB" w:rsidRDefault="004940FB" w14:paraId="6037135B" w14:textId="77777777">
            <w:pPr>
              <w:pStyle w:val="BodyText"/>
              <w:rPr>
                <w:rFonts w:asciiTheme="minorHAnsi" w:hAnsiTheme="minorHAnsi"/>
                <w:sz w:val="20"/>
              </w:rPr>
            </w:pPr>
          </w:p>
        </w:tc>
      </w:tr>
      <w:tr w:rsidRPr="00E52E7A" w:rsidR="00273A16" w:rsidTr="004940FB" w14:paraId="0FEB9223" w14:textId="77777777">
        <w:trPr>
          <w:trHeight w:val="141"/>
        </w:trPr>
        <w:tc>
          <w:tcPr>
            <w:tcW w:w="987" w:type="pct"/>
          </w:tcPr>
          <w:p w:rsidRPr="00E52E7A" w:rsidR="004940FB" w:rsidP="004940FB" w:rsidRDefault="004940FB" w14:paraId="43A65E49" w14:textId="77777777">
            <w:pPr>
              <w:pStyle w:val="BodyText"/>
              <w:rPr>
                <w:rFonts w:cs="Arial" w:asciiTheme="minorHAnsi" w:hAnsiTheme="minorHAnsi"/>
                <w:b/>
                <w:bCs/>
                <w:sz w:val="20"/>
              </w:rPr>
            </w:pPr>
            <w:r w:rsidRPr="00E52E7A">
              <w:rPr>
                <w:rFonts w:cs="Arial" w:asciiTheme="minorHAnsi" w:hAnsiTheme="minorHAnsi"/>
                <w:b/>
                <w:bCs/>
                <w:sz w:val="20"/>
              </w:rPr>
              <w:t xml:space="preserve">Route                                </w:t>
            </w:r>
          </w:p>
        </w:tc>
        <w:tc>
          <w:tcPr>
            <w:tcW w:w="4013" w:type="pct"/>
          </w:tcPr>
          <w:p w:rsidRPr="00E52E7A" w:rsidR="004940FB" w:rsidP="004940FB" w:rsidRDefault="004940FB" w14:paraId="607BFED1" w14:textId="77777777">
            <w:pPr>
              <w:pStyle w:val="BodyText"/>
              <w:rPr>
                <w:rFonts w:cs="Arial" w:asciiTheme="minorHAnsi" w:hAnsiTheme="minorHAnsi"/>
                <w:sz w:val="20"/>
              </w:rPr>
            </w:pPr>
            <w:r w:rsidRPr="00E52E7A">
              <w:rPr>
                <w:rFonts w:cs="Arial" w:asciiTheme="minorHAnsi" w:hAnsiTheme="minorHAnsi"/>
                <w:sz w:val="20"/>
              </w:rPr>
              <w:t>TOPICAL ONLY</w:t>
            </w:r>
          </w:p>
        </w:tc>
      </w:tr>
      <w:tr w:rsidRPr="00E52E7A" w:rsidR="00E424B4" w:rsidTr="004940FB" w14:paraId="45A91F0A" w14:textId="77777777">
        <w:trPr>
          <w:trHeight w:val="90"/>
        </w:trPr>
        <w:tc>
          <w:tcPr>
            <w:tcW w:w="987" w:type="pct"/>
          </w:tcPr>
          <w:p w:rsidRPr="00E52E7A" w:rsidR="004940FB" w:rsidP="004940FB" w:rsidRDefault="004940FB" w14:paraId="5B520601" w14:textId="77777777">
            <w:pPr>
              <w:pStyle w:val="BodyText"/>
              <w:rPr>
                <w:rFonts w:cs="Arial" w:asciiTheme="minorHAnsi" w:hAnsiTheme="minorHAnsi"/>
                <w:b/>
                <w:bCs/>
                <w:sz w:val="20"/>
              </w:rPr>
            </w:pPr>
            <w:r w:rsidRPr="00E52E7A">
              <w:rPr>
                <w:rFonts w:cs="Arial" w:asciiTheme="minorHAnsi" w:hAnsiTheme="minorHAnsi"/>
                <w:b/>
                <w:bCs/>
                <w:sz w:val="20"/>
              </w:rPr>
              <w:t xml:space="preserve">Administration               </w:t>
            </w:r>
          </w:p>
        </w:tc>
        <w:tc>
          <w:tcPr>
            <w:tcW w:w="4013" w:type="pct"/>
            <w:vAlign w:val="center"/>
          </w:tcPr>
          <w:p w:rsidRPr="00E52E7A" w:rsidR="004940FB" w:rsidP="004940FB" w:rsidRDefault="004940FB" w14:paraId="74BD4487" w14:textId="77777777">
            <w:pPr>
              <w:pStyle w:val="BodyText"/>
              <w:rPr>
                <w:rFonts w:cs="Arial" w:asciiTheme="minorHAnsi" w:hAnsiTheme="minorHAnsi"/>
                <w:sz w:val="20"/>
              </w:rPr>
            </w:pPr>
            <w:r w:rsidRPr="00E52E7A">
              <w:rPr>
                <w:rFonts w:cs="Arial" w:asciiTheme="minorHAnsi" w:hAnsiTheme="minorHAnsi"/>
                <w:sz w:val="20"/>
              </w:rPr>
              <w:t>Avoid contact between tip of container and infant’s eyes.</w:t>
            </w:r>
          </w:p>
          <w:p w:rsidRPr="00E52E7A" w:rsidR="004940FB" w:rsidP="004940FB" w:rsidRDefault="004940FB" w14:paraId="1BFAEC07" w14:textId="77777777">
            <w:pPr>
              <w:pStyle w:val="BodyText"/>
              <w:rPr>
                <w:rFonts w:cs="Arial" w:asciiTheme="minorHAnsi" w:hAnsiTheme="minorHAnsi"/>
                <w:sz w:val="20"/>
              </w:rPr>
            </w:pPr>
            <w:r w:rsidRPr="00E52E7A">
              <w:rPr>
                <w:rFonts w:cs="Arial" w:asciiTheme="minorHAnsi" w:hAnsiTheme="minorHAnsi"/>
                <w:sz w:val="20"/>
              </w:rPr>
              <w:t xml:space="preserve">Eye ointment: Hold eye open and administer eye ointment between the lower lid and the eye. </w:t>
            </w:r>
          </w:p>
          <w:p w:rsidRPr="00E52E7A" w:rsidR="004940FB" w:rsidP="004940FB" w:rsidRDefault="004940FB" w14:paraId="043D7B20" w14:textId="77777777">
            <w:pPr>
              <w:pStyle w:val="BodyText"/>
              <w:rPr>
                <w:rFonts w:cs="Arial" w:asciiTheme="minorHAnsi" w:hAnsiTheme="minorHAnsi"/>
                <w:sz w:val="20"/>
              </w:rPr>
            </w:pPr>
            <w:r w:rsidRPr="00E52E7A">
              <w:rPr>
                <w:rFonts w:cs="Arial" w:asciiTheme="minorHAnsi" w:hAnsiTheme="minorHAnsi"/>
                <w:sz w:val="20"/>
              </w:rPr>
              <w:t xml:space="preserve">Eye drop: After administering eye drop, gently press against the lacrimal duct (inner corner of eye) to reduce systemic absorption. The eye pouch will be full after a single drop. If other eye drop(s) need to be administered, wait 5 minutes between drops. </w:t>
            </w:r>
          </w:p>
        </w:tc>
      </w:tr>
      <w:tr w:rsidRPr="00E52E7A" w:rsidR="00273A16" w:rsidTr="004940FB" w14:paraId="7F027959" w14:textId="77777777">
        <w:trPr>
          <w:trHeight w:val="221"/>
        </w:trPr>
        <w:tc>
          <w:tcPr>
            <w:tcW w:w="987" w:type="pct"/>
          </w:tcPr>
          <w:p w:rsidRPr="00E52E7A" w:rsidR="004940FB" w:rsidP="004940FB" w:rsidRDefault="004940FB" w14:paraId="0418A71E" w14:textId="77777777">
            <w:pPr>
              <w:pStyle w:val="BodyText"/>
              <w:rPr>
                <w:rFonts w:cs="Arial" w:asciiTheme="minorHAnsi" w:hAnsiTheme="minorHAnsi"/>
                <w:b/>
                <w:bCs/>
                <w:sz w:val="20"/>
              </w:rPr>
            </w:pPr>
            <w:r w:rsidRPr="00E52E7A">
              <w:rPr>
                <w:rFonts w:cs="Arial" w:asciiTheme="minorHAnsi" w:hAnsiTheme="minorHAnsi"/>
                <w:b/>
                <w:bCs/>
                <w:sz w:val="20"/>
              </w:rPr>
              <w:t xml:space="preserve">Monitoring                              </w:t>
            </w:r>
          </w:p>
        </w:tc>
        <w:tc>
          <w:tcPr>
            <w:tcW w:w="4013" w:type="pct"/>
          </w:tcPr>
          <w:p w:rsidRPr="00E52E7A" w:rsidR="004940FB" w:rsidP="004940FB" w:rsidRDefault="004940FB" w14:paraId="40CFCD44" w14:textId="77777777">
            <w:pPr>
              <w:pStyle w:val="BodyText"/>
              <w:rPr>
                <w:rFonts w:cs="Arial" w:asciiTheme="minorHAnsi" w:hAnsiTheme="minorHAnsi"/>
                <w:sz w:val="20"/>
              </w:rPr>
            </w:pPr>
          </w:p>
        </w:tc>
      </w:tr>
      <w:tr w:rsidRPr="00E52E7A" w:rsidR="00273A16" w:rsidTr="004940FB" w14:paraId="770A897A" w14:textId="77777777">
        <w:trPr>
          <w:trHeight w:val="139"/>
        </w:trPr>
        <w:tc>
          <w:tcPr>
            <w:tcW w:w="987" w:type="pct"/>
          </w:tcPr>
          <w:p w:rsidRPr="00E52E7A" w:rsidR="004940FB" w:rsidP="004940FB" w:rsidRDefault="004940FB" w14:paraId="1CF64EC2" w14:textId="77777777">
            <w:pPr>
              <w:pStyle w:val="BodyText"/>
              <w:rPr>
                <w:rFonts w:cs="Arial" w:asciiTheme="minorHAnsi" w:hAnsiTheme="minorHAnsi"/>
                <w:b/>
                <w:bCs/>
                <w:sz w:val="20"/>
              </w:rPr>
            </w:pPr>
            <w:r w:rsidRPr="00E52E7A">
              <w:rPr>
                <w:rFonts w:cs="Arial" w:asciiTheme="minorHAnsi" w:hAnsiTheme="minorHAnsi"/>
                <w:b/>
                <w:bCs/>
                <w:sz w:val="20"/>
              </w:rPr>
              <w:t xml:space="preserve">Contraindications                        </w:t>
            </w:r>
          </w:p>
        </w:tc>
        <w:tc>
          <w:tcPr>
            <w:tcW w:w="4013" w:type="pct"/>
          </w:tcPr>
          <w:p w:rsidRPr="00E52E7A" w:rsidR="004940FB" w:rsidP="004940FB" w:rsidRDefault="004940FB" w14:paraId="30383308" w14:textId="77777777">
            <w:pPr>
              <w:pStyle w:val="BodyText"/>
              <w:rPr>
                <w:rFonts w:cs="Arial" w:asciiTheme="minorHAnsi" w:hAnsiTheme="minorHAnsi"/>
                <w:sz w:val="20"/>
              </w:rPr>
            </w:pPr>
            <w:r w:rsidRPr="00E52E7A">
              <w:rPr>
                <w:rFonts w:cs="Arial" w:asciiTheme="minorHAnsi" w:hAnsiTheme="minorHAnsi"/>
                <w:sz w:val="20"/>
              </w:rPr>
              <w:t>History of hypersensitivity to chloramphenicol or any other component of the medication.</w:t>
            </w:r>
          </w:p>
        </w:tc>
      </w:tr>
      <w:tr w:rsidRPr="00E52E7A" w:rsidR="00273A16" w:rsidTr="004940FB" w14:paraId="63684A6C" w14:textId="77777777">
        <w:trPr>
          <w:trHeight w:val="75"/>
        </w:trPr>
        <w:tc>
          <w:tcPr>
            <w:tcW w:w="987" w:type="pct"/>
          </w:tcPr>
          <w:p w:rsidRPr="00E52E7A" w:rsidR="004940FB" w:rsidP="004940FB" w:rsidRDefault="004940FB" w14:paraId="6A4909C6" w14:textId="77777777">
            <w:pPr>
              <w:pStyle w:val="BodyText"/>
              <w:rPr>
                <w:rFonts w:cs="Arial" w:asciiTheme="minorHAnsi" w:hAnsiTheme="minorHAnsi"/>
                <w:b/>
                <w:bCs/>
                <w:sz w:val="20"/>
              </w:rPr>
            </w:pPr>
            <w:r w:rsidRPr="00E52E7A">
              <w:rPr>
                <w:rFonts w:asciiTheme="minorHAnsi" w:hAnsiTheme="minorHAnsi"/>
                <w:sz w:val="20"/>
              </w:rPr>
              <w:br w:type="page"/>
            </w:r>
            <w:r w:rsidRPr="00E52E7A">
              <w:rPr>
                <w:rFonts w:cs="Arial" w:asciiTheme="minorHAnsi" w:hAnsiTheme="minorHAnsi"/>
                <w:b/>
                <w:bCs/>
                <w:sz w:val="20"/>
              </w:rPr>
              <w:t>Precautions</w:t>
            </w:r>
          </w:p>
        </w:tc>
        <w:tc>
          <w:tcPr>
            <w:tcW w:w="4013" w:type="pct"/>
          </w:tcPr>
          <w:p w:rsidRPr="00E52E7A" w:rsidR="004940FB" w:rsidP="004940FB" w:rsidRDefault="004940FB" w14:paraId="0F08E5E5" w14:textId="77777777">
            <w:pPr>
              <w:rPr>
                <w:rFonts w:cs="Arial" w:asciiTheme="minorHAnsi" w:hAnsiTheme="minorHAnsi"/>
                <w:sz w:val="20"/>
              </w:rPr>
            </w:pPr>
            <w:r w:rsidRPr="00E52E7A">
              <w:rPr>
                <w:rFonts w:asciiTheme="minorHAnsi" w:hAnsiTheme="minorHAnsi" w:cstheme="minorHAnsi"/>
                <w:sz w:val="20"/>
              </w:rPr>
              <w:t>Family history of blood disorders</w:t>
            </w:r>
          </w:p>
        </w:tc>
      </w:tr>
      <w:tr w:rsidRPr="00E52E7A" w:rsidR="00273A16" w:rsidTr="004940FB" w14:paraId="02A7A81C" w14:textId="77777777">
        <w:trPr>
          <w:trHeight w:val="276"/>
        </w:trPr>
        <w:tc>
          <w:tcPr>
            <w:tcW w:w="987" w:type="pct"/>
          </w:tcPr>
          <w:p w:rsidRPr="00E52E7A" w:rsidR="004940FB" w:rsidP="004940FB" w:rsidRDefault="004940FB" w14:paraId="32FBEEF9" w14:textId="77777777">
            <w:pPr>
              <w:pStyle w:val="BodyText"/>
              <w:rPr>
                <w:rFonts w:cs="Arial" w:asciiTheme="minorHAnsi" w:hAnsiTheme="minorHAnsi"/>
                <w:b/>
                <w:bCs/>
                <w:sz w:val="20"/>
              </w:rPr>
            </w:pPr>
            <w:r w:rsidRPr="00E52E7A">
              <w:rPr>
                <w:rFonts w:cs="Arial" w:asciiTheme="minorHAnsi" w:hAnsiTheme="minorHAnsi"/>
                <w:b/>
                <w:bCs/>
                <w:sz w:val="20"/>
              </w:rPr>
              <w:t>Drug Interactions</w:t>
            </w:r>
          </w:p>
        </w:tc>
        <w:tc>
          <w:tcPr>
            <w:tcW w:w="4013" w:type="pct"/>
          </w:tcPr>
          <w:p w:rsidRPr="00E52E7A" w:rsidR="004940FB" w:rsidP="004940FB" w:rsidRDefault="004940FB" w14:paraId="060B82DA" w14:textId="77777777">
            <w:pPr>
              <w:pStyle w:val="BodyText"/>
              <w:rPr>
                <w:rFonts w:cs="Arial" w:asciiTheme="minorHAnsi" w:hAnsiTheme="minorHAnsi"/>
                <w:sz w:val="20"/>
              </w:rPr>
            </w:pPr>
          </w:p>
        </w:tc>
      </w:tr>
      <w:tr w:rsidRPr="00E52E7A" w:rsidR="00273A16" w:rsidTr="004940FB" w14:paraId="7ACF7F1B" w14:textId="77777777">
        <w:trPr>
          <w:trHeight w:val="70"/>
        </w:trPr>
        <w:tc>
          <w:tcPr>
            <w:tcW w:w="987" w:type="pct"/>
          </w:tcPr>
          <w:p w:rsidRPr="00E52E7A" w:rsidR="004940FB" w:rsidP="004940FB" w:rsidRDefault="004940FB" w14:paraId="74E8F583" w14:textId="77777777">
            <w:pPr>
              <w:pStyle w:val="BodyText"/>
              <w:rPr>
                <w:rFonts w:cs="Arial" w:asciiTheme="minorHAnsi" w:hAnsiTheme="minorHAnsi"/>
                <w:b/>
                <w:bCs/>
                <w:sz w:val="20"/>
              </w:rPr>
            </w:pPr>
            <w:r w:rsidRPr="00E52E7A">
              <w:rPr>
                <w:rFonts w:cs="Arial" w:asciiTheme="minorHAnsi" w:hAnsiTheme="minorHAnsi"/>
                <w:b/>
                <w:bCs/>
                <w:sz w:val="20"/>
              </w:rPr>
              <w:t xml:space="preserve">Adverse Reactions        </w:t>
            </w:r>
          </w:p>
        </w:tc>
        <w:tc>
          <w:tcPr>
            <w:tcW w:w="4013" w:type="pct"/>
          </w:tcPr>
          <w:p w:rsidRPr="00E52E7A" w:rsidR="004940FB" w:rsidP="004940FB" w:rsidRDefault="004940FB" w14:paraId="281F9D67" w14:textId="77777777">
            <w:pPr>
              <w:pStyle w:val="BodyText"/>
              <w:rPr>
                <w:rFonts w:asciiTheme="minorHAnsi" w:hAnsiTheme="minorHAnsi" w:cstheme="minorHAnsi"/>
                <w:color w:val="000000"/>
                <w:sz w:val="20"/>
                <w:shd w:val="clear" w:color="auto" w:fill="FFFFFF"/>
              </w:rPr>
            </w:pPr>
            <w:r w:rsidRPr="00E52E7A">
              <w:rPr>
                <w:rFonts w:asciiTheme="minorHAnsi" w:hAnsiTheme="minorHAnsi" w:cstheme="minorHAnsi"/>
                <w:color w:val="000000"/>
                <w:sz w:val="20"/>
                <w:shd w:val="clear" w:color="auto" w:fill="FFFFFF"/>
              </w:rPr>
              <w:t>Local irritation e.g. burning, swelling, redness; impaired corneal healing; superinfection; hypersensitivity including sensitisation, urticaria, rash, fever, angioedema, anaphylaxis, blood dyscrasia (rare).</w:t>
            </w:r>
          </w:p>
          <w:p w:rsidRPr="00E52E7A" w:rsidR="004940FB" w:rsidP="004940FB" w:rsidRDefault="004940FB" w14:paraId="5FE637BB" w14:textId="77777777">
            <w:pPr>
              <w:pStyle w:val="BodyText"/>
              <w:rPr>
                <w:rFonts w:cs="Arial" w:asciiTheme="minorHAnsi" w:hAnsiTheme="minorHAnsi"/>
                <w:sz w:val="20"/>
              </w:rPr>
            </w:pPr>
            <w:r w:rsidRPr="00E52E7A">
              <w:rPr>
                <w:rFonts w:asciiTheme="minorHAnsi" w:hAnsiTheme="minorHAnsi" w:cstheme="minorHAnsi"/>
                <w:color w:val="000000"/>
                <w:sz w:val="20"/>
                <w:shd w:val="clear" w:color="auto" w:fill="FFFFFF"/>
              </w:rPr>
              <w:t xml:space="preserve">Acute hepatitis </w:t>
            </w:r>
            <w:r w:rsidRPr="00E52E7A">
              <w:rPr>
                <w:rFonts w:cs="Arial" w:asciiTheme="minorHAnsi" w:hAnsiTheme="minorHAnsi"/>
                <w:sz w:val="20"/>
              </w:rPr>
              <w:t>was reported in an adult following topical chloramphenicol therapy for conjunctivitis.</w:t>
            </w:r>
          </w:p>
          <w:p w:rsidRPr="00E52E7A" w:rsidR="004940FB" w:rsidP="004940FB" w:rsidRDefault="004940FB" w14:paraId="1DF4ED6F" w14:textId="77777777">
            <w:pPr>
              <w:pStyle w:val="BodyText"/>
              <w:rPr>
                <w:rFonts w:asciiTheme="minorHAnsi" w:hAnsiTheme="minorHAnsi" w:cstheme="minorHAnsi"/>
                <w:sz w:val="20"/>
              </w:rPr>
            </w:pPr>
            <w:r w:rsidRPr="00E52E7A">
              <w:rPr>
                <w:rFonts w:asciiTheme="minorHAnsi" w:hAnsiTheme="minorHAnsi" w:cstheme="minorHAnsi"/>
                <w:sz w:val="20"/>
              </w:rPr>
              <w:t>Bone marrow hypoplasia, including aplastic anaemia and death, has been rarely reported following local application of chloramphenicol.</w:t>
            </w:r>
          </w:p>
          <w:p w:rsidRPr="00E52E7A" w:rsidR="004940FB" w:rsidP="004940FB" w:rsidRDefault="004940FB" w14:paraId="58456F66" w14:textId="77777777">
            <w:pPr>
              <w:pStyle w:val="BodyText"/>
              <w:rPr>
                <w:rFonts w:asciiTheme="minorHAnsi" w:hAnsiTheme="minorHAnsi" w:cstheme="minorHAnsi"/>
                <w:sz w:val="20"/>
              </w:rPr>
            </w:pPr>
            <w:r w:rsidRPr="00E52E7A">
              <w:rPr>
                <w:rFonts w:asciiTheme="minorHAnsi" w:hAnsiTheme="minorHAnsi" w:cstheme="minorHAnsi"/>
                <w:sz w:val="20"/>
              </w:rPr>
              <w:t>Overgrowth of non-susceptible organisms.</w:t>
            </w:r>
          </w:p>
        </w:tc>
      </w:tr>
      <w:tr w:rsidRPr="00E52E7A" w:rsidR="00273A16" w:rsidTr="004940FB" w14:paraId="4DC1D9E2" w14:textId="77777777">
        <w:trPr>
          <w:trHeight w:val="83"/>
        </w:trPr>
        <w:tc>
          <w:tcPr>
            <w:tcW w:w="987" w:type="pct"/>
          </w:tcPr>
          <w:p w:rsidRPr="00E52E7A" w:rsidR="004940FB" w:rsidP="004940FB" w:rsidRDefault="004940FB" w14:paraId="054C33F6" w14:textId="77777777">
            <w:pPr>
              <w:pStyle w:val="BodyText"/>
              <w:rPr>
                <w:rFonts w:cs="Arial" w:asciiTheme="minorHAnsi" w:hAnsiTheme="minorHAnsi"/>
                <w:b/>
                <w:bCs/>
                <w:sz w:val="20"/>
              </w:rPr>
            </w:pPr>
            <w:r w:rsidRPr="00E52E7A">
              <w:rPr>
                <w:rFonts w:cs="Arial" w:asciiTheme="minorHAnsi" w:hAnsiTheme="minorHAnsi"/>
                <w:b/>
                <w:bCs/>
                <w:sz w:val="20"/>
              </w:rPr>
              <w:t>Compatibility</w:t>
            </w:r>
          </w:p>
        </w:tc>
        <w:tc>
          <w:tcPr>
            <w:tcW w:w="4013" w:type="pct"/>
          </w:tcPr>
          <w:p w:rsidRPr="00E52E7A" w:rsidR="004940FB" w:rsidP="004940FB" w:rsidRDefault="004940FB" w14:paraId="57720F4D" w14:textId="77777777">
            <w:pPr>
              <w:pStyle w:val="BodyText"/>
              <w:rPr>
                <w:rFonts w:asciiTheme="minorHAnsi" w:hAnsiTheme="minorHAnsi"/>
                <w:sz w:val="20"/>
              </w:rPr>
            </w:pPr>
            <w:r w:rsidRPr="00E52E7A">
              <w:rPr>
                <w:rFonts w:asciiTheme="minorHAnsi" w:hAnsiTheme="minorHAnsi"/>
                <w:sz w:val="20"/>
              </w:rPr>
              <w:t>No information</w:t>
            </w:r>
          </w:p>
        </w:tc>
      </w:tr>
      <w:tr w:rsidRPr="00E52E7A" w:rsidR="00273A16" w:rsidTr="004940FB" w14:paraId="1F71C5FA" w14:textId="77777777">
        <w:trPr>
          <w:trHeight w:val="257"/>
        </w:trPr>
        <w:tc>
          <w:tcPr>
            <w:tcW w:w="987" w:type="pct"/>
          </w:tcPr>
          <w:p w:rsidRPr="00E52E7A" w:rsidR="004940FB" w:rsidP="004940FB" w:rsidRDefault="004940FB" w14:paraId="20D095EF" w14:textId="77777777">
            <w:pPr>
              <w:pStyle w:val="BodyText"/>
              <w:rPr>
                <w:rFonts w:cs="Arial" w:asciiTheme="minorHAnsi" w:hAnsiTheme="minorHAnsi"/>
                <w:b/>
                <w:bCs/>
                <w:sz w:val="20"/>
              </w:rPr>
            </w:pPr>
            <w:r w:rsidRPr="00E52E7A">
              <w:rPr>
                <w:rFonts w:cs="Arial" w:asciiTheme="minorHAnsi" w:hAnsiTheme="minorHAnsi"/>
                <w:b/>
                <w:bCs/>
                <w:sz w:val="20"/>
              </w:rPr>
              <w:t>Incompatibility</w:t>
            </w:r>
          </w:p>
        </w:tc>
        <w:tc>
          <w:tcPr>
            <w:tcW w:w="4013" w:type="pct"/>
          </w:tcPr>
          <w:p w:rsidRPr="00E52E7A" w:rsidR="004940FB" w:rsidP="004940FB" w:rsidRDefault="004940FB" w14:paraId="7D14BBB3" w14:textId="77777777">
            <w:pPr>
              <w:pStyle w:val="BodyText"/>
              <w:rPr>
                <w:rFonts w:cs="Arial" w:asciiTheme="minorHAnsi" w:hAnsiTheme="minorHAnsi"/>
                <w:sz w:val="20"/>
              </w:rPr>
            </w:pPr>
            <w:r w:rsidRPr="00E52E7A">
              <w:rPr>
                <w:rFonts w:cs="Arial" w:asciiTheme="minorHAnsi" w:hAnsiTheme="minorHAnsi"/>
                <w:sz w:val="20"/>
              </w:rPr>
              <w:t>No information</w:t>
            </w:r>
          </w:p>
        </w:tc>
      </w:tr>
      <w:tr w:rsidRPr="00E52E7A" w:rsidR="00273A16" w:rsidTr="004940FB" w14:paraId="4CEFFE85" w14:textId="77777777">
        <w:trPr>
          <w:trHeight w:val="197"/>
        </w:trPr>
        <w:tc>
          <w:tcPr>
            <w:tcW w:w="987" w:type="pct"/>
          </w:tcPr>
          <w:p w:rsidRPr="00E52E7A" w:rsidR="004940FB" w:rsidP="004940FB" w:rsidRDefault="004940FB" w14:paraId="6AC4DCB6" w14:textId="77777777">
            <w:pPr>
              <w:pStyle w:val="BodyText"/>
              <w:rPr>
                <w:rFonts w:cs="Arial" w:asciiTheme="minorHAnsi" w:hAnsiTheme="minorHAnsi"/>
                <w:b/>
                <w:bCs/>
                <w:sz w:val="20"/>
              </w:rPr>
            </w:pPr>
            <w:r w:rsidRPr="00E52E7A">
              <w:rPr>
                <w:rFonts w:cs="Arial" w:asciiTheme="minorHAnsi" w:hAnsiTheme="minorHAnsi"/>
                <w:b/>
                <w:bCs/>
                <w:sz w:val="20"/>
              </w:rPr>
              <w:t xml:space="preserve">Storage             </w:t>
            </w:r>
          </w:p>
        </w:tc>
        <w:tc>
          <w:tcPr>
            <w:tcW w:w="4013" w:type="pct"/>
          </w:tcPr>
          <w:p w:rsidRPr="00E52E7A" w:rsidR="004940FB" w:rsidP="004940FB" w:rsidRDefault="004940FB" w14:paraId="1D542A9B" w14:textId="77777777">
            <w:pPr>
              <w:pStyle w:val="BodyText"/>
              <w:rPr>
                <w:rFonts w:cs="Arial" w:asciiTheme="minorHAnsi" w:hAnsiTheme="minorHAnsi"/>
                <w:sz w:val="20"/>
                <w:u w:val="single"/>
              </w:rPr>
            </w:pPr>
            <w:r w:rsidRPr="00E52E7A">
              <w:rPr>
                <w:rFonts w:cs="Arial" w:asciiTheme="minorHAnsi" w:hAnsiTheme="minorHAnsi"/>
                <w:sz w:val="20"/>
              </w:rPr>
              <w:t>Eye drop: Store unopened bottle at 2</w:t>
            </w:r>
            <w:r>
              <w:rPr>
                <w:rFonts w:cs="Arial" w:asciiTheme="minorHAnsi" w:hAnsiTheme="minorHAnsi"/>
                <w:sz w:val="20"/>
              </w:rPr>
              <w:t>–</w:t>
            </w:r>
            <w:r w:rsidRPr="00E52E7A">
              <w:rPr>
                <w:rFonts w:cs="Arial" w:asciiTheme="minorHAnsi" w:hAnsiTheme="minorHAnsi"/>
                <w:sz w:val="20"/>
              </w:rPr>
              <w:t>8°C. Once opened, bottle may be stored at &lt;25°C for 28 days. Protect from light.</w:t>
            </w:r>
          </w:p>
          <w:p w:rsidRPr="00E52E7A" w:rsidR="004940FB" w:rsidP="004940FB" w:rsidRDefault="004940FB" w14:paraId="40F332C8" w14:textId="77777777">
            <w:pPr>
              <w:pStyle w:val="BodyText"/>
              <w:rPr>
                <w:rFonts w:cs="Arial" w:asciiTheme="minorHAnsi" w:hAnsiTheme="minorHAnsi"/>
                <w:sz w:val="20"/>
              </w:rPr>
            </w:pPr>
            <w:r w:rsidRPr="00E52E7A">
              <w:rPr>
                <w:rFonts w:cs="Arial" w:asciiTheme="minorHAnsi" w:hAnsiTheme="minorHAnsi"/>
                <w:sz w:val="20"/>
              </w:rPr>
              <w:t>Eye Ointment: Store below 25°C. Discard 28 days after opening. Protect from light.</w:t>
            </w:r>
          </w:p>
        </w:tc>
      </w:tr>
      <w:tr w:rsidRPr="00E52E7A" w:rsidR="00273A16" w:rsidTr="004940FB" w14:paraId="3DD9D78E" w14:textId="77777777">
        <w:trPr>
          <w:trHeight w:val="231"/>
        </w:trPr>
        <w:tc>
          <w:tcPr>
            <w:tcW w:w="987" w:type="pct"/>
          </w:tcPr>
          <w:p w:rsidRPr="00E52E7A" w:rsidR="004940FB" w:rsidP="004940FB" w:rsidRDefault="004940FB" w14:paraId="2E040251" w14:textId="77777777">
            <w:pPr>
              <w:pStyle w:val="BodyText"/>
              <w:rPr>
                <w:rFonts w:cs="Arial" w:asciiTheme="minorHAnsi" w:hAnsiTheme="minorHAnsi"/>
                <w:b/>
                <w:bCs/>
                <w:sz w:val="20"/>
              </w:rPr>
            </w:pPr>
            <w:r w:rsidRPr="00E52E7A">
              <w:rPr>
                <w:rFonts w:cs="Arial" w:asciiTheme="minorHAnsi" w:hAnsiTheme="minorHAnsi"/>
                <w:b/>
                <w:bCs/>
                <w:sz w:val="20"/>
              </w:rPr>
              <w:lastRenderedPageBreak/>
              <w:t xml:space="preserve">Special Comments       </w:t>
            </w:r>
          </w:p>
        </w:tc>
        <w:tc>
          <w:tcPr>
            <w:tcW w:w="4013" w:type="pct"/>
          </w:tcPr>
          <w:p w:rsidRPr="00E52E7A" w:rsidR="004940FB" w:rsidP="004940FB" w:rsidRDefault="004940FB" w14:paraId="6AD9BAA2" w14:textId="77777777">
            <w:pPr>
              <w:pStyle w:val="BodyText"/>
              <w:rPr>
                <w:rFonts w:cs="Arial" w:asciiTheme="minorHAnsi" w:hAnsiTheme="minorHAnsi"/>
                <w:sz w:val="20"/>
              </w:rPr>
            </w:pPr>
          </w:p>
        </w:tc>
      </w:tr>
      <w:tr w:rsidRPr="00E52E7A" w:rsidR="00273A16" w:rsidTr="004940FB" w14:paraId="60041093" w14:textId="77777777">
        <w:trPr>
          <w:trHeight w:val="74"/>
        </w:trPr>
        <w:tc>
          <w:tcPr>
            <w:tcW w:w="987" w:type="pct"/>
          </w:tcPr>
          <w:p w:rsidRPr="00E52E7A" w:rsidR="004940FB" w:rsidP="004940FB" w:rsidRDefault="004940FB" w14:paraId="692F426B" w14:textId="77777777">
            <w:pPr>
              <w:pStyle w:val="BodyText"/>
              <w:rPr>
                <w:rFonts w:cs="Arial" w:asciiTheme="minorHAnsi" w:hAnsiTheme="minorHAnsi"/>
                <w:b/>
                <w:bCs/>
                <w:sz w:val="20"/>
              </w:rPr>
            </w:pPr>
            <w:r w:rsidRPr="00E52E7A">
              <w:rPr>
                <w:rFonts w:cs="Arial" w:asciiTheme="minorHAnsi" w:hAnsiTheme="minorHAnsi"/>
                <w:b/>
                <w:bCs/>
                <w:sz w:val="20"/>
              </w:rPr>
              <w:t>Evidence summary</w:t>
            </w:r>
          </w:p>
        </w:tc>
        <w:tc>
          <w:tcPr>
            <w:tcW w:w="4013" w:type="pct"/>
          </w:tcPr>
          <w:p w:rsidRPr="00E52E7A" w:rsidR="004940FB" w:rsidP="004940FB" w:rsidRDefault="004940FB" w14:paraId="5513E8EC" w14:textId="77777777">
            <w:pPr>
              <w:pStyle w:val="BodyText"/>
              <w:tabs>
                <w:tab w:val="left" w:pos="1168"/>
              </w:tabs>
              <w:rPr>
                <w:rFonts w:cs="Arial" w:asciiTheme="minorHAnsi" w:hAnsiTheme="minorHAnsi"/>
                <w:b/>
                <w:bCs/>
                <w:sz w:val="20"/>
              </w:rPr>
            </w:pPr>
            <w:r w:rsidRPr="00E52E7A">
              <w:rPr>
                <w:rFonts w:cs="Arial" w:asciiTheme="minorHAnsi" w:hAnsiTheme="minorHAnsi"/>
                <w:b/>
                <w:bCs/>
                <w:sz w:val="20"/>
              </w:rPr>
              <w:t>Efficacy</w:t>
            </w:r>
          </w:p>
          <w:p w:rsidRPr="00E52E7A" w:rsidR="004940FB" w:rsidP="004940FB" w:rsidRDefault="004940FB" w14:paraId="77DB8EB5" w14:textId="77777777">
            <w:pPr>
              <w:pStyle w:val="BodyText"/>
              <w:tabs>
                <w:tab w:val="left" w:pos="1168"/>
              </w:tabs>
              <w:rPr>
                <w:rFonts w:cs="Arial" w:asciiTheme="minorHAnsi" w:hAnsiTheme="minorHAnsi"/>
                <w:bCs/>
                <w:sz w:val="20"/>
              </w:rPr>
            </w:pPr>
            <w:r w:rsidRPr="00E52E7A">
              <w:rPr>
                <w:rFonts w:cs="Arial" w:asciiTheme="minorHAnsi" w:hAnsiTheme="minorHAnsi"/>
                <w:bCs/>
                <w:sz w:val="20"/>
              </w:rPr>
              <w:t xml:space="preserve">Chloramphenicol inhibits bacterial protein synthesis </w:t>
            </w:r>
            <w:r w:rsidRPr="00E52E7A">
              <w:rPr>
                <w:rFonts w:cs="Arial" w:asciiTheme="minorHAnsi" w:hAnsiTheme="minorHAnsi"/>
                <w:bCs/>
                <w:noProof/>
                <w:sz w:val="20"/>
              </w:rPr>
              <w:t>[1]</w:t>
            </w:r>
            <w:r w:rsidRPr="00E52E7A">
              <w:rPr>
                <w:rFonts w:cs="Arial" w:asciiTheme="minorHAnsi" w:hAnsiTheme="minorHAnsi"/>
                <w:bCs/>
                <w:sz w:val="20"/>
              </w:rPr>
              <w:t xml:space="preserve">. It is bacteriostatic, with a relatively broad spectrum against most Gram-positive and Gram-negative bacteria. Uncommon occurrences of acquired resistance are caused by enzyme inactivation. </w:t>
            </w:r>
          </w:p>
          <w:p w:rsidRPr="00E52E7A" w:rsidR="004940FB" w:rsidP="004940FB" w:rsidRDefault="004940FB" w14:paraId="3CFEA1F3" w14:textId="77777777">
            <w:pPr>
              <w:pStyle w:val="BodyText"/>
              <w:tabs>
                <w:tab w:val="left" w:pos="1168"/>
              </w:tabs>
              <w:rPr>
                <w:rFonts w:cs="Arial" w:asciiTheme="minorHAnsi" w:hAnsiTheme="minorHAnsi"/>
                <w:b/>
                <w:i/>
                <w:sz w:val="20"/>
              </w:rPr>
            </w:pPr>
            <w:r w:rsidRPr="00E52E7A">
              <w:rPr>
                <w:rFonts w:cs="Arial" w:asciiTheme="minorHAnsi" w:hAnsiTheme="minorHAnsi"/>
                <w:b/>
                <w:i/>
                <w:sz w:val="20"/>
              </w:rPr>
              <w:t xml:space="preserve">Topical treatment of bacterial conjunctivitis versus placebo: </w:t>
            </w:r>
          </w:p>
          <w:p w:rsidRPr="00E52E7A" w:rsidR="004940FB" w:rsidP="004940FB" w:rsidRDefault="004940FB" w14:paraId="0F97CC36" w14:textId="77777777">
            <w:pPr>
              <w:pStyle w:val="BodyText"/>
              <w:tabs>
                <w:tab w:val="left" w:pos="1168"/>
              </w:tabs>
              <w:rPr>
                <w:rFonts w:cs="Arial" w:asciiTheme="minorHAnsi" w:hAnsiTheme="minorHAnsi"/>
                <w:sz w:val="20"/>
              </w:rPr>
            </w:pPr>
            <w:r w:rsidRPr="00E52E7A">
              <w:rPr>
                <w:rFonts w:cs="Arial" w:asciiTheme="minorHAnsi" w:hAnsiTheme="minorHAnsi"/>
                <w:sz w:val="20"/>
              </w:rPr>
              <w:t xml:space="preserve">Sheikh et al </w:t>
            </w:r>
            <w:r w:rsidRPr="00E52E7A">
              <w:rPr>
                <w:rFonts w:cs="Arial" w:asciiTheme="minorHAnsi" w:hAnsiTheme="minorHAnsi"/>
                <w:noProof/>
                <w:sz w:val="20"/>
              </w:rPr>
              <w:t>[2]</w:t>
            </w:r>
            <w:r w:rsidRPr="00E52E7A">
              <w:rPr>
                <w:rFonts w:cs="Arial" w:asciiTheme="minorHAnsi" w:hAnsiTheme="minorHAnsi"/>
                <w:sz w:val="20"/>
              </w:rPr>
              <w:t xml:space="preserve"> performed a meta-analysis on the efficacy of topical antibiotics for acute bacterial conjunctivitis. Study participants were aged one month or older. Topical antibiotics were of benefit in improving early clinical (day two to five) (RR 1.36, 95% CI 1.15 to 1.61) and microbiological (RR 1.55, 95% CI 1.37 to 1.76) remission rates, as well as late clinical (days six to 10) (RR 1.21, 95% CI 1.10 to 1.33) and microbiological (RR 1.37, 95% CI 1.24 to 1.52) cure rates. By day six to 10, 41% (95%CI 38 to 43) of cases had resolved in those receiving placebo. No serious outcomes were reported. A single trial compared the effect of 0.5% chloramphenicol (1 drop in the affected eye every 2 hours for first 24 hours and 4 times a day until 48 hours after the clinical resolution) versus placebo (boric acid/borax) </w:t>
            </w:r>
            <w:r w:rsidRPr="00E52E7A">
              <w:rPr>
                <w:rFonts w:cs="Arial" w:asciiTheme="minorHAnsi" w:hAnsiTheme="minorHAnsi"/>
                <w:noProof/>
                <w:sz w:val="20"/>
              </w:rPr>
              <w:t>[3]</w:t>
            </w:r>
            <w:r w:rsidRPr="00E52E7A">
              <w:rPr>
                <w:rFonts w:cs="Arial" w:asciiTheme="minorHAnsi" w:hAnsiTheme="minorHAnsi"/>
                <w:sz w:val="20"/>
              </w:rPr>
              <w:t xml:space="preserve"> in children aged 6 months to 12 years with infective conjunctivitis in primary care. There was no significant difference in clinical cure by day 7 (83% for placebo versus 86% with chloramphenicol), with seven (4%) children with chloramphenicol and five (3%) with placebo having further conjunctivitis episodes within 6 weeks. Adverse events were uncommon (2% in each group). [LOE II] Fukuda et al 2002 reported chloramphenicol eye drop treatment of elderly patients with methicillin resistant staphylococcus aureus (MRSA) ocular surface infections had an efficacy rate of 81% </w:t>
            </w:r>
            <w:r w:rsidRPr="00E52E7A">
              <w:rPr>
                <w:rFonts w:cs="Arial" w:asciiTheme="minorHAnsi" w:hAnsiTheme="minorHAnsi"/>
                <w:noProof/>
                <w:sz w:val="20"/>
              </w:rPr>
              <w:t>[4]</w:t>
            </w:r>
            <w:r w:rsidRPr="00E52E7A">
              <w:rPr>
                <w:rFonts w:cs="Arial" w:asciiTheme="minorHAnsi" w:hAnsiTheme="minorHAnsi"/>
                <w:sz w:val="20"/>
              </w:rPr>
              <w:t>. [LOE IV]</w:t>
            </w:r>
          </w:p>
          <w:p w:rsidRPr="00E52E7A" w:rsidR="004940FB" w:rsidP="004940FB" w:rsidRDefault="004940FB" w14:paraId="4D81DA6E" w14:textId="77777777">
            <w:pPr>
              <w:pStyle w:val="BodyText"/>
              <w:tabs>
                <w:tab w:val="left" w:pos="1168"/>
              </w:tabs>
              <w:rPr>
                <w:rFonts w:cs="Arial" w:asciiTheme="minorHAnsi" w:hAnsiTheme="minorHAnsi"/>
                <w:b/>
                <w:i/>
                <w:sz w:val="20"/>
              </w:rPr>
            </w:pPr>
            <w:r w:rsidRPr="00E52E7A">
              <w:rPr>
                <w:rFonts w:cs="Arial" w:asciiTheme="minorHAnsi" w:hAnsiTheme="minorHAnsi"/>
                <w:b/>
                <w:i/>
                <w:sz w:val="20"/>
              </w:rPr>
              <w:t xml:space="preserve">Topical chloramphenicol versus other antibiotic for bacterial conjunctivitis: </w:t>
            </w:r>
          </w:p>
          <w:p w:rsidRPr="00E52E7A" w:rsidR="004940FB" w:rsidP="004940FB" w:rsidRDefault="004940FB" w14:paraId="09A58B40" w14:textId="77777777">
            <w:pPr>
              <w:pStyle w:val="BodyText"/>
              <w:tabs>
                <w:tab w:val="left" w:pos="1168"/>
              </w:tabs>
              <w:rPr>
                <w:rFonts w:cs="Arial" w:asciiTheme="minorHAnsi" w:hAnsiTheme="minorHAnsi"/>
                <w:sz w:val="20"/>
              </w:rPr>
            </w:pPr>
            <w:r w:rsidRPr="00E52E7A">
              <w:rPr>
                <w:rFonts w:cs="Arial" w:asciiTheme="minorHAnsi" w:hAnsiTheme="minorHAnsi"/>
                <w:sz w:val="20"/>
              </w:rPr>
              <w:t xml:space="preserve">Normann et al 2002, in an RCT compared 1% </w:t>
            </w:r>
            <w:r>
              <w:rPr>
                <w:rFonts w:cs="Arial" w:asciiTheme="minorHAnsi" w:hAnsiTheme="minorHAnsi"/>
                <w:sz w:val="20"/>
              </w:rPr>
              <w:t>f</w:t>
            </w:r>
            <w:r w:rsidRPr="00E52E7A">
              <w:rPr>
                <w:rFonts w:cs="Arial" w:asciiTheme="minorHAnsi" w:hAnsiTheme="minorHAnsi"/>
                <w:sz w:val="20"/>
              </w:rPr>
              <w:t xml:space="preserve">usidic acid twice a day versus 0.5% chloramphenicol eye drops six times a day in 456 neonates with a clinical diagnosis of acute bacterial conjunctivitis. Clinical cure rate was not significantly different (62.2% with fusidic acid versus 64.7% with chloramphenicol). Clinical compliance was better with fusidic acid (90.7% versus 78.0%).  </w:t>
            </w:r>
          </w:p>
          <w:p w:rsidRPr="00E52E7A" w:rsidR="004940FB" w:rsidP="004940FB" w:rsidRDefault="004940FB" w14:paraId="2EDBCF32" w14:textId="77777777">
            <w:pPr>
              <w:pStyle w:val="BodyText"/>
              <w:tabs>
                <w:tab w:val="left" w:pos="1168"/>
              </w:tabs>
              <w:rPr>
                <w:rFonts w:cs="Arial" w:asciiTheme="minorHAnsi" w:hAnsiTheme="minorHAnsi"/>
                <w:sz w:val="20"/>
              </w:rPr>
            </w:pPr>
            <w:r w:rsidRPr="00E52E7A">
              <w:rPr>
                <w:rFonts w:cs="Arial" w:asciiTheme="minorHAnsi" w:hAnsiTheme="minorHAnsi"/>
                <w:sz w:val="20"/>
              </w:rPr>
              <w:t xml:space="preserve">A review identified five trials that compared chloramphenicol versus fusidic acid eye drops in patients with bacterial conjunctivitis </w:t>
            </w:r>
            <w:r w:rsidRPr="00E52E7A">
              <w:rPr>
                <w:rFonts w:cs="Arial" w:asciiTheme="minorHAnsi" w:hAnsiTheme="minorHAnsi"/>
                <w:noProof/>
                <w:sz w:val="20"/>
              </w:rPr>
              <w:t>[5]</w:t>
            </w:r>
            <w:r w:rsidRPr="00E52E7A">
              <w:rPr>
                <w:rFonts w:cs="Arial" w:asciiTheme="minorHAnsi" w:hAnsiTheme="minorHAnsi"/>
                <w:sz w:val="20"/>
              </w:rPr>
              <w:t xml:space="preserve">. Three of the five studies reported no difference in effectiveness between the two preparations with both drugs performing equally well </w:t>
            </w:r>
            <w:r w:rsidRPr="00E52E7A">
              <w:rPr>
                <w:rFonts w:cs="Arial" w:asciiTheme="minorHAnsi" w:hAnsiTheme="minorHAnsi"/>
                <w:noProof/>
                <w:sz w:val="20"/>
              </w:rPr>
              <w:t>[6-8]</w:t>
            </w:r>
            <w:r w:rsidRPr="00E52E7A">
              <w:rPr>
                <w:rFonts w:cs="Arial" w:asciiTheme="minorHAnsi" w:hAnsiTheme="minorHAnsi"/>
                <w:sz w:val="20"/>
              </w:rPr>
              <w:t xml:space="preserve">. Two studies undertaken in less-developed countries showed fusidic acid to be far more effective but the cure rate with chloramphenicol was low, suggesting resistance or different causal agents </w:t>
            </w:r>
            <w:r w:rsidRPr="00E52E7A">
              <w:rPr>
                <w:rFonts w:cs="Arial" w:asciiTheme="minorHAnsi" w:hAnsiTheme="minorHAnsi"/>
                <w:noProof/>
                <w:sz w:val="20"/>
              </w:rPr>
              <w:t>[9, 10]</w:t>
            </w:r>
            <w:r w:rsidRPr="00E52E7A">
              <w:rPr>
                <w:rFonts w:cs="Arial" w:asciiTheme="minorHAnsi" w:hAnsiTheme="minorHAnsi"/>
                <w:sz w:val="20"/>
              </w:rPr>
              <w:t>. [LOE II, GOR C]</w:t>
            </w:r>
          </w:p>
          <w:p w:rsidRPr="00E52E7A" w:rsidR="004940FB" w:rsidP="004940FB" w:rsidRDefault="004940FB" w14:paraId="41A88CCD" w14:textId="77777777">
            <w:pPr>
              <w:pStyle w:val="BodyText"/>
              <w:tabs>
                <w:tab w:val="left" w:pos="1168"/>
              </w:tabs>
              <w:rPr>
                <w:rFonts w:cs="Arial" w:asciiTheme="minorHAnsi" w:hAnsiTheme="minorHAnsi"/>
                <w:sz w:val="20"/>
              </w:rPr>
            </w:pPr>
            <w:r w:rsidRPr="00E52E7A">
              <w:rPr>
                <w:rFonts w:cs="Arial" w:asciiTheme="minorHAnsi" w:hAnsiTheme="minorHAnsi"/>
                <w:sz w:val="20"/>
              </w:rPr>
              <w:t xml:space="preserve">Fusidic acid eye drops are not available in Australia. </w:t>
            </w:r>
          </w:p>
          <w:p w:rsidRPr="00E52E7A" w:rsidR="004940FB" w:rsidP="004940FB" w:rsidRDefault="004940FB" w14:paraId="7A2E73EE" w14:textId="77777777">
            <w:pPr>
              <w:pStyle w:val="BodyText"/>
              <w:tabs>
                <w:tab w:val="left" w:pos="1168"/>
              </w:tabs>
              <w:rPr>
                <w:rFonts w:cs="Arial" w:asciiTheme="minorHAnsi" w:hAnsiTheme="minorHAnsi"/>
                <w:b/>
                <w:sz w:val="20"/>
              </w:rPr>
            </w:pPr>
            <w:r w:rsidRPr="00E52E7A">
              <w:rPr>
                <w:rFonts w:cs="Arial" w:asciiTheme="minorHAnsi" w:hAnsiTheme="minorHAnsi"/>
                <w:b/>
                <w:sz w:val="20"/>
              </w:rPr>
              <w:t>Safety</w:t>
            </w:r>
          </w:p>
          <w:p w:rsidRPr="00E52E7A" w:rsidR="004940FB" w:rsidP="004940FB" w:rsidRDefault="004940FB" w14:paraId="63225B08" w14:textId="77777777">
            <w:pPr>
              <w:pStyle w:val="BodyText"/>
              <w:tabs>
                <w:tab w:val="left" w:pos="1168"/>
              </w:tabs>
              <w:rPr>
                <w:rFonts w:cs="Arial" w:asciiTheme="minorHAnsi" w:hAnsiTheme="minorHAnsi"/>
                <w:sz w:val="20"/>
              </w:rPr>
            </w:pPr>
            <w:r w:rsidRPr="00E52E7A">
              <w:rPr>
                <w:rFonts w:cs="Arial" w:asciiTheme="minorHAnsi" w:hAnsiTheme="minorHAnsi"/>
                <w:sz w:val="20"/>
              </w:rPr>
              <w:t xml:space="preserve">Adverse effects were uncommon in trials of topical eye drops </w:t>
            </w:r>
            <w:r w:rsidRPr="00E52E7A">
              <w:rPr>
                <w:rFonts w:cs="Arial" w:asciiTheme="minorHAnsi" w:hAnsiTheme="minorHAnsi"/>
                <w:noProof/>
                <w:sz w:val="20"/>
              </w:rPr>
              <w:t>[2]</w:t>
            </w:r>
            <w:r w:rsidRPr="00E52E7A">
              <w:rPr>
                <w:rFonts w:cs="Arial" w:asciiTheme="minorHAnsi" w:hAnsiTheme="minorHAnsi"/>
                <w:sz w:val="20"/>
              </w:rPr>
              <w:t xml:space="preserve">. Aplastic anaemia </w:t>
            </w:r>
            <w:r w:rsidRPr="00E52E7A">
              <w:rPr>
                <w:rFonts w:cs="Arial" w:asciiTheme="minorHAnsi" w:hAnsiTheme="minorHAnsi"/>
                <w:noProof/>
                <w:sz w:val="20"/>
              </w:rPr>
              <w:t>[11, 12]</w:t>
            </w:r>
            <w:r w:rsidRPr="00E52E7A">
              <w:rPr>
                <w:rFonts w:cs="Arial" w:asciiTheme="minorHAnsi" w:hAnsiTheme="minorHAnsi"/>
                <w:sz w:val="20"/>
              </w:rPr>
              <w:t xml:space="preserve">, erythema multiforme </w:t>
            </w:r>
            <w:r w:rsidRPr="00E52E7A">
              <w:rPr>
                <w:rFonts w:cs="Arial" w:asciiTheme="minorHAnsi" w:hAnsiTheme="minorHAnsi"/>
                <w:noProof/>
                <w:sz w:val="20"/>
              </w:rPr>
              <w:t>[13]</w:t>
            </w:r>
            <w:r w:rsidRPr="00E52E7A">
              <w:rPr>
                <w:rFonts w:cs="Arial" w:asciiTheme="minorHAnsi" w:hAnsiTheme="minorHAnsi"/>
                <w:sz w:val="20"/>
              </w:rPr>
              <w:t xml:space="preserve"> and drug</w:t>
            </w:r>
            <w:r>
              <w:rPr>
                <w:rFonts w:cs="Arial" w:asciiTheme="minorHAnsi" w:hAnsiTheme="minorHAnsi"/>
                <w:sz w:val="20"/>
              </w:rPr>
              <w:t>-</w:t>
            </w:r>
            <w:r w:rsidRPr="00E52E7A">
              <w:rPr>
                <w:rFonts w:cs="Arial" w:asciiTheme="minorHAnsi" w:hAnsiTheme="minorHAnsi"/>
                <w:sz w:val="20"/>
              </w:rPr>
              <w:t xml:space="preserve">induced hepatitis </w:t>
            </w:r>
            <w:r w:rsidRPr="00E52E7A">
              <w:rPr>
                <w:rFonts w:cs="Arial" w:asciiTheme="minorHAnsi" w:hAnsiTheme="minorHAnsi"/>
                <w:noProof/>
                <w:sz w:val="20"/>
              </w:rPr>
              <w:t>[14]</w:t>
            </w:r>
            <w:r w:rsidRPr="00E52E7A">
              <w:rPr>
                <w:rFonts w:cs="Arial" w:asciiTheme="minorHAnsi" w:hAnsiTheme="minorHAnsi"/>
                <w:sz w:val="20"/>
              </w:rPr>
              <w:t xml:space="preserve"> have been reported associated with use of topical chloramphenicol, although all are rare and causality uncertain </w:t>
            </w:r>
            <w:r w:rsidRPr="00E52E7A">
              <w:rPr>
                <w:rFonts w:cs="Arial" w:asciiTheme="minorHAnsi" w:hAnsiTheme="minorHAnsi"/>
                <w:noProof/>
                <w:sz w:val="20"/>
              </w:rPr>
              <w:t>[1]</w:t>
            </w:r>
            <w:r w:rsidRPr="00E52E7A">
              <w:rPr>
                <w:rFonts w:cs="Arial" w:asciiTheme="minorHAnsi" w:hAnsiTheme="minorHAnsi"/>
                <w:sz w:val="20"/>
              </w:rPr>
              <w:t>.</w:t>
            </w:r>
          </w:p>
          <w:p w:rsidRPr="00E52E7A" w:rsidR="004940FB" w:rsidP="004940FB" w:rsidRDefault="004940FB" w14:paraId="380B3F90" w14:textId="77777777">
            <w:pPr>
              <w:pStyle w:val="BodyText"/>
              <w:tabs>
                <w:tab w:val="left" w:pos="1168"/>
              </w:tabs>
              <w:rPr>
                <w:rFonts w:cs="Arial" w:asciiTheme="minorHAnsi" w:hAnsiTheme="minorHAnsi"/>
                <w:sz w:val="20"/>
              </w:rPr>
            </w:pPr>
            <w:r w:rsidRPr="00E52E7A">
              <w:rPr>
                <w:rFonts w:cs="Arial" w:asciiTheme="minorHAnsi" w:hAnsiTheme="minorHAnsi"/>
                <w:sz w:val="20"/>
              </w:rPr>
              <w:t>Chloramphenicol is not effective for the prevention or treatment of gonococcal or chlamydia ophthalmia neonatorum and may mask clinical signs and delay the diagnosis of gonococc</w:t>
            </w:r>
            <w:r>
              <w:rPr>
                <w:rFonts w:cs="Arial" w:asciiTheme="minorHAnsi" w:hAnsiTheme="minorHAnsi"/>
                <w:sz w:val="20"/>
              </w:rPr>
              <w:t>us</w:t>
            </w:r>
            <w:r w:rsidRPr="00E52E7A">
              <w:rPr>
                <w:rFonts w:cs="Arial" w:asciiTheme="minorHAnsi" w:hAnsiTheme="minorHAnsi"/>
                <w:sz w:val="20"/>
              </w:rPr>
              <w:t xml:space="preserve"> and chlamydia </w:t>
            </w:r>
            <w:r w:rsidRPr="00E52E7A">
              <w:rPr>
                <w:rFonts w:cs="Arial" w:asciiTheme="minorHAnsi" w:hAnsiTheme="minorHAnsi"/>
                <w:noProof/>
                <w:sz w:val="20"/>
              </w:rPr>
              <w:t>[15-18]</w:t>
            </w:r>
            <w:r w:rsidRPr="00E52E7A">
              <w:rPr>
                <w:rFonts w:cs="Arial" w:asciiTheme="minorHAnsi" w:hAnsiTheme="minorHAnsi"/>
                <w:sz w:val="20"/>
              </w:rPr>
              <w:t>.</w:t>
            </w:r>
          </w:p>
          <w:p w:rsidRPr="00E52E7A" w:rsidR="004940FB" w:rsidP="004940FB" w:rsidRDefault="004940FB" w14:paraId="2292423E" w14:textId="77777777">
            <w:pPr>
              <w:pStyle w:val="BodyText"/>
              <w:tabs>
                <w:tab w:val="left" w:pos="1168"/>
              </w:tabs>
              <w:rPr>
                <w:rFonts w:cs="Arial" w:asciiTheme="minorHAnsi" w:hAnsiTheme="minorHAnsi"/>
                <w:sz w:val="20"/>
              </w:rPr>
            </w:pPr>
            <w:r w:rsidRPr="00E52E7A">
              <w:rPr>
                <w:rFonts w:cs="Arial" w:asciiTheme="minorHAnsi" w:hAnsiTheme="minorHAnsi"/>
                <w:b/>
                <w:sz w:val="20"/>
              </w:rPr>
              <w:t>Conclusion:</w:t>
            </w:r>
            <w:r w:rsidRPr="00E52E7A">
              <w:rPr>
                <w:rFonts w:cs="Arial" w:asciiTheme="minorHAnsi" w:hAnsiTheme="minorHAnsi"/>
                <w:sz w:val="20"/>
              </w:rPr>
              <w:t xml:space="preserve"> Most children presenting with acute infective conjunctivitis in primary care will get better without topical antibiotic treatment. </w:t>
            </w:r>
            <w:r>
              <w:rPr>
                <w:rFonts w:cs="Arial" w:asciiTheme="minorHAnsi" w:hAnsiTheme="minorHAnsi"/>
                <w:sz w:val="20"/>
              </w:rPr>
              <w:t>Moreover</w:t>
            </w:r>
            <w:r w:rsidRPr="00E52E7A">
              <w:rPr>
                <w:rFonts w:cs="Arial" w:asciiTheme="minorHAnsi" w:hAnsiTheme="minorHAnsi"/>
                <w:sz w:val="20"/>
              </w:rPr>
              <w:t xml:space="preserve">, failure of clinical cure is frequent with chloramphenicol. Treatment should be guided by microbiological testing including for chlamydia and gonococcus if clinically indicated or in areas of increased prevalence prior to initiation of eye drops. </w:t>
            </w:r>
          </w:p>
        </w:tc>
      </w:tr>
      <w:tr w:rsidRPr="0071042A" w:rsidR="00273A16" w:rsidTr="004940FB" w14:paraId="4112C568" w14:textId="77777777">
        <w:trPr>
          <w:trHeight w:val="361"/>
        </w:trPr>
        <w:tc>
          <w:tcPr>
            <w:tcW w:w="987" w:type="pct"/>
          </w:tcPr>
          <w:p w:rsidRPr="00E52E7A" w:rsidR="004940FB" w:rsidP="004940FB" w:rsidRDefault="004940FB" w14:paraId="16FCBF41" w14:textId="77777777">
            <w:pPr>
              <w:pStyle w:val="BodyText"/>
              <w:rPr>
                <w:rFonts w:cs="Arial" w:asciiTheme="minorHAnsi" w:hAnsiTheme="minorHAnsi"/>
                <w:b/>
                <w:bCs/>
                <w:sz w:val="20"/>
              </w:rPr>
            </w:pPr>
            <w:r w:rsidRPr="00E52E7A">
              <w:rPr>
                <w:rFonts w:asciiTheme="minorHAnsi" w:hAnsiTheme="minorHAnsi"/>
                <w:b/>
                <w:sz w:val="20"/>
              </w:rPr>
              <w:t>References</w:t>
            </w:r>
          </w:p>
        </w:tc>
        <w:tc>
          <w:tcPr>
            <w:tcW w:w="4013" w:type="pct"/>
          </w:tcPr>
          <w:p w:rsidRPr="0071042A" w:rsidR="004940FB" w:rsidP="001B0E05" w:rsidRDefault="004940FB" w14:paraId="7941F102"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Robert PY, Adenis JP. Comparative review of topical ophthalmic antibacterial preparations. Drugs. 2001;61:175-85.</w:t>
            </w:r>
          </w:p>
          <w:p w:rsidRPr="0071042A" w:rsidR="004940FB" w:rsidP="001B0E05" w:rsidRDefault="004940FB" w14:paraId="71C7D61B"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Sheikh A, Hurwitz B, van Schayck CP, McLean S, Nurmatov U. Antibiotics versus placebo for acute bacterial conjunctivitis. Cochrane database of systematic reviews (Online). 2012;9:CD001211.</w:t>
            </w:r>
          </w:p>
          <w:p w:rsidRPr="0071042A" w:rsidR="004940FB" w:rsidP="001B0E05" w:rsidRDefault="004940FB" w14:paraId="1A6DB7BB"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Rose PW, Harnden A, Brueggemann AB, Perera R, Sheikh A, Crook D, Mant D. Chloramphenicol treatment for acute infective conjunctivitis in children in primary care: A randomised double-blind placebo-controlled trial. Lancet. 2005;366:37-43.</w:t>
            </w:r>
          </w:p>
          <w:p w:rsidRPr="0071042A" w:rsidR="004940FB" w:rsidP="001B0E05" w:rsidRDefault="004940FB" w14:paraId="7E2E4663"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lastRenderedPageBreak/>
              <w:t>Fukuda M, Ohashi H, Matsumoto C, Mishima S, Shimomura Y. Methicillin-resistant Staphylococcus aureus and methicillin-resistant coagulase-negative Staphylococcus ocular surface infection: Efficacy of chloramphenicol eye drops. Cornea. 2002;21:S86-S9.</w:t>
            </w:r>
          </w:p>
          <w:p w:rsidRPr="0071042A" w:rsidR="004940FB" w:rsidP="001B0E05" w:rsidRDefault="004940FB" w14:paraId="504F52C7"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Griffiths P. What type of eye drops should be given to a toddler with conjunctivitis? British journal of community nursing. 2003;8:364-8.</w:t>
            </w:r>
          </w:p>
          <w:p w:rsidRPr="0071042A" w:rsidR="004940FB" w:rsidP="001B0E05" w:rsidRDefault="004940FB" w14:paraId="0E277E3A"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Horven I. Acute conjuctivitis. A comparison of fusidic acid viscous eye drops and chloramphenicol. Acta Ophthalmologica. 1993;71:165-8.</w:t>
            </w:r>
          </w:p>
          <w:p w:rsidRPr="0071042A" w:rsidR="004940FB" w:rsidP="001B0E05" w:rsidRDefault="004940FB" w14:paraId="1C223A0F"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Hvidberg J. Fusidic acid in acute conjunctivitis. Single-blind, randomized comparison of fusidic acid and chloramphenicol viscous eye drops. Acta Ophthalmologica. 1987;65:43-7.</w:t>
            </w:r>
          </w:p>
          <w:p w:rsidRPr="0071042A" w:rsidR="004940FB" w:rsidP="001B0E05" w:rsidRDefault="004940FB" w14:paraId="681A13C2"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Normann EK, Bakken O, Peltola J, Andreasson B, Buhl S, Sigg P, Nielsen K. Treatment of acute neonatal bacterial conjunctivitis: A comparison of fucidic acid to chloramphenicol eye drops. Acta Ophthalmologica Scandinavica. 2002;80:183-7.</w:t>
            </w:r>
          </w:p>
          <w:p w:rsidRPr="0071042A" w:rsidR="004940FB" w:rsidP="001B0E05" w:rsidRDefault="004940FB" w14:paraId="4B74F02A"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Dirdal M. Fucithalmic in acute conjunctivitis. Open, randomized comparison of fusidic acid, chloramphenicol and framycetin eye drops. Acta Ophthalmologica. 1987;65:129-33.</w:t>
            </w:r>
          </w:p>
          <w:p w:rsidRPr="0071042A" w:rsidR="004940FB" w:rsidP="001B0E05" w:rsidRDefault="004940FB" w14:paraId="602E4A4E"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Van Bijsterveld OP, El Batawi Y, Sobhi FS, Nassar MW. Fusidic acid in infections of the external eye. Infection. 1987;15:16-9.</w:t>
            </w:r>
          </w:p>
          <w:p w:rsidRPr="0071042A" w:rsidR="004940FB" w:rsidP="001B0E05" w:rsidRDefault="004940FB" w14:paraId="6AE58460"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Laporte JR, Vidal X, Ballarin E, Ibanez L. Possible association between ocular chloramphenicol and aplastic anaemia - The absolute risk is very low. British Journal of Clinical Pharmacology. 1998;46:181-4.</w:t>
            </w:r>
          </w:p>
          <w:p w:rsidRPr="0071042A" w:rsidR="004940FB" w:rsidP="001B0E05" w:rsidRDefault="004940FB" w14:paraId="02144240"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Walker S, Diaper CJM, Bowman R, Sweeney G, Seal DV, Kirkness CM. Lack of evidence for systemic toxicity following topical chloramphenicol use. Eye. 1998;12:875-9.</w:t>
            </w:r>
          </w:p>
          <w:p w:rsidRPr="0071042A" w:rsidR="004940FB" w:rsidP="001B0E05" w:rsidRDefault="004940FB" w14:paraId="5E3E4FF7"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Amichai B, Grunwald MH, Halevy S. Erythema multiforme resulting from chloramphenicol in eye drops: Confirmation by mast cell degranulation test. Annals of Ophthalmology - Glaucoma. 1998;30:225-7.</w:t>
            </w:r>
          </w:p>
          <w:p w:rsidRPr="0071042A" w:rsidR="004940FB" w:rsidP="001B0E05" w:rsidRDefault="004940FB" w14:paraId="178E91D9"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Doshi B, Sarkar S. Drug point: Topical administration of chloramphenicol can induce acute hepatitis. BMJ (Online). 2009;339:574.</w:t>
            </w:r>
          </w:p>
          <w:p w:rsidRPr="0071042A" w:rsidR="004940FB" w:rsidP="001B0E05" w:rsidRDefault="004940FB" w14:paraId="537DF784"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Darling EK, McDonald H. A Meta-analysis of the Efficacy of Ocular Prophylactic Agents Used for the Prevention of Gonococcal and Chlamydial Ophthalmia Neonatorum. Journal of Midwifery and Women's Health. 2010;55:319-27.</w:t>
            </w:r>
          </w:p>
          <w:p w:rsidRPr="0071042A" w:rsidR="004940FB" w:rsidP="001B0E05" w:rsidRDefault="004940FB" w14:paraId="228D59F2"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Schofield CBS, Shanks RA. Gonococcal ophthalmia neonatoriun despite treatment with antibacterial eye drops. British Medical Journal. 1971;1:257-9.</w:t>
            </w:r>
          </w:p>
          <w:p w:rsidRPr="0071042A" w:rsidR="004940FB" w:rsidP="001B0E05" w:rsidRDefault="004940FB" w14:paraId="23C06E56"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Schofield CBS, Shanks RA. Gonococcal ophthalmia neonatorum despite treatment with antibacterial eye drops. Britmedj. 5743;1:484-90.</w:t>
            </w:r>
          </w:p>
          <w:p w:rsidRPr="0071042A" w:rsidR="004940FB" w:rsidP="001B0E05" w:rsidRDefault="004940FB" w14:paraId="28558F6B"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sz w:val="20"/>
                <w:szCs w:val="20"/>
                <w:lang w:val="en-AU"/>
              </w:rPr>
              <w:t>Ramirez-Ortiz MA, Rodriguez-Almaraz M, Ochoa-DiazLopez H, Diaz-Prieto P, Rodriguez-Suarez RS. Randomised equivalency trial comparing 2.5% povidone-iodine eye drops and ophthalmic chloramphenicol for preventing neonatal conjunctivitis in a trachoma endemic area in southern Mexico. British Journal of Ophthalmology. 2007;91:1430-4.</w:t>
            </w:r>
          </w:p>
          <w:p w:rsidRPr="0071042A" w:rsidR="004940FB" w:rsidP="001B0E05" w:rsidRDefault="004940FB" w14:paraId="756BBBDB" w14:textId="77777777">
            <w:pPr>
              <w:pStyle w:val="EndNoteBibliography"/>
              <w:numPr>
                <w:ilvl w:val="0"/>
                <w:numId w:val="66"/>
              </w:numPr>
              <w:ind w:left="284" w:hanging="284"/>
              <w:rPr>
                <w:rFonts w:asciiTheme="minorHAnsi" w:hAnsiTheme="minorHAnsi"/>
                <w:sz w:val="20"/>
                <w:szCs w:val="20"/>
                <w:lang w:val="en-AU"/>
              </w:rPr>
            </w:pPr>
            <w:r w:rsidRPr="0071042A">
              <w:rPr>
                <w:rFonts w:asciiTheme="minorHAnsi" w:hAnsiTheme="minorHAnsi" w:cstheme="minorHAnsi"/>
                <w:color w:val="222222"/>
                <w:sz w:val="20"/>
                <w:szCs w:val="20"/>
                <w:shd w:val="clear" w:color="auto" w:fill="FFFFFF"/>
                <w:lang w:val="en-AU"/>
              </w:rPr>
              <w:t xml:space="preserve">Chloramphenicol eye drops. MIMS Online. Accessed on 15 June 2019. </w:t>
            </w:r>
          </w:p>
        </w:tc>
      </w:tr>
    </w:tbl>
    <w:p w:rsidR="004940FB" w:rsidP="006F0321" w:rsidRDefault="00115F48" w14:paraId="01F0CB94" w14:textId="77777777">
      <w:r w:rsidRPr="00E25790">
        <w:lastRenderedPageBreak/>
        <w:br/>
      </w:r>
    </w:p>
    <w:tbl>
      <w:tblPr>
        <w:tblW w:w="8925" w:type="dxa"/>
        <w:tblInd w:w="-34" w:type="dxa"/>
        <w:tblCellMar>
          <w:left w:w="0" w:type="dxa"/>
          <w:right w:w="0" w:type="dxa"/>
        </w:tblCellMar>
        <w:tblLook w:val="04A0" w:firstRow="1" w:lastRow="0" w:firstColumn="1" w:lastColumn="0" w:noHBand="0" w:noVBand="1"/>
      </w:tblPr>
      <w:tblGrid>
        <w:gridCol w:w="4108"/>
        <w:gridCol w:w="4817"/>
      </w:tblGrid>
      <w:tr w:rsidR="004940FB" w:rsidTr="004940FB" w14:paraId="13246C94"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0DBEA5B7" w14:textId="45CA3F7C">
            <w:pPr>
              <w:spacing w:line="252" w:lineRule="auto"/>
              <w:rPr>
                <w:sz w:val="22"/>
                <w:lang w:val="en-AU"/>
              </w:rPr>
            </w:pPr>
            <w:r>
              <w:t>Original version Date: 21/06/2019</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65E812C1" w14:textId="77777777">
            <w:pPr>
              <w:spacing w:line="252" w:lineRule="auto"/>
            </w:pPr>
            <w:r>
              <w:t>Author: NeoMed Consensus Group</w:t>
            </w:r>
          </w:p>
        </w:tc>
      </w:tr>
      <w:tr w:rsidR="004940FB" w:rsidTr="004940FB" w14:paraId="565518E5"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776623E8" w14:textId="3BACB51D">
            <w:pPr>
              <w:spacing w:line="252" w:lineRule="auto"/>
            </w:pPr>
            <w:r>
              <w:t>Current Version number:  1</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247C79B0" w14:textId="3FDAD44A">
            <w:pPr>
              <w:spacing w:line="252" w:lineRule="auto"/>
            </w:pPr>
            <w:r>
              <w:t>Current Version Date:  21/06/2019</w:t>
            </w:r>
          </w:p>
        </w:tc>
      </w:tr>
      <w:tr w:rsidR="004940FB" w:rsidTr="004940FB" w14:paraId="315C2248"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19A8FFBB" w14:textId="6828FE14">
            <w:pPr>
              <w:spacing w:line="252" w:lineRule="auto"/>
            </w:pPr>
            <w:r>
              <w:t xml:space="preserve">Risk Rating: </w:t>
            </w:r>
            <w:r w:rsidR="008C5459">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03676A0D" w14:textId="324AF397">
            <w:pPr>
              <w:spacing w:line="252" w:lineRule="auto"/>
            </w:pPr>
            <w:r>
              <w:t>Due for Review:  21/06/2024</w:t>
            </w:r>
          </w:p>
        </w:tc>
      </w:tr>
      <w:tr w:rsidR="004940FB" w:rsidTr="004940FB" w14:paraId="4DDE1C94"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369BE86B"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1630168F" w14:textId="1EB7C688">
            <w:pPr>
              <w:spacing w:line="252" w:lineRule="auto"/>
            </w:pPr>
            <w:r>
              <w:t xml:space="preserve">Approval Date: </w:t>
            </w:r>
            <w:r w:rsidR="00260BC8">
              <w:t>APRIL 2021</w:t>
            </w:r>
          </w:p>
        </w:tc>
      </w:tr>
    </w:tbl>
    <w:p w:rsidR="00115F48" w:rsidP="006F0321" w:rsidRDefault="00115F48" w14:paraId="128CEAEB" w14:textId="29E2EED3"/>
    <w:p w:rsidR="004940FB" w:rsidRDefault="004940FB" w14:paraId="7964D554" w14:textId="006FA54D">
      <w:r>
        <w:br w:type="page"/>
      </w:r>
    </w:p>
    <w:p w:rsidR="004940FB" w:rsidP="006F0321" w:rsidRDefault="004940FB" w14:paraId="56252C59" w14:textId="77777777"/>
    <w:p w:rsidRPr="00E25790" w:rsidR="00165AE9" w:rsidP="006F0321" w:rsidRDefault="00165AE9" w14:paraId="38843F02" w14:textId="77777777"/>
    <w:p w:rsidRPr="00E25790" w:rsidR="00115F48" w:rsidP="006F0321" w:rsidRDefault="00115F48" w14:paraId="170F6227" w14:textId="4EF1D5BD"/>
    <w:tbl>
      <w:tblPr>
        <w:tblW w:w="9049" w:type="dxa"/>
        <w:tblLayout w:type="fixed"/>
        <w:tblLook w:val="0000" w:firstRow="0" w:lastRow="0" w:firstColumn="0" w:lastColumn="0" w:noHBand="0" w:noVBand="0"/>
      </w:tblPr>
      <w:tblGrid>
        <w:gridCol w:w="4153"/>
        <w:gridCol w:w="4896"/>
      </w:tblGrid>
      <w:tr w:rsidRPr="00E25790" w:rsidR="00115F48" w:rsidTr="00900C7F" w14:paraId="4534452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443520B3" w14:textId="77777777">
            <w:pPr>
              <w:pStyle w:val="Heading1"/>
            </w:pPr>
            <w:bookmarkStart w:name="_Toc495481092" w:id="145"/>
            <w:bookmarkStart w:name="_Toc495481218" w:id="146"/>
            <w:bookmarkStart w:name="_Toc495481343" w:id="147"/>
            <w:bookmarkStart w:name="_Toc495501524" w:id="148"/>
            <w:bookmarkStart w:name="_Toc38106826" w:id="149"/>
            <w:bookmarkStart w:name="_Toc75339951" w:id="150"/>
            <w:r w:rsidRPr="00E25790">
              <w:t>Clonazepam</w:t>
            </w:r>
            <w:bookmarkEnd w:id="145"/>
            <w:bookmarkEnd w:id="146"/>
            <w:bookmarkEnd w:id="147"/>
            <w:bookmarkEnd w:id="148"/>
            <w:bookmarkEnd w:id="149"/>
            <w:bookmarkEnd w:id="150"/>
            <w:r w:rsidRPr="00E25790">
              <w:fldChar w:fldCharType="begin"/>
            </w:r>
            <w:r w:rsidRPr="00E25790">
              <w:instrText>tc "Clonazepam" \l 0</w:instrText>
            </w:r>
            <w:r w:rsidRPr="00E25790">
              <w:fldChar w:fldCharType="end"/>
            </w:r>
          </w:p>
        </w:tc>
      </w:tr>
      <w:tr w:rsidRPr="00E25790" w:rsidR="00115F48" w:rsidTr="00900C7F" w14:paraId="7B85E70D"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B669D0" w:rsidRDefault="00115F48" w14:paraId="014D9FA5" w14:textId="07A837C3">
            <w:r w:rsidRPr="00E25790">
              <w:t xml:space="preserve">Revision Date : </w:t>
            </w:r>
            <w:r w:rsidR="00B669D0">
              <w:t>04/01/20</w:t>
            </w:r>
            <w:r w:rsidR="008C5459">
              <w:t>2</w:t>
            </w:r>
            <w:r w:rsidR="00B669D0">
              <w:t>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B669D0" w:rsidRDefault="00115F48" w14:paraId="19F23271" w14:textId="2D5F40C6">
            <w:r w:rsidRPr="00E25790">
              <w:t xml:space="preserve">Approved : </w:t>
            </w:r>
            <w:r w:rsidR="00B669D0">
              <w:t>ZK</w:t>
            </w:r>
            <w:r w:rsidR="008C5459">
              <w:t>, KOH</w:t>
            </w:r>
          </w:p>
        </w:tc>
      </w:tr>
    </w:tbl>
    <w:p w:rsidRPr="00E25790" w:rsidR="00115F48" w:rsidP="006F0321" w:rsidRDefault="00115F48" w14:paraId="5AFDC66F" w14:textId="77777777"/>
    <w:tbl>
      <w:tblPr>
        <w:tblW w:w="9076" w:type="dxa"/>
        <w:tblLayout w:type="fixed"/>
        <w:tblLook w:val="0000" w:firstRow="0" w:lastRow="0" w:firstColumn="0" w:lastColumn="0" w:noHBand="0" w:noVBand="0"/>
      </w:tblPr>
      <w:tblGrid>
        <w:gridCol w:w="3390"/>
        <w:gridCol w:w="5686"/>
      </w:tblGrid>
      <w:tr w:rsidRPr="00E25790" w:rsidR="00115F48" w:rsidTr="4B6A90C3" w14:paraId="6609B69B" w14:textId="77777777">
        <w:trPr>
          <w:cantSplit/>
          <w:trHeight w:val="800"/>
        </w:trPr>
        <w:tc>
          <w:tcPr>
            <w:tcW w:w="3390" w:type="dxa"/>
            <w:tcBorders>
              <w:top w:val="single" w:color="auto" w:sz="6" w:space="0"/>
              <w:left w:val="single" w:color="auto" w:sz="6" w:space="0"/>
              <w:bottom w:val="single" w:color="auto" w:sz="6" w:space="0"/>
            </w:tcBorders>
          </w:tcPr>
          <w:p w:rsidRPr="00E25790" w:rsidR="00115F48" w:rsidP="00900C7F" w:rsidRDefault="00115F48" w14:paraId="54B2775A" w14:textId="77777777">
            <w:r w:rsidRPr="00E25790">
              <w:t>Indication :</w:t>
            </w:r>
          </w:p>
        </w:tc>
        <w:tc>
          <w:tcPr>
            <w:tcW w:w="5686" w:type="dxa"/>
            <w:tcBorders>
              <w:top w:val="single" w:color="auto" w:sz="6" w:space="0"/>
              <w:bottom w:val="single" w:color="auto" w:sz="6" w:space="0"/>
              <w:right w:val="single" w:color="auto" w:sz="6" w:space="0"/>
            </w:tcBorders>
          </w:tcPr>
          <w:p w:rsidRPr="00E25790" w:rsidR="00115F48" w:rsidP="00900C7F" w:rsidRDefault="00115F48" w14:paraId="5D99882B" w14:textId="77777777">
            <w:r w:rsidRPr="00E25790">
              <w:t>Seizures unresponsive to phenobarbitone and phenytoin.</w:t>
            </w:r>
          </w:p>
        </w:tc>
      </w:tr>
      <w:tr w:rsidRPr="00E25790" w:rsidR="00115F48" w:rsidTr="4B6A90C3" w14:paraId="451CBB51" w14:textId="77777777">
        <w:trPr>
          <w:cantSplit/>
          <w:trHeight w:val="480"/>
        </w:trPr>
        <w:tc>
          <w:tcPr>
            <w:tcW w:w="3390" w:type="dxa"/>
            <w:tcBorders>
              <w:top w:val="single" w:color="auto" w:sz="6" w:space="0"/>
              <w:left w:val="single" w:color="auto" w:sz="6" w:space="0"/>
              <w:bottom w:val="single" w:color="auto" w:sz="6" w:space="0"/>
            </w:tcBorders>
          </w:tcPr>
          <w:p w:rsidRPr="00E25790" w:rsidR="00115F48" w:rsidP="00900C7F" w:rsidRDefault="00115F48" w14:paraId="1DAF421C" w14:textId="77777777">
            <w:r w:rsidRPr="00E25790">
              <w:t>Dose :</w:t>
            </w:r>
          </w:p>
        </w:tc>
        <w:tc>
          <w:tcPr>
            <w:tcW w:w="5686" w:type="dxa"/>
            <w:tcBorders>
              <w:top w:val="single" w:color="auto" w:sz="6" w:space="0"/>
              <w:bottom w:val="single" w:color="auto" w:sz="6" w:space="0"/>
              <w:right w:val="single" w:color="auto" w:sz="6" w:space="0"/>
            </w:tcBorders>
          </w:tcPr>
          <w:p w:rsidRPr="00E25790" w:rsidR="00115F48" w:rsidP="00900C7F" w:rsidRDefault="00115F48" w14:paraId="6787F1EE" w14:textId="1676CB09">
            <w:r w:rsidRPr="00E25790">
              <w:t>Loading dose  50-100 microg/kg</w:t>
            </w:r>
            <w:r w:rsidR="00B669D0">
              <w:t xml:space="preserve"> over 2-5 minutes</w:t>
            </w:r>
          </w:p>
          <w:p w:rsidRPr="00E25790" w:rsidR="00115F48" w:rsidP="00900C7F" w:rsidRDefault="00115F48" w14:paraId="6559156B" w14:textId="1FB5CC49">
            <w:r w:rsidRPr="00E25790">
              <w:t xml:space="preserve">Maintenance  </w:t>
            </w:r>
            <w:r w:rsidRPr="008C5459" w:rsidR="00835D4F">
              <w:t>25</w:t>
            </w:r>
            <w:r w:rsidRPr="008C5459">
              <w:t xml:space="preserve"> microg/kg</w:t>
            </w:r>
            <w:r w:rsidRPr="008C5459" w:rsidR="00835D4F">
              <w:t>/dose</w:t>
            </w:r>
          </w:p>
          <w:p w:rsidRPr="00E25790" w:rsidR="00115F48" w:rsidP="00900C7F" w:rsidRDefault="00115F48" w14:paraId="2597A189" w14:textId="7BB07858"/>
        </w:tc>
      </w:tr>
      <w:tr w:rsidRPr="00E25790" w:rsidR="00115F48" w:rsidTr="4B6A90C3" w14:paraId="76D3E54A" w14:textId="77777777">
        <w:trPr>
          <w:cantSplit/>
          <w:trHeight w:val="283"/>
        </w:trPr>
        <w:tc>
          <w:tcPr>
            <w:tcW w:w="3390" w:type="dxa"/>
            <w:tcBorders>
              <w:top w:val="single" w:color="auto" w:sz="6" w:space="0"/>
              <w:left w:val="single" w:color="auto" w:sz="6" w:space="0"/>
              <w:bottom w:val="single" w:color="auto" w:sz="6" w:space="0"/>
            </w:tcBorders>
          </w:tcPr>
          <w:p w:rsidRPr="00E25790" w:rsidR="00115F48" w:rsidP="00900C7F" w:rsidRDefault="00115F48" w14:paraId="7A4AF541" w14:textId="77777777">
            <w:r w:rsidRPr="00E25790">
              <w:t>Interval :</w:t>
            </w:r>
          </w:p>
        </w:tc>
        <w:tc>
          <w:tcPr>
            <w:tcW w:w="5686" w:type="dxa"/>
            <w:tcBorders>
              <w:top w:val="single" w:color="auto" w:sz="6" w:space="0"/>
              <w:bottom w:val="single" w:color="auto" w:sz="6" w:space="0"/>
              <w:right w:val="single" w:color="auto" w:sz="6" w:space="0"/>
            </w:tcBorders>
          </w:tcPr>
          <w:p w:rsidRPr="00E25790" w:rsidR="00115F48" w:rsidP="00900C7F" w:rsidRDefault="00835D4F" w14:paraId="28AFAEDC" w14:textId="48907193">
            <w:r>
              <w:t>8</w:t>
            </w:r>
            <w:r w:rsidRPr="00E25790" w:rsidR="00115F48">
              <w:t xml:space="preserve"> hourly.</w:t>
            </w:r>
          </w:p>
        </w:tc>
      </w:tr>
      <w:tr w:rsidRPr="00E25790" w:rsidR="00115F48" w:rsidTr="4B6A90C3" w14:paraId="07F7EFF2" w14:textId="77777777">
        <w:trPr>
          <w:cantSplit/>
          <w:trHeight w:val="480"/>
        </w:trPr>
        <w:tc>
          <w:tcPr>
            <w:tcW w:w="3390" w:type="dxa"/>
            <w:tcBorders>
              <w:top w:val="single" w:color="auto" w:sz="6" w:space="0"/>
              <w:left w:val="single" w:color="auto" w:sz="6" w:space="0"/>
              <w:bottom w:val="single" w:color="auto" w:sz="6" w:space="0"/>
            </w:tcBorders>
          </w:tcPr>
          <w:p w:rsidRPr="00E25790" w:rsidR="00115F48" w:rsidP="00900C7F" w:rsidRDefault="00115F48" w14:paraId="3A105101" w14:textId="77777777">
            <w:r w:rsidRPr="00E25790">
              <w:t>Route :</w:t>
            </w:r>
          </w:p>
        </w:tc>
        <w:tc>
          <w:tcPr>
            <w:tcW w:w="5686" w:type="dxa"/>
            <w:tcBorders>
              <w:top w:val="single" w:color="auto" w:sz="6" w:space="0"/>
              <w:bottom w:val="single" w:color="auto" w:sz="6" w:space="0"/>
              <w:right w:val="single" w:color="auto" w:sz="6" w:space="0"/>
            </w:tcBorders>
          </w:tcPr>
          <w:p w:rsidRPr="00E25790" w:rsidR="00115F48" w:rsidP="00900C7F" w:rsidRDefault="00115F48" w14:paraId="1F00566D" w14:textId="77777777">
            <w:r w:rsidRPr="00E25790">
              <w:t>Loading dose IV</w:t>
            </w:r>
          </w:p>
          <w:p w:rsidRPr="00E25790" w:rsidR="00115F48" w:rsidP="00900C7F" w:rsidRDefault="00115F48" w14:paraId="6B005CE0" w14:textId="77777777">
            <w:r w:rsidRPr="00E25790">
              <w:t>Maintenance orally.</w:t>
            </w:r>
          </w:p>
        </w:tc>
      </w:tr>
      <w:tr w:rsidRPr="00E25790" w:rsidR="00115F48" w:rsidTr="4B6A90C3" w14:paraId="4322347A" w14:textId="77777777">
        <w:trPr>
          <w:cantSplit/>
          <w:trHeight w:val="480"/>
        </w:trPr>
        <w:tc>
          <w:tcPr>
            <w:tcW w:w="3390" w:type="dxa"/>
            <w:tcBorders>
              <w:top w:val="single" w:color="auto" w:sz="6" w:space="0"/>
              <w:left w:val="single" w:color="auto" w:sz="6" w:space="0"/>
              <w:bottom w:val="single" w:color="auto" w:sz="6" w:space="0"/>
            </w:tcBorders>
          </w:tcPr>
          <w:p w:rsidRPr="00E25790" w:rsidR="00115F48" w:rsidP="00900C7F" w:rsidRDefault="00115F48" w14:paraId="4DBCC00D" w14:textId="77777777">
            <w:r w:rsidRPr="00E25790">
              <w:t>Total Daily Dose :</w:t>
            </w:r>
          </w:p>
        </w:tc>
        <w:tc>
          <w:tcPr>
            <w:tcW w:w="5686" w:type="dxa"/>
            <w:tcBorders>
              <w:top w:val="single" w:color="auto" w:sz="6" w:space="0"/>
              <w:bottom w:val="single" w:color="auto" w:sz="6" w:space="0"/>
              <w:right w:val="single" w:color="auto" w:sz="6" w:space="0"/>
            </w:tcBorders>
          </w:tcPr>
          <w:p w:rsidRPr="00E25790" w:rsidR="00115F48" w:rsidP="00900C7F" w:rsidRDefault="00115F48" w14:paraId="5D2081D8" w14:textId="77777777">
            <w:r w:rsidRPr="00E25790">
              <w:t>0.1 mg/day (Tolerance may develop requiring higher dosing).</w:t>
            </w:r>
          </w:p>
        </w:tc>
      </w:tr>
      <w:tr w:rsidRPr="00E25790" w:rsidR="00115F48" w:rsidTr="4B6A90C3" w14:paraId="669CB27E" w14:textId="77777777">
        <w:trPr>
          <w:cantSplit/>
          <w:trHeight w:val="1200"/>
        </w:trPr>
        <w:tc>
          <w:tcPr>
            <w:tcW w:w="3390" w:type="dxa"/>
            <w:tcBorders>
              <w:top w:val="single" w:color="auto" w:sz="6" w:space="0"/>
              <w:left w:val="single" w:color="auto" w:sz="6" w:space="0"/>
              <w:bottom w:val="single" w:color="auto" w:sz="6" w:space="0"/>
            </w:tcBorders>
          </w:tcPr>
          <w:p w:rsidRPr="00E25790" w:rsidR="00115F48" w:rsidP="00900C7F" w:rsidRDefault="00115F48" w14:paraId="12441393" w14:textId="43C91405">
            <w:r w:rsidRPr="00E25790">
              <w:t>Comments:</w:t>
            </w:r>
          </w:p>
        </w:tc>
        <w:tc>
          <w:tcPr>
            <w:tcW w:w="5686" w:type="dxa"/>
            <w:tcBorders>
              <w:top w:val="single" w:color="auto" w:sz="6" w:space="0"/>
              <w:bottom w:val="single" w:color="auto" w:sz="6" w:space="0"/>
              <w:right w:val="single" w:color="auto" w:sz="6" w:space="0"/>
            </w:tcBorders>
          </w:tcPr>
          <w:p w:rsidRPr="00E25790" w:rsidR="00115F48" w:rsidP="00900C7F" w:rsidRDefault="00115F48" w14:paraId="58AFAD6A" w14:textId="3EDE9ED4">
            <w:r w:rsidRPr="00E25790">
              <w:t xml:space="preserve">Half-life varies, as for elimination maturity and plasma levels are not helpful in determining effect.  Oral route of administration is preferred for maintenance.  </w:t>
            </w:r>
            <w:r w:rsidRPr="00835D4F" w:rsidR="00835D4F">
              <w:t>CNS depression, drowsiness, significant risk of hypoventilation/apnoea</w:t>
            </w:r>
            <w:r w:rsidR="00835D4F">
              <w:t xml:space="preserve">, hypotension and </w:t>
            </w:r>
            <w:r w:rsidR="07FCD63B">
              <w:t>tach</w:t>
            </w:r>
            <w:r w:rsidR="0BEAC15B">
              <w:t>y</w:t>
            </w:r>
            <w:r w:rsidR="07FCD63B">
              <w:t>cardia</w:t>
            </w:r>
            <w:r w:rsidR="00835D4F">
              <w:t xml:space="preserve"> are </w:t>
            </w:r>
            <w:r w:rsidRPr="00E25790">
              <w:t xml:space="preserve">possible side effect. </w:t>
            </w:r>
            <w:r w:rsidRPr="00835D4F" w:rsidR="00835D4F">
              <w:t>CAUTION in patients with impaired renal and hepatic function.</w:t>
            </w:r>
            <w:r w:rsidRPr="00E25790">
              <w:t xml:space="preserve"> Note that benzodiazepines tend to limit spread of electrical activity rather than completely suppress a focus entirely. Concurrent treatment with phenobarbitone or phenytoin has been shown to cause increased serum phenytoin levels and reduced clonazepam levels. Drug tolerance occurs if treatment is continued for any extended period of time. Dose must be gradually reduced when the drug is withdrawn to reduce the risk of rebound seizures.</w:t>
            </w:r>
          </w:p>
        </w:tc>
      </w:tr>
      <w:tr w:rsidRPr="00E25790" w:rsidR="00115F48" w:rsidTr="4B6A90C3" w14:paraId="28484DE6" w14:textId="77777777">
        <w:trPr>
          <w:cantSplit/>
          <w:trHeight w:val="480"/>
        </w:trPr>
        <w:tc>
          <w:tcPr>
            <w:tcW w:w="3390" w:type="dxa"/>
            <w:tcBorders>
              <w:top w:val="single" w:color="auto" w:sz="6" w:space="0"/>
              <w:left w:val="single" w:color="auto" w:sz="6" w:space="0"/>
              <w:bottom w:val="single" w:color="auto" w:sz="6" w:space="0"/>
            </w:tcBorders>
          </w:tcPr>
          <w:p w:rsidRPr="00E25790" w:rsidR="00115F48" w:rsidP="00900C7F" w:rsidRDefault="00115F48" w14:paraId="247876B3" w14:textId="77777777">
            <w:r w:rsidRPr="00E25790">
              <w:t>Supplied as :</w:t>
            </w:r>
          </w:p>
        </w:tc>
        <w:tc>
          <w:tcPr>
            <w:tcW w:w="5686" w:type="dxa"/>
            <w:tcBorders>
              <w:top w:val="single" w:color="auto" w:sz="6" w:space="0"/>
              <w:bottom w:val="single" w:color="auto" w:sz="6" w:space="0"/>
              <w:right w:val="single" w:color="auto" w:sz="6" w:space="0"/>
            </w:tcBorders>
          </w:tcPr>
          <w:p w:rsidRPr="00E25790" w:rsidR="00115F48" w:rsidP="00900C7F" w:rsidRDefault="00115F48" w14:paraId="3C6E6C39" w14:textId="77777777">
            <w:r w:rsidRPr="00E25790">
              <w:t>Parenteral Prep. vial 1 mg/ml.</w:t>
            </w:r>
          </w:p>
          <w:p w:rsidRPr="00E25790" w:rsidR="00115F48" w:rsidP="00900C7F" w:rsidRDefault="00115F48" w14:paraId="733A8D36" w14:textId="77777777">
            <w:r w:rsidRPr="00E25790">
              <w:t>Oral drops 2.5 mg/ml.</w:t>
            </w:r>
          </w:p>
        </w:tc>
      </w:tr>
      <w:tr w:rsidRPr="00E25790" w:rsidR="00115F48" w:rsidTr="4B6A90C3" w14:paraId="596081B8" w14:textId="77777777">
        <w:trPr>
          <w:cantSplit/>
          <w:trHeight w:val="960"/>
        </w:trPr>
        <w:tc>
          <w:tcPr>
            <w:tcW w:w="3390" w:type="dxa"/>
            <w:tcBorders>
              <w:top w:val="single" w:color="auto" w:sz="6" w:space="0"/>
              <w:left w:val="single" w:color="auto" w:sz="6" w:space="0"/>
              <w:bottom w:val="single" w:color="auto" w:sz="6" w:space="0"/>
            </w:tcBorders>
          </w:tcPr>
          <w:p w:rsidRPr="00E25790" w:rsidR="00115F48" w:rsidP="00900C7F" w:rsidRDefault="00115F48" w14:paraId="78E13F00" w14:textId="77777777">
            <w:r w:rsidRPr="00E25790">
              <w:lastRenderedPageBreak/>
              <w:t>Dilution :</w:t>
            </w:r>
          </w:p>
        </w:tc>
        <w:tc>
          <w:tcPr>
            <w:tcW w:w="5686" w:type="dxa"/>
            <w:tcBorders>
              <w:top w:val="single" w:color="auto" w:sz="6" w:space="0"/>
              <w:bottom w:val="single" w:color="auto" w:sz="6" w:space="0"/>
              <w:right w:val="single" w:color="auto" w:sz="6" w:space="0"/>
            </w:tcBorders>
          </w:tcPr>
          <w:p w:rsidRPr="008C5459" w:rsidR="00115F48" w:rsidP="00900C7F" w:rsidRDefault="00115F48" w14:paraId="743AEA05" w14:textId="5A38984A">
            <w:pPr>
              <w:pStyle w:val="BodyText"/>
              <w:jc w:val="left"/>
            </w:pPr>
            <w:r w:rsidRPr="008C5459">
              <w:t xml:space="preserve">For </w:t>
            </w:r>
            <w:r w:rsidRPr="008C5459">
              <w:rPr>
                <w:b/>
                <w:u w:val="single"/>
              </w:rPr>
              <w:t>loading doses and maintenance doses</w:t>
            </w:r>
            <w:r w:rsidRPr="008C5459">
              <w:t xml:space="preserve"> use water for injection and </w:t>
            </w:r>
            <w:r w:rsidRPr="008C5459" w:rsidR="00B669D0">
              <w:t xml:space="preserve">add 1ml of water to make </w:t>
            </w:r>
            <w:r w:rsidRPr="008C5459">
              <w:t>500 microg/ml</w:t>
            </w:r>
            <w:r w:rsidRPr="008C5459" w:rsidR="00B669D0">
              <w:t xml:space="preserve"> solution</w:t>
            </w:r>
            <w:r w:rsidRPr="008C5459">
              <w:t>.</w:t>
            </w:r>
          </w:p>
          <w:p w:rsidRPr="008C5459" w:rsidR="00115F48" w:rsidP="00900C7F" w:rsidRDefault="00115F48" w14:paraId="1330A7F2" w14:textId="00CB7D6D">
            <w:pPr>
              <w:pStyle w:val="BodyText2"/>
              <w:jc w:val="left"/>
            </w:pPr>
            <w:r w:rsidRPr="008C5459">
              <w:t xml:space="preserve">For </w:t>
            </w:r>
            <w:r w:rsidRPr="008C5459">
              <w:rPr>
                <w:u w:val="single"/>
              </w:rPr>
              <w:t>infusion</w:t>
            </w:r>
            <w:r w:rsidRPr="008C5459">
              <w:t xml:space="preserve"> take the baby’s weight in mls (3.0kg = 3ml) of </w:t>
            </w:r>
            <w:r w:rsidRPr="008C5459" w:rsidR="00B669D0">
              <w:t xml:space="preserve">undiluted </w:t>
            </w:r>
            <w:r w:rsidRPr="008C5459">
              <w:t>Clonazepam solution (1000 microg/ml=1mg/ml) and make upto 25 ml with 5 % Dextrose or saline.</w:t>
            </w:r>
          </w:p>
          <w:p w:rsidRPr="00E25790" w:rsidR="00115F48" w:rsidP="00900C7F" w:rsidRDefault="00115F48" w14:paraId="4CA7B891" w14:textId="77777777">
            <w:pPr>
              <w:rPr>
                <w:b/>
                <w:lang w:val="nl-NL"/>
              </w:rPr>
            </w:pPr>
            <w:r w:rsidRPr="00E25790">
              <w:rPr>
                <w:lang w:val="nl-NL"/>
              </w:rPr>
              <w:t>1 ml/hr.= 40 microg/kg/hr.</w:t>
            </w:r>
          </w:p>
        </w:tc>
      </w:tr>
      <w:tr w:rsidRPr="00E25790" w:rsidR="00115F48" w:rsidTr="4B6A90C3" w14:paraId="2FFF2390" w14:textId="77777777">
        <w:trPr>
          <w:cantSplit/>
          <w:trHeight w:val="283"/>
        </w:trPr>
        <w:tc>
          <w:tcPr>
            <w:tcW w:w="3390" w:type="dxa"/>
            <w:tcBorders>
              <w:top w:val="single" w:color="auto" w:sz="6" w:space="0"/>
              <w:left w:val="single" w:color="auto" w:sz="6" w:space="0"/>
              <w:bottom w:val="single" w:color="auto" w:sz="6" w:space="0"/>
            </w:tcBorders>
          </w:tcPr>
          <w:p w:rsidRPr="00E25790" w:rsidR="00115F48" w:rsidP="00900C7F" w:rsidRDefault="00115F48" w14:paraId="665D5106" w14:textId="77777777">
            <w:r w:rsidRPr="00E25790">
              <w:t>Stability :</w:t>
            </w:r>
          </w:p>
        </w:tc>
        <w:tc>
          <w:tcPr>
            <w:tcW w:w="5686" w:type="dxa"/>
            <w:tcBorders>
              <w:top w:val="single" w:color="auto" w:sz="6" w:space="0"/>
              <w:bottom w:val="single" w:color="auto" w:sz="6" w:space="0"/>
              <w:right w:val="single" w:color="auto" w:sz="6" w:space="0"/>
            </w:tcBorders>
          </w:tcPr>
          <w:p w:rsidRPr="00E25790" w:rsidR="00115F48" w:rsidP="00900C7F" w:rsidRDefault="00115F48" w14:paraId="24FA4393" w14:textId="77777777">
            <w:r w:rsidRPr="00E25790">
              <w:t>As per pharmacy.</w:t>
            </w:r>
          </w:p>
        </w:tc>
      </w:tr>
      <w:tr w:rsidRPr="00E25790" w:rsidR="00115F48" w:rsidTr="4B6A90C3" w14:paraId="5EED4CD9" w14:textId="77777777">
        <w:trPr>
          <w:cantSplit/>
          <w:trHeight w:val="283"/>
        </w:trPr>
        <w:tc>
          <w:tcPr>
            <w:tcW w:w="3390" w:type="dxa"/>
            <w:tcBorders>
              <w:top w:val="single" w:color="auto" w:sz="6" w:space="0"/>
              <w:left w:val="single" w:color="auto" w:sz="6" w:space="0"/>
              <w:bottom w:val="single" w:color="auto" w:sz="6" w:space="0"/>
            </w:tcBorders>
          </w:tcPr>
          <w:p w:rsidRPr="00E25790" w:rsidR="00115F48" w:rsidP="00900C7F" w:rsidRDefault="00115F48" w14:paraId="6A0417E3" w14:textId="77777777">
            <w:r w:rsidRPr="00E25790">
              <w:t>Storage :</w:t>
            </w:r>
          </w:p>
        </w:tc>
        <w:tc>
          <w:tcPr>
            <w:tcW w:w="5686" w:type="dxa"/>
            <w:tcBorders>
              <w:top w:val="single" w:color="auto" w:sz="6" w:space="0"/>
              <w:bottom w:val="single" w:color="auto" w:sz="6" w:space="0"/>
              <w:right w:val="single" w:color="auto" w:sz="6" w:space="0"/>
            </w:tcBorders>
          </w:tcPr>
          <w:p w:rsidRPr="00E25790" w:rsidR="00115F48" w:rsidP="00900C7F" w:rsidRDefault="00115F48" w14:paraId="3A1551BB" w14:textId="77777777">
            <w:r w:rsidRPr="00E25790">
              <w:t>Room temperature</w:t>
            </w:r>
          </w:p>
        </w:tc>
      </w:tr>
      <w:tr w:rsidRPr="00E25790" w:rsidR="00115F48" w:rsidTr="4B6A90C3" w14:paraId="2748BBAC" w14:textId="77777777">
        <w:trPr>
          <w:cantSplit/>
          <w:trHeight w:val="283"/>
        </w:trPr>
        <w:tc>
          <w:tcPr>
            <w:tcW w:w="3390" w:type="dxa"/>
            <w:tcBorders>
              <w:top w:val="single" w:color="auto" w:sz="6" w:space="0"/>
              <w:left w:val="single" w:color="auto" w:sz="6" w:space="0"/>
              <w:bottom w:val="single" w:color="auto" w:sz="6" w:space="0"/>
            </w:tcBorders>
          </w:tcPr>
          <w:p w:rsidRPr="00E25790" w:rsidR="00115F48" w:rsidP="00900C7F" w:rsidRDefault="00115F48" w14:paraId="50A9F979" w14:textId="77777777">
            <w:r w:rsidRPr="00E25790">
              <w:t>Compatibility:</w:t>
            </w:r>
          </w:p>
        </w:tc>
        <w:tc>
          <w:tcPr>
            <w:tcW w:w="5686" w:type="dxa"/>
            <w:tcBorders>
              <w:top w:val="single" w:color="auto" w:sz="6" w:space="0"/>
              <w:bottom w:val="single" w:color="auto" w:sz="6" w:space="0"/>
              <w:right w:val="single" w:color="auto" w:sz="6" w:space="0"/>
            </w:tcBorders>
          </w:tcPr>
          <w:p w:rsidRPr="00E25790" w:rsidR="00115F48" w:rsidP="00900C7F" w:rsidRDefault="00115F48" w14:paraId="23D46C3A" w14:textId="77777777">
            <w:r w:rsidRPr="00E25790">
              <w:t>Dextrose 2.5 %, 5% and 10 %. Sodium chloride 0.45 % and 0.9 %.</w:t>
            </w:r>
          </w:p>
        </w:tc>
      </w:tr>
      <w:tr w:rsidRPr="00E25790" w:rsidR="00115F48" w:rsidTr="4B6A90C3" w14:paraId="655327BC" w14:textId="77777777">
        <w:trPr>
          <w:cantSplit/>
          <w:trHeight w:val="283"/>
        </w:trPr>
        <w:tc>
          <w:tcPr>
            <w:tcW w:w="3390" w:type="dxa"/>
            <w:tcBorders>
              <w:top w:val="single" w:color="auto" w:sz="6" w:space="0"/>
              <w:left w:val="single" w:color="auto" w:sz="6" w:space="0"/>
              <w:bottom w:val="single" w:color="auto" w:sz="6" w:space="0"/>
            </w:tcBorders>
          </w:tcPr>
          <w:p w:rsidRPr="00E25790" w:rsidR="00115F48" w:rsidP="00900C7F" w:rsidRDefault="00115F48" w14:paraId="2C547DB7" w14:textId="77777777">
            <w:r w:rsidRPr="00E25790">
              <w:t>Incompatibility :</w:t>
            </w:r>
          </w:p>
        </w:tc>
        <w:tc>
          <w:tcPr>
            <w:tcW w:w="5686" w:type="dxa"/>
            <w:tcBorders>
              <w:top w:val="single" w:color="auto" w:sz="6" w:space="0"/>
              <w:bottom w:val="single" w:color="auto" w:sz="6" w:space="0"/>
              <w:right w:val="single" w:color="auto" w:sz="6" w:space="0"/>
            </w:tcBorders>
          </w:tcPr>
          <w:p w:rsidRPr="00E25790" w:rsidR="00115F48" w:rsidP="00900C7F" w:rsidRDefault="00115F48" w14:paraId="4067B337" w14:textId="77777777">
            <w:r w:rsidRPr="00E25790">
              <w:t>Do not mix with any other drugs or TPN</w:t>
            </w:r>
          </w:p>
        </w:tc>
      </w:tr>
      <w:tr w:rsidRPr="00E25790" w:rsidR="00115F48" w:rsidTr="4B6A90C3" w14:paraId="08702DD6" w14:textId="77777777">
        <w:trPr>
          <w:cantSplit/>
          <w:trHeight w:val="283"/>
        </w:trPr>
        <w:tc>
          <w:tcPr>
            <w:tcW w:w="3390" w:type="dxa"/>
            <w:tcBorders>
              <w:top w:val="single" w:color="auto" w:sz="6" w:space="0"/>
              <w:left w:val="single" w:color="auto" w:sz="6" w:space="0"/>
              <w:bottom w:val="single" w:color="auto" w:sz="6" w:space="0"/>
            </w:tcBorders>
          </w:tcPr>
          <w:p w:rsidRPr="00E25790" w:rsidR="00115F48" w:rsidP="00900C7F" w:rsidRDefault="00115F48" w14:paraId="42284092" w14:textId="77777777">
            <w:r w:rsidRPr="00E25790">
              <w:t>Serum Levels :</w:t>
            </w:r>
          </w:p>
        </w:tc>
        <w:tc>
          <w:tcPr>
            <w:tcW w:w="5686" w:type="dxa"/>
            <w:tcBorders>
              <w:top w:val="single" w:color="auto" w:sz="6" w:space="0"/>
              <w:bottom w:val="single" w:color="auto" w:sz="6" w:space="0"/>
              <w:right w:val="single" w:color="auto" w:sz="6" w:space="0"/>
            </w:tcBorders>
          </w:tcPr>
          <w:p w:rsidRPr="00E25790" w:rsidR="00115F48" w:rsidP="00900C7F" w:rsidRDefault="00115F48" w14:paraId="1D4202BF" w14:textId="77777777">
            <w:r w:rsidRPr="00E25790">
              <w:t>60-150 nmol/l. (Not very well defined). Not routinely performed.</w:t>
            </w:r>
          </w:p>
        </w:tc>
      </w:tr>
      <w:tr w:rsidRPr="00E25790" w:rsidR="00735C5A" w:rsidTr="4B6A90C3" w14:paraId="03CF9168" w14:textId="77777777">
        <w:trPr>
          <w:cantSplit/>
          <w:trHeight w:val="283"/>
        </w:trPr>
        <w:tc>
          <w:tcPr>
            <w:tcW w:w="3390" w:type="dxa"/>
            <w:tcBorders>
              <w:top w:val="single" w:color="auto" w:sz="6" w:space="0"/>
              <w:left w:val="single" w:color="auto" w:sz="6" w:space="0"/>
              <w:bottom w:val="single" w:color="auto" w:sz="6" w:space="0"/>
            </w:tcBorders>
          </w:tcPr>
          <w:p w:rsidRPr="00E25790" w:rsidR="00735C5A" w:rsidP="00900C7F" w:rsidRDefault="00735C5A" w14:paraId="40B284A0" w14:textId="713BAC60">
            <w:r>
              <w:t>Refer</w:t>
            </w:r>
            <w:r w:rsidR="008C5459">
              <w:t>e</w:t>
            </w:r>
            <w:r>
              <w:t>nces:</w:t>
            </w:r>
          </w:p>
        </w:tc>
        <w:tc>
          <w:tcPr>
            <w:tcW w:w="5686" w:type="dxa"/>
            <w:tcBorders>
              <w:top w:val="single" w:color="auto" w:sz="6" w:space="0"/>
              <w:bottom w:val="single" w:color="auto" w:sz="6" w:space="0"/>
              <w:right w:val="single" w:color="auto" w:sz="6" w:space="0"/>
            </w:tcBorders>
          </w:tcPr>
          <w:p w:rsidR="00735C5A" w:rsidP="00735C5A" w:rsidRDefault="00735C5A" w14:paraId="4E52AA02" w14:textId="77777777">
            <w:r>
              <w:t>AMH Children’s Dosing Companion</w:t>
            </w:r>
          </w:p>
          <w:p w:rsidR="00735C5A" w:rsidP="00735C5A" w:rsidRDefault="00735C5A" w14:paraId="5450E891" w14:textId="77777777">
            <w:r>
              <w:t>RCH Paediatric Injectable Guidelines</w:t>
            </w:r>
          </w:p>
          <w:p w:rsidRPr="00E25790" w:rsidR="00735C5A" w:rsidP="00735C5A" w:rsidRDefault="00735C5A" w14:paraId="1B96D0A9" w14:textId="3EF6D459">
            <w:r>
              <w:t>IBM Micromedex</w:t>
            </w:r>
          </w:p>
        </w:tc>
      </w:tr>
    </w:tbl>
    <w:p w:rsidR="00115F48" w:rsidP="006F0321" w:rsidRDefault="00115F48" w14:paraId="529B130E" w14:textId="77777777"/>
    <w:p w:rsidR="008C5459" w:rsidP="006F0321" w:rsidRDefault="008C5459" w14:paraId="02AE5938"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8C5459" w:rsidTr="0059793A" w14:paraId="5CC1FD73"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3A44B822" w14:textId="6C31D2B3">
            <w:pPr>
              <w:spacing w:line="252" w:lineRule="auto"/>
              <w:rPr>
                <w:sz w:val="20"/>
                <w:lang w:val="en-AU"/>
              </w:rPr>
            </w:pPr>
            <w:r w:rsidRPr="003F6EF3">
              <w:rPr>
                <w:sz w:val="20"/>
              </w:rPr>
              <w:t xml:space="preserve">Original version Date: </w:t>
            </w:r>
            <w:r>
              <w:rPr>
                <w:sz w:val="20"/>
              </w:rPr>
              <w:t>2014</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7958BFC6" w14:textId="68E4B74D">
            <w:pPr>
              <w:spacing w:line="252" w:lineRule="auto"/>
              <w:rPr>
                <w:sz w:val="20"/>
              </w:rPr>
            </w:pPr>
            <w:r w:rsidRPr="003F6EF3">
              <w:rPr>
                <w:sz w:val="20"/>
              </w:rPr>
              <w:t xml:space="preserve">Author: </w:t>
            </w:r>
            <w:r>
              <w:rPr>
                <w:sz w:val="20"/>
              </w:rPr>
              <w:t>ZK</w:t>
            </w:r>
          </w:p>
        </w:tc>
      </w:tr>
      <w:tr w:rsidR="008C5459" w:rsidTr="0059793A" w14:paraId="36BC914E"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1924FB9F" w14:textId="77777777">
            <w:pPr>
              <w:spacing w:line="252" w:lineRule="auto"/>
              <w:rPr>
                <w:sz w:val="20"/>
              </w:rPr>
            </w:pPr>
            <w:r w:rsidRPr="003F6EF3">
              <w:rPr>
                <w:sz w:val="20"/>
              </w:rPr>
              <w:t xml:space="preserve">Current Version number:  </w:t>
            </w:r>
            <w:r>
              <w:rPr>
                <w:sz w:val="20"/>
              </w:rPr>
              <w:t>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3AD5CA3E" w14:textId="1A503222">
            <w:pPr>
              <w:spacing w:line="252" w:lineRule="auto"/>
              <w:rPr>
                <w:sz w:val="20"/>
              </w:rPr>
            </w:pPr>
            <w:r w:rsidRPr="003F6EF3">
              <w:rPr>
                <w:sz w:val="20"/>
              </w:rPr>
              <w:t xml:space="preserve">Current Version Date:  </w:t>
            </w:r>
            <w:r>
              <w:rPr>
                <w:sz w:val="20"/>
              </w:rPr>
              <w:t>4/1/2021</w:t>
            </w:r>
          </w:p>
        </w:tc>
      </w:tr>
      <w:tr w:rsidR="008C5459" w:rsidTr="0059793A" w14:paraId="2D014119"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7B1F1C92" w14:textId="0A73DD14">
            <w:pPr>
              <w:spacing w:line="252" w:lineRule="auto"/>
              <w:rPr>
                <w:sz w:val="20"/>
              </w:rPr>
            </w:pPr>
            <w:r w:rsidRPr="003F6EF3">
              <w:rPr>
                <w:sz w:val="20"/>
              </w:rPr>
              <w:t xml:space="preserve">Risk Rating: </w:t>
            </w:r>
            <w:r>
              <w:rPr>
                <w:sz w:val="20"/>
              </w:rPr>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739818ED" w14:textId="65B67D68">
            <w:pPr>
              <w:spacing w:line="252" w:lineRule="auto"/>
              <w:rPr>
                <w:sz w:val="20"/>
              </w:rPr>
            </w:pPr>
            <w:r w:rsidRPr="003F6EF3">
              <w:rPr>
                <w:sz w:val="20"/>
              </w:rPr>
              <w:t xml:space="preserve">Due for Review:  </w:t>
            </w:r>
            <w:r>
              <w:rPr>
                <w:sz w:val="20"/>
              </w:rPr>
              <w:t>4/1/2026</w:t>
            </w:r>
          </w:p>
        </w:tc>
      </w:tr>
      <w:tr w:rsidR="008C5459" w:rsidTr="0059793A" w14:paraId="3F2107F9"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242B1F72" w14:textId="77777777">
            <w:pPr>
              <w:spacing w:line="252" w:lineRule="auto"/>
              <w:rPr>
                <w:sz w:val="20"/>
              </w:rPr>
            </w:pPr>
            <w:r w:rsidRPr="003F6EF3">
              <w:rPr>
                <w:sz w:val="20"/>
              </w:rPr>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3F6EF3" w:rsidR="008C5459" w:rsidP="0059793A" w:rsidRDefault="008C5459" w14:paraId="25621735" w14:textId="67B9E635">
            <w:pPr>
              <w:spacing w:line="252" w:lineRule="auto"/>
              <w:rPr>
                <w:sz w:val="20"/>
              </w:rPr>
            </w:pPr>
            <w:r w:rsidRPr="003F6EF3">
              <w:rPr>
                <w:sz w:val="20"/>
              </w:rPr>
              <w:t xml:space="preserve">Approval Date: </w:t>
            </w:r>
            <w:r w:rsidR="00260BC8">
              <w:rPr>
                <w:sz w:val="20"/>
              </w:rPr>
              <w:t>APRIL 2021</w:t>
            </w:r>
          </w:p>
        </w:tc>
      </w:tr>
    </w:tbl>
    <w:p w:rsidR="008C5459" w:rsidP="006F0321" w:rsidRDefault="008C5459" w14:paraId="4D7F3E76" w14:textId="77777777"/>
    <w:p w:rsidR="008C5459" w:rsidP="006F0321" w:rsidRDefault="008C5459" w14:paraId="0B2DEFA2" w14:textId="77777777"/>
    <w:p w:rsidR="008C5459" w:rsidP="006F0321" w:rsidRDefault="008C5459" w14:paraId="776F9271" w14:textId="77777777"/>
    <w:p w:rsidR="008C5459" w:rsidP="006F0321" w:rsidRDefault="008C5459" w14:paraId="7858956E" w14:textId="77777777"/>
    <w:p w:rsidR="008C5459" w:rsidP="006F0321" w:rsidRDefault="008C5459" w14:paraId="6001F125" w14:textId="77777777"/>
    <w:p w:rsidR="008C5459" w:rsidP="006F0321" w:rsidRDefault="008C5459" w14:paraId="4BEF7D8D" w14:textId="77777777"/>
    <w:p w:rsidR="008C5459" w:rsidP="006F0321" w:rsidRDefault="008C5459" w14:paraId="33A243FC" w14:textId="77777777"/>
    <w:p w:rsidR="008C5459" w:rsidP="006F0321" w:rsidRDefault="008C5459" w14:paraId="5145DBAC" w14:textId="77777777"/>
    <w:p w:rsidR="008C5459" w:rsidP="006F0321" w:rsidRDefault="008C5459" w14:paraId="7D354021" w14:textId="77777777"/>
    <w:p w:rsidR="008C5459" w:rsidP="006F0321" w:rsidRDefault="008C5459" w14:paraId="786F2E5F" w14:textId="77777777"/>
    <w:p w:rsidR="008C5459" w:rsidP="006F0321" w:rsidRDefault="008C5459" w14:paraId="764A1BCF" w14:textId="77777777"/>
    <w:p w:rsidR="008C5459" w:rsidP="006F0321" w:rsidRDefault="008C5459" w14:paraId="3D246EAE" w14:textId="77777777"/>
    <w:p w:rsidR="008C5459" w:rsidP="006F0321" w:rsidRDefault="008C5459" w14:paraId="394DCE98" w14:textId="77777777"/>
    <w:p w:rsidR="008C5459" w:rsidP="006F0321" w:rsidRDefault="008C5459" w14:paraId="5E5BD6ED" w14:textId="77777777"/>
    <w:p w:rsidR="008C5459" w:rsidP="006F0321" w:rsidRDefault="008C5459" w14:paraId="39CE73A6" w14:textId="77777777"/>
    <w:p w:rsidR="008C5459" w:rsidP="006F0321" w:rsidRDefault="008C5459" w14:paraId="2BDE0010" w14:textId="77777777"/>
    <w:p w:rsidR="008C5459" w:rsidP="006F0321" w:rsidRDefault="008C5459" w14:paraId="09F04000" w14:textId="77777777"/>
    <w:p w:rsidR="008C5459" w:rsidP="006F0321" w:rsidRDefault="008C5459" w14:paraId="3D616A4E" w14:textId="77777777"/>
    <w:p w:rsidR="008C5459" w:rsidP="006F0321" w:rsidRDefault="008C5459" w14:paraId="489FBE62" w14:textId="77777777"/>
    <w:p w:rsidR="008C5459" w:rsidP="006F0321" w:rsidRDefault="008C5459" w14:paraId="428B23B0" w14:textId="77777777"/>
    <w:tbl>
      <w:tblPr>
        <w:tblW w:w="9049" w:type="dxa"/>
        <w:tblLayout w:type="fixed"/>
        <w:tblLook w:val="0000" w:firstRow="0" w:lastRow="0" w:firstColumn="0" w:lastColumn="0" w:noHBand="0" w:noVBand="0"/>
      </w:tblPr>
      <w:tblGrid>
        <w:gridCol w:w="4153"/>
        <w:gridCol w:w="4896"/>
      </w:tblGrid>
      <w:tr w:rsidRPr="00E25790" w:rsidR="00DC5A30" w:rsidTr="00E525C7" w14:paraId="3CEAC1A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DC5A30" w:rsidP="00A65F20" w:rsidRDefault="00DC5A30" w14:paraId="388E0F39" w14:textId="14B45096">
            <w:pPr>
              <w:pStyle w:val="Heading1"/>
            </w:pPr>
            <w:bookmarkStart w:name="_Toc75339952" w:id="151"/>
            <w:r w:rsidRPr="00E25790">
              <w:lastRenderedPageBreak/>
              <w:t>Clon</w:t>
            </w:r>
            <w:r>
              <w:t>idine</w:t>
            </w:r>
            <w:bookmarkEnd w:id="151"/>
            <w:r w:rsidRPr="00E25790">
              <w:fldChar w:fldCharType="begin"/>
            </w:r>
            <w:r w:rsidRPr="00E25790">
              <w:instrText>tc "Clonazepam" \l 0</w:instrText>
            </w:r>
            <w:r w:rsidRPr="00E25790">
              <w:fldChar w:fldCharType="end"/>
            </w:r>
          </w:p>
        </w:tc>
      </w:tr>
      <w:tr w:rsidRPr="00E25790" w:rsidR="00DC5A30" w:rsidTr="00E525C7" w14:paraId="7481562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DC5A30" w:rsidP="00E525C7" w:rsidRDefault="00DC5A30" w14:paraId="15148D4C" w14:textId="7B7EC8FB">
            <w:r w:rsidRPr="00E25790">
              <w:t xml:space="preserve">Revision Date : </w:t>
            </w:r>
            <w:r w:rsidR="0020124E">
              <w:t>15</w:t>
            </w:r>
            <w:r>
              <w:t>-12-2020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DC5A30" w:rsidP="00E525C7" w:rsidRDefault="00DC5A30" w14:paraId="507D5DB9" w14:textId="6F229C60">
            <w:r w:rsidRPr="00E25790">
              <w:t xml:space="preserve">Approved : </w:t>
            </w:r>
            <w:r>
              <w:t>TC, KOH</w:t>
            </w:r>
          </w:p>
        </w:tc>
      </w:tr>
    </w:tbl>
    <w:p w:rsidR="003F6EF3" w:rsidP="006F0321" w:rsidRDefault="003F6EF3" w14:paraId="2E413B29"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7331"/>
      </w:tblGrid>
      <w:tr w:rsidRPr="00D65FFE" w:rsidR="003F6EF3" w:rsidTr="77BEE3D0" w14:paraId="11893B00" w14:textId="77777777">
        <w:trPr>
          <w:trHeight w:val="70"/>
        </w:trPr>
        <w:tc>
          <w:tcPr>
            <w:tcW w:w="934" w:type="pct"/>
          </w:tcPr>
          <w:p w:rsidRPr="00D65FFE" w:rsidR="003F6EF3" w:rsidP="00E525C7" w:rsidRDefault="003F6EF3" w14:paraId="17875995" w14:textId="77777777">
            <w:pPr>
              <w:pStyle w:val="BodyText"/>
              <w:tabs>
                <w:tab w:val="center" w:pos="1476"/>
              </w:tabs>
              <w:rPr>
                <w:rFonts w:asciiTheme="minorHAnsi" w:hAnsiTheme="minorHAnsi" w:cstheme="minorHAnsi"/>
                <w:b/>
                <w:sz w:val="20"/>
              </w:rPr>
            </w:pPr>
            <w:r w:rsidRPr="00D65FFE">
              <w:rPr>
                <w:rFonts w:asciiTheme="minorHAnsi" w:hAnsiTheme="minorHAnsi" w:cstheme="minorHAnsi"/>
                <w:b/>
                <w:sz w:val="20"/>
              </w:rPr>
              <w:t>Alert</w:t>
            </w:r>
            <w:r w:rsidRPr="00D65FFE">
              <w:rPr>
                <w:rFonts w:asciiTheme="minorHAnsi" w:hAnsiTheme="minorHAnsi" w:cstheme="minorHAnsi"/>
                <w:b/>
                <w:sz w:val="20"/>
              </w:rPr>
              <w:tab/>
            </w:r>
          </w:p>
        </w:tc>
        <w:tc>
          <w:tcPr>
            <w:tcW w:w="4066" w:type="pct"/>
          </w:tcPr>
          <w:p w:rsidRPr="00D65FFE" w:rsidR="003F6EF3" w:rsidP="00E525C7" w:rsidRDefault="003F6EF3" w14:paraId="3E8459C2" w14:textId="77777777">
            <w:pPr>
              <w:pStyle w:val="BodyText"/>
              <w:rPr>
                <w:rFonts w:asciiTheme="minorHAnsi" w:hAnsiTheme="minorHAnsi" w:cstheme="minorHAnsi"/>
                <w:sz w:val="20"/>
              </w:rPr>
            </w:pPr>
            <w:r w:rsidRPr="00D65FFE">
              <w:rPr>
                <w:rFonts w:asciiTheme="minorHAnsi" w:hAnsiTheme="minorHAnsi" w:cstheme="minorHAnsi"/>
                <w:sz w:val="20"/>
              </w:rPr>
              <w:t xml:space="preserve">Hypertension may recur after cessation. </w:t>
            </w:r>
          </w:p>
          <w:p w:rsidRPr="00D65FFE" w:rsidR="003F6EF3" w:rsidP="00E525C7" w:rsidRDefault="003F6EF3" w14:paraId="76743CE4" w14:textId="77777777">
            <w:pPr>
              <w:pStyle w:val="BodyText"/>
              <w:rPr>
                <w:rFonts w:asciiTheme="minorHAnsi" w:hAnsiTheme="minorHAnsi" w:cstheme="minorHAnsi"/>
                <w:sz w:val="20"/>
              </w:rPr>
            </w:pPr>
            <w:r w:rsidRPr="00D65FFE">
              <w:rPr>
                <w:rFonts w:asciiTheme="minorHAnsi" w:hAnsiTheme="minorHAnsi" w:cstheme="minorHAnsi"/>
                <w:sz w:val="20"/>
              </w:rPr>
              <w:t>Neonatal abstinence syndrome may recur after cessation.</w:t>
            </w:r>
          </w:p>
          <w:p w:rsidRPr="00D65FFE" w:rsidR="003F6EF3" w:rsidP="00E525C7" w:rsidRDefault="003F6EF3" w14:paraId="6450F9BA" w14:textId="77777777">
            <w:pPr>
              <w:pStyle w:val="BodyText"/>
              <w:rPr>
                <w:rFonts w:asciiTheme="minorHAnsi" w:hAnsiTheme="minorHAnsi" w:cstheme="minorHAnsi"/>
                <w:sz w:val="20"/>
              </w:rPr>
            </w:pPr>
            <w:r w:rsidRPr="00D65FFE">
              <w:rPr>
                <w:rFonts w:asciiTheme="minorHAnsi" w:hAnsiTheme="minorHAnsi" w:cstheme="minorHAnsi"/>
                <w:sz w:val="20"/>
              </w:rPr>
              <w:t>Evidence is insufficient to assess the efficacy and safety of clonidine for sedation and analgesia in term and preterm newborn infants receiving mechanical ventilation.</w:t>
            </w:r>
          </w:p>
        </w:tc>
      </w:tr>
      <w:tr w:rsidRPr="00D65FFE" w:rsidR="003F6EF3" w:rsidTr="77BEE3D0" w14:paraId="0EEAF07F" w14:textId="77777777">
        <w:trPr>
          <w:trHeight w:val="72"/>
        </w:trPr>
        <w:tc>
          <w:tcPr>
            <w:tcW w:w="934" w:type="pct"/>
          </w:tcPr>
          <w:p w:rsidRPr="00D65FFE" w:rsidR="003F6EF3" w:rsidP="00E525C7" w:rsidRDefault="003F6EF3" w14:paraId="58A92E17" w14:textId="77777777">
            <w:pPr>
              <w:pStyle w:val="BodyText"/>
              <w:rPr>
                <w:rFonts w:asciiTheme="minorHAnsi" w:hAnsiTheme="minorHAnsi" w:cstheme="minorHAnsi"/>
                <w:sz w:val="20"/>
              </w:rPr>
            </w:pPr>
            <w:r w:rsidRPr="00D65FFE">
              <w:rPr>
                <w:rFonts w:asciiTheme="minorHAnsi" w:hAnsiTheme="minorHAnsi" w:cstheme="minorHAnsi"/>
                <w:b/>
                <w:bCs/>
                <w:sz w:val="20"/>
              </w:rPr>
              <w:t>Indication</w:t>
            </w:r>
          </w:p>
        </w:tc>
        <w:tc>
          <w:tcPr>
            <w:tcW w:w="4066" w:type="pct"/>
          </w:tcPr>
          <w:p w:rsidRPr="00D65FFE" w:rsidR="003F6EF3" w:rsidP="00E525C7" w:rsidRDefault="003F6EF3" w14:paraId="6D59FFF2" w14:textId="77777777">
            <w:pPr>
              <w:rPr>
                <w:rFonts w:asciiTheme="minorHAnsi" w:hAnsiTheme="minorHAnsi" w:cstheme="minorHAnsi"/>
                <w:sz w:val="20"/>
              </w:rPr>
            </w:pPr>
            <w:r w:rsidRPr="00D65FFE">
              <w:rPr>
                <w:rFonts w:asciiTheme="minorHAnsi" w:hAnsiTheme="minorHAnsi" w:cstheme="minorHAnsi"/>
                <w:sz w:val="20"/>
              </w:rPr>
              <w:t>Sedation</w:t>
            </w:r>
          </w:p>
          <w:p w:rsidRPr="00D65FFE" w:rsidR="003F6EF3" w:rsidP="00E525C7" w:rsidRDefault="003F6EF3" w14:paraId="30BCCDB8" w14:textId="77777777">
            <w:pPr>
              <w:rPr>
                <w:rFonts w:asciiTheme="minorHAnsi" w:hAnsiTheme="minorHAnsi" w:cstheme="minorHAnsi"/>
                <w:sz w:val="20"/>
              </w:rPr>
            </w:pPr>
            <w:r w:rsidRPr="00D65FFE">
              <w:rPr>
                <w:rFonts w:asciiTheme="minorHAnsi" w:hAnsiTheme="minorHAnsi" w:cstheme="minorHAnsi"/>
                <w:sz w:val="20"/>
              </w:rPr>
              <w:t xml:space="preserve">Hypertension </w:t>
            </w:r>
          </w:p>
          <w:p w:rsidRPr="00D65FFE" w:rsidR="003F6EF3" w:rsidP="00E525C7" w:rsidRDefault="003F6EF3" w14:paraId="562CC769" w14:textId="77777777">
            <w:pPr>
              <w:rPr>
                <w:rFonts w:asciiTheme="minorHAnsi" w:hAnsiTheme="minorHAnsi" w:cstheme="minorHAnsi"/>
                <w:sz w:val="20"/>
              </w:rPr>
            </w:pPr>
            <w:r w:rsidRPr="00D65FFE">
              <w:rPr>
                <w:rFonts w:asciiTheme="minorHAnsi" w:hAnsiTheme="minorHAnsi" w:cstheme="minorHAnsi"/>
                <w:sz w:val="20"/>
              </w:rPr>
              <w:t>Neonatal abstinence syndrome</w:t>
            </w:r>
          </w:p>
        </w:tc>
      </w:tr>
      <w:tr w:rsidRPr="00D65FFE" w:rsidR="003F6EF3" w:rsidTr="77BEE3D0" w14:paraId="682985D0" w14:textId="77777777">
        <w:trPr>
          <w:trHeight w:val="70"/>
        </w:trPr>
        <w:tc>
          <w:tcPr>
            <w:tcW w:w="934" w:type="pct"/>
          </w:tcPr>
          <w:p w:rsidRPr="00D65FFE" w:rsidR="003F6EF3" w:rsidP="00E525C7" w:rsidRDefault="003F6EF3" w14:paraId="6618FA72" w14:textId="77777777">
            <w:pPr>
              <w:pStyle w:val="BodyText"/>
              <w:rPr>
                <w:rFonts w:asciiTheme="minorHAnsi" w:hAnsiTheme="minorHAnsi" w:cstheme="minorHAnsi"/>
                <w:b/>
                <w:bCs/>
                <w:sz w:val="20"/>
              </w:rPr>
            </w:pPr>
            <w:r w:rsidRPr="00D65FFE">
              <w:rPr>
                <w:rFonts w:asciiTheme="minorHAnsi" w:hAnsiTheme="minorHAnsi" w:cstheme="minorHAnsi"/>
                <w:b/>
                <w:bCs/>
                <w:sz w:val="20"/>
              </w:rPr>
              <w:t>Action</w:t>
            </w:r>
          </w:p>
        </w:tc>
        <w:tc>
          <w:tcPr>
            <w:tcW w:w="4066" w:type="pct"/>
          </w:tcPr>
          <w:p w:rsidRPr="00D65FFE" w:rsidR="003F6EF3" w:rsidP="00E525C7" w:rsidRDefault="003F6EF3" w14:paraId="674CDE19" w14:textId="77777777">
            <w:pPr>
              <w:pStyle w:val="BodyText"/>
              <w:tabs>
                <w:tab w:val="left" w:pos="1168"/>
              </w:tabs>
              <w:rPr>
                <w:rFonts w:asciiTheme="minorHAnsi" w:hAnsiTheme="minorHAnsi" w:cstheme="minorHAnsi"/>
                <w:sz w:val="20"/>
              </w:rPr>
            </w:pPr>
            <w:r w:rsidRPr="00D65FFE">
              <w:rPr>
                <w:rFonts w:asciiTheme="minorHAnsi" w:hAnsiTheme="minorHAnsi" w:cstheme="minorHAnsi"/>
                <w:sz w:val="20"/>
              </w:rPr>
              <w:t xml:space="preserve">Clonidine is an α2-agonist used to produce reduction in blood pressure and sedation. </w:t>
            </w:r>
          </w:p>
          <w:p w:rsidRPr="00D65FFE" w:rsidR="003F6EF3" w:rsidP="00E525C7" w:rsidRDefault="003F6EF3" w14:paraId="0AF15A80" w14:textId="77777777">
            <w:pPr>
              <w:pStyle w:val="BodyText"/>
              <w:tabs>
                <w:tab w:val="left" w:pos="1168"/>
              </w:tabs>
              <w:rPr>
                <w:rFonts w:asciiTheme="minorHAnsi" w:hAnsiTheme="minorHAnsi" w:cstheme="minorHAnsi"/>
                <w:sz w:val="20"/>
              </w:rPr>
            </w:pPr>
            <w:r w:rsidRPr="00D65FFE">
              <w:rPr>
                <w:rFonts w:asciiTheme="minorHAnsi" w:hAnsiTheme="minorHAnsi" w:cstheme="minorHAnsi"/>
                <w:sz w:val="20"/>
              </w:rPr>
              <w:t xml:space="preserve">Compared with dexmedetomidine, clonidine has a lower selectivity for α2-receptors (α1:α2ratio of 1:1620 for dexmedetomidine versus 1:220 for clonidine). As central α2 effects are sedative, clonidine is less sedating than dexmedetomidine. </w:t>
            </w:r>
            <w:r w:rsidRPr="00D65FFE">
              <w:rPr>
                <w:rFonts w:asciiTheme="minorHAnsi" w:hAnsiTheme="minorHAnsi" w:cstheme="minorHAnsi"/>
                <w:noProof/>
                <w:sz w:val="20"/>
              </w:rPr>
              <w:t>[1]</w:t>
            </w:r>
          </w:p>
        </w:tc>
      </w:tr>
      <w:tr w:rsidRPr="00D65FFE" w:rsidR="003F6EF3" w:rsidTr="77BEE3D0" w14:paraId="1A4F392A" w14:textId="77777777">
        <w:trPr>
          <w:trHeight w:val="266"/>
        </w:trPr>
        <w:tc>
          <w:tcPr>
            <w:tcW w:w="934" w:type="pct"/>
          </w:tcPr>
          <w:p w:rsidRPr="00D65FFE" w:rsidR="003F6EF3" w:rsidP="00E525C7" w:rsidRDefault="003F6EF3" w14:paraId="1BFF67F0" w14:textId="77777777">
            <w:pPr>
              <w:pStyle w:val="BodyText"/>
              <w:rPr>
                <w:rFonts w:asciiTheme="minorHAnsi" w:hAnsiTheme="minorHAnsi" w:cstheme="minorHAnsi"/>
                <w:sz w:val="20"/>
              </w:rPr>
            </w:pPr>
            <w:r w:rsidRPr="00D65FFE">
              <w:rPr>
                <w:rFonts w:asciiTheme="minorHAnsi" w:hAnsiTheme="minorHAnsi" w:cstheme="minorHAnsi"/>
                <w:b/>
                <w:bCs/>
                <w:sz w:val="20"/>
              </w:rPr>
              <w:t xml:space="preserve">Drug type                                   </w:t>
            </w:r>
          </w:p>
        </w:tc>
        <w:tc>
          <w:tcPr>
            <w:tcW w:w="4066" w:type="pct"/>
          </w:tcPr>
          <w:p w:rsidRPr="00D65FFE" w:rsidR="003F6EF3" w:rsidP="00E525C7" w:rsidRDefault="003F6EF3" w14:paraId="304320D4" w14:textId="77777777">
            <w:pPr>
              <w:pStyle w:val="BodyText"/>
              <w:rPr>
                <w:rFonts w:asciiTheme="minorHAnsi" w:hAnsiTheme="minorHAnsi" w:cstheme="minorHAnsi"/>
                <w:sz w:val="20"/>
              </w:rPr>
            </w:pPr>
            <w:r w:rsidRPr="00D65FFE">
              <w:rPr>
                <w:rFonts w:asciiTheme="minorHAnsi" w:hAnsiTheme="minorHAnsi" w:cstheme="minorHAnsi"/>
                <w:sz w:val="20"/>
              </w:rPr>
              <w:t>Sedative, hypnotic. Centrally acting α2-agonist.</w:t>
            </w:r>
          </w:p>
        </w:tc>
      </w:tr>
      <w:tr w:rsidRPr="00D65FFE" w:rsidR="003F6EF3" w:rsidTr="77BEE3D0" w14:paraId="497FF5CC" w14:textId="77777777">
        <w:trPr>
          <w:trHeight w:val="114"/>
        </w:trPr>
        <w:tc>
          <w:tcPr>
            <w:tcW w:w="934" w:type="pct"/>
          </w:tcPr>
          <w:p w:rsidRPr="00D65FFE" w:rsidR="003F6EF3" w:rsidP="00E525C7" w:rsidRDefault="003F6EF3" w14:paraId="6C50B30F"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Trade name                  </w:t>
            </w:r>
          </w:p>
        </w:tc>
        <w:tc>
          <w:tcPr>
            <w:tcW w:w="4066" w:type="pct"/>
          </w:tcPr>
          <w:p w:rsidRPr="00D65FFE" w:rsidR="003F6EF3" w:rsidP="00E525C7" w:rsidRDefault="003F6EF3" w14:paraId="6EF22621" w14:textId="77777777">
            <w:pPr>
              <w:pStyle w:val="BodyText"/>
              <w:rPr>
                <w:rFonts w:asciiTheme="minorHAnsi" w:hAnsiTheme="minorHAnsi" w:cstheme="minorHAnsi"/>
                <w:sz w:val="20"/>
              </w:rPr>
            </w:pPr>
            <w:r w:rsidRPr="00D65FFE">
              <w:rPr>
                <w:rFonts w:asciiTheme="minorHAnsi" w:hAnsiTheme="minorHAnsi" w:cstheme="minorHAnsi"/>
                <w:sz w:val="20"/>
              </w:rPr>
              <w:t>Catapres Ampoules</w:t>
            </w:r>
          </w:p>
          <w:p w:rsidRPr="00D65FFE" w:rsidR="003F6EF3" w:rsidP="00E525C7" w:rsidRDefault="003F6EF3" w14:paraId="5AADBE8A" w14:textId="77777777">
            <w:pPr>
              <w:pStyle w:val="BodyText"/>
              <w:rPr>
                <w:rFonts w:asciiTheme="minorHAnsi" w:hAnsiTheme="minorHAnsi" w:cstheme="minorHAnsi"/>
                <w:sz w:val="20"/>
              </w:rPr>
            </w:pPr>
            <w:r w:rsidRPr="00D65FFE">
              <w:rPr>
                <w:rFonts w:asciiTheme="minorHAnsi" w:hAnsiTheme="minorHAnsi" w:cstheme="minorHAnsi"/>
                <w:sz w:val="20"/>
              </w:rPr>
              <w:t>MZ Clonidine HCl Injection</w:t>
            </w:r>
          </w:p>
          <w:p w:rsidRPr="00D65FFE" w:rsidR="003F6EF3" w:rsidP="00E525C7" w:rsidRDefault="003F6EF3" w14:paraId="5673AC64" w14:textId="77777777">
            <w:pPr>
              <w:pStyle w:val="BodyText"/>
              <w:rPr>
                <w:rFonts w:asciiTheme="minorHAnsi" w:hAnsiTheme="minorHAnsi" w:cstheme="minorHAnsi"/>
                <w:sz w:val="20"/>
              </w:rPr>
            </w:pPr>
            <w:r w:rsidRPr="00D65FFE">
              <w:rPr>
                <w:rFonts w:asciiTheme="minorHAnsi" w:hAnsiTheme="minorHAnsi" w:cstheme="minorHAnsi"/>
                <w:sz w:val="20"/>
              </w:rPr>
              <w:t xml:space="preserve">APO-Clonidine Tablets </w:t>
            </w:r>
          </w:p>
          <w:p w:rsidRPr="00D65FFE" w:rsidR="003F6EF3" w:rsidP="00E525C7" w:rsidRDefault="003F6EF3" w14:paraId="2EA966A0" w14:textId="77777777">
            <w:pPr>
              <w:pStyle w:val="BodyText"/>
              <w:rPr>
                <w:rFonts w:asciiTheme="minorHAnsi" w:hAnsiTheme="minorHAnsi" w:cstheme="minorHAnsi"/>
                <w:sz w:val="20"/>
              </w:rPr>
            </w:pPr>
            <w:r w:rsidRPr="00D65FFE">
              <w:rPr>
                <w:rFonts w:asciiTheme="minorHAnsi" w:hAnsiTheme="minorHAnsi" w:cstheme="minorHAnsi"/>
                <w:sz w:val="20"/>
              </w:rPr>
              <w:t>Catapres 100 Tablets</w:t>
            </w:r>
          </w:p>
          <w:p w:rsidRPr="00D65FFE" w:rsidR="003F6EF3" w:rsidP="00E525C7" w:rsidRDefault="003F6EF3" w14:paraId="33D2C9FD" w14:textId="77777777">
            <w:pPr>
              <w:pStyle w:val="BodyText"/>
              <w:rPr>
                <w:rFonts w:asciiTheme="minorHAnsi" w:hAnsiTheme="minorHAnsi" w:cstheme="minorHAnsi"/>
                <w:sz w:val="20"/>
              </w:rPr>
            </w:pPr>
            <w:r w:rsidRPr="00D65FFE">
              <w:rPr>
                <w:rFonts w:asciiTheme="minorHAnsi" w:hAnsiTheme="minorHAnsi" w:cstheme="minorHAnsi"/>
                <w:sz w:val="20"/>
              </w:rPr>
              <w:t>Catapres 150 Tablets</w:t>
            </w:r>
          </w:p>
          <w:p w:rsidRPr="00D65FFE" w:rsidR="003F6EF3" w:rsidP="00E525C7" w:rsidRDefault="003F6EF3" w14:paraId="389BBBCA" w14:textId="77777777">
            <w:pPr>
              <w:pStyle w:val="BodyText"/>
              <w:rPr>
                <w:rFonts w:asciiTheme="minorHAnsi" w:hAnsiTheme="minorHAnsi" w:cstheme="minorHAnsi"/>
                <w:sz w:val="20"/>
              </w:rPr>
            </w:pPr>
            <w:r w:rsidRPr="00D65FFE">
              <w:rPr>
                <w:rFonts w:asciiTheme="minorHAnsi" w:hAnsiTheme="minorHAnsi" w:cstheme="minorHAnsi"/>
                <w:sz w:val="20"/>
              </w:rPr>
              <w:t>Oral solution or suspension: Compounded by pharmacy in-house (check which strength is stocked with Pharmacy Department).</w:t>
            </w:r>
          </w:p>
        </w:tc>
      </w:tr>
      <w:tr w:rsidRPr="00D65FFE" w:rsidR="003F6EF3" w:rsidTr="77BEE3D0" w14:paraId="6039F9B7" w14:textId="77777777">
        <w:trPr>
          <w:trHeight w:val="70"/>
        </w:trPr>
        <w:tc>
          <w:tcPr>
            <w:tcW w:w="934" w:type="pct"/>
          </w:tcPr>
          <w:p w:rsidRPr="00D65FFE" w:rsidR="003F6EF3" w:rsidP="00E525C7" w:rsidRDefault="003F6EF3" w14:paraId="4D055C8A"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Presentation </w:t>
            </w:r>
          </w:p>
        </w:tc>
        <w:tc>
          <w:tcPr>
            <w:tcW w:w="4066" w:type="pct"/>
          </w:tcPr>
          <w:p w:rsidRPr="00D65FFE" w:rsidR="003F6EF3" w:rsidP="00E525C7" w:rsidRDefault="003F6EF3" w14:paraId="61BBF445" w14:textId="77777777">
            <w:pPr>
              <w:pStyle w:val="BodyText"/>
              <w:rPr>
                <w:rFonts w:asciiTheme="minorHAnsi" w:hAnsiTheme="minorHAnsi" w:cstheme="minorHAnsi"/>
                <w:sz w:val="20"/>
              </w:rPr>
            </w:pPr>
            <w:r w:rsidRPr="00D65FFE">
              <w:rPr>
                <w:rFonts w:asciiTheme="minorHAnsi" w:hAnsiTheme="minorHAnsi" w:cstheme="minorHAnsi"/>
                <w:sz w:val="20"/>
              </w:rPr>
              <w:t xml:space="preserve">IV preparations: </w:t>
            </w:r>
          </w:p>
          <w:p w:rsidRPr="00D65FFE" w:rsidR="003F6EF3" w:rsidP="00E525C7" w:rsidRDefault="003F6EF3" w14:paraId="0296E89E" w14:textId="77777777">
            <w:pPr>
              <w:pStyle w:val="BodyText"/>
              <w:rPr>
                <w:rFonts w:asciiTheme="minorHAnsi" w:hAnsiTheme="minorHAnsi" w:cstheme="minorHAnsi"/>
                <w:sz w:val="20"/>
              </w:rPr>
            </w:pPr>
            <w:r w:rsidRPr="00D65FFE">
              <w:rPr>
                <w:rFonts w:asciiTheme="minorHAnsi" w:hAnsiTheme="minorHAnsi" w:cstheme="minorHAnsi"/>
                <w:sz w:val="20"/>
              </w:rPr>
              <w:t>150 microgram/mL ampoule</w:t>
            </w:r>
          </w:p>
          <w:p w:rsidRPr="00D65FFE" w:rsidR="003F6EF3" w:rsidP="00E525C7" w:rsidRDefault="003F6EF3" w14:paraId="726697F0" w14:textId="77777777">
            <w:pPr>
              <w:pStyle w:val="BodyText"/>
              <w:rPr>
                <w:rFonts w:asciiTheme="minorHAnsi" w:hAnsiTheme="minorHAnsi" w:cstheme="minorHAnsi"/>
                <w:sz w:val="20"/>
              </w:rPr>
            </w:pPr>
          </w:p>
          <w:p w:rsidRPr="00D65FFE" w:rsidR="003F6EF3" w:rsidP="00E525C7" w:rsidRDefault="003F6EF3" w14:paraId="64DFC846" w14:textId="77777777">
            <w:pPr>
              <w:pStyle w:val="BodyText"/>
              <w:rPr>
                <w:rFonts w:asciiTheme="minorHAnsi" w:hAnsiTheme="minorHAnsi" w:cstheme="minorHAnsi"/>
                <w:sz w:val="20"/>
              </w:rPr>
            </w:pPr>
            <w:r w:rsidRPr="00D65FFE">
              <w:rPr>
                <w:rFonts w:asciiTheme="minorHAnsi" w:hAnsiTheme="minorHAnsi" w:cstheme="minorHAnsi"/>
                <w:sz w:val="20"/>
              </w:rPr>
              <w:t>Oral preparations:</w:t>
            </w:r>
          </w:p>
          <w:p w:rsidRPr="00D65FFE" w:rsidR="003F6EF3" w:rsidP="00E525C7" w:rsidRDefault="003F6EF3" w14:paraId="78132089" w14:textId="77777777">
            <w:pPr>
              <w:pStyle w:val="BodyText"/>
              <w:rPr>
                <w:rFonts w:asciiTheme="minorHAnsi" w:hAnsiTheme="minorHAnsi" w:cstheme="minorHAnsi"/>
                <w:sz w:val="20"/>
              </w:rPr>
            </w:pPr>
            <w:r w:rsidRPr="00D65FFE">
              <w:rPr>
                <w:rFonts w:asciiTheme="minorHAnsi" w:hAnsiTheme="minorHAnsi" w:cstheme="minorHAnsi"/>
                <w:sz w:val="20"/>
              </w:rPr>
              <w:t>100 microgram/tablet, 150 microgram/tablet</w:t>
            </w:r>
          </w:p>
          <w:p w:rsidRPr="00D65FFE" w:rsidR="003F6EF3" w:rsidP="00E525C7" w:rsidRDefault="003F6EF3" w14:paraId="10D41252" w14:textId="77777777">
            <w:pPr>
              <w:pStyle w:val="BodyText"/>
              <w:rPr>
                <w:rFonts w:asciiTheme="minorHAnsi" w:hAnsiTheme="minorHAnsi" w:cstheme="minorHAnsi"/>
                <w:sz w:val="20"/>
              </w:rPr>
            </w:pPr>
            <w:r w:rsidRPr="00D65FFE">
              <w:rPr>
                <w:rFonts w:asciiTheme="minorHAnsi" w:hAnsiTheme="minorHAnsi" w:cstheme="minorHAnsi"/>
                <w:sz w:val="20"/>
              </w:rPr>
              <w:t>Solution or suspension: Compounded by pharmacy in-house (check which strength is stocked with Pharmacy Department).</w:t>
            </w:r>
          </w:p>
          <w:p w:rsidRPr="00D65FFE" w:rsidR="003F6EF3" w:rsidP="00E525C7" w:rsidRDefault="003F6EF3" w14:paraId="32CF92A8" w14:textId="77777777">
            <w:pPr>
              <w:pStyle w:val="BodyText"/>
              <w:rPr>
                <w:rFonts w:asciiTheme="minorHAnsi" w:hAnsiTheme="minorHAnsi" w:cstheme="minorHAnsi"/>
                <w:sz w:val="20"/>
              </w:rPr>
            </w:pPr>
            <w:r w:rsidRPr="00D65FFE">
              <w:rPr>
                <w:rFonts w:asciiTheme="minorHAnsi" w:hAnsiTheme="minorHAnsi" w:cstheme="minorHAnsi"/>
                <w:sz w:val="20"/>
              </w:rPr>
              <w:t>IV clonidine (ampoule) may be given orally either neat or diluted with water prior to administration to give a suitable dose volume.</w:t>
            </w:r>
          </w:p>
        </w:tc>
      </w:tr>
      <w:tr w:rsidRPr="00D65FFE" w:rsidR="003F6EF3" w:rsidTr="77BEE3D0" w14:paraId="41A1BDB3" w14:textId="77777777">
        <w:trPr>
          <w:trHeight w:val="70"/>
        </w:trPr>
        <w:tc>
          <w:tcPr>
            <w:tcW w:w="934" w:type="pct"/>
          </w:tcPr>
          <w:p w:rsidRPr="00D65FFE" w:rsidR="003F6EF3" w:rsidP="00E525C7" w:rsidRDefault="003F6EF3" w14:paraId="2B2DD4A6"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Dosage/Interval                           </w:t>
            </w:r>
          </w:p>
        </w:tc>
        <w:tc>
          <w:tcPr>
            <w:tcW w:w="4066" w:type="pct"/>
          </w:tcPr>
          <w:p w:rsidRPr="00D65FFE" w:rsidR="003F6EF3" w:rsidP="00E525C7" w:rsidRDefault="003F6EF3" w14:paraId="18439EC0" w14:textId="77777777">
            <w:pPr>
              <w:rPr>
                <w:rFonts w:asciiTheme="minorHAnsi" w:hAnsiTheme="minorHAnsi" w:cstheme="minorHAnsi"/>
                <w:b/>
                <w:sz w:val="20"/>
              </w:rPr>
            </w:pPr>
            <w:r w:rsidRPr="00D65FFE">
              <w:rPr>
                <w:rFonts w:asciiTheme="minorHAnsi" w:hAnsiTheme="minorHAnsi" w:cstheme="minorHAnsi"/>
                <w:b/>
                <w:sz w:val="20"/>
              </w:rPr>
              <w:t>Sedation</w:t>
            </w:r>
            <w:r w:rsidRPr="00D65FFE">
              <w:rPr>
                <w:rStyle w:val="CommentReference"/>
                <w:rFonts w:asciiTheme="minorHAnsi" w:hAnsiTheme="minorHAnsi" w:cstheme="minorHAnsi"/>
                <w:sz w:val="20"/>
              </w:rPr>
              <w:t>:</w:t>
            </w:r>
          </w:p>
          <w:p w:rsidRPr="00D65FFE" w:rsidR="003F6EF3" w:rsidP="00E525C7" w:rsidRDefault="003F6EF3" w14:paraId="752DF94C" w14:textId="77777777">
            <w:pPr>
              <w:rPr>
                <w:rFonts w:asciiTheme="minorHAnsi" w:hAnsiTheme="minorHAnsi" w:cstheme="minorHAnsi"/>
                <w:sz w:val="20"/>
              </w:rPr>
            </w:pPr>
            <w:r w:rsidRPr="00D65FFE">
              <w:rPr>
                <w:rFonts w:asciiTheme="minorHAnsi" w:hAnsiTheme="minorHAnsi" w:cstheme="minorHAnsi"/>
                <w:sz w:val="20"/>
              </w:rPr>
              <w:t>IV</w:t>
            </w:r>
            <w:r>
              <w:rPr>
                <w:rFonts w:asciiTheme="minorHAnsi" w:hAnsiTheme="minorHAnsi" w:cstheme="minorHAnsi"/>
                <w:sz w:val="20"/>
              </w:rPr>
              <w:t xml:space="preserve"> infusion</w:t>
            </w:r>
            <w:r w:rsidRPr="00D65FFE">
              <w:rPr>
                <w:rFonts w:asciiTheme="minorHAnsi" w:hAnsiTheme="minorHAnsi" w:cstheme="minorHAnsi"/>
                <w:sz w:val="20"/>
              </w:rPr>
              <w:t>: Loading dose of 0.5</w:t>
            </w:r>
            <w:r>
              <w:rPr>
                <w:rFonts w:asciiTheme="minorHAnsi" w:hAnsiTheme="minorHAnsi" w:cstheme="minorHAnsi"/>
                <w:sz w:val="20"/>
              </w:rPr>
              <w:t xml:space="preserve"> to </w:t>
            </w:r>
            <w:r w:rsidRPr="00D65FFE">
              <w:rPr>
                <w:rFonts w:asciiTheme="minorHAnsi" w:hAnsiTheme="minorHAnsi" w:cstheme="minorHAnsi"/>
                <w:sz w:val="20"/>
              </w:rPr>
              <w:t xml:space="preserve">1 microgram/kg over 15 minutes followed by a continuous infusion of 0.2 microgram/kg/hour and titrate up to a maximum of 1 microgram/kg/hour in hemodynamically stable neonates. </w:t>
            </w:r>
            <w:r w:rsidRPr="00D65FFE">
              <w:rPr>
                <w:rFonts w:asciiTheme="minorHAnsi" w:hAnsiTheme="minorHAnsi" w:cstheme="minorHAnsi"/>
                <w:noProof/>
                <w:sz w:val="20"/>
              </w:rPr>
              <w:t>[2]</w:t>
            </w:r>
          </w:p>
          <w:p w:rsidRPr="00D65FFE" w:rsidR="003F6EF3" w:rsidP="00E525C7" w:rsidRDefault="003F6EF3" w14:paraId="7FC1D8BC" w14:textId="77777777">
            <w:pPr>
              <w:rPr>
                <w:rFonts w:asciiTheme="minorHAnsi" w:hAnsiTheme="minorHAnsi" w:cstheme="minorHAnsi"/>
                <w:sz w:val="20"/>
              </w:rPr>
            </w:pPr>
          </w:p>
          <w:p w:rsidRPr="00D65FFE" w:rsidR="003F6EF3" w:rsidP="00E525C7" w:rsidRDefault="003F6EF3" w14:paraId="4AA49583" w14:textId="77777777">
            <w:pPr>
              <w:rPr>
                <w:rFonts w:asciiTheme="minorHAnsi" w:hAnsiTheme="minorHAnsi" w:cstheme="minorHAnsi"/>
                <w:sz w:val="20"/>
              </w:rPr>
            </w:pPr>
            <w:r w:rsidRPr="00D65FFE">
              <w:rPr>
                <w:rFonts w:asciiTheme="minorHAnsi" w:hAnsiTheme="minorHAnsi" w:cstheme="minorHAnsi"/>
                <w:sz w:val="20"/>
              </w:rPr>
              <w:t xml:space="preserve">ORAL: 1 microgram/kg/dose 8 hourly and titrate it up to a maximum 2 micrograms/kg/dose 6 hourly. </w:t>
            </w:r>
            <w:r w:rsidRPr="00D65FFE">
              <w:rPr>
                <w:rFonts w:asciiTheme="minorHAnsi" w:hAnsiTheme="minorHAnsi" w:cstheme="minorHAnsi"/>
                <w:noProof/>
                <w:sz w:val="20"/>
              </w:rPr>
              <w:t>[2, 3]</w:t>
            </w:r>
            <w:r w:rsidRPr="00D65FFE">
              <w:rPr>
                <w:rFonts w:asciiTheme="minorHAnsi" w:hAnsiTheme="minorHAnsi" w:cstheme="minorHAnsi"/>
                <w:sz w:val="20"/>
              </w:rPr>
              <w:t xml:space="preserve"> [Group consensus]</w:t>
            </w:r>
          </w:p>
          <w:p w:rsidRPr="00D65FFE" w:rsidR="003F6EF3" w:rsidP="00E525C7" w:rsidRDefault="003F6EF3" w14:paraId="2708AE1D" w14:textId="77777777">
            <w:pPr>
              <w:pStyle w:val="BodyText"/>
              <w:rPr>
                <w:rFonts w:asciiTheme="minorHAnsi" w:hAnsiTheme="minorHAnsi" w:cstheme="minorHAnsi"/>
                <w:b/>
                <w:sz w:val="20"/>
              </w:rPr>
            </w:pPr>
          </w:p>
          <w:p w:rsidRPr="00D65FFE" w:rsidR="003F6EF3" w:rsidP="00E525C7" w:rsidRDefault="003F6EF3" w14:paraId="130C5B1D" w14:textId="77777777">
            <w:pPr>
              <w:pStyle w:val="BodyText"/>
              <w:rPr>
                <w:rFonts w:asciiTheme="minorHAnsi" w:hAnsiTheme="minorHAnsi" w:cstheme="minorHAnsi"/>
                <w:b/>
                <w:sz w:val="20"/>
              </w:rPr>
            </w:pPr>
            <w:r w:rsidRPr="00D65FFE">
              <w:rPr>
                <w:rFonts w:asciiTheme="minorHAnsi" w:hAnsiTheme="minorHAnsi" w:cstheme="minorHAnsi"/>
                <w:b/>
                <w:sz w:val="20"/>
              </w:rPr>
              <w:t>Acute severe hypertension:</w:t>
            </w:r>
          </w:p>
          <w:p w:rsidRPr="00D65FFE" w:rsidR="003F6EF3" w:rsidP="00E525C7" w:rsidRDefault="003F6EF3" w14:paraId="5C103370" w14:textId="77777777">
            <w:pPr>
              <w:pStyle w:val="BodyText"/>
              <w:rPr>
                <w:rFonts w:asciiTheme="minorHAnsi" w:hAnsiTheme="minorHAnsi" w:cstheme="minorHAnsi"/>
                <w:color w:val="FF0000"/>
                <w:sz w:val="20"/>
              </w:rPr>
            </w:pPr>
            <w:r w:rsidRPr="00D65FFE">
              <w:rPr>
                <w:rFonts w:asciiTheme="minorHAnsi" w:hAnsiTheme="minorHAnsi" w:cstheme="minorHAnsi"/>
                <w:sz w:val="20"/>
              </w:rPr>
              <w:t xml:space="preserve">10 microgram/kg infused over 4 hours. Additional dose of 5 microgram/kg may be given. </w:t>
            </w:r>
            <w:r w:rsidRPr="00D65FFE">
              <w:rPr>
                <w:rFonts w:asciiTheme="minorHAnsi" w:hAnsiTheme="minorHAnsi" w:cstheme="minorHAnsi"/>
                <w:noProof/>
                <w:sz w:val="20"/>
              </w:rPr>
              <w:t>[4]</w:t>
            </w:r>
            <w:r w:rsidRPr="00D65FFE">
              <w:rPr>
                <w:rFonts w:asciiTheme="minorHAnsi" w:hAnsiTheme="minorHAnsi" w:cstheme="minorHAnsi"/>
                <w:sz w:val="20"/>
              </w:rPr>
              <w:t xml:space="preserve"> Consider continuous intra-arterial monitoring.</w:t>
            </w:r>
          </w:p>
          <w:p w:rsidRPr="00D65FFE" w:rsidR="003F6EF3" w:rsidP="00E525C7" w:rsidRDefault="003F6EF3" w14:paraId="74922999" w14:textId="77777777">
            <w:pPr>
              <w:pStyle w:val="BodyText"/>
              <w:rPr>
                <w:rFonts w:asciiTheme="minorHAnsi" w:hAnsiTheme="minorHAnsi" w:cstheme="minorHAnsi"/>
                <w:sz w:val="20"/>
              </w:rPr>
            </w:pPr>
          </w:p>
          <w:p w:rsidRPr="00D65FFE" w:rsidR="003F6EF3" w:rsidP="00E525C7" w:rsidRDefault="003F6EF3" w14:paraId="2652D196" w14:textId="77777777">
            <w:pPr>
              <w:pStyle w:val="BodyText"/>
              <w:rPr>
                <w:rFonts w:asciiTheme="minorHAnsi" w:hAnsiTheme="minorHAnsi" w:cstheme="minorHAnsi"/>
                <w:b/>
                <w:sz w:val="20"/>
              </w:rPr>
            </w:pPr>
            <w:r w:rsidRPr="00D65FFE">
              <w:rPr>
                <w:rFonts w:asciiTheme="minorHAnsi" w:hAnsiTheme="minorHAnsi" w:cstheme="minorHAnsi"/>
                <w:b/>
                <w:sz w:val="20"/>
              </w:rPr>
              <w:t>Chronic hypertension:</w:t>
            </w:r>
          </w:p>
          <w:p w:rsidRPr="00D65FFE" w:rsidR="003F6EF3" w:rsidP="00E525C7" w:rsidRDefault="003F6EF3" w14:paraId="523F3CD6" w14:textId="77777777">
            <w:pPr>
              <w:rPr>
                <w:rFonts w:asciiTheme="minorHAnsi" w:hAnsiTheme="minorHAnsi" w:cstheme="minorHAnsi"/>
                <w:sz w:val="20"/>
              </w:rPr>
            </w:pPr>
            <w:r w:rsidRPr="00D65FFE">
              <w:rPr>
                <w:rFonts w:asciiTheme="minorHAnsi" w:hAnsiTheme="minorHAnsi" w:cstheme="minorHAnsi"/>
                <w:sz w:val="20"/>
              </w:rPr>
              <w:t>Oral: 0.5</w:t>
            </w:r>
            <w:r>
              <w:rPr>
                <w:rFonts w:asciiTheme="minorHAnsi" w:hAnsiTheme="minorHAnsi" w:cstheme="minorHAnsi"/>
                <w:sz w:val="20"/>
              </w:rPr>
              <w:t xml:space="preserve"> to </w:t>
            </w:r>
            <w:r w:rsidRPr="00D65FFE">
              <w:rPr>
                <w:rFonts w:asciiTheme="minorHAnsi" w:hAnsiTheme="minorHAnsi" w:cstheme="minorHAnsi"/>
                <w:sz w:val="20"/>
              </w:rPr>
              <w:t>2.5 microgram/kg/dose 6</w:t>
            </w:r>
            <w:r>
              <w:rPr>
                <w:rFonts w:asciiTheme="minorHAnsi" w:hAnsiTheme="minorHAnsi" w:cstheme="minorHAnsi"/>
                <w:sz w:val="20"/>
              </w:rPr>
              <w:t xml:space="preserve"> to </w:t>
            </w:r>
            <w:r w:rsidRPr="00D65FFE">
              <w:rPr>
                <w:rFonts w:asciiTheme="minorHAnsi" w:hAnsiTheme="minorHAnsi" w:cstheme="minorHAnsi"/>
                <w:sz w:val="20"/>
              </w:rPr>
              <w:t xml:space="preserve">8 hourly. </w:t>
            </w:r>
            <w:r w:rsidRPr="00D65FFE">
              <w:rPr>
                <w:rFonts w:asciiTheme="minorHAnsi" w:hAnsiTheme="minorHAnsi" w:cstheme="minorHAnsi"/>
                <w:noProof/>
                <w:sz w:val="20"/>
              </w:rPr>
              <w:t>[5, 6]</w:t>
            </w:r>
            <w:r w:rsidRPr="00D65FFE">
              <w:rPr>
                <w:rFonts w:asciiTheme="minorHAnsi" w:hAnsiTheme="minorHAnsi" w:cstheme="minorHAnsi"/>
                <w:sz w:val="20"/>
              </w:rPr>
              <w:t xml:space="preserve"> </w:t>
            </w:r>
          </w:p>
          <w:p w:rsidRPr="00D65FFE" w:rsidR="003F6EF3" w:rsidP="00E525C7" w:rsidRDefault="003F6EF3" w14:paraId="5F0DB34F" w14:textId="77777777">
            <w:pPr>
              <w:rPr>
                <w:rFonts w:asciiTheme="minorHAnsi" w:hAnsiTheme="minorHAnsi" w:cstheme="minorHAnsi"/>
                <w:sz w:val="20"/>
              </w:rPr>
            </w:pPr>
          </w:p>
          <w:p w:rsidRPr="00D65FFE" w:rsidR="003F6EF3" w:rsidP="00E525C7" w:rsidRDefault="003F6EF3" w14:paraId="2BA4C82D" w14:textId="77777777">
            <w:pPr>
              <w:rPr>
                <w:rFonts w:asciiTheme="minorHAnsi" w:hAnsiTheme="minorHAnsi" w:cstheme="minorHAnsi"/>
                <w:b/>
                <w:sz w:val="20"/>
              </w:rPr>
            </w:pPr>
            <w:r w:rsidRPr="00D65FFE">
              <w:rPr>
                <w:rFonts w:asciiTheme="minorHAnsi" w:hAnsiTheme="minorHAnsi" w:cstheme="minorHAnsi"/>
                <w:b/>
                <w:sz w:val="20"/>
              </w:rPr>
              <w:t xml:space="preserve">Neonatal abstinence syndrome: </w:t>
            </w:r>
          </w:p>
          <w:p w:rsidRPr="00D65FFE" w:rsidR="003F6EF3" w:rsidP="00E525C7" w:rsidRDefault="003F6EF3" w14:paraId="6BA01E18" w14:textId="77777777">
            <w:pPr>
              <w:rPr>
                <w:rFonts w:asciiTheme="minorHAnsi" w:hAnsiTheme="minorHAnsi" w:cstheme="minorHAnsi"/>
                <w:sz w:val="20"/>
              </w:rPr>
            </w:pPr>
            <w:r w:rsidRPr="00D65FFE">
              <w:rPr>
                <w:rFonts w:asciiTheme="minorHAnsi" w:hAnsiTheme="minorHAnsi" w:cstheme="minorHAnsi"/>
                <w:sz w:val="20"/>
              </w:rPr>
              <w:t>Initial therapy: 5 microgram/kg/day divided in 6</w:t>
            </w:r>
            <w:r>
              <w:rPr>
                <w:rFonts w:asciiTheme="minorHAnsi" w:hAnsiTheme="minorHAnsi" w:cstheme="minorHAnsi"/>
                <w:sz w:val="20"/>
              </w:rPr>
              <w:t xml:space="preserve"> to </w:t>
            </w:r>
            <w:r w:rsidRPr="00D65FFE">
              <w:rPr>
                <w:rFonts w:asciiTheme="minorHAnsi" w:hAnsiTheme="minorHAnsi" w:cstheme="minorHAnsi"/>
                <w:sz w:val="20"/>
              </w:rPr>
              <w:t>8 doses (oral recommended).</w:t>
            </w:r>
          </w:p>
          <w:p w:rsidRPr="00D65FFE" w:rsidR="003F6EF3" w:rsidP="00E525C7" w:rsidRDefault="003F6EF3" w14:paraId="78AF5DF3" w14:textId="77777777">
            <w:pPr>
              <w:pStyle w:val="BodyText"/>
              <w:tabs>
                <w:tab w:val="left" w:pos="1168"/>
              </w:tabs>
              <w:rPr>
                <w:rFonts w:asciiTheme="minorHAnsi" w:hAnsiTheme="minorHAnsi" w:cstheme="minorHAnsi"/>
                <w:sz w:val="20"/>
              </w:rPr>
            </w:pPr>
            <w:r w:rsidRPr="00D65FFE">
              <w:rPr>
                <w:rFonts w:asciiTheme="minorHAnsi" w:hAnsiTheme="minorHAnsi" w:cstheme="minorHAnsi"/>
                <w:sz w:val="20"/>
              </w:rPr>
              <w:t xml:space="preserve">Increase dose by 25% every 24 hours to a maximum 12 microgram/kg/day according to neonatal abstinence syndrome scores. </w:t>
            </w:r>
            <w:r w:rsidRPr="00D65FFE">
              <w:rPr>
                <w:rFonts w:asciiTheme="minorHAnsi" w:hAnsiTheme="minorHAnsi" w:cstheme="minorHAnsi"/>
                <w:noProof/>
                <w:sz w:val="20"/>
              </w:rPr>
              <w:t>[7]</w:t>
            </w:r>
            <w:r w:rsidRPr="00D65FFE">
              <w:rPr>
                <w:rFonts w:asciiTheme="minorHAnsi" w:hAnsiTheme="minorHAnsi" w:cstheme="minorHAnsi"/>
                <w:sz w:val="20"/>
              </w:rPr>
              <w:t xml:space="preserve"> </w:t>
            </w:r>
          </w:p>
          <w:p w:rsidRPr="00D65FFE" w:rsidR="003F6EF3" w:rsidP="00E525C7" w:rsidRDefault="003F6EF3" w14:paraId="7AB42E62" w14:textId="77777777">
            <w:pPr>
              <w:pStyle w:val="BodyText"/>
              <w:tabs>
                <w:tab w:val="left" w:pos="1168"/>
              </w:tabs>
              <w:rPr>
                <w:rFonts w:asciiTheme="minorHAnsi" w:hAnsiTheme="minorHAnsi" w:cstheme="minorHAnsi"/>
                <w:sz w:val="20"/>
              </w:rPr>
            </w:pPr>
          </w:p>
          <w:p w:rsidRPr="00D65FFE" w:rsidR="003F6EF3" w:rsidP="00E525C7" w:rsidRDefault="003F6EF3" w14:paraId="6D645039" w14:textId="77777777">
            <w:pPr>
              <w:pStyle w:val="BodyText"/>
              <w:tabs>
                <w:tab w:val="left" w:pos="1168"/>
              </w:tabs>
              <w:rPr>
                <w:rFonts w:asciiTheme="minorHAnsi" w:hAnsiTheme="minorHAnsi" w:cstheme="minorHAnsi"/>
                <w:b/>
                <w:sz w:val="20"/>
              </w:rPr>
            </w:pPr>
            <w:r w:rsidRPr="00D65FFE">
              <w:rPr>
                <w:rFonts w:asciiTheme="minorHAnsi" w:hAnsiTheme="minorHAnsi" w:cstheme="minorHAnsi"/>
                <w:b/>
                <w:sz w:val="20"/>
              </w:rPr>
              <w:t>Weaning/ceasing clonidine:</w:t>
            </w:r>
          </w:p>
          <w:p w:rsidRPr="00D65FFE" w:rsidR="003F6EF3" w:rsidP="00E525C7" w:rsidRDefault="003F6EF3" w14:paraId="3C6686D4" w14:textId="77777777">
            <w:pPr>
              <w:pStyle w:val="BodyText"/>
              <w:tabs>
                <w:tab w:val="left" w:pos="1168"/>
              </w:tabs>
              <w:rPr>
                <w:rFonts w:asciiTheme="minorHAnsi" w:hAnsiTheme="minorHAnsi" w:cstheme="minorHAnsi"/>
                <w:sz w:val="20"/>
              </w:rPr>
            </w:pPr>
            <w:r w:rsidRPr="00D65FFE">
              <w:rPr>
                <w:rFonts w:asciiTheme="minorHAnsi" w:hAnsiTheme="minorHAnsi" w:cstheme="minorHAnsi"/>
                <w:sz w:val="20"/>
              </w:rPr>
              <w:t>If a neonate has received regular clonidine for &gt;5 days, the dose should be weaned by about 50% each day for 2</w:t>
            </w:r>
            <w:r>
              <w:rPr>
                <w:rFonts w:asciiTheme="minorHAnsi" w:hAnsiTheme="minorHAnsi" w:cstheme="minorHAnsi"/>
                <w:sz w:val="20"/>
              </w:rPr>
              <w:t xml:space="preserve"> to </w:t>
            </w:r>
            <w:r w:rsidRPr="00D65FFE">
              <w:rPr>
                <w:rFonts w:asciiTheme="minorHAnsi" w:hAnsiTheme="minorHAnsi" w:cstheme="minorHAnsi"/>
                <w:sz w:val="20"/>
              </w:rPr>
              <w:t>3 days (reflecting an average half-life of 17 hours in neonates) before ceasing the drug. Watch for tachycardia, hypertension, sweating, agitation, but remember these may also be opioid withdrawal symptoms.</w:t>
            </w:r>
          </w:p>
          <w:p w:rsidRPr="00D65FFE" w:rsidR="003F6EF3" w:rsidP="00E525C7" w:rsidRDefault="003F6EF3" w14:paraId="444F510D" w14:textId="77777777">
            <w:pPr>
              <w:pStyle w:val="BodyText"/>
              <w:tabs>
                <w:tab w:val="left" w:pos="1168"/>
              </w:tabs>
              <w:rPr>
                <w:rFonts w:asciiTheme="minorHAnsi" w:hAnsiTheme="minorHAnsi" w:cstheme="minorHAnsi"/>
                <w:sz w:val="20"/>
              </w:rPr>
            </w:pPr>
          </w:p>
          <w:p w:rsidRPr="00D65FFE" w:rsidR="003F6EF3" w:rsidP="00E525C7" w:rsidRDefault="003F6EF3" w14:paraId="31E537FD" w14:textId="77777777">
            <w:pPr>
              <w:pStyle w:val="BodyText"/>
              <w:tabs>
                <w:tab w:val="left" w:pos="1168"/>
              </w:tabs>
              <w:rPr>
                <w:rFonts w:asciiTheme="minorHAnsi" w:hAnsiTheme="minorHAnsi" w:cstheme="minorHAnsi"/>
                <w:sz w:val="20"/>
              </w:rPr>
            </w:pPr>
            <w:r w:rsidRPr="00D65FFE">
              <w:rPr>
                <w:rFonts w:asciiTheme="minorHAnsi" w:hAnsiTheme="minorHAnsi" w:cstheme="minorHAnsi"/>
                <w:sz w:val="20"/>
              </w:rPr>
              <w:t>Intravenous clonidine can be converted to oral/nasogastric route when requirements are less than 0.75 microgram/kg/hour. The same daily dose is divided into 3 doses for 8 hourly administration (i.e. 4</w:t>
            </w:r>
            <w:r>
              <w:rPr>
                <w:rFonts w:asciiTheme="minorHAnsi" w:hAnsiTheme="minorHAnsi" w:cstheme="minorHAnsi"/>
                <w:sz w:val="20"/>
              </w:rPr>
              <w:t xml:space="preserve"> to </w:t>
            </w:r>
            <w:r w:rsidRPr="00D65FFE">
              <w:rPr>
                <w:rFonts w:asciiTheme="minorHAnsi" w:hAnsiTheme="minorHAnsi" w:cstheme="minorHAnsi"/>
                <w:sz w:val="20"/>
              </w:rPr>
              <w:t>6 microgram/kg orally every 8 hours). [Group consensus]</w:t>
            </w:r>
          </w:p>
        </w:tc>
      </w:tr>
      <w:tr w:rsidRPr="00D65FFE" w:rsidR="003F6EF3" w:rsidTr="77BEE3D0" w14:paraId="31D7759A" w14:textId="77777777">
        <w:trPr>
          <w:trHeight w:val="407"/>
        </w:trPr>
        <w:tc>
          <w:tcPr>
            <w:tcW w:w="934" w:type="pct"/>
          </w:tcPr>
          <w:p w:rsidRPr="00D65FFE" w:rsidR="003F6EF3" w:rsidP="00E525C7" w:rsidRDefault="003F6EF3" w14:paraId="74F75F3B" w14:textId="77777777">
            <w:pPr>
              <w:pStyle w:val="BodyText"/>
              <w:rPr>
                <w:rFonts w:asciiTheme="minorHAnsi" w:hAnsiTheme="minorHAnsi" w:cstheme="minorHAnsi"/>
                <w:b/>
                <w:sz w:val="20"/>
              </w:rPr>
            </w:pPr>
            <w:r w:rsidRPr="00D65FFE">
              <w:rPr>
                <w:rFonts w:asciiTheme="minorHAnsi" w:hAnsiTheme="minorHAnsi" w:cstheme="minorHAnsi"/>
                <w:b/>
                <w:sz w:val="20"/>
              </w:rPr>
              <w:lastRenderedPageBreak/>
              <w:t>Dose adjustments</w:t>
            </w:r>
          </w:p>
          <w:p w:rsidRPr="00D65FFE" w:rsidR="003F6EF3" w:rsidP="00E525C7" w:rsidRDefault="003F6EF3" w14:paraId="510D4727" w14:textId="77777777">
            <w:pPr>
              <w:pStyle w:val="BodyText"/>
              <w:rPr>
                <w:rFonts w:asciiTheme="minorHAnsi" w:hAnsiTheme="minorHAnsi" w:cstheme="minorHAnsi"/>
                <w:b/>
                <w:sz w:val="20"/>
              </w:rPr>
            </w:pPr>
          </w:p>
        </w:tc>
        <w:tc>
          <w:tcPr>
            <w:tcW w:w="4066" w:type="pct"/>
          </w:tcPr>
          <w:p w:rsidRPr="00D65FFE" w:rsidR="003F6EF3" w:rsidP="00E525C7" w:rsidRDefault="003F6EF3" w14:paraId="056F9297" w14:textId="77777777">
            <w:pPr>
              <w:pStyle w:val="BodyText"/>
              <w:rPr>
                <w:rFonts w:asciiTheme="minorHAnsi" w:hAnsiTheme="minorHAnsi" w:cstheme="minorHAnsi"/>
                <w:sz w:val="20"/>
              </w:rPr>
            </w:pPr>
            <w:r w:rsidRPr="00D65FFE">
              <w:rPr>
                <w:rFonts w:asciiTheme="minorHAnsi" w:hAnsiTheme="minorHAnsi" w:cstheme="minorHAnsi"/>
                <w:sz w:val="20"/>
              </w:rPr>
              <w:t xml:space="preserve">Therapeutic hypothermia: no information. </w:t>
            </w:r>
          </w:p>
          <w:p w:rsidRPr="00D65FFE" w:rsidR="003F6EF3" w:rsidP="00E525C7" w:rsidRDefault="003F6EF3" w14:paraId="24576228" w14:textId="77777777">
            <w:pPr>
              <w:pStyle w:val="BodyText"/>
              <w:rPr>
                <w:rFonts w:asciiTheme="minorHAnsi" w:hAnsiTheme="minorHAnsi" w:cstheme="minorHAnsi"/>
                <w:sz w:val="20"/>
              </w:rPr>
            </w:pPr>
            <w:r w:rsidRPr="00D65FFE">
              <w:rPr>
                <w:rFonts w:asciiTheme="minorHAnsi" w:hAnsiTheme="minorHAnsi" w:cstheme="minorHAnsi"/>
                <w:sz w:val="20"/>
              </w:rPr>
              <w:t>ECMO: no information.</w:t>
            </w:r>
          </w:p>
          <w:p w:rsidRPr="00D65FFE" w:rsidR="003F6EF3" w:rsidP="00E525C7" w:rsidRDefault="003F6EF3" w14:paraId="475D4DF4" w14:textId="77777777">
            <w:pPr>
              <w:pStyle w:val="BodyText"/>
              <w:rPr>
                <w:rFonts w:asciiTheme="minorHAnsi" w:hAnsiTheme="minorHAnsi" w:cstheme="minorHAnsi"/>
                <w:sz w:val="20"/>
              </w:rPr>
            </w:pPr>
            <w:r w:rsidRPr="00D65FFE">
              <w:rPr>
                <w:rFonts w:asciiTheme="minorHAnsi" w:hAnsiTheme="minorHAnsi" w:cstheme="minorHAnsi"/>
                <w:sz w:val="20"/>
              </w:rPr>
              <w:t>Renal: commence on a low dose in infants with renal impairment and adjust according to response.</w:t>
            </w:r>
          </w:p>
          <w:p w:rsidRPr="00D65FFE" w:rsidR="003F6EF3" w:rsidP="00E525C7" w:rsidRDefault="003F6EF3" w14:paraId="61847709" w14:textId="77777777">
            <w:pPr>
              <w:pStyle w:val="BodyText"/>
              <w:rPr>
                <w:rFonts w:asciiTheme="minorHAnsi" w:hAnsiTheme="minorHAnsi" w:cstheme="minorHAnsi"/>
                <w:sz w:val="20"/>
              </w:rPr>
            </w:pPr>
            <w:r w:rsidRPr="00D65FFE">
              <w:rPr>
                <w:rFonts w:asciiTheme="minorHAnsi" w:hAnsiTheme="minorHAnsi" w:cstheme="minorHAnsi"/>
                <w:sz w:val="20"/>
              </w:rPr>
              <w:t>Hepatic: not applicable.</w:t>
            </w:r>
          </w:p>
        </w:tc>
      </w:tr>
      <w:tr w:rsidRPr="00D65FFE" w:rsidR="003F6EF3" w:rsidTr="77BEE3D0" w14:paraId="06D69876" w14:textId="77777777">
        <w:trPr>
          <w:trHeight w:val="407"/>
        </w:trPr>
        <w:tc>
          <w:tcPr>
            <w:tcW w:w="934" w:type="pct"/>
          </w:tcPr>
          <w:p w:rsidRPr="00D65FFE" w:rsidR="003F6EF3" w:rsidP="00E525C7" w:rsidRDefault="003F6EF3" w14:paraId="31C76CEA" w14:textId="77777777">
            <w:pPr>
              <w:pStyle w:val="BodyText"/>
              <w:rPr>
                <w:rFonts w:asciiTheme="minorHAnsi" w:hAnsiTheme="minorHAnsi" w:cstheme="minorHAnsi"/>
                <w:b/>
                <w:sz w:val="20"/>
              </w:rPr>
            </w:pPr>
            <w:r w:rsidRPr="00D65FFE">
              <w:rPr>
                <w:rFonts w:asciiTheme="minorHAnsi" w:hAnsiTheme="minorHAnsi" w:cstheme="minorHAnsi"/>
                <w:b/>
                <w:sz w:val="20"/>
              </w:rPr>
              <w:t>Maximum dose</w:t>
            </w:r>
          </w:p>
        </w:tc>
        <w:tc>
          <w:tcPr>
            <w:tcW w:w="4066" w:type="pct"/>
          </w:tcPr>
          <w:p w:rsidRPr="00D65FFE" w:rsidR="003F6EF3" w:rsidP="00E525C7" w:rsidRDefault="003F6EF3" w14:paraId="4AAA09ED" w14:textId="77777777">
            <w:pPr>
              <w:pStyle w:val="BodyText"/>
              <w:rPr>
                <w:rFonts w:asciiTheme="minorHAnsi" w:hAnsiTheme="minorHAnsi" w:cstheme="minorHAnsi"/>
                <w:sz w:val="20"/>
              </w:rPr>
            </w:pPr>
            <w:r w:rsidRPr="00D65FFE">
              <w:rPr>
                <w:rFonts w:asciiTheme="minorHAnsi" w:hAnsiTheme="minorHAnsi" w:cstheme="minorHAnsi"/>
                <w:sz w:val="20"/>
              </w:rPr>
              <w:t xml:space="preserve">Neonatal abstinence syndrome: 12 microgram/kg/day. </w:t>
            </w:r>
            <w:r w:rsidRPr="00D65FFE">
              <w:rPr>
                <w:rFonts w:asciiTheme="minorHAnsi" w:hAnsiTheme="minorHAnsi" w:cstheme="minorHAnsi"/>
                <w:noProof/>
                <w:sz w:val="20"/>
              </w:rPr>
              <w:t>[7]</w:t>
            </w:r>
          </w:p>
          <w:p w:rsidRPr="00D65FFE" w:rsidR="003F6EF3" w:rsidP="00E525C7" w:rsidRDefault="003F6EF3" w14:paraId="784B966C" w14:textId="77777777">
            <w:pPr>
              <w:pStyle w:val="BodyText"/>
              <w:rPr>
                <w:rFonts w:asciiTheme="minorHAnsi" w:hAnsiTheme="minorHAnsi" w:cstheme="minorHAnsi"/>
                <w:sz w:val="20"/>
              </w:rPr>
            </w:pPr>
            <w:r w:rsidRPr="00D65FFE">
              <w:rPr>
                <w:rFonts w:asciiTheme="minorHAnsi" w:hAnsiTheme="minorHAnsi" w:cstheme="minorHAnsi"/>
                <w:sz w:val="20"/>
              </w:rPr>
              <w:t xml:space="preserve">Hypertension: 25 microgram/kg/day has been reported. However, it is recommended to use in combination with other antihypertensive agents rather than at higher dose as a single agent. </w:t>
            </w:r>
            <w:r w:rsidRPr="00D65FFE">
              <w:rPr>
                <w:rFonts w:asciiTheme="minorHAnsi" w:hAnsiTheme="minorHAnsi" w:cstheme="minorHAnsi"/>
                <w:noProof/>
                <w:sz w:val="20"/>
              </w:rPr>
              <w:t>[2]</w:t>
            </w:r>
          </w:p>
        </w:tc>
      </w:tr>
      <w:tr w:rsidRPr="00D65FFE" w:rsidR="003F6EF3" w:rsidTr="77BEE3D0" w14:paraId="35FCD00E" w14:textId="77777777">
        <w:trPr>
          <w:trHeight w:val="407"/>
        </w:trPr>
        <w:tc>
          <w:tcPr>
            <w:tcW w:w="934" w:type="pct"/>
          </w:tcPr>
          <w:p w:rsidRPr="00D65FFE" w:rsidR="003F6EF3" w:rsidP="00E525C7" w:rsidRDefault="003F6EF3" w14:paraId="71A397A5" w14:textId="77777777">
            <w:pPr>
              <w:pStyle w:val="BodyText"/>
              <w:rPr>
                <w:rFonts w:asciiTheme="minorHAnsi" w:hAnsiTheme="minorHAnsi" w:cstheme="minorHAnsi"/>
                <w:b/>
                <w:bCs/>
                <w:sz w:val="20"/>
              </w:rPr>
            </w:pPr>
            <w:r w:rsidRPr="00D65FFE">
              <w:rPr>
                <w:rFonts w:asciiTheme="minorHAnsi" w:hAnsiTheme="minorHAnsi" w:cstheme="minorHAnsi"/>
                <w:b/>
                <w:sz w:val="20"/>
              </w:rPr>
              <w:t>Total cumulative dose</w:t>
            </w:r>
          </w:p>
        </w:tc>
        <w:tc>
          <w:tcPr>
            <w:tcW w:w="4066" w:type="pct"/>
          </w:tcPr>
          <w:p w:rsidRPr="00D65FFE" w:rsidR="003F6EF3" w:rsidP="00E525C7" w:rsidRDefault="003F6EF3" w14:paraId="2BFD784C" w14:textId="77777777">
            <w:pPr>
              <w:pStyle w:val="BodyText"/>
              <w:rPr>
                <w:rFonts w:asciiTheme="minorHAnsi" w:hAnsiTheme="minorHAnsi" w:cstheme="minorHAnsi"/>
                <w:b/>
                <w:sz w:val="20"/>
              </w:rPr>
            </w:pPr>
          </w:p>
        </w:tc>
      </w:tr>
      <w:tr w:rsidRPr="00D65FFE" w:rsidR="003F6EF3" w:rsidTr="77BEE3D0" w14:paraId="40434404" w14:textId="77777777">
        <w:trPr>
          <w:trHeight w:val="294"/>
        </w:trPr>
        <w:tc>
          <w:tcPr>
            <w:tcW w:w="934" w:type="pct"/>
          </w:tcPr>
          <w:p w:rsidRPr="00D65FFE" w:rsidR="003F6EF3" w:rsidP="00E525C7" w:rsidRDefault="003F6EF3" w14:paraId="3EC677C3" w14:textId="77777777">
            <w:pPr>
              <w:pStyle w:val="BodyText"/>
              <w:rPr>
                <w:rFonts w:asciiTheme="minorHAnsi" w:hAnsiTheme="minorHAnsi" w:cstheme="minorHAnsi"/>
                <w:sz w:val="20"/>
              </w:rPr>
            </w:pPr>
            <w:r w:rsidRPr="00D65FFE">
              <w:rPr>
                <w:rFonts w:asciiTheme="minorHAnsi" w:hAnsiTheme="minorHAnsi" w:cstheme="minorHAnsi"/>
                <w:b/>
                <w:bCs/>
                <w:sz w:val="20"/>
              </w:rPr>
              <w:t xml:space="preserve">Route                                </w:t>
            </w:r>
          </w:p>
        </w:tc>
        <w:tc>
          <w:tcPr>
            <w:tcW w:w="4066" w:type="pct"/>
          </w:tcPr>
          <w:p w:rsidRPr="00D65FFE" w:rsidR="003F6EF3" w:rsidP="00E525C7" w:rsidRDefault="003F6EF3" w14:paraId="5EED430A" w14:textId="77777777">
            <w:pPr>
              <w:pStyle w:val="BodyText"/>
              <w:rPr>
                <w:rFonts w:asciiTheme="minorHAnsi" w:hAnsiTheme="minorHAnsi" w:cstheme="minorHAnsi"/>
                <w:sz w:val="20"/>
              </w:rPr>
            </w:pPr>
            <w:r w:rsidRPr="00D65FFE">
              <w:rPr>
                <w:rFonts w:asciiTheme="minorHAnsi" w:hAnsiTheme="minorHAnsi" w:cstheme="minorHAnsi"/>
                <w:sz w:val="20"/>
              </w:rPr>
              <w:t>IV</w:t>
            </w:r>
          </w:p>
          <w:p w:rsidRPr="00D65FFE" w:rsidR="003F6EF3" w:rsidP="00E525C7" w:rsidRDefault="003F6EF3" w14:paraId="4F31B03F" w14:textId="77777777">
            <w:pPr>
              <w:pStyle w:val="BodyText"/>
              <w:rPr>
                <w:rFonts w:asciiTheme="minorHAnsi" w:hAnsiTheme="minorHAnsi" w:cstheme="minorHAnsi"/>
                <w:sz w:val="20"/>
              </w:rPr>
            </w:pPr>
            <w:r w:rsidRPr="00D65FFE">
              <w:rPr>
                <w:rFonts w:asciiTheme="minorHAnsi" w:hAnsiTheme="minorHAnsi" w:cstheme="minorHAnsi"/>
                <w:sz w:val="20"/>
              </w:rPr>
              <w:t>Oral</w:t>
            </w:r>
          </w:p>
        </w:tc>
      </w:tr>
      <w:tr w:rsidRPr="00D65FFE" w:rsidR="003F6EF3" w:rsidTr="77BEE3D0" w14:paraId="379C04A0" w14:textId="77777777">
        <w:trPr>
          <w:trHeight w:val="93"/>
        </w:trPr>
        <w:tc>
          <w:tcPr>
            <w:tcW w:w="934" w:type="pct"/>
          </w:tcPr>
          <w:p w:rsidRPr="00D65FFE" w:rsidR="003F6EF3" w:rsidP="77BEE3D0" w:rsidRDefault="1E7CA8F2" w14:paraId="6F953334" w14:textId="13459470">
            <w:pPr>
              <w:pStyle w:val="BodyText"/>
              <w:rPr>
                <w:rFonts w:asciiTheme="minorHAnsi" w:hAnsiTheme="minorHAnsi" w:cstheme="minorBidi"/>
                <w:b/>
                <w:bCs/>
                <w:sz w:val="20"/>
                <w:highlight w:val="cyan"/>
              </w:rPr>
            </w:pPr>
            <w:r w:rsidRPr="77BEE3D0">
              <w:rPr>
                <w:rFonts w:asciiTheme="minorHAnsi" w:hAnsiTheme="minorHAnsi" w:cstheme="minorBidi"/>
                <w:b/>
                <w:bCs/>
                <w:sz w:val="20"/>
              </w:rPr>
              <w:t>Preparation</w:t>
            </w:r>
          </w:p>
        </w:tc>
        <w:tc>
          <w:tcPr>
            <w:tcW w:w="4066" w:type="pct"/>
          </w:tcPr>
          <w:p w:rsidRPr="00D65FFE" w:rsidR="003F6EF3" w:rsidP="00E525C7" w:rsidRDefault="003F6EF3" w14:paraId="49DA455B" w14:textId="77777777">
            <w:pPr>
              <w:pStyle w:val="BodyText"/>
              <w:rPr>
                <w:rFonts w:asciiTheme="minorHAnsi" w:hAnsiTheme="minorHAnsi" w:cstheme="minorHAnsi"/>
                <w:b/>
                <w:sz w:val="20"/>
              </w:rPr>
            </w:pPr>
            <w:r w:rsidRPr="00D65FFE">
              <w:rPr>
                <w:rFonts w:asciiTheme="minorHAnsi" w:hAnsiTheme="minorHAnsi" w:cstheme="minorHAnsi"/>
                <w:b/>
                <w:sz w:val="20"/>
              </w:rPr>
              <w:t>IV</w:t>
            </w:r>
            <w:r>
              <w:rPr>
                <w:rFonts w:asciiTheme="minorHAnsi" w:hAnsiTheme="minorHAnsi" w:cstheme="minorHAnsi"/>
                <w:b/>
                <w:sz w:val="20"/>
              </w:rPr>
              <w:t xml:space="preserve"> infusion</w:t>
            </w:r>
            <w:r w:rsidRPr="00D65FFE">
              <w:rPr>
                <w:rFonts w:asciiTheme="minorHAnsi" w:hAnsiTheme="minorHAnsi" w:cstheme="minorHAnsi"/>
                <w:b/>
                <w:sz w:val="20"/>
              </w:rPr>
              <w:t>:</w:t>
            </w:r>
          </w:p>
          <w:p w:rsidRPr="00D65FFE" w:rsidR="003F6EF3" w:rsidP="00E525C7" w:rsidRDefault="003F6EF3" w14:paraId="55A38A73" w14:textId="77777777">
            <w:pPr>
              <w:rPr>
                <w:rFonts w:eastAsia="Calibri" w:asciiTheme="minorHAnsi" w:hAnsiTheme="minorHAnsi" w:cstheme="minorHAnsi"/>
                <w:sz w:val="20"/>
              </w:rPr>
            </w:pPr>
            <w:r w:rsidRPr="00D65FFE">
              <w:rPr>
                <w:rFonts w:eastAsia="Calibri" w:asciiTheme="minorHAnsi" w:hAnsiTheme="minorHAnsi" w:cstheme="minorHAnsi"/>
                <w:sz w:val="20"/>
              </w:rPr>
              <w:t>Step 1:</w:t>
            </w:r>
          </w:p>
          <w:p w:rsidRPr="00D65FFE" w:rsidR="003F6EF3" w:rsidP="00E525C7" w:rsidRDefault="003F6EF3" w14:paraId="7E03482C" w14:textId="77777777">
            <w:pPr>
              <w:rPr>
                <w:rFonts w:eastAsia="Calibri" w:asciiTheme="minorHAnsi" w:hAnsiTheme="minorHAnsi" w:cstheme="minorHAnsi"/>
                <w:sz w:val="20"/>
              </w:rPr>
            </w:pPr>
            <w:r w:rsidRPr="00D65FFE">
              <w:rPr>
                <w:rFonts w:eastAsia="Calibri" w:asciiTheme="minorHAnsi" w:hAnsiTheme="minorHAnsi" w:cstheme="minorHAnsi"/>
                <w:sz w:val="20"/>
              </w:rPr>
              <w:t>Draw up 1 mL (150 micrograms) of Clonidine and add to 4 mL of Normal Saline 0.9% to make a final volume of 5 mL with a concentration of 150 microgram/5mL or 30microgram/mL.</w:t>
            </w:r>
          </w:p>
          <w:p w:rsidRPr="00D65FFE" w:rsidR="003F6EF3" w:rsidP="00E525C7" w:rsidRDefault="003F6EF3" w14:paraId="5EF4BD7D" w14:textId="77777777">
            <w:pPr>
              <w:rPr>
                <w:rFonts w:eastAsia="Calibri" w:asciiTheme="minorHAnsi" w:hAnsiTheme="minorHAnsi" w:cstheme="minorHAnsi"/>
                <w:sz w:val="20"/>
              </w:rPr>
            </w:pPr>
            <w:r w:rsidRPr="00D65FFE">
              <w:rPr>
                <w:rFonts w:eastAsia="Calibri" w:asciiTheme="minorHAnsi" w:hAnsiTheme="minorHAnsi" w:cstheme="minorHAnsi"/>
                <w:sz w:val="20"/>
              </w:rPr>
              <w:t> </w:t>
            </w:r>
          </w:p>
          <w:p w:rsidRPr="00D65FFE" w:rsidR="003F6EF3" w:rsidP="00E525C7" w:rsidRDefault="003F6EF3" w14:paraId="6E1647D6" w14:textId="77777777">
            <w:pPr>
              <w:rPr>
                <w:rFonts w:eastAsia="Calibri" w:asciiTheme="minorHAnsi" w:hAnsiTheme="minorHAnsi" w:cstheme="minorHAnsi"/>
                <w:sz w:val="20"/>
              </w:rPr>
            </w:pPr>
            <w:r w:rsidRPr="00D65FFE">
              <w:rPr>
                <w:rFonts w:eastAsia="Calibri" w:asciiTheme="minorHAnsi" w:hAnsiTheme="minorHAnsi" w:cstheme="minorHAnsi"/>
                <w:sz w:val="20"/>
              </w:rPr>
              <w:t>Step 2:</w:t>
            </w:r>
          </w:p>
          <w:p w:rsidRPr="00D65FFE" w:rsidR="003F6EF3" w:rsidP="00E525C7" w:rsidRDefault="003F6EF3" w14:paraId="67CEDE5E" w14:textId="77777777">
            <w:pPr>
              <w:autoSpaceDE w:val="0"/>
              <w:autoSpaceDN w:val="0"/>
              <w:rPr>
                <w:rFonts w:eastAsia="Calibri" w:asciiTheme="minorHAnsi" w:hAnsiTheme="minorHAnsi" w:cstheme="minorHAnsi"/>
                <w:color w:val="000000"/>
                <w:sz w:val="20"/>
              </w:rPr>
            </w:pPr>
            <w:r w:rsidRPr="00D65FFE">
              <w:rPr>
                <w:rFonts w:eastAsia="Calibri" w:asciiTheme="minorHAnsi" w:hAnsiTheme="minorHAnsi" w:cstheme="minorHAnsi"/>
                <w:color w:val="000000"/>
                <w:sz w:val="20"/>
              </w:rPr>
              <w:t>From the above solution draw up 1.</w:t>
            </w:r>
            <w:r>
              <w:rPr>
                <w:rFonts w:eastAsia="Calibri" w:asciiTheme="minorHAnsi" w:hAnsiTheme="minorHAnsi" w:cstheme="minorHAnsi"/>
                <w:color w:val="000000"/>
                <w:sz w:val="20"/>
              </w:rPr>
              <w:t>7</w:t>
            </w:r>
            <w:r w:rsidRPr="00D65FFE">
              <w:rPr>
                <w:rFonts w:eastAsia="Calibri" w:asciiTheme="minorHAnsi" w:hAnsiTheme="minorHAnsi" w:cstheme="minorHAnsi"/>
                <w:color w:val="000000"/>
                <w:sz w:val="20"/>
              </w:rPr>
              <w:t xml:space="preserve"> mL</w:t>
            </w:r>
            <w:r w:rsidRPr="00327C75">
              <w:rPr>
                <w:rFonts w:eastAsia="Calibri" w:asciiTheme="minorHAnsi" w:hAnsiTheme="minorHAnsi" w:cstheme="minorHAnsi"/>
                <w:b/>
                <w:color w:val="000000"/>
                <w:sz w:val="20"/>
              </w:rPr>
              <w:t>/kg</w:t>
            </w:r>
            <w:r w:rsidRPr="00D65FFE">
              <w:rPr>
                <w:rFonts w:eastAsia="Calibri" w:asciiTheme="minorHAnsi" w:hAnsiTheme="minorHAnsi" w:cstheme="minorHAnsi"/>
                <w:color w:val="000000"/>
                <w:sz w:val="20"/>
              </w:rPr>
              <w:t xml:space="preserve"> (50 microgram/kg) and further dilute with sodium chloride 0.9% to make a final volume of 50 mL with a concentration of 1 mL/hour = 1 microgram</w:t>
            </w:r>
            <w:r w:rsidRPr="00327C75">
              <w:rPr>
                <w:rFonts w:eastAsia="Calibri" w:asciiTheme="minorHAnsi" w:hAnsiTheme="minorHAnsi" w:cstheme="minorHAnsi"/>
                <w:b/>
                <w:color w:val="000000"/>
                <w:sz w:val="20"/>
              </w:rPr>
              <w:t>/kg/hour</w:t>
            </w:r>
            <w:r w:rsidRPr="00D65FFE">
              <w:rPr>
                <w:rFonts w:eastAsia="Calibri" w:asciiTheme="minorHAnsi" w:hAnsiTheme="minorHAnsi" w:cstheme="minorHAnsi"/>
                <w:color w:val="000000"/>
                <w:sz w:val="20"/>
              </w:rPr>
              <w:t>.</w:t>
            </w:r>
          </w:p>
          <w:p w:rsidRPr="00D65FFE" w:rsidR="003F6EF3" w:rsidP="00E525C7" w:rsidRDefault="003F6EF3" w14:paraId="06359F48" w14:textId="77777777">
            <w:pPr>
              <w:pStyle w:val="BodyText"/>
              <w:rPr>
                <w:rFonts w:asciiTheme="minorHAnsi" w:hAnsiTheme="minorHAnsi" w:cstheme="minorHAnsi"/>
                <w:sz w:val="20"/>
              </w:rPr>
            </w:pPr>
          </w:p>
          <w:p w:rsidRPr="00D65FFE" w:rsidR="003F6EF3" w:rsidP="00E525C7" w:rsidRDefault="003F6EF3" w14:paraId="522C4C8B" w14:textId="77777777">
            <w:pPr>
              <w:pStyle w:val="BodyText"/>
              <w:rPr>
                <w:rFonts w:asciiTheme="minorHAnsi" w:hAnsiTheme="minorHAnsi" w:cstheme="minorHAnsi"/>
                <w:b/>
                <w:sz w:val="20"/>
              </w:rPr>
            </w:pPr>
            <w:r w:rsidRPr="00D65FFE">
              <w:rPr>
                <w:rFonts w:asciiTheme="minorHAnsi" w:hAnsiTheme="minorHAnsi" w:cstheme="minorHAnsi"/>
                <w:b/>
                <w:sz w:val="20"/>
              </w:rPr>
              <w:t>Oral:</w:t>
            </w:r>
          </w:p>
          <w:p w:rsidRPr="00D65FFE" w:rsidR="003F6EF3" w:rsidP="00E525C7" w:rsidRDefault="003F6EF3" w14:paraId="088163F7" w14:textId="77777777">
            <w:pPr>
              <w:pStyle w:val="BodyText"/>
              <w:rPr>
                <w:rFonts w:asciiTheme="minorHAnsi" w:hAnsiTheme="minorHAnsi" w:cstheme="minorHAnsi"/>
                <w:sz w:val="20"/>
              </w:rPr>
            </w:pPr>
            <w:r w:rsidRPr="00D65FFE">
              <w:rPr>
                <w:rFonts w:asciiTheme="minorHAnsi" w:hAnsiTheme="minorHAnsi" w:cstheme="minorHAnsi"/>
                <w:sz w:val="20"/>
              </w:rPr>
              <w:t xml:space="preserve">Tablet: Disperse 100 microgram tablet in 20 mL sterile water. Tablet will disperse within 2 minutes. Shake or stir until an even dispersion is formed and then measure the required dose immediately. </w:t>
            </w:r>
          </w:p>
          <w:p w:rsidRPr="00D65FFE" w:rsidR="003F6EF3" w:rsidP="00E525C7" w:rsidRDefault="003F6EF3" w14:paraId="66E4AAAF" w14:textId="77777777">
            <w:pPr>
              <w:pStyle w:val="BodyText"/>
              <w:rPr>
                <w:rFonts w:asciiTheme="minorHAnsi" w:hAnsiTheme="minorHAnsi" w:cstheme="minorHAnsi"/>
                <w:sz w:val="20"/>
              </w:rPr>
            </w:pPr>
            <w:r w:rsidRPr="00D65FFE">
              <w:rPr>
                <w:rFonts w:asciiTheme="minorHAnsi" w:hAnsiTheme="minorHAnsi" w:cstheme="minorHAnsi"/>
                <w:sz w:val="20"/>
              </w:rPr>
              <w:t>IV clonidine (ampoule) may be given orally as either neat or diluted with water prior to administration to give a suitable dose volume.</w:t>
            </w:r>
          </w:p>
          <w:p w:rsidRPr="00D65FFE" w:rsidR="003F6EF3" w:rsidP="00E525C7" w:rsidRDefault="003F6EF3" w14:paraId="6D74DF00" w14:textId="77777777">
            <w:pPr>
              <w:pStyle w:val="BodyText"/>
              <w:rPr>
                <w:rFonts w:asciiTheme="minorHAnsi" w:hAnsiTheme="minorHAnsi" w:cstheme="minorHAnsi"/>
                <w:sz w:val="20"/>
              </w:rPr>
            </w:pPr>
            <w:r w:rsidRPr="00D65FFE">
              <w:rPr>
                <w:rFonts w:asciiTheme="minorHAnsi" w:hAnsiTheme="minorHAnsi" w:cstheme="minorHAnsi"/>
                <w:sz w:val="20"/>
              </w:rPr>
              <w:t>Solution or suspension: Compounded by pharmacy in-house (check which strength is stocked with Pharmacy Department).</w:t>
            </w:r>
          </w:p>
        </w:tc>
      </w:tr>
      <w:tr w:rsidRPr="00D65FFE" w:rsidR="003F6EF3" w:rsidTr="77BEE3D0" w14:paraId="310B344F" w14:textId="77777777">
        <w:trPr>
          <w:trHeight w:val="224"/>
        </w:trPr>
        <w:tc>
          <w:tcPr>
            <w:tcW w:w="934" w:type="pct"/>
          </w:tcPr>
          <w:p w:rsidRPr="00D65FFE" w:rsidR="003F6EF3" w:rsidP="00E525C7" w:rsidRDefault="003F6EF3" w14:paraId="776A5141"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Administration                </w:t>
            </w:r>
          </w:p>
        </w:tc>
        <w:tc>
          <w:tcPr>
            <w:tcW w:w="4066" w:type="pct"/>
            <w:vAlign w:val="center"/>
          </w:tcPr>
          <w:p w:rsidRPr="00D65FFE" w:rsidR="003F6EF3" w:rsidP="00E525C7" w:rsidRDefault="003F6EF3" w14:paraId="44BC105E" w14:textId="77777777">
            <w:pPr>
              <w:pStyle w:val="BodyText"/>
              <w:rPr>
                <w:rFonts w:asciiTheme="minorHAnsi" w:hAnsiTheme="minorHAnsi" w:cstheme="minorHAnsi"/>
                <w:sz w:val="20"/>
              </w:rPr>
            </w:pPr>
            <w:r w:rsidRPr="00D65FFE">
              <w:rPr>
                <w:rFonts w:asciiTheme="minorHAnsi" w:hAnsiTheme="minorHAnsi" w:cstheme="minorHAnsi"/>
                <w:sz w:val="20"/>
              </w:rPr>
              <w:t>IV infusion.</w:t>
            </w:r>
          </w:p>
          <w:p w:rsidRPr="00D65FFE" w:rsidR="003F6EF3" w:rsidP="00E525C7" w:rsidRDefault="003F6EF3" w14:paraId="7DCCB365" w14:textId="77777777">
            <w:pPr>
              <w:pStyle w:val="BodyText"/>
              <w:rPr>
                <w:rFonts w:asciiTheme="minorHAnsi" w:hAnsiTheme="minorHAnsi" w:cstheme="minorHAnsi"/>
                <w:sz w:val="20"/>
              </w:rPr>
            </w:pPr>
            <w:r w:rsidRPr="00D65FFE">
              <w:rPr>
                <w:rFonts w:asciiTheme="minorHAnsi" w:hAnsiTheme="minorHAnsi" w:cstheme="minorHAnsi"/>
                <w:sz w:val="20"/>
              </w:rPr>
              <w:t>Use a dedicated infusion line to avoid boluses.</w:t>
            </w:r>
          </w:p>
        </w:tc>
      </w:tr>
      <w:tr w:rsidRPr="00D65FFE" w:rsidR="003F6EF3" w:rsidTr="77BEE3D0" w14:paraId="72E3ECBD" w14:textId="77777777">
        <w:trPr>
          <w:trHeight w:val="215"/>
        </w:trPr>
        <w:tc>
          <w:tcPr>
            <w:tcW w:w="934" w:type="pct"/>
          </w:tcPr>
          <w:p w:rsidRPr="00D65FFE" w:rsidR="003F6EF3" w:rsidP="00E525C7" w:rsidRDefault="003F6EF3" w14:paraId="15E2960A"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Monitoring                              </w:t>
            </w:r>
          </w:p>
        </w:tc>
        <w:tc>
          <w:tcPr>
            <w:tcW w:w="4066" w:type="pct"/>
          </w:tcPr>
          <w:p w:rsidRPr="00D65FFE" w:rsidR="003F6EF3" w:rsidP="00E525C7" w:rsidRDefault="003F6EF3" w14:paraId="30A2C138" w14:textId="77777777">
            <w:pPr>
              <w:pStyle w:val="BodyText"/>
              <w:rPr>
                <w:rFonts w:asciiTheme="minorHAnsi" w:hAnsiTheme="minorHAnsi" w:cstheme="minorHAnsi"/>
                <w:sz w:val="20"/>
              </w:rPr>
            </w:pPr>
            <w:r w:rsidRPr="00D65FFE">
              <w:rPr>
                <w:rFonts w:asciiTheme="minorHAnsi" w:hAnsiTheme="minorHAnsi" w:cstheme="minorHAnsi"/>
                <w:sz w:val="20"/>
              </w:rPr>
              <w:t xml:space="preserve">Neonatal abstinence syndrome: monitor Neonatal Abstinence Syndrome scores, cardiorespiratory observations and intermittent blood pressure. </w:t>
            </w:r>
          </w:p>
          <w:p w:rsidRPr="00D65FFE" w:rsidR="003F6EF3" w:rsidP="00E525C7" w:rsidRDefault="003F6EF3" w14:paraId="6EDB5509" w14:textId="77777777">
            <w:pPr>
              <w:pStyle w:val="BodyText"/>
              <w:rPr>
                <w:rFonts w:asciiTheme="minorHAnsi" w:hAnsiTheme="minorHAnsi" w:cstheme="minorHAnsi"/>
                <w:sz w:val="20"/>
              </w:rPr>
            </w:pPr>
            <w:r w:rsidRPr="00D65FFE">
              <w:rPr>
                <w:rFonts w:asciiTheme="minorHAnsi" w:hAnsiTheme="minorHAnsi" w:cstheme="minorHAnsi"/>
                <w:sz w:val="20"/>
              </w:rPr>
              <w:t xml:space="preserve">Sedation of infants on mechanical ventilation: continuous electrocardiogram (ECG) and/or oxygen saturation and continuous or intermittent blood pressure,  pain and comfort scores. </w:t>
            </w:r>
          </w:p>
          <w:p w:rsidRPr="00D65FFE" w:rsidR="003F6EF3" w:rsidP="00E525C7" w:rsidRDefault="003F6EF3" w14:paraId="6F5A3659" w14:textId="77777777">
            <w:pPr>
              <w:pStyle w:val="BodyText"/>
              <w:rPr>
                <w:rFonts w:asciiTheme="minorHAnsi" w:hAnsiTheme="minorHAnsi" w:cstheme="minorHAnsi"/>
                <w:sz w:val="20"/>
              </w:rPr>
            </w:pPr>
            <w:r w:rsidRPr="00D65FFE">
              <w:rPr>
                <w:rFonts w:asciiTheme="minorHAnsi" w:hAnsiTheme="minorHAnsi" w:cstheme="minorHAnsi"/>
                <w:sz w:val="20"/>
              </w:rPr>
              <w:t>Hypertension: For initial treatment, continuous ECG and/or oxygen saturation, and continuous or intermittent blood pressure monitoring.</w:t>
            </w:r>
          </w:p>
        </w:tc>
      </w:tr>
      <w:tr w:rsidRPr="00D65FFE" w:rsidR="003F6EF3" w:rsidTr="77BEE3D0" w14:paraId="11AD4D44" w14:textId="77777777">
        <w:trPr>
          <w:trHeight w:val="342"/>
        </w:trPr>
        <w:tc>
          <w:tcPr>
            <w:tcW w:w="934" w:type="pct"/>
          </w:tcPr>
          <w:p w:rsidRPr="00D65FFE" w:rsidR="003F6EF3" w:rsidP="00E525C7" w:rsidRDefault="003F6EF3" w14:paraId="2CFE0AF8"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Contraindications                        </w:t>
            </w:r>
          </w:p>
        </w:tc>
        <w:tc>
          <w:tcPr>
            <w:tcW w:w="4066" w:type="pct"/>
          </w:tcPr>
          <w:p w:rsidRPr="00D65FFE" w:rsidR="003F6EF3" w:rsidP="00E525C7" w:rsidRDefault="003F6EF3" w14:paraId="28F78CC2" w14:textId="77777777">
            <w:pPr>
              <w:pStyle w:val="BodyText"/>
              <w:rPr>
                <w:rFonts w:asciiTheme="minorHAnsi" w:hAnsiTheme="minorHAnsi" w:cstheme="minorHAnsi"/>
                <w:sz w:val="20"/>
                <w:lang w:val="en-US"/>
              </w:rPr>
            </w:pPr>
            <w:r w:rsidRPr="00D65FFE">
              <w:rPr>
                <w:rFonts w:asciiTheme="minorHAnsi" w:hAnsiTheme="minorHAnsi" w:cstheme="minorHAnsi"/>
                <w:sz w:val="20"/>
                <w:lang w:val="en-US"/>
              </w:rPr>
              <w:t>Hypersensitivity to the drug.</w:t>
            </w:r>
          </w:p>
          <w:p w:rsidRPr="00D65FFE" w:rsidR="003F6EF3" w:rsidP="00E525C7" w:rsidRDefault="003F6EF3" w14:paraId="3BDFBEF3" w14:textId="77777777">
            <w:pPr>
              <w:pStyle w:val="BodyText"/>
              <w:rPr>
                <w:rFonts w:asciiTheme="minorHAnsi" w:hAnsiTheme="minorHAnsi" w:cstheme="minorHAnsi"/>
                <w:sz w:val="20"/>
              </w:rPr>
            </w:pPr>
            <w:r w:rsidRPr="00D65FFE">
              <w:rPr>
                <w:rFonts w:asciiTheme="minorHAnsi" w:hAnsiTheme="minorHAnsi" w:cstheme="minorHAnsi"/>
                <w:sz w:val="20"/>
                <w:lang w:val="en-US"/>
              </w:rPr>
              <w:t>Heart block or severe ventricular dysfunction.</w:t>
            </w:r>
          </w:p>
        </w:tc>
      </w:tr>
      <w:tr w:rsidRPr="00D65FFE" w:rsidR="003F6EF3" w:rsidTr="77BEE3D0" w14:paraId="5C6294D9" w14:textId="77777777">
        <w:tc>
          <w:tcPr>
            <w:tcW w:w="934" w:type="pct"/>
          </w:tcPr>
          <w:p w:rsidRPr="00D65FFE" w:rsidR="003F6EF3" w:rsidP="00E525C7" w:rsidRDefault="003F6EF3" w14:paraId="4079ED24" w14:textId="77777777">
            <w:pPr>
              <w:pStyle w:val="BodyText"/>
              <w:rPr>
                <w:rFonts w:asciiTheme="minorHAnsi" w:hAnsiTheme="minorHAnsi" w:cstheme="minorHAnsi"/>
                <w:b/>
                <w:bCs/>
                <w:sz w:val="20"/>
              </w:rPr>
            </w:pPr>
            <w:r w:rsidRPr="00D65FFE">
              <w:rPr>
                <w:rFonts w:asciiTheme="minorHAnsi" w:hAnsiTheme="minorHAnsi" w:cstheme="minorHAnsi"/>
                <w:sz w:val="20"/>
              </w:rPr>
              <w:lastRenderedPageBreak/>
              <w:br w:type="page"/>
            </w:r>
            <w:r w:rsidRPr="00D65FFE">
              <w:rPr>
                <w:rFonts w:asciiTheme="minorHAnsi" w:hAnsiTheme="minorHAnsi" w:cstheme="minorHAnsi"/>
                <w:b/>
                <w:bCs/>
                <w:sz w:val="20"/>
              </w:rPr>
              <w:t>Precautions</w:t>
            </w:r>
          </w:p>
        </w:tc>
        <w:tc>
          <w:tcPr>
            <w:tcW w:w="4066" w:type="pct"/>
          </w:tcPr>
          <w:p w:rsidRPr="00D65FFE" w:rsidR="003F6EF3" w:rsidP="00E525C7" w:rsidRDefault="003F6EF3" w14:paraId="208B43D7" w14:textId="77777777">
            <w:pPr>
              <w:pStyle w:val="BodyText"/>
              <w:rPr>
                <w:rFonts w:asciiTheme="minorHAnsi" w:hAnsiTheme="minorHAnsi" w:cstheme="minorHAnsi"/>
                <w:sz w:val="20"/>
              </w:rPr>
            </w:pPr>
            <w:r w:rsidRPr="00D65FFE">
              <w:rPr>
                <w:rFonts w:asciiTheme="minorHAnsi" w:hAnsiTheme="minorHAnsi" w:cstheme="minorHAnsi"/>
                <w:sz w:val="20"/>
              </w:rPr>
              <w:t xml:space="preserve">Rebound hypertension may occur after cessation. </w:t>
            </w:r>
          </w:p>
          <w:p w:rsidRPr="00D65FFE" w:rsidR="003F6EF3" w:rsidP="00E525C7" w:rsidRDefault="003F6EF3" w14:paraId="19B646B4" w14:textId="77777777">
            <w:pPr>
              <w:pStyle w:val="BodyText"/>
              <w:rPr>
                <w:rFonts w:asciiTheme="minorHAnsi" w:hAnsiTheme="minorHAnsi" w:cstheme="minorHAnsi"/>
                <w:sz w:val="20"/>
              </w:rPr>
            </w:pPr>
            <w:r w:rsidRPr="00D65FFE">
              <w:rPr>
                <w:rFonts w:asciiTheme="minorHAnsi" w:hAnsiTheme="minorHAnsi" w:cstheme="minorHAnsi"/>
                <w:sz w:val="20"/>
              </w:rPr>
              <w:t>Rebound neonatal abstinence syndrome may occur after cessation.</w:t>
            </w:r>
          </w:p>
          <w:p w:rsidRPr="00D65FFE" w:rsidR="003F6EF3" w:rsidP="00E525C7" w:rsidRDefault="003F6EF3" w14:paraId="00C338B1" w14:textId="77777777">
            <w:pPr>
              <w:pStyle w:val="BodyText"/>
              <w:rPr>
                <w:rFonts w:asciiTheme="minorHAnsi" w:hAnsiTheme="minorHAnsi" w:cstheme="minorHAnsi"/>
                <w:sz w:val="20"/>
              </w:rPr>
            </w:pPr>
            <w:r w:rsidRPr="00D65FFE">
              <w:rPr>
                <w:rFonts w:asciiTheme="minorHAnsi" w:hAnsiTheme="minorHAnsi" w:cstheme="minorHAnsi"/>
                <w:sz w:val="20"/>
              </w:rPr>
              <w:t>May need to reduce dose in infants with renal impairment.</w:t>
            </w:r>
          </w:p>
        </w:tc>
      </w:tr>
      <w:tr w:rsidRPr="00D65FFE" w:rsidR="003F6EF3" w:rsidTr="77BEE3D0" w14:paraId="71AC2AB6" w14:textId="77777777">
        <w:trPr>
          <w:trHeight w:val="276"/>
        </w:trPr>
        <w:tc>
          <w:tcPr>
            <w:tcW w:w="934" w:type="pct"/>
          </w:tcPr>
          <w:p w:rsidRPr="00D65FFE" w:rsidR="003F6EF3" w:rsidP="00E525C7" w:rsidRDefault="003F6EF3" w14:paraId="4CF52BAA" w14:textId="77777777">
            <w:pPr>
              <w:pStyle w:val="BodyText"/>
              <w:rPr>
                <w:rFonts w:asciiTheme="minorHAnsi" w:hAnsiTheme="minorHAnsi" w:cstheme="minorHAnsi"/>
                <w:b/>
                <w:bCs/>
                <w:sz w:val="20"/>
              </w:rPr>
            </w:pPr>
            <w:r w:rsidRPr="00D65FFE">
              <w:rPr>
                <w:rFonts w:asciiTheme="minorHAnsi" w:hAnsiTheme="minorHAnsi" w:cstheme="minorHAnsi"/>
                <w:b/>
                <w:bCs/>
                <w:sz w:val="20"/>
              </w:rPr>
              <w:t>Drug interactions</w:t>
            </w:r>
          </w:p>
        </w:tc>
        <w:tc>
          <w:tcPr>
            <w:tcW w:w="4066" w:type="pct"/>
          </w:tcPr>
          <w:p w:rsidRPr="00D65FFE" w:rsidR="003F6EF3" w:rsidP="00E525C7" w:rsidRDefault="003F6EF3" w14:paraId="7498EE19" w14:textId="77777777">
            <w:pPr>
              <w:pStyle w:val="BodyText"/>
              <w:rPr>
                <w:rFonts w:asciiTheme="minorHAnsi" w:hAnsiTheme="minorHAnsi" w:cstheme="minorHAnsi"/>
                <w:sz w:val="20"/>
              </w:rPr>
            </w:pPr>
            <w:r w:rsidRPr="00D65FFE">
              <w:rPr>
                <w:rFonts w:asciiTheme="minorHAnsi" w:hAnsiTheme="minorHAnsi" w:cstheme="minorHAnsi"/>
                <w:sz w:val="20"/>
              </w:rPr>
              <w:t>Clonidine will enhance the effects of anaesthetics, sedatives, hypnotics and opioids.</w:t>
            </w:r>
          </w:p>
          <w:p w:rsidRPr="00D65FFE" w:rsidR="003F6EF3" w:rsidP="00E525C7" w:rsidRDefault="003F6EF3" w14:paraId="29F33104" w14:textId="77777777">
            <w:pPr>
              <w:pStyle w:val="BodyText"/>
              <w:rPr>
                <w:rFonts w:asciiTheme="minorHAnsi" w:hAnsiTheme="minorHAnsi" w:cstheme="minorHAnsi"/>
                <w:sz w:val="20"/>
              </w:rPr>
            </w:pPr>
            <w:r w:rsidRPr="00D65FFE">
              <w:rPr>
                <w:rFonts w:asciiTheme="minorHAnsi" w:hAnsiTheme="minorHAnsi" w:cstheme="minorHAnsi"/>
                <w:sz w:val="20"/>
              </w:rPr>
              <w:t>Clonidine will interact with other hypertensives; NSAIDs; α2-adrenergic blockers eg phentolamine; β-blockers; digitalis glycosides; tricyclic antidepressants; and α-blocking neuroleptics.</w:t>
            </w:r>
          </w:p>
        </w:tc>
      </w:tr>
      <w:tr w:rsidRPr="00D65FFE" w:rsidR="003F6EF3" w:rsidTr="77BEE3D0" w14:paraId="6CC19A7B" w14:textId="77777777">
        <w:trPr>
          <w:trHeight w:val="416"/>
        </w:trPr>
        <w:tc>
          <w:tcPr>
            <w:tcW w:w="934" w:type="pct"/>
          </w:tcPr>
          <w:p w:rsidRPr="00D65FFE" w:rsidR="003F6EF3" w:rsidP="00E525C7" w:rsidRDefault="003F6EF3" w14:paraId="74EF7429"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Adverse reactions         </w:t>
            </w:r>
          </w:p>
        </w:tc>
        <w:tc>
          <w:tcPr>
            <w:tcW w:w="4066" w:type="pct"/>
          </w:tcPr>
          <w:p w:rsidRPr="00D65FFE" w:rsidR="003F6EF3" w:rsidP="00E525C7" w:rsidRDefault="003F6EF3" w14:paraId="21484667" w14:textId="77777777">
            <w:pPr>
              <w:pStyle w:val="BodyText"/>
              <w:tabs>
                <w:tab w:val="left" w:pos="1168"/>
              </w:tabs>
              <w:rPr>
                <w:rFonts w:asciiTheme="minorHAnsi" w:hAnsiTheme="minorHAnsi" w:cstheme="minorHAnsi"/>
                <w:sz w:val="20"/>
              </w:rPr>
            </w:pPr>
            <w:r w:rsidRPr="00D65FFE">
              <w:rPr>
                <w:rFonts w:asciiTheme="minorHAnsi" w:hAnsiTheme="minorHAnsi" w:cstheme="minorHAnsi"/>
                <w:sz w:val="20"/>
              </w:rPr>
              <w:t xml:space="preserve">Hypotension, bradycardia, rebound hypertension, somnolence and xerostomia. </w:t>
            </w:r>
            <w:r w:rsidRPr="00D65FFE">
              <w:rPr>
                <w:rFonts w:asciiTheme="minorHAnsi" w:hAnsiTheme="minorHAnsi" w:cstheme="minorHAnsi"/>
                <w:noProof/>
                <w:sz w:val="20"/>
              </w:rPr>
              <w:t>[5]</w:t>
            </w:r>
            <w:r w:rsidRPr="00D65FFE">
              <w:rPr>
                <w:rFonts w:asciiTheme="minorHAnsi" w:hAnsiTheme="minorHAnsi" w:cstheme="minorHAnsi"/>
                <w:sz w:val="20"/>
              </w:rPr>
              <w:t xml:space="preserve"> </w:t>
            </w:r>
          </w:p>
        </w:tc>
      </w:tr>
      <w:tr w:rsidRPr="00D65FFE" w:rsidR="003F6EF3" w:rsidTr="77BEE3D0" w14:paraId="7FC03FAA" w14:textId="77777777">
        <w:trPr>
          <w:trHeight w:val="396"/>
        </w:trPr>
        <w:tc>
          <w:tcPr>
            <w:tcW w:w="934" w:type="pct"/>
          </w:tcPr>
          <w:p w:rsidRPr="00D65FFE" w:rsidR="003F6EF3" w:rsidP="00E525C7" w:rsidRDefault="003F6EF3" w14:paraId="5A50624F" w14:textId="77777777">
            <w:pPr>
              <w:pStyle w:val="BodyText"/>
              <w:rPr>
                <w:rFonts w:asciiTheme="minorHAnsi" w:hAnsiTheme="minorHAnsi" w:cstheme="minorHAnsi"/>
                <w:b/>
                <w:bCs/>
                <w:sz w:val="20"/>
              </w:rPr>
            </w:pPr>
            <w:r w:rsidRPr="00D65FFE">
              <w:rPr>
                <w:rFonts w:asciiTheme="minorHAnsi" w:hAnsiTheme="minorHAnsi" w:cstheme="minorHAnsi"/>
                <w:b/>
                <w:bCs/>
                <w:sz w:val="20"/>
              </w:rPr>
              <w:t>Compatibility</w:t>
            </w:r>
          </w:p>
        </w:tc>
        <w:tc>
          <w:tcPr>
            <w:tcW w:w="4066" w:type="pct"/>
          </w:tcPr>
          <w:p w:rsidRPr="00D65FFE" w:rsidR="003F6EF3" w:rsidP="00E525C7" w:rsidRDefault="003F6EF3" w14:paraId="58D853D4" w14:textId="77777777">
            <w:pPr>
              <w:pStyle w:val="BodyText"/>
              <w:rPr>
                <w:rFonts w:asciiTheme="minorHAnsi" w:hAnsiTheme="minorHAnsi" w:cstheme="minorHAnsi"/>
                <w:sz w:val="20"/>
              </w:rPr>
            </w:pPr>
            <w:r w:rsidRPr="00D65FFE">
              <w:rPr>
                <w:rFonts w:asciiTheme="minorHAnsi" w:hAnsiTheme="minorHAnsi" w:cstheme="minorHAnsi"/>
                <w:sz w:val="20"/>
              </w:rPr>
              <w:t>Fluids: Sodium chloride 0.9%.</w:t>
            </w:r>
          </w:p>
          <w:p w:rsidRPr="00D65FFE" w:rsidR="003F6EF3" w:rsidP="00E525C7" w:rsidRDefault="003F6EF3" w14:paraId="7E14D1C4" w14:textId="77777777">
            <w:pPr>
              <w:pStyle w:val="BodyText"/>
              <w:rPr>
                <w:rFonts w:asciiTheme="minorHAnsi" w:hAnsiTheme="minorHAnsi" w:cstheme="minorHAnsi"/>
                <w:sz w:val="20"/>
              </w:rPr>
            </w:pPr>
            <w:r w:rsidRPr="00D65FFE">
              <w:rPr>
                <w:rFonts w:asciiTheme="minorHAnsi" w:hAnsiTheme="minorHAnsi" w:cstheme="minorHAnsi"/>
                <w:sz w:val="20"/>
              </w:rPr>
              <w:t>Y-site: aminophylline, dobutamine, dopamine, epinephrine, fentanyl, heparin, ketamine, labetalol, lignocaine, lorazepam, magnesium sulphate, methadone, morphine HCl, glyceryl trinitrate, norepinephrine, potassium chloride.</w:t>
            </w:r>
          </w:p>
        </w:tc>
      </w:tr>
      <w:tr w:rsidRPr="00D65FFE" w:rsidR="003F6EF3" w:rsidTr="77BEE3D0" w14:paraId="27F400ED" w14:textId="77777777">
        <w:trPr>
          <w:trHeight w:val="230"/>
        </w:trPr>
        <w:tc>
          <w:tcPr>
            <w:tcW w:w="934" w:type="pct"/>
          </w:tcPr>
          <w:p w:rsidRPr="00D65FFE" w:rsidR="003F6EF3" w:rsidP="00E525C7" w:rsidRDefault="003F6EF3" w14:paraId="0D575984" w14:textId="77777777">
            <w:pPr>
              <w:pStyle w:val="BodyText"/>
              <w:rPr>
                <w:rFonts w:asciiTheme="minorHAnsi" w:hAnsiTheme="minorHAnsi" w:cstheme="minorHAnsi"/>
                <w:b/>
                <w:bCs/>
                <w:sz w:val="20"/>
              </w:rPr>
            </w:pPr>
            <w:r w:rsidRPr="00D65FFE">
              <w:rPr>
                <w:rFonts w:asciiTheme="minorHAnsi" w:hAnsiTheme="minorHAnsi" w:cstheme="minorHAnsi"/>
                <w:b/>
                <w:bCs/>
                <w:sz w:val="20"/>
              </w:rPr>
              <w:t>Incompatibility</w:t>
            </w:r>
          </w:p>
        </w:tc>
        <w:tc>
          <w:tcPr>
            <w:tcW w:w="4066" w:type="pct"/>
          </w:tcPr>
          <w:p w:rsidRPr="00D65FFE" w:rsidR="003F6EF3" w:rsidP="00E525C7" w:rsidRDefault="003F6EF3" w14:paraId="6B11E110" w14:textId="77777777">
            <w:pPr>
              <w:pStyle w:val="BodyText"/>
              <w:rPr>
                <w:rFonts w:asciiTheme="minorHAnsi" w:hAnsiTheme="minorHAnsi" w:cstheme="minorHAnsi"/>
                <w:sz w:val="20"/>
              </w:rPr>
            </w:pPr>
            <w:r w:rsidRPr="00D65FFE">
              <w:rPr>
                <w:rFonts w:asciiTheme="minorHAnsi" w:hAnsiTheme="minorHAnsi" w:cstheme="minorHAnsi"/>
                <w:sz w:val="20"/>
              </w:rPr>
              <w:t>Y-site: midazolam. verapamil</w:t>
            </w:r>
          </w:p>
        </w:tc>
      </w:tr>
      <w:tr w:rsidRPr="00D65FFE" w:rsidR="003F6EF3" w:rsidTr="77BEE3D0" w14:paraId="735CB811" w14:textId="77777777">
        <w:trPr>
          <w:trHeight w:val="79"/>
        </w:trPr>
        <w:tc>
          <w:tcPr>
            <w:tcW w:w="934" w:type="pct"/>
          </w:tcPr>
          <w:p w:rsidRPr="00D65FFE" w:rsidR="003F6EF3" w:rsidP="00E525C7" w:rsidRDefault="003F6EF3" w14:paraId="56D43CF8"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Stability   </w:t>
            </w:r>
          </w:p>
        </w:tc>
        <w:tc>
          <w:tcPr>
            <w:tcW w:w="4066" w:type="pct"/>
          </w:tcPr>
          <w:p w:rsidRPr="00D65FFE" w:rsidR="003F6EF3" w:rsidP="00E525C7" w:rsidRDefault="003F6EF3" w14:paraId="2733CAC4" w14:textId="77777777">
            <w:pPr>
              <w:pStyle w:val="BodyText"/>
              <w:rPr>
                <w:rFonts w:asciiTheme="minorHAnsi" w:hAnsiTheme="minorHAnsi" w:cstheme="minorHAnsi"/>
                <w:sz w:val="20"/>
              </w:rPr>
            </w:pPr>
            <w:r w:rsidRPr="00D65FFE">
              <w:rPr>
                <w:rFonts w:asciiTheme="minorHAnsi" w:hAnsiTheme="minorHAnsi" w:cstheme="minorHAnsi"/>
                <w:sz w:val="20"/>
              </w:rPr>
              <w:t>Tablet dispersed in water: make a fresh solution for each dose and use immediately.</w:t>
            </w:r>
          </w:p>
          <w:p w:rsidRPr="00D65FFE" w:rsidR="003F6EF3" w:rsidP="00E525C7" w:rsidRDefault="003F6EF3" w14:paraId="08F67E6C" w14:textId="77777777">
            <w:pPr>
              <w:pStyle w:val="BodyText"/>
              <w:rPr>
                <w:rFonts w:asciiTheme="minorHAnsi" w:hAnsiTheme="minorHAnsi" w:cstheme="minorHAnsi"/>
                <w:sz w:val="20"/>
              </w:rPr>
            </w:pPr>
            <w:r w:rsidRPr="00D65FFE">
              <w:rPr>
                <w:rFonts w:asciiTheme="minorHAnsi" w:hAnsiTheme="minorHAnsi" w:cstheme="minorHAnsi"/>
                <w:sz w:val="20"/>
              </w:rPr>
              <w:t>Check with Pharmacy Department for compounded oral suspension or solution.</w:t>
            </w:r>
          </w:p>
        </w:tc>
      </w:tr>
      <w:tr w:rsidRPr="00D65FFE" w:rsidR="003F6EF3" w:rsidTr="77BEE3D0" w14:paraId="14EDB186" w14:textId="77777777">
        <w:trPr>
          <w:trHeight w:val="70"/>
        </w:trPr>
        <w:tc>
          <w:tcPr>
            <w:tcW w:w="934" w:type="pct"/>
          </w:tcPr>
          <w:p w:rsidRPr="00D65FFE" w:rsidR="003F6EF3" w:rsidP="00E525C7" w:rsidRDefault="003F6EF3" w14:paraId="470E6547" w14:textId="77777777">
            <w:pPr>
              <w:pStyle w:val="BodyText"/>
              <w:rPr>
                <w:rFonts w:asciiTheme="minorHAnsi" w:hAnsiTheme="minorHAnsi" w:cstheme="minorHAnsi"/>
                <w:b/>
                <w:bCs/>
                <w:sz w:val="20"/>
              </w:rPr>
            </w:pPr>
            <w:r w:rsidRPr="00D65FFE">
              <w:rPr>
                <w:rFonts w:asciiTheme="minorHAnsi" w:hAnsiTheme="minorHAnsi" w:cstheme="minorHAnsi"/>
                <w:b/>
                <w:bCs/>
                <w:sz w:val="20"/>
              </w:rPr>
              <w:t xml:space="preserve">Storage             </w:t>
            </w:r>
          </w:p>
        </w:tc>
        <w:tc>
          <w:tcPr>
            <w:tcW w:w="4066" w:type="pct"/>
          </w:tcPr>
          <w:p w:rsidRPr="00D65FFE" w:rsidR="003F6EF3" w:rsidP="00E525C7" w:rsidRDefault="003F6EF3" w14:paraId="0E502D70" w14:textId="77777777">
            <w:pPr>
              <w:pStyle w:val="BodyText"/>
              <w:rPr>
                <w:rFonts w:asciiTheme="minorHAnsi" w:hAnsiTheme="minorHAnsi" w:cstheme="minorHAnsi"/>
                <w:sz w:val="20"/>
              </w:rPr>
            </w:pPr>
            <w:r w:rsidRPr="00D65FFE">
              <w:rPr>
                <w:rFonts w:asciiTheme="minorHAnsi" w:hAnsiTheme="minorHAnsi" w:cstheme="minorHAnsi"/>
                <w:sz w:val="20"/>
              </w:rPr>
              <w:t xml:space="preserve">Ampoule: Store below 25°C. Protect from light. </w:t>
            </w:r>
          </w:p>
          <w:p w:rsidRPr="00D65FFE" w:rsidR="003F6EF3" w:rsidP="00E525C7" w:rsidRDefault="003F6EF3" w14:paraId="34EBD098" w14:textId="77777777">
            <w:pPr>
              <w:pStyle w:val="BodyText"/>
              <w:rPr>
                <w:rFonts w:asciiTheme="minorHAnsi" w:hAnsiTheme="minorHAnsi" w:cstheme="minorHAnsi"/>
                <w:sz w:val="20"/>
              </w:rPr>
            </w:pPr>
            <w:r w:rsidRPr="00D65FFE">
              <w:rPr>
                <w:rFonts w:asciiTheme="minorHAnsi" w:hAnsiTheme="minorHAnsi" w:cstheme="minorHAnsi"/>
                <w:sz w:val="20"/>
              </w:rPr>
              <w:t>Tablet: Store below 25°C.</w:t>
            </w:r>
          </w:p>
          <w:p w:rsidRPr="00D65FFE" w:rsidR="003F6EF3" w:rsidP="00E525C7" w:rsidRDefault="003F6EF3" w14:paraId="55AE25D1" w14:textId="77777777">
            <w:pPr>
              <w:pStyle w:val="BodyText"/>
              <w:rPr>
                <w:rFonts w:asciiTheme="minorHAnsi" w:hAnsiTheme="minorHAnsi" w:cstheme="minorHAnsi"/>
                <w:sz w:val="20"/>
              </w:rPr>
            </w:pPr>
            <w:r w:rsidRPr="00D65FFE">
              <w:rPr>
                <w:rFonts w:asciiTheme="minorHAnsi" w:hAnsiTheme="minorHAnsi" w:cstheme="minorHAnsi"/>
                <w:sz w:val="20"/>
              </w:rPr>
              <w:t>Check with Pharmacy Department for compounded oral suspension or solution.</w:t>
            </w:r>
          </w:p>
        </w:tc>
      </w:tr>
      <w:tr w:rsidRPr="00D65FFE" w:rsidR="003F6EF3" w:rsidTr="77BEE3D0" w14:paraId="1C472294" w14:textId="77777777">
        <w:trPr>
          <w:trHeight w:val="70"/>
        </w:trPr>
        <w:tc>
          <w:tcPr>
            <w:tcW w:w="934" w:type="pct"/>
          </w:tcPr>
          <w:p w:rsidRPr="00D65FFE" w:rsidR="003F6EF3" w:rsidP="00E525C7" w:rsidRDefault="003F6EF3" w14:paraId="7DC0190C" w14:textId="77777777">
            <w:pPr>
              <w:pStyle w:val="BodyText"/>
              <w:rPr>
                <w:rFonts w:asciiTheme="minorHAnsi" w:hAnsiTheme="minorHAnsi" w:cstheme="minorHAnsi"/>
                <w:b/>
                <w:bCs/>
                <w:sz w:val="20"/>
              </w:rPr>
            </w:pPr>
            <w:r w:rsidRPr="00D65FFE">
              <w:rPr>
                <w:rFonts w:asciiTheme="minorHAnsi" w:hAnsiTheme="minorHAnsi" w:cstheme="minorHAnsi"/>
                <w:b/>
                <w:bCs/>
                <w:sz w:val="20"/>
              </w:rPr>
              <w:t>Excipients</w:t>
            </w:r>
          </w:p>
        </w:tc>
        <w:tc>
          <w:tcPr>
            <w:tcW w:w="4066" w:type="pct"/>
          </w:tcPr>
          <w:p w:rsidRPr="00D65FFE" w:rsidR="003F6EF3" w:rsidP="00E525C7" w:rsidRDefault="003F6EF3" w14:paraId="4D8DEA7A" w14:textId="77777777">
            <w:pPr>
              <w:pStyle w:val="BodyText"/>
              <w:rPr>
                <w:rFonts w:asciiTheme="minorHAnsi" w:hAnsiTheme="minorHAnsi" w:cstheme="minorHAnsi"/>
                <w:sz w:val="20"/>
              </w:rPr>
            </w:pPr>
            <w:r w:rsidRPr="00D65FFE">
              <w:rPr>
                <w:rFonts w:asciiTheme="minorHAnsi" w:hAnsiTheme="minorHAnsi" w:cstheme="minorHAnsi"/>
                <w:sz w:val="20"/>
              </w:rPr>
              <w:t xml:space="preserve">Ampoule: Sodium chloride, hydrochloric acid and water for injections. </w:t>
            </w:r>
          </w:p>
          <w:p w:rsidRPr="00D65FFE" w:rsidR="003F6EF3" w:rsidP="00E525C7" w:rsidRDefault="003F6EF3" w14:paraId="586933BE" w14:textId="77777777">
            <w:pPr>
              <w:pStyle w:val="BodyText"/>
              <w:rPr>
                <w:rFonts w:asciiTheme="minorHAnsi" w:hAnsiTheme="minorHAnsi" w:cstheme="minorHAnsi"/>
                <w:sz w:val="20"/>
              </w:rPr>
            </w:pPr>
            <w:r w:rsidRPr="00D65FFE">
              <w:rPr>
                <w:rFonts w:asciiTheme="minorHAnsi" w:hAnsiTheme="minorHAnsi" w:cstheme="minorHAnsi"/>
                <w:sz w:val="20"/>
              </w:rPr>
              <w:t>Catapres Tablet: Maize starch, lactose monohydrate, calcium hydrogen phosphate, colloidal anhydrous silica, povidone and stearic acid.</w:t>
            </w:r>
          </w:p>
          <w:p w:rsidRPr="00D65FFE" w:rsidR="003F6EF3" w:rsidP="00E525C7" w:rsidRDefault="003F6EF3" w14:paraId="56F2EFAA" w14:textId="77777777">
            <w:pPr>
              <w:pStyle w:val="BodyText"/>
              <w:rPr>
                <w:rFonts w:asciiTheme="minorHAnsi" w:hAnsiTheme="minorHAnsi" w:cstheme="minorHAnsi"/>
                <w:sz w:val="20"/>
              </w:rPr>
            </w:pPr>
            <w:r w:rsidRPr="00D65FFE">
              <w:rPr>
                <w:rFonts w:asciiTheme="minorHAnsi" w:hAnsiTheme="minorHAnsi" w:cstheme="minorHAnsi"/>
                <w:sz w:val="20"/>
              </w:rPr>
              <w:t>APO-Clonidine Tablet: Allura Red AC, hyprolose, microcrystalline cellulose, magnesium stearate, maize starch, lactose monohydrate, calcium hydrogen phosphate, colloidal anhydrous silica.</w:t>
            </w:r>
          </w:p>
          <w:p w:rsidRPr="00D65FFE" w:rsidR="003F6EF3" w:rsidP="00E525C7" w:rsidRDefault="003F6EF3" w14:paraId="40E13F53" w14:textId="77777777">
            <w:pPr>
              <w:pStyle w:val="BodyText"/>
              <w:rPr>
                <w:rFonts w:asciiTheme="minorHAnsi" w:hAnsiTheme="minorHAnsi" w:cstheme="minorHAnsi"/>
                <w:sz w:val="20"/>
              </w:rPr>
            </w:pPr>
            <w:r w:rsidRPr="00D65FFE">
              <w:rPr>
                <w:rFonts w:asciiTheme="minorHAnsi" w:hAnsiTheme="minorHAnsi" w:cstheme="minorHAnsi"/>
                <w:sz w:val="20"/>
              </w:rPr>
              <w:t xml:space="preserve">Check with Pharmacy Department for compounded oral suspension or solution. </w:t>
            </w:r>
          </w:p>
        </w:tc>
      </w:tr>
      <w:tr w:rsidRPr="00D65FFE" w:rsidR="001B0217" w:rsidTr="77BEE3D0" w14:paraId="31A20087" w14:textId="77777777">
        <w:trPr>
          <w:trHeight w:val="270"/>
        </w:trPr>
        <w:tc>
          <w:tcPr>
            <w:tcW w:w="934" w:type="pct"/>
          </w:tcPr>
          <w:p w:rsidRPr="00D65FFE" w:rsidR="001B0217" w:rsidP="00E525C7" w:rsidRDefault="001B0217" w14:paraId="70064FEB" w14:textId="3887B09C">
            <w:pPr>
              <w:pStyle w:val="BodyText"/>
              <w:rPr>
                <w:rFonts w:asciiTheme="minorHAnsi" w:hAnsiTheme="minorHAnsi" w:cstheme="minorHAnsi"/>
                <w:b/>
                <w:bCs/>
                <w:sz w:val="20"/>
              </w:rPr>
            </w:pPr>
            <w:r w:rsidRPr="00D65FFE">
              <w:rPr>
                <w:rFonts w:asciiTheme="minorHAnsi" w:hAnsiTheme="minorHAnsi" w:cstheme="minorHAnsi"/>
                <w:b/>
                <w:bCs/>
                <w:sz w:val="20"/>
              </w:rPr>
              <w:t xml:space="preserve">Evidence </w:t>
            </w:r>
          </w:p>
        </w:tc>
        <w:tc>
          <w:tcPr>
            <w:tcW w:w="4066" w:type="pct"/>
          </w:tcPr>
          <w:p w:rsidRPr="003F6EF3" w:rsidR="001B0217" w:rsidP="00E525C7" w:rsidRDefault="001B0217" w14:paraId="488F3500"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Clonidine is an α2-agonist used to produce reductions in blood pressure and sedation that has been used for treatment of hypertension, sedation of ventilated infants and perioperative sedation. Compared with dexmedetomidine, clonidine has a lower selectivity for α2-receptors (α1 : α2ratio of 1 : 1620 for dexmedetomidine versus 1 : 220 for clonidine). As central α2 effects are sedative, clonidine is less sedating than dexmedetomidine. </w:t>
            </w:r>
            <w:r w:rsidRPr="003F6EF3">
              <w:rPr>
                <w:rFonts w:asciiTheme="minorHAnsi" w:hAnsiTheme="minorHAnsi" w:cstheme="minorHAnsi"/>
                <w:noProof/>
                <w:sz w:val="16"/>
                <w:szCs w:val="16"/>
              </w:rPr>
              <w:t>[1]</w:t>
            </w:r>
          </w:p>
          <w:p w:rsidRPr="003F6EF3" w:rsidR="001B0217" w:rsidP="00E525C7" w:rsidRDefault="001B0217" w14:paraId="38F12328" w14:textId="77777777">
            <w:pPr>
              <w:pStyle w:val="BodyText"/>
              <w:tabs>
                <w:tab w:val="left" w:pos="1168"/>
              </w:tabs>
              <w:rPr>
                <w:rFonts w:asciiTheme="minorHAnsi" w:hAnsiTheme="minorHAnsi" w:cstheme="minorHAnsi"/>
                <w:sz w:val="16"/>
                <w:szCs w:val="16"/>
              </w:rPr>
            </w:pPr>
          </w:p>
          <w:p w:rsidRPr="003F6EF3" w:rsidR="001B0217" w:rsidP="00E525C7" w:rsidRDefault="001B0217" w14:paraId="15DE8D6D"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t>Efficacy</w:t>
            </w:r>
          </w:p>
          <w:p w:rsidRPr="003F6EF3" w:rsidR="001B0217" w:rsidP="00E525C7" w:rsidRDefault="001B0217" w14:paraId="15E4448D"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t>Neonates receiving mechanical ventilation</w:t>
            </w:r>
          </w:p>
          <w:p w:rsidRPr="003F6EF3" w:rsidR="001B0217" w:rsidP="00E525C7" w:rsidRDefault="001B0217" w14:paraId="7126804E"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A single RCT </w:t>
            </w:r>
            <w:r w:rsidRPr="003F6EF3">
              <w:rPr>
                <w:rFonts w:asciiTheme="minorHAnsi" w:hAnsiTheme="minorHAnsi" w:cstheme="minorHAnsi"/>
                <w:noProof/>
                <w:sz w:val="16"/>
                <w:szCs w:val="16"/>
              </w:rPr>
              <w:t>[2]</w:t>
            </w:r>
            <w:r w:rsidRPr="003F6EF3">
              <w:rPr>
                <w:rFonts w:asciiTheme="minorHAnsi" w:hAnsiTheme="minorHAnsi" w:cstheme="minorHAnsi"/>
                <w:sz w:val="16"/>
                <w:szCs w:val="16"/>
              </w:rPr>
              <w:t xml:space="preserve"> enrolling 112 term newborn infants on mechanical ventilation on fentanyl and midazolam administered clonidine 1 µg/kg/hour or placebo on day 4 after intubation. No differences in mortality [RR 0.69, 95% CI 0.12 to 3.98], duration of mechanical ventilation (7.1 days versus 5.8 days, P = 0.07) or duration of stay in the intensive care unit were reported. Sedation scale values (COMFORT) and analgesia scores (Hartwig) during the first 72 hours of infusion were lower in the clonidine than the placebo group. Clonidine 1 µg/kg/hour in ventilated newborns reduced fentanyl and midazolam demand with deeper levels of analgesia and sedation without substantial side effects. This was not demonstrated in older infants, possibly due to lower clonidine serum levels. Evidence is insufficient to show the efficacy and safety of clonidine for sedation and analgesia in term and preterm newborn infants receiving mechanical ventilation. </w:t>
            </w:r>
            <w:r w:rsidRPr="003F6EF3">
              <w:rPr>
                <w:rFonts w:asciiTheme="minorHAnsi" w:hAnsiTheme="minorHAnsi" w:cstheme="minorHAnsi"/>
                <w:noProof/>
                <w:sz w:val="16"/>
                <w:szCs w:val="16"/>
              </w:rPr>
              <w:t>[8]</w:t>
            </w:r>
            <w:r w:rsidRPr="003F6EF3">
              <w:rPr>
                <w:rFonts w:asciiTheme="minorHAnsi" w:hAnsiTheme="minorHAnsi" w:cstheme="minorHAnsi"/>
                <w:sz w:val="16"/>
                <w:szCs w:val="16"/>
              </w:rPr>
              <w:t xml:space="preserve"> [LOE II GOR D]</w:t>
            </w:r>
          </w:p>
          <w:p w:rsidRPr="003F6EF3" w:rsidR="001B0217" w:rsidP="00E525C7" w:rsidRDefault="001B0217" w14:paraId="6D151B2E"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There are no trials comparing clonidine versus dexmedetomidine in paediatric patients. A systematic review of dexmedetomidine use in paediatric patients found dexmedetomidine was associated with similar sedation scores to midazolam, a reduction in opioid use  with use of a higher dose dexmedetomidine 0.5 μg/kg/hour but not 0.25 μg/kg/hour infusion, and reduced duration of mechanical ventilation compared to paediatric patients treated with midazolam and fentanyl. </w:t>
            </w:r>
            <w:r w:rsidRPr="003F6EF3">
              <w:rPr>
                <w:rFonts w:asciiTheme="minorHAnsi" w:hAnsiTheme="minorHAnsi" w:cstheme="minorHAnsi"/>
                <w:noProof/>
                <w:sz w:val="16"/>
                <w:szCs w:val="16"/>
              </w:rPr>
              <w:t>[9]</w:t>
            </w:r>
            <w:r w:rsidRPr="003F6EF3">
              <w:rPr>
                <w:rFonts w:asciiTheme="minorHAnsi" w:hAnsiTheme="minorHAnsi" w:cstheme="minorHAnsi"/>
                <w:sz w:val="16"/>
                <w:szCs w:val="16"/>
              </w:rPr>
              <w:t xml:space="preserve"> </w:t>
            </w:r>
          </w:p>
          <w:p w:rsidRPr="003F6EF3" w:rsidR="001B0217" w:rsidP="00E525C7" w:rsidRDefault="001B0217" w14:paraId="5DC0B4D0"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t>Perioperative sedation</w:t>
            </w:r>
          </w:p>
          <w:p w:rsidRPr="003F6EF3" w:rsidR="001B0217" w:rsidP="00E525C7" w:rsidRDefault="001B0217" w14:paraId="44E56834"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There are no trials in neonates of clonidine as an adjunct to perioperative care. A systematic review in paediatric patients almost all over 1 year of age, found clonidine premedication 4 µg/kg may reduce postoperative pain in children. Side effects were minimal, but some of the studies used atropine prophylactically with the intention of preventing bradycardia and hypotension. [LOE I GOR C children] Infants enrolled in the trials were ≥1 year age. </w:t>
            </w:r>
            <w:r w:rsidRPr="003F6EF3">
              <w:rPr>
                <w:rFonts w:asciiTheme="minorHAnsi" w:hAnsiTheme="minorHAnsi" w:cstheme="minorHAnsi"/>
                <w:noProof/>
                <w:sz w:val="16"/>
                <w:szCs w:val="16"/>
              </w:rPr>
              <w:t>[10, 11]</w:t>
            </w:r>
          </w:p>
          <w:p w:rsidRPr="003F6EF3" w:rsidR="001B0217" w:rsidP="00E525C7" w:rsidRDefault="001B0217" w14:paraId="2FDB6829"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t>Neonatal abstinence syndrome (NAS)</w:t>
            </w:r>
          </w:p>
          <w:p w:rsidRPr="003F6EF3" w:rsidR="001B0217" w:rsidP="00E525C7" w:rsidRDefault="001B0217" w14:paraId="0F37BB7F"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Network meta-analysis of pharmacological treatments for NAS included buprenorphine, clonidine, diluted tincture of opium and clonidine, diluted tincture of opium, morphine, methadone, and phenobarbital. In network meta-analysis, clonidine had non-significant change in length of treatment (mean difference versus morphine –10.52 days [–24.05 to 2.92]), median rank 2 [6 to 1] and length of stay (days: mean difference versus morphine, –6.09 [–12.93 to 0.79], median rank 2 [7 to 1]. Rate of treatment failure was not reported. </w:t>
            </w:r>
            <w:r w:rsidRPr="003F6EF3">
              <w:rPr>
                <w:rFonts w:asciiTheme="minorHAnsi" w:hAnsiTheme="minorHAnsi" w:cstheme="minorHAnsi"/>
                <w:noProof/>
                <w:sz w:val="16"/>
                <w:szCs w:val="16"/>
              </w:rPr>
              <w:t>[12]</w:t>
            </w:r>
          </w:p>
          <w:p w:rsidRPr="003F6EF3" w:rsidR="001B0217" w:rsidP="00E525C7" w:rsidRDefault="001B0217" w14:paraId="6820BF5E"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lastRenderedPageBreak/>
              <w:t xml:space="preserve">Three RCTs of clonidine in infants with NAS have used differing strategies. </w:t>
            </w:r>
            <w:r w:rsidRPr="003F6EF3">
              <w:rPr>
                <w:rFonts w:asciiTheme="minorHAnsi" w:hAnsiTheme="minorHAnsi" w:cstheme="minorHAnsi"/>
                <w:noProof/>
                <w:sz w:val="16"/>
                <w:szCs w:val="16"/>
              </w:rPr>
              <w:t>[7, 13, 14]</w:t>
            </w:r>
            <w:r w:rsidRPr="003F6EF3">
              <w:rPr>
                <w:rFonts w:asciiTheme="minorHAnsi" w:hAnsiTheme="minorHAnsi" w:cstheme="minorHAnsi"/>
                <w:sz w:val="16"/>
                <w:szCs w:val="16"/>
              </w:rPr>
              <w:t xml:space="preserve">  Bada et al </w:t>
            </w:r>
            <w:r w:rsidRPr="003F6EF3">
              <w:rPr>
                <w:rFonts w:asciiTheme="minorHAnsi" w:hAnsiTheme="minorHAnsi" w:cstheme="minorHAnsi"/>
                <w:noProof/>
                <w:sz w:val="16"/>
                <w:szCs w:val="16"/>
              </w:rPr>
              <w:t>[7]</w:t>
            </w:r>
            <w:r w:rsidRPr="003F6EF3">
              <w:rPr>
                <w:rFonts w:asciiTheme="minorHAnsi" w:hAnsiTheme="minorHAnsi" w:cstheme="minorHAnsi"/>
                <w:sz w:val="16"/>
                <w:szCs w:val="16"/>
              </w:rPr>
              <w:t xml:space="preserve"> in infants ≥35 weeks' gestation with NAS compared morphine 0.4 mg/kg/day versus clonidine 5 µg/kg/day divided into 8 doses as initial treatment of NAS. A 25% dose escalation every 24 hours was possible per protocol (maximum of 1 mg/kg per day for morphine and 12 µg/kg per day for clonidine). After control of symptoms, the dose was tapered by 10% every other day. Infants treated with clonidine (n = 16) versus morphine (n = 15) had decreased duration of treatment (median 39 days versus 28 days; P = .02), improved NNNS scores and lower height of arousal and excitability (P &lt; .05). One-year motor, cognitive, and language scores did not differ between groups. Surran et al </w:t>
            </w:r>
            <w:r w:rsidRPr="003F6EF3">
              <w:rPr>
                <w:rFonts w:asciiTheme="minorHAnsi" w:hAnsiTheme="minorHAnsi" w:cstheme="minorHAnsi"/>
                <w:noProof/>
                <w:sz w:val="16"/>
                <w:szCs w:val="16"/>
              </w:rPr>
              <w:t>[14]</w:t>
            </w:r>
            <w:r w:rsidRPr="003F6EF3">
              <w:rPr>
                <w:rFonts w:asciiTheme="minorHAnsi" w:hAnsiTheme="minorHAnsi" w:cstheme="minorHAnsi"/>
                <w:sz w:val="16"/>
                <w:szCs w:val="16"/>
              </w:rPr>
              <w:t xml:space="preserve"> in 64 infants compared morphine 0.32 to 0.8 mg/kg/day divided 3 hourly and clonidine 6 to 12 µg/kg/day divided 6 hourly according to NAS Score versus morphine sulfate 0.32 to 0.8 mg/kg/day divided 3 hourly and phenobarbital 6 to 12 mg/kg/day divided 8 hourly. Clonidine dose was weaned by halving daily dose every 24 hours for 2 steps then ceasing. Phenobarbital reduced duration of treatment 4.6 days, (95% CI: 0.3, 8.9; P=0.03). Two clonidine treated infants failed NMS-weaning attempts and were switched to phenobarbital whereas there were no failures occurred in the phenobarbital group. However, 3 (8.8%) infants in the phenobarbital group, manifested over sedation signs (poor feeds and mild respiratory depression) and serum phenobarbital measures were supratherapeutic (&gt;40 mg/dL) and required dosage adjustment. There were no arrhythmias or abnormal BPs observed (hypo- or hypertension) in the clonidine group, no inpatient mortality and no infant was re-admitted to the hospital within 1 week post discharge. Agthe et al </w:t>
            </w:r>
            <w:r w:rsidRPr="003F6EF3">
              <w:rPr>
                <w:rFonts w:asciiTheme="minorHAnsi" w:hAnsiTheme="minorHAnsi" w:cstheme="minorHAnsi"/>
                <w:noProof/>
                <w:sz w:val="16"/>
                <w:szCs w:val="16"/>
              </w:rPr>
              <w:t>[13]</w:t>
            </w:r>
            <w:r w:rsidRPr="003F6EF3">
              <w:rPr>
                <w:rFonts w:asciiTheme="minorHAnsi" w:hAnsiTheme="minorHAnsi" w:cstheme="minorHAnsi"/>
                <w:sz w:val="16"/>
                <w:szCs w:val="16"/>
              </w:rPr>
              <w:t>, in 80 infants with NAS treated with oral diluted tincture of opium, compared oral clonidine 1 µg/kg every 4 hours versus placebo. Median length of therapy was reduced in the clonidine group (11 versus 15 days), although 7 infants in the clonidine group required restarting opium after initial discontinuation. Clonidine reduced opioid use and rate of treatment failures (0% versus 12.5%). Hypertension, hypotension, bradycardia, or desaturations did not occur in either group. Three infants in the clonidine group died as a result of myocarditis, sudden infant death syndrome, and homicide, all after hospital discharge and before 6 months of age.</w:t>
            </w:r>
          </w:p>
          <w:p w:rsidRPr="003F6EF3" w:rsidR="001B0217" w:rsidP="00E525C7" w:rsidRDefault="001B0217" w14:paraId="4B5A56E2"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Conclusion: The optimal regimen to manage symptomatic NAS is unclear due to the low quality, small size and short-term outcomes considered in the published studies. </w:t>
            </w:r>
            <w:r w:rsidRPr="003F6EF3">
              <w:rPr>
                <w:rFonts w:asciiTheme="minorHAnsi" w:hAnsiTheme="minorHAnsi" w:cstheme="minorHAnsi"/>
                <w:noProof/>
                <w:sz w:val="16"/>
                <w:szCs w:val="16"/>
              </w:rPr>
              <w:t>[15]</w:t>
            </w:r>
          </w:p>
          <w:p w:rsidRPr="003F6EF3" w:rsidR="001B0217" w:rsidP="00E525C7" w:rsidRDefault="001B0217" w14:paraId="63C3FEDB"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t>Hypertension</w:t>
            </w:r>
          </w:p>
          <w:p w:rsidRPr="003F6EF3" w:rsidR="001B0217" w:rsidP="00E525C7" w:rsidRDefault="001B0217" w14:paraId="711500D5"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For chronic hypertension, expert opinion suggested that drug therapy should be initiated mainly because sustained BP elevation may have renal, cardiac, and central nervous system effects </w:t>
            </w:r>
            <w:r w:rsidRPr="003F6EF3">
              <w:rPr>
                <w:rFonts w:asciiTheme="minorHAnsi" w:hAnsiTheme="minorHAnsi" w:cstheme="minorHAnsi"/>
                <w:noProof/>
                <w:sz w:val="16"/>
                <w:szCs w:val="16"/>
              </w:rPr>
              <w:t>[5, 16]</w:t>
            </w:r>
            <w:r w:rsidRPr="003F6EF3">
              <w:rPr>
                <w:rFonts w:asciiTheme="minorHAnsi" w:hAnsiTheme="minorHAnsi" w:cstheme="minorHAnsi"/>
                <w:sz w:val="16"/>
                <w:szCs w:val="16"/>
              </w:rPr>
              <w:t xml:space="preserve">. The ESCAPE Trial </w:t>
            </w:r>
            <w:r w:rsidRPr="003F6EF3">
              <w:rPr>
                <w:rFonts w:asciiTheme="minorHAnsi" w:hAnsiTheme="minorHAnsi" w:cstheme="minorHAnsi"/>
                <w:noProof/>
                <w:sz w:val="16"/>
                <w:szCs w:val="16"/>
              </w:rPr>
              <w:t>[17]</w:t>
            </w:r>
            <w:r w:rsidRPr="003F6EF3">
              <w:rPr>
                <w:rFonts w:asciiTheme="minorHAnsi" w:hAnsiTheme="minorHAnsi" w:cstheme="minorHAnsi"/>
                <w:sz w:val="16"/>
                <w:szCs w:val="16"/>
              </w:rPr>
              <w:t xml:space="preserve"> of 385 children 3 to 18 years with chronic kidney disease (GFR 15-80 mL/minute/1.73 m</w:t>
            </w:r>
            <w:r w:rsidRPr="003F6EF3">
              <w:rPr>
                <w:rFonts w:asciiTheme="minorHAnsi" w:hAnsiTheme="minorHAnsi" w:cstheme="minorHAnsi"/>
                <w:sz w:val="16"/>
                <w:szCs w:val="16"/>
                <w:vertAlign w:val="superscript"/>
              </w:rPr>
              <w:t>2</w:t>
            </w:r>
            <w:r w:rsidRPr="003F6EF3">
              <w:rPr>
                <w:rFonts w:asciiTheme="minorHAnsi" w:hAnsiTheme="minorHAnsi" w:cstheme="minorHAnsi"/>
                <w:sz w:val="16"/>
                <w:szCs w:val="16"/>
              </w:rPr>
              <w:t>), hypertension was treated with ramipril 6 mg/ m</w:t>
            </w:r>
            <w:r w:rsidRPr="003F6EF3">
              <w:rPr>
                <w:rFonts w:asciiTheme="minorHAnsi" w:hAnsiTheme="minorHAnsi" w:cstheme="minorHAnsi"/>
                <w:sz w:val="16"/>
                <w:szCs w:val="16"/>
                <w:vertAlign w:val="superscript"/>
              </w:rPr>
              <w:t>2</w:t>
            </w:r>
            <w:r w:rsidRPr="003F6EF3">
              <w:rPr>
                <w:rFonts w:asciiTheme="minorHAnsi" w:hAnsiTheme="minorHAnsi" w:cstheme="minorHAnsi"/>
                <w:sz w:val="16"/>
                <w:szCs w:val="16"/>
              </w:rPr>
              <w:t>/day and patients were randomly assigned to intensified blood-pressure control (target 24-hour mean arterial pressure below the 50</w:t>
            </w:r>
            <w:r w:rsidRPr="003F6EF3">
              <w:rPr>
                <w:rFonts w:asciiTheme="minorHAnsi" w:hAnsiTheme="minorHAnsi" w:cstheme="minorHAnsi"/>
                <w:sz w:val="16"/>
                <w:szCs w:val="16"/>
                <w:vertAlign w:val="superscript"/>
              </w:rPr>
              <w:t>th</w:t>
            </w:r>
            <w:r w:rsidRPr="003F6EF3">
              <w:rPr>
                <w:rFonts w:asciiTheme="minorHAnsi" w:hAnsiTheme="minorHAnsi" w:cstheme="minorHAnsi"/>
                <w:sz w:val="16"/>
                <w:szCs w:val="16"/>
              </w:rPr>
              <w:t xml:space="preserve"> percentile) or conventional blood-pressure control (mean arterial pressure 50-95</w:t>
            </w:r>
            <w:r w:rsidRPr="003F6EF3">
              <w:rPr>
                <w:rFonts w:asciiTheme="minorHAnsi" w:hAnsiTheme="minorHAnsi" w:cstheme="minorHAnsi"/>
                <w:sz w:val="16"/>
                <w:szCs w:val="16"/>
                <w:vertAlign w:val="superscript"/>
              </w:rPr>
              <w:t>th</w:t>
            </w:r>
            <w:r w:rsidRPr="003F6EF3">
              <w:rPr>
                <w:rFonts w:asciiTheme="minorHAnsi" w:hAnsiTheme="minorHAnsi" w:cstheme="minorHAnsi"/>
                <w:sz w:val="16"/>
                <w:szCs w:val="16"/>
              </w:rPr>
              <w:t xml:space="preserve"> percentile) achieved by the addition of antihypertensive therapy that does not target the renin–angiotensin system. Intensified blood-pressure control, with target 24-hour blood-pressure levels in the low range of normal, confers a substantial benefit with respect to renal function among children with chronic kidney disease. [LOE II GOR B] </w:t>
            </w:r>
          </w:p>
          <w:p w:rsidRPr="003F6EF3" w:rsidR="001B0217" w:rsidP="00E525C7" w:rsidRDefault="001B0217" w14:paraId="4DCDCD16"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There are few case reports of clonidine use for neonatal hypertension </w:t>
            </w:r>
            <w:r w:rsidRPr="003F6EF3">
              <w:rPr>
                <w:rFonts w:asciiTheme="minorHAnsi" w:hAnsiTheme="minorHAnsi" w:cstheme="minorHAnsi"/>
                <w:noProof/>
                <w:sz w:val="16"/>
                <w:szCs w:val="16"/>
              </w:rPr>
              <w:t>[4, 18, 19]</w:t>
            </w:r>
            <w:r w:rsidRPr="003F6EF3">
              <w:rPr>
                <w:rFonts w:asciiTheme="minorHAnsi" w:hAnsiTheme="minorHAnsi" w:cstheme="minorHAnsi"/>
                <w:sz w:val="16"/>
                <w:szCs w:val="16"/>
              </w:rPr>
              <w:t xml:space="preserve">. One study of 11 infants and children with severe arterial hypertension associated with renal failure reported a single dose of clonidine 10 µg/kg infused over 4 hours, or an additional dose of 5 µg/kg resulted in a satisfactory response in 9 patients. </w:t>
            </w:r>
            <w:r w:rsidRPr="003F6EF3">
              <w:rPr>
                <w:rFonts w:asciiTheme="minorHAnsi" w:hAnsiTheme="minorHAnsi" w:cstheme="minorHAnsi"/>
                <w:noProof/>
                <w:sz w:val="16"/>
                <w:szCs w:val="16"/>
              </w:rPr>
              <w:t>[4]</w:t>
            </w:r>
          </w:p>
          <w:p w:rsidRPr="003F6EF3" w:rsidR="001B0217" w:rsidP="00E525C7" w:rsidRDefault="001B0217" w14:paraId="6B41996F"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Doses of clonidine for treatment of chronic hypertension in neonates </w:t>
            </w:r>
            <w:r w:rsidRPr="003F6EF3">
              <w:rPr>
                <w:rFonts w:asciiTheme="minorHAnsi" w:hAnsiTheme="minorHAnsi" w:cstheme="minorHAnsi"/>
                <w:noProof/>
                <w:sz w:val="16"/>
                <w:szCs w:val="16"/>
              </w:rPr>
              <w:t>[5]</w:t>
            </w:r>
            <w:r w:rsidRPr="003F6EF3">
              <w:rPr>
                <w:rFonts w:asciiTheme="minorHAnsi" w:hAnsiTheme="minorHAnsi" w:cstheme="minorHAnsi"/>
                <w:sz w:val="16"/>
                <w:szCs w:val="16"/>
              </w:rPr>
              <w:t xml:space="preserve"> and paediatric patients </w:t>
            </w:r>
            <w:r w:rsidRPr="003F6EF3">
              <w:rPr>
                <w:rFonts w:asciiTheme="minorHAnsi" w:hAnsiTheme="minorHAnsi" w:cstheme="minorHAnsi"/>
                <w:noProof/>
                <w:sz w:val="16"/>
                <w:szCs w:val="16"/>
              </w:rPr>
              <w:t>[6]</w:t>
            </w:r>
            <w:r w:rsidRPr="003F6EF3">
              <w:rPr>
                <w:rFonts w:asciiTheme="minorHAnsi" w:hAnsiTheme="minorHAnsi" w:cstheme="minorHAnsi"/>
                <w:sz w:val="16"/>
                <w:szCs w:val="16"/>
              </w:rPr>
              <w:t xml:space="preserve"> in expert reviews vary from 2–10 µg/kg/day in 3 or 4 divided doses, maximal 25 µg/kg/day. </w:t>
            </w:r>
          </w:p>
          <w:p w:rsidRPr="003F6EF3" w:rsidR="001B0217" w:rsidP="00E525C7" w:rsidRDefault="001B0217" w14:paraId="4EA82C5D" w14:textId="77777777">
            <w:pPr>
              <w:pStyle w:val="BodyText"/>
              <w:tabs>
                <w:tab w:val="left" w:pos="1168"/>
              </w:tabs>
              <w:rPr>
                <w:rFonts w:asciiTheme="minorHAnsi" w:hAnsiTheme="minorHAnsi" w:cstheme="minorHAnsi"/>
                <w:b/>
                <w:sz w:val="16"/>
                <w:szCs w:val="16"/>
              </w:rPr>
            </w:pPr>
          </w:p>
          <w:p w:rsidRPr="003F6EF3" w:rsidR="001B0217" w:rsidP="00E525C7" w:rsidRDefault="001B0217" w14:paraId="24BABB23"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t>Safety</w:t>
            </w:r>
          </w:p>
          <w:p w:rsidRPr="003F6EF3" w:rsidR="001B0217" w:rsidP="00E525C7" w:rsidRDefault="001B0217" w14:paraId="2AA9EEE7" w14:textId="77777777">
            <w:pPr>
              <w:pStyle w:val="BodyText"/>
              <w:tabs>
                <w:tab w:val="left" w:pos="1168"/>
              </w:tabs>
              <w:rPr>
                <w:rFonts w:asciiTheme="minorHAnsi" w:hAnsiTheme="minorHAnsi" w:cstheme="minorHAnsi"/>
                <w:sz w:val="16"/>
                <w:szCs w:val="16"/>
              </w:rPr>
            </w:pPr>
            <w:r w:rsidRPr="003F6EF3">
              <w:rPr>
                <w:rFonts w:asciiTheme="minorHAnsi" w:hAnsiTheme="minorHAnsi" w:cstheme="minorHAnsi"/>
                <w:sz w:val="16"/>
                <w:szCs w:val="16"/>
              </w:rPr>
              <w:t xml:space="preserve">Clonidine may cause hypotension, bradycardia, rebound hypertension, somnolence and xerostomia. </w:t>
            </w:r>
            <w:r w:rsidRPr="003F6EF3">
              <w:rPr>
                <w:rFonts w:asciiTheme="minorHAnsi" w:hAnsiTheme="minorHAnsi" w:cstheme="minorHAnsi"/>
                <w:noProof/>
                <w:sz w:val="16"/>
                <w:szCs w:val="16"/>
              </w:rPr>
              <w:t>[5]</w:t>
            </w:r>
            <w:r w:rsidRPr="003F6EF3">
              <w:rPr>
                <w:rFonts w:asciiTheme="minorHAnsi" w:hAnsiTheme="minorHAnsi" w:cstheme="minorHAnsi"/>
                <w:sz w:val="16"/>
                <w:szCs w:val="16"/>
              </w:rPr>
              <w:t xml:space="preserve"> </w:t>
            </w:r>
          </w:p>
          <w:p w:rsidRPr="003F6EF3" w:rsidR="001B0217" w:rsidP="00E525C7" w:rsidRDefault="001B0217" w14:paraId="543EEECE" w14:textId="77777777">
            <w:pPr>
              <w:pStyle w:val="BodyText"/>
              <w:tabs>
                <w:tab w:val="left" w:pos="1168"/>
              </w:tabs>
              <w:rPr>
                <w:rFonts w:asciiTheme="minorHAnsi" w:hAnsiTheme="minorHAnsi" w:cstheme="minorHAnsi"/>
                <w:b/>
                <w:sz w:val="16"/>
                <w:szCs w:val="16"/>
              </w:rPr>
            </w:pPr>
            <w:r w:rsidRPr="003F6EF3">
              <w:rPr>
                <w:rFonts w:asciiTheme="minorHAnsi" w:hAnsiTheme="minorHAnsi" w:cstheme="minorHAnsi"/>
                <w:b/>
                <w:sz w:val="16"/>
                <w:szCs w:val="16"/>
              </w:rPr>
              <w:br/>
            </w:r>
            <w:r w:rsidRPr="003F6EF3">
              <w:rPr>
                <w:rFonts w:asciiTheme="minorHAnsi" w:hAnsiTheme="minorHAnsi" w:cstheme="minorHAnsi"/>
                <w:b/>
                <w:sz w:val="16"/>
                <w:szCs w:val="16"/>
              </w:rPr>
              <w:t>Pharmacokinetics</w:t>
            </w:r>
          </w:p>
          <w:p w:rsidRPr="00D65FFE" w:rsidR="001B0217" w:rsidP="00E525C7" w:rsidRDefault="001B0217" w14:paraId="3D34E780" w14:textId="0D5C3B57">
            <w:pPr>
              <w:pStyle w:val="BodyText"/>
              <w:rPr>
                <w:rFonts w:asciiTheme="minorHAnsi" w:hAnsiTheme="minorHAnsi" w:cstheme="minorHAnsi"/>
                <w:sz w:val="20"/>
              </w:rPr>
            </w:pPr>
            <w:r w:rsidRPr="003F6EF3">
              <w:rPr>
                <w:rFonts w:asciiTheme="minorHAnsi" w:hAnsiTheme="minorHAnsi" w:cstheme="minorHAnsi"/>
                <w:sz w:val="16"/>
                <w:szCs w:val="16"/>
              </w:rPr>
              <w:t xml:space="preserve">Clonidine displays age‐related changes in pharmacokinetics attributable to the maturation of clearance during infancy. </w:t>
            </w:r>
            <w:r w:rsidRPr="003F6EF3">
              <w:rPr>
                <w:rFonts w:asciiTheme="minorHAnsi" w:hAnsiTheme="minorHAnsi" w:cstheme="minorHAnsi"/>
                <w:noProof/>
                <w:sz w:val="16"/>
                <w:szCs w:val="16"/>
              </w:rPr>
              <w:t>[20]</w:t>
            </w:r>
            <w:r w:rsidRPr="003F6EF3">
              <w:rPr>
                <w:rFonts w:asciiTheme="minorHAnsi" w:hAnsiTheme="minorHAnsi" w:cstheme="minorHAnsi"/>
                <w:sz w:val="16"/>
                <w:szCs w:val="16"/>
              </w:rPr>
              <w:t xml:space="preserve"> It has a long elimination half‐life (16.9 hours in neonates, 11.4 hours in infants and 7.4 hours in children). </w:t>
            </w:r>
            <w:r w:rsidRPr="003F6EF3">
              <w:rPr>
                <w:rFonts w:asciiTheme="minorHAnsi" w:hAnsiTheme="minorHAnsi" w:cstheme="minorHAnsi"/>
                <w:noProof/>
                <w:sz w:val="16"/>
                <w:szCs w:val="16"/>
              </w:rPr>
              <w:t>[2, 21]</w:t>
            </w:r>
            <w:r w:rsidRPr="003F6EF3">
              <w:rPr>
                <w:rFonts w:asciiTheme="minorHAnsi" w:hAnsiTheme="minorHAnsi" w:cstheme="minorHAnsi"/>
                <w:sz w:val="16"/>
                <w:szCs w:val="16"/>
              </w:rPr>
              <w:t xml:space="preserve"> Long half-lives necessitate the use of loading doses in order to reach therapeutic concentrations within a reasonable time. Without a loading dose, steady state would only have been achieved toward the end of the 72-hour study period for neonates. </w:t>
            </w:r>
            <w:r w:rsidRPr="003F6EF3">
              <w:rPr>
                <w:rFonts w:asciiTheme="minorHAnsi" w:hAnsiTheme="minorHAnsi" w:cstheme="minorHAnsi"/>
                <w:noProof/>
                <w:sz w:val="16"/>
                <w:szCs w:val="16"/>
              </w:rPr>
              <w:t>[21]</w:t>
            </w:r>
            <w:r w:rsidRPr="003F6EF3">
              <w:rPr>
                <w:rFonts w:asciiTheme="minorHAnsi" w:hAnsiTheme="minorHAnsi" w:cstheme="minorHAnsi"/>
                <w:sz w:val="16"/>
                <w:szCs w:val="16"/>
              </w:rPr>
              <w:t xml:space="preserve"> Bioavailability of orally administered clonidine formulations has been estimated to be approximately 55% in children.</w:t>
            </w:r>
            <w:r w:rsidRPr="003F6EF3">
              <w:rPr>
                <w:rFonts w:asciiTheme="minorHAnsi" w:hAnsiTheme="minorHAnsi" w:cstheme="minorHAnsi"/>
                <w:noProof/>
                <w:sz w:val="16"/>
                <w:szCs w:val="16"/>
              </w:rPr>
              <w:t>[3]</w:t>
            </w:r>
            <w:r w:rsidRPr="003F6EF3">
              <w:rPr>
                <w:rFonts w:asciiTheme="minorHAnsi" w:hAnsiTheme="minorHAnsi" w:cstheme="minorHAnsi"/>
                <w:sz w:val="16"/>
                <w:szCs w:val="16"/>
              </w:rPr>
              <w:t xml:space="preserve"> A target plasma concentration of above 2 μg/L has been proposed. [2] Clonidine titrated infusions with a loading dose of 2 μg/kg followed by a continuous infusion of up to 2 μg/kg/hour are recommended in hemodynamically stable PICU patients to achieve adequate sedation. Clonidine titrated infusions with a loading dose of 1 μg/kg followed by a continuous infusion of up to 1 μg/kg/hour are recommended in hemodynamically stable neonates. [2]</w:t>
            </w:r>
          </w:p>
        </w:tc>
      </w:tr>
      <w:tr w:rsidRPr="00D65FFE" w:rsidR="001B0217" w:rsidTr="77BEE3D0" w14:paraId="42E7A64D" w14:textId="77777777">
        <w:trPr>
          <w:trHeight w:val="280"/>
        </w:trPr>
        <w:tc>
          <w:tcPr>
            <w:tcW w:w="934" w:type="pct"/>
          </w:tcPr>
          <w:p w:rsidRPr="00D65FFE" w:rsidR="001B0217" w:rsidP="00E525C7" w:rsidRDefault="001B0217" w14:paraId="2EFB0B84" w14:textId="6239D33A">
            <w:pPr>
              <w:pStyle w:val="BodyText"/>
              <w:rPr>
                <w:rFonts w:asciiTheme="minorHAnsi" w:hAnsiTheme="minorHAnsi" w:cstheme="minorHAnsi"/>
                <w:b/>
                <w:bCs/>
                <w:sz w:val="20"/>
              </w:rPr>
            </w:pPr>
            <w:r w:rsidRPr="00D65FFE">
              <w:rPr>
                <w:rFonts w:asciiTheme="minorHAnsi" w:hAnsiTheme="minorHAnsi" w:cstheme="minorHAnsi"/>
                <w:b/>
                <w:bCs/>
                <w:sz w:val="20"/>
              </w:rPr>
              <w:lastRenderedPageBreak/>
              <w:t>Practice points</w:t>
            </w:r>
          </w:p>
        </w:tc>
        <w:tc>
          <w:tcPr>
            <w:tcW w:w="4066" w:type="pct"/>
          </w:tcPr>
          <w:p w:rsidRPr="00553F7A" w:rsidR="001B0217" w:rsidP="00E525C7" w:rsidRDefault="001B0217" w14:paraId="63AC324B" w14:textId="77777777">
            <w:pPr>
              <w:pStyle w:val="BodyText"/>
              <w:tabs>
                <w:tab w:val="left" w:pos="1168"/>
              </w:tabs>
              <w:rPr>
                <w:rFonts w:asciiTheme="minorHAnsi" w:hAnsiTheme="minorHAnsi" w:cstheme="minorHAnsi"/>
                <w:sz w:val="16"/>
                <w:szCs w:val="16"/>
              </w:rPr>
            </w:pPr>
            <w:r w:rsidRPr="00553F7A">
              <w:rPr>
                <w:rFonts w:asciiTheme="minorHAnsi" w:hAnsiTheme="minorHAnsi" w:cstheme="minorHAnsi"/>
                <w:b/>
                <w:sz w:val="16"/>
                <w:szCs w:val="16"/>
              </w:rPr>
              <w:t xml:space="preserve">Neonatal abstinence syndrome: </w:t>
            </w:r>
            <w:r w:rsidRPr="00553F7A">
              <w:rPr>
                <w:rFonts w:asciiTheme="minorHAnsi" w:hAnsiTheme="minorHAnsi" w:cstheme="minorHAnsi"/>
                <w:sz w:val="16"/>
                <w:szCs w:val="16"/>
              </w:rPr>
              <w:t xml:space="preserve">The optimal regimen to manage symptomatic NAS is unclear. </w:t>
            </w:r>
            <w:r w:rsidRPr="00553F7A">
              <w:rPr>
                <w:rFonts w:asciiTheme="minorHAnsi" w:hAnsiTheme="minorHAnsi" w:cstheme="minorHAnsi"/>
                <w:noProof/>
                <w:sz w:val="16"/>
                <w:szCs w:val="16"/>
              </w:rPr>
              <w:t>[15]</w:t>
            </w:r>
            <w:r w:rsidRPr="00553F7A">
              <w:rPr>
                <w:rFonts w:asciiTheme="minorHAnsi" w:hAnsiTheme="minorHAnsi" w:cstheme="minorHAnsi"/>
                <w:sz w:val="16"/>
                <w:szCs w:val="16"/>
              </w:rPr>
              <w:t xml:space="preserve"> In infants with NAS secondary to opioid withdrawal, clonidine 5 microgram/kg/day up to a maximum 12 microgram/kg/day in 6-8 divided doses may reduce need for morphine treatment and duration of treatment. </w:t>
            </w:r>
            <w:r w:rsidRPr="00553F7A">
              <w:rPr>
                <w:rFonts w:asciiTheme="minorHAnsi" w:hAnsiTheme="minorHAnsi" w:cstheme="minorHAnsi"/>
                <w:noProof/>
                <w:sz w:val="16"/>
                <w:szCs w:val="16"/>
              </w:rPr>
              <w:t>[7]</w:t>
            </w:r>
            <w:r w:rsidRPr="00553F7A">
              <w:rPr>
                <w:rFonts w:asciiTheme="minorHAnsi" w:hAnsiTheme="minorHAnsi" w:cstheme="minorHAnsi"/>
                <w:sz w:val="16"/>
                <w:szCs w:val="16"/>
              </w:rPr>
              <w:t xml:space="preserve"> [LOE II, GOR C]</w:t>
            </w:r>
          </w:p>
          <w:p w:rsidRPr="00553F7A" w:rsidR="001B0217" w:rsidP="00E525C7" w:rsidRDefault="001B0217" w14:paraId="6012625A" w14:textId="77777777">
            <w:pPr>
              <w:pStyle w:val="BodyText"/>
              <w:tabs>
                <w:tab w:val="left" w:pos="1168"/>
              </w:tabs>
              <w:rPr>
                <w:rFonts w:asciiTheme="minorHAnsi" w:hAnsiTheme="minorHAnsi" w:cstheme="minorHAnsi"/>
                <w:sz w:val="16"/>
                <w:szCs w:val="16"/>
              </w:rPr>
            </w:pPr>
            <w:r w:rsidRPr="00553F7A">
              <w:rPr>
                <w:rFonts w:asciiTheme="minorHAnsi" w:hAnsiTheme="minorHAnsi" w:cstheme="minorHAnsi"/>
                <w:b/>
                <w:sz w:val="16"/>
                <w:szCs w:val="16"/>
              </w:rPr>
              <w:t xml:space="preserve">Sedation: </w:t>
            </w:r>
            <w:r w:rsidRPr="00553F7A">
              <w:rPr>
                <w:rFonts w:asciiTheme="minorHAnsi" w:hAnsiTheme="minorHAnsi" w:cstheme="minorHAnsi"/>
                <w:sz w:val="16"/>
                <w:szCs w:val="16"/>
              </w:rPr>
              <w:t xml:space="preserve">Evidence is insufficient to show the efficacy and safety of clonidine for sedation and analgesia in term and preterm newborn infants receiving mechanical ventilation. </w:t>
            </w:r>
            <w:r w:rsidRPr="00553F7A">
              <w:rPr>
                <w:rFonts w:asciiTheme="minorHAnsi" w:hAnsiTheme="minorHAnsi" w:cstheme="minorHAnsi"/>
                <w:noProof/>
                <w:sz w:val="16"/>
                <w:szCs w:val="16"/>
              </w:rPr>
              <w:t>[8]</w:t>
            </w:r>
            <w:r w:rsidRPr="00553F7A">
              <w:rPr>
                <w:rFonts w:asciiTheme="minorHAnsi" w:hAnsiTheme="minorHAnsi" w:cstheme="minorHAnsi"/>
                <w:sz w:val="16"/>
                <w:szCs w:val="16"/>
              </w:rPr>
              <w:t xml:space="preserve"> [LOE II GOR D]</w:t>
            </w:r>
          </w:p>
          <w:p w:rsidRPr="003F6EF3" w:rsidR="001B0217" w:rsidP="00E525C7" w:rsidRDefault="001B0217" w14:paraId="4CE33150" w14:textId="3C54013E">
            <w:pPr>
              <w:pStyle w:val="BodyText"/>
              <w:tabs>
                <w:tab w:val="left" w:pos="1168"/>
              </w:tabs>
              <w:rPr>
                <w:rFonts w:asciiTheme="minorHAnsi" w:hAnsiTheme="minorHAnsi" w:cstheme="minorHAnsi"/>
                <w:sz w:val="16"/>
                <w:szCs w:val="16"/>
              </w:rPr>
            </w:pPr>
            <w:r w:rsidRPr="00553F7A">
              <w:rPr>
                <w:rFonts w:asciiTheme="minorHAnsi" w:hAnsiTheme="minorHAnsi" w:cstheme="minorHAnsi"/>
                <w:b/>
                <w:sz w:val="16"/>
                <w:szCs w:val="16"/>
              </w:rPr>
              <w:t>Chronic hypertension:</w:t>
            </w:r>
            <w:r w:rsidRPr="00553F7A">
              <w:rPr>
                <w:rFonts w:asciiTheme="minorHAnsi" w:hAnsiTheme="minorHAnsi" w:cstheme="minorHAnsi"/>
                <w:sz w:val="16"/>
                <w:szCs w:val="16"/>
              </w:rPr>
              <w:t xml:space="preserve"> Recommend to use at lower doses (2–10 µg/kg/day) in 3 or 4 divided doses) in combination with other antihypertensive agents rather than at higher dose as a single agent.</w:t>
            </w:r>
          </w:p>
        </w:tc>
      </w:tr>
      <w:tr w:rsidRPr="00D65FFE" w:rsidR="001B0217" w:rsidTr="77BEE3D0" w14:paraId="04F6B2F2" w14:textId="77777777">
        <w:trPr>
          <w:trHeight w:val="108"/>
        </w:trPr>
        <w:tc>
          <w:tcPr>
            <w:tcW w:w="934" w:type="pct"/>
          </w:tcPr>
          <w:p w:rsidRPr="00D65FFE" w:rsidR="001B0217" w:rsidP="00E525C7" w:rsidRDefault="001B0217" w14:paraId="4BE3A273" w14:textId="5EDECB0E">
            <w:pPr>
              <w:pStyle w:val="BodyText"/>
              <w:rPr>
                <w:rFonts w:asciiTheme="minorHAnsi" w:hAnsiTheme="minorHAnsi" w:cstheme="minorHAnsi"/>
                <w:b/>
                <w:bCs/>
                <w:sz w:val="20"/>
              </w:rPr>
            </w:pPr>
            <w:r w:rsidRPr="00D65FFE">
              <w:rPr>
                <w:rFonts w:asciiTheme="minorHAnsi" w:hAnsiTheme="minorHAnsi" w:cstheme="minorHAnsi"/>
                <w:b/>
                <w:sz w:val="20"/>
              </w:rPr>
              <w:t>References</w:t>
            </w:r>
          </w:p>
        </w:tc>
        <w:tc>
          <w:tcPr>
            <w:tcW w:w="4066" w:type="pct"/>
          </w:tcPr>
          <w:p w:rsidRPr="003F6EF3" w:rsidR="001B0217" w:rsidP="001B0E05" w:rsidRDefault="001B0217" w14:paraId="1A5E68D6"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Bada HS, Sithisarn T, Gibson J, Garlitz K, Caldwell R, Capilouto G, Li Y, Leggas M, Breheny P. Morphine versus clonidine for neonatal abstinence syndrome. Pediatrics. 2015;135:e383-91.</w:t>
            </w:r>
          </w:p>
          <w:p w:rsidRPr="003F6EF3" w:rsidR="001B0217" w:rsidP="001B0E05" w:rsidRDefault="001B0217" w14:paraId="32E887F9"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lastRenderedPageBreak/>
              <w:t>Hunseler C, Balling G, Rohlig C, Blickheuser R, Trieschmann U, Lieser U, Dohna-Schwake C, Gebauer C, Moller O, Hering F, Hoehn T, Schubert S, Hentschel R, Huth RG, Muller A, Muller C, Wassmer G, Hahn M, Harnischmacher U, Behr J, Roth B, Clonidine Study G. Continuous infusion of clonidine in ventilated newborns and infants: a randomized controlled trial. Pediatr Crit Care Med. 2014;15:511-22.</w:t>
            </w:r>
          </w:p>
          <w:p w:rsidRPr="003F6EF3" w:rsidR="001B0217" w:rsidP="001B0E05" w:rsidRDefault="001B0217" w14:paraId="1DB53812"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Binda Ki Muaka P, Proesmans W. Intravenous clonidine in severe childhood hypertension. Acta Paediatrica Belgica. 1980;32:247-51.</w:t>
            </w:r>
          </w:p>
          <w:p w:rsidRPr="003F6EF3" w:rsidR="001B0217" w:rsidP="001B0E05" w:rsidRDefault="001B0217" w14:paraId="4C34D17F"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Batisky DL. Neonatal Hypertension. Clinics in Perinatology. 2014;41:529-42.</w:t>
            </w:r>
          </w:p>
          <w:p w:rsidRPr="003F6EF3" w:rsidR="001B0217" w:rsidP="001B0E05" w:rsidRDefault="001B0217" w14:paraId="2155CF81"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Dionne JM, Abitbol CL, Flynn JT. Hypertension in infancy: Diagnosis, management and outcome. Pediatric Nephrology. 2012;27:17-32.</w:t>
            </w:r>
          </w:p>
          <w:p w:rsidRPr="003F6EF3" w:rsidR="001B0217" w:rsidP="001B0E05" w:rsidRDefault="001B0217" w14:paraId="74063D96"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Verlhac C, Lannoy D, Bourdon F, Titecat M, Frealle E, Nassar C, Berneron C, Odou P. Physicochemical and Microbiological Stability of a New Oral Clonidine Solution for Paediatric Use. Pharmaceutical Technology in Hospital Pharmacy. 2018;3:79-90.</w:t>
            </w:r>
          </w:p>
          <w:p w:rsidRPr="003F6EF3" w:rsidR="001B0217" w:rsidP="001B0E05" w:rsidRDefault="001B0217" w14:paraId="2E758666"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Romantsik O, Calevo MG, Norman E, Bruschettini M. Clonidine for sedation and analgesia for neonates receiving mechanical ventilation. Cochrane Database of Systematic Reviews. 2017.</w:t>
            </w:r>
          </w:p>
          <w:p w:rsidRPr="003F6EF3" w:rsidR="001B0217" w:rsidP="001B0E05" w:rsidRDefault="001B0217" w14:paraId="6DB1C7E6"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Hayden JC, Breatnach C, Doherty DR, Healy M, Howlett MM, Gallagher PJ, Cousins G. Efficacy of alpha2-Agonists for Sedation in Pediatric Critical Care: A Systematic Review. Pediatr Crit Care Med. 2016;17:e66-75.</w:t>
            </w:r>
          </w:p>
          <w:p w:rsidRPr="003F6EF3" w:rsidR="001B0217" w:rsidP="001B0E05" w:rsidRDefault="001B0217" w14:paraId="584EC262"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Lambert P, Cyna AM, Knight N, Middleton P. Clonidine premedication for postoperative analgesia in children. Cochrane Database of Systematic Reviews. 2014.</w:t>
            </w:r>
          </w:p>
          <w:p w:rsidRPr="003F6EF3" w:rsidR="001B0217" w:rsidP="001B0E05" w:rsidRDefault="001B0217" w14:paraId="6083FEF1"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Zhu A, Benzon HA, Anderson TA. Evidence for the Efficacy of Systemic Opioid-Sparing Analgesics in Pediatric Surgical Populations: A Systematic Review. Anesth Analg. 2017;125:1569-87.</w:t>
            </w:r>
          </w:p>
          <w:p w:rsidRPr="003F6EF3" w:rsidR="001B0217" w:rsidP="001B0E05" w:rsidRDefault="001B0217" w14:paraId="42D85F7B"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Disher T, Gullickson C, Singh B, Cameron C, Boulos L, Beaubien L, Campbell-Yeo M. Pharmacological Treatments for Neonatal Abstinence Syndrome: A Systematic Review and Network Meta-analysis. JAMA Pediatr. 2019;173:234-43.</w:t>
            </w:r>
          </w:p>
          <w:p w:rsidRPr="003F6EF3" w:rsidR="001B0217" w:rsidP="001B0E05" w:rsidRDefault="001B0217" w14:paraId="01D3DC29"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Agthe AG, Kim GR, Mathias KB, Hendrix CW, Chavez-Valdez R, Jansson L, Lewis TR, Yaster M, Gauda EB. Clonidine as an adjunct therapy to opioids for neonatal abstinence syndrome: a randomized, controlled trial. Pediatrics. 2009;123:e849-56.</w:t>
            </w:r>
          </w:p>
          <w:p w:rsidRPr="003F6EF3" w:rsidR="001B0217" w:rsidP="001B0E05" w:rsidRDefault="001B0217" w14:paraId="37B1C8A4"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Surran B, Visintainer P, Chamberlain S, Kopcza K, Shah B, Singh R. Efficacy of clonidine versus phenobarbital in reducing neonatal morphine sulfate therapy days for neonatal abstinence syndrome. A prospective randomized clinical trial. J Perinatol. 2013;33:954-9.</w:t>
            </w:r>
          </w:p>
          <w:p w:rsidRPr="003F6EF3" w:rsidR="001B0217" w:rsidP="001B0E05" w:rsidRDefault="001B0217" w14:paraId="3A6B1AD1"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Ghazanfarpour M, Najafi MN, Roozbeh N, Mashhadi ME, Keramat-Roudi A, Megarbane B, Tsatsakis A, Moghaddam MMM, Rezaee R. Therapeutic approaches for neonatal abstinence syndrome: a systematic review of randomized clinical trials. Daru. 2019;27:423-31.</w:t>
            </w:r>
          </w:p>
          <w:p w:rsidRPr="003F6EF3" w:rsidR="001B0217" w:rsidP="001B0E05" w:rsidRDefault="001B0217" w14:paraId="39F0893C"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Dhull RS, Baracco R, Jain A, Mattoo TK. Pharmacologic Treatment of Pediatric Hypertension. Current Hypertension Reports. 2016;18 (4) (no pagination).</w:t>
            </w:r>
          </w:p>
          <w:p w:rsidRPr="003F6EF3" w:rsidR="001B0217" w:rsidP="001B0E05" w:rsidRDefault="001B0217" w14:paraId="5BCD9D4F"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Wuhl E, Trivelli A, Picca S, Litwin M, Peco-Antic A, Zurowska A, Testa S, Jankauskiene A, Emre S, Caldas-Afonso A, Anarat A, Niaudet P, Mir S, Bakkaloglu A, Enke B, Montini G, Wingen AM, Sallay P, Jeck N, Berg U, Caliskan S, Wygoda S, Hohbach-Hohenfellner K, Dusek J, Urasinski T, Arbeiter K, Neuhaus T, Gellermann J, Drozdz D, Fischbach M, Moller K, Wigger M, Peruzzi L, Mehls O, Schaefer F. Strict blood-pressure control and progression of renal failure in children. New England Journal of Medicine. 2009;361:1639-50.</w:t>
            </w:r>
          </w:p>
          <w:p w:rsidRPr="003F6EF3" w:rsidR="001B0217" w:rsidP="001B0E05" w:rsidRDefault="001B0217" w14:paraId="7A18C9B8"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Deitrick J, Stevenson K, Nguyen D, Sessions W, Linga V, Vasylyeva T. Hypertension secondary to renal hypoplasia presenting as acute heart failure in a newborn. Clin. 2019;25:10.</w:t>
            </w:r>
          </w:p>
          <w:p w:rsidRPr="003F6EF3" w:rsidR="001B0217" w:rsidP="001B0E05" w:rsidRDefault="001B0217" w14:paraId="23FF98DF"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Veenhoven RH, Vande Walle JG, Donckerwolcke RA, Wit JM, Griffiven AW, Derkx FH, Schalekamp MA. A neonate with idiopathic hyperaldosteronism. Pediatr Nephrol. 1991;5:680-4.</w:t>
            </w:r>
          </w:p>
          <w:p w:rsidRPr="003F6EF3" w:rsidR="001B0217" w:rsidP="001B0E05" w:rsidRDefault="001B0217" w14:paraId="1F9874C3"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Potts AL, Larsson P, Eksborg S, Warman G, Lonnqvist PA, Anderson BJ. Clonidine disposition in children; a population analysis. Paediatr Anaesth. 2007;17:924-33.</w:t>
            </w:r>
          </w:p>
          <w:p w:rsidRPr="003F6EF3" w:rsidR="001B0217" w:rsidP="001B0E05" w:rsidRDefault="001B0217" w14:paraId="36C416D6"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Sheng Y, Standing JF. Pharmacokinetic reason for negative results of clonidine sedation in long-term-ventilated neonates and infants. Pediatr Crit Care Med. 2015;16:92-3.</w:t>
            </w:r>
          </w:p>
          <w:p w:rsidRPr="003F6EF3" w:rsidR="001B0217" w:rsidP="001B0E05" w:rsidRDefault="001B0217" w14:paraId="1BACD9D9" w14:textId="77777777">
            <w:pPr>
              <w:pStyle w:val="ListParagraph"/>
              <w:numPr>
                <w:ilvl w:val="0"/>
                <w:numId w:val="78"/>
              </w:numPr>
              <w:rPr>
                <w:rFonts w:asciiTheme="minorHAnsi" w:hAnsiTheme="minorHAnsi" w:cstheme="minorHAnsi"/>
                <w:sz w:val="16"/>
                <w:szCs w:val="16"/>
              </w:rPr>
            </w:pPr>
            <w:r w:rsidRPr="003F6EF3">
              <w:rPr>
                <w:rFonts w:asciiTheme="minorHAnsi" w:hAnsiTheme="minorHAnsi" w:cstheme="minorHAnsi"/>
                <w:sz w:val="16"/>
                <w:szCs w:val="16"/>
              </w:rPr>
              <w:t>Larsson P, Nordlinder A, Bergendahl HT, Lonnqvist PA, Eksborg S, Almenrader N, Anderson BJ. Oral bioavailability of clonidine in children. Paediatr Anaesth. 2011;21:335-40.</w:t>
            </w:r>
          </w:p>
          <w:p w:rsidRPr="003F6EF3" w:rsidR="001B0217" w:rsidP="001B0E05" w:rsidRDefault="006B3E26" w14:paraId="512E25F5" w14:textId="77777777">
            <w:pPr>
              <w:pStyle w:val="ListParagraph"/>
              <w:numPr>
                <w:ilvl w:val="0"/>
                <w:numId w:val="78"/>
              </w:numPr>
              <w:rPr>
                <w:rFonts w:asciiTheme="minorHAnsi" w:hAnsiTheme="minorHAnsi" w:cstheme="minorHAnsi"/>
                <w:sz w:val="16"/>
                <w:szCs w:val="16"/>
              </w:rPr>
            </w:pPr>
            <w:hyperlink w:history="1" r:id="rId24">
              <w:r w:rsidRPr="003F6EF3" w:rsidR="001B0217">
                <w:rPr>
                  <w:rStyle w:val="Hyperlink"/>
                  <w:rFonts w:asciiTheme="minorHAnsi" w:hAnsiTheme="minorHAnsi" w:cstheme="minorHAnsi"/>
                  <w:sz w:val="16"/>
                  <w:szCs w:val="16"/>
                </w:rPr>
                <w:t>https://www.micromedexsolutions.com.acs.hcn.com.au/micromedex2/</w:t>
              </w:r>
            </w:hyperlink>
            <w:r w:rsidRPr="003F6EF3" w:rsidR="001B0217">
              <w:rPr>
                <w:rFonts w:asciiTheme="minorHAnsi" w:hAnsiTheme="minorHAnsi" w:cstheme="minorHAnsi"/>
                <w:sz w:val="16"/>
                <w:szCs w:val="16"/>
              </w:rPr>
              <w:t xml:space="preserve"> accessed 14/02/2020</w:t>
            </w:r>
          </w:p>
          <w:p w:rsidRPr="003F6EF3" w:rsidR="001B0217" w:rsidP="001B0E05" w:rsidRDefault="006B3E26" w14:paraId="727316D2" w14:textId="77777777">
            <w:pPr>
              <w:pStyle w:val="ListParagraph"/>
              <w:numPr>
                <w:ilvl w:val="0"/>
                <w:numId w:val="78"/>
              </w:numPr>
              <w:rPr>
                <w:rFonts w:asciiTheme="minorHAnsi" w:hAnsiTheme="minorHAnsi" w:cstheme="minorHAnsi"/>
                <w:sz w:val="16"/>
                <w:szCs w:val="16"/>
              </w:rPr>
            </w:pPr>
            <w:hyperlink w:history="1" r:id="rId25">
              <w:r w:rsidRPr="003F6EF3" w:rsidR="001B0217">
                <w:rPr>
                  <w:rStyle w:val="Hyperlink"/>
                  <w:rFonts w:asciiTheme="minorHAnsi" w:hAnsiTheme="minorHAnsi" w:cstheme="minorHAnsi"/>
                  <w:sz w:val="16"/>
                  <w:szCs w:val="16"/>
                </w:rPr>
                <w:t>https://www.mimsonline.com.au.acs.hcn.com.au/</w:t>
              </w:r>
            </w:hyperlink>
            <w:r w:rsidRPr="003F6EF3" w:rsidR="001B0217">
              <w:rPr>
                <w:rFonts w:asciiTheme="minorHAnsi" w:hAnsiTheme="minorHAnsi" w:cstheme="minorHAnsi"/>
                <w:sz w:val="16"/>
                <w:szCs w:val="16"/>
              </w:rPr>
              <w:t xml:space="preserve"> accessed 14/02/2020</w:t>
            </w:r>
          </w:p>
          <w:p w:rsidRPr="00D65FFE" w:rsidR="001B0217" w:rsidP="00E525C7" w:rsidRDefault="006B3E26" w14:paraId="5EDDFB18" w14:textId="443F68EE">
            <w:pPr>
              <w:pStyle w:val="BodyText"/>
              <w:tabs>
                <w:tab w:val="left" w:pos="1168"/>
              </w:tabs>
              <w:rPr>
                <w:rFonts w:asciiTheme="minorHAnsi" w:hAnsiTheme="minorHAnsi" w:cstheme="minorHAnsi"/>
                <w:sz w:val="20"/>
              </w:rPr>
            </w:pPr>
            <w:hyperlink w:history="1" r:id="rId26">
              <w:r w:rsidRPr="003F6EF3" w:rsidR="001B0217">
                <w:rPr>
                  <w:rStyle w:val="Hyperlink"/>
                  <w:rFonts w:asciiTheme="minorHAnsi" w:hAnsiTheme="minorHAnsi" w:cstheme="minorHAnsi"/>
                  <w:sz w:val="16"/>
                  <w:szCs w:val="16"/>
                </w:rPr>
                <w:t>https://amhonline.amh.net.au.acs.hcn.com.au/search?q=clonidine</w:t>
              </w:r>
            </w:hyperlink>
            <w:r w:rsidRPr="003F6EF3" w:rsidR="001B0217">
              <w:rPr>
                <w:rFonts w:asciiTheme="minorHAnsi" w:hAnsiTheme="minorHAnsi" w:cstheme="minorHAnsi"/>
                <w:sz w:val="16"/>
                <w:szCs w:val="16"/>
              </w:rPr>
              <w:t xml:space="preserve"> accessed 14/02/2020</w:t>
            </w:r>
          </w:p>
        </w:tc>
      </w:tr>
    </w:tbl>
    <w:p w:rsidR="003F6EF3" w:rsidP="006F0321" w:rsidRDefault="003F6EF3" w14:paraId="2453C2FE"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3F6EF3" w:rsidTr="00E525C7" w14:paraId="5D0F7E20"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3C6C44F1" w14:textId="43E8501F">
            <w:pPr>
              <w:spacing w:line="252" w:lineRule="auto"/>
              <w:rPr>
                <w:sz w:val="20"/>
                <w:lang w:val="en-AU"/>
              </w:rPr>
            </w:pPr>
            <w:r w:rsidRPr="003F6EF3">
              <w:rPr>
                <w:sz w:val="20"/>
              </w:rPr>
              <w:t xml:space="preserve">Original version Date: </w:t>
            </w:r>
            <w:r w:rsidR="00B95838">
              <w:rPr>
                <w:sz w:val="20"/>
              </w:rPr>
              <w:t>28/5/2020</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209DB402" w14:textId="77777777">
            <w:pPr>
              <w:spacing w:line="252" w:lineRule="auto"/>
              <w:rPr>
                <w:sz w:val="20"/>
              </w:rPr>
            </w:pPr>
            <w:r w:rsidRPr="003F6EF3">
              <w:rPr>
                <w:sz w:val="20"/>
              </w:rPr>
              <w:t>Author: NeoMed Consensus Group</w:t>
            </w:r>
          </w:p>
        </w:tc>
      </w:tr>
      <w:tr w:rsidR="003F6EF3" w:rsidTr="00E525C7" w14:paraId="29C336C6"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366683D1" w14:textId="041007D9">
            <w:pPr>
              <w:spacing w:line="252" w:lineRule="auto"/>
              <w:rPr>
                <w:sz w:val="20"/>
              </w:rPr>
            </w:pPr>
            <w:r w:rsidRPr="003F6EF3">
              <w:rPr>
                <w:sz w:val="20"/>
              </w:rPr>
              <w:t xml:space="preserve">Current Version number:  </w:t>
            </w:r>
            <w:r w:rsidR="00B95838">
              <w:rPr>
                <w:sz w:val="20"/>
              </w:rPr>
              <w:t>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15DBBBE0" w14:textId="37F0C59D">
            <w:pPr>
              <w:spacing w:line="252" w:lineRule="auto"/>
              <w:rPr>
                <w:sz w:val="20"/>
              </w:rPr>
            </w:pPr>
            <w:r w:rsidRPr="003F6EF3">
              <w:rPr>
                <w:sz w:val="20"/>
              </w:rPr>
              <w:t xml:space="preserve">Current Version Date:  </w:t>
            </w:r>
            <w:r w:rsidR="00B95838">
              <w:rPr>
                <w:sz w:val="20"/>
              </w:rPr>
              <w:t>15/12/2020</w:t>
            </w:r>
          </w:p>
        </w:tc>
      </w:tr>
      <w:tr w:rsidR="003F6EF3" w:rsidTr="00E525C7" w14:paraId="1CCDC6C5"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41191ED3" w14:textId="77777777">
            <w:pPr>
              <w:spacing w:line="252" w:lineRule="auto"/>
              <w:rPr>
                <w:sz w:val="20"/>
              </w:rPr>
            </w:pPr>
            <w:r w:rsidRPr="003F6EF3">
              <w:rPr>
                <w:sz w:val="20"/>
              </w:rPr>
              <w:t>Risk Rating: Medium</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7BC056C5" w14:textId="69038B26">
            <w:pPr>
              <w:spacing w:line="252" w:lineRule="auto"/>
              <w:rPr>
                <w:sz w:val="20"/>
              </w:rPr>
            </w:pPr>
            <w:r w:rsidRPr="003F6EF3">
              <w:rPr>
                <w:sz w:val="20"/>
              </w:rPr>
              <w:t xml:space="preserve">Due for Review:  </w:t>
            </w:r>
            <w:r w:rsidR="00B95838">
              <w:rPr>
                <w:sz w:val="20"/>
              </w:rPr>
              <w:t>15/12/2025</w:t>
            </w:r>
          </w:p>
        </w:tc>
      </w:tr>
      <w:tr w:rsidR="003F6EF3" w:rsidTr="00E525C7" w14:paraId="30B5E873"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1D4F2925" w14:textId="77777777">
            <w:pPr>
              <w:spacing w:line="252" w:lineRule="auto"/>
              <w:rPr>
                <w:sz w:val="20"/>
              </w:rPr>
            </w:pPr>
            <w:r w:rsidRPr="003F6EF3">
              <w:rPr>
                <w:sz w:val="20"/>
              </w:rPr>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3F6EF3" w:rsidR="003F6EF3" w:rsidP="00E525C7" w:rsidRDefault="003F6EF3" w14:paraId="00EA1F0D" w14:textId="541601C6">
            <w:pPr>
              <w:spacing w:line="252" w:lineRule="auto"/>
              <w:rPr>
                <w:sz w:val="20"/>
              </w:rPr>
            </w:pPr>
            <w:r w:rsidRPr="003F6EF3">
              <w:rPr>
                <w:sz w:val="20"/>
              </w:rPr>
              <w:t xml:space="preserve">Approval Date: </w:t>
            </w:r>
            <w:r w:rsidR="00260BC8">
              <w:rPr>
                <w:sz w:val="20"/>
              </w:rPr>
              <w:t>APRIL 2021</w:t>
            </w:r>
          </w:p>
        </w:tc>
      </w:tr>
    </w:tbl>
    <w:p w:rsidR="00115F48" w:rsidP="006F0321" w:rsidRDefault="00115F48" w14:paraId="2236CF4A" w14:textId="1E495EC8"/>
    <w:p w:rsidR="008C5459" w:rsidP="006F0321" w:rsidRDefault="008C5459" w14:paraId="67814BF9" w14:textId="77777777"/>
    <w:p w:rsidRPr="00E25790" w:rsidR="008C5459" w:rsidP="006F0321" w:rsidRDefault="008C5459" w14:paraId="1EAC608C" w14:textId="77777777"/>
    <w:tbl>
      <w:tblPr>
        <w:tblW w:w="9049" w:type="dxa"/>
        <w:tblLayout w:type="fixed"/>
        <w:tblLook w:val="0000" w:firstRow="0" w:lastRow="0" w:firstColumn="0" w:lastColumn="0" w:noHBand="0" w:noVBand="0"/>
      </w:tblPr>
      <w:tblGrid>
        <w:gridCol w:w="4153"/>
        <w:gridCol w:w="4896"/>
      </w:tblGrid>
      <w:tr w:rsidRPr="00E25790" w:rsidR="00115F48" w:rsidTr="00900C7F" w14:paraId="3F8DE47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2BBAFD23" w14:textId="7403FB12">
            <w:pPr>
              <w:pStyle w:val="Heading1"/>
            </w:pPr>
            <w:bookmarkStart w:name="_Toc495481093" w:id="152"/>
            <w:bookmarkStart w:name="_Toc495481219" w:id="153"/>
            <w:bookmarkStart w:name="_Toc495481344" w:id="154"/>
            <w:bookmarkStart w:name="_Toc495501525" w:id="155"/>
            <w:bookmarkStart w:name="_Toc38106827" w:id="156"/>
            <w:bookmarkStart w:name="_Toc75339953" w:id="157"/>
            <w:r w:rsidRPr="00E25790">
              <w:lastRenderedPageBreak/>
              <w:t>Clotrimazole</w:t>
            </w:r>
            <w:bookmarkEnd w:id="152"/>
            <w:bookmarkEnd w:id="153"/>
            <w:bookmarkEnd w:id="154"/>
            <w:bookmarkEnd w:id="155"/>
            <w:bookmarkEnd w:id="156"/>
            <w:r w:rsidR="004940FB">
              <w:t xml:space="preserve"> Cream</w:t>
            </w:r>
            <w:bookmarkEnd w:id="157"/>
            <w:r w:rsidRPr="00E25790">
              <w:fldChar w:fldCharType="begin"/>
            </w:r>
            <w:r w:rsidRPr="00E25790">
              <w:instrText>tc "Clotrimazole" \l 0</w:instrText>
            </w:r>
            <w:r w:rsidRPr="00E25790">
              <w:fldChar w:fldCharType="end"/>
            </w:r>
          </w:p>
        </w:tc>
      </w:tr>
      <w:tr w:rsidRPr="00E25790" w:rsidR="00115F48" w:rsidTr="00900C7F" w14:paraId="758AA4B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1832870" w14:textId="45FC84CC">
            <w:r w:rsidRPr="00E25790">
              <w:t xml:space="preserve">Revision Date : </w:t>
            </w:r>
            <w:r w:rsidR="00F35F80">
              <w:t>07/12/2020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FB31DC9" w14:textId="037F705D">
            <w:r w:rsidRPr="00E25790">
              <w:t xml:space="preserve">Approved </w:t>
            </w:r>
            <w:r w:rsidR="00F35F80">
              <w:t>NS</w:t>
            </w:r>
          </w:p>
        </w:tc>
      </w:tr>
    </w:tbl>
    <w:p w:rsidRPr="00E25790" w:rsidR="00115F48" w:rsidP="006F0321" w:rsidRDefault="00115F48" w14:paraId="62DD4A75" w14:textId="77777777"/>
    <w:tbl>
      <w:tblPr>
        <w:tblW w:w="9773" w:type="dxa"/>
        <w:tblLayout w:type="fixed"/>
        <w:tblLook w:val="0000" w:firstRow="0" w:lastRow="0" w:firstColumn="0" w:lastColumn="0" w:noHBand="0" w:noVBand="0"/>
      </w:tblPr>
      <w:tblGrid>
        <w:gridCol w:w="2438"/>
        <w:gridCol w:w="7335"/>
      </w:tblGrid>
      <w:tr w:rsidRPr="00E25790" w:rsidR="00115F48" w:rsidTr="00204576" w14:paraId="129573C9" w14:textId="77777777">
        <w:trPr>
          <w:cantSplit/>
          <w:trHeight w:val="1200"/>
        </w:trPr>
        <w:tc>
          <w:tcPr>
            <w:tcW w:w="2438" w:type="dxa"/>
            <w:tcBorders>
              <w:top w:val="single" w:color="auto" w:sz="6" w:space="0"/>
              <w:left w:val="single" w:color="auto" w:sz="6" w:space="0"/>
              <w:bottom w:val="single" w:color="auto" w:sz="6" w:space="0"/>
            </w:tcBorders>
          </w:tcPr>
          <w:p w:rsidRPr="00E25790" w:rsidR="00115F48" w:rsidP="006F0321" w:rsidRDefault="00115F48" w14:paraId="5E7E45D7" w14:textId="77777777">
            <w:r w:rsidRPr="00E25790">
              <w:t>Indication :</w:t>
            </w:r>
          </w:p>
        </w:tc>
        <w:tc>
          <w:tcPr>
            <w:tcW w:w="7335" w:type="dxa"/>
            <w:tcBorders>
              <w:top w:val="single" w:color="auto" w:sz="6" w:space="0"/>
              <w:bottom w:val="single" w:color="auto" w:sz="6" w:space="0"/>
              <w:right w:val="single" w:color="auto" w:sz="6" w:space="0"/>
            </w:tcBorders>
          </w:tcPr>
          <w:p w:rsidRPr="00E25790" w:rsidR="00115F48" w:rsidP="006F0321" w:rsidRDefault="00115F48" w14:paraId="2D4A330E" w14:textId="77777777">
            <w:r w:rsidRPr="00E25790">
              <w:t>Fungal infection of the skin.</w:t>
            </w:r>
          </w:p>
        </w:tc>
      </w:tr>
      <w:tr w:rsidRPr="00E25790" w:rsidR="00115F48" w:rsidTr="00204576" w14:paraId="063F149B"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0A879561" w14:textId="77777777">
            <w:r w:rsidRPr="00E25790">
              <w:t>Dose :</w:t>
            </w:r>
          </w:p>
        </w:tc>
        <w:tc>
          <w:tcPr>
            <w:tcW w:w="7335" w:type="dxa"/>
            <w:tcBorders>
              <w:top w:val="single" w:color="auto" w:sz="6" w:space="0"/>
              <w:bottom w:val="single" w:color="auto" w:sz="6" w:space="0"/>
              <w:right w:val="single" w:color="auto" w:sz="6" w:space="0"/>
            </w:tcBorders>
          </w:tcPr>
          <w:p w:rsidRPr="00E25790" w:rsidR="00115F48" w:rsidP="006F0321" w:rsidRDefault="00115F48" w14:paraId="0E7A55ED" w14:textId="77777777">
            <w:r w:rsidRPr="00E25790">
              <w:t>Thin smear, rubbed in gently.</w:t>
            </w:r>
          </w:p>
        </w:tc>
      </w:tr>
      <w:tr w:rsidRPr="00E25790" w:rsidR="00115F48" w:rsidTr="00204576" w14:paraId="36F7F3BA"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3D0637EE" w14:textId="77777777">
            <w:r w:rsidRPr="00E25790">
              <w:t>Interval :</w:t>
            </w:r>
          </w:p>
        </w:tc>
        <w:tc>
          <w:tcPr>
            <w:tcW w:w="7335" w:type="dxa"/>
            <w:tcBorders>
              <w:top w:val="single" w:color="auto" w:sz="6" w:space="0"/>
              <w:bottom w:val="single" w:color="auto" w:sz="6" w:space="0"/>
              <w:right w:val="single" w:color="auto" w:sz="6" w:space="0"/>
            </w:tcBorders>
          </w:tcPr>
          <w:p w:rsidRPr="00E25790" w:rsidR="00115F48" w:rsidP="006F0321" w:rsidRDefault="00115F48" w14:paraId="329C7316" w14:textId="77777777">
            <w:r w:rsidRPr="00E25790">
              <w:t>With each diaper change.</w:t>
            </w:r>
          </w:p>
        </w:tc>
      </w:tr>
      <w:tr w:rsidRPr="00E25790" w:rsidR="00115F48" w:rsidTr="00204576" w14:paraId="79071669"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614DED27" w14:textId="77777777">
            <w:r w:rsidRPr="00E25790">
              <w:t>Route :</w:t>
            </w:r>
          </w:p>
        </w:tc>
        <w:tc>
          <w:tcPr>
            <w:tcW w:w="7335" w:type="dxa"/>
            <w:tcBorders>
              <w:top w:val="single" w:color="auto" w:sz="6" w:space="0"/>
              <w:bottom w:val="single" w:color="auto" w:sz="6" w:space="0"/>
              <w:right w:val="single" w:color="auto" w:sz="6" w:space="0"/>
            </w:tcBorders>
          </w:tcPr>
          <w:p w:rsidRPr="00E25790" w:rsidR="00115F48" w:rsidP="006F0321" w:rsidRDefault="00115F48" w14:paraId="058FCF0F" w14:textId="77777777">
            <w:r w:rsidRPr="00E25790">
              <w:t>Topical.</w:t>
            </w:r>
          </w:p>
        </w:tc>
      </w:tr>
      <w:tr w:rsidRPr="00E25790" w:rsidR="00115F48" w:rsidTr="00204576" w14:paraId="7C972720" w14:textId="77777777">
        <w:trPr>
          <w:cantSplit/>
          <w:trHeight w:val="340"/>
        </w:trPr>
        <w:tc>
          <w:tcPr>
            <w:tcW w:w="2438" w:type="dxa"/>
            <w:tcBorders>
              <w:top w:val="single" w:color="auto" w:sz="6" w:space="0"/>
              <w:left w:val="single" w:color="auto" w:sz="6" w:space="0"/>
              <w:bottom w:val="single" w:color="auto" w:sz="6" w:space="0"/>
            </w:tcBorders>
          </w:tcPr>
          <w:p w:rsidRPr="00E25790" w:rsidR="00115F48" w:rsidP="006F0321" w:rsidRDefault="00115F48" w14:paraId="1FF3C18B" w14:textId="77777777">
            <w:r w:rsidRPr="00E25790">
              <w:t>Total Daily Dose :</w:t>
            </w:r>
          </w:p>
        </w:tc>
        <w:tc>
          <w:tcPr>
            <w:tcW w:w="7335" w:type="dxa"/>
            <w:tcBorders>
              <w:top w:val="single" w:color="auto" w:sz="6" w:space="0"/>
              <w:bottom w:val="single" w:color="auto" w:sz="6" w:space="0"/>
              <w:right w:val="single" w:color="auto" w:sz="6" w:space="0"/>
            </w:tcBorders>
          </w:tcPr>
          <w:p w:rsidRPr="00E25790" w:rsidR="00115F48" w:rsidP="006F0321" w:rsidRDefault="00115F48" w14:paraId="6554ADA9" w14:textId="77777777"/>
        </w:tc>
      </w:tr>
      <w:tr w:rsidRPr="00E25790" w:rsidR="00115F48" w:rsidTr="00204576" w14:paraId="6CBA468F" w14:textId="77777777">
        <w:trPr>
          <w:cantSplit/>
          <w:trHeight w:val="1200"/>
        </w:trPr>
        <w:tc>
          <w:tcPr>
            <w:tcW w:w="2438" w:type="dxa"/>
            <w:tcBorders>
              <w:top w:val="single" w:color="auto" w:sz="6" w:space="0"/>
              <w:left w:val="single" w:color="auto" w:sz="6" w:space="0"/>
              <w:bottom w:val="single" w:color="auto" w:sz="6" w:space="0"/>
            </w:tcBorders>
          </w:tcPr>
          <w:p w:rsidRPr="00E25790" w:rsidR="00115F48" w:rsidP="006F0321" w:rsidRDefault="00115F48" w14:paraId="4DC4E4B2" w14:textId="77777777">
            <w:r w:rsidRPr="00E25790">
              <w:t>Comments :</w:t>
            </w:r>
          </w:p>
        </w:tc>
        <w:tc>
          <w:tcPr>
            <w:tcW w:w="7335" w:type="dxa"/>
            <w:tcBorders>
              <w:top w:val="single" w:color="auto" w:sz="6" w:space="0"/>
              <w:bottom w:val="single" w:color="auto" w:sz="6" w:space="0"/>
              <w:right w:val="single" w:color="auto" w:sz="6" w:space="0"/>
            </w:tcBorders>
          </w:tcPr>
          <w:p w:rsidRPr="00E25790" w:rsidR="00115F48" w:rsidP="006F0321" w:rsidRDefault="00115F48" w14:paraId="15865410" w14:textId="77777777">
            <w:r w:rsidRPr="00E25790">
              <w:t>Used in treatment of perineal candidiasis where Nystatin has failed.</w:t>
            </w:r>
          </w:p>
          <w:p w:rsidRPr="00E25790" w:rsidR="00115F48" w:rsidP="006F0321" w:rsidRDefault="00115F48" w14:paraId="5D53A3A8" w14:textId="77777777">
            <w:r w:rsidRPr="00E25790">
              <w:t xml:space="preserve">Should be used with caution in babies under phototherapy as it can cause burns.  </w:t>
            </w:r>
          </w:p>
        </w:tc>
      </w:tr>
      <w:tr w:rsidRPr="00E25790" w:rsidR="00115F48" w:rsidTr="00204576" w14:paraId="678DC037"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4131D6AF" w14:textId="77777777">
            <w:r w:rsidRPr="00E25790">
              <w:t>Supplied as :</w:t>
            </w:r>
          </w:p>
        </w:tc>
        <w:tc>
          <w:tcPr>
            <w:tcW w:w="7335" w:type="dxa"/>
            <w:tcBorders>
              <w:top w:val="single" w:color="auto" w:sz="6" w:space="0"/>
              <w:bottom w:val="single" w:color="auto" w:sz="6" w:space="0"/>
              <w:right w:val="single" w:color="auto" w:sz="6" w:space="0"/>
            </w:tcBorders>
          </w:tcPr>
          <w:p w:rsidRPr="00E25790" w:rsidR="00115F48" w:rsidP="006F0321" w:rsidRDefault="00115F48" w14:paraId="3005BF6F" w14:textId="58F2A6A7">
            <w:r w:rsidRPr="00E25790">
              <w:t>Clotrimazole 1%</w:t>
            </w:r>
            <w:r w:rsidR="00F35F80">
              <w:t xml:space="preserve"> Cream</w:t>
            </w:r>
            <w:r w:rsidRPr="00E25790">
              <w:t>.  May be combined with Hydrocortisone to produce a lotion/cream with faster action in soothing more aggressive rashes.</w:t>
            </w:r>
          </w:p>
        </w:tc>
      </w:tr>
      <w:tr w:rsidRPr="00E25790" w:rsidR="00776DB7" w:rsidTr="00204576" w14:paraId="4EA9A48F" w14:textId="77777777">
        <w:trPr>
          <w:cantSplit/>
          <w:trHeight w:val="480"/>
        </w:trPr>
        <w:tc>
          <w:tcPr>
            <w:tcW w:w="2438" w:type="dxa"/>
            <w:tcBorders>
              <w:top w:val="single" w:color="auto" w:sz="6" w:space="0"/>
              <w:left w:val="single" w:color="auto" w:sz="6" w:space="0"/>
              <w:bottom w:val="single" w:color="auto" w:sz="6" w:space="0"/>
            </w:tcBorders>
          </w:tcPr>
          <w:p w:rsidRPr="00E25790" w:rsidR="00776DB7" w:rsidP="006F0321" w:rsidRDefault="00776DB7" w14:paraId="68EF38A4" w14:textId="1D1F2B98">
            <w:r>
              <w:t>Side effects:</w:t>
            </w:r>
          </w:p>
        </w:tc>
        <w:tc>
          <w:tcPr>
            <w:tcW w:w="7335" w:type="dxa"/>
            <w:tcBorders>
              <w:top w:val="single" w:color="auto" w:sz="6" w:space="0"/>
              <w:bottom w:val="single" w:color="auto" w:sz="6" w:space="0"/>
              <w:right w:val="single" w:color="auto" w:sz="6" w:space="0"/>
            </w:tcBorders>
          </w:tcPr>
          <w:p w:rsidR="00776DB7" w:rsidP="006F0321" w:rsidRDefault="006C0105" w14:paraId="5C171469" w14:textId="234E3793">
            <w:r>
              <w:t>Infrequent (0.1-1%): burning, itch, erythema</w:t>
            </w:r>
          </w:p>
          <w:p w:rsidRPr="00E25790" w:rsidR="006C0105" w:rsidP="006F0321" w:rsidRDefault="006C0105" w14:paraId="3C5CC977" w14:textId="553C7AE2">
            <w:r>
              <w:t>Rare (&lt;0.1%)</w:t>
            </w:r>
            <w:r w:rsidR="00950755">
              <w:t xml:space="preserve">: </w:t>
            </w:r>
            <w:r>
              <w:t>allergic contact dermititis</w:t>
            </w:r>
          </w:p>
        </w:tc>
      </w:tr>
      <w:tr w:rsidRPr="00E25790" w:rsidR="00115F48" w:rsidTr="00204576" w14:paraId="47CC03AE" w14:textId="77777777">
        <w:trPr>
          <w:cantSplit/>
          <w:trHeight w:val="397"/>
        </w:trPr>
        <w:tc>
          <w:tcPr>
            <w:tcW w:w="2438" w:type="dxa"/>
            <w:tcBorders>
              <w:top w:val="single" w:color="auto" w:sz="6" w:space="0"/>
              <w:left w:val="single" w:color="auto" w:sz="6" w:space="0"/>
              <w:bottom w:val="single" w:color="auto" w:sz="6" w:space="0"/>
            </w:tcBorders>
          </w:tcPr>
          <w:p w:rsidRPr="00E25790" w:rsidR="00115F48" w:rsidP="006F0321" w:rsidRDefault="00115F48" w14:paraId="4413F557" w14:textId="77777777">
            <w:r w:rsidRPr="00E25790">
              <w:t>Dilution :</w:t>
            </w:r>
          </w:p>
        </w:tc>
        <w:tc>
          <w:tcPr>
            <w:tcW w:w="7335" w:type="dxa"/>
            <w:tcBorders>
              <w:top w:val="single" w:color="auto" w:sz="6" w:space="0"/>
              <w:bottom w:val="single" w:color="auto" w:sz="6" w:space="0"/>
              <w:right w:val="single" w:color="auto" w:sz="6" w:space="0"/>
            </w:tcBorders>
          </w:tcPr>
          <w:p w:rsidRPr="00E25790" w:rsidR="00115F48" w:rsidP="006F0321" w:rsidRDefault="00115F48" w14:paraId="4CB7F202" w14:textId="77777777"/>
        </w:tc>
      </w:tr>
      <w:tr w:rsidRPr="00E25790" w:rsidR="00115F48" w:rsidTr="00204576" w14:paraId="6657F3A1" w14:textId="77777777">
        <w:trPr>
          <w:cantSplit/>
          <w:trHeight w:val="404"/>
        </w:trPr>
        <w:tc>
          <w:tcPr>
            <w:tcW w:w="2438" w:type="dxa"/>
            <w:tcBorders>
              <w:top w:val="single" w:color="auto" w:sz="6" w:space="0"/>
              <w:left w:val="single" w:color="auto" w:sz="6" w:space="0"/>
              <w:bottom w:val="single" w:color="auto" w:sz="6" w:space="0"/>
            </w:tcBorders>
          </w:tcPr>
          <w:p w:rsidRPr="00E25790" w:rsidR="00115F48" w:rsidP="006F0321" w:rsidRDefault="00115F48" w14:paraId="78B5F297" w14:textId="77777777">
            <w:r w:rsidRPr="00E25790">
              <w:t>Stability :</w:t>
            </w:r>
          </w:p>
        </w:tc>
        <w:tc>
          <w:tcPr>
            <w:tcW w:w="7335" w:type="dxa"/>
            <w:tcBorders>
              <w:top w:val="single" w:color="auto" w:sz="6" w:space="0"/>
              <w:bottom w:val="single" w:color="auto" w:sz="6" w:space="0"/>
              <w:right w:val="single" w:color="auto" w:sz="6" w:space="0"/>
            </w:tcBorders>
          </w:tcPr>
          <w:p w:rsidRPr="00E25790" w:rsidR="00115F48" w:rsidP="006F0321" w:rsidRDefault="00115F48" w14:paraId="77287686" w14:textId="77777777"/>
        </w:tc>
      </w:tr>
      <w:tr w:rsidRPr="00E25790" w:rsidR="00115F48" w:rsidTr="00204576" w14:paraId="632D15EE"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572A588E" w14:textId="77777777">
            <w:r w:rsidRPr="00E25790">
              <w:t>Storage :</w:t>
            </w:r>
          </w:p>
        </w:tc>
        <w:tc>
          <w:tcPr>
            <w:tcW w:w="7335" w:type="dxa"/>
            <w:tcBorders>
              <w:top w:val="single" w:color="auto" w:sz="6" w:space="0"/>
              <w:bottom w:val="single" w:color="auto" w:sz="6" w:space="0"/>
              <w:right w:val="single" w:color="auto" w:sz="6" w:space="0"/>
            </w:tcBorders>
          </w:tcPr>
          <w:p w:rsidRPr="00E25790" w:rsidR="00115F48" w:rsidP="006F0321" w:rsidRDefault="00115F48" w14:paraId="0E941D1A" w14:textId="77777777">
            <w:r w:rsidRPr="00E25790">
              <w:t>Room temperature.</w:t>
            </w:r>
          </w:p>
        </w:tc>
      </w:tr>
      <w:tr w:rsidRPr="00E25790" w:rsidR="00115F48" w:rsidTr="00204576" w14:paraId="7E6124C3" w14:textId="77777777">
        <w:trPr>
          <w:cantSplit/>
          <w:trHeight w:val="480"/>
        </w:trPr>
        <w:tc>
          <w:tcPr>
            <w:tcW w:w="2438" w:type="dxa"/>
            <w:tcBorders>
              <w:top w:val="single" w:color="auto" w:sz="6" w:space="0"/>
              <w:left w:val="single" w:color="auto" w:sz="6" w:space="0"/>
              <w:bottom w:val="single" w:color="auto" w:sz="6" w:space="0"/>
            </w:tcBorders>
          </w:tcPr>
          <w:p w:rsidRPr="00E25790" w:rsidR="00115F48" w:rsidP="006F0321" w:rsidRDefault="00115F48" w14:paraId="53AF4119" w14:textId="77777777">
            <w:r w:rsidRPr="00E25790">
              <w:t>Incompatibility :</w:t>
            </w:r>
          </w:p>
        </w:tc>
        <w:tc>
          <w:tcPr>
            <w:tcW w:w="7335" w:type="dxa"/>
            <w:tcBorders>
              <w:top w:val="single" w:color="auto" w:sz="6" w:space="0"/>
              <w:bottom w:val="single" w:color="auto" w:sz="6" w:space="0"/>
              <w:right w:val="single" w:color="auto" w:sz="6" w:space="0"/>
            </w:tcBorders>
          </w:tcPr>
          <w:p w:rsidRPr="00E25790" w:rsidR="00115F48" w:rsidP="006F0321" w:rsidRDefault="00115F48" w14:paraId="05613CAB" w14:textId="77777777">
            <w:r w:rsidRPr="00E25790">
              <w:t>Not Applicable.</w:t>
            </w:r>
          </w:p>
        </w:tc>
      </w:tr>
      <w:tr w:rsidRPr="00E25790" w:rsidR="00115F48" w:rsidTr="00204576" w14:paraId="4971DF86" w14:textId="77777777">
        <w:trPr>
          <w:cantSplit/>
          <w:trHeight w:val="281"/>
        </w:trPr>
        <w:tc>
          <w:tcPr>
            <w:tcW w:w="2438" w:type="dxa"/>
            <w:tcBorders>
              <w:top w:val="single" w:color="auto" w:sz="6" w:space="0"/>
              <w:left w:val="single" w:color="auto" w:sz="6" w:space="0"/>
              <w:bottom w:val="single" w:color="auto" w:sz="6" w:space="0"/>
            </w:tcBorders>
          </w:tcPr>
          <w:p w:rsidRPr="00E25790" w:rsidR="00115F48" w:rsidP="006F0321" w:rsidRDefault="00115F48" w14:paraId="6FCC5954" w14:textId="77777777">
            <w:r w:rsidRPr="00E25790">
              <w:t>Serum Levels :</w:t>
            </w:r>
          </w:p>
        </w:tc>
        <w:tc>
          <w:tcPr>
            <w:tcW w:w="7335" w:type="dxa"/>
            <w:tcBorders>
              <w:top w:val="single" w:color="auto" w:sz="6" w:space="0"/>
              <w:bottom w:val="single" w:color="auto" w:sz="6" w:space="0"/>
              <w:right w:val="single" w:color="auto" w:sz="6" w:space="0"/>
            </w:tcBorders>
          </w:tcPr>
          <w:p w:rsidRPr="00E25790" w:rsidR="00115F48" w:rsidP="006F0321" w:rsidRDefault="00115F48" w14:paraId="0D8BDB89" w14:textId="7D73BC04"/>
        </w:tc>
      </w:tr>
      <w:tr w:rsidRPr="00E25790" w:rsidR="006C2745" w:rsidTr="00204576" w14:paraId="3C52199D" w14:textId="77777777">
        <w:trPr>
          <w:cantSplit/>
          <w:trHeight w:val="480"/>
        </w:trPr>
        <w:tc>
          <w:tcPr>
            <w:tcW w:w="2438" w:type="dxa"/>
            <w:tcBorders>
              <w:top w:val="single" w:color="auto" w:sz="6" w:space="0"/>
              <w:left w:val="single" w:color="auto" w:sz="6" w:space="0"/>
              <w:bottom w:val="single" w:color="auto" w:sz="6" w:space="0"/>
            </w:tcBorders>
          </w:tcPr>
          <w:p w:rsidRPr="00E25790" w:rsidR="006C2745" w:rsidP="006F0321" w:rsidRDefault="006C2745" w14:paraId="222B55A3" w14:textId="490A2374">
            <w:r>
              <w:t>References:</w:t>
            </w:r>
          </w:p>
        </w:tc>
        <w:tc>
          <w:tcPr>
            <w:tcW w:w="7335" w:type="dxa"/>
            <w:tcBorders>
              <w:top w:val="single" w:color="auto" w:sz="6" w:space="0"/>
              <w:bottom w:val="single" w:color="auto" w:sz="6" w:space="0"/>
              <w:right w:val="single" w:color="auto" w:sz="6" w:space="0"/>
            </w:tcBorders>
          </w:tcPr>
          <w:p w:rsidR="006C2745" w:rsidP="006F0321" w:rsidRDefault="006C2745" w14:paraId="607BC71D" w14:textId="59870DFB">
            <w:r>
              <w:t xml:space="preserve">Australian Medicine Handbook. Children’s </w:t>
            </w:r>
            <w:r w:rsidR="56A1E1F2">
              <w:t>Dosing</w:t>
            </w:r>
            <w:r>
              <w:t xml:space="preserve"> Companion. July 2020</w:t>
            </w:r>
          </w:p>
          <w:p w:rsidR="00C81887" w:rsidP="006F0321" w:rsidRDefault="00C81887" w14:paraId="3BE19758" w14:textId="479104E8">
            <w:r>
              <w:t>Uptodate 2020</w:t>
            </w:r>
          </w:p>
          <w:p w:rsidR="00C81887" w:rsidP="006F0321" w:rsidRDefault="00C81887" w14:paraId="21761CB0" w14:textId="77777777"/>
          <w:p w:rsidRPr="00E25790" w:rsidR="00C81887" w:rsidP="006F0321" w:rsidRDefault="00C81887" w14:paraId="73812414" w14:textId="233C6F05"/>
        </w:tc>
      </w:tr>
    </w:tbl>
    <w:p w:rsidR="00115F48" w:rsidP="006F0321" w:rsidRDefault="00115F48" w14:paraId="3098FFD5" w14:textId="77777777"/>
    <w:p w:rsidRPr="00E25790" w:rsidR="001B680C" w:rsidP="006F0321" w:rsidRDefault="001B680C" w14:paraId="0F4E2A4E"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1B680C" w:rsidTr="009E664B" w14:paraId="1C0E2A19"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3F044F61" w14:textId="6042AEE6">
            <w:pPr>
              <w:spacing w:line="252" w:lineRule="auto"/>
              <w:rPr>
                <w:sz w:val="22"/>
                <w:lang w:val="en-AU"/>
              </w:rPr>
            </w:pPr>
            <w:r>
              <w:t>Original version Date: 9/1/2014</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23660658" w14:textId="089A244D">
            <w:pPr>
              <w:spacing w:line="252" w:lineRule="auto"/>
            </w:pPr>
            <w:r>
              <w:t>Author: AK, JD</w:t>
            </w:r>
          </w:p>
        </w:tc>
      </w:tr>
      <w:tr w:rsidR="001B680C" w:rsidTr="009E664B" w14:paraId="561DB589"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6671C989" w14:textId="78465B68">
            <w:pPr>
              <w:spacing w:line="252" w:lineRule="auto"/>
            </w:pPr>
            <w:r>
              <w:t>Current Version number:  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364D7F69" w14:textId="05911411">
            <w:pPr>
              <w:spacing w:line="252" w:lineRule="auto"/>
            </w:pPr>
            <w:r>
              <w:t>Current Version Date:  7/12/2020</w:t>
            </w:r>
          </w:p>
        </w:tc>
      </w:tr>
      <w:tr w:rsidR="001B680C" w:rsidTr="009E664B" w14:paraId="6D444F31"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4CCA332B" w14:textId="5AFB25CC">
            <w:pPr>
              <w:spacing w:line="252" w:lineRule="auto"/>
            </w:pPr>
            <w:r>
              <w:t xml:space="preserve">Risk Rating: </w:t>
            </w:r>
            <w:r w:rsidR="000336CB">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0419CFC4" w14:textId="0BF5BE52">
            <w:pPr>
              <w:spacing w:line="252" w:lineRule="auto"/>
            </w:pPr>
            <w:r>
              <w:t>Due for Review:  7/12/2025</w:t>
            </w:r>
          </w:p>
        </w:tc>
      </w:tr>
      <w:tr w:rsidR="001B680C" w:rsidTr="009E664B" w14:paraId="083B31B3"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709F0575" w14:textId="77777777">
            <w:pPr>
              <w:spacing w:line="252" w:lineRule="auto"/>
            </w:pPr>
            <w:r>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1B680C" w:rsidP="009E664B" w:rsidRDefault="001B680C" w14:paraId="1FA140AF" w14:textId="4E9A7780">
            <w:pPr>
              <w:spacing w:line="252" w:lineRule="auto"/>
            </w:pPr>
            <w:r>
              <w:t xml:space="preserve">Approval Date: </w:t>
            </w:r>
            <w:r w:rsidR="00260BC8">
              <w:t>APRIL 2021</w:t>
            </w:r>
          </w:p>
        </w:tc>
      </w:tr>
    </w:tbl>
    <w:p w:rsidRPr="00E25790" w:rsidR="00115F48" w:rsidP="006F0321" w:rsidRDefault="00115F48" w14:paraId="789B5449"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900C7F" w14:paraId="0868B1EE"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79FD606A" w14:textId="5E61A77B">
            <w:pPr>
              <w:pStyle w:val="Heading1"/>
            </w:pPr>
            <w:bookmarkStart w:name="_Toc495481094" w:id="158"/>
            <w:bookmarkStart w:name="_Toc495481220" w:id="159"/>
            <w:bookmarkStart w:name="_Toc495481345" w:id="160"/>
            <w:bookmarkStart w:name="_Toc495501526" w:id="161"/>
            <w:bookmarkStart w:name="_Toc38106828" w:id="162"/>
            <w:bookmarkStart w:name="_Toc75339954" w:id="163"/>
            <w:r w:rsidRPr="00E25790">
              <w:lastRenderedPageBreak/>
              <w:t>Co-trimoxazole</w:t>
            </w:r>
            <w:bookmarkEnd w:id="158"/>
            <w:bookmarkEnd w:id="159"/>
            <w:bookmarkEnd w:id="160"/>
            <w:bookmarkEnd w:id="161"/>
            <w:bookmarkEnd w:id="162"/>
            <w:r w:rsidR="004940FB">
              <w:t xml:space="preserve"> (sulfamethoxazole-trimethoprim)</w:t>
            </w:r>
            <w:bookmarkEnd w:id="163"/>
            <w:r w:rsidRPr="00E25790">
              <w:fldChar w:fldCharType="begin"/>
            </w:r>
            <w:r w:rsidRPr="00E25790">
              <w:instrText>tc "Co-trimoxazole" \l 0</w:instrText>
            </w:r>
            <w:r w:rsidRPr="00E25790">
              <w:fldChar w:fldCharType="end"/>
            </w:r>
          </w:p>
        </w:tc>
      </w:tr>
      <w:tr w:rsidRPr="00E25790" w:rsidR="00115F48" w:rsidTr="00900C7F" w14:paraId="67D975A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337EAED6" w14:textId="25F693FC">
            <w:r w:rsidRPr="00E25790">
              <w:t>Revision Date :</w:t>
            </w:r>
            <w:r w:rsidR="00FE4B86">
              <w:t>October 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1E060423" w14:textId="498432B9">
            <w:r w:rsidRPr="00E25790">
              <w:t xml:space="preserve">Approved : </w:t>
            </w:r>
            <w:r w:rsidR="004940FB">
              <w:t>TC, KOH</w:t>
            </w:r>
          </w:p>
        </w:tc>
      </w:tr>
    </w:tbl>
    <w:p w:rsidRPr="00E25790" w:rsidR="00115F48" w:rsidP="006F0321" w:rsidRDefault="00115F48" w14:paraId="1C825CD5" w14:textId="77777777"/>
    <w:tbl>
      <w:tblPr>
        <w:tblW w:w="519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07"/>
        <w:gridCol w:w="7364"/>
      </w:tblGrid>
      <w:tr w:rsidRPr="00BE5568" w:rsidR="004940FB" w:rsidTr="77BEE3D0" w14:paraId="3C21EBF5" w14:textId="77777777">
        <w:trPr>
          <w:trHeight w:val="363"/>
        </w:trPr>
        <w:tc>
          <w:tcPr>
            <w:tcW w:w="1090" w:type="pct"/>
          </w:tcPr>
          <w:p w:rsidRPr="00BE5568" w:rsidR="004940FB" w:rsidP="004940FB" w:rsidRDefault="004940FB" w14:paraId="144385B3" w14:textId="77777777">
            <w:pPr>
              <w:pStyle w:val="BodyText"/>
              <w:tabs>
                <w:tab w:val="center" w:pos="1476"/>
              </w:tabs>
              <w:rPr>
                <w:rFonts w:cs="Arial" w:asciiTheme="minorHAnsi" w:hAnsiTheme="minorHAnsi"/>
                <w:b/>
                <w:sz w:val="20"/>
              </w:rPr>
            </w:pPr>
            <w:r w:rsidRPr="00BE5568">
              <w:rPr>
                <w:rFonts w:cs="Arial" w:asciiTheme="minorHAnsi" w:hAnsiTheme="minorHAnsi"/>
                <w:b/>
                <w:sz w:val="20"/>
              </w:rPr>
              <w:t>Alert</w:t>
            </w:r>
          </w:p>
        </w:tc>
        <w:tc>
          <w:tcPr>
            <w:tcW w:w="3910" w:type="pct"/>
          </w:tcPr>
          <w:p w:rsidRPr="00BE5568" w:rsidR="004940FB" w:rsidP="004940FB" w:rsidRDefault="004940FB" w14:paraId="7D6CEA62" w14:textId="77777777">
            <w:pPr>
              <w:pStyle w:val="BodyText"/>
              <w:rPr>
                <w:rFonts w:cs="Arial" w:asciiTheme="minorHAnsi" w:hAnsiTheme="minorHAnsi"/>
                <w:sz w:val="20"/>
              </w:rPr>
            </w:pPr>
            <w:r w:rsidRPr="00BE5568">
              <w:rPr>
                <w:rFonts w:cs="Arial" w:asciiTheme="minorHAnsi" w:hAnsiTheme="minorHAnsi"/>
                <w:sz w:val="20"/>
              </w:rPr>
              <w:t>Not be used in infants</w:t>
            </w:r>
            <w:r>
              <w:rPr>
                <w:rFonts w:cs="Arial" w:asciiTheme="minorHAnsi" w:hAnsiTheme="minorHAnsi"/>
                <w:sz w:val="20"/>
              </w:rPr>
              <w:t xml:space="preserve"> </w:t>
            </w:r>
            <w:r w:rsidRPr="00BE5568">
              <w:rPr>
                <w:rFonts w:cs="Arial" w:asciiTheme="minorHAnsi" w:hAnsiTheme="minorHAnsi"/>
                <w:sz w:val="20"/>
              </w:rPr>
              <w:t>&lt;</w:t>
            </w:r>
            <w:r>
              <w:rPr>
                <w:rFonts w:cs="Arial" w:asciiTheme="minorHAnsi" w:hAnsiTheme="minorHAnsi"/>
                <w:sz w:val="20"/>
              </w:rPr>
              <w:t xml:space="preserve"> </w:t>
            </w:r>
            <w:r w:rsidRPr="00BE5568">
              <w:rPr>
                <w:rFonts w:cs="Arial" w:asciiTheme="minorHAnsi" w:hAnsiTheme="minorHAnsi"/>
                <w:sz w:val="20"/>
              </w:rPr>
              <w:t xml:space="preserve">4 weeks of age. </w:t>
            </w:r>
          </w:p>
          <w:p w:rsidRPr="00BE5568" w:rsidR="004940FB" w:rsidP="004940FB" w:rsidRDefault="004940FB" w14:paraId="5668A0F2" w14:textId="77777777">
            <w:pPr>
              <w:pStyle w:val="BodyText"/>
              <w:rPr>
                <w:rFonts w:cs="Arial" w:asciiTheme="minorHAnsi" w:hAnsiTheme="minorHAnsi"/>
                <w:sz w:val="20"/>
              </w:rPr>
            </w:pPr>
            <w:r w:rsidRPr="00BE5568">
              <w:rPr>
                <w:rFonts w:cs="Arial" w:asciiTheme="minorHAnsi" w:hAnsiTheme="minorHAnsi"/>
                <w:sz w:val="20"/>
              </w:rPr>
              <w:t>Dose is expressed as trimethoprim (TMP) component.</w:t>
            </w:r>
          </w:p>
          <w:p w:rsidRPr="00BE5568" w:rsidR="004940FB" w:rsidP="004940FB" w:rsidRDefault="004940FB" w14:paraId="06F33AC2" w14:textId="77777777">
            <w:pPr>
              <w:pStyle w:val="BodyText"/>
              <w:rPr>
                <w:rFonts w:cs="Arial" w:asciiTheme="minorHAnsi" w:hAnsiTheme="minorHAnsi"/>
                <w:sz w:val="20"/>
              </w:rPr>
            </w:pPr>
            <w:r w:rsidRPr="00BE5568">
              <w:rPr>
                <w:rFonts w:cs="Arial" w:asciiTheme="minorHAnsi" w:hAnsiTheme="minorHAnsi"/>
                <w:sz w:val="20"/>
              </w:rPr>
              <w:t>The Antimicrobial Stewardship Team recommends this drug is listed under the following category: Neonates: Restricted; Infants &gt;</w:t>
            </w:r>
            <w:r>
              <w:rPr>
                <w:rFonts w:cs="Arial" w:asciiTheme="minorHAnsi" w:hAnsiTheme="minorHAnsi"/>
                <w:sz w:val="20"/>
              </w:rPr>
              <w:t xml:space="preserve"> </w:t>
            </w:r>
            <w:r w:rsidRPr="00BE5568">
              <w:rPr>
                <w:rFonts w:cs="Arial" w:asciiTheme="minorHAnsi" w:hAnsiTheme="minorHAnsi"/>
                <w:sz w:val="20"/>
              </w:rPr>
              <w:t xml:space="preserve">4 weeks of age: Oral </w:t>
            </w:r>
            <w:r>
              <w:rPr>
                <w:rFonts w:cs="Arial" w:asciiTheme="minorHAnsi" w:hAnsiTheme="minorHAnsi"/>
                <w:sz w:val="20"/>
              </w:rPr>
              <w:t>—</w:t>
            </w:r>
            <w:r w:rsidRPr="00BE5568">
              <w:rPr>
                <w:rFonts w:cs="Arial" w:asciiTheme="minorHAnsi" w:hAnsiTheme="minorHAnsi"/>
                <w:sz w:val="20"/>
              </w:rPr>
              <w:t xml:space="preserve"> unrestricted and IV </w:t>
            </w:r>
            <w:r>
              <w:rPr>
                <w:rFonts w:cs="Arial" w:asciiTheme="minorHAnsi" w:hAnsiTheme="minorHAnsi"/>
                <w:sz w:val="20"/>
              </w:rPr>
              <w:t>—</w:t>
            </w:r>
            <w:r w:rsidRPr="00BE5568">
              <w:rPr>
                <w:rFonts w:cs="Arial" w:asciiTheme="minorHAnsi" w:hAnsiTheme="minorHAnsi"/>
                <w:sz w:val="20"/>
              </w:rPr>
              <w:t xml:space="preserve"> restricted.</w:t>
            </w:r>
          </w:p>
        </w:tc>
      </w:tr>
      <w:tr w:rsidRPr="00BE5568" w:rsidR="004940FB" w:rsidTr="77BEE3D0" w14:paraId="79463234" w14:textId="77777777">
        <w:trPr>
          <w:trHeight w:val="553"/>
        </w:trPr>
        <w:tc>
          <w:tcPr>
            <w:tcW w:w="1090" w:type="pct"/>
          </w:tcPr>
          <w:p w:rsidRPr="00BE5568" w:rsidR="004940FB" w:rsidP="004940FB" w:rsidRDefault="004940FB" w14:paraId="7C65FAC7" w14:textId="77777777">
            <w:pPr>
              <w:pStyle w:val="BodyText"/>
              <w:rPr>
                <w:rFonts w:cs="Arial" w:asciiTheme="minorHAnsi" w:hAnsiTheme="minorHAnsi"/>
                <w:b/>
                <w:bCs/>
                <w:sz w:val="20"/>
              </w:rPr>
            </w:pPr>
            <w:r w:rsidRPr="00BE5568">
              <w:rPr>
                <w:rFonts w:cs="Arial" w:asciiTheme="minorHAnsi" w:hAnsiTheme="minorHAnsi"/>
                <w:b/>
                <w:bCs/>
                <w:sz w:val="20"/>
              </w:rPr>
              <w:t xml:space="preserve">Indication                         </w:t>
            </w:r>
          </w:p>
          <w:p w:rsidRPr="00BE5568" w:rsidR="004940FB" w:rsidP="004940FB" w:rsidRDefault="004940FB" w14:paraId="6F52B042" w14:textId="77777777">
            <w:pPr>
              <w:pStyle w:val="BodyText"/>
              <w:rPr>
                <w:rFonts w:cs="Arial" w:asciiTheme="minorHAnsi" w:hAnsiTheme="minorHAnsi"/>
                <w:sz w:val="20"/>
              </w:rPr>
            </w:pPr>
          </w:p>
        </w:tc>
        <w:tc>
          <w:tcPr>
            <w:tcW w:w="3910" w:type="pct"/>
          </w:tcPr>
          <w:p w:rsidRPr="00BE5568" w:rsidR="004940FB" w:rsidP="004940FB" w:rsidRDefault="004940FB" w14:paraId="5240B981" w14:textId="77777777">
            <w:pPr>
              <w:rPr>
                <w:rFonts w:asciiTheme="minorHAnsi" w:hAnsiTheme="minorHAnsi"/>
                <w:sz w:val="20"/>
              </w:rPr>
            </w:pPr>
            <w:r w:rsidRPr="00BE5568">
              <w:rPr>
                <w:rFonts w:asciiTheme="minorHAnsi" w:hAnsiTheme="minorHAnsi"/>
                <w:sz w:val="20"/>
              </w:rPr>
              <w:t>Prophylaxis of urinary tract infections (UTI).</w:t>
            </w:r>
          </w:p>
          <w:p w:rsidRPr="00BE5568" w:rsidR="004940FB" w:rsidP="004940FB" w:rsidRDefault="004940FB" w14:paraId="18196880" w14:textId="77777777">
            <w:pPr>
              <w:rPr>
                <w:rFonts w:asciiTheme="minorHAnsi" w:hAnsiTheme="minorHAnsi"/>
                <w:sz w:val="20"/>
              </w:rPr>
            </w:pPr>
            <w:r w:rsidRPr="00BE5568">
              <w:rPr>
                <w:rFonts w:asciiTheme="minorHAnsi" w:hAnsiTheme="minorHAnsi"/>
                <w:sz w:val="20"/>
              </w:rPr>
              <w:t>Treatment of mild</w:t>
            </w:r>
            <w:r>
              <w:rPr>
                <w:rFonts w:asciiTheme="minorHAnsi" w:hAnsiTheme="minorHAnsi"/>
                <w:sz w:val="20"/>
              </w:rPr>
              <w:t>–</w:t>
            </w:r>
            <w:r w:rsidRPr="00BE5568">
              <w:rPr>
                <w:rFonts w:asciiTheme="minorHAnsi" w:hAnsiTheme="minorHAnsi"/>
                <w:sz w:val="20"/>
              </w:rPr>
              <w:t xml:space="preserve">severe infections including UTI and acute otitis media. </w:t>
            </w:r>
          </w:p>
          <w:p w:rsidRPr="00BE5568" w:rsidR="004940FB" w:rsidP="004940FB" w:rsidRDefault="004940FB" w14:paraId="21CAB9CA" w14:textId="77777777">
            <w:pPr>
              <w:rPr>
                <w:rFonts w:asciiTheme="minorHAnsi" w:hAnsiTheme="minorHAnsi"/>
                <w:sz w:val="20"/>
              </w:rPr>
            </w:pPr>
            <w:r w:rsidRPr="00BE5568">
              <w:rPr>
                <w:rFonts w:asciiTheme="minorHAnsi" w:hAnsiTheme="minorHAnsi"/>
                <w:sz w:val="20"/>
              </w:rPr>
              <w:t>Prophylaxis in HIV</w:t>
            </w:r>
            <w:r>
              <w:rPr>
                <w:rFonts w:asciiTheme="minorHAnsi" w:hAnsiTheme="minorHAnsi"/>
                <w:sz w:val="20"/>
              </w:rPr>
              <w:t>-</w:t>
            </w:r>
            <w:r w:rsidRPr="00BE5568">
              <w:rPr>
                <w:rFonts w:asciiTheme="minorHAnsi" w:hAnsiTheme="minorHAnsi"/>
                <w:sz w:val="20"/>
              </w:rPr>
              <w:t>exposed infants</w:t>
            </w:r>
          </w:p>
        </w:tc>
      </w:tr>
      <w:tr w:rsidRPr="00BE5568" w:rsidR="004940FB" w:rsidTr="77BEE3D0" w14:paraId="63FE2CA8" w14:textId="77777777">
        <w:trPr>
          <w:trHeight w:val="472"/>
        </w:trPr>
        <w:tc>
          <w:tcPr>
            <w:tcW w:w="1090" w:type="pct"/>
          </w:tcPr>
          <w:p w:rsidRPr="00BE5568" w:rsidR="004940FB" w:rsidP="004940FB" w:rsidRDefault="004940FB" w14:paraId="1500DB19" w14:textId="77777777">
            <w:pPr>
              <w:pStyle w:val="BodyText"/>
              <w:rPr>
                <w:rFonts w:cs="Arial" w:asciiTheme="minorHAnsi" w:hAnsiTheme="minorHAnsi"/>
                <w:b/>
                <w:bCs/>
                <w:sz w:val="20"/>
              </w:rPr>
            </w:pPr>
            <w:r w:rsidRPr="00BE5568">
              <w:rPr>
                <w:rFonts w:cs="Arial" w:asciiTheme="minorHAnsi" w:hAnsiTheme="minorHAnsi"/>
                <w:b/>
                <w:bCs/>
                <w:sz w:val="20"/>
              </w:rPr>
              <w:t>Action</w:t>
            </w:r>
          </w:p>
        </w:tc>
        <w:tc>
          <w:tcPr>
            <w:tcW w:w="3910" w:type="pct"/>
          </w:tcPr>
          <w:p w:rsidRPr="00BE5568" w:rsidR="004940FB" w:rsidP="004940FB" w:rsidRDefault="004940FB" w14:paraId="5CE1F844" w14:textId="77777777">
            <w:pPr>
              <w:rPr>
                <w:rFonts w:cs="Arial" w:asciiTheme="minorHAnsi" w:hAnsiTheme="minorHAnsi"/>
                <w:sz w:val="20"/>
              </w:rPr>
            </w:pPr>
            <w:r w:rsidRPr="00BE5568">
              <w:rPr>
                <w:rFonts w:cs="Arial" w:asciiTheme="minorHAnsi" w:hAnsiTheme="minorHAnsi"/>
                <w:sz w:val="20"/>
              </w:rPr>
              <w:t>Sulfamethoxazole is a sulfonamide that prevents the formation of dihydrofolic acid, a bacterial compound necessary for survival. Trimethoprim is a synthetic antibiotic that interferes with the production of folic acid</w:t>
            </w:r>
            <w:r>
              <w:rPr>
                <w:rFonts w:cs="Arial" w:asciiTheme="minorHAnsi" w:hAnsiTheme="minorHAnsi"/>
                <w:sz w:val="20"/>
              </w:rPr>
              <w:t xml:space="preserve"> by </w:t>
            </w:r>
            <w:r w:rsidRPr="00CF695D">
              <w:rPr>
                <w:rFonts w:cs="Arial" w:asciiTheme="minorHAnsi" w:hAnsiTheme="minorHAnsi"/>
                <w:sz w:val="20"/>
              </w:rPr>
              <w:t>dihydrofolate reductase</w:t>
            </w:r>
            <w:r w:rsidRPr="00BE5568">
              <w:rPr>
                <w:rFonts w:cs="Arial" w:asciiTheme="minorHAnsi" w:hAnsiTheme="minorHAnsi"/>
                <w:sz w:val="20"/>
              </w:rPr>
              <w:t>.</w:t>
            </w:r>
          </w:p>
        </w:tc>
      </w:tr>
      <w:tr w:rsidRPr="00BE5568" w:rsidR="004940FB" w:rsidTr="77BEE3D0" w14:paraId="0EEFCBB1" w14:textId="77777777">
        <w:trPr>
          <w:trHeight w:val="266"/>
        </w:trPr>
        <w:tc>
          <w:tcPr>
            <w:tcW w:w="1090" w:type="pct"/>
          </w:tcPr>
          <w:p w:rsidRPr="00BE5568" w:rsidR="004940FB" w:rsidP="004940FB" w:rsidRDefault="004940FB" w14:paraId="29040EB6" w14:textId="77777777">
            <w:pPr>
              <w:pStyle w:val="BodyText"/>
              <w:rPr>
                <w:rFonts w:cs="Arial" w:asciiTheme="minorHAnsi" w:hAnsiTheme="minorHAnsi"/>
                <w:sz w:val="20"/>
              </w:rPr>
            </w:pPr>
            <w:r w:rsidRPr="00BE5568">
              <w:rPr>
                <w:rFonts w:cs="Arial" w:asciiTheme="minorHAnsi" w:hAnsiTheme="minorHAnsi"/>
                <w:b/>
                <w:bCs/>
                <w:sz w:val="20"/>
              </w:rPr>
              <w:t xml:space="preserve">Drug Type                                   </w:t>
            </w:r>
          </w:p>
        </w:tc>
        <w:tc>
          <w:tcPr>
            <w:tcW w:w="3910" w:type="pct"/>
          </w:tcPr>
          <w:p w:rsidRPr="00BE5568" w:rsidR="004940FB" w:rsidP="004940FB" w:rsidRDefault="004940FB" w14:paraId="1BB52241" w14:textId="77777777">
            <w:pPr>
              <w:pStyle w:val="BodyText"/>
              <w:rPr>
                <w:rFonts w:cs="Arial" w:asciiTheme="minorHAnsi" w:hAnsiTheme="minorHAnsi"/>
                <w:sz w:val="20"/>
              </w:rPr>
            </w:pPr>
            <w:r w:rsidRPr="00BE5568">
              <w:rPr>
                <w:rFonts w:cs="Arial" w:asciiTheme="minorHAnsi" w:hAnsiTheme="minorHAnsi"/>
                <w:sz w:val="20"/>
              </w:rPr>
              <w:t>Sulfonamide with antifolate</w:t>
            </w:r>
          </w:p>
        </w:tc>
      </w:tr>
      <w:tr w:rsidRPr="00BE5568" w:rsidR="004940FB" w:rsidTr="77BEE3D0" w14:paraId="1836186E" w14:textId="77777777">
        <w:trPr>
          <w:trHeight w:val="384"/>
        </w:trPr>
        <w:tc>
          <w:tcPr>
            <w:tcW w:w="1090" w:type="pct"/>
          </w:tcPr>
          <w:p w:rsidRPr="00BE5568" w:rsidR="004940FB" w:rsidP="004940FB" w:rsidRDefault="004940FB" w14:paraId="206601FF" w14:textId="77777777">
            <w:pPr>
              <w:pStyle w:val="BodyText"/>
              <w:rPr>
                <w:rFonts w:cs="Arial" w:asciiTheme="minorHAnsi" w:hAnsiTheme="minorHAnsi"/>
                <w:b/>
                <w:bCs/>
                <w:sz w:val="20"/>
              </w:rPr>
            </w:pPr>
            <w:r w:rsidRPr="00BE5568">
              <w:rPr>
                <w:rFonts w:cs="Arial" w:asciiTheme="minorHAnsi" w:hAnsiTheme="minorHAnsi"/>
                <w:b/>
                <w:bCs/>
                <w:sz w:val="20"/>
              </w:rPr>
              <w:t xml:space="preserve">Trade Name                  </w:t>
            </w:r>
          </w:p>
        </w:tc>
        <w:tc>
          <w:tcPr>
            <w:tcW w:w="3910" w:type="pct"/>
          </w:tcPr>
          <w:p w:rsidRPr="00BE5568" w:rsidR="004940FB" w:rsidP="004940FB" w:rsidRDefault="004940FB" w14:paraId="04674C10" w14:textId="77777777">
            <w:pPr>
              <w:rPr>
                <w:rFonts w:asciiTheme="minorHAnsi" w:hAnsiTheme="minorHAnsi"/>
                <w:sz w:val="20"/>
              </w:rPr>
            </w:pPr>
            <w:r w:rsidRPr="00BE5568">
              <w:rPr>
                <w:rFonts w:asciiTheme="minorHAnsi" w:hAnsiTheme="minorHAnsi"/>
                <w:sz w:val="20"/>
              </w:rPr>
              <w:t xml:space="preserve">Oral: </w:t>
            </w:r>
            <w:r>
              <w:rPr>
                <w:rFonts w:asciiTheme="minorHAnsi" w:hAnsiTheme="minorHAnsi"/>
                <w:sz w:val="20"/>
              </w:rPr>
              <w:t xml:space="preserve">Bactrim Oral Suspension </w:t>
            </w:r>
            <w:r w:rsidRPr="00533448">
              <w:rPr>
                <w:rFonts w:asciiTheme="minorHAnsi" w:hAnsiTheme="minorHAnsi"/>
                <w:sz w:val="20"/>
              </w:rPr>
              <w:t>[Roche]</w:t>
            </w:r>
            <w:r>
              <w:rPr>
                <w:rFonts w:asciiTheme="minorHAnsi" w:hAnsiTheme="minorHAnsi"/>
                <w:sz w:val="20"/>
              </w:rPr>
              <w:t>;</w:t>
            </w:r>
            <w:r w:rsidRPr="00BE5568">
              <w:rPr>
                <w:rFonts w:asciiTheme="minorHAnsi" w:hAnsiTheme="minorHAnsi"/>
                <w:sz w:val="20"/>
              </w:rPr>
              <w:t xml:space="preserve"> </w:t>
            </w:r>
            <w:r w:rsidRPr="00533448">
              <w:rPr>
                <w:rFonts w:asciiTheme="minorHAnsi" w:hAnsiTheme="minorHAnsi"/>
                <w:sz w:val="20"/>
              </w:rPr>
              <w:t>Septrin Sugar Free Suspension</w:t>
            </w:r>
            <w:r>
              <w:rPr>
                <w:rFonts w:asciiTheme="minorHAnsi" w:hAnsiTheme="minorHAnsi"/>
                <w:sz w:val="20"/>
              </w:rPr>
              <w:t xml:space="preserve"> </w:t>
            </w:r>
            <w:r w:rsidRPr="00533448">
              <w:rPr>
                <w:rFonts w:asciiTheme="minorHAnsi" w:hAnsiTheme="minorHAnsi"/>
                <w:sz w:val="20"/>
              </w:rPr>
              <w:t>[Aspen]</w:t>
            </w:r>
          </w:p>
          <w:p w:rsidRPr="00BE5568" w:rsidR="004940FB" w:rsidP="004940FB" w:rsidRDefault="004940FB" w14:paraId="09DDACAD" w14:textId="77777777">
            <w:pPr>
              <w:rPr>
                <w:rFonts w:asciiTheme="minorHAnsi" w:hAnsiTheme="minorHAnsi"/>
                <w:sz w:val="20"/>
              </w:rPr>
            </w:pPr>
            <w:r w:rsidRPr="00BE5568">
              <w:rPr>
                <w:rFonts w:asciiTheme="minorHAnsi" w:hAnsiTheme="minorHAnsi"/>
                <w:sz w:val="20"/>
              </w:rPr>
              <w:t xml:space="preserve">IV: </w:t>
            </w:r>
            <w:r w:rsidRPr="00533448">
              <w:rPr>
                <w:rFonts w:asciiTheme="minorHAnsi" w:hAnsiTheme="minorHAnsi"/>
                <w:sz w:val="20"/>
              </w:rPr>
              <w:t>DBL Sulfamethoxazole 400 mg and Trimethoprim 80</w:t>
            </w:r>
            <w:r>
              <w:rPr>
                <w:rFonts w:asciiTheme="minorHAnsi" w:hAnsiTheme="minorHAnsi"/>
                <w:sz w:val="20"/>
              </w:rPr>
              <w:t xml:space="preserve"> mg Concentrate Injection BP </w:t>
            </w:r>
            <w:r w:rsidRPr="00533448">
              <w:rPr>
                <w:rFonts w:asciiTheme="minorHAnsi" w:hAnsiTheme="minorHAnsi"/>
                <w:sz w:val="20"/>
              </w:rPr>
              <w:t>[Hospira]</w:t>
            </w:r>
          </w:p>
        </w:tc>
      </w:tr>
      <w:tr w:rsidRPr="00BE5568" w:rsidR="004940FB" w:rsidTr="77BEE3D0" w14:paraId="4D1DF424" w14:textId="77777777">
        <w:trPr>
          <w:trHeight w:val="403"/>
        </w:trPr>
        <w:tc>
          <w:tcPr>
            <w:tcW w:w="1090" w:type="pct"/>
          </w:tcPr>
          <w:p w:rsidRPr="00BE5568" w:rsidR="004940FB" w:rsidP="004940FB" w:rsidRDefault="004940FB" w14:paraId="6E53F48C" w14:textId="77777777">
            <w:pPr>
              <w:pStyle w:val="BodyText"/>
              <w:rPr>
                <w:rFonts w:cs="Arial" w:asciiTheme="minorHAnsi" w:hAnsiTheme="minorHAnsi"/>
                <w:b/>
                <w:bCs/>
                <w:sz w:val="20"/>
              </w:rPr>
            </w:pPr>
            <w:r w:rsidRPr="00BE5568">
              <w:rPr>
                <w:rFonts w:cs="Arial" w:asciiTheme="minorHAnsi" w:hAnsiTheme="minorHAnsi"/>
                <w:b/>
                <w:bCs/>
                <w:sz w:val="20"/>
              </w:rPr>
              <w:t xml:space="preserve">Presentation </w:t>
            </w:r>
          </w:p>
        </w:tc>
        <w:tc>
          <w:tcPr>
            <w:tcW w:w="3910" w:type="pct"/>
          </w:tcPr>
          <w:p w:rsidRPr="00BE5568" w:rsidR="004940FB" w:rsidP="004940FB" w:rsidRDefault="004940FB" w14:paraId="25D98EBB" w14:textId="77777777">
            <w:pPr>
              <w:pStyle w:val="BodyText"/>
              <w:rPr>
                <w:rFonts w:asciiTheme="minorHAnsi" w:hAnsiTheme="minorHAnsi"/>
                <w:sz w:val="20"/>
              </w:rPr>
            </w:pPr>
            <w:r w:rsidRPr="00BE5568">
              <w:rPr>
                <w:rFonts w:cs="Arial" w:asciiTheme="minorHAnsi" w:hAnsiTheme="minorHAnsi"/>
                <w:sz w:val="20"/>
              </w:rPr>
              <w:t xml:space="preserve">Oral liquid: </w:t>
            </w:r>
            <w:r w:rsidRPr="00BE5568">
              <w:rPr>
                <w:rFonts w:asciiTheme="minorHAnsi" w:hAnsiTheme="minorHAnsi"/>
                <w:sz w:val="20"/>
              </w:rPr>
              <w:t>Trimethoprim 8</w:t>
            </w:r>
            <w:r>
              <w:rPr>
                <w:rFonts w:asciiTheme="minorHAnsi" w:hAnsiTheme="minorHAnsi"/>
                <w:sz w:val="20"/>
              </w:rPr>
              <w:t xml:space="preserve"> </w:t>
            </w:r>
            <w:r w:rsidRPr="00BE5568">
              <w:rPr>
                <w:rFonts w:asciiTheme="minorHAnsi" w:hAnsiTheme="minorHAnsi"/>
                <w:sz w:val="20"/>
              </w:rPr>
              <w:t>mg/mL and sulfamethoxazole 40</w:t>
            </w:r>
            <w:r>
              <w:rPr>
                <w:rFonts w:asciiTheme="minorHAnsi" w:hAnsiTheme="minorHAnsi"/>
                <w:sz w:val="20"/>
              </w:rPr>
              <w:t xml:space="preserve"> </w:t>
            </w:r>
            <w:r w:rsidRPr="00BE5568">
              <w:rPr>
                <w:rFonts w:asciiTheme="minorHAnsi" w:hAnsiTheme="minorHAnsi"/>
                <w:sz w:val="20"/>
              </w:rPr>
              <w:t>mg/mL</w:t>
            </w:r>
            <w:r>
              <w:rPr>
                <w:rFonts w:asciiTheme="minorHAnsi" w:hAnsiTheme="minorHAnsi"/>
                <w:sz w:val="20"/>
              </w:rPr>
              <w:t>,</w:t>
            </w:r>
            <w:r w:rsidRPr="00BE5568">
              <w:rPr>
                <w:rFonts w:asciiTheme="minorHAnsi" w:hAnsiTheme="minorHAnsi"/>
                <w:sz w:val="20"/>
              </w:rPr>
              <w:t xml:space="preserve"> 100</w:t>
            </w:r>
            <w:r>
              <w:rPr>
                <w:rFonts w:asciiTheme="minorHAnsi" w:hAnsiTheme="minorHAnsi"/>
                <w:sz w:val="20"/>
              </w:rPr>
              <w:t xml:space="preserve"> </w:t>
            </w:r>
            <w:r w:rsidRPr="00BE5568">
              <w:rPr>
                <w:rFonts w:asciiTheme="minorHAnsi" w:hAnsiTheme="minorHAnsi"/>
                <w:sz w:val="20"/>
              </w:rPr>
              <w:t xml:space="preserve">mL </w:t>
            </w:r>
          </w:p>
          <w:p w:rsidRPr="00BE5568" w:rsidR="004940FB" w:rsidP="004940FB" w:rsidRDefault="004940FB" w14:paraId="264556C1" w14:textId="77777777">
            <w:pPr>
              <w:pStyle w:val="BodyText"/>
              <w:rPr>
                <w:rFonts w:cs="Arial" w:asciiTheme="minorHAnsi" w:hAnsiTheme="minorHAnsi"/>
                <w:sz w:val="20"/>
              </w:rPr>
            </w:pPr>
            <w:r w:rsidRPr="00BE5568">
              <w:rPr>
                <w:rFonts w:cs="Arial" w:asciiTheme="minorHAnsi" w:hAnsiTheme="minorHAnsi"/>
                <w:sz w:val="20"/>
              </w:rPr>
              <w:t xml:space="preserve">IV ampoule: </w:t>
            </w:r>
            <w:r w:rsidRPr="00BE5568">
              <w:rPr>
                <w:rFonts w:asciiTheme="minorHAnsi" w:hAnsiTheme="minorHAnsi"/>
                <w:sz w:val="20"/>
              </w:rPr>
              <w:t>Trimethoprim 16</w:t>
            </w:r>
            <w:r>
              <w:rPr>
                <w:rFonts w:asciiTheme="minorHAnsi" w:hAnsiTheme="minorHAnsi"/>
                <w:sz w:val="20"/>
              </w:rPr>
              <w:t xml:space="preserve"> </w:t>
            </w:r>
            <w:r w:rsidRPr="00BE5568">
              <w:rPr>
                <w:rFonts w:asciiTheme="minorHAnsi" w:hAnsiTheme="minorHAnsi"/>
                <w:sz w:val="20"/>
              </w:rPr>
              <w:t>mg/mL and sulfamethoxazole 80</w:t>
            </w:r>
            <w:r>
              <w:rPr>
                <w:rFonts w:asciiTheme="minorHAnsi" w:hAnsiTheme="minorHAnsi"/>
                <w:sz w:val="20"/>
              </w:rPr>
              <w:t xml:space="preserve"> </w:t>
            </w:r>
            <w:r w:rsidRPr="00BE5568">
              <w:rPr>
                <w:rFonts w:asciiTheme="minorHAnsi" w:hAnsiTheme="minorHAnsi"/>
                <w:sz w:val="20"/>
              </w:rPr>
              <w:t>mg/mL 5mL ampoule</w:t>
            </w:r>
          </w:p>
        </w:tc>
      </w:tr>
      <w:tr w:rsidRPr="00BE5568" w:rsidR="004940FB" w:rsidTr="77BEE3D0" w14:paraId="5AD7A730" w14:textId="77777777">
        <w:trPr>
          <w:trHeight w:val="2661"/>
        </w:trPr>
        <w:tc>
          <w:tcPr>
            <w:tcW w:w="1090" w:type="pct"/>
          </w:tcPr>
          <w:p w:rsidRPr="00BE5568" w:rsidR="004940FB" w:rsidP="004940FB" w:rsidRDefault="004940FB" w14:paraId="112BF49A" w14:textId="77777777">
            <w:pPr>
              <w:pStyle w:val="BodyText"/>
              <w:rPr>
                <w:rFonts w:cs="Arial" w:asciiTheme="minorHAnsi" w:hAnsiTheme="minorHAnsi"/>
                <w:b/>
                <w:bCs/>
                <w:sz w:val="20"/>
              </w:rPr>
            </w:pPr>
            <w:r w:rsidRPr="00BE5568">
              <w:rPr>
                <w:rFonts w:cs="Arial" w:asciiTheme="minorHAnsi" w:hAnsiTheme="minorHAnsi"/>
                <w:b/>
                <w:bCs/>
                <w:sz w:val="20"/>
              </w:rPr>
              <w:t xml:space="preserve">Dosage / Interval                           </w:t>
            </w:r>
          </w:p>
          <w:p w:rsidRPr="00BE5568" w:rsidR="004940FB" w:rsidP="004940FB" w:rsidRDefault="004940FB" w14:paraId="5E538485" w14:textId="77777777">
            <w:pPr>
              <w:pStyle w:val="BodyText"/>
              <w:rPr>
                <w:rFonts w:cs="Arial" w:asciiTheme="minorHAnsi" w:hAnsiTheme="minorHAnsi"/>
                <w:sz w:val="20"/>
              </w:rPr>
            </w:pPr>
          </w:p>
        </w:tc>
        <w:tc>
          <w:tcPr>
            <w:tcW w:w="3910" w:type="pct"/>
          </w:tcPr>
          <w:p w:rsidRPr="00BE5568" w:rsidR="004940FB" w:rsidP="004940FB" w:rsidRDefault="004940FB" w14:paraId="450FD495" w14:textId="77777777">
            <w:pPr>
              <w:pStyle w:val="BodyText"/>
              <w:rPr>
                <w:rFonts w:asciiTheme="minorHAnsi" w:hAnsiTheme="minorHAnsi"/>
                <w:b/>
                <w:sz w:val="20"/>
              </w:rPr>
            </w:pPr>
            <w:r w:rsidRPr="00BE5568">
              <w:rPr>
                <w:rFonts w:asciiTheme="minorHAnsi" w:hAnsiTheme="minorHAnsi"/>
                <w:b/>
                <w:sz w:val="20"/>
              </w:rPr>
              <w:t>Dosage recommendations are based on trimethoprim component.</w:t>
            </w:r>
          </w:p>
          <w:p w:rsidRPr="00BE5568" w:rsidR="004940FB" w:rsidP="004940FB" w:rsidRDefault="004940FB" w14:paraId="0B5B320C" w14:textId="77777777">
            <w:pPr>
              <w:pStyle w:val="BodyText"/>
              <w:rPr>
                <w:rFonts w:asciiTheme="minorHAnsi" w:hAnsiTheme="minorHAnsi"/>
                <w:b/>
                <w:sz w:val="20"/>
              </w:rPr>
            </w:pPr>
            <w:r w:rsidRPr="00BE5568">
              <w:rPr>
                <w:rFonts w:asciiTheme="minorHAnsi" w:hAnsiTheme="minorHAnsi"/>
                <w:b/>
                <w:sz w:val="20"/>
              </w:rPr>
              <w:t xml:space="preserve">UTI </w:t>
            </w:r>
            <w:r>
              <w:rPr>
                <w:rFonts w:asciiTheme="minorHAnsi" w:hAnsiTheme="minorHAnsi"/>
                <w:b/>
                <w:sz w:val="20"/>
              </w:rPr>
              <w:t>p</w:t>
            </w:r>
            <w:r w:rsidRPr="00BE5568">
              <w:rPr>
                <w:rFonts w:asciiTheme="minorHAnsi" w:hAnsiTheme="minorHAnsi"/>
                <w:b/>
                <w:sz w:val="20"/>
              </w:rPr>
              <w:t>rophylaxis</w:t>
            </w:r>
          </w:p>
          <w:p w:rsidRPr="00BE5568" w:rsidR="004940FB" w:rsidP="004940FB" w:rsidRDefault="004940FB" w14:paraId="449BA8A3" w14:textId="77777777">
            <w:pPr>
              <w:pStyle w:val="BodyText"/>
              <w:ind w:left="720"/>
              <w:rPr>
                <w:rFonts w:asciiTheme="minorHAnsi" w:hAnsiTheme="minorHAnsi"/>
                <w:sz w:val="20"/>
              </w:rPr>
            </w:pPr>
            <w:r w:rsidRPr="00BE5568">
              <w:rPr>
                <w:rFonts w:asciiTheme="minorHAnsi" w:hAnsiTheme="minorHAnsi"/>
                <w:sz w:val="20"/>
              </w:rPr>
              <w:t>PO: 2 mg TMP/kg/dose daily or 5 mg TMP/kg/dose twice weekly.</w:t>
            </w:r>
          </w:p>
          <w:p w:rsidRPr="00BE5568" w:rsidR="004940FB" w:rsidP="004940FB" w:rsidRDefault="004940FB" w14:paraId="22A14A7C" w14:textId="77777777">
            <w:pPr>
              <w:pStyle w:val="BodyText"/>
              <w:rPr>
                <w:rFonts w:asciiTheme="minorHAnsi" w:hAnsiTheme="minorHAnsi"/>
                <w:sz w:val="20"/>
              </w:rPr>
            </w:pPr>
            <w:r w:rsidRPr="00BE5568">
              <w:rPr>
                <w:rFonts w:asciiTheme="minorHAnsi" w:hAnsiTheme="minorHAnsi"/>
                <w:b/>
                <w:sz w:val="20"/>
              </w:rPr>
              <w:t>Prophylaxis in HIV-exposed infants &lt;</w:t>
            </w:r>
            <w:r>
              <w:rPr>
                <w:rFonts w:asciiTheme="minorHAnsi" w:hAnsiTheme="minorHAnsi"/>
                <w:b/>
                <w:sz w:val="20"/>
              </w:rPr>
              <w:t xml:space="preserve"> </w:t>
            </w:r>
            <w:r w:rsidRPr="00BE5568">
              <w:rPr>
                <w:rFonts w:asciiTheme="minorHAnsi" w:hAnsiTheme="minorHAnsi"/>
                <w:b/>
                <w:sz w:val="20"/>
              </w:rPr>
              <w:t>6 months of age</w:t>
            </w:r>
            <w:r w:rsidRPr="00BE5568">
              <w:rPr>
                <w:rFonts w:asciiTheme="minorHAnsi" w:hAnsiTheme="minorHAnsi"/>
                <w:sz w:val="20"/>
              </w:rPr>
              <w:t xml:space="preserve"> </w:t>
            </w:r>
          </w:p>
          <w:p w:rsidRPr="00BE5568" w:rsidR="004940FB" w:rsidP="004940FB" w:rsidRDefault="004940FB" w14:paraId="20B345A6" w14:textId="77777777">
            <w:pPr>
              <w:pStyle w:val="BodyText"/>
              <w:ind w:left="720"/>
              <w:rPr>
                <w:rFonts w:asciiTheme="minorHAnsi" w:hAnsiTheme="minorHAnsi"/>
                <w:sz w:val="20"/>
              </w:rPr>
            </w:pPr>
            <w:r w:rsidRPr="00BE5568">
              <w:rPr>
                <w:rFonts w:asciiTheme="minorHAnsi" w:hAnsiTheme="minorHAnsi"/>
                <w:sz w:val="20"/>
              </w:rPr>
              <w:t>To commence from 4</w:t>
            </w:r>
            <w:r>
              <w:rPr>
                <w:rFonts w:asciiTheme="minorHAnsi" w:hAnsiTheme="minorHAnsi"/>
                <w:sz w:val="20"/>
              </w:rPr>
              <w:t>–</w:t>
            </w:r>
            <w:r w:rsidRPr="00BE5568">
              <w:rPr>
                <w:rFonts w:asciiTheme="minorHAnsi" w:hAnsiTheme="minorHAnsi"/>
                <w:sz w:val="20"/>
              </w:rPr>
              <w:t>6 weeks of age at a dose of 20 mg trimethoprim once daily (not per kg basis) (equa</w:t>
            </w:r>
            <w:r>
              <w:rPr>
                <w:rFonts w:asciiTheme="minorHAnsi" w:hAnsiTheme="minorHAnsi"/>
                <w:sz w:val="20"/>
              </w:rPr>
              <w:t>tes</w:t>
            </w:r>
            <w:r w:rsidRPr="00BE5568">
              <w:rPr>
                <w:rFonts w:asciiTheme="minorHAnsi" w:hAnsiTheme="minorHAnsi"/>
                <w:sz w:val="20"/>
              </w:rPr>
              <w:t xml:space="preserve"> to 2.5 mL </w:t>
            </w:r>
            <w:r>
              <w:rPr>
                <w:rFonts w:asciiTheme="minorHAnsi" w:hAnsiTheme="minorHAnsi"/>
                <w:sz w:val="20"/>
              </w:rPr>
              <w:t>oral liquid</w:t>
            </w:r>
            <w:r w:rsidRPr="00BE5568">
              <w:rPr>
                <w:rFonts w:asciiTheme="minorHAnsi" w:hAnsiTheme="minorHAnsi"/>
                <w:sz w:val="20"/>
              </w:rPr>
              <w:t xml:space="preserve"> daily)</w:t>
            </w:r>
          </w:p>
          <w:p w:rsidRPr="00BE5568" w:rsidR="004940FB" w:rsidP="004940FB" w:rsidRDefault="004940FB" w14:paraId="1883B98A" w14:textId="77777777">
            <w:pPr>
              <w:pStyle w:val="BodyText"/>
              <w:rPr>
                <w:rFonts w:asciiTheme="minorHAnsi" w:hAnsiTheme="minorHAnsi"/>
                <w:b/>
                <w:sz w:val="20"/>
              </w:rPr>
            </w:pPr>
            <w:r w:rsidRPr="00BE5568">
              <w:rPr>
                <w:rFonts w:asciiTheme="minorHAnsi" w:hAnsiTheme="minorHAnsi"/>
                <w:b/>
                <w:sz w:val="20"/>
              </w:rPr>
              <w:t>Treatment of mild</w:t>
            </w:r>
            <w:r>
              <w:rPr>
                <w:rFonts w:asciiTheme="minorHAnsi" w:hAnsiTheme="minorHAnsi"/>
                <w:b/>
                <w:sz w:val="20"/>
              </w:rPr>
              <w:t>–</w:t>
            </w:r>
            <w:r w:rsidRPr="00BE5568">
              <w:rPr>
                <w:rFonts w:asciiTheme="minorHAnsi" w:hAnsiTheme="minorHAnsi"/>
                <w:b/>
                <w:sz w:val="20"/>
              </w:rPr>
              <w:t>severe infections (e.g. UTI, acute otitis media)</w:t>
            </w:r>
          </w:p>
          <w:p w:rsidRPr="00BE5568" w:rsidR="004940FB" w:rsidP="004940FB" w:rsidRDefault="004940FB" w14:paraId="10719A82" w14:textId="77777777">
            <w:pPr>
              <w:pStyle w:val="BodyText"/>
              <w:ind w:left="720"/>
              <w:rPr>
                <w:rFonts w:asciiTheme="minorHAnsi" w:hAnsiTheme="minorHAnsi"/>
                <w:sz w:val="20"/>
              </w:rPr>
            </w:pPr>
            <w:r w:rsidRPr="00BE5568">
              <w:rPr>
                <w:rFonts w:asciiTheme="minorHAnsi" w:hAnsiTheme="minorHAnsi"/>
                <w:sz w:val="20"/>
              </w:rPr>
              <w:t>Mild to moderate infections</w:t>
            </w:r>
          </w:p>
          <w:p w:rsidRPr="00BE5568" w:rsidR="004940FB" w:rsidP="004940FB" w:rsidRDefault="004940FB" w14:paraId="7141299E" w14:textId="77777777">
            <w:pPr>
              <w:pStyle w:val="BodyText"/>
              <w:ind w:left="1440"/>
              <w:rPr>
                <w:rFonts w:asciiTheme="minorHAnsi" w:hAnsiTheme="minorHAnsi"/>
                <w:sz w:val="20"/>
              </w:rPr>
            </w:pPr>
            <w:r w:rsidRPr="00BE5568">
              <w:rPr>
                <w:rFonts w:asciiTheme="minorHAnsi" w:hAnsiTheme="minorHAnsi"/>
                <w:sz w:val="20"/>
              </w:rPr>
              <w:t>PO: 3</w:t>
            </w:r>
            <w:r>
              <w:rPr>
                <w:rFonts w:asciiTheme="minorHAnsi" w:hAnsiTheme="minorHAnsi"/>
                <w:sz w:val="20"/>
              </w:rPr>
              <w:t>–</w:t>
            </w:r>
            <w:r w:rsidRPr="00BE5568">
              <w:rPr>
                <w:rFonts w:asciiTheme="minorHAnsi" w:hAnsiTheme="minorHAnsi"/>
                <w:sz w:val="20"/>
              </w:rPr>
              <w:t>6 mg TMP/kg/dose 12 hourly (AAP Guidelines 2011).</w:t>
            </w:r>
          </w:p>
          <w:p w:rsidRPr="00BE5568" w:rsidR="004940FB" w:rsidP="004940FB" w:rsidRDefault="004940FB" w14:paraId="6BE67BAC" w14:textId="77777777">
            <w:pPr>
              <w:pStyle w:val="BodyText"/>
              <w:ind w:left="720"/>
              <w:rPr>
                <w:rFonts w:asciiTheme="minorHAnsi" w:hAnsiTheme="minorHAnsi"/>
                <w:sz w:val="20"/>
              </w:rPr>
            </w:pPr>
            <w:r w:rsidRPr="00BE5568">
              <w:rPr>
                <w:rFonts w:asciiTheme="minorHAnsi" w:hAnsiTheme="minorHAnsi"/>
                <w:sz w:val="20"/>
              </w:rPr>
              <w:t>Severe infections</w:t>
            </w:r>
          </w:p>
          <w:p w:rsidRPr="00BE5568" w:rsidR="004940FB" w:rsidP="004940FB" w:rsidRDefault="004940FB" w14:paraId="04235745" w14:textId="77777777">
            <w:pPr>
              <w:pStyle w:val="BodyText"/>
              <w:ind w:left="1440"/>
              <w:rPr>
                <w:rFonts w:asciiTheme="minorHAnsi" w:hAnsiTheme="minorHAnsi"/>
                <w:sz w:val="20"/>
              </w:rPr>
            </w:pPr>
            <w:r w:rsidRPr="00BE5568">
              <w:rPr>
                <w:rFonts w:asciiTheme="minorHAnsi" w:hAnsiTheme="minorHAnsi"/>
                <w:sz w:val="20"/>
              </w:rPr>
              <w:t>IV: 2</w:t>
            </w:r>
            <w:r>
              <w:rPr>
                <w:rFonts w:asciiTheme="minorHAnsi" w:hAnsiTheme="minorHAnsi"/>
                <w:sz w:val="20"/>
              </w:rPr>
              <w:t>–</w:t>
            </w:r>
            <w:r w:rsidRPr="00BE5568">
              <w:rPr>
                <w:rFonts w:asciiTheme="minorHAnsi" w:hAnsiTheme="minorHAnsi"/>
                <w:sz w:val="20"/>
              </w:rPr>
              <w:t xml:space="preserve">3 mg TMP/kg/dose 6 hourly. </w:t>
            </w:r>
          </w:p>
        </w:tc>
      </w:tr>
      <w:tr w:rsidRPr="00BE5568" w:rsidR="004940FB" w:rsidTr="77BEE3D0" w14:paraId="53D7F3C6" w14:textId="77777777">
        <w:trPr>
          <w:trHeight w:val="217"/>
        </w:trPr>
        <w:tc>
          <w:tcPr>
            <w:tcW w:w="1090" w:type="pct"/>
          </w:tcPr>
          <w:p w:rsidRPr="00BE5568" w:rsidR="004940FB" w:rsidP="004940FB" w:rsidRDefault="004940FB" w14:paraId="1E35D453" w14:textId="77777777">
            <w:pPr>
              <w:pStyle w:val="BodyText"/>
              <w:rPr>
                <w:rFonts w:asciiTheme="minorHAnsi" w:hAnsiTheme="minorHAnsi"/>
                <w:b/>
                <w:sz w:val="20"/>
              </w:rPr>
            </w:pPr>
            <w:r w:rsidRPr="00BE5568">
              <w:rPr>
                <w:rFonts w:asciiTheme="minorHAnsi" w:hAnsiTheme="minorHAnsi"/>
                <w:b/>
                <w:sz w:val="20"/>
              </w:rPr>
              <w:t>Maximum daily dose</w:t>
            </w:r>
          </w:p>
        </w:tc>
        <w:tc>
          <w:tcPr>
            <w:tcW w:w="3910" w:type="pct"/>
          </w:tcPr>
          <w:p w:rsidRPr="00BE5568" w:rsidR="004940FB" w:rsidP="004940FB" w:rsidRDefault="004940FB" w14:paraId="121F3F9C" w14:textId="77777777">
            <w:pPr>
              <w:pStyle w:val="BodyText"/>
              <w:rPr>
                <w:rFonts w:asciiTheme="minorHAnsi" w:hAnsiTheme="minorHAnsi"/>
                <w:sz w:val="20"/>
              </w:rPr>
            </w:pPr>
          </w:p>
        </w:tc>
      </w:tr>
      <w:tr w:rsidRPr="00BE5568" w:rsidR="004940FB" w:rsidTr="77BEE3D0" w14:paraId="1A62A638" w14:textId="77777777">
        <w:trPr>
          <w:trHeight w:val="151"/>
        </w:trPr>
        <w:tc>
          <w:tcPr>
            <w:tcW w:w="1090" w:type="pct"/>
          </w:tcPr>
          <w:p w:rsidRPr="00BE5568" w:rsidR="004940FB" w:rsidP="004940FB" w:rsidRDefault="004940FB" w14:paraId="1EAFE44C" w14:textId="77777777">
            <w:pPr>
              <w:pStyle w:val="BodyText"/>
              <w:rPr>
                <w:rFonts w:cs="Arial" w:asciiTheme="minorHAnsi" w:hAnsiTheme="minorHAnsi"/>
                <w:b/>
                <w:bCs/>
                <w:sz w:val="20"/>
              </w:rPr>
            </w:pPr>
            <w:r w:rsidRPr="00BE5568">
              <w:rPr>
                <w:rFonts w:cs="Arial" w:asciiTheme="minorHAnsi" w:hAnsiTheme="minorHAnsi"/>
                <w:b/>
                <w:bCs/>
                <w:sz w:val="20"/>
              </w:rPr>
              <w:t xml:space="preserve">Route        </w:t>
            </w:r>
          </w:p>
        </w:tc>
        <w:tc>
          <w:tcPr>
            <w:tcW w:w="3910" w:type="pct"/>
          </w:tcPr>
          <w:p w:rsidRPr="00BE5568" w:rsidR="004940FB" w:rsidP="004940FB" w:rsidRDefault="004940FB" w14:paraId="5CD60AA1" w14:textId="77777777">
            <w:pPr>
              <w:pStyle w:val="BodyText"/>
              <w:rPr>
                <w:rFonts w:cs="Arial" w:asciiTheme="minorHAnsi" w:hAnsiTheme="minorHAnsi"/>
                <w:sz w:val="20"/>
              </w:rPr>
            </w:pPr>
            <w:r w:rsidRPr="00BE5568">
              <w:rPr>
                <w:rFonts w:cs="Arial" w:asciiTheme="minorHAnsi" w:hAnsiTheme="minorHAnsi"/>
                <w:sz w:val="20"/>
              </w:rPr>
              <w:t>PO</w:t>
            </w:r>
            <w:r>
              <w:rPr>
                <w:rFonts w:cs="Arial" w:asciiTheme="minorHAnsi" w:hAnsiTheme="minorHAnsi"/>
                <w:sz w:val="20"/>
              </w:rPr>
              <w:t xml:space="preserve">, </w:t>
            </w:r>
            <w:r w:rsidRPr="00BE5568">
              <w:rPr>
                <w:rFonts w:cs="Arial" w:asciiTheme="minorHAnsi" w:hAnsiTheme="minorHAnsi"/>
                <w:sz w:val="20"/>
              </w:rPr>
              <w:t>IV</w:t>
            </w:r>
          </w:p>
        </w:tc>
      </w:tr>
      <w:tr w:rsidRPr="00BE5568" w:rsidR="004940FB" w:rsidTr="77BEE3D0" w14:paraId="445A1625" w14:textId="77777777">
        <w:trPr>
          <w:trHeight w:val="275"/>
        </w:trPr>
        <w:tc>
          <w:tcPr>
            <w:tcW w:w="1090" w:type="pct"/>
          </w:tcPr>
          <w:p w:rsidRPr="00BE5568" w:rsidR="004940FB" w:rsidP="77BEE3D0" w:rsidRDefault="004940FB" w14:paraId="558F831E" w14:textId="36C86B81">
            <w:pPr>
              <w:pStyle w:val="BodyText"/>
              <w:rPr>
                <w:rFonts w:cs="Arial" w:asciiTheme="minorHAnsi" w:hAnsiTheme="minorHAnsi"/>
                <w:b/>
                <w:bCs/>
                <w:sz w:val="20"/>
                <w:highlight w:val="cyan"/>
              </w:rPr>
            </w:pPr>
            <w:r w:rsidRPr="77BEE3D0">
              <w:rPr>
                <w:rFonts w:cs="Arial" w:asciiTheme="minorHAnsi" w:hAnsiTheme="minorHAnsi"/>
                <w:b/>
                <w:bCs/>
                <w:sz w:val="20"/>
              </w:rPr>
              <w:t>Preparation/Dilution</w:t>
            </w:r>
          </w:p>
        </w:tc>
        <w:tc>
          <w:tcPr>
            <w:tcW w:w="3910" w:type="pct"/>
          </w:tcPr>
          <w:p w:rsidRPr="00BE5568" w:rsidR="004940FB" w:rsidP="004940FB" w:rsidRDefault="004940FB" w14:paraId="7DA5E864" w14:textId="77777777">
            <w:pPr>
              <w:pStyle w:val="BodyText"/>
              <w:rPr>
                <w:rFonts w:cs="Arial" w:asciiTheme="minorHAnsi" w:hAnsiTheme="minorHAnsi"/>
                <w:sz w:val="20"/>
              </w:rPr>
            </w:pPr>
            <w:r w:rsidRPr="00BE5568">
              <w:rPr>
                <w:rFonts w:cs="Arial" w:asciiTheme="minorHAnsi" w:hAnsiTheme="minorHAnsi"/>
                <w:sz w:val="20"/>
              </w:rPr>
              <w:t xml:space="preserve">PO: Oral liquid does not require preparation </w:t>
            </w:r>
          </w:p>
          <w:p w:rsidR="004940FB" w:rsidP="004940FB" w:rsidRDefault="004940FB" w14:paraId="60D14401" w14:textId="77777777">
            <w:pPr>
              <w:pStyle w:val="BodyText"/>
              <w:rPr>
                <w:rFonts w:cs="Arial" w:asciiTheme="minorHAnsi" w:hAnsiTheme="minorHAnsi"/>
                <w:sz w:val="20"/>
              </w:rPr>
            </w:pPr>
          </w:p>
          <w:p w:rsidR="004940FB" w:rsidP="004940FB" w:rsidRDefault="004940FB" w14:paraId="572AC7FB" w14:textId="77777777">
            <w:pPr>
              <w:pStyle w:val="BodyText"/>
              <w:rPr>
                <w:rFonts w:cs="Arial" w:asciiTheme="minorHAnsi" w:hAnsiTheme="minorHAnsi"/>
                <w:sz w:val="20"/>
              </w:rPr>
            </w:pPr>
            <w:r w:rsidRPr="00BE5568">
              <w:rPr>
                <w:rFonts w:cs="Arial" w:asciiTheme="minorHAnsi" w:hAnsiTheme="minorHAnsi"/>
                <w:sz w:val="20"/>
              </w:rPr>
              <w:t>IV: Draw up 2</w:t>
            </w:r>
            <w:r>
              <w:rPr>
                <w:rFonts w:cs="Arial" w:asciiTheme="minorHAnsi" w:hAnsiTheme="minorHAnsi"/>
                <w:sz w:val="20"/>
              </w:rPr>
              <w:t xml:space="preserve"> </w:t>
            </w:r>
            <w:r w:rsidRPr="00BE5568">
              <w:rPr>
                <w:rFonts w:cs="Arial" w:asciiTheme="minorHAnsi" w:hAnsiTheme="minorHAnsi"/>
                <w:sz w:val="20"/>
              </w:rPr>
              <w:t xml:space="preserve">mL (32 mg </w:t>
            </w:r>
            <w:r w:rsidRPr="00BE5568">
              <w:rPr>
                <w:rFonts w:asciiTheme="minorHAnsi" w:hAnsiTheme="minorHAnsi"/>
                <w:sz w:val="20"/>
              </w:rPr>
              <w:t>trimethoprim</w:t>
            </w:r>
            <w:r w:rsidRPr="00BE5568">
              <w:rPr>
                <w:rFonts w:cs="Arial" w:asciiTheme="minorHAnsi" w:hAnsiTheme="minorHAnsi"/>
                <w:sz w:val="20"/>
              </w:rPr>
              <w:t xml:space="preserve"> and 80 mg </w:t>
            </w:r>
            <w:r w:rsidRPr="00BE5568">
              <w:rPr>
                <w:rFonts w:asciiTheme="minorHAnsi" w:hAnsiTheme="minorHAnsi"/>
                <w:sz w:val="20"/>
              </w:rPr>
              <w:t xml:space="preserve">sulfamethoxazole) </w:t>
            </w:r>
            <w:r w:rsidRPr="00BE5568">
              <w:rPr>
                <w:rFonts w:cs="Arial" w:asciiTheme="minorHAnsi" w:hAnsiTheme="minorHAnsi"/>
                <w:sz w:val="20"/>
              </w:rPr>
              <w:t>and add 48</w:t>
            </w:r>
            <w:r>
              <w:rPr>
                <w:rFonts w:cs="Arial" w:asciiTheme="minorHAnsi" w:hAnsiTheme="minorHAnsi"/>
                <w:sz w:val="20"/>
              </w:rPr>
              <w:t xml:space="preserve"> </w:t>
            </w:r>
            <w:r w:rsidRPr="00BE5568">
              <w:rPr>
                <w:rFonts w:cs="Arial" w:asciiTheme="minorHAnsi" w:hAnsiTheme="minorHAnsi"/>
                <w:sz w:val="20"/>
              </w:rPr>
              <w:t xml:space="preserve">mL of sodium chloride 0.9%, glucose 5% or glucose 10% to make a final </w:t>
            </w:r>
            <w:r>
              <w:rPr>
                <w:rFonts w:cs="Arial" w:asciiTheme="minorHAnsi" w:hAnsiTheme="minorHAnsi"/>
                <w:sz w:val="20"/>
              </w:rPr>
              <w:t xml:space="preserve">volume of 50mL with a concentration of </w:t>
            </w:r>
            <w:r w:rsidRPr="00BE5568">
              <w:rPr>
                <w:rFonts w:cs="Arial" w:asciiTheme="minorHAnsi" w:hAnsiTheme="minorHAnsi"/>
                <w:sz w:val="20"/>
              </w:rPr>
              <w:t xml:space="preserve"> 0.64 mg/mL of TMP. </w:t>
            </w:r>
          </w:p>
          <w:p w:rsidR="004940FB" w:rsidP="004940FB" w:rsidRDefault="004940FB" w14:paraId="1F46DE6C" w14:textId="77777777">
            <w:pPr>
              <w:pStyle w:val="BodyText"/>
              <w:rPr>
                <w:rFonts w:cs="Arial" w:asciiTheme="minorHAnsi" w:hAnsiTheme="minorHAnsi"/>
                <w:sz w:val="20"/>
              </w:rPr>
            </w:pPr>
          </w:p>
          <w:p w:rsidRPr="00BE5568" w:rsidR="004940FB" w:rsidP="004940FB" w:rsidRDefault="004940FB" w14:paraId="7CCFA0D5" w14:textId="77777777">
            <w:pPr>
              <w:pStyle w:val="BodyText"/>
              <w:rPr>
                <w:rFonts w:cs="Arial" w:asciiTheme="minorHAnsi" w:hAnsiTheme="minorHAnsi"/>
                <w:sz w:val="20"/>
              </w:rPr>
            </w:pPr>
            <w:r w:rsidRPr="00BE5568">
              <w:rPr>
                <w:rFonts w:cs="Arial" w:asciiTheme="minorHAnsi" w:hAnsiTheme="minorHAnsi"/>
                <w:sz w:val="20"/>
              </w:rPr>
              <w:t>For severely fluid restricted neonates: Draw up 2</w:t>
            </w:r>
            <w:r>
              <w:rPr>
                <w:rFonts w:cs="Arial" w:asciiTheme="minorHAnsi" w:hAnsiTheme="minorHAnsi"/>
                <w:sz w:val="20"/>
              </w:rPr>
              <w:t xml:space="preserve"> </w:t>
            </w:r>
            <w:r w:rsidRPr="00BE5568">
              <w:rPr>
                <w:rFonts w:cs="Arial" w:asciiTheme="minorHAnsi" w:hAnsiTheme="minorHAnsi"/>
                <w:sz w:val="20"/>
              </w:rPr>
              <w:t xml:space="preserve">mL (32 mg </w:t>
            </w:r>
            <w:r w:rsidRPr="00BE5568">
              <w:rPr>
                <w:rFonts w:asciiTheme="minorHAnsi" w:hAnsiTheme="minorHAnsi"/>
                <w:sz w:val="20"/>
              </w:rPr>
              <w:t>trimethoprim</w:t>
            </w:r>
            <w:r w:rsidRPr="00BE5568">
              <w:rPr>
                <w:rFonts w:cs="Arial" w:asciiTheme="minorHAnsi" w:hAnsiTheme="minorHAnsi"/>
                <w:sz w:val="20"/>
              </w:rPr>
              <w:t xml:space="preserve"> and 80 mg </w:t>
            </w:r>
            <w:r w:rsidRPr="00BE5568">
              <w:rPr>
                <w:rFonts w:asciiTheme="minorHAnsi" w:hAnsiTheme="minorHAnsi"/>
                <w:sz w:val="20"/>
              </w:rPr>
              <w:t xml:space="preserve">sulfamethoxazole) </w:t>
            </w:r>
            <w:r w:rsidRPr="00BE5568">
              <w:rPr>
                <w:rFonts w:cs="Arial" w:asciiTheme="minorHAnsi" w:hAnsiTheme="minorHAnsi"/>
                <w:sz w:val="20"/>
              </w:rPr>
              <w:t>and add 18</w:t>
            </w:r>
            <w:r>
              <w:rPr>
                <w:rFonts w:cs="Arial" w:asciiTheme="minorHAnsi" w:hAnsiTheme="minorHAnsi"/>
                <w:sz w:val="20"/>
              </w:rPr>
              <w:t xml:space="preserve"> </w:t>
            </w:r>
            <w:r w:rsidRPr="00BE5568">
              <w:rPr>
                <w:rFonts w:cs="Arial" w:asciiTheme="minorHAnsi" w:hAnsiTheme="minorHAnsi"/>
                <w:sz w:val="20"/>
              </w:rPr>
              <w:t xml:space="preserve">mL of glucose 5% to make a final </w:t>
            </w:r>
            <w:r>
              <w:rPr>
                <w:rFonts w:cs="Arial" w:asciiTheme="minorHAnsi" w:hAnsiTheme="minorHAnsi"/>
                <w:sz w:val="20"/>
              </w:rPr>
              <w:t xml:space="preserve">volume of 20mL with a final concentration of </w:t>
            </w:r>
            <w:r w:rsidRPr="00BE5568">
              <w:rPr>
                <w:rFonts w:cs="Arial" w:asciiTheme="minorHAnsi" w:hAnsiTheme="minorHAnsi"/>
                <w:sz w:val="20"/>
              </w:rPr>
              <w:t xml:space="preserve">3.2 mg/mL of TMP and infuse ONLY VIA A CENTRAL LINE as it is </w:t>
            </w:r>
            <w:r>
              <w:rPr>
                <w:rFonts w:cs="Arial" w:asciiTheme="minorHAnsi" w:hAnsiTheme="minorHAnsi"/>
                <w:sz w:val="20"/>
              </w:rPr>
              <w:t xml:space="preserve">an </w:t>
            </w:r>
            <w:r w:rsidRPr="00BE5568">
              <w:rPr>
                <w:rFonts w:cs="Arial" w:asciiTheme="minorHAnsi" w:hAnsiTheme="minorHAnsi"/>
                <w:sz w:val="20"/>
              </w:rPr>
              <w:t xml:space="preserve">alkaline solution. Also, follow up with a flush </w:t>
            </w:r>
            <w:r>
              <w:rPr>
                <w:rFonts w:cs="Arial" w:asciiTheme="minorHAnsi" w:hAnsiTheme="minorHAnsi"/>
                <w:sz w:val="20"/>
              </w:rPr>
              <w:t xml:space="preserve">of </w:t>
            </w:r>
            <w:r w:rsidRPr="00BE5568">
              <w:rPr>
                <w:rFonts w:cs="Arial" w:asciiTheme="minorHAnsi" w:hAnsiTheme="minorHAnsi"/>
                <w:sz w:val="20"/>
              </w:rPr>
              <w:t xml:space="preserve">up to 20 mL. </w:t>
            </w:r>
          </w:p>
        </w:tc>
      </w:tr>
      <w:tr w:rsidRPr="00BE5568" w:rsidR="004940FB" w:rsidTr="77BEE3D0" w14:paraId="59D2F3C1" w14:textId="77777777">
        <w:trPr>
          <w:trHeight w:val="558"/>
        </w:trPr>
        <w:tc>
          <w:tcPr>
            <w:tcW w:w="1090" w:type="pct"/>
          </w:tcPr>
          <w:p w:rsidRPr="00BE5568" w:rsidR="004940FB" w:rsidP="004940FB" w:rsidRDefault="004940FB" w14:paraId="4F107291" w14:textId="77777777">
            <w:pPr>
              <w:pStyle w:val="BodyText"/>
              <w:rPr>
                <w:rFonts w:cs="Arial" w:asciiTheme="minorHAnsi" w:hAnsiTheme="minorHAnsi"/>
                <w:b/>
                <w:bCs/>
                <w:sz w:val="20"/>
              </w:rPr>
            </w:pPr>
            <w:r w:rsidRPr="00BE5568">
              <w:rPr>
                <w:rFonts w:cs="Arial" w:asciiTheme="minorHAnsi" w:hAnsiTheme="minorHAnsi"/>
                <w:b/>
                <w:bCs/>
                <w:sz w:val="20"/>
              </w:rPr>
              <w:t xml:space="preserve">Administration                 </w:t>
            </w:r>
          </w:p>
          <w:p w:rsidRPr="00BE5568" w:rsidR="004940FB" w:rsidP="004940FB" w:rsidRDefault="004940FB" w14:paraId="4507F872" w14:textId="77777777">
            <w:pPr>
              <w:pStyle w:val="BodyText"/>
              <w:rPr>
                <w:rFonts w:cs="Arial" w:asciiTheme="minorHAnsi" w:hAnsiTheme="minorHAnsi"/>
                <w:sz w:val="20"/>
              </w:rPr>
            </w:pPr>
          </w:p>
        </w:tc>
        <w:tc>
          <w:tcPr>
            <w:tcW w:w="3910" w:type="pct"/>
          </w:tcPr>
          <w:p w:rsidRPr="00BE5568" w:rsidR="004940FB" w:rsidP="004940FB" w:rsidRDefault="004940FB" w14:paraId="5DD30A19" w14:textId="77777777">
            <w:pPr>
              <w:pStyle w:val="BodyText"/>
              <w:rPr>
                <w:rFonts w:cs="Arial" w:asciiTheme="minorHAnsi" w:hAnsiTheme="minorHAnsi"/>
                <w:sz w:val="20"/>
              </w:rPr>
            </w:pPr>
            <w:r w:rsidRPr="00BE5568">
              <w:rPr>
                <w:rFonts w:cs="Arial" w:asciiTheme="minorHAnsi" w:hAnsiTheme="minorHAnsi"/>
                <w:sz w:val="20"/>
              </w:rPr>
              <w:t xml:space="preserve">PO: Administer with feeds. Shake well before measuring dose. </w:t>
            </w:r>
          </w:p>
          <w:p w:rsidRPr="00BE5568" w:rsidR="004940FB" w:rsidP="004940FB" w:rsidRDefault="004940FB" w14:paraId="04375560" w14:textId="77777777">
            <w:pPr>
              <w:pStyle w:val="BodyText"/>
              <w:rPr>
                <w:rFonts w:cs="Arial" w:asciiTheme="minorHAnsi" w:hAnsiTheme="minorHAnsi"/>
                <w:sz w:val="20"/>
              </w:rPr>
            </w:pPr>
            <w:r w:rsidRPr="00BE5568">
              <w:rPr>
                <w:rFonts w:cs="Arial" w:asciiTheme="minorHAnsi" w:hAnsiTheme="minorHAnsi"/>
                <w:sz w:val="20"/>
              </w:rPr>
              <w:t>IV: Infuse over 60</w:t>
            </w:r>
            <w:r>
              <w:rPr>
                <w:rFonts w:cs="Arial" w:asciiTheme="minorHAnsi" w:hAnsiTheme="minorHAnsi"/>
                <w:sz w:val="20"/>
              </w:rPr>
              <w:t>–</w:t>
            </w:r>
            <w:r w:rsidRPr="00BE5568">
              <w:rPr>
                <w:rFonts w:cs="Arial" w:asciiTheme="minorHAnsi" w:hAnsiTheme="minorHAnsi"/>
                <w:sz w:val="20"/>
              </w:rPr>
              <w:t xml:space="preserve">90 minutes. Follow-up with a flush </w:t>
            </w:r>
            <w:r>
              <w:rPr>
                <w:rFonts w:cs="Arial" w:asciiTheme="minorHAnsi" w:hAnsiTheme="minorHAnsi"/>
                <w:sz w:val="20"/>
              </w:rPr>
              <w:t xml:space="preserve">of </w:t>
            </w:r>
            <w:r w:rsidRPr="00BE5568">
              <w:rPr>
                <w:rFonts w:cs="Arial" w:asciiTheme="minorHAnsi" w:hAnsiTheme="minorHAnsi"/>
                <w:sz w:val="20"/>
              </w:rPr>
              <w:t>up to 20 mL.</w:t>
            </w:r>
          </w:p>
        </w:tc>
      </w:tr>
      <w:tr w:rsidRPr="00BE5568" w:rsidR="004940FB" w:rsidTr="77BEE3D0" w14:paraId="212D1377" w14:textId="77777777">
        <w:trPr>
          <w:trHeight w:val="221"/>
        </w:trPr>
        <w:tc>
          <w:tcPr>
            <w:tcW w:w="1090" w:type="pct"/>
          </w:tcPr>
          <w:p w:rsidRPr="00BE5568" w:rsidR="004940FB" w:rsidP="004940FB" w:rsidRDefault="004940FB" w14:paraId="0CDE0F94" w14:textId="77777777">
            <w:pPr>
              <w:pStyle w:val="BodyText"/>
              <w:rPr>
                <w:rFonts w:cs="Arial" w:asciiTheme="minorHAnsi" w:hAnsiTheme="minorHAnsi"/>
                <w:b/>
                <w:bCs/>
                <w:sz w:val="20"/>
              </w:rPr>
            </w:pPr>
            <w:r w:rsidRPr="00BE5568">
              <w:rPr>
                <w:rFonts w:cs="Arial" w:asciiTheme="minorHAnsi" w:hAnsiTheme="minorHAnsi"/>
                <w:b/>
                <w:bCs/>
                <w:sz w:val="20"/>
              </w:rPr>
              <w:t xml:space="preserve">Monitoring                             </w:t>
            </w:r>
          </w:p>
        </w:tc>
        <w:tc>
          <w:tcPr>
            <w:tcW w:w="3910" w:type="pct"/>
          </w:tcPr>
          <w:p w:rsidRPr="00BE5568" w:rsidR="004940FB" w:rsidP="004940FB" w:rsidRDefault="004940FB" w14:paraId="3E0859C9" w14:textId="77777777">
            <w:pPr>
              <w:pStyle w:val="BodyText"/>
              <w:rPr>
                <w:rFonts w:cs="Arial" w:asciiTheme="minorHAnsi" w:hAnsiTheme="minorHAnsi"/>
                <w:sz w:val="20"/>
              </w:rPr>
            </w:pPr>
            <w:r w:rsidRPr="00BE5568">
              <w:rPr>
                <w:rFonts w:cs="Arial" w:asciiTheme="minorHAnsi" w:hAnsiTheme="minorHAnsi"/>
                <w:sz w:val="20"/>
              </w:rPr>
              <w:t xml:space="preserve">Watch for skin reactions and blood dyscrasias. </w:t>
            </w:r>
          </w:p>
          <w:p w:rsidRPr="00BE5568" w:rsidR="004940FB" w:rsidP="004940FB" w:rsidRDefault="004940FB" w14:paraId="616956A0" w14:textId="77777777">
            <w:pPr>
              <w:pStyle w:val="BodyText"/>
              <w:rPr>
                <w:rFonts w:cs="Arial" w:asciiTheme="minorHAnsi" w:hAnsiTheme="minorHAnsi"/>
                <w:sz w:val="20"/>
              </w:rPr>
            </w:pPr>
            <w:r w:rsidRPr="00BE5568">
              <w:rPr>
                <w:rFonts w:cs="Arial" w:asciiTheme="minorHAnsi" w:hAnsiTheme="minorHAnsi"/>
                <w:sz w:val="20"/>
              </w:rPr>
              <w:t>Monitor renal function and full blood count.</w:t>
            </w:r>
          </w:p>
        </w:tc>
      </w:tr>
      <w:tr w:rsidRPr="00BE5568" w:rsidR="004940FB" w:rsidTr="77BEE3D0" w14:paraId="42264330" w14:textId="77777777">
        <w:trPr>
          <w:trHeight w:val="342"/>
        </w:trPr>
        <w:tc>
          <w:tcPr>
            <w:tcW w:w="1090" w:type="pct"/>
          </w:tcPr>
          <w:p w:rsidRPr="00BE5568" w:rsidR="004940FB" w:rsidP="004940FB" w:rsidRDefault="004940FB" w14:paraId="59507FD1" w14:textId="77777777">
            <w:pPr>
              <w:pStyle w:val="BodyText"/>
              <w:rPr>
                <w:rFonts w:cs="Arial" w:asciiTheme="minorHAnsi" w:hAnsiTheme="minorHAnsi"/>
                <w:b/>
                <w:bCs/>
                <w:sz w:val="20"/>
              </w:rPr>
            </w:pPr>
            <w:r w:rsidRPr="00BE5568">
              <w:rPr>
                <w:rFonts w:cs="Arial" w:asciiTheme="minorHAnsi" w:hAnsiTheme="minorHAnsi"/>
                <w:b/>
                <w:bCs/>
                <w:sz w:val="20"/>
              </w:rPr>
              <w:t xml:space="preserve">Contraindications                        </w:t>
            </w:r>
          </w:p>
          <w:p w:rsidRPr="00BE5568" w:rsidR="004940FB" w:rsidP="004940FB" w:rsidRDefault="004940FB" w14:paraId="004448A0" w14:textId="77777777">
            <w:pPr>
              <w:pStyle w:val="BodyText"/>
              <w:rPr>
                <w:rFonts w:cs="Arial" w:asciiTheme="minorHAnsi" w:hAnsiTheme="minorHAnsi"/>
                <w:sz w:val="20"/>
              </w:rPr>
            </w:pPr>
          </w:p>
        </w:tc>
        <w:tc>
          <w:tcPr>
            <w:tcW w:w="3910" w:type="pct"/>
          </w:tcPr>
          <w:p w:rsidRPr="00BE5568" w:rsidR="004940FB" w:rsidP="004940FB" w:rsidRDefault="004940FB" w14:paraId="56A2D17B" w14:textId="77777777">
            <w:pPr>
              <w:pStyle w:val="BodyText"/>
              <w:rPr>
                <w:rFonts w:cs="Arial" w:asciiTheme="minorHAnsi" w:hAnsiTheme="minorHAnsi"/>
                <w:sz w:val="20"/>
              </w:rPr>
            </w:pPr>
            <w:r w:rsidRPr="00BE5568">
              <w:rPr>
                <w:rFonts w:cs="Arial" w:asciiTheme="minorHAnsi" w:hAnsiTheme="minorHAnsi"/>
                <w:sz w:val="20"/>
              </w:rPr>
              <w:t>Hypersensitivity to sul</w:t>
            </w:r>
            <w:r>
              <w:rPr>
                <w:rFonts w:cs="Arial" w:asciiTheme="minorHAnsi" w:hAnsiTheme="minorHAnsi"/>
                <w:sz w:val="20"/>
              </w:rPr>
              <w:t>f</w:t>
            </w:r>
            <w:r w:rsidRPr="00BE5568">
              <w:rPr>
                <w:rFonts w:cs="Arial" w:asciiTheme="minorHAnsi" w:hAnsiTheme="minorHAnsi"/>
                <w:sz w:val="20"/>
              </w:rPr>
              <w:t>onamides or trimethoprim.</w:t>
            </w:r>
          </w:p>
          <w:p w:rsidRPr="00BE5568" w:rsidR="004940FB" w:rsidP="004940FB" w:rsidRDefault="004940FB" w14:paraId="3F4B2DBB" w14:textId="77777777">
            <w:pPr>
              <w:pStyle w:val="BodyText"/>
              <w:rPr>
                <w:rFonts w:cs="Arial" w:asciiTheme="minorHAnsi" w:hAnsiTheme="minorHAnsi"/>
                <w:sz w:val="20"/>
              </w:rPr>
            </w:pPr>
            <w:r w:rsidRPr="00BE5568">
              <w:rPr>
                <w:rFonts w:cs="Arial" w:asciiTheme="minorHAnsi" w:hAnsiTheme="minorHAnsi"/>
                <w:sz w:val="20"/>
              </w:rPr>
              <w:t>Infants &lt;</w:t>
            </w:r>
            <w:r>
              <w:rPr>
                <w:rFonts w:cs="Arial" w:asciiTheme="minorHAnsi" w:hAnsiTheme="minorHAnsi"/>
                <w:sz w:val="20"/>
              </w:rPr>
              <w:t xml:space="preserve"> </w:t>
            </w:r>
            <w:r w:rsidRPr="00BE5568">
              <w:rPr>
                <w:rFonts w:cs="Arial" w:asciiTheme="minorHAnsi" w:hAnsiTheme="minorHAnsi"/>
                <w:sz w:val="20"/>
              </w:rPr>
              <w:t>4 weeks of age (manufacturer says&lt;</w:t>
            </w:r>
            <w:r>
              <w:rPr>
                <w:rFonts w:cs="Arial" w:asciiTheme="minorHAnsi" w:hAnsiTheme="minorHAnsi"/>
                <w:sz w:val="20"/>
              </w:rPr>
              <w:t xml:space="preserve"> </w:t>
            </w:r>
            <w:r w:rsidRPr="00BE5568">
              <w:rPr>
                <w:rFonts w:cs="Arial" w:asciiTheme="minorHAnsi" w:hAnsiTheme="minorHAnsi"/>
                <w:sz w:val="20"/>
              </w:rPr>
              <w:t xml:space="preserve">8 weeks). </w:t>
            </w:r>
          </w:p>
        </w:tc>
      </w:tr>
      <w:tr w:rsidRPr="00BE5568" w:rsidR="004940FB" w:rsidTr="77BEE3D0" w14:paraId="330887E0" w14:textId="77777777">
        <w:tc>
          <w:tcPr>
            <w:tcW w:w="1090" w:type="pct"/>
          </w:tcPr>
          <w:p w:rsidRPr="00BE5568" w:rsidR="004940FB" w:rsidP="004940FB" w:rsidRDefault="004940FB" w14:paraId="50EC63A0" w14:textId="77777777">
            <w:pPr>
              <w:pStyle w:val="BodyText"/>
              <w:rPr>
                <w:rFonts w:cs="Arial" w:asciiTheme="minorHAnsi" w:hAnsiTheme="minorHAnsi"/>
                <w:b/>
                <w:bCs/>
                <w:sz w:val="20"/>
              </w:rPr>
            </w:pPr>
            <w:r w:rsidRPr="00BE5568">
              <w:rPr>
                <w:rFonts w:asciiTheme="minorHAnsi" w:hAnsiTheme="minorHAnsi"/>
                <w:sz w:val="20"/>
              </w:rPr>
              <w:lastRenderedPageBreak/>
              <w:br w:type="page"/>
            </w:r>
            <w:r w:rsidRPr="00BE5568">
              <w:rPr>
                <w:rFonts w:cs="Arial" w:asciiTheme="minorHAnsi" w:hAnsiTheme="minorHAnsi"/>
                <w:b/>
                <w:bCs/>
                <w:sz w:val="20"/>
              </w:rPr>
              <w:t>Precautions</w:t>
            </w:r>
          </w:p>
        </w:tc>
        <w:tc>
          <w:tcPr>
            <w:tcW w:w="3910" w:type="pct"/>
          </w:tcPr>
          <w:p w:rsidRPr="00BE5568" w:rsidR="004940FB" w:rsidP="004940FB" w:rsidRDefault="004940FB" w14:paraId="17B6CD24" w14:textId="77777777">
            <w:pPr>
              <w:pStyle w:val="BodyText"/>
              <w:rPr>
                <w:rFonts w:cs="Arial" w:asciiTheme="minorHAnsi" w:hAnsiTheme="minorHAnsi"/>
                <w:sz w:val="20"/>
              </w:rPr>
            </w:pPr>
            <w:r w:rsidRPr="00BE5568">
              <w:rPr>
                <w:rFonts w:cs="Arial" w:asciiTheme="minorHAnsi" w:hAnsiTheme="minorHAnsi"/>
                <w:sz w:val="20"/>
              </w:rPr>
              <w:t>Use with caution in renal impairment. Dosage adjustment is required in renal impairment. Suggested adjustment(Product Info) is as follows (</w:t>
            </w:r>
            <w:r>
              <w:rPr>
                <w:rFonts w:cs="Arial" w:asciiTheme="minorHAnsi" w:hAnsiTheme="minorHAnsi"/>
                <w:sz w:val="20"/>
              </w:rPr>
              <w:t>MIMS</w:t>
            </w:r>
            <w:r w:rsidRPr="00BE5568">
              <w:rPr>
                <w:rFonts w:cs="Arial" w:asciiTheme="minorHAnsi" w:hAnsiTheme="minorHAnsi"/>
                <w:sz w:val="20"/>
              </w:rPr>
              <w:t>):</w:t>
            </w:r>
          </w:p>
          <w:tbl>
            <w:tblPr>
              <w:tblW w:w="6585" w:type="dxa"/>
              <w:tblCellSpacing w:w="7" w:type="dxa"/>
              <w:tblInd w:w="2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070"/>
              <w:gridCol w:w="4515"/>
            </w:tblGrid>
            <w:tr w:rsidRPr="00BE5568" w:rsidR="004940FB" w:rsidTr="004940FB" w14:paraId="277542A3" w14:textId="77777777">
              <w:trPr>
                <w:tblCellSpacing w:w="7" w:type="dxa"/>
              </w:trPr>
              <w:tc>
                <w:tcPr>
                  <w:tcW w:w="0" w:type="auto"/>
                  <w:gridSpan w:val="2"/>
                  <w:tcBorders>
                    <w:top w:val="outset" w:color="auto" w:sz="6" w:space="0"/>
                    <w:left w:val="outset" w:color="auto" w:sz="6" w:space="0"/>
                    <w:bottom w:val="outset" w:color="auto" w:sz="6" w:space="0"/>
                    <w:right w:val="outset" w:color="auto" w:sz="6" w:space="0"/>
                  </w:tcBorders>
                  <w:vAlign w:val="center"/>
                  <w:hideMark/>
                </w:tcPr>
                <w:p w:rsidRPr="00BE5568" w:rsidR="004940FB" w:rsidP="004940FB" w:rsidRDefault="004940FB" w14:paraId="5AE893A7" w14:textId="77777777">
                  <w:pPr>
                    <w:jc w:val="center"/>
                    <w:rPr>
                      <w:rFonts w:cs="Arial" w:asciiTheme="minorHAnsi" w:hAnsiTheme="minorHAnsi"/>
                      <w:color w:val="25282A"/>
                      <w:sz w:val="20"/>
                      <w:lang w:eastAsia="en-AU"/>
                    </w:rPr>
                  </w:pPr>
                  <w:r w:rsidRPr="00BE5568">
                    <w:rPr>
                      <w:rFonts w:cs="Arial" w:asciiTheme="minorHAnsi" w:hAnsiTheme="minorHAnsi"/>
                      <w:color w:val="25282A"/>
                      <w:sz w:val="20"/>
                      <w:lang w:eastAsia="en-AU"/>
                    </w:rPr>
                    <w:t>Renal Impairment Dose Adjustments</w:t>
                  </w:r>
                </w:p>
              </w:tc>
            </w:tr>
            <w:tr w:rsidRPr="00BE5568" w:rsidR="004940FB" w:rsidTr="004940FB" w14:paraId="6D1AD3F5" w14:textId="77777777">
              <w:trPr>
                <w:tblCellSpacing w:w="7" w:type="dxa"/>
              </w:trPr>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588A404E"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CrCl (mL/min)</w:t>
                  </w:r>
                </w:p>
              </w:tc>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4AD1C90D"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Dosage</w:t>
                  </w:r>
                </w:p>
              </w:tc>
            </w:tr>
            <w:tr w:rsidRPr="00BE5568" w:rsidR="004940FB" w:rsidTr="004940FB" w14:paraId="4EAB99A4" w14:textId="77777777">
              <w:trPr>
                <w:tblCellSpacing w:w="7" w:type="dxa"/>
              </w:trPr>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39424ED9"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 xml:space="preserve">Above </w:t>
                  </w:r>
                  <w:r>
                    <w:rPr>
                      <w:rFonts w:cs="Arial" w:asciiTheme="minorHAnsi" w:hAnsiTheme="minorHAnsi"/>
                      <w:color w:val="25282A"/>
                      <w:sz w:val="20"/>
                      <w:lang w:eastAsia="en-AU"/>
                    </w:rPr>
                    <w:t>25</w:t>
                  </w:r>
                </w:p>
              </w:tc>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3FD7A396"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Standard regimen</w:t>
                  </w:r>
                </w:p>
              </w:tc>
            </w:tr>
            <w:tr w:rsidRPr="00BE5568" w:rsidR="004940FB" w:rsidTr="004940FB" w14:paraId="2D6032FD" w14:textId="77777777">
              <w:trPr>
                <w:tblCellSpacing w:w="7" w:type="dxa"/>
              </w:trPr>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283214DA"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 xml:space="preserve">15 to </w:t>
                  </w:r>
                  <w:r>
                    <w:rPr>
                      <w:rFonts w:cs="Arial" w:asciiTheme="minorHAnsi" w:hAnsiTheme="minorHAnsi"/>
                      <w:color w:val="25282A"/>
                      <w:sz w:val="20"/>
                      <w:lang w:eastAsia="en-AU"/>
                    </w:rPr>
                    <w:t>25</w:t>
                  </w:r>
                </w:p>
              </w:tc>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2456B4BB"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One-half the standard regimen</w:t>
                  </w:r>
                </w:p>
              </w:tc>
            </w:tr>
            <w:tr w:rsidRPr="00BE5568" w:rsidR="004940FB" w:rsidTr="004940FB" w14:paraId="2F6D110D" w14:textId="77777777">
              <w:trPr>
                <w:tblCellSpacing w:w="7" w:type="dxa"/>
              </w:trPr>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5E90F192"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Below 15</w:t>
                  </w:r>
                </w:p>
              </w:tc>
              <w:tc>
                <w:tcPr>
                  <w:tcW w:w="0" w:type="auto"/>
                  <w:tcBorders>
                    <w:top w:val="outset" w:color="auto" w:sz="6" w:space="0"/>
                    <w:left w:val="outset" w:color="auto" w:sz="6" w:space="0"/>
                    <w:bottom w:val="outset" w:color="auto" w:sz="6" w:space="0"/>
                    <w:right w:val="outset" w:color="auto" w:sz="6" w:space="0"/>
                  </w:tcBorders>
                  <w:hideMark/>
                </w:tcPr>
                <w:p w:rsidRPr="00BE5568" w:rsidR="004940FB" w:rsidP="004940FB" w:rsidRDefault="004940FB" w14:paraId="799049D3" w14:textId="77777777">
                  <w:pPr>
                    <w:rPr>
                      <w:rFonts w:cs="Arial" w:asciiTheme="minorHAnsi" w:hAnsiTheme="minorHAnsi"/>
                      <w:color w:val="25282A"/>
                      <w:sz w:val="20"/>
                      <w:lang w:eastAsia="en-AU"/>
                    </w:rPr>
                  </w:pPr>
                  <w:r w:rsidRPr="00BE5568">
                    <w:rPr>
                      <w:rFonts w:cs="Arial" w:asciiTheme="minorHAnsi" w:hAnsiTheme="minorHAnsi"/>
                      <w:color w:val="25282A"/>
                      <w:sz w:val="20"/>
                      <w:lang w:eastAsia="en-AU"/>
                    </w:rPr>
                    <w:t>Not recommended</w:t>
                  </w:r>
                </w:p>
              </w:tc>
            </w:tr>
          </w:tbl>
          <w:p w:rsidRPr="00BE5568" w:rsidR="004940FB" w:rsidP="004940FB" w:rsidRDefault="004940FB" w14:paraId="0633DAB2" w14:textId="77777777">
            <w:pPr>
              <w:pStyle w:val="BodyText"/>
              <w:rPr>
                <w:rFonts w:cs="Arial" w:asciiTheme="minorHAnsi" w:hAnsiTheme="minorHAnsi"/>
                <w:sz w:val="20"/>
              </w:rPr>
            </w:pPr>
          </w:p>
          <w:p w:rsidR="004940FB" w:rsidP="004940FB" w:rsidRDefault="004940FB" w14:paraId="0E599045" w14:textId="77777777">
            <w:pPr>
              <w:pStyle w:val="BodyText"/>
              <w:rPr>
                <w:rFonts w:cs="Arial" w:asciiTheme="minorHAnsi" w:hAnsiTheme="minorHAnsi"/>
                <w:sz w:val="20"/>
              </w:rPr>
            </w:pPr>
            <w:r w:rsidRPr="00BE5568">
              <w:rPr>
                <w:rFonts w:cs="Arial" w:asciiTheme="minorHAnsi" w:hAnsiTheme="minorHAnsi"/>
                <w:sz w:val="20"/>
              </w:rPr>
              <w:t>Concomitant use of potassium sparing diuretics can lead to hyperkalaemia.</w:t>
            </w:r>
          </w:p>
          <w:p w:rsidRPr="00BE5568" w:rsidR="004940FB" w:rsidP="004940FB" w:rsidRDefault="004940FB" w14:paraId="1D0063FC" w14:textId="77777777">
            <w:pPr>
              <w:pStyle w:val="BodyText"/>
              <w:rPr>
                <w:rFonts w:cs="Arial" w:asciiTheme="minorHAnsi" w:hAnsiTheme="minorHAnsi"/>
                <w:sz w:val="20"/>
              </w:rPr>
            </w:pPr>
            <w:r w:rsidRPr="00146FFD">
              <w:rPr>
                <w:rFonts w:cs="Arial" w:asciiTheme="minorHAnsi" w:hAnsiTheme="minorHAnsi"/>
                <w:sz w:val="20"/>
              </w:rPr>
              <w:t>In individuals with glucose-6-phosphate dehydrogenase deficiency, haemolysis may occur.</w:t>
            </w:r>
          </w:p>
        </w:tc>
      </w:tr>
      <w:tr w:rsidRPr="00BE5568" w:rsidR="004940FB" w:rsidTr="77BEE3D0" w14:paraId="541627AC" w14:textId="77777777">
        <w:trPr>
          <w:trHeight w:val="276"/>
        </w:trPr>
        <w:tc>
          <w:tcPr>
            <w:tcW w:w="1090" w:type="pct"/>
          </w:tcPr>
          <w:p w:rsidRPr="00BE5568" w:rsidR="004940FB" w:rsidP="004940FB" w:rsidRDefault="004940FB" w14:paraId="6951613B" w14:textId="77777777">
            <w:pPr>
              <w:pStyle w:val="BodyText"/>
              <w:rPr>
                <w:rFonts w:cs="Arial" w:asciiTheme="minorHAnsi" w:hAnsiTheme="minorHAnsi"/>
                <w:b/>
                <w:bCs/>
                <w:sz w:val="20"/>
              </w:rPr>
            </w:pPr>
            <w:r w:rsidRPr="00BE5568">
              <w:rPr>
                <w:rFonts w:cs="Arial" w:asciiTheme="minorHAnsi" w:hAnsiTheme="minorHAnsi"/>
                <w:b/>
                <w:bCs/>
                <w:sz w:val="20"/>
              </w:rPr>
              <w:t>Drug Interactions</w:t>
            </w:r>
          </w:p>
        </w:tc>
        <w:tc>
          <w:tcPr>
            <w:tcW w:w="3910" w:type="pct"/>
          </w:tcPr>
          <w:p w:rsidRPr="00BE5568" w:rsidR="004940FB" w:rsidP="004940FB" w:rsidRDefault="004940FB" w14:paraId="720C11DC" w14:textId="77777777">
            <w:pPr>
              <w:pStyle w:val="BodyText"/>
              <w:rPr>
                <w:rFonts w:cs="Arial" w:asciiTheme="minorHAnsi" w:hAnsiTheme="minorHAnsi"/>
                <w:sz w:val="20"/>
              </w:rPr>
            </w:pPr>
            <w:r w:rsidRPr="00BE5568">
              <w:rPr>
                <w:rFonts w:cs="Arial" w:asciiTheme="minorHAnsi" w:hAnsiTheme="minorHAnsi"/>
                <w:sz w:val="20"/>
              </w:rPr>
              <w:t>Risk of prolonged QT interval with concurrent use of chloral hydrate, erythromycin and fluconazole.</w:t>
            </w:r>
          </w:p>
        </w:tc>
      </w:tr>
      <w:tr w:rsidRPr="00BE5568" w:rsidR="004940FB" w:rsidTr="77BEE3D0" w14:paraId="385FD092" w14:textId="77777777">
        <w:trPr>
          <w:trHeight w:val="416"/>
        </w:trPr>
        <w:tc>
          <w:tcPr>
            <w:tcW w:w="1090" w:type="pct"/>
          </w:tcPr>
          <w:p w:rsidRPr="00BE5568" w:rsidR="004940FB" w:rsidP="004940FB" w:rsidRDefault="004940FB" w14:paraId="70FCC9F9" w14:textId="77777777">
            <w:pPr>
              <w:pStyle w:val="BodyText"/>
              <w:rPr>
                <w:rFonts w:cs="Arial" w:asciiTheme="minorHAnsi" w:hAnsiTheme="minorHAnsi"/>
                <w:b/>
                <w:bCs/>
                <w:sz w:val="20"/>
              </w:rPr>
            </w:pPr>
            <w:r w:rsidRPr="00BE5568">
              <w:rPr>
                <w:rFonts w:cs="Arial" w:asciiTheme="minorHAnsi" w:hAnsiTheme="minorHAnsi"/>
                <w:b/>
                <w:bCs/>
                <w:sz w:val="20"/>
              </w:rPr>
              <w:t xml:space="preserve">Adverse Reactions         </w:t>
            </w:r>
          </w:p>
          <w:p w:rsidRPr="00BE5568" w:rsidR="004940FB" w:rsidP="004940FB" w:rsidRDefault="004940FB" w14:paraId="2CDD4327" w14:textId="77777777">
            <w:pPr>
              <w:pStyle w:val="BodyText"/>
              <w:rPr>
                <w:rFonts w:cs="Arial" w:asciiTheme="minorHAnsi" w:hAnsiTheme="minorHAnsi"/>
                <w:b/>
                <w:bCs/>
                <w:sz w:val="20"/>
              </w:rPr>
            </w:pPr>
          </w:p>
        </w:tc>
        <w:tc>
          <w:tcPr>
            <w:tcW w:w="3910" w:type="pct"/>
          </w:tcPr>
          <w:p w:rsidRPr="00BE5568" w:rsidR="004940FB" w:rsidP="004940FB" w:rsidRDefault="004940FB" w14:paraId="3F660603" w14:textId="77777777">
            <w:pPr>
              <w:pStyle w:val="BodyText"/>
              <w:rPr>
                <w:rFonts w:cs="Arial" w:asciiTheme="minorHAnsi" w:hAnsiTheme="minorHAnsi"/>
                <w:sz w:val="20"/>
              </w:rPr>
            </w:pPr>
            <w:r w:rsidRPr="00BE5568">
              <w:rPr>
                <w:rFonts w:cs="Arial" w:asciiTheme="minorHAnsi" w:hAnsiTheme="minorHAnsi"/>
                <w:sz w:val="20"/>
              </w:rPr>
              <w:t>Gastrointestinal upset (vomiting, diarrhoea).</w:t>
            </w:r>
          </w:p>
          <w:p w:rsidRPr="00BE5568" w:rsidR="004940FB" w:rsidP="004940FB" w:rsidRDefault="004940FB" w14:paraId="48016892" w14:textId="77777777">
            <w:pPr>
              <w:pStyle w:val="BodyText"/>
              <w:rPr>
                <w:rFonts w:cs="Arial" w:asciiTheme="minorHAnsi" w:hAnsiTheme="minorHAnsi"/>
                <w:sz w:val="20"/>
              </w:rPr>
            </w:pPr>
            <w:r w:rsidRPr="00BE5568">
              <w:rPr>
                <w:rFonts w:cs="Arial" w:asciiTheme="minorHAnsi" w:hAnsiTheme="minorHAnsi"/>
                <w:sz w:val="20"/>
              </w:rPr>
              <w:t>Severe dermatologic reactions, blood dyscrasias, hepatotoxicity.</w:t>
            </w:r>
          </w:p>
          <w:p w:rsidRPr="00BE5568" w:rsidR="004940FB" w:rsidP="004940FB" w:rsidRDefault="004940FB" w14:paraId="79158DD1" w14:textId="77777777">
            <w:pPr>
              <w:pStyle w:val="BodyText"/>
              <w:rPr>
                <w:rFonts w:cs="Arial" w:asciiTheme="minorHAnsi" w:hAnsiTheme="minorHAnsi"/>
                <w:sz w:val="20"/>
              </w:rPr>
            </w:pPr>
            <w:r w:rsidRPr="00BE5568">
              <w:rPr>
                <w:rFonts w:cs="Arial" w:asciiTheme="minorHAnsi" w:hAnsiTheme="minorHAnsi"/>
                <w:sz w:val="20"/>
              </w:rPr>
              <w:t xml:space="preserve">Prolonged use may result in fungal or bacterial superinfection. </w:t>
            </w:r>
          </w:p>
          <w:p w:rsidRPr="00BE5568" w:rsidR="004940FB" w:rsidP="004940FB" w:rsidRDefault="004940FB" w14:paraId="4AEE7087" w14:textId="77777777">
            <w:pPr>
              <w:pStyle w:val="BodyText"/>
              <w:rPr>
                <w:rFonts w:cs="Arial" w:asciiTheme="minorHAnsi" w:hAnsiTheme="minorHAnsi"/>
                <w:sz w:val="20"/>
              </w:rPr>
            </w:pPr>
            <w:r w:rsidRPr="00BE5568">
              <w:rPr>
                <w:rFonts w:cs="Arial" w:asciiTheme="minorHAnsi" w:hAnsiTheme="minorHAnsi"/>
                <w:sz w:val="20"/>
              </w:rPr>
              <w:t xml:space="preserve">Prolonged QT interval, </w:t>
            </w:r>
            <w:r>
              <w:rPr>
                <w:rFonts w:cs="Arial" w:asciiTheme="minorHAnsi" w:hAnsiTheme="minorHAnsi"/>
                <w:sz w:val="20"/>
              </w:rPr>
              <w:t>t</w:t>
            </w:r>
            <w:r w:rsidRPr="00BE5568">
              <w:rPr>
                <w:rFonts w:cs="Arial" w:asciiTheme="minorHAnsi" w:hAnsiTheme="minorHAnsi"/>
                <w:sz w:val="20"/>
              </w:rPr>
              <w:t xml:space="preserve">orsades de </w:t>
            </w:r>
            <w:r>
              <w:rPr>
                <w:rFonts w:cs="Arial" w:asciiTheme="minorHAnsi" w:hAnsiTheme="minorHAnsi"/>
                <w:sz w:val="20"/>
              </w:rPr>
              <w:t>p</w:t>
            </w:r>
            <w:r w:rsidRPr="00BE5568">
              <w:rPr>
                <w:rFonts w:cs="Arial" w:asciiTheme="minorHAnsi" w:hAnsiTheme="minorHAnsi"/>
                <w:sz w:val="20"/>
              </w:rPr>
              <w:t xml:space="preserve">ointes, ventricular tachycardias have been reported in adults. </w:t>
            </w:r>
          </w:p>
        </w:tc>
      </w:tr>
      <w:tr w:rsidRPr="00BE5568" w:rsidR="004940FB" w:rsidTr="77BEE3D0" w14:paraId="3487F7A3" w14:textId="77777777">
        <w:trPr>
          <w:trHeight w:val="396"/>
        </w:trPr>
        <w:tc>
          <w:tcPr>
            <w:tcW w:w="1090" w:type="pct"/>
          </w:tcPr>
          <w:p w:rsidRPr="00BE5568" w:rsidR="004940FB" w:rsidP="004940FB" w:rsidRDefault="004940FB" w14:paraId="4ED14F99" w14:textId="77777777">
            <w:pPr>
              <w:pStyle w:val="BodyText"/>
              <w:rPr>
                <w:rFonts w:cs="Arial" w:asciiTheme="minorHAnsi" w:hAnsiTheme="minorHAnsi"/>
                <w:b/>
                <w:bCs/>
                <w:sz w:val="20"/>
              </w:rPr>
            </w:pPr>
            <w:r w:rsidRPr="00BE5568">
              <w:rPr>
                <w:rFonts w:cs="Arial" w:asciiTheme="minorHAnsi" w:hAnsiTheme="minorHAnsi"/>
                <w:b/>
                <w:bCs/>
                <w:sz w:val="20"/>
              </w:rPr>
              <w:t>Compatibility</w:t>
            </w:r>
          </w:p>
        </w:tc>
        <w:tc>
          <w:tcPr>
            <w:tcW w:w="3910" w:type="pct"/>
          </w:tcPr>
          <w:p w:rsidRPr="00BE5568" w:rsidR="004940FB" w:rsidP="004940FB" w:rsidRDefault="004940FB" w14:paraId="4EE78343" w14:textId="77777777">
            <w:pPr>
              <w:pStyle w:val="BodyText"/>
              <w:rPr>
                <w:rFonts w:asciiTheme="minorHAnsi" w:hAnsiTheme="minorHAnsi"/>
                <w:sz w:val="20"/>
              </w:rPr>
            </w:pPr>
            <w:r w:rsidRPr="00BE5568">
              <w:rPr>
                <w:rFonts w:asciiTheme="minorHAnsi" w:hAnsiTheme="minorHAnsi"/>
                <w:sz w:val="20"/>
              </w:rPr>
              <w:t xml:space="preserve">Fluids: </w:t>
            </w:r>
            <w:r>
              <w:rPr>
                <w:rFonts w:asciiTheme="minorHAnsi" w:hAnsiTheme="minorHAnsi"/>
                <w:sz w:val="20"/>
              </w:rPr>
              <w:t>G</w:t>
            </w:r>
            <w:r w:rsidRPr="00BE5568">
              <w:rPr>
                <w:rFonts w:asciiTheme="minorHAnsi" w:hAnsiTheme="minorHAnsi"/>
                <w:sz w:val="20"/>
              </w:rPr>
              <w:t>lucose 5%, glucose 10%, sodium chloride 0.9%, sodium chloride 0.45%</w:t>
            </w:r>
          </w:p>
          <w:p w:rsidRPr="00BE5568" w:rsidR="004940FB" w:rsidP="004940FB" w:rsidRDefault="004940FB" w14:paraId="22A383A6" w14:textId="77777777">
            <w:pPr>
              <w:pStyle w:val="BodyText"/>
              <w:rPr>
                <w:rFonts w:asciiTheme="minorHAnsi" w:hAnsiTheme="minorHAnsi"/>
                <w:sz w:val="20"/>
              </w:rPr>
            </w:pPr>
          </w:p>
          <w:p w:rsidRPr="00BE5568" w:rsidR="004940FB" w:rsidP="004940FB" w:rsidRDefault="004940FB" w14:paraId="75FE36C4" w14:textId="77777777">
            <w:pPr>
              <w:pStyle w:val="BodyText"/>
              <w:rPr>
                <w:rFonts w:asciiTheme="minorHAnsi" w:hAnsiTheme="minorHAnsi"/>
                <w:sz w:val="20"/>
              </w:rPr>
            </w:pPr>
            <w:r w:rsidRPr="00BE5568">
              <w:rPr>
                <w:rFonts w:asciiTheme="minorHAnsi" w:hAnsiTheme="minorHAnsi"/>
                <w:sz w:val="20"/>
              </w:rPr>
              <w:t>Y site: Aciclovir, amino acid solutions, amphotericin B liposom</w:t>
            </w:r>
            <w:r>
              <w:rPr>
                <w:rFonts w:asciiTheme="minorHAnsi" w:hAnsiTheme="minorHAnsi"/>
                <w:sz w:val="20"/>
              </w:rPr>
              <w:t>al</w:t>
            </w:r>
            <w:r w:rsidRPr="00BE5568">
              <w:rPr>
                <w:rFonts w:asciiTheme="minorHAnsi" w:hAnsiTheme="minorHAnsi"/>
                <w:sz w:val="20"/>
              </w:rPr>
              <w:t xml:space="preserve">, lipid emulsions, metronidazole, milrinone, morphine, pancuronium, piperacillin-tazobactam, vecuronium, zidovudine. </w:t>
            </w:r>
          </w:p>
        </w:tc>
      </w:tr>
      <w:tr w:rsidRPr="00BE5568" w:rsidR="004940FB" w:rsidTr="77BEE3D0" w14:paraId="6386E198" w14:textId="77777777">
        <w:trPr>
          <w:trHeight w:val="388"/>
        </w:trPr>
        <w:tc>
          <w:tcPr>
            <w:tcW w:w="1090" w:type="pct"/>
          </w:tcPr>
          <w:p w:rsidRPr="00BE5568" w:rsidR="004940FB" w:rsidP="004940FB" w:rsidRDefault="004940FB" w14:paraId="5F33FA8F" w14:textId="77777777">
            <w:pPr>
              <w:pStyle w:val="BodyText"/>
              <w:rPr>
                <w:rFonts w:cs="Arial" w:asciiTheme="minorHAnsi" w:hAnsiTheme="minorHAnsi"/>
                <w:b/>
                <w:bCs/>
                <w:sz w:val="20"/>
              </w:rPr>
            </w:pPr>
            <w:r w:rsidRPr="00BE5568">
              <w:rPr>
                <w:rFonts w:cs="Arial" w:asciiTheme="minorHAnsi" w:hAnsiTheme="minorHAnsi"/>
                <w:b/>
                <w:bCs/>
                <w:sz w:val="20"/>
              </w:rPr>
              <w:t xml:space="preserve">Incompatibility      </w:t>
            </w:r>
          </w:p>
          <w:p w:rsidRPr="00BE5568" w:rsidR="004940FB" w:rsidP="004940FB" w:rsidRDefault="004940FB" w14:paraId="682031B0" w14:textId="77777777">
            <w:pPr>
              <w:pStyle w:val="BodyText"/>
              <w:rPr>
                <w:rFonts w:cs="Arial" w:asciiTheme="minorHAnsi" w:hAnsiTheme="minorHAnsi"/>
                <w:b/>
                <w:bCs/>
                <w:sz w:val="20"/>
              </w:rPr>
            </w:pPr>
            <w:r w:rsidRPr="00BE5568">
              <w:rPr>
                <w:rFonts w:cs="Arial" w:asciiTheme="minorHAnsi" w:hAnsiTheme="minorHAnsi"/>
                <w:b/>
                <w:bCs/>
                <w:sz w:val="20"/>
              </w:rPr>
              <w:t xml:space="preserve">               </w:t>
            </w:r>
            <w:r w:rsidRPr="00BE5568">
              <w:rPr>
                <w:rFonts w:cs="Arial" w:asciiTheme="minorHAnsi" w:hAnsiTheme="minorHAnsi"/>
                <w:b/>
                <w:bCs/>
                <w:sz w:val="20"/>
              </w:rPr>
              <w:tab/>
            </w:r>
          </w:p>
        </w:tc>
        <w:tc>
          <w:tcPr>
            <w:tcW w:w="3910" w:type="pct"/>
          </w:tcPr>
          <w:p w:rsidRPr="00BE5568" w:rsidR="004940FB" w:rsidP="004940FB" w:rsidRDefault="004940FB" w14:paraId="361F22CD" w14:textId="77777777">
            <w:pPr>
              <w:pStyle w:val="BodyText"/>
              <w:rPr>
                <w:rFonts w:cs="Arial" w:asciiTheme="minorHAnsi" w:hAnsiTheme="minorHAnsi"/>
                <w:sz w:val="20"/>
              </w:rPr>
            </w:pPr>
            <w:r w:rsidRPr="00BE5568">
              <w:rPr>
                <w:rFonts w:cs="Arial" w:asciiTheme="minorHAnsi" w:hAnsiTheme="minorHAnsi"/>
                <w:sz w:val="20"/>
              </w:rPr>
              <w:t>Y site: Amikacin, aminophylline, amiodarone, amphotericin b lipid complex, ampicillin, atropine, calcium chloride, calcium gluconate, cefazolin, cefotaxime, ceftazidime, ceftriaxone, chloramphenicol, clindamycin, dexamethasone, diazepam, diazoxide, digoxin, dobutamine, dopamine, adrenaline</w:t>
            </w:r>
            <w:r w:rsidRPr="00BE5568" w:rsidDel="00C13DA8">
              <w:rPr>
                <w:rFonts w:cs="Arial" w:asciiTheme="minorHAnsi" w:hAnsiTheme="minorHAnsi"/>
                <w:sz w:val="20"/>
              </w:rPr>
              <w:t xml:space="preserve"> </w:t>
            </w:r>
            <w:r w:rsidRPr="00BE5568">
              <w:rPr>
                <w:rFonts w:cs="Arial" w:asciiTheme="minorHAnsi" w:hAnsiTheme="minorHAnsi"/>
                <w:sz w:val="20"/>
              </w:rPr>
              <w:t>(epinephrine), erythromycin, fentanyl, fluconazole, folic acid, furosemide, ganciclovir, gentamicin, heparin, hydralazine, hydrocortisone, indome</w:t>
            </w:r>
            <w:r>
              <w:rPr>
                <w:rFonts w:cs="Arial" w:asciiTheme="minorHAnsi" w:hAnsiTheme="minorHAnsi"/>
                <w:sz w:val="20"/>
              </w:rPr>
              <w:t>t</w:t>
            </w:r>
            <w:r w:rsidRPr="00BE5568">
              <w:rPr>
                <w:rFonts w:cs="Arial" w:asciiTheme="minorHAnsi" w:hAnsiTheme="minorHAnsi"/>
                <w:sz w:val="20"/>
              </w:rPr>
              <w:t xml:space="preserve">acin, insulin, isoprenaline, ketamine, lactated ringer's, lidocaine (lignocaine), methylprednisolone, midazolam, multiple vitamins injection, </w:t>
            </w:r>
            <w:r>
              <w:rPr>
                <w:rFonts w:cs="Arial" w:asciiTheme="minorHAnsi" w:hAnsiTheme="minorHAnsi"/>
                <w:sz w:val="20"/>
              </w:rPr>
              <w:t>noradrenaline (</w:t>
            </w:r>
            <w:r w:rsidRPr="00BE5568">
              <w:rPr>
                <w:rFonts w:cs="Arial" w:asciiTheme="minorHAnsi" w:hAnsiTheme="minorHAnsi"/>
                <w:sz w:val="20"/>
              </w:rPr>
              <w:t>norepinephrine</w:t>
            </w:r>
            <w:r>
              <w:rPr>
                <w:rFonts w:cs="Arial" w:asciiTheme="minorHAnsi" w:hAnsiTheme="minorHAnsi"/>
                <w:sz w:val="20"/>
              </w:rPr>
              <w:t>)</w:t>
            </w:r>
            <w:r w:rsidRPr="00BE5568">
              <w:rPr>
                <w:rFonts w:cs="Arial" w:asciiTheme="minorHAnsi" w:hAnsiTheme="minorHAnsi"/>
                <w:sz w:val="20"/>
              </w:rPr>
              <w:t>, benzylpenicillin, phenobarbital</w:t>
            </w:r>
            <w:r>
              <w:t xml:space="preserve"> </w:t>
            </w:r>
            <w:r w:rsidRPr="00C13DA8">
              <w:rPr>
                <w:rFonts w:cs="Arial" w:asciiTheme="minorHAnsi" w:hAnsiTheme="minorHAnsi"/>
                <w:sz w:val="20"/>
              </w:rPr>
              <w:t>(phenobarbitone)</w:t>
            </w:r>
            <w:r w:rsidRPr="00BE5568">
              <w:rPr>
                <w:rFonts w:cs="Arial" w:asciiTheme="minorHAnsi" w:hAnsiTheme="minorHAnsi"/>
                <w:sz w:val="20"/>
              </w:rPr>
              <w:t>, phenytoin, piperacillin, potassium chloride, propranolol, pyridoxine, ranitidine, sodium bicarbonate, tobramycin, urokinase, vancomycin.</w:t>
            </w:r>
          </w:p>
        </w:tc>
      </w:tr>
      <w:tr w:rsidRPr="00BE5568" w:rsidR="004940FB" w:rsidTr="77BEE3D0" w14:paraId="5EBD8C2A" w14:textId="77777777">
        <w:trPr>
          <w:trHeight w:val="509"/>
        </w:trPr>
        <w:tc>
          <w:tcPr>
            <w:tcW w:w="1090" w:type="pct"/>
          </w:tcPr>
          <w:p w:rsidRPr="00BE5568" w:rsidR="004940FB" w:rsidP="004940FB" w:rsidRDefault="004940FB" w14:paraId="48897D3A" w14:textId="77777777">
            <w:pPr>
              <w:pStyle w:val="BodyText"/>
              <w:rPr>
                <w:rFonts w:cs="Arial" w:asciiTheme="minorHAnsi" w:hAnsiTheme="minorHAnsi"/>
                <w:b/>
                <w:bCs/>
                <w:sz w:val="20"/>
              </w:rPr>
            </w:pPr>
            <w:r w:rsidRPr="00BE5568">
              <w:rPr>
                <w:rFonts w:cs="Arial" w:asciiTheme="minorHAnsi" w:hAnsiTheme="minorHAnsi"/>
                <w:b/>
                <w:bCs/>
                <w:sz w:val="20"/>
              </w:rPr>
              <w:t xml:space="preserve">Stability          </w:t>
            </w:r>
          </w:p>
        </w:tc>
        <w:tc>
          <w:tcPr>
            <w:tcW w:w="3910" w:type="pct"/>
          </w:tcPr>
          <w:p w:rsidRPr="00BE5568" w:rsidR="004940FB" w:rsidP="004940FB" w:rsidRDefault="004940FB" w14:paraId="5D960152" w14:textId="77777777">
            <w:pPr>
              <w:rPr>
                <w:rFonts w:cs="Arial" w:asciiTheme="minorHAnsi" w:hAnsiTheme="minorHAnsi"/>
                <w:sz w:val="20"/>
              </w:rPr>
            </w:pPr>
            <w:r w:rsidRPr="00BE5568">
              <w:rPr>
                <w:rFonts w:cs="Arial" w:asciiTheme="minorHAnsi" w:hAnsiTheme="minorHAnsi"/>
                <w:sz w:val="20"/>
              </w:rPr>
              <w:t>IV: Start infusion immediately after diluting – infusion must be completed within 2 hours of preparation. Monitor for precipitation, particularly with concentrated infusions.</w:t>
            </w:r>
          </w:p>
        </w:tc>
      </w:tr>
      <w:tr w:rsidRPr="00C13DA8" w:rsidR="004940FB" w:rsidTr="77BEE3D0" w14:paraId="48F9C5F8" w14:textId="77777777">
        <w:trPr>
          <w:trHeight w:val="163"/>
        </w:trPr>
        <w:tc>
          <w:tcPr>
            <w:tcW w:w="1090" w:type="pct"/>
          </w:tcPr>
          <w:p w:rsidRPr="00BE5568" w:rsidR="004940FB" w:rsidP="004940FB" w:rsidRDefault="004940FB" w14:paraId="28B71E3F" w14:textId="77777777">
            <w:pPr>
              <w:pStyle w:val="BodyText"/>
              <w:rPr>
                <w:rFonts w:cs="Arial" w:asciiTheme="minorHAnsi" w:hAnsiTheme="minorHAnsi"/>
                <w:b/>
                <w:bCs/>
                <w:sz w:val="20"/>
              </w:rPr>
            </w:pPr>
            <w:r w:rsidRPr="00BE5568">
              <w:rPr>
                <w:rFonts w:cs="Arial" w:asciiTheme="minorHAnsi" w:hAnsiTheme="minorHAnsi"/>
                <w:b/>
                <w:bCs/>
                <w:sz w:val="20"/>
              </w:rPr>
              <w:t xml:space="preserve">Storage     </w:t>
            </w:r>
          </w:p>
        </w:tc>
        <w:tc>
          <w:tcPr>
            <w:tcW w:w="3910" w:type="pct"/>
          </w:tcPr>
          <w:p w:rsidRPr="00C13DA8" w:rsidR="004940FB" w:rsidP="004940FB" w:rsidRDefault="004940FB" w14:paraId="14101B73" w14:textId="77777777">
            <w:pPr>
              <w:pStyle w:val="BodyText"/>
              <w:rPr>
                <w:rFonts w:cs="Arial" w:asciiTheme="minorHAnsi" w:hAnsiTheme="minorHAnsi"/>
                <w:sz w:val="20"/>
              </w:rPr>
            </w:pPr>
            <w:r w:rsidRPr="00BE5568">
              <w:rPr>
                <w:rFonts w:cs="Arial" w:asciiTheme="minorHAnsi" w:hAnsiTheme="minorHAnsi"/>
                <w:sz w:val="20"/>
              </w:rPr>
              <w:t xml:space="preserve">Store IV and oral preparations </w:t>
            </w:r>
            <w:r w:rsidRPr="00C13DA8">
              <w:rPr>
                <w:rFonts w:cs="Arial" w:asciiTheme="minorHAnsi" w:hAnsiTheme="minorHAnsi"/>
                <w:sz w:val="20"/>
              </w:rPr>
              <w:t>below 30°C. Do not refrigerate. Protect from light.</w:t>
            </w:r>
          </w:p>
        </w:tc>
      </w:tr>
      <w:tr w:rsidRPr="00BE5568" w:rsidR="004940FB" w:rsidTr="77BEE3D0" w14:paraId="0EF7FFC2" w14:textId="77777777">
        <w:trPr>
          <w:trHeight w:val="211"/>
        </w:trPr>
        <w:tc>
          <w:tcPr>
            <w:tcW w:w="1090" w:type="pct"/>
          </w:tcPr>
          <w:p w:rsidRPr="00BE5568" w:rsidR="004940FB" w:rsidP="004940FB" w:rsidRDefault="004940FB" w14:paraId="312CA7F7" w14:textId="77777777">
            <w:pPr>
              <w:pStyle w:val="BodyText"/>
              <w:rPr>
                <w:rFonts w:cs="Arial" w:asciiTheme="minorHAnsi" w:hAnsiTheme="minorHAnsi"/>
                <w:b/>
                <w:bCs/>
                <w:sz w:val="20"/>
              </w:rPr>
            </w:pPr>
            <w:r w:rsidRPr="00BE5568">
              <w:rPr>
                <w:rFonts w:cs="Arial" w:asciiTheme="minorHAnsi" w:hAnsiTheme="minorHAnsi"/>
                <w:b/>
                <w:bCs/>
                <w:sz w:val="20"/>
              </w:rPr>
              <w:t>Special Comments</w:t>
            </w:r>
          </w:p>
        </w:tc>
        <w:tc>
          <w:tcPr>
            <w:tcW w:w="3910" w:type="pct"/>
          </w:tcPr>
          <w:p w:rsidRPr="00BE5568" w:rsidR="004940FB" w:rsidP="004940FB" w:rsidRDefault="004940FB" w14:paraId="193485A6" w14:textId="77777777">
            <w:pPr>
              <w:pStyle w:val="BodyText"/>
              <w:rPr>
                <w:rFonts w:cs="Arial" w:asciiTheme="minorHAnsi" w:hAnsiTheme="minorHAnsi"/>
                <w:sz w:val="20"/>
              </w:rPr>
            </w:pPr>
          </w:p>
        </w:tc>
      </w:tr>
      <w:tr w:rsidRPr="00BE5568" w:rsidR="004940FB" w:rsidTr="77BEE3D0" w14:paraId="0CAF557C" w14:textId="77777777">
        <w:trPr>
          <w:trHeight w:val="1071"/>
        </w:trPr>
        <w:tc>
          <w:tcPr>
            <w:tcW w:w="1090" w:type="pct"/>
          </w:tcPr>
          <w:p w:rsidRPr="00BE5568" w:rsidR="004940FB" w:rsidP="004940FB" w:rsidRDefault="004940FB" w14:paraId="5B1B6FC5" w14:textId="77777777">
            <w:pPr>
              <w:pStyle w:val="BodyText"/>
              <w:rPr>
                <w:rFonts w:cs="Arial" w:asciiTheme="minorHAnsi" w:hAnsiTheme="minorHAnsi"/>
                <w:b/>
                <w:bCs/>
                <w:sz w:val="20"/>
              </w:rPr>
            </w:pPr>
            <w:r w:rsidRPr="00BE5568">
              <w:rPr>
                <w:rFonts w:cs="Arial" w:asciiTheme="minorHAnsi" w:hAnsiTheme="minorHAnsi"/>
                <w:b/>
                <w:bCs/>
                <w:sz w:val="20"/>
              </w:rPr>
              <w:t>Evidence summary</w:t>
            </w:r>
          </w:p>
        </w:tc>
        <w:tc>
          <w:tcPr>
            <w:tcW w:w="3910" w:type="pct"/>
          </w:tcPr>
          <w:p w:rsidRPr="00BE5568" w:rsidR="004940FB" w:rsidP="004940FB" w:rsidRDefault="004940FB" w14:paraId="469BBE8B" w14:textId="77777777">
            <w:pPr>
              <w:pStyle w:val="BodyText"/>
              <w:tabs>
                <w:tab w:val="left" w:pos="1168"/>
              </w:tabs>
              <w:rPr>
                <w:rFonts w:cs="Arial" w:asciiTheme="minorHAnsi" w:hAnsiTheme="minorHAnsi"/>
                <w:b/>
                <w:sz w:val="20"/>
                <w:u w:val="single"/>
              </w:rPr>
            </w:pPr>
            <w:r w:rsidRPr="00BE5568">
              <w:rPr>
                <w:rFonts w:cs="Arial" w:asciiTheme="minorHAnsi" w:hAnsiTheme="minorHAnsi"/>
                <w:b/>
                <w:sz w:val="20"/>
                <w:u w:val="single"/>
              </w:rPr>
              <w:t>Prophylaxis in vesicoureteric reflux</w:t>
            </w:r>
          </w:p>
          <w:p w:rsidRPr="00BE5568" w:rsidR="004940FB" w:rsidP="004940FB" w:rsidRDefault="004940FB" w14:paraId="5FE9BC80" w14:textId="77777777">
            <w:pPr>
              <w:pStyle w:val="BodyText"/>
              <w:tabs>
                <w:tab w:val="left" w:pos="1168"/>
              </w:tabs>
              <w:rPr>
                <w:rFonts w:cs="Arial" w:asciiTheme="minorHAnsi" w:hAnsiTheme="minorHAnsi"/>
                <w:sz w:val="20"/>
              </w:rPr>
            </w:pPr>
            <w:r w:rsidRPr="00BE5568">
              <w:rPr>
                <w:rFonts w:cs="Arial" w:asciiTheme="minorHAnsi" w:hAnsiTheme="minorHAnsi"/>
                <w:sz w:val="20"/>
              </w:rPr>
              <w:t>The proportion of infants with high grade vesicoureteric reflux (VUR) among all infants with febrile UTIs is small. There is no statistically significant benefit of prophylaxis in preventing recurrence of febrile UTI/pyelonephritis in infants without reflux.</w:t>
            </w:r>
            <w:r w:rsidRPr="00BE5568">
              <w:rPr>
                <w:rFonts w:cs="Arial" w:asciiTheme="minorHAnsi" w:hAnsiTheme="minorHAnsi"/>
                <w:sz w:val="20"/>
                <w:vertAlign w:val="superscript"/>
              </w:rPr>
              <w:t>1</w:t>
            </w:r>
            <w:r w:rsidRPr="00BE5568">
              <w:rPr>
                <w:rFonts w:cs="Arial" w:asciiTheme="minorHAnsi" w:hAnsiTheme="minorHAnsi"/>
                <w:sz w:val="20"/>
              </w:rPr>
              <w:t xml:space="preserve"> </w:t>
            </w:r>
          </w:p>
          <w:p w:rsidRPr="00BE5568" w:rsidR="004940FB" w:rsidP="004940FB" w:rsidRDefault="004940FB" w14:paraId="24F16AD2" w14:textId="77777777">
            <w:pPr>
              <w:pStyle w:val="BodyText"/>
              <w:tabs>
                <w:tab w:val="left" w:pos="1168"/>
              </w:tabs>
              <w:rPr>
                <w:rFonts w:cs="Arial" w:asciiTheme="minorHAnsi" w:hAnsiTheme="minorHAnsi"/>
                <w:sz w:val="20"/>
              </w:rPr>
            </w:pPr>
            <w:r w:rsidRPr="00BE5568">
              <w:rPr>
                <w:rFonts w:cs="Arial" w:asciiTheme="minorHAnsi" w:hAnsiTheme="minorHAnsi"/>
                <w:sz w:val="20"/>
              </w:rPr>
              <w:t xml:space="preserve">There is benefit of prophylaxis in reducing the recurrence of infections in children with VUR but no change in renal scarring and concerns regarding </w:t>
            </w:r>
            <w:r w:rsidRPr="00C13DA8">
              <w:rPr>
                <w:rFonts w:cs="Arial" w:asciiTheme="minorHAnsi" w:hAnsiTheme="minorHAnsi"/>
                <w:sz w:val="20"/>
              </w:rPr>
              <w:t>multi</w:t>
            </w:r>
            <w:r>
              <w:rPr>
                <w:rFonts w:cs="Arial" w:asciiTheme="minorHAnsi" w:hAnsiTheme="minorHAnsi"/>
                <w:sz w:val="20"/>
              </w:rPr>
              <w:t>-</w:t>
            </w:r>
            <w:r w:rsidRPr="00C13DA8">
              <w:rPr>
                <w:rFonts w:cs="Arial" w:asciiTheme="minorHAnsi" w:hAnsiTheme="minorHAnsi"/>
                <w:sz w:val="20"/>
              </w:rPr>
              <w:t>resistant</w:t>
            </w:r>
            <w:r w:rsidRPr="00C13DA8" w:rsidDel="00C13DA8">
              <w:rPr>
                <w:rFonts w:cs="Arial" w:asciiTheme="minorHAnsi" w:hAnsiTheme="minorHAnsi"/>
                <w:sz w:val="20"/>
              </w:rPr>
              <w:t xml:space="preserve"> </w:t>
            </w:r>
            <w:r w:rsidRPr="00BE5568">
              <w:rPr>
                <w:rFonts w:cs="Arial" w:asciiTheme="minorHAnsi" w:hAnsiTheme="minorHAnsi"/>
                <w:sz w:val="20"/>
              </w:rPr>
              <w:t>strains among treated children.</w:t>
            </w:r>
            <w:r w:rsidRPr="00BE5568">
              <w:rPr>
                <w:rFonts w:cs="Arial" w:asciiTheme="minorHAnsi" w:hAnsiTheme="minorHAnsi"/>
                <w:sz w:val="20"/>
                <w:vertAlign w:val="superscript"/>
              </w:rPr>
              <w:t>2,3</w:t>
            </w:r>
          </w:p>
          <w:p w:rsidRPr="00BE5568" w:rsidR="004940FB" w:rsidP="004940FB" w:rsidRDefault="004940FB" w14:paraId="5C9BB87A" w14:textId="77777777">
            <w:pPr>
              <w:pStyle w:val="BodyText"/>
              <w:tabs>
                <w:tab w:val="left" w:pos="1168"/>
              </w:tabs>
              <w:rPr>
                <w:rFonts w:cs="Arial" w:asciiTheme="minorHAnsi" w:hAnsiTheme="minorHAnsi"/>
                <w:b/>
                <w:sz w:val="20"/>
                <w:u w:val="single"/>
              </w:rPr>
            </w:pPr>
            <w:r w:rsidRPr="00BE5568">
              <w:rPr>
                <w:rFonts w:cs="Arial" w:asciiTheme="minorHAnsi" w:hAnsiTheme="minorHAnsi"/>
                <w:b/>
                <w:sz w:val="20"/>
                <w:u w:val="single"/>
              </w:rPr>
              <w:t>Treatment duration of infections</w:t>
            </w:r>
          </w:p>
          <w:p w:rsidRPr="00BE5568" w:rsidR="004940FB" w:rsidP="004940FB" w:rsidRDefault="004940FB" w14:paraId="5D011761" w14:textId="77777777">
            <w:pPr>
              <w:pStyle w:val="BodyText"/>
              <w:tabs>
                <w:tab w:val="left" w:pos="1168"/>
              </w:tabs>
              <w:rPr>
                <w:rFonts w:cs="Arial" w:asciiTheme="minorHAnsi" w:hAnsiTheme="minorHAnsi"/>
                <w:sz w:val="20"/>
              </w:rPr>
            </w:pPr>
            <w:r w:rsidRPr="00BE5568">
              <w:rPr>
                <w:rFonts w:cs="Arial" w:asciiTheme="minorHAnsi" w:hAnsiTheme="minorHAnsi"/>
                <w:sz w:val="20"/>
              </w:rPr>
              <w:t>McMullan et al reviewed the evidence for minimum intravenous and total antibiotic duration in children younger than 18 years with bacterial infections, comparing shorter</w:t>
            </w:r>
            <w:r>
              <w:rPr>
                <w:rFonts w:cs="Arial" w:asciiTheme="minorHAnsi" w:hAnsiTheme="minorHAnsi"/>
                <w:sz w:val="20"/>
              </w:rPr>
              <w:t xml:space="preserve"> </w:t>
            </w:r>
            <w:r w:rsidRPr="00BE5568">
              <w:rPr>
                <w:rFonts w:cs="Arial" w:asciiTheme="minorHAnsi" w:hAnsiTheme="minorHAnsi"/>
                <w:sz w:val="20"/>
              </w:rPr>
              <w:t>courses with traditionally longer durations. In many infections, especially when clinical improvement is rapid, emerging data suggest that traditional long durations of intravenous antibiotics might be unnecessary and that intravenous to oral switch can</w:t>
            </w:r>
            <w:r>
              <w:rPr>
                <w:rFonts w:cs="Arial" w:asciiTheme="minorHAnsi" w:hAnsiTheme="minorHAnsi"/>
                <w:sz w:val="20"/>
              </w:rPr>
              <w:t xml:space="preserve"> </w:t>
            </w:r>
            <w:r w:rsidRPr="00BE5568">
              <w:rPr>
                <w:rFonts w:cs="Arial" w:asciiTheme="minorHAnsi" w:hAnsiTheme="minorHAnsi"/>
                <w:sz w:val="20"/>
              </w:rPr>
              <w:t>occur earlier. In most of the other infections</w:t>
            </w:r>
            <w:r>
              <w:rPr>
                <w:rFonts w:cs="Arial" w:asciiTheme="minorHAnsi" w:hAnsiTheme="minorHAnsi"/>
                <w:sz w:val="20"/>
              </w:rPr>
              <w:t>,</w:t>
            </w:r>
            <w:r w:rsidRPr="00BE5568">
              <w:rPr>
                <w:rFonts w:cs="Arial" w:asciiTheme="minorHAnsi" w:hAnsiTheme="minorHAnsi"/>
                <w:sz w:val="20"/>
              </w:rPr>
              <w:t xml:space="preserve"> evidence for routine longer courses is </w:t>
            </w:r>
            <w:r w:rsidRPr="00BE5568">
              <w:rPr>
                <w:rFonts w:cs="Arial" w:asciiTheme="minorHAnsi" w:hAnsiTheme="minorHAnsi"/>
                <w:sz w:val="20"/>
              </w:rPr>
              <w:lastRenderedPageBreak/>
              <w:t>sparse.</w:t>
            </w:r>
            <w:r w:rsidRPr="00BE5568">
              <w:rPr>
                <w:rFonts w:cs="Arial" w:asciiTheme="minorHAnsi" w:hAnsiTheme="minorHAnsi"/>
                <w:sz w:val="20"/>
                <w:vertAlign w:val="superscript"/>
              </w:rPr>
              <w:t>4</w:t>
            </w:r>
            <w:r w:rsidRPr="00BE5568">
              <w:rPr>
                <w:rFonts w:cs="Arial" w:asciiTheme="minorHAnsi" w:hAnsiTheme="minorHAnsi"/>
                <w:sz w:val="20"/>
              </w:rPr>
              <w:t xml:space="preserve"> In a Cochrane review of childhood lower urinary tract infection, no difference in persistent bacteriuria or recurrence was noted between 2–4 days and 7–14 days of oral antibiotics. Results from a subsequent Cochrane review showed that </w:t>
            </w:r>
            <w:r>
              <w:rPr>
                <w:rFonts w:cs="Arial" w:asciiTheme="minorHAnsi" w:hAnsiTheme="minorHAnsi"/>
                <w:sz w:val="20"/>
              </w:rPr>
              <w:t xml:space="preserve">a </w:t>
            </w:r>
            <w:r w:rsidRPr="00BE5568">
              <w:rPr>
                <w:rFonts w:cs="Arial" w:asciiTheme="minorHAnsi" w:hAnsiTheme="minorHAnsi"/>
                <w:sz w:val="20"/>
              </w:rPr>
              <w:t xml:space="preserve">single-dose antibiotic was associated with more persistent bacteriuria than was 10 days of antibiotics, although </w:t>
            </w:r>
            <w:r>
              <w:rPr>
                <w:rFonts w:cs="Arial" w:asciiTheme="minorHAnsi" w:hAnsiTheme="minorHAnsi"/>
                <w:sz w:val="20"/>
              </w:rPr>
              <w:t xml:space="preserve">there was </w:t>
            </w:r>
            <w:r w:rsidRPr="00BE5568">
              <w:rPr>
                <w:rFonts w:cs="Arial" w:asciiTheme="minorHAnsi" w:hAnsiTheme="minorHAnsi"/>
                <w:sz w:val="20"/>
              </w:rPr>
              <w:t>no difference in symptom duration or recurrence. A large retrospective study of infants younger than 6 months found no difference in treatment failure between intravenous antibiotics for 3 days or less and 4 days or more.</w:t>
            </w:r>
            <w:r w:rsidRPr="00BE5568">
              <w:rPr>
                <w:rFonts w:cs="Arial" w:asciiTheme="minorHAnsi" w:hAnsiTheme="minorHAnsi"/>
                <w:sz w:val="20"/>
                <w:vertAlign w:val="superscript"/>
              </w:rPr>
              <w:t>4-7</w:t>
            </w:r>
          </w:p>
          <w:p w:rsidRPr="00BE5568" w:rsidR="004940FB" w:rsidP="004940FB" w:rsidRDefault="004940FB" w14:paraId="0DEAD622" w14:textId="77777777">
            <w:pPr>
              <w:pStyle w:val="BodyText"/>
              <w:tabs>
                <w:tab w:val="left" w:pos="1168"/>
              </w:tabs>
              <w:rPr>
                <w:rFonts w:cs="Arial" w:asciiTheme="minorHAnsi" w:hAnsiTheme="minorHAnsi"/>
                <w:sz w:val="20"/>
              </w:rPr>
            </w:pPr>
            <w:r w:rsidRPr="00BE5568">
              <w:rPr>
                <w:rFonts w:cs="Arial" w:asciiTheme="minorHAnsi" w:hAnsiTheme="minorHAnsi"/>
                <w:b/>
                <w:sz w:val="20"/>
                <w:u w:val="single"/>
              </w:rPr>
              <w:t>Prophylaxis in HIV-exposed infants</w:t>
            </w:r>
          </w:p>
          <w:p w:rsidRPr="00BE5568" w:rsidR="004940FB" w:rsidP="004940FB" w:rsidRDefault="004940FB" w14:paraId="05258D6E" w14:textId="77777777">
            <w:pPr>
              <w:pStyle w:val="BodyText"/>
              <w:tabs>
                <w:tab w:val="left" w:pos="1168"/>
              </w:tabs>
              <w:rPr>
                <w:rFonts w:cs="Arial" w:asciiTheme="minorHAnsi" w:hAnsiTheme="minorHAnsi"/>
                <w:sz w:val="20"/>
              </w:rPr>
            </w:pPr>
            <w:r w:rsidRPr="00BE5568">
              <w:rPr>
                <w:rFonts w:cs="Arial" w:asciiTheme="minorHAnsi" w:hAnsiTheme="minorHAnsi"/>
                <w:sz w:val="20"/>
              </w:rPr>
              <w:t>All HIV-exposed infants born to mothers living with HIV must receive co-trimoxazole</w:t>
            </w:r>
            <w:r>
              <w:rPr>
                <w:rFonts w:cs="Arial" w:asciiTheme="minorHAnsi" w:hAnsiTheme="minorHAnsi"/>
                <w:sz w:val="20"/>
              </w:rPr>
              <w:t xml:space="preserve"> </w:t>
            </w:r>
            <w:r w:rsidRPr="00BE5568">
              <w:rPr>
                <w:rFonts w:cs="Arial" w:asciiTheme="minorHAnsi" w:hAnsiTheme="minorHAnsi"/>
                <w:sz w:val="20"/>
              </w:rPr>
              <w:t xml:space="preserve">prophylaxis, commencing at 4–6 weeks of age (or at first encounter with </w:t>
            </w:r>
            <w:r>
              <w:rPr>
                <w:rFonts w:cs="Arial" w:asciiTheme="minorHAnsi" w:hAnsiTheme="minorHAnsi"/>
                <w:sz w:val="20"/>
              </w:rPr>
              <w:t xml:space="preserve">the </w:t>
            </w:r>
            <w:r w:rsidRPr="00E51B6E">
              <w:rPr>
                <w:rFonts w:cs="Arial" w:asciiTheme="minorHAnsi" w:hAnsiTheme="minorHAnsi"/>
                <w:sz w:val="20"/>
              </w:rPr>
              <w:t>healthcare</w:t>
            </w:r>
            <w:r>
              <w:rPr>
                <w:rFonts w:cs="Arial" w:asciiTheme="minorHAnsi" w:hAnsiTheme="minorHAnsi"/>
                <w:sz w:val="20"/>
              </w:rPr>
              <w:t xml:space="preserve"> </w:t>
            </w:r>
            <w:r w:rsidRPr="00BE5568">
              <w:rPr>
                <w:rFonts w:cs="Arial" w:asciiTheme="minorHAnsi" w:hAnsiTheme="minorHAnsi"/>
                <w:sz w:val="20"/>
              </w:rPr>
              <w:t>system) and continued until HIV infection can be excluded.</w:t>
            </w:r>
            <w:r w:rsidRPr="00BE5568">
              <w:rPr>
                <w:rFonts w:cs="Arial" w:asciiTheme="minorHAnsi" w:hAnsiTheme="minorHAnsi"/>
                <w:sz w:val="20"/>
                <w:vertAlign w:val="superscript"/>
              </w:rPr>
              <w:t>8</w:t>
            </w:r>
          </w:p>
        </w:tc>
      </w:tr>
      <w:tr w:rsidRPr="00BE5568" w:rsidR="004940FB" w:rsidTr="77BEE3D0" w14:paraId="226B9C0D" w14:textId="77777777">
        <w:trPr>
          <w:trHeight w:val="361"/>
        </w:trPr>
        <w:tc>
          <w:tcPr>
            <w:tcW w:w="1090" w:type="pct"/>
          </w:tcPr>
          <w:p w:rsidRPr="00BE5568" w:rsidR="004940FB" w:rsidP="004940FB" w:rsidRDefault="004940FB" w14:paraId="3D6F2314" w14:textId="77777777">
            <w:pPr>
              <w:pStyle w:val="BodyText"/>
              <w:rPr>
                <w:rFonts w:cs="Arial" w:asciiTheme="minorHAnsi" w:hAnsiTheme="minorHAnsi"/>
                <w:b/>
                <w:bCs/>
                <w:sz w:val="20"/>
              </w:rPr>
            </w:pPr>
            <w:r w:rsidRPr="00BE5568">
              <w:rPr>
                <w:rFonts w:asciiTheme="minorHAnsi" w:hAnsiTheme="minorHAnsi"/>
                <w:b/>
                <w:sz w:val="20"/>
              </w:rPr>
              <w:lastRenderedPageBreak/>
              <w:t>References</w:t>
            </w:r>
          </w:p>
        </w:tc>
        <w:tc>
          <w:tcPr>
            <w:tcW w:w="3910" w:type="pct"/>
          </w:tcPr>
          <w:p w:rsidRPr="00BE5568" w:rsidR="004940FB" w:rsidP="001B0E05" w:rsidRDefault="004940FB" w14:paraId="6BA19679"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Roberts KB; Subcommittee on Urinary Tract Infection, Steering Committee on Quality Improvement and Management. Urinary tract infection: clinical practice guideline for the diagnosis and management of the initial UTI in febrile infants and children 2 to 24 months. Pediatrics 128(3), 595–610(2011).</w:t>
            </w:r>
          </w:p>
          <w:p w:rsidRPr="00BE5568" w:rsidR="004940FB" w:rsidP="001B0E05" w:rsidRDefault="004940FB" w14:paraId="3116827D"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de Bessa J Jr, de Carvalho Mrad FC, Mendes EF, Bessa MC, Paschoalin VP, Tiraboschi RB, Sammour ZM, Gomes CM, Braga LH, Bastos Netto JM. Antibiotic prophylaxis for prevention of febrile urinary tract infections in children with vesicoureteral reflux: a meta-analysis of randomized, controlled trials comparing dilated to nondilated vesicoureteral reflux. J Urol 2015;193(5 Suppl):1772-7.</w:t>
            </w:r>
          </w:p>
          <w:p w:rsidRPr="00BE5568" w:rsidR="004940FB" w:rsidP="001B0E05" w:rsidRDefault="004940FB" w14:paraId="4798C9DB"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Pérez-Gaxiola G. Antibiotic prophylaxis reduced symptomatic urinary tract infection in children with vesicoureteral reflux, but not scarring</w:t>
            </w:r>
            <w:r>
              <w:rPr>
                <w:rFonts w:asciiTheme="minorHAnsi" w:hAnsiTheme="minorHAnsi" w:eastAsiaTheme="minorHAnsi" w:cstheme="minorBidi"/>
                <w:sz w:val="16"/>
                <w:szCs w:val="16"/>
              </w:rPr>
              <w:t xml:space="preserve">. </w:t>
            </w:r>
            <w:r w:rsidRPr="00BE5568">
              <w:rPr>
                <w:rFonts w:asciiTheme="minorHAnsi" w:hAnsiTheme="minorHAnsi" w:eastAsiaTheme="minorHAnsi" w:cstheme="minorBidi"/>
                <w:sz w:val="16"/>
                <w:szCs w:val="16"/>
              </w:rPr>
              <w:t>Arch Dis Child Educ Pract Ed 2015;100:52.</w:t>
            </w:r>
          </w:p>
          <w:p w:rsidRPr="00BE5568" w:rsidR="004940FB" w:rsidP="001B0E05" w:rsidRDefault="004940FB" w14:paraId="4B84A53C"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McMullan BJ, Andresen D, Blyth CC, Avent ML, Bowen AC, Britton PN, Clark JE, Cooper CM, Curtis N, Goeman E, Hazelton B, Haeusler GM, Khatami A, Newcombe JP, Osowicki J, Palasanthiran P, Starr M, Lai T, Nourse C, Francis JR, Isaacs D, Bryant PA, ANZPID-ASAP group. Antibiotic duration and timing of the switch from intravenous to oral route for bacterial infections in children: systematic review and guidelines.   Lancet Infect Dis [Internet]. 2016 [cited 2016 Aug];16(8):e139-52.</w:t>
            </w:r>
          </w:p>
          <w:p w:rsidRPr="00BE5568" w:rsidR="004940FB" w:rsidP="001B0E05" w:rsidRDefault="004940FB" w14:paraId="3AC3BDFF"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Michael M, Hodson EM, Craig JC, Martin S, Moyer VA. Short versus standard duration oral antibiotic therapy for acute urinary tract infection in children. Cochrane Database Syst Rev 2003;1: CD003966.</w:t>
            </w:r>
          </w:p>
          <w:p w:rsidRPr="00BE5568" w:rsidR="004940FB" w:rsidP="001B0E05" w:rsidRDefault="004940FB" w14:paraId="025CB941"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Fitzgerald A, Mori R, Lakhanpaul M, Tullus K. Antibiotics for treating lower urinary tract infection in children. Cochrane Database Syst Rev 2012; 8: CD006857.</w:t>
            </w:r>
          </w:p>
          <w:p w:rsidRPr="00BE5568" w:rsidR="004940FB" w:rsidP="001B0E05" w:rsidRDefault="004940FB" w14:paraId="3A3BAF61"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Brady PW, Conway PH, Goudie A. Length of intravenous antibiotic therapy and treatment failure in infants with urinary tract infections. Pediatrics 2010; 126: 196–203.</w:t>
            </w:r>
          </w:p>
          <w:p w:rsidRPr="00BE5568" w:rsidR="004940FB" w:rsidP="001B0E05" w:rsidRDefault="004940FB" w14:paraId="1EC401FF"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WHO. Guidelines on co-trimoxazole prophylaxis for HIV-related infections among children, adolescents and adults. http://www.who.int/entity/hiv/pub/guidelines/ctxguidelines.pdf; 2006. (accessed August 15, 2016)Micromedex solutions. Accessed on 10 August 2016.</w:t>
            </w:r>
          </w:p>
          <w:p w:rsidRPr="00BE5568" w:rsidR="004940FB" w:rsidP="001B0E05" w:rsidRDefault="004940FB" w14:paraId="608D5160"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Centers for Disease Control and Prevention, National Institutes of Health, HIV Medicine Association of the Infectious Diseases Society of America, et al: Guidelines for the prevention and treatment of opportunistic infections among HIV-exposed and HIV-infected children. Recommendations from CDC, the National Institutes of Health, the HIV Medicine Association of the Infectious Diseases Society of America, the Pediatric Infectious Diseases Society, and the American Academy of Pediatrics. MMWR Recomm Rep 2009; 58(RR11):1-166.</w:t>
            </w:r>
          </w:p>
          <w:p w:rsidRPr="00BE5568" w:rsidR="004940FB" w:rsidP="001B0E05" w:rsidRDefault="004940FB" w14:paraId="2877C37E"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Van</w:t>
            </w:r>
            <w:r>
              <w:rPr>
                <w:rFonts w:asciiTheme="minorHAnsi" w:hAnsiTheme="minorHAnsi" w:eastAsiaTheme="minorHAnsi" w:cstheme="minorBidi"/>
                <w:sz w:val="16"/>
                <w:szCs w:val="16"/>
              </w:rPr>
              <w:t xml:space="preserve"> </w:t>
            </w:r>
            <w:r w:rsidRPr="00BE5568">
              <w:rPr>
                <w:rFonts w:asciiTheme="minorHAnsi" w:hAnsiTheme="minorHAnsi" w:eastAsiaTheme="minorHAnsi" w:cstheme="minorBidi"/>
                <w:sz w:val="16"/>
                <w:szCs w:val="16"/>
              </w:rPr>
              <w:t>der</w:t>
            </w:r>
            <w:r>
              <w:rPr>
                <w:rFonts w:asciiTheme="minorHAnsi" w:hAnsiTheme="minorHAnsi" w:eastAsiaTheme="minorHAnsi" w:cstheme="minorBidi"/>
                <w:sz w:val="16"/>
                <w:szCs w:val="16"/>
              </w:rPr>
              <w:t xml:space="preserve"> </w:t>
            </w:r>
            <w:r w:rsidRPr="00BE5568">
              <w:rPr>
                <w:rFonts w:asciiTheme="minorHAnsi" w:hAnsiTheme="minorHAnsi" w:eastAsiaTheme="minorHAnsi" w:cstheme="minorBidi"/>
                <w:sz w:val="16"/>
                <w:szCs w:val="16"/>
              </w:rPr>
              <w:t>Veen EL, Rovers MM, Albers FW, et al: Effectiveness of trimethoprim/sulfamethoxazole for children with chronic active otitis media: a randomized, placebo-controlled trial. Pediatrics 2007; 119(5):897-904.</w:t>
            </w:r>
          </w:p>
          <w:p w:rsidR="004940FB" w:rsidP="001B0E05" w:rsidRDefault="004940FB" w14:paraId="159376AB" w14:textId="77777777">
            <w:pPr>
              <w:pStyle w:val="ListParagraph"/>
              <w:numPr>
                <w:ilvl w:val="0"/>
                <w:numId w:val="67"/>
              </w:numPr>
              <w:rPr>
                <w:rFonts w:asciiTheme="minorHAnsi" w:hAnsiTheme="minorHAnsi" w:eastAsiaTheme="minorHAnsi" w:cstheme="minorBidi"/>
                <w:sz w:val="16"/>
                <w:szCs w:val="16"/>
              </w:rPr>
            </w:pPr>
            <w:r w:rsidRPr="00E51B6E">
              <w:rPr>
                <w:rFonts w:asciiTheme="minorHAnsi" w:hAnsiTheme="minorHAnsi" w:eastAsiaTheme="minorHAnsi" w:cstheme="minorBidi"/>
                <w:sz w:val="16"/>
                <w:szCs w:val="16"/>
              </w:rPr>
              <w:t>DBL Sulfamethoxazole 400 mg and Trimethoprim 80 mg Concentrate Injection BP</w:t>
            </w:r>
            <w:r>
              <w:rPr>
                <w:rFonts w:asciiTheme="minorHAnsi" w:hAnsiTheme="minorHAnsi" w:eastAsiaTheme="minorHAnsi" w:cstheme="minorBidi"/>
                <w:sz w:val="16"/>
                <w:szCs w:val="16"/>
              </w:rPr>
              <w:t xml:space="preserve"> Product Information </w:t>
            </w:r>
            <w:hyperlink w:history="1" r:id="rId27">
              <w:r w:rsidRPr="0062774F">
                <w:rPr>
                  <w:rStyle w:val="Hyperlink"/>
                  <w:rFonts w:asciiTheme="minorHAnsi" w:hAnsiTheme="minorHAnsi" w:eastAsiaTheme="minorHAnsi" w:cstheme="minorBidi"/>
                  <w:sz w:val="16"/>
                  <w:szCs w:val="16"/>
                </w:rPr>
                <w:t>https://www.ebs.tga.gov.au/ebs/picmi/picmirepository.nsf/PICMI?OpenForm&amp;t=&amp;q=Sulfamethoxazole</w:t>
              </w:r>
            </w:hyperlink>
            <w:r>
              <w:rPr>
                <w:rFonts w:asciiTheme="minorHAnsi" w:hAnsiTheme="minorHAnsi" w:eastAsiaTheme="minorHAnsi" w:cstheme="minorBidi"/>
                <w:sz w:val="16"/>
                <w:szCs w:val="16"/>
              </w:rPr>
              <w:t>. Accessed 16/9/2016.</w:t>
            </w:r>
          </w:p>
          <w:p w:rsidRPr="00BE5568" w:rsidR="004940FB" w:rsidP="001B0E05" w:rsidRDefault="004940FB" w14:paraId="553C32F2"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Lieberthal AS, Carroll AE, Chonmaitree T, et al: The diagnosis and management of acute otitis media. Pediatrics 2013; 131(3):e964-e999.</w:t>
            </w:r>
          </w:p>
          <w:p w:rsidRPr="00BE5568" w:rsidR="004940FB" w:rsidP="001B0E05" w:rsidRDefault="004940FB" w14:paraId="017B49EE"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Markowitz N &amp; Saravolatz LD: Use of trimethoprim-sulfamethoxazole in a glucose-6-phosphate dehydrogenase-deficient population. Rev Infect Dis 1987; 9(suppl 2):S218-S225.</w:t>
            </w:r>
          </w:p>
          <w:p w:rsidRPr="00BE5568" w:rsidR="004940FB" w:rsidP="001B0E05" w:rsidRDefault="004940FB" w14:paraId="71CFE508"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Bell TAL, Foster JN, &amp; Townsend ML: Trimethoprim-sulfamethoxazole-induced hepatotoxicity in a pediatric patient. Pharmacotherapy 2010; 30(5):539.</w:t>
            </w:r>
          </w:p>
          <w:p w:rsidRPr="00BE5568" w:rsidR="004940FB" w:rsidP="001B0E05" w:rsidRDefault="004940FB" w14:paraId="4F925F3D"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Oliver RM, Rickenbach MA, Thomas MR, et al: Intrahepatic cholestasis associated with co-trimoxazole. Br J Clin Pract 1987; 41:975-976.</w:t>
            </w:r>
          </w:p>
          <w:p w:rsidRPr="00BE5568" w:rsidR="004940FB" w:rsidP="001B0E05" w:rsidRDefault="004940FB" w14:paraId="3D5C8BCA" w14:textId="77777777">
            <w:pPr>
              <w:pStyle w:val="ListParagraph"/>
              <w:numPr>
                <w:ilvl w:val="0"/>
                <w:numId w:val="67"/>
              </w:numPr>
              <w:rPr>
                <w:rFonts w:asciiTheme="minorHAnsi" w:hAnsiTheme="minorHAnsi" w:eastAsiaTheme="minorHAnsi" w:cstheme="minorBidi"/>
                <w:sz w:val="16"/>
                <w:szCs w:val="16"/>
              </w:rPr>
            </w:pPr>
            <w:r w:rsidRPr="00BE5568">
              <w:rPr>
                <w:rFonts w:asciiTheme="minorHAnsi" w:hAnsiTheme="minorHAnsi" w:eastAsiaTheme="minorHAnsi" w:cstheme="minorBidi"/>
                <w:sz w:val="16"/>
                <w:szCs w:val="16"/>
              </w:rPr>
              <w:t>Paap CM &amp; Nahata MC: Trimethoprim/sulfamethoxazole dosing during renal dysfunction. Ann Pharmacother 1995; 29:1300.</w:t>
            </w:r>
          </w:p>
        </w:tc>
      </w:tr>
    </w:tbl>
    <w:p w:rsidRPr="00E25790" w:rsidR="00115F48" w:rsidP="006F0321" w:rsidRDefault="00115F48" w14:paraId="1802E142"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4940FB" w:rsidTr="00020828" w14:paraId="3107B1F3"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68E46ED4" w14:textId="2117732A">
            <w:pPr>
              <w:spacing w:line="252" w:lineRule="auto"/>
              <w:rPr>
                <w:sz w:val="22"/>
                <w:lang w:val="en-AU"/>
              </w:rPr>
            </w:pPr>
            <w:r>
              <w:t>Original version Date: 24/08/2016</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1E7CB3BA" w14:textId="77777777">
            <w:pPr>
              <w:spacing w:line="252" w:lineRule="auto"/>
            </w:pPr>
            <w:r>
              <w:t>Author: NeoMed Consensus Group</w:t>
            </w:r>
          </w:p>
        </w:tc>
      </w:tr>
      <w:tr w:rsidR="004940FB" w:rsidTr="00020828" w14:paraId="5FA88E84"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0F4286C8" w14:textId="04FE8660">
            <w:pPr>
              <w:spacing w:line="252" w:lineRule="auto"/>
            </w:pPr>
            <w:r>
              <w:t xml:space="preserve">Current Version number:  </w:t>
            </w:r>
            <w:r w:rsidR="00FE4B86">
              <w:t>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06394F6C" w14:textId="286945C6">
            <w:pPr>
              <w:spacing w:line="252" w:lineRule="auto"/>
            </w:pPr>
            <w:r>
              <w:t xml:space="preserve">Current Version Date:  </w:t>
            </w:r>
            <w:r w:rsidR="00FE4B86">
              <w:t>October 2020</w:t>
            </w:r>
          </w:p>
        </w:tc>
      </w:tr>
      <w:tr w:rsidR="004940FB" w:rsidTr="00020828" w14:paraId="19D244B1"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60704534" w14:textId="77777777">
            <w:pPr>
              <w:spacing w:line="252" w:lineRule="auto"/>
            </w:pPr>
            <w:r>
              <w:t>Risk Rating: Medium</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4E1BC145" w14:textId="75296977">
            <w:pPr>
              <w:spacing w:line="252" w:lineRule="auto"/>
            </w:pPr>
            <w:r>
              <w:t xml:space="preserve">Due for Review:  </w:t>
            </w:r>
            <w:r w:rsidR="00FE4B86">
              <w:t>October 2023</w:t>
            </w:r>
          </w:p>
        </w:tc>
      </w:tr>
      <w:tr w:rsidR="004940FB" w:rsidTr="00020828" w14:paraId="24B37831"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940FB" w:rsidRDefault="004940FB" w14:paraId="32A1FEDC" w14:textId="77777777">
            <w:pPr>
              <w:spacing w:line="252" w:lineRule="auto"/>
            </w:pPr>
            <w:r>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940FB" w:rsidRDefault="004940FB" w14:paraId="0BBB1F7B" w14:textId="4495C9AB">
            <w:pPr>
              <w:spacing w:line="252" w:lineRule="auto"/>
            </w:pPr>
            <w:r>
              <w:t xml:space="preserve">Approval Date: </w:t>
            </w:r>
            <w:r w:rsidR="00260BC8">
              <w:t>APRIL 2021</w:t>
            </w:r>
          </w:p>
        </w:tc>
      </w:tr>
    </w:tbl>
    <w:p w:rsidRPr="00E25790" w:rsidR="0018115F" w:rsidP="006F0321" w:rsidRDefault="0018115F" w14:paraId="41885427" w14:textId="121FFC3B"/>
    <w:tbl>
      <w:tblPr>
        <w:tblW w:w="9049" w:type="dxa"/>
        <w:tblLayout w:type="fixed"/>
        <w:tblLook w:val="0000" w:firstRow="0" w:lastRow="0" w:firstColumn="0" w:lastColumn="0" w:noHBand="0" w:noVBand="0"/>
      </w:tblPr>
      <w:tblGrid>
        <w:gridCol w:w="4153"/>
        <w:gridCol w:w="4896"/>
      </w:tblGrid>
      <w:tr w:rsidRPr="00E25790" w:rsidR="0018115F" w:rsidTr="00900C7F" w14:paraId="7DAAD863"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8115F" w:rsidP="009469DB" w:rsidRDefault="0018115F" w14:paraId="26113855" w14:textId="77777777">
            <w:pPr>
              <w:pStyle w:val="Heading1"/>
            </w:pPr>
            <w:bookmarkStart w:name="_Toc38106829" w:id="164"/>
            <w:bookmarkStart w:name="_Toc75339955" w:id="165"/>
            <w:r w:rsidRPr="00E25790">
              <w:t>Cryoprecipitate</w:t>
            </w:r>
            <w:bookmarkEnd w:id="164"/>
            <w:bookmarkEnd w:id="165"/>
            <w:r w:rsidRPr="00E25790">
              <w:fldChar w:fldCharType="begin"/>
            </w:r>
            <w:r w:rsidRPr="00E25790">
              <w:instrText>tc "Surfactant" \l 0</w:instrText>
            </w:r>
            <w:r w:rsidRPr="00E25790">
              <w:fldChar w:fldCharType="end"/>
            </w:r>
          </w:p>
        </w:tc>
      </w:tr>
      <w:tr w:rsidRPr="00E25790" w:rsidR="0018115F" w:rsidTr="00900C7F" w14:paraId="5FD648C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8115F" w:rsidP="006F0321" w:rsidRDefault="0018115F" w14:paraId="1E3C410F" w14:textId="4B0642A0">
            <w:r w:rsidRPr="00E25790">
              <w:t xml:space="preserve">Revision Date : </w:t>
            </w:r>
            <w:r w:rsidR="005B5EEF">
              <w:rPr>
                <w:noProof/>
              </w:rPr>
              <w:t>07/12/2020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8115F" w:rsidP="006F0321" w:rsidRDefault="0018115F" w14:paraId="08988FEE" w14:textId="4A36DFB9">
            <w:r w:rsidRPr="00E25790">
              <w:t xml:space="preserve">Approved : </w:t>
            </w:r>
            <w:r w:rsidR="005B5EEF">
              <w:t>NS</w:t>
            </w:r>
          </w:p>
        </w:tc>
      </w:tr>
    </w:tbl>
    <w:p w:rsidRPr="00E25790" w:rsidR="0075126C" w:rsidP="006F0321" w:rsidRDefault="0075126C" w14:paraId="3AB286F5" w14:textId="77777777"/>
    <w:tbl>
      <w:tblPr>
        <w:tblW w:w="9071" w:type="dxa"/>
        <w:tblLayout w:type="fixed"/>
        <w:tblLook w:val="0000" w:firstRow="0" w:lastRow="0" w:firstColumn="0" w:lastColumn="0" w:noHBand="0" w:noVBand="0"/>
      </w:tblPr>
      <w:tblGrid>
        <w:gridCol w:w="2438"/>
        <w:gridCol w:w="6633"/>
      </w:tblGrid>
      <w:tr w:rsidRPr="00E25790" w:rsidR="0075126C" w:rsidTr="00900C7F" w14:paraId="19CD8643" w14:textId="77777777">
        <w:trPr>
          <w:cantSplit/>
          <w:trHeight w:val="365"/>
        </w:trPr>
        <w:tc>
          <w:tcPr>
            <w:tcW w:w="2438" w:type="dxa"/>
            <w:tcBorders>
              <w:top w:val="single" w:color="auto" w:sz="6" w:space="0"/>
              <w:left w:val="single" w:color="auto" w:sz="6" w:space="0"/>
              <w:bottom w:val="single" w:color="auto" w:sz="6" w:space="0"/>
            </w:tcBorders>
          </w:tcPr>
          <w:p w:rsidRPr="00E25790" w:rsidR="0075126C" w:rsidP="006F0321" w:rsidRDefault="0075126C" w14:paraId="6DF0333A" w14:textId="36318FC1">
            <w:r w:rsidRPr="00E25790">
              <w:t xml:space="preserve">Indication:  </w:t>
            </w:r>
          </w:p>
          <w:p w:rsidRPr="00E25790" w:rsidR="0075126C" w:rsidP="006F0321" w:rsidRDefault="0075126C" w14:paraId="32EA2A30" w14:textId="77777777"/>
        </w:tc>
        <w:tc>
          <w:tcPr>
            <w:tcW w:w="6633" w:type="dxa"/>
            <w:tcBorders>
              <w:top w:val="single" w:color="auto" w:sz="6" w:space="0"/>
              <w:bottom w:val="single" w:color="auto" w:sz="6" w:space="0"/>
              <w:right w:val="single" w:color="auto" w:sz="6" w:space="0"/>
            </w:tcBorders>
          </w:tcPr>
          <w:p w:rsidR="0075126C" w:rsidP="006F0321" w:rsidRDefault="0075126C" w14:paraId="720128A0" w14:textId="2664A6E5"/>
          <w:p w:rsidRPr="002D3818" w:rsidR="002D3818" w:rsidP="002D3818" w:rsidRDefault="002D3818" w14:paraId="5D90D9B7" w14:textId="77777777">
            <w:r w:rsidRPr="002D3818">
              <w:t xml:space="preserve">Cryoprecipitate is a concentrated preparation containing fibrinogen (factor I), factor VIII, factor XIII, von Willebrand factor (VWF) and fibronectin derived from fresh frozen plasma (FFP). </w:t>
            </w:r>
          </w:p>
          <w:p w:rsidRPr="002D3818" w:rsidR="002D3818" w:rsidP="002D3818" w:rsidRDefault="002D3818" w14:paraId="18FD33E6" w14:textId="77777777"/>
          <w:p w:rsidR="002D3818" w:rsidP="002D3818" w:rsidRDefault="002D3818" w14:paraId="26B08952" w14:textId="44BCC00B">
            <w:r w:rsidRPr="002D3818">
              <w:t>Consider in neonatal bleeding disorders with severe coagulopathy and/or low fibrinogen levels despite administration of platelets and/or FFP.</w:t>
            </w:r>
          </w:p>
          <w:p w:rsidRPr="00E25790" w:rsidR="002D3818" w:rsidP="006F0321" w:rsidRDefault="002D3818" w14:paraId="5C613F7D" w14:textId="31806BB3">
            <w:pPr>
              <w:rPr>
                <w:vertAlign w:val="superscript"/>
              </w:rPr>
            </w:pPr>
          </w:p>
        </w:tc>
      </w:tr>
      <w:tr w:rsidRPr="00E25790" w:rsidR="0075126C" w:rsidTr="00900C7F" w14:paraId="5BF28CF3" w14:textId="77777777">
        <w:trPr>
          <w:cantSplit/>
          <w:trHeight w:val="673"/>
        </w:trPr>
        <w:tc>
          <w:tcPr>
            <w:tcW w:w="2438" w:type="dxa"/>
            <w:tcBorders>
              <w:top w:val="single" w:color="auto" w:sz="6" w:space="0"/>
              <w:left w:val="single" w:color="auto" w:sz="6" w:space="0"/>
              <w:bottom w:val="single" w:color="auto" w:sz="6" w:space="0"/>
            </w:tcBorders>
          </w:tcPr>
          <w:p w:rsidRPr="00E25790" w:rsidR="0075126C" w:rsidP="006F0321" w:rsidRDefault="0075126C" w14:paraId="7CA488BC" w14:textId="7E63797A">
            <w:r w:rsidRPr="00E25790">
              <w:t>Dose:</w:t>
            </w:r>
          </w:p>
        </w:tc>
        <w:tc>
          <w:tcPr>
            <w:tcW w:w="6633" w:type="dxa"/>
            <w:tcBorders>
              <w:top w:val="single" w:color="auto" w:sz="6" w:space="0"/>
              <w:bottom w:val="single" w:color="auto" w:sz="6" w:space="0"/>
              <w:right w:val="single" w:color="auto" w:sz="6" w:space="0"/>
            </w:tcBorders>
          </w:tcPr>
          <w:p w:rsidRPr="00E25790" w:rsidR="0075126C" w:rsidP="006F0321" w:rsidRDefault="0075126C" w14:paraId="4F1E90AD" w14:textId="35F676B7">
            <w:r w:rsidRPr="00E25790">
              <w:t>5-10mL/kg, starting at no more than 5mL/min</w:t>
            </w:r>
            <w:r w:rsidR="002D3818">
              <w:t>.</w:t>
            </w:r>
          </w:p>
          <w:p w:rsidRPr="00E25790" w:rsidR="0075126C" w:rsidP="006F0321" w:rsidRDefault="0075126C" w14:paraId="62A12AC4" w14:textId="493838CD">
            <w:r w:rsidRPr="00E25790">
              <w:t>10mL/kg every 6</w:t>
            </w:r>
            <w:r w:rsidR="002D3818">
              <w:t>-12</w:t>
            </w:r>
            <w:r w:rsidRPr="00E25790">
              <w:t xml:space="preserve"> hours as needed</w:t>
            </w:r>
            <w:r w:rsidR="002D3818">
              <w:t>.</w:t>
            </w:r>
          </w:p>
        </w:tc>
      </w:tr>
      <w:tr w:rsidRPr="00E25790" w:rsidR="0075126C" w:rsidTr="00900C7F" w14:paraId="145A1B48"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031627C3" w14:textId="0CE7F781">
            <w:r w:rsidRPr="00E25790">
              <w:t>Interval:</w:t>
            </w:r>
          </w:p>
        </w:tc>
        <w:tc>
          <w:tcPr>
            <w:tcW w:w="6633" w:type="dxa"/>
            <w:tcBorders>
              <w:top w:val="single" w:color="auto" w:sz="6" w:space="0"/>
              <w:bottom w:val="single" w:color="auto" w:sz="6" w:space="0"/>
              <w:right w:val="single" w:color="auto" w:sz="6" w:space="0"/>
            </w:tcBorders>
          </w:tcPr>
          <w:p w:rsidRPr="00E25790" w:rsidR="0075126C" w:rsidP="006F0321" w:rsidRDefault="0075126C" w14:paraId="04002362" w14:textId="77777777">
            <w:r w:rsidRPr="00E25790">
              <w:t>As required</w:t>
            </w:r>
          </w:p>
        </w:tc>
      </w:tr>
      <w:tr w:rsidRPr="00E25790" w:rsidR="0075126C" w:rsidTr="00900C7F" w14:paraId="7438EC73"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5FD557DC" w14:textId="3A0EB9F9">
            <w:r w:rsidRPr="00E25790">
              <w:t>Route:</w:t>
            </w:r>
          </w:p>
        </w:tc>
        <w:tc>
          <w:tcPr>
            <w:tcW w:w="6633" w:type="dxa"/>
            <w:tcBorders>
              <w:top w:val="single" w:color="auto" w:sz="6" w:space="0"/>
              <w:bottom w:val="single" w:color="auto" w:sz="6" w:space="0"/>
              <w:right w:val="single" w:color="auto" w:sz="6" w:space="0"/>
            </w:tcBorders>
          </w:tcPr>
          <w:p w:rsidRPr="00E25790" w:rsidR="0075126C" w:rsidP="006F0321" w:rsidRDefault="0075126C" w14:paraId="16988527" w14:textId="62016271">
            <w:pPr>
              <w:rPr>
                <w:vertAlign w:val="superscript"/>
              </w:rPr>
            </w:pPr>
            <w:r w:rsidRPr="00E25790">
              <w:t xml:space="preserve">IV over </w:t>
            </w:r>
            <w:r w:rsidR="002D3818">
              <w:t>30 minutes.</w:t>
            </w:r>
            <w:r w:rsidRPr="00E25790">
              <w:t xml:space="preserve"> </w:t>
            </w:r>
          </w:p>
        </w:tc>
      </w:tr>
      <w:tr w:rsidRPr="00E25790" w:rsidR="0075126C" w:rsidTr="00900C7F" w14:paraId="57926D7A"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46D3FC53" w14:textId="6A2A72D9">
            <w:r w:rsidRPr="00E25790">
              <w:t>Total Daily Dose:</w:t>
            </w:r>
          </w:p>
        </w:tc>
        <w:tc>
          <w:tcPr>
            <w:tcW w:w="6633" w:type="dxa"/>
            <w:tcBorders>
              <w:top w:val="single" w:color="auto" w:sz="6" w:space="0"/>
              <w:bottom w:val="single" w:color="auto" w:sz="6" w:space="0"/>
              <w:right w:val="single" w:color="auto" w:sz="6" w:space="0"/>
            </w:tcBorders>
          </w:tcPr>
          <w:p w:rsidRPr="00E25790" w:rsidR="0075126C" w:rsidP="006F0321" w:rsidRDefault="0075126C" w14:paraId="4D83E26E" w14:textId="77777777"/>
        </w:tc>
      </w:tr>
      <w:tr w:rsidRPr="00E25790" w:rsidR="0075126C" w:rsidTr="00900C7F" w14:paraId="4F1ADC51" w14:textId="77777777">
        <w:trPr>
          <w:cantSplit/>
          <w:trHeight w:val="1200"/>
        </w:trPr>
        <w:tc>
          <w:tcPr>
            <w:tcW w:w="2438" w:type="dxa"/>
            <w:tcBorders>
              <w:top w:val="single" w:color="auto" w:sz="6" w:space="0"/>
              <w:left w:val="single" w:color="auto" w:sz="6" w:space="0"/>
              <w:bottom w:val="single" w:color="auto" w:sz="6" w:space="0"/>
            </w:tcBorders>
          </w:tcPr>
          <w:p w:rsidRPr="00E25790" w:rsidR="0075126C" w:rsidP="006F0321" w:rsidRDefault="0075126C" w14:paraId="277EC128" w14:textId="7984DAF3">
            <w:r w:rsidRPr="00E25790">
              <w:t>Comments:</w:t>
            </w:r>
          </w:p>
        </w:tc>
        <w:tc>
          <w:tcPr>
            <w:tcW w:w="6633" w:type="dxa"/>
            <w:tcBorders>
              <w:top w:val="single" w:color="auto" w:sz="6" w:space="0"/>
              <w:bottom w:val="single" w:color="auto" w:sz="6" w:space="0"/>
              <w:right w:val="single" w:color="auto" w:sz="6" w:space="0"/>
            </w:tcBorders>
          </w:tcPr>
          <w:p w:rsidR="0074052E" w:rsidP="006F0321" w:rsidRDefault="0074052E" w14:paraId="1CC0C19C" w14:textId="77777777">
            <w:r>
              <w:t>Transfusion should be started as soon as it is received from blood bank and completed within 4 hours of thawing</w:t>
            </w:r>
            <w:r w:rsidRPr="00E25790">
              <w:t xml:space="preserve"> </w:t>
            </w:r>
            <w:r>
              <w:t>.</w:t>
            </w:r>
          </w:p>
          <w:p w:rsidRPr="00E25790" w:rsidR="0075126C" w:rsidP="006F0321" w:rsidRDefault="0075126C" w14:paraId="44C4DB38" w14:textId="438E3B5F">
            <w:r w:rsidRPr="00E25790">
              <w:t>Use a new blood administration set with a 170-200micron filter</w:t>
            </w:r>
            <w:r w:rsidR="0074052E">
              <w:t xml:space="preserve"> (</w:t>
            </w:r>
            <w:r w:rsidRPr="00E25790">
              <w:t>do not piggy back onto other lines</w:t>
            </w:r>
            <w:r w:rsidR="0074052E">
              <w:t>)</w:t>
            </w:r>
            <w:r w:rsidRPr="00E25790">
              <w:t>. At completion of a transfusion, flush the line to ensure the patient receives the entire dose.</w:t>
            </w:r>
          </w:p>
        </w:tc>
      </w:tr>
      <w:tr w:rsidRPr="00E25790" w:rsidR="0075126C" w:rsidTr="00900C7F" w14:paraId="3DF43E7A" w14:textId="77777777">
        <w:trPr>
          <w:cantSplit/>
          <w:trHeight w:val="967"/>
        </w:trPr>
        <w:tc>
          <w:tcPr>
            <w:tcW w:w="2438" w:type="dxa"/>
            <w:tcBorders>
              <w:top w:val="single" w:color="auto" w:sz="6" w:space="0"/>
              <w:left w:val="single" w:color="auto" w:sz="6" w:space="0"/>
              <w:bottom w:val="single" w:color="auto" w:sz="6" w:space="0"/>
            </w:tcBorders>
          </w:tcPr>
          <w:p w:rsidRPr="00E25790" w:rsidR="0075126C" w:rsidP="006F0321" w:rsidRDefault="0075126C" w14:paraId="5482FB9F" w14:textId="7BD650E1">
            <w:r w:rsidRPr="00E25790">
              <w:t>Supplied as:</w:t>
            </w:r>
          </w:p>
        </w:tc>
        <w:tc>
          <w:tcPr>
            <w:tcW w:w="6633" w:type="dxa"/>
            <w:tcBorders>
              <w:top w:val="single" w:color="auto" w:sz="6" w:space="0"/>
              <w:bottom w:val="single" w:color="auto" w:sz="6" w:space="0"/>
              <w:right w:val="single" w:color="auto" w:sz="6" w:space="0"/>
            </w:tcBorders>
          </w:tcPr>
          <w:p w:rsidRPr="00E25790" w:rsidR="0075126C" w:rsidP="006F0321" w:rsidRDefault="0075126C" w14:paraId="3FFBE7B1" w14:textId="77777777">
            <w:r w:rsidRPr="00E25790">
              <w:t xml:space="preserve">Cryoprecipitate is issued thawed; there may be a delay of 20 to 30 minutes from the time of request until supply due to thawing.  </w:t>
            </w:r>
          </w:p>
        </w:tc>
      </w:tr>
      <w:tr w:rsidRPr="00E25790" w:rsidR="0075126C" w:rsidTr="00900C7F" w14:paraId="57F1E109" w14:textId="77777777">
        <w:trPr>
          <w:cantSplit/>
          <w:trHeight w:val="262"/>
        </w:trPr>
        <w:tc>
          <w:tcPr>
            <w:tcW w:w="2438" w:type="dxa"/>
            <w:tcBorders>
              <w:top w:val="single" w:color="auto" w:sz="6" w:space="0"/>
              <w:left w:val="single" w:color="auto" w:sz="6" w:space="0"/>
              <w:bottom w:val="single" w:color="auto" w:sz="6" w:space="0"/>
            </w:tcBorders>
          </w:tcPr>
          <w:p w:rsidRPr="00E25790" w:rsidR="0075126C" w:rsidP="006F0321" w:rsidRDefault="0075126C" w14:paraId="5E0DAB9B" w14:textId="67E9BB93">
            <w:r w:rsidRPr="00E25790">
              <w:t>Dilution:</w:t>
            </w:r>
          </w:p>
        </w:tc>
        <w:tc>
          <w:tcPr>
            <w:tcW w:w="6633" w:type="dxa"/>
            <w:tcBorders>
              <w:top w:val="single" w:color="auto" w:sz="6" w:space="0"/>
              <w:bottom w:val="single" w:color="auto" w:sz="6" w:space="0"/>
              <w:right w:val="single" w:color="auto" w:sz="6" w:space="0"/>
            </w:tcBorders>
          </w:tcPr>
          <w:p w:rsidR="0075126C" w:rsidP="006F0321" w:rsidRDefault="0075126C" w14:paraId="0E1E80EF" w14:textId="77777777">
            <w:r w:rsidRPr="00E25790">
              <w:t>Do not add any medication to the cryoprecipitate or to the giving set.</w:t>
            </w:r>
          </w:p>
          <w:p w:rsidRPr="00E25790" w:rsidR="006B7687" w:rsidP="006F0321" w:rsidRDefault="006B7687" w14:paraId="4D7D389E" w14:textId="5A30684F"/>
        </w:tc>
      </w:tr>
      <w:tr w:rsidRPr="00E25790" w:rsidR="0075126C" w:rsidTr="00900C7F" w14:paraId="2EBCC4BC"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7552F5BA" w14:textId="0CCDEFB7">
            <w:r w:rsidRPr="00E25790">
              <w:t>Stability:</w:t>
            </w:r>
          </w:p>
        </w:tc>
        <w:tc>
          <w:tcPr>
            <w:tcW w:w="6633" w:type="dxa"/>
            <w:tcBorders>
              <w:top w:val="single" w:color="auto" w:sz="6" w:space="0"/>
              <w:bottom w:val="single" w:color="auto" w:sz="6" w:space="0"/>
              <w:right w:val="single" w:color="auto" w:sz="6" w:space="0"/>
            </w:tcBorders>
          </w:tcPr>
          <w:p w:rsidR="009D763A" w:rsidP="006F0321" w:rsidRDefault="0075126C" w14:paraId="01DE03E7" w14:textId="1CD52F04">
            <w:pPr>
              <w:rPr>
                <w:vertAlign w:val="superscript"/>
              </w:rPr>
            </w:pPr>
            <w:r w:rsidRPr="00E25790">
              <w:t xml:space="preserve">There may be 2 expiry dates on the pack, one from the time of freezing and the other from the time of thawing – use expiry </w:t>
            </w:r>
            <w:r w:rsidR="0080508B">
              <w:t xml:space="preserve">date </w:t>
            </w:r>
            <w:r w:rsidRPr="00E25790">
              <w:t>from time of thawing</w:t>
            </w:r>
            <w:r w:rsidRPr="00E25790">
              <w:rPr>
                <w:vertAlign w:val="superscript"/>
              </w:rPr>
              <w:t>.</w:t>
            </w:r>
            <w:r w:rsidR="009D763A">
              <w:rPr>
                <w:vertAlign w:val="superscript"/>
              </w:rPr>
              <w:t>.</w:t>
            </w:r>
          </w:p>
          <w:p w:rsidRPr="00E25790" w:rsidR="0075126C" w:rsidP="006F0321" w:rsidRDefault="0075126C" w14:paraId="0AA9CA26" w14:textId="5371F5E1">
            <w:r w:rsidRPr="00E25790">
              <w:t>Do not refreeze or refrigerate once thawed.</w:t>
            </w:r>
          </w:p>
        </w:tc>
      </w:tr>
      <w:tr w:rsidRPr="00E25790" w:rsidR="0075126C" w:rsidTr="00900C7F" w14:paraId="6BC2B91C"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1AD42B3A" w14:textId="55F28DA2">
            <w:r w:rsidRPr="00E25790">
              <w:lastRenderedPageBreak/>
              <w:t>Storage:</w:t>
            </w:r>
          </w:p>
        </w:tc>
        <w:tc>
          <w:tcPr>
            <w:tcW w:w="6633" w:type="dxa"/>
            <w:tcBorders>
              <w:top w:val="single" w:color="auto" w:sz="6" w:space="0"/>
              <w:bottom w:val="single" w:color="auto" w:sz="6" w:space="0"/>
              <w:right w:val="single" w:color="auto" w:sz="6" w:space="0"/>
            </w:tcBorders>
          </w:tcPr>
          <w:p w:rsidR="0080508B" w:rsidP="006F0321" w:rsidRDefault="0075126C" w14:paraId="0092DCF0" w14:textId="77777777">
            <w:r w:rsidRPr="00E25790">
              <w:t xml:space="preserve">Commence immediately or contact the transfusion service provider for storage advice.  </w:t>
            </w:r>
          </w:p>
          <w:p w:rsidR="0080508B" w:rsidP="006F0321" w:rsidRDefault="0075126C" w14:paraId="39B95EB3" w14:textId="49756AB9">
            <w:r w:rsidRPr="00E25790">
              <w:t xml:space="preserve">Do not refrigerate once thawed. </w:t>
            </w:r>
          </w:p>
          <w:p w:rsidR="007830A8" w:rsidP="006F0321" w:rsidRDefault="007830A8" w14:paraId="388C2A8D" w14:textId="7E20027C">
            <w:r w:rsidRPr="007830A8">
              <w:t xml:space="preserve">If it has been out of controlled storage for more than 30 minutes if cannot be re-stored. </w:t>
            </w:r>
          </w:p>
          <w:p w:rsidRPr="00E25790" w:rsidR="0075126C" w:rsidP="006F0321" w:rsidRDefault="0075126C" w14:paraId="588B1C1F" w14:textId="1D329CE2">
            <w:r w:rsidRPr="00E25790">
              <w:t>Each cryoprecipitate pack should be completed within 4 hours of removal from controlled storage or before the expiry time of the pack or Tranfusion Compatibility Report (whichever is sooner)</w:t>
            </w:r>
          </w:p>
        </w:tc>
      </w:tr>
      <w:tr w:rsidRPr="00E25790" w:rsidR="0075126C" w:rsidTr="00900C7F" w14:paraId="2DD658E6"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28445DEF" w14:textId="553051F9">
            <w:r w:rsidRPr="00E25790">
              <w:t>Incompatibility:</w:t>
            </w:r>
          </w:p>
        </w:tc>
        <w:tc>
          <w:tcPr>
            <w:tcW w:w="6633" w:type="dxa"/>
            <w:tcBorders>
              <w:top w:val="single" w:color="auto" w:sz="6" w:space="0"/>
              <w:bottom w:val="single" w:color="auto" w:sz="6" w:space="0"/>
              <w:right w:val="single" w:color="auto" w:sz="6" w:space="0"/>
            </w:tcBorders>
          </w:tcPr>
          <w:p w:rsidRPr="00E25790" w:rsidR="0075126C" w:rsidP="006F0321" w:rsidRDefault="0075126C" w14:paraId="61D46FEA" w14:textId="77777777">
            <w:r w:rsidRPr="00E25790">
              <w:t>Do not infuse with or through a line that has previously contained calcium (such as Hartman’s solution) as it may cause clotting of the infusion line. Cryoprecipitate should preferably be ABO compatible.</w:t>
            </w:r>
          </w:p>
        </w:tc>
      </w:tr>
      <w:tr w:rsidRPr="00E25790" w:rsidR="0075126C" w:rsidTr="00900C7F" w14:paraId="68261209"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131D30D2" w14:textId="77777777">
            <w:r w:rsidRPr="00E25790">
              <w:t>Compatibility:</w:t>
            </w:r>
          </w:p>
        </w:tc>
        <w:tc>
          <w:tcPr>
            <w:tcW w:w="6633" w:type="dxa"/>
            <w:tcBorders>
              <w:top w:val="single" w:color="auto" w:sz="6" w:space="0"/>
              <w:bottom w:val="single" w:color="auto" w:sz="6" w:space="0"/>
              <w:right w:val="single" w:color="auto" w:sz="6" w:space="0"/>
            </w:tcBorders>
          </w:tcPr>
          <w:p w:rsidRPr="00E25790" w:rsidR="0075126C" w:rsidP="006F0321" w:rsidRDefault="007830A8" w14:paraId="61E6A3C8" w14:textId="39C59A4B">
            <w:r>
              <w:t>Normal Saline</w:t>
            </w:r>
          </w:p>
        </w:tc>
      </w:tr>
      <w:tr w:rsidRPr="00E25790" w:rsidR="0075126C" w:rsidTr="00900C7F" w14:paraId="55FF5A32" w14:textId="77777777">
        <w:trPr>
          <w:cantSplit/>
          <w:trHeight w:val="480"/>
        </w:trPr>
        <w:tc>
          <w:tcPr>
            <w:tcW w:w="2438" w:type="dxa"/>
            <w:tcBorders>
              <w:top w:val="single" w:color="auto" w:sz="6" w:space="0"/>
              <w:left w:val="single" w:color="auto" w:sz="6" w:space="0"/>
              <w:bottom w:val="single" w:color="auto" w:sz="6" w:space="0"/>
            </w:tcBorders>
          </w:tcPr>
          <w:p w:rsidRPr="00E25790" w:rsidR="0075126C" w:rsidP="006F0321" w:rsidRDefault="0075126C" w14:paraId="178ED011" w14:textId="6CBD0B1B">
            <w:r w:rsidRPr="00E25790">
              <w:t>Serum Levels:</w:t>
            </w:r>
          </w:p>
        </w:tc>
        <w:tc>
          <w:tcPr>
            <w:tcW w:w="6633" w:type="dxa"/>
            <w:tcBorders>
              <w:top w:val="single" w:color="auto" w:sz="6" w:space="0"/>
              <w:bottom w:val="single" w:color="auto" w:sz="6" w:space="0"/>
              <w:right w:val="single" w:color="auto" w:sz="6" w:space="0"/>
            </w:tcBorders>
          </w:tcPr>
          <w:p w:rsidRPr="00E25790" w:rsidR="0075126C" w:rsidP="006F0321" w:rsidRDefault="0075126C" w14:paraId="5CD0EC1F" w14:textId="77777777">
            <w:r w:rsidRPr="00E25790">
              <w:t>Repeat coagulation studies 4-8 hours post transfusion</w:t>
            </w:r>
          </w:p>
        </w:tc>
      </w:tr>
      <w:tr w:rsidRPr="00E25790" w:rsidR="007830A8" w:rsidTr="00900C7F" w14:paraId="54CBB7D2" w14:textId="77777777">
        <w:trPr>
          <w:cantSplit/>
          <w:trHeight w:val="480"/>
        </w:trPr>
        <w:tc>
          <w:tcPr>
            <w:tcW w:w="2438" w:type="dxa"/>
            <w:tcBorders>
              <w:top w:val="single" w:color="auto" w:sz="6" w:space="0"/>
              <w:left w:val="single" w:color="auto" w:sz="6" w:space="0"/>
              <w:bottom w:val="single" w:color="auto" w:sz="6" w:space="0"/>
            </w:tcBorders>
          </w:tcPr>
          <w:p w:rsidRPr="00E25790" w:rsidR="007830A8" w:rsidP="006F0321" w:rsidRDefault="00177DDB" w14:paraId="1736CE48" w14:textId="27A9B08E">
            <w:r>
              <w:t>References:</w:t>
            </w:r>
          </w:p>
        </w:tc>
        <w:tc>
          <w:tcPr>
            <w:tcW w:w="6633" w:type="dxa"/>
            <w:tcBorders>
              <w:top w:val="single" w:color="auto" w:sz="6" w:space="0"/>
              <w:bottom w:val="single" w:color="auto" w:sz="6" w:space="0"/>
              <w:right w:val="single" w:color="auto" w:sz="6" w:space="0"/>
            </w:tcBorders>
          </w:tcPr>
          <w:p w:rsidRPr="00177DDB" w:rsidR="00177DDB" w:rsidP="00177DDB" w:rsidRDefault="00177DDB" w14:paraId="1B87C3A6" w14:textId="77777777">
            <w:r w:rsidRPr="00177DDB">
              <w:t>Uptodate 2020.</w:t>
            </w:r>
          </w:p>
          <w:p w:rsidRPr="00177DDB" w:rsidR="00177DDB" w:rsidP="00177DDB" w:rsidRDefault="00177DDB" w14:paraId="42697439" w14:textId="77777777">
            <w:r w:rsidRPr="00177DDB">
              <w:t>Drug Doses. Frank Shann, 17</w:t>
            </w:r>
            <w:r w:rsidRPr="00177DDB">
              <w:rPr>
                <w:vertAlign w:val="superscript"/>
              </w:rPr>
              <w:t>th</w:t>
            </w:r>
            <w:r w:rsidRPr="00177DDB">
              <w:t xml:space="preserve"> Edition, 2017.</w:t>
            </w:r>
          </w:p>
          <w:p w:rsidRPr="00177DDB" w:rsidR="00177DDB" w:rsidP="00177DDB" w:rsidRDefault="00177DDB" w14:paraId="629C7C08" w14:textId="77777777">
            <w:r w:rsidRPr="00177DDB">
              <w:t xml:space="preserve">Fresh Blood Products Administration Procedure. The Canberra Health Services. 2017. </w:t>
            </w:r>
          </w:p>
          <w:p w:rsidRPr="00177DDB" w:rsidR="00177DDB" w:rsidP="00177DDB" w:rsidRDefault="00177DDB" w14:paraId="284F2A21" w14:textId="77777777">
            <w:r w:rsidRPr="00177DDB">
              <w:t>Neonatal Transfusion Recommendations. The Royal Children’s Hospital Melbourne.</w:t>
            </w:r>
          </w:p>
          <w:p w:rsidRPr="00177DDB" w:rsidR="00177DDB" w:rsidP="00177DDB" w:rsidRDefault="00177DDB" w14:paraId="00100B0F" w14:textId="77777777">
            <w:r w:rsidRPr="00177DDB">
              <w:t>New Zealand Blood Service.</w:t>
            </w:r>
          </w:p>
          <w:p w:rsidRPr="00E25790" w:rsidR="007830A8" w:rsidP="006F0321" w:rsidRDefault="007830A8" w14:paraId="2C946AA3" w14:textId="77777777"/>
        </w:tc>
      </w:tr>
    </w:tbl>
    <w:p w:rsidRPr="00E25790" w:rsidR="0018115F" w:rsidP="006F0321" w:rsidRDefault="0018115F" w14:paraId="40341072" w14:textId="77777777"/>
    <w:p w:rsidR="00115F48" w:rsidP="006F0321" w:rsidRDefault="00115F48" w14:paraId="2867CEEA" w14:textId="77777777"/>
    <w:p w:rsidR="00267655" w:rsidP="006F0321" w:rsidRDefault="00267655" w14:paraId="095DEDE5"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E424B4" w:rsidTr="00F028F7" w14:paraId="72AF500E" w14:textId="77777777">
        <w:tc>
          <w:tcPr>
            <w:tcW w:w="4535" w:type="dxa"/>
            <w:vAlign w:val="center"/>
          </w:tcPr>
          <w:p w:rsidRPr="00E25790" w:rsidR="008F1482" w:rsidP="009E664B" w:rsidRDefault="008F1482" w14:paraId="6246223A" w14:textId="0EEF2357">
            <w:r w:rsidRPr="00E25790">
              <w:t xml:space="preserve">Original version Date: </w:t>
            </w:r>
            <w:r>
              <w:t>9/1/2014</w:t>
            </w:r>
          </w:p>
        </w:tc>
        <w:tc>
          <w:tcPr>
            <w:tcW w:w="4535" w:type="dxa"/>
            <w:vAlign w:val="center"/>
          </w:tcPr>
          <w:p w:rsidRPr="00E25790" w:rsidR="008F1482" w:rsidP="009E664B" w:rsidRDefault="008F1482" w14:paraId="379BE50F" w14:textId="6A191FEE">
            <w:r w:rsidRPr="00E25790">
              <w:t xml:space="preserve">Author: </w:t>
            </w:r>
            <w:r w:rsidR="00C83600">
              <w:t>AK, JD</w:t>
            </w:r>
          </w:p>
        </w:tc>
      </w:tr>
      <w:tr w:rsidRPr="00E25790" w:rsidR="00E424B4" w:rsidTr="00F028F7" w14:paraId="36987E88" w14:textId="77777777">
        <w:tc>
          <w:tcPr>
            <w:tcW w:w="4535" w:type="dxa"/>
            <w:vAlign w:val="center"/>
          </w:tcPr>
          <w:p w:rsidRPr="00E25790" w:rsidR="008F1482" w:rsidP="009E664B" w:rsidRDefault="008F1482" w14:paraId="4A9F2099" w14:textId="27F4881B">
            <w:pPr>
              <w:rPr>
                <w:bCs/>
              </w:rPr>
            </w:pPr>
            <w:r w:rsidRPr="00E25790">
              <w:t xml:space="preserve">Current Version number:  </w:t>
            </w:r>
            <w:r>
              <w:t>2</w:t>
            </w:r>
          </w:p>
        </w:tc>
        <w:tc>
          <w:tcPr>
            <w:tcW w:w="4535" w:type="dxa"/>
            <w:vAlign w:val="center"/>
          </w:tcPr>
          <w:p w:rsidRPr="00E25790" w:rsidR="008F1482" w:rsidP="009E664B" w:rsidRDefault="008F1482" w14:paraId="55B25CA1" w14:textId="793ACC77">
            <w:r w:rsidRPr="00E25790">
              <w:t xml:space="preserve">Version Date:  </w:t>
            </w:r>
            <w:r w:rsidR="00E84CED">
              <w:t>7/12/2020</w:t>
            </w:r>
          </w:p>
        </w:tc>
      </w:tr>
      <w:tr w:rsidRPr="00E25790" w:rsidR="00E424B4" w:rsidTr="00F028F7" w14:paraId="679E0CBB" w14:textId="77777777">
        <w:tc>
          <w:tcPr>
            <w:tcW w:w="4535" w:type="dxa"/>
            <w:vAlign w:val="center"/>
          </w:tcPr>
          <w:p w:rsidRPr="00E25790" w:rsidR="008F1482" w:rsidP="009E664B" w:rsidRDefault="008F1482" w14:paraId="133AEC6B" w14:textId="4DBF8673">
            <w:r w:rsidRPr="00E25790">
              <w:t xml:space="preserve">Risk Rating: </w:t>
            </w:r>
            <w:r w:rsidR="000336CB">
              <w:t>Low</w:t>
            </w:r>
          </w:p>
        </w:tc>
        <w:tc>
          <w:tcPr>
            <w:tcW w:w="4535" w:type="dxa"/>
            <w:vAlign w:val="center"/>
          </w:tcPr>
          <w:p w:rsidRPr="00E25790" w:rsidR="008F1482" w:rsidP="009E664B" w:rsidRDefault="008F1482" w14:paraId="568C8383" w14:textId="5C194560">
            <w:r w:rsidRPr="00E25790">
              <w:t xml:space="preserve">Due for Review:  </w:t>
            </w:r>
            <w:r w:rsidR="00E84CED">
              <w:t>7/12/2025</w:t>
            </w:r>
          </w:p>
        </w:tc>
      </w:tr>
      <w:tr w:rsidRPr="00E25790" w:rsidR="00E424B4" w:rsidTr="00F028F7" w14:paraId="38ABB857" w14:textId="77777777">
        <w:trPr>
          <w:trHeight w:val="344"/>
        </w:trPr>
        <w:tc>
          <w:tcPr>
            <w:tcW w:w="4535" w:type="dxa"/>
            <w:tcBorders>
              <w:bottom w:val="single" w:color="auto" w:sz="4" w:space="0"/>
            </w:tcBorders>
            <w:vAlign w:val="center"/>
          </w:tcPr>
          <w:p w:rsidRPr="00E25790" w:rsidR="008F1482" w:rsidP="009E664B" w:rsidRDefault="008F1482" w14:paraId="355B6176" w14:textId="77777777">
            <w:r w:rsidRPr="00E25790">
              <w:t>Approved by: DTC</w:t>
            </w:r>
          </w:p>
        </w:tc>
        <w:tc>
          <w:tcPr>
            <w:tcW w:w="4535" w:type="dxa"/>
            <w:tcBorders>
              <w:bottom w:val="single" w:color="auto" w:sz="4" w:space="0"/>
            </w:tcBorders>
            <w:vAlign w:val="center"/>
          </w:tcPr>
          <w:p w:rsidRPr="00E25790" w:rsidR="008F1482" w:rsidP="009E664B" w:rsidRDefault="008F1482" w14:paraId="0DB6CB8E" w14:textId="159CE3F9">
            <w:r w:rsidRPr="00E25790">
              <w:t xml:space="preserve">Approval Date: </w:t>
            </w:r>
            <w:r w:rsidR="00260BC8">
              <w:t>APRIL 2021</w:t>
            </w:r>
          </w:p>
        </w:tc>
      </w:tr>
    </w:tbl>
    <w:p w:rsidR="00267655" w:rsidP="006F0321" w:rsidRDefault="00267655" w14:paraId="7C76B02F" w14:textId="77777777"/>
    <w:p w:rsidR="00267655" w:rsidP="006F0321" w:rsidRDefault="00267655" w14:paraId="2151B868" w14:textId="77777777"/>
    <w:p w:rsidR="00267655" w:rsidP="006F0321" w:rsidRDefault="00267655" w14:paraId="1CD1DB4B" w14:textId="77777777"/>
    <w:p w:rsidR="00267655" w:rsidP="006F0321" w:rsidRDefault="00267655" w14:paraId="63F42FA6" w14:textId="77777777"/>
    <w:p w:rsidR="00267655" w:rsidP="006F0321" w:rsidRDefault="00267655" w14:paraId="1F006A49" w14:textId="77777777"/>
    <w:p w:rsidR="00267655" w:rsidP="006F0321" w:rsidRDefault="00267655" w14:paraId="4DDE5317" w14:textId="77777777"/>
    <w:p w:rsidR="00267655" w:rsidP="006F0321" w:rsidRDefault="00267655" w14:paraId="3269038B" w14:textId="77777777"/>
    <w:p w:rsidR="00267655" w:rsidP="006F0321" w:rsidRDefault="00267655" w14:paraId="0B8A944A" w14:textId="77777777"/>
    <w:p w:rsidR="00267655" w:rsidP="006F0321" w:rsidRDefault="00267655" w14:paraId="27EA016D" w14:textId="77777777"/>
    <w:p w:rsidR="00267655" w:rsidP="006F0321" w:rsidRDefault="00267655" w14:paraId="06439480" w14:textId="77777777"/>
    <w:p w:rsidR="00267655" w:rsidP="006F0321" w:rsidRDefault="00267655" w14:paraId="5AD9A5F2" w14:textId="77777777"/>
    <w:p w:rsidR="00267655" w:rsidP="006F0321" w:rsidRDefault="00267655" w14:paraId="6DDD5984" w14:textId="77777777"/>
    <w:p w:rsidR="00267655" w:rsidP="006F0321" w:rsidRDefault="00267655" w14:paraId="17951CB4" w14:textId="77777777"/>
    <w:p w:rsidR="00267655" w:rsidP="006F0321" w:rsidRDefault="00267655" w14:paraId="7475BF6B" w14:textId="77777777"/>
    <w:p w:rsidRPr="00E25790" w:rsidR="00267655" w:rsidP="006F0321" w:rsidRDefault="00267655" w14:paraId="0B929B43" w14:textId="77777777"/>
    <w:tbl>
      <w:tblPr>
        <w:tblW w:w="9049" w:type="dxa"/>
        <w:tblLayout w:type="fixed"/>
        <w:tblLook w:val="0000" w:firstRow="0" w:lastRow="0" w:firstColumn="0" w:lastColumn="0" w:noHBand="0" w:noVBand="0"/>
      </w:tblPr>
      <w:tblGrid>
        <w:gridCol w:w="4153"/>
        <w:gridCol w:w="4896"/>
      </w:tblGrid>
      <w:tr w:rsidRPr="00E25790" w:rsidR="00115F48" w:rsidTr="00900C7F" w14:paraId="2578270F"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179B742" w14:textId="77777777">
            <w:pPr>
              <w:pStyle w:val="Heading1"/>
            </w:pPr>
            <w:bookmarkStart w:name="_Toc38106830" w:id="166"/>
            <w:bookmarkStart w:name="_Toc75339956" w:id="167"/>
            <w:r w:rsidRPr="00E25790">
              <w:t>Curosurf: Poractant alfa</w:t>
            </w:r>
            <w:bookmarkEnd w:id="166"/>
            <w:bookmarkEnd w:id="167"/>
            <w:r w:rsidRPr="00E25790">
              <w:fldChar w:fldCharType="begin"/>
            </w:r>
            <w:r w:rsidRPr="00E25790">
              <w:instrText>tc "Surfactant" \l 0</w:instrText>
            </w:r>
            <w:r w:rsidRPr="00E25790">
              <w:fldChar w:fldCharType="end"/>
            </w:r>
          </w:p>
        </w:tc>
      </w:tr>
      <w:tr w:rsidRPr="00E25790" w:rsidR="00115F48" w:rsidTr="00900C7F" w14:paraId="10865FA1"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D7F3A40" w14:textId="795BA264">
            <w:r w:rsidRPr="00E25790">
              <w:t xml:space="preserve">Revision Date : </w:t>
            </w:r>
            <w:r w:rsidR="00CF2971">
              <w:t>15-12-2020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4EA6DE2" w14:textId="4B85718D">
            <w:r w:rsidRPr="00E25790">
              <w:t xml:space="preserve">Approved : </w:t>
            </w:r>
            <w:r w:rsidR="00CF2971">
              <w:t>TC, KOH</w:t>
            </w:r>
          </w:p>
        </w:tc>
      </w:tr>
    </w:tbl>
    <w:p w:rsidRPr="00E25790" w:rsidR="00115F48" w:rsidP="006F0321" w:rsidRDefault="00115F48" w14:paraId="0E0F65E1"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533"/>
      </w:tblGrid>
      <w:tr w:rsidRPr="000217D2" w:rsidR="00273A16" w:rsidTr="77BEE3D0" w14:paraId="4BB8EA77" w14:textId="77777777">
        <w:trPr>
          <w:trHeight w:val="70"/>
        </w:trPr>
        <w:tc>
          <w:tcPr>
            <w:tcW w:w="1702" w:type="dxa"/>
          </w:tcPr>
          <w:p w:rsidRPr="00B53E9B" w:rsidR="00CF2971" w:rsidP="0010214E" w:rsidRDefault="00CF2971" w14:paraId="6EE3B4DD" w14:textId="77777777">
            <w:pPr>
              <w:pStyle w:val="BodyText"/>
              <w:tabs>
                <w:tab w:val="center" w:pos="1476"/>
              </w:tabs>
              <w:rPr>
                <w:rFonts w:cs="Arial"/>
                <w:b/>
                <w:sz w:val="20"/>
              </w:rPr>
            </w:pPr>
            <w:r w:rsidRPr="00B53E9B">
              <w:rPr>
                <w:rFonts w:cs="Arial"/>
                <w:b/>
                <w:sz w:val="20"/>
              </w:rPr>
              <w:t>Alert</w:t>
            </w:r>
          </w:p>
        </w:tc>
        <w:tc>
          <w:tcPr>
            <w:tcW w:w="8533" w:type="dxa"/>
          </w:tcPr>
          <w:p w:rsidRPr="000217D2" w:rsidR="00CF2971" w:rsidP="0010214E" w:rsidRDefault="00CF2971" w14:paraId="309E809E" w14:textId="77777777">
            <w:pPr>
              <w:pStyle w:val="BodyText"/>
              <w:rPr>
                <w:rFonts w:cs="Arial"/>
                <w:sz w:val="20"/>
              </w:rPr>
            </w:pPr>
            <w:r w:rsidRPr="000217D2">
              <w:rPr>
                <w:sz w:val="20"/>
              </w:rPr>
              <w:t>This medication should only be administered by a medical officer or nurse practitioner.</w:t>
            </w:r>
          </w:p>
        </w:tc>
      </w:tr>
      <w:tr w:rsidRPr="000217D2" w:rsidR="00273A16" w:rsidTr="77BEE3D0" w14:paraId="3F40B9EE" w14:textId="77777777">
        <w:trPr>
          <w:trHeight w:val="72"/>
        </w:trPr>
        <w:tc>
          <w:tcPr>
            <w:tcW w:w="1702" w:type="dxa"/>
          </w:tcPr>
          <w:p w:rsidRPr="00B53E9B" w:rsidR="00CF2971" w:rsidP="0010214E" w:rsidRDefault="00CF2971" w14:paraId="1007B27F" w14:textId="77777777">
            <w:pPr>
              <w:pStyle w:val="BodyText"/>
              <w:rPr>
                <w:rFonts w:cs="Arial"/>
                <w:sz w:val="20"/>
              </w:rPr>
            </w:pPr>
            <w:r w:rsidRPr="00B53E9B">
              <w:rPr>
                <w:rFonts w:cs="Arial"/>
                <w:b/>
                <w:bCs/>
                <w:sz w:val="20"/>
              </w:rPr>
              <w:t>Indication</w:t>
            </w:r>
          </w:p>
        </w:tc>
        <w:tc>
          <w:tcPr>
            <w:tcW w:w="8533" w:type="dxa"/>
          </w:tcPr>
          <w:p w:rsidRPr="000217D2" w:rsidR="00CF2971" w:rsidP="0010214E" w:rsidRDefault="00CF2971" w14:paraId="12576EC2" w14:textId="77777777">
            <w:pPr>
              <w:rPr>
                <w:sz w:val="20"/>
              </w:rPr>
            </w:pPr>
            <w:r w:rsidRPr="000217D2">
              <w:rPr>
                <w:sz w:val="20"/>
              </w:rPr>
              <w:t>Treatment and prophylaxis of respiratory distress syndrome (RDS)</w:t>
            </w:r>
            <w:r>
              <w:rPr>
                <w:sz w:val="20"/>
              </w:rPr>
              <w:t>.</w:t>
            </w:r>
            <w:r w:rsidRPr="000217D2">
              <w:rPr>
                <w:sz w:val="20"/>
              </w:rPr>
              <w:br/>
            </w:r>
            <w:r w:rsidRPr="000217D2">
              <w:rPr>
                <w:sz w:val="20"/>
              </w:rPr>
              <w:t>Treatment of meconium aspiration syndrome (MAS)</w:t>
            </w:r>
            <w:r>
              <w:rPr>
                <w:sz w:val="20"/>
              </w:rPr>
              <w:t>.</w:t>
            </w:r>
          </w:p>
        </w:tc>
      </w:tr>
      <w:tr w:rsidRPr="000217D2" w:rsidR="00273A16" w:rsidTr="77BEE3D0" w14:paraId="265711E5" w14:textId="77777777">
        <w:trPr>
          <w:trHeight w:val="70"/>
        </w:trPr>
        <w:tc>
          <w:tcPr>
            <w:tcW w:w="1702" w:type="dxa"/>
          </w:tcPr>
          <w:p w:rsidRPr="00B53E9B" w:rsidR="00CF2971" w:rsidP="0010214E" w:rsidRDefault="00CF2971" w14:paraId="3129B4CE" w14:textId="77777777">
            <w:pPr>
              <w:pStyle w:val="BodyText"/>
              <w:rPr>
                <w:rFonts w:cs="Arial"/>
                <w:b/>
                <w:bCs/>
                <w:sz w:val="20"/>
              </w:rPr>
            </w:pPr>
            <w:r w:rsidRPr="00B53E9B">
              <w:rPr>
                <w:rFonts w:cs="Arial"/>
                <w:b/>
                <w:bCs/>
                <w:sz w:val="20"/>
              </w:rPr>
              <w:t>Action</w:t>
            </w:r>
          </w:p>
        </w:tc>
        <w:tc>
          <w:tcPr>
            <w:tcW w:w="8533" w:type="dxa"/>
          </w:tcPr>
          <w:p w:rsidRPr="000217D2" w:rsidR="00CF2971" w:rsidP="0010214E" w:rsidRDefault="00CF2971" w14:paraId="280A1868" w14:textId="77777777">
            <w:pPr>
              <w:rPr>
                <w:rFonts w:cs="Arial"/>
                <w:sz w:val="20"/>
              </w:rPr>
            </w:pPr>
            <w:r w:rsidRPr="000217D2">
              <w:rPr>
                <w:sz w:val="20"/>
              </w:rPr>
              <w:t>Lowers surface tension on alveolar surfaces during respiration and stabilises the alveoli against collapse at resting trans pulmonary pressures</w:t>
            </w:r>
            <w:r>
              <w:rPr>
                <w:sz w:val="20"/>
              </w:rPr>
              <w:t>.</w:t>
            </w:r>
          </w:p>
        </w:tc>
      </w:tr>
      <w:tr w:rsidRPr="000217D2" w:rsidR="00273A16" w:rsidTr="77BEE3D0" w14:paraId="0C6F5EFB" w14:textId="77777777">
        <w:trPr>
          <w:trHeight w:val="266"/>
        </w:trPr>
        <w:tc>
          <w:tcPr>
            <w:tcW w:w="1702" w:type="dxa"/>
          </w:tcPr>
          <w:p w:rsidRPr="00B53E9B" w:rsidR="00CF2971" w:rsidP="0010214E" w:rsidRDefault="00CF2971" w14:paraId="755635EF" w14:textId="77777777">
            <w:pPr>
              <w:pStyle w:val="BodyText"/>
              <w:rPr>
                <w:rFonts w:cs="Arial"/>
                <w:sz w:val="20"/>
              </w:rPr>
            </w:pPr>
            <w:r>
              <w:rPr>
                <w:rFonts w:cs="Arial"/>
                <w:b/>
                <w:bCs/>
                <w:sz w:val="20"/>
              </w:rPr>
              <w:t>Drug t</w:t>
            </w:r>
            <w:r w:rsidRPr="00B53E9B">
              <w:rPr>
                <w:rFonts w:cs="Arial"/>
                <w:b/>
                <w:bCs/>
                <w:sz w:val="20"/>
              </w:rPr>
              <w:t>ype</w:t>
            </w:r>
          </w:p>
        </w:tc>
        <w:tc>
          <w:tcPr>
            <w:tcW w:w="8533" w:type="dxa"/>
          </w:tcPr>
          <w:p w:rsidRPr="000217D2" w:rsidR="00CF2971" w:rsidP="0010214E" w:rsidRDefault="00CF2971" w14:paraId="0760176D" w14:textId="77777777">
            <w:pPr>
              <w:pStyle w:val="BodyText"/>
              <w:rPr>
                <w:rFonts w:cs="Arial"/>
                <w:sz w:val="20"/>
              </w:rPr>
            </w:pPr>
            <w:r w:rsidRPr="000217D2">
              <w:rPr>
                <w:sz w:val="20"/>
              </w:rPr>
              <w:t>Pulmonary surfactant</w:t>
            </w:r>
          </w:p>
        </w:tc>
      </w:tr>
      <w:tr w:rsidRPr="000217D2" w:rsidR="00273A16" w:rsidTr="77BEE3D0" w14:paraId="19ECBA30" w14:textId="77777777">
        <w:trPr>
          <w:trHeight w:val="114"/>
        </w:trPr>
        <w:tc>
          <w:tcPr>
            <w:tcW w:w="1702" w:type="dxa"/>
          </w:tcPr>
          <w:p w:rsidRPr="00B53E9B" w:rsidR="00CF2971" w:rsidP="0010214E" w:rsidRDefault="00CF2971" w14:paraId="279B875F"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533" w:type="dxa"/>
          </w:tcPr>
          <w:p w:rsidRPr="000217D2" w:rsidR="00CF2971" w:rsidP="0010214E" w:rsidRDefault="00CF2971" w14:paraId="14A5063B" w14:textId="77777777">
            <w:pPr>
              <w:pStyle w:val="BodyText"/>
              <w:rPr>
                <w:rFonts w:cs="Arial"/>
                <w:sz w:val="20"/>
              </w:rPr>
            </w:pPr>
            <w:r>
              <w:rPr>
                <w:sz w:val="20"/>
              </w:rPr>
              <w:t>Curosurf</w:t>
            </w:r>
          </w:p>
        </w:tc>
      </w:tr>
      <w:tr w:rsidRPr="00C22956" w:rsidR="00273A16" w:rsidTr="77BEE3D0" w14:paraId="545F3399" w14:textId="77777777">
        <w:trPr>
          <w:trHeight w:val="70"/>
        </w:trPr>
        <w:tc>
          <w:tcPr>
            <w:tcW w:w="1702" w:type="dxa"/>
          </w:tcPr>
          <w:p w:rsidRPr="00B53E9B" w:rsidR="00CF2971" w:rsidP="0010214E" w:rsidRDefault="00CF2971" w14:paraId="29AF721F" w14:textId="77777777">
            <w:pPr>
              <w:pStyle w:val="BodyText"/>
              <w:rPr>
                <w:rFonts w:cs="Arial"/>
                <w:b/>
                <w:bCs/>
                <w:sz w:val="20"/>
              </w:rPr>
            </w:pPr>
            <w:r w:rsidRPr="00B53E9B">
              <w:rPr>
                <w:rFonts w:cs="Arial"/>
                <w:b/>
                <w:bCs/>
                <w:sz w:val="20"/>
              </w:rPr>
              <w:t xml:space="preserve">Presentation </w:t>
            </w:r>
          </w:p>
        </w:tc>
        <w:tc>
          <w:tcPr>
            <w:tcW w:w="8533" w:type="dxa"/>
          </w:tcPr>
          <w:p w:rsidRPr="00C22956" w:rsidR="00CF2971" w:rsidP="0010214E" w:rsidRDefault="00CF2971" w14:paraId="4AB9C8F5" w14:textId="77777777">
            <w:pPr>
              <w:pStyle w:val="BodyText"/>
              <w:ind w:left="34"/>
              <w:rPr>
                <w:rFonts w:cs="Arial"/>
                <w:sz w:val="20"/>
              </w:rPr>
            </w:pPr>
            <w:r>
              <w:rPr>
                <w:rFonts w:cs="Arial"/>
                <w:sz w:val="20"/>
              </w:rPr>
              <w:t>Suspension for intra-tracheal use 120mg/1.5mL or 240mg/3mL vials</w:t>
            </w:r>
          </w:p>
        </w:tc>
      </w:tr>
      <w:tr w:rsidRPr="000217D2" w:rsidR="00273A16" w:rsidTr="77BEE3D0" w14:paraId="278C978D" w14:textId="77777777">
        <w:trPr>
          <w:trHeight w:val="2806"/>
        </w:trPr>
        <w:tc>
          <w:tcPr>
            <w:tcW w:w="1702" w:type="dxa"/>
          </w:tcPr>
          <w:p w:rsidRPr="00B53E9B" w:rsidR="00CF2971" w:rsidP="0010214E" w:rsidRDefault="00CF2971" w14:paraId="634B5131" w14:textId="77777777">
            <w:pPr>
              <w:pStyle w:val="BodyText"/>
              <w:rPr>
                <w:rFonts w:cs="Arial"/>
                <w:b/>
                <w:bCs/>
                <w:sz w:val="20"/>
              </w:rPr>
            </w:pPr>
            <w:r>
              <w:rPr>
                <w:rFonts w:cs="Arial"/>
                <w:b/>
                <w:bCs/>
                <w:sz w:val="20"/>
              </w:rPr>
              <w:t>Dose</w:t>
            </w:r>
            <w:r w:rsidRPr="00B53E9B">
              <w:rPr>
                <w:rFonts w:cs="Arial"/>
                <w:b/>
                <w:bCs/>
                <w:sz w:val="20"/>
              </w:rPr>
              <w:t xml:space="preserve"> </w:t>
            </w:r>
          </w:p>
        </w:tc>
        <w:tc>
          <w:tcPr>
            <w:tcW w:w="8533" w:type="dxa"/>
          </w:tcPr>
          <w:p w:rsidR="00CF2971" w:rsidP="0010214E" w:rsidRDefault="00CF2971" w14:paraId="5B76B21F" w14:textId="77777777">
            <w:pPr>
              <w:pStyle w:val="BodyText"/>
              <w:rPr>
                <w:b/>
                <w:sz w:val="20"/>
              </w:rPr>
            </w:pPr>
            <w:r>
              <w:rPr>
                <w:b/>
                <w:sz w:val="20"/>
              </w:rPr>
              <w:t>Respiratory distress syndrome</w:t>
            </w:r>
          </w:p>
          <w:p w:rsidR="00CF2971" w:rsidP="0010214E" w:rsidRDefault="00CF2971" w14:paraId="739C299F" w14:textId="77777777">
            <w:pPr>
              <w:pStyle w:val="BodyText"/>
              <w:rPr>
                <w:sz w:val="20"/>
              </w:rPr>
            </w:pPr>
            <w:r>
              <w:rPr>
                <w:sz w:val="20"/>
              </w:rPr>
              <w:t>Loading dose of 200mg/kg</w:t>
            </w:r>
          </w:p>
          <w:p w:rsidRPr="005D371D" w:rsidR="00CF2971" w:rsidP="0010214E" w:rsidRDefault="00CF2971" w14:paraId="48F5BB36" w14:textId="77777777">
            <w:pPr>
              <w:pStyle w:val="BodyText"/>
              <w:rPr>
                <w:sz w:val="20"/>
              </w:rPr>
            </w:pPr>
            <w:r>
              <w:rPr>
                <w:sz w:val="20"/>
              </w:rPr>
              <w:t>Repeat dose of 100mg/kg when required</w:t>
            </w:r>
            <w:r w:rsidRPr="005D371D">
              <w:rPr>
                <w:sz w:val="20"/>
              </w:rPr>
              <w:t xml:space="preserve"> every 6</w:t>
            </w:r>
            <w:r>
              <w:rPr>
                <w:sz w:val="20"/>
              </w:rPr>
              <w:t>–12 hours.</w:t>
            </w:r>
          </w:p>
          <w:p w:rsidR="00CF2971" w:rsidP="0010214E" w:rsidRDefault="00CF2971" w14:paraId="161BE99A" w14:textId="77777777">
            <w:pPr>
              <w:pStyle w:val="BodyText"/>
              <w:rPr>
                <w:sz w:val="20"/>
              </w:rPr>
            </w:pPr>
            <w:r w:rsidRPr="005D371D">
              <w:rPr>
                <w:sz w:val="20"/>
              </w:rPr>
              <w:t>Maximum</w:t>
            </w:r>
            <w:r>
              <w:rPr>
                <w:sz w:val="20"/>
              </w:rPr>
              <w:t xml:space="preserve"> of 3 doses.</w:t>
            </w:r>
          </w:p>
          <w:p w:rsidR="00CF2971" w:rsidP="0010214E" w:rsidRDefault="00CF2971" w14:paraId="47DD6A66" w14:textId="77777777">
            <w:pPr>
              <w:pStyle w:val="BodyText"/>
              <w:rPr>
                <w:sz w:val="20"/>
              </w:rPr>
            </w:pPr>
          </w:p>
          <w:p w:rsidRPr="007A29B0" w:rsidR="00CF2971" w:rsidP="0010214E" w:rsidRDefault="00CF2971" w14:paraId="1447A067" w14:textId="77777777">
            <w:pPr>
              <w:pStyle w:val="BodyText"/>
              <w:rPr>
                <w:b/>
                <w:sz w:val="20"/>
              </w:rPr>
            </w:pPr>
            <w:r w:rsidRPr="007A29B0">
              <w:rPr>
                <w:b/>
                <w:sz w:val="20"/>
              </w:rPr>
              <w:t>Meconium aspiration syndrome</w:t>
            </w:r>
          </w:p>
          <w:p w:rsidR="00CF2971" w:rsidP="0010214E" w:rsidRDefault="00CF2971" w14:paraId="1AE13EA0" w14:textId="77777777">
            <w:pPr>
              <w:pStyle w:val="BodyText"/>
              <w:rPr>
                <w:sz w:val="20"/>
              </w:rPr>
            </w:pPr>
            <w:r>
              <w:rPr>
                <w:sz w:val="20"/>
              </w:rPr>
              <w:t xml:space="preserve">Single dose: 200mg/kg </w:t>
            </w:r>
          </w:p>
          <w:p w:rsidR="00CF2971" w:rsidP="0010214E" w:rsidRDefault="00CF2971" w14:paraId="4E2C443C" w14:textId="77777777">
            <w:pPr>
              <w:pStyle w:val="BodyText"/>
              <w:rPr>
                <w:sz w:val="20"/>
              </w:rPr>
            </w:pPr>
            <w:r>
              <w:rPr>
                <w:sz w:val="20"/>
              </w:rPr>
              <w:t>Further doses can be given as below if required:</w:t>
            </w:r>
          </w:p>
          <w:p w:rsidR="00CF2971" w:rsidP="0010214E" w:rsidRDefault="00CF2971" w14:paraId="13428FE9" w14:textId="77777777">
            <w:pPr>
              <w:pStyle w:val="BodyText"/>
              <w:rPr>
                <w:sz w:val="20"/>
              </w:rPr>
            </w:pPr>
            <w:r>
              <w:rPr>
                <w:sz w:val="20"/>
              </w:rPr>
              <w:t>2</w:t>
            </w:r>
            <w:r w:rsidRPr="000B0146">
              <w:rPr>
                <w:sz w:val="20"/>
                <w:vertAlign w:val="superscript"/>
              </w:rPr>
              <w:t>nd</w:t>
            </w:r>
            <w:r>
              <w:rPr>
                <w:sz w:val="20"/>
              </w:rPr>
              <w:t xml:space="preserve"> dose: 200mg/kg</w:t>
            </w:r>
          </w:p>
          <w:p w:rsidR="00CF2971" w:rsidP="0010214E" w:rsidRDefault="00CF2971" w14:paraId="7B979683" w14:textId="77777777">
            <w:pPr>
              <w:pStyle w:val="BodyText"/>
              <w:rPr>
                <w:sz w:val="20"/>
              </w:rPr>
            </w:pPr>
            <w:r>
              <w:rPr>
                <w:sz w:val="20"/>
              </w:rPr>
              <w:t>3</w:t>
            </w:r>
            <w:r w:rsidRPr="000B0146">
              <w:rPr>
                <w:sz w:val="20"/>
                <w:vertAlign w:val="superscript"/>
              </w:rPr>
              <w:t>rd</w:t>
            </w:r>
            <w:r>
              <w:rPr>
                <w:sz w:val="20"/>
              </w:rPr>
              <w:t xml:space="preserve"> dose: 100mg/kg</w:t>
            </w:r>
          </w:p>
          <w:p w:rsidR="00CF2971" w:rsidP="0010214E" w:rsidRDefault="00CF2971" w14:paraId="01761AA0" w14:textId="77777777">
            <w:pPr>
              <w:pStyle w:val="BodyText"/>
              <w:rPr>
                <w:sz w:val="20"/>
              </w:rPr>
            </w:pPr>
            <w:r>
              <w:rPr>
                <w:sz w:val="20"/>
              </w:rPr>
              <w:t>4</w:t>
            </w:r>
            <w:r w:rsidRPr="000B0146">
              <w:rPr>
                <w:sz w:val="20"/>
                <w:vertAlign w:val="superscript"/>
              </w:rPr>
              <w:t>th</w:t>
            </w:r>
            <w:r>
              <w:rPr>
                <w:sz w:val="20"/>
              </w:rPr>
              <w:t xml:space="preserve"> dose: 100mg/kg </w:t>
            </w:r>
          </w:p>
          <w:p w:rsidRPr="000217D2" w:rsidR="00CF2971" w:rsidP="0010214E" w:rsidRDefault="00CF2971" w14:paraId="2AE8297E" w14:textId="77777777">
            <w:pPr>
              <w:pStyle w:val="BodyText"/>
              <w:rPr>
                <w:sz w:val="20"/>
              </w:rPr>
            </w:pPr>
            <w:r>
              <w:rPr>
                <w:sz w:val="20"/>
              </w:rPr>
              <w:t xml:space="preserve">These doses can be </w:t>
            </w:r>
            <w:r w:rsidRPr="00C42561">
              <w:rPr>
                <w:sz w:val="20"/>
              </w:rPr>
              <w:t xml:space="preserve">administered </w:t>
            </w:r>
            <w:r>
              <w:rPr>
                <w:sz w:val="20"/>
              </w:rPr>
              <w:t>at 6 hour interval.</w:t>
            </w:r>
          </w:p>
        </w:tc>
      </w:tr>
      <w:tr w:rsidRPr="00026F20" w:rsidR="00273A16" w:rsidTr="77BEE3D0" w14:paraId="537B6AED" w14:textId="77777777">
        <w:trPr>
          <w:trHeight w:val="407"/>
        </w:trPr>
        <w:tc>
          <w:tcPr>
            <w:tcW w:w="1702" w:type="dxa"/>
          </w:tcPr>
          <w:p w:rsidRPr="00B53E9B" w:rsidR="00CF2971" w:rsidP="0010214E" w:rsidRDefault="00CF2971" w14:paraId="579EB3DB" w14:textId="77777777">
            <w:pPr>
              <w:pStyle w:val="BodyText"/>
              <w:rPr>
                <w:b/>
                <w:sz w:val="20"/>
              </w:rPr>
            </w:pPr>
            <w:r w:rsidRPr="00B53E9B">
              <w:rPr>
                <w:b/>
                <w:sz w:val="20"/>
              </w:rPr>
              <w:t>Dose adjustment</w:t>
            </w:r>
          </w:p>
        </w:tc>
        <w:tc>
          <w:tcPr>
            <w:tcW w:w="8533" w:type="dxa"/>
          </w:tcPr>
          <w:p w:rsidRPr="007B5550" w:rsidR="00CF2971" w:rsidP="0010214E" w:rsidRDefault="00CF2971" w14:paraId="7E66C085" w14:textId="77777777">
            <w:pPr>
              <w:pStyle w:val="BodyText"/>
              <w:rPr>
                <w:sz w:val="20"/>
              </w:rPr>
            </w:pPr>
            <w:r w:rsidRPr="007B5550">
              <w:rPr>
                <w:sz w:val="20"/>
              </w:rPr>
              <w:t>Therapeutic hypothermia – Not applicable.</w:t>
            </w:r>
          </w:p>
          <w:p w:rsidRPr="007B5550" w:rsidR="00CF2971" w:rsidP="0010214E" w:rsidRDefault="00CF2971" w14:paraId="46F49C50" w14:textId="77777777">
            <w:pPr>
              <w:pStyle w:val="BodyText"/>
              <w:rPr>
                <w:sz w:val="20"/>
              </w:rPr>
            </w:pPr>
            <w:r w:rsidRPr="007B5550">
              <w:rPr>
                <w:sz w:val="20"/>
              </w:rPr>
              <w:t>ECMO – Not applicable</w:t>
            </w:r>
          </w:p>
          <w:p w:rsidRPr="007B5550" w:rsidR="00CF2971" w:rsidP="0010214E" w:rsidRDefault="00CF2971" w14:paraId="311D756A" w14:textId="77777777">
            <w:pPr>
              <w:pStyle w:val="BodyText"/>
              <w:rPr>
                <w:sz w:val="20"/>
              </w:rPr>
            </w:pPr>
            <w:r w:rsidRPr="007B5550">
              <w:rPr>
                <w:sz w:val="20"/>
              </w:rPr>
              <w:t>Renal impairment – No dose adjustment.</w:t>
            </w:r>
          </w:p>
          <w:p w:rsidRPr="00026F20" w:rsidR="00CF2971" w:rsidP="0010214E" w:rsidRDefault="00CF2971" w14:paraId="522E40DE" w14:textId="77777777">
            <w:pPr>
              <w:pStyle w:val="BodyText"/>
              <w:rPr>
                <w:sz w:val="20"/>
              </w:rPr>
            </w:pPr>
            <w:r w:rsidRPr="007B5550">
              <w:rPr>
                <w:sz w:val="20"/>
              </w:rPr>
              <w:t>Hepatic impairment – No dose adjustment.</w:t>
            </w:r>
          </w:p>
        </w:tc>
      </w:tr>
      <w:tr w:rsidRPr="00026F20" w:rsidR="00273A16" w:rsidTr="77BEE3D0" w14:paraId="39EABDB4" w14:textId="77777777">
        <w:trPr>
          <w:trHeight w:val="113"/>
        </w:trPr>
        <w:tc>
          <w:tcPr>
            <w:tcW w:w="1702" w:type="dxa"/>
          </w:tcPr>
          <w:p w:rsidRPr="00B53E9B" w:rsidR="00CF2971" w:rsidP="0010214E" w:rsidRDefault="00CF2971" w14:paraId="40C1DD9D" w14:textId="77777777">
            <w:pPr>
              <w:pStyle w:val="BodyText"/>
              <w:rPr>
                <w:b/>
                <w:sz w:val="20"/>
              </w:rPr>
            </w:pPr>
            <w:r w:rsidRPr="00B53E9B">
              <w:rPr>
                <w:b/>
                <w:sz w:val="20"/>
              </w:rPr>
              <w:t>Maximum dose</w:t>
            </w:r>
          </w:p>
        </w:tc>
        <w:tc>
          <w:tcPr>
            <w:tcW w:w="8533" w:type="dxa"/>
          </w:tcPr>
          <w:p w:rsidRPr="00026F20" w:rsidR="00CF2971" w:rsidP="0010214E" w:rsidRDefault="00CF2971" w14:paraId="685FAFDE" w14:textId="77777777">
            <w:pPr>
              <w:pStyle w:val="BodyText"/>
              <w:rPr>
                <w:sz w:val="20"/>
              </w:rPr>
            </w:pPr>
          </w:p>
        </w:tc>
      </w:tr>
      <w:tr w:rsidRPr="00026F20" w:rsidR="00273A16" w:rsidTr="77BEE3D0" w14:paraId="120A6C18" w14:textId="77777777">
        <w:trPr>
          <w:trHeight w:val="144"/>
        </w:trPr>
        <w:tc>
          <w:tcPr>
            <w:tcW w:w="1702" w:type="dxa"/>
          </w:tcPr>
          <w:p w:rsidRPr="00B53E9B" w:rsidR="00CF2971" w:rsidP="0010214E" w:rsidRDefault="00CF2971" w14:paraId="7D7C6500" w14:textId="77777777">
            <w:pPr>
              <w:pStyle w:val="BodyText"/>
              <w:rPr>
                <w:rFonts w:cs="Arial"/>
                <w:b/>
                <w:bCs/>
                <w:sz w:val="20"/>
              </w:rPr>
            </w:pPr>
            <w:r w:rsidRPr="00B53E9B">
              <w:rPr>
                <w:b/>
                <w:sz w:val="20"/>
              </w:rPr>
              <w:t>Total cumulative dose</w:t>
            </w:r>
          </w:p>
        </w:tc>
        <w:tc>
          <w:tcPr>
            <w:tcW w:w="8533" w:type="dxa"/>
          </w:tcPr>
          <w:p w:rsidRPr="00026F20" w:rsidR="00CF2971" w:rsidP="0010214E" w:rsidRDefault="00CF2971" w14:paraId="283B9D33" w14:textId="77777777">
            <w:pPr>
              <w:pStyle w:val="BodyText"/>
              <w:rPr>
                <w:rFonts w:cs="Arial"/>
                <w:b/>
                <w:sz w:val="20"/>
              </w:rPr>
            </w:pPr>
          </w:p>
        </w:tc>
      </w:tr>
      <w:tr w:rsidRPr="00C22956" w:rsidR="00273A16" w:rsidTr="77BEE3D0" w14:paraId="341B46A1" w14:textId="77777777">
        <w:trPr>
          <w:trHeight w:val="294"/>
        </w:trPr>
        <w:tc>
          <w:tcPr>
            <w:tcW w:w="1702" w:type="dxa"/>
          </w:tcPr>
          <w:p w:rsidRPr="00B53E9B" w:rsidR="00CF2971" w:rsidP="0010214E" w:rsidRDefault="00CF2971" w14:paraId="34E1A1E5" w14:textId="77777777">
            <w:pPr>
              <w:pStyle w:val="BodyText"/>
              <w:rPr>
                <w:rFonts w:cs="Arial"/>
                <w:sz w:val="20"/>
              </w:rPr>
            </w:pPr>
            <w:r w:rsidRPr="00B53E9B">
              <w:rPr>
                <w:rFonts w:cs="Arial"/>
                <w:b/>
                <w:bCs/>
                <w:sz w:val="20"/>
              </w:rPr>
              <w:t xml:space="preserve">Route </w:t>
            </w:r>
          </w:p>
        </w:tc>
        <w:tc>
          <w:tcPr>
            <w:tcW w:w="8533" w:type="dxa"/>
          </w:tcPr>
          <w:p w:rsidRPr="00C22956" w:rsidR="00CF2971" w:rsidP="0010214E" w:rsidRDefault="00CF2971" w14:paraId="4F0CAB7A" w14:textId="77777777">
            <w:pPr>
              <w:pStyle w:val="BodyText"/>
              <w:rPr>
                <w:rFonts w:cs="Arial"/>
                <w:sz w:val="20"/>
              </w:rPr>
            </w:pPr>
            <w:r>
              <w:rPr>
                <w:rFonts w:cs="Arial"/>
                <w:sz w:val="20"/>
              </w:rPr>
              <w:t>Intra-tracheal</w:t>
            </w:r>
          </w:p>
        </w:tc>
      </w:tr>
      <w:tr w:rsidRPr="00026F20" w:rsidR="00273A16" w:rsidTr="77BEE3D0" w14:paraId="372B6834" w14:textId="77777777">
        <w:trPr>
          <w:trHeight w:val="93"/>
        </w:trPr>
        <w:tc>
          <w:tcPr>
            <w:tcW w:w="1702" w:type="dxa"/>
          </w:tcPr>
          <w:p w:rsidRPr="00B53E9B" w:rsidR="00CF2971" w:rsidP="77BEE3D0" w:rsidRDefault="689A17DA" w14:paraId="15716A21" w14:textId="13177F8F">
            <w:pPr>
              <w:pStyle w:val="BodyText"/>
              <w:rPr>
                <w:rFonts w:cs="Arial"/>
                <w:b/>
                <w:bCs/>
                <w:sz w:val="20"/>
                <w:highlight w:val="cyan"/>
              </w:rPr>
            </w:pPr>
            <w:r w:rsidRPr="77BEE3D0">
              <w:rPr>
                <w:rFonts w:cs="Arial"/>
                <w:b/>
                <w:bCs/>
                <w:sz w:val="20"/>
              </w:rPr>
              <w:t>Preparation</w:t>
            </w:r>
          </w:p>
        </w:tc>
        <w:tc>
          <w:tcPr>
            <w:tcW w:w="8533" w:type="dxa"/>
          </w:tcPr>
          <w:p w:rsidRPr="00026F20" w:rsidR="00CF2971" w:rsidP="0010214E" w:rsidRDefault="00CF2971" w14:paraId="3B012D16" w14:textId="77777777">
            <w:pPr>
              <w:pStyle w:val="BodyText"/>
              <w:rPr>
                <w:rFonts w:cs="Arial"/>
                <w:sz w:val="20"/>
              </w:rPr>
            </w:pPr>
            <w:r>
              <w:rPr>
                <w:rFonts w:cs="Arial"/>
                <w:sz w:val="20"/>
              </w:rPr>
              <w:t>Not applicable</w:t>
            </w:r>
          </w:p>
        </w:tc>
      </w:tr>
      <w:tr w:rsidRPr="00D57A8A" w:rsidR="00E424B4" w:rsidTr="77BEE3D0" w14:paraId="42ED9E31" w14:textId="77777777">
        <w:trPr>
          <w:trHeight w:val="224"/>
        </w:trPr>
        <w:tc>
          <w:tcPr>
            <w:tcW w:w="1702" w:type="dxa"/>
          </w:tcPr>
          <w:p w:rsidRPr="00B53E9B" w:rsidR="00CF2971" w:rsidP="0010214E" w:rsidRDefault="00CF2971" w14:paraId="17496A1C" w14:textId="77777777">
            <w:pPr>
              <w:pStyle w:val="BodyText"/>
              <w:rPr>
                <w:rFonts w:cs="Arial"/>
                <w:b/>
                <w:bCs/>
                <w:sz w:val="20"/>
              </w:rPr>
            </w:pPr>
            <w:r w:rsidRPr="00B53E9B">
              <w:rPr>
                <w:rFonts w:cs="Arial"/>
                <w:b/>
                <w:bCs/>
                <w:sz w:val="20"/>
              </w:rPr>
              <w:t xml:space="preserve">Administration </w:t>
            </w:r>
          </w:p>
        </w:tc>
        <w:tc>
          <w:tcPr>
            <w:tcW w:w="8533" w:type="dxa"/>
            <w:vAlign w:val="center"/>
          </w:tcPr>
          <w:p w:rsidR="00CF2971" w:rsidP="0010214E" w:rsidRDefault="00CF2971" w14:paraId="76787821" w14:textId="77777777">
            <w:pPr>
              <w:pStyle w:val="BodyText"/>
              <w:rPr>
                <w:sz w:val="20"/>
              </w:rPr>
            </w:pPr>
            <w:r w:rsidRPr="00AA0750">
              <w:rPr>
                <w:sz w:val="20"/>
              </w:rPr>
              <w:t>This medication should only be administered by a medical officer or nurse practitioner.</w:t>
            </w:r>
          </w:p>
          <w:p w:rsidR="00CF2971" w:rsidP="0010214E" w:rsidRDefault="00CF2971" w14:paraId="06A58087" w14:textId="77777777">
            <w:pPr>
              <w:pStyle w:val="BodyText"/>
              <w:rPr>
                <w:sz w:val="20"/>
              </w:rPr>
            </w:pPr>
          </w:p>
          <w:p w:rsidRPr="00D57A8A" w:rsidR="00CF2971" w:rsidP="0010214E" w:rsidRDefault="00CF2971" w14:paraId="16407C4F" w14:textId="77777777">
            <w:pPr>
              <w:pStyle w:val="BodyText"/>
              <w:rPr>
                <w:rFonts w:cs="Arial"/>
                <w:sz w:val="20"/>
              </w:rPr>
            </w:pPr>
            <w:r w:rsidRPr="00D57A8A">
              <w:rPr>
                <w:sz w:val="20"/>
              </w:rPr>
              <w:t>Inspect product visually for discolouration prior to administration (suspension should be white to creamy white).</w:t>
            </w:r>
            <w:r>
              <w:rPr>
                <w:sz w:val="20"/>
              </w:rPr>
              <w:t xml:space="preserve"> </w:t>
            </w:r>
            <w:r w:rsidRPr="00D57A8A">
              <w:rPr>
                <w:sz w:val="20"/>
              </w:rPr>
              <w:t xml:space="preserve">Before use, the vial should be slowly warmed to room temperature (can be warmed in hand or stood at room temperature) and gently turned upside down in order to obtain a uniform suspension. DO NOT SHAKE. </w:t>
            </w:r>
            <w:r w:rsidRPr="00D57A8A">
              <w:rPr>
                <w:sz w:val="20"/>
              </w:rPr>
              <w:br/>
            </w:r>
            <w:r w:rsidRPr="00D57A8A">
              <w:rPr>
                <w:sz w:val="20"/>
              </w:rPr>
              <w:br/>
            </w:r>
            <w:r w:rsidRPr="00D57A8A">
              <w:rPr>
                <w:sz w:val="20"/>
              </w:rPr>
              <w:t>Poractant alpha is administered</w:t>
            </w:r>
            <w:r>
              <w:rPr>
                <w:sz w:val="20"/>
              </w:rPr>
              <w:t xml:space="preserve"> via the endotracheal route using</w:t>
            </w:r>
            <w:r w:rsidRPr="00D57A8A">
              <w:rPr>
                <w:sz w:val="20"/>
              </w:rPr>
              <w:t xml:space="preserve"> an endotracheal tube (ETT) or thin catheter. </w:t>
            </w:r>
            <w:r w:rsidRPr="00D57A8A">
              <w:rPr>
                <w:sz w:val="20"/>
              </w:rPr>
              <w:br/>
            </w:r>
            <w:r w:rsidRPr="00D57A8A">
              <w:rPr>
                <w:sz w:val="20"/>
              </w:rPr>
              <w:br/>
            </w:r>
            <w:r w:rsidRPr="007B5550">
              <w:rPr>
                <w:b/>
                <w:sz w:val="20"/>
              </w:rPr>
              <w:t>ETT administration:</w:t>
            </w:r>
            <w:r w:rsidRPr="00D57A8A">
              <w:rPr>
                <w:sz w:val="20"/>
              </w:rPr>
              <w:t xml:space="preserve"> Assess patency and position of ETT prior to administration.</w:t>
            </w:r>
            <w:r>
              <w:rPr>
                <w:sz w:val="20"/>
              </w:rPr>
              <w:t xml:space="preserve"> </w:t>
            </w:r>
            <w:r w:rsidRPr="00D57A8A">
              <w:rPr>
                <w:sz w:val="20"/>
              </w:rPr>
              <w:t>Clear the trachea of secretions if required. Shorten a 5</w:t>
            </w:r>
            <w:r>
              <w:rPr>
                <w:sz w:val="20"/>
              </w:rPr>
              <w:t xml:space="preserve"> </w:t>
            </w:r>
            <w:r w:rsidRPr="00D57A8A">
              <w:rPr>
                <w:sz w:val="20"/>
              </w:rPr>
              <w:t>F</w:t>
            </w:r>
            <w:r>
              <w:rPr>
                <w:sz w:val="20"/>
              </w:rPr>
              <w:t>rench</w:t>
            </w:r>
            <w:r w:rsidRPr="00D57A8A">
              <w:rPr>
                <w:sz w:val="20"/>
              </w:rPr>
              <w:t xml:space="preserve"> end-hole catheter so that the length of the catheter is 1</w:t>
            </w:r>
            <w:r>
              <w:rPr>
                <w:sz w:val="20"/>
              </w:rPr>
              <w:t xml:space="preserve"> </w:t>
            </w:r>
            <w:r w:rsidRPr="00D57A8A">
              <w:rPr>
                <w:sz w:val="20"/>
              </w:rPr>
              <w:t>cm shorter than the ET tube. Slowly withdraw entire contents of vial(s) into a syringe through a needle (≥</w:t>
            </w:r>
            <w:r>
              <w:rPr>
                <w:sz w:val="20"/>
              </w:rPr>
              <w:t xml:space="preserve"> </w:t>
            </w:r>
            <w:r w:rsidRPr="00D57A8A">
              <w:rPr>
                <w:sz w:val="20"/>
              </w:rPr>
              <w:t xml:space="preserve">20 gauge). Do not shake. </w:t>
            </w:r>
            <w:r w:rsidRPr="00D57A8A">
              <w:rPr>
                <w:sz w:val="20"/>
              </w:rPr>
              <w:br/>
            </w:r>
            <w:r w:rsidRPr="00D57A8A">
              <w:rPr>
                <w:sz w:val="20"/>
              </w:rPr>
              <w:t xml:space="preserve">Attach shortened catheter to syringe. Fill catheter with surfactant. </w:t>
            </w:r>
            <w:r w:rsidRPr="00D57A8A">
              <w:rPr>
                <w:sz w:val="20"/>
              </w:rPr>
              <w:br/>
            </w:r>
            <w:r w:rsidRPr="00D57A8A">
              <w:rPr>
                <w:sz w:val="20"/>
              </w:rPr>
              <w:t xml:space="preserve">May administer in 1 to 2 aliquots as tolerated with the neonate in neutral supine position. If the infant </w:t>
            </w:r>
            <w:r w:rsidRPr="00D57A8A">
              <w:rPr>
                <w:sz w:val="20"/>
              </w:rPr>
              <w:lastRenderedPageBreak/>
              <w:t>is on a ventilator, the catheter can be inserted into the infant’s ET tube without interrupting ventilation by passing the catheter through a neonatal suction valve attached to the ET tube. This is especially useful in high-frequency ventilation to minimise de</w:t>
            </w:r>
            <w:r>
              <w:rPr>
                <w:sz w:val="20"/>
              </w:rPr>
              <w:t>-</w:t>
            </w:r>
            <w:r w:rsidRPr="00D57A8A">
              <w:rPr>
                <w:sz w:val="20"/>
              </w:rPr>
              <w:t>recruitment. Alternatively, surfactant can be instilled through the catheter by briefly disconnecting the ETT from the ventilator. Approximately 2</w:t>
            </w:r>
            <w:r>
              <w:rPr>
                <w:sz w:val="20"/>
              </w:rPr>
              <w:t xml:space="preserve"> </w:t>
            </w:r>
            <w:r w:rsidRPr="00D57A8A">
              <w:rPr>
                <w:sz w:val="20"/>
              </w:rPr>
              <w:t xml:space="preserve">mL of air may be used to push any remaining surfactant in the catheter into the lungs. </w:t>
            </w:r>
            <w:r w:rsidRPr="00D57A8A">
              <w:rPr>
                <w:sz w:val="20"/>
              </w:rPr>
              <w:br/>
            </w:r>
            <w:r w:rsidRPr="00D57A8A">
              <w:rPr>
                <w:sz w:val="20"/>
              </w:rPr>
              <w:br/>
            </w:r>
            <w:r w:rsidRPr="007B5550">
              <w:rPr>
                <w:b/>
                <w:sz w:val="20"/>
              </w:rPr>
              <w:t>Thin catheter administration:</w:t>
            </w:r>
            <w:r w:rsidRPr="00D57A8A">
              <w:rPr>
                <w:sz w:val="20"/>
              </w:rPr>
              <w:t xml:space="preserve"> Use a 4</w:t>
            </w:r>
            <w:r>
              <w:rPr>
                <w:sz w:val="20"/>
              </w:rPr>
              <w:t xml:space="preserve"> </w:t>
            </w:r>
            <w:r w:rsidRPr="00D57A8A">
              <w:rPr>
                <w:sz w:val="20"/>
              </w:rPr>
              <w:t>F</w:t>
            </w:r>
            <w:r>
              <w:rPr>
                <w:sz w:val="20"/>
              </w:rPr>
              <w:t>rench</w:t>
            </w:r>
            <w:r w:rsidRPr="00D57A8A">
              <w:rPr>
                <w:sz w:val="20"/>
              </w:rPr>
              <w:t xml:space="preserve"> end</w:t>
            </w:r>
            <w:r>
              <w:rPr>
                <w:sz w:val="20"/>
              </w:rPr>
              <w:t>-</w:t>
            </w:r>
            <w:r w:rsidRPr="00D57A8A">
              <w:rPr>
                <w:sz w:val="20"/>
              </w:rPr>
              <w:t>hole catheter marked approximately 1.5 cm above one end. Connect a syringe and catheter prefilled with surfactant preparation. While the infant is breathing via nasal CPAP, introduce laryngoscope and insert catheter using Magill forceps up to the mark on the catheter. Secure tube position and remov</w:t>
            </w:r>
            <w:r>
              <w:rPr>
                <w:sz w:val="20"/>
              </w:rPr>
              <w:t>e</w:t>
            </w:r>
            <w:r w:rsidRPr="00D57A8A">
              <w:rPr>
                <w:sz w:val="20"/>
              </w:rPr>
              <w:t xml:space="preserve"> laryngoscope. With the infant’s mouth closed, instil surfactant during 30 to 120 seconds by mini-boluses. In cases of apnoea or bradycardia, perform positive pressure ventilation until recovery</w:t>
            </w:r>
            <w:r>
              <w:rPr>
                <w:sz w:val="20"/>
              </w:rPr>
              <w:t>.</w:t>
            </w:r>
          </w:p>
        </w:tc>
      </w:tr>
      <w:tr w:rsidRPr="000217D2" w:rsidR="00273A16" w:rsidTr="77BEE3D0" w14:paraId="0620D82E" w14:textId="77777777">
        <w:trPr>
          <w:trHeight w:val="215"/>
        </w:trPr>
        <w:tc>
          <w:tcPr>
            <w:tcW w:w="1702" w:type="dxa"/>
          </w:tcPr>
          <w:p w:rsidRPr="00B53E9B" w:rsidR="00CF2971" w:rsidP="0010214E" w:rsidRDefault="00CF2971" w14:paraId="30DAA02F" w14:textId="77777777">
            <w:pPr>
              <w:pStyle w:val="BodyText"/>
              <w:rPr>
                <w:rFonts w:cs="Arial"/>
                <w:b/>
                <w:bCs/>
                <w:sz w:val="20"/>
              </w:rPr>
            </w:pPr>
            <w:r w:rsidRPr="00B53E9B">
              <w:rPr>
                <w:rFonts w:cs="Arial"/>
                <w:b/>
                <w:bCs/>
                <w:sz w:val="20"/>
              </w:rPr>
              <w:lastRenderedPageBreak/>
              <w:t>Monitoring</w:t>
            </w:r>
          </w:p>
        </w:tc>
        <w:tc>
          <w:tcPr>
            <w:tcW w:w="8533" w:type="dxa"/>
          </w:tcPr>
          <w:p w:rsidRPr="000217D2" w:rsidR="00CF2971" w:rsidP="0010214E" w:rsidRDefault="00CF2971" w14:paraId="4E3FF182" w14:textId="77777777">
            <w:pPr>
              <w:pStyle w:val="BodyText"/>
              <w:rPr>
                <w:rFonts w:cs="Arial"/>
                <w:sz w:val="20"/>
              </w:rPr>
            </w:pPr>
            <w:r w:rsidRPr="000217D2">
              <w:rPr>
                <w:sz w:val="20"/>
              </w:rPr>
              <w:t>Continuous oxygen saturation and cardiorespiratory monitoring.</w:t>
            </w:r>
          </w:p>
        </w:tc>
      </w:tr>
      <w:tr w:rsidRPr="00C22956" w:rsidR="00273A16" w:rsidTr="77BEE3D0" w14:paraId="1218932C" w14:textId="77777777">
        <w:trPr>
          <w:trHeight w:val="342"/>
        </w:trPr>
        <w:tc>
          <w:tcPr>
            <w:tcW w:w="1702" w:type="dxa"/>
          </w:tcPr>
          <w:p w:rsidRPr="00B53E9B" w:rsidR="00CF2971" w:rsidP="0010214E" w:rsidRDefault="00CF2971" w14:paraId="351208EB" w14:textId="77777777">
            <w:pPr>
              <w:pStyle w:val="BodyText"/>
              <w:rPr>
                <w:rFonts w:cs="Arial"/>
                <w:b/>
                <w:bCs/>
                <w:sz w:val="20"/>
              </w:rPr>
            </w:pPr>
            <w:r w:rsidRPr="00B53E9B">
              <w:rPr>
                <w:rFonts w:cs="Arial"/>
                <w:b/>
                <w:bCs/>
                <w:sz w:val="20"/>
              </w:rPr>
              <w:t>Contraindications</w:t>
            </w:r>
          </w:p>
        </w:tc>
        <w:tc>
          <w:tcPr>
            <w:tcW w:w="8533" w:type="dxa"/>
          </w:tcPr>
          <w:p w:rsidRPr="00C22956" w:rsidR="00CF2971" w:rsidP="0010214E" w:rsidRDefault="00CF2971" w14:paraId="0FECFFA8" w14:textId="77777777">
            <w:pPr>
              <w:pStyle w:val="BodyText"/>
              <w:rPr>
                <w:rFonts w:cs="Arial"/>
                <w:sz w:val="20"/>
              </w:rPr>
            </w:pPr>
            <w:r>
              <w:rPr>
                <w:rFonts w:cs="Arial"/>
                <w:sz w:val="20"/>
              </w:rPr>
              <w:t>None known</w:t>
            </w:r>
          </w:p>
        </w:tc>
      </w:tr>
      <w:tr w:rsidRPr="00D57A8A" w:rsidR="00273A16" w:rsidTr="77BEE3D0" w14:paraId="04D8D785" w14:textId="77777777">
        <w:tc>
          <w:tcPr>
            <w:tcW w:w="1702" w:type="dxa"/>
          </w:tcPr>
          <w:p w:rsidRPr="00B53E9B" w:rsidR="00CF2971" w:rsidP="0010214E" w:rsidRDefault="00CF2971" w14:paraId="53D2A8DE" w14:textId="77777777">
            <w:pPr>
              <w:pStyle w:val="BodyText"/>
              <w:rPr>
                <w:rFonts w:cs="Arial"/>
                <w:b/>
                <w:bCs/>
                <w:sz w:val="20"/>
              </w:rPr>
            </w:pPr>
            <w:r w:rsidRPr="00B53E9B">
              <w:rPr>
                <w:sz w:val="20"/>
              </w:rPr>
              <w:br w:type="page"/>
            </w:r>
            <w:r w:rsidRPr="00B53E9B">
              <w:rPr>
                <w:rFonts w:cs="Arial"/>
                <w:b/>
                <w:bCs/>
                <w:sz w:val="20"/>
              </w:rPr>
              <w:t>Precautions</w:t>
            </w:r>
          </w:p>
        </w:tc>
        <w:tc>
          <w:tcPr>
            <w:tcW w:w="8533" w:type="dxa"/>
          </w:tcPr>
          <w:p w:rsidRPr="00D57A8A" w:rsidR="00CF2971" w:rsidP="0010214E" w:rsidRDefault="00CF2971" w14:paraId="53A53B18" w14:textId="77777777">
            <w:pPr>
              <w:pStyle w:val="BodyText"/>
              <w:rPr>
                <w:rFonts w:cs="Arial"/>
                <w:sz w:val="20"/>
              </w:rPr>
            </w:pPr>
            <w:r w:rsidRPr="00D57A8A">
              <w:rPr>
                <w:sz w:val="20"/>
              </w:rPr>
              <w:t>Correction of acidosis, hypotension, anaemia, hypoglycaemia and hypothermia is recommended by the manufacturer prior to poractant alpha administration but this is not always possible in practice.</w:t>
            </w:r>
          </w:p>
        </w:tc>
      </w:tr>
      <w:tr w:rsidRPr="00026F20" w:rsidR="00273A16" w:rsidTr="77BEE3D0" w14:paraId="418C6039" w14:textId="77777777">
        <w:trPr>
          <w:trHeight w:val="70"/>
        </w:trPr>
        <w:tc>
          <w:tcPr>
            <w:tcW w:w="1702" w:type="dxa"/>
          </w:tcPr>
          <w:p w:rsidRPr="00B53E9B" w:rsidR="00CF2971" w:rsidP="0010214E" w:rsidRDefault="00CF2971" w14:paraId="0DD0CDF4"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533" w:type="dxa"/>
          </w:tcPr>
          <w:p w:rsidRPr="00026F20" w:rsidR="00CF2971" w:rsidP="0010214E" w:rsidRDefault="00CF2971" w14:paraId="1E79CBCE" w14:textId="77777777">
            <w:pPr>
              <w:pStyle w:val="BodyText"/>
              <w:rPr>
                <w:rFonts w:cs="Arial"/>
                <w:sz w:val="20"/>
              </w:rPr>
            </w:pPr>
            <w:r>
              <w:rPr>
                <w:rFonts w:cs="Arial"/>
                <w:sz w:val="20"/>
              </w:rPr>
              <w:t>Not applicable</w:t>
            </w:r>
          </w:p>
        </w:tc>
      </w:tr>
      <w:tr w:rsidRPr="00D57A8A" w:rsidR="00273A16" w:rsidTr="77BEE3D0" w14:paraId="12B3AA84" w14:textId="77777777">
        <w:trPr>
          <w:trHeight w:val="332"/>
        </w:trPr>
        <w:tc>
          <w:tcPr>
            <w:tcW w:w="1702" w:type="dxa"/>
          </w:tcPr>
          <w:p w:rsidRPr="00B53E9B" w:rsidR="00CF2971" w:rsidP="0010214E" w:rsidRDefault="00CF2971" w14:paraId="41544200"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533" w:type="dxa"/>
          </w:tcPr>
          <w:p w:rsidRPr="00D57A8A" w:rsidR="00CF2971" w:rsidP="0010214E" w:rsidRDefault="00CF2971" w14:paraId="5874C4ED" w14:textId="77777777">
            <w:pPr>
              <w:pStyle w:val="BodyText"/>
              <w:rPr>
                <w:rFonts w:cs="Arial"/>
                <w:sz w:val="20"/>
              </w:rPr>
            </w:pPr>
            <w:r w:rsidRPr="00D57A8A">
              <w:rPr>
                <w:sz w:val="20"/>
              </w:rPr>
              <w:t xml:space="preserve">Transient: </w:t>
            </w:r>
            <w:r>
              <w:rPr>
                <w:sz w:val="20"/>
              </w:rPr>
              <w:t>B</w:t>
            </w:r>
            <w:r w:rsidRPr="00D57A8A">
              <w:rPr>
                <w:sz w:val="20"/>
              </w:rPr>
              <w:t xml:space="preserve">radycardia, hypotension, endotracheal tube blockage and oxygen desaturation. These </w:t>
            </w:r>
            <w:r>
              <w:rPr>
                <w:sz w:val="20"/>
              </w:rPr>
              <w:t>events require stopping poractant alpha</w:t>
            </w:r>
            <w:r w:rsidRPr="00D57A8A">
              <w:rPr>
                <w:sz w:val="20"/>
              </w:rPr>
              <w:t xml:space="preserve"> administration and taking appropriate measures to alleviate the condition. After the patient is stable, dosing may proceed with appropriate monitoring. Ventilator settings may need to be adjusted post-surfactant to accommodate increased lung compliance.</w:t>
            </w:r>
          </w:p>
        </w:tc>
      </w:tr>
      <w:tr w:rsidRPr="00D57A8A" w:rsidR="00273A16" w:rsidTr="77BEE3D0" w14:paraId="404957CC" w14:textId="77777777">
        <w:trPr>
          <w:trHeight w:val="180"/>
        </w:trPr>
        <w:tc>
          <w:tcPr>
            <w:tcW w:w="1702" w:type="dxa"/>
          </w:tcPr>
          <w:p w:rsidRPr="00B53E9B" w:rsidR="00CF2971" w:rsidP="0010214E" w:rsidRDefault="00CF2971" w14:paraId="11A14B72" w14:textId="77777777">
            <w:pPr>
              <w:pStyle w:val="BodyText"/>
              <w:rPr>
                <w:rFonts w:cs="Arial"/>
                <w:b/>
                <w:bCs/>
                <w:sz w:val="20"/>
              </w:rPr>
            </w:pPr>
            <w:r w:rsidRPr="00B53E9B">
              <w:rPr>
                <w:rFonts w:cs="Arial"/>
                <w:b/>
                <w:bCs/>
                <w:sz w:val="20"/>
              </w:rPr>
              <w:t>Compatibility</w:t>
            </w:r>
          </w:p>
        </w:tc>
        <w:tc>
          <w:tcPr>
            <w:tcW w:w="8533" w:type="dxa"/>
          </w:tcPr>
          <w:p w:rsidRPr="00D57A8A" w:rsidR="00CF2971" w:rsidP="0010214E" w:rsidRDefault="00CF2971" w14:paraId="73D7FE72" w14:textId="77777777">
            <w:pPr>
              <w:pStyle w:val="BodyText"/>
              <w:rPr>
                <w:sz w:val="20"/>
              </w:rPr>
            </w:pPr>
            <w:r>
              <w:rPr>
                <w:sz w:val="20"/>
              </w:rPr>
              <w:t>S</w:t>
            </w:r>
            <w:r w:rsidRPr="00D57A8A">
              <w:rPr>
                <w:sz w:val="20"/>
              </w:rPr>
              <w:t>hould not be mixed with any other medications or fluids.</w:t>
            </w:r>
          </w:p>
        </w:tc>
      </w:tr>
      <w:tr w:rsidRPr="00C22956" w:rsidR="00273A16" w:rsidTr="77BEE3D0" w14:paraId="2A357B59" w14:textId="77777777">
        <w:trPr>
          <w:trHeight w:val="230"/>
        </w:trPr>
        <w:tc>
          <w:tcPr>
            <w:tcW w:w="1702" w:type="dxa"/>
          </w:tcPr>
          <w:p w:rsidRPr="00B53E9B" w:rsidR="00CF2971" w:rsidP="0010214E" w:rsidRDefault="00CF2971" w14:paraId="58B9F4AA" w14:textId="77777777">
            <w:pPr>
              <w:pStyle w:val="BodyText"/>
              <w:rPr>
                <w:rFonts w:cs="Arial"/>
                <w:b/>
                <w:bCs/>
                <w:sz w:val="20"/>
              </w:rPr>
            </w:pPr>
            <w:r w:rsidRPr="00B53E9B">
              <w:rPr>
                <w:rFonts w:cs="Arial"/>
                <w:b/>
                <w:bCs/>
                <w:sz w:val="20"/>
              </w:rPr>
              <w:t>Incompatibility</w:t>
            </w:r>
          </w:p>
        </w:tc>
        <w:tc>
          <w:tcPr>
            <w:tcW w:w="8533" w:type="dxa"/>
          </w:tcPr>
          <w:p w:rsidRPr="00C22956" w:rsidR="00CF2971" w:rsidP="0010214E" w:rsidRDefault="00CF2971" w14:paraId="70EC0981" w14:textId="77777777">
            <w:pPr>
              <w:pStyle w:val="BodyText"/>
              <w:rPr>
                <w:rFonts w:cs="Arial"/>
                <w:sz w:val="20"/>
              </w:rPr>
            </w:pPr>
            <w:r>
              <w:rPr>
                <w:rFonts w:cs="Arial"/>
                <w:sz w:val="20"/>
              </w:rPr>
              <w:t>Not applicable</w:t>
            </w:r>
          </w:p>
        </w:tc>
      </w:tr>
      <w:tr w:rsidRPr="00D57A8A" w:rsidR="00273A16" w:rsidTr="77BEE3D0" w14:paraId="77A77CAF" w14:textId="77777777">
        <w:trPr>
          <w:trHeight w:val="79"/>
        </w:trPr>
        <w:tc>
          <w:tcPr>
            <w:tcW w:w="1702" w:type="dxa"/>
          </w:tcPr>
          <w:p w:rsidRPr="00B53E9B" w:rsidR="00CF2971" w:rsidP="0010214E" w:rsidRDefault="00CF2971" w14:paraId="60C9C4F2" w14:textId="77777777">
            <w:pPr>
              <w:pStyle w:val="BodyText"/>
              <w:rPr>
                <w:rFonts w:cs="Arial"/>
                <w:b/>
                <w:bCs/>
                <w:sz w:val="20"/>
              </w:rPr>
            </w:pPr>
            <w:r w:rsidRPr="00B53E9B">
              <w:rPr>
                <w:rFonts w:cs="Arial"/>
                <w:b/>
                <w:bCs/>
                <w:sz w:val="20"/>
              </w:rPr>
              <w:t>Stability</w:t>
            </w:r>
          </w:p>
        </w:tc>
        <w:tc>
          <w:tcPr>
            <w:tcW w:w="8533" w:type="dxa"/>
          </w:tcPr>
          <w:p w:rsidRPr="00D57A8A" w:rsidR="00CF2971" w:rsidP="0010214E" w:rsidRDefault="00CF2971" w14:paraId="379559EC" w14:textId="77777777">
            <w:pPr>
              <w:pStyle w:val="BodyText"/>
              <w:rPr>
                <w:rFonts w:cs="Arial"/>
                <w:sz w:val="20"/>
              </w:rPr>
            </w:pPr>
            <w:r w:rsidRPr="00D57A8A">
              <w:rPr>
                <w:sz w:val="20"/>
              </w:rPr>
              <w:t xml:space="preserve">Vials are for single use only. DO NOT SHAKE. </w:t>
            </w:r>
            <w:r w:rsidRPr="00D57A8A">
              <w:rPr>
                <w:sz w:val="20"/>
              </w:rPr>
              <w:br/>
            </w:r>
            <w:r w:rsidRPr="00D57A8A">
              <w:rPr>
                <w:sz w:val="20"/>
              </w:rPr>
              <w:t>Unopened, unused vials that have warmed to room temperature can be returned to refrigerated storage within 24 hours for future use. Document on the packaging the date and time the product was removed from the fridge. Notify Pharmacy Department/NICU Pharmacist if this occurs. Do not warm to room temperature and return to refrigerated storage more than once.</w:t>
            </w:r>
          </w:p>
        </w:tc>
      </w:tr>
      <w:tr w:rsidRPr="000217D2" w:rsidR="00273A16" w:rsidTr="77BEE3D0" w14:paraId="1842274E" w14:textId="77777777">
        <w:trPr>
          <w:trHeight w:val="70"/>
        </w:trPr>
        <w:tc>
          <w:tcPr>
            <w:tcW w:w="1702" w:type="dxa"/>
          </w:tcPr>
          <w:p w:rsidRPr="00B53E9B" w:rsidR="00CF2971" w:rsidP="0010214E" w:rsidRDefault="00CF2971" w14:paraId="6F67507D" w14:textId="77777777">
            <w:pPr>
              <w:pStyle w:val="BodyText"/>
              <w:rPr>
                <w:rFonts w:cs="Arial"/>
                <w:b/>
                <w:bCs/>
                <w:sz w:val="20"/>
              </w:rPr>
            </w:pPr>
            <w:r w:rsidRPr="00B53E9B">
              <w:rPr>
                <w:rFonts w:cs="Arial"/>
                <w:b/>
                <w:bCs/>
                <w:sz w:val="20"/>
              </w:rPr>
              <w:t xml:space="preserve">Storage </w:t>
            </w:r>
          </w:p>
        </w:tc>
        <w:tc>
          <w:tcPr>
            <w:tcW w:w="8533" w:type="dxa"/>
          </w:tcPr>
          <w:p w:rsidRPr="000217D2" w:rsidR="00CF2971" w:rsidP="0010214E" w:rsidRDefault="00CF2971" w14:paraId="6987C29E" w14:textId="77777777">
            <w:pPr>
              <w:pStyle w:val="BodyText"/>
              <w:rPr>
                <w:rFonts w:cs="Arial"/>
                <w:sz w:val="20"/>
              </w:rPr>
            </w:pPr>
            <w:r>
              <w:rPr>
                <w:sz w:val="20"/>
              </w:rPr>
              <w:t>Store at 2−</w:t>
            </w:r>
            <w:r w:rsidRPr="000217D2">
              <w:rPr>
                <w:sz w:val="20"/>
              </w:rPr>
              <w:t>8°C. Protect from light.</w:t>
            </w:r>
          </w:p>
        </w:tc>
      </w:tr>
      <w:tr w:rsidRPr="00026F20" w:rsidR="00273A16" w:rsidTr="77BEE3D0" w14:paraId="4D2510CC" w14:textId="77777777">
        <w:trPr>
          <w:trHeight w:val="70"/>
        </w:trPr>
        <w:tc>
          <w:tcPr>
            <w:tcW w:w="1702" w:type="dxa"/>
          </w:tcPr>
          <w:p w:rsidRPr="00B53E9B" w:rsidR="00CF2971" w:rsidP="0010214E" w:rsidRDefault="00CF2971" w14:paraId="3CEA9123" w14:textId="77777777">
            <w:pPr>
              <w:pStyle w:val="BodyText"/>
              <w:rPr>
                <w:rFonts w:cs="Arial"/>
                <w:b/>
                <w:bCs/>
                <w:sz w:val="20"/>
              </w:rPr>
            </w:pPr>
            <w:r w:rsidRPr="00B53E9B">
              <w:rPr>
                <w:rFonts w:cs="Arial"/>
                <w:b/>
                <w:bCs/>
                <w:sz w:val="20"/>
              </w:rPr>
              <w:t>Excipients</w:t>
            </w:r>
          </w:p>
        </w:tc>
        <w:tc>
          <w:tcPr>
            <w:tcW w:w="8533" w:type="dxa"/>
          </w:tcPr>
          <w:p w:rsidRPr="00026F20" w:rsidR="00CF2971" w:rsidP="0010214E" w:rsidRDefault="00CF2971" w14:paraId="0DCEAF3B" w14:textId="77777777">
            <w:pPr>
              <w:pStyle w:val="BodyText"/>
              <w:rPr>
                <w:rFonts w:cs="Arial"/>
                <w:sz w:val="20"/>
              </w:rPr>
            </w:pPr>
          </w:p>
        </w:tc>
      </w:tr>
      <w:tr w:rsidRPr="000217D2" w:rsidR="00273A16" w:rsidTr="77BEE3D0" w14:paraId="292505AB" w14:textId="77777777">
        <w:trPr>
          <w:trHeight w:val="270"/>
        </w:trPr>
        <w:tc>
          <w:tcPr>
            <w:tcW w:w="1702" w:type="dxa"/>
          </w:tcPr>
          <w:p w:rsidRPr="00B53E9B" w:rsidR="00CF2971" w:rsidP="0010214E" w:rsidRDefault="00CF2971" w14:paraId="22023BF3"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533" w:type="dxa"/>
          </w:tcPr>
          <w:p w:rsidRPr="000217D2" w:rsidR="00CF2971" w:rsidP="0010214E" w:rsidRDefault="00CF2971" w14:paraId="4AC2AAF3" w14:textId="77777777">
            <w:pPr>
              <w:pStyle w:val="BodyText"/>
              <w:rPr>
                <w:rFonts w:cs="Arial"/>
                <w:sz w:val="20"/>
              </w:rPr>
            </w:pPr>
            <w:r w:rsidRPr="000217D2">
              <w:rPr>
                <w:sz w:val="20"/>
              </w:rPr>
              <w:t xml:space="preserve">Surfactant may alter </w:t>
            </w:r>
            <w:r w:rsidRPr="00096954">
              <w:rPr>
                <w:sz w:val="20"/>
              </w:rPr>
              <w:t>amplitude-integrated electroencephalography</w:t>
            </w:r>
            <w:r w:rsidRPr="000217D2">
              <w:rPr>
                <w:sz w:val="20"/>
              </w:rPr>
              <w:t xml:space="preserve"> </w:t>
            </w:r>
            <w:r>
              <w:rPr>
                <w:sz w:val="20"/>
              </w:rPr>
              <w:t>(</w:t>
            </w:r>
            <w:r w:rsidRPr="000217D2">
              <w:rPr>
                <w:sz w:val="20"/>
              </w:rPr>
              <w:t>aEEG</w:t>
            </w:r>
            <w:r>
              <w:rPr>
                <w:sz w:val="20"/>
              </w:rPr>
              <w:t>)</w:t>
            </w:r>
            <w:r w:rsidRPr="000217D2">
              <w:rPr>
                <w:sz w:val="20"/>
              </w:rPr>
              <w:t xml:space="preserve"> recordings after administration.</w:t>
            </w:r>
          </w:p>
        </w:tc>
      </w:tr>
      <w:tr w:rsidRPr="00D57A8A" w:rsidR="00273A16" w:rsidTr="77BEE3D0" w14:paraId="2FC54C38" w14:textId="77777777">
        <w:trPr>
          <w:trHeight w:val="280"/>
        </w:trPr>
        <w:tc>
          <w:tcPr>
            <w:tcW w:w="1702" w:type="dxa"/>
          </w:tcPr>
          <w:p w:rsidRPr="00B53E9B" w:rsidR="00CF2971" w:rsidP="0010214E" w:rsidRDefault="00CF2971" w14:paraId="0C573F5A" w14:textId="77777777">
            <w:pPr>
              <w:pStyle w:val="BodyText"/>
              <w:rPr>
                <w:rFonts w:cs="Arial"/>
                <w:b/>
                <w:bCs/>
                <w:sz w:val="20"/>
              </w:rPr>
            </w:pPr>
            <w:r w:rsidRPr="00B53E9B">
              <w:rPr>
                <w:rFonts w:cs="Arial"/>
                <w:b/>
                <w:bCs/>
                <w:sz w:val="20"/>
              </w:rPr>
              <w:t>Evidence</w:t>
            </w:r>
          </w:p>
        </w:tc>
        <w:tc>
          <w:tcPr>
            <w:tcW w:w="8533" w:type="dxa"/>
          </w:tcPr>
          <w:p w:rsidRPr="00267655" w:rsidR="00CF2971" w:rsidP="0010214E" w:rsidRDefault="00CF2971" w14:paraId="0A260517" w14:textId="77777777">
            <w:pPr>
              <w:pStyle w:val="BodyText"/>
              <w:tabs>
                <w:tab w:val="left" w:pos="1168"/>
              </w:tabs>
              <w:rPr>
                <w:sz w:val="16"/>
                <w:szCs w:val="16"/>
              </w:rPr>
            </w:pPr>
            <w:r w:rsidRPr="00267655">
              <w:rPr>
                <w:b/>
                <w:sz w:val="16"/>
                <w:szCs w:val="16"/>
              </w:rPr>
              <w:t>Early versus delayed surfactant treatment</w:t>
            </w:r>
            <w:r w:rsidRPr="00267655">
              <w:rPr>
                <w:sz w:val="16"/>
                <w:szCs w:val="16"/>
              </w:rPr>
              <w:t xml:space="preserve"> </w:t>
            </w:r>
          </w:p>
          <w:p w:rsidRPr="00267655" w:rsidR="00CF2971" w:rsidP="0010214E" w:rsidRDefault="00CF2971" w14:paraId="6F9DE8F8" w14:textId="77777777">
            <w:pPr>
              <w:pStyle w:val="BodyText"/>
              <w:tabs>
                <w:tab w:val="left" w:pos="1168"/>
              </w:tabs>
              <w:rPr>
                <w:b/>
                <w:sz w:val="16"/>
                <w:szCs w:val="16"/>
              </w:rPr>
            </w:pPr>
            <w:r w:rsidRPr="00267655">
              <w:rPr>
                <w:sz w:val="16"/>
                <w:szCs w:val="16"/>
              </w:rPr>
              <w:t>Early selective surfactant administration given to infants with RDS requiring assisted ventilation leads to a decreased risk of acute pulmonary injury (decreased risk of pneumothorax and pulmonary interstitial emphysema) and a decreased risk of neonatal mortality and chronic lung disease compared to delaying treatment of such infants until they develop worsening RDS</w:t>
            </w:r>
            <w:r w:rsidRPr="00267655">
              <w:rPr>
                <w:sz w:val="16"/>
                <w:szCs w:val="16"/>
                <w:vertAlign w:val="superscript"/>
              </w:rPr>
              <w:t xml:space="preserve"> 4, 5</w:t>
            </w:r>
            <w:r w:rsidRPr="00267655">
              <w:rPr>
                <w:sz w:val="16"/>
                <w:szCs w:val="16"/>
              </w:rPr>
              <w:t xml:space="preserve"> (LOE I, A).</w:t>
            </w:r>
            <w:r w:rsidRPr="00267655">
              <w:rPr>
                <w:sz w:val="16"/>
                <w:szCs w:val="16"/>
              </w:rPr>
              <w:br/>
            </w:r>
            <w:r w:rsidRPr="00267655">
              <w:rPr>
                <w:sz w:val="16"/>
                <w:szCs w:val="16"/>
              </w:rPr>
              <w:br/>
            </w:r>
            <w:r w:rsidRPr="00267655">
              <w:rPr>
                <w:b/>
                <w:sz w:val="16"/>
                <w:szCs w:val="16"/>
              </w:rPr>
              <w:t>Prophylaxis versus rescue treatment</w:t>
            </w:r>
          </w:p>
          <w:p w:rsidRPr="00267655" w:rsidR="00CF2971" w:rsidP="0010214E" w:rsidRDefault="00CF2971" w14:paraId="17FF52FB" w14:textId="77777777">
            <w:pPr>
              <w:pStyle w:val="BodyText"/>
              <w:tabs>
                <w:tab w:val="left" w:pos="1168"/>
              </w:tabs>
              <w:rPr>
                <w:sz w:val="16"/>
                <w:szCs w:val="16"/>
              </w:rPr>
            </w:pPr>
            <w:r w:rsidRPr="00267655">
              <w:rPr>
                <w:sz w:val="16"/>
                <w:szCs w:val="16"/>
              </w:rPr>
              <w:t xml:space="preserve">There does not appear to be additional benefit from prophylactic surfactant compared to nasal CPAP and early rescue surfactant </w:t>
            </w:r>
            <w:r w:rsidRPr="00267655">
              <w:rPr>
                <w:sz w:val="16"/>
                <w:szCs w:val="16"/>
                <w:vertAlign w:val="superscript"/>
              </w:rPr>
              <w:t>4, 6</w:t>
            </w:r>
            <w:r w:rsidRPr="00267655">
              <w:rPr>
                <w:sz w:val="16"/>
                <w:szCs w:val="16"/>
              </w:rPr>
              <w:t xml:space="preserve"> (LOE I, GOR B). </w:t>
            </w:r>
            <w:r w:rsidRPr="00267655">
              <w:rPr>
                <w:sz w:val="16"/>
                <w:szCs w:val="16"/>
              </w:rPr>
              <w:br/>
            </w:r>
            <w:r w:rsidRPr="00267655">
              <w:rPr>
                <w:sz w:val="16"/>
                <w:szCs w:val="16"/>
              </w:rPr>
              <w:br/>
            </w:r>
            <w:r w:rsidRPr="00267655">
              <w:rPr>
                <w:b/>
                <w:sz w:val="16"/>
                <w:szCs w:val="16"/>
              </w:rPr>
              <w:t>Method of administration</w:t>
            </w:r>
            <w:r w:rsidRPr="00267655">
              <w:rPr>
                <w:sz w:val="16"/>
                <w:szCs w:val="16"/>
              </w:rPr>
              <w:t xml:space="preserve"> </w:t>
            </w:r>
          </w:p>
          <w:p w:rsidRPr="00267655" w:rsidR="00CF2971" w:rsidP="0010214E" w:rsidRDefault="00CF2971" w14:paraId="391F156A" w14:textId="77777777">
            <w:pPr>
              <w:pStyle w:val="BodyText"/>
              <w:tabs>
                <w:tab w:val="left" w:pos="1168"/>
              </w:tabs>
              <w:rPr>
                <w:sz w:val="16"/>
                <w:szCs w:val="16"/>
              </w:rPr>
            </w:pPr>
            <w:r w:rsidRPr="00267655">
              <w:rPr>
                <w:sz w:val="16"/>
                <w:szCs w:val="16"/>
              </w:rPr>
              <w:t xml:space="preserve">Post-ventilatory surfactant (after resuscitation) reduces mortality and chronic lung disease 36-40 weeks </w:t>
            </w:r>
            <w:r w:rsidRPr="00267655">
              <w:rPr>
                <w:sz w:val="16"/>
                <w:szCs w:val="16"/>
                <w:vertAlign w:val="superscript"/>
              </w:rPr>
              <w:t>7</w:t>
            </w:r>
            <w:r w:rsidRPr="00267655">
              <w:rPr>
                <w:sz w:val="16"/>
                <w:szCs w:val="16"/>
              </w:rPr>
              <w:t xml:space="preserve"> (LOE II, GOR B).</w:t>
            </w:r>
            <w:r w:rsidRPr="00267655">
              <w:rPr>
                <w:sz w:val="16"/>
                <w:szCs w:val="16"/>
              </w:rPr>
              <w:br/>
            </w:r>
            <w:r w:rsidRPr="00267655">
              <w:rPr>
                <w:sz w:val="16"/>
                <w:szCs w:val="16"/>
              </w:rPr>
              <w:br/>
            </w:r>
            <w:r w:rsidRPr="00267655">
              <w:rPr>
                <w:sz w:val="16"/>
                <w:szCs w:val="16"/>
              </w:rPr>
              <w:t xml:space="preserve">Nasal continuous positive airway pressure (nCPAP) with rescue thin catheter surfactant versus nCPAP with rescue intubation and surfactant reduces the risk of intubation and pneumothorax and reduces the incidence of chronic lung disease </w:t>
            </w:r>
            <w:r w:rsidRPr="00267655">
              <w:rPr>
                <w:sz w:val="16"/>
                <w:szCs w:val="16"/>
                <w:vertAlign w:val="superscript"/>
              </w:rPr>
              <w:t>8-12</w:t>
            </w:r>
            <w:r w:rsidRPr="00267655">
              <w:rPr>
                <w:sz w:val="16"/>
                <w:szCs w:val="16"/>
              </w:rPr>
              <w:t xml:space="preserve"> (LOE I, GOR B).</w:t>
            </w:r>
            <w:r w:rsidRPr="00267655">
              <w:rPr>
                <w:sz w:val="16"/>
                <w:szCs w:val="16"/>
              </w:rPr>
              <w:br/>
            </w:r>
            <w:r w:rsidRPr="00267655">
              <w:rPr>
                <w:sz w:val="16"/>
                <w:szCs w:val="16"/>
              </w:rPr>
              <w:br/>
            </w:r>
            <w:r w:rsidRPr="00267655">
              <w:rPr>
                <w:sz w:val="16"/>
                <w:szCs w:val="16"/>
              </w:rPr>
              <w:t xml:space="preserve">Nasal CPAP with rescue thin catheter surfactant is better tolerated than nCPAP with rescue intubation and surfactant and immediate extubation (InSurE) with no difference in other clinical outcomes </w:t>
            </w:r>
            <w:r w:rsidRPr="00267655">
              <w:rPr>
                <w:sz w:val="16"/>
                <w:szCs w:val="16"/>
                <w:vertAlign w:val="superscript"/>
              </w:rPr>
              <w:t xml:space="preserve">10-12 </w:t>
            </w:r>
            <w:r w:rsidRPr="00267655">
              <w:rPr>
                <w:sz w:val="16"/>
                <w:szCs w:val="16"/>
              </w:rPr>
              <w:t>(LOE I, GOR B).</w:t>
            </w:r>
            <w:r w:rsidRPr="00267655">
              <w:rPr>
                <w:sz w:val="16"/>
                <w:szCs w:val="16"/>
              </w:rPr>
              <w:br/>
            </w:r>
            <w:r w:rsidRPr="00267655">
              <w:rPr>
                <w:sz w:val="16"/>
                <w:szCs w:val="16"/>
              </w:rPr>
              <w:br/>
            </w:r>
            <w:r w:rsidRPr="00267655">
              <w:rPr>
                <w:b/>
                <w:sz w:val="16"/>
                <w:szCs w:val="16"/>
              </w:rPr>
              <w:t>Dose</w:t>
            </w:r>
            <w:r w:rsidRPr="00267655">
              <w:rPr>
                <w:sz w:val="16"/>
                <w:szCs w:val="16"/>
              </w:rPr>
              <w:t xml:space="preserve"> </w:t>
            </w:r>
          </w:p>
          <w:p w:rsidRPr="00D57A8A" w:rsidR="00CF2971" w:rsidP="0010214E" w:rsidRDefault="00CF2971" w14:paraId="7885601E" w14:textId="77777777">
            <w:pPr>
              <w:pStyle w:val="BodyText"/>
              <w:tabs>
                <w:tab w:val="left" w:pos="1168"/>
              </w:tabs>
              <w:rPr>
                <w:rFonts w:cs="Arial"/>
                <w:sz w:val="20"/>
              </w:rPr>
            </w:pPr>
            <w:r w:rsidRPr="00267655">
              <w:rPr>
                <w:sz w:val="16"/>
                <w:szCs w:val="16"/>
              </w:rPr>
              <w:t xml:space="preserve">Higher first dose poractant (200 mg/kg compared to 100 mg/kg) reduces need for re-dosing without proven clinical benefit </w:t>
            </w:r>
            <w:r w:rsidRPr="00267655">
              <w:rPr>
                <w:sz w:val="16"/>
                <w:szCs w:val="16"/>
                <w:vertAlign w:val="superscript"/>
              </w:rPr>
              <w:t>13,14</w:t>
            </w:r>
            <w:r w:rsidRPr="00267655">
              <w:rPr>
                <w:sz w:val="16"/>
                <w:szCs w:val="16"/>
              </w:rPr>
              <w:t xml:space="preserve"> (LOE 1, GOR B). Higher dose poractant 200 mg/kg compared to lower dose beractant 100 mg/kg reduces mortality and need for re-dosing </w:t>
            </w:r>
            <w:r w:rsidRPr="00267655">
              <w:rPr>
                <w:sz w:val="16"/>
                <w:szCs w:val="16"/>
                <w:vertAlign w:val="superscript"/>
              </w:rPr>
              <w:t>15-17</w:t>
            </w:r>
            <w:r w:rsidRPr="00267655">
              <w:rPr>
                <w:sz w:val="16"/>
                <w:szCs w:val="16"/>
              </w:rPr>
              <w:t xml:space="preserve"> (LOE 1, GOR B).</w:t>
            </w:r>
            <w:r w:rsidRPr="00267655">
              <w:rPr>
                <w:sz w:val="16"/>
                <w:szCs w:val="16"/>
              </w:rPr>
              <w:br/>
            </w:r>
            <w:r w:rsidRPr="00267655">
              <w:rPr>
                <w:sz w:val="16"/>
                <w:szCs w:val="16"/>
              </w:rPr>
              <w:br/>
            </w:r>
            <w:r w:rsidRPr="00267655">
              <w:rPr>
                <w:sz w:val="16"/>
                <w:szCs w:val="16"/>
              </w:rPr>
              <w:t xml:space="preserve">Multiple doses of surfactant (up to 4) given to infants with ongoing respiratory insufficiency leads to improved clinical outcomes </w:t>
            </w:r>
            <w:r w:rsidRPr="00267655">
              <w:rPr>
                <w:sz w:val="16"/>
                <w:szCs w:val="16"/>
                <w:vertAlign w:val="superscript"/>
              </w:rPr>
              <w:t>18</w:t>
            </w:r>
            <w:r w:rsidRPr="00267655">
              <w:rPr>
                <w:sz w:val="16"/>
                <w:szCs w:val="16"/>
              </w:rPr>
              <w:t xml:space="preserve"> (LOE 1, GOR A).</w:t>
            </w:r>
            <w:r w:rsidRPr="00267655">
              <w:rPr>
                <w:sz w:val="16"/>
                <w:szCs w:val="16"/>
              </w:rPr>
              <w:br/>
            </w:r>
            <w:r w:rsidRPr="00267655">
              <w:rPr>
                <w:sz w:val="16"/>
                <w:szCs w:val="16"/>
              </w:rPr>
              <w:lastRenderedPageBreak/>
              <w:br/>
            </w:r>
            <w:r w:rsidRPr="00267655">
              <w:rPr>
                <w:sz w:val="16"/>
                <w:szCs w:val="16"/>
              </w:rPr>
              <w:t xml:space="preserve">Meconium aspiration syndrome: Surfactant replacement therapy for meconium aspiration syndrome reduces the incidence of respiratory failure </w:t>
            </w:r>
            <w:r w:rsidRPr="00267655">
              <w:rPr>
                <w:sz w:val="16"/>
                <w:szCs w:val="16"/>
                <w:vertAlign w:val="superscript"/>
              </w:rPr>
              <w:t>19</w:t>
            </w:r>
            <w:r w:rsidRPr="00267655">
              <w:rPr>
                <w:sz w:val="16"/>
                <w:szCs w:val="16"/>
              </w:rPr>
              <w:t xml:space="preserve"> (LOE 1, GOR B). Trials used surfactant 100−200 mg/kg every 6 hours up to a maximum 4 doses. Trials reported response from earlier (before 6 hours) and frequent surfactant replacement (every 6 hours for 3−4 doses) </w:t>
            </w:r>
            <w:r w:rsidRPr="00267655">
              <w:rPr>
                <w:sz w:val="16"/>
                <w:szCs w:val="16"/>
                <w:vertAlign w:val="superscript"/>
              </w:rPr>
              <w:t>20, 21</w:t>
            </w:r>
            <w:r w:rsidRPr="00267655">
              <w:rPr>
                <w:sz w:val="16"/>
                <w:szCs w:val="16"/>
              </w:rPr>
              <w:t>.</w:t>
            </w:r>
            <w:r w:rsidRPr="00D57A8A">
              <w:rPr>
                <w:sz w:val="20"/>
              </w:rPr>
              <w:t xml:space="preserve"> </w:t>
            </w:r>
          </w:p>
        </w:tc>
      </w:tr>
      <w:tr w:rsidRPr="00026F20" w:rsidR="00273A16" w:rsidTr="77BEE3D0" w14:paraId="40E9DDE7" w14:textId="77777777">
        <w:trPr>
          <w:trHeight w:val="108"/>
        </w:trPr>
        <w:tc>
          <w:tcPr>
            <w:tcW w:w="1702" w:type="dxa"/>
          </w:tcPr>
          <w:p w:rsidRPr="00B53E9B" w:rsidR="00CF2971" w:rsidP="0010214E" w:rsidRDefault="00CF2971" w14:paraId="3F09DAC8" w14:textId="77777777">
            <w:pPr>
              <w:pStyle w:val="BodyText"/>
              <w:rPr>
                <w:rFonts w:cs="Arial"/>
                <w:b/>
                <w:bCs/>
                <w:sz w:val="20"/>
              </w:rPr>
            </w:pPr>
            <w:r w:rsidRPr="00B53E9B">
              <w:rPr>
                <w:rFonts w:cs="Arial"/>
                <w:b/>
                <w:bCs/>
                <w:sz w:val="20"/>
              </w:rPr>
              <w:lastRenderedPageBreak/>
              <w:t>Practice points</w:t>
            </w:r>
          </w:p>
        </w:tc>
        <w:tc>
          <w:tcPr>
            <w:tcW w:w="8533" w:type="dxa"/>
          </w:tcPr>
          <w:p w:rsidRPr="00026F20" w:rsidR="00CF2971" w:rsidP="0010214E" w:rsidRDefault="00CF2971" w14:paraId="781B0DB5" w14:textId="77777777">
            <w:pPr>
              <w:pStyle w:val="BodyText"/>
              <w:tabs>
                <w:tab w:val="left" w:pos="1168"/>
              </w:tabs>
              <w:rPr>
                <w:rFonts w:cs="Arial"/>
                <w:sz w:val="20"/>
              </w:rPr>
            </w:pPr>
          </w:p>
        </w:tc>
      </w:tr>
      <w:tr w:rsidRPr="00D57A8A" w:rsidR="00273A16" w:rsidTr="77BEE3D0" w14:paraId="621FF7A8" w14:textId="77777777">
        <w:trPr>
          <w:trHeight w:val="70"/>
        </w:trPr>
        <w:tc>
          <w:tcPr>
            <w:tcW w:w="1702" w:type="dxa"/>
          </w:tcPr>
          <w:p w:rsidRPr="00B53E9B" w:rsidR="00CF2971" w:rsidP="0010214E" w:rsidRDefault="00CF2971" w14:paraId="66F2B837" w14:textId="77777777">
            <w:pPr>
              <w:pStyle w:val="BodyText"/>
              <w:rPr>
                <w:rFonts w:cs="Arial"/>
                <w:b/>
                <w:bCs/>
                <w:sz w:val="20"/>
              </w:rPr>
            </w:pPr>
            <w:r w:rsidRPr="00B53E9B">
              <w:rPr>
                <w:b/>
                <w:sz w:val="20"/>
              </w:rPr>
              <w:t>References</w:t>
            </w:r>
          </w:p>
        </w:tc>
        <w:tc>
          <w:tcPr>
            <w:tcW w:w="8533" w:type="dxa"/>
          </w:tcPr>
          <w:p w:rsidRPr="00D57A8A" w:rsidR="00CF2971" w:rsidP="0010214E" w:rsidRDefault="00CF2971" w14:paraId="0891F2E5" w14:textId="77777777">
            <w:pPr>
              <w:rPr>
                <w:sz w:val="20"/>
              </w:rPr>
            </w:pPr>
            <w:r w:rsidRPr="00267655">
              <w:rPr>
                <w:sz w:val="16"/>
                <w:szCs w:val="16"/>
              </w:rPr>
              <w:t>1. Thomson Reuters, Neofax 2011, Poractant Alfa Monograph, page 308-309.</w:t>
            </w:r>
            <w:r w:rsidRPr="00267655">
              <w:rPr>
                <w:sz w:val="16"/>
                <w:szCs w:val="16"/>
              </w:rPr>
              <w:br/>
            </w:r>
            <w:r w:rsidRPr="00267655">
              <w:rPr>
                <w:sz w:val="16"/>
                <w:szCs w:val="16"/>
              </w:rPr>
              <w:t>2. Hey E. Neonatal Formulary 6, 2011, Surfactants, page 248–249.</w:t>
            </w:r>
            <w:r w:rsidRPr="00267655">
              <w:rPr>
                <w:sz w:val="16"/>
                <w:szCs w:val="16"/>
              </w:rPr>
              <w:br/>
            </w:r>
            <w:r w:rsidRPr="00267655">
              <w:rPr>
                <w:sz w:val="16"/>
                <w:szCs w:val="16"/>
              </w:rPr>
              <w:t>3. MIMS, Curosurf Product Information, 2010, Ascent Pharma.</w:t>
            </w:r>
            <w:r w:rsidRPr="00267655">
              <w:rPr>
                <w:sz w:val="16"/>
                <w:szCs w:val="16"/>
              </w:rPr>
              <w:br/>
            </w:r>
            <w:r w:rsidRPr="00267655">
              <w:rPr>
                <w:sz w:val="16"/>
                <w:szCs w:val="16"/>
              </w:rPr>
              <w:t>4. Sweet et al. European Consensus Guidelines on the Management of Neonatal Respiratory Distress Syndrome in Preterm Infants – 2013 Update, Neonatology 2013;103:353–368.</w:t>
            </w:r>
            <w:r w:rsidRPr="00267655">
              <w:rPr>
                <w:sz w:val="16"/>
                <w:szCs w:val="16"/>
              </w:rPr>
              <w:br/>
            </w:r>
            <w:r w:rsidRPr="00267655">
              <w:rPr>
                <w:sz w:val="16"/>
                <w:szCs w:val="16"/>
              </w:rPr>
              <w:t xml:space="preserve">5. Soll R, Özek E. Prophylactic animal derived surfactant extract for preventing morbidity and mortality in preterm infants. Cochrane Database of Systematic Reviews 1997, Issue 4. Art. No.: CD000511. DOI: 10.1002/14651858.CD000511. </w:t>
            </w:r>
            <w:r w:rsidRPr="00267655">
              <w:rPr>
                <w:sz w:val="16"/>
                <w:szCs w:val="16"/>
              </w:rPr>
              <w:br/>
            </w:r>
            <w:r w:rsidRPr="00267655">
              <w:rPr>
                <w:sz w:val="16"/>
                <w:szCs w:val="16"/>
              </w:rPr>
              <w:t>6. Bahadue FL, Soll R. Early versus delayed selective surfactant treatment for neonatal respiratory distress syndrome. Cochrane Database of Systematic Reviews 2012, Issue 11. Art. No.: CD001456. DOI: 10.1002/14651858.CD001456.pub2.</w:t>
            </w:r>
            <w:r w:rsidRPr="00267655">
              <w:rPr>
                <w:sz w:val="16"/>
                <w:szCs w:val="16"/>
              </w:rPr>
              <w:br/>
            </w:r>
            <w:r w:rsidRPr="00267655">
              <w:rPr>
                <w:sz w:val="16"/>
                <w:szCs w:val="16"/>
              </w:rPr>
              <w:t>7. Singh N, Hawley KL, Viswanathan K: Efficacy of porcine versus bovine surfactants for preterm</w:t>
            </w:r>
            <w:r w:rsidRPr="00D57A8A">
              <w:rPr>
                <w:sz w:val="20"/>
              </w:rPr>
              <w:t xml:space="preserve"> newborns with </w:t>
            </w:r>
            <w:r w:rsidRPr="00267655">
              <w:rPr>
                <w:sz w:val="16"/>
                <w:szCs w:val="16"/>
              </w:rPr>
              <w:t>respiratory distress syndrome: systematic review and meta-analysis. Pediatrics 2011; 128:e1588–e1595.</w:t>
            </w:r>
            <w:r w:rsidRPr="00267655">
              <w:rPr>
                <w:sz w:val="16"/>
                <w:szCs w:val="16"/>
              </w:rPr>
              <w:br/>
            </w:r>
            <w:r w:rsidRPr="00267655">
              <w:rPr>
                <w:sz w:val="16"/>
                <w:szCs w:val="16"/>
              </w:rPr>
              <w:t>8. Rojas-Reyes MX, Morley CJ, Soll R: Prophylactic versus selective use of surfactant in preventing morbidity and mortality in preterm infants. Cochrane Database of Systematic Reviews 2012:CD000510.</w:t>
            </w:r>
            <w:r w:rsidRPr="00267655">
              <w:rPr>
                <w:sz w:val="16"/>
                <w:szCs w:val="16"/>
              </w:rPr>
              <w:br/>
            </w:r>
            <w:r w:rsidRPr="00267655">
              <w:rPr>
                <w:sz w:val="16"/>
                <w:szCs w:val="16"/>
              </w:rPr>
              <w:t>9. Soll R, Ozek E: Multiple versus single doses of exogenous surfactant for the prevention or treatment of neonatal respiratory distress syndrome. Cochrane Database of Systematic Reviews 2009:CD000141.</w:t>
            </w:r>
            <w:r w:rsidRPr="00267655">
              <w:rPr>
                <w:sz w:val="16"/>
                <w:szCs w:val="16"/>
              </w:rPr>
              <w:br/>
            </w:r>
            <w:r w:rsidRPr="00267655">
              <w:rPr>
                <w:sz w:val="16"/>
                <w:szCs w:val="16"/>
              </w:rPr>
              <w:t>10. Corbet A et al. Double-blind randomized trial of one versus three prophylactic doses of synthetic surfactant in 826 neonates weighing 700 to 1000 grams: effects on mortality rate. Journal of Pediatrics 1995;126:969–78.</w:t>
            </w:r>
            <w:r w:rsidRPr="00267655">
              <w:rPr>
                <w:sz w:val="16"/>
                <w:szCs w:val="16"/>
              </w:rPr>
              <w:br/>
            </w:r>
            <w:r w:rsidRPr="00267655">
              <w:rPr>
                <w:sz w:val="16"/>
                <w:szCs w:val="16"/>
              </w:rPr>
              <w:t xml:space="preserve">11. Dunn MS, Shennan AT, Possmayer F. Single- vs multiple-dose surfactant replacement therapy in neonates of 30 to 36 weeks’ gestation with respiratory distress syndrome. Pediatrics 1990;86:564–71. </w:t>
            </w:r>
            <w:r w:rsidRPr="00267655">
              <w:rPr>
                <w:sz w:val="16"/>
                <w:szCs w:val="16"/>
              </w:rPr>
              <w:br/>
            </w:r>
            <w:r w:rsidRPr="00267655">
              <w:rPr>
                <w:sz w:val="16"/>
                <w:szCs w:val="16"/>
              </w:rPr>
              <w:t>12. Speer CP et al: Randomized European multicenter trial of surfactant replacement therapy for severe neonatal respiratory distress syndrome: single versus multiple doses of Curosurf. Pediatrics 1992; 89: 13–20.</w:t>
            </w:r>
            <w:r w:rsidRPr="00267655">
              <w:rPr>
                <w:sz w:val="16"/>
                <w:szCs w:val="16"/>
              </w:rPr>
              <w:br/>
            </w:r>
            <w:r w:rsidRPr="00267655">
              <w:rPr>
                <w:sz w:val="16"/>
                <w:szCs w:val="16"/>
              </w:rPr>
              <w:t>13. Halliday HL et al. (1993) Multicentre randomised trial comparing high and low dose surfactant regimens for the treatment of respiratory distress syndrome (the Curosurf 4 trial), Archives of Disease in Childhood; 69: 276–280</w:t>
            </w:r>
            <w:r w:rsidRPr="00267655">
              <w:rPr>
                <w:sz w:val="16"/>
                <w:szCs w:val="16"/>
              </w:rPr>
              <w:br/>
            </w:r>
            <w:r w:rsidRPr="00267655">
              <w:rPr>
                <w:sz w:val="16"/>
                <w:szCs w:val="16"/>
              </w:rPr>
              <w:t>14. Figueras-Aloy J et al. Early administration of the second dose of surfactant (beractant) in the treatment of severe hyaline membrane disease. Acta Paediatr 2001;90:296–301.</w:t>
            </w:r>
            <w:r w:rsidRPr="00267655">
              <w:rPr>
                <w:sz w:val="16"/>
                <w:szCs w:val="16"/>
              </w:rPr>
              <w:br/>
            </w:r>
            <w:r w:rsidRPr="00267655">
              <w:rPr>
                <w:sz w:val="16"/>
                <w:szCs w:val="16"/>
              </w:rPr>
              <w:t>15. El Shahed AI, Dargaville PA, Ohlsson A, Soll R, Surfactant for meconium aspiration syndrome in full term/near term infants (Review), Cochrane Database of Systematic Reviews 2007, Issue 3. Art. No. CD002054.</w:t>
            </w:r>
            <w:r w:rsidRPr="00267655">
              <w:rPr>
                <w:sz w:val="16"/>
                <w:szCs w:val="16"/>
              </w:rPr>
              <w:br/>
            </w:r>
            <w:r w:rsidRPr="00267655">
              <w:rPr>
                <w:sz w:val="16"/>
                <w:szCs w:val="16"/>
              </w:rPr>
              <w:t>16. Findlay RD et al. Surfactant Replacement Therapy for Meconium Aspiration Syndrome, Pediatrics 1996, 97(1):48–52.</w:t>
            </w:r>
            <w:r w:rsidRPr="00267655">
              <w:rPr>
                <w:sz w:val="16"/>
                <w:szCs w:val="16"/>
              </w:rPr>
              <w:br/>
            </w:r>
            <w:r w:rsidRPr="00267655">
              <w:rPr>
                <w:sz w:val="16"/>
                <w:szCs w:val="16"/>
              </w:rPr>
              <w:t>17. Lotze et al. Multicenter study of surfactant (beractant) use in the treatment of term infants with severe respiratory failure, The Journal of Pediatrics 1998, 132(1):40–47</w:t>
            </w:r>
            <w:r w:rsidRPr="00267655">
              <w:rPr>
                <w:sz w:val="16"/>
                <w:szCs w:val="16"/>
              </w:rPr>
              <w:br/>
            </w:r>
            <w:r w:rsidRPr="00267655">
              <w:rPr>
                <w:sz w:val="16"/>
                <w:szCs w:val="16"/>
              </w:rPr>
              <w:t>18. Chinese Collaborative Study Group for Neonatal Respiratory Diseases, Treatment of severe meconium aspiration syndrome with porcine surfactant: A multicentre, randomized, controlled trial, Acta Pædiatrica, 2005; 94: 896–902.</w:t>
            </w:r>
            <w:r w:rsidRPr="00267655">
              <w:rPr>
                <w:sz w:val="16"/>
                <w:szCs w:val="16"/>
              </w:rPr>
              <w:br/>
            </w:r>
            <w:r w:rsidRPr="00267655">
              <w:rPr>
                <w:sz w:val="16"/>
                <w:szCs w:val="16"/>
              </w:rPr>
              <w:t>19. Hahn S, Choi HJ, Soll R, Dargaville PA, Lung lavage for meconium aspiration syndrome in newborn infants (Review), Cochrane Database of Systematic Reviews 2013, Issue 4. Art. No.: CD003486</w:t>
            </w:r>
            <w:r w:rsidRPr="00D57A8A">
              <w:rPr>
                <w:sz w:val="20"/>
              </w:rPr>
              <w:t>.</w:t>
            </w:r>
            <w:r w:rsidRPr="00D57A8A">
              <w:rPr>
                <w:sz w:val="20"/>
              </w:rPr>
              <w:br/>
            </w:r>
          </w:p>
        </w:tc>
      </w:tr>
    </w:tbl>
    <w:p w:rsidR="002347D8" w:rsidP="006F0321" w:rsidRDefault="002347D8" w14:paraId="79F0D8F6" w14:textId="77777777"/>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42706A" w14:paraId="15B47209" w14:textId="77777777">
        <w:tc>
          <w:tcPr>
            <w:tcW w:w="4111" w:type="dxa"/>
            <w:vAlign w:val="center"/>
          </w:tcPr>
          <w:p w:rsidRPr="00646E04" w:rsidR="002347D8" w:rsidP="0010214E" w:rsidRDefault="002347D8" w14:paraId="27C05054" w14:textId="21E426A6">
            <w:r w:rsidRPr="00646E04">
              <w:t xml:space="preserve">Original version Date: </w:t>
            </w:r>
            <w:r w:rsidRPr="009A3365" w:rsidR="009A3365">
              <w:t>27/10/2015</w:t>
            </w:r>
          </w:p>
        </w:tc>
        <w:tc>
          <w:tcPr>
            <w:tcW w:w="4820" w:type="dxa"/>
            <w:vAlign w:val="center"/>
          </w:tcPr>
          <w:p w:rsidRPr="00646E04" w:rsidR="002347D8" w:rsidP="0010214E" w:rsidRDefault="002347D8" w14:paraId="17D65CD7" w14:textId="77777777">
            <w:r w:rsidRPr="00646E04">
              <w:t>Author: NeoMed Consensus Group</w:t>
            </w:r>
          </w:p>
        </w:tc>
      </w:tr>
      <w:tr w:rsidRPr="003C2CBA" w:rsidR="00E424B4" w:rsidTr="0042706A" w14:paraId="5F28F116" w14:textId="77777777">
        <w:tc>
          <w:tcPr>
            <w:tcW w:w="4111" w:type="dxa"/>
            <w:vAlign w:val="center"/>
          </w:tcPr>
          <w:p w:rsidRPr="00646E04" w:rsidR="002347D8" w:rsidP="0010214E" w:rsidRDefault="002347D8" w14:paraId="46877326" w14:textId="526AC639">
            <w:pPr>
              <w:rPr>
                <w:bCs/>
              </w:rPr>
            </w:pPr>
            <w:r w:rsidRPr="00646E04">
              <w:t xml:space="preserve">Current Version number:  </w:t>
            </w:r>
            <w:r w:rsidR="00A14C85">
              <w:t>2</w:t>
            </w:r>
          </w:p>
        </w:tc>
        <w:tc>
          <w:tcPr>
            <w:tcW w:w="4820" w:type="dxa"/>
            <w:vAlign w:val="center"/>
          </w:tcPr>
          <w:p w:rsidRPr="00646E04" w:rsidR="002347D8" w:rsidP="0010214E" w:rsidRDefault="002347D8" w14:paraId="55595544" w14:textId="72DB65B1">
            <w:r>
              <w:t xml:space="preserve">Current </w:t>
            </w:r>
            <w:r w:rsidRPr="00646E04">
              <w:t xml:space="preserve">Version Date:  </w:t>
            </w:r>
            <w:r w:rsidR="00A14C85">
              <w:t>10-12-2020</w:t>
            </w:r>
          </w:p>
        </w:tc>
      </w:tr>
      <w:tr w:rsidRPr="003C2CBA" w:rsidR="00E424B4" w:rsidTr="0042706A" w14:paraId="459E9C52" w14:textId="77777777">
        <w:tc>
          <w:tcPr>
            <w:tcW w:w="4111" w:type="dxa"/>
            <w:vAlign w:val="center"/>
          </w:tcPr>
          <w:p w:rsidRPr="00646E04" w:rsidR="002347D8" w:rsidP="0010214E" w:rsidRDefault="002347D8" w14:paraId="40B5BB99" w14:textId="78091FAC">
            <w:r w:rsidRPr="00646E04">
              <w:t xml:space="preserve">Risk Rating: </w:t>
            </w:r>
            <w:r w:rsidR="000336CB">
              <w:t>Low</w:t>
            </w:r>
          </w:p>
        </w:tc>
        <w:tc>
          <w:tcPr>
            <w:tcW w:w="4820" w:type="dxa"/>
            <w:vAlign w:val="center"/>
          </w:tcPr>
          <w:p w:rsidRPr="00646E04" w:rsidR="002347D8" w:rsidP="0010214E" w:rsidRDefault="002347D8" w14:paraId="16EAB7EC" w14:textId="298E6AA9">
            <w:r w:rsidRPr="00646E04">
              <w:t xml:space="preserve">Due for Review:  </w:t>
            </w:r>
            <w:r w:rsidR="00A14C85">
              <w:t>10-12-2025</w:t>
            </w:r>
          </w:p>
        </w:tc>
      </w:tr>
      <w:tr w:rsidRPr="003C2CBA" w:rsidR="00E424B4" w:rsidTr="0042706A" w14:paraId="6D69843F" w14:textId="77777777">
        <w:trPr>
          <w:trHeight w:val="344"/>
        </w:trPr>
        <w:tc>
          <w:tcPr>
            <w:tcW w:w="4111" w:type="dxa"/>
            <w:tcBorders>
              <w:bottom w:val="single" w:color="auto" w:sz="4" w:space="0"/>
            </w:tcBorders>
            <w:vAlign w:val="center"/>
          </w:tcPr>
          <w:p w:rsidRPr="003C2CBA" w:rsidR="002347D8" w:rsidP="0010214E" w:rsidRDefault="002347D8" w14:paraId="70DFC97B" w14:textId="77777777">
            <w:r w:rsidRPr="003C2CBA">
              <w:t xml:space="preserve">Approved by: </w:t>
            </w:r>
            <w:r>
              <w:t>DTC</w:t>
            </w:r>
          </w:p>
        </w:tc>
        <w:tc>
          <w:tcPr>
            <w:tcW w:w="4820" w:type="dxa"/>
            <w:tcBorders>
              <w:bottom w:val="single" w:color="auto" w:sz="4" w:space="0"/>
            </w:tcBorders>
            <w:vAlign w:val="center"/>
          </w:tcPr>
          <w:p w:rsidRPr="00646E04" w:rsidR="002347D8" w:rsidP="0010214E" w:rsidRDefault="002347D8" w14:paraId="54416FC4" w14:textId="1079412C">
            <w:r w:rsidRPr="00646E04">
              <w:t xml:space="preserve">Approval Date: </w:t>
            </w:r>
            <w:r w:rsidR="00260BC8">
              <w:t>APRIL 2021</w:t>
            </w:r>
          </w:p>
        </w:tc>
      </w:tr>
    </w:tbl>
    <w:p w:rsidRPr="00E25790" w:rsidR="00433434" w:rsidP="006F0321" w:rsidRDefault="00115F48" w14:paraId="52C4D18E" w14:textId="76CB8D18">
      <w:r w:rsidRPr="00E25790">
        <w:br w:type="page"/>
      </w:r>
    </w:p>
    <w:tbl>
      <w:tblPr>
        <w:tblW w:w="9049" w:type="dxa"/>
        <w:tblLayout w:type="fixed"/>
        <w:tblLook w:val="0000" w:firstRow="0" w:lastRow="0" w:firstColumn="0" w:lastColumn="0" w:noHBand="0" w:noVBand="0"/>
      </w:tblPr>
      <w:tblGrid>
        <w:gridCol w:w="4153"/>
        <w:gridCol w:w="4896"/>
      </w:tblGrid>
      <w:tr w:rsidRPr="00E25790" w:rsidR="00433434" w:rsidTr="00900C7F" w14:paraId="43CABFE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433434" w:rsidP="00900C7F" w:rsidRDefault="00433434" w14:paraId="63A81F6F" w14:textId="77777777">
            <w:pPr>
              <w:pStyle w:val="Heading1"/>
              <w:jc w:val="both"/>
            </w:pPr>
            <w:bookmarkStart w:name="_Toc38106831" w:id="168"/>
            <w:bookmarkStart w:name="_Toc75339957" w:id="169"/>
            <w:r w:rsidRPr="00E25790">
              <w:lastRenderedPageBreak/>
              <w:t>Cyclo</w:t>
            </w:r>
            <w:r w:rsidRPr="00E25790" w:rsidR="008074EA">
              <w:t>mydril</w:t>
            </w:r>
            <w:bookmarkEnd w:id="168"/>
            <w:bookmarkEnd w:id="169"/>
            <w:r w:rsidRPr="00E25790">
              <w:fldChar w:fldCharType="begin"/>
            </w:r>
            <w:r w:rsidRPr="00E25790">
              <w:instrText>tc "Morphine" \l 0</w:instrText>
            </w:r>
            <w:r w:rsidRPr="00E25790">
              <w:fldChar w:fldCharType="end"/>
            </w:r>
          </w:p>
        </w:tc>
      </w:tr>
      <w:tr w:rsidRPr="00E25790" w:rsidR="00433434" w:rsidTr="00900C7F" w14:paraId="3714E97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433434" w:rsidP="00900C7F" w:rsidRDefault="00433434" w14:paraId="54313EA3" w14:textId="16865EF4">
            <w:pPr>
              <w:jc w:val="both"/>
            </w:pPr>
            <w:r w:rsidRPr="00E25790">
              <w:t>Revision Date</w:t>
            </w:r>
            <w:r w:rsidRPr="00E25790">
              <w:rPr>
                <w:b/>
              </w:rPr>
              <w:t xml:space="preserve"> : </w:t>
            </w:r>
            <w:r w:rsidRPr="0039069A" w:rsidR="0039069A">
              <w:rPr>
                <w:bCs/>
              </w:rPr>
              <w:t>15-12-2020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433434" w:rsidP="00900C7F" w:rsidRDefault="00433434" w14:paraId="003CC9C3" w14:textId="6EEC4C3E">
            <w:pPr>
              <w:jc w:val="both"/>
            </w:pPr>
            <w:r w:rsidRPr="00E25790">
              <w:t xml:space="preserve">Approved: </w:t>
            </w:r>
            <w:r w:rsidRPr="00E25790" w:rsidR="008074EA">
              <w:t>TC, KOH</w:t>
            </w:r>
          </w:p>
        </w:tc>
      </w:tr>
    </w:tbl>
    <w:p w:rsidRPr="00E25790" w:rsidR="00433434" w:rsidP="006F0321" w:rsidRDefault="00433434" w14:paraId="384CAFAE" w14:textId="77777777"/>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72"/>
        <w:gridCol w:w="7513"/>
      </w:tblGrid>
      <w:tr w:rsidRPr="003A7895" w:rsidR="00282DD6" w:rsidTr="0039069A" w14:paraId="586B3739" w14:textId="77777777">
        <w:trPr>
          <w:trHeight w:val="70"/>
        </w:trPr>
        <w:tc>
          <w:tcPr>
            <w:tcW w:w="1872" w:type="dxa"/>
          </w:tcPr>
          <w:p w:rsidRPr="00B53E9B" w:rsidR="00282DD6" w:rsidP="00FE4186" w:rsidRDefault="00282DD6" w14:paraId="6F2031B0" w14:textId="77777777">
            <w:pPr>
              <w:pStyle w:val="BodyText"/>
              <w:tabs>
                <w:tab w:val="center" w:pos="1476"/>
              </w:tabs>
              <w:rPr>
                <w:rFonts w:cs="Arial"/>
                <w:b/>
                <w:sz w:val="20"/>
              </w:rPr>
            </w:pPr>
            <w:r w:rsidRPr="00B53E9B">
              <w:rPr>
                <w:rFonts w:cs="Arial"/>
                <w:b/>
                <w:sz w:val="20"/>
              </w:rPr>
              <w:t>Alert</w:t>
            </w:r>
          </w:p>
        </w:tc>
        <w:tc>
          <w:tcPr>
            <w:tcW w:w="7513" w:type="dxa"/>
          </w:tcPr>
          <w:p w:rsidR="00282DD6" w:rsidP="00FE4186" w:rsidRDefault="00282DD6" w14:paraId="411F0CB2" w14:textId="77777777">
            <w:pPr>
              <w:pStyle w:val="BodyText"/>
              <w:rPr>
                <w:rFonts w:cs="Arial" w:asciiTheme="minorHAnsi" w:hAnsiTheme="minorHAnsi"/>
                <w:sz w:val="20"/>
              </w:rPr>
            </w:pPr>
            <w:r w:rsidRPr="00345E7F">
              <w:rPr>
                <w:rFonts w:cs="Arial" w:asciiTheme="minorHAnsi" w:hAnsiTheme="minorHAnsi"/>
                <w:sz w:val="20"/>
              </w:rPr>
              <w:t>Unapproved medicine in Australia and New Zealand. Available only through Special Access Scheme Category C Pathway.</w:t>
            </w:r>
          </w:p>
          <w:p w:rsidRPr="00DF0FC3" w:rsidR="00282DD6" w:rsidP="00FE4186" w:rsidRDefault="00282DD6" w14:paraId="5F36E7E5" w14:textId="77777777">
            <w:pPr>
              <w:pStyle w:val="BodyText"/>
              <w:rPr>
                <w:rFonts w:cs="Arial" w:asciiTheme="minorHAnsi" w:hAnsiTheme="minorHAnsi"/>
                <w:sz w:val="20"/>
              </w:rPr>
            </w:pPr>
            <w:r>
              <w:rPr>
                <w:rFonts w:cs="Arial" w:asciiTheme="minorHAnsi" w:hAnsiTheme="minorHAnsi"/>
                <w:sz w:val="20"/>
              </w:rPr>
              <w:t>For topical ophthalmic use only.</w:t>
            </w:r>
          </w:p>
        </w:tc>
      </w:tr>
      <w:tr w:rsidRPr="003A7895" w:rsidR="00282DD6" w:rsidTr="0039069A" w14:paraId="7721B394" w14:textId="77777777">
        <w:trPr>
          <w:trHeight w:val="72"/>
        </w:trPr>
        <w:tc>
          <w:tcPr>
            <w:tcW w:w="1872" w:type="dxa"/>
          </w:tcPr>
          <w:p w:rsidRPr="00B53E9B" w:rsidR="00282DD6" w:rsidP="00FE4186" w:rsidRDefault="00282DD6" w14:paraId="2432694A" w14:textId="77777777">
            <w:pPr>
              <w:pStyle w:val="BodyText"/>
              <w:rPr>
                <w:rFonts w:cs="Arial"/>
                <w:sz w:val="20"/>
              </w:rPr>
            </w:pPr>
            <w:r w:rsidRPr="00B53E9B">
              <w:rPr>
                <w:rFonts w:cs="Arial"/>
                <w:b/>
                <w:bCs/>
                <w:sz w:val="20"/>
              </w:rPr>
              <w:t>Indication</w:t>
            </w:r>
          </w:p>
        </w:tc>
        <w:tc>
          <w:tcPr>
            <w:tcW w:w="7513" w:type="dxa"/>
          </w:tcPr>
          <w:p w:rsidRPr="00DF0FC3" w:rsidR="00282DD6" w:rsidP="00FE4186" w:rsidRDefault="00282DD6" w14:paraId="3CFDFEB8" w14:textId="77777777">
            <w:pPr>
              <w:rPr>
                <w:rFonts w:asciiTheme="minorHAnsi" w:hAnsiTheme="minorHAnsi"/>
                <w:sz w:val="20"/>
              </w:rPr>
            </w:pPr>
            <w:r w:rsidRPr="00DF0FC3">
              <w:rPr>
                <w:rFonts w:asciiTheme="minorHAnsi" w:hAnsiTheme="minorHAnsi"/>
                <w:sz w:val="20"/>
              </w:rPr>
              <w:t>Mydriatic (dilates the pupil) and cycloplegic (prevents accommodation of the eye) for ophthalmic examinations and therapeutic procedures</w:t>
            </w:r>
          </w:p>
        </w:tc>
      </w:tr>
      <w:tr w:rsidRPr="003A7895" w:rsidR="00282DD6" w:rsidTr="0039069A" w14:paraId="1F44F332" w14:textId="77777777">
        <w:trPr>
          <w:trHeight w:val="70"/>
        </w:trPr>
        <w:tc>
          <w:tcPr>
            <w:tcW w:w="1872" w:type="dxa"/>
          </w:tcPr>
          <w:p w:rsidRPr="00B53E9B" w:rsidR="00282DD6" w:rsidP="00FE4186" w:rsidRDefault="00282DD6" w14:paraId="62F333B1" w14:textId="77777777">
            <w:pPr>
              <w:pStyle w:val="BodyText"/>
              <w:rPr>
                <w:rFonts w:cs="Arial"/>
                <w:b/>
                <w:bCs/>
                <w:sz w:val="20"/>
              </w:rPr>
            </w:pPr>
            <w:r w:rsidRPr="00B53E9B">
              <w:rPr>
                <w:rFonts w:cs="Arial"/>
                <w:b/>
                <w:bCs/>
                <w:sz w:val="20"/>
              </w:rPr>
              <w:t>Action</w:t>
            </w:r>
          </w:p>
        </w:tc>
        <w:tc>
          <w:tcPr>
            <w:tcW w:w="7513" w:type="dxa"/>
          </w:tcPr>
          <w:p w:rsidRPr="00915BB2" w:rsidR="00282DD6" w:rsidP="0039069A" w:rsidRDefault="00282DD6" w14:paraId="2713021E" w14:textId="77777777">
            <w:pPr>
              <w:pStyle w:val="NormalWeb"/>
              <w:rPr>
                <w:rFonts w:asciiTheme="minorHAnsi" w:hAnsiTheme="minorHAnsi" w:cstheme="minorHAnsi"/>
                <w:sz w:val="20"/>
                <w:szCs w:val="20"/>
              </w:rPr>
            </w:pPr>
            <w:r w:rsidRPr="00915BB2">
              <w:rPr>
                <w:rFonts w:cs="Arial" w:asciiTheme="minorHAnsi" w:hAnsiTheme="minorHAnsi"/>
                <w:sz w:val="20"/>
              </w:rPr>
              <w:t xml:space="preserve">Contains cyclopentolate hydrochloride 0.2% and phenylephrine hydrochloride 1%. </w:t>
            </w:r>
            <w:r w:rsidRPr="00915BB2">
              <w:rPr>
                <w:rFonts w:cs="Arial" w:asciiTheme="minorHAnsi" w:hAnsiTheme="minorHAnsi"/>
                <w:sz w:val="20"/>
                <w:szCs w:val="20"/>
              </w:rPr>
              <w:t>Cyclopentolate hydrochloride is an anticholinergic drug and phenylephrine hydrochloride is an adrenergic drug. This combination induces mydriasis that is greater than that of either drug alone at its respective concentration. The concentrations of cyclopentolate and phenylephrine have been selected to induce mydriasis with little accompanying cycloplegia.</w:t>
            </w:r>
          </w:p>
        </w:tc>
      </w:tr>
      <w:tr w:rsidRPr="003A7895" w:rsidR="00282DD6" w:rsidTr="0039069A" w14:paraId="4A715BED" w14:textId="77777777">
        <w:trPr>
          <w:trHeight w:val="266"/>
        </w:trPr>
        <w:tc>
          <w:tcPr>
            <w:tcW w:w="1872" w:type="dxa"/>
          </w:tcPr>
          <w:p w:rsidRPr="00B53E9B" w:rsidR="00282DD6" w:rsidP="00FE4186" w:rsidRDefault="00282DD6" w14:paraId="333284C7" w14:textId="77777777">
            <w:pPr>
              <w:pStyle w:val="BodyText"/>
              <w:rPr>
                <w:rFonts w:cs="Arial"/>
                <w:sz w:val="20"/>
              </w:rPr>
            </w:pPr>
            <w:r>
              <w:rPr>
                <w:rFonts w:cs="Arial"/>
                <w:b/>
                <w:bCs/>
                <w:sz w:val="20"/>
              </w:rPr>
              <w:t>Drug t</w:t>
            </w:r>
            <w:r w:rsidRPr="00B53E9B">
              <w:rPr>
                <w:rFonts w:cs="Arial"/>
                <w:b/>
                <w:bCs/>
                <w:sz w:val="20"/>
              </w:rPr>
              <w:t>ype</w:t>
            </w:r>
          </w:p>
        </w:tc>
        <w:tc>
          <w:tcPr>
            <w:tcW w:w="7513" w:type="dxa"/>
          </w:tcPr>
          <w:p w:rsidRPr="00345E7F" w:rsidR="00282DD6" w:rsidP="00FE4186" w:rsidRDefault="00282DD6" w14:paraId="341CA84D" w14:textId="77777777">
            <w:pPr>
              <w:rPr>
                <w:rFonts w:cs="Arial" w:asciiTheme="minorHAnsi" w:hAnsiTheme="minorHAnsi"/>
                <w:sz w:val="20"/>
              </w:rPr>
            </w:pPr>
            <w:r w:rsidRPr="00345E7F">
              <w:rPr>
                <w:rFonts w:cs="Arial" w:asciiTheme="minorHAnsi" w:hAnsiTheme="minorHAnsi"/>
                <w:sz w:val="20"/>
              </w:rPr>
              <w:t>Antimuscarinic (cyclopentolate) and sympathomimetic (phenylephrine).</w:t>
            </w:r>
          </w:p>
        </w:tc>
      </w:tr>
      <w:tr w:rsidRPr="003A7895" w:rsidR="00282DD6" w:rsidTr="0039069A" w14:paraId="47DC6BC0" w14:textId="77777777">
        <w:trPr>
          <w:trHeight w:val="114"/>
        </w:trPr>
        <w:tc>
          <w:tcPr>
            <w:tcW w:w="1872" w:type="dxa"/>
          </w:tcPr>
          <w:p w:rsidRPr="00B53E9B" w:rsidR="00282DD6" w:rsidP="00FE4186" w:rsidRDefault="00282DD6" w14:paraId="79E077A6"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13" w:type="dxa"/>
          </w:tcPr>
          <w:p w:rsidRPr="00345E7F" w:rsidR="00282DD6" w:rsidP="00FE4186" w:rsidRDefault="00282DD6" w14:paraId="335B125E" w14:textId="77777777">
            <w:pPr>
              <w:pStyle w:val="BodyText"/>
              <w:rPr>
                <w:rFonts w:cs="Arial" w:asciiTheme="minorHAnsi" w:hAnsiTheme="minorHAnsi"/>
                <w:sz w:val="20"/>
              </w:rPr>
            </w:pPr>
            <w:r w:rsidRPr="00345E7F">
              <w:rPr>
                <w:rFonts w:cs="Arial" w:asciiTheme="minorHAnsi" w:hAnsiTheme="minorHAnsi"/>
                <w:sz w:val="20"/>
              </w:rPr>
              <w:t>Cyclomydril</w:t>
            </w:r>
          </w:p>
        </w:tc>
      </w:tr>
      <w:tr w:rsidRPr="003A7895" w:rsidR="00282DD6" w:rsidTr="0039069A" w14:paraId="0B2BB903" w14:textId="77777777">
        <w:trPr>
          <w:trHeight w:val="70"/>
        </w:trPr>
        <w:tc>
          <w:tcPr>
            <w:tcW w:w="1872" w:type="dxa"/>
          </w:tcPr>
          <w:p w:rsidRPr="00B53E9B" w:rsidR="00282DD6" w:rsidP="00FE4186" w:rsidRDefault="00282DD6" w14:paraId="6E1E8927" w14:textId="77777777">
            <w:pPr>
              <w:pStyle w:val="BodyText"/>
              <w:rPr>
                <w:rFonts w:cs="Arial"/>
                <w:b/>
                <w:bCs/>
                <w:sz w:val="20"/>
              </w:rPr>
            </w:pPr>
            <w:r w:rsidRPr="00B53E9B">
              <w:rPr>
                <w:rFonts w:cs="Arial"/>
                <w:b/>
                <w:bCs/>
                <w:sz w:val="20"/>
              </w:rPr>
              <w:t xml:space="preserve">Presentation </w:t>
            </w:r>
          </w:p>
        </w:tc>
        <w:tc>
          <w:tcPr>
            <w:tcW w:w="7513" w:type="dxa"/>
          </w:tcPr>
          <w:p w:rsidRPr="00345E7F" w:rsidR="00282DD6" w:rsidP="00FE4186" w:rsidRDefault="00282DD6" w14:paraId="2480864B" w14:textId="77777777">
            <w:pPr>
              <w:pStyle w:val="BodyText"/>
              <w:rPr>
                <w:rFonts w:cs="Arial" w:asciiTheme="minorHAnsi" w:hAnsiTheme="minorHAnsi"/>
                <w:sz w:val="20"/>
              </w:rPr>
            </w:pPr>
            <w:r w:rsidRPr="00345E7F">
              <w:rPr>
                <w:rFonts w:cs="Arial" w:asciiTheme="minorHAnsi" w:hAnsiTheme="minorHAnsi"/>
                <w:sz w:val="20"/>
              </w:rPr>
              <w:t>2 mL DROP-TAINER®</w:t>
            </w:r>
            <w:r w:rsidRPr="00345E7F" w:rsidDel="00091AC7">
              <w:rPr>
                <w:rFonts w:cs="Arial" w:asciiTheme="minorHAnsi" w:hAnsiTheme="minorHAnsi"/>
                <w:sz w:val="20"/>
              </w:rPr>
              <w:t xml:space="preserve"> </w:t>
            </w:r>
            <w:r w:rsidRPr="00345E7F">
              <w:rPr>
                <w:rFonts w:cs="Arial" w:asciiTheme="minorHAnsi" w:hAnsiTheme="minorHAnsi"/>
                <w:sz w:val="20"/>
              </w:rPr>
              <w:t>dispenser.</w:t>
            </w:r>
          </w:p>
          <w:p w:rsidRPr="00345E7F" w:rsidR="00282DD6" w:rsidP="00FE4186" w:rsidRDefault="00282DD6" w14:paraId="71ACBF17" w14:textId="77777777">
            <w:pPr>
              <w:pStyle w:val="BodyText"/>
              <w:rPr>
                <w:rFonts w:cs="Arial" w:asciiTheme="minorHAnsi" w:hAnsiTheme="minorHAnsi"/>
                <w:sz w:val="20"/>
              </w:rPr>
            </w:pPr>
            <w:r w:rsidRPr="00345E7F">
              <w:rPr>
                <w:rFonts w:cs="Arial" w:asciiTheme="minorHAnsi" w:hAnsiTheme="minorHAnsi"/>
                <w:sz w:val="20"/>
              </w:rPr>
              <w:t xml:space="preserve">Each mL contains: Cyclopentolate hydrochloride 0.2%, phenylephrine hydrochloride 1%. </w:t>
            </w:r>
          </w:p>
        </w:tc>
      </w:tr>
      <w:tr w:rsidRPr="000E2236" w:rsidR="00282DD6" w:rsidTr="0039069A" w14:paraId="6CA24A56" w14:textId="77777777">
        <w:trPr>
          <w:trHeight w:val="70"/>
        </w:trPr>
        <w:tc>
          <w:tcPr>
            <w:tcW w:w="1872" w:type="dxa"/>
          </w:tcPr>
          <w:p w:rsidRPr="00B53E9B" w:rsidR="00282DD6" w:rsidP="00FE4186" w:rsidRDefault="00282DD6" w14:paraId="2765720C" w14:textId="77777777">
            <w:pPr>
              <w:pStyle w:val="BodyText"/>
              <w:rPr>
                <w:rFonts w:cs="Arial"/>
                <w:b/>
                <w:bCs/>
                <w:sz w:val="20"/>
              </w:rPr>
            </w:pPr>
            <w:r>
              <w:rPr>
                <w:rFonts w:cs="Arial"/>
                <w:b/>
                <w:bCs/>
                <w:sz w:val="20"/>
              </w:rPr>
              <w:t>Dose</w:t>
            </w:r>
            <w:r w:rsidRPr="00B53E9B">
              <w:rPr>
                <w:rFonts w:cs="Arial"/>
                <w:b/>
                <w:bCs/>
                <w:sz w:val="20"/>
              </w:rPr>
              <w:t xml:space="preserve"> </w:t>
            </w:r>
          </w:p>
        </w:tc>
        <w:tc>
          <w:tcPr>
            <w:tcW w:w="7513" w:type="dxa"/>
          </w:tcPr>
          <w:p w:rsidR="00282DD6" w:rsidP="00FE4186" w:rsidRDefault="00282DD6" w14:paraId="79D4F48C" w14:textId="77777777">
            <w:pPr>
              <w:pStyle w:val="BodyText"/>
              <w:rPr>
                <w:rFonts w:asciiTheme="minorHAnsi" w:hAnsiTheme="minorHAnsi"/>
                <w:sz w:val="20"/>
              </w:rPr>
            </w:pPr>
            <w:r>
              <w:rPr>
                <w:rFonts w:asciiTheme="minorHAnsi" w:hAnsiTheme="minorHAnsi"/>
                <w:sz w:val="20"/>
              </w:rPr>
              <w:t>O</w:t>
            </w:r>
            <w:r w:rsidRPr="00345E7F">
              <w:rPr>
                <w:rFonts w:asciiTheme="minorHAnsi" w:hAnsiTheme="minorHAnsi"/>
                <w:sz w:val="20"/>
              </w:rPr>
              <w:t>ne drop into each eye</w:t>
            </w:r>
            <w:r>
              <w:rPr>
                <w:rFonts w:asciiTheme="minorHAnsi" w:hAnsiTheme="minorHAnsi"/>
                <w:sz w:val="20"/>
              </w:rPr>
              <w:t xml:space="preserve"> </w:t>
            </w:r>
            <w:r w:rsidRPr="00345E7F">
              <w:rPr>
                <w:rFonts w:asciiTheme="minorHAnsi" w:hAnsiTheme="minorHAnsi"/>
                <w:sz w:val="20"/>
              </w:rPr>
              <w:t xml:space="preserve">30–60 minutes prior to procedure, may be repeated up to three times (maximum of four drops), at least 5 minutes apart. </w:t>
            </w:r>
          </w:p>
          <w:p w:rsidRPr="00345E7F" w:rsidR="00282DD6" w:rsidP="00FE4186" w:rsidRDefault="00282DD6" w14:paraId="79B695EB" w14:textId="77777777">
            <w:pPr>
              <w:pStyle w:val="BodyText"/>
              <w:rPr>
                <w:rFonts w:asciiTheme="minorHAnsi" w:hAnsiTheme="minorHAnsi"/>
                <w:sz w:val="20"/>
              </w:rPr>
            </w:pPr>
            <w:r w:rsidRPr="00345E7F">
              <w:rPr>
                <w:rFonts w:asciiTheme="minorHAnsi" w:hAnsiTheme="minorHAnsi"/>
                <w:sz w:val="20"/>
              </w:rPr>
              <w:t>Dark irises may require additional drops</w:t>
            </w:r>
          </w:p>
        </w:tc>
      </w:tr>
      <w:tr w:rsidRPr="003A7895" w:rsidR="00282DD6" w:rsidTr="0039069A" w14:paraId="3EEF7A36" w14:textId="77777777">
        <w:trPr>
          <w:trHeight w:val="407"/>
        </w:trPr>
        <w:tc>
          <w:tcPr>
            <w:tcW w:w="1872" w:type="dxa"/>
          </w:tcPr>
          <w:p w:rsidRPr="00B53E9B" w:rsidR="00282DD6" w:rsidP="00FE4186" w:rsidRDefault="00282DD6" w14:paraId="290AA9B9" w14:textId="77777777">
            <w:pPr>
              <w:pStyle w:val="BodyText"/>
              <w:rPr>
                <w:b/>
                <w:sz w:val="20"/>
              </w:rPr>
            </w:pPr>
            <w:r w:rsidRPr="00B53E9B">
              <w:rPr>
                <w:b/>
                <w:sz w:val="20"/>
              </w:rPr>
              <w:t>Dose adjustment</w:t>
            </w:r>
          </w:p>
          <w:p w:rsidRPr="00B53E9B" w:rsidR="00282DD6" w:rsidP="00FE4186" w:rsidRDefault="00282DD6" w14:paraId="191DE804" w14:textId="77777777">
            <w:pPr>
              <w:pStyle w:val="BodyText"/>
              <w:rPr>
                <w:b/>
                <w:sz w:val="20"/>
              </w:rPr>
            </w:pPr>
          </w:p>
        </w:tc>
        <w:tc>
          <w:tcPr>
            <w:tcW w:w="7513" w:type="dxa"/>
          </w:tcPr>
          <w:p w:rsidRPr="00B53E9B" w:rsidR="00282DD6" w:rsidP="00FE4186" w:rsidRDefault="00282DD6" w14:paraId="2B5A91B5" w14:textId="77777777">
            <w:pPr>
              <w:pStyle w:val="BodyText"/>
              <w:rPr>
                <w:sz w:val="20"/>
              </w:rPr>
            </w:pPr>
            <w:r w:rsidRPr="00B53E9B">
              <w:rPr>
                <w:sz w:val="20"/>
              </w:rPr>
              <w:t>Therapeutic hypothermia</w:t>
            </w:r>
            <w:r>
              <w:rPr>
                <w:sz w:val="20"/>
              </w:rPr>
              <w:t xml:space="preserve"> – Not applicable.</w:t>
            </w:r>
          </w:p>
          <w:p w:rsidRPr="00B53E9B" w:rsidR="00282DD6" w:rsidP="00FE4186" w:rsidRDefault="00282DD6" w14:paraId="4C94A5B1" w14:textId="77777777">
            <w:pPr>
              <w:pStyle w:val="BodyText"/>
              <w:rPr>
                <w:sz w:val="20"/>
              </w:rPr>
            </w:pPr>
            <w:r w:rsidRPr="00B53E9B">
              <w:rPr>
                <w:sz w:val="20"/>
              </w:rPr>
              <w:t>ECMO</w:t>
            </w:r>
            <w:r>
              <w:rPr>
                <w:sz w:val="20"/>
              </w:rPr>
              <w:t xml:space="preserve"> – Not applicable.</w:t>
            </w:r>
          </w:p>
          <w:p w:rsidRPr="00B53E9B" w:rsidR="00282DD6" w:rsidP="00FE4186" w:rsidRDefault="00282DD6" w14:paraId="7DA56870" w14:textId="77777777">
            <w:pPr>
              <w:pStyle w:val="BodyText"/>
              <w:rPr>
                <w:sz w:val="20"/>
              </w:rPr>
            </w:pPr>
            <w:r w:rsidRPr="00B53E9B">
              <w:rPr>
                <w:sz w:val="20"/>
              </w:rPr>
              <w:t>Renal</w:t>
            </w:r>
            <w:r>
              <w:rPr>
                <w:sz w:val="20"/>
              </w:rPr>
              <w:t xml:space="preserve"> impairment – Not applicable.</w:t>
            </w:r>
          </w:p>
          <w:p w:rsidRPr="00026F20" w:rsidR="00282DD6" w:rsidP="00FE4186" w:rsidRDefault="00282DD6" w14:paraId="4DA49B87" w14:textId="77777777">
            <w:pPr>
              <w:pStyle w:val="BodyText"/>
              <w:rPr>
                <w:sz w:val="20"/>
              </w:rPr>
            </w:pPr>
            <w:r w:rsidRPr="00B53E9B">
              <w:rPr>
                <w:sz w:val="20"/>
              </w:rPr>
              <w:t>Hepatic</w:t>
            </w:r>
            <w:r>
              <w:rPr>
                <w:sz w:val="20"/>
              </w:rPr>
              <w:t xml:space="preserve"> impairment – Not applicable.</w:t>
            </w:r>
          </w:p>
        </w:tc>
      </w:tr>
      <w:tr w:rsidRPr="003A7895" w:rsidR="00282DD6" w:rsidTr="0039069A" w14:paraId="58FE1B70" w14:textId="77777777">
        <w:trPr>
          <w:trHeight w:val="113"/>
        </w:trPr>
        <w:tc>
          <w:tcPr>
            <w:tcW w:w="1872" w:type="dxa"/>
          </w:tcPr>
          <w:p w:rsidRPr="00B53E9B" w:rsidR="00282DD6" w:rsidP="00FE4186" w:rsidRDefault="00282DD6" w14:paraId="0430403D" w14:textId="77777777">
            <w:pPr>
              <w:pStyle w:val="BodyText"/>
              <w:rPr>
                <w:b/>
                <w:sz w:val="20"/>
              </w:rPr>
            </w:pPr>
            <w:r w:rsidRPr="00B53E9B">
              <w:rPr>
                <w:b/>
                <w:sz w:val="20"/>
              </w:rPr>
              <w:t>Maximum dose</w:t>
            </w:r>
          </w:p>
        </w:tc>
        <w:tc>
          <w:tcPr>
            <w:tcW w:w="7513" w:type="dxa"/>
          </w:tcPr>
          <w:p w:rsidRPr="00345E7F" w:rsidR="00282DD6" w:rsidP="00FE4186" w:rsidRDefault="00282DD6" w14:paraId="4A1D16BD" w14:textId="77777777">
            <w:pPr>
              <w:pStyle w:val="BodyText"/>
              <w:rPr>
                <w:rFonts w:asciiTheme="minorHAnsi" w:hAnsiTheme="minorHAnsi"/>
                <w:sz w:val="20"/>
              </w:rPr>
            </w:pPr>
            <w:r w:rsidRPr="00345E7F">
              <w:rPr>
                <w:rFonts w:asciiTheme="minorHAnsi" w:hAnsiTheme="minorHAnsi"/>
                <w:sz w:val="20"/>
              </w:rPr>
              <w:t>Four drops into each eye.</w:t>
            </w:r>
          </w:p>
        </w:tc>
      </w:tr>
      <w:tr w:rsidRPr="003A7895" w:rsidR="00282DD6" w:rsidTr="0039069A" w14:paraId="14ED1759" w14:textId="77777777">
        <w:trPr>
          <w:trHeight w:val="144"/>
        </w:trPr>
        <w:tc>
          <w:tcPr>
            <w:tcW w:w="1872" w:type="dxa"/>
          </w:tcPr>
          <w:p w:rsidRPr="00B53E9B" w:rsidR="00282DD6" w:rsidP="00FE4186" w:rsidRDefault="00282DD6" w14:paraId="276F7C2B" w14:textId="77777777">
            <w:pPr>
              <w:pStyle w:val="BodyText"/>
              <w:rPr>
                <w:rFonts w:cs="Arial"/>
                <w:b/>
                <w:bCs/>
                <w:sz w:val="20"/>
              </w:rPr>
            </w:pPr>
            <w:r w:rsidRPr="00B53E9B">
              <w:rPr>
                <w:b/>
                <w:sz w:val="20"/>
              </w:rPr>
              <w:t>Total cumulative dose</w:t>
            </w:r>
          </w:p>
        </w:tc>
        <w:tc>
          <w:tcPr>
            <w:tcW w:w="7513" w:type="dxa"/>
          </w:tcPr>
          <w:p w:rsidRPr="00026F20" w:rsidR="00282DD6" w:rsidP="00FE4186" w:rsidRDefault="00282DD6" w14:paraId="7AFB4759" w14:textId="77777777">
            <w:pPr>
              <w:pStyle w:val="BodyText"/>
              <w:rPr>
                <w:rFonts w:cs="Arial"/>
                <w:b/>
                <w:sz w:val="20"/>
              </w:rPr>
            </w:pPr>
          </w:p>
        </w:tc>
      </w:tr>
      <w:tr w:rsidRPr="003A7895" w:rsidR="00282DD6" w:rsidTr="0039069A" w14:paraId="3EA8B997" w14:textId="77777777">
        <w:trPr>
          <w:trHeight w:val="294"/>
        </w:trPr>
        <w:tc>
          <w:tcPr>
            <w:tcW w:w="1872" w:type="dxa"/>
          </w:tcPr>
          <w:p w:rsidRPr="00B53E9B" w:rsidR="00282DD6" w:rsidP="00FE4186" w:rsidRDefault="00282DD6" w14:paraId="66A5681A" w14:textId="77777777">
            <w:pPr>
              <w:pStyle w:val="BodyText"/>
              <w:rPr>
                <w:rFonts w:cs="Arial"/>
                <w:sz w:val="20"/>
              </w:rPr>
            </w:pPr>
            <w:r w:rsidRPr="00B53E9B">
              <w:rPr>
                <w:rFonts w:cs="Arial"/>
                <w:b/>
                <w:bCs/>
                <w:sz w:val="20"/>
              </w:rPr>
              <w:t xml:space="preserve">Route </w:t>
            </w:r>
          </w:p>
        </w:tc>
        <w:tc>
          <w:tcPr>
            <w:tcW w:w="7513" w:type="dxa"/>
          </w:tcPr>
          <w:p w:rsidRPr="00345E7F" w:rsidR="00282DD6" w:rsidP="00FE4186" w:rsidRDefault="00282DD6" w14:paraId="7297A52E" w14:textId="77777777">
            <w:pPr>
              <w:pStyle w:val="BodyText"/>
              <w:rPr>
                <w:rFonts w:cs="Arial" w:asciiTheme="minorHAnsi" w:hAnsiTheme="minorHAnsi"/>
                <w:sz w:val="20"/>
              </w:rPr>
            </w:pPr>
            <w:r w:rsidRPr="00345E7F">
              <w:rPr>
                <w:rFonts w:cs="Arial" w:asciiTheme="minorHAnsi" w:hAnsiTheme="minorHAnsi"/>
                <w:sz w:val="20"/>
              </w:rPr>
              <w:t>Topical instillation into the eyes.</w:t>
            </w:r>
          </w:p>
        </w:tc>
      </w:tr>
      <w:tr w:rsidRPr="003A7895" w:rsidR="00282DD6" w:rsidTr="0039069A" w14:paraId="4E0E366A" w14:textId="77777777">
        <w:trPr>
          <w:trHeight w:val="93"/>
        </w:trPr>
        <w:tc>
          <w:tcPr>
            <w:tcW w:w="1872" w:type="dxa"/>
          </w:tcPr>
          <w:p w:rsidRPr="00B53E9B" w:rsidR="00282DD6" w:rsidP="00FE4186" w:rsidRDefault="00282DD6" w14:paraId="69E4B4A3"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13" w:type="dxa"/>
          </w:tcPr>
          <w:p w:rsidRPr="00026F20" w:rsidR="00282DD6" w:rsidP="00FE4186" w:rsidRDefault="00282DD6" w14:paraId="05F2C8CE" w14:textId="77777777">
            <w:pPr>
              <w:pStyle w:val="BodyText"/>
              <w:rPr>
                <w:rFonts w:cs="Arial"/>
                <w:sz w:val="20"/>
              </w:rPr>
            </w:pPr>
            <w:r>
              <w:rPr>
                <w:rFonts w:cs="Arial"/>
                <w:sz w:val="20"/>
              </w:rPr>
              <w:t>Not applicable</w:t>
            </w:r>
          </w:p>
        </w:tc>
      </w:tr>
      <w:tr w:rsidRPr="003A7895" w:rsidR="00282DD6" w:rsidTr="0039069A" w14:paraId="1E72949F" w14:textId="77777777">
        <w:trPr>
          <w:trHeight w:val="224"/>
        </w:trPr>
        <w:tc>
          <w:tcPr>
            <w:tcW w:w="1872" w:type="dxa"/>
          </w:tcPr>
          <w:p w:rsidRPr="00B53E9B" w:rsidR="00282DD6" w:rsidP="00FE4186" w:rsidRDefault="00282DD6" w14:paraId="124A6776" w14:textId="77777777">
            <w:pPr>
              <w:pStyle w:val="BodyText"/>
              <w:rPr>
                <w:rFonts w:cs="Arial"/>
                <w:b/>
                <w:bCs/>
                <w:sz w:val="20"/>
              </w:rPr>
            </w:pPr>
            <w:r w:rsidRPr="00B53E9B">
              <w:rPr>
                <w:rFonts w:cs="Arial"/>
                <w:b/>
                <w:bCs/>
                <w:sz w:val="20"/>
              </w:rPr>
              <w:t xml:space="preserve">Administration </w:t>
            </w:r>
          </w:p>
        </w:tc>
        <w:tc>
          <w:tcPr>
            <w:tcW w:w="7513" w:type="dxa"/>
            <w:vAlign w:val="center"/>
          </w:tcPr>
          <w:p w:rsidRPr="00345E7F" w:rsidR="00282DD6" w:rsidP="00FE4186" w:rsidRDefault="00282DD6" w14:paraId="4B6FE35F" w14:textId="77777777">
            <w:pPr>
              <w:pStyle w:val="BodyText"/>
              <w:rPr>
                <w:rFonts w:cs="Arial" w:asciiTheme="minorHAnsi" w:hAnsiTheme="minorHAnsi"/>
                <w:sz w:val="20"/>
              </w:rPr>
            </w:pPr>
            <w:r>
              <w:rPr>
                <w:rFonts w:cs="Arial" w:asciiTheme="minorHAnsi" w:hAnsiTheme="minorHAnsi"/>
                <w:sz w:val="20"/>
              </w:rPr>
              <w:t xml:space="preserve">Instil one drop in each eye. </w:t>
            </w:r>
            <w:r w:rsidRPr="00345E7F">
              <w:rPr>
                <w:rFonts w:cs="Arial" w:asciiTheme="minorHAnsi" w:hAnsiTheme="minorHAnsi"/>
                <w:sz w:val="20"/>
              </w:rPr>
              <w:t>Apply pressure to the lacrimal sac during and for 2 minutes after instillation of eye drop to minimise systemic absorption. Wipe away excess medication.</w:t>
            </w:r>
          </w:p>
        </w:tc>
      </w:tr>
      <w:tr w:rsidRPr="003A7895" w:rsidR="00282DD6" w:rsidTr="0039069A" w14:paraId="09224341" w14:textId="77777777">
        <w:trPr>
          <w:trHeight w:val="215"/>
        </w:trPr>
        <w:tc>
          <w:tcPr>
            <w:tcW w:w="1872" w:type="dxa"/>
          </w:tcPr>
          <w:p w:rsidRPr="00B53E9B" w:rsidR="00282DD6" w:rsidP="00FE4186" w:rsidRDefault="00282DD6" w14:paraId="2CBC5AD3" w14:textId="77777777">
            <w:pPr>
              <w:pStyle w:val="BodyText"/>
              <w:rPr>
                <w:rFonts w:cs="Arial"/>
                <w:b/>
                <w:bCs/>
                <w:sz w:val="20"/>
              </w:rPr>
            </w:pPr>
            <w:r w:rsidRPr="00B53E9B">
              <w:rPr>
                <w:rFonts w:cs="Arial"/>
                <w:b/>
                <w:bCs/>
                <w:sz w:val="20"/>
              </w:rPr>
              <w:t>Monitoring</w:t>
            </w:r>
          </w:p>
        </w:tc>
        <w:tc>
          <w:tcPr>
            <w:tcW w:w="7513" w:type="dxa"/>
          </w:tcPr>
          <w:p w:rsidRPr="00345E7F" w:rsidR="00282DD6" w:rsidP="00FE4186" w:rsidRDefault="00282DD6" w14:paraId="50F519EE" w14:textId="77777777">
            <w:pPr>
              <w:pStyle w:val="BodyText"/>
              <w:rPr>
                <w:rFonts w:cs="Arial" w:asciiTheme="minorHAnsi" w:hAnsiTheme="minorHAnsi"/>
                <w:sz w:val="20"/>
              </w:rPr>
            </w:pPr>
            <w:r w:rsidRPr="00345E7F">
              <w:rPr>
                <w:rFonts w:cs="Arial" w:asciiTheme="minorHAnsi" w:hAnsiTheme="minorHAnsi"/>
                <w:sz w:val="20"/>
              </w:rPr>
              <w:t>Observe infants for at least 30 minutes up to 120 minutes.</w:t>
            </w:r>
          </w:p>
          <w:p w:rsidRPr="00345E7F" w:rsidR="00282DD6" w:rsidP="00FE4186" w:rsidRDefault="00282DD6" w14:paraId="65F0B206" w14:textId="77777777">
            <w:pPr>
              <w:pStyle w:val="BodyText"/>
              <w:rPr>
                <w:rFonts w:cs="Arial" w:asciiTheme="minorHAnsi" w:hAnsiTheme="minorHAnsi"/>
                <w:sz w:val="20"/>
              </w:rPr>
            </w:pPr>
            <w:r w:rsidRPr="00345E7F">
              <w:rPr>
                <w:rFonts w:cs="Arial" w:asciiTheme="minorHAnsi" w:hAnsiTheme="minorHAnsi"/>
                <w:sz w:val="20"/>
              </w:rPr>
              <w:t>Blood pressure, heart rate and oxygen saturation.</w:t>
            </w:r>
          </w:p>
          <w:p w:rsidRPr="00345E7F" w:rsidR="00282DD6" w:rsidP="00FE4186" w:rsidRDefault="00282DD6" w14:paraId="5DEA85F7" w14:textId="77777777">
            <w:pPr>
              <w:pStyle w:val="BodyText"/>
              <w:rPr>
                <w:rFonts w:cs="Arial" w:asciiTheme="minorHAnsi" w:hAnsiTheme="minorHAnsi"/>
                <w:sz w:val="20"/>
              </w:rPr>
            </w:pPr>
            <w:r w:rsidRPr="00345E7F">
              <w:rPr>
                <w:rFonts w:cs="Arial" w:asciiTheme="minorHAnsi" w:hAnsiTheme="minorHAnsi"/>
                <w:sz w:val="20"/>
              </w:rPr>
              <w:t>Signs of ileus.</w:t>
            </w:r>
          </w:p>
        </w:tc>
      </w:tr>
      <w:tr w:rsidRPr="003A7895" w:rsidR="00282DD6" w:rsidTr="0039069A" w14:paraId="46A15ABD" w14:textId="77777777">
        <w:trPr>
          <w:trHeight w:val="342"/>
        </w:trPr>
        <w:tc>
          <w:tcPr>
            <w:tcW w:w="1872" w:type="dxa"/>
          </w:tcPr>
          <w:p w:rsidRPr="00B53E9B" w:rsidR="00282DD6" w:rsidP="00FE4186" w:rsidRDefault="00282DD6" w14:paraId="027AC505" w14:textId="77777777">
            <w:pPr>
              <w:pStyle w:val="BodyText"/>
              <w:rPr>
                <w:rFonts w:cs="Arial"/>
                <w:b/>
                <w:bCs/>
                <w:sz w:val="20"/>
              </w:rPr>
            </w:pPr>
            <w:r w:rsidRPr="00B53E9B">
              <w:rPr>
                <w:rFonts w:cs="Arial"/>
                <w:b/>
                <w:bCs/>
                <w:sz w:val="20"/>
              </w:rPr>
              <w:t>Contraindications</w:t>
            </w:r>
          </w:p>
        </w:tc>
        <w:tc>
          <w:tcPr>
            <w:tcW w:w="7513" w:type="dxa"/>
          </w:tcPr>
          <w:p w:rsidRPr="00345E7F" w:rsidR="00282DD6" w:rsidP="00FE4186" w:rsidRDefault="00282DD6" w14:paraId="3AE51155" w14:textId="77777777">
            <w:pPr>
              <w:pStyle w:val="BodyText"/>
              <w:rPr>
                <w:rFonts w:asciiTheme="minorHAnsi" w:hAnsiTheme="minorHAnsi"/>
                <w:sz w:val="20"/>
              </w:rPr>
            </w:pPr>
            <w:r w:rsidRPr="00345E7F">
              <w:rPr>
                <w:rFonts w:asciiTheme="minorHAnsi" w:hAnsiTheme="minorHAnsi"/>
                <w:sz w:val="20"/>
              </w:rPr>
              <w:t>Concurrent use with beta-blockers.</w:t>
            </w:r>
          </w:p>
          <w:p w:rsidRPr="00345E7F" w:rsidR="00282DD6" w:rsidP="00FE4186" w:rsidRDefault="00282DD6" w14:paraId="00D6AC6C" w14:textId="77777777">
            <w:pPr>
              <w:pStyle w:val="BodyText"/>
              <w:rPr>
                <w:rFonts w:asciiTheme="minorHAnsi" w:hAnsiTheme="minorHAnsi"/>
                <w:sz w:val="20"/>
              </w:rPr>
            </w:pPr>
            <w:r w:rsidRPr="00345E7F">
              <w:rPr>
                <w:rFonts w:asciiTheme="minorHAnsi" w:hAnsiTheme="minorHAnsi"/>
                <w:sz w:val="20"/>
              </w:rPr>
              <w:t>Acute stage of necrotising enterocolitis (NEC).</w:t>
            </w:r>
          </w:p>
        </w:tc>
      </w:tr>
      <w:tr w:rsidRPr="003A7895" w:rsidR="00282DD6" w:rsidTr="0039069A" w14:paraId="65EC174A" w14:textId="77777777">
        <w:tc>
          <w:tcPr>
            <w:tcW w:w="1872" w:type="dxa"/>
          </w:tcPr>
          <w:p w:rsidRPr="00B53E9B" w:rsidR="00282DD6" w:rsidP="00FE4186" w:rsidRDefault="00282DD6" w14:paraId="3722E4A5" w14:textId="77777777">
            <w:pPr>
              <w:pStyle w:val="BodyText"/>
              <w:rPr>
                <w:rFonts w:cs="Arial"/>
                <w:b/>
                <w:bCs/>
                <w:sz w:val="20"/>
              </w:rPr>
            </w:pPr>
            <w:r w:rsidRPr="00B53E9B">
              <w:rPr>
                <w:sz w:val="20"/>
              </w:rPr>
              <w:br w:type="page"/>
            </w:r>
            <w:r w:rsidRPr="00B53E9B">
              <w:rPr>
                <w:rFonts w:cs="Arial"/>
                <w:b/>
                <w:bCs/>
                <w:sz w:val="20"/>
              </w:rPr>
              <w:t>Precautions</w:t>
            </w:r>
          </w:p>
        </w:tc>
        <w:tc>
          <w:tcPr>
            <w:tcW w:w="7513" w:type="dxa"/>
          </w:tcPr>
          <w:p w:rsidRPr="00345E7F" w:rsidR="00282DD6" w:rsidP="00FE4186" w:rsidRDefault="00282DD6" w14:paraId="50AA6708" w14:textId="77777777">
            <w:pPr>
              <w:pStyle w:val="BodyText"/>
              <w:rPr>
                <w:rFonts w:cs="Arial" w:asciiTheme="minorHAnsi" w:hAnsiTheme="minorHAnsi"/>
                <w:sz w:val="20"/>
              </w:rPr>
            </w:pPr>
            <w:r w:rsidRPr="00345E7F">
              <w:rPr>
                <w:rFonts w:cs="Arial" w:asciiTheme="minorHAnsi" w:hAnsiTheme="minorHAnsi"/>
                <w:sz w:val="20"/>
              </w:rPr>
              <w:t>To minimise systemic absorption, apply pressure over the nasolacrimal sac for 2 to 3 minutes following instillation.</w:t>
            </w:r>
          </w:p>
          <w:p w:rsidRPr="00345E7F" w:rsidR="00282DD6" w:rsidP="00FE4186" w:rsidRDefault="00282DD6" w14:paraId="343F769F" w14:textId="77777777">
            <w:pPr>
              <w:pStyle w:val="BodyText"/>
              <w:rPr>
                <w:rFonts w:cs="Arial" w:asciiTheme="minorHAnsi" w:hAnsiTheme="minorHAnsi"/>
                <w:sz w:val="20"/>
              </w:rPr>
            </w:pPr>
            <w:r w:rsidRPr="00345E7F">
              <w:rPr>
                <w:rFonts w:cs="Arial" w:asciiTheme="minorHAnsi" w:hAnsiTheme="minorHAnsi"/>
                <w:sz w:val="20"/>
              </w:rPr>
              <w:t>Bronchopulmonary dysplasia.</w:t>
            </w:r>
          </w:p>
          <w:p w:rsidRPr="00345E7F" w:rsidR="00282DD6" w:rsidP="00FE4186" w:rsidRDefault="00282DD6" w14:paraId="01B68E01" w14:textId="77777777">
            <w:pPr>
              <w:pStyle w:val="BodyText"/>
              <w:rPr>
                <w:rFonts w:cs="Arial" w:asciiTheme="minorHAnsi" w:hAnsiTheme="minorHAnsi"/>
                <w:sz w:val="20"/>
              </w:rPr>
            </w:pPr>
            <w:r w:rsidRPr="00345E7F">
              <w:rPr>
                <w:rFonts w:cs="Arial" w:asciiTheme="minorHAnsi" w:hAnsiTheme="minorHAnsi"/>
                <w:sz w:val="20"/>
              </w:rPr>
              <w:t>Feeding intolerance.</w:t>
            </w:r>
          </w:p>
          <w:p w:rsidRPr="00345E7F" w:rsidR="00282DD6" w:rsidP="00FE4186" w:rsidRDefault="00282DD6" w14:paraId="5372607A" w14:textId="77777777">
            <w:pPr>
              <w:pStyle w:val="BodyText"/>
              <w:rPr>
                <w:rFonts w:cs="Arial" w:asciiTheme="minorHAnsi" w:hAnsiTheme="minorHAnsi"/>
                <w:sz w:val="20"/>
              </w:rPr>
            </w:pPr>
            <w:r w:rsidRPr="00345E7F">
              <w:rPr>
                <w:rFonts w:cs="Arial" w:asciiTheme="minorHAnsi" w:hAnsiTheme="minorHAnsi"/>
                <w:sz w:val="20"/>
              </w:rPr>
              <w:t>Severe neurological impairment.</w:t>
            </w:r>
          </w:p>
        </w:tc>
      </w:tr>
      <w:tr w:rsidRPr="003A7895" w:rsidR="00282DD6" w:rsidTr="0039069A" w14:paraId="49C5A404" w14:textId="77777777">
        <w:trPr>
          <w:trHeight w:val="70"/>
        </w:trPr>
        <w:tc>
          <w:tcPr>
            <w:tcW w:w="1872" w:type="dxa"/>
          </w:tcPr>
          <w:p w:rsidRPr="00B53E9B" w:rsidR="00282DD6" w:rsidP="00FE4186" w:rsidRDefault="00282DD6" w14:paraId="2D46631A"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13" w:type="dxa"/>
          </w:tcPr>
          <w:p w:rsidRPr="00DF0FC3" w:rsidR="00282DD6" w:rsidP="00FE4186" w:rsidRDefault="00282DD6" w14:paraId="0054A189" w14:textId="77777777">
            <w:pPr>
              <w:pStyle w:val="BodyText"/>
              <w:rPr>
                <w:rFonts w:cs="Arial" w:asciiTheme="minorHAnsi" w:hAnsiTheme="minorHAnsi"/>
                <w:sz w:val="20"/>
              </w:rPr>
            </w:pPr>
            <w:r w:rsidRPr="00345E7F">
              <w:rPr>
                <w:rFonts w:cs="Arial" w:asciiTheme="minorHAnsi" w:hAnsiTheme="minorHAnsi"/>
                <w:sz w:val="20"/>
              </w:rPr>
              <w:t>Propranolol</w:t>
            </w:r>
            <w:r>
              <w:rPr>
                <w:rFonts w:cs="Arial" w:asciiTheme="minorHAnsi" w:hAnsiTheme="minorHAnsi"/>
                <w:sz w:val="20"/>
              </w:rPr>
              <w:t>: An enhanced pressor response to phenylephrine has been shown in patients on propranolol (blocks the beta-adrenergic vasodilation that normally reduces the blood pressure effect)</w:t>
            </w:r>
            <w:r w:rsidRPr="00DF0FC3">
              <w:rPr>
                <w:rFonts w:cs="Arial" w:asciiTheme="minorHAnsi" w:hAnsiTheme="minorHAnsi"/>
                <w:sz w:val="20"/>
              </w:rPr>
              <w:t xml:space="preserve">. </w:t>
            </w:r>
          </w:p>
        </w:tc>
      </w:tr>
      <w:tr w:rsidRPr="003A7895" w:rsidR="00282DD6" w:rsidTr="0039069A" w14:paraId="1B4F138B" w14:textId="77777777">
        <w:trPr>
          <w:trHeight w:val="332"/>
        </w:trPr>
        <w:tc>
          <w:tcPr>
            <w:tcW w:w="1872" w:type="dxa"/>
          </w:tcPr>
          <w:p w:rsidRPr="00B53E9B" w:rsidR="00282DD6" w:rsidP="00FE4186" w:rsidRDefault="00282DD6" w14:paraId="3E31FD7A"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13" w:type="dxa"/>
          </w:tcPr>
          <w:p w:rsidRPr="00345E7F" w:rsidR="00282DD6" w:rsidP="00FE4186" w:rsidRDefault="00282DD6" w14:paraId="1ED61940" w14:textId="77777777">
            <w:pPr>
              <w:pStyle w:val="BodyText"/>
              <w:rPr>
                <w:rFonts w:cs="Arial" w:asciiTheme="minorHAnsi" w:hAnsiTheme="minorHAnsi"/>
                <w:sz w:val="20"/>
              </w:rPr>
            </w:pPr>
            <w:r w:rsidRPr="00345E7F">
              <w:rPr>
                <w:rFonts w:cs="Arial" w:asciiTheme="minorHAnsi" w:hAnsiTheme="minorHAnsi"/>
                <w:sz w:val="20"/>
              </w:rPr>
              <w:t xml:space="preserve">These usually only occur with excess dosing. </w:t>
            </w:r>
          </w:p>
          <w:p w:rsidRPr="00DF0FC3" w:rsidR="00282DD6" w:rsidP="00FE4186" w:rsidRDefault="00282DD6" w14:paraId="16935D42" w14:textId="77777777">
            <w:pPr>
              <w:pStyle w:val="BodyText"/>
              <w:rPr>
                <w:rFonts w:cs="Arial" w:asciiTheme="minorHAnsi" w:hAnsiTheme="minorHAnsi"/>
                <w:sz w:val="20"/>
              </w:rPr>
            </w:pPr>
            <w:r w:rsidRPr="00345E7F">
              <w:rPr>
                <w:rFonts w:cs="Arial" w:asciiTheme="minorHAnsi" w:hAnsiTheme="minorHAnsi"/>
                <w:sz w:val="20"/>
              </w:rPr>
              <w:lastRenderedPageBreak/>
              <w:t xml:space="preserve">Anticholinergic side effects include fever, tachycardia, vasodilation, dry mouth, </w:t>
            </w:r>
            <w:r w:rsidRPr="00DF0FC3">
              <w:rPr>
                <w:rFonts w:cs="Arial" w:asciiTheme="minorHAnsi" w:hAnsiTheme="minorHAnsi"/>
                <w:sz w:val="20"/>
              </w:rPr>
              <w:t>restlessness, delayed gastric emptying and decreased gastrointestinal motility</w:t>
            </w:r>
            <w:r>
              <w:rPr>
                <w:rFonts w:cs="Arial" w:asciiTheme="minorHAnsi" w:hAnsiTheme="minorHAnsi"/>
                <w:sz w:val="20"/>
              </w:rPr>
              <w:t>,</w:t>
            </w:r>
            <w:r w:rsidRPr="00DF0FC3">
              <w:rPr>
                <w:rFonts w:cs="Arial" w:asciiTheme="minorHAnsi" w:hAnsiTheme="minorHAnsi"/>
                <w:sz w:val="20"/>
              </w:rPr>
              <w:t xml:space="preserve"> and urinary retention. </w:t>
            </w:r>
          </w:p>
          <w:p w:rsidRPr="003B070D" w:rsidR="00282DD6" w:rsidP="00FE4186" w:rsidRDefault="00282DD6" w14:paraId="2E6D5883" w14:textId="77777777">
            <w:pPr>
              <w:pStyle w:val="BodyText"/>
              <w:rPr>
                <w:rFonts w:cs="Arial" w:asciiTheme="minorHAnsi" w:hAnsiTheme="minorHAnsi"/>
                <w:sz w:val="20"/>
              </w:rPr>
            </w:pPr>
            <w:r w:rsidRPr="003B070D">
              <w:rPr>
                <w:rFonts w:cs="Arial" w:asciiTheme="minorHAnsi" w:hAnsiTheme="minorHAnsi"/>
                <w:sz w:val="20"/>
              </w:rPr>
              <w:t>Alpha</w:t>
            </w:r>
            <w:r>
              <w:rPr>
                <w:rFonts w:cs="Arial" w:asciiTheme="minorHAnsi" w:hAnsiTheme="minorHAnsi"/>
                <w:sz w:val="20"/>
              </w:rPr>
              <w:t>-</w:t>
            </w:r>
            <w:r w:rsidRPr="00DF0FC3">
              <w:rPr>
                <w:rFonts w:cs="Arial" w:asciiTheme="minorHAnsi" w:hAnsiTheme="minorHAnsi"/>
                <w:sz w:val="20"/>
              </w:rPr>
              <w:t>adrenergic side effects include decreased pulmonary compliance, tidal volume and peak airflow in babies with bronchopulmonary dysplasia.</w:t>
            </w:r>
          </w:p>
          <w:p w:rsidRPr="00345E7F" w:rsidR="00282DD6" w:rsidP="00FE4186" w:rsidRDefault="00282DD6" w14:paraId="33E96186" w14:textId="77777777">
            <w:pPr>
              <w:pStyle w:val="BodyText"/>
              <w:rPr>
                <w:rFonts w:cs="Arial" w:asciiTheme="minorHAnsi" w:hAnsiTheme="minorHAnsi"/>
                <w:sz w:val="20"/>
              </w:rPr>
            </w:pPr>
            <w:r w:rsidRPr="00345E7F">
              <w:rPr>
                <w:rFonts w:cs="Arial" w:asciiTheme="minorHAnsi" w:hAnsiTheme="minorHAnsi"/>
                <w:sz w:val="20"/>
              </w:rPr>
              <w:t>Increased heart rate and blood pressure.</w:t>
            </w:r>
          </w:p>
        </w:tc>
      </w:tr>
      <w:tr w:rsidRPr="003A7895" w:rsidR="00282DD6" w:rsidTr="0039069A" w14:paraId="33F3BC50" w14:textId="77777777">
        <w:trPr>
          <w:trHeight w:val="180"/>
        </w:trPr>
        <w:tc>
          <w:tcPr>
            <w:tcW w:w="1872" w:type="dxa"/>
          </w:tcPr>
          <w:p w:rsidRPr="00B53E9B" w:rsidR="00282DD6" w:rsidP="00FE4186" w:rsidRDefault="00282DD6" w14:paraId="43AD885F" w14:textId="77777777">
            <w:pPr>
              <w:pStyle w:val="BodyText"/>
              <w:rPr>
                <w:rFonts w:cs="Arial"/>
                <w:b/>
                <w:bCs/>
                <w:sz w:val="20"/>
              </w:rPr>
            </w:pPr>
            <w:r w:rsidRPr="00B53E9B">
              <w:rPr>
                <w:rFonts w:cs="Arial"/>
                <w:b/>
                <w:bCs/>
                <w:sz w:val="20"/>
              </w:rPr>
              <w:lastRenderedPageBreak/>
              <w:t>Compatibility</w:t>
            </w:r>
          </w:p>
        </w:tc>
        <w:tc>
          <w:tcPr>
            <w:tcW w:w="7513" w:type="dxa"/>
          </w:tcPr>
          <w:p w:rsidRPr="00345E7F" w:rsidR="00282DD6" w:rsidP="00FE4186" w:rsidRDefault="00282DD6" w14:paraId="73558C49" w14:textId="77777777">
            <w:pPr>
              <w:pStyle w:val="BodyText"/>
              <w:rPr>
                <w:rFonts w:asciiTheme="minorHAnsi" w:hAnsiTheme="minorHAnsi"/>
                <w:sz w:val="20"/>
              </w:rPr>
            </w:pPr>
            <w:r w:rsidRPr="00345E7F">
              <w:rPr>
                <w:rFonts w:asciiTheme="minorHAnsi" w:hAnsiTheme="minorHAnsi"/>
                <w:sz w:val="20"/>
              </w:rPr>
              <w:t>N/A</w:t>
            </w:r>
          </w:p>
        </w:tc>
      </w:tr>
      <w:tr w:rsidRPr="003A7895" w:rsidR="00282DD6" w:rsidTr="0039069A" w14:paraId="681326CE" w14:textId="77777777">
        <w:trPr>
          <w:trHeight w:val="230"/>
        </w:trPr>
        <w:tc>
          <w:tcPr>
            <w:tcW w:w="1872" w:type="dxa"/>
          </w:tcPr>
          <w:p w:rsidRPr="00B53E9B" w:rsidR="00282DD6" w:rsidP="00FE4186" w:rsidRDefault="00282DD6" w14:paraId="288C2334" w14:textId="77777777">
            <w:pPr>
              <w:pStyle w:val="BodyText"/>
              <w:rPr>
                <w:rFonts w:cs="Arial"/>
                <w:b/>
                <w:bCs/>
                <w:sz w:val="20"/>
              </w:rPr>
            </w:pPr>
            <w:r w:rsidRPr="00B53E9B">
              <w:rPr>
                <w:rFonts w:cs="Arial"/>
                <w:b/>
                <w:bCs/>
                <w:sz w:val="20"/>
              </w:rPr>
              <w:t>Incompatibility</w:t>
            </w:r>
          </w:p>
        </w:tc>
        <w:tc>
          <w:tcPr>
            <w:tcW w:w="7513" w:type="dxa"/>
          </w:tcPr>
          <w:p w:rsidRPr="00345E7F" w:rsidR="00282DD6" w:rsidP="00FE4186" w:rsidRDefault="00282DD6" w14:paraId="232F4913" w14:textId="77777777">
            <w:pPr>
              <w:pStyle w:val="BodyText"/>
              <w:rPr>
                <w:rFonts w:cs="Arial" w:asciiTheme="minorHAnsi" w:hAnsiTheme="minorHAnsi"/>
                <w:sz w:val="20"/>
              </w:rPr>
            </w:pPr>
            <w:r w:rsidRPr="00345E7F">
              <w:rPr>
                <w:rFonts w:cs="Arial" w:asciiTheme="minorHAnsi" w:hAnsiTheme="minorHAnsi"/>
                <w:sz w:val="20"/>
              </w:rPr>
              <w:t>N/A</w:t>
            </w:r>
          </w:p>
        </w:tc>
      </w:tr>
      <w:tr w:rsidRPr="003A7895" w:rsidR="00282DD6" w:rsidTr="0039069A" w14:paraId="5254F47C" w14:textId="77777777">
        <w:trPr>
          <w:trHeight w:val="79"/>
        </w:trPr>
        <w:tc>
          <w:tcPr>
            <w:tcW w:w="1872" w:type="dxa"/>
          </w:tcPr>
          <w:p w:rsidRPr="00B53E9B" w:rsidR="00282DD6" w:rsidP="00FE4186" w:rsidRDefault="00282DD6" w14:paraId="41C4A2EC" w14:textId="77777777">
            <w:pPr>
              <w:pStyle w:val="BodyText"/>
              <w:rPr>
                <w:rFonts w:cs="Arial"/>
                <w:b/>
                <w:bCs/>
                <w:sz w:val="20"/>
              </w:rPr>
            </w:pPr>
            <w:r w:rsidRPr="00B53E9B">
              <w:rPr>
                <w:rFonts w:cs="Arial"/>
                <w:b/>
                <w:bCs/>
                <w:sz w:val="20"/>
              </w:rPr>
              <w:t>Stability</w:t>
            </w:r>
          </w:p>
        </w:tc>
        <w:tc>
          <w:tcPr>
            <w:tcW w:w="7513" w:type="dxa"/>
          </w:tcPr>
          <w:p w:rsidRPr="00345E7F" w:rsidR="00282DD6" w:rsidP="00FE4186" w:rsidRDefault="00282DD6" w14:paraId="2FAB1BC4" w14:textId="77777777">
            <w:pPr>
              <w:pStyle w:val="BodyText"/>
              <w:rPr>
                <w:rFonts w:cs="Arial" w:asciiTheme="minorHAnsi" w:hAnsiTheme="minorHAnsi"/>
                <w:sz w:val="20"/>
              </w:rPr>
            </w:pPr>
            <w:r w:rsidRPr="00345E7F">
              <w:rPr>
                <w:rFonts w:cs="Arial" w:asciiTheme="minorHAnsi" w:hAnsiTheme="minorHAnsi"/>
                <w:sz w:val="20"/>
              </w:rPr>
              <w:t>Single use only. Discard after use.</w:t>
            </w:r>
          </w:p>
        </w:tc>
      </w:tr>
      <w:tr w:rsidRPr="003A7895" w:rsidR="00282DD6" w:rsidTr="0039069A" w14:paraId="286236E5" w14:textId="77777777">
        <w:trPr>
          <w:trHeight w:val="70"/>
        </w:trPr>
        <w:tc>
          <w:tcPr>
            <w:tcW w:w="1872" w:type="dxa"/>
          </w:tcPr>
          <w:p w:rsidRPr="00B53E9B" w:rsidR="00282DD6" w:rsidP="00FE4186" w:rsidRDefault="00282DD6" w14:paraId="2034216D" w14:textId="77777777">
            <w:pPr>
              <w:pStyle w:val="BodyText"/>
              <w:rPr>
                <w:rFonts w:cs="Arial"/>
                <w:b/>
                <w:bCs/>
                <w:sz w:val="20"/>
              </w:rPr>
            </w:pPr>
            <w:r w:rsidRPr="00B53E9B">
              <w:rPr>
                <w:rFonts w:cs="Arial"/>
                <w:b/>
                <w:bCs/>
                <w:sz w:val="20"/>
              </w:rPr>
              <w:t xml:space="preserve">Storage </w:t>
            </w:r>
          </w:p>
        </w:tc>
        <w:tc>
          <w:tcPr>
            <w:tcW w:w="7513" w:type="dxa"/>
          </w:tcPr>
          <w:p w:rsidRPr="00DF0FC3" w:rsidR="00282DD6" w:rsidP="00FE4186" w:rsidRDefault="00282DD6" w14:paraId="0AF3070D" w14:textId="77777777">
            <w:pPr>
              <w:pStyle w:val="BodyText"/>
              <w:rPr>
                <w:rFonts w:cs="Arial" w:asciiTheme="minorHAnsi" w:hAnsiTheme="minorHAnsi"/>
                <w:sz w:val="20"/>
              </w:rPr>
            </w:pPr>
            <w:r w:rsidRPr="00C9279F">
              <w:rPr>
                <w:rFonts w:cs="Arial" w:asciiTheme="minorHAnsi" w:hAnsiTheme="minorHAnsi"/>
                <w:sz w:val="20"/>
              </w:rPr>
              <w:t xml:space="preserve">Store at </w:t>
            </w:r>
            <w:r w:rsidRPr="00345E7F">
              <w:rPr>
                <w:rFonts w:cs="Arial" w:asciiTheme="minorHAnsi" w:hAnsiTheme="minorHAnsi"/>
                <w:sz w:val="20"/>
              </w:rPr>
              <w:t>room temperature &lt;</w:t>
            </w:r>
            <w:r>
              <w:rPr>
                <w:rFonts w:cs="Arial" w:asciiTheme="minorHAnsi" w:hAnsiTheme="minorHAnsi"/>
                <w:sz w:val="20"/>
              </w:rPr>
              <w:t xml:space="preserve"> </w:t>
            </w:r>
            <w:r w:rsidRPr="00DF0FC3">
              <w:rPr>
                <w:rFonts w:cs="Arial" w:asciiTheme="minorHAnsi" w:hAnsiTheme="minorHAnsi"/>
                <w:sz w:val="20"/>
              </w:rPr>
              <w:t>25</w:t>
            </w:r>
            <w:r w:rsidRPr="003B070D">
              <w:rPr>
                <w:rFonts w:cs="Arial" w:asciiTheme="minorHAnsi" w:hAnsiTheme="minorHAnsi"/>
                <w:sz w:val="20"/>
              </w:rPr>
              <w:t>°C</w:t>
            </w:r>
            <w:r w:rsidRPr="00C9279F">
              <w:rPr>
                <w:rFonts w:cs="Arial" w:asciiTheme="minorHAnsi" w:hAnsiTheme="minorHAnsi"/>
                <w:sz w:val="20"/>
              </w:rPr>
              <w:t>.</w:t>
            </w:r>
          </w:p>
        </w:tc>
      </w:tr>
      <w:tr w:rsidRPr="003A7895" w:rsidR="00282DD6" w:rsidTr="0039069A" w14:paraId="4238D902" w14:textId="77777777">
        <w:trPr>
          <w:trHeight w:val="70"/>
        </w:trPr>
        <w:tc>
          <w:tcPr>
            <w:tcW w:w="1872" w:type="dxa"/>
          </w:tcPr>
          <w:p w:rsidRPr="00B53E9B" w:rsidR="00282DD6" w:rsidP="00FE4186" w:rsidRDefault="00282DD6" w14:paraId="5AE0B95E" w14:textId="77777777">
            <w:pPr>
              <w:pStyle w:val="BodyText"/>
              <w:rPr>
                <w:rFonts w:cs="Arial"/>
                <w:b/>
                <w:bCs/>
                <w:sz w:val="20"/>
              </w:rPr>
            </w:pPr>
            <w:r w:rsidRPr="00B53E9B">
              <w:rPr>
                <w:rFonts w:cs="Arial"/>
                <w:b/>
                <w:bCs/>
                <w:sz w:val="20"/>
              </w:rPr>
              <w:t>Excipients</w:t>
            </w:r>
          </w:p>
        </w:tc>
        <w:tc>
          <w:tcPr>
            <w:tcW w:w="7513" w:type="dxa"/>
          </w:tcPr>
          <w:p w:rsidRPr="00026F20" w:rsidR="00282DD6" w:rsidP="00FE4186" w:rsidRDefault="00282DD6" w14:paraId="7A34449B" w14:textId="77777777">
            <w:pPr>
              <w:pStyle w:val="BodyText"/>
              <w:rPr>
                <w:rFonts w:cs="Arial"/>
                <w:sz w:val="20"/>
              </w:rPr>
            </w:pPr>
            <w:r w:rsidRPr="00345E7F">
              <w:rPr>
                <w:rFonts w:cs="Arial" w:asciiTheme="minorHAnsi" w:hAnsiTheme="minorHAnsi"/>
                <w:sz w:val="20"/>
              </w:rPr>
              <w:t>Preservative: Benzalkonium chloride 0.01%. Inactives: Edetate disodium, boric acid, hydrochloric acid and/or sodium carbonate (to adjust pH), purified water.</w:t>
            </w:r>
          </w:p>
        </w:tc>
      </w:tr>
      <w:tr w:rsidRPr="003A7895" w:rsidR="00282DD6" w:rsidTr="0039069A" w14:paraId="230B51F8" w14:textId="77777777">
        <w:trPr>
          <w:trHeight w:val="270"/>
        </w:trPr>
        <w:tc>
          <w:tcPr>
            <w:tcW w:w="1872" w:type="dxa"/>
          </w:tcPr>
          <w:p w:rsidRPr="00B53E9B" w:rsidR="00282DD6" w:rsidP="00FE4186" w:rsidRDefault="00282DD6" w14:paraId="19E9EE61"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13" w:type="dxa"/>
          </w:tcPr>
          <w:p w:rsidRPr="00345E7F" w:rsidR="00282DD6" w:rsidP="00FE4186" w:rsidRDefault="00282DD6" w14:paraId="3E6AD21C" w14:textId="77777777">
            <w:pPr>
              <w:pStyle w:val="BodyText"/>
              <w:rPr>
                <w:rFonts w:cs="Arial" w:asciiTheme="minorHAnsi" w:hAnsiTheme="minorHAnsi"/>
                <w:sz w:val="20"/>
              </w:rPr>
            </w:pPr>
            <w:r w:rsidRPr="00345E7F">
              <w:rPr>
                <w:rFonts w:cs="Arial" w:asciiTheme="minorHAnsi" w:hAnsiTheme="minorHAnsi"/>
                <w:sz w:val="20"/>
              </w:rPr>
              <w:t>Cyclomydril is an unapproved medicine in Australia and New Zealand.</w:t>
            </w:r>
          </w:p>
        </w:tc>
      </w:tr>
      <w:tr w:rsidRPr="003A7895" w:rsidR="00282DD6" w:rsidTr="0039069A" w14:paraId="79696BFA" w14:textId="77777777">
        <w:trPr>
          <w:trHeight w:val="280"/>
        </w:trPr>
        <w:tc>
          <w:tcPr>
            <w:tcW w:w="1872" w:type="dxa"/>
          </w:tcPr>
          <w:p w:rsidRPr="00B53E9B" w:rsidR="00282DD6" w:rsidP="00FE4186" w:rsidRDefault="00282DD6" w14:paraId="045449C0" w14:textId="77777777">
            <w:pPr>
              <w:pStyle w:val="BodyText"/>
              <w:rPr>
                <w:rFonts w:cs="Arial"/>
                <w:b/>
                <w:bCs/>
                <w:sz w:val="20"/>
              </w:rPr>
            </w:pPr>
            <w:r w:rsidRPr="00B53E9B">
              <w:rPr>
                <w:rFonts w:cs="Arial"/>
                <w:b/>
                <w:bCs/>
                <w:sz w:val="20"/>
              </w:rPr>
              <w:t>Evidence</w:t>
            </w:r>
          </w:p>
        </w:tc>
        <w:tc>
          <w:tcPr>
            <w:tcW w:w="7513" w:type="dxa"/>
          </w:tcPr>
          <w:p w:rsidRPr="0039069A" w:rsidR="00282DD6" w:rsidP="00FE4186" w:rsidRDefault="00282DD6" w14:paraId="309DF622" w14:textId="77777777">
            <w:pPr>
              <w:pStyle w:val="BodyText"/>
              <w:tabs>
                <w:tab w:val="left" w:pos="1168"/>
              </w:tabs>
              <w:rPr>
                <w:rFonts w:asciiTheme="minorHAnsi" w:hAnsiTheme="minorHAnsi" w:cstheme="minorHAnsi"/>
                <w:b/>
                <w:sz w:val="16"/>
                <w:szCs w:val="16"/>
                <w:u w:val="single"/>
              </w:rPr>
            </w:pPr>
            <w:r w:rsidRPr="0039069A">
              <w:rPr>
                <w:rFonts w:asciiTheme="minorHAnsi" w:hAnsiTheme="minorHAnsi" w:cstheme="minorHAnsi"/>
                <w:b/>
                <w:sz w:val="16"/>
                <w:szCs w:val="16"/>
                <w:u w:val="single"/>
              </w:rPr>
              <w:t>Efficacy</w:t>
            </w:r>
          </w:p>
          <w:p w:rsidRPr="0039069A" w:rsidR="00282DD6" w:rsidP="00FE4186" w:rsidRDefault="00282DD6" w14:paraId="36F856B6" w14:textId="77777777">
            <w:pPr>
              <w:pStyle w:val="BodyText"/>
              <w:tabs>
                <w:tab w:val="left" w:pos="1168"/>
              </w:tabs>
              <w:rPr>
                <w:rFonts w:asciiTheme="minorHAnsi" w:hAnsiTheme="minorHAnsi" w:cstheme="minorHAnsi"/>
                <w:sz w:val="16"/>
                <w:szCs w:val="16"/>
              </w:rPr>
            </w:pPr>
            <w:r w:rsidRPr="0039069A">
              <w:rPr>
                <w:rFonts w:asciiTheme="minorHAnsi" w:hAnsiTheme="minorHAnsi" w:cstheme="minorHAnsi"/>
                <w:b/>
                <w:i/>
                <w:sz w:val="16"/>
                <w:szCs w:val="16"/>
              </w:rPr>
              <w:t>Trials comparing mydriatics:</w:t>
            </w:r>
            <w:r w:rsidRPr="0039069A">
              <w:rPr>
                <w:rFonts w:asciiTheme="minorHAnsi" w:hAnsiTheme="minorHAnsi" w:cstheme="minorHAnsi"/>
                <w:sz w:val="16"/>
                <w:szCs w:val="16"/>
              </w:rPr>
              <w:t xml:space="preserve"> Several controlled studies have reported the mydriatic effect of cyclopentolate 0.2% + phenylephrine 1% [Cyclomydril] in preterm infants screened for ROP. Isenberg et al </w:t>
            </w:r>
            <w:r w:rsidRPr="0039069A">
              <w:rPr>
                <w:rFonts w:asciiTheme="minorHAnsi" w:hAnsiTheme="minorHAnsi" w:cstheme="minorHAnsi"/>
                <w:noProof/>
                <w:sz w:val="16"/>
                <w:szCs w:val="16"/>
              </w:rPr>
              <w:t>[1],</w:t>
            </w:r>
            <w:r w:rsidRPr="0039069A">
              <w:rPr>
                <w:rFonts w:asciiTheme="minorHAnsi" w:hAnsiTheme="minorHAnsi" w:cstheme="minorHAnsi"/>
                <w:sz w:val="16"/>
                <w:szCs w:val="16"/>
              </w:rPr>
              <w:t xml:space="preserve"> in 30 preterm infants, reported that the cyclopentolate 0.2% + phenylephrine 1% combination produced greater mydriasis and longer duration of mydriasis than cyclopentolate 0.5% + tropicamide 0.5% or cyclopentolate 0.5% alone [LOE III-2]. Chew et al</w:t>
            </w:r>
            <w:r w:rsidRPr="0039069A">
              <w:rPr>
                <w:rFonts w:asciiTheme="minorHAnsi" w:hAnsiTheme="minorHAnsi" w:cstheme="minorHAnsi"/>
                <w:noProof/>
                <w:sz w:val="16"/>
                <w:szCs w:val="16"/>
              </w:rPr>
              <w:t>[2],</w:t>
            </w:r>
            <w:r w:rsidRPr="0039069A">
              <w:rPr>
                <w:rFonts w:asciiTheme="minorHAnsi" w:hAnsiTheme="minorHAnsi" w:cstheme="minorHAnsi"/>
                <w:sz w:val="16"/>
                <w:szCs w:val="16"/>
              </w:rPr>
              <w:t xml:space="preserve"> in 39 infants with dark irides randomly allocated to cyclopentolate 1% + phenylephrine 2.5% versus tropicamide 1% + phenylephrine 2.5% versus cyclopentolate 0.2% with phenylephrine 1%, reported all three mydriatic regimens provided adequate pupillary dilation at 45 minutes, with dilation sustained at 60 minutes. They concluded the combination cyclopentolate 0.2% + phenylephrine 1% provided adequate pupillary dilation with the least systemic side effects [LOE II].</w:t>
            </w:r>
          </w:p>
          <w:p w:rsidRPr="0039069A" w:rsidR="00282DD6" w:rsidP="00FE4186" w:rsidRDefault="00282DD6" w14:paraId="70234E38" w14:textId="77777777">
            <w:pPr>
              <w:autoSpaceDE w:val="0"/>
              <w:autoSpaceDN w:val="0"/>
              <w:adjustRightInd w:val="0"/>
              <w:rPr>
                <w:rFonts w:asciiTheme="minorHAnsi" w:hAnsiTheme="minorHAnsi" w:cstheme="minorHAnsi"/>
                <w:sz w:val="16"/>
                <w:szCs w:val="16"/>
                <w:lang w:eastAsia="en-AU"/>
              </w:rPr>
            </w:pPr>
            <w:r w:rsidRPr="0039069A">
              <w:rPr>
                <w:rFonts w:asciiTheme="minorHAnsi" w:hAnsiTheme="minorHAnsi" w:cstheme="minorHAnsi"/>
                <w:b/>
                <w:i/>
                <w:sz w:val="16"/>
                <w:szCs w:val="16"/>
              </w:rPr>
              <w:t>Trials assessing dose:</w:t>
            </w:r>
            <w:r w:rsidRPr="0039069A">
              <w:rPr>
                <w:rFonts w:asciiTheme="minorHAnsi" w:hAnsiTheme="minorHAnsi" w:cstheme="minorHAnsi"/>
                <w:sz w:val="16"/>
                <w:szCs w:val="16"/>
              </w:rPr>
              <w:t xml:space="preserve"> Punyawattanaporn et al</w:t>
            </w:r>
            <w:r w:rsidRPr="0039069A">
              <w:rPr>
                <w:rFonts w:asciiTheme="minorHAnsi" w:hAnsiTheme="minorHAnsi" w:cstheme="minorHAnsi"/>
                <w:noProof/>
                <w:sz w:val="16"/>
                <w:szCs w:val="16"/>
              </w:rPr>
              <w:t>[3],</w:t>
            </w:r>
            <w:r w:rsidRPr="0039069A">
              <w:rPr>
                <w:rFonts w:asciiTheme="minorHAnsi" w:hAnsiTheme="minorHAnsi" w:cstheme="minorHAnsi"/>
                <w:sz w:val="16"/>
                <w:szCs w:val="16"/>
              </w:rPr>
              <w:t xml:space="preserve"> in 70 preterm infants with each eye randomly allocated, reported the pupil size was larger after three drops of cyclopentolate 0.2% + phenylephrine 1.0% than after a single drop. However, a dilated pupil diameter ≥ 6 mm, adequate for the peripheral retina examination, was not obtained at 60 minutes in 21.4% of eyes after 1 drop and only 1.4% after 3 drops [LOE II]. </w:t>
            </w:r>
            <w:r w:rsidRPr="0039069A">
              <w:rPr>
                <w:rFonts w:asciiTheme="minorHAnsi" w:hAnsiTheme="minorHAnsi" w:cstheme="minorHAnsi"/>
                <w:sz w:val="16"/>
                <w:szCs w:val="16"/>
                <w:lang w:eastAsia="en-AU"/>
              </w:rPr>
              <w:t xml:space="preserve">Vincente et al </w:t>
            </w:r>
            <w:r w:rsidRPr="0039069A">
              <w:rPr>
                <w:rFonts w:asciiTheme="minorHAnsi" w:hAnsiTheme="minorHAnsi" w:cstheme="minorHAnsi"/>
                <w:noProof/>
                <w:sz w:val="16"/>
                <w:szCs w:val="16"/>
                <w:lang w:eastAsia="en-AU"/>
              </w:rPr>
              <w:t>[4],</w:t>
            </w:r>
            <w:r w:rsidRPr="0039069A">
              <w:rPr>
                <w:rFonts w:asciiTheme="minorHAnsi" w:hAnsiTheme="minorHAnsi" w:cstheme="minorHAnsi"/>
                <w:sz w:val="16"/>
                <w:szCs w:val="16"/>
                <w:lang w:eastAsia="en-AU"/>
              </w:rPr>
              <w:t xml:space="preserve"> in 64 eye examinations performed on 15 enrolled infants, with the left eye randomly allocated to receive to receive either 0, 1 or 2 drops of cyclopentolate 0.2% and phenylephrine 1%, reported that effective mydriasis was achieved in the test eye with 1 or 2 drops and sustained to 120 minutes. Retinal examinations could be completed by 90 minutes in most infants with the use of 1 drop [LOE II].</w:t>
            </w:r>
          </w:p>
          <w:p w:rsidRPr="0039069A" w:rsidR="00282DD6" w:rsidP="00FE4186" w:rsidRDefault="00282DD6" w14:paraId="157CACD6" w14:textId="77777777">
            <w:pPr>
              <w:pStyle w:val="BodyText"/>
              <w:tabs>
                <w:tab w:val="left" w:pos="1168"/>
              </w:tabs>
              <w:rPr>
                <w:rFonts w:asciiTheme="minorHAnsi" w:hAnsiTheme="minorHAnsi" w:cstheme="minorHAnsi"/>
                <w:b/>
                <w:sz w:val="16"/>
                <w:szCs w:val="16"/>
                <w:u w:val="single"/>
              </w:rPr>
            </w:pPr>
          </w:p>
          <w:p w:rsidRPr="0039069A" w:rsidR="00282DD6" w:rsidP="00FE4186" w:rsidRDefault="00282DD6" w14:paraId="6AFF5632" w14:textId="77777777">
            <w:pPr>
              <w:pStyle w:val="BodyText"/>
              <w:tabs>
                <w:tab w:val="left" w:pos="1168"/>
              </w:tabs>
              <w:rPr>
                <w:rFonts w:asciiTheme="minorHAnsi" w:hAnsiTheme="minorHAnsi" w:cstheme="minorHAnsi"/>
                <w:b/>
                <w:sz w:val="16"/>
                <w:szCs w:val="16"/>
                <w:u w:val="single"/>
              </w:rPr>
            </w:pPr>
            <w:r w:rsidRPr="0039069A">
              <w:rPr>
                <w:rFonts w:asciiTheme="minorHAnsi" w:hAnsiTheme="minorHAnsi" w:cstheme="minorHAnsi"/>
                <w:b/>
                <w:sz w:val="16"/>
                <w:szCs w:val="16"/>
                <w:u w:val="single"/>
              </w:rPr>
              <w:t>Side effects</w:t>
            </w:r>
          </w:p>
          <w:p w:rsidRPr="0039069A" w:rsidR="00282DD6" w:rsidP="00FE4186" w:rsidRDefault="00282DD6" w14:paraId="609AAECD" w14:textId="77777777">
            <w:pPr>
              <w:pStyle w:val="BodyText"/>
              <w:tabs>
                <w:tab w:val="left" w:pos="1168"/>
              </w:tabs>
              <w:rPr>
                <w:rFonts w:asciiTheme="minorHAnsi" w:hAnsiTheme="minorHAnsi" w:cstheme="minorHAnsi"/>
                <w:sz w:val="16"/>
                <w:szCs w:val="16"/>
              </w:rPr>
            </w:pPr>
            <w:r w:rsidRPr="0039069A">
              <w:rPr>
                <w:rFonts w:asciiTheme="minorHAnsi" w:hAnsiTheme="minorHAnsi" w:cstheme="minorHAnsi"/>
                <w:sz w:val="16"/>
                <w:szCs w:val="16"/>
              </w:rPr>
              <w:t xml:space="preserve">Isenberg et al </w:t>
            </w:r>
            <w:r w:rsidRPr="0039069A">
              <w:rPr>
                <w:rFonts w:asciiTheme="minorHAnsi" w:hAnsiTheme="minorHAnsi" w:cstheme="minorHAnsi"/>
                <w:noProof/>
                <w:sz w:val="16"/>
                <w:szCs w:val="16"/>
              </w:rPr>
              <w:t>[1]</w:t>
            </w:r>
            <w:r w:rsidRPr="0039069A">
              <w:rPr>
                <w:rFonts w:asciiTheme="minorHAnsi" w:hAnsiTheme="minorHAnsi" w:cstheme="minorHAnsi"/>
                <w:sz w:val="16"/>
                <w:szCs w:val="16"/>
              </w:rPr>
              <w:t xml:space="preserve"> showed no clinically significant effect on systolic blood pressure or pulse rate [LOE III-2]. Chew et al </w:t>
            </w:r>
            <w:r w:rsidRPr="0039069A">
              <w:rPr>
                <w:rFonts w:asciiTheme="minorHAnsi" w:hAnsiTheme="minorHAnsi" w:cstheme="minorHAnsi"/>
                <w:noProof/>
                <w:sz w:val="16"/>
                <w:szCs w:val="16"/>
              </w:rPr>
              <w:t>[2],</w:t>
            </w:r>
            <w:r w:rsidRPr="0039069A">
              <w:rPr>
                <w:rFonts w:asciiTheme="minorHAnsi" w:hAnsiTheme="minorHAnsi" w:cstheme="minorHAnsi"/>
                <w:sz w:val="16"/>
                <w:szCs w:val="16"/>
              </w:rPr>
              <w:t xml:space="preserve"> in 39 infants, reported a significant increase in mean blood pressure in infants allocated cyclopentolate 1% + phenylephrine 2.5% and the tropicamide 1% + phenylephrine 2.5% groups but not cyclopentolate 0.2% + phenylephrine 1%. They concluded the combination cyclopentolate 0.2% + phenylephrine 1% provided adequate pupillary dilation with the least systemic side effects [LOE II]. </w:t>
            </w:r>
          </w:p>
          <w:p w:rsidRPr="0039069A" w:rsidR="00282DD6" w:rsidP="00FE4186" w:rsidRDefault="00282DD6" w14:paraId="2930EB61" w14:textId="77777777">
            <w:pPr>
              <w:autoSpaceDE w:val="0"/>
              <w:autoSpaceDN w:val="0"/>
              <w:adjustRightInd w:val="0"/>
              <w:rPr>
                <w:rFonts w:asciiTheme="minorHAnsi" w:hAnsiTheme="minorHAnsi" w:cstheme="minorHAnsi"/>
                <w:sz w:val="16"/>
                <w:szCs w:val="16"/>
              </w:rPr>
            </w:pPr>
            <w:r w:rsidRPr="0039069A">
              <w:rPr>
                <w:rFonts w:asciiTheme="minorHAnsi" w:hAnsiTheme="minorHAnsi" w:cstheme="minorHAnsi"/>
                <w:sz w:val="16"/>
                <w:szCs w:val="16"/>
              </w:rPr>
              <w:t xml:space="preserve">Mitchell et al </w:t>
            </w:r>
            <w:r w:rsidRPr="0039069A">
              <w:rPr>
                <w:rFonts w:asciiTheme="minorHAnsi" w:hAnsiTheme="minorHAnsi" w:cstheme="minorHAnsi"/>
                <w:noProof/>
                <w:sz w:val="16"/>
                <w:szCs w:val="16"/>
              </w:rPr>
              <w:t>[5],</w:t>
            </w:r>
            <w:r w:rsidRPr="0039069A">
              <w:rPr>
                <w:rFonts w:asciiTheme="minorHAnsi" w:hAnsiTheme="minorHAnsi" w:cstheme="minorHAnsi"/>
                <w:sz w:val="16"/>
                <w:szCs w:val="16"/>
              </w:rPr>
              <w:t xml:space="preserve"> in infants given cyclopentolate 0.2% + phenylephrine 1% 3 drops at 0, 5 and 10 minutes, reported there was a significant association between cyclopentolate concentrations and gastric residuals in tube-fed infants not receiving oxygen (p = 0.01) [LOE IV]. </w:t>
            </w:r>
          </w:p>
          <w:p w:rsidRPr="0039069A" w:rsidR="00282DD6" w:rsidP="00FE4186" w:rsidRDefault="00282DD6" w14:paraId="54C2BA35" w14:textId="77777777">
            <w:pPr>
              <w:pStyle w:val="BodyText"/>
              <w:tabs>
                <w:tab w:val="left" w:pos="1168"/>
              </w:tabs>
              <w:rPr>
                <w:rFonts w:asciiTheme="minorHAnsi" w:hAnsiTheme="minorHAnsi" w:cstheme="minorHAnsi"/>
                <w:sz w:val="16"/>
                <w:szCs w:val="16"/>
              </w:rPr>
            </w:pPr>
            <w:r w:rsidRPr="0039069A">
              <w:rPr>
                <w:rFonts w:asciiTheme="minorHAnsi" w:hAnsiTheme="minorHAnsi" w:cstheme="minorHAnsi"/>
                <w:sz w:val="16"/>
                <w:szCs w:val="16"/>
              </w:rPr>
              <w:t xml:space="preserve">There are several case reports of necrotising enterocolitis </w:t>
            </w:r>
            <w:r w:rsidRPr="0039069A">
              <w:rPr>
                <w:rFonts w:asciiTheme="minorHAnsi" w:hAnsiTheme="minorHAnsi" w:cstheme="minorHAnsi"/>
                <w:noProof/>
                <w:sz w:val="16"/>
                <w:szCs w:val="16"/>
              </w:rPr>
              <w:t>[6-8]</w:t>
            </w:r>
            <w:r w:rsidRPr="0039069A">
              <w:rPr>
                <w:rFonts w:asciiTheme="minorHAnsi" w:hAnsiTheme="minorHAnsi" w:cstheme="minorHAnsi"/>
                <w:sz w:val="16"/>
                <w:szCs w:val="16"/>
              </w:rPr>
              <w:t xml:space="preserve">, seizures </w:t>
            </w:r>
            <w:r w:rsidRPr="0039069A">
              <w:rPr>
                <w:rFonts w:asciiTheme="minorHAnsi" w:hAnsiTheme="minorHAnsi" w:cstheme="minorHAnsi"/>
                <w:noProof/>
                <w:sz w:val="16"/>
                <w:szCs w:val="16"/>
              </w:rPr>
              <w:t>[9]</w:t>
            </w:r>
            <w:r w:rsidRPr="0039069A">
              <w:rPr>
                <w:rFonts w:asciiTheme="minorHAnsi" w:hAnsiTheme="minorHAnsi" w:cstheme="minorHAnsi"/>
                <w:sz w:val="16"/>
                <w:szCs w:val="16"/>
              </w:rPr>
              <w:t xml:space="preserve"> and cyclopentolate toxicity </w:t>
            </w:r>
            <w:r w:rsidRPr="0039069A">
              <w:rPr>
                <w:rFonts w:asciiTheme="minorHAnsi" w:hAnsiTheme="minorHAnsi" w:cstheme="minorHAnsi"/>
                <w:noProof/>
                <w:sz w:val="16"/>
                <w:szCs w:val="16"/>
              </w:rPr>
              <w:t>[10]</w:t>
            </w:r>
            <w:r w:rsidRPr="0039069A">
              <w:rPr>
                <w:rFonts w:asciiTheme="minorHAnsi" w:hAnsiTheme="minorHAnsi" w:cstheme="minorHAnsi"/>
                <w:sz w:val="16"/>
                <w:szCs w:val="16"/>
              </w:rPr>
              <w:t xml:space="preserve"> occurring after mydriatic instillation. Cyclopentolate toxicity occurred with cyclopentolate 1%, 1 drop x 6 instillations, and resolved with physostigmine infusion 0.02 mg/kg over 10 minutes. </w:t>
            </w:r>
          </w:p>
          <w:p w:rsidRPr="0039069A" w:rsidR="00282DD6" w:rsidP="00FE4186" w:rsidRDefault="00282DD6" w14:paraId="4D6E7884" w14:textId="77777777">
            <w:pPr>
              <w:pStyle w:val="BodyText"/>
              <w:tabs>
                <w:tab w:val="left" w:pos="1168"/>
              </w:tabs>
              <w:rPr>
                <w:rFonts w:asciiTheme="minorHAnsi" w:hAnsiTheme="minorHAnsi" w:cstheme="minorHAnsi"/>
                <w:sz w:val="16"/>
                <w:szCs w:val="16"/>
              </w:rPr>
            </w:pPr>
            <w:r w:rsidRPr="0039069A">
              <w:rPr>
                <w:rFonts w:asciiTheme="minorHAnsi" w:hAnsiTheme="minorHAnsi" w:cstheme="minorHAnsi"/>
                <w:sz w:val="16"/>
                <w:szCs w:val="16"/>
              </w:rPr>
              <w:t>Nefendorf et al</w:t>
            </w:r>
            <w:r w:rsidRPr="0039069A">
              <w:rPr>
                <w:rFonts w:asciiTheme="minorHAnsi" w:hAnsiTheme="minorHAnsi" w:cstheme="minorHAnsi"/>
                <w:noProof/>
                <w:sz w:val="16"/>
                <w:szCs w:val="16"/>
              </w:rPr>
              <w:t>[11]</w:t>
            </w:r>
            <w:r w:rsidRPr="0039069A">
              <w:rPr>
                <w:rFonts w:asciiTheme="minorHAnsi" w:hAnsiTheme="minorHAnsi" w:cstheme="minorHAnsi"/>
                <w:sz w:val="16"/>
                <w:szCs w:val="16"/>
              </w:rPr>
              <w:t xml:space="preserve"> reported a cohort of 138 infants with 1246 eyes screened during 623 examinations using phenylephrine 2.5% + cyclopentolate 0.5% instilled 3 times, 5 minutes apart. Five infants of 623 (0.8%) having eye examinations had adverse events recorded in the 24-hour period after ROP screening [apnea and/or respiratory deterioration with 4 requiring ventilation]. One case of NEC occurred 1 week post-examination [LOE III-2]. Strube et al </w:t>
            </w:r>
            <w:r w:rsidRPr="0039069A">
              <w:rPr>
                <w:rFonts w:asciiTheme="minorHAnsi" w:hAnsiTheme="minorHAnsi" w:cstheme="minorHAnsi"/>
                <w:noProof/>
                <w:sz w:val="16"/>
                <w:szCs w:val="16"/>
              </w:rPr>
              <w:t>[12]</w:t>
            </w:r>
            <w:r w:rsidRPr="0039069A">
              <w:rPr>
                <w:rFonts w:asciiTheme="minorHAnsi" w:hAnsiTheme="minorHAnsi" w:cstheme="minorHAnsi"/>
                <w:sz w:val="16"/>
                <w:szCs w:val="16"/>
              </w:rPr>
              <w:t xml:space="preserve"> reported in a controlled study that feeding infants 1 hour before compared with withholding feeding 2 or more hours before ROP examinations may reduce percentage crying during the examination, with no increased incidence of vomiting or gastric aspirates [LOE III-2].</w:t>
            </w:r>
          </w:p>
          <w:p w:rsidRPr="0039069A" w:rsidR="00282DD6" w:rsidP="00FE4186" w:rsidRDefault="00282DD6" w14:paraId="2212440F" w14:textId="77777777">
            <w:pPr>
              <w:pStyle w:val="BodyText"/>
              <w:tabs>
                <w:tab w:val="left" w:pos="1168"/>
              </w:tabs>
              <w:rPr>
                <w:rFonts w:asciiTheme="minorHAnsi" w:hAnsiTheme="minorHAnsi" w:cstheme="minorHAnsi"/>
                <w:sz w:val="16"/>
                <w:szCs w:val="16"/>
              </w:rPr>
            </w:pPr>
            <w:r w:rsidRPr="0039069A">
              <w:rPr>
                <w:rFonts w:asciiTheme="minorHAnsi" w:hAnsiTheme="minorHAnsi" w:cstheme="minorHAnsi"/>
                <w:b/>
                <w:i/>
                <w:sz w:val="16"/>
                <w:szCs w:val="16"/>
              </w:rPr>
              <w:t>Conclusion:</w:t>
            </w:r>
            <w:r w:rsidRPr="0039069A">
              <w:rPr>
                <w:rFonts w:asciiTheme="minorHAnsi" w:hAnsiTheme="minorHAnsi" w:cstheme="minorHAnsi"/>
                <w:sz w:val="16"/>
                <w:szCs w:val="16"/>
              </w:rPr>
              <w:t xml:space="preserve"> Cyclopentolate 0.2% + phenylephrine 1% eye drops are an effective mydriatic with 1 to 3 drops producing adequate dilatation within 60 minutes sustained to 120 minutes. It is generally well-tolerated with minimal physiological effects reported at this dose. [LOE II GOR B]</w:t>
            </w:r>
          </w:p>
          <w:p w:rsidRPr="0039069A" w:rsidR="00282DD6" w:rsidP="00FE4186" w:rsidRDefault="00282DD6" w14:paraId="31C9C0B4" w14:textId="77777777">
            <w:pPr>
              <w:pStyle w:val="BodyText"/>
              <w:tabs>
                <w:tab w:val="left" w:pos="1168"/>
              </w:tabs>
              <w:rPr>
                <w:rFonts w:asciiTheme="minorHAnsi" w:hAnsiTheme="minorHAnsi" w:cstheme="minorHAnsi"/>
                <w:b/>
                <w:sz w:val="16"/>
                <w:szCs w:val="16"/>
              </w:rPr>
            </w:pPr>
          </w:p>
          <w:p w:rsidRPr="0039069A" w:rsidR="00282DD6" w:rsidP="00FE4186" w:rsidRDefault="00282DD6" w14:paraId="23F27749" w14:textId="77777777">
            <w:pPr>
              <w:pStyle w:val="BodyText"/>
              <w:tabs>
                <w:tab w:val="left" w:pos="1168"/>
              </w:tabs>
              <w:rPr>
                <w:rFonts w:asciiTheme="minorHAnsi" w:hAnsiTheme="minorHAnsi" w:cstheme="minorHAnsi"/>
                <w:b/>
                <w:sz w:val="16"/>
                <w:szCs w:val="16"/>
                <w:u w:val="single"/>
              </w:rPr>
            </w:pPr>
            <w:r w:rsidRPr="0039069A">
              <w:rPr>
                <w:rFonts w:asciiTheme="minorHAnsi" w:hAnsiTheme="minorHAnsi" w:cstheme="minorHAnsi"/>
                <w:b/>
                <w:sz w:val="16"/>
                <w:szCs w:val="16"/>
                <w:u w:val="single"/>
              </w:rPr>
              <w:t>Pharmacokinetics:</w:t>
            </w:r>
          </w:p>
          <w:p w:rsidRPr="0039069A" w:rsidR="00282DD6" w:rsidP="00FE4186" w:rsidRDefault="00282DD6" w14:paraId="27D6E059" w14:textId="77777777">
            <w:pPr>
              <w:autoSpaceDE w:val="0"/>
              <w:autoSpaceDN w:val="0"/>
              <w:adjustRightInd w:val="0"/>
              <w:rPr>
                <w:rFonts w:asciiTheme="minorHAnsi" w:hAnsiTheme="minorHAnsi" w:cstheme="minorHAnsi"/>
                <w:sz w:val="16"/>
                <w:szCs w:val="16"/>
              </w:rPr>
            </w:pPr>
            <w:r w:rsidRPr="0039069A">
              <w:rPr>
                <w:rFonts w:asciiTheme="minorHAnsi" w:hAnsiTheme="minorHAnsi" w:cstheme="minorHAnsi"/>
                <w:sz w:val="16"/>
                <w:szCs w:val="16"/>
              </w:rPr>
              <w:t>Mitchell et al</w:t>
            </w:r>
            <w:r w:rsidRPr="0039069A">
              <w:rPr>
                <w:rFonts w:asciiTheme="minorHAnsi" w:hAnsiTheme="minorHAnsi" w:cstheme="minorHAnsi"/>
                <w:noProof/>
                <w:sz w:val="16"/>
                <w:szCs w:val="16"/>
              </w:rPr>
              <w:t>[5],</w:t>
            </w:r>
            <w:r w:rsidRPr="0039069A">
              <w:rPr>
                <w:rFonts w:asciiTheme="minorHAnsi" w:hAnsiTheme="minorHAnsi" w:cstheme="minorHAnsi"/>
                <w:sz w:val="16"/>
                <w:szCs w:val="16"/>
              </w:rPr>
              <w:t xml:space="preserve"> in infants given cyclopentolate 0.2% + phenylephrine 1% 3 drops at 0, 5 and 10 minutes, reported a cyclopentolate concentration range of 6–53 nanogram/mL in 15 of 18 infants, while phenylephrine was not detected. Concentrations of cyclopentolate were significantly higher in infants who were on oxygen (p = 0.01) [LOE IV]. Systemic absorption of the ophthalmic eye drops via conjunctival sac or nasolacrimal mucosa remains a potential cause of systemic effects of topical agents as the majority (up to 99%) of every drop is considered to be absorbed systemically. Several approaches have been advocated for reducing systemic absorption and the associated side effects. These include eyelid closure, digital occlusion of nasolacrimal duct </w:t>
            </w:r>
            <w:r w:rsidRPr="0039069A">
              <w:rPr>
                <w:rFonts w:asciiTheme="minorHAnsi" w:hAnsiTheme="minorHAnsi" w:cstheme="minorHAnsi"/>
                <w:sz w:val="16"/>
                <w:szCs w:val="16"/>
              </w:rPr>
              <w:lastRenderedPageBreak/>
              <w:t xml:space="preserve">for several minutes, wiping away excess drops during and after drug instillation and proper dilution or reduced volume of eye drops for use in children. </w:t>
            </w:r>
            <w:r w:rsidRPr="0039069A">
              <w:rPr>
                <w:rFonts w:asciiTheme="minorHAnsi" w:hAnsiTheme="minorHAnsi" w:cstheme="minorHAnsi"/>
                <w:noProof/>
                <w:sz w:val="16"/>
                <w:szCs w:val="16"/>
              </w:rPr>
              <w:t>[13]</w:t>
            </w:r>
          </w:p>
        </w:tc>
      </w:tr>
      <w:tr w:rsidRPr="003A7895" w:rsidR="00282DD6" w:rsidTr="0039069A" w14:paraId="592AFA65" w14:textId="77777777">
        <w:trPr>
          <w:trHeight w:val="108"/>
        </w:trPr>
        <w:tc>
          <w:tcPr>
            <w:tcW w:w="1872" w:type="dxa"/>
          </w:tcPr>
          <w:p w:rsidRPr="00B53E9B" w:rsidR="00282DD6" w:rsidP="00FE4186" w:rsidRDefault="00282DD6" w14:paraId="5C60581F" w14:textId="77777777">
            <w:pPr>
              <w:pStyle w:val="BodyText"/>
              <w:rPr>
                <w:rFonts w:cs="Arial"/>
                <w:b/>
                <w:bCs/>
                <w:sz w:val="20"/>
              </w:rPr>
            </w:pPr>
            <w:r w:rsidRPr="00B53E9B">
              <w:rPr>
                <w:rFonts w:cs="Arial"/>
                <w:b/>
                <w:bCs/>
                <w:sz w:val="20"/>
              </w:rPr>
              <w:lastRenderedPageBreak/>
              <w:t>Practice points</w:t>
            </w:r>
          </w:p>
        </w:tc>
        <w:tc>
          <w:tcPr>
            <w:tcW w:w="7513" w:type="dxa"/>
          </w:tcPr>
          <w:p w:rsidRPr="0039069A" w:rsidR="00282DD6" w:rsidP="00FE4186" w:rsidRDefault="00282DD6" w14:paraId="7721724D" w14:textId="77777777">
            <w:pPr>
              <w:pStyle w:val="BodyText"/>
              <w:tabs>
                <w:tab w:val="left" w:pos="1168"/>
              </w:tabs>
              <w:rPr>
                <w:rFonts w:cs="Arial"/>
                <w:sz w:val="16"/>
                <w:szCs w:val="16"/>
              </w:rPr>
            </w:pPr>
          </w:p>
        </w:tc>
      </w:tr>
      <w:tr w:rsidRPr="003A7895" w:rsidR="00282DD6" w:rsidTr="0039069A" w14:paraId="7A3C60E2" w14:textId="77777777">
        <w:trPr>
          <w:trHeight w:val="70"/>
        </w:trPr>
        <w:tc>
          <w:tcPr>
            <w:tcW w:w="1872" w:type="dxa"/>
          </w:tcPr>
          <w:p w:rsidRPr="00B53E9B" w:rsidR="00282DD6" w:rsidP="00FE4186" w:rsidRDefault="00282DD6" w14:paraId="60D4C96F" w14:textId="77777777">
            <w:pPr>
              <w:pStyle w:val="BodyText"/>
              <w:rPr>
                <w:rFonts w:cs="Arial"/>
                <w:b/>
                <w:bCs/>
                <w:sz w:val="20"/>
              </w:rPr>
            </w:pPr>
            <w:r w:rsidRPr="00B53E9B">
              <w:rPr>
                <w:b/>
                <w:sz w:val="20"/>
              </w:rPr>
              <w:t>References</w:t>
            </w:r>
          </w:p>
        </w:tc>
        <w:tc>
          <w:tcPr>
            <w:tcW w:w="7513" w:type="dxa"/>
          </w:tcPr>
          <w:p w:rsidRPr="0039069A" w:rsidR="00282DD6" w:rsidP="00FE4186" w:rsidRDefault="00282DD6" w14:paraId="5E4091DF"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1. Isenberg S, Everett S, Parelhoff E. A comparison of mydriatic eyedrops in low-weight infants. Ophthalmology. 1984;91:278-9.</w:t>
            </w:r>
          </w:p>
          <w:p w:rsidRPr="0039069A" w:rsidR="00282DD6" w:rsidP="00FE4186" w:rsidRDefault="00282DD6" w14:paraId="6E28FD16"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2. Chew C, Rahman RA, Shafie SM, Mohamad Z. Comparison of mydriatic regimens used in screening for retinopathy of prematurity in preterm infants with dark irides. Journal of Pediatric Ophthalmology and Strabismus. 2005;42:166-73.</w:t>
            </w:r>
          </w:p>
          <w:p w:rsidRPr="0039069A" w:rsidR="00282DD6" w:rsidP="00FE4186" w:rsidRDefault="00282DD6" w14:paraId="35823678"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3. Punyawattanaporn A, Tengtrisorn S, Sangsupawanich P. Pupil dilatation after single and triple doses of mydriatic agent in preterm infants. Journal of the Medical Association of Thailand. 2009;92:1458-62.</w:t>
            </w:r>
          </w:p>
          <w:p w:rsidRPr="0039069A" w:rsidR="00282DD6" w:rsidP="00FE4186" w:rsidRDefault="00282DD6" w14:paraId="5F706EA3"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4. Vicente GV, Bahri M, Palafoutas JJ, Wang H, Mehta N. A randomized controlled trial to determine the lowest effective dose for adequate mydriasis in premature infants. Journal of AAPOS. 2012;16:365-9.</w:t>
            </w:r>
          </w:p>
          <w:p w:rsidRPr="0039069A" w:rsidR="00282DD6" w:rsidP="00FE4186" w:rsidRDefault="00282DD6" w14:paraId="77514345"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5. Mitchell A, Hall RW, Erickson SW, Yates C, Hendrickson H. Systemic Absorption of Cyclopentolate and Adverse Events After Retinopathy of Prematurity Exams. Current Eye Research. 2016;41:1601-7.</w:t>
            </w:r>
          </w:p>
          <w:p w:rsidRPr="0039069A" w:rsidR="00282DD6" w:rsidP="00FE4186" w:rsidRDefault="00282DD6" w14:paraId="038EA907"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6. Bauer CR, Trottier MCT, Stern L. Systemic cyclopentolate (Cyclogyl) toxicity in the newborn infant. Journal of Pediatrics. 1973;82:501-5.</w:t>
            </w:r>
          </w:p>
          <w:p w:rsidRPr="0039069A" w:rsidR="00282DD6" w:rsidP="00FE4186" w:rsidRDefault="00282DD6" w14:paraId="12F727DE"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7. Nair AK, Pai MG, Da Costa DE, Al Khusaiby SM. Necrotising enterocolitis following ophthalmological examination in preterm neonates. Indian Pediatrics. 2000;37:417-21.</w:t>
            </w:r>
          </w:p>
          <w:p w:rsidRPr="0039069A" w:rsidR="00282DD6" w:rsidP="00FE4186" w:rsidRDefault="00282DD6" w14:paraId="2EC13D93"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8. Ozgun U, Demet T, Ozge KA, Zafer D, Murat S, Mehmet Y, Nilgun K. Fatal necrotising enterocolitis due to mydriatic eye drops. Journal of the College of Physicians and Surgeons Pakistan. 2014;24:S147-S9.</w:t>
            </w:r>
          </w:p>
          <w:p w:rsidRPr="0039069A" w:rsidR="00282DD6" w:rsidP="00FE4186" w:rsidRDefault="00282DD6" w14:paraId="466406A5"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9. Hu L, Dow K. Focal seizures after instillation of cyclomydril to a neonate with congenital CMV infection. Journal of Neonatal-Perinatal Medicine. 2014;7:147-9.</w:t>
            </w:r>
          </w:p>
          <w:p w:rsidRPr="0039069A" w:rsidR="00282DD6" w:rsidP="00FE4186" w:rsidRDefault="00282DD6" w14:paraId="065FC468"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10. Derinoz O, Emeksiz HC. Use of physostigmine for cyclopentolate overdose in an infant. Pediatrics. 2012;130:e703-e5.</w:t>
            </w:r>
          </w:p>
          <w:p w:rsidRPr="0039069A" w:rsidR="00282DD6" w:rsidP="00FE4186" w:rsidRDefault="00282DD6" w14:paraId="22FE82CE"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11. Nefendorf JE, Michael Mota P, Xue K, Darius Hildebrand G. Efficacy and safety of phenylephrine 2.5% with cyclopentolate 0.5% for retinopathy of prematurity screening in 1246 eye examinations. European Journal of Ophthalmology. 2015;25:249-53.</w:t>
            </w:r>
          </w:p>
          <w:p w:rsidRPr="0039069A" w:rsidR="00282DD6" w:rsidP="00FE4186" w:rsidRDefault="00282DD6" w14:paraId="18ECD515"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12. Strube YNJ, Bakal JA, Arthur BW. Relationship between feeding schedules and gastric distress during retinopathy of prematurity screening eye examinations. Journal of AAPOS. 2010;14:334-9.</w:t>
            </w:r>
          </w:p>
          <w:p w:rsidRPr="0039069A" w:rsidR="00282DD6" w:rsidP="00FE4186" w:rsidRDefault="00282DD6" w14:paraId="50B73B9A"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13. Gunaydin B, Cok OY. Hazards of topical ophthalmic drug administration. Trends in Anaesthesia and Critical Care. 2011;1:31-4.</w:t>
            </w:r>
          </w:p>
          <w:p w:rsidRPr="0039069A" w:rsidR="00282DD6" w:rsidP="00FE4186" w:rsidRDefault="00282DD6" w14:paraId="20766CE5" w14:textId="77777777">
            <w:pPr>
              <w:pStyle w:val="EndNoteBibliography"/>
              <w:rPr>
                <w:rFonts w:asciiTheme="minorHAnsi" w:hAnsiTheme="minorHAnsi"/>
                <w:sz w:val="16"/>
                <w:szCs w:val="16"/>
                <w:lang w:val="en-AU"/>
              </w:rPr>
            </w:pPr>
            <w:r w:rsidRPr="0039069A">
              <w:rPr>
                <w:rFonts w:asciiTheme="minorHAnsi" w:hAnsiTheme="minorHAnsi"/>
                <w:sz w:val="16"/>
                <w:szCs w:val="16"/>
                <w:lang w:val="en-AU"/>
              </w:rPr>
              <w:t xml:space="preserve">14. Micromedex solutions. Phenylephrine hydrochloride. Accessed on 23 August 2017. </w:t>
            </w:r>
          </w:p>
        </w:tc>
      </w:tr>
    </w:tbl>
    <w:p w:rsidRPr="00E25790" w:rsidR="00433434" w:rsidP="006F0321" w:rsidRDefault="00433434" w14:paraId="089D97AF" w14:textId="77777777"/>
    <w:p w:rsidRPr="00E25790" w:rsidR="00433434" w:rsidP="006F0321" w:rsidRDefault="00433434" w14:paraId="20D0BBEA" w14:textId="77777777">
      <w:pPr>
        <w:pStyle w:val="ListParagraph"/>
      </w:pPr>
    </w:p>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70"/>
        <w:gridCol w:w="4819"/>
      </w:tblGrid>
      <w:tr w:rsidRPr="00345E7F" w:rsidR="00E424B4" w:rsidTr="008074EA" w14:paraId="7EF78B01" w14:textId="77777777">
        <w:tc>
          <w:tcPr>
            <w:tcW w:w="3970" w:type="dxa"/>
            <w:vAlign w:val="center"/>
          </w:tcPr>
          <w:p w:rsidRPr="008074EA" w:rsidR="008074EA" w:rsidP="00900C7F" w:rsidRDefault="008074EA" w14:paraId="02C5C159" w14:textId="77777777">
            <w:r w:rsidRPr="008074EA">
              <w:t xml:space="preserve">Original version Date: 24/08/2017 </w:t>
            </w:r>
          </w:p>
        </w:tc>
        <w:tc>
          <w:tcPr>
            <w:tcW w:w="4819" w:type="dxa"/>
            <w:vAlign w:val="center"/>
          </w:tcPr>
          <w:p w:rsidRPr="008074EA" w:rsidR="008074EA" w:rsidP="00900C7F" w:rsidRDefault="008074EA" w14:paraId="779735CA" w14:textId="77777777">
            <w:r w:rsidRPr="008074EA">
              <w:t>Author: NMF Consensus Group</w:t>
            </w:r>
          </w:p>
        </w:tc>
      </w:tr>
      <w:tr w:rsidRPr="00345E7F" w:rsidR="00E424B4" w:rsidTr="008074EA" w14:paraId="171ACEC4" w14:textId="77777777">
        <w:tc>
          <w:tcPr>
            <w:tcW w:w="3970" w:type="dxa"/>
            <w:vAlign w:val="center"/>
          </w:tcPr>
          <w:p w:rsidRPr="008074EA" w:rsidR="008074EA" w:rsidP="00900C7F" w:rsidRDefault="008074EA" w14:paraId="799CA99C" w14:textId="70EB2F80">
            <w:pPr>
              <w:rPr>
                <w:bCs/>
              </w:rPr>
            </w:pPr>
            <w:r w:rsidRPr="008074EA">
              <w:t xml:space="preserve">Current Version number:  </w:t>
            </w:r>
            <w:r w:rsidR="004D4C5B">
              <w:t>2</w:t>
            </w:r>
          </w:p>
        </w:tc>
        <w:tc>
          <w:tcPr>
            <w:tcW w:w="4819" w:type="dxa"/>
            <w:vAlign w:val="center"/>
          </w:tcPr>
          <w:p w:rsidRPr="008074EA" w:rsidR="008074EA" w:rsidP="00900C7F" w:rsidRDefault="008074EA" w14:paraId="0A23B671" w14:textId="008B9C4E">
            <w:r w:rsidRPr="008074EA">
              <w:t xml:space="preserve">Current Version Date:  </w:t>
            </w:r>
            <w:r w:rsidR="004D4C5B">
              <w:t>15/12/2020</w:t>
            </w:r>
          </w:p>
        </w:tc>
      </w:tr>
      <w:tr w:rsidRPr="00345E7F" w:rsidR="00E424B4" w:rsidTr="008074EA" w14:paraId="2604FCD7" w14:textId="77777777">
        <w:tc>
          <w:tcPr>
            <w:tcW w:w="3970" w:type="dxa"/>
            <w:vAlign w:val="center"/>
          </w:tcPr>
          <w:p w:rsidRPr="008074EA" w:rsidR="008074EA" w:rsidP="00900C7F" w:rsidRDefault="008074EA" w14:paraId="7A7AF424" w14:textId="77777777">
            <w:r w:rsidRPr="008074EA">
              <w:t>Risk Rating: Medium</w:t>
            </w:r>
          </w:p>
        </w:tc>
        <w:tc>
          <w:tcPr>
            <w:tcW w:w="4819" w:type="dxa"/>
            <w:vAlign w:val="center"/>
          </w:tcPr>
          <w:p w:rsidRPr="008074EA" w:rsidR="008074EA" w:rsidP="00900C7F" w:rsidRDefault="008074EA" w14:paraId="59F4F918" w14:textId="60191AA0">
            <w:r w:rsidRPr="008074EA">
              <w:t xml:space="preserve">Due for Review:  </w:t>
            </w:r>
            <w:r w:rsidR="004D4C5B">
              <w:t>15/12/2025</w:t>
            </w:r>
          </w:p>
        </w:tc>
      </w:tr>
      <w:tr w:rsidRPr="00345E7F" w:rsidR="00E424B4" w:rsidTr="008074EA" w14:paraId="20B372FB" w14:textId="77777777">
        <w:trPr>
          <w:trHeight w:val="344"/>
        </w:trPr>
        <w:tc>
          <w:tcPr>
            <w:tcW w:w="3970" w:type="dxa"/>
            <w:tcBorders>
              <w:bottom w:val="single" w:color="auto" w:sz="4" w:space="0"/>
            </w:tcBorders>
            <w:vAlign w:val="center"/>
          </w:tcPr>
          <w:p w:rsidRPr="008074EA" w:rsidR="008074EA" w:rsidP="00900C7F" w:rsidRDefault="008074EA" w14:paraId="286485E5" w14:textId="77777777">
            <w:r w:rsidRPr="008074EA">
              <w:t>Approval by: DTC</w:t>
            </w:r>
          </w:p>
        </w:tc>
        <w:tc>
          <w:tcPr>
            <w:tcW w:w="4819" w:type="dxa"/>
            <w:tcBorders>
              <w:bottom w:val="single" w:color="auto" w:sz="4" w:space="0"/>
            </w:tcBorders>
            <w:vAlign w:val="center"/>
          </w:tcPr>
          <w:p w:rsidRPr="008074EA" w:rsidR="008074EA" w:rsidP="00900C7F" w:rsidRDefault="008074EA" w14:paraId="3371681A" w14:textId="446AA666">
            <w:r w:rsidRPr="008074EA">
              <w:t xml:space="preserve">Approval Date: </w:t>
            </w:r>
            <w:r w:rsidR="00260BC8">
              <w:t>APRIL 2021</w:t>
            </w:r>
          </w:p>
        </w:tc>
      </w:tr>
    </w:tbl>
    <w:p w:rsidRPr="00E25790" w:rsidR="00433434" w:rsidP="006F0321" w:rsidRDefault="00433434" w14:paraId="1F4ED03E" w14:textId="77777777"/>
    <w:p w:rsidRPr="00E25790" w:rsidR="00433434" w:rsidP="006F0321" w:rsidRDefault="00433434" w14:paraId="2D9791D2" w14:textId="77777777"/>
    <w:p w:rsidR="00433434" w:rsidP="006F0321" w:rsidRDefault="00433434" w14:paraId="2AC20114" w14:textId="77777777"/>
    <w:p w:rsidR="001F0F1A" w:rsidP="006F0321" w:rsidRDefault="001F0F1A" w14:paraId="109C2855" w14:textId="77777777"/>
    <w:p w:rsidR="001F0F1A" w:rsidP="006F0321" w:rsidRDefault="001F0F1A" w14:paraId="66B9A59E" w14:textId="77777777"/>
    <w:p w:rsidR="001F0F1A" w:rsidP="006F0321" w:rsidRDefault="001F0F1A" w14:paraId="356E6888" w14:textId="77777777"/>
    <w:p w:rsidR="001F0F1A" w:rsidP="006F0321" w:rsidRDefault="001F0F1A" w14:paraId="7100F4F9" w14:textId="77777777"/>
    <w:p w:rsidR="001F0F1A" w:rsidP="006F0321" w:rsidRDefault="001F0F1A" w14:paraId="6CD218EB" w14:textId="77777777"/>
    <w:p w:rsidR="001F0F1A" w:rsidP="006F0321" w:rsidRDefault="001F0F1A" w14:paraId="14533C0F" w14:textId="4FA680FA"/>
    <w:p w:rsidR="0039069A" w:rsidP="006F0321" w:rsidRDefault="0039069A" w14:paraId="41AED6A7" w14:textId="6B6DAAB8"/>
    <w:p w:rsidR="0039069A" w:rsidP="006F0321" w:rsidRDefault="0039069A" w14:paraId="693B3DD1" w14:textId="20BF6733"/>
    <w:p w:rsidR="0039069A" w:rsidP="006F0321" w:rsidRDefault="0039069A" w14:paraId="69E6D50F" w14:textId="57888FDE"/>
    <w:p w:rsidR="0039069A" w:rsidP="006F0321" w:rsidRDefault="0039069A" w14:paraId="2D04154F" w14:textId="10B2537D"/>
    <w:p w:rsidR="0039069A" w:rsidP="006F0321" w:rsidRDefault="0039069A" w14:paraId="2439A972" w14:textId="53263562"/>
    <w:p w:rsidR="0039069A" w:rsidP="006F0321" w:rsidRDefault="0039069A" w14:paraId="7BDAC890" w14:textId="134D45F5"/>
    <w:p w:rsidR="0039069A" w:rsidP="006F0321" w:rsidRDefault="0039069A" w14:paraId="16819568" w14:textId="044D829D"/>
    <w:p w:rsidR="0039069A" w:rsidP="006F0321" w:rsidRDefault="0039069A" w14:paraId="2C986D9E" w14:textId="6EB22328"/>
    <w:tbl>
      <w:tblPr>
        <w:tblW w:w="9049" w:type="dxa"/>
        <w:tblLayout w:type="fixed"/>
        <w:tblLook w:val="0000" w:firstRow="0" w:lastRow="0" w:firstColumn="0" w:lastColumn="0" w:noHBand="0" w:noVBand="0"/>
      </w:tblPr>
      <w:tblGrid>
        <w:gridCol w:w="4153"/>
        <w:gridCol w:w="4896"/>
      </w:tblGrid>
      <w:tr w:rsidRPr="00E25790" w:rsidR="00115F48" w:rsidTr="00EC6FC6" w14:paraId="52151C77"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102C38F" w14:textId="77777777">
            <w:pPr>
              <w:pStyle w:val="Heading1"/>
            </w:pPr>
            <w:bookmarkStart w:name="_Toc495481095" w:id="170"/>
            <w:bookmarkStart w:name="_Toc495481221" w:id="171"/>
            <w:bookmarkStart w:name="_Toc495481346" w:id="172"/>
            <w:bookmarkStart w:name="_Toc495501527" w:id="173"/>
            <w:bookmarkStart w:name="_Toc38106832" w:id="174"/>
            <w:bookmarkStart w:name="_Toc75339958" w:id="175"/>
            <w:r w:rsidRPr="00E25790">
              <w:lastRenderedPageBreak/>
              <w:t>Dexamethasone</w:t>
            </w:r>
            <w:bookmarkEnd w:id="170"/>
            <w:bookmarkEnd w:id="171"/>
            <w:bookmarkEnd w:id="172"/>
            <w:bookmarkEnd w:id="173"/>
            <w:bookmarkEnd w:id="174"/>
            <w:bookmarkEnd w:id="175"/>
            <w:r w:rsidRPr="00E25790">
              <w:fldChar w:fldCharType="begin"/>
            </w:r>
            <w:r w:rsidRPr="00E25790">
              <w:instrText>tc "Dexamethasone" \l 0</w:instrText>
            </w:r>
            <w:r w:rsidRPr="00E25790">
              <w:fldChar w:fldCharType="end"/>
            </w:r>
          </w:p>
        </w:tc>
      </w:tr>
      <w:tr w:rsidRPr="00E25790" w:rsidR="00115F48" w:rsidTr="00EC6FC6" w14:paraId="62E4EF4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EF1E111" w14:textId="7CFDF88A">
            <w:r w:rsidRPr="00E25790">
              <w:t>Revision Date</w:t>
            </w:r>
            <w:r w:rsidRPr="00E25790">
              <w:rPr>
                <w:b/>
              </w:rPr>
              <w:t xml:space="preserve"> : </w:t>
            </w:r>
            <w:r w:rsidR="009D7A44">
              <w:rPr>
                <w:b/>
              </w:rPr>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705408DD" w14:textId="77777777">
            <w:r w:rsidRPr="00E25790">
              <w:t xml:space="preserve">Approved : </w:t>
            </w:r>
            <w:r w:rsidRPr="00E25790" w:rsidR="00FC42DB">
              <w:t>TC, KOH</w:t>
            </w:r>
          </w:p>
        </w:tc>
      </w:tr>
    </w:tbl>
    <w:p w:rsidRPr="00E25790" w:rsidR="00115F48" w:rsidP="006F0321" w:rsidRDefault="00115F48" w14:paraId="03BBA340" w14:textId="77777777"/>
    <w:tbl>
      <w:tblPr>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8"/>
        <w:gridCol w:w="6913"/>
      </w:tblGrid>
      <w:tr w:rsidRPr="00B027DF" w:rsidR="008074EA" w:rsidTr="00BB6ADA" w14:paraId="32A75F6C" w14:textId="77777777">
        <w:trPr>
          <w:trHeight w:val="70"/>
        </w:trPr>
        <w:tc>
          <w:tcPr>
            <w:tcW w:w="2438" w:type="dxa"/>
          </w:tcPr>
          <w:p w:rsidRPr="00B027DF" w:rsidR="008074EA" w:rsidP="00EC6FC6" w:rsidRDefault="008074EA" w14:paraId="507293C8" w14:textId="77777777">
            <w:pPr>
              <w:pStyle w:val="BodyText"/>
              <w:jc w:val="left"/>
              <w:rPr>
                <w:lang w:val="en-AU"/>
              </w:rPr>
            </w:pPr>
            <w:r w:rsidRPr="00B027DF">
              <w:rPr>
                <w:lang w:val="en-AU"/>
              </w:rPr>
              <w:t>Alert</w:t>
            </w:r>
            <w:r w:rsidRPr="00B027DF">
              <w:rPr>
                <w:lang w:val="en-AU"/>
              </w:rPr>
              <w:tab/>
            </w:r>
          </w:p>
        </w:tc>
        <w:tc>
          <w:tcPr>
            <w:tcW w:w="6913" w:type="dxa"/>
          </w:tcPr>
          <w:p w:rsidRPr="00B027DF" w:rsidR="008074EA" w:rsidP="00EC6FC6" w:rsidRDefault="008074EA" w14:paraId="569C4F13" w14:textId="77777777">
            <w:pPr>
              <w:pStyle w:val="BodyText"/>
              <w:jc w:val="left"/>
              <w:rPr>
                <w:lang w:val="en-AU"/>
              </w:rPr>
            </w:pPr>
            <w:r w:rsidRPr="00B027DF">
              <w:rPr>
                <w:lang w:val="en-AU"/>
              </w:rPr>
              <w:t xml:space="preserve">Dexamethasone is available as Dexamethasone phosphate or dexamethasone sodium phosphate. </w:t>
            </w:r>
          </w:p>
          <w:p w:rsidRPr="00B027DF" w:rsidR="008074EA" w:rsidP="00EC6FC6" w:rsidRDefault="008074EA" w14:paraId="45926990" w14:textId="77777777">
            <w:pPr>
              <w:pStyle w:val="BodyText"/>
              <w:jc w:val="left"/>
              <w:rPr>
                <w:lang w:val="en-AU"/>
              </w:rPr>
            </w:pPr>
          </w:p>
          <w:p w:rsidRPr="00B027DF" w:rsidR="008074EA" w:rsidP="00EC6FC6" w:rsidRDefault="008074EA" w14:paraId="1CE8951A" w14:textId="77777777">
            <w:pPr>
              <w:pStyle w:val="BodyText"/>
              <w:jc w:val="left"/>
              <w:rPr>
                <w:lang w:val="en-AU"/>
              </w:rPr>
            </w:pPr>
            <w:r w:rsidRPr="00B027DF">
              <w:rPr>
                <w:lang w:val="en-AU"/>
              </w:rPr>
              <w:t>The conversion factor for dexamethasone:</w:t>
            </w:r>
          </w:p>
          <w:p w:rsidRPr="00FF6662" w:rsidR="00FF6662" w:rsidP="00FF6662" w:rsidRDefault="00FF6662" w14:paraId="00604DB4" w14:textId="77777777">
            <w:pPr>
              <w:pStyle w:val="BodyText"/>
              <w:jc w:val="left"/>
              <w:rPr>
                <w:highlight w:val="yellow"/>
                <w:lang w:val="en-AU"/>
              </w:rPr>
            </w:pPr>
            <w:r w:rsidRPr="00FF6662">
              <w:rPr>
                <w:highlight w:val="yellow"/>
                <w:lang w:val="en-AU"/>
              </w:rPr>
              <w:t xml:space="preserve">1 mg dexamethasone base = 1.2 mg dexamethasone phosphate = </w:t>
            </w:r>
          </w:p>
          <w:p w:rsidRPr="00FF6662" w:rsidR="00FF6662" w:rsidP="00FF6662" w:rsidRDefault="00FF6662" w14:paraId="0991B262" w14:textId="77777777">
            <w:pPr>
              <w:pStyle w:val="BodyText"/>
              <w:jc w:val="left"/>
              <w:rPr>
                <w:lang w:val="en-AU"/>
              </w:rPr>
            </w:pPr>
            <w:r w:rsidRPr="00FF6662">
              <w:rPr>
                <w:highlight w:val="yellow"/>
                <w:lang w:val="en-AU"/>
              </w:rPr>
              <w:t>1.3 mg dexamethasone sodium phosphate</w:t>
            </w:r>
          </w:p>
          <w:p w:rsidR="006421E2" w:rsidP="00EC6FC6" w:rsidRDefault="006421E2" w14:paraId="57D2A4B2" w14:textId="77777777">
            <w:pPr>
              <w:pStyle w:val="BodyText"/>
              <w:jc w:val="left"/>
              <w:rPr>
                <w:lang w:val="en-AU"/>
              </w:rPr>
            </w:pPr>
          </w:p>
          <w:p w:rsidRPr="00B027DF" w:rsidR="008074EA" w:rsidP="00EC6FC6" w:rsidRDefault="008074EA" w14:paraId="1A1F0249" w14:textId="4705363A">
            <w:pPr>
              <w:pStyle w:val="BodyText"/>
              <w:jc w:val="left"/>
              <w:rPr>
                <w:lang w:val="en-AU"/>
              </w:rPr>
            </w:pPr>
            <w:r w:rsidRPr="00B027DF">
              <w:rPr>
                <w:lang w:val="en-AU"/>
              </w:rPr>
              <w:t>There is a non TGA registered commercial product, Dexsol®oral syrup. However, a SAS form is required for supply.</w:t>
            </w:r>
          </w:p>
        </w:tc>
      </w:tr>
      <w:tr w:rsidRPr="00B027DF" w:rsidR="008074EA" w:rsidTr="00BB6ADA" w14:paraId="40B83D6F" w14:textId="77777777">
        <w:trPr>
          <w:trHeight w:val="72"/>
        </w:trPr>
        <w:tc>
          <w:tcPr>
            <w:tcW w:w="2438" w:type="dxa"/>
          </w:tcPr>
          <w:p w:rsidRPr="00B027DF" w:rsidR="008074EA" w:rsidP="00EC6FC6" w:rsidRDefault="008074EA" w14:paraId="5A046EDA" w14:textId="77777777">
            <w:pPr>
              <w:pStyle w:val="BodyText"/>
              <w:jc w:val="left"/>
              <w:rPr>
                <w:lang w:val="en-AU"/>
              </w:rPr>
            </w:pPr>
            <w:r w:rsidRPr="00B027DF">
              <w:rPr>
                <w:lang w:val="en-AU"/>
              </w:rPr>
              <w:t>Indication</w:t>
            </w:r>
          </w:p>
        </w:tc>
        <w:tc>
          <w:tcPr>
            <w:tcW w:w="6913" w:type="dxa"/>
          </w:tcPr>
          <w:p w:rsidRPr="00B027DF" w:rsidR="008074EA" w:rsidP="00EC6FC6" w:rsidRDefault="008074EA" w14:paraId="771D7902" w14:textId="77777777">
            <w:r w:rsidRPr="00B027DF">
              <w:t>To facilitate weaning from assisted ventilation and improve lung function in infants at risk of chronic lung disease.</w:t>
            </w:r>
            <w:r w:rsidRPr="00B027DF">
              <w:br/>
            </w:r>
            <w:r w:rsidRPr="00B027DF">
              <w:t>To facilitate extubation.</w:t>
            </w:r>
          </w:p>
        </w:tc>
      </w:tr>
      <w:tr w:rsidRPr="00B027DF" w:rsidR="008074EA" w:rsidTr="00BB6ADA" w14:paraId="34D61320" w14:textId="77777777">
        <w:trPr>
          <w:trHeight w:val="70"/>
        </w:trPr>
        <w:tc>
          <w:tcPr>
            <w:tcW w:w="2438" w:type="dxa"/>
          </w:tcPr>
          <w:p w:rsidRPr="00B027DF" w:rsidR="008074EA" w:rsidP="00EC6FC6" w:rsidRDefault="008074EA" w14:paraId="7719A0F7" w14:textId="77777777">
            <w:pPr>
              <w:pStyle w:val="BodyText"/>
              <w:jc w:val="left"/>
              <w:rPr>
                <w:lang w:val="en-AU"/>
              </w:rPr>
            </w:pPr>
            <w:r w:rsidRPr="00B027DF">
              <w:rPr>
                <w:lang w:val="en-AU"/>
              </w:rPr>
              <w:t>Action</w:t>
            </w:r>
          </w:p>
        </w:tc>
        <w:tc>
          <w:tcPr>
            <w:tcW w:w="6913" w:type="dxa"/>
          </w:tcPr>
          <w:p w:rsidRPr="00B027DF" w:rsidR="008074EA" w:rsidP="00EC6FC6" w:rsidRDefault="008074EA" w14:paraId="2D41152C" w14:textId="77777777">
            <w:pPr>
              <w:rPr>
                <w:rFonts w:cs="Arial"/>
              </w:rPr>
            </w:pPr>
            <w:r w:rsidRPr="00B027DF">
              <w:t>Long acting glucocorticoid with potent anti-inflammatory action.</w:t>
            </w:r>
            <w:r w:rsidRPr="00B027DF">
              <w:br/>
            </w:r>
            <w:r w:rsidRPr="00B027DF">
              <w:t>No significant mineralocorticoid activity.</w:t>
            </w:r>
          </w:p>
        </w:tc>
      </w:tr>
      <w:tr w:rsidRPr="00B027DF" w:rsidR="008074EA" w:rsidTr="00BB6ADA" w14:paraId="122AB289" w14:textId="77777777">
        <w:trPr>
          <w:trHeight w:val="266"/>
        </w:trPr>
        <w:tc>
          <w:tcPr>
            <w:tcW w:w="2438" w:type="dxa"/>
          </w:tcPr>
          <w:p w:rsidRPr="00B027DF" w:rsidR="008074EA" w:rsidP="00EC6FC6" w:rsidRDefault="008074EA" w14:paraId="13A879CF" w14:textId="77777777">
            <w:pPr>
              <w:pStyle w:val="BodyText"/>
              <w:jc w:val="left"/>
              <w:rPr>
                <w:lang w:val="en-AU"/>
              </w:rPr>
            </w:pPr>
            <w:r w:rsidRPr="00B027DF">
              <w:rPr>
                <w:lang w:val="en-AU"/>
              </w:rPr>
              <w:t xml:space="preserve">Drug type                                   </w:t>
            </w:r>
          </w:p>
        </w:tc>
        <w:tc>
          <w:tcPr>
            <w:tcW w:w="6913" w:type="dxa"/>
          </w:tcPr>
          <w:p w:rsidRPr="00B027DF" w:rsidR="008074EA" w:rsidP="00EC6FC6" w:rsidRDefault="008074EA" w14:paraId="4155C31B" w14:textId="77777777">
            <w:pPr>
              <w:pStyle w:val="BodyText"/>
              <w:jc w:val="left"/>
              <w:rPr>
                <w:rFonts w:cs="Arial"/>
                <w:lang w:val="en-AU"/>
              </w:rPr>
            </w:pPr>
            <w:r w:rsidRPr="00B027DF">
              <w:rPr>
                <w:lang w:val="en-AU"/>
              </w:rPr>
              <w:t>Adrenal steroid hormone.</w:t>
            </w:r>
          </w:p>
        </w:tc>
      </w:tr>
      <w:tr w:rsidRPr="00B027DF" w:rsidR="008074EA" w:rsidTr="00BB6ADA" w14:paraId="7BD9697E" w14:textId="77777777">
        <w:trPr>
          <w:trHeight w:val="114"/>
        </w:trPr>
        <w:tc>
          <w:tcPr>
            <w:tcW w:w="2438" w:type="dxa"/>
          </w:tcPr>
          <w:p w:rsidRPr="00B027DF" w:rsidR="008074EA" w:rsidP="00EC6FC6" w:rsidRDefault="008074EA" w14:paraId="0B0FEF70" w14:textId="77777777">
            <w:pPr>
              <w:pStyle w:val="BodyText"/>
              <w:jc w:val="left"/>
              <w:rPr>
                <w:lang w:val="en-AU"/>
              </w:rPr>
            </w:pPr>
            <w:r w:rsidRPr="00B027DF">
              <w:rPr>
                <w:lang w:val="en-AU"/>
              </w:rPr>
              <w:t xml:space="preserve">Trade name                  </w:t>
            </w:r>
          </w:p>
        </w:tc>
        <w:tc>
          <w:tcPr>
            <w:tcW w:w="6913" w:type="dxa"/>
          </w:tcPr>
          <w:p w:rsidRPr="00B027DF" w:rsidR="008074EA" w:rsidP="00EC6FC6" w:rsidRDefault="008074EA" w14:paraId="7D6161F8" w14:textId="3B4ACA86">
            <w:pPr>
              <w:pStyle w:val="BodyText"/>
              <w:jc w:val="left"/>
              <w:rPr>
                <w:lang w:val="en-AU"/>
              </w:rPr>
            </w:pPr>
            <w:r w:rsidRPr="00B027DF">
              <w:rPr>
                <w:lang w:val="en-AU"/>
              </w:rPr>
              <w:t xml:space="preserve">IV: </w:t>
            </w:r>
            <w:r w:rsidRPr="005069EC">
              <w:rPr>
                <w:highlight w:val="yellow"/>
                <w:lang w:val="en-AU"/>
              </w:rPr>
              <w:t xml:space="preserve">(1) </w:t>
            </w:r>
            <w:r w:rsidRPr="005069EC" w:rsidR="005069EC">
              <w:rPr>
                <w:highlight w:val="yellow"/>
                <w:lang w:val="en-AU"/>
              </w:rPr>
              <w:t>dexamethasone phosphate Mylan</w:t>
            </w:r>
            <w:r w:rsidRPr="00B027DF">
              <w:rPr>
                <w:lang w:val="en-AU"/>
              </w:rPr>
              <w:t>, (2) DBL dexamethasone phosphate Hospira, (3) dexamethasone phosphate Alphapharm, (4)</w:t>
            </w:r>
            <w:r w:rsidRPr="00B027DF" w:rsidR="005069EC">
              <w:rPr>
                <w:lang w:val="en-AU"/>
              </w:rPr>
              <w:t xml:space="preserve"> DBL Dexamethasone sodium phosphate  Pfizer</w:t>
            </w:r>
          </w:p>
          <w:p w:rsidRPr="00B027DF" w:rsidR="008074EA" w:rsidP="00EC6FC6" w:rsidRDefault="008074EA" w14:paraId="1BF84F79" w14:textId="77777777">
            <w:pPr>
              <w:pStyle w:val="BodyText"/>
              <w:jc w:val="left"/>
              <w:rPr>
                <w:lang w:val="en-AU"/>
              </w:rPr>
            </w:pPr>
          </w:p>
          <w:p w:rsidRPr="00B027DF" w:rsidR="008074EA" w:rsidP="00EC6FC6" w:rsidRDefault="008074EA" w14:paraId="200D897C" w14:textId="77777777">
            <w:pPr>
              <w:pStyle w:val="BodyText"/>
              <w:jc w:val="left"/>
              <w:rPr>
                <w:lang w:val="en-AU"/>
              </w:rPr>
            </w:pPr>
            <w:r w:rsidRPr="00B027DF">
              <w:rPr>
                <w:lang w:val="en-AU"/>
              </w:rPr>
              <w:t>Oral: Compounded by pharmacy in-house. Refer to special comments section.</w:t>
            </w:r>
          </w:p>
          <w:p w:rsidRPr="00B027DF" w:rsidR="008074EA" w:rsidP="00EC6FC6" w:rsidRDefault="008074EA" w14:paraId="42601A30" w14:textId="77777777">
            <w:pPr>
              <w:pStyle w:val="BodyText"/>
              <w:jc w:val="left"/>
              <w:rPr>
                <w:lang w:val="en-AU"/>
              </w:rPr>
            </w:pPr>
            <w:r w:rsidRPr="00B027DF">
              <w:rPr>
                <w:lang w:val="en-AU"/>
              </w:rPr>
              <w:t>There is a non TGA registered commercial product, Dexsol</w:t>
            </w:r>
            <w:r w:rsidRPr="00B027DF">
              <w:rPr>
                <w:rFonts w:cs="Calibri"/>
                <w:lang w:val="en-AU"/>
              </w:rPr>
              <w:t>®</w:t>
            </w:r>
            <w:r w:rsidRPr="00B027DF">
              <w:rPr>
                <w:lang w:val="en-AU"/>
              </w:rPr>
              <w:t xml:space="preserve">oral syrup. However, a SAS form is required for supply. </w:t>
            </w:r>
          </w:p>
        </w:tc>
      </w:tr>
      <w:tr w:rsidRPr="00B027DF" w:rsidR="008074EA" w:rsidTr="00BB6ADA" w14:paraId="481AB4D7" w14:textId="77777777">
        <w:trPr>
          <w:trHeight w:val="70"/>
        </w:trPr>
        <w:tc>
          <w:tcPr>
            <w:tcW w:w="2438" w:type="dxa"/>
          </w:tcPr>
          <w:p w:rsidRPr="00B027DF" w:rsidR="008074EA" w:rsidP="00EC6FC6" w:rsidRDefault="008074EA" w14:paraId="5EB1009B" w14:textId="77777777">
            <w:pPr>
              <w:pStyle w:val="BodyText"/>
              <w:jc w:val="left"/>
              <w:rPr>
                <w:lang w:val="en-AU"/>
              </w:rPr>
            </w:pPr>
            <w:r w:rsidRPr="00B027DF">
              <w:rPr>
                <w:lang w:val="en-AU"/>
              </w:rPr>
              <w:t xml:space="preserve">Presentation </w:t>
            </w:r>
          </w:p>
        </w:tc>
        <w:tc>
          <w:tcPr>
            <w:tcW w:w="6913" w:type="dxa"/>
          </w:tcPr>
          <w:p w:rsidRPr="00B027DF" w:rsidR="008074EA" w:rsidP="00EC6FC6" w:rsidRDefault="008074EA" w14:paraId="477121A2" w14:textId="77777777">
            <w:pPr>
              <w:pStyle w:val="BodyText"/>
              <w:jc w:val="left"/>
              <w:rPr>
                <w:lang w:val="en-AU"/>
              </w:rPr>
            </w:pPr>
            <w:r w:rsidRPr="00B027DF">
              <w:rPr>
                <w:lang w:val="en-AU"/>
              </w:rPr>
              <w:t>IV preparations:</w:t>
            </w:r>
          </w:p>
          <w:p w:rsidR="008B1ACB" w:rsidP="00EC6FC6" w:rsidRDefault="008B1ACB" w14:paraId="05A2D47A" w14:textId="77777777">
            <w:pPr>
              <w:pStyle w:val="BodyText"/>
              <w:jc w:val="left"/>
              <w:rPr>
                <w:lang w:val="en-AU"/>
              </w:rPr>
            </w:pPr>
            <w:r w:rsidRPr="008B1ACB">
              <w:rPr>
                <w:lang w:val="en-AU"/>
              </w:rPr>
              <w:t xml:space="preserve">All 4 IV preparations: </w:t>
            </w:r>
            <w:r w:rsidRPr="008B1ACB">
              <w:rPr>
                <w:highlight w:val="yellow"/>
                <w:lang w:val="en-AU"/>
              </w:rPr>
              <w:t>1 mL contains 3.4 mg of dexamethasone base</w:t>
            </w:r>
            <w:r w:rsidRPr="008B1ACB">
              <w:rPr>
                <w:lang w:val="en-AU"/>
              </w:rPr>
              <w:t xml:space="preserve"> equivalent to 4.4 mg of dexamethasone sodium phosphate equivalent to 4 mg dexamethasone phosphate</w:t>
            </w:r>
          </w:p>
          <w:p w:rsidR="008B1ACB" w:rsidP="00EC6FC6" w:rsidRDefault="008B1ACB" w14:paraId="5E4A43EF" w14:textId="77777777">
            <w:pPr>
              <w:pStyle w:val="BodyText"/>
              <w:jc w:val="left"/>
              <w:rPr>
                <w:lang w:val="en-AU"/>
              </w:rPr>
            </w:pPr>
          </w:p>
          <w:p w:rsidRPr="00B027DF" w:rsidR="008074EA" w:rsidP="00EC6FC6" w:rsidRDefault="008074EA" w14:paraId="3959E108" w14:textId="52BE0172">
            <w:pPr>
              <w:pStyle w:val="BodyText"/>
              <w:jc w:val="left"/>
              <w:rPr>
                <w:lang w:val="en-AU"/>
              </w:rPr>
            </w:pPr>
            <w:r w:rsidRPr="00B027DF">
              <w:rPr>
                <w:lang w:val="en-AU"/>
              </w:rPr>
              <w:t>Oral: 0.05mg/mL, 0.1mg/mL, 0.5 mg/mL or 1 mg/mL solution or suspension – Prepared by pharmacy in-house. Refer to special comments section for further information.</w:t>
            </w:r>
          </w:p>
        </w:tc>
      </w:tr>
      <w:tr w:rsidRPr="00B027DF" w:rsidR="008074EA" w:rsidTr="00BB6ADA" w14:paraId="3F83C560" w14:textId="77777777">
        <w:trPr>
          <w:trHeight w:val="70"/>
        </w:trPr>
        <w:tc>
          <w:tcPr>
            <w:tcW w:w="2438" w:type="dxa"/>
          </w:tcPr>
          <w:p w:rsidRPr="00B027DF" w:rsidR="008074EA" w:rsidP="00EC6FC6" w:rsidRDefault="008074EA" w14:paraId="43987A24" w14:textId="77777777">
            <w:pPr>
              <w:pStyle w:val="BodyText"/>
              <w:jc w:val="left"/>
              <w:rPr>
                <w:lang w:val="en-AU"/>
              </w:rPr>
            </w:pPr>
            <w:r w:rsidRPr="00B027DF">
              <w:rPr>
                <w:lang w:val="en-AU"/>
              </w:rPr>
              <w:t xml:space="preserve">Dose                          </w:t>
            </w:r>
          </w:p>
        </w:tc>
        <w:tc>
          <w:tcPr>
            <w:tcW w:w="6913" w:type="dxa"/>
          </w:tcPr>
          <w:p w:rsidRPr="00954BD5" w:rsidR="00755396" w:rsidP="00755396" w:rsidRDefault="00250BF7" w14:paraId="09F19377" w14:textId="04801BC8">
            <w:pPr>
              <w:pStyle w:val="BodyText"/>
              <w:jc w:val="left"/>
              <w:rPr>
                <w:b/>
                <w:sz w:val="20"/>
                <w:lang w:val="en-AU"/>
              </w:rPr>
            </w:pPr>
            <w:r w:rsidRPr="00954BD5">
              <w:rPr>
                <w:b/>
                <w:sz w:val="20"/>
                <w:highlight w:val="yellow"/>
                <w:lang w:val="en-AU"/>
              </w:rPr>
              <w:t xml:space="preserve">Note: </w:t>
            </w:r>
            <w:r w:rsidRPr="00954BD5" w:rsidR="00755396">
              <w:rPr>
                <w:b/>
                <w:sz w:val="20"/>
                <w:highlight w:val="yellow"/>
                <w:lang w:val="en-AU"/>
              </w:rPr>
              <w:t>All doses below are based on dexamethasone base</w:t>
            </w:r>
            <w:r w:rsidRPr="00954BD5">
              <w:rPr>
                <w:b/>
                <w:sz w:val="20"/>
                <w:highlight w:val="yellow"/>
                <w:lang w:val="en-AU"/>
              </w:rPr>
              <w:t>. Daily dose can be given as single daily dose instead of 12 hourly doses.</w:t>
            </w:r>
          </w:p>
          <w:p w:rsidRPr="00954BD5" w:rsidR="00755396" w:rsidP="00EC6FC6" w:rsidRDefault="00755396" w14:paraId="311F4018" w14:textId="77777777">
            <w:pPr>
              <w:pStyle w:val="BodyText"/>
              <w:jc w:val="left"/>
              <w:rPr>
                <w:sz w:val="20"/>
                <w:lang w:val="en-AU"/>
              </w:rPr>
            </w:pPr>
          </w:p>
          <w:p w:rsidRPr="00954BD5" w:rsidR="00202E5E" w:rsidP="00202E5E" w:rsidRDefault="00202E5E" w14:paraId="4D725727" w14:textId="77777777">
            <w:pPr>
              <w:pStyle w:val="BodyText"/>
              <w:rPr>
                <w:rFonts w:asciiTheme="minorHAnsi" w:hAnsiTheme="minorHAnsi" w:cstheme="minorHAnsi"/>
                <w:b/>
                <w:sz w:val="20"/>
                <w:lang w:val="en-AU"/>
              </w:rPr>
            </w:pPr>
            <w:r w:rsidRPr="00954BD5">
              <w:rPr>
                <w:rFonts w:asciiTheme="minorHAnsi" w:hAnsiTheme="minorHAnsi" w:cstheme="minorHAnsi"/>
                <w:b/>
                <w:sz w:val="20"/>
                <w:lang w:val="en-AU"/>
              </w:rPr>
              <w:t>Low dose (DART) regimen (total cumulative dose 0.89 mg/kg)</w:t>
            </w:r>
            <w:r w:rsidRPr="00954BD5">
              <w:rPr>
                <w:rFonts w:asciiTheme="minorHAnsi" w:hAnsiTheme="minorHAnsi" w:cstheme="minorHAnsi"/>
                <w:b/>
                <w:noProof/>
                <w:sz w:val="20"/>
                <w:lang w:val="en-AU"/>
              </w:rPr>
              <w:t>(1, 2)</w:t>
            </w:r>
          </w:p>
          <w:p w:rsidRPr="00954BD5" w:rsidR="00202E5E" w:rsidP="00202E5E" w:rsidRDefault="00202E5E" w14:paraId="368657CC" w14:textId="77777777">
            <w:pPr>
              <w:pStyle w:val="BodyText"/>
              <w:rPr>
                <w:rFonts w:asciiTheme="minorHAnsi" w:hAnsiTheme="minorHAnsi" w:cstheme="minorHAnsi"/>
                <w:sz w:val="20"/>
                <w:lang w:val="en-AU"/>
              </w:rPr>
            </w:pPr>
            <w:r w:rsidRPr="00954BD5">
              <w:rPr>
                <w:rFonts w:asciiTheme="minorHAnsi" w:hAnsiTheme="minorHAnsi" w:cstheme="minorHAnsi"/>
                <w:sz w:val="20"/>
                <w:lang w:val="en-AU"/>
              </w:rPr>
              <w:t xml:space="preserve">75 microgram/kg/dose 12 hourly for 3 days then, </w:t>
            </w:r>
            <w:r w:rsidRPr="00954BD5">
              <w:rPr>
                <w:rFonts w:asciiTheme="minorHAnsi" w:hAnsiTheme="minorHAnsi" w:cstheme="minorHAnsi"/>
                <w:sz w:val="20"/>
                <w:lang w:val="en-AU"/>
              </w:rPr>
              <w:br/>
            </w:r>
            <w:r w:rsidRPr="00954BD5">
              <w:rPr>
                <w:rFonts w:asciiTheme="minorHAnsi" w:hAnsiTheme="minorHAnsi" w:cstheme="minorHAnsi"/>
                <w:sz w:val="20"/>
                <w:lang w:val="en-AU"/>
              </w:rPr>
              <w:t xml:space="preserve">50 microgram/kg/dose 12 hourly for 3 days then, </w:t>
            </w:r>
            <w:r w:rsidRPr="00954BD5">
              <w:rPr>
                <w:rFonts w:asciiTheme="minorHAnsi" w:hAnsiTheme="minorHAnsi" w:cstheme="minorHAnsi"/>
                <w:sz w:val="20"/>
                <w:lang w:val="en-AU"/>
              </w:rPr>
              <w:br/>
            </w:r>
            <w:r w:rsidRPr="00954BD5">
              <w:rPr>
                <w:rFonts w:asciiTheme="minorHAnsi" w:hAnsiTheme="minorHAnsi" w:cstheme="minorHAnsi"/>
                <w:sz w:val="20"/>
                <w:lang w:val="en-AU"/>
              </w:rPr>
              <w:t xml:space="preserve">25 microgram/kg/dose 12 hourly for 2 days then, </w:t>
            </w:r>
            <w:r w:rsidRPr="00954BD5">
              <w:rPr>
                <w:rFonts w:asciiTheme="minorHAnsi" w:hAnsiTheme="minorHAnsi" w:cstheme="minorHAnsi"/>
                <w:sz w:val="20"/>
                <w:lang w:val="en-AU"/>
              </w:rPr>
              <w:br/>
            </w:r>
            <w:r w:rsidRPr="00954BD5">
              <w:rPr>
                <w:rFonts w:asciiTheme="minorHAnsi" w:hAnsiTheme="minorHAnsi" w:cstheme="minorHAnsi"/>
                <w:sz w:val="20"/>
                <w:lang w:val="en-AU"/>
              </w:rPr>
              <w:t xml:space="preserve">10 microgram/kg/dose 12 hourly for 2 days then cease. </w:t>
            </w:r>
          </w:p>
          <w:p w:rsidRPr="00954BD5" w:rsidR="00202E5E" w:rsidP="00202E5E" w:rsidRDefault="00202E5E" w14:paraId="5AE304C6" w14:textId="77777777">
            <w:pPr>
              <w:pStyle w:val="BodyText"/>
              <w:spacing w:before="240"/>
              <w:rPr>
                <w:rFonts w:asciiTheme="minorHAnsi" w:hAnsiTheme="minorHAnsi" w:cstheme="minorHAnsi"/>
                <w:b/>
                <w:sz w:val="20"/>
                <w:lang w:val="en-AU"/>
              </w:rPr>
            </w:pPr>
            <w:r w:rsidRPr="00954BD5">
              <w:rPr>
                <w:rFonts w:asciiTheme="minorHAnsi" w:hAnsiTheme="minorHAnsi" w:cstheme="minorHAnsi"/>
                <w:b/>
                <w:sz w:val="20"/>
                <w:lang w:val="en-AU"/>
              </w:rPr>
              <w:lastRenderedPageBreak/>
              <w:t>Moderate dose protocol (total cumulative dose 3.6 mg/kg) (modified 18-day regimen)</w:t>
            </w:r>
            <w:r w:rsidRPr="00954BD5">
              <w:rPr>
                <w:rFonts w:asciiTheme="minorHAnsi" w:hAnsiTheme="minorHAnsi" w:cstheme="minorHAnsi"/>
                <w:b/>
                <w:noProof/>
                <w:sz w:val="20"/>
                <w:lang w:val="en-AU"/>
              </w:rPr>
              <w:t>(3)</w:t>
            </w:r>
          </w:p>
          <w:p w:rsidRPr="00954BD5" w:rsidR="00202E5E" w:rsidP="00202E5E" w:rsidRDefault="00202E5E" w14:paraId="523B0DB3" w14:textId="77777777">
            <w:pPr>
              <w:pStyle w:val="BodyText"/>
              <w:rPr>
                <w:rFonts w:asciiTheme="minorHAnsi" w:hAnsiTheme="minorHAnsi" w:cstheme="minorHAnsi"/>
                <w:sz w:val="20"/>
                <w:lang w:val="en-AU"/>
              </w:rPr>
            </w:pPr>
            <w:r w:rsidRPr="00954BD5">
              <w:rPr>
                <w:rFonts w:asciiTheme="minorHAnsi" w:hAnsiTheme="minorHAnsi" w:cstheme="minorHAnsi"/>
                <w:sz w:val="20"/>
                <w:lang w:val="en-AU"/>
              </w:rPr>
              <w:t xml:space="preserve">250 microgram/kg/dose 12 hourly for 3 days then,  </w:t>
            </w:r>
            <w:r w:rsidRPr="00954BD5">
              <w:rPr>
                <w:rFonts w:asciiTheme="minorHAnsi" w:hAnsiTheme="minorHAnsi" w:cstheme="minorHAnsi"/>
                <w:sz w:val="20"/>
                <w:lang w:val="en-AU"/>
              </w:rPr>
              <w:br/>
            </w:r>
            <w:r w:rsidRPr="00954BD5">
              <w:rPr>
                <w:rFonts w:asciiTheme="minorHAnsi" w:hAnsiTheme="minorHAnsi" w:cstheme="minorHAnsi"/>
                <w:sz w:val="20"/>
                <w:lang w:val="en-AU"/>
              </w:rPr>
              <w:t xml:space="preserve">150 microgram/kg/dose 12 hourly for 3 days then, </w:t>
            </w:r>
            <w:r w:rsidRPr="00954BD5">
              <w:rPr>
                <w:rFonts w:asciiTheme="minorHAnsi" w:hAnsiTheme="minorHAnsi" w:cstheme="minorHAnsi"/>
                <w:sz w:val="20"/>
                <w:lang w:val="en-AU"/>
              </w:rPr>
              <w:br/>
            </w:r>
            <w:r w:rsidRPr="00954BD5">
              <w:rPr>
                <w:rFonts w:asciiTheme="minorHAnsi" w:hAnsiTheme="minorHAnsi" w:cstheme="minorHAnsi"/>
                <w:sz w:val="20"/>
                <w:lang w:val="en-AU"/>
              </w:rPr>
              <w:t xml:space="preserve">100 microgram/kg/dose 12 hourly for 3 days then, </w:t>
            </w:r>
            <w:r w:rsidRPr="00954BD5">
              <w:rPr>
                <w:rFonts w:asciiTheme="minorHAnsi" w:hAnsiTheme="minorHAnsi" w:cstheme="minorHAnsi"/>
                <w:sz w:val="20"/>
                <w:lang w:val="en-AU"/>
              </w:rPr>
              <w:br/>
            </w:r>
            <w:r w:rsidRPr="00954BD5">
              <w:rPr>
                <w:rFonts w:asciiTheme="minorHAnsi" w:hAnsiTheme="minorHAnsi" w:cstheme="minorHAnsi"/>
                <w:sz w:val="20"/>
                <w:lang w:val="en-AU"/>
              </w:rPr>
              <w:t>50 microgram/kg/dose 12 hourly for 3 days then,</w:t>
            </w:r>
          </w:p>
          <w:p w:rsidRPr="00954BD5" w:rsidR="00202E5E" w:rsidP="00202E5E" w:rsidRDefault="00202E5E" w14:paraId="3E8969D7" w14:textId="77777777">
            <w:pPr>
              <w:pStyle w:val="BodyText"/>
              <w:rPr>
                <w:rFonts w:asciiTheme="minorHAnsi" w:hAnsiTheme="minorHAnsi" w:cstheme="minorHAnsi"/>
                <w:sz w:val="20"/>
                <w:lang w:val="en-AU"/>
              </w:rPr>
            </w:pPr>
            <w:r w:rsidRPr="00954BD5">
              <w:rPr>
                <w:rFonts w:asciiTheme="minorHAnsi" w:hAnsiTheme="minorHAnsi" w:cstheme="minorHAnsi"/>
                <w:sz w:val="20"/>
                <w:lang w:val="en-AU"/>
              </w:rPr>
              <w:t xml:space="preserve">25 microgram/kg/dose 12 hourly for 6 days then cease. </w:t>
            </w:r>
          </w:p>
          <w:p w:rsidRPr="00954BD5" w:rsidR="00202E5E" w:rsidP="00202E5E" w:rsidRDefault="00202E5E" w14:paraId="38AE2077" w14:textId="77777777">
            <w:pPr>
              <w:rPr>
                <w:rFonts w:eastAsia="Calibri" w:asciiTheme="minorHAnsi" w:hAnsiTheme="minorHAnsi" w:cstheme="minorHAnsi"/>
                <w:sz w:val="20"/>
              </w:rPr>
            </w:pPr>
          </w:p>
          <w:p w:rsidRPr="00954BD5" w:rsidR="00202E5E" w:rsidP="00202E5E" w:rsidRDefault="00202E5E" w14:paraId="0B205A63" w14:textId="77777777">
            <w:pPr>
              <w:rPr>
                <w:rFonts w:eastAsia="Calibri" w:asciiTheme="minorHAnsi" w:hAnsiTheme="minorHAnsi" w:cstheme="minorHAnsi"/>
                <w:b/>
                <w:sz w:val="20"/>
              </w:rPr>
            </w:pPr>
            <w:r w:rsidRPr="00954BD5">
              <w:rPr>
                <w:rFonts w:eastAsia="Calibri" w:asciiTheme="minorHAnsi" w:hAnsiTheme="minorHAnsi" w:cstheme="minorHAnsi"/>
                <w:b/>
                <w:sz w:val="20"/>
              </w:rPr>
              <w:t>High dose regimen (total cumulative dose 7.98 mg/kg) (modified 42-day regimen)</w:t>
            </w:r>
            <w:r w:rsidRPr="00954BD5">
              <w:rPr>
                <w:rFonts w:eastAsia="Calibri" w:asciiTheme="minorHAnsi" w:hAnsiTheme="minorHAnsi" w:cstheme="minorHAnsi"/>
                <w:b/>
                <w:noProof/>
                <w:sz w:val="20"/>
              </w:rPr>
              <w:t>(3-5)</w:t>
            </w:r>
          </w:p>
          <w:p w:rsidRPr="00954BD5" w:rsidR="00202E5E" w:rsidP="00202E5E" w:rsidRDefault="00202E5E" w14:paraId="733843AE" w14:textId="77777777">
            <w:pPr>
              <w:rPr>
                <w:rFonts w:eastAsia="Calibri" w:asciiTheme="minorHAnsi" w:hAnsiTheme="minorHAnsi" w:cstheme="minorHAnsi"/>
                <w:sz w:val="20"/>
              </w:rPr>
            </w:pPr>
            <w:r w:rsidRPr="00954BD5">
              <w:rPr>
                <w:rFonts w:eastAsia="Calibri" w:asciiTheme="minorHAnsi" w:hAnsiTheme="minorHAnsi" w:cstheme="minorHAnsi"/>
                <w:sz w:val="20"/>
              </w:rPr>
              <w:t>250 microgram/kg/dose BD x 3days then,</w:t>
            </w:r>
          </w:p>
          <w:p w:rsidRPr="00954BD5" w:rsidR="00202E5E" w:rsidP="00202E5E" w:rsidRDefault="00202E5E" w14:paraId="5089617F" w14:textId="77777777">
            <w:pPr>
              <w:rPr>
                <w:rFonts w:eastAsia="Calibri" w:asciiTheme="minorHAnsi" w:hAnsiTheme="minorHAnsi" w:cstheme="minorHAnsi"/>
                <w:sz w:val="20"/>
              </w:rPr>
            </w:pPr>
            <w:r w:rsidRPr="00954BD5">
              <w:rPr>
                <w:rFonts w:eastAsia="Calibri" w:asciiTheme="minorHAnsi" w:hAnsiTheme="minorHAnsi" w:cstheme="minorHAnsi"/>
                <w:sz w:val="20"/>
              </w:rPr>
              <w:t>150 microgram/kg/dose BD x 3 days then,</w:t>
            </w:r>
          </w:p>
          <w:p w:rsidRPr="00954BD5" w:rsidR="00202E5E" w:rsidP="00202E5E" w:rsidRDefault="00202E5E" w14:paraId="416E2592" w14:textId="77777777">
            <w:pPr>
              <w:rPr>
                <w:rFonts w:eastAsia="Calibri" w:asciiTheme="minorHAnsi" w:hAnsiTheme="minorHAnsi" w:cstheme="minorHAnsi"/>
                <w:sz w:val="20"/>
              </w:rPr>
            </w:pPr>
            <w:r w:rsidRPr="00954BD5">
              <w:rPr>
                <w:rFonts w:eastAsia="Calibri" w:asciiTheme="minorHAnsi" w:hAnsiTheme="minorHAnsi" w:cstheme="minorHAnsi"/>
                <w:sz w:val="20"/>
              </w:rPr>
              <w:t>135 microgram/kg/dose BD x 3days then,</w:t>
            </w:r>
          </w:p>
          <w:p w:rsidRPr="00954BD5" w:rsidR="00202E5E" w:rsidP="00202E5E" w:rsidRDefault="00202E5E" w14:paraId="39A4231D" w14:textId="77777777">
            <w:pPr>
              <w:rPr>
                <w:rFonts w:eastAsia="Calibri" w:asciiTheme="minorHAnsi" w:hAnsiTheme="minorHAnsi" w:cstheme="minorHAnsi"/>
                <w:sz w:val="20"/>
              </w:rPr>
            </w:pPr>
            <w:r w:rsidRPr="00954BD5">
              <w:rPr>
                <w:rFonts w:eastAsia="Calibri" w:asciiTheme="minorHAnsi" w:hAnsiTheme="minorHAnsi" w:cstheme="minorHAnsi"/>
                <w:sz w:val="20"/>
              </w:rPr>
              <w:t>120 microgram/kg/dose BD x 3days then,</w:t>
            </w:r>
          </w:p>
          <w:p w:rsidRPr="00954BD5" w:rsidR="00202E5E" w:rsidP="00202E5E" w:rsidRDefault="00202E5E" w14:paraId="68E3D78A" w14:textId="77777777">
            <w:pPr>
              <w:rPr>
                <w:rFonts w:eastAsia="Calibri" w:asciiTheme="minorHAnsi" w:hAnsiTheme="minorHAnsi" w:cstheme="minorHAnsi"/>
                <w:sz w:val="20"/>
              </w:rPr>
            </w:pPr>
            <w:r w:rsidRPr="00954BD5">
              <w:rPr>
                <w:rFonts w:eastAsia="Calibri" w:asciiTheme="minorHAnsi" w:hAnsiTheme="minorHAnsi" w:cstheme="minorHAnsi"/>
                <w:sz w:val="20"/>
              </w:rPr>
              <w:t>110 microgram/kg/dose BD x 3days then,</w:t>
            </w:r>
          </w:p>
          <w:p w:rsidRPr="00954BD5" w:rsidR="00202E5E" w:rsidP="00202E5E" w:rsidRDefault="00202E5E" w14:paraId="07D0B855" w14:textId="77777777">
            <w:pPr>
              <w:rPr>
                <w:rFonts w:eastAsia="Calibri" w:asciiTheme="minorHAnsi" w:hAnsiTheme="minorHAnsi" w:cstheme="minorHAnsi"/>
                <w:sz w:val="20"/>
              </w:rPr>
            </w:pPr>
            <w:r w:rsidRPr="00954BD5">
              <w:rPr>
                <w:rFonts w:eastAsia="Calibri" w:asciiTheme="minorHAnsi" w:hAnsiTheme="minorHAnsi" w:cstheme="minorHAnsi"/>
                <w:sz w:val="20"/>
              </w:rPr>
              <w:t>100 microgram/kg/dose BD x 3days then,</w:t>
            </w:r>
          </w:p>
          <w:p w:rsidRPr="00954BD5" w:rsidR="00202E5E" w:rsidP="00202E5E" w:rsidRDefault="00202E5E" w14:paraId="6D3C3745" w14:textId="77777777">
            <w:pPr>
              <w:rPr>
                <w:rFonts w:eastAsia="Calibri" w:asciiTheme="minorHAnsi" w:hAnsiTheme="minorHAnsi" w:cstheme="minorHAnsi"/>
                <w:sz w:val="20"/>
              </w:rPr>
            </w:pPr>
            <w:r w:rsidRPr="00954BD5">
              <w:rPr>
                <w:rFonts w:eastAsia="Calibri" w:asciiTheme="minorHAnsi" w:hAnsiTheme="minorHAnsi" w:cstheme="minorHAnsi"/>
                <w:sz w:val="20"/>
              </w:rPr>
              <w:t>90 microgram/kg/dose BD x 3days then,</w:t>
            </w:r>
          </w:p>
          <w:p w:rsidRPr="00954BD5" w:rsidR="00202E5E" w:rsidP="00202E5E" w:rsidRDefault="00202E5E" w14:paraId="3A213A38" w14:textId="77777777">
            <w:pPr>
              <w:rPr>
                <w:rFonts w:eastAsia="Calibri" w:asciiTheme="minorHAnsi" w:hAnsiTheme="minorHAnsi" w:cstheme="minorHAnsi"/>
                <w:sz w:val="20"/>
              </w:rPr>
            </w:pPr>
            <w:r w:rsidRPr="00954BD5">
              <w:rPr>
                <w:rFonts w:eastAsia="Calibri" w:asciiTheme="minorHAnsi" w:hAnsiTheme="minorHAnsi" w:cstheme="minorHAnsi"/>
                <w:sz w:val="20"/>
              </w:rPr>
              <w:t>80 microgram/kg/dose BD x 3days then,</w:t>
            </w:r>
          </w:p>
          <w:p w:rsidRPr="00954BD5" w:rsidR="00202E5E" w:rsidP="00202E5E" w:rsidRDefault="00202E5E" w14:paraId="27C33C67" w14:textId="77777777">
            <w:pPr>
              <w:rPr>
                <w:rFonts w:eastAsia="Calibri" w:asciiTheme="minorHAnsi" w:hAnsiTheme="minorHAnsi" w:cstheme="minorHAnsi"/>
                <w:sz w:val="20"/>
              </w:rPr>
            </w:pPr>
            <w:r w:rsidRPr="00954BD5">
              <w:rPr>
                <w:rFonts w:eastAsia="Calibri" w:asciiTheme="minorHAnsi" w:hAnsiTheme="minorHAnsi" w:cstheme="minorHAnsi"/>
                <w:sz w:val="20"/>
              </w:rPr>
              <w:t>70 microgram/kg/dose BD x 3days then,</w:t>
            </w:r>
          </w:p>
          <w:p w:rsidRPr="00954BD5" w:rsidR="00202E5E" w:rsidP="00202E5E" w:rsidRDefault="00202E5E" w14:paraId="07F10EE4" w14:textId="77777777">
            <w:pPr>
              <w:rPr>
                <w:rFonts w:eastAsia="Calibri" w:asciiTheme="minorHAnsi" w:hAnsiTheme="minorHAnsi" w:cstheme="minorHAnsi"/>
                <w:sz w:val="20"/>
              </w:rPr>
            </w:pPr>
            <w:r w:rsidRPr="00954BD5">
              <w:rPr>
                <w:rFonts w:eastAsia="Calibri" w:asciiTheme="minorHAnsi" w:hAnsiTheme="minorHAnsi" w:cstheme="minorHAnsi"/>
                <w:sz w:val="20"/>
              </w:rPr>
              <w:t>65 microgram/kg/dose BD x 3days then,</w:t>
            </w:r>
          </w:p>
          <w:p w:rsidRPr="00954BD5" w:rsidR="00202E5E" w:rsidP="00202E5E" w:rsidRDefault="00202E5E" w14:paraId="45D501A4" w14:textId="77777777">
            <w:pPr>
              <w:rPr>
                <w:rFonts w:eastAsia="Calibri" w:asciiTheme="minorHAnsi" w:hAnsiTheme="minorHAnsi" w:cstheme="minorHAnsi"/>
                <w:sz w:val="20"/>
              </w:rPr>
            </w:pPr>
            <w:r w:rsidRPr="00954BD5">
              <w:rPr>
                <w:rFonts w:eastAsia="Calibri" w:asciiTheme="minorHAnsi" w:hAnsiTheme="minorHAnsi" w:cstheme="minorHAnsi"/>
                <w:sz w:val="20"/>
              </w:rPr>
              <w:t>60 microgram/kg/dose BD x 3days then,</w:t>
            </w:r>
          </w:p>
          <w:p w:rsidRPr="00954BD5" w:rsidR="00202E5E" w:rsidP="00202E5E" w:rsidRDefault="00202E5E" w14:paraId="17ACCEFE" w14:textId="77777777">
            <w:pPr>
              <w:rPr>
                <w:rFonts w:eastAsia="Calibri" w:asciiTheme="minorHAnsi" w:hAnsiTheme="minorHAnsi" w:cstheme="minorHAnsi"/>
                <w:sz w:val="20"/>
              </w:rPr>
            </w:pPr>
            <w:r w:rsidRPr="00954BD5">
              <w:rPr>
                <w:rFonts w:eastAsia="Calibri" w:asciiTheme="minorHAnsi" w:hAnsiTheme="minorHAnsi" w:cstheme="minorHAnsi"/>
                <w:sz w:val="20"/>
              </w:rPr>
              <w:t>50 microgram/kg/dose BD x 3days then,</w:t>
            </w:r>
          </w:p>
          <w:p w:rsidRPr="00954BD5" w:rsidR="00202E5E" w:rsidP="00202E5E" w:rsidRDefault="00202E5E" w14:paraId="5B8D94A7" w14:textId="77777777">
            <w:pPr>
              <w:rPr>
                <w:rFonts w:eastAsia="Calibri" w:asciiTheme="minorHAnsi" w:hAnsiTheme="minorHAnsi" w:cstheme="minorHAnsi"/>
                <w:sz w:val="20"/>
              </w:rPr>
            </w:pPr>
            <w:r w:rsidRPr="00954BD5">
              <w:rPr>
                <w:rFonts w:eastAsia="Calibri" w:asciiTheme="minorHAnsi" w:hAnsiTheme="minorHAnsi" w:cstheme="minorHAnsi"/>
                <w:sz w:val="20"/>
              </w:rPr>
              <w:t>100 microgram/kg/dose DAILY on alternate days x 3 doses</w:t>
            </w:r>
          </w:p>
          <w:p w:rsidRPr="00954BD5" w:rsidR="008074EA" w:rsidP="00EC6FC6" w:rsidRDefault="008074EA" w14:paraId="184572F5" w14:textId="77777777">
            <w:pPr>
              <w:pStyle w:val="BodyText"/>
              <w:jc w:val="left"/>
              <w:rPr>
                <w:sz w:val="20"/>
                <w:lang w:val="en-AU"/>
              </w:rPr>
            </w:pPr>
          </w:p>
          <w:p w:rsidRPr="00954BD5" w:rsidR="00954BD5" w:rsidP="00954BD5" w:rsidRDefault="00954BD5" w14:paraId="456B32B1" w14:textId="77777777">
            <w:pPr>
              <w:pStyle w:val="BodyText"/>
              <w:rPr>
                <w:rFonts w:asciiTheme="minorHAnsi" w:hAnsiTheme="minorHAnsi" w:cstheme="minorHAnsi"/>
                <w:b/>
                <w:sz w:val="20"/>
                <w:lang w:val="en-AU"/>
              </w:rPr>
            </w:pPr>
            <w:r w:rsidRPr="00954BD5">
              <w:rPr>
                <w:rFonts w:asciiTheme="minorHAnsi" w:hAnsiTheme="minorHAnsi" w:cstheme="minorHAnsi"/>
                <w:b/>
                <w:sz w:val="20"/>
                <w:lang w:val="en-AU"/>
              </w:rPr>
              <w:t>Extubation regimen</w:t>
            </w:r>
            <w:r w:rsidRPr="00954BD5">
              <w:rPr>
                <w:rFonts w:asciiTheme="minorHAnsi" w:hAnsiTheme="minorHAnsi" w:cstheme="minorHAnsi"/>
                <w:b/>
                <w:noProof/>
                <w:sz w:val="20"/>
                <w:lang w:val="en-AU"/>
              </w:rPr>
              <w:t>(6)</w:t>
            </w:r>
          </w:p>
          <w:p w:rsidRPr="00954BD5" w:rsidR="00954BD5" w:rsidP="00954BD5" w:rsidRDefault="00954BD5" w14:paraId="3C848FE9" w14:textId="77777777">
            <w:pPr>
              <w:pStyle w:val="BodyText"/>
              <w:rPr>
                <w:rFonts w:asciiTheme="minorHAnsi" w:hAnsiTheme="minorHAnsi" w:cstheme="minorHAnsi"/>
                <w:sz w:val="20"/>
                <w:lang w:val="en-AU"/>
              </w:rPr>
            </w:pPr>
            <w:r w:rsidRPr="00954BD5">
              <w:rPr>
                <w:rFonts w:asciiTheme="minorHAnsi" w:hAnsiTheme="minorHAnsi" w:cstheme="minorHAnsi"/>
                <w:sz w:val="20"/>
                <w:lang w:val="en-AU"/>
              </w:rPr>
              <w:t>0.25 mg/kg 8 hourly for up to 3 doses.</w:t>
            </w:r>
          </w:p>
          <w:p w:rsidRPr="00954BD5" w:rsidR="008074EA" w:rsidP="00954BD5" w:rsidRDefault="00954BD5" w14:paraId="5B9007B0" w14:textId="4491AECB">
            <w:pPr>
              <w:pStyle w:val="BodyText"/>
              <w:jc w:val="left"/>
              <w:rPr>
                <w:sz w:val="20"/>
                <w:lang w:val="en-AU"/>
              </w:rPr>
            </w:pPr>
            <w:r w:rsidRPr="00954BD5">
              <w:rPr>
                <w:rFonts w:asciiTheme="minorHAnsi" w:hAnsiTheme="minorHAnsi" w:cstheme="minorHAnsi"/>
                <w:sz w:val="20"/>
                <w:lang w:val="en-AU"/>
              </w:rPr>
              <w:t>Commence 4 hours before extubation.</w:t>
            </w:r>
          </w:p>
        </w:tc>
      </w:tr>
      <w:tr w:rsidRPr="00B027DF" w:rsidR="008074EA" w:rsidTr="00BB6ADA" w14:paraId="42BFFB05" w14:textId="77777777">
        <w:trPr>
          <w:trHeight w:val="407"/>
        </w:trPr>
        <w:tc>
          <w:tcPr>
            <w:tcW w:w="2438" w:type="dxa"/>
          </w:tcPr>
          <w:p w:rsidRPr="00B027DF" w:rsidR="008074EA" w:rsidP="00EC6FC6" w:rsidRDefault="008074EA" w14:paraId="3D37D6EE" w14:textId="77777777">
            <w:pPr>
              <w:pStyle w:val="BodyText"/>
              <w:jc w:val="left"/>
              <w:rPr>
                <w:lang w:val="en-AU"/>
              </w:rPr>
            </w:pPr>
            <w:r w:rsidRPr="00B027DF">
              <w:rPr>
                <w:lang w:val="en-AU"/>
              </w:rPr>
              <w:lastRenderedPageBreak/>
              <w:t>Dose adjustment</w:t>
            </w:r>
          </w:p>
          <w:p w:rsidRPr="00B027DF" w:rsidR="008074EA" w:rsidP="00EC6FC6" w:rsidRDefault="008074EA" w14:paraId="223D473F" w14:textId="77777777">
            <w:pPr>
              <w:pStyle w:val="BodyText"/>
              <w:jc w:val="left"/>
              <w:rPr>
                <w:lang w:val="en-AU"/>
              </w:rPr>
            </w:pPr>
            <w:r w:rsidRPr="00B027DF">
              <w:rPr>
                <w:lang w:val="en-AU"/>
              </w:rPr>
              <w:t>Therapeutic hypothermia</w:t>
            </w:r>
          </w:p>
          <w:p w:rsidRPr="00B027DF" w:rsidR="008074EA" w:rsidP="00EC6FC6" w:rsidRDefault="008074EA" w14:paraId="23E30D1C" w14:textId="77777777">
            <w:pPr>
              <w:pStyle w:val="BodyText"/>
              <w:jc w:val="left"/>
              <w:rPr>
                <w:lang w:val="en-AU"/>
              </w:rPr>
            </w:pPr>
            <w:r w:rsidRPr="00B027DF">
              <w:rPr>
                <w:lang w:val="en-AU"/>
              </w:rPr>
              <w:t>ECMO</w:t>
            </w:r>
          </w:p>
          <w:p w:rsidRPr="00B027DF" w:rsidR="008074EA" w:rsidP="00EC6FC6" w:rsidRDefault="008074EA" w14:paraId="587AC11D" w14:textId="77777777">
            <w:pPr>
              <w:pStyle w:val="BodyText"/>
              <w:jc w:val="left"/>
              <w:rPr>
                <w:lang w:val="en-AU"/>
              </w:rPr>
            </w:pPr>
            <w:r w:rsidRPr="00B027DF">
              <w:rPr>
                <w:lang w:val="en-AU"/>
              </w:rPr>
              <w:t>Renal impairment</w:t>
            </w:r>
          </w:p>
          <w:p w:rsidRPr="00B027DF" w:rsidR="008074EA" w:rsidP="00EC6FC6" w:rsidRDefault="008074EA" w14:paraId="784F5C7C" w14:textId="77777777">
            <w:pPr>
              <w:pStyle w:val="BodyText"/>
              <w:jc w:val="left"/>
              <w:rPr>
                <w:b/>
                <w:lang w:val="en-AU"/>
              </w:rPr>
            </w:pPr>
            <w:r w:rsidRPr="00B027DF">
              <w:rPr>
                <w:lang w:val="en-AU"/>
              </w:rPr>
              <w:t>Hepatic impairment</w:t>
            </w:r>
          </w:p>
        </w:tc>
        <w:tc>
          <w:tcPr>
            <w:tcW w:w="6913" w:type="dxa"/>
          </w:tcPr>
          <w:p w:rsidRPr="00B027DF" w:rsidR="008074EA" w:rsidP="00EC6FC6" w:rsidRDefault="008074EA" w14:paraId="179BF0EB" w14:textId="77777777">
            <w:pPr>
              <w:pStyle w:val="BodyText"/>
              <w:jc w:val="left"/>
              <w:rPr>
                <w:lang w:val="en-AU"/>
              </w:rPr>
            </w:pPr>
          </w:p>
          <w:p w:rsidRPr="00B027DF" w:rsidR="008074EA" w:rsidP="00EC6FC6" w:rsidRDefault="008074EA" w14:paraId="54762230" w14:textId="77777777">
            <w:pPr>
              <w:pStyle w:val="BodyText"/>
              <w:jc w:val="left"/>
              <w:rPr>
                <w:lang w:val="en-AU"/>
              </w:rPr>
            </w:pPr>
            <w:r w:rsidRPr="00B027DF">
              <w:rPr>
                <w:lang w:val="en-AU"/>
              </w:rPr>
              <w:t>Not applicable</w:t>
            </w:r>
          </w:p>
          <w:p w:rsidRPr="00B027DF" w:rsidR="008074EA" w:rsidP="00EC6FC6" w:rsidRDefault="008074EA" w14:paraId="530A7BD4" w14:textId="77777777">
            <w:pPr>
              <w:pStyle w:val="BodyText"/>
              <w:jc w:val="left"/>
              <w:rPr>
                <w:lang w:val="en-AU"/>
              </w:rPr>
            </w:pPr>
            <w:r w:rsidRPr="00B027DF">
              <w:rPr>
                <w:lang w:val="en-AU"/>
              </w:rPr>
              <w:t>Not applicable</w:t>
            </w:r>
          </w:p>
          <w:p w:rsidRPr="00B027DF" w:rsidR="008074EA" w:rsidP="00EC6FC6" w:rsidRDefault="008074EA" w14:paraId="543D5F89" w14:textId="77777777">
            <w:pPr>
              <w:pStyle w:val="BodyText"/>
              <w:jc w:val="left"/>
              <w:rPr>
                <w:lang w:val="en-AU"/>
              </w:rPr>
            </w:pPr>
            <w:r w:rsidRPr="00B027DF">
              <w:rPr>
                <w:lang w:val="en-AU"/>
              </w:rPr>
              <w:t>Not applicable</w:t>
            </w:r>
          </w:p>
          <w:p w:rsidRPr="00B027DF" w:rsidR="008074EA" w:rsidP="00EC6FC6" w:rsidRDefault="008074EA" w14:paraId="5186FDB5" w14:textId="77777777">
            <w:pPr>
              <w:pStyle w:val="BodyText"/>
              <w:jc w:val="left"/>
              <w:rPr>
                <w:lang w:val="en-AU"/>
              </w:rPr>
            </w:pPr>
            <w:r w:rsidRPr="00B027DF">
              <w:rPr>
                <w:lang w:val="en-AU"/>
              </w:rPr>
              <w:t>Not applicable</w:t>
            </w:r>
          </w:p>
        </w:tc>
      </w:tr>
      <w:tr w:rsidRPr="00B027DF" w:rsidR="008074EA" w:rsidTr="00BB6ADA" w14:paraId="23698AAC" w14:textId="77777777">
        <w:trPr>
          <w:trHeight w:val="113"/>
        </w:trPr>
        <w:tc>
          <w:tcPr>
            <w:tcW w:w="2438" w:type="dxa"/>
          </w:tcPr>
          <w:p w:rsidRPr="00B027DF" w:rsidR="008074EA" w:rsidP="00EC6FC6" w:rsidRDefault="008074EA" w14:paraId="5A0DC8BB" w14:textId="77777777">
            <w:pPr>
              <w:pStyle w:val="BodyText"/>
              <w:jc w:val="left"/>
              <w:rPr>
                <w:lang w:val="en-AU"/>
              </w:rPr>
            </w:pPr>
            <w:r w:rsidRPr="00B027DF">
              <w:rPr>
                <w:lang w:val="en-AU"/>
              </w:rPr>
              <w:t>Maximum dose</w:t>
            </w:r>
          </w:p>
        </w:tc>
        <w:tc>
          <w:tcPr>
            <w:tcW w:w="6913" w:type="dxa"/>
          </w:tcPr>
          <w:p w:rsidRPr="00B027DF" w:rsidR="008074EA" w:rsidP="00EC6FC6" w:rsidRDefault="008074EA" w14:paraId="5DDA8693" w14:textId="77777777">
            <w:pPr>
              <w:pStyle w:val="BodyText"/>
              <w:jc w:val="left"/>
              <w:rPr>
                <w:lang w:val="en-AU"/>
              </w:rPr>
            </w:pPr>
            <w:r w:rsidRPr="00B027DF">
              <w:rPr>
                <w:lang w:val="en-AU"/>
              </w:rPr>
              <w:t>0.75 mg/kg/day</w:t>
            </w:r>
          </w:p>
        </w:tc>
      </w:tr>
      <w:tr w:rsidRPr="00B027DF" w:rsidR="008074EA" w:rsidTr="00BB6ADA" w14:paraId="050D281D" w14:textId="77777777">
        <w:trPr>
          <w:trHeight w:val="144"/>
        </w:trPr>
        <w:tc>
          <w:tcPr>
            <w:tcW w:w="2438" w:type="dxa"/>
          </w:tcPr>
          <w:p w:rsidRPr="00B027DF" w:rsidR="008074EA" w:rsidP="00EC6FC6" w:rsidRDefault="008074EA" w14:paraId="22F9B716" w14:textId="77777777">
            <w:pPr>
              <w:pStyle w:val="BodyText"/>
              <w:jc w:val="left"/>
              <w:rPr>
                <w:rFonts w:cs="Arial"/>
                <w:bCs/>
                <w:lang w:val="en-AU"/>
              </w:rPr>
            </w:pPr>
            <w:r w:rsidRPr="00B027DF">
              <w:rPr>
                <w:lang w:val="en-AU"/>
              </w:rPr>
              <w:t>Total cumulative dose</w:t>
            </w:r>
          </w:p>
        </w:tc>
        <w:tc>
          <w:tcPr>
            <w:tcW w:w="6913" w:type="dxa"/>
          </w:tcPr>
          <w:p w:rsidRPr="00CB2F8E" w:rsidR="00CB2F8E" w:rsidP="00CB2F8E" w:rsidRDefault="00CB2F8E" w14:paraId="481965D3" w14:textId="77777777">
            <w:pPr>
              <w:pStyle w:val="BodyText"/>
              <w:rPr>
                <w:lang w:val="en-AU"/>
              </w:rPr>
            </w:pPr>
            <w:r w:rsidRPr="00CB2F8E">
              <w:rPr>
                <w:lang w:val="en-AU"/>
              </w:rPr>
              <w:t xml:space="preserve">Low = less than 2 mg/kg; </w:t>
            </w:r>
          </w:p>
          <w:p w:rsidRPr="00CB2F8E" w:rsidR="00CB2F8E" w:rsidP="00CB2F8E" w:rsidRDefault="00CB2F8E" w14:paraId="11643B7A" w14:textId="77777777">
            <w:pPr>
              <w:pStyle w:val="BodyText"/>
              <w:rPr>
                <w:lang w:val="en-AU"/>
              </w:rPr>
            </w:pPr>
            <w:r w:rsidRPr="00CB2F8E">
              <w:rPr>
                <w:lang w:val="en-AU"/>
              </w:rPr>
              <w:t xml:space="preserve">Moderate = 2 to 4 mg/kg; and </w:t>
            </w:r>
          </w:p>
          <w:p w:rsidRPr="00B027DF" w:rsidR="008074EA" w:rsidP="00CB2F8E" w:rsidRDefault="00CB2F8E" w14:paraId="4490E0CE" w14:textId="4D4A7968">
            <w:pPr>
              <w:pStyle w:val="BodyText"/>
              <w:jc w:val="left"/>
              <w:rPr>
                <w:b/>
                <w:lang w:val="en-AU"/>
              </w:rPr>
            </w:pPr>
            <w:r w:rsidRPr="00CB2F8E">
              <w:rPr>
                <w:lang w:val="en-AU"/>
              </w:rPr>
              <w:t>High = greater than 4 mg/kg.</w:t>
            </w:r>
          </w:p>
        </w:tc>
      </w:tr>
      <w:tr w:rsidRPr="00B027DF" w:rsidR="008074EA" w:rsidTr="00BB6ADA" w14:paraId="44B568C0" w14:textId="77777777">
        <w:trPr>
          <w:trHeight w:val="294"/>
        </w:trPr>
        <w:tc>
          <w:tcPr>
            <w:tcW w:w="2438" w:type="dxa"/>
          </w:tcPr>
          <w:p w:rsidRPr="00B027DF" w:rsidR="008074EA" w:rsidP="00EC6FC6" w:rsidRDefault="008074EA" w14:paraId="64C89BE0" w14:textId="77777777">
            <w:pPr>
              <w:pStyle w:val="BodyText"/>
              <w:jc w:val="left"/>
              <w:rPr>
                <w:lang w:val="en-AU"/>
              </w:rPr>
            </w:pPr>
            <w:r w:rsidRPr="00B027DF">
              <w:rPr>
                <w:lang w:val="en-AU"/>
              </w:rPr>
              <w:t xml:space="preserve">Route                                </w:t>
            </w:r>
          </w:p>
        </w:tc>
        <w:tc>
          <w:tcPr>
            <w:tcW w:w="6913" w:type="dxa"/>
          </w:tcPr>
          <w:p w:rsidRPr="00B027DF" w:rsidR="008074EA" w:rsidP="00EC6FC6" w:rsidRDefault="008074EA" w14:paraId="7F10DB2E" w14:textId="77777777">
            <w:pPr>
              <w:pStyle w:val="BodyText"/>
              <w:jc w:val="left"/>
              <w:rPr>
                <w:lang w:val="en-AU"/>
              </w:rPr>
            </w:pPr>
            <w:r w:rsidRPr="00B027DF">
              <w:rPr>
                <w:lang w:val="en-AU"/>
              </w:rPr>
              <w:t>IV, oral.</w:t>
            </w:r>
          </w:p>
        </w:tc>
      </w:tr>
      <w:tr w:rsidRPr="00B027DF" w:rsidR="008074EA" w:rsidTr="00BB6ADA" w14:paraId="65E8F396" w14:textId="77777777">
        <w:trPr>
          <w:trHeight w:val="93"/>
        </w:trPr>
        <w:tc>
          <w:tcPr>
            <w:tcW w:w="2438" w:type="dxa"/>
          </w:tcPr>
          <w:p w:rsidRPr="00B027DF" w:rsidR="008074EA" w:rsidP="00EC6FC6" w:rsidRDefault="2EB71A0D" w14:paraId="7E805D18" w14:textId="11E6BE7B">
            <w:pPr>
              <w:pStyle w:val="BodyText"/>
              <w:jc w:val="left"/>
              <w:rPr>
                <w:highlight w:val="cyan"/>
                <w:lang w:val="en-AU"/>
              </w:rPr>
            </w:pPr>
            <w:r w:rsidRPr="77BEE3D0">
              <w:rPr>
                <w:lang w:val="en-AU"/>
              </w:rPr>
              <w:t>Preparation</w:t>
            </w:r>
          </w:p>
        </w:tc>
        <w:tc>
          <w:tcPr>
            <w:tcW w:w="6913" w:type="dxa"/>
          </w:tcPr>
          <w:p w:rsidRPr="00B027DF" w:rsidR="008074EA" w:rsidP="00EC6FC6" w:rsidRDefault="008074EA" w14:paraId="1D806FA3" w14:textId="77777777">
            <w:pPr>
              <w:pStyle w:val="BodyText"/>
              <w:jc w:val="left"/>
              <w:rPr>
                <w:lang w:val="en-AU"/>
              </w:rPr>
            </w:pPr>
            <w:r w:rsidRPr="00B027DF">
              <w:rPr>
                <w:lang w:val="en-AU"/>
              </w:rPr>
              <w:t xml:space="preserve">IV: </w:t>
            </w:r>
          </w:p>
          <w:p w:rsidR="008074EA" w:rsidP="00EC6FC6" w:rsidRDefault="008074EA" w14:paraId="475C1CE7" w14:textId="772C6F31">
            <w:pPr>
              <w:pStyle w:val="BodyText"/>
              <w:jc w:val="left"/>
              <w:rPr>
                <w:lang w:val="en-AU"/>
              </w:rPr>
            </w:pPr>
            <w:r w:rsidRPr="00F0013A">
              <w:rPr>
                <w:highlight w:val="yellow"/>
                <w:lang w:val="en-AU"/>
              </w:rPr>
              <w:t xml:space="preserve">Note: </w:t>
            </w:r>
            <w:r w:rsidRPr="00F0013A" w:rsidR="00F0013A">
              <w:rPr>
                <w:highlight w:val="yellow"/>
                <w:lang w:val="en-AU"/>
              </w:rPr>
              <w:t>1mL solution is equal to 3.4mg Dexamethasone base</w:t>
            </w:r>
          </w:p>
          <w:p w:rsidRPr="00B027DF" w:rsidR="00F0013A" w:rsidP="00EC6FC6" w:rsidRDefault="00F0013A" w14:paraId="2A4A15A0" w14:textId="77777777">
            <w:pPr>
              <w:pStyle w:val="BodyText"/>
              <w:jc w:val="left"/>
              <w:rPr>
                <w:lang w:val="en-AU"/>
              </w:rPr>
            </w:pPr>
          </w:p>
          <w:p w:rsidRPr="00B027DF" w:rsidR="008074EA" w:rsidP="00EC6FC6" w:rsidRDefault="008074EA" w14:paraId="33CDAE19" w14:textId="391C3BF9">
            <w:pPr>
              <w:pStyle w:val="BodyText"/>
              <w:jc w:val="left"/>
              <w:rPr>
                <w:lang w:val="en-AU"/>
              </w:rPr>
            </w:pPr>
            <w:r w:rsidRPr="00F0013A">
              <w:rPr>
                <w:highlight w:val="yellow"/>
                <w:lang w:val="en-AU"/>
              </w:rPr>
              <w:t>Draw up 0.6 mL (equivalent to 2 mg dexamethasone</w:t>
            </w:r>
            <w:r w:rsidR="00F0013A">
              <w:rPr>
                <w:highlight w:val="yellow"/>
                <w:lang w:val="en-AU"/>
              </w:rPr>
              <w:t xml:space="preserve"> base</w:t>
            </w:r>
            <w:r w:rsidRPr="00F0013A">
              <w:rPr>
                <w:highlight w:val="yellow"/>
                <w:lang w:val="en-AU"/>
              </w:rPr>
              <w:t>)</w:t>
            </w:r>
            <w:r w:rsidRPr="00B027DF">
              <w:rPr>
                <w:lang w:val="en-AU"/>
              </w:rPr>
              <w:t xml:space="preserve"> and add 9.4 mL of sodium chloride 0.9% to make a final volume of 10 mL with a concentration of 0.2 mg/mL.</w:t>
            </w:r>
          </w:p>
          <w:p w:rsidRPr="00B027DF" w:rsidR="008074EA" w:rsidP="00EC6FC6" w:rsidRDefault="008074EA" w14:paraId="749CC94C" w14:textId="77777777">
            <w:pPr>
              <w:pStyle w:val="BodyText"/>
              <w:jc w:val="left"/>
              <w:rPr>
                <w:lang w:val="en-AU"/>
              </w:rPr>
            </w:pPr>
            <w:r w:rsidRPr="00B027DF">
              <w:rPr>
                <w:lang w:val="en-AU"/>
              </w:rPr>
              <w:t>If volume is too small, further dilute: Draw up 1 mL of solution (0.2mg of dexamethasone) and add 9 mL of sodium chloride 0.9% to make a final volume of 10mL with a concentration of 0.02 mg/mL.</w:t>
            </w:r>
          </w:p>
          <w:p w:rsidRPr="00B027DF" w:rsidR="008074EA" w:rsidP="00EC6FC6" w:rsidRDefault="008074EA" w14:paraId="3DE36F1B" w14:textId="77777777">
            <w:pPr>
              <w:pStyle w:val="BodyText"/>
              <w:jc w:val="left"/>
              <w:rPr>
                <w:lang w:val="en-AU"/>
              </w:rPr>
            </w:pPr>
          </w:p>
          <w:p w:rsidRPr="00B027DF" w:rsidR="008074EA" w:rsidP="00EC6FC6" w:rsidRDefault="008074EA" w14:paraId="592A3A72" w14:textId="77777777">
            <w:pPr>
              <w:pStyle w:val="BodyText"/>
              <w:jc w:val="left"/>
              <w:rPr>
                <w:lang w:val="en-AU"/>
              </w:rPr>
            </w:pPr>
            <w:r w:rsidRPr="00B027DF">
              <w:rPr>
                <w:b/>
                <w:lang w:val="en-AU"/>
              </w:rPr>
              <w:lastRenderedPageBreak/>
              <w:t>Oral:</w:t>
            </w:r>
            <w:r w:rsidRPr="00B027DF">
              <w:rPr>
                <w:lang w:val="en-AU"/>
              </w:rPr>
              <w:t xml:space="preserve"> Prepared by pharmacy in-house (check which strength is stocked with Pharmacy Department). </w:t>
            </w:r>
          </w:p>
          <w:p w:rsidRPr="00B027DF" w:rsidR="008074EA" w:rsidP="00EC6FC6" w:rsidRDefault="008074EA" w14:paraId="441106DF" w14:textId="77777777">
            <w:pPr>
              <w:pStyle w:val="BodyText"/>
              <w:jc w:val="left"/>
              <w:rPr>
                <w:lang w:val="en-AU"/>
              </w:rPr>
            </w:pPr>
            <w:r w:rsidRPr="00B027DF">
              <w:rPr>
                <w:lang w:val="en-AU"/>
              </w:rPr>
              <w:t>Strengths available:</w:t>
            </w:r>
          </w:p>
          <w:p w:rsidRPr="00B027DF" w:rsidR="008074EA" w:rsidP="00EC6FC6" w:rsidRDefault="008074EA" w14:paraId="5C418296" w14:textId="77777777">
            <w:pPr>
              <w:pStyle w:val="BodyText"/>
              <w:jc w:val="left"/>
              <w:rPr>
                <w:lang w:val="en-AU"/>
              </w:rPr>
            </w:pPr>
            <w:r w:rsidRPr="00B027DF">
              <w:rPr>
                <w:lang w:val="en-AU"/>
              </w:rPr>
              <w:t>0.05mg/mL oral solution or suspension</w:t>
            </w:r>
          </w:p>
          <w:p w:rsidRPr="00B027DF" w:rsidR="008074EA" w:rsidP="00EC6FC6" w:rsidRDefault="008074EA" w14:paraId="583B8BB5" w14:textId="77777777">
            <w:pPr>
              <w:pStyle w:val="BodyText"/>
              <w:jc w:val="left"/>
              <w:rPr>
                <w:lang w:val="en-AU"/>
              </w:rPr>
            </w:pPr>
            <w:r w:rsidRPr="00B027DF">
              <w:rPr>
                <w:lang w:val="en-AU"/>
              </w:rPr>
              <w:t>0.1mg/mL oral solution or suspension</w:t>
            </w:r>
          </w:p>
          <w:p w:rsidRPr="00B027DF" w:rsidR="008074EA" w:rsidP="00EC6FC6" w:rsidRDefault="008074EA" w14:paraId="7F6B8913" w14:textId="77777777">
            <w:pPr>
              <w:pStyle w:val="BodyText"/>
              <w:jc w:val="left"/>
              <w:rPr>
                <w:lang w:val="en-AU"/>
              </w:rPr>
            </w:pPr>
            <w:r w:rsidRPr="00B027DF">
              <w:rPr>
                <w:lang w:val="en-AU"/>
              </w:rPr>
              <w:t>0.5mg/mL oral solution or suspension (if volume is too small, further dilute: Draw up 1mL of solution or suspension (0.5mg dexamethasone) and add 9mL WFI to make a final volume of 10mL with a concentration of 0.05mg/mL).</w:t>
            </w:r>
          </w:p>
          <w:p w:rsidRPr="00B027DF" w:rsidR="008074EA" w:rsidP="00EC6FC6" w:rsidRDefault="008074EA" w14:paraId="5B769470" w14:textId="77777777">
            <w:pPr>
              <w:pStyle w:val="BodyText"/>
              <w:jc w:val="left"/>
              <w:rPr>
                <w:lang w:val="en-AU"/>
              </w:rPr>
            </w:pPr>
            <w:r w:rsidRPr="00B027DF">
              <w:rPr>
                <w:lang w:val="en-AU"/>
              </w:rPr>
              <w:t>1mg/mL oral solution or suspension (if volume is too small, further dilute: Draw up 1mL of solution or suspension (1mg dexamethasone) and add 9mL WFI to make a final volume of 10mL with a concentration of 0.1mg/mL).</w:t>
            </w:r>
          </w:p>
          <w:p w:rsidRPr="00B027DF" w:rsidR="008074EA" w:rsidP="00EC6FC6" w:rsidRDefault="008074EA" w14:paraId="6F297450" w14:textId="77777777">
            <w:pPr>
              <w:pStyle w:val="BodyText"/>
              <w:jc w:val="left"/>
              <w:rPr>
                <w:lang w:val="en-AU"/>
              </w:rPr>
            </w:pPr>
          </w:p>
          <w:p w:rsidRPr="00B027DF" w:rsidR="008074EA" w:rsidP="00EC6FC6" w:rsidRDefault="008074EA" w14:paraId="246002EC" w14:textId="77777777">
            <w:pPr>
              <w:pStyle w:val="BodyText"/>
              <w:jc w:val="left"/>
              <w:rPr>
                <w:lang w:val="en-AU"/>
              </w:rPr>
            </w:pPr>
            <w:r w:rsidRPr="00B027DF">
              <w:rPr>
                <w:lang w:val="en-AU"/>
              </w:rPr>
              <w:t>Dexamethasone 1mg = Dexamethasone phosphate 1.2mg = Dexamethasone sodium phosphate 1.3mg approx.</w:t>
            </w:r>
          </w:p>
          <w:p w:rsidRPr="00B027DF" w:rsidR="008074EA" w:rsidP="00EC6FC6" w:rsidRDefault="008074EA" w14:paraId="125CD3E8" w14:textId="77777777">
            <w:pPr>
              <w:pStyle w:val="BodyText"/>
              <w:jc w:val="left"/>
              <w:rPr>
                <w:lang w:val="en-AU"/>
              </w:rPr>
            </w:pPr>
            <w:r w:rsidRPr="00B027DF">
              <w:rPr>
                <w:lang w:val="en-AU"/>
              </w:rPr>
              <w:t>Molecular mass (Dexamethasone phosphate) = 472.4</w:t>
            </w:r>
          </w:p>
          <w:p w:rsidRPr="00B027DF" w:rsidR="008074EA" w:rsidP="00EC6FC6" w:rsidRDefault="008074EA" w14:paraId="0E3A194A" w14:textId="77777777">
            <w:pPr>
              <w:pStyle w:val="BodyText"/>
              <w:jc w:val="left"/>
              <w:rPr>
                <w:lang w:val="en-AU"/>
              </w:rPr>
            </w:pPr>
            <w:r w:rsidRPr="00B027DF">
              <w:rPr>
                <w:lang w:val="en-AU"/>
              </w:rPr>
              <w:t>Molecular mass (Dexamethasone) = 392.5</w:t>
            </w:r>
            <w:r w:rsidRPr="00B027DF">
              <w:rPr>
                <w:vertAlign w:val="superscript"/>
                <w:lang w:val="en-AU"/>
              </w:rPr>
              <w:t>12</w:t>
            </w:r>
          </w:p>
        </w:tc>
      </w:tr>
      <w:tr w:rsidRPr="00B027DF" w:rsidR="008074EA" w:rsidTr="00BB6ADA" w14:paraId="3C73D270" w14:textId="77777777">
        <w:trPr>
          <w:trHeight w:val="224"/>
        </w:trPr>
        <w:tc>
          <w:tcPr>
            <w:tcW w:w="2438" w:type="dxa"/>
          </w:tcPr>
          <w:p w:rsidRPr="00B027DF" w:rsidR="008074EA" w:rsidP="00EC6FC6" w:rsidRDefault="008074EA" w14:paraId="34D5BB2D" w14:textId="77777777">
            <w:pPr>
              <w:pStyle w:val="BodyText"/>
              <w:jc w:val="left"/>
              <w:rPr>
                <w:lang w:val="en-AU"/>
              </w:rPr>
            </w:pPr>
            <w:r w:rsidRPr="00B027DF">
              <w:rPr>
                <w:lang w:val="en-AU"/>
              </w:rPr>
              <w:lastRenderedPageBreak/>
              <w:t xml:space="preserve">Administration                </w:t>
            </w:r>
          </w:p>
        </w:tc>
        <w:tc>
          <w:tcPr>
            <w:tcW w:w="6913" w:type="dxa"/>
          </w:tcPr>
          <w:p w:rsidRPr="00B027DF" w:rsidR="008074EA" w:rsidP="00EC6FC6" w:rsidRDefault="008074EA" w14:paraId="067A8697" w14:textId="77777777">
            <w:pPr>
              <w:pStyle w:val="BodyText"/>
              <w:jc w:val="left"/>
              <w:rPr>
                <w:lang w:val="en-AU"/>
              </w:rPr>
            </w:pPr>
            <w:r w:rsidRPr="00B027DF">
              <w:rPr>
                <w:lang w:val="en-AU"/>
              </w:rPr>
              <w:t>IV: Administer over 3−5 minutes.</w:t>
            </w:r>
            <w:r w:rsidRPr="00B027DF">
              <w:rPr>
                <w:lang w:val="en-AU"/>
              </w:rPr>
              <w:br/>
            </w:r>
            <w:r w:rsidRPr="00B027DF">
              <w:rPr>
                <w:lang w:val="en-AU"/>
              </w:rPr>
              <w:br/>
            </w:r>
            <w:r w:rsidRPr="00B027DF">
              <w:rPr>
                <w:lang w:val="en-AU"/>
              </w:rPr>
              <w:t>Oral: Administer with feeds to minimise gastric irritation.</w:t>
            </w:r>
          </w:p>
          <w:p w:rsidRPr="00B027DF" w:rsidR="008074EA" w:rsidP="00EC6FC6" w:rsidRDefault="008074EA" w14:paraId="258A0F25" w14:textId="77777777">
            <w:pPr>
              <w:pStyle w:val="BodyText"/>
              <w:jc w:val="left"/>
              <w:rPr>
                <w:rFonts w:cs="Arial"/>
                <w:lang w:val="en-AU"/>
              </w:rPr>
            </w:pPr>
            <w:r w:rsidRPr="00B027DF">
              <w:rPr>
                <w:lang w:val="en-AU"/>
              </w:rPr>
              <w:t>Oral Suspension: Shake the bottle well before drawing up required dose.</w:t>
            </w:r>
          </w:p>
        </w:tc>
      </w:tr>
      <w:tr w:rsidRPr="00B027DF" w:rsidR="008074EA" w:rsidTr="00BB6ADA" w14:paraId="27804531" w14:textId="77777777">
        <w:trPr>
          <w:trHeight w:val="215"/>
        </w:trPr>
        <w:tc>
          <w:tcPr>
            <w:tcW w:w="2438" w:type="dxa"/>
          </w:tcPr>
          <w:p w:rsidRPr="00B027DF" w:rsidR="008074EA" w:rsidP="00EC6FC6" w:rsidRDefault="008074EA" w14:paraId="425CDDEA" w14:textId="77777777">
            <w:pPr>
              <w:pStyle w:val="BodyText"/>
              <w:jc w:val="left"/>
              <w:rPr>
                <w:lang w:val="en-AU"/>
              </w:rPr>
            </w:pPr>
            <w:r w:rsidRPr="00B027DF">
              <w:rPr>
                <w:lang w:val="en-AU"/>
              </w:rPr>
              <w:t xml:space="preserve">Monitoring                              </w:t>
            </w:r>
          </w:p>
        </w:tc>
        <w:tc>
          <w:tcPr>
            <w:tcW w:w="6913" w:type="dxa"/>
          </w:tcPr>
          <w:p w:rsidRPr="00B027DF" w:rsidR="008074EA" w:rsidP="00EC6FC6" w:rsidRDefault="008074EA" w14:paraId="7FBA41EE" w14:textId="77777777">
            <w:pPr>
              <w:pStyle w:val="BodyText"/>
              <w:jc w:val="left"/>
              <w:rPr>
                <w:rFonts w:cs="Arial"/>
                <w:lang w:val="en-AU"/>
              </w:rPr>
            </w:pPr>
            <w:r w:rsidRPr="00B027DF">
              <w:rPr>
                <w:lang w:val="en-AU"/>
              </w:rPr>
              <w:t>Blood glucose levels (BGLs) at least daily. When on oral feeds measure BGL only if there is glucose in urine.</w:t>
            </w:r>
            <w:r w:rsidRPr="00B027DF">
              <w:rPr>
                <w:lang w:val="en-AU"/>
              </w:rPr>
              <w:br/>
            </w:r>
            <w:r w:rsidRPr="00B027DF">
              <w:rPr>
                <w:lang w:val="en-AU"/>
              </w:rPr>
              <w:t>Blood pressure at least daily.</w:t>
            </w:r>
            <w:r w:rsidRPr="00B027DF">
              <w:rPr>
                <w:lang w:val="en-AU"/>
              </w:rPr>
              <w:br/>
            </w:r>
            <w:r w:rsidRPr="00B027DF">
              <w:rPr>
                <w:lang w:val="en-AU"/>
              </w:rPr>
              <w:t>Electrolytes.</w:t>
            </w:r>
          </w:p>
        </w:tc>
      </w:tr>
      <w:tr w:rsidRPr="00B027DF" w:rsidR="008074EA" w:rsidTr="00BB6ADA" w14:paraId="4C7FEF29" w14:textId="77777777">
        <w:trPr>
          <w:trHeight w:val="342"/>
        </w:trPr>
        <w:tc>
          <w:tcPr>
            <w:tcW w:w="2438" w:type="dxa"/>
          </w:tcPr>
          <w:p w:rsidRPr="00B027DF" w:rsidR="008074EA" w:rsidP="00EC6FC6" w:rsidRDefault="008074EA" w14:paraId="7EEB3AD8" w14:textId="77777777">
            <w:pPr>
              <w:pStyle w:val="BodyText"/>
              <w:jc w:val="left"/>
              <w:rPr>
                <w:lang w:val="en-AU"/>
              </w:rPr>
            </w:pPr>
            <w:r w:rsidRPr="00B027DF">
              <w:rPr>
                <w:lang w:val="en-AU"/>
              </w:rPr>
              <w:t xml:space="preserve">Contraindications                        </w:t>
            </w:r>
          </w:p>
        </w:tc>
        <w:tc>
          <w:tcPr>
            <w:tcW w:w="6913" w:type="dxa"/>
          </w:tcPr>
          <w:p w:rsidRPr="00B027DF" w:rsidR="008074EA" w:rsidP="00EC6FC6" w:rsidRDefault="008074EA" w14:paraId="213D6CB4" w14:textId="77777777">
            <w:pPr>
              <w:pStyle w:val="BodyText"/>
              <w:jc w:val="left"/>
              <w:rPr>
                <w:rFonts w:cs="Arial"/>
                <w:lang w:val="en-AU"/>
              </w:rPr>
            </w:pPr>
            <w:r w:rsidRPr="00B027DF">
              <w:rPr>
                <w:lang w:val="en-AU"/>
              </w:rPr>
              <w:t xml:space="preserve">Untreated systemic infections.  </w:t>
            </w:r>
          </w:p>
        </w:tc>
      </w:tr>
      <w:tr w:rsidRPr="00B027DF" w:rsidR="008074EA" w:rsidTr="00BB6ADA" w14:paraId="57AA32E6" w14:textId="77777777">
        <w:tc>
          <w:tcPr>
            <w:tcW w:w="2438" w:type="dxa"/>
          </w:tcPr>
          <w:p w:rsidRPr="00B027DF" w:rsidR="008074EA" w:rsidP="00EC6FC6" w:rsidRDefault="008074EA" w14:paraId="6306D375" w14:textId="77777777">
            <w:pPr>
              <w:pStyle w:val="BodyText"/>
              <w:jc w:val="left"/>
              <w:rPr>
                <w:lang w:val="en-AU"/>
              </w:rPr>
            </w:pPr>
            <w:r w:rsidRPr="00B027DF">
              <w:rPr>
                <w:lang w:val="en-AU"/>
              </w:rPr>
              <w:br w:type="page"/>
            </w:r>
            <w:r w:rsidRPr="00B027DF">
              <w:rPr>
                <w:lang w:val="en-AU"/>
              </w:rPr>
              <w:t>Precautions</w:t>
            </w:r>
          </w:p>
        </w:tc>
        <w:tc>
          <w:tcPr>
            <w:tcW w:w="6913" w:type="dxa"/>
          </w:tcPr>
          <w:p w:rsidRPr="00B027DF" w:rsidR="008074EA" w:rsidP="00EC6FC6" w:rsidRDefault="008074EA" w14:paraId="17EB07FF" w14:textId="77777777">
            <w:pPr>
              <w:pStyle w:val="BodyText"/>
              <w:jc w:val="left"/>
              <w:rPr>
                <w:lang w:val="en-AU"/>
              </w:rPr>
            </w:pPr>
            <w:r w:rsidRPr="00B027DF">
              <w:rPr>
                <w:lang w:val="en-AU"/>
              </w:rPr>
              <w:t xml:space="preserve">Use preservative free drug where possible. </w:t>
            </w:r>
          </w:p>
          <w:p w:rsidRPr="00B027DF" w:rsidR="008074EA" w:rsidP="00EC6FC6" w:rsidRDefault="008074EA" w14:paraId="2E9E88F8" w14:textId="77777777">
            <w:pPr>
              <w:pStyle w:val="BodyText"/>
              <w:jc w:val="left"/>
              <w:rPr>
                <w:lang w:val="en-AU"/>
              </w:rPr>
            </w:pPr>
            <w:r w:rsidRPr="00B027DF">
              <w:rPr>
                <w:lang w:val="en-AU"/>
              </w:rPr>
              <w:t xml:space="preserve">Avoid early (&lt;8 days) treatment, higher dose and longer courses where possible to reduce side effects. </w:t>
            </w:r>
          </w:p>
          <w:p w:rsidRPr="00B027DF" w:rsidR="008074EA" w:rsidP="00EC6FC6" w:rsidRDefault="008074EA" w14:paraId="12F968F0" w14:textId="77777777">
            <w:pPr>
              <w:pStyle w:val="BodyText"/>
              <w:jc w:val="left"/>
              <w:rPr>
                <w:lang w:val="en-AU"/>
              </w:rPr>
            </w:pPr>
            <w:r w:rsidRPr="00B027DF">
              <w:rPr>
                <w:lang w:val="en-AU"/>
              </w:rPr>
              <w:t>Avoid concurrent use with NSAIDs for PDA treatment.</w:t>
            </w:r>
          </w:p>
          <w:p w:rsidRPr="00B027DF" w:rsidR="008074EA" w:rsidP="00EC6FC6" w:rsidRDefault="008074EA" w14:paraId="053B86AC" w14:textId="77777777">
            <w:pPr>
              <w:pStyle w:val="BodyText"/>
              <w:jc w:val="left"/>
              <w:rPr>
                <w:rFonts w:cs="Arial"/>
                <w:lang w:val="en-AU"/>
              </w:rPr>
            </w:pPr>
            <w:r w:rsidRPr="00B027DF">
              <w:rPr>
                <w:lang w:val="en-AU"/>
              </w:rPr>
              <w:t>Corticosteroids may increase susceptibility to or mask the symptoms of infection.</w:t>
            </w:r>
          </w:p>
        </w:tc>
      </w:tr>
      <w:tr w:rsidRPr="00B027DF" w:rsidR="008074EA" w:rsidTr="00BB6ADA" w14:paraId="54FFF102" w14:textId="77777777">
        <w:trPr>
          <w:trHeight w:val="70"/>
        </w:trPr>
        <w:tc>
          <w:tcPr>
            <w:tcW w:w="2438" w:type="dxa"/>
          </w:tcPr>
          <w:p w:rsidRPr="00B027DF" w:rsidR="008074EA" w:rsidP="00EC6FC6" w:rsidRDefault="008074EA" w14:paraId="376F8729" w14:textId="77777777">
            <w:pPr>
              <w:pStyle w:val="BodyText"/>
              <w:jc w:val="left"/>
              <w:rPr>
                <w:lang w:val="en-AU"/>
              </w:rPr>
            </w:pPr>
            <w:r w:rsidRPr="00B027DF">
              <w:rPr>
                <w:lang w:val="en-AU"/>
              </w:rPr>
              <w:t>Drug interactions</w:t>
            </w:r>
          </w:p>
        </w:tc>
        <w:tc>
          <w:tcPr>
            <w:tcW w:w="6913" w:type="dxa"/>
          </w:tcPr>
          <w:p w:rsidRPr="00B027DF" w:rsidR="008074EA" w:rsidP="00EC6FC6" w:rsidRDefault="008074EA" w14:paraId="4CA0EF0F" w14:textId="77777777">
            <w:pPr>
              <w:pStyle w:val="BodyText"/>
              <w:jc w:val="left"/>
              <w:rPr>
                <w:rFonts w:cs="Arial"/>
                <w:lang w:val="en-AU"/>
              </w:rPr>
            </w:pPr>
            <w:r w:rsidRPr="00B027DF">
              <w:rPr>
                <w:lang w:val="en-AU"/>
              </w:rPr>
              <w:t>Barbiturates, phenytoin and rifampicin may increase the metabolism of dexamethasone.</w:t>
            </w:r>
            <w:r w:rsidRPr="00B027DF">
              <w:rPr>
                <w:lang w:val="en-AU"/>
              </w:rPr>
              <w:br/>
            </w:r>
            <w:r w:rsidRPr="00B027DF">
              <w:rPr>
                <w:lang w:val="en-AU"/>
              </w:rPr>
              <w:t xml:space="preserve">Antithyroid agents may decrease the metabolism of dexamethasone. </w:t>
            </w:r>
          </w:p>
        </w:tc>
      </w:tr>
      <w:tr w:rsidRPr="00B027DF" w:rsidR="008074EA" w:rsidTr="00BB6ADA" w14:paraId="7D8B4A46" w14:textId="77777777">
        <w:trPr>
          <w:trHeight w:val="332"/>
        </w:trPr>
        <w:tc>
          <w:tcPr>
            <w:tcW w:w="2438" w:type="dxa"/>
          </w:tcPr>
          <w:p w:rsidRPr="00B027DF" w:rsidR="008074EA" w:rsidP="00EC6FC6" w:rsidRDefault="008074EA" w14:paraId="79CDBC67" w14:textId="77777777">
            <w:pPr>
              <w:pStyle w:val="BodyText"/>
              <w:jc w:val="left"/>
              <w:rPr>
                <w:lang w:val="en-AU"/>
              </w:rPr>
            </w:pPr>
            <w:r w:rsidRPr="00B027DF">
              <w:rPr>
                <w:lang w:val="en-AU"/>
              </w:rPr>
              <w:t xml:space="preserve">Adverse reactions         </w:t>
            </w:r>
          </w:p>
        </w:tc>
        <w:tc>
          <w:tcPr>
            <w:tcW w:w="6913" w:type="dxa"/>
          </w:tcPr>
          <w:p w:rsidRPr="00B027DF" w:rsidR="008074EA" w:rsidP="00EC6FC6" w:rsidRDefault="008074EA" w14:paraId="64C1C416" w14:textId="77777777">
            <w:pPr>
              <w:pStyle w:val="BodyText"/>
              <w:jc w:val="left"/>
              <w:rPr>
                <w:lang w:val="en-AU"/>
              </w:rPr>
            </w:pPr>
            <w:r w:rsidRPr="00B027DF">
              <w:rPr>
                <w:lang w:val="en-AU"/>
              </w:rPr>
              <w:t xml:space="preserve">Early (&lt; 8 days) postnatal corticosteroids cause short-term adverse effects including gastrointestinal bleeding, intestinal perforation, hyperglycaemia, hypertension, hypertrophic cardiomyopathy and growth failure. </w:t>
            </w:r>
          </w:p>
          <w:p w:rsidRPr="00B027DF" w:rsidR="008074EA" w:rsidP="00EC6FC6" w:rsidRDefault="008074EA" w14:paraId="788C65D1" w14:textId="77777777">
            <w:pPr>
              <w:pStyle w:val="BodyText"/>
              <w:jc w:val="left"/>
              <w:rPr>
                <w:lang w:val="en-AU"/>
              </w:rPr>
            </w:pPr>
            <w:r w:rsidRPr="00B027DF">
              <w:rPr>
                <w:lang w:val="en-AU"/>
              </w:rPr>
              <w:t xml:space="preserve">Late (after seven days) postnatal corticosteroids in high doses in particular are associated with short-term side effects including </w:t>
            </w:r>
            <w:r w:rsidRPr="00B027DF">
              <w:rPr>
                <w:lang w:val="en-AU"/>
              </w:rPr>
              <w:lastRenderedPageBreak/>
              <w:t>gastrointestinal bleeding, higher blood pressure, glucose intolerance, severe retinopathy of prematurity and hypertrophic cardiomyopathy.</w:t>
            </w:r>
          </w:p>
          <w:p w:rsidRPr="00B027DF" w:rsidR="008074EA" w:rsidP="00EC6FC6" w:rsidRDefault="008074EA" w14:paraId="3D2AFD5C" w14:textId="77777777">
            <w:pPr>
              <w:pStyle w:val="BodyText"/>
              <w:jc w:val="left"/>
              <w:rPr>
                <w:lang w:val="en-AU"/>
              </w:rPr>
            </w:pPr>
            <w:r w:rsidRPr="00B027DF">
              <w:rPr>
                <w:lang w:val="en-AU"/>
              </w:rPr>
              <w:t xml:space="preserve">Other effects include: </w:t>
            </w:r>
          </w:p>
          <w:p w:rsidRPr="00B027DF" w:rsidR="008074EA" w:rsidP="00EC6FC6" w:rsidRDefault="008074EA" w14:paraId="354684C5" w14:textId="77777777">
            <w:pPr>
              <w:pStyle w:val="BodyText"/>
              <w:jc w:val="left"/>
              <w:rPr>
                <w:lang w:val="en-AU"/>
              </w:rPr>
            </w:pPr>
            <w:r w:rsidRPr="00B027DF">
              <w:rPr>
                <w:lang w:val="en-AU"/>
              </w:rPr>
              <w:t xml:space="preserve">Hypertriglyceridemia in association with hyperinsulinism and raised free fatty acids. </w:t>
            </w:r>
          </w:p>
          <w:p w:rsidRPr="00B027DF" w:rsidR="008074EA" w:rsidP="00EC6FC6" w:rsidRDefault="008074EA" w14:paraId="6D6044F1" w14:textId="77777777">
            <w:pPr>
              <w:pStyle w:val="BodyText"/>
              <w:jc w:val="left"/>
              <w:rPr>
                <w:lang w:val="en-AU"/>
              </w:rPr>
            </w:pPr>
            <w:r w:rsidRPr="00B027DF">
              <w:rPr>
                <w:lang w:val="en-AU"/>
              </w:rPr>
              <w:t xml:space="preserve">Increase in total and immature neutrophil counts; increase in platelet count. </w:t>
            </w:r>
          </w:p>
          <w:p w:rsidRPr="00B027DF" w:rsidR="008074EA" w:rsidP="00EC6FC6" w:rsidRDefault="008074EA" w14:paraId="2141C76A" w14:textId="77777777">
            <w:pPr>
              <w:pStyle w:val="BodyText"/>
              <w:jc w:val="left"/>
              <w:rPr>
                <w:lang w:val="en-AU"/>
              </w:rPr>
            </w:pPr>
            <w:r w:rsidRPr="00B027DF">
              <w:rPr>
                <w:lang w:val="en-AU"/>
              </w:rPr>
              <w:t xml:space="preserve">Adrenal insufficiency is associated with higher doses (initial &gt;0.2 mg/kg/day) longer courses (&gt;14 days) of dexamethasone. </w:t>
            </w:r>
          </w:p>
          <w:p w:rsidRPr="00B027DF" w:rsidR="008074EA" w:rsidP="00EC6FC6" w:rsidRDefault="008074EA" w14:paraId="738BFCB4" w14:textId="77777777">
            <w:pPr>
              <w:pStyle w:val="BodyText"/>
              <w:jc w:val="left"/>
              <w:rPr>
                <w:lang w:val="en-AU"/>
              </w:rPr>
            </w:pPr>
            <w:r w:rsidRPr="00B027DF">
              <w:rPr>
                <w:lang w:val="en-AU"/>
              </w:rPr>
              <w:t>Myocardial hypertrophy and outflow obstruction may occur with higher doses and prolonged courses of dexamethasone.</w:t>
            </w:r>
          </w:p>
          <w:p w:rsidRPr="00B027DF" w:rsidR="008074EA" w:rsidP="00EC6FC6" w:rsidRDefault="008074EA" w14:paraId="5C6A855E" w14:textId="77777777">
            <w:pPr>
              <w:pStyle w:val="BodyText"/>
              <w:jc w:val="left"/>
              <w:rPr>
                <w:rFonts w:cs="Arial"/>
                <w:lang w:val="en-AU"/>
              </w:rPr>
            </w:pPr>
            <w:r w:rsidRPr="00B027DF">
              <w:rPr>
                <w:lang w:val="en-AU"/>
              </w:rPr>
              <w:t>May increase risk of infection.</w:t>
            </w:r>
          </w:p>
        </w:tc>
      </w:tr>
      <w:tr w:rsidRPr="00B027DF" w:rsidR="00ED33AC" w:rsidTr="00BB6ADA" w14:paraId="5C17F408" w14:textId="77777777">
        <w:trPr>
          <w:trHeight w:val="180"/>
        </w:trPr>
        <w:tc>
          <w:tcPr>
            <w:tcW w:w="2438" w:type="dxa"/>
          </w:tcPr>
          <w:p w:rsidRPr="00B027DF" w:rsidR="00ED33AC" w:rsidP="00ED33AC" w:rsidRDefault="00ED33AC" w14:paraId="63AD6B8B" w14:textId="77777777">
            <w:pPr>
              <w:pStyle w:val="BodyText"/>
              <w:jc w:val="left"/>
              <w:rPr>
                <w:lang w:val="en-AU"/>
              </w:rPr>
            </w:pPr>
            <w:r w:rsidRPr="00B027DF">
              <w:rPr>
                <w:lang w:val="en-AU"/>
              </w:rPr>
              <w:lastRenderedPageBreak/>
              <w:t>Compatibility</w:t>
            </w:r>
          </w:p>
        </w:tc>
        <w:tc>
          <w:tcPr>
            <w:tcW w:w="6913" w:type="dxa"/>
          </w:tcPr>
          <w:p w:rsidRPr="00E56A64" w:rsidR="00ED33AC" w:rsidP="00ED33AC" w:rsidRDefault="00ED33AC" w14:paraId="0E5B0AD2"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Fluids</w:t>
            </w:r>
            <w:r>
              <w:rPr>
                <w:rFonts w:asciiTheme="minorHAnsi" w:hAnsiTheme="minorHAnsi" w:cstheme="minorHAnsi"/>
                <w:sz w:val="20"/>
                <w:lang w:val="en-AU"/>
              </w:rPr>
              <w:t xml:space="preserve"> (19,20)</w:t>
            </w:r>
            <w:r w:rsidRPr="00E56A64">
              <w:rPr>
                <w:rFonts w:asciiTheme="minorHAnsi" w:hAnsiTheme="minorHAnsi" w:cstheme="minorHAnsi"/>
                <w:sz w:val="20"/>
                <w:lang w:val="en-AU"/>
              </w:rPr>
              <w:t>: Glucose 5%, sodium chloride 0.9%</w:t>
            </w:r>
          </w:p>
          <w:p w:rsidRPr="00E56A64" w:rsidR="00ED33AC" w:rsidP="00ED33AC" w:rsidRDefault="00ED33AC" w14:paraId="55BADD59" w14:textId="77777777">
            <w:pPr>
              <w:pStyle w:val="BodyText"/>
              <w:rPr>
                <w:rFonts w:asciiTheme="minorHAnsi" w:hAnsiTheme="minorHAnsi" w:cstheme="minorHAnsi"/>
                <w:sz w:val="20"/>
                <w:lang w:val="en-AU"/>
              </w:rPr>
            </w:pPr>
          </w:p>
          <w:p w:rsidR="00ED33AC" w:rsidP="00ED33AC" w:rsidRDefault="00ED33AC" w14:paraId="7CCA8EF9"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Y-site</w:t>
            </w:r>
            <w:r>
              <w:rPr>
                <w:rFonts w:asciiTheme="minorHAnsi" w:hAnsiTheme="minorHAnsi" w:cstheme="minorHAnsi"/>
                <w:sz w:val="20"/>
                <w:lang w:val="en-AU"/>
              </w:rPr>
              <w:t xml:space="preserve"> (19,20)</w:t>
            </w:r>
            <w:r w:rsidRPr="00E56A64">
              <w:rPr>
                <w:rFonts w:asciiTheme="minorHAnsi" w:hAnsiTheme="minorHAnsi" w:cstheme="minorHAnsi"/>
                <w:sz w:val="20"/>
                <w:lang w:val="en-AU"/>
              </w:rPr>
              <w:t xml:space="preserve"> : </w:t>
            </w:r>
            <w:r>
              <w:rPr>
                <w:rFonts w:asciiTheme="minorHAnsi" w:hAnsiTheme="minorHAnsi" w:cstheme="minorHAnsi"/>
                <w:sz w:val="20"/>
                <w:lang w:val="en-AU"/>
              </w:rPr>
              <w:t xml:space="preserve">Acetaminophen, aciclovir, </w:t>
            </w:r>
            <w:r w:rsidRPr="00E56A64">
              <w:rPr>
                <w:rFonts w:asciiTheme="minorHAnsi" w:hAnsiTheme="minorHAnsi" w:cstheme="minorHAnsi"/>
                <w:sz w:val="20"/>
                <w:lang w:val="en-AU"/>
              </w:rPr>
              <w:t xml:space="preserve">amikacin, </w:t>
            </w:r>
            <w:r>
              <w:rPr>
                <w:rFonts w:asciiTheme="minorHAnsi" w:hAnsiTheme="minorHAnsi" w:cstheme="minorHAnsi"/>
                <w:sz w:val="20"/>
                <w:lang w:val="en-AU"/>
              </w:rPr>
              <w:t xml:space="preserve">aminophylline, amphotericin B cholesteryl sulfate complex, amphotericin B lipid complex, ascorbic acid injection, atenolol, atracurium, atropine, azithromycin, aztreonam, cefazolin, cefepime, cefotaxime, cefoxitin, ceftazidime, ceftriaxone, chloramphenicol, clindamycin, cloxacillin, dexmedetomidine, digoxin, diltiazem, dopamine, anlaprilat, ephedrine, epinephrine, epoietin alfa, fentanyl, fluconazole, furosemide, ganciclovir, glycopyrrolate, heparin, hydrocortisone sodium succinate, imipenem-cilastatin, indomethacin sodium trihydrate, insulin regular, isoproterenol, lidocaine, lincomycin, linezolid, lorazepam, Meropenem, methylprednisolone sodium succinate, metoprolol, metronidazole, milrinone, morphine sulfate, naloxone, nitroglycerin, nitroprusside sodium, norepinephrine, octreotide, oxacillin, pamidronate, pancuronium, penicillin G, pentobarbital, phenobarbital, piperacillin, piperacillin-tazobactam, potassium acetate, potassium chloride, procainamide, propofol, propranolol, pyridoxine, ranitidine, remifentanil, sodium acetate, sodium bicarbonate, streptokinase, succinylcholine, theophylline, thiamine, thiopental, ticarcillin, ticarcillin-clavulanate, tolazoline, urokinase, vancomycin, vasopressin, vecuronium, verapamil, zidovudine. </w:t>
            </w:r>
          </w:p>
          <w:p w:rsidRPr="00B027DF" w:rsidR="00ED33AC" w:rsidP="00ED33AC" w:rsidRDefault="00ED33AC" w14:paraId="0EBF4DCA" w14:textId="01DBD907">
            <w:pPr>
              <w:pStyle w:val="BodyText"/>
              <w:jc w:val="left"/>
              <w:rPr>
                <w:lang w:val="en-AU"/>
              </w:rPr>
            </w:pPr>
            <w:r w:rsidRPr="009F6DAA">
              <w:rPr>
                <w:rFonts w:asciiTheme="minorHAnsi" w:hAnsiTheme="minorHAnsi" w:cstheme="minorHAnsi"/>
                <w:b/>
                <w:sz w:val="20"/>
                <w:lang w:val="en-AU"/>
              </w:rPr>
              <w:t>Variable compatibility</w:t>
            </w:r>
            <w:r>
              <w:rPr>
                <w:rFonts w:asciiTheme="minorHAnsi" w:hAnsiTheme="minorHAnsi" w:cstheme="minorHAnsi"/>
                <w:b/>
                <w:sz w:val="20"/>
                <w:lang w:val="en-AU"/>
              </w:rPr>
              <w:t xml:space="preserve"> </w:t>
            </w:r>
            <w:r w:rsidRPr="009F6DAA">
              <w:rPr>
                <w:rFonts w:asciiTheme="minorHAnsi" w:hAnsiTheme="minorHAnsi" w:cstheme="minorHAnsi"/>
                <w:sz w:val="20"/>
                <w:lang w:val="en-AU"/>
              </w:rPr>
              <w:t>(19)</w:t>
            </w:r>
            <w:r w:rsidRPr="009F6DAA">
              <w:rPr>
                <w:rFonts w:asciiTheme="minorHAnsi" w:hAnsiTheme="minorHAnsi" w:cstheme="minorHAnsi"/>
                <w:b/>
                <w:sz w:val="20"/>
                <w:lang w:val="en-AU"/>
              </w:rPr>
              <w:t>:</w:t>
            </w:r>
            <w:r>
              <w:rPr>
                <w:rFonts w:asciiTheme="minorHAnsi" w:hAnsiTheme="minorHAnsi" w:cstheme="minorHAnsi"/>
                <w:sz w:val="20"/>
                <w:lang w:val="en-AU"/>
              </w:rPr>
              <w:t xml:space="preserve"> Ampicillin, azathioprine, erythromycin lactobionate, hydralazine.</w:t>
            </w:r>
          </w:p>
        </w:tc>
      </w:tr>
      <w:tr w:rsidRPr="00B027DF" w:rsidR="008074EA" w:rsidTr="00BB6ADA" w14:paraId="284201F7" w14:textId="77777777">
        <w:trPr>
          <w:trHeight w:val="230"/>
        </w:trPr>
        <w:tc>
          <w:tcPr>
            <w:tcW w:w="2438" w:type="dxa"/>
          </w:tcPr>
          <w:p w:rsidRPr="00B027DF" w:rsidR="008074EA" w:rsidP="00EC6FC6" w:rsidRDefault="008074EA" w14:paraId="1DF9B2D8" w14:textId="77777777">
            <w:pPr>
              <w:pStyle w:val="BodyText"/>
              <w:jc w:val="left"/>
              <w:rPr>
                <w:lang w:val="en-AU"/>
              </w:rPr>
            </w:pPr>
            <w:r w:rsidRPr="00B027DF">
              <w:rPr>
                <w:lang w:val="en-AU"/>
              </w:rPr>
              <w:t>Incompatibility</w:t>
            </w:r>
          </w:p>
        </w:tc>
        <w:tc>
          <w:tcPr>
            <w:tcW w:w="6913" w:type="dxa"/>
          </w:tcPr>
          <w:p w:rsidRPr="005661AD" w:rsidR="005661AD" w:rsidP="005661AD" w:rsidRDefault="005661AD" w14:paraId="1555C96A" w14:textId="77777777">
            <w:pPr>
              <w:overflowPunct w:val="0"/>
              <w:autoSpaceDE w:val="0"/>
              <w:autoSpaceDN w:val="0"/>
              <w:adjustRightInd w:val="0"/>
              <w:textAlignment w:val="baseline"/>
              <w:rPr>
                <w:rFonts w:cs="Calibri"/>
                <w:sz w:val="20"/>
                <w:lang w:val="en-AU"/>
              </w:rPr>
            </w:pPr>
            <w:r w:rsidRPr="005661AD">
              <w:rPr>
                <w:rFonts w:cs="Calibri"/>
                <w:sz w:val="20"/>
                <w:lang w:val="en-AU"/>
              </w:rPr>
              <w:t xml:space="preserve">Fluids (19): </w:t>
            </w:r>
            <w:r w:rsidRPr="005661AD">
              <w:rPr>
                <w:rFonts w:cs="Calibri"/>
                <w:b/>
                <w:sz w:val="20"/>
                <w:lang w:val="en-AU"/>
              </w:rPr>
              <w:t>Not tested:</w:t>
            </w:r>
            <w:r w:rsidRPr="005661AD">
              <w:rPr>
                <w:rFonts w:cs="Calibri"/>
                <w:sz w:val="20"/>
                <w:lang w:val="en-AU"/>
              </w:rPr>
              <w:t xml:space="preserve"> glucose 10%, glucose 5% in sodium chloride 0.9%, glucose 5% in sodium chloride 0.45%, sodium chloride 0.45% </w:t>
            </w:r>
          </w:p>
          <w:p w:rsidRPr="005661AD" w:rsidR="005661AD" w:rsidP="005661AD" w:rsidRDefault="005661AD" w14:paraId="171C9D16" w14:textId="77777777">
            <w:pPr>
              <w:overflowPunct w:val="0"/>
              <w:autoSpaceDE w:val="0"/>
              <w:autoSpaceDN w:val="0"/>
              <w:adjustRightInd w:val="0"/>
              <w:textAlignment w:val="baseline"/>
              <w:rPr>
                <w:rFonts w:cs="Calibri"/>
                <w:sz w:val="20"/>
                <w:lang w:val="en-AU"/>
              </w:rPr>
            </w:pPr>
          </w:p>
          <w:p w:rsidRPr="00B027DF" w:rsidR="008074EA" w:rsidP="005661AD" w:rsidRDefault="005661AD" w14:paraId="7BE8AD01" w14:textId="3FC30399">
            <w:pPr>
              <w:pStyle w:val="BodyText"/>
              <w:jc w:val="left"/>
              <w:rPr>
                <w:rFonts w:cs="Arial"/>
                <w:lang w:val="en-AU"/>
              </w:rPr>
            </w:pPr>
            <w:r w:rsidRPr="005661AD">
              <w:rPr>
                <w:rFonts w:cs="Calibri"/>
                <w:sz w:val="20"/>
                <w:szCs w:val="24"/>
                <w:lang w:val="en-AU"/>
              </w:rPr>
              <w:t>Y-site (19,20): Amiodarone, calcium chloride, calcium gluconate, caspofungin, chlorpromazine, ciprofloxacin, dobutamine, erythromycin, esmolol, gentamicin, glycopyrrolate, haloperidol lactate, labetalol, magnesium sulfate, midazolam, pentamidine, phentolamine, promethazine, protamine, rocuronium, tobramycin.</w:t>
            </w:r>
          </w:p>
        </w:tc>
      </w:tr>
      <w:tr w:rsidRPr="00B027DF" w:rsidR="008074EA" w:rsidTr="00BB6ADA" w14:paraId="3610872A" w14:textId="77777777">
        <w:trPr>
          <w:trHeight w:val="79"/>
        </w:trPr>
        <w:tc>
          <w:tcPr>
            <w:tcW w:w="2438" w:type="dxa"/>
          </w:tcPr>
          <w:p w:rsidRPr="00B027DF" w:rsidR="008074EA" w:rsidP="00EC6FC6" w:rsidRDefault="008074EA" w14:paraId="07522B4A" w14:textId="77777777">
            <w:pPr>
              <w:pStyle w:val="BodyText"/>
              <w:jc w:val="left"/>
              <w:rPr>
                <w:lang w:val="en-AU"/>
              </w:rPr>
            </w:pPr>
            <w:r w:rsidRPr="00B027DF">
              <w:rPr>
                <w:lang w:val="en-AU"/>
              </w:rPr>
              <w:t xml:space="preserve">Stability   </w:t>
            </w:r>
          </w:p>
        </w:tc>
        <w:tc>
          <w:tcPr>
            <w:tcW w:w="6913" w:type="dxa"/>
          </w:tcPr>
          <w:p w:rsidRPr="00B027DF" w:rsidR="008074EA" w:rsidP="00EC6FC6" w:rsidRDefault="008074EA" w14:paraId="76535F17" w14:textId="77777777">
            <w:pPr>
              <w:pStyle w:val="BodyText"/>
              <w:jc w:val="left"/>
              <w:rPr>
                <w:lang w:val="en-AU"/>
              </w:rPr>
            </w:pPr>
            <w:r w:rsidRPr="00B027DF">
              <w:rPr>
                <w:lang w:val="en-AU"/>
              </w:rPr>
              <w:t>IV: Diluted solution is stable for 24 hours at 2−8°C</w:t>
            </w:r>
          </w:p>
          <w:p w:rsidRPr="00B027DF" w:rsidR="008074EA" w:rsidP="00EC6FC6" w:rsidRDefault="008074EA" w14:paraId="7773F1CF" w14:textId="77777777">
            <w:pPr>
              <w:pStyle w:val="BodyText"/>
              <w:jc w:val="left"/>
              <w:rPr>
                <w:rFonts w:cs="Arial"/>
                <w:lang w:val="en-AU"/>
              </w:rPr>
            </w:pPr>
            <w:r w:rsidRPr="00B027DF">
              <w:rPr>
                <w:lang w:val="en-AU"/>
              </w:rPr>
              <w:t>Oral: As per Pharmacy Department.</w:t>
            </w:r>
          </w:p>
        </w:tc>
      </w:tr>
      <w:tr w:rsidRPr="00B027DF" w:rsidR="008074EA" w:rsidTr="00BB6ADA" w14:paraId="5554FB16" w14:textId="77777777">
        <w:trPr>
          <w:trHeight w:val="70"/>
        </w:trPr>
        <w:tc>
          <w:tcPr>
            <w:tcW w:w="2438" w:type="dxa"/>
          </w:tcPr>
          <w:p w:rsidRPr="00B027DF" w:rsidR="008074EA" w:rsidP="00EC6FC6" w:rsidRDefault="008074EA" w14:paraId="331E1E91" w14:textId="77777777">
            <w:pPr>
              <w:pStyle w:val="BodyText"/>
              <w:jc w:val="left"/>
              <w:rPr>
                <w:lang w:val="en-AU"/>
              </w:rPr>
            </w:pPr>
            <w:r w:rsidRPr="00B027DF">
              <w:rPr>
                <w:lang w:val="en-AU"/>
              </w:rPr>
              <w:t xml:space="preserve">Storage             </w:t>
            </w:r>
          </w:p>
        </w:tc>
        <w:tc>
          <w:tcPr>
            <w:tcW w:w="6913" w:type="dxa"/>
          </w:tcPr>
          <w:p w:rsidRPr="00B027DF" w:rsidR="008074EA" w:rsidP="00EC6FC6" w:rsidRDefault="008074EA" w14:paraId="25875F05" w14:textId="77777777">
            <w:pPr>
              <w:pStyle w:val="BodyText"/>
              <w:jc w:val="left"/>
              <w:rPr>
                <w:rFonts w:cs="Arial"/>
                <w:lang w:val="en-AU"/>
              </w:rPr>
            </w:pPr>
            <w:r w:rsidRPr="00B027DF">
              <w:rPr>
                <w:lang w:val="en-AU"/>
              </w:rPr>
              <w:t>Ampoule: Store below 25°C. Protect from light.</w:t>
            </w:r>
            <w:r w:rsidRPr="00B027DF">
              <w:rPr>
                <w:lang w:val="en-AU"/>
              </w:rPr>
              <w:br/>
            </w:r>
            <w:r w:rsidRPr="00B027DF">
              <w:rPr>
                <w:lang w:val="en-AU"/>
              </w:rPr>
              <w:t>Oral: As per Pharmacy Department – Some formulations are stored at room temperature (below 25°C) while others are stored refrigerated (2−8°C). Protect from light.</w:t>
            </w:r>
          </w:p>
        </w:tc>
      </w:tr>
      <w:tr w:rsidRPr="00B027DF" w:rsidR="008074EA" w:rsidTr="00BB6ADA" w14:paraId="42433DCC" w14:textId="77777777">
        <w:trPr>
          <w:trHeight w:val="70"/>
        </w:trPr>
        <w:tc>
          <w:tcPr>
            <w:tcW w:w="2438" w:type="dxa"/>
          </w:tcPr>
          <w:p w:rsidRPr="00B027DF" w:rsidR="008074EA" w:rsidP="00EC6FC6" w:rsidRDefault="008074EA" w14:paraId="383164A4" w14:textId="77777777">
            <w:pPr>
              <w:pStyle w:val="BodyText"/>
              <w:jc w:val="left"/>
              <w:rPr>
                <w:lang w:val="en-AU"/>
              </w:rPr>
            </w:pPr>
            <w:r w:rsidRPr="00B027DF">
              <w:rPr>
                <w:lang w:val="en-AU"/>
              </w:rPr>
              <w:t>Excipients</w:t>
            </w:r>
          </w:p>
        </w:tc>
        <w:tc>
          <w:tcPr>
            <w:tcW w:w="6913" w:type="dxa"/>
          </w:tcPr>
          <w:p w:rsidRPr="00B027DF" w:rsidR="008074EA" w:rsidP="00EC6FC6" w:rsidRDefault="008074EA" w14:paraId="59EEC5C3" w14:textId="77777777">
            <w:pPr>
              <w:pStyle w:val="BodyText"/>
              <w:jc w:val="left"/>
              <w:rPr>
                <w:lang w:val="en-AU"/>
              </w:rPr>
            </w:pPr>
            <w:r w:rsidRPr="00B027DF">
              <w:rPr>
                <w:lang w:val="en-AU"/>
              </w:rPr>
              <w:t>IV injections are brand specific, please refer to manufacturer’s information.</w:t>
            </w:r>
          </w:p>
          <w:p w:rsidRPr="008074EA" w:rsidR="008074EA" w:rsidP="00EC6FC6" w:rsidRDefault="008074EA" w14:paraId="3825B00B" w14:textId="77777777">
            <w:pPr>
              <w:pStyle w:val="BodyText"/>
              <w:jc w:val="left"/>
            </w:pPr>
            <w:r w:rsidRPr="008074EA">
              <w:rPr>
                <w:lang w:val="en-AU"/>
              </w:rPr>
              <w:lastRenderedPageBreak/>
              <w:t xml:space="preserve">DBL Pfizer: </w:t>
            </w:r>
            <w:r w:rsidRPr="008074EA">
              <w:t>Sodium citrate dihydrate, Creatinine, Hydrochloric acid, Sodium hydroxide</w:t>
            </w:r>
          </w:p>
          <w:p w:rsidRPr="008074EA" w:rsidR="008074EA" w:rsidP="00EC6FC6" w:rsidRDefault="008074EA" w14:paraId="18DF668C" w14:textId="77777777">
            <w:pPr>
              <w:pStyle w:val="BodyText"/>
              <w:jc w:val="left"/>
              <w:rPr>
                <w:lang w:val="en-AU"/>
              </w:rPr>
            </w:pPr>
            <w:r w:rsidRPr="008074EA">
              <w:rPr>
                <w:lang w:val="en-AU"/>
              </w:rPr>
              <w:t xml:space="preserve">Mylan: </w:t>
            </w:r>
            <w:r w:rsidRPr="008074EA">
              <w:t>Sodium citrate, creatinine and water for injections</w:t>
            </w:r>
            <w:r w:rsidRPr="008074EA">
              <w:rPr>
                <w:lang w:val="en-AU"/>
              </w:rPr>
              <w:t xml:space="preserve"> </w:t>
            </w:r>
          </w:p>
          <w:p w:rsidRPr="008074EA" w:rsidR="008074EA" w:rsidP="00EC6FC6" w:rsidRDefault="008074EA" w14:paraId="4D6DC673" w14:textId="77777777">
            <w:pPr>
              <w:pStyle w:val="BodyText"/>
              <w:jc w:val="left"/>
            </w:pPr>
            <w:r w:rsidRPr="008074EA">
              <w:rPr>
                <w:lang w:val="en-AU"/>
              </w:rPr>
              <w:t xml:space="preserve">DBL Hospira: </w:t>
            </w:r>
            <w:r w:rsidRPr="008074EA">
              <w:t>Sodium citrate dihydrate; disodium edetate; hydrochloric acid; sodium hydroxide; sodium sulfite</w:t>
            </w:r>
            <w:r w:rsidRPr="008074EA">
              <w:rPr>
                <w:lang w:val="en-AU"/>
              </w:rPr>
              <w:t>.</w:t>
            </w:r>
          </w:p>
          <w:p w:rsidRPr="008074EA" w:rsidR="008074EA" w:rsidP="00EC6FC6" w:rsidRDefault="008074EA" w14:paraId="07630F75" w14:textId="77777777">
            <w:pPr>
              <w:pStyle w:val="BodyText"/>
              <w:jc w:val="left"/>
            </w:pPr>
            <w:r w:rsidRPr="008074EA">
              <w:t>Alphapharm: Sodium citrate anhydrous and creatinine</w:t>
            </w:r>
          </w:p>
          <w:p w:rsidRPr="008074EA" w:rsidR="008074EA" w:rsidP="00EC6FC6" w:rsidRDefault="008074EA" w14:paraId="7E54C1A2" w14:textId="77777777">
            <w:pPr>
              <w:pStyle w:val="BodyText"/>
              <w:jc w:val="left"/>
              <w:rPr>
                <w:lang w:val="en-AU"/>
              </w:rPr>
            </w:pPr>
          </w:p>
          <w:p w:rsidRPr="00B027DF" w:rsidR="008074EA" w:rsidP="00EC6FC6" w:rsidRDefault="008074EA" w14:paraId="149564A8" w14:textId="77777777">
            <w:pPr>
              <w:pStyle w:val="BodyText"/>
              <w:jc w:val="left"/>
              <w:rPr>
                <w:rFonts w:cs="Arial"/>
                <w:lang w:val="en-AU"/>
              </w:rPr>
            </w:pPr>
            <w:r w:rsidRPr="008074EA">
              <w:rPr>
                <w:lang w:val="en-AU"/>
              </w:rPr>
              <w:t xml:space="preserve">Oral preparations: Many preparations exist, please consult pharmacy. An example is shown below in special comments. </w:t>
            </w:r>
          </w:p>
        </w:tc>
      </w:tr>
      <w:tr w:rsidRPr="00B027DF" w:rsidR="008A3F67" w:rsidTr="00BB6ADA" w14:paraId="7EB35865" w14:textId="77777777">
        <w:trPr>
          <w:trHeight w:val="270"/>
        </w:trPr>
        <w:tc>
          <w:tcPr>
            <w:tcW w:w="2438" w:type="dxa"/>
          </w:tcPr>
          <w:p w:rsidRPr="00B027DF" w:rsidR="008A3F67" w:rsidP="008A3F67" w:rsidRDefault="008A3F67" w14:paraId="28A6A0DD" w14:textId="77777777">
            <w:pPr>
              <w:pStyle w:val="BodyText"/>
              <w:jc w:val="left"/>
              <w:rPr>
                <w:lang w:val="en-AU"/>
              </w:rPr>
            </w:pPr>
            <w:r w:rsidRPr="00B027DF">
              <w:rPr>
                <w:lang w:val="en-AU"/>
              </w:rPr>
              <w:lastRenderedPageBreak/>
              <w:t xml:space="preserve">Special comments       </w:t>
            </w:r>
          </w:p>
        </w:tc>
        <w:tc>
          <w:tcPr>
            <w:tcW w:w="6913" w:type="dxa"/>
          </w:tcPr>
          <w:p w:rsidRPr="00E56A64" w:rsidR="008A3F67" w:rsidP="008A3F67" w:rsidRDefault="008A3F67" w14:paraId="4436DFAC" w14:textId="77777777">
            <w:pPr>
              <w:pStyle w:val="BodyText"/>
              <w:rPr>
                <w:rFonts w:asciiTheme="minorHAnsi" w:hAnsiTheme="minorHAnsi" w:cstheme="minorHAnsi"/>
                <w:sz w:val="20"/>
                <w:u w:val="single"/>
                <w:lang w:val="en-AU"/>
              </w:rPr>
            </w:pPr>
            <w:r w:rsidRPr="00E56A64">
              <w:rPr>
                <w:rFonts w:asciiTheme="minorHAnsi" w:hAnsiTheme="minorHAnsi" w:cstheme="minorHAnsi"/>
                <w:sz w:val="20"/>
                <w:u w:val="single"/>
                <w:lang w:val="en-AU"/>
              </w:rPr>
              <w:t xml:space="preserve">IV dexamethasone preparation as a straight oral administration </w:t>
            </w:r>
            <w:r w:rsidRPr="00E56A64">
              <w:rPr>
                <w:rFonts w:asciiTheme="minorHAnsi" w:hAnsiTheme="minorHAnsi" w:cstheme="minorHAnsi"/>
                <w:noProof/>
                <w:sz w:val="20"/>
                <w:u w:val="single"/>
                <w:lang w:val="en-AU"/>
              </w:rPr>
              <w:t>(7)</w:t>
            </w:r>
          </w:p>
          <w:p w:rsidRPr="00E56A64" w:rsidR="008A3F67" w:rsidP="008A3F67" w:rsidRDefault="008A3F67" w14:paraId="082FAAF8" w14:textId="77777777">
            <w:pPr>
              <w:pStyle w:val="BodyText"/>
              <w:rPr>
                <w:rFonts w:asciiTheme="minorHAnsi" w:hAnsiTheme="minorHAnsi" w:cstheme="minorHAnsi"/>
                <w:sz w:val="20"/>
                <w:lang w:val="en-AU"/>
              </w:rPr>
            </w:pPr>
            <w:r w:rsidRPr="00E56A64">
              <w:rPr>
                <w:rFonts w:asciiTheme="minorHAnsi" w:hAnsiTheme="minorHAnsi" w:cstheme="minorHAnsi"/>
                <w:sz w:val="20"/>
                <w:szCs w:val="22"/>
                <w:lang w:val="en-AU"/>
              </w:rPr>
              <w:t>A small study in healthy adults showed an absolute bioavailability of around 76% when dexamethasone sodium phosphate injection was administrated orally undiluted and authors recommended a dose adjustment.</w:t>
            </w:r>
            <w:r>
              <w:rPr>
                <w:rFonts w:asciiTheme="minorHAnsi" w:hAnsiTheme="minorHAnsi" w:cstheme="minorHAnsi"/>
                <w:sz w:val="20"/>
                <w:szCs w:val="22"/>
                <w:lang w:val="en-AU"/>
              </w:rPr>
              <w:t>(15)</w:t>
            </w:r>
            <w:r w:rsidRPr="00E56A64">
              <w:rPr>
                <w:rFonts w:asciiTheme="minorHAnsi" w:hAnsiTheme="minorHAnsi" w:cstheme="minorHAnsi"/>
                <w:sz w:val="20"/>
                <w:szCs w:val="22"/>
                <w:lang w:val="en-AU"/>
              </w:rPr>
              <w:t xml:space="preserve"> No studies have been reported in neonates.</w:t>
            </w:r>
          </w:p>
          <w:p w:rsidR="008A3F67" w:rsidP="008A3F67" w:rsidRDefault="008A3F67" w14:paraId="27BEABA2" w14:textId="77777777">
            <w:pPr>
              <w:pStyle w:val="BodyText"/>
              <w:rPr>
                <w:rFonts w:asciiTheme="minorHAnsi" w:hAnsiTheme="minorHAnsi" w:cstheme="minorHAnsi"/>
                <w:sz w:val="20"/>
                <w:u w:val="single"/>
                <w:lang w:val="en-AU"/>
              </w:rPr>
            </w:pPr>
          </w:p>
          <w:p w:rsidRPr="00E56A64" w:rsidR="008A3F67" w:rsidP="008A3F67" w:rsidRDefault="008A3F67" w14:paraId="58CB40E3" w14:textId="77777777">
            <w:pPr>
              <w:pStyle w:val="BodyText"/>
              <w:rPr>
                <w:rFonts w:asciiTheme="minorHAnsi" w:hAnsiTheme="minorHAnsi" w:cstheme="minorHAnsi"/>
                <w:sz w:val="20"/>
                <w:u w:val="single"/>
                <w:lang w:val="en-AU"/>
              </w:rPr>
            </w:pPr>
            <w:r w:rsidRPr="00E56A64">
              <w:rPr>
                <w:rFonts w:asciiTheme="minorHAnsi" w:hAnsiTheme="minorHAnsi" w:cstheme="minorHAnsi"/>
                <w:sz w:val="20"/>
                <w:u w:val="single"/>
                <w:lang w:val="en-AU"/>
              </w:rPr>
              <w:t xml:space="preserve">Extemporaneous preparation </w:t>
            </w:r>
          </w:p>
          <w:p w:rsidRPr="00E56A64" w:rsidR="008A3F67" w:rsidP="008A3F67" w:rsidRDefault="008A3F67" w14:paraId="088538E8"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 xml:space="preserve">Example of an oral dexamethasone 0.5mg/mL extemporaneous preparation: </w:t>
            </w:r>
          </w:p>
          <w:tbl>
            <w:tblPr>
              <w:tblStyle w:val="TableGrid"/>
              <w:tblW w:w="0" w:type="auto"/>
              <w:tblLayout w:type="fixed"/>
              <w:tblLook w:val="04A0" w:firstRow="1" w:lastRow="0" w:firstColumn="1" w:lastColumn="0" w:noHBand="0" w:noVBand="1"/>
            </w:tblPr>
            <w:tblGrid>
              <w:gridCol w:w="2027"/>
              <w:gridCol w:w="1366"/>
              <w:gridCol w:w="1417"/>
              <w:gridCol w:w="1276"/>
            </w:tblGrid>
            <w:tr w:rsidRPr="00E56A64" w:rsidR="008A3F67" w:rsidTr="00BB6ADA" w14:paraId="3DBED4B2" w14:textId="77777777">
              <w:tc>
                <w:tcPr>
                  <w:tcW w:w="2027" w:type="dxa"/>
                </w:tcPr>
                <w:p w:rsidRPr="00E56A64" w:rsidR="008A3F67" w:rsidP="008A3F67" w:rsidRDefault="008A3F67" w14:paraId="79E4DA18" w14:textId="77777777">
                  <w:pPr>
                    <w:pStyle w:val="BodyText"/>
                    <w:jc w:val="center"/>
                    <w:rPr>
                      <w:rFonts w:asciiTheme="minorHAnsi" w:hAnsiTheme="minorHAnsi" w:cstheme="minorHAnsi"/>
                      <w:sz w:val="20"/>
                      <w:lang w:val="en-AU"/>
                    </w:rPr>
                  </w:pPr>
                  <w:r w:rsidRPr="00E56A64">
                    <w:rPr>
                      <w:rFonts w:asciiTheme="minorHAnsi" w:hAnsiTheme="minorHAnsi" w:cstheme="minorHAnsi"/>
                      <w:sz w:val="20"/>
                      <w:lang w:val="en-AU"/>
                    </w:rPr>
                    <w:t>Ingredients</w:t>
                  </w:r>
                </w:p>
                <w:p w:rsidRPr="00E56A64" w:rsidR="008A3F67" w:rsidP="008A3F67" w:rsidRDefault="008A3F67" w14:paraId="5B8FC54D" w14:textId="77777777">
                  <w:pPr>
                    <w:pStyle w:val="BodyText"/>
                    <w:jc w:val="center"/>
                    <w:rPr>
                      <w:rFonts w:asciiTheme="minorHAnsi" w:hAnsiTheme="minorHAnsi" w:cstheme="minorHAnsi"/>
                      <w:sz w:val="20"/>
                      <w:lang w:val="en-AU"/>
                    </w:rPr>
                  </w:pPr>
                </w:p>
              </w:tc>
              <w:tc>
                <w:tcPr>
                  <w:tcW w:w="1366" w:type="dxa"/>
                </w:tcPr>
                <w:p w:rsidRPr="00E56A64" w:rsidR="008A3F67" w:rsidP="008A3F67" w:rsidRDefault="008A3F67" w14:paraId="3590FB1B" w14:textId="77777777">
                  <w:pPr>
                    <w:pStyle w:val="BodyText"/>
                    <w:jc w:val="center"/>
                    <w:rPr>
                      <w:rFonts w:asciiTheme="minorHAnsi" w:hAnsiTheme="minorHAnsi" w:cstheme="minorHAnsi"/>
                      <w:sz w:val="20"/>
                      <w:lang w:val="en-AU"/>
                    </w:rPr>
                  </w:pPr>
                  <w:r w:rsidRPr="00E56A64">
                    <w:rPr>
                      <w:rFonts w:asciiTheme="minorHAnsi" w:hAnsiTheme="minorHAnsi" w:cstheme="minorHAnsi"/>
                      <w:sz w:val="20"/>
                      <w:lang w:val="en-AU"/>
                    </w:rPr>
                    <w:t>Brand</w:t>
                  </w:r>
                </w:p>
              </w:tc>
              <w:tc>
                <w:tcPr>
                  <w:tcW w:w="1417" w:type="dxa"/>
                </w:tcPr>
                <w:p w:rsidRPr="00E56A64" w:rsidR="008A3F67" w:rsidP="008A3F67" w:rsidRDefault="008A3F67" w14:paraId="15FE1660" w14:textId="77777777">
                  <w:pPr>
                    <w:pStyle w:val="BodyText"/>
                    <w:jc w:val="center"/>
                    <w:rPr>
                      <w:rFonts w:asciiTheme="minorHAnsi" w:hAnsiTheme="minorHAnsi" w:cstheme="minorHAnsi"/>
                      <w:sz w:val="20"/>
                      <w:lang w:val="en-AU"/>
                    </w:rPr>
                  </w:pPr>
                  <w:r w:rsidRPr="00E56A64">
                    <w:rPr>
                      <w:rFonts w:asciiTheme="minorHAnsi" w:hAnsiTheme="minorHAnsi" w:cstheme="minorHAnsi"/>
                      <w:sz w:val="20"/>
                      <w:lang w:val="en-AU"/>
                    </w:rPr>
                    <w:t>Form</w:t>
                  </w:r>
                </w:p>
              </w:tc>
              <w:tc>
                <w:tcPr>
                  <w:tcW w:w="1276" w:type="dxa"/>
                </w:tcPr>
                <w:p w:rsidRPr="00E56A64" w:rsidR="008A3F67" w:rsidP="008A3F67" w:rsidRDefault="008A3F67" w14:paraId="4FAD1300" w14:textId="77777777">
                  <w:pPr>
                    <w:pStyle w:val="BodyText"/>
                    <w:jc w:val="center"/>
                    <w:rPr>
                      <w:rFonts w:asciiTheme="minorHAnsi" w:hAnsiTheme="minorHAnsi" w:cstheme="minorHAnsi"/>
                      <w:sz w:val="20"/>
                      <w:lang w:val="en-AU"/>
                    </w:rPr>
                  </w:pPr>
                  <w:r w:rsidRPr="00E56A64">
                    <w:rPr>
                      <w:rFonts w:asciiTheme="minorHAnsi" w:hAnsiTheme="minorHAnsi" w:cstheme="minorHAnsi"/>
                      <w:sz w:val="20"/>
                      <w:lang w:val="en-AU"/>
                    </w:rPr>
                    <w:t>Quantity</w:t>
                  </w:r>
                </w:p>
              </w:tc>
            </w:tr>
            <w:tr w:rsidRPr="00E56A64" w:rsidR="008A3F67" w:rsidTr="00BB6ADA" w14:paraId="378FA242" w14:textId="77777777">
              <w:tc>
                <w:tcPr>
                  <w:tcW w:w="2027" w:type="dxa"/>
                </w:tcPr>
                <w:p w:rsidRPr="00E56A64" w:rsidR="008A3F67" w:rsidP="008A3F67" w:rsidRDefault="008A3F67" w14:paraId="5CF28781"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Dexamethasone phosphate injection 4mg/mL</w:t>
                  </w:r>
                </w:p>
              </w:tc>
              <w:tc>
                <w:tcPr>
                  <w:tcW w:w="1366" w:type="dxa"/>
                </w:tcPr>
                <w:p w:rsidRPr="00E56A64" w:rsidR="008A3F67" w:rsidP="008A3F67" w:rsidRDefault="008A3F67" w14:paraId="5F454DB5"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Mylan</w:t>
                  </w:r>
                </w:p>
              </w:tc>
              <w:tc>
                <w:tcPr>
                  <w:tcW w:w="1417" w:type="dxa"/>
                </w:tcPr>
                <w:p w:rsidRPr="00E56A64" w:rsidR="008A3F67" w:rsidP="008A3F67" w:rsidRDefault="008A3F67" w14:paraId="00C2FD89"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Ampoule</w:t>
                  </w:r>
                </w:p>
              </w:tc>
              <w:tc>
                <w:tcPr>
                  <w:tcW w:w="1276" w:type="dxa"/>
                </w:tcPr>
                <w:p w:rsidRPr="00E56A64" w:rsidR="008A3F67" w:rsidP="008A3F67" w:rsidRDefault="008A3F67" w14:paraId="53853002"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3mL</w:t>
                  </w:r>
                </w:p>
              </w:tc>
            </w:tr>
            <w:tr w:rsidRPr="00E56A64" w:rsidR="008A3F67" w:rsidTr="00BB6ADA" w14:paraId="7BDC521A" w14:textId="77777777">
              <w:tc>
                <w:tcPr>
                  <w:tcW w:w="2027" w:type="dxa"/>
                </w:tcPr>
                <w:p w:rsidRPr="00E56A64" w:rsidR="008A3F67" w:rsidP="008A3F67" w:rsidRDefault="008A3F67" w14:paraId="1C5081A4"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OraBlend</w:t>
                  </w:r>
                </w:p>
              </w:tc>
              <w:tc>
                <w:tcPr>
                  <w:tcW w:w="1366" w:type="dxa"/>
                </w:tcPr>
                <w:p w:rsidRPr="00E56A64" w:rsidR="008A3F67" w:rsidP="008A3F67" w:rsidRDefault="008A3F67" w14:paraId="578A24E1"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Perrigo</w:t>
                  </w:r>
                </w:p>
              </w:tc>
              <w:tc>
                <w:tcPr>
                  <w:tcW w:w="1417" w:type="dxa"/>
                </w:tcPr>
                <w:p w:rsidRPr="00E56A64" w:rsidR="008A3F67" w:rsidP="008A3F67" w:rsidRDefault="008A3F67" w14:paraId="69B59D55"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Liquid</w:t>
                  </w:r>
                </w:p>
              </w:tc>
              <w:tc>
                <w:tcPr>
                  <w:tcW w:w="1276" w:type="dxa"/>
                </w:tcPr>
                <w:p w:rsidRPr="00E56A64" w:rsidR="008A3F67" w:rsidP="008A3F67" w:rsidRDefault="008A3F67" w14:paraId="7761BEA9"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To 20mL</w:t>
                  </w:r>
                </w:p>
              </w:tc>
            </w:tr>
          </w:tbl>
          <w:p w:rsidRPr="00E56A64" w:rsidR="008A3F67" w:rsidP="008A3F67" w:rsidRDefault="008A3F67" w14:paraId="4E46A143" w14:textId="77777777">
            <w:pPr>
              <w:pStyle w:val="BodyText"/>
              <w:rPr>
                <w:rFonts w:asciiTheme="minorHAnsi" w:hAnsiTheme="minorHAnsi" w:cstheme="minorHAnsi"/>
                <w:sz w:val="20"/>
                <w:lang w:val="en-AU"/>
              </w:rPr>
            </w:pPr>
          </w:p>
          <w:p w:rsidRPr="00E56A64" w:rsidR="008A3F67" w:rsidP="008A3F67" w:rsidRDefault="008A3F67" w14:paraId="06A55DE3" w14:textId="77777777">
            <w:pPr>
              <w:pStyle w:val="BodyText"/>
              <w:rPr>
                <w:rFonts w:asciiTheme="minorHAnsi" w:hAnsiTheme="minorHAnsi" w:cstheme="minorHAnsi"/>
                <w:b/>
                <w:sz w:val="20"/>
                <w:lang w:val="en-AU"/>
              </w:rPr>
            </w:pPr>
            <w:r w:rsidRPr="00E56A64">
              <w:rPr>
                <w:rFonts w:asciiTheme="minorHAnsi" w:hAnsiTheme="minorHAnsi" w:cstheme="minorHAnsi"/>
                <w:b/>
                <w:sz w:val="20"/>
                <w:lang w:eastAsia="en-AU"/>
              </w:rPr>
              <w:t>Dexamethasone 1mg = dexamethasone phosphate 1.2mg</w:t>
            </w:r>
          </w:p>
          <w:p w:rsidRPr="00E56A64" w:rsidR="008A3F67" w:rsidP="008A3F67" w:rsidRDefault="008A3F67" w14:paraId="110F7914"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Method:</w:t>
            </w:r>
            <w:r w:rsidRPr="00E56A64">
              <w:rPr>
                <w:rFonts w:asciiTheme="minorHAnsi" w:hAnsiTheme="minorHAnsi" w:cstheme="minorHAnsi"/>
                <w:sz w:val="20"/>
                <w:lang w:val="en-AU"/>
              </w:rPr>
              <w:br/>
            </w:r>
            <w:r w:rsidRPr="00E56A64">
              <w:rPr>
                <w:rFonts w:asciiTheme="minorHAnsi" w:hAnsiTheme="minorHAnsi" w:cstheme="minorHAnsi"/>
                <w:sz w:val="20"/>
                <w:lang w:val="en-AU"/>
              </w:rPr>
              <w:t>Withdraw 3mL of dexamethasone injection into a syringe using a filter needle.</w:t>
            </w:r>
          </w:p>
          <w:p w:rsidRPr="00E56A64" w:rsidR="008A3F67" w:rsidP="008A3F67" w:rsidRDefault="008A3F67" w14:paraId="19A49CCE"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Transfer the contents of the syringe into a graduated measure.</w:t>
            </w:r>
          </w:p>
          <w:p w:rsidRPr="00E56A64" w:rsidR="008A3F67" w:rsidP="008A3F67" w:rsidRDefault="008A3F67" w14:paraId="5B204893"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 xml:space="preserve">Make up to final volume with OraBlend and mix well. </w:t>
            </w:r>
          </w:p>
          <w:p w:rsidRPr="00E56A64" w:rsidR="008A3F67" w:rsidP="008A3F67" w:rsidRDefault="008A3F67" w14:paraId="008D2305"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Transfer the final mixture into a plastic amber bottle</w:t>
            </w:r>
            <w:r w:rsidRPr="00E56A64">
              <w:rPr>
                <w:rFonts w:asciiTheme="minorHAnsi" w:hAnsiTheme="minorHAnsi" w:cstheme="minorHAnsi"/>
                <w:sz w:val="20"/>
                <w:vertAlign w:val="superscript"/>
                <w:lang w:val="en-AU"/>
              </w:rPr>
              <w:t>15</w:t>
            </w:r>
            <w:r w:rsidRPr="00E56A64">
              <w:rPr>
                <w:rFonts w:asciiTheme="minorHAnsi" w:hAnsiTheme="minorHAnsi" w:cstheme="minorHAnsi"/>
                <w:sz w:val="20"/>
                <w:lang w:val="en-AU"/>
              </w:rPr>
              <w:t xml:space="preserve"> and secure lid tightly. Label appropriately. Shake the mixture before use.</w:t>
            </w:r>
          </w:p>
          <w:p w:rsidRPr="00E56A64" w:rsidR="008A3F67" w:rsidP="008A3F67" w:rsidRDefault="008A3F67" w14:paraId="418534B5" w14:textId="77777777">
            <w:pPr>
              <w:pStyle w:val="BodyText"/>
              <w:rPr>
                <w:rFonts w:asciiTheme="minorHAnsi" w:hAnsiTheme="minorHAnsi" w:cstheme="minorHAnsi"/>
                <w:sz w:val="20"/>
                <w:lang w:val="en-AU"/>
              </w:rPr>
            </w:pPr>
            <w:r w:rsidRPr="00E56A64">
              <w:rPr>
                <w:rFonts w:asciiTheme="minorHAnsi" w:hAnsiTheme="minorHAnsi" w:cstheme="minorHAnsi"/>
                <w:sz w:val="20"/>
                <w:lang w:val="en-AU"/>
              </w:rPr>
              <w:t>Storage: Refrigerate (2−8°C), do not freeze. Protect from light.</w:t>
            </w:r>
            <w:r>
              <w:rPr>
                <w:rFonts w:asciiTheme="minorHAnsi" w:hAnsiTheme="minorHAnsi" w:cstheme="minorHAnsi"/>
                <w:noProof/>
                <w:sz w:val="20"/>
                <w:lang w:val="en-AU"/>
              </w:rPr>
              <w:t>(8, 9)</w:t>
            </w:r>
          </w:p>
          <w:p w:rsidRPr="00B027DF" w:rsidR="008A3F67" w:rsidP="008A3F67" w:rsidRDefault="008A3F67" w14:paraId="1A2453E6" w14:textId="2E43DEF2">
            <w:pPr>
              <w:pStyle w:val="BodyText"/>
              <w:jc w:val="left"/>
              <w:rPr>
                <w:lang w:val="en-AU"/>
              </w:rPr>
            </w:pPr>
            <w:r w:rsidRPr="00E56A64">
              <w:rPr>
                <w:rFonts w:asciiTheme="minorHAnsi" w:hAnsiTheme="minorHAnsi" w:cstheme="minorHAnsi"/>
                <w:sz w:val="20"/>
                <w:lang w:val="en-AU"/>
              </w:rPr>
              <w:t>Expiry: 28 days after preparation.</w:t>
            </w:r>
            <w:r>
              <w:rPr>
                <w:rFonts w:asciiTheme="minorHAnsi" w:hAnsiTheme="minorHAnsi" w:cstheme="minorHAnsi"/>
                <w:noProof/>
                <w:sz w:val="20"/>
                <w:lang w:val="en-AU"/>
              </w:rPr>
              <w:t>(8)</w:t>
            </w:r>
          </w:p>
        </w:tc>
      </w:tr>
      <w:tr w:rsidRPr="00B027DF" w:rsidR="00545E58" w:rsidTr="00BB6ADA" w14:paraId="370662EF" w14:textId="77777777">
        <w:trPr>
          <w:trHeight w:val="280"/>
        </w:trPr>
        <w:tc>
          <w:tcPr>
            <w:tcW w:w="2438" w:type="dxa"/>
          </w:tcPr>
          <w:p w:rsidRPr="00B027DF" w:rsidR="00545E58" w:rsidP="00545E58" w:rsidRDefault="00545E58" w14:paraId="41532396" w14:textId="77777777">
            <w:pPr>
              <w:pStyle w:val="BodyText"/>
              <w:jc w:val="left"/>
              <w:rPr>
                <w:lang w:val="en-AU"/>
              </w:rPr>
            </w:pPr>
            <w:r w:rsidRPr="00B027DF">
              <w:rPr>
                <w:lang w:val="en-AU"/>
              </w:rPr>
              <w:t xml:space="preserve">Evidence </w:t>
            </w:r>
          </w:p>
        </w:tc>
        <w:tc>
          <w:tcPr>
            <w:tcW w:w="6913" w:type="dxa"/>
          </w:tcPr>
          <w:p w:rsidRPr="009B30C8" w:rsidR="00545E58" w:rsidP="00545E58" w:rsidRDefault="00545E58" w14:paraId="04E22578" w14:textId="77777777">
            <w:pPr>
              <w:pStyle w:val="BodyText"/>
              <w:tabs>
                <w:tab w:val="left" w:pos="1168"/>
              </w:tabs>
              <w:rPr>
                <w:rFonts w:asciiTheme="minorHAnsi" w:hAnsiTheme="minorHAnsi" w:cstheme="minorHAnsi"/>
                <w:b/>
                <w:sz w:val="16"/>
                <w:szCs w:val="16"/>
                <w:lang w:val="en-AU"/>
              </w:rPr>
            </w:pPr>
            <w:r w:rsidRPr="009B30C8">
              <w:rPr>
                <w:rFonts w:asciiTheme="minorHAnsi" w:hAnsiTheme="minorHAnsi" w:cstheme="minorHAnsi"/>
                <w:b/>
                <w:sz w:val="16"/>
                <w:szCs w:val="16"/>
                <w:lang w:val="en-AU"/>
              </w:rPr>
              <w:t>Efficacy:</w:t>
            </w:r>
          </w:p>
          <w:p w:rsidRPr="009B30C8" w:rsidR="00545E58" w:rsidP="00545E58" w:rsidRDefault="00545E58" w14:paraId="72C41A4C"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b/>
                <w:sz w:val="16"/>
                <w:szCs w:val="16"/>
                <w:lang w:val="en-AU"/>
              </w:rPr>
              <w:t>Late (&gt;7 days) postnatal corticosteroids for chronic lung disease in preterm infants:</w:t>
            </w:r>
            <w:r w:rsidRPr="009B30C8">
              <w:rPr>
                <w:rFonts w:asciiTheme="minorHAnsi" w:hAnsiTheme="minorHAnsi" w:cstheme="minorHAnsi"/>
                <w:sz w:val="16"/>
                <w:szCs w:val="16"/>
                <w:lang w:val="en-AU"/>
              </w:rPr>
              <w:t xml:space="preserve"> Systematic review of 21 RCTs (1424 participants) found late steroid treatment was associated with a reduction in neonatal mortality (at 28 days) but no reduction in mortality at 36 weeks, at discharge, or at latest reported age. Benefits of delayed steroid treatment included reductions in failure to extubate; chronic lung disease at 28 days and at 36 weeks' postmenstrual age; need for late rescue treatment with dexamethasone; discharge on home oxygen; and death or chronic lung disease both at 28 days of life and at 36 weeks' postmenstrual age. </w:t>
            </w:r>
          </w:p>
          <w:p w:rsidRPr="009B30C8" w:rsidR="00545E58" w:rsidP="00545E58" w:rsidRDefault="00545E58" w14:paraId="6831CE2B"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 xml:space="preserve">There was no significant difference in infection, gastrointestinal bleeding or necrotising enterocolitis. Adverse effects included hyperglycaemia, glycosuria, and hypertension, an increase in severe retinopathy of prematurity but no significant increase in blindness. The combined rate of death or cerebral palsy, major neurosensory disability, and the combined rate of death or major neurosensory disability were not significantly different. There were no differences in later childhood outcomes for respiratory health or function, blood pressure, or growth, and fewer participants had a clinically important reduction in forced expired volume in one second on respiratory function testing in the dexamethasone group. </w:t>
            </w:r>
            <w:r w:rsidRPr="009B30C8">
              <w:rPr>
                <w:rFonts w:asciiTheme="minorHAnsi" w:hAnsiTheme="minorHAnsi" w:cstheme="minorHAnsi"/>
                <w:noProof/>
                <w:sz w:val="16"/>
                <w:szCs w:val="16"/>
                <w:lang w:val="en-AU"/>
              </w:rPr>
              <w:t>(1)</w:t>
            </w:r>
            <w:r w:rsidRPr="009B30C8">
              <w:rPr>
                <w:rFonts w:asciiTheme="minorHAnsi" w:hAnsiTheme="minorHAnsi" w:cstheme="minorHAnsi"/>
                <w:sz w:val="16"/>
                <w:szCs w:val="16"/>
                <w:lang w:val="en-AU"/>
              </w:rPr>
              <w:t xml:space="preserve"> (LOE I, GOR B) </w:t>
            </w:r>
          </w:p>
          <w:p w:rsidRPr="009B30C8" w:rsidR="00545E58" w:rsidP="00545E58" w:rsidRDefault="00545E58" w14:paraId="59BF2B80" w14:textId="77777777">
            <w:pPr>
              <w:pStyle w:val="BodyText"/>
              <w:tabs>
                <w:tab w:val="left" w:pos="1168"/>
              </w:tabs>
              <w:rPr>
                <w:rFonts w:asciiTheme="minorHAnsi" w:hAnsiTheme="minorHAnsi" w:cstheme="minorHAnsi"/>
                <w:sz w:val="16"/>
                <w:szCs w:val="16"/>
                <w:lang w:val="en-AU"/>
              </w:rPr>
            </w:pPr>
          </w:p>
          <w:p w:rsidRPr="009B30C8" w:rsidR="00545E58" w:rsidP="00545E58" w:rsidRDefault="00545E58" w14:paraId="15F4AC36"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 xml:space="preserve">A meta-regression of randomised trials of postnatal corticosteroids in preterm infants found a relationship between risk of chronic lung disease and risk of death or CP. With risks for CLD below 35%, corticosteroid treatment significantly increased the chance of death or CP, whereas with risks for CLD exceeding 65%, it reduced this chance. There was no difference overall in risk of death or cerebral palsy. The analysis suggests postnatal corticosteroids should be restricted to ventilated infants predicted to have ≥ 50% risk of chronic lung disease. </w:t>
            </w:r>
            <w:r w:rsidRPr="009B30C8">
              <w:rPr>
                <w:rFonts w:asciiTheme="minorHAnsi" w:hAnsiTheme="minorHAnsi" w:cstheme="minorHAnsi"/>
                <w:noProof/>
                <w:sz w:val="16"/>
                <w:szCs w:val="16"/>
                <w:lang w:val="en-AU"/>
              </w:rPr>
              <w:t>(10, 11)</w:t>
            </w:r>
            <w:r w:rsidRPr="009B30C8">
              <w:rPr>
                <w:rFonts w:asciiTheme="minorHAnsi" w:hAnsiTheme="minorHAnsi" w:cstheme="minorHAnsi"/>
                <w:sz w:val="16"/>
                <w:szCs w:val="16"/>
                <w:lang w:val="en-AU"/>
              </w:rPr>
              <w:t xml:space="preserve"> (LOE III, GOR C) </w:t>
            </w:r>
          </w:p>
          <w:p w:rsidRPr="009B30C8" w:rsidR="00545E58" w:rsidP="00545E58" w:rsidRDefault="00545E58" w14:paraId="667F5DDE"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lastRenderedPageBreak/>
              <w:t>Conclusion: The benefits of late corticosteroid therapy may not outweigh actual or potential adverse effects.</w:t>
            </w:r>
            <w:r w:rsidRPr="009B30C8">
              <w:rPr>
                <w:rFonts w:asciiTheme="minorHAnsi" w:hAnsiTheme="minorHAnsi" w:cstheme="minorHAnsi"/>
                <w:noProof/>
                <w:sz w:val="16"/>
                <w:szCs w:val="16"/>
                <w:lang w:val="en-AU"/>
              </w:rPr>
              <w:t>(1)</w:t>
            </w:r>
            <w:r w:rsidRPr="009B30C8">
              <w:rPr>
                <w:rFonts w:asciiTheme="minorHAnsi" w:hAnsiTheme="minorHAnsi" w:cstheme="minorHAnsi"/>
                <w:sz w:val="16"/>
                <w:szCs w:val="16"/>
                <w:lang w:val="en-AU"/>
              </w:rPr>
              <w:t xml:space="preserve"> It is recommended to reserve the use of late corticosteroids for infants who cannot be weaned from mechanical ventilation and are at ≥ 50% risk of chronic lung disease.</w:t>
            </w:r>
          </w:p>
          <w:p w:rsidRPr="009B30C8" w:rsidR="00545E58" w:rsidP="00545E58" w:rsidRDefault="00545E58" w14:paraId="3F410E13" w14:textId="77777777">
            <w:pPr>
              <w:pStyle w:val="BodyText"/>
              <w:tabs>
                <w:tab w:val="left" w:pos="1168"/>
              </w:tabs>
              <w:rPr>
                <w:rFonts w:asciiTheme="minorHAnsi" w:hAnsiTheme="minorHAnsi" w:cstheme="minorHAnsi"/>
                <w:sz w:val="16"/>
                <w:szCs w:val="16"/>
                <w:lang w:val="en-AU"/>
              </w:rPr>
            </w:pPr>
          </w:p>
          <w:p w:rsidRPr="009B30C8" w:rsidR="00545E58" w:rsidP="00545E58" w:rsidRDefault="00545E58" w14:paraId="3DC5D57B"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b/>
                <w:sz w:val="16"/>
                <w:szCs w:val="16"/>
                <w:lang w:val="en-AU"/>
              </w:rPr>
              <w:t>Early (&lt; 8 days) postnatal corticosteroids for preventing chronic lung disease in preterm infants:</w:t>
            </w:r>
            <w:r w:rsidRPr="009B30C8">
              <w:rPr>
                <w:rFonts w:asciiTheme="minorHAnsi" w:hAnsiTheme="minorHAnsi" w:cstheme="minorHAnsi"/>
                <w:sz w:val="16"/>
                <w:szCs w:val="16"/>
                <w:lang w:val="en-AU"/>
              </w:rPr>
              <w:t xml:space="preserve"> Early corticosteroid treatment facilitates extubation and reduces the risk of chronic lung disease, patent ductus arteriosus and severe retinopathy of prematurity. However, it causes short-term adverse effects including gastrointestinal bleeding, intestinal perforation, hyperglycaemia, hypertension, hypertrophic cardiomyopathy and growth failure. Long-term follow-up studies report an increased risk of abnormal neurological examination and cerebral palsy. There was no difference in infection. The benefits of early postnatal corticosteroid treatment, particularly dexamethasone, may not outweigh the adverse effects of this treatment.</w:t>
            </w:r>
            <w:r w:rsidRPr="009B30C8">
              <w:rPr>
                <w:rFonts w:asciiTheme="minorHAnsi" w:hAnsiTheme="minorHAnsi" w:cstheme="minorHAnsi"/>
                <w:noProof/>
                <w:sz w:val="16"/>
                <w:szCs w:val="16"/>
                <w:lang w:val="en-AU"/>
              </w:rPr>
              <w:t>(12)</w:t>
            </w:r>
            <w:r w:rsidRPr="009B30C8">
              <w:rPr>
                <w:rFonts w:asciiTheme="minorHAnsi" w:hAnsiTheme="minorHAnsi" w:cstheme="minorHAnsi"/>
                <w:sz w:val="16"/>
                <w:szCs w:val="16"/>
                <w:lang w:val="en-AU"/>
              </w:rPr>
              <w:t xml:space="preserve"> (LOE I, GOR B)</w:t>
            </w:r>
          </w:p>
          <w:p w:rsidRPr="009B30C8" w:rsidR="00545E58" w:rsidP="00545E58" w:rsidRDefault="00545E58" w14:paraId="699B9CB5" w14:textId="77777777">
            <w:pPr>
              <w:pStyle w:val="BodyText"/>
              <w:tabs>
                <w:tab w:val="left" w:pos="1168"/>
              </w:tabs>
              <w:rPr>
                <w:rFonts w:asciiTheme="minorHAnsi" w:hAnsiTheme="minorHAnsi" w:cstheme="minorHAnsi"/>
                <w:sz w:val="16"/>
                <w:szCs w:val="16"/>
                <w:lang w:val="en-AU"/>
              </w:rPr>
            </w:pPr>
          </w:p>
          <w:p w:rsidRPr="009B30C8" w:rsidR="00545E58" w:rsidP="00545E58" w:rsidRDefault="00545E58" w14:paraId="11D7C178" w14:textId="77777777">
            <w:pPr>
              <w:pStyle w:val="BodyText"/>
              <w:tabs>
                <w:tab w:val="left" w:pos="1168"/>
              </w:tabs>
              <w:rPr>
                <w:rFonts w:asciiTheme="minorHAnsi" w:hAnsiTheme="minorHAnsi" w:cstheme="minorHAnsi"/>
                <w:b/>
                <w:sz w:val="16"/>
                <w:szCs w:val="16"/>
                <w:lang w:val="en-AU"/>
              </w:rPr>
            </w:pPr>
            <w:r w:rsidRPr="009B30C8">
              <w:rPr>
                <w:rFonts w:asciiTheme="minorHAnsi" w:hAnsiTheme="minorHAnsi" w:cstheme="minorHAnsi"/>
                <w:b/>
                <w:sz w:val="16"/>
                <w:szCs w:val="16"/>
                <w:lang w:val="en-AU"/>
              </w:rPr>
              <w:t xml:space="preserve">Systemic corticosteroid regimens for preventing chronic lung disease in preterm infants: </w:t>
            </w:r>
          </w:p>
          <w:p w:rsidRPr="009B30C8" w:rsidR="00545E58" w:rsidP="00545E58" w:rsidRDefault="00545E58" w14:paraId="1D25D9C9"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A systematic review of systemic corticosteroid regimens included 14 studies.</w:t>
            </w:r>
            <w:r w:rsidRPr="009B30C8">
              <w:rPr>
                <w:rFonts w:asciiTheme="minorHAnsi" w:hAnsiTheme="minorHAnsi" w:cstheme="minorHAnsi"/>
                <w:noProof/>
                <w:sz w:val="16"/>
                <w:szCs w:val="16"/>
                <w:lang w:val="en-AU"/>
              </w:rPr>
              <w:t>(13)</w:t>
            </w:r>
            <w:r w:rsidRPr="009B30C8">
              <w:rPr>
                <w:rFonts w:asciiTheme="minorHAnsi" w:hAnsiTheme="minorHAnsi" w:cstheme="minorHAnsi"/>
                <w:sz w:val="16"/>
                <w:szCs w:val="16"/>
                <w:lang w:val="en-AU"/>
              </w:rPr>
              <w:t xml:space="preserve"> Eight compared total cumulative doses of dexamethasone: Low = less than 2 mg/kg; moderate = 2 to 4 mg/kg; and high = greater than 4 mg/kg. </w:t>
            </w:r>
          </w:p>
          <w:p w:rsidRPr="009B30C8" w:rsidR="00545E58" w:rsidP="00545E58" w:rsidRDefault="00545E58" w14:paraId="5020A88B"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 xml:space="preserve">Moderate dexamethasone dose versus a low-dosage regimen: There was no difference in death and BPD (RR 0.83, 95% CI 0.50 to 1.40; 154 infants, 4 RCTs), or death or cerebral palsy (RR 0.78, 95% CI 0.28 to 2.18; 109 infants, 2 RCTs). </w:t>
            </w:r>
          </w:p>
          <w:p w:rsidRPr="009B30C8" w:rsidR="00545E58" w:rsidP="00545E58" w:rsidRDefault="00545E58" w14:paraId="0FEEC300"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Moderate dexamethasone dose versus a high-dosage regimen: meta-analysis found an increased risk of BPD at 36 weeks PMA (RR 1.50, 95% CI 1.01 to 2.22; RD 0.26, 95% CI 0.03 to 0.49; NNTH 4, 95% CI 1.9 to 23.3; I2 = 0%, 2 studies, 55 infants), and increased risk of abnormal neurodevelopmental outcome (RR 8.33, 95% CI 1.63 to 42.48; RD 0.30, 95% CI 0.14 to 0.46; NNTH 4, 95% CI 2.2 to 7.3; I2 = 68%, 2 studies, 74 infants) when using a moderate cumulative-dosage regimen. Composite outcomes of death or BPD (RR 1.35, 95%CI 1.00 to 1.82; 55 infant, 2 RCTs) and death or abnormal neurodevelopmental outcome (RR 3.37, 95% CI 1.42 to 7.99; 81 infants, 2 RCTs) were increased in the moderate compared to the higher dose regimen. Four studies (762 infants) of early initiation of dexamethasone therapy versus a moderately early or delayed initiation found no significant differences in the primary outcomes. Two RCTs (197 infants) of continuous versus a pulse dexamethasone regimen found an increased risk of the combined outcome death or BPD when using the pulse therapy. Two RCTs (109 infants) investigating a standard regimen versus a participant-individualized course of dexamethasone showed no difference in the primary outcome and long-term neurodevelopmental outcomes.</w:t>
            </w:r>
          </w:p>
          <w:p w:rsidRPr="009B30C8" w:rsidR="00545E58" w:rsidP="00545E58" w:rsidRDefault="00545E58" w14:paraId="55BB9D0F" w14:textId="77777777">
            <w:pPr>
              <w:pStyle w:val="BodyText"/>
              <w:tabs>
                <w:tab w:val="left" w:pos="1168"/>
              </w:tabs>
              <w:rPr>
                <w:rFonts w:asciiTheme="minorHAnsi" w:hAnsiTheme="minorHAnsi" w:cstheme="minorHAnsi"/>
                <w:sz w:val="16"/>
                <w:szCs w:val="16"/>
                <w:lang w:val="en-AU"/>
              </w:rPr>
            </w:pPr>
          </w:p>
          <w:p w:rsidRPr="009B30C8" w:rsidR="00545E58" w:rsidP="00545E58" w:rsidRDefault="00545E58" w14:paraId="19851BEC"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b/>
                <w:sz w:val="16"/>
                <w:szCs w:val="16"/>
                <w:lang w:val="en-AU"/>
              </w:rPr>
              <w:t>The low dose dexamethasone protocol (DART trial)</w:t>
            </w:r>
            <w:r w:rsidRPr="009B30C8">
              <w:rPr>
                <w:rFonts w:asciiTheme="minorHAnsi" w:hAnsiTheme="minorHAnsi" w:cstheme="minorHAnsi"/>
                <w:sz w:val="16"/>
                <w:szCs w:val="16"/>
                <w:lang w:val="en-AU"/>
              </w:rPr>
              <w:t xml:space="preserve"> facilitated extubation and shortened duration of intubation in ventilator-dependent, very preterm/extremely low birth weight infants, without obvious short-term complications. [Twice-daily doses of a 10-day tapering course of dexamethasone sodium phosphate (0.15 mg/kg per day for 3 days, 0.10 mg/kg per day for 3 days, 0.05 mg/kg per day for 2 days, and 0.02 mg/kg per day for 2 days; total cumulative dose = 0.89 mg/kg)].</w:t>
            </w:r>
            <w:r w:rsidRPr="009B30C8">
              <w:rPr>
                <w:rFonts w:asciiTheme="minorHAnsi" w:hAnsiTheme="minorHAnsi" w:cstheme="minorHAnsi"/>
                <w:noProof/>
                <w:sz w:val="16"/>
                <w:szCs w:val="16"/>
                <w:lang w:val="en-AU"/>
              </w:rPr>
              <w:t>(14)</w:t>
            </w:r>
          </w:p>
          <w:p w:rsidRPr="009B30C8" w:rsidR="00545E58" w:rsidP="00545E58" w:rsidRDefault="00545E58" w14:paraId="228CED8D" w14:textId="77777777">
            <w:pPr>
              <w:spacing w:after="160" w:line="259" w:lineRule="auto"/>
              <w:rPr>
                <w:rFonts w:asciiTheme="minorHAnsi" w:hAnsiTheme="minorHAnsi" w:eastAsiaTheme="minorHAnsi" w:cstheme="minorHAnsi"/>
                <w:b/>
                <w:sz w:val="16"/>
                <w:szCs w:val="16"/>
              </w:rPr>
            </w:pPr>
          </w:p>
          <w:p w:rsidRPr="009B30C8" w:rsidR="00545E58" w:rsidP="00545E58" w:rsidRDefault="00545E58" w14:paraId="1381F246" w14:textId="77777777">
            <w:pPr>
              <w:spacing w:after="160" w:line="259" w:lineRule="auto"/>
              <w:rPr>
                <w:rFonts w:asciiTheme="minorHAnsi" w:hAnsiTheme="minorHAnsi" w:eastAsiaTheme="minorHAnsi" w:cstheme="minorHAnsi"/>
                <w:sz w:val="16"/>
                <w:szCs w:val="16"/>
              </w:rPr>
            </w:pPr>
            <w:r w:rsidRPr="009B30C8">
              <w:rPr>
                <w:rFonts w:asciiTheme="minorHAnsi" w:hAnsiTheme="minorHAnsi" w:eastAsiaTheme="minorHAnsi" w:cstheme="minorHAnsi"/>
                <w:b/>
                <w:sz w:val="16"/>
                <w:szCs w:val="16"/>
              </w:rPr>
              <w:t xml:space="preserve">High dose trials: </w:t>
            </w:r>
            <w:r w:rsidRPr="009B30C8">
              <w:rPr>
                <w:rFonts w:asciiTheme="minorHAnsi" w:hAnsiTheme="minorHAnsi" w:eastAsiaTheme="minorHAnsi" w:cstheme="minorHAnsi"/>
                <w:sz w:val="16"/>
                <w:szCs w:val="16"/>
              </w:rPr>
              <w:t>RCT by Cummings at al included</w:t>
            </w:r>
            <w:r w:rsidRPr="009B30C8">
              <w:rPr>
                <w:rFonts w:asciiTheme="minorHAnsi" w:hAnsiTheme="minorHAnsi" w:eastAsiaTheme="minorHAnsi" w:cstheme="minorHAnsi"/>
                <w:b/>
                <w:sz w:val="16"/>
                <w:szCs w:val="16"/>
              </w:rPr>
              <w:t xml:space="preserve"> </w:t>
            </w:r>
            <w:r w:rsidRPr="009B30C8">
              <w:rPr>
                <w:rFonts w:asciiTheme="minorHAnsi" w:hAnsiTheme="minorHAnsi" w:eastAsiaTheme="minorHAnsi" w:cstheme="minorHAnsi"/>
                <w:sz w:val="16"/>
                <w:szCs w:val="16"/>
              </w:rPr>
              <w:t>36 ventilator dependent preterm infants of GA &lt; 30 weeks. They randomly received dexamethasone for 42 days (n=13) or 18 days (n=12) or placebo (n=110). Infants in the 42-day dexamethasone group were weaned from the mechanical ventilator faster than the 18-day group and the placebo group. Hyperglycemia, occult gastric bleed, suspected or proven sepsis and retinopathy of prematurity rates in the 42-day groups were not different from the control group. Need for red cell transfusion was lower in the 42 days group. Similarly, normal neurological examination and Bayley developmental indices &gt;84 at 15 months of age were higher in the 42-day group (78%) compared to the 18 day group (22%) and the placebo group (40%).</w:t>
            </w:r>
            <w:r w:rsidRPr="009B30C8">
              <w:rPr>
                <w:rFonts w:asciiTheme="minorHAnsi" w:hAnsiTheme="minorHAnsi" w:eastAsiaTheme="minorHAnsi" w:cstheme="minorHAnsi"/>
                <w:noProof/>
                <w:sz w:val="16"/>
                <w:szCs w:val="16"/>
              </w:rPr>
              <w:t>(3)</w:t>
            </w:r>
            <w:r w:rsidRPr="009B30C8">
              <w:rPr>
                <w:rFonts w:asciiTheme="minorHAnsi" w:hAnsiTheme="minorHAnsi" w:eastAsiaTheme="minorHAnsi" w:cstheme="minorHAnsi"/>
                <w:sz w:val="16"/>
                <w:szCs w:val="16"/>
              </w:rPr>
              <w:t xml:space="preserve"> Papile et al</w:t>
            </w:r>
            <w:r w:rsidRPr="009B30C8">
              <w:rPr>
                <w:rFonts w:asciiTheme="minorHAnsi" w:hAnsiTheme="minorHAnsi" w:eastAsiaTheme="minorHAnsi" w:cstheme="minorHAnsi"/>
                <w:b/>
                <w:sz w:val="16"/>
                <w:szCs w:val="16"/>
              </w:rPr>
              <w:t xml:space="preserve"> </w:t>
            </w:r>
            <w:r w:rsidRPr="009B30C8">
              <w:rPr>
                <w:rFonts w:asciiTheme="minorHAnsi" w:hAnsiTheme="minorHAnsi" w:eastAsiaTheme="minorHAnsi" w:cstheme="minorHAnsi"/>
                <w:sz w:val="16"/>
                <w:szCs w:val="16"/>
              </w:rPr>
              <w:t>randomised 371 ventilator dependent very low birth weight infants to receive a 2 week course of dexamethasone (cumulative dose: 3.25 mg/kg) at either 14 days or 28 days. There was no difference in the risk of death before discharge or development of chronic lung disease between the two regimens. But nosocomial infections and hyperglycemia were higher in infants who received dexamethasone at 14 days while the mean arterial blood pressure was higher in infants who received dexamethasone at 28 days.</w:t>
            </w:r>
            <w:r w:rsidRPr="009B30C8">
              <w:rPr>
                <w:rFonts w:asciiTheme="minorHAnsi" w:hAnsiTheme="minorHAnsi" w:eastAsiaTheme="minorHAnsi" w:cstheme="minorHAnsi"/>
                <w:noProof/>
                <w:sz w:val="16"/>
                <w:szCs w:val="16"/>
              </w:rPr>
              <w:t>(5)</w:t>
            </w:r>
            <w:r w:rsidRPr="009B30C8">
              <w:rPr>
                <w:rFonts w:asciiTheme="minorHAnsi" w:hAnsiTheme="minorHAnsi" w:eastAsiaTheme="minorHAnsi" w:cstheme="minorHAnsi"/>
                <w:sz w:val="16"/>
                <w:szCs w:val="16"/>
              </w:rPr>
              <w:t xml:space="preserve"> Marr et al J randomised</w:t>
            </w:r>
            <w:r w:rsidRPr="009B30C8">
              <w:rPr>
                <w:rFonts w:asciiTheme="minorHAnsi" w:hAnsiTheme="minorHAnsi" w:eastAsiaTheme="minorHAnsi" w:cstheme="minorHAnsi"/>
                <w:b/>
                <w:sz w:val="16"/>
                <w:szCs w:val="16"/>
              </w:rPr>
              <w:t xml:space="preserve"> </w:t>
            </w:r>
            <w:r w:rsidRPr="009B30C8">
              <w:rPr>
                <w:rFonts w:asciiTheme="minorHAnsi" w:hAnsiTheme="minorHAnsi" w:eastAsiaTheme="minorHAnsi" w:cstheme="minorHAnsi"/>
                <w:sz w:val="16"/>
                <w:szCs w:val="16"/>
              </w:rPr>
              <w:t>59 infants of postnatal age of 10-21 days born at &lt;27 weeks of gestation and evolving chronic lung disease (Ventilator support, mean airway pressure &gt; 8 cm H</w:t>
            </w:r>
            <w:r w:rsidRPr="009B30C8">
              <w:rPr>
                <w:rFonts w:asciiTheme="minorHAnsi" w:hAnsiTheme="minorHAnsi" w:eastAsiaTheme="minorHAnsi" w:cstheme="minorHAnsi"/>
                <w:sz w:val="16"/>
                <w:szCs w:val="16"/>
                <w:vertAlign w:val="subscript"/>
              </w:rPr>
              <w:t>2</w:t>
            </w:r>
            <w:r w:rsidRPr="009B30C8">
              <w:rPr>
                <w:rFonts w:asciiTheme="minorHAnsi" w:hAnsiTheme="minorHAnsi" w:eastAsiaTheme="minorHAnsi" w:cstheme="minorHAnsi"/>
                <w:sz w:val="16"/>
                <w:szCs w:val="16"/>
              </w:rPr>
              <w:t>O and FiO</w:t>
            </w:r>
            <w:r w:rsidRPr="009B30C8">
              <w:rPr>
                <w:rFonts w:asciiTheme="minorHAnsi" w:hAnsiTheme="minorHAnsi" w:eastAsiaTheme="minorHAnsi" w:cstheme="minorHAnsi"/>
                <w:sz w:val="16"/>
                <w:szCs w:val="16"/>
                <w:vertAlign w:val="subscript"/>
              </w:rPr>
              <w:t>2</w:t>
            </w:r>
            <w:r w:rsidRPr="009B30C8">
              <w:rPr>
                <w:rFonts w:asciiTheme="minorHAnsi" w:hAnsiTheme="minorHAnsi" w:eastAsiaTheme="minorHAnsi" w:cstheme="minorHAnsi"/>
                <w:sz w:val="16"/>
                <w:szCs w:val="16"/>
              </w:rPr>
              <w:t xml:space="preserve"> &gt; 60%) were randomised to receive either 42-day (n= 30) or 9-day dexamethasone course (n=29). Nineteen of 29 infants (66%) in the 9-day group received only 1 course of dexamethasone.  During the study period, infants in the 42-day group received a total dexamethasone dose of 7.98 mg/kg. Infants in the 9-day group received a total dexamethasone dose of 2.63, 5.25, or 7.88 mg/kg depending upon the number of 9-day courses (1, 2, or 3) received. Infants in the 42-day group had shorter duration of ventilation (25 vs 37 days) and received fewer blood transfusions (2 vs 3.5)  Intact survival at school age was significantly increased in the 42-day group (75%) compared with the 9-day group (34%).</w:t>
            </w:r>
            <w:r w:rsidRPr="009B30C8">
              <w:rPr>
                <w:rFonts w:asciiTheme="minorHAnsi" w:hAnsiTheme="minorHAnsi" w:eastAsiaTheme="minorHAnsi" w:cstheme="minorHAnsi"/>
                <w:noProof/>
                <w:sz w:val="16"/>
                <w:szCs w:val="16"/>
              </w:rPr>
              <w:t>(4)</w:t>
            </w:r>
            <w:r w:rsidRPr="009B30C8">
              <w:rPr>
                <w:rFonts w:asciiTheme="minorHAnsi" w:hAnsiTheme="minorHAnsi" w:eastAsiaTheme="minorHAnsi" w:cstheme="minorHAnsi"/>
                <w:sz w:val="16"/>
                <w:szCs w:val="16"/>
              </w:rPr>
              <w:t xml:space="preserve"> </w:t>
            </w:r>
          </w:p>
          <w:p w:rsidRPr="009B30C8" w:rsidR="00545E58" w:rsidP="00545E58" w:rsidRDefault="00545E58" w14:paraId="7B3815CF"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b/>
                <w:sz w:val="16"/>
                <w:szCs w:val="16"/>
                <w:lang w:val="en-AU"/>
              </w:rPr>
              <w:t>Intravenous dexamethasone for extubation of newborn infants:</w:t>
            </w:r>
            <w:r w:rsidRPr="009B30C8">
              <w:rPr>
                <w:rFonts w:asciiTheme="minorHAnsi" w:hAnsiTheme="minorHAnsi" w:cstheme="minorHAnsi"/>
                <w:sz w:val="16"/>
                <w:szCs w:val="16"/>
                <w:lang w:val="en-AU"/>
              </w:rPr>
              <w:t xml:space="preserve"> Dexamethasone reduces the need for endotracheal reintubation of neonates after a period of intermittent positive pressure ventilation. In </w:t>
            </w:r>
            <w:r w:rsidRPr="009B30C8">
              <w:rPr>
                <w:rFonts w:asciiTheme="minorHAnsi" w:hAnsiTheme="minorHAnsi" w:cstheme="minorHAnsi"/>
                <w:sz w:val="16"/>
                <w:szCs w:val="16"/>
                <w:lang w:val="en-AU"/>
              </w:rPr>
              <w:lastRenderedPageBreak/>
              <w:t>view of the lack of effect in low risk infants and the documented and potential side effects, restrict use to infants at increased risk for airway oedema and obstruction, such as those who have received repeated or prolonged intubations. Dose regimens used 0.25-0.5 mg/kg from 1-3 doses.</w:t>
            </w:r>
            <w:r w:rsidRPr="009B30C8">
              <w:rPr>
                <w:rFonts w:asciiTheme="minorHAnsi" w:hAnsiTheme="minorHAnsi" w:cstheme="minorHAnsi"/>
                <w:noProof/>
                <w:sz w:val="16"/>
                <w:szCs w:val="16"/>
                <w:lang w:val="en-AU"/>
              </w:rPr>
              <w:t>(6)</w:t>
            </w:r>
            <w:r w:rsidRPr="009B30C8">
              <w:rPr>
                <w:rFonts w:asciiTheme="minorHAnsi" w:hAnsiTheme="minorHAnsi" w:cstheme="minorHAnsi"/>
                <w:sz w:val="16"/>
                <w:szCs w:val="16"/>
                <w:lang w:val="en-AU"/>
              </w:rPr>
              <w:t xml:space="preserve"> [LOE I, GOR C]</w:t>
            </w:r>
          </w:p>
          <w:p w:rsidRPr="009B30C8" w:rsidR="00545E58" w:rsidP="00545E58" w:rsidRDefault="00545E58" w14:paraId="31A990C0" w14:textId="77777777">
            <w:pPr>
              <w:pStyle w:val="BodyText"/>
              <w:tabs>
                <w:tab w:val="left" w:pos="1168"/>
              </w:tabs>
              <w:rPr>
                <w:rFonts w:asciiTheme="minorHAnsi" w:hAnsiTheme="minorHAnsi" w:cstheme="minorHAnsi"/>
                <w:sz w:val="16"/>
                <w:szCs w:val="16"/>
                <w:lang w:val="en-AU"/>
              </w:rPr>
            </w:pPr>
          </w:p>
          <w:p w:rsidRPr="009B30C8" w:rsidR="00545E58" w:rsidP="00545E58" w:rsidRDefault="00545E58" w14:paraId="5122D49D" w14:textId="77777777">
            <w:pPr>
              <w:pStyle w:val="BodyText"/>
              <w:tabs>
                <w:tab w:val="left" w:pos="1168"/>
              </w:tabs>
              <w:rPr>
                <w:rFonts w:asciiTheme="minorHAnsi" w:hAnsiTheme="minorHAnsi" w:cstheme="minorHAnsi"/>
                <w:b/>
                <w:sz w:val="16"/>
                <w:szCs w:val="16"/>
                <w:lang w:val="en-AU"/>
              </w:rPr>
            </w:pPr>
            <w:r w:rsidRPr="009B30C8">
              <w:rPr>
                <w:rFonts w:asciiTheme="minorHAnsi" w:hAnsiTheme="minorHAnsi" w:cstheme="minorHAnsi"/>
                <w:b/>
                <w:sz w:val="16"/>
                <w:szCs w:val="16"/>
                <w:lang w:val="en-AU"/>
              </w:rPr>
              <w:t xml:space="preserve">Side effects: </w:t>
            </w:r>
          </w:p>
          <w:p w:rsidRPr="009B30C8" w:rsidR="00545E58" w:rsidP="00545E58" w:rsidRDefault="00545E58" w14:paraId="40437416"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Late (≥7 days) postnatal corticosteroid use was associated with no significant difference in infection, gastrointestinal bleeding or necrotising enterocolitis, but adverse effects included hyperglycaemia, glycosuria, and hypertension, an increase in severe retinopathy of prematurity but no significant increase in blindness.</w:t>
            </w:r>
            <w:r w:rsidRPr="009B30C8">
              <w:rPr>
                <w:rFonts w:asciiTheme="minorHAnsi" w:hAnsiTheme="minorHAnsi" w:cstheme="minorHAnsi"/>
                <w:noProof/>
                <w:sz w:val="16"/>
                <w:szCs w:val="16"/>
                <w:lang w:val="en-AU"/>
              </w:rPr>
              <w:t>(1)</w:t>
            </w:r>
            <w:r w:rsidRPr="009B30C8">
              <w:rPr>
                <w:rFonts w:asciiTheme="minorHAnsi" w:hAnsiTheme="minorHAnsi" w:cstheme="minorHAnsi"/>
                <w:sz w:val="16"/>
                <w:szCs w:val="16"/>
                <w:lang w:val="en-AU"/>
              </w:rPr>
              <w:t xml:space="preserve"> [LOE I]</w:t>
            </w:r>
          </w:p>
          <w:p w:rsidRPr="009B30C8" w:rsidR="00545E58" w:rsidP="00545E58" w:rsidRDefault="00545E58" w14:paraId="76C93CCA"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Early (&lt;7 days) postnatal corticosteroid use was associated with gastrointestinal bleeding, intestinal perforation, hyperglycaemia, hypertension, hypertrophic cardiomyopathy and growth failure. Long-term follow-up studies report an increased risk of abnormal neurological examination and cerebral palsy.</w:t>
            </w:r>
            <w:r w:rsidRPr="009B30C8">
              <w:rPr>
                <w:rFonts w:asciiTheme="minorHAnsi" w:hAnsiTheme="minorHAnsi" w:cstheme="minorHAnsi"/>
                <w:noProof/>
                <w:sz w:val="16"/>
                <w:szCs w:val="16"/>
                <w:lang w:val="en-AU"/>
              </w:rPr>
              <w:t>(12)</w:t>
            </w:r>
            <w:r w:rsidRPr="009B30C8">
              <w:rPr>
                <w:rFonts w:asciiTheme="minorHAnsi" w:hAnsiTheme="minorHAnsi" w:cstheme="minorHAnsi"/>
                <w:sz w:val="16"/>
                <w:szCs w:val="16"/>
                <w:lang w:val="en-AU"/>
              </w:rPr>
              <w:t xml:space="preserve"> [LOE I]</w:t>
            </w:r>
          </w:p>
          <w:p w:rsidRPr="009B30C8" w:rsidR="00545E58" w:rsidP="00545E58" w:rsidRDefault="00545E58" w14:paraId="212E188E"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Adrenal suppression and myocardial hypertrophy: Higher doses (starting &gt;0.2mg/kg) and prolonged courses (&gt;14 days) may be associated with myocardial hypertrophy and adrenal suppression.</w:t>
            </w:r>
            <w:r w:rsidRPr="009B30C8">
              <w:rPr>
                <w:rFonts w:asciiTheme="minorHAnsi" w:hAnsiTheme="minorHAnsi" w:cstheme="minorHAnsi"/>
                <w:noProof/>
                <w:sz w:val="16"/>
                <w:szCs w:val="16"/>
                <w:lang w:val="en-AU"/>
              </w:rPr>
              <w:t>(15, 16)</w:t>
            </w:r>
            <w:r w:rsidRPr="009B30C8">
              <w:rPr>
                <w:rFonts w:asciiTheme="minorHAnsi" w:hAnsiTheme="minorHAnsi" w:cstheme="minorHAnsi"/>
                <w:sz w:val="16"/>
                <w:szCs w:val="16"/>
                <w:lang w:val="en-AU"/>
              </w:rPr>
              <w:t xml:space="preserve"> (LOE II, GOR B) </w:t>
            </w:r>
          </w:p>
          <w:p w:rsidRPr="009B30C8" w:rsidR="00545E58" w:rsidP="00545E58" w:rsidRDefault="00545E58" w14:paraId="0070CD24"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Infection: Systematic reviews of trials of early and late postnatal corticosteroids found no difference in infection rate overall.</w:t>
            </w:r>
            <w:r w:rsidRPr="009B30C8">
              <w:rPr>
                <w:rFonts w:asciiTheme="minorHAnsi" w:hAnsiTheme="minorHAnsi" w:cstheme="minorHAnsi"/>
                <w:noProof/>
                <w:sz w:val="16"/>
                <w:szCs w:val="16"/>
                <w:lang w:val="en-AU"/>
              </w:rPr>
              <w:t>(1, 12, 13)</w:t>
            </w:r>
            <w:r w:rsidRPr="009B30C8">
              <w:rPr>
                <w:rFonts w:asciiTheme="minorHAnsi" w:hAnsiTheme="minorHAnsi" w:cstheme="minorHAnsi"/>
                <w:sz w:val="16"/>
                <w:szCs w:val="16"/>
                <w:lang w:val="en-AU"/>
              </w:rPr>
              <w:t xml:space="preserve"> However, a crossover trial of dexamethasone-placebo versus placebo-dexamethasone reported increased nosocomial infection in the initial time period in the dexamethasone group.</w:t>
            </w:r>
            <w:r w:rsidRPr="009B30C8">
              <w:rPr>
                <w:rFonts w:asciiTheme="minorHAnsi" w:hAnsiTheme="minorHAnsi" w:cstheme="minorHAnsi"/>
                <w:noProof/>
                <w:sz w:val="16"/>
                <w:szCs w:val="16"/>
                <w:lang w:val="en-AU"/>
              </w:rPr>
              <w:t>(5)</w:t>
            </w:r>
          </w:p>
          <w:p w:rsidRPr="009B30C8" w:rsidR="00545E58" w:rsidP="00545E58" w:rsidRDefault="00545E58" w14:paraId="027A917C"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Neutrophils: Dexamethasone increased total and immature neutrophils and platelet count peaking on day 7.</w:t>
            </w:r>
            <w:r w:rsidRPr="009B30C8">
              <w:rPr>
                <w:rFonts w:asciiTheme="minorHAnsi" w:hAnsiTheme="minorHAnsi" w:cstheme="minorHAnsi"/>
                <w:noProof/>
                <w:sz w:val="16"/>
                <w:szCs w:val="16"/>
                <w:lang w:val="en-AU"/>
              </w:rPr>
              <w:t>(17)</w:t>
            </w:r>
          </w:p>
          <w:p w:rsidRPr="009B30C8" w:rsidR="00545E58" w:rsidP="00545E58" w:rsidRDefault="00545E58" w14:paraId="6BDDCCCA" w14:textId="332BE664">
            <w:pPr>
              <w:pStyle w:val="BodyText"/>
              <w:jc w:val="left"/>
              <w:rPr>
                <w:sz w:val="16"/>
                <w:szCs w:val="16"/>
                <w:lang w:val="en-AU"/>
              </w:rPr>
            </w:pPr>
            <w:r w:rsidRPr="009B30C8">
              <w:rPr>
                <w:rFonts w:asciiTheme="minorHAnsi" w:hAnsiTheme="minorHAnsi" w:cstheme="minorHAnsi"/>
                <w:sz w:val="16"/>
                <w:szCs w:val="16"/>
                <w:lang w:val="en-AU"/>
              </w:rPr>
              <w:t>Hypertriglyceridaemia: Dexamethasone induces hypertriglyceridemia in association with hyperinsulinism and raised free fatty acids.</w:t>
            </w:r>
            <w:r w:rsidRPr="009B30C8">
              <w:rPr>
                <w:rFonts w:asciiTheme="minorHAnsi" w:hAnsiTheme="minorHAnsi" w:cstheme="minorHAnsi"/>
                <w:noProof/>
                <w:sz w:val="16"/>
                <w:szCs w:val="16"/>
                <w:lang w:val="en-AU"/>
              </w:rPr>
              <w:t>(18)</w:t>
            </w:r>
          </w:p>
        </w:tc>
      </w:tr>
      <w:tr w:rsidRPr="00B027DF" w:rsidR="009C4357" w:rsidTr="00BB6ADA" w14:paraId="05D06113" w14:textId="77777777">
        <w:trPr>
          <w:trHeight w:val="108"/>
        </w:trPr>
        <w:tc>
          <w:tcPr>
            <w:tcW w:w="2438" w:type="dxa"/>
          </w:tcPr>
          <w:p w:rsidRPr="00B027DF" w:rsidR="009C4357" w:rsidP="009C4357" w:rsidRDefault="009C4357" w14:paraId="0B0E46EA" w14:textId="77777777">
            <w:pPr>
              <w:pStyle w:val="BodyText"/>
              <w:jc w:val="left"/>
              <w:rPr>
                <w:lang w:val="en-AU"/>
              </w:rPr>
            </w:pPr>
            <w:r w:rsidRPr="00B027DF">
              <w:rPr>
                <w:lang w:val="en-AU"/>
              </w:rPr>
              <w:lastRenderedPageBreak/>
              <w:t>Practice points</w:t>
            </w:r>
          </w:p>
        </w:tc>
        <w:tc>
          <w:tcPr>
            <w:tcW w:w="6913" w:type="dxa"/>
          </w:tcPr>
          <w:p w:rsidRPr="009B30C8" w:rsidR="009C4357" w:rsidP="009C4357" w:rsidRDefault="009C4357" w14:paraId="538E63E0"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Recommendations on the optimal type of corticosteroid, the optimal dosage, or the optimal timing of initiation for the prevention of BPD in preterm infants cannot be made based on current level of evidence.</w:t>
            </w:r>
            <w:r w:rsidRPr="009B30C8">
              <w:rPr>
                <w:rFonts w:asciiTheme="minorHAnsi" w:hAnsiTheme="minorHAnsi" w:cstheme="minorHAnsi"/>
                <w:noProof/>
                <w:sz w:val="16"/>
                <w:szCs w:val="16"/>
                <w:lang w:val="en-AU"/>
              </w:rPr>
              <w:t>(13)</w:t>
            </w:r>
            <w:r w:rsidRPr="009B30C8">
              <w:rPr>
                <w:rFonts w:asciiTheme="minorHAnsi" w:hAnsiTheme="minorHAnsi" w:cstheme="minorHAnsi"/>
                <w:sz w:val="16"/>
                <w:szCs w:val="16"/>
                <w:lang w:val="en-AU"/>
              </w:rPr>
              <w:t xml:space="preserve"> </w:t>
            </w:r>
          </w:p>
          <w:p w:rsidRPr="009B30C8" w:rsidR="009C4357" w:rsidP="009C4357" w:rsidRDefault="009C4357" w14:paraId="189A6211"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The benefits of early (before 7 days) corticosteroids may not outweigh the harms so cannot be recommended.</w:t>
            </w:r>
            <w:r w:rsidRPr="009B30C8">
              <w:rPr>
                <w:rFonts w:asciiTheme="minorHAnsi" w:hAnsiTheme="minorHAnsi" w:cstheme="minorHAnsi"/>
                <w:noProof/>
                <w:sz w:val="16"/>
                <w:szCs w:val="16"/>
                <w:lang w:val="en-AU"/>
              </w:rPr>
              <w:t>(12, 13)</w:t>
            </w:r>
            <w:r w:rsidRPr="009B30C8">
              <w:rPr>
                <w:rFonts w:asciiTheme="minorHAnsi" w:hAnsiTheme="minorHAnsi" w:cstheme="minorHAnsi"/>
                <w:sz w:val="16"/>
                <w:szCs w:val="16"/>
                <w:lang w:val="en-AU"/>
              </w:rPr>
              <w:t xml:space="preserve"> [LOE I, GOR C]</w:t>
            </w:r>
          </w:p>
          <w:p w:rsidRPr="009B30C8" w:rsidR="009C4357" w:rsidP="009C4357" w:rsidRDefault="009C4357" w14:paraId="75B0E9E8"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It is recommended to reserve the use of late (≥7 days) corticosteroids for infants who cannot be weaned from mechanical ventilation and are at ≥ 50% risk of chronic lung disease.</w:t>
            </w:r>
            <w:r w:rsidRPr="009B30C8">
              <w:rPr>
                <w:rFonts w:asciiTheme="minorHAnsi" w:hAnsiTheme="minorHAnsi" w:cstheme="minorHAnsi"/>
                <w:noProof/>
                <w:sz w:val="16"/>
                <w:szCs w:val="16"/>
                <w:lang w:val="en-AU"/>
              </w:rPr>
              <w:t>(1, 10, 11, 13)</w:t>
            </w:r>
            <w:r w:rsidRPr="009B30C8">
              <w:rPr>
                <w:rFonts w:asciiTheme="minorHAnsi" w:hAnsiTheme="minorHAnsi" w:cstheme="minorHAnsi"/>
                <w:sz w:val="16"/>
                <w:szCs w:val="16"/>
                <w:lang w:val="en-AU"/>
              </w:rPr>
              <w:t xml:space="preserve"> [LOE I, GOR C].</w:t>
            </w:r>
          </w:p>
          <w:p w:rsidRPr="009B30C8" w:rsidR="009C4357" w:rsidP="009C4357" w:rsidRDefault="009C4357" w14:paraId="1F0A7147" w14:textId="77777777">
            <w:pPr>
              <w:pStyle w:val="BodyText"/>
              <w:tabs>
                <w:tab w:val="left" w:pos="1168"/>
              </w:tabs>
              <w:rPr>
                <w:rFonts w:asciiTheme="minorHAnsi" w:hAnsiTheme="minorHAnsi" w:cstheme="minorHAnsi"/>
                <w:sz w:val="16"/>
                <w:szCs w:val="16"/>
                <w:lang w:val="en-AU"/>
              </w:rPr>
            </w:pPr>
            <w:r w:rsidRPr="009B30C8">
              <w:rPr>
                <w:rFonts w:asciiTheme="minorHAnsi" w:hAnsiTheme="minorHAnsi" w:cstheme="minorHAnsi"/>
                <w:sz w:val="16"/>
                <w:szCs w:val="16"/>
                <w:lang w:val="en-AU"/>
              </w:rPr>
              <w:t>There is insufficient evidence to recommend a participant-individualized course of dexamethasone for infants.</w:t>
            </w:r>
            <w:r w:rsidRPr="009B30C8">
              <w:rPr>
                <w:rFonts w:asciiTheme="minorHAnsi" w:hAnsiTheme="minorHAnsi" w:cstheme="minorHAnsi"/>
                <w:noProof/>
                <w:sz w:val="16"/>
                <w:szCs w:val="16"/>
                <w:lang w:val="en-AU"/>
              </w:rPr>
              <w:t>(13)</w:t>
            </w:r>
          </w:p>
          <w:p w:rsidRPr="009B30C8" w:rsidR="009C4357" w:rsidP="009C4357" w:rsidRDefault="009C4357" w14:paraId="3DC33B8D" w14:textId="6EA87E57">
            <w:pPr>
              <w:pStyle w:val="BodyText"/>
              <w:jc w:val="left"/>
              <w:rPr>
                <w:sz w:val="16"/>
                <w:szCs w:val="16"/>
                <w:lang w:val="en-AU"/>
              </w:rPr>
            </w:pPr>
            <w:r w:rsidRPr="009B30C8">
              <w:rPr>
                <w:rFonts w:asciiTheme="minorHAnsi" w:hAnsiTheme="minorHAnsi" w:cstheme="minorHAnsi"/>
                <w:sz w:val="16"/>
                <w:szCs w:val="16"/>
                <w:lang w:val="en-AU"/>
              </w:rPr>
              <w:t>Parents should be informed of the potential benefits and harms of postnatal corticosteroid treatment.</w:t>
            </w:r>
          </w:p>
        </w:tc>
      </w:tr>
      <w:tr w:rsidRPr="00B027DF" w:rsidR="009B30C8" w:rsidTr="00BB6ADA" w14:paraId="527B82F2" w14:textId="77777777">
        <w:trPr>
          <w:trHeight w:val="70"/>
        </w:trPr>
        <w:tc>
          <w:tcPr>
            <w:tcW w:w="2438" w:type="dxa"/>
          </w:tcPr>
          <w:p w:rsidRPr="00B027DF" w:rsidR="009B30C8" w:rsidP="009B30C8" w:rsidRDefault="009B30C8" w14:paraId="2628C901" w14:textId="77777777">
            <w:pPr>
              <w:pStyle w:val="BodyText"/>
              <w:jc w:val="left"/>
              <w:rPr>
                <w:rFonts w:cs="Arial"/>
                <w:bCs/>
                <w:lang w:val="en-AU"/>
              </w:rPr>
            </w:pPr>
            <w:r w:rsidRPr="00B027DF">
              <w:rPr>
                <w:lang w:val="en-AU"/>
              </w:rPr>
              <w:t>References</w:t>
            </w:r>
          </w:p>
        </w:tc>
        <w:tc>
          <w:tcPr>
            <w:tcW w:w="6913" w:type="dxa"/>
          </w:tcPr>
          <w:p w:rsidRPr="009B30C8" w:rsidR="009B30C8" w:rsidP="009B30C8" w:rsidRDefault="009B30C8" w14:paraId="4F0C4D45"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Doyle LW, Cheong JL, Ehrenkranz RA, Halliday HL. Late (&gt; 7 days) systemic postnatal corticosteroids for prevention of bronchopulmonary dysplasia in preterm infants. Cochrane Database of Systematic Reviews. 2017(10).</w:t>
            </w:r>
          </w:p>
          <w:p w:rsidRPr="009B30C8" w:rsidR="009B30C8" w:rsidP="009B30C8" w:rsidRDefault="009B30C8" w14:paraId="25FD3885"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Doyle LW, Davis PG, Morley CJ, McPhee A, Carlin JB. Outcome at 2 years of age of infants from the DART study: A multicenter, international, randomized, controlled trial of low-dose dexamethasonef. Pediatrics. 2007;119(4):716-21.</w:t>
            </w:r>
          </w:p>
          <w:p w:rsidRPr="009B30C8" w:rsidR="009B30C8" w:rsidP="009B30C8" w:rsidRDefault="009B30C8" w14:paraId="7E6E01BB"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Cummings JJ, D'Eugenio DB, Gross SJ. A controlled trial of dexamethasone in preterm infants at high risk for bronchopulmonary dysplasia. New England Journal of Medicine. 1989;320(23):1505-10.</w:t>
            </w:r>
          </w:p>
          <w:p w:rsidRPr="009B30C8" w:rsidR="009B30C8" w:rsidP="009B30C8" w:rsidRDefault="009B30C8" w14:paraId="5D4564B5"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Marr BL, Mettelman BB, Bode MM, Gross SJ. Randomized trial of 42-day compared with 9-day courses of dexamethasone for the treatment of evolving bronchopulmonary dysplasia in extremely preterm infants. The Journal of pediatrics. 2019;211:20-6. e1.</w:t>
            </w:r>
          </w:p>
          <w:p w:rsidRPr="009B30C8" w:rsidR="009B30C8" w:rsidP="009B30C8" w:rsidRDefault="009B30C8" w14:paraId="4A3564AC"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Papile L-A, Tyson JE, Stoll BJ, Wright LL, Donovan EF, Bauer CR, et al. A multicenter trial of two dexamethasone regimens in ventilator-dependent premature infants. New England Journal of Medicine. 1998;338(16):1112-9.</w:t>
            </w:r>
          </w:p>
          <w:p w:rsidRPr="009B30C8" w:rsidR="009B30C8" w:rsidP="009B30C8" w:rsidRDefault="009B30C8" w14:paraId="7D63EA0E"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Davis PG, Henderson‐Smart DJ. Intravenous dexamethasone for extubation of newborn infants. Cochrane Database of Systematic Reviews. 2001(4).</w:t>
            </w:r>
          </w:p>
          <w:p w:rsidRPr="009B30C8" w:rsidR="009B30C8" w:rsidP="009B30C8" w:rsidRDefault="009B30C8" w14:paraId="7D17178A"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Toledo A, Amato CS, Clarke N, Reitz RE, Salo D. Injectable dexamethasone sodium phosphate administered orally? A pharmacokinetic analysis of a common emergency department practice. The Journal of Pediatric Pharmacology and Therapeutics. 2015;20(2):105-11.</w:t>
            </w:r>
          </w:p>
          <w:p w:rsidRPr="009B30C8" w:rsidR="009B30C8" w:rsidP="009B30C8" w:rsidRDefault="009B30C8" w14:paraId="79EEFE18"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Jackson M LA, eds. Handbook of Extemporaneous Preparation, Dexamethasone oral liquid and dexamethasone sodium phosphate oral liquid 2010.</w:t>
            </w:r>
          </w:p>
          <w:p w:rsidRPr="009B30C8" w:rsidR="009B30C8" w:rsidP="009B30C8" w:rsidRDefault="009B30C8" w14:paraId="6096CD63"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Chou JW-L, Decarie D, Dumont RJ, Ensom MH. Stability of dexamethasone in extemporaneously prepared oral suspensions. The Canadian Journal of Hospital Pharmacy. 2001;54(2).</w:t>
            </w:r>
          </w:p>
          <w:p w:rsidRPr="009B30C8" w:rsidR="009B30C8" w:rsidP="009B30C8" w:rsidRDefault="009B30C8" w14:paraId="145233BF"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Doyle LW, Halliday HL, Ehrenkranz RA, Davis PG, Sinclair JC. Impact of postnatal systemic corticosteroids on mortality and cerebral palsy in preterm infants: effect modification by risk for chronic lung disease. Pediatrics. 2005;115(3):655-61.</w:t>
            </w:r>
          </w:p>
          <w:p w:rsidRPr="009B30C8" w:rsidR="009B30C8" w:rsidP="009B30C8" w:rsidRDefault="009B30C8" w14:paraId="3097E5A1"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Doyle LW, Halliday HL, Ehrenkranz RA, Davis PG, Sinclair JC. An update on the impact of postnatal systemic corticosteroids on mortality and cerebral palsy in preterm infants: effect modification by risk of bronchopulmonary dysplasia. The Journal of pediatrics. 2014;165(6):1258-60.</w:t>
            </w:r>
          </w:p>
          <w:p w:rsidRPr="009B30C8" w:rsidR="009B30C8" w:rsidP="009B30C8" w:rsidRDefault="009B30C8" w14:paraId="4E5110A7"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Doyle LW, Ehrenkranz RA, Halliday HL. Early (&lt; 8 days) postnatal corticosteroids for preventing chronic lung disease in preterm infants. Cochrane Database of Systematic Reviews. 2014(5).</w:t>
            </w:r>
          </w:p>
          <w:p w:rsidRPr="009B30C8" w:rsidR="009B30C8" w:rsidP="009B30C8" w:rsidRDefault="009B30C8" w14:paraId="16F8B53B"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lastRenderedPageBreak/>
              <w:t>Onland W, De Jaegere AP, Offringa M, van Kaam A. Systemic corticosteroid regimens for prevention of bronchopulmonary dysplasia in preterm infants. Cochrane Database of Systematic Reviews. 2017(1).</w:t>
            </w:r>
          </w:p>
          <w:p w:rsidRPr="009B30C8" w:rsidR="009B30C8" w:rsidP="009B30C8" w:rsidRDefault="009B30C8" w14:paraId="5E4D54C0"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Doyle LW, Davis PG, Morley CJ, McPhee A, Carlin JB. Low-dose dexamethasone facilitates extubation among chronically ventilator-dependent infants: a multicenter, international, randomized, controlled trial. Pediatrics. 2006;117(1):75-83.</w:t>
            </w:r>
          </w:p>
          <w:p w:rsidRPr="009B30C8" w:rsidR="009B30C8" w:rsidP="009B30C8" w:rsidRDefault="009B30C8" w14:paraId="57B92C0E"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Bloomfield FH, Knight DB, Harding JE. Side effects of 2 different dexamethasone courses for preterm infants at risk of chronic lung disease: a randomized trial. The Journal of pediatrics. 1998;133(3):395-400.</w:t>
            </w:r>
          </w:p>
          <w:p w:rsidRPr="009B30C8" w:rsidR="009B30C8" w:rsidP="009B30C8" w:rsidRDefault="009B30C8" w14:paraId="75DBFAE9"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Walther FJ, Findlay RD, Durand M. Adrenal suppression and extubation rate after moderately early low-dose dexamethasone therapy in very preterm infants. Early human development. 2003;74(1):37-45.</w:t>
            </w:r>
          </w:p>
          <w:p w:rsidRPr="009B30C8" w:rsidR="009B30C8" w:rsidP="009B30C8" w:rsidRDefault="009B30C8" w14:paraId="1335B715"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Bourchier D, Weston P. The effect of dexamethasone upon platelets and neutrophils of preterm infants with chronic lung disease. Journal of paediatrics and child health. 1991;27(2):101-4.</w:t>
            </w:r>
          </w:p>
          <w:p w:rsidRPr="009B30C8" w:rsidR="009B30C8" w:rsidP="009B30C8" w:rsidRDefault="009B30C8" w14:paraId="0EBD4C9D"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Amin SB, Sinkin RA, McDermott MP, Kendig JW. Lipid intolerance in neonates receiving dexamethasone for bronchopulmonary dysplasia. Archives of pediatrics &amp; adolescent medicine. 1999;153(8):795-800.</w:t>
            </w:r>
            <w:r w:rsidRPr="009B30C8">
              <w:rPr>
                <w:rFonts w:asciiTheme="minorHAnsi" w:hAnsiTheme="minorHAnsi" w:cstheme="minorHAnsi"/>
                <w:sz w:val="16"/>
                <w:szCs w:val="16"/>
              </w:rPr>
              <w:tab/>
            </w:r>
          </w:p>
          <w:p w:rsidRPr="009B30C8" w:rsidR="009B30C8" w:rsidP="009B30C8" w:rsidRDefault="009B30C8" w14:paraId="0F30EE6B" w14:textId="77777777">
            <w:pPr>
              <w:pStyle w:val="ListParagraph"/>
              <w:numPr>
                <w:ilvl w:val="0"/>
                <w:numId w:val="164"/>
              </w:numPr>
              <w:rPr>
                <w:rFonts w:asciiTheme="minorHAnsi" w:hAnsiTheme="minorHAnsi" w:cstheme="minorHAnsi"/>
                <w:sz w:val="16"/>
                <w:szCs w:val="16"/>
              </w:rPr>
            </w:pPr>
            <w:r w:rsidRPr="009B30C8">
              <w:rPr>
                <w:rFonts w:asciiTheme="minorHAnsi" w:hAnsiTheme="minorHAnsi" w:cstheme="minorHAnsi"/>
                <w:sz w:val="16"/>
                <w:szCs w:val="16"/>
              </w:rPr>
              <w:t>Micromedex. Dexamethasone sodium phosphate. Accessed on 29 March 2021.</w:t>
            </w:r>
          </w:p>
          <w:p w:rsidRPr="009B30C8" w:rsidR="009B30C8" w:rsidP="009B30C8" w:rsidRDefault="009B30C8" w14:paraId="47E25FA1" w14:textId="63372801">
            <w:pPr>
              <w:pStyle w:val="ListParagraph"/>
              <w:numPr>
                <w:ilvl w:val="0"/>
                <w:numId w:val="24"/>
              </w:numPr>
              <w:rPr>
                <w:sz w:val="16"/>
                <w:szCs w:val="16"/>
              </w:rPr>
            </w:pPr>
            <w:r w:rsidRPr="009B30C8">
              <w:rPr>
                <w:rFonts w:asciiTheme="minorHAnsi" w:hAnsiTheme="minorHAnsi" w:cstheme="minorHAnsi"/>
                <w:sz w:val="16"/>
                <w:szCs w:val="16"/>
              </w:rPr>
              <w:t>Australian Injectable drugs handbook. Dexamethasone. Accessed on 29 March 20201.</w:t>
            </w:r>
          </w:p>
        </w:tc>
      </w:tr>
    </w:tbl>
    <w:p w:rsidRPr="00E25790" w:rsidR="00115F48" w:rsidP="006F0321" w:rsidRDefault="00115F48" w14:paraId="675B677C" w14:textId="77777777"/>
    <w:tbl>
      <w:tblPr>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395"/>
      </w:tblGrid>
      <w:tr w:rsidRPr="009A59C5" w:rsidR="00E424B4" w:rsidTr="00FC42DB" w14:paraId="4C3184F3" w14:textId="77777777">
        <w:tc>
          <w:tcPr>
            <w:tcW w:w="4111" w:type="dxa"/>
            <w:vAlign w:val="center"/>
          </w:tcPr>
          <w:p w:rsidRPr="009A59C5" w:rsidR="00BB0634" w:rsidP="00EC6FC6" w:rsidRDefault="00BB0634" w14:paraId="389DFDA1" w14:textId="77777777">
            <w:r w:rsidRPr="009A59C5">
              <w:t xml:space="preserve">Original version Date: </w:t>
            </w:r>
            <w:r>
              <w:t>4</w:t>
            </w:r>
            <w:r w:rsidRPr="009A59C5">
              <w:t>/11/2015</w:t>
            </w:r>
          </w:p>
        </w:tc>
        <w:tc>
          <w:tcPr>
            <w:tcW w:w="4395" w:type="dxa"/>
            <w:vAlign w:val="center"/>
          </w:tcPr>
          <w:p w:rsidRPr="009A59C5" w:rsidR="00BB0634" w:rsidP="00EC6FC6" w:rsidRDefault="00BB0634" w14:paraId="2017CD73" w14:textId="77777777">
            <w:r w:rsidRPr="009A59C5">
              <w:t>Author: NeoMed Consensus Group</w:t>
            </w:r>
          </w:p>
        </w:tc>
      </w:tr>
      <w:tr w:rsidRPr="009A59C5" w:rsidR="00E424B4" w:rsidTr="00FC42DB" w14:paraId="55560A87" w14:textId="77777777">
        <w:tc>
          <w:tcPr>
            <w:tcW w:w="4111" w:type="dxa"/>
            <w:vAlign w:val="center"/>
          </w:tcPr>
          <w:p w:rsidRPr="009A59C5" w:rsidR="00BB0634" w:rsidP="00EC6FC6" w:rsidRDefault="00BB0634" w14:paraId="22C645C1" w14:textId="126A3EA8">
            <w:pPr>
              <w:rPr>
                <w:bCs/>
              </w:rPr>
            </w:pPr>
            <w:r w:rsidRPr="009A59C5">
              <w:t xml:space="preserve">Current Version number:  </w:t>
            </w:r>
            <w:r w:rsidR="00BD68E7">
              <w:t>5</w:t>
            </w:r>
          </w:p>
        </w:tc>
        <w:tc>
          <w:tcPr>
            <w:tcW w:w="4395" w:type="dxa"/>
            <w:vAlign w:val="center"/>
          </w:tcPr>
          <w:p w:rsidRPr="009A59C5" w:rsidR="00BB0634" w:rsidP="00EC6FC6" w:rsidRDefault="00BB0634" w14:paraId="2B6ED109" w14:textId="6A08EFCD">
            <w:r w:rsidRPr="009A59C5">
              <w:t xml:space="preserve">Current Version Date:  </w:t>
            </w:r>
            <w:r w:rsidR="00BD68E7">
              <w:t>18-6-2021</w:t>
            </w:r>
          </w:p>
        </w:tc>
      </w:tr>
      <w:tr w:rsidRPr="009A59C5" w:rsidR="00E424B4" w:rsidTr="00FC42DB" w14:paraId="5B2B81C0" w14:textId="77777777">
        <w:tc>
          <w:tcPr>
            <w:tcW w:w="4111" w:type="dxa"/>
            <w:vAlign w:val="center"/>
          </w:tcPr>
          <w:p w:rsidRPr="009A59C5" w:rsidR="00BB0634" w:rsidP="00EC6FC6" w:rsidRDefault="00BB0634" w14:paraId="60DEC916" w14:textId="7CA9F36F">
            <w:r w:rsidRPr="009A59C5">
              <w:t xml:space="preserve">Risk Rating: </w:t>
            </w:r>
            <w:r w:rsidR="00BD68E7">
              <w:t>Low</w:t>
            </w:r>
          </w:p>
        </w:tc>
        <w:tc>
          <w:tcPr>
            <w:tcW w:w="4395" w:type="dxa"/>
            <w:vAlign w:val="center"/>
          </w:tcPr>
          <w:p w:rsidRPr="009A59C5" w:rsidR="00BB0634" w:rsidP="00EC6FC6" w:rsidRDefault="00BB0634" w14:paraId="5DD54E59" w14:textId="45E6041E">
            <w:r w:rsidRPr="009A59C5">
              <w:t xml:space="preserve">Due for Review:  </w:t>
            </w:r>
            <w:r w:rsidR="00BD68E7">
              <w:t>18-6-2026</w:t>
            </w:r>
          </w:p>
        </w:tc>
      </w:tr>
      <w:tr w:rsidRPr="009A59C5" w:rsidR="00E424B4" w:rsidTr="00FC42DB" w14:paraId="0286BE80" w14:textId="77777777">
        <w:trPr>
          <w:trHeight w:val="344"/>
        </w:trPr>
        <w:tc>
          <w:tcPr>
            <w:tcW w:w="4111" w:type="dxa"/>
            <w:tcBorders>
              <w:bottom w:val="single" w:color="auto" w:sz="4" w:space="0"/>
            </w:tcBorders>
            <w:vAlign w:val="center"/>
          </w:tcPr>
          <w:p w:rsidRPr="009A59C5" w:rsidR="00BB0634" w:rsidP="00EC6FC6" w:rsidRDefault="00BB0634" w14:paraId="2F1D7F4A" w14:textId="77777777">
            <w:r w:rsidRPr="009A59C5">
              <w:t xml:space="preserve">Approval by: </w:t>
            </w:r>
            <w:r>
              <w:t>DTC</w:t>
            </w:r>
          </w:p>
        </w:tc>
        <w:tc>
          <w:tcPr>
            <w:tcW w:w="4395" w:type="dxa"/>
            <w:tcBorders>
              <w:bottom w:val="single" w:color="auto" w:sz="4" w:space="0"/>
            </w:tcBorders>
            <w:vAlign w:val="center"/>
          </w:tcPr>
          <w:p w:rsidRPr="009A59C5" w:rsidR="00BB0634" w:rsidP="00EC6FC6" w:rsidRDefault="00BB0634" w14:paraId="19A8F9E0" w14:textId="77777777">
            <w:r w:rsidRPr="009A59C5">
              <w:t>Approval Date:</w:t>
            </w:r>
            <w:r>
              <w:t xml:space="preserve"> April 2020</w:t>
            </w:r>
          </w:p>
        </w:tc>
      </w:tr>
    </w:tbl>
    <w:p w:rsidRPr="00E25790" w:rsidR="00115F48" w:rsidP="006F0321" w:rsidRDefault="00115F48" w14:paraId="0646E9DA" w14:textId="77777777"/>
    <w:p w:rsidR="00E66269" w:rsidP="006F0321" w:rsidRDefault="00E66269" w14:paraId="608D4D43" w14:textId="77777777"/>
    <w:p w:rsidR="00E66269" w:rsidP="006F0321" w:rsidRDefault="00E66269" w14:paraId="6F56F93B" w14:textId="77777777"/>
    <w:p w:rsidR="00E66269" w:rsidP="006F0321" w:rsidRDefault="00E66269" w14:paraId="1414E951" w14:textId="77777777"/>
    <w:p w:rsidR="00E66269" w:rsidP="006F0321" w:rsidRDefault="00E66269" w14:paraId="319979DD" w14:textId="77777777"/>
    <w:p w:rsidR="00E66269" w:rsidP="006F0321" w:rsidRDefault="00E66269" w14:paraId="516D2433" w14:textId="77777777"/>
    <w:p w:rsidR="00E66269" w:rsidP="006F0321" w:rsidRDefault="00E66269" w14:paraId="5A329592" w14:textId="77777777"/>
    <w:p w:rsidR="00E66269" w:rsidP="006F0321" w:rsidRDefault="00E66269" w14:paraId="73B8718E" w14:textId="77777777"/>
    <w:p w:rsidR="00E66269" w:rsidP="006F0321" w:rsidRDefault="00E66269" w14:paraId="5F58E9E4" w14:textId="77777777"/>
    <w:p w:rsidR="00E66269" w:rsidP="006F0321" w:rsidRDefault="00E66269" w14:paraId="4E676E21" w14:textId="77777777"/>
    <w:p w:rsidR="00E66269" w:rsidP="006F0321" w:rsidRDefault="00E66269" w14:paraId="11000166" w14:textId="77777777"/>
    <w:p w:rsidR="00E66269" w:rsidP="006F0321" w:rsidRDefault="00E66269" w14:paraId="36996F40" w14:textId="77777777"/>
    <w:p w:rsidR="00E66269" w:rsidP="006F0321" w:rsidRDefault="00E66269" w14:paraId="39BF6230" w14:textId="77777777"/>
    <w:p w:rsidR="00E66269" w:rsidP="006F0321" w:rsidRDefault="00E66269" w14:paraId="2BAAE5F3" w14:textId="77777777"/>
    <w:p w:rsidR="00E66269" w:rsidP="006F0321" w:rsidRDefault="00E66269" w14:paraId="18C9EE8B" w14:textId="77777777"/>
    <w:p w:rsidR="00E66269" w:rsidP="006F0321" w:rsidRDefault="00E66269" w14:paraId="0DF6C7C5" w14:textId="77777777"/>
    <w:p w:rsidR="00E66269" w:rsidP="006F0321" w:rsidRDefault="00E66269" w14:paraId="5FA7DEBC" w14:textId="77777777"/>
    <w:p w:rsidR="00E66269" w:rsidP="006F0321" w:rsidRDefault="00E66269" w14:paraId="3CFABC18" w14:textId="77777777"/>
    <w:p w:rsidR="00E66269" w:rsidP="006F0321" w:rsidRDefault="00E66269" w14:paraId="1F8C69D6" w14:textId="77777777"/>
    <w:p w:rsidR="00E66269" w:rsidP="006F0321" w:rsidRDefault="00E66269" w14:paraId="65C1B35C" w14:textId="77777777"/>
    <w:p w:rsidR="00E66269" w:rsidP="006F0321" w:rsidRDefault="00E66269" w14:paraId="5BE4D5FE" w14:textId="77777777"/>
    <w:p w:rsidR="00E66269" w:rsidP="006F0321" w:rsidRDefault="00E66269" w14:paraId="101B537C" w14:textId="77777777"/>
    <w:p w:rsidR="00E66269" w:rsidP="006F0321" w:rsidRDefault="00E66269" w14:paraId="5898BCF9" w14:textId="77777777"/>
    <w:p w:rsidR="00E66269" w:rsidP="006F0321" w:rsidRDefault="00E66269" w14:paraId="053F538B" w14:textId="77777777"/>
    <w:p w:rsidR="00E66269" w:rsidP="006F0321" w:rsidRDefault="00E66269" w14:paraId="3D944AAE" w14:textId="77777777"/>
    <w:p w:rsidR="00E66269" w:rsidP="006F0321" w:rsidRDefault="00E66269" w14:paraId="4862C38D" w14:textId="77777777"/>
    <w:p w:rsidR="00E66269" w:rsidP="006F0321" w:rsidRDefault="00E66269" w14:paraId="3EA9FBCB" w14:textId="77777777"/>
    <w:tbl>
      <w:tblPr>
        <w:tblW w:w="9049" w:type="dxa"/>
        <w:tblLayout w:type="fixed"/>
        <w:tblLook w:val="0000" w:firstRow="0" w:lastRow="0" w:firstColumn="0" w:lastColumn="0" w:noHBand="0" w:noVBand="0"/>
      </w:tblPr>
      <w:tblGrid>
        <w:gridCol w:w="4153"/>
        <w:gridCol w:w="4896"/>
      </w:tblGrid>
      <w:tr w:rsidRPr="00E25790" w:rsidR="00E66269" w:rsidTr="00E525C7" w14:paraId="5418697C"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E66269" w:rsidP="00A65F20" w:rsidRDefault="00E66269" w14:paraId="5754323E" w14:textId="37BC10B0">
            <w:pPr>
              <w:pStyle w:val="Heading1"/>
            </w:pPr>
            <w:bookmarkStart w:name="_Toc75339959" w:id="176"/>
            <w:r w:rsidRPr="00E25790">
              <w:lastRenderedPageBreak/>
              <w:t>Dex</w:t>
            </w:r>
            <w:r>
              <w:t>me</w:t>
            </w:r>
            <w:r w:rsidR="00B376F7">
              <w:t>detomidine</w:t>
            </w:r>
            <w:bookmarkEnd w:id="176"/>
            <w:r w:rsidRPr="00E25790">
              <w:fldChar w:fldCharType="begin"/>
            </w:r>
            <w:r w:rsidRPr="00E25790">
              <w:instrText>tc "Dexamethasone" \l 0</w:instrText>
            </w:r>
            <w:r w:rsidRPr="00E25790">
              <w:fldChar w:fldCharType="end"/>
            </w:r>
          </w:p>
        </w:tc>
      </w:tr>
      <w:tr w:rsidRPr="00E25790" w:rsidR="00E66269" w:rsidTr="00E525C7" w14:paraId="146FD4D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E66269" w:rsidP="00E525C7" w:rsidRDefault="00E66269" w14:paraId="4793A8A4" w14:textId="0B331488">
            <w:r w:rsidRPr="00E25790">
              <w:t>Revision Date</w:t>
            </w:r>
            <w:r w:rsidRPr="00E25790">
              <w:rPr>
                <w:b/>
              </w:rPr>
              <w:t xml:space="preserve"> : </w:t>
            </w:r>
            <w:r w:rsidR="00E13368">
              <w:rPr>
                <w:b/>
              </w:rPr>
              <w:t>18-2-2021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E66269" w:rsidP="00E525C7" w:rsidRDefault="00E66269" w14:paraId="06B97951" w14:textId="77777777">
            <w:r w:rsidRPr="00E25790">
              <w:t>Approved : TC, KOH</w:t>
            </w:r>
          </w:p>
        </w:tc>
      </w:tr>
    </w:tbl>
    <w:p w:rsidR="00E66269" w:rsidP="006F0321" w:rsidRDefault="00E66269" w14:paraId="390AC84B"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6"/>
        <w:gridCol w:w="7948"/>
      </w:tblGrid>
      <w:tr w:rsidRPr="003A7895" w:rsidR="006F04FD" w:rsidTr="00204576" w14:paraId="4DA7D352" w14:textId="77777777">
        <w:trPr>
          <w:trHeight w:val="70"/>
        </w:trPr>
        <w:tc>
          <w:tcPr>
            <w:tcW w:w="875" w:type="pct"/>
          </w:tcPr>
          <w:p w:rsidRPr="00B53E9B" w:rsidR="006F04FD" w:rsidP="00FE4186" w:rsidRDefault="006F04FD" w14:paraId="3A49631D"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4125" w:type="pct"/>
          </w:tcPr>
          <w:p w:rsidR="006F04FD" w:rsidP="00FE4186" w:rsidRDefault="006F04FD" w14:paraId="2C6C14FF" w14:textId="77777777">
            <w:pPr>
              <w:pStyle w:val="BodyText"/>
              <w:rPr>
                <w:sz w:val="20"/>
                <w:lang w:val="en-AU"/>
              </w:rPr>
            </w:pPr>
            <w:r>
              <w:rPr>
                <w:sz w:val="20"/>
                <w:lang w:val="en-AU"/>
              </w:rPr>
              <w:t>Use only where cardiac monitoring and cardiorespiratory resuscitation equipment are available.</w:t>
            </w:r>
          </w:p>
          <w:p w:rsidR="006F04FD" w:rsidP="00FE4186" w:rsidRDefault="006F04FD" w14:paraId="496E3CB9" w14:textId="77777777">
            <w:pPr>
              <w:pStyle w:val="BodyText"/>
              <w:rPr>
                <w:sz w:val="20"/>
              </w:rPr>
            </w:pPr>
            <w:r w:rsidRPr="000037F0">
              <w:rPr>
                <w:sz w:val="20"/>
              </w:rPr>
              <w:t>Dexmedetomidine is not FDA or TGA approved for use in children</w:t>
            </w:r>
            <w:r>
              <w:rPr>
                <w:sz w:val="20"/>
              </w:rPr>
              <w:t>.</w:t>
            </w:r>
          </w:p>
          <w:p w:rsidRPr="00A3010E" w:rsidR="006F04FD" w:rsidP="00FE4186" w:rsidRDefault="006F04FD" w14:paraId="251C66FE" w14:textId="77777777">
            <w:pPr>
              <w:pStyle w:val="BodyText"/>
              <w:rPr>
                <w:sz w:val="20"/>
                <w:lang w:val="en-AU"/>
              </w:rPr>
            </w:pPr>
            <w:r>
              <w:rPr>
                <w:sz w:val="20"/>
              </w:rPr>
              <w:t xml:space="preserve">There </w:t>
            </w:r>
            <w:r>
              <w:rPr>
                <w:sz w:val="20"/>
                <w:lang w:val="en-AU"/>
              </w:rPr>
              <w:t>are</w:t>
            </w:r>
            <w:r>
              <w:rPr>
                <w:sz w:val="20"/>
              </w:rPr>
              <w:t xml:space="preserve"> insufficient trial data evaluating the use of </w:t>
            </w:r>
            <w:r>
              <w:rPr>
                <w:sz w:val="20"/>
                <w:lang w:val="en-AU"/>
              </w:rPr>
              <w:t>d</w:t>
            </w:r>
            <w:r w:rsidRPr="000037F0">
              <w:rPr>
                <w:sz w:val="20"/>
              </w:rPr>
              <w:t>exmedetomidine</w:t>
            </w:r>
            <w:r>
              <w:rPr>
                <w:sz w:val="20"/>
              </w:rPr>
              <w:t xml:space="preserve"> in newborn infants.</w:t>
            </w:r>
          </w:p>
        </w:tc>
      </w:tr>
      <w:tr w:rsidRPr="003A7895" w:rsidR="006F04FD" w:rsidTr="00204576" w14:paraId="40A880A9" w14:textId="77777777">
        <w:trPr>
          <w:trHeight w:val="72"/>
        </w:trPr>
        <w:tc>
          <w:tcPr>
            <w:tcW w:w="875" w:type="pct"/>
          </w:tcPr>
          <w:p w:rsidRPr="00B53E9B" w:rsidR="006F04FD" w:rsidP="00FE4186" w:rsidRDefault="006F04FD" w14:paraId="3A62E1B5" w14:textId="77777777">
            <w:pPr>
              <w:pStyle w:val="BodyText"/>
              <w:rPr>
                <w:rFonts w:cs="Arial"/>
                <w:sz w:val="20"/>
                <w:lang w:val="en-AU"/>
              </w:rPr>
            </w:pPr>
            <w:r w:rsidRPr="00B53E9B">
              <w:rPr>
                <w:rFonts w:cs="Arial"/>
                <w:b/>
                <w:bCs/>
                <w:sz w:val="20"/>
                <w:lang w:val="en-AU"/>
              </w:rPr>
              <w:t>Indication</w:t>
            </w:r>
          </w:p>
        </w:tc>
        <w:tc>
          <w:tcPr>
            <w:tcW w:w="4125" w:type="pct"/>
          </w:tcPr>
          <w:p w:rsidR="006F04FD" w:rsidP="00FE4186" w:rsidRDefault="006F04FD" w14:paraId="7E79AC53" w14:textId="77777777">
            <w:pPr>
              <w:rPr>
                <w:sz w:val="20"/>
              </w:rPr>
            </w:pPr>
            <w:r w:rsidRPr="002A6C12">
              <w:rPr>
                <w:sz w:val="20"/>
              </w:rPr>
              <w:t>Sedation for agitated ventilated patients</w:t>
            </w:r>
            <w:r>
              <w:rPr>
                <w:sz w:val="20"/>
              </w:rPr>
              <w:t>.</w:t>
            </w:r>
          </w:p>
          <w:p w:rsidR="006F04FD" w:rsidP="00FE4186" w:rsidRDefault="006F04FD" w14:paraId="1CD4E89C" w14:textId="77777777">
            <w:pPr>
              <w:rPr>
                <w:sz w:val="20"/>
              </w:rPr>
            </w:pPr>
            <w:r>
              <w:rPr>
                <w:sz w:val="20"/>
              </w:rPr>
              <w:t>Adjunct therapy</w:t>
            </w:r>
            <w:r w:rsidRPr="002A6C12">
              <w:rPr>
                <w:sz w:val="20"/>
              </w:rPr>
              <w:t xml:space="preserve"> with inhalational anaesthesia for </w:t>
            </w:r>
            <w:r>
              <w:rPr>
                <w:sz w:val="20"/>
              </w:rPr>
              <w:t>both perioperative and postoperative procedures.</w:t>
            </w:r>
          </w:p>
          <w:p w:rsidRPr="00A4414D" w:rsidR="006F04FD" w:rsidP="00FE4186" w:rsidRDefault="006F04FD" w14:paraId="2EEC7746" w14:textId="77777777">
            <w:pPr>
              <w:rPr>
                <w:sz w:val="20"/>
              </w:rPr>
            </w:pPr>
            <w:r>
              <w:rPr>
                <w:sz w:val="20"/>
              </w:rPr>
              <w:t>S</w:t>
            </w:r>
            <w:r w:rsidRPr="002A6C12">
              <w:rPr>
                <w:sz w:val="20"/>
              </w:rPr>
              <w:t>edation with nerve block</w:t>
            </w:r>
            <w:r>
              <w:rPr>
                <w:sz w:val="20"/>
              </w:rPr>
              <w:t>ing agent</w:t>
            </w:r>
            <w:r w:rsidRPr="002A6C12">
              <w:rPr>
                <w:sz w:val="20"/>
              </w:rPr>
              <w:t>s for surgical procedures</w:t>
            </w:r>
            <w:r>
              <w:rPr>
                <w:sz w:val="20"/>
              </w:rPr>
              <w:t>.</w:t>
            </w:r>
          </w:p>
        </w:tc>
      </w:tr>
      <w:tr w:rsidRPr="003A7895" w:rsidR="006F04FD" w:rsidTr="00204576" w14:paraId="0F8F5F4D" w14:textId="77777777">
        <w:trPr>
          <w:trHeight w:val="70"/>
        </w:trPr>
        <w:tc>
          <w:tcPr>
            <w:tcW w:w="875" w:type="pct"/>
          </w:tcPr>
          <w:p w:rsidRPr="00B53E9B" w:rsidR="006F04FD" w:rsidP="00FE4186" w:rsidRDefault="006F04FD" w14:paraId="1B5CB122" w14:textId="77777777">
            <w:pPr>
              <w:pStyle w:val="BodyText"/>
              <w:rPr>
                <w:rFonts w:cs="Arial"/>
                <w:b/>
                <w:bCs/>
                <w:sz w:val="20"/>
                <w:lang w:val="en-AU"/>
              </w:rPr>
            </w:pPr>
            <w:r w:rsidRPr="00B53E9B">
              <w:rPr>
                <w:rFonts w:cs="Arial"/>
                <w:b/>
                <w:bCs/>
                <w:sz w:val="20"/>
                <w:lang w:val="en-AU"/>
              </w:rPr>
              <w:t>Action</w:t>
            </w:r>
          </w:p>
        </w:tc>
        <w:tc>
          <w:tcPr>
            <w:tcW w:w="4125" w:type="pct"/>
          </w:tcPr>
          <w:p w:rsidRPr="001F6180" w:rsidR="006F04FD" w:rsidP="00FE4186" w:rsidRDefault="006F04FD" w14:paraId="4E0421BE" w14:textId="77777777">
            <w:pPr>
              <w:rPr>
                <w:rFonts w:cs="Arial"/>
                <w:sz w:val="20"/>
              </w:rPr>
            </w:pPr>
            <w:r>
              <w:rPr>
                <w:rFonts w:cs="Arial"/>
                <w:sz w:val="20"/>
              </w:rPr>
              <w:t>C</w:t>
            </w:r>
            <w:r w:rsidRPr="00EB595A">
              <w:rPr>
                <w:rFonts w:cs="Arial"/>
                <w:sz w:val="20"/>
              </w:rPr>
              <w:t>entrally acting α2-agonist with</w:t>
            </w:r>
            <w:r>
              <w:rPr>
                <w:rFonts w:cs="Arial"/>
                <w:sz w:val="20"/>
              </w:rPr>
              <w:t xml:space="preserve"> </w:t>
            </w:r>
            <w:r w:rsidRPr="00EB595A">
              <w:rPr>
                <w:rFonts w:cs="Arial"/>
                <w:sz w:val="20"/>
              </w:rPr>
              <w:t>sedative, anxiolytic, sympatholytic and analgo</w:t>
            </w:r>
            <w:r>
              <w:rPr>
                <w:rFonts w:cs="Arial"/>
                <w:sz w:val="20"/>
              </w:rPr>
              <w:t>-</w:t>
            </w:r>
            <w:r w:rsidRPr="00EB595A">
              <w:rPr>
                <w:rFonts w:cs="Arial"/>
                <w:sz w:val="20"/>
              </w:rPr>
              <w:t>sedative properties.</w:t>
            </w:r>
            <w:r>
              <w:rPr>
                <w:rFonts w:cs="Arial"/>
                <w:sz w:val="20"/>
              </w:rPr>
              <w:t xml:space="preserve"> </w:t>
            </w:r>
            <w:r w:rsidRPr="00EB595A">
              <w:rPr>
                <w:rFonts w:cs="Arial"/>
                <w:sz w:val="20"/>
              </w:rPr>
              <w:t>H</w:t>
            </w:r>
            <w:r>
              <w:rPr>
                <w:rFonts w:cs="Arial"/>
                <w:sz w:val="20"/>
              </w:rPr>
              <w:t>a</w:t>
            </w:r>
            <w:r w:rsidRPr="00EB595A">
              <w:rPr>
                <w:rFonts w:cs="Arial"/>
                <w:sz w:val="20"/>
              </w:rPr>
              <w:t>emodynamic effects</w:t>
            </w:r>
            <w:r>
              <w:rPr>
                <w:rFonts w:cs="Arial"/>
                <w:sz w:val="20"/>
              </w:rPr>
              <w:t xml:space="preserve"> </w:t>
            </w:r>
            <w:r w:rsidRPr="00EB595A">
              <w:rPr>
                <w:rFonts w:cs="Arial"/>
                <w:sz w:val="20"/>
              </w:rPr>
              <w:t>includ</w:t>
            </w:r>
            <w:r>
              <w:rPr>
                <w:rFonts w:cs="Arial"/>
                <w:sz w:val="20"/>
              </w:rPr>
              <w:t xml:space="preserve">ing </w:t>
            </w:r>
            <w:r w:rsidRPr="00EB595A">
              <w:rPr>
                <w:rFonts w:cs="Arial"/>
                <w:sz w:val="20"/>
              </w:rPr>
              <w:t>transient hypertensio</w:t>
            </w:r>
            <w:r>
              <w:rPr>
                <w:rFonts w:cs="Arial"/>
                <w:sz w:val="20"/>
              </w:rPr>
              <w:t xml:space="preserve">n, bradycardia and hypotension </w:t>
            </w:r>
            <w:r w:rsidRPr="00EB595A">
              <w:rPr>
                <w:rFonts w:cs="Arial"/>
                <w:sz w:val="20"/>
              </w:rPr>
              <w:t>result</w:t>
            </w:r>
            <w:r>
              <w:rPr>
                <w:rFonts w:cs="Arial"/>
                <w:sz w:val="20"/>
              </w:rPr>
              <w:t>ing</w:t>
            </w:r>
            <w:r w:rsidRPr="00EB595A">
              <w:rPr>
                <w:rFonts w:cs="Arial"/>
                <w:sz w:val="20"/>
              </w:rPr>
              <w:t xml:space="preserve"> from the drug’s peripheral vasoconstrictive and</w:t>
            </w:r>
            <w:r>
              <w:rPr>
                <w:rFonts w:cs="Arial"/>
                <w:sz w:val="20"/>
              </w:rPr>
              <w:t xml:space="preserve"> </w:t>
            </w:r>
            <w:r w:rsidRPr="00EB595A">
              <w:rPr>
                <w:rFonts w:cs="Arial"/>
                <w:sz w:val="20"/>
              </w:rPr>
              <w:t>sympatholytic properties. Dexmedetomidine exerts its</w:t>
            </w:r>
            <w:r>
              <w:rPr>
                <w:rFonts w:cs="Arial"/>
                <w:sz w:val="20"/>
              </w:rPr>
              <w:t xml:space="preserve"> </w:t>
            </w:r>
            <w:r w:rsidRPr="00EB595A">
              <w:rPr>
                <w:rFonts w:cs="Arial"/>
                <w:sz w:val="20"/>
              </w:rPr>
              <w:t>hypnotic action through activation of central pre- and</w:t>
            </w:r>
            <w:r>
              <w:rPr>
                <w:rFonts w:cs="Arial"/>
                <w:sz w:val="20"/>
              </w:rPr>
              <w:t xml:space="preserve"> </w:t>
            </w:r>
            <w:r w:rsidRPr="00EB595A">
              <w:rPr>
                <w:rFonts w:cs="Arial"/>
                <w:sz w:val="20"/>
              </w:rPr>
              <w:t xml:space="preserve">postsynaptic α2-receptors in the locus coeruleus, </w:t>
            </w:r>
            <w:r>
              <w:rPr>
                <w:rFonts w:cs="Arial"/>
                <w:sz w:val="20"/>
              </w:rPr>
              <w:t>inducing a</w:t>
            </w:r>
            <w:r w:rsidRPr="00EB595A">
              <w:rPr>
                <w:rFonts w:cs="Arial"/>
                <w:sz w:val="20"/>
              </w:rPr>
              <w:t xml:space="preserve"> state of unconsciousness similar to natural</w:t>
            </w:r>
            <w:r>
              <w:rPr>
                <w:rFonts w:cs="Arial"/>
                <w:sz w:val="20"/>
              </w:rPr>
              <w:t xml:space="preserve"> </w:t>
            </w:r>
            <w:r w:rsidRPr="00EB595A">
              <w:rPr>
                <w:rFonts w:cs="Arial"/>
                <w:sz w:val="20"/>
              </w:rPr>
              <w:t>sleep</w:t>
            </w:r>
            <w:r>
              <w:rPr>
                <w:rFonts w:cs="Arial"/>
                <w:sz w:val="20"/>
              </w:rPr>
              <w:t xml:space="preserve">, except patients remain </w:t>
            </w:r>
            <w:r w:rsidRPr="00EB595A">
              <w:rPr>
                <w:rFonts w:cs="Arial"/>
                <w:sz w:val="20"/>
              </w:rPr>
              <w:t>rousable</w:t>
            </w:r>
            <w:r>
              <w:rPr>
                <w:rFonts w:cs="Arial"/>
                <w:sz w:val="20"/>
              </w:rPr>
              <w:t>.</w:t>
            </w:r>
            <w:r>
              <w:rPr>
                <w:rFonts w:cs="Arial"/>
                <w:noProof/>
                <w:sz w:val="20"/>
              </w:rPr>
              <w:t>[1, 2]</w:t>
            </w:r>
          </w:p>
        </w:tc>
      </w:tr>
      <w:tr w:rsidRPr="003A7895" w:rsidR="006F04FD" w:rsidTr="00204576" w14:paraId="70EDFCAF" w14:textId="77777777">
        <w:trPr>
          <w:trHeight w:val="266"/>
        </w:trPr>
        <w:tc>
          <w:tcPr>
            <w:tcW w:w="875" w:type="pct"/>
          </w:tcPr>
          <w:p w:rsidRPr="00B53E9B" w:rsidR="006F04FD" w:rsidP="00FE4186" w:rsidRDefault="006F04FD" w14:paraId="0A47C852"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4125" w:type="pct"/>
          </w:tcPr>
          <w:p w:rsidRPr="00A4414D" w:rsidR="006F04FD" w:rsidP="00FE4186" w:rsidRDefault="006F04FD" w14:paraId="7EDC9FDE" w14:textId="77777777">
            <w:pPr>
              <w:pStyle w:val="BodyText"/>
              <w:rPr>
                <w:rFonts w:cs="Arial"/>
                <w:sz w:val="20"/>
              </w:rPr>
            </w:pPr>
            <w:r w:rsidRPr="0039088B">
              <w:rPr>
                <w:rFonts w:cs="Arial"/>
                <w:sz w:val="20"/>
              </w:rPr>
              <w:t>Central Nervous System - Sedative, hypnotic</w:t>
            </w:r>
            <w:r>
              <w:rPr>
                <w:rFonts w:cs="Arial"/>
                <w:sz w:val="20"/>
              </w:rPr>
              <w:t xml:space="preserve"> - </w:t>
            </w:r>
            <w:r w:rsidRPr="0039088B">
              <w:rPr>
                <w:rFonts w:cs="Arial"/>
                <w:sz w:val="20"/>
              </w:rPr>
              <w:t>centrally acting α2-agonist</w:t>
            </w:r>
          </w:p>
        </w:tc>
      </w:tr>
      <w:tr w:rsidRPr="003A7895" w:rsidR="006F04FD" w:rsidTr="00204576" w14:paraId="16B0418F" w14:textId="77777777">
        <w:trPr>
          <w:trHeight w:val="114"/>
        </w:trPr>
        <w:tc>
          <w:tcPr>
            <w:tcW w:w="875" w:type="pct"/>
          </w:tcPr>
          <w:p w:rsidRPr="00B53E9B" w:rsidR="006F04FD" w:rsidP="00FE4186" w:rsidRDefault="006F04FD" w14:paraId="7503BB49"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4125" w:type="pct"/>
          </w:tcPr>
          <w:p w:rsidR="006F04FD" w:rsidP="00FE4186" w:rsidRDefault="006F04FD" w14:paraId="2B34C726" w14:textId="77777777">
            <w:pPr>
              <w:pStyle w:val="BodyText"/>
              <w:rPr>
                <w:rFonts w:cs="Arial"/>
                <w:sz w:val="20"/>
              </w:rPr>
            </w:pPr>
            <w:r>
              <w:rPr>
                <w:rFonts w:cs="Arial"/>
                <w:sz w:val="20"/>
              </w:rPr>
              <w:t xml:space="preserve">Dexmedetomidine </w:t>
            </w:r>
            <w:r>
              <w:rPr>
                <w:rFonts w:cs="Arial"/>
                <w:sz w:val="20"/>
                <w:lang w:val="en-AU"/>
              </w:rPr>
              <w:t>Mylan</w:t>
            </w:r>
            <w:r>
              <w:rPr>
                <w:rFonts w:cs="Arial"/>
                <w:sz w:val="20"/>
              </w:rPr>
              <w:t xml:space="preserve"> C</w:t>
            </w:r>
            <w:r w:rsidRPr="00845824">
              <w:rPr>
                <w:rFonts w:cs="Arial"/>
                <w:sz w:val="20"/>
              </w:rPr>
              <w:t>oncentrate for infusion</w:t>
            </w:r>
          </w:p>
          <w:p w:rsidR="006F04FD" w:rsidP="00FE4186" w:rsidRDefault="006F04FD" w14:paraId="22C8B860" w14:textId="77777777">
            <w:pPr>
              <w:pStyle w:val="BodyText"/>
              <w:rPr>
                <w:rFonts w:cs="Arial"/>
                <w:sz w:val="20"/>
              </w:rPr>
            </w:pPr>
            <w:r>
              <w:rPr>
                <w:rFonts w:cs="Arial"/>
                <w:sz w:val="20"/>
              </w:rPr>
              <w:t xml:space="preserve">Dexmedetomidine </w:t>
            </w:r>
            <w:r>
              <w:rPr>
                <w:rFonts w:cs="Arial"/>
                <w:sz w:val="20"/>
                <w:lang w:val="en-AU"/>
              </w:rPr>
              <w:t>Ever Pharma</w:t>
            </w:r>
            <w:r>
              <w:rPr>
                <w:rFonts w:cs="Arial"/>
                <w:sz w:val="20"/>
              </w:rPr>
              <w:t xml:space="preserve"> C</w:t>
            </w:r>
            <w:r w:rsidRPr="00845824">
              <w:rPr>
                <w:rFonts w:cs="Arial"/>
                <w:sz w:val="20"/>
              </w:rPr>
              <w:t>oncentrate for infusion</w:t>
            </w:r>
          </w:p>
          <w:p w:rsidR="006F04FD" w:rsidP="00FE4186" w:rsidRDefault="006F04FD" w14:paraId="0955FDDD" w14:textId="77777777">
            <w:pPr>
              <w:pStyle w:val="BodyText"/>
              <w:rPr>
                <w:rFonts w:cs="Arial"/>
                <w:sz w:val="20"/>
              </w:rPr>
            </w:pPr>
            <w:r>
              <w:rPr>
                <w:rFonts w:cs="Arial"/>
                <w:sz w:val="20"/>
              </w:rPr>
              <w:t>Dexmedetomidine Sandoz C</w:t>
            </w:r>
            <w:r w:rsidRPr="00845824">
              <w:rPr>
                <w:rFonts w:cs="Arial"/>
                <w:sz w:val="20"/>
              </w:rPr>
              <w:t>oncentrate for infusion</w:t>
            </w:r>
          </w:p>
          <w:p w:rsidR="006F04FD" w:rsidP="00FE4186" w:rsidRDefault="006F04FD" w14:paraId="42F8C999" w14:textId="77777777">
            <w:pPr>
              <w:pStyle w:val="BodyText"/>
              <w:rPr>
                <w:rFonts w:cs="Arial"/>
                <w:sz w:val="20"/>
              </w:rPr>
            </w:pPr>
            <w:r w:rsidRPr="00845824">
              <w:rPr>
                <w:rFonts w:cs="Arial"/>
                <w:sz w:val="20"/>
              </w:rPr>
              <w:t>Dexmedetomidine</w:t>
            </w:r>
            <w:r>
              <w:rPr>
                <w:rFonts w:cs="Arial"/>
                <w:sz w:val="20"/>
              </w:rPr>
              <w:t>-Teva C</w:t>
            </w:r>
            <w:r w:rsidRPr="00845824">
              <w:rPr>
                <w:rFonts w:cs="Arial"/>
                <w:sz w:val="20"/>
              </w:rPr>
              <w:t>oncentrate for infusion</w:t>
            </w:r>
          </w:p>
          <w:p w:rsidR="006F04FD" w:rsidP="00FE4186" w:rsidRDefault="006F04FD" w14:paraId="5D5AC2E7" w14:textId="77777777">
            <w:pPr>
              <w:pStyle w:val="BodyText"/>
              <w:rPr>
                <w:rFonts w:cs="Arial"/>
                <w:sz w:val="20"/>
              </w:rPr>
            </w:pPr>
            <w:r>
              <w:rPr>
                <w:rFonts w:cs="Arial"/>
                <w:sz w:val="20"/>
              </w:rPr>
              <w:t>Precedex C</w:t>
            </w:r>
            <w:r w:rsidRPr="00845824">
              <w:rPr>
                <w:rFonts w:cs="Arial"/>
                <w:sz w:val="20"/>
              </w:rPr>
              <w:t>oncentrate for infusion</w:t>
            </w:r>
          </w:p>
          <w:p w:rsidRPr="00A4414D" w:rsidR="006F04FD" w:rsidP="00FE4186" w:rsidRDefault="006F04FD" w14:paraId="7DF40D54" w14:textId="77777777">
            <w:pPr>
              <w:pStyle w:val="BodyText"/>
              <w:rPr>
                <w:rFonts w:cs="Arial"/>
                <w:sz w:val="20"/>
              </w:rPr>
            </w:pPr>
            <w:r>
              <w:rPr>
                <w:rFonts w:cs="Arial"/>
                <w:sz w:val="20"/>
              </w:rPr>
              <w:t>Precedex Ready to Use Solution for infusion</w:t>
            </w:r>
          </w:p>
        </w:tc>
      </w:tr>
      <w:tr w:rsidRPr="003A7895" w:rsidR="006F04FD" w:rsidTr="00204576" w14:paraId="01941F7C" w14:textId="77777777">
        <w:trPr>
          <w:trHeight w:val="70"/>
        </w:trPr>
        <w:tc>
          <w:tcPr>
            <w:tcW w:w="875" w:type="pct"/>
          </w:tcPr>
          <w:p w:rsidRPr="00B53E9B" w:rsidR="006F04FD" w:rsidP="00FE4186" w:rsidRDefault="006F04FD" w14:paraId="02CFD01D" w14:textId="77777777">
            <w:pPr>
              <w:pStyle w:val="BodyText"/>
              <w:rPr>
                <w:rFonts w:cs="Arial"/>
                <w:b/>
                <w:bCs/>
                <w:sz w:val="20"/>
                <w:lang w:val="en-AU"/>
              </w:rPr>
            </w:pPr>
            <w:r w:rsidRPr="00B53E9B">
              <w:rPr>
                <w:rFonts w:cs="Arial"/>
                <w:b/>
                <w:bCs/>
                <w:sz w:val="20"/>
                <w:lang w:val="en-AU"/>
              </w:rPr>
              <w:t xml:space="preserve">Presentation </w:t>
            </w:r>
          </w:p>
        </w:tc>
        <w:tc>
          <w:tcPr>
            <w:tcW w:w="4125" w:type="pct"/>
          </w:tcPr>
          <w:p w:rsidR="006F04FD" w:rsidP="00FE4186" w:rsidRDefault="006F04FD" w14:paraId="796F8EBF" w14:textId="77777777">
            <w:pPr>
              <w:pStyle w:val="BodyText"/>
              <w:rPr>
                <w:rFonts w:cs="Arial"/>
                <w:sz w:val="20"/>
                <w:lang w:val="en-AU"/>
              </w:rPr>
            </w:pPr>
            <w:r>
              <w:rPr>
                <w:rFonts w:cs="Arial"/>
                <w:sz w:val="20"/>
              </w:rPr>
              <w:t xml:space="preserve">Dexmedetomidine </w:t>
            </w:r>
            <w:r>
              <w:rPr>
                <w:rFonts w:cs="Arial"/>
                <w:sz w:val="20"/>
                <w:lang w:val="en-AU"/>
              </w:rPr>
              <w:t>Mylan</w:t>
            </w:r>
            <w:r>
              <w:rPr>
                <w:rFonts w:cs="Arial"/>
                <w:sz w:val="20"/>
              </w:rPr>
              <w:t xml:space="preserve"> C</w:t>
            </w:r>
            <w:r w:rsidRPr="00845824">
              <w:rPr>
                <w:rFonts w:cs="Arial"/>
                <w:sz w:val="20"/>
              </w:rPr>
              <w:t>oncentrate for infusion</w:t>
            </w:r>
            <w:r>
              <w:rPr>
                <w:rFonts w:cs="Arial"/>
                <w:sz w:val="20"/>
                <w:lang w:val="en-AU"/>
              </w:rPr>
              <w:t xml:space="preserve"> – </w:t>
            </w:r>
            <w:r w:rsidRPr="00845824">
              <w:rPr>
                <w:rFonts w:cs="Arial"/>
                <w:sz w:val="20"/>
              </w:rPr>
              <w:t xml:space="preserve">100 </w:t>
            </w:r>
            <w:r>
              <w:rPr>
                <w:rFonts w:cs="Arial"/>
                <w:sz w:val="20"/>
              </w:rPr>
              <w:t>microgram</w:t>
            </w:r>
            <w:r w:rsidRPr="00845824">
              <w:rPr>
                <w:rFonts w:cs="Arial"/>
                <w:sz w:val="20"/>
              </w:rPr>
              <w:t>/mL 2 mL</w:t>
            </w:r>
            <w:r>
              <w:rPr>
                <w:rFonts w:cs="Arial"/>
                <w:sz w:val="20"/>
              </w:rPr>
              <w:t xml:space="preserve"> vial.</w:t>
            </w:r>
          </w:p>
          <w:p w:rsidRPr="004F5B49" w:rsidR="006F04FD" w:rsidP="00FE4186" w:rsidRDefault="006F04FD" w14:paraId="47C427A8" w14:textId="77777777">
            <w:pPr>
              <w:pStyle w:val="BodyText"/>
              <w:rPr>
                <w:rFonts w:cs="Arial"/>
                <w:sz w:val="20"/>
                <w:lang w:val="en-AU"/>
              </w:rPr>
            </w:pPr>
            <w:r>
              <w:rPr>
                <w:rFonts w:cs="Arial"/>
                <w:sz w:val="20"/>
              </w:rPr>
              <w:t xml:space="preserve">Dexmedetomidine </w:t>
            </w:r>
            <w:r>
              <w:rPr>
                <w:rFonts w:cs="Arial"/>
                <w:sz w:val="20"/>
                <w:lang w:val="en-AU"/>
              </w:rPr>
              <w:t>Ever Pharma</w:t>
            </w:r>
            <w:r>
              <w:rPr>
                <w:rFonts w:cs="Arial"/>
                <w:sz w:val="20"/>
              </w:rPr>
              <w:t xml:space="preserve"> C</w:t>
            </w:r>
            <w:r w:rsidRPr="00845824">
              <w:rPr>
                <w:rFonts w:cs="Arial"/>
                <w:sz w:val="20"/>
              </w:rPr>
              <w:t>oncentrate for infusion</w:t>
            </w:r>
            <w:r>
              <w:rPr>
                <w:rFonts w:cs="Arial"/>
                <w:sz w:val="20"/>
                <w:lang w:val="en-AU"/>
              </w:rPr>
              <w:t xml:space="preserve"> – 100 microgram/mL 2 mL, 4 mL, 10 mL vials; 50 microgram/mL 2 mL ampoule.</w:t>
            </w:r>
          </w:p>
          <w:p w:rsidR="006F04FD" w:rsidP="00FE4186" w:rsidRDefault="006F04FD" w14:paraId="4B322296" w14:textId="77777777">
            <w:pPr>
              <w:pStyle w:val="BodyText"/>
              <w:rPr>
                <w:rFonts w:cs="Arial"/>
                <w:sz w:val="20"/>
              </w:rPr>
            </w:pPr>
            <w:r>
              <w:rPr>
                <w:rFonts w:cs="Arial"/>
                <w:sz w:val="20"/>
              </w:rPr>
              <w:t>Dexmedetomidine Sandoz C</w:t>
            </w:r>
            <w:r w:rsidRPr="00845824">
              <w:rPr>
                <w:rFonts w:cs="Arial"/>
                <w:sz w:val="20"/>
              </w:rPr>
              <w:t>oncentrate for infusion</w:t>
            </w:r>
            <w:r>
              <w:rPr>
                <w:rFonts w:cs="Arial"/>
                <w:sz w:val="20"/>
              </w:rPr>
              <w:t xml:space="preserve"> – </w:t>
            </w:r>
            <w:r w:rsidRPr="00845824">
              <w:rPr>
                <w:rFonts w:cs="Arial"/>
                <w:sz w:val="20"/>
              </w:rPr>
              <w:t xml:space="preserve">100 </w:t>
            </w:r>
            <w:r>
              <w:rPr>
                <w:rFonts w:cs="Arial"/>
                <w:sz w:val="20"/>
              </w:rPr>
              <w:t>microgram</w:t>
            </w:r>
            <w:r w:rsidRPr="00845824">
              <w:rPr>
                <w:rFonts w:cs="Arial"/>
                <w:sz w:val="20"/>
              </w:rPr>
              <w:t>/mL 2 mL</w:t>
            </w:r>
            <w:r>
              <w:rPr>
                <w:rFonts w:cs="Arial"/>
                <w:sz w:val="20"/>
              </w:rPr>
              <w:t xml:space="preserve"> vial.</w:t>
            </w:r>
          </w:p>
          <w:p w:rsidR="006F04FD" w:rsidP="00FE4186" w:rsidRDefault="006F04FD" w14:paraId="5D65A411" w14:textId="77777777">
            <w:pPr>
              <w:pStyle w:val="BodyText"/>
              <w:rPr>
                <w:rFonts w:cs="Arial"/>
                <w:sz w:val="20"/>
              </w:rPr>
            </w:pPr>
            <w:r w:rsidRPr="00845824">
              <w:rPr>
                <w:rFonts w:cs="Arial"/>
                <w:sz w:val="20"/>
              </w:rPr>
              <w:t>Dexmedetomidine</w:t>
            </w:r>
            <w:r>
              <w:rPr>
                <w:rFonts w:cs="Arial"/>
                <w:sz w:val="20"/>
              </w:rPr>
              <w:t>-Teva C</w:t>
            </w:r>
            <w:r w:rsidRPr="00845824">
              <w:rPr>
                <w:rFonts w:cs="Arial"/>
                <w:sz w:val="20"/>
              </w:rPr>
              <w:t>oncentrate for infusion</w:t>
            </w:r>
            <w:r>
              <w:rPr>
                <w:rFonts w:cs="Arial"/>
                <w:sz w:val="20"/>
              </w:rPr>
              <w:t xml:space="preserve"> – </w:t>
            </w:r>
            <w:r w:rsidRPr="00845824">
              <w:rPr>
                <w:rFonts w:cs="Arial"/>
                <w:sz w:val="20"/>
              </w:rPr>
              <w:t xml:space="preserve">100 </w:t>
            </w:r>
            <w:r>
              <w:rPr>
                <w:rFonts w:cs="Arial"/>
                <w:sz w:val="20"/>
              </w:rPr>
              <w:t>microgram</w:t>
            </w:r>
            <w:r w:rsidRPr="00845824">
              <w:rPr>
                <w:rFonts w:cs="Arial"/>
                <w:sz w:val="20"/>
              </w:rPr>
              <w:t>/mL 2 mL</w:t>
            </w:r>
            <w:r>
              <w:rPr>
                <w:rFonts w:cs="Arial"/>
                <w:sz w:val="20"/>
              </w:rPr>
              <w:t xml:space="preserve"> vial.</w:t>
            </w:r>
          </w:p>
          <w:p w:rsidR="006F04FD" w:rsidP="00FE4186" w:rsidRDefault="006F04FD" w14:paraId="1F53F645" w14:textId="77777777">
            <w:pPr>
              <w:pStyle w:val="BodyText"/>
              <w:rPr>
                <w:rFonts w:cs="Arial"/>
                <w:sz w:val="20"/>
              </w:rPr>
            </w:pPr>
            <w:r>
              <w:rPr>
                <w:rFonts w:cs="Arial"/>
                <w:sz w:val="20"/>
              </w:rPr>
              <w:t>Precedex C</w:t>
            </w:r>
            <w:r w:rsidRPr="00845824">
              <w:rPr>
                <w:rFonts w:cs="Arial"/>
                <w:sz w:val="20"/>
              </w:rPr>
              <w:t>oncentrate for infusion</w:t>
            </w:r>
            <w:r>
              <w:rPr>
                <w:rFonts w:cs="Arial"/>
                <w:sz w:val="20"/>
              </w:rPr>
              <w:t xml:space="preserve"> – </w:t>
            </w:r>
            <w:r w:rsidRPr="00845824">
              <w:rPr>
                <w:rFonts w:cs="Arial"/>
                <w:sz w:val="20"/>
              </w:rPr>
              <w:t xml:space="preserve">100 </w:t>
            </w:r>
            <w:r>
              <w:rPr>
                <w:rFonts w:cs="Arial"/>
                <w:sz w:val="20"/>
              </w:rPr>
              <w:t>microgram</w:t>
            </w:r>
            <w:r w:rsidRPr="00845824">
              <w:rPr>
                <w:rFonts w:cs="Arial"/>
                <w:sz w:val="20"/>
              </w:rPr>
              <w:t>/mL</w:t>
            </w:r>
            <w:r>
              <w:rPr>
                <w:rFonts w:cs="Arial"/>
                <w:sz w:val="20"/>
                <w:lang w:val="en-AU"/>
              </w:rPr>
              <w:t>;</w:t>
            </w:r>
            <w:r w:rsidRPr="00845824">
              <w:rPr>
                <w:rFonts w:cs="Arial"/>
                <w:sz w:val="20"/>
              </w:rPr>
              <w:t xml:space="preserve"> 2 mL</w:t>
            </w:r>
            <w:r>
              <w:rPr>
                <w:rFonts w:cs="Arial"/>
                <w:sz w:val="20"/>
              </w:rPr>
              <w:t xml:space="preserve"> vial.</w:t>
            </w:r>
          </w:p>
          <w:p w:rsidRPr="00026F20" w:rsidR="006F04FD" w:rsidP="00FE4186" w:rsidRDefault="006F04FD" w14:paraId="731B8397" w14:textId="77777777">
            <w:pPr>
              <w:pStyle w:val="BodyText"/>
              <w:rPr>
                <w:rFonts w:cs="Arial"/>
                <w:sz w:val="20"/>
                <w:lang w:val="en-AU"/>
              </w:rPr>
            </w:pPr>
            <w:r>
              <w:rPr>
                <w:rFonts w:cs="Arial"/>
                <w:sz w:val="20"/>
              </w:rPr>
              <w:t xml:space="preserve">Precedex Ready to Use Solution for infusion – </w:t>
            </w:r>
            <w:r w:rsidRPr="00845824">
              <w:rPr>
                <w:rFonts w:cs="Arial"/>
                <w:sz w:val="20"/>
              </w:rPr>
              <w:t xml:space="preserve">4 </w:t>
            </w:r>
            <w:r>
              <w:rPr>
                <w:rFonts w:cs="Arial"/>
                <w:sz w:val="20"/>
              </w:rPr>
              <w:t>microgram</w:t>
            </w:r>
            <w:r w:rsidRPr="00845824">
              <w:rPr>
                <w:rFonts w:cs="Arial"/>
                <w:sz w:val="20"/>
              </w:rPr>
              <w:t>/mL</w:t>
            </w:r>
            <w:r>
              <w:rPr>
                <w:rFonts w:cs="Arial"/>
                <w:sz w:val="20"/>
                <w:lang w:val="en-AU"/>
              </w:rPr>
              <w:t>;</w:t>
            </w:r>
            <w:r w:rsidRPr="00845824">
              <w:rPr>
                <w:rFonts w:cs="Arial"/>
                <w:sz w:val="20"/>
              </w:rPr>
              <w:t xml:space="preserve"> 20 mL</w:t>
            </w:r>
            <w:r>
              <w:rPr>
                <w:rFonts w:cs="Arial"/>
                <w:sz w:val="20"/>
                <w:lang w:val="en-AU"/>
              </w:rPr>
              <w:t xml:space="preserve"> vial</w:t>
            </w:r>
            <w:r>
              <w:rPr>
                <w:rFonts w:cs="Arial"/>
                <w:sz w:val="20"/>
              </w:rPr>
              <w:t xml:space="preserve">; </w:t>
            </w:r>
            <w:r w:rsidRPr="00845824">
              <w:rPr>
                <w:rFonts w:cs="Arial"/>
                <w:sz w:val="20"/>
              </w:rPr>
              <w:t xml:space="preserve">4 </w:t>
            </w:r>
            <w:r>
              <w:rPr>
                <w:rFonts w:cs="Arial"/>
                <w:sz w:val="20"/>
              </w:rPr>
              <w:t>microgram</w:t>
            </w:r>
            <w:r w:rsidRPr="00845824">
              <w:rPr>
                <w:rFonts w:cs="Arial"/>
                <w:sz w:val="20"/>
              </w:rPr>
              <w:t>/mL 50 mL</w:t>
            </w:r>
            <w:r>
              <w:rPr>
                <w:rFonts w:cs="Arial"/>
                <w:sz w:val="20"/>
                <w:lang w:val="en-AU"/>
              </w:rPr>
              <w:t xml:space="preserve"> and</w:t>
            </w:r>
            <w:r w:rsidRPr="00845824">
              <w:rPr>
                <w:rFonts w:cs="Arial"/>
                <w:sz w:val="20"/>
              </w:rPr>
              <w:t xml:space="preserve"> 100 mL</w:t>
            </w:r>
            <w:r>
              <w:rPr>
                <w:rFonts w:cs="Arial"/>
                <w:sz w:val="20"/>
                <w:lang w:val="en-AU"/>
              </w:rPr>
              <w:t xml:space="preserve"> glass bottles</w:t>
            </w:r>
            <w:r>
              <w:rPr>
                <w:rFonts w:cs="Arial"/>
                <w:sz w:val="20"/>
              </w:rPr>
              <w:t>.</w:t>
            </w:r>
          </w:p>
        </w:tc>
      </w:tr>
      <w:tr w:rsidRPr="000E2236" w:rsidR="006F04FD" w:rsidTr="00204576" w14:paraId="7D763951" w14:textId="77777777">
        <w:trPr>
          <w:trHeight w:val="70"/>
        </w:trPr>
        <w:tc>
          <w:tcPr>
            <w:tcW w:w="875" w:type="pct"/>
          </w:tcPr>
          <w:p w:rsidRPr="00B53E9B" w:rsidR="006F04FD" w:rsidP="00FE4186" w:rsidRDefault="006F04FD" w14:paraId="2A88939E"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4125" w:type="pct"/>
          </w:tcPr>
          <w:p w:rsidR="006F04FD" w:rsidP="00FE4186" w:rsidRDefault="006F04FD" w14:paraId="5493D762" w14:textId="77777777">
            <w:pPr>
              <w:pStyle w:val="BodyText"/>
              <w:rPr>
                <w:b/>
                <w:sz w:val="20"/>
                <w:lang w:val="en-AU"/>
              </w:rPr>
            </w:pPr>
            <w:r>
              <w:rPr>
                <w:b/>
                <w:sz w:val="20"/>
                <w:lang w:val="en-AU"/>
              </w:rPr>
              <w:t>IV</w:t>
            </w:r>
          </w:p>
          <w:p w:rsidRPr="00C7553F" w:rsidR="006F04FD" w:rsidP="00FE4186" w:rsidRDefault="006F04FD" w14:paraId="46BABEC7" w14:textId="77777777">
            <w:pPr>
              <w:pStyle w:val="BodyText"/>
              <w:rPr>
                <w:b/>
                <w:sz w:val="20"/>
                <w:lang w:val="en-AU"/>
              </w:rPr>
            </w:pPr>
          </w:p>
          <w:tbl>
            <w:tblPr>
              <w:tblStyle w:val="TableGrid"/>
              <w:tblW w:w="5000" w:type="pct"/>
              <w:tblLook w:val="04A0" w:firstRow="1" w:lastRow="0" w:firstColumn="1" w:lastColumn="0" w:noHBand="0" w:noVBand="1"/>
            </w:tblPr>
            <w:tblGrid>
              <w:gridCol w:w="1563"/>
              <w:gridCol w:w="2190"/>
              <w:gridCol w:w="2040"/>
              <w:gridCol w:w="1929"/>
            </w:tblGrid>
            <w:tr w:rsidR="006F04FD" w:rsidTr="00FE4186" w14:paraId="4A7636A8" w14:textId="77777777">
              <w:tc>
                <w:tcPr>
                  <w:tcW w:w="1012" w:type="pct"/>
                </w:tcPr>
                <w:p w:rsidR="006F04FD" w:rsidP="00FE4186" w:rsidRDefault="006F04FD" w14:paraId="0535B74E" w14:textId="77777777">
                  <w:pPr>
                    <w:pStyle w:val="BodyText"/>
                    <w:rPr>
                      <w:b/>
                      <w:sz w:val="20"/>
                    </w:rPr>
                  </w:pPr>
                  <w:r>
                    <w:rPr>
                      <w:b/>
                      <w:sz w:val="20"/>
                    </w:rPr>
                    <w:t xml:space="preserve">Refs: </w:t>
                  </w:r>
                  <w:r>
                    <w:rPr>
                      <w:b/>
                      <w:noProof/>
                      <w:sz w:val="20"/>
                    </w:rPr>
                    <w:t>[3-5]</w:t>
                  </w:r>
                </w:p>
              </w:tc>
              <w:tc>
                <w:tcPr>
                  <w:tcW w:w="1418" w:type="pct"/>
                </w:tcPr>
                <w:p w:rsidRPr="00C7553F" w:rsidR="006F04FD" w:rsidP="00FE4186" w:rsidRDefault="006F04FD" w14:paraId="78C5EB19" w14:textId="77777777">
                  <w:pPr>
                    <w:pStyle w:val="BodyText"/>
                    <w:rPr>
                      <w:b/>
                      <w:sz w:val="20"/>
                      <w:lang w:val="en-AU"/>
                    </w:rPr>
                  </w:pPr>
                  <w:r>
                    <w:rPr>
                      <w:b/>
                      <w:sz w:val="20"/>
                    </w:rPr>
                    <w:t>Loading dose [if needed]</w:t>
                  </w:r>
                  <w:r>
                    <w:rPr>
                      <w:b/>
                      <w:sz w:val="20"/>
                      <w:lang w:val="en-AU"/>
                    </w:rPr>
                    <w:t xml:space="preserve"> over 15 minutes</w:t>
                  </w:r>
                </w:p>
              </w:tc>
              <w:tc>
                <w:tcPr>
                  <w:tcW w:w="1321" w:type="pct"/>
                </w:tcPr>
                <w:p w:rsidR="006F04FD" w:rsidP="00FE4186" w:rsidRDefault="006F04FD" w14:paraId="5BD90E06" w14:textId="77777777">
                  <w:pPr>
                    <w:pStyle w:val="BodyText"/>
                    <w:rPr>
                      <w:b/>
                      <w:sz w:val="20"/>
                    </w:rPr>
                  </w:pPr>
                  <w:r>
                    <w:rPr>
                      <w:b/>
                      <w:sz w:val="20"/>
                    </w:rPr>
                    <w:t>Infusion</w:t>
                  </w:r>
                </w:p>
              </w:tc>
              <w:tc>
                <w:tcPr>
                  <w:tcW w:w="1250" w:type="pct"/>
                </w:tcPr>
                <w:p w:rsidR="006F04FD" w:rsidP="00FE4186" w:rsidRDefault="006F04FD" w14:paraId="30FBE468" w14:textId="77777777">
                  <w:pPr>
                    <w:pStyle w:val="BodyText"/>
                    <w:rPr>
                      <w:b/>
                      <w:sz w:val="20"/>
                    </w:rPr>
                  </w:pPr>
                  <w:r>
                    <w:rPr>
                      <w:b/>
                      <w:sz w:val="20"/>
                    </w:rPr>
                    <w:t>Maximum dose</w:t>
                  </w:r>
                </w:p>
              </w:tc>
            </w:tr>
            <w:tr w:rsidR="006F04FD" w:rsidTr="00FE4186" w14:paraId="0E781C65" w14:textId="77777777">
              <w:tc>
                <w:tcPr>
                  <w:tcW w:w="1012" w:type="pct"/>
                </w:tcPr>
                <w:p w:rsidRPr="00E12966" w:rsidR="006F04FD" w:rsidP="00FE4186" w:rsidRDefault="006F04FD" w14:paraId="341BB2CF" w14:textId="77777777">
                  <w:pPr>
                    <w:pStyle w:val="BodyText"/>
                    <w:rPr>
                      <w:sz w:val="20"/>
                    </w:rPr>
                  </w:pPr>
                  <w:r>
                    <w:rPr>
                      <w:sz w:val="20"/>
                    </w:rPr>
                    <w:t>Preterm &lt;</w:t>
                  </w:r>
                  <w:r>
                    <w:rPr>
                      <w:sz w:val="20"/>
                      <w:lang w:val="en-US"/>
                    </w:rPr>
                    <w:t xml:space="preserve"> </w:t>
                  </w:r>
                  <w:r>
                    <w:rPr>
                      <w:sz w:val="20"/>
                    </w:rPr>
                    <w:t>37 weeks gestation</w:t>
                  </w:r>
                </w:p>
              </w:tc>
              <w:tc>
                <w:tcPr>
                  <w:tcW w:w="1418" w:type="pct"/>
                </w:tcPr>
                <w:p w:rsidRPr="00E12966" w:rsidR="006F04FD" w:rsidP="00FE4186" w:rsidRDefault="006F04FD" w14:paraId="25A778A2" w14:textId="77777777">
                  <w:pPr>
                    <w:pStyle w:val="BodyText"/>
                    <w:rPr>
                      <w:sz w:val="20"/>
                    </w:rPr>
                  </w:pPr>
                  <w:r>
                    <w:rPr>
                      <w:sz w:val="20"/>
                    </w:rPr>
                    <w:t xml:space="preserve">0.2 </w:t>
                  </w:r>
                  <w:r w:rsidRPr="00F917E9">
                    <w:rPr>
                      <w:sz w:val="20"/>
                    </w:rPr>
                    <w:t>m</w:t>
                  </w:r>
                  <w:r>
                    <w:rPr>
                      <w:sz w:val="20"/>
                    </w:rPr>
                    <w:t>icrogram</w:t>
                  </w:r>
                  <w:r w:rsidRPr="00F917E9">
                    <w:rPr>
                      <w:sz w:val="20"/>
                    </w:rPr>
                    <w:t>/kg/</w:t>
                  </w:r>
                  <w:r>
                    <w:rPr>
                      <w:sz w:val="20"/>
                      <w:lang w:val="en-AU"/>
                    </w:rPr>
                    <w:t>dose</w:t>
                  </w:r>
                </w:p>
              </w:tc>
              <w:tc>
                <w:tcPr>
                  <w:tcW w:w="1321" w:type="pct"/>
                </w:tcPr>
                <w:p w:rsidRPr="00E12966" w:rsidR="006F04FD" w:rsidP="00FE4186" w:rsidRDefault="006F04FD" w14:paraId="24CB92A1" w14:textId="77777777">
                  <w:pPr>
                    <w:pStyle w:val="BodyText"/>
                    <w:rPr>
                      <w:sz w:val="20"/>
                    </w:rPr>
                  </w:pPr>
                  <w:r>
                    <w:rPr>
                      <w:sz w:val="20"/>
                    </w:rPr>
                    <w:t xml:space="preserve">0.2 </w:t>
                  </w:r>
                  <w:r w:rsidRPr="00F917E9">
                    <w:rPr>
                      <w:sz w:val="20"/>
                    </w:rPr>
                    <w:t>m</w:t>
                  </w:r>
                  <w:r>
                    <w:rPr>
                      <w:sz w:val="20"/>
                    </w:rPr>
                    <w:t>icrogram</w:t>
                  </w:r>
                  <w:r w:rsidRPr="00F917E9">
                    <w:rPr>
                      <w:sz w:val="20"/>
                    </w:rPr>
                    <w:t>/kg/h</w:t>
                  </w:r>
                  <w:r>
                    <w:rPr>
                      <w:sz w:val="20"/>
                    </w:rPr>
                    <w:t>ou</w:t>
                  </w:r>
                  <w:r w:rsidRPr="00F917E9">
                    <w:rPr>
                      <w:sz w:val="20"/>
                    </w:rPr>
                    <w:t>r</w:t>
                  </w:r>
                </w:p>
              </w:tc>
              <w:tc>
                <w:tcPr>
                  <w:tcW w:w="1250" w:type="pct"/>
                </w:tcPr>
                <w:p w:rsidR="006F04FD" w:rsidP="00FE4186" w:rsidRDefault="006F04FD" w14:paraId="30C4F1AC" w14:textId="77777777">
                  <w:pPr>
                    <w:pStyle w:val="BodyText"/>
                    <w:rPr>
                      <w:sz w:val="20"/>
                    </w:rPr>
                  </w:pPr>
                  <w:r>
                    <w:rPr>
                      <w:sz w:val="20"/>
                    </w:rPr>
                    <w:t xml:space="preserve">1 </w:t>
                  </w:r>
                  <w:r w:rsidRPr="00F917E9">
                    <w:rPr>
                      <w:sz w:val="20"/>
                    </w:rPr>
                    <w:t>m</w:t>
                  </w:r>
                  <w:r>
                    <w:rPr>
                      <w:sz w:val="20"/>
                    </w:rPr>
                    <w:t>icrogram</w:t>
                  </w:r>
                  <w:r w:rsidRPr="00F917E9">
                    <w:rPr>
                      <w:sz w:val="20"/>
                    </w:rPr>
                    <w:t>/kg/h</w:t>
                  </w:r>
                  <w:r>
                    <w:rPr>
                      <w:sz w:val="20"/>
                    </w:rPr>
                    <w:t>ou</w:t>
                  </w:r>
                  <w:r w:rsidRPr="00F917E9">
                    <w:rPr>
                      <w:sz w:val="20"/>
                    </w:rPr>
                    <w:t>r</w:t>
                  </w:r>
                </w:p>
              </w:tc>
            </w:tr>
            <w:tr w:rsidR="006F04FD" w:rsidTr="00FE4186" w14:paraId="7B09D973" w14:textId="77777777">
              <w:tc>
                <w:tcPr>
                  <w:tcW w:w="1012" w:type="pct"/>
                </w:tcPr>
                <w:p w:rsidRPr="00E12966" w:rsidR="006F04FD" w:rsidP="00FE4186" w:rsidRDefault="006F04FD" w14:paraId="30E5F80E" w14:textId="77777777">
                  <w:pPr>
                    <w:pStyle w:val="BodyText"/>
                    <w:rPr>
                      <w:sz w:val="20"/>
                    </w:rPr>
                  </w:pPr>
                  <w:r>
                    <w:rPr>
                      <w:sz w:val="20"/>
                    </w:rPr>
                    <w:t xml:space="preserve">Term infants </w:t>
                  </w:r>
                  <w:r>
                    <w:rPr>
                      <w:rFonts w:cs="Calibri"/>
                      <w:sz w:val="20"/>
                    </w:rPr>
                    <w:t>≤</w:t>
                  </w:r>
                  <w:r>
                    <w:rPr>
                      <w:rFonts w:cs="Calibri"/>
                      <w:sz w:val="20"/>
                      <w:lang w:val="en-US"/>
                    </w:rPr>
                    <w:t xml:space="preserve"> </w:t>
                  </w:r>
                  <w:r>
                    <w:rPr>
                      <w:sz w:val="20"/>
                    </w:rPr>
                    <w:t>14 days</w:t>
                  </w:r>
                </w:p>
              </w:tc>
              <w:tc>
                <w:tcPr>
                  <w:tcW w:w="1418" w:type="pct"/>
                </w:tcPr>
                <w:p w:rsidRPr="00E12966" w:rsidR="006F04FD" w:rsidP="00FE4186" w:rsidRDefault="006F04FD" w14:paraId="0169EEC2" w14:textId="77777777">
                  <w:pPr>
                    <w:pStyle w:val="BodyText"/>
                    <w:rPr>
                      <w:sz w:val="20"/>
                    </w:rPr>
                  </w:pPr>
                  <w:r>
                    <w:rPr>
                      <w:sz w:val="20"/>
                    </w:rPr>
                    <w:t xml:space="preserve">0.35 </w:t>
                  </w:r>
                  <w:r w:rsidRPr="00F917E9">
                    <w:rPr>
                      <w:sz w:val="20"/>
                    </w:rPr>
                    <w:t>m</w:t>
                  </w:r>
                  <w:r>
                    <w:rPr>
                      <w:sz w:val="20"/>
                    </w:rPr>
                    <w:t>icrogram</w:t>
                  </w:r>
                  <w:r w:rsidRPr="00F917E9">
                    <w:rPr>
                      <w:sz w:val="20"/>
                    </w:rPr>
                    <w:t>/kg/</w:t>
                  </w:r>
                  <w:r>
                    <w:rPr>
                      <w:sz w:val="20"/>
                      <w:lang w:val="en-AU"/>
                    </w:rPr>
                    <w:t>dose</w:t>
                  </w:r>
                </w:p>
              </w:tc>
              <w:tc>
                <w:tcPr>
                  <w:tcW w:w="1321" w:type="pct"/>
                </w:tcPr>
                <w:p w:rsidRPr="00E12966" w:rsidR="006F04FD" w:rsidP="00FE4186" w:rsidRDefault="006F04FD" w14:paraId="57F92865" w14:textId="77777777">
                  <w:pPr>
                    <w:pStyle w:val="BodyText"/>
                    <w:rPr>
                      <w:sz w:val="20"/>
                    </w:rPr>
                  </w:pPr>
                  <w:r w:rsidRPr="00E12966">
                    <w:rPr>
                      <w:sz w:val="20"/>
                    </w:rPr>
                    <w:t>0.3</w:t>
                  </w:r>
                  <w:r>
                    <w:rPr>
                      <w:sz w:val="20"/>
                    </w:rPr>
                    <w:t xml:space="preserve"> </w:t>
                  </w:r>
                  <w:r w:rsidRPr="00F917E9">
                    <w:rPr>
                      <w:sz w:val="20"/>
                    </w:rPr>
                    <w:t>m</w:t>
                  </w:r>
                  <w:r>
                    <w:rPr>
                      <w:sz w:val="20"/>
                    </w:rPr>
                    <w:t>icrogram</w:t>
                  </w:r>
                  <w:r w:rsidRPr="00F917E9">
                    <w:rPr>
                      <w:sz w:val="20"/>
                    </w:rPr>
                    <w:t>/kg/h</w:t>
                  </w:r>
                  <w:r>
                    <w:rPr>
                      <w:sz w:val="20"/>
                    </w:rPr>
                    <w:t>ou</w:t>
                  </w:r>
                  <w:r w:rsidRPr="00F917E9">
                    <w:rPr>
                      <w:sz w:val="20"/>
                    </w:rPr>
                    <w:t>r</w:t>
                  </w:r>
                </w:p>
              </w:tc>
              <w:tc>
                <w:tcPr>
                  <w:tcW w:w="1250" w:type="pct"/>
                </w:tcPr>
                <w:p w:rsidRPr="00E12966" w:rsidR="006F04FD" w:rsidP="00FE4186" w:rsidRDefault="006F04FD" w14:paraId="0C8F9312" w14:textId="77777777">
                  <w:pPr>
                    <w:pStyle w:val="BodyText"/>
                    <w:rPr>
                      <w:sz w:val="20"/>
                    </w:rPr>
                  </w:pPr>
                  <w:r>
                    <w:rPr>
                      <w:sz w:val="20"/>
                    </w:rPr>
                    <w:t xml:space="preserve">1.2 </w:t>
                  </w:r>
                  <w:r w:rsidRPr="00F917E9">
                    <w:rPr>
                      <w:sz w:val="20"/>
                    </w:rPr>
                    <w:t>m</w:t>
                  </w:r>
                  <w:r>
                    <w:rPr>
                      <w:sz w:val="20"/>
                    </w:rPr>
                    <w:t>icrogram</w:t>
                  </w:r>
                  <w:r w:rsidRPr="00F917E9">
                    <w:rPr>
                      <w:sz w:val="20"/>
                    </w:rPr>
                    <w:t>/kg/h</w:t>
                  </w:r>
                  <w:r>
                    <w:rPr>
                      <w:sz w:val="20"/>
                    </w:rPr>
                    <w:t>ou</w:t>
                  </w:r>
                  <w:r w:rsidRPr="00F917E9">
                    <w:rPr>
                      <w:sz w:val="20"/>
                    </w:rPr>
                    <w:t>r</w:t>
                  </w:r>
                </w:p>
              </w:tc>
            </w:tr>
            <w:tr w:rsidR="006F04FD" w:rsidTr="00FE4186" w14:paraId="4705142D" w14:textId="77777777">
              <w:tc>
                <w:tcPr>
                  <w:tcW w:w="1012" w:type="pct"/>
                </w:tcPr>
                <w:p w:rsidRPr="00E12966" w:rsidR="006F04FD" w:rsidP="00FE4186" w:rsidRDefault="006F04FD" w14:paraId="43E80EA8" w14:textId="77777777">
                  <w:pPr>
                    <w:pStyle w:val="BodyText"/>
                    <w:rPr>
                      <w:sz w:val="20"/>
                    </w:rPr>
                  </w:pPr>
                  <w:r>
                    <w:rPr>
                      <w:sz w:val="20"/>
                      <w:lang w:val="en-US"/>
                    </w:rPr>
                    <w:t>Term i</w:t>
                  </w:r>
                  <w:r>
                    <w:rPr>
                      <w:sz w:val="20"/>
                    </w:rPr>
                    <w:t>nfants &gt;</w:t>
                  </w:r>
                  <w:r>
                    <w:rPr>
                      <w:sz w:val="20"/>
                      <w:lang w:val="en-US"/>
                    </w:rPr>
                    <w:t xml:space="preserve"> </w:t>
                  </w:r>
                  <w:r>
                    <w:rPr>
                      <w:sz w:val="20"/>
                      <w:lang w:val="en-AU"/>
                    </w:rPr>
                    <w:t>14 days</w:t>
                  </w:r>
                </w:p>
              </w:tc>
              <w:tc>
                <w:tcPr>
                  <w:tcW w:w="1418" w:type="pct"/>
                </w:tcPr>
                <w:p w:rsidRPr="00E12966" w:rsidR="006F04FD" w:rsidP="00FE4186" w:rsidRDefault="006F04FD" w14:paraId="388722DE" w14:textId="77777777">
                  <w:pPr>
                    <w:pStyle w:val="BodyText"/>
                    <w:rPr>
                      <w:sz w:val="20"/>
                    </w:rPr>
                  </w:pPr>
                  <w:r>
                    <w:rPr>
                      <w:sz w:val="20"/>
                    </w:rPr>
                    <w:t xml:space="preserve">0.5 </w:t>
                  </w:r>
                  <w:r w:rsidRPr="00F917E9">
                    <w:rPr>
                      <w:sz w:val="20"/>
                    </w:rPr>
                    <w:t>m</w:t>
                  </w:r>
                  <w:r>
                    <w:rPr>
                      <w:sz w:val="20"/>
                    </w:rPr>
                    <w:t>icrogram</w:t>
                  </w:r>
                  <w:r w:rsidRPr="00F917E9">
                    <w:rPr>
                      <w:sz w:val="20"/>
                    </w:rPr>
                    <w:t>/kg/</w:t>
                  </w:r>
                  <w:r>
                    <w:rPr>
                      <w:sz w:val="20"/>
                      <w:lang w:val="en-AU"/>
                    </w:rPr>
                    <w:t>dose</w:t>
                  </w:r>
                </w:p>
              </w:tc>
              <w:tc>
                <w:tcPr>
                  <w:tcW w:w="1321" w:type="pct"/>
                </w:tcPr>
                <w:p w:rsidRPr="00E12966" w:rsidR="006F04FD" w:rsidP="00FE4186" w:rsidRDefault="006F04FD" w14:paraId="33515E57" w14:textId="77777777">
                  <w:pPr>
                    <w:pStyle w:val="BodyText"/>
                    <w:rPr>
                      <w:sz w:val="20"/>
                    </w:rPr>
                  </w:pPr>
                  <w:r>
                    <w:rPr>
                      <w:sz w:val="20"/>
                    </w:rPr>
                    <w:t xml:space="preserve">0.5 to 0.75 </w:t>
                  </w:r>
                  <w:r w:rsidRPr="00F917E9">
                    <w:rPr>
                      <w:sz w:val="20"/>
                    </w:rPr>
                    <w:t>m</w:t>
                  </w:r>
                  <w:r>
                    <w:rPr>
                      <w:sz w:val="20"/>
                    </w:rPr>
                    <w:t>icrogram</w:t>
                  </w:r>
                  <w:r w:rsidRPr="00F917E9">
                    <w:rPr>
                      <w:sz w:val="20"/>
                    </w:rPr>
                    <w:t>/kg/h</w:t>
                  </w:r>
                  <w:r>
                    <w:rPr>
                      <w:sz w:val="20"/>
                    </w:rPr>
                    <w:t>ou</w:t>
                  </w:r>
                  <w:r w:rsidRPr="00F917E9">
                    <w:rPr>
                      <w:sz w:val="20"/>
                    </w:rPr>
                    <w:t>r</w:t>
                  </w:r>
                </w:p>
              </w:tc>
              <w:tc>
                <w:tcPr>
                  <w:tcW w:w="1250" w:type="pct"/>
                </w:tcPr>
                <w:p w:rsidR="006F04FD" w:rsidP="00FE4186" w:rsidRDefault="006F04FD" w14:paraId="539CF237" w14:textId="77777777">
                  <w:pPr>
                    <w:pStyle w:val="BodyText"/>
                    <w:rPr>
                      <w:sz w:val="20"/>
                    </w:rPr>
                  </w:pPr>
                  <w:r>
                    <w:rPr>
                      <w:sz w:val="20"/>
                    </w:rPr>
                    <w:t xml:space="preserve">1.5 </w:t>
                  </w:r>
                  <w:r w:rsidRPr="00F917E9">
                    <w:rPr>
                      <w:sz w:val="20"/>
                    </w:rPr>
                    <w:t>m</w:t>
                  </w:r>
                  <w:r>
                    <w:rPr>
                      <w:sz w:val="20"/>
                    </w:rPr>
                    <w:t>icrogram</w:t>
                  </w:r>
                  <w:r w:rsidRPr="00F917E9">
                    <w:rPr>
                      <w:sz w:val="20"/>
                    </w:rPr>
                    <w:t>/kg/h</w:t>
                  </w:r>
                  <w:r>
                    <w:rPr>
                      <w:sz w:val="20"/>
                    </w:rPr>
                    <w:t>ou</w:t>
                  </w:r>
                  <w:r w:rsidRPr="00F917E9">
                    <w:rPr>
                      <w:sz w:val="20"/>
                    </w:rPr>
                    <w:t>r</w:t>
                  </w:r>
                </w:p>
              </w:tc>
            </w:tr>
          </w:tbl>
          <w:p w:rsidR="006F04FD" w:rsidP="00FE4186" w:rsidRDefault="006F04FD" w14:paraId="28E3E747" w14:textId="77777777">
            <w:pPr>
              <w:pStyle w:val="BodyText"/>
              <w:rPr>
                <w:b/>
                <w:sz w:val="20"/>
              </w:rPr>
            </w:pPr>
          </w:p>
          <w:p w:rsidRPr="0039088B" w:rsidR="006F04FD" w:rsidP="00FE4186" w:rsidRDefault="006F04FD" w14:paraId="4A2C5BF8" w14:textId="77777777">
            <w:pPr>
              <w:pStyle w:val="BodyText"/>
              <w:rPr>
                <w:sz w:val="20"/>
                <w:vertAlign w:val="superscript"/>
              </w:rPr>
            </w:pPr>
            <w:r w:rsidRPr="00AE54F7">
              <w:rPr>
                <w:b/>
                <w:sz w:val="20"/>
              </w:rPr>
              <w:t xml:space="preserve">Incremental </w:t>
            </w:r>
            <w:r>
              <w:rPr>
                <w:b/>
                <w:sz w:val="20"/>
              </w:rPr>
              <w:t>i</w:t>
            </w:r>
            <w:r w:rsidRPr="00AE54F7">
              <w:rPr>
                <w:b/>
                <w:sz w:val="20"/>
              </w:rPr>
              <w:t>ncrease</w:t>
            </w:r>
          </w:p>
          <w:p w:rsidR="006F04FD" w:rsidP="00FE4186" w:rsidRDefault="006F04FD" w14:paraId="22D11662" w14:textId="77777777">
            <w:pPr>
              <w:pStyle w:val="BodyText"/>
              <w:ind w:left="720"/>
              <w:rPr>
                <w:sz w:val="20"/>
              </w:rPr>
            </w:pPr>
            <w:r>
              <w:rPr>
                <w:sz w:val="20"/>
              </w:rPr>
              <w:t>Every 30 minutes, either increase the rate by 0.1-0.2 microgram/kg/hour increments to a maximum dose</w:t>
            </w:r>
            <w:r>
              <w:rPr>
                <w:sz w:val="20"/>
                <w:lang w:val="en-US"/>
              </w:rPr>
              <w:t xml:space="preserve"> as per dosing table</w:t>
            </w:r>
            <w:r>
              <w:rPr>
                <w:sz w:val="20"/>
              </w:rPr>
              <w:t xml:space="preserve">; </w:t>
            </w:r>
            <w:r w:rsidRPr="00AE54F7">
              <w:rPr>
                <w:sz w:val="20"/>
              </w:rPr>
              <w:t>and/or</w:t>
            </w:r>
            <w:r>
              <w:rPr>
                <w:sz w:val="20"/>
              </w:rPr>
              <w:t xml:space="preserve"> use</w:t>
            </w:r>
            <w:r w:rsidRPr="00AE54F7">
              <w:rPr>
                <w:sz w:val="20"/>
              </w:rPr>
              <w:t xml:space="preserve"> a rescue dose of other sedative (midazolam) or analgesic (</w:t>
            </w:r>
            <w:r>
              <w:rPr>
                <w:sz w:val="20"/>
              </w:rPr>
              <w:t>opioid</w:t>
            </w:r>
            <w:r w:rsidRPr="00AE54F7">
              <w:rPr>
                <w:sz w:val="20"/>
              </w:rPr>
              <w:t xml:space="preserve">) agent </w:t>
            </w:r>
            <w:r>
              <w:rPr>
                <w:sz w:val="20"/>
              </w:rPr>
              <w:t>to achieve the desired effect.</w:t>
            </w:r>
          </w:p>
          <w:p w:rsidR="006F04FD" w:rsidP="00FE4186" w:rsidRDefault="006F04FD" w14:paraId="4A54668C" w14:textId="77777777">
            <w:pPr>
              <w:pStyle w:val="BodyText"/>
              <w:ind w:left="746"/>
              <w:rPr>
                <w:sz w:val="20"/>
              </w:rPr>
            </w:pPr>
            <w:r>
              <w:rPr>
                <w:rFonts w:cs="Arial"/>
                <w:sz w:val="20"/>
              </w:rPr>
              <w:t xml:space="preserve">NOT FOR IV </w:t>
            </w:r>
            <w:r>
              <w:rPr>
                <w:rFonts w:cs="Arial"/>
                <w:sz w:val="20"/>
                <w:lang w:val="en-US"/>
              </w:rPr>
              <w:t xml:space="preserve">RESCUE </w:t>
            </w:r>
            <w:r>
              <w:rPr>
                <w:rFonts w:cs="Arial"/>
                <w:sz w:val="20"/>
              </w:rPr>
              <w:t>BOLUS ADMINISTRATION</w:t>
            </w:r>
            <w:r>
              <w:rPr>
                <w:rFonts w:cs="Arial"/>
                <w:sz w:val="20"/>
                <w:lang w:val="en-US"/>
              </w:rPr>
              <w:t>.</w:t>
            </w:r>
          </w:p>
          <w:p w:rsidRPr="00AE54F7" w:rsidR="006F04FD" w:rsidP="00FE4186" w:rsidRDefault="006F04FD" w14:paraId="22EEE480" w14:textId="77777777">
            <w:pPr>
              <w:pStyle w:val="BodyText"/>
              <w:rPr>
                <w:b/>
                <w:sz w:val="20"/>
              </w:rPr>
            </w:pPr>
            <w:r w:rsidRPr="00AE54F7">
              <w:rPr>
                <w:b/>
                <w:sz w:val="20"/>
              </w:rPr>
              <w:t>Incremental decrease</w:t>
            </w:r>
          </w:p>
          <w:p w:rsidR="006F04FD" w:rsidP="00FE4186" w:rsidRDefault="006F04FD" w14:paraId="41C0BB98" w14:textId="77777777">
            <w:pPr>
              <w:pStyle w:val="BodyText"/>
              <w:ind w:left="720"/>
              <w:rPr>
                <w:sz w:val="20"/>
              </w:rPr>
            </w:pPr>
            <w:r w:rsidRPr="00CF1426">
              <w:rPr>
                <w:sz w:val="20"/>
              </w:rPr>
              <w:lastRenderedPageBreak/>
              <w:t xml:space="preserve">Infusion should usually be weaned rather than discontinued abruptly, especially if used for greater than </w:t>
            </w:r>
            <w:r>
              <w:rPr>
                <w:sz w:val="20"/>
              </w:rPr>
              <w:t>72</w:t>
            </w:r>
            <w:r w:rsidRPr="00CF1426">
              <w:rPr>
                <w:sz w:val="20"/>
              </w:rPr>
              <w:t xml:space="preserve"> hours. </w:t>
            </w:r>
          </w:p>
          <w:p w:rsidR="006F04FD" w:rsidP="00FE4186" w:rsidRDefault="006F04FD" w14:paraId="19E99FCC" w14:textId="77777777">
            <w:pPr>
              <w:pStyle w:val="BodyText"/>
              <w:ind w:left="720"/>
              <w:rPr>
                <w:sz w:val="20"/>
              </w:rPr>
            </w:pPr>
            <w:r>
              <w:rPr>
                <w:sz w:val="20"/>
              </w:rPr>
              <w:t xml:space="preserve">Either: </w:t>
            </w:r>
          </w:p>
          <w:p w:rsidR="006F04FD" w:rsidP="00FE4186" w:rsidRDefault="006F04FD" w14:paraId="32A405F7" w14:textId="77777777">
            <w:pPr>
              <w:pStyle w:val="BodyText"/>
              <w:ind w:left="720"/>
              <w:rPr>
                <w:sz w:val="20"/>
              </w:rPr>
            </w:pPr>
            <w:r>
              <w:rPr>
                <w:sz w:val="20"/>
              </w:rPr>
              <w:t xml:space="preserve">Decrease the dose by 0.1 microgram/kg/hour every 30 minutes, OR </w:t>
            </w:r>
          </w:p>
          <w:p w:rsidR="006F04FD" w:rsidP="00FE4186" w:rsidRDefault="006F04FD" w14:paraId="598598B0" w14:textId="77777777">
            <w:pPr>
              <w:pStyle w:val="BodyText"/>
              <w:ind w:left="720"/>
              <w:rPr>
                <w:sz w:val="20"/>
              </w:rPr>
            </w:pPr>
            <w:r w:rsidRPr="000266AC">
              <w:rPr>
                <w:sz w:val="20"/>
              </w:rPr>
              <w:t>Decrease the infusion</w:t>
            </w:r>
            <w:r>
              <w:rPr>
                <w:sz w:val="20"/>
              </w:rPr>
              <w:t xml:space="preserve"> rate</w:t>
            </w:r>
            <w:r w:rsidRPr="000266AC">
              <w:rPr>
                <w:sz w:val="20"/>
              </w:rPr>
              <w:t xml:space="preserve"> by 0.2</w:t>
            </w:r>
            <w:r>
              <w:rPr>
                <w:sz w:val="20"/>
              </w:rPr>
              <w:t xml:space="preserve"> microgram</w:t>
            </w:r>
            <w:r w:rsidRPr="000266AC">
              <w:rPr>
                <w:sz w:val="20"/>
              </w:rPr>
              <w:t>/kg/h</w:t>
            </w:r>
            <w:r>
              <w:rPr>
                <w:sz w:val="20"/>
              </w:rPr>
              <w:t>ou</w:t>
            </w:r>
            <w:r w:rsidRPr="000266AC">
              <w:rPr>
                <w:sz w:val="20"/>
              </w:rPr>
              <w:t>r every 8</w:t>
            </w:r>
            <w:r>
              <w:rPr>
                <w:sz w:val="20"/>
                <w:lang w:val="en-AU"/>
              </w:rPr>
              <w:t xml:space="preserve"> </w:t>
            </w:r>
            <w:r w:rsidRPr="000266AC">
              <w:rPr>
                <w:sz w:val="20"/>
              </w:rPr>
              <w:t>h</w:t>
            </w:r>
            <w:r>
              <w:rPr>
                <w:sz w:val="20"/>
              </w:rPr>
              <w:t>ou</w:t>
            </w:r>
            <w:r w:rsidRPr="000266AC">
              <w:rPr>
                <w:sz w:val="20"/>
              </w:rPr>
              <w:t>rs</w:t>
            </w:r>
            <w:r>
              <w:rPr>
                <w:sz w:val="20"/>
              </w:rPr>
              <w:t>.</w:t>
            </w:r>
          </w:p>
          <w:p w:rsidR="006F04FD" w:rsidP="00FE4186" w:rsidRDefault="006F04FD" w14:paraId="753F8E79" w14:textId="77777777">
            <w:pPr>
              <w:pStyle w:val="BodyText"/>
              <w:ind w:left="720"/>
              <w:rPr>
                <w:sz w:val="20"/>
              </w:rPr>
            </w:pPr>
          </w:p>
          <w:p w:rsidRPr="00485961" w:rsidR="006F04FD" w:rsidP="00FE4186" w:rsidRDefault="006F04FD" w14:paraId="22499F6F" w14:textId="77777777">
            <w:pPr>
              <w:pStyle w:val="BodyText"/>
              <w:rPr>
                <w:sz w:val="20"/>
              </w:rPr>
            </w:pPr>
            <w:r w:rsidRPr="00AE54F7">
              <w:rPr>
                <w:sz w:val="20"/>
              </w:rPr>
              <w:t xml:space="preserve">It is not necessary to discontinue </w:t>
            </w:r>
            <w:r>
              <w:rPr>
                <w:sz w:val="20"/>
              </w:rPr>
              <w:t>d</w:t>
            </w:r>
            <w:r w:rsidRPr="00AE54F7">
              <w:rPr>
                <w:sz w:val="20"/>
              </w:rPr>
              <w:t>exmedetomidine prior to extubation</w:t>
            </w:r>
            <w:r>
              <w:rPr>
                <w:sz w:val="20"/>
              </w:rPr>
              <w:t xml:space="preserve"> especially in postoperative patients.</w:t>
            </w:r>
          </w:p>
        </w:tc>
      </w:tr>
      <w:tr w:rsidRPr="003A7895" w:rsidR="006F04FD" w:rsidTr="00204576" w14:paraId="18F34242" w14:textId="77777777">
        <w:trPr>
          <w:trHeight w:val="407"/>
        </w:trPr>
        <w:tc>
          <w:tcPr>
            <w:tcW w:w="875" w:type="pct"/>
          </w:tcPr>
          <w:p w:rsidRPr="00B53E9B" w:rsidR="006F04FD" w:rsidP="00FE4186" w:rsidRDefault="006F04FD" w14:paraId="3B81CA05" w14:textId="77777777">
            <w:pPr>
              <w:pStyle w:val="BodyText"/>
              <w:rPr>
                <w:b/>
                <w:sz w:val="20"/>
                <w:lang w:val="en-AU"/>
              </w:rPr>
            </w:pPr>
            <w:r w:rsidRPr="00B53E9B">
              <w:rPr>
                <w:b/>
                <w:sz w:val="20"/>
                <w:lang w:val="en-AU"/>
              </w:rPr>
              <w:lastRenderedPageBreak/>
              <w:t>Dose adjustment</w:t>
            </w:r>
            <w:r>
              <w:rPr>
                <w:b/>
                <w:sz w:val="20"/>
                <w:lang w:val="en-AU"/>
              </w:rPr>
              <w:t xml:space="preserve"> </w:t>
            </w:r>
          </w:p>
          <w:p w:rsidRPr="00B53E9B" w:rsidR="006F04FD" w:rsidP="00FE4186" w:rsidRDefault="006F04FD" w14:paraId="7D2FE360" w14:textId="77777777">
            <w:pPr>
              <w:pStyle w:val="BodyText"/>
              <w:rPr>
                <w:b/>
                <w:sz w:val="20"/>
                <w:lang w:val="en-AU"/>
              </w:rPr>
            </w:pPr>
          </w:p>
        </w:tc>
        <w:tc>
          <w:tcPr>
            <w:tcW w:w="4125" w:type="pct"/>
          </w:tcPr>
          <w:p w:rsidRPr="003652EA" w:rsidR="006F04FD" w:rsidP="00FE4186" w:rsidRDefault="006F04FD" w14:paraId="3132D79B" w14:textId="77777777">
            <w:pPr>
              <w:overflowPunct w:val="0"/>
              <w:autoSpaceDE w:val="0"/>
              <w:autoSpaceDN w:val="0"/>
              <w:rPr>
                <w:rFonts w:eastAsia="Calibri" w:cs="Calibri"/>
                <w:sz w:val="20"/>
              </w:rPr>
            </w:pPr>
            <w:r w:rsidRPr="003652EA">
              <w:rPr>
                <w:rFonts w:eastAsia="Calibri" w:cs="Calibri"/>
                <w:sz w:val="20"/>
              </w:rPr>
              <w:t xml:space="preserve">Therapeutic hypothermia: </w:t>
            </w:r>
            <w:r>
              <w:rPr>
                <w:rFonts w:eastAsia="Calibri" w:cs="Calibri"/>
                <w:sz w:val="20"/>
              </w:rPr>
              <w:t>N</w:t>
            </w:r>
            <w:r w:rsidRPr="003652EA">
              <w:rPr>
                <w:rFonts w:eastAsia="Calibri" w:cs="Calibri"/>
                <w:sz w:val="20"/>
              </w:rPr>
              <w:t>o information</w:t>
            </w:r>
            <w:r>
              <w:rPr>
                <w:rFonts w:eastAsia="Calibri" w:cs="Calibri"/>
                <w:sz w:val="20"/>
              </w:rPr>
              <w:t>.</w:t>
            </w:r>
          </w:p>
          <w:p w:rsidRPr="003652EA" w:rsidR="006F04FD" w:rsidP="00FE4186" w:rsidRDefault="006F04FD" w14:paraId="0686275C" w14:textId="77777777">
            <w:pPr>
              <w:overflowPunct w:val="0"/>
              <w:autoSpaceDE w:val="0"/>
              <w:autoSpaceDN w:val="0"/>
              <w:rPr>
                <w:rFonts w:eastAsia="Calibri" w:cs="Calibri"/>
                <w:sz w:val="20"/>
                <w:lang w:val="x-none"/>
              </w:rPr>
            </w:pPr>
            <w:r w:rsidRPr="003652EA">
              <w:rPr>
                <w:rFonts w:eastAsia="Calibri" w:cs="Calibri"/>
                <w:sz w:val="20"/>
              </w:rPr>
              <w:t xml:space="preserve">ECMO: </w:t>
            </w:r>
            <w:r>
              <w:rPr>
                <w:rFonts w:eastAsia="Calibri" w:cs="Calibri"/>
                <w:sz w:val="20"/>
              </w:rPr>
              <w:t>R</w:t>
            </w:r>
            <w:r w:rsidRPr="003652EA">
              <w:rPr>
                <w:rFonts w:eastAsia="Calibri" w:cs="Calibri"/>
                <w:sz w:val="20"/>
              </w:rPr>
              <w:t>educe</w:t>
            </w:r>
            <w:r>
              <w:rPr>
                <w:rFonts w:eastAsia="Calibri" w:cs="Calibri"/>
                <w:sz w:val="20"/>
              </w:rPr>
              <w:t xml:space="preserve"> </w:t>
            </w:r>
            <w:r w:rsidRPr="003652EA">
              <w:rPr>
                <w:rFonts w:eastAsia="Calibri" w:cs="Calibri"/>
                <w:sz w:val="20"/>
              </w:rPr>
              <w:t>dos</w:t>
            </w:r>
            <w:r>
              <w:rPr>
                <w:rFonts w:eastAsia="Calibri" w:cs="Calibri"/>
                <w:sz w:val="20"/>
              </w:rPr>
              <w:t>e to</w:t>
            </w:r>
            <w:r w:rsidRPr="003652EA">
              <w:rPr>
                <w:rFonts w:eastAsia="Calibri" w:cs="Calibri"/>
                <w:sz w:val="20"/>
                <w:lang w:val="x-none"/>
              </w:rPr>
              <w:t xml:space="preserve"> 0.24 </w:t>
            </w:r>
            <w:r>
              <w:rPr>
                <w:rFonts w:eastAsia="Calibri" w:cs="Calibri"/>
                <w:sz w:val="20"/>
              </w:rPr>
              <w:t>microgram</w:t>
            </w:r>
            <w:r w:rsidRPr="003652EA">
              <w:rPr>
                <w:rFonts w:eastAsia="Calibri" w:cs="Calibri"/>
                <w:sz w:val="20"/>
                <w:lang w:val="x-none"/>
              </w:rPr>
              <w:t xml:space="preserve">/kg/hour </w:t>
            </w:r>
            <w:r>
              <w:rPr>
                <w:rFonts w:eastAsia="Calibri" w:cs="Calibri"/>
                <w:sz w:val="20"/>
              </w:rPr>
              <w:t xml:space="preserve">for neonates </w:t>
            </w:r>
            <w:r w:rsidRPr="003652EA">
              <w:rPr>
                <w:rFonts w:eastAsia="Calibri" w:cs="Calibri"/>
                <w:sz w:val="20"/>
                <w:lang w:val="x-none"/>
              </w:rPr>
              <w:t xml:space="preserve">and 0.29 </w:t>
            </w:r>
            <w:r>
              <w:rPr>
                <w:rFonts w:eastAsia="Calibri" w:cs="Calibri"/>
                <w:sz w:val="20"/>
              </w:rPr>
              <w:t>microgram</w:t>
            </w:r>
            <w:r w:rsidRPr="003652EA">
              <w:rPr>
                <w:rFonts w:eastAsia="Calibri" w:cs="Calibri"/>
                <w:sz w:val="20"/>
                <w:lang w:val="x-none"/>
              </w:rPr>
              <w:t xml:space="preserve">/kg/hour for </w:t>
            </w:r>
            <w:r>
              <w:rPr>
                <w:rFonts w:eastAsia="Calibri" w:cs="Calibri"/>
                <w:sz w:val="20"/>
                <w:lang w:val="x-none"/>
              </w:rPr>
              <w:t>infants aged ≥</w:t>
            </w:r>
            <w:r w:rsidRPr="003652EA">
              <w:rPr>
                <w:rFonts w:eastAsia="Calibri" w:cs="Calibri"/>
                <w:sz w:val="20"/>
                <w:lang w:val="x-none"/>
              </w:rPr>
              <w:t>3</w:t>
            </w:r>
            <w:r>
              <w:rPr>
                <w:rFonts w:eastAsia="Calibri" w:cs="Calibri"/>
                <w:sz w:val="20"/>
              </w:rPr>
              <w:t xml:space="preserve"> </w:t>
            </w:r>
            <w:r w:rsidRPr="003652EA">
              <w:rPr>
                <w:rFonts w:eastAsia="Calibri" w:cs="Calibri"/>
                <w:sz w:val="20"/>
                <w:lang w:val="x-none"/>
              </w:rPr>
              <w:t>month</w:t>
            </w:r>
            <w:r>
              <w:rPr>
                <w:rFonts w:eastAsia="Calibri" w:cs="Calibri"/>
                <w:sz w:val="20"/>
                <w:lang w:val="x-none"/>
              </w:rPr>
              <w:t>s</w:t>
            </w:r>
            <w:r w:rsidRPr="003652EA">
              <w:rPr>
                <w:rFonts w:eastAsia="Calibri" w:cs="Calibri"/>
                <w:sz w:val="20"/>
                <w:lang w:val="x-none"/>
              </w:rPr>
              <w:t>. [4, 5</w:t>
            </w:r>
            <w:r>
              <w:rPr>
                <w:rFonts w:eastAsia="Calibri" w:cs="Calibri"/>
                <w:sz w:val="20"/>
              </w:rPr>
              <w:t>,27</w:t>
            </w:r>
            <w:r w:rsidRPr="003652EA">
              <w:rPr>
                <w:rFonts w:eastAsia="Calibri" w:cs="Calibri"/>
                <w:sz w:val="20"/>
                <w:lang w:val="x-none"/>
              </w:rPr>
              <w:t>]</w:t>
            </w:r>
          </w:p>
          <w:p w:rsidRPr="003652EA" w:rsidR="006F04FD" w:rsidP="00FE4186" w:rsidRDefault="006F04FD" w14:paraId="63A0A3ED" w14:textId="77777777">
            <w:pPr>
              <w:overflowPunct w:val="0"/>
              <w:autoSpaceDE w:val="0"/>
              <w:autoSpaceDN w:val="0"/>
              <w:rPr>
                <w:rFonts w:eastAsia="Calibri" w:cs="Calibri"/>
                <w:sz w:val="20"/>
              </w:rPr>
            </w:pPr>
            <w:r w:rsidRPr="003652EA">
              <w:rPr>
                <w:rFonts w:eastAsia="Calibri" w:cs="Calibri"/>
                <w:sz w:val="20"/>
              </w:rPr>
              <w:t xml:space="preserve">Renal: </w:t>
            </w:r>
            <w:r>
              <w:rPr>
                <w:rFonts w:eastAsia="Calibri" w:cs="Calibri"/>
                <w:sz w:val="20"/>
              </w:rPr>
              <w:t>N</w:t>
            </w:r>
            <w:r w:rsidRPr="003652EA">
              <w:rPr>
                <w:rFonts w:eastAsia="Calibri" w:cs="Calibri"/>
                <w:sz w:val="20"/>
              </w:rPr>
              <w:t>ot applicable.</w:t>
            </w:r>
          </w:p>
          <w:p w:rsidRPr="00026F20" w:rsidR="006F04FD" w:rsidP="00FE4186" w:rsidRDefault="006F04FD" w14:paraId="24BD9B15" w14:textId="77777777">
            <w:pPr>
              <w:rPr>
                <w:sz w:val="20"/>
              </w:rPr>
            </w:pPr>
            <w:r w:rsidRPr="003652EA">
              <w:rPr>
                <w:rFonts w:eastAsia="Calibri" w:cs="Calibri"/>
                <w:sz w:val="20"/>
              </w:rPr>
              <w:t>Hepatic: Clearance decreases in impairment; consider reducing the dose and titrating carefully.</w:t>
            </w:r>
          </w:p>
        </w:tc>
      </w:tr>
      <w:tr w:rsidRPr="003A7895" w:rsidR="006F04FD" w:rsidTr="00204576" w14:paraId="1B8C72E5" w14:textId="77777777">
        <w:trPr>
          <w:trHeight w:val="113"/>
        </w:trPr>
        <w:tc>
          <w:tcPr>
            <w:tcW w:w="875" w:type="pct"/>
          </w:tcPr>
          <w:p w:rsidRPr="00B53E9B" w:rsidR="006F04FD" w:rsidP="00FE4186" w:rsidRDefault="006F04FD" w14:paraId="47419858" w14:textId="77777777">
            <w:pPr>
              <w:pStyle w:val="BodyText"/>
              <w:rPr>
                <w:b/>
                <w:sz w:val="20"/>
                <w:lang w:val="en-AU"/>
              </w:rPr>
            </w:pPr>
            <w:r w:rsidRPr="00B53E9B">
              <w:rPr>
                <w:b/>
                <w:sz w:val="20"/>
                <w:lang w:val="en-AU"/>
              </w:rPr>
              <w:t>Maximum dose</w:t>
            </w:r>
          </w:p>
        </w:tc>
        <w:tc>
          <w:tcPr>
            <w:tcW w:w="4125" w:type="pct"/>
          </w:tcPr>
          <w:p w:rsidRPr="00026F20" w:rsidR="006F04FD" w:rsidP="00FE4186" w:rsidRDefault="006F04FD" w14:paraId="3A7E54EA" w14:textId="77777777">
            <w:pPr>
              <w:pStyle w:val="BodyText"/>
              <w:rPr>
                <w:sz w:val="20"/>
                <w:lang w:val="en-AU"/>
              </w:rPr>
            </w:pPr>
            <w:r>
              <w:rPr>
                <w:sz w:val="20"/>
                <w:lang w:val="en-US"/>
              </w:rPr>
              <w:t>Refer to dosing table.</w:t>
            </w:r>
            <w:r w:rsidDel="009C166C">
              <w:rPr>
                <w:sz w:val="20"/>
              </w:rPr>
              <w:t xml:space="preserve"> </w:t>
            </w:r>
          </w:p>
        </w:tc>
      </w:tr>
      <w:tr w:rsidRPr="003A7895" w:rsidR="006F04FD" w:rsidTr="00204576" w14:paraId="5178D8DD" w14:textId="77777777">
        <w:trPr>
          <w:trHeight w:val="144"/>
        </w:trPr>
        <w:tc>
          <w:tcPr>
            <w:tcW w:w="875" w:type="pct"/>
          </w:tcPr>
          <w:p w:rsidRPr="00B53E9B" w:rsidR="006F04FD" w:rsidP="00FE4186" w:rsidRDefault="006F04FD" w14:paraId="76208584" w14:textId="77777777">
            <w:pPr>
              <w:pStyle w:val="BodyText"/>
              <w:rPr>
                <w:rFonts w:cs="Arial"/>
                <w:b/>
                <w:bCs/>
                <w:sz w:val="20"/>
                <w:lang w:val="en-AU"/>
              </w:rPr>
            </w:pPr>
            <w:r w:rsidRPr="00B53E9B">
              <w:rPr>
                <w:b/>
                <w:sz w:val="20"/>
                <w:lang w:val="en-AU"/>
              </w:rPr>
              <w:t>Total cumulative dose</w:t>
            </w:r>
          </w:p>
        </w:tc>
        <w:tc>
          <w:tcPr>
            <w:tcW w:w="4125" w:type="pct"/>
          </w:tcPr>
          <w:p w:rsidRPr="00026F20" w:rsidR="006F04FD" w:rsidP="00FE4186" w:rsidRDefault="006F04FD" w14:paraId="58AF2059" w14:textId="77777777">
            <w:pPr>
              <w:pStyle w:val="BodyText"/>
              <w:rPr>
                <w:rFonts w:cs="Arial"/>
                <w:b/>
                <w:sz w:val="20"/>
                <w:lang w:val="en-AU"/>
              </w:rPr>
            </w:pPr>
          </w:p>
        </w:tc>
      </w:tr>
      <w:tr w:rsidRPr="003A7895" w:rsidR="006F04FD" w:rsidTr="00204576" w14:paraId="7C198D6B" w14:textId="77777777">
        <w:trPr>
          <w:trHeight w:val="294"/>
        </w:trPr>
        <w:tc>
          <w:tcPr>
            <w:tcW w:w="875" w:type="pct"/>
          </w:tcPr>
          <w:p w:rsidRPr="00B53E9B" w:rsidR="006F04FD" w:rsidP="00FE4186" w:rsidRDefault="006F04FD" w14:paraId="24246AA8" w14:textId="77777777">
            <w:pPr>
              <w:pStyle w:val="BodyText"/>
              <w:rPr>
                <w:rFonts w:cs="Arial"/>
                <w:sz w:val="20"/>
                <w:lang w:val="en-AU"/>
              </w:rPr>
            </w:pPr>
            <w:r w:rsidRPr="00B53E9B">
              <w:rPr>
                <w:rFonts w:cs="Arial"/>
                <w:b/>
                <w:bCs/>
                <w:sz w:val="20"/>
                <w:lang w:val="en-AU"/>
              </w:rPr>
              <w:t xml:space="preserve">Route                                </w:t>
            </w:r>
          </w:p>
        </w:tc>
        <w:tc>
          <w:tcPr>
            <w:tcW w:w="4125" w:type="pct"/>
          </w:tcPr>
          <w:p w:rsidR="006F04FD" w:rsidP="00FE4186" w:rsidRDefault="006F04FD" w14:paraId="241C76BD" w14:textId="77777777">
            <w:pPr>
              <w:pStyle w:val="BodyText"/>
              <w:rPr>
                <w:rFonts w:cs="Arial"/>
                <w:sz w:val="20"/>
              </w:rPr>
            </w:pPr>
            <w:r>
              <w:rPr>
                <w:rFonts w:cs="Arial"/>
                <w:sz w:val="20"/>
              </w:rPr>
              <w:t>IV infusion.</w:t>
            </w:r>
          </w:p>
          <w:p w:rsidRPr="00026F20" w:rsidR="006F04FD" w:rsidP="00FE4186" w:rsidRDefault="006F04FD" w14:paraId="730403FA" w14:textId="77777777">
            <w:pPr>
              <w:pStyle w:val="BodyText"/>
              <w:rPr>
                <w:rFonts w:cs="Arial"/>
                <w:sz w:val="20"/>
                <w:lang w:val="en-AU"/>
              </w:rPr>
            </w:pPr>
            <w:r>
              <w:rPr>
                <w:rFonts w:cs="Arial"/>
                <w:sz w:val="20"/>
              </w:rPr>
              <w:t>NOT FOR IV BOLUS ADMINISTRATION.</w:t>
            </w:r>
          </w:p>
        </w:tc>
      </w:tr>
      <w:tr w:rsidRPr="003A7895" w:rsidR="006F04FD" w:rsidTr="00204576" w14:paraId="540D43D6" w14:textId="77777777">
        <w:trPr>
          <w:trHeight w:val="93"/>
        </w:trPr>
        <w:tc>
          <w:tcPr>
            <w:tcW w:w="875" w:type="pct"/>
          </w:tcPr>
          <w:p w:rsidRPr="00B53E9B" w:rsidR="006F04FD" w:rsidP="00FE4186" w:rsidRDefault="006F04FD" w14:paraId="7B534EF5" w14:textId="77777777">
            <w:pPr>
              <w:pStyle w:val="BodyText"/>
              <w:rPr>
                <w:rFonts w:cs="Arial"/>
                <w:b/>
                <w:bCs/>
                <w:sz w:val="20"/>
                <w:highlight w:val="cyan"/>
                <w:lang w:val="en-AU"/>
              </w:rPr>
            </w:pPr>
            <w:r w:rsidRPr="00B53E9B">
              <w:rPr>
                <w:rFonts w:cs="Arial"/>
                <w:b/>
                <w:bCs/>
                <w:sz w:val="20"/>
                <w:lang w:val="en-AU"/>
              </w:rPr>
              <w:t>Preparation</w:t>
            </w:r>
            <w:r w:rsidRPr="00B53E9B">
              <w:rPr>
                <w:rFonts w:cs="Arial"/>
                <w:b/>
                <w:bCs/>
                <w:sz w:val="20"/>
                <w:highlight w:val="cyan"/>
                <w:lang w:val="en-AU"/>
              </w:rPr>
              <w:t xml:space="preserve">                </w:t>
            </w:r>
          </w:p>
        </w:tc>
        <w:tc>
          <w:tcPr>
            <w:tcW w:w="4125" w:type="pct"/>
          </w:tcPr>
          <w:p w:rsidRPr="003E223F" w:rsidR="006F04FD" w:rsidP="00FE4186" w:rsidRDefault="006F04FD" w14:paraId="46090E68" w14:textId="77777777">
            <w:pPr>
              <w:pStyle w:val="BodyText"/>
              <w:rPr>
                <w:sz w:val="20"/>
                <w:u w:val="single"/>
                <w:lang w:val="en-AU"/>
              </w:rPr>
            </w:pPr>
            <w:r>
              <w:rPr>
                <w:sz w:val="20"/>
                <w:u w:val="single"/>
                <w:lang w:val="en-AU"/>
              </w:rPr>
              <w:t>Low concentration (consider for loading dose and initial infusion rate)</w:t>
            </w:r>
          </w:p>
          <w:p w:rsidR="006F04FD" w:rsidP="00FE4186" w:rsidRDefault="006F04FD" w14:paraId="647A79EE" w14:textId="77777777">
            <w:pPr>
              <w:pStyle w:val="BodyText"/>
              <w:rPr>
                <w:sz w:val="20"/>
                <w:lang w:val="en-AU"/>
              </w:rPr>
            </w:pPr>
            <w:r>
              <w:rPr>
                <w:sz w:val="20"/>
                <w:lang w:val="en-AU"/>
              </w:rPr>
              <w:t>Add 25 microgram/kg d</w:t>
            </w:r>
            <w:r w:rsidRPr="00DD6455">
              <w:rPr>
                <w:sz w:val="20"/>
                <w:lang w:val="en-AU"/>
              </w:rPr>
              <w:t xml:space="preserve">exmedetomidine to sodium chloride 0.9% or glucose 5% to make a final volume of 50 mL with a concentration of </w:t>
            </w:r>
            <w:r>
              <w:rPr>
                <w:sz w:val="20"/>
                <w:lang w:val="en-AU"/>
              </w:rPr>
              <w:t>0.5</w:t>
            </w:r>
            <w:r w:rsidRPr="00DD6455">
              <w:rPr>
                <w:sz w:val="20"/>
                <w:lang w:val="en-AU"/>
              </w:rPr>
              <w:t xml:space="preserve"> microgram/kg/mL.</w:t>
            </w:r>
            <w:r>
              <w:rPr>
                <w:sz w:val="20"/>
                <w:lang w:val="en-AU"/>
              </w:rPr>
              <w:t xml:space="preserve"> Gently mix the solution. </w:t>
            </w:r>
          </w:p>
          <w:p w:rsidR="006F04FD" w:rsidP="00FE4186" w:rsidRDefault="006F04FD" w14:paraId="49A48A9C" w14:textId="77777777">
            <w:pPr>
              <w:pStyle w:val="BodyText"/>
              <w:rPr>
                <w:sz w:val="20"/>
                <w:lang w:val="en-AU"/>
              </w:rPr>
            </w:pPr>
            <w:r>
              <w:rPr>
                <w:sz w:val="20"/>
                <w:lang w:val="en-AU"/>
              </w:rPr>
              <w:t>1 mL/hour = 0.5 microgram/kg/hour.</w:t>
            </w:r>
          </w:p>
          <w:p w:rsidR="006F04FD" w:rsidP="00FE4186" w:rsidRDefault="006F04FD" w14:paraId="486652C5" w14:textId="77777777">
            <w:pPr>
              <w:pStyle w:val="BodyText"/>
              <w:rPr>
                <w:sz w:val="20"/>
                <w:u w:val="single"/>
                <w:lang w:val="en-AU"/>
              </w:rPr>
            </w:pPr>
          </w:p>
          <w:p w:rsidRPr="008A3865" w:rsidR="006F04FD" w:rsidP="00FE4186" w:rsidRDefault="006F04FD" w14:paraId="18823014" w14:textId="77777777">
            <w:pPr>
              <w:pStyle w:val="BodyText"/>
              <w:rPr>
                <w:b/>
                <w:sz w:val="20"/>
                <w:u w:val="single"/>
                <w:lang w:val="en-AU"/>
              </w:rPr>
            </w:pPr>
            <w:r w:rsidRPr="008A3865">
              <w:rPr>
                <w:b/>
                <w:sz w:val="20"/>
                <w:u w:val="single"/>
                <w:lang w:val="en-AU"/>
              </w:rPr>
              <w:t xml:space="preserve">Consider higher concentrations if fluid restriction </w:t>
            </w:r>
            <w:r>
              <w:rPr>
                <w:b/>
                <w:sz w:val="20"/>
                <w:u w:val="single"/>
                <w:lang w:val="en-AU"/>
              </w:rPr>
              <w:t xml:space="preserve">is </w:t>
            </w:r>
            <w:r w:rsidRPr="008A3865">
              <w:rPr>
                <w:b/>
                <w:sz w:val="20"/>
                <w:u w:val="single"/>
                <w:lang w:val="en-AU"/>
              </w:rPr>
              <w:t>required:</w:t>
            </w:r>
          </w:p>
          <w:p w:rsidR="006F04FD" w:rsidP="00FE4186" w:rsidRDefault="006F04FD" w14:paraId="557B20F1" w14:textId="77777777">
            <w:pPr>
              <w:pStyle w:val="BodyText"/>
              <w:rPr>
                <w:sz w:val="20"/>
                <w:u w:val="single"/>
                <w:lang w:val="en-AU"/>
              </w:rPr>
            </w:pPr>
          </w:p>
          <w:p w:rsidRPr="003E223F" w:rsidR="006F04FD" w:rsidP="00FE4186" w:rsidRDefault="006F04FD" w14:paraId="6FABA7CC" w14:textId="77777777">
            <w:pPr>
              <w:pStyle w:val="BodyText"/>
              <w:rPr>
                <w:sz w:val="20"/>
                <w:u w:val="single"/>
                <w:lang w:val="en-AU"/>
              </w:rPr>
            </w:pPr>
            <w:r>
              <w:rPr>
                <w:sz w:val="20"/>
                <w:u w:val="single"/>
                <w:lang w:val="en-AU"/>
              </w:rPr>
              <w:t>High concentration (consider this for an infusion dose higher than 0.5 microgram/kg/hour)</w:t>
            </w:r>
          </w:p>
          <w:p w:rsidR="006F04FD" w:rsidP="00FE4186" w:rsidRDefault="006F04FD" w14:paraId="27512CAE" w14:textId="77777777">
            <w:pPr>
              <w:pStyle w:val="BodyText"/>
              <w:rPr>
                <w:sz w:val="20"/>
                <w:lang w:val="en-AU"/>
              </w:rPr>
            </w:pPr>
            <w:r w:rsidRPr="003E223F">
              <w:rPr>
                <w:sz w:val="20"/>
                <w:lang w:val="en-AU"/>
              </w:rPr>
              <w:t xml:space="preserve">Add </w:t>
            </w:r>
            <w:r>
              <w:rPr>
                <w:sz w:val="20"/>
                <w:lang w:val="en-AU"/>
              </w:rPr>
              <w:t>50</w:t>
            </w:r>
            <w:r w:rsidRPr="003E223F">
              <w:rPr>
                <w:sz w:val="20"/>
                <w:lang w:val="en-AU"/>
              </w:rPr>
              <w:t xml:space="preserve"> microgram/kg dexmedetomidine to sodium chloride 0.9% or glucose 5% to make a final volume of 50 mL with a concentration of </w:t>
            </w:r>
            <w:r>
              <w:rPr>
                <w:sz w:val="20"/>
                <w:lang w:val="en-AU"/>
              </w:rPr>
              <w:t>1.0</w:t>
            </w:r>
            <w:r w:rsidRPr="003E223F">
              <w:rPr>
                <w:sz w:val="20"/>
                <w:lang w:val="en-AU"/>
              </w:rPr>
              <w:t xml:space="preserve"> microgram/kg/mL. Gently mix the solution. </w:t>
            </w:r>
          </w:p>
          <w:p w:rsidR="006F04FD" w:rsidP="00FE4186" w:rsidRDefault="006F04FD" w14:paraId="702BD484" w14:textId="77777777">
            <w:pPr>
              <w:pStyle w:val="BodyText"/>
              <w:rPr>
                <w:sz w:val="20"/>
                <w:lang w:val="en-AU"/>
              </w:rPr>
            </w:pPr>
            <w:r w:rsidRPr="003E223F">
              <w:rPr>
                <w:sz w:val="20"/>
                <w:lang w:val="en-AU"/>
              </w:rPr>
              <w:t xml:space="preserve">1 mL/hour = </w:t>
            </w:r>
            <w:r>
              <w:rPr>
                <w:sz w:val="20"/>
                <w:lang w:val="en-AU"/>
              </w:rPr>
              <w:t>1</w:t>
            </w:r>
            <w:r w:rsidRPr="003E223F">
              <w:rPr>
                <w:sz w:val="20"/>
                <w:lang w:val="en-AU"/>
              </w:rPr>
              <w:t xml:space="preserve"> microgram/kg/hour.</w:t>
            </w:r>
          </w:p>
          <w:p w:rsidR="006F04FD" w:rsidP="00FE4186" w:rsidRDefault="006F04FD" w14:paraId="5C84CCD4" w14:textId="77777777">
            <w:pPr>
              <w:pStyle w:val="BodyText"/>
              <w:rPr>
                <w:sz w:val="20"/>
                <w:lang w:val="en-AU"/>
              </w:rPr>
            </w:pPr>
          </w:p>
          <w:p w:rsidRPr="006D7BD3" w:rsidR="006F04FD" w:rsidP="00FE4186" w:rsidRDefault="006F04FD" w14:paraId="6DB2CB09" w14:textId="77777777">
            <w:pPr>
              <w:pStyle w:val="BodyText"/>
              <w:rPr>
                <w:sz w:val="20"/>
                <w:u w:val="single"/>
                <w:lang w:val="en-AU"/>
              </w:rPr>
            </w:pPr>
            <w:r w:rsidRPr="006D7BD3">
              <w:rPr>
                <w:sz w:val="20"/>
                <w:u w:val="single"/>
                <w:lang w:val="en-AU"/>
              </w:rPr>
              <w:t>Very high concentration</w:t>
            </w:r>
            <w:r>
              <w:rPr>
                <w:sz w:val="20"/>
                <w:u w:val="single"/>
                <w:lang w:val="en-AU"/>
              </w:rPr>
              <w:t xml:space="preserve"> (</w:t>
            </w:r>
            <w:r w:rsidRPr="0070709B">
              <w:rPr>
                <w:sz w:val="20"/>
                <w:u w:val="single"/>
                <w:lang w:val="en-AU"/>
              </w:rPr>
              <w:t xml:space="preserve">consider </w:t>
            </w:r>
            <w:r>
              <w:rPr>
                <w:sz w:val="20"/>
                <w:u w:val="single"/>
                <w:lang w:val="en-AU"/>
              </w:rPr>
              <w:t>this for an infusion dose of 1 microgram/kg/hour or in fluid restricted infants)</w:t>
            </w:r>
          </w:p>
          <w:p w:rsidR="006F04FD" w:rsidP="00FE4186" w:rsidRDefault="006F04FD" w14:paraId="7F24194B" w14:textId="77777777">
            <w:pPr>
              <w:pStyle w:val="BodyText"/>
              <w:rPr>
                <w:sz w:val="20"/>
                <w:lang w:val="en-AU"/>
              </w:rPr>
            </w:pPr>
            <w:r w:rsidRPr="00DB1814">
              <w:rPr>
                <w:sz w:val="20"/>
                <w:lang w:val="en-AU"/>
              </w:rPr>
              <w:t xml:space="preserve">Add </w:t>
            </w:r>
            <w:r>
              <w:rPr>
                <w:sz w:val="20"/>
                <w:lang w:val="en-AU"/>
              </w:rPr>
              <w:t>10</w:t>
            </w:r>
            <w:r w:rsidRPr="00DB1814">
              <w:rPr>
                <w:sz w:val="20"/>
                <w:lang w:val="en-AU"/>
              </w:rPr>
              <w:t xml:space="preserve">0 microgram/kg dexmedetomidine to sodium chloride 0.9% or glucose 5% to make a final volume of 50 mL with a concentration of </w:t>
            </w:r>
            <w:r>
              <w:rPr>
                <w:sz w:val="20"/>
                <w:lang w:val="en-AU"/>
              </w:rPr>
              <w:t>2.0</w:t>
            </w:r>
            <w:r w:rsidRPr="00DB1814">
              <w:rPr>
                <w:sz w:val="20"/>
                <w:lang w:val="en-AU"/>
              </w:rPr>
              <w:t xml:space="preserve"> microgram/kg/mL. Gently mix the solution. </w:t>
            </w:r>
          </w:p>
          <w:p w:rsidR="006F04FD" w:rsidP="00FE4186" w:rsidRDefault="006F04FD" w14:paraId="26EB4A5C" w14:textId="77777777">
            <w:pPr>
              <w:pStyle w:val="BodyText"/>
              <w:rPr>
                <w:sz w:val="20"/>
                <w:lang w:val="en-AU"/>
              </w:rPr>
            </w:pPr>
            <w:r w:rsidRPr="00DB1814">
              <w:rPr>
                <w:sz w:val="20"/>
                <w:lang w:val="en-AU"/>
              </w:rPr>
              <w:t xml:space="preserve">1 mL/hour = </w:t>
            </w:r>
            <w:r>
              <w:rPr>
                <w:sz w:val="20"/>
                <w:lang w:val="en-AU"/>
              </w:rPr>
              <w:t>2</w:t>
            </w:r>
            <w:r w:rsidRPr="00DB1814">
              <w:rPr>
                <w:sz w:val="20"/>
                <w:lang w:val="en-AU"/>
              </w:rPr>
              <w:t xml:space="preserve"> microgram/kg/hour.</w:t>
            </w:r>
          </w:p>
          <w:p w:rsidR="006F04FD" w:rsidP="00FE4186" w:rsidRDefault="006F04FD" w14:paraId="2B90657E" w14:textId="77777777">
            <w:pPr>
              <w:pStyle w:val="BodyText"/>
              <w:rPr>
                <w:sz w:val="20"/>
                <w:lang w:val="en-AU"/>
              </w:rPr>
            </w:pPr>
          </w:p>
          <w:p w:rsidRPr="00026F20" w:rsidR="006F04FD" w:rsidP="00FE4186" w:rsidRDefault="006F04FD" w14:paraId="5D9263D8" w14:textId="77777777">
            <w:pPr>
              <w:pStyle w:val="BodyText"/>
              <w:rPr>
                <w:rFonts w:cs="Arial"/>
                <w:sz w:val="20"/>
                <w:lang w:val="en-AU"/>
              </w:rPr>
            </w:pPr>
            <w:r>
              <w:rPr>
                <w:sz w:val="20"/>
                <w:lang w:val="en-AU"/>
              </w:rPr>
              <w:t xml:space="preserve">Precedex Ready to Use® solution (4 microgram/mL) can be diluted if required (as per consensus). </w:t>
            </w:r>
          </w:p>
        </w:tc>
      </w:tr>
      <w:tr w:rsidRPr="003A7895" w:rsidR="006F04FD" w:rsidTr="00204576" w14:paraId="1EA73A73" w14:textId="77777777">
        <w:trPr>
          <w:trHeight w:val="224"/>
        </w:trPr>
        <w:tc>
          <w:tcPr>
            <w:tcW w:w="875" w:type="pct"/>
          </w:tcPr>
          <w:p w:rsidRPr="00B53E9B" w:rsidR="006F04FD" w:rsidP="00FE4186" w:rsidRDefault="006F04FD" w14:paraId="1BF057F0" w14:textId="77777777">
            <w:pPr>
              <w:pStyle w:val="BodyText"/>
              <w:rPr>
                <w:rFonts w:cs="Arial"/>
                <w:b/>
                <w:bCs/>
                <w:sz w:val="20"/>
                <w:lang w:val="en-AU"/>
              </w:rPr>
            </w:pPr>
            <w:r w:rsidRPr="00B53E9B">
              <w:rPr>
                <w:rFonts w:cs="Arial"/>
                <w:b/>
                <w:bCs/>
                <w:sz w:val="20"/>
                <w:lang w:val="en-AU"/>
              </w:rPr>
              <w:t xml:space="preserve">Administration                </w:t>
            </w:r>
          </w:p>
        </w:tc>
        <w:tc>
          <w:tcPr>
            <w:tcW w:w="4125" w:type="pct"/>
          </w:tcPr>
          <w:p w:rsidR="006F04FD" w:rsidP="00FE4186" w:rsidRDefault="006F04FD" w14:paraId="6E6A5AF1" w14:textId="77777777">
            <w:pPr>
              <w:pStyle w:val="BodyText"/>
              <w:rPr>
                <w:rFonts w:cs="Arial"/>
                <w:sz w:val="20"/>
              </w:rPr>
            </w:pPr>
            <w:r>
              <w:rPr>
                <w:rFonts w:cs="Arial"/>
                <w:sz w:val="20"/>
              </w:rPr>
              <w:t>IV infusion using a</w:t>
            </w:r>
            <w:r w:rsidRPr="00845824">
              <w:rPr>
                <w:rFonts w:cs="Arial"/>
                <w:sz w:val="20"/>
              </w:rPr>
              <w:t xml:space="preserve"> syringe infusion pump.</w:t>
            </w:r>
          </w:p>
          <w:p w:rsidRPr="00026F20" w:rsidR="006F04FD" w:rsidP="00FE4186" w:rsidRDefault="006F04FD" w14:paraId="012FB7B5" w14:textId="77777777">
            <w:pPr>
              <w:pStyle w:val="BodyText"/>
              <w:rPr>
                <w:rFonts w:cs="Arial"/>
                <w:sz w:val="20"/>
                <w:lang w:val="en-AU"/>
              </w:rPr>
            </w:pPr>
            <w:r w:rsidRPr="007E4562">
              <w:rPr>
                <w:rFonts w:cs="Arial"/>
                <w:sz w:val="20"/>
              </w:rPr>
              <w:t>Infusion should not be placed on any infusion</w:t>
            </w:r>
            <w:r>
              <w:rPr>
                <w:rFonts w:cs="Arial"/>
                <w:sz w:val="20"/>
              </w:rPr>
              <w:t xml:space="preserve"> line where boluses may be given</w:t>
            </w:r>
            <w:r w:rsidRPr="007E4562">
              <w:rPr>
                <w:rFonts w:cs="Arial"/>
                <w:sz w:val="20"/>
              </w:rPr>
              <w:t>.</w:t>
            </w:r>
          </w:p>
        </w:tc>
      </w:tr>
      <w:tr w:rsidRPr="003A7895" w:rsidR="006F04FD" w:rsidTr="00204576" w14:paraId="53985D84" w14:textId="77777777">
        <w:trPr>
          <w:trHeight w:val="215"/>
        </w:trPr>
        <w:tc>
          <w:tcPr>
            <w:tcW w:w="875" w:type="pct"/>
          </w:tcPr>
          <w:p w:rsidRPr="00B53E9B" w:rsidR="006F04FD" w:rsidP="00FE4186" w:rsidRDefault="006F04FD" w14:paraId="107A2140" w14:textId="77777777">
            <w:pPr>
              <w:pStyle w:val="BodyText"/>
              <w:rPr>
                <w:rFonts w:cs="Arial"/>
                <w:b/>
                <w:bCs/>
                <w:sz w:val="20"/>
                <w:lang w:val="en-AU"/>
              </w:rPr>
            </w:pPr>
            <w:r w:rsidRPr="00B53E9B">
              <w:rPr>
                <w:rFonts w:cs="Arial"/>
                <w:b/>
                <w:bCs/>
                <w:sz w:val="20"/>
                <w:lang w:val="en-AU"/>
              </w:rPr>
              <w:t xml:space="preserve">Monitoring                              </w:t>
            </w:r>
          </w:p>
        </w:tc>
        <w:tc>
          <w:tcPr>
            <w:tcW w:w="4125" w:type="pct"/>
          </w:tcPr>
          <w:p w:rsidR="006F04FD" w:rsidP="00FE4186" w:rsidRDefault="006F04FD" w14:paraId="385A6091" w14:textId="77777777">
            <w:pPr>
              <w:pStyle w:val="BodyText"/>
              <w:rPr>
                <w:rFonts w:cs="Arial"/>
                <w:sz w:val="20"/>
              </w:rPr>
            </w:pPr>
            <w:r w:rsidRPr="007E4562">
              <w:rPr>
                <w:rFonts w:cs="Arial"/>
                <w:sz w:val="20"/>
              </w:rPr>
              <w:t>Continuous electrocardiogram (ECG)</w:t>
            </w:r>
            <w:r>
              <w:rPr>
                <w:rFonts w:cs="Arial"/>
                <w:sz w:val="20"/>
              </w:rPr>
              <w:t>,</w:t>
            </w:r>
            <w:r w:rsidRPr="007E4562">
              <w:rPr>
                <w:rFonts w:cs="Arial"/>
                <w:sz w:val="20"/>
              </w:rPr>
              <w:t xml:space="preserve"> blood pressure and oxygen saturation monitoring</w:t>
            </w:r>
            <w:r>
              <w:rPr>
                <w:rFonts w:cs="Arial"/>
                <w:sz w:val="20"/>
              </w:rPr>
              <w:t xml:space="preserve">. </w:t>
            </w:r>
          </w:p>
          <w:p w:rsidR="006F04FD" w:rsidP="00FE4186" w:rsidRDefault="006F04FD" w14:paraId="7E37615E" w14:textId="77777777">
            <w:pPr>
              <w:pStyle w:val="BodyText"/>
              <w:rPr>
                <w:rFonts w:cs="Arial"/>
                <w:sz w:val="20"/>
              </w:rPr>
            </w:pPr>
            <w:r>
              <w:rPr>
                <w:rFonts w:cs="Arial"/>
                <w:sz w:val="20"/>
              </w:rPr>
              <w:t xml:space="preserve">Continuous or frequent temperature monitoring. </w:t>
            </w:r>
          </w:p>
          <w:p w:rsidRPr="00026F20" w:rsidR="006F04FD" w:rsidP="00FE4186" w:rsidRDefault="006F04FD" w14:paraId="2D9F4EA2" w14:textId="77777777">
            <w:pPr>
              <w:pStyle w:val="BodyText"/>
              <w:rPr>
                <w:rFonts w:cs="Arial"/>
                <w:sz w:val="20"/>
                <w:lang w:val="en-AU"/>
              </w:rPr>
            </w:pPr>
            <w:r>
              <w:rPr>
                <w:rFonts w:cs="Arial"/>
                <w:sz w:val="20"/>
              </w:rPr>
              <w:t xml:space="preserve">Monitor infant pain and comfort when used for sedation in ventilated patients. </w:t>
            </w:r>
          </w:p>
        </w:tc>
      </w:tr>
      <w:tr w:rsidRPr="003A7895" w:rsidR="006F04FD" w:rsidTr="00204576" w14:paraId="4B13C038" w14:textId="77777777">
        <w:trPr>
          <w:trHeight w:val="342"/>
        </w:trPr>
        <w:tc>
          <w:tcPr>
            <w:tcW w:w="875" w:type="pct"/>
          </w:tcPr>
          <w:p w:rsidRPr="00B53E9B" w:rsidR="006F04FD" w:rsidP="00FE4186" w:rsidRDefault="006F04FD" w14:paraId="1748616E" w14:textId="77777777">
            <w:pPr>
              <w:pStyle w:val="BodyText"/>
              <w:rPr>
                <w:rFonts w:cs="Arial"/>
                <w:b/>
                <w:bCs/>
                <w:sz w:val="20"/>
                <w:lang w:val="en-AU"/>
              </w:rPr>
            </w:pPr>
            <w:r w:rsidRPr="00B53E9B">
              <w:rPr>
                <w:rFonts w:cs="Arial"/>
                <w:b/>
                <w:bCs/>
                <w:sz w:val="20"/>
                <w:lang w:val="en-AU"/>
              </w:rPr>
              <w:t xml:space="preserve">Contraindications                        </w:t>
            </w:r>
          </w:p>
        </w:tc>
        <w:tc>
          <w:tcPr>
            <w:tcW w:w="4125" w:type="pct"/>
          </w:tcPr>
          <w:p w:rsidR="006F04FD" w:rsidP="001B0E05" w:rsidRDefault="006F04FD" w14:paraId="4ECE6F95" w14:textId="77777777">
            <w:pPr>
              <w:pStyle w:val="BodyText"/>
              <w:numPr>
                <w:ilvl w:val="0"/>
                <w:numId w:val="79"/>
              </w:numPr>
              <w:overflowPunct w:val="0"/>
              <w:autoSpaceDE w:val="0"/>
              <w:autoSpaceDN w:val="0"/>
              <w:adjustRightInd w:val="0"/>
              <w:jc w:val="left"/>
              <w:textAlignment w:val="baseline"/>
              <w:rPr>
                <w:sz w:val="20"/>
                <w:lang w:val="en-US"/>
              </w:rPr>
            </w:pPr>
            <w:r w:rsidRPr="00F917E9">
              <w:rPr>
                <w:sz w:val="20"/>
                <w:lang w:val="en-US"/>
              </w:rPr>
              <w:t xml:space="preserve">Hypersensitivity to the </w:t>
            </w:r>
            <w:r>
              <w:rPr>
                <w:sz w:val="20"/>
                <w:lang w:val="en-US"/>
              </w:rPr>
              <w:t>medication or any of the excipients.</w:t>
            </w:r>
          </w:p>
          <w:p w:rsidRPr="00026F20" w:rsidR="006F04FD" w:rsidP="001B0E05" w:rsidRDefault="006F04FD" w14:paraId="609B90ED" w14:textId="77777777">
            <w:pPr>
              <w:pStyle w:val="BodyText"/>
              <w:numPr>
                <w:ilvl w:val="0"/>
                <w:numId w:val="79"/>
              </w:numPr>
              <w:overflowPunct w:val="0"/>
              <w:autoSpaceDE w:val="0"/>
              <w:autoSpaceDN w:val="0"/>
              <w:adjustRightInd w:val="0"/>
              <w:jc w:val="left"/>
              <w:textAlignment w:val="baseline"/>
              <w:rPr>
                <w:rFonts w:cs="Arial"/>
                <w:sz w:val="20"/>
                <w:lang w:val="en-AU"/>
              </w:rPr>
            </w:pPr>
            <w:r w:rsidRPr="00F917E9">
              <w:rPr>
                <w:sz w:val="20"/>
                <w:lang w:val="en-US"/>
              </w:rPr>
              <w:t>Heart block or severe ventricular dysfunction</w:t>
            </w:r>
            <w:r>
              <w:rPr>
                <w:sz w:val="20"/>
                <w:lang w:val="en-US"/>
              </w:rPr>
              <w:t>.</w:t>
            </w:r>
          </w:p>
        </w:tc>
      </w:tr>
      <w:tr w:rsidRPr="003A7895" w:rsidR="006F04FD" w:rsidTr="00204576" w14:paraId="7671BD5E" w14:textId="77777777">
        <w:tc>
          <w:tcPr>
            <w:tcW w:w="875" w:type="pct"/>
          </w:tcPr>
          <w:p w:rsidRPr="00B53E9B" w:rsidR="006F04FD" w:rsidP="00FE4186" w:rsidRDefault="006F04FD" w14:paraId="4FC2024E"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4125" w:type="pct"/>
          </w:tcPr>
          <w:p w:rsidRPr="00F917E9" w:rsidR="006F04FD" w:rsidP="001B0E05" w:rsidRDefault="006F04FD" w14:paraId="60DF3BA2" w14:textId="77777777">
            <w:pPr>
              <w:pStyle w:val="BodyText"/>
              <w:numPr>
                <w:ilvl w:val="0"/>
                <w:numId w:val="80"/>
              </w:numPr>
              <w:overflowPunct w:val="0"/>
              <w:autoSpaceDE w:val="0"/>
              <w:autoSpaceDN w:val="0"/>
              <w:adjustRightInd w:val="0"/>
              <w:jc w:val="left"/>
              <w:textAlignment w:val="baseline"/>
              <w:rPr>
                <w:rFonts w:cs="Arial"/>
                <w:sz w:val="20"/>
              </w:rPr>
            </w:pPr>
            <w:r w:rsidRPr="00F917E9">
              <w:rPr>
                <w:rFonts w:cs="Arial"/>
                <w:sz w:val="20"/>
              </w:rPr>
              <w:t>If a patient is on vasodilators, h</w:t>
            </w:r>
            <w:r>
              <w:rPr>
                <w:rFonts w:cs="Arial"/>
                <w:sz w:val="20"/>
                <w:lang w:val="en-AU"/>
              </w:rPr>
              <w:t>a</w:t>
            </w:r>
            <w:r w:rsidRPr="00F917E9">
              <w:rPr>
                <w:rFonts w:cs="Arial"/>
                <w:sz w:val="20"/>
              </w:rPr>
              <w:t>emodynamics must be monitored closely</w:t>
            </w:r>
            <w:r>
              <w:rPr>
                <w:rFonts w:cs="Arial"/>
                <w:sz w:val="20"/>
              </w:rPr>
              <w:t>.</w:t>
            </w:r>
            <w:r w:rsidRPr="00F917E9">
              <w:rPr>
                <w:rFonts w:cs="Arial"/>
                <w:sz w:val="20"/>
              </w:rPr>
              <w:t xml:space="preserve"> If the patient becomes hypotensive, it may be necessary to decrease and/or stop </w:t>
            </w:r>
            <w:r>
              <w:rPr>
                <w:rFonts w:cs="Arial"/>
                <w:sz w:val="20"/>
                <w:lang w:val="en-AU"/>
              </w:rPr>
              <w:t>d</w:t>
            </w:r>
            <w:r w:rsidRPr="00F917E9">
              <w:rPr>
                <w:rFonts w:cs="Arial"/>
                <w:sz w:val="20"/>
              </w:rPr>
              <w:t xml:space="preserve">exmedetomidine or use vasopressors as needed to increase blood pressure. </w:t>
            </w:r>
          </w:p>
          <w:p w:rsidRPr="00F917E9" w:rsidR="006F04FD" w:rsidP="001B0E05" w:rsidRDefault="006F04FD" w14:paraId="6EFF92C3" w14:textId="77777777">
            <w:pPr>
              <w:pStyle w:val="BodyText"/>
              <w:numPr>
                <w:ilvl w:val="0"/>
                <w:numId w:val="80"/>
              </w:numPr>
              <w:overflowPunct w:val="0"/>
              <w:autoSpaceDE w:val="0"/>
              <w:autoSpaceDN w:val="0"/>
              <w:adjustRightInd w:val="0"/>
              <w:jc w:val="left"/>
              <w:textAlignment w:val="baseline"/>
              <w:rPr>
                <w:rFonts w:cs="Arial"/>
                <w:sz w:val="20"/>
              </w:rPr>
            </w:pPr>
            <w:r w:rsidRPr="00F917E9">
              <w:rPr>
                <w:rFonts w:cs="Arial"/>
                <w:sz w:val="20"/>
              </w:rPr>
              <w:t>Hypovolaemia</w:t>
            </w:r>
            <w:r>
              <w:rPr>
                <w:rFonts w:cs="Arial"/>
                <w:sz w:val="20"/>
                <w:lang w:val="en-AU"/>
              </w:rPr>
              <w:t>.</w:t>
            </w:r>
          </w:p>
          <w:p w:rsidRPr="00F917E9" w:rsidR="006F04FD" w:rsidP="001B0E05" w:rsidRDefault="006F04FD" w14:paraId="5DAE25AB" w14:textId="77777777">
            <w:pPr>
              <w:pStyle w:val="BodyText"/>
              <w:numPr>
                <w:ilvl w:val="0"/>
                <w:numId w:val="80"/>
              </w:numPr>
              <w:overflowPunct w:val="0"/>
              <w:autoSpaceDE w:val="0"/>
              <w:autoSpaceDN w:val="0"/>
              <w:adjustRightInd w:val="0"/>
              <w:jc w:val="left"/>
              <w:textAlignment w:val="baseline"/>
              <w:rPr>
                <w:rFonts w:cs="Arial"/>
                <w:sz w:val="20"/>
              </w:rPr>
            </w:pPr>
            <w:r w:rsidRPr="00F917E9">
              <w:rPr>
                <w:rFonts w:cs="Arial"/>
                <w:sz w:val="20"/>
              </w:rPr>
              <w:t>Bradycardia</w:t>
            </w:r>
            <w:r>
              <w:rPr>
                <w:rFonts w:cs="Arial"/>
                <w:sz w:val="20"/>
              </w:rPr>
              <w:t>.</w:t>
            </w:r>
          </w:p>
          <w:p w:rsidR="006F04FD" w:rsidP="001B0E05" w:rsidRDefault="006F04FD" w14:paraId="7CE8016F" w14:textId="77777777">
            <w:pPr>
              <w:pStyle w:val="BodyText"/>
              <w:numPr>
                <w:ilvl w:val="0"/>
                <w:numId w:val="80"/>
              </w:numPr>
              <w:overflowPunct w:val="0"/>
              <w:autoSpaceDE w:val="0"/>
              <w:autoSpaceDN w:val="0"/>
              <w:adjustRightInd w:val="0"/>
              <w:jc w:val="left"/>
              <w:textAlignment w:val="baseline"/>
              <w:rPr>
                <w:rFonts w:cs="Arial"/>
                <w:sz w:val="20"/>
              </w:rPr>
            </w:pPr>
            <w:r w:rsidRPr="00F917E9">
              <w:rPr>
                <w:rFonts w:cs="Arial"/>
                <w:sz w:val="20"/>
              </w:rPr>
              <w:t>Dosage reductions should be considered in patients with hepatic impairment</w:t>
            </w:r>
            <w:r>
              <w:rPr>
                <w:rFonts w:cs="Arial"/>
                <w:sz w:val="20"/>
              </w:rPr>
              <w:t xml:space="preserve"> or with concomitant use of other sedatives and analgesics.</w:t>
            </w:r>
          </w:p>
          <w:p w:rsidRPr="00026F20" w:rsidR="006F04FD" w:rsidP="001B0E05" w:rsidRDefault="006F04FD" w14:paraId="6B8C0A3D" w14:textId="77777777">
            <w:pPr>
              <w:pStyle w:val="BodyText"/>
              <w:numPr>
                <w:ilvl w:val="0"/>
                <w:numId w:val="80"/>
              </w:numPr>
              <w:overflowPunct w:val="0"/>
              <w:autoSpaceDE w:val="0"/>
              <w:autoSpaceDN w:val="0"/>
              <w:adjustRightInd w:val="0"/>
              <w:jc w:val="left"/>
              <w:textAlignment w:val="baseline"/>
              <w:rPr>
                <w:rFonts w:cs="Arial"/>
                <w:sz w:val="20"/>
                <w:lang w:val="en-AU"/>
              </w:rPr>
            </w:pPr>
            <w:r>
              <w:rPr>
                <w:rFonts w:cs="Arial"/>
                <w:sz w:val="20"/>
                <w:lang w:val="en-AU"/>
              </w:rPr>
              <w:lastRenderedPageBreak/>
              <w:t>To prevent inadvertent bolus of residual medication, s</w:t>
            </w:r>
            <w:r w:rsidRPr="000266AC">
              <w:rPr>
                <w:rFonts w:cs="Arial"/>
                <w:sz w:val="20"/>
              </w:rPr>
              <w:t>odium chloride</w:t>
            </w:r>
            <w:r>
              <w:rPr>
                <w:rFonts w:cs="Arial"/>
                <w:sz w:val="20"/>
                <w:lang w:val="en-AU"/>
              </w:rPr>
              <w:t xml:space="preserve"> 0.9%</w:t>
            </w:r>
            <w:r w:rsidRPr="000266AC">
              <w:rPr>
                <w:rFonts w:cs="Arial"/>
                <w:sz w:val="20"/>
              </w:rPr>
              <w:t xml:space="preserve"> or glucose</w:t>
            </w:r>
            <w:r>
              <w:rPr>
                <w:rFonts w:cs="Arial"/>
                <w:sz w:val="20"/>
                <w:lang w:val="en-AU"/>
              </w:rPr>
              <w:t xml:space="preserve"> 5%</w:t>
            </w:r>
            <w:r w:rsidRPr="000266AC">
              <w:rPr>
                <w:rFonts w:cs="Arial"/>
                <w:sz w:val="20"/>
              </w:rPr>
              <w:t xml:space="preserve"> should be infused at the same rate as the discontinued </w:t>
            </w:r>
            <w:r>
              <w:rPr>
                <w:rFonts w:cs="Arial"/>
                <w:sz w:val="20"/>
                <w:lang w:val="en-AU"/>
              </w:rPr>
              <w:t>d</w:t>
            </w:r>
            <w:r w:rsidRPr="000266AC">
              <w:rPr>
                <w:rFonts w:cs="Arial"/>
                <w:sz w:val="20"/>
              </w:rPr>
              <w:t>exmedetomidine infusion until the volume of the IV line has been cleared</w:t>
            </w:r>
            <w:r>
              <w:rPr>
                <w:rFonts w:cs="Arial"/>
                <w:sz w:val="20"/>
                <w:lang w:val="en-AU"/>
              </w:rPr>
              <w:t>.</w:t>
            </w:r>
          </w:p>
        </w:tc>
      </w:tr>
      <w:tr w:rsidRPr="003A7895" w:rsidR="006F04FD" w:rsidTr="00204576" w14:paraId="468974D9" w14:textId="77777777">
        <w:trPr>
          <w:trHeight w:val="70"/>
        </w:trPr>
        <w:tc>
          <w:tcPr>
            <w:tcW w:w="875" w:type="pct"/>
          </w:tcPr>
          <w:p w:rsidRPr="00B53E9B" w:rsidR="006F04FD" w:rsidP="00FE4186" w:rsidRDefault="006F04FD" w14:paraId="047ABF0E" w14:textId="77777777">
            <w:pPr>
              <w:pStyle w:val="BodyText"/>
              <w:rPr>
                <w:rFonts w:cs="Arial"/>
                <w:b/>
                <w:bCs/>
                <w:sz w:val="20"/>
                <w:lang w:val="en-AU"/>
              </w:rPr>
            </w:pPr>
            <w:r w:rsidRPr="00B53E9B">
              <w:rPr>
                <w:rFonts w:cs="Arial"/>
                <w:b/>
                <w:bCs/>
                <w:sz w:val="20"/>
                <w:lang w:val="en-AU"/>
              </w:rPr>
              <w:lastRenderedPageBreak/>
              <w:t xml:space="preserve">Drug </w:t>
            </w:r>
            <w:r>
              <w:rPr>
                <w:rFonts w:cs="Arial"/>
                <w:b/>
                <w:bCs/>
                <w:sz w:val="20"/>
                <w:lang w:val="en-AU"/>
              </w:rPr>
              <w:t>i</w:t>
            </w:r>
            <w:r w:rsidRPr="00B53E9B">
              <w:rPr>
                <w:rFonts w:cs="Arial"/>
                <w:b/>
                <w:bCs/>
                <w:sz w:val="20"/>
                <w:lang w:val="en-AU"/>
              </w:rPr>
              <w:t>nteractions</w:t>
            </w:r>
          </w:p>
        </w:tc>
        <w:tc>
          <w:tcPr>
            <w:tcW w:w="4125" w:type="pct"/>
          </w:tcPr>
          <w:p w:rsidRPr="001D41B5" w:rsidR="006F04FD" w:rsidP="00FE4186" w:rsidRDefault="006F04FD" w14:paraId="740031F5" w14:textId="77777777">
            <w:pPr>
              <w:pStyle w:val="BodyText"/>
              <w:rPr>
                <w:rFonts w:cs="Arial"/>
                <w:sz w:val="20"/>
              </w:rPr>
            </w:pPr>
            <w:r>
              <w:rPr>
                <w:rFonts w:cs="Arial"/>
                <w:sz w:val="20"/>
                <w:lang w:val="en-AU"/>
              </w:rPr>
              <w:t>E</w:t>
            </w:r>
            <w:r w:rsidRPr="00F917E9">
              <w:rPr>
                <w:rFonts w:cs="Arial"/>
                <w:sz w:val="20"/>
              </w:rPr>
              <w:t>nhance</w:t>
            </w:r>
            <w:r>
              <w:rPr>
                <w:rFonts w:cs="Arial"/>
                <w:sz w:val="20"/>
              </w:rPr>
              <w:t>s</w:t>
            </w:r>
            <w:r w:rsidRPr="00F917E9">
              <w:rPr>
                <w:rFonts w:cs="Arial"/>
                <w:sz w:val="20"/>
              </w:rPr>
              <w:t xml:space="preserve"> the effects of anaesthetics, sedatives, hypnotics and opioids.</w:t>
            </w:r>
          </w:p>
        </w:tc>
      </w:tr>
      <w:tr w:rsidRPr="003A7895" w:rsidR="006F04FD" w:rsidTr="00204576" w14:paraId="628168B0" w14:textId="77777777">
        <w:trPr>
          <w:trHeight w:val="332"/>
        </w:trPr>
        <w:tc>
          <w:tcPr>
            <w:tcW w:w="875" w:type="pct"/>
          </w:tcPr>
          <w:p w:rsidRPr="00B53E9B" w:rsidR="006F04FD" w:rsidP="00FE4186" w:rsidRDefault="006F04FD" w14:paraId="22547197"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4125" w:type="pct"/>
          </w:tcPr>
          <w:p w:rsidRPr="00F917E9" w:rsidR="006F04FD" w:rsidP="001B0E05" w:rsidRDefault="006F04FD" w14:paraId="1C966FA5" w14:textId="77777777">
            <w:pPr>
              <w:pStyle w:val="Default"/>
              <w:numPr>
                <w:ilvl w:val="0"/>
                <w:numId w:val="81"/>
              </w:numPr>
              <w:rPr>
                <w:rFonts w:asciiTheme="minorHAnsi" w:hAnsiTheme="minorHAnsi" w:cstheme="minorHAnsi"/>
                <w:sz w:val="20"/>
                <w:szCs w:val="20"/>
              </w:rPr>
            </w:pPr>
            <w:r w:rsidRPr="00F917E9">
              <w:rPr>
                <w:rFonts w:asciiTheme="minorHAnsi" w:hAnsiTheme="minorHAnsi" w:cstheme="minorHAnsi"/>
                <w:sz w:val="20"/>
                <w:szCs w:val="20"/>
              </w:rPr>
              <w:t xml:space="preserve">Severe bradycardia, arrhythmias and cardiac arrest. </w:t>
            </w:r>
          </w:p>
          <w:p w:rsidRPr="00F917E9" w:rsidR="006F04FD" w:rsidP="001B0E05" w:rsidRDefault="006F04FD" w14:paraId="5245D2D9" w14:textId="77777777">
            <w:pPr>
              <w:pStyle w:val="Default"/>
              <w:numPr>
                <w:ilvl w:val="0"/>
                <w:numId w:val="81"/>
              </w:numPr>
              <w:rPr>
                <w:rFonts w:asciiTheme="minorHAnsi" w:hAnsiTheme="minorHAnsi" w:cstheme="minorHAnsi"/>
                <w:sz w:val="20"/>
                <w:szCs w:val="20"/>
              </w:rPr>
            </w:pPr>
            <w:r w:rsidRPr="00F917E9">
              <w:rPr>
                <w:rFonts w:asciiTheme="minorHAnsi" w:hAnsiTheme="minorHAnsi" w:cstheme="minorHAnsi"/>
                <w:sz w:val="20"/>
                <w:szCs w:val="20"/>
              </w:rPr>
              <w:t>Patients who are hypovolaemic may become hypotensive</w:t>
            </w:r>
            <w:r>
              <w:rPr>
                <w:rFonts w:asciiTheme="minorHAnsi" w:hAnsiTheme="minorHAnsi" w:cstheme="minorHAnsi"/>
                <w:sz w:val="20"/>
                <w:szCs w:val="20"/>
              </w:rPr>
              <w:t>.</w:t>
            </w:r>
          </w:p>
          <w:p w:rsidRPr="00F917E9" w:rsidR="006F04FD" w:rsidP="001B0E05" w:rsidRDefault="006F04FD" w14:paraId="5BB6BABA" w14:textId="77777777">
            <w:pPr>
              <w:pStyle w:val="Default"/>
              <w:numPr>
                <w:ilvl w:val="0"/>
                <w:numId w:val="81"/>
              </w:numPr>
              <w:rPr>
                <w:rFonts w:asciiTheme="minorHAnsi" w:hAnsiTheme="minorHAnsi" w:cstheme="minorHAnsi"/>
                <w:sz w:val="20"/>
                <w:szCs w:val="20"/>
              </w:rPr>
            </w:pPr>
            <w:r w:rsidRPr="00F917E9">
              <w:rPr>
                <w:rFonts w:asciiTheme="minorHAnsi" w:hAnsiTheme="minorHAnsi" w:cstheme="minorHAnsi"/>
                <w:sz w:val="20"/>
                <w:szCs w:val="20"/>
              </w:rPr>
              <w:t>In situations where other vasodilators or negative chronotropic agents are administered</w:t>
            </w:r>
            <w:r>
              <w:rPr>
                <w:rFonts w:asciiTheme="minorHAnsi" w:hAnsiTheme="minorHAnsi" w:cstheme="minorHAnsi"/>
                <w:sz w:val="20"/>
                <w:szCs w:val="20"/>
              </w:rPr>
              <w:t>,</w:t>
            </w:r>
            <w:r w:rsidRPr="00F917E9">
              <w:rPr>
                <w:rFonts w:asciiTheme="minorHAnsi" w:hAnsiTheme="minorHAnsi" w:cstheme="minorHAnsi"/>
                <w:sz w:val="20"/>
                <w:szCs w:val="20"/>
              </w:rPr>
              <w:t xml:space="preserve"> co-administration of </w:t>
            </w:r>
            <w:r>
              <w:rPr>
                <w:rFonts w:asciiTheme="minorHAnsi" w:hAnsiTheme="minorHAnsi" w:cstheme="minorHAnsi"/>
                <w:sz w:val="20"/>
                <w:szCs w:val="20"/>
              </w:rPr>
              <w:t>d</w:t>
            </w:r>
            <w:r w:rsidRPr="00F917E9">
              <w:rPr>
                <w:rFonts w:asciiTheme="minorHAnsi" w:hAnsiTheme="minorHAnsi" w:cstheme="minorHAnsi"/>
                <w:sz w:val="20"/>
                <w:szCs w:val="20"/>
              </w:rPr>
              <w:t>exmedetomidine could have an additive pharmacodynamic effect causing hypotension and bradycardia</w:t>
            </w:r>
            <w:r>
              <w:rPr>
                <w:rFonts w:asciiTheme="minorHAnsi" w:hAnsiTheme="minorHAnsi" w:cstheme="minorHAnsi"/>
                <w:sz w:val="20"/>
                <w:szCs w:val="20"/>
              </w:rPr>
              <w:t>.</w:t>
            </w:r>
          </w:p>
          <w:p w:rsidRPr="00F917E9" w:rsidR="006F04FD" w:rsidP="001B0E05" w:rsidRDefault="006F04FD" w14:paraId="0C2660FE" w14:textId="77777777">
            <w:pPr>
              <w:pStyle w:val="Default"/>
              <w:numPr>
                <w:ilvl w:val="0"/>
                <w:numId w:val="81"/>
              </w:numPr>
              <w:rPr>
                <w:rFonts w:asciiTheme="minorHAnsi" w:hAnsiTheme="minorHAnsi" w:cstheme="minorHAnsi"/>
                <w:sz w:val="20"/>
                <w:szCs w:val="20"/>
              </w:rPr>
            </w:pPr>
            <w:r w:rsidRPr="00F917E9">
              <w:rPr>
                <w:rFonts w:asciiTheme="minorHAnsi" w:hAnsiTheme="minorHAnsi" w:cstheme="minorHAnsi"/>
                <w:sz w:val="20"/>
                <w:szCs w:val="20"/>
              </w:rPr>
              <w:t xml:space="preserve">Bradycardia and hypotension may be potentiated when </w:t>
            </w:r>
            <w:r>
              <w:rPr>
                <w:rFonts w:asciiTheme="minorHAnsi" w:hAnsiTheme="minorHAnsi" w:cstheme="minorHAnsi"/>
                <w:sz w:val="20"/>
                <w:szCs w:val="20"/>
              </w:rPr>
              <w:t>d</w:t>
            </w:r>
            <w:r w:rsidRPr="00F917E9">
              <w:rPr>
                <w:rFonts w:asciiTheme="minorHAnsi" w:hAnsiTheme="minorHAnsi" w:cstheme="minorHAnsi"/>
                <w:sz w:val="20"/>
                <w:szCs w:val="20"/>
              </w:rPr>
              <w:t>exmedetomidine is used concurrently with propofol or midazolam.</w:t>
            </w:r>
          </w:p>
          <w:p w:rsidR="006F04FD" w:rsidP="001B0E05" w:rsidRDefault="006F04FD" w14:paraId="3763A792" w14:textId="77777777">
            <w:pPr>
              <w:pStyle w:val="Default"/>
              <w:numPr>
                <w:ilvl w:val="0"/>
                <w:numId w:val="81"/>
              </w:numPr>
              <w:rPr>
                <w:rFonts w:asciiTheme="minorHAnsi" w:hAnsiTheme="minorHAnsi" w:cstheme="minorHAnsi"/>
                <w:sz w:val="20"/>
                <w:szCs w:val="20"/>
              </w:rPr>
            </w:pPr>
            <w:r w:rsidRPr="00F917E9">
              <w:rPr>
                <w:rFonts w:asciiTheme="minorHAnsi" w:hAnsiTheme="minorHAnsi" w:cstheme="minorHAnsi"/>
                <w:sz w:val="20"/>
                <w:szCs w:val="20"/>
              </w:rPr>
              <w:t>Nausea, fever, vomiting, hypoxia and anaemia.</w:t>
            </w:r>
          </w:p>
          <w:p w:rsidRPr="00855720" w:rsidR="006F04FD" w:rsidP="001B0E05" w:rsidRDefault="006F04FD" w14:paraId="052067D5" w14:textId="77777777">
            <w:pPr>
              <w:pStyle w:val="Default"/>
              <w:numPr>
                <w:ilvl w:val="0"/>
                <w:numId w:val="81"/>
              </w:numPr>
              <w:rPr>
                <w:rFonts w:ascii="Calibri" w:hAnsi="Calibri"/>
                <w:sz w:val="20"/>
              </w:rPr>
            </w:pPr>
            <w:r>
              <w:rPr>
                <w:rFonts w:asciiTheme="minorHAnsi" w:hAnsiTheme="minorHAnsi" w:cstheme="minorHAnsi"/>
                <w:sz w:val="20"/>
                <w:szCs w:val="20"/>
              </w:rPr>
              <w:t xml:space="preserve">Hypothermia. </w:t>
            </w:r>
          </w:p>
          <w:p w:rsidRPr="00026F20" w:rsidR="006F04FD" w:rsidP="001B0E05" w:rsidRDefault="006F04FD" w14:paraId="473BF70C" w14:textId="77777777">
            <w:pPr>
              <w:pStyle w:val="Default"/>
              <w:numPr>
                <w:ilvl w:val="0"/>
                <w:numId w:val="81"/>
              </w:numPr>
              <w:rPr>
                <w:rFonts w:ascii="Calibri" w:hAnsi="Calibri"/>
                <w:sz w:val="20"/>
              </w:rPr>
            </w:pPr>
            <w:r>
              <w:rPr>
                <w:rFonts w:asciiTheme="minorHAnsi" w:hAnsiTheme="minorHAnsi" w:cstheme="minorHAnsi"/>
                <w:sz w:val="20"/>
                <w:szCs w:val="20"/>
              </w:rPr>
              <w:t>Seizures.</w:t>
            </w:r>
          </w:p>
        </w:tc>
      </w:tr>
      <w:tr w:rsidRPr="003A7895" w:rsidR="006F04FD" w:rsidTr="00204576" w14:paraId="210905AD" w14:textId="77777777">
        <w:trPr>
          <w:trHeight w:val="180"/>
        </w:trPr>
        <w:tc>
          <w:tcPr>
            <w:tcW w:w="875" w:type="pct"/>
          </w:tcPr>
          <w:p w:rsidRPr="00B53E9B" w:rsidR="006F04FD" w:rsidP="00FE4186" w:rsidRDefault="006F04FD" w14:paraId="199A2645" w14:textId="77777777">
            <w:pPr>
              <w:pStyle w:val="BodyText"/>
              <w:rPr>
                <w:rFonts w:cs="Arial"/>
                <w:b/>
                <w:bCs/>
                <w:sz w:val="20"/>
                <w:lang w:val="en-AU"/>
              </w:rPr>
            </w:pPr>
            <w:r w:rsidRPr="00B53E9B">
              <w:rPr>
                <w:rFonts w:cs="Arial"/>
                <w:b/>
                <w:bCs/>
                <w:sz w:val="20"/>
                <w:lang w:val="en-AU"/>
              </w:rPr>
              <w:t>Compatibility</w:t>
            </w:r>
          </w:p>
        </w:tc>
        <w:tc>
          <w:tcPr>
            <w:tcW w:w="4125" w:type="pct"/>
          </w:tcPr>
          <w:p w:rsidR="006F04FD" w:rsidP="00FE4186" w:rsidRDefault="006F04FD" w14:paraId="49BAE1FC" w14:textId="77777777">
            <w:pPr>
              <w:pStyle w:val="BodyText"/>
              <w:rPr>
                <w:sz w:val="20"/>
                <w:lang w:val="en-AU"/>
              </w:rPr>
            </w:pPr>
            <w:r>
              <w:rPr>
                <w:sz w:val="20"/>
              </w:rPr>
              <w:t xml:space="preserve">Fluids: </w:t>
            </w:r>
            <w:r>
              <w:rPr>
                <w:sz w:val="20"/>
                <w:lang w:val="en-AU"/>
              </w:rPr>
              <w:t>G</w:t>
            </w:r>
            <w:r w:rsidRPr="000266AC">
              <w:rPr>
                <w:sz w:val="20"/>
              </w:rPr>
              <w:t>lucose</w:t>
            </w:r>
            <w:r>
              <w:rPr>
                <w:sz w:val="20"/>
                <w:lang w:val="en-AU"/>
              </w:rPr>
              <w:t xml:space="preserve"> 5%</w:t>
            </w:r>
            <w:r w:rsidRPr="000266AC">
              <w:rPr>
                <w:sz w:val="20"/>
              </w:rPr>
              <w:t xml:space="preserve"> and sodium chloride</w:t>
            </w:r>
            <w:r>
              <w:rPr>
                <w:sz w:val="20"/>
                <w:lang w:val="en-AU"/>
              </w:rPr>
              <w:t xml:space="preserve"> 0.9%.</w:t>
            </w:r>
          </w:p>
          <w:p w:rsidRPr="00C7553F" w:rsidR="006F04FD" w:rsidP="00FE4186" w:rsidRDefault="006F04FD" w14:paraId="217C4DE0" w14:textId="77777777">
            <w:pPr>
              <w:pStyle w:val="BodyText"/>
              <w:rPr>
                <w:sz w:val="20"/>
                <w:lang w:val="en-AU"/>
              </w:rPr>
            </w:pPr>
          </w:p>
          <w:p w:rsidR="006F04FD" w:rsidP="00FE4186" w:rsidRDefault="006F04FD" w14:paraId="38C44F3C" w14:textId="77777777">
            <w:pPr>
              <w:pStyle w:val="BodyText"/>
              <w:rPr>
                <w:sz w:val="20"/>
                <w:lang w:val="en-AU"/>
              </w:rPr>
            </w:pPr>
            <w:r>
              <w:rPr>
                <w:sz w:val="20"/>
              </w:rPr>
              <w:t xml:space="preserve">Y site: </w:t>
            </w:r>
            <w:r>
              <w:rPr>
                <w:sz w:val="20"/>
                <w:lang w:val="en-AU"/>
              </w:rPr>
              <w:t>Giving other drugs via Y-site may change the infusion rate of dexmedetomidine.</w:t>
            </w:r>
          </w:p>
          <w:p w:rsidRPr="00026F20" w:rsidR="006F04FD" w:rsidP="00FE4186" w:rsidRDefault="006F04FD" w14:paraId="5E2087DD" w14:textId="77777777">
            <w:pPr>
              <w:pStyle w:val="BodyText"/>
              <w:rPr>
                <w:sz w:val="20"/>
                <w:lang w:val="en-AU"/>
              </w:rPr>
            </w:pPr>
            <w:r w:rsidRPr="007B7297">
              <w:rPr>
                <w:sz w:val="20"/>
              </w:rPr>
              <w:t xml:space="preserve">Adrenaline </w:t>
            </w:r>
            <w:r w:rsidRPr="00433E7D">
              <w:rPr>
                <w:sz w:val="20"/>
              </w:rPr>
              <w:t>(epinephrine)</w:t>
            </w:r>
            <w:r>
              <w:rPr>
                <w:sz w:val="20"/>
              </w:rPr>
              <w:t>,</w:t>
            </w:r>
            <w:r w:rsidRPr="00433E7D">
              <w:rPr>
                <w:sz w:val="20"/>
              </w:rPr>
              <w:t xml:space="preserve"> alfentanil, amikacin, aminophylline, amiodarone, </w:t>
            </w:r>
            <w:r>
              <w:rPr>
                <w:sz w:val="20"/>
                <w:lang w:val="en-AU"/>
              </w:rPr>
              <w:t xml:space="preserve">amphotericin B liposome, </w:t>
            </w:r>
            <w:r w:rsidRPr="00433E7D">
              <w:rPr>
                <w:sz w:val="20"/>
              </w:rPr>
              <w:t xml:space="preserve">ampicillin, azithromycin, aztreonam, calcium gluconate, cefazolin, cefepime, cefotaxime, cefoxitin, ceftazidime, ceftriaxone, ciprofloxacin, cisatracurium, clindamycin, dexamethasone, digoxin, </w:t>
            </w:r>
            <w:r w:rsidRPr="007B7297">
              <w:rPr>
                <w:sz w:val="20"/>
              </w:rPr>
              <w:t>dobutamine</w:t>
            </w:r>
            <w:r w:rsidRPr="00BB4D4A">
              <w:rPr>
                <w:sz w:val="20"/>
              </w:rPr>
              <w:t xml:space="preserve">, </w:t>
            </w:r>
            <w:r w:rsidRPr="007B7297">
              <w:rPr>
                <w:sz w:val="20"/>
              </w:rPr>
              <w:t>dolasetron</w:t>
            </w:r>
            <w:r w:rsidRPr="00C7553F">
              <w:rPr>
                <w:color w:val="FF0000"/>
                <w:sz w:val="20"/>
              </w:rPr>
              <w:t xml:space="preserve">, </w:t>
            </w:r>
            <w:r w:rsidRPr="007B7297">
              <w:rPr>
                <w:sz w:val="20"/>
              </w:rPr>
              <w:t>dopamine</w:t>
            </w:r>
            <w:r w:rsidRPr="00433E7D">
              <w:rPr>
                <w:sz w:val="20"/>
              </w:rPr>
              <w:t>, droperidol, ephedrine sulfate, erythromycin, esmolo</w:t>
            </w:r>
            <w:r>
              <w:rPr>
                <w:sz w:val="20"/>
              </w:rPr>
              <w:t>l</w:t>
            </w:r>
            <w:r w:rsidRPr="00433E7D">
              <w:rPr>
                <w:sz w:val="20"/>
              </w:rPr>
              <w:t xml:space="preserve">, </w:t>
            </w:r>
            <w:r>
              <w:rPr>
                <w:sz w:val="20"/>
                <w:lang w:val="en-AU"/>
              </w:rPr>
              <w:t xml:space="preserve">fentanyl, </w:t>
            </w:r>
            <w:r w:rsidRPr="00433E7D">
              <w:rPr>
                <w:sz w:val="20"/>
              </w:rPr>
              <w:t xml:space="preserve">fluconazole, furosemide (frusemide), gentamicin, glyceryl trinitrate, </w:t>
            </w:r>
            <w:r>
              <w:rPr>
                <w:sz w:val="20"/>
                <w:lang w:val="en-AU"/>
              </w:rPr>
              <w:t xml:space="preserve">glycopyrronium bromide (glycopyrrolate), </w:t>
            </w:r>
            <w:r w:rsidRPr="00433E7D">
              <w:rPr>
                <w:sz w:val="20"/>
              </w:rPr>
              <w:t xml:space="preserve">heparin, </w:t>
            </w:r>
            <w:r>
              <w:rPr>
                <w:sz w:val="20"/>
                <w:lang w:val="en-AU"/>
              </w:rPr>
              <w:t xml:space="preserve">hydromorphone, ketamine, lidocaine (lignocaine), </w:t>
            </w:r>
            <w:r w:rsidRPr="00433E7D">
              <w:rPr>
                <w:sz w:val="20"/>
              </w:rPr>
              <w:t xml:space="preserve">linezolid, magnesium sulfate, methylprednisolone sodium succinate, metoclopramide, metronidazole, </w:t>
            </w:r>
            <w:r>
              <w:rPr>
                <w:sz w:val="20"/>
                <w:lang w:val="en-AU"/>
              </w:rPr>
              <w:t xml:space="preserve">midazolam, </w:t>
            </w:r>
            <w:r w:rsidRPr="00433E7D">
              <w:rPr>
                <w:sz w:val="20"/>
              </w:rPr>
              <w:t xml:space="preserve">milrinone, </w:t>
            </w:r>
            <w:r>
              <w:rPr>
                <w:sz w:val="20"/>
                <w:lang w:val="en-AU"/>
              </w:rPr>
              <w:t xml:space="preserve">morphine, naloxone, </w:t>
            </w:r>
            <w:r w:rsidRPr="00433E7D">
              <w:rPr>
                <w:sz w:val="20"/>
              </w:rPr>
              <w:t xml:space="preserve">noradrenaline (norepinephrine), </w:t>
            </w:r>
            <w:r>
              <w:rPr>
                <w:sz w:val="20"/>
                <w:lang w:val="en-AU"/>
              </w:rPr>
              <w:t xml:space="preserve">pancuronium, paracetamol, </w:t>
            </w:r>
            <w:r w:rsidRPr="00433E7D">
              <w:rPr>
                <w:sz w:val="20"/>
              </w:rPr>
              <w:t>piperacillin-tazobactam</w:t>
            </w:r>
            <w:r>
              <w:rPr>
                <w:sz w:val="20"/>
                <w:lang w:val="en-AU"/>
              </w:rPr>
              <w:t xml:space="preserve"> (EDTA-free)</w:t>
            </w:r>
            <w:r w:rsidRPr="00433E7D">
              <w:rPr>
                <w:sz w:val="20"/>
              </w:rPr>
              <w:t xml:space="preserve">, </w:t>
            </w:r>
            <w:r>
              <w:rPr>
                <w:sz w:val="20"/>
                <w:lang w:val="en-AU"/>
              </w:rPr>
              <w:t xml:space="preserve">phenobarbital (phenobarbitone0, </w:t>
            </w:r>
            <w:r w:rsidRPr="00433E7D">
              <w:rPr>
                <w:sz w:val="20"/>
              </w:rPr>
              <w:t>potassium chloride,</w:t>
            </w:r>
            <w:r>
              <w:rPr>
                <w:sz w:val="20"/>
                <w:lang w:val="en-AU"/>
              </w:rPr>
              <w:t xml:space="preserve"> promethazine, propofol,</w:t>
            </w:r>
            <w:r w:rsidRPr="00433E7D">
              <w:rPr>
                <w:sz w:val="20"/>
              </w:rPr>
              <w:t xml:space="preserve"> </w:t>
            </w:r>
            <w:r>
              <w:rPr>
                <w:sz w:val="20"/>
              </w:rPr>
              <w:t>r</w:t>
            </w:r>
            <w:r w:rsidRPr="00433E7D">
              <w:rPr>
                <w:sz w:val="20"/>
              </w:rPr>
              <w:t>anitidine, remifentanil</w:t>
            </w:r>
            <w:r>
              <w:rPr>
                <w:sz w:val="20"/>
              </w:rPr>
              <w:t>, rocuronium</w:t>
            </w:r>
            <w:r w:rsidRPr="00433E7D">
              <w:rPr>
                <w:sz w:val="20"/>
              </w:rPr>
              <w:t xml:space="preserve">, sodium bicarbonate, sodium nitroprusside, </w:t>
            </w:r>
            <w:r>
              <w:rPr>
                <w:sz w:val="20"/>
                <w:lang w:val="en-AU"/>
              </w:rPr>
              <w:t xml:space="preserve">suxamethonium, </w:t>
            </w:r>
            <w:r w:rsidRPr="00433E7D">
              <w:rPr>
                <w:sz w:val="20"/>
              </w:rPr>
              <w:t>thiopental sodium, tobramycin, trimethoprim-sulfamethoxazole, vancomycin, vecuronium, verapamil</w:t>
            </w:r>
            <w:r>
              <w:rPr>
                <w:sz w:val="20"/>
              </w:rPr>
              <w:t>.</w:t>
            </w:r>
          </w:p>
        </w:tc>
      </w:tr>
      <w:tr w:rsidRPr="003A7895" w:rsidR="006F04FD" w:rsidTr="00204576" w14:paraId="094DF233" w14:textId="77777777">
        <w:trPr>
          <w:trHeight w:val="230"/>
        </w:trPr>
        <w:tc>
          <w:tcPr>
            <w:tcW w:w="875" w:type="pct"/>
          </w:tcPr>
          <w:p w:rsidRPr="00B53E9B" w:rsidR="006F04FD" w:rsidP="00FE4186" w:rsidRDefault="006F04FD" w14:paraId="722B6FE6" w14:textId="77777777">
            <w:pPr>
              <w:pStyle w:val="BodyText"/>
              <w:rPr>
                <w:rFonts w:cs="Arial"/>
                <w:b/>
                <w:bCs/>
                <w:sz w:val="20"/>
                <w:lang w:val="en-AU"/>
              </w:rPr>
            </w:pPr>
            <w:r w:rsidRPr="00B53E9B">
              <w:rPr>
                <w:rFonts w:cs="Arial"/>
                <w:b/>
                <w:bCs/>
                <w:sz w:val="20"/>
                <w:lang w:val="en-AU"/>
              </w:rPr>
              <w:t>Incompatibility</w:t>
            </w:r>
          </w:p>
        </w:tc>
        <w:tc>
          <w:tcPr>
            <w:tcW w:w="4125" w:type="pct"/>
          </w:tcPr>
          <w:p w:rsidRPr="007B7297" w:rsidR="006F04FD" w:rsidP="00FE4186" w:rsidRDefault="006F04FD" w14:paraId="0770B149" w14:textId="77777777">
            <w:pPr>
              <w:pStyle w:val="BodyText"/>
              <w:rPr>
                <w:rFonts w:cs="Arial"/>
                <w:sz w:val="20"/>
                <w:lang w:val="en-AU"/>
              </w:rPr>
            </w:pPr>
            <w:r>
              <w:rPr>
                <w:sz w:val="20"/>
              </w:rPr>
              <w:t>A</w:t>
            </w:r>
            <w:r w:rsidRPr="000266AC">
              <w:rPr>
                <w:sz w:val="20"/>
              </w:rPr>
              <w:t xml:space="preserve">mphotericin B </w:t>
            </w:r>
            <w:r>
              <w:rPr>
                <w:sz w:val="20"/>
                <w:lang w:val="en-AU"/>
              </w:rPr>
              <w:t>conventional colloidal, amphotericin B lipid complex,</w:t>
            </w:r>
            <w:r w:rsidRPr="000266AC">
              <w:rPr>
                <w:sz w:val="20"/>
              </w:rPr>
              <w:t xml:space="preserve"> diazepam</w:t>
            </w:r>
            <w:r>
              <w:rPr>
                <w:sz w:val="20"/>
                <w:lang w:val="en-AU"/>
              </w:rPr>
              <w:t>, pantoprazole, phenytoin.</w:t>
            </w:r>
          </w:p>
        </w:tc>
      </w:tr>
      <w:tr w:rsidRPr="003A7895" w:rsidR="006F04FD" w:rsidTr="00204576" w14:paraId="33EC2BD3" w14:textId="77777777">
        <w:trPr>
          <w:trHeight w:val="79"/>
        </w:trPr>
        <w:tc>
          <w:tcPr>
            <w:tcW w:w="875" w:type="pct"/>
          </w:tcPr>
          <w:p w:rsidRPr="00B53E9B" w:rsidR="006F04FD" w:rsidP="00FE4186" w:rsidRDefault="006F04FD" w14:paraId="0E51363E" w14:textId="77777777">
            <w:pPr>
              <w:pStyle w:val="BodyText"/>
              <w:rPr>
                <w:rFonts w:cs="Arial"/>
                <w:b/>
                <w:bCs/>
                <w:sz w:val="20"/>
                <w:lang w:val="en-AU"/>
              </w:rPr>
            </w:pPr>
            <w:r w:rsidRPr="00B53E9B">
              <w:rPr>
                <w:rFonts w:cs="Arial"/>
                <w:b/>
                <w:bCs/>
                <w:sz w:val="20"/>
                <w:lang w:val="en-AU"/>
              </w:rPr>
              <w:t xml:space="preserve">Stability   </w:t>
            </w:r>
          </w:p>
        </w:tc>
        <w:tc>
          <w:tcPr>
            <w:tcW w:w="4125" w:type="pct"/>
          </w:tcPr>
          <w:p w:rsidRPr="00BB4D4A" w:rsidR="006F04FD" w:rsidP="00FE4186" w:rsidRDefault="006F04FD" w14:paraId="5C9AA656" w14:textId="77777777">
            <w:pPr>
              <w:pStyle w:val="BodyText"/>
              <w:rPr>
                <w:rFonts w:cs="Arial"/>
                <w:sz w:val="20"/>
                <w:lang w:val="en-AU"/>
              </w:rPr>
            </w:pPr>
            <w:r w:rsidRPr="00CD215C">
              <w:rPr>
                <w:rFonts w:cs="Arial"/>
                <w:sz w:val="20"/>
              </w:rPr>
              <w:t xml:space="preserve">Reconstituted </w:t>
            </w:r>
            <w:r>
              <w:rPr>
                <w:rFonts w:cs="Arial"/>
                <w:sz w:val="20"/>
              </w:rPr>
              <w:t>d</w:t>
            </w:r>
            <w:r w:rsidRPr="00CD215C">
              <w:rPr>
                <w:rFonts w:cs="Arial"/>
                <w:sz w:val="20"/>
              </w:rPr>
              <w:t>exmedetomidine in</w:t>
            </w:r>
            <w:r>
              <w:rPr>
                <w:rFonts w:cs="Arial"/>
                <w:sz w:val="20"/>
              </w:rPr>
              <w:t>fusion</w:t>
            </w:r>
            <w:r>
              <w:rPr>
                <w:rFonts w:cs="Arial"/>
                <w:sz w:val="20"/>
                <w:lang w:val="en-AU"/>
              </w:rPr>
              <w:t xml:space="preserve"> is stable for 24 hours.</w:t>
            </w:r>
            <w:r>
              <w:rPr>
                <w:rFonts w:cs="Arial"/>
                <w:sz w:val="20"/>
              </w:rPr>
              <w:t xml:space="preserve"> </w:t>
            </w:r>
          </w:p>
        </w:tc>
      </w:tr>
      <w:tr w:rsidRPr="003A7895" w:rsidR="006F04FD" w:rsidTr="00204576" w14:paraId="0205C3A0" w14:textId="77777777">
        <w:trPr>
          <w:trHeight w:val="70"/>
        </w:trPr>
        <w:tc>
          <w:tcPr>
            <w:tcW w:w="875" w:type="pct"/>
          </w:tcPr>
          <w:p w:rsidRPr="00B53E9B" w:rsidR="006F04FD" w:rsidP="00FE4186" w:rsidRDefault="006F04FD" w14:paraId="065A1DCA" w14:textId="77777777">
            <w:pPr>
              <w:pStyle w:val="BodyText"/>
              <w:rPr>
                <w:rFonts w:cs="Arial"/>
                <w:b/>
                <w:bCs/>
                <w:sz w:val="20"/>
                <w:lang w:val="en-AU"/>
              </w:rPr>
            </w:pPr>
            <w:r w:rsidRPr="00B53E9B">
              <w:rPr>
                <w:rFonts w:cs="Arial"/>
                <w:b/>
                <w:bCs/>
                <w:sz w:val="20"/>
                <w:lang w:val="en-AU"/>
              </w:rPr>
              <w:t xml:space="preserve">Storage             </w:t>
            </w:r>
          </w:p>
        </w:tc>
        <w:tc>
          <w:tcPr>
            <w:tcW w:w="4125" w:type="pct"/>
          </w:tcPr>
          <w:p w:rsidRPr="00C7553F" w:rsidR="006F04FD" w:rsidP="00FE4186" w:rsidRDefault="006F04FD" w14:paraId="4A358395" w14:textId="77777777">
            <w:pPr>
              <w:rPr>
                <w:rFonts w:asciiTheme="minorHAnsi" w:hAnsiTheme="minorHAnsi" w:cstheme="minorHAnsi"/>
                <w:sz w:val="20"/>
              </w:rPr>
            </w:pPr>
            <w:r w:rsidRPr="00C7553F">
              <w:rPr>
                <w:rFonts w:asciiTheme="minorHAnsi" w:hAnsiTheme="minorHAnsi" w:cstheme="minorHAnsi"/>
                <w:sz w:val="20"/>
              </w:rPr>
              <w:t>Store below 25°C in the original container.</w:t>
            </w:r>
          </w:p>
        </w:tc>
      </w:tr>
      <w:tr w:rsidRPr="003A7895" w:rsidR="006F04FD" w:rsidTr="00204576" w14:paraId="1F3647CD" w14:textId="77777777">
        <w:trPr>
          <w:trHeight w:val="70"/>
        </w:trPr>
        <w:tc>
          <w:tcPr>
            <w:tcW w:w="875" w:type="pct"/>
          </w:tcPr>
          <w:p w:rsidRPr="00B53E9B" w:rsidR="006F04FD" w:rsidP="00FE4186" w:rsidRDefault="006F04FD" w14:paraId="322E7218" w14:textId="77777777">
            <w:pPr>
              <w:pStyle w:val="BodyText"/>
              <w:rPr>
                <w:rFonts w:cs="Arial"/>
                <w:b/>
                <w:bCs/>
                <w:sz w:val="20"/>
                <w:lang w:val="en-AU"/>
              </w:rPr>
            </w:pPr>
            <w:r w:rsidRPr="00B53E9B">
              <w:rPr>
                <w:rFonts w:cs="Arial"/>
                <w:b/>
                <w:bCs/>
                <w:sz w:val="20"/>
                <w:lang w:val="en-AU"/>
              </w:rPr>
              <w:t>Excipients</w:t>
            </w:r>
          </w:p>
        </w:tc>
        <w:tc>
          <w:tcPr>
            <w:tcW w:w="4125" w:type="pct"/>
          </w:tcPr>
          <w:p w:rsidRPr="00C7553F" w:rsidR="006F04FD" w:rsidP="00FE4186" w:rsidRDefault="006F04FD" w14:paraId="3ADBD990" w14:textId="77777777">
            <w:pPr>
              <w:rPr>
                <w:rFonts w:asciiTheme="minorHAnsi" w:hAnsiTheme="minorHAnsi" w:cstheme="minorHAnsi"/>
                <w:sz w:val="20"/>
              </w:rPr>
            </w:pPr>
            <w:r w:rsidRPr="00C7553F">
              <w:rPr>
                <w:rFonts w:asciiTheme="minorHAnsi" w:hAnsiTheme="minorHAnsi" w:cstheme="minorHAnsi"/>
                <w:sz w:val="20"/>
              </w:rPr>
              <w:t>Sodium chloride 9 mg/mL, water for injections.</w:t>
            </w:r>
          </w:p>
        </w:tc>
      </w:tr>
      <w:tr w:rsidRPr="003A7895" w:rsidR="006F04FD" w:rsidTr="00204576" w14:paraId="50536FEF" w14:textId="77777777">
        <w:trPr>
          <w:trHeight w:val="270"/>
        </w:trPr>
        <w:tc>
          <w:tcPr>
            <w:tcW w:w="875" w:type="pct"/>
          </w:tcPr>
          <w:p w:rsidRPr="00B53E9B" w:rsidR="006F04FD" w:rsidP="00FE4186" w:rsidRDefault="006F04FD" w14:paraId="006D38D3"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4125" w:type="pct"/>
          </w:tcPr>
          <w:p w:rsidRPr="00026F20" w:rsidR="006F04FD" w:rsidP="00FE4186" w:rsidRDefault="006F04FD" w14:paraId="7929B6B6" w14:textId="77777777">
            <w:pPr>
              <w:pStyle w:val="BodyText"/>
              <w:rPr>
                <w:rFonts w:cs="Arial"/>
                <w:sz w:val="20"/>
                <w:lang w:val="en-AU"/>
              </w:rPr>
            </w:pPr>
          </w:p>
        </w:tc>
      </w:tr>
      <w:tr w:rsidRPr="003A7895" w:rsidR="006F04FD" w:rsidTr="00204576" w14:paraId="69F13A78" w14:textId="77777777">
        <w:trPr>
          <w:trHeight w:val="280"/>
        </w:trPr>
        <w:tc>
          <w:tcPr>
            <w:tcW w:w="875" w:type="pct"/>
          </w:tcPr>
          <w:p w:rsidRPr="00B53E9B" w:rsidR="006F04FD" w:rsidP="00FE4186" w:rsidRDefault="006F04FD" w14:paraId="2BFA06F5" w14:textId="77777777">
            <w:pPr>
              <w:pStyle w:val="BodyText"/>
              <w:rPr>
                <w:rFonts w:cs="Arial"/>
                <w:b/>
                <w:bCs/>
                <w:sz w:val="20"/>
                <w:lang w:val="en-AU"/>
              </w:rPr>
            </w:pPr>
            <w:r w:rsidRPr="00B53E9B">
              <w:rPr>
                <w:rFonts w:cs="Arial"/>
                <w:b/>
                <w:bCs/>
                <w:sz w:val="20"/>
                <w:lang w:val="en-AU"/>
              </w:rPr>
              <w:t xml:space="preserve">Evidence </w:t>
            </w:r>
          </w:p>
        </w:tc>
        <w:tc>
          <w:tcPr>
            <w:tcW w:w="4125" w:type="pct"/>
          </w:tcPr>
          <w:p w:rsidRPr="006F04FD" w:rsidR="006F04FD" w:rsidP="00FE4186" w:rsidRDefault="006F04FD" w14:paraId="31E9A465" w14:textId="77777777">
            <w:pPr>
              <w:pStyle w:val="BodyText"/>
              <w:tabs>
                <w:tab w:val="left" w:pos="1168"/>
              </w:tabs>
              <w:rPr>
                <w:sz w:val="16"/>
                <w:szCs w:val="16"/>
              </w:rPr>
            </w:pPr>
            <w:r w:rsidRPr="006F04FD">
              <w:rPr>
                <w:sz w:val="16"/>
                <w:szCs w:val="16"/>
              </w:rPr>
              <w:t>Dexmedetomidine is approved for sedation in adult intensive care patients, and is increasingly used off-label in paediatric patients to prevent agitation: as premedication in the form of intranasal, buccal and oral solution, as an adjunct for elective surgery; as a sedative for magnetic resonance imaging; as intraoperative analgesia; for extracorporeal shock wave lithotripsy; as an adjuvant for nerve blocks; and intravenously in intensive care units with the purpose of sedation of children.</w:t>
            </w:r>
            <w:r w:rsidRPr="006F04FD">
              <w:rPr>
                <w:sz w:val="16"/>
                <w:szCs w:val="16"/>
                <w:lang w:val="en-AU"/>
              </w:rPr>
              <w:t xml:space="preserve"> </w:t>
            </w:r>
            <w:r w:rsidRPr="006F04FD">
              <w:rPr>
                <w:noProof/>
                <w:sz w:val="16"/>
                <w:szCs w:val="16"/>
              </w:rPr>
              <w:t>[6]</w:t>
            </w:r>
            <w:r w:rsidRPr="006F04FD">
              <w:rPr>
                <w:sz w:val="16"/>
                <w:szCs w:val="16"/>
              </w:rPr>
              <w:t xml:space="preserve"> Compared with clonidine (an α2-agonist that has been used for several decades), dexmedetomidine has a greater selectivity for α2-receptors (α2: α1 ratio of 1620:1 vs. 220:1). As central α1-adrenoceptor activation counteracts the sedative α2 effects, dexmedetomidine is a more potent sedative than clonidine.</w:t>
            </w:r>
          </w:p>
          <w:p w:rsidRPr="006F04FD" w:rsidR="006F04FD" w:rsidP="00FE4186" w:rsidRDefault="006F04FD" w14:paraId="6B5483CA" w14:textId="77777777">
            <w:pPr>
              <w:pStyle w:val="BodyText"/>
              <w:tabs>
                <w:tab w:val="left" w:pos="1168"/>
              </w:tabs>
              <w:rPr>
                <w:b/>
                <w:sz w:val="16"/>
                <w:szCs w:val="16"/>
              </w:rPr>
            </w:pPr>
          </w:p>
          <w:p w:rsidRPr="006F04FD" w:rsidR="006F04FD" w:rsidP="00FE4186" w:rsidRDefault="006F04FD" w14:paraId="2450D911" w14:textId="77777777">
            <w:pPr>
              <w:pStyle w:val="BodyText"/>
              <w:tabs>
                <w:tab w:val="left" w:pos="1168"/>
              </w:tabs>
              <w:rPr>
                <w:b/>
                <w:sz w:val="16"/>
                <w:szCs w:val="16"/>
              </w:rPr>
            </w:pPr>
            <w:r w:rsidRPr="006F04FD">
              <w:rPr>
                <w:b/>
                <w:sz w:val="16"/>
                <w:szCs w:val="16"/>
              </w:rPr>
              <w:t>Efficacy</w:t>
            </w:r>
          </w:p>
          <w:p w:rsidRPr="006F04FD" w:rsidR="006F04FD" w:rsidP="00FE4186" w:rsidRDefault="006F04FD" w14:paraId="4CA41E3E" w14:textId="77777777">
            <w:pPr>
              <w:rPr>
                <w:sz w:val="16"/>
                <w:szCs w:val="16"/>
              </w:rPr>
            </w:pPr>
            <w:r w:rsidRPr="006F04FD">
              <w:rPr>
                <w:b/>
                <w:sz w:val="16"/>
                <w:szCs w:val="16"/>
              </w:rPr>
              <w:t xml:space="preserve">Sedation for agitated ventilated patients: </w:t>
            </w:r>
            <w:r w:rsidRPr="006F04FD">
              <w:rPr>
                <w:sz w:val="16"/>
                <w:szCs w:val="16"/>
              </w:rPr>
              <w:t xml:space="preserve">A Cochrane systematic review including seven studies covering 1624 participants found that compared with other sedatives, long-term sedation using dexmedetomidine in critically ill adults reduced the duration of mechanical ventilation and ICU length of stay. Dexmedetomidine doubled the incidence of bradycardia, which was the most commonly reported adverse event. Effect on other adverse event rates compared to other sedatives was heterogeneous including: hypotension; hypertension; tachycardia; first degree heart block; hyperglycaemia; and hypoglycaemia. There was no evidence that dexmedetomidine changed the overall death rate. [LOE I in adults] Children, infants and newborns were not included. </w:t>
            </w:r>
            <w:r w:rsidRPr="006F04FD">
              <w:rPr>
                <w:noProof/>
                <w:sz w:val="16"/>
                <w:szCs w:val="16"/>
              </w:rPr>
              <w:t>[7]</w:t>
            </w:r>
            <w:r w:rsidRPr="006F04FD">
              <w:rPr>
                <w:sz w:val="16"/>
                <w:szCs w:val="16"/>
              </w:rPr>
              <w:t xml:space="preserve"> </w:t>
            </w:r>
          </w:p>
          <w:p w:rsidRPr="006F04FD" w:rsidR="006F04FD" w:rsidP="00FE4186" w:rsidRDefault="006F04FD" w14:paraId="4F290BC9" w14:textId="77777777">
            <w:pPr>
              <w:rPr>
                <w:sz w:val="16"/>
                <w:szCs w:val="16"/>
              </w:rPr>
            </w:pPr>
          </w:p>
          <w:p w:rsidRPr="006F04FD" w:rsidR="006F04FD" w:rsidP="00FE4186" w:rsidRDefault="006F04FD" w14:paraId="74B600FF" w14:textId="77777777">
            <w:pPr>
              <w:rPr>
                <w:sz w:val="16"/>
                <w:szCs w:val="16"/>
              </w:rPr>
            </w:pPr>
            <w:r w:rsidRPr="006F04FD">
              <w:rPr>
                <w:sz w:val="16"/>
                <w:szCs w:val="16"/>
              </w:rPr>
              <w:t xml:space="preserve">A systematic review published in abstract form only reported 31 studies of prolonged dexmedetomidine sedation in paediatric patients involving a total of 3342 patients with nearly all being case series (94%) and retrospective (87%). </w:t>
            </w:r>
            <w:r w:rsidRPr="006F04FD">
              <w:rPr>
                <w:sz w:val="16"/>
                <w:szCs w:val="16"/>
              </w:rPr>
              <w:lastRenderedPageBreak/>
              <w:t xml:space="preserve">No randomised trials were found. </w:t>
            </w:r>
            <w:r w:rsidRPr="006F04FD">
              <w:rPr>
                <w:noProof/>
                <w:sz w:val="16"/>
                <w:szCs w:val="16"/>
              </w:rPr>
              <w:t>[8]</w:t>
            </w:r>
            <w:r w:rsidRPr="006F04FD">
              <w:rPr>
                <w:sz w:val="16"/>
                <w:szCs w:val="16"/>
              </w:rPr>
              <w:t xml:space="preserve"> A RCT of dexmedetomidine use in term neonates with moderate to severe hypoxic ischaemic encephalopathy is awaiting publication. </w:t>
            </w:r>
            <w:r w:rsidRPr="006F04FD">
              <w:rPr>
                <w:noProof/>
                <w:sz w:val="16"/>
                <w:szCs w:val="16"/>
              </w:rPr>
              <w:t>[9]</w:t>
            </w:r>
          </w:p>
          <w:p w:rsidRPr="006F04FD" w:rsidR="006F04FD" w:rsidP="00FE4186" w:rsidRDefault="006F04FD" w14:paraId="055134D2" w14:textId="77777777">
            <w:pPr>
              <w:rPr>
                <w:sz w:val="16"/>
                <w:szCs w:val="16"/>
              </w:rPr>
            </w:pPr>
          </w:p>
          <w:p w:rsidRPr="006F04FD" w:rsidR="006F04FD" w:rsidP="00FE4186" w:rsidRDefault="006F04FD" w14:paraId="17640B46" w14:textId="77777777">
            <w:pPr>
              <w:rPr>
                <w:sz w:val="16"/>
                <w:szCs w:val="16"/>
              </w:rPr>
            </w:pPr>
            <w:r w:rsidRPr="006F04FD">
              <w:rPr>
                <w:sz w:val="16"/>
                <w:szCs w:val="16"/>
              </w:rPr>
              <w:t xml:space="preserve">A dose escalation study </w:t>
            </w:r>
            <w:r w:rsidRPr="006F04FD">
              <w:rPr>
                <w:noProof/>
                <w:sz w:val="16"/>
                <w:szCs w:val="16"/>
              </w:rPr>
              <w:t>[10]</w:t>
            </w:r>
            <w:r w:rsidRPr="006F04FD">
              <w:rPr>
                <w:sz w:val="16"/>
                <w:szCs w:val="16"/>
              </w:rPr>
              <w:t xml:space="preserve"> in preterm (28-36 weeks gestation, n=18) and full-term (36-44 weeks, n=24) mechanically ventilated infants assessed the effects of 3 dosage levels of dexmedetomidine: Level 1: loading dose (LD) 0.05 microgram/kg; maintenance dose (MD) 0.05 microgram/kg/hour; Level 2: LD 0.1 microgram/kg; MD 0.1 microgram/kg/hour; Level 3: LD 0.2 microgram/kg; MD 0.2 microgram/kg/hour. Rescue sedation (midazolam) was given in 1 (7%) at level 1, 1 (7%) at level 2, and 2 (14%) at level 3. Rescue sedation was required in 4 (17%) preterm infants and 4 (10%) term infants. Rescue analgaesia (opioid) was given in 5 (36%) at level 1, and 5 (36%) at level 2; and 7 (50%) at level 3. Rescue sedation was required in 3 (17%) preterm infants and 14 (58%) term infants. Three adverse events were assessed as definitely related to dexmedetomidine: diastolic hypotension in a preterm infant at dose level 2; hypertension in a term infant at dose level 1; and significant agitation in a term infant at dose level 3. They concluded premature neonates were adequately sedated with dexmedetomidine alone, although doses up to 0.2 microgram/kg/hour were not sufficient in most term neonates.</w:t>
            </w:r>
          </w:p>
          <w:p w:rsidRPr="006F04FD" w:rsidR="006F04FD" w:rsidP="00FE4186" w:rsidRDefault="006F04FD" w14:paraId="74112BA2" w14:textId="77777777">
            <w:pPr>
              <w:rPr>
                <w:sz w:val="16"/>
                <w:szCs w:val="16"/>
              </w:rPr>
            </w:pPr>
          </w:p>
          <w:p w:rsidRPr="006F04FD" w:rsidR="006F04FD" w:rsidP="00FE4186" w:rsidRDefault="006F04FD" w14:paraId="51C3D053" w14:textId="77777777">
            <w:pPr>
              <w:rPr>
                <w:sz w:val="16"/>
                <w:szCs w:val="16"/>
              </w:rPr>
            </w:pPr>
            <w:r w:rsidRPr="006F04FD">
              <w:rPr>
                <w:sz w:val="16"/>
                <w:szCs w:val="16"/>
              </w:rPr>
              <w:t xml:space="preserve">O’Mara et al </w:t>
            </w:r>
            <w:r w:rsidRPr="006F04FD">
              <w:rPr>
                <w:noProof/>
                <w:sz w:val="16"/>
                <w:szCs w:val="16"/>
              </w:rPr>
              <w:t>[11]</w:t>
            </w:r>
            <w:r w:rsidRPr="006F04FD">
              <w:rPr>
                <w:sz w:val="16"/>
                <w:szCs w:val="16"/>
              </w:rPr>
              <w:t xml:space="preserve"> reported a case control study of 48 preterm neonates requiring mechanical ventilation who received fentanyl (n=24) or dexmedetomidine (n=24) for pain or sedation. Dexmedetomidine was administered as a 0.5 microgram/kg bolus, followed by a maintenance infusion 0.3 microgram/kg/hour, increased by 0.1 microgram/kg/hour up to twice daily if there were elevated sedation scores with a need for &gt;3 doses of adjunctive sedation during a 12-hour period. Patients in the dexmedetomidine group required less adjunctive sedation (54.1% vs. 16.5%, p&lt;0.0001), shorter duration of mechanical ventilation, reduced time to meconium passage and reduced time to achievement of full enteral feeds. There were no differences in haemodynamic parameters between the 2 groups. </w:t>
            </w:r>
          </w:p>
          <w:p w:rsidRPr="006F04FD" w:rsidR="006F04FD" w:rsidP="00FE4186" w:rsidRDefault="006F04FD" w14:paraId="601BDE56" w14:textId="77777777">
            <w:pPr>
              <w:rPr>
                <w:sz w:val="16"/>
                <w:szCs w:val="16"/>
              </w:rPr>
            </w:pPr>
          </w:p>
          <w:p w:rsidRPr="006F04FD" w:rsidR="006F04FD" w:rsidP="00FE4186" w:rsidRDefault="006F04FD" w14:paraId="282D6F72" w14:textId="77777777">
            <w:pPr>
              <w:rPr>
                <w:sz w:val="16"/>
                <w:szCs w:val="16"/>
              </w:rPr>
            </w:pPr>
            <w:r w:rsidRPr="006F04FD">
              <w:rPr>
                <w:sz w:val="16"/>
                <w:szCs w:val="16"/>
              </w:rPr>
              <w:t>Conclusion: There are no data from RCTs supporting the use of dexmedetomidine for sedation of ventilated children, infants or newborns. RCTs are required to determine the effectiveness and safety of dexmedetomidine in ventilated newborn infants. [LOE IV newborn infants]</w:t>
            </w:r>
          </w:p>
          <w:p w:rsidRPr="006F04FD" w:rsidR="006F04FD" w:rsidP="00FE4186" w:rsidRDefault="006F04FD" w14:paraId="721938F6" w14:textId="77777777">
            <w:pPr>
              <w:rPr>
                <w:sz w:val="16"/>
                <w:szCs w:val="16"/>
              </w:rPr>
            </w:pPr>
          </w:p>
          <w:p w:rsidRPr="006F04FD" w:rsidR="006F04FD" w:rsidP="00FE4186" w:rsidRDefault="006F04FD" w14:paraId="4CAB1952" w14:textId="77777777">
            <w:pPr>
              <w:pStyle w:val="BodyText"/>
              <w:tabs>
                <w:tab w:val="left" w:pos="1168"/>
              </w:tabs>
              <w:rPr>
                <w:sz w:val="16"/>
                <w:szCs w:val="16"/>
              </w:rPr>
            </w:pPr>
            <w:r w:rsidRPr="006F04FD">
              <w:rPr>
                <w:b/>
                <w:sz w:val="16"/>
                <w:szCs w:val="16"/>
              </w:rPr>
              <w:t xml:space="preserve">Adjunct with inhalational anaesthesia for procedures: </w:t>
            </w:r>
            <w:r w:rsidRPr="006F04FD">
              <w:rPr>
                <w:sz w:val="16"/>
                <w:szCs w:val="16"/>
              </w:rPr>
              <w:t xml:space="preserve">A systematic review </w:t>
            </w:r>
            <w:r w:rsidRPr="006F04FD">
              <w:rPr>
                <w:noProof/>
                <w:sz w:val="16"/>
                <w:szCs w:val="16"/>
              </w:rPr>
              <w:t>[12]</w:t>
            </w:r>
            <w:r w:rsidRPr="006F04FD">
              <w:rPr>
                <w:sz w:val="16"/>
                <w:szCs w:val="16"/>
              </w:rPr>
              <w:t xml:space="preserve"> of RCTs in paediatric patients undergoing inhalational anaesthesia using sevoflurane included 14 RCTs involving painful procedures in children and infants </w:t>
            </w:r>
            <w:r w:rsidRPr="006F04FD">
              <w:rPr>
                <w:sz w:val="16"/>
                <w:szCs w:val="16"/>
                <w:lang w:val="en-AU"/>
              </w:rPr>
              <w:t xml:space="preserve">of </w:t>
            </w:r>
            <w:r w:rsidRPr="006F04FD">
              <w:rPr>
                <w:sz w:val="16"/>
                <w:szCs w:val="16"/>
              </w:rPr>
              <w:t xml:space="preserve">whom 777 received dexmedetomidine and 693 received placebo. No trial enrolled newborns. Bolus dexmedetomidine dose ranged from 0.3 to 2 </w:t>
            </w:r>
            <w:r w:rsidRPr="006F04FD">
              <w:rPr>
                <w:sz w:val="16"/>
                <w:szCs w:val="16"/>
                <w:lang w:val="en-AU"/>
              </w:rPr>
              <w:t>microgram</w:t>
            </w:r>
            <w:r w:rsidRPr="006F04FD">
              <w:rPr>
                <w:sz w:val="16"/>
                <w:szCs w:val="16"/>
              </w:rPr>
              <w:t xml:space="preserve">/kg and maintenance dose 0.1 to 0.7 </w:t>
            </w:r>
            <w:r w:rsidRPr="006F04FD">
              <w:rPr>
                <w:sz w:val="16"/>
                <w:szCs w:val="16"/>
                <w:lang w:val="en-AU"/>
              </w:rPr>
              <w:t>microgram</w:t>
            </w:r>
            <w:r w:rsidRPr="006F04FD">
              <w:rPr>
                <w:sz w:val="16"/>
                <w:szCs w:val="16"/>
              </w:rPr>
              <w:t xml:space="preserve">/kg/hour. Intraoperative dexmedetomidine was associated with reduced postoperative opioid use </w:t>
            </w:r>
            <w:r w:rsidRPr="006F04FD">
              <w:rPr>
                <w:sz w:val="16"/>
                <w:szCs w:val="16"/>
                <w:lang w:val="en-AU"/>
              </w:rPr>
              <w:t xml:space="preserve">in </w:t>
            </w:r>
            <w:r w:rsidRPr="006F04FD">
              <w:rPr>
                <w:sz w:val="16"/>
                <w:szCs w:val="16"/>
              </w:rPr>
              <w:t>the post</w:t>
            </w:r>
            <w:r w:rsidRPr="006F04FD">
              <w:rPr>
                <w:sz w:val="16"/>
                <w:szCs w:val="16"/>
                <w:lang w:val="en-AU"/>
              </w:rPr>
              <w:t>-</w:t>
            </w:r>
            <w:r w:rsidRPr="006F04FD">
              <w:rPr>
                <w:sz w:val="16"/>
                <w:szCs w:val="16"/>
              </w:rPr>
              <w:t>anaesthesia care unit [RR 0.31 (0.17, 0.59), I</w:t>
            </w:r>
            <w:r w:rsidRPr="006F04FD">
              <w:rPr>
                <w:sz w:val="16"/>
                <w:szCs w:val="16"/>
                <w:vertAlign w:val="superscript"/>
              </w:rPr>
              <w:t>2</w:t>
            </w:r>
            <w:r w:rsidRPr="006F04FD">
              <w:rPr>
                <w:sz w:val="16"/>
                <w:szCs w:val="16"/>
              </w:rPr>
              <w:t>= 76%, p&lt;0.0001], decreased post-operative pain intensity [SMD -1.18 (-1.88, -0.48), I</w:t>
            </w:r>
            <w:r w:rsidRPr="006F04FD">
              <w:rPr>
                <w:sz w:val="16"/>
                <w:szCs w:val="16"/>
                <w:vertAlign w:val="superscript"/>
              </w:rPr>
              <w:t>2</w:t>
            </w:r>
            <w:r w:rsidRPr="006F04FD">
              <w:rPr>
                <w:sz w:val="16"/>
                <w:szCs w:val="16"/>
              </w:rPr>
              <w:t xml:space="preserve"> = 91%, p&lt;0.0001] but had no effect upon postoperative nausea and vomiting incidence [RR = 0.67 (0.41, 1.08), I</w:t>
            </w:r>
            <w:r w:rsidRPr="006F04FD">
              <w:rPr>
                <w:sz w:val="16"/>
                <w:szCs w:val="16"/>
                <w:vertAlign w:val="superscript"/>
              </w:rPr>
              <w:t>2</w:t>
            </w:r>
            <w:r w:rsidRPr="006F04FD">
              <w:rPr>
                <w:sz w:val="16"/>
                <w:szCs w:val="16"/>
              </w:rPr>
              <w:t xml:space="preserve"> = 0%, p = 0.48]. Subgroup analyses found administration during adeno</w:t>
            </w:r>
            <w:r w:rsidRPr="006F04FD">
              <w:rPr>
                <w:sz w:val="16"/>
                <w:szCs w:val="16"/>
                <w:lang w:val="en-AU"/>
              </w:rPr>
              <w:t>-</w:t>
            </w:r>
            <w:r w:rsidRPr="006F04FD">
              <w:rPr>
                <w:sz w:val="16"/>
                <w:szCs w:val="16"/>
              </w:rPr>
              <w:t xml:space="preserve">tonsillectomy and using a bolus &lt;0.5 </w:t>
            </w:r>
            <w:r w:rsidRPr="006F04FD">
              <w:rPr>
                <w:sz w:val="16"/>
                <w:szCs w:val="16"/>
                <w:lang w:val="en-AU"/>
              </w:rPr>
              <w:t>microgram</w:t>
            </w:r>
            <w:r w:rsidRPr="006F04FD">
              <w:rPr>
                <w:sz w:val="16"/>
                <w:szCs w:val="16"/>
              </w:rPr>
              <w:t xml:space="preserve">/kg irrespective of continuous administration </w:t>
            </w:r>
            <w:r w:rsidRPr="006F04FD">
              <w:rPr>
                <w:sz w:val="16"/>
                <w:szCs w:val="16"/>
                <w:lang w:val="en-AU"/>
              </w:rPr>
              <w:t>was</w:t>
            </w:r>
            <w:r w:rsidRPr="006F04FD">
              <w:rPr>
                <w:sz w:val="16"/>
                <w:szCs w:val="16"/>
              </w:rPr>
              <w:t xml:space="preserve"> associated with no effect. This supports the findings of a previous systematic review </w:t>
            </w:r>
            <w:r w:rsidRPr="006F04FD">
              <w:rPr>
                <w:noProof/>
                <w:sz w:val="16"/>
                <w:szCs w:val="16"/>
              </w:rPr>
              <w:t>[13]</w:t>
            </w:r>
            <w:r w:rsidRPr="006F04FD">
              <w:rPr>
                <w:sz w:val="16"/>
                <w:szCs w:val="16"/>
              </w:rPr>
              <w:t xml:space="preserve"> of use of intraoperative dexmedetomidine compared to opioids or placebo for acute postoperative pain in children which included 11 RCTs with 874 children. A lower risk for postoperative pain and need for postoperative opioids following intraoperative dexmedetomidine compared with placebo or opioids in children undergoing surgery was reported. Five trials including 240 patients reported bradycardia or hypotension, with one episode of bradycardia treated with atropine and two episodes of hypotension treated with saline bolus. </w:t>
            </w:r>
            <w:r w:rsidRPr="006F04FD">
              <w:rPr>
                <w:rFonts w:cs="Arial"/>
                <w:sz w:val="16"/>
                <w:szCs w:val="16"/>
              </w:rPr>
              <w:t xml:space="preserve">Newborns were not included in the trials. </w:t>
            </w:r>
            <w:r w:rsidRPr="006F04FD">
              <w:rPr>
                <w:sz w:val="16"/>
                <w:szCs w:val="16"/>
              </w:rPr>
              <w:t xml:space="preserve">[LOE I in infants and children] </w:t>
            </w:r>
          </w:p>
          <w:p w:rsidRPr="006F04FD" w:rsidR="006F04FD" w:rsidP="00FE4186" w:rsidRDefault="006F04FD" w14:paraId="5AF7449E" w14:textId="77777777">
            <w:pPr>
              <w:pStyle w:val="BodyText"/>
              <w:tabs>
                <w:tab w:val="left" w:pos="1168"/>
              </w:tabs>
              <w:rPr>
                <w:sz w:val="16"/>
                <w:szCs w:val="16"/>
              </w:rPr>
            </w:pPr>
          </w:p>
          <w:p w:rsidRPr="006F04FD" w:rsidR="006F04FD" w:rsidP="00FE4186" w:rsidRDefault="006F04FD" w14:paraId="5B103577" w14:textId="77777777">
            <w:pPr>
              <w:pStyle w:val="BodyText"/>
              <w:tabs>
                <w:tab w:val="left" w:pos="1168"/>
              </w:tabs>
              <w:rPr>
                <w:sz w:val="16"/>
                <w:szCs w:val="16"/>
              </w:rPr>
            </w:pPr>
            <w:r w:rsidRPr="006F04FD">
              <w:rPr>
                <w:sz w:val="16"/>
                <w:szCs w:val="16"/>
              </w:rPr>
              <w:t xml:space="preserve">A network meta-analysis of RCTs </w:t>
            </w:r>
            <w:r w:rsidRPr="006F04FD">
              <w:rPr>
                <w:noProof/>
                <w:sz w:val="16"/>
                <w:szCs w:val="16"/>
              </w:rPr>
              <w:t>[14]</w:t>
            </w:r>
            <w:r w:rsidRPr="006F04FD">
              <w:rPr>
                <w:sz w:val="16"/>
                <w:szCs w:val="16"/>
              </w:rPr>
              <w:t xml:space="preserve"> assessing the effects of different auxiliary drugs in paediatric sevoflurane anaesthesia found dexmedetomidine reduced likelihood of emergent agitation, reduced post-operative nausea and vomiting, decreased sedative use and reduced paediatric anaesthesia emergence delirium compared to placebo, but was associated with a longer extubation time compared to those who were given placebo. Compared to other </w:t>
            </w:r>
            <w:r w:rsidRPr="006F04FD">
              <w:rPr>
                <w:rFonts w:cs="Arial"/>
                <w:sz w:val="16"/>
                <w:szCs w:val="16"/>
              </w:rPr>
              <w:t xml:space="preserve">agents, fentanyl was more effective than dexmedetomidine in reducing risk of emergence agitation and paediatric anaesthesia emergence delirium, but patients were more likely to experience postoperative nausea and vomiting and require additional analgaesia compared to those in the dexmedetomidine group. The network meta-analysis concluded dexmedetomidine should be considered as the most appropriate prophylactic treatment that can be introduced into sevoflurane anaesthesia. Newborns were not included in the trials. [LOE I </w:t>
            </w:r>
            <w:r w:rsidRPr="006F04FD">
              <w:rPr>
                <w:sz w:val="16"/>
                <w:szCs w:val="16"/>
              </w:rPr>
              <w:t>in infants and children].</w:t>
            </w:r>
          </w:p>
          <w:p w:rsidRPr="006F04FD" w:rsidR="006F04FD" w:rsidP="00FE4186" w:rsidRDefault="006F04FD" w14:paraId="17E00ECB" w14:textId="77777777">
            <w:pPr>
              <w:pStyle w:val="BodyText"/>
              <w:tabs>
                <w:tab w:val="left" w:pos="1168"/>
              </w:tabs>
              <w:rPr>
                <w:sz w:val="16"/>
                <w:szCs w:val="16"/>
              </w:rPr>
            </w:pPr>
          </w:p>
          <w:p w:rsidRPr="006F04FD" w:rsidR="006F04FD" w:rsidP="00FE4186" w:rsidRDefault="006F04FD" w14:paraId="09A43F31" w14:textId="77777777">
            <w:pPr>
              <w:pStyle w:val="BodyText"/>
              <w:tabs>
                <w:tab w:val="left" w:pos="1168"/>
              </w:tabs>
              <w:rPr>
                <w:sz w:val="16"/>
                <w:szCs w:val="16"/>
              </w:rPr>
            </w:pPr>
            <w:r w:rsidRPr="006F04FD">
              <w:rPr>
                <w:sz w:val="16"/>
                <w:szCs w:val="16"/>
              </w:rPr>
              <w:t xml:space="preserve">Three case series have reported use of dexmedetomidine as an adjunct to anaesthetic in infants undergoing surgical procedures. </w:t>
            </w:r>
            <w:r w:rsidRPr="006F04FD">
              <w:rPr>
                <w:noProof/>
                <w:sz w:val="16"/>
                <w:szCs w:val="16"/>
              </w:rPr>
              <w:t>[15-17]</w:t>
            </w:r>
            <w:r w:rsidRPr="006F04FD">
              <w:rPr>
                <w:sz w:val="16"/>
                <w:szCs w:val="16"/>
              </w:rPr>
              <w:t xml:space="preserve"> Ozcengiz et al </w:t>
            </w:r>
            <w:r w:rsidRPr="006F04FD">
              <w:rPr>
                <w:noProof/>
                <w:sz w:val="16"/>
                <w:szCs w:val="16"/>
              </w:rPr>
              <w:t>[16]</w:t>
            </w:r>
            <w:r w:rsidRPr="006F04FD">
              <w:rPr>
                <w:sz w:val="16"/>
                <w:szCs w:val="16"/>
              </w:rPr>
              <w:t xml:space="preserve"> reported 16 newborns aged 2-28 days </w:t>
            </w:r>
            <w:r w:rsidRPr="006F04FD">
              <w:rPr>
                <w:sz w:val="16"/>
                <w:szCs w:val="16"/>
                <w:lang w:val="en-AU"/>
              </w:rPr>
              <w:t xml:space="preserve">who </w:t>
            </w:r>
            <w:r w:rsidRPr="006F04FD">
              <w:rPr>
                <w:sz w:val="16"/>
                <w:szCs w:val="16"/>
              </w:rPr>
              <w:t xml:space="preserve">underwent general anaesthesia using dexmedetomidine and sevoflurane for abdominal surgical procedures. </w:t>
            </w:r>
            <w:r w:rsidRPr="006F04FD">
              <w:rPr>
                <w:sz w:val="16"/>
                <w:szCs w:val="16"/>
                <w:lang w:val="en-AU"/>
              </w:rPr>
              <w:t>E</w:t>
            </w:r>
            <w:r w:rsidRPr="006F04FD">
              <w:rPr>
                <w:sz w:val="16"/>
                <w:szCs w:val="16"/>
              </w:rPr>
              <w:t xml:space="preserve">xcluded from the report </w:t>
            </w:r>
            <w:r w:rsidRPr="006F04FD">
              <w:rPr>
                <w:sz w:val="16"/>
                <w:szCs w:val="16"/>
                <w:lang w:val="en-AU"/>
              </w:rPr>
              <w:t>were 4 infants who</w:t>
            </w:r>
            <w:r w:rsidRPr="006F04FD">
              <w:rPr>
                <w:sz w:val="16"/>
                <w:szCs w:val="16"/>
              </w:rPr>
              <w:t xml:space="preserve"> experienced bradycardia treated with atropine which led to a change in the induction protocol. Anaesthesia was induced with 1 microgram/kg ketamine intravenously, then dexmedetomidine 1 μg/kg infused over 10 minutes. Maintenance infusion was started as 0.5-0.8 μg/kg/hour until the end of surgery. No significant difference</w:t>
            </w:r>
            <w:r w:rsidRPr="006F04FD">
              <w:rPr>
                <w:sz w:val="16"/>
                <w:szCs w:val="16"/>
                <w:lang w:val="en-AU"/>
              </w:rPr>
              <w:t>s</w:t>
            </w:r>
            <w:r w:rsidRPr="006F04FD">
              <w:rPr>
                <w:sz w:val="16"/>
                <w:szCs w:val="16"/>
              </w:rPr>
              <w:t xml:space="preserve"> </w:t>
            </w:r>
            <w:r w:rsidRPr="006F04FD">
              <w:rPr>
                <w:sz w:val="16"/>
                <w:szCs w:val="16"/>
                <w:lang w:val="en-AU"/>
              </w:rPr>
              <w:t>were</w:t>
            </w:r>
            <w:r w:rsidRPr="006F04FD">
              <w:rPr>
                <w:sz w:val="16"/>
                <w:szCs w:val="16"/>
              </w:rPr>
              <w:t xml:space="preserve"> observed in haemodynamic parameters from baseline values. No patient had hypotension, bradycardia, hypertension, hypoxia or respiratory depression. Patients had mild to moderate hypothermia during </w:t>
            </w:r>
            <w:r w:rsidRPr="006F04FD">
              <w:rPr>
                <w:sz w:val="16"/>
                <w:szCs w:val="16"/>
                <w:lang w:val="en-AU"/>
              </w:rPr>
              <w:t xml:space="preserve">the </w:t>
            </w:r>
            <w:r w:rsidRPr="006F04FD">
              <w:rPr>
                <w:sz w:val="16"/>
                <w:szCs w:val="16"/>
              </w:rPr>
              <w:t xml:space="preserve">postoperative period. Lam et al </w:t>
            </w:r>
            <w:r w:rsidRPr="006F04FD">
              <w:rPr>
                <w:noProof/>
                <w:sz w:val="16"/>
                <w:szCs w:val="16"/>
              </w:rPr>
              <w:t>[15]</w:t>
            </w:r>
            <w:r w:rsidRPr="006F04FD">
              <w:rPr>
                <w:sz w:val="16"/>
                <w:szCs w:val="16"/>
              </w:rPr>
              <w:t xml:space="preserve"> reported a case series of 50 neonates and infants with heart disease. Use of a dexmedetomidine infusion during and/or after heart surgery was safe from a haemodynamic standpoint. Sellas et al </w:t>
            </w:r>
            <w:r w:rsidRPr="006F04FD">
              <w:rPr>
                <w:noProof/>
                <w:sz w:val="16"/>
                <w:szCs w:val="16"/>
              </w:rPr>
              <w:t>[17]</w:t>
            </w:r>
            <w:r w:rsidRPr="006F04FD">
              <w:rPr>
                <w:sz w:val="16"/>
                <w:szCs w:val="16"/>
              </w:rPr>
              <w:t xml:space="preserve"> reported a </w:t>
            </w:r>
            <w:r w:rsidRPr="006F04FD">
              <w:rPr>
                <w:sz w:val="16"/>
                <w:szCs w:val="16"/>
                <w:lang w:val="en-AU"/>
              </w:rPr>
              <w:t xml:space="preserve">retrospective </w:t>
            </w:r>
            <w:r w:rsidRPr="006F04FD">
              <w:rPr>
                <w:sz w:val="16"/>
                <w:szCs w:val="16"/>
              </w:rPr>
              <w:t xml:space="preserve">case control study comparing postoperative infusion of dexmedetomidine with opioid infusion (n=39 each group), of which 31 out of 35 newborns were mechanically ventilated. Average dose </w:t>
            </w:r>
            <w:r w:rsidRPr="006F04FD">
              <w:rPr>
                <w:sz w:val="16"/>
                <w:szCs w:val="16"/>
                <w:lang w:val="en-AU"/>
              </w:rPr>
              <w:t>of d</w:t>
            </w:r>
            <w:r w:rsidRPr="006F04FD">
              <w:rPr>
                <w:sz w:val="16"/>
                <w:szCs w:val="16"/>
              </w:rPr>
              <w:t xml:space="preserve">exmedetomidine </w:t>
            </w:r>
            <w:r w:rsidRPr="006F04FD">
              <w:rPr>
                <w:sz w:val="16"/>
                <w:szCs w:val="16"/>
                <w:lang w:val="en-AU"/>
              </w:rPr>
              <w:t xml:space="preserve">was </w:t>
            </w:r>
            <w:r w:rsidRPr="006F04FD">
              <w:rPr>
                <w:sz w:val="16"/>
                <w:szCs w:val="16"/>
              </w:rPr>
              <w:t xml:space="preserve">0.36 microgram/kg/hour. Dexmedetomidine reduced the cumulative dose of opioids but not the number of doses, and was associated with an </w:t>
            </w:r>
            <w:r w:rsidRPr="006F04FD">
              <w:rPr>
                <w:sz w:val="16"/>
                <w:szCs w:val="16"/>
              </w:rPr>
              <w:lastRenderedPageBreak/>
              <w:t xml:space="preserve">increase in bradycardia episodes (12.8 versus 5.1%), but not hypotension or respiratory depression. Average dose associated with bradycardia </w:t>
            </w:r>
            <w:r w:rsidRPr="006F04FD">
              <w:rPr>
                <w:sz w:val="16"/>
                <w:szCs w:val="16"/>
                <w:lang w:val="en-AU"/>
              </w:rPr>
              <w:t xml:space="preserve">was </w:t>
            </w:r>
            <w:r w:rsidRPr="006F04FD">
              <w:rPr>
                <w:sz w:val="16"/>
                <w:szCs w:val="16"/>
              </w:rPr>
              <w:t xml:space="preserve">0.3 microgram/kg/hour. [LOE IV newborns] </w:t>
            </w:r>
          </w:p>
          <w:p w:rsidRPr="006F04FD" w:rsidR="006F04FD" w:rsidP="00FE4186" w:rsidRDefault="006F04FD" w14:paraId="7D18EC2D" w14:textId="77777777">
            <w:pPr>
              <w:pStyle w:val="BodyText"/>
              <w:tabs>
                <w:tab w:val="left" w:pos="1168"/>
              </w:tabs>
              <w:rPr>
                <w:sz w:val="16"/>
                <w:szCs w:val="16"/>
              </w:rPr>
            </w:pPr>
          </w:p>
          <w:p w:rsidRPr="006F04FD" w:rsidR="006F04FD" w:rsidP="00FE4186" w:rsidRDefault="006F04FD" w14:paraId="40296F16" w14:textId="77777777">
            <w:pPr>
              <w:pStyle w:val="BodyText"/>
              <w:tabs>
                <w:tab w:val="left" w:pos="1168"/>
              </w:tabs>
              <w:rPr>
                <w:sz w:val="16"/>
                <w:szCs w:val="16"/>
              </w:rPr>
            </w:pPr>
            <w:r w:rsidRPr="006F04FD">
              <w:rPr>
                <w:b/>
                <w:sz w:val="16"/>
                <w:szCs w:val="16"/>
              </w:rPr>
              <w:t xml:space="preserve">Dexmedetomidine sedation with nerve blocks for surgical procedures: </w:t>
            </w:r>
            <w:r w:rsidRPr="006F04FD">
              <w:rPr>
                <w:sz w:val="16"/>
                <w:szCs w:val="16"/>
              </w:rPr>
              <w:t>In a RCT</w:t>
            </w:r>
            <w:r w:rsidRPr="006F04FD">
              <w:rPr>
                <w:sz w:val="16"/>
                <w:szCs w:val="16"/>
                <w:lang w:val="en-AU"/>
              </w:rPr>
              <w:t xml:space="preserve"> </w:t>
            </w:r>
            <w:r w:rsidRPr="006F04FD">
              <w:rPr>
                <w:noProof/>
                <w:sz w:val="16"/>
                <w:szCs w:val="16"/>
              </w:rPr>
              <w:t>[18]</w:t>
            </w:r>
            <w:r w:rsidRPr="006F04FD">
              <w:rPr>
                <w:sz w:val="16"/>
                <w:szCs w:val="16"/>
              </w:rPr>
              <w:t xml:space="preserve"> in 104 infants (75% born </w:t>
            </w:r>
            <w:r w:rsidRPr="006F04FD">
              <w:rPr>
                <w:sz w:val="16"/>
                <w:szCs w:val="16"/>
                <w:lang w:val="en-AU"/>
              </w:rPr>
              <w:t>preterm</w:t>
            </w:r>
            <w:r w:rsidRPr="006F04FD">
              <w:rPr>
                <w:sz w:val="16"/>
                <w:szCs w:val="16"/>
              </w:rPr>
              <w:t>), with mean post-menstrual age of 41 weeks and mean weight of 3.5 kg at the time of surgery, were allocated to dexmedetomidine sedation with caudal block (n=51) versus general sevoflurane anaesthesia with tracheal intubation and caudal block (n=46) for elective bilateral inguinal hernia surgery. Dexmedetomidine was given at a bolus dose of 2 microgram/kg over the first 10 min, followed by 1 microgram/kg over the next 10 min to achieve a Ramsay score of 3-4. Sedation was maintained with dexmedetomidine infusion at 0.2 microgram/kg/hour to maintain a Ramsay score of 3-4</w:t>
            </w:r>
            <w:r w:rsidRPr="006F04FD">
              <w:rPr>
                <w:sz w:val="16"/>
                <w:szCs w:val="16"/>
                <w:lang w:val="en-AU"/>
              </w:rPr>
              <w:t>.</w:t>
            </w:r>
            <w:r w:rsidRPr="006F04FD">
              <w:rPr>
                <w:sz w:val="16"/>
                <w:szCs w:val="16"/>
              </w:rPr>
              <w:t xml:space="preserve"> In the dexmedetomidine group, 46 infants (90.2%) had their operations completed solely under this technique, two (3.9%) were converted to general anaesthesia with intubation, and three (5.9%) required brief administration of nitrous oxide or low-dose sevoflurane. Overall, 96.1% of infants in the dexmedetomidine group did not require intubation. </w:t>
            </w:r>
          </w:p>
          <w:p w:rsidRPr="006F04FD" w:rsidR="006F04FD" w:rsidP="00FE4186" w:rsidRDefault="006F04FD" w14:paraId="109778D6" w14:textId="77777777">
            <w:pPr>
              <w:pStyle w:val="BodyText"/>
              <w:tabs>
                <w:tab w:val="left" w:pos="1168"/>
              </w:tabs>
              <w:rPr>
                <w:sz w:val="16"/>
                <w:szCs w:val="16"/>
              </w:rPr>
            </w:pPr>
            <w:r w:rsidRPr="006F04FD">
              <w:rPr>
                <w:sz w:val="16"/>
                <w:szCs w:val="16"/>
              </w:rPr>
              <w:t xml:space="preserve">Conclusion: Dexmedetomidine sedation with loading dose of 2-3 microgram/kg and maintenance dose of 0.2 microgram/kg/hour with caudal block provides a feasible alternative to general anaesthesia in infants undergoing hernia surgery although supplemental methods were required in 9.8%. </w:t>
            </w:r>
            <w:r w:rsidRPr="006F04FD">
              <w:rPr>
                <w:noProof/>
                <w:sz w:val="16"/>
                <w:szCs w:val="16"/>
              </w:rPr>
              <w:t>[18]</w:t>
            </w:r>
            <w:r w:rsidRPr="006F04FD">
              <w:rPr>
                <w:sz w:val="16"/>
                <w:szCs w:val="16"/>
              </w:rPr>
              <w:t xml:space="preserve"> [LOE II neonates]</w:t>
            </w:r>
          </w:p>
          <w:p w:rsidRPr="006F04FD" w:rsidR="006F04FD" w:rsidP="00FE4186" w:rsidRDefault="006F04FD" w14:paraId="1E03550E" w14:textId="77777777">
            <w:pPr>
              <w:pStyle w:val="BodyText"/>
              <w:tabs>
                <w:tab w:val="left" w:pos="1168"/>
              </w:tabs>
              <w:rPr>
                <w:b/>
                <w:sz w:val="16"/>
                <w:szCs w:val="16"/>
              </w:rPr>
            </w:pPr>
          </w:p>
          <w:p w:rsidRPr="006F04FD" w:rsidR="006F04FD" w:rsidP="00FE4186" w:rsidRDefault="006F04FD" w14:paraId="00E2AD1E" w14:textId="77777777">
            <w:pPr>
              <w:pStyle w:val="BodyText"/>
              <w:tabs>
                <w:tab w:val="left" w:pos="1168"/>
              </w:tabs>
              <w:rPr>
                <w:sz w:val="16"/>
                <w:szCs w:val="16"/>
              </w:rPr>
            </w:pPr>
            <w:r w:rsidRPr="006F04FD">
              <w:rPr>
                <w:b/>
                <w:sz w:val="16"/>
                <w:szCs w:val="16"/>
              </w:rPr>
              <w:t>Acute withdrawal from opi</w:t>
            </w:r>
            <w:r w:rsidRPr="006F04FD">
              <w:rPr>
                <w:b/>
                <w:sz w:val="16"/>
                <w:szCs w:val="16"/>
                <w:lang w:val="en-AU"/>
              </w:rPr>
              <w:t>oids</w:t>
            </w:r>
            <w:r w:rsidRPr="006F04FD">
              <w:rPr>
                <w:b/>
                <w:sz w:val="16"/>
                <w:szCs w:val="16"/>
              </w:rPr>
              <w:t>:</w:t>
            </w:r>
            <w:r w:rsidRPr="006F04FD">
              <w:rPr>
                <w:sz w:val="16"/>
                <w:szCs w:val="16"/>
              </w:rPr>
              <w:t xml:space="preserve"> Reports on dexmedetomidine use for opioid withdrawal are limited to case studies and retrospective reviews involving a total of 20 paediatric patients</w:t>
            </w:r>
            <w:r w:rsidRPr="006F04FD">
              <w:rPr>
                <w:sz w:val="16"/>
                <w:szCs w:val="16"/>
                <w:lang w:val="en-AU"/>
              </w:rPr>
              <w:t>.</w:t>
            </w:r>
            <w:r w:rsidRPr="006F04FD">
              <w:rPr>
                <w:noProof/>
                <w:sz w:val="16"/>
                <w:szCs w:val="16"/>
              </w:rPr>
              <w:t>[19]</w:t>
            </w:r>
            <w:r w:rsidRPr="006F04FD">
              <w:rPr>
                <w:sz w:val="16"/>
                <w:szCs w:val="16"/>
              </w:rPr>
              <w:t xml:space="preserve"> When bolus doses are used, strategies described in published reports entail a loading dose of 0.5–1.0 microgram/kg administered over 5–10 minutes, followed by a continuous infusion at 0.1–1.4 microgram/kg/hour for a period of 1–16 days. Reported adverse effects include hypotension and bradycardia. (LOE IV) </w:t>
            </w:r>
          </w:p>
          <w:p w:rsidRPr="006F04FD" w:rsidR="006F04FD" w:rsidP="00FE4186" w:rsidRDefault="006F04FD" w14:paraId="1317FFC3" w14:textId="77777777">
            <w:pPr>
              <w:pStyle w:val="BodyText"/>
              <w:tabs>
                <w:tab w:val="left" w:pos="1168"/>
              </w:tabs>
              <w:rPr>
                <w:sz w:val="16"/>
                <w:szCs w:val="16"/>
              </w:rPr>
            </w:pPr>
          </w:p>
          <w:p w:rsidRPr="006F04FD" w:rsidR="006F04FD" w:rsidP="00FE4186" w:rsidRDefault="006F04FD" w14:paraId="1ABBA799" w14:textId="77777777">
            <w:pPr>
              <w:pStyle w:val="BodyText"/>
              <w:tabs>
                <w:tab w:val="left" w:pos="1168"/>
              </w:tabs>
              <w:rPr>
                <w:sz w:val="16"/>
                <w:szCs w:val="16"/>
              </w:rPr>
            </w:pPr>
            <w:r w:rsidRPr="006F04FD">
              <w:rPr>
                <w:b/>
                <w:sz w:val="16"/>
                <w:szCs w:val="16"/>
              </w:rPr>
              <w:t xml:space="preserve">Prevention of postoperative junctional ectopic tachycardia in children after congenital heart surgery: </w:t>
            </w:r>
            <w:r w:rsidRPr="006F04FD">
              <w:rPr>
                <w:sz w:val="16"/>
                <w:szCs w:val="16"/>
              </w:rPr>
              <w:t xml:space="preserve">In an RCT </w:t>
            </w:r>
            <w:r w:rsidRPr="006F04FD">
              <w:rPr>
                <w:noProof/>
                <w:sz w:val="16"/>
                <w:szCs w:val="16"/>
              </w:rPr>
              <w:t>[20]</w:t>
            </w:r>
            <w:r w:rsidRPr="006F04FD">
              <w:rPr>
                <w:sz w:val="16"/>
                <w:szCs w:val="16"/>
              </w:rPr>
              <w:t xml:space="preserve"> in 90 children who underwent elective cardiac surgery for congenital heart diseases randomised to dexmedetomidine 0.5 microgram/kg intravenously over 20 minutes completed 10 minutes before induction, followed by 0.5 microgram/kg/hour infusion for 48 hours postoperatively versus placebo group. The incidence of junctional ectopic tachycardia was significantly reduced in the dexmedetomidine group (3.3%) compared with placebo (16.7%) with P&lt;0.005. Heart rate while coming off cardiopulmonary bypass was significantly lower in the dexmedetomidine group, and ventilation time, mean duration of intensive care unit and hospital stay (days) were significantly shorter. There was no difference between the 2 groups </w:t>
            </w:r>
            <w:r w:rsidRPr="006F04FD">
              <w:rPr>
                <w:sz w:val="16"/>
                <w:szCs w:val="16"/>
                <w:lang w:val="en-AU"/>
              </w:rPr>
              <w:t>with</w:t>
            </w:r>
            <w:r w:rsidRPr="006F04FD">
              <w:rPr>
                <w:sz w:val="16"/>
                <w:szCs w:val="16"/>
              </w:rPr>
              <w:t xml:space="preserve"> regards</w:t>
            </w:r>
            <w:r w:rsidRPr="006F04FD">
              <w:rPr>
                <w:sz w:val="16"/>
                <w:szCs w:val="16"/>
                <w:lang w:val="en-AU"/>
              </w:rPr>
              <w:t xml:space="preserve"> to</w:t>
            </w:r>
            <w:r w:rsidRPr="006F04FD">
              <w:rPr>
                <w:sz w:val="16"/>
                <w:szCs w:val="16"/>
              </w:rPr>
              <w:t xml:space="preserve"> mortality, bradycardia, or hypotension. Conclusion: Prophylactic use of dexmedetomidine is associated with significantly decreased incidence of postoperative junctional ectopic tachycardia in children after congenital heart surgery without significant side effects. [LOE II GOR B]</w:t>
            </w:r>
          </w:p>
          <w:p w:rsidRPr="006F04FD" w:rsidR="006F04FD" w:rsidP="00FE4186" w:rsidRDefault="006F04FD" w14:paraId="2C1949B3" w14:textId="77777777">
            <w:pPr>
              <w:pStyle w:val="BodyText"/>
              <w:tabs>
                <w:tab w:val="left" w:pos="1168"/>
              </w:tabs>
              <w:rPr>
                <w:b/>
                <w:sz w:val="16"/>
                <w:szCs w:val="16"/>
              </w:rPr>
            </w:pPr>
          </w:p>
          <w:p w:rsidRPr="006F04FD" w:rsidR="006F04FD" w:rsidP="00FE4186" w:rsidRDefault="006F04FD" w14:paraId="612D2131" w14:textId="77777777">
            <w:pPr>
              <w:pStyle w:val="BodyText"/>
              <w:tabs>
                <w:tab w:val="left" w:pos="1168"/>
              </w:tabs>
              <w:rPr>
                <w:b/>
                <w:sz w:val="16"/>
                <w:szCs w:val="16"/>
              </w:rPr>
            </w:pPr>
            <w:r w:rsidRPr="006F04FD">
              <w:rPr>
                <w:b/>
                <w:sz w:val="16"/>
                <w:szCs w:val="16"/>
              </w:rPr>
              <w:t>Safety</w:t>
            </w:r>
          </w:p>
          <w:p w:rsidRPr="006F04FD" w:rsidR="006F04FD" w:rsidP="00FE4186" w:rsidRDefault="006F04FD" w14:paraId="1B5F5019" w14:textId="77777777">
            <w:pPr>
              <w:pStyle w:val="BodyText"/>
              <w:tabs>
                <w:tab w:val="left" w:pos="1168"/>
              </w:tabs>
              <w:rPr>
                <w:sz w:val="16"/>
                <w:szCs w:val="16"/>
              </w:rPr>
            </w:pPr>
            <w:r w:rsidRPr="006F04FD">
              <w:rPr>
                <w:sz w:val="16"/>
                <w:szCs w:val="16"/>
                <w:lang w:val="en-AU"/>
              </w:rPr>
              <w:t>When u</w:t>
            </w:r>
            <w:r w:rsidRPr="006F04FD">
              <w:rPr>
                <w:sz w:val="16"/>
                <w:szCs w:val="16"/>
              </w:rPr>
              <w:t>sed for long-term sedation during mechanical ventilation in critically ill patients, dexmedetomidine doubled the incidence of bradycardia, with heterogeneous other effects compared to other agents including hypotension, hypertension, tachycardia, first degree heart bloc</w:t>
            </w:r>
            <w:r w:rsidRPr="006F04FD">
              <w:rPr>
                <w:sz w:val="16"/>
                <w:szCs w:val="16"/>
                <w:lang w:val="en-AU"/>
              </w:rPr>
              <w:t>k</w:t>
            </w:r>
            <w:r w:rsidRPr="006F04FD">
              <w:rPr>
                <w:sz w:val="16"/>
                <w:szCs w:val="16"/>
              </w:rPr>
              <w:t>, hyperglycaemia and hypoglycaemia</w:t>
            </w:r>
            <w:r w:rsidRPr="006F04FD">
              <w:rPr>
                <w:sz w:val="16"/>
                <w:szCs w:val="16"/>
                <w:lang w:val="en-AU"/>
              </w:rPr>
              <w:t>.</w:t>
            </w:r>
            <w:r w:rsidRPr="006F04FD">
              <w:rPr>
                <w:sz w:val="16"/>
                <w:szCs w:val="16"/>
              </w:rPr>
              <w:t xml:space="preserve"> </w:t>
            </w:r>
            <w:r w:rsidRPr="006F04FD">
              <w:rPr>
                <w:noProof/>
                <w:sz w:val="16"/>
                <w:szCs w:val="16"/>
              </w:rPr>
              <w:t>[7]</w:t>
            </w:r>
            <w:r w:rsidRPr="006F04FD">
              <w:rPr>
                <w:sz w:val="16"/>
                <w:szCs w:val="16"/>
              </w:rPr>
              <w:t xml:space="preserve"> </w:t>
            </w:r>
          </w:p>
          <w:p w:rsidRPr="006F04FD" w:rsidR="006F04FD" w:rsidP="00FE4186" w:rsidRDefault="006F04FD" w14:paraId="32909178" w14:textId="77777777">
            <w:pPr>
              <w:pStyle w:val="BodyText"/>
              <w:tabs>
                <w:tab w:val="left" w:pos="1168"/>
              </w:tabs>
              <w:rPr>
                <w:sz w:val="16"/>
                <w:szCs w:val="16"/>
              </w:rPr>
            </w:pPr>
            <w:r w:rsidRPr="006F04FD">
              <w:rPr>
                <w:sz w:val="16"/>
                <w:szCs w:val="16"/>
              </w:rPr>
              <w:t>In animal studies, there was no histological neurological injury associated with dexmedetomidine when administered by itself, and 13 of 16 studies reported beneficial neuroprotective effects of dexmedetomidine when administrated with other anaesthetics.</w:t>
            </w:r>
            <w:r w:rsidRPr="006F04FD">
              <w:rPr>
                <w:sz w:val="16"/>
                <w:szCs w:val="16"/>
                <w:lang w:val="en-AU"/>
              </w:rPr>
              <w:t xml:space="preserve"> </w:t>
            </w:r>
            <w:r w:rsidRPr="006F04FD">
              <w:rPr>
                <w:noProof/>
                <w:sz w:val="16"/>
                <w:szCs w:val="16"/>
              </w:rPr>
              <w:t>[1]</w:t>
            </w:r>
            <w:r w:rsidRPr="006F04FD">
              <w:rPr>
                <w:sz w:val="16"/>
                <w:szCs w:val="16"/>
              </w:rPr>
              <w:t xml:space="preserve"> However, studies are lacking about the long‐term neurobehavioral effects when administered in children for sedation or anaesthesia. A RCT to determine the long‐term neurobehavioral effects of dexmedetomidine in children (compared to currently used neurotoxic anaesthetics), with the ultimate aim to find a safer alternative to the currently used neurotoxic anaesthetics in children is needed.</w:t>
            </w:r>
            <w:r w:rsidRPr="006F04FD">
              <w:rPr>
                <w:sz w:val="16"/>
                <w:szCs w:val="16"/>
                <w:lang w:val="en-AU"/>
              </w:rPr>
              <w:t xml:space="preserve"> </w:t>
            </w:r>
            <w:r w:rsidRPr="006F04FD">
              <w:rPr>
                <w:noProof/>
                <w:sz w:val="16"/>
                <w:szCs w:val="16"/>
              </w:rPr>
              <w:t>[1]</w:t>
            </w:r>
          </w:p>
          <w:p w:rsidRPr="006F04FD" w:rsidR="006F04FD" w:rsidP="00FE4186" w:rsidRDefault="006F04FD" w14:paraId="6F297FE2" w14:textId="77777777">
            <w:pPr>
              <w:pStyle w:val="BodyText"/>
              <w:tabs>
                <w:tab w:val="left" w:pos="1168"/>
              </w:tabs>
              <w:rPr>
                <w:sz w:val="16"/>
                <w:szCs w:val="16"/>
              </w:rPr>
            </w:pPr>
            <w:r w:rsidRPr="006F04FD">
              <w:rPr>
                <w:sz w:val="16"/>
                <w:szCs w:val="16"/>
              </w:rPr>
              <w:t>Limited observational studies in newborn infants have reported dexmedetomidine to be generally well</w:t>
            </w:r>
            <w:r w:rsidRPr="006F04FD">
              <w:rPr>
                <w:sz w:val="16"/>
                <w:szCs w:val="16"/>
                <w:lang w:val="en-AU"/>
              </w:rPr>
              <w:t>-</w:t>
            </w:r>
            <w:r w:rsidRPr="006F04FD">
              <w:rPr>
                <w:sz w:val="16"/>
                <w:szCs w:val="16"/>
              </w:rPr>
              <w:t>tolerated and safe, although not without side effects particularly with use of bolus doses.</w:t>
            </w:r>
            <w:r w:rsidRPr="006F04FD">
              <w:rPr>
                <w:sz w:val="16"/>
                <w:szCs w:val="16"/>
                <w:lang w:val="en-AU"/>
              </w:rPr>
              <w:t xml:space="preserve"> </w:t>
            </w:r>
            <w:r w:rsidRPr="006F04FD">
              <w:rPr>
                <w:noProof/>
                <w:sz w:val="16"/>
                <w:szCs w:val="16"/>
              </w:rPr>
              <w:t>[3, 11, 15, 17]</w:t>
            </w:r>
            <w:r w:rsidRPr="006F04FD">
              <w:rPr>
                <w:sz w:val="16"/>
                <w:szCs w:val="16"/>
              </w:rPr>
              <w:t xml:space="preserve"> In a dose escalation study in 42 newborns receiving mechanical ventilation, inadequate analgaesia was reported in 17 (40%) and inadequate sedation in 4 (10%), </w:t>
            </w:r>
            <w:r w:rsidRPr="006F04FD">
              <w:rPr>
                <w:sz w:val="16"/>
                <w:szCs w:val="16"/>
                <w:lang w:val="en-AU"/>
              </w:rPr>
              <w:t>with</w:t>
            </w:r>
            <w:r w:rsidRPr="006F04FD">
              <w:rPr>
                <w:sz w:val="16"/>
                <w:szCs w:val="16"/>
              </w:rPr>
              <w:t xml:space="preserve"> 3 (5%) adverse events attributed to dexmedetomidine</w:t>
            </w:r>
            <w:r w:rsidRPr="006F04FD">
              <w:rPr>
                <w:sz w:val="16"/>
                <w:szCs w:val="16"/>
                <w:lang w:val="en-AU"/>
              </w:rPr>
              <w:t xml:space="preserve">. </w:t>
            </w:r>
            <w:r w:rsidRPr="006F04FD">
              <w:rPr>
                <w:noProof/>
                <w:sz w:val="16"/>
                <w:szCs w:val="16"/>
              </w:rPr>
              <w:t>[3]</w:t>
            </w:r>
            <w:r w:rsidRPr="006F04FD">
              <w:rPr>
                <w:sz w:val="16"/>
                <w:szCs w:val="16"/>
              </w:rPr>
              <w:t xml:space="preserve"> A report of use of dexmedetomidine for induction of anaesthesia in newborns reported 4 infants experiencing bradycardia which responded to atropine, </w:t>
            </w:r>
            <w:r w:rsidRPr="006F04FD">
              <w:rPr>
                <w:sz w:val="16"/>
                <w:szCs w:val="16"/>
                <w:lang w:val="en-AU"/>
              </w:rPr>
              <w:t>resulting</w:t>
            </w:r>
            <w:r w:rsidRPr="006F04FD">
              <w:rPr>
                <w:sz w:val="16"/>
                <w:szCs w:val="16"/>
              </w:rPr>
              <w:t xml:space="preserve"> in a change in the induction protocol.</w:t>
            </w:r>
            <w:r w:rsidRPr="006F04FD">
              <w:rPr>
                <w:sz w:val="16"/>
                <w:szCs w:val="16"/>
                <w:lang w:val="en-AU"/>
              </w:rPr>
              <w:t xml:space="preserve"> </w:t>
            </w:r>
            <w:r w:rsidRPr="006F04FD">
              <w:rPr>
                <w:noProof/>
                <w:sz w:val="16"/>
                <w:szCs w:val="16"/>
              </w:rPr>
              <w:t>[16]</w:t>
            </w:r>
            <w:r w:rsidRPr="006F04FD">
              <w:rPr>
                <w:sz w:val="16"/>
                <w:szCs w:val="16"/>
              </w:rPr>
              <w:t xml:space="preserve"> In postoperative neonatal surgical patients receiving prolonged infusion, dexmedetomidine resulted in a significant decrease in the cumulative dose of opioid but was associated with more episodes of bradycardia (12.8</w:t>
            </w:r>
            <w:r w:rsidRPr="006F04FD">
              <w:rPr>
                <w:sz w:val="16"/>
                <w:szCs w:val="16"/>
                <w:lang w:val="en-AU"/>
              </w:rPr>
              <w:t>%</w:t>
            </w:r>
            <w:r w:rsidRPr="006F04FD">
              <w:rPr>
                <w:sz w:val="16"/>
                <w:szCs w:val="16"/>
              </w:rPr>
              <w:t xml:space="preserve"> versus 5.1%) than opioids alone. Hypothermia has been reported in newborns receiving dexmedetomidine for perioperative sedation.</w:t>
            </w:r>
            <w:r w:rsidRPr="006F04FD">
              <w:rPr>
                <w:sz w:val="16"/>
                <w:szCs w:val="16"/>
                <w:lang w:val="en-AU"/>
              </w:rPr>
              <w:t xml:space="preserve"> </w:t>
            </w:r>
            <w:r w:rsidRPr="006F04FD">
              <w:rPr>
                <w:noProof/>
                <w:sz w:val="16"/>
                <w:szCs w:val="16"/>
              </w:rPr>
              <w:t>[16, 21]</w:t>
            </w:r>
            <w:r w:rsidRPr="006F04FD">
              <w:rPr>
                <w:sz w:val="16"/>
                <w:szCs w:val="16"/>
              </w:rPr>
              <w:t xml:space="preserve"> There is a case report of a newborn infant with electrical seizures during administration of dexmedetomidine which ceased following discontinuation.</w:t>
            </w:r>
            <w:r w:rsidRPr="006F04FD">
              <w:rPr>
                <w:sz w:val="16"/>
                <w:szCs w:val="16"/>
                <w:lang w:val="en-AU"/>
              </w:rPr>
              <w:t xml:space="preserve"> </w:t>
            </w:r>
            <w:r w:rsidRPr="006F04FD">
              <w:rPr>
                <w:noProof/>
                <w:sz w:val="16"/>
                <w:szCs w:val="16"/>
              </w:rPr>
              <w:t>[22]</w:t>
            </w:r>
            <w:r w:rsidRPr="006F04FD">
              <w:rPr>
                <w:sz w:val="16"/>
                <w:szCs w:val="16"/>
              </w:rPr>
              <w:t xml:space="preserve"> In a RCT in 104 infants (75% born premature), allocated to dexmedetomidine sedation with caudal block versus general sevoflurane anaesthesia with tracheal intubation and caudal block for elective bilateral inguinal hernia surgery, infants in the dexmedetomidine group had significantly lower heart rates and higher mean arterial pressures intraoperatively, and 9.8% required additional anaesthetic agents or conversion to general anaesthesia.</w:t>
            </w:r>
            <w:r w:rsidRPr="006F04FD">
              <w:rPr>
                <w:sz w:val="16"/>
                <w:szCs w:val="16"/>
                <w:lang w:val="en-AU"/>
              </w:rPr>
              <w:t xml:space="preserve"> </w:t>
            </w:r>
            <w:r w:rsidRPr="006F04FD">
              <w:rPr>
                <w:noProof/>
                <w:sz w:val="16"/>
                <w:szCs w:val="16"/>
              </w:rPr>
              <w:t>[18]</w:t>
            </w:r>
          </w:p>
          <w:p w:rsidRPr="006F04FD" w:rsidR="006F04FD" w:rsidP="00FE4186" w:rsidRDefault="006F04FD" w14:paraId="261BF265" w14:textId="77777777">
            <w:pPr>
              <w:pStyle w:val="BodyText"/>
              <w:tabs>
                <w:tab w:val="left" w:pos="1168"/>
              </w:tabs>
              <w:rPr>
                <w:sz w:val="16"/>
                <w:szCs w:val="16"/>
              </w:rPr>
            </w:pPr>
            <w:r w:rsidRPr="006F04FD">
              <w:rPr>
                <w:sz w:val="16"/>
                <w:szCs w:val="16"/>
              </w:rPr>
              <w:t>Withdrawal from prolonged dexmedetomidine infusion (&gt;72 hours) was reported to result in increased heart rate and blood pressure, reduced COMFORT scores, and 30%, whether weaned or abruptly stopped, had withdrawal symptoms including agitation, tremor and decreased sleep.</w:t>
            </w:r>
            <w:r w:rsidRPr="006F04FD">
              <w:rPr>
                <w:sz w:val="16"/>
                <w:szCs w:val="16"/>
                <w:lang w:val="en-AU"/>
              </w:rPr>
              <w:t xml:space="preserve"> </w:t>
            </w:r>
            <w:r w:rsidRPr="006F04FD">
              <w:rPr>
                <w:noProof/>
                <w:sz w:val="16"/>
                <w:szCs w:val="16"/>
              </w:rPr>
              <w:t>[23]</w:t>
            </w:r>
          </w:p>
          <w:p w:rsidRPr="006F04FD" w:rsidR="006F04FD" w:rsidP="00FE4186" w:rsidRDefault="006F04FD" w14:paraId="192ED8BF" w14:textId="77777777">
            <w:pPr>
              <w:pStyle w:val="BodyText"/>
              <w:tabs>
                <w:tab w:val="left" w:pos="1168"/>
              </w:tabs>
              <w:rPr>
                <w:sz w:val="16"/>
                <w:szCs w:val="16"/>
              </w:rPr>
            </w:pPr>
            <w:r w:rsidRPr="006F04FD">
              <w:rPr>
                <w:sz w:val="16"/>
                <w:szCs w:val="16"/>
              </w:rPr>
              <w:t>Dexmedetomidine has been reported to be safe in paediatric patients with congenital heart disease and is not associated with any significant ECG interval abnormalities other than a trend towards lower heart rate.</w:t>
            </w:r>
            <w:r w:rsidRPr="006F04FD">
              <w:rPr>
                <w:sz w:val="16"/>
                <w:szCs w:val="16"/>
                <w:lang w:val="en-AU"/>
              </w:rPr>
              <w:t xml:space="preserve"> </w:t>
            </w:r>
            <w:r w:rsidRPr="006F04FD">
              <w:rPr>
                <w:noProof/>
                <w:sz w:val="16"/>
                <w:szCs w:val="16"/>
              </w:rPr>
              <w:t>[24]</w:t>
            </w:r>
            <w:r w:rsidRPr="006F04FD">
              <w:rPr>
                <w:sz w:val="16"/>
                <w:szCs w:val="16"/>
              </w:rPr>
              <w:t xml:space="preserve"> The therapeutic use of dexmedetomidine has been reported for acute termination of re</w:t>
            </w:r>
            <w:r w:rsidRPr="006F04FD">
              <w:rPr>
                <w:sz w:val="16"/>
                <w:szCs w:val="16"/>
                <w:lang w:val="en-AU"/>
              </w:rPr>
              <w:t>-</w:t>
            </w:r>
            <w:r w:rsidRPr="006F04FD">
              <w:rPr>
                <w:sz w:val="16"/>
                <w:szCs w:val="16"/>
              </w:rPr>
              <w:t xml:space="preserve">entrant supraventricular tachycardia (SVT) in 15 infants aged 6 to 16 days. Twenty seven doses of dexmedetomidine (mean dose 0.7 +/- 0.3 microgram/kg) for a total of 27 episodes of SVT. </w:t>
            </w:r>
            <w:r w:rsidRPr="006F04FD">
              <w:rPr>
                <w:noProof/>
                <w:sz w:val="16"/>
                <w:szCs w:val="16"/>
              </w:rPr>
              <w:t>[25]</w:t>
            </w:r>
            <w:r w:rsidRPr="006F04FD">
              <w:rPr>
                <w:sz w:val="16"/>
                <w:szCs w:val="16"/>
              </w:rPr>
              <w:t xml:space="preserve"> </w:t>
            </w:r>
          </w:p>
          <w:p w:rsidRPr="006F04FD" w:rsidR="006F04FD" w:rsidP="00FE4186" w:rsidRDefault="006F04FD" w14:paraId="353DD8E0" w14:textId="77777777">
            <w:pPr>
              <w:pStyle w:val="BodyText"/>
              <w:tabs>
                <w:tab w:val="left" w:pos="1168"/>
              </w:tabs>
              <w:rPr>
                <w:sz w:val="16"/>
                <w:szCs w:val="16"/>
              </w:rPr>
            </w:pPr>
          </w:p>
          <w:p w:rsidRPr="006F04FD" w:rsidR="006F04FD" w:rsidP="00FE4186" w:rsidRDefault="006F04FD" w14:paraId="20B5D9C6" w14:textId="77777777">
            <w:pPr>
              <w:pStyle w:val="BodyText"/>
              <w:tabs>
                <w:tab w:val="left" w:pos="1168"/>
              </w:tabs>
              <w:rPr>
                <w:b/>
                <w:sz w:val="16"/>
                <w:szCs w:val="16"/>
              </w:rPr>
            </w:pPr>
            <w:r w:rsidRPr="006F04FD">
              <w:rPr>
                <w:b/>
                <w:sz w:val="16"/>
                <w:szCs w:val="16"/>
              </w:rPr>
              <w:t>Pharmacokinetics</w:t>
            </w:r>
          </w:p>
          <w:p w:rsidRPr="006F04FD" w:rsidR="006F04FD" w:rsidP="00FE4186" w:rsidRDefault="006F04FD" w14:paraId="7B7056F2" w14:textId="77777777">
            <w:pPr>
              <w:pStyle w:val="BodyText"/>
              <w:tabs>
                <w:tab w:val="left" w:pos="1168"/>
              </w:tabs>
              <w:rPr>
                <w:sz w:val="16"/>
                <w:szCs w:val="16"/>
              </w:rPr>
            </w:pPr>
            <w:r w:rsidRPr="006F04FD">
              <w:rPr>
                <w:sz w:val="16"/>
                <w:szCs w:val="16"/>
              </w:rPr>
              <w:lastRenderedPageBreak/>
              <w:t>Dexmedetomidine is an α2-adrenoceptor agonist with sedative, anxiolytic, sympatholytic, and analgesic sparing effects, and minimal depression of respiratory function. It is potent and highly selective for α2-receptors with an α2: α1 ratio of 1620:1. Dexmedetomidine exerts its hypnotic action through activation of central pre- and postsynaptic α2-receptors in the locus coeruleus. Hemodynamic effects include transient hypertension, bradycardia, and hypotension result</w:t>
            </w:r>
            <w:r w:rsidRPr="006F04FD">
              <w:rPr>
                <w:sz w:val="16"/>
                <w:szCs w:val="16"/>
                <w:lang w:val="en-AU"/>
              </w:rPr>
              <w:t>ing</w:t>
            </w:r>
            <w:r w:rsidRPr="006F04FD">
              <w:rPr>
                <w:sz w:val="16"/>
                <w:szCs w:val="16"/>
              </w:rPr>
              <w:t xml:space="preserve"> from the drug’s peripheral vasoconstrictive and sympatholytic properties. Dexmedetomidine is rapidly distributed and is mainly hepatically metabolised into inactive metabolites by glucuronidation and hydroxylation (cytochrome P450 enzymes). A high inter-individual variability in dexmedetomidine pharmacokinetics has been described. Body size, hepatic impairment, and presumably plasma albumin and cardiac output have a significant impact on dexmedetomidine pharmacokinetics. Dexmedetomidine is eliminated mainly through biotransformation by the liver with an extraction ratio of 0.7 reported. Less than 1% is excreted unchanged with metabolites being excreted renally (95%) and faecally (4%). Direct N-glucuronidation accounts for about 34% of dexmedetomidine metabolism. An elimination half-life of 2.1–3.1 hours is reported in healthy volunteers, and 2.2 to 3.7 hours in ICU patients. The sedative effect of dexmedetomidine is concentration dependent, with plasma concentrations between 0.2 and 0.3 ng/mL resulting in significant and rousable sedation in adults, and unarousable deep sedation at plasma concentrations above 1.9 ng/mL.</w:t>
            </w:r>
            <w:r w:rsidRPr="006F04FD">
              <w:rPr>
                <w:sz w:val="16"/>
                <w:szCs w:val="16"/>
                <w:lang w:val="en-AU"/>
              </w:rPr>
              <w:t xml:space="preserve"> </w:t>
            </w:r>
            <w:r w:rsidRPr="006F04FD">
              <w:rPr>
                <w:noProof/>
                <w:sz w:val="16"/>
                <w:szCs w:val="16"/>
              </w:rPr>
              <w:t>[2]</w:t>
            </w:r>
            <w:r w:rsidRPr="006F04FD">
              <w:rPr>
                <w:sz w:val="16"/>
                <w:szCs w:val="16"/>
              </w:rPr>
              <w:t xml:space="preserve"> </w:t>
            </w:r>
          </w:p>
          <w:p w:rsidRPr="006F04FD" w:rsidR="006F04FD" w:rsidP="00FE4186" w:rsidRDefault="006F04FD" w14:paraId="1FC46FD6" w14:textId="77777777">
            <w:pPr>
              <w:pStyle w:val="BodyText"/>
              <w:tabs>
                <w:tab w:val="left" w:pos="1168"/>
              </w:tabs>
              <w:rPr>
                <w:sz w:val="16"/>
                <w:szCs w:val="16"/>
              </w:rPr>
            </w:pPr>
          </w:p>
          <w:p w:rsidRPr="006F04FD" w:rsidR="006F04FD" w:rsidP="00FE4186" w:rsidRDefault="006F04FD" w14:paraId="4E032A33" w14:textId="77777777">
            <w:pPr>
              <w:pStyle w:val="BodyText"/>
              <w:tabs>
                <w:tab w:val="left" w:pos="1168"/>
              </w:tabs>
              <w:rPr>
                <w:sz w:val="16"/>
                <w:szCs w:val="16"/>
              </w:rPr>
            </w:pPr>
            <w:r w:rsidRPr="006F04FD">
              <w:rPr>
                <w:sz w:val="16"/>
                <w:szCs w:val="16"/>
              </w:rPr>
              <w:t xml:space="preserve">In neonatal pharmacokinetic studies, where 20 ventilated infants with a median PMA of 44 weeks (range, 33-61) on a median maximum dexmedetomidine infusion dose during the study period </w:t>
            </w:r>
            <w:r w:rsidRPr="006F04FD">
              <w:rPr>
                <w:sz w:val="16"/>
                <w:szCs w:val="16"/>
                <w:lang w:val="en-AU"/>
              </w:rPr>
              <w:t>of</w:t>
            </w:r>
            <w:r w:rsidRPr="006F04FD">
              <w:rPr>
                <w:sz w:val="16"/>
                <w:szCs w:val="16"/>
              </w:rPr>
              <w:t xml:space="preserve"> 1.8 μg/kg/h</w:t>
            </w:r>
            <w:r w:rsidRPr="006F04FD">
              <w:rPr>
                <w:sz w:val="16"/>
                <w:szCs w:val="16"/>
                <w:lang w:val="en-AU"/>
              </w:rPr>
              <w:t>our</w:t>
            </w:r>
            <w:r w:rsidRPr="006F04FD">
              <w:rPr>
                <w:sz w:val="16"/>
                <w:szCs w:val="16"/>
              </w:rPr>
              <w:t>, younger PMA was a significant predictor of lower clearance</w:t>
            </w:r>
            <w:r w:rsidRPr="006F04FD">
              <w:rPr>
                <w:sz w:val="16"/>
                <w:szCs w:val="16"/>
                <w:lang w:val="en-AU"/>
              </w:rPr>
              <w:t>.</w:t>
            </w:r>
            <w:r w:rsidRPr="006F04FD">
              <w:rPr>
                <w:sz w:val="16"/>
                <w:szCs w:val="16"/>
              </w:rPr>
              <w:t xml:space="preserve"> </w:t>
            </w:r>
            <w:r w:rsidRPr="006F04FD">
              <w:rPr>
                <w:sz w:val="16"/>
                <w:szCs w:val="16"/>
                <w:lang w:val="en-AU"/>
              </w:rPr>
              <w:t>I</w:t>
            </w:r>
            <w:r w:rsidRPr="006F04FD">
              <w:rPr>
                <w:sz w:val="16"/>
                <w:szCs w:val="16"/>
              </w:rPr>
              <w:t>nfants with a history of cardiac surgery had ~40% lower clearance, and infants with PMA of 33 to 61 weeks and body weight of 2 to 6 kg, the estimated clearance and volume of distribution were 0.87 to 2.65 L/kg/h</w:t>
            </w:r>
            <w:r w:rsidRPr="006F04FD">
              <w:rPr>
                <w:sz w:val="16"/>
                <w:szCs w:val="16"/>
                <w:lang w:val="en-AU"/>
              </w:rPr>
              <w:t>our</w:t>
            </w:r>
            <w:r w:rsidRPr="006F04FD">
              <w:rPr>
                <w:sz w:val="16"/>
                <w:szCs w:val="16"/>
              </w:rPr>
              <w:t xml:space="preserve"> and 1.5 L/kg, respectively.</w:t>
            </w:r>
            <w:r w:rsidRPr="006F04FD">
              <w:rPr>
                <w:noProof/>
                <w:sz w:val="16"/>
                <w:szCs w:val="16"/>
              </w:rPr>
              <w:t>[26]</w:t>
            </w:r>
            <w:r w:rsidRPr="006F04FD">
              <w:rPr>
                <w:sz w:val="16"/>
                <w:szCs w:val="16"/>
              </w:rPr>
              <w:t xml:space="preserve"> Preterm neonates had lower weight-adjusted plasma clearance (0.3 vs. 0.9 L/hour/kg) and an increased elimination half-life (7.6 vs. 3.2 hours) than term neonates. Premature neonates were reported to be adequately sedated with dexmedetomidine alone, although doses up to 0.2 microgram/kg/hour were not sufficient in most term neonates.</w:t>
            </w:r>
            <w:r w:rsidRPr="006F04FD">
              <w:rPr>
                <w:noProof/>
                <w:sz w:val="16"/>
                <w:szCs w:val="16"/>
              </w:rPr>
              <w:t>[3]</w:t>
            </w:r>
            <w:r w:rsidRPr="006F04FD">
              <w:rPr>
                <w:sz w:val="16"/>
                <w:szCs w:val="16"/>
              </w:rPr>
              <w:t xml:space="preserve"> In a pharmacokinetic study </w:t>
            </w:r>
            <w:r w:rsidRPr="006F04FD">
              <w:rPr>
                <w:noProof/>
                <w:sz w:val="16"/>
                <w:szCs w:val="16"/>
              </w:rPr>
              <w:t>[4, 5]</w:t>
            </w:r>
            <w:r w:rsidRPr="006F04FD">
              <w:rPr>
                <w:sz w:val="16"/>
                <w:szCs w:val="16"/>
              </w:rPr>
              <w:t xml:space="preserve"> in 95 children aged 1 week to 14 years and weight 3.1 to 58.9 kg, clearance maturation increases from 18.2 L/hour/70 kg at birth in a term neonate to reach 84.5% of the mature value by 1 year of age. Children given an infusion after cardiac surgery had 27% reduced clearance compared to a population given a bolus dose. Simulation of published infusion rates that provide adequate sedation for intensive care patients found a target therapeutic concentration of between 0.4 and 0.8 microgram/L. A recommended dose regimen based on the target concentration range of 0.4–0.8 μg/L was considered safe and efficacious, and consisted of a standard loading dose 0.6 microgram/kg = 2.9 microgram/kg/hour over 10 minutes, a maintenance dose for general sedation 0.33 microgram/kg/hour for neonates and 0.4 microgram/kg/hour for 3 month infants, and a maintenance dose for postoperative cardiac infusion of 0.24 microgram/kg/hour and 0.29 microgram/kg/hour for 3 month infants.</w:t>
            </w:r>
            <w:r w:rsidRPr="006F04FD">
              <w:rPr>
                <w:sz w:val="16"/>
                <w:szCs w:val="16"/>
                <w:lang w:val="en-AU"/>
              </w:rPr>
              <w:t xml:space="preserve"> </w:t>
            </w:r>
            <w:r w:rsidRPr="006F04FD">
              <w:rPr>
                <w:noProof/>
                <w:sz w:val="16"/>
                <w:szCs w:val="16"/>
              </w:rPr>
              <w:t>[4, 5]</w:t>
            </w:r>
          </w:p>
          <w:p w:rsidRPr="006F04FD" w:rsidR="006F04FD" w:rsidP="00FE4186" w:rsidRDefault="006F04FD" w14:paraId="6A76CEFA" w14:textId="77777777">
            <w:pPr>
              <w:pStyle w:val="BodyText"/>
              <w:tabs>
                <w:tab w:val="left" w:pos="1168"/>
              </w:tabs>
              <w:rPr>
                <w:sz w:val="16"/>
                <w:szCs w:val="16"/>
              </w:rPr>
            </w:pPr>
          </w:p>
          <w:p w:rsidRPr="006F04FD" w:rsidR="006F04FD" w:rsidP="00FE4186" w:rsidRDefault="006F04FD" w14:paraId="6AEF2E99" w14:textId="77777777">
            <w:pPr>
              <w:pStyle w:val="BodyText"/>
              <w:tabs>
                <w:tab w:val="left" w:pos="1168"/>
              </w:tabs>
              <w:rPr>
                <w:sz w:val="16"/>
                <w:szCs w:val="16"/>
              </w:rPr>
            </w:pPr>
            <w:r w:rsidRPr="006F04FD">
              <w:rPr>
                <w:sz w:val="16"/>
                <w:szCs w:val="16"/>
              </w:rPr>
              <w:t>In a dose escalation study in full-term neonates and infants requiring mechanical ventilation after open heart surgery, dexmedetomidine clearance was significantly diminished in full-term newborns and increased rapidly in the first few weeks of life. Typical clearance post cardiac surgery increased from 10 mL/min/kg (34 mL/min) for a full term newborn, 18.2 mL/min/kg (69 mL/min) at 2 weeks, to 18.4 mL/min/kg (77 mL/min) at 1 month. A continuous infusion of up to 0.3 μg/kg/hour in neonates and 0.75 μg/kg/hour in infants was well tolerated after open heart surgery.</w:t>
            </w:r>
            <w:r w:rsidRPr="006F04FD">
              <w:rPr>
                <w:sz w:val="16"/>
                <w:szCs w:val="16"/>
                <w:lang w:val="en-AU"/>
              </w:rPr>
              <w:t xml:space="preserve"> </w:t>
            </w:r>
            <w:r w:rsidRPr="006F04FD">
              <w:rPr>
                <w:noProof/>
                <w:sz w:val="16"/>
                <w:szCs w:val="16"/>
              </w:rPr>
              <w:t>[27]</w:t>
            </w:r>
          </w:p>
          <w:p w:rsidRPr="006F04FD" w:rsidR="006F04FD" w:rsidP="00FE4186" w:rsidRDefault="006F04FD" w14:paraId="74DBA55B" w14:textId="77777777">
            <w:pPr>
              <w:pStyle w:val="BodyText"/>
              <w:tabs>
                <w:tab w:val="left" w:pos="1168"/>
              </w:tabs>
              <w:rPr>
                <w:sz w:val="16"/>
                <w:szCs w:val="16"/>
              </w:rPr>
            </w:pPr>
          </w:p>
          <w:p w:rsidRPr="006F04FD" w:rsidR="006F04FD" w:rsidP="00FE4186" w:rsidRDefault="006F04FD" w14:paraId="296384FA" w14:textId="77777777">
            <w:pPr>
              <w:pStyle w:val="BodyText"/>
              <w:tabs>
                <w:tab w:val="left" w:pos="1168"/>
              </w:tabs>
              <w:rPr>
                <w:rFonts w:cs="Arial"/>
                <w:sz w:val="16"/>
                <w:szCs w:val="16"/>
                <w:lang w:val="en-AU"/>
              </w:rPr>
            </w:pPr>
            <w:r w:rsidRPr="006F04FD">
              <w:rPr>
                <w:sz w:val="16"/>
                <w:szCs w:val="16"/>
              </w:rPr>
              <w:t>Conclusion: Dexmedetomidine has reduced clearance and a longer half</w:t>
            </w:r>
            <w:r w:rsidRPr="006F04FD">
              <w:rPr>
                <w:sz w:val="16"/>
                <w:szCs w:val="16"/>
                <w:lang w:val="en-AU"/>
              </w:rPr>
              <w:t>-</w:t>
            </w:r>
            <w:r w:rsidRPr="006F04FD">
              <w:rPr>
                <w:sz w:val="16"/>
                <w:szCs w:val="16"/>
              </w:rPr>
              <w:t>life in preterm compared to term infants, and term infants compared to older infants.</w:t>
            </w:r>
            <w:r w:rsidRPr="006F04FD">
              <w:rPr>
                <w:sz w:val="16"/>
                <w:szCs w:val="16"/>
                <w:lang w:val="en-AU"/>
              </w:rPr>
              <w:t xml:space="preserve"> </w:t>
            </w:r>
            <w:r w:rsidRPr="006F04FD">
              <w:rPr>
                <w:noProof/>
                <w:sz w:val="16"/>
                <w:szCs w:val="16"/>
              </w:rPr>
              <w:t>[3-5]</w:t>
            </w:r>
            <w:r w:rsidRPr="006F04FD">
              <w:rPr>
                <w:sz w:val="16"/>
                <w:szCs w:val="16"/>
              </w:rPr>
              <w:t xml:space="preserve"> Whereas doses up to 0.2 microgram/kg/hour may be sufficient in most preterm neonates, infusion rates of 0.33 microgram/kg/hour for neonates and 0.4 microgram/kg/hour for 3 month infants are recommended. Lower infusion rates are recommended for infants undergoing cardiac surgery </w:t>
            </w:r>
            <w:r w:rsidRPr="006F04FD">
              <w:rPr>
                <w:noProof/>
                <w:sz w:val="16"/>
                <w:szCs w:val="16"/>
              </w:rPr>
              <w:t>[4, 5]</w:t>
            </w:r>
            <w:r w:rsidRPr="006F04FD">
              <w:rPr>
                <w:sz w:val="16"/>
                <w:szCs w:val="16"/>
              </w:rPr>
              <w:t xml:space="preserve"> and with concomitant use of other sedatives or analgesics. </w:t>
            </w:r>
          </w:p>
        </w:tc>
      </w:tr>
      <w:tr w:rsidRPr="003A7895" w:rsidR="006F04FD" w:rsidTr="00204576" w14:paraId="3DAF1630" w14:textId="77777777">
        <w:trPr>
          <w:trHeight w:val="108"/>
        </w:trPr>
        <w:tc>
          <w:tcPr>
            <w:tcW w:w="875" w:type="pct"/>
          </w:tcPr>
          <w:p w:rsidRPr="00B53E9B" w:rsidR="006F04FD" w:rsidP="00FE4186" w:rsidRDefault="006F04FD" w14:paraId="665CEAA7" w14:textId="77777777">
            <w:pPr>
              <w:pStyle w:val="BodyText"/>
              <w:rPr>
                <w:rFonts w:cs="Arial"/>
                <w:b/>
                <w:bCs/>
                <w:sz w:val="20"/>
                <w:lang w:val="en-AU"/>
              </w:rPr>
            </w:pPr>
            <w:r w:rsidRPr="00B53E9B">
              <w:rPr>
                <w:rFonts w:cs="Arial"/>
                <w:b/>
                <w:bCs/>
                <w:sz w:val="20"/>
                <w:lang w:val="en-AU"/>
              </w:rPr>
              <w:lastRenderedPageBreak/>
              <w:t>Practice points</w:t>
            </w:r>
          </w:p>
        </w:tc>
        <w:tc>
          <w:tcPr>
            <w:tcW w:w="4125" w:type="pct"/>
          </w:tcPr>
          <w:p w:rsidRPr="006F04FD" w:rsidR="006F04FD" w:rsidP="00FE4186" w:rsidRDefault="006F04FD" w14:paraId="15A2F970" w14:textId="77777777">
            <w:pPr>
              <w:rPr>
                <w:sz w:val="16"/>
                <w:szCs w:val="16"/>
              </w:rPr>
            </w:pPr>
            <w:r w:rsidRPr="006F04FD">
              <w:rPr>
                <w:b/>
                <w:sz w:val="16"/>
                <w:szCs w:val="16"/>
              </w:rPr>
              <w:t>Sedation for agitated ventilated patients:</w:t>
            </w:r>
            <w:r w:rsidRPr="006F04FD">
              <w:rPr>
                <w:sz w:val="16"/>
                <w:szCs w:val="16"/>
              </w:rPr>
              <w:t xml:space="preserve"> There is insufficient trial data evaluating the use of dexmedetomidine in newborn infants. (LOE IV, dose escalation study) </w:t>
            </w:r>
          </w:p>
          <w:p w:rsidRPr="006F04FD" w:rsidR="006F04FD" w:rsidP="00FE4186" w:rsidRDefault="006F04FD" w14:paraId="2847FF54" w14:textId="77777777">
            <w:pPr>
              <w:pStyle w:val="BodyText"/>
              <w:tabs>
                <w:tab w:val="left" w:pos="1168"/>
              </w:tabs>
              <w:rPr>
                <w:sz w:val="16"/>
                <w:szCs w:val="16"/>
                <w:lang w:val="en-AU"/>
              </w:rPr>
            </w:pPr>
            <w:r w:rsidRPr="006F04FD">
              <w:rPr>
                <w:b/>
                <w:sz w:val="16"/>
                <w:szCs w:val="16"/>
              </w:rPr>
              <w:t>For sedation with nerve blocks for surgical procedures</w:t>
            </w:r>
            <w:r w:rsidRPr="006F04FD">
              <w:rPr>
                <w:b/>
                <w:sz w:val="16"/>
                <w:szCs w:val="16"/>
                <w:lang w:val="en-AU"/>
              </w:rPr>
              <w:t xml:space="preserve">: </w:t>
            </w:r>
            <w:r w:rsidRPr="006F04FD">
              <w:rPr>
                <w:sz w:val="16"/>
                <w:szCs w:val="16"/>
              </w:rPr>
              <w:t xml:space="preserve">Dexmedetomidine sedation loading dose 2-3 microgram/kg with maintenance dose 0.2 microgram/kg/hour with caudal block provides a feasible alternative to general anaesthesia in infants undergoing hernia surgery although supplemental </w:t>
            </w:r>
            <w:r w:rsidRPr="006F04FD">
              <w:rPr>
                <w:sz w:val="16"/>
                <w:szCs w:val="16"/>
                <w:lang w:val="en-AU"/>
              </w:rPr>
              <w:t xml:space="preserve">anaesthesia </w:t>
            </w:r>
            <w:r w:rsidRPr="006F04FD">
              <w:rPr>
                <w:sz w:val="16"/>
                <w:szCs w:val="16"/>
              </w:rPr>
              <w:t>w</w:t>
            </w:r>
            <w:r w:rsidRPr="006F04FD">
              <w:rPr>
                <w:sz w:val="16"/>
                <w:szCs w:val="16"/>
                <w:lang w:val="en-AU"/>
              </w:rPr>
              <w:t>as</w:t>
            </w:r>
            <w:r w:rsidRPr="006F04FD">
              <w:rPr>
                <w:sz w:val="16"/>
                <w:szCs w:val="16"/>
              </w:rPr>
              <w:t xml:space="preserve"> required in 9.8%.</w:t>
            </w:r>
            <w:r w:rsidRPr="006F04FD">
              <w:rPr>
                <w:sz w:val="16"/>
                <w:szCs w:val="16"/>
                <w:lang w:val="en-AU"/>
              </w:rPr>
              <w:t xml:space="preserve"> </w:t>
            </w:r>
            <w:r w:rsidRPr="006F04FD">
              <w:rPr>
                <w:noProof/>
                <w:sz w:val="16"/>
                <w:szCs w:val="16"/>
              </w:rPr>
              <w:t>[18]</w:t>
            </w:r>
            <w:r w:rsidRPr="006F04FD">
              <w:rPr>
                <w:sz w:val="16"/>
                <w:szCs w:val="16"/>
              </w:rPr>
              <w:t xml:space="preserve"> [LOE II neonates]</w:t>
            </w:r>
          </w:p>
          <w:p w:rsidRPr="006F04FD" w:rsidR="006F04FD" w:rsidP="00FE4186" w:rsidRDefault="006F04FD" w14:paraId="6D1AF17C" w14:textId="77777777">
            <w:pPr>
              <w:pStyle w:val="BodyText"/>
              <w:tabs>
                <w:tab w:val="left" w:pos="1168"/>
              </w:tabs>
              <w:rPr>
                <w:rFonts w:cs="Arial"/>
                <w:sz w:val="16"/>
                <w:szCs w:val="16"/>
                <w:lang w:val="en-AU"/>
              </w:rPr>
            </w:pPr>
            <w:r w:rsidRPr="006F04FD">
              <w:rPr>
                <w:b/>
                <w:sz w:val="16"/>
                <w:szCs w:val="16"/>
              </w:rPr>
              <w:t>Acute withdrawal from opi</w:t>
            </w:r>
            <w:r w:rsidRPr="006F04FD">
              <w:rPr>
                <w:b/>
                <w:sz w:val="16"/>
                <w:szCs w:val="16"/>
                <w:lang w:val="en-AU"/>
              </w:rPr>
              <w:t>oids</w:t>
            </w:r>
            <w:r w:rsidRPr="006F04FD">
              <w:rPr>
                <w:b/>
                <w:sz w:val="16"/>
                <w:szCs w:val="16"/>
              </w:rPr>
              <w:t>:</w:t>
            </w:r>
            <w:r w:rsidRPr="006F04FD">
              <w:rPr>
                <w:sz w:val="16"/>
                <w:szCs w:val="16"/>
                <w:lang w:val="en-AU"/>
              </w:rPr>
              <w:t xml:space="preserve"> There are insufficient data of the use of </w:t>
            </w:r>
            <w:r w:rsidRPr="006F04FD">
              <w:rPr>
                <w:sz w:val="16"/>
                <w:szCs w:val="16"/>
              </w:rPr>
              <w:t>Dexmedetomidine</w:t>
            </w:r>
            <w:r w:rsidRPr="006F04FD">
              <w:rPr>
                <w:sz w:val="16"/>
                <w:szCs w:val="16"/>
                <w:lang w:val="en-AU"/>
              </w:rPr>
              <w:t xml:space="preserve"> for treatment of NAS so its use is not recommended for this indication. Clonidine may be preferred with its reduced sedative properties.</w:t>
            </w:r>
          </w:p>
        </w:tc>
      </w:tr>
      <w:tr w:rsidRPr="003A7895" w:rsidR="006F04FD" w:rsidTr="00204576" w14:paraId="64652591" w14:textId="77777777">
        <w:trPr>
          <w:trHeight w:val="70"/>
        </w:trPr>
        <w:tc>
          <w:tcPr>
            <w:tcW w:w="875" w:type="pct"/>
          </w:tcPr>
          <w:p w:rsidRPr="00B53E9B" w:rsidR="006F04FD" w:rsidP="00FE4186" w:rsidRDefault="006F04FD" w14:paraId="00F2F7E6" w14:textId="77777777">
            <w:pPr>
              <w:pStyle w:val="BodyText"/>
              <w:rPr>
                <w:rFonts w:cs="Arial"/>
                <w:b/>
                <w:bCs/>
                <w:sz w:val="20"/>
                <w:lang w:val="en-AU"/>
              </w:rPr>
            </w:pPr>
            <w:r w:rsidRPr="00B53E9B">
              <w:rPr>
                <w:b/>
                <w:sz w:val="20"/>
                <w:lang w:val="en-AU"/>
              </w:rPr>
              <w:t>References</w:t>
            </w:r>
          </w:p>
        </w:tc>
        <w:tc>
          <w:tcPr>
            <w:tcW w:w="4125" w:type="pct"/>
          </w:tcPr>
          <w:p w:rsidRPr="006F04FD" w:rsidR="006F04FD" w:rsidP="001B0E05" w:rsidRDefault="006F04FD" w14:paraId="041CD879" w14:textId="77777777">
            <w:pPr>
              <w:pStyle w:val="ListParagraph"/>
              <w:numPr>
                <w:ilvl w:val="0"/>
                <w:numId w:val="82"/>
              </w:numPr>
              <w:autoSpaceDE w:val="0"/>
              <w:autoSpaceDN w:val="0"/>
              <w:adjustRightInd w:val="0"/>
              <w:rPr>
                <w:sz w:val="16"/>
                <w:szCs w:val="16"/>
              </w:rPr>
            </w:pPr>
            <w:r w:rsidRPr="006F04FD">
              <w:rPr>
                <w:sz w:val="16"/>
                <w:szCs w:val="16"/>
              </w:rPr>
              <w:t>van Hoorn CE, Hoeks SE, Essink H, Tibboel D, de Graaff JC. A systematic review and narrative synthesis on the histological and neurobehavioral long-term effects of dexmedetomidine. Paediatr Anaesth. 2019;29:125-36.</w:t>
            </w:r>
          </w:p>
          <w:p w:rsidRPr="006F04FD" w:rsidR="006F04FD" w:rsidP="001B0E05" w:rsidRDefault="006F04FD" w14:paraId="61A949FC" w14:textId="77777777">
            <w:pPr>
              <w:pStyle w:val="ListParagraph"/>
              <w:numPr>
                <w:ilvl w:val="0"/>
                <w:numId w:val="82"/>
              </w:numPr>
              <w:autoSpaceDE w:val="0"/>
              <w:autoSpaceDN w:val="0"/>
              <w:adjustRightInd w:val="0"/>
              <w:rPr>
                <w:sz w:val="16"/>
                <w:szCs w:val="16"/>
              </w:rPr>
            </w:pPr>
            <w:r w:rsidRPr="006F04FD">
              <w:rPr>
                <w:sz w:val="16"/>
                <w:szCs w:val="16"/>
              </w:rPr>
              <w:t>Weerink MAS, Struys MMRF, Hannivoort LN, Barends CRM, Absalom AR, Colin P. Clinical Pharmacokinetics and Pharmacodynamics of Dexmedetomidine. Clinical Pharmacokinetics. 2017;56:893-913.</w:t>
            </w:r>
          </w:p>
          <w:p w:rsidRPr="006F04FD" w:rsidR="006F04FD" w:rsidP="001B0E05" w:rsidRDefault="006F04FD" w14:paraId="36883E71" w14:textId="77777777">
            <w:pPr>
              <w:pStyle w:val="ListParagraph"/>
              <w:numPr>
                <w:ilvl w:val="0"/>
                <w:numId w:val="82"/>
              </w:numPr>
              <w:autoSpaceDE w:val="0"/>
              <w:autoSpaceDN w:val="0"/>
              <w:adjustRightInd w:val="0"/>
              <w:rPr>
                <w:sz w:val="16"/>
                <w:szCs w:val="16"/>
              </w:rPr>
            </w:pPr>
            <w:r w:rsidRPr="006F04FD">
              <w:rPr>
                <w:sz w:val="16"/>
                <w:szCs w:val="16"/>
              </w:rPr>
              <w:t>Chrysostomou C, Schulman SR, Herrera Castellanos M, Cofer BE, Mitra S, da Rocha MG, Wisemandle WA, Gramlich L. A phase II/III, multicenter, safety, efficacy, and pharmacokinetic study of dexmedetomidine in preterm and term neonates. J Pediatr. 2014;164:276-82.e1-3.</w:t>
            </w:r>
          </w:p>
          <w:p w:rsidRPr="006F04FD" w:rsidR="006F04FD" w:rsidP="001B0E05" w:rsidRDefault="006F04FD" w14:paraId="23D0533D" w14:textId="77777777">
            <w:pPr>
              <w:pStyle w:val="ListParagraph"/>
              <w:numPr>
                <w:ilvl w:val="0"/>
                <w:numId w:val="82"/>
              </w:numPr>
              <w:autoSpaceDE w:val="0"/>
              <w:autoSpaceDN w:val="0"/>
              <w:adjustRightInd w:val="0"/>
              <w:rPr>
                <w:sz w:val="16"/>
                <w:szCs w:val="16"/>
              </w:rPr>
            </w:pPr>
            <w:r w:rsidRPr="006F04FD">
              <w:rPr>
                <w:sz w:val="16"/>
                <w:szCs w:val="16"/>
              </w:rPr>
              <w:t>Potts AL, Anderson BJ, Warman GR, Lerman J, Diaz SM, Vilo S. Dexmedetomidine pharmacokinetics in pediatric intensive care--a pooled analysis. Paediatr Anaesth. 2009;19:1119-29.</w:t>
            </w:r>
          </w:p>
          <w:p w:rsidRPr="006F04FD" w:rsidR="006F04FD" w:rsidP="001B0E05" w:rsidRDefault="006F04FD" w14:paraId="0A160B01" w14:textId="77777777">
            <w:pPr>
              <w:pStyle w:val="ListParagraph"/>
              <w:numPr>
                <w:ilvl w:val="0"/>
                <w:numId w:val="82"/>
              </w:numPr>
              <w:autoSpaceDE w:val="0"/>
              <w:autoSpaceDN w:val="0"/>
              <w:adjustRightInd w:val="0"/>
              <w:rPr>
                <w:sz w:val="16"/>
                <w:szCs w:val="16"/>
              </w:rPr>
            </w:pPr>
            <w:r w:rsidRPr="006F04FD">
              <w:rPr>
                <w:sz w:val="16"/>
                <w:szCs w:val="16"/>
              </w:rPr>
              <w:t>Potts AL, Warman GR, Anderson BJ. Dexmedetomidine disposition in children: a population analysis. Paediatr Anaesth. 2008;18:722-30.</w:t>
            </w:r>
          </w:p>
          <w:p w:rsidRPr="006F04FD" w:rsidR="006F04FD" w:rsidP="001B0E05" w:rsidRDefault="006F04FD" w14:paraId="0AB0CF8D" w14:textId="77777777">
            <w:pPr>
              <w:pStyle w:val="ListParagraph"/>
              <w:numPr>
                <w:ilvl w:val="0"/>
                <w:numId w:val="82"/>
              </w:numPr>
              <w:autoSpaceDE w:val="0"/>
              <w:autoSpaceDN w:val="0"/>
              <w:adjustRightInd w:val="0"/>
              <w:rPr>
                <w:sz w:val="16"/>
                <w:szCs w:val="16"/>
              </w:rPr>
            </w:pPr>
            <w:r w:rsidRPr="006F04FD">
              <w:rPr>
                <w:sz w:val="16"/>
                <w:szCs w:val="16"/>
              </w:rPr>
              <w:t>Plambech MZ, Afshari A. Dexmedetomidine in the pediatric population: a review. Minerva Anestesiol. 2015;81:320-32.</w:t>
            </w:r>
          </w:p>
          <w:p w:rsidRPr="006F04FD" w:rsidR="006F04FD" w:rsidP="001B0E05" w:rsidRDefault="006F04FD" w14:paraId="3C1711D0" w14:textId="77777777">
            <w:pPr>
              <w:pStyle w:val="ListParagraph"/>
              <w:numPr>
                <w:ilvl w:val="0"/>
                <w:numId w:val="82"/>
              </w:numPr>
              <w:autoSpaceDE w:val="0"/>
              <w:autoSpaceDN w:val="0"/>
              <w:adjustRightInd w:val="0"/>
              <w:rPr>
                <w:sz w:val="16"/>
                <w:szCs w:val="16"/>
              </w:rPr>
            </w:pPr>
            <w:r w:rsidRPr="006F04FD">
              <w:rPr>
                <w:sz w:val="16"/>
                <w:szCs w:val="16"/>
              </w:rPr>
              <w:t>Chen K, Lu Z, Xin CY, Cai Y, Chen Y, Pan MS. Alpha-2 agonists for long-term sedation during mechanical ventilation in critically ill patients. Cochrane Database Syst Rev. 2019.</w:t>
            </w:r>
          </w:p>
          <w:p w:rsidRPr="006F04FD" w:rsidR="006F04FD" w:rsidP="001B0E05" w:rsidRDefault="006F04FD" w14:paraId="5C133E3D" w14:textId="77777777">
            <w:pPr>
              <w:pStyle w:val="ListParagraph"/>
              <w:numPr>
                <w:ilvl w:val="0"/>
                <w:numId w:val="82"/>
              </w:numPr>
              <w:autoSpaceDE w:val="0"/>
              <w:autoSpaceDN w:val="0"/>
              <w:adjustRightInd w:val="0"/>
              <w:rPr>
                <w:sz w:val="16"/>
                <w:szCs w:val="16"/>
              </w:rPr>
            </w:pPr>
            <w:r w:rsidRPr="006F04FD">
              <w:rPr>
                <w:sz w:val="16"/>
                <w:szCs w:val="16"/>
              </w:rPr>
              <w:lastRenderedPageBreak/>
              <w:t>Daverio M, Mondardini MC, Sperotto F, Coscini N, Amigoni A. Use of dexmedetomidine for prolonged sedation in pediatric patients: A systematic review. Pediatr Crit Care Med. 2018;19 (6 Supplement 1):196.</w:t>
            </w:r>
          </w:p>
          <w:p w:rsidRPr="006F04FD" w:rsidR="006F04FD" w:rsidP="001B0E05" w:rsidRDefault="006F04FD" w14:paraId="694796A7" w14:textId="77777777">
            <w:pPr>
              <w:pStyle w:val="ListParagraph"/>
              <w:numPr>
                <w:ilvl w:val="0"/>
                <w:numId w:val="82"/>
              </w:numPr>
              <w:autoSpaceDE w:val="0"/>
              <w:autoSpaceDN w:val="0"/>
              <w:adjustRightInd w:val="0"/>
              <w:rPr>
                <w:sz w:val="16"/>
                <w:szCs w:val="16"/>
              </w:rPr>
            </w:pPr>
            <w:r w:rsidRPr="006F04FD">
              <w:rPr>
                <w:sz w:val="16"/>
                <w:szCs w:val="16"/>
              </w:rPr>
              <w:t>Surkov D. Using of dexmedetomidine in term neonates with hypoxic-ischemic encephalopathy. Intensive Care Medicine Experimental Conference: 31st European Society of Intensive Care Medicine Annual Congress, ESICM. 2018;6.</w:t>
            </w:r>
          </w:p>
          <w:p w:rsidRPr="006F04FD" w:rsidR="006F04FD" w:rsidP="001B0E05" w:rsidRDefault="006F04FD" w14:paraId="7A6B8577" w14:textId="77777777">
            <w:pPr>
              <w:pStyle w:val="ListParagraph"/>
              <w:numPr>
                <w:ilvl w:val="0"/>
                <w:numId w:val="82"/>
              </w:numPr>
              <w:autoSpaceDE w:val="0"/>
              <w:autoSpaceDN w:val="0"/>
              <w:adjustRightInd w:val="0"/>
              <w:rPr>
                <w:sz w:val="16"/>
                <w:szCs w:val="16"/>
              </w:rPr>
            </w:pPr>
            <w:r w:rsidRPr="006F04FD">
              <w:rPr>
                <w:sz w:val="16"/>
                <w:szCs w:val="16"/>
              </w:rPr>
              <w:t>Chrysostomou C, Schulman S, Polak M, Herrera M, Cofer B, Gramlich L. A phase II/III, open-label, multicenter, safety, efficacy and pharmacokinetic study of dexmedetomidine in neonates ages &gt;= 28 weeks to &lt;= 44 weeks gestational age. Anesthesia and Analgesia. 2012;1):S392.</w:t>
            </w:r>
          </w:p>
          <w:p w:rsidRPr="006F04FD" w:rsidR="006F04FD" w:rsidP="001B0E05" w:rsidRDefault="006F04FD" w14:paraId="09EC2FA7" w14:textId="77777777">
            <w:pPr>
              <w:pStyle w:val="ListParagraph"/>
              <w:numPr>
                <w:ilvl w:val="0"/>
                <w:numId w:val="82"/>
              </w:numPr>
              <w:autoSpaceDE w:val="0"/>
              <w:autoSpaceDN w:val="0"/>
              <w:adjustRightInd w:val="0"/>
              <w:rPr>
                <w:sz w:val="16"/>
                <w:szCs w:val="16"/>
              </w:rPr>
            </w:pPr>
            <w:r w:rsidRPr="006F04FD">
              <w:rPr>
                <w:sz w:val="16"/>
                <w:szCs w:val="16"/>
              </w:rPr>
              <w:t>O'Mara K, Gal P, Wimmer J, Ransom JL, Carlos RQ, Dimaguila MA, Davanzo CC, Smith M. Dexmedetomidine versus standard therapy with fentanyl for sedation in mechanically ventilated premature neonates. J Pediatr Pharmacol Ther. 2012;17:252-62.</w:t>
            </w:r>
          </w:p>
          <w:p w:rsidRPr="006F04FD" w:rsidR="006F04FD" w:rsidP="001B0E05" w:rsidRDefault="006F04FD" w14:paraId="44ECD23D" w14:textId="77777777">
            <w:pPr>
              <w:pStyle w:val="ListParagraph"/>
              <w:numPr>
                <w:ilvl w:val="0"/>
                <w:numId w:val="82"/>
              </w:numPr>
              <w:autoSpaceDE w:val="0"/>
              <w:autoSpaceDN w:val="0"/>
              <w:adjustRightInd w:val="0"/>
              <w:rPr>
                <w:sz w:val="16"/>
                <w:szCs w:val="16"/>
              </w:rPr>
            </w:pPr>
            <w:r w:rsidRPr="006F04FD">
              <w:rPr>
                <w:sz w:val="16"/>
                <w:szCs w:val="16"/>
              </w:rPr>
              <w:t>Bellon M, Le Bot A, Michelet D, Hilly J, Maesani M, Brasher C, Dahmani S. Efficacy of Intraoperative Dexmedetomidine Compared with Placebo for Postoperative Pain Management: A Meta-Analysis of Published Studies. Pain Ther. 2016;5:63-80.</w:t>
            </w:r>
          </w:p>
          <w:p w:rsidRPr="006F04FD" w:rsidR="006F04FD" w:rsidP="001B0E05" w:rsidRDefault="006F04FD" w14:paraId="4C4A4D52" w14:textId="77777777">
            <w:pPr>
              <w:pStyle w:val="ListParagraph"/>
              <w:numPr>
                <w:ilvl w:val="0"/>
                <w:numId w:val="82"/>
              </w:numPr>
              <w:autoSpaceDE w:val="0"/>
              <w:autoSpaceDN w:val="0"/>
              <w:adjustRightInd w:val="0"/>
              <w:rPr>
                <w:sz w:val="16"/>
                <w:szCs w:val="16"/>
              </w:rPr>
            </w:pPr>
            <w:r w:rsidRPr="006F04FD">
              <w:rPr>
                <w:sz w:val="16"/>
                <w:szCs w:val="16"/>
              </w:rPr>
              <w:t>Schnabel A, Reichl SU, Poepping DM, Kranke P, Pogatzki-Zahn EM, Zahn PK. Efficacy and safety of intraoperative dexmedetomidine for acute postoperative pain in children: a meta-analysis of randomized controlled trials. Paediatr Anaesth. 2013;23:170-9.</w:t>
            </w:r>
          </w:p>
          <w:p w:rsidRPr="006F04FD" w:rsidR="006F04FD" w:rsidP="001B0E05" w:rsidRDefault="006F04FD" w14:paraId="5985107D" w14:textId="77777777">
            <w:pPr>
              <w:pStyle w:val="ListParagraph"/>
              <w:numPr>
                <w:ilvl w:val="0"/>
                <w:numId w:val="82"/>
              </w:numPr>
              <w:autoSpaceDE w:val="0"/>
              <w:autoSpaceDN w:val="0"/>
              <w:adjustRightInd w:val="0"/>
              <w:rPr>
                <w:sz w:val="16"/>
                <w:szCs w:val="16"/>
              </w:rPr>
            </w:pPr>
            <w:r w:rsidRPr="006F04FD">
              <w:rPr>
                <w:sz w:val="16"/>
                <w:szCs w:val="16"/>
              </w:rPr>
              <w:t>Wang W, Huang P, Gao W, Cao F, Yi M, Chen L, Guo X. Efficacy and Acceptability of Different Auxiliary Drugs in Pediatric Sevoflurane Anesthesia: A Network Meta-analysis of Mixed Treatment Comparisons. Sci. 2016;6:36553.</w:t>
            </w:r>
          </w:p>
          <w:p w:rsidRPr="006F04FD" w:rsidR="006F04FD" w:rsidP="001B0E05" w:rsidRDefault="006F04FD" w14:paraId="60D6731C" w14:textId="77777777">
            <w:pPr>
              <w:pStyle w:val="ListParagraph"/>
              <w:numPr>
                <w:ilvl w:val="0"/>
                <w:numId w:val="82"/>
              </w:numPr>
              <w:autoSpaceDE w:val="0"/>
              <w:autoSpaceDN w:val="0"/>
              <w:adjustRightInd w:val="0"/>
              <w:rPr>
                <w:sz w:val="16"/>
                <w:szCs w:val="16"/>
              </w:rPr>
            </w:pPr>
            <w:r w:rsidRPr="006F04FD">
              <w:rPr>
                <w:sz w:val="16"/>
                <w:szCs w:val="16"/>
              </w:rPr>
              <w:t>Lam F, Bhutta AT, Tobias JD, Gossett JM, Morales L, Gupta P. Hemodynamic effects of dexmedetomidine in critically ill neonates and infants with heart disease. Pediatr Cardiol. 2012;33:1069-77.</w:t>
            </w:r>
          </w:p>
          <w:p w:rsidRPr="006F04FD" w:rsidR="006F04FD" w:rsidP="001B0E05" w:rsidRDefault="006F04FD" w14:paraId="1E0AE200" w14:textId="77777777">
            <w:pPr>
              <w:pStyle w:val="ListParagraph"/>
              <w:numPr>
                <w:ilvl w:val="0"/>
                <w:numId w:val="82"/>
              </w:numPr>
              <w:autoSpaceDE w:val="0"/>
              <w:autoSpaceDN w:val="0"/>
              <w:adjustRightInd w:val="0"/>
              <w:rPr>
                <w:sz w:val="16"/>
                <w:szCs w:val="16"/>
              </w:rPr>
            </w:pPr>
            <w:r w:rsidRPr="006F04FD">
              <w:rPr>
                <w:sz w:val="16"/>
                <w:szCs w:val="16"/>
              </w:rPr>
              <w:t>Ozcengiz D, Gunes Y, Atci M. Preliminary experience with dexmedetomidine in neonatal anaesthesia. J. 2011;27:17-22.</w:t>
            </w:r>
          </w:p>
          <w:p w:rsidRPr="006F04FD" w:rsidR="006F04FD" w:rsidP="001B0E05" w:rsidRDefault="006F04FD" w14:paraId="228CD1E6" w14:textId="77777777">
            <w:pPr>
              <w:pStyle w:val="ListParagraph"/>
              <w:numPr>
                <w:ilvl w:val="0"/>
                <w:numId w:val="82"/>
              </w:numPr>
              <w:autoSpaceDE w:val="0"/>
              <w:autoSpaceDN w:val="0"/>
              <w:adjustRightInd w:val="0"/>
              <w:rPr>
                <w:sz w:val="16"/>
                <w:szCs w:val="16"/>
              </w:rPr>
            </w:pPr>
            <w:r w:rsidRPr="006F04FD">
              <w:rPr>
                <w:sz w:val="16"/>
                <w:szCs w:val="16"/>
              </w:rPr>
              <w:t>Sellas MN, Kyllonen KC, Lepak MR, Rodriguez RJ. Dexmedetomidine for the Management of Postoperative Pain and Sedation in Newborns. J. 2019;24:227-33.</w:t>
            </w:r>
          </w:p>
          <w:p w:rsidRPr="006F04FD" w:rsidR="006F04FD" w:rsidP="001B0E05" w:rsidRDefault="006F04FD" w14:paraId="0F5D2B5D" w14:textId="77777777">
            <w:pPr>
              <w:pStyle w:val="ListParagraph"/>
              <w:numPr>
                <w:ilvl w:val="0"/>
                <w:numId w:val="82"/>
              </w:numPr>
              <w:autoSpaceDE w:val="0"/>
              <w:autoSpaceDN w:val="0"/>
              <w:adjustRightInd w:val="0"/>
              <w:rPr>
                <w:sz w:val="16"/>
                <w:szCs w:val="16"/>
              </w:rPr>
            </w:pPr>
            <w:r w:rsidRPr="006F04FD">
              <w:rPr>
                <w:sz w:val="16"/>
                <w:szCs w:val="16"/>
              </w:rPr>
              <w:t>Bong CL, Tan J, Lim S, Low Y, Sim SW, Rajadurai VS, Khoo PC, Allen J, Meaney M, Koh WP. Randomised controlled trial of dexmedetomidine sedation vs general anaesthesia for inguinal hernia surgery on perioperative outcomes in infants. Br J Anaesth. 2019;122:662-70.</w:t>
            </w:r>
          </w:p>
          <w:p w:rsidRPr="006F04FD" w:rsidR="006F04FD" w:rsidP="001B0E05" w:rsidRDefault="006F04FD" w14:paraId="04555B37" w14:textId="77777777">
            <w:pPr>
              <w:pStyle w:val="ListParagraph"/>
              <w:numPr>
                <w:ilvl w:val="0"/>
                <w:numId w:val="82"/>
              </w:numPr>
              <w:autoSpaceDE w:val="0"/>
              <w:autoSpaceDN w:val="0"/>
              <w:adjustRightInd w:val="0"/>
              <w:rPr>
                <w:sz w:val="16"/>
                <w:szCs w:val="16"/>
              </w:rPr>
            </w:pPr>
            <w:r w:rsidRPr="006F04FD">
              <w:rPr>
                <w:sz w:val="16"/>
                <w:szCs w:val="16"/>
              </w:rPr>
              <w:t>Oschman A, McCabe T, Kuhn RJ. Dexmedetomidine for opioid and benzodiazepine withdrawal in pediatric patients. Am J Health-Syst Pharm. 2011;68:1233-8.</w:t>
            </w:r>
          </w:p>
          <w:p w:rsidRPr="006F04FD" w:rsidR="006F04FD" w:rsidP="001B0E05" w:rsidRDefault="006F04FD" w14:paraId="59990AF2" w14:textId="77777777">
            <w:pPr>
              <w:pStyle w:val="ListParagraph"/>
              <w:numPr>
                <w:ilvl w:val="0"/>
                <w:numId w:val="82"/>
              </w:numPr>
              <w:autoSpaceDE w:val="0"/>
              <w:autoSpaceDN w:val="0"/>
              <w:adjustRightInd w:val="0"/>
              <w:rPr>
                <w:sz w:val="16"/>
                <w:szCs w:val="16"/>
              </w:rPr>
            </w:pPr>
            <w:r w:rsidRPr="006F04FD">
              <w:rPr>
                <w:sz w:val="16"/>
                <w:szCs w:val="16"/>
              </w:rPr>
              <w:t>El Amrousy DM, Elshmaa NS, El-Kashlan M, Hassan S, Elsanosy M, Hablas N, Elrifaey S, El-Feky W. Efficacy of Prophylactic Dexmedetomidine in Preventing Postoperative Junctional Ectopic Tachycardia After Pediatric Cardiac Surgery. J Am Heart Assoc. 2017;6.</w:t>
            </w:r>
          </w:p>
          <w:p w:rsidRPr="006F04FD" w:rsidR="006F04FD" w:rsidP="001B0E05" w:rsidRDefault="006F04FD" w14:paraId="5F45C812" w14:textId="77777777">
            <w:pPr>
              <w:pStyle w:val="ListParagraph"/>
              <w:numPr>
                <w:ilvl w:val="0"/>
                <w:numId w:val="82"/>
              </w:numPr>
              <w:autoSpaceDE w:val="0"/>
              <w:autoSpaceDN w:val="0"/>
              <w:adjustRightInd w:val="0"/>
              <w:rPr>
                <w:sz w:val="16"/>
                <w:szCs w:val="16"/>
              </w:rPr>
            </w:pPr>
            <w:r w:rsidRPr="006F04FD">
              <w:rPr>
                <w:sz w:val="16"/>
                <w:szCs w:val="16"/>
              </w:rPr>
              <w:t>Finkel JC, Quezado ZM. Hypothermia-induced bradycardia in a neonate receiving dexmedetomidine. J Clin Anesth. 2007;19:290-2.</w:t>
            </w:r>
          </w:p>
          <w:p w:rsidRPr="006F04FD" w:rsidR="006F04FD" w:rsidP="001B0E05" w:rsidRDefault="006F04FD" w14:paraId="1319326F" w14:textId="77777777">
            <w:pPr>
              <w:pStyle w:val="ListParagraph"/>
              <w:numPr>
                <w:ilvl w:val="0"/>
                <w:numId w:val="82"/>
              </w:numPr>
              <w:autoSpaceDE w:val="0"/>
              <w:autoSpaceDN w:val="0"/>
              <w:adjustRightInd w:val="0"/>
              <w:rPr>
                <w:sz w:val="16"/>
                <w:szCs w:val="16"/>
              </w:rPr>
            </w:pPr>
            <w:r w:rsidRPr="006F04FD">
              <w:rPr>
                <w:sz w:val="16"/>
                <w:szCs w:val="16"/>
              </w:rPr>
              <w:t>Kubota T, Fukasawa T, Kitamura E, Magota M, Kato Y, Natsume J, Okumura A. Epileptic seizures induced by dexmedetomidine in a neonate. Brain Dev. 2013;35:360-2.</w:t>
            </w:r>
          </w:p>
          <w:p w:rsidRPr="006F04FD" w:rsidR="006F04FD" w:rsidP="001B0E05" w:rsidRDefault="006F04FD" w14:paraId="48B08246" w14:textId="77777777">
            <w:pPr>
              <w:pStyle w:val="ListParagraph"/>
              <w:numPr>
                <w:ilvl w:val="0"/>
                <w:numId w:val="82"/>
              </w:numPr>
              <w:autoSpaceDE w:val="0"/>
              <w:autoSpaceDN w:val="0"/>
              <w:adjustRightInd w:val="0"/>
              <w:rPr>
                <w:sz w:val="16"/>
                <w:szCs w:val="16"/>
              </w:rPr>
            </w:pPr>
            <w:r w:rsidRPr="006F04FD">
              <w:rPr>
                <w:sz w:val="16"/>
                <w:szCs w:val="16"/>
              </w:rPr>
              <w:t>Whalen LD, Di Gennaro JL, Irby GA, Yanay O, Zimmerman JJ. Long-term dexmedetomidine use and safety profile among critically ill children and neonates. Pediatr Crit Care Med. 2014;15:706-14.</w:t>
            </w:r>
          </w:p>
          <w:p w:rsidRPr="006F04FD" w:rsidR="006F04FD" w:rsidP="001B0E05" w:rsidRDefault="006F04FD" w14:paraId="368288E1" w14:textId="77777777">
            <w:pPr>
              <w:pStyle w:val="ListParagraph"/>
              <w:numPr>
                <w:ilvl w:val="0"/>
                <w:numId w:val="82"/>
              </w:numPr>
              <w:autoSpaceDE w:val="0"/>
              <w:autoSpaceDN w:val="0"/>
              <w:adjustRightInd w:val="0"/>
              <w:rPr>
                <w:sz w:val="16"/>
                <w:szCs w:val="16"/>
              </w:rPr>
            </w:pPr>
            <w:r w:rsidRPr="006F04FD">
              <w:rPr>
                <w:sz w:val="16"/>
                <w:szCs w:val="16"/>
              </w:rPr>
              <w:t>Chrysostomou C, Komarlu R, Lichtenstein S, Shiderly D, Arora G, Orr R, Wearden PD, Morell VO, Munoz R, Jooste EH. Electrocardiographic effects of dexmedetomidine in patients with congenital heart disease. Intensive Care Med. 2010;36:836-42.</w:t>
            </w:r>
          </w:p>
          <w:p w:rsidRPr="006F04FD" w:rsidR="006F04FD" w:rsidP="001B0E05" w:rsidRDefault="006F04FD" w14:paraId="48C9E439" w14:textId="77777777">
            <w:pPr>
              <w:pStyle w:val="ListParagraph"/>
              <w:numPr>
                <w:ilvl w:val="0"/>
                <w:numId w:val="82"/>
              </w:numPr>
              <w:autoSpaceDE w:val="0"/>
              <w:autoSpaceDN w:val="0"/>
              <w:adjustRightInd w:val="0"/>
              <w:rPr>
                <w:sz w:val="16"/>
                <w:szCs w:val="16"/>
              </w:rPr>
            </w:pPr>
            <w:r w:rsidRPr="006F04FD">
              <w:rPr>
                <w:sz w:val="16"/>
                <w:szCs w:val="16"/>
              </w:rPr>
              <w:t>Chrysostomou C, Morell VO, Wearden P, Sanchez-de-Toledo J, Jooste EH, Beerman L. Dexmedetomidine: therapeutic use for the termination of reentrant supraventricular tachycardia. Congenit. 2013;8:48-56.</w:t>
            </w:r>
          </w:p>
          <w:p w:rsidRPr="006F04FD" w:rsidR="006F04FD" w:rsidP="001B0E05" w:rsidRDefault="006F04FD" w14:paraId="0445394D" w14:textId="77777777">
            <w:pPr>
              <w:pStyle w:val="ListParagraph"/>
              <w:numPr>
                <w:ilvl w:val="0"/>
                <w:numId w:val="82"/>
              </w:numPr>
              <w:autoSpaceDE w:val="0"/>
              <w:autoSpaceDN w:val="0"/>
              <w:adjustRightInd w:val="0"/>
              <w:rPr>
                <w:sz w:val="16"/>
                <w:szCs w:val="16"/>
              </w:rPr>
            </w:pPr>
            <w:r w:rsidRPr="006F04FD">
              <w:rPr>
                <w:sz w:val="16"/>
                <w:szCs w:val="16"/>
              </w:rPr>
              <w:t>Greenberg RG, Wu H, Laughon M, Capparelli E, Rowe S, Zimmerman KO, Smith PB, Cohen-Wolkowiez M. Population Pharmacokinetics of Dexmedetomidine in Infants. J Clin Pharmacol. 2017;57:1174-82.</w:t>
            </w:r>
          </w:p>
          <w:p w:rsidRPr="006F04FD" w:rsidR="006F04FD" w:rsidP="001B0E05" w:rsidRDefault="006F04FD" w14:paraId="6EB3E33C" w14:textId="77777777">
            <w:pPr>
              <w:pStyle w:val="ListParagraph"/>
              <w:numPr>
                <w:ilvl w:val="0"/>
                <w:numId w:val="82"/>
              </w:numPr>
              <w:autoSpaceDE w:val="0"/>
              <w:autoSpaceDN w:val="0"/>
              <w:adjustRightInd w:val="0"/>
              <w:rPr>
                <w:sz w:val="16"/>
                <w:szCs w:val="16"/>
              </w:rPr>
            </w:pPr>
            <w:r w:rsidRPr="006F04FD">
              <w:rPr>
                <w:sz w:val="16"/>
                <w:szCs w:val="16"/>
              </w:rPr>
              <w:t>Su F, Gastonguay MR, Nicolson SC, DiLiberto M, Ocampo-Pelland A, Zuppa AF. Dexmedetomidine Pharmacology in Neonates and Infants After Open Heart Surgery. Anesth Analg. 2016;122:1556-66.</w:t>
            </w:r>
          </w:p>
          <w:p w:rsidRPr="006F04FD" w:rsidR="006F04FD" w:rsidP="001B0E05" w:rsidRDefault="006F04FD" w14:paraId="062171B5" w14:textId="77777777">
            <w:pPr>
              <w:pStyle w:val="ListParagraph"/>
              <w:numPr>
                <w:ilvl w:val="0"/>
                <w:numId w:val="82"/>
              </w:numPr>
              <w:autoSpaceDE w:val="0"/>
              <w:autoSpaceDN w:val="0"/>
              <w:adjustRightInd w:val="0"/>
              <w:rPr>
                <w:sz w:val="16"/>
                <w:szCs w:val="16"/>
              </w:rPr>
            </w:pPr>
            <w:r w:rsidRPr="006F04FD">
              <w:rPr>
                <w:sz w:val="16"/>
                <w:szCs w:val="16"/>
              </w:rPr>
              <w:t>Australian Injectable Drugs Handbook, 8</w:t>
            </w:r>
            <w:r w:rsidRPr="006F04FD">
              <w:rPr>
                <w:sz w:val="16"/>
                <w:szCs w:val="16"/>
                <w:vertAlign w:val="superscript"/>
              </w:rPr>
              <w:t>th</w:t>
            </w:r>
            <w:r w:rsidRPr="006F04FD">
              <w:rPr>
                <w:sz w:val="16"/>
                <w:szCs w:val="16"/>
              </w:rPr>
              <w:t xml:space="preserve"> Edition, Society of Hospital Pharmacists of Australia. Accessed online 11</w:t>
            </w:r>
            <w:r w:rsidRPr="006F04FD">
              <w:rPr>
                <w:sz w:val="16"/>
                <w:szCs w:val="16"/>
                <w:vertAlign w:val="superscript"/>
              </w:rPr>
              <w:t>th</w:t>
            </w:r>
            <w:r w:rsidRPr="006F04FD">
              <w:rPr>
                <w:sz w:val="16"/>
                <w:szCs w:val="16"/>
              </w:rPr>
              <w:t xml:space="preserve"> March 2020.</w:t>
            </w:r>
          </w:p>
          <w:p w:rsidRPr="006F04FD" w:rsidR="006F04FD" w:rsidP="001B0E05" w:rsidRDefault="006F04FD" w14:paraId="4C13D870" w14:textId="77777777">
            <w:pPr>
              <w:pStyle w:val="ListParagraph"/>
              <w:numPr>
                <w:ilvl w:val="0"/>
                <w:numId w:val="82"/>
              </w:numPr>
              <w:autoSpaceDE w:val="0"/>
              <w:autoSpaceDN w:val="0"/>
              <w:adjustRightInd w:val="0"/>
              <w:rPr>
                <w:sz w:val="16"/>
                <w:szCs w:val="16"/>
              </w:rPr>
            </w:pPr>
            <w:r w:rsidRPr="006F04FD">
              <w:rPr>
                <w:sz w:val="16"/>
                <w:szCs w:val="16"/>
              </w:rPr>
              <w:t>Product Information. MIMS online. Accessed 11</w:t>
            </w:r>
            <w:r w:rsidRPr="006F04FD">
              <w:rPr>
                <w:sz w:val="16"/>
                <w:szCs w:val="16"/>
                <w:vertAlign w:val="superscript"/>
              </w:rPr>
              <w:t>th</w:t>
            </w:r>
            <w:r w:rsidRPr="006F04FD">
              <w:rPr>
                <w:sz w:val="16"/>
                <w:szCs w:val="16"/>
              </w:rPr>
              <w:t xml:space="preserve"> March 2020.</w:t>
            </w:r>
          </w:p>
          <w:p w:rsidRPr="006F04FD" w:rsidR="006F04FD" w:rsidP="001B0E05" w:rsidRDefault="006F04FD" w14:paraId="3063168E" w14:textId="77777777">
            <w:pPr>
              <w:pStyle w:val="ListParagraph"/>
              <w:numPr>
                <w:ilvl w:val="0"/>
                <w:numId w:val="82"/>
              </w:numPr>
              <w:autoSpaceDE w:val="0"/>
              <w:autoSpaceDN w:val="0"/>
              <w:adjustRightInd w:val="0"/>
              <w:rPr>
                <w:sz w:val="16"/>
                <w:szCs w:val="16"/>
              </w:rPr>
            </w:pPr>
            <w:r w:rsidRPr="006F04FD">
              <w:rPr>
                <w:sz w:val="16"/>
                <w:szCs w:val="16"/>
              </w:rPr>
              <w:t>Micromedex online. Accessed 11</w:t>
            </w:r>
            <w:r w:rsidRPr="006F04FD">
              <w:rPr>
                <w:sz w:val="16"/>
                <w:szCs w:val="16"/>
                <w:vertAlign w:val="superscript"/>
              </w:rPr>
              <w:t>th</w:t>
            </w:r>
            <w:r w:rsidRPr="006F04FD">
              <w:rPr>
                <w:sz w:val="16"/>
                <w:szCs w:val="16"/>
              </w:rPr>
              <w:t xml:space="preserve"> March 2020.</w:t>
            </w:r>
          </w:p>
        </w:tc>
      </w:tr>
    </w:tbl>
    <w:p w:rsidR="00AA778E" w:rsidP="006F0321" w:rsidRDefault="00AA778E" w14:paraId="6622F483" w14:textId="20084A55"/>
    <w:p w:rsidR="006F04FD" w:rsidP="006F0321" w:rsidRDefault="006F04FD" w14:paraId="791874E5" w14:textId="77777777"/>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AA778E" w:rsidR="00E424B4" w:rsidTr="00A65F20" w14:paraId="31550AEA" w14:textId="77777777">
        <w:tc>
          <w:tcPr>
            <w:tcW w:w="4111" w:type="dxa"/>
            <w:vAlign w:val="center"/>
          </w:tcPr>
          <w:p w:rsidRPr="00AA778E" w:rsidR="00AA778E" w:rsidP="00E525C7" w:rsidRDefault="00AA778E" w14:paraId="58711600" w14:textId="6117132A">
            <w:pPr>
              <w:rPr>
                <w:sz w:val="20"/>
              </w:rPr>
            </w:pPr>
            <w:r w:rsidRPr="00AA778E">
              <w:rPr>
                <w:sz w:val="20"/>
              </w:rPr>
              <w:t xml:space="preserve">Original version Date: </w:t>
            </w:r>
            <w:r w:rsidR="00CD0BE4">
              <w:rPr>
                <w:sz w:val="20"/>
              </w:rPr>
              <w:t>28/5/2020</w:t>
            </w:r>
          </w:p>
        </w:tc>
        <w:tc>
          <w:tcPr>
            <w:tcW w:w="4820" w:type="dxa"/>
            <w:vAlign w:val="center"/>
          </w:tcPr>
          <w:p w:rsidRPr="00AA778E" w:rsidR="00AA778E" w:rsidP="00E525C7" w:rsidRDefault="00AA778E" w14:paraId="0565E6D4" w14:textId="77777777">
            <w:pPr>
              <w:rPr>
                <w:sz w:val="20"/>
              </w:rPr>
            </w:pPr>
            <w:r w:rsidRPr="00AA778E">
              <w:rPr>
                <w:sz w:val="20"/>
              </w:rPr>
              <w:t>Author: NeoMed Consensus Group</w:t>
            </w:r>
          </w:p>
        </w:tc>
      </w:tr>
      <w:tr w:rsidRPr="00AA778E" w:rsidR="00E424B4" w:rsidTr="00A65F20" w14:paraId="3E594806" w14:textId="77777777">
        <w:tc>
          <w:tcPr>
            <w:tcW w:w="4111" w:type="dxa"/>
            <w:vAlign w:val="center"/>
          </w:tcPr>
          <w:p w:rsidRPr="00AA778E" w:rsidR="00AA778E" w:rsidP="00E525C7" w:rsidRDefault="00AA778E" w14:paraId="269079D1" w14:textId="64A507B9">
            <w:pPr>
              <w:rPr>
                <w:bCs/>
                <w:sz w:val="20"/>
              </w:rPr>
            </w:pPr>
            <w:r w:rsidRPr="00AA778E">
              <w:rPr>
                <w:sz w:val="20"/>
              </w:rPr>
              <w:t xml:space="preserve">Current Version number:  </w:t>
            </w:r>
            <w:r w:rsidR="00672EE0">
              <w:rPr>
                <w:sz w:val="20"/>
              </w:rPr>
              <w:t>2</w:t>
            </w:r>
          </w:p>
        </w:tc>
        <w:tc>
          <w:tcPr>
            <w:tcW w:w="4820" w:type="dxa"/>
            <w:vAlign w:val="center"/>
          </w:tcPr>
          <w:p w:rsidRPr="00AA778E" w:rsidR="00AA778E" w:rsidP="00E525C7" w:rsidRDefault="00AA778E" w14:paraId="0F9E135B" w14:textId="3AC3C7D4">
            <w:pPr>
              <w:rPr>
                <w:sz w:val="20"/>
              </w:rPr>
            </w:pPr>
            <w:r w:rsidRPr="00AA778E">
              <w:rPr>
                <w:sz w:val="20"/>
              </w:rPr>
              <w:t xml:space="preserve">Current Version Date:  </w:t>
            </w:r>
            <w:r w:rsidR="00672EE0">
              <w:rPr>
                <w:sz w:val="20"/>
              </w:rPr>
              <w:t>18/2/2021</w:t>
            </w:r>
          </w:p>
        </w:tc>
      </w:tr>
      <w:tr w:rsidRPr="00AA778E" w:rsidR="00E424B4" w:rsidTr="00A65F20" w14:paraId="37A553AB" w14:textId="77777777">
        <w:tc>
          <w:tcPr>
            <w:tcW w:w="4111" w:type="dxa"/>
            <w:vAlign w:val="center"/>
          </w:tcPr>
          <w:p w:rsidRPr="00AA778E" w:rsidR="00AA778E" w:rsidP="00E525C7" w:rsidRDefault="00AA778E" w14:paraId="022CF057" w14:textId="77777777">
            <w:pPr>
              <w:rPr>
                <w:sz w:val="20"/>
              </w:rPr>
            </w:pPr>
            <w:r w:rsidRPr="00AA778E">
              <w:rPr>
                <w:sz w:val="20"/>
              </w:rPr>
              <w:t>Risk Rating: Medium</w:t>
            </w:r>
          </w:p>
        </w:tc>
        <w:tc>
          <w:tcPr>
            <w:tcW w:w="4820" w:type="dxa"/>
            <w:vAlign w:val="center"/>
          </w:tcPr>
          <w:p w:rsidRPr="00AA778E" w:rsidR="00AA778E" w:rsidP="00E525C7" w:rsidRDefault="00AA778E" w14:paraId="110CEB23" w14:textId="756CE098">
            <w:pPr>
              <w:rPr>
                <w:sz w:val="20"/>
              </w:rPr>
            </w:pPr>
            <w:r w:rsidRPr="00AA778E">
              <w:rPr>
                <w:sz w:val="20"/>
              </w:rPr>
              <w:t xml:space="preserve">Due for Review:  </w:t>
            </w:r>
            <w:r w:rsidR="00672EE0">
              <w:rPr>
                <w:sz w:val="20"/>
              </w:rPr>
              <w:t>18/2/2026</w:t>
            </w:r>
          </w:p>
        </w:tc>
      </w:tr>
      <w:tr w:rsidRPr="00AA778E" w:rsidR="00E424B4" w:rsidTr="00A65F20" w14:paraId="76806CAE" w14:textId="77777777">
        <w:trPr>
          <w:trHeight w:val="344"/>
        </w:trPr>
        <w:tc>
          <w:tcPr>
            <w:tcW w:w="4111" w:type="dxa"/>
            <w:tcBorders>
              <w:bottom w:val="single" w:color="auto" w:sz="4" w:space="0"/>
            </w:tcBorders>
            <w:vAlign w:val="center"/>
          </w:tcPr>
          <w:p w:rsidRPr="00AA778E" w:rsidR="00AA778E" w:rsidP="00E525C7" w:rsidRDefault="00AA778E" w14:paraId="5C878935" w14:textId="77777777">
            <w:pPr>
              <w:rPr>
                <w:sz w:val="20"/>
              </w:rPr>
            </w:pPr>
            <w:r w:rsidRPr="00AA778E">
              <w:rPr>
                <w:sz w:val="20"/>
              </w:rPr>
              <w:t>Approved by: DTC</w:t>
            </w:r>
          </w:p>
        </w:tc>
        <w:tc>
          <w:tcPr>
            <w:tcW w:w="4820" w:type="dxa"/>
            <w:tcBorders>
              <w:bottom w:val="single" w:color="auto" w:sz="4" w:space="0"/>
            </w:tcBorders>
            <w:vAlign w:val="center"/>
          </w:tcPr>
          <w:p w:rsidRPr="00AA778E" w:rsidR="00AA778E" w:rsidP="00E525C7" w:rsidRDefault="00AA778E" w14:paraId="56A79809" w14:textId="6D9BAB6F">
            <w:pPr>
              <w:rPr>
                <w:sz w:val="20"/>
              </w:rPr>
            </w:pPr>
            <w:r w:rsidRPr="00AA778E">
              <w:rPr>
                <w:sz w:val="20"/>
              </w:rPr>
              <w:t xml:space="preserve">Approval Date: </w:t>
            </w:r>
            <w:r w:rsidR="00260BC8">
              <w:rPr>
                <w:sz w:val="20"/>
              </w:rPr>
              <w:t>APRIL 2021</w:t>
            </w:r>
          </w:p>
        </w:tc>
      </w:tr>
    </w:tbl>
    <w:p w:rsidR="00AA778E" w:rsidP="006F0321" w:rsidRDefault="00AA778E" w14:paraId="6B8588B6" w14:textId="77777777"/>
    <w:p w:rsidR="00AA778E" w:rsidP="006F0321" w:rsidRDefault="00AA778E" w14:paraId="6850A04C" w14:textId="77777777"/>
    <w:p w:rsidRPr="00E25790" w:rsidR="009F5AF5" w:rsidP="006F0321" w:rsidRDefault="009F5AF5" w14:paraId="69861042" w14:textId="364DB6FE">
      <w:r w:rsidRPr="00AA778E">
        <w:br w:type="page"/>
      </w:r>
    </w:p>
    <w:p w:rsidRPr="00E25790" w:rsidR="00115F48" w:rsidP="006F0321" w:rsidRDefault="00115F48" w14:paraId="21F86138" w14:textId="77777777"/>
    <w:tbl>
      <w:tblPr>
        <w:tblW w:w="9049" w:type="dxa"/>
        <w:tblLayout w:type="fixed"/>
        <w:tblLook w:val="0000" w:firstRow="0" w:lastRow="0" w:firstColumn="0" w:lastColumn="0" w:noHBand="0" w:noVBand="0"/>
      </w:tblPr>
      <w:tblGrid>
        <w:gridCol w:w="4153"/>
        <w:gridCol w:w="4896"/>
      </w:tblGrid>
      <w:tr w:rsidRPr="00E25790" w:rsidR="00E82E1E" w:rsidTr="00EC6FC6" w14:paraId="5C821C8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E82E1E" w:rsidP="009469DB" w:rsidRDefault="00E82E1E" w14:paraId="30B64BAE" w14:textId="77777777">
            <w:pPr>
              <w:pStyle w:val="Heading1"/>
            </w:pPr>
            <w:bookmarkStart w:name="_Toc38106834" w:id="177"/>
            <w:bookmarkStart w:name="_Toc75339960" w:id="178"/>
            <w:r w:rsidRPr="00E25790">
              <w:t>Diazoxide</w:t>
            </w:r>
            <w:bookmarkEnd w:id="177"/>
            <w:bookmarkEnd w:id="178"/>
            <w:r w:rsidRPr="00E25790">
              <w:fldChar w:fldCharType="begin"/>
            </w:r>
            <w:r w:rsidRPr="00E25790">
              <w:instrText>tc "CAP Trial" \l 0</w:instrText>
            </w:r>
            <w:r w:rsidRPr="00E25790">
              <w:fldChar w:fldCharType="end"/>
            </w:r>
          </w:p>
        </w:tc>
      </w:tr>
      <w:tr w:rsidRPr="00E25790" w:rsidR="00E82E1E" w:rsidTr="00EC6FC6" w14:paraId="172465E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E82E1E" w:rsidP="006F0321" w:rsidRDefault="00E82E1E" w14:paraId="068DBB2B" w14:textId="00E9A276">
            <w:r w:rsidRPr="00E25790">
              <w:t xml:space="preserve">Revision Date : </w:t>
            </w:r>
            <w:r w:rsidR="00FC2D2A">
              <w:t>15-12-2020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E82E1E" w:rsidP="006F0321" w:rsidRDefault="00E82E1E" w14:paraId="06521CB8" w14:textId="1BCA0EC5">
            <w:r w:rsidRPr="00E25790">
              <w:t xml:space="preserve">Approved : </w:t>
            </w:r>
            <w:r w:rsidR="00FC2D2A">
              <w:t>TC, KOH</w:t>
            </w:r>
          </w:p>
        </w:tc>
      </w:tr>
    </w:tbl>
    <w:p w:rsidRPr="00E25790" w:rsidR="00E82E1E" w:rsidP="006F0321" w:rsidRDefault="00E82E1E" w14:paraId="6A655AED"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67"/>
        <w:gridCol w:w="7249"/>
      </w:tblGrid>
      <w:tr w:rsidRPr="003B78EA" w:rsidR="00FC2D2A" w:rsidTr="0010214E" w14:paraId="6F99AD81" w14:textId="77777777">
        <w:trPr>
          <w:trHeight w:val="263"/>
        </w:trPr>
        <w:tc>
          <w:tcPr>
            <w:tcW w:w="980" w:type="pct"/>
          </w:tcPr>
          <w:p w:rsidRPr="003B78EA" w:rsidR="00FC2D2A" w:rsidP="0010214E" w:rsidRDefault="00FC2D2A" w14:paraId="51EF7D55"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020" w:type="pct"/>
          </w:tcPr>
          <w:p w:rsidR="00FC2D2A" w:rsidP="0010214E" w:rsidRDefault="00FC2D2A" w14:paraId="6BA81645" w14:textId="77777777">
            <w:pPr>
              <w:pStyle w:val="BodyText"/>
              <w:rPr>
                <w:rFonts w:cs="Arial" w:asciiTheme="minorHAnsi" w:hAnsiTheme="minorHAnsi"/>
                <w:sz w:val="20"/>
              </w:rPr>
            </w:pPr>
            <w:r>
              <w:rPr>
                <w:rFonts w:cs="Arial" w:asciiTheme="minorHAnsi" w:hAnsiTheme="minorHAnsi"/>
                <w:sz w:val="20"/>
              </w:rPr>
              <w:t>C</w:t>
            </w:r>
            <w:r w:rsidRPr="00EB50E4">
              <w:rPr>
                <w:rFonts w:cs="Arial" w:asciiTheme="minorHAnsi" w:hAnsiTheme="minorHAnsi"/>
                <w:sz w:val="20"/>
              </w:rPr>
              <w:t>oncomitant use of a thiazide diuretic is recommended.</w:t>
            </w:r>
            <w:r>
              <w:rPr>
                <w:rFonts w:cs="Arial" w:asciiTheme="minorHAnsi" w:hAnsiTheme="minorHAnsi"/>
                <w:sz w:val="20"/>
              </w:rPr>
              <w:t xml:space="preserve"> </w:t>
            </w:r>
            <w:r w:rsidRPr="00EB50E4">
              <w:rPr>
                <w:rFonts w:cs="Arial" w:asciiTheme="minorHAnsi" w:hAnsiTheme="minorHAnsi"/>
                <w:sz w:val="20"/>
              </w:rPr>
              <w:t xml:space="preserve">Avoid higher dose where possible. </w:t>
            </w:r>
          </w:p>
          <w:p w:rsidRPr="003B78EA" w:rsidR="00FC2D2A" w:rsidP="0010214E" w:rsidRDefault="00FC2D2A" w14:paraId="2A6B4097" w14:textId="77777777">
            <w:pPr>
              <w:pStyle w:val="BodyText"/>
              <w:rPr>
                <w:rFonts w:asciiTheme="minorHAnsi" w:hAnsiTheme="minorHAnsi" w:cstheme="minorHAnsi"/>
                <w:sz w:val="20"/>
              </w:rPr>
            </w:pPr>
            <w:r w:rsidRPr="003B46ED">
              <w:rPr>
                <w:rFonts w:asciiTheme="minorHAnsi" w:hAnsiTheme="minorHAnsi" w:cstheme="minorHAnsi"/>
                <w:sz w:val="20"/>
              </w:rPr>
              <w:t>Proglycem 50mg/mL suspension contains alcohol 7.25%. Oral solution prepared by Pharmacy is preferred.</w:t>
            </w:r>
          </w:p>
        </w:tc>
      </w:tr>
      <w:tr w:rsidRPr="003B78EA" w:rsidR="00FC2D2A" w:rsidTr="0010214E" w14:paraId="124D8D36" w14:textId="77777777">
        <w:trPr>
          <w:trHeight w:val="263"/>
        </w:trPr>
        <w:tc>
          <w:tcPr>
            <w:tcW w:w="980" w:type="pct"/>
          </w:tcPr>
          <w:p w:rsidRPr="003B78EA" w:rsidR="00FC2D2A" w:rsidP="0010214E" w:rsidRDefault="00FC2D2A" w14:paraId="75A22718"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020" w:type="pct"/>
          </w:tcPr>
          <w:p w:rsidRPr="003B78EA" w:rsidR="00FC2D2A" w:rsidP="0010214E" w:rsidRDefault="00FC2D2A" w14:paraId="68C2C006" w14:textId="77777777">
            <w:pPr>
              <w:rPr>
                <w:rFonts w:asciiTheme="minorHAnsi" w:hAnsiTheme="minorHAnsi" w:cstheme="minorHAnsi"/>
                <w:sz w:val="20"/>
              </w:rPr>
            </w:pPr>
            <w:r w:rsidRPr="00EB50E4">
              <w:rPr>
                <w:rFonts w:asciiTheme="minorHAnsi" w:hAnsiTheme="minorHAnsi"/>
                <w:sz w:val="20"/>
              </w:rPr>
              <w:t>Treatment of</w:t>
            </w:r>
            <w:r>
              <w:rPr>
                <w:rFonts w:asciiTheme="minorHAnsi" w:hAnsiTheme="minorHAnsi"/>
                <w:sz w:val="20"/>
              </w:rPr>
              <w:t xml:space="preserve"> </w:t>
            </w:r>
            <w:r w:rsidRPr="00EB50E4">
              <w:rPr>
                <w:rFonts w:asciiTheme="minorHAnsi" w:hAnsiTheme="minorHAnsi"/>
                <w:sz w:val="20"/>
              </w:rPr>
              <w:t xml:space="preserve">transient or persistent neonatal hyperinsulinaemic hypoglycaemia. </w:t>
            </w:r>
          </w:p>
        </w:tc>
      </w:tr>
      <w:tr w:rsidRPr="003B78EA" w:rsidR="00FC2D2A" w:rsidTr="0010214E" w14:paraId="424AC763" w14:textId="77777777">
        <w:trPr>
          <w:trHeight w:val="263"/>
        </w:trPr>
        <w:tc>
          <w:tcPr>
            <w:tcW w:w="980" w:type="pct"/>
          </w:tcPr>
          <w:p w:rsidRPr="003B78EA" w:rsidR="00FC2D2A" w:rsidP="0010214E" w:rsidRDefault="00FC2D2A" w14:paraId="442EFABA"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020" w:type="pct"/>
          </w:tcPr>
          <w:p w:rsidRPr="003B78EA" w:rsidR="00FC2D2A" w:rsidP="0010214E" w:rsidRDefault="00FC2D2A" w14:paraId="59558E8E" w14:textId="77777777">
            <w:pPr>
              <w:rPr>
                <w:rFonts w:asciiTheme="minorHAnsi" w:hAnsiTheme="minorHAnsi" w:cstheme="minorHAnsi"/>
                <w:sz w:val="20"/>
              </w:rPr>
            </w:pPr>
            <w:r w:rsidRPr="00EB50E4">
              <w:rPr>
                <w:rFonts w:cs="Arial" w:asciiTheme="minorHAnsi" w:hAnsiTheme="minorHAnsi"/>
                <w:sz w:val="20"/>
              </w:rPr>
              <w:t xml:space="preserve">Opens potassium-ATP channels on pancreatic beta-cells to inhibit insulin secretion. </w:t>
            </w:r>
            <w:r>
              <w:rPr>
                <w:rFonts w:cs="Arial" w:asciiTheme="minorHAnsi" w:hAnsiTheme="minorHAnsi"/>
                <w:sz w:val="20"/>
              </w:rPr>
              <w:t>A</w:t>
            </w:r>
            <w:r w:rsidRPr="00EB50E4">
              <w:rPr>
                <w:rFonts w:cs="Arial" w:asciiTheme="minorHAnsi" w:hAnsiTheme="minorHAnsi"/>
                <w:sz w:val="20"/>
              </w:rPr>
              <w:t>lso occu</w:t>
            </w:r>
            <w:r>
              <w:rPr>
                <w:rFonts w:cs="Arial" w:asciiTheme="minorHAnsi" w:hAnsiTheme="minorHAnsi"/>
                <w:sz w:val="20"/>
              </w:rPr>
              <w:t>rs</w:t>
            </w:r>
            <w:r w:rsidRPr="00EB50E4">
              <w:rPr>
                <w:rFonts w:cs="Arial" w:asciiTheme="minorHAnsi" w:hAnsiTheme="minorHAnsi"/>
                <w:sz w:val="20"/>
              </w:rPr>
              <w:t xml:space="preserve"> in cardiac and vascular smooth muscl</w:t>
            </w:r>
            <w:r>
              <w:rPr>
                <w:rFonts w:cs="Arial" w:asciiTheme="minorHAnsi" w:hAnsiTheme="minorHAnsi"/>
                <w:sz w:val="20"/>
              </w:rPr>
              <w:t>e</w:t>
            </w:r>
            <w:r w:rsidRPr="00EB50E4">
              <w:rPr>
                <w:rFonts w:cs="Arial" w:asciiTheme="minorHAnsi" w:hAnsiTheme="minorHAnsi"/>
                <w:sz w:val="20"/>
              </w:rPr>
              <w:t xml:space="preserve"> leading to decrease in blood pressure and potential for cardiorespiratory deterioration. </w:t>
            </w:r>
          </w:p>
        </w:tc>
      </w:tr>
      <w:tr w:rsidRPr="003B78EA" w:rsidR="00FC2D2A" w:rsidTr="0010214E" w14:paraId="0A45B3EC" w14:textId="77777777">
        <w:trPr>
          <w:trHeight w:val="263"/>
        </w:trPr>
        <w:tc>
          <w:tcPr>
            <w:tcW w:w="980" w:type="pct"/>
          </w:tcPr>
          <w:p w:rsidRPr="003B78EA" w:rsidR="00FC2D2A" w:rsidP="0010214E" w:rsidRDefault="00FC2D2A" w14:paraId="49CFE6B9"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020" w:type="pct"/>
          </w:tcPr>
          <w:p w:rsidRPr="003B78EA" w:rsidR="00FC2D2A" w:rsidP="0010214E" w:rsidRDefault="00FC2D2A" w14:paraId="47D3252B" w14:textId="77777777">
            <w:pPr>
              <w:pStyle w:val="BodyText"/>
              <w:rPr>
                <w:rFonts w:asciiTheme="minorHAnsi" w:hAnsiTheme="minorHAnsi" w:cstheme="minorHAnsi"/>
                <w:sz w:val="20"/>
              </w:rPr>
            </w:pPr>
            <w:r w:rsidRPr="00EB50E4">
              <w:rPr>
                <w:rFonts w:cs="Arial" w:asciiTheme="minorHAnsi" w:hAnsiTheme="minorHAnsi"/>
                <w:sz w:val="20"/>
              </w:rPr>
              <w:t>Antihypertensive</w:t>
            </w:r>
            <w:r>
              <w:rPr>
                <w:rFonts w:cs="Arial" w:asciiTheme="minorHAnsi" w:hAnsiTheme="minorHAnsi"/>
                <w:sz w:val="20"/>
              </w:rPr>
              <w:t>,</w:t>
            </w:r>
            <w:r w:rsidRPr="00EB50E4">
              <w:rPr>
                <w:rFonts w:cs="Arial" w:asciiTheme="minorHAnsi" w:hAnsiTheme="minorHAnsi"/>
                <w:sz w:val="20"/>
              </w:rPr>
              <w:t xml:space="preserve"> antidiuretic benzothiadiazine.</w:t>
            </w:r>
          </w:p>
        </w:tc>
      </w:tr>
      <w:tr w:rsidRPr="003B78EA" w:rsidR="00FC2D2A" w:rsidTr="0010214E" w14:paraId="6A0C62CA" w14:textId="77777777">
        <w:trPr>
          <w:trHeight w:val="263"/>
        </w:trPr>
        <w:tc>
          <w:tcPr>
            <w:tcW w:w="980" w:type="pct"/>
          </w:tcPr>
          <w:p w:rsidRPr="003B78EA" w:rsidR="00FC2D2A" w:rsidP="0010214E" w:rsidRDefault="00FC2D2A" w14:paraId="2F141B49"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020" w:type="pct"/>
          </w:tcPr>
          <w:p w:rsidRPr="003B46ED" w:rsidR="00FC2D2A" w:rsidP="0010214E" w:rsidRDefault="00FC2D2A" w14:paraId="31677BFD" w14:textId="77777777">
            <w:pPr>
              <w:pStyle w:val="BodyText"/>
              <w:rPr>
                <w:rFonts w:cs="Arial" w:asciiTheme="minorHAnsi" w:hAnsiTheme="minorHAnsi"/>
                <w:sz w:val="20"/>
              </w:rPr>
            </w:pPr>
            <w:r w:rsidRPr="00EB50E4">
              <w:rPr>
                <w:rFonts w:cs="Arial" w:asciiTheme="minorHAnsi" w:hAnsiTheme="minorHAnsi"/>
                <w:sz w:val="20"/>
              </w:rPr>
              <w:t>Oral: Proglycem</w:t>
            </w:r>
            <w:r>
              <w:rPr>
                <w:rFonts w:cs="Arial" w:asciiTheme="minorHAnsi" w:hAnsiTheme="minorHAnsi"/>
                <w:sz w:val="20"/>
              </w:rPr>
              <w:t xml:space="preserve"> suspension, Proglicem capsules</w:t>
            </w:r>
          </w:p>
        </w:tc>
      </w:tr>
      <w:tr w:rsidRPr="003B78EA" w:rsidR="00FC2D2A" w:rsidTr="0010214E" w14:paraId="6AD60BD9" w14:textId="77777777">
        <w:trPr>
          <w:trHeight w:val="263"/>
        </w:trPr>
        <w:tc>
          <w:tcPr>
            <w:tcW w:w="980" w:type="pct"/>
          </w:tcPr>
          <w:p w:rsidRPr="003B78EA" w:rsidR="00FC2D2A" w:rsidP="0010214E" w:rsidRDefault="00FC2D2A" w14:paraId="7836BCF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020" w:type="pct"/>
          </w:tcPr>
          <w:p w:rsidRPr="00EB50E4" w:rsidR="00FC2D2A" w:rsidP="0010214E" w:rsidRDefault="00FC2D2A" w14:paraId="66FC4AE9" w14:textId="77777777">
            <w:pPr>
              <w:pStyle w:val="BodyText"/>
              <w:rPr>
                <w:rFonts w:cs="Arial" w:asciiTheme="minorHAnsi" w:hAnsiTheme="minorHAnsi"/>
                <w:sz w:val="20"/>
              </w:rPr>
            </w:pPr>
            <w:r w:rsidRPr="00EB50E4">
              <w:rPr>
                <w:rFonts w:cs="Arial" w:asciiTheme="minorHAnsi" w:hAnsiTheme="minorHAnsi"/>
                <w:sz w:val="20"/>
              </w:rPr>
              <w:t>Oral:  10</w:t>
            </w:r>
            <w:r>
              <w:rPr>
                <w:rFonts w:cs="Arial" w:asciiTheme="minorHAnsi" w:hAnsiTheme="minorHAnsi"/>
                <w:sz w:val="20"/>
              </w:rPr>
              <w:t xml:space="preserve"> </w:t>
            </w:r>
            <w:r w:rsidRPr="00EB50E4">
              <w:rPr>
                <w:rFonts w:cs="Arial" w:asciiTheme="minorHAnsi" w:hAnsiTheme="minorHAnsi"/>
                <w:sz w:val="20"/>
              </w:rPr>
              <w:t xml:space="preserve">mg/mL solution </w:t>
            </w:r>
            <w:r>
              <w:rPr>
                <w:rFonts w:cs="Arial" w:asciiTheme="minorHAnsi" w:hAnsiTheme="minorHAnsi"/>
                <w:sz w:val="20"/>
              </w:rPr>
              <w:t>(prepared by Pharmacy using Proglicem 25mg or 100mg capsules)</w:t>
            </w:r>
            <w:r w:rsidRPr="00EB50E4">
              <w:rPr>
                <w:rFonts w:cs="Arial" w:asciiTheme="minorHAnsi" w:hAnsiTheme="minorHAnsi"/>
                <w:sz w:val="20"/>
              </w:rPr>
              <w:t xml:space="preserve">; </w:t>
            </w:r>
            <w:r>
              <w:rPr>
                <w:rFonts w:cs="Arial" w:asciiTheme="minorHAnsi" w:hAnsiTheme="minorHAnsi"/>
                <w:sz w:val="20"/>
              </w:rPr>
              <w:t xml:space="preserve">Proglycem </w:t>
            </w:r>
            <w:r w:rsidRPr="00EB50E4">
              <w:rPr>
                <w:rFonts w:cs="Arial" w:asciiTheme="minorHAnsi" w:hAnsiTheme="minorHAnsi"/>
                <w:sz w:val="20"/>
              </w:rPr>
              <w:t xml:space="preserve">50 mg/mL </w:t>
            </w:r>
            <w:r>
              <w:rPr>
                <w:rFonts w:cs="Arial" w:asciiTheme="minorHAnsi" w:hAnsiTheme="minorHAnsi"/>
                <w:sz w:val="20"/>
              </w:rPr>
              <w:t xml:space="preserve">oral suspension is </w:t>
            </w:r>
            <w:r w:rsidRPr="00EB50E4">
              <w:rPr>
                <w:rFonts w:cs="Arial" w:asciiTheme="minorHAnsi" w:hAnsiTheme="minorHAnsi"/>
                <w:sz w:val="20"/>
              </w:rPr>
              <w:t>commercial</w:t>
            </w:r>
            <w:r>
              <w:rPr>
                <w:rFonts w:cs="Arial" w:asciiTheme="minorHAnsi" w:hAnsiTheme="minorHAnsi"/>
                <w:sz w:val="20"/>
              </w:rPr>
              <w:t>ly a</w:t>
            </w:r>
            <w:r w:rsidRPr="00EB50E4">
              <w:rPr>
                <w:rFonts w:cs="Arial" w:asciiTheme="minorHAnsi" w:hAnsiTheme="minorHAnsi"/>
                <w:sz w:val="20"/>
              </w:rPr>
              <w:t>vailable as an unregistered product.</w:t>
            </w:r>
          </w:p>
          <w:p w:rsidRPr="003B78EA" w:rsidR="00FC2D2A" w:rsidP="0010214E" w:rsidRDefault="00FC2D2A" w14:paraId="77D2BE28" w14:textId="77777777">
            <w:pPr>
              <w:pStyle w:val="BodyText"/>
              <w:rPr>
                <w:rFonts w:asciiTheme="minorHAnsi" w:hAnsiTheme="minorHAnsi" w:cstheme="minorHAnsi"/>
                <w:sz w:val="20"/>
              </w:rPr>
            </w:pPr>
            <w:r>
              <w:rPr>
                <w:rFonts w:cs="Arial" w:asciiTheme="minorHAnsi" w:hAnsiTheme="minorHAnsi"/>
                <w:sz w:val="20"/>
              </w:rPr>
              <w:t>IV preparations are available but beyond the scope of this formulary. Discuss with specialist.</w:t>
            </w:r>
          </w:p>
        </w:tc>
      </w:tr>
      <w:tr w:rsidRPr="003B78EA" w:rsidR="00FC2D2A" w:rsidTr="0010214E" w14:paraId="7504C688" w14:textId="77777777">
        <w:trPr>
          <w:trHeight w:val="263"/>
        </w:trPr>
        <w:tc>
          <w:tcPr>
            <w:tcW w:w="980" w:type="pct"/>
          </w:tcPr>
          <w:p w:rsidRPr="003B78EA" w:rsidR="00FC2D2A" w:rsidP="0010214E" w:rsidRDefault="00FC2D2A" w14:paraId="309185D5"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020" w:type="pct"/>
          </w:tcPr>
          <w:p w:rsidR="00FC2D2A" w:rsidP="0010214E" w:rsidRDefault="00FC2D2A" w14:paraId="59C81BE9" w14:textId="77777777">
            <w:pPr>
              <w:pStyle w:val="BodyText"/>
              <w:ind w:left="720" w:hanging="720"/>
              <w:rPr>
                <w:rFonts w:asciiTheme="minorHAnsi" w:hAnsiTheme="minorHAnsi"/>
                <w:sz w:val="20"/>
              </w:rPr>
            </w:pPr>
            <w:r w:rsidRPr="00EB50E4">
              <w:rPr>
                <w:rFonts w:asciiTheme="minorHAnsi" w:hAnsiTheme="minorHAnsi"/>
                <w:sz w:val="20"/>
              </w:rPr>
              <w:t>2</w:t>
            </w:r>
            <w:r>
              <w:rPr>
                <w:rFonts w:asciiTheme="minorHAnsi" w:hAnsiTheme="minorHAnsi"/>
                <w:sz w:val="20"/>
              </w:rPr>
              <w:t>–</w:t>
            </w:r>
            <w:r w:rsidRPr="00EB50E4">
              <w:rPr>
                <w:rFonts w:asciiTheme="minorHAnsi" w:hAnsiTheme="minorHAnsi"/>
                <w:sz w:val="20"/>
              </w:rPr>
              <w:t xml:space="preserve">5 mg/kg/dose every 8 hours </w:t>
            </w:r>
            <w:r>
              <w:rPr>
                <w:rFonts w:asciiTheme="minorHAnsi" w:hAnsiTheme="minorHAnsi"/>
                <w:sz w:val="20"/>
              </w:rPr>
              <w:t>OR</w:t>
            </w:r>
          </w:p>
          <w:p w:rsidR="00FC2D2A" w:rsidP="0010214E" w:rsidRDefault="00FC2D2A" w14:paraId="6CE3AA2F" w14:textId="77777777">
            <w:pPr>
              <w:pStyle w:val="BodyText"/>
              <w:ind w:left="720" w:hanging="720"/>
              <w:rPr>
                <w:rFonts w:asciiTheme="minorHAnsi" w:hAnsiTheme="minorHAnsi" w:cstheme="minorHAnsi"/>
                <w:sz w:val="20"/>
              </w:rPr>
            </w:pPr>
            <w:r w:rsidRPr="00EB50E4">
              <w:rPr>
                <w:rFonts w:asciiTheme="minorHAnsi" w:hAnsiTheme="minorHAnsi"/>
                <w:sz w:val="20"/>
              </w:rPr>
              <w:t>2.5</w:t>
            </w:r>
            <w:r>
              <w:rPr>
                <w:rFonts w:asciiTheme="minorHAnsi" w:hAnsiTheme="minorHAnsi"/>
                <w:sz w:val="20"/>
              </w:rPr>
              <w:t>–</w:t>
            </w:r>
            <w:r w:rsidRPr="00EB50E4">
              <w:rPr>
                <w:rFonts w:asciiTheme="minorHAnsi" w:hAnsiTheme="minorHAnsi"/>
                <w:sz w:val="20"/>
              </w:rPr>
              <w:t xml:space="preserve">7.5 mg/kg/dose every 12 hours. </w:t>
            </w:r>
          </w:p>
        </w:tc>
      </w:tr>
      <w:tr w:rsidRPr="003B78EA" w:rsidR="00FC2D2A" w:rsidTr="0010214E" w14:paraId="2A9ECD80" w14:textId="77777777">
        <w:trPr>
          <w:trHeight w:val="263"/>
        </w:trPr>
        <w:tc>
          <w:tcPr>
            <w:tcW w:w="980" w:type="pct"/>
          </w:tcPr>
          <w:p w:rsidRPr="003B78EA" w:rsidR="00FC2D2A" w:rsidP="0010214E" w:rsidRDefault="00FC2D2A" w14:paraId="53413A2E"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020" w:type="pct"/>
          </w:tcPr>
          <w:p w:rsidRPr="003B78EA" w:rsidR="00FC2D2A" w:rsidP="0010214E" w:rsidRDefault="00FC2D2A" w14:paraId="0861CA69" w14:textId="77777777">
            <w:pPr>
              <w:pStyle w:val="BodyText"/>
              <w:rPr>
                <w:rFonts w:asciiTheme="minorHAnsi" w:hAnsiTheme="minorHAnsi" w:cstheme="minorHAnsi"/>
                <w:sz w:val="20"/>
              </w:rPr>
            </w:pPr>
          </w:p>
        </w:tc>
      </w:tr>
      <w:tr w:rsidRPr="003B78EA" w:rsidR="00FC2D2A" w:rsidTr="0010214E" w14:paraId="43B3508E" w14:textId="77777777">
        <w:trPr>
          <w:trHeight w:val="263"/>
        </w:trPr>
        <w:tc>
          <w:tcPr>
            <w:tcW w:w="980" w:type="pct"/>
          </w:tcPr>
          <w:p w:rsidRPr="003B78EA" w:rsidR="00FC2D2A" w:rsidP="0010214E" w:rsidRDefault="00FC2D2A" w14:paraId="293E798C" w14:textId="77777777">
            <w:pPr>
              <w:pStyle w:val="BodyText"/>
              <w:rPr>
                <w:rFonts w:asciiTheme="minorHAnsi" w:hAnsiTheme="minorHAnsi" w:cstheme="minorHAnsi"/>
                <w:b/>
                <w:sz w:val="20"/>
              </w:rPr>
            </w:pPr>
            <w:r>
              <w:rPr>
                <w:rFonts w:asciiTheme="minorHAnsi" w:hAnsiTheme="minorHAnsi" w:cstheme="minorHAnsi"/>
                <w:b/>
                <w:sz w:val="20"/>
              </w:rPr>
              <w:t>M</w:t>
            </w:r>
            <w:r w:rsidRPr="003B78EA">
              <w:rPr>
                <w:rFonts w:asciiTheme="minorHAnsi" w:hAnsiTheme="minorHAnsi" w:cstheme="minorHAnsi"/>
                <w:b/>
                <w:sz w:val="20"/>
              </w:rPr>
              <w:t>aximum dose</w:t>
            </w:r>
          </w:p>
        </w:tc>
        <w:tc>
          <w:tcPr>
            <w:tcW w:w="4020" w:type="pct"/>
          </w:tcPr>
          <w:p w:rsidRPr="003B46ED" w:rsidR="00FC2D2A" w:rsidP="0010214E" w:rsidRDefault="00FC2D2A" w14:paraId="5CC9C5BA" w14:textId="77777777">
            <w:pPr>
              <w:pStyle w:val="BodyText"/>
              <w:rPr>
                <w:rFonts w:asciiTheme="minorHAnsi" w:hAnsiTheme="minorHAnsi"/>
                <w:sz w:val="20"/>
              </w:rPr>
            </w:pPr>
            <w:r>
              <w:rPr>
                <w:rFonts w:asciiTheme="minorHAnsi" w:hAnsiTheme="minorHAnsi"/>
                <w:sz w:val="20"/>
              </w:rPr>
              <w:t>20 mg/kg/day, although higher doses have been reported.</w:t>
            </w:r>
            <w:r w:rsidRPr="009C480C">
              <w:rPr>
                <w:rFonts w:asciiTheme="minorHAnsi" w:hAnsiTheme="minorHAnsi"/>
                <w:sz w:val="20"/>
                <w:vertAlign w:val="superscript"/>
              </w:rPr>
              <w:t>14,15</w:t>
            </w:r>
          </w:p>
        </w:tc>
      </w:tr>
      <w:tr w:rsidRPr="003B78EA" w:rsidR="00FC2D2A" w:rsidTr="0010214E" w14:paraId="09CC6848" w14:textId="77777777">
        <w:trPr>
          <w:trHeight w:val="263"/>
        </w:trPr>
        <w:tc>
          <w:tcPr>
            <w:tcW w:w="980" w:type="pct"/>
          </w:tcPr>
          <w:p w:rsidRPr="003B78EA" w:rsidR="00FC2D2A" w:rsidP="0010214E" w:rsidRDefault="00FC2D2A" w14:paraId="51262536"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020" w:type="pct"/>
          </w:tcPr>
          <w:p w:rsidRPr="003B78EA" w:rsidR="00FC2D2A" w:rsidP="0010214E" w:rsidRDefault="00FC2D2A" w14:paraId="3F6E695A" w14:textId="77777777">
            <w:pPr>
              <w:pStyle w:val="BodyText"/>
              <w:rPr>
                <w:rFonts w:asciiTheme="minorHAnsi" w:hAnsiTheme="minorHAnsi" w:cstheme="minorHAnsi"/>
                <w:b/>
                <w:sz w:val="20"/>
              </w:rPr>
            </w:pPr>
          </w:p>
        </w:tc>
      </w:tr>
      <w:tr w:rsidRPr="003B78EA" w:rsidR="00FC2D2A" w:rsidTr="0010214E" w14:paraId="35FD292B" w14:textId="77777777">
        <w:trPr>
          <w:trHeight w:val="263"/>
        </w:trPr>
        <w:tc>
          <w:tcPr>
            <w:tcW w:w="980" w:type="pct"/>
          </w:tcPr>
          <w:p w:rsidRPr="003B78EA" w:rsidR="00FC2D2A" w:rsidP="0010214E" w:rsidRDefault="00FC2D2A" w14:paraId="01C949AF"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020" w:type="pct"/>
          </w:tcPr>
          <w:p w:rsidRPr="003B46ED" w:rsidR="00FC2D2A" w:rsidP="0010214E" w:rsidRDefault="00FC2D2A" w14:paraId="221C628B" w14:textId="77777777">
            <w:pPr>
              <w:pStyle w:val="BodyText"/>
              <w:rPr>
                <w:rFonts w:cs="Arial" w:asciiTheme="minorHAnsi" w:hAnsiTheme="minorHAnsi"/>
                <w:sz w:val="20"/>
              </w:rPr>
            </w:pPr>
            <w:r w:rsidRPr="00EB50E4">
              <w:rPr>
                <w:rFonts w:cs="Arial" w:asciiTheme="minorHAnsi" w:hAnsiTheme="minorHAnsi"/>
                <w:sz w:val="20"/>
              </w:rPr>
              <w:t xml:space="preserve">Oral. </w:t>
            </w:r>
          </w:p>
        </w:tc>
      </w:tr>
      <w:tr w:rsidRPr="003B78EA" w:rsidR="00FC2D2A" w:rsidTr="0010214E" w14:paraId="4DF37D5D" w14:textId="77777777">
        <w:trPr>
          <w:trHeight w:val="263"/>
        </w:trPr>
        <w:tc>
          <w:tcPr>
            <w:tcW w:w="980" w:type="pct"/>
          </w:tcPr>
          <w:p w:rsidRPr="003B78EA" w:rsidR="00FC2D2A" w:rsidP="0010214E" w:rsidRDefault="00FC2D2A" w14:paraId="4C2129B7"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020" w:type="pct"/>
          </w:tcPr>
          <w:p w:rsidRPr="003B46ED" w:rsidR="00FC2D2A" w:rsidP="0010214E" w:rsidRDefault="00FC2D2A" w14:paraId="2F4A3C2E" w14:textId="77777777">
            <w:pPr>
              <w:pStyle w:val="BodyText"/>
              <w:rPr>
                <w:rFonts w:cs="Arial" w:asciiTheme="minorHAnsi" w:hAnsiTheme="minorHAnsi"/>
                <w:sz w:val="20"/>
              </w:rPr>
            </w:pPr>
            <w:r>
              <w:rPr>
                <w:rFonts w:cs="Arial" w:asciiTheme="minorHAnsi" w:hAnsiTheme="minorHAnsi"/>
                <w:sz w:val="20"/>
              </w:rPr>
              <w:t>Oral</w:t>
            </w:r>
            <w:r w:rsidRPr="00EB50E4">
              <w:rPr>
                <w:rFonts w:cs="Arial" w:asciiTheme="minorHAnsi" w:hAnsiTheme="minorHAnsi"/>
                <w:sz w:val="20"/>
              </w:rPr>
              <w:t>: Shake well before use.</w:t>
            </w:r>
          </w:p>
        </w:tc>
      </w:tr>
      <w:tr w:rsidRPr="003B78EA" w:rsidR="00FC2D2A" w:rsidTr="0010214E" w14:paraId="29ECF4AB" w14:textId="77777777">
        <w:trPr>
          <w:trHeight w:val="263"/>
        </w:trPr>
        <w:tc>
          <w:tcPr>
            <w:tcW w:w="980" w:type="pct"/>
          </w:tcPr>
          <w:p w:rsidRPr="003B78EA" w:rsidR="00FC2D2A" w:rsidP="0010214E" w:rsidRDefault="00FC2D2A" w14:paraId="111D2BA9"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020" w:type="pct"/>
            <w:vAlign w:val="center"/>
          </w:tcPr>
          <w:p w:rsidRPr="003B46ED" w:rsidR="00FC2D2A" w:rsidP="0010214E" w:rsidRDefault="00FC2D2A" w14:paraId="2720A1D3" w14:textId="77777777">
            <w:pPr>
              <w:pStyle w:val="BodyText"/>
              <w:rPr>
                <w:rFonts w:cs="Arial" w:asciiTheme="minorHAnsi" w:hAnsiTheme="minorHAnsi"/>
                <w:sz w:val="20"/>
              </w:rPr>
            </w:pPr>
            <w:r w:rsidRPr="00EB50E4">
              <w:rPr>
                <w:rFonts w:cs="Arial" w:asciiTheme="minorHAnsi" w:hAnsiTheme="minorHAnsi"/>
                <w:sz w:val="20"/>
              </w:rPr>
              <w:t>Oral: Administer after feeds</w:t>
            </w:r>
            <w:r>
              <w:rPr>
                <w:rFonts w:cs="Arial" w:asciiTheme="minorHAnsi" w:hAnsiTheme="minorHAnsi"/>
                <w:sz w:val="20"/>
              </w:rPr>
              <w:t xml:space="preserve"> (preferred)</w:t>
            </w:r>
            <w:r w:rsidRPr="00EB50E4">
              <w:rPr>
                <w:rFonts w:cs="Arial" w:asciiTheme="minorHAnsi" w:hAnsiTheme="minorHAnsi"/>
                <w:sz w:val="20"/>
              </w:rPr>
              <w:t xml:space="preserve">. </w:t>
            </w:r>
          </w:p>
        </w:tc>
      </w:tr>
      <w:tr w:rsidRPr="003B78EA" w:rsidR="00FC2D2A" w:rsidTr="0010214E" w14:paraId="72B55AFA" w14:textId="77777777">
        <w:trPr>
          <w:trHeight w:val="263"/>
        </w:trPr>
        <w:tc>
          <w:tcPr>
            <w:tcW w:w="980" w:type="pct"/>
          </w:tcPr>
          <w:p w:rsidRPr="003B78EA" w:rsidR="00FC2D2A" w:rsidP="0010214E" w:rsidRDefault="00FC2D2A" w14:paraId="027315DF"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020" w:type="pct"/>
          </w:tcPr>
          <w:p w:rsidRPr="00EB50E4" w:rsidR="00FC2D2A" w:rsidP="0010214E" w:rsidRDefault="00FC2D2A" w14:paraId="141AC602" w14:textId="77777777">
            <w:pPr>
              <w:pStyle w:val="BodyText"/>
              <w:rPr>
                <w:rFonts w:cs="Arial" w:asciiTheme="minorHAnsi" w:hAnsiTheme="minorHAnsi"/>
                <w:sz w:val="20"/>
              </w:rPr>
            </w:pPr>
            <w:r>
              <w:rPr>
                <w:rFonts w:cs="Arial" w:asciiTheme="minorHAnsi" w:hAnsiTheme="minorHAnsi"/>
                <w:sz w:val="20"/>
              </w:rPr>
              <w:t>B</w:t>
            </w:r>
            <w:r w:rsidRPr="00EB50E4">
              <w:rPr>
                <w:rFonts w:cs="Arial" w:asciiTheme="minorHAnsi" w:hAnsiTheme="minorHAnsi"/>
                <w:sz w:val="20"/>
              </w:rPr>
              <w:t xml:space="preserve">lood pressure and blood glucose levels during initial treatment. </w:t>
            </w:r>
          </w:p>
          <w:p w:rsidRPr="00EB50E4" w:rsidR="00FC2D2A" w:rsidP="0010214E" w:rsidRDefault="00FC2D2A" w14:paraId="622B04D5" w14:textId="77777777">
            <w:pPr>
              <w:pStyle w:val="BodyText"/>
              <w:rPr>
                <w:rFonts w:cs="Arial" w:asciiTheme="minorHAnsi" w:hAnsiTheme="minorHAnsi"/>
                <w:sz w:val="20"/>
              </w:rPr>
            </w:pPr>
            <w:r>
              <w:rPr>
                <w:rFonts w:cs="Arial" w:asciiTheme="minorHAnsi" w:hAnsiTheme="minorHAnsi"/>
                <w:sz w:val="20"/>
              </w:rPr>
              <w:t>S</w:t>
            </w:r>
            <w:r w:rsidRPr="00EB50E4">
              <w:rPr>
                <w:rFonts w:cs="Arial" w:asciiTheme="minorHAnsi" w:hAnsiTheme="minorHAnsi"/>
                <w:sz w:val="20"/>
              </w:rPr>
              <w:t xml:space="preserve">odium and fluid retention (urine output, electrolytes and weight). </w:t>
            </w:r>
          </w:p>
          <w:p w:rsidRPr="007F4B77" w:rsidR="00FC2D2A" w:rsidP="0010214E" w:rsidRDefault="00FC2D2A" w14:paraId="27654283" w14:textId="77777777">
            <w:pPr>
              <w:pStyle w:val="BodyText"/>
              <w:rPr>
                <w:rFonts w:asciiTheme="minorHAnsi" w:hAnsiTheme="minorHAnsi" w:cstheme="minorHAnsi"/>
                <w:sz w:val="20"/>
              </w:rPr>
            </w:pPr>
            <w:r w:rsidRPr="00EB50E4">
              <w:rPr>
                <w:rFonts w:cs="Arial" w:asciiTheme="minorHAnsi" w:hAnsiTheme="minorHAnsi"/>
                <w:sz w:val="20"/>
              </w:rPr>
              <w:t>Consider monitoring albumin and liver function.</w:t>
            </w:r>
            <w:r w:rsidRPr="00EB50E4">
              <w:rPr>
                <w:rFonts w:cs="Arial" w:asciiTheme="minorHAnsi" w:hAnsiTheme="minorHAnsi"/>
                <w:noProof/>
                <w:sz w:val="20"/>
                <w:vertAlign w:val="superscript"/>
              </w:rPr>
              <w:t>1</w:t>
            </w:r>
            <w:r w:rsidRPr="00EB50E4">
              <w:rPr>
                <w:rFonts w:cs="Arial" w:asciiTheme="minorHAnsi" w:hAnsiTheme="minorHAnsi"/>
                <w:sz w:val="20"/>
              </w:rPr>
              <w:t xml:space="preserve"> </w:t>
            </w:r>
          </w:p>
        </w:tc>
      </w:tr>
      <w:tr w:rsidRPr="003B78EA" w:rsidR="00FC2D2A" w:rsidTr="0010214E" w14:paraId="3CE8BF0B" w14:textId="77777777">
        <w:trPr>
          <w:trHeight w:val="263"/>
        </w:trPr>
        <w:tc>
          <w:tcPr>
            <w:tcW w:w="980" w:type="pct"/>
          </w:tcPr>
          <w:p w:rsidRPr="003B78EA" w:rsidR="00FC2D2A" w:rsidP="0010214E" w:rsidRDefault="00FC2D2A" w14:paraId="32701C49"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020" w:type="pct"/>
          </w:tcPr>
          <w:p w:rsidRPr="003B78EA" w:rsidR="00FC2D2A" w:rsidP="0010214E" w:rsidRDefault="00FC2D2A" w14:paraId="11F9F2EA" w14:textId="77777777">
            <w:pPr>
              <w:pStyle w:val="BodyText"/>
              <w:rPr>
                <w:rFonts w:asciiTheme="minorHAnsi" w:hAnsiTheme="minorHAnsi" w:cstheme="minorHAnsi"/>
                <w:sz w:val="20"/>
              </w:rPr>
            </w:pPr>
            <w:r w:rsidRPr="00EB50E4">
              <w:rPr>
                <w:rFonts w:cs="Arial" w:asciiTheme="minorHAnsi" w:hAnsiTheme="minorHAnsi"/>
                <w:sz w:val="20"/>
              </w:rPr>
              <w:t xml:space="preserve">Hypersensitivity to thiazide derivatives. </w:t>
            </w:r>
          </w:p>
        </w:tc>
      </w:tr>
      <w:tr w:rsidRPr="003B78EA" w:rsidR="00FC2D2A" w:rsidTr="0010214E" w14:paraId="6CA5F263" w14:textId="77777777">
        <w:trPr>
          <w:trHeight w:val="263"/>
        </w:trPr>
        <w:tc>
          <w:tcPr>
            <w:tcW w:w="980" w:type="pct"/>
          </w:tcPr>
          <w:p w:rsidRPr="003B78EA" w:rsidR="00FC2D2A" w:rsidP="0010214E" w:rsidRDefault="00FC2D2A" w14:paraId="47F5E023"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020" w:type="pct"/>
          </w:tcPr>
          <w:p w:rsidRPr="00EB50E4" w:rsidR="00FC2D2A" w:rsidP="0010214E" w:rsidRDefault="00FC2D2A" w14:paraId="3EA48212" w14:textId="77777777">
            <w:pPr>
              <w:pStyle w:val="BodyText"/>
              <w:rPr>
                <w:rFonts w:cs="Arial" w:asciiTheme="minorHAnsi" w:hAnsiTheme="minorHAnsi"/>
                <w:sz w:val="20"/>
              </w:rPr>
            </w:pPr>
            <w:r w:rsidRPr="00EB50E4">
              <w:rPr>
                <w:rFonts w:cs="Arial" w:asciiTheme="minorHAnsi" w:hAnsiTheme="minorHAnsi"/>
                <w:sz w:val="20"/>
              </w:rPr>
              <w:t xml:space="preserve">Avoid sodium and water overload. </w:t>
            </w:r>
          </w:p>
          <w:p w:rsidRPr="00EB50E4" w:rsidR="00FC2D2A" w:rsidP="0010214E" w:rsidRDefault="00FC2D2A" w14:paraId="481EC0D5" w14:textId="77777777">
            <w:pPr>
              <w:pStyle w:val="BodyText"/>
              <w:rPr>
                <w:rFonts w:cs="Arial" w:asciiTheme="minorHAnsi" w:hAnsiTheme="minorHAnsi"/>
                <w:sz w:val="20"/>
              </w:rPr>
            </w:pPr>
            <w:r w:rsidRPr="00EB50E4">
              <w:rPr>
                <w:rFonts w:cs="Arial" w:asciiTheme="minorHAnsi" w:hAnsiTheme="minorHAnsi"/>
                <w:sz w:val="20"/>
              </w:rPr>
              <w:t>Concomitant use of a thiazide diuretic is recommended.</w:t>
            </w:r>
          </w:p>
          <w:p w:rsidRPr="00EB50E4" w:rsidR="00FC2D2A" w:rsidP="0010214E" w:rsidRDefault="00FC2D2A" w14:paraId="5ED8927B" w14:textId="77777777">
            <w:pPr>
              <w:pStyle w:val="BodyText"/>
              <w:rPr>
                <w:rFonts w:cs="Arial" w:asciiTheme="minorHAnsi" w:hAnsiTheme="minorHAnsi"/>
                <w:sz w:val="20"/>
              </w:rPr>
            </w:pPr>
            <w:r w:rsidRPr="00EB50E4">
              <w:rPr>
                <w:rFonts w:cs="Arial" w:asciiTheme="minorHAnsi" w:hAnsiTheme="minorHAnsi"/>
                <w:sz w:val="20"/>
              </w:rPr>
              <w:t xml:space="preserve">Avoid higher doses where possible. </w:t>
            </w:r>
          </w:p>
          <w:p w:rsidR="00FC2D2A" w:rsidP="0010214E" w:rsidRDefault="00FC2D2A" w14:paraId="35785020" w14:textId="77777777">
            <w:pPr>
              <w:pStyle w:val="BodyText"/>
              <w:rPr>
                <w:rFonts w:cs="Arial" w:asciiTheme="minorHAnsi" w:hAnsiTheme="minorHAnsi"/>
                <w:sz w:val="20"/>
              </w:rPr>
            </w:pPr>
            <w:r w:rsidRPr="00EB50E4">
              <w:rPr>
                <w:rFonts w:cs="Arial" w:asciiTheme="minorHAnsi" w:hAnsiTheme="minorHAnsi"/>
                <w:sz w:val="20"/>
              </w:rPr>
              <w:t>Use with caution in premature infants – increased risk of cardiorespiratory complications</w:t>
            </w:r>
            <w:r>
              <w:rPr>
                <w:rFonts w:cs="Arial" w:asciiTheme="minorHAnsi" w:hAnsiTheme="minorHAnsi"/>
                <w:sz w:val="20"/>
              </w:rPr>
              <w:t>.</w:t>
            </w:r>
            <w:r w:rsidRPr="00EB50E4">
              <w:rPr>
                <w:rFonts w:cs="Arial" w:asciiTheme="minorHAnsi" w:hAnsiTheme="minorHAnsi"/>
                <w:sz w:val="20"/>
              </w:rPr>
              <w:t xml:space="preserve"> </w:t>
            </w:r>
          </w:p>
          <w:p w:rsidRPr="00EB50E4" w:rsidR="00FC2D2A" w:rsidP="0010214E" w:rsidRDefault="00FC2D2A" w14:paraId="63A6B47D" w14:textId="77777777">
            <w:pPr>
              <w:pStyle w:val="BodyText"/>
              <w:rPr>
                <w:rFonts w:cs="Arial" w:asciiTheme="minorHAnsi" w:hAnsiTheme="minorHAnsi"/>
                <w:sz w:val="20"/>
              </w:rPr>
            </w:pPr>
            <w:r w:rsidRPr="00EB50E4">
              <w:rPr>
                <w:rFonts w:cs="Arial" w:asciiTheme="minorHAnsi" w:hAnsiTheme="minorHAnsi"/>
                <w:sz w:val="20"/>
              </w:rPr>
              <w:t xml:space="preserve">Use with caution in jaundice </w:t>
            </w:r>
            <w:r>
              <w:rPr>
                <w:rFonts w:cs="Arial" w:asciiTheme="minorHAnsi" w:hAnsiTheme="minorHAnsi"/>
                <w:sz w:val="20"/>
              </w:rPr>
              <w:t>–</w:t>
            </w:r>
            <w:r w:rsidRPr="00EB50E4">
              <w:rPr>
                <w:rFonts w:cs="Arial" w:asciiTheme="minorHAnsi" w:hAnsiTheme="minorHAnsi"/>
                <w:sz w:val="20"/>
              </w:rPr>
              <w:t xml:space="preserve"> may displace bilirubin from albumin. </w:t>
            </w:r>
          </w:p>
          <w:p w:rsidRPr="00EB50E4" w:rsidR="00FC2D2A" w:rsidP="0010214E" w:rsidRDefault="00FC2D2A" w14:paraId="0D670996" w14:textId="77777777">
            <w:pPr>
              <w:pStyle w:val="BodyText"/>
              <w:rPr>
                <w:rFonts w:cs="Arial" w:asciiTheme="minorHAnsi" w:hAnsiTheme="minorHAnsi"/>
                <w:sz w:val="20"/>
              </w:rPr>
            </w:pPr>
            <w:r w:rsidRPr="00EB50E4">
              <w:rPr>
                <w:rFonts w:cs="Arial" w:asciiTheme="minorHAnsi" w:hAnsiTheme="minorHAnsi"/>
                <w:sz w:val="20"/>
              </w:rPr>
              <w:t xml:space="preserve">Reduce dose in infants with renal impairment. </w:t>
            </w:r>
          </w:p>
          <w:p w:rsidR="00FC2D2A" w:rsidP="0010214E" w:rsidRDefault="00FC2D2A" w14:paraId="44E781BB" w14:textId="77777777">
            <w:pPr>
              <w:pStyle w:val="BodyText"/>
              <w:rPr>
                <w:rFonts w:cs="Arial" w:asciiTheme="minorHAnsi" w:hAnsiTheme="minorHAnsi"/>
                <w:sz w:val="20"/>
              </w:rPr>
            </w:pPr>
            <w:r w:rsidRPr="00EB50E4">
              <w:rPr>
                <w:rFonts w:cs="Arial" w:asciiTheme="minorHAnsi" w:hAnsiTheme="minorHAnsi"/>
                <w:sz w:val="20"/>
              </w:rPr>
              <w:t xml:space="preserve">Use with caution in infants with hepatic impairment. </w:t>
            </w:r>
          </w:p>
          <w:p w:rsidR="00FC2D2A" w:rsidP="0010214E" w:rsidRDefault="00FC2D2A" w14:paraId="0068AC4B" w14:textId="77777777">
            <w:pPr>
              <w:pStyle w:val="BodyText"/>
              <w:rPr>
                <w:rFonts w:cs="Arial" w:asciiTheme="minorHAnsi" w:hAnsiTheme="minorHAnsi"/>
                <w:sz w:val="20"/>
              </w:rPr>
            </w:pPr>
            <w:r>
              <w:rPr>
                <w:rFonts w:cs="Arial" w:asciiTheme="minorHAnsi" w:hAnsiTheme="minorHAnsi"/>
                <w:sz w:val="20"/>
              </w:rPr>
              <w:t>Use with caution in mechanical hypertension, e.g. secondary to aortic coarctation or arteriovenous shunt.</w:t>
            </w:r>
          </w:p>
          <w:p w:rsidRPr="003B78EA" w:rsidR="00FC2D2A" w:rsidP="0010214E" w:rsidRDefault="00FC2D2A" w14:paraId="4AA6660E" w14:textId="77777777">
            <w:pPr>
              <w:pStyle w:val="BodyText"/>
              <w:rPr>
                <w:rFonts w:asciiTheme="minorHAnsi" w:hAnsiTheme="minorHAnsi" w:cstheme="minorHAnsi"/>
                <w:sz w:val="20"/>
              </w:rPr>
            </w:pPr>
            <w:r>
              <w:rPr>
                <w:rFonts w:cs="Arial" w:asciiTheme="minorHAnsi" w:hAnsiTheme="minorHAnsi"/>
                <w:sz w:val="20"/>
              </w:rPr>
              <w:t>Use with caution in pulmonary hypertension.</w:t>
            </w:r>
          </w:p>
        </w:tc>
      </w:tr>
      <w:tr w:rsidRPr="003B78EA" w:rsidR="00FC2D2A" w:rsidTr="0010214E" w14:paraId="3A760BE6" w14:textId="77777777">
        <w:trPr>
          <w:trHeight w:val="263"/>
        </w:trPr>
        <w:tc>
          <w:tcPr>
            <w:tcW w:w="980" w:type="pct"/>
          </w:tcPr>
          <w:p w:rsidRPr="003B78EA" w:rsidR="00FC2D2A" w:rsidP="0010214E" w:rsidRDefault="00FC2D2A" w14:paraId="3550BD3F"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020" w:type="pct"/>
          </w:tcPr>
          <w:p w:rsidRPr="003B78EA" w:rsidR="00FC2D2A" w:rsidP="0010214E" w:rsidRDefault="00FC2D2A" w14:paraId="7578E855" w14:textId="77777777">
            <w:pPr>
              <w:pStyle w:val="BodyText"/>
              <w:rPr>
                <w:rFonts w:asciiTheme="minorHAnsi" w:hAnsiTheme="minorHAnsi" w:cstheme="minorHAnsi"/>
                <w:sz w:val="20"/>
              </w:rPr>
            </w:pPr>
            <w:r w:rsidRPr="00EB50E4">
              <w:rPr>
                <w:rFonts w:cs="Arial" w:asciiTheme="minorHAnsi" w:hAnsiTheme="minorHAnsi"/>
                <w:sz w:val="20"/>
              </w:rPr>
              <w:t>Concomitant administration of diuretics may result in potentiation of the hyperglycaemic, hyperuricaemic or hypotensive effect of diazoxide.</w:t>
            </w:r>
          </w:p>
        </w:tc>
      </w:tr>
      <w:tr w:rsidRPr="003B78EA" w:rsidR="00FC2D2A" w:rsidTr="0010214E" w14:paraId="0A94F5DB" w14:textId="77777777">
        <w:trPr>
          <w:trHeight w:val="263"/>
        </w:trPr>
        <w:tc>
          <w:tcPr>
            <w:tcW w:w="980" w:type="pct"/>
          </w:tcPr>
          <w:p w:rsidRPr="003B78EA" w:rsidR="00FC2D2A" w:rsidP="0010214E" w:rsidRDefault="00FC2D2A" w14:paraId="5DB35CAE"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020" w:type="pct"/>
          </w:tcPr>
          <w:p w:rsidRPr="00EB50E4" w:rsidR="00FC2D2A" w:rsidP="0010214E" w:rsidRDefault="00FC2D2A" w14:paraId="44F76F27" w14:textId="77777777">
            <w:pPr>
              <w:pStyle w:val="BodyText"/>
              <w:rPr>
                <w:rFonts w:cs="Arial" w:asciiTheme="minorHAnsi" w:hAnsiTheme="minorHAnsi"/>
                <w:sz w:val="20"/>
              </w:rPr>
            </w:pPr>
            <w:r w:rsidRPr="00EB50E4">
              <w:rPr>
                <w:rFonts w:cs="Arial" w:asciiTheme="minorHAnsi" w:hAnsiTheme="minorHAnsi"/>
                <w:sz w:val="20"/>
              </w:rPr>
              <w:t>Tolerance to diazoxide is usually good.</w:t>
            </w:r>
          </w:p>
          <w:p w:rsidRPr="00EB50E4" w:rsidR="00FC2D2A" w:rsidP="0010214E" w:rsidRDefault="00FC2D2A" w14:paraId="6370133E" w14:textId="77777777">
            <w:pPr>
              <w:pStyle w:val="BodyText"/>
              <w:rPr>
                <w:rFonts w:cs="Arial" w:asciiTheme="minorHAnsi" w:hAnsiTheme="minorHAnsi"/>
                <w:sz w:val="20"/>
              </w:rPr>
            </w:pPr>
            <w:r w:rsidRPr="00EB50E4">
              <w:rPr>
                <w:rFonts w:cs="Arial" w:asciiTheme="minorHAnsi" w:hAnsiTheme="minorHAnsi"/>
                <w:sz w:val="20"/>
              </w:rPr>
              <w:lastRenderedPageBreak/>
              <w:t xml:space="preserve">Severe adverse effects include sodium and fluid retention </w:t>
            </w:r>
            <w:r>
              <w:rPr>
                <w:rFonts w:cs="Arial" w:asciiTheme="minorHAnsi" w:hAnsiTheme="minorHAnsi"/>
                <w:sz w:val="20"/>
              </w:rPr>
              <w:t>which</w:t>
            </w:r>
            <w:r w:rsidRPr="00EB50E4">
              <w:rPr>
                <w:rFonts w:cs="Arial" w:asciiTheme="minorHAnsi" w:hAnsiTheme="minorHAnsi"/>
                <w:sz w:val="20"/>
              </w:rPr>
              <w:t xml:space="preserve"> may precipitate congestive heart failure in patients with compromised cardiac reserve</w:t>
            </w:r>
            <w:r>
              <w:rPr>
                <w:rFonts w:cs="Arial" w:asciiTheme="minorHAnsi" w:hAnsiTheme="minorHAnsi"/>
                <w:sz w:val="20"/>
              </w:rPr>
              <w:t>.</w:t>
            </w:r>
            <w:r w:rsidRPr="00EB50E4">
              <w:rPr>
                <w:rFonts w:cs="Arial" w:asciiTheme="minorHAnsi" w:hAnsiTheme="minorHAnsi"/>
                <w:sz w:val="20"/>
              </w:rPr>
              <w:t xml:space="preserve"> </w:t>
            </w:r>
            <w:r>
              <w:rPr>
                <w:rFonts w:cs="Arial" w:asciiTheme="minorHAnsi" w:hAnsiTheme="minorHAnsi"/>
                <w:sz w:val="20"/>
              </w:rPr>
              <w:t>U</w:t>
            </w:r>
            <w:r w:rsidRPr="00EB50E4">
              <w:rPr>
                <w:rFonts w:cs="Arial" w:asciiTheme="minorHAnsi" w:hAnsiTheme="minorHAnsi"/>
                <w:sz w:val="20"/>
              </w:rPr>
              <w:t xml:space="preserve">sually responds to diuretic therapy. </w:t>
            </w:r>
          </w:p>
          <w:p w:rsidRPr="00EB50E4" w:rsidR="00FC2D2A" w:rsidP="0010214E" w:rsidRDefault="00FC2D2A" w14:paraId="5D9F16D3" w14:textId="77777777">
            <w:pPr>
              <w:pStyle w:val="BodyText"/>
              <w:rPr>
                <w:rFonts w:cs="Arial" w:asciiTheme="minorHAnsi" w:hAnsiTheme="minorHAnsi"/>
                <w:sz w:val="20"/>
              </w:rPr>
            </w:pPr>
            <w:r w:rsidRPr="00EB50E4">
              <w:rPr>
                <w:rFonts w:cs="Arial" w:asciiTheme="minorHAnsi" w:hAnsiTheme="minorHAnsi"/>
                <w:sz w:val="20"/>
              </w:rPr>
              <w:t>Life-threatening episodes of pulmonary hypertension were observed in some neonates receiving diazoxide.</w:t>
            </w:r>
            <w:r w:rsidRPr="00EB50E4">
              <w:rPr>
                <w:rFonts w:cs="Arial" w:asciiTheme="minorHAnsi" w:hAnsiTheme="minorHAnsi"/>
                <w:noProof/>
                <w:sz w:val="20"/>
                <w:vertAlign w:val="superscript"/>
              </w:rPr>
              <w:t>2</w:t>
            </w:r>
            <w:r w:rsidRPr="00EB50E4">
              <w:rPr>
                <w:rFonts w:cs="Arial" w:asciiTheme="minorHAnsi" w:hAnsiTheme="minorHAnsi"/>
                <w:sz w:val="20"/>
              </w:rPr>
              <w:t xml:space="preserve"> Prematurity and higher diazoxide dos</w:t>
            </w:r>
            <w:r>
              <w:rPr>
                <w:rFonts w:cs="Arial" w:asciiTheme="minorHAnsi" w:hAnsiTheme="minorHAnsi"/>
                <w:sz w:val="20"/>
              </w:rPr>
              <w:t>es</w:t>
            </w:r>
            <w:r w:rsidRPr="00EB50E4">
              <w:rPr>
                <w:rFonts w:cs="Arial" w:asciiTheme="minorHAnsi" w:hAnsiTheme="minorHAnsi"/>
                <w:sz w:val="20"/>
              </w:rPr>
              <w:t xml:space="preserve"> are risk factors for cardiovascular side effects.</w:t>
            </w:r>
            <w:r w:rsidRPr="00EB50E4">
              <w:rPr>
                <w:rFonts w:cs="Arial" w:asciiTheme="minorHAnsi" w:hAnsiTheme="minorHAnsi"/>
                <w:noProof/>
                <w:sz w:val="20"/>
                <w:vertAlign w:val="superscript"/>
              </w:rPr>
              <w:t>3</w:t>
            </w:r>
            <w:r w:rsidRPr="00EB50E4">
              <w:rPr>
                <w:rFonts w:cs="Arial" w:asciiTheme="minorHAnsi" w:hAnsiTheme="minorHAnsi"/>
                <w:sz w:val="20"/>
              </w:rPr>
              <w:t xml:space="preserve"> </w:t>
            </w:r>
          </w:p>
          <w:p w:rsidRPr="00EB50E4" w:rsidR="00FC2D2A" w:rsidP="0010214E" w:rsidRDefault="00FC2D2A" w14:paraId="3B3B8CAC" w14:textId="77777777">
            <w:pPr>
              <w:pStyle w:val="BodyText"/>
              <w:rPr>
                <w:rFonts w:cs="Arial" w:asciiTheme="minorHAnsi" w:hAnsiTheme="minorHAnsi"/>
                <w:sz w:val="20"/>
                <w:highlight w:val="yellow"/>
              </w:rPr>
            </w:pPr>
          </w:p>
          <w:p w:rsidRPr="00EB50E4" w:rsidR="00FC2D2A" w:rsidP="0010214E" w:rsidRDefault="00FC2D2A" w14:paraId="76906B29" w14:textId="77777777">
            <w:pPr>
              <w:pStyle w:val="BodyText"/>
              <w:rPr>
                <w:rFonts w:cs="Arial" w:asciiTheme="minorHAnsi" w:hAnsiTheme="minorHAnsi"/>
                <w:sz w:val="20"/>
              </w:rPr>
            </w:pPr>
            <w:r w:rsidRPr="00EB50E4">
              <w:rPr>
                <w:rFonts w:cs="Arial" w:asciiTheme="minorHAnsi" w:hAnsiTheme="minorHAnsi"/>
                <w:sz w:val="20"/>
              </w:rPr>
              <w:t>Severe hypotension can be controlled with sympathomimetic agents if necessary.</w:t>
            </w:r>
          </w:p>
          <w:p w:rsidRPr="00EB50E4" w:rsidR="00FC2D2A" w:rsidP="0010214E" w:rsidRDefault="00FC2D2A" w14:paraId="1D6C0B71" w14:textId="77777777">
            <w:pPr>
              <w:pStyle w:val="BodyText"/>
              <w:rPr>
                <w:rFonts w:cs="Arial" w:asciiTheme="minorHAnsi" w:hAnsiTheme="minorHAnsi"/>
                <w:sz w:val="20"/>
              </w:rPr>
            </w:pPr>
            <w:r w:rsidRPr="00EB50E4">
              <w:rPr>
                <w:rFonts w:cs="Arial" w:asciiTheme="minorHAnsi" w:hAnsiTheme="minorHAnsi"/>
                <w:sz w:val="20"/>
              </w:rPr>
              <w:t xml:space="preserve">With prolonged use, hypertrichosis can sometimes be marked and distressing in young children, but will be reversible after treatment cessation. </w:t>
            </w:r>
          </w:p>
          <w:p w:rsidRPr="00EB50E4" w:rsidR="00FC2D2A" w:rsidP="0010214E" w:rsidRDefault="00FC2D2A" w14:paraId="54FFB827" w14:textId="77777777">
            <w:pPr>
              <w:pStyle w:val="BodyText"/>
              <w:rPr>
                <w:rFonts w:cs="Arial" w:asciiTheme="minorHAnsi" w:hAnsiTheme="minorHAnsi"/>
                <w:sz w:val="20"/>
              </w:rPr>
            </w:pPr>
            <w:r w:rsidRPr="00EB50E4">
              <w:rPr>
                <w:rFonts w:cs="Arial" w:asciiTheme="minorHAnsi" w:hAnsiTheme="minorHAnsi"/>
                <w:sz w:val="20"/>
              </w:rPr>
              <w:t xml:space="preserve">Haematological side effects are very rare with the usual doses. </w:t>
            </w:r>
          </w:p>
          <w:p w:rsidRPr="003B78EA" w:rsidR="00FC2D2A" w:rsidP="0010214E" w:rsidRDefault="00FC2D2A" w14:paraId="7148A2A8" w14:textId="77777777">
            <w:pPr>
              <w:pStyle w:val="BodyText"/>
              <w:rPr>
                <w:rFonts w:asciiTheme="minorHAnsi" w:hAnsiTheme="minorHAnsi" w:cstheme="minorHAnsi"/>
                <w:sz w:val="20"/>
              </w:rPr>
            </w:pPr>
            <w:r w:rsidRPr="00EB50E4">
              <w:rPr>
                <w:rFonts w:cs="Arial" w:asciiTheme="minorHAnsi" w:hAnsiTheme="minorHAnsi"/>
                <w:sz w:val="20"/>
              </w:rPr>
              <w:t>Overdos</w:t>
            </w:r>
            <w:r>
              <w:rPr>
                <w:rFonts w:cs="Arial" w:asciiTheme="minorHAnsi" w:hAnsiTheme="minorHAnsi"/>
                <w:sz w:val="20"/>
              </w:rPr>
              <w:t>e</w:t>
            </w:r>
            <w:r w:rsidRPr="00EB50E4">
              <w:rPr>
                <w:rFonts w:cs="Arial" w:asciiTheme="minorHAnsi" w:hAnsiTheme="minorHAnsi"/>
                <w:sz w:val="20"/>
              </w:rPr>
              <w:t xml:space="preserve"> of diazoxide produces hyperglycaemia and possibly ketoacidosis which should be treated promptly with insulin and restoration of fluid and electrolyte balance. </w:t>
            </w:r>
          </w:p>
        </w:tc>
      </w:tr>
      <w:tr w:rsidRPr="003B78EA" w:rsidR="00FC2D2A" w:rsidTr="0010214E" w14:paraId="304EFA9F" w14:textId="77777777">
        <w:trPr>
          <w:trHeight w:val="263"/>
        </w:trPr>
        <w:tc>
          <w:tcPr>
            <w:tcW w:w="980" w:type="pct"/>
          </w:tcPr>
          <w:p w:rsidRPr="003B78EA" w:rsidR="00FC2D2A" w:rsidP="0010214E" w:rsidRDefault="00FC2D2A" w14:paraId="0FA8788D"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Compatibility</w:t>
            </w:r>
          </w:p>
        </w:tc>
        <w:tc>
          <w:tcPr>
            <w:tcW w:w="4020" w:type="pct"/>
          </w:tcPr>
          <w:p w:rsidRPr="003B78EA" w:rsidR="00FC2D2A" w:rsidP="0010214E" w:rsidRDefault="00FC2D2A" w14:paraId="4D257038" w14:textId="77777777">
            <w:pPr>
              <w:pStyle w:val="BodyText"/>
              <w:rPr>
                <w:rFonts w:asciiTheme="minorHAnsi" w:hAnsiTheme="minorHAnsi" w:cstheme="minorHAnsi"/>
                <w:sz w:val="20"/>
              </w:rPr>
            </w:pPr>
            <w:r>
              <w:rPr>
                <w:rFonts w:asciiTheme="minorHAnsi" w:hAnsiTheme="minorHAnsi"/>
                <w:sz w:val="20"/>
              </w:rPr>
              <w:t>Not applicable.</w:t>
            </w:r>
          </w:p>
        </w:tc>
      </w:tr>
      <w:tr w:rsidRPr="003B78EA" w:rsidR="00FC2D2A" w:rsidTr="0010214E" w14:paraId="1A059C2E" w14:textId="77777777">
        <w:trPr>
          <w:trHeight w:val="263"/>
        </w:trPr>
        <w:tc>
          <w:tcPr>
            <w:tcW w:w="980" w:type="pct"/>
          </w:tcPr>
          <w:p w:rsidRPr="003B78EA" w:rsidR="00FC2D2A" w:rsidP="0010214E" w:rsidRDefault="00FC2D2A" w14:paraId="60F17D47"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020" w:type="pct"/>
          </w:tcPr>
          <w:p w:rsidRPr="003B78EA" w:rsidR="00FC2D2A" w:rsidP="0010214E" w:rsidRDefault="00FC2D2A" w14:paraId="2B5FECA1" w14:textId="77777777">
            <w:pPr>
              <w:pStyle w:val="BodyText"/>
              <w:rPr>
                <w:rFonts w:asciiTheme="minorHAnsi" w:hAnsiTheme="minorHAnsi" w:cstheme="minorHAnsi"/>
                <w:sz w:val="20"/>
              </w:rPr>
            </w:pPr>
            <w:r>
              <w:rPr>
                <w:rFonts w:cs="Arial" w:asciiTheme="minorHAnsi" w:hAnsiTheme="minorHAnsi"/>
                <w:sz w:val="20"/>
              </w:rPr>
              <w:t>Not applicable.</w:t>
            </w:r>
            <w:r w:rsidRPr="00EB50E4">
              <w:rPr>
                <w:rFonts w:cs="Arial" w:asciiTheme="minorHAnsi" w:hAnsiTheme="minorHAnsi"/>
                <w:sz w:val="20"/>
              </w:rPr>
              <w:t xml:space="preserve"> </w:t>
            </w:r>
          </w:p>
        </w:tc>
      </w:tr>
      <w:tr w:rsidRPr="003B78EA" w:rsidR="00FC2D2A" w:rsidTr="0010214E" w14:paraId="06EE147B" w14:textId="77777777">
        <w:trPr>
          <w:trHeight w:val="263"/>
        </w:trPr>
        <w:tc>
          <w:tcPr>
            <w:tcW w:w="980" w:type="pct"/>
          </w:tcPr>
          <w:p w:rsidRPr="003B78EA" w:rsidR="00FC2D2A" w:rsidP="0010214E" w:rsidRDefault="00FC2D2A" w14:paraId="64455352"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020" w:type="pct"/>
          </w:tcPr>
          <w:p w:rsidRPr="006B0CB6" w:rsidR="00FC2D2A" w:rsidP="0010214E" w:rsidRDefault="00FC2D2A" w14:paraId="529A5CFC" w14:textId="77777777">
            <w:pPr>
              <w:pStyle w:val="BodyText"/>
              <w:rPr>
                <w:rFonts w:cs="Arial" w:asciiTheme="minorHAnsi" w:hAnsiTheme="minorHAnsi"/>
                <w:sz w:val="20"/>
              </w:rPr>
            </w:pPr>
            <w:r>
              <w:rPr>
                <w:rFonts w:cs="Arial" w:asciiTheme="minorHAnsi" w:hAnsiTheme="minorHAnsi"/>
                <w:sz w:val="20"/>
              </w:rPr>
              <w:t>Oral solution: Refer to expiry on bottle</w:t>
            </w:r>
            <w:r w:rsidRPr="00EB50E4">
              <w:rPr>
                <w:rFonts w:cs="Arial" w:asciiTheme="minorHAnsi" w:hAnsiTheme="minorHAnsi"/>
                <w:sz w:val="20"/>
              </w:rPr>
              <w:t xml:space="preserve"> </w:t>
            </w:r>
          </w:p>
        </w:tc>
      </w:tr>
      <w:tr w:rsidRPr="003B78EA" w:rsidR="00FC2D2A" w:rsidTr="0010214E" w14:paraId="09503002" w14:textId="77777777">
        <w:trPr>
          <w:trHeight w:val="263"/>
        </w:trPr>
        <w:tc>
          <w:tcPr>
            <w:tcW w:w="980" w:type="pct"/>
          </w:tcPr>
          <w:p w:rsidRPr="003B78EA" w:rsidR="00FC2D2A" w:rsidP="0010214E" w:rsidRDefault="00FC2D2A" w14:paraId="7694597E"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020" w:type="pct"/>
          </w:tcPr>
          <w:p w:rsidR="00FC2D2A" w:rsidP="0010214E" w:rsidRDefault="00FC2D2A" w14:paraId="343A3A6C" w14:textId="77777777">
            <w:pPr>
              <w:pStyle w:val="BodyText"/>
              <w:rPr>
                <w:rFonts w:cs="Arial" w:asciiTheme="minorHAnsi" w:hAnsiTheme="minorHAnsi"/>
                <w:sz w:val="20"/>
              </w:rPr>
            </w:pPr>
            <w:r>
              <w:rPr>
                <w:rFonts w:cs="Arial" w:asciiTheme="minorHAnsi" w:hAnsiTheme="minorHAnsi"/>
                <w:sz w:val="20"/>
              </w:rPr>
              <w:t>10mg/mL oral solution (prepared by Pharmacy): Store according to instructions on bottle</w:t>
            </w:r>
            <w:r w:rsidRPr="00EB50E4">
              <w:rPr>
                <w:rFonts w:cs="Arial" w:asciiTheme="minorHAnsi" w:hAnsiTheme="minorHAnsi"/>
                <w:sz w:val="20"/>
              </w:rPr>
              <w:t>.</w:t>
            </w:r>
            <w:r>
              <w:rPr>
                <w:rFonts w:cs="Arial" w:asciiTheme="minorHAnsi" w:hAnsiTheme="minorHAnsi"/>
                <w:sz w:val="20"/>
              </w:rPr>
              <w:t xml:space="preserve"> </w:t>
            </w:r>
          </w:p>
          <w:p w:rsidRPr="003B78EA" w:rsidR="00FC2D2A" w:rsidP="0010214E" w:rsidRDefault="00FC2D2A" w14:paraId="38E0209E" w14:textId="77777777">
            <w:pPr>
              <w:pStyle w:val="BodyText"/>
              <w:rPr>
                <w:rFonts w:asciiTheme="minorHAnsi" w:hAnsiTheme="minorHAnsi" w:cstheme="minorHAnsi"/>
                <w:sz w:val="20"/>
              </w:rPr>
            </w:pPr>
            <w:r>
              <w:rPr>
                <w:rFonts w:cs="Arial" w:asciiTheme="minorHAnsi" w:hAnsiTheme="minorHAnsi"/>
                <w:sz w:val="20"/>
              </w:rPr>
              <w:t xml:space="preserve">50mg/mL oral suspension: </w:t>
            </w:r>
            <w:r w:rsidRPr="00EB50E4">
              <w:rPr>
                <w:rFonts w:cs="Arial" w:asciiTheme="minorHAnsi" w:hAnsiTheme="minorHAnsi"/>
                <w:sz w:val="20"/>
              </w:rPr>
              <w:t xml:space="preserve">Store </w:t>
            </w:r>
            <w:r>
              <w:rPr>
                <w:rFonts w:cs="Arial" w:asciiTheme="minorHAnsi" w:hAnsiTheme="minorHAnsi"/>
                <w:sz w:val="20"/>
              </w:rPr>
              <w:t>at</w:t>
            </w:r>
            <w:r w:rsidRPr="00EB50E4">
              <w:rPr>
                <w:rFonts w:cs="Arial" w:asciiTheme="minorHAnsi" w:hAnsiTheme="minorHAnsi"/>
                <w:sz w:val="20"/>
              </w:rPr>
              <w:t xml:space="preserve"> 25</w:t>
            </w:r>
            <w:r w:rsidRPr="00EB50E4">
              <w:rPr>
                <w:rFonts w:cs="Arial" w:asciiTheme="minorHAnsi" w:hAnsiTheme="minorHAnsi"/>
                <w:sz w:val="20"/>
                <w:vertAlign w:val="superscript"/>
              </w:rPr>
              <w:t>°</w:t>
            </w:r>
            <w:r w:rsidRPr="00EB50E4">
              <w:rPr>
                <w:rFonts w:cs="Arial" w:asciiTheme="minorHAnsi" w:hAnsiTheme="minorHAnsi"/>
                <w:sz w:val="20"/>
              </w:rPr>
              <w:t>C. Protect from light</w:t>
            </w:r>
          </w:p>
        </w:tc>
      </w:tr>
      <w:tr w:rsidRPr="003B78EA" w:rsidR="00FC2D2A" w:rsidTr="0010214E" w14:paraId="403050AC" w14:textId="77777777">
        <w:trPr>
          <w:trHeight w:val="263"/>
        </w:trPr>
        <w:tc>
          <w:tcPr>
            <w:tcW w:w="980" w:type="pct"/>
          </w:tcPr>
          <w:p w:rsidRPr="003B78EA" w:rsidR="00FC2D2A" w:rsidP="0010214E" w:rsidRDefault="00FC2D2A" w14:paraId="644E71B3"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020" w:type="pct"/>
          </w:tcPr>
          <w:p w:rsidR="00FC2D2A" w:rsidP="0010214E" w:rsidRDefault="00FC2D2A" w14:paraId="306CC9FA" w14:textId="77777777">
            <w:pPr>
              <w:pStyle w:val="BodyText"/>
              <w:rPr>
                <w:rFonts w:asciiTheme="minorHAnsi" w:hAnsiTheme="minorHAnsi" w:cstheme="minorHAnsi"/>
                <w:sz w:val="20"/>
              </w:rPr>
            </w:pPr>
            <w:r>
              <w:rPr>
                <w:rFonts w:asciiTheme="minorHAnsi" w:hAnsiTheme="minorHAnsi" w:cstheme="minorHAnsi"/>
                <w:sz w:val="20"/>
              </w:rPr>
              <w:t>Proglycem 50mg/mL suspension contains alcohol 7.25%, sorbitol, chocolate cream flavour, propylene glycol, magnesium aluminum silicate, carboxymethylcellulose sodium, mint flavour, sodium benzoate, methylparaben, hydrochloric acid or sodium hydroxide, poloxamer 188, propylparaben, purified water (ref: Product Info)</w:t>
            </w:r>
          </w:p>
          <w:p w:rsidRPr="008B2663" w:rsidR="00FC2D2A" w:rsidP="0010214E" w:rsidRDefault="00FC2D2A" w14:paraId="588D4F84" w14:textId="77777777">
            <w:pPr>
              <w:pStyle w:val="BodyText"/>
              <w:rPr>
                <w:rFonts w:asciiTheme="minorHAnsi" w:hAnsiTheme="minorHAnsi" w:cstheme="minorHAnsi"/>
                <w:sz w:val="20"/>
              </w:rPr>
            </w:pPr>
            <w:r>
              <w:rPr>
                <w:rFonts w:asciiTheme="minorHAnsi" w:hAnsiTheme="minorHAnsi" w:cstheme="minorHAnsi"/>
                <w:sz w:val="20"/>
              </w:rPr>
              <w:t>Proglicem capsules contain lactose, magnesium stearate (ref: Product info)</w:t>
            </w:r>
          </w:p>
        </w:tc>
      </w:tr>
      <w:tr w:rsidRPr="003B78EA" w:rsidR="00FC2D2A" w:rsidTr="0010214E" w14:paraId="1438F036" w14:textId="77777777">
        <w:trPr>
          <w:trHeight w:val="263"/>
        </w:trPr>
        <w:tc>
          <w:tcPr>
            <w:tcW w:w="980" w:type="pct"/>
          </w:tcPr>
          <w:p w:rsidRPr="003B78EA" w:rsidR="00FC2D2A" w:rsidP="0010214E" w:rsidRDefault="00FC2D2A" w14:paraId="1893A889"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020" w:type="pct"/>
          </w:tcPr>
          <w:p w:rsidRPr="00EB50E4" w:rsidR="00FC2D2A" w:rsidP="0010214E" w:rsidRDefault="00FC2D2A" w14:paraId="73B53F45" w14:textId="77777777">
            <w:pPr>
              <w:pStyle w:val="BodyText"/>
              <w:rPr>
                <w:rFonts w:cs="Arial" w:asciiTheme="minorHAnsi" w:hAnsiTheme="minorHAnsi"/>
                <w:sz w:val="20"/>
              </w:rPr>
            </w:pPr>
            <w:r w:rsidRPr="00EB50E4">
              <w:rPr>
                <w:rFonts w:cs="Arial" w:asciiTheme="minorHAnsi" w:hAnsiTheme="minorHAnsi"/>
                <w:sz w:val="20"/>
              </w:rPr>
              <w:t>Concomitant use of a thiazide diuretic is recommended to counter sodium and fluid retention from use of diazoxide.</w:t>
            </w:r>
            <w:r w:rsidRPr="00EB50E4">
              <w:rPr>
                <w:rFonts w:cs="Arial" w:asciiTheme="minorHAnsi" w:hAnsiTheme="minorHAnsi"/>
                <w:noProof/>
                <w:sz w:val="20"/>
                <w:vertAlign w:val="superscript"/>
              </w:rPr>
              <w:t>4, 5</w:t>
            </w:r>
            <w:r w:rsidRPr="00EB50E4">
              <w:rPr>
                <w:rFonts w:cs="Arial" w:asciiTheme="minorHAnsi" w:hAnsiTheme="minorHAnsi"/>
                <w:sz w:val="20"/>
              </w:rPr>
              <w:t xml:space="preserve"> </w:t>
            </w:r>
          </w:p>
          <w:p w:rsidRPr="00990D63" w:rsidR="00FC2D2A" w:rsidP="0010214E" w:rsidRDefault="00FC2D2A" w14:paraId="0B49406B" w14:textId="77777777">
            <w:pPr>
              <w:pStyle w:val="BodyText"/>
              <w:rPr>
                <w:rFonts w:cs="Arial" w:asciiTheme="minorHAnsi" w:hAnsiTheme="minorHAnsi"/>
                <w:sz w:val="20"/>
              </w:rPr>
            </w:pPr>
            <w:r w:rsidRPr="00EB50E4">
              <w:rPr>
                <w:rFonts w:cs="Arial" w:asciiTheme="minorHAnsi" w:hAnsiTheme="minorHAnsi"/>
                <w:sz w:val="20"/>
              </w:rPr>
              <w:t xml:space="preserve">Oral </w:t>
            </w:r>
            <w:r>
              <w:rPr>
                <w:rFonts w:cs="Arial" w:asciiTheme="minorHAnsi" w:hAnsiTheme="minorHAnsi"/>
                <w:sz w:val="20"/>
              </w:rPr>
              <w:t>d</w:t>
            </w:r>
            <w:r w:rsidRPr="00EB50E4">
              <w:rPr>
                <w:rFonts w:cs="Arial" w:asciiTheme="minorHAnsi" w:hAnsiTheme="minorHAnsi"/>
                <w:sz w:val="20"/>
              </w:rPr>
              <w:t xml:space="preserve">iazoxide </w:t>
            </w:r>
            <w:r>
              <w:rPr>
                <w:rFonts w:cs="Arial" w:asciiTheme="minorHAnsi" w:hAnsiTheme="minorHAnsi"/>
                <w:sz w:val="20"/>
              </w:rPr>
              <w:t>preparations are not</w:t>
            </w:r>
            <w:r w:rsidRPr="00EB50E4">
              <w:rPr>
                <w:rFonts w:cs="Arial" w:asciiTheme="minorHAnsi" w:hAnsiTheme="minorHAnsi"/>
                <w:sz w:val="20"/>
              </w:rPr>
              <w:t xml:space="preserve"> registered in Australia. Complete a Special Access Scheme</w:t>
            </w:r>
            <w:r>
              <w:rPr>
                <w:rFonts w:cs="Arial" w:asciiTheme="minorHAnsi" w:hAnsiTheme="minorHAnsi"/>
                <w:sz w:val="20"/>
              </w:rPr>
              <w:t xml:space="preserve"> - Category C </w:t>
            </w:r>
            <w:r w:rsidRPr="00EB50E4">
              <w:rPr>
                <w:rFonts w:cs="Arial" w:asciiTheme="minorHAnsi" w:hAnsiTheme="minorHAnsi"/>
                <w:sz w:val="20"/>
              </w:rPr>
              <w:t>form and obtain parental consent.</w:t>
            </w:r>
          </w:p>
        </w:tc>
      </w:tr>
      <w:tr w:rsidRPr="003B78EA" w:rsidR="00FC2D2A" w:rsidTr="0010214E" w14:paraId="3C36988E" w14:textId="77777777">
        <w:trPr>
          <w:trHeight w:val="263"/>
        </w:trPr>
        <w:tc>
          <w:tcPr>
            <w:tcW w:w="980" w:type="pct"/>
          </w:tcPr>
          <w:p w:rsidRPr="003B78EA" w:rsidR="00FC2D2A" w:rsidP="0010214E" w:rsidRDefault="00FC2D2A" w14:paraId="676408F4"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020" w:type="pct"/>
          </w:tcPr>
          <w:p w:rsidRPr="00FC2D2A" w:rsidR="00FC2D2A" w:rsidP="0010214E" w:rsidRDefault="00FC2D2A" w14:paraId="03B86178" w14:textId="77777777">
            <w:pPr>
              <w:pStyle w:val="BodyText"/>
              <w:tabs>
                <w:tab w:val="left" w:pos="1168"/>
              </w:tabs>
              <w:rPr>
                <w:rFonts w:asciiTheme="minorHAnsi" w:hAnsiTheme="minorHAnsi"/>
                <w:sz w:val="16"/>
                <w:szCs w:val="16"/>
              </w:rPr>
            </w:pPr>
            <w:r w:rsidRPr="00FC2D2A">
              <w:rPr>
                <w:rFonts w:asciiTheme="minorHAnsi" w:hAnsiTheme="minorHAnsi"/>
                <w:b/>
                <w:sz w:val="16"/>
                <w:szCs w:val="16"/>
              </w:rPr>
              <w:t>Efficacy:</w:t>
            </w:r>
            <w:r w:rsidRPr="00FC2D2A">
              <w:rPr>
                <w:rFonts w:asciiTheme="minorHAnsi" w:hAnsiTheme="minorHAnsi"/>
                <w:sz w:val="16"/>
                <w:szCs w:val="16"/>
              </w:rPr>
              <w:t xml:space="preserve"> There are no clinical trials of diazoxide for management of hyperinsulinaemic hypoglycaemia. Transient and syndromic hyperinsulinaemic hypoglycaemia tends to be diazoxide responsive, whereas other genetic forms affecting the K-ATP channel and incretin receptors, and infants with insulinomas, are variably responsive.</w:t>
            </w:r>
            <w:r w:rsidRPr="00FC2D2A">
              <w:rPr>
                <w:rFonts w:asciiTheme="minorHAnsi" w:hAnsiTheme="minorHAnsi"/>
                <w:noProof/>
                <w:sz w:val="16"/>
                <w:szCs w:val="16"/>
                <w:vertAlign w:val="superscript"/>
              </w:rPr>
              <w:t>2-4, 6-9</w:t>
            </w:r>
            <w:r w:rsidRPr="00FC2D2A">
              <w:rPr>
                <w:rFonts w:asciiTheme="minorHAnsi" w:hAnsiTheme="minorHAnsi"/>
                <w:sz w:val="16"/>
                <w:szCs w:val="16"/>
              </w:rPr>
              <w:t xml:space="preserve"> (LOE IV, GOR C)</w:t>
            </w:r>
          </w:p>
          <w:p w:rsidRPr="00FC2D2A" w:rsidR="00FC2D2A" w:rsidP="0010214E" w:rsidRDefault="00FC2D2A" w14:paraId="537FF07D" w14:textId="77777777">
            <w:pPr>
              <w:pStyle w:val="BodyText"/>
              <w:tabs>
                <w:tab w:val="left" w:pos="1168"/>
              </w:tabs>
              <w:rPr>
                <w:rFonts w:asciiTheme="minorHAnsi" w:hAnsiTheme="minorHAnsi"/>
                <w:sz w:val="16"/>
                <w:szCs w:val="16"/>
              </w:rPr>
            </w:pPr>
            <w:r w:rsidRPr="00FC2D2A">
              <w:rPr>
                <w:rFonts w:asciiTheme="minorHAnsi" w:hAnsiTheme="minorHAnsi"/>
                <w:b/>
                <w:sz w:val="16"/>
                <w:szCs w:val="16"/>
              </w:rPr>
              <w:t>Pharmacokinetics:</w:t>
            </w:r>
            <w:r w:rsidRPr="00FC2D2A">
              <w:rPr>
                <w:rFonts w:asciiTheme="minorHAnsi" w:hAnsiTheme="minorHAnsi"/>
                <w:sz w:val="16"/>
                <w:szCs w:val="16"/>
              </w:rPr>
              <w:t xml:space="preserve"> Not reported in newborns or children. Long half-life in adults (48 hours), 94% protein bound (albumin), and renally excreted.</w:t>
            </w:r>
            <w:r w:rsidRPr="00FC2D2A">
              <w:rPr>
                <w:rFonts w:asciiTheme="minorHAnsi" w:hAnsiTheme="minorHAnsi"/>
                <w:noProof/>
                <w:sz w:val="16"/>
                <w:szCs w:val="16"/>
                <w:vertAlign w:val="superscript"/>
              </w:rPr>
              <w:t>10, 11</w:t>
            </w:r>
            <w:r w:rsidRPr="00FC2D2A">
              <w:rPr>
                <w:rFonts w:asciiTheme="minorHAnsi" w:hAnsiTheme="minorHAnsi"/>
                <w:sz w:val="16"/>
                <w:szCs w:val="16"/>
              </w:rPr>
              <w:t xml:space="preserve"> Albumin binding and renal clearance of diazoxide reduced in renal failure.</w:t>
            </w:r>
            <w:r w:rsidRPr="00FC2D2A">
              <w:rPr>
                <w:rFonts w:asciiTheme="minorHAnsi" w:hAnsiTheme="minorHAnsi"/>
                <w:noProof/>
                <w:sz w:val="16"/>
                <w:szCs w:val="16"/>
                <w:vertAlign w:val="superscript"/>
              </w:rPr>
              <w:t>12</w:t>
            </w:r>
            <w:r w:rsidRPr="00FC2D2A">
              <w:rPr>
                <w:rFonts w:asciiTheme="minorHAnsi" w:hAnsiTheme="minorHAnsi"/>
                <w:sz w:val="16"/>
                <w:szCs w:val="16"/>
              </w:rPr>
              <w:t xml:space="preserve"> (LOE – none in infants)</w:t>
            </w:r>
          </w:p>
          <w:p w:rsidRPr="009C480C" w:rsidR="00FC2D2A" w:rsidP="0010214E" w:rsidRDefault="00FC2D2A" w14:paraId="6E39D894" w14:textId="77777777">
            <w:pPr>
              <w:pStyle w:val="BodyText"/>
              <w:tabs>
                <w:tab w:val="left" w:pos="1168"/>
              </w:tabs>
              <w:rPr>
                <w:rFonts w:asciiTheme="minorHAnsi" w:hAnsiTheme="minorHAnsi"/>
                <w:sz w:val="20"/>
              </w:rPr>
            </w:pPr>
            <w:r w:rsidRPr="00FC2D2A">
              <w:rPr>
                <w:rFonts w:asciiTheme="minorHAnsi" w:hAnsiTheme="minorHAnsi"/>
                <w:b/>
                <w:sz w:val="16"/>
                <w:szCs w:val="16"/>
              </w:rPr>
              <w:t>Safety:</w:t>
            </w:r>
            <w:r w:rsidRPr="00FC2D2A">
              <w:rPr>
                <w:rFonts w:asciiTheme="minorHAnsi" w:hAnsiTheme="minorHAnsi"/>
                <w:sz w:val="16"/>
                <w:szCs w:val="16"/>
              </w:rPr>
              <w:t xml:space="preserve"> </w:t>
            </w:r>
            <w:r w:rsidRPr="00FC2D2A">
              <w:rPr>
                <w:rFonts w:cs="Arial" w:asciiTheme="minorHAnsi" w:hAnsiTheme="minorHAnsi"/>
                <w:sz w:val="16"/>
                <w:szCs w:val="16"/>
              </w:rPr>
              <w:t>High rate of reported complications: Total 37%; circulatory complications 19%; oedema 17%; oliguria 5%; reopening of the ductus arteriosus 4%; hypertrichosis 15%; hyperkalaemia 4%; deterioration of liver function 1%; others 8%.</w:t>
            </w:r>
            <w:r w:rsidRPr="00FC2D2A">
              <w:rPr>
                <w:rFonts w:cs="Arial" w:asciiTheme="minorHAnsi" w:hAnsiTheme="minorHAnsi"/>
                <w:noProof/>
                <w:sz w:val="16"/>
                <w:szCs w:val="16"/>
                <w:vertAlign w:val="superscript"/>
              </w:rPr>
              <w:t>3</w:t>
            </w:r>
            <w:r w:rsidRPr="00FC2D2A">
              <w:rPr>
                <w:rFonts w:cs="Arial" w:asciiTheme="minorHAnsi" w:hAnsiTheme="minorHAnsi"/>
                <w:sz w:val="16"/>
                <w:szCs w:val="16"/>
              </w:rPr>
              <w:t xml:space="preserve"> (LOE IV, GOR C).</w:t>
            </w:r>
          </w:p>
        </w:tc>
      </w:tr>
      <w:tr w:rsidRPr="003B78EA" w:rsidR="00FC2D2A" w:rsidTr="0010214E" w14:paraId="51F42526" w14:textId="77777777">
        <w:trPr>
          <w:trHeight w:val="263"/>
        </w:trPr>
        <w:tc>
          <w:tcPr>
            <w:tcW w:w="980" w:type="pct"/>
          </w:tcPr>
          <w:p w:rsidRPr="003B78EA" w:rsidR="00FC2D2A" w:rsidP="0010214E" w:rsidRDefault="00FC2D2A" w14:paraId="158763EB"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4020" w:type="pct"/>
          </w:tcPr>
          <w:p w:rsidRPr="003B78EA" w:rsidR="00FC2D2A" w:rsidP="0010214E" w:rsidRDefault="00FC2D2A" w14:paraId="0610EA2B" w14:textId="77777777">
            <w:pPr>
              <w:pStyle w:val="BodyText"/>
              <w:tabs>
                <w:tab w:val="left" w:pos="1168"/>
              </w:tabs>
              <w:rPr>
                <w:rFonts w:asciiTheme="minorHAnsi" w:hAnsiTheme="minorHAnsi" w:cstheme="minorHAnsi"/>
                <w:sz w:val="20"/>
              </w:rPr>
            </w:pPr>
          </w:p>
        </w:tc>
      </w:tr>
      <w:tr w:rsidRPr="003B78EA" w:rsidR="00FC2D2A" w:rsidTr="0010214E" w14:paraId="421A049B" w14:textId="77777777">
        <w:trPr>
          <w:trHeight w:val="263"/>
        </w:trPr>
        <w:tc>
          <w:tcPr>
            <w:tcW w:w="980" w:type="pct"/>
          </w:tcPr>
          <w:p w:rsidRPr="003B78EA" w:rsidR="00FC2D2A" w:rsidP="0010214E" w:rsidRDefault="00FC2D2A" w14:paraId="1E41FF1E"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020" w:type="pct"/>
          </w:tcPr>
          <w:p w:rsidRPr="00FC2D2A" w:rsidR="00FC2D2A" w:rsidP="001B0E05" w:rsidRDefault="00FC2D2A" w14:paraId="64E4F358"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Tas E, Mahmood B, Garibaldi L, Sperling M. Liver injury may increase the risk of diazoxide toxicity: a case report. European journal of pediatrics. 2015;174:403-6.</w:t>
            </w:r>
          </w:p>
          <w:p w:rsidRPr="00FC2D2A" w:rsidR="00FC2D2A" w:rsidP="001B0E05" w:rsidRDefault="00FC2D2A" w14:paraId="3E5861D1"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Arnoux JB, Verkarre V, Saint-Martin C, Montravers F, Brassier A, Valayannopoulos V, Brunelle F, Fournet JC, Robert JJ, Aigrain Y, Bellanne-Chantelot C, de Lonlay P. Congenital hyperinsulinism: current trends in diagnosis and therapy. Orphanet journal of rare diseases. 2011;6:63.</w:t>
            </w:r>
          </w:p>
          <w:p w:rsidRPr="00FC2D2A" w:rsidR="00FC2D2A" w:rsidP="001B0E05" w:rsidRDefault="00FC2D2A" w14:paraId="5FAD6983"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Yoshida K, Kawai M, Marumo C, Kanazawa H, Matsukura T, Kusuda S, Yorifuji T, Heike T. High prevalence of severe circulatory complications with diazoxide in premature infants. Neonatology. 2014;105:166-71.</w:t>
            </w:r>
          </w:p>
          <w:p w:rsidRPr="00FC2D2A" w:rsidR="00FC2D2A" w:rsidP="001B0E05" w:rsidRDefault="00FC2D2A" w14:paraId="1AB5B796"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Banerjee I, Avatapalle B, Padidela R, Stevens A, Cosgrove KE, Clayton PE, Dunne MJ. Integrating genetic and imaging investigations into the clinical management of congenital hyperinsulinism. Clinical endocrinology. 2013;78:803-13.</w:t>
            </w:r>
          </w:p>
          <w:p w:rsidRPr="00FC2D2A" w:rsidR="00FC2D2A" w:rsidP="001B0E05" w:rsidRDefault="00FC2D2A" w14:paraId="4850A5AC"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Senniappan S, Shanti B, James C, Hussain K. Hyperinsulinaemic hypoglycaemia: genetic mechanisms, diagnosis and management. Journal of inherited metabolic disease. 2012;35:589-601.</w:t>
            </w:r>
          </w:p>
          <w:p w:rsidRPr="00FC2D2A" w:rsidR="00FC2D2A" w:rsidP="001B0E05" w:rsidRDefault="00FC2D2A" w14:paraId="58F08974"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Padidela R, Fiest M, Arya V, Smith VV, Ashworth M, Rampling D, Newbould M, Batra G, James J, Wright NB, Dunne MJ, Clayton PE, Banerjee I, Hussain K. Insulinoma in childhood: clinical, radiological, molecular and histological aspects of nine patients. European journal of endocrinology / European Federation of Endocrine Societies. 2014;170:741-7.</w:t>
            </w:r>
          </w:p>
          <w:p w:rsidRPr="00FC2D2A" w:rsidR="00FC2D2A" w:rsidP="001B0E05" w:rsidRDefault="00FC2D2A" w14:paraId="1ED61C68"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Hu S, Xu Z, Yan J, Liu M, Sun B, Li W, Sang Y. The treatment effect of diazoxide on 44 patients with congenital hyperinsulinism. Journal of pediatric endocrinology &amp; metabolism : JPEM. 2012;25:1119-22.</w:t>
            </w:r>
          </w:p>
          <w:p w:rsidRPr="00FC2D2A" w:rsidR="00FC2D2A" w:rsidP="001B0E05" w:rsidRDefault="00FC2D2A" w14:paraId="170C7F86"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lastRenderedPageBreak/>
              <w:t>Flanagan SE, Patch AM, Locke JM, Akcay T, Simsek E, Alaei M, Yekta Z, Desai M, Kapoor RR, Hussain K, Ellard S. Genome-wide homozygosity analysis reveals HADH mutations as a common cause of diazoxide-responsive hyperinsulinemic-hypoglycemia in consanguineous pedigrees. The Journal of clinical endocrinology and metabolism. 2011;96:E498-502.</w:t>
            </w:r>
          </w:p>
          <w:p w:rsidRPr="00FC2D2A" w:rsidR="00FC2D2A" w:rsidP="001B0E05" w:rsidRDefault="00FC2D2A" w14:paraId="558504EE"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Shi Y, Avatapalle HB, Skae MS, Padidela R, Newbould M, Rigby L, Flanagan SE, Ellard S, Rahier J, Clayton PE, Dunne MJ, Banerjee I, Cosgrove KE. Increased plasma incretin concentrations identifies a subset of patients with persistent congenital hyperinsulinism without KATP channel gene defects. The Journal of pediatrics. 2015;166:191-4.</w:t>
            </w:r>
          </w:p>
          <w:p w:rsidRPr="00FC2D2A" w:rsidR="00FC2D2A" w:rsidP="001B0E05" w:rsidRDefault="00FC2D2A" w14:paraId="6B1B02B6"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Kirsten R, Nelson K, Kirsten D, Heintz B. Clinical pharmacokinetics of vasodilators. Part I. Clinical pharmacokinetics. 1998;34:457-82.</w:t>
            </w:r>
          </w:p>
          <w:p w:rsidRPr="00FC2D2A" w:rsidR="00FC2D2A" w:rsidP="001B0E05" w:rsidRDefault="00FC2D2A" w14:paraId="064401AC"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Ogilvie RI, Nadeau JH, Sitar DS. Diazoxide concentration-response relation in hypertension. Hypertension. 1982;4:167-73.</w:t>
            </w:r>
          </w:p>
          <w:p w:rsidRPr="00FC2D2A" w:rsidR="00FC2D2A" w:rsidP="001B0E05" w:rsidRDefault="00FC2D2A" w14:paraId="7A00D934" w14:textId="77777777">
            <w:pPr>
              <w:pStyle w:val="EndNoteBibliography"/>
              <w:numPr>
                <w:ilvl w:val="0"/>
                <w:numId w:val="54"/>
              </w:numPr>
              <w:ind w:left="360"/>
              <w:rPr>
                <w:rFonts w:asciiTheme="minorHAnsi" w:hAnsiTheme="minorHAnsi"/>
                <w:sz w:val="16"/>
                <w:szCs w:val="16"/>
              </w:rPr>
            </w:pPr>
            <w:r w:rsidRPr="00FC2D2A">
              <w:rPr>
                <w:rFonts w:asciiTheme="minorHAnsi" w:hAnsiTheme="minorHAnsi"/>
                <w:sz w:val="16"/>
                <w:szCs w:val="16"/>
              </w:rPr>
              <w:t>Pearson RM. Pharmacokinetics and response to diazoxide in renal failure. Clinical pharmacokinetics. 1977;2:198-204.</w:t>
            </w:r>
          </w:p>
          <w:p w:rsidRPr="00FC2D2A" w:rsidR="00FC2D2A" w:rsidP="001B0E05" w:rsidRDefault="00FC2D2A" w14:paraId="0D99A92A" w14:textId="77777777">
            <w:pPr>
              <w:pStyle w:val="ListParagraph"/>
              <w:numPr>
                <w:ilvl w:val="0"/>
                <w:numId w:val="54"/>
              </w:numPr>
              <w:spacing w:after="160" w:line="259" w:lineRule="auto"/>
              <w:ind w:left="360"/>
              <w:rPr>
                <w:rFonts w:asciiTheme="minorHAnsi" w:hAnsiTheme="minorHAnsi"/>
                <w:sz w:val="16"/>
                <w:szCs w:val="16"/>
              </w:rPr>
            </w:pPr>
            <w:r w:rsidRPr="00FC2D2A">
              <w:rPr>
                <w:rFonts w:asciiTheme="minorHAnsi" w:hAnsiTheme="minorHAnsi"/>
                <w:sz w:val="16"/>
                <w:szCs w:val="16"/>
              </w:rPr>
              <w:t xml:space="preserve">Australian Injectable Drugs Handbook, 6th Edition, Society of Hospital Pharmacists of Australia 2014. </w:t>
            </w:r>
          </w:p>
          <w:p w:rsidRPr="00FC2D2A" w:rsidR="00FC2D2A" w:rsidP="001B0E05" w:rsidRDefault="00FC2D2A" w14:paraId="5AFB5ABE" w14:textId="77777777">
            <w:pPr>
              <w:pStyle w:val="ListParagraph"/>
              <w:numPr>
                <w:ilvl w:val="0"/>
                <w:numId w:val="54"/>
              </w:numPr>
              <w:spacing w:after="160" w:line="259" w:lineRule="auto"/>
              <w:ind w:left="360"/>
              <w:rPr>
                <w:rFonts w:asciiTheme="minorHAnsi" w:hAnsiTheme="minorHAnsi"/>
                <w:sz w:val="16"/>
                <w:szCs w:val="16"/>
              </w:rPr>
            </w:pPr>
            <w:r w:rsidRPr="00FC2D2A">
              <w:rPr>
                <w:rFonts w:asciiTheme="minorHAnsi" w:hAnsiTheme="minorHAnsi"/>
                <w:sz w:val="16"/>
                <w:szCs w:val="16"/>
              </w:rPr>
              <w:t xml:space="preserve">Gray KD, Dudash K, Escobar C, Freel C, Harrison T, McMillan C, Puia-Dumitrescu M, Cotten CM, Benjamin R, Clark RH, Benjamin DK. Prevalence and safety of diazoxide in the neonatal intensive care unit. Journal of Perinatology. 2018 Nov;38(11):1496-502. </w:t>
            </w:r>
          </w:p>
          <w:p w:rsidRPr="009C480C" w:rsidR="00FC2D2A" w:rsidP="001B0E05" w:rsidRDefault="00FC2D2A" w14:paraId="77D5047C" w14:textId="77777777">
            <w:pPr>
              <w:pStyle w:val="ListParagraph"/>
              <w:numPr>
                <w:ilvl w:val="0"/>
                <w:numId w:val="54"/>
              </w:numPr>
              <w:spacing w:after="160" w:line="259" w:lineRule="auto"/>
              <w:ind w:left="360"/>
              <w:rPr>
                <w:rFonts w:asciiTheme="minorHAnsi" w:hAnsiTheme="minorHAnsi"/>
                <w:sz w:val="20"/>
              </w:rPr>
            </w:pPr>
            <w:r w:rsidRPr="00FC2D2A">
              <w:rPr>
                <w:rFonts w:asciiTheme="minorHAnsi" w:hAnsiTheme="minorHAnsi"/>
                <w:sz w:val="16"/>
                <w:szCs w:val="16"/>
              </w:rPr>
              <w:t>Welters A, Lerch C, Kummer S, Marquard J, Salgin B, Mayatepek E, Meissner T. Long-term medical treatment in congenital hyperinsulinism: a descriptive analysis in a large cohort of patients from different clinical centers. Orphanet journal of rare diseases. 2015 Dec 1;10(1):150.</w:t>
            </w:r>
          </w:p>
        </w:tc>
      </w:tr>
    </w:tbl>
    <w:p w:rsidRPr="00E25790" w:rsidR="00E82E1E" w:rsidP="006F0321" w:rsidRDefault="00E82E1E" w14:paraId="609DC9F1" w14:textId="77777777"/>
    <w:p w:rsidRPr="00E25790" w:rsidR="00E82E1E" w:rsidP="006F0321" w:rsidRDefault="00E82E1E" w14:paraId="20590F80" w14:textId="77777777"/>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42706A" w14:paraId="3FE1529A" w14:textId="77777777">
        <w:tc>
          <w:tcPr>
            <w:tcW w:w="4111" w:type="dxa"/>
            <w:vAlign w:val="center"/>
          </w:tcPr>
          <w:p w:rsidRPr="00AA778E" w:rsidR="00074BCE" w:rsidP="0010214E" w:rsidRDefault="00074BCE" w14:paraId="764313C1" w14:textId="566D45D7">
            <w:pPr>
              <w:rPr>
                <w:sz w:val="20"/>
              </w:rPr>
            </w:pPr>
            <w:r w:rsidRPr="00AA778E">
              <w:rPr>
                <w:sz w:val="20"/>
              </w:rPr>
              <w:t xml:space="preserve">Original version Date: </w:t>
            </w:r>
            <w:r w:rsidRPr="00AA778E" w:rsidR="00372D8A">
              <w:rPr>
                <w:sz w:val="20"/>
              </w:rPr>
              <w:t>6/10/2016</w:t>
            </w:r>
          </w:p>
        </w:tc>
        <w:tc>
          <w:tcPr>
            <w:tcW w:w="4820" w:type="dxa"/>
            <w:vAlign w:val="center"/>
          </w:tcPr>
          <w:p w:rsidRPr="00AA778E" w:rsidR="00074BCE" w:rsidP="0010214E" w:rsidRDefault="00074BCE" w14:paraId="0659D8DD" w14:textId="77777777">
            <w:pPr>
              <w:rPr>
                <w:sz w:val="20"/>
              </w:rPr>
            </w:pPr>
            <w:r w:rsidRPr="00AA778E">
              <w:rPr>
                <w:sz w:val="20"/>
              </w:rPr>
              <w:t>Author: NeoMed Consensus Group</w:t>
            </w:r>
          </w:p>
        </w:tc>
      </w:tr>
      <w:tr w:rsidRPr="003C2CBA" w:rsidR="00E424B4" w:rsidTr="0042706A" w14:paraId="0C19FC57" w14:textId="77777777">
        <w:tc>
          <w:tcPr>
            <w:tcW w:w="4111" w:type="dxa"/>
            <w:vAlign w:val="center"/>
          </w:tcPr>
          <w:p w:rsidRPr="00AA778E" w:rsidR="00074BCE" w:rsidP="0010214E" w:rsidRDefault="00074BCE" w14:paraId="422AC040" w14:textId="77777777">
            <w:pPr>
              <w:rPr>
                <w:bCs/>
                <w:sz w:val="20"/>
              </w:rPr>
            </w:pPr>
            <w:r w:rsidRPr="00AA778E">
              <w:rPr>
                <w:sz w:val="20"/>
              </w:rPr>
              <w:t>Current Version number:  2</w:t>
            </w:r>
          </w:p>
        </w:tc>
        <w:tc>
          <w:tcPr>
            <w:tcW w:w="4820" w:type="dxa"/>
            <w:vAlign w:val="center"/>
          </w:tcPr>
          <w:p w:rsidRPr="00AA778E" w:rsidR="00074BCE" w:rsidP="0010214E" w:rsidRDefault="00074BCE" w14:paraId="7D1E3D13" w14:textId="27A41C11">
            <w:pPr>
              <w:rPr>
                <w:sz w:val="20"/>
              </w:rPr>
            </w:pPr>
            <w:r w:rsidRPr="00AA778E">
              <w:rPr>
                <w:sz w:val="20"/>
              </w:rPr>
              <w:t xml:space="preserve">Current Version Date:  </w:t>
            </w:r>
            <w:r w:rsidRPr="00AA778E" w:rsidR="00372D8A">
              <w:rPr>
                <w:sz w:val="20"/>
              </w:rPr>
              <w:t>6-11-2020</w:t>
            </w:r>
          </w:p>
        </w:tc>
      </w:tr>
      <w:tr w:rsidRPr="003C2CBA" w:rsidR="00E424B4" w:rsidTr="0042706A" w14:paraId="432E124C" w14:textId="77777777">
        <w:tc>
          <w:tcPr>
            <w:tcW w:w="4111" w:type="dxa"/>
            <w:vAlign w:val="center"/>
          </w:tcPr>
          <w:p w:rsidRPr="00AA778E" w:rsidR="00074BCE" w:rsidP="0010214E" w:rsidRDefault="00074BCE" w14:paraId="5BF24196" w14:textId="1E9AE004">
            <w:pPr>
              <w:rPr>
                <w:sz w:val="20"/>
              </w:rPr>
            </w:pPr>
            <w:r w:rsidRPr="00AA778E">
              <w:rPr>
                <w:sz w:val="20"/>
              </w:rPr>
              <w:t xml:space="preserve">Risk Rating: </w:t>
            </w:r>
            <w:r w:rsidR="00652FC9">
              <w:rPr>
                <w:sz w:val="20"/>
              </w:rPr>
              <w:t>Low</w:t>
            </w:r>
          </w:p>
        </w:tc>
        <w:tc>
          <w:tcPr>
            <w:tcW w:w="4820" w:type="dxa"/>
            <w:vAlign w:val="center"/>
          </w:tcPr>
          <w:p w:rsidRPr="00AA778E" w:rsidR="00074BCE" w:rsidP="0010214E" w:rsidRDefault="00074BCE" w14:paraId="77CB093B" w14:textId="20A4B88A">
            <w:pPr>
              <w:rPr>
                <w:sz w:val="20"/>
              </w:rPr>
            </w:pPr>
            <w:r w:rsidRPr="00AA778E">
              <w:rPr>
                <w:sz w:val="20"/>
              </w:rPr>
              <w:t xml:space="preserve">Due for Review:  </w:t>
            </w:r>
            <w:r w:rsidRPr="00AA778E" w:rsidR="00372D8A">
              <w:rPr>
                <w:sz w:val="20"/>
              </w:rPr>
              <w:t>6-11</w:t>
            </w:r>
            <w:r w:rsidRPr="00AA778E">
              <w:rPr>
                <w:sz w:val="20"/>
              </w:rPr>
              <w:t>-2025</w:t>
            </w:r>
          </w:p>
        </w:tc>
      </w:tr>
      <w:tr w:rsidRPr="003C2CBA" w:rsidR="00E424B4" w:rsidTr="0042706A" w14:paraId="11EF50B2" w14:textId="77777777">
        <w:trPr>
          <w:trHeight w:val="344"/>
        </w:trPr>
        <w:tc>
          <w:tcPr>
            <w:tcW w:w="4111" w:type="dxa"/>
            <w:tcBorders>
              <w:bottom w:val="single" w:color="auto" w:sz="4" w:space="0"/>
            </w:tcBorders>
            <w:vAlign w:val="center"/>
          </w:tcPr>
          <w:p w:rsidRPr="00AA778E" w:rsidR="00074BCE" w:rsidP="0010214E" w:rsidRDefault="00074BCE" w14:paraId="5980BCCF" w14:textId="77777777">
            <w:pPr>
              <w:rPr>
                <w:sz w:val="20"/>
              </w:rPr>
            </w:pPr>
            <w:r w:rsidRPr="00AA778E">
              <w:rPr>
                <w:sz w:val="20"/>
              </w:rPr>
              <w:t>Approved by: DTC</w:t>
            </w:r>
          </w:p>
        </w:tc>
        <w:tc>
          <w:tcPr>
            <w:tcW w:w="4820" w:type="dxa"/>
            <w:tcBorders>
              <w:bottom w:val="single" w:color="auto" w:sz="4" w:space="0"/>
            </w:tcBorders>
            <w:vAlign w:val="center"/>
          </w:tcPr>
          <w:p w:rsidRPr="00AA778E" w:rsidR="00074BCE" w:rsidP="0010214E" w:rsidRDefault="00074BCE" w14:paraId="3AD82AD0" w14:textId="68F3D19F">
            <w:pPr>
              <w:rPr>
                <w:sz w:val="20"/>
              </w:rPr>
            </w:pPr>
            <w:r w:rsidRPr="00AA778E">
              <w:rPr>
                <w:sz w:val="20"/>
              </w:rPr>
              <w:t xml:space="preserve">Approval Date: </w:t>
            </w:r>
            <w:r w:rsidR="00260BC8">
              <w:rPr>
                <w:sz w:val="20"/>
              </w:rPr>
              <w:t>APRIL 2021</w:t>
            </w:r>
          </w:p>
        </w:tc>
      </w:tr>
    </w:tbl>
    <w:p w:rsidRPr="00E25790" w:rsidR="00115F48" w:rsidP="006F0321" w:rsidRDefault="00115F48" w14:paraId="13B45906"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EC6FC6" w14:paraId="7C882D41"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08C80583" w14:textId="77777777">
            <w:pPr>
              <w:pStyle w:val="Heading1"/>
            </w:pPr>
            <w:bookmarkStart w:name="_Toc495481097" w:id="179"/>
            <w:bookmarkStart w:name="_Toc495481223" w:id="180"/>
            <w:bookmarkStart w:name="_Toc495481348" w:id="181"/>
            <w:bookmarkStart w:name="_Toc495501529" w:id="182"/>
            <w:bookmarkStart w:name="_Toc38106835" w:id="183"/>
            <w:bookmarkStart w:name="_Toc75339961" w:id="184"/>
            <w:r w:rsidRPr="00E25790">
              <w:lastRenderedPageBreak/>
              <w:t>Digoxin</w:t>
            </w:r>
            <w:bookmarkEnd w:id="179"/>
            <w:bookmarkEnd w:id="180"/>
            <w:bookmarkEnd w:id="181"/>
            <w:bookmarkEnd w:id="182"/>
            <w:bookmarkEnd w:id="183"/>
            <w:bookmarkEnd w:id="184"/>
            <w:r w:rsidRPr="00E25790">
              <w:fldChar w:fldCharType="begin"/>
            </w:r>
            <w:r w:rsidRPr="00E25790">
              <w:instrText>tc "Digoxin" \l 0</w:instrText>
            </w:r>
            <w:r w:rsidRPr="00E25790">
              <w:fldChar w:fldCharType="end"/>
            </w:r>
          </w:p>
        </w:tc>
      </w:tr>
      <w:tr w:rsidRPr="00E25790" w:rsidR="00115F48" w:rsidTr="00EC6FC6" w14:paraId="0B3A152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F3D1F70" w14:textId="494E403A">
            <w:r w:rsidRPr="00E25790">
              <w:t xml:space="preserve">Revision Date : </w:t>
            </w:r>
            <w:r w:rsidR="00587E18">
              <w:t>18</w:t>
            </w:r>
            <w:r w:rsidR="00A32530">
              <w:t>-</w:t>
            </w:r>
            <w:r w:rsidR="00587E18">
              <w:t>6</w:t>
            </w:r>
            <w:r w:rsidR="00A32530">
              <w:t>-202</w:t>
            </w:r>
            <w:r w:rsidR="00587E18">
              <w:t>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6EBB2E0" w14:textId="32488FA3">
            <w:r w:rsidRPr="00E25790">
              <w:t xml:space="preserve">Approved : </w:t>
            </w:r>
            <w:r w:rsidR="00A32530">
              <w:t>TC, KOH</w:t>
            </w:r>
          </w:p>
        </w:tc>
      </w:tr>
    </w:tbl>
    <w:p w:rsidRPr="00E25790" w:rsidR="00115F48" w:rsidP="006F0321" w:rsidRDefault="00115F48" w14:paraId="4E49D0C8" w14:textId="77777777"/>
    <w:tbl>
      <w:tblPr>
        <w:tblW w:w="1009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392"/>
      </w:tblGrid>
      <w:tr w:rsidRPr="003A7895" w:rsidR="00032F3D" w:rsidTr="00D10A80" w14:paraId="7F57801B" w14:textId="77777777">
        <w:trPr>
          <w:trHeight w:val="70"/>
        </w:trPr>
        <w:tc>
          <w:tcPr>
            <w:tcW w:w="1702" w:type="dxa"/>
          </w:tcPr>
          <w:p w:rsidRPr="00B53E9B" w:rsidR="00032F3D" w:rsidP="00131848" w:rsidRDefault="00032F3D" w14:paraId="663A35DA" w14:textId="77777777">
            <w:pPr>
              <w:pStyle w:val="BodyText"/>
              <w:tabs>
                <w:tab w:val="center" w:pos="1476"/>
              </w:tabs>
              <w:rPr>
                <w:rFonts w:cs="Arial"/>
                <w:b/>
                <w:sz w:val="20"/>
              </w:rPr>
            </w:pPr>
            <w:r w:rsidRPr="00B53E9B">
              <w:rPr>
                <w:rFonts w:cs="Arial"/>
                <w:b/>
                <w:sz w:val="20"/>
              </w:rPr>
              <w:t>Alert</w:t>
            </w:r>
          </w:p>
        </w:tc>
        <w:tc>
          <w:tcPr>
            <w:tcW w:w="8392" w:type="dxa"/>
          </w:tcPr>
          <w:p w:rsidRPr="00D96231" w:rsidR="00032F3D" w:rsidP="00131848" w:rsidRDefault="00032F3D" w14:paraId="6230E2E1" w14:textId="77777777">
            <w:pPr>
              <w:pStyle w:val="BodyText"/>
              <w:rPr>
                <w:rFonts w:cs="Arial" w:asciiTheme="minorHAnsi" w:hAnsiTheme="minorHAnsi"/>
                <w:sz w:val="20"/>
              </w:rPr>
            </w:pPr>
            <w:r w:rsidRPr="00D96231">
              <w:rPr>
                <w:rFonts w:cs="Arial" w:asciiTheme="minorHAnsi" w:hAnsiTheme="minorHAnsi"/>
                <w:sz w:val="20"/>
              </w:rPr>
              <w:t xml:space="preserve">Digoxin has a narrow therapeutic index, check the dose carefully. </w:t>
            </w:r>
          </w:p>
          <w:p w:rsidR="00032F3D" w:rsidP="00131848" w:rsidRDefault="00032F3D" w14:paraId="087CC728" w14:textId="77777777">
            <w:pPr>
              <w:pStyle w:val="BodyText"/>
              <w:rPr>
                <w:rFonts w:cs="Arial" w:asciiTheme="minorHAnsi" w:hAnsiTheme="minorHAnsi"/>
                <w:sz w:val="20"/>
              </w:rPr>
            </w:pPr>
            <w:r w:rsidRPr="00D96231">
              <w:rPr>
                <w:rFonts w:cs="Arial" w:asciiTheme="minorHAnsi" w:hAnsiTheme="minorHAnsi"/>
                <w:sz w:val="20"/>
              </w:rPr>
              <w:t xml:space="preserve">Lanoxin adult injection is 10 times more concentrated than Lanoxin infant injection. Check product selection carefully. </w:t>
            </w:r>
          </w:p>
          <w:p w:rsidRPr="00D96231" w:rsidR="00032F3D" w:rsidP="00131848" w:rsidRDefault="00032F3D" w14:paraId="35F0EED9" w14:textId="77777777">
            <w:pPr>
              <w:pStyle w:val="BodyText"/>
              <w:rPr>
                <w:rFonts w:cs="Arial" w:asciiTheme="minorHAnsi" w:hAnsiTheme="minorHAnsi"/>
                <w:sz w:val="20"/>
              </w:rPr>
            </w:pPr>
            <w:r w:rsidRPr="00D96231">
              <w:rPr>
                <w:rFonts w:cs="Arial" w:asciiTheme="minorHAnsi" w:hAnsiTheme="minorHAnsi"/>
                <w:sz w:val="20"/>
              </w:rPr>
              <w:t>Rapid IV injection may cause hypertension and reduced coronary flow.</w:t>
            </w:r>
          </w:p>
          <w:p w:rsidRPr="00D96231" w:rsidR="00032F3D" w:rsidP="00131848" w:rsidRDefault="00032F3D" w14:paraId="7707BFD7" w14:textId="77777777">
            <w:pPr>
              <w:pStyle w:val="BodyText"/>
              <w:rPr>
                <w:rFonts w:cs="Arial" w:asciiTheme="minorHAnsi" w:hAnsiTheme="minorHAnsi"/>
                <w:sz w:val="20"/>
              </w:rPr>
            </w:pPr>
            <w:r w:rsidRPr="00D96231">
              <w:rPr>
                <w:rFonts w:cs="Arial" w:asciiTheme="minorHAnsi" w:hAnsiTheme="minorHAnsi"/>
                <w:sz w:val="20"/>
              </w:rPr>
              <w:t>Lanoxin Paediatric Elixir contains ethanol of approximately 84 mg/mL, equivalent to 10.6% absolute volume. The long</w:t>
            </w:r>
            <w:r>
              <w:rPr>
                <w:rFonts w:cs="Arial" w:asciiTheme="minorHAnsi" w:hAnsiTheme="minorHAnsi"/>
                <w:sz w:val="20"/>
              </w:rPr>
              <w:t>-</w:t>
            </w:r>
            <w:r w:rsidRPr="00D96231">
              <w:rPr>
                <w:rFonts w:cs="Arial" w:asciiTheme="minorHAnsi" w:hAnsiTheme="minorHAnsi"/>
                <w:sz w:val="20"/>
              </w:rPr>
              <w:t>term effects of prolonged exposure to ethanol content from medicines have not been studied.</w:t>
            </w:r>
          </w:p>
        </w:tc>
      </w:tr>
      <w:tr w:rsidRPr="003A7895" w:rsidR="00032F3D" w:rsidTr="00D10A80" w14:paraId="1082324F" w14:textId="77777777">
        <w:trPr>
          <w:trHeight w:val="72"/>
        </w:trPr>
        <w:tc>
          <w:tcPr>
            <w:tcW w:w="1702" w:type="dxa"/>
          </w:tcPr>
          <w:p w:rsidRPr="00B53E9B" w:rsidR="00032F3D" w:rsidP="00131848" w:rsidRDefault="00032F3D" w14:paraId="5ADA8651" w14:textId="77777777">
            <w:pPr>
              <w:pStyle w:val="BodyText"/>
              <w:rPr>
                <w:rFonts w:cs="Arial"/>
                <w:sz w:val="20"/>
              </w:rPr>
            </w:pPr>
            <w:r w:rsidRPr="00B53E9B">
              <w:rPr>
                <w:rFonts w:cs="Arial"/>
                <w:b/>
                <w:bCs/>
                <w:sz w:val="20"/>
              </w:rPr>
              <w:t>Indication</w:t>
            </w:r>
          </w:p>
        </w:tc>
        <w:tc>
          <w:tcPr>
            <w:tcW w:w="8392" w:type="dxa"/>
          </w:tcPr>
          <w:p w:rsidRPr="00D96231" w:rsidR="00032F3D" w:rsidP="00131848" w:rsidRDefault="00032F3D" w14:paraId="0C5FAAAB" w14:textId="77777777">
            <w:pPr>
              <w:rPr>
                <w:rFonts w:asciiTheme="minorHAnsi" w:hAnsiTheme="minorHAnsi"/>
                <w:sz w:val="20"/>
              </w:rPr>
            </w:pPr>
            <w:r w:rsidRPr="00D96231">
              <w:rPr>
                <w:rFonts w:asciiTheme="minorHAnsi" w:hAnsiTheme="minorHAnsi"/>
                <w:sz w:val="20"/>
              </w:rPr>
              <w:t>Supraventricular tachycardia [atrioventricular reciprocating tachycardia or atrioventricular nodal re-entrant tachycardia, excluding Wolff-Parkinson-White]</w:t>
            </w:r>
            <w:r>
              <w:rPr>
                <w:rFonts w:asciiTheme="minorHAnsi" w:hAnsiTheme="minorHAnsi"/>
                <w:sz w:val="20"/>
              </w:rPr>
              <w:t>.</w:t>
            </w:r>
          </w:p>
          <w:p w:rsidRPr="00D96231" w:rsidR="00032F3D" w:rsidP="00131848" w:rsidRDefault="00032F3D" w14:paraId="4D232269" w14:textId="77777777">
            <w:pPr>
              <w:rPr>
                <w:rFonts w:asciiTheme="minorHAnsi" w:hAnsiTheme="minorHAnsi"/>
                <w:sz w:val="20"/>
              </w:rPr>
            </w:pPr>
            <w:r w:rsidRPr="00D96231">
              <w:rPr>
                <w:rFonts w:asciiTheme="minorHAnsi" w:hAnsiTheme="minorHAnsi"/>
                <w:sz w:val="20"/>
              </w:rPr>
              <w:t>Atrial fibrillation and atrial flutter</w:t>
            </w:r>
            <w:r>
              <w:rPr>
                <w:rFonts w:asciiTheme="minorHAnsi" w:hAnsiTheme="minorHAnsi"/>
                <w:sz w:val="20"/>
              </w:rPr>
              <w:t>.</w:t>
            </w:r>
          </w:p>
          <w:p w:rsidRPr="00D96231" w:rsidR="00032F3D" w:rsidP="00131848" w:rsidRDefault="00032F3D" w14:paraId="57EBEA23" w14:textId="77777777">
            <w:pPr>
              <w:rPr>
                <w:rFonts w:asciiTheme="minorHAnsi" w:hAnsiTheme="minorHAnsi"/>
                <w:sz w:val="20"/>
              </w:rPr>
            </w:pPr>
            <w:r w:rsidRPr="00D96231">
              <w:rPr>
                <w:rFonts w:asciiTheme="minorHAnsi" w:hAnsiTheme="minorHAnsi"/>
                <w:sz w:val="20"/>
              </w:rPr>
              <w:t>Heart failure [add</w:t>
            </w:r>
            <w:r>
              <w:rPr>
                <w:rFonts w:asciiTheme="minorHAnsi" w:hAnsiTheme="minorHAnsi"/>
                <w:sz w:val="20"/>
              </w:rPr>
              <w:t>-</w:t>
            </w:r>
            <w:r w:rsidRPr="00D96231">
              <w:rPr>
                <w:rFonts w:asciiTheme="minorHAnsi" w:hAnsiTheme="minorHAnsi"/>
                <w:sz w:val="20"/>
              </w:rPr>
              <w:t>on treatment in infants with reduced ejection fraction if not otherwise contraindicated].</w:t>
            </w:r>
          </w:p>
        </w:tc>
      </w:tr>
      <w:tr w:rsidRPr="003A7895" w:rsidR="00032F3D" w:rsidTr="00D10A80" w14:paraId="6E0000CC" w14:textId="77777777">
        <w:trPr>
          <w:trHeight w:val="70"/>
        </w:trPr>
        <w:tc>
          <w:tcPr>
            <w:tcW w:w="1702" w:type="dxa"/>
          </w:tcPr>
          <w:p w:rsidRPr="00B53E9B" w:rsidR="00032F3D" w:rsidP="00131848" w:rsidRDefault="00032F3D" w14:paraId="6DD0C242" w14:textId="77777777">
            <w:pPr>
              <w:pStyle w:val="BodyText"/>
              <w:rPr>
                <w:rFonts w:cs="Arial"/>
                <w:b/>
                <w:bCs/>
                <w:sz w:val="20"/>
              </w:rPr>
            </w:pPr>
            <w:r w:rsidRPr="00B53E9B">
              <w:rPr>
                <w:rFonts w:cs="Arial"/>
                <w:b/>
                <w:bCs/>
                <w:sz w:val="20"/>
              </w:rPr>
              <w:t>Action</w:t>
            </w:r>
          </w:p>
        </w:tc>
        <w:tc>
          <w:tcPr>
            <w:tcW w:w="8392" w:type="dxa"/>
          </w:tcPr>
          <w:p w:rsidRPr="00D96231" w:rsidR="00032F3D" w:rsidP="00131848" w:rsidRDefault="00032F3D" w14:paraId="7CB95BB4" w14:textId="77777777">
            <w:pPr>
              <w:rPr>
                <w:rFonts w:cs="Arial" w:asciiTheme="minorHAnsi" w:hAnsiTheme="minorHAnsi"/>
                <w:sz w:val="20"/>
              </w:rPr>
            </w:pPr>
            <w:r w:rsidRPr="00D96231">
              <w:rPr>
                <w:rFonts w:cs="Arial" w:asciiTheme="minorHAnsi" w:hAnsiTheme="minorHAnsi"/>
                <w:sz w:val="20"/>
              </w:rPr>
              <w:t>Slows heart rate and reduces AV nodal conduction by an increase in vagal tone and a reduction in sympathetic activity. A Na</w:t>
            </w:r>
            <w:r w:rsidRPr="00D96231">
              <w:rPr>
                <w:rFonts w:cs="Arial" w:asciiTheme="minorHAnsi" w:hAnsiTheme="minorHAnsi"/>
                <w:sz w:val="20"/>
                <w:vertAlign w:val="superscript"/>
              </w:rPr>
              <w:t>+</w:t>
            </w:r>
            <w:r w:rsidRPr="00D96231">
              <w:rPr>
                <w:rFonts w:cs="Arial" w:asciiTheme="minorHAnsi" w:hAnsiTheme="minorHAnsi"/>
                <w:sz w:val="20"/>
              </w:rPr>
              <w:t>/K</w:t>
            </w:r>
            <w:r w:rsidRPr="00D96231">
              <w:rPr>
                <w:rFonts w:cs="Arial" w:asciiTheme="minorHAnsi" w:hAnsiTheme="minorHAnsi"/>
                <w:sz w:val="20"/>
                <w:vertAlign w:val="superscript"/>
              </w:rPr>
              <w:t>+</w:t>
            </w:r>
            <w:r w:rsidRPr="00D96231">
              <w:rPr>
                <w:rFonts w:cs="Arial" w:asciiTheme="minorHAnsi" w:hAnsiTheme="minorHAnsi"/>
                <w:sz w:val="20"/>
              </w:rPr>
              <w:t>-ATPase inhibitor which increases the force of myocardial contraction by increasing the release and availability of stored intracellular calcium.</w:t>
            </w:r>
          </w:p>
        </w:tc>
      </w:tr>
      <w:tr w:rsidRPr="003A7895" w:rsidR="00032F3D" w:rsidTr="00D10A80" w14:paraId="4F74DB3E" w14:textId="77777777">
        <w:trPr>
          <w:trHeight w:val="266"/>
        </w:trPr>
        <w:tc>
          <w:tcPr>
            <w:tcW w:w="1702" w:type="dxa"/>
          </w:tcPr>
          <w:p w:rsidRPr="00B53E9B" w:rsidR="00032F3D" w:rsidP="00131848" w:rsidRDefault="00032F3D" w14:paraId="112B8E6B" w14:textId="77777777">
            <w:pPr>
              <w:pStyle w:val="BodyText"/>
              <w:rPr>
                <w:rFonts w:cs="Arial"/>
                <w:sz w:val="20"/>
              </w:rPr>
            </w:pPr>
            <w:r>
              <w:rPr>
                <w:rFonts w:cs="Arial"/>
                <w:b/>
                <w:bCs/>
                <w:sz w:val="20"/>
              </w:rPr>
              <w:t>Drug t</w:t>
            </w:r>
            <w:r w:rsidRPr="00B53E9B">
              <w:rPr>
                <w:rFonts w:cs="Arial"/>
                <w:b/>
                <w:bCs/>
                <w:sz w:val="20"/>
              </w:rPr>
              <w:t>ype</w:t>
            </w:r>
          </w:p>
        </w:tc>
        <w:tc>
          <w:tcPr>
            <w:tcW w:w="8392" w:type="dxa"/>
          </w:tcPr>
          <w:p w:rsidRPr="00D96231" w:rsidR="00032F3D" w:rsidP="00131848" w:rsidRDefault="00032F3D" w14:paraId="4F035F89" w14:textId="77777777">
            <w:pPr>
              <w:pStyle w:val="BodyText"/>
              <w:rPr>
                <w:rFonts w:cs="Arial" w:asciiTheme="minorHAnsi" w:hAnsiTheme="minorHAnsi"/>
                <w:sz w:val="20"/>
              </w:rPr>
            </w:pPr>
            <w:r w:rsidRPr="00D96231">
              <w:rPr>
                <w:rFonts w:cs="Arial" w:asciiTheme="minorHAnsi" w:hAnsiTheme="minorHAnsi"/>
                <w:sz w:val="20"/>
              </w:rPr>
              <w:t>Cardiac glycoside</w:t>
            </w:r>
          </w:p>
        </w:tc>
      </w:tr>
      <w:tr w:rsidRPr="003A7895" w:rsidR="00032F3D" w:rsidTr="00D10A80" w14:paraId="5660694D" w14:textId="77777777">
        <w:trPr>
          <w:trHeight w:val="114"/>
        </w:trPr>
        <w:tc>
          <w:tcPr>
            <w:tcW w:w="1702" w:type="dxa"/>
          </w:tcPr>
          <w:p w:rsidRPr="00B53E9B" w:rsidR="00032F3D" w:rsidP="00131848" w:rsidRDefault="00032F3D" w14:paraId="510BB682"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392" w:type="dxa"/>
          </w:tcPr>
          <w:p w:rsidRPr="00D96231" w:rsidR="00032F3D" w:rsidP="00131848" w:rsidRDefault="00032F3D" w14:paraId="49658306" w14:textId="77777777">
            <w:pPr>
              <w:pStyle w:val="BodyText"/>
              <w:rPr>
                <w:rFonts w:cs="Arial" w:asciiTheme="minorHAnsi" w:hAnsiTheme="minorHAnsi"/>
                <w:sz w:val="20"/>
              </w:rPr>
            </w:pPr>
            <w:r w:rsidRPr="00D96231">
              <w:rPr>
                <w:rFonts w:cs="Arial" w:asciiTheme="minorHAnsi" w:hAnsiTheme="minorHAnsi"/>
                <w:sz w:val="20"/>
              </w:rPr>
              <w:t>Lanoxin PG, Sigmaxin</w:t>
            </w:r>
            <w:r>
              <w:rPr>
                <w:rFonts w:cs="Arial" w:asciiTheme="minorHAnsi" w:hAnsiTheme="minorHAnsi"/>
                <w:sz w:val="20"/>
              </w:rPr>
              <w:t xml:space="preserve"> </w:t>
            </w:r>
            <w:r w:rsidRPr="00D96231">
              <w:rPr>
                <w:rFonts w:cs="Arial" w:asciiTheme="minorHAnsi" w:hAnsiTheme="minorHAnsi"/>
                <w:sz w:val="20"/>
              </w:rPr>
              <w:t>PG, Lanoxin, Sigmaxin, Lanoxin Paediatric Elixir, Lanoxin Infant</w:t>
            </w:r>
            <w:r>
              <w:rPr>
                <w:rFonts w:cs="Arial" w:asciiTheme="minorHAnsi" w:hAnsiTheme="minorHAnsi"/>
                <w:sz w:val="20"/>
              </w:rPr>
              <w:t xml:space="preserve"> Solution for Infusion </w:t>
            </w:r>
            <w:r w:rsidRPr="00D96231">
              <w:rPr>
                <w:rFonts w:cs="Arial" w:asciiTheme="minorHAnsi" w:hAnsiTheme="minorHAnsi"/>
                <w:sz w:val="20"/>
              </w:rPr>
              <w:t>, Lanoxin</w:t>
            </w:r>
            <w:r>
              <w:rPr>
                <w:rFonts w:cs="Arial" w:asciiTheme="minorHAnsi" w:hAnsiTheme="minorHAnsi"/>
                <w:sz w:val="20"/>
              </w:rPr>
              <w:t xml:space="preserve"> Solution for Infusion</w:t>
            </w:r>
          </w:p>
        </w:tc>
      </w:tr>
      <w:tr w:rsidRPr="003A7895" w:rsidR="00032F3D" w:rsidTr="00D10A80" w14:paraId="0C78FB66" w14:textId="77777777">
        <w:trPr>
          <w:trHeight w:val="70"/>
        </w:trPr>
        <w:tc>
          <w:tcPr>
            <w:tcW w:w="1702" w:type="dxa"/>
          </w:tcPr>
          <w:p w:rsidRPr="00B53E9B" w:rsidR="00032F3D" w:rsidP="00131848" w:rsidRDefault="00032F3D" w14:paraId="4BB48CEF" w14:textId="77777777">
            <w:pPr>
              <w:pStyle w:val="BodyText"/>
              <w:rPr>
                <w:rFonts w:cs="Arial"/>
                <w:b/>
                <w:bCs/>
                <w:sz w:val="20"/>
              </w:rPr>
            </w:pPr>
            <w:r w:rsidRPr="00B53E9B">
              <w:rPr>
                <w:rFonts w:cs="Arial"/>
                <w:b/>
                <w:bCs/>
                <w:sz w:val="20"/>
              </w:rPr>
              <w:t xml:space="preserve">Presentation </w:t>
            </w:r>
          </w:p>
        </w:tc>
        <w:tc>
          <w:tcPr>
            <w:tcW w:w="8392" w:type="dxa"/>
          </w:tcPr>
          <w:p w:rsidRPr="00BD53F7" w:rsidR="00032F3D" w:rsidP="00131848" w:rsidRDefault="00032F3D" w14:paraId="688F7E1F" w14:textId="77777777">
            <w:pPr>
              <w:pStyle w:val="BodyText"/>
              <w:rPr>
                <w:rFonts w:cs="Arial" w:asciiTheme="minorHAnsi" w:hAnsiTheme="minorHAnsi"/>
                <w:b/>
                <w:sz w:val="20"/>
              </w:rPr>
            </w:pPr>
            <w:r w:rsidRPr="00BD53F7">
              <w:rPr>
                <w:rFonts w:cs="Arial" w:asciiTheme="minorHAnsi" w:hAnsiTheme="minorHAnsi"/>
                <w:b/>
                <w:sz w:val="20"/>
              </w:rPr>
              <w:t>ORAL:</w:t>
            </w:r>
          </w:p>
          <w:p w:rsidRPr="00D96231" w:rsidR="00032F3D" w:rsidP="00131848" w:rsidRDefault="00032F3D" w14:paraId="63E6482C" w14:textId="77777777">
            <w:pPr>
              <w:pStyle w:val="BodyText"/>
              <w:rPr>
                <w:rFonts w:cs="Arial" w:asciiTheme="minorHAnsi" w:hAnsiTheme="minorHAnsi"/>
                <w:sz w:val="20"/>
              </w:rPr>
            </w:pPr>
            <w:r w:rsidRPr="00D96231">
              <w:rPr>
                <w:rFonts w:cs="Arial" w:asciiTheme="minorHAnsi" w:hAnsiTheme="minorHAnsi"/>
                <w:sz w:val="20"/>
              </w:rPr>
              <w:t>Lanoxin PG, Sigmaxin</w:t>
            </w:r>
            <w:r>
              <w:rPr>
                <w:rFonts w:cs="Arial" w:asciiTheme="minorHAnsi" w:hAnsiTheme="minorHAnsi"/>
                <w:sz w:val="20"/>
              </w:rPr>
              <w:t xml:space="preserve"> </w:t>
            </w:r>
            <w:r w:rsidRPr="00D96231">
              <w:rPr>
                <w:rFonts w:cs="Arial" w:asciiTheme="minorHAnsi" w:hAnsiTheme="minorHAnsi"/>
                <w:sz w:val="20"/>
              </w:rPr>
              <w:t>PG 62.5</w:t>
            </w:r>
            <w:r>
              <w:rPr>
                <w:rFonts w:cs="Arial" w:asciiTheme="minorHAnsi" w:hAnsiTheme="minorHAnsi"/>
                <w:sz w:val="20"/>
              </w:rPr>
              <w:t xml:space="preserve"> </w:t>
            </w:r>
            <w:r w:rsidRPr="00D96231">
              <w:rPr>
                <w:rFonts w:cs="Arial" w:asciiTheme="minorHAnsi" w:hAnsiTheme="minorHAnsi"/>
                <w:sz w:val="20"/>
              </w:rPr>
              <w:t>microgram</w:t>
            </w:r>
            <w:r>
              <w:rPr>
                <w:rFonts w:cs="Arial" w:asciiTheme="minorHAnsi" w:hAnsiTheme="minorHAnsi"/>
                <w:sz w:val="20"/>
              </w:rPr>
              <w:t xml:space="preserve"> tablet</w:t>
            </w:r>
          </w:p>
          <w:p w:rsidRPr="00D96231" w:rsidR="00032F3D" w:rsidP="00131848" w:rsidRDefault="00032F3D" w14:paraId="146BA2D1" w14:textId="77777777">
            <w:pPr>
              <w:pStyle w:val="BodyText"/>
              <w:rPr>
                <w:rFonts w:cs="Arial" w:asciiTheme="minorHAnsi" w:hAnsiTheme="minorHAnsi"/>
                <w:sz w:val="20"/>
              </w:rPr>
            </w:pPr>
            <w:r w:rsidRPr="00D96231">
              <w:rPr>
                <w:rFonts w:cs="Arial" w:asciiTheme="minorHAnsi" w:hAnsiTheme="minorHAnsi"/>
                <w:sz w:val="20"/>
              </w:rPr>
              <w:t xml:space="preserve">Lanoxin, Sigmaxin 250 microgram </w:t>
            </w:r>
            <w:r>
              <w:rPr>
                <w:rFonts w:cs="Arial" w:asciiTheme="minorHAnsi" w:hAnsiTheme="minorHAnsi"/>
                <w:sz w:val="20"/>
              </w:rPr>
              <w:t>tablet</w:t>
            </w:r>
          </w:p>
          <w:p w:rsidR="00032F3D" w:rsidP="00131848" w:rsidRDefault="00032F3D" w14:paraId="0051F5CF" w14:textId="77777777">
            <w:pPr>
              <w:pStyle w:val="BodyText"/>
              <w:rPr>
                <w:rFonts w:cs="Arial" w:asciiTheme="minorHAnsi" w:hAnsiTheme="minorHAnsi"/>
                <w:sz w:val="20"/>
              </w:rPr>
            </w:pPr>
            <w:r w:rsidRPr="00D96231">
              <w:rPr>
                <w:rFonts w:cs="Arial" w:asciiTheme="minorHAnsi" w:hAnsiTheme="minorHAnsi"/>
                <w:sz w:val="20"/>
              </w:rPr>
              <w:t xml:space="preserve">Lanoxin Paediatric Elixir 50 microgram/mL (contains propylene glycol: approximately 52 mg/mL and ethanol: </w:t>
            </w:r>
            <w:r>
              <w:rPr>
                <w:rFonts w:cs="Arial" w:asciiTheme="minorHAnsi" w:hAnsiTheme="minorHAnsi"/>
                <w:sz w:val="20"/>
              </w:rPr>
              <w:t>a</w:t>
            </w:r>
            <w:r w:rsidRPr="00D96231">
              <w:rPr>
                <w:rFonts w:cs="Arial" w:asciiTheme="minorHAnsi" w:hAnsiTheme="minorHAnsi"/>
                <w:sz w:val="20"/>
              </w:rPr>
              <w:t>pproximately: 84 mg/mL, equivalent to 10.6% absolute volume)</w:t>
            </w:r>
          </w:p>
          <w:p w:rsidRPr="00BD53F7" w:rsidR="00032F3D" w:rsidP="00131848" w:rsidRDefault="00032F3D" w14:paraId="634FBD6B" w14:textId="77777777">
            <w:pPr>
              <w:pStyle w:val="BodyText"/>
              <w:rPr>
                <w:rFonts w:cs="Arial" w:asciiTheme="minorHAnsi" w:hAnsiTheme="minorHAnsi"/>
                <w:b/>
                <w:sz w:val="20"/>
              </w:rPr>
            </w:pPr>
            <w:r w:rsidRPr="00BD53F7">
              <w:rPr>
                <w:rFonts w:cs="Arial" w:asciiTheme="minorHAnsi" w:hAnsiTheme="minorHAnsi"/>
                <w:b/>
                <w:sz w:val="20"/>
              </w:rPr>
              <w:t>INTRAVENOUS:</w:t>
            </w:r>
          </w:p>
          <w:p w:rsidRPr="00D96231" w:rsidR="00032F3D" w:rsidP="00131848" w:rsidRDefault="00032F3D" w14:paraId="0522AD0F" w14:textId="77777777">
            <w:pPr>
              <w:pStyle w:val="BodyText"/>
              <w:rPr>
                <w:rFonts w:cs="Arial" w:asciiTheme="minorHAnsi" w:hAnsiTheme="minorHAnsi"/>
                <w:sz w:val="20"/>
              </w:rPr>
            </w:pPr>
            <w:r w:rsidRPr="00D96231">
              <w:rPr>
                <w:rFonts w:cs="Arial" w:asciiTheme="minorHAnsi" w:hAnsiTheme="minorHAnsi"/>
                <w:sz w:val="20"/>
              </w:rPr>
              <w:t xml:space="preserve">Lanoxin </w:t>
            </w:r>
            <w:r w:rsidRPr="00C575A7">
              <w:rPr>
                <w:rFonts w:cs="Arial" w:asciiTheme="minorHAnsi" w:hAnsiTheme="minorHAnsi"/>
                <w:b/>
                <w:bCs/>
                <w:sz w:val="20"/>
              </w:rPr>
              <w:t>Infant</w:t>
            </w:r>
            <w:r w:rsidRPr="00D96231">
              <w:rPr>
                <w:rFonts w:cs="Arial" w:asciiTheme="minorHAnsi" w:hAnsiTheme="minorHAnsi"/>
                <w:sz w:val="20"/>
              </w:rPr>
              <w:t xml:space="preserve"> </w:t>
            </w:r>
            <w:r>
              <w:rPr>
                <w:rFonts w:cs="Arial" w:asciiTheme="minorHAnsi" w:hAnsiTheme="minorHAnsi"/>
                <w:sz w:val="20"/>
              </w:rPr>
              <w:t>Solution for Infusion 50 microgram/2mL</w:t>
            </w:r>
          </w:p>
          <w:p w:rsidRPr="00D96231" w:rsidR="00032F3D" w:rsidP="00131848" w:rsidRDefault="00032F3D" w14:paraId="1E55CBA1" w14:textId="77777777">
            <w:pPr>
              <w:pStyle w:val="BodyText"/>
              <w:rPr>
                <w:rFonts w:cs="Arial" w:asciiTheme="minorHAnsi" w:hAnsiTheme="minorHAnsi"/>
                <w:sz w:val="20"/>
              </w:rPr>
            </w:pPr>
            <w:r w:rsidRPr="00D96231">
              <w:rPr>
                <w:rFonts w:cs="Arial" w:asciiTheme="minorHAnsi" w:hAnsiTheme="minorHAnsi"/>
                <w:sz w:val="20"/>
              </w:rPr>
              <w:t xml:space="preserve">Lanoxin </w:t>
            </w:r>
            <w:r>
              <w:rPr>
                <w:rFonts w:cs="Arial" w:asciiTheme="minorHAnsi" w:hAnsiTheme="minorHAnsi"/>
                <w:sz w:val="20"/>
              </w:rPr>
              <w:t>Solution for Infusion 500 microgram/2mL. CAUTION: CONCENTRATED product</w:t>
            </w:r>
          </w:p>
          <w:p w:rsidRPr="00D96231" w:rsidR="00032F3D" w:rsidP="00131848" w:rsidRDefault="00032F3D" w14:paraId="5C719549" w14:textId="77777777">
            <w:pPr>
              <w:pStyle w:val="BodyText"/>
              <w:rPr>
                <w:rFonts w:cs="Arial" w:asciiTheme="minorHAnsi" w:hAnsiTheme="minorHAnsi"/>
                <w:sz w:val="20"/>
              </w:rPr>
            </w:pPr>
            <w:r>
              <w:rPr>
                <w:rFonts w:cs="Arial" w:asciiTheme="minorHAnsi" w:hAnsiTheme="minorHAnsi"/>
                <w:sz w:val="20"/>
              </w:rPr>
              <w:t>Both</w:t>
            </w:r>
            <w:r w:rsidRPr="00D96231">
              <w:rPr>
                <w:rFonts w:cs="Arial" w:asciiTheme="minorHAnsi" w:hAnsiTheme="minorHAnsi"/>
                <w:sz w:val="20"/>
              </w:rPr>
              <w:t xml:space="preserve"> contain ethanol, propylene glycol, citric acid and sodium phosphate.  </w:t>
            </w:r>
          </w:p>
        </w:tc>
      </w:tr>
      <w:tr w:rsidRPr="000E2236" w:rsidR="00032F3D" w:rsidTr="00D10A80" w14:paraId="4E1F788C" w14:textId="77777777">
        <w:trPr>
          <w:trHeight w:val="70"/>
        </w:trPr>
        <w:tc>
          <w:tcPr>
            <w:tcW w:w="1702" w:type="dxa"/>
          </w:tcPr>
          <w:p w:rsidRPr="00B53E9B" w:rsidR="00032F3D" w:rsidP="00131848" w:rsidRDefault="00032F3D" w14:paraId="18511E6C" w14:textId="77777777">
            <w:pPr>
              <w:pStyle w:val="BodyText"/>
              <w:rPr>
                <w:rFonts w:cs="Arial"/>
                <w:b/>
                <w:bCs/>
                <w:sz w:val="20"/>
              </w:rPr>
            </w:pPr>
            <w:r>
              <w:rPr>
                <w:rFonts w:cs="Arial"/>
                <w:b/>
                <w:bCs/>
                <w:sz w:val="20"/>
              </w:rPr>
              <w:t>Dose</w:t>
            </w:r>
            <w:r w:rsidRPr="00B53E9B">
              <w:rPr>
                <w:rFonts w:cs="Arial"/>
                <w:b/>
                <w:bCs/>
                <w:sz w:val="20"/>
              </w:rPr>
              <w:t xml:space="preserve"> </w:t>
            </w:r>
          </w:p>
        </w:tc>
        <w:tc>
          <w:tcPr>
            <w:tcW w:w="8392" w:type="dxa"/>
          </w:tcPr>
          <w:tbl>
            <w:tblPr>
              <w:tblStyle w:val="TableGrid"/>
              <w:tblpPr w:leftFromText="180" w:rightFromText="180" w:vertAnchor="page" w:horzAnchor="margin" w:tblpY="226"/>
              <w:tblOverlap w:val="never"/>
              <w:tblW w:w="7933" w:type="dxa"/>
              <w:tblLayout w:type="fixed"/>
              <w:tblLook w:val="04A0" w:firstRow="1" w:lastRow="0" w:firstColumn="1" w:lastColumn="0" w:noHBand="0" w:noVBand="1"/>
            </w:tblPr>
            <w:tblGrid>
              <w:gridCol w:w="2263"/>
              <w:gridCol w:w="851"/>
              <w:gridCol w:w="1984"/>
              <w:gridCol w:w="1560"/>
              <w:gridCol w:w="1275"/>
            </w:tblGrid>
            <w:tr w:rsidRPr="00C71446" w:rsidR="00032F3D" w:rsidTr="00587E18" w14:paraId="39655426" w14:textId="77777777">
              <w:tc>
                <w:tcPr>
                  <w:tcW w:w="2263" w:type="dxa"/>
                  <w:vAlign w:val="center"/>
                </w:tcPr>
                <w:p w:rsidRPr="00C71446" w:rsidR="00032F3D" w:rsidP="00131848" w:rsidRDefault="00032F3D" w14:paraId="7B08C8B5" w14:textId="77777777">
                  <w:pPr>
                    <w:overflowPunct w:val="0"/>
                    <w:autoSpaceDE w:val="0"/>
                    <w:autoSpaceDN w:val="0"/>
                    <w:jc w:val="center"/>
                    <w:rPr>
                      <w:rFonts w:eastAsia="Calibri"/>
                      <w:b/>
                      <w:bCs/>
                      <w:sz w:val="20"/>
                    </w:rPr>
                  </w:pPr>
                  <w:r w:rsidRPr="00C71446">
                    <w:rPr>
                      <w:rFonts w:eastAsia="Calibri"/>
                      <w:b/>
                      <w:bCs/>
                      <w:sz w:val="20"/>
                    </w:rPr>
                    <w:t>Term</w:t>
                  </w:r>
                </w:p>
                <w:p w:rsidRPr="00C71446" w:rsidR="00032F3D" w:rsidP="00131848" w:rsidRDefault="00032F3D" w14:paraId="1B08BFCB" w14:textId="77777777">
                  <w:pPr>
                    <w:overflowPunct w:val="0"/>
                    <w:autoSpaceDE w:val="0"/>
                    <w:autoSpaceDN w:val="0"/>
                    <w:jc w:val="center"/>
                    <w:rPr>
                      <w:rFonts w:eastAsia="Calibri"/>
                      <w:b/>
                      <w:bCs/>
                      <w:sz w:val="20"/>
                    </w:rPr>
                  </w:pPr>
                  <w:r w:rsidRPr="00C71446">
                    <w:rPr>
                      <w:rFonts w:eastAsia="Calibri"/>
                      <w:b/>
                      <w:bCs/>
                      <w:sz w:val="20"/>
                    </w:rPr>
                    <w:t>≥37</w:t>
                  </w:r>
                  <w:r w:rsidRPr="00C71446">
                    <w:rPr>
                      <w:rFonts w:eastAsia="Calibri"/>
                      <w:b/>
                      <w:bCs/>
                      <w:sz w:val="20"/>
                      <w:vertAlign w:val="superscript"/>
                    </w:rPr>
                    <w:t>+0</w:t>
                  </w:r>
                  <w:r w:rsidRPr="00C71446">
                    <w:rPr>
                      <w:rFonts w:eastAsia="Calibri"/>
                      <w:b/>
                      <w:bCs/>
                      <w:sz w:val="20"/>
                    </w:rPr>
                    <w:t xml:space="preserve"> weeks</w:t>
                  </w:r>
                </w:p>
              </w:tc>
              <w:tc>
                <w:tcPr>
                  <w:tcW w:w="851" w:type="dxa"/>
                  <w:vAlign w:val="center"/>
                </w:tcPr>
                <w:p w:rsidRPr="00C71446" w:rsidR="00032F3D" w:rsidP="00131848" w:rsidRDefault="00032F3D" w14:paraId="39B281EC" w14:textId="77777777">
                  <w:pPr>
                    <w:overflowPunct w:val="0"/>
                    <w:autoSpaceDE w:val="0"/>
                    <w:autoSpaceDN w:val="0"/>
                    <w:jc w:val="center"/>
                    <w:rPr>
                      <w:rFonts w:eastAsia="Calibri"/>
                      <w:b/>
                      <w:bCs/>
                      <w:sz w:val="20"/>
                    </w:rPr>
                  </w:pPr>
                  <w:r w:rsidRPr="00C71446">
                    <w:rPr>
                      <w:rFonts w:eastAsia="Calibri"/>
                      <w:b/>
                      <w:bCs/>
                      <w:sz w:val="20"/>
                    </w:rPr>
                    <w:t>Rout</w:t>
                  </w:r>
                  <w:r>
                    <w:rPr>
                      <w:rFonts w:eastAsia="Calibri"/>
                      <w:b/>
                      <w:bCs/>
                      <w:sz w:val="20"/>
                    </w:rPr>
                    <w:t>e</w:t>
                  </w:r>
                </w:p>
              </w:tc>
              <w:tc>
                <w:tcPr>
                  <w:tcW w:w="1984" w:type="dxa"/>
                  <w:vAlign w:val="center"/>
                </w:tcPr>
                <w:p w:rsidRPr="00C71446" w:rsidR="00032F3D" w:rsidP="00131848" w:rsidRDefault="00032F3D" w14:paraId="102F16E6" w14:textId="77777777">
                  <w:pPr>
                    <w:overflowPunct w:val="0"/>
                    <w:autoSpaceDE w:val="0"/>
                    <w:autoSpaceDN w:val="0"/>
                    <w:jc w:val="center"/>
                    <w:rPr>
                      <w:rFonts w:eastAsia="Calibri"/>
                      <w:b/>
                      <w:bCs/>
                      <w:sz w:val="20"/>
                    </w:rPr>
                  </w:pPr>
                  <w:r w:rsidRPr="00C71446">
                    <w:rPr>
                      <w:rFonts w:eastAsia="Calibri"/>
                      <w:b/>
                      <w:bCs/>
                      <w:sz w:val="20"/>
                    </w:rPr>
                    <w:t>Frequency</w:t>
                  </w:r>
                </w:p>
              </w:tc>
              <w:tc>
                <w:tcPr>
                  <w:tcW w:w="1560" w:type="dxa"/>
                  <w:vAlign w:val="center"/>
                </w:tcPr>
                <w:p w:rsidRPr="00C71446" w:rsidR="00032F3D" w:rsidP="00131848" w:rsidRDefault="00032F3D" w14:paraId="798E3910" w14:textId="77777777">
                  <w:pPr>
                    <w:overflowPunct w:val="0"/>
                    <w:autoSpaceDE w:val="0"/>
                    <w:autoSpaceDN w:val="0"/>
                    <w:jc w:val="center"/>
                    <w:rPr>
                      <w:rFonts w:eastAsia="Calibri"/>
                      <w:b/>
                      <w:bCs/>
                      <w:sz w:val="20"/>
                    </w:rPr>
                  </w:pPr>
                  <w:r>
                    <w:rPr>
                      <w:rFonts w:eastAsia="Calibri"/>
                      <w:b/>
                      <w:bCs/>
                      <w:sz w:val="20"/>
                    </w:rPr>
                    <w:t>Number of doses</w:t>
                  </w:r>
                </w:p>
              </w:tc>
              <w:tc>
                <w:tcPr>
                  <w:tcW w:w="1275" w:type="dxa"/>
                  <w:vAlign w:val="center"/>
                </w:tcPr>
                <w:p w:rsidRPr="00C71446" w:rsidR="00032F3D" w:rsidP="00131848" w:rsidRDefault="00032F3D" w14:paraId="60300DE7" w14:textId="77777777">
                  <w:pPr>
                    <w:overflowPunct w:val="0"/>
                    <w:autoSpaceDE w:val="0"/>
                    <w:autoSpaceDN w:val="0"/>
                    <w:jc w:val="center"/>
                    <w:rPr>
                      <w:rFonts w:eastAsia="Calibri"/>
                      <w:b/>
                      <w:bCs/>
                      <w:sz w:val="20"/>
                    </w:rPr>
                  </w:pPr>
                  <w:r w:rsidRPr="00C71446">
                    <w:rPr>
                      <w:rFonts w:eastAsia="Calibri"/>
                      <w:b/>
                      <w:bCs/>
                      <w:sz w:val="20"/>
                    </w:rPr>
                    <w:t>Dose</w:t>
                  </w:r>
                </w:p>
                <w:p w:rsidRPr="00C71446" w:rsidR="00032F3D" w:rsidP="00131848" w:rsidRDefault="00032F3D" w14:paraId="2E9230C2" w14:textId="77777777">
                  <w:pPr>
                    <w:overflowPunct w:val="0"/>
                    <w:autoSpaceDE w:val="0"/>
                    <w:autoSpaceDN w:val="0"/>
                    <w:jc w:val="center"/>
                    <w:rPr>
                      <w:rFonts w:eastAsia="Calibri"/>
                      <w:b/>
                      <w:bCs/>
                      <w:sz w:val="16"/>
                      <w:szCs w:val="16"/>
                    </w:rPr>
                  </w:pPr>
                  <w:r w:rsidRPr="00C71446">
                    <w:rPr>
                      <w:rFonts w:eastAsia="Calibri"/>
                      <w:b/>
                      <w:bCs/>
                      <w:sz w:val="16"/>
                      <w:szCs w:val="16"/>
                    </w:rPr>
                    <w:t>microgram/kg/dose</w:t>
                  </w:r>
                </w:p>
              </w:tc>
            </w:tr>
            <w:tr w:rsidR="00032F3D" w:rsidTr="00587E18" w14:paraId="3BFA0B52" w14:textId="77777777">
              <w:tc>
                <w:tcPr>
                  <w:tcW w:w="2263" w:type="dxa"/>
                  <w:vMerge w:val="restart"/>
                  <w:vAlign w:val="center"/>
                </w:tcPr>
                <w:p w:rsidR="00032F3D" w:rsidP="00131848" w:rsidRDefault="00032F3D" w14:paraId="7F5A0F31" w14:textId="77777777">
                  <w:pPr>
                    <w:overflowPunct w:val="0"/>
                    <w:autoSpaceDE w:val="0"/>
                    <w:autoSpaceDN w:val="0"/>
                    <w:jc w:val="center"/>
                    <w:rPr>
                      <w:rFonts w:eastAsia="Calibri"/>
                      <w:b/>
                      <w:bCs/>
                      <w:sz w:val="20"/>
                    </w:rPr>
                  </w:pPr>
                  <w:r>
                    <w:rPr>
                      <w:rFonts w:eastAsia="Calibri"/>
                      <w:b/>
                      <w:bCs/>
                      <w:sz w:val="20"/>
                    </w:rPr>
                    <w:t>Loading</w:t>
                  </w:r>
                </w:p>
              </w:tc>
              <w:tc>
                <w:tcPr>
                  <w:tcW w:w="851" w:type="dxa"/>
                </w:tcPr>
                <w:p w:rsidRPr="00C71446" w:rsidR="00032F3D" w:rsidP="00131848" w:rsidRDefault="00032F3D" w14:paraId="3D05BF64" w14:textId="77777777">
                  <w:pPr>
                    <w:overflowPunct w:val="0"/>
                    <w:autoSpaceDE w:val="0"/>
                    <w:autoSpaceDN w:val="0"/>
                    <w:jc w:val="both"/>
                    <w:rPr>
                      <w:rFonts w:eastAsia="Calibri"/>
                      <w:bCs/>
                      <w:sz w:val="20"/>
                    </w:rPr>
                  </w:pPr>
                  <w:r w:rsidRPr="00C71446">
                    <w:rPr>
                      <w:rFonts w:eastAsia="Calibri"/>
                      <w:bCs/>
                      <w:sz w:val="20"/>
                    </w:rPr>
                    <w:t xml:space="preserve">Oral </w:t>
                  </w:r>
                </w:p>
              </w:tc>
              <w:tc>
                <w:tcPr>
                  <w:tcW w:w="1984" w:type="dxa"/>
                  <w:vAlign w:val="center"/>
                </w:tcPr>
                <w:p w:rsidRPr="00C71446" w:rsidR="00032F3D" w:rsidP="00131848" w:rsidRDefault="00032F3D" w14:paraId="208C2B15" w14:textId="77777777">
                  <w:pPr>
                    <w:overflowPunct w:val="0"/>
                    <w:autoSpaceDE w:val="0"/>
                    <w:autoSpaceDN w:val="0"/>
                    <w:jc w:val="both"/>
                    <w:rPr>
                      <w:rFonts w:eastAsia="Calibri"/>
                      <w:bCs/>
                      <w:sz w:val="20"/>
                    </w:rPr>
                  </w:pPr>
                  <w:r w:rsidRPr="00C71446">
                    <w:rPr>
                      <w:rFonts w:eastAsia="Calibri"/>
                      <w:bCs/>
                      <w:sz w:val="20"/>
                    </w:rPr>
                    <w:t>8 hourly</w:t>
                  </w:r>
                </w:p>
              </w:tc>
              <w:tc>
                <w:tcPr>
                  <w:tcW w:w="1560" w:type="dxa"/>
                  <w:vAlign w:val="center"/>
                </w:tcPr>
                <w:p w:rsidRPr="00C71446" w:rsidR="00032F3D" w:rsidP="00131848" w:rsidRDefault="00032F3D" w14:paraId="3C5D909B" w14:textId="77777777">
                  <w:pPr>
                    <w:overflowPunct w:val="0"/>
                    <w:autoSpaceDE w:val="0"/>
                    <w:autoSpaceDN w:val="0"/>
                    <w:jc w:val="both"/>
                    <w:rPr>
                      <w:rFonts w:eastAsia="Calibri"/>
                      <w:bCs/>
                      <w:sz w:val="20"/>
                    </w:rPr>
                  </w:pPr>
                  <w:r w:rsidRPr="00C71446">
                    <w:rPr>
                      <w:rFonts w:eastAsia="Calibri"/>
                      <w:bCs/>
                      <w:sz w:val="20"/>
                    </w:rPr>
                    <w:t xml:space="preserve">3 </w:t>
                  </w:r>
                  <w:r>
                    <w:rPr>
                      <w:rFonts w:eastAsia="Calibri"/>
                      <w:bCs/>
                      <w:sz w:val="20"/>
                    </w:rPr>
                    <w:t>doses</w:t>
                  </w:r>
                </w:p>
              </w:tc>
              <w:tc>
                <w:tcPr>
                  <w:tcW w:w="1275" w:type="dxa"/>
                  <w:vAlign w:val="center"/>
                </w:tcPr>
                <w:p w:rsidRPr="00636812" w:rsidR="00032F3D" w:rsidP="00131848" w:rsidRDefault="00032F3D" w14:paraId="6C816B30" w14:textId="77777777">
                  <w:pPr>
                    <w:overflowPunct w:val="0"/>
                    <w:autoSpaceDE w:val="0"/>
                    <w:autoSpaceDN w:val="0"/>
                    <w:jc w:val="both"/>
                    <w:rPr>
                      <w:rFonts w:eastAsia="Calibri"/>
                      <w:b/>
                      <w:bCs/>
                      <w:sz w:val="20"/>
                    </w:rPr>
                  </w:pPr>
                  <w:r w:rsidRPr="00636812">
                    <w:rPr>
                      <w:rFonts w:eastAsia="Calibri"/>
                      <w:b/>
                      <w:bCs/>
                      <w:sz w:val="20"/>
                    </w:rPr>
                    <w:t>10</w:t>
                  </w:r>
                </w:p>
              </w:tc>
            </w:tr>
            <w:tr w:rsidR="00032F3D" w:rsidTr="00587E18" w14:paraId="25A799BB" w14:textId="77777777">
              <w:tc>
                <w:tcPr>
                  <w:tcW w:w="2263" w:type="dxa"/>
                  <w:vMerge/>
                  <w:vAlign w:val="center"/>
                </w:tcPr>
                <w:p w:rsidR="00032F3D" w:rsidP="00131848" w:rsidRDefault="00032F3D" w14:paraId="02911E70" w14:textId="77777777">
                  <w:pPr>
                    <w:overflowPunct w:val="0"/>
                    <w:autoSpaceDE w:val="0"/>
                    <w:autoSpaceDN w:val="0"/>
                    <w:jc w:val="center"/>
                    <w:rPr>
                      <w:rFonts w:eastAsia="Calibri"/>
                      <w:b/>
                      <w:bCs/>
                      <w:sz w:val="20"/>
                    </w:rPr>
                  </w:pPr>
                </w:p>
              </w:tc>
              <w:tc>
                <w:tcPr>
                  <w:tcW w:w="851" w:type="dxa"/>
                </w:tcPr>
                <w:p w:rsidRPr="00C71446" w:rsidR="00032F3D" w:rsidP="00131848" w:rsidRDefault="00032F3D" w14:paraId="14495368" w14:textId="77777777">
                  <w:pPr>
                    <w:overflowPunct w:val="0"/>
                    <w:autoSpaceDE w:val="0"/>
                    <w:autoSpaceDN w:val="0"/>
                    <w:jc w:val="both"/>
                    <w:rPr>
                      <w:rFonts w:eastAsia="Calibri"/>
                      <w:bCs/>
                      <w:sz w:val="20"/>
                    </w:rPr>
                  </w:pPr>
                  <w:r w:rsidRPr="00C71446">
                    <w:rPr>
                      <w:rFonts w:eastAsia="Calibri"/>
                      <w:bCs/>
                      <w:sz w:val="20"/>
                    </w:rPr>
                    <w:t>IV</w:t>
                  </w:r>
                  <w:r>
                    <w:rPr>
                      <w:rFonts w:eastAsia="Calibri"/>
                      <w:bCs/>
                      <w:sz w:val="20"/>
                    </w:rPr>
                    <w:t>*</w:t>
                  </w:r>
                </w:p>
              </w:tc>
              <w:tc>
                <w:tcPr>
                  <w:tcW w:w="1984" w:type="dxa"/>
                </w:tcPr>
                <w:p w:rsidRPr="00C71446" w:rsidR="00032F3D" w:rsidP="00131848" w:rsidRDefault="00032F3D" w14:paraId="5C117068" w14:textId="77777777">
                  <w:pPr>
                    <w:overflowPunct w:val="0"/>
                    <w:autoSpaceDE w:val="0"/>
                    <w:autoSpaceDN w:val="0"/>
                    <w:jc w:val="both"/>
                    <w:rPr>
                      <w:rFonts w:eastAsia="Calibri"/>
                      <w:bCs/>
                      <w:sz w:val="20"/>
                    </w:rPr>
                  </w:pPr>
                  <w:r>
                    <w:rPr>
                      <w:rFonts w:eastAsia="Calibri"/>
                      <w:bCs/>
                      <w:sz w:val="20"/>
                    </w:rPr>
                    <w:t>8 hourly</w:t>
                  </w:r>
                </w:p>
              </w:tc>
              <w:tc>
                <w:tcPr>
                  <w:tcW w:w="1560" w:type="dxa"/>
                </w:tcPr>
                <w:p w:rsidRPr="00C71446" w:rsidR="00032F3D" w:rsidP="00131848" w:rsidRDefault="00032F3D" w14:paraId="24123C65" w14:textId="77777777">
                  <w:pPr>
                    <w:overflowPunct w:val="0"/>
                    <w:autoSpaceDE w:val="0"/>
                    <w:autoSpaceDN w:val="0"/>
                    <w:jc w:val="both"/>
                    <w:rPr>
                      <w:rFonts w:eastAsia="Calibri"/>
                      <w:bCs/>
                      <w:sz w:val="20"/>
                    </w:rPr>
                  </w:pPr>
                  <w:r>
                    <w:rPr>
                      <w:rFonts w:eastAsia="Calibri"/>
                      <w:bCs/>
                      <w:sz w:val="20"/>
                    </w:rPr>
                    <w:t>3 doses</w:t>
                  </w:r>
                </w:p>
              </w:tc>
              <w:tc>
                <w:tcPr>
                  <w:tcW w:w="1275" w:type="dxa"/>
                  <w:vAlign w:val="center"/>
                </w:tcPr>
                <w:p w:rsidRPr="00636812" w:rsidR="00032F3D" w:rsidP="00131848" w:rsidRDefault="00032F3D" w14:paraId="6AA3B6C5" w14:textId="77777777">
                  <w:pPr>
                    <w:overflowPunct w:val="0"/>
                    <w:autoSpaceDE w:val="0"/>
                    <w:autoSpaceDN w:val="0"/>
                    <w:jc w:val="both"/>
                    <w:rPr>
                      <w:rFonts w:eastAsia="Calibri"/>
                      <w:b/>
                      <w:bCs/>
                      <w:sz w:val="20"/>
                    </w:rPr>
                  </w:pPr>
                  <w:r w:rsidRPr="00636812">
                    <w:rPr>
                      <w:rFonts w:eastAsia="Calibri"/>
                      <w:b/>
                      <w:bCs/>
                      <w:sz w:val="20"/>
                    </w:rPr>
                    <w:t>7.5</w:t>
                  </w:r>
                </w:p>
              </w:tc>
            </w:tr>
            <w:tr w:rsidR="00032F3D" w:rsidTr="00587E18" w14:paraId="581E8446" w14:textId="77777777">
              <w:tc>
                <w:tcPr>
                  <w:tcW w:w="2263" w:type="dxa"/>
                  <w:vMerge w:val="restart"/>
                  <w:vAlign w:val="center"/>
                </w:tcPr>
                <w:p w:rsidR="00032F3D" w:rsidP="00131848" w:rsidRDefault="00032F3D" w14:paraId="29C15F92" w14:textId="77777777">
                  <w:pPr>
                    <w:overflowPunct w:val="0"/>
                    <w:autoSpaceDE w:val="0"/>
                    <w:autoSpaceDN w:val="0"/>
                    <w:jc w:val="center"/>
                    <w:rPr>
                      <w:rFonts w:eastAsia="Calibri"/>
                      <w:b/>
                      <w:bCs/>
                      <w:sz w:val="20"/>
                    </w:rPr>
                  </w:pPr>
                  <w:r>
                    <w:rPr>
                      <w:rFonts w:eastAsia="Calibri"/>
                      <w:b/>
                      <w:bCs/>
                      <w:sz w:val="20"/>
                    </w:rPr>
                    <w:t>Maintenance</w:t>
                  </w:r>
                  <w:r w:rsidRPr="00572A01">
                    <w:rPr>
                      <w:rFonts w:eastAsia="Calibri"/>
                      <w:b/>
                      <w:bCs/>
                      <w:sz w:val="20"/>
                      <w:vertAlign w:val="superscript"/>
                    </w:rPr>
                    <w:t>#</w:t>
                  </w:r>
                </w:p>
                <w:p w:rsidRPr="00042A64" w:rsidR="00032F3D" w:rsidP="00131848" w:rsidRDefault="00032F3D" w14:paraId="7A7C2633" w14:textId="77777777">
                  <w:pPr>
                    <w:overflowPunct w:val="0"/>
                    <w:autoSpaceDE w:val="0"/>
                    <w:autoSpaceDN w:val="0"/>
                    <w:jc w:val="center"/>
                    <w:rPr>
                      <w:rFonts w:eastAsia="Calibri"/>
                      <w:b/>
                      <w:bCs/>
                      <w:sz w:val="16"/>
                      <w:szCs w:val="16"/>
                    </w:rPr>
                  </w:pPr>
                  <w:r w:rsidRPr="00042A64">
                    <w:rPr>
                      <w:rFonts w:eastAsia="Calibri"/>
                      <w:b/>
                      <w:bCs/>
                      <w:sz w:val="16"/>
                      <w:szCs w:val="16"/>
                    </w:rPr>
                    <w:t>8 hours after last loading dose</w:t>
                  </w:r>
                </w:p>
              </w:tc>
              <w:tc>
                <w:tcPr>
                  <w:tcW w:w="851" w:type="dxa"/>
                </w:tcPr>
                <w:p w:rsidRPr="00C71446" w:rsidR="00032F3D" w:rsidP="00131848" w:rsidRDefault="00032F3D" w14:paraId="07D25B48" w14:textId="77777777">
                  <w:pPr>
                    <w:overflowPunct w:val="0"/>
                    <w:autoSpaceDE w:val="0"/>
                    <w:autoSpaceDN w:val="0"/>
                    <w:jc w:val="both"/>
                    <w:rPr>
                      <w:rFonts w:eastAsia="Calibri"/>
                      <w:bCs/>
                      <w:sz w:val="20"/>
                    </w:rPr>
                  </w:pPr>
                  <w:r w:rsidRPr="00C71446">
                    <w:rPr>
                      <w:rFonts w:eastAsia="Calibri"/>
                      <w:bCs/>
                      <w:sz w:val="20"/>
                    </w:rPr>
                    <w:t xml:space="preserve">Oral </w:t>
                  </w:r>
                </w:p>
              </w:tc>
              <w:tc>
                <w:tcPr>
                  <w:tcW w:w="1984" w:type="dxa"/>
                  <w:vAlign w:val="center"/>
                </w:tcPr>
                <w:p w:rsidRPr="00C71446" w:rsidR="00032F3D" w:rsidP="00131848" w:rsidRDefault="00032F3D" w14:paraId="2C048A3C" w14:textId="77777777">
                  <w:pPr>
                    <w:overflowPunct w:val="0"/>
                    <w:autoSpaceDE w:val="0"/>
                    <w:autoSpaceDN w:val="0"/>
                    <w:jc w:val="both"/>
                    <w:rPr>
                      <w:rFonts w:eastAsia="Calibri"/>
                      <w:bCs/>
                      <w:sz w:val="20"/>
                    </w:rPr>
                  </w:pPr>
                  <w:r w:rsidRPr="00C71446">
                    <w:rPr>
                      <w:rFonts w:eastAsia="Calibri"/>
                      <w:bCs/>
                      <w:sz w:val="20"/>
                    </w:rPr>
                    <w:t>daily</w:t>
                  </w:r>
                </w:p>
              </w:tc>
              <w:tc>
                <w:tcPr>
                  <w:tcW w:w="1560" w:type="dxa"/>
                  <w:vAlign w:val="center"/>
                </w:tcPr>
                <w:p w:rsidRPr="00C71446" w:rsidR="00032F3D" w:rsidP="00131848" w:rsidRDefault="00032F3D" w14:paraId="4537F8A9" w14:textId="77777777">
                  <w:pPr>
                    <w:overflowPunct w:val="0"/>
                    <w:autoSpaceDE w:val="0"/>
                    <w:autoSpaceDN w:val="0"/>
                    <w:jc w:val="both"/>
                    <w:rPr>
                      <w:rFonts w:eastAsia="Calibri"/>
                      <w:bCs/>
                      <w:sz w:val="20"/>
                    </w:rPr>
                  </w:pPr>
                  <w:r>
                    <w:rPr>
                      <w:rFonts w:eastAsia="Calibri"/>
                      <w:bCs/>
                      <w:sz w:val="20"/>
                    </w:rPr>
                    <w:t>daily</w:t>
                  </w:r>
                </w:p>
              </w:tc>
              <w:tc>
                <w:tcPr>
                  <w:tcW w:w="1275" w:type="dxa"/>
                  <w:vAlign w:val="center"/>
                </w:tcPr>
                <w:p w:rsidRPr="00C71446" w:rsidR="00032F3D" w:rsidP="00131848" w:rsidRDefault="00032F3D" w14:paraId="0F4B5592" w14:textId="77777777">
                  <w:pPr>
                    <w:overflowPunct w:val="0"/>
                    <w:autoSpaceDE w:val="0"/>
                    <w:autoSpaceDN w:val="0"/>
                    <w:jc w:val="both"/>
                    <w:rPr>
                      <w:rFonts w:eastAsia="Calibri"/>
                      <w:bCs/>
                      <w:sz w:val="20"/>
                    </w:rPr>
                  </w:pPr>
                  <w:r w:rsidRPr="00636812">
                    <w:rPr>
                      <w:rFonts w:eastAsia="Calibri"/>
                      <w:b/>
                      <w:bCs/>
                      <w:sz w:val="20"/>
                    </w:rPr>
                    <w:t>8</w:t>
                  </w:r>
                  <w:r w:rsidRPr="00C71446">
                    <w:rPr>
                      <w:rFonts w:eastAsia="Calibri"/>
                      <w:bCs/>
                      <w:sz w:val="20"/>
                    </w:rPr>
                    <w:t xml:space="preserve"> </w:t>
                  </w:r>
                  <w:r>
                    <w:rPr>
                      <w:rFonts w:eastAsia="Calibri"/>
                      <w:bCs/>
                      <w:sz w:val="20"/>
                    </w:rPr>
                    <w:t>(</w:t>
                  </w:r>
                  <w:r w:rsidRPr="00C71446">
                    <w:rPr>
                      <w:rFonts w:eastAsia="Calibri"/>
                      <w:bCs/>
                      <w:sz w:val="20"/>
                    </w:rPr>
                    <w:t>up to 12</w:t>
                  </w:r>
                  <w:r w:rsidRPr="00C575A7">
                    <w:rPr>
                      <w:rFonts w:eastAsia="Calibri"/>
                      <w:bCs/>
                      <w:sz w:val="20"/>
                      <w:vertAlign w:val="superscript"/>
                    </w:rPr>
                    <w:t>#</w:t>
                  </w:r>
                  <w:r>
                    <w:rPr>
                      <w:rFonts w:eastAsia="Calibri"/>
                      <w:bCs/>
                      <w:sz w:val="20"/>
                    </w:rPr>
                    <w:t>)</w:t>
                  </w:r>
                </w:p>
              </w:tc>
            </w:tr>
            <w:tr w:rsidR="00032F3D" w:rsidTr="00587E18" w14:paraId="7AD3A090" w14:textId="77777777">
              <w:tc>
                <w:tcPr>
                  <w:tcW w:w="2263" w:type="dxa"/>
                  <w:vMerge/>
                </w:tcPr>
                <w:p w:rsidR="00032F3D" w:rsidP="00131848" w:rsidRDefault="00032F3D" w14:paraId="25C56126" w14:textId="77777777">
                  <w:pPr>
                    <w:overflowPunct w:val="0"/>
                    <w:autoSpaceDE w:val="0"/>
                    <w:autoSpaceDN w:val="0"/>
                    <w:rPr>
                      <w:rFonts w:eastAsia="Calibri"/>
                      <w:b/>
                      <w:bCs/>
                      <w:sz w:val="20"/>
                    </w:rPr>
                  </w:pPr>
                </w:p>
              </w:tc>
              <w:tc>
                <w:tcPr>
                  <w:tcW w:w="851" w:type="dxa"/>
                </w:tcPr>
                <w:p w:rsidRPr="00C71446" w:rsidR="00032F3D" w:rsidP="00131848" w:rsidRDefault="00032F3D" w14:paraId="202CC1FA" w14:textId="77777777">
                  <w:pPr>
                    <w:overflowPunct w:val="0"/>
                    <w:autoSpaceDE w:val="0"/>
                    <w:autoSpaceDN w:val="0"/>
                    <w:jc w:val="both"/>
                    <w:rPr>
                      <w:rFonts w:eastAsia="Calibri"/>
                      <w:bCs/>
                      <w:sz w:val="20"/>
                    </w:rPr>
                  </w:pPr>
                  <w:r w:rsidRPr="00C71446">
                    <w:rPr>
                      <w:rFonts w:eastAsia="Calibri"/>
                      <w:bCs/>
                      <w:sz w:val="20"/>
                    </w:rPr>
                    <w:t>IV</w:t>
                  </w:r>
                  <w:r>
                    <w:rPr>
                      <w:rFonts w:eastAsia="Calibri"/>
                      <w:bCs/>
                      <w:sz w:val="20"/>
                    </w:rPr>
                    <w:t>*</w:t>
                  </w:r>
                </w:p>
              </w:tc>
              <w:tc>
                <w:tcPr>
                  <w:tcW w:w="1984" w:type="dxa"/>
                </w:tcPr>
                <w:p w:rsidRPr="00C71446" w:rsidR="00032F3D" w:rsidP="00131848" w:rsidRDefault="00032F3D" w14:paraId="701A5F1F" w14:textId="77777777">
                  <w:pPr>
                    <w:overflowPunct w:val="0"/>
                    <w:autoSpaceDE w:val="0"/>
                    <w:autoSpaceDN w:val="0"/>
                    <w:jc w:val="both"/>
                    <w:rPr>
                      <w:rFonts w:eastAsia="Calibri"/>
                      <w:bCs/>
                      <w:sz w:val="20"/>
                    </w:rPr>
                  </w:pPr>
                  <w:r>
                    <w:rPr>
                      <w:rFonts w:eastAsia="Calibri"/>
                      <w:bCs/>
                      <w:sz w:val="20"/>
                    </w:rPr>
                    <w:t>daily</w:t>
                  </w:r>
                </w:p>
              </w:tc>
              <w:tc>
                <w:tcPr>
                  <w:tcW w:w="1560" w:type="dxa"/>
                </w:tcPr>
                <w:p w:rsidRPr="00C71446" w:rsidR="00032F3D" w:rsidP="00131848" w:rsidRDefault="00032F3D" w14:paraId="3EC01728" w14:textId="77777777">
                  <w:pPr>
                    <w:overflowPunct w:val="0"/>
                    <w:autoSpaceDE w:val="0"/>
                    <w:autoSpaceDN w:val="0"/>
                    <w:jc w:val="both"/>
                    <w:rPr>
                      <w:rFonts w:eastAsia="Calibri"/>
                      <w:bCs/>
                      <w:sz w:val="20"/>
                    </w:rPr>
                  </w:pPr>
                  <w:r>
                    <w:rPr>
                      <w:rFonts w:eastAsia="Calibri"/>
                      <w:bCs/>
                      <w:sz w:val="20"/>
                    </w:rPr>
                    <w:t>daily</w:t>
                  </w:r>
                </w:p>
              </w:tc>
              <w:tc>
                <w:tcPr>
                  <w:tcW w:w="1275" w:type="dxa"/>
                  <w:vAlign w:val="center"/>
                </w:tcPr>
                <w:p w:rsidRPr="00C71446" w:rsidR="00032F3D" w:rsidP="00131848" w:rsidRDefault="00032F3D" w14:paraId="6A452CC6" w14:textId="77777777">
                  <w:pPr>
                    <w:overflowPunct w:val="0"/>
                    <w:autoSpaceDE w:val="0"/>
                    <w:autoSpaceDN w:val="0"/>
                    <w:jc w:val="both"/>
                    <w:rPr>
                      <w:rFonts w:eastAsia="Calibri"/>
                      <w:bCs/>
                      <w:sz w:val="20"/>
                    </w:rPr>
                  </w:pPr>
                  <w:r w:rsidRPr="00636812">
                    <w:rPr>
                      <w:rFonts w:eastAsia="Calibri"/>
                      <w:b/>
                      <w:bCs/>
                      <w:sz w:val="20"/>
                    </w:rPr>
                    <w:t xml:space="preserve">6 </w:t>
                  </w:r>
                  <w:r>
                    <w:rPr>
                      <w:rFonts w:eastAsia="Calibri"/>
                      <w:bCs/>
                      <w:sz w:val="20"/>
                    </w:rPr>
                    <w:t>(</w:t>
                  </w:r>
                  <w:r w:rsidRPr="00C71446">
                    <w:rPr>
                      <w:rFonts w:eastAsia="Calibri"/>
                      <w:bCs/>
                      <w:sz w:val="20"/>
                    </w:rPr>
                    <w:t>up to 9</w:t>
                  </w:r>
                  <w:r w:rsidRPr="00C575A7">
                    <w:rPr>
                      <w:rFonts w:eastAsia="Calibri"/>
                      <w:bCs/>
                      <w:sz w:val="20"/>
                      <w:vertAlign w:val="superscript"/>
                    </w:rPr>
                    <w:t>#</w:t>
                  </w:r>
                  <w:r>
                    <w:rPr>
                      <w:rFonts w:eastAsia="Calibri"/>
                      <w:bCs/>
                      <w:sz w:val="20"/>
                    </w:rPr>
                    <w:t>)</w:t>
                  </w:r>
                </w:p>
              </w:tc>
            </w:tr>
          </w:tbl>
          <w:p w:rsidR="00032F3D" w:rsidP="00131848" w:rsidRDefault="00032F3D" w14:paraId="23C39F16" w14:textId="77777777">
            <w:pPr>
              <w:overflowPunct w:val="0"/>
              <w:autoSpaceDE w:val="0"/>
              <w:autoSpaceDN w:val="0"/>
              <w:rPr>
                <w:rFonts w:eastAsia="Calibri"/>
                <w:b/>
                <w:bCs/>
                <w:sz w:val="20"/>
              </w:rPr>
            </w:pPr>
          </w:p>
          <w:tbl>
            <w:tblPr>
              <w:tblStyle w:val="TableGrid"/>
              <w:tblW w:w="8000" w:type="dxa"/>
              <w:tblLayout w:type="fixed"/>
              <w:tblLook w:val="04A0" w:firstRow="1" w:lastRow="0" w:firstColumn="1" w:lastColumn="0" w:noHBand="0" w:noVBand="1"/>
            </w:tblPr>
            <w:tblGrid>
              <w:gridCol w:w="2297"/>
              <w:gridCol w:w="850"/>
              <w:gridCol w:w="1984"/>
              <w:gridCol w:w="1452"/>
              <w:gridCol w:w="1417"/>
            </w:tblGrid>
            <w:tr w:rsidR="00032F3D" w:rsidTr="00587E18" w14:paraId="643A758D" w14:textId="77777777">
              <w:tc>
                <w:tcPr>
                  <w:tcW w:w="2297" w:type="dxa"/>
                  <w:vAlign w:val="center"/>
                </w:tcPr>
                <w:p w:rsidR="00032F3D" w:rsidP="00131848" w:rsidRDefault="00032F3D" w14:paraId="22BAE2B0" w14:textId="77777777">
                  <w:pPr>
                    <w:overflowPunct w:val="0"/>
                    <w:autoSpaceDE w:val="0"/>
                    <w:autoSpaceDN w:val="0"/>
                    <w:jc w:val="center"/>
                    <w:rPr>
                      <w:rFonts w:eastAsia="Calibri"/>
                      <w:b/>
                      <w:bCs/>
                      <w:sz w:val="20"/>
                    </w:rPr>
                  </w:pPr>
                  <w:r>
                    <w:rPr>
                      <w:rFonts w:eastAsia="Calibri"/>
                      <w:b/>
                      <w:bCs/>
                      <w:sz w:val="20"/>
                    </w:rPr>
                    <w:t>Preterm</w:t>
                  </w:r>
                </w:p>
                <w:p w:rsidR="00032F3D" w:rsidP="00131848" w:rsidRDefault="00032F3D" w14:paraId="76974FA7" w14:textId="77777777">
                  <w:pPr>
                    <w:overflowPunct w:val="0"/>
                    <w:autoSpaceDE w:val="0"/>
                    <w:autoSpaceDN w:val="0"/>
                    <w:jc w:val="center"/>
                    <w:rPr>
                      <w:rFonts w:eastAsia="Calibri"/>
                      <w:b/>
                      <w:bCs/>
                      <w:sz w:val="20"/>
                    </w:rPr>
                  </w:pPr>
                  <w:r>
                    <w:rPr>
                      <w:rFonts w:eastAsia="Calibri" w:cs="Calibri"/>
                      <w:b/>
                      <w:bCs/>
                      <w:sz w:val="20"/>
                    </w:rPr>
                    <w:t>≤</w:t>
                  </w:r>
                  <w:r>
                    <w:rPr>
                      <w:rFonts w:eastAsia="Calibri"/>
                      <w:b/>
                      <w:bCs/>
                      <w:sz w:val="20"/>
                    </w:rPr>
                    <w:t>36</w:t>
                  </w:r>
                  <w:r w:rsidRPr="008263C5">
                    <w:rPr>
                      <w:rFonts w:eastAsia="Calibri"/>
                      <w:b/>
                      <w:bCs/>
                      <w:sz w:val="20"/>
                      <w:vertAlign w:val="superscript"/>
                    </w:rPr>
                    <w:t>+6</w:t>
                  </w:r>
                  <w:r>
                    <w:rPr>
                      <w:rFonts w:eastAsia="Calibri"/>
                      <w:b/>
                      <w:bCs/>
                      <w:sz w:val="20"/>
                    </w:rPr>
                    <w:t xml:space="preserve"> weeks</w:t>
                  </w:r>
                </w:p>
              </w:tc>
              <w:tc>
                <w:tcPr>
                  <w:tcW w:w="850" w:type="dxa"/>
                  <w:vAlign w:val="center"/>
                </w:tcPr>
                <w:p w:rsidR="00032F3D" w:rsidP="00131848" w:rsidRDefault="00032F3D" w14:paraId="25D7B214" w14:textId="77777777">
                  <w:pPr>
                    <w:overflowPunct w:val="0"/>
                    <w:autoSpaceDE w:val="0"/>
                    <w:autoSpaceDN w:val="0"/>
                    <w:jc w:val="center"/>
                    <w:rPr>
                      <w:rFonts w:eastAsia="Calibri"/>
                      <w:b/>
                      <w:bCs/>
                      <w:sz w:val="20"/>
                    </w:rPr>
                  </w:pPr>
                  <w:r>
                    <w:rPr>
                      <w:rFonts w:eastAsia="Calibri"/>
                      <w:b/>
                      <w:bCs/>
                      <w:sz w:val="20"/>
                    </w:rPr>
                    <w:t>Route</w:t>
                  </w:r>
                </w:p>
              </w:tc>
              <w:tc>
                <w:tcPr>
                  <w:tcW w:w="1984" w:type="dxa"/>
                  <w:vAlign w:val="center"/>
                </w:tcPr>
                <w:p w:rsidR="00032F3D" w:rsidP="00131848" w:rsidRDefault="00032F3D" w14:paraId="5ED77F35" w14:textId="77777777">
                  <w:pPr>
                    <w:overflowPunct w:val="0"/>
                    <w:autoSpaceDE w:val="0"/>
                    <w:autoSpaceDN w:val="0"/>
                    <w:jc w:val="center"/>
                    <w:rPr>
                      <w:rFonts w:eastAsia="Calibri"/>
                      <w:b/>
                      <w:bCs/>
                      <w:sz w:val="20"/>
                    </w:rPr>
                  </w:pPr>
                  <w:r>
                    <w:rPr>
                      <w:rFonts w:eastAsia="Calibri"/>
                      <w:b/>
                      <w:bCs/>
                      <w:sz w:val="20"/>
                    </w:rPr>
                    <w:t>Frequency</w:t>
                  </w:r>
                </w:p>
              </w:tc>
              <w:tc>
                <w:tcPr>
                  <w:tcW w:w="1452" w:type="dxa"/>
                  <w:vAlign w:val="center"/>
                </w:tcPr>
                <w:p w:rsidR="00032F3D" w:rsidP="00131848" w:rsidRDefault="00032F3D" w14:paraId="0C37FB35" w14:textId="77777777">
                  <w:pPr>
                    <w:overflowPunct w:val="0"/>
                    <w:autoSpaceDE w:val="0"/>
                    <w:autoSpaceDN w:val="0"/>
                    <w:jc w:val="center"/>
                    <w:rPr>
                      <w:rFonts w:eastAsia="Calibri"/>
                      <w:b/>
                      <w:bCs/>
                      <w:sz w:val="20"/>
                    </w:rPr>
                  </w:pPr>
                  <w:r>
                    <w:rPr>
                      <w:rFonts w:eastAsia="Calibri"/>
                      <w:b/>
                      <w:bCs/>
                      <w:sz w:val="20"/>
                    </w:rPr>
                    <w:t>Number of doses</w:t>
                  </w:r>
                </w:p>
              </w:tc>
              <w:tc>
                <w:tcPr>
                  <w:tcW w:w="1417" w:type="dxa"/>
                  <w:vAlign w:val="center"/>
                </w:tcPr>
                <w:p w:rsidR="00032F3D" w:rsidP="00131848" w:rsidRDefault="00032F3D" w14:paraId="5AACE9C2" w14:textId="77777777">
                  <w:pPr>
                    <w:overflowPunct w:val="0"/>
                    <w:autoSpaceDE w:val="0"/>
                    <w:autoSpaceDN w:val="0"/>
                    <w:jc w:val="center"/>
                    <w:rPr>
                      <w:rFonts w:eastAsia="Calibri"/>
                      <w:b/>
                      <w:bCs/>
                      <w:sz w:val="20"/>
                    </w:rPr>
                  </w:pPr>
                  <w:r>
                    <w:rPr>
                      <w:rFonts w:eastAsia="Calibri"/>
                      <w:b/>
                      <w:bCs/>
                      <w:sz w:val="20"/>
                    </w:rPr>
                    <w:t>Dose</w:t>
                  </w:r>
                </w:p>
                <w:p w:rsidR="00032F3D" w:rsidP="00131848" w:rsidRDefault="00032F3D" w14:paraId="36909896" w14:textId="77777777">
                  <w:pPr>
                    <w:overflowPunct w:val="0"/>
                    <w:autoSpaceDE w:val="0"/>
                    <w:autoSpaceDN w:val="0"/>
                    <w:jc w:val="center"/>
                    <w:rPr>
                      <w:rFonts w:eastAsia="Calibri"/>
                      <w:b/>
                      <w:bCs/>
                      <w:sz w:val="20"/>
                    </w:rPr>
                  </w:pPr>
                  <w:r w:rsidRPr="003E7275">
                    <w:rPr>
                      <w:rFonts w:eastAsia="Calibri"/>
                      <w:b/>
                      <w:bCs/>
                      <w:sz w:val="16"/>
                      <w:szCs w:val="16"/>
                    </w:rPr>
                    <w:t>microgram/kg/dose</w:t>
                  </w:r>
                </w:p>
              </w:tc>
            </w:tr>
            <w:tr w:rsidR="00032F3D" w:rsidTr="00587E18" w14:paraId="03149D98" w14:textId="77777777">
              <w:tc>
                <w:tcPr>
                  <w:tcW w:w="2297" w:type="dxa"/>
                  <w:vMerge w:val="restart"/>
                  <w:vAlign w:val="center"/>
                </w:tcPr>
                <w:p w:rsidR="00032F3D" w:rsidP="00131848" w:rsidRDefault="00032F3D" w14:paraId="31BC91DE" w14:textId="77777777">
                  <w:pPr>
                    <w:overflowPunct w:val="0"/>
                    <w:autoSpaceDE w:val="0"/>
                    <w:autoSpaceDN w:val="0"/>
                    <w:jc w:val="center"/>
                    <w:rPr>
                      <w:rFonts w:eastAsia="Calibri"/>
                      <w:b/>
                      <w:bCs/>
                      <w:sz w:val="20"/>
                    </w:rPr>
                  </w:pPr>
                  <w:r>
                    <w:rPr>
                      <w:rFonts w:eastAsia="Calibri"/>
                      <w:b/>
                      <w:bCs/>
                      <w:sz w:val="20"/>
                    </w:rPr>
                    <w:t>Loading</w:t>
                  </w:r>
                </w:p>
              </w:tc>
              <w:tc>
                <w:tcPr>
                  <w:tcW w:w="850" w:type="dxa"/>
                </w:tcPr>
                <w:p w:rsidRPr="00C71446" w:rsidR="00032F3D" w:rsidP="00131848" w:rsidRDefault="00032F3D" w14:paraId="2A34BDDA" w14:textId="77777777">
                  <w:pPr>
                    <w:overflowPunct w:val="0"/>
                    <w:autoSpaceDE w:val="0"/>
                    <w:autoSpaceDN w:val="0"/>
                    <w:rPr>
                      <w:rFonts w:eastAsia="Calibri"/>
                      <w:bCs/>
                      <w:sz w:val="20"/>
                    </w:rPr>
                  </w:pPr>
                  <w:r w:rsidRPr="00C71446">
                    <w:rPr>
                      <w:rFonts w:eastAsia="Calibri"/>
                      <w:bCs/>
                      <w:sz w:val="20"/>
                    </w:rPr>
                    <w:t xml:space="preserve">Oral </w:t>
                  </w:r>
                </w:p>
              </w:tc>
              <w:tc>
                <w:tcPr>
                  <w:tcW w:w="1984" w:type="dxa"/>
                  <w:vAlign w:val="center"/>
                </w:tcPr>
                <w:p w:rsidRPr="00C71446" w:rsidR="00032F3D" w:rsidP="00131848" w:rsidRDefault="00032F3D" w14:paraId="4464239F" w14:textId="77777777">
                  <w:pPr>
                    <w:overflowPunct w:val="0"/>
                    <w:autoSpaceDE w:val="0"/>
                    <w:autoSpaceDN w:val="0"/>
                    <w:rPr>
                      <w:rFonts w:eastAsia="Calibri"/>
                      <w:bCs/>
                      <w:sz w:val="20"/>
                    </w:rPr>
                  </w:pPr>
                  <w:r w:rsidRPr="00C71446">
                    <w:rPr>
                      <w:rFonts w:eastAsia="Calibri"/>
                      <w:bCs/>
                      <w:sz w:val="20"/>
                    </w:rPr>
                    <w:t>8 hourly</w:t>
                  </w:r>
                </w:p>
              </w:tc>
              <w:tc>
                <w:tcPr>
                  <w:tcW w:w="1452" w:type="dxa"/>
                  <w:vAlign w:val="center"/>
                </w:tcPr>
                <w:p w:rsidRPr="00C71446" w:rsidR="00032F3D" w:rsidP="00131848" w:rsidRDefault="00032F3D" w14:paraId="50B752EB" w14:textId="77777777">
                  <w:pPr>
                    <w:overflowPunct w:val="0"/>
                    <w:autoSpaceDE w:val="0"/>
                    <w:autoSpaceDN w:val="0"/>
                    <w:rPr>
                      <w:rFonts w:eastAsia="Calibri"/>
                      <w:bCs/>
                      <w:sz w:val="20"/>
                    </w:rPr>
                  </w:pPr>
                  <w:r w:rsidRPr="00C71446">
                    <w:rPr>
                      <w:rFonts w:eastAsia="Calibri"/>
                      <w:bCs/>
                      <w:sz w:val="20"/>
                    </w:rPr>
                    <w:t xml:space="preserve">3 </w:t>
                  </w:r>
                  <w:r>
                    <w:rPr>
                      <w:rFonts w:eastAsia="Calibri"/>
                      <w:bCs/>
                      <w:sz w:val="20"/>
                    </w:rPr>
                    <w:t>doses</w:t>
                  </w:r>
                </w:p>
              </w:tc>
              <w:tc>
                <w:tcPr>
                  <w:tcW w:w="1417" w:type="dxa"/>
                </w:tcPr>
                <w:p w:rsidRPr="00636812" w:rsidR="00032F3D" w:rsidP="00131848" w:rsidRDefault="00032F3D" w14:paraId="23F4D824" w14:textId="77777777">
                  <w:pPr>
                    <w:overflowPunct w:val="0"/>
                    <w:autoSpaceDE w:val="0"/>
                    <w:autoSpaceDN w:val="0"/>
                    <w:rPr>
                      <w:rFonts w:eastAsia="Calibri"/>
                      <w:b/>
                      <w:bCs/>
                      <w:sz w:val="20"/>
                    </w:rPr>
                  </w:pPr>
                  <w:r w:rsidRPr="00636812">
                    <w:rPr>
                      <w:rFonts w:eastAsia="Calibri"/>
                      <w:b/>
                      <w:bCs/>
                      <w:sz w:val="20"/>
                    </w:rPr>
                    <w:t>10</w:t>
                  </w:r>
                </w:p>
              </w:tc>
            </w:tr>
            <w:tr w:rsidR="00032F3D" w:rsidTr="00587E18" w14:paraId="0CAD5ABE" w14:textId="77777777">
              <w:tc>
                <w:tcPr>
                  <w:tcW w:w="2297" w:type="dxa"/>
                  <w:vMerge/>
                  <w:vAlign w:val="center"/>
                </w:tcPr>
                <w:p w:rsidR="00032F3D" w:rsidP="00131848" w:rsidRDefault="00032F3D" w14:paraId="48EE92C1" w14:textId="77777777">
                  <w:pPr>
                    <w:overflowPunct w:val="0"/>
                    <w:autoSpaceDE w:val="0"/>
                    <w:autoSpaceDN w:val="0"/>
                    <w:jc w:val="center"/>
                    <w:rPr>
                      <w:rFonts w:eastAsia="Calibri"/>
                      <w:b/>
                      <w:bCs/>
                      <w:sz w:val="20"/>
                    </w:rPr>
                  </w:pPr>
                </w:p>
              </w:tc>
              <w:tc>
                <w:tcPr>
                  <w:tcW w:w="850" w:type="dxa"/>
                </w:tcPr>
                <w:p w:rsidRPr="00C71446" w:rsidR="00032F3D" w:rsidP="00131848" w:rsidRDefault="00032F3D" w14:paraId="0380DB59" w14:textId="77777777">
                  <w:pPr>
                    <w:overflowPunct w:val="0"/>
                    <w:autoSpaceDE w:val="0"/>
                    <w:autoSpaceDN w:val="0"/>
                    <w:rPr>
                      <w:rFonts w:eastAsia="Calibri"/>
                      <w:bCs/>
                      <w:sz w:val="20"/>
                    </w:rPr>
                  </w:pPr>
                  <w:r w:rsidRPr="00C71446">
                    <w:rPr>
                      <w:rFonts w:eastAsia="Calibri"/>
                      <w:bCs/>
                      <w:sz w:val="20"/>
                    </w:rPr>
                    <w:t>IV</w:t>
                  </w:r>
                  <w:r>
                    <w:rPr>
                      <w:rFonts w:eastAsia="Calibri"/>
                      <w:bCs/>
                      <w:sz w:val="20"/>
                    </w:rPr>
                    <w:t>*</w:t>
                  </w:r>
                </w:p>
              </w:tc>
              <w:tc>
                <w:tcPr>
                  <w:tcW w:w="1984" w:type="dxa"/>
                  <w:vAlign w:val="center"/>
                </w:tcPr>
                <w:p w:rsidRPr="00C71446" w:rsidR="00032F3D" w:rsidP="00131848" w:rsidRDefault="00032F3D" w14:paraId="016B98A9" w14:textId="77777777">
                  <w:pPr>
                    <w:overflowPunct w:val="0"/>
                    <w:autoSpaceDE w:val="0"/>
                    <w:autoSpaceDN w:val="0"/>
                    <w:rPr>
                      <w:rFonts w:eastAsia="Calibri"/>
                      <w:bCs/>
                      <w:sz w:val="20"/>
                    </w:rPr>
                  </w:pPr>
                  <w:r>
                    <w:rPr>
                      <w:rFonts w:eastAsia="Calibri"/>
                      <w:bCs/>
                      <w:sz w:val="20"/>
                    </w:rPr>
                    <w:t>8 hourly</w:t>
                  </w:r>
                </w:p>
              </w:tc>
              <w:tc>
                <w:tcPr>
                  <w:tcW w:w="1452" w:type="dxa"/>
                  <w:vAlign w:val="center"/>
                </w:tcPr>
                <w:p w:rsidRPr="00C71446" w:rsidR="00032F3D" w:rsidP="00131848" w:rsidRDefault="00032F3D" w14:paraId="17CC4F22" w14:textId="77777777">
                  <w:pPr>
                    <w:overflowPunct w:val="0"/>
                    <w:autoSpaceDE w:val="0"/>
                    <w:autoSpaceDN w:val="0"/>
                    <w:rPr>
                      <w:rFonts w:eastAsia="Calibri"/>
                      <w:bCs/>
                      <w:sz w:val="20"/>
                    </w:rPr>
                  </w:pPr>
                  <w:r>
                    <w:rPr>
                      <w:rFonts w:eastAsia="Calibri"/>
                      <w:bCs/>
                      <w:sz w:val="20"/>
                    </w:rPr>
                    <w:t>3 doses</w:t>
                  </w:r>
                </w:p>
              </w:tc>
              <w:tc>
                <w:tcPr>
                  <w:tcW w:w="1417" w:type="dxa"/>
                </w:tcPr>
                <w:p w:rsidRPr="00636812" w:rsidR="00032F3D" w:rsidP="00131848" w:rsidRDefault="00032F3D" w14:paraId="140486A0" w14:textId="77777777">
                  <w:pPr>
                    <w:overflowPunct w:val="0"/>
                    <w:autoSpaceDE w:val="0"/>
                    <w:autoSpaceDN w:val="0"/>
                    <w:rPr>
                      <w:rFonts w:eastAsia="Calibri"/>
                      <w:b/>
                      <w:bCs/>
                      <w:sz w:val="20"/>
                    </w:rPr>
                  </w:pPr>
                  <w:r w:rsidRPr="00636812">
                    <w:rPr>
                      <w:rFonts w:eastAsia="Calibri"/>
                      <w:b/>
                      <w:bCs/>
                      <w:sz w:val="20"/>
                    </w:rPr>
                    <w:t>7.5</w:t>
                  </w:r>
                </w:p>
              </w:tc>
            </w:tr>
            <w:tr w:rsidR="00032F3D" w:rsidTr="00587E18" w14:paraId="3E895E1C" w14:textId="77777777">
              <w:tc>
                <w:tcPr>
                  <w:tcW w:w="2297" w:type="dxa"/>
                  <w:vMerge w:val="restart"/>
                  <w:vAlign w:val="center"/>
                </w:tcPr>
                <w:p w:rsidR="00032F3D" w:rsidP="00131848" w:rsidRDefault="00032F3D" w14:paraId="717EE61A" w14:textId="77777777">
                  <w:pPr>
                    <w:overflowPunct w:val="0"/>
                    <w:autoSpaceDE w:val="0"/>
                    <w:autoSpaceDN w:val="0"/>
                    <w:jc w:val="center"/>
                    <w:rPr>
                      <w:rFonts w:eastAsia="Calibri"/>
                      <w:b/>
                      <w:bCs/>
                      <w:sz w:val="20"/>
                    </w:rPr>
                  </w:pPr>
                  <w:r>
                    <w:rPr>
                      <w:rFonts w:eastAsia="Calibri"/>
                      <w:b/>
                      <w:bCs/>
                      <w:sz w:val="20"/>
                    </w:rPr>
                    <w:t>Maintenance</w:t>
                  </w:r>
                  <w:r w:rsidRPr="00572A01">
                    <w:rPr>
                      <w:rFonts w:eastAsia="Calibri"/>
                      <w:b/>
                      <w:bCs/>
                      <w:sz w:val="20"/>
                      <w:vertAlign w:val="superscript"/>
                    </w:rPr>
                    <w:t>#</w:t>
                  </w:r>
                </w:p>
                <w:p w:rsidR="00032F3D" w:rsidP="00131848" w:rsidRDefault="00032F3D" w14:paraId="2C4E690C" w14:textId="77777777">
                  <w:pPr>
                    <w:overflowPunct w:val="0"/>
                    <w:autoSpaceDE w:val="0"/>
                    <w:autoSpaceDN w:val="0"/>
                    <w:jc w:val="center"/>
                    <w:rPr>
                      <w:rFonts w:eastAsia="Calibri"/>
                      <w:b/>
                      <w:bCs/>
                      <w:sz w:val="20"/>
                    </w:rPr>
                  </w:pPr>
                  <w:r w:rsidRPr="00042A64">
                    <w:rPr>
                      <w:rFonts w:eastAsia="Calibri"/>
                      <w:b/>
                      <w:bCs/>
                      <w:sz w:val="16"/>
                      <w:szCs w:val="16"/>
                    </w:rPr>
                    <w:t>8 hours after last loading dose</w:t>
                  </w:r>
                </w:p>
              </w:tc>
              <w:tc>
                <w:tcPr>
                  <w:tcW w:w="850" w:type="dxa"/>
                </w:tcPr>
                <w:p w:rsidRPr="00C71446" w:rsidR="00032F3D" w:rsidP="00131848" w:rsidRDefault="00032F3D" w14:paraId="5720BB50" w14:textId="77777777">
                  <w:pPr>
                    <w:overflowPunct w:val="0"/>
                    <w:autoSpaceDE w:val="0"/>
                    <w:autoSpaceDN w:val="0"/>
                    <w:rPr>
                      <w:rFonts w:eastAsia="Calibri"/>
                      <w:bCs/>
                      <w:sz w:val="20"/>
                    </w:rPr>
                  </w:pPr>
                  <w:r w:rsidRPr="00C71446">
                    <w:rPr>
                      <w:rFonts w:eastAsia="Calibri"/>
                      <w:bCs/>
                      <w:sz w:val="20"/>
                    </w:rPr>
                    <w:t xml:space="preserve">Oral </w:t>
                  </w:r>
                </w:p>
              </w:tc>
              <w:tc>
                <w:tcPr>
                  <w:tcW w:w="1984" w:type="dxa"/>
                  <w:vAlign w:val="center"/>
                </w:tcPr>
                <w:p w:rsidRPr="00C71446" w:rsidR="00032F3D" w:rsidP="00131848" w:rsidRDefault="00032F3D" w14:paraId="1DBED09E" w14:textId="77777777">
                  <w:pPr>
                    <w:overflowPunct w:val="0"/>
                    <w:autoSpaceDE w:val="0"/>
                    <w:autoSpaceDN w:val="0"/>
                    <w:rPr>
                      <w:rFonts w:eastAsia="Calibri"/>
                      <w:bCs/>
                      <w:sz w:val="20"/>
                    </w:rPr>
                  </w:pPr>
                  <w:r w:rsidRPr="00C71446">
                    <w:rPr>
                      <w:rFonts w:eastAsia="Calibri"/>
                      <w:bCs/>
                      <w:sz w:val="20"/>
                    </w:rPr>
                    <w:t>daily</w:t>
                  </w:r>
                </w:p>
              </w:tc>
              <w:tc>
                <w:tcPr>
                  <w:tcW w:w="1452" w:type="dxa"/>
                  <w:vAlign w:val="center"/>
                </w:tcPr>
                <w:p w:rsidRPr="00C71446" w:rsidR="00032F3D" w:rsidP="00131848" w:rsidRDefault="00032F3D" w14:paraId="3C560E19" w14:textId="77777777">
                  <w:pPr>
                    <w:overflowPunct w:val="0"/>
                    <w:autoSpaceDE w:val="0"/>
                    <w:autoSpaceDN w:val="0"/>
                    <w:rPr>
                      <w:rFonts w:eastAsia="Calibri"/>
                      <w:bCs/>
                      <w:sz w:val="20"/>
                    </w:rPr>
                  </w:pPr>
                  <w:r>
                    <w:rPr>
                      <w:rFonts w:eastAsia="Calibri"/>
                      <w:bCs/>
                      <w:sz w:val="20"/>
                    </w:rPr>
                    <w:t>daily</w:t>
                  </w:r>
                </w:p>
              </w:tc>
              <w:tc>
                <w:tcPr>
                  <w:tcW w:w="1417" w:type="dxa"/>
                </w:tcPr>
                <w:p w:rsidRPr="00C71446" w:rsidR="00032F3D" w:rsidP="00131848" w:rsidRDefault="00032F3D" w14:paraId="4C67A09C" w14:textId="77777777">
                  <w:pPr>
                    <w:overflowPunct w:val="0"/>
                    <w:autoSpaceDE w:val="0"/>
                    <w:autoSpaceDN w:val="0"/>
                    <w:rPr>
                      <w:rFonts w:eastAsia="Calibri"/>
                      <w:bCs/>
                      <w:sz w:val="20"/>
                    </w:rPr>
                  </w:pPr>
                  <w:r w:rsidRPr="00636812">
                    <w:rPr>
                      <w:rFonts w:eastAsia="Calibri"/>
                      <w:b/>
                      <w:bCs/>
                      <w:sz w:val="20"/>
                    </w:rPr>
                    <w:t>5-7.5</w:t>
                  </w:r>
                  <w:r w:rsidRPr="00C71446">
                    <w:rPr>
                      <w:rFonts w:eastAsia="Calibri"/>
                      <w:bCs/>
                      <w:sz w:val="20"/>
                    </w:rPr>
                    <w:t xml:space="preserve"> </w:t>
                  </w:r>
                  <w:r>
                    <w:rPr>
                      <w:rFonts w:eastAsia="Calibri"/>
                      <w:bCs/>
                      <w:sz w:val="20"/>
                    </w:rPr>
                    <w:t>(</w:t>
                  </w:r>
                  <w:r w:rsidRPr="00C71446">
                    <w:rPr>
                      <w:rFonts w:eastAsia="Calibri"/>
                      <w:bCs/>
                      <w:sz w:val="20"/>
                    </w:rPr>
                    <w:t>up to 12</w:t>
                  </w:r>
                  <w:r w:rsidRPr="00C575A7">
                    <w:rPr>
                      <w:rFonts w:eastAsia="Calibri"/>
                      <w:bCs/>
                      <w:sz w:val="20"/>
                      <w:vertAlign w:val="superscript"/>
                    </w:rPr>
                    <w:t>#</w:t>
                  </w:r>
                  <w:r>
                    <w:rPr>
                      <w:rFonts w:eastAsia="Calibri"/>
                      <w:bCs/>
                      <w:sz w:val="20"/>
                    </w:rPr>
                    <w:t>)</w:t>
                  </w:r>
                </w:p>
              </w:tc>
            </w:tr>
            <w:tr w:rsidR="00032F3D" w:rsidTr="00587E18" w14:paraId="5EBA5673" w14:textId="77777777">
              <w:tc>
                <w:tcPr>
                  <w:tcW w:w="2297" w:type="dxa"/>
                  <w:vMerge/>
                </w:tcPr>
                <w:p w:rsidR="00032F3D" w:rsidP="00131848" w:rsidRDefault="00032F3D" w14:paraId="36EC1F0E" w14:textId="77777777">
                  <w:pPr>
                    <w:overflowPunct w:val="0"/>
                    <w:autoSpaceDE w:val="0"/>
                    <w:autoSpaceDN w:val="0"/>
                    <w:rPr>
                      <w:rFonts w:eastAsia="Calibri"/>
                      <w:b/>
                      <w:bCs/>
                      <w:sz w:val="20"/>
                    </w:rPr>
                  </w:pPr>
                </w:p>
              </w:tc>
              <w:tc>
                <w:tcPr>
                  <w:tcW w:w="850" w:type="dxa"/>
                </w:tcPr>
                <w:p w:rsidRPr="00C71446" w:rsidR="00032F3D" w:rsidP="00131848" w:rsidRDefault="00032F3D" w14:paraId="1B702F7C" w14:textId="77777777">
                  <w:pPr>
                    <w:overflowPunct w:val="0"/>
                    <w:autoSpaceDE w:val="0"/>
                    <w:autoSpaceDN w:val="0"/>
                    <w:rPr>
                      <w:rFonts w:eastAsia="Calibri"/>
                      <w:bCs/>
                      <w:sz w:val="20"/>
                    </w:rPr>
                  </w:pPr>
                  <w:r w:rsidRPr="00C71446">
                    <w:rPr>
                      <w:rFonts w:eastAsia="Calibri"/>
                      <w:bCs/>
                      <w:sz w:val="20"/>
                    </w:rPr>
                    <w:t>IV</w:t>
                  </w:r>
                  <w:r>
                    <w:rPr>
                      <w:rFonts w:eastAsia="Calibri"/>
                      <w:bCs/>
                      <w:sz w:val="20"/>
                    </w:rPr>
                    <w:t>*</w:t>
                  </w:r>
                </w:p>
              </w:tc>
              <w:tc>
                <w:tcPr>
                  <w:tcW w:w="1984" w:type="dxa"/>
                </w:tcPr>
                <w:p w:rsidRPr="00C71446" w:rsidR="00032F3D" w:rsidP="00131848" w:rsidRDefault="00032F3D" w14:paraId="39DA61E4" w14:textId="77777777">
                  <w:pPr>
                    <w:overflowPunct w:val="0"/>
                    <w:autoSpaceDE w:val="0"/>
                    <w:autoSpaceDN w:val="0"/>
                    <w:rPr>
                      <w:rFonts w:eastAsia="Calibri"/>
                      <w:bCs/>
                      <w:sz w:val="20"/>
                    </w:rPr>
                  </w:pPr>
                  <w:r>
                    <w:rPr>
                      <w:rFonts w:eastAsia="Calibri"/>
                      <w:bCs/>
                      <w:sz w:val="20"/>
                    </w:rPr>
                    <w:t>daily</w:t>
                  </w:r>
                </w:p>
              </w:tc>
              <w:tc>
                <w:tcPr>
                  <w:tcW w:w="1452" w:type="dxa"/>
                </w:tcPr>
                <w:p w:rsidRPr="00C71446" w:rsidR="00032F3D" w:rsidP="00131848" w:rsidRDefault="00032F3D" w14:paraId="09EA4A5D" w14:textId="77777777">
                  <w:pPr>
                    <w:overflowPunct w:val="0"/>
                    <w:autoSpaceDE w:val="0"/>
                    <w:autoSpaceDN w:val="0"/>
                    <w:rPr>
                      <w:rFonts w:eastAsia="Calibri"/>
                      <w:bCs/>
                      <w:sz w:val="20"/>
                    </w:rPr>
                  </w:pPr>
                  <w:r>
                    <w:rPr>
                      <w:rFonts w:eastAsia="Calibri"/>
                      <w:bCs/>
                      <w:sz w:val="20"/>
                    </w:rPr>
                    <w:t>daily</w:t>
                  </w:r>
                </w:p>
              </w:tc>
              <w:tc>
                <w:tcPr>
                  <w:tcW w:w="1417" w:type="dxa"/>
                </w:tcPr>
                <w:p w:rsidRPr="00C71446" w:rsidR="00032F3D" w:rsidP="00131848" w:rsidRDefault="00032F3D" w14:paraId="7C337FCA" w14:textId="77777777">
                  <w:pPr>
                    <w:overflowPunct w:val="0"/>
                    <w:autoSpaceDE w:val="0"/>
                    <w:autoSpaceDN w:val="0"/>
                    <w:rPr>
                      <w:rFonts w:eastAsia="Calibri"/>
                      <w:bCs/>
                      <w:sz w:val="20"/>
                    </w:rPr>
                  </w:pPr>
                  <w:r w:rsidRPr="00636812">
                    <w:rPr>
                      <w:rFonts w:eastAsia="Calibri"/>
                      <w:b/>
                      <w:bCs/>
                      <w:sz w:val="20"/>
                    </w:rPr>
                    <w:t>3.8-5.6</w:t>
                  </w:r>
                  <w:r w:rsidRPr="00C71446">
                    <w:rPr>
                      <w:rFonts w:eastAsia="Calibri"/>
                      <w:bCs/>
                      <w:sz w:val="20"/>
                    </w:rPr>
                    <w:t xml:space="preserve"> </w:t>
                  </w:r>
                  <w:r>
                    <w:rPr>
                      <w:rFonts w:eastAsia="Calibri"/>
                      <w:bCs/>
                      <w:sz w:val="20"/>
                    </w:rPr>
                    <w:t>(</w:t>
                  </w:r>
                  <w:r w:rsidRPr="00C71446">
                    <w:rPr>
                      <w:rFonts w:eastAsia="Calibri"/>
                      <w:bCs/>
                      <w:sz w:val="20"/>
                    </w:rPr>
                    <w:t>up to 9</w:t>
                  </w:r>
                  <w:r w:rsidRPr="00C575A7">
                    <w:rPr>
                      <w:rFonts w:eastAsia="Calibri"/>
                      <w:bCs/>
                      <w:sz w:val="20"/>
                      <w:vertAlign w:val="superscript"/>
                    </w:rPr>
                    <w:t>#</w:t>
                  </w:r>
                  <w:r>
                    <w:rPr>
                      <w:rFonts w:eastAsia="Calibri"/>
                      <w:bCs/>
                      <w:sz w:val="20"/>
                    </w:rPr>
                    <w:t>)</w:t>
                  </w:r>
                </w:p>
              </w:tc>
            </w:tr>
          </w:tbl>
          <w:p w:rsidR="00032F3D" w:rsidP="00131848" w:rsidRDefault="00032F3D" w14:paraId="2D93738A" w14:textId="77777777">
            <w:pPr>
              <w:overflowPunct w:val="0"/>
              <w:autoSpaceDE w:val="0"/>
              <w:autoSpaceDN w:val="0"/>
              <w:rPr>
                <w:rFonts w:eastAsia="Calibri"/>
                <w:b/>
                <w:bCs/>
                <w:sz w:val="20"/>
              </w:rPr>
            </w:pPr>
          </w:p>
          <w:tbl>
            <w:tblPr>
              <w:tblStyle w:val="TableGrid"/>
              <w:tblW w:w="8000" w:type="dxa"/>
              <w:tblLayout w:type="fixed"/>
              <w:tblLook w:val="04A0" w:firstRow="1" w:lastRow="0" w:firstColumn="1" w:lastColumn="0" w:noHBand="0" w:noVBand="1"/>
            </w:tblPr>
            <w:tblGrid>
              <w:gridCol w:w="2297"/>
              <w:gridCol w:w="850"/>
              <w:gridCol w:w="1984"/>
              <w:gridCol w:w="1452"/>
              <w:gridCol w:w="1417"/>
            </w:tblGrid>
            <w:tr w:rsidR="00032F3D" w:rsidTr="00587E18" w14:paraId="24C410D1" w14:textId="77777777">
              <w:tc>
                <w:tcPr>
                  <w:tcW w:w="2297" w:type="dxa"/>
                  <w:vAlign w:val="center"/>
                </w:tcPr>
                <w:p w:rsidR="00032F3D" w:rsidP="00131848" w:rsidRDefault="00032F3D" w14:paraId="0CC42EFB" w14:textId="77777777">
                  <w:pPr>
                    <w:overflowPunct w:val="0"/>
                    <w:autoSpaceDE w:val="0"/>
                    <w:autoSpaceDN w:val="0"/>
                    <w:jc w:val="center"/>
                    <w:rPr>
                      <w:rFonts w:eastAsia="Calibri"/>
                      <w:b/>
                      <w:bCs/>
                      <w:sz w:val="20"/>
                    </w:rPr>
                  </w:pPr>
                  <w:r>
                    <w:rPr>
                      <w:rFonts w:eastAsia="Calibri"/>
                      <w:b/>
                      <w:bCs/>
                      <w:sz w:val="20"/>
                    </w:rPr>
                    <w:lastRenderedPageBreak/>
                    <w:t>Infants</w:t>
                  </w:r>
                </w:p>
                <w:p w:rsidR="00032F3D" w:rsidP="00131848" w:rsidRDefault="00032F3D" w14:paraId="5D4B0F59" w14:textId="77777777">
                  <w:pPr>
                    <w:overflowPunct w:val="0"/>
                    <w:autoSpaceDE w:val="0"/>
                    <w:autoSpaceDN w:val="0"/>
                    <w:jc w:val="center"/>
                    <w:rPr>
                      <w:rFonts w:eastAsia="Calibri"/>
                      <w:b/>
                      <w:bCs/>
                      <w:sz w:val="20"/>
                    </w:rPr>
                  </w:pPr>
                  <w:r>
                    <w:rPr>
                      <w:rFonts w:eastAsia="Calibri"/>
                      <w:b/>
                      <w:bCs/>
                      <w:sz w:val="20"/>
                    </w:rPr>
                    <w:t>2-24 months</w:t>
                  </w:r>
                </w:p>
              </w:tc>
              <w:tc>
                <w:tcPr>
                  <w:tcW w:w="850" w:type="dxa"/>
                  <w:vAlign w:val="center"/>
                </w:tcPr>
                <w:p w:rsidR="00032F3D" w:rsidP="00131848" w:rsidRDefault="00032F3D" w14:paraId="2398C411" w14:textId="77777777">
                  <w:pPr>
                    <w:overflowPunct w:val="0"/>
                    <w:autoSpaceDE w:val="0"/>
                    <w:autoSpaceDN w:val="0"/>
                    <w:jc w:val="center"/>
                    <w:rPr>
                      <w:rFonts w:eastAsia="Calibri"/>
                      <w:b/>
                      <w:bCs/>
                      <w:sz w:val="20"/>
                    </w:rPr>
                  </w:pPr>
                  <w:r>
                    <w:rPr>
                      <w:rFonts w:eastAsia="Calibri"/>
                      <w:b/>
                      <w:bCs/>
                      <w:sz w:val="20"/>
                    </w:rPr>
                    <w:t>Route</w:t>
                  </w:r>
                </w:p>
              </w:tc>
              <w:tc>
                <w:tcPr>
                  <w:tcW w:w="1984" w:type="dxa"/>
                  <w:vAlign w:val="center"/>
                </w:tcPr>
                <w:p w:rsidR="00032F3D" w:rsidP="00131848" w:rsidRDefault="00032F3D" w14:paraId="36A687E2" w14:textId="77777777">
                  <w:pPr>
                    <w:overflowPunct w:val="0"/>
                    <w:autoSpaceDE w:val="0"/>
                    <w:autoSpaceDN w:val="0"/>
                    <w:jc w:val="center"/>
                    <w:rPr>
                      <w:rFonts w:eastAsia="Calibri"/>
                      <w:b/>
                      <w:bCs/>
                      <w:sz w:val="20"/>
                    </w:rPr>
                  </w:pPr>
                  <w:r>
                    <w:rPr>
                      <w:rFonts w:eastAsia="Calibri"/>
                      <w:b/>
                      <w:bCs/>
                      <w:sz w:val="20"/>
                    </w:rPr>
                    <w:t>Frequency</w:t>
                  </w:r>
                </w:p>
              </w:tc>
              <w:tc>
                <w:tcPr>
                  <w:tcW w:w="1452" w:type="dxa"/>
                  <w:vAlign w:val="center"/>
                </w:tcPr>
                <w:p w:rsidR="00032F3D" w:rsidP="00131848" w:rsidRDefault="00032F3D" w14:paraId="2DB7BC6C" w14:textId="77777777">
                  <w:pPr>
                    <w:overflowPunct w:val="0"/>
                    <w:autoSpaceDE w:val="0"/>
                    <w:autoSpaceDN w:val="0"/>
                    <w:jc w:val="center"/>
                    <w:rPr>
                      <w:rFonts w:eastAsia="Calibri"/>
                      <w:b/>
                      <w:bCs/>
                      <w:sz w:val="20"/>
                    </w:rPr>
                  </w:pPr>
                  <w:r>
                    <w:rPr>
                      <w:rFonts w:eastAsia="Calibri"/>
                      <w:b/>
                      <w:bCs/>
                      <w:sz w:val="20"/>
                    </w:rPr>
                    <w:t>Number of doses</w:t>
                  </w:r>
                </w:p>
              </w:tc>
              <w:tc>
                <w:tcPr>
                  <w:tcW w:w="1417" w:type="dxa"/>
                  <w:vAlign w:val="center"/>
                </w:tcPr>
                <w:p w:rsidR="00032F3D" w:rsidP="00131848" w:rsidRDefault="00032F3D" w14:paraId="7CC45478" w14:textId="77777777">
                  <w:pPr>
                    <w:overflowPunct w:val="0"/>
                    <w:autoSpaceDE w:val="0"/>
                    <w:autoSpaceDN w:val="0"/>
                    <w:jc w:val="center"/>
                    <w:rPr>
                      <w:rFonts w:eastAsia="Calibri"/>
                      <w:b/>
                      <w:bCs/>
                      <w:sz w:val="20"/>
                    </w:rPr>
                  </w:pPr>
                  <w:r>
                    <w:rPr>
                      <w:rFonts w:eastAsia="Calibri"/>
                      <w:b/>
                      <w:bCs/>
                      <w:sz w:val="20"/>
                    </w:rPr>
                    <w:t>Dose</w:t>
                  </w:r>
                </w:p>
                <w:p w:rsidR="00032F3D" w:rsidP="00131848" w:rsidRDefault="00032F3D" w14:paraId="12E98C9D" w14:textId="77777777">
                  <w:pPr>
                    <w:overflowPunct w:val="0"/>
                    <w:autoSpaceDE w:val="0"/>
                    <w:autoSpaceDN w:val="0"/>
                    <w:jc w:val="center"/>
                    <w:rPr>
                      <w:rFonts w:eastAsia="Calibri"/>
                      <w:b/>
                      <w:bCs/>
                      <w:sz w:val="20"/>
                    </w:rPr>
                  </w:pPr>
                  <w:r w:rsidRPr="003E7275">
                    <w:rPr>
                      <w:rFonts w:eastAsia="Calibri"/>
                      <w:b/>
                      <w:bCs/>
                      <w:sz w:val="16"/>
                      <w:szCs w:val="16"/>
                    </w:rPr>
                    <w:t>microgram/kg/dose</w:t>
                  </w:r>
                </w:p>
              </w:tc>
            </w:tr>
            <w:tr w:rsidR="00032F3D" w:rsidTr="00587E18" w14:paraId="212C7F3F" w14:textId="77777777">
              <w:tc>
                <w:tcPr>
                  <w:tcW w:w="2297" w:type="dxa"/>
                  <w:vMerge w:val="restart"/>
                  <w:vAlign w:val="center"/>
                </w:tcPr>
                <w:p w:rsidR="00032F3D" w:rsidP="00131848" w:rsidRDefault="00032F3D" w14:paraId="10C5FB18" w14:textId="77777777">
                  <w:pPr>
                    <w:overflowPunct w:val="0"/>
                    <w:autoSpaceDE w:val="0"/>
                    <w:autoSpaceDN w:val="0"/>
                    <w:jc w:val="center"/>
                    <w:rPr>
                      <w:rFonts w:eastAsia="Calibri"/>
                      <w:b/>
                      <w:bCs/>
                      <w:sz w:val="20"/>
                    </w:rPr>
                  </w:pPr>
                  <w:r>
                    <w:rPr>
                      <w:rFonts w:eastAsia="Calibri"/>
                      <w:b/>
                      <w:bCs/>
                      <w:sz w:val="20"/>
                    </w:rPr>
                    <w:t>Loading</w:t>
                  </w:r>
                </w:p>
              </w:tc>
              <w:tc>
                <w:tcPr>
                  <w:tcW w:w="850" w:type="dxa"/>
                </w:tcPr>
                <w:p w:rsidRPr="00F3441F" w:rsidR="00032F3D" w:rsidP="00131848" w:rsidRDefault="00032F3D" w14:paraId="163E810B" w14:textId="77777777">
                  <w:pPr>
                    <w:overflowPunct w:val="0"/>
                    <w:autoSpaceDE w:val="0"/>
                    <w:autoSpaceDN w:val="0"/>
                    <w:rPr>
                      <w:rFonts w:eastAsia="Calibri"/>
                      <w:bCs/>
                      <w:sz w:val="20"/>
                    </w:rPr>
                  </w:pPr>
                  <w:r w:rsidRPr="00F3441F">
                    <w:rPr>
                      <w:rFonts w:eastAsia="Calibri"/>
                      <w:bCs/>
                      <w:sz w:val="20"/>
                    </w:rPr>
                    <w:t xml:space="preserve">Oral </w:t>
                  </w:r>
                </w:p>
              </w:tc>
              <w:tc>
                <w:tcPr>
                  <w:tcW w:w="1984" w:type="dxa"/>
                  <w:vAlign w:val="center"/>
                </w:tcPr>
                <w:p w:rsidRPr="00F3441F" w:rsidR="00032F3D" w:rsidP="00131848" w:rsidRDefault="00032F3D" w14:paraId="76E934BF" w14:textId="77777777">
                  <w:pPr>
                    <w:overflowPunct w:val="0"/>
                    <w:autoSpaceDE w:val="0"/>
                    <w:autoSpaceDN w:val="0"/>
                    <w:rPr>
                      <w:rFonts w:eastAsia="Calibri"/>
                      <w:bCs/>
                      <w:sz w:val="20"/>
                    </w:rPr>
                  </w:pPr>
                  <w:r w:rsidRPr="00F3441F">
                    <w:rPr>
                      <w:rFonts w:eastAsia="Calibri"/>
                      <w:bCs/>
                      <w:sz w:val="20"/>
                    </w:rPr>
                    <w:t>8 hourly</w:t>
                  </w:r>
                </w:p>
              </w:tc>
              <w:tc>
                <w:tcPr>
                  <w:tcW w:w="1452" w:type="dxa"/>
                  <w:vAlign w:val="center"/>
                </w:tcPr>
                <w:p w:rsidRPr="00F3441F" w:rsidR="00032F3D" w:rsidP="00131848" w:rsidRDefault="00032F3D" w14:paraId="6B99749A" w14:textId="77777777">
                  <w:pPr>
                    <w:overflowPunct w:val="0"/>
                    <w:autoSpaceDE w:val="0"/>
                    <w:autoSpaceDN w:val="0"/>
                    <w:rPr>
                      <w:rFonts w:eastAsia="Calibri"/>
                      <w:bCs/>
                      <w:sz w:val="20"/>
                    </w:rPr>
                  </w:pPr>
                  <w:r w:rsidRPr="00F3441F">
                    <w:rPr>
                      <w:rFonts w:eastAsia="Calibri"/>
                      <w:bCs/>
                      <w:sz w:val="20"/>
                    </w:rPr>
                    <w:t xml:space="preserve">2-3 </w:t>
                  </w:r>
                  <w:r>
                    <w:rPr>
                      <w:rFonts w:eastAsia="Calibri"/>
                      <w:bCs/>
                      <w:sz w:val="20"/>
                    </w:rPr>
                    <w:t>doses</w:t>
                  </w:r>
                </w:p>
              </w:tc>
              <w:tc>
                <w:tcPr>
                  <w:tcW w:w="1417" w:type="dxa"/>
                </w:tcPr>
                <w:p w:rsidRPr="00F3441F" w:rsidR="00032F3D" w:rsidP="00131848" w:rsidRDefault="00032F3D" w14:paraId="791B2377" w14:textId="77777777">
                  <w:pPr>
                    <w:overflowPunct w:val="0"/>
                    <w:autoSpaceDE w:val="0"/>
                    <w:autoSpaceDN w:val="0"/>
                    <w:rPr>
                      <w:rFonts w:eastAsia="Calibri"/>
                      <w:b/>
                      <w:bCs/>
                      <w:sz w:val="20"/>
                    </w:rPr>
                  </w:pPr>
                  <w:r w:rsidRPr="00F3441F">
                    <w:rPr>
                      <w:rFonts w:eastAsia="Calibri"/>
                      <w:b/>
                      <w:bCs/>
                      <w:sz w:val="20"/>
                    </w:rPr>
                    <w:t>10</w:t>
                  </w:r>
                </w:p>
              </w:tc>
            </w:tr>
            <w:tr w:rsidR="00032F3D" w:rsidTr="00587E18" w14:paraId="2F1416CF" w14:textId="77777777">
              <w:tc>
                <w:tcPr>
                  <w:tcW w:w="2297" w:type="dxa"/>
                  <w:vMerge/>
                  <w:vAlign w:val="center"/>
                </w:tcPr>
                <w:p w:rsidR="00032F3D" w:rsidP="00131848" w:rsidRDefault="00032F3D" w14:paraId="431A66D5" w14:textId="77777777">
                  <w:pPr>
                    <w:overflowPunct w:val="0"/>
                    <w:autoSpaceDE w:val="0"/>
                    <w:autoSpaceDN w:val="0"/>
                    <w:jc w:val="center"/>
                    <w:rPr>
                      <w:rFonts w:eastAsia="Calibri"/>
                      <w:b/>
                      <w:bCs/>
                      <w:sz w:val="20"/>
                    </w:rPr>
                  </w:pPr>
                </w:p>
              </w:tc>
              <w:tc>
                <w:tcPr>
                  <w:tcW w:w="850" w:type="dxa"/>
                </w:tcPr>
                <w:p w:rsidRPr="00F3441F" w:rsidR="00032F3D" w:rsidP="00131848" w:rsidRDefault="00032F3D" w14:paraId="66E7D623" w14:textId="77777777">
                  <w:pPr>
                    <w:overflowPunct w:val="0"/>
                    <w:autoSpaceDE w:val="0"/>
                    <w:autoSpaceDN w:val="0"/>
                    <w:rPr>
                      <w:rFonts w:eastAsia="Calibri"/>
                      <w:bCs/>
                      <w:sz w:val="20"/>
                    </w:rPr>
                  </w:pPr>
                  <w:r w:rsidRPr="00F3441F">
                    <w:rPr>
                      <w:rFonts w:eastAsia="Calibri"/>
                      <w:bCs/>
                      <w:sz w:val="20"/>
                    </w:rPr>
                    <w:t>IV</w:t>
                  </w:r>
                  <w:r>
                    <w:rPr>
                      <w:rFonts w:eastAsia="Calibri"/>
                      <w:bCs/>
                      <w:sz w:val="20"/>
                    </w:rPr>
                    <w:t>*</w:t>
                  </w:r>
                </w:p>
              </w:tc>
              <w:tc>
                <w:tcPr>
                  <w:tcW w:w="1984" w:type="dxa"/>
                  <w:vAlign w:val="center"/>
                </w:tcPr>
                <w:p w:rsidRPr="00F3441F" w:rsidR="00032F3D" w:rsidP="00131848" w:rsidRDefault="00032F3D" w14:paraId="670EF7F8" w14:textId="77777777">
                  <w:pPr>
                    <w:overflowPunct w:val="0"/>
                    <w:autoSpaceDE w:val="0"/>
                    <w:autoSpaceDN w:val="0"/>
                    <w:rPr>
                      <w:rFonts w:eastAsia="Calibri"/>
                      <w:bCs/>
                      <w:sz w:val="20"/>
                    </w:rPr>
                  </w:pPr>
                  <w:r w:rsidRPr="00F3441F">
                    <w:rPr>
                      <w:rFonts w:eastAsia="Calibri"/>
                      <w:bCs/>
                      <w:sz w:val="20"/>
                    </w:rPr>
                    <w:t>8 hourly</w:t>
                  </w:r>
                </w:p>
              </w:tc>
              <w:tc>
                <w:tcPr>
                  <w:tcW w:w="1452" w:type="dxa"/>
                  <w:vAlign w:val="center"/>
                </w:tcPr>
                <w:p w:rsidRPr="00F3441F" w:rsidR="00032F3D" w:rsidP="00131848" w:rsidRDefault="00032F3D" w14:paraId="444BDD94" w14:textId="77777777">
                  <w:pPr>
                    <w:overflowPunct w:val="0"/>
                    <w:autoSpaceDE w:val="0"/>
                    <w:autoSpaceDN w:val="0"/>
                    <w:rPr>
                      <w:rFonts w:eastAsia="Calibri"/>
                      <w:bCs/>
                      <w:sz w:val="20"/>
                    </w:rPr>
                  </w:pPr>
                  <w:r w:rsidRPr="00F3441F">
                    <w:rPr>
                      <w:rFonts w:eastAsia="Calibri"/>
                      <w:bCs/>
                      <w:sz w:val="20"/>
                    </w:rPr>
                    <w:t xml:space="preserve">2-3 </w:t>
                  </w:r>
                  <w:r>
                    <w:rPr>
                      <w:rFonts w:eastAsia="Calibri"/>
                      <w:bCs/>
                      <w:sz w:val="20"/>
                    </w:rPr>
                    <w:t>doses</w:t>
                  </w:r>
                </w:p>
              </w:tc>
              <w:tc>
                <w:tcPr>
                  <w:tcW w:w="1417" w:type="dxa"/>
                </w:tcPr>
                <w:p w:rsidRPr="00F3441F" w:rsidR="00032F3D" w:rsidP="00131848" w:rsidRDefault="00032F3D" w14:paraId="2D80539A" w14:textId="77777777">
                  <w:pPr>
                    <w:overflowPunct w:val="0"/>
                    <w:autoSpaceDE w:val="0"/>
                    <w:autoSpaceDN w:val="0"/>
                    <w:rPr>
                      <w:rFonts w:eastAsia="Calibri"/>
                      <w:b/>
                      <w:bCs/>
                      <w:sz w:val="20"/>
                    </w:rPr>
                  </w:pPr>
                  <w:r w:rsidRPr="00F3441F">
                    <w:rPr>
                      <w:rFonts w:eastAsia="Calibri"/>
                      <w:b/>
                      <w:bCs/>
                      <w:sz w:val="20"/>
                    </w:rPr>
                    <w:t>7.5</w:t>
                  </w:r>
                </w:p>
              </w:tc>
            </w:tr>
            <w:tr w:rsidR="00032F3D" w:rsidTr="00587E18" w14:paraId="692725D1" w14:textId="77777777">
              <w:tc>
                <w:tcPr>
                  <w:tcW w:w="2297" w:type="dxa"/>
                  <w:vMerge w:val="restart"/>
                  <w:vAlign w:val="center"/>
                </w:tcPr>
                <w:p w:rsidR="00032F3D" w:rsidP="00131848" w:rsidRDefault="00032F3D" w14:paraId="30BBD133" w14:textId="77777777">
                  <w:pPr>
                    <w:overflowPunct w:val="0"/>
                    <w:autoSpaceDE w:val="0"/>
                    <w:autoSpaceDN w:val="0"/>
                    <w:jc w:val="center"/>
                    <w:rPr>
                      <w:rFonts w:eastAsia="Calibri"/>
                      <w:b/>
                      <w:bCs/>
                      <w:sz w:val="20"/>
                    </w:rPr>
                  </w:pPr>
                  <w:r>
                    <w:rPr>
                      <w:rFonts w:eastAsia="Calibri"/>
                      <w:b/>
                      <w:bCs/>
                      <w:sz w:val="20"/>
                    </w:rPr>
                    <w:t>Maintenance</w:t>
                  </w:r>
                  <w:r w:rsidRPr="00572A01">
                    <w:rPr>
                      <w:rFonts w:eastAsia="Calibri"/>
                      <w:b/>
                      <w:bCs/>
                      <w:sz w:val="20"/>
                      <w:vertAlign w:val="superscript"/>
                    </w:rPr>
                    <w:t>#</w:t>
                  </w:r>
                </w:p>
                <w:p w:rsidR="00032F3D" w:rsidP="00131848" w:rsidRDefault="00032F3D" w14:paraId="30556EBD" w14:textId="77777777">
                  <w:pPr>
                    <w:overflowPunct w:val="0"/>
                    <w:autoSpaceDE w:val="0"/>
                    <w:autoSpaceDN w:val="0"/>
                    <w:jc w:val="center"/>
                    <w:rPr>
                      <w:rFonts w:eastAsia="Calibri"/>
                      <w:b/>
                      <w:bCs/>
                      <w:sz w:val="20"/>
                    </w:rPr>
                  </w:pPr>
                  <w:r w:rsidRPr="00042A64">
                    <w:rPr>
                      <w:rFonts w:eastAsia="Calibri"/>
                      <w:b/>
                      <w:bCs/>
                      <w:sz w:val="16"/>
                      <w:szCs w:val="16"/>
                    </w:rPr>
                    <w:t>8 hours after last loading dose</w:t>
                  </w:r>
                </w:p>
              </w:tc>
              <w:tc>
                <w:tcPr>
                  <w:tcW w:w="850" w:type="dxa"/>
                </w:tcPr>
                <w:p w:rsidRPr="00F3441F" w:rsidR="00032F3D" w:rsidP="00131848" w:rsidRDefault="00032F3D" w14:paraId="58862100" w14:textId="77777777">
                  <w:pPr>
                    <w:overflowPunct w:val="0"/>
                    <w:autoSpaceDE w:val="0"/>
                    <w:autoSpaceDN w:val="0"/>
                    <w:rPr>
                      <w:rFonts w:eastAsia="Calibri"/>
                      <w:bCs/>
                      <w:sz w:val="20"/>
                    </w:rPr>
                  </w:pPr>
                  <w:r w:rsidRPr="00F3441F">
                    <w:rPr>
                      <w:rFonts w:eastAsia="Calibri"/>
                      <w:bCs/>
                      <w:sz w:val="20"/>
                    </w:rPr>
                    <w:t xml:space="preserve">Oral </w:t>
                  </w:r>
                </w:p>
              </w:tc>
              <w:tc>
                <w:tcPr>
                  <w:tcW w:w="1984" w:type="dxa"/>
                  <w:vAlign w:val="center"/>
                </w:tcPr>
                <w:p w:rsidRPr="00F3441F" w:rsidR="00032F3D" w:rsidP="00131848" w:rsidRDefault="00032F3D" w14:paraId="2CACDCC3" w14:textId="77777777">
                  <w:pPr>
                    <w:overflowPunct w:val="0"/>
                    <w:autoSpaceDE w:val="0"/>
                    <w:autoSpaceDN w:val="0"/>
                    <w:rPr>
                      <w:rFonts w:eastAsia="Calibri"/>
                      <w:bCs/>
                      <w:sz w:val="20"/>
                    </w:rPr>
                  </w:pPr>
                  <w:r w:rsidRPr="00F3441F">
                    <w:rPr>
                      <w:rFonts w:eastAsia="Calibri"/>
                      <w:bCs/>
                      <w:sz w:val="20"/>
                    </w:rPr>
                    <w:t>Daily or 2 divided doses</w:t>
                  </w:r>
                </w:p>
              </w:tc>
              <w:tc>
                <w:tcPr>
                  <w:tcW w:w="1452" w:type="dxa"/>
                  <w:vAlign w:val="center"/>
                </w:tcPr>
                <w:p w:rsidRPr="00F3441F" w:rsidR="00032F3D" w:rsidP="00131848" w:rsidRDefault="00032F3D" w14:paraId="7E9DDD8F" w14:textId="77777777">
                  <w:pPr>
                    <w:overflowPunct w:val="0"/>
                    <w:autoSpaceDE w:val="0"/>
                    <w:autoSpaceDN w:val="0"/>
                    <w:rPr>
                      <w:rFonts w:eastAsia="Calibri"/>
                      <w:bCs/>
                      <w:sz w:val="20"/>
                    </w:rPr>
                  </w:pPr>
                  <w:r w:rsidRPr="00F3441F">
                    <w:rPr>
                      <w:rFonts w:eastAsia="Calibri"/>
                      <w:bCs/>
                      <w:sz w:val="20"/>
                    </w:rPr>
                    <w:t>Daily or 2 divided doses</w:t>
                  </w:r>
                </w:p>
              </w:tc>
              <w:tc>
                <w:tcPr>
                  <w:tcW w:w="1417" w:type="dxa"/>
                </w:tcPr>
                <w:p w:rsidRPr="00F3441F" w:rsidR="00032F3D" w:rsidP="00131848" w:rsidRDefault="00032F3D" w14:paraId="0949A40C" w14:textId="77777777">
                  <w:pPr>
                    <w:overflowPunct w:val="0"/>
                    <w:autoSpaceDE w:val="0"/>
                    <w:autoSpaceDN w:val="0"/>
                    <w:rPr>
                      <w:rFonts w:eastAsia="Calibri"/>
                      <w:b/>
                      <w:bCs/>
                      <w:sz w:val="20"/>
                    </w:rPr>
                  </w:pPr>
                  <w:r w:rsidRPr="00F3441F">
                    <w:rPr>
                      <w:rFonts w:eastAsia="Calibri"/>
                      <w:b/>
                      <w:bCs/>
                      <w:sz w:val="20"/>
                    </w:rPr>
                    <w:t>8-10</w:t>
                  </w:r>
                </w:p>
              </w:tc>
            </w:tr>
            <w:tr w:rsidR="00032F3D" w:rsidTr="00587E18" w14:paraId="6A63FD36" w14:textId="77777777">
              <w:tc>
                <w:tcPr>
                  <w:tcW w:w="2297" w:type="dxa"/>
                  <w:vMerge/>
                </w:tcPr>
                <w:p w:rsidR="00032F3D" w:rsidP="00131848" w:rsidRDefault="00032F3D" w14:paraId="1DE2AB61" w14:textId="77777777">
                  <w:pPr>
                    <w:overflowPunct w:val="0"/>
                    <w:autoSpaceDE w:val="0"/>
                    <w:autoSpaceDN w:val="0"/>
                    <w:rPr>
                      <w:rFonts w:eastAsia="Calibri"/>
                      <w:b/>
                      <w:bCs/>
                      <w:sz w:val="20"/>
                    </w:rPr>
                  </w:pPr>
                </w:p>
              </w:tc>
              <w:tc>
                <w:tcPr>
                  <w:tcW w:w="850" w:type="dxa"/>
                </w:tcPr>
                <w:p w:rsidRPr="00F3441F" w:rsidR="00032F3D" w:rsidP="00131848" w:rsidRDefault="00032F3D" w14:paraId="1BD563A9" w14:textId="77777777">
                  <w:pPr>
                    <w:overflowPunct w:val="0"/>
                    <w:autoSpaceDE w:val="0"/>
                    <w:autoSpaceDN w:val="0"/>
                    <w:rPr>
                      <w:rFonts w:eastAsia="Calibri"/>
                      <w:bCs/>
                      <w:sz w:val="20"/>
                    </w:rPr>
                  </w:pPr>
                  <w:r w:rsidRPr="00F3441F">
                    <w:rPr>
                      <w:rFonts w:eastAsia="Calibri"/>
                      <w:bCs/>
                      <w:sz w:val="20"/>
                    </w:rPr>
                    <w:t>IV</w:t>
                  </w:r>
                  <w:r>
                    <w:rPr>
                      <w:rFonts w:eastAsia="Calibri"/>
                      <w:bCs/>
                      <w:sz w:val="20"/>
                    </w:rPr>
                    <w:t>*</w:t>
                  </w:r>
                </w:p>
              </w:tc>
              <w:tc>
                <w:tcPr>
                  <w:tcW w:w="1984" w:type="dxa"/>
                </w:tcPr>
                <w:p w:rsidRPr="00F3441F" w:rsidR="00032F3D" w:rsidP="00131848" w:rsidRDefault="00032F3D" w14:paraId="645CFF71" w14:textId="77777777">
                  <w:pPr>
                    <w:overflowPunct w:val="0"/>
                    <w:autoSpaceDE w:val="0"/>
                    <w:autoSpaceDN w:val="0"/>
                    <w:rPr>
                      <w:rFonts w:eastAsia="Calibri"/>
                      <w:bCs/>
                      <w:sz w:val="20"/>
                    </w:rPr>
                  </w:pPr>
                  <w:r w:rsidRPr="00F3441F">
                    <w:rPr>
                      <w:rFonts w:eastAsia="Calibri"/>
                      <w:bCs/>
                      <w:sz w:val="20"/>
                    </w:rPr>
                    <w:t>Daily or 2 divided doses</w:t>
                  </w:r>
                </w:p>
              </w:tc>
              <w:tc>
                <w:tcPr>
                  <w:tcW w:w="1452" w:type="dxa"/>
                </w:tcPr>
                <w:p w:rsidRPr="00F3441F" w:rsidR="00032F3D" w:rsidP="00131848" w:rsidRDefault="00032F3D" w14:paraId="5EC082F7" w14:textId="77777777">
                  <w:pPr>
                    <w:overflowPunct w:val="0"/>
                    <w:autoSpaceDE w:val="0"/>
                    <w:autoSpaceDN w:val="0"/>
                    <w:rPr>
                      <w:rFonts w:eastAsia="Calibri"/>
                      <w:bCs/>
                      <w:sz w:val="20"/>
                    </w:rPr>
                  </w:pPr>
                  <w:r w:rsidRPr="00F3441F">
                    <w:rPr>
                      <w:rFonts w:eastAsia="Calibri"/>
                      <w:bCs/>
                      <w:sz w:val="20"/>
                    </w:rPr>
                    <w:t>Daily or 2 divided doses</w:t>
                  </w:r>
                </w:p>
              </w:tc>
              <w:tc>
                <w:tcPr>
                  <w:tcW w:w="1417" w:type="dxa"/>
                </w:tcPr>
                <w:p w:rsidRPr="00F3441F" w:rsidR="00032F3D" w:rsidP="00131848" w:rsidRDefault="00032F3D" w14:paraId="1A6D33AC" w14:textId="77777777">
                  <w:pPr>
                    <w:overflowPunct w:val="0"/>
                    <w:autoSpaceDE w:val="0"/>
                    <w:autoSpaceDN w:val="0"/>
                    <w:rPr>
                      <w:rFonts w:eastAsia="Calibri"/>
                      <w:b/>
                      <w:bCs/>
                      <w:sz w:val="20"/>
                    </w:rPr>
                  </w:pPr>
                  <w:r w:rsidRPr="00F3441F">
                    <w:rPr>
                      <w:rFonts w:eastAsia="Calibri"/>
                      <w:b/>
                      <w:bCs/>
                      <w:sz w:val="20"/>
                    </w:rPr>
                    <w:t>6-7.5</w:t>
                  </w:r>
                </w:p>
              </w:tc>
            </w:tr>
          </w:tbl>
          <w:p w:rsidR="00032F3D" w:rsidP="00131848" w:rsidRDefault="00032F3D" w14:paraId="18F5F582" w14:textId="77777777">
            <w:pPr>
              <w:overflowPunct w:val="0"/>
              <w:autoSpaceDE w:val="0"/>
              <w:autoSpaceDN w:val="0"/>
              <w:rPr>
                <w:rFonts w:eastAsia="Calibri"/>
                <w:sz w:val="20"/>
              </w:rPr>
            </w:pPr>
            <w:r>
              <w:rPr>
                <w:rFonts w:eastAsia="Calibri"/>
                <w:sz w:val="20"/>
              </w:rPr>
              <w:t>*IV dose: 75% of oral dose</w:t>
            </w:r>
          </w:p>
          <w:p w:rsidR="00032F3D" w:rsidP="00131848" w:rsidRDefault="00032F3D" w14:paraId="2ED83D7E" w14:textId="77777777">
            <w:pPr>
              <w:overflowPunct w:val="0"/>
              <w:autoSpaceDE w:val="0"/>
              <w:autoSpaceDN w:val="0"/>
              <w:rPr>
                <w:rFonts w:eastAsia="Calibri"/>
                <w:b/>
                <w:bCs/>
                <w:sz w:val="20"/>
              </w:rPr>
            </w:pPr>
            <w:r w:rsidRPr="00C575A7">
              <w:rPr>
                <w:rFonts w:eastAsia="Calibri"/>
                <w:sz w:val="20"/>
                <w:vertAlign w:val="superscript"/>
              </w:rPr>
              <w:t>#</w:t>
            </w:r>
            <w:r>
              <w:rPr>
                <w:rFonts w:eastAsia="Calibri"/>
                <w:sz w:val="20"/>
              </w:rPr>
              <w:t>M</w:t>
            </w:r>
            <w:r w:rsidRPr="00D96231">
              <w:rPr>
                <w:rFonts w:eastAsia="Calibri"/>
                <w:sz w:val="20"/>
              </w:rPr>
              <w:t>a</w:t>
            </w:r>
            <w:r>
              <w:rPr>
                <w:rFonts w:eastAsia="Calibri"/>
                <w:sz w:val="20"/>
              </w:rPr>
              <w:t>intenance dose ma</w:t>
            </w:r>
            <w:r w:rsidRPr="00D96231">
              <w:rPr>
                <w:rFonts w:eastAsia="Calibri"/>
                <w:sz w:val="20"/>
              </w:rPr>
              <w:t xml:space="preserve">y increase according to therapeutic </w:t>
            </w:r>
            <w:r>
              <w:rPr>
                <w:rFonts w:eastAsia="Calibri"/>
                <w:sz w:val="20"/>
              </w:rPr>
              <w:t xml:space="preserve">drug </w:t>
            </w:r>
            <w:r w:rsidRPr="00D96231">
              <w:rPr>
                <w:rFonts w:eastAsia="Calibri"/>
                <w:sz w:val="20"/>
              </w:rPr>
              <w:t>monitoring and in consultation with cardiologist</w:t>
            </w:r>
            <w:r>
              <w:rPr>
                <w:rFonts w:eastAsia="Calibri"/>
                <w:sz w:val="20"/>
              </w:rPr>
              <w:t>.</w:t>
            </w:r>
          </w:p>
          <w:p w:rsidR="00032F3D" w:rsidP="00131848" w:rsidRDefault="00032F3D" w14:paraId="38BBC644" w14:textId="77777777">
            <w:pPr>
              <w:overflowPunct w:val="0"/>
              <w:autoSpaceDE w:val="0"/>
              <w:autoSpaceDN w:val="0"/>
              <w:rPr>
                <w:rFonts w:eastAsia="Calibri"/>
                <w:b/>
                <w:bCs/>
                <w:sz w:val="20"/>
              </w:rPr>
            </w:pPr>
          </w:p>
          <w:p w:rsidRPr="00D96231" w:rsidR="00032F3D" w:rsidP="00131848" w:rsidRDefault="00032F3D" w14:paraId="16B20116" w14:textId="77777777">
            <w:pPr>
              <w:overflowPunct w:val="0"/>
              <w:autoSpaceDE w:val="0"/>
              <w:autoSpaceDN w:val="0"/>
              <w:rPr>
                <w:rFonts w:eastAsia="Calibri"/>
                <w:sz w:val="20"/>
              </w:rPr>
            </w:pPr>
            <w:r w:rsidRPr="00D96231">
              <w:rPr>
                <w:rFonts w:eastAsia="Calibri"/>
                <w:sz w:val="20"/>
              </w:rPr>
              <w:t>Doses should be titrated to the lowest dose needed to achieve effect.</w:t>
            </w:r>
          </w:p>
          <w:p w:rsidRPr="00572A01" w:rsidR="00032F3D" w:rsidP="00131848" w:rsidRDefault="00032F3D" w14:paraId="45E06F6D" w14:textId="77777777">
            <w:pPr>
              <w:overflowPunct w:val="0"/>
              <w:autoSpaceDE w:val="0"/>
              <w:autoSpaceDN w:val="0"/>
              <w:rPr>
                <w:rFonts w:eastAsia="Calibri"/>
                <w:sz w:val="20"/>
              </w:rPr>
            </w:pPr>
            <w:r w:rsidRPr="00D96231">
              <w:rPr>
                <w:rFonts w:eastAsia="Calibri"/>
                <w:sz w:val="20"/>
              </w:rPr>
              <w:t>When switching from oral to IV therapy, reduce the digoxin dosage by 20–25%</w:t>
            </w:r>
            <w:r>
              <w:rPr>
                <w:rFonts w:eastAsia="Calibri"/>
                <w:sz w:val="20"/>
              </w:rPr>
              <w:t xml:space="preserve"> as in table above</w:t>
            </w:r>
            <w:r w:rsidRPr="00D96231">
              <w:rPr>
                <w:rFonts w:eastAsia="Calibri"/>
                <w:sz w:val="20"/>
              </w:rPr>
              <w:t>.</w:t>
            </w:r>
          </w:p>
        </w:tc>
      </w:tr>
      <w:tr w:rsidRPr="003A7895" w:rsidR="00032F3D" w:rsidTr="00D10A80" w14:paraId="3099CF6E" w14:textId="77777777">
        <w:trPr>
          <w:trHeight w:val="407"/>
        </w:trPr>
        <w:tc>
          <w:tcPr>
            <w:tcW w:w="1702" w:type="dxa"/>
          </w:tcPr>
          <w:p w:rsidRPr="00B53E9B" w:rsidR="00032F3D" w:rsidP="00131848" w:rsidRDefault="00032F3D" w14:paraId="2860656F" w14:textId="77777777">
            <w:pPr>
              <w:pStyle w:val="BodyText"/>
              <w:rPr>
                <w:b/>
                <w:sz w:val="20"/>
              </w:rPr>
            </w:pPr>
            <w:r w:rsidRPr="00B53E9B">
              <w:rPr>
                <w:b/>
                <w:sz w:val="20"/>
              </w:rPr>
              <w:lastRenderedPageBreak/>
              <w:t>Dose adjustment</w:t>
            </w:r>
          </w:p>
          <w:p w:rsidRPr="00B53E9B" w:rsidR="00032F3D" w:rsidP="00131848" w:rsidRDefault="00032F3D" w14:paraId="15200D3F" w14:textId="77777777">
            <w:pPr>
              <w:pStyle w:val="BodyText"/>
              <w:rPr>
                <w:b/>
                <w:sz w:val="20"/>
              </w:rPr>
            </w:pPr>
          </w:p>
        </w:tc>
        <w:tc>
          <w:tcPr>
            <w:tcW w:w="8392" w:type="dxa"/>
          </w:tcPr>
          <w:p w:rsidRPr="00026F20" w:rsidR="00032F3D" w:rsidP="00131848" w:rsidRDefault="00032F3D" w14:paraId="09A8ED07" w14:textId="77777777">
            <w:pPr>
              <w:pStyle w:val="BodyText"/>
              <w:rPr>
                <w:sz w:val="20"/>
              </w:rPr>
            </w:pPr>
            <w:r w:rsidRPr="00D96231">
              <w:rPr>
                <w:rFonts w:eastAsia="Calibri"/>
                <w:b/>
                <w:sz w:val="20"/>
              </w:rPr>
              <w:t xml:space="preserve">Renal </w:t>
            </w:r>
            <w:r>
              <w:rPr>
                <w:rFonts w:eastAsia="Calibri"/>
                <w:b/>
                <w:sz w:val="20"/>
              </w:rPr>
              <w:t>i</w:t>
            </w:r>
            <w:r w:rsidRPr="00D96231">
              <w:rPr>
                <w:rFonts w:eastAsia="Calibri"/>
                <w:b/>
                <w:sz w:val="20"/>
              </w:rPr>
              <w:t>mpairment:</w:t>
            </w:r>
            <w:r w:rsidRPr="00D96231">
              <w:rPr>
                <w:rFonts w:eastAsia="Calibri"/>
                <w:sz w:val="20"/>
              </w:rPr>
              <w:t xml:space="preserve"> Predominantly renally cleared (about 70%); reduce dose by at least half in renal impairment</w:t>
            </w:r>
          </w:p>
        </w:tc>
      </w:tr>
      <w:tr w:rsidRPr="003A7895" w:rsidR="00032F3D" w:rsidTr="00D10A80" w14:paraId="6FB146BE" w14:textId="77777777">
        <w:trPr>
          <w:trHeight w:val="113"/>
        </w:trPr>
        <w:tc>
          <w:tcPr>
            <w:tcW w:w="1702" w:type="dxa"/>
          </w:tcPr>
          <w:p w:rsidRPr="00B53E9B" w:rsidR="00032F3D" w:rsidP="00131848" w:rsidRDefault="00032F3D" w14:paraId="17B7770B" w14:textId="77777777">
            <w:pPr>
              <w:pStyle w:val="BodyText"/>
              <w:rPr>
                <w:b/>
                <w:sz w:val="20"/>
              </w:rPr>
            </w:pPr>
            <w:r w:rsidRPr="00B53E9B">
              <w:rPr>
                <w:b/>
                <w:sz w:val="20"/>
              </w:rPr>
              <w:t>Maximum dose</w:t>
            </w:r>
          </w:p>
        </w:tc>
        <w:tc>
          <w:tcPr>
            <w:tcW w:w="8392" w:type="dxa"/>
          </w:tcPr>
          <w:p w:rsidRPr="00026F20" w:rsidR="00032F3D" w:rsidP="00131848" w:rsidRDefault="00032F3D" w14:paraId="745EB0CB" w14:textId="77777777">
            <w:pPr>
              <w:pStyle w:val="BodyText"/>
              <w:rPr>
                <w:sz w:val="20"/>
              </w:rPr>
            </w:pPr>
            <w:r w:rsidRPr="00D96231">
              <w:rPr>
                <w:rFonts w:asciiTheme="minorHAnsi" w:hAnsiTheme="minorHAnsi"/>
                <w:sz w:val="20"/>
              </w:rPr>
              <w:t>250 microgra</w:t>
            </w:r>
            <w:r>
              <w:rPr>
                <w:rFonts w:asciiTheme="minorHAnsi" w:hAnsiTheme="minorHAnsi"/>
                <w:sz w:val="20"/>
              </w:rPr>
              <w:t>m</w:t>
            </w:r>
            <w:r w:rsidRPr="00D96231">
              <w:rPr>
                <w:rFonts w:asciiTheme="minorHAnsi" w:hAnsiTheme="minorHAnsi"/>
                <w:sz w:val="20"/>
              </w:rPr>
              <w:t xml:space="preserve"> daily</w:t>
            </w:r>
          </w:p>
        </w:tc>
      </w:tr>
      <w:tr w:rsidRPr="003A7895" w:rsidR="00032F3D" w:rsidTr="00D10A80" w14:paraId="1C6915E9" w14:textId="77777777">
        <w:trPr>
          <w:trHeight w:val="144"/>
        </w:trPr>
        <w:tc>
          <w:tcPr>
            <w:tcW w:w="1702" w:type="dxa"/>
          </w:tcPr>
          <w:p w:rsidRPr="00B53E9B" w:rsidR="00032F3D" w:rsidP="00131848" w:rsidRDefault="00032F3D" w14:paraId="7EF3CF8B" w14:textId="77777777">
            <w:pPr>
              <w:pStyle w:val="BodyText"/>
              <w:rPr>
                <w:rFonts w:cs="Arial"/>
                <w:b/>
                <w:bCs/>
                <w:sz w:val="20"/>
              </w:rPr>
            </w:pPr>
            <w:r w:rsidRPr="00B53E9B">
              <w:rPr>
                <w:b/>
                <w:sz w:val="20"/>
              </w:rPr>
              <w:t>Total cumulative dose</w:t>
            </w:r>
          </w:p>
        </w:tc>
        <w:tc>
          <w:tcPr>
            <w:tcW w:w="8392" w:type="dxa"/>
          </w:tcPr>
          <w:p w:rsidRPr="00026F20" w:rsidR="00032F3D" w:rsidP="00131848" w:rsidRDefault="00032F3D" w14:paraId="6A6E16AF" w14:textId="77777777">
            <w:pPr>
              <w:pStyle w:val="BodyText"/>
              <w:rPr>
                <w:rFonts w:cs="Arial"/>
                <w:b/>
                <w:sz w:val="20"/>
              </w:rPr>
            </w:pPr>
          </w:p>
        </w:tc>
      </w:tr>
      <w:tr w:rsidRPr="003A7895" w:rsidR="00032F3D" w:rsidTr="00D10A80" w14:paraId="780FA660" w14:textId="77777777">
        <w:trPr>
          <w:trHeight w:val="294"/>
        </w:trPr>
        <w:tc>
          <w:tcPr>
            <w:tcW w:w="1702" w:type="dxa"/>
          </w:tcPr>
          <w:p w:rsidRPr="00B53E9B" w:rsidR="00032F3D" w:rsidP="00131848" w:rsidRDefault="00032F3D" w14:paraId="067A596D" w14:textId="77777777">
            <w:pPr>
              <w:pStyle w:val="BodyText"/>
              <w:rPr>
                <w:rFonts w:cs="Arial"/>
                <w:sz w:val="20"/>
              </w:rPr>
            </w:pPr>
            <w:r w:rsidRPr="00B53E9B">
              <w:rPr>
                <w:rFonts w:cs="Arial"/>
                <w:b/>
                <w:bCs/>
                <w:sz w:val="20"/>
              </w:rPr>
              <w:t xml:space="preserve">Route </w:t>
            </w:r>
          </w:p>
        </w:tc>
        <w:tc>
          <w:tcPr>
            <w:tcW w:w="8392" w:type="dxa"/>
          </w:tcPr>
          <w:p w:rsidRPr="00D96231" w:rsidR="00032F3D" w:rsidP="00131848" w:rsidRDefault="00032F3D" w14:paraId="1EC54C8B" w14:textId="77777777">
            <w:pPr>
              <w:pStyle w:val="BodyText"/>
              <w:rPr>
                <w:rFonts w:cs="Arial" w:asciiTheme="minorHAnsi" w:hAnsiTheme="minorHAnsi"/>
                <w:sz w:val="20"/>
              </w:rPr>
            </w:pPr>
            <w:r w:rsidRPr="00D96231">
              <w:rPr>
                <w:rFonts w:cs="Arial" w:asciiTheme="minorHAnsi" w:hAnsiTheme="minorHAnsi"/>
                <w:sz w:val="20"/>
              </w:rPr>
              <w:t>Oral</w:t>
            </w:r>
          </w:p>
          <w:p w:rsidRPr="00026F20" w:rsidR="00032F3D" w:rsidP="00131848" w:rsidRDefault="00032F3D" w14:paraId="12162ED7" w14:textId="77777777">
            <w:pPr>
              <w:pStyle w:val="BodyText"/>
              <w:rPr>
                <w:rFonts w:cs="Arial"/>
                <w:sz w:val="20"/>
              </w:rPr>
            </w:pPr>
            <w:r w:rsidRPr="00D96231">
              <w:rPr>
                <w:rFonts w:cs="Arial" w:asciiTheme="minorHAnsi" w:hAnsiTheme="minorHAnsi"/>
                <w:sz w:val="20"/>
              </w:rPr>
              <w:t>Intravenous</w:t>
            </w:r>
          </w:p>
        </w:tc>
      </w:tr>
      <w:tr w:rsidRPr="003A7895" w:rsidR="00032F3D" w:rsidTr="00D10A80" w14:paraId="024D2A86" w14:textId="77777777">
        <w:trPr>
          <w:trHeight w:val="93"/>
        </w:trPr>
        <w:tc>
          <w:tcPr>
            <w:tcW w:w="1702" w:type="dxa"/>
          </w:tcPr>
          <w:p w:rsidRPr="00B53E9B" w:rsidR="00032F3D" w:rsidP="00131848" w:rsidRDefault="00032F3D" w14:paraId="0B6E9A87"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392" w:type="dxa"/>
          </w:tcPr>
          <w:p w:rsidR="00032F3D" w:rsidP="00131848" w:rsidRDefault="00032F3D" w14:paraId="2D2AE504" w14:textId="77777777">
            <w:pPr>
              <w:pStyle w:val="BodyText"/>
              <w:rPr>
                <w:rFonts w:cs="Arial" w:asciiTheme="minorHAnsi" w:hAnsiTheme="minorHAnsi"/>
                <w:sz w:val="20"/>
              </w:rPr>
            </w:pPr>
            <w:r w:rsidRPr="00D96231">
              <w:rPr>
                <w:rFonts w:cs="Arial" w:asciiTheme="minorHAnsi" w:hAnsiTheme="minorHAnsi"/>
                <w:sz w:val="20"/>
              </w:rPr>
              <w:t>IV</w:t>
            </w:r>
          </w:p>
          <w:p w:rsidR="00032F3D" w:rsidP="00131848" w:rsidRDefault="00032F3D" w14:paraId="61A0983A" w14:textId="77777777">
            <w:pPr>
              <w:pStyle w:val="BodyText"/>
              <w:rPr>
                <w:rFonts w:cs="Arial" w:asciiTheme="minorHAnsi" w:hAnsiTheme="minorHAnsi"/>
                <w:b/>
                <w:sz w:val="20"/>
              </w:rPr>
            </w:pPr>
            <w:r w:rsidRPr="00C077F9">
              <w:rPr>
                <w:rFonts w:cs="Arial" w:asciiTheme="minorHAnsi" w:hAnsiTheme="minorHAnsi"/>
                <w:b/>
                <w:sz w:val="20"/>
              </w:rPr>
              <w:t>CHECK PRODUCT SELECTION CAREFULLY.</w:t>
            </w:r>
            <w:r>
              <w:rPr>
                <w:rFonts w:cs="Arial" w:asciiTheme="minorHAnsi" w:hAnsiTheme="minorHAnsi"/>
                <w:b/>
                <w:sz w:val="20"/>
              </w:rPr>
              <w:t xml:space="preserve"> Dilution only applies to Lanoxin Infant Injection.</w:t>
            </w:r>
          </w:p>
          <w:p w:rsidR="00032F3D" w:rsidP="00131848" w:rsidRDefault="00032F3D" w14:paraId="68FCD7BD" w14:textId="77777777">
            <w:pPr>
              <w:pStyle w:val="BodyText"/>
              <w:rPr>
                <w:rFonts w:cs="Arial" w:asciiTheme="minorHAnsi" w:hAnsiTheme="minorHAnsi"/>
                <w:sz w:val="20"/>
              </w:rPr>
            </w:pPr>
          </w:p>
          <w:p w:rsidR="00032F3D" w:rsidP="00131848" w:rsidRDefault="00032F3D" w14:paraId="46ED525D" w14:textId="77777777">
            <w:pPr>
              <w:pStyle w:val="BodyText"/>
              <w:rPr>
                <w:rFonts w:cs="Arial" w:asciiTheme="minorHAnsi" w:hAnsiTheme="minorHAnsi"/>
                <w:sz w:val="20"/>
              </w:rPr>
            </w:pPr>
            <w:r>
              <w:rPr>
                <w:rFonts w:cs="Arial" w:asciiTheme="minorHAnsi" w:hAnsiTheme="minorHAnsi"/>
                <w:sz w:val="20"/>
              </w:rPr>
              <w:t>Lanoxin Infant Injection:</w:t>
            </w:r>
          </w:p>
          <w:p w:rsidRPr="00D96231" w:rsidR="00032F3D" w:rsidP="00131848" w:rsidRDefault="00032F3D" w14:paraId="197D986C" w14:textId="77777777">
            <w:pPr>
              <w:pStyle w:val="BodyText"/>
              <w:rPr>
                <w:rFonts w:cs="Arial" w:asciiTheme="minorHAnsi" w:hAnsiTheme="minorHAnsi"/>
                <w:sz w:val="20"/>
              </w:rPr>
            </w:pPr>
            <w:r w:rsidRPr="00D96231">
              <w:rPr>
                <w:rFonts w:cs="Arial" w:asciiTheme="minorHAnsi" w:hAnsiTheme="minorHAnsi"/>
                <w:sz w:val="20"/>
              </w:rPr>
              <w:t>Add 2mL (50 microgram) of digoxin to 8 mL of sodium chloride 0.9% or glucose 5% to make a 5</w:t>
            </w:r>
            <w:r>
              <w:rPr>
                <w:rFonts w:cs="Arial" w:asciiTheme="minorHAnsi" w:hAnsiTheme="minorHAnsi"/>
                <w:sz w:val="20"/>
              </w:rPr>
              <w:t xml:space="preserve"> </w:t>
            </w:r>
            <w:r w:rsidRPr="00D96231">
              <w:rPr>
                <w:rFonts w:cs="Arial" w:asciiTheme="minorHAnsi" w:hAnsiTheme="minorHAnsi"/>
                <w:sz w:val="20"/>
              </w:rPr>
              <w:t>microgram/mL solution.</w:t>
            </w:r>
          </w:p>
        </w:tc>
      </w:tr>
      <w:tr w:rsidRPr="003A7895" w:rsidR="00032F3D" w:rsidTr="00D10A80" w14:paraId="66CF38EE" w14:textId="77777777">
        <w:trPr>
          <w:trHeight w:val="224"/>
        </w:trPr>
        <w:tc>
          <w:tcPr>
            <w:tcW w:w="1702" w:type="dxa"/>
          </w:tcPr>
          <w:p w:rsidRPr="00B53E9B" w:rsidR="00032F3D" w:rsidP="00131848" w:rsidRDefault="00032F3D" w14:paraId="65650E80" w14:textId="77777777">
            <w:pPr>
              <w:pStyle w:val="BodyText"/>
              <w:rPr>
                <w:rFonts w:cs="Arial"/>
                <w:b/>
                <w:bCs/>
                <w:sz w:val="20"/>
              </w:rPr>
            </w:pPr>
            <w:r w:rsidRPr="00B53E9B">
              <w:rPr>
                <w:rFonts w:cs="Arial"/>
                <w:b/>
                <w:bCs/>
                <w:sz w:val="20"/>
              </w:rPr>
              <w:t xml:space="preserve">Administration </w:t>
            </w:r>
          </w:p>
        </w:tc>
        <w:tc>
          <w:tcPr>
            <w:tcW w:w="8392" w:type="dxa"/>
            <w:vAlign w:val="center"/>
          </w:tcPr>
          <w:p w:rsidR="00032F3D" w:rsidP="00131848" w:rsidRDefault="00032F3D" w14:paraId="70EA2AB4" w14:textId="77777777">
            <w:pPr>
              <w:pStyle w:val="BodyText"/>
              <w:rPr>
                <w:rFonts w:cs="Arial" w:asciiTheme="minorHAnsi" w:hAnsiTheme="minorHAnsi"/>
                <w:sz w:val="20"/>
              </w:rPr>
            </w:pPr>
            <w:r w:rsidRPr="00D96231">
              <w:rPr>
                <w:rFonts w:cs="Arial" w:asciiTheme="minorHAnsi" w:hAnsiTheme="minorHAnsi"/>
                <w:sz w:val="20"/>
              </w:rPr>
              <w:t>ORAL: May be taken with or without food.</w:t>
            </w:r>
            <w:r w:rsidRPr="00D96231">
              <w:rPr>
                <w:rFonts w:cs="Arial" w:asciiTheme="minorHAnsi" w:hAnsiTheme="minorHAnsi"/>
                <w:sz w:val="20"/>
                <w:vertAlign w:val="superscript"/>
              </w:rPr>
              <w:t>32</w:t>
            </w:r>
            <w:r w:rsidRPr="00D96231">
              <w:rPr>
                <w:rFonts w:cs="Arial" w:asciiTheme="minorHAnsi" w:hAnsiTheme="minorHAnsi"/>
                <w:sz w:val="20"/>
              </w:rPr>
              <w:t xml:space="preserve"> However, administer consistently at the same time with respect to meals to avoid day to day variation.</w:t>
            </w:r>
            <w:r w:rsidRPr="00D96231">
              <w:rPr>
                <w:rFonts w:cs="Arial" w:asciiTheme="minorHAnsi" w:hAnsiTheme="minorHAnsi"/>
                <w:sz w:val="20"/>
                <w:vertAlign w:val="superscript"/>
              </w:rPr>
              <w:t>33</w:t>
            </w:r>
          </w:p>
          <w:p w:rsidR="00032F3D" w:rsidP="00131848" w:rsidRDefault="00032F3D" w14:paraId="627522F1" w14:textId="77777777">
            <w:pPr>
              <w:pStyle w:val="BodyText"/>
              <w:rPr>
                <w:rFonts w:cs="Arial" w:asciiTheme="minorHAnsi" w:hAnsiTheme="minorHAnsi"/>
                <w:sz w:val="20"/>
              </w:rPr>
            </w:pPr>
            <w:r>
              <w:rPr>
                <w:rFonts w:cs="Arial" w:asciiTheme="minorHAnsi" w:hAnsiTheme="minorHAnsi"/>
                <w:sz w:val="20"/>
              </w:rPr>
              <w:t xml:space="preserve">IV: </w:t>
            </w:r>
            <w:r w:rsidRPr="00D96231">
              <w:rPr>
                <w:rFonts w:cs="Arial" w:asciiTheme="minorHAnsi" w:hAnsiTheme="minorHAnsi"/>
                <w:sz w:val="20"/>
              </w:rPr>
              <w:t xml:space="preserve">Give over at least 10 minutes. </w:t>
            </w:r>
          </w:p>
          <w:p w:rsidRPr="00D96231" w:rsidR="00032F3D" w:rsidP="00131848" w:rsidRDefault="00032F3D" w14:paraId="42CA5297" w14:textId="77777777">
            <w:pPr>
              <w:pStyle w:val="BodyText"/>
              <w:rPr>
                <w:rFonts w:cs="Arial" w:asciiTheme="minorHAnsi" w:hAnsiTheme="minorHAnsi"/>
                <w:sz w:val="20"/>
              </w:rPr>
            </w:pPr>
            <w:r>
              <w:rPr>
                <w:rFonts w:cs="Arial" w:asciiTheme="minorHAnsi" w:hAnsiTheme="minorHAnsi"/>
                <w:sz w:val="20"/>
              </w:rPr>
              <w:t xml:space="preserve">IM: </w:t>
            </w:r>
            <w:r w:rsidRPr="00D96231">
              <w:rPr>
                <w:rFonts w:cs="Arial" w:asciiTheme="minorHAnsi" w:hAnsiTheme="minorHAnsi"/>
                <w:sz w:val="20"/>
              </w:rPr>
              <w:t>Do not give IM (unpredictable absorption, local irritation).</w:t>
            </w:r>
          </w:p>
        </w:tc>
      </w:tr>
      <w:tr w:rsidRPr="003A7895" w:rsidR="00032F3D" w:rsidTr="00D10A80" w14:paraId="37920621" w14:textId="77777777">
        <w:trPr>
          <w:trHeight w:val="215"/>
        </w:trPr>
        <w:tc>
          <w:tcPr>
            <w:tcW w:w="1702" w:type="dxa"/>
          </w:tcPr>
          <w:p w:rsidRPr="00B53E9B" w:rsidR="00032F3D" w:rsidP="00131848" w:rsidRDefault="00032F3D" w14:paraId="36C7E6A4" w14:textId="77777777">
            <w:pPr>
              <w:pStyle w:val="BodyText"/>
              <w:rPr>
                <w:rFonts w:cs="Arial"/>
                <w:b/>
                <w:bCs/>
                <w:sz w:val="20"/>
              </w:rPr>
            </w:pPr>
            <w:r w:rsidRPr="00B53E9B">
              <w:rPr>
                <w:rFonts w:cs="Arial"/>
                <w:b/>
                <w:bCs/>
                <w:sz w:val="20"/>
              </w:rPr>
              <w:t>Monitoring</w:t>
            </w:r>
          </w:p>
        </w:tc>
        <w:tc>
          <w:tcPr>
            <w:tcW w:w="8392" w:type="dxa"/>
          </w:tcPr>
          <w:p w:rsidRPr="00D96231" w:rsidR="00032F3D" w:rsidP="00131848" w:rsidRDefault="00032F3D" w14:paraId="2DE7F5CD" w14:textId="77777777">
            <w:pPr>
              <w:pStyle w:val="BodyText"/>
              <w:rPr>
                <w:rFonts w:cs="Arial" w:asciiTheme="minorHAnsi" w:hAnsiTheme="minorHAnsi"/>
                <w:sz w:val="20"/>
              </w:rPr>
            </w:pPr>
            <w:r w:rsidRPr="00D96231">
              <w:rPr>
                <w:rFonts w:cs="Arial" w:asciiTheme="minorHAnsi" w:hAnsiTheme="minorHAnsi"/>
                <w:sz w:val="20"/>
              </w:rPr>
              <w:t>Check renal function and electrolyte concentrations before starting digoxin.</w:t>
            </w:r>
          </w:p>
          <w:p w:rsidRPr="00D96231" w:rsidR="00032F3D" w:rsidP="00131848" w:rsidRDefault="00032F3D" w14:paraId="36CD733E" w14:textId="77777777">
            <w:pPr>
              <w:pStyle w:val="BodyText"/>
              <w:rPr>
                <w:rFonts w:cs="Arial" w:asciiTheme="minorHAnsi" w:hAnsiTheme="minorHAnsi"/>
                <w:sz w:val="20"/>
              </w:rPr>
            </w:pPr>
            <w:r w:rsidRPr="00D96231">
              <w:rPr>
                <w:rFonts w:cs="Arial" w:asciiTheme="minorHAnsi" w:hAnsiTheme="minorHAnsi"/>
                <w:sz w:val="20"/>
              </w:rPr>
              <w:t>For intravenous infusion, continuous cardiac monitoring is recommended. It may not be necessary when IV injection is used to temporarily replace oral dosing in a patient stabilised on digoxin. Check local guidelines.</w:t>
            </w:r>
          </w:p>
          <w:p w:rsidRPr="00D96231" w:rsidR="00032F3D" w:rsidP="00131848" w:rsidRDefault="00032F3D" w14:paraId="02CAED17" w14:textId="77777777">
            <w:pPr>
              <w:pStyle w:val="BodyText"/>
              <w:rPr>
                <w:rFonts w:cs="Arial" w:asciiTheme="minorHAnsi" w:hAnsiTheme="minorHAnsi"/>
                <w:sz w:val="20"/>
              </w:rPr>
            </w:pPr>
            <w:r w:rsidRPr="00D96231">
              <w:rPr>
                <w:rFonts w:cs="Arial" w:asciiTheme="minorHAnsi" w:hAnsiTheme="minorHAnsi"/>
                <w:sz w:val="20"/>
              </w:rPr>
              <w:t xml:space="preserve">The onset of effect is approximately 5 to 10 minutes, with a maximum effect being achieved after 2 hours. </w:t>
            </w:r>
          </w:p>
          <w:p w:rsidRPr="00D96231" w:rsidR="00032F3D" w:rsidP="00131848" w:rsidRDefault="00032F3D" w14:paraId="3DF63D7C" w14:textId="77777777">
            <w:pPr>
              <w:pStyle w:val="BodyText"/>
              <w:rPr>
                <w:rFonts w:cs="Arial" w:asciiTheme="minorHAnsi" w:hAnsiTheme="minorHAnsi"/>
                <w:sz w:val="20"/>
              </w:rPr>
            </w:pPr>
            <w:r w:rsidRPr="00D96231">
              <w:rPr>
                <w:rFonts w:cs="Arial" w:asciiTheme="minorHAnsi" w:hAnsiTheme="minorHAnsi"/>
                <w:sz w:val="20"/>
              </w:rPr>
              <w:t>Take drug levels at least 6 hours after the dose is given.</w:t>
            </w:r>
          </w:p>
          <w:p w:rsidRPr="00D96231" w:rsidR="00032F3D" w:rsidP="00131848" w:rsidRDefault="00032F3D" w14:paraId="2AA18562" w14:textId="77777777">
            <w:pPr>
              <w:pStyle w:val="BodyText"/>
              <w:rPr>
                <w:rFonts w:cs="Arial" w:asciiTheme="minorHAnsi" w:hAnsiTheme="minorHAnsi"/>
                <w:sz w:val="20"/>
              </w:rPr>
            </w:pPr>
            <w:r w:rsidRPr="00D96231">
              <w:rPr>
                <w:rFonts w:cs="Arial" w:asciiTheme="minorHAnsi" w:hAnsiTheme="minorHAnsi"/>
                <w:sz w:val="20"/>
              </w:rPr>
              <w:t>For oral treatment without loading dose, steady state is reached after about 7 days if renal function is normal (half-life is 36 hours); this may be prolonged in renal impairment.</w:t>
            </w:r>
          </w:p>
          <w:p w:rsidRPr="00D96231" w:rsidR="00032F3D" w:rsidP="00131848" w:rsidRDefault="00032F3D" w14:paraId="1186C816" w14:textId="77777777">
            <w:pPr>
              <w:pStyle w:val="BodyText"/>
              <w:rPr>
                <w:rFonts w:cs="Arial" w:asciiTheme="minorHAnsi" w:hAnsiTheme="minorHAnsi"/>
                <w:sz w:val="20"/>
              </w:rPr>
            </w:pPr>
            <w:r w:rsidRPr="00D96231">
              <w:rPr>
                <w:rFonts w:cs="Arial" w:asciiTheme="minorHAnsi" w:hAnsiTheme="minorHAnsi"/>
                <w:sz w:val="20"/>
              </w:rPr>
              <w:t xml:space="preserve">The therapeutic range </w:t>
            </w:r>
            <w:r>
              <w:rPr>
                <w:rFonts w:cs="Arial" w:asciiTheme="minorHAnsi" w:hAnsiTheme="minorHAnsi"/>
                <w:sz w:val="20"/>
              </w:rPr>
              <w:t>for</w:t>
            </w:r>
            <w:r w:rsidRPr="008E123C">
              <w:rPr>
                <w:rFonts w:cs="Arial" w:asciiTheme="minorHAnsi" w:hAnsiTheme="minorHAnsi"/>
                <w:sz w:val="20"/>
              </w:rPr>
              <w:t xml:space="preserve"> those with atrial tachyarrhythmias</w:t>
            </w:r>
            <w:r>
              <w:rPr>
                <w:rFonts w:cs="Arial" w:asciiTheme="minorHAnsi" w:hAnsiTheme="minorHAnsi"/>
                <w:sz w:val="20"/>
              </w:rPr>
              <w:t xml:space="preserve"> </w:t>
            </w:r>
            <w:r w:rsidRPr="00D96231">
              <w:rPr>
                <w:rFonts w:cs="Arial" w:asciiTheme="minorHAnsi" w:hAnsiTheme="minorHAnsi"/>
                <w:sz w:val="20"/>
              </w:rPr>
              <w:t xml:space="preserve">is 0.5 to 2 microgram/L (0.6 to 2.6 </w:t>
            </w:r>
            <w:r>
              <w:rPr>
                <w:rFonts w:cs="Arial" w:asciiTheme="minorHAnsi" w:hAnsiTheme="minorHAnsi"/>
                <w:sz w:val="20"/>
              </w:rPr>
              <w:t>nmol</w:t>
            </w:r>
            <w:r w:rsidRPr="00D96231">
              <w:rPr>
                <w:rFonts w:cs="Arial" w:asciiTheme="minorHAnsi" w:hAnsiTheme="minorHAnsi"/>
                <w:sz w:val="20"/>
              </w:rPr>
              <w:t>/L) as toxicity is more common at digoxin concentrations &gt;2 microgra</w:t>
            </w:r>
            <w:r>
              <w:rPr>
                <w:rFonts w:cs="Arial" w:asciiTheme="minorHAnsi" w:hAnsiTheme="minorHAnsi"/>
                <w:sz w:val="20"/>
              </w:rPr>
              <w:t>m</w:t>
            </w:r>
            <w:r w:rsidRPr="00D96231">
              <w:rPr>
                <w:rFonts w:cs="Arial" w:asciiTheme="minorHAnsi" w:hAnsiTheme="minorHAnsi"/>
                <w:sz w:val="20"/>
              </w:rPr>
              <w:t>/L. However, toxic effects can occur at lower concentrations, particularly in the elderly or in those with electrolyte disturbance, hypoxia or hypothyroidism. GI symptoms (e.g. nausea, anorexia) may precede cardiac symptoms (e.g. arrhythmias).</w:t>
            </w:r>
          </w:p>
          <w:p w:rsidRPr="00D96231" w:rsidR="00032F3D" w:rsidP="00131848" w:rsidRDefault="00032F3D" w14:paraId="7AB6B267" w14:textId="77777777">
            <w:pPr>
              <w:pStyle w:val="BodyText"/>
              <w:rPr>
                <w:rFonts w:cs="Arial" w:asciiTheme="minorHAnsi" w:hAnsiTheme="minorHAnsi"/>
                <w:sz w:val="20"/>
              </w:rPr>
            </w:pPr>
            <w:r w:rsidRPr="00D96231">
              <w:rPr>
                <w:rFonts w:cs="Arial" w:asciiTheme="minorHAnsi" w:hAnsiTheme="minorHAnsi"/>
                <w:sz w:val="20"/>
              </w:rPr>
              <w:t xml:space="preserve">Heart failure: </w:t>
            </w:r>
            <w:r>
              <w:rPr>
                <w:rFonts w:cs="Arial" w:asciiTheme="minorHAnsi" w:hAnsiTheme="minorHAnsi"/>
                <w:sz w:val="20"/>
              </w:rPr>
              <w:t>C</w:t>
            </w:r>
            <w:r w:rsidRPr="00D96231">
              <w:rPr>
                <w:rFonts w:cs="Arial" w:asciiTheme="minorHAnsi" w:hAnsiTheme="minorHAnsi"/>
                <w:sz w:val="20"/>
              </w:rPr>
              <w:t xml:space="preserve">onsider maintaining lower concentrations of 0.5 to 0.8 microgram/L (0.6 to 1 </w:t>
            </w:r>
            <w:r>
              <w:rPr>
                <w:rFonts w:cs="Arial" w:asciiTheme="minorHAnsi" w:hAnsiTheme="minorHAnsi"/>
                <w:sz w:val="20"/>
              </w:rPr>
              <w:t>nmol</w:t>
            </w:r>
            <w:r w:rsidRPr="00D96231">
              <w:rPr>
                <w:rFonts w:cs="Arial" w:asciiTheme="minorHAnsi" w:hAnsiTheme="minorHAnsi"/>
                <w:sz w:val="20"/>
              </w:rPr>
              <w:t>/L) in patients with heart failure who are in sinus rhythm.</w:t>
            </w:r>
          </w:p>
          <w:p w:rsidRPr="00D96231" w:rsidR="00032F3D" w:rsidP="00131848" w:rsidRDefault="00032F3D" w14:paraId="4DE72562" w14:textId="77777777">
            <w:pPr>
              <w:pStyle w:val="BodyText"/>
              <w:rPr>
                <w:rFonts w:cs="Arial" w:asciiTheme="minorHAnsi" w:hAnsiTheme="minorHAnsi"/>
                <w:sz w:val="20"/>
              </w:rPr>
            </w:pPr>
            <w:r w:rsidRPr="00D96231">
              <w:rPr>
                <w:rFonts w:cs="Arial" w:asciiTheme="minorHAnsi" w:hAnsiTheme="minorHAnsi"/>
                <w:sz w:val="20"/>
              </w:rPr>
              <w:t>Therapeutic drug monitoring for digoxin should be performed using an assay free from interference with digoxin-like immunoreactive factors, spironolactone, canrenoate, digoxin metabolites and steroids.</w:t>
            </w:r>
          </w:p>
        </w:tc>
      </w:tr>
      <w:tr w:rsidRPr="003A7895" w:rsidR="00032F3D" w:rsidTr="00D10A80" w14:paraId="31534784" w14:textId="77777777">
        <w:trPr>
          <w:trHeight w:val="342"/>
        </w:trPr>
        <w:tc>
          <w:tcPr>
            <w:tcW w:w="1702" w:type="dxa"/>
          </w:tcPr>
          <w:p w:rsidRPr="00B53E9B" w:rsidR="00032F3D" w:rsidP="00131848" w:rsidRDefault="00032F3D" w14:paraId="7801FE8B" w14:textId="77777777">
            <w:pPr>
              <w:pStyle w:val="BodyText"/>
              <w:rPr>
                <w:rFonts w:cs="Arial"/>
                <w:b/>
                <w:bCs/>
                <w:sz w:val="20"/>
              </w:rPr>
            </w:pPr>
            <w:r w:rsidRPr="00B53E9B">
              <w:rPr>
                <w:rFonts w:cs="Arial"/>
                <w:b/>
                <w:bCs/>
                <w:sz w:val="20"/>
              </w:rPr>
              <w:t>Contraindications</w:t>
            </w:r>
          </w:p>
        </w:tc>
        <w:tc>
          <w:tcPr>
            <w:tcW w:w="8392" w:type="dxa"/>
          </w:tcPr>
          <w:p w:rsidRPr="00D96231" w:rsidR="00032F3D" w:rsidP="00131848" w:rsidRDefault="00032F3D" w14:paraId="7F8F2389" w14:textId="77777777">
            <w:pPr>
              <w:pStyle w:val="BodyText"/>
              <w:rPr>
                <w:rFonts w:cs="Arial" w:asciiTheme="minorHAnsi" w:hAnsiTheme="minorHAnsi"/>
                <w:sz w:val="20"/>
              </w:rPr>
            </w:pPr>
            <w:r w:rsidRPr="00D96231">
              <w:rPr>
                <w:rFonts w:cs="Arial" w:asciiTheme="minorHAnsi" w:hAnsiTheme="minorHAnsi"/>
                <w:sz w:val="20"/>
              </w:rPr>
              <w:t>Contraindicated in second</w:t>
            </w:r>
            <w:r w:rsidRPr="00D96231">
              <w:rPr>
                <w:rFonts w:ascii="MS Gothic" w:hAnsi="MS Gothic" w:eastAsia="MS Gothic" w:cs="MS Gothic"/>
                <w:sz w:val="20"/>
              </w:rPr>
              <w:t>‑</w:t>
            </w:r>
            <w:r w:rsidRPr="00D96231">
              <w:rPr>
                <w:rFonts w:cs="Arial" w:asciiTheme="minorHAnsi" w:hAnsiTheme="minorHAnsi"/>
                <w:sz w:val="20"/>
              </w:rPr>
              <w:t xml:space="preserve"> or third-degree heart block (without pacemaker), SVT involving accessory pathway (Wolff-Parkinson-White syndrome), ventricular tachycardia and ventricular fibrillation, </w:t>
            </w:r>
            <w:r w:rsidRPr="00D96231">
              <w:rPr>
                <w:rFonts w:cs="Arial" w:asciiTheme="minorHAnsi" w:hAnsiTheme="minorHAnsi"/>
                <w:sz w:val="20"/>
              </w:rPr>
              <w:lastRenderedPageBreak/>
              <w:t>hypertrophic obstructive cardiomyopathy, cor</w:t>
            </w:r>
            <w:r>
              <w:rPr>
                <w:rFonts w:cs="Arial" w:asciiTheme="minorHAnsi" w:hAnsiTheme="minorHAnsi"/>
                <w:sz w:val="20"/>
              </w:rPr>
              <w:t xml:space="preserve"> </w:t>
            </w:r>
            <w:r w:rsidRPr="00D96231">
              <w:rPr>
                <w:rFonts w:cs="Arial" w:asciiTheme="minorHAnsi" w:hAnsiTheme="minorHAnsi"/>
                <w:sz w:val="20"/>
              </w:rPr>
              <w:t>pulmonale (acute and chronic) or constrictive pericarditis.</w:t>
            </w:r>
          </w:p>
        </w:tc>
      </w:tr>
      <w:tr w:rsidRPr="003A7895" w:rsidR="00032F3D" w:rsidTr="00D10A80" w14:paraId="58858D0C" w14:textId="77777777">
        <w:tc>
          <w:tcPr>
            <w:tcW w:w="1702" w:type="dxa"/>
          </w:tcPr>
          <w:p w:rsidRPr="00B53E9B" w:rsidR="00032F3D" w:rsidP="00131848" w:rsidRDefault="00032F3D" w14:paraId="62EB5975" w14:textId="77777777">
            <w:pPr>
              <w:pStyle w:val="BodyText"/>
              <w:rPr>
                <w:rFonts w:cs="Arial"/>
                <w:b/>
                <w:bCs/>
                <w:sz w:val="20"/>
              </w:rPr>
            </w:pPr>
            <w:r w:rsidRPr="00B53E9B">
              <w:rPr>
                <w:sz w:val="20"/>
              </w:rPr>
              <w:lastRenderedPageBreak/>
              <w:br w:type="page"/>
            </w:r>
            <w:r w:rsidRPr="00B53E9B">
              <w:rPr>
                <w:rFonts w:cs="Arial"/>
                <w:b/>
                <w:bCs/>
                <w:sz w:val="20"/>
              </w:rPr>
              <w:t>Precautions</w:t>
            </w:r>
          </w:p>
        </w:tc>
        <w:tc>
          <w:tcPr>
            <w:tcW w:w="8392" w:type="dxa"/>
          </w:tcPr>
          <w:p w:rsidRPr="00D96231" w:rsidR="00032F3D" w:rsidP="00131848" w:rsidRDefault="00032F3D" w14:paraId="79D3DAC8" w14:textId="77777777">
            <w:pPr>
              <w:pStyle w:val="BodyText"/>
              <w:rPr>
                <w:rFonts w:cs="Arial" w:asciiTheme="minorHAnsi" w:hAnsiTheme="minorHAnsi"/>
                <w:sz w:val="20"/>
              </w:rPr>
            </w:pPr>
            <w:r w:rsidRPr="00D96231">
              <w:rPr>
                <w:rFonts w:cs="Arial" w:asciiTheme="minorHAnsi" w:hAnsiTheme="minorHAnsi"/>
                <w:sz w:val="20"/>
              </w:rPr>
              <w:t>In acute myocardial infarction, ischaemic heart disease or myocarditis, digoxin increases risk of arrhythmias.</w:t>
            </w:r>
          </w:p>
          <w:p w:rsidRPr="00D96231" w:rsidR="00032F3D" w:rsidP="00131848" w:rsidRDefault="00032F3D" w14:paraId="4F7D1F78" w14:textId="77777777">
            <w:pPr>
              <w:pStyle w:val="BodyText"/>
              <w:rPr>
                <w:rFonts w:cs="Arial" w:asciiTheme="minorHAnsi" w:hAnsiTheme="minorHAnsi"/>
                <w:sz w:val="20"/>
              </w:rPr>
            </w:pPr>
            <w:r w:rsidRPr="00D96231">
              <w:rPr>
                <w:rFonts w:cs="Arial" w:asciiTheme="minorHAnsi" w:hAnsiTheme="minorHAnsi"/>
                <w:sz w:val="20"/>
              </w:rPr>
              <w:t>Use digoxin cautiously in sick sinus syndrome (risk of severe bradycardia or sinoatrial block).</w:t>
            </w:r>
          </w:p>
          <w:p w:rsidRPr="00D96231" w:rsidR="00032F3D" w:rsidP="00131848" w:rsidRDefault="00032F3D" w14:paraId="0E2D1F54" w14:textId="77777777">
            <w:pPr>
              <w:pStyle w:val="BodyText"/>
              <w:rPr>
                <w:rFonts w:cs="Arial" w:asciiTheme="minorHAnsi" w:hAnsiTheme="minorHAnsi"/>
                <w:sz w:val="20"/>
              </w:rPr>
            </w:pPr>
            <w:r w:rsidRPr="00D96231">
              <w:rPr>
                <w:rFonts w:cs="Arial" w:asciiTheme="minorHAnsi" w:hAnsiTheme="minorHAnsi"/>
                <w:sz w:val="20"/>
              </w:rPr>
              <w:t>Digoxin may worsen cardiac function in severe aortic stenosis because it increases the force of myocardial contraction.</w:t>
            </w:r>
          </w:p>
          <w:p w:rsidRPr="00D96231" w:rsidR="00032F3D" w:rsidP="00131848" w:rsidRDefault="00032F3D" w14:paraId="7417A018" w14:textId="77777777">
            <w:pPr>
              <w:pStyle w:val="BodyText"/>
              <w:rPr>
                <w:rFonts w:cs="Arial" w:asciiTheme="minorHAnsi" w:hAnsiTheme="minorHAnsi"/>
                <w:sz w:val="20"/>
              </w:rPr>
            </w:pPr>
            <w:r w:rsidRPr="00D96231">
              <w:rPr>
                <w:rFonts w:cs="Arial" w:asciiTheme="minorHAnsi" w:hAnsiTheme="minorHAnsi"/>
                <w:sz w:val="20"/>
              </w:rPr>
              <w:t>Digoxin increases risk of arrhythmias after DC cardioversion; withhold digoxin for 1–2 days before cardioversion or use lowest effective energy.</w:t>
            </w:r>
          </w:p>
          <w:p w:rsidRPr="00D96231" w:rsidR="00032F3D" w:rsidP="00131848" w:rsidRDefault="00032F3D" w14:paraId="4965BCF8" w14:textId="77777777">
            <w:pPr>
              <w:pStyle w:val="BodyText"/>
              <w:rPr>
                <w:rFonts w:cs="Arial" w:asciiTheme="minorHAnsi" w:hAnsiTheme="minorHAnsi"/>
                <w:sz w:val="20"/>
              </w:rPr>
            </w:pPr>
            <w:r w:rsidRPr="00D96231">
              <w:rPr>
                <w:rFonts w:cs="Arial" w:asciiTheme="minorHAnsi" w:hAnsiTheme="minorHAnsi"/>
                <w:sz w:val="20"/>
              </w:rPr>
              <w:t>Hyperthyroidism—may decrease digoxin concentration and increase sympathetic tone; monitor digoxin concentration and alter dose when required or combine with another agent; dosage adjustment may be required when condition is corrected.</w:t>
            </w:r>
          </w:p>
          <w:p w:rsidRPr="00D96231" w:rsidR="00032F3D" w:rsidP="00131848" w:rsidRDefault="00032F3D" w14:paraId="5F0F407F" w14:textId="77777777">
            <w:pPr>
              <w:pStyle w:val="BodyText"/>
              <w:rPr>
                <w:rFonts w:cs="Arial" w:asciiTheme="minorHAnsi" w:hAnsiTheme="minorHAnsi"/>
                <w:sz w:val="20"/>
              </w:rPr>
            </w:pPr>
            <w:r w:rsidRPr="00D96231">
              <w:rPr>
                <w:rFonts w:cs="Arial" w:asciiTheme="minorHAnsi" w:hAnsiTheme="minorHAnsi"/>
                <w:sz w:val="20"/>
              </w:rPr>
              <w:t>Hypothyroidism—may increase digoxin concentration; monitor digoxin concentration and alter dose as required; dosage adjustment may be required when condition is corrected.</w:t>
            </w:r>
          </w:p>
          <w:p w:rsidRPr="00D96231" w:rsidR="00032F3D" w:rsidP="00131848" w:rsidRDefault="00032F3D" w14:paraId="672A3023" w14:textId="77777777">
            <w:pPr>
              <w:pStyle w:val="BodyText"/>
              <w:rPr>
                <w:rFonts w:cs="Arial" w:asciiTheme="minorHAnsi" w:hAnsiTheme="minorHAnsi"/>
                <w:sz w:val="20"/>
              </w:rPr>
            </w:pPr>
            <w:r w:rsidRPr="00D96231">
              <w:rPr>
                <w:rFonts w:cs="Arial" w:asciiTheme="minorHAnsi" w:hAnsiTheme="minorHAnsi"/>
                <w:sz w:val="20"/>
              </w:rPr>
              <w:t>Hypokalaemia, hypomagnesaemia, hypercalcaemia, acidosis, hypoxia—may increase sensitivity to digoxin (especially hypokalaemia); symptoms of toxicity may occur at lower digoxin concentrations.</w:t>
            </w:r>
          </w:p>
        </w:tc>
      </w:tr>
      <w:tr w:rsidRPr="003A7895" w:rsidR="00032F3D" w:rsidTr="00D10A80" w14:paraId="60D9CCD5" w14:textId="77777777">
        <w:trPr>
          <w:trHeight w:val="70"/>
        </w:trPr>
        <w:tc>
          <w:tcPr>
            <w:tcW w:w="1702" w:type="dxa"/>
          </w:tcPr>
          <w:p w:rsidRPr="00B53E9B" w:rsidR="00032F3D" w:rsidP="00131848" w:rsidRDefault="00032F3D" w14:paraId="1680F980"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392" w:type="dxa"/>
          </w:tcPr>
          <w:p w:rsidRPr="00D96231" w:rsidR="00032F3D" w:rsidP="00131848" w:rsidRDefault="00032F3D" w14:paraId="6CF06BCE" w14:textId="77777777">
            <w:pPr>
              <w:pStyle w:val="BodyText"/>
              <w:rPr>
                <w:rFonts w:cs="Arial" w:asciiTheme="minorHAnsi" w:hAnsiTheme="minorHAnsi"/>
                <w:sz w:val="20"/>
              </w:rPr>
            </w:pPr>
            <w:r w:rsidRPr="00D96231">
              <w:rPr>
                <w:rFonts w:cs="Arial" w:asciiTheme="minorHAnsi" w:hAnsiTheme="minorHAnsi"/>
                <w:sz w:val="20"/>
              </w:rPr>
              <w:t>Treatment with drugs that slow cardiac conduction, cause bradycardia or arrhythmias may potentiate the cardiac adverse effects of digoxin; use combinations carefully and monitor cardiac function.</w:t>
            </w:r>
          </w:p>
          <w:p w:rsidRPr="00D96231" w:rsidR="00032F3D" w:rsidP="00131848" w:rsidRDefault="00032F3D" w14:paraId="5E64A28A" w14:textId="77777777">
            <w:pPr>
              <w:pStyle w:val="BodyText"/>
              <w:rPr>
                <w:rFonts w:cs="Arial" w:asciiTheme="minorHAnsi" w:hAnsiTheme="minorHAnsi"/>
                <w:sz w:val="20"/>
              </w:rPr>
            </w:pPr>
            <w:r w:rsidRPr="00D96231">
              <w:rPr>
                <w:rFonts w:cs="Arial" w:asciiTheme="minorHAnsi" w:hAnsiTheme="minorHAnsi"/>
                <w:sz w:val="20"/>
              </w:rPr>
              <w:t>Treatment with drugs that inhibit or induce P</w:t>
            </w:r>
            <w:r w:rsidRPr="00D96231">
              <w:rPr>
                <w:rFonts w:ascii="MS Gothic" w:hAnsi="MS Gothic" w:eastAsia="MS Gothic" w:cs="MS Gothic"/>
                <w:sz w:val="20"/>
              </w:rPr>
              <w:t>‑</w:t>
            </w:r>
            <w:r w:rsidRPr="00D96231">
              <w:rPr>
                <w:rFonts w:cs="Arial" w:asciiTheme="minorHAnsi" w:hAnsiTheme="minorHAnsi"/>
                <w:sz w:val="20"/>
              </w:rPr>
              <w:t xml:space="preserve">glycoprotein </w:t>
            </w:r>
            <w:r>
              <w:rPr>
                <w:rFonts w:cs="Arial" w:asciiTheme="minorHAnsi" w:hAnsiTheme="minorHAnsi"/>
                <w:sz w:val="20"/>
              </w:rPr>
              <w:t>(</w:t>
            </w:r>
            <w:r w:rsidRPr="008E123C">
              <w:rPr>
                <w:rFonts w:cs="Arial" w:asciiTheme="minorHAnsi" w:hAnsiTheme="minorHAnsi"/>
                <w:sz w:val="20"/>
              </w:rPr>
              <w:t>ABCB1</w:t>
            </w:r>
            <w:r>
              <w:rPr>
                <w:rFonts w:cs="Arial" w:asciiTheme="minorHAnsi" w:hAnsiTheme="minorHAnsi"/>
                <w:sz w:val="20"/>
              </w:rPr>
              <w:t>)</w:t>
            </w:r>
            <w:r w:rsidRPr="008E123C">
              <w:rPr>
                <w:rFonts w:cs="Arial" w:asciiTheme="minorHAnsi" w:hAnsiTheme="minorHAnsi"/>
                <w:sz w:val="20"/>
              </w:rPr>
              <w:t xml:space="preserve"> </w:t>
            </w:r>
            <w:r w:rsidRPr="00D96231">
              <w:rPr>
                <w:rFonts w:cs="Arial" w:asciiTheme="minorHAnsi" w:hAnsiTheme="minorHAnsi"/>
                <w:sz w:val="20"/>
              </w:rPr>
              <w:t xml:space="preserve">may increase the risk of adverse effects or decrease digoxin’s efficacy. </w:t>
            </w:r>
          </w:p>
          <w:p w:rsidRPr="00D96231" w:rsidR="00032F3D" w:rsidP="00131848" w:rsidRDefault="00032F3D" w14:paraId="55BC66C4" w14:textId="77777777">
            <w:pPr>
              <w:pStyle w:val="BodyText"/>
              <w:rPr>
                <w:rFonts w:cs="Arial" w:asciiTheme="minorHAnsi" w:hAnsiTheme="minorHAnsi"/>
                <w:sz w:val="20"/>
              </w:rPr>
            </w:pPr>
            <w:r w:rsidRPr="00D96231">
              <w:rPr>
                <w:rFonts w:cs="Cambria Math" w:asciiTheme="minorHAnsi" w:hAnsiTheme="minorHAnsi"/>
                <w:sz w:val="20"/>
              </w:rPr>
              <w:t xml:space="preserve">Use of </w:t>
            </w:r>
            <w:r>
              <w:rPr>
                <w:rFonts w:ascii="Cambria Math" w:hAnsi="Cambria Math" w:cs="Cambria Math"/>
                <w:sz w:val="20"/>
              </w:rPr>
              <w:t xml:space="preserve">beta </w:t>
            </w:r>
            <w:r>
              <w:rPr>
                <w:rFonts w:cs="Arial" w:asciiTheme="minorHAnsi" w:hAnsiTheme="minorHAnsi"/>
                <w:sz w:val="20"/>
              </w:rPr>
              <w:t>b</w:t>
            </w:r>
            <w:r w:rsidRPr="00D96231">
              <w:rPr>
                <w:rFonts w:cs="Arial" w:asciiTheme="minorHAnsi" w:hAnsiTheme="minorHAnsi"/>
                <w:sz w:val="20"/>
              </w:rPr>
              <w:t>lockers and digoxin increases risk of bradycardia and AV block - additive effect.</w:t>
            </w:r>
          </w:p>
          <w:p w:rsidRPr="00D96231" w:rsidR="00032F3D" w:rsidP="00131848" w:rsidRDefault="00032F3D" w14:paraId="37BF56DA" w14:textId="77777777">
            <w:pPr>
              <w:pStyle w:val="BodyText"/>
              <w:rPr>
                <w:rFonts w:cs="Arial" w:asciiTheme="minorHAnsi" w:hAnsiTheme="minorHAnsi"/>
                <w:sz w:val="20"/>
              </w:rPr>
            </w:pPr>
            <w:r w:rsidRPr="00D96231">
              <w:rPr>
                <w:rFonts w:cs="Arial" w:asciiTheme="minorHAnsi" w:hAnsiTheme="minorHAnsi"/>
                <w:sz w:val="20"/>
              </w:rPr>
              <w:t>Use of digoxin and amiodarone increases risk of dysrhythmias and torsade de pointes as amiodarone blocks P-glycoprotein</w:t>
            </w:r>
            <w:r>
              <w:rPr>
                <w:rFonts w:cs="Arial" w:asciiTheme="minorHAnsi" w:hAnsiTheme="minorHAnsi"/>
                <w:sz w:val="20"/>
              </w:rPr>
              <w:t xml:space="preserve"> (</w:t>
            </w:r>
            <w:r w:rsidRPr="008E123C">
              <w:rPr>
                <w:rFonts w:cs="Arial" w:asciiTheme="minorHAnsi" w:hAnsiTheme="minorHAnsi"/>
                <w:sz w:val="20"/>
              </w:rPr>
              <w:t>ABCB1</w:t>
            </w:r>
            <w:r>
              <w:rPr>
                <w:rFonts w:cs="Arial" w:asciiTheme="minorHAnsi" w:hAnsiTheme="minorHAnsi"/>
                <w:sz w:val="20"/>
              </w:rPr>
              <w:t>)</w:t>
            </w:r>
            <w:r w:rsidRPr="00D96231">
              <w:rPr>
                <w:rFonts w:cs="Arial" w:asciiTheme="minorHAnsi" w:hAnsiTheme="minorHAnsi"/>
                <w:sz w:val="20"/>
              </w:rPr>
              <w:t xml:space="preserve">. Torsade de pointes might by facilitated by bradycardia caused by digoxin. </w:t>
            </w:r>
          </w:p>
          <w:p w:rsidRPr="00D96231" w:rsidR="00032F3D" w:rsidP="00131848" w:rsidRDefault="00032F3D" w14:paraId="4273C761" w14:textId="77777777">
            <w:pPr>
              <w:pStyle w:val="BodyText"/>
              <w:rPr>
                <w:rFonts w:cs="Arial" w:asciiTheme="minorHAnsi" w:hAnsiTheme="minorHAnsi"/>
                <w:sz w:val="20"/>
              </w:rPr>
            </w:pPr>
            <w:r w:rsidRPr="00D96231">
              <w:rPr>
                <w:rFonts w:cs="Cambria Math" w:asciiTheme="minorHAnsi" w:hAnsiTheme="minorHAnsi"/>
                <w:sz w:val="20"/>
              </w:rPr>
              <w:t xml:space="preserve">Use of </w:t>
            </w:r>
            <w:r w:rsidRPr="00D96231">
              <w:rPr>
                <w:rFonts w:cs="Arial" w:asciiTheme="minorHAnsi" w:hAnsiTheme="minorHAnsi"/>
                <w:sz w:val="20"/>
              </w:rPr>
              <w:t>digoxin and azoles, clarithromycin and some HIV-protease inhibitors increases risk of dysrhythmias by inhibition of P-glycoprotein</w:t>
            </w:r>
            <w:r>
              <w:rPr>
                <w:rFonts w:cs="Arial" w:asciiTheme="minorHAnsi" w:hAnsiTheme="minorHAnsi"/>
                <w:sz w:val="20"/>
              </w:rPr>
              <w:t xml:space="preserve"> (</w:t>
            </w:r>
            <w:r w:rsidRPr="008E123C">
              <w:rPr>
                <w:rFonts w:cs="Arial" w:asciiTheme="minorHAnsi" w:hAnsiTheme="minorHAnsi"/>
                <w:sz w:val="20"/>
              </w:rPr>
              <w:t>ABCB1</w:t>
            </w:r>
            <w:r>
              <w:rPr>
                <w:rFonts w:cs="Arial" w:asciiTheme="minorHAnsi" w:hAnsiTheme="minorHAnsi"/>
                <w:sz w:val="20"/>
              </w:rPr>
              <w:t>)</w:t>
            </w:r>
            <w:r w:rsidRPr="00D96231">
              <w:rPr>
                <w:rFonts w:cs="Arial" w:asciiTheme="minorHAnsi" w:hAnsiTheme="minorHAnsi"/>
                <w:sz w:val="20"/>
              </w:rPr>
              <w:t xml:space="preserve">. </w:t>
            </w:r>
          </w:p>
          <w:p w:rsidRPr="00D96231" w:rsidR="00032F3D" w:rsidP="00131848" w:rsidRDefault="00032F3D" w14:paraId="6EB4BA70" w14:textId="77777777">
            <w:pPr>
              <w:pStyle w:val="BodyText"/>
              <w:rPr>
                <w:rFonts w:cs="Arial" w:asciiTheme="minorHAnsi" w:hAnsiTheme="minorHAnsi"/>
                <w:sz w:val="20"/>
              </w:rPr>
            </w:pPr>
            <w:r w:rsidRPr="00D96231">
              <w:rPr>
                <w:rFonts w:cs="Cambria Math" w:asciiTheme="minorHAnsi" w:hAnsiTheme="minorHAnsi"/>
                <w:sz w:val="20"/>
              </w:rPr>
              <w:t>Use of d</w:t>
            </w:r>
            <w:r w:rsidRPr="00D96231">
              <w:rPr>
                <w:rFonts w:cs="Arial" w:asciiTheme="minorHAnsi" w:hAnsiTheme="minorHAnsi"/>
                <w:sz w:val="20"/>
              </w:rPr>
              <w:t>igoxin and no</w:t>
            </w:r>
            <w:r>
              <w:rPr>
                <w:rFonts w:cs="Arial" w:asciiTheme="minorHAnsi" w:hAnsiTheme="minorHAnsi"/>
                <w:sz w:val="20"/>
              </w:rPr>
              <w:t>n-d</w:t>
            </w:r>
            <w:r w:rsidRPr="00D96231">
              <w:rPr>
                <w:rFonts w:cs="Arial" w:asciiTheme="minorHAnsi" w:hAnsiTheme="minorHAnsi"/>
                <w:sz w:val="20"/>
              </w:rPr>
              <w:t xml:space="preserve">ihydropyridine </w:t>
            </w:r>
            <w:r>
              <w:rPr>
                <w:rFonts w:cs="Arial" w:asciiTheme="minorHAnsi" w:hAnsiTheme="minorHAnsi"/>
                <w:sz w:val="20"/>
              </w:rPr>
              <w:t>calcium</w:t>
            </w:r>
            <w:r w:rsidRPr="00D96231">
              <w:rPr>
                <w:rFonts w:cs="Arial" w:asciiTheme="minorHAnsi" w:hAnsiTheme="minorHAnsi"/>
                <w:sz w:val="20"/>
              </w:rPr>
              <w:t xml:space="preserve"> channel blockers increases risk of bradycardia, asystole and sinus arrest by inhibition of P-glycoprotein </w:t>
            </w:r>
            <w:r>
              <w:rPr>
                <w:rFonts w:cs="Arial" w:asciiTheme="minorHAnsi" w:hAnsiTheme="minorHAnsi"/>
                <w:sz w:val="20"/>
              </w:rPr>
              <w:t>(</w:t>
            </w:r>
            <w:r w:rsidRPr="008E123C">
              <w:rPr>
                <w:rFonts w:cs="Arial" w:asciiTheme="minorHAnsi" w:hAnsiTheme="minorHAnsi"/>
                <w:sz w:val="20"/>
              </w:rPr>
              <w:t>ABCB1</w:t>
            </w:r>
            <w:r>
              <w:rPr>
                <w:rFonts w:cs="Arial" w:asciiTheme="minorHAnsi" w:hAnsiTheme="minorHAnsi"/>
                <w:sz w:val="20"/>
              </w:rPr>
              <w:t>)</w:t>
            </w:r>
            <w:r w:rsidRPr="008E123C">
              <w:rPr>
                <w:rFonts w:cs="Arial" w:asciiTheme="minorHAnsi" w:hAnsiTheme="minorHAnsi"/>
                <w:sz w:val="20"/>
              </w:rPr>
              <w:t xml:space="preserve"> </w:t>
            </w:r>
            <w:r w:rsidRPr="00D96231">
              <w:rPr>
                <w:rFonts w:cs="Arial" w:asciiTheme="minorHAnsi" w:hAnsiTheme="minorHAnsi"/>
                <w:sz w:val="20"/>
              </w:rPr>
              <w:t>and their synergistic effect on the heart.</w:t>
            </w:r>
          </w:p>
          <w:p w:rsidRPr="00D96231" w:rsidR="00032F3D" w:rsidP="00131848" w:rsidRDefault="00032F3D" w14:paraId="2661519A" w14:textId="77777777">
            <w:pPr>
              <w:pStyle w:val="BodyText"/>
              <w:rPr>
                <w:rFonts w:cs="Arial" w:asciiTheme="minorHAnsi" w:hAnsiTheme="minorHAnsi"/>
                <w:sz w:val="20"/>
              </w:rPr>
            </w:pPr>
            <w:r w:rsidRPr="00D96231">
              <w:rPr>
                <w:rFonts w:cs="Cambria Math" w:asciiTheme="minorHAnsi" w:hAnsiTheme="minorHAnsi"/>
                <w:sz w:val="20"/>
              </w:rPr>
              <w:t xml:space="preserve">Use of </w:t>
            </w:r>
            <w:r w:rsidRPr="00D96231">
              <w:rPr>
                <w:rFonts w:cs="Arial" w:asciiTheme="minorHAnsi" w:hAnsiTheme="minorHAnsi"/>
                <w:sz w:val="20"/>
              </w:rPr>
              <w:t>digoxin and loop or thiazide diuretics, amphotericin B, corticosteroids increase risk of dysrhythmias as hypokalaemia potentiates digoxin toxicity.</w:t>
            </w:r>
          </w:p>
          <w:p w:rsidRPr="00D96231" w:rsidR="00032F3D" w:rsidP="00131848" w:rsidRDefault="00032F3D" w14:paraId="7E843E9C" w14:textId="77777777">
            <w:pPr>
              <w:pStyle w:val="BodyText"/>
              <w:rPr>
                <w:rFonts w:cs="Arial" w:asciiTheme="minorHAnsi" w:hAnsiTheme="minorHAnsi"/>
                <w:sz w:val="20"/>
              </w:rPr>
            </w:pPr>
            <w:r w:rsidRPr="00D96231">
              <w:rPr>
                <w:rFonts w:cs="Cambria Math" w:asciiTheme="minorHAnsi" w:hAnsiTheme="minorHAnsi"/>
                <w:sz w:val="20"/>
              </w:rPr>
              <w:t xml:space="preserve">Use of </w:t>
            </w:r>
            <w:r w:rsidRPr="00D96231">
              <w:rPr>
                <w:rFonts w:cs="Arial" w:asciiTheme="minorHAnsi" w:hAnsiTheme="minorHAnsi"/>
                <w:sz w:val="20"/>
              </w:rPr>
              <w:t>digoxin and IV calcium increases risk of dysrhythmias as hypercalcemia increases effect of cardiac glycosides.</w:t>
            </w:r>
          </w:p>
          <w:p w:rsidRPr="00D96231" w:rsidR="00032F3D" w:rsidP="00131848" w:rsidRDefault="00032F3D" w14:paraId="3262D352" w14:textId="77777777">
            <w:pPr>
              <w:pStyle w:val="BodyText"/>
              <w:rPr>
                <w:rFonts w:cs="Arial" w:asciiTheme="minorHAnsi" w:hAnsiTheme="minorHAnsi"/>
                <w:sz w:val="20"/>
              </w:rPr>
            </w:pPr>
            <w:r w:rsidRPr="00D96231">
              <w:rPr>
                <w:rFonts w:cs="Arial" w:asciiTheme="minorHAnsi" w:hAnsiTheme="minorHAnsi"/>
                <w:sz w:val="20"/>
              </w:rPr>
              <w:t xml:space="preserve">Use of digoxin and propafenone increases risk of dysrhythmia probably by inhibition of P-glycoprotein </w:t>
            </w:r>
            <w:r>
              <w:rPr>
                <w:rFonts w:cs="Arial" w:asciiTheme="minorHAnsi" w:hAnsiTheme="minorHAnsi"/>
                <w:sz w:val="20"/>
              </w:rPr>
              <w:t>(</w:t>
            </w:r>
            <w:r w:rsidRPr="008E123C">
              <w:rPr>
                <w:rFonts w:cs="Arial" w:asciiTheme="minorHAnsi" w:hAnsiTheme="minorHAnsi"/>
                <w:sz w:val="20"/>
              </w:rPr>
              <w:t>ABCB1</w:t>
            </w:r>
            <w:r>
              <w:rPr>
                <w:rFonts w:cs="Arial" w:asciiTheme="minorHAnsi" w:hAnsiTheme="minorHAnsi"/>
                <w:sz w:val="20"/>
              </w:rPr>
              <w:t>)</w:t>
            </w:r>
            <w:r w:rsidRPr="008E123C">
              <w:rPr>
                <w:rFonts w:cs="Arial" w:asciiTheme="minorHAnsi" w:hAnsiTheme="minorHAnsi"/>
                <w:sz w:val="20"/>
              </w:rPr>
              <w:t xml:space="preserve"> </w:t>
            </w:r>
            <w:r w:rsidRPr="00D96231">
              <w:rPr>
                <w:rFonts w:cs="Arial" w:asciiTheme="minorHAnsi" w:hAnsiTheme="minorHAnsi"/>
                <w:sz w:val="20"/>
              </w:rPr>
              <w:t xml:space="preserve">by propafenone. </w:t>
            </w:r>
          </w:p>
          <w:p w:rsidRPr="00D96231" w:rsidR="00032F3D" w:rsidP="00131848" w:rsidRDefault="00032F3D" w14:paraId="1451B2F4" w14:textId="77777777">
            <w:pPr>
              <w:pStyle w:val="BodyText"/>
              <w:rPr>
                <w:rFonts w:cs="Arial" w:asciiTheme="minorHAnsi" w:hAnsiTheme="minorHAnsi"/>
                <w:sz w:val="20"/>
              </w:rPr>
            </w:pPr>
            <w:r w:rsidRPr="00D96231">
              <w:rPr>
                <w:rFonts w:cs="Arial" w:asciiTheme="minorHAnsi" w:hAnsiTheme="minorHAnsi"/>
                <w:sz w:val="20"/>
              </w:rPr>
              <w:t>P</w:t>
            </w:r>
            <w:r w:rsidRPr="00D96231">
              <w:rPr>
                <w:rFonts w:ascii="MS Gothic" w:hAnsi="MS Gothic" w:eastAsia="MS Gothic" w:cs="MS Gothic"/>
                <w:sz w:val="20"/>
              </w:rPr>
              <w:t>‑</w:t>
            </w:r>
            <w:r w:rsidRPr="00D96231">
              <w:rPr>
                <w:rFonts w:cs="Arial" w:asciiTheme="minorHAnsi" w:hAnsiTheme="minorHAnsi"/>
                <w:sz w:val="20"/>
              </w:rPr>
              <w:t xml:space="preserve">glycoprotein </w:t>
            </w:r>
            <w:r>
              <w:rPr>
                <w:rFonts w:cs="Arial" w:asciiTheme="minorHAnsi" w:hAnsiTheme="minorHAnsi"/>
                <w:sz w:val="20"/>
              </w:rPr>
              <w:t>(</w:t>
            </w:r>
            <w:r w:rsidRPr="008E123C">
              <w:rPr>
                <w:rFonts w:cs="Arial" w:asciiTheme="minorHAnsi" w:hAnsiTheme="minorHAnsi"/>
                <w:sz w:val="20"/>
              </w:rPr>
              <w:t>ABCB1</w:t>
            </w:r>
            <w:r>
              <w:rPr>
                <w:rFonts w:cs="Arial" w:asciiTheme="minorHAnsi" w:hAnsiTheme="minorHAnsi"/>
                <w:sz w:val="20"/>
              </w:rPr>
              <w:t>)-</w:t>
            </w:r>
            <w:r w:rsidRPr="00D96231">
              <w:rPr>
                <w:rFonts w:cs="Arial" w:asciiTheme="minorHAnsi" w:hAnsiTheme="minorHAnsi"/>
                <w:sz w:val="20"/>
              </w:rPr>
              <w:t xml:space="preserve">inducers: </w:t>
            </w:r>
            <w:r>
              <w:rPr>
                <w:rFonts w:cs="Arial" w:asciiTheme="minorHAnsi" w:hAnsiTheme="minorHAnsi"/>
                <w:sz w:val="20"/>
              </w:rPr>
              <w:t>C</w:t>
            </w:r>
            <w:r w:rsidRPr="00D96231">
              <w:rPr>
                <w:rFonts w:cs="Arial" w:asciiTheme="minorHAnsi" w:hAnsiTheme="minorHAnsi"/>
                <w:sz w:val="20"/>
              </w:rPr>
              <w:t xml:space="preserve">arbamazepine; phenytoin; rifampicin; St John’s wort; tipranavir. </w:t>
            </w:r>
          </w:p>
          <w:p w:rsidRPr="00D96231" w:rsidR="00032F3D" w:rsidP="00131848" w:rsidRDefault="00032F3D" w14:paraId="1D4AFD08" w14:textId="77777777">
            <w:pPr>
              <w:pStyle w:val="BodyText"/>
              <w:rPr>
                <w:rFonts w:cs="Arial" w:asciiTheme="minorHAnsi" w:hAnsiTheme="minorHAnsi"/>
                <w:sz w:val="20"/>
              </w:rPr>
            </w:pPr>
            <w:r w:rsidRPr="00D96231">
              <w:rPr>
                <w:rFonts w:cs="Arial" w:asciiTheme="minorHAnsi" w:hAnsiTheme="minorHAnsi"/>
                <w:sz w:val="20"/>
              </w:rPr>
              <w:t>P</w:t>
            </w:r>
            <w:r w:rsidRPr="00D96231">
              <w:rPr>
                <w:rFonts w:ascii="MS Gothic" w:hAnsi="MS Gothic" w:eastAsia="MS Gothic" w:cs="MS Gothic"/>
                <w:sz w:val="20"/>
              </w:rPr>
              <w:t>‑</w:t>
            </w:r>
            <w:r w:rsidRPr="00D96231">
              <w:rPr>
                <w:rFonts w:cs="Arial" w:asciiTheme="minorHAnsi" w:hAnsiTheme="minorHAnsi"/>
                <w:sz w:val="20"/>
              </w:rPr>
              <w:t xml:space="preserve">glycoprotein </w:t>
            </w:r>
            <w:r>
              <w:rPr>
                <w:rFonts w:cs="Arial" w:asciiTheme="minorHAnsi" w:hAnsiTheme="minorHAnsi"/>
                <w:sz w:val="20"/>
              </w:rPr>
              <w:t>(</w:t>
            </w:r>
            <w:r w:rsidRPr="008E123C">
              <w:rPr>
                <w:rFonts w:cs="Arial" w:asciiTheme="minorHAnsi" w:hAnsiTheme="minorHAnsi"/>
                <w:sz w:val="20"/>
              </w:rPr>
              <w:t>ABCB1</w:t>
            </w:r>
            <w:r>
              <w:rPr>
                <w:rFonts w:cs="Arial" w:asciiTheme="minorHAnsi" w:hAnsiTheme="minorHAnsi"/>
                <w:sz w:val="20"/>
              </w:rPr>
              <w:t>)-</w:t>
            </w:r>
            <w:r w:rsidRPr="00D96231">
              <w:rPr>
                <w:rFonts w:cs="Arial" w:asciiTheme="minorHAnsi" w:hAnsiTheme="minorHAnsi"/>
                <w:sz w:val="20"/>
              </w:rPr>
              <w:t xml:space="preserve">inhibitors: </w:t>
            </w:r>
            <w:r>
              <w:rPr>
                <w:rFonts w:cs="Arial" w:asciiTheme="minorHAnsi" w:hAnsiTheme="minorHAnsi"/>
                <w:sz w:val="20"/>
              </w:rPr>
              <w:t>A</w:t>
            </w:r>
            <w:r w:rsidRPr="00D96231">
              <w:rPr>
                <w:rFonts w:cs="Arial" w:asciiTheme="minorHAnsi" w:hAnsiTheme="minorHAnsi"/>
                <w:sz w:val="20"/>
              </w:rPr>
              <w:t>miodarone, azithromycin, carvedilol, ciclosporin, clarithromycin, cobicistat, daclatasvir, erythromycin, everolimus, glecaprevir with pibrentasvir, isavuconazole, itraconazole, ketoconazole, lapatinib, ledipasvir, ritonavir, ticagrelor, tolvaptan, vandetanib, velpatasvir, vemurafenib, venetoclax, verapamil.</w:t>
            </w:r>
          </w:p>
        </w:tc>
      </w:tr>
      <w:tr w:rsidRPr="003A7895" w:rsidR="00032F3D" w:rsidTr="00D10A80" w14:paraId="53C076BB" w14:textId="77777777">
        <w:trPr>
          <w:trHeight w:val="332"/>
        </w:trPr>
        <w:tc>
          <w:tcPr>
            <w:tcW w:w="1702" w:type="dxa"/>
          </w:tcPr>
          <w:p w:rsidRPr="00B53E9B" w:rsidR="00032F3D" w:rsidP="00131848" w:rsidRDefault="00032F3D" w14:paraId="1E93F8AC"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392" w:type="dxa"/>
          </w:tcPr>
          <w:p w:rsidRPr="00D96231" w:rsidR="00032F3D" w:rsidP="00131848" w:rsidRDefault="00032F3D" w14:paraId="2DB7AA8A" w14:textId="77777777">
            <w:pPr>
              <w:pStyle w:val="BodyText"/>
              <w:rPr>
                <w:rFonts w:cs="Arial" w:asciiTheme="minorHAnsi" w:hAnsiTheme="minorHAnsi"/>
                <w:sz w:val="20"/>
              </w:rPr>
            </w:pPr>
            <w:r w:rsidRPr="00D96231">
              <w:rPr>
                <w:rFonts w:cs="Arial" w:asciiTheme="minorHAnsi" w:hAnsiTheme="minorHAnsi"/>
                <w:sz w:val="20"/>
              </w:rPr>
              <w:t>Digoxin may worsen arrhythmias (proarrhythmic effect).</w:t>
            </w:r>
          </w:p>
          <w:p w:rsidRPr="00D96231" w:rsidR="00032F3D" w:rsidP="00131848" w:rsidRDefault="00032F3D" w14:paraId="7A16319E" w14:textId="77777777">
            <w:pPr>
              <w:pStyle w:val="BodyText"/>
              <w:rPr>
                <w:rFonts w:cs="Arial" w:asciiTheme="minorHAnsi" w:hAnsiTheme="minorHAnsi"/>
                <w:sz w:val="20"/>
              </w:rPr>
            </w:pPr>
            <w:r w:rsidRPr="00D96231">
              <w:rPr>
                <w:rFonts w:cs="Arial" w:asciiTheme="minorHAnsi" w:hAnsiTheme="minorHAnsi"/>
                <w:sz w:val="20"/>
              </w:rPr>
              <w:t xml:space="preserve">Digoxin has a narrow therapeutic range; adverse effects are related to its plasma concentration and very few occur at &lt;0.8 microgram/L (1 </w:t>
            </w:r>
            <w:r>
              <w:rPr>
                <w:rFonts w:cs="Arial" w:asciiTheme="minorHAnsi" w:hAnsiTheme="minorHAnsi"/>
                <w:sz w:val="20"/>
              </w:rPr>
              <w:t>nmol</w:t>
            </w:r>
            <w:r w:rsidRPr="00D96231">
              <w:rPr>
                <w:rFonts w:cs="Arial" w:asciiTheme="minorHAnsi" w:hAnsiTheme="minorHAnsi"/>
                <w:sz w:val="20"/>
              </w:rPr>
              <w:t>/L).</w:t>
            </w:r>
          </w:p>
          <w:p w:rsidRPr="00D96231" w:rsidR="00032F3D" w:rsidP="00131848" w:rsidRDefault="00032F3D" w14:paraId="407A7129" w14:textId="77777777">
            <w:pPr>
              <w:pStyle w:val="BodyText"/>
              <w:rPr>
                <w:rFonts w:cs="Arial" w:asciiTheme="minorHAnsi" w:hAnsiTheme="minorHAnsi"/>
                <w:sz w:val="20"/>
              </w:rPr>
            </w:pPr>
            <w:r w:rsidRPr="00D96231">
              <w:rPr>
                <w:rFonts w:cs="Arial" w:asciiTheme="minorHAnsi" w:hAnsiTheme="minorHAnsi"/>
                <w:sz w:val="20"/>
              </w:rPr>
              <w:t>Digoxin usually has an effect on the ECG and may result in prolonged PR interval, ST depression or T wave inversion (these changes do not necessarily indicate digoxin toxicity or myocardial ischaemia).</w:t>
            </w:r>
          </w:p>
          <w:p w:rsidRPr="00D96231" w:rsidR="00032F3D" w:rsidP="00131848" w:rsidRDefault="00032F3D" w14:paraId="345407FD" w14:textId="77777777">
            <w:pPr>
              <w:pStyle w:val="BodyText"/>
              <w:rPr>
                <w:rFonts w:cs="Arial" w:asciiTheme="minorHAnsi" w:hAnsiTheme="minorHAnsi"/>
                <w:sz w:val="20"/>
              </w:rPr>
            </w:pPr>
            <w:r w:rsidRPr="00D96231">
              <w:rPr>
                <w:rFonts w:cs="Arial" w:asciiTheme="minorHAnsi" w:hAnsiTheme="minorHAnsi"/>
                <w:sz w:val="20"/>
              </w:rPr>
              <w:t>In children, arrhythmias (including sinus bradycardia) are the earliest and most frequent indicators that digoxin dosage is too high.</w:t>
            </w:r>
          </w:p>
          <w:p w:rsidRPr="00D96231" w:rsidR="00032F3D" w:rsidP="00131848" w:rsidRDefault="00032F3D" w14:paraId="16C34370" w14:textId="77777777">
            <w:pPr>
              <w:pStyle w:val="BodyText"/>
              <w:rPr>
                <w:rFonts w:cs="Arial" w:asciiTheme="minorHAnsi" w:hAnsiTheme="minorHAnsi"/>
                <w:sz w:val="20"/>
              </w:rPr>
            </w:pPr>
            <w:r w:rsidRPr="00D96231">
              <w:rPr>
                <w:rFonts w:cs="Arial" w:asciiTheme="minorHAnsi" w:hAnsiTheme="minorHAnsi"/>
                <w:sz w:val="20"/>
              </w:rPr>
              <w:t xml:space="preserve">Common (&gt;1%): </w:t>
            </w:r>
            <w:r>
              <w:rPr>
                <w:rFonts w:cs="Arial" w:asciiTheme="minorHAnsi" w:hAnsiTheme="minorHAnsi"/>
                <w:sz w:val="20"/>
              </w:rPr>
              <w:t>A</w:t>
            </w:r>
            <w:r w:rsidRPr="00D96231">
              <w:rPr>
                <w:rFonts w:cs="Arial" w:asciiTheme="minorHAnsi" w:hAnsiTheme="minorHAnsi"/>
                <w:sz w:val="20"/>
              </w:rPr>
              <w:t>norexia, nausea, vomiting, diarrhoea, visual disturbances (e.g. blurred vision), drowsiness, dizziness, headache, rash, bradycardia, arrhythmia</w:t>
            </w:r>
            <w:r>
              <w:rPr>
                <w:rFonts w:cs="Arial" w:asciiTheme="minorHAnsi" w:hAnsiTheme="minorHAnsi"/>
                <w:sz w:val="20"/>
              </w:rPr>
              <w:t>.</w:t>
            </w:r>
          </w:p>
          <w:p w:rsidRPr="00D96231" w:rsidR="00032F3D" w:rsidP="00131848" w:rsidRDefault="00032F3D" w14:paraId="5BFEE0F3" w14:textId="77777777">
            <w:pPr>
              <w:pStyle w:val="BodyText"/>
              <w:rPr>
                <w:rFonts w:cs="Arial" w:asciiTheme="minorHAnsi" w:hAnsiTheme="minorHAnsi"/>
                <w:sz w:val="20"/>
              </w:rPr>
            </w:pPr>
            <w:r w:rsidRPr="00D96231">
              <w:rPr>
                <w:rFonts w:cs="Arial" w:asciiTheme="minorHAnsi" w:hAnsiTheme="minorHAnsi"/>
                <w:sz w:val="20"/>
              </w:rPr>
              <w:t xml:space="preserve">Infrequent (0.1–1%): </w:t>
            </w:r>
            <w:r>
              <w:rPr>
                <w:rFonts w:cs="Arial" w:asciiTheme="minorHAnsi" w:hAnsiTheme="minorHAnsi"/>
                <w:sz w:val="20"/>
              </w:rPr>
              <w:t>D</w:t>
            </w:r>
            <w:r w:rsidRPr="00D96231">
              <w:rPr>
                <w:rFonts w:cs="Arial" w:asciiTheme="minorHAnsi" w:hAnsiTheme="minorHAnsi"/>
                <w:sz w:val="20"/>
              </w:rPr>
              <w:t>epression, shortened QRS complex, atrial or ventricular extrasystoles, paroxysmal atrial tachycardia with AV block, ventricular tachycardia or fibrillation, heart block.</w:t>
            </w:r>
          </w:p>
          <w:p w:rsidRPr="00D96231" w:rsidR="00032F3D" w:rsidP="00131848" w:rsidRDefault="00032F3D" w14:paraId="5C08AC22" w14:textId="77777777">
            <w:pPr>
              <w:pStyle w:val="BodyText"/>
              <w:rPr>
                <w:rFonts w:cs="Arial" w:asciiTheme="minorHAnsi" w:hAnsiTheme="minorHAnsi"/>
                <w:sz w:val="20"/>
              </w:rPr>
            </w:pPr>
            <w:r w:rsidRPr="00D96231">
              <w:rPr>
                <w:rFonts w:cs="Arial" w:asciiTheme="minorHAnsi" w:hAnsiTheme="minorHAnsi"/>
                <w:sz w:val="20"/>
              </w:rPr>
              <w:t xml:space="preserve">Rare (&lt;0.1%): </w:t>
            </w:r>
            <w:r>
              <w:rPr>
                <w:rFonts w:cs="Arial" w:asciiTheme="minorHAnsi" w:hAnsiTheme="minorHAnsi"/>
                <w:sz w:val="20"/>
              </w:rPr>
              <w:t>T</w:t>
            </w:r>
            <w:r w:rsidRPr="00D96231">
              <w:rPr>
                <w:rFonts w:cs="Arial" w:asciiTheme="minorHAnsi" w:hAnsiTheme="minorHAnsi"/>
                <w:sz w:val="20"/>
              </w:rPr>
              <w:t>hrombocytopenia, seizures, confusion, psychosis, gynaecomastia (long-term use).</w:t>
            </w:r>
          </w:p>
        </w:tc>
      </w:tr>
      <w:tr w:rsidRPr="003A7895" w:rsidR="00032F3D" w:rsidTr="00D10A80" w14:paraId="4B4B7F71" w14:textId="77777777">
        <w:trPr>
          <w:trHeight w:val="180"/>
        </w:trPr>
        <w:tc>
          <w:tcPr>
            <w:tcW w:w="1702" w:type="dxa"/>
          </w:tcPr>
          <w:p w:rsidRPr="00B53E9B" w:rsidR="00032F3D" w:rsidP="00131848" w:rsidRDefault="00032F3D" w14:paraId="1997D0BB" w14:textId="77777777">
            <w:pPr>
              <w:pStyle w:val="BodyText"/>
              <w:rPr>
                <w:rFonts w:cs="Arial"/>
                <w:b/>
                <w:bCs/>
                <w:sz w:val="20"/>
              </w:rPr>
            </w:pPr>
            <w:r w:rsidRPr="00B53E9B">
              <w:rPr>
                <w:rFonts w:cs="Arial"/>
                <w:b/>
                <w:bCs/>
                <w:sz w:val="20"/>
              </w:rPr>
              <w:lastRenderedPageBreak/>
              <w:t>Compatibility</w:t>
            </w:r>
          </w:p>
        </w:tc>
        <w:tc>
          <w:tcPr>
            <w:tcW w:w="8392" w:type="dxa"/>
          </w:tcPr>
          <w:p w:rsidRPr="00D96231" w:rsidR="00032F3D" w:rsidP="00131848" w:rsidRDefault="00032F3D" w14:paraId="702F65E1" w14:textId="77777777">
            <w:pPr>
              <w:pStyle w:val="BodyText"/>
              <w:rPr>
                <w:rFonts w:asciiTheme="minorHAnsi" w:hAnsiTheme="minorHAnsi"/>
                <w:sz w:val="20"/>
              </w:rPr>
            </w:pPr>
            <w:r w:rsidRPr="00D96231">
              <w:rPr>
                <w:rFonts w:asciiTheme="minorHAnsi" w:hAnsiTheme="minorHAnsi"/>
                <w:sz w:val="20"/>
              </w:rPr>
              <w:t>Fluids: Glucose 5%, H</w:t>
            </w:r>
            <w:r>
              <w:rPr>
                <w:rFonts w:asciiTheme="minorHAnsi" w:hAnsiTheme="minorHAnsi"/>
                <w:sz w:val="20"/>
              </w:rPr>
              <w:t>artmann’s, sodium chloride 0.9%, sodium chloride 0.45%. Not tested: glucose 10%.</w:t>
            </w:r>
          </w:p>
          <w:p w:rsidR="00032F3D" w:rsidP="00131848" w:rsidRDefault="00032F3D" w14:paraId="656461AC" w14:textId="77777777">
            <w:pPr>
              <w:pStyle w:val="BodyText"/>
              <w:rPr>
                <w:rFonts w:asciiTheme="minorHAnsi" w:hAnsiTheme="minorHAnsi"/>
                <w:sz w:val="20"/>
              </w:rPr>
            </w:pPr>
          </w:p>
          <w:p w:rsidRPr="00D96231" w:rsidR="00032F3D" w:rsidP="00131848" w:rsidRDefault="00032F3D" w14:paraId="5703E3EA" w14:textId="77777777">
            <w:pPr>
              <w:pStyle w:val="BodyText"/>
              <w:rPr>
                <w:rFonts w:asciiTheme="minorHAnsi" w:hAnsiTheme="minorHAnsi"/>
                <w:sz w:val="20"/>
              </w:rPr>
            </w:pPr>
            <w:r w:rsidRPr="00D96231">
              <w:rPr>
                <w:rFonts w:asciiTheme="minorHAnsi" w:hAnsiTheme="minorHAnsi"/>
                <w:sz w:val="20"/>
              </w:rPr>
              <w:t>Y-site</w:t>
            </w:r>
            <w:r>
              <w:rPr>
                <w:rFonts w:asciiTheme="minorHAnsi" w:hAnsiTheme="minorHAnsi"/>
                <w:sz w:val="20"/>
              </w:rPr>
              <w:t xml:space="preserve"> (30,32)</w:t>
            </w:r>
            <w:r w:rsidRPr="00D96231">
              <w:rPr>
                <w:rFonts w:asciiTheme="minorHAnsi" w:hAnsiTheme="minorHAnsi"/>
                <w:sz w:val="20"/>
              </w:rPr>
              <w:t xml:space="preserve">: </w:t>
            </w:r>
            <w:r>
              <w:rPr>
                <w:rFonts w:asciiTheme="minorHAnsi" w:hAnsiTheme="minorHAnsi"/>
                <w:sz w:val="20"/>
              </w:rPr>
              <w:t xml:space="preserve">Aciclovir, amikacin, aminophylline, amphotericin B lipid complex, ascorbic acid injection, atenolol, atracurium, atropine, azathioprine, azithromycin, aztreonam, calcium chloride, calcium gluconate, capreomycin, cefalotin, cefazolin, cefotaxime, cefoxitin, ceftazidime, ceftriaxone, cefuroxime, chloramphenicol sodium succinate, chlorothiazide, ciprofloxacin, clindamycin, cloxacillin, dexamethasone sodium phosphate, dexmedetomidine, dobutamine, dopamine, doxycycline, enalaprilat, epinephrine, epoietin alfa, erythromycin lactobionate, fentanyl, fluorouracil, folic acid (as sodium salt), furosemide, ganciclovir, gentamicin, glycopyrrolate, heparin sodium, hydrocortisone sodium succinate, imipenem-cilastatin, indomethacin, isoproterenol, kanamycin, ketamine, labetolol, lidocaine, lincomycin, linezolid, lorazepam, magnesium sulfate, Meropenem, methylprednisolone sodum succinate, metronidazole, midazolam, milrinone, morphine sulfate, multiple vitamin injection, naloxone, netilmicin, nitroglycerin, nitroprusside sodium, norepinephrine, octreotide, pamidronate, penicillin G potassium, penicillin G sodium, pentobarbital, phenobarbital, piperacillin, piperacillin-tazobactam, potassium acetate, potassium chloride, propranolol, protamine, pyridoxine, ranitidine, remifentanil, rocuronium, sodium acetate, sodium bicarbonate, streptokinase, succinylcholine, suxamethonium, theophylline, thiamine, ticarcillin-clavulanate, tobramycin, tolazoline, urokinase, vancomycin, vasopressin, vecuronium, voriconazole. </w:t>
            </w:r>
          </w:p>
        </w:tc>
      </w:tr>
      <w:tr w:rsidRPr="003A7895" w:rsidR="00032F3D" w:rsidTr="00D10A80" w14:paraId="3E4B02D0" w14:textId="77777777">
        <w:trPr>
          <w:trHeight w:val="230"/>
        </w:trPr>
        <w:tc>
          <w:tcPr>
            <w:tcW w:w="1702" w:type="dxa"/>
          </w:tcPr>
          <w:p w:rsidRPr="00B53E9B" w:rsidR="00032F3D" w:rsidP="00131848" w:rsidRDefault="00032F3D" w14:paraId="2A65006C" w14:textId="77777777">
            <w:pPr>
              <w:pStyle w:val="BodyText"/>
              <w:rPr>
                <w:rFonts w:cs="Arial"/>
                <w:b/>
                <w:bCs/>
                <w:sz w:val="20"/>
              </w:rPr>
            </w:pPr>
            <w:r w:rsidRPr="00B53E9B">
              <w:rPr>
                <w:rFonts w:cs="Arial"/>
                <w:b/>
                <w:bCs/>
                <w:sz w:val="20"/>
              </w:rPr>
              <w:t>Incompatibility</w:t>
            </w:r>
          </w:p>
        </w:tc>
        <w:tc>
          <w:tcPr>
            <w:tcW w:w="8392" w:type="dxa"/>
          </w:tcPr>
          <w:p w:rsidRPr="00D96231" w:rsidR="00032F3D" w:rsidP="00131848" w:rsidRDefault="00032F3D" w14:paraId="7FCDF810" w14:textId="77777777">
            <w:pPr>
              <w:pStyle w:val="BodyText"/>
              <w:rPr>
                <w:rFonts w:asciiTheme="minorHAnsi" w:hAnsiTheme="minorHAnsi"/>
                <w:sz w:val="20"/>
              </w:rPr>
            </w:pPr>
            <w:r w:rsidRPr="00D96231">
              <w:rPr>
                <w:rFonts w:asciiTheme="minorHAnsi" w:hAnsiTheme="minorHAnsi"/>
                <w:sz w:val="20"/>
              </w:rPr>
              <w:t>Fluids: No information</w:t>
            </w:r>
          </w:p>
          <w:p w:rsidR="00032F3D" w:rsidP="00131848" w:rsidRDefault="00032F3D" w14:paraId="1BB26CEF" w14:textId="77777777">
            <w:pPr>
              <w:pStyle w:val="BodyText"/>
              <w:rPr>
                <w:rFonts w:asciiTheme="minorHAnsi" w:hAnsiTheme="minorHAnsi"/>
                <w:sz w:val="20"/>
              </w:rPr>
            </w:pPr>
          </w:p>
          <w:p w:rsidRPr="00D96231" w:rsidR="00032F3D" w:rsidP="00131848" w:rsidRDefault="00032F3D" w14:paraId="2709CEB0" w14:textId="77777777">
            <w:pPr>
              <w:pStyle w:val="BodyText"/>
              <w:rPr>
                <w:rFonts w:cs="Arial" w:asciiTheme="minorHAnsi" w:hAnsiTheme="minorHAnsi"/>
                <w:sz w:val="20"/>
              </w:rPr>
            </w:pPr>
            <w:r>
              <w:rPr>
                <w:rFonts w:asciiTheme="minorHAnsi" w:hAnsiTheme="minorHAnsi"/>
                <w:sz w:val="20"/>
              </w:rPr>
              <w:t>Y-site (30,32)</w:t>
            </w:r>
            <w:r w:rsidRPr="00D96231">
              <w:rPr>
                <w:rFonts w:asciiTheme="minorHAnsi" w:hAnsiTheme="minorHAnsi"/>
                <w:sz w:val="20"/>
              </w:rPr>
              <w:t xml:space="preserve">: </w:t>
            </w:r>
            <w:r>
              <w:rPr>
                <w:rFonts w:asciiTheme="minorHAnsi" w:hAnsiTheme="minorHAnsi"/>
                <w:sz w:val="20"/>
              </w:rPr>
              <w:t xml:space="preserve">Amiodarone, amphotericin B cholesteryl sulfate complex, amphotericin B conventional colloidal, amphotericin B liposome, caspofungin, diazepam, diazoxide, fluconazole, phenytoin, propofol, sulfamethoxazole-trimethoprim, </w:t>
            </w:r>
            <w:r w:rsidRPr="00D96231">
              <w:rPr>
                <w:rFonts w:asciiTheme="minorHAnsi" w:hAnsiTheme="minorHAnsi"/>
                <w:sz w:val="20"/>
              </w:rPr>
              <w:t>Adrenaline (epinephrine), amiodarone, caspofungin, fluconazole, foscarnet, pentamidine, propofol</w:t>
            </w:r>
          </w:p>
        </w:tc>
      </w:tr>
      <w:tr w:rsidRPr="003A7895" w:rsidR="00032F3D" w:rsidTr="00D10A80" w14:paraId="4C6ACF68" w14:textId="77777777">
        <w:trPr>
          <w:trHeight w:val="79"/>
        </w:trPr>
        <w:tc>
          <w:tcPr>
            <w:tcW w:w="1702" w:type="dxa"/>
          </w:tcPr>
          <w:p w:rsidRPr="00B53E9B" w:rsidR="00032F3D" w:rsidP="00131848" w:rsidRDefault="00032F3D" w14:paraId="5EB7CD56" w14:textId="77777777">
            <w:pPr>
              <w:pStyle w:val="BodyText"/>
              <w:rPr>
                <w:rFonts w:cs="Arial"/>
                <w:b/>
                <w:bCs/>
                <w:sz w:val="20"/>
              </w:rPr>
            </w:pPr>
            <w:r w:rsidRPr="00B53E9B">
              <w:rPr>
                <w:rFonts w:cs="Arial"/>
                <w:b/>
                <w:bCs/>
                <w:sz w:val="20"/>
              </w:rPr>
              <w:t>Stability</w:t>
            </w:r>
          </w:p>
        </w:tc>
        <w:tc>
          <w:tcPr>
            <w:tcW w:w="8392" w:type="dxa"/>
          </w:tcPr>
          <w:p w:rsidRPr="00D96231" w:rsidR="00032F3D" w:rsidP="00131848" w:rsidRDefault="00032F3D" w14:paraId="4C4D4C09" w14:textId="77777777">
            <w:pPr>
              <w:rPr>
                <w:rFonts w:cs="Arial" w:asciiTheme="minorHAnsi" w:hAnsiTheme="minorHAnsi"/>
                <w:sz w:val="20"/>
              </w:rPr>
            </w:pPr>
            <w:r w:rsidRPr="00D96231">
              <w:rPr>
                <w:rFonts w:cs="Arial" w:asciiTheme="minorHAnsi" w:hAnsiTheme="minorHAnsi"/>
                <w:sz w:val="20"/>
              </w:rPr>
              <w:t xml:space="preserve">Infusion solution: </w:t>
            </w:r>
            <w:r>
              <w:rPr>
                <w:rFonts w:cs="Arial" w:asciiTheme="minorHAnsi" w:hAnsiTheme="minorHAnsi"/>
                <w:sz w:val="20"/>
              </w:rPr>
              <w:t>S</w:t>
            </w:r>
            <w:r w:rsidRPr="00D96231">
              <w:rPr>
                <w:rFonts w:cs="Arial" w:asciiTheme="minorHAnsi" w:hAnsiTheme="minorHAnsi"/>
                <w:sz w:val="20"/>
              </w:rPr>
              <w:t>table for up to 6 hours at 25°</w:t>
            </w:r>
            <w:r>
              <w:rPr>
                <w:rFonts w:cs="Arial" w:asciiTheme="minorHAnsi" w:hAnsiTheme="minorHAnsi"/>
                <w:sz w:val="20"/>
              </w:rPr>
              <w:t xml:space="preserve"> </w:t>
            </w:r>
            <w:r w:rsidRPr="00D96231">
              <w:rPr>
                <w:rFonts w:cs="Arial" w:asciiTheme="minorHAnsi" w:hAnsiTheme="minorHAnsi"/>
                <w:sz w:val="20"/>
              </w:rPr>
              <w:t>C.</w:t>
            </w:r>
          </w:p>
        </w:tc>
      </w:tr>
      <w:tr w:rsidRPr="003A7895" w:rsidR="00032F3D" w:rsidTr="00D10A80" w14:paraId="575667F5" w14:textId="77777777">
        <w:trPr>
          <w:trHeight w:val="70"/>
        </w:trPr>
        <w:tc>
          <w:tcPr>
            <w:tcW w:w="1702" w:type="dxa"/>
          </w:tcPr>
          <w:p w:rsidRPr="00B53E9B" w:rsidR="00032F3D" w:rsidP="00131848" w:rsidRDefault="00032F3D" w14:paraId="38A3B654" w14:textId="77777777">
            <w:pPr>
              <w:pStyle w:val="BodyText"/>
              <w:rPr>
                <w:rFonts w:cs="Arial"/>
                <w:b/>
                <w:bCs/>
                <w:sz w:val="20"/>
              </w:rPr>
            </w:pPr>
            <w:r w:rsidRPr="00B53E9B">
              <w:rPr>
                <w:rFonts w:cs="Arial"/>
                <w:b/>
                <w:bCs/>
                <w:sz w:val="20"/>
              </w:rPr>
              <w:t xml:space="preserve">Storage </w:t>
            </w:r>
          </w:p>
        </w:tc>
        <w:tc>
          <w:tcPr>
            <w:tcW w:w="8392" w:type="dxa"/>
          </w:tcPr>
          <w:p w:rsidRPr="00D96231" w:rsidR="00032F3D" w:rsidP="00131848" w:rsidRDefault="00032F3D" w14:paraId="7B967D6B" w14:textId="77777777">
            <w:pPr>
              <w:rPr>
                <w:rFonts w:cs="Arial" w:asciiTheme="minorHAnsi" w:hAnsiTheme="minorHAnsi"/>
                <w:sz w:val="20"/>
              </w:rPr>
            </w:pPr>
            <w:r w:rsidRPr="00D96231">
              <w:rPr>
                <w:rFonts w:cs="Arial" w:asciiTheme="minorHAnsi" w:hAnsiTheme="minorHAnsi"/>
                <w:sz w:val="20"/>
              </w:rPr>
              <w:t xml:space="preserve">Ampoule and oral elixir: </w:t>
            </w:r>
            <w:r>
              <w:rPr>
                <w:rFonts w:cs="Arial" w:asciiTheme="minorHAnsi" w:hAnsiTheme="minorHAnsi"/>
                <w:sz w:val="20"/>
              </w:rPr>
              <w:t>S</w:t>
            </w:r>
            <w:r w:rsidRPr="00D96231">
              <w:rPr>
                <w:rFonts w:cs="Arial" w:asciiTheme="minorHAnsi" w:hAnsiTheme="minorHAnsi"/>
                <w:sz w:val="20"/>
              </w:rPr>
              <w:t>tore below 25°</w:t>
            </w:r>
            <w:r>
              <w:rPr>
                <w:rFonts w:cs="Arial" w:asciiTheme="minorHAnsi" w:hAnsiTheme="minorHAnsi"/>
                <w:sz w:val="20"/>
              </w:rPr>
              <w:t xml:space="preserve"> </w:t>
            </w:r>
            <w:r w:rsidRPr="00D96231">
              <w:rPr>
                <w:rFonts w:cs="Arial" w:asciiTheme="minorHAnsi" w:hAnsiTheme="minorHAnsi"/>
                <w:sz w:val="20"/>
              </w:rPr>
              <w:t>C. Protect from light.</w:t>
            </w:r>
          </w:p>
        </w:tc>
      </w:tr>
      <w:tr w:rsidRPr="003A7895" w:rsidR="00032F3D" w:rsidTr="00D10A80" w14:paraId="4ADB8265" w14:textId="77777777">
        <w:trPr>
          <w:trHeight w:val="70"/>
        </w:trPr>
        <w:tc>
          <w:tcPr>
            <w:tcW w:w="1702" w:type="dxa"/>
          </w:tcPr>
          <w:p w:rsidRPr="00B53E9B" w:rsidR="00032F3D" w:rsidP="00131848" w:rsidRDefault="00032F3D" w14:paraId="28DF0609" w14:textId="77777777">
            <w:pPr>
              <w:pStyle w:val="BodyText"/>
              <w:rPr>
                <w:rFonts w:cs="Arial"/>
                <w:b/>
                <w:bCs/>
                <w:sz w:val="20"/>
              </w:rPr>
            </w:pPr>
            <w:r w:rsidRPr="00B53E9B">
              <w:rPr>
                <w:rFonts w:cs="Arial"/>
                <w:b/>
                <w:bCs/>
                <w:sz w:val="20"/>
              </w:rPr>
              <w:t>Excipients</w:t>
            </w:r>
          </w:p>
        </w:tc>
        <w:tc>
          <w:tcPr>
            <w:tcW w:w="8392" w:type="dxa"/>
          </w:tcPr>
          <w:p w:rsidRPr="00CA5438" w:rsidR="00032F3D" w:rsidP="00131848" w:rsidRDefault="00032F3D" w14:paraId="0EF74D8E" w14:textId="77777777">
            <w:pPr>
              <w:pStyle w:val="BodyText"/>
              <w:rPr>
                <w:rFonts w:cs="Arial" w:asciiTheme="minorHAnsi" w:hAnsiTheme="minorHAnsi"/>
                <w:color w:val="333333"/>
                <w:sz w:val="20"/>
              </w:rPr>
            </w:pPr>
            <w:r w:rsidRPr="00CA5438">
              <w:rPr>
                <w:rFonts w:cs="Arial" w:asciiTheme="minorHAnsi" w:hAnsiTheme="minorHAnsi"/>
                <w:color w:val="333333"/>
                <w:sz w:val="20"/>
              </w:rPr>
              <w:t>Elixir: sucrose 30% w/v, sodium phosphate, citric acid, ethanol, propylene glycol, colouring (quinoline yellow CI47005), methyl hydroxybenzoate, water</w:t>
            </w:r>
          </w:p>
          <w:p w:rsidRPr="00026F20" w:rsidR="00032F3D" w:rsidP="00131848" w:rsidRDefault="00032F3D" w14:paraId="40670299" w14:textId="77777777">
            <w:pPr>
              <w:pStyle w:val="BodyText"/>
              <w:rPr>
                <w:rFonts w:cs="Arial"/>
                <w:sz w:val="20"/>
              </w:rPr>
            </w:pPr>
            <w:r w:rsidRPr="00CA5438">
              <w:rPr>
                <w:rFonts w:cs="Arial" w:asciiTheme="minorHAnsi" w:hAnsiTheme="minorHAnsi"/>
                <w:color w:val="333333"/>
                <w:sz w:val="20"/>
              </w:rPr>
              <w:t>IV: propylene glycol 41.5% w/v, ethanol, citric acid, sodium phosphate, water for injections</w:t>
            </w:r>
          </w:p>
        </w:tc>
      </w:tr>
      <w:tr w:rsidRPr="003A7895" w:rsidR="00032F3D" w:rsidTr="00D10A80" w14:paraId="74A17991" w14:textId="77777777">
        <w:trPr>
          <w:trHeight w:val="270"/>
        </w:trPr>
        <w:tc>
          <w:tcPr>
            <w:tcW w:w="1702" w:type="dxa"/>
          </w:tcPr>
          <w:p w:rsidRPr="00B53E9B" w:rsidR="00032F3D" w:rsidP="00131848" w:rsidRDefault="00032F3D" w14:paraId="62263C39"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392" w:type="dxa"/>
          </w:tcPr>
          <w:p w:rsidRPr="00D96231" w:rsidR="00032F3D" w:rsidP="00131848" w:rsidRDefault="00032F3D" w14:paraId="6FE1473F" w14:textId="77777777">
            <w:pPr>
              <w:pStyle w:val="BodyText"/>
              <w:rPr>
                <w:rFonts w:cs="Arial" w:asciiTheme="minorHAnsi" w:hAnsiTheme="minorHAnsi"/>
                <w:sz w:val="20"/>
              </w:rPr>
            </w:pPr>
            <w:r w:rsidRPr="00D96231">
              <w:rPr>
                <w:rFonts w:cs="Arial" w:asciiTheme="minorHAnsi" w:hAnsiTheme="minorHAnsi"/>
                <w:sz w:val="20"/>
              </w:rPr>
              <w:t xml:space="preserve">Bioavailability of oral dose 60 to 85%. </w:t>
            </w:r>
          </w:p>
          <w:p w:rsidRPr="00D96231" w:rsidR="00032F3D" w:rsidP="00131848" w:rsidRDefault="00032F3D" w14:paraId="30773559" w14:textId="77777777">
            <w:pPr>
              <w:pStyle w:val="BodyText"/>
              <w:rPr>
                <w:rFonts w:cs="Arial" w:asciiTheme="minorHAnsi" w:hAnsiTheme="minorHAnsi"/>
                <w:sz w:val="20"/>
              </w:rPr>
            </w:pPr>
            <w:r w:rsidRPr="00D96231">
              <w:rPr>
                <w:rFonts w:cs="Arial" w:asciiTheme="minorHAnsi" w:hAnsiTheme="minorHAnsi"/>
                <w:sz w:val="20"/>
              </w:rPr>
              <w:t xml:space="preserve">Half-life in infants 18 to 25 hours. 50 to 70% excreted in urine unchanged. Minimally metabolised by hepatic and intestinal enzymes to active and inactive metabolites. </w:t>
            </w:r>
          </w:p>
          <w:p w:rsidRPr="00D96231" w:rsidR="00032F3D" w:rsidP="00131848" w:rsidRDefault="00032F3D" w14:paraId="68465BBD" w14:textId="77777777">
            <w:pPr>
              <w:pStyle w:val="BodyText"/>
              <w:rPr>
                <w:rFonts w:cs="Arial" w:asciiTheme="minorHAnsi" w:hAnsiTheme="minorHAnsi"/>
                <w:sz w:val="20"/>
              </w:rPr>
            </w:pPr>
            <w:r w:rsidRPr="00D96231">
              <w:rPr>
                <w:rFonts w:cs="Arial" w:asciiTheme="minorHAnsi" w:hAnsiTheme="minorHAnsi"/>
                <w:sz w:val="20"/>
              </w:rPr>
              <w:t>Onset of effect occurs 0.5–2 hours after initial oral dose of 500–750 micrograms and 5–30 minutes after initial IV dose of 400–600 micrograms; maximal effect occurs after 1–4 hours (IV) or 2–6 hours (oral).</w:t>
            </w:r>
          </w:p>
          <w:p w:rsidRPr="00D96231" w:rsidR="00032F3D" w:rsidP="00131848" w:rsidRDefault="00032F3D" w14:paraId="6E3A5BA4" w14:textId="77777777">
            <w:pPr>
              <w:pStyle w:val="BodyText"/>
              <w:rPr>
                <w:rFonts w:cs="Arial" w:asciiTheme="minorHAnsi" w:hAnsiTheme="minorHAnsi"/>
                <w:sz w:val="20"/>
              </w:rPr>
            </w:pPr>
            <w:r w:rsidRPr="00D96231">
              <w:rPr>
                <w:rFonts w:cs="Arial" w:asciiTheme="minorHAnsi" w:hAnsiTheme="minorHAnsi"/>
                <w:sz w:val="20"/>
              </w:rPr>
              <w:t>Regularly assess patients for digoxin toxicity (including resting heart rate); routine measurement of pulse rate before giving next dose of digoxin is not necessary</w:t>
            </w:r>
            <w:r>
              <w:rPr>
                <w:rFonts w:cs="Arial" w:asciiTheme="minorHAnsi" w:hAnsiTheme="minorHAnsi"/>
                <w:sz w:val="20"/>
              </w:rPr>
              <w:t>.</w:t>
            </w:r>
          </w:p>
          <w:p w:rsidRPr="00D96231" w:rsidR="00032F3D" w:rsidP="00131848" w:rsidRDefault="00032F3D" w14:paraId="4FDA97B1" w14:textId="77777777">
            <w:pPr>
              <w:pStyle w:val="BodyText"/>
              <w:rPr>
                <w:rFonts w:cs="Arial" w:asciiTheme="minorHAnsi" w:hAnsiTheme="minorHAnsi"/>
                <w:sz w:val="20"/>
              </w:rPr>
            </w:pPr>
            <w:r w:rsidRPr="00D96231">
              <w:rPr>
                <w:rFonts w:cs="Arial" w:asciiTheme="minorHAnsi" w:hAnsiTheme="minorHAnsi"/>
                <w:sz w:val="20"/>
              </w:rPr>
              <w:t>Assume that any arrhythmia that occurs in a child taking digoxin is due to the drug until proven otherwise.</w:t>
            </w:r>
          </w:p>
          <w:p w:rsidRPr="00D96231" w:rsidR="00032F3D" w:rsidP="00131848" w:rsidRDefault="00032F3D" w14:paraId="0FFA378C" w14:textId="77777777">
            <w:pPr>
              <w:pStyle w:val="BodyText"/>
              <w:rPr>
                <w:rFonts w:cs="Arial" w:asciiTheme="minorHAnsi" w:hAnsiTheme="minorHAnsi"/>
                <w:sz w:val="20"/>
              </w:rPr>
            </w:pPr>
            <w:r w:rsidRPr="00D96231">
              <w:rPr>
                <w:rFonts w:cs="Arial" w:asciiTheme="minorHAnsi" w:hAnsiTheme="minorHAnsi"/>
                <w:sz w:val="20"/>
              </w:rPr>
              <w:t>DigiFab (digoxin immune Fab) is available for the treatment of life-threatening overdoses of digoxin:</w:t>
            </w:r>
          </w:p>
          <w:p w:rsidRPr="00D96231" w:rsidR="00032F3D" w:rsidP="00032F3D" w:rsidRDefault="00032F3D" w14:paraId="0D31ABF6" w14:textId="77777777">
            <w:pPr>
              <w:pStyle w:val="BodyText"/>
              <w:numPr>
                <w:ilvl w:val="0"/>
                <w:numId w:val="55"/>
              </w:numPr>
              <w:overflowPunct w:val="0"/>
              <w:autoSpaceDE w:val="0"/>
              <w:autoSpaceDN w:val="0"/>
              <w:adjustRightInd w:val="0"/>
              <w:jc w:val="left"/>
              <w:textAlignment w:val="baseline"/>
              <w:rPr>
                <w:rFonts w:cs="Arial" w:asciiTheme="minorHAnsi" w:hAnsiTheme="minorHAnsi"/>
                <w:sz w:val="20"/>
              </w:rPr>
            </w:pPr>
            <w:r w:rsidRPr="00D96231">
              <w:rPr>
                <w:rFonts w:cs="Arial" w:asciiTheme="minorHAnsi" w:hAnsiTheme="minorHAnsi"/>
                <w:sz w:val="20"/>
              </w:rPr>
              <w:t xml:space="preserve">Dose initially with one vial (40 mg diluted in 4 mL of water for injections) and repeat if symptoms persist or recur. </w:t>
            </w:r>
          </w:p>
          <w:p w:rsidRPr="00D96231" w:rsidR="00032F3D" w:rsidP="00032F3D" w:rsidRDefault="00032F3D" w14:paraId="459EB563" w14:textId="77777777">
            <w:pPr>
              <w:pStyle w:val="BodyText"/>
              <w:numPr>
                <w:ilvl w:val="0"/>
                <w:numId w:val="55"/>
              </w:numPr>
              <w:overflowPunct w:val="0"/>
              <w:autoSpaceDE w:val="0"/>
              <w:autoSpaceDN w:val="0"/>
              <w:adjustRightInd w:val="0"/>
              <w:jc w:val="left"/>
              <w:textAlignment w:val="baseline"/>
              <w:rPr>
                <w:rFonts w:cs="Arial" w:asciiTheme="minorHAnsi" w:hAnsiTheme="minorHAnsi"/>
                <w:sz w:val="20"/>
              </w:rPr>
            </w:pPr>
            <w:r w:rsidRPr="00D96231">
              <w:rPr>
                <w:rFonts w:cs="Arial" w:asciiTheme="minorHAnsi" w:hAnsiTheme="minorHAnsi"/>
                <w:sz w:val="20"/>
              </w:rPr>
              <w:t>Full neutralisation dose of DigiFab is: Number of vials = serum digoxin concentration (nanogram/mL) x weight (kg) / 100 (rounded up to nearest vial).</w:t>
            </w:r>
            <w:r>
              <w:rPr>
                <w:rFonts w:cs="Arial" w:asciiTheme="minorHAnsi" w:hAnsiTheme="minorHAnsi"/>
                <w:sz w:val="20"/>
              </w:rPr>
              <w:t xml:space="preserve"> However, this is rarely indicated.</w:t>
            </w:r>
          </w:p>
        </w:tc>
      </w:tr>
      <w:tr w:rsidRPr="003A7895" w:rsidR="00032F3D" w:rsidTr="00D10A80" w14:paraId="4AFCDD12" w14:textId="77777777">
        <w:trPr>
          <w:trHeight w:val="280"/>
        </w:trPr>
        <w:tc>
          <w:tcPr>
            <w:tcW w:w="1702" w:type="dxa"/>
          </w:tcPr>
          <w:p w:rsidRPr="00B53E9B" w:rsidR="00032F3D" w:rsidP="00131848" w:rsidRDefault="00032F3D" w14:paraId="71C1B160" w14:textId="77777777">
            <w:pPr>
              <w:pStyle w:val="BodyText"/>
              <w:rPr>
                <w:rFonts w:cs="Arial"/>
                <w:b/>
                <w:bCs/>
                <w:sz w:val="20"/>
              </w:rPr>
            </w:pPr>
            <w:r w:rsidRPr="00B53E9B">
              <w:rPr>
                <w:rFonts w:cs="Arial"/>
                <w:b/>
                <w:bCs/>
                <w:sz w:val="20"/>
              </w:rPr>
              <w:t>Evidence</w:t>
            </w:r>
          </w:p>
        </w:tc>
        <w:tc>
          <w:tcPr>
            <w:tcW w:w="8392" w:type="dxa"/>
          </w:tcPr>
          <w:p w:rsidRPr="00587E18" w:rsidR="00032F3D" w:rsidP="00131848" w:rsidRDefault="00032F3D" w14:paraId="2EBE99E6" w14:textId="77777777">
            <w:pPr>
              <w:pStyle w:val="BodyText"/>
              <w:tabs>
                <w:tab w:val="left" w:pos="1168"/>
              </w:tabs>
              <w:rPr>
                <w:rFonts w:cs="Arial" w:asciiTheme="minorHAnsi" w:hAnsiTheme="minorHAnsi"/>
                <w:b/>
                <w:sz w:val="16"/>
                <w:szCs w:val="16"/>
              </w:rPr>
            </w:pPr>
            <w:r w:rsidRPr="00587E18">
              <w:rPr>
                <w:rFonts w:cs="Arial" w:asciiTheme="minorHAnsi" w:hAnsiTheme="minorHAnsi"/>
                <w:b/>
                <w:sz w:val="16"/>
                <w:szCs w:val="16"/>
              </w:rPr>
              <w:t>Efficacy</w:t>
            </w:r>
          </w:p>
          <w:p w:rsidRPr="00587E18" w:rsidR="00032F3D" w:rsidP="00131848" w:rsidRDefault="00032F3D" w14:paraId="6122E74B" w14:textId="77777777">
            <w:pPr>
              <w:pStyle w:val="BodyText"/>
              <w:tabs>
                <w:tab w:val="left" w:pos="1168"/>
              </w:tabs>
              <w:rPr>
                <w:rFonts w:cs="Arial" w:asciiTheme="minorHAnsi" w:hAnsiTheme="minorHAnsi"/>
                <w:sz w:val="16"/>
                <w:szCs w:val="16"/>
              </w:rPr>
            </w:pPr>
            <w:r w:rsidRPr="00587E18">
              <w:rPr>
                <w:rFonts w:cs="Arial" w:asciiTheme="minorHAnsi" w:hAnsiTheme="minorHAnsi"/>
                <w:b/>
                <w:sz w:val="16"/>
                <w:szCs w:val="16"/>
              </w:rPr>
              <w:t xml:space="preserve">Heart failure: </w:t>
            </w:r>
            <w:r w:rsidRPr="00587E18">
              <w:rPr>
                <w:rFonts w:cs="Arial" w:asciiTheme="minorHAnsi" w:hAnsiTheme="minorHAnsi"/>
                <w:sz w:val="16"/>
                <w:szCs w:val="16"/>
              </w:rPr>
              <w:t>Digoxin has traditionally been used in the setting of atrial fibrillation and advanced heart failure. In a systematic review of the effects on total mortality in patients with systolic heart failure, digoxin did not reduce all-cause and heart failure mortality but did reduce heart failure symptoms and readmissions for heart failure by 32% (OR 0.68, 95% CI 0.61–0.75, P &lt;0.00001). Benefits appeared greater in patients with severely reduced ejection fraction (≤25%) or NYHA III–IV functional class. Post-hoc subgroup analyses by serum digoxin concentrations (SDC) found patients within the range 0.5–0.8 ng/mL had their risk of all-cause mortality reduced by 20% (HR 0.80, 95% CI 0.68–0.94, P = 0.005). Increased arrhythmic complications have been identified in patients with SDC concentrations ≥1.2 ng/mL. If used in the context of any renal impairment, digoxin requires very careful dose and level monitoring to prevent toxicity.</w:t>
            </w:r>
            <w:r w:rsidRPr="00587E18">
              <w:rPr>
                <w:rFonts w:cs="Arial" w:asciiTheme="minorHAnsi" w:hAnsiTheme="minorHAnsi"/>
                <w:noProof/>
                <w:sz w:val="16"/>
                <w:szCs w:val="16"/>
              </w:rPr>
              <w:t>[1, 2]</w:t>
            </w:r>
            <w:r w:rsidRPr="00587E18">
              <w:rPr>
                <w:rFonts w:cs="Arial" w:asciiTheme="minorHAnsi" w:hAnsiTheme="minorHAnsi"/>
                <w:sz w:val="16"/>
                <w:szCs w:val="16"/>
              </w:rPr>
              <w:t xml:space="preserve">  </w:t>
            </w:r>
          </w:p>
          <w:p w:rsidRPr="00587E18" w:rsidR="00032F3D" w:rsidP="00131848" w:rsidRDefault="00032F3D" w14:paraId="131000D0" w14:textId="77777777">
            <w:pPr>
              <w:pStyle w:val="BodyText"/>
              <w:tabs>
                <w:tab w:val="left" w:pos="1168"/>
              </w:tabs>
              <w:rPr>
                <w:rFonts w:cs="Arial" w:asciiTheme="minorHAnsi" w:hAnsiTheme="minorHAnsi"/>
                <w:sz w:val="16"/>
                <w:szCs w:val="16"/>
              </w:rPr>
            </w:pPr>
          </w:p>
          <w:p w:rsidRPr="00587E18" w:rsidR="00032F3D" w:rsidP="00131848" w:rsidRDefault="00032F3D" w14:paraId="67FBF9DC"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In a systematic review of RCTs of digoxin therapy for cor pulmonale in adult patients, 4 studies with only 76 patients were included and found overall there was no statistically significant improvement in RVEF, exercise capacity, NYHA class, heart failure score or body weight.</w:t>
            </w:r>
            <w:r w:rsidRPr="00587E18">
              <w:rPr>
                <w:rFonts w:cs="Arial" w:asciiTheme="minorHAnsi" w:hAnsiTheme="minorHAnsi"/>
                <w:noProof/>
                <w:sz w:val="16"/>
                <w:szCs w:val="16"/>
              </w:rPr>
              <w:t>[3]</w:t>
            </w:r>
            <w:r w:rsidRPr="00587E18">
              <w:rPr>
                <w:rFonts w:cs="Arial" w:asciiTheme="minorHAnsi" w:hAnsiTheme="minorHAnsi"/>
                <w:sz w:val="16"/>
                <w:szCs w:val="16"/>
              </w:rPr>
              <w:t xml:space="preserve"> </w:t>
            </w:r>
          </w:p>
          <w:p w:rsidRPr="00587E18" w:rsidR="00032F3D" w:rsidP="00131848" w:rsidRDefault="00032F3D" w14:paraId="48AD6601" w14:textId="77777777">
            <w:pPr>
              <w:pStyle w:val="BodyText"/>
              <w:tabs>
                <w:tab w:val="left" w:pos="1168"/>
              </w:tabs>
              <w:rPr>
                <w:rFonts w:cs="Arial" w:asciiTheme="minorHAnsi" w:hAnsiTheme="minorHAnsi"/>
                <w:sz w:val="16"/>
                <w:szCs w:val="16"/>
              </w:rPr>
            </w:pPr>
          </w:p>
          <w:p w:rsidRPr="00587E18" w:rsidR="00032F3D" w:rsidP="00131848" w:rsidRDefault="00032F3D" w14:paraId="3F2F2295"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 xml:space="preserve">However, there are no RCTs comparing digoxin versus placebo or other drug therapy in infants with heart failure. Digoxin has been a component of standard treatment in several trials of other drug therapy in paediatric populations with heart failure in the context of congenital heart disease </w:t>
            </w:r>
            <w:r w:rsidRPr="00587E18">
              <w:rPr>
                <w:rFonts w:cs="Arial" w:asciiTheme="minorHAnsi" w:hAnsiTheme="minorHAnsi"/>
                <w:noProof/>
                <w:sz w:val="16"/>
                <w:szCs w:val="16"/>
              </w:rPr>
              <w:t>[4-7]</w:t>
            </w:r>
            <w:r w:rsidRPr="00587E18">
              <w:rPr>
                <w:rFonts w:cs="Arial" w:asciiTheme="minorHAnsi" w:hAnsiTheme="minorHAnsi"/>
                <w:sz w:val="16"/>
                <w:szCs w:val="16"/>
              </w:rPr>
              <w:t xml:space="preserve"> and dilated cardiomyopathy </w:t>
            </w:r>
            <w:r w:rsidRPr="00587E18">
              <w:rPr>
                <w:rFonts w:cs="Arial" w:asciiTheme="minorHAnsi" w:hAnsiTheme="minorHAnsi"/>
                <w:noProof/>
                <w:sz w:val="16"/>
                <w:szCs w:val="16"/>
              </w:rPr>
              <w:t>[8, 9]</w:t>
            </w:r>
            <w:r w:rsidRPr="00587E18">
              <w:rPr>
                <w:rFonts w:cs="Arial" w:asciiTheme="minorHAnsi" w:hAnsiTheme="minorHAnsi"/>
                <w:sz w:val="16"/>
                <w:szCs w:val="16"/>
              </w:rPr>
              <w:t>. One of these trials, Buchhorn et al 2001 in an RCT of propranolol and standard therapy versus standard therapy alone (digoxin and diuretics) in 20 infants with congenital heart disease and left-to-right shunts reported propranolol treatment but not digoxin and diuretics alone reduced clinical symptoms of heart failure.</w:t>
            </w:r>
          </w:p>
          <w:p w:rsidRPr="00587E18" w:rsidR="00032F3D" w:rsidP="00131848" w:rsidRDefault="00032F3D" w14:paraId="0E4E8F64" w14:textId="77777777">
            <w:pPr>
              <w:pStyle w:val="BodyText"/>
              <w:tabs>
                <w:tab w:val="left" w:pos="1168"/>
              </w:tabs>
              <w:rPr>
                <w:rFonts w:cs="Arial" w:asciiTheme="minorHAnsi" w:hAnsiTheme="minorHAnsi"/>
                <w:sz w:val="16"/>
                <w:szCs w:val="16"/>
              </w:rPr>
            </w:pPr>
          </w:p>
          <w:p w:rsidRPr="00587E18" w:rsidR="00032F3D" w:rsidP="00131848" w:rsidRDefault="00032F3D" w14:paraId="76DF99F6" w14:textId="77777777">
            <w:pPr>
              <w:pStyle w:val="BodyText"/>
              <w:tabs>
                <w:tab w:val="left" w:pos="1168"/>
              </w:tabs>
              <w:rPr>
                <w:rFonts w:cs="Arial" w:asciiTheme="minorHAnsi" w:hAnsiTheme="minorHAnsi"/>
                <w:sz w:val="16"/>
                <w:szCs w:val="16"/>
              </w:rPr>
            </w:pPr>
            <w:r w:rsidRPr="00587E18">
              <w:rPr>
                <w:rFonts w:cs="Arial" w:asciiTheme="minorHAnsi" w:hAnsiTheme="minorHAnsi"/>
                <w:b/>
                <w:i/>
                <w:sz w:val="16"/>
                <w:szCs w:val="16"/>
              </w:rPr>
              <w:t>Recommendation:</w:t>
            </w:r>
            <w:r w:rsidRPr="00587E18">
              <w:rPr>
                <w:rFonts w:cs="Arial" w:asciiTheme="minorHAnsi" w:hAnsiTheme="minorHAnsi"/>
                <w:sz w:val="16"/>
                <w:szCs w:val="16"/>
              </w:rPr>
              <w:t xml:space="preserve"> The Pediatric Cardiac Intensive Care Society 2014 Consensus Statement reported that digoxin is not currently used as a first-line therapy in the management of heart failure. Digoxin has a class IIa recommendation to potentially decrease heart failure-related admissions in adult patients with reduced left ventricular ejection fraction unless otherwise contraindicated. The current recommendations are based on results from the Digitalis Investigation Group study that showed no mortality benefit over placebo, but did document a reduction in overall hospitalizations and heart failure–related hospitalizations). Careful attention to dosing and concomitant renal dysfunction must be considered when using digoxin. Serum levels of 0.5–0.9 ng/mL are typically targeted for optimal benefit. Digoxin should be used with caution in patients receiving drugs that can affect sinoatrial or atrioventricular nodal function or therapies that may alter digoxin levels including amiodarone and/or beta blockers.</w:t>
            </w:r>
            <w:r w:rsidRPr="00587E18">
              <w:rPr>
                <w:rFonts w:cs="Arial" w:asciiTheme="minorHAnsi" w:hAnsiTheme="minorHAnsi"/>
                <w:noProof/>
                <w:sz w:val="16"/>
                <w:szCs w:val="16"/>
              </w:rPr>
              <w:t>[10]</w:t>
            </w:r>
            <w:r w:rsidRPr="00587E18">
              <w:rPr>
                <w:rFonts w:cs="Arial" w:asciiTheme="minorHAnsi" w:hAnsiTheme="minorHAnsi"/>
                <w:sz w:val="16"/>
                <w:szCs w:val="16"/>
              </w:rPr>
              <w:t xml:space="preserve"> [LOE III-2 GOR D]</w:t>
            </w:r>
          </w:p>
          <w:p w:rsidRPr="00587E18" w:rsidR="00032F3D" w:rsidP="00131848" w:rsidRDefault="00032F3D" w14:paraId="7B2259C4" w14:textId="77777777">
            <w:pPr>
              <w:pStyle w:val="BodyText"/>
              <w:tabs>
                <w:tab w:val="left" w:pos="1168"/>
              </w:tabs>
              <w:rPr>
                <w:rFonts w:cs="Arial" w:asciiTheme="minorHAnsi" w:hAnsiTheme="minorHAnsi"/>
                <w:b/>
                <w:sz w:val="16"/>
                <w:szCs w:val="16"/>
              </w:rPr>
            </w:pPr>
          </w:p>
          <w:p w:rsidRPr="00587E18" w:rsidR="00032F3D" w:rsidP="00131848" w:rsidRDefault="00032F3D" w14:paraId="6FDAA784" w14:textId="77777777">
            <w:pPr>
              <w:pStyle w:val="BodyText"/>
              <w:tabs>
                <w:tab w:val="left" w:pos="1168"/>
              </w:tabs>
              <w:rPr>
                <w:rFonts w:cs="Arial" w:asciiTheme="minorHAnsi" w:hAnsiTheme="minorHAnsi"/>
                <w:sz w:val="16"/>
                <w:szCs w:val="16"/>
              </w:rPr>
            </w:pPr>
            <w:r w:rsidRPr="00587E18">
              <w:rPr>
                <w:rFonts w:cs="Arial" w:asciiTheme="minorHAnsi" w:hAnsiTheme="minorHAnsi"/>
                <w:b/>
                <w:sz w:val="16"/>
                <w:szCs w:val="16"/>
              </w:rPr>
              <w:t>Treatment of symptomatic patent ductus arteriosus (PDA):</w:t>
            </w:r>
            <w:r w:rsidRPr="00587E18">
              <w:rPr>
                <w:rFonts w:cs="Arial" w:asciiTheme="minorHAnsi" w:hAnsiTheme="minorHAnsi"/>
                <w:sz w:val="16"/>
                <w:szCs w:val="16"/>
              </w:rPr>
              <w:t xml:space="preserve"> A single RCT reported 15 preterm infants weighing ≤1,500 gm at birth who had a symptomatic PDA were treated according to a medical management protocol (fluid restriction, digoxin and frusemide) versus 10 treated with early surgical closure protocol. Two of the medically treated infants had PDA ligated as a back-up treatment. The role of digoxin for management of symptomatic PDA is unclear. [LOE II GOR D]</w:t>
            </w:r>
          </w:p>
          <w:p w:rsidRPr="00587E18" w:rsidR="00032F3D" w:rsidP="00131848" w:rsidRDefault="00032F3D" w14:paraId="325961C6" w14:textId="77777777">
            <w:pPr>
              <w:pStyle w:val="BodyText"/>
              <w:tabs>
                <w:tab w:val="left" w:pos="1168"/>
              </w:tabs>
              <w:rPr>
                <w:rFonts w:cs="Arial" w:asciiTheme="minorHAnsi" w:hAnsiTheme="minorHAnsi"/>
                <w:b/>
                <w:sz w:val="16"/>
                <w:szCs w:val="16"/>
              </w:rPr>
            </w:pPr>
          </w:p>
          <w:p w:rsidRPr="00587E18" w:rsidR="00032F3D" w:rsidP="00131848" w:rsidRDefault="00032F3D" w14:paraId="2A08B549" w14:textId="77777777">
            <w:pPr>
              <w:pStyle w:val="BodyText"/>
              <w:tabs>
                <w:tab w:val="left" w:pos="1168"/>
              </w:tabs>
              <w:rPr>
                <w:rFonts w:cs="Arial" w:asciiTheme="minorHAnsi" w:hAnsiTheme="minorHAnsi"/>
                <w:b/>
                <w:sz w:val="16"/>
                <w:szCs w:val="16"/>
              </w:rPr>
            </w:pPr>
            <w:r w:rsidRPr="00587E18">
              <w:rPr>
                <w:rFonts w:cs="Arial" w:asciiTheme="minorHAnsi" w:hAnsiTheme="minorHAnsi"/>
                <w:b/>
                <w:sz w:val="16"/>
                <w:szCs w:val="16"/>
              </w:rPr>
              <w:t xml:space="preserve">Management of supraventricular tachycardia in children: </w:t>
            </w:r>
            <w:r w:rsidRPr="00587E18">
              <w:rPr>
                <w:rFonts w:cs="Arial" w:asciiTheme="minorHAnsi" w:hAnsiTheme="minorHAnsi"/>
                <w:b/>
                <w:noProof/>
                <w:sz w:val="16"/>
                <w:szCs w:val="16"/>
              </w:rPr>
              <w:t>[11]</w:t>
            </w:r>
          </w:p>
          <w:p w:rsidRPr="00587E18" w:rsidR="00032F3D" w:rsidP="00131848" w:rsidRDefault="00032F3D" w14:paraId="2B1F6885" w14:textId="77777777">
            <w:pPr>
              <w:pStyle w:val="BodyText"/>
              <w:tabs>
                <w:tab w:val="left" w:pos="1168"/>
              </w:tabs>
              <w:rPr>
                <w:rFonts w:cs="Arial" w:asciiTheme="minorHAnsi" w:hAnsiTheme="minorHAnsi"/>
                <w:sz w:val="16"/>
                <w:szCs w:val="16"/>
              </w:rPr>
            </w:pPr>
            <w:r w:rsidRPr="00587E18">
              <w:rPr>
                <w:rFonts w:cs="Arial" w:asciiTheme="minorHAnsi" w:hAnsiTheme="minorHAnsi"/>
                <w:b/>
                <w:i/>
                <w:sz w:val="16"/>
                <w:szCs w:val="16"/>
              </w:rPr>
              <w:t>Haemodynamically unstable:</w:t>
            </w:r>
            <w:r w:rsidRPr="00587E18">
              <w:rPr>
                <w:rFonts w:cs="Arial" w:asciiTheme="minorHAnsi" w:hAnsiTheme="minorHAnsi"/>
                <w:sz w:val="16"/>
                <w:szCs w:val="16"/>
              </w:rPr>
              <w:t xml:space="preserve"> Cardioversion is the definitive intervention to terminate SVT in children who are haemodynamically unstable. Adenosine may be given while preparing to cardiovert if the drug is readily available and the child has intravenous (IV) access. Similarly, vagal manoeuvres can be attempted while preparing for cardioversion or drug therapy, but cardioversion should not be delayed to administer vagal manoeuvres. Cardioversion — direct current cardioversion at 0.5 to 2.0 J/kg should be performed. </w:t>
            </w:r>
          </w:p>
          <w:p w:rsidRPr="00587E18" w:rsidR="00032F3D" w:rsidP="00131848" w:rsidRDefault="00032F3D" w14:paraId="6EF9763A" w14:textId="77777777">
            <w:pPr>
              <w:pStyle w:val="BodyText"/>
              <w:tabs>
                <w:tab w:val="left" w:pos="1168"/>
              </w:tabs>
              <w:rPr>
                <w:rFonts w:cs="Arial" w:asciiTheme="minorHAnsi" w:hAnsiTheme="minorHAnsi"/>
                <w:sz w:val="16"/>
                <w:szCs w:val="16"/>
              </w:rPr>
            </w:pPr>
            <w:r w:rsidRPr="00587E18">
              <w:rPr>
                <w:rFonts w:cs="Arial" w:asciiTheme="minorHAnsi" w:hAnsiTheme="minorHAnsi"/>
                <w:b/>
                <w:i/>
                <w:sz w:val="16"/>
                <w:szCs w:val="16"/>
              </w:rPr>
              <w:t>Haemodynamically stable:</w:t>
            </w:r>
            <w:r w:rsidRPr="00587E18">
              <w:rPr>
                <w:rFonts w:cs="Arial" w:asciiTheme="minorHAnsi" w:hAnsiTheme="minorHAnsi"/>
                <w:sz w:val="16"/>
                <w:szCs w:val="16"/>
              </w:rPr>
              <w:t xml:space="preserve"> Antiarrhythmic therapy — if the vagal manoeuvre does not convert SVT that is haemodynamically stable to normal rhythm, an intravenous (IV) catheter should be placed for the administration of antiarrhythmic drugs. Adenosine is the drug of choice for acute management of SVT; procainamide and amiodarone are sometimes given for tachycardia that is refractory to adenosine. For SVT that is refractory to adenosine, choices for IV antiarrhythmic therapy include procainamide and amiodarone. Digoxin is not usually used because of the delay in achieving therapeutic levels and the narrow therapeutic margin with the risk of serious toxicity. In addition, digoxin should not be given if WPW syndrome is suspected, since it may potentiate accessory pathway conduction.</w:t>
            </w:r>
          </w:p>
          <w:p w:rsidRPr="00587E18" w:rsidR="00032F3D" w:rsidP="00131848" w:rsidRDefault="00032F3D" w14:paraId="73398CF2" w14:textId="77777777">
            <w:pPr>
              <w:pStyle w:val="BodyText"/>
              <w:tabs>
                <w:tab w:val="left" w:pos="1168"/>
              </w:tabs>
              <w:rPr>
                <w:rFonts w:cs="Arial" w:asciiTheme="minorHAnsi" w:hAnsiTheme="minorHAnsi"/>
                <w:sz w:val="16"/>
                <w:szCs w:val="16"/>
              </w:rPr>
            </w:pPr>
          </w:p>
          <w:p w:rsidRPr="00587E18" w:rsidR="00032F3D" w:rsidP="00131848" w:rsidRDefault="00032F3D" w14:paraId="01E1261D"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 xml:space="preserve">Sanatini et al 2012 </w:t>
            </w:r>
            <w:r w:rsidRPr="00587E18">
              <w:rPr>
                <w:rFonts w:cs="Arial" w:asciiTheme="minorHAnsi" w:hAnsiTheme="minorHAnsi"/>
                <w:noProof/>
                <w:sz w:val="16"/>
                <w:szCs w:val="16"/>
              </w:rPr>
              <w:t>[12]</w:t>
            </w:r>
            <w:r w:rsidRPr="00587E18">
              <w:rPr>
                <w:rFonts w:cs="Arial" w:asciiTheme="minorHAnsi" w:hAnsiTheme="minorHAnsi"/>
                <w:sz w:val="16"/>
                <w:szCs w:val="16"/>
              </w:rPr>
              <w:t xml:space="preserve"> in a RCT of 61 infants &lt;4 months with SVT (atrioventricular reciprocating tachycardia or atrioventricular nodal re-entrant tachycardia excluding Wolff-Parkinson-White) compared digoxin (loading dose 30 microgram/kg/day, maintenance 10.5 microgram/kg/day) versus propranolol (0.5 mg/kg as a single dose then 1.0 mg/kg/dose 8-hourly). SVT recurred in 19% of patients on digoxin and 31% of patients on propranolol (P = 0.25). No first recurrence occurred after 110 days of treatment. The 6-month recurrence-free status was 79% for patients on digoxin and 67% for patients on propranolol (P = 0.34), and there were no first recurrences in either group between 6 and 12 months. There were no deaths and no serious adverse events related to study medication. </w:t>
            </w:r>
          </w:p>
          <w:p w:rsidRPr="00587E18" w:rsidR="00032F3D" w:rsidP="00131848" w:rsidRDefault="00032F3D" w14:paraId="357FE64D" w14:textId="77777777">
            <w:pPr>
              <w:pStyle w:val="BodyText"/>
              <w:tabs>
                <w:tab w:val="left" w:pos="1168"/>
              </w:tabs>
              <w:rPr>
                <w:rFonts w:cs="Arial" w:asciiTheme="minorHAnsi" w:hAnsiTheme="minorHAnsi"/>
                <w:sz w:val="16"/>
                <w:szCs w:val="16"/>
              </w:rPr>
            </w:pPr>
          </w:p>
          <w:p w:rsidRPr="00587E18" w:rsidR="00032F3D" w:rsidP="00131848" w:rsidRDefault="00032F3D" w14:paraId="06B2E18F"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 xml:space="preserve">Hornik et al 2014 </w:t>
            </w:r>
            <w:r w:rsidRPr="00587E18">
              <w:rPr>
                <w:rFonts w:cs="Arial" w:asciiTheme="minorHAnsi" w:hAnsiTheme="minorHAnsi"/>
                <w:noProof/>
                <w:sz w:val="16"/>
                <w:szCs w:val="16"/>
              </w:rPr>
              <w:t>[13]</w:t>
            </w:r>
            <w:r w:rsidRPr="00587E18">
              <w:rPr>
                <w:rFonts w:cs="Arial" w:asciiTheme="minorHAnsi" w:hAnsiTheme="minorHAnsi"/>
                <w:sz w:val="16"/>
                <w:szCs w:val="16"/>
              </w:rPr>
              <w:t xml:space="preserve"> in a retrospective cohort of infants with SVT from the Pediatrix Medical Group neonatal ICU database compared 342 infants exposed to digoxin versus 142 infants exposed to propranolol. The incidence rate of treatment failure was 6.7/1,000 infant-days of exposure to digoxin and 15.4/1,000 infant-days of exposure to propranolol. Treatment failure was higher on propranolol when compared with that on digoxin (adjusted hazard ratio, 1.97; 95% CI 1.05–3.71). Hypotension was more frequent during exposure to digoxin versus propranolol (39.4 vs 11.1/1,000 infant-days; p &lt;0.001). There was no difference in frequency of other clinical adverse events. </w:t>
            </w:r>
          </w:p>
          <w:p w:rsidRPr="00587E18" w:rsidR="00032F3D" w:rsidP="00131848" w:rsidRDefault="00032F3D" w14:paraId="1783DD4E" w14:textId="77777777">
            <w:pPr>
              <w:pStyle w:val="BodyText"/>
              <w:tabs>
                <w:tab w:val="left" w:pos="1168"/>
              </w:tabs>
              <w:rPr>
                <w:rFonts w:cs="Arial" w:asciiTheme="minorHAnsi" w:hAnsiTheme="minorHAnsi"/>
                <w:sz w:val="16"/>
                <w:szCs w:val="16"/>
              </w:rPr>
            </w:pPr>
          </w:p>
          <w:p w:rsidRPr="00587E18" w:rsidR="00032F3D" w:rsidP="00131848" w:rsidRDefault="00032F3D" w14:paraId="38CDAF36"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 xml:space="preserve">Bolin et al 2017 </w:t>
            </w:r>
            <w:r w:rsidRPr="00587E18">
              <w:rPr>
                <w:rFonts w:cs="Arial" w:asciiTheme="minorHAnsi" w:hAnsiTheme="minorHAnsi"/>
                <w:noProof/>
                <w:sz w:val="16"/>
                <w:szCs w:val="16"/>
              </w:rPr>
              <w:t>[14]</w:t>
            </w:r>
            <w:r w:rsidRPr="00587E18">
              <w:rPr>
                <w:rFonts w:cs="Arial" w:asciiTheme="minorHAnsi" w:hAnsiTheme="minorHAnsi"/>
                <w:sz w:val="16"/>
                <w:szCs w:val="16"/>
              </w:rPr>
              <w:t xml:space="preserve"> reported a retrospective cohort of infants with SVT from the Pediatric Health Information System database admitted at ≤2 days of age with structurally normal hearts and treated with an antiarrhythmic medication. 2,657 neonates were identified with a median gestational age of 37 weeks (interquartile range 34 to 39). Digoxin and propranolol were most commonly prescribed; digoxin use steadily decreased to 23% of antiarrhythmic medication administrations over the study period, whereas propranolol increased to 77%. Multivariable comparisons revealed that the odds of mortality for neonates on propranolol were 0.32 times those on digoxin (95% CI 0.17 to 0.59; p &lt;0.001). Propranolol for the neonate with SVT is associated with lower in-hospital mortality and hospital costs compared with digoxin.</w:t>
            </w:r>
          </w:p>
          <w:p w:rsidRPr="00587E18" w:rsidR="00032F3D" w:rsidP="00131848" w:rsidRDefault="00032F3D" w14:paraId="45C77519" w14:textId="77777777">
            <w:pPr>
              <w:pStyle w:val="BodyText"/>
              <w:tabs>
                <w:tab w:val="left" w:pos="1168"/>
              </w:tabs>
              <w:rPr>
                <w:rFonts w:cs="Arial" w:asciiTheme="minorHAnsi" w:hAnsiTheme="minorHAnsi"/>
                <w:sz w:val="16"/>
                <w:szCs w:val="16"/>
              </w:rPr>
            </w:pPr>
          </w:p>
          <w:p w:rsidRPr="00587E18" w:rsidR="00032F3D" w:rsidP="00131848" w:rsidRDefault="00032F3D" w14:paraId="0FE408B1" w14:textId="77777777">
            <w:pPr>
              <w:pStyle w:val="BodyText"/>
              <w:tabs>
                <w:tab w:val="left" w:pos="1168"/>
              </w:tabs>
              <w:rPr>
                <w:rFonts w:cs="Arial" w:asciiTheme="minorHAnsi" w:hAnsiTheme="minorHAnsi"/>
                <w:sz w:val="16"/>
                <w:szCs w:val="16"/>
              </w:rPr>
            </w:pPr>
            <w:r w:rsidRPr="00587E18">
              <w:rPr>
                <w:rFonts w:cs="Arial" w:asciiTheme="minorHAnsi" w:hAnsiTheme="minorHAnsi"/>
                <w:b/>
                <w:i/>
                <w:sz w:val="16"/>
                <w:szCs w:val="16"/>
              </w:rPr>
              <w:t>Recommendation:</w:t>
            </w:r>
            <w:r w:rsidRPr="00587E18">
              <w:rPr>
                <w:rFonts w:cs="Arial" w:asciiTheme="minorHAnsi" w:hAnsiTheme="minorHAnsi"/>
                <w:sz w:val="16"/>
                <w:szCs w:val="16"/>
              </w:rPr>
              <w:t xml:space="preserve"> ANZCOR recommendation for pharmacological management of specific dysrhythmias in the paediatric advanced life support guideline is that, for SVT, adenosine is the drug of choice. Amiodarone may be used to treat haemodynamically stable or unstable SVT. Alternative drugs are procainamide, digoxin, a beta blocker or a calcium channel </w:t>
            </w:r>
            <w:r w:rsidRPr="00587E18">
              <w:rPr>
                <w:rFonts w:cs="Arial" w:asciiTheme="minorHAnsi" w:hAnsiTheme="minorHAnsi"/>
                <w:sz w:val="16"/>
                <w:szCs w:val="16"/>
              </w:rPr>
              <w:lastRenderedPageBreak/>
              <w:t>blocker. Calcium channel blockers should not be used to treat SVT in infants and should be avoided or used cautiously in children because they may induce hypotension and cardiac depression.</w:t>
            </w:r>
            <w:r w:rsidRPr="00587E18">
              <w:rPr>
                <w:rFonts w:cs="Arial" w:asciiTheme="minorHAnsi" w:hAnsiTheme="minorHAnsi"/>
                <w:noProof/>
                <w:sz w:val="16"/>
                <w:szCs w:val="16"/>
              </w:rPr>
              <w:t>[15]</w:t>
            </w:r>
          </w:p>
          <w:p w:rsidRPr="00587E18" w:rsidR="00032F3D" w:rsidP="00131848" w:rsidRDefault="00032F3D" w14:paraId="3A2E2227" w14:textId="77777777">
            <w:pPr>
              <w:pStyle w:val="BodyText"/>
              <w:tabs>
                <w:tab w:val="left" w:pos="1168"/>
              </w:tabs>
              <w:rPr>
                <w:rFonts w:cs="Arial" w:asciiTheme="minorHAnsi" w:hAnsiTheme="minorHAnsi"/>
                <w:sz w:val="16"/>
                <w:szCs w:val="16"/>
              </w:rPr>
            </w:pPr>
          </w:p>
          <w:p w:rsidRPr="00587E18" w:rsidR="00032F3D" w:rsidP="00131848" w:rsidRDefault="00032F3D" w14:paraId="16E10052" w14:textId="77777777">
            <w:pPr>
              <w:pStyle w:val="BodyText"/>
              <w:tabs>
                <w:tab w:val="left" w:pos="1168"/>
              </w:tabs>
              <w:rPr>
                <w:rFonts w:cs="Arial" w:asciiTheme="minorHAnsi" w:hAnsiTheme="minorHAnsi"/>
                <w:sz w:val="16"/>
                <w:szCs w:val="16"/>
              </w:rPr>
            </w:pPr>
            <w:r w:rsidRPr="00587E18">
              <w:rPr>
                <w:rFonts w:cs="Arial" w:asciiTheme="minorHAnsi" w:hAnsiTheme="minorHAnsi"/>
                <w:b/>
                <w:sz w:val="16"/>
                <w:szCs w:val="16"/>
              </w:rPr>
              <w:t xml:space="preserve">Atrial fibrillation </w:t>
            </w:r>
            <w:r w:rsidRPr="00587E18">
              <w:rPr>
                <w:rFonts w:cs="Arial" w:asciiTheme="minorHAnsi" w:hAnsiTheme="minorHAnsi"/>
                <w:sz w:val="16"/>
                <w:szCs w:val="16"/>
              </w:rPr>
              <w:t>— Atrial fibrillation is uncommon in children and most paediatric cases are associated with CHD, cardiomyopathy or Wolff-Parkinson-White syndrome.</w:t>
            </w:r>
            <w:r w:rsidRPr="00587E18">
              <w:rPr>
                <w:rFonts w:cs="Arial" w:asciiTheme="minorHAnsi" w:hAnsiTheme="minorHAnsi"/>
                <w:noProof/>
                <w:sz w:val="16"/>
                <w:szCs w:val="16"/>
              </w:rPr>
              <w:t>[16]</w:t>
            </w:r>
            <w:r w:rsidRPr="00587E18">
              <w:rPr>
                <w:rFonts w:cs="Arial" w:asciiTheme="minorHAnsi" w:hAnsiTheme="minorHAnsi"/>
                <w:sz w:val="16"/>
                <w:szCs w:val="16"/>
              </w:rPr>
              <w:t xml:space="preserve"> The management of neonatal atrial fibrillation is unclear with use of digoxin and cardioversion reported.</w:t>
            </w:r>
            <w:r w:rsidRPr="00587E18">
              <w:rPr>
                <w:rFonts w:cs="Arial" w:asciiTheme="minorHAnsi" w:hAnsiTheme="minorHAnsi"/>
                <w:noProof/>
                <w:sz w:val="16"/>
                <w:szCs w:val="16"/>
              </w:rPr>
              <w:t>[17, 18]</w:t>
            </w:r>
            <w:r w:rsidRPr="00587E18">
              <w:rPr>
                <w:rFonts w:cs="Arial" w:asciiTheme="minorHAnsi" w:hAnsiTheme="minorHAnsi"/>
                <w:sz w:val="16"/>
                <w:szCs w:val="16"/>
              </w:rPr>
              <w:t xml:space="preserve"> In adult populations, systematic review found when digoxin was compared with all control interventions there was no evidence of a difference in all-cause mortality (RR 0.82; CI 0.02 to 31.2); serious adverse events (RR 1.65; CI 0.24 to 11.5); quality of life; heart failure (RR 1.05 CI 0.00 to 1141.8) or stroke (RR 2.27; CI 0.00 to 7887.3). Digoxin was superior compared with placebo in reducing the heart rate, but inferior compared with beta blockers. Meta-analyses on acute heart rate control showed that digoxin was inferior compared with both calcium antagonists (MD 21.0 bpm; CI -30.3 to 72.3) and with amiodarone (MD 14.7 bpm; CI -0.58 to 30.0). Meta-analysis on acute conversion to sinus rhythm showed that digoxin compared with amiodarone reduced the probability of converting atrial fibrillation to sinus rhythm (RR 0.54; CI 0.13 to 2.21).</w:t>
            </w:r>
            <w:r w:rsidRPr="00587E18">
              <w:rPr>
                <w:rFonts w:cs="Arial" w:asciiTheme="minorHAnsi" w:hAnsiTheme="minorHAnsi"/>
                <w:noProof/>
                <w:sz w:val="16"/>
                <w:szCs w:val="16"/>
              </w:rPr>
              <w:t>[19]</w:t>
            </w:r>
          </w:p>
          <w:p w:rsidRPr="00587E18" w:rsidR="00032F3D" w:rsidP="00131848" w:rsidRDefault="00032F3D" w14:paraId="50D60E93" w14:textId="77777777">
            <w:pPr>
              <w:pStyle w:val="BodyText"/>
              <w:tabs>
                <w:tab w:val="left" w:pos="1168"/>
              </w:tabs>
              <w:rPr>
                <w:rFonts w:cs="Arial" w:asciiTheme="minorHAnsi" w:hAnsiTheme="minorHAnsi"/>
                <w:sz w:val="16"/>
                <w:szCs w:val="16"/>
              </w:rPr>
            </w:pPr>
          </w:p>
          <w:p w:rsidRPr="00587E18" w:rsidR="00032F3D" w:rsidP="00131848" w:rsidRDefault="00032F3D" w14:paraId="3EF9ED80" w14:textId="77777777">
            <w:pPr>
              <w:pStyle w:val="BodyText"/>
              <w:tabs>
                <w:tab w:val="left" w:pos="1168"/>
              </w:tabs>
              <w:rPr>
                <w:rFonts w:cs="Arial" w:asciiTheme="minorHAnsi" w:hAnsiTheme="minorHAnsi"/>
                <w:sz w:val="16"/>
                <w:szCs w:val="16"/>
              </w:rPr>
            </w:pPr>
            <w:r w:rsidRPr="00587E18">
              <w:rPr>
                <w:rFonts w:cs="Arial" w:asciiTheme="minorHAnsi" w:hAnsiTheme="minorHAnsi"/>
                <w:b/>
                <w:sz w:val="16"/>
                <w:szCs w:val="16"/>
              </w:rPr>
              <w:t xml:space="preserve">Atrial flutter: </w:t>
            </w:r>
            <w:r w:rsidRPr="00587E18">
              <w:rPr>
                <w:rFonts w:cs="Arial" w:asciiTheme="minorHAnsi" w:hAnsiTheme="minorHAnsi"/>
                <w:sz w:val="16"/>
                <w:szCs w:val="16"/>
              </w:rPr>
              <w:t xml:space="preserve">Atrial flutter can occur in fetuses and neonates with structurally normal hearts. Comorbid conditions are not usually present; however, cases of atrial flutter associated with neonatal Coxsackie myocarditis and following maternal treatment with lithium have been reported. Neonatal atrial flutter rarely reoccurs following cardioversion with or without medical treatment. In the newborn with atrial flutter, initial therapy with digoxin has been the traditional approach. However, this has never been demonstrated to be any more efficacious than primary electrical cardioversion. </w:t>
            </w:r>
            <w:r w:rsidRPr="00587E18">
              <w:rPr>
                <w:rFonts w:cs="Arial" w:asciiTheme="minorHAnsi" w:hAnsiTheme="minorHAnsi"/>
                <w:noProof/>
                <w:sz w:val="16"/>
                <w:szCs w:val="16"/>
              </w:rPr>
              <w:t>[16]</w:t>
            </w:r>
            <w:r w:rsidRPr="00587E18">
              <w:rPr>
                <w:rFonts w:cs="Arial" w:asciiTheme="minorHAnsi" w:hAnsiTheme="minorHAnsi"/>
                <w:sz w:val="16"/>
                <w:szCs w:val="16"/>
              </w:rPr>
              <w:t xml:space="preserve"> Casey et al reported a case series of 25 newborns with atrial flutter; 7 of 21 converted to sinus rhythm with digoxin therapy and electrical conversion resulted in sustained sinus rhythm in 9 of 16 patients (13 after failure of digoxin and 3 as the first treatment). Sinus rhythm was achieved in 23 patients and two died of complications of prematurity without resolution of atrial flutter.</w:t>
            </w:r>
            <w:r w:rsidRPr="00587E18">
              <w:rPr>
                <w:rFonts w:cs="Arial" w:asciiTheme="minorHAnsi" w:hAnsiTheme="minorHAnsi"/>
                <w:noProof/>
                <w:sz w:val="16"/>
                <w:szCs w:val="16"/>
              </w:rPr>
              <w:t>[20]</w:t>
            </w:r>
            <w:r w:rsidRPr="00587E18">
              <w:rPr>
                <w:rFonts w:cs="Arial" w:asciiTheme="minorHAnsi" w:hAnsiTheme="minorHAnsi"/>
                <w:sz w:val="16"/>
                <w:szCs w:val="16"/>
              </w:rPr>
              <w:t xml:space="preserve"> Texter et al 2006 reported a case series of 50 infants with atrial flutter, 72% presented within the first 48 hours of life. Sinus rhythm was restored in 20 of 23 (87%) attempts at direct current cardioversion and 7 of 22 (32%) attempts at transoesophageal pacing; 7 required antiarrhythmic therapy. An additional arrhythmia, all supraventricular, appeared in 11 (22%) infants. The recurrence of atrial flutter developed in 6 infants all with an additional arrhythmia. Twelve received digoxin loading as first-line therapy. Sinus rhythm occurred in 4 infants within hours of beginning the digoxin load; the remaining eight required additional intervention.</w:t>
            </w:r>
            <w:r w:rsidRPr="00587E18">
              <w:rPr>
                <w:rFonts w:cs="Arial" w:asciiTheme="minorHAnsi" w:hAnsiTheme="minorHAnsi"/>
                <w:noProof/>
                <w:sz w:val="16"/>
                <w:szCs w:val="16"/>
              </w:rPr>
              <w:t>[21]</w:t>
            </w:r>
          </w:p>
          <w:p w:rsidRPr="00587E18" w:rsidR="00032F3D" w:rsidP="00131848" w:rsidRDefault="00032F3D" w14:paraId="15192803" w14:textId="77777777">
            <w:pPr>
              <w:pStyle w:val="BodyText"/>
              <w:tabs>
                <w:tab w:val="left" w:pos="1168"/>
              </w:tabs>
              <w:rPr>
                <w:rFonts w:cs="Arial" w:asciiTheme="minorHAnsi" w:hAnsiTheme="minorHAnsi"/>
                <w:sz w:val="16"/>
                <w:szCs w:val="16"/>
              </w:rPr>
            </w:pPr>
            <w:r w:rsidRPr="00587E18">
              <w:rPr>
                <w:rFonts w:cs="Arial" w:asciiTheme="minorHAnsi" w:hAnsiTheme="minorHAnsi"/>
                <w:b/>
                <w:i/>
                <w:sz w:val="16"/>
                <w:szCs w:val="16"/>
              </w:rPr>
              <w:t>Recommendation:</w:t>
            </w:r>
            <w:r w:rsidRPr="00587E18">
              <w:rPr>
                <w:rFonts w:cs="Arial" w:asciiTheme="minorHAnsi" w:hAnsiTheme="minorHAnsi"/>
                <w:sz w:val="16"/>
                <w:szCs w:val="16"/>
              </w:rPr>
              <w:t xml:space="preserve"> In the newborn with atrial flutter, initial therapy with digoxin has been the traditional approach. However, this has never been demonstrated to be any more efficacious than primary electrical cardioversion.</w:t>
            </w:r>
            <w:r w:rsidRPr="00587E18">
              <w:rPr>
                <w:rFonts w:cs="Arial" w:asciiTheme="minorHAnsi" w:hAnsiTheme="minorHAnsi"/>
                <w:noProof/>
                <w:sz w:val="16"/>
                <w:szCs w:val="16"/>
              </w:rPr>
              <w:t>[16]</w:t>
            </w:r>
          </w:p>
          <w:p w:rsidRPr="00587E18" w:rsidR="00032F3D" w:rsidP="00131848" w:rsidRDefault="00032F3D" w14:paraId="0120ACC5" w14:textId="77777777">
            <w:pPr>
              <w:pStyle w:val="BodyText"/>
              <w:tabs>
                <w:tab w:val="left" w:pos="1168"/>
              </w:tabs>
              <w:rPr>
                <w:rFonts w:cs="Arial" w:asciiTheme="minorHAnsi" w:hAnsiTheme="minorHAnsi"/>
                <w:b/>
                <w:sz w:val="16"/>
                <w:szCs w:val="16"/>
              </w:rPr>
            </w:pPr>
          </w:p>
          <w:p w:rsidRPr="00587E18" w:rsidR="00032F3D" w:rsidP="00131848" w:rsidRDefault="00032F3D" w14:paraId="5D90C573" w14:textId="77777777">
            <w:pPr>
              <w:pStyle w:val="BodyText"/>
              <w:tabs>
                <w:tab w:val="left" w:pos="1168"/>
              </w:tabs>
              <w:rPr>
                <w:rFonts w:cs="Arial" w:asciiTheme="minorHAnsi" w:hAnsiTheme="minorHAnsi"/>
                <w:b/>
                <w:sz w:val="16"/>
                <w:szCs w:val="16"/>
              </w:rPr>
            </w:pPr>
            <w:r w:rsidRPr="00587E18">
              <w:rPr>
                <w:rFonts w:cs="Arial" w:asciiTheme="minorHAnsi" w:hAnsiTheme="minorHAnsi"/>
                <w:b/>
                <w:sz w:val="16"/>
                <w:szCs w:val="16"/>
              </w:rPr>
              <w:t>Safety</w:t>
            </w:r>
          </w:p>
          <w:p w:rsidRPr="00587E18" w:rsidR="00032F3D" w:rsidP="00131848" w:rsidRDefault="00032F3D" w14:paraId="15F3BC5A"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In all age groups, digoxin is associated with a neutral effect on mortality in randomised trials and a lower rate of admissions to hospital across all study types.</w:t>
            </w:r>
            <w:r w:rsidRPr="00587E18">
              <w:rPr>
                <w:rFonts w:cs="Arial" w:asciiTheme="minorHAnsi" w:hAnsiTheme="minorHAnsi"/>
                <w:noProof/>
                <w:sz w:val="16"/>
                <w:szCs w:val="16"/>
              </w:rPr>
              <w:t>[22]</w:t>
            </w:r>
            <w:r w:rsidRPr="00587E18">
              <w:rPr>
                <w:rFonts w:cs="Arial" w:asciiTheme="minorHAnsi" w:hAnsiTheme="minorHAnsi"/>
                <w:sz w:val="16"/>
                <w:szCs w:val="16"/>
              </w:rPr>
              <w:t xml:space="preserve"> However, in a meta-analysis of hospital adverse drug reactions (ADRs), the mean fatal ADR prevalence varied from 0.01% in paediatric patients to 0.44% in the elderly. Warfarin, aspirin, renin-angiotensin system inhibitors and digoxin accounted for 60% of fatal ADRs.</w:t>
            </w:r>
            <w:r w:rsidRPr="00587E18">
              <w:rPr>
                <w:rFonts w:cs="Arial" w:asciiTheme="minorHAnsi" w:hAnsiTheme="minorHAnsi"/>
                <w:noProof/>
                <w:sz w:val="16"/>
                <w:szCs w:val="16"/>
              </w:rPr>
              <w:t>[23]</w:t>
            </w:r>
            <w:r w:rsidRPr="00587E18">
              <w:rPr>
                <w:rFonts w:cs="Arial" w:asciiTheme="minorHAnsi" w:hAnsiTheme="minorHAnsi"/>
                <w:sz w:val="16"/>
                <w:szCs w:val="16"/>
              </w:rPr>
              <w:t xml:space="preserve"> </w:t>
            </w:r>
          </w:p>
          <w:p w:rsidRPr="00587E18" w:rsidR="00032F3D" w:rsidP="00131848" w:rsidRDefault="00032F3D" w14:paraId="428D7308"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Ventricular fibrillation following adenosine therapy for SVT in a neonate with concealed Wolff-Parkinson-White syndrome treated with digoxin has been reported.</w:t>
            </w:r>
            <w:r w:rsidRPr="00587E18">
              <w:rPr>
                <w:rFonts w:cs="Arial" w:asciiTheme="minorHAnsi" w:hAnsiTheme="minorHAnsi"/>
                <w:noProof/>
                <w:sz w:val="16"/>
                <w:szCs w:val="16"/>
              </w:rPr>
              <w:t>[24]</w:t>
            </w:r>
          </w:p>
          <w:p w:rsidRPr="00587E18" w:rsidR="00032F3D" w:rsidP="00131848" w:rsidRDefault="00032F3D" w14:paraId="4782C56F"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Digoxin toxicity may originate from or be exacerbated by drug interactions. Inhibitors of P-glycoprotein (ABCB1) such as verapamil, amiodarone or macrolide antibiotics can enhance oral bioavailability of digoxin by decreasing its efflux from the enterocytes into the lumen of the intestine and decrease its active tubular secretion into the urine in the kidney. As a result, plasma concentrations of digoxin may significantly increase to toxic levels [see drug interactions]. Recommended window of therapeutic concentrations is quite narrow (0.8–2.0 ng/mL) and more recent recommendations suggest even lower and more narrow range (0.5–1.0 ng/mL).</w:t>
            </w:r>
            <w:r w:rsidRPr="00587E18">
              <w:rPr>
                <w:rFonts w:cs="Arial" w:asciiTheme="minorHAnsi" w:hAnsiTheme="minorHAnsi"/>
                <w:noProof/>
                <w:sz w:val="16"/>
                <w:szCs w:val="16"/>
              </w:rPr>
              <w:t>[25]</w:t>
            </w:r>
          </w:p>
          <w:p w:rsidRPr="00587E18" w:rsidR="00032F3D" w:rsidP="00131848" w:rsidRDefault="00032F3D" w14:paraId="7EDD10C2"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Increased arrhythmic complications have been identified in patients with serum digoxin concentrations ≥1.2 ng/mL.  If used in the context of any renal impairment, digoxin requires very careful dose and level monitoring to prevent toxicity.</w:t>
            </w:r>
            <w:r w:rsidRPr="00587E18">
              <w:rPr>
                <w:rFonts w:cs="Arial" w:asciiTheme="minorHAnsi" w:hAnsiTheme="minorHAnsi"/>
                <w:noProof/>
                <w:sz w:val="16"/>
                <w:szCs w:val="16"/>
              </w:rPr>
              <w:t>[1]</w:t>
            </w:r>
          </w:p>
          <w:p w:rsidRPr="00587E18" w:rsidR="00032F3D" w:rsidP="00131848" w:rsidRDefault="00032F3D" w14:paraId="01D8CFBA"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Hypokalaemia increases the incidence of arrhythmias and sudden cardiac death. The risk is increased in patients with pre-existing heart disease and in those treated with digoxin.</w:t>
            </w:r>
          </w:p>
          <w:p w:rsidRPr="00587E18" w:rsidR="00032F3D" w:rsidP="00131848" w:rsidRDefault="00032F3D" w14:paraId="75A5BFC0"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Although cases of digoxin poisoning are fewer than those involving calcium channel and beta blockers, the mortality rate from digoxin is far greater.</w:t>
            </w:r>
          </w:p>
          <w:p w:rsidRPr="00587E18" w:rsidR="00032F3D" w:rsidP="00131848" w:rsidRDefault="00032F3D" w14:paraId="72BA16E5" w14:textId="77777777">
            <w:pPr>
              <w:pStyle w:val="BodyText"/>
              <w:tabs>
                <w:tab w:val="left" w:pos="1168"/>
              </w:tabs>
              <w:rPr>
                <w:rFonts w:cs="Arial" w:asciiTheme="minorHAnsi" w:hAnsiTheme="minorHAnsi"/>
                <w:noProof/>
                <w:sz w:val="16"/>
                <w:szCs w:val="16"/>
              </w:rPr>
            </w:pPr>
            <w:r w:rsidRPr="00587E18">
              <w:rPr>
                <w:rFonts w:cs="Arial" w:asciiTheme="minorHAnsi" w:hAnsiTheme="minorHAnsi"/>
                <w:sz w:val="16"/>
                <w:szCs w:val="16"/>
              </w:rPr>
              <w:t>Specific antidote therapy with digoxin-specific antibody fragments (digoxin-Fab) should be used if there are arrhythmias associated with haemodynamic instability. Digoxin-Fab interferes with digoxin immunoassay measurement and can lead to overestimation of plasma digoxin concentrations.</w:t>
            </w:r>
            <w:r w:rsidRPr="00587E18">
              <w:rPr>
                <w:rFonts w:cs="Arial" w:asciiTheme="minorHAnsi" w:hAnsiTheme="minorHAnsi"/>
                <w:noProof/>
                <w:sz w:val="16"/>
                <w:szCs w:val="16"/>
              </w:rPr>
              <w:t>[26]</w:t>
            </w:r>
          </w:p>
          <w:p w:rsidRPr="00587E18" w:rsidR="00032F3D" w:rsidP="00131848" w:rsidRDefault="00032F3D" w14:paraId="680D408E" w14:textId="77777777">
            <w:pPr>
              <w:pStyle w:val="BodyText"/>
              <w:tabs>
                <w:tab w:val="left" w:pos="1168"/>
              </w:tabs>
              <w:rPr>
                <w:rFonts w:cs="Arial" w:asciiTheme="minorHAnsi" w:hAnsiTheme="minorHAnsi"/>
                <w:noProof/>
                <w:sz w:val="16"/>
                <w:szCs w:val="16"/>
              </w:rPr>
            </w:pPr>
          </w:p>
          <w:p w:rsidRPr="00587E18" w:rsidR="00032F3D" w:rsidP="00131848" w:rsidRDefault="00032F3D" w14:paraId="5F72810B" w14:textId="77777777">
            <w:pPr>
              <w:pStyle w:val="BodyText"/>
              <w:tabs>
                <w:tab w:val="left" w:pos="1168"/>
              </w:tabs>
              <w:rPr>
                <w:rFonts w:cs="Arial" w:asciiTheme="minorHAnsi" w:hAnsiTheme="minorHAnsi"/>
                <w:noProof/>
                <w:sz w:val="16"/>
                <w:szCs w:val="16"/>
              </w:rPr>
            </w:pPr>
            <w:r w:rsidRPr="00587E18">
              <w:rPr>
                <w:rFonts w:cs="Arial" w:asciiTheme="minorHAnsi" w:hAnsiTheme="minorHAnsi"/>
                <w:noProof/>
                <w:sz w:val="16"/>
                <w:szCs w:val="16"/>
              </w:rPr>
              <w:t>Lanoxin Paediatric Elixir</w:t>
            </w:r>
            <w:r w:rsidRPr="00587E18">
              <w:rPr>
                <w:sz w:val="16"/>
                <w:szCs w:val="16"/>
              </w:rPr>
              <w:t xml:space="preserve"> </w:t>
            </w:r>
            <w:r w:rsidRPr="00587E18">
              <w:rPr>
                <w:rFonts w:asciiTheme="minorHAnsi" w:hAnsiTheme="minorHAnsi"/>
                <w:sz w:val="16"/>
                <w:szCs w:val="16"/>
              </w:rPr>
              <w:t xml:space="preserve">contains </w:t>
            </w:r>
            <w:r w:rsidRPr="00587E18">
              <w:rPr>
                <w:rFonts w:cs="Arial" w:asciiTheme="minorHAnsi" w:hAnsiTheme="minorHAnsi"/>
                <w:noProof/>
                <w:sz w:val="16"/>
                <w:szCs w:val="16"/>
              </w:rPr>
              <w:t>approximately 52 mg/mL of propylene glycol and 84 mg/mL of ethanol, equivalent to 10.6% absolute volume (email correspondence with the manufacturer on 21</w:t>
            </w:r>
            <w:r w:rsidRPr="00587E18">
              <w:rPr>
                <w:rFonts w:cs="Arial" w:asciiTheme="minorHAnsi" w:hAnsiTheme="minorHAnsi"/>
                <w:noProof/>
                <w:sz w:val="16"/>
                <w:szCs w:val="16"/>
                <w:vertAlign w:val="superscript"/>
              </w:rPr>
              <w:t>st</w:t>
            </w:r>
            <w:r w:rsidRPr="00587E18">
              <w:rPr>
                <w:rFonts w:cs="Arial" w:asciiTheme="minorHAnsi" w:hAnsiTheme="minorHAnsi"/>
                <w:noProof/>
                <w:sz w:val="16"/>
                <w:szCs w:val="16"/>
              </w:rPr>
              <w:t xml:space="preserve"> March 2019). Long-term effects of prolonged exposure to ethanol content are unknown.</w:t>
            </w:r>
          </w:p>
          <w:p w:rsidRPr="00587E18" w:rsidR="00032F3D" w:rsidP="00131848" w:rsidRDefault="00032F3D" w14:paraId="46CD6DB2" w14:textId="77777777">
            <w:pPr>
              <w:pStyle w:val="BodyText"/>
              <w:tabs>
                <w:tab w:val="left" w:pos="1168"/>
              </w:tabs>
              <w:rPr>
                <w:rFonts w:cs="Arial" w:asciiTheme="minorHAnsi" w:hAnsiTheme="minorHAnsi"/>
                <w:sz w:val="16"/>
                <w:szCs w:val="16"/>
              </w:rPr>
            </w:pPr>
          </w:p>
          <w:p w:rsidRPr="00587E18" w:rsidR="00032F3D" w:rsidP="00131848" w:rsidRDefault="00032F3D" w14:paraId="51F61251" w14:textId="77777777">
            <w:pPr>
              <w:pStyle w:val="BodyText"/>
              <w:tabs>
                <w:tab w:val="left" w:pos="1168"/>
              </w:tabs>
              <w:rPr>
                <w:rFonts w:cs="Arial" w:asciiTheme="minorHAnsi" w:hAnsiTheme="minorHAnsi"/>
                <w:sz w:val="16"/>
                <w:szCs w:val="16"/>
              </w:rPr>
            </w:pPr>
            <w:r w:rsidRPr="00587E18">
              <w:rPr>
                <w:rFonts w:cs="Arial" w:asciiTheme="minorHAnsi" w:hAnsiTheme="minorHAnsi"/>
                <w:b/>
                <w:sz w:val="16"/>
                <w:szCs w:val="16"/>
              </w:rPr>
              <w:t>Pharmacokinetics/pharmacodynamics</w:t>
            </w:r>
          </w:p>
          <w:p w:rsidRPr="00587E18" w:rsidR="00032F3D" w:rsidP="00131848" w:rsidRDefault="00032F3D" w14:paraId="6829804B"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t>Digoxin is a cardiac glycoside. Digoxin’s mechanism of action is related to both causing an increase in parasympathetic tone as well as inhibition of the Na</w:t>
            </w:r>
            <w:r w:rsidRPr="00587E18">
              <w:rPr>
                <w:rFonts w:cs="Arial" w:asciiTheme="minorHAnsi" w:hAnsiTheme="minorHAnsi"/>
                <w:sz w:val="16"/>
                <w:szCs w:val="16"/>
                <w:vertAlign w:val="superscript"/>
              </w:rPr>
              <w:t>+</w:t>
            </w:r>
            <w:r w:rsidRPr="00587E18">
              <w:rPr>
                <w:rFonts w:cs="Arial" w:asciiTheme="minorHAnsi" w:hAnsiTheme="minorHAnsi"/>
                <w:sz w:val="16"/>
                <w:szCs w:val="16"/>
              </w:rPr>
              <w:t>/K</w:t>
            </w:r>
            <w:r w:rsidRPr="00587E18">
              <w:rPr>
                <w:rFonts w:cs="Arial" w:asciiTheme="minorHAnsi" w:hAnsiTheme="minorHAnsi"/>
                <w:sz w:val="16"/>
                <w:szCs w:val="16"/>
                <w:vertAlign w:val="superscript"/>
              </w:rPr>
              <w:t>+</w:t>
            </w:r>
            <w:r w:rsidRPr="00587E18">
              <w:rPr>
                <w:rFonts w:cs="Arial" w:asciiTheme="minorHAnsi" w:hAnsiTheme="minorHAnsi"/>
                <w:sz w:val="16"/>
                <w:szCs w:val="16"/>
              </w:rPr>
              <w:t xml:space="preserve"> ATPase, which indirectly increases intracellular calcium. Its onset of action is 5 to 60 minutes when given intravenously, with peak effect seen in 1 to 6 hours. When given orally, onset of action is 1 to 2 hours, with peak effect seen at 2 to 8 hours. The half-life of digoxin varies by age, ranging from 61 to 170 hours in preterm neonates, from 35 to 45 hours in full-term neonates and from 18 to 25 hours in infants.</w:t>
            </w:r>
            <w:r w:rsidRPr="00587E18">
              <w:rPr>
                <w:rFonts w:cs="Arial" w:asciiTheme="minorHAnsi" w:hAnsiTheme="minorHAnsi"/>
                <w:noProof/>
                <w:sz w:val="16"/>
                <w:szCs w:val="16"/>
              </w:rPr>
              <w:t>[27]</w:t>
            </w:r>
            <w:r w:rsidRPr="00587E18">
              <w:rPr>
                <w:rFonts w:cs="Arial" w:asciiTheme="minorHAnsi" w:hAnsiTheme="minorHAnsi"/>
                <w:sz w:val="16"/>
                <w:szCs w:val="16"/>
              </w:rPr>
              <w:t xml:space="preserve"> Digoxin toxicity in neonates and infants can present as significant bradycardia or cardiac arrhythmias. Digoxin is contraindicated in patients with WPW because of its effect on the accessory pathway and the AV node causing predisposition for fatal arrhythmias.</w:t>
            </w:r>
            <w:r w:rsidRPr="00587E18">
              <w:rPr>
                <w:rFonts w:cs="Arial" w:asciiTheme="minorHAnsi" w:hAnsiTheme="minorHAnsi"/>
                <w:noProof/>
                <w:sz w:val="16"/>
                <w:szCs w:val="16"/>
              </w:rPr>
              <w:t>[28]</w:t>
            </w:r>
          </w:p>
          <w:p w:rsidRPr="00587E18" w:rsidR="00032F3D" w:rsidP="00131848" w:rsidRDefault="00032F3D" w14:paraId="1B2BB968" w14:textId="77777777">
            <w:pPr>
              <w:pStyle w:val="BodyText"/>
              <w:tabs>
                <w:tab w:val="left" w:pos="1168"/>
              </w:tabs>
              <w:rPr>
                <w:rFonts w:cs="Arial" w:asciiTheme="minorHAnsi" w:hAnsiTheme="minorHAnsi"/>
                <w:b/>
                <w:sz w:val="16"/>
                <w:szCs w:val="16"/>
              </w:rPr>
            </w:pPr>
            <w:r w:rsidRPr="00587E18">
              <w:rPr>
                <w:rFonts w:cs="Arial" w:asciiTheme="minorHAnsi" w:hAnsiTheme="minorHAnsi"/>
                <w:b/>
                <w:sz w:val="16"/>
                <w:szCs w:val="16"/>
              </w:rPr>
              <w:t>Monitoring</w:t>
            </w:r>
          </w:p>
          <w:p w:rsidRPr="00587E18" w:rsidR="00032F3D" w:rsidP="00131848" w:rsidRDefault="00032F3D" w14:paraId="77747D6E" w14:textId="77777777">
            <w:pPr>
              <w:pStyle w:val="BodyText"/>
              <w:tabs>
                <w:tab w:val="left" w:pos="1168"/>
              </w:tabs>
              <w:rPr>
                <w:rFonts w:cs="Arial" w:asciiTheme="minorHAnsi" w:hAnsiTheme="minorHAnsi"/>
                <w:sz w:val="16"/>
                <w:szCs w:val="16"/>
              </w:rPr>
            </w:pPr>
            <w:r w:rsidRPr="00587E18">
              <w:rPr>
                <w:rFonts w:cs="Arial" w:asciiTheme="minorHAnsi" w:hAnsiTheme="minorHAnsi"/>
                <w:sz w:val="16"/>
                <w:szCs w:val="16"/>
              </w:rPr>
              <w:lastRenderedPageBreak/>
              <w:t>Digoxin has 11 different methodologies reported Australia and New Zealand laboratories for therapeutic drug monitoring (TDM). Digoxin immunoassays may have a problem with interference from digoxin-like immunoreactive factors, spironolactone, canrenoate, digoxin metabolites and steroids.</w:t>
            </w:r>
            <w:r w:rsidRPr="00587E18">
              <w:rPr>
                <w:rFonts w:cs="Arial" w:asciiTheme="minorHAnsi" w:hAnsiTheme="minorHAnsi"/>
                <w:noProof/>
                <w:sz w:val="16"/>
                <w:szCs w:val="16"/>
              </w:rPr>
              <w:t>[29]</w:t>
            </w:r>
          </w:p>
        </w:tc>
      </w:tr>
      <w:tr w:rsidRPr="003A7895" w:rsidR="00032F3D" w:rsidTr="00D10A80" w14:paraId="43D9196A" w14:textId="77777777">
        <w:trPr>
          <w:trHeight w:val="108"/>
        </w:trPr>
        <w:tc>
          <w:tcPr>
            <w:tcW w:w="1702" w:type="dxa"/>
          </w:tcPr>
          <w:p w:rsidRPr="00B53E9B" w:rsidR="00032F3D" w:rsidP="00131848" w:rsidRDefault="00032F3D" w14:paraId="61B9DBF8" w14:textId="77777777">
            <w:pPr>
              <w:pStyle w:val="BodyText"/>
              <w:rPr>
                <w:rFonts w:cs="Arial"/>
                <w:b/>
                <w:bCs/>
                <w:sz w:val="20"/>
              </w:rPr>
            </w:pPr>
            <w:r w:rsidRPr="00B53E9B">
              <w:rPr>
                <w:rFonts w:cs="Arial"/>
                <w:b/>
                <w:bCs/>
                <w:sz w:val="20"/>
              </w:rPr>
              <w:lastRenderedPageBreak/>
              <w:t>Practice points</w:t>
            </w:r>
          </w:p>
        </w:tc>
        <w:tc>
          <w:tcPr>
            <w:tcW w:w="8392" w:type="dxa"/>
          </w:tcPr>
          <w:p w:rsidRPr="00026F20" w:rsidR="00032F3D" w:rsidP="00131848" w:rsidRDefault="00032F3D" w14:paraId="3238B088" w14:textId="77777777">
            <w:pPr>
              <w:pStyle w:val="BodyText"/>
              <w:tabs>
                <w:tab w:val="left" w:pos="1168"/>
              </w:tabs>
              <w:rPr>
                <w:rFonts w:cs="Arial"/>
                <w:sz w:val="20"/>
              </w:rPr>
            </w:pPr>
          </w:p>
        </w:tc>
      </w:tr>
      <w:tr w:rsidRPr="003A7895" w:rsidR="00032F3D" w:rsidTr="00D10A80" w14:paraId="6DFE729C" w14:textId="77777777">
        <w:trPr>
          <w:trHeight w:val="70"/>
        </w:trPr>
        <w:tc>
          <w:tcPr>
            <w:tcW w:w="1702" w:type="dxa"/>
          </w:tcPr>
          <w:p w:rsidRPr="00B53E9B" w:rsidR="00032F3D" w:rsidP="00131848" w:rsidRDefault="00032F3D" w14:paraId="7AB0C056" w14:textId="77777777">
            <w:pPr>
              <w:pStyle w:val="BodyText"/>
              <w:rPr>
                <w:rFonts w:cs="Arial"/>
                <w:b/>
                <w:bCs/>
                <w:sz w:val="20"/>
              </w:rPr>
            </w:pPr>
            <w:r w:rsidRPr="00B53E9B">
              <w:rPr>
                <w:b/>
                <w:sz w:val="20"/>
              </w:rPr>
              <w:t>References</w:t>
            </w:r>
          </w:p>
        </w:tc>
        <w:tc>
          <w:tcPr>
            <w:tcW w:w="8392" w:type="dxa"/>
          </w:tcPr>
          <w:p w:rsidRPr="00032F3D" w:rsidR="00032F3D" w:rsidP="00032F3D" w:rsidRDefault="00032F3D" w14:paraId="69CF925C"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Chia N, Fulcher J, Keech A. Beta-blocker, angiotensin-converting enzyme inhibitor/angiotensin receptor blocker, nitrate-hydralazine, diuretics, aldosterone antagonist, ivabradine, devices and digoxin (BANDAID</w:t>
            </w:r>
            <w:r w:rsidRPr="00032F3D">
              <w:rPr>
                <w:rFonts w:asciiTheme="minorHAnsi" w:hAnsiTheme="minorHAnsi"/>
                <w:sz w:val="16"/>
                <w:szCs w:val="16"/>
                <w:vertAlign w:val="superscript"/>
                <w:lang w:val="en-AU"/>
              </w:rPr>
              <w:t>2</w:t>
            </w:r>
            <w:r w:rsidRPr="00032F3D">
              <w:rPr>
                <w:rFonts w:asciiTheme="minorHAnsi" w:hAnsiTheme="minorHAnsi"/>
                <w:sz w:val="16"/>
                <w:szCs w:val="16"/>
                <w:lang w:val="en-AU"/>
              </w:rPr>
              <w:t>): An evidence-based mnemonic for the treatment of systolic heart failure. Internal Medicine Journal. 2016;46:653-62.</w:t>
            </w:r>
          </w:p>
          <w:p w:rsidRPr="00032F3D" w:rsidR="00032F3D" w:rsidP="00032F3D" w:rsidRDefault="00032F3D" w14:paraId="5B2EBBA5"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Hood WB, Jr., Dans AL, Guyatt GH, Jaeschke R, McMurray JJ. Digitalis for treatment of heart failure in patients in sinus rhythm. [Review][Update of Cochrane Database Syst Rev. 2004;(2):CD002901; PMID: 15106182]. 2014;1:Cd002901.</w:t>
            </w:r>
          </w:p>
          <w:p w:rsidRPr="00032F3D" w:rsidR="00032F3D" w:rsidP="00032F3D" w:rsidRDefault="00032F3D" w14:paraId="2AE19C2F"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Alajaji W, Baydoun A, Al-Kindi SG, Henry L, Hanna MA, Oliveira GH. Digoxin therapy for cor pulmonale: A systematic review. International Journal of Cardiology. 2016;223:320-4.</w:t>
            </w:r>
          </w:p>
          <w:p w:rsidRPr="00032F3D" w:rsidR="00032F3D" w:rsidP="00032F3D" w:rsidRDefault="00032F3D" w14:paraId="2C31787D"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Ahuja RS, Ramakrishnan S, Kothari SS, Bhatt K, Gupta SK, Juneja R, Saxena A, Bahl VK. Propranolol in infants with ventricular septal defect with heart failure(VSD-phf study). Annals of Pediatric Cardiology. 2013;6 (1):105-6.</w:t>
            </w:r>
          </w:p>
          <w:p w:rsidRPr="00032F3D" w:rsidR="00032F3D" w:rsidP="00032F3D" w:rsidRDefault="00032F3D" w14:paraId="00E81CD8"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Bonnet D, Berger F, Jokinen E, Kantor PF, Daubeney PEF. Ivabradine in Children With Dilated Cardiomyopathy and Symptomatic Chronic Heart Failure. Journal of the American College of Cardiology. 2017;70:1262-72.</w:t>
            </w:r>
          </w:p>
          <w:p w:rsidRPr="00032F3D" w:rsidR="00032F3D" w:rsidP="00032F3D" w:rsidRDefault="00032F3D" w14:paraId="63A73E3E"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Buchhorn R, Hulpke-Wette M, Hilgers R, Bartmus D, Wessel A, Bursch J. Propranolol treatment of congestive heart failure in infants with congenital heart disease: The CHF-PRO-INFANT Trial. International Journal of Cardiology. 2001;79:167-73.</w:t>
            </w:r>
          </w:p>
          <w:p w:rsidRPr="00032F3D" w:rsidR="00032F3D" w:rsidP="00032F3D" w:rsidRDefault="00032F3D" w14:paraId="220BBE12"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Ghader FR, Abaskhanian A. Influence of metoprolol on systolic and diastolic function in children with heart failure. Pakistan Journal of Biological Sciences. 2009;12:451-4.</w:t>
            </w:r>
          </w:p>
          <w:p w:rsidRPr="00032F3D" w:rsidR="00032F3D" w:rsidP="00032F3D" w:rsidRDefault="00032F3D" w14:paraId="37878CE9"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Azeka E, Franchini Ramires JA, Valler C, Bocchi EA. Delisting of infants and children from the heart transplantation waiting list after carvedilol treatment. Journal of the American College of Cardiology. 2002;40:2034-8.</w:t>
            </w:r>
          </w:p>
          <w:p w:rsidRPr="00032F3D" w:rsidR="00032F3D" w:rsidP="00032F3D" w:rsidRDefault="00032F3D" w14:paraId="66358E59"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Zhang X, Sun Y, Xiao Y, Sun J, Huang M, Chen S, Liu F. The effect of carvedilol treatment on chronic heart failure in pediatric patients with dilated cardiomyopathy: A prospective, randomized-controlled study. Pediatric Cardiology. 2013;34:680-5.</w:t>
            </w:r>
          </w:p>
          <w:p w:rsidRPr="00032F3D" w:rsidR="00032F3D" w:rsidP="00032F3D" w:rsidRDefault="00032F3D" w14:paraId="2FA2E604"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Rossano JW, Cabrera AG, Jefferies JL, Naim MPHMY, Humlicek T. Pediatric cardiac intensive care society 2014 consensus statement: Pharmacotherapies in cardiac critical care chronic heart failure. Pediatric Critical Care Medicine. 2016;17:S20-S34.</w:t>
            </w:r>
          </w:p>
          <w:p w:rsidRPr="00032F3D" w:rsidR="00032F3D" w:rsidP="00032F3D" w:rsidRDefault="00032F3D" w14:paraId="175F00B2"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Management of supraventricular tachycardia in children 2018: https://www.uptodate.com/.../management-of-supraventricular-tachycardia-in-children.</w:t>
            </w:r>
          </w:p>
          <w:p w:rsidRPr="00032F3D" w:rsidR="00032F3D" w:rsidP="00032F3D" w:rsidRDefault="00032F3D" w14:paraId="32AA6CF4"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Sanatani S, Potts JE, Reed JH, Saul JP, Stephenson EA, Gibbs KA, Anderson CC, MacKie AS, Ro PS, Tisma-Dupanovic S, Kanter RJ, Batra AS, Fournier A, Blaufox AD, Singh HR, Ross BA, Wong KK, Bar-Cohen Y, McCrindle BW, Etheridge SP. The study of antiarrhythmic medications in infancy (SAMIS): A multicenter, randomized controlled trial comparing the efficacy and safety of digoxin versus propranolol for prophylaxis of supraventricular tachycardia in infants. Circulation: Arrhythmia and Electrophysiology. 2012;5:984-91.</w:t>
            </w:r>
          </w:p>
          <w:p w:rsidRPr="00032F3D" w:rsidR="00032F3D" w:rsidP="00032F3D" w:rsidRDefault="00032F3D" w14:paraId="4F22A0A2"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Hornik CP, Chu PY, Li JS, Clark RH, Smith PB, Hill KD. Comparative effectiveness of digoxin and propranolol for supraventricular tachycardia in infants. Pediatr Crit Care Med. 2014;15:839-45.</w:t>
            </w:r>
          </w:p>
          <w:p w:rsidRPr="00032F3D" w:rsidR="00032F3D" w:rsidP="00032F3D" w:rsidRDefault="00032F3D" w14:paraId="7E795870"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Bolin EH, Lang SM, Tang X, Collins RT. Propranolol Versus Digoxin in the Neonate for Supraventricular Tachycardia (from the Pediatric Health Information System). Am J Cardiol. 2017;119:1605-10.</w:t>
            </w:r>
          </w:p>
          <w:p w:rsidRPr="00032F3D" w:rsidR="00032F3D" w:rsidP="00032F3D" w:rsidRDefault="00032F3D" w14:paraId="1042CEFB" w14:textId="77777777">
            <w:pPr>
              <w:pStyle w:val="EndNoteBibliography"/>
              <w:numPr>
                <w:ilvl w:val="0"/>
                <w:numId w:val="56"/>
              </w:numPr>
              <w:ind w:left="360"/>
              <w:rPr>
                <w:rFonts w:asciiTheme="minorHAnsi" w:hAnsiTheme="minorHAnsi"/>
                <w:sz w:val="16"/>
                <w:szCs w:val="16"/>
                <w:lang w:val="en-AU"/>
              </w:rPr>
            </w:pPr>
            <w:bookmarkStart w:name="_ENREF_15" w:id="185"/>
            <w:r w:rsidRPr="00032F3D">
              <w:rPr>
                <w:rFonts w:asciiTheme="minorHAnsi" w:hAnsiTheme="minorHAnsi"/>
                <w:sz w:val="16"/>
                <w:szCs w:val="16"/>
                <w:lang w:val="en-AU"/>
              </w:rPr>
              <w:t>ANZCOR Guideline 12.5 – Management of Specific Dysrhythmias in Paediatric Advanced Life Support. https://resus.org.au/wpfb-file/anzcor-guideline-12-5-management-of-spec-dys-aug16-pdf/ 2016.</w:t>
            </w:r>
            <w:bookmarkEnd w:id="185"/>
          </w:p>
          <w:p w:rsidRPr="00032F3D" w:rsidR="00032F3D" w:rsidP="00032F3D" w:rsidRDefault="00032F3D" w14:paraId="6E0B2442" w14:textId="77777777">
            <w:pPr>
              <w:pStyle w:val="EndNoteBibliography"/>
              <w:numPr>
                <w:ilvl w:val="0"/>
                <w:numId w:val="56"/>
              </w:numPr>
              <w:ind w:left="360"/>
              <w:rPr>
                <w:rFonts w:asciiTheme="minorHAnsi" w:hAnsiTheme="minorHAnsi"/>
                <w:sz w:val="16"/>
                <w:szCs w:val="16"/>
                <w:lang w:val="en-AU"/>
              </w:rPr>
            </w:pPr>
            <w:bookmarkStart w:name="_ENREF_16" w:id="186"/>
            <w:r w:rsidRPr="00032F3D">
              <w:rPr>
                <w:rFonts w:asciiTheme="minorHAnsi" w:hAnsiTheme="minorHAnsi"/>
                <w:sz w:val="16"/>
                <w:szCs w:val="16"/>
                <w:lang w:val="en-AU"/>
              </w:rPr>
              <w:t>Atrial tachyarrhythmias in children. 2018. https://www.uptodate.com/contents/atrial-tachyarrhythmias-in-children.</w:t>
            </w:r>
            <w:bookmarkEnd w:id="186"/>
          </w:p>
          <w:p w:rsidRPr="00032F3D" w:rsidR="00032F3D" w:rsidP="00032F3D" w:rsidRDefault="00032F3D" w14:paraId="3C7AF735" w14:textId="77777777">
            <w:pPr>
              <w:pStyle w:val="EndNoteBibliography"/>
              <w:numPr>
                <w:ilvl w:val="0"/>
                <w:numId w:val="56"/>
              </w:numPr>
              <w:ind w:left="360"/>
              <w:rPr>
                <w:rFonts w:asciiTheme="minorHAnsi" w:hAnsiTheme="minorHAnsi"/>
                <w:sz w:val="16"/>
                <w:szCs w:val="16"/>
                <w:lang w:val="en-AU"/>
              </w:rPr>
            </w:pPr>
            <w:bookmarkStart w:name="_ENREF_17" w:id="187"/>
            <w:r w:rsidRPr="00032F3D">
              <w:rPr>
                <w:rFonts w:asciiTheme="minorHAnsi" w:hAnsiTheme="minorHAnsi"/>
                <w:sz w:val="16"/>
                <w:szCs w:val="16"/>
                <w:lang w:val="en-AU"/>
              </w:rPr>
              <w:t>Radford DJ, Izukawa T. Atrial fibrillation in children. Pediatrics. 1977;59:250-6.</w:t>
            </w:r>
            <w:bookmarkEnd w:id="187"/>
          </w:p>
          <w:p w:rsidRPr="00032F3D" w:rsidR="00032F3D" w:rsidP="00032F3D" w:rsidRDefault="00032F3D" w14:paraId="546A7037" w14:textId="77777777">
            <w:pPr>
              <w:pStyle w:val="EndNoteBibliography"/>
              <w:numPr>
                <w:ilvl w:val="0"/>
                <w:numId w:val="56"/>
              </w:numPr>
              <w:ind w:left="360"/>
              <w:rPr>
                <w:rFonts w:asciiTheme="minorHAnsi" w:hAnsiTheme="minorHAnsi"/>
                <w:sz w:val="16"/>
                <w:szCs w:val="16"/>
                <w:lang w:val="en-AU"/>
              </w:rPr>
            </w:pPr>
            <w:bookmarkStart w:name="_ENREF_18" w:id="188"/>
            <w:r w:rsidRPr="00032F3D">
              <w:rPr>
                <w:rFonts w:asciiTheme="minorHAnsi" w:hAnsiTheme="minorHAnsi"/>
                <w:sz w:val="16"/>
                <w:szCs w:val="16"/>
                <w:lang w:val="en-AU"/>
              </w:rPr>
              <w:t>Tikanoja T, Kirkinen P, Nikolajev K, Eresmaa L, Haring P. Familial atrial fibrillation with fetal onset. Heart. 1998;79:195-7.</w:t>
            </w:r>
            <w:bookmarkEnd w:id="188"/>
          </w:p>
          <w:p w:rsidRPr="00032F3D" w:rsidR="00032F3D" w:rsidP="00032F3D" w:rsidRDefault="00032F3D" w14:paraId="125FBE28" w14:textId="77777777">
            <w:pPr>
              <w:pStyle w:val="EndNoteBibliography"/>
              <w:numPr>
                <w:ilvl w:val="0"/>
                <w:numId w:val="56"/>
              </w:numPr>
              <w:ind w:left="360"/>
              <w:rPr>
                <w:rFonts w:asciiTheme="minorHAnsi" w:hAnsiTheme="minorHAnsi"/>
                <w:sz w:val="16"/>
                <w:szCs w:val="16"/>
                <w:lang w:val="en-AU"/>
              </w:rPr>
            </w:pPr>
            <w:bookmarkStart w:name="_ENREF_19" w:id="189"/>
            <w:r w:rsidRPr="00032F3D">
              <w:rPr>
                <w:rFonts w:asciiTheme="minorHAnsi" w:hAnsiTheme="minorHAnsi"/>
                <w:sz w:val="16"/>
                <w:szCs w:val="16"/>
                <w:lang w:val="en-AU"/>
              </w:rPr>
              <w:t>Sethi NJ, Nielsen EE, Safi S, Feinberg J, Gluud C, Jakobsen JC. Digoxin for atrial fibrillation and atrial flutter: A systematic review with meta-analysis and trial sequential analysis of randomised clinical trials. PLoS ONE. 2018;13 (3) (no pagination).</w:t>
            </w:r>
            <w:bookmarkEnd w:id="189"/>
          </w:p>
          <w:p w:rsidRPr="00032F3D" w:rsidR="00032F3D" w:rsidP="00032F3D" w:rsidRDefault="00032F3D" w14:paraId="7E0EC5A4" w14:textId="77777777">
            <w:pPr>
              <w:pStyle w:val="EndNoteBibliography"/>
              <w:numPr>
                <w:ilvl w:val="0"/>
                <w:numId w:val="56"/>
              </w:numPr>
              <w:ind w:left="360"/>
              <w:rPr>
                <w:rFonts w:asciiTheme="minorHAnsi" w:hAnsiTheme="minorHAnsi"/>
                <w:sz w:val="16"/>
                <w:szCs w:val="16"/>
                <w:lang w:val="en-AU"/>
              </w:rPr>
            </w:pPr>
            <w:bookmarkStart w:name="_ENREF_20" w:id="190"/>
            <w:r w:rsidRPr="00032F3D">
              <w:rPr>
                <w:rFonts w:asciiTheme="minorHAnsi" w:hAnsiTheme="minorHAnsi"/>
                <w:sz w:val="16"/>
                <w:szCs w:val="16"/>
                <w:lang w:val="en-AU"/>
              </w:rPr>
              <w:t>Casey FA, McCrindle BW, Hamilton RM, Gow RM. Neonatal atrial flutter: significant early morbidity and excellent long-term prognosis. Am Heart J. 1997;133:302-6.</w:t>
            </w:r>
            <w:bookmarkEnd w:id="190"/>
          </w:p>
          <w:p w:rsidRPr="00032F3D" w:rsidR="00032F3D" w:rsidP="00032F3D" w:rsidRDefault="00032F3D" w14:paraId="17C11EDD" w14:textId="77777777">
            <w:pPr>
              <w:pStyle w:val="EndNoteBibliography"/>
              <w:numPr>
                <w:ilvl w:val="0"/>
                <w:numId w:val="56"/>
              </w:numPr>
              <w:ind w:left="360"/>
              <w:rPr>
                <w:rFonts w:asciiTheme="minorHAnsi" w:hAnsiTheme="minorHAnsi"/>
                <w:sz w:val="16"/>
                <w:szCs w:val="16"/>
                <w:lang w:val="en-AU"/>
              </w:rPr>
            </w:pPr>
            <w:bookmarkStart w:name="_ENREF_21" w:id="191"/>
            <w:r w:rsidRPr="00032F3D">
              <w:rPr>
                <w:rFonts w:asciiTheme="minorHAnsi" w:hAnsiTheme="minorHAnsi"/>
                <w:sz w:val="16"/>
                <w:szCs w:val="16"/>
                <w:lang w:val="en-AU"/>
              </w:rPr>
              <w:t>Texter KM, Kertesz NJ, Friedman RA, Fenrich AL, Jr. Atrial flutter in infants. Journal of the American College of Cardiology. 2006;48:1040-6.</w:t>
            </w:r>
            <w:bookmarkEnd w:id="191"/>
          </w:p>
          <w:p w:rsidRPr="00032F3D" w:rsidR="00032F3D" w:rsidP="00032F3D" w:rsidRDefault="00032F3D" w14:paraId="66C9C88B" w14:textId="77777777">
            <w:pPr>
              <w:pStyle w:val="EndNoteBibliography"/>
              <w:numPr>
                <w:ilvl w:val="0"/>
                <w:numId w:val="56"/>
              </w:numPr>
              <w:ind w:left="360"/>
              <w:rPr>
                <w:rFonts w:asciiTheme="minorHAnsi" w:hAnsiTheme="minorHAnsi"/>
                <w:sz w:val="16"/>
                <w:szCs w:val="16"/>
                <w:lang w:val="en-AU"/>
              </w:rPr>
            </w:pPr>
            <w:bookmarkStart w:name="_ENREF_22" w:id="192"/>
            <w:r w:rsidRPr="00032F3D">
              <w:rPr>
                <w:rFonts w:asciiTheme="minorHAnsi" w:hAnsiTheme="minorHAnsi"/>
                <w:sz w:val="16"/>
                <w:szCs w:val="16"/>
                <w:lang w:val="en-AU"/>
              </w:rPr>
              <w:t>Ziff OJ, Lane DA, Samra M, Griffith M, Kirchhof P, Lip GY, Steeds RP, Townend J, Kotecha D. Safety and efficacy of digoxin: systematic review and meta-analysis of observational and controlled trial data. BMJ (Clinical research ed). 2015;351:h4451.</w:t>
            </w:r>
            <w:bookmarkEnd w:id="192"/>
          </w:p>
          <w:p w:rsidRPr="00032F3D" w:rsidR="00032F3D" w:rsidP="00032F3D" w:rsidRDefault="00032F3D" w14:paraId="661F688A" w14:textId="77777777">
            <w:pPr>
              <w:pStyle w:val="EndNoteBibliography"/>
              <w:numPr>
                <w:ilvl w:val="0"/>
                <w:numId w:val="56"/>
              </w:numPr>
              <w:ind w:left="360"/>
              <w:rPr>
                <w:rFonts w:asciiTheme="minorHAnsi" w:hAnsiTheme="minorHAnsi"/>
                <w:sz w:val="16"/>
                <w:szCs w:val="16"/>
                <w:lang w:val="en-AU"/>
              </w:rPr>
            </w:pPr>
            <w:bookmarkStart w:name="_ENREF_23" w:id="193"/>
            <w:r w:rsidRPr="00032F3D">
              <w:rPr>
                <w:rFonts w:asciiTheme="minorHAnsi" w:hAnsiTheme="minorHAnsi"/>
                <w:sz w:val="16"/>
                <w:szCs w:val="16"/>
                <w:lang w:val="en-AU"/>
              </w:rPr>
              <w:t>Patel TK, Patel PB. Mortality among patients due to adverse drug reactions that lead to hospitalization: a meta-analysis. European Journal of Clinical Pharmacology. 2018;74:819-32.</w:t>
            </w:r>
            <w:bookmarkEnd w:id="193"/>
          </w:p>
          <w:p w:rsidRPr="00032F3D" w:rsidR="00032F3D" w:rsidP="00032F3D" w:rsidRDefault="00032F3D" w14:paraId="5DFA737D" w14:textId="77777777">
            <w:pPr>
              <w:pStyle w:val="EndNoteBibliography"/>
              <w:numPr>
                <w:ilvl w:val="0"/>
                <w:numId w:val="56"/>
              </w:numPr>
              <w:ind w:left="360"/>
              <w:rPr>
                <w:rFonts w:asciiTheme="minorHAnsi" w:hAnsiTheme="minorHAnsi"/>
                <w:sz w:val="16"/>
                <w:szCs w:val="16"/>
                <w:lang w:val="en-AU"/>
              </w:rPr>
            </w:pPr>
            <w:bookmarkStart w:name="_ENREF_24" w:id="194"/>
            <w:r w:rsidRPr="00032F3D">
              <w:rPr>
                <w:rFonts w:asciiTheme="minorHAnsi" w:hAnsiTheme="minorHAnsi"/>
                <w:sz w:val="16"/>
                <w:szCs w:val="16"/>
                <w:lang w:val="en-AU"/>
              </w:rPr>
              <w:t>Mulla N, Karpawich PP. Ventricular fibrillation following adenosine therapy for supraventricular tachycardia in a neonate with concealed Wolff-Parkinson-White syndrome treated with digoxin. Pediatr Emerg Care. 1995;11:238-9.</w:t>
            </w:r>
            <w:bookmarkEnd w:id="194"/>
          </w:p>
          <w:p w:rsidRPr="00032F3D" w:rsidR="00032F3D" w:rsidP="00032F3D" w:rsidRDefault="00032F3D" w14:paraId="6C2D57D3" w14:textId="77777777">
            <w:pPr>
              <w:pStyle w:val="EndNoteBibliography"/>
              <w:numPr>
                <w:ilvl w:val="0"/>
                <w:numId w:val="56"/>
              </w:numPr>
              <w:ind w:left="360"/>
              <w:rPr>
                <w:rFonts w:asciiTheme="minorHAnsi" w:hAnsiTheme="minorHAnsi"/>
                <w:sz w:val="16"/>
                <w:szCs w:val="16"/>
                <w:lang w:val="en-AU"/>
              </w:rPr>
            </w:pPr>
            <w:bookmarkStart w:name="_ENREF_25" w:id="195"/>
            <w:r w:rsidRPr="00032F3D">
              <w:rPr>
                <w:rFonts w:asciiTheme="minorHAnsi" w:hAnsiTheme="minorHAnsi"/>
                <w:sz w:val="16"/>
                <w:szCs w:val="16"/>
                <w:lang w:val="en-AU"/>
              </w:rPr>
              <w:t>Mladenka P, Applova L, Patocka J, Costa VM, Remiao F, Pourova J, Mladenka A, Karlickova J, Jahodar L, Voprsalova M, Varner KJ, Sterba M. Comprehensive review of cardiovascular toxicity of drugs and related agents. Medicinal Research Reviews. 2018;38:1332-403.</w:t>
            </w:r>
            <w:bookmarkEnd w:id="195"/>
          </w:p>
          <w:p w:rsidRPr="00032F3D" w:rsidR="00032F3D" w:rsidP="00032F3D" w:rsidRDefault="00032F3D" w14:paraId="228F3C8E" w14:textId="77777777">
            <w:pPr>
              <w:pStyle w:val="EndNoteBibliography"/>
              <w:numPr>
                <w:ilvl w:val="0"/>
                <w:numId w:val="56"/>
              </w:numPr>
              <w:ind w:left="360"/>
              <w:rPr>
                <w:rFonts w:asciiTheme="minorHAnsi" w:hAnsiTheme="minorHAnsi"/>
                <w:sz w:val="16"/>
                <w:szCs w:val="16"/>
                <w:lang w:val="en-AU"/>
              </w:rPr>
            </w:pPr>
            <w:bookmarkStart w:name="_ENREF_26" w:id="196"/>
            <w:r w:rsidRPr="00032F3D">
              <w:rPr>
                <w:rFonts w:asciiTheme="minorHAnsi" w:hAnsiTheme="minorHAnsi"/>
                <w:sz w:val="16"/>
                <w:szCs w:val="16"/>
                <w:lang w:val="en-AU"/>
              </w:rPr>
              <w:t>Truhlar A, Deakin CD, Soar J, Khalifa GE, Alfonzo A, Bierens JJ, Brattebo G, Brugger H, Dunning J, Hunyadi-Anticevic S, Koster RW, Lockey DJ, Lott C, Paal P, Perkins GD, Sandroni C, Thies KC, Zideman DA, Nolan JP, Cardiac arrest in special circumstances section C. European Resuscitation Council Guidelines for Resuscitation 2015: Section 4. Cardiac arrest in special circumstances. Resuscitation. 2015;95:148-201.</w:t>
            </w:r>
            <w:bookmarkEnd w:id="196"/>
          </w:p>
          <w:p w:rsidRPr="00032F3D" w:rsidR="00032F3D" w:rsidP="00032F3D" w:rsidRDefault="00032F3D" w14:paraId="6C12D3A6" w14:textId="77777777">
            <w:pPr>
              <w:pStyle w:val="EndNoteBibliography"/>
              <w:numPr>
                <w:ilvl w:val="0"/>
                <w:numId w:val="56"/>
              </w:numPr>
              <w:ind w:left="360"/>
              <w:rPr>
                <w:rFonts w:asciiTheme="minorHAnsi" w:hAnsiTheme="minorHAnsi"/>
                <w:sz w:val="16"/>
                <w:szCs w:val="16"/>
                <w:lang w:val="en-AU"/>
              </w:rPr>
            </w:pPr>
            <w:bookmarkStart w:name="_ENREF_27" w:id="197"/>
            <w:r w:rsidRPr="00032F3D">
              <w:rPr>
                <w:rFonts w:asciiTheme="minorHAnsi" w:hAnsiTheme="minorHAnsi"/>
                <w:sz w:val="16"/>
                <w:szCs w:val="16"/>
                <w:lang w:val="en-AU"/>
              </w:rPr>
              <w:t>Lexicomp Online, Pediatric and Neonatal Lexi-Drugs Online, Hudson, Ohio: Wolters Kluwer Clinical Drug Information, Inc.; March 3rd, 2017.</w:t>
            </w:r>
            <w:bookmarkEnd w:id="197"/>
          </w:p>
          <w:p w:rsidRPr="00032F3D" w:rsidR="00032F3D" w:rsidP="00032F3D" w:rsidRDefault="00032F3D" w14:paraId="294E6CC2" w14:textId="77777777">
            <w:pPr>
              <w:pStyle w:val="EndNoteBibliography"/>
              <w:numPr>
                <w:ilvl w:val="0"/>
                <w:numId w:val="56"/>
              </w:numPr>
              <w:ind w:left="360"/>
              <w:rPr>
                <w:rFonts w:asciiTheme="minorHAnsi" w:hAnsiTheme="minorHAnsi"/>
                <w:sz w:val="16"/>
                <w:szCs w:val="16"/>
                <w:lang w:val="en-AU"/>
              </w:rPr>
            </w:pPr>
            <w:bookmarkStart w:name="_ENREF_28" w:id="198"/>
            <w:r w:rsidRPr="00032F3D">
              <w:rPr>
                <w:rFonts w:asciiTheme="minorHAnsi" w:hAnsiTheme="minorHAnsi"/>
                <w:sz w:val="16"/>
                <w:szCs w:val="16"/>
                <w:lang w:val="en-AU"/>
              </w:rPr>
              <w:lastRenderedPageBreak/>
              <w:t>Richardson C, Silver ES. Management of Supraventricular Tachycardia in Infants. Paediatr Drugs. 2017;19:539-51.</w:t>
            </w:r>
            <w:bookmarkEnd w:id="198"/>
          </w:p>
          <w:p w:rsidRPr="00032F3D" w:rsidR="00032F3D" w:rsidP="00032F3D" w:rsidRDefault="00032F3D" w14:paraId="40AF2638" w14:textId="77777777">
            <w:pPr>
              <w:pStyle w:val="EndNoteBibliography"/>
              <w:numPr>
                <w:ilvl w:val="0"/>
                <w:numId w:val="56"/>
              </w:numPr>
              <w:ind w:left="360"/>
              <w:rPr>
                <w:rFonts w:asciiTheme="minorHAnsi" w:hAnsiTheme="minorHAnsi"/>
                <w:sz w:val="16"/>
                <w:szCs w:val="16"/>
                <w:lang w:val="en-AU"/>
              </w:rPr>
            </w:pPr>
            <w:bookmarkStart w:name="_ENREF_29" w:id="199"/>
            <w:r w:rsidRPr="00032F3D">
              <w:rPr>
                <w:rFonts w:asciiTheme="minorHAnsi" w:hAnsiTheme="minorHAnsi"/>
                <w:sz w:val="16"/>
                <w:szCs w:val="16"/>
                <w:lang w:val="en-AU"/>
              </w:rPr>
              <w:t>Norris RL, Martin JH, Thompson E, Ray JE, Fullinfaw RO, Joyce D, Barras M, Jones GR, Morris RG. Current status of therapeutic drug monitoring in Australia and New Zealand: A need for improved assay evaluation, best practice guidelines, and professional development. Therapeutic Drug Monitoring. 2010;32:615-23.</w:t>
            </w:r>
            <w:bookmarkEnd w:id="199"/>
          </w:p>
          <w:p w:rsidRPr="00032F3D" w:rsidR="00032F3D" w:rsidP="00032F3D" w:rsidRDefault="00032F3D" w14:paraId="1A5A00B9"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Australian Injectable Drugs Handbook online. Digoxin. Accessed 20 April 2021.</w:t>
            </w:r>
          </w:p>
          <w:p w:rsidRPr="00032F3D" w:rsidR="00032F3D" w:rsidP="00032F3D" w:rsidRDefault="00032F3D" w14:paraId="09DA6C89" w14:textId="77777777">
            <w:pPr>
              <w:pStyle w:val="EndNoteBibliography"/>
              <w:numPr>
                <w:ilvl w:val="0"/>
                <w:numId w:val="56"/>
              </w:numPr>
              <w:ind w:left="360"/>
              <w:rPr>
                <w:rFonts w:asciiTheme="minorHAnsi" w:hAnsiTheme="minorHAnsi"/>
                <w:sz w:val="16"/>
                <w:szCs w:val="16"/>
                <w:lang w:val="en-AU"/>
              </w:rPr>
            </w:pPr>
            <w:r w:rsidRPr="00032F3D">
              <w:rPr>
                <w:rFonts w:asciiTheme="minorHAnsi" w:hAnsiTheme="minorHAnsi"/>
                <w:sz w:val="16"/>
                <w:szCs w:val="16"/>
                <w:lang w:val="en-AU"/>
              </w:rPr>
              <w:t xml:space="preserve">Australian Medicines Handbook. Accessed 29/08/2018: </w:t>
            </w:r>
            <w:hyperlink w:history="1" r:id="rId28">
              <w:r w:rsidRPr="00032F3D">
                <w:rPr>
                  <w:rStyle w:val="Hyperlink"/>
                  <w:rFonts w:asciiTheme="minorHAnsi" w:hAnsiTheme="minorHAnsi"/>
                  <w:sz w:val="16"/>
                  <w:szCs w:val="16"/>
                  <w:lang w:val="en-AU"/>
                </w:rPr>
                <w:t>https://amhonline.amh.net.au.acs.hcn.com.au/</w:t>
              </w:r>
            </w:hyperlink>
            <w:r w:rsidRPr="00032F3D">
              <w:rPr>
                <w:rFonts w:asciiTheme="minorHAnsi" w:hAnsiTheme="minorHAnsi"/>
                <w:sz w:val="16"/>
                <w:szCs w:val="16"/>
                <w:lang w:val="en-AU"/>
              </w:rPr>
              <w:t xml:space="preserve"> </w:t>
            </w:r>
          </w:p>
          <w:p w:rsidRPr="00032F3D" w:rsidR="00032F3D" w:rsidP="00032F3D" w:rsidRDefault="00032F3D" w14:paraId="1B828782" w14:textId="77777777">
            <w:pPr>
              <w:pStyle w:val="EndNoteBibliography"/>
              <w:numPr>
                <w:ilvl w:val="0"/>
                <w:numId w:val="56"/>
              </w:numPr>
              <w:ind w:left="360"/>
              <w:rPr>
                <w:rStyle w:val="Hyperlink"/>
                <w:rFonts w:asciiTheme="minorHAnsi" w:hAnsiTheme="minorHAnsi"/>
                <w:sz w:val="16"/>
                <w:szCs w:val="16"/>
                <w:lang w:val="en-AU"/>
              </w:rPr>
            </w:pPr>
            <w:r w:rsidRPr="00032F3D">
              <w:rPr>
                <w:rFonts w:asciiTheme="minorHAnsi" w:hAnsiTheme="minorHAnsi"/>
                <w:sz w:val="16"/>
                <w:szCs w:val="16"/>
                <w:lang w:val="en-AU"/>
              </w:rPr>
              <w:t>Micromedex online. Digoxin. Accessed on 20 April 2021.</w:t>
            </w:r>
          </w:p>
          <w:p w:rsidRPr="00032F3D" w:rsidR="00032F3D" w:rsidP="00032F3D" w:rsidRDefault="00032F3D" w14:paraId="7995417E" w14:textId="77777777">
            <w:pPr>
              <w:pStyle w:val="EndNoteBibliography"/>
              <w:numPr>
                <w:ilvl w:val="0"/>
                <w:numId w:val="56"/>
              </w:numPr>
              <w:ind w:left="360"/>
              <w:rPr>
                <w:rFonts w:asciiTheme="minorHAnsi" w:hAnsiTheme="minorHAnsi"/>
                <w:sz w:val="16"/>
                <w:szCs w:val="16"/>
                <w:u w:val="single"/>
                <w:lang w:val="en-AU"/>
              </w:rPr>
            </w:pPr>
            <w:r w:rsidRPr="00032F3D">
              <w:rPr>
                <w:rStyle w:val="Hyperlink"/>
                <w:rFonts w:asciiTheme="minorHAnsi" w:hAnsiTheme="minorHAnsi"/>
                <w:sz w:val="16"/>
                <w:szCs w:val="16"/>
                <w:lang w:val="en-AU"/>
              </w:rPr>
              <w:t>Mclachlan A, Ramzan I. Meals and medicines. Australian Prescriber 2006;29:40-42. https://www.nps.org.au/assets/47171dee404e1be5-e9be7f6e0cf2-f63c4030b61d1139331706218a82a9ed1e2b5fa8bce5df07bc9a064b3b3f.pdf</w:t>
            </w:r>
          </w:p>
        </w:tc>
      </w:tr>
    </w:tbl>
    <w:p w:rsidRPr="00E25790" w:rsidR="00115F48" w:rsidP="006F0321" w:rsidRDefault="00115F48" w14:paraId="697FD077" w14:textId="77777777"/>
    <w:p w:rsidR="00A32530" w:rsidRDefault="00A32530" w14:paraId="4D1377F1" w14:textId="6935BB91">
      <w:pPr>
        <w:rPr>
          <w:b/>
        </w:rPr>
      </w:pPr>
      <w:bookmarkStart w:name="_Toc495481098" w:id="200"/>
      <w:bookmarkStart w:name="_Toc495481224" w:id="201"/>
      <w:bookmarkStart w:name="_Toc495481349" w:id="202"/>
      <w:bookmarkStart w:name="_Toc495501530" w:id="203"/>
      <w:bookmarkStart w:name="_Toc38106836" w:id="204"/>
    </w:p>
    <w:p w:rsidR="00032F3D" w:rsidRDefault="00032F3D" w14:paraId="4D699306" w14:textId="77777777">
      <w:pPr>
        <w:rPr>
          <w:b/>
        </w:rPr>
      </w:pPr>
    </w:p>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42706A" w14:paraId="4E793C09" w14:textId="77777777">
        <w:tc>
          <w:tcPr>
            <w:tcW w:w="4111" w:type="dxa"/>
            <w:vAlign w:val="center"/>
          </w:tcPr>
          <w:p w:rsidRPr="00646E04" w:rsidR="00A32530" w:rsidP="0010214E" w:rsidRDefault="00A32530" w14:paraId="7EED2B31" w14:textId="0062B51D">
            <w:r w:rsidRPr="00646E04">
              <w:t xml:space="preserve">Original version Date: </w:t>
            </w:r>
            <w:r w:rsidR="00121EDA">
              <w:t>22/4/2019</w:t>
            </w:r>
          </w:p>
        </w:tc>
        <w:tc>
          <w:tcPr>
            <w:tcW w:w="4820" w:type="dxa"/>
            <w:vAlign w:val="center"/>
          </w:tcPr>
          <w:p w:rsidRPr="00646E04" w:rsidR="00A32530" w:rsidP="0010214E" w:rsidRDefault="00A32530" w14:paraId="6B9F046A" w14:textId="77777777">
            <w:r w:rsidRPr="00646E04">
              <w:t>Author: NeoMed Consensus Group</w:t>
            </w:r>
          </w:p>
        </w:tc>
      </w:tr>
      <w:tr w:rsidRPr="003C2CBA" w:rsidR="00E424B4" w:rsidTr="0042706A" w14:paraId="0272FEDD" w14:textId="77777777">
        <w:tc>
          <w:tcPr>
            <w:tcW w:w="4111" w:type="dxa"/>
            <w:vAlign w:val="center"/>
          </w:tcPr>
          <w:p w:rsidRPr="00646E04" w:rsidR="00A32530" w:rsidP="0010214E" w:rsidRDefault="00A32530" w14:paraId="1C0103E8" w14:textId="36CB5731">
            <w:pPr>
              <w:rPr>
                <w:bCs/>
              </w:rPr>
            </w:pPr>
            <w:r w:rsidRPr="00646E04">
              <w:t xml:space="preserve">Current Version number:  </w:t>
            </w:r>
            <w:r w:rsidR="00587E18">
              <w:t>2</w:t>
            </w:r>
          </w:p>
        </w:tc>
        <w:tc>
          <w:tcPr>
            <w:tcW w:w="4820" w:type="dxa"/>
            <w:vAlign w:val="center"/>
          </w:tcPr>
          <w:p w:rsidRPr="00646E04" w:rsidR="00A32530" w:rsidP="0010214E" w:rsidRDefault="00A32530" w14:paraId="6DFF9E90" w14:textId="5B91A765">
            <w:r>
              <w:t xml:space="preserve">Current </w:t>
            </w:r>
            <w:r w:rsidRPr="00646E04">
              <w:t xml:space="preserve">Version Date: </w:t>
            </w:r>
            <w:r w:rsidR="003922AF">
              <w:t>18-6-2021</w:t>
            </w:r>
          </w:p>
        </w:tc>
      </w:tr>
      <w:tr w:rsidRPr="003C2CBA" w:rsidR="00E424B4" w:rsidTr="0042706A" w14:paraId="0E7FECD6" w14:textId="77777777">
        <w:tc>
          <w:tcPr>
            <w:tcW w:w="4111" w:type="dxa"/>
            <w:vAlign w:val="center"/>
          </w:tcPr>
          <w:p w:rsidRPr="00646E04" w:rsidR="00A32530" w:rsidP="0010214E" w:rsidRDefault="00A32530" w14:paraId="10A82434" w14:textId="779AC860">
            <w:r w:rsidRPr="00646E04">
              <w:t xml:space="preserve">Risk Rating: </w:t>
            </w:r>
            <w:r w:rsidR="00652FC9">
              <w:t>Low</w:t>
            </w:r>
          </w:p>
        </w:tc>
        <w:tc>
          <w:tcPr>
            <w:tcW w:w="4820" w:type="dxa"/>
            <w:vAlign w:val="center"/>
          </w:tcPr>
          <w:p w:rsidRPr="00646E04" w:rsidR="00A32530" w:rsidP="0010214E" w:rsidRDefault="00A32530" w14:paraId="1D81900C" w14:textId="2E8C87F8">
            <w:r w:rsidRPr="00646E04">
              <w:t xml:space="preserve">Due for Review:  </w:t>
            </w:r>
            <w:r w:rsidR="003922AF">
              <w:t>18-6-2026</w:t>
            </w:r>
          </w:p>
        </w:tc>
      </w:tr>
      <w:tr w:rsidRPr="003C2CBA" w:rsidR="00E424B4" w:rsidTr="0042706A" w14:paraId="4ACAB940" w14:textId="77777777">
        <w:trPr>
          <w:trHeight w:val="344"/>
        </w:trPr>
        <w:tc>
          <w:tcPr>
            <w:tcW w:w="4111" w:type="dxa"/>
            <w:tcBorders>
              <w:bottom w:val="single" w:color="auto" w:sz="4" w:space="0"/>
            </w:tcBorders>
            <w:vAlign w:val="center"/>
          </w:tcPr>
          <w:p w:rsidRPr="003C2CBA" w:rsidR="00A32530" w:rsidP="0010214E" w:rsidRDefault="00A32530" w14:paraId="5CAD845D" w14:textId="77777777">
            <w:r w:rsidRPr="003C2CBA">
              <w:t xml:space="preserve">Approved by: </w:t>
            </w:r>
            <w:r>
              <w:t>DTC</w:t>
            </w:r>
          </w:p>
        </w:tc>
        <w:tc>
          <w:tcPr>
            <w:tcW w:w="4820" w:type="dxa"/>
            <w:tcBorders>
              <w:bottom w:val="single" w:color="auto" w:sz="4" w:space="0"/>
            </w:tcBorders>
            <w:vAlign w:val="center"/>
          </w:tcPr>
          <w:p w:rsidRPr="00646E04" w:rsidR="00A32530" w:rsidP="0010214E" w:rsidRDefault="00A32530" w14:paraId="07BBCD96" w14:textId="425966AD">
            <w:r w:rsidRPr="00646E04">
              <w:t xml:space="preserve">Approval Date: </w:t>
            </w:r>
            <w:r w:rsidR="00260BC8">
              <w:t>APRIL 2021</w:t>
            </w:r>
          </w:p>
        </w:tc>
      </w:tr>
    </w:tbl>
    <w:p w:rsidR="006E2EED" w:rsidRDefault="006E2EED" w14:paraId="676D4583" w14:textId="7C791B26">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EC6FC6" w14:paraId="2640EE9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66109C16" w14:textId="77777777">
            <w:pPr>
              <w:pStyle w:val="Heading1"/>
            </w:pPr>
            <w:bookmarkStart w:name="_Toc75339962" w:id="205"/>
            <w:r w:rsidRPr="00E25790">
              <w:lastRenderedPageBreak/>
              <w:t>Dobutamine</w:t>
            </w:r>
            <w:bookmarkEnd w:id="200"/>
            <w:bookmarkEnd w:id="201"/>
            <w:bookmarkEnd w:id="202"/>
            <w:bookmarkEnd w:id="203"/>
            <w:r w:rsidRPr="00E25790" w:rsidR="00A733F3">
              <w:t xml:space="preserve"> IV Infusion</w:t>
            </w:r>
            <w:bookmarkEnd w:id="204"/>
            <w:bookmarkEnd w:id="205"/>
            <w:r w:rsidRPr="00E25790">
              <w:fldChar w:fldCharType="begin"/>
            </w:r>
            <w:r w:rsidRPr="00E25790">
              <w:instrText>tc "Dobutamine" \l 0</w:instrText>
            </w:r>
            <w:r w:rsidRPr="00E25790">
              <w:fldChar w:fldCharType="end"/>
            </w:r>
          </w:p>
        </w:tc>
      </w:tr>
      <w:tr w:rsidRPr="00E25790" w:rsidR="00115F48" w:rsidTr="00EC6FC6" w14:paraId="1A670AA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40E7864" w14:textId="1D5E0BD3">
            <w:r w:rsidRPr="00E25790">
              <w:t>Revision Date</w:t>
            </w:r>
            <w:r w:rsidRPr="00E25790">
              <w:rPr>
                <w:b/>
              </w:rPr>
              <w:t xml:space="preserve"> : </w:t>
            </w:r>
            <w:r w:rsidR="00E45AFF">
              <w:rPr>
                <w:b/>
              </w:rPr>
              <w:t>18</w:t>
            </w:r>
            <w:r w:rsidR="00514536">
              <w:rPr>
                <w:b/>
              </w:rPr>
              <w:t>-</w:t>
            </w:r>
            <w:r w:rsidR="00741117">
              <w:rPr>
                <w:b/>
              </w:rPr>
              <w:t>6</w:t>
            </w:r>
            <w:r w:rsidR="00514536">
              <w:rPr>
                <w:b/>
              </w:rPr>
              <w:t>-</w:t>
            </w:r>
            <w:r w:rsidR="00E45AFF">
              <w:rPr>
                <w:b/>
              </w:rPr>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A2D6420" w14:textId="77777777">
            <w:r w:rsidRPr="00E25790">
              <w:t xml:space="preserve">Approved : </w:t>
            </w:r>
            <w:r w:rsidRPr="00E25790" w:rsidR="00A733F3">
              <w:t>TC, KOH</w:t>
            </w:r>
          </w:p>
        </w:tc>
      </w:tr>
    </w:tbl>
    <w:p w:rsidRPr="00E25790" w:rsidR="00115F48" w:rsidP="006F0321" w:rsidRDefault="00115F48" w14:paraId="7E0F5E49" w14:textId="77777777"/>
    <w:tbl>
      <w:tblPr>
        <w:tblW w:w="966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72"/>
        <w:gridCol w:w="7796"/>
      </w:tblGrid>
      <w:tr w:rsidRPr="003A7895" w:rsidR="00741117" w:rsidTr="00D10A80" w14:paraId="540BDEFD" w14:textId="77777777">
        <w:trPr>
          <w:trHeight w:val="70"/>
        </w:trPr>
        <w:tc>
          <w:tcPr>
            <w:tcW w:w="1872" w:type="dxa"/>
          </w:tcPr>
          <w:p w:rsidRPr="00B53E9B" w:rsidR="00741117" w:rsidP="00131848" w:rsidRDefault="00741117" w14:paraId="1DF4822B" w14:textId="77777777">
            <w:pPr>
              <w:pStyle w:val="BodyText"/>
              <w:tabs>
                <w:tab w:val="center" w:pos="1476"/>
              </w:tabs>
              <w:rPr>
                <w:rFonts w:cs="Arial"/>
                <w:b/>
                <w:sz w:val="20"/>
              </w:rPr>
            </w:pPr>
            <w:r w:rsidRPr="00B53E9B">
              <w:rPr>
                <w:rFonts w:cs="Arial"/>
                <w:b/>
                <w:sz w:val="20"/>
              </w:rPr>
              <w:t>Alert</w:t>
            </w:r>
          </w:p>
        </w:tc>
        <w:tc>
          <w:tcPr>
            <w:tcW w:w="7796" w:type="dxa"/>
          </w:tcPr>
          <w:p w:rsidRPr="00177BF4" w:rsidR="00741117" w:rsidP="00131848" w:rsidRDefault="00741117" w14:paraId="48327DAB" w14:textId="77777777">
            <w:pPr>
              <w:pStyle w:val="BodyText"/>
              <w:rPr>
                <w:rFonts w:cs="Arial"/>
                <w:sz w:val="20"/>
              </w:rPr>
            </w:pPr>
            <w:r w:rsidRPr="00177BF4">
              <w:rPr>
                <w:sz w:val="20"/>
              </w:rPr>
              <w:t>In conditions with low sys</w:t>
            </w:r>
            <w:r>
              <w:rPr>
                <w:sz w:val="20"/>
              </w:rPr>
              <w:t>temic vascular resistance (SVR)</w:t>
            </w:r>
            <w:r w:rsidRPr="00177BF4">
              <w:rPr>
                <w:sz w:val="20"/>
              </w:rPr>
              <w:t xml:space="preserve"> (e.g.</w:t>
            </w:r>
            <w:r>
              <w:rPr>
                <w:sz w:val="20"/>
              </w:rPr>
              <w:t>,</w:t>
            </w:r>
            <w:r w:rsidRPr="00177BF4">
              <w:rPr>
                <w:sz w:val="20"/>
              </w:rPr>
              <w:t xml:space="preserve"> septic shock) dobutamine is not the appropriate first drug of choice</w:t>
            </w:r>
          </w:p>
        </w:tc>
      </w:tr>
      <w:tr w:rsidRPr="003A7895" w:rsidR="00741117" w:rsidTr="00D10A80" w14:paraId="2DAE3FA9" w14:textId="77777777">
        <w:trPr>
          <w:trHeight w:val="72"/>
        </w:trPr>
        <w:tc>
          <w:tcPr>
            <w:tcW w:w="1872" w:type="dxa"/>
          </w:tcPr>
          <w:p w:rsidRPr="00B53E9B" w:rsidR="00741117" w:rsidP="00131848" w:rsidRDefault="00741117" w14:paraId="66766FE4" w14:textId="77777777">
            <w:pPr>
              <w:pStyle w:val="BodyText"/>
              <w:rPr>
                <w:rFonts w:cs="Arial"/>
                <w:sz w:val="20"/>
              </w:rPr>
            </w:pPr>
            <w:r w:rsidRPr="00B53E9B">
              <w:rPr>
                <w:rFonts w:cs="Arial"/>
                <w:b/>
                <w:bCs/>
                <w:sz w:val="20"/>
              </w:rPr>
              <w:t>Indication</w:t>
            </w:r>
          </w:p>
        </w:tc>
        <w:tc>
          <w:tcPr>
            <w:tcW w:w="7796" w:type="dxa"/>
          </w:tcPr>
          <w:p w:rsidRPr="00177BF4" w:rsidR="00741117" w:rsidP="00131848" w:rsidRDefault="00741117" w14:paraId="68AF71D1" w14:textId="77777777">
            <w:pPr>
              <w:rPr>
                <w:sz w:val="20"/>
              </w:rPr>
            </w:pPr>
            <w:r w:rsidRPr="00177BF4">
              <w:rPr>
                <w:sz w:val="20"/>
              </w:rPr>
              <w:t>Inotrope to increase cardiac output in neonates with myocardial dysfunction and unchanged or increased systemic vascular resistance</w:t>
            </w:r>
            <w:r>
              <w:rPr>
                <w:sz w:val="20"/>
              </w:rPr>
              <w:t>.</w:t>
            </w:r>
          </w:p>
        </w:tc>
      </w:tr>
      <w:tr w:rsidRPr="003A7895" w:rsidR="00741117" w:rsidTr="00D10A80" w14:paraId="7FE64A14" w14:textId="77777777">
        <w:trPr>
          <w:trHeight w:val="70"/>
        </w:trPr>
        <w:tc>
          <w:tcPr>
            <w:tcW w:w="1872" w:type="dxa"/>
          </w:tcPr>
          <w:p w:rsidRPr="00B53E9B" w:rsidR="00741117" w:rsidP="00131848" w:rsidRDefault="00741117" w14:paraId="10CCFCFB" w14:textId="77777777">
            <w:pPr>
              <w:pStyle w:val="BodyText"/>
              <w:rPr>
                <w:rFonts w:cs="Arial"/>
                <w:b/>
                <w:bCs/>
                <w:sz w:val="20"/>
              </w:rPr>
            </w:pPr>
            <w:r w:rsidRPr="00B53E9B">
              <w:rPr>
                <w:rFonts w:cs="Arial"/>
                <w:b/>
                <w:bCs/>
                <w:sz w:val="20"/>
              </w:rPr>
              <w:t>Action</w:t>
            </w:r>
          </w:p>
        </w:tc>
        <w:tc>
          <w:tcPr>
            <w:tcW w:w="7796" w:type="dxa"/>
          </w:tcPr>
          <w:p w:rsidRPr="00177BF4" w:rsidR="00741117" w:rsidP="00131848" w:rsidRDefault="00741117" w14:paraId="2311E0B5" w14:textId="77777777">
            <w:pPr>
              <w:rPr>
                <w:rFonts w:cs="Arial"/>
                <w:sz w:val="20"/>
              </w:rPr>
            </w:pPr>
            <w:r>
              <w:rPr>
                <w:sz w:val="20"/>
              </w:rPr>
              <w:t xml:space="preserve">Catecholamine with beta-1 and beta-2 </w:t>
            </w:r>
            <w:r w:rsidRPr="00177BF4">
              <w:rPr>
                <w:sz w:val="20"/>
              </w:rPr>
              <w:t>receptor actions which increases myocardial contractility, heart rate and conduction velocity and decrease</w:t>
            </w:r>
            <w:r>
              <w:rPr>
                <w:sz w:val="20"/>
              </w:rPr>
              <w:t>s</w:t>
            </w:r>
            <w:r w:rsidRPr="00177BF4">
              <w:rPr>
                <w:sz w:val="20"/>
              </w:rPr>
              <w:t xml:space="preserve"> SVR </w:t>
            </w:r>
            <w:r w:rsidRPr="00177BF4">
              <w:rPr>
                <w:sz w:val="20"/>
                <w:vertAlign w:val="superscript"/>
              </w:rPr>
              <w:t>1</w:t>
            </w:r>
            <w:r w:rsidRPr="00177BF4">
              <w:rPr>
                <w:sz w:val="20"/>
              </w:rPr>
              <w:t>.</w:t>
            </w:r>
            <w:r w:rsidRPr="00177BF4">
              <w:rPr>
                <w:sz w:val="20"/>
              </w:rPr>
              <w:br/>
            </w:r>
            <w:r w:rsidRPr="00177BF4">
              <w:rPr>
                <w:sz w:val="20"/>
              </w:rPr>
              <w:t xml:space="preserve">Dose dependent effects: </w:t>
            </w:r>
            <w:r w:rsidRPr="00177BF4">
              <w:rPr>
                <w:sz w:val="20"/>
              </w:rPr>
              <w:br/>
            </w:r>
            <w:r w:rsidRPr="00177BF4">
              <w:rPr>
                <w:sz w:val="20"/>
              </w:rPr>
              <w:t>• Low dose</w:t>
            </w:r>
            <w:r>
              <w:rPr>
                <w:sz w:val="20"/>
              </w:rPr>
              <w:t>,</w:t>
            </w:r>
            <w:r w:rsidRPr="00177BF4">
              <w:rPr>
                <w:sz w:val="20"/>
              </w:rPr>
              <w:t xml:space="preserve"> 2.5 microgram/kg/min</w:t>
            </w:r>
            <w:r>
              <w:rPr>
                <w:sz w:val="20"/>
              </w:rPr>
              <w:t xml:space="preserve"> –</w:t>
            </w:r>
            <w:r w:rsidRPr="00177BF4">
              <w:rPr>
                <w:sz w:val="20"/>
              </w:rPr>
              <w:t xml:space="preserve"> no significant hemodynamic effects in neonates with cardiovascular compromise</w:t>
            </w:r>
            <w:r w:rsidRPr="00177BF4">
              <w:rPr>
                <w:sz w:val="20"/>
              </w:rPr>
              <w:br/>
            </w:r>
            <w:r w:rsidRPr="00177BF4">
              <w:rPr>
                <w:sz w:val="20"/>
              </w:rPr>
              <w:t>• Moderate dose</w:t>
            </w:r>
            <w:r>
              <w:rPr>
                <w:sz w:val="20"/>
              </w:rPr>
              <w:t>,</w:t>
            </w:r>
            <w:r w:rsidRPr="00177BF4">
              <w:rPr>
                <w:sz w:val="20"/>
              </w:rPr>
              <w:t xml:space="preserve"> 5–7.5 microgram/kg/min</w:t>
            </w:r>
            <w:r>
              <w:rPr>
                <w:sz w:val="20"/>
              </w:rPr>
              <w:t xml:space="preserve"> –</w:t>
            </w:r>
            <w:r w:rsidRPr="00177BF4">
              <w:rPr>
                <w:sz w:val="20"/>
              </w:rPr>
              <w:t xml:space="preserve"> increases cardiac output</w:t>
            </w:r>
            <w:r w:rsidRPr="00177BF4">
              <w:rPr>
                <w:sz w:val="20"/>
              </w:rPr>
              <w:br/>
            </w:r>
            <w:r w:rsidRPr="00177BF4">
              <w:rPr>
                <w:sz w:val="20"/>
              </w:rPr>
              <w:t>• Higher dose</w:t>
            </w:r>
            <w:r>
              <w:rPr>
                <w:sz w:val="20"/>
              </w:rPr>
              <w:t>,</w:t>
            </w:r>
            <w:r w:rsidRPr="00177BF4">
              <w:rPr>
                <w:sz w:val="20"/>
              </w:rPr>
              <w:t xml:space="preserve"> 5–20 microgram/kg/min</w:t>
            </w:r>
            <w:r>
              <w:rPr>
                <w:sz w:val="20"/>
              </w:rPr>
              <w:t xml:space="preserve"> –</w:t>
            </w:r>
            <w:r w:rsidRPr="00177BF4">
              <w:rPr>
                <w:sz w:val="20"/>
              </w:rPr>
              <w:t xml:space="preserve"> increases cardiac output and blood pressure in hypotensive preterm infants</w:t>
            </w:r>
            <w:r w:rsidRPr="00177BF4">
              <w:rPr>
                <w:sz w:val="20"/>
              </w:rPr>
              <w:br/>
            </w:r>
            <w:r w:rsidRPr="00177BF4">
              <w:rPr>
                <w:sz w:val="20"/>
              </w:rPr>
              <w:t>An additional effect of dobutamine on increasing cardiac output has been demonstrated in hypotensive preterm infants receiving dopamine.</w:t>
            </w:r>
          </w:p>
        </w:tc>
      </w:tr>
      <w:tr w:rsidRPr="003A7895" w:rsidR="00741117" w:rsidTr="00D10A80" w14:paraId="1941C178" w14:textId="77777777">
        <w:trPr>
          <w:trHeight w:val="266"/>
        </w:trPr>
        <w:tc>
          <w:tcPr>
            <w:tcW w:w="1872" w:type="dxa"/>
          </w:tcPr>
          <w:p w:rsidRPr="00B53E9B" w:rsidR="00741117" w:rsidP="00131848" w:rsidRDefault="00741117" w14:paraId="40B4E8A9" w14:textId="77777777">
            <w:pPr>
              <w:pStyle w:val="BodyText"/>
              <w:rPr>
                <w:rFonts w:cs="Arial"/>
                <w:sz w:val="20"/>
              </w:rPr>
            </w:pPr>
            <w:r>
              <w:rPr>
                <w:rFonts w:cs="Arial"/>
                <w:b/>
                <w:bCs/>
                <w:sz w:val="20"/>
              </w:rPr>
              <w:t>Drug t</w:t>
            </w:r>
            <w:r w:rsidRPr="00B53E9B">
              <w:rPr>
                <w:rFonts w:cs="Arial"/>
                <w:b/>
                <w:bCs/>
                <w:sz w:val="20"/>
              </w:rPr>
              <w:t>ype</w:t>
            </w:r>
          </w:p>
        </w:tc>
        <w:tc>
          <w:tcPr>
            <w:tcW w:w="7796" w:type="dxa"/>
          </w:tcPr>
          <w:p w:rsidRPr="00177BF4" w:rsidR="00741117" w:rsidP="00131848" w:rsidRDefault="00741117" w14:paraId="774E7DEC" w14:textId="77777777">
            <w:pPr>
              <w:pStyle w:val="BodyText"/>
              <w:rPr>
                <w:rFonts w:cs="Arial"/>
                <w:sz w:val="20"/>
              </w:rPr>
            </w:pPr>
            <w:r w:rsidRPr="00177BF4">
              <w:rPr>
                <w:sz w:val="20"/>
              </w:rPr>
              <w:t>Inotropic agent</w:t>
            </w:r>
          </w:p>
        </w:tc>
      </w:tr>
      <w:tr w:rsidRPr="003A7895" w:rsidR="00741117" w:rsidTr="00D10A80" w14:paraId="5B7B9344" w14:textId="77777777">
        <w:trPr>
          <w:trHeight w:val="114"/>
        </w:trPr>
        <w:tc>
          <w:tcPr>
            <w:tcW w:w="1872" w:type="dxa"/>
          </w:tcPr>
          <w:p w:rsidRPr="00B53E9B" w:rsidR="00741117" w:rsidP="00131848" w:rsidRDefault="00741117" w14:paraId="0AA7E074"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796" w:type="dxa"/>
          </w:tcPr>
          <w:p w:rsidRPr="00177BF4" w:rsidR="00741117" w:rsidP="00131848" w:rsidRDefault="00741117" w14:paraId="655A7D08" w14:textId="77777777">
            <w:pPr>
              <w:pStyle w:val="BodyText"/>
              <w:rPr>
                <w:rFonts w:cs="Arial"/>
                <w:sz w:val="20"/>
              </w:rPr>
            </w:pPr>
            <w:r w:rsidRPr="00A84AB3">
              <w:rPr>
                <w:sz w:val="20"/>
              </w:rPr>
              <w:t>Abbott Dobutamine Hydrochloride</w:t>
            </w:r>
            <w:r>
              <w:rPr>
                <w:sz w:val="20"/>
              </w:rPr>
              <w:t xml:space="preserve">, </w:t>
            </w:r>
            <w:r w:rsidRPr="00177BF4">
              <w:rPr>
                <w:sz w:val="20"/>
              </w:rPr>
              <w:t>Dobutamine Sandoz, Dobutamine Hydrochloride DBL, Dobutrex</w:t>
            </w:r>
          </w:p>
        </w:tc>
      </w:tr>
      <w:tr w:rsidRPr="003A7895" w:rsidR="00741117" w:rsidTr="00D10A80" w14:paraId="27743039" w14:textId="77777777">
        <w:trPr>
          <w:trHeight w:val="70"/>
        </w:trPr>
        <w:tc>
          <w:tcPr>
            <w:tcW w:w="1872" w:type="dxa"/>
          </w:tcPr>
          <w:p w:rsidRPr="00B53E9B" w:rsidR="00741117" w:rsidP="00131848" w:rsidRDefault="00741117" w14:paraId="2ECD7F1B" w14:textId="77777777">
            <w:pPr>
              <w:pStyle w:val="BodyText"/>
              <w:rPr>
                <w:rFonts w:cs="Arial"/>
                <w:b/>
                <w:bCs/>
                <w:sz w:val="20"/>
              </w:rPr>
            </w:pPr>
            <w:r w:rsidRPr="00B53E9B">
              <w:rPr>
                <w:rFonts w:cs="Arial"/>
                <w:b/>
                <w:bCs/>
                <w:sz w:val="20"/>
              </w:rPr>
              <w:t xml:space="preserve">Presentation </w:t>
            </w:r>
          </w:p>
        </w:tc>
        <w:tc>
          <w:tcPr>
            <w:tcW w:w="7796" w:type="dxa"/>
          </w:tcPr>
          <w:p w:rsidRPr="00177BF4" w:rsidR="00741117" w:rsidP="00131848" w:rsidRDefault="00741117" w14:paraId="1C91FBC3" w14:textId="77777777">
            <w:pPr>
              <w:pStyle w:val="BodyText"/>
              <w:ind w:left="34"/>
              <w:rPr>
                <w:rFonts w:cs="Arial"/>
                <w:sz w:val="20"/>
              </w:rPr>
            </w:pPr>
            <w:r w:rsidRPr="00177BF4">
              <w:rPr>
                <w:rFonts w:cs="Arial"/>
                <w:sz w:val="20"/>
              </w:rPr>
              <w:t>250 mg/</w:t>
            </w:r>
            <w:r>
              <w:rPr>
                <w:rFonts w:cs="Arial"/>
                <w:sz w:val="20"/>
              </w:rPr>
              <w:t xml:space="preserve">20 </w:t>
            </w:r>
            <w:r w:rsidRPr="00177BF4">
              <w:rPr>
                <w:rFonts w:cs="Arial"/>
                <w:sz w:val="20"/>
              </w:rPr>
              <w:t>mL</w:t>
            </w:r>
            <w:r>
              <w:rPr>
                <w:rFonts w:cs="Arial"/>
                <w:sz w:val="20"/>
              </w:rPr>
              <w:t xml:space="preserve"> solution for</w:t>
            </w:r>
            <w:r w:rsidRPr="00177BF4">
              <w:rPr>
                <w:rFonts w:cs="Arial"/>
                <w:sz w:val="20"/>
              </w:rPr>
              <w:t xml:space="preserve"> injection</w:t>
            </w:r>
            <w:r>
              <w:rPr>
                <w:rFonts w:cs="Arial"/>
                <w:sz w:val="20"/>
              </w:rPr>
              <w:t>; 250mg powder for reconstitution (Dobutrex)</w:t>
            </w:r>
          </w:p>
        </w:tc>
      </w:tr>
      <w:tr w:rsidRPr="000E2236" w:rsidR="00741117" w:rsidTr="00D10A80" w14:paraId="38B774C1" w14:textId="77777777">
        <w:trPr>
          <w:trHeight w:val="70"/>
        </w:trPr>
        <w:tc>
          <w:tcPr>
            <w:tcW w:w="1872" w:type="dxa"/>
          </w:tcPr>
          <w:p w:rsidRPr="00B53E9B" w:rsidR="00741117" w:rsidP="00131848" w:rsidRDefault="00741117" w14:paraId="2F6AC004" w14:textId="77777777">
            <w:pPr>
              <w:pStyle w:val="BodyText"/>
              <w:rPr>
                <w:rFonts w:cs="Arial"/>
                <w:b/>
                <w:bCs/>
                <w:sz w:val="20"/>
              </w:rPr>
            </w:pPr>
            <w:r>
              <w:rPr>
                <w:rFonts w:cs="Arial"/>
                <w:b/>
                <w:bCs/>
                <w:sz w:val="20"/>
              </w:rPr>
              <w:t>Dose</w:t>
            </w:r>
            <w:r w:rsidRPr="00B53E9B">
              <w:rPr>
                <w:rFonts w:cs="Arial"/>
                <w:b/>
                <w:bCs/>
                <w:sz w:val="20"/>
              </w:rPr>
              <w:t xml:space="preserve"> </w:t>
            </w:r>
          </w:p>
        </w:tc>
        <w:tc>
          <w:tcPr>
            <w:tcW w:w="7796" w:type="dxa"/>
          </w:tcPr>
          <w:p w:rsidRPr="00177BF4" w:rsidR="00741117" w:rsidP="00131848" w:rsidRDefault="00741117" w14:paraId="2D5533F8" w14:textId="77777777">
            <w:pPr>
              <w:pStyle w:val="BodyText"/>
              <w:rPr>
                <w:sz w:val="20"/>
              </w:rPr>
            </w:pPr>
            <w:r w:rsidRPr="00177BF4">
              <w:rPr>
                <w:sz w:val="20"/>
              </w:rPr>
              <w:t>5−20 microgram/kg/minute</w:t>
            </w:r>
          </w:p>
        </w:tc>
      </w:tr>
      <w:tr w:rsidRPr="003A7895" w:rsidR="00741117" w:rsidTr="00D10A80" w14:paraId="3D0DEE53" w14:textId="77777777">
        <w:trPr>
          <w:trHeight w:val="70"/>
        </w:trPr>
        <w:tc>
          <w:tcPr>
            <w:tcW w:w="1872" w:type="dxa"/>
          </w:tcPr>
          <w:p w:rsidRPr="00B53E9B" w:rsidR="00741117" w:rsidP="00131848" w:rsidRDefault="00741117" w14:paraId="7106EAC6" w14:textId="77777777">
            <w:pPr>
              <w:pStyle w:val="BodyText"/>
              <w:rPr>
                <w:b/>
                <w:sz w:val="20"/>
              </w:rPr>
            </w:pPr>
            <w:r w:rsidRPr="00B53E9B">
              <w:rPr>
                <w:b/>
                <w:sz w:val="20"/>
              </w:rPr>
              <w:t>Dose adjustment</w:t>
            </w:r>
          </w:p>
        </w:tc>
        <w:tc>
          <w:tcPr>
            <w:tcW w:w="7796" w:type="dxa"/>
          </w:tcPr>
          <w:p w:rsidRPr="00026F20" w:rsidR="00741117" w:rsidP="00131848" w:rsidRDefault="00741117" w14:paraId="3169A5E4" w14:textId="77777777">
            <w:pPr>
              <w:pStyle w:val="BodyText"/>
              <w:rPr>
                <w:sz w:val="20"/>
              </w:rPr>
            </w:pPr>
          </w:p>
        </w:tc>
      </w:tr>
      <w:tr w:rsidRPr="003A7895" w:rsidR="00741117" w:rsidTr="00D10A80" w14:paraId="2C1AEC12" w14:textId="77777777">
        <w:trPr>
          <w:trHeight w:val="113"/>
        </w:trPr>
        <w:tc>
          <w:tcPr>
            <w:tcW w:w="1872" w:type="dxa"/>
          </w:tcPr>
          <w:p w:rsidRPr="00B53E9B" w:rsidR="00741117" w:rsidP="00131848" w:rsidRDefault="00741117" w14:paraId="5A7CBF77" w14:textId="77777777">
            <w:pPr>
              <w:pStyle w:val="BodyText"/>
              <w:rPr>
                <w:b/>
                <w:sz w:val="20"/>
              </w:rPr>
            </w:pPr>
            <w:r w:rsidRPr="00B53E9B">
              <w:rPr>
                <w:b/>
                <w:sz w:val="20"/>
              </w:rPr>
              <w:t>Maximum dose</w:t>
            </w:r>
          </w:p>
        </w:tc>
        <w:tc>
          <w:tcPr>
            <w:tcW w:w="7796" w:type="dxa"/>
          </w:tcPr>
          <w:p w:rsidRPr="00177BF4" w:rsidR="00741117" w:rsidP="00131848" w:rsidRDefault="00741117" w14:paraId="7ECA25D9" w14:textId="77777777">
            <w:pPr>
              <w:pStyle w:val="BodyText"/>
              <w:rPr>
                <w:sz w:val="20"/>
              </w:rPr>
            </w:pPr>
            <w:r>
              <w:rPr>
                <w:sz w:val="20"/>
              </w:rPr>
              <w:t xml:space="preserve">Use of up to </w:t>
            </w:r>
            <w:r w:rsidRPr="00177BF4">
              <w:rPr>
                <w:sz w:val="20"/>
              </w:rPr>
              <w:t>20 microgram/kg/min</w:t>
            </w:r>
            <w:r>
              <w:rPr>
                <w:sz w:val="20"/>
              </w:rPr>
              <w:t xml:space="preserve"> reported in neonates</w:t>
            </w:r>
          </w:p>
        </w:tc>
      </w:tr>
      <w:tr w:rsidRPr="003A7895" w:rsidR="00741117" w:rsidTr="00D10A80" w14:paraId="1E3D3A97" w14:textId="77777777">
        <w:trPr>
          <w:trHeight w:val="144"/>
        </w:trPr>
        <w:tc>
          <w:tcPr>
            <w:tcW w:w="1872" w:type="dxa"/>
          </w:tcPr>
          <w:p w:rsidRPr="00B53E9B" w:rsidR="00741117" w:rsidP="00131848" w:rsidRDefault="00741117" w14:paraId="1FDF3A4B" w14:textId="77777777">
            <w:pPr>
              <w:pStyle w:val="BodyText"/>
              <w:rPr>
                <w:rFonts w:cs="Arial"/>
                <w:b/>
                <w:bCs/>
                <w:sz w:val="20"/>
              </w:rPr>
            </w:pPr>
            <w:r w:rsidRPr="00B53E9B">
              <w:rPr>
                <w:b/>
                <w:sz w:val="20"/>
              </w:rPr>
              <w:t>Total cumulative dose</w:t>
            </w:r>
          </w:p>
        </w:tc>
        <w:tc>
          <w:tcPr>
            <w:tcW w:w="7796" w:type="dxa"/>
          </w:tcPr>
          <w:p w:rsidRPr="00026F20" w:rsidR="00741117" w:rsidP="00131848" w:rsidRDefault="00741117" w14:paraId="51CC1B39" w14:textId="77777777">
            <w:pPr>
              <w:pStyle w:val="BodyText"/>
              <w:rPr>
                <w:rFonts w:cs="Arial"/>
                <w:b/>
                <w:sz w:val="20"/>
              </w:rPr>
            </w:pPr>
          </w:p>
        </w:tc>
      </w:tr>
      <w:tr w:rsidRPr="003A7895" w:rsidR="00741117" w:rsidTr="00D10A80" w14:paraId="000E1066" w14:textId="77777777">
        <w:trPr>
          <w:trHeight w:val="294"/>
        </w:trPr>
        <w:tc>
          <w:tcPr>
            <w:tcW w:w="1872" w:type="dxa"/>
          </w:tcPr>
          <w:p w:rsidRPr="00B53E9B" w:rsidR="00741117" w:rsidP="00131848" w:rsidRDefault="00741117" w14:paraId="2DFD8760" w14:textId="77777777">
            <w:pPr>
              <w:pStyle w:val="BodyText"/>
              <w:rPr>
                <w:rFonts w:cs="Arial"/>
                <w:sz w:val="20"/>
              </w:rPr>
            </w:pPr>
            <w:r w:rsidRPr="00B53E9B">
              <w:rPr>
                <w:rFonts w:cs="Arial"/>
                <w:b/>
                <w:bCs/>
                <w:sz w:val="20"/>
              </w:rPr>
              <w:t xml:space="preserve">Route </w:t>
            </w:r>
          </w:p>
        </w:tc>
        <w:tc>
          <w:tcPr>
            <w:tcW w:w="7796" w:type="dxa"/>
          </w:tcPr>
          <w:p w:rsidRPr="00177BF4" w:rsidR="00741117" w:rsidP="00131848" w:rsidRDefault="00741117" w14:paraId="723F4384" w14:textId="77777777">
            <w:pPr>
              <w:pStyle w:val="BodyText"/>
              <w:rPr>
                <w:rFonts w:cs="Arial"/>
                <w:sz w:val="20"/>
              </w:rPr>
            </w:pPr>
            <w:r w:rsidRPr="00177BF4">
              <w:rPr>
                <w:rFonts w:cs="Arial"/>
                <w:sz w:val="20"/>
              </w:rPr>
              <w:t>Continuous IV infusion</w:t>
            </w:r>
          </w:p>
        </w:tc>
      </w:tr>
      <w:tr w:rsidRPr="003A7895" w:rsidR="00741117" w:rsidTr="00D10A80" w14:paraId="266D6353" w14:textId="77777777">
        <w:trPr>
          <w:trHeight w:val="93"/>
        </w:trPr>
        <w:tc>
          <w:tcPr>
            <w:tcW w:w="1872" w:type="dxa"/>
          </w:tcPr>
          <w:p w:rsidRPr="00B53E9B" w:rsidR="00741117" w:rsidP="00131848" w:rsidRDefault="00741117" w14:paraId="3697CCD5"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796" w:type="dxa"/>
          </w:tcPr>
          <w:p w:rsidRPr="0063544A" w:rsidR="00741117" w:rsidP="00131848" w:rsidRDefault="00741117" w14:paraId="7899CE8F" w14:textId="77777777">
            <w:pPr>
              <w:pStyle w:val="BodyText"/>
              <w:rPr>
                <w:rFonts w:cs="Arial"/>
                <w:b/>
                <w:sz w:val="22"/>
                <w:szCs w:val="22"/>
              </w:rPr>
            </w:pPr>
            <w:r w:rsidRPr="0063544A">
              <w:rPr>
                <w:rFonts w:cs="Arial"/>
                <w:b/>
                <w:sz w:val="22"/>
                <w:szCs w:val="22"/>
              </w:rPr>
              <w:t>SINGLE STRENGTH continuous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63544A" w:rsidR="00741117" w:rsidTr="00131848" w14:paraId="5B22872D" w14:textId="77777777">
              <w:tc>
                <w:tcPr>
                  <w:tcW w:w="3715" w:type="dxa"/>
                  <w:shd w:val="clear" w:color="auto" w:fill="auto"/>
                </w:tcPr>
                <w:p w:rsidRPr="0063544A" w:rsidR="00741117" w:rsidP="00131848" w:rsidRDefault="00741117" w14:paraId="3F9640DB" w14:textId="77777777">
                  <w:pPr>
                    <w:pStyle w:val="BodyText"/>
                    <w:jc w:val="center"/>
                    <w:rPr>
                      <w:rFonts w:cs="Arial"/>
                      <w:b/>
                      <w:sz w:val="22"/>
                      <w:szCs w:val="22"/>
                    </w:rPr>
                  </w:pPr>
                  <w:r w:rsidRPr="0063544A">
                    <w:rPr>
                      <w:rFonts w:cs="Arial"/>
                      <w:b/>
                      <w:sz w:val="22"/>
                      <w:szCs w:val="22"/>
                    </w:rPr>
                    <w:t>Infusion strength</w:t>
                  </w:r>
                </w:p>
              </w:tc>
              <w:tc>
                <w:tcPr>
                  <w:tcW w:w="4276" w:type="dxa"/>
                  <w:shd w:val="clear" w:color="auto" w:fill="auto"/>
                </w:tcPr>
                <w:p w:rsidRPr="0063544A" w:rsidR="00741117" w:rsidP="00131848" w:rsidRDefault="00741117" w14:paraId="0242E39C" w14:textId="77777777">
                  <w:pPr>
                    <w:pStyle w:val="BodyText"/>
                    <w:jc w:val="center"/>
                    <w:rPr>
                      <w:rFonts w:cs="Arial"/>
                      <w:b/>
                      <w:sz w:val="22"/>
                      <w:szCs w:val="22"/>
                    </w:rPr>
                  </w:pPr>
                  <w:r w:rsidRPr="0063544A">
                    <w:rPr>
                      <w:rFonts w:cs="Arial"/>
                      <w:b/>
                      <w:sz w:val="22"/>
                      <w:szCs w:val="22"/>
                    </w:rPr>
                    <w:t>Prescribed amount</w:t>
                  </w:r>
                </w:p>
              </w:tc>
            </w:tr>
            <w:tr w:rsidRPr="0063544A" w:rsidR="00741117" w:rsidTr="00131848" w14:paraId="678780E4" w14:textId="77777777">
              <w:tc>
                <w:tcPr>
                  <w:tcW w:w="3715" w:type="dxa"/>
                  <w:shd w:val="clear" w:color="auto" w:fill="auto"/>
                </w:tcPr>
                <w:p w:rsidRPr="00E50478" w:rsidR="00741117" w:rsidP="00131848" w:rsidRDefault="00741117" w14:paraId="56A8A955" w14:textId="77777777">
                  <w:pPr>
                    <w:pStyle w:val="BodyText"/>
                    <w:rPr>
                      <w:rFonts w:cs="Arial"/>
                      <w:sz w:val="20"/>
                    </w:rPr>
                  </w:pPr>
                  <w:r w:rsidRPr="00E50478">
                    <w:rPr>
                      <w:rFonts w:cs="Arial"/>
                      <w:sz w:val="20"/>
                    </w:rPr>
                    <w:t>1 mL/hour = 10 microgram/kg/minute</w:t>
                  </w:r>
                </w:p>
              </w:tc>
              <w:tc>
                <w:tcPr>
                  <w:tcW w:w="4276" w:type="dxa"/>
                  <w:shd w:val="clear" w:color="auto" w:fill="auto"/>
                </w:tcPr>
                <w:p w:rsidRPr="00E50478" w:rsidR="00741117" w:rsidP="00131848" w:rsidRDefault="00741117" w14:paraId="1F750683" w14:textId="77777777">
                  <w:pPr>
                    <w:pStyle w:val="BodyText"/>
                    <w:rPr>
                      <w:rFonts w:cs="Arial"/>
                      <w:sz w:val="20"/>
                    </w:rPr>
                  </w:pPr>
                  <w:r w:rsidRPr="00E50478">
                    <w:rPr>
                      <w:rFonts w:cs="Arial"/>
                      <w:sz w:val="20"/>
                    </w:rPr>
                    <w:t>30 mg/kg dobutamine and make up to 50 mL</w:t>
                  </w:r>
                </w:p>
              </w:tc>
            </w:tr>
          </w:tbl>
          <w:p w:rsidRPr="0063544A" w:rsidR="00741117" w:rsidP="00131848" w:rsidRDefault="00741117" w14:paraId="54689899" w14:textId="77777777">
            <w:pPr>
              <w:pStyle w:val="BodyText"/>
              <w:rPr>
                <w:rFonts w:cs="Arial"/>
                <w:sz w:val="20"/>
              </w:rPr>
            </w:pPr>
            <w:r w:rsidRPr="0063544A">
              <w:rPr>
                <w:sz w:val="20"/>
              </w:rPr>
              <w:t>Draw up</w:t>
            </w:r>
            <w:r>
              <w:rPr>
                <w:sz w:val="20"/>
              </w:rPr>
              <w:t xml:space="preserve"> 2.4 mL/kg</w:t>
            </w:r>
            <w:r w:rsidRPr="0063544A">
              <w:rPr>
                <w:sz w:val="20"/>
              </w:rPr>
              <w:t xml:space="preserve"> </w:t>
            </w:r>
            <w:r>
              <w:rPr>
                <w:sz w:val="20"/>
              </w:rPr>
              <w:t>(30 mg/kg of dobutamine) and add glucose 5% or sodium chloride 0.9%</w:t>
            </w:r>
            <w:r w:rsidRPr="0063544A">
              <w:rPr>
                <w:sz w:val="20"/>
              </w:rPr>
              <w:t xml:space="preserve"> to make a final volume of 50</w:t>
            </w:r>
            <w:r>
              <w:rPr>
                <w:sz w:val="20"/>
              </w:rPr>
              <w:t xml:space="preserve"> mL. Infusing at a rate of</w:t>
            </w:r>
            <w:r w:rsidRPr="0063544A">
              <w:rPr>
                <w:sz w:val="20"/>
              </w:rPr>
              <w:t xml:space="preserve"> </w:t>
            </w:r>
            <w:r w:rsidRPr="0063544A">
              <w:rPr>
                <w:b/>
                <w:sz w:val="20"/>
              </w:rPr>
              <w:t>1</w:t>
            </w:r>
            <w:r>
              <w:rPr>
                <w:b/>
                <w:sz w:val="20"/>
              </w:rPr>
              <w:t xml:space="preserve"> </w:t>
            </w:r>
            <w:r w:rsidRPr="0063544A">
              <w:rPr>
                <w:b/>
                <w:sz w:val="20"/>
              </w:rPr>
              <w:t>mL/hour</w:t>
            </w:r>
            <w:r>
              <w:rPr>
                <w:b/>
                <w:sz w:val="20"/>
              </w:rPr>
              <w:t xml:space="preserve"> </w:t>
            </w:r>
            <w:r w:rsidRPr="0063544A">
              <w:rPr>
                <w:b/>
                <w:sz w:val="20"/>
              </w:rPr>
              <w:t>=</w:t>
            </w:r>
            <w:r>
              <w:rPr>
                <w:b/>
                <w:sz w:val="20"/>
              </w:rPr>
              <w:t xml:space="preserve"> 10 microgram/kg/minute.</w:t>
            </w:r>
          </w:p>
          <w:p w:rsidRPr="00177BF4" w:rsidR="00741117" w:rsidP="00131848" w:rsidRDefault="00741117" w14:paraId="4BB30364" w14:textId="77777777">
            <w:pPr>
              <w:pStyle w:val="BodyText"/>
              <w:rPr>
                <w:rFonts w:cs="Arial"/>
                <w:sz w:val="20"/>
              </w:rPr>
            </w:pPr>
          </w:p>
          <w:p w:rsidRPr="0063544A" w:rsidR="00741117" w:rsidP="00131848" w:rsidRDefault="00741117" w14:paraId="2D95FD0E" w14:textId="77777777">
            <w:pPr>
              <w:pStyle w:val="BodyText"/>
              <w:rPr>
                <w:rFonts w:cs="Arial"/>
                <w:b/>
                <w:sz w:val="22"/>
                <w:szCs w:val="22"/>
              </w:rPr>
            </w:pPr>
            <w:r>
              <w:rPr>
                <w:rFonts w:cs="Arial"/>
                <w:b/>
                <w:sz w:val="22"/>
                <w:szCs w:val="22"/>
              </w:rPr>
              <w:t>DOUBLE</w:t>
            </w:r>
            <w:r w:rsidRPr="0063544A">
              <w:rPr>
                <w:rFonts w:cs="Arial"/>
                <w:b/>
                <w:sz w:val="22"/>
                <w:szCs w:val="22"/>
              </w:rPr>
              <w:t xml:space="preserve"> STRENGTH continuous IV infusion</w:t>
            </w:r>
            <w:r>
              <w:rPr>
                <w:rFonts w:cs="Arial"/>
                <w:b/>
                <w:sz w:val="22"/>
                <w:szCs w:val="22"/>
              </w:rPr>
              <w:t xml:space="preserve"> - </w:t>
            </w:r>
            <w:r w:rsidRPr="006D56A3">
              <w:rPr>
                <w:rFonts w:cs="Arial"/>
                <w:b/>
                <w:sz w:val="22"/>
                <w:szCs w:val="22"/>
              </w:rPr>
              <w:t xml:space="preserve">Can be used for infants up to </w:t>
            </w:r>
            <w:r>
              <w:rPr>
                <w:rFonts w:cs="Arial"/>
                <w:b/>
                <w:sz w:val="22"/>
                <w:szCs w:val="22"/>
              </w:rPr>
              <w:t>4200</w:t>
            </w:r>
            <w:r w:rsidRPr="006D56A3">
              <w:rPr>
                <w:rFonts w:cs="Arial"/>
                <w:b/>
                <w:sz w:val="22"/>
                <w:szCs w:val="22"/>
              </w:rPr>
              <w:t xml:space="preserve"> 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63544A" w:rsidR="00741117" w:rsidTr="00131848" w14:paraId="1507E081" w14:textId="77777777">
              <w:tc>
                <w:tcPr>
                  <w:tcW w:w="3715" w:type="dxa"/>
                  <w:shd w:val="clear" w:color="auto" w:fill="auto"/>
                </w:tcPr>
                <w:p w:rsidRPr="0063544A" w:rsidR="00741117" w:rsidP="00131848" w:rsidRDefault="00741117" w14:paraId="6E19C0E0" w14:textId="77777777">
                  <w:pPr>
                    <w:pStyle w:val="BodyText"/>
                    <w:jc w:val="center"/>
                    <w:rPr>
                      <w:rFonts w:cs="Arial"/>
                      <w:b/>
                      <w:sz w:val="22"/>
                      <w:szCs w:val="22"/>
                    </w:rPr>
                  </w:pPr>
                  <w:r w:rsidRPr="0063544A">
                    <w:rPr>
                      <w:rFonts w:cs="Arial"/>
                      <w:b/>
                      <w:sz w:val="22"/>
                      <w:szCs w:val="22"/>
                    </w:rPr>
                    <w:t>Infusion strength</w:t>
                  </w:r>
                </w:p>
              </w:tc>
              <w:tc>
                <w:tcPr>
                  <w:tcW w:w="4276" w:type="dxa"/>
                  <w:shd w:val="clear" w:color="auto" w:fill="auto"/>
                </w:tcPr>
                <w:p w:rsidRPr="0063544A" w:rsidR="00741117" w:rsidP="00131848" w:rsidRDefault="00741117" w14:paraId="6D093374" w14:textId="77777777">
                  <w:pPr>
                    <w:pStyle w:val="BodyText"/>
                    <w:jc w:val="center"/>
                    <w:rPr>
                      <w:rFonts w:cs="Arial"/>
                      <w:b/>
                      <w:sz w:val="22"/>
                      <w:szCs w:val="22"/>
                    </w:rPr>
                  </w:pPr>
                  <w:r w:rsidRPr="0063544A">
                    <w:rPr>
                      <w:rFonts w:cs="Arial"/>
                      <w:b/>
                      <w:sz w:val="22"/>
                      <w:szCs w:val="22"/>
                    </w:rPr>
                    <w:t>Prescribed amount</w:t>
                  </w:r>
                </w:p>
              </w:tc>
            </w:tr>
            <w:tr w:rsidRPr="0063544A" w:rsidR="00741117" w:rsidTr="00131848" w14:paraId="4A42FC48" w14:textId="77777777">
              <w:tc>
                <w:tcPr>
                  <w:tcW w:w="3715" w:type="dxa"/>
                  <w:shd w:val="clear" w:color="auto" w:fill="auto"/>
                </w:tcPr>
                <w:p w:rsidRPr="00E50478" w:rsidR="00741117" w:rsidP="00131848" w:rsidRDefault="00741117" w14:paraId="6A3C75F9" w14:textId="77777777">
                  <w:pPr>
                    <w:pStyle w:val="BodyText"/>
                    <w:rPr>
                      <w:rFonts w:cs="Arial"/>
                      <w:sz w:val="20"/>
                    </w:rPr>
                  </w:pPr>
                  <w:r w:rsidRPr="00E50478">
                    <w:rPr>
                      <w:rFonts w:cs="Arial"/>
                      <w:sz w:val="20"/>
                    </w:rPr>
                    <w:t>1 mL/hour = 20 microgram/kg/minute</w:t>
                  </w:r>
                </w:p>
              </w:tc>
              <w:tc>
                <w:tcPr>
                  <w:tcW w:w="4276" w:type="dxa"/>
                  <w:shd w:val="clear" w:color="auto" w:fill="auto"/>
                </w:tcPr>
                <w:p w:rsidRPr="00E50478" w:rsidR="00741117" w:rsidP="00131848" w:rsidRDefault="00741117" w14:paraId="2C86CBBE" w14:textId="77777777">
                  <w:pPr>
                    <w:pStyle w:val="BodyText"/>
                    <w:rPr>
                      <w:rFonts w:cs="Arial"/>
                      <w:sz w:val="20"/>
                    </w:rPr>
                  </w:pPr>
                  <w:r w:rsidRPr="00E50478">
                    <w:rPr>
                      <w:rFonts w:cs="Arial"/>
                      <w:sz w:val="20"/>
                    </w:rPr>
                    <w:t>60 mg/kg dobutamine and make up to 50 mL</w:t>
                  </w:r>
                </w:p>
              </w:tc>
            </w:tr>
          </w:tbl>
          <w:p w:rsidR="00741117" w:rsidP="00131848" w:rsidRDefault="00741117" w14:paraId="06D54235" w14:textId="77777777">
            <w:pPr>
              <w:pStyle w:val="BodyText"/>
              <w:rPr>
                <w:b/>
                <w:sz w:val="20"/>
              </w:rPr>
            </w:pPr>
            <w:r w:rsidRPr="0063544A">
              <w:rPr>
                <w:sz w:val="20"/>
              </w:rPr>
              <w:t xml:space="preserve">Draw up </w:t>
            </w:r>
            <w:r>
              <w:rPr>
                <w:sz w:val="20"/>
              </w:rPr>
              <w:t>4.8 mL/kg (60 mg/kg of dobutamine) and add glucose 5% or sodium chloride 0.9%</w:t>
            </w:r>
            <w:r w:rsidRPr="0063544A">
              <w:rPr>
                <w:sz w:val="20"/>
              </w:rPr>
              <w:t xml:space="preserve"> to make a final volume of 50</w:t>
            </w:r>
            <w:r>
              <w:rPr>
                <w:sz w:val="20"/>
              </w:rPr>
              <w:t xml:space="preserve"> mL. Infusing at a rate of</w:t>
            </w:r>
            <w:r w:rsidRPr="0063544A">
              <w:rPr>
                <w:sz w:val="20"/>
              </w:rPr>
              <w:t xml:space="preserve"> </w:t>
            </w:r>
            <w:r w:rsidRPr="0063544A">
              <w:rPr>
                <w:b/>
                <w:sz w:val="20"/>
              </w:rPr>
              <w:t>1</w:t>
            </w:r>
            <w:r>
              <w:rPr>
                <w:b/>
                <w:sz w:val="20"/>
              </w:rPr>
              <w:t xml:space="preserve"> </w:t>
            </w:r>
            <w:r w:rsidRPr="0063544A">
              <w:rPr>
                <w:b/>
                <w:sz w:val="20"/>
              </w:rPr>
              <w:t>mL/hour</w:t>
            </w:r>
            <w:r>
              <w:rPr>
                <w:b/>
                <w:sz w:val="20"/>
              </w:rPr>
              <w:t xml:space="preserve"> </w:t>
            </w:r>
            <w:r w:rsidRPr="0063544A">
              <w:rPr>
                <w:b/>
                <w:sz w:val="20"/>
              </w:rPr>
              <w:t>=</w:t>
            </w:r>
            <w:r>
              <w:rPr>
                <w:b/>
                <w:sz w:val="20"/>
              </w:rPr>
              <w:t xml:space="preserve"> 20 microgram/kg/minute.</w:t>
            </w:r>
          </w:p>
          <w:p w:rsidR="00741117" w:rsidP="00131848" w:rsidRDefault="00741117" w14:paraId="3E599BE2" w14:textId="77777777">
            <w:pPr>
              <w:pStyle w:val="BodyText"/>
              <w:rPr>
                <w:sz w:val="20"/>
              </w:rPr>
            </w:pPr>
            <w:r>
              <w:rPr>
                <w:b/>
                <w:sz w:val="20"/>
                <w:vertAlign w:val="superscript"/>
              </w:rPr>
              <w:t>*</w:t>
            </w:r>
            <w:r>
              <w:t xml:space="preserve"> </w:t>
            </w:r>
            <w:r w:rsidRPr="006D56A3">
              <w:rPr>
                <w:sz w:val="20"/>
              </w:rPr>
              <w:t xml:space="preserve">Maximum diluted concentration is </w:t>
            </w:r>
            <w:r>
              <w:rPr>
                <w:sz w:val="20"/>
              </w:rPr>
              <w:t>5</w:t>
            </w:r>
            <w:r w:rsidRPr="006D56A3">
              <w:rPr>
                <w:sz w:val="20"/>
              </w:rPr>
              <w:t xml:space="preserve"> mg/mL.</w:t>
            </w:r>
          </w:p>
          <w:p w:rsidRPr="006D56A3" w:rsidR="00741117" w:rsidP="00131848" w:rsidRDefault="00741117" w14:paraId="0EBE0286" w14:textId="77777777">
            <w:pPr>
              <w:pStyle w:val="BodyText"/>
              <w:rPr>
                <w:b/>
                <w:sz w:val="20"/>
              </w:rPr>
            </w:pPr>
          </w:p>
          <w:p w:rsidRPr="0063544A" w:rsidR="00741117" w:rsidP="00131848" w:rsidRDefault="00741117" w14:paraId="2A7384DB" w14:textId="77777777">
            <w:pPr>
              <w:pStyle w:val="BodyText"/>
              <w:rPr>
                <w:rFonts w:cs="Arial"/>
                <w:b/>
                <w:sz w:val="22"/>
                <w:szCs w:val="22"/>
              </w:rPr>
            </w:pPr>
            <w:r>
              <w:rPr>
                <w:rFonts w:cs="Arial"/>
                <w:b/>
                <w:sz w:val="22"/>
                <w:szCs w:val="22"/>
              </w:rPr>
              <w:t>QUARDRUPLE</w:t>
            </w:r>
            <w:r w:rsidRPr="0063544A">
              <w:rPr>
                <w:rFonts w:cs="Arial"/>
                <w:b/>
                <w:sz w:val="22"/>
                <w:szCs w:val="22"/>
              </w:rPr>
              <w:t xml:space="preserve"> STRENGTH continuous IV infusion</w:t>
            </w:r>
            <w:r>
              <w:rPr>
                <w:rFonts w:cs="Arial"/>
                <w:b/>
                <w:sz w:val="22"/>
                <w:szCs w:val="22"/>
              </w:rPr>
              <w:t xml:space="preserve"> - </w:t>
            </w:r>
            <w:r w:rsidRPr="006D56A3">
              <w:rPr>
                <w:rFonts w:cs="Arial"/>
                <w:b/>
                <w:sz w:val="22"/>
                <w:szCs w:val="22"/>
              </w:rPr>
              <w:t>Can be used for infants up to 2</w:t>
            </w:r>
            <w:r>
              <w:rPr>
                <w:rFonts w:cs="Arial"/>
                <w:b/>
                <w:sz w:val="22"/>
                <w:szCs w:val="22"/>
              </w:rPr>
              <w:t>1</w:t>
            </w:r>
            <w:r w:rsidRPr="006D56A3">
              <w:rPr>
                <w:rFonts w:cs="Arial"/>
                <w:b/>
                <w:sz w:val="22"/>
                <w:szCs w:val="22"/>
              </w:rPr>
              <w:t>00 g.*</w:t>
            </w:r>
          </w:p>
          <w:tbl>
            <w:tblPr>
              <w:tblW w:w="7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52"/>
            </w:tblGrid>
            <w:tr w:rsidRPr="0063544A" w:rsidR="00741117" w:rsidTr="00131848" w14:paraId="05D14DAF" w14:textId="77777777">
              <w:tc>
                <w:tcPr>
                  <w:tcW w:w="3715" w:type="dxa"/>
                  <w:shd w:val="clear" w:color="auto" w:fill="auto"/>
                </w:tcPr>
                <w:p w:rsidRPr="0063544A" w:rsidR="00741117" w:rsidP="00131848" w:rsidRDefault="00741117" w14:paraId="2CBC858D" w14:textId="77777777">
                  <w:pPr>
                    <w:pStyle w:val="BodyText"/>
                    <w:jc w:val="center"/>
                    <w:rPr>
                      <w:rFonts w:cs="Arial"/>
                      <w:b/>
                      <w:sz w:val="22"/>
                      <w:szCs w:val="22"/>
                    </w:rPr>
                  </w:pPr>
                  <w:r w:rsidRPr="0063544A">
                    <w:rPr>
                      <w:rFonts w:cs="Arial"/>
                      <w:b/>
                      <w:sz w:val="22"/>
                      <w:szCs w:val="22"/>
                    </w:rPr>
                    <w:t>Infusion strength</w:t>
                  </w:r>
                </w:p>
              </w:tc>
              <w:tc>
                <w:tcPr>
                  <w:tcW w:w="4252" w:type="dxa"/>
                  <w:shd w:val="clear" w:color="auto" w:fill="auto"/>
                </w:tcPr>
                <w:p w:rsidRPr="0063544A" w:rsidR="00741117" w:rsidP="00131848" w:rsidRDefault="00741117" w14:paraId="575C2A58" w14:textId="77777777">
                  <w:pPr>
                    <w:pStyle w:val="BodyText"/>
                    <w:jc w:val="center"/>
                    <w:rPr>
                      <w:rFonts w:cs="Arial"/>
                      <w:b/>
                      <w:sz w:val="22"/>
                      <w:szCs w:val="22"/>
                    </w:rPr>
                  </w:pPr>
                  <w:r w:rsidRPr="0063544A">
                    <w:rPr>
                      <w:rFonts w:cs="Arial"/>
                      <w:b/>
                      <w:sz w:val="22"/>
                      <w:szCs w:val="22"/>
                    </w:rPr>
                    <w:t>Prescribed amount</w:t>
                  </w:r>
                </w:p>
              </w:tc>
            </w:tr>
            <w:tr w:rsidRPr="0063544A" w:rsidR="00741117" w:rsidTr="00131848" w14:paraId="788E43B6" w14:textId="77777777">
              <w:tc>
                <w:tcPr>
                  <w:tcW w:w="3715" w:type="dxa"/>
                  <w:shd w:val="clear" w:color="auto" w:fill="auto"/>
                </w:tcPr>
                <w:p w:rsidRPr="00E50478" w:rsidR="00741117" w:rsidP="00131848" w:rsidRDefault="00741117" w14:paraId="499DF2A3" w14:textId="77777777">
                  <w:pPr>
                    <w:pStyle w:val="BodyText"/>
                    <w:rPr>
                      <w:rFonts w:cs="Arial"/>
                      <w:sz w:val="20"/>
                    </w:rPr>
                  </w:pPr>
                  <w:r w:rsidRPr="00E50478">
                    <w:rPr>
                      <w:rFonts w:cs="Arial"/>
                      <w:sz w:val="20"/>
                    </w:rPr>
                    <w:t>1 mL/hour = 40 microgram/kg/minute</w:t>
                  </w:r>
                </w:p>
              </w:tc>
              <w:tc>
                <w:tcPr>
                  <w:tcW w:w="4252" w:type="dxa"/>
                  <w:shd w:val="clear" w:color="auto" w:fill="auto"/>
                </w:tcPr>
                <w:p w:rsidRPr="00E50478" w:rsidR="00741117" w:rsidP="00131848" w:rsidRDefault="00741117" w14:paraId="4B723CAB" w14:textId="77777777">
                  <w:pPr>
                    <w:pStyle w:val="BodyText"/>
                    <w:rPr>
                      <w:rFonts w:cs="Arial"/>
                      <w:sz w:val="20"/>
                    </w:rPr>
                  </w:pPr>
                  <w:r w:rsidRPr="00E50478">
                    <w:rPr>
                      <w:rFonts w:cs="Arial"/>
                      <w:sz w:val="20"/>
                    </w:rPr>
                    <w:t>120 mg/kg dobutamine and make up to 50 mL</w:t>
                  </w:r>
                </w:p>
              </w:tc>
            </w:tr>
          </w:tbl>
          <w:p w:rsidR="00741117" w:rsidP="00131848" w:rsidRDefault="00741117" w14:paraId="04C883EC" w14:textId="77777777">
            <w:pPr>
              <w:pStyle w:val="BodyText"/>
              <w:rPr>
                <w:b/>
                <w:sz w:val="20"/>
              </w:rPr>
            </w:pPr>
            <w:r w:rsidRPr="0063544A">
              <w:rPr>
                <w:sz w:val="20"/>
              </w:rPr>
              <w:t xml:space="preserve">Draw up </w:t>
            </w:r>
            <w:r>
              <w:rPr>
                <w:sz w:val="20"/>
              </w:rPr>
              <w:t>9.6 mL/kg (120 mg/kg of dobutamine) and add glucose 5% or sodium chloride 0.9%</w:t>
            </w:r>
            <w:r w:rsidRPr="0063544A">
              <w:rPr>
                <w:sz w:val="20"/>
              </w:rPr>
              <w:t xml:space="preserve"> to make a final volume of 50</w:t>
            </w:r>
            <w:r>
              <w:rPr>
                <w:sz w:val="20"/>
              </w:rPr>
              <w:t xml:space="preserve"> mL. Infusing at a rate of</w:t>
            </w:r>
            <w:r w:rsidRPr="0063544A">
              <w:rPr>
                <w:sz w:val="20"/>
              </w:rPr>
              <w:t xml:space="preserve"> </w:t>
            </w:r>
            <w:r w:rsidRPr="0063544A">
              <w:rPr>
                <w:b/>
                <w:sz w:val="20"/>
              </w:rPr>
              <w:t>1</w:t>
            </w:r>
            <w:r>
              <w:rPr>
                <w:b/>
                <w:sz w:val="20"/>
              </w:rPr>
              <w:t xml:space="preserve"> </w:t>
            </w:r>
            <w:r w:rsidRPr="0063544A">
              <w:rPr>
                <w:b/>
                <w:sz w:val="20"/>
              </w:rPr>
              <w:t>mL/hour</w:t>
            </w:r>
            <w:r>
              <w:rPr>
                <w:b/>
                <w:sz w:val="20"/>
              </w:rPr>
              <w:t xml:space="preserve"> </w:t>
            </w:r>
            <w:r w:rsidRPr="0063544A">
              <w:rPr>
                <w:b/>
                <w:sz w:val="20"/>
              </w:rPr>
              <w:t>=</w:t>
            </w:r>
            <w:r>
              <w:rPr>
                <w:b/>
                <w:sz w:val="20"/>
              </w:rPr>
              <w:t xml:space="preserve"> 40 microgram/kg/minute.</w:t>
            </w:r>
          </w:p>
          <w:p w:rsidRPr="00E50478" w:rsidR="00741117" w:rsidP="00131848" w:rsidRDefault="00741117" w14:paraId="1B79B04E" w14:textId="77777777">
            <w:pPr>
              <w:pStyle w:val="BodyText"/>
              <w:rPr>
                <w:rFonts w:cs="Arial"/>
                <w:sz w:val="20"/>
              </w:rPr>
            </w:pPr>
            <w:r w:rsidRPr="006D56A3">
              <w:rPr>
                <w:rFonts w:cs="Arial"/>
                <w:sz w:val="20"/>
              </w:rPr>
              <w:t>* Maximum diluted concentration is 5 mg/mL.</w:t>
            </w:r>
          </w:p>
        </w:tc>
      </w:tr>
      <w:tr w:rsidRPr="003A7895" w:rsidR="00741117" w:rsidTr="00D10A80" w14:paraId="3A5C90F8" w14:textId="77777777">
        <w:trPr>
          <w:trHeight w:val="224"/>
        </w:trPr>
        <w:tc>
          <w:tcPr>
            <w:tcW w:w="1872" w:type="dxa"/>
          </w:tcPr>
          <w:p w:rsidRPr="00B53E9B" w:rsidR="00741117" w:rsidP="00131848" w:rsidRDefault="00741117" w14:paraId="4D882977" w14:textId="77777777">
            <w:pPr>
              <w:pStyle w:val="BodyText"/>
              <w:rPr>
                <w:rFonts w:cs="Arial"/>
                <w:b/>
                <w:bCs/>
                <w:sz w:val="20"/>
              </w:rPr>
            </w:pPr>
            <w:r w:rsidRPr="00B53E9B">
              <w:rPr>
                <w:rFonts w:cs="Arial"/>
                <w:b/>
                <w:bCs/>
                <w:sz w:val="20"/>
              </w:rPr>
              <w:lastRenderedPageBreak/>
              <w:t xml:space="preserve">Administration </w:t>
            </w:r>
          </w:p>
        </w:tc>
        <w:tc>
          <w:tcPr>
            <w:tcW w:w="7796" w:type="dxa"/>
            <w:vAlign w:val="center"/>
          </w:tcPr>
          <w:p w:rsidR="00741117" w:rsidP="00131848" w:rsidRDefault="00741117" w14:paraId="7BAB8A8D" w14:textId="77777777">
            <w:pPr>
              <w:pStyle w:val="BodyText"/>
              <w:rPr>
                <w:sz w:val="20"/>
              </w:rPr>
            </w:pPr>
            <w:r w:rsidRPr="00177BF4">
              <w:rPr>
                <w:sz w:val="20"/>
              </w:rPr>
              <w:t xml:space="preserve">Continuous IV infusion preferably via a central line. </w:t>
            </w:r>
            <w:r w:rsidRPr="00177BF4">
              <w:rPr>
                <w:sz w:val="20"/>
              </w:rPr>
              <w:br/>
            </w:r>
            <w:r w:rsidRPr="00177BF4">
              <w:rPr>
                <w:sz w:val="20"/>
              </w:rPr>
              <w:t>Do not flush line or suddenly stop infusion.</w:t>
            </w:r>
          </w:p>
          <w:p w:rsidRPr="00B04BC2" w:rsidR="00741117" w:rsidP="00131848" w:rsidRDefault="00741117" w14:paraId="7EEF38A2" w14:textId="77777777">
            <w:pPr>
              <w:pStyle w:val="BodyText"/>
              <w:rPr>
                <w:rFonts w:cs="Arial"/>
                <w:sz w:val="20"/>
              </w:rPr>
            </w:pPr>
            <w:r w:rsidRPr="00B04BC2">
              <w:rPr>
                <w:sz w:val="20"/>
              </w:rPr>
              <w:t>If Dobut</w:t>
            </w:r>
            <w:r>
              <w:rPr>
                <w:sz w:val="20"/>
              </w:rPr>
              <w:t>r</w:t>
            </w:r>
            <w:r w:rsidRPr="00B04BC2">
              <w:rPr>
                <w:sz w:val="20"/>
              </w:rPr>
              <w:t>ex brand is used reconstitute each vial with 20 mL WFI to make a concentration of 250 mg/20 mL.</w:t>
            </w:r>
          </w:p>
        </w:tc>
      </w:tr>
      <w:tr w:rsidRPr="003A7895" w:rsidR="00741117" w:rsidTr="00D10A80" w14:paraId="1904CAA6" w14:textId="77777777">
        <w:trPr>
          <w:trHeight w:val="215"/>
        </w:trPr>
        <w:tc>
          <w:tcPr>
            <w:tcW w:w="1872" w:type="dxa"/>
          </w:tcPr>
          <w:p w:rsidRPr="00B53E9B" w:rsidR="00741117" w:rsidP="00131848" w:rsidRDefault="00741117" w14:paraId="0C324626" w14:textId="77777777">
            <w:pPr>
              <w:pStyle w:val="BodyText"/>
              <w:rPr>
                <w:rFonts w:cs="Arial"/>
                <w:b/>
                <w:bCs/>
                <w:sz w:val="20"/>
              </w:rPr>
            </w:pPr>
            <w:r w:rsidRPr="00B53E9B">
              <w:rPr>
                <w:rFonts w:cs="Arial"/>
                <w:b/>
                <w:bCs/>
                <w:sz w:val="20"/>
              </w:rPr>
              <w:t>Monitoring</w:t>
            </w:r>
          </w:p>
        </w:tc>
        <w:tc>
          <w:tcPr>
            <w:tcW w:w="7796" w:type="dxa"/>
          </w:tcPr>
          <w:p w:rsidRPr="00177BF4" w:rsidR="00741117" w:rsidP="00131848" w:rsidRDefault="00741117" w14:paraId="7FB9E14A" w14:textId="77777777">
            <w:pPr>
              <w:pStyle w:val="BodyText"/>
              <w:rPr>
                <w:rFonts w:cs="Arial"/>
                <w:sz w:val="20"/>
              </w:rPr>
            </w:pPr>
            <w:r w:rsidRPr="00177BF4">
              <w:rPr>
                <w:sz w:val="20"/>
              </w:rPr>
              <w:t xml:space="preserve">Continuous heart rate, ECG and blood pressure monitoring preferable. </w:t>
            </w:r>
            <w:r w:rsidRPr="00177BF4">
              <w:rPr>
                <w:sz w:val="20"/>
              </w:rPr>
              <w:br/>
            </w:r>
            <w:r w:rsidRPr="00177BF4">
              <w:rPr>
                <w:sz w:val="20"/>
              </w:rPr>
              <w:t>Assess urine output and peripheral perfusion frequently.</w:t>
            </w:r>
          </w:p>
        </w:tc>
      </w:tr>
      <w:tr w:rsidRPr="003A7895" w:rsidR="00741117" w:rsidTr="00D10A80" w14:paraId="3DCF805F" w14:textId="77777777">
        <w:trPr>
          <w:trHeight w:val="342"/>
        </w:trPr>
        <w:tc>
          <w:tcPr>
            <w:tcW w:w="1872" w:type="dxa"/>
          </w:tcPr>
          <w:p w:rsidRPr="00B53E9B" w:rsidR="00741117" w:rsidP="00131848" w:rsidRDefault="00741117" w14:paraId="67DEF208" w14:textId="77777777">
            <w:pPr>
              <w:pStyle w:val="BodyText"/>
              <w:rPr>
                <w:rFonts w:cs="Arial"/>
                <w:b/>
                <w:bCs/>
                <w:sz w:val="20"/>
              </w:rPr>
            </w:pPr>
            <w:r w:rsidRPr="00B53E9B">
              <w:rPr>
                <w:rFonts w:cs="Arial"/>
                <w:b/>
                <w:bCs/>
                <w:sz w:val="20"/>
              </w:rPr>
              <w:t>Contraindications</w:t>
            </w:r>
          </w:p>
        </w:tc>
        <w:tc>
          <w:tcPr>
            <w:tcW w:w="7796" w:type="dxa"/>
          </w:tcPr>
          <w:p w:rsidRPr="00177BF4" w:rsidR="00741117" w:rsidP="00131848" w:rsidRDefault="00741117" w14:paraId="6EF811CB" w14:textId="77777777">
            <w:pPr>
              <w:pStyle w:val="BodyText"/>
              <w:rPr>
                <w:rFonts w:cs="Arial"/>
                <w:sz w:val="20"/>
              </w:rPr>
            </w:pPr>
            <w:r w:rsidRPr="00177BF4">
              <w:rPr>
                <w:sz w:val="20"/>
              </w:rPr>
              <w:t>Contraindicated in patients with idiopathic hypertrophic sub aortic stenosis and previous hypersensitivity to dobutamine.</w:t>
            </w:r>
          </w:p>
        </w:tc>
      </w:tr>
      <w:tr w:rsidRPr="003A7895" w:rsidR="00741117" w:rsidTr="00D10A80" w14:paraId="6381B7BA" w14:textId="77777777">
        <w:tc>
          <w:tcPr>
            <w:tcW w:w="1872" w:type="dxa"/>
          </w:tcPr>
          <w:p w:rsidRPr="00B53E9B" w:rsidR="00741117" w:rsidP="00131848" w:rsidRDefault="00741117" w14:paraId="5C7C9E71" w14:textId="77777777">
            <w:pPr>
              <w:pStyle w:val="BodyText"/>
              <w:rPr>
                <w:rFonts w:cs="Arial"/>
                <w:b/>
                <w:bCs/>
                <w:sz w:val="20"/>
              </w:rPr>
            </w:pPr>
            <w:r w:rsidRPr="00B53E9B">
              <w:rPr>
                <w:sz w:val="20"/>
              </w:rPr>
              <w:br w:type="page"/>
            </w:r>
            <w:r w:rsidRPr="00B53E9B">
              <w:rPr>
                <w:rFonts w:cs="Arial"/>
                <w:b/>
                <w:bCs/>
                <w:sz w:val="20"/>
              </w:rPr>
              <w:t>Precautions</w:t>
            </w:r>
          </w:p>
        </w:tc>
        <w:tc>
          <w:tcPr>
            <w:tcW w:w="7796" w:type="dxa"/>
          </w:tcPr>
          <w:p w:rsidRPr="00177BF4" w:rsidR="00741117" w:rsidP="00131848" w:rsidRDefault="00741117" w14:paraId="33D73E67" w14:textId="77777777">
            <w:pPr>
              <w:pStyle w:val="BodyText"/>
              <w:rPr>
                <w:rFonts w:cs="Arial"/>
                <w:sz w:val="20"/>
              </w:rPr>
            </w:pPr>
            <w:r w:rsidRPr="00177BF4">
              <w:rPr>
                <w:sz w:val="20"/>
              </w:rPr>
              <w:t>May cause hypotension therefore ensure adequate circulating blood volume prior to commencement.</w:t>
            </w:r>
          </w:p>
        </w:tc>
      </w:tr>
      <w:tr w:rsidRPr="003A7895" w:rsidR="00741117" w:rsidTr="00D10A80" w14:paraId="116D783A" w14:textId="77777777">
        <w:trPr>
          <w:trHeight w:val="70"/>
        </w:trPr>
        <w:tc>
          <w:tcPr>
            <w:tcW w:w="1872" w:type="dxa"/>
          </w:tcPr>
          <w:p w:rsidRPr="00B53E9B" w:rsidR="00741117" w:rsidP="00131848" w:rsidRDefault="00741117" w14:paraId="02725143"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796" w:type="dxa"/>
          </w:tcPr>
          <w:p w:rsidRPr="00177BF4" w:rsidR="00741117" w:rsidP="00131848" w:rsidRDefault="00741117" w14:paraId="76A42006" w14:textId="77777777">
            <w:pPr>
              <w:pStyle w:val="BodyText"/>
              <w:rPr>
                <w:rFonts w:cs="Arial"/>
                <w:sz w:val="20"/>
              </w:rPr>
            </w:pPr>
            <w:r w:rsidRPr="00177BF4">
              <w:rPr>
                <w:sz w:val="20"/>
              </w:rPr>
              <w:t>No evidence of drug interactions demonstrated in clinical studies. Exert caution when co-administering with drugs which can cause hypertension or tachycardia.</w:t>
            </w:r>
          </w:p>
        </w:tc>
      </w:tr>
      <w:tr w:rsidRPr="003A7895" w:rsidR="00741117" w:rsidTr="00D10A80" w14:paraId="56739B84" w14:textId="77777777">
        <w:trPr>
          <w:trHeight w:val="332"/>
        </w:trPr>
        <w:tc>
          <w:tcPr>
            <w:tcW w:w="1872" w:type="dxa"/>
          </w:tcPr>
          <w:p w:rsidRPr="00B53E9B" w:rsidR="00741117" w:rsidP="00131848" w:rsidRDefault="00741117" w14:paraId="2FA9FECC"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796" w:type="dxa"/>
          </w:tcPr>
          <w:p w:rsidRPr="00177BF4" w:rsidR="00741117" w:rsidP="00131848" w:rsidRDefault="00741117" w14:paraId="27A094A7" w14:textId="77777777">
            <w:pPr>
              <w:pStyle w:val="BodyText"/>
              <w:rPr>
                <w:rFonts w:cs="Arial"/>
                <w:sz w:val="20"/>
              </w:rPr>
            </w:pPr>
            <w:r w:rsidRPr="00177BF4">
              <w:rPr>
                <w:sz w:val="20"/>
              </w:rPr>
              <w:t xml:space="preserve">The positive inotropic and chronotropic effects of dobutamine may cause hypertension, tachyarrhythmias, myocardial ischaemia and ventricular fibrillation. </w:t>
            </w:r>
            <w:r w:rsidRPr="00177BF4">
              <w:rPr>
                <w:sz w:val="20"/>
              </w:rPr>
              <w:br/>
            </w:r>
            <w:r w:rsidRPr="00177BF4">
              <w:rPr>
                <w:sz w:val="20"/>
              </w:rPr>
              <w:t xml:space="preserve">Hypotension may result from vasodilation. </w:t>
            </w:r>
            <w:r w:rsidRPr="00177BF4">
              <w:rPr>
                <w:sz w:val="20"/>
              </w:rPr>
              <w:br/>
            </w:r>
            <w:r w:rsidRPr="00177BF4">
              <w:rPr>
                <w:sz w:val="20"/>
              </w:rPr>
              <w:t xml:space="preserve">May cause hypokalaemia. </w:t>
            </w:r>
            <w:r w:rsidRPr="00177BF4">
              <w:rPr>
                <w:sz w:val="20"/>
              </w:rPr>
              <w:br/>
            </w:r>
            <w:r w:rsidRPr="00177BF4">
              <w:rPr>
                <w:sz w:val="20"/>
              </w:rPr>
              <w:t>Phlebitis has been reported.</w:t>
            </w:r>
          </w:p>
        </w:tc>
      </w:tr>
      <w:tr w:rsidRPr="003A7895" w:rsidR="00741117" w:rsidTr="00D10A80" w14:paraId="21C8F68E" w14:textId="77777777">
        <w:trPr>
          <w:trHeight w:val="180"/>
        </w:trPr>
        <w:tc>
          <w:tcPr>
            <w:tcW w:w="1872" w:type="dxa"/>
          </w:tcPr>
          <w:p w:rsidRPr="00B53E9B" w:rsidR="00741117" w:rsidP="00131848" w:rsidRDefault="00741117" w14:paraId="2C21F06B" w14:textId="77777777">
            <w:pPr>
              <w:pStyle w:val="BodyText"/>
              <w:rPr>
                <w:rFonts w:cs="Arial"/>
                <w:b/>
                <w:bCs/>
                <w:sz w:val="20"/>
              </w:rPr>
            </w:pPr>
            <w:r w:rsidRPr="00B53E9B">
              <w:rPr>
                <w:rFonts w:cs="Arial"/>
                <w:b/>
                <w:bCs/>
                <w:sz w:val="20"/>
              </w:rPr>
              <w:t>Compatibility</w:t>
            </w:r>
          </w:p>
        </w:tc>
        <w:tc>
          <w:tcPr>
            <w:tcW w:w="7796" w:type="dxa"/>
          </w:tcPr>
          <w:p w:rsidRPr="00177BF4" w:rsidR="00741117" w:rsidP="00131848" w:rsidRDefault="00741117" w14:paraId="2D110E11" w14:textId="77777777">
            <w:pPr>
              <w:pStyle w:val="BodyText"/>
              <w:rPr>
                <w:sz w:val="20"/>
              </w:rPr>
            </w:pPr>
            <w:r w:rsidRPr="00177BF4">
              <w:rPr>
                <w:sz w:val="20"/>
              </w:rPr>
              <w:t>Fluids: Glucose 5%, glucose 10%, glucose in sodium chloride solutions, glucose 5% in Hartmann’s, Hartmann’s, sodium chloride 0.9%, sodium chloride 0.45%</w:t>
            </w:r>
            <w:r w:rsidRPr="00177BF4">
              <w:rPr>
                <w:sz w:val="20"/>
              </w:rPr>
              <w:br/>
            </w:r>
          </w:p>
          <w:p w:rsidRPr="00177BF4" w:rsidR="00741117" w:rsidP="00131848" w:rsidRDefault="00741117" w14:paraId="025569D0" w14:textId="77777777">
            <w:pPr>
              <w:pStyle w:val="BodyText"/>
              <w:rPr>
                <w:sz w:val="20"/>
              </w:rPr>
            </w:pPr>
            <w:r w:rsidRPr="00177BF4">
              <w:rPr>
                <w:sz w:val="20"/>
              </w:rPr>
              <w:t>Y site: Amino acid solutions, adrenaline hydrochloride, amifostine, amiodarone, anidulafungin, atracurium, aztreonam, bivalirudin (dobutamine concentrations up to 4 mg/mL), caspofungin, ciprofloxacin, cisatracurium, dexmedetomidine, dopamine, eptifibatide, fluconazole, glyceryl trinitrate, granisetron, haloperidol lactate, labetalol, linezolid, milrinone, noradrenaline, pancuronium, pethidine, ranitidine, remifentanil, streptokinase, tigecycline, tirofiban, vecuronium, zidovudine.</w:t>
            </w:r>
          </w:p>
        </w:tc>
      </w:tr>
      <w:tr w:rsidRPr="003A7895" w:rsidR="00741117" w:rsidTr="00D10A80" w14:paraId="18D80D3A" w14:textId="77777777">
        <w:trPr>
          <w:trHeight w:val="230"/>
        </w:trPr>
        <w:tc>
          <w:tcPr>
            <w:tcW w:w="1872" w:type="dxa"/>
          </w:tcPr>
          <w:p w:rsidRPr="00B53E9B" w:rsidR="00741117" w:rsidP="00131848" w:rsidRDefault="00741117" w14:paraId="35A75C96" w14:textId="77777777">
            <w:pPr>
              <w:pStyle w:val="BodyText"/>
              <w:rPr>
                <w:rFonts w:cs="Arial"/>
                <w:b/>
                <w:bCs/>
                <w:sz w:val="20"/>
              </w:rPr>
            </w:pPr>
            <w:r w:rsidRPr="00B53E9B">
              <w:rPr>
                <w:rFonts w:cs="Arial"/>
                <w:b/>
                <w:bCs/>
                <w:sz w:val="20"/>
              </w:rPr>
              <w:t>Incompatibility</w:t>
            </w:r>
          </w:p>
        </w:tc>
        <w:tc>
          <w:tcPr>
            <w:tcW w:w="7796" w:type="dxa"/>
          </w:tcPr>
          <w:p w:rsidRPr="00177BF4" w:rsidR="00741117" w:rsidP="00131848" w:rsidRDefault="00741117" w14:paraId="7097BD68" w14:textId="77777777">
            <w:pPr>
              <w:pStyle w:val="BodyText"/>
              <w:rPr>
                <w:sz w:val="20"/>
              </w:rPr>
            </w:pPr>
            <w:r w:rsidRPr="00177BF4">
              <w:rPr>
                <w:sz w:val="20"/>
              </w:rPr>
              <w:t xml:space="preserve">Fluids: Sodium bicarbonate, alkaline solutions, diluents that contain sodium bisulfite and ethanol. </w:t>
            </w:r>
          </w:p>
          <w:p w:rsidRPr="00177BF4" w:rsidR="00741117" w:rsidP="00131848" w:rsidRDefault="00741117" w14:paraId="084A3399" w14:textId="77777777">
            <w:pPr>
              <w:pStyle w:val="BodyText"/>
              <w:rPr>
                <w:sz w:val="20"/>
              </w:rPr>
            </w:pPr>
          </w:p>
          <w:p w:rsidRPr="00177BF4" w:rsidR="00741117" w:rsidP="00131848" w:rsidRDefault="00741117" w14:paraId="21AA2EF4" w14:textId="77777777">
            <w:pPr>
              <w:pStyle w:val="BodyText"/>
              <w:rPr>
                <w:rFonts w:cs="Arial"/>
                <w:sz w:val="20"/>
              </w:rPr>
            </w:pPr>
            <w:r w:rsidRPr="00177BF4">
              <w:rPr>
                <w:sz w:val="20"/>
              </w:rPr>
              <w:t>Y site: Aciclovir, alteplase, aminophylline, ampicillin, azathioprine, benzylpenicillin, calcium gluconate, cefotaxime, cefoxitin, ceftazidime, ceftriaxone, cephazolin, chloramphenicol, dexamethasone, ertapenem, esomeprazole, flucloxacillin, folic acid, foscarnet, ganciclovir, heparin sodium, hydrocortisone sodium succinate, indomethacin, ketorolac, phenobarbitone, piperacillin-tazobactam (EDTA-free), potassium chloride, sodium bicarbonate, thiopentone, ticarcillin-clavulanate.</w:t>
            </w:r>
          </w:p>
        </w:tc>
      </w:tr>
      <w:tr w:rsidRPr="003A7895" w:rsidR="00741117" w:rsidTr="00D10A80" w14:paraId="658A71E4" w14:textId="77777777">
        <w:trPr>
          <w:trHeight w:val="79"/>
        </w:trPr>
        <w:tc>
          <w:tcPr>
            <w:tcW w:w="1872" w:type="dxa"/>
          </w:tcPr>
          <w:p w:rsidRPr="00B53E9B" w:rsidR="00741117" w:rsidP="00131848" w:rsidRDefault="00741117" w14:paraId="33802198" w14:textId="77777777">
            <w:pPr>
              <w:pStyle w:val="BodyText"/>
              <w:rPr>
                <w:rFonts w:cs="Arial"/>
                <w:b/>
                <w:bCs/>
                <w:sz w:val="20"/>
              </w:rPr>
            </w:pPr>
            <w:r w:rsidRPr="00B53E9B">
              <w:rPr>
                <w:rFonts w:cs="Arial"/>
                <w:b/>
                <w:bCs/>
                <w:sz w:val="20"/>
              </w:rPr>
              <w:t>Stability</w:t>
            </w:r>
          </w:p>
        </w:tc>
        <w:tc>
          <w:tcPr>
            <w:tcW w:w="7796" w:type="dxa"/>
          </w:tcPr>
          <w:p w:rsidRPr="00177BF4" w:rsidR="00741117" w:rsidP="00131848" w:rsidRDefault="00741117" w14:paraId="55958E8C" w14:textId="77777777">
            <w:pPr>
              <w:pStyle w:val="BodyText"/>
              <w:rPr>
                <w:rFonts w:cs="Arial"/>
                <w:sz w:val="20"/>
              </w:rPr>
            </w:pPr>
            <w:r w:rsidRPr="00177BF4">
              <w:rPr>
                <w:sz w:val="20"/>
              </w:rPr>
              <w:t>Reconstituted solution</w:t>
            </w:r>
            <w:r>
              <w:rPr>
                <w:sz w:val="20"/>
              </w:rPr>
              <w:t xml:space="preserve"> −</w:t>
            </w:r>
            <w:r w:rsidRPr="00177BF4">
              <w:rPr>
                <w:sz w:val="20"/>
              </w:rPr>
              <w:t xml:space="preserve"> Dobutrex brand only: Stable for 6 hours at 25°C and 24 hours at 2 to 8°C. </w:t>
            </w:r>
            <w:r w:rsidRPr="00177BF4">
              <w:rPr>
                <w:sz w:val="20"/>
              </w:rPr>
              <w:br/>
            </w:r>
            <w:r w:rsidRPr="00177BF4">
              <w:rPr>
                <w:sz w:val="20"/>
              </w:rPr>
              <w:br/>
            </w:r>
            <w:r w:rsidRPr="00177BF4">
              <w:rPr>
                <w:sz w:val="20"/>
              </w:rPr>
              <w:t>Diluted solution</w:t>
            </w:r>
            <w:r>
              <w:rPr>
                <w:sz w:val="20"/>
              </w:rPr>
              <w:t xml:space="preserve"> –</w:t>
            </w:r>
            <w:r w:rsidRPr="00177BF4">
              <w:rPr>
                <w:sz w:val="20"/>
              </w:rPr>
              <w:t xml:space="preserve"> other brands: Stable for 24 hours at 25°C.</w:t>
            </w:r>
            <w:r w:rsidRPr="00177BF4">
              <w:rPr>
                <w:sz w:val="20"/>
              </w:rPr>
              <w:br/>
            </w:r>
            <w:r w:rsidRPr="00177BF4">
              <w:rPr>
                <w:sz w:val="20"/>
              </w:rPr>
              <w:br/>
            </w:r>
            <w:r w:rsidRPr="00177BF4">
              <w:rPr>
                <w:sz w:val="20"/>
              </w:rPr>
              <w:t>Solutions may turn pink and colour will increase with time but with no significant loss of potency. Discard solutions that are hazy or contain particles.</w:t>
            </w:r>
            <w:r w:rsidRPr="00177BF4">
              <w:rPr>
                <w:sz w:val="20"/>
              </w:rPr>
              <w:br/>
            </w:r>
          </w:p>
        </w:tc>
      </w:tr>
      <w:tr w:rsidRPr="003A7895" w:rsidR="00741117" w:rsidTr="00D10A80" w14:paraId="07643C91" w14:textId="77777777">
        <w:trPr>
          <w:trHeight w:val="70"/>
        </w:trPr>
        <w:tc>
          <w:tcPr>
            <w:tcW w:w="1872" w:type="dxa"/>
          </w:tcPr>
          <w:p w:rsidRPr="00B53E9B" w:rsidR="00741117" w:rsidP="00131848" w:rsidRDefault="00741117" w14:paraId="0B401A4A" w14:textId="77777777">
            <w:pPr>
              <w:pStyle w:val="BodyText"/>
              <w:rPr>
                <w:rFonts w:cs="Arial"/>
                <w:b/>
                <w:bCs/>
                <w:sz w:val="20"/>
              </w:rPr>
            </w:pPr>
            <w:r w:rsidRPr="00B53E9B">
              <w:rPr>
                <w:rFonts w:cs="Arial"/>
                <w:b/>
                <w:bCs/>
                <w:sz w:val="20"/>
              </w:rPr>
              <w:t xml:space="preserve">Storage </w:t>
            </w:r>
          </w:p>
        </w:tc>
        <w:tc>
          <w:tcPr>
            <w:tcW w:w="7796" w:type="dxa"/>
          </w:tcPr>
          <w:p w:rsidRPr="00177BF4" w:rsidR="00741117" w:rsidP="00131848" w:rsidRDefault="00741117" w14:paraId="353D2FEC" w14:textId="77777777">
            <w:pPr>
              <w:pStyle w:val="BodyText"/>
              <w:rPr>
                <w:rFonts w:cs="Arial"/>
                <w:sz w:val="20"/>
              </w:rPr>
            </w:pPr>
            <w:r w:rsidRPr="00177BF4">
              <w:rPr>
                <w:sz w:val="20"/>
              </w:rPr>
              <w:t>Vial: Store below 25°C. Protect from light.</w:t>
            </w:r>
            <w:r w:rsidRPr="00177BF4">
              <w:rPr>
                <w:sz w:val="20"/>
              </w:rPr>
              <w:br/>
            </w:r>
            <w:r w:rsidRPr="00177BF4">
              <w:rPr>
                <w:sz w:val="20"/>
              </w:rPr>
              <w:t>Discard remaining solution after use.</w:t>
            </w:r>
          </w:p>
        </w:tc>
      </w:tr>
      <w:tr w:rsidRPr="003A7895" w:rsidR="00741117" w:rsidTr="00D10A80" w14:paraId="47CFF28E" w14:textId="77777777">
        <w:trPr>
          <w:trHeight w:val="70"/>
        </w:trPr>
        <w:tc>
          <w:tcPr>
            <w:tcW w:w="1872" w:type="dxa"/>
          </w:tcPr>
          <w:p w:rsidRPr="00B53E9B" w:rsidR="00741117" w:rsidP="00131848" w:rsidRDefault="00741117" w14:paraId="2B743342" w14:textId="77777777">
            <w:pPr>
              <w:pStyle w:val="BodyText"/>
              <w:rPr>
                <w:rFonts w:cs="Arial"/>
                <w:b/>
                <w:bCs/>
                <w:sz w:val="20"/>
              </w:rPr>
            </w:pPr>
            <w:r w:rsidRPr="00B53E9B">
              <w:rPr>
                <w:rFonts w:cs="Arial"/>
                <w:b/>
                <w:bCs/>
                <w:sz w:val="20"/>
              </w:rPr>
              <w:t>Excipients</w:t>
            </w:r>
          </w:p>
        </w:tc>
        <w:tc>
          <w:tcPr>
            <w:tcW w:w="7796" w:type="dxa"/>
          </w:tcPr>
          <w:p w:rsidRPr="00026F20" w:rsidR="00741117" w:rsidP="00131848" w:rsidRDefault="00741117" w14:paraId="23DF47BD" w14:textId="77777777">
            <w:pPr>
              <w:pStyle w:val="BodyText"/>
              <w:rPr>
                <w:rFonts w:cs="Arial"/>
                <w:sz w:val="20"/>
              </w:rPr>
            </w:pPr>
          </w:p>
        </w:tc>
      </w:tr>
      <w:tr w:rsidRPr="003A7895" w:rsidR="00741117" w:rsidTr="00D10A80" w14:paraId="5B6C63B7" w14:textId="77777777">
        <w:trPr>
          <w:trHeight w:val="270"/>
        </w:trPr>
        <w:tc>
          <w:tcPr>
            <w:tcW w:w="1872" w:type="dxa"/>
          </w:tcPr>
          <w:p w:rsidRPr="00B53E9B" w:rsidR="00741117" w:rsidP="00131848" w:rsidRDefault="00741117" w14:paraId="0F9903B6"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796" w:type="dxa"/>
          </w:tcPr>
          <w:p w:rsidRPr="00177BF4" w:rsidR="00741117" w:rsidP="00131848" w:rsidRDefault="00741117" w14:paraId="7C301396" w14:textId="77777777">
            <w:pPr>
              <w:pStyle w:val="BodyText"/>
              <w:rPr>
                <w:rFonts w:cs="Arial"/>
                <w:sz w:val="20"/>
              </w:rPr>
            </w:pPr>
            <w:r w:rsidRPr="00177BF4">
              <w:rPr>
                <w:sz w:val="20"/>
              </w:rPr>
              <w:t>Dobutamine should always have a dedicated line to prevent accidental bolus.</w:t>
            </w:r>
          </w:p>
        </w:tc>
      </w:tr>
      <w:tr w:rsidRPr="003A7895" w:rsidR="00741117" w:rsidTr="00D10A80" w14:paraId="5EED7D55" w14:textId="77777777">
        <w:trPr>
          <w:trHeight w:val="280"/>
        </w:trPr>
        <w:tc>
          <w:tcPr>
            <w:tcW w:w="1872" w:type="dxa"/>
          </w:tcPr>
          <w:p w:rsidRPr="00B53E9B" w:rsidR="00741117" w:rsidP="00131848" w:rsidRDefault="00741117" w14:paraId="683A57FE" w14:textId="77777777">
            <w:pPr>
              <w:pStyle w:val="BodyText"/>
              <w:rPr>
                <w:rFonts w:cs="Arial"/>
                <w:b/>
                <w:bCs/>
                <w:sz w:val="20"/>
              </w:rPr>
            </w:pPr>
            <w:r w:rsidRPr="00B53E9B">
              <w:rPr>
                <w:rFonts w:cs="Arial"/>
                <w:b/>
                <w:bCs/>
                <w:sz w:val="20"/>
              </w:rPr>
              <w:t>Evidence</w:t>
            </w:r>
          </w:p>
        </w:tc>
        <w:tc>
          <w:tcPr>
            <w:tcW w:w="7796" w:type="dxa"/>
          </w:tcPr>
          <w:p w:rsidRPr="00741117" w:rsidR="00741117" w:rsidP="00131848" w:rsidRDefault="00741117" w14:paraId="214E966C" w14:textId="77777777">
            <w:pPr>
              <w:pStyle w:val="BodyText"/>
              <w:tabs>
                <w:tab w:val="left" w:pos="1168"/>
              </w:tabs>
              <w:rPr>
                <w:rFonts w:cs="Arial"/>
                <w:sz w:val="16"/>
                <w:szCs w:val="16"/>
              </w:rPr>
            </w:pPr>
            <w:r w:rsidRPr="00741117">
              <w:rPr>
                <w:sz w:val="16"/>
                <w:szCs w:val="16"/>
              </w:rPr>
              <w:t xml:space="preserve">Efficacy: </w:t>
            </w:r>
            <w:r w:rsidRPr="00741117">
              <w:rPr>
                <w:sz w:val="16"/>
                <w:szCs w:val="16"/>
              </w:rPr>
              <w:br/>
            </w:r>
            <w:r w:rsidRPr="00741117">
              <w:rPr>
                <w:sz w:val="16"/>
                <w:szCs w:val="16"/>
              </w:rPr>
              <w:t>Treatment of hypotension in preterm infants: Dobutamine is less effective than dopamine at increasing blood pressure in hypotensive infants but this may not change the clinical outcome. A single study</w:t>
            </w:r>
            <w:r w:rsidRPr="00741117">
              <w:rPr>
                <w:sz w:val="16"/>
                <w:szCs w:val="16"/>
                <w:vertAlign w:val="superscript"/>
              </w:rPr>
              <w:t>2</w:t>
            </w:r>
            <w:r w:rsidRPr="00741117">
              <w:rPr>
                <w:sz w:val="16"/>
                <w:szCs w:val="16"/>
              </w:rPr>
              <w:t xml:space="preserve"> reported left ventricular output increased with dobutamine compared to a decrease with dopamine (LOE I, GOR C) </w:t>
            </w:r>
            <w:r w:rsidRPr="00741117">
              <w:rPr>
                <w:sz w:val="16"/>
                <w:szCs w:val="16"/>
                <w:vertAlign w:val="superscript"/>
              </w:rPr>
              <w:t>3</w:t>
            </w:r>
            <w:r w:rsidRPr="00741117">
              <w:rPr>
                <w:sz w:val="16"/>
                <w:szCs w:val="16"/>
              </w:rPr>
              <w:t>.</w:t>
            </w:r>
            <w:r w:rsidRPr="00741117">
              <w:rPr>
                <w:sz w:val="16"/>
                <w:szCs w:val="16"/>
              </w:rPr>
              <w:br/>
            </w:r>
            <w:r w:rsidRPr="00741117">
              <w:rPr>
                <w:sz w:val="16"/>
                <w:szCs w:val="16"/>
              </w:rPr>
              <w:t xml:space="preserve">Treatment of low systemic blood flow: Dobutamine increased superior vena cava (SVC) flow with little change in blood pressure, whereas dopamine increased blood pressure with little change in SVC flow. There was no difference in clinical outcome (LOE II, GOR C) </w:t>
            </w:r>
            <w:r w:rsidRPr="00741117">
              <w:rPr>
                <w:sz w:val="16"/>
                <w:szCs w:val="16"/>
                <w:vertAlign w:val="superscript"/>
              </w:rPr>
              <w:t>4-6</w:t>
            </w:r>
            <w:r w:rsidRPr="00741117">
              <w:rPr>
                <w:sz w:val="16"/>
                <w:szCs w:val="16"/>
              </w:rPr>
              <w:t>.</w:t>
            </w:r>
            <w:r w:rsidRPr="00741117">
              <w:rPr>
                <w:sz w:val="16"/>
                <w:szCs w:val="16"/>
              </w:rPr>
              <w:br/>
            </w:r>
            <w:r w:rsidRPr="00741117">
              <w:rPr>
                <w:sz w:val="16"/>
                <w:szCs w:val="16"/>
              </w:rPr>
              <w:br/>
            </w:r>
            <w:r w:rsidRPr="00741117">
              <w:rPr>
                <w:sz w:val="16"/>
                <w:szCs w:val="16"/>
              </w:rPr>
              <w:lastRenderedPageBreak/>
              <w:t>Summary:</w:t>
            </w:r>
            <w:r w:rsidRPr="00741117">
              <w:rPr>
                <w:sz w:val="16"/>
                <w:szCs w:val="16"/>
              </w:rPr>
              <w:br/>
            </w:r>
            <w:r w:rsidRPr="00741117">
              <w:rPr>
                <w:sz w:val="16"/>
                <w:szCs w:val="16"/>
              </w:rPr>
              <w:t xml:space="preserve">Dobutamine is recommended to increase cardiac output in neonates with myocardial dysfunction and unchanged or increased systemic vascular resistance (SVR). </w:t>
            </w:r>
            <w:r w:rsidRPr="00741117">
              <w:rPr>
                <w:sz w:val="16"/>
                <w:szCs w:val="16"/>
              </w:rPr>
              <w:br/>
            </w:r>
            <w:r w:rsidRPr="00741117">
              <w:rPr>
                <w:sz w:val="16"/>
                <w:szCs w:val="16"/>
              </w:rPr>
              <w:t>In conditions with low SVR (e.g., septic shock) dobutamine is not the appropriate first drug of choice</w:t>
            </w:r>
            <w:r w:rsidRPr="00741117">
              <w:rPr>
                <w:sz w:val="16"/>
                <w:szCs w:val="16"/>
                <w:vertAlign w:val="superscript"/>
              </w:rPr>
              <w:t>1</w:t>
            </w:r>
            <w:r w:rsidRPr="00741117">
              <w:rPr>
                <w:sz w:val="16"/>
                <w:szCs w:val="16"/>
              </w:rPr>
              <w:t xml:space="preserve">. </w:t>
            </w:r>
            <w:r w:rsidRPr="00741117">
              <w:rPr>
                <w:sz w:val="16"/>
                <w:szCs w:val="16"/>
              </w:rPr>
              <w:br/>
            </w:r>
            <w:r w:rsidRPr="00741117">
              <w:rPr>
                <w:sz w:val="16"/>
                <w:szCs w:val="16"/>
              </w:rPr>
              <w:br/>
            </w:r>
            <w:r w:rsidRPr="00741117">
              <w:rPr>
                <w:sz w:val="16"/>
                <w:szCs w:val="16"/>
              </w:rPr>
              <w:t xml:space="preserve">Safety: </w:t>
            </w:r>
            <w:r w:rsidRPr="00741117">
              <w:rPr>
                <w:sz w:val="16"/>
                <w:szCs w:val="16"/>
              </w:rPr>
              <w:br/>
            </w:r>
            <w:r w:rsidRPr="00741117">
              <w:rPr>
                <w:sz w:val="16"/>
                <w:szCs w:val="16"/>
              </w:rPr>
              <w:t xml:space="preserve">No evidence of an effect on the incidence of adverse neuroradiological sequelae (severe periventricular haemorrhage and/or periventricular leucomalacia), or on the incidence of tachycardia. Insufficient data confirming long term benefit and safety of dobutamine </w:t>
            </w:r>
            <w:r w:rsidRPr="00741117">
              <w:rPr>
                <w:sz w:val="16"/>
                <w:szCs w:val="16"/>
                <w:vertAlign w:val="superscript"/>
              </w:rPr>
              <w:t>3</w:t>
            </w:r>
            <w:r w:rsidRPr="00741117">
              <w:rPr>
                <w:sz w:val="16"/>
                <w:szCs w:val="16"/>
              </w:rPr>
              <w:t xml:space="preserve">. Common side effects reported were ventricular arrhythmias, tachycardia, hypotension and chest pain (children) (LOE III-2, GOR B) </w:t>
            </w:r>
            <w:r w:rsidRPr="00741117">
              <w:rPr>
                <w:sz w:val="16"/>
                <w:szCs w:val="16"/>
                <w:vertAlign w:val="superscript"/>
              </w:rPr>
              <w:t>7</w:t>
            </w:r>
            <w:r w:rsidRPr="00741117">
              <w:rPr>
                <w:sz w:val="16"/>
                <w:szCs w:val="16"/>
              </w:rPr>
              <w:t>.</w:t>
            </w:r>
            <w:r w:rsidRPr="00741117">
              <w:rPr>
                <w:sz w:val="16"/>
                <w:szCs w:val="16"/>
              </w:rPr>
              <w:br/>
            </w:r>
            <w:r w:rsidRPr="00741117">
              <w:rPr>
                <w:sz w:val="16"/>
                <w:szCs w:val="16"/>
              </w:rPr>
              <w:br/>
            </w:r>
            <w:r w:rsidRPr="00741117">
              <w:rPr>
                <w:sz w:val="16"/>
                <w:szCs w:val="16"/>
              </w:rPr>
              <w:t xml:space="preserve">Pharmacokinetics: </w:t>
            </w:r>
            <w:r w:rsidRPr="00741117">
              <w:rPr>
                <w:sz w:val="16"/>
                <w:szCs w:val="16"/>
              </w:rPr>
              <w:br/>
            </w:r>
            <w:r w:rsidRPr="00741117">
              <w:rPr>
                <w:sz w:val="16"/>
                <w:szCs w:val="16"/>
              </w:rPr>
              <w:t xml:space="preserve">Dobutamine concentrations positively correlated with infusion dosages. Range of values vary widely between patients despite similar doses </w:t>
            </w:r>
            <w:r w:rsidRPr="00741117">
              <w:rPr>
                <w:sz w:val="16"/>
                <w:szCs w:val="16"/>
                <w:vertAlign w:val="superscript"/>
              </w:rPr>
              <w:t>7</w:t>
            </w:r>
            <w:r w:rsidRPr="00741117">
              <w:rPr>
                <w:sz w:val="16"/>
                <w:szCs w:val="16"/>
              </w:rPr>
              <w:t xml:space="preserve">. Short half-life around 2 minutes </w:t>
            </w:r>
            <w:r w:rsidRPr="00741117">
              <w:rPr>
                <w:sz w:val="16"/>
                <w:szCs w:val="16"/>
                <w:vertAlign w:val="superscript"/>
              </w:rPr>
              <w:t>8</w:t>
            </w:r>
            <w:r w:rsidRPr="00741117">
              <w:rPr>
                <w:sz w:val="16"/>
                <w:szCs w:val="16"/>
              </w:rPr>
              <w:t>.</w:t>
            </w:r>
          </w:p>
        </w:tc>
      </w:tr>
      <w:tr w:rsidRPr="003A7895" w:rsidR="00741117" w:rsidTr="00D10A80" w14:paraId="4E3FFC9C" w14:textId="77777777">
        <w:trPr>
          <w:trHeight w:val="108"/>
        </w:trPr>
        <w:tc>
          <w:tcPr>
            <w:tcW w:w="1872" w:type="dxa"/>
          </w:tcPr>
          <w:p w:rsidRPr="00B53E9B" w:rsidR="00741117" w:rsidP="00131848" w:rsidRDefault="00741117" w14:paraId="57EE0663" w14:textId="77777777">
            <w:pPr>
              <w:pStyle w:val="BodyText"/>
              <w:rPr>
                <w:rFonts w:cs="Arial"/>
                <w:b/>
                <w:bCs/>
                <w:sz w:val="20"/>
              </w:rPr>
            </w:pPr>
            <w:r w:rsidRPr="00B53E9B">
              <w:rPr>
                <w:rFonts w:cs="Arial"/>
                <w:b/>
                <w:bCs/>
                <w:sz w:val="20"/>
              </w:rPr>
              <w:lastRenderedPageBreak/>
              <w:t>Practice points</w:t>
            </w:r>
          </w:p>
        </w:tc>
        <w:tc>
          <w:tcPr>
            <w:tcW w:w="7796" w:type="dxa"/>
          </w:tcPr>
          <w:p w:rsidRPr="00026F20" w:rsidR="00741117" w:rsidP="00131848" w:rsidRDefault="00741117" w14:paraId="6177DC01" w14:textId="77777777">
            <w:pPr>
              <w:pStyle w:val="BodyText"/>
              <w:tabs>
                <w:tab w:val="left" w:pos="1168"/>
              </w:tabs>
              <w:rPr>
                <w:rFonts w:cs="Arial"/>
                <w:sz w:val="20"/>
              </w:rPr>
            </w:pPr>
          </w:p>
        </w:tc>
      </w:tr>
      <w:tr w:rsidRPr="003A7895" w:rsidR="00741117" w:rsidTr="00D10A80" w14:paraId="3F1A1506" w14:textId="77777777">
        <w:trPr>
          <w:trHeight w:val="70"/>
        </w:trPr>
        <w:tc>
          <w:tcPr>
            <w:tcW w:w="1872" w:type="dxa"/>
          </w:tcPr>
          <w:p w:rsidRPr="00B53E9B" w:rsidR="00741117" w:rsidP="00131848" w:rsidRDefault="00741117" w14:paraId="07CADC3E" w14:textId="77777777">
            <w:pPr>
              <w:pStyle w:val="BodyText"/>
              <w:rPr>
                <w:rFonts w:cs="Arial"/>
                <w:b/>
                <w:bCs/>
                <w:sz w:val="20"/>
              </w:rPr>
            </w:pPr>
            <w:r w:rsidRPr="00B53E9B">
              <w:rPr>
                <w:b/>
                <w:sz w:val="20"/>
              </w:rPr>
              <w:t>References</w:t>
            </w:r>
          </w:p>
        </w:tc>
        <w:tc>
          <w:tcPr>
            <w:tcW w:w="7796" w:type="dxa"/>
          </w:tcPr>
          <w:p w:rsidRPr="00741117" w:rsidR="00741117" w:rsidP="00131848" w:rsidRDefault="00741117" w14:paraId="0C6FFBC3" w14:textId="77777777">
            <w:pPr>
              <w:rPr>
                <w:sz w:val="16"/>
                <w:szCs w:val="16"/>
              </w:rPr>
            </w:pPr>
            <w:r w:rsidRPr="00741117">
              <w:rPr>
                <w:sz w:val="16"/>
                <w:szCs w:val="16"/>
              </w:rPr>
              <w:t>1. Noori, S. and I. Seri, Neonatal blood pressure support: the use of inotropes, lusitropes, and other vasopressor agents. Clin Perinatol, 2012. 39(1): p. 221–38.</w:t>
            </w:r>
            <w:r w:rsidRPr="00741117">
              <w:rPr>
                <w:sz w:val="16"/>
                <w:szCs w:val="16"/>
              </w:rPr>
              <w:br/>
            </w:r>
            <w:r w:rsidRPr="00741117">
              <w:rPr>
                <w:sz w:val="16"/>
                <w:szCs w:val="16"/>
              </w:rPr>
              <w:t>2. Roze, J.C., et al., Response to dobutamine and dopamine in the hypotensive very preterm infant. Arch Dis Child, 1993. 69(1 Spec No): p. 59–63.</w:t>
            </w:r>
            <w:r w:rsidRPr="00741117">
              <w:rPr>
                <w:sz w:val="16"/>
                <w:szCs w:val="16"/>
              </w:rPr>
              <w:br/>
            </w:r>
            <w:r w:rsidRPr="00741117">
              <w:rPr>
                <w:sz w:val="16"/>
                <w:szCs w:val="16"/>
              </w:rPr>
              <w:t>3. Subhedar, N.V. and N.J. Shaw, Dopamine versus dobutamine for hypotensive preterm infants. Cochrane Database Syst Rev, 2003(3): p. CD001242.</w:t>
            </w:r>
            <w:r w:rsidRPr="00741117">
              <w:rPr>
                <w:sz w:val="16"/>
                <w:szCs w:val="16"/>
              </w:rPr>
              <w:br/>
            </w:r>
            <w:r w:rsidRPr="00741117">
              <w:rPr>
                <w:sz w:val="16"/>
                <w:szCs w:val="16"/>
              </w:rPr>
              <w:t>4. Osborn, D., N. Evans, and M. Kluckow, Randomized trial of dobutamine versus dopamine in preterm infants with low systemic blood flow. J Pediatr, 2002. 140(2): p. 183–91.</w:t>
            </w:r>
            <w:r w:rsidRPr="00741117">
              <w:rPr>
                <w:sz w:val="16"/>
                <w:szCs w:val="16"/>
              </w:rPr>
              <w:br/>
            </w:r>
            <w:r w:rsidRPr="00741117">
              <w:rPr>
                <w:sz w:val="16"/>
                <w:szCs w:val="16"/>
              </w:rPr>
              <w:t>5. Osborn, D.A., N. Evans, and M. Kluckow, Left ventricular contractility in extremely premature infants in the first day and response to inotropes. Pediatr Res, 2007. 61(3): p. 335–40.</w:t>
            </w:r>
            <w:r w:rsidRPr="00741117">
              <w:rPr>
                <w:sz w:val="16"/>
                <w:szCs w:val="16"/>
              </w:rPr>
              <w:br/>
            </w:r>
            <w:r w:rsidRPr="00741117">
              <w:rPr>
                <w:sz w:val="16"/>
                <w:szCs w:val="16"/>
              </w:rPr>
              <w:t>6. Osborn, D.A., et al., Low superior vena cava flow and effect of inotropes on neurodevelopment to 3 years in preterm infants. Pediatrics, 2007. 120(2): p. 372–80.</w:t>
            </w:r>
            <w:r w:rsidRPr="00741117">
              <w:rPr>
                <w:sz w:val="16"/>
                <w:szCs w:val="16"/>
              </w:rPr>
              <w:br/>
            </w:r>
            <w:r w:rsidRPr="00741117">
              <w:rPr>
                <w:sz w:val="16"/>
                <w:szCs w:val="16"/>
              </w:rPr>
              <w:t>7. Mahoney, L., et al., A Literature Review of the Pharmacokinetics and Pharmacodynamics of Dobutamine in Neonates. Pediatr Cardiol, 2015 Sep 7. [Epub ahead of print].</w:t>
            </w:r>
            <w:r w:rsidRPr="00741117">
              <w:rPr>
                <w:sz w:val="16"/>
                <w:szCs w:val="16"/>
              </w:rPr>
              <w:br/>
            </w:r>
            <w:r w:rsidRPr="00741117">
              <w:rPr>
                <w:sz w:val="16"/>
                <w:szCs w:val="16"/>
              </w:rPr>
              <w:t>8. Schwartz, P.H., M.K. Eldadah, and C.J. Newth, The pharmacokinetics of dobutamine in pediatric intensive care unit patients. Drug Metab Dispos, 1991. 19(3): p. 614–9.</w:t>
            </w:r>
            <w:r w:rsidRPr="00741117">
              <w:rPr>
                <w:sz w:val="16"/>
                <w:szCs w:val="16"/>
              </w:rPr>
              <w:br/>
            </w:r>
            <w:r w:rsidRPr="00741117">
              <w:rPr>
                <w:sz w:val="16"/>
                <w:szCs w:val="16"/>
              </w:rPr>
              <w:t>9. MIMSOnline Accessed via CIAP on 21/10/15.</w:t>
            </w:r>
            <w:r w:rsidRPr="00741117">
              <w:rPr>
                <w:sz w:val="16"/>
                <w:szCs w:val="16"/>
              </w:rPr>
              <w:br/>
            </w:r>
            <w:r w:rsidRPr="00741117">
              <w:rPr>
                <w:sz w:val="16"/>
                <w:szCs w:val="16"/>
              </w:rPr>
              <w:t>10. Micromedex® 2.0, (electronic version). Truven Health Analytics, Greenwood Village, Colorado, USA. Available at: http://www.micromedexsolutions.com.acs.hcn.com.au. Accessed via CIAP on 21/10/15.</w:t>
            </w:r>
            <w:r w:rsidRPr="00741117">
              <w:rPr>
                <w:sz w:val="16"/>
                <w:szCs w:val="16"/>
              </w:rPr>
              <w:br/>
            </w:r>
            <w:r w:rsidRPr="00741117">
              <w:rPr>
                <w:sz w:val="16"/>
                <w:szCs w:val="16"/>
              </w:rPr>
              <w:t>11. Australian Injectable Drugs Handbook, 6th Edition, Society of Hospital Pharmacists of Australia 2014.</w:t>
            </w:r>
            <w:r w:rsidRPr="00741117">
              <w:rPr>
                <w:sz w:val="16"/>
                <w:szCs w:val="16"/>
              </w:rPr>
              <w:br/>
            </w:r>
            <w:r w:rsidRPr="00741117">
              <w:rPr>
                <w:sz w:val="16"/>
                <w:szCs w:val="16"/>
              </w:rPr>
              <w:t>12. Neofax accessed on www.neofax.micromedex.solutions.com on 29/9/15.</w:t>
            </w:r>
          </w:p>
        </w:tc>
      </w:tr>
    </w:tbl>
    <w:p w:rsidRPr="00E25790" w:rsidR="00115F48" w:rsidP="006F0321" w:rsidRDefault="00115F48" w14:paraId="29F911B6" w14:textId="77777777"/>
    <w:p w:rsidRPr="00E25790" w:rsidR="00A733F3" w:rsidP="006F0321" w:rsidRDefault="00A733F3" w14:paraId="5329478F" w14:textId="77777777"/>
    <w:tbl>
      <w:tblPr>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7"/>
        <w:gridCol w:w="4677"/>
      </w:tblGrid>
      <w:tr w:rsidRPr="003A7895" w:rsidR="00E424B4" w:rsidTr="00A733F3" w14:paraId="369395DD" w14:textId="77777777">
        <w:tc>
          <w:tcPr>
            <w:tcW w:w="4537" w:type="dxa"/>
            <w:vAlign w:val="center"/>
          </w:tcPr>
          <w:p w:rsidRPr="003A7895" w:rsidR="00A733F3" w:rsidP="00EC6FC6" w:rsidRDefault="00A733F3" w14:paraId="71AB2DFC" w14:textId="77777777">
            <w:r>
              <w:t>Original version Date: 9/11</w:t>
            </w:r>
            <w:r w:rsidRPr="003A7895">
              <w:t>/2015</w:t>
            </w:r>
          </w:p>
        </w:tc>
        <w:tc>
          <w:tcPr>
            <w:tcW w:w="4677" w:type="dxa"/>
            <w:vAlign w:val="center"/>
          </w:tcPr>
          <w:p w:rsidRPr="003A7895" w:rsidR="00A733F3" w:rsidP="00EC6FC6" w:rsidRDefault="00A733F3" w14:paraId="4F10121C" w14:textId="77777777">
            <w:r>
              <w:t>Author: NeoMed Consensus Group</w:t>
            </w:r>
          </w:p>
        </w:tc>
      </w:tr>
      <w:tr w:rsidRPr="003A7895" w:rsidR="00E424B4" w:rsidTr="00A733F3" w14:paraId="7621E140" w14:textId="77777777">
        <w:tc>
          <w:tcPr>
            <w:tcW w:w="4537" w:type="dxa"/>
            <w:vAlign w:val="center"/>
          </w:tcPr>
          <w:p w:rsidRPr="003A7895" w:rsidR="00A733F3" w:rsidP="00EC6FC6" w:rsidRDefault="00A733F3" w14:paraId="56E90305" w14:textId="09C5B82D">
            <w:pPr>
              <w:rPr>
                <w:bCs/>
              </w:rPr>
            </w:pPr>
            <w:r w:rsidRPr="003A7895">
              <w:t xml:space="preserve">Current Version number: </w:t>
            </w:r>
            <w:r w:rsidR="00112D2C">
              <w:t>3</w:t>
            </w:r>
          </w:p>
        </w:tc>
        <w:tc>
          <w:tcPr>
            <w:tcW w:w="4677" w:type="dxa"/>
            <w:vAlign w:val="center"/>
          </w:tcPr>
          <w:p w:rsidRPr="003A7895" w:rsidR="00A733F3" w:rsidP="00EC6FC6" w:rsidRDefault="00A733F3" w14:paraId="4425B873" w14:textId="43554DBE">
            <w:r>
              <w:t xml:space="preserve">Current </w:t>
            </w:r>
            <w:r w:rsidRPr="003A7895">
              <w:t xml:space="preserve">Version Date:  </w:t>
            </w:r>
            <w:r w:rsidR="00112D2C">
              <w:t>18/</w:t>
            </w:r>
            <w:r w:rsidR="00741117">
              <w:t>6</w:t>
            </w:r>
            <w:r w:rsidR="007E1359">
              <w:t>/2021</w:t>
            </w:r>
          </w:p>
        </w:tc>
      </w:tr>
      <w:tr w:rsidRPr="003A7895" w:rsidR="00E424B4" w:rsidTr="00A733F3" w14:paraId="47877E1A" w14:textId="77777777">
        <w:tc>
          <w:tcPr>
            <w:tcW w:w="4537" w:type="dxa"/>
            <w:vAlign w:val="center"/>
          </w:tcPr>
          <w:p w:rsidRPr="003A7895" w:rsidR="00A733F3" w:rsidP="00EC6FC6" w:rsidRDefault="00A733F3" w14:paraId="0CCB4D6A" w14:textId="67E2D1D4">
            <w:r>
              <w:t xml:space="preserve">Risk Rating: </w:t>
            </w:r>
            <w:r w:rsidR="001E2848">
              <w:t>Low</w:t>
            </w:r>
          </w:p>
        </w:tc>
        <w:tc>
          <w:tcPr>
            <w:tcW w:w="4677" w:type="dxa"/>
            <w:vAlign w:val="center"/>
          </w:tcPr>
          <w:p w:rsidRPr="003A7895" w:rsidR="00A733F3" w:rsidP="00EC6FC6" w:rsidRDefault="00A733F3" w14:paraId="6E65840B" w14:textId="66182FFD">
            <w:r w:rsidRPr="003A7895">
              <w:t xml:space="preserve">Due for Review:  </w:t>
            </w:r>
            <w:r w:rsidR="00112D2C">
              <w:t>18/</w:t>
            </w:r>
            <w:r w:rsidR="00741117">
              <w:t>6</w:t>
            </w:r>
            <w:r w:rsidR="001E2848">
              <w:t>/2026</w:t>
            </w:r>
          </w:p>
        </w:tc>
      </w:tr>
      <w:tr w:rsidRPr="003A7895" w:rsidR="00E424B4" w:rsidTr="00A733F3" w14:paraId="538A9A8F" w14:textId="77777777">
        <w:trPr>
          <w:trHeight w:val="344"/>
        </w:trPr>
        <w:tc>
          <w:tcPr>
            <w:tcW w:w="4537" w:type="dxa"/>
            <w:tcBorders>
              <w:bottom w:val="single" w:color="auto" w:sz="4" w:space="0"/>
            </w:tcBorders>
            <w:vAlign w:val="center"/>
          </w:tcPr>
          <w:p w:rsidRPr="003A7895" w:rsidR="00A733F3" w:rsidP="00EC6FC6" w:rsidRDefault="00A733F3" w14:paraId="33FD78B3" w14:textId="77777777">
            <w:r w:rsidRPr="003A7895">
              <w:t>Approv</w:t>
            </w:r>
            <w:r>
              <w:t xml:space="preserve">al </w:t>
            </w:r>
            <w:r w:rsidRPr="003A7895">
              <w:t>by</w:t>
            </w:r>
            <w:r>
              <w:t>: DTC</w:t>
            </w:r>
          </w:p>
        </w:tc>
        <w:tc>
          <w:tcPr>
            <w:tcW w:w="4677" w:type="dxa"/>
            <w:tcBorders>
              <w:bottom w:val="single" w:color="auto" w:sz="4" w:space="0"/>
            </w:tcBorders>
            <w:vAlign w:val="center"/>
          </w:tcPr>
          <w:p w:rsidRPr="003A7895" w:rsidR="00A733F3" w:rsidP="00EC6FC6" w:rsidRDefault="00A733F3" w14:paraId="1E0C28EC" w14:textId="6BA77B0A">
            <w:r w:rsidRPr="003A7895">
              <w:t>Approval Date:</w:t>
            </w:r>
            <w:r>
              <w:t xml:space="preserve"> </w:t>
            </w:r>
            <w:r w:rsidR="00260BC8">
              <w:t>APRIL 2021</w:t>
            </w:r>
          </w:p>
        </w:tc>
      </w:tr>
    </w:tbl>
    <w:p w:rsidRPr="00E25790" w:rsidR="00A733F3" w:rsidP="006F0321" w:rsidRDefault="00A733F3" w14:paraId="07583BF7" w14:textId="77777777"/>
    <w:p w:rsidRPr="00E25790" w:rsidR="00115F48" w:rsidP="006F0321" w:rsidRDefault="00115F48" w14:paraId="5F01284D"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EC6FC6" w14:paraId="612F426D"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4A740D4E" w14:textId="77777777">
            <w:pPr>
              <w:pStyle w:val="Heading1"/>
            </w:pPr>
            <w:bookmarkStart w:name="_Toc495481099" w:id="206"/>
            <w:bookmarkStart w:name="_Toc495481225" w:id="207"/>
            <w:bookmarkStart w:name="_Toc495481350" w:id="208"/>
            <w:bookmarkStart w:name="_Toc495501531" w:id="209"/>
            <w:bookmarkStart w:name="_Toc38106837" w:id="210"/>
            <w:bookmarkStart w:name="_Toc75339963" w:id="211"/>
            <w:r w:rsidRPr="00E25790">
              <w:lastRenderedPageBreak/>
              <w:t>Dopamine</w:t>
            </w:r>
            <w:bookmarkEnd w:id="206"/>
            <w:bookmarkEnd w:id="207"/>
            <w:bookmarkEnd w:id="208"/>
            <w:bookmarkEnd w:id="209"/>
            <w:r w:rsidRPr="00E25790" w:rsidR="00DD5C49">
              <w:t xml:space="preserve"> IV Infusion</w:t>
            </w:r>
            <w:bookmarkEnd w:id="210"/>
            <w:bookmarkEnd w:id="211"/>
            <w:r w:rsidRPr="00E25790">
              <w:fldChar w:fldCharType="begin"/>
            </w:r>
            <w:r w:rsidRPr="00E25790">
              <w:instrText>tc "Dopamine" \l 0</w:instrText>
            </w:r>
            <w:r w:rsidRPr="00E25790">
              <w:fldChar w:fldCharType="end"/>
            </w:r>
          </w:p>
        </w:tc>
      </w:tr>
      <w:tr w:rsidRPr="00E25790" w:rsidR="00115F48" w:rsidTr="00EC6FC6" w14:paraId="01B09188"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6D14284F" w14:textId="271F3377">
            <w:r w:rsidRPr="00E25790">
              <w:t>Revision Date</w:t>
            </w:r>
            <w:r w:rsidRPr="00E25790">
              <w:rPr>
                <w:b/>
              </w:rPr>
              <w:t xml:space="preserve"> : </w:t>
            </w:r>
            <w:r w:rsidR="00D81BC4">
              <w:rPr>
                <w:b/>
              </w:rPr>
              <w:t>18</w:t>
            </w:r>
            <w:r w:rsidR="00514536">
              <w:rPr>
                <w:b/>
              </w:rPr>
              <w:t>-</w:t>
            </w:r>
            <w:r w:rsidR="00D81BC4">
              <w:rPr>
                <w:b/>
              </w:rPr>
              <w:t>6</w:t>
            </w:r>
            <w:r w:rsidR="00514536">
              <w:rPr>
                <w:b/>
              </w:rPr>
              <w:t>-</w:t>
            </w:r>
            <w:r w:rsidR="009A15EA">
              <w:rPr>
                <w:b/>
              </w:rPr>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95B614D" w14:textId="77777777">
            <w:r w:rsidRPr="00E25790">
              <w:t xml:space="preserve">Approved : </w:t>
            </w:r>
            <w:r w:rsidRPr="00E25790" w:rsidR="00DD5C49">
              <w:t>TC, KOH</w:t>
            </w:r>
          </w:p>
        </w:tc>
      </w:tr>
    </w:tbl>
    <w:p w:rsidR="00115F48" w:rsidP="006F0321" w:rsidRDefault="00115F48" w14:paraId="6DCBB79D"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C211E9" w:rsidR="00D81BC4" w:rsidTr="00D81BC4" w14:paraId="0E83DDF6" w14:textId="77777777">
        <w:trPr>
          <w:trHeight w:val="70"/>
        </w:trPr>
        <w:tc>
          <w:tcPr>
            <w:tcW w:w="1730" w:type="dxa"/>
          </w:tcPr>
          <w:p w:rsidRPr="00C211E9" w:rsidR="00D81BC4" w:rsidP="00131848" w:rsidRDefault="00D81BC4" w14:paraId="62AF9740" w14:textId="77777777">
            <w:pPr>
              <w:pStyle w:val="BodyText"/>
              <w:tabs>
                <w:tab w:val="center" w:pos="1476"/>
              </w:tabs>
              <w:rPr>
                <w:rFonts w:asciiTheme="minorHAnsi" w:hAnsiTheme="minorHAnsi" w:cstheme="minorHAnsi"/>
                <w:b/>
                <w:sz w:val="20"/>
              </w:rPr>
            </w:pPr>
            <w:r w:rsidRPr="00C211E9">
              <w:rPr>
                <w:rFonts w:asciiTheme="minorHAnsi" w:hAnsiTheme="minorHAnsi" w:cstheme="minorHAnsi"/>
                <w:b/>
                <w:sz w:val="20"/>
              </w:rPr>
              <w:t>Alert</w:t>
            </w:r>
          </w:p>
        </w:tc>
        <w:tc>
          <w:tcPr>
            <w:tcW w:w="7513" w:type="dxa"/>
          </w:tcPr>
          <w:p w:rsidRPr="00C211E9" w:rsidR="00D81BC4" w:rsidP="00131848" w:rsidRDefault="00D81BC4" w14:paraId="054A4D4B" w14:textId="77777777">
            <w:pPr>
              <w:pStyle w:val="BodyText"/>
              <w:rPr>
                <w:rFonts w:asciiTheme="minorHAnsi" w:hAnsiTheme="minorHAnsi" w:cstheme="minorHAnsi"/>
                <w:sz w:val="20"/>
              </w:rPr>
            </w:pPr>
            <w:r w:rsidRPr="00C211E9">
              <w:rPr>
                <w:rFonts w:asciiTheme="minorHAnsi" w:hAnsiTheme="minorHAnsi" w:cstheme="minorHAnsi"/>
                <w:sz w:val="20"/>
              </w:rPr>
              <w:t>Ensure dopamine has a "dedicated" line to avoid accidental bolus. Do not use as a side line with maintenance fluids.</w:t>
            </w:r>
          </w:p>
        </w:tc>
      </w:tr>
      <w:tr w:rsidRPr="00C211E9" w:rsidR="00D81BC4" w:rsidTr="00D81BC4" w14:paraId="77072460" w14:textId="77777777">
        <w:trPr>
          <w:trHeight w:val="72"/>
        </w:trPr>
        <w:tc>
          <w:tcPr>
            <w:tcW w:w="1730" w:type="dxa"/>
          </w:tcPr>
          <w:p w:rsidRPr="00C211E9" w:rsidR="00D81BC4" w:rsidP="00131848" w:rsidRDefault="00D81BC4" w14:paraId="73E6E42E" w14:textId="77777777">
            <w:pPr>
              <w:pStyle w:val="BodyText"/>
              <w:rPr>
                <w:rFonts w:asciiTheme="minorHAnsi" w:hAnsiTheme="minorHAnsi" w:cstheme="minorHAnsi"/>
                <w:sz w:val="20"/>
              </w:rPr>
            </w:pPr>
            <w:r w:rsidRPr="00C211E9">
              <w:rPr>
                <w:rFonts w:asciiTheme="minorHAnsi" w:hAnsiTheme="minorHAnsi" w:cstheme="minorHAnsi"/>
                <w:b/>
                <w:bCs/>
                <w:sz w:val="20"/>
              </w:rPr>
              <w:t>Indication</w:t>
            </w:r>
          </w:p>
        </w:tc>
        <w:tc>
          <w:tcPr>
            <w:tcW w:w="7513" w:type="dxa"/>
          </w:tcPr>
          <w:p w:rsidRPr="00C211E9" w:rsidR="00D81BC4" w:rsidP="00131848" w:rsidRDefault="00D81BC4" w14:paraId="7BCCB34A" w14:textId="77777777">
            <w:pPr>
              <w:rPr>
                <w:rFonts w:asciiTheme="minorHAnsi" w:hAnsiTheme="minorHAnsi" w:cstheme="minorHAnsi"/>
                <w:sz w:val="20"/>
              </w:rPr>
            </w:pPr>
            <w:r w:rsidRPr="00C211E9">
              <w:rPr>
                <w:rFonts w:asciiTheme="minorHAnsi" w:hAnsiTheme="minorHAnsi" w:cstheme="minorHAnsi"/>
                <w:sz w:val="20"/>
              </w:rPr>
              <w:t>Treatment of hypotension. May also be used to improve renal perfusion.</w:t>
            </w:r>
          </w:p>
        </w:tc>
      </w:tr>
      <w:tr w:rsidRPr="00C211E9" w:rsidR="00D81BC4" w:rsidTr="00D81BC4" w14:paraId="10479CD4" w14:textId="77777777">
        <w:trPr>
          <w:trHeight w:val="70"/>
        </w:trPr>
        <w:tc>
          <w:tcPr>
            <w:tcW w:w="1730" w:type="dxa"/>
          </w:tcPr>
          <w:p w:rsidRPr="00C211E9" w:rsidR="00D81BC4" w:rsidP="00131848" w:rsidRDefault="00D81BC4" w14:paraId="680B78E0" w14:textId="77777777">
            <w:pPr>
              <w:pStyle w:val="BodyText"/>
              <w:rPr>
                <w:rFonts w:asciiTheme="minorHAnsi" w:hAnsiTheme="minorHAnsi" w:cstheme="minorHAnsi"/>
                <w:b/>
                <w:bCs/>
                <w:sz w:val="20"/>
              </w:rPr>
            </w:pPr>
            <w:r w:rsidRPr="00C211E9">
              <w:rPr>
                <w:rFonts w:asciiTheme="minorHAnsi" w:hAnsiTheme="minorHAnsi" w:cstheme="minorHAnsi"/>
                <w:b/>
                <w:bCs/>
                <w:sz w:val="20"/>
              </w:rPr>
              <w:t>Action</w:t>
            </w:r>
          </w:p>
        </w:tc>
        <w:tc>
          <w:tcPr>
            <w:tcW w:w="7513" w:type="dxa"/>
          </w:tcPr>
          <w:p w:rsidRPr="00C211E9" w:rsidR="00D81BC4" w:rsidP="00131848" w:rsidRDefault="00D81BC4" w14:paraId="1B2908E9" w14:textId="77777777">
            <w:pPr>
              <w:rPr>
                <w:rFonts w:asciiTheme="minorHAnsi" w:hAnsiTheme="minorHAnsi" w:cstheme="minorHAnsi"/>
                <w:sz w:val="20"/>
              </w:rPr>
            </w:pPr>
            <w:r w:rsidRPr="00C211E9">
              <w:rPr>
                <w:rFonts w:asciiTheme="minorHAnsi" w:hAnsiTheme="minorHAnsi" w:cstheme="minorHAnsi"/>
                <w:sz w:val="20"/>
              </w:rPr>
              <w:t>Catecholamine with alpha and beta adrenergic, dopaminergic and serotoninergic actions</w:t>
            </w:r>
            <w:r w:rsidRPr="00C211E9">
              <w:rPr>
                <w:rFonts w:asciiTheme="minorHAnsi" w:hAnsiTheme="minorHAnsi" w:cstheme="minorHAnsi"/>
                <w:sz w:val="20"/>
              </w:rPr>
              <w:br/>
            </w:r>
            <w:r w:rsidRPr="00C211E9">
              <w:rPr>
                <w:rFonts w:asciiTheme="minorHAnsi" w:hAnsiTheme="minorHAnsi" w:cstheme="minorHAnsi"/>
                <w:sz w:val="20"/>
              </w:rPr>
              <w:t>Haemodynamic effects are dose dependent:</w:t>
            </w:r>
            <w:r w:rsidRPr="00C211E9">
              <w:rPr>
                <w:rFonts w:asciiTheme="minorHAnsi" w:hAnsiTheme="minorHAnsi" w:cstheme="minorHAnsi"/>
                <w:sz w:val="20"/>
                <w:vertAlign w:val="superscript"/>
              </w:rPr>
              <w:t>1</w:t>
            </w:r>
            <w:r w:rsidRPr="00C211E9">
              <w:rPr>
                <w:rFonts w:asciiTheme="minorHAnsi" w:hAnsiTheme="minorHAnsi" w:cstheme="minorHAnsi"/>
                <w:sz w:val="20"/>
              </w:rPr>
              <w:br/>
            </w:r>
            <w:r w:rsidRPr="00C211E9">
              <w:rPr>
                <w:rFonts w:asciiTheme="minorHAnsi" w:hAnsiTheme="minorHAnsi" w:cstheme="minorHAnsi"/>
                <w:sz w:val="20"/>
              </w:rPr>
              <w:t>•Low dose 1 to 5 microgram/kg/min – increases renal blood flow and glomerular filtration rate.</w:t>
            </w:r>
            <w:r w:rsidRPr="00C211E9">
              <w:rPr>
                <w:rFonts w:asciiTheme="minorHAnsi" w:hAnsiTheme="minorHAnsi" w:cstheme="minorHAnsi"/>
                <w:sz w:val="20"/>
              </w:rPr>
              <w:br/>
            </w:r>
            <w:r w:rsidRPr="00C211E9">
              <w:rPr>
                <w:rFonts w:asciiTheme="minorHAnsi" w:hAnsiTheme="minorHAnsi" w:cstheme="minorHAnsi"/>
                <w:sz w:val="20"/>
              </w:rPr>
              <w:t>•Intermediate dose 5 to 10 microgram/kg/min – increases cardiac output and blood pressure. Increases renal blood flow.</w:t>
            </w:r>
            <w:r w:rsidRPr="00C211E9">
              <w:rPr>
                <w:rFonts w:asciiTheme="minorHAnsi" w:hAnsiTheme="minorHAnsi" w:cstheme="minorHAnsi"/>
                <w:sz w:val="20"/>
              </w:rPr>
              <w:br/>
            </w:r>
            <w:r w:rsidRPr="00C211E9">
              <w:rPr>
                <w:rFonts w:asciiTheme="minorHAnsi" w:hAnsiTheme="minorHAnsi" w:cstheme="minorHAnsi"/>
                <w:sz w:val="20"/>
              </w:rPr>
              <w:t>•High dose 10 to 20 microgram/kg/min – systemic vasoconstrictor effect outweighs all other effects</w:t>
            </w:r>
            <w:r w:rsidRPr="00C211E9">
              <w:rPr>
                <w:rFonts w:asciiTheme="minorHAnsi" w:hAnsiTheme="minorHAnsi" w:cstheme="minorHAnsi"/>
                <w:sz w:val="20"/>
                <w:vertAlign w:val="superscript"/>
              </w:rPr>
              <w:t>2</w:t>
            </w:r>
            <w:r w:rsidRPr="00C211E9">
              <w:rPr>
                <w:rFonts w:asciiTheme="minorHAnsi" w:hAnsiTheme="minorHAnsi" w:cstheme="minorHAnsi"/>
                <w:sz w:val="20"/>
              </w:rPr>
              <w:t>. Reduces renal blood flow</w:t>
            </w:r>
            <w:r w:rsidRPr="00C211E9">
              <w:rPr>
                <w:rFonts w:asciiTheme="minorHAnsi" w:hAnsiTheme="minorHAnsi" w:cstheme="minorHAnsi"/>
                <w:sz w:val="20"/>
                <w:vertAlign w:val="superscript"/>
              </w:rPr>
              <w:t>1</w:t>
            </w:r>
            <w:r w:rsidRPr="00C211E9">
              <w:rPr>
                <w:rFonts w:asciiTheme="minorHAnsi" w:hAnsiTheme="minorHAnsi" w:cstheme="minorHAnsi"/>
                <w:sz w:val="20"/>
              </w:rPr>
              <w:t>.</w:t>
            </w:r>
          </w:p>
        </w:tc>
      </w:tr>
      <w:tr w:rsidRPr="00C211E9" w:rsidR="00D81BC4" w:rsidTr="00D81BC4" w14:paraId="6F3AFFA4" w14:textId="77777777">
        <w:trPr>
          <w:trHeight w:val="266"/>
        </w:trPr>
        <w:tc>
          <w:tcPr>
            <w:tcW w:w="1730" w:type="dxa"/>
          </w:tcPr>
          <w:p w:rsidRPr="00C211E9" w:rsidR="00D81BC4" w:rsidP="00131848" w:rsidRDefault="00D81BC4" w14:paraId="26581DC0" w14:textId="77777777">
            <w:pPr>
              <w:pStyle w:val="BodyText"/>
              <w:rPr>
                <w:rFonts w:asciiTheme="minorHAnsi" w:hAnsiTheme="minorHAnsi" w:cstheme="minorHAnsi"/>
                <w:sz w:val="20"/>
              </w:rPr>
            </w:pPr>
            <w:r w:rsidRPr="00C211E9">
              <w:rPr>
                <w:rFonts w:asciiTheme="minorHAnsi" w:hAnsiTheme="minorHAnsi" w:cstheme="minorHAnsi"/>
                <w:b/>
                <w:bCs/>
                <w:sz w:val="20"/>
              </w:rPr>
              <w:t>Drug type</w:t>
            </w:r>
          </w:p>
        </w:tc>
        <w:tc>
          <w:tcPr>
            <w:tcW w:w="7513" w:type="dxa"/>
          </w:tcPr>
          <w:p w:rsidRPr="00C211E9" w:rsidR="00D81BC4" w:rsidP="00131848" w:rsidRDefault="00D81BC4" w14:paraId="1D7A1316" w14:textId="77777777">
            <w:pPr>
              <w:pStyle w:val="BodyText"/>
              <w:rPr>
                <w:rFonts w:asciiTheme="minorHAnsi" w:hAnsiTheme="minorHAnsi" w:cstheme="minorHAnsi"/>
                <w:sz w:val="20"/>
              </w:rPr>
            </w:pPr>
            <w:r w:rsidRPr="00C211E9">
              <w:rPr>
                <w:rFonts w:asciiTheme="minorHAnsi" w:hAnsiTheme="minorHAnsi" w:cstheme="minorHAnsi"/>
                <w:sz w:val="20"/>
              </w:rPr>
              <w:t>Inotropic vasopressor.</w:t>
            </w:r>
          </w:p>
        </w:tc>
      </w:tr>
      <w:tr w:rsidRPr="00C211E9" w:rsidR="00D81BC4" w:rsidTr="00D81BC4" w14:paraId="6F787FD0" w14:textId="77777777">
        <w:trPr>
          <w:trHeight w:val="114"/>
        </w:trPr>
        <w:tc>
          <w:tcPr>
            <w:tcW w:w="1730" w:type="dxa"/>
          </w:tcPr>
          <w:p w:rsidRPr="00C211E9" w:rsidR="00D81BC4" w:rsidP="00131848" w:rsidRDefault="00D81BC4" w14:paraId="456E2FD0"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Trade name </w:t>
            </w:r>
          </w:p>
        </w:tc>
        <w:tc>
          <w:tcPr>
            <w:tcW w:w="7513" w:type="dxa"/>
          </w:tcPr>
          <w:p w:rsidRPr="00C211E9" w:rsidR="00D81BC4" w:rsidP="00131848" w:rsidRDefault="00D81BC4" w14:paraId="2F2D1482" w14:textId="77777777">
            <w:pPr>
              <w:pStyle w:val="BodyText"/>
              <w:rPr>
                <w:rFonts w:asciiTheme="minorHAnsi" w:hAnsiTheme="minorHAnsi" w:cstheme="minorHAnsi"/>
                <w:sz w:val="20"/>
              </w:rPr>
            </w:pPr>
            <w:r w:rsidRPr="00C211E9">
              <w:rPr>
                <w:rFonts w:asciiTheme="minorHAnsi" w:hAnsiTheme="minorHAnsi" w:cstheme="minorHAnsi"/>
                <w:sz w:val="20"/>
              </w:rPr>
              <w:t>Dopamine concentrate DBL</w:t>
            </w:r>
          </w:p>
        </w:tc>
      </w:tr>
      <w:tr w:rsidRPr="00C211E9" w:rsidR="00D81BC4" w:rsidTr="00D81BC4" w14:paraId="58ADCC8B" w14:textId="77777777">
        <w:trPr>
          <w:trHeight w:val="70"/>
        </w:trPr>
        <w:tc>
          <w:tcPr>
            <w:tcW w:w="1730" w:type="dxa"/>
          </w:tcPr>
          <w:p w:rsidRPr="00C211E9" w:rsidR="00D81BC4" w:rsidP="00131848" w:rsidRDefault="00D81BC4" w14:paraId="7CCC3E6D"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Presentation </w:t>
            </w:r>
          </w:p>
        </w:tc>
        <w:tc>
          <w:tcPr>
            <w:tcW w:w="7513" w:type="dxa"/>
          </w:tcPr>
          <w:p w:rsidRPr="00C211E9" w:rsidR="00D81BC4" w:rsidP="00131848" w:rsidRDefault="00D81BC4" w14:paraId="4283E325" w14:textId="77777777">
            <w:pPr>
              <w:pStyle w:val="BodyText"/>
              <w:ind w:left="34"/>
              <w:rPr>
                <w:rFonts w:asciiTheme="minorHAnsi" w:hAnsiTheme="minorHAnsi" w:cstheme="minorHAnsi"/>
                <w:sz w:val="20"/>
              </w:rPr>
            </w:pPr>
            <w:r w:rsidRPr="00C211E9">
              <w:rPr>
                <w:rFonts w:asciiTheme="minorHAnsi" w:hAnsiTheme="minorHAnsi" w:cstheme="minorHAnsi"/>
                <w:sz w:val="20"/>
              </w:rPr>
              <w:t>200 mg/5 mL</w:t>
            </w:r>
          </w:p>
        </w:tc>
      </w:tr>
      <w:tr w:rsidRPr="00C211E9" w:rsidR="00D81BC4" w:rsidTr="00D81BC4" w14:paraId="2068FE6D" w14:textId="77777777">
        <w:trPr>
          <w:trHeight w:val="70"/>
        </w:trPr>
        <w:tc>
          <w:tcPr>
            <w:tcW w:w="1730" w:type="dxa"/>
          </w:tcPr>
          <w:p w:rsidRPr="00C211E9" w:rsidR="00D81BC4" w:rsidP="00131848" w:rsidRDefault="00D81BC4" w14:paraId="1E8CE2FD"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Dose </w:t>
            </w:r>
          </w:p>
        </w:tc>
        <w:tc>
          <w:tcPr>
            <w:tcW w:w="7513" w:type="dxa"/>
          </w:tcPr>
          <w:p w:rsidRPr="00C211E9" w:rsidR="00D81BC4" w:rsidP="00131848" w:rsidRDefault="00D81BC4" w14:paraId="1DECCC5E" w14:textId="77777777">
            <w:pPr>
              <w:pStyle w:val="BodyText"/>
              <w:rPr>
                <w:rFonts w:asciiTheme="minorHAnsi" w:hAnsiTheme="minorHAnsi" w:cstheme="minorHAnsi"/>
                <w:sz w:val="20"/>
              </w:rPr>
            </w:pPr>
            <w:r w:rsidRPr="00C211E9">
              <w:rPr>
                <w:rFonts w:asciiTheme="minorHAnsi" w:hAnsiTheme="minorHAnsi" w:cstheme="minorHAnsi"/>
                <w:sz w:val="20"/>
              </w:rPr>
              <w:t>1–20 microgram/kg/minute</w:t>
            </w:r>
          </w:p>
        </w:tc>
      </w:tr>
      <w:tr w:rsidRPr="00C211E9" w:rsidR="00D81BC4" w:rsidTr="00D81BC4" w14:paraId="722A6AD7" w14:textId="77777777">
        <w:trPr>
          <w:trHeight w:val="109"/>
        </w:trPr>
        <w:tc>
          <w:tcPr>
            <w:tcW w:w="1730" w:type="dxa"/>
          </w:tcPr>
          <w:p w:rsidRPr="00C211E9" w:rsidR="00D81BC4" w:rsidP="00131848" w:rsidRDefault="00D81BC4" w14:paraId="76F571FD" w14:textId="77777777">
            <w:pPr>
              <w:pStyle w:val="BodyText"/>
              <w:rPr>
                <w:rFonts w:asciiTheme="minorHAnsi" w:hAnsiTheme="minorHAnsi" w:cstheme="minorHAnsi"/>
                <w:b/>
                <w:sz w:val="20"/>
              </w:rPr>
            </w:pPr>
            <w:r w:rsidRPr="00C211E9">
              <w:rPr>
                <w:rFonts w:asciiTheme="minorHAnsi" w:hAnsiTheme="minorHAnsi" w:cstheme="minorHAnsi"/>
                <w:b/>
                <w:sz w:val="20"/>
              </w:rPr>
              <w:t>Dose adjustment</w:t>
            </w:r>
          </w:p>
        </w:tc>
        <w:tc>
          <w:tcPr>
            <w:tcW w:w="7513" w:type="dxa"/>
          </w:tcPr>
          <w:p w:rsidRPr="00C211E9" w:rsidR="00D81BC4" w:rsidP="00131848" w:rsidRDefault="00D81BC4" w14:paraId="4122E14F" w14:textId="77777777">
            <w:pPr>
              <w:pStyle w:val="BodyText"/>
              <w:rPr>
                <w:rFonts w:asciiTheme="minorHAnsi" w:hAnsiTheme="minorHAnsi" w:cstheme="minorHAnsi"/>
                <w:sz w:val="20"/>
              </w:rPr>
            </w:pPr>
          </w:p>
        </w:tc>
      </w:tr>
      <w:tr w:rsidRPr="00C211E9" w:rsidR="00D81BC4" w:rsidTr="00D81BC4" w14:paraId="009DA7BE" w14:textId="77777777">
        <w:trPr>
          <w:trHeight w:val="113"/>
        </w:trPr>
        <w:tc>
          <w:tcPr>
            <w:tcW w:w="1730" w:type="dxa"/>
          </w:tcPr>
          <w:p w:rsidRPr="00C211E9" w:rsidR="00D81BC4" w:rsidP="00131848" w:rsidRDefault="00D81BC4" w14:paraId="60519D75" w14:textId="77777777">
            <w:pPr>
              <w:pStyle w:val="BodyText"/>
              <w:rPr>
                <w:rFonts w:asciiTheme="minorHAnsi" w:hAnsiTheme="minorHAnsi" w:cstheme="minorHAnsi"/>
                <w:b/>
                <w:sz w:val="20"/>
              </w:rPr>
            </w:pPr>
            <w:r w:rsidRPr="00C211E9">
              <w:rPr>
                <w:rFonts w:asciiTheme="minorHAnsi" w:hAnsiTheme="minorHAnsi" w:cstheme="minorHAnsi"/>
                <w:b/>
                <w:sz w:val="20"/>
              </w:rPr>
              <w:t>Maximum dose</w:t>
            </w:r>
          </w:p>
        </w:tc>
        <w:tc>
          <w:tcPr>
            <w:tcW w:w="7513" w:type="dxa"/>
          </w:tcPr>
          <w:p w:rsidRPr="00C211E9" w:rsidR="00D81BC4" w:rsidP="00131848" w:rsidRDefault="00D81BC4" w14:paraId="36128C50" w14:textId="77777777">
            <w:pPr>
              <w:pStyle w:val="BodyText"/>
              <w:rPr>
                <w:rFonts w:asciiTheme="minorHAnsi" w:hAnsiTheme="minorHAnsi" w:cstheme="minorHAnsi"/>
                <w:sz w:val="20"/>
              </w:rPr>
            </w:pPr>
            <w:r w:rsidRPr="00C211E9">
              <w:rPr>
                <w:rFonts w:asciiTheme="minorHAnsi" w:hAnsiTheme="minorHAnsi" w:cstheme="minorHAnsi"/>
                <w:sz w:val="20"/>
              </w:rPr>
              <w:t>Use doses 10–20 microgram/kg/minute with caution.</w:t>
            </w:r>
          </w:p>
        </w:tc>
      </w:tr>
      <w:tr w:rsidRPr="00C211E9" w:rsidR="00D81BC4" w:rsidTr="00D81BC4" w14:paraId="6A008F5D" w14:textId="77777777">
        <w:trPr>
          <w:trHeight w:val="144"/>
        </w:trPr>
        <w:tc>
          <w:tcPr>
            <w:tcW w:w="1730" w:type="dxa"/>
          </w:tcPr>
          <w:p w:rsidRPr="00C211E9" w:rsidR="00D81BC4" w:rsidP="00131848" w:rsidRDefault="00D81BC4" w14:paraId="3B38CCDC" w14:textId="77777777">
            <w:pPr>
              <w:pStyle w:val="BodyText"/>
              <w:rPr>
                <w:rFonts w:asciiTheme="minorHAnsi" w:hAnsiTheme="minorHAnsi" w:cstheme="minorHAnsi"/>
                <w:b/>
                <w:bCs/>
                <w:sz w:val="20"/>
              </w:rPr>
            </w:pPr>
            <w:r w:rsidRPr="00C211E9">
              <w:rPr>
                <w:rFonts w:asciiTheme="minorHAnsi" w:hAnsiTheme="minorHAnsi" w:cstheme="minorHAnsi"/>
                <w:b/>
                <w:sz w:val="20"/>
              </w:rPr>
              <w:t>Total cumulative dose</w:t>
            </w:r>
          </w:p>
        </w:tc>
        <w:tc>
          <w:tcPr>
            <w:tcW w:w="7513" w:type="dxa"/>
          </w:tcPr>
          <w:p w:rsidRPr="00C211E9" w:rsidR="00D81BC4" w:rsidP="00131848" w:rsidRDefault="00D81BC4" w14:paraId="0D17ED8A" w14:textId="77777777">
            <w:pPr>
              <w:pStyle w:val="BodyText"/>
              <w:rPr>
                <w:rFonts w:asciiTheme="minorHAnsi" w:hAnsiTheme="minorHAnsi" w:cstheme="minorHAnsi"/>
                <w:b/>
                <w:sz w:val="20"/>
              </w:rPr>
            </w:pPr>
          </w:p>
        </w:tc>
      </w:tr>
      <w:tr w:rsidRPr="00C211E9" w:rsidR="00D81BC4" w:rsidTr="00D81BC4" w14:paraId="382048D0" w14:textId="77777777">
        <w:trPr>
          <w:trHeight w:val="294"/>
        </w:trPr>
        <w:tc>
          <w:tcPr>
            <w:tcW w:w="1730" w:type="dxa"/>
          </w:tcPr>
          <w:p w:rsidRPr="00C211E9" w:rsidR="00D81BC4" w:rsidP="00131848" w:rsidRDefault="00D81BC4" w14:paraId="3288C086" w14:textId="77777777">
            <w:pPr>
              <w:pStyle w:val="BodyText"/>
              <w:rPr>
                <w:rFonts w:asciiTheme="minorHAnsi" w:hAnsiTheme="minorHAnsi" w:cstheme="minorHAnsi"/>
                <w:sz w:val="20"/>
              </w:rPr>
            </w:pPr>
            <w:r w:rsidRPr="00C211E9">
              <w:rPr>
                <w:rFonts w:asciiTheme="minorHAnsi" w:hAnsiTheme="minorHAnsi" w:cstheme="minorHAnsi"/>
                <w:b/>
                <w:bCs/>
                <w:sz w:val="20"/>
              </w:rPr>
              <w:t xml:space="preserve">Route </w:t>
            </w:r>
          </w:p>
        </w:tc>
        <w:tc>
          <w:tcPr>
            <w:tcW w:w="7513" w:type="dxa"/>
          </w:tcPr>
          <w:p w:rsidRPr="00C211E9" w:rsidR="00D81BC4" w:rsidP="00131848" w:rsidRDefault="00D81BC4" w14:paraId="434E9112" w14:textId="77777777">
            <w:pPr>
              <w:pStyle w:val="BodyText"/>
              <w:rPr>
                <w:rFonts w:asciiTheme="minorHAnsi" w:hAnsiTheme="minorHAnsi" w:cstheme="minorHAnsi"/>
                <w:sz w:val="20"/>
              </w:rPr>
            </w:pPr>
            <w:r w:rsidRPr="00C211E9">
              <w:rPr>
                <w:rFonts w:asciiTheme="minorHAnsi" w:hAnsiTheme="minorHAnsi" w:cstheme="minorHAnsi"/>
                <w:sz w:val="20"/>
              </w:rPr>
              <w:t>Continuous IV infusion.</w:t>
            </w:r>
          </w:p>
        </w:tc>
      </w:tr>
      <w:tr w:rsidRPr="00C211E9" w:rsidR="00D81BC4" w:rsidTr="00D81BC4" w14:paraId="673A668F" w14:textId="77777777">
        <w:trPr>
          <w:trHeight w:val="93"/>
        </w:trPr>
        <w:tc>
          <w:tcPr>
            <w:tcW w:w="1730" w:type="dxa"/>
          </w:tcPr>
          <w:p w:rsidRPr="00C211E9" w:rsidR="00D81BC4" w:rsidP="00131848" w:rsidRDefault="00D81BC4" w14:paraId="49963545" w14:textId="77777777">
            <w:pPr>
              <w:pStyle w:val="BodyText"/>
              <w:rPr>
                <w:rFonts w:asciiTheme="minorHAnsi" w:hAnsiTheme="minorHAnsi" w:cstheme="minorHAnsi"/>
                <w:b/>
                <w:bCs/>
                <w:sz w:val="20"/>
                <w:highlight w:val="cyan"/>
              </w:rPr>
            </w:pPr>
            <w:r w:rsidRPr="00C211E9">
              <w:rPr>
                <w:rFonts w:asciiTheme="minorHAnsi" w:hAnsiTheme="minorHAnsi" w:cstheme="minorHAnsi"/>
                <w:b/>
                <w:bCs/>
                <w:sz w:val="20"/>
              </w:rPr>
              <w:t>Preparation</w:t>
            </w:r>
            <w:r w:rsidRPr="00C211E9">
              <w:rPr>
                <w:rFonts w:asciiTheme="minorHAnsi" w:hAnsiTheme="minorHAnsi" w:cstheme="minorHAnsi"/>
                <w:b/>
                <w:bCs/>
                <w:sz w:val="20"/>
                <w:highlight w:val="cyan"/>
              </w:rPr>
              <w:t xml:space="preserve"> </w:t>
            </w:r>
          </w:p>
        </w:tc>
        <w:tc>
          <w:tcPr>
            <w:tcW w:w="7513" w:type="dxa"/>
          </w:tcPr>
          <w:p w:rsidRPr="00C211E9" w:rsidR="00D81BC4" w:rsidP="00131848" w:rsidRDefault="00D81BC4" w14:paraId="22866C83" w14:textId="77777777">
            <w:pPr>
              <w:pStyle w:val="BodyText"/>
              <w:rPr>
                <w:rFonts w:asciiTheme="minorHAnsi" w:hAnsiTheme="minorHAnsi" w:cstheme="minorHAnsi"/>
                <w:b/>
                <w:sz w:val="20"/>
              </w:rPr>
            </w:pPr>
            <w:r w:rsidRPr="00C211E9">
              <w:rPr>
                <w:rFonts w:asciiTheme="minorHAnsi" w:hAnsiTheme="minorHAnsi" w:cstheme="minorHAnsi"/>
                <w:b/>
                <w:sz w:val="20"/>
              </w:rPr>
              <w:t>SINGLE STRENGTH continuous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C211E9" w:rsidR="00D81BC4" w:rsidTr="00131848" w14:paraId="608C2688" w14:textId="77777777">
              <w:tc>
                <w:tcPr>
                  <w:tcW w:w="3715" w:type="dxa"/>
                  <w:shd w:val="clear" w:color="auto" w:fill="auto"/>
                </w:tcPr>
                <w:p w:rsidRPr="00C211E9" w:rsidR="00D81BC4" w:rsidP="00131848" w:rsidRDefault="00D81BC4" w14:paraId="19FDAC44" w14:textId="77777777">
                  <w:pPr>
                    <w:pStyle w:val="BodyText"/>
                    <w:rPr>
                      <w:rFonts w:asciiTheme="minorHAnsi" w:hAnsiTheme="minorHAnsi" w:cstheme="minorHAnsi"/>
                      <w:b/>
                      <w:sz w:val="20"/>
                    </w:rPr>
                  </w:pPr>
                  <w:r w:rsidRPr="00C211E9">
                    <w:rPr>
                      <w:rFonts w:asciiTheme="minorHAnsi" w:hAnsiTheme="minorHAnsi" w:cstheme="minorHAnsi"/>
                      <w:b/>
                      <w:sz w:val="20"/>
                    </w:rPr>
                    <w:t>Infusion strength</w:t>
                  </w:r>
                </w:p>
              </w:tc>
              <w:tc>
                <w:tcPr>
                  <w:tcW w:w="4276" w:type="dxa"/>
                  <w:shd w:val="clear" w:color="auto" w:fill="auto"/>
                </w:tcPr>
                <w:p w:rsidRPr="00C211E9" w:rsidR="00D81BC4" w:rsidP="00131848" w:rsidRDefault="00D81BC4" w14:paraId="33C67BE7" w14:textId="77777777">
                  <w:pPr>
                    <w:pStyle w:val="BodyText"/>
                    <w:rPr>
                      <w:rFonts w:asciiTheme="minorHAnsi" w:hAnsiTheme="minorHAnsi" w:cstheme="minorHAnsi"/>
                      <w:b/>
                      <w:sz w:val="20"/>
                    </w:rPr>
                  </w:pPr>
                  <w:r w:rsidRPr="00C211E9">
                    <w:rPr>
                      <w:rFonts w:asciiTheme="minorHAnsi" w:hAnsiTheme="minorHAnsi" w:cstheme="minorHAnsi"/>
                      <w:b/>
                      <w:sz w:val="20"/>
                    </w:rPr>
                    <w:t>Prescribed amount</w:t>
                  </w:r>
                </w:p>
              </w:tc>
            </w:tr>
            <w:tr w:rsidRPr="00C211E9" w:rsidR="00D81BC4" w:rsidTr="00131848" w14:paraId="37329CEE" w14:textId="77777777">
              <w:tc>
                <w:tcPr>
                  <w:tcW w:w="3715" w:type="dxa"/>
                  <w:shd w:val="clear" w:color="auto" w:fill="auto"/>
                </w:tcPr>
                <w:p w:rsidRPr="00C211E9" w:rsidR="00D81BC4" w:rsidP="00131848" w:rsidRDefault="00D81BC4" w14:paraId="7BAF1288" w14:textId="77777777">
                  <w:pPr>
                    <w:pStyle w:val="BodyText"/>
                    <w:rPr>
                      <w:rFonts w:asciiTheme="minorHAnsi" w:hAnsiTheme="minorHAnsi" w:cstheme="minorHAnsi"/>
                      <w:sz w:val="20"/>
                    </w:rPr>
                  </w:pPr>
                  <w:r w:rsidRPr="00C211E9">
                    <w:rPr>
                      <w:rFonts w:asciiTheme="minorHAnsi" w:hAnsiTheme="minorHAnsi" w:cstheme="minorHAnsi"/>
                      <w:sz w:val="20"/>
                    </w:rPr>
                    <w:t>1 mL/hour = 10 microgram/kg/minute</w:t>
                  </w:r>
                </w:p>
              </w:tc>
              <w:tc>
                <w:tcPr>
                  <w:tcW w:w="4276" w:type="dxa"/>
                  <w:shd w:val="clear" w:color="auto" w:fill="auto"/>
                </w:tcPr>
                <w:p w:rsidRPr="00C211E9" w:rsidR="00D81BC4" w:rsidP="00131848" w:rsidRDefault="00D81BC4" w14:paraId="0666F787" w14:textId="77777777">
                  <w:pPr>
                    <w:pStyle w:val="BodyText"/>
                    <w:rPr>
                      <w:rFonts w:asciiTheme="minorHAnsi" w:hAnsiTheme="minorHAnsi" w:cstheme="minorHAnsi"/>
                      <w:sz w:val="20"/>
                    </w:rPr>
                  </w:pPr>
                  <w:r w:rsidRPr="00C211E9">
                    <w:rPr>
                      <w:rFonts w:asciiTheme="minorHAnsi" w:hAnsiTheme="minorHAnsi" w:cstheme="minorHAnsi"/>
                      <w:sz w:val="20"/>
                    </w:rPr>
                    <w:t>30 mg/kg dopamine and make up to 50 mL</w:t>
                  </w:r>
                </w:p>
              </w:tc>
            </w:tr>
          </w:tbl>
          <w:p w:rsidR="00D81BC4" w:rsidP="00131848" w:rsidRDefault="00D81BC4" w14:paraId="2BBB3AB7" w14:textId="77777777">
            <w:pPr>
              <w:pStyle w:val="BodyText"/>
              <w:rPr>
                <w:rFonts w:asciiTheme="minorHAnsi" w:hAnsiTheme="minorHAnsi" w:cstheme="minorHAnsi"/>
                <w:b/>
                <w:sz w:val="20"/>
              </w:rPr>
            </w:pPr>
            <w:r w:rsidRPr="00C211E9">
              <w:rPr>
                <w:rFonts w:asciiTheme="minorHAnsi" w:hAnsiTheme="minorHAnsi" w:cstheme="minorHAnsi"/>
                <w:sz w:val="20"/>
              </w:rPr>
              <w:t>Draw up 0.75 mL/kg (30 mg/kg) of dopamine and add glucose 5%</w:t>
            </w:r>
            <w:r w:rsidRPr="0068101C">
              <w:rPr>
                <w:rFonts w:asciiTheme="minorHAnsi" w:hAnsiTheme="minorHAnsi" w:cstheme="minorHAnsi"/>
                <w:sz w:val="20"/>
                <w:vertAlign w:val="superscript"/>
              </w:rPr>
              <w:t>#</w:t>
            </w:r>
            <w:r w:rsidRPr="00C211E9">
              <w:rPr>
                <w:rFonts w:asciiTheme="minorHAnsi" w:hAnsiTheme="minorHAnsi" w:cstheme="minorHAnsi"/>
                <w:sz w:val="20"/>
              </w:rPr>
              <w:t xml:space="preserve"> to make a final volume of 50 mL. Infusing at a rate of </w:t>
            </w:r>
            <w:r w:rsidRPr="00C211E9">
              <w:rPr>
                <w:rFonts w:asciiTheme="minorHAnsi" w:hAnsiTheme="minorHAnsi" w:cstheme="minorHAnsi"/>
                <w:b/>
                <w:sz w:val="20"/>
              </w:rPr>
              <w:t>1 mL/hour = 10 microgram/kg/minute.</w:t>
            </w:r>
          </w:p>
          <w:p w:rsidRPr="00C211E9" w:rsidR="00D81BC4" w:rsidP="00131848" w:rsidRDefault="00D81BC4" w14:paraId="48C859AB" w14:textId="77777777">
            <w:pPr>
              <w:pStyle w:val="BodyText"/>
              <w:rPr>
                <w:rFonts w:asciiTheme="minorHAnsi" w:hAnsiTheme="minorHAnsi" w:cstheme="minorHAnsi"/>
                <w:sz w:val="20"/>
              </w:rPr>
            </w:pPr>
          </w:p>
          <w:p w:rsidRPr="00C211E9" w:rsidR="00D81BC4" w:rsidP="00131848" w:rsidRDefault="00D81BC4" w14:paraId="4924D122" w14:textId="77777777">
            <w:pPr>
              <w:pStyle w:val="BodyText"/>
              <w:rPr>
                <w:rFonts w:asciiTheme="minorHAnsi" w:hAnsiTheme="minorHAnsi" w:cstheme="minorHAnsi"/>
                <w:b/>
                <w:sz w:val="20"/>
              </w:rPr>
            </w:pPr>
            <w:r w:rsidRPr="00C211E9">
              <w:rPr>
                <w:rFonts w:asciiTheme="minorHAnsi" w:hAnsiTheme="minorHAnsi" w:cstheme="minorHAnsi"/>
                <w:b/>
                <w:sz w:val="20"/>
              </w:rPr>
              <w:t>DOUBLE STRENGTH continuous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C211E9" w:rsidR="00D81BC4" w:rsidTr="00131848" w14:paraId="01FC8C4A" w14:textId="77777777">
              <w:tc>
                <w:tcPr>
                  <w:tcW w:w="3715" w:type="dxa"/>
                  <w:shd w:val="clear" w:color="auto" w:fill="auto"/>
                </w:tcPr>
                <w:p w:rsidRPr="00C211E9" w:rsidR="00D81BC4" w:rsidP="00131848" w:rsidRDefault="00D81BC4" w14:paraId="2477E14A" w14:textId="77777777">
                  <w:pPr>
                    <w:pStyle w:val="BodyText"/>
                    <w:rPr>
                      <w:rFonts w:asciiTheme="minorHAnsi" w:hAnsiTheme="minorHAnsi" w:cstheme="minorHAnsi"/>
                      <w:b/>
                      <w:sz w:val="20"/>
                    </w:rPr>
                  </w:pPr>
                  <w:r w:rsidRPr="00C211E9">
                    <w:rPr>
                      <w:rFonts w:asciiTheme="minorHAnsi" w:hAnsiTheme="minorHAnsi" w:cstheme="minorHAnsi"/>
                      <w:b/>
                      <w:sz w:val="20"/>
                    </w:rPr>
                    <w:t>Infusion strength</w:t>
                  </w:r>
                </w:p>
              </w:tc>
              <w:tc>
                <w:tcPr>
                  <w:tcW w:w="4276" w:type="dxa"/>
                  <w:shd w:val="clear" w:color="auto" w:fill="auto"/>
                </w:tcPr>
                <w:p w:rsidRPr="00C211E9" w:rsidR="00D81BC4" w:rsidP="00131848" w:rsidRDefault="00D81BC4" w14:paraId="260AA8DA" w14:textId="77777777">
                  <w:pPr>
                    <w:pStyle w:val="BodyText"/>
                    <w:rPr>
                      <w:rFonts w:asciiTheme="minorHAnsi" w:hAnsiTheme="minorHAnsi" w:cstheme="minorHAnsi"/>
                      <w:b/>
                      <w:sz w:val="20"/>
                    </w:rPr>
                  </w:pPr>
                  <w:r w:rsidRPr="00C211E9">
                    <w:rPr>
                      <w:rFonts w:asciiTheme="minorHAnsi" w:hAnsiTheme="minorHAnsi" w:cstheme="minorHAnsi"/>
                      <w:b/>
                      <w:sz w:val="20"/>
                    </w:rPr>
                    <w:t>Prescribed amount</w:t>
                  </w:r>
                </w:p>
              </w:tc>
            </w:tr>
            <w:tr w:rsidRPr="00C211E9" w:rsidR="00D81BC4" w:rsidTr="00131848" w14:paraId="37BAF9C1" w14:textId="77777777">
              <w:tc>
                <w:tcPr>
                  <w:tcW w:w="3715" w:type="dxa"/>
                  <w:shd w:val="clear" w:color="auto" w:fill="auto"/>
                </w:tcPr>
                <w:p w:rsidRPr="00C211E9" w:rsidR="00D81BC4" w:rsidP="00131848" w:rsidRDefault="00D81BC4" w14:paraId="509EA53C" w14:textId="77777777">
                  <w:pPr>
                    <w:pStyle w:val="BodyText"/>
                    <w:rPr>
                      <w:rFonts w:asciiTheme="minorHAnsi" w:hAnsiTheme="minorHAnsi" w:cstheme="minorHAnsi"/>
                      <w:sz w:val="20"/>
                    </w:rPr>
                  </w:pPr>
                  <w:r w:rsidRPr="00C211E9">
                    <w:rPr>
                      <w:rFonts w:asciiTheme="minorHAnsi" w:hAnsiTheme="minorHAnsi" w:cstheme="minorHAnsi"/>
                      <w:sz w:val="20"/>
                    </w:rPr>
                    <w:t>1 mL/hour = 20 microgram/kg/minute</w:t>
                  </w:r>
                </w:p>
              </w:tc>
              <w:tc>
                <w:tcPr>
                  <w:tcW w:w="4276" w:type="dxa"/>
                  <w:shd w:val="clear" w:color="auto" w:fill="auto"/>
                </w:tcPr>
                <w:p w:rsidRPr="00C211E9" w:rsidR="00D81BC4" w:rsidP="00131848" w:rsidRDefault="00D81BC4" w14:paraId="7135CB09" w14:textId="77777777">
                  <w:pPr>
                    <w:pStyle w:val="BodyText"/>
                    <w:rPr>
                      <w:rFonts w:asciiTheme="minorHAnsi" w:hAnsiTheme="minorHAnsi" w:cstheme="minorHAnsi"/>
                      <w:sz w:val="20"/>
                    </w:rPr>
                  </w:pPr>
                  <w:r w:rsidRPr="00C211E9">
                    <w:rPr>
                      <w:rFonts w:asciiTheme="minorHAnsi" w:hAnsiTheme="minorHAnsi" w:cstheme="minorHAnsi"/>
                      <w:sz w:val="20"/>
                    </w:rPr>
                    <w:t>60 mg/kg dopamine and make up to 50 mL</w:t>
                  </w:r>
                </w:p>
              </w:tc>
            </w:tr>
          </w:tbl>
          <w:p w:rsidR="00D81BC4" w:rsidP="00131848" w:rsidRDefault="00D81BC4" w14:paraId="1B0C20BB" w14:textId="77777777">
            <w:pPr>
              <w:pStyle w:val="BodyText"/>
              <w:rPr>
                <w:rFonts w:asciiTheme="minorHAnsi" w:hAnsiTheme="minorHAnsi" w:cstheme="minorHAnsi"/>
                <w:b/>
                <w:sz w:val="20"/>
              </w:rPr>
            </w:pPr>
            <w:r w:rsidRPr="00C211E9">
              <w:rPr>
                <w:rFonts w:asciiTheme="minorHAnsi" w:hAnsiTheme="minorHAnsi" w:cstheme="minorHAnsi"/>
                <w:sz w:val="20"/>
              </w:rPr>
              <w:t>Draw up 1.5 mL/kg (60 mg/kg)</w:t>
            </w:r>
            <w:r>
              <w:rPr>
                <w:rFonts w:asciiTheme="minorHAnsi" w:hAnsiTheme="minorHAnsi" w:cstheme="minorHAnsi"/>
                <w:sz w:val="20"/>
              </w:rPr>
              <w:t xml:space="preserve"> of dopamine and add glucose 5%</w:t>
            </w:r>
            <w:r w:rsidRPr="0068101C">
              <w:rPr>
                <w:rFonts w:asciiTheme="minorHAnsi" w:hAnsiTheme="minorHAnsi" w:cstheme="minorHAnsi"/>
                <w:sz w:val="20"/>
                <w:vertAlign w:val="superscript"/>
              </w:rPr>
              <w:t>#</w:t>
            </w:r>
            <w:r>
              <w:rPr>
                <w:rFonts w:asciiTheme="minorHAnsi" w:hAnsiTheme="minorHAnsi" w:cstheme="minorHAnsi"/>
                <w:sz w:val="20"/>
              </w:rPr>
              <w:t xml:space="preserve"> </w:t>
            </w:r>
            <w:r w:rsidRPr="00C211E9">
              <w:rPr>
                <w:rFonts w:asciiTheme="minorHAnsi" w:hAnsiTheme="minorHAnsi" w:cstheme="minorHAnsi"/>
                <w:sz w:val="20"/>
              </w:rPr>
              <w:t xml:space="preserve">to make a final volume of 50 mL. Infusing at a rate of </w:t>
            </w:r>
            <w:r w:rsidRPr="00C211E9">
              <w:rPr>
                <w:rFonts w:asciiTheme="minorHAnsi" w:hAnsiTheme="minorHAnsi" w:cstheme="minorHAnsi"/>
                <w:b/>
                <w:sz w:val="20"/>
              </w:rPr>
              <w:t>1 mL/hour = 20 microgram/kg/minute.</w:t>
            </w:r>
          </w:p>
          <w:p w:rsidRPr="00C211E9" w:rsidR="00D81BC4" w:rsidP="00131848" w:rsidRDefault="00D81BC4" w14:paraId="3B506194" w14:textId="77777777">
            <w:pPr>
              <w:pStyle w:val="BodyText"/>
              <w:rPr>
                <w:rFonts w:asciiTheme="minorHAnsi" w:hAnsiTheme="minorHAnsi" w:cstheme="minorHAnsi"/>
                <w:b/>
                <w:sz w:val="20"/>
              </w:rPr>
            </w:pPr>
          </w:p>
          <w:p w:rsidRPr="00C211E9" w:rsidR="00D81BC4" w:rsidP="00131848" w:rsidRDefault="00D81BC4" w14:paraId="15BC34B9" w14:textId="77777777">
            <w:pPr>
              <w:pStyle w:val="BodyText"/>
              <w:rPr>
                <w:rFonts w:asciiTheme="minorHAnsi" w:hAnsiTheme="minorHAnsi" w:cstheme="minorHAnsi"/>
                <w:b/>
                <w:sz w:val="20"/>
              </w:rPr>
            </w:pPr>
            <w:r w:rsidRPr="00C211E9">
              <w:rPr>
                <w:rFonts w:asciiTheme="minorHAnsi" w:hAnsiTheme="minorHAnsi" w:cstheme="minorHAnsi"/>
                <w:b/>
                <w:sz w:val="20"/>
              </w:rPr>
              <w:t>QUARDRUPLE STRENGTH continuous IV infusion</w:t>
            </w:r>
            <w:r>
              <w:rPr>
                <w:rFonts w:asciiTheme="minorHAnsi" w:hAnsiTheme="minorHAnsi" w:cstheme="minorHAnsi"/>
                <w:b/>
                <w:sz w:val="20"/>
              </w:rPr>
              <w:t xml:space="preserve"> – Can be used for infants up to 2500 g.*</w:t>
            </w:r>
          </w:p>
          <w:tbl>
            <w:tblPr>
              <w:tblW w:w="79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52"/>
            </w:tblGrid>
            <w:tr w:rsidRPr="00C211E9" w:rsidR="00D81BC4" w:rsidTr="00131848" w14:paraId="6D023FB7" w14:textId="77777777">
              <w:tc>
                <w:tcPr>
                  <w:tcW w:w="3715" w:type="dxa"/>
                  <w:shd w:val="clear" w:color="auto" w:fill="auto"/>
                </w:tcPr>
                <w:p w:rsidRPr="00C211E9" w:rsidR="00D81BC4" w:rsidP="00131848" w:rsidRDefault="00D81BC4" w14:paraId="703F5B65" w14:textId="77777777">
                  <w:pPr>
                    <w:pStyle w:val="BodyText"/>
                    <w:rPr>
                      <w:rFonts w:asciiTheme="minorHAnsi" w:hAnsiTheme="minorHAnsi" w:cstheme="minorHAnsi"/>
                      <w:b/>
                      <w:sz w:val="20"/>
                    </w:rPr>
                  </w:pPr>
                  <w:r w:rsidRPr="00C211E9">
                    <w:rPr>
                      <w:rFonts w:asciiTheme="minorHAnsi" w:hAnsiTheme="minorHAnsi" w:cstheme="minorHAnsi"/>
                      <w:b/>
                      <w:sz w:val="20"/>
                    </w:rPr>
                    <w:t>Infusion strength</w:t>
                  </w:r>
                </w:p>
              </w:tc>
              <w:tc>
                <w:tcPr>
                  <w:tcW w:w="4252" w:type="dxa"/>
                  <w:shd w:val="clear" w:color="auto" w:fill="auto"/>
                </w:tcPr>
                <w:p w:rsidRPr="00C211E9" w:rsidR="00D81BC4" w:rsidP="00131848" w:rsidRDefault="00D81BC4" w14:paraId="49A228C1" w14:textId="77777777">
                  <w:pPr>
                    <w:pStyle w:val="BodyText"/>
                    <w:rPr>
                      <w:rFonts w:asciiTheme="minorHAnsi" w:hAnsiTheme="minorHAnsi" w:cstheme="minorHAnsi"/>
                      <w:b/>
                      <w:sz w:val="20"/>
                    </w:rPr>
                  </w:pPr>
                  <w:r w:rsidRPr="00C211E9">
                    <w:rPr>
                      <w:rFonts w:asciiTheme="minorHAnsi" w:hAnsiTheme="minorHAnsi" w:cstheme="minorHAnsi"/>
                      <w:b/>
                      <w:sz w:val="20"/>
                    </w:rPr>
                    <w:t>Prescribed amount</w:t>
                  </w:r>
                </w:p>
              </w:tc>
            </w:tr>
            <w:tr w:rsidRPr="00C211E9" w:rsidR="00D81BC4" w:rsidTr="00131848" w14:paraId="0197DAD8" w14:textId="77777777">
              <w:tc>
                <w:tcPr>
                  <w:tcW w:w="3715" w:type="dxa"/>
                  <w:shd w:val="clear" w:color="auto" w:fill="auto"/>
                </w:tcPr>
                <w:p w:rsidRPr="00C211E9" w:rsidR="00D81BC4" w:rsidP="00131848" w:rsidRDefault="00D81BC4" w14:paraId="0A5333E3" w14:textId="77777777">
                  <w:pPr>
                    <w:pStyle w:val="BodyText"/>
                    <w:rPr>
                      <w:rFonts w:asciiTheme="minorHAnsi" w:hAnsiTheme="minorHAnsi" w:cstheme="minorHAnsi"/>
                      <w:sz w:val="20"/>
                    </w:rPr>
                  </w:pPr>
                  <w:r w:rsidRPr="00C211E9">
                    <w:rPr>
                      <w:rFonts w:asciiTheme="minorHAnsi" w:hAnsiTheme="minorHAnsi" w:cstheme="minorHAnsi"/>
                      <w:sz w:val="20"/>
                    </w:rPr>
                    <w:t>1 mL/hour = 40 microgram/kg/minute</w:t>
                  </w:r>
                </w:p>
              </w:tc>
              <w:tc>
                <w:tcPr>
                  <w:tcW w:w="4252" w:type="dxa"/>
                  <w:shd w:val="clear" w:color="auto" w:fill="auto"/>
                </w:tcPr>
                <w:p w:rsidRPr="00C211E9" w:rsidR="00D81BC4" w:rsidP="00131848" w:rsidRDefault="00D81BC4" w14:paraId="34FA4E3A" w14:textId="77777777">
                  <w:pPr>
                    <w:pStyle w:val="BodyText"/>
                    <w:rPr>
                      <w:rFonts w:asciiTheme="minorHAnsi" w:hAnsiTheme="minorHAnsi" w:cstheme="minorHAnsi"/>
                      <w:sz w:val="20"/>
                    </w:rPr>
                  </w:pPr>
                  <w:r w:rsidRPr="00C211E9">
                    <w:rPr>
                      <w:rFonts w:asciiTheme="minorHAnsi" w:hAnsiTheme="minorHAnsi" w:cstheme="minorHAnsi"/>
                      <w:sz w:val="20"/>
                    </w:rPr>
                    <w:t>120 mg/kg dopamine and make up to 50 mL</w:t>
                  </w:r>
                </w:p>
              </w:tc>
            </w:tr>
          </w:tbl>
          <w:p w:rsidR="00D81BC4" w:rsidP="00131848" w:rsidRDefault="00D81BC4" w14:paraId="39B346CB" w14:textId="77777777">
            <w:pPr>
              <w:pStyle w:val="BodyText"/>
              <w:rPr>
                <w:rFonts w:asciiTheme="minorHAnsi" w:hAnsiTheme="minorHAnsi" w:cstheme="minorHAnsi"/>
                <w:b/>
                <w:sz w:val="20"/>
              </w:rPr>
            </w:pPr>
            <w:r w:rsidRPr="00C211E9">
              <w:rPr>
                <w:rFonts w:asciiTheme="minorHAnsi" w:hAnsiTheme="minorHAnsi" w:cstheme="minorHAnsi"/>
                <w:sz w:val="20"/>
              </w:rPr>
              <w:t>Draw up 3 mL/kg (120 mg/kg)</w:t>
            </w:r>
            <w:r>
              <w:rPr>
                <w:rFonts w:asciiTheme="minorHAnsi" w:hAnsiTheme="minorHAnsi" w:cstheme="minorHAnsi"/>
                <w:sz w:val="20"/>
              </w:rPr>
              <w:t xml:space="preserve"> of dopamine and add glucose 5%</w:t>
            </w:r>
            <w:r>
              <w:rPr>
                <w:rFonts w:asciiTheme="minorHAnsi" w:hAnsiTheme="minorHAnsi" w:cstheme="minorHAnsi"/>
                <w:sz w:val="20"/>
                <w:vertAlign w:val="superscript"/>
              </w:rPr>
              <w:t>#</w:t>
            </w:r>
            <w:r w:rsidRPr="00C211E9">
              <w:rPr>
                <w:rFonts w:asciiTheme="minorHAnsi" w:hAnsiTheme="minorHAnsi" w:cstheme="minorHAnsi"/>
                <w:sz w:val="20"/>
              </w:rPr>
              <w:t xml:space="preserve"> to make a final volume of 50 mL. Infusing at a rate of </w:t>
            </w:r>
            <w:r w:rsidRPr="00C211E9">
              <w:rPr>
                <w:rFonts w:asciiTheme="minorHAnsi" w:hAnsiTheme="minorHAnsi" w:cstheme="minorHAnsi"/>
                <w:b/>
                <w:sz w:val="20"/>
              </w:rPr>
              <w:t>1 mL/hour = 40 microgram/kg/minute.</w:t>
            </w:r>
          </w:p>
          <w:p w:rsidR="00D81BC4" w:rsidP="00131848" w:rsidRDefault="00D81BC4" w14:paraId="2DAFA7AD" w14:textId="77777777">
            <w:pPr>
              <w:pStyle w:val="BodyText"/>
              <w:rPr>
                <w:rFonts w:asciiTheme="minorHAnsi" w:hAnsiTheme="minorHAnsi" w:cstheme="minorHAnsi"/>
                <w:sz w:val="20"/>
              </w:rPr>
            </w:pPr>
            <w:r w:rsidRPr="00897912">
              <w:rPr>
                <w:rFonts w:asciiTheme="minorHAnsi" w:hAnsiTheme="minorHAnsi" w:cstheme="minorHAnsi"/>
                <w:sz w:val="20"/>
              </w:rPr>
              <w:t>*Maximum diluted concentration is 6 mg/mL.</w:t>
            </w:r>
          </w:p>
          <w:p w:rsidR="00D81BC4" w:rsidP="00131848" w:rsidRDefault="00D81BC4" w14:paraId="46C05331" w14:textId="77777777">
            <w:pPr>
              <w:pStyle w:val="BodyText"/>
              <w:rPr>
                <w:rFonts w:asciiTheme="minorHAnsi" w:hAnsiTheme="minorHAnsi" w:cstheme="minorHAnsi"/>
                <w:sz w:val="20"/>
              </w:rPr>
            </w:pPr>
          </w:p>
          <w:p w:rsidRPr="00897912" w:rsidR="00D81BC4" w:rsidP="00131848" w:rsidRDefault="00D81BC4" w14:paraId="5B44533E" w14:textId="77777777">
            <w:pPr>
              <w:pStyle w:val="BodyText"/>
              <w:rPr>
                <w:rFonts w:asciiTheme="minorHAnsi" w:hAnsiTheme="minorHAnsi" w:cstheme="minorHAnsi"/>
                <w:sz w:val="20"/>
              </w:rPr>
            </w:pPr>
            <w:r w:rsidRPr="00F46D53">
              <w:rPr>
                <w:rFonts w:asciiTheme="minorHAnsi" w:hAnsiTheme="minorHAnsi" w:cstheme="minorHAnsi"/>
                <w:sz w:val="20"/>
                <w:vertAlign w:val="superscript"/>
              </w:rPr>
              <w:t>#</w:t>
            </w:r>
            <w:r>
              <w:rPr>
                <w:rFonts w:asciiTheme="minorHAnsi" w:hAnsiTheme="minorHAnsi" w:cstheme="minorHAnsi"/>
                <w:sz w:val="20"/>
              </w:rPr>
              <w:t>Sodium chloride 0.9% can be used as a diluent, but only to make a maximum concentration of 3.2 mg/mL dopamine solution.</w:t>
            </w:r>
          </w:p>
        </w:tc>
      </w:tr>
      <w:tr w:rsidRPr="00C211E9" w:rsidR="00D81BC4" w:rsidTr="00D81BC4" w14:paraId="0C0E1606" w14:textId="77777777">
        <w:trPr>
          <w:trHeight w:val="224"/>
        </w:trPr>
        <w:tc>
          <w:tcPr>
            <w:tcW w:w="1730" w:type="dxa"/>
          </w:tcPr>
          <w:p w:rsidRPr="00C211E9" w:rsidR="00D81BC4" w:rsidP="00131848" w:rsidRDefault="00D81BC4" w14:paraId="467D7183"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Administration </w:t>
            </w:r>
          </w:p>
        </w:tc>
        <w:tc>
          <w:tcPr>
            <w:tcW w:w="7513" w:type="dxa"/>
            <w:vAlign w:val="center"/>
          </w:tcPr>
          <w:p w:rsidRPr="00C211E9" w:rsidR="00D81BC4" w:rsidP="00131848" w:rsidRDefault="00D81BC4" w14:paraId="55788834" w14:textId="77777777">
            <w:pPr>
              <w:pStyle w:val="BodyText"/>
              <w:rPr>
                <w:rFonts w:asciiTheme="minorHAnsi" w:hAnsiTheme="minorHAnsi" w:cstheme="minorHAnsi"/>
                <w:sz w:val="20"/>
              </w:rPr>
            </w:pPr>
            <w:r w:rsidRPr="00C211E9">
              <w:rPr>
                <w:rFonts w:asciiTheme="minorHAnsi" w:hAnsiTheme="minorHAnsi" w:cstheme="minorHAnsi"/>
                <w:sz w:val="20"/>
              </w:rPr>
              <w:t>Continuous intravenous infusion via a central line. Use with caution via a peripheral line.</w:t>
            </w:r>
          </w:p>
        </w:tc>
      </w:tr>
      <w:tr w:rsidRPr="00C211E9" w:rsidR="00D81BC4" w:rsidTr="00D81BC4" w14:paraId="677D6C65" w14:textId="77777777">
        <w:trPr>
          <w:trHeight w:val="215"/>
        </w:trPr>
        <w:tc>
          <w:tcPr>
            <w:tcW w:w="1730" w:type="dxa"/>
          </w:tcPr>
          <w:p w:rsidRPr="00C211E9" w:rsidR="00D81BC4" w:rsidP="00131848" w:rsidRDefault="00D81BC4" w14:paraId="136FA392" w14:textId="77777777">
            <w:pPr>
              <w:pStyle w:val="BodyText"/>
              <w:rPr>
                <w:rFonts w:asciiTheme="minorHAnsi" w:hAnsiTheme="minorHAnsi" w:cstheme="minorHAnsi"/>
                <w:b/>
                <w:bCs/>
                <w:sz w:val="20"/>
              </w:rPr>
            </w:pPr>
            <w:r w:rsidRPr="00C211E9">
              <w:rPr>
                <w:rFonts w:asciiTheme="minorHAnsi" w:hAnsiTheme="minorHAnsi" w:cstheme="minorHAnsi"/>
                <w:b/>
                <w:bCs/>
                <w:sz w:val="20"/>
              </w:rPr>
              <w:t>Monitoring</w:t>
            </w:r>
          </w:p>
        </w:tc>
        <w:tc>
          <w:tcPr>
            <w:tcW w:w="7513" w:type="dxa"/>
          </w:tcPr>
          <w:p w:rsidRPr="00C211E9" w:rsidR="00D81BC4" w:rsidP="00131848" w:rsidRDefault="00D81BC4" w14:paraId="3CE2E524" w14:textId="77777777">
            <w:pPr>
              <w:pStyle w:val="BodyText"/>
              <w:rPr>
                <w:rFonts w:asciiTheme="minorHAnsi" w:hAnsiTheme="minorHAnsi" w:cstheme="minorHAnsi"/>
                <w:sz w:val="20"/>
              </w:rPr>
            </w:pPr>
            <w:r w:rsidRPr="00C211E9">
              <w:rPr>
                <w:rFonts w:asciiTheme="minorHAnsi" w:hAnsiTheme="minorHAnsi" w:cstheme="minorHAnsi"/>
                <w:sz w:val="20"/>
              </w:rPr>
              <w:t xml:space="preserve">Continuous heart rate, ECG and blood pressure monitoring preferable. </w:t>
            </w:r>
            <w:r w:rsidRPr="00C211E9">
              <w:rPr>
                <w:rFonts w:asciiTheme="minorHAnsi" w:hAnsiTheme="minorHAnsi" w:cstheme="minorHAnsi"/>
                <w:sz w:val="20"/>
              </w:rPr>
              <w:br/>
            </w:r>
            <w:r w:rsidRPr="00C211E9">
              <w:rPr>
                <w:rFonts w:asciiTheme="minorHAnsi" w:hAnsiTheme="minorHAnsi" w:cstheme="minorHAnsi"/>
                <w:sz w:val="20"/>
              </w:rPr>
              <w:t xml:space="preserve">Assess urine output and peripheral perfusion frequently. </w:t>
            </w:r>
            <w:r w:rsidRPr="00C211E9">
              <w:rPr>
                <w:rFonts w:asciiTheme="minorHAnsi" w:hAnsiTheme="minorHAnsi" w:cstheme="minorHAnsi"/>
                <w:sz w:val="20"/>
              </w:rPr>
              <w:br/>
            </w:r>
            <w:r w:rsidRPr="00C211E9">
              <w:rPr>
                <w:rFonts w:asciiTheme="minorHAnsi" w:hAnsiTheme="minorHAnsi" w:cstheme="minorHAnsi"/>
                <w:sz w:val="20"/>
              </w:rPr>
              <w:t xml:space="preserve">Observe IV site closely for blanching and extravasation. </w:t>
            </w:r>
          </w:p>
        </w:tc>
      </w:tr>
      <w:tr w:rsidRPr="00C211E9" w:rsidR="00D81BC4" w:rsidTr="00D81BC4" w14:paraId="02BE49AA" w14:textId="77777777">
        <w:trPr>
          <w:trHeight w:val="342"/>
        </w:trPr>
        <w:tc>
          <w:tcPr>
            <w:tcW w:w="1730" w:type="dxa"/>
          </w:tcPr>
          <w:p w:rsidRPr="00C211E9" w:rsidR="00D81BC4" w:rsidP="00131848" w:rsidRDefault="00D81BC4" w14:paraId="51B4421F" w14:textId="77777777">
            <w:pPr>
              <w:pStyle w:val="BodyText"/>
              <w:rPr>
                <w:rFonts w:asciiTheme="minorHAnsi" w:hAnsiTheme="minorHAnsi" w:cstheme="minorHAnsi"/>
                <w:b/>
                <w:bCs/>
                <w:sz w:val="20"/>
              </w:rPr>
            </w:pPr>
            <w:r w:rsidRPr="00C211E9">
              <w:rPr>
                <w:rFonts w:asciiTheme="minorHAnsi" w:hAnsiTheme="minorHAnsi" w:cstheme="minorHAnsi"/>
                <w:b/>
                <w:bCs/>
                <w:sz w:val="20"/>
              </w:rPr>
              <w:lastRenderedPageBreak/>
              <w:t>Contraindications</w:t>
            </w:r>
          </w:p>
        </w:tc>
        <w:tc>
          <w:tcPr>
            <w:tcW w:w="7513" w:type="dxa"/>
          </w:tcPr>
          <w:p w:rsidRPr="00C211E9" w:rsidR="00D81BC4" w:rsidP="00131848" w:rsidRDefault="00D81BC4" w14:paraId="0B597A87" w14:textId="77777777">
            <w:pPr>
              <w:pStyle w:val="BodyText"/>
              <w:rPr>
                <w:rFonts w:asciiTheme="minorHAnsi" w:hAnsiTheme="minorHAnsi" w:cstheme="minorHAnsi"/>
                <w:sz w:val="20"/>
              </w:rPr>
            </w:pPr>
            <w:r w:rsidRPr="00C211E9">
              <w:rPr>
                <w:rFonts w:asciiTheme="minorHAnsi" w:hAnsiTheme="minorHAnsi" w:cstheme="minorHAnsi"/>
                <w:sz w:val="20"/>
              </w:rPr>
              <w:t>Arrhythmia and tachyarrhythmia.</w:t>
            </w:r>
          </w:p>
        </w:tc>
      </w:tr>
      <w:tr w:rsidRPr="00C211E9" w:rsidR="00D81BC4" w:rsidTr="00D81BC4" w14:paraId="0249B5F1" w14:textId="77777777">
        <w:tc>
          <w:tcPr>
            <w:tcW w:w="1730" w:type="dxa"/>
          </w:tcPr>
          <w:p w:rsidRPr="00C211E9" w:rsidR="00D81BC4" w:rsidP="00131848" w:rsidRDefault="00D81BC4" w14:paraId="591CB036" w14:textId="77777777">
            <w:pPr>
              <w:pStyle w:val="BodyText"/>
              <w:rPr>
                <w:rFonts w:asciiTheme="minorHAnsi" w:hAnsiTheme="minorHAnsi" w:cstheme="minorHAnsi"/>
                <w:b/>
                <w:bCs/>
                <w:sz w:val="20"/>
              </w:rPr>
            </w:pPr>
            <w:r w:rsidRPr="00C211E9">
              <w:rPr>
                <w:rFonts w:asciiTheme="minorHAnsi" w:hAnsiTheme="minorHAnsi" w:cstheme="minorHAnsi"/>
                <w:sz w:val="20"/>
              </w:rPr>
              <w:br w:type="page"/>
            </w:r>
            <w:r w:rsidRPr="00C211E9">
              <w:rPr>
                <w:rFonts w:asciiTheme="minorHAnsi" w:hAnsiTheme="minorHAnsi" w:cstheme="minorHAnsi"/>
                <w:b/>
                <w:bCs/>
                <w:sz w:val="20"/>
              </w:rPr>
              <w:t>Precautions</w:t>
            </w:r>
          </w:p>
        </w:tc>
        <w:tc>
          <w:tcPr>
            <w:tcW w:w="7513" w:type="dxa"/>
          </w:tcPr>
          <w:p w:rsidRPr="00C211E9" w:rsidR="00D81BC4" w:rsidP="00131848" w:rsidRDefault="00D81BC4" w14:paraId="3CA0DCF7" w14:textId="77777777">
            <w:pPr>
              <w:pStyle w:val="BodyText"/>
              <w:rPr>
                <w:rFonts w:asciiTheme="minorHAnsi" w:hAnsiTheme="minorHAnsi" w:cstheme="minorHAnsi"/>
                <w:sz w:val="20"/>
              </w:rPr>
            </w:pPr>
            <w:r w:rsidRPr="00C211E9">
              <w:rPr>
                <w:rFonts w:asciiTheme="minorHAnsi" w:hAnsiTheme="minorHAnsi" w:cstheme="minorHAnsi"/>
                <w:sz w:val="20"/>
              </w:rPr>
              <w:t xml:space="preserve">Ensure adequate circulating blood volume prior to commencement. </w:t>
            </w:r>
            <w:r w:rsidRPr="00C211E9">
              <w:rPr>
                <w:rFonts w:asciiTheme="minorHAnsi" w:hAnsiTheme="minorHAnsi" w:cstheme="minorHAnsi"/>
                <w:sz w:val="20"/>
              </w:rPr>
              <w:br/>
            </w:r>
            <w:r w:rsidRPr="00C211E9">
              <w:rPr>
                <w:rFonts w:asciiTheme="minorHAnsi" w:hAnsiTheme="minorHAnsi" w:cstheme="minorHAnsi"/>
                <w:sz w:val="20"/>
              </w:rPr>
              <w:t>May increase pulmonary pressures.</w:t>
            </w:r>
          </w:p>
        </w:tc>
      </w:tr>
      <w:tr w:rsidRPr="00C211E9" w:rsidR="00D81BC4" w:rsidTr="00D81BC4" w14:paraId="64BA2BFC" w14:textId="77777777">
        <w:trPr>
          <w:trHeight w:val="70"/>
        </w:trPr>
        <w:tc>
          <w:tcPr>
            <w:tcW w:w="1730" w:type="dxa"/>
          </w:tcPr>
          <w:p w:rsidRPr="00C211E9" w:rsidR="00D81BC4" w:rsidP="00131848" w:rsidRDefault="00D81BC4" w14:paraId="60D59998" w14:textId="77777777">
            <w:pPr>
              <w:pStyle w:val="BodyText"/>
              <w:rPr>
                <w:rFonts w:asciiTheme="minorHAnsi" w:hAnsiTheme="minorHAnsi" w:cstheme="minorHAnsi"/>
                <w:b/>
                <w:bCs/>
                <w:sz w:val="20"/>
              </w:rPr>
            </w:pPr>
            <w:r w:rsidRPr="00C211E9">
              <w:rPr>
                <w:rFonts w:asciiTheme="minorHAnsi" w:hAnsiTheme="minorHAnsi" w:cstheme="minorHAnsi"/>
                <w:b/>
                <w:bCs/>
                <w:sz w:val="20"/>
              </w:rPr>
              <w:t>Drug interactions</w:t>
            </w:r>
          </w:p>
        </w:tc>
        <w:tc>
          <w:tcPr>
            <w:tcW w:w="7513" w:type="dxa"/>
          </w:tcPr>
          <w:p w:rsidRPr="00C211E9" w:rsidR="00D81BC4" w:rsidP="00131848" w:rsidRDefault="00D81BC4" w14:paraId="7D723B27" w14:textId="77777777">
            <w:pPr>
              <w:pStyle w:val="BodyText"/>
              <w:rPr>
                <w:rFonts w:asciiTheme="minorHAnsi" w:hAnsiTheme="minorHAnsi" w:cstheme="minorHAnsi"/>
                <w:sz w:val="20"/>
              </w:rPr>
            </w:pPr>
            <w:r w:rsidRPr="00C211E9">
              <w:rPr>
                <w:rFonts w:asciiTheme="minorHAnsi" w:hAnsiTheme="minorHAnsi" w:cstheme="minorHAnsi"/>
                <w:sz w:val="20"/>
              </w:rPr>
              <w:t>Hypotension may be observed with concurrent use of vasodilators such as glyceryl trinitrate, nitroprusside and calcium channel blockers.</w:t>
            </w:r>
          </w:p>
          <w:p w:rsidRPr="00C211E9" w:rsidR="00D81BC4" w:rsidP="00131848" w:rsidRDefault="00D81BC4" w14:paraId="22543D55" w14:textId="77777777">
            <w:pPr>
              <w:pStyle w:val="BodyText"/>
              <w:rPr>
                <w:rFonts w:asciiTheme="minorHAnsi" w:hAnsiTheme="minorHAnsi" w:cstheme="minorHAnsi"/>
                <w:sz w:val="20"/>
              </w:rPr>
            </w:pPr>
            <w:r w:rsidRPr="00C211E9">
              <w:rPr>
                <w:rFonts w:asciiTheme="minorHAnsi" w:hAnsiTheme="minorHAnsi" w:cstheme="minorHAnsi"/>
                <w:sz w:val="20"/>
              </w:rPr>
              <w:t>Concurrent use of digitalis glycosides may increase the risk of cardiac arrhythmias.</w:t>
            </w:r>
          </w:p>
          <w:p w:rsidRPr="00C211E9" w:rsidR="00D81BC4" w:rsidP="00131848" w:rsidRDefault="00D81BC4" w14:paraId="14C1AA97" w14:textId="77777777">
            <w:pPr>
              <w:pStyle w:val="BodyText"/>
              <w:rPr>
                <w:rFonts w:asciiTheme="minorHAnsi" w:hAnsiTheme="minorHAnsi" w:cstheme="minorHAnsi"/>
                <w:sz w:val="20"/>
              </w:rPr>
            </w:pPr>
            <w:r w:rsidRPr="00C211E9">
              <w:rPr>
                <w:rFonts w:asciiTheme="minorHAnsi" w:hAnsiTheme="minorHAnsi" w:cstheme="minorHAnsi"/>
                <w:sz w:val="20"/>
              </w:rPr>
              <w:t>Concurrent use of IV phenytoin with dopamine may result in dose dependent, sudden hypotension and bradycardia.</w:t>
            </w:r>
          </w:p>
        </w:tc>
      </w:tr>
      <w:tr w:rsidRPr="00C211E9" w:rsidR="00D81BC4" w:rsidTr="00D81BC4" w14:paraId="4C779DDC" w14:textId="77777777">
        <w:trPr>
          <w:trHeight w:val="332"/>
        </w:trPr>
        <w:tc>
          <w:tcPr>
            <w:tcW w:w="1730" w:type="dxa"/>
          </w:tcPr>
          <w:p w:rsidRPr="00C211E9" w:rsidR="00D81BC4" w:rsidP="00131848" w:rsidRDefault="00D81BC4" w14:paraId="5536472D"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Adverse reactions </w:t>
            </w:r>
          </w:p>
        </w:tc>
        <w:tc>
          <w:tcPr>
            <w:tcW w:w="7513" w:type="dxa"/>
          </w:tcPr>
          <w:p w:rsidRPr="00C211E9" w:rsidR="00D81BC4" w:rsidP="00131848" w:rsidRDefault="00D81BC4" w14:paraId="1E556104" w14:textId="77777777">
            <w:pPr>
              <w:pStyle w:val="BodyText"/>
              <w:rPr>
                <w:rFonts w:asciiTheme="minorHAnsi" w:hAnsiTheme="minorHAnsi" w:cstheme="minorHAnsi"/>
                <w:sz w:val="20"/>
              </w:rPr>
            </w:pPr>
            <w:r w:rsidRPr="00C211E9">
              <w:rPr>
                <w:rFonts w:asciiTheme="minorHAnsi" w:hAnsiTheme="minorHAnsi" w:cstheme="minorHAnsi"/>
                <w:sz w:val="20"/>
              </w:rPr>
              <w:t xml:space="preserve">Tachycardia and arrhythmia. </w:t>
            </w:r>
            <w:r w:rsidRPr="00C211E9">
              <w:rPr>
                <w:rFonts w:asciiTheme="minorHAnsi" w:hAnsiTheme="minorHAnsi" w:cstheme="minorHAnsi"/>
                <w:sz w:val="20"/>
              </w:rPr>
              <w:br/>
            </w:r>
            <w:r w:rsidRPr="00C211E9">
              <w:rPr>
                <w:rFonts w:asciiTheme="minorHAnsi" w:hAnsiTheme="minorHAnsi" w:cstheme="minorHAnsi"/>
                <w:sz w:val="20"/>
              </w:rPr>
              <w:t xml:space="preserve">Systemic and pulmonary hypertension especially at higher doses. </w:t>
            </w:r>
            <w:r w:rsidRPr="00C211E9">
              <w:rPr>
                <w:rFonts w:asciiTheme="minorHAnsi" w:hAnsiTheme="minorHAnsi" w:cstheme="minorHAnsi"/>
                <w:sz w:val="20"/>
              </w:rPr>
              <w:br/>
            </w:r>
            <w:r w:rsidRPr="00C211E9">
              <w:rPr>
                <w:rFonts w:asciiTheme="minorHAnsi" w:hAnsiTheme="minorHAnsi" w:cstheme="minorHAnsi"/>
                <w:sz w:val="20"/>
              </w:rPr>
              <w:t xml:space="preserve">Reversible suppression of prolactin and thyrotropin secretion. </w:t>
            </w:r>
            <w:r w:rsidRPr="00C211E9">
              <w:rPr>
                <w:rFonts w:asciiTheme="minorHAnsi" w:hAnsiTheme="minorHAnsi" w:cstheme="minorHAnsi"/>
                <w:sz w:val="20"/>
              </w:rPr>
              <w:br/>
            </w:r>
            <w:r w:rsidRPr="00C211E9">
              <w:rPr>
                <w:rFonts w:asciiTheme="minorHAnsi" w:hAnsiTheme="minorHAnsi" w:cstheme="minorHAnsi"/>
                <w:sz w:val="20"/>
              </w:rPr>
              <w:t>Tissue necrosis at infusion site with extravasation.</w:t>
            </w:r>
          </w:p>
        </w:tc>
      </w:tr>
      <w:tr w:rsidRPr="00C211E9" w:rsidR="00D81BC4" w:rsidTr="00D81BC4" w14:paraId="7CBA332E" w14:textId="77777777">
        <w:trPr>
          <w:trHeight w:val="180"/>
        </w:trPr>
        <w:tc>
          <w:tcPr>
            <w:tcW w:w="1730" w:type="dxa"/>
          </w:tcPr>
          <w:p w:rsidRPr="00C211E9" w:rsidR="00D81BC4" w:rsidP="00131848" w:rsidRDefault="00D81BC4" w14:paraId="23EFDEBC" w14:textId="77777777">
            <w:pPr>
              <w:pStyle w:val="BodyText"/>
              <w:rPr>
                <w:rFonts w:asciiTheme="minorHAnsi" w:hAnsiTheme="minorHAnsi" w:cstheme="minorHAnsi"/>
                <w:b/>
                <w:bCs/>
                <w:sz w:val="20"/>
              </w:rPr>
            </w:pPr>
            <w:r w:rsidRPr="00C211E9">
              <w:rPr>
                <w:rFonts w:asciiTheme="minorHAnsi" w:hAnsiTheme="minorHAnsi" w:cstheme="minorHAnsi"/>
                <w:b/>
                <w:bCs/>
                <w:sz w:val="20"/>
              </w:rPr>
              <w:t>Compatibility</w:t>
            </w:r>
          </w:p>
        </w:tc>
        <w:tc>
          <w:tcPr>
            <w:tcW w:w="7513" w:type="dxa"/>
          </w:tcPr>
          <w:p w:rsidRPr="00C211E9" w:rsidR="00D81BC4" w:rsidP="00131848" w:rsidRDefault="00D81BC4" w14:paraId="444095A8" w14:textId="77777777">
            <w:pPr>
              <w:pStyle w:val="BodyText"/>
              <w:rPr>
                <w:rFonts w:asciiTheme="minorHAnsi" w:hAnsiTheme="minorHAnsi" w:cstheme="minorHAnsi"/>
                <w:sz w:val="20"/>
              </w:rPr>
            </w:pPr>
            <w:r w:rsidRPr="00C211E9">
              <w:rPr>
                <w:rFonts w:asciiTheme="minorHAnsi" w:hAnsiTheme="minorHAnsi" w:cstheme="minorHAnsi"/>
                <w:sz w:val="20"/>
              </w:rPr>
              <w:t>Fluids: Glucose 5%, glucose 10%, glucose in sodium chloride solutions, glucose 5% in Hartmann’s, Hartmann’s, mannitol 20%, sodium chloride 0.9%</w:t>
            </w:r>
            <w:r w:rsidRPr="00C211E9">
              <w:rPr>
                <w:rFonts w:asciiTheme="minorHAnsi" w:hAnsiTheme="minorHAnsi" w:cstheme="minorHAnsi"/>
                <w:sz w:val="20"/>
              </w:rPr>
              <w:br/>
            </w:r>
            <w:r w:rsidRPr="00C211E9">
              <w:rPr>
                <w:rFonts w:asciiTheme="minorHAnsi" w:hAnsiTheme="minorHAnsi" w:cstheme="minorHAnsi"/>
                <w:sz w:val="20"/>
              </w:rPr>
              <w:br/>
            </w:r>
            <w:r w:rsidRPr="00C211E9">
              <w:rPr>
                <w:rFonts w:asciiTheme="minorHAnsi" w:hAnsiTheme="minorHAnsi" w:cstheme="minorHAnsi"/>
                <w:sz w:val="20"/>
              </w:rPr>
              <w:t>Y-site: Amino acid solutions, amifostine, amiodarone, anidulafungin, atracurium, aztreonam, bivalirudin, caffeine citrate, caspofungin, ceftaroline fosamil, ciprofloxacin, cisatracurium, dexmedetomidine, dobutamine, esmolol, ethanol, fluconazole, foscarnet, glyceryl trinitrate, granisetron, haloperidol lactate, heparin sodium, hydrocortisone sodium succinate, labetalol, lignocaine, linezolid, methylprednisolone sodium succinate, metronidazole, midazolam, milrinone, morphine sulfate, mycophenolate mofetil, noradrenaline, pancuronium, pethidine, piperacillin-tazobactam (EDTA-free), potassium chloride, ranitidine, remifentanil, sodium nitroprusside, streptokinase, tigecycline, tirofiban, vecuronium, verapamil, zidovudine.</w:t>
            </w:r>
          </w:p>
        </w:tc>
      </w:tr>
      <w:tr w:rsidRPr="00C211E9" w:rsidR="00D81BC4" w:rsidTr="00D81BC4" w14:paraId="04DF075F" w14:textId="77777777">
        <w:trPr>
          <w:trHeight w:val="230"/>
        </w:trPr>
        <w:tc>
          <w:tcPr>
            <w:tcW w:w="1730" w:type="dxa"/>
          </w:tcPr>
          <w:p w:rsidRPr="00C211E9" w:rsidR="00D81BC4" w:rsidP="00131848" w:rsidRDefault="00D81BC4" w14:paraId="0E4A7429" w14:textId="77777777">
            <w:pPr>
              <w:pStyle w:val="BodyText"/>
              <w:rPr>
                <w:rFonts w:asciiTheme="minorHAnsi" w:hAnsiTheme="minorHAnsi" w:cstheme="minorHAnsi"/>
                <w:b/>
                <w:bCs/>
                <w:sz w:val="20"/>
              </w:rPr>
            </w:pPr>
            <w:r w:rsidRPr="00C211E9">
              <w:rPr>
                <w:rFonts w:asciiTheme="minorHAnsi" w:hAnsiTheme="minorHAnsi" w:cstheme="minorHAnsi"/>
                <w:b/>
                <w:bCs/>
                <w:sz w:val="20"/>
              </w:rPr>
              <w:t>Incompatibility</w:t>
            </w:r>
          </w:p>
        </w:tc>
        <w:tc>
          <w:tcPr>
            <w:tcW w:w="7513" w:type="dxa"/>
          </w:tcPr>
          <w:p w:rsidRPr="00C211E9" w:rsidR="00D81BC4" w:rsidP="00131848" w:rsidRDefault="00D81BC4" w14:paraId="5956F387" w14:textId="77777777">
            <w:pPr>
              <w:pStyle w:val="BodyText"/>
              <w:rPr>
                <w:rFonts w:asciiTheme="minorHAnsi" w:hAnsiTheme="minorHAnsi" w:cstheme="minorHAnsi"/>
                <w:sz w:val="20"/>
              </w:rPr>
            </w:pPr>
            <w:r w:rsidRPr="00C211E9">
              <w:rPr>
                <w:rFonts w:asciiTheme="minorHAnsi" w:hAnsiTheme="minorHAnsi" w:cstheme="minorHAnsi"/>
                <w:sz w:val="20"/>
              </w:rPr>
              <w:t xml:space="preserve">Fluids: Sodium bicarbonate and other alkaline solutions. </w:t>
            </w:r>
          </w:p>
          <w:p w:rsidRPr="00C211E9" w:rsidR="00D81BC4" w:rsidP="00131848" w:rsidRDefault="00D81BC4" w14:paraId="77C96971" w14:textId="77777777">
            <w:pPr>
              <w:pStyle w:val="BodyText"/>
              <w:rPr>
                <w:rFonts w:asciiTheme="minorHAnsi" w:hAnsiTheme="minorHAnsi" w:cstheme="minorHAnsi"/>
                <w:sz w:val="20"/>
              </w:rPr>
            </w:pPr>
            <w:r w:rsidRPr="00C211E9">
              <w:rPr>
                <w:rFonts w:asciiTheme="minorHAnsi" w:hAnsiTheme="minorHAnsi" w:cstheme="minorHAnsi"/>
                <w:sz w:val="20"/>
              </w:rPr>
              <w:t>Y-site: Aciclovir, alteplase, ampicillin, azathioprine, cephazolin, chloramphenicol, esomeprazole, ganciclovir, indomethacin, insulin (short-acting), sodium bicarbonate, thiopentone.</w:t>
            </w:r>
          </w:p>
        </w:tc>
      </w:tr>
      <w:tr w:rsidRPr="00C211E9" w:rsidR="00D81BC4" w:rsidTr="00D81BC4" w14:paraId="2AEEF009" w14:textId="77777777">
        <w:trPr>
          <w:trHeight w:val="79"/>
        </w:trPr>
        <w:tc>
          <w:tcPr>
            <w:tcW w:w="1730" w:type="dxa"/>
          </w:tcPr>
          <w:p w:rsidRPr="00C211E9" w:rsidR="00D81BC4" w:rsidP="00131848" w:rsidRDefault="00D81BC4" w14:paraId="7B2A699A" w14:textId="77777777">
            <w:pPr>
              <w:pStyle w:val="BodyText"/>
              <w:rPr>
                <w:rFonts w:asciiTheme="minorHAnsi" w:hAnsiTheme="minorHAnsi" w:cstheme="minorHAnsi"/>
                <w:b/>
                <w:bCs/>
                <w:sz w:val="20"/>
              </w:rPr>
            </w:pPr>
            <w:r w:rsidRPr="00C211E9">
              <w:rPr>
                <w:rFonts w:asciiTheme="minorHAnsi" w:hAnsiTheme="minorHAnsi" w:cstheme="minorHAnsi"/>
                <w:b/>
                <w:bCs/>
                <w:sz w:val="20"/>
              </w:rPr>
              <w:t>Stability</w:t>
            </w:r>
          </w:p>
        </w:tc>
        <w:tc>
          <w:tcPr>
            <w:tcW w:w="7513" w:type="dxa"/>
          </w:tcPr>
          <w:p w:rsidRPr="00C211E9" w:rsidR="00D81BC4" w:rsidP="00131848" w:rsidRDefault="00D81BC4" w14:paraId="25222B96" w14:textId="77777777">
            <w:pPr>
              <w:pStyle w:val="BodyText"/>
              <w:rPr>
                <w:rFonts w:asciiTheme="minorHAnsi" w:hAnsiTheme="minorHAnsi" w:cstheme="minorHAnsi"/>
                <w:sz w:val="20"/>
              </w:rPr>
            </w:pPr>
            <w:r w:rsidRPr="00C211E9">
              <w:rPr>
                <w:rFonts w:asciiTheme="minorHAnsi" w:hAnsiTheme="minorHAnsi" w:cstheme="minorHAnsi"/>
                <w:sz w:val="20"/>
              </w:rPr>
              <w:t>Ampoule: Store below 30°C. Protect from light.</w:t>
            </w:r>
            <w:r w:rsidRPr="00C211E9">
              <w:rPr>
                <w:rFonts w:asciiTheme="minorHAnsi" w:hAnsiTheme="minorHAnsi" w:cstheme="minorHAnsi"/>
                <w:sz w:val="20"/>
              </w:rPr>
              <w:br/>
            </w:r>
            <w:r w:rsidRPr="00C211E9">
              <w:rPr>
                <w:rFonts w:asciiTheme="minorHAnsi" w:hAnsiTheme="minorHAnsi" w:cstheme="minorHAnsi"/>
                <w:sz w:val="20"/>
              </w:rPr>
              <w:t>Diluted solution: Stable for 24 hours below 25°C</w:t>
            </w:r>
            <w:r>
              <w:rPr>
                <w:rFonts w:asciiTheme="minorHAnsi" w:hAnsiTheme="minorHAnsi" w:cstheme="minorHAnsi"/>
                <w:sz w:val="20"/>
              </w:rPr>
              <w:t>.</w:t>
            </w:r>
          </w:p>
        </w:tc>
      </w:tr>
      <w:tr w:rsidRPr="00C211E9" w:rsidR="00D81BC4" w:rsidTr="00D81BC4" w14:paraId="54E39B56" w14:textId="77777777">
        <w:trPr>
          <w:trHeight w:val="70"/>
        </w:trPr>
        <w:tc>
          <w:tcPr>
            <w:tcW w:w="1730" w:type="dxa"/>
          </w:tcPr>
          <w:p w:rsidRPr="00C211E9" w:rsidR="00D81BC4" w:rsidP="00131848" w:rsidRDefault="00D81BC4" w14:paraId="2B7B5B3E"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Storage </w:t>
            </w:r>
          </w:p>
        </w:tc>
        <w:tc>
          <w:tcPr>
            <w:tcW w:w="7513" w:type="dxa"/>
          </w:tcPr>
          <w:p w:rsidRPr="00C211E9" w:rsidR="00D81BC4" w:rsidP="00131848" w:rsidRDefault="00D81BC4" w14:paraId="3668286D" w14:textId="77777777">
            <w:pPr>
              <w:pStyle w:val="BodyText"/>
              <w:rPr>
                <w:rFonts w:asciiTheme="minorHAnsi" w:hAnsiTheme="minorHAnsi" w:cstheme="minorHAnsi"/>
                <w:sz w:val="20"/>
              </w:rPr>
            </w:pPr>
            <w:r w:rsidRPr="00C211E9">
              <w:rPr>
                <w:rFonts w:asciiTheme="minorHAnsi" w:hAnsiTheme="minorHAnsi" w:cstheme="minorHAnsi"/>
                <w:sz w:val="20"/>
              </w:rPr>
              <w:t>Store below 25°C</w:t>
            </w:r>
            <w:r w:rsidRPr="00C211E9">
              <w:rPr>
                <w:rFonts w:asciiTheme="minorHAnsi" w:hAnsiTheme="minorHAnsi" w:cstheme="minorHAnsi"/>
                <w:sz w:val="20"/>
              </w:rPr>
              <w:br/>
            </w:r>
            <w:r w:rsidRPr="00C211E9">
              <w:rPr>
                <w:rFonts w:asciiTheme="minorHAnsi" w:hAnsiTheme="minorHAnsi" w:cstheme="minorHAnsi"/>
                <w:sz w:val="20"/>
              </w:rPr>
              <w:t>Protect from light.</w:t>
            </w:r>
            <w:r w:rsidRPr="00C211E9">
              <w:rPr>
                <w:rFonts w:asciiTheme="minorHAnsi" w:hAnsiTheme="minorHAnsi" w:cstheme="minorHAnsi"/>
                <w:sz w:val="20"/>
              </w:rPr>
              <w:br/>
            </w:r>
            <w:r w:rsidRPr="00C211E9">
              <w:rPr>
                <w:rFonts w:asciiTheme="minorHAnsi" w:hAnsiTheme="minorHAnsi" w:cstheme="minorHAnsi"/>
                <w:sz w:val="20"/>
              </w:rPr>
              <w:t>Discard remainder after use</w:t>
            </w:r>
            <w:r>
              <w:rPr>
                <w:rFonts w:asciiTheme="minorHAnsi" w:hAnsiTheme="minorHAnsi" w:cstheme="minorHAnsi"/>
                <w:sz w:val="20"/>
              </w:rPr>
              <w:t>.</w:t>
            </w:r>
          </w:p>
        </w:tc>
      </w:tr>
      <w:tr w:rsidRPr="00C211E9" w:rsidR="00D81BC4" w:rsidTr="00D81BC4" w14:paraId="0275D4C1" w14:textId="77777777">
        <w:trPr>
          <w:trHeight w:val="70"/>
        </w:trPr>
        <w:tc>
          <w:tcPr>
            <w:tcW w:w="1730" w:type="dxa"/>
          </w:tcPr>
          <w:p w:rsidRPr="00C211E9" w:rsidR="00D81BC4" w:rsidP="00131848" w:rsidRDefault="00D81BC4" w14:paraId="3ACB25DB" w14:textId="77777777">
            <w:pPr>
              <w:pStyle w:val="BodyText"/>
              <w:rPr>
                <w:rFonts w:asciiTheme="minorHAnsi" w:hAnsiTheme="minorHAnsi" w:cstheme="minorHAnsi"/>
                <w:b/>
                <w:bCs/>
                <w:sz w:val="20"/>
              </w:rPr>
            </w:pPr>
            <w:r w:rsidRPr="00C211E9">
              <w:rPr>
                <w:rFonts w:asciiTheme="minorHAnsi" w:hAnsiTheme="minorHAnsi" w:cstheme="minorHAnsi"/>
                <w:b/>
                <w:bCs/>
                <w:sz w:val="20"/>
              </w:rPr>
              <w:t>Excipients</w:t>
            </w:r>
          </w:p>
        </w:tc>
        <w:tc>
          <w:tcPr>
            <w:tcW w:w="7513" w:type="dxa"/>
          </w:tcPr>
          <w:p w:rsidRPr="00C211E9" w:rsidR="00D81BC4" w:rsidP="00131848" w:rsidRDefault="00D81BC4" w14:paraId="1E7826D1" w14:textId="77777777">
            <w:pPr>
              <w:pStyle w:val="BodyText"/>
              <w:rPr>
                <w:rFonts w:asciiTheme="minorHAnsi" w:hAnsiTheme="minorHAnsi" w:cstheme="minorHAnsi"/>
                <w:sz w:val="20"/>
              </w:rPr>
            </w:pPr>
          </w:p>
        </w:tc>
      </w:tr>
      <w:tr w:rsidRPr="00C211E9" w:rsidR="00D81BC4" w:rsidTr="00D81BC4" w14:paraId="3CE58F44" w14:textId="77777777">
        <w:trPr>
          <w:trHeight w:val="270"/>
        </w:trPr>
        <w:tc>
          <w:tcPr>
            <w:tcW w:w="1730" w:type="dxa"/>
          </w:tcPr>
          <w:p w:rsidRPr="00C211E9" w:rsidR="00D81BC4" w:rsidP="00131848" w:rsidRDefault="00D81BC4" w14:paraId="7D6FA5C2" w14:textId="77777777">
            <w:pPr>
              <w:pStyle w:val="BodyText"/>
              <w:rPr>
                <w:rFonts w:asciiTheme="minorHAnsi" w:hAnsiTheme="minorHAnsi" w:cstheme="minorHAnsi"/>
                <w:b/>
                <w:bCs/>
                <w:sz w:val="20"/>
              </w:rPr>
            </w:pPr>
            <w:r w:rsidRPr="00C211E9">
              <w:rPr>
                <w:rFonts w:asciiTheme="minorHAnsi" w:hAnsiTheme="minorHAnsi" w:cstheme="minorHAnsi"/>
                <w:b/>
                <w:bCs/>
                <w:sz w:val="20"/>
              </w:rPr>
              <w:t xml:space="preserve">Special comments </w:t>
            </w:r>
          </w:p>
        </w:tc>
        <w:tc>
          <w:tcPr>
            <w:tcW w:w="7513" w:type="dxa"/>
          </w:tcPr>
          <w:p w:rsidRPr="00C211E9" w:rsidR="00D81BC4" w:rsidP="00131848" w:rsidRDefault="00D81BC4" w14:paraId="3F3705C8" w14:textId="77777777">
            <w:pPr>
              <w:pStyle w:val="BodyText"/>
              <w:rPr>
                <w:rFonts w:asciiTheme="minorHAnsi" w:hAnsiTheme="minorHAnsi" w:cstheme="minorHAnsi"/>
                <w:sz w:val="20"/>
              </w:rPr>
            </w:pPr>
            <w:r w:rsidRPr="00C211E9">
              <w:rPr>
                <w:rFonts w:asciiTheme="minorHAnsi" w:hAnsiTheme="minorHAnsi" w:cstheme="minorHAnsi"/>
                <w:sz w:val="20"/>
              </w:rPr>
              <w:t>Ensure dopamine has a "dedicated" line to avoid accidental bolus. Do not use as a side line with maintenance fluids.</w:t>
            </w:r>
            <w:r w:rsidRPr="00C211E9">
              <w:rPr>
                <w:rFonts w:asciiTheme="minorHAnsi" w:hAnsiTheme="minorHAnsi" w:cstheme="minorHAnsi"/>
                <w:sz w:val="20"/>
              </w:rPr>
              <w:br/>
            </w:r>
            <w:r w:rsidRPr="00C211E9">
              <w:rPr>
                <w:rFonts w:asciiTheme="minorHAnsi" w:hAnsiTheme="minorHAnsi" w:cstheme="minorHAnsi"/>
                <w:sz w:val="20"/>
              </w:rPr>
              <w:t>Discard admixtures exhibiting colour change.</w:t>
            </w:r>
          </w:p>
        </w:tc>
      </w:tr>
      <w:tr w:rsidRPr="00C211E9" w:rsidR="00D81BC4" w:rsidTr="00D81BC4" w14:paraId="29950E56" w14:textId="77777777">
        <w:trPr>
          <w:trHeight w:val="280"/>
        </w:trPr>
        <w:tc>
          <w:tcPr>
            <w:tcW w:w="1730" w:type="dxa"/>
          </w:tcPr>
          <w:p w:rsidRPr="00C211E9" w:rsidR="00D81BC4" w:rsidP="00131848" w:rsidRDefault="00D81BC4" w14:paraId="4DB5F3BA" w14:textId="77777777">
            <w:pPr>
              <w:pStyle w:val="BodyText"/>
              <w:rPr>
                <w:rFonts w:asciiTheme="minorHAnsi" w:hAnsiTheme="minorHAnsi" w:cstheme="minorHAnsi"/>
                <w:b/>
                <w:bCs/>
                <w:sz w:val="20"/>
              </w:rPr>
            </w:pPr>
            <w:r w:rsidRPr="00C211E9">
              <w:rPr>
                <w:rFonts w:asciiTheme="minorHAnsi" w:hAnsiTheme="minorHAnsi" w:cstheme="minorHAnsi"/>
                <w:b/>
                <w:bCs/>
                <w:sz w:val="20"/>
              </w:rPr>
              <w:t>Evidence</w:t>
            </w:r>
          </w:p>
        </w:tc>
        <w:tc>
          <w:tcPr>
            <w:tcW w:w="7513" w:type="dxa"/>
          </w:tcPr>
          <w:p w:rsidRPr="00D81BC4" w:rsidR="00D81BC4" w:rsidP="00131848" w:rsidRDefault="00D81BC4" w14:paraId="5854001C" w14:textId="77777777">
            <w:pPr>
              <w:pStyle w:val="BodyText"/>
              <w:tabs>
                <w:tab w:val="left" w:pos="1168"/>
              </w:tabs>
              <w:rPr>
                <w:rFonts w:asciiTheme="minorHAnsi" w:hAnsiTheme="minorHAnsi" w:cstheme="minorHAnsi"/>
                <w:sz w:val="16"/>
                <w:szCs w:val="16"/>
              </w:rPr>
            </w:pPr>
            <w:r w:rsidRPr="00D81BC4">
              <w:rPr>
                <w:rFonts w:asciiTheme="minorHAnsi" w:hAnsiTheme="minorHAnsi" w:cstheme="minorHAnsi"/>
                <w:sz w:val="16"/>
                <w:szCs w:val="16"/>
              </w:rPr>
              <w:t xml:space="preserve">Efficacy: </w:t>
            </w:r>
            <w:r w:rsidRPr="00D81BC4">
              <w:rPr>
                <w:rFonts w:asciiTheme="minorHAnsi" w:hAnsiTheme="minorHAnsi" w:cstheme="minorHAnsi"/>
                <w:sz w:val="16"/>
                <w:szCs w:val="16"/>
              </w:rPr>
              <w:br/>
            </w:r>
            <w:r w:rsidRPr="00D81BC4">
              <w:rPr>
                <w:rFonts w:asciiTheme="minorHAnsi" w:hAnsiTheme="minorHAnsi" w:cstheme="minorHAnsi"/>
                <w:sz w:val="16"/>
                <w:szCs w:val="16"/>
              </w:rPr>
              <w:t>Treatment of hypotension in preterm infants: Dopamine is more effective than dobutamine at increasing blood pressure in hypotensive infants but this may not change clinical outcome. (LOE I, GOR C)</w:t>
            </w:r>
            <w:r w:rsidRPr="00D81BC4">
              <w:rPr>
                <w:rFonts w:asciiTheme="minorHAnsi" w:hAnsiTheme="minorHAnsi" w:cstheme="minorHAnsi"/>
                <w:sz w:val="16"/>
                <w:szCs w:val="16"/>
                <w:vertAlign w:val="superscript"/>
              </w:rPr>
              <w:t>3</w:t>
            </w:r>
            <w:r w:rsidRPr="00D81BC4">
              <w:rPr>
                <w:rFonts w:asciiTheme="minorHAnsi" w:hAnsiTheme="minorHAnsi" w:cstheme="minorHAnsi"/>
                <w:sz w:val="16"/>
                <w:szCs w:val="16"/>
              </w:rPr>
              <w:t xml:space="preserve">. </w:t>
            </w:r>
            <w:r w:rsidRPr="00D81BC4">
              <w:rPr>
                <w:rFonts w:asciiTheme="minorHAnsi" w:hAnsiTheme="minorHAnsi" w:cstheme="minorHAnsi"/>
                <w:sz w:val="16"/>
                <w:szCs w:val="16"/>
              </w:rPr>
              <w:br/>
            </w:r>
            <w:r w:rsidRPr="00D81BC4">
              <w:rPr>
                <w:rFonts w:asciiTheme="minorHAnsi" w:hAnsiTheme="minorHAnsi" w:cstheme="minorHAnsi"/>
                <w:sz w:val="16"/>
                <w:szCs w:val="16"/>
              </w:rPr>
              <w:t xml:space="preserve">Dose response is variable with considerable inter-individual variability in blood pressure response reported by studies. </w:t>
            </w:r>
            <w:r w:rsidRPr="00D81BC4">
              <w:rPr>
                <w:rFonts w:asciiTheme="minorHAnsi" w:hAnsiTheme="minorHAnsi" w:cstheme="minorHAnsi"/>
                <w:sz w:val="16"/>
                <w:szCs w:val="16"/>
              </w:rPr>
              <w:br/>
            </w:r>
            <w:r w:rsidRPr="00D81BC4">
              <w:rPr>
                <w:rFonts w:asciiTheme="minorHAnsi" w:hAnsiTheme="minorHAnsi" w:cstheme="minorHAnsi"/>
                <w:sz w:val="16"/>
                <w:szCs w:val="16"/>
              </w:rPr>
              <w:t>Limited data suggest higher dose dopamine may reduce cardiac output. (LOE II, GOR C)</w:t>
            </w:r>
            <w:r w:rsidRPr="00D81BC4">
              <w:rPr>
                <w:rFonts w:asciiTheme="minorHAnsi" w:hAnsiTheme="minorHAnsi" w:cstheme="minorHAnsi"/>
                <w:sz w:val="16"/>
                <w:szCs w:val="16"/>
                <w:vertAlign w:val="superscript"/>
              </w:rPr>
              <w:t>2,4</w:t>
            </w:r>
            <w:r w:rsidRPr="00D81BC4">
              <w:rPr>
                <w:rFonts w:asciiTheme="minorHAnsi" w:hAnsiTheme="minorHAnsi" w:cstheme="minorHAnsi"/>
                <w:sz w:val="16"/>
                <w:szCs w:val="16"/>
              </w:rPr>
              <w:t>.</w:t>
            </w:r>
            <w:r w:rsidRPr="00D81BC4">
              <w:rPr>
                <w:rFonts w:asciiTheme="minorHAnsi" w:hAnsiTheme="minorHAnsi" w:cstheme="minorHAnsi"/>
                <w:sz w:val="16"/>
                <w:szCs w:val="16"/>
              </w:rPr>
              <w:br/>
            </w:r>
            <w:r w:rsidRPr="00D81BC4">
              <w:rPr>
                <w:rFonts w:asciiTheme="minorHAnsi" w:hAnsiTheme="minorHAnsi" w:cstheme="minorHAnsi"/>
                <w:sz w:val="16"/>
                <w:szCs w:val="16"/>
              </w:rPr>
              <w:t>Dopamine to prevent renal dysfunction in indomethacin-treated preterm newborn infants: Dopamine improved urine output but there was no evidence of effect on serum creatinine, incidence of oliguria or frequency of failure to close the ductus arteriosus. (LOE I, GOR B)</w:t>
            </w:r>
            <w:r w:rsidRPr="00D81BC4">
              <w:rPr>
                <w:rFonts w:asciiTheme="minorHAnsi" w:hAnsiTheme="minorHAnsi" w:cstheme="minorHAnsi"/>
                <w:sz w:val="16"/>
                <w:szCs w:val="16"/>
                <w:vertAlign w:val="superscript"/>
              </w:rPr>
              <w:t>5</w:t>
            </w:r>
            <w:r w:rsidRPr="00D81BC4">
              <w:rPr>
                <w:rFonts w:asciiTheme="minorHAnsi" w:hAnsiTheme="minorHAnsi" w:cstheme="minorHAnsi"/>
                <w:sz w:val="16"/>
                <w:szCs w:val="16"/>
              </w:rPr>
              <w:t>.</w:t>
            </w:r>
            <w:r w:rsidRPr="00D81BC4">
              <w:rPr>
                <w:rFonts w:asciiTheme="minorHAnsi" w:hAnsiTheme="minorHAnsi" w:cstheme="minorHAnsi"/>
                <w:sz w:val="16"/>
                <w:szCs w:val="16"/>
              </w:rPr>
              <w:br/>
            </w:r>
            <w:r w:rsidRPr="00D81BC4">
              <w:rPr>
                <w:rFonts w:asciiTheme="minorHAnsi" w:hAnsiTheme="minorHAnsi" w:cstheme="minorHAnsi"/>
                <w:sz w:val="16"/>
                <w:szCs w:val="16"/>
              </w:rPr>
              <w:t xml:space="preserve">Vasopressors for hypotensive shock (newborns excluded): There is no difference in mortality between noradrenaline and dopamine. </w:t>
            </w:r>
            <w:r w:rsidRPr="00D81BC4">
              <w:rPr>
                <w:rFonts w:asciiTheme="minorHAnsi" w:hAnsiTheme="minorHAnsi" w:cstheme="minorHAnsi"/>
                <w:sz w:val="16"/>
                <w:szCs w:val="16"/>
              </w:rPr>
              <w:br/>
            </w:r>
            <w:r w:rsidRPr="00D81BC4">
              <w:rPr>
                <w:rFonts w:asciiTheme="minorHAnsi" w:hAnsiTheme="minorHAnsi" w:cstheme="minorHAnsi"/>
                <w:sz w:val="16"/>
                <w:szCs w:val="16"/>
              </w:rPr>
              <w:t>Safety: Dopamine increased the risk for arrhythmia. There is not sufficient evidence that any one of the investigated 6 vasopressors is clearly superior over others for treatment of hypotensive shock. (LOE I, GOR B)</w:t>
            </w:r>
            <w:r w:rsidRPr="00D81BC4">
              <w:rPr>
                <w:rFonts w:asciiTheme="minorHAnsi" w:hAnsiTheme="minorHAnsi" w:cstheme="minorHAnsi"/>
                <w:sz w:val="16"/>
                <w:szCs w:val="16"/>
                <w:vertAlign w:val="superscript"/>
              </w:rPr>
              <w:t>6</w:t>
            </w:r>
            <w:r w:rsidRPr="00D81BC4">
              <w:rPr>
                <w:rFonts w:asciiTheme="minorHAnsi" w:hAnsiTheme="minorHAnsi" w:cstheme="minorHAnsi"/>
                <w:sz w:val="16"/>
                <w:szCs w:val="16"/>
              </w:rPr>
              <w:t>. There is insufficient safety data in neonates for use at doses &gt; 20 micrograms/kg/min.</w:t>
            </w:r>
            <w:r w:rsidRPr="00D81BC4">
              <w:rPr>
                <w:rFonts w:asciiTheme="minorHAnsi" w:hAnsiTheme="minorHAnsi" w:cstheme="minorHAnsi"/>
                <w:sz w:val="16"/>
                <w:szCs w:val="16"/>
              </w:rPr>
              <w:br/>
            </w:r>
            <w:r w:rsidRPr="00D81BC4">
              <w:rPr>
                <w:rFonts w:asciiTheme="minorHAnsi" w:hAnsiTheme="minorHAnsi" w:cstheme="minorHAnsi"/>
                <w:sz w:val="16"/>
                <w:szCs w:val="16"/>
              </w:rPr>
              <w:t>Pharmacokinetics: Steady-state plasma dopamine concentrations and plasma clearance rates were observed within 20 minutes (dose range 1−8 microgram/kg/min). Linear correlation between infusion rate and plasma dopamine concentration. Threshold for increases in mean arterial pressure was 50% below that for increases in heart rate</w:t>
            </w:r>
            <w:r w:rsidRPr="00D81BC4">
              <w:rPr>
                <w:rFonts w:asciiTheme="minorHAnsi" w:hAnsiTheme="minorHAnsi" w:cstheme="minorHAnsi"/>
                <w:sz w:val="16"/>
                <w:szCs w:val="16"/>
                <w:vertAlign w:val="superscript"/>
              </w:rPr>
              <w:t>7</w:t>
            </w:r>
            <w:r w:rsidRPr="00D81BC4">
              <w:rPr>
                <w:rFonts w:asciiTheme="minorHAnsi" w:hAnsiTheme="minorHAnsi" w:cstheme="minorHAnsi"/>
                <w:sz w:val="16"/>
                <w:szCs w:val="16"/>
              </w:rPr>
              <w:t xml:space="preserve">. </w:t>
            </w:r>
          </w:p>
        </w:tc>
      </w:tr>
      <w:tr w:rsidRPr="00C211E9" w:rsidR="00D81BC4" w:rsidTr="00D81BC4" w14:paraId="082F85F3" w14:textId="77777777">
        <w:trPr>
          <w:trHeight w:val="108"/>
        </w:trPr>
        <w:tc>
          <w:tcPr>
            <w:tcW w:w="1730" w:type="dxa"/>
          </w:tcPr>
          <w:p w:rsidRPr="00C211E9" w:rsidR="00D81BC4" w:rsidP="00131848" w:rsidRDefault="00D81BC4" w14:paraId="5653BCC0" w14:textId="77777777">
            <w:pPr>
              <w:pStyle w:val="BodyText"/>
              <w:rPr>
                <w:rFonts w:asciiTheme="minorHAnsi" w:hAnsiTheme="minorHAnsi" w:cstheme="minorHAnsi"/>
                <w:b/>
                <w:bCs/>
                <w:sz w:val="20"/>
              </w:rPr>
            </w:pPr>
            <w:r w:rsidRPr="00C211E9">
              <w:rPr>
                <w:rFonts w:asciiTheme="minorHAnsi" w:hAnsiTheme="minorHAnsi" w:cstheme="minorHAnsi"/>
                <w:b/>
                <w:bCs/>
                <w:sz w:val="20"/>
              </w:rPr>
              <w:t>Practice points</w:t>
            </w:r>
          </w:p>
        </w:tc>
        <w:tc>
          <w:tcPr>
            <w:tcW w:w="7513" w:type="dxa"/>
          </w:tcPr>
          <w:p w:rsidRPr="00C211E9" w:rsidR="00D81BC4" w:rsidP="00131848" w:rsidRDefault="00D81BC4" w14:paraId="657D04D7" w14:textId="77777777">
            <w:pPr>
              <w:pStyle w:val="BodyText"/>
              <w:tabs>
                <w:tab w:val="left" w:pos="1168"/>
              </w:tabs>
              <w:rPr>
                <w:rFonts w:asciiTheme="minorHAnsi" w:hAnsiTheme="minorHAnsi" w:cstheme="minorHAnsi"/>
                <w:sz w:val="20"/>
              </w:rPr>
            </w:pPr>
          </w:p>
        </w:tc>
      </w:tr>
      <w:tr w:rsidRPr="00C211E9" w:rsidR="00D81BC4" w:rsidTr="00D81BC4" w14:paraId="5E35E953" w14:textId="77777777">
        <w:trPr>
          <w:trHeight w:val="70"/>
        </w:trPr>
        <w:tc>
          <w:tcPr>
            <w:tcW w:w="1730" w:type="dxa"/>
          </w:tcPr>
          <w:p w:rsidRPr="00C211E9" w:rsidR="00D81BC4" w:rsidP="00131848" w:rsidRDefault="00D81BC4" w14:paraId="22326697" w14:textId="77777777">
            <w:pPr>
              <w:pStyle w:val="BodyText"/>
              <w:rPr>
                <w:rFonts w:asciiTheme="minorHAnsi" w:hAnsiTheme="minorHAnsi" w:cstheme="minorHAnsi"/>
                <w:b/>
                <w:bCs/>
                <w:sz w:val="20"/>
              </w:rPr>
            </w:pPr>
            <w:r w:rsidRPr="00C211E9">
              <w:rPr>
                <w:rFonts w:asciiTheme="minorHAnsi" w:hAnsiTheme="minorHAnsi" w:cstheme="minorHAnsi"/>
                <w:b/>
                <w:sz w:val="20"/>
              </w:rPr>
              <w:lastRenderedPageBreak/>
              <w:t>References</w:t>
            </w:r>
          </w:p>
        </w:tc>
        <w:tc>
          <w:tcPr>
            <w:tcW w:w="7513" w:type="dxa"/>
          </w:tcPr>
          <w:p w:rsidRPr="00D81BC4" w:rsidR="00D81BC4" w:rsidP="00131848" w:rsidRDefault="00D81BC4" w14:paraId="029661E3" w14:textId="77777777">
            <w:pPr>
              <w:rPr>
                <w:rFonts w:asciiTheme="minorHAnsi" w:hAnsiTheme="minorHAnsi" w:cstheme="minorHAnsi"/>
                <w:sz w:val="16"/>
                <w:szCs w:val="16"/>
              </w:rPr>
            </w:pPr>
            <w:r w:rsidRPr="00D81BC4">
              <w:rPr>
                <w:rFonts w:asciiTheme="minorHAnsi" w:hAnsiTheme="minorHAnsi" w:cstheme="minorHAnsi"/>
                <w:sz w:val="16"/>
                <w:szCs w:val="16"/>
              </w:rPr>
              <w:t>1. Seri, I., Cardiovascular, renal, and endocrine actions of dopamine in neonates and children. J Pediatr, 1995. 126(3): p. 333–44.</w:t>
            </w:r>
            <w:r w:rsidRPr="00D81BC4">
              <w:rPr>
                <w:rFonts w:asciiTheme="minorHAnsi" w:hAnsiTheme="minorHAnsi" w:cstheme="minorHAnsi"/>
                <w:sz w:val="16"/>
                <w:szCs w:val="16"/>
              </w:rPr>
              <w:br/>
            </w:r>
            <w:r w:rsidRPr="00D81BC4">
              <w:rPr>
                <w:rFonts w:asciiTheme="minorHAnsi" w:hAnsiTheme="minorHAnsi" w:cstheme="minorHAnsi"/>
                <w:sz w:val="16"/>
                <w:szCs w:val="16"/>
              </w:rPr>
              <w:t>2. Osborn, D., N. Evans, and M. Kluckow, Randomized trial of dobutamine versus dopamine in preterm infants with low systemic blood flow. J Pediatr, 2002. 140(2): p. 183–91.</w:t>
            </w:r>
            <w:r w:rsidRPr="00D81BC4">
              <w:rPr>
                <w:rFonts w:asciiTheme="minorHAnsi" w:hAnsiTheme="minorHAnsi" w:cstheme="minorHAnsi"/>
                <w:sz w:val="16"/>
                <w:szCs w:val="16"/>
              </w:rPr>
              <w:br/>
            </w:r>
            <w:r w:rsidRPr="00D81BC4">
              <w:rPr>
                <w:rFonts w:asciiTheme="minorHAnsi" w:hAnsiTheme="minorHAnsi" w:cstheme="minorHAnsi"/>
                <w:sz w:val="16"/>
                <w:szCs w:val="16"/>
              </w:rPr>
              <w:t>3. Subhedar, N.V. and N.J. Shaw, Dopamine versus dobutamine for hypotensive preterm infants. Cochrane Database Syst Rev, 2003(3): p. CD001242.</w:t>
            </w:r>
            <w:r w:rsidRPr="00D81BC4">
              <w:rPr>
                <w:rFonts w:asciiTheme="minorHAnsi" w:hAnsiTheme="minorHAnsi" w:cstheme="minorHAnsi"/>
                <w:sz w:val="16"/>
                <w:szCs w:val="16"/>
              </w:rPr>
              <w:br/>
            </w:r>
            <w:r w:rsidRPr="00D81BC4">
              <w:rPr>
                <w:rFonts w:asciiTheme="minorHAnsi" w:hAnsiTheme="minorHAnsi" w:cstheme="minorHAnsi"/>
                <w:sz w:val="16"/>
                <w:szCs w:val="16"/>
              </w:rPr>
              <w:t>4. Roze, J.C., et al., Response to dobutamine and dopamine in the hypotensive very preterm infant. Arch Dis Child, 1993. 69(1 Spec No): p. 59–63.</w:t>
            </w:r>
            <w:r w:rsidRPr="00D81BC4">
              <w:rPr>
                <w:rFonts w:asciiTheme="minorHAnsi" w:hAnsiTheme="minorHAnsi" w:cstheme="minorHAnsi"/>
                <w:sz w:val="16"/>
                <w:szCs w:val="16"/>
              </w:rPr>
              <w:br/>
            </w:r>
            <w:r w:rsidRPr="00D81BC4">
              <w:rPr>
                <w:rFonts w:asciiTheme="minorHAnsi" w:hAnsiTheme="minorHAnsi" w:cstheme="minorHAnsi"/>
                <w:sz w:val="16"/>
                <w:szCs w:val="16"/>
              </w:rPr>
              <w:t>5. Barrington, K. and L.P. Brion, Dopamine versus no treatment to prevent renal dysfunction in indomethacin-treated preterm newborn infants. Cochrane Database Syst Rev, 2002(3): p. CD003213.</w:t>
            </w:r>
            <w:r w:rsidRPr="00D81BC4">
              <w:rPr>
                <w:rFonts w:asciiTheme="minorHAnsi" w:hAnsiTheme="minorHAnsi" w:cstheme="minorHAnsi"/>
                <w:sz w:val="16"/>
                <w:szCs w:val="16"/>
              </w:rPr>
              <w:br/>
            </w:r>
            <w:r w:rsidRPr="00D81BC4">
              <w:rPr>
                <w:rFonts w:asciiTheme="minorHAnsi" w:hAnsiTheme="minorHAnsi" w:cstheme="minorHAnsi"/>
                <w:sz w:val="16"/>
                <w:szCs w:val="16"/>
              </w:rPr>
              <w:t>6. Havel, C., et al., Vasopressors for hypotensive shock. Cochrane Database Syst Rev, 2011(5): p. CD003709.</w:t>
            </w:r>
            <w:r w:rsidRPr="00D81BC4">
              <w:rPr>
                <w:rFonts w:asciiTheme="minorHAnsi" w:hAnsiTheme="minorHAnsi" w:cstheme="minorHAnsi"/>
                <w:sz w:val="16"/>
                <w:szCs w:val="16"/>
              </w:rPr>
              <w:br/>
            </w:r>
            <w:r w:rsidRPr="00D81BC4">
              <w:rPr>
                <w:rFonts w:asciiTheme="minorHAnsi" w:hAnsiTheme="minorHAnsi" w:cstheme="minorHAnsi"/>
                <w:sz w:val="16"/>
                <w:szCs w:val="16"/>
              </w:rPr>
              <w:t>7. Padbury, J.F., et al., Dopamine pharmacokinetics in critically ill newborn infants. J Pediatr, 1987. 110(2): p. 293–8</w:t>
            </w:r>
            <w:r w:rsidRPr="00D81BC4">
              <w:rPr>
                <w:rFonts w:asciiTheme="minorHAnsi" w:hAnsiTheme="minorHAnsi" w:cstheme="minorHAnsi"/>
                <w:sz w:val="16"/>
                <w:szCs w:val="16"/>
              </w:rPr>
              <w:br/>
            </w:r>
            <w:r w:rsidRPr="00D81BC4">
              <w:rPr>
                <w:rFonts w:asciiTheme="minorHAnsi" w:hAnsiTheme="minorHAnsi" w:cstheme="minorHAnsi"/>
                <w:sz w:val="16"/>
                <w:szCs w:val="16"/>
              </w:rPr>
              <w:t>8. Young TE, Mangum B [2008]. Neofax: A manual of drugs used in neonatal care. Acorn Publishing, Inc. Raleigh, NC 27619</w:t>
            </w:r>
            <w:r w:rsidRPr="00D81BC4">
              <w:rPr>
                <w:rFonts w:asciiTheme="minorHAnsi" w:hAnsiTheme="minorHAnsi" w:cstheme="minorHAnsi"/>
                <w:sz w:val="16"/>
                <w:szCs w:val="16"/>
              </w:rPr>
              <w:br/>
            </w:r>
            <w:r w:rsidRPr="00D81BC4">
              <w:rPr>
                <w:rFonts w:asciiTheme="minorHAnsi" w:hAnsiTheme="minorHAnsi" w:cstheme="minorHAnsi"/>
                <w:sz w:val="16"/>
                <w:szCs w:val="16"/>
              </w:rPr>
              <w:t>9. Australian Injectable Drugs Handbook, 6th Edition, Society of Hospital Pharmacists of Australia 2014</w:t>
            </w:r>
          </w:p>
        </w:tc>
      </w:tr>
    </w:tbl>
    <w:p w:rsidRPr="00E25790" w:rsidR="003450BD" w:rsidP="006F0321" w:rsidRDefault="003450BD" w14:paraId="574053D4" w14:textId="77777777"/>
    <w:p w:rsidRPr="00E25790" w:rsidR="00115F48" w:rsidP="006F0321" w:rsidRDefault="00115F48" w14:paraId="3BC75E75" w14:textId="77777777"/>
    <w:tbl>
      <w:tblPr>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253"/>
        <w:gridCol w:w="4394"/>
      </w:tblGrid>
      <w:tr w:rsidRPr="009A59C5" w:rsidR="00E424B4" w:rsidTr="00DD5C49" w14:paraId="6A50DA2D" w14:textId="77777777">
        <w:tc>
          <w:tcPr>
            <w:tcW w:w="4253" w:type="dxa"/>
            <w:vAlign w:val="center"/>
          </w:tcPr>
          <w:p w:rsidRPr="009A59C5" w:rsidR="00DD5C49" w:rsidP="00EC6FC6" w:rsidRDefault="00DD5C49" w14:paraId="6A7F7502" w14:textId="77777777">
            <w:r w:rsidRPr="009A59C5">
              <w:t>Original version Date: 9/11/2015</w:t>
            </w:r>
          </w:p>
        </w:tc>
        <w:tc>
          <w:tcPr>
            <w:tcW w:w="4394" w:type="dxa"/>
            <w:vAlign w:val="center"/>
          </w:tcPr>
          <w:p w:rsidRPr="009A59C5" w:rsidR="00DD5C49" w:rsidP="00EC6FC6" w:rsidRDefault="00DD5C49" w14:paraId="36B8CB02" w14:textId="77777777">
            <w:r w:rsidRPr="009A59C5">
              <w:t>Author: NeoMed Consensus Group</w:t>
            </w:r>
          </w:p>
        </w:tc>
      </w:tr>
      <w:tr w:rsidRPr="009A59C5" w:rsidR="00E424B4" w:rsidTr="00DD5C49" w14:paraId="2A4E609D" w14:textId="77777777">
        <w:tc>
          <w:tcPr>
            <w:tcW w:w="4253" w:type="dxa"/>
            <w:vAlign w:val="center"/>
          </w:tcPr>
          <w:p w:rsidRPr="009A59C5" w:rsidR="00DD5C49" w:rsidP="00EC6FC6" w:rsidRDefault="00DD5C49" w14:paraId="3ACED101" w14:textId="523D3AA3">
            <w:pPr>
              <w:rPr>
                <w:bCs/>
              </w:rPr>
            </w:pPr>
            <w:r w:rsidRPr="009A59C5">
              <w:t xml:space="preserve">Current Version number:  </w:t>
            </w:r>
            <w:r w:rsidR="00C34CE8">
              <w:t>2</w:t>
            </w:r>
          </w:p>
        </w:tc>
        <w:tc>
          <w:tcPr>
            <w:tcW w:w="4394" w:type="dxa"/>
            <w:vAlign w:val="center"/>
          </w:tcPr>
          <w:p w:rsidRPr="009A59C5" w:rsidR="00DD5C49" w:rsidP="00EC6FC6" w:rsidRDefault="00DD5C49" w14:paraId="2B34F958" w14:textId="79CA3638">
            <w:r w:rsidRPr="009A59C5">
              <w:t xml:space="preserve">Current Version Date: </w:t>
            </w:r>
            <w:r w:rsidR="00D81BC4">
              <w:t>18</w:t>
            </w:r>
            <w:r w:rsidR="00C34CE8">
              <w:t>/</w:t>
            </w:r>
            <w:r w:rsidR="00D81BC4">
              <w:t>6</w:t>
            </w:r>
            <w:r w:rsidR="00C34CE8">
              <w:t>/2021</w:t>
            </w:r>
          </w:p>
        </w:tc>
      </w:tr>
      <w:tr w:rsidRPr="009A59C5" w:rsidR="00E424B4" w:rsidTr="00DD5C49" w14:paraId="04422BEF" w14:textId="77777777">
        <w:tc>
          <w:tcPr>
            <w:tcW w:w="4253" w:type="dxa"/>
            <w:vAlign w:val="center"/>
          </w:tcPr>
          <w:p w:rsidRPr="009A59C5" w:rsidR="00DD5C49" w:rsidP="00EC6FC6" w:rsidRDefault="00DD5C49" w14:paraId="1BDD30FE" w14:textId="10B71930">
            <w:r w:rsidRPr="009A59C5">
              <w:t xml:space="preserve">Risk Rating: </w:t>
            </w:r>
            <w:r w:rsidR="00C34CE8">
              <w:t>Low</w:t>
            </w:r>
          </w:p>
        </w:tc>
        <w:tc>
          <w:tcPr>
            <w:tcW w:w="4394" w:type="dxa"/>
            <w:vAlign w:val="center"/>
          </w:tcPr>
          <w:p w:rsidRPr="009A59C5" w:rsidR="00DD5C49" w:rsidP="00EC6FC6" w:rsidRDefault="00DD5C49" w14:paraId="0FAD3E78" w14:textId="30BFF185">
            <w:r w:rsidRPr="009A59C5">
              <w:t xml:space="preserve">Due for Review:  </w:t>
            </w:r>
            <w:r w:rsidR="00D81BC4">
              <w:t>8</w:t>
            </w:r>
            <w:r w:rsidR="00C34CE8">
              <w:t>/</w:t>
            </w:r>
            <w:r w:rsidR="00D81BC4">
              <w:t>6</w:t>
            </w:r>
            <w:r w:rsidR="00C34CE8">
              <w:t>/2026</w:t>
            </w:r>
          </w:p>
        </w:tc>
      </w:tr>
      <w:tr w:rsidRPr="009A59C5" w:rsidR="00E424B4" w:rsidTr="00DD5C49" w14:paraId="28661C4A" w14:textId="77777777">
        <w:trPr>
          <w:trHeight w:val="344"/>
        </w:trPr>
        <w:tc>
          <w:tcPr>
            <w:tcW w:w="4253" w:type="dxa"/>
            <w:tcBorders>
              <w:bottom w:val="single" w:color="auto" w:sz="4" w:space="0"/>
            </w:tcBorders>
            <w:vAlign w:val="center"/>
          </w:tcPr>
          <w:p w:rsidRPr="009A59C5" w:rsidR="00DD5C49" w:rsidP="00EC6FC6" w:rsidRDefault="00DD5C49" w14:paraId="799C14FC" w14:textId="77777777">
            <w:r w:rsidRPr="009A59C5">
              <w:t xml:space="preserve">Approval by: </w:t>
            </w:r>
            <w:r>
              <w:t>DTC</w:t>
            </w:r>
          </w:p>
        </w:tc>
        <w:tc>
          <w:tcPr>
            <w:tcW w:w="4394" w:type="dxa"/>
            <w:tcBorders>
              <w:bottom w:val="single" w:color="auto" w:sz="4" w:space="0"/>
            </w:tcBorders>
            <w:vAlign w:val="center"/>
          </w:tcPr>
          <w:p w:rsidRPr="009A59C5" w:rsidR="00DD5C49" w:rsidP="00EC6FC6" w:rsidRDefault="00DD5C49" w14:paraId="73DE0B58" w14:textId="04B9BA9A">
            <w:r w:rsidRPr="009A59C5">
              <w:t>Approval Date:</w:t>
            </w:r>
            <w:r>
              <w:t xml:space="preserve"> </w:t>
            </w:r>
            <w:r w:rsidR="00260BC8">
              <w:t>APRIL 2021</w:t>
            </w:r>
          </w:p>
        </w:tc>
      </w:tr>
    </w:tbl>
    <w:p w:rsidR="00115F48" w:rsidP="006F0321" w:rsidRDefault="00115F48" w14:paraId="70581D52" w14:textId="77777777"/>
    <w:p w:rsidR="003450BD" w:rsidP="006F0321" w:rsidRDefault="003450BD" w14:paraId="032CD592" w14:textId="77777777"/>
    <w:p w:rsidR="003450BD" w:rsidP="006F0321" w:rsidRDefault="003450BD" w14:paraId="188D381E" w14:textId="77777777"/>
    <w:p w:rsidR="003450BD" w:rsidP="006F0321" w:rsidRDefault="003450BD" w14:paraId="360CA7A9" w14:textId="77777777"/>
    <w:p w:rsidR="003450BD" w:rsidP="006F0321" w:rsidRDefault="003450BD" w14:paraId="4EDE1C09" w14:textId="77777777"/>
    <w:p w:rsidR="003450BD" w:rsidP="006F0321" w:rsidRDefault="003450BD" w14:paraId="0307F4BD" w14:textId="77777777"/>
    <w:p w:rsidR="003450BD" w:rsidP="006F0321" w:rsidRDefault="003450BD" w14:paraId="63BC58D9" w14:textId="77777777"/>
    <w:p w:rsidR="003450BD" w:rsidP="006F0321" w:rsidRDefault="003450BD" w14:paraId="0193CB57" w14:textId="77777777"/>
    <w:p w:rsidR="003450BD" w:rsidP="006F0321" w:rsidRDefault="003450BD" w14:paraId="5BCF3247" w14:textId="77777777"/>
    <w:p w:rsidR="003450BD" w:rsidP="006F0321" w:rsidRDefault="003450BD" w14:paraId="774EC9B5" w14:textId="77777777"/>
    <w:p w:rsidR="003450BD" w:rsidP="006F0321" w:rsidRDefault="003450BD" w14:paraId="4A30FD8C" w14:textId="77777777"/>
    <w:p w:rsidR="003450BD" w:rsidP="006F0321" w:rsidRDefault="003450BD" w14:paraId="58E31778" w14:textId="77777777"/>
    <w:p w:rsidR="003450BD" w:rsidP="006F0321" w:rsidRDefault="003450BD" w14:paraId="711B9664" w14:textId="77777777"/>
    <w:p w:rsidR="003450BD" w:rsidP="006F0321" w:rsidRDefault="003450BD" w14:paraId="105A351A" w14:textId="77777777"/>
    <w:p w:rsidR="003450BD" w:rsidP="006F0321" w:rsidRDefault="003450BD" w14:paraId="40B33A96" w14:textId="77777777"/>
    <w:p w:rsidR="003450BD" w:rsidP="006F0321" w:rsidRDefault="003450BD" w14:paraId="4A9FBD37" w14:textId="77777777"/>
    <w:p w:rsidR="003450BD" w:rsidP="006F0321" w:rsidRDefault="003450BD" w14:paraId="5DE00347" w14:textId="77777777"/>
    <w:p w:rsidR="003450BD" w:rsidP="006F0321" w:rsidRDefault="003450BD" w14:paraId="0412CB10" w14:textId="77777777"/>
    <w:p w:rsidR="003450BD" w:rsidP="006F0321" w:rsidRDefault="003450BD" w14:paraId="08B8B19F" w14:textId="77777777"/>
    <w:p w:rsidR="003450BD" w:rsidP="006F0321" w:rsidRDefault="003450BD" w14:paraId="65E0A2B5" w14:textId="77777777"/>
    <w:p w:rsidR="003450BD" w:rsidP="006F0321" w:rsidRDefault="003450BD" w14:paraId="4BD425B7" w14:textId="77777777"/>
    <w:p w:rsidR="003450BD" w:rsidP="006F0321" w:rsidRDefault="003450BD" w14:paraId="09532FA7" w14:textId="77777777"/>
    <w:p w:rsidR="003450BD" w:rsidP="006F0321" w:rsidRDefault="003450BD" w14:paraId="7C81358A" w14:textId="77777777"/>
    <w:p w:rsidR="003450BD" w:rsidP="006F0321" w:rsidRDefault="003450BD" w14:paraId="7F1EE02D" w14:textId="77777777"/>
    <w:p w:rsidR="003450BD" w:rsidP="006F0321" w:rsidRDefault="003450BD" w14:paraId="089F123D" w14:textId="77777777"/>
    <w:p w:rsidR="003450BD" w:rsidP="006F0321" w:rsidRDefault="003450BD" w14:paraId="660DC8BE" w14:textId="77777777"/>
    <w:tbl>
      <w:tblPr>
        <w:tblW w:w="9049" w:type="dxa"/>
        <w:tblLayout w:type="fixed"/>
        <w:tblLook w:val="0000" w:firstRow="0" w:lastRow="0" w:firstColumn="0" w:lastColumn="0" w:noHBand="0" w:noVBand="0"/>
      </w:tblPr>
      <w:tblGrid>
        <w:gridCol w:w="4153"/>
        <w:gridCol w:w="4896"/>
      </w:tblGrid>
      <w:tr w:rsidRPr="00E25790" w:rsidR="007A35DC" w:rsidTr="00FE4186" w14:paraId="6D3258E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7A35DC" w:rsidP="00FE4186" w:rsidRDefault="00512827" w14:paraId="498778CE" w14:textId="6FEC08BD">
            <w:pPr>
              <w:pStyle w:val="Heading1"/>
            </w:pPr>
            <w:bookmarkStart w:name="_Toc75339964" w:id="212"/>
            <w:r>
              <w:lastRenderedPageBreak/>
              <w:t>Enoxaparin</w:t>
            </w:r>
            <w:r w:rsidR="00514536">
              <w:t xml:space="preserve"> (Clexane)</w:t>
            </w:r>
            <w:bookmarkEnd w:id="212"/>
            <w:r w:rsidRPr="00E25790" w:rsidR="007A35DC">
              <w:fldChar w:fldCharType="begin"/>
            </w:r>
            <w:r w:rsidRPr="00E25790" w:rsidR="007A35DC">
              <w:instrText>tc "Epoprostenol" \l 0</w:instrText>
            </w:r>
            <w:r w:rsidRPr="00E25790" w:rsidR="007A35DC">
              <w:fldChar w:fldCharType="end"/>
            </w:r>
          </w:p>
        </w:tc>
      </w:tr>
      <w:tr w:rsidRPr="00E25790" w:rsidR="007A35DC" w:rsidTr="00FE4186" w14:paraId="4C916D48"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7A35DC" w:rsidP="00FE4186" w:rsidRDefault="007A35DC" w14:paraId="3F8A004B" w14:textId="267FC16F">
            <w:r w:rsidRPr="00E25790">
              <w:t xml:space="preserve">Revision Date : </w:t>
            </w:r>
            <w:r>
              <w:fldChar w:fldCharType="begin"/>
            </w:r>
            <w:r>
              <w:instrText xml:space="preserve"> CREATEDATE  </w:instrText>
            </w:r>
            <w:r>
              <w:fldChar w:fldCharType="separate"/>
            </w:r>
            <w:r w:rsidR="0069451F">
              <w:rPr>
                <w:noProof/>
              </w:rPr>
              <w:t>1-3-2021</w:t>
            </w:r>
            <w:r>
              <w:rPr>
                <w:noProof/>
              </w:rPr>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7A35DC" w:rsidP="00FE4186" w:rsidRDefault="007A35DC" w14:paraId="2C3A1DAE" w14:textId="66B9CD4D">
            <w:r w:rsidRPr="00E25790">
              <w:t xml:space="preserve">Approved : </w:t>
            </w:r>
            <w:r>
              <w:t>TC, KOH</w:t>
            </w:r>
          </w:p>
        </w:tc>
      </w:tr>
    </w:tbl>
    <w:p w:rsidR="003450BD" w:rsidP="006F0321" w:rsidRDefault="003450BD" w14:paraId="771F5526" w14:textId="021A5188"/>
    <w:tbl>
      <w:tblPr>
        <w:tblW w:w="98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8080"/>
      </w:tblGrid>
      <w:tr w:rsidRPr="003A7895" w:rsidR="000E1194" w:rsidTr="000E1194" w14:paraId="7C5F1511" w14:textId="77777777">
        <w:trPr>
          <w:trHeight w:val="70"/>
        </w:trPr>
        <w:tc>
          <w:tcPr>
            <w:tcW w:w="1730" w:type="dxa"/>
          </w:tcPr>
          <w:p w:rsidRPr="00B53E9B" w:rsidR="000E1194" w:rsidP="00FE4186" w:rsidRDefault="000E1194" w14:paraId="1656DD07"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8080" w:type="dxa"/>
          </w:tcPr>
          <w:p w:rsidR="000E1194" w:rsidP="00FE4186" w:rsidRDefault="000E1194" w14:paraId="1D6A1635" w14:textId="77777777">
            <w:pPr>
              <w:pStyle w:val="BodyText"/>
              <w:rPr>
                <w:rFonts w:cs="Arial"/>
                <w:sz w:val="20"/>
                <w:lang w:val="en-AU"/>
              </w:rPr>
            </w:pPr>
            <w:r>
              <w:rPr>
                <w:rFonts w:cs="Arial"/>
                <w:sz w:val="20"/>
                <w:lang w:val="en-AU"/>
              </w:rPr>
              <w:t xml:space="preserve">Enoxaparin is one type of low molecular weight heparin (LMWH). </w:t>
            </w:r>
          </w:p>
          <w:p w:rsidR="000E1194" w:rsidP="00FE4186" w:rsidRDefault="000E1194" w14:paraId="09E2BFBB" w14:textId="77777777">
            <w:pPr>
              <w:pStyle w:val="BodyText"/>
              <w:rPr>
                <w:rFonts w:cs="Arial"/>
                <w:sz w:val="20"/>
                <w:lang w:val="en-AU"/>
              </w:rPr>
            </w:pPr>
            <w:r>
              <w:rPr>
                <w:rFonts w:cs="Arial"/>
                <w:sz w:val="20"/>
                <w:lang w:val="en-AU"/>
              </w:rPr>
              <w:t xml:space="preserve">Commonly known as Clexane. </w:t>
            </w:r>
          </w:p>
          <w:p w:rsidR="000E1194" w:rsidP="00FE4186" w:rsidRDefault="000E1194" w14:paraId="5AE21F8E" w14:textId="77777777">
            <w:pPr>
              <w:pStyle w:val="BodyText"/>
              <w:rPr>
                <w:rFonts w:cs="Arial"/>
                <w:sz w:val="20"/>
                <w:lang w:val="en-AU"/>
              </w:rPr>
            </w:pPr>
            <w:r>
              <w:rPr>
                <w:rFonts w:cs="Arial"/>
                <w:sz w:val="20"/>
                <w:lang w:val="en-AU"/>
              </w:rPr>
              <w:t>High risk medication. An overdose can be fatal.</w:t>
            </w:r>
          </w:p>
          <w:p w:rsidR="000E1194" w:rsidP="00FE4186" w:rsidRDefault="000E1194" w14:paraId="2FE17463" w14:textId="77777777">
            <w:pPr>
              <w:pStyle w:val="BodyText"/>
              <w:rPr>
                <w:rFonts w:cs="Arial"/>
                <w:sz w:val="20"/>
                <w:lang w:val="en-AU"/>
              </w:rPr>
            </w:pPr>
            <w:r>
              <w:rPr>
                <w:rFonts w:cs="Arial"/>
                <w:sz w:val="20"/>
                <w:lang w:val="en-AU"/>
              </w:rPr>
              <w:t>T</w:t>
            </w:r>
            <w:r w:rsidRPr="00F205D5">
              <w:rPr>
                <w:rFonts w:cs="Arial"/>
                <w:sz w:val="20"/>
                <w:lang w:val="en-AU"/>
              </w:rPr>
              <w:t>reatment must be discussed with the Haematologist on-call before commencement.</w:t>
            </w:r>
          </w:p>
          <w:p w:rsidR="000E1194" w:rsidP="00FE4186" w:rsidRDefault="000E1194" w14:paraId="773ABFB8" w14:textId="77777777">
            <w:pPr>
              <w:pStyle w:val="BodyText"/>
              <w:rPr>
                <w:rFonts w:cs="Arial"/>
                <w:sz w:val="20"/>
                <w:lang w:val="en-AU"/>
              </w:rPr>
            </w:pPr>
            <w:r w:rsidRPr="002527C5">
              <w:rPr>
                <w:rFonts w:cs="Arial"/>
                <w:sz w:val="20"/>
                <w:lang w:val="en-AU"/>
              </w:rPr>
              <w:t xml:space="preserve">LMWH is not a suitable choice of anticoagulant in patients with significant bleeding risk (unfractionated heparin </w:t>
            </w:r>
            <w:r>
              <w:rPr>
                <w:rFonts w:cs="Arial"/>
                <w:sz w:val="20"/>
                <w:lang w:val="en-AU"/>
              </w:rPr>
              <w:t xml:space="preserve">(UFH) </w:t>
            </w:r>
            <w:r w:rsidRPr="002527C5">
              <w:rPr>
                <w:rFonts w:cs="Arial"/>
                <w:sz w:val="20"/>
                <w:lang w:val="en-AU"/>
              </w:rPr>
              <w:t xml:space="preserve">is preferred), who are clinically unstable or about to have invasive procedures. </w:t>
            </w:r>
            <w:r>
              <w:rPr>
                <w:rFonts w:cs="Arial"/>
                <w:sz w:val="20"/>
                <w:lang w:val="en-AU"/>
              </w:rPr>
              <w:t xml:space="preserve">This is due to </w:t>
            </w:r>
            <w:r w:rsidRPr="002527C5">
              <w:rPr>
                <w:rFonts w:cs="Arial"/>
                <w:sz w:val="20"/>
                <w:lang w:val="en-AU"/>
              </w:rPr>
              <w:t>longer half-life than UFH and only partial reversal with protamine</w:t>
            </w:r>
            <w:r>
              <w:rPr>
                <w:rFonts w:cs="Arial"/>
                <w:sz w:val="20"/>
                <w:lang w:val="en-AU"/>
              </w:rPr>
              <w:t>.</w:t>
            </w:r>
          </w:p>
          <w:p w:rsidRPr="00026F20" w:rsidR="000E1194" w:rsidP="00FE4186" w:rsidRDefault="000E1194" w14:paraId="23D9FA2B" w14:textId="77777777">
            <w:pPr>
              <w:pStyle w:val="BodyText"/>
              <w:rPr>
                <w:rFonts w:cs="Arial"/>
                <w:sz w:val="20"/>
                <w:lang w:val="en-AU"/>
              </w:rPr>
            </w:pPr>
            <w:r w:rsidRPr="00F205D5">
              <w:rPr>
                <w:rFonts w:cs="Arial"/>
                <w:sz w:val="20"/>
                <w:lang w:val="en-AU"/>
              </w:rPr>
              <w:t>Monitoring is performed with anti-</w:t>
            </w:r>
            <w:r>
              <w:rPr>
                <w:rFonts w:cs="Arial"/>
                <w:sz w:val="20"/>
                <w:lang w:val="en-AU"/>
              </w:rPr>
              <w:t xml:space="preserve">factor </w:t>
            </w:r>
            <w:r w:rsidRPr="00F205D5">
              <w:rPr>
                <w:rFonts w:cs="Arial"/>
                <w:sz w:val="20"/>
                <w:lang w:val="en-AU"/>
              </w:rPr>
              <w:t>Xa levels</w:t>
            </w:r>
            <w:r>
              <w:rPr>
                <w:rFonts w:cs="Arial"/>
                <w:sz w:val="20"/>
                <w:lang w:val="en-AU"/>
              </w:rPr>
              <w:t xml:space="preserve">. </w:t>
            </w:r>
            <w:r w:rsidRPr="00915A17">
              <w:rPr>
                <w:rFonts w:cs="Arial"/>
                <w:sz w:val="20"/>
                <w:lang w:val="en-AU"/>
              </w:rPr>
              <w:t>The APTT is not useful in monitoring LMWH therapy.</w:t>
            </w:r>
            <w:r>
              <w:rPr>
                <w:rFonts w:cs="Arial"/>
                <w:sz w:val="20"/>
                <w:lang w:val="en-AU"/>
              </w:rPr>
              <w:t xml:space="preserve"> Please check with your local pathology department on what time of the day/night anti-factor Xa sample processing is performed.</w:t>
            </w:r>
          </w:p>
        </w:tc>
      </w:tr>
      <w:tr w:rsidRPr="003A7895" w:rsidR="000E1194" w:rsidTr="000E1194" w14:paraId="311C3E35" w14:textId="77777777">
        <w:trPr>
          <w:trHeight w:val="72"/>
        </w:trPr>
        <w:tc>
          <w:tcPr>
            <w:tcW w:w="1730" w:type="dxa"/>
          </w:tcPr>
          <w:p w:rsidRPr="00B53E9B" w:rsidR="000E1194" w:rsidP="00FE4186" w:rsidRDefault="000E1194" w14:paraId="66B81806" w14:textId="77777777">
            <w:pPr>
              <w:pStyle w:val="BodyText"/>
              <w:rPr>
                <w:rFonts w:cs="Arial"/>
                <w:sz w:val="20"/>
                <w:lang w:val="en-AU"/>
              </w:rPr>
            </w:pPr>
            <w:r w:rsidRPr="00B53E9B">
              <w:rPr>
                <w:rFonts w:cs="Arial"/>
                <w:b/>
                <w:bCs/>
                <w:sz w:val="20"/>
                <w:lang w:val="en-AU"/>
              </w:rPr>
              <w:t>Indication</w:t>
            </w:r>
          </w:p>
        </w:tc>
        <w:tc>
          <w:tcPr>
            <w:tcW w:w="8080" w:type="dxa"/>
          </w:tcPr>
          <w:p w:rsidR="000E1194" w:rsidP="00FE4186" w:rsidRDefault="000E1194" w14:paraId="3F7E78EB" w14:textId="77777777">
            <w:pPr>
              <w:rPr>
                <w:sz w:val="20"/>
              </w:rPr>
            </w:pPr>
            <w:r>
              <w:rPr>
                <w:sz w:val="20"/>
              </w:rPr>
              <w:t>Prophylaxis of thromboembolic disorder.</w:t>
            </w:r>
          </w:p>
          <w:p w:rsidR="000E1194" w:rsidP="00FE4186" w:rsidRDefault="000E1194" w14:paraId="71F1A7EF" w14:textId="77777777">
            <w:pPr>
              <w:rPr>
                <w:sz w:val="20"/>
              </w:rPr>
            </w:pPr>
          </w:p>
          <w:p w:rsidRPr="00A4414D" w:rsidR="000E1194" w:rsidP="00FE4186" w:rsidRDefault="000E1194" w14:paraId="5EC4707C" w14:textId="77777777">
            <w:pPr>
              <w:rPr>
                <w:sz w:val="20"/>
              </w:rPr>
            </w:pPr>
            <w:r>
              <w:rPr>
                <w:sz w:val="20"/>
              </w:rPr>
              <w:t>(Note: Enoxaparin/heparin</w:t>
            </w:r>
            <w:r w:rsidRPr="002527C5">
              <w:rPr>
                <w:sz w:val="20"/>
              </w:rPr>
              <w:t xml:space="preserve"> does not treat the clot that has already occurred but rather its role is to prevent clot exte</w:t>
            </w:r>
            <w:r>
              <w:rPr>
                <w:sz w:val="20"/>
              </w:rPr>
              <w:t>nsion, i.e. secondary prophylaxis)</w:t>
            </w:r>
          </w:p>
        </w:tc>
      </w:tr>
      <w:tr w:rsidRPr="003A7895" w:rsidR="000E1194" w:rsidTr="000E1194" w14:paraId="3F8F22CA" w14:textId="77777777">
        <w:trPr>
          <w:trHeight w:val="70"/>
        </w:trPr>
        <w:tc>
          <w:tcPr>
            <w:tcW w:w="1730" w:type="dxa"/>
          </w:tcPr>
          <w:p w:rsidRPr="00B53E9B" w:rsidR="000E1194" w:rsidP="00FE4186" w:rsidRDefault="000E1194" w14:paraId="238B4615" w14:textId="77777777">
            <w:pPr>
              <w:pStyle w:val="BodyText"/>
              <w:rPr>
                <w:rFonts w:cs="Arial"/>
                <w:b/>
                <w:bCs/>
                <w:sz w:val="20"/>
                <w:lang w:val="en-AU"/>
              </w:rPr>
            </w:pPr>
            <w:r w:rsidRPr="00B53E9B">
              <w:rPr>
                <w:rFonts w:cs="Arial"/>
                <w:b/>
                <w:bCs/>
                <w:sz w:val="20"/>
                <w:lang w:val="en-AU"/>
              </w:rPr>
              <w:t>Action</w:t>
            </w:r>
          </w:p>
        </w:tc>
        <w:tc>
          <w:tcPr>
            <w:tcW w:w="8080" w:type="dxa"/>
          </w:tcPr>
          <w:p w:rsidRPr="00A4414D" w:rsidR="000E1194" w:rsidP="00FE4186" w:rsidRDefault="000E1194" w14:paraId="310C4A67" w14:textId="77777777">
            <w:pPr>
              <w:rPr>
                <w:rFonts w:cs="Arial"/>
                <w:sz w:val="20"/>
              </w:rPr>
            </w:pPr>
            <w:r w:rsidRPr="002527C5">
              <w:rPr>
                <w:rFonts w:cs="Arial"/>
                <w:sz w:val="20"/>
              </w:rPr>
              <w:t>It binds to and potentiates anti-thrombin III activity leading to irreversible inactivation of factor Xa, and to a lesser</w:t>
            </w:r>
            <w:r>
              <w:rPr>
                <w:rFonts w:cs="Arial"/>
                <w:sz w:val="20"/>
              </w:rPr>
              <w:t xml:space="preserve"> </w:t>
            </w:r>
            <w:r w:rsidRPr="002527C5">
              <w:rPr>
                <w:rFonts w:cs="Arial"/>
                <w:sz w:val="20"/>
              </w:rPr>
              <w:t>degree inactivation of factor IIa; in turn, inhibiting thrombin and fibrinogen generation.</w:t>
            </w:r>
          </w:p>
        </w:tc>
      </w:tr>
      <w:tr w:rsidRPr="003A7895" w:rsidR="000E1194" w:rsidTr="000E1194" w14:paraId="387B3CFA" w14:textId="77777777">
        <w:trPr>
          <w:trHeight w:val="266"/>
        </w:trPr>
        <w:tc>
          <w:tcPr>
            <w:tcW w:w="1730" w:type="dxa"/>
          </w:tcPr>
          <w:p w:rsidRPr="00B53E9B" w:rsidR="000E1194" w:rsidP="00FE4186" w:rsidRDefault="000E1194" w14:paraId="71368342"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8080" w:type="dxa"/>
          </w:tcPr>
          <w:p w:rsidRPr="00026F20" w:rsidR="000E1194" w:rsidP="00FE4186" w:rsidRDefault="000E1194" w14:paraId="5356800C" w14:textId="77777777">
            <w:pPr>
              <w:pStyle w:val="BodyText"/>
              <w:rPr>
                <w:rFonts w:cs="Arial"/>
                <w:sz w:val="20"/>
                <w:lang w:val="en-AU"/>
              </w:rPr>
            </w:pPr>
            <w:r w:rsidRPr="00DB7770">
              <w:rPr>
                <w:rFonts w:cs="Arial"/>
                <w:sz w:val="20"/>
                <w:lang w:val="en-AU"/>
              </w:rPr>
              <w:t>Antithrombotic agent</w:t>
            </w:r>
            <w:r>
              <w:rPr>
                <w:rFonts w:cs="Arial"/>
                <w:sz w:val="20"/>
                <w:lang w:val="en-AU"/>
              </w:rPr>
              <w:t>/ anticoagulant; LMWH</w:t>
            </w:r>
          </w:p>
        </w:tc>
      </w:tr>
      <w:tr w:rsidRPr="003A7895" w:rsidR="000E1194" w:rsidTr="000E1194" w14:paraId="7115104F" w14:textId="77777777">
        <w:trPr>
          <w:trHeight w:val="114"/>
        </w:trPr>
        <w:tc>
          <w:tcPr>
            <w:tcW w:w="1730" w:type="dxa"/>
          </w:tcPr>
          <w:p w:rsidRPr="00B53E9B" w:rsidR="000E1194" w:rsidP="00FE4186" w:rsidRDefault="000E1194" w14:paraId="6ADF1CE2"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8080" w:type="dxa"/>
          </w:tcPr>
          <w:p w:rsidRPr="00026F20" w:rsidR="000E1194" w:rsidP="00FE4186" w:rsidRDefault="000E1194" w14:paraId="0C63F0AF" w14:textId="77777777">
            <w:pPr>
              <w:pStyle w:val="BodyText"/>
              <w:rPr>
                <w:rFonts w:cs="Arial"/>
                <w:sz w:val="20"/>
                <w:lang w:val="en-AU"/>
              </w:rPr>
            </w:pPr>
            <w:r>
              <w:rPr>
                <w:rFonts w:cs="Arial"/>
                <w:sz w:val="20"/>
                <w:lang w:val="en-AU"/>
              </w:rPr>
              <w:t>Clexane, Clexane Forte</w:t>
            </w:r>
          </w:p>
        </w:tc>
      </w:tr>
      <w:tr w:rsidRPr="003A7895" w:rsidR="000E1194" w:rsidTr="000E1194" w14:paraId="5CB088A0" w14:textId="77777777">
        <w:trPr>
          <w:trHeight w:val="70"/>
        </w:trPr>
        <w:tc>
          <w:tcPr>
            <w:tcW w:w="1730" w:type="dxa"/>
          </w:tcPr>
          <w:p w:rsidRPr="00B53E9B" w:rsidR="000E1194" w:rsidP="00FE4186" w:rsidRDefault="000E1194" w14:paraId="501FA361" w14:textId="77777777">
            <w:pPr>
              <w:pStyle w:val="BodyText"/>
              <w:rPr>
                <w:rFonts w:cs="Arial"/>
                <w:b/>
                <w:bCs/>
                <w:sz w:val="20"/>
                <w:lang w:val="en-AU"/>
              </w:rPr>
            </w:pPr>
            <w:r w:rsidRPr="00B53E9B">
              <w:rPr>
                <w:rFonts w:cs="Arial"/>
                <w:b/>
                <w:bCs/>
                <w:sz w:val="20"/>
                <w:lang w:val="en-AU"/>
              </w:rPr>
              <w:t xml:space="preserve">Presentation </w:t>
            </w:r>
          </w:p>
        </w:tc>
        <w:tc>
          <w:tcPr>
            <w:tcW w:w="8080" w:type="dxa"/>
          </w:tcPr>
          <w:p w:rsidR="000E1194" w:rsidP="00FE4186" w:rsidRDefault="000E1194" w14:paraId="68CBA3AA" w14:textId="77777777">
            <w:pPr>
              <w:pStyle w:val="BodyText"/>
              <w:rPr>
                <w:rFonts w:cs="Arial"/>
                <w:sz w:val="20"/>
                <w:lang w:val="en-AU"/>
              </w:rPr>
            </w:pPr>
            <w:r>
              <w:rPr>
                <w:rFonts w:cs="Arial"/>
                <w:sz w:val="20"/>
                <w:lang w:val="en-AU"/>
              </w:rPr>
              <w:t>Clexane (enoxaparin sodium) prefilled syringes, with/out automatic safety lock system, solution for injection*:</w:t>
            </w:r>
          </w:p>
          <w:p w:rsidR="000E1194" w:rsidP="00FE4186" w:rsidRDefault="000E1194" w14:paraId="6752B262" w14:textId="77777777">
            <w:pPr>
              <w:pStyle w:val="BodyText"/>
              <w:rPr>
                <w:rFonts w:cs="Arial"/>
                <w:sz w:val="20"/>
                <w:lang w:val="en-AU"/>
              </w:rPr>
            </w:pPr>
            <w:r>
              <w:rPr>
                <w:rFonts w:cs="Arial"/>
                <w:sz w:val="20"/>
                <w:lang w:val="en-AU"/>
              </w:rPr>
              <w:t>20 mg/0.2mL</w:t>
            </w:r>
          </w:p>
          <w:p w:rsidR="000E1194" w:rsidP="00FE4186" w:rsidRDefault="000E1194" w14:paraId="6A923C94" w14:textId="77777777">
            <w:pPr>
              <w:pStyle w:val="BodyText"/>
              <w:rPr>
                <w:rFonts w:cs="Arial"/>
                <w:sz w:val="20"/>
                <w:lang w:val="en-AU"/>
              </w:rPr>
            </w:pPr>
            <w:r>
              <w:rPr>
                <w:rFonts w:cs="Arial"/>
                <w:sz w:val="20"/>
                <w:lang w:val="en-AU"/>
              </w:rPr>
              <w:t>40 mg/0.4mL</w:t>
            </w:r>
          </w:p>
          <w:p w:rsidR="000E1194" w:rsidP="00FE4186" w:rsidRDefault="000E1194" w14:paraId="072AF7F3" w14:textId="77777777">
            <w:pPr>
              <w:pStyle w:val="BodyText"/>
              <w:rPr>
                <w:rFonts w:cs="Arial"/>
                <w:sz w:val="20"/>
                <w:lang w:val="en-AU"/>
              </w:rPr>
            </w:pPr>
            <w:r>
              <w:rPr>
                <w:rFonts w:cs="Arial"/>
                <w:sz w:val="20"/>
                <w:lang w:val="en-AU"/>
              </w:rPr>
              <w:t>60 mg/0.6mL</w:t>
            </w:r>
          </w:p>
          <w:p w:rsidR="000E1194" w:rsidP="00FE4186" w:rsidRDefault="000E1194" w14:paraId="1676D443" w14:textId="77777777">
            <w:pPr>
              <w:pStyle w:val="BodyText"/>
              <w:rPr>
                <w:rFonts w:cs="Arial"/>
                <w:sz w:val="20"/>
                <w:lang w:val="en-AU"/>
              </w:rPr>
            </w:pPr>
            <w:r>
              <w:rPr>
                <w:rFonts w:cs="Arial"/>
                <w:sz w:val="20"/>
                <w:lang w:val="en-AU"/>
              </w:rPr>
              <w:t>80 mg/0.8mL</w:t>
            </w:r>
          </w:p>
          <w:p w:rsidR="000E1194" w:rsidP="00FE4186" w:rsidRDefault="000E1194" w14:paraId="67B9BD8B" w14:textId="77777777">
            <w:pPr>
              <w:pStyle w:val="BodyText"/>
              <w:rPr>
                <w:rFonts w:cs="Arial"/>
                <w:sz w:val="20"/>
                <w:lang w:val="en-AU"/>
              </w:rPr>
            </w:pPr>
            <w:r>
              <w:rPr>
                <w:rFonts w:cs="Arial"/>
                <w:sz w:val="20"/>
                <w:lang w:val="en-AU"/>
              </w:rPr>
              <w:t>100 mg/1mL</w:t>
            </w:r>
          </w:p>
          <w:p w:rsidR="000E1194" w:rsidP="00FE4186" w:rsidRDefault="000E1194" w14:paraId="5BA967F8" w14:textId="77777777">
            <w:pPr>
              <w:pStyle w:val="BodyText"/>
              <w:rPr>
                <w:rFonts w:cs="Arial"/>
                <w:sz w:val="20"/>
                <w:lang w:val="en-AU"/>
              </w:rPr>
            </w:pPr>
            <w:r>
              <w:rPr>
                <w:rFonts w:cs="Arial"/>
                <w:sz w:val="20"/>
                <w:lang w:val="en-AU"/>
              </w:rPr>
              <w:t>*containing 10 000 anti-Xa unit/mL</w:t>
            </w:r>
          </w:p>
          <w:p w:rsidR="000E1194" w:rsidP="00FE4186" w:rsidRDefault="000E1194" w14:paraId="0D067335" w14:textId="77777777">
            <w:pPr>
              <w:pStyle w:val="BodyText"/>
              <w:rPr>
                <w:rFonts w:cs="Arial"/>
                <w:sz w:val="20"/>
                <w:lang w:val="en-AU"/>
              </w:rPr>
            </w:pPr>
          </w:p>
          <w:p w:rsidR="000E1194" w:rsidP="00FE4186" w:rsidRDefault="000E1194" w14:paraId="4B7E7120" w14:textId="77777777">
            <w:pPr>
              <w:pStyle w:val="BodyText"/>
              <w:rPr>
                <w:rFonts w:cs="Arial"/>
                <w:sz w:val="20"/>
                <w:lang w:val="en-AU"/>
              </w:rPr>
            </w:pPr>
            <w:r>
              <w:rPr>
                <w:rFonts w:cs="Arial"/>
                <w:sz w:val="20"/>
                <w:lang w:val="en-AU"/>
              </w:rPr>
              <w:t>Clexane Forte, with/out automatic safety lock system, solution for injection</w:t>
            </w:r>
            <w:r>
              <w:rPr>
                <w:rFonts w:cs="Calibri"/>
                <w:sz w:val="20"/>
                <w:vertAlign w:val="superscript"/>
                <w:lang w:val="en-AU"/>
              </w:rPr>
              <w:t>Δ</w:t>
            </w:r>
            <w:r>
              <w:rPr>
                <w:rFonts w:cs="Arial"/>
                <w:sz w:val="20"/>
                <w:lang w:val="en-AU"/>
              </w:rPr>
              <w:t xml:space="preserve">: </w:t>
            </w:r>
          </w:p>
          <w:p w:rsidR="000E1194" w:rsidP="00FE4186" w:rsidRDefault="000E1194" w14:paraId="4CC6AD4B" w14:textId="77777777">
            <w:pPr>
              <w:pStyle w:val="BodyText"/>
              <w:rPr>
                <w:rFonts w:cs="Arial"/>
                <w:sz w:val="20"/>
                <w:lang w:val="en-AU"/>
              </w:rPr>
            </w:pPr>
            <w:r>
              <w:rPr>
                <w:rFonts w:cs="Arial"/>
                <w:sz w:val="20"/>
                <w:lang w:val="en-AU"/>
              </w:rPr>
              <w:t>120mg/0.8mL</w:t>
            </w:r>
          </w:p>
          <w:p w:rsidR="000E1194" w:rsidP="00FE4186" w:rsidRDefault="000E1194" w14:paraId="7CF2F9D3" w14:textId="77777777">
            <w:pPr>
              <w:pStyle w:val="BodyText"/>
              <w:rPr>
                <w:rFonts w:cs="Arial"/>
                <w:sz w:val="20"/>
                <w:lang w:val="en-AU"/>
              </w:rPr>
            </w:pPr>
            <w:r>
              <w:rPr>
                <w:rFonts w:cs="Arial"/>
                <w:sz w:val="20"/>
                <w:lang w:val="en-AU"/>
              </w:rPr>
              <w:t>150mg/1mL</w:t>
            </w:r>
          </w:p>
          <w:p w:rsidR="000E1194" w:rsidP="00FE4186" w:rsidRDefault="000E1194" w14:paraId="1066FCDB" w14:textId="77777777">
            <w:pPr>
              <w:pStyle w:val="BodyText"/>
              <w:rPr>
                <w:rFonts w:cs="Calibri"/>
                <w:sz w:val="20"/>
                <w:lang w:val="en-AU"/>
              </w:rPr>
            </w:pPr>
            <w:r w:rsidRPr="002527C5">
              <w:rPr>
                <w:rFonts w:cs="Calibri"/>
                <w:sz w:val="20"/>
                <w:vertAlign w:val="superscript"/>
                <w:lang w:val="en-AU"/>
              </w:rPr>
              <w:t>Δ</w:t>
            </w:r>
            <w:r>
              <w:rPr>
                <w:rFonts w:cs="Calibri"/>
                <w:sz w:val="20"/>
                <w:lang w:val="en-AU"/>
              </w:rPr>
              <w:t xml:space="preserve"> containing 15 000 anti-Xa unit/mL</w:t>
            </w:r>
          </w:p>
          <w:p w:rsidR="000E1194" w:rsidP="00FE4186" w:rsidRDefault="000E1194" w14:paraId="59FF11EF" w14:textId="77777777">
            <w:pPr>
              <w:pStyle w:val="BodyText"/>
              <w:rPr>
                <w:rFonts w:cs="Arial"/>
                <w:sz w:val="20"/>
                <w:lang w:val="en-AU"/>
              </w:rPr>
            </w:pPr>
          </w:p>
          <w:p w:rsidRPr="00026F20" w:rsidR="000E1194" w:rsidP="00FE4186" w:rsidRDefault="000E1194" w14:paraId="295FD664" w14:textId="77777777">
            <w:pPr>
              <w:pStyle w:val="BodyText"/>
              <w:rPr>
                <w:rFonts w:cs="Arial"/>
                <w:sz w:val="20"/>
                <w:lang w:val="en-AU"/>
              </w:rPr>
            </w:pPr>
            <w:r>
              <w:rPr>
                <w:rFonts w:cs="Arial"/>
                <w:sz w:val="20"/>
                <w:lang w:val="en-AU"/>
              </w:rPr>
              <w:t xml:space="preserve">Enoxaparin injections for patient specific doses can be aseptically prepared by local pharmacy. </w:t>
            </w:r>
          </w:p>
        </w:tc>
      </w:tr>
      <w:tr w:rsidRPr="000E2236" w:rsidR="000E1194" w:rsidTr="000E1194" w14:paraId="7E345020" w14:textId="77777777">
        <w:trPr>
          <w:trHeight w:val="70"/>
        </w:trPr>
        <w:tc>
          <w:tcPr>
            <w:tcW w:w="1730" w:type="dxa"/>
          </w:tcPr>
          <w:p w:rsidRPr="00B53E9B" w:rsidR="000E1194" w:rsidP="00FE4186" w:rsidRDefault="000E1194" w14:paraId="7B765B35"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8080" w:type="dxa"/>
          </w:tcPr>
          <w:p w:rsidR="000E1194" w:rsidP="00FE4186" w:rsidRDefault="000E1194" w14:paraId="0695EE7A" w14:textId="77777777">
            <w:pPr>
              <w:pStyle w:val="BodyText"/>
              <w:rPr>
                <w:sz w:val="20"/>
                <w:lang w:val="en-AU"/>
              </w:rPr>
            </w:pPr>
            <w:r>
              <w:rPr>
                <w:sz w:val="20"/>
                <w:lang w:val="en-AU"/>
              </w:rPr>
              <w:t>Subcutaneous (SC) injection:</w:t>
            </w:r>
            <w:r w:rsidRPr="00EE7290">
              <w:rPr>
                <w:sz w:val="20"/>
                <w:vertAlign w:val="superscript"/>
                <w:lang w:val="en-AU"/>
              </w:rPr>
              <w:t>1</w:t>
            </w:r>
          </w:p>
          <w:p w:rsidR="000E1194" w:rsidP="00FE4186" w:rsidRDefault="000E1194" w14:paraId="40EA794A" w14:textId="77777777">
            <w:pPr>
              <w:pStyle w:val="BodyText"/>
              <w:rPr>
                <w:sz w:val="20"/>
                <w:lang w:val="en-AU"/>
              </w:rPr>
            </w:pPr>
          </w:p>
          <w:tbl>
            <w:tblPr>
              <w:tblStyle w:val="TableGrid"/>
              <w:tblW w:w="0" w:type="auto"/>
              <w:tblLayout w:type="fixed"/>
              <w:tblLook w:val="04A0" w:firstRow="1" w:lastRow="0" w:firstColumn="1" w:lastColumn="0" w:noHBand="0" w:noVBand="1"/>
            </w:tblPr>
            <w:tblGrid>
              <w:gridCol w:w="1901"/>
              <w:gridCol w:w="2693"/>
              <w:gridCol w:w="1527"/>
            </w:tblGrid>
            <w:tr w:rsidR="000E1194" w:rsidTr="000E1194" w14:paraId="49DB4B04" w14:textId="77777777">
              <w:tc>
                <w:tcPr>
                  <w:tcW w:w="1901" w:type="dxa"/>
                </w:tcPr>
                <w:p w:rsidR="000E1194" w:rsidP="00FE4186" w:rsidRDefault="000E1194" w14:paraId="7E3BE3D8" w14:textId="77777777">
                  <w:pPr>
                    <w:pStyle w:val="BodyText"/>
                    <w:rPr>
                      <w:sz w:val="20"/>
                      <w:lang w:val="en-AU"/>
                    </w:rPr>
                  </w:pPr>
                  <w:bookmarkStart w:name="_Hlk65495070" w:id="213"/>
                </w:p>
              </w:tc>
              <w:tc>
                <w:tcPr>
                  <w:tcW w:w="2693" w:type="dxa"/>
                </w:tcPr>
                <w:p w:rsidRPr="002527C5" w:rsidR="000E1194" w:rsidP="00FE4186" w:rsidRDefault="000E1194" w14:paraId="5AA0DF1C" w14:textId="77777777">
                  <w:pPr>
                    <w:pStyle w:val="BodyText"/>
                    <w:rPr>
                      <w:b/>
                      <w:sz w:val="20"/>
                      <w:lang w:val="en-AU"/>
                    </w:rPr>
                  </w:pPr>
                  <w:r w:rsidRPr="002527C5">
                    <w:rPr>
                      <w:b/>
                      <w:sz w:val="20"/>
                      <w:lang w:val="en-AU"/>
                    </w:rPr>
                    <w:t>&lt;2 months of age</w:t>
                  </w:r>
                </w:p>
              </w:tc>
              <w:tc>
                <w:tcPr>
                  <w:tcW w:w="1527" w:type="dxa"/>
                </w:tcPr>
                <w:p w:rsidRPr="002527C5" w:rsidR="000E1194" w:rsidP="00FE4186" w:rsidRDefault="000E1194" w14:paraId="689C28EF" w14:textId="77777777">
                  <w:pPr>
                    <w:pStyle w:val="BodyText"/>
                    <w:rPr>
                      <w:b/>
                      <w:sz w:val="20"/>
                      <w:lang w:val="en-AU"/>
                    </w:rPr>
                  </w:pPr>
                  <w:r w:rsidRPr="002527C5">
                    <w:rPr>
                      <w:rFonts w:cs="Calibri"/>
                      <w:b/>
                      <w:sz w:val="20"/>
                      <w:lang w:val="en-AU"/>
                    </w:rPr>
                    <w:t>≥</w:t>
                  </w:r>
                  <w:r w:rsidRPr="002527C5">
                    <w:rPr>
                      <w:b/>
                      <w:sz w:val="20"/>
                      <w:lang w:val="en-AU"/>
                    </w:rPr>
                    <w:t>2 months</w:t>
                  </w:r>
                </w:p>
              </w:tc>
            </w:tr>
            <w:tr w:rsidR="000E1194" w:rsidTr="000E1194" w14:paraId="22223C27" w14:textId="77777777">
              <w:tc>
                <w:tcPr>
                  <w:tcW w:w="1901" w:type="dxa"/>
                </w:tcPr>
                <w:p w:rsidRPr="008E13D7" w:rsidR="000E1194" w:rsidP="00FE4186" w:rsidRDefault="000E1194" w14:paraId="7CD9AB65" w14:textId="77777777">
                  <w:pPr>
                    <w:pStyle w:val="BodyText"/>
                    <w:rPr>
                      <w:b/>
                      <w:sz w:val="20"/>
                      <w:lang w:val="en-AU"/>
                    </w:rPr>
                  </w:pPr>
                  <w:r w:rsidRPr="008E13D7">
                    <w:rPr>
                      <w:b/>
                      <w:sz w:val="20"/>
                      <w:lang w:val="en-AU"/>
                    </w:rPr>
                    <w:t>Prophylactic dose</w:t>
                  </w:r>
                </w:p>
              </w:tc>
              <w:tc>
                <w:tcPr>
                  <w:tcW w:w="2693" w:type="dxa"/>
                </w:tcPr>
                <w:p w:rsidR="000E1194" w:rsidP="00FE4186" w:rsidRDefault="000E1194" w14:paraId="459144D1" w14:textId="77777777">
                  <w:pPr>
                    <w:pStyle w:val="BodyText"/>
                    <w:rPr>
                      <w:sz w:val="20"/>
                      <w:lang w:val="en-AU"/>
                    </w:rPr>
                  </w:pPr>
                  <w:r>
                    <w:rPr>
                      <w:sz w:val="20"/>
                      <w:lang w:val="en-AU"/>
                    </w:rPr>
                    <w:t>0.75 mg/kg/dose 12 hourly</w:t>
                  </w:r>
                </w:p>
              </w:tc>
              <w:tc>
                <w:tcPr>
                  <w:tcW w:w="1527" w:type="dxa"/>
                </w:tcPr>
                <w:p w:rsidR="000E1194" w:rsidP="00FE4186" w:rsidRDefault="000E1194" w14:paraId="7109DAF7" w14:textId="77777777">
                  <w:pPr>
                    <w:pStyle w:val="BodyText"/>
                    <w:rPr>
                      <w:sz w:val="20"/>
                      <w:lang w:val="en-AU"/>
                    </w:rPr>
                  </w:pPr>
                  <w:r>
                    <w:rPr>
                      <w:sz w:val="20"/>
                      <w:lang w:val="en-AU"/>
                    </w:rPr>
                    <w:t>0.5 mg/kg/dose 12 hourly</w:t>
                  </w:r>
                </w:p>
              </w:tc>
            </w:tr>
            <w:bookmarkEnd w:id="213"/>
          </w:tbl>
          <w:p w:rsidR="000E1194" w:rsidP="00FE4186" w:rsidRDefault="000E1194" w14:paraId="166A78EA" w14:textId="77777777">
            <w:pPr>
              <w:pStyle w:val="BodyText"/>
              <w:rPr>
                <w:sz w:val="20"/>
                <w:lang w:val="en-AU"/>
              </w:rPr>
            </w:pPr>
          </w:p>
          <w:tbl>
            <w:tblPr>
              <w:tblStyle w:val="TableGrid"/>
              <w:tblW w:w="0" w:type="auto"/>
              <w:tblLayout w:type="fixed"/>
              <w:tblLook w:val="04A0" w:firstRow="1" w:lastRow="0" w:firstColumn="1" w:lastColumn="0" w:noHBand="0" w:noVBand="1"/>
            </w:tblPr>
            <w:tblGrid>
              <w:gridCol w:w="1901"/>
              <w:gridCol w:w="2693"/>
              <w:gridCol w:w="1527"/>
            </w:tblGrid>
            <w:tr w:rsidR="000E1194" w:rsidTr="000E1194" w14:paraId="747EC73C" w14:textId="77777777">
              <w:tc>
                <w:tcPr>
                  <w:tcW w:w="1901" w:type="dxa"/>
                </w:tcPr>
                <w:p w:rsidR="000E1194" w:rsidP="00FE4186" w:rsidRDefault="000E1194" w14:paraId="0DAD6D32" w14:textId="77777777">
                  <w:pPr>
                    <w:pStyle w:val="BodyText"/>
                    <w:rPr>
                      <w:sz w:val="20"/>
                      <w:lang w:val="en-AU"/>
                    </w:rPr>
                  </w:pPr>
                </w:p>
              </w:tc>
              <w:tc>
                <w:tcPr>
                  <w:tcW w:w="2693" w:type="dxa"/>
                </w:tcPr>
                <w:p w:rsidRPr="002527C5" w:rsidR="000E1194" w:rsidP="00FE4186" w:rsidRDefault="000E1194" w14:paraId="5142D5E1" w14:textId="77777777">
                  <w:pPr>
                    <w:pStyle w:val="BodyText"/>
                    <w:rPr>
                      <w:b/>
                      <w:sz w:val="20"/>
                      <w:lang w:val="en-AU"/>
                    </w:rPr>
                  </w:pPr>
                  <w:r w:rsidRPr="002527C5">
                    <w:rPr>
                      <w:b/>
                      <w:sz w:val="20"/>
                      <w:lang w:val="en-AU"/>
                    </w:rPr>
                    <w:t>&lt;2 months of age</w:t>
                  </w:r>
                </w:p>
              </w:tc>
              <w:tc>
                <w:tcPr>
                  <w:tcW w:w="1527" w:type="dxa"/>
                </w:tcPr>
                <w:p w:rsidRPr="002527C5" w:rsidR="000E1194" w:rsidP="00FE4186" w:rsidRDefault="000E1194" w14:paraId="0C13F3DB" w14:textId="77777777">
                  <w:pPr>
                    <w:pStyle w:val="BodyText"/>
                    <w:rPr>
                      <w:b/>
                      <w:sz w:val="20"/>
                      <w:lang w:val="en-AU"/>
                    </w:rPr>
                  </w:pPr>
                  <w:r w:rsidRPr="002527C5">
                    <w:rPr>
                      <w:rFonts w:cs="Calibri"/>
                      <w:b/>
                      <w:sz w:val="20"/>
                      <w:lang w:val="en-AU"/>
                    </w:rPr>
                    <w:t>≥</w:t>
                  </w:r>
                  <w:r w:rsidRPr="002527C5">
                    <w:rPr>
                      <w:b/>
                      <w:sz w:val="20"/>
                      <w:lang w:val="en-AU"/>
                    </w:rPr>
                    <w:t>2 months</w:t>
                  </w:r>
                </w:p>
              </w:tc>
            </w:tr>
            <w:tr w:rsidR="000E1194" w:rsidTr="000E1194" w14:paraId="51E77D36" w14:textId="77777777">
              <w:tc>
                <w:tcPr>
                  <w:tcW w:w="1901" w:type="dxa"/>
                </w:tcPr>
                <w:p w:rsidRPr="008E13D7" w:rsidR="000E1194" w:rsidP="00FE4186" w:rsidRDefault="000E1194" w14:paraId="3EAE4F38" w14:textId="77777777">
                  <w:pPr>
                    <w:pStyle w:val="BodyText"/>
                    <w:rPr>
                      <w:b/>
                      <w:sz w:val="20"/>
                      <w:lang w:val="en-AU"/>
                    </w:rPr>
                  </w:pPr>
                  <w:r w:rsidRPr="008E13D7">
                    <w:rPr>
                      <w:b/>
                      <w:sz w:val="20"/>
                      <w:lang w:val="en-AU"/>
                    </w:rPr>
                    <w:t>Treatment dose</w:t>
                  </w:r>
                </w:p>
              </w:tc>
              <w:tc>
                <w:tcPr>
                  <w:tcW w:w="2693" w:type="dxa"/>
                </w:tcPr>
                <w:p w:rsidR="000E1194" w:rsidP="00FE4186" w:rsidRDefault="000E1194" w14:paraId="4021EC17" w14:textId="77777777">
                  <w:pPr>
                    <w:pStyle w:val="BodyText"/>
                    <w:rPr>
                      <w:sz w:val="20"/>
                      <w:lang w:val="en-AU"/>
                    </w:rPr>
                  </w:pPr>
                  <w:r>
                    <w:rPr>
                      <w:sz w:val="20"/>
                      <w:lang w:val="en-AU"/>
                    </w:rPr>
                    <w:t>1.5 mg/kg/dose 12 hourly</w:t>
                  </w:r>
                </w:p>
              </w:tc>
              <w:tc>
                <w:tcPr>
                  <w:tcW w:w="1527" w:type="dxa"/>
                </w:tcPr>
                <w:p w:rsidR="000E1194" w:rsidP="00FE4186" w:rsidRDefault="000E1194" w14:paraId="706AF28A" w14:textId="77777777">
                  <w:pPr>
                    <w:pStyle w:val="BodyText"/>
                    <w:rPr>
                      <w:sz w:val="20"/>
                      <w:lang w:val="en-AU"/>
                    </w:rPr>
                  </w:pPr>
                  <w:r>
                    <w:rPr>
                      <w:sz w:val="20"/>
                      <w:lang w:val="en-AU"/>
                    </w:rPr>
                    <w:t>1 mg/kg/dose 12 hourly</w:t>
                  </w:r>
                </w:p>
              </w:tc>
            </w:tr>
          </w:tbl>
          <w:p w:rsidR="000E1194" w:rsidP="00FE4186" w:rsidRDefault="000E1194" w14:paraId="38BB5BCE" w14:textId="77777777">
            <w:pPr>
              <w:pStyle w:val="BodyText"/>
              <w:rPr>
                <w:sz w:val="20"/>
                <w:lang w:val="en-AU"/>
              </w:rPr>
            </w:pPr>
          </w:p>
          <w:p w:rsidR="000E1194" w:rsidP="00FE4186" w:rsidRDefault="000E1194" w14:paraId="06BDC9DA" w14:textId="77777777">
            <w:pPr>
              <w:pStyle w:val="BodyText"/>
              <w:rPr>
                <w:sz w:val="20"/>
                <w:lang w:val="en-AU"/>
              </w:rPr>
            </w:pPr>
            <w:r>
              <w:rPr>
                <w:sz w:val="20"/>
                <w:lang w:val="en-AU"/>
              </w:rPr>
              <w:t>Subsequent dose titration is as per anti-Xa levels. The first anti-Xa measurement is usually done after 3 to 4 doses, i.e. around 48 hours after the commencement.</w:t>
            </w:r>
          </w:p>
          <w:p w:rsidRPr="006133BF" w:rsidR="000E1194" w:rsidP="00FE4186" w:rsidRDefault="000E1194" w14:paraId="39F565C5" w14:textId="77777777">
            <w:pPr>
              <w:pStyle w:val="BodyText"/>
              <w:rPr>
                <w:sz w:val="20"/>
                <w:lang w:val="en-AU"/>
              </w:rPr>
            </w:pPr>
            <w:r>
              <w:rPr>
                <w:sz w:val="20"/>
                <w:lang w:val="en-AU"/>
              </w:rPr>
              <w:lastRenderedPageBreak/>
              <w:t xml:space="preserve">Target peak anti-Xa range: </w:t>
            </w:r>
            <w:r w:rsidRPr="00B21972">
              <w:rPr>
                <w:sz w:val="20"/>
                <w:lang w:val="en-AU"/>
              </w:rPr>
              <w:t xml:space="preserve">0.5 to 1.0 units/mL </w:t>
            </w:r>
            <w:r>
              <w:rPr>
                <w:sz w:val="20"/>
                <w:lang w:val="en-AU"/>
              </w:rPr>
              <w:t>to be measured</w:t>
            </w:r>
            <w:r w:rsidRPr="00B21972">
              <w:rPr>
                <w:sz w:val="20"/>
                <w:lang w:val="en-AU"/>
              </w:rPr>
              <w:t xml:space="preserve"> 4 </w:t>
            </w:r>
            <w:r>
              <w:rPr>
                <w:sz w:val="20"/>
                <w:lang w:val="en-AU"/>
              </w:rPr>
              <w:t>hours (3-5 hours)</w:t>
            </w:r>
            <w:r w:rsidRPr="00B21972">
              <w:rPr>
                <w:sz w:val="20"/>
                <w:lang w:val="en-AU"/>
              </w:rPr>
              <w:t xml:space="preserve"> after </w:t>
            </w:r>
            <w:r>
              <w:rPr>
                <w:sz w:val="20"/>
                <w:lang w:val="en-AU"/>
              </w:rPr>
              <w:t xml:space="preserve">the last </w:t>
            </w:r>
            <w:r w:rsidRPr="00B21972">
              <w:rPr>
                <w:sz w:val="20"/>
                <w:lang w:val="en-AU"/>
              </w:rPr>
              <w:t>subcutaneous injection</w:t>
            </w:r>
            <w:r>
              <w:rPr>
                <w:sz w:val="20"/>
                <w:lang w:val="en-AU"/>
              </w:rPr>
              <w:t>.</w:t>
            </w:r>
            <w:r w:rsidRPr="00DB7770">
              <w:rPr>
                <w:sz w:val="20"/>
                <w:vertAlign w:val="superscript"/>
                <w:lang w:val="en-AU"/>
              </w:rPr>
              <w:t>1</w:t>
            </w:r>
            <w:r>
              <w:rPr>
                <w:sz w:val="20"/>
                <w:lang w:val="en-AU"/>
              </w:rPr>
              <w:t xml:space="preserve"> Refer to dose adjustment below:</w:t>
            </w:r>
            <w:r w:rsidRPr="00830415">
              <w:rPr>
                <w:sz w:val="20"/>
                <w:vertAlign w:val="superscript"/>
                <w:lang w:val="en-AU"/>
              </w:rPr>
              <w:t>8</w:t>
            </w:r>
          </w:p>
          <w:p w:rsidR="000E1194" w:rsidP="00FE4186" w:rsidRDefault="000E1194" w14:paraId="164E0B8A" w14:textId="77777777">
            <w:pPr>
              <w:pStyle w:val="BodyText"/>
              <w:rPr>
                <w:sz w:val="20"/>
                <w:lang w:val="en-AU"/>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888"/>
              <w:gridCol w:w="2982"/>
              <w:gridCol w:w="2835"/>
            </w:tblGrid>
            <w:tr w:rsidR="000E1194" w:rsidTr="000E1194" w14:paraId="0466885F" w14:textId="77777777">
              <w:trPr>
                <w:trHeight w:val="328"/>
              </w:trPr>
              <w:tc>
                <w:tcPr>
                  <w:tcW w:w="1888" w:type="dxa"/>
                </w:tcPr>
                <w:p w:rsidRPr="00F96CCD" w:rsidR="000E1194" w:rsidP="00FE4186" w:rsidRDefault="000E1194" w14:paraId="4B1D5FDC" w14:textId="77777777">
                  <w:pPr>
                    <w:pStyle w:val="TableParagraph"/>
                    <w:spacing w:line="225" w:lineRule="exact"/>
                    <w:ind w:left="115" w:right="109"/>
                    <w:jc w:val="center"/>
                    <w:rPr>
                      <w:rFonts w:asciiTheme="minorHAnsi" w:hAnsiTheme="minorHAnsi" w:cstheme="minorHAnsi"/>
                      <w:b/>
                      <w:sz w:val="20"/>
                    </w:rPr>
                  </w:pPr>
                  <w:r w:rsidRPr="00F96CCD">
                    <w:rPr>
                      <w:rFonts w:asciiTheme="minorHAnsi" w:hAnsiTheme="minorHAnsi" w:cstheme="minorHAnsi"/>
                      <w:b/>
                      <w:sz w:val="20"/>
                    </w:rPr>
                    <w:t>Anti-factor Xa</w:t>
                  </w:r>
                </w:p>
                <w:p w:rsidRPr="00F96CCD" w:rsidR="000E1194" w:rsidP="00FE4186" w:rsidRDefault="000E1194" w14:paraId="40F353A3" w14:textId="77777777">
                  <w:pPr>
                    <w:pStyle w:val="TableParagraph"/>
                    <w:spacing w:line="215" w:lineRule="exact"/>
                    <w:ind w:left="115" w:right="111"/>
                    <w:jc w:val="center"/>
                    <w:rPr>
                      <w:rFonts w:asciiTheme="minorHAnsi" w:hAnsiTheme="minorHAnsi" w:cstheme="minorHAnsi"/>
                      <w:b/>
                      <w:sz w:val="20"/>
                    </w:rPr>
                  </w:pPr>
                  <w:r w:rsidRPr="00F96CCD">
                    <w:rPr>
                      <w:rFonts w:asciiTheme="minorHAnsi" w:hAnsiTheme="minorHAnsi" w:cstheme="minorHAnsi"/>
                      <w:b/>
                      <w:sz w:val="20"/>
                    </w:rPr>
                    <w:t xml:space="preserve">concentration </w:t>
                  </w:r>
                  <w:r>
                    <w:rPr>
                      <w:rFonts w:asciiTheme="minorHAnsi" w:hAnsiTheme="minorHAnsi" w:cstheme="minorHAnsi"/>
                      <w:b/>
                      <w:sz w:val="20"/>
                    </w:rPr>
                    <w:t>unit</w:t>
                  </w:r>
                  <w:r w:rsidRPr="00F96CCD">
                    <w:rPr>
                      <w:rFonts w:asciiTheme="minorHAnsi" w:hAnsiTheme="minorHAnsi" w:cstheme="minorHAnsi"/>
                      <w:b/>
                      <w:sz w:val="20"/>
                    </w:rPr>
                    <w:t>/m</w:t>
                  </w:r>
                  <w:r>
                    <w:rPr>
                      <w:rFonts w:asciiTheme="minorHAnsi" w:hAnsiTheme="minorHAnsi" w:cstheme="minorHAnsi"/>
                      <w:b/>
                      <w:sz w:val="20"/>
                    </w:rPr>
                    <w:t>L</w:t>
                  </w:r>
                </w:p>
              </w:tc>
              <w:tc>
                <w:tcPr>
                  <w:tcW w:w="2982" w:type="dxa"/>
                </w:tcPr>
                <w:p w:rsidRPr="00F96CCD" w:rsidR="000E1194" w:rsidP="00FE4186" w:rsidRDefault="000E1194" w14:paraId="51DC7073" w14:textId="77777777">
                  <w:pPr>
                    <w:pStyle w:val="TableParagraph"/>
                    <w:spacing w:line="225" w:lineRule="exact"/>
                    <w:ind w:left="904"/>
                    <w:rPr>
                      <w:rFonts w:asciiTheme="minorHAnsi" w:hAnsiTheme="minorHAnsi" w:cstheme="minorHAnsi"/>
                      <w:b/>
                      <w:sz w:val="20"/>
                    </w:rPr>
                  </w:pPr>
                  <w:r w:rsidRPr="00F96CCD">
                    <w:rPr>
                      <w:rFonts w:asciiTheme="minorHAnsi" w:hAnsiTheme="minorHAnsi" w:cstheme="minorHAnsi"/>
                      <w:b/>
                      <w:sz w:val="20"/>
                    </w:rPr>
                    <w:t>Dose adjustment</w:t>
                  </w:r>
                </w:p>
              </w:tc>
              <w:tc>
                <w:tcPr>
                  <w:tcW w:w="2835" w:type="dxa"/>
                </w:tcPr>
                <w:p w:rsidRPr="00F96CCD" w:rsidR="000E1194" w:rsidP="00FE4186" w:rsidRDefault="000E1194" w14:paraId="10D2DC9F" w14:textId="77777777">
                  <w:pPr>
                    <w:pStyle w:val="TableParagraph"/>
                    <w:spacing w:line="225" w:lineRule="exact"/>
                    <w:ind w:left="158"/>
                    <w:rPr>
                      <w:rFonts w:asciiTheme="minorHAnsi" w:hAnsiTheme="minorHAnsi" w:cstheme="minorHAnsi"/>
                      <w:b/>
                      <w:sz w:val="20"/>
                    </w:rPr>
                  </w:pPr>
                  <w:r w:rsidRPr="00F96CCD">
                    <w:rPr>
                      <w:rFonts w:asciiTheme="minorHAnsi" w:hAnsiTheme="minorHAnsi" w:cstheme="minorHAnsi"/>
                      <w:b/>
                      <w:sz w:val="20"/>
                    </w:rPr>
                    <w:t>Next anti-factor Xa measurement</w:t>
                  </w:r>
                </w:p>
              </w:tc>
            </w:tr>
            <w:tr w:rsidR="000E1194" w:rsidTr="000E1194" w14:paraId="7BA60C6C" w14:textId="77777777">
              <w:trPr>
                <w:trHeight w:val="249"/>
              </w:trPr>
              <w:tc>
                <w:tcPr>
                  <w:tcW w:w="1888" w:type="dxa"/>
                </w:tcPr>
                <w:p w:rsidRPr="00F96CCD" w:rsidR="000E1194" w:rsidP="00FE4186" w:rsidRDefault="000E1194" w14:paraId="6C8A585C" w14:textId="77777777">
                  <w:pPr>
                    <w:pStyle w:val="TableParagraph"/>
                    <w:spacing w:line="210" w:lineRule="exact"/>
                    <w:ind w:left="115" w:right="111"/>
                    <w:jc w:val="center"/>
                    <w:rPr>
                      <w:rFonts w:asciiTheme="minorHAnsi" w:hAnsiTheme="minorHAnsi" w:cstheme="minorHAnsi"/>
                      <w:sz w:val="20"/>
                    </w:rPr>
                  </w:pPr>
                  <w:r w:rsidRPr="00F96CCD">
                    <w:rPr>
                      <w:rFonts w:asciiTheme="minorHAnsi" w:hAnsiTheme="minorHAnsi" w:cstheme="minorHAnsi"/>
                      <w:sz w:val="20"/>
                    </w:rPr>
                    <w:t>&lt;0.35</w:t>
                  </w:r>
                </w:p>
              </w:tc>
              <w:tc>
                <w:tcPr>
                  <w:tcW w:w="2982" w:type="dxa"/>
                </w:tcPr>
                <w:p w:rsidRPr="00F96CCD" w:rsidR="000E1194" w:rsidP="00FE4186" w:rsidRDefault="000E1194" w14:paraId="126CB5F0" w14:textId="77777777">
                  <w:pPr>
                    <w:pStyle w:val="TableParagraph"/>
                    <w:spacing w:line="210" w:lineRule="exact"/>
                    <w:rPr>
                      <w:rFonts w:asciiTheme="minorHAnsi" w:hAnsiTheme="minorHAnsi" w:cstheme="minorHAnsi"/>
                      <w:sz w:val="20"/>
                    </w:rPr>
                  </w:pPr>
                  <w:r w:rsidRPr="00F96CCD">
                    <w:rPr>
                      <w:rFonts w:asciiTheme="minorHAnsi" w:hAnsiTheme="minorHAnsi" w:cstheme="minorHAnsi"/>
                      <w:sz w:val="20"/>
                    </w:rPr>
                    <w:t>increase next dose by 25%</w:t>
                  </w:r>
                </w:p>
              </w:tc>
              <w:tc>
                <w:tcPr>
                  <w:tcW w:w="2835" w:type="dxa"/>
                </w:tcPr>
                <w:p w:rsidRPr="00F96CCD" w:rsidR="000E1194" w:rsidP="00FE4186" w:rsidRDefault="000E1194" w14:paraId="6F8C7D0B" w14:textId="77777777">
                  <w:pPr>
                    <w:pStyle w:val="TableParagraph"/>
                    <w:spacing w:line="210" w:lineRule="exact"/>
                    <w:rPr>
                      <w:rFonts w:asciiTheme="minorHAnsi" w:hAnsiTheme="minorHAnsi" w:cstheme="minorHAnsi"/>
                      <w:sz w:val="20"/>
                    </w:rPr>
                  </w:pPr>
                  <w:r w:rsidRPr="00F96CCD">
                    <w:rPr>
                      <w:rFonts w:asciiTheme="minorHAnsi" w:hAnsiTheme="minorHAnsi" w:cstheme="minorHAnsi"/>
                      <w:sz w:val="20"/>
                    </w:rPr>
                    <w:t>4 hr following dose adjustment</w:t>
                  </w:r>
                </w:p>
              </w:tc>
            </w:tr>
            <w:tr w:rsidR="000E1194" w:rsidTr="000E1194" w14:paraId="2A8425FB" w14:textId="77777777">
              <w:trPr>
                <w:trHeight w:val="110"/>
              </w:trPr>
              <w:tc>
                <w:tcPr>
                  <w:tcW w:w="1888" w:type="dxa"/>
                </w:tcPr>
                <w:p w:rsidRPr="00F96CCD" w:rsidR="000E1194" w:rsidP="00FE4186" w:rsidRDefault="000E1194" w14:paraId="2C378E23" w14:textId="77777777">
                  <w:pPr>
                    <w:pStyle w:val="TableParagraph"/>
                    <w:spacing w:line="210" w:lineRule="exact"/>
                    <w:ind w:left="115" w:right="108"/>
                    <w:jc w:val="center"/>
                    <w:rPr>
                      <w:rFonts w:asciiTheme="minorHAnsi" w:hAnsiTheme="minorHAnsi" w:cstheme="minorHAnsi"/>
                      <w:sz w:val="20"/>
                    </w:rPr>
                  </w:pPr>
                  <w:r w:rsidRPr="00F96CCD">
                    <w:rPr>
                      <w:rFonts w:asciiTheme="minorHAnsi" w:hAnsiTheme="minorHAnsi" w:cstheme="minorHAnsi"/>
                      <w:sz w:val="20"/>
                    </w:rPr>
                    <w:t>0.35 - 0.49</w:t>
                  </w:r>
                </w:p>
              </w:tc>
              <w:tc>
                <w:tcPr>
                  <w:tcW w:w="2982" w:type="dxa"/>
                </w:tcPr>
                <w:p w:rsidRPr="00F96CCD" w:rsidR="000E1194" w:rsidP="00FE4186" w:rsidRDefault="000E1194" w14:paraId="6A5494C7" w14:textId="77777777">
                  <w:pPr>
                    <w:pStyle w:val="TableParagraph"/>
                    <w:spacing w:line="210" w:lineRule="exact"/>
                    <w:rPr>
                      <w:rFonts w:asciiTheme="minorHAnsi" w:hAnsiTheme="minorHAnsi" w:cstheme="minorHAnsi"/>
                      <w:sz w:val="20"/>
                    </w:rPr>
                  </w:pPr>
                  <w:r w:rsidRPr="00F96CCD">
                    <w:rPr>
                      <w:rFonts w:asciiTheme="minorHAnsi" w:hAnsiTheme="minorHAnsi" w:cstheme="minorHAnsi"/>
                      <w:sz w:val="20"/>
                    </w:rPr>
                    <w:t>increase next dose by 10%</w:t>
                  </w:r>
                </w:p>
              </w:tc>
              <w:tc>
                <w:tcPr>
                  <w:tcW w:w="2835" w:type="dxa"/>
                </w:tcPr>
                <w:p w:rsidRPr="00F96CCD" w:rsidR="000E1194" w:rsidP="00FE4186" w:rsidRDefault="000E1194" w14:paraId="49DC7BBF" w14:textId="77777777">
                  <w:pPr>
                    <w:pStyle w:val="TableParagraph"/>
                    <w:spacing w:line="210" w:lineRule="exact"/>
                    <w:rPr>
                      <w:rFonts w:asciiTheme="minorHAnsi" w:hAnsiTheme="minorHAnsi" w:cstheme="minorHAnsi"/>
                      <w:sz w:val="20"/>
                    </w:rPr>
                  </w:pPr>
                  <w:r w:rsidRPr="00F96CCD">
                    <w:rPr>
                      <w:rFonts w:asciiTheme="minorHAnsi" w:hAnsiTheme="minorHAnsi" w:cstheme="minorHAnsi"/>
                      <w:sz w:val="20"/>
                    </w:rPr>
                    <w:t>4 hr following dose adjustment</w:t>
                  </w:r>
                </w:p>
              </w:tc>
            </w:tr>
            <w:tr w:rsidR="000E1194" w:rsidTr="000E1194" w14:paraId="68900992" w14:textId="77777777">
              <w:trPr>
                <w:trHeight w:val="1005"/>
              </w:trPr>
              <w:tc>
                <w:tcPr>
                  <w:tcW w:w="1888" w:type="dxa"/>
                </w:tcPr>
                <w:p w:rsidRPr="00F96CCD" w:rsidR="000E1194" w:rsidP="00FE4186" w:rsidRDefault="000E1194" w14:paraId="2AB1CEA0" w14:textId="77777777">
                  <w:pPr>
                    <w:pStyle w:val="TableParagraph"/>
                    <w:ind w:left="115" w:right="108"/>
                    <w:jc w:val="center"/>
                    <w:rPr>
                      <w:rFonts w:asciiTheme="minorHAnsi" w:hAnsiTheme="minorHAnsi" w:cstheme="minorHAnsi"/>
                      <w:sz w:val="20"/>
                    </w:rPr>
                  </w:pPr>
                  <w:r w:rsidRPr="00F96CCD">
                    <w:rPr>
                      <w:rFonts w:asciiTheme="minorHAnsi" w:hAnsiTheme="minorHAnsi" w:cstheme="minorHAnsi"/>
                      <w:sz w:val="20"/>
                    </w:rPr>
                    <w:t>0.5 - 1.0</w:t>
                  </w:r>
                </w:p>
              </w:tc>
              <w:tc>
                <w:tcPr>
                  <w:tcW w:w="2982" w:type="dxa"/>
                </w:tcPr>
                <w:p w:rsidRPr="00F96CCD" w:rsidR="000E1194" w:rsidP="00FE4186" w:rsidRDefault="000E1194" w14:paraId="02508BB2" w14:textId="77777777">
                  <w:pPr>
                    <w:pStyle w:val="TableParagraph"/>
                    <w:rPr>
                      <w:rFonts w:asciiTheme="minorHAnsi" w:hAnsiTheme="minorHAnsi" w:cstheme="minorHAnsi"/>
                      <w:sz w:val="20"/>
                    </w:rPr>
                  </w:pPr>
                  <w:r w:rsidRPr="00F96CCD">
                    <w:rPr>
                      <w:rFonts w:asciiTheme="minorHAnsi" w:hAnsiTheme="minorHAnsi" w:cstheme="minorHAnsi"/>
                      <w:sz w:val="20"/>
                    </w:rPr>
                    <w:t>no change</w:t>
                  </w:r>
                </w:p>
              </w:tc>
              <w:tc>
                <w:tcPr>
                  <w:tcW w:w="2835" w:type="dxa"/>
                </w:tcPr>
                <w:p w:rsidRPr="00F96CCD" w:rsidR="000E1194" w:rsidP="00FE4186" w:rsidRDefault="000E1194" w14:paraId="670BEEA6" w14:textId="77777777">
                  <w:pPr>
                    <w:pStyle w:val="TableParagraph"/>
                    <w:rPr>
                      <w:rFonts w:asciiTheme="minorHAnsi" w:hAnsiTheme="minorHAnsi" w:cstheme="minorHAnsi"/>
                      <w:sz w:val="20"/>
                    </w:rPr>
                  </w:pPr>
                  <w:r w:rsidRPr="00F96CCD">
                    <w:rPr>
                      <w:rFonts w:asciiTheme="minorHAnsi" w:hAnsiTheme="minorHAnsi" w:cstheme="minorHAnsi"/>
                      <w:sz w:val="20"/>
                    </w:rPr>
                    <w:t>Weekly 4 hr following a dose</w:t>
                  </w:r>
                </w:p>
                <w:p w:rsidRPr="00F96CCD" w:rsidR="000E1194" w:rsidP="00FE4186" w:rsidRDefault="000E1194" w14:paraId="4FCF3EFB" w14:textId="77777777">
                  <w:pPr>
                    <w:pStyle w:val="TableParagraph"/>
                    <w:ind w:right="196"/>
                    <w:rPr>
                      <w:rFonts w:asciiTheme="minorHAnsi" w:hAnsiTheme="minorHAnsi" w:cstheme="minorHAnsi"/>
                      <w:sz w:val="20"/>
                    </w:rPr>
                  </w:pPr>
                  <w:r w:rsidRPr="00F96CCD">
                    <w:rPr>
                      <w:rFonts w:asciiTheme="minorHAnsi" w:hAnsiTheme="minorHAnsi" w:cstheme="minorHAnsi"/>
                      <w:sz w:val="20"/>
                    </w:rPr>
                    <w:t>If change in renal function,</w:t>
                  </w:r>
                  <w:r w:rsidRPr="00F96CCD">
                    <w:rPr>
                      <w:rFonts w:asciiTheme="minorHAnsi" w:hAnsiTheme="minorHAnsi" w:cstheme="minorHAnsi"/>
                      <w:spacing w:val="-16"/>
                      <w:sz w:val="20"/>
                    </w:rPr>
                    <w:t xml:space="preserve"> </w:t>
                  </w:r>
                  <w:r w:rsidRPr="00F96CCD">
                    <w:rPr>
                      <w:rFonts w:asciiTheme="minorHAnsi" w:hAnsiTheme="minorHAnsi" w:cstheme="minorHAnsi"/>
                      <w:sz w:val="20"/>
                    </w:rPr>
                    <w:t>addition of antibiotics, signs of</w:t>
                  </w:r>
                  <w:r w:rsidRPr="00F96CCD">
                    <w:rPr>
                      <w:rFonts w:asciiTheme="minorHAnsi" w:hAnsiTheme="minorHAnsi" w:cstheme="minorHAnsi"/>
                      <w:spacing w:val="-4"/>
                      <w:sz w:val="20"/>
                    </w:rPr>
                    <w:t xml:space="preserve"> </w:t>
                  </w:r>
                  <w:r w:rsidRPr="00F96CCD">
                    <w:rPr>
                      <w:rFonts w:asciiTheme="minorHAnsi" w:hAnsiTheme="minorHAnsi" w:cstheme="minorHAnsi"/>
                      <w:sz w:val="20"/>
                    </w:rPr>
                    <w:t>bleeding,</w:t>
                  </w:r>
                </w:p>
                <w:p w:rsidRPr="00F96CCD" w:rsidR="000E1194" w:rsidP="00FE4186" w:rsidRDefault="000E1194" w14:paraId="5CB00A82" w14:textId="77777777">
                  <w:pPr>
                    <w:pStyle w:val="TableParagraph"/>
                    <w:spacing w:line="211" w:lineRule="exact"/>
                    <w:rPr>
                      <w:rFonts w:asciiTheme="minorHAnsi" w:hAnsiTheme="minorHAnsi" w:cstheme="minorHAnsi"/>
                      <w:sz w:val="20"/>
                    </w:rPr>
                  </w:pPr>
                  <w:r w:rsidRPr="00F96CCD">
                    <w:rPr>
                      <w:rFonts w:asciiTheme="minorHAnsi" w:hAnsiTheme="minorHAnsi" w:cstheme="minorHAnsi"/>
                      <w:sz w:val="20"/>
                    </w:rPr>
                    <w:t>check level 4 hr after next</w:t>
                  </w:r>
                  <w:r w:rsidRPr="00F96CCD">
                    <w:rPr>
                      <w:rFonts w:asciiTheme="minorHAnsi" w:hAnsiTheme="minorHAnsi" w:cstheme="minorHAnsi"/>
                      <w:spacing w:val="-31"/>
                      <w:sz w:val="20"/>
                    </w:rPr>
                    <w:t xml:space="preserve"> </w:t>
                  </w:r>
                  <w:r w:rsidRPr="00F96CCD">
                    <w:rPr>
                      <w:rFonts w:asciiTheme="minorHAnsi" w:hAnsiTheme="minorHAnsi" w:cstheme="minorHAnsi"/>
                      <w:sz w:val="20"/>
                    </w:rPr>
                    <w:t>dose</w:t>
                  </w:r>
                  <w:r>
                    <w:rPr>
                      <w:rFonts w:asciiTheme="minorHAnsi" w:hAnsiTheme="minorHAnsi" w:cstheme="minorHAnsi"/>
                      <w:sz w:val="20"/>
                    </w:rPr>
                    <w:t>.</w:t>
                  </w:r>
                </w:p>
              </w:tc>
            </w:tr>
            <w:tr w:rsidR="000E1194" w:rsidTr="000E1194" w14:paraId="5214A6B8" w14:textId="77777777">
              <w:trPr>
                <w:trHeight w:val="438"/>
              </w:trPr>
              <w:tc>
                <w:tcPr>
                  <w:tcW w:w="1888" w:type="dxa"/>
                </w:tcPr>
                <w:p w:rsidRPr="00F96CCD" w:rsidR="000E1194" w:rsidP="00FE4186" w:rsidRDefault="000E1194" w14:paraId="78CC18E7" w14:textId="77777777">
                  <w:pPr>
                    <w:pStyle w:val="TableParagraph"/>
                    <w:ind w:left="115" w:right="110"/>
                    <w:jc w:val="center"/>
                    <w:rPr>
                      <w:rFonts w:asciiTheme="minorHAnsi" w:hAnsiTheme="minorHAnsi" w:cstheme="minorHAnsi"/>
                      <w:sz w:val="20"/>
                    </w:rPr>
                  </w:pPr>
                  <w:r>
                    <w:rPr>
                      <w:rFonts w:asciiTheme="minorHAnsi" w:hAnsiTheme="minorHAnsi" w:cstheme="minorHAnsi"/>
                      <w:sz w:val="20"/>
                    </w:rPr>
                    <w:t>1.1-1.5</w:t>
                  </w:r>
                </w:p>
              </w:tc>
              <w:tc>
                <w:tcPr>
                  <w:tcW w:w="2982" w:type="dxa"/>
                </w:tcPr>
                <w:p w:rsidRPr="00F96CCD" w:rsidR="000E1194" w:rsidP="00FE4186" w:rsidRDefault="000E1194" w14:paraId="48E44137" w14:textId="77777777">
                  <w:pPr>
                    <w:pStyle w:val="TableParagraph"/>
                    <w:rPr>
                      <w:rFonts w:asciiTheme="minorHAnsi" w:hAnsiTheme="minorHAnsi" w:cstheme="minorHAnsi"/>
                      <w:sz w:val="20"/>
                    </w:rPr>
                  </w:pPr>
                  <w:r w:rsidRPr="00F96CCD">
                    <w:rPr>
                      <w:rFonts w:asciiTheme="minorHAnsi" w:hAnsiTheme="minorHAnsi" w:cstheme="minorHAnsi"/>
                      <w:sz w:val="20"/>
                    </w:rPr>
                    <w:t>decrease next dose by 20%</w:t>
                  </w:r>
                </w:p>
              </w:tc>
              <w:tc>
                <w:tcPr>
                  <w:tcW w:w="2835" w:type="dxa"/>
                </w:tcPr>
                <w:p w:rsidRPr="00F96CCD" w:rsidR="000E1194" w:rsidP="00FE4186" w:rsidRDefault="000E1194" w14:paraId="77A6B903" w14:textId="77777777">
                  <w:pPr>
                    <w:pStyle w:val="TableParagraph"/>
                    <w:spacing w:line="230" w:lineRule="exact"/>
                    <w:rPr>
                      <w:rFonts w:asciiTheme="minorHAnsi" w:hAnsiTheme="minorHAnsi" w:cstheme="minorHAnsi"/>
                      <w:sz w:val="20"/>
                    </w:rPr>
                  </w:pPr>
                  <w:r w:rsidRPr="00F96CCD">
                    <w:rPr>
                      <w:rFonts w:asciiTheme="minorHAnsi" w:hAnsiTheme="minorHAnsi" w:cstheme="minorHAnsi"/>
                      <w:sz w:val="20"/>
                    </w:rPr>
                    <w:t>Before next dose and 4 h following dose adjustment</w:t>
                  </w:r>
                </w:p>
              </w:tc>
            </w:tr>
            <w:tr w:rsidR="000E1194" w:rsidTr="000E1194" w14:paraId="6D77DBEB" w14:textId="77777777">
              <w:trPr>
                <w:trHeight w:val="119"/>
              </w:trPr>
              <w:tc>
                <w:tcPr>
                  <w:tcW w:w="1888" w:type="dxa"/>
                </w:tcPr>
                <w:p w:rsidRPr="00F96CCD" w:rsidR="000E1194" w:rsidP="00FE4186" w:rsidRDefault="000E1194" w14:paraId="7D4CB9C8" w14:textId="77777777">
                  <w:pPr>
                    <w:pStyle w:val="TableParagraph"/>
                    <w:ind w:left="626"/>
                    <w:rPr>
                      <w:rFonts w:asciiTheme="minorHAnsi" w:hAnsiTheme="minorHAnsi" w:cstheme="minorHAnsi"/>
                      <w:sz w:val="20"/>
                    </w:rPr>
                  </w:pPr>
                  <w:r w:rsidRPr="00F96CCD">
                    <w:rPr>
                      <w:rFonts w:asciiTheme="minorHAnsi" w:hAnsiTheme="minorHAnsi" w:cstheme="minorHAnsi"/>
                      <w:sz w:val="20"/>
                    </w:rPr>
                    <w:t>1.</w:t>
                  </w:r>
                  <w:r>
                    <w:rPr>
                      <w:rFonts w:asciiTheme="minorHAnsi" w:hAnsiTheme="minorHAnsi" w:cstheme="minorHAnsi"/>
                      <w:sz w:val="20"/>
                    </w:rPr>
                    <w:t>6</w:t>
                  </w:r>
                  <w:r w:rsidRPr="00F96CCD">
                    <w:rPr>
                      <w:rFonts w:asciiTheme="minorHAnsi" w:hAnsiTheme="minorHAnsi" w:cstheme="minorHAnsi"/>
                      <w:sz w:val="20"/>
                    </w:rPr>
                    <w:t xml:space="preserve"> to 2.0</w:t>
                  </w:r>
                </w:p>
              </w:tc>
              <w:tc>
                <w:tcPr>
                  <w:tcW w:w="2982" w:type="dxa"/>
                </w:tcPr>
                <w:p w:rsidRPr="00F96CCD" w:rsidR="000E1194" w:rsidP="00FE4186" w:rsidRDefault="000E1194" w14:paraId="03801ECD" w14:textId="77777777">
                  <w:pPr>
                    <w:pStyle w:val="TableParagraph"/>
                    <w:rPr>
                      <w:rFonts w:asciiTheme="minorHAnsi" w:hAnsiTheme="minorHAnsi" w:cstheme="minorHAnsi"/>
                      <w:sz w:val="20"/>
                    </w:rPr>
                  </w:pPr>
                  <w:r w:rsidRPr="00F96CCD">
                    <w:rPr>
                      <w:rFonts w:asciiTheme="minorHAnsi" w:hAnsiTheme="minorHAnsi" w:cstheme="minorHAnsi"/>
                      <w:sz w:val="20"/>
                    </w:rPr>
                    <w:t>hold dose until anti-factor Xa level</w:t>
                  </w:r>
                </w:p>
                <w:p w:rsidRPr="00F96CCD" w:rsidR="000E1194" w:rsidP="00FE4186" w:rsidRDefault="000E1194" w14:paraId="652A5CBC" w14:textId="77777777">
                  <w:pPr>
                    <w:pStyle w:val="TableParagraph"/>
                    <w:spacing w:line="213" w:lineRule="exact"/>
                    <w:rPr>
                      <w:rFonts w:asciiTheme="minorHAnsi" w:hAnsiTheme="minorHAnsi" w:cstheme="minorHAnsi"/>
                      <w:sz w:val="20"/>
                    </w:rPr>
                  </w:pPr>
                  <w:r w:rsidRPr="00F96CCD">
                    <w:rPr>
                      <w:rFonts w:asciiTheme="minorHAnsi" w:hAnsiTheme="minorHAnsi" w:cstheme="minorHAnsi"/>
                      <w:sz w:val="20"/>
                    </w:rPr>
                    <w:t>&lt;1 then decrease next dose by 30%</w:t>
                  </w:r>
                </w:p>
              </w:tc>
              <w:tc>
                <w:tcPr>
                  <w:tcW w:w="2835" w:type="dxa"/>
                </w:tcPr>
                <w:p w:rsidRPr="00F96CCD" w:rsidR="000E1194" w:rsidP="00FE4186" w:rsidRDefault="000E1194" w14:paraId="25349654" w14:textId="77777777">
                  <w:pPr>
                    <w:pStyle w:val="TableParagraph"/>
                    <w:rPr>
                      <w:rFonts w:asciiTheme="minorHAnsi" w:hAnsiTheme="minorHAnsi" w:cstheme="minorHAnsi"/>
                      <w:sz w:val="20"/>
                    </w:rPr>
                  </w:pPr>
                  <w:r w:rsidRPr="00F96CCD">
                    <w:rPr>
                      <w:rFonts w:asciiTheme="minorHAnsi" w:hAnsiTheme="minorHAnsi" w:cstheme="minorHAnsi"/>
                      <w:sz w:val="20"/>
                    </w:rPr>
                    <w:t>4 hr following dose adjustment</w:t>
                  </w:r>
                </w:p>
              </w:tc>
            </w:tr>
            <w:tr w:rsidR="000E1194" w:rsidTr="000E1194" w14:paraId="3E166CEB" w14:textId="77777777">
              <w:trPr>
                <w:trHeight w:val="806"/>
              </w:trPr>
              <w:tc>
                <w:tcPr>
                  <w:tcW w:w="1888" w:type="dxa"/>
                </w:tcPr>
                <w:p w:rsidRPr="00F96CCD" w:rsidR="000E1194" w:rsidP="00FE4186" w:rsidRDefault="000E1194" w14:paraId="2A3CCA8C" w14:textId="77777777">
                  <w:pPr>
                    <w:pStyle w:val="TableParagraph"/>
                    <w:ind w:left="115" w:right="110"/>
                    <w:jc w:val="center"/>
                    <w:rPr>
                      <w:rFonts w:asciiTheme="minorHAnsi" w:hAnsiTheme="minorHAnsi" w:cstheme="minorHAnsi"/>
                      <w:sz w:val="20"/>
                    </w:rPr>
                  </w:pPr>
                  <w:r w:rsidRPr="00F96CCD">
                    <w:rPr>
                      <w:rFonts w:asciiTheme="minorHAnsi" w:hAnsiTheme="minorHAnsi" w:cstheme="minorHAnsi"/>
                      <w:sz w:val="20"/>
                    </w:rPr>
                    <w:t>&gt;2.0</w:t>
                  </w:r>
                </w:p>
              </w:tc>
              <w:tc>
                <w:tcPr>
                  <w:tcW w:w="2982" w:type="dxa"/>
                </w:tcPr>
                <w:p w:rsidRPr="00F96CCD" w:rsidR="000E1194" w:rsidP="00FE4186" w:rsidRDefault="000E1194" w14:paraId="79332037" w14:textId="77777777">
                  <w:pPr>
                    <w:pStyle w:val="TableParagraph"/>
                    <w:rPr>
                      <w:rFonts w:asciiTheme="minorHAnsi" w:hAnsiTheme="minorHAnsi" w:cstheme="minorHAnsi"/>
                      <w:sz w:val="20"/>
                    </w:rPr>
                  </w:pPr>
                  <w:r w:rsidRPr="00F96CCD">
                    <w:rPr>
                      <w:rFonts w:asciiTheme="minorHAnsi" w:hAnsiTheme="minorHAnsi" w:cstheme="minorHAnsi"/>
                      <w:sz w:val="20"/>
                    </w:rPr>
                    <w:t>hold dose until anti-factor Xa level</w:t>
                  </w:r>
                </w:p>
                <w:p w:rsidRPr="00F96CCD" w:rsidR="000E1194" w:rsidP="00FE4186" w:rsidRDefault="000E1194" w14:paraId="3967E97F" w14:textId="77777777">
                  <w:pPr>
                    <w:pStyle w:val="TableParagraph"/>
                    <w:spacing w:before="5" w:line="228" w:lineRule="exact"/>
                    <w:ind w:right="375"/>
                    <w:rPr>
                      <w:rFonts w:asciiTheme="minorHAnsi" w:hAnsiTheme="minorHAnsi" w:cstheme="minorHAnsi"/>
                      <w:sz w:val="20"/>
                    </w:rPr>
                  </w:pPr>
                  <w:r w:rsidRPr="00F96CCD">
                    <w:rPr>
                      <w:rFonts w:asciiTheme="minorHAnsi" w:hAnsiTheme="minorHAnsi" w:cstheme="minorHAnsi"/>
                      <w:sz w:val="20"/>
                    </w:rPr>
                    <w:t>&lt;0.5 then decrease next dose by 40%</w:t>
                  </w:r>
                </w:p>
              </w:tc>
              <w:tc>
                <w:tcPr>
                  <w:tcW w:w="2835" w:type="dxa"/>
                </w:tcPr>
                <w:p w:rsidRPr="00F96CCD" w:rsidR="000E1194" w:rsidP="00FE4186" w:rsidRDefault="000E1194" w14:paraId="62758F5E" w14:textId="77777777">
                  <w:pPr>
                    <w:pStyle w:val="TableParagraph"/>
                    <w:rPr>
                      <w:rFonts w:asciiTheme="minorHAnsi" w:hAnsiTheme="minorHAnsi" w:cstheme="minorHAnsi"/>
                      <w:sz w:val="20"/>
                    </w:rPr>
                  </w:pPr>
                  <w:r w:rsidRPr="00F96CCD">
                    <w:rPr>
                      <w:rFonts w:asciiTheme="minorHAnsi" w:hAnsiTheme="minorHAnsi" w:cstheme="minorHAnsi"/>
                      <w:sz w:val="20"/>
                    </w:rPr>
                    <w:t>12 h until anti-factor Xa level &lt;0.5,</w:t>
                  </w:r>
                </w:p>
                <w:p w:rsidRPr="00F96CCD" w:rsidR="000E1194" w:rsidP="00FE4186" w:rsidRDefault="000E1194" w14:paraId="5309E802" w14:textId="77777777">
                  <w:pPr>
                    <w:pStyle w:val="TableParagraph"/>
                    <w:spacing w:before="5" w:line="228" w:lineRule="exact"/>
                    <w:ind w:right="359"/>
                    <w:rPr>
                      <w:rFonts w:asciiTheme="minorHAnsi" w:hAnsiTheme="minorHAnsi" w:cstheme="minorHAnsi"/>
                      <w:sz w:val="20"/>
                    </w:rPr>
                  </w:pPr>
                  <w:r w:rsidRPr="00F96CCD">
                    <w:rPr>
                      <w:rFonts w:asciiTheme="minorHAnsi" w:hAnsiTheme="minorHAnsi" w:cstheme="minorHAnsi"/>
                      <w:sz w:val="20"/>
                    </w:rPr>
                    <w:t>then 4 hr following reinstitution of therapy</w:t>
                  </w:r>
                </w:p>
              </w:tc>
            </w:tr>
          </w:tbl>
          <w:p w:rsidRPr="006133BF" w:rsidR="000E1194" w:rsidP="00FE4186" w:rsidRDefault="000E1194" w14:paraId="7D5D4530" w14:textId="77777777">
            <w:pPr>
              <w:pStyle w:val="BodyText"/>
              <w:rPr>
                <w:sz w:val="20"/>
                <w:lang w:val="en-AU"/>
              </w:rPr>
            </w:pPr>
          </w:p>
        </w:tc>
      </w:tr>
      <w:tr w:rsidRPr="003A7895" w:rsidR="000E1194" w:rsidTr="000E1194" w14:paraId="7A74B3FD" w14:textId="77777777">
        <w:trPr>
          <w:trHeight w:val="407"/>
        </w:trPr>
        <w:tc>
          <w:tcPr>
            <w:tcW w:w="1730" w:type="dxa"/>
          </w:tcPr>
          <w:p w:rsidRPr="00B53E9B" w:rsidR="000E1194" w:rsidP="00FE4186" w:rsidRDefault="000E1194" w14:paraId="37F2C80C" w14:textId="77777777">
            <w:pPr>
              <w:pStyle w:val="BodyText"/>
              <w:rPr>
                <w:b/>
                <w:sz w:val="20"/>
                <w:lang w:val="en-AU"/>
              </w:rPr>
            </w:pPr>
            <w:r w:rsidRPr="00B53E9B">
              <w:rPr>
                <w:b/>
                <w:sz w:val="20"/>
                <w:lang w:val="en-AU"/>
              </w:rPr>
              <w:lastRenderedPageBreak/>
              <w:t>Dose adjustment</w:t>
            </w:r>
          </w:p>
          <w:p w:rsidRPr="00B53E9B" w:rsidR="000E1194" w:rsidP="00FE4186" w:rsidRDefault="000E1194" w14:paraId="77F147E7" w14:textId="77777777">
            <w:pPr>
              <w:pStyle w:val="BodyText"/>
              <w:rPr>
                <w:b/>
                <w:sz w:val="20"/>
                <w:lang w:val="en-AU"/>
              </w:rPr>
            </w:pPr>
          </w:p>
        </w:tc>
        <w:tc>
          <w:tcPr>
            <w:tcW w:w="8080" w:type="dxa"/>
          </w:tcPr>
          <w:p w:rsidRPr="00B53E9B" w:rsidR="000E1194" w:rsidP="00FE4186" w:rsidRDefault="000E1194" w14:paraId="7E60570F" w14:textId="77777777">
            <w:pPr>
              <w:pStyle w:val="BodyText"/>
              <w:rPr>
                <w:sz w:val="20"/>
                <w:lang w:val="en-AU"/>
              </w:rPr>
            </w:pPr>
            <w:r w:rsidRPr="00B53E9B">
              <w:rPr>
                <w:sz w:val="20"/>
                <w:lang w:val="en-AU"/>
              </w:rPr>
              <w:t>Therapeutic hypothermia</w:t>
            </w:r>
            <w:r>
              <w:rPr>
                <w:sz w:val="20"/>
                <w:lang w:val="en-AU"/>
              </w:rPr>
              <w:t xml:space="preserve"> - Enoxaparin is not the preferred anticoagulant.</w:t>
            </w:r>
          </w:p>
          <w:p w:rsidRPr="00B53E9B" w:rsidR="000E1194" w:rsidP="00FE4186" w:rsidRDefault="000E1194" w14:paraId="50F8DB40" w14:textId="77777777">
            <w:pPr>
              <w:pStyle w:val="BodyText"/>
              <w:rPr>
                <w:sz w:val="20"/>
                <w:lang w:val="en-AU"/>
              </w:rPr>
            </w:pPr>
            <w:r w:rsidRPr="00B53E9B">
              <w:rPr>
                <w:sz w:val="20"/>
                <w:lang w:val="en-AU"/>
              </w:rPr>
              <w:t>Renal</w:t>
            </w:r>
            <w:r>
              <w:rPr>
                <w:sz w:val="20"/>
                <w:lang w:val="en-AU"/>
              </w:rPr>
              <w:t xml:space="preserve"> impairment – Monitor anti-Xa factor closely. Dose adjustment is required in severe renal impairment. Discuss with haematologist.</w:t>
            </w:r>
          </w:p>
          <w:p w:rsidRPr="00026F20" w:rsidR="000E1194" w:rsidP="00FE4186" w:rsidRDefault="000E1194" w14:paraId="76000961" w14:textId="77777777">
            <w:pPr>
              <w:pStyle w:val="BodyText"/>
              <w:rPr>
                <w:sz w:val="20"/>
                <w:lang w:val="en-AU"/>
              </w:rPr>
            </w:pPr>
            <w:r w:rsidRPr="00B53E9B">
              <w:rPr>
                <w:sz w:val="20"/>
                <w:lang w:val="en-AU"/>
              </w:rPr>
              <w:t>Hepatic</w:t>
            </w:r>
            <w:r>
              <w:rPr>
                <w:sz w:val="20"/>
                <w:lang w:val="en-AU"/>
              </w:rPr>
              <w:t xml:space="preserve"> impairment – Dose adjustment is not established.</w:t>
            </w:r>
          </w:p>
        </w:tc>
      </w:tr>
      <w:tr w:rsidRPr="003A7895" w:rsidR="000E1194" w:rsidTr="000E1194" w14:paraId="3F35A7E2" w14:textId="77777777">
        <w:trPr>
          <w:trHeight w:val="113"/>
        </w:trPr>
        <w:tc>
          <w:tcPr>
            <w:tcW w:w="1730" w:type="dxa"/>
          </w:tcPr>
          <w:p w:rsidRPr="00B53E9B" w:rsidR="000E1194" w:rsidP="00FE4186" w:rsidRDefault="000E1194" w14:paraId="6A29E486" w14:textId="77777777">
            <w:pPr>
              <w:pStyle w:val="BodyText"/>
              <w:rPr>
                <w:b/>
                <w:sz w:val="20"/>
                <w:lang w:val="en-AU"/>
              </w:rPr>
            </w:pPr>
            <w:r w:rsidRPr="00B53E9B">
              <w:rPr>
                <w:b/>
                <w:sz w:val="20"/>
                <w:lang w:val="en-AU"/>
              </w:rPr>
              <w:t>Maximum dose</w:t>
            </w:r>
          </w:p>
        </w:tc>
        <w:tc>
          <w:tcPr>
            <w:tcW w:w="8080" w:type="dxa"/>
          </w:tcPr>
          <w:p w:rsidRPr="00026F20" w:rsidR="000E1194" w:rsidP="00FE4186" w:rsidRDefault="000E1194" w14:paraId="6430CD02" w14:textId="77777777">
            <w:pPr>
              <w:pStyle w:val="BodyText"/>
              <w:rPr>
                <w:sz w:val="20"/>
                <w:lang w:val="en-AU"/>
              </w:rPr>
            </w:pPr>
          </w:p>
        </w:tc>
      </w:tr>
      <w:tr w:rsidRPr="003A7895" w:rsidR="000E1194" w:rsidTr="000E1194" w14:paraId="357C67F1" w14:textId="77777777">
        <w:trPr>
          <w:trHeight w:val="144"/>
        </w:trPr>
        <w:tc>
          <w:tcPr>
            <w:tcW w:w="1730" w:type="dxa"/>
          </w:tcPr>
          <w:p w:rsidRPr="00B53E9B" w:rsidR="000E1194" w:rsidP="00FE4186" w:rsidRDefault="000E1194" w14:paraId="087660FF" w14:textId="77777777">
            <w:pPr>
              <w:pStyle w:val="BodyText"/>
              <w:rPr>
                <w:rFonts w:cs="Arial"/>
                <w:b/>
                <w:bCs/>
                <w:sz w:val="20"/>
                <w:lang w:val="en-AU"/>
              </w:rPr>
            </w:pPr>
            <w:r w:rsidRPr="00B53E9B">
              <w:rPr>
                <w:b/>
                <w:sz w:val="20"/>
                <w:lang w:val="en-AU"/>
              </w:rPr>
              <w:t>Total cumulative dose</w:t>
            </w:r>
          </w:p>
        </w:tc>
        <w:tc>
          <w:tcPr>
            <w:tcW w:w="8080" w:type="dxa"/>
          </w:tcPr>
          <w:p w:rsidRPr="00026F20" w:rsidR="000E1194" w:rsidP="00FE4186" w:rsidRDefault="000E1194" w14:paraId="4073CC96" w14:textId="77777777">
            <w:pPr>
              <w:pStyle w:val="BodyText"/>
              <w:rPr>
                <w:rFonts w:cs="Arial"/>
                <w:b/>
                <w:sz w:val="20"/>
                <w:lang w:val="en-AU"/>
              </w:rPr>
            </w:pPr>
          </w:p>
        </w:tc>
      </w:tr>
      <w:tr w:rsidRPr="003A7895" w:rsidR="000E1194" w:rsidTr="000E1194" w14:paraId="3A09BE8D" w14:textId="77777777">
        <w:trPr>
          <w:trHeight w:val="294"/>
        </w:trPr>
        <w:tc>
          <w:tcPr>
            <w:tcW w:w="1730" w:type="dxa"/>
          </w:tcPr>
          <w:p w:rsidRPr="00B53E9B" w:rsidR="000E1194" w:rsidP="00FE4186" w:rsidRDefault="000E1194" w14:paraId="00AC4D0A" w14:textId="77777777">
            <w:pPr>
              <w:pStyle w:val="BodyText"/>
              <w:rPr>
                <w:rFonts w:cs="Arial"/>
                <w:sz w:val="20"/>
                <w:lang w:val="en-AU"/>
              </w:rPr>
            </w:pPr>
            <w:r w:rsidRPr="00B53E9B">
              <w:rPr>
                <w:rFonts w:cs="Arial"/>
                <w:b/>
                <w:bCs/>
                <w:sz w:val="20"/>
                <w:lang w:val="en-AU"/>
              </w:rPr>
              <w:t xml:space="preserve">Route                                </w:t>
            </w:r>
          </w:p>
        </w:tc>
        <w:tc>
          <w:tcPr>
            <w:tcW w:w="8080" w:type="dxa"/>
          </w:tcPr>
          <w:p w:rsidRPr="00026F20" w:rsidR="000E1194" w:rsidP="00FE4186" w:rsidRDefault="000E1194" w14:paraId="6D142CDB" w14:textId="77777777">
            <w:pPr>
              <w:pStyle w:val="BodyText"/>
              <w:rPr>
                <w:rFonts w:cs="Arial"/>
                <w:sz w:val="20"/>
                <w:lang w:val="en-AU"/>
              </w:rPr>
            </w:pPr>
            <w:r>
              <w:rPr>
                <w:rFonts w:cs="Arial"/>
                <w:sz w:val="20"/>
                <w:lang w:val="en-AU"/>
              </w:rPr>
              <w:t>Subcutaneous injection.</w:t>
            </w:r>
          </w:p>
        </w:tc>
      </w:tr>
      <w:tr w:rsidRPr="003A7895" w:rsidR="000E1194" w:rsidTr="000E1194" w14:paraId="0F77B416" w14:textId="77777777">
        <w:trPr>
          <w:trHeight w:val="93"/>
        </w:trPr>
        <w:tc>
          <w:tcPr>
            <w:tcW w:w="1730" w:type="dxa"/>
          </w:tcPr>
          <w:p w:rsidRPr="00B53E9B" w:rsidR="000E1194" w:rsidP="00FE4186" w:rsidRDefault="000E1194" w14:paraId="22E0094E" w14:textId="77777777">
            <w:pPr>
              <w:pStyle w:val="BodyText"/>
              <w:rPr>
                <w:rFonts w:cs="Arial"/>
                <w:b/>
                <w:bCs/>
                <w:sz w:val="20"/>
                <w:highlight w:val="cyan"/>
                <w:lang w:val="en-AU"/>
              </w:rPr>
            </w:pPr>
            <w:r w:rsidRPr="00B53E9B">
              <w:rPr>
                <w:rFonts w:cs="Arial"/>
                <w:b/>
                <w:bCs/>
                <w:sz w:val="20"/>
                <w:lang w:val="en-AU"/>
              </w:rPr>
              <w:t>Preparation</w:t>
            </w:r>
            <w:r w:rsidRPr="00B53E9B">
              <w:rPr>
                <w:rFonts w:cs="Arial"/>
                <w:b/>
                <w:bCs/>
                <w:sz w:val="20"/>
                <w:highlight w:val="cyan"/>
                <w:lang w:val="en-AU"/>
              </w:rPr>
              <w:t xml:space="preserve">                </w:t>
            </w:r>
          </w:p>
        </w:tc>
        <w:tc>
          <w:tcPr>
            <w:tcW w:w="8080" w:type="dxa"/>
          </w:tcPr>
          <w:p w:rsidR="000E1194" w:rsidP="00FE4186" w:rsidRDefault="000E1194" w14:paraId="07D1C643" w14:textId="77777777">
            <w:pPr>
              <w:pStyle w:val="BodyText"/>
              <w:rPr>
                <w:rFonts w:cs="Arial"/>
                <w:sz w:val="20"/>
                <w:lang w:val="en-AU"/>
              </w:rPr>
            </w:pPr>
            <w:r>
              <w:rPr>
                <w:rFonts w:cs="Arial"/>
                <w:sz w:val="20"/>
                <w:lang w:val="en-AU"/>
              </w:rPr>
              <w:t>Enoxaparin injections for patient specific administration can be aseptically prepared by local pharmacy as follows:</w:t>
            </w:r>
          </w:p>
          <w:p w:rsidR="000E1194" w:rsidP="00FE4186" w:rsidRDefault="000E1194" w14:paraId="15AFB26A" w14:textId="77777777">
            <w:pPr>
              <w:pStyle w:val="BodyText"/>
              <w:rPr>
                <w:rFonts w:cs="Arial"/>
                <w:sz w:val="20"/>
                <w:lang w:val="en-AU"/>
              </w:rPr>
            </w:pPr>
          </w:p>
          <w:p w:rsidR="000E1194" w:rsidP="00FE4186" w:rsidRDefault="000E1194" w14:paraId="105C3738" w14:textId="77777777">
            <w:pPr>
              <w:pStyle w:val="BodyText"/>
              <w:rPr>
                <w:rFonts w:cs="Arial"/>
                <w:sz w:val="20"/>
                <w:lang w:val="en-AU"/>
              </w:rPr>
            </w:pPr>
            <w:r>
              <w:rPr>
                <w:rFonts w:cs="Arial"/>
                <w:sz w:val="20"/>
                <w:lang w:val="en-AU"/>
              </w:rPr>
              <w:t>Draw 0.8 mL of sodium chloride 0.9% into a 2 mL syringe. Inject the contents of enoxaparin 20 mg/0.2 mL pre-filled syringe into the sodium chloride syringe to make a final volume of 1 mL. The resulting solution contains 20 mg/mL.</w:t>
            </w:r>
          </w:p>
          <w:p w:rsidR="000E1194" w:rsidP="00FE4186" w:rsidRDefault="000E1194" w14:paraId="3CBF275A" w14:textId="77777777">
            <w:pPr>
              <w:pStyle w:val="BodyText"/>
              <w:rPr>
                <w:rFonts w:cs="Arial"/>
                <w:sz w:val="20"/>
                <w:lang w:val="en-AU"/>
              </w:rPr>
            </w:pPr>
          </w:p>
          <w:tbl>
            <w:tblPr>
              <w:tblStyle w:val="TableGrid"/>
              <w:tblW w:w="0" w:type="auto"/>
              <w:tblLayout w:type="fixed"/>
              <w:tblLook w:val="04A0" w:firstRow="1" w:lastRow="0" w:firstColumn="1" w:lastColumn="0" w:noHBand="0" w:noVBand="1"/>
            </w:tblPr>
            <w:tblGrid>
              <w:gridCol w:w="1018"/>
              <w:gridCol w:w="993"/>
              <w:gridCol w:w="850"/>
              <w:gridCol w:w="851"/>
              <w:gridCol w:w="850"/>
              <w:gridCol w:w="992"/>
            </w:tblGrid>
            <w:tr w:rsidR="000E1194" w:rsidTr="000E1194" w14:paraId="2E329B90" w14:textId="77777777">
              <w:tc>
                <w:tcPr>
                  <w:tcW w:w="1018" w:type="dxa"/>
                </w:tcPr>
                <w:p w:rsidR="000E1194" w:rsidP="00FE4186" w:rsidRDefault="000E1194" w14:paraId="0C557087" w14:textId="77777777">
                  <w:pPr>
                    <w:pStyle w:val="BodyText"/>
                    <w:rPr>
                      <w:rFonts w:cs="Arial"/>
                      <w:sz w:val="20"/>
                      <w:lang w:val="en-AU"/>
                    </w:rPr>
                  </w:pPr>
                  <w:r>
                    <w:rPr>
                      <w:rFonts w:cs="Arial"/>
                      <w:sz w:val="20"/>
                      <w:lang w:val="en-AU"/>
                    </w:rPr>
                    <w:t>Dose</w:t>
                  </w:r>
                </w:p>
              </w:tc>
              <w:tc>
                <w:tcPr>
                  <w:tcW w:w="993" w:type="dxa"/>
                </w:tcPr>
                <w:p w:rsidR="000E1194" w:rsidP="00FE4186" w:rsidRDefault="000E1194" w14:paraId="44CAB3CC" w14:textId="77777777">
                  <w:pPr>
                    <w:pStyle w:val="BodyText"/>
                    <w:rPr>
                      <w:rFonts w:cs="Arial"/>
                      <w:sz w:val="20"/>
                      <w:lang w:val="en-AU"/>
                    </w:rPr>
                  </w:pPr>
                  <w:r>
                    <w:rPr>
                      <w:rFonts w:cs="Arial"/>
                      <w:sz w:val="20"/>
                      <w:lang w:val="en-AU"/>
                    </w:rPr>
                    <w:t>1.5 mg</w:t>
                  </w:r>
                </w:p>
              </w:tc>
              <w:tc>
                <w:tcPr>
                  <w:tcW w:w="850" w:type="dxa"/>
                </w:tcPr>
                <w:p w:rsidR="000E1194" w:rsidP="00FE4186" w:rsidRDefault="000E1194" w14:paraId="2F608143" w14:textId="77777777">
                  <w:pPr>
                    <w:pStyle w:val="BodyText"/>
                    <w:rPr>
                      <w:rFonts w:cs="Arial"/>
                      <w:sz w:val="20"/>
                      <w:lang w:val="en-AU"/>
                    </w:rPr>
                  </w:pPr>
                  <w:r>
                    <w:rPr>
                      <w:rFonts w:cs="Arial"/>
                      <w:sz w:val="20"/>
                      <w:lang w:val="en-AU"/>
                    </w:rPr>
                    <w:t>2 mg</w:t>
                  </w:r>
                </w:p>
              </w:tc>
              <w:tc>
                <w:tcPr>
                  <w:tcW w:w="851" w:type="dxa"/>
                </w:tcPr>
                <w:p w:rsidR="000E1194" w:rsidP="00FE4186" w:rsidRDefault="000E1194" w14:paraId="244BAD40" w14:textId="77777777">
                  <w:pPr>
                    <w:pStyle w:val="BodyText"/>
                    <w:rPr>
                      <w:rFonts w:cs="Arial"/>
                      <w:sz w:val="20"/>
                      <w:lang w:val="en-AU"/>
                    </w:rPr>
                  </w:pPr>
                  <w:r>
                    <w:rPr>
                      <w:rFonts w:cs="Arial"/>
                      <w:sz w:val="20"/>
                      <w:lang w:val="en-AU"/>
                    </w:rPr>
                    <w:t>3 mg</w:t>
                  </w:r>
                </w:p>
              </w:tc>
              <w:tc>
                <w:tcPr>
                  <w:tcW w:w="850" w:type="dxa"/>
                </w:tcPr>
                <w:p w:rsidR="000E1194" w:rsidP="00FE4186" w:rsidRDefault="000E1194" w14:paraId="064235CA" w14:textId="77777777">
                  <w:pPr>
                    <w:pStyle w:val="BodyText"/>
                    <w:rPr>
                      <w:rFonts w:cs="Arial"/>
                      <w:sz w:val="20"/>
                      <w:lang w:val="en-AU"/>
                    </w:rPr>
                  </w:pPr>
                  <w:r>
                    <w:rPr>
                      <w:rFonts w:cs="Arial"/>
                      <w:sz w:val="20"/>
                      <w:lang w:val="en-AU"/>
                    </w:rPr>
                    <w:t>4 mg</w:t>
                  </w:r>
                </w:p>
              </w:tc>
              <w:tc>
                <w:tcPr>
                  <w:tcW w:w="992" w:type="dxa"/>
                </w:tcPr>
                <w:p w:rsidR="000E1194" w:rsidP="00FE4186" w:rsidRDefault="000E1194" w14:paraId="35162913" w14:textId="77777777">
                  <w:pPr>
                    <w:pStyle w:val="BodyText"/>
                    <w:rPr>
                      <w:rFonts w:cs="Arial"/>
                      <w:sz w:val="20"/>
                      <w:lang w:val="en-AU"/>
                    </w:rPr>
                  </w:pPr>
                  <w:r>
                    <w:rPr>
                      <w:rFonts w:cs="Arial"/>
                      <w:sz w:val="20"/>
                      <w:lang w:val="en-AU"/>
                    </w:rPr>
                    <w:t>5 mg</w:t>
                  </w:r>
                </w:p>
              </w:tc>
            </w:tr>
            <w:tr w:rsidR="000E1194" w:rsidTr="000E1194" w14:paraId="0209B513" w14:textId="77777777">
              <w:tc>
                <w:tcPr>
                  <w:tcW w:w="1018" w:type="dxa"/>
                </w:tcPr>
                <w:p w:rsidR="000E1194" w:rsidP="00FE4186" w:rsidRDefault="000E1194" w14:paraId="6686BF19" w14:textId="77777777">
                  <w:pPr>
                    <w:pStyle w:val="BodyText"/>
                    <w:rPr>
                      <w:rFonts w:cs="Arial"/>
                      <w:sz w:val="20"/>
                      <w:lang w:val="en-AU"/>
                    </w:rPr>
                  </w:pPr>
                  <w:r>
                    <w:rPr>
                      <w:rFonts w:cs="Arial"/>
                      <w:sz w:val="20"/>
                      <w:lang w:val="en-AU"/>
                    </w:rPr>
                    <w:t>Volume</w:t>
                  </w:r>
                </w:p>
              </w:tc>
              <w:tc>
                <w:tcPr>
                  <w:tcW w:w="993" w:type="dxa"/>
                </w:tcPr>
                <w:p w:rsidR="000E1194" w:rsidP="00FE4186" w:rsidRDefault="000E1194" w14:paraId="5A5E0F7A" w14:textId="77777777">
                  <w:pPr>
                    <w:pStyle w:val="BodyText"/>
                    <w:rPr>
                      <w:rFonts w:cs="Arial"/>
                      <w:sz w:val="20"/>
                      <w:lang w:val="en-AU"/>
                    </w:rPr>
                  </w:pPr>
                  <w:r>
                    <w:rPr>
                      <w:rFonts w:cs="Arial"/>
                      <w:sz w:val="20"/>
                      <w:lang w:val="en-AU"/>
                    </w:rPr>
                    <w:t>0.075 mL</w:t>
                  </w:r>
                </w:p>
              </w:tc>
              <w:tc>
                <w:tcPr>
                  <w:tcW w:w="850" w:type="dxa"/>
                </w:tcPr>
                <w:p w:rsidR="000E1194" w:rsidP="00FE4186" w:rsidRDefault="000E1194" w14:paraId="65849CA6" w14:textId="77777777">
                  <w:pPr>
                    <w:pStyle w:val="BodyText"/>
                    <w:rPr>
                      <w:rFonts w:cs="Arial"/>
                      <w:sz w:val="20"/>
                      <w:lang w:val="en-AU"/>
                    </w:rPr>
                  </w:pPr>
                  <w:r>
                    <w:rPr>
                      <w:rFonts w:cs="Arial"/>
                      <w:sz w:val="20"/>
                      <w:lang w:val="en-AU"/>
                    </w:rPr>
                    <w:t>0.1 mL</w:t>
                  </w:r>
                </w:p>
              </w:tc>
              <w:tc>
                <w:tcPr>
                  <w:tcW w:w="851" w:type="dxa"/>
                </w:tcPr>
                <w:p w:rsidR="000E1194" w:rsidP="00FE4186" w:rsidRDefault="000E1194" w14:paraId="2B7A8AA3" w14:textId="77777777">
                  <w:pPr>
                    <w:pStyle w:val="BodyText"/>
                    <w:rPr>
                      <w:rFonts w:cs="Arial"/>
                      <w:sz w:val="20"/>
                      <w:lang w:val="en-AU"/>
                    </w:rPr>
                  </w:pPr>
                  <w:r>
                    <w:rPr>
                      <w:rFonts w:cs="Arial"/>
                      <w:sz w:val="20"/>
                      <w:lang w:val="en-AU"/>
                    </w:rPr>
                    <w:t>0.15 mL</w:t>
                  </w:r>
                </w:p>
              </w:tc>
              <w:tc>
                <w:tcPr>
                  <w:tcW w:w="850" w:type="dxa"/>
                </w:tcPr>
                <w:p w:rsidR="000E1194" w:rsidP="00FE4186" w:rsidRDefault="000E1194" w14:paraId="17254C22" w14:textId="77777777">
                  <w:pPr>
                    <w:pStyle w:val="BodyText"/>
                    <w:rPr>
                      <w:rFonts w:cs="Arial"/>
                      <w:sz w:val="20"/>
                      <w:lang w:val="en-AU"/>
                    </w:rPr>
                  </w:pPr>
                  <w:r>
                    <w:rPr>
                      <w:rFonts w:cs="Arial"/>
                      <w:sz w:val="20"/>
                      <w:lang w:val="en-AU"/>
                    </w:rPr>
                    <w:t>0.2 mL</w:t>
                  </w:r>
                </w:p>
              </w:tc>
              <w:tc>
                <w:tcPr>
                  <w:tcW w:w="992" w:type="dxa"/>
                </w:tcPr>
                <w:p w:rsidR="000E1194" w:rsidP="00FE4186" w:rsidRDefault="000E1194" w14:paraId="0CE681AE" w14:textId="77777777">
                  <w:pPr>
                    <w:pStyle w:val="BodyText"/>
                    <w:rPr>
                      <w:rFonts w:cs="Arial"/>
                      <w:sz w:val="20"/>
                      <w:lang w:val="en-AU"/>
                    </w:rPr>
                  </w:pPr>
                  <w:r>
                    <w:rPr>
                      <w:rFonts w:cs="Arial"/>
                      <w:sz w:val="20"/>
                      <w:lang w:val="en-AU"/>
                    </w:rPr>
                    <w:t>0.25 mL</w:t>
                  </w:r>
                </w:p>
              </w:tc>
            </w:tr>
          </w:tbl>
          <w:p w:rsidR="000E1194" w:rsidP="00FE4186" w:rsidRDefault="000E1194" w14:paraId="49744A9B" w14:textId="77777777">
            <w:pPr>
              <w:pStyle w:val="BodyText"/>
              <w:rPr>
                <w:rFonts w:cs="Arial"/>
                <w:sz w:val="20"/>
                <w:lang w:val="en-AU"/>
              </w:rPr>
            </w:pPr>
            <w:r>
              <w:rPr>
                <w:rFonts w:cs="Arial"/>
                <w:sz w:val="20"/>
                <w:lang w:val="en-AU"/>
              </w:rPr>
              <w:t xml:space="preserve"> </w:t>
            </w:r>
          </w:p>
          <w:p w:rsidRPr="00026F20" w:rsidR="000E1194" w:rsidP="00FE4186" w:rsidRDefault="000E1194" w14:paraId="0D5EF8B3" w14:textId="77777777">
            <w:pPr>
              <w:pStyle w:val="BodyText"/>
              <w:rPr>
                <w:rFonts w:cs="Arial"/>
                <w:sz w:val="20"/>
                <w:lang w:val="en-AU"/>
              </w:rPr>
            </w:pPr>
            <w:r>
              <w:rPr>
                <w:rFonts w:cs="Arial"/>
                <w:sz w:val="20"/>
                <w:lang w:val="en-AU"/>
              </w:rPr>
              <w:t>Discard remaining solution.</w:t>
            </w:r>
          </w:p>
        </w:tc>
      </w:tr>
      <w:tr w:rsidRPr="003A7895" w:rsidR="000E1194" w:rsidTr="000E1194" w14:paraId="6A703E14" w14:textId="77777777">
        <w:trPr>
          <w:trHeight w:val="224"/>
        </w:trPr>
        <w:tc>
          <w:tcPr>
            <w:tcW w:w="1730" w:type="dxa"/>
          </w:tcPr>
          <w:p w:rsidRPr="00B53E9B" w:rsidR="000E1194" w:rsidP="00FE4186" w:rsidRDefault="000E1194" w14:paraId="7E446749" w14:textId="77777777">
            <w:pPr>
              <w:pStyle w:val="BodyText"/>
              <w:rPr>
                <w:rFonts w:cs="Arial"/>
                <w:b/>
                <w:bCs/>
                <w:sz w:val="20"/>
                <w:lang w:val="en-AU"/>
              </w:rPr>
            </w:pPr>
            <w:r w:rsidRPr="00B53E9B">
              <w:rPr>
                <w:rFonts w:cs="Arial"/>
                <w:b/>
                <w:bCs/>
                <w:sz w:val="20"/>
                <w:lang w:val="en-AU"/>
              </w:rPr>
              <w:t xml:space="preserve">Administration                </w:t>
            </w:r>
          </w:p>
        </w:tc>
        <w:tc>
          <w:tcPr>
            <w:tcW w:w="8080" w:type="dxa"/>
            <w:vAlign w:val="center"/>
          </w:tcPr>
          <w:p w:rsidRPr="00915A17" w:rsidR="000E1194" w:rsidP="00FE4186" w:rsidRDefault="000E1194" w14:paraId="213B5DAC" w14:textId="77777777">
            <w:pPr>
              <w:pStyle w:val="BodyText"/>
              <w:rPr>
                <w:rFonts w:cs="Arial"/>
                <w:sz w:val="20"/>
                <w:lang w:val="en-AU"/>
              </w:rPr>
            </w:pPr>
            <w:r>
              <w:rPr>
                <w:rFonts w:cs="Arial"/>
                <w:sz w:val="20"/>
                <w:lang w:val="en-AU"/>
              </w:rPr>
              <w:t>A</w:t>
            </w:r>
            <w:r w:rsidRPr="00915A17">
              <w:rPr>
                <w:rFonts w:cs="Arial"/>
                <w:sz w:val="20"/>
                <w:lang w:val="en-AU"/>
              </w:rPr>
              <w:t xml:space="preserve">dminister subcutaneously. Do not remove the air bubble in the prefilled syringe. </w:t>
            </w:r>
            <w:r>
              <w:rPr>
                <w:rFonts w:cs="Arial"/>
                <w:sz w:val="20"/>
                <w:lang w:val="en-AU"/>
              </w:rPr>
              <w:t>R</w:t>
            </w:r>
            <w:r w:rsidRPr="00915A17">
              <w:rPr>
                <w:rFonts w:cs="Arial"/>
                <w:sz w:val="20"/>
                <w:lang w:val="en-AU"/>
              </w:rPr>
              <w:t>otate the site of subcutaneous injection.</w:t>
            </w:r>
          </w:p>
          <w:p w:rsidR="000E1194" w:rsidP="00FE4186" w:rsidRDefault="000E1194" w14:paraId="7D855697" w14:textId="77777777">
            <w:pPr>
              <w:pStyle w:val="BodyText"/>
              <w:rPr>
                <w:rFonts w:cs="Arial"/>
                <w:sz w:val="20"/>
                <w:lang w:val="en-AU"/>
              </w:rPr>
            </w:pPr>
            <w:r>
              <w:rPr>
                <w:rFonts w:cs="Arial"/>
                <w:sz w:val="20"/>
                <w:lang w:val="en-AU"/>
              </w:rPr>
              <w:t>Enoxaparin</w:t>
            </w:r>
            <w:r w:rsidRPr="00915A17">
              <w:rPr>
                <w:rFonts w:cs="Arial"/>
                <w:sz w:val="20"/>
                <w:lang w:val="en-AU"/>
              </w:rPr>
              <w:t xml:space="preserve"> may also be administered via an Insuflon catheter placed into the subcutaneous tissue. However, </w:t>
            </w:r>
            <w:r>
              <w:rPr>
                <w:rFonts w:cs="Arial"/>
                <w:sz w:val="20"/>
                <w:lang w:val="en-AU"/>
              </w:rPr>
              <w:t>I</w:t>
            </w:r>
            <w:r w:rsidRPr="00915A17">
              <w:rPr>
                <w:rFonts w:cs="Arial"/>
                <w:sz w:val="20"/>
                <w:lang w:val="en-AU"/>
              </w:rPr>
              <w:t>nsuflon catheters are not recommended for infants less than 3kg. When administering enoxaparin via an Insuflon catheter, the air bubble in the syringe should be removed.</w:t>
            </w:r>
          </w:p>
          <w:p w:rsidR="000E1194" w:rsidP="00FE4186" w:rsidRDefault="000E1194" w14:paraId="7F57C727" w14:textId="77777777">
            <w:pPr>
              <w:pStyle w:val="BodyText"/>
              <w:rPr>
                <w:rFonts w:cs="Arial"/>
                <w:sz w:val="20"/>
                <w:lang w:val="en-AU"/>
              </w:rPr>
            </w:pPr>
            <w:r>
              <w:rPr>
                <w:rFonts w:cs="Arial"/>
                <w:sz w:val="20"/>
                <w:lang w:val="en-AU"/>
              </w:rPr>
              <w:t>Do not rub the injection site after administration.</w:t>
            </w:r>
          </w:p>
          <w:p w:rsidR="000E1194" w:rsidP="00FE4186" w:rsidRDefault="000E1194" w14:paraId="65801D60" w14:textId="77777777">
            <w:pPr>
              <w:pStyle w:val="BodyText"/>
              <w:rPr>
                <w:rFonts w:cs="Arial"/>
                <w:sz w:val="20"/>
                <w:lang w:val="en-AU"/>
              </w:rPr>
            </w:pPr>
          </w:p>
          <w:p w:rsidRPr="00026F20" w:rsidR="000E1194" w:rsidP="00FE4186" w:rsidRDefault="000E1194" w14:paraId="7EF3CF9A" w14:textId="77777777">
            <w:pPr>
              <w:pStyle w:val="BodyText"/>
              <w:rPr>
                <w:rFonts w:cs="Arial"/>
                <w:sz w:val="20"/>
                <w:lang w:val="en-AU"/>
              </w:rPr>
            </w:pPr>
            <w:r>
              <w:rPr>
                <w:rFonts w:cs="Arial"/>
                <w:sz w:val="20"/>
                <w:lang w:val="en-AU"/>
              </w:rPr>
              <w:t>Note: I</w:t>
            </w:r>
            <w:r w:rsidRPr="00172045">
              <w:rPr>
                <w:rFonts w:cs="Arial"/>
                <w:sz w:val="20"/>
                <w:lang w:val="en-AU"/>
              </w:rPr>
              <w:t xml:space="preserve">njection in </w:t>
            </w:r>
            <w:r>
              <w:rPr>
                <w:rFonts w:cs="Arial"/>
                <w:sz w:val="20"/>
                <w:lang w:val="en-AU"/>
              </w:rPr>
              <w:t>low birth weight</w:t>
            </w:r>
            <w:r w:rsidRPr="00172045">
              <w:rPr>
                <w:rFonts w:cs="Arial"/>
                <w:sz w:val="20"/>
                <w:lang w:val="en-AU"/>
              </w:rPr>
              <w:t xml:space="preserve"> </w:t>
            </w:r>
            <w:r>
              <w:rPr>
                <w:rFonts w:cs="Arial"/>
                <w:sz w:val="20"/>
                <w:lang w:val="en-AU"/>
              </w:rPr>
              <w:t>infants</w:t>
            </w:r>
            <w:r w:rsidRPr="00172045">
              <w:rPr>
                <w:rFonts w:cs="Arial"/>
                <w:sz w:val="20"/>
                <w:lang w:val="en-AU"/>
              </w:rPr>
              <w:t xml:space="preserve"> with little subcutaneous fat may </w:t>
            </w:r>
            <w:r>
              <w:rPr>
                <w:rFonts w:cs="Arial"/>
                <w:sz w:val="20"/>
                <w:lang w:val="en-AU"/>
              </w:rPr>
              <w:t>enter</w:t>
            </w:r>
            <w:r w:rsidRPr="00172045">
              <w:rPr>
                <w:rFonts w:cs="Arial"/>
                <w:sz w:val="20"/>
                <w:lang w:val="en-AU"/>
              </w:rPr>
              <w:t xml:space="preserve"> intramuscular rather than subcutaneous which can impact anti-Xa level due to different absorption rate and pharmacokinetics. </w:t>
            </w:r>
            <w:r>
              <w:rPr>
                <w:rFonts w:cs="Arial"/>
                <w:sz w:val="20"/>
                <w:lang w:val="en-AU"/>
              </w:rPr>
              <w:t xml:space="preserve"> S</w:t>
            </w:r>
            <w:r w:rsidRPr="00172045">
              <w:rPr>
                <w:rFonts w:cs="Arial"/>
                <w:sz w:val="20"/>
                <w:lang w:val="en-AU"/>
              </w:rPr>
              <w:t>i</w:t>
            </w:r>
            <w:r>
              <w:rPr>
                <w:rFonts w:cs="Arial"/>
                <w:sz w:val="20"/>
                <w:lang w:val="en-AU"/>
              </w:rPr>
              <w:t>gnificant tissue oedema</w:t>
            </w:r>
            <w:r w:rsidRPr="00172045">
              <w:rPr>
                <w:rFonts w:cs="Arial"/>
                <w:sz w:val="20"/>
                <w:lang w:val="en-AU"/>
              </w:rPr>
              <w:t xml:space="preserve"> at injection sites may also impact absorption</w:t>
            </w:r>
            <w:r>
              <w:rPr>
                <w:rFonts w:cs="Arial"/>
                <w:sz w:val="20"/>
                <w:lang w:val="en-AU"/>
              </w:rPr>
              <w:t>.</w:t>
            </w:r>
          </w:p>
        </w:tc>
      </w:tr>
      <w:tr w:rsidRPr="003A7895" w:rsidR="000E1194" w:rsidTr="000E1194" w14:paraId="75A4FAB2" w14:textId="77777777">
        <w:trPr>
          <w:trHeight w:val="215"/>
        </w:trPr>
        <w:tc>
          <w:tcPr>
            <w:tcW w:w="1730" w:type="dxa"/>
          </w:tcPr>
          <w:p w:rsidRPr="00B53E9B" w:rsidR="000E1194" w:rsidP="00FE4186" w:rsidRDefault="000E1194" w14:paraId="6F0A7E46" w14:textId="77777777">
            <w:pPr>
              <w:pStyle w:val="BodyText"/>
              <w:rPr>
                <w:rFonts w:cs="Arial"/>
                <w:b/>
                <w:bCs/>
                <w:sz w:val="20"/>
                <w:lang w:val="en-AU"/>
              </w:rPr>
            </w:pPr>
            <w:r w:rsidRPr="00B53E9B">
              <w:rPr>
                <w:rFonts w:cs="Arial"/>
                <w:b/>
                <w:bCs/>
                <w:sz w:val="20"/>
                <w:lang w:val="en-AU"/>
              </w:rPr>
              <w:t xml:space="preserve">Monitoring                              </w:t>
            </w:r>
          </w:p>
        </w:tc>
        <w:tc>
          <w:tcPr>
            <w:tcW w:w="8080" w:type="dxa"/>
          </w:tcPr>
          <w:p w:rsidR="000E1194" w:rsidP="00FE4186" w:rsidRDefault="000E1194" w14:paraId="009B2AAF" w14:textId="77777777">
            <w:pPr>
              <w:pStyle w:val="BodyText"/>
              <w:rPr>
                <w:rFonts w:cs="Arial"/>
                <w:sz w:val="20"/>
                <w:lang w:val="en-AU"/>
              </w:rPr>
            </w:pPr>
            <w:r>
              <w:rPr>
                <w:rFonts w:cs="Arial"/>
                <w:sz w:val="20"/>
                <w:lang w:val="en-AU"/>
              </w:rPr>
              <w:t>Anti-factor Xa levels</w:t>
            </w:r>
          </w:p>
          <w:p w:rsidR="000E1194" w:rsidP="00FE4186" w:rsidRDefault="000E1194" w14:paraId="5BC13ABD" w14:textId="77777777">
            <w:pPr>
              <w:pStyle w:val="BodyText"/>
              <w:rPr>
                <w:rFonts w:cs="Arial"/>
                <w:sz w:val="20"/>
                <w:lang w:val="en-AU"/>
              </w:rPr>
            </w:pPr>
            <w:r>
              <w:rPr>
                <w:rFonts w:cs="Arial"/>
                <w:sz w:val="20"/>
                <w:lang w:val="en-AU"/>
              </w:rPr>
              <w:t>Platelet count every 2-3 days</w:t>
            </w:r>
          </w:p>
          <w:p w:rsidR="000E1194" w:rsidP="00FE4186" w:rsidRDefault="000E1194" w14:paraId="1EF74339" w14:textId="77777777">
            <w:pPr>
              <w:pStyle w:val="BodyText"/>
              <w:rPr>
                <w:rFonts w:cs="Arial"/>
                <w:sz w:val="20"/>
                <w:lang w:val="en-AU"/>
              </w:rPr>
            </w:pPr>
            <w:r>
              <w:rPr>
                <w:rFonts w:cs="Arial"/>
                <w:sz w:val="20"/>
                <w:lang w:val="en-AU"/>
              </w:rPr>
              <w:lastRenderedPageBreak/>
              <w:t>Potassium levels</w:t>
            </w:r>
          </w:p>
          <w:p w:rsidRPr="00026F20" w:rsidR="000E1194" w:rsidP="00FE4186" w:rsidRDefault="000E1194" w14:paraId="0EDAA97E" w14:textId="77777777">
            <w:pPr>
              <w:pStyle w:val="BodyText"/>
              <w:rPr>
                <w:rFonts w:cs="Arial"/>
                <w:sz w:val="20"/>
                <w:lang w:val="en-AU"/>
              </w:rPr>
            </w:pPr>
            <w:r>
              <w:rPr>
                <w:rFonts w:cs="Arial"/>
                <w:sz w:val="20"/>
                <w:lang w:val="en-AU"/>
              </w:rPr>
              <w:t xml:space="preserve">Renal function </w:t>
            </w:r>
          </w:p>
        </w:tc>
      </w:tr>
      <w:tr w:rsidRPr="003A7895" w:rsidR="000E1194" w:rsidTr="000E1194" w14:paraId="70626954" w14:textId="77777777">
        <w:trPr>
          <w:trHeight w:val="342"/>
        </w:trPr>
        <w:tc>
          <w:tcPr>
            <w:tcW w:w="1730" w:type="dxa"/>
          </w:tcPr>
          <w:p w:rsidRPr="00B53E9B" w:rsidR="000E1194" w:rsidP="00FE4186" w:rsidRDefault="000E1194" w14:paraId="55327A25" w14:textId="77777777">
            <w:pPr>
              <w:pStyle w:val="BodyText"/>
              <w:rPr>
                <w:rFonts w:cs="Arial"/>
                <w:b/>
                <w:bCs/>
                <w:sz w:val="20"/>
                <w:lang w:val="en-AU"/>
              </w:rPr>
            </w:pPr>
            <w:r w:rsidRPr="00B53E9B">
              <w:rPr>
                <w:rFonts w:cs="Arial"/>
                <w:b/>
                <w:bCs/>
                <w:sz w:val="20"/>
                <w:lang w:val="en-AU"/>
              </w:rPr>
              <w:lastRenderedPageBreak/>
              <w:t xml:space="preserve">Contraindications                        </w:t>
            </w:r>
          </w:p>
        </w:tc>
        <w:tc>
          <w:tcPr>
            <w:tcW w:w="8080" w:type="dxa"/>
          </w:tcPr>
          <w:p w:rsidR="000E1194" w:rsidP="00FE4186" w:rsidRDefault="000E1194" w14:paraId="0C84C479" w14:textId="77777777">
            <w:pPr>
              <w:pStyle w:val="BodyText"/>
              <w:rPr>
                <w:rFonts w:cs="Arial"/>
                <w:sz w:val="20"/>
                <w:lang w:val="en-AU"/>
              </w:rPr>
            </w:pPr>
            <w:r>
              <w:rPr>
                <w:rFonts w:cs="Arial"/>
                <w:sz w:val="20"/>
                <w:lang w:val="en-AU"/>
              </w:rPr>
              <w:t>Hypersensitivity to enoxaparin, heparin or other low molecular weight heparins</w:t>
            </w:r>
          </w:p>
          <w:p w:rsidR="000E1194" w:rsidP="00FE4186" w:rsidRDefault="000E1194" w14:paraId="5C720011" w14:textId="77777777">
            <w:pPr>
              <w:pStyle w:val="BodyText"/>
              <w:rPr>
                <w:rFonts w:cs="Arial"/>
                <w:sz w:val="20"/>
                <w:lang w:val="en-AU"/>
              </w:rPr>
            </w:pPr>
            <w:r>
              <w:rPr>
                <w:rFonts w:cs="Arial"/>
                <w:sz w:val="20"/>
                <w:lang w:val="en-AU"/>
              </w:rPr>
              <w:t>Active uncontrollable bleeding</w:t>
            </w:r>
          </w:p>
          <w:p w:rsidR="000E1194" w:rsidP="00FE4186" w:rsidRDefault="000E1194" w14:paraId="1C79692A" w14:textId="77777777">
            <w:pPr>
              <w:pStyle w:val="BodyText"/>
              <w:rPr>
                <w:rFonts w:cs="Arial"/>
                <w:sz w:val="20"/>
                <w:lang w:val="en-AU"/>
              </w:rPr>
            </w:pPr>
            <w:r>
              <w:rPr>
                <w:rFonts w:cs="Arial"/>
                <w:sz w:val="20"/>
                <w:lang w:val="en-AU"/>
              </w:rPr>
              <w:t>Severe thrombocytopenia (MIMS)</w:t>
            </w:r>
          </w:p>
          <w:p w:rsidR="000E1194" w:rsidP="00FE4186" w:rsidRDefault="000E1194" w14:paraId="78C433B1" w14:textId="77777777">
            <w:pPr>
              <w:pStyle w:val="BodyText"/>
              <w:rPr>
                <w:rFonts w:cs="Arial"/>
                <w:sz w:val="20"/>
                <w:lang w:val="en-AU"/>
              </w:rPr>
            </w:pPr>
            <w:r>
              <w:rPr>
                <w:rFonts w:cs="Arial"/>
                <w:sz w:val="20"/>
                <w:lang w:val="en-AU"/>
              </w:rPr>
              <w:t>Haemorrhagic stroke</w:t>
            </w:r>
          </w:p>
          <w:p w:rsidRPr="00F17EF2" w:rsidR="000E1194" w:rsidP="00FE4186" w:rsidRDefault="000E1194" w14:paraId="19FFF96D" w14:textId="77777777">
            <w:pPr>
              <w:pStyle w:val="BodyText"/>
              <w:rPr>
                <w:rFonts w:cs="Arial"/>
                <w:sz w:val="20"/>
                <w:lang w:val="en-AU"/>
              </w:rPr>
            </w:pPr>
            <w:r w:rsidRPr="00F17EF2">
              <w:rPr>
                <w:rFonts w:cs="Arial"/>
                <w:sz w:val="20"/>
                <w:lang w:val="en-AU"/>
              </w:rPr>
              <w:t>Acute bacterial endocarditis</w:t>
            </w:r>
            <w:r>
              <w:rPr>
                <w:rFonts w:cs="Arial"/>
                <w:sz w:val="20"/>
                <w:lang w:val="en-AU"/>
              </w:rPr>
              <w:t xml:space="preserve"> (MIMS)</w:t>
            </w:r>
          </w:p>
          <w:p w:rsidRPr="00026F20" w:rsidR="000E1194" w:rsidP="00FE4186" w:rsidRDefault="000E1194" w14:paraId="0C108246" w14:textId="77777777">
            <w:pPr>
              <w:pStyle w:val="BodyText"/>
              <w:rPr>
                <w:rFonts w:cs="Arial"/>
                <w:sz w:val="20"/>
                <w:lang w:val="en-AU"/>
              </w:rPr>
            </w:pPr>
            <w:r w:rsidRPr="00F17EF2">
              <w:rPr>
                <w:rFonts w:cs="Arial"/>
                <w:sz w:val="20"/>
                <w:lang w:val="en-AU"/>
              </w:rPr>
              <w:t>History of heparin-induced thrombocytopenia (HIT) within the past 100 days</w:t>
            </w:r>
            <w:r>
              <w:rPr>
                <w:rFonts w:cs="Arial"/>
                <w:sz w:val="20"/>
                <w:lang w:val="en-AU"/>
              </w:rPr>
              <w:t xml:space="preserve"> (MIMS)</w:t>
            </w:r>
          </w:p>
        </w:tc>
      </w:tr>
      <w:tr w:rsidRPr="003A7895" w:rsidR="000E1194" w:rsidTr="000E1194" w14:paraId="74C10D2D" w14:textId="77777777">
        <w:tc>
          <w:tcPr>
            <w:tcW w:w="1730" w:type="dxa"/>
          </w:tcPr>
          <w:p w:rsidRPr="00B53E9B" w:rsidR="000E1194" w:rsidP="00FE4186" w:rsidRDefault="000E1194" w14:paraId="0A6FBAAC"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8080" w:type="dxa"/>
          </w:tcPr>
          <w:p w:rsidR="000E1194" w:rsidP="00FE4186" w:rsidRDefault="000E1194" w14:paraId="7B591566" w14:textId="77777777">
            <w:pPr>
              <w:pStyle w:val="BodyText"/>
              <w:rPr>
                <w:rFonts w:cs="Arial"/>
                <w:sz w:val="20"/>
                <w:lang w:val="en-AU"/>
              </w:rPr>
            </w:pPr>
            <w:r>
              <w:rPr>
                <w:rFonts w:cs="Arial"/>
                <w:sz w:val="20"/>
                <w:lang w:val="en-AU"/>
              </w:rPr>
              <w:t>Risk of haemorrhage – example, acquired or congenital bleeding disorders</w:t>
            </w:r>
          </w:p>
          <w:p w:rsidR="000E1194" w:rsidP="00FE4186" w:rsidRDefault="000E1194" w14:paraId="2396DDBF" w14:textId="77777777">
            <w:pPr>
              <w:pStyle w:val="BodyText"/>
              <w:rPr>
                <w:rFonts w:cs="Arial"/>
                <w:sz w:val="20"/>
                <w:lang w:val="en-AU"/>
              </w:rPr>
            </w:pPr>
            <w:r w:rsidRPr="00F17EF2">
              <w:rPr>
                <w:rFonts w:cs="Arial"/>
                <w:sz w:val="20"/>
                <w:lang w:val="en-AU"/>
              </w:rPr>
              <w:t>Concomitant medical conditions</w:t>
            </w:r>
            <w:r>
              <w:rPr>
                <w:rFonts w:cs="Arial"/>
                <w:sz w:val="20"/>
                <w:lang w:val="en-AU"/>
              </w:rPr>
              <w:t>: H</w:t>
            </w:r>
            <w:r w:rsidRPr="00F17EF2">
              <w:rPr>
                <w:rFonts w:cs="Arial"/>
                <w:sz w:val="20"/>
                <w:lang w:val="en-AU"/>
              </w:rPr>
              <w:t xml:space="preserve">epatic insufficiency, uncontrolled </w:t>
            </w:r>
            <w:r>
              <w:rPr>
                <w:rFonts w:cs="Arial"/>
                <w:sz w:val="20"/>
                <w:lang w:val="en-AU"/>
              </w:rPr>
              <w:t>h</w:t>
            </w:r>
            <w:r w:rsidRPr="00F17EF2">
              <w:rPr>
                <w:rFonts w:cs="Arial"/>
                <w:sz w:val="20"/>
                <w:lang w:val="en-AU"/>
              </w:rPr>
              <w:t>ypertension, a history of gastrointestinal ulceration, recent neuro- or ophthalmologic surgery and haemorrhage.</w:t>
            </w:r>
          </w:p>
          <w:p w:rsidR="000E1194" w:rsidP="00FE4186" w:rsidRDefault="000E1194" w14:paraId="6DC5AD3E" w14:textId="77777777">
            <w:pPr>
              <w:pStyle w:val="BodyText"/>
              <w:rPr>
                <w:rFonts w:cs="Arial"/>
                <w:sz w:val="20"/>
                <w:lang w:val="en-AU"/>
              </w:rPr>
            </w:pPr>
            <w:r>
              <w:rPr>
                <w:rFonts w:cs="Arial"/>
                <w:sz w:val="20"/>
                <w:lang w:val="en-AU"/>
              </w:rPr>
              <w:t>H</w:t>
            </w:r>
            <w:r w:rsidRPr="00F17EF2">
              <w:rPr>
                <w:rFonts w:cs="Arial"/>
                <w:sz w:val="20"/>
                <w:lang w:val="en-AU"/>
              </w:rPr>
              <w:t>eparin-induced thrombocytopenia (HIT)</w:t>
            </w:r>
          </w:p>
          <w:p w:rsidRPr="00026F20" w:rsidR="000E1194" w:rsidP="00FE4186" w:rsidRDefault="000E1194" w14:paraId="539420F4" w14:textId="77777777">
            <w:pPr>
              <w:pStyle w:val="BodyText"/>
              <w:rPr>
                <w:rFonts w:cs="Arial"/>
                <w:sz w:val="20"/>
                <w:lang w:val="en-AU"/>
              </w:rPr>
            </w:pPr>
            <w:r>
              <w:rPr>
                <w:rFonts w:cs="Arial"/>
                <w:sz w:val="20"/>
                <w:lang w:val="en-AU"/>
              </w:rPr>
              <w:t>Spinal anaesthesia</w:t>
            </w:r>
          </w:p>
        </w:tc>
      </w:tr>
      <w:tr w:rsidRPr="003A7895" w:rsidR="000E1194" w:rsidTr="000E1194" w14:paraId="475905EA" w14:textId="77777777">
        <w:trPr>
          <w:trHeight w:val="70"/>
        </w:trPr>
        <w:tc>
          <w:tcPr>
            <w:tcW w:w="1730" w:type="dxa"/>
          </w:tcPr>
          <w:p w:rsidRPr="00B53E9B" w:rsidR="000E1194" w:rsidP="00FE4186" w:rsidRDefault="000E1194" w14:paraId="2D235DB4"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8080" w:type="dxa"/>
          </w:tcPr>
          <w:p w:rsidRPr="00F17EF2" w:rsidR="000E1194" w:rsidP="00FE4186" w:rsidRDefault="000E1194" w14:paraId="40CE7AA9" w14:textId="77777777">
            <w:pPr>
              <w:pStyle w:val="BodyText"/>
              <w:rPr>
                <w:rFonts w:cs="Arial"/>
                <w:sz w:val="20"/>
                <w:lang w:val="en-AU"/>
              </w:rPr>
            </w:pPr>
            <w:r>
              <w:rPr>
                <w:rFonts w:cs="Arial"/>
                <w:sz w:val="20"/>
                <w:lang w:val="en-AU"/>
              </w:rPr>
              <w:t xml:space="preserve">Drugs </w:t>
            </w:r>
            <w:r w:rsidRPr="00F17EF2">
              <w:rPr>
                <w:rFonts w:cs="Arial"/>
                <w:sz w:val="20"/>
                <w:lang w:val="en-AU"/>
              </w:rPr>
              <w:t>affect</w:t>
            </w:r>
            <w:r>
              <w:rPr>
                <w:rFonts w:cs="Arial"/>
                <w:sz w:val="20"/>
                <w:lang w:val="en-AU"/>
              </w:rPr>
              <w:t xml:space="preserve">ing </w:t>
            </w:r>
            <w:r w:rsidRPr="00F17EF2">
              <w:rPr>
                <w:rFonts w:cs="Arial"/>
                <w:sz w:val="20"/>
                <w:lang w:val="en-AU"/>
              </w:rPr>
              <w:t xml:space="preserve">haemostasis should be discontinued prior to </w:t>
            </w:r>
            <w:r>
              <w:rPr>
                <w:rFonts w:cs="Arial"/>
                <w:sz w:val="20"/>
                <w:lang w:val="en-AU"/>
              </w:rPr>
              <w:t>enoxaparin</w:t>
            </w:r>
            <w:r w:rsidRPr="00F17EF2">
              <w:rPr>
                <w:rFonts w:cs="Arial"/>
                <w:sz w:val="20"/>
                <w:lang w:val="en-AU"/>
              </w:rPr>
              <w:t xml:space="preserve"> therapy unless strictly indicated</w:t>
            </w:r>
            <w:r>
              <w:rPr>
                <w:rFonts w:cs="Arial"/>
                <w:sz w:val="20"/>
                <w:lang w:val="en-AU"/>
              </w:rPr>
              <w:t>: A</w:t>
            </w:r>
            <w:r w:rsidRPr="00F17EF2">
              <w:rPr>
                <w:rFonts w:cs="Arial"/>
                <w:sz w:val="20"/>
                <w:lang w:val="en-AU"/>
              </w:rPr>
              <w:t>nticoagulants, thrombolytics, non-steroidal anti-inflammatory agents</w:t>
            </w:r>
            <w:r>
              <w:rPr>
                <w:rFonts w:cs="Arial"/>
                <w:sz w:val="20"/>
                <w:lang w:val="en-AU"/>
              </w:rPr>
              <w:t xml:space="preserve">, </w:t>
            </w:r>
            <w:r w:rsidRPr="00F17EF2">
              <w:rPr>
                <w:rFonts w:cs="Arial"/>
                <w:sz w:val="20"/>
                <w:lang w:val="en-AU"/>
              </w:rPr>
              <w:t xml:space="preserve">aspirin, antiplatelet agents or systemic glucocorticoids. If the combination is indicated, </w:t>
            </w:r>
            <w:r>
              <w:rPr>
                <w:rFonts w:cs="Arial"/>
                <w:sz w:val="20"/>
                <w:lang w:val="en-AU"/>
              </w:rPr>
              <w:t>enoxaparin</w:t>
            </w:r>
            <w:r w:rsidRPr="00F17EF2">
              <w:rPr>
                <w:rFonts w:cs="Arial"/>
                <w:sz w:val="20"/>
                <w:lang w:val="en-AU"/>
              </w:rPr>
              <w:t xml:space="preserve"> should be used with careful clinical and laboratory monitoring of the haemostatic factors, when appropriate.</w:t>
            </w:r>
          </w:p>
          <w:p w:rsidR="000E1194" w:rsidP="00FE4186" w:rsidRDefault="000E1194" w14:paraId="4C448F0B" w14:textId="77777777">
            <w:pPr>
              <w:pStyle w:val="BodyText"/>
              <w:rPr>
                <w:rFonts w:cs="Arial"/>
                <w:sz w:val="20"/>
                <w:lang w:val="en-AU"/>
              </w:rPr>
            </w:pPr>
          </w:p>
          <w:p w:rsidRPr="00026F20" w:rsidR="000E1194" w:rsidP="00FE4186" w:rsidRDefault="000E1194" w14:paraId="7D30772D" w14:textId="77777777">
            <w:pPr>
              <w:pStyle w:val="BodyText"/>
              <w:rPr>
                <w:rFonts w:cs="Arial"/>
                <w:sz w:val="20"/>
                <w:lang w:val="en-AU"/>
              </w:rPr>
            </w:pPr>
            <w:r>
              <w:rPr>
                <w:rFonts w:cs="Arial"/>
                <w:sz w:val="20"/>
                <w:lang w:val="en-AU"/>
              </w:rPr>
              <w:t>Drugs</w:t>
            </w:r>
            <w:r w:rsidRPr="00F17EF2">
              <w:rPr>
                <w:rFonts w:cs="Arial"/>
                <w:sz w:val="20"/>
                <w:lang w:val="en-AU"/>
              </w:rPr>
              <w:t xml:space="preserve"> that increase serum potassium levels may be administered concurrently with enoxaparin sodium under careful clinical and laboratory monitoring</w:t>
            </w:r>
            <w:r>
              <w:rPr>
                <w:rFonts w:cs="Arial"/>
                <w:sz w:val="20"/>
                <w:lang w:val="en-AU"/>
              </w:rPr>
              <w:t>.</w:t>
            </w:r>
          </w:p>
        </w:tc>
      </w:tr>
      <w:tr w:rsidRPr="003A7895" w:rsidR="000E1194" w:rsidTr="000E1194" w14:paraId="222A95B3" w14:textId="77777777">
        <w:trPr>
          <w:trHeight w:val="332"/>
        </w:trPr>
        <w:tc>
          <w:tcPr>
            <w:tcW w:w="1730" w:type="dxa"/>
          </w:tcPr>
          <w:p w:rsidRPr="00B53E9B" w:rsidR="000E1194" w:rsidP="00FE4186" w:rsidRDefault="000E1194" w14:paraId="3D44B28E"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8080" w:type="dxa"/>
          </w:tcPr>
          <w:p w:rsidR="000E1194" w:rsidP="00FE4186" w:rsidRDefault="000E1194" w14:paraId="0F82D58B" w14:textId="77777777">
            <w:pPr>
              <w:pStyle w:val="BodyText"/>
              <w:rPr>
                <w:rFonts w:cs="Arial"/>
                <w:sz w:val="20"/>
                <w:lang w:val="en-AU"/>
              </w:rPr>
            </w:pPr>
            <w:r>
              <w:rPr>
                <w:rFonts w:cs="Arial"/>
                <w:sz w:val="20"/>
                <w:lang w:val="en-AU"/>
              </w:rPr>
              <w:t>Elevated liver enzymes, anaemia, diarrhoea, peripheral oedema, fever, allergic reaction, urticarial, bruising/ pain at injection site, bleeding, hyperkalaemia</w:t>
            </w:r>
          </w:p>
          <w:p w:rsidRPr="00026F20" w:rsidR="000E1194" w:rsidP="00FE4186" w:rsidRDefault="000E1194" w14:paraId="2946F4D0" w14:textId="77777777">
            <w:pPr>
              <w:pStyle w:val="BodyText"/>
              <w:rPr>
                <w:rFonts w:cs="Arial"/>
                <w:sz w:val="20"/>
                <w:lang w:val="en-AU"/>
              </w:rPr>
            </w:pPr>
            <w:r>
              <w:rPr>
                <w:rFonts w:cs="Arial"/>
                <w:sz w:val="20"/>
                <w:lang w:val="en-AU"/>
              </w:rPr>
              <w:t>Rare: Thrombocytopenia, hyperkalaemia, cholestasis, bullous dermatitis, osteoporosis, allergic reaction</w:t>
            </w:r>
          </w:p>
        </w:tc>
      </w:tr>
      <w:tr w:rsidRPr="003A7895" w:rsidR="000E1194" w:rsidTr="000E1194" w14:paraId="65D99D48" w14:textId="77777777">
        <w:trPr>
          <w:trHeight w:val="180"/>
        </w:trPr>
        <w:tc>
          <w:tcPr>
            <w:tcW w:w="1730" w:type="dxa"/>
          </w:tcPr>
          <w:p w:rsidRPr="00B53E9B" w:rsidR="000E1194" w:rsidP="00FE4186" w:rsidRDefault="000E1194" w14:paraId="56BDA81A" w14:textId="77777777">
            <w:pPr>
              <w:pStyle w:val="BodyText"/>
              <w:rPr>
                <w:rFonts w:cs="Arial"/>
                <w:b/>
                <w:bCs/>
                <w:sz w:val="20"/>
                <w:lang w:val="en-AU"/>
              </w:rPr>
            </w:pPr>
            <w:r w:rsidRPr="00B53E9B">
              <w:rPr>
                <w:rFonts w:cs="Arial"/>
                <w:b/>
                <w:bCs/>
                <w:sz w:val="20"/>
                <w:lang w:val="en-AU"/>
              </w:rPr>
              <w:t>Compatibility</w:t>
            </w:r>
          </w:p>
        </w:tc>
        <w:tc>
          <w:tcPr>
            <w:tcW w:w="8080" w:type="dxa"/>
          </w:tcPr>
          <w:p w:rsidRPr="00026F20" w:rsidR="000E1194" w:rsidP="00FE4186" w:rsidRDefault="000E1194" w14:paraId="44E6D080" w14:textId="77777777">
            <w:pPr>
              <w:pStyle w:val="BodyText"/>
              <w:rPr>
                <w:sz w:val="20"/>
                <w:lang w:val="en-AU"/>
              </w:rPr>
            </w:pPr>
            <w:r>
              <w:rPr>
                <w:sz w:val="20"/>
                <w:lang w:val="en-AU"/>
              </w:rPr>
              <w:t>Glucose 5%, sodium chloride 0.9%</w:t>
            </w:r>
          </w:p>
        </w:tc>
      </w:tr>
      <w:tr w:rsidRPr="003A7895" w:rsidR="000E1194" w:rsidTr="000E1194" w14:paraId="4FD2DAAE" w14:textId="77777777">
        <w:trPr>
          <w:trHeight w:val="230"/>
        </w:trPr>
        <w:tc>
          <w:tcPr>
            <w:tcW w:w="1730" w:type="dxa"/>
          </w:tcPr>
          <w:p w:rsidRPr="00B53E9B" w:rsidR="000E1194" w:rsidP="00FE4186" w:rsidRDefault="000E1194" w14:paraId="6873CABD" w14:textId="77777777">
            <w:pPr>
              <w:pStyle w:val="BodyText"/>
              <w:rPr>
                <w:rFonts w:cs="Arial"/>
                <w:b/>
                <w:bCs/>
                <w:sz w:val="20"/>
                <w:lang w:val="en-AU"/>
              </w:rPr>
            </w:pPr>
            <w:r w:rsidRPr="00B53E9B">
              <w:rPr>
                <w:rFonts w:cs="Arial"/>
                <w:b/>
                <w:bCs/>
                <w:sz w:val="20"/>
                <w:lang w:val="en-AU"/>
              </w:rPr>
              <w:t>Incompatibility</w:t>
            </w:r>
          </w:p>
        </w:tc>
        <w:tc>
          <w:tcPr>
            <w:tcW w:w="8080" w:type="dxa"/>
          </w:tcPr>
          <w:p w:rsidRPr="00026F20" w:rsidR="000E1194" w:rsidP="00FE4186" w:rsidRDefault="000E1194" w14:paraId="3D35B0F7" w14:textId="77777777">
            <w:pPr>
              <w:pStyle w:val="BodyText"/>
              <w:rPr>
                <w:rFonts w:cs="Arial"/>
                <w:sz w:val="20"/>
                <w:lang w:val="en-AU"/>
              </w:rPr>
            </w:pPr>
            <w:r>
              <w:rPr>
                <w:rFonts w:cs="Arial"/>
                <w:sz w:val="20"/>
                <w:lang w:val="en-AU"/>
              </w:rPr>
              <w:t>No information available</w:t>
            </w:r>
          </w:p>
        </w:tc>
      </w:tr>
      <w:tr w:rsidRPr="003A7895" w:rsidR="000E1194" w:rsidTr="000E1194" w14:paraId="5B9F39CB" w14:textId="77777777">
        <w:trPr>
          <w:trHeight w:val="79"/>
        </w:trPr>
        <w:tc>
          <w:tcPr>
            <w:tcW w:w="1730" w:type="dxa"/>
          </w:tcPr>
          <w:p w:rsidRPr="00B53E9B" w:rsidR="000E1194" w:rsidP="00FE4186" w:rsidRDefault="000E1194" w14:paraId="671C3514" w14:textId="77777777">
            <w:pPr>
              <w:pStyle w:val="BodyText"/>
              <w:rPr>
                <w:rFonts w:cs="Arial"/>
                <w:b/>
                <w:bCs/>
                <w:sz w:val="20"/>
                <w:lang w:val="en-AU"/>
              </w:rPr>
            </w:pPr>
            <w:r w:rsidRPr="00B53E9B">
              <w:rPr>
                <w:rFonts w:cs="Arial"/>
                <w:b/>
                <w:bCs/>
                <w:sz w:val="20"/>
                <w:lang w:val="en-AU"/>
              </w:rPr>
              <w:t xml:space="preserve">Stability   </w:t>
            </w:r>
          </w:p>
        </w:tc>
        <w:tc>
          <w:tcPr>
            <w:tcW w:w="8080" w:type="dxa"/>
          </w:tcPr>
          <w:p w:rsidR="000E1194" w:rsidP="00FE4186" w:rsidRDefault="000E1194" w14:paraId="402D215F" w14:textId="77777777">
            <w:pPr>
              <w:pStyle w:val="BodyText"/>
              <w:rPr>
                <w:rFonts w:cs="Arial"/>
                <w:sz w:val="20"/>
                <w:lang w:val="en-AU"/>
              </w:rPr>
            </w:pPr>
            <w:r w:rsidRPr="00D83F0B">
              <w:rPr>
                <w:rFonts w:cs="Arial"/>
                <w:sz w:val="20"/>
                <w:lang w:val="en-AU"/>
              </w:rPr>
              <w:t>Discard any unused contents of syringes</w:t>
            </w:r>
            <w:r>
              <w:rPr>
                <w:rFonts w:cs="Arial"/>
                <w:sz w:val="20"/>
                <w:lang w:val="en-AU"/>
              </w:rPr>
              <w:t>.</w:t>
            </w:r>
          </w:p>
          <w:p w:rsidR="000E1194" w:rsidP="00FE4186" w:rsidRDefault="000E1194" w14:paraId="1E6622F0" w14:textId="77777777">
            <w:pPr>
              <w:pStyle w:val="BodyText"/>
              <w:rPr>
                <w:rFonts w:cs="Arial"/>
                <w:sz w:val="20"/>
                <w:lang w:val="en-AU"/>
              </w:rPr>
            </w:pPr>
          </w:p>
          <w:p w:rsidRPr="00026F20" w:rsidR="000E1194" w:rsidP="00FE4186" w:rsidRDefault="000E1194" w14:paraId="4F571A77" w14:textId="77777777">
            <w:pPr>
              <w:pStyle w:val="BodyText"/>
              <w:rPr>
                <w:rFonts w:cs="Arial"/>
                <w:sz w:val="20"/>
                <w:lang w:val="en-AU"/>
              </w:rPr>
            </w:pPr>
            <w:r>
              <w:rPr>
                <w:rFonts w:cs="Arial"/>
                <w:sz w:val="20"/>
                <w:lang w:val="en-AU"/>
              </w:rPr>
              <w:t>Aseptically prepared product by local pharmacy is stored refrigerated at 2-8</w:t>
            </w:r>
            <w:r>
              <w:rPr>
                <w:rFonts w:cs="Calibri"/>
                <w:sz w:val="20"/>
                <w:lang w:val="en-AU"/>
              </w:rPr>
              <w:t>°</w:t>
            </w:r>
            <w:r>
              <w:rPr>
                <w:rFonts w:cs="Arial"/>
                <w:sz w:val="20"/>
                <w:lang w:val="en-AU"/>
              </w:rPr>
              <w:t>C with an expiry date of 7 days.</w:t>
            </w:r>
          </w:p>
        </w:tc>
      </w:tr>
      <w:tr w:rsidRPr="003A7895" w:rsidR="000E1194" w:rsidTr="000E1194" w14:paraId="6C0AC988" w14:textId="77777777">
        <w:trPr>
          <w:trHeight w:val="70"/>
        </w:trPr>
        <w:tc>
          <w:tcPr>
            <w:tcW w:w="1730" w:type="dxa"/>
          </w:tcPr>
          <w:p w:rsidRPr="00B53E9B" w:rsidR="000E1194" w:rsidP="00FE4186" w:rsidRDefault="000E1194" w14:paraId="0679168A" w14:textId="77777777">
            <w:pPr>
              <w:pStyle w:val="BodyText"/>
              <w:rPr>
                <w:rFonts w:cs="Arial"/>
                <w:b/>
                <w:bCs/>
                <w:sz w:val="20"/>
                <w:lang w:val="en-AU"/>
              </w:rPr>
            </w:pPr>
            <w:r w:rsidRPr="00B53E9B">
              <w:rPr>
                <w:rFonts w:cs="Arial"/>
                <w:b/>
                <w:bCs/>
                <w:sz w:val="20"/>
                <w:lang w:val="en-AU"/>
              </w:rPr>
              <w:t xml:space="preserve">Storage             </w:t>
            </w:r>
          </w:p>
        </w:tc>
        <w:tc>
          <w:tcPr>
            <w:tcW w:w="8080" w:type="dxa"/>
          </w:tcPr>
          <w:p w:rsidR="000E1194" w:rsidP="00FE4186" w:rsidRDefault="000E1194" w14:paraId="6E624DEC" w14:textId="77777777">
            <w:pPr>
              <w:pStyle w:val="BodyText"/>
              <w:rPr>
                <w:rFonts w:cs="Arial"/>
                <w:sz w:val="20"/>
                <w:lang w:val="en-AU"/>
              </w:rPr>
            </w:pPr>
            <w:r w:rsidRPr="00AE61DA">
              <w:rPr>
                <w:rFonts w:cs="Arial"/>
                <w:sz w:val="20"/>
                <w:lang w:val="en-AU"/>
              </w:rPr>
              <w:t>Store</w:t>
            </w:r>
            <w:r>
              <w:rPr>
                <w:rFonts w:cs="Arial"/>
                <w:sz w:val="20"/>
                <w:lang w:val="en-AU"/>
              </w:rPr>
              <w:t xml:space="preserve"> below 25°C. Do not freeze.</w:t>
            </w:r>
          </w:p>
          <w:p w:rsidR="000E1194" w:rsidP="00FE4186" w:rsidRDefault="000E1194" w14:paraId="4C5453DD" w14:textId="77777777">
            <w:pPr>
              <w:pStyle w:val="BodyText"/>
              <w:rPr>
                <w:rFonts w:cs="Arial"/>
                <w:sz w:val="20"/>
                <w:lang w:val="en-AU"/>
              </w:rPr>
            </w:pPr>
          </w:p>
          <w:p w:rsidRPr="00026F20" w:rsidR="000E1194" w:rsidP="00FE4186" w:rsidRDefault="000E1194" w14:paraId="5A222C4F" w14:textId="77777777">
            <w:pPr>
              <w:pStyle w:val="BodyText"/>
              <w:rPr>
                <w:rFonts w:cs="Arial"/>
                <w:sz w:val="20"/>
                <w:lang w:val="en-AU"/>
              </w:rPr>
            </w:pPr>
            <w:r>
              <w:rPr>
                <w:rFonts w:cs="Arial"/>
                <w:sz w:val="20"/>
                <w:lang w:val="en-AU"/>
              </w:rPr>
              <w:t>Aseptically prepared product by local pharmacy is stored refrigerated at 2-8</w:t>
            </w:r>
            <w:r>
              <w:rPr>
                <w:rFonts w:cs="Calibri"/>
                <w:sz w:val="20"/>
                <w:lang w:val="en-AU"/>
              </w:rPr>
              <w:t>°</w:t>
            </w:r>
            <w:r>
              <w:rPr>
                <w:rFonts w:cs="Arial"/>
                <w:sz w:val="20"/>
                <w:lang w:val="en-AU"/>
              </w:rPr>
              <w:t>C.</w:t>
            </w:r>
          </w:p>
        </w:tc>
      </w:tr>
      <w:tr w:rsidRPr="003A7895" w:rsidR="000E1194" w:rsidTr="000E1194" w14:paraId="734C88B5" w14:textId="77777777">
        <w:trPr>
          <w:trHeight w:val="70"/>
        </w:trPr>
        <w:tc>
          <w:tcPr>
            <w:tcW w:w="1730" w:type="dxa"/>
          </w:tcPr>
          <w:p w:rsidRPr="00B53E9B" w:rsidR="000E1194" w:rsidP="00FE4186" w:rsidRDefault="000E1194" w14:paraId="74E269C1" w14:textId="77777777">
            <w:pPr>
              <w:pStyle w:val="BodyText"/>
              <w:rPr>
                <w:rFonts w:cs="Arial"/>
                <w:b/>
                <w:bCs/>
                <w:sz w:val="20"/>
                <w:lang w:val="en-AU"/>
              </w:rPr>
            </w:pPr>
            <w:r w:rsidRPr="00B53E9B">
              <w:rPr>
                <w:rFonts w:cs="Arial"/>
                <w:b/>
                <w:bCs/>
                <w:sz w:val="20"/>
                <w:lang w:val="en-AU"/>
              </w:rPr>
              <w:t>Excipients</w:t>
            </w:r>
          </w:p>
        </w:tc>
        <w:tc>
          <w:tcPr>
            <w:tcW w:w="8080" w:type="dxa"/>
          </w:tcPr>
          <w:p w:rsidRPr="00026F20" w:rsidR="000E1194" w:rsidP="00FE4186" w:rsidRDefault="000E1194" w14:paraId="2CFFFAFD" w14:textId="77777777">
            <w:pPr>
              <w:pStyle w:val="BodyText"/>
              <w:rPr>
                <w:rFonts w:cs="Arial"/>
                <w:sz w:val="20"/>
                <w:lang w:val="en-AU"/>
              </w:rPr>
            </w:pPr>
            <w:r>
              <w:rPr>
                <w:rFonts w:cs="Arial"/>
                <w:sz w:val="20"/>
                <w:lang w:val="en-AU"/>
              </w:rPr>
              <w:t>Water for injections</w:t>
            </w:r>
          </w:p>
        </w:tc>
      </w:tr>
      <w:tr w:rsidRPr="003A7895" w:rsidR="000E1194" w:rsidTr="000E1194" w14:paraId="1B0BA512" w14:textId="77777777">
        <w:trPr>
          <w:trHeight w:val="270"/>
        </w:trPr>
        <w:tc>
          <w:tcPr>
            <w:tcW w:w="1730" w:type="dxa"/>
          </w:tcPr>
          <w:p w:rsidRPr="00B53E9B" w:rsidR="000E1194" w:rsidP="00FE4186" w:rsidRDefault="000E1194" w14:paraId="5A258EEC"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8080" w:type="dxa"/>
          </w:tcPr>
          <w:p w:rsidRPr="00026F20" w:rsidR="000E1194" w:rsidP="00FE4186" w:rsidRDefault="000E1194" w14:paraId="6DE8E7A5" w14:textId="77777777">
            <w:pPr>
              <w:pStyle w:val="BodyText"/>
              <w:rPr>
                <w:rFonts w:cs="Arial"/>
                <w:sz w:val="20"/>
                <w:lang w:val="en-AU"/>
              </w:rPr>
            </w:pPr>
            <w:r w:rsidRPr="00172045">
              <w:rPr>
                <w:rFonts w:cs="Arial"/>
                <w:sz w:val="20"/>
                <w:lang w:val="en-AU"/>
              </w:rPr>
              <w:t xml:space="preserve">Protamine may be used to reverse anticoagulant effect of </w:t>
            </w:r>
            <w:r>
              <w:rPr>
                <w:rFonts w:cs="Arial"/>
                <w:sz w:val="20"/>
                <w:lang w:val="en-AU"/>
              </w:rPr>
              <w:t>enoxaparin</w:t>
            </w:r>
            <w:r w:rsidRPr="00172045">
              <w:rPr>
                <w:rFonts w:cs="Arial"/>
                <w:sz w:val="20"/>
                <w:lang w:val="en-AU"/>
              </w:rPr>
              <w:t xml:space="preserve"> but </w:t>
            </w:r>
            <w:r>
              <w:rPr>
                <w:rFonts w:cs="Arial"/>
                <w:sz w:val="20"/>
                <w:lang w:val="en-AU"/>
              </w:rPr>
              <w:t>the</w:t>
            </w:r>
            <w:r w:rsidRPr="00172045">
              <w:rPr>
                <w:rFonts w:cs="Arial"/>
                <w:sz w:val="20"/>
                <w:lang w:val="en-AU"/>
              </w:rPr>
              <w:t xml:space="preserve"> reversal is partial</w:t>
            </w:r>
            <w:r>
              <w:rPr>
                <w:rFonts w:cs="Arial"/>
                <w:sz w:val="20"/>
                <w:lang w:val="en-AU"/>
              </w:rPr>
              <w:t>.</w:t>
            </w:r>
          </w:p>
        </w:tc>
      </w:tr>
      <w:tr w:rsidRPr="003A7895" w:rsidR="000E1194" w:rsidTr="000E1194" w14:paraId="7B623C1F" w14:textId="77777777">
        <w:trPr>
          <w:trHeight w:val="280"/>
        </w:trPr>
        <w:tc>
          <w:tcPr>
            <w:tcW w:w="1730" w:type="dxa"/>
          </w:tcPr>
          <w:p w:rsidRPr="00B53E9B" w:rsidR="000E1194" w:rsidP="00FE4186" w:rsidRDefault="000E1194" w14:paraId="28C86E65" w14:textId="77777777">
            <w:pPr>
              <w:pStyle w:val="BodyText"/>
              <w:rPr>
                <w:rFonts w:cs="Arial"/>
                <w:b/>
                <w:bCs/>
                <w:sz w:val="20"/>
                <w:lang w:val="en-AU"/>
              </w:rPr>
            </w:pPr>
            <w:r w:rsidRPr="00B53E9B">
              <w:rPr>
                <w:rFonts w:cs="Arial"/>
                <w:b/>
                <w:bCs/>
                <w:sz w:val="20"/>
                <w:lang w:val="en-AU"/>
              </w:rPr>
              <w:t xml:space="preserve">Evidence </w:t>
            </w:r>
          </w:p>
        </w:tc>
        <w:tc>
          <w:tcPr>
            <w:tcW w:w="8080" w:type="dxa"/>
          </w:tcPr>
          <w:p w:rsidRPr="000E1194" w:rsidR="000E1194" w:rsidP="00FE4186" w:rsidRDefault="000E1194" w14:paraId="2C3FDDC7" w14:textId="77777777">
            <w:pPr>
              <w:pStyle w:val="BodyText"/>
              <w:tabs>
                <w:tab w:val="left" w:pos="1168"/>
              </w:tabs>
              <w:rPr>
                <w:rFonts w:cs="Arial"/>
                <w:b/>
                <w:sz w:val="16"/>
                <w:szCs w:val="16"/>
                <w:lang w:val="en-AU"/>
              </w:rPr>
            </w:pPr>
            <w:r w:rsidRPr="000E1194">
              <w:rPr>
                <w:rFonts w:cs="Arial"/>
                <w:b/>
                <w:sz w:val="16"/>
                <w:szCs w:val="16"/>
                <w:lang w:val="en-AU"/>
              </w:rPr>
              <w:t>Efficacy</w:t>
            </w:r>
          </w:p>
          <w:p w:rsidRPr="000E1194" w:rsidR="000E1194" w:rsidP="00FE4186" w:rsidRDefault="000E1194" w14:paraId="292BE0E7" w14:textId="77777777">
            <w:pPr>
              <w:pStyle w:val="BodyText"/>
              <w:tabs>
                <w:tab w:val="left" w:pos="1168"/>
              </w:tabs>
              <w:rPr>
                <w:rFonts w:asciiTheme="minorHAnsi" w:hAnsiTheme="minorHAnsi" w:cstheme="minorHAnsi"/>
                <w:sz w:val="16"/>
                <w:szCs w:val="16"/>
                <w:lang w:val="en-AU"/>
              </w:rPr>
            </w:pPr>
            <w:r w:rsidRPr="000E1194">
              <w:rPr>
                <w:rFonts w:asciiTheme="minorHAnsi" w:hAnsiTheme="minorHAnsi" w:cstheme="minorHAnsi"/>
                <w:sz w:val="16"/>
                <w:szCs w:val="16"/>
                <w:lang w:val="en-AU"/>
              </w:rPr>
              <w:t>A review of published reports between 1980 and 2007 comprising of 240 neonates from 13 studies</w:t>
            </w:r>
            <w:r w:rsidRPr="000E1194">
              <w:rPr>
                <w:rFonts w:asciiTheme="minorHAnsi" w:hAnsiTheme="minorHAnsi" w:cstheme="minorHAnsi"/>
                <w:sz w:val="16"/>
                <w:szCs w:val="16"/>
              </w:rPr>
              <w:t xml:space="preserve"> </w:t>
            </w:r>
            <w:r w:rsidRPr="000E1194">
              <w:rPr>
                <w:rFonts w:asciiTheme="minorHAnsi" w:hAnsiTheme="minorHAnsi" w:cstheme="minorHAnsi"/>
                <w:sz w:val="16"/>
                <w:szCs w:val="16"/>
                <w:lang w:val="en-AU"/>
              </w:rPr>
              <w:t>showed that the mean enoxaparin dose that resulted in therapeutic plasma anti-factor Xa levels of 0.5-1.0 units/mL varied between 1.48 and 2.27 mg/kg subcut every 12 hours for all infants. The mean length of therapy for neonatal thrombosis fluctuated from 12 days to 3 months.</w:t>
            </w:r>
            <w:r w:rsidRPr="000E1194">
              <w:rPr>
                <w:rFonts w:asciiTheme="minorHAnsi" w:hAnsiTheme="minorHAnsi" w:cstheme="minorHAnsi"/>
                <w:sz w:val="16"/>
                <w:szCs w:val="16"/>
                <w:vertAlign w:val="superscript"/>
                <w:lang w:val="en-AU"/>
              </w:rPr>
              <w:t>5</w:t>
            </w:r>
            <w:r w:rsidRPr="000E1194">
              <w:rPr>
                <w:rFonts w:asciiTheme="minorHAnsi" w:hAnsiTheme="minorHAnsi" w:cstheme="minorHAnsi"/>
                <w:sz w:val="16"/>
                <w:szCs w:val="16"/>
                <w:lang w:val="en-AU"/>
              </w:rPr>
              <w:t xml:space="preserve"> Higher doses in preterm neonates have been suggested to maintain therapeutic anti-Xa levels.</w:t>
            </w:r>
            <w:r w:rsidRPr="000E1194">
              <w:rPr>
                <w:rFonts w:asciiTheme="minorHAnsi" w:hAnsiTheme="minorHAnsi" w:cstheme="minorHAnsi"/>
                <w:sz w:val="16"/>
                <w:szCs w:val="16"/>
                <w:vertAlign w:val="superscript"/>
                <w:lang w:val="en-AU"/>
              </w:rPr>
              <w:t>6,7</w:t>
            </w:r>
            <w:r w:rsidRPr="000E1194">
              <w:rPr>
                <w:rFonts w:asciiTheme="minorHAnsi" w:hAnsiTheme="minorHAnsi" w:cstheme="minorHAnsi"/>
                <w:sz w:val="16"/>
                <w:szCs w:val="16"/>
                <w:lang w:val="en-AU"/>
              </w:rPr>
              <w:t xml:space="preserve"> However, clinical trials have not been performed to confirm the safety and efficacy of a higher-dose approach. </w:t>
            </w:r>
          </w:p>
          <w:p w:rsidRPr="000E1194" w:rsidR="000E1194" w:rsidP="00FE4186" w:rsidRDefault="000E1194" w14:paraId="135FCDF2" w14:textId="77777777">
            <w:pPr>
              <w:pStyle w:val="BodyText"/>
              <w:tabs>
                <w:tab w:val="left" w:pos="1168"/>
              </w:tabs>
              <w:rPr>
                <w:rFonts w:cs="Arial"/>
                <w:sz w:val="16"/>
                <w:szCs w:val="16"/>
                <w:lang w:val="en-AU"/>
              </w:rPr>
            </w:pPr>
            <w:r w:rsidRPr="000E1194">
              <w:rPr>
                <w:rFonts w:cs="Arial"/>
                <w:sz w:val="16"/>
                <w:szCs w:val="16"/>
                <w:lang w:val="en-AU"/>
              </w:rPr>
              <w:t xml:space="preserve">American College of Chest Physicians Evidence-Based Clinical Practice Guidelines 2012 recommend a prophylactic dose of 0.75 mg/kg/dose subcut every 12 hours and 0.5 mg/kg/dose subcut every 12 hours for infants &lt;2 months and </w:t>
            </w:r>
            <w:r w:rsidRPr="000E1194">
              <w:rPr>
                <w:rFonts w:cs="Calibri"/>
                <w:sz w:val="16"/>
                <w:szCs w:val="16"/>
                <w:lang w:val="en-AU"/>
              </w:rPr>
              <w:t>≥</w:t>
            </w:r>
            <w:r w:rsidRPr="000E1194">
              <w:rPr>
                <w:rFonts w:cs="Arial"/>
                <w:sz w:val="16"/>
                <w:szCs w:val="16"/>
                <w:lang w:val="en-AU"/>
              </w:rPr>
              <w:t xml:space="preserve">2 months respectively. For treatment, doses of 1.5 mg/kg/dose subcut every 12 hours and 1 mg/kg/dose subcut every 12 hours are recommended for &lt;2 months and </w:t>
            </w:r>
            <w:r w:rsidRPr="000E1194">
              <w:rPr>
                <w:rFonts w:cs="Calibri"/>
                <w:sz w:val="16"/>
                <w:szCs w:val="16"/>
                <w:lang w:val="en-AU"/>
              </w:rPr>
              <w:t>≥</w:t>
            </w:r>
            <w:r w:rsidRPr="000E1194">
              <w:rPr>
                <w:rFonts w:cs="Arial"/>
                <w:sz w:val="16"/>
                <w:szCs w:val="16"/>
                <w:lang w:val="en-AU"/>
              </w:rPr>
              <w:t>2 months respectively.</w:t>
            </w:r>
            <w:r w:rsidRPr="000E1194">
              <w:rPr>
                <w:rFonts w:cs="Arial"/>
                <w:sz w:val="16"/>
                <w:szCs w:val="16"/>
                <w:vertAlign w:val="superscript"/>
                <w:lang w:val="en-AU"/>
              </w:rPr>
              <w:t>1</w:t>
            </w:r>
          </w:p>
          <w:p w:rsidRPr="000E1194" w:rsidR="000E1194" w:rsidP="00FE4186" w:rsidRDefault="000E1194" w14:paraId="5D6C7017" w14:textId="77777777">
            <w:pPr>
              <w:pStyle w:val="BodyText"/>
              <w:tabs>
                <w:tab w:val="left" w:pos="1168"/>
              </w:tabs>
              <w:rPr>
                <w:rFonts w:cs="Arial"/>
                <w:sz w:val="16"/>
                <w:szCs w:val="16"/>
                <w:lang w:val="en-AU"/>
              </w:rPr>
            </w:pPr>
          </w:p>
          <w:p w:rsidRPr="000E1194" w:rsidR="000E1194" w:rsidP="00FE4186" w:rsidRDefault="000E1194" w14:paraId="2414FE85" w14:textId="77777777">
            <w:pPr>
              <w:pStyle w:val="BodyText"/>
              <w:tabs>
                <w:tab w:val="left" w:pos="1168"/>
              </w:tabs>
              <w:rPr>
                <w:rFonts w:cs="Arial"/>
                <w:b/>
                <w:sz w:val="16"/>
                <w:szCs w:val="16"/>
                <w:lang w:val="en-AU"/>
              </w:rPr>
            </w:pPr>
            <w:r w:rsidRPr="000E1194">
              <w:rPr>
                <w:rFonts w:cs="Arial"/>
                <w:b/>
                <w:sz w:val="16"/>
                <w:szCs w:val="16"/>
                <w:lang w:val="en-AU"/>
              </w:rPr>
              <w:t>Safety</w:t>
            </w:r>
          </w:p>
          <w:p w:rsidRPr="000E1194" w:rsidR="000E1194" w:rsidP="00FE4186" w:rsidRDefault="000E1194" w14:paraId="5474F7D3" w14:textId="77777777">
            <w:pPr>
              <w:pStyle w:val="BodyText"/>
              <w:tabs>
                <w:tab w:val="left" w:pos="1168"/>
              </w:tabs>
              <w:rPr>
                <w:rFonts w:cs="Arial"/>
                <w:sz w:val="16"/>
                <w:szCs w:val="16"/>
                <w:lang w:val="en-AU"/>
              </w:rPr>
            </w:pPr>
            <w:r w:rsidRPr="000E1194">
              <w:rPr>
                <w:rFonts w:cs="Arial"/>
                <w:sz w:val="16"/>
                <w:szCs w:val="16"/>
                <w:lang w:val="en-AU"/>
              </w:rPr>
              <w:t>A review of enoxaparin in neonates reported that minor side effects were common; major bleeding was recorded in 5% neonates.</w:t>
            </w:r>
            <w:r w:rsidRPr="000E1194">
              <w:rPr>
                <w:rFonts w:cs="Arial"/>
                <w:sz w:val="16"/>
                <w:szCs w:val="16"/>
                <w:vertAlign w:val="superscript"/>
                <w:lang w:val="en-AU"/>
              </w:rPr>
              <w:t>5</w:t>
            </w:r>
            <w:r w:rsidRPr="000E1194">
              <w:rPr>
                <w:rFonts w:cs="Arial"/>
                <w:sz w:val="16"/>
                <w:szCs w:val="16"/>
                <w:lang w:val="en-AU"/>
              </w:rPr>
              <w:t xml:space="preserve"> Whether premature infants are at increased risk is unclear. No major bleeds were reported in a series of 10 premature neonates.</w:t>
            </w:r>
            <w:r w:rsidRPr="000E1194">
              <w:rPr>
                <w:rFonts w:cs="Arial"/>
                <w:sz w:val="16"/>
                <w:szCs w:val="16"/>
                <w:vertAlign w:val="superscript"/>
                <w:lang w:val="en-AU"/>
              </w:rPr>
              <w:t>7</w:t>
            </w:r>
          </w:p>
          <w:p w:rsidRPr="000E1194" w:rsidR="000E1194" w:rsidP="00FE4186" w:rsidRDefault="000E1194" w14:paraId="26544CBE" w14:textId="77777777">
            <w:pPr>
              <w:pStyle w:val="BodyText"/>
              <w:tabs>
                <w:tab w:val="left" w:pos="1168"/>
              </w:tabs>
              <w:rPr>
                <w:rFonts w:cs="Arial"/>
                <w:sz w:val="16"/>
                <w:szCs w:val="16"/>
                <w:lang w:val="en-AU"/>
              </w:rPr>
            </w:pPr>
            <w:r w:rsidRPr="000E1194">
              <w:rPr>
                <w:rFonts w:cs="Arial"/>
                <w:sz w:val="16"/>
                <w:szCs w:val="16"/>
                <w:lang w:val="en-AU"/>
              </w:rPr>
              <w:t>There are no data addressing the frequency of osteoporosis, HIT, or other hypersensitivity reactions in children exposed to LMWH.</w:t>
            </w:r>
            <w:r w:rsidRPr="000E1194">
              <w:rPr>
                <w:rFonts w:cs="Arial"/>
                <w:sz w:val="16"/>
                <w:szCs w:val="16"/>
                <w:vertAlign w:val="superscript"/>
                <w:lang w:val="en-AU"/>
              </w:rPr>
              <w:t>1</w:t>
            </w:r>
          </w:p>
          <w:p w:rsidRPr="000E1194" w:rsidR="000E1194" w:rsidP="00FE4186" w:rsidRDefault="000E1194" w14:paraId="0B10EEDE" w14:textId="77777777">
            <w:pPr>
              <w:pStyle w:val="BodyText"/>
              <w:tabs>
                <w:tab w:val="left" w:pos="1168"/>
              </w:tabs>
              <w:rPr>
                <w:rFonts w:cs="Arial"/>
                <w:sz w:val="16"/>
                <w:szCs w:val="16"/>
                <w:lang w:val="en-AU"/>
              </w:rPr>
            </w:pPr>
            <w:r w:rsidRPr="000E1194">
              <w:rPr>
                <w:rFonts w:cs="Arial"/>
                <w:sz w:val="16"/>
                <w:szCs w:val="16"/>
                <w:lang w:val="en-AU"/>
              </w:rPr>
              <w:t>Enoxaparin overdose: The optimal management of LMWH overdose in the paediatric population has not been established. In common practice, enoxaparin overdose can be reversed by administration of protamine using a 1: 1 ratio to LMWH (example: 1 mg enoxaparin = 1 mg protamine). The dose of protamine can be given as a single dose or divided into 2-3 doses at 4 hour intervals aiming to return anti-Xa levels to therapeutic range.</w:t>
            </w:r>
            <w:r w:rsidRPr="000E1194">
              <w:rPr>
                <w:rFonts w:cs="Arial"/>
                <w:sz w:val="16"/>
                <w:szCs w:val="16"/>
                <w:vertAlign w:val="superscript"/>
                <w:lang w:val="en-AU"/>
              </w:rPr>
              <w:t>4</w:t>
            </w:r>
            <w:r w:rsidRPr="000E1194">
              <w:rPr>
                <w:rFonts w:cs="Arial"/>
                <w:sz w:val="16"/>
                <w:szCs w:val="16"/>
                <w:lang w:val="en-AU"/>
              </w:rPr>
              <w:t xml:space="preserve"> </w:t>
            </w:r>
          </w:p>
          <w:p w:rsidRPr="000E1194" w:rsidR="000E1194" w:rsidP="00FE4186" w:rsidRDefault="000E1194" w14:paraId="23A865F6" w14:textId="77777777">
            <w:pPr>
              <w:pStyle w:val="BodyText"/>
              <w:tabs>
                <w:tab w:val="left" w:pos="1168"/>
              </w:tabs>
              <w:rPr>
                <w:rFonts w:cs="Arial"/>
                <w:sz w:val="16"/>
                <w:szCs w:val="16"/>
                <w:lang w:val="en-AU"/>
              </w:rPr>
            </w:pPr>
          </w:p>
          <w:p w:rsidRPr="000E1194" w:rsidR="000E1194" w:rsidP="00FE4186" w:rsidRDefault="000E1194" w14:paraId="0E5C4166" w14:textId="77777777">
            <w:pPr>
              <w:pStyle w:val="BodyText"/>
              <w:tabs>
                <w:tab w:val="left" w:pos="1168"/>
              </w:tabs>
              <w:rPr>
                <w:rFonts w:cs="Arial"/>
                <w:b/>
                <w:sz w:val="16"/>
                <w:szCs w:val="16"/>
                <w:lang w:val="en-AU"/>
              </w:rPr>
            </w:pPr>
            <w:r w:rsidRPr="000E1194">
              <w:rPr>
                <w:rFonts w:cs="Arial"/>
                <w:b/>
                <w:sz w:val="16"/>
                <w:szCs w:val="16"/>
                <w:lang w:val="en-AU"/>
              </w:rPr>
              <w:lastRenderedPageBreak/>
              <w:t>Pharmacokinetics</w:t>
            </w:r>
          </w:p>
          <w:p w:rsidRPr="000E1194" w:rsidR="000E1194" w:rsidP="00FE4186" w:rsidRDefault="000E1194" w14:paraId="04458DEC" w14:textId="77777777">
            <w:pPr>
              <w:pStyle w:val="BodyText"/>
              <w:tabs>
                <w:tab w:val="left" w:pos="1168"/>
              </w:tabs>
              <w:rPr>
                <w:rFonts w:cs="Arial"/>
                <w:sz w:val="16"/>
                <w:szCs w:val="16"/>
                <w:lang w:val="en-AU"/>
              </w:rPr>
            </w:pPr>
            <w:r w:rsidRPr="000E1194">
              <w:rPr>
                <w:rFonts w:cs="Arial"/>
                <w:sz w:val="16"/>
                <w:szCs w:val="16"/>
                <w:lang w:val="en-AU"/>
              </w:rPr>
              <w:t>Enoxaparin sodium is obtained by alkaline depolymerisation of heparin benzyl ester derived from porcine intestinal mucosa.</w:t>
            </w:r>
            <w:r w:rsidRPr="000E1194">
              <w:rPr>
                <w:rFonts w:cs="Arial"/>
                <w:sz w:val="16"/>
                <w:szCs w:val="16"/>
                <w:vertAlign w:val="superscript"/>
                <w:lang w:val="en-AU"/>
              </w:rPr>
              <w:t>3</w:t>
            </w:r>
            <w:r w:rsidRPr="000E1194">
              <w:rPr>
                <w:rFonts w:cs="Arial"/>
                <w:sz w:val="16"/>
                <w:szCs w:val="16"/>
                <w:lang w:val="en-AU"/>
              </w:rPr>
              <w:t xml:space="preserve"> Body weight is the most predictive covariate for clearance and central volume of distribution.</w:t>
            </w:r>
            <w:r w:rsidRPr="000E1194">
              <w:rPr>
                <w:rFonts w:cs="Arial"/>
                <w:sz w:val="16"/>
                <w:szCs w:val="16"/>
                <w:vertAlign w:val="superscript"/>
                <w:lang w:val="en-AU"/>
              </w:rPr>
              <w:t>1</w:t>
            </w:r>
            <w:r w:rsidRPr="000E1194">
              <w:rPr>
                <w:rFonts w:cs="Arial"/>
                <w:sz w:val="16"/>
                <w:szCs w:val="16"/>
                <w:lang w:val="en-AU"/>
              </w:rPr>
              <w:t xml:space="preserve"> After injection of Clexane by the subcutaneous route, the product is rapidly and completely absorbed. The absolute bioavailability is over 90%. It is primarily metabolised in the liver. Small amounts are eliminated by kidneys in an intact or slightly degraded form.</w:t>
            </w:r>
            <w:r w:rsidRPr="000E1194">
              <w:rPr>
                <w:rFonts w:cs="Arial"/>
                <w:sz w:val="16"/>
                <w:szCs w:val="16"/>
                <w:vertAlign w:val="superscript"/>
                <w:lang w:val="en-AU"/>
              </w:rPr>
              <w:t>3</w:t>
            </w:r>
            <w:r w:rsidRPr="000E1194">
              <w:rPr>
                <w:rFonts w:cs="Arial"/>
                <w:sz w:val="16"/>
                <w:szCs w:val="16"/>
                <w:lang w:val="en-AU"/>
              </w:rPr>
              <w:t xml:space="preserve"> Elimination is not significantly modified in mild to moderate renal insufficiency.</w:t>
            </w:r>
            <w:r w:rsidRPr="000E1194">
              <w:rPr>
                <w:rFonts w:cs="Arial"/>
                <w:sz w:val="16"/>
                <w:szCs w:val="16"/>
                <w:vertAlign w:val="superscript"/>
                <w:lang w:val="en-AU"/>
              </w:rPr>
              <w:t>3</w:t>
            </w:r>
            <w:r w:rsidRPr="000E1194">
              <w:rPr>
                <w:rFonts w:cs="Arial"/>
                <w:sz w:val="16"/>
                <w:szCs w:val="16"/>
                <w:lang w:val="en-AU"/>
              </w:rPr>
              <w:t xml:space="preserve"> </w:t>
            </w:r>
          </w:p>
        </w:tc>
      </w:tr>
      <w:tr w:rsidRPr="003A7895" w:rsidR="000E1194" w:rsidTr="000E1194" w14:paraId="579D6032" w14:textId="77777777">
        <w:trPr>
          <w:trHeight w:val="108"/>
        </w:trPr>
        <w:tc>
          <w:tcPr>
            <w:tcW w:w="1730" w:type="dxa"/>
          </w:tcPr>
          <w:p w:rsidRPr="00B53E9B" w:rsidR="000E1194" w:rsidP="00FE4186" w:rsidRDefault="000E1194" w14:paraId="02A9639B" w14:textId="77777777">
            <w:pPr>
              <w:pStyle w:val="BodyText"/>
              <w:rPr>
                <w:rFonts w:cs="Arial"/>
                <w:b/>
                <w:bCs/>
                <w:sz w:val="20"/>
                <w:lang w:val="en-AU"/>
              </w:rPr>
            </w:pPr>
            <w:r w:rsidRPr="00B53E9B">
              <w:rPr>
                <w:rFonts w:cs="Arial"/>
                <w:b/>
                <w:bCs/>
                <w:sz w:val="20"/>
                <w:lang w:val="en-AU"/>
              </w:rPr>
              <w:lastRenderedPageBreak/>
              <w:t>Practice points</w:t>
            </w:r>
          </w:p>
        </w:tc>
        <w:tc>
          <w:tcPr>
            <w:tcW w:w="8080" w:type="dxa"/>
          </w:tcPr>
          <w:p w:rsidRPr="000E1194" w:rsidR="000E1194" w:rsidP="00FE4186" w:rsidRDefault="000E1194" w14:paraId="375EEBFA" w14:textId="77777777">
            <w:pPr>
              <w:pStyle w:val="BodyText"/>
              <w:tabs>
                <w:tab w:val="left" w:pos="1168"/>
              </w:tabs>
              <w:rPr>
                <w:rFonts w:cs="Arial"/>
                <w:sz w:val="16"/>
                <w:szCs w:val="16"/>
                <w:lang w:val="en-AU"/>
              </w:rPr>
            </w:pPr>
            <w:r w:rsidRPr="000E1194">
              <w:rPr>
                <w:rFonts w:cs="Arial"/>
                <w:sz w:val="16"/>
                <w:szCs w:val="16"/>
                <w:lang w:val="en-AU"/>
              </w:rPr>
              <w:t>The dose regimen and monitoring recommendations in this formulary is based the American College of Chest Physicians Evidence-Based Clinical Practice Guidelines 2012. These guidelines were based on studies for anticoagulation in neonates that have been part of larger studies reporting on children in general and report use of twice-daily enoxaparin targeted to an anti-Xa range (measured 4-6 h after dose) of 0.5 to 1.0 units/mL.</w:t>
            </w:r>
            <w:r w:rsidRPr="000E1194">
              <w:rPr>
                <w:rFonts w:cs="Arial"/>
                <w:sz w:val="16"/>
                <w:szCs w:val="16"/>
                <w:vertAlign w:val="superscript"/>
                <w:lang w:val="en-AU"/>
              </w:rPr>
              <w:t>1</w:t>
            </w:r>
            <w:r w:rsidRPr="000E1194">
              <w:rPr>
                <w:rFonts w:cs="Arial"/>
                <w:sz w:val="16"/>
                <w:szCs w:val="16"/>
                <w:lang w:val="en-AU"/>
              </w:rPr>
              <w:t xml:space="preserve"> (LOE II, GOR C)</w:t>
            </w:r>
          </w:p>
          <w:p w:rsidRPr="000E1194" w:rsidR="000E1194" w:rsidP="00FE4186" w:rsidRDefault="000E1194" w14:paraId="4F8FB847" w14:textId="77777777">
            <w:pPr>
              <w:pStyle w:val="BodyText"/>
              <w:tabs>
                <w:tab w:val="left" w:pos="1168"/>
              </w:tabs>
              <w:rPr>
                <w:rFonts w:cs="Arial"/>
                <w:sz w:val="16"/>
                <w:szCs w:val="16"/>
                <w:lang w:val="en-AU"/>
              </w:rPr>
            </w:pPr>
            <w:r w:rsidRPr="000E1194">
              <w:rPr>
                <w:rFonts w:cs="Arial"/>
                <w:sz w:val="16"/>
                <w:szCs w:val="16"/>
                <w:lang w:val="en-AU"/>
              </w:rPr>
              <w:t>Recommendations for dose adjustment are based on cohort studies in children.</w:t>
            </w:r>
            <w:r w:rsidRPr="000E1194">
              <w:rPr>
                <w:rFonts w:cs="Arial"/>
                <w:sz w:val="16"/>
                <w:szCs w:val="16"/>
                <w:vertAlign w:val="superscript"/>
                <w:lang w:val="en-AU"/>
              </w:rPr>
              <w:t xml:space="preserve">8 </w:t>
            </w:r>
            <w:r w:rsidRPr="000E1194">
              <w:rPr>
                <w:rFonts w:cs="Arial"/>
                <w:sz w:val="16"/>
                <w:szCs w:val="16"/>
                <w:lang w:val="en-AU"/>
              </w:rPr>
              <w:t>(LOE IV, GOR C)</w:t>
            </w:r>
          </w:p>
        </w:tc>
      </w:tr>
      <w:tr w:rsidRPr="003A7895" w:rsidR="000E1194" w:rsidTr="000E1194" w14:paraId="5032A00A" w14:textId="77777777">
        <w:trPr>
          <w:trHeight w:val="70"/>
        </w:trPr>
        <w:tc>
          <w:tcPr>
            <w:tcW w:w="1730" w:type="dxa"/>
          </w:tcPr>
          <w:p w:rsidRPr="00B53E9B" w:rsidR="000E1194" w:rsidP="00FE4186" w:rsidRDefault="000E1194" w14:paraId="4B80474A" w14:textId="77777777">
            <w:pPr>
              <w:pStyle w:val="BodyText"/>
              <w:rPr>
                <w:rFonts w:cs="Arial"/>
                <w:b/>
                <w:bCs/>
                <w:sz w:val="20"/>
                <w:lang w:val="en-AU"/>
              </w:rPr>
            </w:pPr>
            <w:r w:rsidRPr="00B53E9B">
              <w:rPr>
                <w:b/>
                <w:sz w:val="20"/>
                <w:lang w:val="en-AU"/>
              </w:rPr>
              <w:t>References</w:t>
            </w:r>
          </w:p>
        </w:tc>
        <w:tc>
          <w:tcPr>
            <w:tcW w:w="8080" w:type="dxa"/>
          </w:tcPr>
          <w:p w:rsidRPr="000E1194" w:rsidR="000E1194" w:rsidP="001B0E05" w:rsidRDefault="000E1194" w14:paraId="133BB5A8" w14:textId="77777777">
            <w:pPr>
              <w:pStyle w:val="ListParagraph"/>
              <w:numPr>
                <w:ilvl w:val="0"/>
                <w:numId w:val="139"/>
              </w:numPr>
              <w:rPr>
                <w:sz w:val="16"/>
                <w:szCs w:val="16"/>
              </w:rPr>
            </w:pPr>
            <w:r w:rsidRPr="000E1194">
              <w:rPr>
                <w:sz w:val="16"/>
                <w:szCs w:val="16"/>
              </w:rPr>
              <w:t>Monagle P, Chan AK, Goldenberg NA, Ichord RN, Journeycake JM, Nowak-Göttl U, Vesely SK. Antithrombotic therapy in neonates and children: antithrombotic therapy and prevention of thrombosis: American College of Chest Physicians Evidence-Based Clinical Practice Guidelines. Chest. 2012 Feb 1;141(2):e737S-801S.</w:t>
            </w:r>
          </w:p>
          <w:p w:rsidRPr="000E1194" w:rsidR="000E1194" w:rsidP="001B0E05" w:rsidRDefault="000E1194" w14:paraId="74B4A45A" w14:textId="77777777">
            <w:pPr>
              <w:pStyle w:val="ListParagraph"/>
              <w:numPr>
                <w:ilvl w:val="0"/>
                <w:numId w:val="139"/>
              </w:numPr>
              <w:rPr>
                <w:sz w:val="16"/>
                <w:szCs w:val="16"/>
              </w:rPr>
            </w:pPr>
            <w:r w:rsidRPr="000E1194">
              <w:rPr>
                <w:sz w:val="16"/>
                <w:szCs w:val="16"/>
              </w:rPr>
              <w:t>Michaels LA, Gurian M, Hegyi T, Drachtman RA. Low molecular weight heparin in the treatment of venous and arterial thromboses in the premature infant. Pediatrics. 2004;114:703-707.</w:t>
            </w:r>
          </w:p>
          <w:p w:rsidRPr="000E1194" w:rsidR="000E1194" w:rsidP="001B0E05" w:rsidRDefault="000E1194" w14:paraId="511204FC" w14:textId="77777777">
            <w:pPr>
              <w:pStyle w:val="ListParagraph"/>
              <w:numPr>
                <w:ilvl w:val="0"/>
                <w:numId w:val="139"/>
              </w:numPr>
              <w:rPr>
                <w:sz w:val="16"/>
                <w:szCs w:val="16"/>
              </w:rPr>
            </w:pPr>
            <w:r w:rsidRPr="000E1194">
              <w:rPr>
                <w:sz w:val="16"/>
                <w:szCs w:val="16"/>
              </w:rPr>
              <w:t>Clexane. MIMS online. Accessed on 25 August 2020.</w:t>
            </w:r>
          </w:p>
          <w:p w:rsidRPr="000E1194" w:rsidR="000E1194" w:rsidP="001B0E05" w:rsidRDefault="000E1194" w14:paraId="3B560DCA" w14:textId="77777777">
            <w:pPr>
              <w:pStyle w:val="ListParagraph"/>
              <w:numPr>
                <w:ilvl w:val="0"/>
                <w:numId w:val="139"/>
              </w:numPr>
              <w:rPr>
                <w:sz w:val="16"/>
                <w:szCs w:val="16"/>
              </w:rPr>
            </w:pPr>
            <w:r w:rsidRPr="000E1194">
              <w:rPr>
                <w:sz w:val="16"/>
                <w:szCs w:val="16"/>
              </w:rPr>
              <w:t>Wiernikowski JT, Chan A, Lo G. Reversal of anti-thrombin activity using protamine sulfate. Experience in a neonate with a 10-fold overdose of enoxaparin. Thrombosis research. 2007 Jan 1;120(2):303-5.</w:t>
            </w:r>
          </w:p>
          <w:p w:rsidRPr="000E1194" w:rsidR="000E1194" w:rsidP="001B0E05" w:rsidRDefault="000E1194" w14:paraId="6F5BDAD7" w14:textId="77777777">
            <w:pPr>
              <w:pStyle w:val="ListParagraph"/>
              <w:numPr>
                <w:ilvl w:val="0"/>
                <w:numId w:val="139"/>
              </w:numPr>
              <w:rPr>
                <w:sz w:val="16"/>
                <w:szCs w:val="16"/>
              </w:rPr>
            </w:pPr>
            <w:r w:rsidRPr="000E1194">
              <w:rPr>
                <w:sz w:val="16"/>
                <w:szCs w:val="16"/>
              </w:rPr>
              <w:t xml:space="preserve">Malowany JI, Monagle P, Knoppert DC, Lee DS, Wu J, McCusker P, Massicotte MP, Williams S, Chan AK. Enoxaparin for neonatal thrombosis: a call for a higher dose for neonates. Thrombosis research. 2008 Jan 1;122(6):826-30. </w:t>
            </w:r>
          </w:p>
          <w:p w:rsidRPr="000E1194" w:rsidR="000E1194" w:rsidP="001B0E05" w:rsidRDefault="000E1194" w14:paraId="31E76FDB" w14:textId="77777777">
            <w:pPr>
              <w:pStyle w:val="ListParagraph"/>
              <w:numPr>
                <w:ilvl w:val="0"/>
                <w:numId w:val="139"/>
              </w:numPr>
              <w:rPr>
                <w:sz w:val="16"/>
                <w:szCs w:val="16"/>
              </w:rPr>
            </w:pPr>
            <w:r w:rsidRPr="000E1194">
              <w:rPr>
                <w:sz w:val="16"/>
                <w:szCs w:val="16"/>
              </w:rPr>
              <w:t>Malowany JI, Knoppert DC, Chan AK, Pepelassis D, Lee DS. Enoxaparin use in the neonatal intensive care unit: experience over 8 years. Pharmacotherapy: The Journal of Human Pharmacology and Drug Therapy. 2007 Sep;27(9):1263-71.</w:t>
            </w:r>
          </w:p>
          <w:p w:rsidRPr="000E1194" w:rsidR="000E1194" w:rsidP="001B0E05" w:rsidRDefault="000E1194" w14:paraId="16BAE0E1" w14:textId="77777777">
            <w:pPr>
              <w:pStyle w:val="ListParagraph"/>
              <w:numPr>
                <w:ilvl w:val="0"/>
                <w:numId w:val="139"/>
              </w:numPr>
              <w:rPr>
                <w:sz w:val="16"/>
                <w:szCs w:val="16"/>
              </w:rPr>
            </w:pPr>
            <w:r w:rsidRPr="000E1194">
              <w:rPr>
                <w:sz w:val="16"/>
                <w:szCs w:val="16"/>
              </w:rPr>
              <w:t>Michaels LA, Gurian M, Hegyi T, Drachtman RA. Low molecular weight heparin in the treatment of venous and arterial thromboses in the premature infant. Pediatrics. 2004;114(3):703-7.</w:t>
            </w:r>
          </w:p>
          <w:p w:rsidRPr="000E1194" w:rsidR="000E1194" w:rsidP="001B0E05" w:rsidRDefault="000E1194" w14:paraId="1A51D3AF" w14:textId="77777777">
            <w:pPr>
              <w:pStyle w:val="ListParagraph"/>
              <w:numPr>
                <w:ilvl w:val="0"/>
                <w:numId w:val="139"/>
              </w:numPr>
              <w:rPr>
                <w:sz w:val="16"/>
                <w:szCs w:val="16"/>
              </w:rPr>
            </w:pPr>
            <w:r w:rsidRPr="000E1194">
              <w:rPr>
                <w:sz w:val="16"/>
                <w:szCs w:val="16"/>
              </w:rPr>
              <w:t>Monagle P, Michelson AD, Bovill E, Andrew M. Antithrombotic therapy in children. Chest. 2001 Jan 1;119(1):344S-70S.</w:t>
            </w:r>
          </w:p>
        </w:tc>
      </w:tr>
    </w:tbl>
    <w:p w:rsidR="007A35DC" w:rsidP="006F0321" w:rsidRDefault="007A35DC" w14:paraId="46B670E0" w14:textId="0943AF49"/>
    <w:p w:rsidR="007A35DC" w:rsidP="006F0321" w:rsidRDefault="007A35DC" w14:paraId="04A849E2" w14:textId="472705B8"/>
    <w:tbl>
      <w:tblPr>
        <w:tblW w:w="8925" w:type="dxa"/>
        <w:tblInd w:w="-34" w:type="dxa"/>
        <w:tblCellMar>
          <w:left w:w="0" w:type="dxa"/>
          <w:right w:w="0" w:type="dxa"/>
        </w:tblCellMar>
        <w:tblLook w:val="04A0" w:firstRow="1" w:lastRow="0" w:firstColumn="1" w:lastColumn="0" w:noHBand="0" w:noVBand="1"/>
      </w:tblPr>
      <w:tblGrid>
        <w:gridCol w:w="4108"/>
        <w:gridCol w:w="4817"/>
      </w:tblGrid>
      <w:tr w:rsidR="000E1194" w:rsidTr="00FE4186" w14:paraId="3ECE6140"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03AB27B6" w14:textId="2F4CE89D">
            <w:pPr>
              <w:spacing w:line="252" w:lineRule="auto"/>
              <w:rPr>
                <w:sz w:val="22"/>
                <w:lang w:val="en-AU"/>
              </w:rPr>
            </w:pPr>
            <w:r>
              <w:t xml:space="preserve">Original version Date: </w:t>
            </w:r>
            <w:r w:rsidR="00A55362">
              <w:t>Feb 2019</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581F2B56" w14:textId="5F8B8428">
            <w:pPr>
              <w:spacing w:line="252" w:lineRule="auto"/>
            </w:pPr>
            <w:r>
              <w:t xml:space="preserve">Author: </w:t>
            </w:r>
            <w:r w:rsidR="00A55362">
              <w:t>AD, KOH</w:t>
            </w:r>
          </w:p>
        </w:tc>
      </w:tr>
      <w:tr w:rsidR="000E1194" w:rsidTr="00FE4186" w14:paraId="0D060E01"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0E75BA61" w14:textId="77777777">
            <w:pPr>
              <w:spacing w:line="252" w:lineRule="auto"/>
            </w:pPr>
            <w:r>
              <w:t>Current Version number:  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557BE4D1" w14:textId="3AEA93EE">
            <w:pPr>
              <w:spacing w:line="252" w:lineRule="auto"/>
            </w:pPr>
            <w:r>
              <w:t xml:space="preserve">Current Version Date:  </w:t>
            </w:r>
            <w:r w:rsidR="00076729">
              <w:t>1/3/2021</w:t>
            </w:r>
          </w:p>
        </w:tc>
      </w:tr>
      <w:tr w:rsidR="000E1194" w:rsidTr="00FE4186" w14:paraId="384BE0F4"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3C53FB4E" w14:textId="52CA5056">
            <w:pPr>
              <w:spacing w:line="252" w:lineRule="auto"/>
            </w:pPr>
            <w:r>
              <w:t xml:space="preserve">Risk Rating: </w:t>
            </w:r>
            <w:r w:rsidR="00076729">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7CDCA8FD" w14:textId="3EA7D8F5">
            <w:pPr>
              <w:spacing w:line="252" w:lineRule="auto"/>
            </w:pPr>
            <w:r>
              <w:t xml:space="preserve">Due for Review:  </w:t>
            </w:r>
            <w:r w:rsidR="00076729">
              <w:t>1/3/2026</w:t>
            </w:r>
          </w:p>
        </w:tc>
      </w:tr>
      <w:tr w:rsidR="000E1194" w:rsidTr="00FE4186" w14:paraId="17FFB384"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5201D1F9" w14:textId="77777777">
            <w:pPr>
              <w:spacing w:line="252" w:lineRule="auto"/>
            </w:pPr>
            <w:r>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0E1194" w:rsidP="00FE4186" w:rsidRDefault="000E1194" w14:paraId="2AE1156D" w14:textId="5EE58BC3">
            <w:pPr>
              <w:spacing w:line="252" w:lineRule="auto"/>
            </w:pPr>
            <w:r>
              <w:t xml:space="preserve">Approval Date: </w:t>
            </w:r>
            <w:r w:rsidR="00260BC8">
              <w:t>APRIL 2021</w:t>
            </w:r>
          </w:p>
        </w:tc>
      </w:tr>
    </w:tbl>
    <w:p w:rsidR="007A35DC" w:rsidP="006F0321" w:rsidRDefault="007A35DC" w14:paraId="3F133A89" w14:textId="5FB979AD"/>
    <w:p w:rsidR="007A35DC" w:rsidP="006F0321" w:rsidRDefault="007A35DC" w14:paraId="697DCEDE" w14:textId="1A75FF81"/>
    <w:p w:rsidR="007A35DC" w:rsidP="006F0321" w:rsidRDefault="007A35DC" w14:paraId="3BD7BE12" w14:textId="5EA399F2"/>
    <w:p w:rsidR="007A35DC" w:rsidP="006F0321" w:rsidRDefault="007A35DC" w14:paraId="4555B7D9" w14:textId="047ADEFF"/>
    <w:p w:rsidR="007A35DC" w:rsidP="006F0321" w:rsidRDefault="007A35DC" w14:paraId="78C983F9" w14:textId="65D8CF28"/>
    <w:p w:rsidR="007A35DC" w:rsidP="006F0321" w:rsidRDefault="007A35DC" w14:paraId="49901A5B" w14:textId="384FF352"/>
    <w:p w:rsidR="007A35DC" w:rsidP="006F0321" w:rsidRDefault="007A35DC" w14:paraId="6E365798" w14:textId="35CB5503"/>
    <w:p w:rsidR="007A35DC" w:rsidP="006F0321" w:rsidRDefault="007A35DC" w14:paraId="5489120E" w14:textId="2986853E"/>
    <w:p w:rsidR="007A35DC" w:rsidP="006F0321" w:rsidRDefault="007A35DC" w14:paraId="28B2736B" w14:textId="4F609C8C"/>
    <w:p w:rsidR="00D10A80" w:rsidP="006F0321" w:rsidRDefault="00D10A80" w14:paraId="486294B4" w14:textId="1CC63D3D"/>
    <w:p w:rsidR="00D10A80" w:rsidP="006F0321" w:rsidRDefault="00D10A80" w14:paraId="7C28056E" w14:textId="2665369D"/>
    <w:p w:rsidR="00D10A80" w:rsidP="006F0321" w:rsidRDefault="00D10A80" w14:paraId="13ECDD02" w14:textId="00E76382"/>
    <w:p w:rsidR="00D10A80" w:rsidP="006F0321" w:rsidRDefault="00D10A80" w14:paraId="47E1142B" w14:textId="20CF9A54"/>
    <w:p w:rsidR="00D10A80" w:rsidP="006F0321" w:rsidRDefault="00D10A80" w14:paraId="57604C40" w14:textId="245A14E2"/>
    <w:p w:rsidR="00D10A80" w:rsidP="006F0321" w:rsidRDefault="00D10A80" w14:paraId="2EDFEF94" w14:textId="5FF6D38F"/>
    <w:p w:rsidR="00D10A80" w:rsidP="006F0321" w:rsidRDefault="00D10A80" w14:paraId="1B1F0A24" w14:textId="10D4BDDB"/>
    <w:p w:rsidR="00D10A80" w:rsidP="006F0321" w:rsidRDefault="00D10A80" w14:paraId="4C842591" w14:textId="77777777"/>
    <w:p w:rsidR="007A35DC" w:rsidP="006F0321" w:rsidRDefault="007A35DC" w14:paraId="38D49ABD" w14:textId="4F410925"/>
    <w:tbl>
      <w:tblPr>
        <w:tblW w:w="9049" w:type="dxa"/>
        <w:tblLayout w:type="fixed"/>
        <w:tblLook w:val="0000" w:firstRow="0" w:lastRow="0" w:firstColumn="0" w:lastColumn="0" w:noHBand="0" w:noVBand="0"/>
      </w:tblPr>
      <w:tblGrid>
        <w:gridCol w:w="4153"/>
        <w:gridCol w:w="4896"/>
      </w:tblGrid>
      <w:tr w:rsidRPr="00E25790" w:rsidR="00115F48" w:rsidTr="00EC6FC6" w14:paraId="41D31EB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216247" w14:paraId="7EF96CE2" w14:textId="2D25B869">
            <w:pPr>
              <w:pStyle w:val="Heading1"/>
            </w:pPr>
            <w:bookmarkStart w:name="_Toc75339965" w:id="214"/>
            <w:r w:rsidRPr="00216247">
              <w:lastRenderedPageBreak/>
              <w:t>Epoprostenol (also known as Prostacycin or Prostaglandin I2 (PGI2))</w:t>
            </w:r>
            <w:bookmarkEnd w:id="214"/>
            <w:r w:rsidRPr="00E25790" w:rsidR="00115F48">
              <w:fldChar w:fldCharType="begin"/>
            </w:r>
            <w:r w:rsidRPr="00E25790" w:rsidR="00115F48">
              <w:instrText>tc "Epoprostenol" \l 0</w:instrText>
            </w:r>
            <w:r w:rsidRPr="00E25790" w:rsidR="00115F48">
              <w:fldChar w:fldCharType="end"/>
            </w:r>
          </w:p>
        </w:tc>
      </w:tr>
      <w:tr w:rsidRPr="00E25790" w:rsidR="00115F48" w:rsidTr="00EC6FC6" w14:paraId="0146FEDF"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5B4E8C87" w14:textId="084E764E">
            <w:r w:rsidRPr="00E25790">
              <w:t xml:space="preserve">Revision Date : </w:t>
            </w:r>
            <w:r w:rsidR="003361A4">
              <w:fldChar w:fldCharType="begin"/>
            </w:r>
            <w:r w:rsidR="003361A4">
              <w:instrText xml:space="preserve"> CREATEDATE  </w:instrText>
            </w:r>
            <w:r w:rsidR="003361A4">
              <w:fldChar w:fldCharType="separate"/>
            </w:r>
            <w:r w:rsidR="00FF0A0C">
              <w:rPr>
                <w:noProof/>
              </w:rPr>
              <w:t>30/12/2020 14:00:00</w:t>
            </w:r>
            <w:r w:rsidR="003361A4">
              <w:rPr>
                <w:noProof/>
              </w:rPr>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F71F167" w14:textId="22B2A2C8">
            <w:r w:rsidRPr="00E25790">
              <w:t xml:space="preserve">Approved : </w:t>
            </w:r>
            <w:r w:rsidR="00216247">
              <w:t>TCO, KOH</w:t>
            </w:r>
          </w:p>
        </w:tc>
      </w:tr>
    </w:tbl>
    <w:p w:rsidR="00115F48" w:rsidP="006F0321" w:rsidRDefault="00115F48" w14:paraId="1BAC6DA2" w14:textId="77777777"/>
    <w:tbl>
      <w:tblPr>
        <w:tblW w:w="9631" w:type="dxa"/>
        <w:tblLayout w:type="fixed"/>
        <w:tblLook w:val="0000" w:firstRow="0" w:lastRow="0" w:firstColumn="0" w:lastColumn="0" w:noHBand="0" w:noVBand="0"/>
      </w:tblPr>
      <w:tblGrid>
        <w:gridCol w:w="2438"/>
        <w:gridCol w:w="7193"/>
      </w:tblGrid>
      <w:tr w:rsidRPr="00E25790" w:rsidR="00BF653C" w:rsidTr="00747763" w14:paraId="21776C01" w14:textId="77777777">
        <w:trPr>
          <w:cantSplit/>
          <w:trHeight w:val="1047"/>
        </w:trPr>
        <w:tc>
          <w:tcPr>
            <w:tcW w:w="2438" w:type="dxa"/>
            <w:tcBorders>
              <w:top w:val="single" w:color="auto" w:sz="6" w:space="0"/>
              <w:left w:val="single" w:color="auto" w:sz="6" w:space="0"/>
              <w:bottom w:val="single" w:color="auto" w:sz="6" w:space="0"/>
            </w:tcBorders>
          </w:tcPr>
          <w:p w:rsidRPr="00E25790" w:rsidR="00BF653C" w:rsidP="009E664B" w:rsidRDefault="00BF653C" w14:paraId="28415E3A" w14:textId="77777777">
            <w:r w:rsidRPr="00E25790">
              <w:t>Indication :</w:t>
            </w:r>
          </w:p>
        </w:tc>
        <w:tc>
          <w:tcPr>
            <w:tcW w:w="7193" w:type="dxa"/>
            <w:tcBorders>
              <w:top w:val="single" w:color="auto" w:sz="6" w:space="0"/>
              <w:bottom w:val="single" w:color="auto" w:sz="6" w:space="0"/>
              <w:right w:val="single" w:color="auto" w:sz="6" w:space="0"/>
            </w:tcBorders>
          </w:tcPr>
          <w:p w:rsidRPr="00E25790" w:rsidR="00BF653C" w:rsidP="009E664B" w:rsidRDefault="00BF653C" w14:paraId="6EC89E8D" w14:textId="77777777">
            <w:r w:rsidRPr="00E25790">
              <w:t>Persistent pulmonary hypertension of the newborn unresponsive to usual ventilatory strategies</w:t>
            </w:r>
            <w:r>
              <w:t>, inhaled nitric oxide and appropriate inotropic support</w:t>
            </w:r>
            <w:r w:rsidRPr="00E25790">
              <w:t>.</w:t>
            </w:r>
          </w:p>
        </w:tc>
      </w:tr>
      <w:tr w:rsidRPr="00E25790" w:rsidR="00BF653C" w:rsidTr="00747763" w14:paraId="16E45C58"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7D7721AD" w14:textId="77777777">
            <w:r w:rsidRPr="00E25790">
              <w:t>Dose :</w:t>
            </w:r>
          </w:p>
        </w:tc>
        <w:tc>
          <w:tcPr>
            <w:tcW w:w="7193" w:type="dxa"/>
            <w:tcBorders>
              <w:top w:val="single" w:color="auto" w:sz="6" w:space="0"/>
              <w:bottom w:val="single" w:color="auto" w:sz="6" w:space="0"/>
              <w:right w:val="single" w:color="auto" w:sz="6" w:space="0"/>
            </w:tcBorders>
          </w:tcPr>
          <w:p w:rsidR="00BF653C" w:rsidP="009E664B" w:rsidRDefault="00BF653C" w14:paraId="5E53D658" w14:textId="77777777">
            <w:r>
              <w:t>Initial dose 2nanograms/kg/minute</w:t>
            </w:r>
          </w:p>
          <w:p w:rsidR="00BF653C" w:rsidP="009E664B" w:rsidRDefault="00BF653C" w14:paraId="5152C868" w14:textId="77777777">
            <w:r>
              <w:t>Titrate to clinical effect increasing by 1-2nanogram/kg/min not faster than every 15 minutes.</w:t>
            </w:r>
          </w:p>
          <w:p w:rsidR="00BF653C" w:rsidP="009E664B" w:rsidRDefault="00BF653C" w14:paraId="6FDF20D5" w14:textId="77777777">
            <w:r>
              <w:t>Limited evidence for max dose for PPHN in neonates (UK guidance (BNF/NICE) state usual max 20nanograms/kg/min; rarely up to 40nanograms/kg/min)</w:t>
            </w:r>
          </w:p>
          <w:p w:rsidRPr="00E25790" w:rsidR="00BF653C" w:rsidP="009E664B" w:rsidRDefault="00BF653C" w14:paraId="5DFB9086" w14:textId="77777777">
            <w:r>
              <w:t>Doses up to 80-150nanograms/kg/min used in adult and paediatric patients for chronic pulmonary arterial hypertension</w:t>
            </w:r>
          </w:p>
        </w:tc>
      </w:tr>
      <w:tr w:rsidRPr="00E25790" w:rsidR="00BF653C" w:rsidTr="00747763" w14:paraId="7DBE0CE5"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51B75284" w14:textId="77777777">
            <w:r w:rsidRPr="00E25790">
              <w:t>Interval :</w:t>
            </w:r>
          </w:p>
        </w:tc>
        <w:tc>
          <w:tcPr>
            <w:tcW w:w="7193" w:type="dxa"/>
            <w:tcBorders>
              <w:top w:val="single" w:color="auto" w:sz="6" w:space="0"/>
              <w:bottom w:val="single" w:color="auto" w:sz="6" w:space="0"/>
              <w:right w:val="single" w:color="auto" w:sz="6" w:space="0"/>
            </w:tcBorders>
          </w:tcPr>
          <w:p w:rsidRPr="00E25790" w:rsidR="00BF653C" w:rsidP="009E664B" w:rsidRDefault="00BF653C" w14:paraId="00E574CA" w14:textId="77777777">
            <w:r w:rsidRPr="00E25790">
              <w:t>Continuous infusion</w:t>
            </w:r>
            <w:r>
              <w:t xml:space="preserve"> only</w:t>
            </w:r>
          </w:p>
        </w:tc>
      </w:tr>
      <w:tr w:rsidRPr="00E25790" w:rsidR="00BF653C" w:rsidTr="00747763" w14:paraId="2E027CBD"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7F01B123" w14:textId="77777777">
            <w:r w:rsidRPr="00E25790">
              <w:t>Route :</w:t>
            </w:r>
          </w:p>
        </w:tc>
        <w:tc>
          <w:tcPr>
            <w:tcW w:w="7193" w:type="dxa"/>
            <w:tcBorders>
              <w:top w:val="single" w:color="auto" w:sz="6" w:space="0"/>
              <w:bottom w:val="single" w:color="auto" w:sz="6" w:space="0"/>
              <w:right w:val="single" w:color="auto" w:sz="6" w:space="0"/>
            </w:tcBorders>
          </w:tcPr>
          <w:p w:rsidRPr="00E25790" w:rsidR="00BF653C" w:rsidP="009E664B" w:rsidRDefault="00BF653C" w14:paraId="7EF59282" w14:textId="77777777">
            <w:r w:rsidRPr="00E25790">
              <w:t xml:space="preserve">I.V.  </w:t>
            </w:r>
            <w:r>
              <w:t>(</w:t>
            </w:r>
            <w:r w:rsidRPr="00E25790">
              <w:t>central venous line</w:t>
            </w:r>
            <w:r>
              <w:t xml:space="preserve"> strongly recommended)</w:t>
            </w:r>
          </w:p>
        </w:tc>
      </w:tr>
      <w:tr w:rsidRPr="00E25790" w:rsidR="00BF653C" w:rsidTr="00747763" w14:paraId="45D3D91E"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30782DB6" w14:textId="77777777">
            <w:r w:rsidRPr="00E25790">
              <w:t>Total Daily Dose :</w:t>
            </w:r>
          </w:p>
        </w:tc>
        <w:tc>
          <w:tcPr>
            <w:tcW w:w="7193" w:type="dxa"/>
            <w:tcBorders>
              <w:top w:val="single" w:color="auto" w:sz="6" w:space="0"/>
              <w:bottom w:val="single" w:color="auto" w:sz="6" w:space="0"/>
              <w:right w:val="single" w:color="auto" w:sz="6" w:space="0"/>
            </w:tcBorders>
          </w:tcPr>
          <w:p w:rsidRPr="00E25790" w:rsidR="00BF653C" w:rsidP="009E664B" w:rsidRDefault="00BF653C" w14:paraId="0D7E6ACC" w14:textId="77777777"/>
        </w:tc>
      </w:tr>
      <w:tr w:rsidRPr="00E25790" w:rsidR="00BF653C" w:rsidTr="00747763" w14:paraId="0317076B" w14:textId="77777777">
        <w:trPr>
          <w:cantSplit/>
          <w:trHeight w:val="1200"/>
        </w:trPr>
        <w:tc>
          <w:tcPr>
            <w:tcW w:w="2438" w:type="dxa"/>
            <w:tcBorders>
              <w:top w:val="single" w:color="auto" w:sz="6" w:space="0"/>
              <w:left w:val="single" w:color="auto" w:sz="6" w:space="0"/>
              <w:bottom w:val="single" w:color="auto" w:sz="6" w:space="0"/>
            </w:tcBorders>
          </w:tcPr>
          <w:p w:rsidRPr="00E25790" w:rsidR="00BF653C" w:rsidP="009E664B" w:rsidRDefault="00BF653C" w14:paraId="6B3D38E6" w14:textId="77777777">
            <w:r w:rsidRPr="00E25790">
              <w:t>Comments :</w:t>
            </w:r>
          </w:p>
        </w:tc>
        <w:tc>
          <w:tcPr>
            <w:tcW w:w="7193" w:type="dxa"/>
            <w:tcBorders>
              <w:top w:val="single" w:color="auto" w:sz="6" w:space="0"/>
              <w:bottom w:val="single" w:color="auto" w:sz="6" w:space="0"/>
              <w:right w:val="single" w:color="auto" w:sz="6" w:space="0"/>
            </w:tcBorders>
          </w:tcPr>
          <w:p w:rsidRPr="006C3A9F" w:rsidR="00BF653C" w:rsidP="009E664B" w:rsidRDefault="00BF653C" w14:paraId="26BCCA10" w14:textId="77777777">
            <w:pPr>
              <w:rPr>
                <w:b/>
              </w:rPr>
            </w:pPr>
            <w:r w:rsidRPr="006C3A9F">
              <w:rPr>
                <w:b/>
              </w:rPr>
              <w:t>Bolus doses (including line flushes) MUST NOT be given and may cause profound hypotension, shock and death</w:t>
            </w:r>
          </w:p>
          <w:p w:rsidR="00BF653C" w:rsidP="009E664B" w:rsidRDefault="00BF653C" w14:paraId="33A0A10E" w14:textId="77777777">
            <w:pPr>
              <w:rPr>
                <w:b/>
              </w:rPr>
            </w:pPr>
            <w:r w:rsidRPr="006C3A9F">
              <w:rPr>
                <w:b/>
              </w:rPr>
              <w:t>Infusion MUST NOT be abruptly stopped as this may cause rebound pulmonary hypertension and death</w:t>
            </w:r>
          </w:p>
          <w:p w:rsidRPr="00AC166A" w:rsidR="00BF653C" w:rsidP="009E664B" w:rsidRDefault="00BF653C" w14:paraId="344F5660" w14:textId="77777777">
            <w:r w:rsidRPr="00AC166A">
              <w:t xml:space="preserve">Half-life is 3 minutes. </w:t>
            </w:r>
          </w:p>
          <w:p w:rsidR="00BF653C" w:rsidP="009E664B" w:rsidRDefault="00BF653C" w14:paraId="62B174DE" w14:textId="77777777">
            <w:r w:rsidRPr="00E25790">
              <w:t xml:space="preserve">Most potent vasodilator known.  Use is restricted – ICU availability only. </w:t>
            </w:r>
          </w:p>
          <w:p w:rsidR="00BF653C" w:rsidP="009E664B" w:rsidRDefault="00BF653C" w14:paraId="4CDD5A3D" w14:textId="77777777">
            <w:r>
              <w:t>Dedicated line is required to maintain alkaline pH of solution for drug stability</w:t>
            </w:r>
          </w:p>
          <w:p w:rsidR="00BF653C" w:rsidP="009E664B" w:rsidRDefault="00BF653C" w14:paraId="62DBBE15" w14:textId="77777777">
            <w:r>
              <w:t>Diluent solution is highly alkaline (pH 12, this is essential for drug stability) and may cause tissue injury if extravasation occurs, central venous line recommended</w:t>
            </w:r>
          </w:p>
          <w:p w:rsidR="00BF653C" w:rsidP="009E664B" w:rsidRDefault="00BF653C" w14:paraId="2318295C" w14:textId="77777777">
            <w:r>
              <w:t>Causes systemic vasodilation;</w:t>
            </w:r>
            <w:r w:rsidRPr="00E25790">
              <w:t xml:space="preserve"> Latent hypovolaemia must be corrected before administering the medication. Causes profound hypotension in cases where volume loading is incomplete.</w:t>
            </w:r>
          </w:p>
          <w:p w:rsidR="00BF653C" w:rsidP="009E664B" w:rsidRDefault="00BF653C" w14:paraId="70F78051" w14:textId="77777777">
            <w:r>
              <w:t>Concurrent use of vasoconstricting inotropic support recommended.</w:t>
            </w:r>
          </w:p>
          <w:p w:rsidR="00BF653C" w:rsidP="009E664B" w:rsidRDefault="00BF653C" w14:paraId="620291B8" w14:textId="77777777">
            <w:r>
              <w:t>Monitor cardiovascular status including urine output continuously throughout treatment.</w:t>
            </w:r>
          </w:p>
          <w:p w:rsidRPr="00E25790" w:rsidR="00BF653C" w:rsidP="009E664B" w:rsidRDefault="00BF653C" w14:paraId="179D2812" w14:textId="77777777">
            <w:r>
              <w:t>Inhibits platelet aggregation and may affect clotting or cause bleeding. Consider head ultrasound prior to treatment and monitor for bleeding.</w:t>
            </w:r>
          </w:p>
        </w:tc>
      </w:tr>
      <w:tr w:rsidRPr="00E25790" w:rsidR="00BF653C" w:rsidTr="00747763" w14:paraId="0AED4D6C"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25845549" w14:textId="77777777">
            <w:r w:rsidRPr="00E25790">
              <w:t>Supplied as :</w:t>
            </w:r>
          </w:p>
        </w:tc>
        <w:tc>
          <w:tcPr>
            <w:tcW w:w="7193" w:type="dxa"/>
            <w:tcBorders>
              <w:top w:val="single" w:color="auto" w:sz="6" w:space="0"/>
              <w:bottom w:val="single" w:color="auto" w:sz="6" w:space="0"/>
              <w:right w:val="single" w:color="auto" w:sz="6" w:space="0"/>
            </w:tcBorders>
          </w:tcPr>
          <w:p w:rsidRPr="00E25790" w:rsidR="00BF653C" w:rsidP="009E664B" w:rsidRDefault="00BF653C" w14:paraId="60C89AF3" w14:textId="19133E74">
            <w:r w:rsidRPr="00E25790">
              <w:t xml:space="preserve">Epoprostenol sodium 500 </w:t>
            </w:r>
            <w:r w:rsidRPr="00E25790">
              <w:rPr>
                <w:rFonts w:ascii="Symbol" w:hAnsi="Symbol" w:eastAsia="Symbol" w:cs="Symbol"/>
              </w:rPr>
              <w:t></w:t>
            </w:r>
            <w:r w:rsidRPr="00E25790">
              <w:t>g vial</w:t>
            </w:r>
            <w:r>
              <w:t xml:space="preserve"> (powder) with 2 x 50mL diluent (Flolan</w:t>
            </w:r>
            <w:r>
              <w:rPr>
                <w:rFonts w:cs="Calibri"/>
              </w:rPr>
              <w:t>™</w:t>
            </w:r>
            <w:r>
              <w:t>)</w:t>
            </w:r>
          </w:p>
        </w:tc>
      </w:tr>
      <w:tr w:rsidRPr="00E25790" w:rsidR="00BF653C" w:rsidTr="00747763" w14:paraId="4C493C15" w14:textId="77777777">
        <w:trPr>
          <w:cantSplit/>
          <w:trHeight w:val="960"/>
        </w:trPr>
        <w:tc>
          <w:tcPr>
            <w:tcW w:w="2438" w:type="dxa"/>
            <w:tcBorders>
              <w:top w:val="single" w:color="auto" w:sz="6" w:space="0"/>
              <w:left w:val="single" w:color="auto" w:sz="6" w:space="0"/>
              <w:bottom w:val="single" w:color="auto" w:sz="6" w:space="0"/>
            </w:tcBorders>
          </w:tcPr>
          <w:p w:rsidRPr="00E25790" w:rsidR="00BF653C" w:rsidP="009E664B" w:rsidRDefault="00BF653C" w14:paraId="4CBFE659" w14:textId="77777777">
            <w:r w:rsidRPr="00E25790">
              <w:lastRenderedPageBreak/>
              <w:t>Dilution :</w:t>
            </w:r>
          </w:p>
        </w:tc>
        <w:tc>
          <w:tcPr>
            <w:tcW w:w="7193" w:type="dxa"/>
            <w:tcBorders>
              <w:top w:val="single" w:color="auto" w:sz="6" w:space="0"/>
              <w:bottom w:val="single" w:color="auto" w:sz="6" w:space="0"/>
              <w:right w:val="single" w:color="auto" w:sz="6" w:space="0"/>
            </w:tcBorders>
          </w:tcPr>
          <w:p w:rsidR="00BF653C" w:rsidP="009E664B" w:rsidRDefault="00BF653C" w14:paraId="78F4D46C" w14:textId="77777777">
            <w:r w:rsidRPr="00CE09BA">
              <w:rPr>
                <w:b/>
              </w:rPr>
              <w:t>Must only be reconstituted in the diluent solution provided.</w:t>
            </w:r>
            <w:r w:rsidRPr="00E25790">
              <w:t xml:space="preserve">  Draw up 10 m</w:t>
            </w:r>
            <w:r>
              <w:t>L</w:t>
            </w:r>
            <w:r w:rsidRPr="00E25790">
              <w:t xml:space="preserve"> of diluent </w:t>
            </w:r>
            <w:r>
              <w:t>into a syringe,</w:t>
            </w:r>
            <w:r w:rsidRPr="00E25790">
              <w:t xml:space="preserve"> </w:t>
            </w:r>
            <w:r>
              <w:t xml:space="preserve">inject into vial and mix to </w:t>
            </w:r>
            <w:r w:rsidRPr="00E25790">
              <w:t xml:space="preserve">dissolve contents of vial.  </w:t>
            </w:r>
          </w:p>
          <w:p w:rsidRPr="00E25790" w:rsidR="00BF653C" w:rsidP="009E664B" w:rsidRDefault="00BF653C" w14:paraId="6386293F" w14:textId="77777777">
            <w:r w:rsidRPr="00E25790">
              <w:t xml:space="preserve">Draw up all of </w:t>
            </w:r>
            <w:r>
              <w:t>contents of the vial</w:t>
            </w:r>
            <w:r w:rsidRPr="00E25790">
              <w:t xml:space="preserve"> and </w:t>
            </w:r>
            <w:r>
              <w:t>return</w:t>
            </w:r>
            <w:r w:rsidRPr="00E25790">
              <w:t xml:space="preserve"> </w:t>
            </w:r>
            <w:r>
              <w:t>to</w:t>
            </w:r>
            <w:r w:rsidRPr="00E25790">
              <w:t xml:space="preserve"> the diluent vial (</w:t>
            </w:r>
            <w:r>
              <w:t>to make t</w:t>
            </w:r>
            <w:r w:rsidRPr="00E25790">
              <w:t>otal of 50 ml</w:t>
            </w:r>
            <w:r>
              <w:t xml:space="preserve"> of concentrated solution</w:t>
            </w:r>
            <w:r w:rsidRPr="00E25790">
              <w:t xml:space="preserve">).  </w:t>
            </w:r>
            <w:r>
              <w:t xml:space="preserve">Mix again. </w:t>
            </w:r>
            <w:r w:rsidRPr="00E25790">
              <w:t>This solution now contains 1</w:t>
            </w:r>
            <w:r w:rsidRPr="00E25790">
              <w:rPr>
                <w:u w:val="single"/>
              </w:rPr>
              <w:t>0,000 nanograms/m</w:t>
            </w:r>
            <w:r>
              <w:rPr>
                <w:u w:val="single"/>
              </w:rPr>
              <w:t>L</w:t>
            </w:r>
            <w:r w:rsidRPr="00E25790">
              <w:rPr>
                <w:u w:val="single"/>
              </w:rPr>
              <w:t xml:space="preserve"> (10</w:t>
            </w:r>
            <w:r w:rsidRPr="00E25790">
              <w:rPr>
                <w:rFonts w:ascii="Symbol" w:hAnsi="Symbol" w:eastAsia="Symbol" w:cs="Symbol"/>
                <w:u w:val="single"/>
              </w:rPr>
              <w:t></w:t>
            </w:r>
            <w:r w:rsidRPr="00E25790">
              <w:rPr>
                <w:u w:val="single"/>
              </w:rPr>
              <w:t>g/m</w:t>
            </w:r>
            <w:r>
              <w:rPr>
                <w:u w:val="single"/>
              </w:rPr>
              <w:t>L</w:t>
            </w:r>
            <w:r w:rsidRPr="00E25790">
              <w:rPr>
                <w:u w:val="single"/>
              </w:rPr>
              <w:t>)</w:t>
            </w:r>
            <w:r w:rsidRPr="00E25790">
              <w:t>.</w:t>
            </w:r>
          </w:p>
          <w:p w:rsidRPr="00CE09BA" w:rsidR="00BF653C" w:rsidP="009E664B" w:rsidRDefault="00BF653C" w14:paraId="2CE93306" w14:textId="77777777">
            <w:pPr>
              <w:pStyle w:val="BodyText2"/>
              <w:rPr>
                <w:b w:val="0"/>
              </w:rPr>
            </w:pPr>
            <w:r w:rsidRPr="00CE09BA">
              <w:rPr>
                <w:b w:val="0"/>
              </w:rPr>
              <w:t>Take ‘X’ m</w:t>
            </w:r>
            <w:r>
              <w:rPr>
                <w:b w:val="0"/>
              </w:rPr>
              <w:t>L</w:t>
            </w:r>
            <w:r w:rsidRPr="00CE09BA">
              <w:rPr>
                <w:b w:val="0"/>
              </w:rPr>
              <w:t xml:space="preserve"> of th</w:t>
            </w:r>
            <w:r>
              <w:rPr>
                <w:b w:val="0"/>
              </w:rPr>
              <w:t>e concentrated solu</w:t>
            </w:r>
            <w:r w:rsidRPr="00CE09BA">
              <w:rPr>
                <w:b w:val="0"/>
              </w:rPr>
              <w:t>tion and make up to 50 m</w:t>
            </w:r>
            <w:r>
              <w:rPr>
                <w:b w:val="0"/>
              </w:rPr>
              <w:t>L</w:t>
            </w:r>
            <w:r w:rsidRPr="00CE09BA">
              <w:rPr>
                <w:b w:val="0"/>
              </w:rPr>
              <w:t xml:space="preserve"> with the second vial of diluent.</w:t>
            </w:r>
          </w:p>
          <w:p w:rsidRPr="00E25790" w:rsidR="00BF653C" w:rsidP="009E664B" w:rsidRDefault="00BF653C" w14:paraId="09573E8E" w14:textId="77777777">
            <w:r w:rsidRPr="00E25790">
              <w:t xml:space="preserve">‘X’ = </w:t>
            </w:r>
            <w:r>
              <w:t xml:space="preserve">6 x </w:t>
            </w:r>
            <w:r w:rsidRPr="00E25790">
              <w:t xml:space="preserve">Body Weight in kg </w:t>
            </w:r>
          </w:p>
          <w:p w:rsidR="00BF653C" w:rsidP="009E664B" w:rsidRDefault="00BF653C" w14:paraId="73078B19" w14:textId="77777777">
            <w:pPr>
              <w:rPr>
                <w:lang w:val="de-DE"/>
              </w:rPr>
            </w:pPr>
            <w:r>
              <w:rPr>
                <w:lang w:val="de-DE"/>
              </w:rPr>
              <w:t xml:space="preserve">Final dilution- 1mL/hr = </w:t>
            </w:r>
            <w:r w:rsidRPr="00E25790">
              <w:rPr>
                <w:lang w:val="de-DE"/>
              </w:rPr>
              <w:t>20n</w:t>
            </w:r>
            <w:r>
              <w:rPr>
                <w:lang w:val="de-DE"/>
              </w:rPr>
              <w:t>anogram</w:t>
            </w:r>
            <w:r w:rsidRPr="00E25790">
              <w:rPr>
                <w:lang w:val="de-DE"/>
              </w:rPr>
              <w:t>/kg/mi</w:t>
            </w:r>
            <w:r>
              <w:rPr>
                <w:lang w:val="de-DE"/>
              </w:rPr>
              <w:t>n</w:t>
            </w:r>
          </w:p>
          <w:p w:rsidR="00BF653C" w:rsidP="009E664B" w:rsidRDefault="00BF653C" w14:paraId="03704329" w14:textId="77777777">
            <w:pPr>
              <w:rPr>
                <w:lang w:val="de-DE"/>
              </w:rPr>
            </w:pPr>
            <w:r>
              <w:rPr>
                <w:lang w:val="de-DE"/>
              </w:rPr>
              <w:t>Administer infusion through 0.2 or 0.22micrometre in line filter</w:t>
            </w:r>
          </w:p>
          <w:p w:rsidRPr="00E25790" w:rsidR="00BF653C" w:rsidP="009E664B" w:rsidRDefault="00BF653C" w14:paraId="04CD1FCA" w14:textId="77777777">
            <w:pPr>
              <w:rPr>
                <w:lang w:val="de-DE"/>
              </w:rPr>
            </w:pPr>
            <w:r>
              <w:rPr>
                <w:lang w:val="de-DE"/>
              </w:rPr>
              <w:t>NOTE: these instructions pertain to the Flolan</w:t>
            </w:r>
            <w:r>
              <w:rPr>
                <w:rFonts w:cs="Calibri"/>
                <w:lang w:val="de-DE"/>
              </w:rPr>
              <w:t>™</w:t>
            </w:r>
            <w:r>
              <w:rPr>
                <w:lang w:val="de-DE"/>
              </w:rPr>
              <w:t xml:space="preserve"> brand only (pharmacy’s preferred supplier); if using Veletri</w:t>
            </w:r>
            <w:r>
              <w:rPr>
                <w:rFonts w:cs="Calibri"/>
                <w:lang w:val="de-DE"/>
              </w:rPr>
              <w:t>™</w:t>
            </w:r>
            <w:r>
              <w:rPr>
                <w:lang w:val="de-DE"/>
              </w:rPr>
              <w:t xml:space="preserve"> brand follow specific dilution instructions for that brand (final concentration of solution and dosage remain the same)</w:t>
            </w:r>
          </w:p>
        </w:tc>
      </w:tr>
      <w:tr w:rsidRPr="00E25790" w:rsidR="00BF653C" w:rsidTr="00747763" w14:paraId="3A983782"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3092D835" w14:textId="77777777">
            <w:r w:rsidRPr="00E25790">
              <w:t>Stability :</w:t>
            </w:r>
          </w:p>
        </w:tc>
        <w:tc>
          <w:tcPr>
            <w:tcW w:w="7193" w:type="dxa"/>
            <w:tcBorders>
              <w:top w:val="single" w:color="auto" w:sz="6" w:space="0"/>
              <w:bottom w:val="single" w:color="auto" w:sz="6" w:space="0"/>
              <w:right w:val="single" w:color="auto" w:sz="6" w:space="0"/>
            </w:tcBorders>
          </w:tcPr>
          <w:p w:rsidRPr="00E25790" w:rsidR="00BF653C" w:rsidP="009E664B" w:rsidRDefault="00BF653C" w14:paraId="0C7D3649" w14:textId="77777777">
            <w:r w:rsidRPr="00E25790">
              <w:t>The base solution is stable for 24 hours.</w:t>
            </w:r>
          </w:p>
        </w:tc>
      </w:tr>
      <w:tr w:rsidRPr="00E25790" w:rsidR="00BF653C" w:rsidTr="00747763" w14:paraId="7A26E144"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7C963769" w14:textId="77777777">
            <w:r w:rsidRPr="00E25790">
              <w:t>Storage :</w:t>
            </w:r>
          </w:p>
        </w:tc>
        <w:tc>
          <w:tcPr>
            <w:tcW w:w="7193" w:type="dxa"/>
            <w:tcBorders>
              <w:top w:val="single" w:color="auto" w:sz="6" w:space="0"/>
              <w:bottom w:val="single" w:color="auto" w:sz="6" w:space="0"/>
              <w:right w:val="single" w:color="auto" w:sz="6" w:space="0"/>
            </w:tcBorders>
          </w:tcPr>
          <w:p w:rsidRPr="00E25790" w:rsidR="00BF653C" w:rsidP="009E664B" w:rsidRDefault="00BF653C" w14:paraId="29D8B866" w14:textId="77777777">
            <w:r w:rsidRPr="00E25790">
              <w:t>Refrigerated, protect from light.</w:t>
            </w:r>
          </w:p>
        </w:tc>
      </w:tr>
      <w:tr w:rsidRPr="00E25790" w:rsidR="00BF653C" w:rsidTr="00747763" w14:paraId="4BBEE4BA"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409CE118" w14:textId="77777777">
            <w:r w:rsidRPr="00E25790">
              <w:t>Incompatibility :</w:t>
            </w:r>
          </w:p>
        </w:tc>
        <w:tc>
          <w:tcPr>
            <w:tcW w:w="7193" w:type="dxa"/>
            <w:tcBorders>
              <w:top w:val="single" w:color="auto" w:sz="6" w:space="0"/>
              <w:bottom w:val="single" w:color="auto" w:sz="6" w:space="0"/>
              <w:right w:val="single" w:color="auto" w:sz="6" w:space="0"/>
            </w:tcBorders>
          </w:tcPr>
          <w:p w:rsidRPr="00E25790" w:rsidR="00BF653C" w:rsidP="009E664B" w:rsidRDefault="00BF653C" w14:paraId="5D742511" w14:textId="77777777">
            <w:r>
              <w:t>Use dedicated line as mixing with other fluids will reduce pH and make solution unstable</w:t>
            </w:r>
          </w:p>
        </w:tc>
      </w:tr>
      <w:tr w:rsidRPr="00E25790" w:rsidR="00BF653C" w:rsidTr="00747763" w14:paraId="2CBBE3C9"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75598E75" w14:textId="77777777">
            <w:r w:rsidRPr="00E25790">
              <w:t>Serum Levels :</w:t>
            </w:r>
          </w:p>
        </w:tc>
        <w:tc>
          <w:tcPr>
            <w:tcW w:w="7193" w:type="dxa"/>
            <w:tcBorders>
              <w:top w:val="single" w:color="auto" w:sz="6" w:space="0"/>
              <w:bottom w:val="single" w:color="auto" w:sz="6" w:space="0"/>
              <w:right w:val="single" w:color="auto" w:sz="6" w:space="0"/>
            </w:tcBorders>
          </w:tcPr>
          <w:p w:rsidRPr="00E25790" w:rsidR="00BF653C" w:rsidP="009E664B" w:rsidRDefault="00BF653C" w14:paraId="07BB0502" w14:textId="77777777">
            <w:r>
              <w:t>Not applicable</w:t>
            </w:r>
          </w:p>
        </w:tc>
      </w:tr>
      <w:tr w:rsidRPr="00E25790" w:rsidR="00BF653C" w:rsidTr="00747763" w14:paraId="48CDDA3E" w14:textId="77777777">
        <w:trPr>
          <w:cantSplit/>
          <w:trHeight w:val="480"/>
        </w:trPr>
        <w:tc>
          <w:tcPr>
            <w:tcW w:w="2438" w:type="dxa"/>
            <w:tcBorders>
              <w:top w:val="single" w:color="auto" w:sz="6" w:space="0"/>
              <w:left w:val="single" w:color="auto" w:sz="6" w:space="0"/>
              <w:bottom w:val="single" w:color="auto" w:sz="6" w:space="0"/>
            </w:tcBorders>
          </w:tcPr>
          <w:p w:rsidRPr="00E25790" w:rsidR="00BF653C" w:rsidP="009E664B" w:rsidRDefault="00BF653C" w14:paraId="3F1E697D" w14:textId="77777777">
            <w:r>
              <w:t>References:</w:t>
            </w:r>
          </w:p>
        </w:tc>
        <w:tc>
          <w:tcPr>
            <w:tcW w:w="7193" w:type="dxa"/>
            <w:tcBorders>
              <w:top w:val="single" w:color="auto" w:sz="6" w:space="0"/>
              <w:bottom w:val="single" w:color="auto" w:sz="6" w:space="0"/>
              <w:right w:val="single" w:color="auto" w:sz="6" w:space="0"/>
            </w:tcBorders>
          </w:tcPr>
          <w:p w:rsidR="00BF653C" w:rsidP="001B0E05" w:rsidRDefault="00BF653C" w14:paraId="0CC1C797" w14:textId="77777777">
            <w:pPr>
              <w:pStyle w:val="ListParagraph"/>
              <w:numPr>
                <w:ilvl w:val="0"/>
                <w:numId w:val="87"/>
              </w:numPr>
            </w:pPr>
            <w:r>
              <w:t>Australian Injectable Drugs Handbook, 8</w:t>
            </w:r>
            <w:r w:rsidRPr="00132FAE">
              <w:rPr>
                <w:vertAlign w:val="superscript"/>
              </w:rPr>
              <w:t>th</w:t>
            </w:r>
            <w:r>
              <w:t xml:space="preserve"> edition;</w:t>
            </w:r>
          </w:p>
          <w:p w:rsidR="00BF653C" w:rsidP="009E664B" w:rsidRDefault="00BF653C" w14:paraId="0112A3E8" w14:textId="77777777">
            <w:r>
              <w:t xml:space="preserve">Epoprostenol Sodium Monograph </w:t>
            </w:r>
            <w:hyperlink w:history="1" r:id="rId29">
              <w:r w:rsidRPr="00F725FC">
                <w:rPr>
                  <w:rStyle w:val="Hyperlink"/>
                </w:rPr>
                <w:t>https://aidh.hcn.com.au/browse/e/epoprostenol_sodium</w:t>
              </w:r>
            </w:hyperlink>
          </w:p>
          <w:p w:rsidR="00BF653C" w:rsidP="001B0E05" w:rsidRDefault="00BF653C" w14:paraId="4326A9A9" w14:textId="77777777">
            <w:pPr>
              <w:pStyle w:val="ListParagraph"/>
              <w:numPr>
                <w:ilvl w:val="0"/>
                <w:numId w:val="87"/>
              </w:numPr>
            </w:pPr>
            <w:r>
              <w:t>National Institute for Health and Care Excellence, Pulmonary</w:t>
            </w:r>
          </w:p>
          <w:p w:rsidR="00BF653C" w:rsidP="009E664B" w:rsidRDefault="00BF653C" w14:paraId="3D47A2F2" w14:textId="77777777">
            <w:r>
              <w:t xml:space="preserve">Hypertension in Neonates: Sildenafil, Evidence Summary, March 2016 </w:t>
            </w:r>
            <w:hyperlink w:history="1" r:id="rId30">
              <w:r w:rsidRPr="00F725FC">
                <w:rPr>
                  <w:rStyle w:val="Hyperlink"/>
                </w:rPr>
                <w:t>https://www.nice.org.uk/advice/esuom51/chapter/Key-points-from-the-evidence</w:t>
              </w:r>
            </w:hyperlink>
          </w:p>
          <w:p w:rsidR="00BF653C" w:rsidP="001B0E05" w:rsidRDefault="00BF653C" w14:paraId="0042E819" w14:textId="77777777">
            <w:pPr>
              <w:pStyle w:val="ListParagraph"/>
              <w:numPr>
                <w:ilvl w:val="0"/>
                <w:numId w:val="87"/>
              </w:numPr>
            </w:pPr>
            <w:r>
              <w:t xml:space="preserve">AMH Children’s Dosing Companion, Epoprostenol July 2020 </w:t>
            </w:r>
          </w:p>
          <w:p w:rsidR="00BF653C" w:rsidP="009E664B" w:rsidRDefault="006B3E26" w14:paraId="21CEB3D1" w14:textId="77777777">
            <w:hyperlink w:history="1" r:id="rId31">
              <w:r w:rsidRPr="00F725FC" w:rsidR="00BF653C">
                <w:rPr>
                  <w:rStyle w:val="Hyperlink"/>
                </w:rPr>
                <w:t>https://childrens.amh.net.au/monographs/epoprostenol</w:t>
              </w:r>
            </w:hyperlink>
          </w:p>
          <w:p w:rsidR="00BF653C" w:rsidP="001B0E05" w:rsidRDefault="00BF653C" w14:paraId="11D51D44" w14:textId="77777777">
            <w:pPr>
              <w:pStyle w:val="ListParagraph"/>
              <w:numPr>
                <w:ilvl w:val="0"/>
                <w:numId w:val="87"/>
              </w:numPr>
            </w:pPr>
            <w:r>
              <w:t xml:space="preserve">Australian Product Information Flolan (epoprostenol) powder </w:t>
            </w:r>
          </w:p>
          <w:p w:rsidR="00BF653C" w:rsidP="009E664B" w:rsidRDefault="00BF653C" w14:paraId="37D06E61" w14:textId="77777777">
            <w:pPr>
              <w:rPr>
                <w:rStyle w:val="Hyperlink"/>
              </w:rPr>
            </w:pPr>
            <w:r>
              <w:t xml:space="preserve">for injection, GSK 2018 </w:t>
            </w:r>
            <w:hyperlink w:history="1" r:id="rId32">
              <w:r w:rsidRPr="00F725FC">
                <w:rPr>
                  <w:rStyle w:val="Hyperlink"/>
                </w:rPr>
                <w:t>https://au.gsk.com/media/383858/flolan_injection_pi_011_approved.pdf</w:t>
              </w:r>
            </w:hyperlink>
          </w:p>
          <w:p w:rsidRPr="00E25790" w:rsidR="00BF653C" w:rsidP="009E664B" w:rsidRDefault="00BF653C" w14:paraId="52274D50" w14:textId="77777777">
            <w:r w:rsidRPr="001460B9">
              <w:rPr>
                <w:rStyle w:val="Hyperlink"/>
                <w:color w:val="auto"/>
                <w:u w:val="none"/>
              </w:rPr>
              <w:t xml:space="preserve">5.Ainsworth, S; </w:t>
            </w:r>
            <w:r w:rsidRPr="001460B9">
              <w:rPr>
                <w:rStyle w:val="Hyperlink"/>
                <w:i/>
                <w:iCs/>
                <w:color w:val="auto"/>
                <w:u w:val="none"/>
              </w:rPr>
              <w:t xml:space="preserve">Neonatal Formulary </w:t>
            </w:r>
            <w:r w:rsidRPr="001460B9">
              <w:rPr>
                <w:rStyle w:val="Hyperlink"/>
                <w:color w:val="auto"/>
                <w:u w:val="none"/>
              </w:rPr>
              <w:t>8</w:t>
            </w:r>
            <w:r w:rsidRPr="001460B9">
              <w:rPr>
                <w:rStyle w:val="Hyperlink"/>
                <w:color w:val="auto"/>
                <w:u w:val="none"/>
                <w:vertAlign w:val="superscript"/>
              </w:rPr>
              <w:t>th</w:t>
            </w:r>
            <w:r w:rsidRPr="001460B9">
              <w:rPr>
                <w:rStyle w:val="Hyperlink"/>
                <w:color w:val="auto"/>
                <w:u w:val="none"/>
              </w:rPr>
              <w:t xml:space="preserve"> ed. 2020, Oxford University Press</w:t>
            </w:r>
          </w:p>
        </w:tc>
      </w:tr>
    </w:tbl>
    <w:p w:rsidRPr="00E25790" w:rsidR="00BF653C" w:rsidP="006F0321" w:rsidRDefault="00BF653C" w14:paraId="3F472ACA"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8C45F8" w:rsidTr="00C34CE8" w14:paraId="15083DCF"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73DFE91B" w14:textId="5182760F">
            <w:pPr>
              <w:spacing w:line="252" w:lineRule="auto"/>
              <w:rPr>
                <w:sz w:val="22"/>
                <w:lang w:val="en-AU"/>
              </w:rPr>
            </w:pPr>
            <w:r>
              <w:t>Original version Date: 9/1/2014</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6FFE9788" w14:textId="47781C55">
            <w:pPr>
              <w:spacing w:line="252" w:lineRule="auto"/>
            </w:pPr>
            <w:r>
              <w:t xml:space="preserve">Author: </w:t>
            </w:r>
            <w:r w:rsidR="00E95E45">
              <w:t>AK, JD</w:t>
            </w:r>
          </w:p>
        </w:tc>
      </w:tr>
      <w:tr w:rsidR="008C45F8" w:rsidTr="00C34CE8" w14:paraId="164FB7EF"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7837FC59" w14:textId="08973AE5">
            <w:pPr>
              <w:spacing w:line="252" w:lineRule="auto"/>
            </w:pPr>
            <w:r>
              <w:t>Current Version number:  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16D8CD7B" w14:textId="6ED27E47">
            <w:pPr>
              <w:spacing w:line="252" w:lineRule="auto"/>
            </w:pPr>
            <w:r>
              <w:t>Current Version Date:  29/10/2020</w:t>
            </w:r>
          </w:p>
        </w:tc>
      </w:tr>
      <w:tr w:rsidR="008C45F8" w:rsidTr="00C34CE8" w14:paraId="38369944"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0B5013E9" w14:textId="77777777">
            <w:pPr>
              <w:spacing w:line="252" w:lineRule="auto"/>
            </w:pPr>
            <w:r>
              <w:t>Risk Rating: Medium</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1A187B15" w14:textId="7FE1CFA0">
            <w:pPr>
              <w:spacing w:line="252" w:lineRule="auto"/>
            </w:pPr>
            <w:r>
              <w:t>Due for Review:  29/10</w:t>
            </w:r>
            <w:r w:rsidR="009444E2">
              <w:t>/2025</w:t>
            </w:r>
          </w:p>
        </w:tc>
      </w:tr>
      <w:tr w:rsidR="008C45F8" w:rsidTr="00C34CE8" w14:paraId="6F17BA8F"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21A287DE" w14:textId="77777777">
            <w:pPr>
              <w:spacing w:line="252" w:lineRule="auto"/>
            </w:pPr>
            <w:r>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8C45F8" w:rsidP="009E664B" w:rsidRDefault="008C45F8" w14:paraId="73431208" w14:textId="67C66871">
            <w:pPr>
              <w:spacing w:line="252" w:lineRule="auto"/>
            </w:pPr>
            <w:r>
              <w:t xml:space="preserve">Approval Date: </w:t>
            </w:r>
            <w:r w:rsidR="00260BC8">
              <w:t>APRIL 2021</w:t>
            </w:r>
          </w:p>
        </w:tc>
      </w:tr>
    </w:tbl>
    <w:p w:rsidR="00115F48" w:rsidP="006F0321" w:rsidRDefault="00115F48" w14:paraId="79D900C8" w14:textId="77777777"/>
    <w:p w:rsidR="00C34CE8" w:rsidP="006F0321" w:rsidRDefault="00C34CE8" w14:paraId="178CD10B" w14:textId="77777777"/>
    <w:tbl>
      <w:tblPr>
        <w:tblW w:w="9049" w:type="dxa"/>
        <w:tblLayout w:type="fixed"/>
        <w:tblLook w:val="0000" w:firstRow="0" w:lastRow="0" w:firstColumn="0" w:lastColumn="0" w:noHBand="0" w:noVBand="0"/>
      </w:tblPr>
      <w:tblGrid>
        <w:gridCol w:w="4153"/>
        <w:gridCol w:w="4896"/>
      </w:tblGrid>
      <w:tr w:rsidRPr="00E25790" w:rsidR="009B1D93" w:rsidTr="0059793A" w14:paraId="68304CD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9B1D93" w:rsidP="00D03862" w:rsidRDefault="009B1D93" w14:paraId="01CE7377" w14:textId="7562E5CB">
            <w:pPr>
              <w:pStyle w:val="Heading1"/>
            </w:pPr>
            <w:bookmarkStart w:name="_Toc75339966" w:id="215"/>
            <w:r>
              <w:lastRenderedPageBreak/>
              <w:t>Erythromycin</w:t>
            </w:r>
            <w:bookmarkEnd w:id="215"/>
            <w:r w:rsidRPr="00E25790">
              <w:fldChar w:fldCharType="begin"/>
            </w:r>
            <w:r w:rsidRPr="00E25790">
              <w:instrText>tc "Epoprostenol" \l 0</w:instrText>
            </w:r>
            <w:r w:rsidRPr="00E25790">
              <w:fldChar w:fldCharType="end"/>
            </w:r>
          </w:p>
        </w:tc>
      </w:tr>
      <w:tr w:rsidRPr="00E25790" w:rsidR="009B1D93" w:rsidTr="0059793A" w14:paraId="51B1C2B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9B1D93" w:rsidP="0059793A" w:rsidRDefault="009B1D93" w14:paraId="20016958" w14:textId="3159DEC9">
            <w:r w:rsidRPr="00E25790">
              <w:t xml:space="preserve">Revision Date : </w:t>
            </w:r>
            <w:r>
              <w:t>15/12/2020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9B1D93" w:rsidP="0059793A" w:rsidRDefault="009B1D93" w14:paraId="71332224" w14:textId="13363F5D">
            <w:r w:rsidRPr="00E25790">
              <w:t xml:space="preserve">Approved : </w:t>
            </w:r>
            <w:r>
              <w:t>TC, KOH</w:t>
            </w:r>
          </w:p>
        </w:tc>
      </w:tr>
    </w:tbl>
    <w:p w:rsidRPr="00E25790" w:rsidR="00C34CE8" w:rsidP="006F0321" w:rsidRDefault="00C34CE8" w14:paraId="0B86A62C" w14:textId="77777777"/>
    <w:tbl>
      <w:tblPr>
        <w:tblW w:w="10632"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5"/>
        <w:gridCol w:w="8647"/>
      </w:tblGrid>
      <w:tr w:rsidRPr="0053172C" w:rsidR="00273A16" w:rsidTr="00747763" w14:paraId="3D707AA5" w14:textId="77777777">
        <w:trPr>
          <w:trHeight w:val="248"/>
        </w:trPr>
        <w:tc>
          <w:tcPr>
            <w:tcW w:w="1985" w:type="dxa"/>
          </w:tcPr>
          <w:p w:rsidRPr="0053172C" w:rsidR="00A62B43" w:rsidP="0010214E" w:rsidRDefault="00A62B43" w14:paraId="50751896" w14:textId="77777777">
            <w:pPr>
              <w:pStyle w:val="BodyText"/>
              <w:tabs>
                <w:tab w:val="center" w:pos="1476"/>
              </w:tabs>
              <w:rPr>
                <w:rFonts w:cs="Arial" w:asciiTheme="minorHAnsi" w:hAnsiTheme="minorHAnsi"/>
                <w:b/>
                <w:sz w:val="20"/>
              </w:rPr>
            </w:pPr>
            <w:r>
              <w:rPr>
                <w:rFonts w:cs="Arial" w:asciiTheme="minorHAnsi" w:hAnsiTheme="minorHAnsi"/>
                <w:b/>
                <w:sz w:val="20"/>
              </w:rPr>
              <w:t>Alert</w:t>
            </w:r>
          </w:p>
        </w:tc>
        <w:tc>
          <w:tcPr>
            <w:tcW w:w="8647" w:type="dxa"/>
          </w:tcPr>
          <w:p w:rsidRPr="0053172C" w:rsidR="00A62B43" w:rsidP="0010214E" w:rsidRDefault="00A62B43" w14:paraId="373D158C" w14:textId="77777777">
            <w:pPr>
              <w:pStyle w:val="BodyText"/>
              <w:tabs>
                <w:tab w:val="left" w:pos="5108"/>
              </w:tabs>
              <w:rPr>
                <w:rFonts w:cs="Arial" w:asciiTheme="minorHAnsi" w:hAnsiTheme="minorHAnsi"/>
                <w:sz w:val="20"/>
              </w:rPr>
            </w:pPr>
            <w:r w:rsidRPr="000440F3">
              <w:rPr>
                <w:rFonts w:cs="Arial" w:asciiTheme="minorHAnsi" w:hAnsiTheme="minorHAnsi"/>
                <w:sz w:val="20"/>
              </w:rPr>
              <w:t xml:space="preserve">Risk of </w:t>
            </w:r>
            <w:r>
              <w:rPr>
                <w:rFonts w:cs="Arial" w:asciiTheme="minorHAnsi" w:hAnsiTheme="minorHAnsi"/>
                <w:sz w:val="20"/>
              </w:rPr>
              <w:t xml:space="preserve">infantile </w:t>
            </w:r>
            <w:r w:rsidRPr="000440F3">
              <w:rPr>
                <w:rFonts w:cs="Arial" w:asciiTheme="minorHAnsi" w:hAnsiTheme="minorHAnsi"/>
                <w:sz w:val="20"/>
              </w:rPr>
              <w:t xml:space="preserve">hypertrophic pyloric stenosis is </w:t>
            </w:r>
            <w:r>
              <w:rPr>
                <w:rFonts w:cs="Arial" w:asciiTheme="minorHAnsi" w:hAnsiTheme="minorHAnsi"/>
                <w:sz w:val="20"/>
              </w:rPr>
              <w:t>significantly</w:t>
            </w:r>
            <w:r w:rsidRPr="000440F3">
              <w:rPr>
                <w:rFonts w:cs="Arial" w:asciiTheme="minorHAnsi" w:hAnsiTheme="minorHAnsi"/>
                <w:sz w:val="20"/>
              </w:rPr>
              <w:t xml:space="preserve"> higher in </w:t>
            </w:r>
            <w:r>
              <w:rPr>
                <w:rFonts w:cs="Arial" w:asciiTheme="minorHAnsi" w:hAnsiTheme="minorHAnsi"/>
                <w:sz w:val="20"/>
              </w:rPr>
              <w:t>neonates</w:t>
            </w:r>
            <w:r w:rsidRPr="000440F3">
              <w:rPr>
                <w:rFonts w:cs="Arial" w:asciiTheme="minorHAnsi" w:hAnsiTheme="minorHAnsi"/>
                <w:sz w:val="20"/>
              </w:rPr>
              <w:t xml:space="preserve"> treated </w:t>
            </w:r>
            <w:r>
              <w:rPr>
                <w:rFonts w:cs="Arial" w:asciiTheme="minorHAnsi" w:hAnsiTheme="minorHAnsi"/>
                <w:sz w:val="20"/>
              </w:rPr>
              <w:t>with erythromycin.</w:t>
            </w:r>
            <w:r w:rsidRPr="003758EA">
              <w:rPr>
                <w:rFonts w:cs="Arial" w:asciiTheme="minorHAnsi" w:hAnsiTheme="minorHAnsi"/>
                <w:sz w:val="20"/>
                <w:vertAlign w:val="superscript"/>
              </w:rPr>
              <w:t>16</w:t>
            </w:r>
          </w:p>
        </w:tc>
      </w:tr>
      <w:tr w:rsidRPr="0053172C" w:rsidR="00273A16" w:rsidTr="00747763" w14:paraId="10C880EC" w14:textId="77777777">
        <w:trPr>
          <w:trHeight w:val="296"/>
        </w:trPr>
        <w:tc>
          <w:tcPr>
            <w:tcW w:w="1985" w:type="dxa"/>
          </w:tcPr>
          <w:p w:rsidRPr="00B4754A" w:rsidR="00A62B43" w:rsidP="0010214E" w:rsidRDefault="00A62B43" w14:paraId="1F1DDD2A" w14:textId="77777777">
            <w:pPr>
              <w:pStyle w:val="BodyText"/>
              <w:rPr>
                <w:rFonts w:cs="Arial" w:asciiTheme="minorHAnsi" w:hAnsiTheme="minorHAnsi"/>
                <w:b/>
                <w:bCs/>
                <w:sz w:val="20"/>
              </w:rPr>
            </w:pPr>
            <w:r w:rsidRPr="0053172C">
              <w:rPr>
                <w:rFonts w:cs="Arial" w:asciiTheme="minorHAnsi" w:hAnsiTheme="minorHAnsi"/>
                <w:b/>
                <w:bCs/>
                <w:sz w:val="20"/>
              </w:rPr>
              <w:t xml:space="preserve">Indication            </w:t>
            </w:r>
          </w:p>
        </w:tc>
        <w:tc>
          <w:tcPr>
            <w:tcW w:w="8647" w:type="dxa"/>
          </w:tcPr>
          <w:p w:rsidRPr="00B37DE7" w:rsidR="00A62B43" w:rsidP="001B0E05" w:rsidRDefault="00A62B43" w14:paraId="57BA6A33" w14:textId="77777777">
            <w:pPr>
              <w:pStyle w:val="ListParagraph"/>
              <w:numPr>
                <w:ilvl w:val="0"/>
                <w:numId w:val="57"/>
              </w:numPr>
              <w:rPr>
                <w:rFonts w:asciiTheme="minorHAnsi" w:hAnsiTheme="minorHAnsi"/>
                <w:sz w:val="20"/>
              </w:rPr>
            </w:pPr>
            <w:r w:rsidRPr="00B37DE7">
              <w:rPr>
                <w:rFonts w:asciiTheme="minorHAnsi" w:hAnsiTheme="minorHAnsi"/>
                <w:sz w:val="20"/>
              </w:rPr>
              <w:t xml:space="preserve">Pertussis </w:t>
            </w:r>
            <w:r>
              <w:rPr>
                <w:rFonts w:asciiTheme="minorHAnsi" w:hAnsiTheme="minorHAnsi"/>
                <w:sz w:val="20"/>
              </w:rPr>
              <w:t>–</w:t>
            </w:r>
            <w:r w:rsidRPr="00B37DE7">
              <w:rPr>
                <w:rFonts w:asciiTheme="minorHAnsi" w:hAnsiTheme="minorHAnsi"/>
                <w:sz w:val="20"/>
              </w:rPr>
              <w:t xml:space="preserve"> </w:t>
            </w:r>
            <w:r>
              <w:rPr>
                <w:rFonts w:asciiTheme="minorHAnsi" w:hAnsiTheme="minorHAnsi"/>
                <w:sz w:val="20"/>
              </w:rPr>
              <w:t>p</w:t>
            </w:r>
            <w:r w:rsidRPr="00B37DE7">
              <w:rPr>
                <w:rFonts w:asciiTheme="minorHAnsi" w:hAnsiTheme="minorHAnsi"/>
                <w:sz w:val="20"/>
              </w:rPr>
              <w:t>ost</w:t>
            </w:r>
            <w:r>
              <w:rPr>
                <w:rFonts w:asciiTheme="minorHAnsi" w:hAnsiTheme="minorHAnsi"/>
                <w:sz w:val="20"/>
              </w:rPr>
              <w:t>-</w:t>
            </w:r>
            <w:r w:rsidRPr="00B37DE7">
              <w:rPr>
                <w:rFonts w:asciiTheme="minorHAnsi" w:hAnsiTheme="minorHAnsi"/>
                <w:sz w:val="20"/>
              </w:rPr>
              <w:t>exposure prophylaxis and treatment</w:t>
            </w:r>
            <w:r>
              <w:rPr>
                <w:rFonts w:asciiTheme="minorHAnsi" w:hAnsiTheme="minorHAnsi"/>
                <w:sz w:val="20"/>
              </w:rPr>
              <w:t xml:space="preserve"> (a</w:t>
            </w:r>
            <w:r w:rsidRPr="00B37DE7">
              <w:rPr>
                <w:rFonts w:asciiTheme="minorHAnsi" w:hAnsiTheme="minorHAnsi"/>
                <w:sz w:val="20"/>
              </w:rPr>
              <w:t>zithromycin is recommended</w:t>
            </w:r>
            <w:r>
              <w:rPr>
                <w:rFonts w:asciiTheme="minorHAnsi" w:hAnsiTheme="minorHAnsi"/>
                <w:sz w:val="20"/>
              </w:rPr>
              <w:t>)</w:t>
            </w:r>
            <w:r w:rsidRPr="00B37DE7">
              <w:rPr>
                <w:rFonts w:asciiTheme="minorHAnsi" w:hAnsiTheme="minorHAnsi"/>
                <w:sz w:val="20"/>
              </w:rPr>
              <w:t xml:space="preserve">. </w:t>
            </w:r>
          </w:p>
          <w:p w:rsidRPr="00B37DE7" w:rsidR="00A62B43" w:rsidP="001B0E05" w:rsidRDefault="00A62B43" w14:paraId="25890D7B" w14:textId="77777777">
            <w:pPr>
              <w:pStyle w:val="ListParagraph"/>
              <w:numPr>
                <w:ilvl w:val="0"/>
                <w:numId w:val="57"/>
              </w:numPr>
              <w:rPr>
                <w:rFonts w:asciiTheme="minorHAnsi" w:hAnsiTheme="minorHAnsi"/>
                <w:sz w:val="20"/>
              </w:rPr>
            </w:pPr>
            <w:r w:rsidRPr="00B37DE7">
              <w:rPr>
                <w:rFonts w:asciiTheme="minorHAnsi" w:hAnsiTheme="minorHAnsi"/>
                <w:sz w:val="20"/>
              </w:rPr>
              <w:t>Chlamydial conjunctivitis and pneumonia</w:t>
            </w:r>
          </w:p>
          <w:p w:rsidRPr="00B37DE7" w:rsidR="00A62B43" w:rsidP="001B0E05" w:rsidRDefault="00A62B43" w14:paraId="15D6F131" w14:textId="77777777">
            <w:pPr>
              <w:pStyle w:val="ListParagraph"/>
              <w:numPr>
                <w:ilvl w:val="0"/>
                <w:numId w:val="57"/>
              </w:numPr>
              <w:rPr>
                <w:rFonts w:asciiTheme="minorHAnsi" w:hAnsiTheme="minorHAnsi"/>
                <w:sz w:val="20"/>
              </w:rPr>
            </w:pPr>
            <w:r w:rsidRPr="00B37DE7">
              <w:rPr>
                <w:rFonts w:asciiTheme="minorHAnsi" w:hAnsiTheme="minorHAnsi"/>
                <w:sz w:val="20"/>
              </w:rPr>
              <w:t>Treatment of other susceptible bacterial infections in penicillin</w:t>
            </w:r>
            <w:r>
              <w:rPr>
                <w:rFonts w:asciiTheme="minorHAnsi" w:hAnsiTheme="minorHAnsi"/>
                <w:sz w:val="20"/>
              </w:rPr>
              <w:t>-</w:t>
            </w:r>
            <w:r w:rsidRPr="00B37DE7">
              <w:rPr>
                <w:rFonts w:asciiTheme="minorHAnsi" w:hAnsiTheme="minorHAnsi"/>
                <w:sz w:val="20"/>
              </w:rPr>
              <w:t>allergic infants</w:t>
            </w:r>
          </w:p>
          <w:p w:rsidRPr="00B37DE7" w:rsidR="00A62B43" w:rsidP="001B0E05" w:rsidRDefault="00A62B43" w14:paraId="71EF9F8B" w14:textId="77777777">
            <w:pPr>
              <w:pStyle w:val="ListParagraph"/>
              <w:numPr>
                <w:ilvl w:val="0"/>
                <w:numId w:val="57"/>
              </w:numPr>
              <w:rPr>
                <w:rFonts w:asciiTheme="minorHAnsi" w:hAnsiTheme="minorHAnsi"/>
                <w:sz w:val="20"/>
              </w:rPr>
            </w:pPr>
            <w:r w:rsidRPr="00B37DE7">
              <w:rPr>
                <w:rFonts w:asciiTheme="minorHAnsi" w:hAnsiTheme="minorHAnsi"/>
                <w:sz w:val="20"/>
              </w:rPr>
              <w:t xml:space="preserve">Prokinetic agent for </w:t>
            </w:r>
            <w:r>
              <w:rPr>
                <w:rFonts w:asciiTheme="minorHAnsi" w:hAnsiTheme="minorHAnsi"/>
                <w:sz w:val="20"/>
              </w:rPr>
              <w:t>g</w:t>
            </w:r>
            <w:r w:rsidRPr="00B37DE7">
              <w:rPr>
                <w:rFonts w:asciiTheme="minorHAnsi" w:hAnsiTheme="minorHAnsi"/>
                <w:sz w:val="20"/>
              </w:rPr>
              <w:t>astrointestinal dysmotility</w:t>
            </w:r>
            <w:r>
              <w:rPr>
                <w:rFonts w:asciiTheme="minorHAnsi" w:hAnsiTheme="minorHAnsi"/>
                <w:sz w:val="20"/>
              </w:rPr>
              <w:t xml:space="preserve"> (routine use not recommended)</w:t>
            </w:r>
          </w:p>
        </w:tc>
      </w:tr>
      <w:tr w:rsidRPr="0053172C" w:rsidR="00273A16" w:rsidTr="00747763" w14:paraId="45537C9B" w14:textId="77777777">
        <w:trPr>
          <w:trHeight w:val="472"/>
        </w:trPr>
        <w:tc>
          <w:tcPr>
            <w:tcW w:w="1985" w:type="dxa"/>
          </w:tcPr>
          <w:p w:rsidRPr="0053172C" w:rsidR="00A62B43" w:rsidP="0010214E" w:rsidRDefault="00A62B43" w14:paraId="7706A716" w14:textId="77777777">
            <w:pPr>
              <w:pStyle w:val="BodyText"/>
              <w:rPr>
                <w:rFonts w:cs="Arial" w:asciiTheme="minorHAnsi" w:hAnsiTheme="minorHAnsi"/>
                <w:b/>
                <w:bCs/>
                <w:sz w:val="20"/>
              </w:rPr>
            </w:pPr>
            <w:r w:rsidRPr="0053172C">
              <w:rPr>
                <w:rFonts w:cs="Arial" w:asciiTheme="minorHAnsi" w:hAnsiTheme="minorHAnsi"/>
                <w:b/>
                <w:bCs/>
                <w:sz w:val="20"/>
              </w:rPr>
              <w:t>Action</w:t>
            </w:r>
          </w:p>
        </w:tc>
        <w:tc>
          <w:tcPr>
            <w:tcW w:w="8647" w:type="dxa"/>
          </w:tcPr>
          <w:p w:rsidRPr="005E5152" w:rsidR="00A62B43" w:rsidP="0010214E" w:rsidRDefault="00A62B43" w14:paraId="5544F086" w14:textId="77777777">
            <w:pPr>
              <w:rPr>
                <w:rFonts w:cs="Arial" w:asciiTheme="minorHAnsi" w:hAnsiTheme="minorHAnsi"/>
                <w:sz w:val="20"/>
              </w:rPr>
            </w:pPr>
            <w:r>
              <w:rPr>
                <w:rFonts w:cs="Arial" w:asciiTheme="minorHAnsi" w:hAnsiTheme="minorHAnsi"/>
                <w:sz w:val="20"/>
              </w:rPr>
              <w:t>Inhibits</w:t>
            </w:r>
            <w:r w:rsidRPr="005E5152">
              <w:rPr>
                <w:rFonts w:cs="Arial" w:asciiTheme="minorHAnsi" w:hAnsiTheme="minorHAnsi"/>
                <w:sz w:val="20"/>
              </w:rPr>
              <w:t xml:space="preserve"> protein synthesis by attaching to the 50S subunit of the bacterial ribosome in susceptible organisms.</w:t>
            </w:r>
          </w:p>
          <w:p w:rsidRPr="005E5152" w:rsidR="00A62B43" w:rsidP="0010214E" w:rsidRDefault="00A62B43" w14:paraId="50CC367F" w14:textId="77777777">
            <w:pPr>
              <w:rPr>
                <w:rFonts w:cs="Arial" w:asciiTheme="minorHAnsi" w:hAnsiTheme="minorHAnsi"/>
                <w:sz w:val="20"/>
                <w:vertAlign w:val="superscript"/>
              </w:rPr>
            </w:pPr>
            <w:r w:rsidRPr="005E5152">
              <w:rPr>
                <w:rFonts w:cs="Arial" w:asciiTheme="minorHAnsi" w:hAnsiTheme="minorHAnsi"/>
                <w:sz w:val="20"/>
              </w:rPr>
              <w:t>Motilin receptor agonist</w:t>
            </w:r>
            <w:r>
              <w:rPr>
                <w:rFonts w:cs="Arial" w:asciiTheme="minorHAnsi" w:hAnsiTheme="minorHAnsi"/>
                <w:sz w:val="20"/>
              </w:rPr>
              <w:t>.</w:t>
            </w:r>
          </w:p>
        </w:tc>
      </w:tr>
      <w:tr w:rsidRPr="0053172C" w:rsidR="00273A16" w:rsidTr="00747763" w14:paraId="0B6DF25D" w14:textId="77777777">
        <w:trPr>
          <w:trHeight w:val="266"/>
        </w:trPr>
        <w:tc>
          <w:tcPr>
            <w:tcW w:w="1985" w:type="dxa"/>
          </w:tcPr>
          <w:p w:rsidRPr="0053172C" w:rsidR="00A62B43" w:rsidP="0010214E" w:rsidRDefault="00A62B43" w14:paraId="2EE01150" w14:textId="77777777">
            <w:pPr>
              <w:pStyle w:val="BodyText"/>
              <w:rPr>
                <w:rFonts w:cs="Arial" w:asciiTheme="minorHAnsi" w:hAnsiTheme="minorHAnsi"/>
                <w:sz w:val="20"/>
              </w:rPr>
            </w:pPr>
            <w:r w:rsidRPr="0053172C">
              <w:rPr>
                <w:rFonts w:cs="Arial" w:asciiTheme="minorHAnsi" w:hAnsiTheme="minorHAnsi"/>
                <w:b/>
                <w:bCs/>
                <w:sz w:val="20"/>
              </w:rPr>
              <w:t xml:space="preserve">Drug Type                                   </w:t>
            </w:r>
          </w:p>
        </w:tc>
        <w:tc>
          <w:tcPr>
            <w:tcW w:w="8647" w:type="dxa"/>
          </w:tcPr>
          <w:p w:rsidRPr="0053172C" w:rsidR="00A62B43" w:rsidP="0010214E" w:rsidRDefault="00A62B43" w14:paraId="6504FD15" w14:textId="77777777">
            <w:pPr>
              <w:pStyle w:val="BodyText"/>
              <w:rPr>
                <w:rFonts w:cs="Arial" w:asciiTheme="minorHAnsi" w:hAnsiTheme="minorHAnsi"/>
                <w:sz w:val="20"/>
              </w:rPr>
            </w:pPr>
            <w:r w:rsidRPr="005E5152">
              <w:rPr>
                <w:rFonts w:asciiTheme="minorHAnsi" w:hAnsiTheme="minorHAnsi"/>
                <w:sz w:val="20"/>
              </w:rPr>
              <w:t>Macrolide antibiotic</w:t>
            </w:r>
            <w:r>
              <w:rPr>
                <w:rFonts w:asciiTheme="minorHAnsi" w:hAnsiTheme="minorHAnsi"/>
                <w:sz w:val="20"/>
              </w:rPr>
              <w:t>.</w:t>
            </w:r>
          </w:p>
        </w:tc>
      </w:tr>
      <w:tr w:rsidRPr="0053172C" w:rsidR="00273A16" w:rsidTr="00747763" w14:paraId="5B31E0B5" w14:textId="77777777">
        <w:trPr>
          <w:trHeight w:val="217"/>
        </w:trPr>
        <w:tc>
          <w:tcPr>
            <w:tcW w:w="1985" w:type="dxa"/>
          </w:tcPr>
          <w:p w:rsidRPr="0053172C" w:rsidR="00A62B43" w:rsidP="0010214E" w:rsidRDefault="00A62B43" w14:paraId="13F78433" w14:textId="77777777">
            <w:pPr>
              <w:pStyle w:val="BodyText"/>
              <w:rPr>
                <w:rFonts w:cs="Arial" w:asciiTheme="minorHAnsi" w:hAnsiTheme="minorHAnsi"/>
                <w:b/>
                <w:bCs/>
                <w:sz w:val="20"/>
              </w:rPr>
            </w:pPr>
            <w:r w:rsidRPr="0053172C">
              <w:rPr>
                <w:rFonts w:cs="Arial" w:asciiTheme="minorHAnsi" w:hAnsiTheme="minorHAnsi"/>
                <w:b/>
                <w:bCs/>
                <w:sz w:val="20"/>
              </w:rPr>
              <w:t xml:space="preserve">Trade Name             </w:t>
            </w:r>
          </w:p>
        </w:tc>
        <w:tc>
          <w:tcPr>
            <w:tcW w:w="8647" w:type="dxa"/>
          </w:tcPr>
          <w:p w:rsidRPr="0053172C" w:rsidR="00A62B43" w:rsidP="0010214E" w:rsidRDefault="00A62B43" w14:paraId="199744AA" w14:textId="77777777">
            <w:pPr>
              <w:pStyle w:val="BodyText"/>
              <w:rPr>
                <w:rFonts w:cs="Arial" w:asciiTheme="minorHAnsi" w:hAnsiTheme="minorHAnsi"/>
                <w:sz w:val="20"/>
              </w:rPr>
            </w:pPr>
            <w:r w:rsidRPr="005E5152">
              <w:rPr>
                <w:rFonts w:cs="Arial" w:asciiTheme="minorHAnsi" w:hAnsiTheme="minorHAnsi"/>
                <w:sz w:val="20"/>
              </w:rPr>
              <w:t>E-Mycin Syrup, EES Granules</w:t>
            </w:r>
          </w:p>
        </w:tc>
      </w:tr>
      <w:tr w:rsidRPr="0053172C" w:rsidR="00273A16" w:rsidTr="00747763" w14:paraId="5CC6712C" w14:textId="77777777">
        <w:trPr>
          <w:trHeight w:val="70"/>
        </w:trPr>
        <w:tc>
          <w:tcPr>
            <w:tcW w:w="1985" w:type="dxa"/>
          </w:tcPr>
          <w:p w:rsidRPr="0053172C" w:rsidR="00A62B43" w:rsidP="0010214E" w:rsidRDefault="00A62B43" w14:paraId="23866D60" w14:textId="77777777">
            <w:pPr>
              <w:pStyle w:val="BodyText"/>
              <w:rPr>
                <w:rFonts w:cs="Arial" w:asciiTheme="minorHAnsi" w:hAnsiTheme="minorHAnsi"/>
                <w:b/>
                <w:bCs/>
                <w:sz w:val="20"/>
              </w:rPr>
            </w:pPr>
            <w:r w:rsidRPr="0053172C">
              <w:rPr>
                <w:rFonts w:cs="Arial" w:asciiTheme="minorHAnsi" w:hAnsiTheme="minorHAnsi"/>
                <w:b/>
                <w:bCs/>
                <w:sz w:val="20"/>
              </w:rPr>
              <w:t xml:space="preserve">Presentation </w:t>
            </w:r>
          </w:p>
        </w:tc>
        <w:tc>
          <w:tcPr>
            <w:tcW w:w="8647" w:type="dxa"/>
          </w:tcPr>
          <w:p w:rsidRPr="0007609B" w:rsidR="00A62B43" w:rsidP="0010214E" w:rsidRDefault="00A62B43" w14:paraId="771ECBBF" w14:textId="77777777">
            <w:pPr>
              <w:pStyle w:val="BodyText"/>
              <w:rPr>
                <w:rFonts w:cs="Arial" w:asciiTheme="minorHAnsi" w:hAnsiTheme="minorHAnsi"/>
                <w:sz w:val="20"/>
              </w:rPr>
            </w:pPr>
            <w:r w:rsidRPr="0007609B">
              <w:rPr>
                <w:rFonts w:cs="Arial" w:asciiTheme="minorHAnsi" w:hAnsiTheme="minorHAnsi"/>
                <w:sz w:val="20"/>
              </w:rPr>
              <w:t>200 mg/5 mL suspension (granules for reconstitution), 100</w:t>
            </w:r>
            <w:r>
              <w:rPr>
                <w:rFonts w:cs="Arial" w:asciiTheme="minorHAnsi" w:hAnsiTheme="minorHAnsi"/>
                <w:sz w:val="20"/>
              </w:rPr>
              <w:t> </w:t>
            </w:r>
            <w:r w:rsidRPr="0007609B">
              <w:rPr>
                <w:rFonts w:cs="Arial" w:asciiTheme="minorHAnsi" w:hAnsiTheme="minorHAnsi"/>
                <w:sz w:val="20"/>
              </w:rPr>
              <w:t xml:space="preserve">mL  </w:t>
            </w:r>
          </w:p>
          <w:p w:rsidRPr="0053172C" w:rsidR="00A62B43" w:rsidP="0010214E" w:rsidRDefault="00A62B43" w14:paraId="737B505A" w14:textId="77777777">
            <w:pPr>
              <w:pStyle w:val="BodyText"/>
              <w:rPr>
                <w:rFonts w:cs="Arial" w:asciiTheme="minorHAnsi" w:hAnsiTheme="minorHAnsi"/>
                <w:sz w:val="20"/>
              </w:rPr>
            </w:pPr>
            <w:r w:rsidRPr="0007609B">
              <w:rPr>
                <w:rFonts w:cs="Arial" w:asciiTheme="minorHAnsi" w:hAnsiTheme="minorHAnsi"/>
                <w:sz w:val="20"/>
              </w:rPr>
              <w:t>400 mg/5 mL suspension (granules for reconstitution), 100 mL</w:t>
            </w:r>
          </w:p>
        </w:tc>
      </w:tr>
      <w:tr w:rsidRPr="00FA71EE" w:rsidR="00273A16" w:rsidTr="00747763" w14:paraId="74C3EBEA" w14:textId="77777777">
        <w:trPr>
          <w:trHeight w:val="587"/>
        </w:trPr>
        <w:tc>
          <w:tcPr>
            <w:tcW w:w="1985" w:type="dxa"/>
          </w:tcPr>
          <w:p w:rsidRPr="0053172C" w:rsidR="00A62B43" w:rsidP="0010214E" w:rsidRDefault="00A62B43" w14:paraId="43F09527" w14:textId="77777777">
            <w:pPr>
              <w:pStyle w:val="BodyText"/>
              <w:rPr>
                <w:rFonts w:cs="Arial" w:asciiTheme="minorHAnsi" w:hAnsiTheme="minorHAnsi"/>
                <w:b/>
                <w:bCs/>
                <w:sz w:val="20"/>
              </w:rPr>
            </w:pPr>
            <w:r w:rsidRPr="0053172C">
              <w:rPr>
                <w:rFonts w:cs="Arial" w:asciiTheme="minorHAnsi" w:hAnsiTheme="minorHAnsi"/>
                <w:b/>
                <w:bCs/>
                <w:sz w:val="20"/>
              </w:rPr>
              <w:t xml:space="preserve">Dosage / Interval                           </w:t>
            </w:r>
          </w:p>
          <w:p w:rsidRPr="0053172C" w:rsidR="00A62B43" w:rsidP="0010214E" w:rsidRDefault="00A62B43" w14:paraId="7F96CFC8" w14:textId="77777777">
            <w:pPr>
              <w:pStyle w:val="BodyText"/>
              <w:rPr>
                <w:rFonts w:cs="Arial" w:asciiTheme="minorHAnsi" w:hAnsiTheme="minorHAnsi"/>
                <w:sz w:val="20"/>
              </w:rPr>
            </w:pPr>
          </w:p>
        </w:tc>
        <w:tc>
          <w:tcPr>
            <w:tcW w:w="8647" w:type="dxa"/>
          </w:tcPr>
          <w:p w:rsidRPr="003A1035" w:rsidR="00A62B43" w:rsidP="0010214E" w:rsidRDefault="00A62B43" w14:paraId="57AE2AF5" w14:textId="77777777">
            <w:pPr>
              <w:pStyle w:val="BodyText"/>
              <w:rPr>
                <w:rFonts w:asciiTheme="minorHAnsi" w:hAnsiTheme="minorHAnsi"/>
                <w:sz w:val="20"/>
                <w:u w:val="single"/>
              </w:rPr>
            </w:pPr>
            <w:r>
              <w:rPr>
                <w:rFonts w:asciiTheme="minorHAnsi" w:hAnsiTheme="minorHAnsi"/>
                <w:sz w:val="20"/>
                <w:u w:val="single"/>
              </w:rPr>
              <w:t>Pertussis – post-exposure prophylaxis and treatment</w:t>
            </w:r>
            <w:r w:rsidRPr="00F47ECF">
              <w:rPr>
                <w:rFonts w:asciiTheme="minorHAnsi" w:hAnsiTheme="minorHAnsi"/>
                <w:sz w:val="20"/>
                <w:u w:val="single"/>
                <w:vertAlign w:val="superscript"/>
              </w:rPr>
              <w:t>1</w:t>
            </w:r>
            <w:r>
              <w:rPr>
                <w:rFonts w:asciiTheme="minorHAnsi" w:hAnsiTheme="minorHAnsi"/>
                <w:sz w:val="20"/>
                <w:u w:val="single"/>
              </w:rPr>
              <w:t xml:space="preserve"> </w:t>
            </w:r>
            <w:r w:rsidRPr="003A1035">
              <w:rPr>
                <w:rFonts w:asciiTheme="minorHAnsi" w:hAnsiTheme="minorHAnsi"/>
                <w:b/>
                <w:sz w:val="20"/>
                <w:u w:val="single"/>
              </w:rPr>
              <w:t>(</w:t>
            </w:r>
            <w:r>
              <w:rPr>
                <w:rFonts w:asciiTheme="minorHAnsi" w:hAnsiTheme="minorHAnsi"/>
                <w:b/>
                <w:sz w:val="20"/>
                <w:u w:val="single"/>
              </w:rPr>
              <w:t>a</w:t>
            </w:r>
            <w:r w:rsidRPr="005A2687">
              <w:rPr>
                <w:rFonts w:asciiTheme="minorHAnsi" w:hAnsiTheme="minorHAnsi"/>
                <w:b/>
                <w:sz w:val="20"/>
                <w:u w:val="single"/>
              </w:rPr>
              <w:t>zithromycin</w:t>
            </w:r>
            <w:r>
              <w:rPr>
                <w:rFonts w:asciiTheme="minorHAnsi" w:hAnsiTheme="minorHAnsi"/>
                <w:b/>
                <w:sz w:val="20"/>
                <w:u w:val="single"/>
              </w:rPr>
              <w:t xml:space="preserve"> is</w:t>
            </w:r>
            <w:r w:rsidRPr="005A2687">
              <w:rPr>
                <w:rFonts w:asciiTheme="minorHAnsi" w:hAnsiTheme="minorHAnsi"/>
                <w:b/>
                <w:sz w:val="20"/>
                <w:u w:val="single"/>
              </w:rPr>
              <w:t xml:space="preserve"> </w:t>
            </w:r>
            <w:r>
              <w:rPr>
                <w:rFonts w:asciiTheme="minorHAnsi" w:hAnsiTheme="minorHAnsi"/>
                <w:b/>
                <w:sz w:val="20"/>
                <w:u w:val="single"/>
              </w:rPr>
              <w:t xml:space="preserve">recommended. </w:t>
            </w:r>
            <w:r w:rsidRPr="005A2687">
              <w:rPr>
                <w:rFonts w:asciiTheme="minorHAnsi" w:hAnsiTheme="minorHAnsi"/>
                <w:b/>
                <w:sz w:val="20"/>
                <w:u w:val="single"/>
              </w:rPr>
              <w:t xml:space="preserve">Use </w:t>
            </w:r>
            <w:r>
              <w:rPr>
                <w:rFonts w:asciiTheme="minorHAnsi" w:hAnsiTheme="minorHAnsi"/>
                <w:b/>
                <w:sz w:val="20"/>
                <w:u w:val="single"/>
              </w:rPr>
              <w:t>e</w:t>
            </w:r>
            <w:r w:rsidRPr="005A2687">
              <w:rPr>
                <w:rFonts w:asciiTheme="minorHAnsi" w:hAnsiTheme="minorHAnsi"/>
                <w:b/>
                <w:sz w:val="20"/>
                <w:u w:val="single"/>
              </w:rPr>
              <w:t xml:space="preserve">rythromycin </w:t>
            </w:r>
            <w:r>
              <w:rPr>
                <w:rFonts w:asciiTheme="minorHAnsi" w:hAnsiTheme="minorHAnsi"/>
                <w:b/>
                <w:sz w:val="20"/>
                <w:u w:val="single"/>
              </w:rPr>
              <w:t>o</w:t>
            </w:r>
            <w:r w:rsidRPr="003A1035">
              <w:rPr>
                <w:rFonts w:asciiTheme="minorHAnsi" w:hAnsiTheme="minorHAnsi"/>
                <w:b/>
                <w:sz w:val="20"/>
                <w:u w:val="single"/>
              </w:rPr>
              <w:t>nly if azithromycin is not available)</w:t>
            </w:r>
            <w:r>
              <w:rPr>
                <w:rFonts w:asciiTheme="minorHAnsi" w:hAnsiTheme="minorHAnsi"/>
                <w:b/>
                <w:sz w:val="20"/>
                <w:u w:val="single"/>
              </w:rPr>
              <w:t>.</w:t>
            </w:r>
          </w:p>
          <w:p w:rsidRPr="005E5152" w:rsidR="00A62B43" w:rsidP="0010214E" w:rsidRDefault="00A62B43" w14:paraId="4FB2EA38" w14:textId="77777777">
            <w:pPr>
              <w:pStyle w:val="BodyText"/>
              <w:ind w:left="720"/>
              <w:rPr>
                <w:rFonts w:asciiTheme="minorHAnsi" w:hAnsiTheme="minorHAnsi"/>
                <w:sz w:val="20"/>
              </w:rPr>
            </w:pPr>
            <w:r>
              <w:rPr>
                <w:rFonts w:asciiTheme="minorHAnsi" w:hAnsiTheme="minorHAnsi"/>
                <w:sz w:val="20"/>
              </w:rPr>
              <w:t>10 mg/kg/dose PO 6-hourly</w:t>
            </w:r>
            <w:r w:rsidRPr="005E5152">
              <w:rPr>
                <w:rFonts w:asciiTheme="minorHAnsi" w:hAnsiTheme="minorHAnsi"/>
                <w:sz w:val="20"/>
              </w:rPr>
              <w:t xml:space="preserve"> for 5 to 14 days; 14 days preferred to avoid risk </w:t>
            </w:r>
            <w:r>
              <w:rPr>
                <w:rFonts w:asciiTheme="minorHAnsi" w:hAnsiTheme="minorHAnsi"/>
                <w:sz w:val="20"/>
              </w:rPr>
              <w:t>of</w:t>
            </w:r>
            <w:r w:rsidRPr="005E5152">
              <w:rPr>
                <w:rFonts w:asciiTheme="minorHAnsi" w:hAnsiTheme="minorHAnsi"/>
                <w:sz w:val="20"/>
              </w:rPr>
              <w:t xml:space="preserve"> relapse</w:t>
            </w:r>
            <w:r>
              <w:rPr>
                <w:rFonts w:asciiTheme="minorHAnsi" w:hAnsiTheme="minorHAnsi"/>
                <w:sz w:val="20"/>
              </w:rPr>
              <w:t>.</w:t>
            </w:r>
          </w:p>
          <w:p w:rsidR="00A62B43" w:rsidP="0010214E" w:rsidRDefault="00A62B43" w14:paraId="1DD051CB" w14:textId="77777777">
            <w:pPr>
              <w:pStyle w:val="BodyText"/>
              <w:rPr>
                <w:rFonts w:asciiTheme="minorHAnsi" w:hAnsiTheme="minorHAnsi"/>
                <w:sz w:val="20"/>
                <w:u w:val="single"/>
              </w:rPr>
            </w:pPr>
          </w:p>
          <w:p w:rsidRPr="003777DD" w:rsidR="00A62B43" w:rsidP="0010214E" w:rsidRDefault="00A62B43" w14:paraId="5BDE9E5A" w14:textId="77777777">
            <w:pPr>
              <w:pStyle w:val="BodyText"/>
              <w:rPr>
                <w:rFonts w:asciiTheme="minorHAnsi" w:hAnsiTheme="minorHAnsi"/>
                <w:sz w:val="20"/>
                <w:u w:val="single"/>
              </w:rPr>
            </w:pPr>
            <w:r w:rsidRPr="00BC6B8E">
              <w:rPr>
                <w:rFonts w:asciiTheme="minorHAnsi" w:hAnsiTheme="minorHAnsi"/>
                <w:i/>
                <w:sz w:val="20"/>
                <w:u w:val="single"/>
              </w:rPr>
              <w:t>Chlamydia</w:t>
            </w:r>
            <w:r w:rsidRPr="003777DD">
              <w:rPr>
                <w:rFonts w:asciiTheme="minorHAnsi" w:hAnsiTheme="minorHAnsi"/>
                <w:sz w:val="20"/>
                <w:u w:val="single"/>
              </w:rPr>
              <w:t xml:space="preserve"> infection (conjunctivitis, pneumonia) </w:t>
            </w:r>
          </w:p>
          <w:p w:rsidRPr="005E5152" w:rsidR="00A62B43" w:rsidP="0010214E" w:rsidRDefault="00A62B43" w14:paraId="066DD916" w14:textId="77777777">
            <w:pPr>
              <w:pStyle w:val="BodyText"/>
              <w:ind w:left="720"/>
              <w:rPr>
                <w:rFonts w:asciiTheme="minorHAnsi" w:hAnsiTheme="minorHAnsi"/>
                <w:sz w:val="20"/>
              </w:rPr>
            </w:pPr>
            <w:r>
              <w:rPr>
                <w:rFonts w:asciiTheme="minorHAnsi" w:hAnsiTheme="minorHAnsi"/>
                <w:sz w:val="20"/>
              </w:rPr>
              <w:t xml:space="preserve">12.5 mg/kg/dose PO 6-hourly </w:t>
            </w:r>
            <w:r w:rsidRPr="005E5152">
              <w:rPr>
                <w:rFonts w:asciiTheme="minorHAnsi" w:hAnsiTheme="minorHAnsi"/>
                <w:sz w:val="20"/>
              </w:rPr>
              <w:t>for 14 days</w:t>
            </w:r>
            <w:r>
              <w:rPr>
                <w:rFonts w:asciiTheme="minorHAnsi" w:hAnsiTheme="minorHAnsi"/>
                <w:sz w:val="20"/>
              </w:rPr>
              <w:t>.</w:t>
            </w:r>
            <w:r>
              <w:rPr>
                <w:rFonts w:asciiTheme="minorHAnsi" w:hAnsiTheme="minorHAnsi"/>
                <w:sz w:val="20"/>
                <w:vertAlign w:val="superscript"/>
              </w:rPr>
              <w:t>2</w:t>
            </w:r>
          </w:p>
          <w:p w:rsidR="00A62B43" w:rsidP="0010214E" w:rsidRDefault="00A62B43" w14:paraId="3F2DD42B" w14:textId="77777777">
            <w:pPr>
              <w:pStyle w:val="BodyText"/>
              <w:rPr>
                <w:rFonts w:asciiTheme="minorHAnsi" w:hAnsiTheme="minorHAnsi"/>
                <w:sz w:val="20"/>
                <w:u w:val="single"/>
              </w:rPr>
            </w:pPr>
          </w:p>
          <w:p w:rsidRPr="003777DD" w:rsidR="00A62B43" w:rsidP="0010214E" w:rsidRDefault="00A62B43" w14:paraId="5C3151C8" w14:textId="77777777">
            <w:pPr>
              <w:pStyle w:val="BodyText"/>
              <w:rPr>
                <w:rFonts w:asciiTheme="minorHAnsi" w:hAnsiTheme="minorHAnsi"/>
                <w:sz w:val="20"/>
                <w:u w:val="single"/>
              </w:rPr>
            </w:pPr>
            <w:r w:rsidRPr="003777DD">
              <w:rPr>
                <w:rFonts w:asciiTheme="minorHAnsi" w:hAnsiTheme="minorHAnsi"/>
                <w:sz w:val="20"/>
                <w:u w:val="single"/>
              </w:rPr>
              <w:t>Non-chlamydial</w:t>
            </w:r>
            <w:r>
              <w:rPr>
                <w:rFonts w:asciiTheme="minorHAnsi" w:hAnsiTheme="minorHAnsi"/>
                <w:sz w:val="20"/>
                <w:u w:val="single"/>
              </w:rPr>
              <w:t>, susceptible bacterial</w:t>
            </w:r>
            <w:r w:rsidRPr="003777DD">
              <w:rPr>
                <w:rFonts w:asciiTheme="minorHAnsi" w:hAnsiTheme="minorHAnsi"/>
                <w:sz w:val="20"/>
                <w:u w:val="single"/>
              </w:rPr>
              <w:t xml:space="preserve"> infection</w:t>
            </w:r>
            <w:r>
              <w:rPr>
                <w:rFonts w:asciiTheme="minorHAnsi" w:hAnsiTheme="minorHAnsi"/>
                <w:sz w:val="20"/>
                <w:u w:val="single"/>
              </w:rPr>
              <w:t xml:space="preserve"> in penicillin-allergic infants</w:t>
            </w:r>
            <w:r>
              <w:rPr>
                <w:rFonts w:asciiTheme="minorHAnsi" w:hAnsiTheme="minorHAnsi"/>
                <w:sz w:val="20"/>
                <w:u w:val="single"/>
                <w:vertAlign w:val="superscript"/>
              </w:rPr>
              <w:t>3</w:t>
            </w:r>
          </w:p>
          <w:p w:rsidR="00A62B43" w:rsidP="0010214E" w:rsidRDefault="00A62B43" w14:paraId="6B1B4F87" w14:textId="77777777">
            <w:pPr>
              <w:pStyle w:val="BodyText"/>
              <w:ind w:left="720"/>
              <w:rPr>
                <w:rFonts w:asciiTheme="minorHAnsi" w:hAnsiTheme="minorHAnsi"/>
                <w:sz w:val="20"/>
              </w:rPr>
            </w:pPr>
            <w:r>
              <w:rPr>
                <w:rFonts w:asciiTheme="minorHAnsi" w:hAnsiTheme="minorHAnsi"/>
                <w:sz w:val="20"/>
              </w:rPr>
              <w:t>Weight &lt;1 kg:</w:t>
            </w:r>
          </w:p>
          <w:p w:rsidR="00A62B43" w:rsidP="0010214E" w:rsidRDefault="00A62B43" w14:paraId="11C6E123" w14:textId="77777777">
            <w:pPr>
              <w:pStyle w:val="BodyText"/>
              <w:ind w:left="720"/>
              <w:rPr>
                <w:rFonts w:asciiTheme="minorHAnsi" w:hAnsiTheme="minorHAnsi"/>
                <w:sz w:val="20"/>
              </w:rPr>
            </w:pPr>
            <w:r>
              <w:rPr>
                <w:rFonts w:asciiTheme="minorHAnsi" w:hAnsiTheme="minorHAnsi"/>
                <w:sz w:val="20"/>
              </w:rPr>
              <w:t xml:space="preserve">-Postnatal age </w:t>
            </w:r>
            <w:r w:rsidRPr="00C225E8">
              <w:rPr>
                <w:rFonts w:asciiTheme="minorHAnsi" w:hAnsiTheme="minorHAnsi"/>
                <w:sz w:val="20"/>
              </w:rPr>
              <w:t>≤14 days: 10 mg/kg/dose 12</w:t>
            </w:r>
            <w:r>
              <w:rPr>
                <w:rFonts w:asciiTheme="minorHAnsi" w:hAnsiTheme="minorHAnsi"/>
                <w:sz w:val="20"/>
              </w:rPr>
              <w:t>-hourly</w:t>
            </w:r>
          </w:p>
          <w:p w:rsidR="00A62B43" w:rsidP="0010214E" w:rsidRDefault="00A62B43" w14:paraId="15B7AF32" w14:textId="77777777">
            <w:pPr>
              <w:pStyle w:val="BodyText"/>
              <w:ind w:left="720"/>
              <w:rPr>
                <w:rFonts w:asciiTheme="minorHAnsi" w:hAnsiTheme="minorHAnsi"/>
                <w:sz w:val="20"/>
              </w:rPr>
            </w:pPr>
            <w:r>
              <w:rPr>
                <w:rFonts w:asciiTheme="minorHAnsi" w:hAnsiTheme="minorHAnsi"/>
                <w:sz w:val="20"/>
              </w:rPr>
              <w:t>-Postnatal age &gt;14</w:t>
            </w:r>
            <w:r w:rsidRPr="00C225E8">
              <w:rPr>
                <w:rFonts w:asciiTheme="minorHAnsi" w:hAnsiTheme="minorHAnsi"/>
                <w:sz w:val="20"/>
              </w:rPr>
              <w:t xml:space="preserve"> days: 10 mg/kg/dose 8</w:t>
            </w:r>
            <w:r>
              <w:rPr>
                <w:rFonts w:asciiTheme="minorHAnsi" w:hAnsiTheme="minorHAnsi"/>
                <w:sz w:val="20"/>
              </w:rPr>
              <w:t>-hourly</w:t>
            </w:r>
          </w:p>
          <w:p w:rsidR="00A62B43" w:rsidP="0010214E" w:rsidRDefault="00A62B43" w14:paraId="42C8BC79" w14:textId="77777777">
            <w:pPr>
              <w:pStyle w:val="BodyText"/>
              <w:ind w:left="720"/>
              <w:rPr>
                <w:rFonts w:asciiTheme="minorHAnsi" w:hAnsiTheme="minorHAnsi"/>
                <w:sz w:val="20"/>
              </w:rPr>
            </w:pPr>
          </w:p>
          <w:p w:rsidRPr="00C225E8" w:rsidR="00A62B43" w:rsidP="0010214E" w:rsidRDefault="00A62B43" w14:paraId="29F34759" w14:textId="77777777">
            <w:pPr>
              <w:pStyle w:val="BodyText"/>
              <w:ind w:left="720"/>
              <w:rPr>
                <w:rFonts w:asciiTheme="minorHAnsi" w:hAnsiTheme="minorHAnsi"/>
                <w:sz w:val="20"/>
              </w:rPr>
            </w:pPr>
            <w:r>
              <w:rPr>
                <w:rFonts w:asciiTheme="minorHAnsi" w:hAnsiTheme="minorHAnsi"/>
                <w:sz w:val="20"/>
              </w:rPr>
              <w:t>W</w:t>
            </w:r>
            <w:r w:rsidRPr="00C225E8">
              <w:rPr>
                <w:rFonts w:asciiTheme="minorHAnsi" w:hAnsiTheme="minorHAnsi"/>
                <w:sz w:val="20"/>
              </w:rPr>
              <w:t xml:space="preserve">eight </w:t>
            </w:r>
            <w:r>
              <w:rPr>
                <w:rFonts w:asciiTheme="minorHAnsi" w:hAnsiTheme="minorHAnsi"/>
                <w:sz w:val="20"/>
              </w:rPr>
              <w:t>≥</w:t>
            </w:r>
            <w:r w:rsidRPr="00C225E8">
              <w:rPr>
                <w:rFonts w:asciiTheme="minorHAnsi" w:hAnsiTheme="minorHAnsi"/>
                <w:sz w:val="20"/>
              </w:rPr>
              <w:t xml:space="preserve">1 kg: </w:t>
            </w:r>
          </w:p>
          <w:p w:rsidRPr="00C225E8" w:rsidR="00A62B43" w:rsidP="0010214E" w:rsidRDefault="00A62B43" w14:paraId="7504EF8E" w14:textId="77777777">
            <w:pPr>
              <w:pStyle w:val="BodyText"/>
              <w:ind w:left="720"/>
              <w:rPr>
                <w:rFonts w:asciiTheme="minorHAnsi" w:hAnsiTheme="minorHAnsi"/>
                <w:sz w:val="20"/>
              </w:rPr>
            </w:pPr>
            <w:r>
              <w:rPr>
                <w:rFonts w:asciiTheme="minorHAnsi" w:hAnsiTheme="minorHAnsi"/>
                <w:sz w:val="20"/>
              </w:rPr>
              <w:t xml:space="preserve">-Postnatal age </w:t>
            </w:r>
            <w:r w:rsidRPr="00C225E8">
              <w:rPr>
                <w:rFonts w:asciiTheme="minorHAnsi" w:hAnsiTheme="minorHAnsi"/>
                <w:sz w:val="20"/>
              </w:rPr>
              <w:t>≤7 days: 10 mg/kg/dose 12</w:t>
            </w:r>
            <w:r>
              <w:rPr>
                <w:rFonts w:asciiTheme="minorHAnsi" w:hAnsiTheme="minorHAnsi"/>
                <w:sz w:val="20"/>
              </w:rPr>
              <w:t>-hourly</w:t>
            </w:r>
          </w:p>
          <w:p w:rsidRPr="00C225E8" w:rsidR="00A62B43" w:rsidP="0010214E" w:rsidRDefault="00A62B43" w14:paraId="59670CB3" w14:textId="77777777">
            <w:pPr>
              <w:pStyle w:val="BodyText"/>
              <w:ind w:left="720"/>
              <w:rPr>
                <w:rFonts w:asciiTheme="minorHAnsi" w:hAnsiTheme="minorHAnsi"/>
                <w:sz w:val="20"/>
              </w:rPr>
            </w:pPr>
            <w:r>
              <w:rPr>
                <w:rFonts w:asciiTheme="minorHAnsi" w:hAnsiTheme="minorHAnsi"/>
                <w:sz w:val="20"/>
              </w:rPr>
              <w:t>-Postnatal age &gt;7</w:t>
            </w:r>
            <w:r w:rsidRPr="00C225E8">
              <w:rPr>
                <w:rFonts w:asciiTheme="minorHAnsi" w:hAnsiTheme="minorHAnsi"/>
                <w:sz w:val="20"/>
              </w:rPr>
              <w:t xml:space="preserve"> days: 10 mg/kg/dose 8</w:t>
            </w:r>
            <w:r>
              <w:rPr>
                <w:rFonts w:asciiTheme="minorHAnsi" w:hAnsiTheme="minorHAnsi"/>
                <w:sz w:val="20"/>
              </w:rPr>
              <w:t>-hourly</w:t>
            </w:r>
          </w:p>
          <w:p w:rsidRPr="00C225E8" w:rsidR="00A62B43" w:rsidP="0010214E" w:rsidRDefault="00A62B43" w14:paraId="615F2171" w14:textId="77777777">
            <w:pPr>
              <w:pStyle w:val="BodyText"/>
              <w:ind w:left="720"/>
              <w:rPr>
                <w:rFonts w:asciiTheme="minorHAnsi" w:hAnsiTheme="minorHAnsi"/>
                <w:sz w:val="20"/>
              </w:rPr>
            </w:pPr>
          </w:p>
          <w:p w:rsidRPr="003777DD" w:rsidR="00A62B43" w:rsidP="0010214E" w:rsidRDefault="00A62B43" w14:paraId="1992D3E7" w14:textId="77777777">
            <w:pPr>
              <w:pStyle w:val="BodyText"/>
              <w:rPr>
                <w:rFonts w:asciiTheme="minorHAnsi" w:hAnsiTheme="minorHAnsi"/>
                <w:sz w:val="20"/>
                <w:u w:val="single"/>
              </w:rPr>
            </w:pPr>
            <w:r>
              <w:rPr>
                <w:rFonts w:asciiTheme="minorHAnsi" w:hAnsiTheme="minorHAnsi"/>
                <w:sz w:val="20"/>
                <w:u w:val="single"/>
              </w:rPr>
              <w:t>Prokinetic dose for gastrointestinal</w:t>
            </w:r>
            <w:r w:rsidRPr="003777DD">
              <w:rPr>
                <w:rFonts w:asciiTheme="minorHAnsi" w:hAnsiTheme="minorHAnsi"/>
                <w:sz w:val="20"/>
                <w:u w:val="single"/>
              </w:rPr>
              <w:t xml:space="preserve"> dysmotility</w:t>
            </w:r>
            <w:r>
              <w:rPr>
                <w:rFonts w:asciiTheme="minorHAnsi" w:hAnsiTheme="minorHAnsi"/>
                <w:sz w:val="20"/>
                <w:u w:val="single"/>
              </w:rPr>
              <w:t xml:space="preserve"> (inconsistent evidence for its efficacy and safety and routine use not recommended)</w:t>
            </w:r>
          </w:p>
          <w:p w:rsidR="00A62B43" w:rsidP="0010214E" w:rsidRDefault="00A62B43" w14:paraId="30D81551" w14:textId="77777777">
            <w:pPr>
              <w:pStyle w:val="BodyText"/>
              <w:ind w:left="720"/>
              <w:rPr>
                <w:rFonts w:asciiTheme="minorHAnsi" w:hAnsiTheme="minorHAnsi"/>
                <w:sz w:val="20"/>
              </w:rPr>
            </w:pPr>
            <w:r>
              <w:rPr>
                <w:rFonts w:asciiTheme="minorHAnsi" w:hAnsiTheme="minorHAnsi"/>
                <w:sz w:val="20"/>
              </w:rPr>
              <w:t>Low-dose regimens: 2.5 mg/kg/dose 6-hourly up to 10 days.</w:t>
            </w:r>
            <w:r>
              <w:rPr>
                <w:rFonts w:asciiTheme="minorHAnsi" w:hAnsiTheme="minorHAnsi"/>
                <w:sz w:val="20"/>
                <w:vertAlign w:val="superscript"/>
              </w:rPr>
              <w:t>10</w:t>
            </w:r>
            <w:r>
              <w:rPr>
                <w:rFonts w:asciiTheme="minorHAnsi" w:hAnsiTheme="minorHAnsi"/>
                <w:sz w:val="20"/>
              </w:rPr>
              <w:t xml:space="preserve"> or 5 mg/kg/dose 8-hourly (7–14 days)</w:t>
            </w:r>
            <w:r w:rsidRPr="00511537">
              <w:rPr>
                <w:rFonts w:asciiTheme="minorHAnsi" w:hAnsiTheme="minorHAnsi"/>
                <w:sz w:val="20"/>
                <w:vertAlign w:val="superscript"/>
              </w:rPr>
              <w:t>11</w:t>
            </w:r>
            <w:r>
              <w:rPr>
                <w:rFonts w:asciiTheme="minorHAnsi" w:hAnsiTheme="minorHAnsi"/>
                <w:sz w:val="20"/>
                <w:vertAlign w:val="superscript"/>
              </w:rPr>
              <w:t xml:space="preserve"> </w:t>
            </w:r>
            <w:r>
              <w:rPr>
                <w:rFonts w:asciiTheme="minorHAnsi" w:hAnsiTheme="minorHAnsi"/>
                <w:sz w:val="20"/>
              </w:rPr>
              <w:t xml:space="preserve"> </w:t>
            </w:r>
          </w:p>
          <w:p w:rsidR="00A62B43" w:rsidP="0010214E" w:rsidRDefault="00A62B43" w14:paraId="6CB69A71" w14:textId="77777777">
            <w:pPr>
              <w:pStyle w:val="BodyText"/>
              <w:ind w:left="720"/>
              <w:rPr>
                <w:rFonts w:asciiTheme="minorHAnsi" w:hAnsiTheme="minorHAnsi"/>
                <w:sz w:val="20"/>
              </w:rPr>
            </w:pPr>
            <w:r>
              <w:rPr>
                <w:rFonts w:asciiTheme="minorHAnsi" w:hAnsiTheme="minorHAnsi"/>
                <w:sz w:val="20"/>
              </w:rPr>
              <w:t>High dose regimens: Doses up to 10–12.5 mg/kg/dose 6-hourly for 7–14 days have been used.</w:t>
            </w:r>
            <w:r w:rsidRPr="00511537">
              <w:rPr>
                <w:rFonts w:asciiTheme="minorHAnsi" w:hAnsiTheme="minorHAnsi"/>
                <w:sz w:val="20"/>
                <w:vertAlign w:val="superscript"/>
              </w:rPr>
              <w:t>12-1</w:t>
            </w:r>
            <w:r w:rsidRPr="0087142E">
              <w:rPr>
                <w:rFonts w:asciiTheme="minorHAnsi" w:hAnsiTheme="minorHAnsi"/>
                <w:sz w:val="20"/>
                <w:vertAlign w:val="superscript"/>
              </w:rPr>
              <w:t>4</w:t>
            </w:r>
          </w:p>
          <w:p w:rsidRPr="00835066" w:rsidR="00A62B43" w:rsidP="0010214E" w:rsidRDefault="00A62B43" w14:paraId="344FCEF9" w14:textId="77777777">
            <w:pPr>
              <w:pStyle w:val="BodyText"/>
              <w:ind w:left="720"/>
              <w:rPr>
                <w:rFonts w:asciiTheme="minorHAnsi" w:hAnsiTheme="minorHAnsi"/>
                <w:sz w:val="20"/>
              </w:rPr>
            </w:pPr>
            <w:r>
              <w:rPr>
                <w:rFonts w:asciiTheme="minorHAnsi" w:hAnsiTheme="minorHAnsi"/>
                <w:sz w:val="20"/>
              </w:rPr>
              <w:t>Post-op intestinal atresia: 3 mg/kg/dose 6-hourly</w:t>
            </w:r>
            <w:r w:rsidRPr="00CF5632">
              <w:rPr>
                <w:rFonts w:asciiTheme="minorHAnsi" w:hAnsiTheme="minorHAnsi"/>
                <w:sz w:val="20"/>
                <w:vertAlign w:val="superscript"/>
              </w:rPr>
              <w:t>19</w:t>
            </w:r>
            <w:r>
              <w:rPr>
                <w:rFonts w:asciiTheme="minorHAnsi" w:hAnsiTheme="minorHAnsi"/>
                <w:sz w:val="20"/>
              </w:rPr>
              <w:t xml:space="preserve"> </w:t>
            </w:r>
          </w:p>
        </w:tc>
      </w:tr>
      <w:tr w:rsidRPr="0053172C" w:rsidR="00273A16" w:rsidTr="00747763" w14:paraId="0BD125AD" w14:textId="77777777">
        <w:trPr>
          <w:trHeight w:val="244"/>
        </w:trPr>
        <w:tc>
          <w:tcPr>
            <w:tcW w:w="1985" w:type="dxa"/>
          </w:tcPr>
          <w:p w:rsidRPr="00B4754A" w:rsidR="00A62B43" w:rsidP="0010214E" w:rsidRDefault="00A62B43" w14:paraId="1B3E5876" w14:textId="77777777">
            <w:pPr>
              <w:pStyle w:val="BodyText"/>
              <w:rPr>
                <w:rFonts w:cs="Arial" w:asciiTheme="minorHAnsi" w:hAnsiTheme="minorHAnsi"/>
                <w:b/>
                <w:bCs/>
                <w:sz w:val="20"/>
              </w:rPr>
            </w:pPr>
            <w:r w:rsidRPr="0053172C">
              <w:rPr>
                <w:rFonts w:cs="Arial" w:asciiTheme="minorHAnsi" w:hAnsiTheme="minorHAnsi"/>
                <w:b/>
                <w:bCs/>
                <w:sz w:val="20"/>
              </w:rPr>
              <w:t>Route</w:t>
            </w:r>
            <w:r>
              <w:rPr>
                <w:rFonts w:cs="Arial" w:asciiTheme="minorHAnsi" w:hAnsiTheme="minorHAnsi"/>
                <w:b/>
                <w:bCs/>
                <w:sz w:val="20"/>
              </w:rPr>
              <w:t xml:space="preserve">                              </w:t>
            </w:r>
            <w:r w:rsidRPr="0053172C">
              <w:rPr>
                <w:rFonts w:cs="Arial" w:asciiTheme="minorHAnsi" w:hAnsiTheme="minorHAnsi"/>
                <w:b/>
                <w:bCs/>
                <w:sz w:val="20"/>
              </w:rPr>
              <w:t xml:space="preserve">         </w:t>
            </w:r>
          </w:p>
        </w:tc>
        <w:tc>
          <w:tcPr>
            <w:tcW w:w="8647" w:type="dxa"/>
          </w:tcPr>
          <w:p w:rsidRPr="0053172C" w:rsidR="00A62B43" w:rsidP="0010214E" w:rsidRDefault="00A62B43" w14:paraId="41D4626F" w14:textId="77777777">
            <w:pPr>
              <w:pStyle w:val="BodyText"/>
              <w:rPr>
                <w:rFonts w:cs="Arial" w:asciiTheme="minorHAnsi" w:hAnsiTheme="minorHAnsi"/>
                <w:sz w:val="20"/>
              </w:rPr>
            </w:pPr>
            <w:r>
              <w:rPr>
                <w:rFonts w:cs="Arial" w:asciiTheme="minorHAnsi" w:hAnsiTheme="minorHAnsi"/>
                <w:sz w:val="20"/>
              </w:rPr>
              <w:t>Oral</w:t>
            </w:r>
          </w:p>
        </w:tc>
      </w:tr>
      <w:tr w:rsidRPr="00E22B32" w:rsidR="00273A16" w:rsidTr="00747763" w14:paraId="51E65464" w14:textId="77777777">
        <w:trPr>
          <w:trHeight w:val="221"/>
        </w:trPr>
        <w:tc>
          <w:tcPr>
            <w:tcW w:w="1985" w:type="dxa"/>
          </w:tcPr>
          <w:p w:rsidRPr="00B76CDF" w:rsidR="00A62B43" w:rsidP="0010214E" w:rsidRDefault="00A62B43" w14:paraId="719F2028" w14:textId="77777777">
            <w:pPr>
              <w:pStyle w:val="BodyText"/>
              <w:rPr>
                <w:rFonts w:cs="Arial" w:asciiTheme="minorHAnsi" w:hAnsiTheme="minorHAnsi"/>
                <w:b/>
                <w:bCs/>
                <w:sz w:val="20"/>
                <w:highlight w:val="cyan"/>
              </w:rPr>
            </w:pPr>
            <w:r w:rsidRPr="0053172C">
              <w:rPr>
                <w:rFonts w:cs="Arial" w:asciiTheme="minorHAnsi" w:hAnsiTheme="minorHAnsi"/>
                <w:b/>
                <w:bCs/>
                <w:sz w:val="20"/>
              </w:rPr>
              <w:t>Preparation/Dilution</w:t>
            </w:r>
          </w:p>
        </w:tc>
        <w:tc>
          <w:tcPr>
            <w:tcW w:w="8647" w:type="dxa"/>
            <w:shd w:val="clear" w:color="auto" w:fill="auto"/>
          </w:tcPr>
          <w:p w:rsidRPr="0007609B" w:rsidR="00A62B43" w:rsidP="0010214E" w:rsidRDefault="00A62B43" w14:paraId="00A19539" w14:textId="77777777">
            <w:pPr>
              <w:pStyle w:val="BodyText"/>
              <w:rPr>
                <w:rFonts w:asciiTheme="minorHAnsi" w:hAnsiTheme="minorHAnsi"/>
                <w:sz w:val="20"/>
              </w:rPr>
            </w:pPr>
            <w:r w:rsidRPr="0007609B">
              <w:rPr>
                <w:rFonts w:asciiTheme="minorHAnsi" w:hAnsiTheme="minorHAnsi"/>
                <w:sz w:val="20"/>
              </w:rPr>
              <w:t>Add 77 mL of sterile water</w:t>
            </w:r>
            <w:r>
              <w:rPr>
                <w:rFonts w:asciiTheme="minorHAnsi" w:hAnsiTheme="minorHAnsi"/>
                <w:sz w:val="20"/>
              </w:rPr>
              <w:t xml:space="preserve"> to granules</w:t>
            </w:r>
            <w:r w:rsidRPr="0007609B">
              <w:rPr>
                <w:rFonts w:asciiTheme="minorHAnsi" w:hAnsiTheme="minorHAnsi"/>
                <w:sz w:val="20"/>
              </w:rPr>
              <w:t xml:space="preserve"> in small volumes and shake vigorously until no lumps are visible. Suspension expires 10 days after reconstitution. Write expiry date on bottle.</w:t>
            </w:r>
          </w:p>
        </w:tc>
      </w:tr>
      <w:tr w:rsidRPr="0053172C" w:rsidR="00273A16" w:rsidTr="00747763" w14:paraId="40B01135" w14:textId="77777777">
        <w:trPr>
          <w:trHeight w:val="315"/>
        </w:trPr>
        <w:tc>
          <w:tcPr>
            <w:tcW w:w="1985" w:type="dxa"/>
          </w:tcPr>
          <w:p w:rsidRPr="00B4754A" w:rsidR="00A62B43" w:rsidP="0010214E" w:rsidRDefault="00A62B43" w14:paraId="0C407260" w14:textId="77777777">
            <w:pPr>
              <w:pStyle w:val="BodyText"/>
              <w:rPr>
                <w:rFonts w:cs="Arial" w:asciiTheme="minorHAnsi" w:hAnsiTheme="minorHAnsi"/>
                <w:b/>
                <w:bCs/>
                <w:sz w:val="20"/>
              </w:rPr>
            </w:pPr>
            <w:r w:rsidRPr="0053172C">
              <w:rPr>
                <w:rFonts w:cs="Arial" w:asciiTheme="minorHAnsi" w:hAnsiTheme="minorHAnsi"/>
                <w:b/>
                <w:bCs/>
                <w:sz w:val="20"/>
              </w:rPr>
              <w:t xml:space="preserve">Administration </w:t>
            </w:r>
          </w:p>
        </w:tc>
        <w:tc>
          <w:tcPr>
            <w:tcW w:w="8647" w:type="dxa"/>
          </w:tcPr>
          <w:p w:rsidRPr="005E5152" w:rsidR="00A62B43" w:rsidP="0010214E" w:rsidRDefault="00A62B43" w14:paraId="1F7076FD" w14:textId="77777777">
            <w:pPr>
              <w:pStyle w:val="BodyText"/>
              <w:rPr>
                <w:rFonts w:asciiTheme="minorHAnsi" w:hAnsiTheme="minorHAnsi"/>
                <w:sz w:val="20"/>
              </w:rPr>
            </w:pPr>
            <w:r w:rsidRPr="005E5152">
              <w:rPr>
                <w:rFonts w:asciiTheme="minorHAnsi" w:hAnsiTheme="minorHAnsi"/>
                <w:sz w:val="20"/>
              </w:rPr>
              <w:t xml:space="preserve">Oral, </w:t>
            </w:r>
            <w:r>
              <w:rPr>
                <w:rFonts w:asciiTheme="minorHAnsi" w:hAnsiTheme="minorHAnsi"/>
                <w:sz w:val="20"/>
              </w:rPr>
              <w:t>preferably with feeds.</w:t>
            </w:r>
            <w:r>
              <w:rPr>
                <w:rFonts w:asciiTheme="minorHAnsi" w:hAnsiTheme="minorHAnsi"/>
                <w:sz w:val="20"/>
                <w:vertAlign w:val="superscript"/>
              </w:rPr>
              <w:t>15</w:t>
            </w:r>
          </w:p>
          <w:p w:rsidRPr="0053172C" w:rsidR="00A62B43" w:rsidP="0010214E" w:rsidRDefault="00A62B43" w14:paraId="38917E89" w14:textId="77777777">
            <w:pPr>
              <w:pStyle w:val="BodyText"/>
              <w:rPr>
                <w:rFonts w:cs="Arial" w:asciiTheme="minorHAnsi" w:hAnsiTheme="minorHAnsi"/>
                <w:sz w:val="20"/>
              </w:rPr>
            </w:pPr>
            <w:r w:rsidRPr="005E5152">
              <w:rPr>
                <w:rFonts w:asciiTheme="minorHAnsi" w:hAnsiTheme="minorHAnsi"/>
                <w:sz w:val="20"/>
              </w:rPr>
              <w:t>For prokinetic effect</w:t>
            </w:r>
            <w:r>
              <w:rPr>
                <w:rFonts w:asciiTheme="minorHAnsi" w:hAnsiTheme="minorHAnsi"/>
                <w:sz w:val="20"/>
              </w:rPr>
              <w:t>,</w:t>
            </w:r>
            <w:r w:rsidRPr="005E5152">
              <w:rPr>
                <w:rFonts w:asciiTheme="minorHAnsi" w:hAnsiTheme="minorHAnsi"/>
                <w:sz w:val="20"/>
              </w:rPr>
              <w:t xml:space="preserve"> often administered 30 minutes prior to feed.</w:t>
            </w:r>
          </w:p>
        </w:tc>
      </w:tr>
      <w:tr w:rsidRPr="0053172C" w:rsidR="00273A16" w:rsidTr="00747763" w14:paraId="54023505" w14:textId="77777777">
        <w:trPr>
          <w:trHeight w:val="207"/>
        </w:trPr>
        <w:tc>
          <w:tcPr>
            <w:tcW w:w="1985" w:type="dxa"/>
          </w:tcPr>
          <w:p w:rsidRPr="005E5152" w:rsidR="00A62B43" w:rsidP="0010214E" w:rsidRDefault="00A62B43" w14:paraId="3D90E403" w14:textId="77777777">
            <w:pPr>
              <w:pStyle w:val="BodyText"/>
              <w:rPr>
                <w:rFonts w:cs="Arial" w:asciiTheme="minorHAnsi" w:hAnsiTheme="minorHAnsi"/>
                <w:b/>
                <w:bCs/>
                <w:sz w:val="20"/>
              </w:rPr>
            </w:pPr>
            <w:r w:rsidRPr="0053172C">
              <w:rPr>
                <w:rFonts w:cs="Arial" w:asciiTheme="minorHAnsi" w:hAnsiTheme="minorHAnsi"/>
                <w:b/>
                <w:bCs/>
                <w:sz w:val="20"/>
              </w:rPr>
              <w:t xml:space="preserve">Monitoring                              </w:t>
            </w:r>
          </w:p>
        </w:tc>
        <w:tc>
          <w:tcPr>
            <w:tcW w:w="8647" w:type="dxa"/>
          </w:tcPr>
          <w:p w:rsidRPr="0053172C" w:rsidR="00A62B43" w:rsidP="0010214E" w:rsidRDefault="00A62B43" w14:paraId="7A88250C" w14:textId="77777777">
            <w:pPr>
              <w:pStyle w:val="BodyText"/>
              <w:rPr>
                <w:rFonts w:cs="Arial" w:asciiTheme="minorHAnsi" w:hAnsiTheme="minorHAnsi"/>
                <w:sz w:val="20"/>
              </w:rPr>
            </w:pPr>
            <w:r w:rsidRPr="005E5152">
              <w:rPr>
                <w:rFonts w:asciiTheme="minorHAnsi" w:hAnsiTheme="minorHAnsi"/>
                <w:sz w:val="20"/>
              </w:rPr>
              <w:t>Liver function</w:t>
            </w:r>
            <w:r>
              <w:rPr>
                <w:rFonts w:asciiTheme="minorHAnsi" w:hAnsiTheme="minorHAnsi"/>
                <w:sz w:val="20"/>
              </w:rPr>
              <w:t>.</w:t>
            </w:r>
          </w:p>
        </w:tc>
      </w:tr>
      <w:tr w:rsidRPr="0053172C" w:rsidR="00273A16" w:rsidTr="00747763" w14:paraId="799BBF59" w14:textId="77777777">
        <w:trPr>
          <w:trHeight w:val="666"/>
        </w:trPr>
        <w:tc>
          <w:tcPr>
            <w:tcW w:w="1985" w:type="dxa"/>
          </w:tcPr>
          <w:p w:rsidRPr="0053172C" w:rsidR="00A62B43" w:rsidP="0010214E" w:rsidRDefault="00A62B43" w14:paraId="73B8DDCD" w14:textId="77777777">
            <w:pPr>
              <w:pStyle w:val="BodyText"/>
              <w:rPr>
                <w:rFonts w:cs="Arial" w:asciiTheme="minorHAnsi" w:hAnsiTheme="minorHAnsi"/>
                <w:b/>
                <w:bCs/>
                <w:sz w:val="20"/>
              </w:rPr>
            </w:pPr>
            <w:r w:rsidRPr="0053172C">
              <w:rPr>
                <w:rFonts w:cs="Arial" w:asciiTheme="minorHAnsi" w:hAnsiTheme="minorHAnsi"/>
                <w:b/>
                <w:bCs/>
                <w:sz w:val="20"/>
              </w:rPr>
              <w:t xml:space="preserve">Contraindications                        </w:t>
            </w:r>
          </w:p>
          <w:p w:rsidRPr="0053172C" w:rsidR="00A62B43" w:rsidP="0010214E" w:rsidRDefault="00A62B43" w14:paraId="1621EB46" w14:textId="77777777">
            <w:pPr>
              <w:pStyle w:val="BodyText"/>
              <w:rPr>
                <w:rFonts w:cs="Arial" w:asciiTheme="minorHAnsi" w:hAnsiTheme="minorHAnsi"/>
                <w:sz w:val="20"/>
              </w:rPr>
            </w:pPr>
          </w:p>
        </w:tc>
        <w:tc>
          <w:tcPr>
            <w:tcW w:w="8647" w:type="dxa"/>
          </w:tcPr>
          <w:p w:rsidRPr="005E5152" w:rsidR="00A62B43" w:rsidP="0010214E" w:rsidRDefault="00A62B43" w14:paraId="2E4BA230" w14:textId="77777777">
            <w:pPr>
              <w:pStyle w:val="BodyText"/>
              <w:rPr>
                <w:rFonts w:cs="Arial" w:asciiTheme="minorHAnsi" w:hAnsiTheme="minorHAnsi"/>
                <w:sz w:val="20"/>
              </w:rPr>
            </w:pPr>
            <w:r w:rsidRPr="005E5152">
              <w:rPr>
                <w:rFonts w:cs="Arial" w:asciiTheme="minorHAnsi" w:hAnsiTheme="minorHAnsi"/>
                <w:sz w:val="20"/>
              </w:rPr>
              <w:t>Hypersensitivity to erythromycin or any component of the product</w:t>
            </w:r>
            <w:r>
              <w:rPr>
                <w:rFonts w:cs="Arial" w:asciiTheme="minorHAnsi" w:hAnsiTheme="minorHAnsi"/>
                <w:sz w:val="20"/>
              </w:rPr>
              <w:t>.</w:t>
            </w:r>
          </w:p>
          <w:p w:rsidRPr="0053172C" w:rsidR="00A62B43" w:rsidP="0010214E" w:rsidRDefault="00A62B43" w14:paraId="2699E966" w14:textId="77777777">
            <w:pPr>
              <w:pStyle w:val="BodyText"/>
              <w:rPr>
                <w:rFonts w:cs="Arial" w:asciiTheme="minorHAnsi" w:hAnsiTheme="minorHAnsi"/>
                <w:sz w:val="20"/>
              </w:rPr>
            </w:pPr>
            <w:r w:rsidRPr="005E5152">
              <w:rPr>
                <w:rFonts w:cs="Arial" w:asciiTheme="minorHAnsi" w:hAnsiTheme="minorHAnsi"/>
                <w:sz w:val="20"/>
              </w:rPr>
              <w:t xml:space="preserve">Concomitant therapy with </w:t>
            </w:r>
            <w:r w:rsidRPr="00835066">
              <w:rPr>
                <w:rFonts w:cs="Arial" w:asciiTheme="minorHAnsi" w:hAnsiTheme="minorHAnsi"/>
                <w:sz w:val="20"/>
              </w:rPr>
              <w:t>pimozide, cisapride, ergotamine or dihydroergotamine, terfenadine, astemizole, lovastatin or simvastatin</w:t>
            </w:r>
            <w:r>
              <w:rPr>
                <w:rFonts w:cs="Arial" w:asciiTheme="minorHAnsi" w:hAnsiTheme="minorHAnsi"/>
                <w:sz w:val="20"/>
              </w:rPr>
              <w:t>.</w:t>
            </w:r>
          </w:p>
        </w:tc>
      </w:tr>
      <w:tr w:rsidRPr="0053172C" w:rsidR="00273A16" w:rsidTr="00747763" w14:paraId="2531EBE0" w14:textId="77777777">
        <w:tc>
          <w:tcPr>
            <w:tcW w:w="1985" w:type="dxa"/>
          </w:tcPr>
          <w:p w:rsidRPr="0053172C" w:rsidR="00A62B43" w:rsidP="0010214E" w:rsidRDefault="00A62B43" w14:paraId="6708BC9B" w14:textId="77777777">
            <w:pPr>
              <w:pStyle w:val="BodyText"/>
              <w:rPr>
                <w:rFonts w:cs="Arial" w:asciiTheme="minorHAnsi" w:hAnsiTheme="minorHAnsi"/>
                <w:b/>
                <w:bCs/>
                <w:sz w:val="20"/>
              </w:rPr>
            </w:pPr>
            <w:r w:rsidRPr="0053172C">
              <w:rPr>
                <w:rFonts w:asciiTheme="minorHAnsi" w:hAnsiTheme="minorHAnsi"/>
                <w:sz w:val="20"/>
              </w:rPr>
              <w:br w:type="page"/>
            </w:r>
            <w:r w:rsidRPr="0053172C">
              <w:rPr>
                <w:rFonts w:cs="Arial" w:asciiTheme="minorHAnsi" w:hAnsiTheme="minorHAnsi"/>
                <w:b/>
                <w:bCs/>
                <w:sz w:val="20"/>
              </w:rPr>
              <w:t>Precautions</w:t>
            </w:r>
          </w:p>
        </w:tc>
        <w:tc>
          <w:tcPr>
            <w:tcW w:w="8647" w:type="dxa"/>
          </w:tcPr>
          <w:p w:rsidRPr="005E5152" w:rsidR="00A62B43" w:rsidP="0010214E" w:rsidRDefault="00A62B43" w14:paraId="55386923" w14:textId="77777777">
            <w:pPr>
              <w:pStyle w:val="BodyText"/>
              <w:rPr>
                <w:rFonts w:cs="Arial" w:asciiTheme="minorHAnsi" w:hAnsiTheme="minorHAnsi"/>
                <w:sz w:val="20"/>
              </w:rPr>
            </w:pPr>
            <w:r w:rsidRPr="005E5152">
              <w:rPr>
                <w:rFonts w:cs="Arial" w:asciiTheme="minorHAnsi" w:hAnsiTheme="minorHAnsi"/>
                <w:sz w:val="20"/>
              </w:rPr>
              <w:t xml:space="preserve">Use with </w:t>
            </w:r>
            <w:r>
              <w:rPr>
                <w:rFonts w:cs="Arial" w:asciiTheme="minorHAnsi" w:hAnsiTheme="minorHAnsi"/>
                <w:sz w:val="20"/>
              </w:rPr>
              <w:t xml:space="preserve">caution in </w:t>
            </w:r>
            <w:r w:rsidRPr="005E5152">
              <w:rPr>
                <w:rFonts w:cs="Arial" w:asciiTheme="minorHAnsi" w:hAnsiTheme="minorHAnsi"/>
                <w:sz w:val="20"/>
              </w:rPr>
              <w:t>hepatic impairment</w:t>
            </w:r>
            <w:r>
              <w:rPr>
                <w:rFonts w:cs="Arial" w:asciiTheme="minorHAnsi" w:hAnsiTheme="minorHAnsi"/>
                <w:sz w:val="20"/>
              </w:rPr>
              <w:t>.</w:t>
            </w:r>
          </w:p>
          <w:p w:rsidRPr="005E5152" w:rsidR="00A62B43" w:rsidP="0010214E" w:rsidRDefault="00A62B43" w14:paraId="702653F4" w14:textId="77777777">
            <w:pPr>
              <w:pStyle w:val="BodyText"/>
              <w:rPr>
                <w:rFonts w:cs="Arial" w:asciiTheme="minorHAnsi" w:hAnsiTheme="minorHAnsi"/>
                <w:sz w:val="20"/>
              </w:rPr>
            </w:pPr>
            <w:r w:rsidRPr="005E5152">
              <w:rPr>
                <w:rFonts w:cs="Arial" w:asciiTheme="minorHAnsi" w:hAnsiTheme="minorHAnsi"/>
                <w:sz w:val="20"/>
              </w:rPr>
              <w:lastRenderedPageBreak/>
              <w:t>QT interval prolongation</w:t>
            </w:r>
            <w:r>
              <w:rPr>
                <w:rFonts w:cs="Arial" w:asciiTheme="minorHAnsi" w:hAnsiTheme="minorHAnsi"/>
                <w:sz w:val="20"/>
              </w:rPr>
              <w:t>.</w:t>
            </w:r>
          </w:p>
          <w:p w:rsidRPr="005E5152" w:rsidR="00A62B43" w:rsidP="0010214E" w:rsidRDefault="00A62B43" w14:paraId="096FBB98" w14:textId="77777777">
            <w:pPr>
              <w:pStyle w:val="BodyText"/>
              <w:rPr>
                <w:rFonts w:cs="Arial" w:asciiTheme="minorHAnsi" w:hAnsiTheme="minorHAnsi"/>
                <w:sz w:val="20"/>
              </w:rPr>
            </w:pPr>
            <w:r w:rsidRPr="005E5152">
              <w:rPr>
                <w:rFonts w:cs="Arial" w:asciiTheme="minorHAnsi" w:hAnsiTheme="minorHAnsi"/>
                <w:sz w:val="20"/>
              </w:rPr>
              <w:t>Uncorrected hypokalaemia, hypomagnesemia</w:t>
            </w:r>
            <w:r>
              <w:rPr>
                <w:rFonts w:cs="Arial" w:asciiTheme="minorHAnsi" w:hAnsiTheme="minorHAnsi"/>
                <w:sz w:val="20"/>
              </w:rPr>
              <w:t>.</w:t>
            </w:r>
          </w:p>
          <w:p w:rsidRPr="0053172C" w:rsidR="00A62B43" w:rsidP="0010214E" w:rsidRDefault="00A62B43" w14:paraId="1E7C64C0" w14:textId="77777777">
            <w:pPr>
              <w:pStyle w:val="BodyText"/>
              <w:rPr>
                <w:rFonts w:cs="Arial" w:asciiTheme="minorHAnsi" w:hAnsiTheme="minorHAnsi"/>
                <w:sz w:val="20"/>
              </w:rPr>
            </w:pPr>
            <w:r w:rsidRPr="005E5152">
              <w:rPr>
                <w:rFonts w:cs="Arial" w:asciiTheme="minorHAnsi" w:hAnsiTheme="minorHAnsi"/>
                <w:sz w:val="20"/>
              </w:rPr>
              <w:t>Class 1A and Class 3 antiarrhythmic agents</w:t>
            </w:r>
            <w:r>
              <w:rPr>
                <w:rFonts w:cs="Arial" w:asciiTheme="minorHAnsi" w:hAnsiTheme="minorHAnsi"/>
                <w:sz w:val="20"/>
              </w:rPr>
              <w:t>.</w:t>
            </w:r>
            <w:r w:rsidRPr="0053172C">
              <w:rPr>
                <w:rFonts w:cs="Arial" w:asciiTheme="minorHAnsi" w:hAnsiTheme="minorHAnsi"/>
                <w:sz w:val="20"/>
              </w:rPr>
              <w:t xml:space="preserve"> </w:t>
            </w:r>
          </w:p>
        </w:tc>
      </w:tr>
      <w:tr w:rsidRPr="0053172C" w:rsidR="00273A16" w:rsidTr="00747763" w14:paraId="3FB83215" w14:textId="77777777">
        <w:trPr>
          <w:trHeight w:val="276"/>
        </w:trPr>
        <w:tc>
          <w:tcPr>
            <w:tcW w:w="1985" w:type="dxa"/>
          </w:tcPr>
          <w:p w:rsidRPr="0053172C" w:rsidR="00A62B43" w:rsidP="0010214E" w:rsidRDefault="00A62B43" w14:paraId="0732A6DA" w14:textId="77777777">
            <w:pPr>
              <w:pStyle w:val="BodyText"/>
              <w:rPr>
                <w:rFonts w:cs="Arial" w:asciiTheme="minorHAnsi" w:hAnsiTheme="minorHAnsi"/>
                <w:b/>
                <w:bCs/>
                <w:sz w:val="20"/>
              </w:rPr>
            </w:pPr>
            <w:r w:rsidRPr="0053172C">
              <w:rPr>
                <w:rFonts w:cs="Arial" w:asciiTheme="minorHAnsi" w:hAnsiTheme="minorHAnsi"/>
                <w:b/>
                <w:bCs/>
                <w:sz w:val="20"/>
              </w:rPr>
              <w:lastRenderedPageBreak/>
              <w:t>Drug Interactions</w:t>
            </w:r>
          </w:p>
        </w:tc>
        <w:tc>
          <w:tcPr>
            <w:tcW w:w="8647" w:type="dxa"/>
          </w:tcPr>
          <w:p w:rsidRPr="005E5152" w:rsidR="00A62B43" w:rsidP="0010214E" w:rsidRDefault="00A62B43" w14:paraId="3D37AEB2" w14:textId="77777777">
            <w:pPr>
              <w:pStyle w:val="BodyText"/>
              <w:rPr>
                <w:rFonts w:cs="Arial" w:asciiTheme="minorHAnsi" w:hAnsiTheme="minorHAnsi"/>
                <w:sz w:val="20"/>
              </w:rPr>
            </w:pPr>
            <w:r w:rsidRPr="005E5152">
              <w:rPr>
                <w:rFonts w:cs="Arial" w:asciiTheme="minorHAnsi" w:hAnsiTheme="minorHAnsi"/>
                <w:sz w:val="20"/>
              </w:rPr>
              <w:t xml:space="preserve">QT interval prolonging drugs: Cisapride, </w:t>
            </w:r>
            <w:r>
              <w:rPr>
                <w:rFonts w:cs="Arial" w:asciiTheme="minorHAnsi" w:hAnsiTheme="minorHAnsi"/>
                <w:sz w:val="20"/>
              </w:rPr>
              <w:t>f</w:t>
            </w:r>
            <w:r w:rsidRPr="005E5152">
              <w:rPr>
                <w:rFonts w:cs="Arial" w:asciiTheme="minorHAnsi" w:hAnsiTheme="minorHAnsi"/>
                <w:sz w:val="20"/>
              </w:rPr>
              <w:t xml:space="preserve">luconazole, </w:t>
            </w:r>
            <w:r>
              <w:rPr>
                <w:rFonts w:cs="Arial" w:asciiTheme="minorHAnsi" w:hAnsiTheme="minorHAnsi"/>
                <w:sz w:val="20"/>
              </w:rPr>
              <w:t>o</w:t>
            </w:r>
            <w:r w:rsidRPr="005E5152">
              <w:rPr>
                <w:rFonts w:cs="Arial" w:asciiTheme="minorHAnsi" w:hAnsiTheme="minorHAnsi"/>
                <w:sz w:val="20"/>
              </w:rPr>
              <w:t xml:space="preserve">ctreotide, </w:t>
            </w:r>
            <w:r>
              <w:rPr>
                <w:rFonts w:cs="Arial" w:asciiTheme="minorHAnsi" w:hAnsiTheme="minorHAnsi"/>
                <w:sz w:val="20"/>
              </w:rPr>
              <w:t>c</w:t>
            </w:r>
            <w:r w:rsidRPr="005E5152">
              <w:rPr>
                <w:rFonts w:cs="Arial" w:asciiTheme="minorHAnsi" w:hAnsiTheme="minorHAnsi"/>
                <w:sz w:val="20"/>
              </w:rPr>
              <w:t xml:space="preserve">otrimoxazole, </w:t>
            </w:r>
            <w:r>
              <w:rPr>
                <w:rFonts w:cs="Arial" w:asciiTheme="minorHAnsi" w:hAnsiTheme="minorHAnsi"/>
                <w:sz w:val="20"/>
              </w:rPr>
              <w:t xml:space="preserve">verapamil, </w:t>
            </w:r>
            <w:r w:rsidRPr="005E5152">
              <w:rPr>
                <w:rFonts w:cs="Arial" w:asciiTheme="minorHAnsi" w:hAnsiTheme="minorHAnsi"/>
                <w:sz w:val="20"/>
              </w:rPr>
              <w:t xml:space="preserve">Class 1A </w:t>
            </w:r>
            <w:r>
              <w:rPr>
                <w:rFonts w:cs="Arial" w:asciiTheme="minorHAnsi" w:hAnsiTheme="minorHAnsi"/>
                <w:sz w:val="20"/>
              </w:rPr>
              <w:t xml:space="preserve">and Class 3 </w:t>
            </w:r>
            <w:r w:rsidRPr="005E5152">
              <w:rPr>
                <w:rFonts w:cs="Arial" w:asciiTheme="minorHAnsi" w:hAnsiTheme="minorHAnsi"/>
                <w:sz w:val="20"/>
              </w:rPr>
              <w:t>antiarrhythmic agents</w:t>
            </w:r>
            <w:r>
              <w:rPr>
                <w:rFonts w:cs="Arial" w:asciiTheme="minorHAnsi" w:hAnsiTheme="minorHAnsi"/>
                <w:sz w:val="20"/>
              </w:rPr>
              <w:t>.</w:t>
            </w:r>
            <w:r w:rsidRPr="005E5152">
              <w:rPr>
                <w:rFonts w:cs="Arial" w:asciiTheme="minorHAnsi" w:hAnsiTheme="minorHAnsi"/>
                <w:sz w:val="20"/>
              </w:rPr>
              <w:t xml:space="preserve"> </w:t>
            </w:r>
          </w:p>
          <w:p w:rsidR="00A62B43" w:rsidP="0010214E" w:rsidRDefault="00A62B43" w14:paraId="1C35B0AB" w14:textId="77777777">
            <w:pPr>
              <w:pStyle w:val="BodyText"/>
              <w:rPr>
                <w:rFonts w:cs="Arial" w:asciiTheme="minorHAnsi" w:hAnsiTheme="minorHAnsi"/>
                <w:sz w:val="20"/>
              </w:rPr>
            </w:pPr>
            <w:r>
              <w:rPr>
                <w:rFonts w:cs="Arial" w:asciiTheme="minorHAnsi" w:hAnsiTheme="minorHAnsi"/>
                <w:sz w:val="20"/>
              </w:rPr>
              <w:t>Drugs that may increase toxicity of erythromycin: Ketoconazole.</w:t>
            </w:r>
          </w:p>
          <w:p w:rsidR="00A62B43" w:rsidP="0010214E" w:rsidRDefault="00A62B43" w14:paraId="52C746F8" w14:textId="77777777">
            <w:pPr>
              <w:pStyle w:val="BodyText"/>
              <w:rPr>
                <w:rFonts w:cs="Arial" w:asciiTheme="minorHAnsi" w:hAnsiTheme="minorHAnsi"/>
                <w:sz w:val="20"/>
              </w:rPr>
            </w:pPr>
            <w:r>
              <w:rPr>
                <w:rFonts w:cs="Arial" w:asciiTheme="minorHAnsi" w:hAnsiTheme="minorHAnsi"/>
                <w:sz w:val="20"/>
              </w:rPr>
              <w:t>Drugs that may reduce erythromycin plasma concentration: Carbamazepine, theophylline.</w:t>
            </w:r>
          </w:p>
          <w:p w:rsidRPr="0053172C" w:rsidR="00A62B43" w:rsidP="0010214E" w:rsidRDefault="00A62B43" w14:paraId="41FA706F" w14:textId="77777777">
            <w:pPr>
              <w:pStyle w:val="BodyText"/>
              <w:rPr>
                <w:rFonts w:cs="Arial" w:asciiTheme="minorHAnsi" w:hAnsiTheme="minorHAnsi"/>
                <w:sz w:val="20"/>
              </w:rPr>
            </w:pPr>
            <w:r>
              <w:rPr>
                <w:rFonts w:cs="Arial" w:asciiTheme="minorHAnsi" w:hAnsiTheme="minorHAnsi"/>
                <w:sz w:val="20"/>
              </w:rPr>
              <w:t xml:space="preserve">Erythromycin may increase plasma concentrations of following drugs: </w:t>
            </w:r>
            <w:r w:rsidRPr="005E5152">
              <w:rPr>
                <w:rFonts w:cs="Arial" w:asciiTheme="minorHAnsi" w:hAnsiTheme="minorHAnsi"/>
                <w:sz w:val="20"/>
              </w:rPr>
              <w:t>Carbamazepine</w:t>
            </w:r>
            <w:r>
              <w:rPr>
                <w:rFonts w:cs="Arial" w:asciiTheme="minorHAnsi" w:hAnsiTheme="minorHAnsi"/>
                <w:sz w:val="20"/>
              </w:rPr>
              <w:t>, digoxin, theophylline, warfarin, midazolam.</w:t>
            </w:r>
            <w:r w:rsidRPr="005E5152">
              <w:rPr>
                <w:rFonts w:cs="Arial" w:asciiTheme="minorHAnsi" w:hAnsiTheme="minorHAnsi"/>
                <w:sz w:val="20"/>
              </w:rPr>
              <w:t xml:space="preserve"> </w:t>
            </w:r>
          </w:p>
        </w:tc>
      </w:tr>
      <w:tr w:rsidRPr="0053172C" w:rsidR="00273A16" w:rsidTr="00747763" w14:paraId="6DEAC48C" w14:textId="77777777">
        <w:trPr>
          <w:trHeight w:val="416"/>
        </w:trPr>
        <w:tc>
          <w:tcPr>
            <w:tcW w:w="1985" w:type="dxa"/>
          </w:tcPr>
          <w:p w:rsidRPr="0053172C" w:rsidR="00A62B43" w:rsidP="0010214E" w:rsidRDefault="00A62B43" w14:paraId="18662EB7" w14:textId="77777777">
            <w:pPr>
              <w:pStyle w:val="BodyText"/>
              <w:rPr>
                <w:rFonts w:cs="Arial" w:asciiTheme="minorHAnsi" w:hAnsiTheme="minorHAnsi"/>
                <w:b/>
                <w:bCs/>
                <w:sz w:val="20"/>
              </w:rPr>
            </w:pPr>
            <w:r w:rsidRPr="0053172C">
              <w:rPr>
                <w:rFonts w:cs="Arial" w:asciiTheme="minorHAnsi" w:hAnsiTheme="minorHAnsi"/>
                <w:b/>
                <w:bCs/>
                <w:sz w:val="20"/>
              </w:rPr>
              <w:t xml:space="preserve">Adverse Reactions         </w:t>
            </w:r>
          </w:p>
          <w:p w:rsidRPr="0053172C" w:rsidR="00A62B43" w:rsidP="0010214E" w:rsidRDefault="00A62B43" w14:paraId="231AE937" w14:textId="77777777">
            <w:pPr>
              <w:pStyle w:val="BodyText"/>
              <w:rPr>
                <w:rFonts w:cs="Arial" w:asciiTheme="minorHAnsi" w:hAnsiTheme="minorHAnsi"/>
                <w:b/>
                <w:bCs/>
                <w:sz w:val="20"/>
              </w:rPr>
            </w:pPr>
          </w:p>
        </w:tc>
        <w:tc>
          <w:tcPr>
            <w:tcW w:w="8647" w:type="dxa"/>
          </w:tcPr>
          <w:p w:rsidRPr="00747763" w:rsidR="00A62B43" w:rsidP="0010214E" w:rsidRDefault="00A62B43" w14:paraId="5A71A870" w14:textId="77777777">
            <w:pPr>
              <w:pStyle w:val="BodyText"/>
              <w:rPr>
                <w:rFonts w:asciiTheme="minorHAnsi" w:hAnsiTheme="minorHAnsi"/>
                <w:sz w:val="16"/>
                <w:szCs w:val="16"/>
              </w:rPr>
            </w:pPr>
            <w:r w:rsidRPr="00747763">
              <w:rPr>
                <w:rFonts w:asciiTheme="minorHAnsi" w:hAnsiTheme="minorHAnsi"/>
                <w:sz w:val="16"/>
                <w:szCs w:val="16"/>
              </w:rPr>
              <w:t>Infantile hypertrophic pyloric stenosis (IHPS):</w:t>
            </w:r>
            <w:r w:rsidRPr="00747763">
              <w:rPr>
                <w:sz w:val="16"/>
                <w:szCs w:val="16"/>
              </w:rPr>
              <w:t xml:space="preserve"> </w:t>
            </w:r>
            <w:r w:rsidRPr="00747763">
              <w:rPr>
                <w:rFonts w:asciiTheme="minorHAnsi" w:hAnsiTheme="minorHAnsi"/>
                <w:sz w:val="16"/>
                <w:szCs w:val="16"/>
              </w:rPr>
              <w:t>Risk of developing IHPS following erythromycin exposure is 0.4 % (95% CI 0.3–0.5%) in those receiving erythromycin at any time and 2.6 % (95% CI 1.5–4.2%) in those receiving erythromycin in the first 14 days.</w:t>
            </w:r>
            <w:r w:rsidRPr="00747763">
              <w:rPr>
                <w:rFonts w:asciiTheme="minorHAnsi" w:hAnsiTheme="minorHAnsi"/>
                <w:sz w:val="16"/>
                <w:szCs w:val="16"/>
                <w:vertAlign w:val="superscript"/>
              </w:rPr>
              <w:t>16</w:t>
            </w:r>
          </w:p>
          <w:p w:rsidRPr="00747763" w:rsidR="00A62B43" w:rsidP="0010214E" w:rsidRDefault="00A62B43" w14:paraId="5557B923" w14:textId="77777777">
            <w:pPr>
              <w:pStyle w:val="BodyText"/>
              <w:rPr>
                <w:rFonts w:asciiTheme="minorHAnsi" w:hAnsiTheme="minorHAnsi"/>
                <w:sz w:val="16"/>
                <w:szCs w:val="16"/>
              </w:rPr>
            </w:pPr>
            <w:r w:rsidRPr="00747763">
              <w:rPr>
                <w:rFonts w:asciiTheme="minorHAnsi" w:hAnsiTheme="minorHAnsi"/>
                <w:sz w:val="16"/>
                <w:szCs w:val="16"/>
              </w:rPr>
              <w:t>COMMON: Nausea, vomiting and abdominal pain. The incidence of GI reactions may vary with the erythromycin salt preparation and/or dosing regimen. Diarrhoea may occur due to increased gastrointestinal motility caused by erythromycin.</w:t>
            </w:r>
          </w:p>
          <w:p w:rsidRPr="00747763" w:rsidR="00A62B43" w:rsidP="0010214E" w:rsidRDefault="00A62B43" w14:paraId="21665580" w14:textId="77777777">
            <w:pPr>
              <w:pStyle w:val="BodyText"/>
              <w:rPr>
                <w:rFonts w:cs="Arial" w:asciiTheme="minorHAnsi" w:hAnsiTheme="minorHAnsi"/>
                <w:sz w:val="16"/>
                <w:szCs w:val="16"/>
              </w:rPr>
            </w:pPr>
            <w:r w:rsidRPr="00747763">
              <w:rPr>
                <w:rFonts w:asciiTheme="minorHAnsi" w:hAnsiTheme="minorHAnsi"/>
                <w:sz w:val="16"/>
                <w:szCs w:val="16"/>
              </w:rPr>
              <w:t>LESS FREQUENT OR RARE: Pancreatitis, pyloric stenosis, ileus, pseudomembranous colitis, sensorineural hearing loss, cholestasis, acute hepatitis, hepatic failure, agranulocytosis, thrombocytopenia, haemolytic anaemia, hypothermia, hypovolaemic shock and hypotension, leukocytoclastic vasculitis, acute respiratory distress following an allergic reaction, Schonlein-Henoch syndrome, candidal esophagitis, gingival hyperplasia, contact dermatitis, fixed drug eruptions, toxic pustuloderma, toxic epidermal necrolysis, interstitial nephritis, glomerulonephritis.</w:t>
            </w:r>
          </w:p>
        </w:tc>
      </w:tr>
      <w:tr w:rsidRPr="0053172C" w:rsidR="00273A16" w:rsidTr="00747763" w14:paraId="1569CE9D" w14:textId="77777777">
        <w:trPr>
          <w:trHeight w:val="87"/>
        </w:trPr>
        <w:tc>
          <w:tcPr>
            <w:tcW w:w="1985" w:type="dxa"/>
          </w:tcPr>
          <w:p w:rsidRPr="0053172C" w:rsidR="00A62B43" w:rsidP="0010214E" w:rsidRDefault="00A62B43" w14:paraId="62831FC6" w14:textId="77777777">
            <w:pPr>
              <w:pStyle w:val="BodyText"/>
              <w:rPr>
                <w:rFonts w:cs="Arial" w:asciiTheme="minorHAnsi" w:hAnsiTheme="minorHAnsi"/>
                <w:b/>
                <w:bCs/>
                <w:sz w:val="20"/>
              </w:rPr>
            </w:pPr>
            <w:r w:rsidRPr="0053172C">
              <w:rPr>
                <w:rFonts w:cs="Arial" w:asciiTheme="minorHAnsi" w:hAnsiTheme="minorHAnsi"/>
                <w:b/>
                <w:bCs/>
                <w:sz w:val="20"/>
              </w:rPr>
              <w:t>Compatibility</w:t>
            </w:r>
          </w:p>
        </w:tc>
        <w:tc>
          <w:tcPr>
            <w:tcW w:w="8647" w:type="dxa"/>
          </w:tcPr>
          <w:p w:rsidRPr="0053172C" w:rsidR="00A62B43" w:rsidP="0010214E" w:rsidRDefault="00A62B43" w14:paraId="5B66E4F1" w14:textId="77777777">
            <w:pPr>
              <w:pStyle w:val="BodyText"/>
              <w:rPr>
                <w:rFonts w:asciiTheme="minorHAnsi" w:hAnsiTheme="minorHAnsi"/>
                <w:sz w:val="20"/>
              </w:rPr>
            </w:pPr>
            <w:r>
              <w:rPr>
                <w:rFonts w:asciiTheme="minorHAnsi" w:hAnsiTheme="minorHAnsi"/>
                <w:sz w:val="20"/>
              </w:rPr>
              <w:t>Not applicable</w:t>
            </w:r>
          </w:p>
        </w:tc>
      </w:tr>
      <w:tr w:rsidRPr="0053172C" w:rsidR="00273A16" w:rsidTr="00747763" w14:paraId="4961CD46" w14:textId="77777777">
        <w:trPr>
          <w:trHeight w:val="70"/>
        </w:trPr>
        <w:tc>
          <w:tcPr>
            <w:tcW w:w="1985" w:type="dxa"/>
          </w:tcPr>
          <w:p w:rsidRPr="0053172C" w:rsidR="00A62B43" w:rsidP="0010214E" w:rsidRDefault="00A62B43" w14:paraId="17282771" w14:textId="77777777">
            <w:pPr>
              <w:pStyle w:val="BodyText"/>
              <w:rPr>
                <w:rFonts w:cs="Arial" w:asciiTheme="minorHAnsi" w:hAnsiTheme="minorHAnsi"/>
                <w:b/>
                <w:bCs/>
                <w:sz w:val="20"/>
              </w:rPr>
            </w:pPr>
            <w:r w:rsidRPr="0053172C">
              <w:rPr>
                <w:rFonts w:cs="Arial" w:asciiTheme="minorHAnsi" w:hAnsiTheme="minorHAnsi"/>
                <w:b/>
                <w:bCs/>
                <w:sz w:val="20"/>
              </w:rPr>
              <w:t>Incompatibility</w:t>
            </w:r>
          </w:p>
        </w:tc>
        <w:tc>
          <w:tcPr>
            <w:tcW w:w="8647" w:type="dxa"/>
          </w:tcPr>
          <w:p w:rsidRPr="0053172C" w:rsidR="00A62B43" w:rsidP="0010214E" w:rsidRDefault="00A62B43" w14:paraId="7A7DDBAF" w14:textId="77777777">
            <w:pPr>
              <w:pStyle w:val="BodyText"/>
              <w:rPr>
                <w:rFonts w:cs="Arial" w:asciiTheme="minorHAnsi" w:hAnsiTheme="minorHAnsi"/>
                <w:sz w:val="20"/>
              </w:rPr>
            </w:pPr>
            <w:r>
              <w:rPr>
                <w:rFonts w:asciiTheme="minorHAnsi" w:hAnsiTheme="minorHAnsi"/>
                <w:sz w:val="20"/>
              </w:rPr>
              <w:t>Not applicable</w:t>
            </w:r>
          </w:p>
        </w:tc>
      </w:tr>
      <w:tr w:rsidRPr="0053172C" w:rsidR="00273A16" w:rsidTr="00747763" w14:paraId="2E1FD58C" w14:textId="77777777">
        <w:trPr>
          <w:trHeight w:val="159"/>
        </w:trPr>
        <w:tc>
          <w:tcPr>
            <w:tcW w:w="1985" w:type="dxa"/>
          </w:tcPr>
          <w:p w:rsidRPr="0053172C" w:rsidR="00A62B43" w:rsidP="0010214E" w:rsidRDefault="00A62B43" w14:paraId="480CC448" w14:textId="77777777">
            <w:pPr>
              <w:pStyle w:val="BodyText"/>
              <w:rPr>
                <w:rFonts w:cs="Arial" w:asciiTheme="minorHAnsi" w:hAnsiTheme="minorHAnsi"/>
                <w:b/>
                <w:bCs/>
                <w:sz w:val="20"/>
              </w:rPr>
            </w:pPr>
            <w:r w:rsidRPr="0053172C">
              <w:rPr>
                <w:rFonts w:cs="Arial" w:asciiTheme="minorHAnsi" w:hAnsiTheme="minorHAnsi"/>
                <w:b/>
                <w:bCs/>
                <w:sz w:val="20"/>
              </w:rPr>
              <w:t xml:space="preserve">Stability                  </w:t>
            </w:r>
          </w:p>
        </w:tc>
        <w:tc>
          <w:tcPr>
            <w:tcW w:w="8647" w:type="dxa"/>
          </w:tcPr>
          <w:p w:rsidRPr="0053172C" w:rsidR="00A62B43" w:rsidP="0010214E" w:rsidRDefault="00A62B43" w14:paraId="2CD2CD6F" w14:textId="77777777">
            <w:pPr>
              <w:pStyle w:val="BodyText"/>
              <w:rPr>
                <w:rFonts w:cs="Arial" w:asciiTheme="minorHAnsi" w:hAnsiTheme="minorHAnsi"/>
                <w:sz w:val="20"/>
              </w:rPr>
            </w:pPr>
            <w:r w:rsidRPr="005E5152">
              <w:rPr>
                <w:rFonts w:asciiTheme="minorHAnsi" w:hAnsiTheme="minorHAnsi"/>
                <w:sz w:val="20"/>
              </w:rPr>
              <w:t>After reconstituting granules, refrigerate and use within 10 days</w:t>
            </w:r>
            <w:r>
              <w:rPr>
                <w:rFonts w:asciiTheme="minorHAnsi" w:hAnsiTheme="minorHAnsi"/>
                <w:sz w:val="20"/>
              </w:rPr>
              <w:t>.</w:t>
            </w:r>
          </w:p>
        </w:tc>
      </w:tr>
      <w:tr w:rsidRPr="0053172C" w:rsidR="00273A16" w:rsidTr="00747763" w14:paraId="4E279FDA" w14:textId="77777777">
        <w:trPr>
          <w:trHeight w:val="163"/>
        </w:trPr>
        <w:tc>
          <w:tcPr>
            <w:tcW w:w="1985" w:type="dxa"/>
          </w:tcPr>
          <w:p w:rsidRPr="0053172C" w:rsidR="00A62B43" w:rsidP="0010214E" w:rsidRDefault="00A62B43" w14:paraId="16501482" w14:textId="77777777">
            <w:pPr>
              <w:pStyle w:val="BodyText"/>
              <w:rPr>
                <w:rFonts w:cs="Arial" w:asciiTheme="minorHAnsi" w:hAnsiTheme="minorHAnsi"/>
                <w:b/>
                <w:bCs/>
                <w:sz w:val="20"/>
              </w:rPr>
            </w:pPr>
            <w:r w:rsidRPr="0053172C">
              <w:rPr>
                <w:rFonts w:cs="Arial" w:asciiTheme="minorHAnsi" w:hAnsiTheme="minorHAnsi"/>
                <w:b/>
                <w:bCs/>
                <w:sz w:val="20"/>
              </w:rPr>
              <w:t xml:space="preserve">Storage             </w:t>
            </w:r>
          </w:p>
        </w:tc>
        <w:tc>
          <w:tcPr>
            <w:tcW w:w="8647" w:type="dxa"/>
          </w:tcPr>
          <w:p w:rsidRPr="0053172C" w:rsidR="00A62B43" w:rsidP="0010214E" w:rsidRDefault="00A62B43" w14:paraId="192F7EFE" w14:textId="77777777">
            <w:pPr>
              <w:pStyle w:val="BodyText"/>
              <w:rPr>
                <w:rFonts w:cs="Arial" w:asciiTheme="minorHAnsi" w:hAnsiTheme="minorHAnsi"/>
                <w:sz w:val="20"/>
              </w:rPr>
            </w:pPr>
            <w:r w:rsidRPr="0007609B">
              <w:rPr>
                <w:rFonts w:cs="Arial" w:asciiTheme="minorHAnsi" w:hAnsiTheme="minorHAnsi"/>
                <w:sz w:val="20"/>
              </w:rPr>
              <w:t>Store granules below 25°C. Reconstituted suspension should be refrigerated at 2</w:t>
            </w:r>
            <w:r>
              <w:rPr>
                <w:rFonts w:cs="Arial" w:asciiTheme="minorHAnsi" w:hAnsiTheme="minorHAnsi"/>
                <w:sz w:val="20"/>
              </w:rPr>
              <w:t>–</w:t>
            </w:r>
            <w:r w:rsidRPr="0007609B">
              <w:rPr>
                <w:rFonts w:cs="Arial" w:asciiTheme="minorHAnsi" w:hAnsiTheme="minorHAnsi"/>
                <w:sz w:val="20"/>
              </w:rPr>
              <w:t>8°C and used within 10 days; do not freeze.</w:t>
            </w:r>
          </w:p>
        </w:tc>
      </w:tr>
      <w:tr w:rsidRPr="0053172C" w:rsidR="00273A16" w:rsidTr="00747763" w14:paraId="0F797507" w14:textId="77777777">
        <w:trPr>
          <w:trHeight w:val="395"/>
        </w:trPr>
        <w:tc>
          <w:tcPr>
            <w:tcW w:w="1985" w:type="dxa"/>
          </w:tcPr>
          <w:p w:rsidRPr="0053172C" w:rsidR="00A62B43" w:rsidP="0010214E" w:rsidRDefault="00A62B43" w14:paraId="612C5645" w14:textId="77777777">
            <w:pPr>
              <w:pStyle w:val="BodyText"/>
              <w:rPr>
                <w:rFonts w:cs="Arial" w:asciiTheme="minorHAnsi" w:hAnsiTheme="minorHAnsi"/>
                <w:b/>
                <w:bCs/>
                <w:sz w:val="20"/>
              </w:rPr>
            </w:pPr>
            <w:r w:rsidRPr="0053172C">
              <w:rPr>
                <w:rFonts w:cs="Arial" w:asciiTheme="minorHAnsi" w:hAnsiTheme="minorHAnsi"/>
                <w:b/>
                <w:bCs/>
                <w:sz w:val="20"/>
              </w:rPr>
              <w:t xml:space="preserve">Special Comments       </w:t>
            </w:r>
          </w:p>
          <w:p w:rsidRPr="0053172C" w:rsidR="00A62B43" w:rsidP="0010214E" w:rsidRDefault="00A62B43" w14:paraId="7CF67A5E" w14:textId="77777777">
            <w:pPr>
              <w:pStyle w:val="BodyText"/>
              <w:rPr>
                <w:rFonts w:cs="Arial" w:asciiTheme="minorHAnsi" w:hAnsiTheme="minorHAnsi"/>
                <w:b/>
                <w:bCs/>
                <w:sz w:val="20"/>
              </w:rPr>
            </w:pPr>
          </w:p>
        </w:tc>
        <w:tc>
          <w:tcPr>
            <w:tcW w:w="8647" w:type="dxa"/>
          </w:tcPr>
          <w:p w:rsidRPr="005E5152" w:rsidR="00A62B43" w:rsidP="0010214E" w:rsidRDefault="00A62B43" w14:paraId="16C1582B" w14:textId="77777777">
            <w:pPr>
              <w:pStyle w:val="BodyText"/>
              <w:rPr>
                <w:rFonts w:cs="Arial" w:asciiTheme="minorHAnsi" w:hAnsiTheme="minorHAnsi"/>
                <w:sz w:val="20"/>
              </w:rPr>
            </w:pPr>
            <w:r w:rsidRPr="005E5152">
              <w:rPr>
                <w:rFonts w:cs="Arial" w:asciiTheme="minorHAnsi" w:hAnsiTheme="minorHAnsi"/>
                <w:sz w:val="20"/>
              </w:rPr>
              <w:t>Readily absorbed</w:t>
            </w:r>
            <w:r>
              <w:rPr>
                <w:rFonts w:cs="Arial" w:asciiTheme="minorHAnsi" w:hAnsiTheme="minorHAnsi"/>
                <w:sz w:val="20"/>
              </w:rPr>
              <w:t>.</w:t>
            </w:r>
          </w:p>
          <w:p w:rsidRPr="0053172C" w:rsidR="00A62B43" w:rsidP="0010214E" w:rsidRDefault="00A62B43" w14:paraId="12603261" w14:textId="77777777">
            <w:pPr>
              <w:pStyle w:val="BodyText"/>
              <w:rPr>
                <w:rFonts w:cs="Arial" w:asciiTheme="minorHAnsi" w:hAnsiTheme="minorHAnsi"/>
                <w:sz w:val="20"/>
              </w:rPr>
            </w:pPr>
            <w:r w:rsidRPr="005E5152">
              <w:rPr>
                <w:rFonts w:cs="Arial" w:asciiTheme="minorHAnsi" w:hAnsiTheme="minorHAnsi"/>
                <w:sz w:val="20"/>
              </w:rPr>
              <w:t xml:space="preserve">Hepatic metabolism by </w:t>
            </w:r>
            <w:r>
              <w:rPr>
                <w:rFonts w:cs="Arial" w:asciiTheme="minorHAnsi" w:hAnsiTheme="minorHAnsi"/>
                <w:sz w:val="20"/>
              </w:rPr>
              <w:t>c</w:t>
            </w:r>
            <w:r w:rsidRPr="005E5152">
              <w:rPr>
                <w:rFonts w:cs="Arial" w:asciiTheme="minorHAnsi" w:hAnsiTheme="minorHAnsi"/>
                <w:sz w:val="20"/>
              </w:rPr>
              <w:t>ytochrome P450 enzymes</w:t>
            </w:r>
            <w:r>
              <w:rPr>
                <w:rFonts w:cs="Arial" w:asciiTheme="minorHAnsi" w:hAnsiTheme="minorHAnsi"/>
                <w:sz w:val="20"/>
              </w:rPr>
              <w:t>.</w:t>
            </w:r>
          </w:p>
        </w:tc>
      </w:tr>
      <w:tr w:rsidRPr="0053172C" w:rsidR="00273A16" w:rsidTr="00747763" w14:paraId="383DB5A5" w14:textId="77777777">
        <w:trPr>
          <w:trHeight w:val="673"/>
        </w:trPr>
        <w:tc>
          <w:tcPr>
            <w:tcW w:w="1985" w:type="dxa"/>
          </w:tcPr>
          <w:p w:rsidRPr="0053172C" w:rsidR="00A62B43" w:rsidP="0010214E" w:rsidRDefault="00A62B43" w14:paraId="418B5374" w14:textId="77777777">
            <w:pPr>
              <w:pStyle w:val="BodyText"/>
              <w:rPr>
                <w:rFonts w:cs="Arial" w:asciiTheme="minorHAnsi" w:hAnsiTheme="minorHAnsi"/>
                <w:b/>
                <w:bCs/>
                <w:sz w:val="20"/>
              </w:rPr>
            </w:pPr>
            <w:r w:rsidRPr="0053172C">
              <w:rPr>
                <w:rFonts w:cs="Arial" w:asciiTheme="minorHAnsi" w:hAnsiTheme="minorHAnsi"/>
                <w:b/>
                <w:bCs/>
                <w:sz w:val="20"/>
              </w:rPr>
              <w:t>Evidence summary</w:t>
            </w:r>
          </w:p>
        </w:tc>
        <w:tc>
          <w:tcPr>
            <w:tcW w:w="8647" w:type="dxa"/>
          </w:tcPr>
          <w:p w:rsidRPr="00A8687F" w:rsidR="00A62B43" w:rsidP="0010214E" w:rsidRDefault="00A62B43" w14:paraId="190D4EAD" w14:textId="77777777">
            <w:pPr>
              <w:pStyle w:val="BodyText"/>
              <w:tabs>
                <w:tab w:val="left" w:pos="1168"/>
              </w:tabs>
              <w:rPr>
                <w:rFonts w:cs="Arial" w:asciiTheme="minorHAnsi" w:hAnsiTheme="minorHAnsi"/>
                <w:b/>
                <w:sz w:val="16"/>
                <w:szCs w:val="16"/>
              </w:rPr>
            </w:pPr>
            <w:r w:rsidRPr="00A8687F">
              <w:rPr>
                <w:rFonts w:cs="Arial" w:asciiTheme="minorHAnsi" w:hAnsiTheme="minorHAnsi"/>
                <w:b/>
                <w:sz w:val="16"/>
                <w:szCs w:val="16"/>
              </w:rPr>
              <w:t>Efficacy</w:t>
            </w:r>
          </w:p>
          <w:p w:rsidRPr="00A8687F" w:rsidR="00A62B43" w:rsidP="0010214E" w:rsidRDefault="00A62B43" w14:paraId="2E900BE7" w14:textId="77777777">
            <w:pPr>
              <w:pStyle w:val="BodyText"/>
              <w:tabs>
                <w:tab w:val="left" w:pos="1168"/>
              </w:tabs>
              <w:rPr>
                <w:rFonts w:cs="Arial" w:asciiTheme="minorHAnsi" w:hAnsiTheme="minorHAnsi"/>
                <w:sz w:val="16"/>
                <w:szCs w:val="16"/>
                <w:u w:val="single"/>
              </w:rPr>
            </w:pPr>
            <w:r w:rsidRPr="00A8687F">
              <w:rPr>
                <w:rFonts w:cs="Arial" w:asciiTheme="minorHAnsi" w:hAnsiTheme="minorHAnsi"/>
                <w:sz w:val="16"/>
                <w:szCs w:val="16"/>
                <w:u w:val="single"/>
              </w:rPr>
              <w:t>Pertussis – post-exposure prophylaxis and treatment</w:t>
            </w:r>
            <w:r w:rsidRPr="00A8687F">
              <w:rPr>
                <w:rFonts w:cs="Arial" w:asciiTheme="minorHAnsi" w:hAnsiTheme="minorHAnsi"/>
                <w:sz w:val="16"/>
                <w:szCs w:val="16"/>
                <w:u w:val="single"/>
                <w:vertAlign w:val="superscript"/>
              </w:rPr>
              <w:t>1,4</w:t>
            </w:r>
          </w:p>
          <w:p w:rsidRPr="00A8687F" w:rsidR="00A62B43" w:rsidP="0010214E" w:rsidRDefault="00A62B43" w14:paraId="67257A94" w14:textId="77777777">
            <w:pPr>
              <w:pStyle w:val="BodyText"/>
              <w:tabs>
                <w:tab w:val="left" w:pos="1168"/>
              </w:tabs>
              <w:rPr>
                <w:rFonts w:cs="Arial" w:asciiTheme="minorHAnsi" w:hAnsiTheme="minorHAnsi"/>
                <w:sz w:val="16"/>
                <w:szCs w:val="16"/>
                <w:vertAlign w:val="superscript"/>
              </w:rPr>
            </w:pPr>
            <w:r w:rsidRPr="00A8687F">
              <w:rPr>
                <w:rFonts w:cs="Arial" w:asciiTheme="minorHAnsi" w:hAnsiTheme="minorHAnsi"/>
                <w:sz w:val="16"/>
                <w:szCs w:val="16"/>
              </w:rPr>
              <w:t xml:space="preserve">Systematic review of eradicating </w:t>
            </w:r>
            <w:r w:rsidRPr="00A8687F">
              <w:rPr>
                <w:rFonts w:cs="Arial" w:asciiTheme="minorHAnsi" w:hAnsiTheme="minorHAnsi"/>
                <w:i/>
                <w:sz w:val="16"/>
                <w:szCs w:val="16"/>
              </w:rPr>
              <w:t>B. pertussis</w:t>
            </w:r>
            <w:r w:rsidRPr="00A8687F">
              <w:rPr>
                <w:rFonts w:cs="Arial" w:asciiTheme="minorHAnsi" w:hAnsiTheme="minorHAnsi"/>
                <w:sz w:val="16"/>
                <w:szCs w:val="16"/>
              </w:rPr>
              <w:t xml:space="preserve"> from the nasopharynx found short-term antibiotics (azithromycin for 3–5 days, or clarithromycin or erythromycin for 7 days) were as effective as long-term (erythromycin for 10 to 14 days) (risk ratio (RR) 1.01; 95% CI 0.98 to 1.04), but had fewer side effects (RR 0.66; 95% CI 0.52 to 0.83).</w:t>
            </w:r>
            <w:r w:rsidRPr="00A8687F">
              <w:rPr>
                <w:rFonts w:cs="Arial" w:asciiTheme="minorHAnsi" w:hAnsiTheme="minorHAnsi"/>
                <w:sz w:val="16"/>
                <w:szCs w:val="16"/>
                <w:vertAlign w:val="superscript"/>
              </w:rPr>
              <w:t>4</w:t>
            </w:r>
          </w:p>
          <w:p w:rsidRPr="00A8687F" w:rsidR="00A62B43" w:rsidP="0010214E" w:rsidRDefault="00A62B43" w14:paraId="23DC5B8E"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rPr>
              <w:t>The Centers for Disease Control and Prevention recommends oral azithromycin 10 mg/kg/day daily for 5 days. Azithromycin has the advantage of once daily dosing and shorter duration of therapy.</w:t>
            </w:r>
            <w:r w:rsidRPr="00A8687F">
              <w:rPr>
                <w:rFonts w:cs="Arial" w:asciiTheme="minorHAnsi" w:hAnsiTheme="minorHAnsi"/>
                <w:sz w:val="16"/>
                <w:szCs w:val="16"/>
                <w:vertAlign w:val="superscript"/>
              </w:rPr>
              <w:t xml:space="preserve">1 </w:t>
            </w:r>
            <w:r w:rsidRPr="00A8687F">
              <w:rPr>
                <w:rFonts w:cs="Arial" w:asciiTheme="minorHAnsi" w:hAnsiTheme="minorHAnsi"/>
                <w:sz w:val="16"/>
                <w:szCs w:val="16"/>
              </w:rPr>
              <w:t>Erythromycin may be used if azithromycin is unavailable: 40 mg/kg per day in 4 divided doses for 14 days.</w:t>
            </w:r>
            <w:r w:rsidRPr="00A8687F">
              <w:rPr>
                <w:rFonts w:cs="Arial" w:asciiTheme="minorHAnsi" w:hAnsiTheme="minorHAnsi"/>
                <w:sz w:val="16"/>
                <w:szCs w:val="16"/>
                <w:vertAlign w:val="superscript"/>
              </w:rPr>
              <w:t>1</w:t>
            </w:r>
          </w:p>
          <w:p w:rsidRPr="00A8687F" w:rsidR="00A62B43" w:rsidP="0010214E" w:rsidRDefault="00A62B43" w14:paraId="57B11D9E" w14:textId="77777777">
            <w:pPr>
              <w:pStyle w:val="BodyText"/>
              <w:tabs>
                <w:tab w:val="left" w:pos="1168"/>
              </w:tabs>
              <w:rPr>
                <w:rFonts w:cs="Arial" w:asciiTheme="minorHAnsi" w:hAnsiTheme="minorHAnsi"/>
                <w:bCs/>
                <w:sz w:val="16"/>
                <w:szCs w:val="16"/>
                <w:u w:val="single"/>
                <w:lang w:val="en"/>
              </w:rPr>
            </w:pPr>
          </w:p>
          <w:p w:rsidRPr="00A8687F" w:rsidR="00A62B43" w:rsidP="0010214E" w:rsidRDefault="00A62B43" w14:paraId="40CA17BB" w14:textId="77777777">
            <w:pPr>
              <w:pStyle w:val="BodyText"/>
              <w:tabs>
                <w:tab w:val="left" w:pos="1168"/>
              </w:tabs>
              <w:rPr>
                <w:rFonts w:cs="Arial" w:asciiTheme="minorHAnsi" w:hAnsiTheme="minorHAnsi"/>
                <w:sz w:val="16"/>
                <w:szCs w:val="16"/>
                <w:u w:val="single"/>
                <w:lang w:val="en"/>
              </w:rPr>
            </w:pPr>
            <w:r w:rsidRPr="00A8687F">
              <w:rPr>
                <w:rFonts w:cs="Arial" w:asciiTheme="minorHAnsi" w:hAnsiTheme="minorHAnsi"/>
                <w:bCs/>
                <w:i/>
                <w:sz w:val="16"/>
                <w:szCs w:val="16"/>
                <w:u w:val="single"/>
                <w:lang w:val="en"/>
              </w:rPr>
              <w:t>Chlamydia</w:t>
            </w:r>
            <w:r w:rsidRPr="00A8687F">
              <w:rPr>
                <w:rFonts w:cs="Arial" w:asciiTheme="minorHAnsi" w:hAnsiTheme="minorHAnsi"/>
                <w:bCs/>
                <w:sz w:val="16"/>
                <w:szCs w:val="16"/>
                <w:u w:val="single"/>
                <w:lang w:val="en"/>
              </w:rPr>
              <w:t xml:space="preserve"> prophylaxis in infants born to mothers who have chlamydial infection</w:t>
            </w:r>
            <w:r w:rsidRPr="00A8687F">
              <w:rPr>
                <w:rFonts w:cs="Arial" w:asciiTheme="minorHAnsi" w:hAnsiTheme="minorHAnsi"/>
                <w:bCs/>
                <w:sz w:val="16"/>
                <w:szCs w:val="16"/>
                <w:u w:val="single"/>
                <w:vertAlign w:val="superscript"/>
                <w:lang w:val="en"/>
              </w:rPr>
              <w:t>2</w:t>
            </w:r>
          </w:p>
          <w:p w:rsidRPr="00A8687F" w:rsidR="00A62B43" w:rsidP="0010214E" w:rsidRDefault="00A62B43" w14:paraId="23FD38E7" w14:textId="77777777">
            <w:pPr>
              <w:pStyle w:val="BodyText"/>
              <w:tabs>
                <w:tab w:val="left" w:pos="1168"/>
              </w:tabs>
              <w:rPr>
                <w:rFonts w:cs="Arial" w:asciiTheme="minorHAnsi" w:hAnsiTheme="minorHAnsi"/>
                <w:sz w:val="16"/>
                <w:szCs w:val="16"/>
                <w:lang w:val="en"/>
              </w:rPr>
            </w:pPr>
            <w:r w:rsidRPr="00A8687F">
              <w:rPr>
                <w:rFonts w:cs="Arial" w:asciiTheme="minorHAnsi" w:hAnsiTheme="minorHAnsi"/>
                <w:sz w:val="16"/>
                <w:szCs w:val="16"/>
                <w:lang w:val="en"/>
              </w:rPr>
              <w:t>Infants born to mothers who have untreated chlamydia are at high risk for infection. However, prophylactic antibiotic treatment is not indicated and the efficacy of such treatment is unknown. Infants should be monitored to ensure appropriate diagnosis and treatment if symptoms develop.</w:t>
            </w:r>
          </w:p>
          <w:p w:rsidRPr="00A8687F" w:rsidR="00A62B43" w:rsidP="0010214E" w:rsidRDefault="00A62B43" w14:paraId="447CB2D6" w14:textId="77777777">
            <w:pPr>
              <w:pStyle w:val="BodyText"/>
              <w:tabs>
                <w:tab w:val="left" w:pos="1168"/>
              </w:tabs>
              <w:rPr>
                <w:rFonts w:cs="Arial" w:asciiTheme="minorHAnsi" w:hAnsiTheme="minorHAnsi"/>
                <w:sz w:val="16"/>
                <w:szCs w:val="16"/>
                <w:u w:val="single"/>
              </w:rPr>
            </w:pPr>
          </w:p>
          <w:p w:rsidRPr="00A8687F" w:rsidR="00A62B43" w:rsidP="0010214E" w:rsidRDefault="00A62B43" w14:paraId="7EE58911" w14:textId="77777777">
            <w:pPr>
              <w:pStyle w:val="BodyText"/>
              <w:tabs>
                <w:tab w:val="left" w:pos="1168"/>
              </w:tabs>
              <w:rPr>
                <w:rFonts w:cs="Arial" w:asciiTheme="minorHAnsi" w:hAnsiTheme="minorHAnsi"/>
                <w:sz w:val="16"/>
                <w:szCs w:val="16"/>
                <w:u w:val="single"/>
              </w:rPr>
            </w:pPr>
            <w:r w:rsidRPr="00A8687F">
              <w:rPr>
                <w:rFonts w:cs="Arial" w:asciiTheme="minorHAnsi" w:hAnsiTheme="minorHAnsi"/>
                <w:sz w:val="16"/>
                <w:szCs w:val="16"/>
                <w:u w:val="single"/>
              </w:rPr>
              <w:t>Treatment of chlamydial conjunctivitis and pneumonia</w:t>
            </w:r>
            <w:r w:rsidRPr="00A8687F">
              <w:rPr>
                <w:rFonts w:cs="Arial" w:asciiTheme="minorHAnsi" w:hAnsiTheme="minorHAnsi"/>
                <w:sz w:val="16"/>
                <w:szCs w:val="16"/>
                <w:u w:val="single"/>
                <w:vertAlign w:val="superscript"/>
              </w:rPr>
              <w:t>2</w:t>
            </w:r>
          </w:p>
          <w:p w:rsidRPr="00A8687F" w:rsidR="00A62B43" w:rsidP="0010214E" w:rsidRDefault="00A62B43" w14:paraId="46C83C66" w14:textId="77777777">
            <w:pPr>
              <w:pStyle w:val="BodyText"/>
              <w:tabs>
                <w:tab w:val="left" w:pos="1168"/>
              </w:tabs>
              <w:rPr>
                <w:rFonts w:cs="Arial" w:asciiTheme="minorHAnsi" w:hAnsiTheme="minorHAnsi"/>
                <w:sz w:val="16"/>
                <w:szCs w:val="16"/>
              </w:rPr>
            </w:pPr>
            <w:r w:rsidRPr="00A8687F">
              <w:rPr>
                <w:rFonts w:cs="Arial" w:asciiTheme="minorHAnsi" w:hAnsiTheme="minorHAnsi"/>
                <w:i/>
                <w:sz w:val="16"/>
                <w:szCs w:val="16"/>
              </w:rPr>
              <w:t>C. trachomatis</w:t>
            </w:r>
            <w:r w:rsidRPr="00A8687F">
              <w:rPr>
                <w:rFonts w:cs="Arial" w:asciiTheme="minorHAnsi" w:hAnsiTheme="minorHAnsi"/>
                <w:sz w:val="16"/>
                <w:szCs w:val="16"/>
              </w:rPr>
              <w:t xml:space="preserve"> infection in neonates is most frequently recognised by conjunctivitis that develops 5 to 12 days after birth. </w:t>
            </w:r>
            <w:r w:rsidRPr="00A8687F">
              <w:rPr>
                <w:rFonts w:cs="Arial" w:asciiTheme="minorHAnsi" w:hAnsiTheme="minorHAnsi"/>
                <w:i/>
                <w:sz w:val="16"/>
                <w:szCs w:val="16"/>
              </w:rPr>
              <w:t>C. trachomatis</w:t>
            </w:r>
            <w:r w:rsidRPr="00A8687F">
              <w:rPr>
                <w:rFonts w:cs="Arial" w:asciiTheme="minorHAnsi" w:hAnsiTheme="minorHAnsi"/>
                <w:sz w:val="16"/>
                <w:szCs w:val="16"/>
              </w:rPr>
              <w:t xml:space="preserve"> also can cause a subacute, afebrile pneumonia with onset at ages 1 to 3 months. </w:t>
            </w:r>
            <w:r w:rsidRPr="00A8687F">
              <w:rPr>
                <w:rFonts w:cs="Arial" w:asciiTheme="minorHAnsi" w:hAnsiTheme="minorHAnsi"/>
                <w:sz w:val="16"/>
                <w:szCs w:val="16"/>
                <w:lang w:val="en"/>
              </w:rPr>
              <w:t xml:space="preserve">RCTs reported chlamydial conjunctivitis or pneumonia is eradicated after systemic treatment with oral erythromycin 50 mg/kg/day for 14 days with few treatment failures and is more effective than topical treatment for chlamydia conjunctivitis. </w:t>
            </w:r>
            <w:r w:rsidRPr="00A8687F">
              <w:rPr>
                <w:rFonts w:cs="Arial" w:asciiTheme="minorHAnsi" w:hAnsiTheme="minorHAnsi"/>
                <w:sz w:val="16"/>
                <w:szCs w:val="16"/>
                <w:vertAlign w:val="superscript"/>
                <w:lang w:val="en"/>
              </w:rPr>
              <w:t>5-8</w:t>
            </w:r>
          </w:p>
          <w:p w:rsidRPr="00A8687F" w:rsidR="00A62B43" w:rsidP="0010214E" w:rsidRDefault="00A62B43" w14:paraId="0AC1EC33" w14:textId="77777777">
            <w:pPr>
              <w:pStyle w:val="BodyText"/>
              <w:tabs>
                <w:tab w:val="left" w:pos="1168"/>
              </w:tabs>
              <w:rPr>
                <w:rFonts w:cs="Arial" w:asciiTheme="minorHAnsi" w:hAnsiTheme="minorHAnsi"/>
                <w:sz w:val="16"/>
                <w:szCs w:val="16"/>
                <w:vertAlign w:val="superscript"/>
              </w:rPr>
            </w:pPr>
            <w:r w:rsidRPr="00A8687F">
              <w:rPr>
                <w:rFonts w:cs="Arial" w:asciiTheme="minorHAnsi" w:hAnsiTheme="minorHAnsi"/>
                <w:sz w:val="16"/>
                <w:szCs w:val="16"/>
              </w:rPr>
              <w:t>Recommendation: The Centers for Disease Control and Prevention recommends oral erythromycin 50 mg/kg per day given orally in four divided doses for 14 days for either chlamydial conjunctivitis or pneumonia. Alternative regimen is azithromycin 20 mg/kg/day, once daily for 3 days.</w:t>
            </w:r>
            <w:r w:rsidRPr="00A8687F">
              <w:rPr>
                <w:rFonts w:cs="Arial" w:asciiTheme="minorHAnsi" w:hAnsiTheme="minorHAnsi"/>
                <w:sz w:val="16"/>
                <w:szCs w:val="16"/>
                <w:vertAlign w:val="superscript"/>
              </w:rPr>
              <w:t xml:space="preserve"> </w:t>
            </w:r>
            <w:r w:rsidRPr="00A8687F">
              <w:rPr>
                <w:rFonts w:cs="Arial" w:asciiTheme="minorHAnsi" w:hAnsiTheme="minorHAnsi"/>
                <w:sz w:val="16"/>
                <w:szCs w:val="16"/>
              </w:rPr>
              <w:t xml:space="preserve">Topical antibiotic therapy alone is inadequate and is unnecessary when systemic treatment is administered. </w:t>
            </w:r>
            <w:r w:rsidRPr="00A8687F">
              <w:rPr>
                <w:rFonts w:cs="Arial" w:asciiTheme="minorHAnsi" w:hAnsiTheme="minorHAnsi"/>
                <w:sz w:val="16"/>
                <w:szCs w:val="16"/>
                <w:vertAlign w:val="superscript"/>
              </w:rPr>
              <w:t>2</w:t>
            </w:r>
          </w:p>
          <w:p w:rsidRPr="00A8687F" w:rsidR="00A62B43" w:rsidP="0010214E" w:rsidRDefault="00A62B43" w14:paraId="4C8F1D85" w14:textId="77777777">
            <w:pPr>
              <w:pStyle w:val="BodyText"/>
              <w:tabs>
                <w:tab w:val="left" w:pos="1168"/>
              </w:tabs>
              <w:rPr>
                <w:rFonts w:cs="Arial" w:asciiTheme="minorHAnsi" w:hAnsiTheme="minorHAnsi"/>
                <w:sz w:val="16"/>
                <w:szCs w:val="16"/>
              </w:rPr>
            </w:pPr>
          </w:p>
          <w:p w:rsidRPr="00A8687F" w:rsidR="00A62B43" w:rsidP="0010214E" w:rsidRDefault="00A62B43" w14:paraId="296C4B9D" w14:textId="77777777">
            <w:pPr>
              <w:pStyle w:val="BodyText"/>
              <w:tabs>
                <w:tab w:val="left" w:pos="1168"/>
              </w:tabs>
              <w:rPr>
                <w:rFonts w:cs="Arial" w:asciiTheme="minorHAnsi" w:hAnsiTheme="minorHAnsi"/>
                <w:sz w:val="16"/>
                <w:szCs w:val="16"/>
                <w:u w:val="single"/>
              </w:rPr>
            </w:pPr>
            <w:r w:rsidRPr="00A8687F">
              <w:rPr>
                <w:rFonts w:cs="Arial" w:asciiTheme="minorHAnsi" w:hAnsiTheme="minorHAnsi"/>
                <w:sz w:val="16"/>
                <w:szCs w:val="16"/>
                <w:u w:val="single"/>
              </w:rPr>
              <w:t>Prokinetic agent in preterm infants</w:t>
            </w:r>
          </w:p>
          <w:p w:rsidRPr="00A8687F" w:rsidR="00A62B43" w:rsidP="0010214E" w:rsidRDefault="00A62B43" w14:paraId="3A9D86C6"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rPr>
              <w:t xml:space="preserve">Systematic review evaluated the efficacy of erythromycin for prophylaxis or treatment of feeding intolerance in preterm infants. Ng and Shah 2008 </w:t>
            </w:r>
            <w:r w:rsidRPr="00A8687F">
              <w:rPr>
                <w:rFonts w:cs="Arial" w:asciiTheme="minorHAnsi" w:hAnsiTheme="minorHAnsi"/>
                <w:sz w:val="16"/>
                <w:szCs w:val="16"/>
                <w:vertAlign w:val="superscript"/>
              </w:rPr>
              <w:t>9</w:t>
            </w:r>
            <w:r w:rsidRPr="00A8687F">
              <w:rPr>
                <w:rFonts w:cs="Arial" w:asciiTheme="minorHAnsi" w:hAnsiTheme="minorHAnsi"/>
                <w:sz w:val="16"/>
                <w:szCs w:val="16"/>
              </w:rPr>
              <w:t xml:space="preserve"> reviewed 10 randomised, controlled studies using both high- and low-dose erythromycin. Meta-analysis on most outcomes couldn’t be done. Erythromycin for prevention or treatment demonstrated no consistent effect on time required to achieve full feeds. Three studies using erythromycin at doses between 40 and 50 mg/kg/day reported a statistically significant effect on feeding tolerance as did one study using erythromycin at a slightly smaller dose (but still considered high dose) of 15 mg/kg/day. A single study (Oei 2001) using low-dose erythromycin (10 mg/kg/day) for prevention of feed intolerance reported showed that infants in the erythromycin group achieved full feeds significantly earlier than the placebo group.</w:t>
            </w:r>
            <w:r w:rsidRPr="00A8687F">
              <w:rPr>
                <w:rFonts w:cs="Arial" w:asciiTheme="minorHAnsi" w:hAnsiTheme="minorHAnsi"/>
                <w:sz w:val="16"/>
                <w:szCs w:val="16"/>
                <w:vertAlign w:val="superscript"/>
              </w:rPr>
              <w:t>10</w:t>
            </w:r>
            <w:r w:rsidRPr="00A8687F">
              <w:rPr>
                <w:rFonts w:cs="Arial" w:asciiTheme="minorHAnsi" w:hAnsiTheme="minorHAnsi"/>
                <w:sz w:val="16"/>
                <w:szCs w:val="16"/>
              </w:rPr>
              <w:t xml:space="preserve"> However,</w:t>
            </w:r>
            <w:r w:rsidRPr="00A8687F">
              <w:rPr>
                <w:sz w:val="16"/>
                <w:szCs w:val="16"/>
              </w:rPr>
              <w:t xml:space="preserve"> </w:t>
            </w:r>
            <w:r w:rsidRPr="00A8687F">
              <w:rPr>
                <w:rFonts w:cs="Arial" w:asciiTheme="minorHAnsi" w:hAnsiTheme="minorHAnsi"/>
                <w:sz w:val="16"/>
                <w:szCs w:val="16"/>
              </w:rPr>
              <w:t xml:space="preserve">three other studies that used low-dose erythromycin failed to show any significant difference between erythromycin and placebo in the times to establish full feeds in preterm infants &lt;32 weeks’ gestation with feeding intolerance. There was no reported effect on other neonatal morbidities including necrotising enterocolitis or sepsis. </w:t>
            </w:r>
          </w:p>
          <w:p w:rsidRPr="00A8687F" w:rsidR="00A62B43" w:rsidP="0010214E" w:rsidRDefault="00A62B43" w14:paraId="4848315F"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rPr>
              <w:t>Conclusion: Although some studies have reported a reduced time to full feeds, the effect is inconsistent, the optimal dose is unclear and there has been no reported consistent effect on other neonatal morbidities.</w:t>
            </w:r>
            <w:r w:rsidRPr="00A8687F">
              <w:rPr>
                <w:rFonts w:cs="Arial" w:asciiTheme="minorHAnsi" w:hAnsiTheme="minorHAnsi"/>
                <w:sz w:val="16"/>
                <w:szCs w:val="16"/>
                <w:vertAlign w:val="superscript"/>
              </w:rPr>
              <w:t>8</w:t>
            </w:r>
            <w:r w:rsidRPr="00A8687F">
              <w:rPr>
                <w:rFonts w:cs="Arial" w:asciiTheme="minorHAnsi" w:hAnsiTheme="minorHAnsi"/>
                <w:sz w:val="16"/>
                <w:szCs w:val="16"/>
              </w:rPr>
              <w:t xml:space="preserve"> (LOE I, GOR C)</w:t>
            </w:r>
          </w:p>
          <w:p w:rsidRPr="00A8687F" w:rsidR="00A62B43" w:rsidP="0010214E" w:rsidRDefault="00A62B43" w14:paraId="149AE261" w14:textId="77777777">
            <w:pPr>
              <w:pStyle w:val="BodyText"/>
              <w:tabs>
                <w:tab w:val="left" w:pos="1168"/>
              </w:tabs>
              <w:rPr>
                <w:rFonts w:cs="Arial" w:asciiTheme="minorHAnsi" w:hAnsiTheme="minorHAnsi"/>
                <w:sz w:val="16"/>
                <w:szCs w:val="16"/>
              </w:rPr>
            </w:pPr>
          </w:p>
          <w:p w:rsidRPr="00A8687F" w:rsidR="00A62B43" w:rsidP="0010214E" w:rsidRDefault="00A62B43" w14:paraId="14EB670D"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u w:val="single"/>
              </w:rPr>
              <w:lastRenderedPageBreak/>
              <w:t>Prokinetic agent in surgical infants</w:t>
            </w:r>
          </w:p>
          <w:p w:rsidRPr="00A8687F" w:rsidR="00A62B43" w:rsidP="0010214E" w:rsidRDefault="00A62B43" w14:paraId="25DD1FF6"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rPr>
              <w:t>An RCT comparing erythromycin 3 mg/kg/dose 4 times daily compared with placebo after primary repair of uncomplicated gastroschisis in 62 infants reported no difference in time to achieve full enteral feeding (27.2 v 28.7 days; P =.75), catheter-related sepsis, duration of parenteral nutrition or time to discharge between the 2 groups. [1] An RCT comparing erythromycin 3 mg/kg/dose 4 times daily in 30 neonates undergoing primary anastomosis for congenital small bowel atresia reported neonates receiving oral erythromycin achieved full enteral feeding earlier (13.07 vs. 16.13 days), required PN for a shorter duration (10.53 vs. 13.73 days) and their hospital stay was less (16.2 vs. 18.0 days). [2] Conclusion: There is inconsistent evidence that erythromycin 3 mg/kg/dose 4 times daily may have a beneficial effect in newborn infants with abdominal surgical conditions restricted to infants undergoing repair of small intestinal atresia. (LOE II GOR D)</w:t>
            </w:r>
            <w:r w:rsidRPr="00A8687F">
              <w:rPr>
                <w:rFonts w:cs="Arial" w:asciiTheme="minorHAnsi" w:hAnsiTheme="minorHAnsi"/>
                <w:sz w:val="16"/>
                <w:szCs w:val="16"/>
                <w:vertAlign w:val="superscript"/>
              </w:rPr>
              <w:t>18,19</w:t>
            </w:r>
            <w:r w:rsidRPr="00A8687F">
              <w:rPr>
                <w:rFonts w:cs="Arial" w:asciiTheme="minorHAnsi" w:hAnsiTheme="minorHAnsi"/>
                <w:sz w:val="16"/>
                <w:szCs w:val="16"/>
              </w:rPr>
              <w:t xml:space="preserve"> </w:t>
            </w:r>
          </w:p>
          <w:p w:rsidRPr="00A8687F" w:rsidR="00A62B43" w:rsidP="0010214E" w:rsidRDefault="00A62B43" w14:paraId="2F1FE9B9" w14:textId="77777777">
            <w:pPr>
              <w:pStyle w:val="BodyText"/>
              <w:tabs>
                <w:tab w:val="left" w:pos="1168"/>
              </w:tabs>
              <w:rPr>
                <w:rFonts w:cs="Arial" w:asciiTheme="minorHAnsi" w:hAnsiTheme="minorHAnsi"/>
                <w:sz w:val="16"/>
                <w:szCs w:val="16"/>
              </w:rPr>
            </w:pPr>
          </w:p>
          <w:p w:rsidRPr="00A8687F" w:rsidR="00A62B43" w:rsidP="0010214E" w:rsidRDefault="00A62B43" w14:paraId="76563160" w14:textId="77777777">
            <w:pPr>
              <w:pStyle w:val="BodyText"/>
              <w:tabs>
                <w:tab w:val="left" w:pos="1168"/>
              </w:tabs>
              <w:rPr>
                <w:rFonts w:cs="Arial" w:asciiTheme="minorHAnsi" w:hAnsiTheme="minorHAnsi"/>
                <w:b/>
                <w:sz w:val="16"/>
                <w:szCs w:val="16"/>
              </w:rPr>
            </w:pPr>
            <w:r w:rsidRPr="00A8687F">
              <w:rPr>
                <w:rFonts w:cs="Arial" w:asciiTheme="minorHAnsi" w:hAnsiTheme="minorHAnsi"/>
                <w:b/>
                <w:sz w:val="16"/>
                <w:szCs w:val="16"/>
              </w:rPr>
              <w:t>Safety</w:t>
            </w:r>
          </w:p>
          <w:p w:rsidRPr="00A8687F" w:rsidR="00A62B43" w:rsidP="0010214E" w:rsidRDefault="00A62B43" w14:paraId="63B1218A"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rPr>
              <w:t>A systematic review of observational data reported an increase in the absolute risk of developing infantile hypertrophic pyloric stenosis (IHPS) following erythromycin exposure of 0.4 % (95% CI 0.3–0.5%) in those receiving erythromycin at any time, and 2.6% (95% CI 1.5–4.2%) in those receiving erythromycin in the first 14 days.</w:t>
            </w:r>
            <w:r w:rsidRPr="00A8687F">
              <w:rPr>
                <w:rFonts w:cs="Arial" w:asciiTheme="minorHAnsi" w:hAnsiTheme="minorHAnsi"/>
                <w:sz w:val="16"/>
                <w:szCs w:val="16"/>
                <w:vertAlign w:val="superscript"/>
              </w:rPr>
              <w:t>16</w:t>
            </w:r>
          </w:p>
          <w:p w:rsidRPr="00A8687F" w:rsidR="00A62B43" w:rsidP="0010214E" w:rsidRDefault="00A62B43" w14:paraId="1D609A1B" w14:textId="77777777">
            <w:pPr>
              <w:pStyle w:val="BodyText"/>
              <w:tabs>
                <w:tab w:val="left" w:pos="1168"/>
              </w:tabs>
              <w:rPr>
                <w:rFonts w:cs="Arial" w:asciiTheme="minorHAnsi" w:hAnsiTheme="minorHAnsi"/>
                <w:sz w:val="16"/>
                <w:szCs w:val="16"/>
              </w:rPr>
            </w:pPr>
          </w:p>
          <w:p w:rsidRPr="00A8687F" w:rsidR="00A62B43" w:rsidP="0010214E" w:rsidRDefault="00A62B43" w14:paraId="1E04B1A9" w14:textId="77777777">
            <w:pPr>
              <w:pStyle w:val="BodyText"/>
              <w:tabs>
                <w:tab w:val="left" w:pos="1168"/>
              </w:tabs>
              <w:rPr>
                <w:rFonts w:cs="Arial" w:asciiTheme="minorHAnsi" w:hAnsiTheme="minorHAnsi"/>
                <w:b/>
                <w:sz w:val="16"/>
                <w:szCs w:val="16"/>
              </w:rPr>
            </w:pPr>
            <w:r w:rsidRPr="00A8687F">
              <w:rPr>
                <w:rFonts w:cs="Arial" w:asciiTheme="minorHAnsi" w:hAnsiTheme="minorHAnsi"/>
                <w:b/>
                <w:sz w:val="16"/>
                <w:szCs w:val="16"/>
              </w:rPr>
              <w:t>Bioavailability</w:t>
            </w:r>
          </w:p>
          <w:p w:rsidRPr="00A8687F" w:rsidR="00A62B43" w:rsidP="0010214E" w:rsidRDefault="00A62B43" w14:paraId="35206E8C" w14:textId="77777777">
            <w:pPr>
              <w:pStyle w:val="BodyText"/>
              <w:tabs>
                <w:tab w:val="left" w:pos="1168"/>
              </w:tabs>
              <w:rPr>
                <w:rFonts w:cs="Arial" w:asciiTheme="minorHAnsi" w:hAnsiTheme="minorHAnsi"/>
                <w:sz w:val="16"/>
                <w:szCs w:val="16"/>
              </w:rPr>
            </w:pPr>
            <w:r w:rsidRPr="00A8687F">
              <w:rPr>
                <w:rFonts w:cs="Arial" w:asciiTheme="minorHAnsi" w:hAnsiTheme="minorHAnsi"/>
                <w:sz w:val="16"/>
                <w:szCs w:val="16"/>
              </w:rPr>
              <w:t>The absorption was lower in infants &lt;1 month of age than in older children. Administration of the drug with feeds considerably increased the absorption of erythromycin ethylsuccinate.</w:t>
            </w:r>
            <w:r w:rsidRPr="00A8687F">
              <w:rPr>
                <w:rFonts w:cs="Arial" w:asciiTheme="minorHAnsi" w:hAnsiTheme="minorHAnsi"/>
                <w:sz w:val="16"/>
                <w:szCs w:val="16"/>
                <w:vertAlign w:val="superscript"/>
              </w:rPr>
              <w:t>15</w:t>
            </w:r>
          </w:p>
        </w:tc>
      </w:tr>
      <w:tr w:rsidRPr="0053172C" w:rsidR="00273A16" w:rsidTr="00747763" w14:paraId="5F7C6C91" w14:textId="77777777">
        <w:trPr>
          <w:trHeight w:val="361"/>
        </w:trPr>
        <w:tc>
          <w:tcPr>
            <w:tcW w:w="1985" w:type="dxa"/>
          </w:tcPr>
          <w:p w:rsidR="00A62B43" w:rsidP="0010214E" w:rsidRDefault="00A62B43" w14:paraId="326E4B0A" w14:textId="77777777">
            <w:pPr>
              <w:pStyle w:val="BodyText"/>
              <w:rPr>
                <w:rFonts w:cs="Arial" w:asciiTheme="minorHAnsi" w:hAnsiTheme="minorHAnsi"/>
                <w:b/>
                <w:bCs/>
                <w:sz w:val="20"/>
              </w:rPr>
            </w:pPr>
            <w:r w:rsidRPr="0053172C">
              <w:rPr>
                <w:rFonts w:asciiTheme="minorHAnsi" w:hAnsiTheme="minorHAnsi"/>
                <w:b/>
                <w:sz w:val="20"/>
              </w:rPr>
              <w:lastRenderedPageBreak/>
              <w:t>References</w:t>
            </w:r>
          </w:p>
          <w:p w:rsidRPr="00924A61" w:rsidR="00A62B43" w:rsidP="0010214E" w:rsidRDefault="00A62B43" w14:paraId="4C419F24" w14:textId="77777777">
            <w:pPr>
              <w:pStyle w:val="BodyText"/>
              <w:rPr>
                <w:rFonts w:cs="Arial" w:asciiTheme="minorHAnsi" w:hAnsiTheme="minorHAnsi"/>
                <w:b/>
                <w:bCs/>
                <w:sz w:val="20"/>
              </w:rPr>
            </w:pPr>
          </w:p>
          <w:p w:rsidRPr="00924A61" w:rsidR="00A62B43" w:rsidP="0010214E" w:rsidRDefault="00A62B43" w14:paraId="0C83001F" w14:textId="77777777">
            <w:pPr>
              <w:pStyle w:val="BodyText"/>
              <w:rPr>
                <w:rFonts w:cs="Arial" w:asciiTheme="minorHAnsi" w:hAnsiTheme="minorHAnsi"/>
                <w:b/>
                <w:bCs/>
                <w:sz w:val="20"/>
              </w:rPr>
            </w:pPr>
          </w:p>
          <w:p w:rsidRPr="00924A61" w:rsidR="00A62B43" w:rsidP="0010214E" w:rsidRDefault="00A62B43" w14:paraId="18A86926" w14:textId="77777777">
            <w:pPr>
              <w:pStyle w:val="BodyText"/>
              <w:rPr>
                <w:rFonts w:cs="Arial" w:asciiTheme="minorHAnsi" w:hAnsiTheme="minorHAnsi"/>
                <w:b/>
                <w:bCs/>
                <w:sz w:val="20"/>
              </w:rPr>
            </w:pPr>
          </w:p>
          <w:p w:rsidRPr="00924A61" w:rsidR="00A62B43" w:rsidP="0010214E" w:rsidRDefault="00A62B43" w14:paraId="0FD6A003" w14:textId="77777777">
            <w:pPr>
              <w:pStyle w:val="BodyText"/>
              <w:rPr>
                <w:rFonts w:cs="Arial" w:asciiTheme="minorHAnsi" w:hAnsiTheme="minorHAnsi"/>
                <w:b/>
                <w:bCs/>
                <w:sz w:val="20"/>
              </w:rPr>
            </w:pPr>
          </w:p>
          <w:p w:rsidRPr="00924A61" w:rsidR="00A62B43" w:rsidP="0010214E" w:rsidRDefault="00A62B43" w14:paraId="37C55853" w14:textId="77777777">
            <w:pPr>
              <w:pStyle w:val="BodyText"/>
              <w:rPr>
                <w:rFonts w:cs="Arial" w:asciiTheme="minorHAnsi" w:hAnsiTheme="minorHAnsi"/>
                <w:b/>
                <w:bCs/>
                <w:sz w:val="20"/>
              </w:rPr>
            </w:pPr>
          </w:p>
          <w:p w:rsidRPr="00924A61" w:rsidR="00A62B43" w:rsidP="0010214E" w:rsidRDefault="00A62B43" w14:paraId="28DA3BB3" w14:textId="77777777">
            <w:pPr>
              <w:pStyle w:val="BodyText"/>
              <w:rPr>
                <w:rFonts w:cs="Arial" w:asciiTheme="minorHAnsi" w:hAnsiTheme="minorHAnsi"/>
                <w:b/>
                <w:bCs/>
                <w:sz w:val="20"/>
              </w:rPr>
            </w:pPr>
          </w:p>
        </w:tc>
        <w:tc>
          <w:tcPr>
            <w:tcW w:w="8647" w:type="dxa"/>
          </w:tcPr>
          <w:p w:rsidRPr="00A8687F" w:rsidR="00A62B43" w:rsidP="0010214E" w:rsidRDefault="00A62B43" w14:paraId="573109CF" w14:textId="77777777">
            <w:pPr>
              <w:rPr>
                <w:rFonts w:asciiTheme="minorHAnsi" w:hAnsiTheme="minorHAnsi"/>
                <w:sz w:val="16"/>
                <w:szCs w:val="16"/>
              </w:rPr>
            </w:pPr>
            <w:r w:rsidRPr="00A8687F">
              <w:rPr>
                <w:rFonts w:asciiTheme="minorHAnsi" w:hAnsiTheme="minorHAnsi"/>
                <w:sz w:val="16"/>
                <w:szCs w:val="16"/>
              </w:rPr>
              <w:t>1. Centers for Disease Control and Prevention. Recommended Antimicrobial Agents for the Treatment and Postexposure Prophylaxis of Pertussis, 2005. MMWR Recomm Rep. 2005 December 9, 2005 / 54(RR14);1-16.</w:t>
            </w:r>
          </w:p>
          <w:p w:rsidRPr="00A8687F" w:rsidR="00A62B43" w:rsidP="0010214E" w:rsidRDefault="00A62B43" w14:paraId="0F52247E" w14:textId="77777777">
            <w:pPr>
              <w:rPr>
                <w:rFonts w:asciiTheme="minorHAnsi" w:hAnsiTheme="minorHAnsi"/>
                <w:sz w:val="16"/>
                <w:szCs w:val="16"/>
              </w:rPr>
            </w:pPr>
            <w:r w:rsidRPr="00A8687F">
              <w:rPr>
                <w:rFonts w:asciiTheme="minorHAnsi" w:hAnsiTheme="minorHAnsi"/>
                <w:sz w:val="16"/>
                <w:szCs w:val="16"/>
              </w:rPr>
              <w:t>2. Centers for Disease Control and Prevention. Sexually transmitted diseases treatment guidelines, 2015. MMWR Recomm Rep. 2015 Jun 5;64(RR-03):1-137.</w:t>
            </w:r>
          </w:p>
          <w:p w:rsidRPr="00A8687F" w:rsidR="00A62B43" w:rsidP="0010214E" w:rsidRDefault="00A62B43" w14:paraId="5D4EA487" w14:textId="77777777">
            <w:pPr>
              <w:rPr>
                <w:rFonts w:asciiTheme="minorHAnsi" w:hAnsiTheme="minorHAnsi"/>
                <w:sz w:val="16"/>
                <w:szCs w:val="16"/>
              </w:rPr>
            </w:pPr>
            <w:r w:rsidRPr="00A8687F">
              <w:rPr>
                <w:rFonts w:asciiTheme="minorHAnsi" w:hAnsiTheme="minorHAnsi"/>
                <w:sz w:val="16"/>
                <w:szCs w:val="16"/>
              </w:rPr>
              <w:t>3. American Academy of Pediatrics (AAP). In: Pickering LK, Baker CJ, Kimberlin DW, Long SS, eds. Red Book: 2012 Report of the Committee on Infectious Diseases. 29th ed. Elk Grove Village, IL: American Academy of Pediatrics; 2012.</w:t>
            </w:r>
          </w:p>
          <w:p w:rsidRPr="00A8687F" w:rsidR="00A62B43" w:rsidP="0010214E" w:rsidRDefault="00A62B43" w14:paraId="2D0AB612" w14:textId="77777777">
            <w:pPr>
              <w:rPr>
                <w:rFonts w:asciiTheme="minorHAnsi" w:hAnsiTheme="minorHAnsi"/>
                <w:sz w:val="16"/>
                <w:szCs w:val="16"/>
              </w:rPr>
            </w:pPr>
            <w:r w:rsidRPr="00A8687F">
              <w:rPr>
                <w:rFonts w:asciiTheme="minorHAnsi" w:hAnsiTheme="minorHAnsi"/>
                <w:sz w:val="16"/>
                <w:szCs w:val="16"/>
              </w:rPr>
              <w:t>4. Altunaiji SM, Kukuruzovic RH, Curtis NC, Massie J. Antibiotics for whooping cough (pertussis). Cochrane Database of Systematic Reviews. 2007.</w:t>
            </w:r>
          </w:p>
          <w:p w:rsidRPr="00A8687F" w:rsidR="00A62B43" w:rsidP="0010214E" w:rsidRDefault="00A62B43" w14:paraId="0EF7A104" w14:textId="77777777">
            <w:pPr>
              <w:rPr>
                <w:rFonts w:asciiTheme="minorHAnsi" w:hAnsiTheme="minorHAnsi"/>
                <w:sz w:val="16"/>
                <w:szCs w:val="16"/>
              </w:rPr>
            </w:pPr>
            <w:r w:rsidRPr="00A8687F">
              <w:rPr>
                <w:rFonts w:asciiTheme="minorHAnsi" w:hAnsiTheme="minorHAnsi"/>
                <w:sz w:val="16"/>
                <w:szCs w:val="16"/>
              </w:rPr>
              <w:t>5. Heggie AD, Jaffe AC, Stuart LA, Thombre PS, Sorensen RU. Topical sulfacetamide vs oral erythromycin for neonatal chlamydial conjunctivitis. American Journal of Diseases of Children. 1985;139:564-6.</w:t>
            </w:r>
          </w:p>
          <w:p w:rsidRPr="00A8687F" w:rsidR="00A62B43" w:rsidP="0010214E" w:rsidRDefault="00A62B43" w14:paraId="4CE8CD13" w14:textId="77777777">
            <w:pPr>
              <w:rPr>
                <w:rFonts w:asciiTheme="minorHAnsi" w:hAnsiTheme="minorHAnsi"/>
                <w:sz w:val="16"/>
                <w:szCs w:val="16"/>
              </w:rPr>
            </w:pPr>
            <w:r w:rsidRPr="00A8687F">
              <w:rPr>
                <w:rFonts w:asciiTheme="minorHAnsi" w:hAnsiTheme="minorHAnsi"/>
                <w:sz w:val="16"/>
                <w:szCs w:val="16"/>
              </w:rPr>
              <w:t>6. Sandstrom I. Treatment of neonatal conjunctivitis. Arch Ophthalmol. 1987;105:925-8.</w:t>
            </w:r>
          </w:p>
          <w:p w:rsidRPr="00A8687F" w:rsidR="00A62B43" w:rsidP="0010214E" w:rsidRDefault="00A62B43" w14:paraId="1A103BB4" w14:textId="77777777">
            <w:pPr>
              <w:rPr>
                <w:rFonts w:asciiTheme="minorHAnsi" w:hAnsiTheme="minorHAnsi"/>
                <w:sz w:val="16"/>
                <w:szCs w:val="16"/>
              </w:rPr>
            </w:pPr>
            <w:r w:rsidRPr="00A8687F">
              <w:rPr>
                <w:rFonts w:asciiTheme="minorHAnsi" w:hAnsiTheme="minorHAnsi"/>
                <w:sz w:val="16"/>
                <w:szCs w:val="16"/>
              </w:rPr>
              <w:t>7. Stenberg K, Mardh PA. Treatment of chlamydial conjunctivitis in newborns and adults with erythromycin and roxithromycin. J Antimicrob Chemother. 1991;28:301-7.</w:t>
            </w:r>
          </w:p>
          <w:p w:rsidRPr="00A8687F" w:rsidR="00A62B43" w:rsidP="0010214E" w:rsidRDefault="00A62B43" w14:paraId="7BCF2E25" w14:textId="77777777">
            <w:pPr>
              <w:rPr>
                <w:rFonts w:asciiTheme="minorHAnsi" w:hAnsiTheme="minorHAnsi"/>
                <w:sz w:val="16"/>
                <w:szCs w:val="16"/>
              </w:rPr>
            </w:pPr>
            <w:r w:rsidRPr="00A8687F">
              <w:rPr>
                <w:rFonts w:asciiTheme="minorHAnsi" w:hAnsiTheme="minorHAnsi"/>
                <w:sz w:val="16"/>
                <w:szCs w:val="16"/>
              </w:rPr>
              <w:t>8. Lee PI, Wu MH, Huang LM, Chen JM, Lee CY. An open, randomized, comparative study of clarithromycin and erythromycin in the treatment of children with community-acquired pneumonia. J Microbiol Immunol Infect. 2008;41:54-61.</w:t>
            </w:r>
          </w:p>
          <w:p w:rsidRPr="00A8687F" w:rsidR="00A62B43" w:rsidP="0010214E" w:rsidRDefault="00A62B43" w14:paraId="562A45C4" w14:textId="77777777">
            <w:pPr>
              <w:rPr>
                <w:rFonts w:asciiTheme="minorHAnsi" w:hAnsiTheme="minorHAnsi"/>
                <w:sz w:val="16"/>
                <w:szCs w:val="16"/>
              </w:rPr>
            </w:pPr>
            <w:r w:rsidRPr="00A8687F">
              <w:rPr>
                <w:rFonts w:asciiTheme="minorHAnsi" w:hAnsiTheme="minorHAnsi"/>
                <w:sz w:val="16"/>
                <w:szCs w:val="16"/>
              </w:rPr>
              <w:t>9. Ng E, Shah VS. Erythromycin for the prevention and treatment of feeding intolerance in preterm infants. Cochrane Database of Systematic Reviews 2008, Issue 3. Art. No.: CD001815. DOI: 10.1002/14651858.CD001815.pub2.</w:t>
            </w:r>
          </w:p>
          <w:p w:rsidRPr="00A8687F" w:rsidR="00A62B43" w:rsidP="0010214E" w:rsidRDefault="00A62B43" w14:paraId="2EC341A7" w14:textId="77777777">
            <w:pPr>
              <w:rPr>
                <w:rFonts w:asciiTheme="minorHAnsi" w:hAnsiTheme="minorHAnsi"/>
                <w:sz w:val="16"/>
                <w:szCs w:val="16"/>
              </w:rPr>
            </w:pPr>
            <w:r w:rsidRPr="00A8687F">
              <w:rPr>
                <w:rFonts w:asciiTheme="minorHAnsi" w:hAnsiTheme="minorHAnsi"/>
                <w:sz w:val="16"/>
                <w:szCs w:val="16"/>
              </w:rPr>
              <w:t>10. Oei J, Lui K. A placebo‐controlled trial of low‐dose erythromycin to promote feed tolerance in preterm infants. Acta Paediatrica. 2001 Aug 1;90(8):904-8.</w:t>
            </w:r>
          </w:p>
          <w:p w:rsidRPr="00A8687F" w:rsidR="00A62B43" w:rsidP="0010214E" w:rsidRDefault="00A62B43" w14:paraId="13BA6828" w14:textId="77777777">
            <w:pPr>
              <w:rPr>
                <w:rFonts w:eastAsia="Calibri"/>
                <w:sz w:val="16"/>
                <w:szCs w:val="16"/>
              </w:rPr>
            </w:pPr>
            <w:r w:rsidRPr="00A8687F">
              <w:rPr>
                <w:rFonts w:eastAsia="Calibri"/>
                <w:sz w:val="16"/>
                <w:szCs w:val="16"/>
              </w:rPr>
              <w:t>11. Ng SC, Gomez JM, Rajadurai VS, Saw S, Quak S. Establishing enteral feeding in preterm infants with feeing intolerance; A randomized controlled study of low-dose erythromycin. JPGN 2003;37:554–8.</w:t>
            </w:r>
          </w:p>
          <w:p w:rsidRPr="00A8687F" w:rsidR="00A62B43" w:rsidP="0010214E" w:rsidRDefault="00A62B43" w14:paraId="713A7AC1" w14:textId="77777777">
            <w:pPr>
              <w:rPr>
                <w:rFonts w:eastAsia="Calibri"/>
                <w:sz w:val="16"/>
                <w:szCs w:val="16"/>
              </w:rPr>
            </w:pPr>
            <w:r w:rsidRPr="00A8687F">
              <w:rPr>
                <w:rFonts w:eastAsia="Calibri"/>
                <w:sz w:val="16"/>
                <w:szCs w:val="16"/>
              </w:rPr>
              <w:t>12. Madani A, Pishva N, Pourarian Sh, ZarkeshM. The efficacy of oral erythromycin in enhancement of milk tolerance in premature infants: A randomized controlled trial. Iranian Journal of Medical Sciences 2004;29:1–4.</w:t>
            </w:r>
          </w:p>
          <w:p w:rsidRPr="00A8687F" w:rsidR="00A62B43" w:rsidP="0010214E" w:rsidRDefault="00A62B43" w14:paraId="6B842F1A" w14:textId="77777777">
            <w:pPr>
              <w:rPr>
                <w:rFonts w:eastAsia="Calibri"/>
                <w:sz w:val="16"/>
                <w:szCs w:val="16"/>
              </w:rPr>
            </w:pPr>
            <w:r w:rsidRPr="00A8687F">
              <w:rPr>
                <w:rFonts w:eastAsia="Calibri"/>
                <w:sz w:val="16"/>
                <w:szCs w:val="16"/>
              </w:rPr>
              <w:t>13. Ng PC, So KW, Fung KSC, Lee CH, Fok TF, Wong E, et al. Randomised controlled study of oral erythromycin for treatment of gastrointestinal dysmotility in preterm infants. Archives of Disease in Childhood. Fetal and Neonatal Edition 2001;84:F177–82.</w:t>
            </w:r>
          </w:p>
          <w:p w:rsidRPr="00A8687F" w:rsidR="00A62B43" w:rsidP="0010214E" w:rsidRDefault="00A62B43" w14:paraId="490FF55A" w14:textId="77777777">
            <w:pPr>
              <w:rPr>
                <w:rFonts w:eastAsia="Calibri"/>
                <w:sz w:val="16"/>
                <w:szCs w:val="16"/>
              </w:rPr>
            </w:pPr>
            <w:r w:rsidRPr="00A8687F">
              <w:rPr>
                <w:rFonts w:eastAsia="Calibri"/>
                <w:sz w:val="16"/>
                <w:szCs w:val="16"/>
              </w:rPr>
              <w:t>14. Nuntnarumit P, Kiatchoosakun P, Tantiprapa W, Boonkasidecha S. Efficacy of oral erythromycin for treatment of feeding intolerance in preterm infants. Journal of Pediatrics 2006;148:600–5.</w:t>
            </w:r>
          </w:p>
          <w:p w:rsidRPr="00A8687F" w:rsidR="00A62B43" w:rsidP="0010214E" w:rsidRDefault="00A62B43" w14:paraId="04444FBF" w14:textId="77777777">
            <w:pPr>
              <w:rPr>
                <w:rFonts w:asciiTheme="minorHAnsi" w:hAnsiTheme="minorHAnsi"/>
                <w:sz w:val="16"/>
                <w:szCs w:val="16"/>
              </w:rPr>
            </w:pPr>
            <w:r w:rsidRPr="00A8687F">
              <w:rPr>
                <w:rFonts w:asciiTheme="minorHAnsi" w:hAnsiTheme="minorHAnsi"/>
                <w:sz w:val="16"/>
                <w:szCs w:val="16"/>
              </w:rPr>
              <w:t>15. Eriksson M, Bolme P, Blennow M. Absorption of erythromycin from pediatric suspension in infants and children. Scandinavian journal of infectious diseases. 1981 Sep 1;13(3):211-5.</w:t>
            </w:r>
          </w:p>
          <w:p w:rsidRPr="00A8687F" w:rsidR="00A62B43" w:rsidP="0010214E" w:rsidRDefault="00A62B43" w14:paraId="4BB401E4" w14:textId="77777777">
            <w:pPr>
              <w:rPr>
                <w:rFonts w:asciiTheme="minorHAnsi" w:hAnsiTheme="minorHAnsi"/>
                <w:sz w:val="16"/>
                <w:szCs w:val="16"/>
              </w:rPr>
            </w:pPr>
            <w:r w:rsidRPr="00A8687F">
              <w:rPr>
                <w:rFonts w:asciiTheme="minorHAnsi" w:hAnsiTheme="minorHAnsi"/>
                <w:sz w:val="16"/>
                <w:szCs w:val="16"/>
              </w:rPr>
              <w:t>16. Murchison L, De Coppi P, Eaton S. Post-natal erythromycin exposure and risk of infantile hypertrophic pyloric stenosis: a systematic review and meta-analysis. Pediatr Surg Int. 2016;32:1147-52.</w:t>
            </w:r>
          </w:p>
          <w:p w:rsidRPr="00A8687F" w:rsidR="00A62B43" w:rsidP="0010214E" w:rsidRDefault="00A62B43" w14:paraId="53B967CF" w14:textId="77777777">
            <w:pPr>
              <w:rPr>
                <w:rFonts w:asciiTheme="minorHAnsi" w:hAnsiTheme="minorHAnsi"/>
                <w:sz w:val="16"/>
                <w:szCs w:val="16"/>
              </w:rPr>
            </w:pPr>
            <w:r w:rsidRPr="00A8687F">
              <w:rPr>
                <w:rFonts w:asciiTheme="minorHAnsi" w:hAnsiTheme="minorHAnsi"/>
                <w:sz w:val="16"/>
                <w:szCs w:val="16"/>
              </w:rPr>
              <w:t>17. Micromedex. Accessed online 29 May 2018.</w:t>
            </w:r>
          </w:p>
          <w:p w:rsidRPr="00A8687F" w:rsidR="00A62B43" w:rsidP="0010214E" w:rsidRDefault="00A62B43" w14:paraId="0AD06431" w14:textId="77777777">
            <w:pPr>
              <w:rPr>
                <w:rFonts w:asciiTheme="minorHAnsi" w:hAnsiTheme="minorHAnsi"/>
                <w:sz w:val="16"/>
                <w:szCs w:val="16"/>
              </w:rPr>
            </w:pPr>
            <w:r w:rsidRPr="00A8687F">
              <w:rPr>
                <w:rFonts w:asciiTheme="minorHAnsi" w:hAnsiTheme="minorHAnsi"/>
                <w:sz w:val="16"/>
                <w:szCs w:val="16"/>
              </w:rPr>
              <w:t>18. Curry JI, Lander AD, Stringer MD, Committee BMR. A multicenter, randomized, double-blind, placebo-controlled trial of the prokinetic agent erythromycin in the postoperative recovery of infants with gastroschisis. J Pediatr Surg. 2004;39:565-9.</w:t>
            </w:r>
          </w:p>
          <w:p w:rsidRPr="00A8687F" w:rsidR="00A62B43" w:rsidP="0010214E" w:rsidRDefault="00A62B43" w14:paraId="77A0662B" w14:textId="77777777">
            <w:pPr>
              <w:rPr>
                <w:rFonts w:asciiTheme="minorHAnsi" w:hAnsiTheme="minorHAnsi"/>
                <w:sz w:val="16"/>
                <w:szCs w:val="16"/>
              </w:rPr>
            </w:pPr>
            <w:r w:rsidRPr="00A8687F">
              <w:rPr>
                <w:rFonts w:asciiTheme="minorHAnsi" w:hAnsiTheme="minorHAnsi"/>
                <w:sz w:val="16"/>
                <w:szCs w:val="16"/>
              </w:rPr>
              <w:t>19. Razzaq A, Safdar CA, Ali S. Erythromycin establishes early oral feeding in neonates operated for congenital intestinal atresias. Pediatric Surgery International. 2009;25:361-4.</w:t>
            </w:r>
          </w:p>
        </w:tc>
      </w:tr>
    </w:tbl>
    <w:p w:rsidR="00A62B43" w:rsidP="00A62B43" w:rsidRDefault="00A62B43" w14:paraId="47054931" w14:textId="77777777">
      <w:pPr>
        <w:rPr>
          <w:rFonts w:cs="Arial" w:asciiTheme="minorHAnsi" w:hAnsiTheme="minorHAnsi"/>
          <w:sz w:val="20"/>
        </w:rPr>
      </w:pPr>
    </w:p>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42706A" w14:paraId="7BD5CDF0" w14:textId="77777777">
        <w:tc>
          <w:tcPr>
            <w:tcW w:w="4111" w:type="dxa"/>
            <w:vAlign w:val="center"/>
          </w:tcPr>
          <w:p w:rsidRPr="00646E04" w:rsidR="00010443" w:rsidP="0010214E" w:rsidRDefault="00010443" w14:paraId="36E8E937" w14:textId="4E49A207">
            <w:r w:rsidRPr="00646E04">
              <w:t xml:space="preserve">Original version Date: </w:t>
            </w:r>
            <w:r>
              <w:t>20-6-2018</w:t>
            </w:r>
          </w:p>
        </w:tc>
        <w:tc>
          <w:tcPr>
            <w:tcW w:w="4820" w:type="dxa"/>
            <w:vAlign w:val="center"/>
          </w:tcPr>
          <w:p w:rsidRPr="00646E04" w:rsidR="00010443" w:rsidP="0010214E" w:rsidRDefault="00010443" w14:paraId="2047C178" w14:textId="77777777">
            <w:r w:rsidRPr="00646E04">
              <w:t>Author: NeoMed Consensus Group</w:t>
            </w:r>
          </w:p>
        </w:tc>
      </w:tr>
      <w:tr w:rsidRPr="003C2CBA" w:rsidR="00E424B4" w:rsidTr="0042706A" w14:paraId="2614FCE5" w14:textId="77777777">
        <w:tc>
          <w:tcPr>
            <w:tcW w:w="4111" w:type="dxa"/>
            <w:vAlign w:val="center"/>
          </w:tcPr>
          <w:p w:rsidRPr="00646E04" w:rsidR="00010443" w:rsidP="0010214E" w:rsidRDefault="00010443" w14:paraId="544A7CFA" w14:textId="3033A2B5">
            <w:pPr>
              <w:rPr>
                <w:bCs/>
              </w:rPr>
            </w:pPr>
            <w:r w:rsidRPr="00646E04">
              <w:t xml:space="preserve">Current Version number:  </w:t>
            </w:r>
            <w:r>
              <w:t>1</w:t>
            </w:r>
          </w:p>
        </w:tc>
        <w:tc>
          <w:tcPr>
            <w:tcW w:w="4820" w:type="dxa"/>
            <w:vAlign w:val="center"/>
          </w:tcPr>
          <w:p w:rsidRPr="00646E04" w:rsidR="00010443" w:rsidP="0010214E" w:rsidRDefault="00010443" w14:paraId="48A96859" w14:textId="4773A175">
            <w:r>
              <w:t xml:space="preserve">Current </w:t>
            </w:r>
            <w:r w:rsidRPr="00646E04">
              <w:t xml:space="preserve">Version Date:  </w:t>
            </w:r>
            <w:r>
              <w:t>20-6-2018</w:t>
            </w:r>
          </w:p>
        </w:tc>
      </w:tr>
      <w:tr w:rsidRPr="003C2CBA" w:rsidR="00E424B4" w:rsidTr="0042706A" w14:paraId="6284313B" w14:textId="77777777">
        <w:tc>
          <w:tcPr>
            <w:tcW w:w="4111" w:type="dxa"/>
            <w:vAlign w:val="center"/>
          </w:tcPr>
          <w:p w:rsidRPr="00646E04" w:rsidR="00010443" w:rsidP="0010214E" w:rsidRDefault="00010443" w14:paraId="0E369983" w14:textId="19440D06">
            <w:r w:rsidRPr="00646E04">
              <w:t xml:space="preserve">Risk Rating: </w:t>
            </w:r>
            <w:r>
              <w:t>Low</w:t>
            </w:r>
          </w:p>
        </w:tc>
        <w:tc>
          <w:tcPr>
            <w:tcW w:w="4820" w:type="dxa"/>
            <w:vAlign w:val="center"/>
          </w:tcPr>
          <w:p w:rsidRPr="00646E04" w:rsidR="00010443" w:rsidP="0010214E" w:rsidRDefault="00010443" w14:paraId="5FABF288" w14:textId="0B46FD87">
            <w:r w:rsidRPr="00646E04">
              <w:t xml:space="preserve">Due for Review:  </w:t>
            </w:r>
            <w:r w:rsidR="00EA00C1">
              <w:t>20-6-2023</w:t>
            </w:r>
          </w:p>
        </w:tc>
      </w:tr>
      <w:tr w:rsidRPr="003C2CBA" w:rsidR="00E424B4" w:rsidTr="0042706A" w14:paraId="367A4E46" w14:textId="77777777">
        <w:trPr>
          <w:trHeight w:val="344"/>
        </w:trPr>
        <w:tc>
          <w:tcPr>
            <w:tcW w:w="4111" w:type="dxa"/>
            <w:tcBorders>
              <w:bottom w:val="single" w:color="auto" w:sz="4" w:space="0"/>
            </w:tcBorders>
            <w:vAlign w:val="center"/>
          </w:tcPr>
          <w:p w:rsidRPr="003C2CBA" w:rsidR="00010443" w:rsidP="0010214E" w:rsidRDefault="00010443" w14:paraId="04619EDF" w14:textId="77777777">
            <w:r w:rsidRPr="003C2CBA">
              <w:t xml:space="preserve">Approved by: </w:t>
            </w:r>
            <w:r>
              <w:t>DTC</w:t>
            </w:r>
          </w:p>
        </w:tc>
        <w:tc>
          <w:tcPr>
            <w:tcW w:w="4820" w:type="dxa"/>
            <w:tcBorders>
              <w:bottom w:val="single" w:color="auto" w:sz="4" w:space="0"/>
            </w:tcBorders>
            <w:vAlign w:val="center"/>
          </w:tcPr>
          <w:p w:rsidRPr="00646E04" w:rsidR="00010443" w:rsidP="0010214E" w:rsidRDefault="00010443" w14:paraId="30187CD9" w14:textId="6F17E2CC">
            <w:r w:rsidRPr="00646E04">
              <w:t xml:space="preserve">Approval Date: </w:t>
            </w:r>
            <w:r w:rsidR="00260BC8">
              <w:t>APRIL 2021</w:t>
            </w:r>
          </w:p>
        </w:tc>
      </w:tr>
    </w:tbl>
    <w:p w:rsidRPr="0053172C" w:rsidR="00A62B43" w:rsidP="00A62B43" w:rsidRDefault="00A62B43" w14:paraId="076E82A9" w14:textId="77777777">
      <w:pPr>
        <w:rPr>
          <w:rFonts w:cs="Arial" w:asciiTheme="minorHAnsi" w:hAnsiTheme="minorHAnsi"/>
          <w:sz w:val="20"/>
        </w:rPr>
      </w:pPr>
    </w:p>
    <w:p w:rsidRPr="0053172C" w:rsidR="00A62B43" w:rsidP="00A62B43" w:rsidRDefault="00A62B43" w14:paraId="35973063" w14:textId="77777777">
      <w:pPr>
        <w:rPr>
          <w:rFonts w:cs="Arial" w:asciiTheme="minorHAnsi" w:hAnsiTheme="minorHAnsi"/>
          <w:sz w:val="20"/>
        </w:rPr>
      </w:pPr>
    </w:p>
    <w:p w:rsidRPr="0053172C" w:rsidR="00A62B43" w:rsidP="00A62B43" w:rsidRDefault="00A62B43" w14:paraId="04281924" w14:textId="77777777">
      <w:pPr>
        <w:rPr>
          <w:rFonts w:asciiTheme="minorHAnsi" w:hAnsiTheme="minorHAnsi"/>
          <w:sz w:val="20"/>
        </w:rPr>
      </w:pPr>
    </w:p>
    <w:tbl>
      <w:tblPr>
        <w:tblW w:w="9049" w:type="dxa"/>
        <w:tblLayout w:type="fixed"/>
        <w:tblLook w:val="0000" w:firstRow="0" w:lastRow="0" w:firstColumn="0" w:lastColumn="0" w:noHBand="0" w:noVBand="0"/>
      </w:tblPr>
      <w:tblGrid>
        <w:gridCol w:w="4153"/>
        <w:gridCol w:w="4896"/>
      </w:tblGrid>
      <w:tr w:rsidRPr="00E25790" w:rsidR="00115F48" w:rsidTr="00EC6FC6" w14:paraId="6D0F8A2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7A215D91" w14:textId="77777777">
            <w:pPr>
              <w:pStyle w:val="Heading1"/>
            </w:pPr>
            <w:bookmarkStart w:name="_Toc495481103" w:id="216"/>
            <w:bookmarkStart w:name="_Toc495481229" w:id="217"/>
            <w:bookmarkStart w:name="_Toc495481354" w:id="218"/>
            <w:bookmarkStart w:name="_Toc495501535" w:id="219"/>
            <w:bookmarkStart w:name="_Toc38106841" w:id="220"/>
            <w:bookmarkStart w:name="_Toc75339967" w:id="221"/>
            <w:r w:rsidRPr="00E25790">
              <w:lastRenderedPageBreak/>
              <w:t>Erythropoietin</w:t>
            </w:r>
            <w:bookmarkEnd w:id="216"/>
            <w:bookmarkEnd w:id="217"/>
            <w:bookmarkEnd w:id="218"/>
            <w:bookmarkEnd w:id="219"/>
            <w:bookmarkEnd w:id="220"/>
            <w:bookmarkEnd w:id="221"/>
            <w:r w:rsidRPr="00E25790">
              <w:fldChar w:fldCharType="begin"/>
            </w:r>
            <w:r w:rsidRPr="00E25790">
              <w:instrText>tc "Erythropoietin" \l 0</w:instrText>
            </w:r>
            <w:r w:rsidRPr="00E25790">
              <w:fldChar w:fldCharType="end"/>
            </w:r>
          </w:p>
        </w:tc>
      </w:tr>
      <w:tr w:rsidRPr="00E25790" w:rsidR="00115F48" w:rsidTr="00EC6FC6" w14:paraId="584931C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83495A0" w14:textId="69C7BEBC">
            <w:r w:rsidRPr="00E25790">
              <w:t xml:space="preserve">Revision Date : </w:t>
            </w:r>
            <w:r w:rsidR="00F629DB">
              <w:t>18</w:t>
            </w:r>
            <w:r w:rsidR="0001469D">
              <w:t>-1-2021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45CD44B" w14:textId="07401D52">
            <w:r w:rsidRPr="00E25790">
              <w:t xml:space="preserve">Approved </w:t>
            </w:r>
            <w:r w:rsidR="0001469D">
              <w:t>DT, TC, KOH</w:t>
            </w:r>
          </w:p>
        </w:tc>
      </w:tr>
    </w:tbl>
    <w:p w:rsidR="00115F48" w:rsidP="006F0321" w:rsidRDefault="00115F48" w14:paraId="0B07E57B" w14:textId="27A8F174"/>
    <w:tbl>
      <w:tblPr>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788"/>
      </w:tblGrid>
      <w:tr w:rsidRPr="003A7895" w:rsidR="0073382B" w:rsidTr="00131848" w14:paraId="728055F5" w14:textId="77777777">
        <w:trPr>
          <w:trHeight w:val="70"/>
        </w:trPr>
        <w:tc>
          <w:tcPr>
            <w:tcW w:w="1702" w:type="dxa"/>
          </w:tcPr>
          <w:p w:rsidRPr="00B53E9B" w:rsidR="0073382B" w:rsidP="00131848" w:rsidRDefault="0073382B" w14:paraId="04A31477" w14:textId="77777777">
            <w:pPr>
              <w:pStyle w:val="BodyText"/>
              <w:tabs>
                <w:tab w:val="center" w:pos="1476"/>
              </w:tabs>
              <w:rPr>
                <w:rFonts w:cs="Arial"/>
                <w:b/>
                <w:sz w:val="20"/>
              </w:rPr>
            </w:pPr>
            <w:r w:rsidRPr="00B53E9B">
              <w:rPr>
                <w:rFonts w:cs="Arial"/>
                <w:b/>
                <w:sz w:val="20"/>
              </w:rPr>
              <w:t>Alert</w:t>
            </w:r>
          </w:p>
        </w:tc>
        <w:tc>
          <w:tcPr>
            <w:tcW w:w="8788" w:type="dxa"/>
          </w:tcPr>
          <w:p w:rsidRPr="00250D9E" w:rsidR="0073382B" w:rsidP="00131848" w:rsidRDefault="0073382B" w14:paraId="7F54C7C2" w14:textId="77777777">
            <w:pPr>
              <w:pStyle w:val="BodyText"/>
              <w:rPr>
                <w:rFonts w:cs="Arial" w:asciiTheme="minorHAnsi" w:hAnsiTheme="minorHAnsi"/>
                <w:sz w:val="20"/>
              </w:rPr>
            </w:pPr>
            <w:r>
              <w:rPr>
                <w:rFonts w:cs="Arial" w:asciiTheme="minorHAnsi" w:hAnsiTheme="minorHAnsi"/>
                <w:sz w:val="20"/>
              </w:rPr>
              <w:t>S100 medication – may require additional approval per local hospital policy/procedure.</w:t>
            </w:r>
          </w:p>
        </w:tc>
      </w:tr>
      <w:tr w:rsidRPr="003A7895" w:rsidR="0073382B" w:rsidTr="00131848" w14:paraId="57B3E97A" w14:textId="77777777">
        <w:trPr>
          <w:trHeight w:val="72"/>
        </w:trPr>
        <w:tc>
          <w:tcPr>
            <w:tcW w:w="1702" w:type="dxa"/>
          </w:tcPr>
          <w:p w:rsidRPr="00B53E9B" w:rsidR="0073382B" w:rsidP="00131848" w:rsidRDefault="0073382B" w14:paraId="406E9B34" w14:textId="77777777">
            <w:pPr>
              <w:pStyle w:val="BodyText"/>
              <w:rPr>
                <w:rFonts w:cs="Arial"/>
                <w:sz w:val="20"/>
              </w:rPr>
            </w:pPr>
            <w:r w:rsidRPr="00B53E9B">
              <w:rPr>
                <w:rFonts w:cs="Arial"/>
                <w:b/>
                <w:bCs/>
                <w:sz w:val="20"/>
              </w:rPr>
              <w:t>Indication</w:t>
            </w:r>
          </w:p>
        </w:tc>
        <w:tc>
          <w:tcPr>
            <w:tcW w:w="8788" w:type="dxa"/>
          </w:tcPr>
          <w:p w:rsidR="0073382B" w:rsidP="00131848" w:rsidRDefault="0073382B" w14:paraId="6E44F5D3" w14:textId="77777777">
            <w:pPr>
              <w:rPr>
                <w:rFonts w:asciiTheme="minorHAnsi" w:hAnsiTheme="minorHAnsi"/>
                <w:sz w:val="20"/>
              </w:rPr>
            </w:pPr>
            <w:r w:rsidRPr="00250D9E">
              <w:rPr>
                <w:rFonts w:asciiTheme="minorHAnsi" w:hAnsiTheme="minorHAnsi"/>
                <w:sz w:val="20"/>
              </w:rPr>
              <w:t>To decrease the need for RBC transfusions in extremely low birth weight infants</w:t>
            </w:r>
          </w:p>
          <w:p w:rsidRPr="00250D9E" w:rsidR="0073382B" w:rsidP="00131848" w:rsidRDefault="0073382B" w14:paraId="66979AFB" w14:textId="77777777">
            <w:pPr>
              <w:rPr>
                <w:rFonts w:asciiTheme="minorHAnsi" w:hAnsiTheme="minorHAnsi"/>
                <w:sz w:val="20"/>
              </w:rPr>
            </w:pPr>
            <w:r w:rsidRPr="00250D9E">
              <w:rPr>
                <w:rFonts w:asciiTheme="minorHAnsi" w:hAnsiTheme="minorHAnsi"/>
                <w:sz w:val="20"/>
              </w:rPr>
              <w:t>Replacement of low endogenous erythropoietin</w:t>
            </w:r>
          </w:p>
          <w:p w:rsidRPr="00250D9E" w:rsidR="0073382B" w:rsidP="00131848" w:rsidRDefault="0073382B" w14:paraId="61218EC9" w14:textId="77777777">
            <w:pPr>
              <w:rPr>
                <w:rFonts w:asciiTheme="minorHAnsi" w:hAnsiTheme="minorHAnsi"/>
                <w:sz w:val="20"/>
              </w:rPr>
            </w:pPr>
            <w:r w:rsidRPr="00250D9E">
              <w:rPr>
                <w:rFonts w:asciiTheme="minorHAnsi" w:hAnsiTheme="minorHAnsi"/>
                <w:sz w:val="20"/>
              </w:rPr>
              <w:t>Support to maintain/ accelerate erythropoiesis</w:t>
            </w:r>
          </w:p>
          <w:p w:rsidRPr="00250D9E" w:rsidR="0073382B" w:rsidP="00131848" w:rsidRDefault="0073382B" w14:paraId="5F6F9BAB" w14:textId="77777777">
            <w:pPr>
              <w:rPr>
                <w:rFonts w:asciiTheme="minorHAnsi" w:hAnsiTheme="minorHAnsi"/>
                <w:sz w:val="20"/>
              </w:rPr>
            </w:pPr>
            <w:r w:rsidRPr="00250D9E">
              <w:rPr>
                <w:rFonts w:asciiTheme="minorHAnsi" w:hAnsiTheme="minorHAnsi"/>
                <w:sz w:val="20"/>
              </w:rPr>
              <w:t>Augmenting haemoglobin level</w:t>
            </w:r>
          </w:p>
        </w:tc>
      </w:tr>
      <w:tr w:rsidRPr="003A7895" w:rsidR="0073382B" w:rsidTr="00131848" w14:paraId="43D25068" w14:textId="77777777">
        <w:trPr>
          <w:trHeight w:val="70"/>
        </w:trPr>
        <w:tc>
          <w:tcPr>
            <w:tcW w:w="1702" w:type="dxa"/>
          </w:tcPr>
          <w:p w:rsidRPr="00B53E9B" w:rsidR="0073382B" w:rsidP="00131848" w:rsidRDefault="0073382B" w14:paraId="2C10DEEA" w14:textId="77777777">
            <w:pPr>
              <w:pStyle w:val="BodyText"/>
              <w:rPr>
                <w:rFonts w:cs="Arial"/>
                <w:b/>
                <w:bCs/>
                <w:sz w:val="20"/>
              </w:rPr>
            </w:pPr>
            <w:r w:rsidRPr="00B53E9B">
              <w:rPr>
                <w:rFonts w:cs="Arial"/>
                <w:b/>
                <w:bCs/>
                <w:sz w:val="20"/>
              </w:rPr>
              <w:t>Action</w:t>
            </w:r>
          </w:p>
        </w:tc>
        <w:tc>
          <w:tcPr>
            <w:tcW w:w="8788" w:type="dxa"/>
          </w:tcPr>
          <w:p w:rsidRPr="00250D9E" w:rsidR="0073382B" w:rsidP="00131848" w:rsidRDefault="0073382B" w14:paraId="1E447893" w14:textId="77777777">
            <w:pPr>
              <w:rPr>
                <w:rFonts w:cs="Arial" w:asciiTheme="minorHAnsi" w:hAnsiTheme="minorHAnsi"/>
                <w:sz w:val="20"/>
              </w:rPr>
            </w:pPr>
            <w:r w:rsidRPr="00250D9E">
              <w:rPr>
                <w:rFonts w:asciiTheme="minorHAnsi" w:hAnsiTheme="minorHAnsi"/>
                <w:sz w:val="20"/>
              </w:rPr>
              <w:t>Endogenous glycoprotein that stimulates red blood cell production</w:t>
            </w:r>
            <w:r>
              <w:rPr>
                <w:rFonts w:asciiTheme="minorHAnsi" w:hAnsiTheme="minorHAnsi"/>
                <w:sz w:val="20"/>
              </w:rPr>
              <w:t xml:space="preserve">. It is </w:t>
            </w:r>
            <w:r w:rsidRPr="00250D9E">
              <w:rPr>
                <w:rFonts w:asciiTheme="minorHAnsi" w:hAnsiTheme="minorHAnsi"/>
                <w:sz w:val="20"/>
              </w:rPr>
              <w:t xml:space="preserve">produced by the kidney. </w:t>
            </w:r>
          </w:p>
        </w:tc>
      </w:tr>
      <w:tr w:rsidRPr="003A7895" w:rsidR="0073382B" w:rsidTr="00131848" w14:paraId="68A54B4D" w14:textId="77777777">
        <w:trPr>
          <w:trHeight w:val="266"/>
        </w:trPr>
        <w:tc>
          <w:tcPr>
            <w:tcW w:w="1702" w:type="dxa"/>
          </w:tcPr>
          <w:p w:rsidRPr="00B53E9B" w:rsidR="0073382B" w:rsidP="00131848" w:rsidRDefault="0073382B" w14:paraId="766377AD" w14:textId="77777777">
            <w:pPr>
              <w:pStyle w:val="BodyText"/>
              <w:rPr>
                <w:rFonts w:cs="Arial"/>
                <w:sz w:val="20"/>
              </w:rPr>
            </w:pPr>
            <w:r>
              <w:rPr>
                <w:rFonts w:cs="Arial"/>
                <w:b/>
                <w:bCs/>
                <w:sz w:val="20"/>
              </w:rPr>
              <w:t>Drug t</w:t>
            </w:r>
            <w:r w:rsidRPr="00B53E9B">
              <w:rPr>
                <w:rFonts w:cs="Arial"/>
                <w:b/>
                <w:bCs/>
                <w:sz w:val="20"/>
              </w:rPr>
              <w:t>ype</w:t>
            </w:r>
          </w:p>
        </w:tc>
        <w:tc>
          <w:tcPr>
            <w:tcW w:w="8788" w:type="dxa"/>
          </w:tcPr>
          <w:p w:rsidRPr="00250D9E" w:rsidR="0073382B" w:rsidP="00131848" w:rsidRDefault="0073382B" w14:paraId="60F31624" w14:textId="77777777">
            <w:pPr>
              <w:pStyle w:val="BodyText"/>
              <w:rPr>
                <w:rFonts w:cs="Arial" w:asciiTheme="minorHAnsi" w:hAnsiTheme="minorHAnsi"/>
                <w:sz w:val="20"/>
              </w:rPr>
            </w:pPr>
            <w:r>
              <w:rPr>
                <w:rFonts w:cs="Arial" w:asciiTheme="minorHAnsi" w:hAnsiTheme="minorHAnsi"/>
                <w:sz w:val="20"/>
              </w:rPr>
              <w:t>Erythropoietin agonist.</w:t>
            </w:r>
          </w:p>
        </w:tc>
      </w:tr>
      <w:tr w:rsidRPr="003A7895" w:rsidR="0073382B" w:rsidTr="00131848" w14:paraId="2BEC2B1F" w14:textId="77777777">
        <w:trPr>
          <w:trHeight w:val="114"/>
        </w:trPr>
        <w:tc>
          <w:tcPr>
            <w:tcW w:w="1702" w:type="dxa"/>
          </w:tcPr>
          <w:p w:rsidRPr="00B53E9B" w:rsidR="0073382B" w:rsidP="00131848" w:rsidRDefault="0073382B" w14:paraId="2846BC37"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788" w:type="dxa"/>
          </w:tcPr>
          <w:p w:rsidRPr="00250D9E" w:rsidR="0073382B" w:rsidP="00131848" w:rsidRDefault="0073382B" w14:paraId="3CAF4B65" w14:textId="77777777">
            <w:pPr>
              <w:pStyle w:val="BodyText"/>
              <w:rPr>
                <w:rFonts w:cs="Arial" w:asciiTheme="minorHAnsi" w:hAnsiTheme="minorHAnsi"/>
                <w:sz w:val="20"/>
              </w:rPr>
            </w:pPr>
            <w:r>
              <w:rPr>
                <w:rFonts w:cs="Arial" w:asciiTheme="minorHAnsi" w:hAnsiTheme="minorHAnsi"/>
                <w:sz w:val="20"/>
              </w:rPr>
              <w:t>Eprex (</w:t>
            </w:r>
            <w:r w:rsidRPr="00250D9E">
              <w:rPr>
                <w:rFonts w:cs="Arial" w:asciiTheme="minorHAnsi" w:hAnsiTheme="minorHAnsi"/>
                <w:sz w:val="20"/>
              </w:rPr>
              <w:t>EPOETIN ALFA</w:t>
            </w:r>
            <w:r>
              <w:rPr>
                <w:rFonts w:cs="Arial" w:asciiTheme="minorHAnsi" w:hAnsiTheme="minorHAnsi"/>
                <w:sz w:val="20"/>
              </w:rPr>
              <w:t>)</w:t>
            </w:r>
          </w:p>
        </w:tc>
      </w:tr>
      <w:tr w:rsidRPr="003A7895" w:rsidR="0073382B" w:rsidTr="00131848" w14:paraId="5F1C08D9" w14:textId="77777777">
        <w:trPr>
          <w:trHeight w:val="70"/>
        </w:trPr>
        <w:tc>
          <w:tcPr>
            <w:tcW w:w="1702" w:type="dxa"/>
          </w:tcPr>
          <w:p w:rsidRPr="00B53E9B" w:rsidR="0073382B" w:rsidP="00131848" w:rsidRDefault="0073382B" w14:paraId="1E3F1E67" w14:textId="77777777">
            <w:pPr>
              <w:pStyle w:val="BodyText"/>
              <w:rPr>
                <w:rFonts w:cs="Arial"/>
                <w:b/>
                <w:bCs/>
                <w:sz w:val="20"/>
              </w:rPr>
            </w:pPr>
            <w:r w:rsidRPr="00B53E9B">
              <w:rPr>
                <w:rFonts w:cs="Arial"/>
                <w:b/>
                <w:bCs/>
                <w:sz w:val="20"/>
              </w:rPr>
              <w:t xml:space="preserve">Presentation </w:t>
            </w:r>
          </w:p>
        </w:tc>
        <w:tc>
          <w:tcPr>
            <w:tcW w:w="8788" w:type="dxa"/>
          </w:tcPr>
          <w:p w:rsidRPr="00250D9E" w:rsidR="0073382B" w:rsidP="00131848" w:rsidRDefault="0073382B" w14:paraId="767E1C99" w14:textId="77777777">
            <w:pPr>
              <w:pStyle w:val="BodyText"/>
              <w:rPr>
                <w:rFonts w:cs="Arial" w:asciiTheme="minorHAnsi" w:hAnsiTheme="minorHAnsi"/>
                <w:sz w:val="20"/>
              </w:rPr>
            </w:pPr>
            <w:r w:rsidRPr="00250D9E">
              <w:rPr>
                <w:rFonts w:asciiTheme="minorHAnsi" w:hAnsiTheme="minorHAnsi"/>
                <w:sz w:val="20"/>
              </w:rPr>
              <w:t>1000</w:t>
            </w:r>
            <w:r>
              <w:rPr>
                <w:rFonts w:asciiTheme="minorHAnsi" w:hAnsiTheme="minorHAnsi"/>
                <w:sz w:val="20"/>
              </w:rPr>
              <w:t xml:space="preserve"> unit</w:t>
            </w:r>
            <w:r w:rsidRPr="00250D9E">
              <w:rPr>
                <w:rFonts w:asciiTheme="minorHAnsi" w:hAnsiTheme="minorHAnsi"/>
                <w:sz w:val="20"/>
              </w:rPr>
              <w:t>/0.5m</w:t>
            </w:r>
            <w:r>
              <w:rPr>
                <w:rFonts w:asciiTheme="minorHAnsi" w:hAnsiTheme="minorHAnsi"/>
                <w:sz w:val="20"/>
              </w:rPr>
              <w:t>L prefilled syringe (recommended). Other strengths are available – check carefully.</w:t>
            </w:r>
          </w:p>
        </w:tc>
      </w:tr>
      <w:tr w:rsidRPr="000E2236" w:rsidR="0073382B" w:rsidTr="00131848" w14:paraId="3393699B" w14:textId="77777777">
        <w:trPr>
          <w:trHeight w:val="70"/>
        </w:trPr>
        <w:tc>
          <w:tcPr>
            <w:tcW w:w="1702" w:type="dxa"/>
          </w:tcPr>
          <w:p w:rsidRPr="00B53E9B" w:rsidR="0073382B" w:rsidP="00131848" w:rsidRDefault="0073382B" w14:paraId="518C62FE" w14:textId="77777777">
            <w:pPr>
              <w:pStyle w:val="BodyText"/>
              <w:rPr>
                <w:rFonts w:cs="Arial"/>
                <w:b/>
                <w:bCs/>
                <w:sz w:val="20"/>
              </w:rPr>
            </w:pPr>
            <w:r>
              <w:rPr>
                <w:rFonts w:cs="Arial"/>
                <w:b/>
                <w:bCs/>
                <w:sz w:val="20"/>
              </w:rPr>
              <w:t>Dose</w:t>
            </w:r>
            <w:r w:rsidRPr="00B53E9B">
              <w:rPr>
                <w:rFonts w:cs="Arial"/>
                <w:b/>
                <w:bCs/>
                <w:sz w:val="20"/>
              </w:rPr>
              <w:t xml:space="preserve"> </w:t>
            </w:r>
          </w:p>
        </w:tc>
        <w:tc>
          <w:tcPr>
            <w:tcW w:w="8788" w:type="dxa"/>
          </w:tcPr>
          <w:p w:rsidR="0073382B" w:rsidP="00131848" w:rsidRDefault="0073382B" w14:paraId="11BE9546" w14:textId="77777777">
            <w:pPr>
              <w:pStyle w:val="BodyText"/>
              <w:rPr>
                <w:rFonts w:asciiTheme="minorHAnsi" w:hAnsiTheme="minorHAnsi"/>
                <w:sz w:val="20"/>
              </w:rPr>
            </w:pPr>
            <w:r>
              <w:rPr>
                <w:rFonts w:asciiTheme="minorHAnsi" w:hAnsiTheme="minorHAnsi"/>
                <w:sz w:val="20"/>
              </w:rPr>
              <w:t>250-400 unit</w:t>
            </w:r>
            <w:r w:rsidRPr="00250D9E">
              <w:rPr>
                <w:rFonts w:asciiTheme="minorHAnsi" w:hAnsiTheme="minorHAnsi"/>
                <w:sz w:val="20"/>
              </w:rPr>
              <w:t>/kg/dose 3 times weekly (</w:t>
            </w:r>
            <w:r>
              <w:rPr>
                <w:rFonts w:asciiTheme="minorHAnsi" w:hAnsiTheme="minorHAnsi"/>
                <w:sz w:val="20"/>
              </w:rPr>
              <w:t xml:space="preserve">e.g. </w:t>
            </w:r>
            <w:r w:rsidRPr="00250D9E">
              <w:rPr>
                <w:rFonts w:asciiTheme="minorHAnsi" w:hAnsiTheme="minorHAnsi"/>
                <w:sz w:val="20"/>
              </w:rPr>
              <w:t>Mon/Wed/Fri)</w:t>
            </w:r>
            <w:r>
              <w:rPr>
                <w:rFonts w:asciiTheme="minorHAnsi" w:hAnsiTheme="minorHAnsi"/>
                <w:sz w:val="20"/>
              </w:rPr>
              <w:t xml:space="preserve"> for commencing from day 3 of life and up to 35 weeks corrected age.</w:t>
            </w:r>
            <w:r>
              <w:rPr>
                <w:rFonts w:asciiTheme="minorHAnsi" w:hAnsiTheme="minorHAnsi"/>
                <w:noProof/>
                <w:sz w:val="20"/>
              </w:rPr>
              <w:t>(1-4)</w:t>
            </w:r>
          </w:p>
          <w:p w:rsidRPr="00250D9E" w:rsidR="0073382B" w:rsidP="00131848" w:rsidRDefault="0073382B" w14:paraId="57716097" w14:textId="77777777">
            <w:pPr>
              <w:pStyle w:val="BodyText"/>
              <w:rPr>
                <w:rFonts w:asciiTheme="minorHAnsi" w:hAnsiTheme="minorHAnsi"/>
                <w:sz w:val="20"/>
              </w:rPr>
            </w:pPr>
            <w:r>
              <w:rPr>
                <w:rFonts w:asciiTheme="minorHAnsi" w:hAnsiTheme="minorHAnsi"/>
                <w:sz w:val="20"/>
              </w:rPr>
              <w:t xml:space="preserve">Requires concomitant iron therapy (3-6 mg/kg/day). Refer to Iron formulary for further guidance. </w:t>
            </w:r>
          </w:p>
        </w:tc>
      </w:tr>
      <w:tr w:rsidRPr="003A7895" w:rsidR="0073382B" w:rsidTr="00131848" w14:paraId="457F47FC" w14:textId="77777777">
        <w:trPr>
          <w:trHeight w:val="407"/>
        </w:trPr>
        <w:tc>
          <w:tcPr>
            <w:tcW w:w="1702" w:type="dxa"/>
          </w:tcPr>
          <w:p w:rsidRPr="00B53E9B" w:rsidR="0073382B" w:rsidP="00131848" w:rsidRDefault="0073382B" w14:paraId="3947369A" w14:textId="77777777">
            <w:pPr>
              <w:pStyle w:val="BodyText"/>
              <w:rPr>
                <w:b/>
                <w:sz w:val="20"/>
              </w:rPr>
            </w:pPr>
            <w:r w:rsidRPr="00B53E9B">
              <w:rPr>
                <w:b/>
                <w:sz w:val="20"/>
              </w:rPr>
              <w:t>Dose adjustment</w:t>
            </w:r>
          </w:p>
          <w:p w:rsidRPr="00B53E9B" w:rsidR="0073382B" w:rsidP="00131848" w:rsidRDefault="0073382B" w14:paraId="7C067CDF" w14:textId="77777777">
            <w:pPr>
              <w:pStyle w:val="BodyText"/>
              <w:rPr>
                <w:b/>
                <w:sz w:val="20"/>
              </w:rPr>
            </w:pPr>
          </w:p>
        </w:tc>
        <w:tc>
          <w:tcPr>
            <w:tcW w:w="8788" w:type="dxa"/>
          </w:tcPr>
          <w:p w:rsidR="0073382B" w:rsidP="00131848" w:rsidRDefault="0073382B" w14:paraId="1FF1696E" w14:textId="77777777">
            <w:pPr>
              <w:pStyle w:val="BodyText"/>
              <w:rPr>
                <w:rFonts w:asciiTheme="minorHAnsi" w:hAnsiTheme="minorHAnsi"/>
                <w:sz w:val="20"/>
              </w:rPr>
            </w:pPr>
            <w:r>
              <w:rPr>
                <w:rFonts w:asciiTheme="minorHAnsi" w:hAnsiTheme="minorHAnsi"/>
                <w:sz w:val="20"/>
              </w:rPr>
              <w:t>Therapeutic hypothermia – Not applicable.</w:t>
            </w:r>
          </w:p>
          <w:p w:rsidR="0073382B" w:rsidP="00131848" w:rsidRDefault="0073382B" w14:paraId="0B666287" w14:textId="77777777">
            <w:pPr>
              <w:pStyle w:val="BodyText"/>
              <w:rPr>
                <w:rFonts w:asciiTheme="minorHAnsi" w:hAnsiTheme="minorHAnsi"/>
                <w:sz w:val="20"/>
              </w:rPr>
            </w:pPr>
            <w:r>
              <w:rPr>
                <w:rFonts w:asciiTheme="minorHAnsi" w:hAnsiTheme="minorHAnsi"/>
                <w:sz w:val="20"/>
              </w:rPr>
              <w:t>ECMO – No information.</w:t>
            </w:r>
          </w:p>
          <w:p w:rsidR="0073382B" w:rsidP="00131848" w:rsidRDefault="0073382B" w14:paraId="71DE860B" w14:textId="77777777">
            <w:pPr>
              <w:pStyle w:val="BodyText"/>
              <w:rPr>
                <w:rFonts w:asciiTheme="minorHAnsi" w:hAnsiTheme="minorHAnsi"/>
                <w:sz w:val="20"/>
              </w:rPr>
            </w:pPr>
            <w:r>
              <w:rPr>
                <w:rFonts w:asciiTheme="minorHAnsi" w:hAnsiTheme="minorHAnsi"/>
                <w:sz w:val="20"/>
              </w:rPr>
              <w:t>Renal impairment – No information.</w:t>
            </w:r>
          </w:p>
          <w:p w:rsidRPr="00250D9E" w:rsidR="0073382B" w:rsidP="00131848" w:rsidRDefault="0073382B" w14:paraId="00C94C43" w14:textId="77777777">
            <w:pPr>
              <w:pStyle w:val="BodyText"/>
              <w:rPr>
                <w:rFonts w:asciiTheme="minorHAnsi" w:hAnsiTheme="minorHAnsi"/>
                <w:sz w:val="20"/>
              </w:rPr>
            </w:pPr>
            <w:r>
              <w:rPr>
                <w:rFonts w:asciiTheme="minorHAnsi" w:hAnsiTheme="minorHAnsi"/>
                <w:sz w:val="20"/>
              </w:rPr>
              <w:t>Hepatic impairment – No information.</w:t>
            </w:r>
          </w:p>
        </w:tc>
      </w:tr>
      <w:tr w:rsidRPr="003A7895" w:rsidR="0073382B" w:rsidTr="00131848" w14:paraId="73DD80A2" w14:textId="77777777">
        <w:trPr>
          <w:trHeight w:val="113"/>
        </w:trPr>
        <w:tc>
          <w:tcPr>
            <w:tcW w:w="1702" w:type="dxa"/>
          </w:tcPr>
          <w:p w:rsidRPr="00B53E9B" w:rsidR="0073382B" w:rsidP="00131848" w:rsidRDefault="0073382B" w14:paraId="3EF95761" w14:textId="77777777">
            <w:pPr>
              <w:pStyle w:val="BodyText"/>
              <w:rPr>
                <w:b/>
                <w:sz w:val="20"/>
              </w:rPr>
            </w:pPr>
            <w:r w:rsidRPr="00B53E9B">
              <w:rPr>
                <w:b/>
                <w:sz w:val="20"/>
              </w:rPr>
              <w:t>Maximum dose</w:t>
            </w:r>
          </w:p>
        </w:tc>
        <w:tc>
          <w:tcPr>
            <w:tcW w:w="8788" w:type="dxa"/>
          </w:tcPr>
          <w:p w:rsidRPr="00250D9E" w:rsidR="0073382B" w:rsidP="00131848" w:rsidRDefault="0073382B" w14:paraId="7E99F874" w14:textId="77777777">
            <w:pPr>
              <w:pStyle w:val="BodyText"/>
              <w:rPr>
                <w:rFonts w:asciiTheme="minorHAnsi" w:hAnsiTheme="minorHAnsi"/>
                <w:sz w:val="20"/>
              </w:rPr>
            </w:pPr>
            <w:r>
              <w:rPr>
                <w:rFonts w:asciiTheme="minorHAnsi" w:hAnsiTheme="minorHAnsi"/>
                <w:sz w:val="20"/>
              </w:rPr>
              <w:t xml:space="preserve">1200 unit/kg/week </w:t>
            </w:r>
            <w:r>
              <w:rPr>
                <w:rFonts w:asciiTheme="minorHAnsi" w:hAnsiTheme="minorHAnsi"/>
                <w:noProof/>
                <w:sz w:val="20"/>
              </w:rPr>
              <w:t>(5-7)</w:t>
            </w:r>
          </w:p>
        </w:tc>
      </w:tr>
      <w:tr w:rsidRPr="003A7895" w:rsidR="0073382B" w:rsidTr="00131848" w14:paraId="1AF0FA1D" w14:textId="77777777">
        <w:trPr>
          <w:trHeight w:val="144"/>
        </w:trPr>
        <w:tc>
          <w:tcPr>
            <w:tcW w:w="1702" w:type="dxa"/>
          </w:tcPr>
          <w:p w:rsidRPr="00B53E9B" w:rsidR="0073382B" w:rsidP="00131848" w:rsidRDefault="0073382B" w14:paraId="139CC8DB" w14:textId="77777777">
            <w:pPr>
              <w:pStyle w:val="BodyText"/>
              <w:rPr>
                <w:rFonts w:cs="Arial"/>
                <w:b/>
                <w:bCs/>
                <w:sz w:val="20"/>
              </w:rPr>
            </w:pPr>
            <w:r w:rsidRPr="00B53E9B">
              <w:rPr>
                <w:b/>
                <w:sz w:val="20"/>
              </w:rPr>
              <w:t>Total cumulative dose</w:t>
            </w:r>
          </w:p>
        </w:tc>
        <w:tc>
          <w:tcPr>
            <w:tcW w:w="8788" w:type="dxa"/>
          </w:tcPr>
          <w:p w:rsidRPr="00250D9E" w:rsidR="0073382B" w:rsidP="00131848" w:rsidRDefault="0073382B" w14:paraId="00D232BC" w14:textId="77777777">
            <w:pPr>
              <w:pStyle w:val="BodyText"/>
              <w:rPr>
                <w:rFonts w:cs="Arial" w:asciiTheme="minorHAnsi" w:hAnsiTheme="minorHAnsi"/>
                <w:b/>
                <w:sz w:val="20"/>
              </w:rPr>
            </w:pPr>
          </w:p>
        </w:tc>
      </w:tr>
      <w:tr w:rsidRPr="003A7895" w:rsidR="0073382B" w:rsidTr="00131848" w14:paraId="5322DE3D" w14:textId="77777777">
        <w:trPr>
          <w:trHeight w:val="294"/>
        </w:trPr>
        <w:tc>
          <w:tcPr>
            <w:tcW w:w="1702" w:type="dxa"/>
          </w:tcPr>
          <w:p w:rsidRPr="00B53E9B" w:rsidR="0073382B" w:rsidP="00131848" w:rsidRDefault="0073382B" w14:paraId="29B7FDA2" w14:textId="77777777">
            <w:pPr>
              <w:pStyle w:val="BodyText"/>
              <w:rPr>
                <w:rFonts w:cs="Arial"/>
                <w:sz w:val="20"/>
              </w:rPr>
            </w:pPr>
            <w:r w:rsidRPr="00B53E9B">
              <w:rPr>
                <w:rFonts w:cs="Arial"/>
                <w:b/>
                <w:bCs/>
                <w:sz w:val="20"/>
              </w:rPr>
              <w:t xml:space="preserve">Route </w:t>
            </w:r>
          </w:p>
        </w:tc>
        <w:tc>
          <w:tcPr>
            <w:tcW w:w="8788" w:type="dxa"/>
          </w:tcPr>
          <w:p w:rsidRPr="00250D9E" w:rsidR="0073382B" w:rsidP="00131848" w:rsidRDefault="0073382B" w14:paraId="1289FFB1" w14:textId="77777777">
            <w:pPr>
              <w:pStyle w:val="BodyText"/>
              <w:rPr>
                <w:rFonts w:cs="Arial" w:asciiTheme="minorHAnsi" w:hAnsiTheme="minorHAnsi"/>
                <w:sz w:val="20"/>
              </w:rPr>
            </w:pPr>
            <w:r>
              <w:rPr>
                <w:rFonts w:cs="Arial" w:asciiTheme="minorHAnsi" w:hAnsiTheme="minorHAnsi"/>
                <w:sz w:val="20"/>
              </w:rPr>
              <w:t>SC, IV</w:t>
            </w:r>
          </w:p>
        </w:tc>
      </w:tr>
      <w:tr w:rsidRPr="003A7895" w:rsidR="0073382B" w:rsidTr="00131848" w14:paraId="472A6DF6" w14:textId="77777777">
        <w:trPr>
          <w:trHeight w:val="93"/>
        </w:trPr>
        <w:tc>
          <w:tcPr>
            <w:tcW w:w="1702" w:type="dxa"/>
          </w:tcPr>
          <w:p w:rsidRPr="00B53E9B" w:rsidR="0073382B" w:rsidP="00131848" w:rsidRDefault="0073382B" w14:paraId="7BB49D71"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788" w:type="dxa"/>
          </w:tcPr>
          <w:p w:rsidR="0073382B" w:rsidP="00131848" w:rsidRDefault="0073382B" w14:paraId="5B08E0F3" w14:textId="77777777">
            <w:pPr>
              <w:pStyle w:val="BodyText"/>
              <w:rPr>
                <w:rFonts w:cs="Arial" w:asciiTheme="minorHAnsi" w:hAnsiTheme="minorHAnsi"/>
                <w:sz w:val="20"/>
              </w:rPr>
            </w:pPr>
            <w:r>
              <w:rPr>
                <w:rFonts w:cs="Arial" w:asciiTheme="minorHAnsi" w:hAnsiTheme="minorHAnsi"/>
                <w:sz w:val="20"/>
              </w:rPr>
              <w:t>SC injection – Ready to use. Alow to reach room temperature before use. Do not shake.</w:t>
            </w:r>
          </w:p>
          <w:p w:rsidR="0073382B" w:rsidP="00131848" w:rsidRDefault="0073382B" w14:paraId="7EAAAF81" w14:textId="77777777">
            <w:pPr>
              <w:pStyle w:val="BodyText"/>
              <w:rPr>
                <w:rFonts w:cs="Arial" w:asciiTheme="minorHAnsi" w:hAnsiTheme="minorHAnsi"/>
                <w:sz w:val="20"/>
              </w:rPr>
            </w:pPr>
          </w:p>
          <w:p w:rsidRPr="00250D9E" w:rsidR="0073382B" w:rsidP="00131848" w:rsidRDefault="0073382B" w14:paraId="751BD0E9" w14:textId="77777777">
            <w:pPr>
              <w:pStyle w:val="BodyText"/>
              <w:rPr>
                <w:rFonts w:cs="Arial" w:asciiTheme="minorHAnsi" w:hAnsiTheme="minorHAnsi"/>
                <w:sz w:val="20"/>
              </w:rPr>
            </w:pPr>
            <w:r>
              <w:rPr>
                <w:rFonts w:cs="Arial" w:asciiTheme="minorHAnsi" w:hAnsiTheme="minorHAnsi"/>
                <w:sz w:val="20"/>
              </w:rPr>
              <w:t xml:space="preserve">IV injection - Draw up 0.5 mL (1000 units) epoetin alfa and add 4.5 mL sodium chloride 0.9%  to make a solution with a  final volume of 5 mL and final concentration of 200 unit/mL. </w:t>
            </w:r>
            <w:r>
              <w:rPr>
                <w:rFonts w:cs="Arial" w:asciiTheme="minorHAnsi" w:hAnsiTheme="minorHAnsi"/>
                <w:noProof/>
                <w:sz w:val="20"/>
              </w:rPr>
              <w:t>(3,4,8,12)</w:t>
            </w:r>
          </w:p>
        </w:tc>
      </w:tr>
      <w:tr w:rsidRPr="003A7895" w:rsidR="0073382B" w:rsidTr="00131848" w14:paraId="004B8599" w14:textId="77777777">
        <w:trPr>
          <w:trHeight w:val="224"/>
        </w:trPr>
        <w:tc>
          <w:tcPr>
            <w:tcW w:w="1702" w:type="dxa"/>
          </w:tcPr>
          <w:p w:rsidRPr="00B53E9B" w:rsidR="0073382B" w:rsidP="00131848" w:rsidRDefault="0073382B" w14:paraId="41C93ED3" w14:textId="77777777">
            <w:pPr>
              <w:pStyle w:val="BodyText"/>
              <w:rPr>
                <w:rFonts w:cs="Arial"/>
                <w:b/>
                <w:bCs/>
                <w:sz w:val="20"/>
              </w:rPr>
            </w:pPr>
            <w:r w:rsidRPr="00B53E9B">
              <w:rPr>
                <w:rFonts w:cs="Arial"/>
                <w:b/>
                <w:bCs/>
                <w:sz w:val="20"/>
              </w:rPr>
              <w:t xml:space="preserve">Administration </w:t>
            </w:r>
          </w:p>
        </w:tc>
        <w:tc>
          <w:tcPr>
            <w:tcW w:w="8788" w:type="dxa"/>
            <w:vAlign w:val="center"/>
          </w:tcPr>
          <w:p w:rsidR="0073382B" w:rsidP="00131848" w:rsidRDefault="0073382B" w14:paraId="607BF0ED" w14:textId="77777777">
            <w:pPr>
              <w:pStyle w:val="BodyText"/>
              <w:rPr>
                <w:rFonts w:asciiTheme="minorHAnsi" w:hAnsiTheme="minorHAnsi"/>
                <w:sz w:val="20"/>
              </w:rPr>
            </w:pPr>
            <w:r w:rsidRPr="00250D9E">
              <w:rPr>
                <w:rFonts w:asciiTheme="minorHAnsi" w:hAnsiTheme="minorHAnsi"/>
                <w:sz w:val="20"/>
              </w:rPr>
              <w:t xml:space="preserve">SC injection </w:t>
            </w:r>
            <w:r>
              <w:rPr>
                <w:rFonts w:asciiTheme="minorHAnsi" w:hAnsiTheme="minorHAnsi"/>
                <w:sz w:val="20"/>
              </w:rPr>
              <w:t>preferred.</w:t>
            </w:r>
            <w:r w:rsidRPr="00250D9E">
              <w:rPr>
                <w:rFonts w:asciiTheme="minorHAnsi" w:hAnsiTheme="minorHAnsi"/>
                <w:sz w:val="20"/>
              </w:rPr>
              <w:t xml:space="preserve"> </w:t>
            </w:r>
          </w:p>
          <w:p w:rsidRPr="00250D9E" w:rsidR="0073382B" w:rsidP="00131848" w:rsidRDefault="0073382B" w14:paraId="0DD6B0DB" w14:textId="77777777">
            <w:pPr>
              <w:pStyle w:val="BodyText"/>
              <w:rPr>
                <w:rFonts w:cs="Arial" w:asciiTheme="minorHAnsi" w:hAnsiTheme="minorHAnsi"/>
                <w:sz w:val="20"/>
              </w:rPr>
            </w:pPr>
            <w:r w:rsidRPr="00250D9E">
              <w:rPr>
                <w:rFonts w:asciiTheme="minorHAnsi" w:hAnsiTheme="minorHAnsi"/>
                <w:sz w:val="20"/>
              </w:rPr>
              <w:t xml:space="preserve">IV </w:t>
            </w:r>
            <w:r>
              <w:rPr>
                <w:rFonts w:asciiTheme="minorHAnsi" w:hAnsiTheme="minorHAnsi"/>
                <w:sz w:val="20"/>
              </w:rPr>
              <w:t>injection</w:t>
            </w:r>
            <w:r w:rsidRPr="00250D9E">
              <w:rPr>
                <w:rFonts w:asciiTheme="minorHAnsi" w:hAnsiTheme="minorHAnsi"/>
                <w:sz w:val="20"/>
              </w:rPr>
              <w:t xml:space="preserve"> over 1-2 minutes using the proximal IV bung</w:t>
            </w:r>
            <w:r>
              <w:rPr>
                <w:rFonts w:asciiTheme="minorHAnsi" w:hAnsiTheme="minorHAnsi"/>
                <w:sz w:val="20"/>
              </w:rPr>
              <w:t>.</w:t>
            </w:r>
            <w:r w:rsidRPr="00250D9E">
              <w:rPr>
                <w:rFonts w:asciiTheme="minorHAnsi" w:hAnsiTheme="minorHAnsi"/>
                <w:sz w:val="20"/>
              </w:rPr>
              <w:t xml:space="preserve"> </w:t>
            </w:r>
          </w:p>
        </w:tc>
      </w:tr>
      <w:tr w:rsidRPr="003A7895" w:rsidR="0073382B" w:rsidTr="00131848" w14:paraId="72A74DD6" w14:textId="77777777">
        <w:trPr>
          <w:trHeight w:val="215"/>
        </w:trPr>
        <w:tc>
          <w:tcPr>
            <w:tcW w:w="1702" w:type="dxa"/>
          </w:tcPr>
          <w:p w:rsidRPr="00B53E9B" w:rsidR="0073382B" w:rsidP="00131848" w:rsidRDefault="0073382B" w14:paraId="6C50EF5C" w14:textId="77777777">
            <w:pPr>
              <w:pStyle w:val="BodyText"/>
              <w:rPr>
                <w:rFonts w:cs="Arial"/>
                <w:b/>
                <w:bCs/>
                <w:sz w:val="20"/>
              </w:rPr>
            </w:pPr>
            <w:r w:rsidRPr="00B53E9B">
              <w:rPr>
                <w:rFonts w:cs="Arial"/>
                <w:b/>
                <w:bCs/>
                <w:sz w:val="20"/>
              </w:rPr>
              <w:t>Monitoring</w:t>
            </w:r>
          </w:p>
        </w:tc>
        <w:tc>
          <w:tcPr>
            <w:tcW w:w="8788" w:type="dxa"/>
          </w:tcPr>
          <w:p w:rsidR="0073382B" w:rsidP="00131848" w:rsidRDefault="0073382B" w14:paraId="77FB7FC6" w14:textId="77777777">
            <w:pPr>
              <w:pStyle w:val="BodyText"/>
              <w:rPr>
                <w:rFonts w:asciiTheme="minorHAnsi" w:hAnsiTheme="minorHAnsi"/>
                <w:sz w:val="20"/>
              </w:rPr>
            </w:pPr>
            <w:r w:rsidRPr="00250D9E">
              <w:rPr>
                <w:rFonts w:asciiTheme="minorHAnsi" w:hAnsiTheme="minorHAnsi"/>
                <w:sz w:val="20"/>
              </w:rPr>
              <w:t>Continuous cardio-respiratory monitoring</w:t>
            </w:r>
            <w:r>
              <w:rPr>
                <w:rFonts w:asciiTheme="minorHAnsi" w:hAnsiTheme="minorHAnsi"/>
                <w:sz w:val="20"/>
              </w:rPr>
              <w:t>,</w:t>
            </w:r>
            <w:r w:rsidRPr="00250D9E">
              <w:rPr>
                <w:rFonts w:asciiTheme="minorHAnsi" w:hAnsiTheme="minorHAnsi"/>
                <w:sz w:val="20"/>
              </w:rPr>
              <w:t xml:space="preserve"> blood pressure</w:t>
            </w:r>
            <w:r>
              <w:rPr>
                <w:rFonts w:asciiTheme="minorHAnsi" w:hAnsiTheme="minorHAnsi"/>
                <w:sz w:val="20"/>
              </w:rPr>
              <w:t xml:space="preserve"> (before and during therapy)</w:t>
            </w:r>
            <w:r w:rsidRPr="00250D9E">
              <w:rPr>
                <w:rFonts w:asciiTheme="minorHAnsi" w:hAnsiTheme="minorHAnsi"/>
                <w:sz w:val="20"/>
              </w:rPr>
              <w:t xml:space="preserve">. </w:t>
            </w:r>
          </w:p>
          <w:p w:rsidRPr="00250D9E" w:rsidR="0073382B" w:rsidP="00131848" w:rsidRDefault="0073382B" w14:paraId="0661D7FA" w14:textId="77777777">
            <w:pPr>
              <w:pStyle w:val="BodyText"/>
              <w:rPr>
                <w:rFonts w:cs="Arial" w:asciiTheme="minorHAnsi" w:hAnsiTheme="minorHAnsi"/>
                <w:sz w:val="20"/>
              </w:rPr>
            </w:pPr>
            <w:r w:rsidRPr="00250D9E">
              <w:rPr>
                <w:rFonts w:asciiTheme="minorHAnsi" w:hAnsiTheme="minorHAnsi"/>
                <w:sz w:val="20"/>
              </w:rPr>
              <w:t xml:space="preserve">Full blood </w:t>
            </w:r>
            <w:r>
              <w:rPr>
                <w:rFonts w:asciiTheme="minorHAnsi" w:hAnsiTheme="minorHAnsi"/>
                <w:sz w:val="20"/>
              </w:rPr>
              <w:t xml:space="preserve">count </w:t>
            </w:r>
            <w:r w:rsidRPr="00250D9E">
              <w:rPr>
                <w:rFonts w:asciiTheme="minorHAnsi" w:hAnsiTheme="minorHAnsi"/>
                <w:sz w:val="20"/>
              </w:rPr>
              <w:t>and reticulocyte count weekly.</w:t>
            </w:r>
          </w:p>
        </w:tc>
      </w:tr>
      <w:tr w:rsidRPr="003A7895" w:rsidR="0073382B" w:rsidTr="00131848" w14:paraId="26301E47" w14:textId="77777777">
        <w:trPr>
          <w:trHeight w:val="342"/>
        </w:trPr>
        <w:tc>
          <w:tcPr>
            <w:tcW w:w="1702" w:type="dxa"/>
          </w:tcPr>
          <w:p w:rsidRPr="00B53E9B" w:rsidR="0073382B" w:rsidP="00131848" w:rsidRDefault="0073382B" w14:paraId="1761F78A" w14:textId="77777777">
            <w:pPr>
              <w:pStyle w:val="BodyText"/>
              <w:rPr>
                <w:rFonts w:cs="Arial"/>
                <w:b/>
                <w:bCs/>
                <w:sz w:val="20"/>
              </w:rPr>
            </w:pPr>
            <w:r w:rsidRPr="00B53E9B">
              <w:rPr>
                <w:rFonts w:cs="Arial"/>
                <w:b/>
                <w:bCs/>
                <w:sz w:val="20"/>
              </w:rPr>
              <w:t>Contraindications</w:t>
            </w:r>
          </w:p>
        </w:tc>
        <w:tc>
          <w:tcPr>
            <w:tcW w:w="8788" w:type="dxa"/>
          </w:tcPr>
          <w:p w:rsidRPr="001566CC" w:rsidR="0073382B" w:rsidP="00131848" w:rsidRDefault="0073382B" w14:paraId="24623915" w14:textId="77777777">
            <w:pPr>
              <w:overflowPunct w:val="0"/>
              <w:autoSpaceDE w:val="0"/>
              <w:autoSpaceDN w:val="0"/>
              <w:adjustRightInd w:val="0"/>
              <w:textAlignment w:val="baseline"/>
              <w:rPr>
                <w:rFonts w:cs="Arial" w:asciiTheme="minorHAnsi" w:hAnsiTheme="minorHAnsi"/>
                <w:sz w:val="20"/>
              </w:rPr>
            </w:pPr>
            <w:r w:rsidRPr="001566CC">
              <w:rPr>
                <w:rFonts w:cs="Arial" w:asciiTheme="minorHAnsi" w:hAnsiTheme="minorHAnsi"/>
                <w:sz w:val="20"/>
              </w:rPr>
              <w:t>Known sensitivity to mammalian cell derived products.</w:t>
            </w:r>
          </w:p>
          <w:p w:rsidRPr="001566CC" w:rsidR="0073382B" w:rsidP="00131848" w:rsidRDefault="0073382B" w14:paraId="6734AD33" w14:textId="77777777">
            <w:pPr>
              <w:overflowPunct w:val="0"/>
              <w:autoSpaceDE w:val="0"/>
              <w:autoSpaceDN w:val="0"/>
              <w:adjustRightInd w:val="0"/>
              <w:textAlignment w:val="baseline"/>
              <w:rPr>
                <w:rFonts w:cs="Arial" w:asciiTheme="minorHAnsi" w:hAnsiTheme="minorHAnsi"/>
                <w:sz w:val="20"/>
              </w:rPr>
            </w:pPr>
            <w:r w:rsidRPr="001566CC">
              <w:rPr>
                <w:rFonts w:cs="Arial" w:asciiTheme="minorHAnsi" w:hAnsiTheme="minorHAnsi"/>
                <w:sz w:val="20"/>
              </w:rPr>
              <w:t>Hypersensitivity to the active substance or to any of the excipients.</w:t>
            </w:r>
          </w:p>
          <w:p w:rsidRPr="001566CC" w:rsidR="0073382B" w:rsidP="00131848" w:rsidRDefault="0073382B" w14:paraId="6AE55DCF" w14:textId="77777777">
            <w:pPr>
              <w:overflowPunct w:val="0"/>
              <w:autoSpaceDE w:val="0"/>
              <w:autoSpaceDN w:val="0"/>
              <w:adjustRightInd w:val="0"/>
              <w:textAlignment w:val="baseline"/>
              <w:rPr>
                <w:rFonts w:cs="Arial" w:asciiTheme="minorHAnsi" w:hAnsiTheme="minorHAnsi"/>
                <w:sz w:val="20"/>
              </w:rPr>
            </w:pPr>
            <w:r w:rsidRPr="001566CC">
              <w:rPr>
                <w:rFonts w:cs="Arial" w:asciiTheme="minorHAnsi" w:hAnsiTheme="minorHAnsi"/>
                <w:sz w:val="20"/>
              </w:rPr>
              <w:t>Pure red cell aplasia following erythropoietin therapy.</w:t>
            </w:r>
          </w:p>
          <w:p w:rsidRPr="00A52498" w:rsidR="0073382B" w:rsidP="00131848" w:rsidRDefault="0073382B" w14:paraId="7C4CB7B2" w14:textId="77777777">
            <w:pPr>
              <w:pStyle w:val="BodyText"/>
              <w:rPr>
                <w:rFonts w:cs="Arial" w:asciiTheme="minorHAnsi" w:hAnsiTheme="minorHAnsi"/>
                <w:sz w:val="20"/>
              </w:rPr>
            </w:pPr>
            <w:r w:rsidRPr="001566CC">
              <w:rPr>
                <w:rFonts w:cs="Arial" w:asciiTheme="minorHAnsi" w:hAnsiTheme="minorHAnsi"/>
                <w:sz w:val="20"/>
                <w:szCs w:val="24"/>
              </w:rPr>
              <w:t>Uncontrolled hypertension.</w:t>
            </w:r>
          </w:p>
        </w:tc>
      </w:tr>
      <w:tr w:rsidRPr="003A7895" w:rsidR="0073382B" w:rsidTr="00131848" w14:paraId="5F9B48DF" w14:textId="77777777">
        <w:tc>
          <w:tcPr>
            <w:tcW w:w="1702" w:type="dxa"/>
          </w:tcPr>
          <w:p w:rsidRPr="00B53E9B" w:rsidR="0073382B" w:rsidP="00131848" w:rsidRDefault="0073382B" w14:paraId="1F0651F4" w14:textId="77777777">
            <w:pPr>
              <w:pStyle w:val="BodyText"/>
              <w:rPr>
                <w:rFonts w:cs="Arial"/>
                <w:b/>
                <w:bCs/>
                <w:sz w:val="20"/>
              </w:rPr>
            </w:pPr>
            <w:r w:rsidRPr="00B53E9B">
              <w:rPr>
                <w:sz w:val="20"/>
              </w:rPr>
              <w:br w:type="page"/>
            </w:r>
            <w:r w:rsidRPr="00B53E9B">
              <w:rPr>
                <w:rFonts w:cs="Arial"/>
                <w:b/>
                <w:bCs/>
                <w:sz w:val="20"/>
              </w:rPr>
              <w:t>Precautions</w:t>
            </w:r>
          </w:p>
        </w:tc>
        <w:tc>
          <w:tcPr>
            <w:tcW w:w="8788" w:type="dxa"/>
          </w:tcPr>
          <w:p w:rsidRPr="001566CC" w:rsidR="0073382B" w:rsidP="00131848" w:rsidRDefault="0073382B" w14:paraId="5082AE0B" w14:textId="77777777">
            <w:pPr>
              <w:overflowPunct w:val="0"/>
              <w:autoSpaceDE w:val="0"/>
              <w:autoSpaceDN w:val="0"/>
              <w:adjustRightInd w:val="0"/>
              <w:textAlignment w:val="baseline"/>
              <w:rPr>
                <w:rFonts w:cs="Arial" w:asciiTheme="minorHAnsi" w:hAnsiTheme="minorHAnsi"/>
                <w:sz w:val="20"/>
              </w:rPr>
            </w:pPr>
            <w:r w:rsidRPr="001566CC">
              <w:rPr>
                <w:rFonts w:cs="Arial" w:asciiTheme="minorHAnsi" w:hAnsiTheme="minorHAnsi"/>
                <w:sz w:val="20"/>
              </w:rPr>
              <w:t xml:space="preserve">Anaphylactic reactions have been reported. Give the first dose under medical supervision. </w:t>
            </w:r>
          </w:p>
          <w:p w:rsidRPr="001566CC" w:rsidR="0073382B" w:rsidP="00131848" w:rsidRDefault="0073382B" w14:paraId="405BC2DF" w14:textId="77777777">
            <w:pPr>
              <w:overflowPunct w:val="0"/>
              <w:autoSpaceDE w:val="0"/>
              <w:autoSpaceDN w:val="0"/>
              <w:adjustRightInd w:val="0"/>
              <w:textAlignment w:val="baseline"/>
              <w:rPr>
                <w:rFonts w:cs="Arial" w:asciiTheme="minorHAnsi" w:hAnsiTheme="minorHAnsi"/>
                <w:sz w:val="20"/>
              </w:rPr>
            </w:pPr>
            <w:r w:rsidRPr="001566CC">
              <w:rPr>
                <w:rFonts w:cs="Arial" w:asciiTheme="minorHAnsi" w:hAnsiTheme="minorHAnsi"/>
                <w:sz w:val="20"/>
              </w:rPr>
              <w:t>Resuscitation facilities must be readily available.</w:t>
            </w:r>
          </w:p>
          <w:p w:rsidRPr="00250D9E" w:rsidR="0073382B" w:rsidP="00131848" w:rsidRDefault="0073382B" w14:paraId="1B4FCDEA" w14:textId="77777777">
            <w:pPr>
              <w:pStyle w:val="BodyText"/>
              <w:rPr>
                <w:rFonts w:cs="Arial" w:asciiTheme="minorHAnsi" w:hAnsiTheme="minorHAnsi"/>
                <w:sz w:val="20"/>
              </w:rPr>
            </w:pPr>
            <w:r w:rsidRPr="001566CC">
              <w:rPr>
                <w:rFonts w:cs="Arial" w:asciiTheme="minorHAnsi" w:hAnsiTheme="minorHAnsi"/>
                <w:sz w:val="20"/>
                <w:szCs w:val="24"/>
              </w:rPr>
              <w:t>Use with caution in patients with history of seizures or medical conditions associated with a predisposition to seizure activity.</w:t>
            </w:r>
          </w:p>
        </w:tc>
      </w:tr>
      <w:tr w:rsidRPr="003A7895" w:rsidR="0073382B" w:rsidTr="00131848" w14:paraId="20CE4506" w14:textId="77777777">
        <w:trPr>
          <w:trHeight w:val="70"/>
        </w:trPr>
        <w:tc>
          <w:tcPr>
            <w:tcW w:w="1702" w:type="dxa"/>
          </w:tcPr>
          <w:p w:rsidRPr="00B53E9B" w:rsidR="0073382B" w:rsidP="00131848" w:rsidRDefault="0073382B" w14:paraId="63477C0F"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788" w:type="dxa"/>
          </w:tcPr>
          <w:p w:rsidRPr="001566CC" w:rsidR="0073382B" w:rsidP="00131848" w:rsidRDefault="0073382B" w14:paraId="486F3E9D" w14:textId="77777777">
            <w:pPr>
              <w:rPr>
                <w:rFonts w:asciiTheme="minorHAnsi" w:hAnsiTheme="minorHAnsi" w:cstheme="minorHAnsi"/>
                <w:sz w:val="20"/>
                <w:lang w:eastAsia="en-AU"/>
              </w:rPr>
            </w:pPr>
            <w:bookmarkStart w:name="Top" w:id="222"/>
            <w:r w:rsidRPr="001566CC">
              <w:rPr>
                <w:rFonts w:asciiTheme="minorHAnsi" w:hAnsiTheme="minorHAnsi" w:cstheme="minorHAnsi"/>
                <w:sz w:val="20"/>
                <w:lang w:eastAsia="en-AU"/>
              </w:rPr>
              <w:t>There are no known clinically significant drug interactions but the effect of Eprex may be potentiated by the simultaneous therapeutic administration of a haematinic agent such as ferrous sulphate when a deficiency state exists.</w:t>
            </w:r>
            <w:bookmarkEnd w:id="222"/>
          </w:p>
          <w:p w:rsidRPr="00A52498" w:rsidR="0073382B" w:rsidP="00131848" w:rsidRDefault="0073382B" w14:paraId="6EC1EDD7" w14:textId="77777777">
            <w:pPr>
              <w:pStyle w:val="BodyText"/>
              <w:rPr>
                <w:rFonts w:cs="Arial" w:asciiTheme="minorHAnsi" w:hAnsiTheme="minorHAnsi"/>
                <w:sz w:val="20"/>
              </w:rPr>
            </w:pPr>
            <w:r w:rsidRPr="001566CC">
              <w:rPr>
                <w:rFonts w:asciiTheme="minorHAnsi" w:hAnsiTheme="minorHAnsi" w:cstheme="minorHAnsi"/>
                <w:sz w:val="20"/>
                <w:lang w:eastAsia="en-AU"/>
              </w:rPr>
              <w:t>Drugs that decrease erythropoiesis may decrease the response to Eprex.</w:t>
            </w:r>
          </w:p>
        </w:tc>
      </w:tr>
      <w:tr w:rsidRPr="003A7895" w:rsidR="0073382B" w:rsidTr="00131848" w14:paraId="6CCA82DA" w14:textId="77777777">
        <w:trPr>
          <w:trHeight w:val="332"/>
        </w:trPr>
        <w:tc>
          <w:tcPr>
            <w:tcW w:w="1702" w:type="dxa"/>
          </w:tcPr>
          <w:p w:rsidRPr="00B53E9B" w:rsidR="0073382B" w:rsidP="00131848" w:rsidRDefault="0073382B" w14:paraId="243AAAA8"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788" w:type="dxa"/>
          </w:tcPr>
          <w:p w:rsidR="0073382B" w:rsidP="00131848" w:rsidRDefault="0073382B" w14:paraId="79B1C0B3" w14:textId="77777777">
            <w:pPr>
              <w:pStyle w:val="BodyText"/>
              <w:rPr>
                <w:rFonts w:asciiTheme="minorHAnsi" w:hAnsiTheme="minorHAnsi"/>
                <w:sz w:val="20"/>
              </w:rPr>
            </w:pPr>
            <w:r w:rsidRPr="00250D9E">
              <w:rPr>
                <w:rFonts w:asciiTheme="minorHAnsi" w:hAnsiTheme="minorHAnsi"/>
                <w:sz w:val="20"/>
              </w:rPr>
              <w:t>Hypertension, seizures</w:t>
            </w:r>
          </w:p>
          <w:p w:rsidR="0073382B" w:rsidP="00131848" w:rsidRDefault="0073382B" w14:paraId="333A92C8" w14:textId="77777777">
            <w:pPr>
              <w:pStyle w:val="BodyText"/>
              <w:rPr>
                <w:rFonts w:asciiTheme="minorHAnsi" w:hAnsiTheme="minorHAnsi"/>
                <w:sz w:val="20"/>
              </w:rPr>
            </w:pPr>
            <w:r>
              <w:rPr>
                <w:rFonts w:asciiTheme="minorHAnsi" w:hAnsiTheme="minorHAnsi"/>
                <w:sz w:val="20"/>
              </w:rPr>
              <w:t>N</w:t>
            </w:r>
            <w:r w:rsidRPr="00250D9E">
              <w:rPr>
                <w:rFonts w:asciiTheme="minorHAnsi" w:hAnsiTheme="minorHAnsi"/>
                <w:sz w:val="20"/>
              </w:rPr>
              <w:t xml:space="preserve">eutropenia and thrombocytosis. </w:t>
            </w:r>
          </w:p>
          <w:p w:rsidR="0073382B" w:rsidP="00131848" w:rsidRDefault="0073382B" w14:paraId="691DD0F4" w14:textId="77777777">
            <w:pPr>
              <w:pStyle w:val="BodyText"/>
            </w:pPr>
            <w:r w:rsidRPr="00250D9E">
              <w:rPr>
                <w:rFonts w:asciiTheme="minorHAnsi" w:hAnsiTheme="minorHAnsi"/>
                <w:sz w:val="20"/>
              </w:rPr>
              <w:t xml:space="preserve">Transient erythema at site of </w:t>
            </w:r>
            <w:r>
              <w:rPr>
                <w:rFonts w:asciiTheme="minorHAnsi" w:hAnsiTheme="minorHAnsi"/>
                <w:sz w:val="20"/>
              </w:rPr>
              <w:t>subcutaneous</w:t>
            </w:r>
            <w:r w:rsidRPr="00250D9E">
              <w:rPr>
                <w:rFonts w:asciiTheme="minorHAnsi" w:hAnsiTheme="minorHAnsi"/>
                <w:sz w:val="20"/>
              </w:rPr>
              <w:t xml:space="preserve"> injection</w:t>
            </w:r>
            <w:r>
              <w:rPr>
                <w:rFonts w:asciiTheme="minorHAnsi" w:hAnsiTheme="minorHAnsi"/>
                <w:sz w:val="20"/>
              </w:rPr>
              <w:t>.</w:t>
            </w:r>
            <w:r>
              <w:t xml:space="preserve"> </w:t>
            </w:r>
          </w:p>
          <w:p w:rsidR="0073382B" w:rsidP="00131848" w:rsidRDefault="0073382B" w14:paraId="37E619BA" w14:textId="77777777">
            <w:pPr>
              <w:pStyle w:val="BodyText"/>
              <w:rPr>
                <w:rFonts w:asciiTheme="minorHAnsi" w:hAnsiTheme="minorHAnsi"/>
                <w:sz w:val="20"/>
              </w:rPr>
            </w:pPr>
            <w:r>
              <w:rPr>
                <w:rFonts w:asciiTheme="minorHAnsi" w:hAnsiTheme="minorHAnsi"/>
                <w:sz w:val="20"/>
              </w:rPr>
              <w:t>D</w:t>
            </w:r>
            <w:r w:rsidRPr="00FD5FCA">
              <w:rPr>
                <w:rFonts w:asciiTheme="minorHAnsi" w:hAnsiTheme="minorHAnsi"/>
                <w:sz w:val="20"/>
              </w:rPr>
              <w:t>iarrhoea, vomiting, pyrexia</w:t>
            </w:r>
          </w:p>
          <w:p w:rsidRPr="00250D9E" w:rsidR="0073382B" w:rsidP="00131848" w:rsidRDefault="0073382B" w14:paraId="1175BC6E" w14:textId="77777777">
            <w:pPr>
              <w:pStyle w:val="BodyText"/>
              <w:rPr>
                <w:rFonts w:cs="Arial" w:asciiTheme="minorHAnsi" w:hAnsiTheme="minorHAnsi"/>
                <w:sz w:val="20"/>
              </w:rPr>
            </w:pPr>
            <w:r w:rsidRPr="001566CC">
              <w:rPr>
                <w:rFonts w:cs="Arial" w:asciiTheme="minorHAnsi" w:hAnsiTheme="minorHAnsi"/>
                <w:sz w:val="20"/>
                <w:szCs w:val="24"/>
              </w:rPr>
              <w:t>Hypersensitivity including rash, urticaria and angioneurotic oedema may occur.</w:t>
            </w:r>
            <w:r w:rsidRPr="00FD5FCA">
              <w:rPr>
                <w:rFonts w:asciiTheme="minorHAnsi" w:hAnsiTheme="minorHAnsi"/>
                <w:sz w:val="20"/>
              </w:rPr>
              <w:t xml:space="preserve"> </w:t>
            </w:r>
          </w:p>
        </w:tc>
      </w:tr>
      <w:tr w:rsidRPr="003A7895" w:rsidR="0073382B" w:rsidTr="00131848" w14:paraId="6A6708BB" w14:textId="77777777">
        <w:trPr>
          <w:trHeight w:val="180"/>
        </w:trPr>
        <w:tc>
          <w:tcPr>
            <w:tcW w:w="1702" w:type="dxa"/>
          </w:tcPr>
          <w:p w:rsidRPr="00B53E9B" w:rsidR="0073382B" w:rsidP="00131848" w:rsidRDefault="0073382B" w14:paraId="300ADC8F" w14:textId="77777777">
            <w:pPr>
              <w:pStyle w:val="BodyText"/>
              <w:rPr>
                <w:rFonts w:cs="Arial"/>
                <w:b/>
                <w:bCs/>
                <w:sz w:val="20"/>
              </w:rPr>
            </w:pPr>
            <w:r w:rsidRPr="00B53E9B">
              <w:rPr>
                <w:rFonts w:cs="Arial"/>
                <w:b/>
                <w:bCs/>
                <w:sz w:val="20"/>
              </w:rPr>
              <w:t>Compatibility</w:t>
            </w:r>
          </w:p>
        </w:tc>
        <w:tc>
          <w:tcPr>
            <w:tcW w:w="8788" w:type="dxa"/>
          </w:tcPr>
          <w:p w:rsidRPr="00250D9E" w:rsidR="0073382B" w:rsidP="00131848" w:rsidRDefault="0073382B" w14:paraId="2BBC1B10" w14:textId="77777777">
            <w:pPr>
              <w:pStyle w:val="BodyText"/>
              <w:rPr>
                <w:rFonts w:asciiTheme="minorHAnsi" w:hAnsiTheme="minorHAnsi"/>
                <w:sz w:val="20"/>
              </w:rPr>
            </w:pPr>
            <w:r w:rsidRPr="001566CC">
              <w:rPr>
                <w:rFonts w:asciiTheme="minorHAnsi" w:hAnsiTheme="minorHAnsi"/>
                <w:sz w:val="20"/>
                <w:szCs w:val="24"/>
              </w:rPr>
              <w:t>Do not dilute or mix with other drugs</w:t>
            </w:r>
          </w:p>
        </w:tc>
      </w:tr>
      <w:tr w:rsidRPr="003A7895" w:rsidR="0073382B" w:rsidTr="00131848" w14:paraId="50BB3CD8" w14:textId="77777777">
        <w:trPr>
          <w:trHeight w:val="230"/>
        </w:trPr>
        <w:tc>
          <w:tcPr>
            <w:tcW w:w="1702" w:type="dxa"/>
          </w:tcPr>
          <w:p w:rsidRPr="00B53E9B" w:rsidR="0073382B" w:rsidP="00131848" w:rsidRDefault="0073382B" w14:paraId="0DC6D88F" w14:textId="77777777">
            <w:pPr>
              <w:pStyle w:val="BodyText"/>
              <w:rPr>
                <w:rFonts w:cs="Arial"/>
                <w:b/>
                <w:bCs/>
                <w:sz w:val="20"/>
              </w:rPr>
            </w:pPr>
            <w:r w:rsidRPr="00B53E9B">
              <w:rPr>
                <w:rFonts w:cs="Arial"/>
                <w:b/>
                <w:bCs/>
                <w:sz w:val="20"/>
              </w:rPr>
              <w:lastRenderedPageBreak/>
              <w:t>Incompatibility</w:t>
            </w:r>
          </w:p>
        </w:tc>
        <w:tc>
          <w:tcPr>
            <w:tcW w:w="8788" w:type="dxa"/>
          </w:tcPr>
          <w:p w:rsidRPr="00250D9E" w:rsidR="0073382B" w:rsidP="00131848" w:rsidRDefault="0073382B" w14:paraId="206EABA3" w14:textId="77777777">
            <w:pPr>
              <w:pStyle w:val="BodyText"/>
              <w:rPr>
                <w:rFonts w:cs="Arial" w:asciiTheme="minorHAnsi" w:hAnsiTheme="minorHAnsi"/>
                <w:sz w:val="20"/>
              </w:rPr>
            </w:pPr>
            <w:r w:rsidRPr="001566CC">
              <w:rPr>
                <w:rFonts w:cs="Arial" w:asciiTheme="minorHAnsi" w:hAnsiTheme="minorHAnsi"/>
                <w:sz w:val="20"/>
                <w:szCs w:val="24"/>
              </w:rPr>
              <w:t>Eprex</w:t>
            </w:r>
            <w:r>
              <w:rPr>
                <w:rFonts w:cs="Arial" w:asciiTheme="minorHAnsi" w:hAnsiTheme="minorHAnsi"/>
                <w:sz w:val="20"/>
                <w:szCs w:val="24"/>
              </w:rPr>
              <w:t>:</w:t>
            </w:r>
            <w:r w:rsidRPr="001566CC">
              <w:rPr>
                <w:rFonts w:cs="Arial" w:asciiTheme="minorHAnsi" w:hAnsiTheme="minorHAnsi"/>
                <w:sz w:val="20"/>
                <w:szCs w:val="24"/>
              </w:rPr>
              <w:t xml:space="preserve"> midazolam, vancomycin</w:t>
            </w:r>
          </w:p>
        </w:tc>
      </w:tr>
      <w:tr w:rsidRPr="003A7895" w:rsidR="0073382B" w:rsidTr="00131848" w14:paraId="0126DA5B" w14:textId="77777777">
        <w:trPr>
          <w:trHeight w:val="79"/>
        </w:trPr>
        <w:tc>
          <w:tcPr>
            <w:tcW w:w="1702" w:type="dxa"/>
          </w:tcPr>
          <w:p w:rsidRPr="00B53E9B" w:rsidR="0073382B" w:rsidP="00131848" w:rsidRDefault="0073382B" w14:paraId="3A19FFE3" w14:textId="77777777">
            <w:pPr>
              <w:pStyle w:val="BodyText"/>
              <w:rPr>
                <w:rFonts w:cs="Arial"/>
                <w:b/>
                <w:bCs/>
                <w:sz w:val="20"/>
              </w:rPr>
            </w:pPr>
            <w:r w:rsidRPr="00B53E9B">
              <w:rPr>
                <w:rFonts w:cs="Arial"/>
                <w:b/>
                <w:bCs/>
                <w:sz w:val="20"/>
              </w:rPr>
              <w:t>Stability</w:t>
            </w:r>
          </w:p>
        </w:tc>
        <w:tc>
          <w:tcPr>
            <w:tcW w:w="8788" w:type="dxa"/>
          </w:tcPr>
          <w:p w:rsidRPr="009A483B" w:rsidR="0073382B" w:rsidP="00131848" w:rsidRDefault="0073382B" w14:paraId="127A8401" w14:textId="77777777">
            <w:pPr>
              <w:overflowPunct w:val="0"/>
              <w:autoSpaceDE w:val="0"/>
              <w:autoSpaceDN w:val="0"/>
              <w:adjustRightInd w:val="0"/>
              <w:textAlignment w:val="baseline"/>
              <w:rPr>
                <w:rFonts w:cs="Arial" w:asciiTheme="minorHAnsi" w:hAnsiTheme="minorHAnsi"/>
                <w:sz w:val="20"/>
              </w:rPr>
            </w:pPr>
            <w:r w:rsidRPr="001566CC">
              <w:rPr>
                <w:rFonts w:cs="Arial" w:asciiTheme="minorHAnsi" w:hAnsiTheme="minorHAnsi"/>
                <w:sz w:val="20"/>
              </w:rPr>
              <w:t>Eprex is stable for 7 days below 25 °C.</w:t>
            </w:r>
          </w:p>
        </w:tc>
      </w:tr>
      <w:tr w:rsidRPr="003A7895" w:rsidR="0073382B" w:rsidTr="00131848" w14:paraId="0FBC9621" w14:textId="77777777">
        <w:trPr>
          <w:trHeight w:val="70"/>
        </w:trPr>
        <w:tc>
          <w:tcPr>
            <w:tcW w:w="1702" w:type="dxa"/>
          </w:tcPr>
          <w:p w:rsidRPr="00B53E9B" w:rsidR="0073382B" w:rsidP="00131848" w:rsidRDefault="0073382B" w14:paraId="4A938D2E" w14:textId="77777777">
            <w:pPr>
              <w:pStyle w:val="BodyText"/>
              <w:rPr>
                <w:rFonts w:cs="Arial"/>
                <w:b/>
                <w:bCs/>
                <w:sz w:val="20"/>
              </w:rPr>
            </w:pPr>
            <w:r w:rsidRPr="00B53E9B">
              <w:rPr>
                <w:rFonts w:cs="Arial"/>
                <w:b/>
                <w:bCs/>
                <w:sz w:val="20"/>
              </w:rPr>
              <w:t xml:space="preserve">Storage </w:t>
            </w:r>
          </w:p>
        </w:tc>
        <w:tc>
          <w:tcPr>
            <w:tcW w:w="8788" w:type="dxa"/>
          </w:tcPr>
          <w:p w:rsidRPr="00250D9E" w:rsidR="0073382B" w:rsidP="00131848" w:rsidRDefault="0073382B" w14:paraId="199BF96D" w14:textId="77777777">
            <w:pPr>
              <w:pStyle w:val="BodyText"/>
              <w:rPr>
                <w:rFonts w:cs="Arial" w:asciiTheme="minorHAnsi" w:hAnsiTheme="minorHAnsi"/>
                <w:sz w:val="20"/>
              </w:rPr>
            </w:pPr>
            <w:r w:rsidRPr="00A52498">
              <w:rPr>
                <w:rFonts w:asciiTheme="minorHAnsi" w:hAnsiTheme="minorHAnsi"/>
                <w:sz w:val="20"/>
              </w:rPr>
              <w:t xml:space="preserve">Store </w:t>
            </w:r>
            <w:r>
              <w:rPr>
                <w:rFonts w:asciiTheme="minorHAnsi" w:hAnsiTheme="minorHAnsi"/>
                <w:sz w:val="20"/>
              </w:rPr>
              <w:t>at</w:t>
            </w:r>
            <w:r w:rsidRPr="00A52498">
              <w:rPr>
                <w:rFonts w:asciiTheme="minorHAnsi" w:hAnsiTheme="minorHAnsi"/>
                <w:sz w:val="20"/>
              </w:rPr>
              <w:t xml:space="preserve"> 2–8 °C. </w:t>
            </w:r>
            <w:r>
              <w:rPr>
                <w:rFonts w:asciiTheme="minorHAnsi" w:hAnsiTheme="minorHAnsi"/>
                <w:sz w:val="20"/>
              </w:rPr>
              <w:t xml:space="preserve">Do not freeze or shake. </w:t>
            </w:r>
            <w:r w:rsidRPr="00A52498">
              <w:rPr>
                <w:rFonts w:asciiTheme="minorHAnsi" w:hAnsiTheme="minorHAnsi"/>
                <w:sz w:val="20"/>
              </w:rPr>
              <w:t>Protect from light</w:t>
            </w:r>
            <w:r>
              <w:t>.</w:t>
            </w:r>
          </w:p>
        </w:tc>
      </w:tr>
      <w:tr w:rsidRPr="003A7895" w:rsidR="0073382B" w:rsidTr="00131848" w14:paraId="57B41B0F" w14:textId="77777777">
        <w:trPr>
          <w:trHeight w:val="70"/>
        </w:trPr>
        <w:tc>
          <w:tcPr>
            <w:tcW w:w="1702" w:type="dxa"/>
          </w:tcPr>
          <w:p w:rsidRPr="00B53E9B" w:rsidR="0073382B" w:rsidP="00131848" w:rsidRDefault="0073382B" w14:paraId="50D8270F" w14:textId="77777777">
            <w:pPr>
              <w:pStyle w:val="BodyText"/>
              <w:rPr>
                <w:rFonts w:cs="Arial"/>
                <w:b/>
                <w:bCs/>
                <w:sz w:val="20"/>
              </w:rPr>
            </w:pPr>
            <w:r w:rsidRPr="00B53E9B">
              <w:rPr>
                <w:rFonts w:cs="Arial"/>
                <w:b/>
                <w:bCs/>
                <w:sz w:val="20"/>
              </w:rPr>
              <w:t>Excipients</w:t>
            </w:r>
          </w:p>
        </w:tc>
        <w:tc>
          <w:tcPr>
            <w:tcW w:w="8788" w:type="dxa"/>
          </w:tcPr>
          <w:p w:rsidRPr="009A483B" w:rsidR="0073382B" w:rsidP="00131848" w:rsidRDefault="0073382B" w14:paraId="0F5F57B3" w14:textId="77777777">
            <w:pPr>
              <w:overflowPunct w:val="0"/>
              <w:autoSpaceDE w:val="0"/>
              <w:autoSpaceDN w:val="0"/>
              <w:adjustRightInd w:val="0"/>
              <w:textAlignment w:val="baseline"/>
              <w:rPr>
                <w:rFonts w:cs="Arial" w:asciiTheme="minorHAnsi" w:hAnsiTheme="minorHAnsi"/>
                <w:sz w:val="20"/>
              </w:rPr>
            </w:pPr>
            <w:r>
              <w:rPr>
                <w:rFonts w:cs="Arial" w:asciiTheme="minorHAnsi" w:hAnsiTheme="minorHAnsi"/>
                <w:color w:val="333333"/>
                <w:sz w:val="20"/>
              </w:rPr>
              <w:t>G</w:t>
            </w:r>
            <w:r w:rsidRPr="001566CC">
              <w:rPr>
                <w:rFonts w:cs="Arial" w:asciiTheme="minorHAnsi" w:hAnsiTheme="minorHAnsi"/>
                <w:sz w:val="20"/>
              </w:rPr>
              <w:t>lycine, polysorbate-80, sodium chloride, dibasic sodium phosphate dihydrate, monobasic sodium phosphate dihydrate and sodium citrate.</w:t>
            </w:r>
          </w:p>
        </w:tc>
      </w:tr>
      <w:tr w:rsidRPr="003A7895" w:rsidR="0073382B" w:rsidTr="00131848" w14:paraId="548EB9AE" w14:textId="77777777">
        <w:trPr>
          <w:trHeight w:val="270"/>
        </w:trPr>
        <w:tc>
          <w:tcPr>
            <w:tcW w:w="1702" w:type="dxa"/>
          </w:tcPr>
          <w:p w:rsidRPr="00B53E9B" w:rsidR="0073382B" w:rsidP="00131848" w:rsidRDefault="0073382B" w14:paraId="337EEEA9"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788" w:type="dxa"/>
          </w:tcPr>
          <w:p w:rsidRPr="00250D9E" w:rsidR="0073382B" w:rsidP="00131848" w:rsidRDefault="0073382B" w14:paraId="27968590" w14:textId="77777777">
            <w:pPr>
              <w:pStyle w:val="BodyText"/>
              <w:rPr>
                <w:rFonts w:cs="Arial" w:asciiTheme="minorHAnsi" w:hAnsiTheme="minorHAnsi"/>
                <w:sz w:val="20"/>
              </w:rPr>
            </w:pPr>
            <w:r w:rsidRPr="001566CC">
              <w:rPr>
                <w:rFonts w:cs="Arial" w:asciiTheme="minorHAnsi" w:hAnsiTheme="minorHAnsi"/>
                <w:sz w:val="20"/>
                <w:szCs w:val="24"/>
              </w:rPr>
              <w:t>Ensure adequate iron stores and if necessary start iron supplementation before starting epoetin.</w:t>
            </w:r>
          </w:p>
        </w:tc>
      </w:tr>
      <w:tr w:rsidRPr="003A7895" w:rsidR="0073382B" w:rsidTr="00131848" w14:paraId="21D48981" w14:textId="77777777">
        <w:trPr>
          <w:trHeight w:val="280"/>
        </w:trPr>
        <w:tc>
          <w:tcPr>
            <w:tcW w:w="1702" w:type="dxa"/>
          </w:tcPr>
          <w:p w:rsidRPr="00B53E9B" w:rsidR="0073382B" w:rsidP="00131848" w:rsidRDefault="0073382B" w14:paraId="02763649" w14:textId="77777777">
            <w:pPr>
              <w:pStyle w:val="BodyText"/>
              <w:rPr>
                <w:rFonts w:cs="Arial"/>
                <w:b/>
                <w:bCs/>
                <w:sz w:val="20"/>
              </w:rPr>
            </w:pPr>
            <w:r w:rsidRPr="00B53E9B">
              <w:rPr>
                <w:rFonts w:cs="Arial"/>
                <w:b/>
                <w:bCs/>
                <w:sz w:val="20"/>
              </w:rPr>
              <w:t>Evidence</w:t>
            </w:r>
          </w:p>
        </w:tc>
        <w:tc>
          <w:tcPr>
            <w:tcW w:w="8788" w:type="dxa"/>
          </w:tcPr>
          <w:p w:rsidRPr="0073382B" w:rsidR="0073382B" w:rsidP="00131848" w:rsidRDefault="0073382B" w14:paraId="0C0D3B7B" w14:textId="77777777">
            <w:pPr>
              <w:pStyle w:val="BodyText"/>
              <w:tabs>
                <w:tab w:val="left" w:pos="1168"/>
              </w:tabs>
              <w:rPr>
                <w:rFonts w:asciiTheme="minorHAnsi" w:hAnsiTheme="minorHAnsi"/>
                <w:b/>
                <w:sz w:val="16"/>
                <w:szCs w:val="16"/>
              </w:rPr>
            </w:pPr>
            <w:r w:rsidRPr="0073382B">
              <w:rPr>
                <w:rFonts w:asciiTheme="minorHAnsi" w:hAnsiTheme="minorHAnsi"/>
                <w:b/>
                <w:sz w:val="16"/>
                <w:szCs w:val="16"/>
              </w:rPr>
              <w:t>Efficacy</w:t>
            </w:r>
          </w:p>
          <w:p w:rsidRPr="0073382B" w:rsidR="0073382B" w:rsidP="00131848" w:rsidRDefault="0073382B" w14:paraId="72AF908F" w14:textId="77777777">
            <w:pPr>
              <w:pStyle w:val="BodyText"/>
              <w:tabs>
                <w:tab w:val="left" w:pos="1168"/>
              </w:tabs>
              <w:rPr>
                <w:rFonts w:asciiTheme="minorHAnsi" w:hAnsiTheme="minorHAnsi"/>
                <w:b/>
                <w:sz w:val="16"/>
                <w:szCs w:val="16"/>
                <w:u w:val="single"/>
              </w:rPr>
            </w:pPr>
            <w:r w:rsidRPr="0073382B">
              <w:rPr>
                <w:rFonts w:asciiTheme="minorHAnsi" w:hAnsiTheme="minorHAnsi"/>
                <w:b/>
                <w:sz w:val="16"/>
                <w:szCs w:val="16"/>
                <w:u w:val="single"/>
              </w:rPr>
              <w:t>Early use of erythropoietin (&lt;8 days of age) in preterm or low birthweight infants</w:t>
            </w:r>
          </w:p>
          <w:p w:rsidRPr="0073382B" w:rsidR="0073382B" w:rsidP="00131848" w:rsidRDefault="0073382B" w14:paraId="5449BB98" w14:textId="77777777">
            <w:pPr>
              <w:pStyle w:val="BodyText"/>
              <w:tabs>
                <w:tab w:val="left" w:pos="1168"/>
              </w:tabs>
              <w:rPr>
                <w:rFonts w:asciiTheme="minorHAnsi" w:hAnsiTheme="minorHAnsi"/>
                <w:sz w:val="16"/>
                <w:szCs w:val="16"/>
              </w:rPr>
            </w:pPr>
            <w:r w:rsidRPr="0073382B">
              <w:rPr>
                <w:rFonts w:asciiTheme="minorHAnsi" w:hAnsiTheme="minorHAnsi"/>
                <w:sz w:val="16"/>
                <w:szCs w:val="16"/>
              </w:rPr>
              <w:t>Ohlsson et al 2020 Cochrane review evaluated 34 studies enrolling 3643 infants.</w:t>
            </w:r>
            <w:r w:rsidRPr="0073382B">
              <w:rPr>
                <w:rFonts w:asciiTheme="minorHAnsi" w:hAnsiTheme="minorHAnsi"/>
                <w:noProof/>
                <w:sz w:val="16"/>
                <w:szCs w:val="16"/>
              </w:rPr>
              <w:t>(9)</w:t>
            </w:r>
            <w:r w:rsidRPr="0073382B">
              <w:rPr>
                <w:rFonts w:asciiTheme="minorHAnsi" w:hAnsiTheme="minorHAnsi"/>
                <w:sz w:val="16"/>
                <w:szCs w:val="16"/>
              </w:rPr>
              <w:t xml:space="preserve"> While early administration of ESAs reduced the use of red blood cell (RBC) transfusions, there was a moderate heterogeneity among the included studies and the quality of the evidence was low. The volume of RBCs transfused, and donor exposure were also reduced but reductions were small and were likely to be of limited clinical importance. There was no significant difference in the rate of severe ROP or mortality. There was a significant reduction in the incidence of severe IVH, PVL and NEC. Neurodevelopmental outcomes varied in the studies.</w:t>
            </w:r>
          </w:p>
          <w:p w:rsidRPr="0073382B" w:rsidR="0073382B" w:rsidP="00131848" w:rsidRDefault="0073382B" w14:paraId="2BAE984D" w14:textId="77777777">
            <w:pPr>
              <w:pStyle w:val="BodyText"/>
              <w:tabs>
                <w:tab w:val="left" w:pos="1168"/>
              </w:tabs>
              <w:rPr>
                <w:rFonts w:cs="Arial" w:asciiTheme="minorHAnsi" w:hAnsiTheme="minorHAnsi"/>
                <w:b/>
                <w:sz w:val="16"/>
                <w:szCs w:val="16"/>
                <w:u w:val="single"/>
              </w:rPr>
            </w:pPr>
            <w:r w:rsidRPr="0073382B">
              <w:rPr>
                <w:rFonts w:cs="Arial" w:asciiTheme="minorHAnsi" w:hAnsiTheme="minorHAnsi"/>
                <w:b/>
                <w:sz w:val="16"/>
                <w:szCs w:val="16"/>
                <w:u w:val="single"/>
              </w:rPr>
              <w:t>Late use of erythropoietin (</w:t>
            </w:r>
            <w:r w:rsidRPr="0073382B">
              <w:rPr>
                <w:rFonts w:cs="Calibri"/>
                <w:b/>
                <w:sz w:val="16"/>
                <w:szCs w:val="16"/>
                <w:u w:val="single"/>
              </w:rPr>
              <w:t>≥</w:t>
            </w:r>
            <w:r w:rsidRPr="0073382B">
              <w:rPr>
                <w:rFonts w:cs="Arial" w:asciiTheme="minorHAnsi" w:hAnsiTheme="minorHAnsi"/>
                <w:b/>
                <w:sz w:val="16"/>
                <w:szCs w:val="16"/>
                <w:u w:val="single"/>
              </w:rPr>
              <w:t>8 days of age) in preterm or low birthweight infants</w:t>
            </w:r>
          </w:p>
          <w:p w:rsidRPr="0073382B" w:rsidR="0073382B" w:rsidP="00131848" w:rsidRDefault="0073382B" w14:paraId="641592E5"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Aher et al 2020 Cochrane review evaluated 31 studies and 1651 preterm infants.</w:t>
            </w:r>
            <w:r w:rsidRPr="0073382B">
              <w:rPr>
                <w:rFonts w:cs="Arial" w:asciiTheme="minorHAnsi" w:hAnsiTheme="minorHAnsi"/>
                <w:noProof/>
                <w:sz w:val="16"/>
                <w:szCs w:val="16"/>
              </w:rPr>
              <w:t>(10)</w:t>
            </w:r>
            <w:r w:rsidRPr="0073382B">
              <w:rPr>
                <w:rFonts w:cs="Arial" w:asciiTheme="minorHAnsi" w:hAnsiTheme="minorHAnsi"/>
                <w:sz w:val="16"/>
                <w:szCs w:val="16"/>
              </w:rPr>
              <w:t xml:space="preserve"> Most studies in the trial included small sample size. There was moderate heterogeneity and the quality of evidence was very low. There was a significant reduction in the use of one or more transfusions, but no significant reduction in the total volume (mL/kg) of blood transfused per infant. There was a trend in increased of ROP. There were no significant differences in other clinical outcomes including mortality and necrotising enterocolitis. Long-term neurodevelopmental outcomes were not reported.</w:t>
            </w:r>
          </w:p>
          <w:p w:rsidRPr="0073382B" w:rsidR="0073382B" w:rsidP="00131848" w:rsidRDefault="0073382B" w14:paraId="2AB13BA0" w14:textId="77777777">
            <w:pPr>
              <w:pStyle w:val="BodyText"/>
              <w:tabs>
                <w:tab w:val="left" w:pos="1168"/>
              </w:tabs>
              <w:rPr>
                <w:rFonts w:cs="Arial" w:asciiTheme="minorHAnsi" w:hAnsiTheme="minorHAnsi"/>
                <w:b/>
                <w:sz w:val="16"/>
                <w:szCs w:val="16"/>
                <w:u w:val="single"/>
              </w:rPr>
            </w:pPr>
            <w:r w:rsidRPr="0073382B">
              <w:rPr>
                <w:rFonts w:cs="Arial" w:asciiTheme="minorHAnsi" w:hAnsiTheme="minorHAnsi"/>
                <w:b/>
                <w:sz w:val="16"/>
                <w:szCs w:val="16"/>
                <w:u w:val="single"/>
              </w:rPr>
              <w:t>Low dose (</w:t>
            </w:r>
            <w:r w:rsidRPr="0073382B">
              <w:rPr>
                <w:rFonts w:asciiTheme="minorHAnsi" w:hAnsiTheme="minorHAnsi" w:cstheme="minorHAnsi"/>
                <w:b/>
                <w:sz w:val="16"/>
                <w:szCs w:val="16"/>
                <w:u w:val="single"/>
              </w:rPr>
              <w:t>≤</w:t>
            </w:r>
            <w:r w:rsidRPr="0073382B">
              <w:rPr>
                <w:rFonts w:cs="Arial" w:asciiTheme="minorHAnsi" w:hAnsiTheme="minorHAnsi"/>
                <w:b/>
                <w:sz w:val="16"/>
                <w:szCs w:val="16"/>
                <w:u w:val="single"/>
              </w:rPr>
              <w:t>500 IU/kg/week) versus high dose (&gt;500 IU/kg/week)</w:t>
            </w:r>
          </w:p>
          <w:p w:rsidRPr="0073382B" w:rsidR="0073382B" w:rsidP="00131848" w:rsidRDefault="0073382B" w14:paraId="6C493A32"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Subgroup analysis by Ohlsson et al showed both low and high dose had similar reduction in the use of one or more transfusions. (Low dose: typical RR 0.77, 95% CI 0.65 to 0.91 versus high dose: typical RR 0.79, 95% CI 0.74 to 0.86)</w:t>
            </w:r>
            <w:r w:rsidRPr="0073382B">
              <w:rPr>
                <w:rFonts w:cs="Arial" w:asciiTheme="minorHAnsi" w:hAnsiTheme="minorHAnsi"/>
                <w:noProof/>
                <w:sz w:val="16"/>
                <w:szCs w:val="16"/>
              </w:rPr>
              <w:t>(9)</w:t>
            </w:r>
          </w:p>
          <w:p w:rsidRPr="0073382B" w:rsidR="0073382B" w:rsidP="00131848" w:rsidRDefault="0073382B" w14:paraId="504A7E88" w14:textId="77777777">
            <w:pPr>
              <w:pStyle w:val="BodyText"/>
              <w:tabs>
                <w:tab w:val="left" w:pos="1168"/>
              </w:tabs>
              <w:rPr>
                <w:rFonts w:cs="Arial" w:asciiTheme="minorHAnsi" w:hAnsiTheme="minorHAnsi"/>
                <w:b/>
                <w:sz w:val="16"/>
                <w:szCs w:val="16"/>
                <w:u w:val="single"/>
              </w:rPr>
            </w:pPr>
            <w:r w:rsidRPr="0073382B">
              <w:rPr>
                <w:rFonts w:cs="Arial" w:asciiTheme="minorHAnsi" w:hAnsiTheme="minorHAnsi"/>
                <w:b/>
                <w:sz w:val="16"/>
                <w:szCs w:val="16"/>
                <w:u w:val="single"/>
              </w:rPr>
              <w:t>Low iron (</w:t>
            </w:r>
            <w:r w:rsidRPr="0073382B">
              <w:rPr>
                <w:rFonts w:cs="Calibri"/>
                <w:b/>
                <w:sz w:val="16"/>
                <w:szCs w:val="16"/>
                <w:u w:val="single"/>
              </w:rPr>
              <w:t>≤</w:t>
            </w:r>
            <w:r w:rsidRPr="0073382B">
              <w:rPr>
                <w:rFonts w:cs="Arial" w:asciiTheme="minorHAnsi" w:hAnsiTheme="minorHAnsi"/>
                <w:b/>
                <w:sz w:val="16"/>
                <w:szCs w:val="16"/>
                <w:u w:val="single"/>
              </w:rPr>
              <w:t>5 mg/kg/day) versus high iron (&gt;5 mg/kg/day) supplementation during EPO therapy</w:t>
            </w:r>
          </w:p>
          <w:p w:rsidRPr="0073382B" w:rsidR="0073382B" w:rsidP="00131848" w:rsidRDefault="0073382B" w14:paraId="54E516AC"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Subgroup analysis by Ohlsson et al showed the following: High dose iron supplementation with either low or high dose EPO therapy showed similar reduction in the use of one or more RBC transfusions. Low dose iron supplementation with high dose EPO therapy significant reduction, but low dose iron and low dose EPO therapy showed no significant reduction in the use of one or more RBC transfusions.</w:t>
            </w:r>
            <w:r w:rsidRPr="0073382B">
              <w:rPr>
                <w:rFonts w:cs="Arial" w:asciiTheme="minorHAnsi" w:hAnsiTheme="minorHAnsi"/>
                <w:noProof/>
                <w:sz w:val="16"/>
                <w:szCs w:val="16"/>
              </w:rPr>
              <w:t>(9)</w:t>
            </w:r>
          </w:p>
          <w:p w:rsidRPr="0073382B" w:rsidR="0073382B" w:rsidP="00131848" w:rsidRDefault="0073382B" w14:paraId="73A3BA92" w14:textId="77777777">
            <w:pPr>
              <w:pStyle w:val="BodyText"/>
              <w:tabs>
                <w:tab w:val="left" w:pos="1168"/>
              </w:tabs>
              <w:rPr>
                <w:rFonts w:cs="Arial" w:asciiTheme="minorHAnsi" w:hAnsiTheme="minorHAnsi"/>
                <w:sz w:val="16"/>
                <w:szCs w:val="16"/>
              </w:rPr>
            </w:pPr>
            <w:r w:rsidRPr="0073382B">
              <w:rPr>
                <w:rFonts w:cs="Arial" w:asciiTheme="minorHAnsi" w:hAnsiTheme="minorHAnsi"/>
                <w:b/>
                <w:sz w:val="16"/>
                <w:szCs w:val="16"/>
                <w:u w:val="single"/>
              </w:rPr>
              <w:t xml:space="preserve">Dosing regimens: </w:t>
            </w:r>
            <w:r w:rsidRPr="0073382B">
              <w:rPr>
                <w:rFonts w:cs="Arial" w:asciiTheme="minorHAnsi" w:hAnsiTheme="minorHAnsi"/>
                <w:sz w:val="16"/>
                <w:szCs w:val="16"/>
              </w:rPr>
              <w:t>Trials by Maier et al and Ohls et al added 47% weight to the population size in Ohlsson’s meta-analysis. Dosage regimens of these trials were further reviewed for this formulary. 1995 and 1997 trials by Ohls et al administered 200 units/kg/day given as 4-hour IV infusion mixed in 2 mL of 5% albumin or parenteral nutrition solution.</w:t>
            </w:r>
            <w:r w:rsidRPr="0073382B">
              <w:rPr>
                <w:rFonts w:cs="Arial" w:asciiTheme="minorHAnsi" w:hAnsiTheme="minorHAnsi"/>
                <w:noProof/>
                <w:sz w:val="16"/>
                <w:szCs w:val="16"/>
              </w:rPr>
              <w:t>(1, 2)</w:t>
            </w:r>
            <w:r w:rsidRPr="0073382B">
              <w:rPr>
                <w:rFonts w:cs="Arial" w:asciiTheme="minorHAnsi" w:hAnsiTheme="minorHAnsi"/>
                <w:sz w:val="16"/>
                <w:szCs w:val="16"/>
              </w:rPr>
              <w:t xml:space="preserve"> EPO was commenced at less than 48 hours of age and continued for 14 consecutive days. Ohls 2001 et al tested 400 units/kg 3 times weekly, commencing before 96 hours of age and continued until discharge, transfer, death or 35 weeks corrected gestational age. EPO was administered as 1 hour IV infusion or SC injection.</w:t>
            </w:r>
            <w:r w:rsidRPr="0073382B">
              <w:rPr>
                <w:rFonts w:cs="Arial" w:asciiTheme="minorHAnsi" w:hAnsiTheme="minorHAnsi"/>
                <w:noProof/>
                <w:sz w:val="16"/>
                <w:szCs w:val="16"/>
              </w:rPr>
              <w:t>(11)</w:t>
            </w:r>
            <w:r w:rsidRPr="0073382B">
              <w:rPr>
                <w:rFonts w:cs="Arial" w:asciiTheme="minorHAnsi" w:hAnsiTheme="minorHAnsi"/>
                <w:sz w:val="16"/>
                <w:szCs w:val="16"/>
              </w:rPr>
              <w:t xml:space="preserve"> Maier 1994 et al administered 250 units/kg of epoetin beta 3 times a week subcutaneously from day 3 to day 42.</w:t>
            </w:r>
            <w:r w:rsidRPr="0073382B">
              <w:rPr>
                <w:rFonts w:cs="Arial" w:asciiTheme="minorHAnsi" w:hAnsiTheme="minorHAnsi"/>
                <w:noProof/>
                <w:sz w:val="16"/>
                <w:szCs w:val="16"/>
              </w:rPr>
              <w:t>(3)</w:t>
            </w:r>
            <w:r w:rsidRPr="0073382B">
              <w:rPr>
                <w:rFonts w:cs="Arial" w:asciiTheme="minorHAnsi" w:hAnsiTheme="minorHAnsi"/>
                <w:sz w:val="16"/>
                <w:szCs w:val="16"/>
              </w:rPr>
              <w:t xml:space="preserve"> Lyophilised epoetin beta containing 1000 units in the vial was dissolved with sterile water so that injected volume was 0.25 – 0.55 mL. Maier et al 2002 administered 250 units/kg of epoetin beta 3 times a week as either IV bolus or SC. Epoetin 1000 units in the vial was dissolved with sterile water so that injected volume was 0.25 mL to 0.55 mL.</w:t>
            </w:r>
            <w:r w:rsidRPr="0073382B">
              <w:rPr>
                <w:rFonts w:cs="Arial" w:asciiTheme="minorHAnsi" w:hAnsiTheme="minorHAnsi"/>
                <w:noProof/>
                <w:sz w:val="16"/>
                <w:szCs w:val="16"/>
              </w:rPr>
              <w:t>(4)</w:t>
            </w:r>
            <w:r w:rsidRPr="0073382B">
              <w:rPr>
                <w:rFonts w:cs="Arial" w:asciiTheme="minorHAnsi" w:hAnsiTheme="minorHAnsi"/>
                <w:sz w:val="16"/>
                <w:szCs w:val="16"/>
              </w:rPr>
              <w:t xml:space="preserve"> The proposed range in the formulary is a pragmatic modified regimen from these trials.</w:t>
            </w:r>
          </w:p>
          <w:p w:rsidRPr="0073382B" w:rsidR="0073382B" w:rsidP="00131848" w:rsidRDefault="0073382B" w14:paraId="6B395711" w14:textId="77777777">
            <w:pPr>
              <w:pStyle w:val="BodyText"/>
              <w:tabs>
                <w:tab w:val="left" w:pos="1168"/>
              </w:tabs>
              <w:rPr>
                <w:rFonts w:cs="Arial" w:asciiTheme="minorHAnsi" w:hAnsiTheme="minorHAnsi"/>
                <w:sz w:val="16"/>
                <w:szCs w:val="16"/>
              </w:rPr>
            </w:pPr>
            <w:r w:rsidRPr="0073382B">
              <w:rPr>
                <w:rFonts w:cs="Arial" w:asciiTheme="minorHAnsi" w:hAnsiTheme="minorHAnsi"/>
                <w:b/>
                <w:sz w:val="16"/>
                <w:szCs w:val="16"/>
                <w:u w:val="single"/>
              </w:rPr>
              <w:t xml:space="preserve">Fluid compatibility: </w:t>
            </w:r>
            <w:r w:rsidRPr="0073382B">
              <w:rPr>
                <w:rFonts w:cs="Arial" w:asciiTheme="minorHAnsi" w:hAnsiTheme="minorHAnsi"/>
                <w:sz w:val="16"/>
                <w:szCs w:val="16"/>
              </w:rPr>
              <w:t>Stability and adsorption characteristics of epoetin alfa in various commonly used intravenous fluids was tested by Ohls et al.</w:t>
            </w:r>
            <w:r w:rsidRPr="0073382B">
              <w:rPr>
                <w:rFonts w:cs="Arial" w:asciiTheme="minorHAnsi" w:hAnsiTheme="minorHAnsi"/>
                <w:noProof/>
                <w:sz w:val="16"/>
                <w:szCs w:val="16"/>
              </w:rPr>
              <w:t>(8)</w:t>
            </w:r>
            <w:r w:rsidRPr="0073382B">
              <w:rPr>
                <w:rFonts w:cs="Arial" w:asciiTheme="minorHAnsi" w:hAnsiTheme="minorHAnsi"/>
                <w:sz w:val="16"/>
                <w:szCs w:val="16"/>
              </w:rPr>
              <w:t xml:space="preserve"> Epoetin was diluted to 0.1 unit/mL for the study. Fluids tested were sterile water, NaCI 0.9%, dextrose 10% in water, dextrose 10% with albumin at concentrations of 0.01 %, 0.05%, and 0.1 % and total parenteral nutrition solution containing either 0.5% or 2.25% amino acids. Concentrations declined significantly in all fluids containing less than 0.05% protein, but remained stable over 24 hours in fluids containing 0.05% more protein. Exception was sodium chloride 0.9%. 95.5% of epoetin was recovered following passage through intravenous tubing, T-connector and intravenous cannula and the subsequent recovery percentage over a 24 hour infusion period was 84.7%</w:t>
            </w:r>
            <w:r w:rsidRPr="0073382B">
              <w:rPr>
                <w:rFonts w:asciiTheme="minorHAnsi" w:hAnsiTheme="minorHAnsi" w:cstheme="minorHAnsi"/>
                <w:sz w:val="16"/>
                <w:szCs w:val="16"/>
              </w:rPr>
              <w:t>±</w:t>
            </w:r>
            <w:r w:rsidRPr="0073382B">
              <w:rPr>
                <w:rFonts w:cs="Arial" w:asciiTheme="minorHAnsi" w:hAnsiTheme="minorHAnsi"/>
                <w:sz w:val="16"/>
                <w:szCs w:val="16"/>
              </w:rPr>
              <w:t>5%. Widness et al found that loss of epoetin in low-protein solutions was 25-30% with 10 units/mL and no loss with 100 units/mL.</w:t>
            </w:r>
            <w:r w:rsidRPr="0073382B">
              <w:rPr>
                <w:rFonts w:cs="Arial" w:asciiTheme="minorHAnsi" w:hAnsiTheme="minorHAnsi"/>
                <w:noProof/>
                <w:sz w:val="16"/>
                <w:szCs w:val="16"/>
              </w:rPr>
              <w:t>(12)</w:t>
            </w:r>
            <w:r w:rsidRPr="0073382B">
              <w:rPr>
                <w:rFonts w:cs="Arial" w:asciiTheme="minorHAnsi" w:hAnsiTheme="minorHAnsi"/>
                <w:sz w:val="16"/>
                <w:szCs w:val="16"/>
              </w:rPr>
              <w:t xml:space="preserve"> Maier et al dissolved epoetin with sterile water so that injected volume is 0.25 mL to 0.55 mL SC or IV bolus.</w:t>
            </w:r>
            <w:r w:rsidRPr="0073382B">
              <w:rPr>
                <w:rFonts w:cs="Arial" w:asciiTheme="minorHAnsi" w:hAnsiTheme="minorHAnsi"/>
                <w:noProof/>
                <w:sz w:val="16"/>
                <w:szCs w:val="16"/>
              </w:rPr>
              <w:t>(3, 4)</w:t>
            </w:r>
          </w:p>
          <w:p w:rsidRPr="0073382B" w:rsidR="0073382B" w:rsidP="00131848" w:rsidRDefault="0073382B" w14:paraId="11CE13E6" w14:textId="77777777">
            <w:pPr>
              <w:pStyle w:val="BodyText"/>
              <w:tabs>
                <w:tab w:val="left" w:pos="1168"/>
              </w:tabs>
              <w:rPr>
                <w:rFonts w:cs="Arial" w:asciiTheme="minorHAnsi" w:hAnsiTheme="minorHAnsi"/>
                <w:b/>
                <w:sz w:val="16"/>
                <w:szCs w:val="16"/>
              </w:rPr>
            </w:pPr>
            <w:r w:rsidRPr="0073382B">
              <w:rPr>
                <w:rFonts w:cs="Arial" w:asciiTheme="minorHAnsi" w:hAnsiTheme="minorHAnsi"/>
                <w:b/>
                <w:sz w:val="16"/>
                <w:szCs w:val="16"/>
              </w:rPr>
              <w:t>Pharmacokinetics</w:t>
            </w:r>
          </w:p>
          <w:p w:rsidRPr="0073382B" w:rsidR="0073382B" w:rsidP="00131848" w:rsidRDefault="0073382B" w14:paraId="29DE279D"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No single route of administration has been found to be more efficacious than another. Pharmacokinetics of EPO were studied in a group of very low birth weight infants after both intravenous and subcutaneous administration.</w:t>
            </w:r>
            <w:r w:rsidRPr="0073382B">
              <w:rPr>
                <w:rFonts w:cs="Arial" w:asciiTheme="minorHAnsi" w:hAnsiTheme="minorHAnsi"/>
                <w:noProof/>
                <w:sz w:val="16"/>
                <w:szCs w:val="16"/>
              </w:rPr>
              <w:t>(13)</w:t>
            </w:r>
            <w:r w:rsidRPr="0073382B">
              <w:rPr>
                <w:sz w:val="16"/>
                <w:szCs w:val="16"/>
              </w:rPr>
              <w:t xml:space="preserve"> </w:t>
            </w:r>
            <w:r w:rsidRPr="0073382B">
              <w:rPr>
                <w:rFonts w:cs="Arial" w:asciiTheme="minorHAnsi" w:hAnsiTheme="minorHAnsi"/>
                <w:sz w:val="16"/>
                <w:szCs w:val="16"/>
              </w:rPr>
              <w:t>After the IV doses, serum erythropoietin concentrations showed a uniform decline with a half-life of 8.1</w:t>
            </w:r>
            <w:r w:rsidRPr="0073382B">
              <w:rPr>
                <w:rFonts w:asciiTheme="minorHAnsi" w:hAnsiTheme="minorHAnsi" w:cstheme="minorHAnsi"/>
                <w:sz w:val="16"/>
                <w:szCs w:val="16"/>
              </w:rPr>
              <w:t>±</w:t>
            </w:r>
            <w:r w:rsidRPr="0073382B">
              <w:rPr>
                <w:rFonts w:cs="Arial" w:asciiTheme="minorHAnsi" w:hAnsiTheme="minorHAnsi"/>
                <w:sz w:val="16"/>
                <w:szCs w:val="16"/>
              </w:rPr>
              <w:t>2.7 hours. After the SC doses, peak concentrations occurred at 2 to I 1.9 hours, and elevated concentrations were maintained for 24 hours.</w:t>
            </w:r>
            <w:r w:rsidRPr="0073382B">
              <w:rPr>
                <w:sz w:val="16"/>
                <w:szCs w:val="16"/>
              </w:rPr>
              <w:t xml:space="preserve"> </w:t>
            </w:r>
            <w:r w:rsidRPr="0073382B">
              <w:rPr>
                <w:rFonts w:cs="Arial" w:asciiTheme="minorHAnsi" w:hAnsiTheme="minorHAnsi"/>
                <w:sz w:val="16"/>
                <w:szCs w:val="16"/>
              </w:rPr>
              <w:t>In contrast to IV EPO, the pharmacokinetics of SC EPO were variable, most likely as a result of erratic absorption from subcutaneous sites in preterm infants</w:t>
            </w:r>
          </w:p>
          <w:p w:rsidRPr="0073382B" w:rsidR="0073382B" w:rsidP="00131848" w:rsidRDefault="0073382B" w14:paraId="4AA26955"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because the volume of distribution and clearance in the same infants after the intravenous doses were more uniform.</w:t>
            </w:r>
            <w:r w:rsidRPr="0073382B">
              <w:rPr>
                <w:sz w:val="16"/>
                <w:szCs w:val="16"/>
              </w:rPr>
              <w:t xml:space="preserve"> </w:t>
            </w:r>
            <w:r w:rsidRPr="0073382B">
              <w:rPr>
                <w:rFonts w:cs="Arial" w:asciiTheme="minorHAnsi" w:hAnsiTheme="minorHAnsi"/>
                <w:sz w:val="16"/>
                <w:szCs w:val="16"/>
              </w:rPr>
              <w:t>The variable absorption from one infant to another may make dose adjustments necessary during long-term treatment and will depend on individual haematocrit response.</w:t>
            </w:r>
            <w:r w:rsidRPr="0073382B">
              <w:rPr>
                <w:rFonts w:cs="Arial" w:asciiTheme="minorHAnsi" w:hAnsiTheme="minorHAnsi"/>
                <w:noProof/>
                <w:sz w:val="16"/>
                <w:szCs w:val="16"/>
              </w:rPr>
              <w:t>(13)</w:t>
            </w:r>
          </w:p>
          <w:p w:rsidRPr="0073382B" w:rsidR="0073382B" w:rsidP="00131848" w:rsidRDefault="0073382B" w14:paraId="53AFBDAA" w14:textId="77777777">
            <w:pPr>
              <w:pStyle w:val="BodyText"/>
              <w:tabs>
                <w:tab w:val="left" w:pos="1168"/>
              </w:tabs>
              <w:rPr>
                <w:rFonts w:cs="Arial" w:asciiTheme="minorHAnsi" w:hAnsiTheme="minorHAnsi"/>
                <w:b/>
                <w:sz w:val="16"/>
                <w:szCs w:val="16"/>
              </w:rPr>
            </w:pPr>
            <w:r w:rsidRPr="0073382B">
              <w:rPr>
                <w:rFonts w:cs="Arial" w:asciiTheme="minorHAnsi" w:hAnsiTheme="minorHAnsi"/>
                <w:b/>
                <w:sz w:val="16"/>
                <w:szCs w:val="16"/>
              </w:rPr>
              <w:t>Safety</w:t>
            </w:r>
          </w:p>
          <w:p w:rsidRPr="0073382B" w:rsidR="0073382B" w:rsidP="00131848" w:rsidRDefault="0073382B" w14:paraId="180C1028"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Major RCTs do not demonstrate any significant differences in short term side effects between treatment and control groups.</w:t>
            </w:r>
            <w:r w:rsidRPr="0073382B">
              <w:rPr>
                <w:rFonts w:cs="Arial" w:asciiTheme="minorHAnsi" w:hAnsiTheme="minorHAnsi"/>
                <w:noProof/>
                <w:sz w:val="16"/>
                <w:szCs w:val="16"/>
              </w:rPr>
              <w:t>(1-4)</w:t>
            </w:r>
          </w:p>
        </w:tc>
      </w:tr>
      <w:tr w:rsidRPr="003A7895" w:rsidR="0073382B" w:rsidTr="00131848" w14:paraId="54265564" w14:textId="77777777">
        <w:trPr>
          <w:trHeight w:val="108"/>
        </w:trPr>
        <w:tc>
          <w:tcPr>
            <w:tcW w:w="1702" w:type="dxa"/>
          </w:tcPr>
          <w:p w:rsidRPr="00B53E9B" w:rsidR="0073382B" w:rsidP="00131848" w:rsidRDefault="0073382B" w14:paraId="71ABCB77" w14:textId="77777777">
            <w:pPr>
              <w:pStyle w:val="BodyText"/>
              <w:rPr>
                <w:rFonts w:cs="Arial"/>
                <w:b/>
                <w:bCs/>
                <w:sz w:val="20"/>
              </w:rPr>
            </w:pPr>
            <w:r w:rsidRPr="00B53E9B">
              <w:rPr>
                <w:rFonts w:cs="Arial"/>
                <w:b/>
                <w:bCs/>
                <w:sz w:val="20"/>
              </w:rPr>
              <w:t>Practice points</w:t>
            </w:r>
          </w:p>
        </w:tc>
        <w:tc>
          <w:tcPr>
            <w:tcW w:w="8788" w:type="dxa"/>
          </w:tcPr>
          <w:p w:rsidRPr="0073382B" w:rsidR="0073382B" w:rsidP="00131848" w:rsidRDefault="0073382B" w14:paraId="66A97782"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Routine use of EPO to reduce the amount of blood transfusion in preterm or low birthweight infants is not currently recommended because of limited clinical benefits.</w:t>
            </w:r>
            <w:r w:rsidRPr="0073382B">
              <w:rPr>
                <w:rFonts w:cs="Arial" w:asciiTheme="minorHAnsi" w:hAnsiTheme="minorHAnsi"/>
                <w:noProof/>
                <w:sz w:val="16"/>
                <w:szCs w:val="16"/>
              </w:rPr>
              <w:t>(9)</w:t>
            </w:r>
          </w:p>
          <w:p w:rsidRPr="0073382B" w:rsidR="0073382B" w:rsidP="00131848" w:rsidRDefault="0073382B" w14:paraId="0E5AA9FE"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The pragmatic dosing recommendation in this formulary is based on 4 major trials.</w:t>
            </w:r>
            <w:r w:rsidRPr="0073382B">
              <w:rPr>
                <w:rFonts w:cs="Arial" w:asciiTheme="minorHAnsi" w:hAnsiTheme="minorHAnsi"/>
                <w:noProof/>
                <w:sz w:val="16"/>
                <w:szCs w:val="16"/>
              </w:rPr>
              <w:t>(1-4)</w:t>
            </w:r>
          </w:p>
          <w:p w:rsidRPr="0073382B" w:rsidR="0073382B" w:rsidP="00131848" w:rsidRDefault="0073382B" w14:paraId="4738411A" w14:textId="77777777">
            <w:pPr>
              <w:pStyle w:val="BodyText"/>
              <w:tabs>
                <w:tab w:val="left" w:pos="1168"/>
              </w:tabs>
              <w:rPr>
                <w:rFonts w:cs="Arial" w:asciiTheme="minorHAnsi" w:hAnsiTheme="minorHAnsi"/>
                <w:sz w:val="16"/>
                <w:szCs w:val="16"/>
              </w:rPr>
            </w:pPr>
            <w:r w:rsidRPr="0073382B">
              <w:rPr>
                <w:rFonts w:cs="Arial" w:asciiTheme="minorHAnsi" w:hAnsiTheme="minorHAnsi"/>
                <w:sz w:val="16"/>
                <w:szCs w:val="16"/>
              </w:rPr>
              <w:t>Both low (≤5 mg/kg/day) and high (&gt;5 mg/kg/day) dose ion supplementation show similar reduction in the number of one or more transfusions with high dose EPO dosing schedule chosen in this formulary.</w:t>
            </w:r>
            <w:r w:rsidRPr="0073382B">
              <w:rPr>
                <w:rFonts w:cs="Arial" w:asciiTheme="minorHAnsi" w:hAnsiTheme="minorHAnsi"/>
                <w:noProof/>
                <w:sz w:val="16"/>
                <w:szCs w:val="16"/>
              </w:rPr>
              <w:t>(9)</w:t>
            </w:r>
            <w:r w:rsidRPr="0073382B">
              <w:rPr>
                <w:rFonts w:cs="Arial" w:asciiTheme="minorHAnsi" w:hAnsiTheme="minorHAnsi"/>
                <w:sz w:val="16"/>
                <w:szCs w:val="16"/>
              </w:rPr>
              <w:t xml:space="preserve"> </w:t>
            </w:r>
          </w:p>
        </w:tc>
      </w:tr>
      <w:tr w:rsidRPr="003A7895" w:rsidR="0073382B" w:rsidTr="00131848" w14:paraId="30CAEF34" w14:textId="77777777">
        <w:trPr>
          <w:trHeight w:val="70"/>
        </w:trPr>
        <w:tc>
          <w:tcPr>
            <w:tcW w:w="1702" w:type="dxa"/>
          </w:tcPr>
          <w:p w:rsidRPr="00B53E9B" w:rsidR="0073382B" w:rsidP="00131848" w:rsidRDefault="0073382B" w14:paraId="5DA6BA16" w14:textId="77777777">
            <w:pPr>
              <w:pStyle w:val="BodyText"/>
              <w:rPr>
                <w:rFonts w:cs="Arial"/>
                <w:b/>
                <w:bCs/>
                <w:sz w:val="20"/>
              </w:rPr>
            </w:pPr>
            <w:r w:rsidRPr="00B53E9B">
              <w:rPr>
                <w:b/>
                <w:sz w:val="20"/>
              </w:rPr>
              <w:lastRenderedPageBreak/>
              <w:t>References</w:t>
            </w:r>
          </w:p>
        </w:tc>
        <w:tc>
          <w:tcPr>
            <w:tcW w:w="8788" w:type="dxa"/>
          </w:tcPr>
          <w:p w:rsidRPr="0073382B" w:rsidR="0073382B" w:rsidP="001B0E05" w:rsidRDefault="0073382B" w14:paraId="603DD93F"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Ohls RK, Harcum J, Schibler KR, Christensen RD. The effect of erythropoietin on the transfusion requirements of preterm infants weighing 750 grams or less: a randomized, double-blind, placebo-controlled study. Journal of Pediatrics. 1997;131(5):661-5.</w:t>
            </w:r>
          </w:p>
          <w:p w:rsidRPr="0073382B" w:rsidR="0073382B" w:rsidP="001B0E05" w:rsidRDefault="0073382B" w14:paraId="3FC43E5F"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Ohls RK, Osborne KA, Christensen RD. Efficacy and cost analysis of treating very low birth weight infants with erythropoietin during their first two weeks of life: a randomized, placebo-controlled trial. Journal of Pediatrics. 1995;126(3):421-6.</w:t>
            </w:r>
          </w:p>
          <w:p w:rsidRPr="0073382B" w:rsidR="0073382B" w:rsidP="001B0E05" w:rsidRDefault="0073382B" w14:paraId="66999F59"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Maier RF, Obladen M, Scigalla P, Linderkamp O, Duc G, Hieronimi G, et al. The effect of epoetin beta (recombinant human erythropoietin) on the need for transfusion in very-low-birth-weight infants. European Multicentre Erythropoietin Study Group. New England Journal of Medicine. 1994;330(17):1173-8.</w:t>
            </w:r>
          </w:p>
          <w:p w:rsidRPr="0073382B" w:rsidR="0073382B" w:rsidP="001B0E05" w:rsidRDefault="0073382B" w14:paraId="2E82F532"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Maier RF, Obladen M, Muller-Hansen I, Kattner E, Merz U, Arlettaz R, et al. Early treatment with erythropoietin beta ameliorates anemia and reduces transfusion requirements in infants with birth weights below 1000 g. Journal of Pediatrics. 2002;141(1):8-15.</w:t>
            </w:r>
          </w:p>
          <w:p w:rsidRPr="0073382B" w:rsidR="0073382B" w:rsidP="001B0E05" w:rsidRDefault="0073382B" w14:paraId="71054D29"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Avent M, Cory B, Galpin J, Ballot D, Cooper P, Sherman G, et al. A comparison of high versus low dose recombinant human erythropoietin versus blood transfusion in the management of anaemia of prematurity in a developing country. Journal of tropical pediatrics. 2002;48(4):227-33.</w:t>
            </w:r>
          </w:p>
          <w:p w:rsidRPr="0073382B" w:rsidR="0073382B" w:rsidP="001B0E05" w:rsidRDefault="0073382B" w14:paraId="736E2177"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Carnielli V, Montini G, Da Riol R, Dall'Amico R, Cantarutti F. Effect of high doses of human recombinant erythropoietin on the need for blood transfusions in preterm infants. The Journal of pediatrics. 1992;121(1):98-102.</w:t>
            </w:r>
          </w:p>
          <w:p w:rsidRPr="0073382B" w:rsidR="0073382B" w:rsidP="001B0E05" w:rsidRDefault="0073382B" w14:paraId="6306D0EF"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Carnielli VP, Da Riol R, Montini G. Iron supplementation enhances response to high doses of recombinant human erythropoietin in preterm infants. Archives of Disease in Childhood-Fetal and Neonatal Edition. 1998;79(1):F44-F8.</w:t>
            </w:r>
          </w:p>
          <w:p w:rsidRPr="0073382B" w:rsidR="0073382B" w:rsidP="001B0E05" w:rsidRDefault="0073382B" w14:paraId="178A40A9"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Ohls RK, Christensen RD. Stability of human recombinant epoetin alfa in commonly used neonatal intravenous solutions. Annals of Pharmacotherapy. 1996;30(5):466-8.</w:t>
            </w:r>
          </w:p>
          <w:p w:rsidRPr="0073382B" w:rsidR="0073382B" w:rsidP="001B0E05" w:rsidRDefault="0073382B" w14:paraId="2DDF5316"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Ohlsson A, Aher SM. Early erythropoiesis‐stimulating agents in preterm or low birth weight infants. Cochrane Database of Systematic Reviews. 2020(2).</w:t>
            </w:r>
          </w:p>
          <w:p w:rsidRPr="0073382B" w:rsidR="0073382B" w:rsidP="001B0E05" w:rsidRDefault="0073382B" w14:paraId="6B83359A"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Aher SM, Ohlsson A. Late erythropoiesis‐stimulating agents to prevent red blood cell transfusion in preterm or low birth weight infants. Cochrane Database of Systematic Reviews. 2020(1).</w:t>
            </w:r>
          </w:p>
          <w:p w:rsidRPr="0073382B" w:rsidR="0073382B" w:rsidP="001B0E05" w:rsidRDefault="0073382B" w14:paraId="23AC4125"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Ohls RK, Ehrenkranz RA, Wright LL, Lemons JA, Korones SB, Stoll BJ, et al. Effects of early erythropoietin therapy on the transfusion requirements of preterm infants below 1250 grams birth weight: a multicenter, randomized, controlled trial. Pediatrics. 2001;108(4):934-42.</w:t>
            </w:r>
          </w:p>
          <w:p w:rsidRPr="0073382B" w:rsidR="0073382B" w:rsidP="001B0E05" w:rsidRDefault="0073382B" w14:paraId="224BE702" w14:textId="77777777">
            <w:pPr>
              <w:numPr>
                <w:ilvl w:val="0"/>
                <w:numId w:val="146"/>
              </w:numPr>
              <w:spacing w:after="160" w:line="259" w:lineRule="auto"/>
              <w:contextualSpacing/>
              <w:rPr>
                <w:rFonts w:asciiTheme="minorHAnsi" w:hAnsiTheme="minorHAnsi" w:eastAsiaTheme="minorHAnsi" w:cstheme="minorBidi"/>
                <w:sz w:val="16"/>
                <w:szCs w:val="16"/>
              </w:rPr>
            </w:pPr>
            <w:r w:rsidRPr="0073382B">
              <w:rPr>
                <w:rFonts w:asciiTheme="minorHAnsi" w:hAnsiTheme="minorHAnsi" w:eastAsiaTheme="minorHAnsi" w:cstheme="minorBidi"/>
                <w:sz w:val="16"/>
                <w:szCs w:val="16"/>
              </w:rPr>
              <w:t>Widness JA, Schmidt RL. Comment: epoetin alfa loss with NaCl 0.9% dilution. Annals of Pharmacotherapy. 1996;30(12):1501-2.</w:t>
            </w:r>
          </w:p>
          <w:p w:rsidRPr="0073382B" w:rsidR="0073382B" w:rsidP="001B0E05" w:rsidRDefault="0073382B" w14:paraId="54EA04E7" w14:textId="77777777">
            <w:pPr>
              <w:numPr>
                <w:ilvl w:val="0"/>
                <w:numId w:val="146"/>
              </w:numPr>
              <w:spacing w:after="160" w:line="259" w:lineRule="auto"/>
              <w:contextualSpacing/>
              <w:rPr>
                <w:rFonts w:asciiTheme="minorHAnsi" w:hAnsiTheme="minorHAnsi"/>
                <w:sz w:val="16"/>
                <w:szCs w:val="16"/>
              </w:rPr>
            </w:pPr>
            <w:r w:rsidRPr="0073382B">
              <w:rPr>
                <w:rFonts w:asciiTheme="minorHAnsi" w:hAnsiTheme="minorHAnsi" w:eastAsiaTheme="minorHAnsi" w:cstheme="minorBidi"/>
                <w:sz w:val="16"/>
                <w:szCs w:val="16"/>
              </w:rPr>
              <w:t>Brown MS, Jones MA, Ohls RK, Christensen RD. Single-dose pharmacokinetics of recombinant human erythropoietin in preterm infants after intravenous and subcutaneous administration. The Journal of pediatrics. 1993;122(4):655-7.</w:t>
            </w:r>
          </w:p>
        </w:tc>
      </w:tr>
    </w:tbl>
    <w:p w:rsidR="0062556A" w:rsidP="006F0321" w:rsidRDefault="0062556A" w14:paraId="1743AFF5"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394"/>
      </w:tblGrid>
      <w:tr w:rsidRPr="00AA6EC8" w:rsidR="0073382B" w:rsidTr="00131848" w14:paraId="3FAB136F" w14:textId="77777777">
        <w:tc>
          <w:tcPr>
            <w:tcW w:w="4395" w:type="dxa"/>
            <w:vAlign w:val="center"/>
          </w:tcPr>
          <w:p w:rsidRPr="00AA6EC8" w:rsidR="0073382B" w:rsidP="00131848" w:rsidRDefault="0073382B" w14:paraId="1793FB81" w14:textId="77777777">
            <w:r w:rsidRPr="00AA6EC8">
              <w:t>Original version Date: 01/03/2016</w:t>
            </w:r>
          </w:p>
        </w:tc>
        <w:tc>
          <w:tcPr>
            <w:tcW w:w="4394" w:type="dxa"/>
            <w:vAlign w:val="center"/>
          </w:tcPr>
          <w:p w:rsidRPr="00AA6EC8" w:rsidR="0073382B" w:rsidP="00131848" w:rsidRDefault="0073382B" w14:paraId="232438FD" w14:textId="77777777">
            <w:r w:rsidRPr="00AA6EC8">
              <w:t>Author: NeoMed Consensus Group</w:t>
            </w:r>
          </w:p>
        </w:tc>
      </w:tr>
      <w:tr w:rsidRPr="00AA6EC8" w:rsidR="0073382B" w:rsidTr="00131848" w14:paraId="335BFFD8" w14:textId="77777777">
        <w:tc>
          <w:tcPr>
            <w:tcW w:w="4395" w:type="dxa"/>
            <w:vAlign w:val="center"/>
          </w:tcPr>
          <w:p w:rsidRPr="00AA6EC8" w:rsidR="0073382B" w:rsidP="00131848" w:rsidRDefault="0073382B" w14:paraId="211554C7" w14:textId="07360A3A">
            <w:pPr>
              <w:rPr>
                <w:bCs/>
              </w:rPr>
            </w:pPr>
            <w:r w:rsidRPr="00AA6EC8">
              <w:t xml:space="preserve">Current Version number:  </w:t>
            </w:r>
            <w:r w:rsidR="004E429C">
              <w:t>2</w:t>
            </w:r>
          </w:p>
        </w:tc>
        <w:tc>
          <w:tcPr>
            <w:tcW w:w="4394" w:type="dxa"/>
            <w:vAlign w:val="center"/>
          </w:tcPr>
          <w:p w:rsidRPr="00AA6EC8" w:rsidR="0073382B" w:rsidP="00131848" w:rsidRDefault="0073382B" w14:paraId="4A622CC3" w14:textId="728ED7AB">
            <w:r w:rsidRPr="00AA6EC8">
              <w:t xml:space="preserve">Version Date:  </w:t>
            </w:r>
            <w:r w:rsidR="004E429C">
              <w:t>9-6-2021</w:t>
            </w:r>
          </w:p>
        </w:tc>
      </w:tr>
      <w:tr w:rsidRPr="00AA6EC8" w:rsidR="0073382B" w:rsidTr="00131848" w14:paraId="76D56CEC" w14:textId="77777777">
        <w:tc>
          <w:tcPr>
            <w:tcW w:w="4395" w:type="dxa"/>
            <w:vAlign w:val="center"/>
          </w:tcPr>
          <w:p w:rsidRPr="00AA6EC8" w:rsidR="0073382B" w:rsidP="00131848" w:rsidRDefault="0073382B" w14:paraId="6B72D47D" w14:textId="06AE96A1">
            <w:r w:rsidRPr="00AA6EC8">
              <w:t xml:space="preserve">Risk Rating: </w:t>
            </w:r>
            <w:r w:rsidR="00586BEF">
              <w:t>Low</w:t>
            </w:r>
          </w:p>
        </w:tc>
        <w:tc>
          <w:tcPr>
            <w:tcW w:w="4394" w:type="dxa"/>
            <w:vAlign w:val="center"/>
          </w:tcPr>
          <w:p w:rsidRPr="00AA6EC8" w:rsidR="0073382B" w:rsidP="00131848" w:rsidRDefault="0073382B" w14:paraId="2F4EA324" w14:textId="145166A5">
            <w:r w:rsidRPr="00AA6EC8">
              <w:t xml:space="preserve">Due for Review:  </w:t>
            </w:r>
            <w:r w:rsidR="004E429C">
              <w:t>9</w:t>
            </w:r>
            <w:r w:rsidR="00586BEF">
              <w:t>-6-2026</w:t>
            </w:r>
          </w:p>
        </w:tc>
      </w:tr>
      <w:tr w:rsidRPr="00AA6EC8" w:rsidR="0073382B" w:rsidTr="00131848" w14:paraId="156948AD" w14:textId="77777777">
        <w:trPr>
          <w:trHeight w:val="344"/>
        </w:trPr>
        <w:tc>
          <w:tcPr>
            <w:tcW w:w="4395" w:type="dxa"/>
            <w:tcBorders>
              <w:bottom w:val="single" w:color="auto" w:sz="4" w:space="0"/>
            </w:tcBorders>
            <w:vAlign w:val="center"/>
          </w:tcPr>
          <w:p w:rsidRPr="00AA6EC8" w:rsidR="0073382B" w:rsidP="00131848" w:rsidRDefault="0073382B" w14:paraId="74C0998F" w14:textId="77777777">
            <w:r w:rsidRPr="00AA6EC8">
              <w:t xml:space="preserve">Approved by: </w:t>
            </w:r>
            <w:r>
              <w:t>DTC</w:t>
            </w:r>
          </w:p>
        </w:tc>
        <w:tc>
          <w:tcPr>
            <w:tcW w:w="4394" w:type="dxa"/>
            <w:tcBorders>
              <w:bottom w:val="single" w:color="auto" w:sz="4" w:space="0"/>
            </w:tcBorders>
            <w:vAlign w:val="center"/>
          </w:tcPr>
          <w:p w:rsidRPr="00AA6EC8" w:rsidR="0073382B" w:rsidP="00131848" w:rsidRDefault="0073382B" w14:paraId="1BCFFEA9" w14:textId="57318C29">
            <w:r w:rsidRPr="00AA6EC8">
              <w:t xml:space="preserve">Approval Date: </w:t>
            </w:r>
            <w:r w:rsidR="00586BEF">
              <w:t>June 2021</w:t>
            </w:r>
          </w:p>
        </w:tc>
      </w:tr>
    </w:tbl>
    <w:p w:rsidR="0062556A" w:rsidP="006F0321" w:rsidRDefault="0062556A" w14:paraId="11E56038" w14:textId="639FBCB2"/>
    <w:p w:rsidR="0073382B" w:rsidP="006F0321" w:rsidRDefault="0073382B" w14:paraId="0216E2EB" w14:textId="430BF437"/>
    <w:p w:rsidR="0073382B" w:rsidP="006F0321" w:rsidRDefault="0073382B" w14:paraId="3CA4A738" w14:textId="11ADCB61"/>
    <w:p w:rsidR="0073382B" w:rsidP="006F0321" w:rsidRDefault="0073382B" w14:paraId="535FF6EB" w14:textId="2C751133"/>
    <w:p w:rsidR="0073382B" w:rsidP="006F0321" w:rsidRDefault="0073382B" w14:paraId="2221987D" w14:textId="3612116A"/>
    <w:p w:rsidR="0073382B" w:rsidP="006F0321" w:rsidRDefault="0073382B" w14:paraId="6E32E752" w14:textId="6ACABCBB"/>
    <w:p w:rsidR="0073382B" w:rsidP="006F0321" w:rsidRDefault="0073382B" w14:paraId="7EB75248" w14:textId="53A81873"/>
    <w:p w:rsidR="0073382B" w:rsidP="006F0321" w:rsidRDefault="0073382B" w14:paraId="72BEDB1A" w14:textId="5772D3ED"/>
    <w:p w:rsidR="0073382B" w:rsidP="006F0321" w:rsidRDefault="0073382B" w14:paraId="6B3900E3" w14:textId="19DCE957"/>
    <w:p w:rsidR="0073382B" w:rsidP="006F0321" w:rsidRDefault="0073382B" w14:paraId="4AF078B6" w14:textId="389246F2"/>
    <w:p w:rsidR="00747763" w:rsidP="006F0321" w:rsidRDefault="00747763" w14:paraId="5EB87799" w14:textId="65D0FF92"/>
    <w:p w:rsidR="00747763" w:rsidP="006F0321" w:rsidRDefault="00747763" w14:paraId="1DE97FD3" w14:textId="21D977D4"/>
    <w:p w:rsidR="00747763" w:rsidP="006F0321" w:rsidRDefault="00747763" w14:paraId="2ED6C001" w14:textId="7F90C4D8"/>
    <w:p w:rsidR="00747763" w:rsidP="006F0321" w:rsidRDefault="00747763" w14:paraId="6FDC948B" w14:textId="77777777"/>
    <w:p w:rsidRPr="00E25790" w:rsidR="0073382B" w:rsidP="006F0321" w:rsidRDefault="0073382B" w14:paraId="1CE8E648" w14:textId="77777777"/>
    <w:tbl>
      <w:tblPr>
        <w:tblW w:w="9475" w:type="dxa"/>
        <w:tblLayout w:type="fixed"/>
        <w:tblLook w:val="0000" w:firstRow="0" w:lastRow="0" w:firstColumn="0" w:lastColumn="0" w:noHBand="0" w:noVBand="0"/>
      </w:tblPr>
      <w:tblGrid>
        <w:gridCol w:w="4153"/>
        <w:gridCol w:w="5322"/>
      </w:tblGrid>
      <w:tr w:rsidRPr="00E25790" w:rsidR="00115F48" w:rsidTr="0062556A" w14:paraId="4E1F7F54" w14:textId="77777777">
        <w:trPr>
          <w:cantSplit/>
          <w:trHeight w:val="720"/>
        </w:trPr>
        <w:tc>
          <w:tcPr>
            <w:tcW w:w="9475"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71C282C4" w14:textId="3D6FC78E">
            <w:pPr>
              <w:pStyle w:val="Heading1"/>
            </w:pPr>
            <w:bookmarkStart w:name="_Toc495481104" w:id="223"/>
            <w:bookmarkStart w:name="_Toc495481230" w:id="224"/>
            <w:bookmarkStart w:name="_Toc495481355" w:id="225"/>
            <w:bookmarkStart w:name="_Toc495501536" w:id="226"/>
            <w:bookmarkStart w:name="_Toc38106842" w:id="227"/>
            <w:bookmarkStart w:name="_Toc75339968" w:id="228"/>
            <w:r w:rsidRPr="00E25790">
              <w:lastRenderedPageBreak/>
              <w:t>Fentanyl</w:t>
            </w:r>
            <w:bookmarkEnd w:id="223"/>
            <w:bookmarkEnd w:id="224"/>
            <w:bookmarkEnd w:id="225"/>
            <w:bookmarkEnd w:id="226"/>
            <w:bookmarkEnd w:id="227"/>
            <w:bookmarkEnd w:id="228"/>
            <w:r w:rsidRPr="00E25790">
              <w:fldChar w:fldCharType="begin"/>
            </w:r>
            <w:r w:rsidRPr="00E25790">
              <w:instrText>tc "Fentanyl" \l 0</w:instrText>
            </w:r>
            <w:r w:rsidRPr="00E25790">
              <w:fldChar w:fldCharType="end"/>
            </w:r>
          </w:p>
        </w:tc>
      </w:tr>
      <w:tr w:rsidRPr="00E25790" w:rsidR="00115F48" w:rsidTr="0062556A" w14:paraId="4FE5DDF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964A989" w14:textId="3AB8501D">
            <w:r w:rsidRPr="00E25790">
              <w:t xml:space="preserve">Revision Date : </w:t>
            </w:r>
            <w:r w:rsidR="00DB0BE0">
              <w:t>18-6-2021</w:t>
            </w:r>
          </w:p>
        </w:tc>
        <w:tc>
          <w:tcPr>
            <w:tcW w:w="5322"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15C8B574" w14:textId="77777777">
            <w:r w:rsidRPr="00E25790">
              <w:t xml:space="preserve">Approved : </w:t>
            </w:r>
            <w:r w:rsidRPr="00E25790" w:rsidR="00EA5B47">
              <w:t>TC, KOH</w:t>
            </w:r>
          </w:p>
        </w:tc>
      </w:tr>
    </w:tbl>
    <w:p w:rsidRPr="00E25790" w:rsidR="00115F48" w:rsidP="006F0321" w:rsidRDefault="00115F48" w14:paraId="4080F066" w14:textId="77777777"/>
    <w:tbl>
      <w:tblPr>
        <w:tblW w:w="966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938"/>
      </w:tblGrid>
      <w:tr w:rsidRPr="00700789" w:rsidR="001556E8" w:rsidTr="00DB0BE0" w14:paraId="55F84EE7" w14:textId="77777777">
        <w:trPr>
          <w:trHeight w:val="70"/>
        </w:trPr>
        <w:tc>
          <w:tcPr>
            <w:tcW w:w="1730" w:type="dxa"/>
          </w:tcPr>
          <w:p w:rsidRPr="00700789" w:rsidR="001556E8" w:rsidP="00131848" w:rsidRDefault="001556E8" w14:paraId="4E430DF4" w14:textId="77777777">
            <w:pPr>
              <w:pStyle w:val="BodyText"/>
              <w:tabs>
                <w:tab w:val="center" w:pos="1476"/>
              </w:tabs>
              <w:rPr>
                <w:rFonts w:cs="Arial" w:asciiTheme="minorHAnsi" w:hAnsiTheme="minorHAnsi"/>
                <w:b/>
                <w:sz w:val="20"/>
              </w:rPr>
            </w:pPr>
            <w:r w:rsidRPr="00700789">
              <w:rPr>
                <w:rFonts w:cs="Arial" w:asciiTheme="minorHAnsi" w:hAnsiTheme="minorHAnsi"/>
                <w:b/>
                <w:sz w:val="20"/>
              </w:rPr>
              <w:t>Alert</w:t>
            </w:r>
          </w:p>
        </w:tc>
        <w:tc>
          <w:tcPr>
            <w:tcW w:w="7938" w:type="dxa"/>
          </w:tcPr>
          <w:p w:rsidRPr="00700789" w:rsidR="001556E8" w:rsidP="00131848" w:rsidRDefault="001556E8" w14:paraId="7D7B18FC" w14:textId="77777777">
            <w:pPr>
              <w:pStyle w:val="BodyText"/>
              <w:rPr>
                <w:rFonts w:cs="Arial" w:asciiTheme="minorHAnsi" w:hAnsiTheme="minorHAnsi"/>
                <w:sz w:val="20"/>
              </w:rPr>
            </w:pPr>
            <w:r w:rsidRPr="00700789">
              <w:rPr>
                <w:rFonts w:cs="Arial" w:asciiTheme="minorHAnsi" w:hAnsiTheme="minorHAnsi"/>
                <w:sz w:val="20"/>
              </w:rPr>
              <w:t>S8 High risk medicine. Must be stored and handled according to local S8 drug policy</w:t>
            </w:r>
          </w:p>
          <w:p w:rsidRPr="00700789" w:rsidR="001556E8" w:rsidP="00131848" w:rsidRDefault="001556E8" w14:paraId="767A8975" w14:textId="77777777">
            <w:pPr>
              <w:pStyle w:val="BodyText"/>
              <w:rPr>
                <w:rFonts w:cs="Arial" w:asciiTheme="minorHAnsi" w:hAnsiTheme="minorHAnsi"/>
                <w:sz w:val="20"/>
              </w:rPr>
            </w:pPr>
            <w:r w:rsidRPr="00700789">
              <w:rPr>
                <w:rFonts w:cs="Arial" w:asciiTheme="minorHAnsi" w:hAnsiTheme="minorHAnsi"/>
                <w:sz w:val="20"/>
              </w:rPr>
              <w:t>High risk of causing significant patient harm when used in error.</w:t>
            </w:r>
          </w:p>
        </w:tc>
      </w:tr>
      <w:tr w:rsidRPr="00700789" w:rsidR="001556E8" w:rsidTr="00DB0BE0" w14:paraId="2DC95893" w14:textId="77777777">
        <w:trPr>
          <w:trHeight w:val="72"/>
        </w:trPr>
        <w:tc>
          <w:tcPr>
            <w:tcW w:w="1730" w:type="dxa"/>
          </w:tcPr>
          <w:p w:rsidRPr="00700789" w:rsidR="001556E8" w:rsidP="00131848" w:rsidRDefault="001556E8" w14:paraId="31F7E86F" w14:textId="77777777">
            <w:pPr>
              <w:pStyle w:val="BodyText"/>
              <w:rPr>
                <w:rFonts w:cs="Arial" w:asciiTheme="minorHAnsi" w:hAnsiTheme="minorHAnsi"/>
                <w:sz w:val="20"/>
              </w:rPr>
            </w:pPr>
            <w:r w:rsidRPr="00700789">
              <w:rPr>
                <w:rFonts w:cs="Arial" w:asciiTheme="minorHAnsi" w:hAnsiTheme="minorHAnsi"/>
                <w:b/>
                <w:bCs/>
                <w:sz w:val="20"/>
              </w:rPr>
              <w:t>Indication</w:t>
            </w:r>
          </w:p>
        </w:tc>
        <w:tc>
          <w:tcPr>
            <w:tcW w:w="7938" w:type="dxa"/>
          </w:tcPr>
          <w:p w:rsidRPr="00700789" w:rsidR="001556E8" w:rsidP="00131848" w:rsidRDefault="001556E8" w14:paraId="0E9CAF1D" w14:textId="77777777">
            <w:pPr>
              <w:rPr>
                <w:rFonts w:asciiTheme="minorHAnsi" w:hAnsiTheme="minorHAnsi"/>
                <w:sz w:val="20"/>
              </w:rPr>
            </w:pPr>
            <w:r w:rsidRPr="00700789">
              <w:rPr>
                <w:rFonts w:asciiTheme="minorHAnsi" w:hAnsiTheme="minorHAnsi"/>
                <w:sz w:val="20"/>
              </w:rPr>
              <w:t>Analgesia.</w:t>
            </w:r>
          </w:p>
          <w:p w:rsidRPr="00700789" w:rsidR="001556E8" w:rsidP="00131848" w:rsidRDefault="001556E8" w14:paraId="2BF69546" w14:textId="77777777">
            <w:pPr>
              <w:rPr>
                <w:rFonts w:asciiTheme="minorHAnsi" w:hAnsiTheme="minorHAnsi"/>
                <w:sz w:val="20"/>
              </w:rPr>
            </w:pPr>
            <w:r w:rsidRPr="00700789">
              <w:rPr>
                <w:rFonts w:asciiTheme="minorHAnsi" w:hAnsiTheme="minorHAnsi"/>
                <w:sz w:val="20"/>
              </w:rPr>
              <w:t>Sedation.</w:t>
            </w:r>
          </w:p>
        </w:tc>
      </w:tr>
      <w:tr w:rsidRPr="00700789" w:rsidR="001556E8" w:rsidTr="00DB0BE0" w14:paraId="0AD8F72E" w14:textId="77777777">
        <w:trPr>
          <w:trHeight w:val="70"/>
        </w:trPr>
        <w:tc>
          <w:tcPr>
            <w:tcW w:w="1730" w:type="dxa"/>
          </w:tcPr>
          <w:p w:rsidRPr="00700789" w:rsidR="001556E8" w:rsidP="00131848" w:rsidRDefault="001556E8" w14:paraId="2057D772" w14:textId="77777777">
            <w:pPr>
              <w:pStyle w:val="BodyText"/>
              <w:rPr>
                <w:rFonts w:cs="Arial" w:asciiTheme="minorHAnsi" w:hAnsiTheme="minorHAnsi"/>
                <w:b/>
                <w:bCs/>
                <w:sz w:val="20"/>
              </w:rPr>
            </w:pPr>
            <w:r w:rsidRPr="00700789">
              <w:rPr>
                <w:rFonts w:cs="Arial" w:asciiTheme="minorHAnsi" w:hAnsiTheme="minorHAnsi"/>
                <w:b/>
                <w:bCs/>
                <w:sz w:val="20"/>
              </w:rPr>
              <w:t>Action</w:t>
            </w:r>
          </w:p>
        </w:tc>
        <w:tc>
          <w:tcPr>
            <w:tcW w:w="7938" w:type="dxa"/>
          </w:tcPr>
          <w:p w:rsidRPr="00700789" w:rsidR="001556E8" w:rsidP="00131848" w:rsidRDefault="001556E8" w14:paraId="64F0F44C" w14:textId="77777777">
            <w:pPr>
              <w:rPr>
                <w:rFonts w:cs="Arial" w:asciiTheme="minorHAnsi" w:hAnsiTheme="minorHAnsi"/>
                <w:sz w:val="20"/>
              </w:rPr>
            </w:pPr>
            <w:r w:rsidRPr="00700789">
              <w:rPr>
                <w:rFonts w:cs="Arial" w:asciiTheme="minorHAnsi" w:hAnsiTheme="minorHAnsi"/>
                <w:sz w:val="20"/>
              </w:rPr>
              <w:t>Binds to specific G protein-coupled opioid receptors that are located in brain and spinal cord regions involved in the transmission and modulation of pain.</w:t>
            </w:r>
          </w:p>
        </w:tc>
      </w:tr>
      <w:tr w:rsidRPr="00700789" w:rsidR="001556E8" w:rsidTr="00DB0BE0" w14:paraId="6EC755A5" w14:textId="77777777">
        <w:trPr>
          <w:trHeight w:val="266"/>
        </w:trPr>
        <w:tc>
          <w:tcPr>
            <w:tcW w:w="1730" w:type="dxa"/>
          </w:tcPr>
          <w:p w:rsidRPr="00700789" w:rsidR="001556E8" w:rsidP="00131848" w:rsidRDefault="001556E8" w14:paraId="408F64F2" w14:textId="77777777">
            <w:pPr>
              <w:pStyle w:val="BodyText"/>
              <w:rPr>
                <w:rFonts w:cs="Arial" w:asciiTheme="minorHAnsi" w:hAnsiTheme="minorHAnsi"/>
                <w:sz w:val="20"/>
              </w:rPr>
            </w:pPr>
            <w:r w:rsidRPr="00700789">
              <w:rPr>
                <w:rFonts w:cs="Arial" w:asciiTheme="minorHAnsi" w:hAnsiTheme="minorHAnsi"/>
                <w:b/>
                <w:bCs/>
                <w:sz w:val="20"/>
              </w:rPr>
              <w:t>Drug type</w:t>
            </w:r>
          </w:p>
        </w:tc>
        <w:tc>
          <w:tcPr>
            <w:tcW w:w="7938" w:type="dxa"/>
          </w:tcPr>
          <w:p w:rsidRPr="00700789" w:rsidR="001556E8" w:rsidP="00131848" w:rsidRDefault="001556E8" w14:paraId="58206B75" w14:textId="77777777">
            <w:pPr>
              <w:pStyle w:val="BodyText"/>
              <w:rPr>
                <w:rFonts w:cs="Arial" w:asciiTheme="minorHAnsi" w:hAnsiTheme="minorHAnsi"/>
                <w:sz w:val="20"/>
              </w:rPr>
            </w:pPr>
            <w:r w:rsidRPr="00700789">
              <w:rPr>
                <w:rFonts w:cs="Arial" w:asciiTheme="minorHAnsi" w:hAnsiTheme="minorHAnsi"/>
                <w:sz w:val="20"/>
              </w:rPr>
              <w:t>Opioid analgesic agent.</w:t>
            </w:r>
          </w:p>
        </w:tc>
      </w:tr>
      <w:tr w:rsidRPr="00700789" w:rsidR="001556E8" w:rsidTr="00DB0BE0" w14:paraId="24720937" w14:textId="77777777">
        <w:trPr>
          <w:trHeight w:val="114"/>
        </w:trPr>
        <w:tc>
          <w:tcPr>
            <w:tcW w:w="1730" w:type="dxa"/>
          </w:tcPr>
          <w:p w:rsidRPr="00700789" w:rsidR="001556E8" w:rsidP="00131848" w:rsidRDefault="001556E8" w14:paraId="702D9B97" w14:textId="77777777">
            <w:pPr>
              <w:pStyle w:val="BodyText"/>
              <w:rPr>
                <w:rFonts w:cs="Arial" w:asciiTheme="minorHAnsi" w:hAnsiTheme="minorHAnsi"/>
                <w:b/>
                <w:bCs/>
                <w:sz w:val="20"/>
              </w:rPr>
            </w:pPr>
            <w:r w:rsidRPr="00700789">
              <w:rPr>
                <w:rFonts w:cs="Arial" w:asciiTheme="minorHAnsi" w:hAnsiTheme="minorHAnsi"/>
                <w:b/>
                <w:bCs/>
                <w:sz w:val="20"/>
              </w:rPr>
              <w:t xml:space="preserve">Trade name </w:t>
            </w:r>
          </w:p>
        </w:tc>
        <w:tc>
          <w:tcPr>
            <w:tcW w:w="7938" w:type="dxa"/>
          </w:tcPr>
          <w:p w:rsidRPr="00700789" w:rsidR="001556E8" w:rsidP="00131848" w:rsidRDefault="001556E8" w14:paraId="20B6EB6A" w14:textId="77777777">
            <w:pPr>
              <w:pStyle w:val="BodyText"/>
              <w:rPr>
                <w:rFonts w:cs="Arial" w:asciiTheme="minorHAnsi" w:hAnsiTheme="minorHAnsi"/>
                <w:sz w:val="20"/>
              </w:rPr>
            </w:pPr>
            <w:r w:rsidRPr="00700789">
              <w:rPr>
                <w:rFonts w:cs="Arial" w:asciiTheme="minorHAnsi" w:hAnsiTheme="minorHAnsi"/>
                <w:sz w:val="20"/>
              </w:rPr>
              <w:t>Aspen Fentanyl; DBL Fentanyl; Fentanyl GH; Fentanyl Solution (AstraZeneca);  Sublimaze</w:t>
            </w:r>
          </w:p>
        </w:tc>
      </w:tr>
      <w:tr w:rsidRPr="00700789" w:rsidR="001556E8" w:rsidTr="00DB0BE0" w14:paraId="49FC7B45" w14:textId="77777777">
        <w:trPr>
          <w:trHeight w:val="70"/>
        </w:trPr>
        <w:tc>
          <w:tcPr>
            <w:tcW w:w="1730" w:type="dxa"/>
          </w:tcPr>
          <w:p w:rsidRPr="00700789" w:rsidR="001556E8" w:rsidP="00131848" w:rsidRDefault="001556E8" w14:paraId="45D8564D" w14:textId="77777777">
            <w:pPr>
              <w:pStyle w:val="BodyText"/>
              <w:rPr>
                <w:rFonts w:cs="Arial" w:asciiTheme="minorHAnsi" w:hAnsiTheme="minorHAnsi"/>
                <w:b/>
                <w:bCs/>
                <w:sz w:val="20"/>
              </w:rPr>
            </w:pPr>
            <w:r w:rsidRPr="00700789">
              <w:rPr>
                <w:rFonts w:cs="Arial" w:asciiTheme="minorHAnsi" w:hAnsiTheme="minorHAnsi"/>
                <w:b/>
                <w:bCs/>
                <w:sz w:val="20"/>
              </w:rPr>
              <w:t xml:space="preserve">Presentation </w:t>
            </w:r>
          </w:p>
        </w:tc>
        <w:tc>
          <w:tcPr>
            <w:tcW w:w="7938" w:type="dxa"/>
          </w:tcPr>
          <w:p w:rsidRPr="00700789" w:rsidR="001556E8" w:rsidP="00131848" w:rsidRDefault="001556E8" w14:paraId="1773A137" w14:textId="77777777">
            <w:pPr>
              <w:pStyle w:val="BodyText"/>
              <w:ind w:left="34"/>
              <w:rPr>
                <w:rFonts w:cs="Arial" w:asciiTheme="minorHAnsi" w:hAnsiTheme="minorHAnsi"/>
                <w:sz w:val="20"/>
              </w:rPr>
            </w:pPr>
            <w:r w:rsidRPr="00700789">
              <w:rPr>
                <w:rFonts w:cs="Arial" w:asciiTheme="minorHAnsi" w:hAnsiTheme="minorHAnsi"/>
                <w:sz w:val="20"/>
              </w:rPr>
              <w:t>500 microgram/10 mL ampoule; 100 microgram/2 mL ampoule</w:t>
            </w:r>
          </w:p>
        </w:tc>
      </w:tr>
      <w:tr w:rsidRPr="00700789" w:rsidR="001556E8" w:rsidTr="00DB0BE0" w14:paraId="39CFDB9E" w14:textId="77777777">
        <w:trPr>
          <w:trHeight w:val="70"/>
        </w:trPr>
        <w:tc>
          <w:tcPr>
            <w:tcW w:w="1730" w:type="dxa"/>
          </w:tcPr>
          <w:p w:rsidRPr="00700789" w:rsidR="001556E8" w:rsidP="00131848" w:rsidRDefault="001556E8" w14:paraId="7611DA0F" w14:textId="77777777">
            <w:pPr>
              <w:pStyle w:val="BodyText"/>
              <w:rPr>
                <w:rFonts w:cs="Arial" w:asciiTheme="minorHAnsi" w:hAnsiTheme="minorHAnsi"/>
                <w:b/>
                <w:bCs/>
                <w:sz w:val="20"/>
              </w:rPr>
            </w:pPr>
            <w:r w:rsidRPr="00700789">
              <w:rPr>
                <w:rFonts w:cs="Arial" w:asciiTheme="minorHAnsi" w:hAnsiTheme="minorHAnsi"/>
                <w:b/>
                <w:bCs/>
                <w:sz w:val="20"/>
              </w:rPr>
              <w:t xml:space="preserve">Dose </w:t>
            </w:r>
          </w:p>
        </w:tc>
        <w:tc>
          <w:tcPr>
            <w:tcW w:w="7938" w:type="dxa"/>
          </w:tcPr>
          <w:p w:rsidRPr="00700789" w:rsidR="001556E8" w:rsidP="00131848" w:rsidRDefault="001556E8" w14:paraId="25E7630B" w14:textId="77777777">
            <w:pPr>
              <w:pStyle w:val="BodyText"/>
              <w:rPr>
                <w:rFonts w:cs="Arial" w:asciiTheme="minorHAnsi" w:hAnsiTheme="minorHAnsi"/>
                <w:b/>
                <w:sz w:val="20"/>
              </w:rPr>
            </w:pPr>
            <w:r w:rsidRPr="00700789">
              <w:rPr>
                <w:rFonts w:cs="Arial" w:asciiTheme="minorHAnsi" w:hAnsiTheme="minorHAnsi"/>
                <w:b/>
                <w:sz w:val="20"/>
              </w:rPr>
              <w:t>Bolus/loading dose</w:t>
            </w:r>
          </w:p>
          <w:p w:rsidRPr="00700789" w:rsidR="001556E8" w:rsidP="00131848" w:rsidRDefault="001556E8" w14:paraId="38CF5E8F" w14:textId="77777777">
            <w:pPr>
              <w:pStyle w:val="BodyText"/>
              <w:rPr>
                <w:rFonts w:cs="Arial" w:asciiTheme="minorHAnsi" w:hAnsiTheme="minorHAnsi"/>
                <w:sz w:val="20"/>
              </w:rPr>
            </w:pPr>
            <w:r w:rsidRPr="00700789">
              <w:rPr>
                <w:rFonts w:cs="Arial" w:asciiTheme="minorHAnsi" w:hAnsiTheme="minorHAnsi"/>
                <w:sz w:val="20"/>
              </w:rPr>
              <w:t xml:space="preserve">0.5–4 microgram/kg/dose over 3−5 minutes – may be required every 2−4 hours.  </w:t>
            </w:r>
          </w:p>
          <w:p w:rsidRPr="00700789" w:rsidR="001556E8" w:rsidP="00131848" w:rsidRDefault="001556E8" w14:paraId="066B6B52" w14:textId="77777777">
            <w:pPr>
              <w:pStyle w:val="BodyText"/>
              <w:rPr>
                <w:rFonts w:cs="Arial" w:asciiTheme="minorHAnsi" w:hAnsiTheme="minorHAnsi"/>
                <w:b/>
                <w:sz w:val="20"/>
              </w:rPr>
            </w:pPr>
          </w:p>
          <w:p w:rsidRPr="00700789" w:rsidR="001556E8" w:rsidP="00131848" w:rsidRDefault="001556E8" w14:paraId="6200D452" w14:textId="77777777">
            <w:pPr>
              <w:pStyle w:val="BodyText"/>
              <w:rPr>
                <w:rFonts w:cs="Arial" w:asciiTheme="minorHAnsi" w:hAnsiTheme="minorHAnsi"/>
                <w:b/>
                <w:sz w:val="20"/>
              </w:rPr>
            </w:pPr>
            <w:r w:rsidRPr="00700789">
              <w:rPr>
                <w:rFonts w:cs="Arial" w:asciiTheme="minorHAnsi" w:hAnsiTheme="minorHAnsi"/>
                <w:b/>
                <w:sz w:val="20"/>
              </w:rPr>
              <w:t xml:space="preserve">Continuous IV Infusion  </w:t>
            </w:r>
          </w:p>
          <w:p w:rsidRPr="00700789" w:rsidR="001556E8" w:rsidP="00131848" w:rsidRDefault="001556E8" w14:paraId="54DE3C15" w14:textId="77777777">
            <w:pPr>
              <w:pStyle w:val="BodyText"/>
              <w:rPr>
                <w:rFonts w:cs="Arial" w:asciiTheme="minorHAnsi" w:hAnsiTheme="minorHAnsi"/>
                <w:sz w:val="20"/>
              </w:rPr>
            </w:pPr>
            <w:r w:rsidRPr="00700789">
              <w:rPr>
                <w:rFonts w:cs="Arial" w:asciiTheme="minorHAnsi" w:hAnsiTheme="minorHAnsi"/>
                <w:sz w:val="20"/>
              </w:rPr>
              <w:t>1–5 microgram/kg/hour. General starting dose: 1 microgram/kg/hour. Titrate using a validated pain score.</w:t>
            </w:r>
          </w:p>
          <w:p w:rsidRPr="00700789" w:rsidR="001556E8" w:rsidP="00131848" w:rsidRDefault="001556E8" w14:paraId="6CB3D9DA" w14:textId="77777777">
            <w:pPr>
              <w:pStyle w:val="BodyText"/>
              <w:rPr>
                <w:rFonts w:cs="Arial" w:asciiTheme="minorHAnsi" w:hAnsiTheme="minorHAnsi"/>
                <w:b/>
                <w:sz w:val="20"/>
              </w:rPr>
            </w:pPr>
          </w:p>
          <w:p w:rsidRPr="00700789" w:rsidR="001556E8" w:rsidP="00131848" w:rsidRDefault="001556E8" w14:paraId="4AB9736F" w14:textId="77777777">
            <w:pPr>
              <w:pStyle w:val="BodyText"/>
              <w:rPr>
                <w:rFonts w:cs="Arial" w:asciiTheme="minorHAnsi" w:hAnsiTheme="minorHAnsi"/>
                <w:sz w:val="20"/>
              </w:rPr>
            </w:pPr>
            <w:r w:rsidRPr="00700789">
              <w:rPr>
                <w:rFonts w:cs="Arial" w:asciiTheme="minorHAnsi" w:hAnsiTheme="minorHAnsi"/>
                <w:b/>
                <w:sz w:val="20"/>
              </w:rPr>
              <w:t>Pre-medication for intubation</w:t>
            </w:r>
          </w:p>
          <w:p w:rsidRPr="00700789" w:rsidR="001556E8" w:rsidP="00131848" w:rsidRDefault="001556E8" w14:paraId="478E5140" w14:textId="77777777">
            <w:pPr>
              <w:pStyle w:val="BodyText"/>
              <w:rPr>
                <w:rFonts w:cs="Arial" w:asciiTheme="minorHAnsi" w:hAnsiTheme="minorHAnsi"/>
                <w:sz w:val="20"/>
              </w:rPr>
            </w:pPr>
            <w:r w:rsidRPr="00700789">
              <w:rPr>
                <w:rFonts w:cs="Arial" w:asciiTheme="minorHAnsi" w:hAnsiTheme="minorHAnsi"/>
                <w:sz w:val="20"/>
              </w:rPr>
              <w:t>2−4 microgram/kg bolus. Wait at least 3 minutes for onset of action after giving the dose.</w:t>
            </w:r>
          </w:p>
        </w:tc>
      </w:tr>
      <w:tr w:rsidRPr="00700789" w:rsidR="001556E8" w:rsidTr="00DB0BE0" w14:paraId="0DD8A366" w14:textId="77777777">
        <w:trPr>
          <w:trHeight w:val="123"/>
        </w:trPr>
        <w:tc>
          <w:tcPr>
            <w:tcW w:w="1730" w:type="dxa"/>
          </w:tcPr>
          <w:p w:rsidRPr="00700789" w:rsidR="001556E8" w:rsidP="00131848" w:rsidRDefault="001556E8" w14:paraId="76290E4B" w14:textId="77777777">
            <w:pPr>
              <w:pStyle w:val="BodyText"/>
              <w:rPr>
                <w:rFonts w:asciiTheme="minorHAnsi" w:hAnsiTheme="minorHAnsi"/>
                <w:b/>
                <w:sz w:val="20"/>
              </w:rPr>
            </w:pPr>
            <w:r w:rsidRPr="00700789">
              <w:rPr>
                <w:rFonts w:asciiTheme="minorHAnsi" w:hAnsiTheme="minorHAnsi"/>
                <w:b/>
                <w:sz w:val="20"/>
              </w:rPr>
              <w:t>Dose adjustment</w:t>
            </w:r>
          </w:p>
        </w:tc>
        <w:tc>
          <w:tcPr>
            <w:tcW w:w="7938" w:type="dxa"/>
          </w:tcPr>
          <w:p w:rsidRPr="00700789" w:rsidR="001556E8" w:rsidP="00131848" w:rsidRDefault="001556E8" w14:paraId="2016418B" w14:textId="77777777">
            <w:pPr>
              <w:pStyle w:val="BodyText"/>
              <w:rPr>
                <w:rFonts w:asciiTheme="minorHAnsi" w:hAnsiTheme="minorHAnsi"/>
                <w:sz w:val="20"/>
              </w:rPr>
            </w:pPr>
            <w:r w:rsidRPr="00700789">
              <w:rPr>
                <w:rFonts w:asciiTheme="minorHAnsi" w:hAnsiTheme="minorHAnsi"/>
                <w:sz w:val="20"/>
              </w:rPr>
              <w:t xml:space="preserve">Therapeutic hypothermia – Insufficient evidence to recommend any dose adjustment.(22, 25) </w:t>
            </w:r>
          </w:p>
          <w:p w:rsidRPr="00700789" w:rsidR="001556E8" w:rsidP="00131848" w:rsidRDefault="001556E8" w14:paraId="10DD335C" w14:textId="77777777">
            <w:pPr>
              <w:pStyle w:val="BodyText"/>
              <w:rPr>
                <w:rFonts w:asciiTheme="minorHAnsi" w:hAnsiTheme="minorHAnsi"/>
                <w:sz w:val="20"/>
              </w:rPr>
            </w:pPr>
            <w:r w:rsidRPr="00700789">
              <w:rPr>
                <w:rFonts w:asciiTheme="minorHAnsi" w:hAnsiTheme="minorHAnsi"/>
                <w:sz w:val="20"/>
              </w:rPr>
              <w:t>ECMO - Higher doses may be needed for procedural analgesia (23,25)</w:t>
            </w:r>
          </w:p>
          <w:p w:rsidRPr="00700789" w:rsidR="001556E8" w:rsidP="00131848" w:rsidRDefault="001556E8" w14:paraId="11081D4D" w14:textId="77777777">
            <w:pPr>
              <w:pStyle w:val="BodyText"/>
              <w:rPr>
                <w:rFonts w:asciiTheme="minorHAnsi" w:hAnsiTheme="minorHAnsi"/>
                <w:sz w:val="20"/>
              </w:rPr>
            </w:pPr>
            <w:r w:rsidRPr="00700789">
              <w:rPr>
                <w:rFonts w:asciiTheme="minorHAnsi" w:hAnsiTheme="minorHAnsi"/>
                <w:sz w:val="20"/>
              </w:rPr>
              <w:t>Hepatic impairment - May not need any change (24)</w:t>
            </w:r>
          </w:p>
          <w:p w:rsidRPr="00700789" w:rsidR="001556E8" w:rsidP="00131848" w:rsidRDefault="001556E8" w14:paraId="7F58D462" w14:textId="77777777">
            <w:pPr>
              <w:pStyle w:val="BodyText"/>
              <w:rPr>
                <w:rFonts w:asciiTheme="minorHAnsi" w:hAnsiTheme="minorHAnsi"/>
                <w:sz w:val="20"/>
              </w:rPr>
            </w:pPr>
            <w:r w:rsidRPr="00700789">
              <w:rPr>
                <w:rFonts w:asciiTheme="minorHAnsi" w:hAnsiTheme="minorHAnsi"/>
                <w:sz w:val="20"/>
              </w:rPr>
              <w:t>Renal impairment - May not need any change (21)</w:t>
            </w:r>
          </w:p>
        </w:tc>
      </w:tr>
      <w:tr w:rsidRPr="00700789" w:rsidR="001556E8" w:rsidTr="00DB0BE0" w14:paraId="70631237" w14:textId="77777777">
        <w:trPr>
          <w:trHeight w:val="113"/>
        </w:trPr>
        <w:tc>
          <w:tcPr>
            <w:tcW w:w="1730" w:type="dxa"/>
          </w:tcPr>
          <w:p w:rsidRPr="00700789" w:rsidR="001556E8" w:rsidP="00131848" w:rsidRDefault="001556E8" w14:paraId="4B0133D4" w14:textId="77777777">
            <w:pPr>
              <w:pStyle w:val="BodyText"/>
              <w:rPr>
                <w:rFonts w:asciiTheme="minorHAnsi" w:hAnsiTheme="minorHAnsi"/>
                <w:b/>
                <w:sz w:val="20"/>
              </w:rPr>
            </w:pPr>
            <w:r w:rsidRPr="00700789">
              <w:rPr>
                <w:rFonts w:asciiTheme="minorHAnsi" w:hAnsiTheme="minorHAnsi"/>
                <w:b/>
                <w:sz w:val="20"/>
              </w:rPr>
              <w:t>Maximum dose</w:t>
            </w:r>
          </w:p>
        </w:tc>
        <w:tc>
          <w:tcPr>
            <w:tcW w:w="7938" w:type="dxa"/>
          </w:tcPr>
          <w:p w:rsidRPr="00700789" w:rsidR="001556E8" w:rsidP="00131848" w:rsidRDefault="001556E8" w14:paraId="082E3991" w14:textId="77777777">
            <w:pPr>
              <w:pStyle w:val="BodyText"/>
              <w:rPr>
                <w:rFonts w:asciiTheme="minorHAnsi" w:hAnsiTheme="minorHAnsi"/>
                <w:sz w:val="20"/>
              </w:rPr>
            </w:pPr>
          </w:p>
        </w:tc>
      </w:tr>
      <w:tr w:rsidRPr="00700789" w:rsidR="001556E8" w:rsidTr="00DB0BE0" w14:paraId="5F599589" w14:textId="77777777">
        <w:trPr>
          <w:trHeight w:val="144"/>
        </w:trPr>
        <w:tc>
          <w:tcPr>
            <w:tcW w:w="1730" w:type="dxa"/>
          </w:tcPr>
          <w:p w:rsidRPr="00700789" w:rsidR="001556E8" w:rsidP="00131848" w:rsidRDefault="001556E8" w14:paraId="23BEBE12" w14:textId="77777777">
            <w:pPr>
              <w:pStyle w:val="BodyText"/>
              <w:rPr>
                <w:rFonts w:cs="Arial" w:asciiTheme="minorHAnsi" w:hAnsiTheme="minorHAnsi"/>
                <w:b/>
                <w:bCs/>
                <w:sz w:val="20"/>
              </w:rPr>
            </w:pPr>
            <w:r w:rsidRPr="00700789">
              <w:rPr>
                <w:rFonts w:asciiTheme="minorHAnsi" w:hAnsiTheme="minorHAnsi"/>
                <w:b/>
                <w:sz w:val="20"/>
              </w:rPr>
              <w:t>Total cumulative dose</w:t>
            </w:r>
          </w:p>
        </w:tc>
        <w:tc>
          <w:tcPr>
            <w:tcW w:w="7938" w:type="dxa"/>
          </w:tcPr>
          <w:p w:rsidRPr="00700789" w:rsidR="001556E8" w:rsidP="00131848" w:rsidRDefault="001556E8" w14:paraId="678E7634" w14:textId="77777777">
            <w:pPr>
              <w:pStyle w:val="BodyText"/>
              <w:rPr>
                <w:rFonts w:cs="Arial" w:asciiTheme="minorHAnsi" w:hAnsiTheme="minorHAnsi"/>
                <w:b/>
                <w:sz w:val="20"/>
              </w:rPr>
            </w:pPr>
          </w:p>
        </w:tc>
      </w:tr>
      <w:tr w:rsidRPr="00700789" w:rsidR="001556E8" w:rsidTr="00DB0BE0" w14:paraId="61028425" w14:textId="77777777">
        <w:trPr>
          <w:trHeight w:val="294"/>
        </w:trPr>
        <w:tc>
          <w:tcPr>
            <w:tcW w:w="1730" w:type="dxa"/>
          </w:tcPr>
          <w:p w:rsidRPr="00700789" w:rsidR="001556E8" w:rsidP="00131848" w:rsidRDefault="001556E8" w14:paraId="0ACA9126" w14:textId="77777777">
            <w:pPr>
              <w:pStyle w:val="BodyText"/>
              <w:rPr>
                <w:rFonts w:cs="Arial" w:asciiTheme="minorHAnsi" w:hAnsiTheme="minorHAnsi"/>
                <w:sz w:val="20"/>
              </w:rPr>
            </w:pPr>
            <w:r w:rsidRPr="00700789">
              <w:rPr>
                <w:rFonts w:cs="Arial" w:asciiTheme="minorHAnsi" w:hAnsiTheme="minorHAnsi"/>
                <w:b/>
                <w:bCs/>
                <w:sz w:val="20"/>
              </w:rPr>
              <w:t xml:space="preserve">Route </w:t>
            </w:r>
          </w:p>
        </w:tc>
        <w:tc>
          <w:tcPr>
            <w:tcW w:w="7938" w:type="dxa"/>
          </w:tcPr>
          <w:p w:rsidRPr="00700789" w:rsidR="001556E8" w:rsidP="00131848" w:rsidRDefault="001556E8" w14:paraId="182F1342" w14:textId="77777777">
            <w:pPr>
              <w:pStyle w:val="BodyText"/>
              <w:rPr>
                <w:rFonts w:cs="Arial" w:asciiTheme="minorHAnsi" w:hAnsiTheme="minorHAnsi"/>
                <w:sz w:val="20"/>
              </w:rPr>
            </w:pPr>
            <w:r w:rsidRPr="00700789">
              <w:rPr>
                <w:rFonts w:cs="Arial" w:asciiTheme="minorHAnsi" w:hAnsiTheme="minorHAnsi"/>
                <w:sz w:val="20"/>
              </w:rPr>
              <w:t>IV</w:t>
            </w:r>
          </w:p>
        </w:tc>
      </w:tr>
      <w:tr w:rsidRPr="00700789" w:rsidR="001556E8" w:rsidTr="00DB0BE0" w14:paraId="0987F899" w14:textId="77777777">
        <w:trPr>
          <w:trHeight w:val="93"/>
        </w:trPr>
        <w:tc>
          <w:tcPr>
            <w:tcW w:w="1730" w:type="dxa"/>
          </w:tcPr>
          <w:p w:rsidRPr="00700789" w:rsidR="001556E8" w:rsidP="00131848" w:rsidRDefault="001556E8" w14:paraId="38946FFC" w14:textId="77777777">
            <w:pPr>
              <w:pStyle w:val="BodyText"/>
              <w:rPr>
                <w:rFonts w:cs="Arial" w:asciiTheme="minorHAnsi" w:hAnsiTheme="minorHAnsi"/>
                <w:b/>
                <w:bCs/>
                <w:sz w:val="20"/>
                <w:highlight w:val="cyan"/>
              </w:rPr>
            </w:pPr>
            <w:r w:rsidRPr="00700789">
              <w:rPr>
                <w:rFonts w:cs="Arial" w:asciiTheme="minorHAnsi" w:hAnsiTheme="minorHAnsi"/>
                <w:b/>
                <w:bCs/>
                <w:sz w:val="20"/>
              </w:rPr>
              <w:t>Preparation</w:t>
            </w:r>
            <w:r w:rsidRPr="00700789">
              <w:rPr>
                <w:rFonts w:cs="Arial" w:asciiTheme="minorHAnsi" w:hAnsiTheme="minorHAnsi"/>
                <w:b/>
                <w:bCs/>
                <w:sz w:val="20"/>
                <w:highlight w:val="cyan"/>
              </w:rPr>
              <w:t xml:space="preserve"> </w:t>
            </w:r>
          </w:p>
        </w:tc>
        <w:tc>
          <w:tcPr>
            <w:tcW w:w="7938" w:type="dxa"/>
          </w:tcPr>
          <w:p w:rsidRPr="00700789" w:rsidR="001556E8" w:rsidP="00131848" w:rsidRDefault="001556E8" w14:paraId="3198E9A5" w14:textId="77777777">
            <w:pPr>
              <w:pStyle w:val="BodyText"/>
              <w:rPr>
                <w:rFonts w:cs="Arial" w:asciiTheme="minorHAnsi" w:hAnsiTheme="minorHAnsi"/>
                <w:b/>
                <w:sz w:val="20"/>
              </w:rPr>
            </w:pPr>
            <w:r w:rsidRPr="00700789">
              <w:rPr>
                <w:rFonts w:cs="Arial" w:asciiTheme="minorHAnsi" w:hAnsiTheme="minorHAnsi"/>
                <w:b/>
                <w:sz w:val="20"/>
              </w:rPr>
              <w:t>SINGLE STRENGTH continuous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31"/>
              <w:gridCol w:w="4108"/>
            </w:tblGrid>
            <w:tr w:rsidRPr="00700789" w:rsidR="001556E8" w:rsidTr="00DB0BE0" w14:paraId="66BC1348" w14:textId="77777777">
              <w:tc>
                <w:tcPr>
                  <w:tcW w:w="3431" w:type="dxa"/>
                  <w:shd w:val="clear" w:color="auto" w:fill="auto"/>
                </w:tcPr>
                <w:p w:rsidRPr="00700789" w:rsidR="001556E8" w:rsidP="00131848" w:rsidRDefault="001556E8" w14:paraId="52482346" w14:textId="77777777">
                  <w:pPr>
                    <w:pStyle w:val="BodyText"/>
                    <w:jc w:val="center"/>
                    <w:rPr>
                      <w:rFonts w:cs="Arial" w:asciiTheme="minorHAnsi" w:hAnsiTheme="minorHAnsi"/>
                      <w:b/>
                      <w:sz w:val="20"/>
                    </w:rPr>
                  </w:pPr>
                  <w:r w:rsidRPr="00700789">
                    <w:rPr>
                      <w:rFonts w:cs="Arial" w:asciiTheme="minorHAnsi" w:hAnsiTheme="minorHAnsi"/>
                      <w:b/>
                      <w:sz w:val="20"/>
                    </w:rPr>
                    <w:t>Infusion strength</w:t>
                  </w:r>
                </w:p>
              </w:tc>
              <w:tc>
                <w:tcPr>
                  <w:tcW w:w="4108" w:type="dxa"/>
                  <w:shd w:val="clear" w:color="auto" w:fill="auto"/>
                </w:tcPr>
                <w:p w:rsidRPr="00700789" w:rsidR="001556E8" w:rsidP="00131848" w:rsidRDefault="001556E8" w14:paraId="347E2772" w14:textId="77777777">
                  <w:pPr>
                    <w:pStyle w:val="BodyText"/>
                    <w:jc w:val="center"/>
                    <w:rPr>
                      <w:rFonts w:cs="Arial" w:asciiTheme="minorHAnsi" w:hAnsiTheme="minorHAnsi"/>
                      <w:b/>
                      <w:sz w:val="20"/>
                    </w:rPr>
                  </w:pPr>
                  <w:r w:rsidRPr="00700789">
                    <w:rPr>
                      <w:rFonts w:cs="Arial" w:asciiTheme="minorHAnsi" w:hAnsiTheme="minorHAnsi"/>
                      <w:b/>
                      <w:sz w:val="20"/>
                    </w:rPr>
                    <w:t>Prescribed amount</w:t>
                  </w:r>
                </w:p>
              </w:tc>
            </w:tr>
            <w:tr w:rsidRPr="00700789" w:rsidR="001556E8" w:rsidTr="00DB0BE0" w14:paraId="49366403" w14:textId="77777777">
              <w:tc>
                <w:tcPr>
                  <w:tcW w:w="3431" w:type="dxa"/>
                  <w:shd w:val="clear" w:color="auto" w:fill="auto"/>
                </w:tcPr>
                <w:p w:rsidRPr="00700789" w:rsidR="001556E8" w:rsidP="00131848" w:rsidRDefault="001556E8" w14:paraId="583CAD50" w14:textId="77777777">
                  <w:pPr>
                    <w:pStyle w:val="BodyText"/>
                    <w:rPr>
                      <w:rFonts w:cs="Arial" w:asciiTheme="minorHAnsi" w:hAnsiTheme="minorHAnsi"/>
                      <w:sz w:val="20"/>
                    </w:rPr>
                  </w:pPr>
                  <w:r w:rsidRPr="00700789">
                    <w:rPr>
                      <w:rFonts w:cs="Arial" w:asciiTheme="minorHAnsi" w:hAnsiTheme="minorHAnsi"/>
                      <w:sz w:val="20"/>
                    </w:rPr>
                    <w:t>1 mL/hour = 5 microgram/kg/hour</w:t>
                  </w:r>
                </w:p>
              </w:tc>
              <w:tc>
                <w:tcPr>
                  <w:tcW w:w="4108" w:type="dxa"/>
                  <w:shd w:val="clear" w:color="auto" w:fill="auto"/>
                </w:tcPr>
                <w:p w:rsidRPr="00700789" w:rsidR="001556E8" w:rsidP="00131848" w:rsidRDefault="001556E8" w14:paraId="2AD1AF14" w14:textId="77777777">
                  <w:pPr>
                    <w:pStyle w:val="BodyText"/>
                    <w:rPr>
                      <w:rFonts w:cs="Arial" w:asciiTheme="minorHAnsi" w:hAnsiTheme="minorHAnsi"/>
                      <w:sz w:val="20"/>
                    </w:rPr>
                  </w:pPr>
                  <w:r w:rsidRPr="00700789">
                    <w:rPr>
                      <w:rFonts w:cs="Arial" w:asciiTheme="minorHAnsi" w:hAnsiTheme="minorHAnsi"/>
                      <w:sz w:val="20"/>
                    </w:rPr>
                    <w:t>250 microgram/kg fentanyl and make up to 50 mL</w:t>
                  </w:r>
                </w:p>
              </w:tc>
            </w:tr>
          </w:tbl>
          <w:p w:rsidRPr="00700789" w:rsidR="001556E8" w:rsidP="00131848" w:rsidRDefault="001556E8" w14:paraId="46A7A773" w14:textId="77777777">
            <w:pPr>
              <w:pStyle w:val="BodyText"/>
              <w:rPr>
                <w:rFonts w:asciiTheme="minorHAnsi" w:hAnsiTheme="minorHAnsi"/>
                <w:sz w:val="20"/>
              </w:rPr>
            </w:pPr>
            <w:r w:rsidRPr="00700789">
              <w:rPr>
                <w:rFonts w:asciiTheme="minorHAnsi" w:hAnsiTheme="minorHAnsi"/>
                <w:sz w:val="20"/>
              </w:rPr>
              <w:t xml:space="preserve">Draw up 5 mL/kg (250 microgram/kg fentanyl) and make up to 50 mL with sodium chloride 0.9% or glucose 5% or glucose 10% with a concentration of </w:t>
            </w:r>
            <w:r w:rsidRPr="00700789">
              <w:rPr>
                <w:rFonts w:asciiTheme="minorHAnsi" w:hAnsiTheme="minorHAnsi"/>
                <w:b/>
                <w:sz w:val="20"/>
              </w:rPr>
              <w:t>1 mL/hour = 5 microgram/kg/hour.</w:t>
            </w:r>
          </w:p>
          <w:p w:rsidRPr="00700789" w:rsidR="001556E8" w:rsidP="00131848" w:rsidRDefault="001556E8" w14:paraId="28CFB0E2" w14:textId="77777777">
            <w:pPr>
              <w:pStyle w:val="BodyText"/>
              <w:rPr>
                <w:rFonts w:cs="Arial" w:asciiTheme="minorHAnsi" w:hAnsiTheme="minorHAnsi"/>
                <w:sz w:val="20"/>
              </w:rPr>
            </w:pPr>
          </w:p>
          <w:p w:rsidRPr="00700789" w:rsidR="001556E8" w:rsidP="00131848" w:rsidRDefault="001556E8" w14:paraId="42C19A3B" w14:textId="77777777">
            <w:pPr>
              <w:pStyle w:val="BodyText"/>
              <w:rPr>
                <w:rFonts w:cs="Arial" w:asciiTheme="minorHAnsi" w:hAnsiTheme="minorHAnsi"/>
                <w:b/>
                <w:sz w:val="20"/>
              </w:rPr>
            </w:pPr>
            <w:r w:rsidRPr="00700789">
              <w:rPr>
                <w:rFonts w:cs="Arial" w:asciiTheme="minorHAnsi" w:hAnsiTheme="minorHAnsi"/>
                <w:b/>
                <w:sz w:val="20"/>
              </w:rPr>
              <w:t>DOUBLE STRENGTH continuous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31"/>
              <w:gridCol w:w="4108"/>
            </w:tblGrid>
            <w:tr w:rsidRPr="00700789" w:rsidR="001556E8" w:rsidTr="00DB0BE0" w14:paraId="4B3F7633" w14:textId="77777777">
              <w:tc>
                <w:tcPr>
                  <w:tcW w:w="3431" w:type="dxa"/>
                  <w:shd w:val="clear" w:color="auto" w:fill="auto"/>
                </w:tcPr>
                <w:p w:rsidRPr="00700789" w:rsidR="001556E8" w:rsidP="00131848" w:rsidRDefault="001556E8" w14:paraId="184691E4" w14:textId="77777777">
                  <w:pPr>
                    <w:pStyle w:val="BodyText"/>
                    <w:jc w:val="center"/>
                    <w:rPr>
                      <w:rFonts w:cs="Arial" w:asciiTheme="minorHAnsi" w:hAnsiTheme="minorHAnsi"/>
                      <w:b/>
                      <w:sz w:val="20"/>
                    </w:rPr>
                  </w:pPr>
                  <w:r w:rsidRPr="00700789">
                    <w:rPr>
                      <w:rFonts w:cs="Arial" w:asciiTheme="minorHAnsi" w:hAnsiTheme="minorHAnsi"/>
                      <w:b/>
                      <w:sz w:val="20"/>
                    </w:rPr>
                    <w:t>Infusion strength</w:t>
                  </w:r>
                </w:p>
              </w:tc>
              <w:tc>
                <w:tcPr>
                  <w:tcW w:w="4108" w:type="dxa"/>
                  <w:shd w:val="clear" w:color="auto" w:fill="auto"/>
                </w:tcPr>
                <w:p w:rsidRPr="00700789" w:rsidR="001556E8" w:rsidP="00131848" w:rsidRDefault="001556E8" w14:paraId="6657A41A" w14:textId="77777777">
                  <w:pPr>
                    <w:pStyle w:val="BodyText"/>
                    <w:jc w:val="center"/>
                    <w:rPr>
                      <w:rFonts w:cs="Arial" w:asciiTheme="minorHAnsi" w:hAnsiTheme="minorHAnsi"/>
                      <w:b/>
                      <w:sz w:val="20"/>
                    </w:rPr>
                  </w:pPr>
                  <w:r w:rsidRPr="00700789">
                    <w:rPr>
                      <w:rFonts w:cs="Arial" w:asciiTheme="minorHAnsi" w:hAnsiTheme="minorHAnsi"/>
                      <w:b/>
                      <w:sz w:val="20"/>
                    </w:rPr>
                    <w:t>Prescribed amount</w:t>
                  </w:r>
                </w:p>
              </w:tc>
            </w:tr>
            <w:tr w:rsidRPr="00700789" w:rsidR="001556E8" w:rsidTr="00DB0BE0" w14:paraId="598FE284" w14:textId="77777777">
              <w:tc>
                <w:tcPr>
                  <w:tcW w:w="3431" w:type="dxa"/>
                  <w:shd w:val="clear" w:color="auto" w:fill="auto"/>
                </w:tcPr>
                <w:p w:rsidRPr="00700789" w:rsidR="001556E8" w:rsidP="00131848" w:rsidRDefault="001556E8" w14:paraId="5CA66CED" w14:textId="77777777">
                  <w:pPr>
                    <w:pStyle w:val="BodyText"/>
                    <w:rPr>
                      <w:rFonts w:cs="Arial" w:asciiTheme="minorHAnsi" w:hAnsiTheme="minorHAnsi"/>
                      <w:sz w:val="20"/>
                    </w:rPr>
                  </w:pPr>
                  <w:r w:rsidRPr="00700789">
                    <w:rPr>
                      <w:rFonts w:cs="Arial" w:asciiTheme="minorHAnsi" w:hAnsiTheme="minorHAnsi"/>
                      <w:sz w:val="20"/>
                    </w:rPr>
                    <w:t>1 mL/hour = 10 microgram/kg/hour</w:t>
                  </w:r>
                </w:p>
              </w:tc>
              <w:tc>
                <w:tcPr>
                  <w:tcW w:w="4108" w:type="dxa"/>
                  <w:shd w:val="clear" w:color="auto" w:fill="auto"/>
                </w:tcPr>
                <w:p w:rsidRPr="00700789" w:rsidR="001556E8" w:rsidP="00131848" w:rsidRDefault="001556E8" w14:paraId="77AD973C" w14:textId="77777777">
                  <w:pPr>
                    <w:pStyle w:val="BodyText"/>
                    <w:rPr>
                      <w:rFonts w:cs="Arial" w:asciiTheme="minorHAnsi" w:hAnsiTheme="minorHAnsi"/>
                      <w:sz w:val="20"/>
                    </w:rPr>
                  </w:pPr>
                  <w:r w:rsidRPr="00700789">
                    <w:rPr>
                      <w:rFonts w:cs="Arial" w:asciiTheme="minorHAnsi" w:hAnsiTheme="minorHAnsi"/>
                      <w:sz w:val="20"/>
                    </w:rPr>
                    <w:t>500 microgram/kg fentanyl and make up to 50 mL</w:t>
                  </w:r>
                </w:p>
              </w:tc>
            </w:tr>
          </w:tbl>
          <w:p w:rsidRPr="00700789" w:rsidR="001556E8" w:rsidP="00131848" w:rsidRDefault="001556E8" w14:paraId="7FF1B665" w14:textId="77777777">
            <w:pPr>
              <w:pStyle w:val="BodyText"/>
              <w:rPr>
                <w:rFonts w:asciiTheme="minorHAnsi" w:hAnsiTheme="minorHAnsi"/>
                <w:sz w:val="20"/>
              </w:rPr>
            </w:pPr>
            <w:r w:rsidRPr="00700789">
              <w:rPr>
                <w:rFonts w:asciiTheme="minorHAnsi" w:hAnsiTheme="minorHAnsi"/>
                <w:sz w:val="20"/>
              </w:rPr>
              <w:t xml:space="preserve">Draw up 10 mL/kg (500 microgram/kg fentanyl) and make up to 50 mL with sodium chloride 0.9% or glucose 5% or glucose 10% with a concentration of </w:t>
            </w:r>
            <w:r w:rsidRPr="00700789">
              <w:rPr>
                <w:rFonts w:asciiTheme="minorHAnsi" w:hAnsiTheme="minorHAnsi"/>
                <w:b/>
                <w:sz w:val="20"/>
              </w:rPr>
              <w:t>1 mL/hour = 10 microgram/kg/hour.</w:t>
            </w:r>
          </w:p>
          <w:p w:rsidRPr="00700789" w:rsidR="001556E8" w:rsidP="00131848" w:rsidRDefault="001556E8" w14:paraId="76EF35BA" w14:textId="77777777">
            <w:pPr>
              <w:pStyle w:val="BodyText"/>
              <w:rPr>
                <w:rFonts w:cs="Arial" w:asciiTheme="minorHAnsi" w:hAnsiTheme="minorHAnsi"/>
                <w:sz w:val="20"/>
              </w:rPr>
            </w:pPr>
          </w:p>
          <w:p w:rsidRPr="00700789" w:rsidR="001556E8" w:rsidP="00131848" w:rsidRDefault="001556E8" w14:paraId="51ED1648" w14:textId="77777777">
            <w:pPr>
              <w:pStyle w:val="BodyText"/>
              <w:rPr>
                <w:rFonts w:cs="Arial" w:asciiTheme="minorHAnsi" w:hAnsiTheme="minorHAnsi"/>
                <w:b/>
                <w:sz w:val="20"/>
              </w:rPr>
            </w:pPr>
            <w:r w:rsidRPr="00700789">
              <w:rPr>
                <w:rFonts w:cs="Arial" w:asciiTheme="minorHAnsi" w:hAnsiTheme="minorHAnsi"/>
                <w:b/>
                <w:sz w:val="20"/>
              </w:rPr>
              <w:t>IV BOLUS/LOADING DOSE</w:t>
            </w:r>
          </w:p>
          <w:p w:rsidRPr="00700789" w:rsidR="001556E8" w:rsidP="00131848" w:rsidRDefault="001556E8" w14:paraId="0F7CAFC9" w14:textId="77777777">
            <w:pPr>
              <w:pStyle w:val="BodyText"/>
              <w:rPr>
                <w:rFonts w:cs="Arial" w:asciiTheme="minorHAnsi" w:hAnsiTheme="minorHAnsi"/>
                <w:b/>
                <w:sz w:val="20"/>
              </w:rPr>
            </w:pPr>
            <w:r w:rsidRPr="00700789">
              <w:rPr>
                <w:rFonts w:cs="Arial" w:asciiTheme="minorHAnsi" w:hAnsiTheme="minorHAnsi"/>
                <w:b/>
                <w:sz w:val="20"/>
              </w:rPr>
              <w:t>Neonates &lt; 1 kg</w:t>
            </w:r>
          </w:p>
          <w:p w:rsidRPr="00700789" w:rsidR="001556E8" w:rsidP="00131848" w:rsidRDefault="001556E8" w14:paraId="3D706D83" w14:textId="77777777">
            <w:pPr>
              <w:pStyle w:val="BodyText"/>
              <w:rPr>
                <w:rFonts w:asciiTheme="minorHAnsi" w:hAnsiTheme="minorHAnsi"/>
                <w:sz w:val="20"/>
              </w:rPr>
            </w:pPr>
            <w:r w:rsidRPr="00700789">
              <w:rPr>
                <w:rFonts w:asciiTheme="minorHAnsi" w:hAnsiTheme="minorHAnsi"/>
                <w:sz w:val="20"/>
              </w:rPr>
              <w:t>Draw up 1 mL (50 microgram fentanyl)) and add 24 mL sodium chloride 0.9% to make a final volume of 25 mL with a concentration of 2 microgram/mL.</w:t>
            </w:r>
          </w:p>
          <w:p w:rsidRPr="00700789" w:rsidR="001556E8" w:rsidP="00131848" w:rsidRDefault="001556E8" w14:paraId="1D261CF9" w14:textId="77777777">
            <w:pPr>
              <w:pStyle w:val="BodyText"/>
              <w:rPr>
                <w:rFonts w:asciiTheme="minorHAnsi" w:hAnsiTheme="minorHAnsi"/>
                <w:sz w:val="20"/>
              </w:rPr>
            </w:pPr>
          </w:p>
          <w:p w:rsidRPr="00700789" w:rsidR="001556E8" w:rsidP="00131848" w:rsidRDefault="001556E8" w14:paraId="5A3242E3" w14:textId="77777777">
            <w:pPr>
              <w:pStyle w:val="BodyText"/>
              <w:rPr>
                <w:rFonts w:asciiTheme="minorHAnsi" w:hAnsiTheme="minorHAnsi"/>
                <w:b/>
                <w:sz w:val="20"/>
              </w:rPr>
            </w:pPr>
            <w:r w:rsidRPr="00700789">
              <w:rPr>
                <w:rFonts w:asciiTheme="minorHAnsi" w:hAnsiTheme="minorHAnsi"/>
                <w:b/>
                <w:sz w:val="20"/>
              </w:rPr>
              <w:t>Neonates ≥ 1 kg</w:t>
            </w:r>
          </w:p>
          <w:p w:rsidRPr="00700789" w:rsidR="001556E8" w:rsidP="00131848" w:rsidRDefault="001556E8" w14:paraId="553CF4C7" w14:textId="77777777">
            <w:pPr>
              <w:pStyle w:val="BodyText"/>
              <w:rPr>
                <w:rFonts w:asciiTheme="minorHAnsi" w:hAnsiTheme="minorHAnsi"/>
                <w:sz w:val="20"/>
              </w:rPr>
            </w:pPr>
            <w:r w:rsidRPr="00700789">
              <w:rPr>
                <w:rFonts w:asciiTheme="minorHAnsi" w:hAnsiTheme="minorHAnsi"/>
                <w:sz w:val="20"/>
              </w:rPr>
              <w:lastRenderedPageBreak/>
              <w:t>Draw up 1 mL (50 microgram fentanyl)) and add 9 mL sodium chloride 0.9% to make a final volume of 10 mL with a concentration of 5 microgram/mL.</w:t>
            </w:r>
          </w:p>
          <w:p w:rsidRPr="00700789" w:rsidR="001556E8" w:rsidP="00131848" w:rsidRDefault="001556E8" w14:paraId="1E8748DE" w14:textId="77777777">
            <w:pPr>
              <w:pStyle w:val="BodyText"/>
              <w:rPr>
                <w:rFonts w:asciiTheme="minorHAnsi" w:hAnsiTheme="minorHAnsi"/>
                <w:sz w:val="20"/>
              </w:rPr>
            </w:pPr>
          </w:p>
          <w:p w:rsidRPr="00700789" w:rsidR="001556E8" w:rsidP="00131848" w:rsidRDefault="001556E8" w14:paraId="47032691" w14:textId="77777777">
            <w:pPr>
              <w:pStyle w:val="BodyText"/>
              <w:rPr>
                <w:rFonts w:cs="Arial" w:asciiTheme="minorHAnsi" w:hAnsiTheme="minorHAnsi"/>
                <w:b/>
                <w:sz w:val="20"/>
              </w:rPr>
            </w:pPr>
            <w:r w:rsidRPr="00700789">
              <w:rPr>
                <w:rFonts w:cs="Arial" w:asciiTheme="minorHAnsi" w:hAnsiTheme="minorHAnsi"/>
                <w:b/>
                <w:sz w:val="20"/>
              </w:rPr>
              <w:t>PRE-MEDICATION FOR INTUBATION</w:t>
            </w:r>
          </w:p>
          <w:p w:rsidRPr="00700789" w:rsidR="001556E8" w:rsidP="00131848" w:rsidRDefault="001556E8" w14:paraId="5EEB722C" w14:textId="77777777">
            <w:pPr>
              <w:pStyle w:val="BodyText"/>
              <w:rPr>
                <w:rFonts w:cs="Arial" w:asciiTheme="minorHAnsi" w:hAnsiTheme="minorHAnsi"/>
                <w:b/>
                <w:sz w:val="20"/>
              </w:rPr>
            </w:pPr>
            <w:r w:rsidRPr="00700789">
              <w:rPr>
                <w:rFonts w:asciiTheme="minorHAnsi" w:hAnsiTheme="minorHAnsi"/>
                <w:sz w:val="20"/>
              </w:rPr>
              <w:t>As above for IV bolus.</w:t>
            </w:r>
          </w:p>
        </w:tc>
      </w:tr>
      <w:tr w:rsidRPr="00700789" w:rsidR="001556E8" w:rsidTr="00DB0BE0" w14:paraId="2ED3B8A8" w14:textId="77777777">
        <w:trPr>
          <w:trHeight w:val="224"/>
        </w:trPr>
        <w:tc>
          <w:tcPr>
            <w:tcW w:w="1730" w:type="dxa"/>
          </w:tcPr>
          <w:p w:rsidRPr="00700789" w:rsidR="001556E8" w:rsidP="00131848" w:rsidRDefault="001556E8" w14:paraId="4058CDAA" w14:textId="77777777">
            <w:pPr>
              <w:pStyle w:val="BodyText"/>
              <w:rPr>
                <w:rFonts w:cs="Arial" w:asciiTheme="minorHAnsi" w:hAnsiTheme="minorHAnsi"/>
                <w:b/>
                <w:bCs/>
                <w:sz w:val="20"/>
              </w:rPr>
            </w:pPr>
            <w:r w:rsidRPr="00700789">
              <w:rPr>
                <w:rFonts w:cs="Arial" w:asciiTheme="minorHAnsi" w:hAnsiTheme="minorHAnsi"/>
                <w:b/>
                <w:bCs/>
                <w:sz w:val="20"/>
              </w:rPr>
              <w:lastRenderedPageBreak/>
              <w:t xml:space="preserve">Administration </w:t>
            </w:r>
          </w:p>
        </w:tc>
        <w:tc>
          <w:tcPr>
            <w:tcW w:w="7938" w:type="dxa"/>
          </w:tcPr>
          <w:p w:rsidRPr="00700789" w:rsidR="001556E8" w:rsidP="00131848" w:rsidRDefault="001556E8" w14:paraId="29D6C28F" w14:textId="77777777">
            <w:pPr>
              <w:pStyle w:val="BodyText"/>
              <w:rPr>
                <w:rFonts w:cs="Arial" w:asciiTheme="minorHAnsi" w:hAnsiTheme="minorHAnsi"/>
                <w:sz w:val="20"/>
              </w:rPr>
            </w:pPr>
            <w:r w:rsidRPr="00700789">
              <w:rPr>
                <w:rFonts w:cs="Arial" w:asciiTheme="minorHAnsi" w:hAnsiTheme="minorHAnsi"/>
                <w:sz w:val="20"/>
              </w:rPr>
              <w:t>Slow IV bolus over 3−5 minutes</w:t>
            </w:r>
          </w:p>
          <w:p w:rsidRPr="00700789" w:rsidR="001556E8" w:rsidP="00131848" w:rsidRDefault="001556E8" w14:paraId="2EF2AC96" w14:textId="77777777">
            <w:pPr>
              <w:pStyle w:val="BodyText"/>
              <w:rPr>
                <w:rFonts w:cs="Arial" w:asciiTheme="minorHAnsi" w:hAnsiTheme="minorHAnsi"/>
                <w:sz w:val="20"/>
              </w:rPr>
            </w:pPr>
            <w:r w:rsidRPr="00700789">
              <w:rPr>
                <w:rFonts w:cs="Arial" w:asciiTheme="minorHAnsi" w:hAnsiTheme="minorHAnsi"/>
                <w:sz w:val="20"/>
              </w:rPr>
              <w:t xml:space="preserve">Continuous IV infusion </w:t>
            </w:r>
          </w:p>
        </w:tc>
      </w:tr>
      <w:tr w:rsidRPr="00700789" w:rsidR="001556E8" w:rsidTr="00DB0BE0" w14:paraId="14FDA944" w14:textId="77777777">
        <w:trPr>
          <w:trHeight w:val="215"/>
        </w:trPr>
        <w:tc>
          <w:tcPr>
            <w:tcW w:w="1730" w:type="dxa"/>
          </w:tcPr>
          <w:p w:rsidRPr="00700789" w:rsidR="001556E8" w:rsidP="00131848" w:rsidRDefault="001556E8" w14:paraId="0B5FC76C" w14:textId="77777777">
            <w:pPr>
              <w:pStyle w:val="BodyText"/>
              <w:rPr>
                <w:rFonts w:cs="Arial" w:asciiTheme="minorHAnsi" w:hAnsiTheme="minorHAnsi"/>
                <w:b/>
                <w:bCs/>
                <w:sz w:val="20"/>
              </w:rPr>
            </w:pPr>
            <w:r w:rsidRPr="00700789">
              <w:rPr>
                <w:rFonts w:cs="Arial" w:asciiTheme="minorHAnsi" w:hAnsiTheme="minorHAnsi"/>
                <w:b/>
                <w:bCs/>
                <w:sz w:val="20"/>
              </w:rPr>
              <w:t>Monitoring</w:t>
            </w:r>
          </w:p>
        </w:tc>
        <w:tc>
          <w:tcPr>
            <w:tcW w:w="7938" w:type="dxa"/>
          </w:tcPr>
          <w:p w:rsidRPr="00700789" w:rsidR="001556E8" w:rsidP="00131848" w:rsidRDefault="001556E8" w14:paraId="74722B29" w14:textId="77777777">
            <w:pPr>
              <w:pStyle w:val="BodyText"/>
              <w:rPr>
                <w:rFonts w:cs="Arial" w:asciiTheme="minorHAnsi" w:hAnsiTheme="minorHAnsi"/>
                <w:sz w:val="20"/>
              </w:rPr>
            </w:pPr>
            <w:r w:rsidRPr="00700789">
              <w:rPr>
                <w:rFonts w:cs="Arial" w:asciiTheme="minorHAnsi" w:hAnsiTheme="minorHAnsi"/>
                <w:sz w:val="20"/>
              </w:rPr>
              <w:t>Hepatic and renal function.</w:t>
            </w:r>
          </w:p>
          <w:p w:rsidRPr="00700789" w:rsidR="001556E8" w:rsidP="00131848" w:rsidRDefault="001556E8" w14:paraId="5AEEB52F" w14:textId="77777777">
            <w:pPr>
              <w:pStyle w:val="BodyText"/>
              <w:rPr>
                <w:rFonts w:cs="Arial" w:asciiTheme="minorHAnsi" w:hAnsiTheme="minorHAnsi"/>
                <w:sz w:val="20"/>
              </w:rPr>
            </w:pPr>
            <w:r w:rsidRPr="00700789">
              <w:rPr>
                <w:rFonts w:cs="Arial" w:asciiTheme="minorHAnsi" w:hAnsiTheme="minorHAnsi"/>
                <w:sz w:val="20"/>
              </w:rPr>
              <w:t>Full cardiorespiratory monitoring is required.</w:t>
            </w:r>
          </w:p>
          <w:p w:rsidRPr="00700789" w:rsidR="001556E8" w:rsidP="00131848" w:rsidRDefault="001556E8" w14:paraId="12A9BE7E" w14:textId="77777777">
            <w:pPr>
              <w:pStyle w:val="BodyText"/>
              <w:rPr>
                <w:rFonts w:cs="Arial" w:asciiTheme="minorHAnsi" w:hAnsiTheme="minorHAnsi"/>
                <w:sz w:val="20"/>
              </w:rPr>
            </w:pPr>
            <w:r w:rsidRPr="00700789">
              <w:rPr>
                <w:rFonts w:cs="Arial" w:asciiTheme="minorHAnsi" w:hAnsiTheme="minorHAnsi"/>
                <w:sz w:val="20"/>
              </w:rPr>
              <w:t>Monitor for urinary retention.</w:t>
            </w:r>
          </w:p>
        </w:tc>
      </w:tr>
      <w:tr w:rsidRPr="00700789" w:rsidR="001556E8" w:rsidTr="00DB0BE0" w14:paraId="3EE9D9C5" w14:textId="77777777">
        <w:trPr>
          <w:trHeight w:val="342"/>
        </w:trPr>
        <w:tc>
          <w:tcPr>
            <w:tcW w:w="1730" w:type="dxa"/>
          </w:tcPr>
          <w:p w:rsidRPr="00700789" w:rsidR="001556E8" w:rsidP="00131848" w:rsidRDefault="001556E8" w14:paraId="62533FBC" w14:textId="77777777">
            <w:pPr>
              <w:pStyle w:val="BodyText"/>
              <w:rPr>
                <w:rFonts w:cs="Arial" w:asciiTheme="minorHAnsi" w:hAnsiTheme="minorHAnsi"/>
                <w:b/>
                <w:bCs/>
                <w:sz w:val="20"/>
              </w:rPr>
            </w:pPr>
            <w:r w:rsidRPr="00700789">
              <w:rPr>
                <w:rFonts w:cs="Arial" w:asciiTheme="minorHAnsi" w:hAnsiTheme="minorHAnsi"/>
                <w:b/>
                <w:bCs/>
                <w:sz w:val="20"/>
              </w:rPr>
              <w:t>Contraindications</w:t>
            </w:r>
          </w:p>
        </w:tc>
        <w:tc>
          <w:tcPr>
            <w:tcW w:w="7938" w:type="dxa"/>
          </w:tcPr>
          <w:p w:rsidRPr="00700789" w:rsidR="001556E8" w:rsidP="00131848" w:rsidRDefault="001556E8" w14:paraId="2EC10BAE" w14:textId="77777777">
            <w:pPr>
              <w:pStyle w:val="BodyText"/>
              <w:rPr>
                <w:rFonts w:cs="Arial" w:asciiTheme="minorHAnsi" w:hAnsiTheme="minorHAnsi"/>
                <w:sz w:val="20"/>
              </w:rPr>
            </w:pPr>
            <w:r w:rsidRPr="00700789">
              <w:rPr>
                <w:rFonts w:cs="Arial" w:asciiTheme="minorHAnsi" w:hAnsiTheme="minorHAnsi"/>
                <w:sz w:val="20"/>
              </w:rPr>
              <w:t>Known hypersensitivity to fentanyl.</w:t>
            </w:r>
          </w:p>
        </w:tc>
      </w:tr>
      <w:tr w:rsidRPr="00700789" w:rsidR="001556E8" w:rsidTr="00DB0BE0" w14:paraId="494D29EE" w14:textId="77777777">
        <w:tc>
          <w:tcPr>
            <w:tcW w:w="1730" w:type="dxa"/>
          </w:tcPr>
          <w:p w:rsidRPr="00700789" w:rsidR="001556E8" w:rsidP="00131848" w:rsidRDefault="001556E8" w14:paraId="2C541FF4" w14:textId="77777777">
            <w:pPr>
              <w:pStyle w:val="BodyText"/>
              <w:rPr>
                <w:rFonts w:cs="Arial" w:asciiTheme="minorHAnsi" w:hAnsiTheme="minorHAnsi"/>
                <w:b/>
                <w:bCs/>
                <w:sz w:val="20"/>
              </w:rPr>
            </w:pPr>
            <w:r w:rsidRPr="00700789">
              <w:rPr>
                <w:rFonts w:asciiTheme="minorHAnsi" w:hAnsiTheme="minorHAnsi"/>
                <w:sz w:val="20"/>
              </w:rPr>
              <w:br w:type="page"/>
            </w:r>
            <w:r w:rsidRPr="00700789">
              <w:rPr>
                <w:rFonts w:cs="Arial" w:asciiTheme="minorHAnsi" w:hAnsiTheme="minorHAnsi"/>
                <w:b/>
                <w:bCs/>
                <w:sz w:val="20"/>
              </w:rPr>
              <w:t>Precautions</w:t>
            </w:r>
          </w:p>
        </w:tc>
        <w:tc>
          <w:tcPr>
            <w:tcW w:w="7938" w:type="dxa"/>
          </w:tcPr>
          <w:p w:rsidRPr="00700789" w:rsidR="001556E8" w:rsidP="00131848" w:rsidRDefault="001556E8" w14:paraId="325A8EC3" w14:textId="77777777">
            <w:pPr>
              <w:pStyle w:val="BodyText"/>
              <w:rPr>
                <w:rFonts w:cs="Arial" w:asciiTheme="minorHAnsi" w:hAnsiTheme="minorHAnsi"/>
                <w:sz w:val="20"/>
              </w:rPr>
            </w:pPr>
            <w:r w:rsidRPr="00700789">
              <w:rPr>
                <w:rFonts w:cs="Arial" w:asciiTheme="minorHAnsi" w:hAnsiTheme="minorHAnsi"/>
                <w:sz w:val="20"/>
              </w:rPr>
              <w:t>Tolerance can occur with use &gt;5−7 days.</w:t>
            </w:r>
          </w:p>
          <w:p w:rsidRPr="00700789" w:rsidR="001556E8" w:rsidP="00131848" w:rsidRDefault="001556E8" w14:paraId="57238E61" w14:textId="77777777">
            <w:pPr>
              <w:pStyle w:val="BodyText"/>
              <w:rPr>
                <w:rFonts w:cs="Arial" w:asciiTheme="minorHAnsi" w:hAnsiTheme="minorHAnsi"/>
                <w:sz w:val="20"/>
              </w:rPr>
            </w:pPr>
            <w:r w:rsidRPr="00700789">
              <w:rPr>
                <w:rFonts w:cs="Arial" w:asciiTheme="minorHAnsi" w:hAnsiTheme="minorHAnsi"/>
                <w:sz w:val="20"/>
              </w:rPr>
              <w:t>Withdrawal has been reported in patients who have received continuous infusions for &gt;5days.</w:t>
            </w:r>
          </w:p>
          <w:p w:rsidRPr="00700789" w:rsidR="001556E8" w:rsidP="00131848" w:rsidRDefault="001556E8" w14:paraId="0A19FA48" w14:textId="77777777">
            <w:pPr>
              <w:pStyle w:val="BodyText"/>
              <w:rPr>
                <w:rFonts w:cs="Arial" w:asciiTheme="minorHAnsi" w:hAnsiTheme="minorHAnsi"/>
                <w:sz w:val="20"/>
              </w:rPr>
            </w:pPr>
            <w:r w:rsidRPr="00700789">
              <w:rPr>
                <w:rFonts w:cs="Arial" w:asciiTheme="minorHAnsi" w:hAnsiTheme="minorHAnsi"/>
                <w:sz w:val="20"/>
              </w:rPr>
              <w:t xml:space="preserve">Chest wall rigidity can occur at any dose. </w:t>
            </w:r>
          </w:p>
          <w:p w:rsidRPr="00700789" w:rsidR="001556E8" w:rsidP="00131848" w:rsidRDefault="001556E8" w14:paraId="21A343DF" w14:textId="77777777">
            <w:pPr>
              <w:pStyle w:val="BodyText"/>
              <w:rPr>
                <w:rFonts w:cs="Arial" w:asciiTheme="minorHAnsi" w:hAnsiTheme="minorHAnsi"/>
                <w:sz w:val="20"/>
              </w:rPr>
            </w:pPr>
            <w:r w:rsidRPr="00700789">
              <w:rPr>
                <w:rFonts w:cs="Arial" w:asciiTheme="minorHAnsi" w:hAnsiTheme="minorHAnsi"/>
                <w:sz w:val="20"/>
              </w:rPr>
              <w:t>May cause respiratory depression.</w:t>
            </w:r>
          </w:p>
          <w:p w:rsidRPr="00700789" w:rsidR="001556E8" w:rsidP="00131848" w:rsidRDefault="001556E8" w14:paraId="0F6F7FD5" w14:textId="77777777">
            <w:pPr>
              <w:pStyle w:val="BodyText"/>
              <w:rPr>
                <w:rFonts w:cs="Arial" w:asciiTheme="minorHAnsi" w:hAnsiTheme="minorHAnsi"/>
                <w:sz w:val="20"/>
              </w:rPr>
            </w:pPr>
            <w:r w:rsidRPr="00700789">
              <w:rPr>
                <w:rFonts w:cs="Arial" w:asciiTheme="minorHAnsi" w:hAnsiTheme="minorHAnsi"/>
                <w:sz w:val="20"/>
              </w:rPr>
              <w:t>May cause urinary retention.</w:t>
            </w:r>
          </w:p>
          <w:p w:rsidRPr="00700789" w:rsidR="001556E8" w:rsidP="00131848" w:rsidRDefault="001556E8" w14:paraId="4387BC3C" w14:textId="77777777">
            <w:pPr>
              <w:pStyle w:val="BodyText"/>
              <w:rPr>
                <w:rFonts w:cs="Arial" w:asciiTheme="minorHAnsi" w:hAnsiTheme="minorHAnsi"/>
                <w:sz w:val="20"/>
              </w:rPr>
            </w:pPr>
            <w:r w:rsidRPr="00700789">
              <w:rPr>
                <w:rFonts w:cs="Arial" w:asciiTheme="minorHAnsi" w:hAnsiTheme="minorHAnsi"/>
                <w:sz w:val="20"/>
              </w:rPr>
              <w:t>May decrease intestinal motility.</w:t>
            </w:r>
          </w:p>
        </w:tc>
      </w:tr>
      <w:tr w:rsidRPr="00700789" w:rsidR="001556E8" w:rsidTr="00DB0BE0" w14:paraId="3C4BA6C5" w14:textId="77777777">
        <w:trPr>
          <w:trHeight w:val="70"/>
        </w:trPr>
        <w:tc>
          <w:tcPr>
            <w:tcW w:w="1730" w:type="dxa"/>
          </w:tcPr>
          <w:p w:rsidRPr="00700789" w:rsidR="001556E8" w:rsidP="00131848" w:rsidRDefault="001556E8" w14:paraId="304E6B06" w14:textId="77777777">
            <w:pPr>
              <w:pStyle w:val="BodyText"/>
              <w:rPr>
                <w:rFonts w:cs="Arial" w:asciiTheme="minorHAnsi" w:hAnsiTheme="minorHAnsi"/>
                <w:b/>
                <w:bCs/>
                <w:sz w:val="20"/>
              </w:rPr>
            </w:pPr>
            <w:r w:rsidRPr="00700789">
              <w:rPr>
                <w:rFonts w:cs="Arial" w:asciiTheme="minorHAnsi" w:hAnsiTheme="minorHAnsi"/>
                <w:b/>
                <w:bCs/>
                <w:sz w:val="20"/>
              </w:rPr>
              <w:t>Drug interactions</w:t>
            </w:r>
          </w:p>
        </w:tc>
        <w:tc>
          <w:tcPr>
            <w:tcW w:w="7938" w:type="dxa"/>
          </w:tcPr>
          <w:p w:rsidRPr="00700789" w:rsidR="001556E8" w:rsidP="00131848" w:rsidRDefault="001556E8" w14:paraId="4B6C9DAB" w14:textId="77777777">
            <w:pPr>
              <w:pStyle w:val="BodyText"/>
              <w:rPr>
                <w:rFonts w:cs="Arial" w:asciiTheme="minorHAnsi" w:hAnsiTheme="minorHAnsi"/>
                <w:sz w:val="20"/>
              </w:rPr>
            </w:pPr>
            <w:r w:rsidRPr="00700789">
              <w:rPr>
                <w:rFonts w:cs="Arial" w:asciiTheme="minorHAnsi" w:hAnsiTheme="minorHAnsi"/>
                <w:sz w:val="20"/>
              </w:rPr>
              <w:t xml:space="preserve">Ketoconazole and erythromycin are potent inhibitors of fentanyl metabolism. </w:t>
            </w:r>
          </w:p>
          <w:p w:rsidRPr="00700789" w:rsidR="001556E8" w:rsidP="00131848" w:rsidRDefault="001556E8" w14:paraId="20E996D1" w14:textId="77777777">
            <w:pPr>
              <w:pStyle w:val="BodyText"/>
              <w:rPr>
                <w:rFonts w:cs="Arial" w:asciiTheme="minorHAnsi" w:hAnsiTheme="minorHAnsi"/>
                <w:sz w:val="20"/>
              </w:rPr>
            </w:pPr>
            <w:r w:rsidRPr="00700789">
              <w:rPr>
                <w:rFonts w:cs="Arial" w:asciiTheme="minorHAnsi" w:hAnsiTheme="minorHAnsi"/>
                <w:sz w:val="20"/>
              </w:rPr>
              <w:t>When given in combination with amiodarone can cause profound bradycardia, sinus arrest and hypotension.</w:t>
            </w:r>
          </w:p>
        </w:tc>
      </w:tr>
      <w:tr w:rsidRPr="00700789" w:rsidR="001556E8" w:rsidTr="00DB0BE0" w14:paraId="237E00C7" w14:textId="77777777">
        <w:trPr>
          <w:trHeight w:val="332"/>
        </w:trPr>
        <w:tc>
          <w:tcPr>
            <w:tcW w:w="1730" w:type="dxa"/>
          </w:tcPr>
          <w:p w:rsidRPr="00700789" w:rsidR="001556E8" w:rsidP="00131848" w:rsidRDefault="001556E8" w14:paraId="3D499B0C" w14:textId="77777777">
            <w:pPr>
              <w:pStyle w:val="BodyText"/>
              <w:rPr>
                <w:rFonts w:cs="Arial" w:asciiTheme="minorHAnsi" w:hAnsiTheme="minorHAnsi"/>
                <w:b/>
                <w:bCs/>
                <w:sz w:val="20"/>
              </w:rPr>
            </w:pPr>
            <w:r w:rsidRPr="00700789">
              <w:rPr>
                <w:rFonts w:cs="Arial" w:asciiTheme="minorHAnsi" w:hAnsiTheme="minorHAnsi"/>
                <w:b/>
                <w:bCs/>
                <w:sz w:val="20"/>
              </w:rPr>
              <w:t xml:space="preserve">Adverse reactions </w:t>
            </w:r>
          </w:p>
        </w:tc>
        <w:tc>
          <w:tcPr>
            <w:tcW w:w="7938" w:type="dxa"/>
          </w:tcPr>
          <w:p w:rsidRPr="00700789" w:rsidR="001556E8" w:rsidP="00131848" w:rsidRDefault="001556E8" w14:paraId="4BCE0023" w14:textId="77777777">
            <w:pPr>
              <w:pStyle w:val="BodyText"/>
              <w:rPr>
                <w:rFonts w:cs="Arial" w:asciiTheme="minorHAnsi" w:hAnsiTheme="minorHAnsi"/>
                <w:sz w:val="20"/>
              </w:rPr>
            </w:pPr>
            <w:r w:rsidRPr="00700789">
              <w:rPr>
                <w:rFonts w:cs="Arial" w:asciiTheme="minorHAnsi" w:hAnsiTheme="minorHAnsi"/>
                <w:sz w:val="20"/>
              </w:rPr>
              <w:t>Nausea and/or vomiting</w:t>
            </w:r>
          </w:p>
          <w:p w:rsidRPr="00700789" w:rsidR="001556E8" w:rsidP="00131848" w:rsidRDefault="001556E8" w14:paraId="38E82452" w14:textId="77777777">
            <w:pPr>
              <w:pStyle w:val="BodyText"/>
              <w:rPr>
                <w:rFonts w:cs="Arial" w:asciiTheme="minorHAnsi" w:hAnsiTheme="minorHAnsi"/>
                <w:sz w:val="20"/>
              </w:rPr>
            </w:pPr>
            <w:r w:rsidRPr="00700789">
              <w:rPr>
                <w:rFonts w:cs="Arial" w:asciiTheme="minorHAnsi" w:hAnsiTheme="minorHAnsi"/>
                <w:sz w:val="20"/>
              </w:rPr>
              <w:t xml:space="preserve">Muscle/chest wall rigidity (usually naloxone responsive). Naloxone 0.01−0.04 mg/kg reversed muscle rigidity immediately allowing resuscitation in a case series of 8 patients. </w:t>
            </w:r>
          </w:p>
          <w:p w:rsidRPr="00700789" w:rsidR="001556E8" w:rsidP="00131848" w:rsidRDefault="001556E8" w14:paraId="3CC61CF4" w14:textId="77777777">
            <w:pPr>
              <w:pStyle w:val="BodyText"/>
              <w:rPr>
                <w:rFonts w:cs="Arial" w:asciiTheme="minorHAnsi" w:hAnsiTheme="minorHAnsi"/>
                <w:sz w:val="20"/>
              </w:rPr>
            </w:pPr>
            <w:r w:rsidRPr="00700789">
              <w:rPr>
                <w:rFonts w:cs="Arial" w:asciiTheme="minorHAnsi" w:hAnsiTheme="minorHAnsi"/>
                <w:sz w:val="20"/>
              </w:rPr>
              <w:t>At high doses can cause neuro-excitation and rarely seizure like activity/myoclonic movements.</w:t>
            </w:r>
          </w:p>
          <w:p w:rsidRPr="00700789" w:rsidR="001556E8" w:rsidP="00131848" w:rsidRDefault="001556E8" w14:paraId="17519B34" w14:textId="77777777">
            <w:pPr>
              <w:pStyle w:val="BodyText"/>
              <w:rPr>
                <w:rFonts w:cs="Arial" w:asciiTheme="minorHAnsi" w:hAnsiTheme="minorHAnsi"/>
                <w:sz w:val="20"/>
              </w:rPr>
            </w:pPr>
            <w:r w:rsidRPr="00700789">
              <w:rPr>
                <w:rFonts w:cs="Arial" w:asciiTheme="minorHAnsi" w:hAnsiTheme="minorHAnsi"/>
                <w:sz w:val="20"/>
              </w:rPr>
              <w:t>Respiratory depression.</w:t>
            </w:r>
          </w:p>
          <w:p w:rsidRPr="00700789" w:rsidR="001556E8" w:rsidP="00131848" w:rsidRDefault="001556E8" w14:paraId="30BBD636" w14:textId="77777777">
            <w:pPr>
              <w:pStyle w:val="BodyText"/>
              <w:rPr>
                <w:rFonts w:cs="Arial" w:asciiTheme="minorHAnsi" w:hAnsiTheme="minorHAnsi"/>
                <w:sz w:val="20"/>
              </w:rPr>
            </w:pPr>
            <w:r w:rsidRPr="00700789">
              <w:rPr>
                <w:rFonts w:cs="Arial" w:asciiTheme="minorHAnsi" w:hAnsiTheme="minorHAnsi"/>
                <w:sz w:val="20"/>
              </w:rPr>
              <w:t>Bradycardia (usually atropine responsive).</w:t>
            </w:r>
          </w:p>
          <w:p w:rsidRPr="00700789" w:rsidR="001556E8" w:rsidP="00131848" w:rsidRDefault="001556E8" w14:paraId="31159190" w14:textId="77777777">
            <w:pPr>
              <w:pStyle w:val="BodyText"/>
              <w:rPr>
                <w:rFonts w:cs="Arial" w:asciiTheme="minorHAnsi" w:hAnsiTheme="minorHAnsi"/>
                <w:sz w:val="20"/>
              </w:rPr>
            </w:pPr>
            <w:r w:rsidRPr="00700789">
              <w:rPr>
                <w:rFonts w:cs="Arial" w:asciiTheme="minorHAnsi" w:hAnsiTheme="minorHAnsi"/>
                <w:sz w:val="20"/>
              </w:rPr>
              <w:t>Urinary retention.</w:t>
            </w:r>
          </w:p>
        </w:tc>
      </w:tr>
      <w:tr w:rsidRPr="00700789" w:rsidR="001556E8" w:rsidTr="00DB0BE0" w14:paraId="0BEE28B0" w14:textId="77777777">
        <w:trPr>
          <w:trHeight w:val="180"/>
        </w:trPr>
        <w:tc>
          <w:tcPr>
            <w:tcW w:w="1730" w:type="dxa"/>
          </w:tcPr>
          <w:p w:rsidRPr="00700789" w:rsidR="001556E8" w:rsidP="00131848" w:rsidRDefault="001556E8" w14:paraId="33F0A65D" w14:textId="77777777">
            <w:pPr>
              <w:pStyle w:val="BodyText"/>
              <w:rPr>
                <w:rFonts w:cs="Arial" w:asciiTheme="minorHAnsi" w:hAnsiTheme="minorHAnsi"/>
                <w:b/>
                <w:bCs/>
                <w:sz w:val="20"/>
              </w:rPr>
            </w:pPr>
            <w:r w:rsidRPr="00700789">
              <w:rPr>
                <w:rFonts w:cs="Arial" w:asciiTheme="minorHAnsi" w:hAnsiTheme="minorHAnsi"/>
                <w:b/>
                <w:bCs/>
                <w:sz w:val="20"/>
              </w:rPr>
              <w:t>Compatibility</w:t>
            </w:r>
          </w:p>
        </w:tc>
        <w:tc>
          <w:tcPr>
            <w:tcW w:w="7938" w:type="dxa"/>
          </w:tcPr>
          <w:p w:rsidRPr="00700789" w:rsidR="001556E8" w:rsidP="00131848" w:rsidRDefault="001556E8" w14:paraId="322B0FFC" w14:textId="77777777">
            <w:pPr>
              <w:pStyle w:val="BodyText"/>
              <w:rPr>
                <w:rFonts w:cs="Arial" w:asciiTheme="minorHAnsi" w:hAnsiTheme="minorHAnsi"/>
                <w:sz w:val="20"/>
              </w:rPr>
            </w:pPr>
            <w:r w:rsidRPr="00700789">
              <w:rPr>
                <w:rFonts w:cs="Arial" w:asciiTheme="minorHAnsi" w:hAnsiTheme="minorHAnsi"/>
                <w:b/>
                <w:sz w:val="20"/>
              </w:rPr>
              <w:t>Fluids:</w:t>
            </w:r>
            <w:r w:rsidRPr="00700789">
              <w:rPr>
                <w:rFonts w:cs="Arial" w:asciiTheme="minorHAnsi" w:hAnsiTheme="minorHAnsi"/>
                <w:sz w:val="20"/>
              </w:rPr>
              <w:t xml:space="preserve"> Sodium chloride 0.9%, glucose 5%, glucose 10% (not tested)</w:t>
            </w:r>
          </w:p>
          <w:p w:rsidRPr="00700789" w:rsidR="001556E8" w:rsidP="00131848" w:rsidRDefault="001556E8" w14:paraId="3910F3FD" w14:textId="77777777">
            <w:pPr>
              <w:pStyle w:val="BodyText"/>
              <w:rPr>
                <w:rFonts w:cs="Arial" w:asciiTheme="minorHAnsi" w:hAnsiTheme="minorHAnsi"/>
                <w:sz w:val="20"/>
              </w:rPr>
            </w:pPr>
          </w:p>
          <w:p w:rsidRPr="00700789" w:rsidR="001556E8" w:rsidP="00131848" w:rsidRDefault="001556E8" w14:paraId="5A6D08A6" w14:textId="77777777">
            <w:pPr>
              <w:pStyle w:val="BodyText"/>
              <w:rPr>
                <w:rFonts w:cs="Helvetica" w:asciiTheme="minorHAnsi" w:hAnsiTheme="minorHAnsi"/>
                <w:sz w:val="20"/>
              </w:rPr>
            </w:pPr>
            <w:r w:rsidRPr="00700789">
              <w:rPr>
                <w:rFonts w:cs="Arial" w:asciiTheme="minorHAnsi" w:hAnsiTheme="minorHAnsi"/>
                <w:b/>
                <w:sz w:val="20"/>
              </w:rPr>
              <w:t>Y-site</w:t>
            </w:r>
            <w:r w:rsidRPr="00700789">
              <w:rPr>
                <w:rFonts w:cs="Arial" w:asciiTheme="minorHAnsi" w:hAnsiTheme="minorHAnsi"/>
                <w:sz w:val="20"/>
              </w:rPr>
              <w:t xml:space="preserve"> (16,17): </w:t>
            </w:r>
            <w:r w:rsidRPr="00700789">
              <w:rPr>
                <w:rFonts w:cs="Helvetica" w:asciiTheme="minorHAnsi" w:hAnsiTheme="minorHAnsi"/>
                <w:sz w:val="20"/>
              </w:rPr>
              <w:t xml:space="preserve">Acetaminophen, acyclovir, alfentanil, alprostadil, amikacin, amiodarone, amphotericin B lipid complex, amphotericin B liposome, ascorbic acid, atenolol, atropine, azathioprine, aztreonam,  caffeine citrate, calcium chloride, calcium gluconate, caspofungin, cefalotin, cefazolin, cefotaxime, cefoxitin, ceftazidime, ceftriaxone, ciclosporin, clindamycin, clonidine, cloxacillin, dexamethasone, dexmedetomidine, digoxin, diltiazem, dobutamine, dopamine, doxycycline, enalaprilat, epinephrine, epoeitin alfa, erythromycin lactobionate, fluconazole, fluorouracil, folic acid (sodium salt), fosphenytoin, furosemide, ganciclovir, gentamicin, glycopyrrolate, heparin, hydrocortisone sodium succinate, imipenem-cilastatin, indomethacin, insulin, labetolol, lidocaine, linezolid, lorazepam, magnesium sulfate, meropenem-vaborbactam, methylprednisolone sodium succinate, metronidazole, midazolam, milrinone, morphine sulfate, naloxone, netilmicin, nitroglycerin, nitroprusside sodium, norepinephrine, octreotide, oxacillin, pamidronate, pancuronium, papaverine, penicillin G sodium, penicillin G potassium, pentobarbital, phenobarbital, phenylephrine,  piperacillin, piperacillin-tazobactam, potassium chloride, potassium acetate, propofol, propranolol, protamine, pyridoxine, ranitidine, remifentanil, rocuronium, sodium acetate, sodium bicarbonate, streptokinase, succinylcholine, thiamine, thiopental, ticarcillin, tobramycin, tolazoline, urokinase, vancomycin, vasopressin, vecuronium, verapamil. </w:t>
            </w:r>
          </w:p>
          <w:p w:rsidRPr="00700789" w:rsidR="001556E8" w:rsidP="00131848" w:rsidRDefault="001556E8" w14:paraId="23F1BD0C" w14:textId="77777777">
            <w:pPr>
              <w:pStyle w:val="BodyText"/>
              <w:rPr>
                <w:rFonts w:cs="Arial" w:asciiTheme="minorHAnsi" w:hAnsiTheme="minorHAnsi"/>
                <w:b/>
                <w:sz w:val="20"/>
              </w:rPr>
            </w:pPr>
            <w:r w:rsidRPr="00700789">
              <w:rPr>
                <w:rFonts w:cs="Helvetica" w:asciiTheme="minorHAnsi" w:hAnsiTheme="minorHAnsi"/>
                <w:b/>
                <w:sz w:val="20"/>
              </w:rPr>
              <w:t>Variable compatibility:</w:t>
            </w:r>
            <w:r w:rsidRPr="00700789">
              <w:rPr>
                <w:rFonts w:cs="Helvetica" w:asciiTheme="minorHAnsi" w:hAnsiTheme="minorHAnsi"/>
                <w:sz w:val="20"/>
              </w:rPr>
              <w:t xml:space="preserve"> amphotericin B conventional colloidal, ampicillin, azithromycin, diazepam, hydralazine. </w:t>
            </w:r>
          </w:p>
        </w:tc>
      </w:tr>
      <w:tr w:rsidRPr="00700789" w:rsidR="001556E8" w:rsidTr="00DB0BE0" w14:paraId="557C654F" w14:textId="77777777">
        <w:trPr>
          <w:trHeight w:val="230"/>
        </w:trPr>
        <w:tc>
          <w:tcPr>
            <w:tcW w:w="1730" w:type="dxa"/>
          </w:tcPr>
          <w:p w:rsidRPr="00700789" w:rsidR="001556E8" w:rsidP="00131848" w:rsidRDefault="001556E8" w14:paraId="4A9BABAC" w14:textId="77777777">
            <w:pPr>
              <w:pStyle w:val="BodyText"/>
              <w:rPr>
                <w:rFonts w:cs="Arial" w:asciiTheme="minorHAnsi" w:hAnsiTheme="minorHAnsi"/>
                <w:b/>
                <w:bCs/>
                <w:sz w:val="20"/>
              </w:rPr>
            </w:pPr>
            <w:r w:rsidRPr="00700789">
              <w:rPr>
                <w:rFonts w:cs="Arial" w:asciiTheme="minorHAnsi" w:hAnsiTheme="minorHAnsi"/>
                <w:b/>
                <w:bCs/>
                <w:sz w:val="20"/>
              </w:rPr>
              <w:t>Incompatibility</w:t>
            </w:r>
          </w:p>
        </w:tc>
        <w:tc>
          <w:tcPr>
            <w:tcW w:w="7938" w:type="dxa"/>
          </w:tcPr>
          <w:p w:rsidRPr="00700789" w:rsidR="001556E8" w:rsidP="00131848" w:rsidRDefault="001556E8" w14:paraId="5115C71D" w14:textId="77777777">
            <w:pPr>
              <w:pStyle w:val="BodyText"/>
              <w:rPr>
                <w:rFonts w:cs="Arial" w:asciiTheme="minorHAnsi" w:hAnsiTheme="minorHAnsi"/>
                <w:sz w:val="20"/>
              </w:rPr>
            </w:pPr>
            <w:r w:rsidRPr="00700789">
              <w:rPr>
                <w:rFonts w:cs="Arial" w:asciiTheme="minorHAnsi" w:hAnsiTheme="minorHAnsi"/>
                <w:sz w:val="20"/>
              </w:rPr>
              <w:t>Fluids: No information.</w:t>
            </w:r>
          </w:p>
          <w:p w:rsidRPr="00700789" w:rsidR="001556E8" w:rsidP="00131848" w:rsidRDefault="001556E8" w14:paraId="4B849760" w14:textId="77777777">
            <w:pPr>
              <w:pStyle w:val="BodyText"/>
              <w:rPr>
                <w:rFonts w:cs="Arial" w:asciiTheme="minorHAnsi" w:hAnsiTheme="minorHAnsi"/>
                <w:sz w:val="20"/>
              </w:rPr>
            </w:pPr>
          </w:p>
          <w:p w:rsidRPr="00700789" w:rsidR="001556E8" w:rsidP="00131848" w:rsidRDefault="001556E8" w14:paraId="38B010AC" w14:textId="77777777">
            <w:pPr>
              <w:pStyle w:val="BodyText"/>
              <w:rPr>
                <w:rFonts w:cs="Arial" w:asciiTheme="minorHAnsi" w:hAnsiTheme="minorHAnsi"/>
                <w:sz w:val="20"/>
              </w:rPr>
            </w:pPr>
            <w:r w:rsidRPr="00700789">
              <w:rPr>
                <w:rFonts w:cs="Arial" w:asciiTheme="minorHAnsi" w:hAnsiTheme="minorHAnsi"/>
                <w:sz w:val="20"/>
              </w:rPr>
              <w:t xml:space="preserve">Y-site (16,17): </w:t>
            </w:r>
            <w:r w:rsidRPr="00700789">
              <w:rPr>
                <w:rFonts w:cs="Helvetica" w:asciiTheme="minorHAnsi" w:hAnsiTheme="minorHAnsi"/>
                <w:sz w:val="20"/>
              </w:rPr>
              <w:t>Diazoxide, pantoprazole, phenytoin, sulfamethoxazole-trimethoprim.</w:t>
            </w:r>
          </w:p>
        </w:tc>
      </w:tr>
      <w:tr w:rsidRPr="00700789" w:rsidR="001556E8" w:rsidTr="00DB0BE0" w14:paraId="4CF3376A" w14:textId="77777777">
        <w:trPr>
          <w:trHeight w:val="79"/>
        </w:trPr>
        <w:tc>
          <w:tcPr>
            <w:tcW w:w="1730" w:type="dxa"/>
          </w:tcPr>
          <w:p w:rsidRPr="00700789" w:rsidR="001556E8" w:rsidP="00131848" w:rsidRDefault="001556E8" w14:paraId="204764D6" w14:textId="77777777">
            <w:pPr>
              <w:pStyle w:val="BodyText"/>
              <w:rPr>
                <w:rFonts w:cs="Arial" w:asciiTheme="minorHAnsi" w:hAnsiTheme="minorHAnsi"/>
                <w:b/>
                <w:bCs/>
                <w:sz w:val="20"/>
              </w:rPr>
            </w:pPr>
            <w:r w:rsidRPr="00700789">
              <w:rPr>
                <w:rFonts w:cs="Arial" w:asciiTheme="minorHAnsi" w:hAnsiTheme="minorHAnsi"/>
                <w:b/>
                <w:bCs/>
                <w:sz w:val="20"/>
              </w:rPr>
              <w:t>Stability</w:t>
            </w:r>
          </w:p>
        </w:tc>
        <w:tc>
          <w:tcPr>
            <w:tcW w:w="7938" w:type="dxa"/>
          </w:tcPr>
          <w:p w:rsidRPr="00700789" w:rsidR="001556E8" w:rsidP="00131848" w:rsidRDefault="001556E8" w14:paraId="6DF4371D" w14:textId="77777777">
            <w:pPr>
              <w:pStyle w:val="BodyText"/>
              <w:rPr>
                <w:rFonts w:cs="Arial" w:asciiTheme="minorHAnsi" w:hAnsiTheme="minorHAnsi"/>
                <w:sz w:val="20"/>
              </w:rPr>
            </w:pPr>
            <w:r w:rsidRPr="00700789">
              <w:rPr>
                <w:rFonts w:cs="Arial" w:asciiTheme="minorHAnsi" w:hAnsiTheme="minorHAnsi"/>
                <w:sz w:val="20"/>
              </w:rPr>
              <w:t>Protect from light.</w:t>
            </w:r>
          </w:p>
        </w:tc>
      </w:tr>
      <w:tr w:rsidRPr="00700789" w:rsidR="001556E8" w:rsidTr="00DB0BE0" w14:paraId="60B88389" w14:textId="77777777">
        <w:trPr>
          <w:trHeight w:val="70"/>
        </w:trPr>
        <w:tc>
          <w:tcPr>
            <w:tcW w:w="1730" w:type="dxa"/>
          </w:tcPr>
          <w:p w:rsidRPr="00700789" w:rsidR="001556E8" w:rsidP="00131848" w:rsidRDefault="001556E8" w14:paraId="29A1BC4B" w14:textId="77777777">
            <w:pPr>
              <w:pStyle w:val="BodyText"/>
              <w:rPr>
                <w:rFonts w:cs="Arial" w:asciiTheme="minorHAnsi" w:hAnsiTheme="minorHAnsi"/>
                <w:b/>
                <w:bCs/>
                <w:sz w:val="20"/>
              </w:rPr>
            </w:pPr>
            <w:r w:rsidRPr="00700789">
              <w:rPr>
                <w:rFonts w:cs="Arial" w:asciiTheme="minorHAnsi" w:hAnsiTheme="minorHAnsi"/>
                <w:b/>
                <w:bCs/>
                <w:sz w:val="20"/>
              </w:rPr>
              <w:lastRenderedPageBreak/>
              <w:t xml:space="preserve">Storage </w:t>
            </w:r>
          </w:p>
        </w:tc>
        <w:tc>
          <w:tcPr>
            <w:tcW w:w="7938" w:type="dxa"/>
          </w:tcPr>
          <w:p w:rsidRPr="00700789" w:rsidR="001556E8" w:rsidP="00131848" w:rsidRDefault="001556E8" w14:paraId="3CC15A78" w14:textId="77777777">
            <w:pPr>
              <w:pStyle w:val="BodyText"/>
              <w:rPr>
                <w:rFonts w:cs="Arial" w:asciiTheme="minorHAnsi" w:hAnsiTheme="minorHAnsi"/>
                <w:sz w:val="20"/>
              </w:rPr>
            </w:pPr>
            <w:r w:rsidRPr="00700789">
              <w:rPr>
                <w:rFonts w:asciiTheme="minorHAnsi" w:hAnsiTheme="minorHAnsi"/>
                <w:sz w:val="20"/>
              </w:rPr>
              <w:t>Ampoule: Store below 25°C. Protect from light.</w:t>
            </w:r>
            <w:r w:rsidRPr="00700789">
              <w:rPr>
                <w:rFonts w:asciiTheme="minorHAnsi" w:hAnsiTheme="minorHAnsi"/>
                <w:sz w:val="20"/>
              </w:rPr>
              <w:br/>
            </w:r>
            <w:r w:rsidRPr="00700789">
              <w:rPr>
                <w:rFonts w:asciiTheme="minorHAnsi" w:hAnsiTheme="minorHAnsi"/>
                <w:sz w:val="20"/>
              </w:rPr>
              <w:t>Discard remainder after use (in line with S8 drug legislation).</w:t>
            </w:r>
            <w:r w:rsidRPr="00700789">
              <w:rPr>
                <w:rFonts w:asciiTheme="minorHAnsi" w:hAnsiTheme="minorHAnsi"/>
                <w:sz w:val="20"/>
              </w:rPr>
              <w:br/>
            </w:r>
            <w:r w:rsidRPr="00700789">
              <w:rPr>
                <w:rFonts w:asciiTheme="minorHAnsi" w:hAnsiTheme="minorHAnsi"/>
                <w:sz w:val="20"/>
              </w:rPr>
              <w:t>Store in Dangerous Drug (DD) safe and record use in DD register.</w:t>
            </w:r>
          </w:p>
        </w:tc>
      </w:tr>
      <w:tr w:rsidRPr="00700789" w:rsidR="001556E8" w:rsidTr="00DB0BE0" w14:paraId="0C934E3A" w14:textId="77777777">
        <w:trPr>
          <w:trHeight w:val="70"/>
        </w:trPr>
        <w:tc>
          <w:tcPr>
            <w:tcW w:w="1730" w:type="dxa"/>
          </w:tcPr>
          <w:p w:rsidRPr="00700789" w:rsidR="001556E8" w:rsidP="00131848" w:rsidRDefault="001556E8" w14:paraId="219B05B9" w14:textId="77777777">
            <w:pPr>
              <w:pStyle w:val="BodyText"/>
              <w:rPr>
                <w:rFonts w:cs="Arial" w:asciiTheme="minorHAnsi" w:hAnsiTheme="minorHAnsi"/>
                <w:b/>
                <w:bCs/>
                <w:sz w:val="20"/>
              </w:rPr>
            </w:pPr>
            <w:r w:rsidRPr="00700789">
              <w:rPr>
                <w:rFonts w:cs="Arial" w:asciiTheme="minorHAnsi" w:hAnsiTheme="minorHAnsi"/>
                <w:b/>
                <w:bCs/>
                <w:sz w:val="20"/>
              </w:rPr>
              <w:t>Excipients</w:t>
            </w:r>
          </w:p>
        </w:tc>
        <w:tc>
          <w:tcPr>
            <w:tcW w:w="7938" w:type="dxa"/>
          </w:tcPr>
          <w:p w:rsidRPr="00700789" w:rsidR="001556E8" w:rsidP="00131848" w:rsidRDefault="001556E8" w14:paraId="533753B6" w14:textId="77777777">
            <w:pPr>
              <w:pStyle w:val="BodyText"/>
              <w:rPr>
                <w:rFonts w:cs="Arial" w:asciiTheme="minorHAnsi" w:hAnsiTheme="minorHAnsi"/>
                <w:sz w:val="20"/>
              </w:rPr>
            </w:pPr>
          </w:p>
        </w:tc>
      </w:tr>
      <w:tr w:rsidRPr="00700789" w:rsidR="001556E8" w:rsidTr="00DB0BE0" w14:paraId="5C566A0D" w14:textId="77777777">
        <w:trPr>
          <w:trHeight w:val="270"/>
        </w:trPr>
        <w:tc>
          <w:tcPr>
            <w:tcW w:w="1730" w:type="dxa"/>
          </w:tcPr>
          <w:p w:rsidRPr="00700789" w:rsidR="001556E8" w:rsidP="00131848" w:rsidRDefault="001556E8" w14:paraId="0A2CCA22" w14:textId="77777777">
            <w:pPr>
              <w:pStyle w:val="BodyText"/>
              <w:rPr>
                <w:rFonts w:cs="Arial" w:asciiTheme="minorHAnsi" w:hAnsiTheme="minorHAnsi"/>
                <w:b/>
                <w:bCs/>
                <w:sz w:val="20"/>
              </w:rPr>
            </w:pPr>
            <w:r w:rsidRPr="00700789">
              <w:rPr>
                <w:rFonts w:cs="Arial" w:asciiTheme="minorHAnsi" w:hAnsiTheme="minorHAnsi"/>
                <w:b/>
                <w:bCs/>
                <w:sz w:val="20"/>
              </w:rPr>
              <w:t xml:space="preserve">Special comments </w:t>
            </w:r>
          </w:p>
        </w:tc>
        <w:tc>
          <w:tcPr>
            <w:tcW w:w="7938" w:type="dxa"/>
          </w:tcPr>
          <w:p w:rsidRPr="00700789" w:rsidR="001556E8" w:rsidP="00131848" w:rsidRDefault="001556E8" w14:paraId="735343A1" w14:textId="77777777">
            <w:pPr>
              <w:pStyle w:val="BodyText"/>
              <w:rPr>
                <w:rFonts w:cs="Arial" w:asciiTheme="minorHAnsi" w:hAnsiTheme="minorHAnsi"/>
                <w:sz w:val="20"/>
              </w:rPr>
            </w:pPr>
          </w:p>
        </w:tc>
      </w:tr>
      <w:tr w:rsidRPr="00700789" w:rsidR="001556E8" w:rsidTr="00DB0BE0" w14:paraId="1458F24C" w14:textId="77777777">
        <w:trPr>
          <w:trHeight w:val="280"/>
        </w:trPr>
        <w:tc>
          <w:tcPr>
            <w:tcW w:w="1730" w:type="dxa"/>
          </w:tcPr>
          <w:p w:rsidRPr="00700789" w:rsidR="001556E8" w:rsidP="00131848" w:rsidRDefault="001556E8" w14:paraId="7A2F6A95" w14:textId="77777777">
            <w:pPr>
              <w:pStyle w:val="BodyText"/>
              <w:rPr>
                <w:rFonts w:cs="Arial" w:asciiTheme="minorHAnsi" w:hAnsiTheme="minorHAnsi"/>
                <w:b/>
                <w:bCs/>
                <w:sz w:val="20"/>
              </w:rPr>
            </w:pPr>
            <w:r w:rsidRPr="00700789">
              <w:rPr>
                <w:rFonts w:cs="Arial" w:asciiTheme="minorHAnsi" w:hAnsiTheme="minorHAnsi"/>
                <w:b/>
                <w:bCs/>
                <w:sz w:val="20"/>
              </w:rPr>
              <w:t>Evidence</w:t>
            </w:r>
          </w:p>
        </w:tc>
        <w:tc>
          <w:tcPr>
            <w:tcW w:w="7938" w:type="dxa"/>
          </w:tcPr>
          <w:p w:rsidRPr="00DB0BE0" w:rsidR="001556E8" w:rsidP="00131848" w:rsidRDefault="001556E8" w14:paraId="0818CB9F" w14:textId="77777777">
            <w:pPr>
              <w:pStyle w:val="BodyText"/>
              <w:rPr>
                <w:rFonts w:cs="Arial" w:asciiTheme="minorHAnsi" w:hAnsiTheme="minorHAnsi"/>
                <w:b/>
                <w:sz w:val="16"/>
                <w:szCs w:val="16"/>
              </w:rPr>
            </w:pPr>
            <w:r w:rsidRPr="00DB0BE0">
              <w:rPr>
                <w:rFonts w:cs="Arial" w:asciiTheme="minorHAnsi" w:hAnsiTheme="minorHAnsi"/>
                <w:b/>
                <w:sz w:val="16"/>
                <w:szCs w:val="16"/>
              </w:rPr>
              <w:t>Background</w:t>
            </w:r>
          </w:p>
          <w:p w:rsidRPr="00DB0BE0" w:rsidR="001556E8" w:rsidP="00131848" w:rsidRDefault="001556E8" w14:paraId="3A483F0C" w14:textId="77777777">
            <w:pPr>
              <w:pStyle w:val="BodyText"/>
              <w:rPr>
                <w:rFonts w:cs="Arial" w:asciiTheme="minorHAnsi" w:hAnsiTheme="minorHAnsi"/>
                <w:sz w:val="16"/>
                <w:szCs w:val="16"/>
              </w:rPr>
            </w:pPr>
            <w:r w:rsidRPr="00DB0BE0">
              <w:rPr>
                <w:rFonts w:cs="Arial" w:asciiTheme="minorHAnsi" w:hAnsiTheme="minorHAnsi"/>
                <w:sz w:val="16"/>
                <w:szCs w:val="16"/>
              </w:rPr>
              <w:t>Fentanyl is a synthetic opioid analgesic, used in neonates because of rapid analgesia, hemodynamic stability, blocking stress responses and preventing increases in pulmonary vascular resistance. Fentanyl is highly lipophilic, crosses the blood brain barrier rapidly, accumulates in fatty tissues, and causes less histamine release than morphine. Fentanyl has greater analgesic potency, a faster onset and shorter duration of action than morphine. Tolerance to fentanyl develops more rapidly than to morphine, requiring the escalation of doses during prolonged administration.(18)</w:t>
            </w:r>
          </w:p>
          <w:p w:rsidRPr="00DB0BE0" w:rsidR="001556E8" w:rsidP="00131848" w:rsidRDefault="001556E8" w14:paraId="00A77040" w14:textId="77777777">
            <w:pPr>
              <w:pStyle w:val="BodyText"/>
              <w:rPr>
                <w:rFonts w:cs="Arial" w:asciiTheme="minorHAnsi" w:hAnsiTheme="minorHAnsi"/>
                <w:b/>
                <w:sz w:val="16"/>
                <w:szCs w:val="16"/>
              </w:rPr>
            </w:pPr>
            <w:r w:rsidRPr="00DB0BE0">
              <w:rPr>
                <w:rFonts w:cs="Arial" w:asciiTheme="minorHAnsi" w:hAnsiTheme="minorHAnsi"/>
                <w:b/>
                <w:sz w:val="16"/>
                <w:szCs w:val="16"/>
              </w:rPr>
              <w:t>Efficacy</w:t>
            </w:r>
          </w:p>
          <w:p w:rsidRPr="00DB0BE0" w:rsidR="001556E8" w:rsidP="00131848" w:rsidRDefault="001556E8" w14:paraId="328A0644" w14:textId="77777777">
            <w:pPr>
              <w:pStyle w:val="BodyText"/>
              <w:rPr>
                <w:rFonts w:cs="Arial" w:asciiTheme="minorHAnsi" w:hAnsiTheme="minorHAnsi"/>
                <w:sz w:val="16"/>
                <w:szCs w:val="16"/>
              </w:rPr>
            </w:pPr>
            <w:r w:rsidRPr="00DB0BE0">
              <w:rPr>
                <w:rFonts w:cs="Arial" w:asciiTheme="minorHAnsi" w:hAnsiTheme="minorHAnsi"/>
                <w:b/>
                <w:sz w:val="16"/>
                <w:szCs w:val="16"/>
              </w:rPr>
              <w:t xml:space="preserve">Analgaesia: </w:t>
            </w:r>
            <w:r w:rsidRPr="00DB0BE0">
              <w:rPr>
                <w:rFonts w:cs="Arial" w:asciiTheme="minorHAnsi" w:hAnsiTheme="minorHAnsi"/>
                <w:sz w:val="16"/>
                <w:szCs w:val="16"/>
              </w:rPr>
              <w:t xml:space="preserve">Opioids are to be used selectively based on clinical judgment and evaluation of pain indicators, although there are limitations to pain measurement in newborns (1) (LOE 1 GOR B). </w:t>
            </w:r>
          </w:p>
          <w:p w:rsidRPr="00DB0BE0" w:rsidR="001556E8" w:rsidP="00131848" w:rsidRDefault="001556E8" w14:paraId="741F2F53" w14:textId="77777777">
            <w:pPr>
              <w:pStyle w:val="BodyText"/>
              <w:rPr>
                <w:rFonts w:cs="Arial" w:asciiTheme="minorHAnsi" w:hAnsiTheme="minorHAnsi"/>
                <w:sz w:val="16"/>
                <w:szCs w:val="16"/>
              </w:rPr>
            </w:pPr>
            <w:r w:rsidRPr="00DB0BE0">
              <w:rPr>
                <w:rFonts w:cs="Arial" w:asciiTheme="minorHAnsi" w:hAnsiTheme="minorHAnsi"/>
                <w:sz w:val="16"/>
                <w:szCs w:val="16"/>
              </w:rPr>
              <w:t>Continuous infusion of fentanyl 1.1 micrograms/kg/hour (range 0.5-2.0) in the post-operative period achieves acceptable pain control but there may be increased need for ventilator support (2) (LOE II, GOR C).</w:t>
            </w:r>
          </w:p>
          <w:p w:rsidRPr="00DB0BE0" w:rsidR="001556E8" w:rsidP="00131848" w:rsidRDefault="001556E8" w14:paraId="6B677993" w14:textId="77777777">
            <w:pPr>
              <w:pStyle w:val="BodyText"/>
              <w:rPr>
                <w:rFonts w:cs="Arial" w:asciiTheme="minorHAnsi" w:hAnsiTheme="minorHAnsi"/>
                <w:sz w:val="16"/>
                <w:szCs w:val="16"/>
              </w:rPr>
            </w:pPr>
            <w:r w:rsidRPr="00DB0BE0">
              <w:rPr>
                <w:rFonts w:cs="Arial" w:asciiTheme="minorHAnsi" w:hAnsiTheme="minorHAnsi"/>
                <w:b/>
                <w:sz w:val="16"/>
                <w:szCs w:val="16"/>
              </w:rPr>
              <w:t>Premedication for intubation:</w:t>
            </w:r>
            <w:r w:rsidRPr="00DB0BE0">
              <w:rPr>
                <w:rFonts w:cs="Arial" w:asciiTheme="minorHAnsi" w:hAnsiTheme="minorHAnsi"/>
                <w:sz w:val="16"/>
                <w:szCs w:val="16"/>
              </w:rPr>
              <w:t xml:space="preserve"> Combinations including fentanyl reported in several small trials (3-6) and a cohort study (7). Fentanyl 2 microgram/kg - succinylcholine 2 mg/kg - atropine 20 microgram/kg combination was reported to result in better intubation condition than remifentanil (3 microgram/kg) - atropine 20 microgram/kg in newborn infants. Chest wall rigidity was reported in both groups (3) [LOE II]. A review concluded, based on current evidence, an optimal protocol for premedication is to administer a vagolytic (intravenous atropine), a rapid-acting analgesic (IV fentanyl 3 μg/kg to 5 μg/kg; slow infusion) and a short-duration muscle relaxant (IV succinylcholine) (8). [LOE III-2 GOR C]</w:t>
            </w:r>
          </w:p>
          <w:p w:rsidRPr="00DB0BE0" w:rsidR="001556E8" w:rsidP="00131848" w:rsidRDefault="001556E8" w14:paraId="7BAFECB7" w14:textId="77777777">
            <w:pPr>
              <w:pStyle w:val="BodyText"/>
              <w:rPr>
                <w:rFonts w:cs="Arial" w:asciiTheme="minorHAnsi" w:hAnsiTheme="minorHAnsi"/>
                <w:sz w:val="16"/>
                <w:szCs w:val="16"/>
              </w:rPr>
            </w:pPr>
            <w:r w:rsidRPr="00DB0BE0">
              <w:rPr>
                <w:rFonts w:cs="Arial" w:asciiTheme="minorHAnsi" w:hAnsiTheme="minorHAnsi"/>
                <w:b/>
                <w:sz w:val="16"/>
                <w:szCs w:val="16"/>
              </w:rPr>
              <w:t>Analgaesia/sedation for mechanical ventilation:</w:t>
            </w:r>
            <w:r w:rsidRPr="00DB0BE0">
              <w:rPr>
                <w:rFonts w:cs="Arial" w:asciiTheme="minorHAnsi" w:hAnsiTheme="minorHAnsi"/>
                <w:sz w:val="16"/>
                <w:szCs w:val="16"/>
              </w:rPr>
              <w:t xml:space="preserve"> A short course of low dose fentanyl by infusion reduces behavioural sedation scores, O2 desaturations and neuroendocrine stress responses in preterm ventilated infants (9) (LOE II, GOR B). (2)In very preterm infants on mechanical ventilation, continuous fentanyl infusion plus boluses of fentanyl reduces acute pain and increases side effects but does not reduce prolonged pain compared with boluses of fentanyl alone (10) (LOE II GOR B). </w:t>
            </w:r>
          </w:p>
          <w:p w:rsidRPr="00DB0BE0" w:rsidR="001556E8" w:rsidP="00131848" w:rsidRDefault="001556E8" w14:paraId="27193379" w14:textId="77777777">
            <w:pPr>
              <w:pStyle w:val="BodyText"/>
              <w:rPr>
                <w:rFonts w:cs="Arial" w:asciiTheme="minorHAnsi" w:hAnsiTheme="minorHAnsi"/>
                <w:sz w:val="16"/>
                <w:szCs w:val="16"/>
              </w:rPr>
            </w:pPr>
            <w:r w:rsidRPr="00DB0BE0">
              <w:rPr>
                <w:rFonts w:cs="Arial" w:asciiTheme="minorHAnsi" w:hAnsiTheme="minorHAnsi"/>
                <w:b/>
                <w:sz w:val="16"/>
                <w:szCs w:val="16"/>
              </w:rPr>
              <w:t>Fentanyl versus morphine conversion factor:</w:t>
            </w:r>
            <w:r w:rsidRPr="00DB0BE0">
              <w:rPr>
                <w:rFonts w:cs="Arial" w:asciiTheme="minorHAnsi" w:hAnsiTheme="minorHAnsi"/>
                <w:sz w:val="16"/>
                <w:szCs w:val="16"/>
              </w:rPr>
              <w:t xml:space="preserve"> Exact conversion factor for converting fentanyl to morphine remains unknown with literature reporting up to 100:1 for a variety of age groups. A more conservative conversion factor of 10-20 has been found to be effective for neonates. (19,20)</w:t>
            </w:r>
          </w:p>
          <w:p w:rsidRPr="00DB0BE0" w:rsidR="001556E8" w:rsidP="00131848" w:rsidRDefault="001556E8" w14:paraId="0CD880B4" w14:textId="77777777">
            <w:pPr>
              <w:pStyle w:val="BodyText"/>
              <w:rPr>
                <w:rFonts w:cs="Arial" w:asciiTheme="minorHAnsi" w:hAnsiTheme="minorHAnsi"/>
                <w:sz w:val="16"/>
                <w:szCs w:val="16"/>
              </w:rPr>
            </w:pPr>
            <w:r w:rsidRPr="00DB0BE0">
              <w:rPr>
                <w:rFonts w:cs="Arial" w:asciiTheme="minorHAnsi" w:hAnsiTheme="minorHAnsi"/>
                <w:b/>
                <w:sz w:val="16"/>
                <w:szCs w:val="16"/>
              </w:rPr>
              <w:t xml:space="preserve">Fentanyl versus morphine analgesia: </w:t>
            </w:r>
            <w:r w:rsidRPr="00DB0BE0">
              <w:rPr>
                <w:rFonts w:cs="Arial" w:asciiTheme="minorHAnsi" w:hAnsiTheme="minorHAnsi"/>
                <w:sz w:val="16"/>
                <w:szCs w:val="16"/>
              </w:rPr>
              <w:t>In a randomized double-blind trial, neonates were allocated to receive a continuous infusion of fentanyl (10.5 microgram/kg over a 1-hour period followed by 1.5 microgram/kg/hr) or morphine (140 microgram/kg over a 1-hour period followed by 20 microgram/kg/hr) for at least 24 hours. The analgesic effect was similar in both groups. Decreased gastrointestinal motility was less frequent in the fentanyl group (23% vs 47%, P &lt; .01).(20)</w:t>
            </w:r>
          </w:p>
          <w:p w:rsidRPr="00DB0BE0" w:rsidR="001556E8" w:rsidP="00131848" w:rsidRDefault="001556E8" w14:paraId="68CE2166" w14:textId="77777777">
            <w:pPr>
              <w:pStyle w:val="BodyText"/>
              <w:rPr>
                <w:rFonts w:cs="Arial" w:asciiTheme="minorHAnsi" w:hAnsiTheme="minorHAnsi"/>
                <w:b/>
                <w:sz w:val="16"/>
                <w:szCs w:val="16"/>
              </w:rPr>
            </w:pPr>
            <w:r w:rsidRPr="00DB0BE0">
              <w:rPr>
                <w:rFonts w:cs="Arial" w:asciiTheme="minorHAnsi" w:hAnsiTheme="minorHAnsi"/>
                <w:b/>
                <w:sz w:val="16"/>
                <w:szCs w:val="16"/>
              </w:rPr>
              <w:t>Safety</w:t>
            </w:r>
          </w:p>
          <w:p w:rsidRPr="00DB0BE0" w:rsidR="001556E8" w:rsidP="00131848" w:rsidRDefault="001556E8" w14:paraId="46E4461B" w14:textId="77777777">
            <w:pPr>
              <w:pStyle w:val="BodyText"/>
              <w:rPr>
                <w:rFonts w:cs="Arial" w:asciiTheme="minorHAnsi" w:hAnsiTheme="minorHAnsi"/>
                <w:sz w:val="16"/>
                <w:szCs w:val="16"/>
              </w:rPr>
            </w:pPr>
            <w:r w:rsidRPr="00DB0BE0">
              <w:rPr>
                <w:rFonts w:cs="Arial" w:asciiTheme="minorHAnsi" w:hAnsiTheme="minorHAnsi"/>
                <w:sz w:val="16"/>
                <w:szCs w:val="16"/>
              </w:rPr>
              <w:t xml:space="preserve">Respiratory depression occurs when anaesthetic doses (greater than 5 microgram/kg/min) are used and may also occur unexpectedly because of redistribution. Chest wall rigidity has occurred in 4% of neonates who received doses of 2.2 to 6.5 microgram/kg, occasionally associated with laryngospasm (11) (LOE IV GOR D). This was reversible with administration of naloxone. When controlling for other variables, the cumulative fentanyl dose did not correlate with neurodevelopmental outcomes in very low birth weight infants (12) (LOE III GOR C). Tolerance may develop to analgesic doses (13). </w:t>
            </w:r>
          </w:p>
          <w:p w:rsidRPr="00DB0BE0" w:rsidR="001556E8" w:rsidP="00131848" w:rsidRDefault="001556E8" w14:paraId="3E6263E8" w14:textId="77777777">
            <w:pPr>
              <w:pStyle w:val="BodyText"/>
              <w:rPr>
                <w:rFonts w:cs="Arial" w:asciiTheme="minorHAnsi" w:hAnsiTheme="minorHAnsi"/>
                <w:sz w:val="16"/>
                <w:szCs w:val="16"/>
              </w:rPr>
            </w:pPr>
            <w:r w:rsidRPr="00DB0BE0">
              <w:rPr>
                <w:rFonts w:cs="Arial" w:asciiTheme="minorHAnsi" w:hAnsiTheme="minorHAnsi"/>
                <w:sz w:val="16"/>
                <w:szCs w:val="16"/>
              </w:rPr>
              <w:t>Significant withdrawal symptoms have been reported in patients treated with continuous infusion and was universal for infants receiving &gt;2.5 mg or &gt;9 days infusion (14). [LOE IV GOR D]</w:t>
            </w:r>
          </w:p>
          <w:p w:rsidRPr="00DB0BE0" w:rsidR="001556E8" w:rsidP="00131848" w:rsidRDefault="001556E8" w14:paraId="5F9F9CE9" w14:textId="77777777">
            <w:pPr>
              <w:pStyle w:val="BodyText"/>
              <w:rPr>
                <w:rFonts w:cs="Arial" w:asciiTheme="minorHAnsi" w:hAnsiTheme="minorHAnsi"/>
                <w:b/>
                <w:sz w:val="16"/>
                <w:szCs w:val="16"/>
              </w:rPr>
            </w:pPr>
            <w:r w:rsidRPr="00DB0BE0">
              <w:rPr>
                <w:rFonts w:cs="Arial" w:asciiTheme="minorHAnsi" w:hAnsiTheme="minorHAnsi"/>
                <w:b/>
                <w:sz w:val="16"/>
                <w:szCs w:val="16"/>
              </w:rPr>
              <w:t xml:space="preserve">Pharmacokinetics </w:t>
            </w:r>
          </w:p>
          <w:p w:rsidRPr="00DB0BE0" w:rsidR="001556E8" w:rsidP="00131848" w:rsidRDefault="001556E8" w14:paraId="09538A7D" w14:textId="77777777">
            <w:pPr>
              <w:pStyle w:val="BodyText"/>
              <w:rPr>
                <w:rFonts w:cs="Arial" w:asciiTheme="minorHAnsi" w:hAnsiTheme="minorHAnsi"/>
                <w:sz w:val="16"/>
                <w:szCs w:val="16"/>
              </w:rPr>
            </w:pPr>
            <w:r w:rsidRPr="00DB0BE0">
              <w:rPr>
                <w:rFonts w:cs="Arial" w:asciiTheme="minorHAnsi" w:hAnsiTheme="minorHAnsi"/>
                <w:sz w:val="16"/>
                <w:szCs w:val="16"/>
              </w:rPr>
              <w:t>Fentanyl is metabolised in the liver (CYP3A4) and excreted in the urine. Half-life was 9.5 hours (range 5.7 to 12.7 hours). There is significant correlation between postnatal age and total body clearance (15).</w:t>
            </w:r>
          </w:p>
          <w:p w:rsidRPr="00DB0BE0" w:rsidR="001556E8" w:rsidP="00131848" w:rsidRDefault="001556E8" w14:paraId="64F489D7" w14:textId="77777777">
            <w:pPr>
              <w:pStyle w:val="BodyText"/>
              <w:rPr>
                <w:rFonts w:cs="Arial" w:asciiTheme="minorHAnsi" w:hAnsiTheme="minorHAnsi"/>
                <w:sz w:val="16"/>
                <w:szCs w:val="16"/>
              </w:rPr>
            </w:pPr>
            <w:r w:rsidRPr="00DB0BE0">
              <w:rPr>
                <w:rFonts w:cs="Arial" w:asciiTheme="minorHAnsi" w:hAnsiTheme="minorHAnsi"/>
                <w:sz w:val="16"/>
                <w:szCs w:val="16"/>
              </w:rPr>
              <w:t>Fentanyl clearance is very low during the first days of life in very preterm infants which can lead to accumulation of the drug. Clearance increases with gestational age as well as with postnatal age. Bodyweight-based fentanyl dose needs to be reduced during the first days of life to achieve comparable exposure across all preterm infants.(26)</w:t>
            </w:r>
          </w:p>
        </w:tc>
      </w:tr>
      <w:tr w:rsidRPr="00700789" w:rsidR="001556E8" w:rsidTr="00DB0BE0" w14:paraId="591AD856" w14:textId="77777777">
        <w:trPr>
          <w:trHeight w:val="108"/>
        </w:trPr>
        <w:tc>
          <w:tcPr>
            <w:tcW w:w="1730" w:type="dxa"/>
          </w:tcPr>
          <w:p w:rsidRPr="00700789" w:rsidR="001556E8" w:rsidP="00131848" w:rsidRDefault="001556E8" w14:paraId="33540462" w14:textId="77777777">
            <w:pPr>
              <w:pStyle w:val="BodyText"/>
              <w:rPr>
                <w:rFonts w:cs="Arial" w:asciiTheme="minorHAnsi" w:hAnsiTheme="minorHAnsi"/>
                <w:b/>
                <w:bCs/>
                <w:sz w:val="20"/>
              </w:rPr>
            </w:pPr>
            <w:r w:rsidRPr="00700789">
              <w:rPr>
                <w:rFonts w:cs="Arial" w:asciiTheme="minorHAnsi" w:hAnsiTheme="minorHAnsi"/>
                <w:b/>
                <w:bCs/>
                <w:sz w:val="20"/>
              </w:rPr>
              <w:t>Practice points</w:t>
            </w:r>
          </w:p>
        </w:tc>
        <w:tc>
          <w:tcPr>
            <w:tcW w:w="7938" w:type="dxa"/>
          </w:tcPr>
          <w:p w:rsidRPr="00700789" w:rsidR="001556E8" w:rsidP="00131848" w:rsidRDefault="001556E8" w14:paraId="3938F4F9" w14:textId="77777777">
            <w:pPr>
              <w:pStyle w:val="BodyText"/>
              <w:tabs>
                <w:tab w:val="left" w:pos="1168"/>
              </w:tabs>
              <w:rPr>
                <w:rFonts w:cs="Arial" w:asciiTheme="minorHAnsi" w:hAnsiTheme="minorHAnsi"/>
                <w:sz w:val="20"/>
              </w:rPr>
            </w:pPr>
          </w:p>
        </w:tc>
      </w:tr>
      <w:tr w:rsidRPr="00700789" w:rsidR="001556E8" w:rsidTr="00DB0BE0" w14:paraId="1B81F7E2" w14:textId="77777777">
        <w:trPr>
          <w:trHeight w:val="70"/>
        </w:trPr>
        <w:tc>
          <w:tcPr>
            <w:tcW w:w="1730" w:type="dxa"/>
          </w:tcPr>
          <w:p w:rsidRPr="00700789" w:rsidR="001556E8" w:rsidP="00131848" w:rsidRDefault="001556E8" w14:paraId="75EA39F3" w14:textId="77777777">
            <w:pPr>
              <w:pStyle w:val="BodyText"/>
              <w:rPr>
                <w:rFonts w:cs="Arial" w:asciiTheme="minorHAnsi" w:hAnsiTheme="minorHAnsi"/>
                <w:b/>
                <w:bCs/>
                <w:sz w:val="20"/>
              </w:rPr>
            </w:pPr>
            <w:r w:rsidRPr="00700789">
              <w:rPr>
                <w:rFonts w:asciiTheme="minorHAnsi" w:hAnsiTheme="minorHAnsi"/>
                <w:b/>
                <w:sz w:val="20"/>
              </w:rPr>
              <w:t>References</w:t>
            </w:r>
          </w:p>
        </w:tc>
        <w:tc>
          <w:tcPr>
            <w:tcW w:w="7938" w:type="dxa"/>
          </w:tcPr>
          <w:p w:rsidRPr="00DB0BE0" w:rsidR="001556E8" w:rsidP="001556E8" w:rsidRDefault="001556E8" w14:paraId="35BE0FE5"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Bellu R, de Waal K, Zanini R. Opioids for neonates receiving mechanical ventilation: a systematic review and meta-analysis. Arch Dis Child Fetal Neonatal Ed.95:F241-51.</w:t>
            </w:r>
          </w:p>
          <w:p w:rsidRPr="00DB0BE0" w:rsidR="001556E8" w:rsidP="001556E8" w:rsidRDefault="001556E8" w14:paraId="57749E54"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Vaughn PR, Townsend SF, Thilo EH, McKenzie S, Moreland S, Denver KK. Comparison of continuous infusion of fentanyl to bolus dosing in neonates after surgery. Journal of pediatric surgery. 1996;31:1616-23.</w:t>
            </w:r>
          </w:p>
          <w:p w:rsidRPr="00DB0BE0" w:rsidR="001556E8" w:rsidP="001556E8" w:rsidRDefault="001556E8" w14:paraId="2FEAEA10"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Choong K, AlFaleh K, Doucette J, Gray S, Rich B, Verhey L, Paes B. Remifentanil for endotracheal intubation in neonates: a randomised controlled trial. Archives of Disease in Childhood Fetal &amp; Neonatal Edition. 2010;95:F80-4.</w:t>
            </w:r>
          </w:p>
          <w:p w:rsidRPr="00DB0BE0" w:rsidR="001556E8" w:rsidP="001556E8" w:rsidRDefault="001556E8" w14:paraId="622230B7"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Dempsey EM, Al Hazzani F, Faucher D, Barrington KJ. Facilitation of neonatal endotracheal intubation with mivacurium and fentanyl in the neonatal intensive care unit. Archives of Disease in Childhood: Fetal and Neonatal Edition. 2006;91:F279-F82.</w:t>
            </w:r>
          </w:p>
          <w:p w:rsidRPr="00DB0BE0" w:rsidR="001556E8" w:rsidP="001556E8" w:rsidRDefault="001556E8" w14:paraId="54B3D291"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Feltman DM, Weiss MG, Nicoski P, Sinacore J. Rocuronium for nonemergent intubation of term and preterm infants. Journal of Perinatology. 2011;31:38-43.</w:t>
            </w:r>
          </w:p>
          <w:p w:rsidRPr="00DB0BE0" w:rsidR="001556E8" w:rsidP="001556E8" w:rsidRDefault="001556E8" w14:paraId="11A1E8B5"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lastRenderedPageBreak/>
              <w:t>Roberts KD, Leone TA, Edwards WH, Rich WD, Finer NN. Premedication for nonemergent neonatal intubations: a randomized, controlled trial comparing atropine and fentanyl to atropine, fentanyl, and mivacurium. Pediatrics. 2006;118:1583-91.</w:t>
            </w:r>
          </w:p>
          <w:p w:rsidRPr="00DB0BE0" w:rsidR="001556E8" w:rsidP="001556E8" w:rsidRDefault="001556E8" w14:paraId="0B692E0A"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Barrington KJ, Byrne PJ. Premedication for neonatal intubation. Am J Perinatol. 1998;15:213-6.</w:t>
            </w:r>
          </w:p>
          <w:p w:rsidRPr="00DB0BE0" w:rsidR="001556E8" w:rsidP="001556E8" w:rsidRDefault="001556E8" w14:paraId="5D17F7A5"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Barrington KJ, Hilliard RI, Jefferies AL, Peliowski-Davidovich A, Sorokan ST, Whyte HEA, Whyte RK. Premedication for endotracheal intubation in the newborn infant. Paediatrics and Child Health. 2011;16:159-64.</w:t>
            </w:r>
          </w:p>
          <w:p w:rsidRPr="00DB0BE0" w:rsidR="001556E8" w:rsidP="001556E8" w:rsidRDefault="001556E8" w14:paraId="7B844FC0"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Lago P, Benini F, Agosto C, Zacchello F. Randomised controlled trial of low dose fentanyl infusion in preterm infants with hyaline membrane disease. Archives of disease in childhood Fetal and neonatal edition. 1998;79:F194-7.</w:t>
            </w:r>
          </w:p>
          <w:p w:rsidRPr="00DB0BE0" w:rsidR="001556E8" w:rsidP="001556E8" w:rsidRDefault="001556E8" w14:paraId="1DF47EA6"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Ancora G, Lago P, Garetti E, Pirelli A, Merazzi D, Mastrocola M, Pierantoni L, Faldella G. Efficacy and safety of continuous infusion of fentanyl for pain control in preterm newborns on mechanical ventilation. The Journal of pediatrics. 2013;163:645-51 e1.</w:t>
            </w:r>
          </w:p>
          <w:p w:rsidRPr="00DB0BE0" w:rsidR="001556E8" w:rsidP="001556E8" w:rsidRDefault="001556E8" w14:paraId="47AB708F"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Fahnenstich H, Steffan J, Kau N, Bartmann P. Fentanyl-induced chest wall rigidity and laryngospasm in preterm and term infants. Critical care medicine. 2000;28:836-9.</w:t>
            </w:r>
          </w:p>
          <w:p w:rsidRPr="00DB0BE0" w:rsidR="001556E8" w:rsidP="001556E8" w:rsidRDefault="001556E8" w14:paraId="1709F804"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Lammers EM, Johnson PN, Ernst KD, Hagemann TM, Lawrence SM, Williams PK, Anderson MP, Miller JL. Association of fentanyl with neurodevelopmental outcomes in very-low-birth-weight infants. The Annals of pharmacotherapy. 2014;48:335-42.</w:t>
            </w:r>
          </w:p>
          <w:p w:rsidRPr="00DB0BE0" w:rsidR="001556E8" w:rsidP="001556E8" w:rsidRDefault="001556E8" w14:paraId="747C71AA"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Arnold JH, Truog RD, Scavone JM, Fenton T. Changes in the pharmacodynamic response to fentanyl in neonates during continuous infusion. The Journal of pediatrics. 1991;119:639-43.</w:t>
            </w:r>
          </w:p>
          <w:p w:rsidRPr="00DB0BE0" w:rsidR="001556E8" w:rsidP="001556E8" w:rsidRDefault="001556E8" w14:paraId="65217A25"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Katz R, Kelly HW, Hsi A. Prospective study on the occurrence of withdrawal in critically ill children who receive fentanyl by continuous infusion. Crit Care Med. 1994;22:763-7.</w:t>
            </w:r>
          </w:p>
          <w:p w:rsidRPr="00DB0BE0" w:rsidR="001556E8" w:rsidP="001556E8" w:rsidRDefault="001556E8" w14:paraId="5057D327"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Santeiro ML, Christie J, Stromquist C, Torres BA, Markowsky SJ. Pharmacokinetics of continuous infusion fentanyl in newborns. Journal of perinatology : official journal of the California Perinatal Association. 1997;17:135-9.</w:t>
            </w:r>
          </w:p>
          <w:p w:rsidRPr="00DB0BE0" w:rsidR="001556E8" w:rsidP="001556E8" w:rsidRDefault="001556E8" w14:paraId="544C66B8"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Micromedex solutions. Fentanyl. Accessed on 23 March 2021.</w:t>
            </w:r>
          </w:p>
          <w:p w:rsidRPr="00DB0BE0" w:rsidR="001556E8" w:rsidP="001556E8" w:rsidRDefault="001556E8" w14:paraId="120D7BBC"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Australian Injectable Drugs Handbook. Fentanyl. Accessed on 23 March 2021.</w:t>
            </w:r>
          </w:p>
          <w:p w:rsidRPr="00DB0BE0" w:rsidR="001556E8" w:rsidP="001556E8" w:rsidRDefault="001556E8" w14:paraId="2A509B70"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Simons SH, Anand KJ. Pain control: opioid dosing, population kinetics and side-effects. InSeminars in Fetal and Neonatal Medicine 2006;11:260-267.</w:t>
            </w:r>
          </w:p>
          <w:p w:rsidRPr="00DB0BE0" w:rsidR="001556E8" w:rsidP="001556E8" w:rsidRDefault="001556E8" w14:paraId="7167DDBE"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Czarnecki ML, Hainsworth K, Simpson PM, Arca MJ, Uhing MR, Varadarajan J, Weisman SJ. Is there an alternative to continuous opioid infusion for neonatal pain control? A preliminary report of parent/nurse‐controlled analgesia in the neonatal intensive care unit. Pediatric Anesthesia. 2014 Apr;24(4):377-85.</w:t>
            </w:r>
          </w:p>
          <w:p w:rsidRPr="00DB0BE0" w:rsidR="001556E8" w:rsidP="001556E8" w:rsidRDefault="001556E8" w14:paraId="38B2BBDC"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 xml:space="preserve">Saarenmaa E, Huttunen P, Leppäluoto J, Meretoja O, Fellman V. Advantages of fentanyl over morphine in analgesia for ventilated newborn infants after birth: a randomized trial. The Journal of pediatrics. 1999 Feb 1;134(2):144-50. </w:t>
            </w:r>
          </w:p>
          <w:p w:rsidRPr="00DB0BE0" w:rsidR="001556E8" w:rsidP="001556E8" w:rsidRDefault="001556E8" w14:paraId="3BDDA7E3"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Dean M. Opioids in renal failure and dialysis patients. Journal of pain and symptom management. 2004;28(5):497-504.</w:t>
            </w:r>
          </w:p>
          <w:p w:rsidRPr="00DB0BE0" w:rsidR="001556E8" w:rsidP="001556E8" w:rsidRDefault="001556E8" w14:paraId="417E7573"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Koren G, Barker C, Goresky G, Bohn D, Kent G, Klein J, et al. The influence of hypothermia on the disposition of fentanyl—Human and animal studies. European journal of clinical pharmacology. 1987;32(4):373-6.</w:t>
            </w:r>
          </w:p>
          <w:p w:rsidRPr="00DB0BE0" w:rsidR="001556E8" w:rsidP="001556E8" w:rsidRDefault="001556E8" w14:paraId="2B6C8948"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Raffaeli G, Pokorna P, Allegaert K, Mosca F, Cavallaro G, Wildschut ED, et al. Drug disposition and pharmacotherapy in neonatal ECMO: from fragmented data to integrated knowledge. Frontiers in pediatrics. 2019;7:360.</w:t>
            </w:r>
          </w:p>
          <w:p w:rsidRPr="00DB0BE0" w:rsidR="001556E8" w:rsidP="001556E8" w:rsidRDefault="001556E8" w14:paraId="7DDB5416"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Soleimanpour H, Safari S, Nia KS, Sanaie S, Alavian SM. Opioid drugs in patients with liver disease: a systematic review. Hepatitis monthly. 2016;16(4).</w:t>
            </w:r>
          </w:p>
          <w:p w:rsidRPr="00DB0BE0" w:rsidR="001556E8" w:rsidP="001556E8" w:rsidRDefault="001556E8" w14:paraId="6235D464"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Wildschut ED, van Saet A, Pokorna P, Ahsman MJ, Van den Anker JN, Tibboel D. The impact of extracorporeal life support and hypothermia on drug disposition in critically ill infants and children. Pediatric Clinics. 2012;59(5):1183-204.</w:t>
            </w:r>
          </w:p>
          <w:p w:rsidRPr="00DB0BE0" w:rsidR="001556E8" w:rsidP="001556E8" w:rsidRDefault="001556E8" w14:paraId="4621D8AB" w14:textId="77777777">
            <w:pPr>
              <w:pStyle w:val="EndNoteBibliography"/>
              <w:numPr>
                <w:ilvl w:val="0"/>
                <w:numId w:val="163"/>
              </w:numPr>
              <w:rPr>
                <w:rFonts w:asciiTheme="minorHAnsi" w:hAnsiTheme="minorHAnsi"/>
                <w:sz w:val="16"/>
                <w:szCs w:val="16"/>
              </w:rPr>
            </w:pPr>
            <w:r w:rsidRPr="00DB0BE0">
              <w:rPr>
                <w:rFonts w:asciiTheme="minorHAnsi" w:hAnsiTheme="minorHAnsi"/>
                <w:sz w:val="16"/>
                <w:szCs w:val="16"/>
              </w:rPr>
              <w:t>Völler S, Flint RB, Andriessen P, Allegaert K, Zimmermann LJ, Liem KD, Koch BC, Simons SH, Knibbe CA. Rapidly maturing fentanyl clearance in preterm neonates. Archives of Disease in Childhood-Fetal and Neonatal Edition. 2019 Nov 1;104(6):F598-603.</w:t>
            </w:r>
          </w:p>
        </w:tc>
      </w:tr>
    </w:tbl>
    <w:p w:rsidR="00115F48" w:rsidP="006F0321" w:rsidRDefault="00115F48" w14:paraId="16BA8192" w14:textId="304FA175"/>
    <w:p w:rsidRPr="00E25790" w:rsidR="001556E8" w:rsidP="006F0321" w:rsidRDefault="001556E8" w14:paraId="79F1D9F2"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849"/>
        <w:gridCol w:w="4394"/>
      </w:tblGrid>
      <w:tr w:rsidRPr="00AA6EC8" w:rsidR="00E424B4" w:rsidTr="00747763" w14:paraId="42C7E75B" w14:textId="77777777">
        <w:tc>
          <w:tcPr>
            <w:tcW w:w="4849" w:type="dxa"/>
            <w:vAlign w:val="center"/>
          </w:tcPr>
          <w:p w:rsidRPr="00AA6EC8" w:rsidR="00EA5B47" w:rsidP="00EC6FC6" w:rsidRDefault="00EA5B47" w14:paraId="0C096AC6" w14:textId="77777777">
            <w:r w:rsidRPr="00AA6EC8">
              <w:t>Original version Date: 01/03/2016</w:t>
            </w:r>
          </w:p>
        </w:tc>
        <w:tc>
          <w:tcPr>
            <w:tcW w:w="4394" w:type="dxa"/>
            <w:vAlign w:val="center"/>
          </w:tcPr>
          <w:p w:rsidRPr="00AA6EC8" w:rsidR="00EA5B47" w:rsidP="00EC6FC6" w:rsidRDefault="00EA5B47" w14:paraId="6051F243" w14:textId="77777777">
            <w:r w:rsidRPr="00AA6EC8">
              <w:t>Author: NeoMed Consensus Group</w:t>
            </w:r>
          </w:p>
        </w:tc>
      </w:tr>
      <w:tr w:rsidRPr="00AA6EC8" w:rsidR="00E424B4" w:rsidTr="00747763" w14:paraId="293B76A1" w14:textId="77777777">
        <w:tc>
          <w:tcPr>
            <w:tcW w:w="4849" w:type="dxa"/>
            <w:vAlign w:val="center"/>
          </w:tcPr>
          <w:p w:rsidRPr="00AA6EC8" w:rsidR="00EA5B47" w:rsidP="00EC6FC6" w:rsidRDefault="00EA5B47" w14:paraId="0A0360EF" w14:textId="217C2E3A">
            <w:pPr>
              <w:rPr>
                <w:bCs/>
              </w:rPr>
            </w:pPr>
            <w:r w:rsidRPr="00AA6EC8">
              <w:t xml:space="preserve">Current Version number:  </w:t>
            </w:r>
            <w:r w:rsidR="00DB0BE0">
              <w:t>2</w:t>
            </w:r>
          </w:p>
        </w:tc>
        <w:tc>
          <w:tcPr>
            <w:tcW w:w="4394" w:type="dxa"/>
            <w:vAlign w:val="center"/>
          </w:tcPr>
          <w:p w:rsidRPr="00AA6EC8" w:rsidR="00EA5B47" w:rsidP="00EC6FC6" w:rsidRDefault="00EA5B47" w14:paraId="3EAA6041" w14:textId="6BC973A1">
            <w:r w:rsidRPr="00AA6EC8">
              <w:t xml:space="preserve">Version Date:  </w:t>
            </w:r>
            <w:r w:rsidR="00DB0BE0">
              <w:t>18-6-2021</w:t>
            </w:r>
          </w:p>
        </w:tc>
      </w:tr>
      <w:tr w:rsidRPr="00AA6EC8" w:rsidR="00E424B4" w:rsidTr="00747763" w14:paraId="59FDBEA2" w14:textId="77777777">
        <w:tc>
          <w:tcPr>
            <w:tcW w:w="4849" w:type="dxa"/>
            <w:vAlign w:val="center"/>
          </w:tcPr>
          <w:p w:rsidRPr="00AA6EC8" w:rsidR="00EA5B47" w:rsidP="00EC6FC6" w:rsidRDefault="00EA5B47" w14:paraId="6942D03C" w14:textId="4466B302">
            <w:r w:rsidRPr="00AA6EC8">
              <w:t xml:space="preserve">Risk Rating: </w:t>
            </w:r>
            <w:r w:rsidR="00DB0BE0">
              <w:t>Low</w:t>
            </w:r>
          </w:p>
        </w:tc>
        <w:tc>
          <w:tcPr>
            <w:tcW w:w="4394" w:type="dxa"/>
            <w:vAlign w:val="center"/>
          </w:tcPr>
          <w:p w:rsidRPr="00AA6EC8" w:rsidR="00EA5B47" w:rsidP="00EC6FC6" w:rsidRDefault="00EA5B47" w14:paraId="433B6E28" w14:textId="7B0BF9A4">
            <w:r w:rsidRPr="00AA6EC8">
              <w:t xml:space="preserve">Due for Review:  </w:t>
            </w:r>
            <w:r w:rsidR="004D7FB9">
              <w:t>18-6-2026</w:t>
            </w:r>
          </w:p>
        </w:tc>
      </w:tr>
      <w:tr w:rsidRPr="00AA6EC8" w:rsidR="00E424B4" w:rsidTr="00747763" w14:paraId="390FB0F3" w14:textId="77777777">
        <w:trPr>
          <w:trHeight w:val="344"/>
        </w:trPr>
        <w:tc>
          <w:tcPr>
            <w:tcW w:w="4849" w:type="dxa"/>
            <w:tcBorders>
              <w:bottom w:val="single" w:color="auto" w:sz="4" w:space="0"/>
            </w:tcBorders>
            <w:vAlign w:val="center"/>
          </w:tcPr>
          <w:p w:rsidRPr="00AA6EC8" w:rsidR="00EA5B47" w:rsidP="00EC6FC6" w:rsidRDefault="00EA5B47" w14:paraId="76873F57" w14:textId="77777777">
            <w:r w:rsidRPr="00AA6EC8">
              <w:t xml:space="preserve">Approved by: </w:t>
            </w:r>
            <w:r>
              <w:t>DTC</w:t>
            </w:r>
          </w:p>
        </w:tc>
        <w:tc>
          <w:tcPr>
            <w:tcW w:w="4394" w:type="dxa"/>
            <w:tcBorders>
              <w:bottom w:val="single" w:color="auto" w:sz="4" w:space="0"/>
            </w:tcBorders>
            <w:vAlign w:val="center"/>
          </w:tcPr>
          <w:p w:rsidRPr="00AA6EC8" w:rsidR="00EA5B47" w:rsidP="00EC6FC6" w:rsidRDefault="00EA5B47" w14:paraId="3D95DB6D" w14:textId="3276B572">
            <w:r w:rsidRPr="00AA6EC8">
              <w:t xml:space="preserve">Approval Date: </w:t>
            </w:r>
            <w:r w:rsidR="004D7FB9">
              <w:t>April 2021</w:t>
            </w:r>
          </w:p>
        </w:tc>
      </w:tr>
    </w:tbl>
    <w:p w:rsidR="00115F48" w:rsidP="006F0321" w:rsidRDefault="00115F48" w14:paraId="2A0437A4" w14:textId="77777777"/>
    <w:p w:rsidR="00A95DCE" w:rsidP="006F0321" w:rsidRDefault="00A95DCE" w14:paraId="7ED74E7D" w14:textId="77777777"/>
    <w:p w:rsidR="00EC6FC6" w:rsidRDefault="00EC6FC6" w14:paraId="24EB0F4B" w14:textId="77777777">
      <w:bookmarkStart w:name="_Toc38106843" w:id="229"/>
      <w:r>
        <w:rPr>
          <w:b/>
        </w:rPr>
        <w:br w:type="page"/>
      </w:r>
    </w:p>
    <w:tbl>
      <w:tblPr>
        <w:tblW w:w="9475" w:type="dxa"/>
        <w:tblLayout w:type="fixed"/>
        <w:tblLook w:val="0000" w:firstRow="0" w:lastRow="0" w:firstColumn="0" w:lastColumn="0" w:noHBand="0" w:noVBand="0"/>
      </w:tblPr>
      <w:tblGrid>
        <w:gridCol w:w="4655"/>
        <w:gridCol w:w="4820"/>
      </w:tblGrid>
      <w:tr w:rsidRPr="00E25790" w:rsidR="00115F48" w:rsidTr="00747763" w14:paraId="39027789" w14:textId="77777777">
        <w:trPr>
          <w:cantSplit/>
          <w:trHeight w:val="720"/>
        </w:trPr>
        <w:tc>
          <w:tcPr>
            <w:tcW w:w="9475" w:type="dxa"/>
            <w:gridSpan w:val="2"/>
            <w:tcBorders>
              <w:top w:val="double" w:color="auto" w:sz="6" w:space="0"/>
              <w:left w:val="double" w:color="auto" w:sz="6" w:space="0"/>
              <w:bottom w:val="double" w:color="auto" w:sz="6" w:space="0"/>
              <w:right w:val="double" w:color="auto" w:sz="6" w:space="0"/>
            </w:tcBorders>
            <w:shd w:val="clear" w:color="auto" w:fill="FFFF00"/>
          </w:tcPr>
          <w:p w:rsidRPr="00A95DCE" w:rsidR="00115F48" w:rsidP="009469DB" w:rsidRDefault="00115F48" w14:paraId="68B669B7" w14:textId="77777777">
            <w:pPr>
              <w:pStyle w:val="Heading1"/>
            </w:pPr>
            <w:bookmarkStart w:name="_Toc75339969" w:id="230"/>
            <w:r w:rsidRPr="00A95DCE">
              <w:lastRenderedPageBreak/>
              <w:t>Ferrous Sulfate (Ferro-Liquid)</w:t>
            </w:r>
            <w:bookmarkEnd w:id="229"/>
            <w:bookmarkEnd w:id="230"/>
            <w:r w:rsidRPr="00A95DCE">
              <w:t xml:space="preserve"> </w:t>
            </w:r>
            <w:r w:rsidRPr="00A95DCE">
              <w:fldChar w:fldCharType="begin"/>
            </w:r>
            <w:r w:rsidRPr="00A95DCE">
              <w:instrText>tc "Fergon" \l 0</w:instrText>
            </w:r>
            <w:r w:rsidRPr="00A95DCE">
              <w:fldChar w:fldCharType="end"/>
            </w:r>
          </w:p>
        </w:tc>
      </w:tr>
      <w:tr w:rsidRPr="00E25790" w:rsidR="00115F48" w:rsidTr="00747763" w14:paraId="3D3E7541" w14:textId="77777777">
        <w:trPr>
          <w:cantSplit/>
          <w:trHeight w:val="480"/>
        </w:trPr>
        <w:tc>
          <w:tcPr>
            <w:tcW w:w="4655"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EB08562" w14:textId="4B64006D">
            <w:r w:rsidRPr="00E25790">
              <w:t>Revision Date</w:t>
            </w:r>
            <w:r w:rsidRPr="00E25790" w:rsidR="003D3CEF">
              <w:rPr>
                <w:b/>
              </w:rPr>
              <w:t xml:space="preserve"> : </w:t>
            </w:r>
            <w:r w:rsidR="00B111CA">
              <w:rPr>
                <w:b/>
              </w:rPr>
              <w:t>12</w:t>
            </w:r>
            <w:r w:rsidRPr="00E25790" w:rsidR="003D3CEF">
              <w:rPr>
                <w:b/>
              </w:rPr>
              <w:t>/10/20</w:t>
            </w:r>
            <w:r w:rsidR="00B111CA">
              <w:rPr>
                <w:b/>
              </w:rPr>
              <w:t>20</w:t>
            </w:r>
          </w:p>
        </w:tc>
        <w:tc>
          <w:tcPr>
            <w:tcW w:w="4820"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4F9C66F" w14:textId="77777777">
            <w:r w:rsidRPr="00E25790">
              <w:t xml:space="preserve">Approved : </w:t>
            </w:r>
            <w:r w:rsidRPr="00E25790" w:rsidR="003D3CEF">
              <w:t>TC, KOH</w:t>
            </w:r>
          </w:p>
        </w:tc>
      </w:tr>
    </w:tbl>
    <w:p w:rsidRPr="00E25790" w:rsidR="003D3CEF" w:rsidP="006F0321" w:rsidRDefault="003D3CEF" w14:paraId="20250BCB"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8505"/>
      </w:tblGrid>
      <w:tr w:rsidRPr="00BF61B6" w:rsidR="00B111CA" w:rsidTr="00B111CA" w14:paraId="11ADF67D" w14:textId="77777777">
        <w:trPr>
          <w:trHeight w:val="70"/>
        </w:trPr>
        <w:tc>
          <w:tcPr>
            <w:tcW w:w="1730" w:type="dxa"/>
          </w:tcPr>
          <w:p w:rsidRPr="00BF61B6" w:rsidR="00B111CA" w:rsidP="0059793A" w:rsidRDefault="00B111CA" w14:paraId="72BEC4F5" w14:textId="77777777">
            <w:pPr>
              <w:pStyle w:val="BodyText"/>
              <w:tabs>
                <w:tab w:val="center" w:pos="1476"/>
              </w:tabs>
              <w:rPr>
                <w:rFonts w:cs="Arial"/>
                <w:b/>
                <w:sz w:val="20"/>
                <w:lang w:val="en-AU"/>
              </w:rPr>
            </w:pPr>
            <w:r w:rsidRPr="00BF61B6">
              <w:rPr>
                <w:rFonts w:cs="Arial"/>
                <w:b/>
                <w:sz w:val="20"/>
                <w:lang w:val="en-AU"/>
              </w:rPr>
              <w:t>Alert</w:t>
            </w:r>
            <w:r w:rsidRPr="00BF61B6">
              <w:rPr>
                <w:rFonts w:cs="Arial"/>
                <w:b/>
                <w:sz w:val="20"/>
                <w:lang w:val="en-AU"/>
              </w:rPr>
              <w:tab/>
            </w:r>
          </w:p>
        </w:tc>
        <w:tc>
          <w:tcPr>
            <w:tcW w:w="8505" w:type="dxa"/>
          </w:tcPr>
          <w:p w:rsidRPr="00BF61B6" w:rsidR="00B111CA" w:rsidP="0059793A" w:rsidRDefault="00B111CA" w14:paraId="1B96D9D3" w14:textId="77777777">
            <w:pPr>
              <w:autoSpaceDE w:val="0"/>
              <w:autoSpaceDN w:val="0"/>
              <w:adjustRightInd w:val="0"/>
              <w:rPr>
                <w:rFonts w:cs="Arial"/>
                <w:sz w:val="20"/>
              </w:rPr>
            </w:pPr>
            <w:r w:rsidRPr="00BF61B6">
              <w:rPr>
                <w:rFonts w:cs="Arial"/>
                <w:sz w:val="20"/>
              </w:rPr>
              <w:t xml:space="preserve">Avoid &gt;5 mg/kg/day as routine supplementation. </w:t>
            </w:r>
          </w:p>
          <w:p w:rsidRPr="00BF61B6" w:rsidR="00B111CA" w:rsidP="0059793A" w:rsidRDefault="00B111CA" w14:paraId="052F4002" w14:textId="77777777">
            <w:pPr>
              <w:autoSpaceDE w:val="0"/>
              <w:autoSpaceDN w:val="0"/>
              <w:adjustRightInd w:val="0"/>
              <w:rPr>
                <w:rFonts w:cs="Arial"/>
                <w:sz w:val="20"/>
              </w:rPr>
            </w:pPr>
            <w:r w:rsidRPr="00BF61B6">
              <w:rPr>
                <w:rFonts w:cs="Arial"/>
                <w:sz w:val="20"/>
              </w:rPr>
              <w:t xml:space="preserve">Check serum ferritin prior to the commencement of medicinal iron following any haemolysis. </w:t>
            </w:r>
          </w:p>
          <w:p w:rsidRPr="00BF61B6" w:rsidR="00B111CA" w:rsidP="0059793A" w:rsidRDefault="00B111CA" w14:paraId="00B743BA" w14:textId="77777777">
            <w:pPr>
              <w:autoSpaceDE w:val="0"/>
              <w:autoSpaceDN w:val="0"/>
              <w:adjustRightInd w:val="0"/>
              <w:rPr>
                <w:rFonts w:cs="Arial"/>
                <w:sz w:val="20"/>
              </w:rPr>
            </w:pPr>
            <w:r w:rsidRPr="00BF61B6">
              <w:rPr>
                <w:rFonts w:cs="Arial"/>
                <w:sz w:val="20"/>
              </w:rPr>
              <w:t xml:space="preserve">Consider delaying/temporarily ceasing medicinal iron with (1) multiple transfusions, particularly &gt;100 mL/kg (2) serum ferritin </w:t>
            </w:r>
            <w:r>
              <w:rPr>
                <w:rFonts w:cs="Arial"/>
                <w:sz w:val="20"/>
              </w:rPr>
              <w:t>concentrations</w:t>
            </w:r>
            <w:r w:rsidRPr="00BF61B6">
              <w:rPr>
                <w:rFonts w:cs="Arial"/>
                <w:sz w:val="20"/>
              </w:rPr>
              <w:t xml:space="preserve"> &gt;350 microgram/L or (3) have received a transfusion in the last 7 days.</w:t>
            </w:r>
          </w:p>
        </w:tc>
      </w:tr>
      <w:tr w:rsidRPr="00BF61B6" w:rsidR="00B111CA" w:rsidTr="00B111CA" w14:paraId="796A7DF6" w14:textId="77777777">
        <w:trPr>
          <w:trHeight w:val="72"/>
        </w:trPr>
        <w:tc>
          <w:tcPr>
            <w:tcW w:w="1730" w:type="dxa"/>
          </w:tcPr>
          <w:p w:rsidRPr="00BF61B6" w:rsidR="00B111CA" w:rsidP="0059793A" w:rsidRDefault="00B111CA" w14:paraId="59D5CA90" w14:textId="77777777">
            <w:pPr>
              <w:pStyle w:val="BodyText"/>
              <w:rPr>
                <w:rFonts w:cs="Arial"/>
                <w:sz w:val="20"/>
                <w:lang w:val="en-AU"/>
              </w:rPr>
            </w:pPr>
            <w:r w:rsidRPr="00BF61B6">
              <w:rPr>
                <w:rFonts w:cs="Arial"/>
                <w:b/>
                <w:bCs/>
                <w:sz w:val="20"/>
                <w:lang w:val="en-AU"/>
              </w:rPr>
              <w:t>Indication</w:t>
            </w:r>
          </w:p>
        </w:tc>
        <w:tc>
          <w:tcPr>
            <w:tcW w:w="8505" w:type="dxa"/>
          </w:tcPr>
          <w:p w:rsidRPr="00BF61B6" w:rsidR="00B111CA" w:rsidP="0059793A" w:rsidRDefault="00B111CA" w14:paraId="79C8E1A5" w14:textId="3C3F5997">
            <w:pPr>
              <w:rPr>
                <w:sz w:val="20"/>
              </w:rPr>
            </w:pPr>
            <w:r w:rsidRPr="00BF61B6">
              <w:rPr>
                <w:sz w:val="20"/>
              </w:rPr>
              <w:t xml:space="preserve">1. </w:t>
            </w:r>
            <w:r w:rsidRPr="00B111CA">
              <w:rPr>
                <w:color w:val="1F4E79" w:themeColor="accent5" w:themeShade="80"/>
                <w:sz w:val="20"/>
              </w:rPr>
              <w:t xml:space="preserve">Prophylaxis in preterm infants &lt;32 weeks and/or birthweight &lt;1.8 kg </w:t>
            </w:r>
          </w:p>
          <w:p w:rsidRPr="00BF61B6" w:rsidR="00B111CA" w:rsidP="0059793A" w:rsidRDefault="00B111CA" w14:paraId="2A856BAE" w14:textId="77777777">
            <w:pPr>
              <w:rPr>
                <w:sz w:val="20"/>
              </w:rPr>
            </w:pPr>
            <w:r w:rsidRPr="00BF61B6">
              <w:rPr>
                <w:sz w:val="20"/>
              </w:rPr>
              <w:t>2. Supplementation during erythropoietin therapy</w:t>
            </w:r>
          </w:p>
          <w:p w:rsidRPr="00BF61B6" w:rsidR="00B111CA" w:rsidP="0059793A" w:rsidRDefault="00B111CA" w14:paraId="5B80CC0C" w14:textId="77777777">
            <w:pPr>
              <w:rPr>
                <w:sz w:val="20"/>
              </w:rPr>
            </w:pPr>
            <w:r w:rsidRPr="00BF61B6">
              <w:rPr>
                <w:sz w:val="20"/>
              </w:rPr>
              <w:t xml:space="preserve">3. Treatment of </w:t>
            </w:r>
            <w:r>
              <w:rPr>
                <w:sz w:val="20"/>
              </w:rPr>
              <w:t>ir</w:t>
            </w:r>
            <w:r w:rsidRPr="00BF61B6">
              <w:rPr>
                <w:sz w:val="20"/>
              </w:rPr>
              <w:t>on deficiency anaemia</w:t>
            </w:r>
          </w:p>
          <w:p w:rsidRPr="00BF61B6" w:rsidR="00B111CA" w:rsidP="0059793A" w:rsidRDefault="00B111CA" w14:paraId="7720E064" w14:textId="77777777">
            <w:pPr>
              <w:rPr>
                <w:sz w:val="20"/>
              </w:rPr>
            </w:pPr>
          </w:p>
          <w:p w:rsidRPr="00BF61B6" w:rsidR="00B111CA" w:rsidP="0059793A" w:rsidRDefault="00B111CA" w14:paraId="434D5C15" w14:textId="77777777">
            <w:pPr>
              <w:rPr>
                <w:sz w:val="20"/>
              </w:rPr>
            </w:pPr>
            <w:r w:rsidRPr="00BF61B6">
              <w:rPr>
                <w:sz w:val="20"/>
              </w:rPr>
              <w:t>Iron content in dietary food</w:t>
            </w:r>
          </w:p>
          <w:tbl>
            <w:tblPr>
              <w:tblW w:w="836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268"/>
              <w:gridCol w:w="1985"/>
              <w:gridCol w:w="2126"/>
              <w:gridCol w:w="1984"/>
            </w:tblGrid>
            <w:tr w:rsidRPr="00BF61B6" w:rsidR="00B111CA" w:rsidTr="0059793A" w14:paraId="158ED2EF" w14:textId="77777777">
              <w:tc>
                <w:tcPr>
                  <w:tcW w:w="2268" w:type="dxa"/>
                  <w:shd w:val="clear" w:color="auto" w:fill="auto"/>
                </w:tcPr>
                <w:p w:rsidRPr="00BF61B6" w:rsidR="00B111CA" w:rsidP="0059793A" w:rsidRDefault="00B111CA" w14:paraId="09D25FEF" w14:textId="77777777">
                  <w:pPr>
                    <w:rPr>
                      <w:b/>
                      <w:sz w:val="20"/>
                    </w:rPr>
                  </w:pPr>
                </w:p>
              </w:tc>
              <w:tc>
                <w:tcPr>
                  <w:tcW w:w="6095" w:type="dxa"/>
                  <w:gridSpan w:val="3"/>
                  <w:shd w:val="clear" w:color="auto" w:fill="auto"/>
                </w:tcPr>
                <w:p w:rsidRPr="00BF61B6" w:rsidR="00B111CA" w:rsidP="0059793A" w:rsidRDefault="00B111CA" w14:paraId="66B7002E" w14:textId="77777777">
                  <w:pPr>
                    <w:jc w:val="center"/>
                    <w:rPr>
                      <w:b/>
                      <w:sz w:val="20"/>
                    </w:rPr>
                  </w:pPr>
                  <w:r w:rsidRPr="00BF61B6">
                    <w:rPr>
                      <w:b/>
                      <w:sz w:val="20"/>
                    </w:rPr>
                    <w:t>Iron content</w:t>
                  </w:r>
                </w:p>
              </w:tc>
            </w:tr>
            <w:tr w:rsidRPr="00BF61B6" w:rsidR="00B111CA" w:rsidTr="0059793A" w14:paraId="63EF002A" w14:textId="77777777">
              <w:tc>
                <w:tcPr>
                  <w:tcW w:w="2268" w:type="dxa"/>
                  <w:shd w:val="clear" w:color="auto" w:fill="auto"/>
                </w:tcPr>
                <w:p w:rsidRPr="00BF61B6" w:rsidR="00B111CA" w:rsidP="0059793A" w:rsidRDefault="00B111CA" w14:paraId="233ED5B8" w14:textId="77777777">
                  <w:pPr>
                    <w:rPr>
                      <w:b/>
                      <w:sz w:val="20"/>
                    </w:rPr>
                  </w:pPr>
                </w:p>
              </w:tc>
              <w:tc>
                <w:tcPr>
                  <w:tcW w:w="1985" w:type="dxa"/>
                  <w:shd w:val="clear" w:color="auto" w:fill="auto"/>
                </w:tcPr>
                <w:p w:rsidRPr="00BF61B6" w:rsidR="00B111CA" w:rsidP="0059793A" w:rsidRDefault="00B111CA" w14:paraId="3C99C4D7" w14:textId="77777777">
                  <w:pPr>
                    <w:jc w:val="center"/>
                    <w:rPr>
                      <w:b/>
                      <w:sz w:val="20"/>
                    </w:rPr>
                  </w:pPr>
                  <w:r w:rsidRPr="00BF61B6">
                    <w:rPr>
                      <w:b/>
                      <w:sz w:val="20"/>
                    </w:rPr>
                    <w:t>140 mL/kg/day</w:t>
                  </w:r>
                </w:p>
              </w:tc>
              <w:tc>
                <w:tcPr>
                  <w:tcW w:w="2126" w:type="dxa"/>
                </w:tcPr>
                <w:p w:rsidRPr="00BF61B6" w:rsidR="00B111CA" w:rsidP="0059793A" w:rsidRDefault="00B111CA" w14:paraId="72215381" w14:textId="77777777">
                  <w:pPr>
                    <w:jc w:val="center"/>
                    <w:rPr>
                      <w:b/>
                      <w:sz w:val="20"/>
                    </w:rPr>
                  </w:pPr>
                  <w:r w:rsidRPr="00BF61B6">
                    <w:rPr>
                      <w:b/>
                      <w:sz w:val="20"/>
                    </w:rPr>
                    <w:t>160 mL/kg/day</w:t>
                  </w:r>
                </w:p>
              </w:tc>
              <w:tc>
                <w:tcPr>
                  <w:tcW w:w="1984" w:type="dxa"/>
                </w:tcPr>
                <w:p w:rsidRPr="00BF61B6" w:rsidR="00B111CA" w:rsidP="0059793A" w:rsidRDefault="00B111CA" w14:paraId="038D6F2F" w14:textId="77777777">
                  <w:pPr>
                    <w:jc w:val="center"/>
                    <w:rPr>
                      <w:b/>
                      <w:sz w:val="20"/>
                    </w:rPr>
                  </w:pPr>
                  <w:r w:rsidRPr="00BF61B6">
                    <w:rPr>
                      <w:b/>
                      <w:sz w:val="20"/>
                    </w:rPr>
                    <w:t>180 mL/kg/day</w:t>
                  </w:r>
                </w:p>
              </w:tc>
            </w:tr>
            <w:tr w:rsidRPr="00BF61B6" w:rsidR="00B111CA" w:rsidTr="0059793A" w14:paraId="10BC1E40" w14:textId="77777777">
              <w:tc>
                <w:tcPr>
                  <w:tcW w:w="2268" w:type="dxa"/>
                  <w:shd w:val="clear" w:color="auto" w:fill="auto"/>
                </w:tcPr>
                <w:p w:rsidRPr="00BF61B6" w:rsidR="00B111CA" w:rsidP="0059793A" w:rsidRDefault="00B111CA" w14:paraId="62E63DE5" w14:textId="77777777">
                  <w:pPr>
                    <w:rPr>
                      <w:b/>
                      <w:sz w:val="20"/>
                    </w:rPr>
                  </w:pPr>
                  <w:r w:rsidRPr="00BF61B6">
                    <w:rPr>
                      <w:b/>
                      <w:sz w:val="20"/>
                    </w:rPr>
                    <w:t>Preterm EBM</w:t>
                  </w:r>
                </w:p>
              </w:tc>
              <w:tc>
                <w:tcPr>
                  <w:tcW w:w="1985" w:type="dxa"/>
                  <w:shd w:val="clear" w:color="auto" w:fill="auto"/>
                </w:tcPr>
                <w:p w:rsidRPr="00BF61B6" w:rsidR="00B111CA" w:rsidP="0059793A" w:rsidRDefault="00B111CA" w14:paraId="35E176F3" w14:textId="77777777">
                  <w:pPr>
                    <w:jc w:val="center"/>
                    <w:rPr>
                      <w:sz w:val="20"/>
                    </w:rPr>
                  </w:pPr>
                  <w:r w:rsidRPr="00BF61B6">
                    <w:rPr>
                      <w:sz w:val="20"/>
                    </w:rPr>
                    <w:t>0.04 mg/kg/day</w:t>
                  </w:r>
                </w:p>
              </w:tc>
              <w:tc>
                <w:tcPr>
                  <w:tcW w:w="2126" w:type="dxa"/>
                </w:tcPr>
                <w:p w:rsidRPr="00BF61B6" w:rsidR="00B111CA" w:rsidP="0059793A" w:rsidRDefault="00B111CA" w14:paraId="259D0C50" w14:textId="77777777">
                  <w:pPr>
                    <w:jc w:val="center"/>
                    <w:rPr>
                      <w:sz w:val="20"/>
                    </w:rPr>
                  </w:pPr>
                  <w:r w:rsidRPr="00BF61B6">
                    <w:rPr>
                      <w:sz w:val="20"/>
                    </w:rPr>
                    <w:t>0.05 mg/kg/day</w:t>
                  </w:r>
                </w:p>
              </w:tc>
              <w:tc>
                <w:tcPr>
                  <w:tcW w:w="1984" w:type="dxa"/>
                </w:tcPr>
                <w:p w:rsidRPr="00BF61B6" w:rsidR="00B111CA" w:rsidP="0059793A" w:rsidRDefault="00B111CA" w14:paraId="14EE3035" w14:textId="77777777">
                  <w:pPr>
                    <w:jc w:val="center"/>
                    <w:rPr>
                      <w:sz w:val="20"/>
                    </w:rPr>
                  </w:pPr>
                  <w:r w:rsidRPr="00BF61B6">
                    <w:rPr>
                      <w:sz w:val="20"/>
                    </w:rPr>
                    <w:t>0.054 mg/kg/day</w:t>
                  </w:r>
                </w:p>
              </w:tc>
            </w:tr>
            <w:tr w:rsidRPr="00BF61B6" w:rsidR="00B111CA" w:rsidTr="0059793A" w14:paraId="7789AB3E" w14:textId="77777777">
              <w:tc>
                <w:tcPr>
                  <w:tcW w:w="2268" w:type="dxa"/>
                  <w:shd w:val="clear" w:color="auto" w:fill="auto"/>
                </w:tcPr>
                <w:p w:rsidRPr="00BF61B6" w:rsidR="00B111CA" w:rsidP="0059793A" w:rsidRDefault="00B111CA" w14:paraId="1BE12B2F" w14:textId="77777777">
                  <w:pPr>
                    <w:rPr>
                      <w:b/>
                      <w:sz w:val="20"/>
                    </w:rPr>
                  </w:pPr>
                  <w:r w:rsidRPr="00BF61B6">
                    <w:rPr>
                      <w:b/>
                      <w:sz w:val="20"/>
                    </w:rPr>
                    <w:t>EBM+S26 HMF</w:t>
                  </w:r>
                </w:p>
              </w:tc>
              <w:tc>
                <w:tcPr>
                  <w:tcW w:w="1985" w:type="dxa"/>
                  <w:shd w:val="clear" w:color="auto" w:fill="auto"/>
                </w:tcPr>
                <w:p w:rsidRPr="00BF61B6" w:rsidR="00B111CA" w:rsidP="0059793A" w:rsidRDefault="00B111CA" w14:paraId="28426AD0" w14:textId="77777777">
                  <w:pPr>
                    <w:jc w:val="center"/>
                    <w:rPr>
                      <w:sz w:val="20"/>
                    </w:rPr>
                  </w:pPr>
                  <w:r w:rsidRPr="00BF61B6">
                    <w:rPr>
                      <w:sz w:val="20"/>
                    </w:rPr>
                    <w:t>0.04 mg/kg/day</w:t>
                  </w:r>
                </w:p>
              </w:tc>
              <w:tc>
                <w:tcPr>
                  <w:tcW w:w="2126" w:type="dxa"/>
                </w:tcPr>
                <w:p w:rsidRPr="00BF61B6" w:rsidR="00B111CA" w:rsidP="0059793A" w:rsidRDefault="00B111CA" w14:paraId="17088502" w14:textId="77777777">
                  <w:pPr>
                    <w:jc w:val="center"/>
                    <w:rPr>
                      <w:sz w:val="20"/>
                    </w:rPr>
                  </w:pPr>
                  <w:r w:rsidRPr="00BF61B6">
                    <w:rPr>
                      <w:sz w:val="20"/>
                    </w:rPr>
                    <w:t>0.05 mg/kg/day</w:t>
                  </w:r>
                </w:p>
              </w:tc>
              <w:tc>
                <w:tcPr>
                  <w:tcW w:w="1984" w:type="dxa"/>
                </w:tcPr>
                <w:p w:rsidRPr="00BF61B6" w:rsidR="00B111CA" w:rsidP="0059793A" w:rsidRDefault="00B111CA" w14:paraId="3CE3503B" w14:textId="77777777">
                  <w:pPr>
                    <w:jc w:val="center"/>
                    <w:rPr>
                      <w:sz w:val="20"/>
                    </w:rPr>
                  </w:pPr>
                  <w:r w:rsidRPr="00BF61B6">
                    <w:rPr>
                      <w:sz w:val="20"/>
                    </w:rPr>
                    <w:t>0.054 mg/kg/day</w:t>
                  </w:r>
                </w:p>
              </w:tc>
            </w:tr>
            <w:tr w:rsidRPr="00BF61B6" w:rsidR="00B111CA" w:rsidTr="0059793A" w14:paraId="1E3CDE35" w14:textId="77777777">
              <w:tc>
                <w:tcPr>
                  <w:tcW w:w="2268" w:type="dxa"/>
                  <w:shd w:val="clear" w:color="auto" w:fill="auto"/>
                </w:tcPr>
                <w:p w:rsidRPr="00BF61B6" w:rsidR="00B111CA" w:rsidP="0059793A" w:rsidRDefault="00B111CA" w14:paraId="777B521F" w14:textId="77777777">
                  <w:pPr>
                    <w:rPr>
                      <w:b/>
                      <w:sz w:val="20"/>
                    </w:rPr>
                  </w:pPr>
                  <w:r w:rsidRPr="00BF61B6">
                    <w:rPr>
                      <w:b/>
                      <w:sz w:val="20"/>
                    </w:rPr>
                    <w:t xml:space="preserve">EBM+FM 85 </w:t>
                  </w:r>
                </w:p>
              </w:tc>
              <w:tc>
                <w:tcPr>
                  <w:tcW w:w="1985" w:type="dxa"/>
                  <w:shd w:val="clear" w:color="auto" w:fill="auto"/>
                </w:tcPr>
                <w:p w:rsidRPr="00BF61B6" w:rsidR="00B111CA" w:rsidP="0059793A" w:rsidRDefault="00B111CA" w14:paraId="510A5EFB" w14:textId="77777777">
                  <w:pPr>
                    <w:jc w:val="center"/>
                    <w:rPr>
                      <w:sz w:val="20"/>
                    </w:rPr>
                  </w:pPr>
                  <w:r w:rsidRPr="00BF61B6">
                    <w:rPr>
                      <w:sz w:val="20"/>
                    </w:rPr>
                    <w:t>2.1 mg/kg/day</w:t>
                  </w:r>
                </w:p>
              </w:tc>
              <w:tc>
                <w:tcPr>
                  <w:tcW w:w="2126" w:type="dxa"/>
                </w:tcPr>
                <w:p w:rsidRPr="00BF61B6" w:rsidR="00B111CA" w:rsidP="0059793A" w:rsidRDefault="00B111CA" w14:paraId="15EA966F" w14:textId="77777777">
                  <w:pPr>
                    <w:jc w:val="center"/>
                    <w:rPr>
                      <w:sz w:val="20"/>
                    </w:rPr>
                  </w:pPr>
                  <w:r w:rsidRPr="00BF61B6">
                    <w:rPr>
                      <w:sz w:val="20"/>
                    </w:rPr>
                    <w:t>2.4 mg/kg/day</w:t>
                  </w:r>
                </w:p>
              </w:tc>
              <w:tc>
                <w:tcPr>
                  <w:tcW w:w="1984" w:type="dxa"/>
                </w:tcPr>
                <w:p w:rsidRPr="00BF61B6" w:rsidR="00B111CA" w:rsidP="0059793A" w:rsidRDefault="00B111CA" w14:paraId="6399CC3B" w14:textId="77777777">
                  <w:pPr>
                    <w:jc w:val="center"/>
                    <w:rPr>
                      <w:sz w:val="20"/>
                    </w:rPr>
                  </w:pPr>
                  <w:r w:rsidRPr="00BF61B6">
                    <w:rPr>
                      <w:sz w:val="20"/>
                    </w:rPr>
                    <w:t>2.7 mg/kg/day</w:t>
                  </w:r>
                </w:p>
              </w:tc>
            </w:tr>
            <w:tr w:rsidRPr="00BF61B6" w:rsidR="00B111CA" w:rsidTr="0059793A" w14:paraId="384077AA" w14:textId="77777777">
              <w:tc>
                <w:tcPr>
                  <w:tcW w:w="2268" w:type="dxa"/>
                  <w:shd w:val="clear" w:color="auto" w:fill="auto"/>
                </w:tcPr>
                <w:p w:rsidRPr="00BF61B6" w:rsidR="00B111CA" w:rsidP="0059793A" w:rsidRDefault="00B111CA" w14:paraId="20256AE0" w14:textId="77777777">
                  <w:pPr>
                    <w:rPr>
                      <w:b/>
                      <w:sz w:val="20"/>
                    </w:rPr>
                  </w:pPr>
                  <w:r w:rsidRPr="00BF61B6">
                    <w:rPr>
                      <w:b/>
                      <w:sz w:val="20"/>
                    </w:rPr>
                    <w:t>EBM+Nutricia BMF</w:t>
                  </w:r>
                </w:p>
              </w:tc>
              <w:tc>
                <w:tcPr>
                  <w:tcW w:w="1985" w:type="dxa"/>
                  <w:shd w:val="clear" w:color="auto" w:fill="auto"/>
                </w:tcPr>
                <w:p w:rsidRPr="00BF61B6" w:rsidR="00B111CA" w:rsidDel="004200C9" w:rsidP="0059793A" w:rsidRDefault="00B111CA" w14:paraId="5681E220" w14:textId="77777777">
                  <w:pPr>
                    <w:jc w:val="center"/>
                    <w:rPr>
                      <w:sz w:val="20"/>
                    </w:rPr>
                  </w:pPr>
                  <w:r w:rsidRPr="00BF61B6">
                    <w:rPr>
                      <w:sz w:val="20"/>
                    </w:rPr>
                    <w:t>0.04 mg/kg/day</w:t>
                  </w:r>
                </w:p>
              </w:tc>
              <w:tc>
                <w:tcPr>
                  <w:tcW w:w="2126" w:type="dxa"/>
                </w:tcPr>
                <w:p w:rsidRPr="00BF61B6" w:rsidR="00B111CA" w:rsidP="0059793A" w:rsidRDefault="00B111CA" w14:paraId="4FCCBBCB" w14:textId="77777777">
                  <w:pPr>
                    <w:jc w:val="center"/>
                    <w:rPr>
                      <w:sz w:val="20"/>
                    </w:rPr>
                  </w:pPr>
                  <w:r w:rsidRPr="00BF61B6">
                    <w:rPr>
                      <w:sz w:val="20"/>
                    </w:rPr>
                    <w:t>0.05 mg/kg/day</w:t>
                  </w:r>
                </w:p>
              </w:tc>
              <w:tc>
                <w:tcPr>
                  <w:tcW w:w="1984" w:type="dxa"/>
                </w:tcPr>
                <w:p w:rsidRPr="00BF61B6" w:rsidR="00B111CA" w:rsidP="0059793A" w:rsidRDefault="00B111CA" w14:paraId="7C4D303C" w14:textId="77777777">
                  <w:pPr>
                    <w:jc w:val="center"/>
                    <w:rPr>
                      <w:sz w:val="20"/>
                    </w:rPr>
                  </w:pPr>
                  <w:r w:rsidRPr="00BF61B6">
                    <w:rPr>
                      <w:sz w:val="20"/>
                    </w:rPr>
                    <w:t>0.054 mg/kg/day</w:t>
                  </w:r>
                </w:p>
              </w:tc>
            </w:tr>
            <w:tr w:rsidRPr="00BF61B6" w:rsidR="00B111CA" w:rsidTr="0059793A" w14:paraId="015181F1" w14:textId="77777777">
              <w:tc>
                <w:tcPr>
                  <w:tcW w:w="2268" w:type="dxa"/>
                  <w:shd w:val="clear" w:color="auto" w:fill="auto"/>
                </w:tcPr>
                <w:p w:rsidRPr="00BF61B6" w:rsidR="00B111CA" w:rsidP="0059793A" w:rsidRDefault="00B111CA" w14:paraId="1C3B96FE" w14:textId="77777777">
                  <w:pPr>
                    <w:rPr>
                      <w:b/>
                      <w:sz w:val="20"/>
                    </w:rPr>
                  </w:pPr>
                  <w:r w:rsidRPr="00BF61B6">
                    <w:rPr>
                      <w:b/>
                      <w:sz w:val="20"/>
                    </w:rPr>
                    <w:t>Neocate Gold</w:t>
                  </w:r>
                </w:p>
              </w:tc>
              <w:tc>
                <w:tcPr>
                  <w:tcW w:w="1985" w:type="dxa"/>
                  <w:shd w:val="clear" w:color="auto" w:fill="auto"/>
                </w:tcPr>
                <w:p w:rsidRPr="00BF61B6" w:rsidR="00B111CA" w:rsidP="0059793A" w:rsidRDefault="00B111CA" w14:paraId="351C46C5" w14:textId="77777777">
                  <w:pPr>
                    <w:jc w:val="center"/>
                    <w:rPr>
                      <w:sz w:val="20"/>
                    </w:rPr>
                  </w:pPr>
                  <w:r w:rsidRPr="00BF61B6">
                    <w:rPr>
                      <w:sz w:val="20"/>
                    </w:rPr>
                    <w:t>1.4 mg/kg/day</w:t>
                  </w:r>
                </w:p>
              </w:tc>
              <w:tc>
                <w:tcPr>
                  <w:tcW w:w="2126" w:type="dxa"/>
                </w:tcPr>
                <w:p w:rsidRPr="00BF61B6" w:rsidR="00B111CA" w:rsidP="0059793A" w:rsidRDefault="00B111CA" w14:paraId="18D3CBC2" w14:textId="77777777">
                  <w:pPr>
                    <w:jc w:val="center"/>
                    <w:rPr>
                      <w:sz w:val="20"/>
                    </w:rPr>
                  </w:pPr>
                  <w:r w:rsidRPr="00BF61B6">
                    <w:rPr>
                      <w:sz w:val="20"/>
                    </w:rPr>
                    <w:t>1.6 mg/kg/day</w:t>
                  </w:r>
                </w:p>
              </w:tc>
              <w:tc>
                <w:tcPr>
                  <w:tcW w:w="1984" w:type="dxa"/>
                </w:tcPr>
                <w:p w:rsidRPr="00BF61B6" w:rsidR="00B111CA" w:rsidP="0059793A" w:rsidRDefault="00B111CA" w14:paraId="103CA34D" w14:textId="77777777">
                  <w:pPr>
                    <w:jc w:val="center"/>
                    <w:rPr>
                      <w:sz w:val="20"/>
                    </w:rPr>
                  </w:pPr>
                  <w:r w:rsidRPr="00BF61B6">
                    <w:rPr>
                      <w:sz w:val="20"/>
                    </w:rPr>
                    <w:t>1.8 mg/kg/day</w:t>
                  </w:r>
                </w:p>
              </w:tc>
            </w:tr>
            <w:tr w:rsidRPr="00BF61B6" w:rsidR="00B111CA" w:rsidTr="0059793A" w14:paraId="4792C0D8" w14:textId="77777777">
              <w:tc>
                <w:tcPr>
                  <w:tcW w:w="2268" w:type="dxa"/>
                  <w:shd w:val="clear" w:color="auto" w:fill="auto"/>
                </w:tcPr>
                <w:p w:rsidRPr="00BF61B6" w:rsidR="00B111CA" w:rsidP="0059793A" w:rsidRDefault="00B111CA" w14:paraId="2EF29A2C" w14:textId="77777777">
                  <w:pPr>
                    <w:rPr>
                      <w:b/>
                      <w:sz w:val="20"/>
                    </w:rPr>
                  </w:pPr>
                  <w:r w:rsidRPr="00BF61B6">
                    <w:rPr>
                      <w:b/>
                      <w:sz w:val="20"/>
                    </w:rPr>
                    <w:t>Pre Nan Gold</w:t>
                  </w:r>
                </w:p>
              </w:tc>
              <w:tc>
                <w:tcPr>
                  <w:tcW w:w="1985" w:type="dxa"/>
                  <w:shd w:val="clear" w:color="auto" w:fill="auto"/>
                </w:tcPr>
                <w:p w:rsidRPr="00BF61B6" w:rsidR="00B111CA" w:rsidP="0059793A" w:rsidRDefault="00B111CA" w14:paraId="2C11567D" w14:textId="77777777">
                  <w:pPr>
                    <w:jc w:val="center"/>
                    <w:rPr>
                      <w:sz w:val="20"/>
                    </w:rPr>
                  </w:pPr>
                  <w:r w:rsidRPr="00BF61B6">
                    <w:rPr>
                      <w:sz w:val="20"/>
                    </w:rPr>
                    <w:t>2.5 mg/kg/day</w:t>
                  </w:r>
                </w:p>
              </w:tc>
              <w:tc>
                <w:tcPr>
                  <w:tcW w:w="2126" w:type="dxa"/>
                </w:tcPr>
                <w:p w:rsidRPr="00BF61B6" w:rsidR="00B111CA" w:rsidP="0059793A" w:rsidRDefault="00B111CA" w14:paraId="302FC9D9" w14:textId="77777777">
                  <w:pPr>
                    <w:jc w:val="center"/>
                    <w:rPr>
                      <w:sz w:val="20"/>
                    </w:rPr>
                  </w:pPr>
                  <w:r w:rsidRPr="00BF61B6">
                    <w:rPr>
                      <w:sz w:val="20"/>
                    </w:rPr>
                    <w:t>2.9 mg/kg/day</w:t>
                  </w:r>
                </w:p>
              </w:tc>
              <w:tc>
                <w:tcPr>
                  <w:tcW w:w="1984" w:type="dxa"/>
                </w:tcPr>
                <w:p w:rsidRPr="00BF61B6" w:rsidR="00B111CA" w:rsidP="0059793A" w:rsidRDefault="00B111CA" w14:paraId="345F5027" w14:textId="77777777">
                  <w:pPr>
                    <w:jc w:val="center"/>
                    <w:rPr>
                      <w:sz w:val="20"/>
                    </w:rPr>
                  </w:pPr>
                  <w:r w:rsidRPr="00BF61B6">
                    <w:rPr>
                      <w:sz w:val="20"/>
                    </w:rPr>
                    <w:t>3.2 mg/kg/day</w:t>
                  </w:r>
                </w:p>
              </w:tc>
            </w:tr>
            <w:tr w:rsidRPr="00BF61B6" w:rsidR="00B111CA" w:rsidTr="0059793A" w14:paraId="258703DB" w14:textId="77777777">
              <w:tc>
                <w:tcPr>
                  <w:tcW w:w="2268" w:type="dxa"/>
                  <w:shd w:val="clear" w:color="auto" w:fill="auto"/>
                </w:tcPr>
                <w:p w:rsidRPr="00BF61B6" w:rsidR="00B111CA" w:rsidP="0059793A" w:rsidRDefault="00B111CA" w14:paraId="63FD0A67" w14:textId="77777777">
                  <w:pPr>
                    <w:rPr>
                      <w:b/>
                      <w:sz w:val="20"/>
                    </w:rPr>
                  </w:pPr>
                  <w:r w:rsidRPr="00BF61B6">
                    <w:rPr>
                      <w:b/>
                      <w:sz w:val="20"/>
                    </w:rPr>
                    <w:t>Aptamil Gold + Preterm</w:t>
                  </w:r>
                </w:p>
              </w:tc>
              <w:tc>
                <w:tcPr>
                  <w:tcW w:w="1985" w:type="dxa"/>
                  <w:shd w:val="clear" w:color="auto" w:fill="auto"/>
                </w:tcPr>
                <w:p w:rsidRPr="00BF61B6" w:rsidR="00B111CA" w:rsidP="0059793A" w:rsidRDefault="00B111CA" w14:paraId="7D84F12C" w14:textId="77777777">
                  <w:pPr>
                    <w:jc w:val="center"/>
                    <w:rPr>
                      <w:sz w:val="20"/>
                    </w:rPr>
                  </w:pPr>
                  <w:r w:rsidRPr="00BF61B6">
                    <w:rPr>
                      <w:sz w:val="20"/>
                    </w:rPr>
                    <w:t>2.2 mg/kg/day</w:t>
                  </w:r>
                </w:p>
              </w:tc>
              <w:tc>
                <w:tcPr>
                  <w:tcW w:w="2126" w:type="dxa"/>
                </w:tcPr>
                <w:p w:rsidRPr="00BF61B6" w:rsidR="00B111CA" w:rsidP="0059793A" w:rsidRDefault="00B111CA" w14:paraId="70252A6E" w14:textId="77777777">
                  <w:pPr>
                    <w:jc w:val="center"/>
                    <w:rPr>
                      <w:sz w:val="20"/>
                    </w:rPr>
                  </w:pPr>
                  <w:r w:rsidRPr="00BF61B6">
                    <w:rPr>
                      <w:sz w:val="20"/>
                    </w:rPr>
                    <w:t>2.6 mg/kg/day</w:t>
                  </w:r>
                </w:p>
              </w:tc>
              <w:tc>
                <w:tcPr>
                  <w:tcW w:w="1984" w:type="dxa"/>
                </w:tcPr>
                <w:p w:rsidRPr="00BF61B6" w:rsidR="00B111CA" w:rsidP="0059793A" w:rsidRDefault="00B111CA" w14:paraId="5CD9AB21" w14:textId="77777777">
                  <w:pPr>
                    <w:jc w:val="center"/>
                    <w:rPr>
                      <w:sz w:val="20"/>
                    </w:rPr>
                  </w:pPr>
                  <w:r w:rsidRPr="00BF61B6">
                    <w:rPr>
                      <w:sz w:val="20"/>
                    </w:rPr>
                    <w:t>2.9 mg/kg/day</w:t>
                  </w:r>
                </w:p>
              </w:tc>
            </w:tr>
            <w:tr w:rsidRPr="00BF61B6" w:rsidR="00B111CA" w:rsidTr="0059793A" w14:paraId="153A5606" w14:textId="77777777">
              <w:tc>
                <w:tcPr>
                  <w:tcW w:w="2268" w:type="dxa"/>
                  <w:shd w:val="clear" w:color="auto" w:fill="auto"/>
                </w:tcPr>
                <w:p w:rsidRPr="00BF61B6" w:rsidR="00B111CA" w:rsidDel="00655BA3" w:rsidP="0059793A" w:rsidRDefault="00B111CA" w14:paraId="47ABAD7E" w14:textId="77777777">
                  <w:pPr>
                    <w:rPr>
                      <w:b/>
                      <w:sz w:val="20"/>
                    </w:rPr>
                  </w:pPr>
                  <w:r w:rsidRPr="00BF61B6">
                    <w:rPr>
                      <w:b/>
                      <w:sz w:val="20"/>
                    </w:rPr>
                    <w:t>S26LBW</w:t>
                  </w:r>
                </w:p>
              </w:tc>
              <w:tc>
                <w:tcPr>
                  <w:tcW w:w="1985" w:type="dxa"/>
                  <w:shd w:val="clear" w:color="auto" w:fill="auto"/>
                </w:tcPr>
                <w:p w:rsidRPr="00BF61B6" w:rsidR="00B111CA" w:rsidDel="00655BA3" w:rsidP="0059793A" w:rsidRDefault="00B111CA" w14:paraId="202B98D0" w14:textId="77777777">
                  <w:pPr>
                    <w:jc w:val="center"/>
                    <w:rPr>
                      <w:sz w:val="20"/>
                    </w:rPr>
                  </w:pPr>
                  <w:r w:rsidRPr="00BF61B6">
                    <w:rPr>
                      <w:sz w:val="20"/>
                    </w:rPr>
                    <w:t>2.0 mg/kg/day</w:t>
                  </w:r>
                </w:p>
              </w:tc>
              <w:tc>
                <w:tcPr>
                  <w:tcW w:w="2126" w:type="dxa"/>
                </w:tcPr>
                <w:p w:rsidRPr="00BF61B6" w:rsidR="00B111CA" w:rsidP="0059793A" w:rsidRDefault="00B111CA" w14:paraId="43921577" w14:textId="77777777">
                  <w:pPr>
                    <w:jc w:val="center"/>
                    <w:rPr>
                      <w:sz w:val="20"/>
                    </w:rPr>
                  </w:pPr>
                  <w:r w:rsidRPr="00BF61B6">
                    <w:rPr>
                      <w:sz w:val="20"/>
                    </w:rPr>
                    <w:t>2.2 mg/kg/day</w:t>
                  </w:r>
                </w:p>
              </w:tc>
              <w:tc>
                <w:tcPr>
                  <w:tcW w:w="1984" w:type="dxa"/>
                </w:tcPr>
                <w:p w:rsidRPr="00BF61B6" w:rsidR="00B111CA" w:rsidP="0059793A" w:rsidRDefault="00B111CA" w14:paraId="564E4F05" w14:textId="77777777">
                  <w:pPr>
                    <w:jc w:val="center"/>
                    <w:rPr>
                      <w:sz w:val="20"/>
                    </w:rPr>
                  </w:pPr>
                  <w:r w:rsidRPr="00BF61B6">
                    <w:rPr>
                      <w:sz w:val="20"/>
                    </w:rPr>
                    <w:t>2.5 mg/kg/day</w:t>
                  </w:r>
                </w:p>
              </w:tc>
            </w:tr>
            <w:tr w:rsidRPr="00BF61B6" w:rsidR="00B111CA" w:rsidTr="0059793A" w14:paraId="4D4BCBC6" w14:textId="77777777">
              <w:tc>
                <w:tcPr>
                  <w:tcW w:w="2268" w:type="dxa"/>
                  <w:shd w:val="clear" w:color="auto" w:fill="auto"/>
                </w:tcPr>
                <w:p w:rsidRPr="00BF61B6" w:rsidR="00B111CA" w:rsidP="0059793A" w:rsidRDefault="00B111CA" w14:paraId="7A02EA89" w14:textId="77777777">
                  <w:pPr>
                    <w:rPr>
                      <w:b/>
                      <w:sz w:val="20"/>
                    </w:rPr>
                  </w:pPr>
                  <w:r w:rsidRPr="00BF61B6">
                    <w:rPr>
                      <w:b/>
                      <w:sz w:val="20"/>
                    </w:rPr>
                    <w:t>Elecare/Elecare LCP</w:t>
                  </w:r>
                </w:p>
              </w:tc>
              <w:tc>
                <w:tcPr>
                  <w:tcW w:w="1985" w:type="dxa"/>
                  <w:shd w:val="clear" w:color="auto" w:fill="auto"/>
                </w:tcPr>
                <w:p w:rsidRPr="00BF61B6" w:rsidR="00B111CA" w:rsidP="0059793A" w:rsidRDefault="00B111CA" w14:paraId="5CEC791D" w14:textId="77777777">
                  <w:pPr>
                    <w:jc w:val="center"/>
                    <w:rPr>
                      <w:sz w:val="20"/>
                    </w:rPr>
                  </w:pPr>
                  <w:r w:rsidRPr="00BF61B6">
                    <w:rPr>
                      <w:sz w:val="20"/>
                    </w:rPr>
                    <w:t>1.7 mg/kg/day</w:t>
                  </w:r>
                </w:p>
              </w:tc>
              <w:tc>
                <w:tcPr>
                  <w:tcW w:w="2126" w:type="dxa"/>
                </w:tcPr>
                <w:p w:rsidRPr="00BF61B6" w:rsidR="00B111CA" w:rsidP="0059793A" w:rsidRDefault="00B111CA" w14:paraId="76EF2460" w14:textId="77777777">
                  <w:pPr>
                    <w:jc w:val="center"/>
                    <w:rPr>
                      <w:sz w:val="20"/>
                    </w:rPr>
                  </w:pPr>
                  <w:r w:rsidRPr="00BF61B6">
                    <w:rPr>
                      <w:sz w:val="20"/>
                    </w:rPr>
                    <w:t>1.9 mg/kg/day</w:t>
                  </w:r>
                </w:p>
              </w:tc>
              <w:tc>
                <w:tcPr>
                  <w:tcW w:w="1984" w:type="dxa"/>
                </w:tcPr>
                <w:p w:rsidRPr="00BF61B6" w:rsidR="00B111CA" w:rsidP="0059793A" w:rsidRDefault="00B111CA" w14:paraId="4F5364B8" w14:textId="77777777">
                  <w:pPr>
                    <w:jc w:val="center"/>
                    <w:rPr>
                      <w:sz w:val="20"/>
                    </w:rPr>
                  </w:pPr>
                  <w:r w:rsidRPr="00BF61B6">
                    <w:rPr>
                      <w:sz w:val="20"/>
                    </w:rPr>
                    <w:t xml:space="preserve">2.2 mg/kg/day </w:t>
                  </w:r>
                </w:p>
              </w:tc>
            </w:tr>
            <w:tr w:rsidRPr="00BF61B6" w:rsidR="00B111CA" w:rsidTr="0059793A" w14:paraId="3D54F310" w14:textId="77777777">
              <w:tc>
                <w:tcPr>
                  <w:tcW w:w="2268" w:type="dxa"/>
                  <w:shd w:val="clear" w:color="auto" w:fill="auto"/>
                </w:tcPr>
                <w:p w:rsidRPr="00BF61B6" w:rsidR="00B111CA" w:rsidP="0059793A" w:rsidRDefault="00B111CA" w14:paraId="6FD5381A" w14:textId="77777777">
                  <w:pPr>
                    <w:rPr>
                      <w:b/>
                      <w:sz w:val="20"/>
                    </w:rPr>
                  </w:pPr>
                  <w:r w:rsidRPr="00BF61B6">
                    <w:rPr>
                      <w:b/>
                      <w:sz w:val="20"/>
                    </w:rPr>
                    <w:t>Pepti-Junior</w:t>
                  </w:r>
                </w:p>
              </w:tc>
              <w:tc>
                <w:tcPr>
                  <w:tcW w:w="1985" w:type="dxa"/>
                  <w:shd w:val="clear" w:color="auto" w:fill="auto"/>
                </w:tcPr>
                <w:p w:rsidRPr="00BF61B6" w:rsidR="00B111CA" w:rsidDel="00655BA3" w:rsidP="0059793A" w:rsidRDefault="00B111CA" w14:paraId="61D64118" w14:textId="77777777">
                  <w:pPr>
                    <w:jc w:val="center"/>
                    <w:rPr>
                      <w:sz w:val="20"/>
                    </w:rPr>
                  </w:pPr>
                  <w:r w:rsidRPr="00BF61B6">
                    <w:rPr>
                      <w:sz w:val="20"/>
                    </w:rPr>
                    <w:t>1 mg/kg/day</w:t>
                  </w:r>
                </w:p>
              </w:tc>
              <w:tc>
                <w:tcPr>
                  <w:tcW w:w="2126" w:type="dxa"/>
                </w:tcPr>
                <w:p w:rsidRPr="00BF61B6" w:rsidR="00B111CA" w:rsidP="0059793A" w:rsidRDefault="00B111CA" w14:paraId="738C151A" w14:textId="77777777">
                  <w:pPr>
                    <w:jc w:val="center"/>
                    <w:rPr>
                      <w:sz w:val="20"/>
                    </w:rPr>
                  </w:pPr>
                  <w:r w:rsidRPr="00BF61B6">
                    <w:rPr>
                      <w:sz w:val="20"/>
                    </w:rPr>
                    <w:t>1.2 mg/kg/day</w:t>
                  </w:r>
                </w:p>
              </w:tc>
              <w:tc>
                <w:tcPr>
                  <w:tcW w:w="1984" w:type="dxa"/>
                </w:tcPr>
                <w:p w:rsidRPr="00BF61B6" w:rsidR="00B111CA" w:rsidP="0059793A" w:rsidRDefault="00B111CA" w14:paraId="6012690D" w14:textId="77777777">
                  <w:pPr>
                    <w:jc w:val="center"/>
                    <w:rPr>
                      <w:sz w:val="20"/>
                    </w:rPr>
                  </w:pPr>
                  <w:r w:rsidRPr="00BF61B6">
                    <w:rPr>
                      <w:sz w:val="20"/>
                    </w:rPr>
                    <w:t>1.4 mg/kg/day</w:t>
                  </w:r>
                </w:p>
              </w:tc>
            </w:tr>
            <w:tr w:rsidRPr="00BF61B6" w:rsidR="00B111CA" w:rsidTr="0059793A" w14:paraId="5C88FB56" w14:textId="77777777">
              <w:tc>
                <w:tcPr>
                  <w:tcW w:w="2268" w:type="dxa"/>
                  <w:shd w:val="clear" w:color="auto" w:fill="auto"/>
                </w:tcPr>
                <w:p w:rsidRPr="00BF61B6" w:rsidR="00B111CA" w:rsidP="0059793A" w:rsidRDefault="00B111CA" w14:paraId="7EFD7065" w14:textId="77777777">
                  <w:pPr>
                    <w:rPr>
                      <w:b/>
                      <w:sz w:val="20"/>
                    </w:rPr>
                  </w:pPr>
                  <w:r w:rsidRPr="00BF61B6">
                    <w:rPr>
                      <w:b/>
                      <w:sz w:val="20"/>
                    </w:rPr>
                    <w:t>Term Aptamil</w:t>
                  </w:r>
                </w:p>
              </w:tc>
              <w:tc>
                <w:tcPr>
                  <w:tcW w:w="1985" w:type="dxa"/>
                  <w:shd w:val="clear" w:color="auto" w:fill="auto"/>
                </w:tcPr>
                <w:p w:rsidRPr="00BF61B6" w:rsidR="00B111CA" w:rsidP="0059793A" w:rsidRDefault="00B111CA" w14:paraId="5BCDCCC0" w14:textId="77777777">
                  <w:pPr>
                    <w:jc w:val="center"/>
                    <w:rPr>
                      <w:sz w:val="20"/>
                    </w:rPr>
                  </w:pPr>
                  <w:r w:rsidRPr="00BF61B6">
                    <w:rPr>
                      <w:sz w:val="20"/>
                    </w:rPr>
                    <w:t>0.78 mg/kg/day</w:t>
                  </w:r>
                </w:p>
              </w:tc>
              <w:tc>
                <w:tcPr>
                  <w:tcW w:w="2126" w:type="dxa"/>
                </w:tcPr>
                <w:p w:rsidRPr="00BF61B6" w:rsidR="00B111CA" w:rsidP="0059793A" w:rsidRDefault="00B111CA" w14:paraId="0134B78C" w14:textId="77777777">
                  <w:pPr>
                    <w:jc w:val="center"/>
                    <w:rPr>
                      <w:sz w:val="20"/>
                    </w:rPr>
                  </w:pPr>
                  <w:r w:rsidRPr="00BF61B6">
                    <w:rPr>
                      <w:sz w:val="20"/>
                    </w:rPr>
                    <w:t>0.9 mg/kg/day</w:t>
                  </w:r>
                </w:p>
              </w:tc>
              <w:tc>
                <w:tcPr>
                  <w:tcW w:w="1984" w:type="dxa"/>
                </w:tcPr>
                <w:p w:rsidRPr="00BF61B6" w:rsidR="00B111CA" w:rsidP="0059793A" w:rsidRDefault="00B111CA" w14:paraId="5E722882" w14:textId="77777777">
                  <w:pPr>
                    <w:jc w:val="center"/>
                    <w:rPr>
                      <w:sz w:val="20"/>
                    </w:rPr>
                  </w:pPr>
                  <w:r w:rsidRPr="00BF61B6">
                    <w:rPr>
                      <w:sz w:val="20"/>
                    </w:rPr>
                    <w:t>1 mg/kg/day</w:t>
                  </w:r>
                </w:p>
              </w:tc>
            </w:tr>
            <w:tr w:rsidRPr="00BF61B6" w:rsidR="00B111CA" w:rsidTr="0059793A" w14:paraId="54796767" w14:textId="77777777">
              <w:tc>
                <w:tcPr>
                  <w:tcW w:w="2268" w:type="dxa"/>
                  <w:shd w:val="clear" w:color="auto" w:fill="auto"/>
                </w:tcPr>
                <w:p w:rsidRPr="00BF61B6" w:rsidR="00B111CA" w:rsidP="0059793A" w:rsidRDefault="00B111CA" w14:paraId="0E1EFE11" w14:textId="77777777">
                  <w:pPr>
                    <w:rPr>
                      <w:b/>
                      <w:sz w:val="20"/>
                    </w:rPr>
                  </w:pPr>
                  <w:r w:rsidRPr="00BF61B6">
                    <w:rPr>
                      <w:b/>
                      <w:sz w:val="20"/>
                    </w:rPr>
                    <w:t>S26 Gold Newborn</w:t>
                  </w:r>
                </w:p>
              </w:tc>
              <w:tc>
                <w:tcPr>
                  <w:tcW w:w="1985" w:type="dxa"/>
                  <w:shd w:val="clear" w:color="auto" w:fill="auto"/>
                </w:tcPr>
                <w:p w:rsidRPr="00BF61B6" w:rsidR="00B111CA" w:rsidP="0059793A" w:rsidRDefault="00B111CA" w14:paraId="56059443" w14:textId="77777777">
                  <w:pPr>
                    <w:jc w:val="center"/>
                    <w:rPr>
                      <w:sz w:val="20"/>
                    </w:rPr>
                  </w:pPr>
                  <w:r w:rsidRPr="00BF61B6">
                    <w:rPr>
                      <w:sz w:val="20"/>
                    </w:rPr>
                    <w:t>1.12 mg/kg/day</w:t>
                  </w:r>
                </w:p>
              </w:tc>
              <w:tc>
                <w:tcPr>
                  <w:tcW w:w="2126" w:type="dxa"/>
                </w:tcPr>
                <w:p w:rsidRPr="00BF61B6" w:rsidR="00B111CA" w:rsidP="0059793A" w:rsidRDefault="00B111CA" w14:paraId="2F15B01F" w14:textId="77777777">
                  <w:pPr>
                    <w:jc w:val="center"/>
                    <w:rPr>
                      <w:sz w:val="20"/>
                    </w:rPr>
                  </w:pPr>
                  <w:r w:rsidRPr="00BF61B6">
                    <w:rPr>
                      <w:sz w:val="20"/>
                    </w:rPr>
                    <w:t>1.3 mg/kg/day</w:t>
                  </w:r>
                </w:p>
              </w:tc>
              <w:tc>
                <w:tcPr>
                  <w:tcW w:w="1984" w:type="dxa"/>
                </w:tcPr>
                <w:p w:rsidRPr="00BF61B6" w:rsidR="00B111CA" w:rsidP="0059793A" w:rsidRDefault="00B111CA" w14:paraId="6E1270AC" w14:textId="77777777">
                  <w:pPr>
                    <w:jc w:val="center"/>
                    <w:rPr>
                      <w:sz w:val="20"/>
                    </w:rPr>
                  </w:pPr>
                  <w:r w:rsidRPr="00BF61B6">
                    <w:rPr>
                      <w:sz w:val="20"/>
                    </w:rPr>
                    <w:t>1.4 mg/kg/day</w:t>
                  </w:r>
                </w:p>
              </w:tc>
            </w:tr>
            <w:tr w:rsidRPr="00BF61B6" w:rsidR="00B111CA" w:rsidTr="0059793A" w14:paraId="75BE7C44" w14:textId="77777777">
              <w:tc>
                <w:tcPr>
                  <w:tcW w:w="2268" w:type="dxa"/>
                  <w:shd w:val="clear" w:color="auto" w:fill="auto"/>
                </w:tcPr>
                <w:p w:rsidRPr="00BF61B6" w:rsidR="00B111CA" w:rsidP="0059793A" w:rsidRDefault="00B111CA" w14:paraId="5080AA11" w14:textId="77777777">
                  <w:pPr>
                    <w:rPr>
                      <w:b/>
                      <w:sz w:val="20"/>
                    </w:rPr>
                  </w:pPr>
                  <w:r w:rsidRPr="00BF61B6">
                    <w:rPr>
                      <w:b/>
                      <w:sz w:val="20"/>
                    </w:rPr>
                    <w:t>Nestle NAN Supreme 1</w:t>
                  </w:r>
                </w:p>
              </w:tc>
              <w:tc>
                <w:tcPr>
                  <w:tcW w:w="1985" w:type="dxa"/>
                  <w:shd w:val="clear" w:color="auto" w:fill="auto"/>
                </w:tcPr>
                <w:p w:rsidRPr="00BF61B6" w:rsidR="00B111CA" w:rsidP="0059793A" w:rsidRDefault="00B111CA" w14:paraId="73092B3C" w14:textId="77777777">
                  <w:pPr>
                    <w:jc w:val="center"/>
                    <w:rPr>
                      <w:sz w:val="20"/>
                    </w:rPr>
                  </w:pPr>
                  <w:r w:rsidRPr="00BF61B6">
                    <w:rPr>
                      <w:sz w:val="20"/>
                    </w:rPr>
                    <w:t>0.98 mg/kg/day</w:t>
                  </w:r>
                </w:p>
              </w:tc>
              <w:tc>
                <w:tcPr>
                  <w:tcW w:w="2126" w:type="dxa"/>
                </w:tcPr>
                <w:p w:rsidRPr="00BF61B6" w:rsidR="00B111CA" w:rsidP="0059793A" w:rsidRDefault="00B111CA" w14:paraId="41CC8D90" w14:textId="77777777">
                  <w:pPr>
                    <w:jc w:val="center"/>
                    <w:rPr>
                      <w:sz w:val="20"/>
                    </w:rPr>
                  </w:pPr>
                  <w:r w:rsidRPr="00BF61B6">
                    <w:rPr>
                      <w:sz w:val="20"/>
                    </w:rPr>
                    <w:t>1.12 mg/kg/day</w:t>
                  </w:r>
                </w:p>
              </w:tc>
              <w:tc>
                <w:tcPr>
                  <w:tcW w:w="1984" w:type="dxa"/>
                </w:tcPr>
                <w:p w:rsidRPr="00BF61B6" w:rsidR="00B111CA" w:rsidP="0059793A" w:rsidRDefault="00B111CA" w14:paraId="5F5FB563" w14:textId="77777777">
                  <w:pPr>
                    <w:jc w:val="center"/>
                    <w:rPr>
                      <w:sz w:val="20"/>
                    </w:rPr>
                  </w:pPr>
                  <w:r w:rsidRPr="00BF61B6">
                    <w:rPr>
                      <w:sz w:val="20"/>
                    </w:rPr>
                    <w:t>1.26 mg/kg/day</w:t>
                  </w:r>
                </w:p>
              </w:tc>
            </w:tr>
          </w:tbl>
          <w:p w:rsidRPr="00BF61B6" w:rsidR="00B111CA" w:rsidP="0059793A" w:rsidRDefault="00B111CA" w14:paraId="27B22CB9" w14:textId="77777777">
            <w:pPr>
              <w:rPr>
                <w:sz w:val="20"/>
              </w:rPr>
            </w:pPr>
          </w:p>
        </w:tc>
      </w:tr>
      <w:tr w:rsidRPr="00BF61B6" w:rsidR="00B111CA" w:rsidTr="00B111CA" w14:paraId="1CADEF26" w14:textId="77777777">
        <w:trPr>
          <w:trHeight w:val="70"/>
        </w:trPr>
        <w:tc>
          <w:tcPr>
            <w:tcW w:w="1730" w:type="dxa"/>
          </w:tcPr>
          <w:p w:rsidRPr="00BF61B6" w:rsidR="00B111CA" w:rsidP="0059793A" w:rsidRDefault="00B111CA" w14:paraId="056F2E85" w14:textId="77777777">
            <w:pPr>
              <w:pStyle w:val="BodyText"/>
              <w:rPr>
                <w:rFonts w:cs="Arial"/>
                <w:b/>
                <w:bCs/>
                <w:sz w:val="20"/>
                <w:lang w:val="en-AU"/>
              </w:rPr>
            </w:pPr>
            <w:r w:rsidRPr="00BF61B6">
              <w:rPr>
                <w:rFonts w:cs="Arial"/>
                <w:b/>
                <w:bCs/>
                <w:sz w:val="20"/>
                <w:lang w:val="en-AU"/>
              </w:rPr>
              <w:t>Action</w:t>
            </w:r>
          </w:p>
        </w:tc>
        <w:tc>
          <w:tcPr>
            <w:tcW w:w="8505" w:type="dxa"/>
          </w:tcPr>
          <w:p w:rsidRPr="00BF61B6" w:rsidR="00B111CA" w:rsidP="0059793A" w:rsidRDefault="00B111CA" w14:paraId="15586A61" w14:textId="77777777">
            <w:pPr>
              <w:rPr>
                <w:rFonts w:cs="Arial"/>
                <w:sz w:val="20"/>
              </w:rPr>
            </w:pPr>
            <w:r w:rsidRPr="00BF61B6">
              <w:rPr>
                <w:rFonts w:cs="Arial"/>
                <w:sz w:val="20"/>
              </w:rPr>
              <w:t xml:space="preserve">Iron is needed to produce haemoglobin and certain iron-containing enzymes. </w:t>
            </w:r>
          </w:p>
          <w:p w:rsidRPr="00BF61B6" w:rsidR="00B111CA" w:rsidP="0059793A" w:rsidRDefault="00B111CA" w14:paraId="7BF5B857" w14:textId="77777777">
            <w:pPr>
              <w:rPr>
                <w:rFonts w:cs="Arial"/>
                <w:sz w:val="20"/>
              </w:rPr>
            </w:pPr>
            <w:r w:rsidRPr="00BF61B6">
              <w:rPr>
                <w:rFonts w:cs="Arial"/>
                <w:sz w:val="20"/>
              </w:rPr>
              <w:t>Ferrous sul</w:t>
            </w:r>
            <w:r>
              <w:rPr>
                <w:rFonts w:cs="Arial"/>
                <w:sz w:val="20"/>
              </w:rPr>
              <w:t>f</w:t>
            </w:r>
            <w:r w:rsidRPr="00BF61B6">
              <w:rPr>
                <w:rFonts w:cs="Arial"/>
                <w:sz w:val="20"/>
              </w:rPr>
              <w:t>ate corrects iron deficiency by re-saturating iron storage organs.</w:t>
            </w:r>
          </w:p>
        </w:tc>
      </w:tr>
      <w:tr w:rsidRPr="00BF61B6" w:rsidR="00B111CA" w:rsidTr="00B111CA" w14:paraId="48EF8AA0" w14:textId="77777777">
        <w:trPr>
          <w:trHeight w:val="266"/>
        </w:trPr>
        <w:tc>
          <w:tcPr>
            <w:tcW w:w="1730" w:type="dxa"/>
          </w:tcPr>
          <w:p w:rsidRPr="00BF61B6" w:rsidR="00B111CA" w:rsidP="0059793A" w:rsidRDefault="00B111CA" w14:paraId="57BC3CED" w14:textId="77777777">
            <w:pPr>
              <w:pStyle w:val="BodyText"/>
              <w:rPr>
                <w:rFonts w:cs="Arial"/>
                <w:sz w:val="20"/>
                <w:lang w:val="en-AU"/>
              </w:rPr>
            </w:pPr>
            <w:r w:rsidRPr="00BF61B6">
              <w:rPr>
                <w:rFonts w:cs="Arial"/>
                <w:b/>
                <w:bCs/>
                <w:sz w:val="20"/>
                <w:lang w:val="en-AU"/>
              </w:rPr>
              <w:t xml:space="preserve">Drug type                                   </w:t>
            </w:r>
          </w:p>
        </w:tc>
        <w:tc>
          <w:tcPr>
            <w:tcW w:w="8505" w:type="dxa"/>
          </w:tcPr>
          <w:p w:rsidRPr="00BF61B6" w:rsidR="00B111CA" w:rsidP="0059793A" w:rsidRDefault="00B111CA" w14:paraId="6B7A2BCF" w14:textId="77777777">
            <w:pPr>
              <w:pStyle w:val="BodyText"/>
              <w:rPr>
                <w:rFonts w:cs="Arial"/>
                <w:sz w:val="20"/>
                <w:lang w:val="en-AU"/>
              </w:rPr>
            </w:pPr>
            <w:r w:rsidRPr="00BF61B6">
              <w:rPr>
                <w:rFonts w:cs="Arial"/>
                <w:sz w:val="20"/>
                <w:lang w:val="en-AU"/>
              </w:rPr>
              <w:t>Mineral</w:t>
            </w:r>
          </w:p>
        </w:tc>
      </w:tr>
      <w:tr w:rsidRPr="00BF61B6" w:rsidR="00B111CA" w:rsidTr="00B111CA" w14:paraId="1AA9E10F" w14:textId="77777777">
        <w:trPr>
          <w:trHeight w:val="114"/>
        </w:trPr>
        <w:tc>
          <w:tcPr>
            <w:tcW w:w="1730" w:type="dxa"/>
          </w:tcPr>
          <w:p w:rsidRPr="00BF61B6" w:rsidR="00B111CA" w:rsidP="0059793A" w:rsidRDefault="00B111CA" w14:paraId="28A601A8" w14:textId="77777777">
            <w:pPr>
              <w:pStyle w:val="BodyText"/>
              <w:rPr>
                <w:rFonts w:cs="Arial"/>
                <w:b/>
                <w:bCs/>
                <w:sz w:val="20"/>
                <w:lang w:val="en-AU"/>
              </w:rPr>
            </w:pPr>
            <w:r w:rsidRPr="00BF61B6">
              <w:rPr>
                <w:rFonts w:cs="Arial"/>
                <w:b/>
                <w:bCs/>
                <w:sz w:val="20"/>
                <w:lang w:val="en-AU"/>
              </w:rPr>
              <w:t xml:space="preserve">Trade name                  </w:t>
            </w:r>
          </w:p>
        </w:tc>
        <w:tc>
          <w:tcPr>
            <w:tcW w:w="8505" w:type="dxa"/>
          </w:tcPr>
          <w:p w:rsidRPr="00BF61B6" w:rsidR="00B111CA" w:rsidP="0059793A" w:rsidRDefault="00B111CA" w14:paraId="039A423B" w14:textId="77777777">
            <w:pPr>
              <w:pStyle w:val="BodyText"/>
              <w:rPr>
                <w:rFonts w:cs="Arial"/>
                <w:sz w:val="20"/>
                <w:lang w:val="en-AU"/>
              </w:rPr>
            </w:pPr>
            <w:r w:rsidRPr="00BF61B6">
              <w:rPr>
                <w:rFonts w:cs="Arial"/>
                <w:sz w:val="20"/>
                <w:lang w:val="en-AU"/>
              </w:rPr>
              <w:t>ORAL: Ferro-</w:t>
            </w:r>
            <w:r>
              <w:rPr>
                <w:rFonts w:cs="Arial"/>
                <w:sz w:val="20"/>
                <w:lang w:val="en-AU"/>
              </w:rPr>
              <w:t>L</w:t>
            </w:r>
            <w:r w:rsidRPr="00BF61B6">
              <w:rPr>
                <w:rFonts w:cs="Arial"/>
                <w:sz w:val="20"/>
                <w:lang w:val="en-AU"/>
              </w:rPr>
              <w:t>iquid</w:t>
            </w:r>
            <w:r>
              <w:rPr>
                <w:rFonts w:cs="Arial"/>
                <w:sz w:val="20"/>
                <w:lang w:val="en-AU"/>
              </w:rPr>
              <w:t xml:space="preserve"> Oral</w:t>
            </w:r>
            <w:r w:rsidRPr="00BF61B6">
              <w:rPr>
                <w:rFonts w:cs="Arial"/>
                <w:sz w:val="20"/>
                <w:lang w:val="en-AU"/>
              </w:rPr>
              <w:t>, Maltofer</w:t>
            </w:r>
            <w:r>
              <w:rPr>
                <w:rFonts w:cs="Arial"/>
                <w:sz w:val="20"/>
                <w:lang w:val="en-AU"/>
              </w:rPr>
              <w:t xml:space="preserve"> Syrup</w:t>
            </w:r>
          </w:p>
          <w:p w:rsidRPr="00BF61B6" w:rsidR="00B111CA" w:rsidP="0059793A" w:rsidRDefault="00B111CA" w14:paraId="4FEB8DC0" w14:textId="77777777">
            <w:pPr>
              <w:pStyle w:val="BodyText"/>
              <w:rPr>
                <w:rFonts w:cs="Arial"/>
                <w:sz w:val="20"/>
                <w:lang w:val="en-AU"/>
              </w:rPr>
            </w:pPr>
            <w:r w:rsidRPr="00BF61B6">
              <w:rPr>
                <w:rFonts w:cs="Arial"/>
                <w:sz w:val="20"/>
                <w:lang w:val="en-AU"/>
              </w:rPr>
              <w:t xml:space="preserve">IV – Venofer, Ferrosig iron, </w:t>
            </w:r>
            <w:r>
              <w:rPr>
                <w:rFonts w:cs="Arial"/>
                <w:sz w:val="20"/>
                <w:lang w:val="en-AU"/>
              </w:rPr>
              <w:t xml:space="preserve">Ferrum H, </w:t>
            </w:r>
            <w:r w:rsidRPr="00BF61B6">
              <w:rPr>
                <w:rFonts w:cs="Arial"/>
                <w:sz w:val="20"/>
                <w:lang w:val="en-AU"/>
              </w:rPr>
              <w:t>Fer</w:t>
            </w:r>
            <w:r>
              <w:rPr>
                <w:rFonts w:cs="Arial"/>
                <w:sz w:val="20"/>
                <w:lang w:val="en-AU"/>
              </w:rPr>
              <w:t>i</w:t>
            </w:r>
            <w:r w:rsidRPr="00BF61B6">
              <w:rPr>
                <w:rFonts w:cs="Arial"/>
                <w:sz w:val="20"/>
                <w:lang w:val="en-AU"/>
              </w:rPr>
              <w:t>nject</w:t>
            </w:r>
          </w:p>
        </w:tc>
      </w:tr>
      <w:tr w:rsidRPr="00BF61B6" w:rsidR="00B111CA" w:rsidTr="00B111CA" w14:paraId="110B3C68" w14:textId="77777777">
        <w:trPr>
          <w:trHeight w:val="70"/>
        </w:trPr>
        <w:tc>
          <w:tcPr>
            <w:tcW w:w="1730" w:type="dxa"/>
          </w:tcPr>
          <w:p w:rsidRPr="00BF61B6" w:rsidR="00B111CA" w:rsidP="0059793A" w:rsidRDefault="00B111CA" w14:paraId="022BBBEB" w14:textId="77777777">
            <w:pPr>
              <w:pStyle w:val="BodyText"/>
              <w:rPr>
                <w:rFonts w:cs="Arial"/>
                <w:b/>
                <w:bCs/>
                <w:sz w:val="20"/>
                <w:lang w:val="en-AU"/>
              </w:rPr>
            </w:pPr>
            <w:r w:rsidRPr="00BF61B6">
              <w:rPr>
                <w:rFonts w:cs="Arial"/>
                <w:b/>
                <w:bCs/>
                <w:sz w:val="20"/>
                <w:lang w:val="en-AU"/>
              </w:rPr>
              <w:t xml:space="preserve">Presentation </w:t>
            </w:r>
          </w:p>
        </w:tc>
        <w:tc>
          <w:tcPr>
            <w:tcW w:w="8505" w:type="dxa"/>
          </w:tcPr>
          <w:p w:rsidRPr="00BF61B6" w:rsidR="00B111CA" w:rsidP="0059793A" w:rsidRDefault="00B111CA" w14:paraId="62D4D413" w14:textId="77777777">
            <w:pPr>
              <w:pStyle w:val="BodyText"/>
              <w:rPr>
                <w:rFonts w:cs="Arial"/>
                <w:b/>
                <w:sz w:val="20"/>
                <w:u w:val="single"/>
                <w:lang w:val="en-AU"/>
              </w:rPr>
            </w:pPr>
            <w:r w:rsidRPr="00BF61B6">
              <w:rPr>
                <w:rFonts w:cs="Arial"/>
                <w:b/>
                <w:sz w:val="20"/>
                <w:u w:val="single"/>
                <w:lang w:val="en-AU"/>
              </w:rPr>
              <w:t xml:space="preserve">ORAL </w:t>
            </w:r>
          </w:p>
          <w:p w:rsidRPr="00BF61B6" w:rsidR="00B111CA" w:rsidP="0059793A" w:rsidRDefault="00B111CA" w14:paraId="19D8D578" w14:textId="77777777">
            <w:pPr>
              <w:pStyle w:val="BodyText"/>
              <w:rPr>
                <w:rFonts w:cs="Arial"/>
                <w:sz w:val="20"/>
                <w:lang w:val="en-AU"/>
              </w:rPr>
            </w:pPr>
            <w:r w:rsidRPr="00BF61B6">
              <w:rPr>
                <w:rFonts w:cs="Arial"/>
                <w:sz w:val="20"/>
                <w:lang w:val="en-AU"/>
              </w:rPr>
              <w:t>Ferrous sulfate (</w:t>
            </w:r>
            <w:r>
              <w:rPr>
                <w:rFonts w:cs="Arial"/>
                <w:sz w:val="20"/>
                <w:lang w:val="en-AU"/>
              </w:rPr>
              <w:t>F</w:t>
            </w:r>
            <w:r w:rsidRPr="00BF61B6">
              <w:rPr>
                <w:rFonts w:cs="Arial"/>
                <w:sz w:val="20"/>
                <w:lang w:val="en-AU"/>
              </w:rPr>
              <w:t>erro-</w:t>
            </w:r>
            <w:r>
              <w:rPr>
                <w:rFonts w:cs="Arial"/>
                <w:sz w:val="20"/>
                <w:lang w:val="en-AU"/>
              </w:rPr>
              <w:t>L</w:t>
            </w:r>
            <w:r w:rsidRPr="00BF61B6">
              <w:rPr>
                <w:rFonts w:cs="Arial"/>
                <w:sz w:val="20"/>
                <w:lang w:val="en-AU"/>
              </w:rPr>
              <w:t>iquid</w:t>
            </w:r>
            <w:r>
              <w:rPr>
                <w:rFonts w:cs="Arial"/>
                <w:sz w:val="20"/>
                <w:lang w:val="en-AU"/>
              </w:rPr>
              <w:t xml:space="preserve"> Oral</w:t>
            </w:r>
            <w:r w:rsidRPr="00BF61B6">
              <w:rPr>
                <w:rFonts w:cs="Arial"/>
                <w:sz w:val="20"/>
                <w:lang w:val="en-AU"/>
              </w:rPr>
              <w:t>) – 30 mg/mL oral liquid (= 6 mg of elemental iron/mL)</w:t>
            </w:r>
          </w:p>
          <w:p w:rsidRPr="00BF61B6" w:rsidR="00B111CA" w:rsidP="0059793A" w:rsidRDefault="00B111CA" w14:paraId="2E820AAD" w14:textId="77777777">
            <w:pPr>
              <w:pStyle w:val="BodyText"/>
              <w:rPr>
                <w:rFonts w:cs="Arial"/>
                <w:sz w:val="20"/>
                <w:lang w:val="en-AU"/>
              </w:rPr>
            </w:pPr>
            <w:r w:rsidRPr="00BF61B6">
              <w:rPr>
                <w:rFonts w:cs="Arial"/>
                <w:sz w:val="20"/>
                <w:lang w:val="en-AU"/>
              </w:rPr>
              <w:t>Iron polymaltose (Maltofer) – 37 mg/mL (= 10 mg of elemental iron/mL)</w:t>
            </w:r>
          </w:p>
          <w:p w:rsidRPr="00BF61B6" w:rsidR="00B111CA" w:rsidP="0059793A" w:rsidRDefault="00B111CA" w14:paraId="4DE05D86" w14:textId="77777777">
            <w:pPr>
              <w:pStyle w:val="BodyText"/>
              <w:rPr>
                <w:rFonts w:cs="Arial"/>
                <w:b/>
                <w:sz w:val="20"/>
                <w:u w:val="single"/>
                <w:lang w:val="en-AU"/>
              </w:rPr>
            </w:pPr>
            <w:r w:rsidRPr="00BF61B6">
              <w:rPr>
                <w:rFonts w:cs="Arial"/>
                <w:b/>
                <w:sz w:val="20"/>
                <w:u w:val="single"/>
                <w:lang w:val="en-AU"/>
              </w:rPr>
              <w:t xml:space="preserve">IV </w:t>
            </w:r>
          </w:p>
          <w:p w:rsidRPr="00BF61B6" w:rsidR="00B111CA" w:rsidP="0059793A" w:rsidRDefault="00B111CA" w14:paraId="3370ACE1" w14:textId="77777777">
            <w:pPr>
              <w:pStyle w:val="BodyText"/>
              <w:rPr>
                <w:rFonts w:cs="Arial"/>
                <w:sz w:val="20"/>
                <w:lang w:val="en-AU"/>
              </w:rPr>
            </w:pPr>
            <w:r w:rsidRPr="00BF61B6">
              <w:rPr>
                <w:rFonts w:cs="Arial"/>
                <w:sz w:val="20"/>
                <w:lang w:val="en-AU"/>
              </w:rPr>
              <w:t>Iron sucrose (Venofer) – 100 mg of elemental iron/5 mL infusion</w:t>
            </w:r>
          </w:p>
          <w:p w:rsidRPr="00BF61B6" w:rsidR="00B111CA" w:rsidP="0059793A" w:rsidRDefault="00B111CA" w14:paraId="04A50D5B" w14:textId="77777777">
            <w:pPr>
              <w:pStyle w:val="BodyText"/>
              <w:rPr>
                <w:rFonts w:cs="Arial"/>
                <w:sz w:val="20"/>
                <w:lang w:val="en-AU"/>
              </w:rPr>
            </w:pPr>
            <w:r w:rsidRPr="00BF61B6">
              <w:rPr>
                <w:rFonts w:cs="Arial"/>
                <w:sz w:val="20"/>
                <w:lang w:val="en-AU"/>
              </w:rPr>
              <w:t>Iron polymaltose (Ferrosig iron</w:t>
            </w:r>
            <w:r>
              <w:rPr>
                <w:rFonts w:cs="Arial"/>
                <w:sz w:val="20"/>
                <w:lang w:val="en-AU"/>
              </w:rPr>
              <w:t>, Ferrum H</w:t>
            </w:r>
            <w:r w:rsidRPr="00BF61B6">
              <w:rPr>
                <w:rFonts w:cs="Arial"/>
                <w:sz w:val="20"/>
                <w:lang w:val="en-AU"/>
              </w:rPr>
              <w:t>) – 100 mg of elemental iron/2 mL</w:t>
            </w:r>
          </w:p>
          <w:p w:rsidRPr="00BF61B6" w:rsidR="00B111CA" w:rsidP="0059793A" w:rsidRDefault="00B111CA" w14:paraId="4AFE18D3" w14:textId="77777777">
            <w:pPr>
              <w:pStyle w:val="BodyText"/>
              <w:rPr>
                <w:rFonts w:cs="Arial"/>
                <w:sz w:val="20"/>
                <w:lang w:val="en-AU"/>
              </w:rPr>
            </w:pPr>
            <w:r w:rsidRPr="00BF61B6">
              <w:rPr>
                <w:rFonts w:cs="Arial"/>
                <w:sz w:val="20"/>
                <w:lang w:val="en-AU"/>
              </w:rPr>
              <w:t>Ferric carboxymaltose (Ferinject) 50 mg of elemental iron/mL injection</w:t>
            </w:r>
          </w:p>
        </w:tc>
      </w:tr>
      <w:tr w:rsidRPr="00BF61B6" w:rsidR="00B111CA" w:rsidTr="00B111CA" w14:paraId="2B7C6FEC" w14:textId="77777777">
        <w:trPr>
          <w:trHeight w:val="70"/>
        </w:trPr>
        <w:tc>
          <w:tcPr>
            <w:tcW w:w="1730" w:type="dxa"/>
          </w:tcPr>
          <w:p w:rsidRPr="00BF61B6" w:rsidR="00B111CA" w:rsidP="0059793A" w:rsidRDefault="00B111CA" w14:paraId="77192EE1" w14:textId="77777777">
            <w:pPr>
              <w:pStyle w:val="BodyText"/>
              <w:rPr>
                <w:rFonts w:cs="Arial"/>
                <w:b/>
                <w:bCs/>
                <w:sz w:val="20"/>
                <w:lang w:val="en-AU"/>
              </w:rPr>
            </w:pPr>
            <w:r w:rsidRPr="00BF61B6">
              <w:rPr>
                <w:rFonts w:cs="Arial"/>
                <w:b/>
                <w:bCs/>
                <w:sz w:val="20"/>
                <w:lang w:val="en-AU"/>
              </w:rPr>
              <w:t xml:space="preserve">Dose                          </w:t>
            </w:r>
          </w:p>
        </w:tc>
        <w:tc>
          <w:tcPr>
            <w:tcW w:w="8505" w:type="dxa"/>
          </w:tcPr>
          <w:p w:rsidRPr="00BF61B6" w:rsidR="00B111CA" w:rsidP="0059793A" w:rsidRDefault="00B111CA" w14:paraId="1C286A6C" w14:textId="77777777">
            <w:pPr>
              <w:pStyle w:val="BodyText"/>
              <w:rPr>
                <w:b/>
                <w:sz w:val="20"/>
                <w:u w:val="single"/>
                <w:lang w:val="en-AU"/>
              </w:rPr>
            </w:pPr>
            <w:r w:rsidRPr="00BF61B6">
              <w:rPr>
                <w:b/>
                <w:sz w:val="20"/>
                <w:u w:val="single"/>
                <w:lang w:val="en-AU"/>
              </w:rPr>
              <w:t>ORAL</w:t>
            </w:r>
          </w:p>
          <w:p w:rsidRPr="00BF61B6" w:rsidR="00B111CA" w:rsidP="0059793A" w:rsidRDefault="00B111CA" w14:paraId="55876E4D" w14:textId="77777777">
            <w:pPr>
              <w:rPr>
                <w:sz w:val="20"/>
              </w:rPr>
            </w:pPr>
            <w:r w:rsidRPr="00BF61B6">
              <w:rPr>
                <w:sz w:val="20"/>
              </w:rPr>
              <w:t xml:space="preserve">1. </w:t>
            </w:r>
            <w:r w:rsidRPr="00BF61B6">
              <w:rPr>
                <w:sz w:val="20"/>
                <w:u w:val="single"/>
              </w:rPr>
              <w:t>Iron prophylaxis in preterm infants &lt;37 weeks and/or birthweight &lt;2.5 Kg.</w:t>
            </w:r>
            <w:r w:rsidRPr="00BF61B6">
              <w:rPr>
                <w:sz w:val="20"/>
                <w:u w:val="single"/>
                <w:vertAlign w:val="superscript"/>
              </w:rPr>
              <w:t>5-8</w:t>
            </w:r>
          </w:p>
          <w:p w:rsidRPr="00BF61B6" w:rsidR="00B111CA" w:rsidP="0059793A" w:rsidRDefault="00B111CA" w14:paraId="479F5B3C" w14:textId="77777777">
            <w:pPr>
              <w:ind w:left="720"/>
              <w:rPr>
                <w:sz w:val="20"/>
              </w:rPr>
            </w:pPr>
            <w:r w:rsidRPr="00BF61B6">
              <w:rPr>
                <w:sz w:val="20"/>
              </w:rPr>
              <w:t>Iron can be from the diet or medicinal iron</w:t>
            </w:r>
          </w:p>
          <w:p w:rsidRPr="00BF61B6" w:rsidR="00B111CA" w:rsidP="0059793A" w:rsidRDefault="00B111CA" w14:paraId="477BEFC7" w14:textId="77777777">
            <w:pPr>
              <w:ind w:left="720"/>
              <w:rPr>
                <w:sz w:val="20"/>
                <w:vertAlign w:val="superscript"/>
              </w:rPr>
            </w:pPr>
            <w:r w:rsidRPr="00BF61B6">
              <w:rPr>
                <w:sz w:val="20"/>
              </w:rPr>
              <w:t xml:space="preserve">2 mg/kg/day </w:t>
            </w:r>
            <w:r>
              <w:rPr>
                <w:sz w:val="20"/>
              </w:rPr>
              <w:t>–</w:t>
            </w:r>
            <w:r w:rsidRPr="00BF61B6">
              <w:rPr>
                <w:sz w:val="20"/>
              </w:rPr>
              <w:t xml:space="preserve"> can be </w:t>
            </w:r>
            <w:r>
              <w:rPr>
                <w:sz w:val="20"/>
              </w:rPr>
              <w:t>started</w:t>
            </w:r>
            <w:r w:rsidRPr="00BF61B6">
              <w:rPr>
                <w:sz w:val="20"/>
              </w:rPr>
              <w:t xml:space="preserve"> from 2 weeks of age and continue up to 6</w:t>
            </w:r>
            <w:r>
              <w:rPr>
                <w:sz w:val="20"/>
              </w:rPr>
              <w:t>–</w:t>
            </w:r>
            <w:r w:rsidRPr="00BF61B6">
              <w:rPr>
                <w:sz w:val="20"/>
              </w:rPr>
              <w:t>12 months of age</w:t>
            </w:r>
            <w:r w:rsidRPr="00BF61B6">
              <w:rPr>
                <w:sz w:val="20"/>
                <w:vertAlign w:val="superscript"/>
              </w:rPr>
              <w:t>8-9</w:t>
            </w:r>
          </w:p>
          <w:p w:rsidRPr="00BF61B6" w:rsidR="00B111CA" w:rsidP="0059793A" w:rsidRDefault="00B111CA" w14:paraId="78AA7D1B" w14:textId="77777777">
            <w:pPr>
              <w:ind w:left="720"/>
              <w:rPr>
                <w:sz w:val="20"/>
              </w:rPr>
            </w:pPr>
            <w:r w:rsidRPr="00BF61B6">
              <w:rPr>
                <w:sz w:val="20"/>
              </w:rPr>
              <w:t xml:space="preserve">Consider delaying/temporarily ceasing iron with (1) multiple transfusions, particularly &gt;100 mL/kg/day, (2) serum ferritin &gt;350 microgram/L or (3) transfusion in the </w:t>
            </w:r>
            <w:r>
              <w:rPr>
                <w:sz w:val="20"/>
              </w:rPr>
              <w:t xml:space="preserve">previous </w:t>
            </w:r>
            <w:r w:rsidRPr="00BF61B6">
              <w:rPr>
                <w:sz w:val="20"/>
              </w:rPr>
              <w:t>7 days</w:t>
            </w:r>
          </w:p>
          <w:p w:rsidRPr="00BF61B6" w:rsidR="00B111CA" w:rsidP="0059793A" w:rsidRDefault="00B111CA" w14:paraId="3F8E7084" w14:textId="77777777">
            <w:pPr>
              <w:rPr>
                <w:sz w:val="20"/>
              </w:rPr>
            </w:pPr>
            <w:r w:rsidRPr="00BF61B6">
              <w:rPr>
                <w:sz w:val="20"/>
              </w:rPr>
              <w:t xml:space="preserve">2. </w:t>
            </w:r>
            <w:r w:rsidRPr="00BF61B6">
              <w:rPr>
                <w:sz w:val="20"/>
                <w:u w:val="single"/>
              </w:rPr>
              <w:t>Supplementation during erythropoietin therapy</w:t>
            </w:r>
          </w:p>
          <w:p w:rsidRPr="00BF61B6" w:rsidR="00B111CA" w:rsidP="0059793A" w:rsidRDefault="00B111CA" w14:paraId="567F4D98" w14:textId="77777777">
            <w:pPr>
              <w:ind w:left="720"/>
              <w:rPr>
                <w:sz w:val="20"/>
              </w:rPr>
            </w:pPr>
            <w:r w:rsidRPr="00BF61B6">
              <w:rPr>
                <w:sz w:val="20"/>
              </w:rPr>
              <w:t>Oral: 3</w:t>
            </w:r>
            <w:r>
              <w:rPr>
                <w:sz w:val="20"/>
              </w:rPr>
              <w:t>–</w:t>
            </w:r>
            <w:r w:rsidRPr="00BF61B6">
              <w:rPr>
                <w:sz w:val="20"/>
              </w:rPr>
              <w:t>6 mg/kg/day</w:t>
            </w:r>
            <w:r w:rsidRPr="00BF61B6">
              <w:rPr>
                <w:sz w:val="20"/>
                <w:vertAlign w:val="superscript"/>
              </w:rPr>
              <w:t>10-11</w:t>
            </w:r>
          </w:p>
          <w:p w:rsidRPr="00BF61B6" w:rsidR="00B111CA" w:rsidP="0059793A" w:rsidRDefault="00B111CA" w14:paraId="6CD0B1A8" w14:textId="77777777">
            <w:pPr>
              <w:ind w:left="720"/>
              <w:rPr>
                <w:sz w:val="20"/>
              </w:rPr>
            </w:pPr>
            <w:r w:rsidRPr="00BF61B6">
              <w:rPr>
                <w:sz w:val="20"/>
              </w:rPr>
              <w:t>IV: 1 mg/kg/day</w:t>
            </w:r>
            <w:r w:rsidRPr="00BF61B6">
              <w:rPr>
                <w:sz w:val="20"/>
                <w:vertAlign w:val="superscript"/>
              </w:rPr>
              <w:t>12-13</w:t>
            </w:r>
          </w:p>
          <w:p w:rsidRPr="00BF61B6" w:rsidR="00B111CA" w:rsidP="0059793A" w:rsidRDefault="00B111CA" w14:paraId="1D3C7A63" w14:textId="77777777">
            <w:pPr>
              <w:ind w:left="720"/>
              <w:rPr>
                <w:sz w:val="20"/>
              </w:rPr>
            </w:pPr>
            <w:r w:rsidRPr="00BF61B6">
              <w:rPr>
                <w:sz w:val="20"/>
              </w:rPr>
              <w:lastRenderedPageBreak/>
              <w:t>IV dose of 20 mg/kg/dose can be given weekly</w:t>
            </w:r>
            <w:r w:rsidRPr="00BF61B6">
              <w:rPr>
                <w:sz w:val="20"/>
                <w:vertAlign w:val="superscript"/>
              </w:rPr>
              <w:t>13</w:t>
            </w:r>
          </w:p>
          <w:p w:rsidRPr="00BF61B6" w:rsidR="00B111CA" w:rsidP="0059793A" w:rsidRDefault="00B111CA" w14:paraId="342FE149" w14:textId="77777777">
            <w:pPr>
              <w:rPr>
                <w:sz w:val="20"/>
              </w:rPr>
            </w:pPr>
            <w:r w:rsidRPr="00BF61B6">
              <w:rPr>
                <w:sz w:val="20"/>
              </w:rPr>
              <w:t xml:space="preserve">3. </w:t>
            </w:r>
            <w:r w:rsidRPr="00BF61B6">
              <w:rPr>
                <w:sz w:val="20"/>
                <w:u w:val="single"/>
              </w:rPr>
              <w:t xml:space="preserve">Treatment of </w:t>
            </w:r>
            <w:r>
              <w:rPr>
                <w:sz w:val="20"/>
                <w:u w:val="single"/>
              </w:rPr>
              <w:t>i</w:t>
            </w:r>
            <w:r w:rsidRPr="00BF61B6">
              <w:rPr>
                <w:sz w:val="20"/>
                <w:u w:val="single"/>
              </w:rPr>
              <w:t>ron deficiency anaemia</w:t>
            </w:r>
            <w:r w:rsidRPr="00BF61B6">
              <w:rPr>
                <w:sz w:val="20"/>
                <w:u w:val="single"/>
                <w:vertAlign w:val="superscript"/>
              </w:rPr>
              <w:t>8</w:t>
            </w:r>
          </w:p>
          <w:p w:rsidRPr="00BF61B6" w:rsidR="00B111CA" w:rsidP="0059793A" w:rsidRDefault="00B111CA" w14:paraId="2BE285A3" w14:textId="77777777">
            <w:pPr>
              <w:ind w:left="720"/>
              <w:rPr>
                <w:sz w:val="20"/>
              </w:rPr>
            </w:pPr>
            <w:r w:rsidRPr="00BF61B6">
              <w:rPr>
                <w:sz w:val="20"/>
              </w:rPr>
              <w:t>3</w:t>
            </w:r>
            <w:r>
              <w:rPr>
                <w:sz w:val="20"/>
              </w:rPr>
              <w:t>–</w:t>
            </w:r>
            <w:r w:rsidRPr="00BF61B6">
              <w:rPr>
                <w:sz w:val="20"/>
              </w:rPr>
              <w:t>6 mg/kg/day and to continue for 3 months after correction of anaemia</w:t>
            </w:r>
            <w:r w:rsidRPr="00BF61B6">
              <w:rPr>
                <w:sz w:val="20"/>
                <w:vertAlign w:val="superscript"/>
              </w:rPr>
              <w:t>8</w:t>
            </w:r>
          </w:p>
          <w:p w:rsidRPr="00BF61B6" w:rsidR="00B111CA" w:rsidP="0059793A" w:rsidRDefault="00B111CA" w14:paraId="2C2D8912" w14:textId="77777777">
            <w:pPr>
              <w:pStyle w:val="BodyText"/>
              <w:rPr>
                <w:b/>
                <w:sz w:val="20"/>
                <w:u w:val="single"/>
                <w:lang w:val="en-AU"/>
              </w:rPr>
            </w:pPr>
            <w:r w:rsidRPr="00BF61B6">
              <w:rPr>
                <w:b/>
                <w:sz w:val="20"/>
                <w:u w:val="single"/>
                <w:lang w:val="en-AU"/>
              </w:rPr>
              <w:t>IV</w:t>
            </w:r>
          </w:p>
          <w:p w:rsidRPr="00BF61B6" w:rsidR="00B111CA" w:rsidP="0059793A" w:rsidRDefault="00B111CA" w14:paraId="69F03C9F" w14:textId="77777777">
            <w:pPr>
              <w:pStyle w:val="BodyText"/>
              <w:rPr>
                <w:sz w:val="20"/>
                <w:u w:val="single"/>
                <w:lang w:val="en-AU"/>
              </w:rPr>
            </w:pPr>
            <w:r w:rsidRPr="00BF61B6">
              <w:rPr>
                <w:sz w:val="20"/>
                <w:u w:val="single"/>
                <w:lang w:val="en-AU"/>
              </w:rPr>
              <w:t xml:space="preserve">Supplementation on </w:t>
            </w:r>
            <w:r>
              <w:rPr>
                <w:sz w:val="20"/>
                <w:u w:val="single"/>
                <w:lang w:val="en-AU"/>
              </w:rPr>
              <w:t>p</w:t>
            </w:r>
            <w:r w:rsidRPr="00BF61B6">
              <w:rPr>
                <w:sz w:val="20"/>
                <w:u w:val="single"/>
                <w:lang w:val="en-AU"/>
              </w:rPr>
              <w:t>arenteral nutrition &gt;4 weeks</w:t>
            </w:r>
          </w:p>
          <w:p w:rsidRPr="00BF61B6" w:rsidR="00B111CA" w:rsidP="0059793A" w:rsidRDefault="00B111CA" w14:paraId="40528BBC" w14:textId="77777777">
            <w:pPr>
              <w:pStyle w:val="BodyText"/>
              <w:ind w:left="720"/>
              <w:rPr>
                <w:sz w:val="20"/>
                <w:lang w:val="en-AU"/>
              </w:rPr>
            </w:pPr>
            <w:r w:rsidRPr="00BF61B6">
              <w:rPr>
                <w:sz w:val="20"/>
                <w:lang w:val="en-AU"/>
              </w:rPr>
              <w:t>Preterm infants: 200</w:t>
            </w:r>
            <w:r>
              <w:rPr>
                <w:sz w:val="20"/>
                <w:lang w:val="en-AU"/>
              </w:rPr>
              <w:t>–</w:t>
            </w:r>
            <w:r w:rsidRPr="00BF61B6">
              <w:rPr>
                <w:sz w:val="20"/>
                <w:lang w:val="en-AU"/>
              </w:rPr>
              <w:t>250 microgra</w:t>
            </w:r>
            <w:r>
              <w:rPr>
                <w:sz w:val="20"/>
                <w:lang w:val="en-AU"/>
              </w:rPr>
              <w:t>m</w:t>
            </w:r>
            <w:r w:rsidRPr="00BF61B6">
              <w:rPr>
                <w:sz w:val="20"/>
                <w:lang w:val="en-AU"/>
              </w:rPr>
              <w:t>/kg/day</w:t>
            </w:r>
            <w:r w:rsidRPr="00BF61B6">
              <w:rPr>
                <w:sz w:val="20"/>
                <w:vertAlign w:val="superscript"/>
                <w:lang w:val="en-AU"/>
              </w:rPr>
              <w:t>14</w:t>
            </w:r>
            <w:r w:rsidRPr="00BF61B6">
              <w:rPr>
                <w:sz w:val="20"/>
                <w:lang w:val="en-AU"/>
              </w:rPr>
              <w:t xml:space="preserve"> or 1400 microgra</w:t>
            </w:r>
            <w:r>
              <w:rPr>
                <w:sz w:val="20"/>
                <w:lang w:val="en-AU"/>
              </w:rPr>
              <w:t>m</w:t>
            </w:r>
            <w:r w:rsidRPr="00BF61B6">
              <w:rPr>
                <w:sz w:val="20"/>
                <w:lang w:val="en-AU"/>
              </w:rPr>
              <w:t>/kg weekly</w:t>
            </w:r>
            <w:r w:rsidRPr="00BF61B6">
              <w:rPr>
                <w:sz w:val="20"/>
                <w:vertAlign w:val="superscript"/>
                <w:lang w:val="en-AU"/>
              </w:rPr>
              <w:t>13</w:t>
            </w:r>
            <w:r w:rsidRPr="00BF61B6">
              <w:rPr>
                <w:sz w:val="20"/>
                <w:lang w:val="en-AU"/>
              </w:rPr>
              <w:t xml:space="preserve"> </w:t>
            </w:r>
          </w:p>
          <w:p w:rsidRPr="00BF61B6" w:rsidR="00B111CA" w:rsidP="0059793A" w:rsidRDefault="00B111CA" w14:paraId="39C77B52" w14:textId="77777777">
            <w:pPr>
              <w:pStyle w:val="BodyText"/>
              <w:ind w:left="720"/>
              <w:rPr>
                <w:sz w:val="20"/>
                <w:lang w:val="en-AU"/>
              </w:rPr>
            </w:pPr>
            <w:r w:rsidRPr="00BF61B6">
              <w:rPr>
                <w:sz w:val="20"/>
                <w:lang w:val="en-AU"/>
              </w:rPr>
              <w:t>Term infants: 50</w:t>
            </w:r>
            <w:r>
              <w:rPr>
                <w:sz w:val="20"/>
                <w:lang w:val="en-AU"/>
              </w:rPr>
              <w:t>–</w:t>
            </w:r>
            <w:r w:rsidRPr="00BF61B6">
              <w:rPr>
                <w:sz w:val="20"/>
                <w:lang w:val="en-AU"/>
              </w:rPr>
              <w:t>100 microgra</w:t>
            </w:r>
            <w:r>
              <w:rPr>
                <w:sz w:val="20"/>
                <w:lang w:val="en-AU"/>
              </w:rPr>
              <w:t>m</w:t>
            </w:r>
            <w:r w:rsidRPr="00BF61B6">
              <w:rPr>
                <w:sz w:val="20"/>
                <w:lang w:val="en-AU"/>
              </w:rPr>
              <w:t>/kg/day</w:t>
            </w:r>
            <w:r w:rsidRPr="00BF61B6">
              <w:rPr>
                <w:sz w:val="20"/>
                <w:vertAlign w:val="superscript"/>
                <w:lang w:val="en-AU"/>
              </w:rPr>
              <w:t>14</w:t>
            </w:r>
            <w:r w:rsidRPr="00BF61B6">
              <w:rPr>
                <w:sz w:val="20"/>
                <w:lang w:val="en-AU"/>
              </w:rPr>
              <w:t xml:space="preserve"> or 700 microgra</w:t>
            </w:r>
            <w:r>
              <w:rPr>
                <w:sz w:val="20"/>
                <w:lang w:val="en-AU"/>
              </w:rPr>
              <w:t>m</w:t>
            </w:r>
            <w:r w:rsidRPr="00BF61B6">
              <w:rPr>
                <w:sz w:val="20"/>
                <w:lang w:val="en-AU"/>
              </w:rPr>
              <w:t>/kg weekly</w:t>
            </w:r>
            <w:r w:rsidRPr="00BF61B6">
              <w:rPr>
                <w:sz w:val="20"/>
                <w:vertAlign w:val="superscript"/>
                <w:lang w:val="en-AU"/>
              </w:rPr>
              <w:t>13</w:t>
            </w:r>
          </w:p>
          <w:p w:rsidRPr="00BF61B6" w:rsidR="00B111CA" w:rsidP="0059793A" w:rsidRDefault="00B111CA" w14:paraId="34D2D254" w14:textId="77777777">
            <w:pPr>
              <w:pStyle w:val="BodyText"/>
              <w:rPr>
                <w:sz w:val="20"/>
                <w:u w:val="single"/>
                <w:lang w:val="en-AU"/>
              </w:rPr>
            </w:pPr>
            <w:r>
              <w:rPr>
                <w:sz w:val="20"/>
                <w:u w:val="single"/>
                <w:lang w:val="en-AU"/>
              </w:rPr>
              <w:t>Supplementation</w:t>
            </w:r>
            <w:r w:rsidRPr="00BF61B6">
              <w:rPr>
                <w:sz w:val="20"/>
                <w:u w:val="single"/>
                <w:lang w:val="en-AU"/>
              </w:rPr>
              <w:t xml:space="preserve"> during erythropoietin therapy</w:t>
            </w:r>
          </w:p>
          <w:p w:rsidRPr="00BF61B6" w:rsidR="00B111CA" w:rsidP="0059793A" w:rsidRDefault="00B111CA" w14:paraId="16DBBCAE" w14:textId="77777777">
            <w:pPr>
              <w:pStyle w:val="BodyText"/>
              <w:ind w:left="720"/>
              <w:rPr>
                <w:sz w:val="20"/>
                <w:lang w:val="en-AU"/>
              </w:rPr>
            </w:pPr>
            <w:r w:rsidRPr="00BF61B6">
              <w:rPr>
                <w:sz w:val="20"/>
                <w:lang w:val="en-AU"/>
              </w:rPr>
              <w:t>1 mg/kg/day</w:t>
            </w:r>
            <w:r w:rsidRPr="00BF61B6">
              <w:rPr>
                <w:sz w:val="20"/>
                <w:vertAlign w:val="superscript"/>
                <w:lang w:val="en-AU"/>
              </w:rPr>
              <w:t>12</w:t>
            </w:r>
          </w:p>
          <w:p w:rsidRPr="00BF61B6" w:rsidR="00B111CA" w:rsidP="0059793A" w:rsidRDefault="00B111CA" w14:paraId="06E222BA" w14:textId="77777777">
            <w:pPr>
              <w:pStyle w:val="BodyText"/>
              <w:rPr>
                <w:sz w:val="20"/>
                <w:u w:val="single"/>
                <w:lang w:val="en-AU"/>
              </w:rPr>
            </w:pPr>
            <w:r w:rsidRPr="00BF61B6">
              <w:rPr>
                <w:sz w:val="20"/>
                <w:u w:val="single"/>
                <w:lang w:val="en-AU"/>
              </w:rPr>
              <w:t xml:space="preserve">Treatment of </w:t>
            </w:r>
            <w:r>
              <w:rPr>
                <w:sz w:val="20"/>
                <w:u w:val="single"/>
                <w:lang w:val="en-AU"/>
              </w:rPr>
              <w:t>i</w:t>
            </w:r>
            <w:r w:rsidRPr="00BF61B6">
              <w:rPr>
                <w:sz w:val="20"/>
                <w:u w:val="single"/>
                <w:lang w:val="en-AU"/>
              </w:rPr>
              <w:t>ron deficiency anaemia:</w:t>
            </w:r>
          </w:p>
          <w:p w:rsidRPr="00BF61B6" w:rsidR="00B111CA" w:rsidP="0059793A" w:rsidRDefault="00B111CA" w14:paraId="2C5ADFEF" w14:textId="77777777">
            <w:pPr>
              <w:pStyle w:val="BodyText"/>
              <w:ind w:left="720"/>
              <w:rPr>
                <w:sz w:val="20"/>
                <w:lang w:val="en-AU"/>
              </w:rPr>
            </w:pPr>
            <w:r w:rsidRPr="00BF61B6">
              <w:rPr>
                <w:sz w:val="20"/>
                <w:lang w:val="en-AU"/>
              </w:rPr>
              <w:t xml:space="preserve">Total </w:t>
            </w:r>
            <w:r>
              <w:rPr>
                <w:sz w:val="20"/>
                <w:lang w:val="en-AU"/>
              </w:rPr>
              <w:t>i</w:t>
            </w:r>
            <w:r w:rsidRPr="00BF61B6">
              <w:rPr>
                <w:sz w:val="20"/>
                <w:lang w:val="en-AU"/>
              </w:rPr>
              <w:t>ron dose (mg) = (12.5 – observed Hb (g/dL) x body weight (</w:t>
            </w:r>
            <w:r>
              <w:rPr>
                <w:sz w:val="20"/>
                <w:lang w:val="en-AU"/>
              </w:rPr>
              <w:t>k</w:t>
            </w:r>
            <w:r w:rsidRPr="00BF61B6">
              <w:rPr>
                <w:sz w:val="20"/>
                <w:lang w:val="en-AU"/>
              </w:rPr>
              <w:t>g) x 3.4 x 1.4</w:t>
            </w:r>
            <w:r w:rsidRPr="00BF61B6">
              <w:rPr>
                <w:sz w:val="20"/>
                <w:vertAlign w:val="superscript"/>
                <w:lang w:val="en-AU"/>
              </w:rPr>
              <w:t>15</w:t>
            </w:r>
          </w:p>
          <w:p w:rsidRPr="00BF61B6" w:rsidR="00B111CA" w:rsidP="0059793A" w:rsidRDefault="00B111CA" w14:paraId="354DADAA" w14:textId="77777777">
            <w:pPr>
              <w:pStyle w:val="BodyText"/>
              <w:ind w:left="720"/>
              <w:rPr>
                <w:sz w:val="20"/>
                <w:lang w:val="en-AU"/>
              </w:rPr>
            </w:pPr>
            <w:r w:rsidRPr="00BF61B6">
              <w:rPr>
                <w:sz w:val="20"/>
                <w:lang w:val="en-AU"/>
              </w:rPr>
              <w:t>Oral iron must be ceased 24 hours before IV iron and should not be given until at least 7 days after last parenteral administration</w:t>
            </w:r>
            <w:r w:rsidRPr="00BF61B6">
              <w:rPr>
                <w:sz w:val="20"/>
                <w:vertAlign w:val="superscript"/>
                <w:lang w:val="en-AU"/>
              </w:rPr>
              <w:t>16</w:t>
            </w:r>
          </w:p>
          <w:p w:rsidRPr="00BF61B6" w:rsidR="00B111CA" w:rsidP="0059793A" w:rsidRDefault="00B111CA" w14:paraId="000C246F" w14:textId="77777777">
            <w:pPr>
              <w:pStyle w:val="BodyText"/>
              <w:ind w:left="720"/>
              <w:rPr>
                <w:sz w:val="20"/>
                <w:lang w:val="en-AU"/>
              </w:rPr>
            </w:pPr>
            <w:r w:rsidRPr="00BF61B6">
              <w:rPr>
                <w:sz w:val="20"/>
                <w:lang w:val="en-AU"/>
              </w:rPr>
              <w:t xml:space="preserve">IV iron must be prescribed as mg </w:t>
            </w:r>
            <w:r>
              <w:rPr>
                <w:sz w:val="20"/>
                <w:lang w:val="en-AU"/>
              </w:rPr>
              <w:t xml:space="preserve">of </w:t>
            </w:r>
            <w:r w:rsidRPr="00BF61B6">
              <w:rPr>
                <w:sz w:val="20"/>
                <w:lang w:val="en-AU"/>
              </w:rPr>
              <w:t>elemental iron (e.g. as iron polymaltose) in</w:t>
            </w:r>
            <w:r>
              <w:rPr>
                <w:sz w:val="20"/>
                <w:lang w:val="en-AU"/>
              </w:rPr>
              <w:t xml:space="preserve"> </w:t>
            </w:r>
            <w:r w:rsidRPr="00BF61B6">
              <w:rPr>
                <w:sz w:val="20"/>
                <w:lang w:val="en-AU"/>
              </w:rPr>
              <w:t xml:space="preserve">mL </w:t>
            </w:r>
            <w:r>
              <w:rPr>
                <w:sz w:val="20"/>
                <w:lang w:val="en-AU"/>
              </w:rPr>
              <w:t>of</w:t>
            </w:r>
            <w:r w:rsidRPr="00BF61B6">
              <w:rPr>
                <w:sz w:val="20"/>
                <w:lang w:val="en-AU"/>
              </w:rPr>
              <w:t xml:space="preserve"> sodium chloride</w:t>
            </w:r>
            <w:r>
              <w:rPr>
                <w:sz w:val="20"/>
                <w:lang w:val="en-AU"/>
              </w:rPr>
              <w:t xml:space="preserve"> </w:t>
            </w:r>
            <w:r w:rsidRPr="00BF61B6">
              <w:rPr>
                <w:sz w:val="20"/>
                <w:lang w:val="en-AU"/>
              </w:rPr>
              <w:t>0.9% over 4 hours</w:t>
            </w:r>
            <w:r>
              <w:rPr>
                <w:sz w:val="20"/>
                <w:lang w:val="en-AU"/>
              </w:rPr>
              <w:t xml:space="preserve"> (see Preparation below)</w:t>
            </w:r>
          </w:p>
          <w:p w:rsidRPr="00BF61B6" w:rsidR="00B111CA" w:rsidP="0059793A" w:rsidRDefault="00B111CA" w14:paraId="6CDE6959" w14:textId="77777777">
            <w:pPr>
              <w:pStyle w:val="BodyText"/>
              <w:ind w:left="720"/>
              <w:rPr>
                <w:sz w:val="20"/>
                <w:lang w:val="en-AU"/>
              </w:rPr>
            </w:pPr>
            <w:r w:rsidRPr="00BF61B6">
              <w:rPr>
                <w:sz w:val="20"/>
                <w:lang w:val="en-AU"/>
              </w:rPr>
              <w:t>A test dose of 1 mL can be given over 10 minutes prior to the infusion</w:t>
            </w:r>
          </w:p>
        </w:tc>
      </w:tr>
      <w:tr w:rsidRPr="00BF61B6" w:rsidR="00B111CA" w:rsidTr="00B111CA" w14:paraId="00C4BA15" w14:textId="77777777">
        <w:trPr>
          <w:trHeight w:val="407"/>
        </w:trPr>
        <w:tc>
          <w:tcPr>
            <w:tcW w:w="1730" w:type="dxa"/>
          </w:tcPr>
          <w:p w:rsidRPr="00BF61B6" w:rsidR="00B111CA" w:rsidP="0059793A" w:rsidRDefault="00B111CA" w14:paraId="5FDE8A46" w14:textId="77777777">
            <w:pPr>
              <w:pStyle w:val="BodyText"/>
              <w:rPr>
                <w:b/>
                <w:sz w:val="20"/>
                <w:lang w:val="en-AU"/>
              </w:rPr>
            </w:pPr>
            <w:r w:rsidRPr="00BF61B6">
              <w:rPr>
                <w:b/>
                <w:sz w:val="20"/>
                <w:lang w:val="en-AU"/>
              </w:rPr>
              <w:lastRenderedPageBreak/>
              <w:t>Dose adjustment</w:t>
            </w:r>
          </w:p>
          <w:p w:rsidRPr="00BF61B6" w:rsidR="00B111CA" w:rsidP="0059793A" w:rsidRDefault="00B111CA" w14:paraId="776B7B97" w14:textId="77777777">
            <w:pPr>
              <w:pStyle w:val="BodyText"/>
              <w:rPr>
                <w:b/>
                <w:sz w:val="20"/>
                <w:lang w:val="en-AU"/>
              </w:rPr>
            </w:pPr>
          </w:p>
        </w:tc>
        <w:tc>
          <w:tcPr>
            <w:tcW w:w="8505" w:type="dxa"/>
          </w:tcPr>
          <w:p w:rsidRPr="00BF61B6" w:rsidR="00B111CA" w:rsidP="0059793A" w:rsidRDefault="00B111CA" w14:paraId="717139BA" w14:textId="77777777">
            <w:pPr>
              <w:pStyle w:val="BodyText"/>
              <w:rPr>
                <w:sz w:val="20"/>
                <w:lang w:val="en-AU"/>
              </w:rPr>
            </w:pPr>
            <w:r w:rsidRPr="00BF61B6">
              <w:rPr>
                <w:sz w:val="20"/>
                <w:lang w:val="en-AU"/>
              </w:rPr>
              <w:t>Therapeutic hypothermia: No information.</w:t>
            </w:r>
          </w:p>
          <w:p w:rsidRPr="00BF61B6" w:rsidR="00B111CA" w:rsidP="0059793A" w:rsidRDefault="00B111CA" w14:paraId="1FC087BD" w14:textId="77777777">
            <w:pPr>
              <w:pStyle w:val="BodyText"/>
              <w:rPr>
                <w:sz w:val="20"/>
                <w:lang w:val="en-AU"/>
              </w:rPr>
            </w:pPr>
            <w:r w:rsidRPr="00BF61B6">
              <w:rPr>
                <w:sz w:val="20"/>
                <w:lang w:val="en-AU"/>
              </w:rPr>
              <w:t>ECMO: No information.</w:t>
            </w:r>
          </w:p>
          <w:p w:rsidRPr="00BF61B6" w:rsidR="00B111CA" w:rsidP="0059793A" w:rsidRDefault="00B111CA" w14:paraId="3824182E" w14:textId="77777777">
            <w:pPr>
              <w:pStyle w:val="BodyText"/>
              <w:rPr>
                <w:sz w:val="20"/>
                <w:lang w:val="en-AU"/>
              </w:rPr>
            </w:pPr>
            <w:r w:rsidRPr="00BF61B6">
              <w:rPr>
                <w:sz w:val="20"/>
                <w:lang w:val="en-AU"/>
              </w:rPr>
              <w:t>Renal impairment: No information.</w:t>
            </w:r>
          </w:p>
          <w:p w:rsidRPr="00BF61B6" w:rsidR="00B111CA" w:rsidP="0059793A" w:rsidRDefault="00B111CA" w14:paraId="5BC0713B" w14:textId="77777777">
            <w:pPr>
              <w:pStyle w:val="BodyText"/>
              <w:rPr>
                <w:sz w:val="20"/>
                <w:lang w:val="en-AU"/>
              </w:rPr>
            </w:pPr>
            <w:r w:rsidRPr="00BF61B6">
              <w:rPr>
                <w:sz w:val="20"/>
                <w:lang w:val="en-AU"/>
              </w:rPr>
              <w:t>Hepatic impairment: No information.</w:t>
            </w:r>
          </w:p>
        </w:tc>
      </w:tr>
      <w:tr w:rsidRPr="00BF61B6" w:rsidR="00B111CA" w:rsidTr="00B111CA" w14:paraId="73CBEF4A" w14:textId="77777777">
        <w:trPr>
          <w:trHeight w:val="113"/>
        </w:trPr>
        <w:tc>
          <w:tcPr>
            <w:tcW w:w="1730" w:type="dxa"/>
          </w:tcPr>
          <w:p w:rsidRPr="00BF61B6" w:rsidR="00B111CA" w:rsidP="0059793A" w:rsidRDefault="00B111CA" w14:paraId="16235C59" w14:textId="77777777">
            <w:pPr>
              <w:pStyle w:val="BodyText"/>
              <w:rPr>
                <w:b/>
                <w:sz w:val="20"/>
                <w:lang w:val="en-AU"/>
              </w:rPr>
            </w:pPr>
            <w:r w:rsidRPr="00BF61B6">
              <w:rPr>
                <w:b/>
                <w:sz w:val="20"/>
                <w:lang w:val="en-AU"/>
              </w:rPr>
              <w:t>Maximum dose</w:t>
            </w:r>
          </w:p>
        </w:tc>
        <w:tc>
          <w:tcPr>
            <w:tcW w:w="8505" w:type="dxa"/>
          </w:tcPr>
          <w:p w:rsidRPr="00BF61B6" w:rsidR="00B111CA" w:rsidP="0059793A" w:rsidRDefault="00B111CA" w14:paraId="659A75F5" w14:textId="77777777">
            <w:pPr>
              <w:pStyle w:val="BodyText"/>
              <w:rPr>
                <w:sz w:val="20"/>
                <w:lang w:val="en-AU"/>
              </w:rPr>
            </w:pPr>
            <w:r w:rsidRPr="00BF61B6">
              <w:rPr>
                <w:sz w:val="20"/>
                <w:lang w:val="en-AU"/>
              </w:rPr>
              <w:t>Prophylaxis: 5 mg/kg/day.</w:t>
            </w:r>
          </w:p>
          <w:p w:rsidRPr="00BF61B6" w:rsidR="00B111CA" w:rsidP="0059793A" w:rsidRDefault="00B111CA" w14:paraId="71AC231C" w14:textId="77777777">
            <w:pPr>
              <w:pStyle w:val="BodyText"/>
              <w:rPr>
                <w:sz w:val="20"/>
                <w:lang w:val="en-AU"/>
              </w:rPr>
            </w:pPr>
            <w:r w:rsidRPr="00BF61B6">
              <w:rPr>
                <w:sz w:val="20"/>
                <w:lang w:val="en-AU"/>
              </w:rPr>
              <w:t xml:space="preserve">Treatment: 6 mg/kg/day in iron deficiency anaemia or on erythropoietin. </w:t>
            </w:r>
          </w:p>
        </w:tc>
      </w:tr>
      <w:tr w:rsidRPr="00BF61B6" w:rsidR="00B111CA" w:rsidTr="00B111CA" w14:paraId="22B83E39" w14:textId="77777777">
        <w:trPr>
          <w:trHeight w:val="144"/>
        </w:trPr>
        <w:tc>
          <w:tcPr>
            <w:tcW w:w="1730" w:type="dxa"/>
          </w:tcPr>
          <w:p w:rsidRPr="00BF61B6" w:rsidR="00B111CA" w:rsidP="0059793A" w:rsidRDefault="00B111CA" w14:paraId="71A7EF7A" w14:textId="77777777">
            <w:pPr>
              <w:pStyle w:val="BodyText"/>
              <w:rPr>
                <w:rFonts w:cs="Arial"/>
                <w:b/>
                <w:bCs/>
                <w:sz w:val="20"/>
                <w:lang w:val="en-AU"/>
              </w:rPr>
            </w:pPr>
            <w:r w:rsidRPr="00BF61B6">
              <w:rPr>
                <w:b/>
                <w:sz w:val="20"/>
                <w:lang w:val="en-AU"/>
              </w:rPr>
              <w:t>Total cumulative dose</w:t>
            </w:r>
          </w:p>
        </w:tc>
        <w:tc>
          <w:tcPr>
            <w:tcW w:w="8505" w:type="dxa"/>
          </w:tcPr>
          <w:p w:rsidRPr="00BF61B6" w:rsidR="00B111CA" w:rsidP="0059793A" w:rsidRDefault="00B111CA" w14:paraId="529B166D" w14:textId="77777777">
            <w:pPr>
              <w:pStyle w:val="BodyText"/>
              <w:rPr>
                <w:rFonts w:cs="Arial"/>
                <w:sz w:val="20"/>
                <w:lang w:val="en-AU"/>
              </w:rPr>
            </w:pPr>
          </w:p>
        </w:tc>
      </w:tr>
      <w:tr w:rsidRPr="00BF61B6" w:rsidR="00B111CA" w:rsidTr="00B111CA" w14:paraId="45B5E9CA" w14:textId="77777777">
        <w:trPr>
          <w:trHeight w:val="294"/>
        </w:trPr>
        <w:tc>
          <w:tcPr>
            <w:tcW w:w="1730" w:type="dxa"/>
          </w:tcPr>
          <w:p w:rsidRPr="00BF61B6" w:rsidR="00B111CA" w:rsidP="0059793A" w:rsidRDefault="00B111CA" w14:paraId="1137D665" w14:textId="77777777">
            <w:pPr>
              <w:pStyle w:val="BodyText"/>
              <w:rPr>
                <w:rFonts w:cs="Arial"/>
                <w:sz w:val="20"/>
                <w:lang w:val="en-AU"/>
              </w:rPr>
            </w:pPr>
            <w:r w:rsidRPr="00BF61B6">
              <w:rPr>
                <w:rFonts w:cs="Arial"/>
                <w:b/>
                <w:bCs/>
                <w:sz w:val="20"/>
                <w:lang w:val="en-AU"/>
              </w:rPr>
              <w:t xml:space="preserve">Route                                </w:t>
            </w:r>
          </w:p>
        </w:tc>
        <w:tc>
          <w:tcPr>
            <w:tcW w:w="8505" w:type="dxa"/>
          </w:tcPr>
          <w:p w:rsidRPr="00BF61B6" w:rsidR="00B111CA" w:rsidP="0059793A" w:rsidRDefault="00B111CA" w14:paraId="26289152" w14:textId="77777777">
            <w:pPr>
              <w:pStyle w:val="BodyText"/>
              <w:rPr>
                <w:rFonts w:cs="Arial"/>
                <w:sz w:val="20"/>
                <w:lang w:val="en-AU"/>
              </w:rPr>
            </w:pPr>
            <w:r w:rsidRPr="00BF61B6">
              <w:rPr>
                <w:rFonts w:cs="Arial"/>
                <w:sz w:val="20"/>
                <w:lang w:val="en-AU"/>
              </w:rPr>
              <w:t>ORAL</w:t>
            </w:r>
          </w:p>
          <w:p w:rsidRPr="00BF61B6" w:rsidR="00B111CA" w:rsidP="0059793A" w:rsidRDefault="00B111CA" w14:paraId="7D5BCC34" w14:textId="77777777">
            <w:pPr>
              <w:pStyle w:val="BodyText"/>
              <w:rPr>
                <w:rFonts w:cs="Arial"/>
                <w:sz w:val="20"/>
                <w:lang w:val="en-AU"/>
              </w:rPr>
            </w:pPr>
            <w:r w:rsidRPr="00BF61B6">
              <w:rPr>
                <w:rFonts w:cs="Arial"/>
                <w:sz w:val="20"/>
                <w:lang w:val="en-AU"/>
              </w:rPr>
              <w:t>IV</w:t>
            </w:r>
          </w:p>
        </w:tc>
      </w:tr>
      <w:tr w:rsidRPr="00BF61B6" w:rsidR="00B111CA" w:rsidTr="00B111CA" w14:paraId="5A4015D7" w14:textId="77777777">
        <w:trPr>
          <w:trHeight w:val="93"/>
        </w:trPr>
        <w:tc>
          <w:tcPr>
            <w:tcW w:w="1730" w:type="dxa"/>
          </w:tcPr>
          <w:p w:rsidRPr="00BF61B6" w:rsidR="00B111CA" w:rsidP="0059793A" w:rsidRDefault="00B111CA" w14:paraId="6ED6D0CF" w14:textId="77777777">
            <w:pPr>
              <w:pStyle w:val="BodyText"/>
              <w:rPr>
                <w:rFonts w:cs="Arial"/>
                <w:b/>
                <w:bCs/>
                <w:sz w:val="20"/>
                <w:highlight w:val="cyan"/>
                <w:lang w:val="en-AU"/>
              </w:rPr>
            </w:pPr>
            <w:r w:rsidRPr="00BF61B6">
              <w:rPr>
                <w:rFonts w:cs="Arial"/>
                <w:b/>
                <w:bCs/>
                <w:sz w:val="20"/>
                <w:lang w:val="en-AU"/>
              </w:rPr>
              <w:t>Preparation</w:t>
            </w:r>
            <w:r w:rsidRPr="00BF61B6">
              <w:rPr>
                <w:rFonts w:cs="Arial"/>
                <w:b/>
                <w:bCs/>
                <w:sz w:val="20"/>
                <w:highlight w:val="cyan"/>
                <w:lang w:val="en-AU"/>
              </w:rPr>
              <w:t xml:space="preserve">                </w:t>
            </w:r>
          </w:p>
        </w:tc>
        <w:tc>
          <w:tcPr>
            <w:tcW w:w="8505" w:type="dxa"/>
          </w:tcPr>
          <w:p w:rsidRPr="00BF61B6" w:rsidR="00B111CA" w:rsidP="0059793A" w:rsidRDefault="00B111CA" w14:paraId="42157AA7" w14:textId="77777777">
            <w:pPr>
              <w:pStyle w:val="BodyText"/>
              <w:rPr>
                <w:rFonts w:cs="Arial"/>
                <w:b/>
                <w:sz w:val="20"/>
                <w:lang w:val="en-AU"/>
              </w:rPr>
            </w:pPr>
            <w:r w:rsidRPr="00BF61B6">
              <w:rPr>
                <w:rFonts w:cs="Arial"/>
                <w:b/>
                <w:sz w:val="20"/>
                <w:lang w:val="en-AU"/>
              </w:rPr>
              <w:t>ORAL</w:t>
            </w:r>
          </w:p>
          <w:p w:rsidRPr="00BF61B6" w:rsidR="00B111CA" w:rsidP="0059793A" w:rsidRDefault="00B111CA" w14:paraId="4D0F3069" w14:textId="77777777">
            <w:pPr>
              <w:pStyle w:val="BodyText"/>
              <w:rPr>
                <w:rFonts w:cs="Arial"/>
                <w:sz w:val="20"/>
                <w:lang w:val="en-AU"/>
              </w:rPr>
            </w:pPr>
            <w:r w:rsidRPr="00BF61B6">
              <w:rPr>
                <w:rFonts w:cs="Arial"/>
                <w:sz w:val="20"/>
                <w:lang w:val="en-AU"/>
              </w:rPr>
              <w:t>No preparation.</w:t>
            </w:r>
          </w:p>
          <w:p w:rsidRPr="00BF61B6" w:rsidR="00B111CA" w:rsidP="0059793A" w:rsidRDefault="00B111CA" w14:paraId="5AC0FA85" w14:textId="77777777">
            <w:pPr>
              <w:pStyle w:val="BodyText"/>
              <w:rPr>
                <w:rFonts w:cs="Arial"/>
                <w:b/>
                <w:sz w:val="20"/>
                <w:lang w:val="en-AU"/>
              </w:rPr>
            </w:pPr>
            <w:r w:rsidRPr="00BF61B6">
              <w:rPr>
                <w:rFonts w:cs="Arial"/>
                <w:b/>
                <w:sz w:val="20"/>
                <w:lang w:val="en-AU"/>
              </w:rPr>
              <w:t>IV</w:t>
            </w:r>
          </w:p>
          <w:p w:rsidRPr="00BF61B6" w:rsidR="00B111CA" w:rsidP="0059793A" w:rsidRDefault="00B111CA" w14:paraId="38579A02" w14:textId="77777777">
            <w:pPr>
              <w:pStyle w:val="BodyText"/>
              <w:rPr>
                <w:rFonts w:cs="Arial"/>
                <w:sz w:val="20"/>
                <w:lang w:val="en-AU"/>
              </w:rPr>
            </w:pPr>
            <w:r w:rsidRPr="00BF61B6">
              <w:rPr>
                <w:rFonts w:cs="Arial"/>
                <w:sz w:val="20"/>
                <w:lang w:val="en-AU"/>
              </w:rPr>
              <w:t xml:space="preserve">Draw up required amount of elemental iron from the vial and add to a total volume of sodium chloride 0.9% to a final concentration of </w:t>
            </w:r>
            <w:r>
              <w:rPr>
                <w:rFonts w:cs="Arial"/>
                <w:sz w:val="20"/>
                <w:lang w:val="en-AU"/>
              </w:rPr>
              <w:t xml:space="preserve">no more than </w:t>
            </w:r>
            <w:r w:rsidRPr="00BF61B6">
              <w:rPr>
                <w:rFonts w:cs="Arial"/>
                <w:sz w:val="20"/>
                <w:lang w:val="en-AU"/>
              </w:rPr>
              <w:t xml:space="preserve">2 mg/mL  </w:t>
            </w:r>
          </w:p>
          <w:p w:rsidRPr="00BF61B6" w:rsidR="00B111CA" w:rsidP="0059793A" w:rsidRDefault="00B111CA" w14:paraId="13BC0277" w14:textId="77777777">
            <w:pPr>
              <w:pStyle w:val="BodyText"/>
              <w:rPr>
                <w:rFonts w:cs="Arial"/>
                <w:sz w:val="20"/>
                <w:lang w:val="en-AU"/>
              </w:rPr>
            </w:pPr>
          </w:p>
          <w:p w:rsidRPr="00BF61B6" w:rsidR="00B111CA" w:rsidP="0059793A" w:rsidRDefault="00B111CA" w14:paraId="2EB74A80" w14:textId="77777777">
            <w:pPr>
              <w:pStyle w:val="BodyText"/>
              <w:rPr>
                <w:rFonts w:cs="Arial"/>
                <w:sz w:val="20"/>
                <w:lang w:val="en-AU"/>
              </w:rPr>
            </w:pPr>
            <w:r w:rsidRPr="00BF61B6">
              <w:rPr>
                <w:rFonts w:cs="Arial"/>
                <w:sz w:val="20"/>
                <w:lang w:val="en-AU"/>
              </w:rPr>
              <w:t xml:space="preserve">Example dilution: </w:t>
            </w:r>
          </w:p>
          <w:p w:rsidRPr="00BF61B6" w:rsidR="00B111CA" w:rsidP="0059793A" w:rsidRDefault="00B111CA" w14:paraId="48B1DDFA" w14:textId="77777777">
            <w:pPr>
              <w:pStyle w:val="BodyText"/>
              <w:rPr>
                <w:rFonts w:cs="Arial"/>
                <w:sz w:val="20"/>
                <w:lang w:val="en-AU"/>
              </w:rPr>
            </w:pPr>
            <w:r w:rsidRPr="00BF61B6">
              <w:rPr>
                <w:rFonts w:cs="Arial"/>
                <w:sz w:val="20"/>
                <w:lang w:val="en-AU"/>
              </w:rPr>
              <w:t>Total dose of IV iron required is 60</w:t>
            </w:r>
            <w:r>
              <w:rPr>
                <w:rFonts w:cs="Arial"/>
                <w:sz w:val="20"/>
                <w:lang w:val="en-AU"/>
              </w:rPr>
              <w:t> </w:t>
            </w:r>
            <w:r w:rsidRPr="00BF61B6">
              <w:rPr>
                <w:rFonts w:cs="Arial"/>
                <w:sz w:val="20"/>
                <w:lang w:val="en-AU"/>
              </w:rPr>
              <w:t xml:space="preserve">mg. </w:t>
            </w:r>
          </w:p>
          <w:p w:rsidRPr="00BF61B6" w:rsidR="00B111CA" w:rsidP="0059793A" w:rsidRDefault="00B111CA" w14:paraId="6A9D929D" w14:textId="77777777">
            <w:pPr>
              <w:pStyle w:val="BodyText"/>
              <w:rPr>
                <w:rFonts w:cs="Arial"/>
                <w:sz w:val="20"/>
                <w:lang w:val="en-AU"/>
              </w:rPr>
            </w:pPr>
            <w:r w:rsidRPr="00BF61B6">
              <w:rPr>
                <w:rFonts w:cs="Arial"/>
                <w:sz w:val="20"/>
                <w:lang w:val="en-AU"/>
              </w:rPr>
              <w:t>Using e.g. Ferrosig ampoules containing 100</w:t>
            </w:r>
            <w:r>
              <w:rPr>
                <w:rFonts w:cs="Arial"/>
                <w:sz w:val="20"/>
                <w:lang w:val="en-AU"/>
              </w:rPr>
              <w:t> </w:t>
            </w:r>
            <w:r w:rsidRPr="00BF61B6">
              <w:rPr>
                <w:rFonts w:cs="Arial"/>
                <w:sz w:val="20"/>
                <w:lang w:val="en-AU"/>
              </w:rPr>
              <w:t>mg elemental iron per 2</w:t>
            </w:r>
            <w:r>
              <w:rPr>
                <w:rFonts w:cs="Arial"/>
                <w:sz w:val="20"/>
                <w:lang w:val="en-AU"/>
              </w:rPr>
              <w:t> </w:t>
            </w:r>
            <w:r w:rsidRPr="00BF61B6">
              <w:rPr>
                <w:rFonts w:cs="Arial"/>
                <w:sz w:val="20"/>
                <w:lang w:val="en-AU"/>
              </w:rPr>
              <w:t>mL, draw up 1.2</w:t>
            </w:r>
            <w:r>
              <w:rPr>
                <w:rFonts w:cs="Arial"/>
                <w:sz w:val="20"/>
                <w:lang w:val="en-AU"/>
              </w:rPr>
              <w:t> </w:t>
            </w:r>
            <w:r w:rsidRPr="00BF61B6">
              <w:rPr>
                <w:rFonts w:cs="Arial"/>
                <w:sz w:val="20"/>
                <w:lang w:val="en-AU"/>
              </w:rPr>
              <w:t>mL (60</w:t>
            </w:r>
            <w:r>
              <w:rPr>
                <w:rFonts w:cs="Arial"/>
                <w:sz w:val="20"/>
                <w:lang w:val="en-AU"/>
              </w:rPr>
              <w:t> </w:t>
            </w:r>
            <w:r w:rsidRPr="00BF61B6">
              <w:rPr>
                <w:rFonts w:cs="Arial"/>
                <w:sz w:val="20"/>
                <w:lang w:val="en-AU"/>
              </w:rPr>
              <w:t xml:space="preserve">mg) of iron. </w:t>
            </w:r>
          </w:p>
          <w:p w:rsidRPr="00BF61B6" w:rsidR="00B111CA" w:rsidP="0059793A" w:rsidRDefault="00B111CA" w14:paraId="3A0E8639" w14:textId="77777777">
            <w:pPr>
              <w:pStyle w:val="BodyText"/>
              <w:rPr>
                <w:rFonts w:cs="Arial"/>
                <w:sz w:val="20"/>
                <w:lang w:val="en-AU"/>
              </w:rPr>
            </w:pPr>
            <w:r w:rsidRPr="00BF61B6">
              <w:rPr>
                <w:rFonts w:cs="Arial"/>
                <w:sz w:val="20"/>
                <w:lang w:val="en-AU"/>
              </w:rPr>
              <w:t>Add 1.2</w:t>
            </w:r>
            <w:r>
              <w:rPr>
                <w:rFonts w:cs="Arial"/>
                <w:sz w:val="20"/>
                <w:lang w:val="en-AU"/>
              </w:rPr>
              <w:t> </w:t>
            </w:r>
            <w:r w:rsidRPr="00BF61B6">
              <w:rPr>
                <w:rFonts w:cs="Arial"/>
                <w:sz w:val="20"/>
                <w:lang w:val="en-AU"/>
              </w:rPr>
              <w:t>mL (60</w:t>
            </w:r>
            <w:r>
              <w:rPr>
                <w:rFonts w:cs="Arial"/>
                <w:sz w:val="20"/>
                <w:lang w:val="en-AU"/>
              </w:rPr>
              <w:t> </w:t>
            </w:r>
            <w:r w:rsidRPr="00BF61B6">
              <w:rPr>
                <w:rFonts w:cs="Arial"/>
                <w:sz w:val="20"/>
                <w:lang w:val="en-AU"/>
              </w:rPr>
              <w:t>mg) to 48.8</w:t>
            </w:r>
            <w:r>
              <w:rPr>
                <w:rFonts w:cs="Arial"/>
                <w:sz w:val="20"/>
                <w:lang w:val="en-AU"/>
              </w:rPr>
              <w:t> </w:t>
            </w:r>
            <w:r w:rsidRPr="00BF61B6">
              <w:rPr>
                <w:rFonts w:cs="Arial"/>
                <w:sz w:val="20"/>
                <w:lang w:val="en-AU"/>
              </w:rPr>
              <w:t>mL sodium chloride 0.9% to result in a final volume of 50</w:t>
            </w:r>
            <w:r>
              <w:rPr>
                <w:rFonts w:cs="Arial"/>
                <w:sz w:val="20"/>
                <w:lang w:val="en-AU"/>
              </w:rPr>
              <w:t> </w:t>
            </w:r>
            <w:r w:rsidRPr="00BF61B6">
              <w:rPr>
                <w:rFonts w:cs="Arial"/>
                <w:sz w:val="20"/>
                <w:lang w:val="en-AU"/>
              </w:rPr>
              <w:t>mL with a concentration of 0.024</w:t>
            </w:r>
            <w:r>
              <w:rPr>
                <w:rFonts w:cs="Arial"/>
                <w:sz w:val="20"/>
                <w:lang w:val="en-AU"/>
              </w:rPr>
              <w:t> </w:t>
            </w:r>
            <w:r w:rsidRPr="00BF61B6">
              <w:rPr>
                <w:rFonts w:cs="Arial"/>
                <w:sz w:val="20"/>
                <w:lang w:val="en-AU"/>
              </w:rPr>
              <w:t>mL (1.2</w:t>
            </w:r>
            <w:r>
              <w:rPr>
                <w:rFonts w:cs="Arial"/>
                <w:sz w:val="20"/>
                <w:lang w:val="en-AU"/>
              </w:rPr>
              <w:t> </w:t>
            </w:r>
            <w:r w:rsidRPr="00BF61B6">
              <w:rPr>
                <w:rFonts w:cs="Arial"/>
                <w:sz w:val="20"/>
                <w:lang w:val="en-AU"/>
              </w:rPr>
              <w:t>mg) per 1</w:t>
            </w:r>
            <w:r>
              <w:rPr>
                <w:rFonts w:cs="Arial"/>
                <w:sz w:val="20"/>
                <w:lang w:val="en-AU"/>
              </w:rPr>
              <w:t> </w:t>
            </w:r>
            <w:r w:rsidRPr="00BF61B6">
              <w:rPr>
                <w:rFonts w:cs="Arial"/>
                <w:sz w:val="20"/>
                <w:lang w:val="en-AU"/>
              </w:rPr>
              <w:t>mL.</w:t>
            </w:r>
          </w:p>
        </w:tc>
      </w:tr>
      <w:tr w:rsidRPr="00BF61B6" w:rsidR="00B111CA" w:rsidTr="00B111CA" w14:paraId="713ECB3A" w14:textId="77777777">
        <w:trPr>
          <w:trHeight w:val="224"/>
        </w:trPr>
        <w:tc>
          <w:tcPr>
            <w:tcW w:w="1730" w:type="dxa"/>
          </w:tcPr>
          <w:p w:rsidRPr="00BF61B6" w:rsidR="00B111CA" w:rsidP="0059793A" w:rsidRDefault="00B111CA" w14:paraId="6792D0D7" w14:textId="77777777">
            <w:pPr>
              <w:pStyle w:val="BodyText"/>
              <w:rPr>
                <w:rFonts w:cs="Arial"/>
                <w:b/>
                <w:bCs/>
                <w:sz w:val="20"/>
                <w:lang w:val="en-AU"/>
              </w:rPr>
            </w:pPr>
            <w:r w:rsidRPr="00BF61B6">
              <w:rPr>
                <w:rFonts w:cs="Arial"/>
                <w:b/>
                <w:bCs/>
                <w:sz w:val="20"/>
                <w:lang w:val="en-AU"/>
              </w:rPr>
              <w:t xml:space="preserve">Administration                </w:t>
            </w:r>
          </w:p>
        </w:tc>
        <w:tc>
          <w:tcPr>
            <w:tcW w:w="8505" w:type="dxa"/>
            <w:vAlign w:val="center"/>
          </w:tcPr>
          <w:p w:rsidRPr="00BF61B6" w:rsidR="00B111CA" w:rsidP="0059793A" w:rsidRDefault="00B111CA" w14:paraId="0662ABFD" w14:textId="77777777">
            <w:pPr>
              <w:pStyle w:val="BodyText"/>
              <w:rPr>
                <w:rFonts w:cs="Arial"/>
                <w:sz w:val="20"/>
                <w:lang w:val="en-AU"/>
              </w:rPr>
            </w:pPr>
            <w:r w:rsidRPr="00BF61B6">
              <w:rPr>
                <w:rFonts w:cs="Arial"/>
                <w:b/>
                <w:sz w:val="20"/>
                <w:lang w:val="en-AU"/>
              </w:rPr>
              <w:t xml:space="preserve">ORAL: </w:t>
            </w:r>
            <w:r w:rsidRPr="00BF61B6">
              <w:rPr>
                <w:rFonts w:cs="Arial"/>
                <w:sz w:val="20"/>
                <w:lang w:val="en-AU"/>
              </w:rPr>
              <w:t>Administer undiluted.</w:t>
            </w:r>
          </w:p>
          <w:p w:rsidRPr="00BF61B6" w:rsidR="00B111CA" w:rsidP="0059793A" w:rsidRDefault="00B111CA" w14:paraId="126CC142" w14:textId="77777777">
            <w:pPr>
              <w:pStyle w:val="BodyText"/>
              <w:rPr>
                <w:rFonts w:cs="Arial"/>
                <w:sz w:val="20"/>
                <w:lang w:val="en-AU"/>
              </w:rPr>
            </w:pPr>
            <w:r w:rsidRPr="00BF61B6">
              <w:rPr>
                <w:rFonts w:cs="Arial"/>
                <w:b/>
                <w:sz w:val="20"/>
                <w:lang w:val="en-AU"/>
              </w:rPr>
              <w:t xml:space="preserve">IV: </w:t>
            </w:r>
            <w:r w:rsidRPr="00BF61B6">
              <w:rPr>
                <w:rFonts w:cs="Arial"/>
                <w:sz w:val="20"/>
                <w:lang w:val="en-AU"/>
              </w:rPr>
              <w:t>Infusion over 4 hours. A test dose of 1 mL can be given over 10 minutes prior to the infusion.</w:t>
            </w:r>
          </w:p>
        </w:tc>
      </w:tr>
      <w:tr w:rsidRPr="00BF61B6" w:rsidR="00B111CA" w:rsidTr="00B111CA" w14:paraId="7F2EA55B" w14:textId="77777777">
        <w:trPr>
          <w:trHeight w:val="215"/>
        </w:trPr>
        <w:tc>
          <w:tcPr>
            <w:tcW w:w="1730" w:type="dxa"/>
          </w:tcPr>
          <w:p w:rsidRPr="00BF61B6" w:rsidR="00B111CA" w:rsidP="0059793A" w:rsidRDefault="00B111CA" w14:paraId="11077080" w14:textId="77777777">
            <w:pPr>
              <w:pStyle w:val="BodyText"/>
              <w:rPr>
                <w:rFonts w:cs="Arial"/>
                <w:b/>
                <w:bCs/>
                <w:sz w:val="20"/>
                <w:lang w:val="en-AU"/>
              </w:rPr>
            </w:pPr>
            <w:r w:rsidRPr="00BF61B6">
              <w:rPr>
                <w:rFonts w:cs="Arial"/>
                <w:b/>
                <w:bCs/>
                <w:sz w:val="20"/>
                <w:lang w:val="en-AU"/>
              </w:rPr>
              <w:t xml:space="preserve">Monitoring                              </w:t>
            </w:r>
          </w:p>
        </w:tc>
        <w:tc>
          <w:tcPr>
            <w:tcW w:w="8505" w:type="dxa"/>
          </w:tcPr>
          <w:p w:rsidRPr="00BF61B6" w:rsidR="00B111CA" w:rsidP="0059793A" w:rsidRDefault="00B111CA" w14:paraId="65739EDD" w14:textId="77777777">
            <w:pPr>
              <w:pStyle w:val="BodyText"/>
              <w:rPr>
                <w:rFonts w:cs="Arial"/>
                <w:sz w:val="20"/>
                <w:lang w:val="en-AU"/>
              </w:rPr>
            </w:pPr>
            <w:r w:rsidRPr="00BF61B6">
              <w:rPr>
                <w:rFonts w:cs="Arial"/>
                <w:sz w:val="20"/>
                <w:lang w:val="en-AU"/>
              </w:rPr>
              <w:t>Periodic haemoglobin and reticulocyte count. Can take 2 weeks for haemoglobin concentrations to rise.</w:t>
            </w:r>
          </w:p>
          <w:p w:rsidRPr="00BF61B6" w:rsidR="00B111CA" w:rsidP="0059793A" w:rsidRDefault="00B111CA" w14:paraId="1FA25F40" w14:textId="77777777">
            <w:pPr>
              <w:pStyle w:val="BodyText"/>
              <w:rPr>
                <w:rFonts w:cs="Arial"/>
                <w:sz w:val="20"/>
                <w:lang w:val="en-AU"/>
              </w:rPr>
            </w:pPr>
            <w:r w:rsidRPr="00BF61B6">
              <w:rPr>
                <w:rFonts w:cs="Arial"/>
                <w:sz w:val="20"/>
                <w:lang w:val="en-AU"/>
              </w:rPr>
              <w:t>Regular serum ferritin if treating iron deficiency anaemia. If the baby has had multiple transfusions, then iron studies would be useful to check for iron overload.</w:t>
            </w:r>
          </w:p>
          <w:p w:rsidRPr="00BF61B6" w:rsidR="00B111CA" w:rsidP="0059793A" w:rsidRDefault="00B111CA" w14:paraId="332CE15C" w14:textId="77777777">
            <w:pPr>
              <w:pStyle w:val="BodyText"/>
              <w:rPr>
                <w:rFonts w:cs="Arial"/>
                <w:b/>
                <w:sz w:val="20"/>
                <w:lang w:val="en-AU"/>
              </w:rPr>
            </w:pPr>
            <w:r w:rsidRPr="00BF61B6">
              <w:rPr>
                <w:rFonts w:cs="Arial"/>
                <w:b/>
                <w:sz w:val="20"/>
                <w:lang w:val="en-AU"/>
              </w:rPr>
              <w:t>IV:</w:t>
            </w:r>
          </w:p>
          <w:p w:rsidRPr="00BF61B6" w:rsidR="00B111CA" w:rsidP="0059793A" w:rsidRDefault="00B111CA" w14:paraId="5BCE485B" w14:textId="77777777">
            <w:pPr>
              <w:pStyle w:val="BodyText"/>
              <w:rPr>
                <w:rFonts w:cs="Arial"/>
                <w:sz w:val="20"/>
                <w:lang w:val="en-AU"/>
              </w:rPr>
            </w:pPr>
            <w:r w:rsidRPr="00BF61B6">
              <w:rPr>
                <w:rFonts w:cs="Arial"/>
                <w:sz w:val="20"/>
                <w:lang w:val="en-AU"/>
              </w:rPr>
              <w:t xml:space="preserve">Monitor infusion site and for signs of hypersensitivity during and at least for 30 minutes after administration. </w:t>
            </w:r>
          </w:p>
          <w:p w:rsidRPr="00BF61B6" w:rsidR="00B111CA" w:rsidP="0059793A" w:rsidRDefault="00B111CA" w14:paraId="13BAC545" w14:textId="77777777">
            <w:pPr>
              <w:pStyle w:val="BodyText"/>
              <w:rPr>
                <w:rFonts w:cs="Arial"/>
                <w:sz w:val="20"/>
                <w:lang w:val="en-AU"/>
              </w:rPr>
            </w:pPr>
            <w:r w:rsidRPr="00BF61B6">
              <w:rPr>
                <w:rFonts w:cs="Arial"/>
                <w:sz w:val="20"/>
                <w:lang w:val="en-AU"/>
              </w:rPr>
              <w:t>Continuous cardiorespiratory monitoring, oxygen saturations and temperature.</w:t>
            </w:r>
          </w:p>
        </w:tc>
      </w:tr>
      <w:tr w:rsidRPr="00BF61B6" w:rsidR="00B111CA" w:rsidTr="00B111CA" w14:paraId="18893684" w14:textId="77777777">
        <w:trPr>
          <w:trHeight w:val="342"/>
        </w:trPr>
        <w:tc>
          <w:tcPr>
            <w:tcW w:w="1730" w:type="dxa"/>
          </w:tcPr>
          <w:p w:rsidRPr="00BF61B6" w:rsidR="00B111CA" w:rsidP="0059793A" w:rsidRDefault="00B111CA" w14:paraId="3B8A843A" w14:textId="77777777">
            <w:pPr>
              <w:pStyle w:val="BodyText"/>
              <w:rPr>
                <w:rFonts w:cs="Arial"/>
                <w:b/>
                <w:bCs/>
                <w:sz w:val="20"/>
                <w:lang w:val="en-AU"/>
              </w:rPr>
            </w:pPr>
            <w:r w:rsidRPr="00BF61B6">
              <w:rPr>
                <w:rFonts w:cs="Arial"/>
                <w:b/>
                <w:bCs/>
                <w:sz w:val="20"/>
                <w:lang w:val="en-AU"/>
              </w:rPr>
              <w:t xml:space="preserve">Contraindications                        </w:t>
            </w:r>
          </w:p>
        </w:tc>
        <w:tc>
          <w:tcPr>
            <w:tcW w:w="8505" w:type="dxa"/>
          </w:tcPr>
          <w:p w:rsidRPr="00BF61B6" w:rsidR="00B111CA" w:rsidP="0059793A" w:rsidRDefault="00B111CA" w14:paraId="4BFF7BC3" w14:textId="77777777">
            <w:pPr>
              <w:pStyle w:val="BodyText"/>
              <w:rPr>
                <w:rFonts w:cs="Arial"/>
                <w:sz w:val="20"/>
                <w:lang w:val="en-AU"/>
              </w:rPr>
            </w:pPr>
            <w:r w:rsidRPr="00BF61B6">
              <w:rPr>
                <w:rFonts w:cs="Arial"/>
                <w:sz w:val="20"/>
                <w:lang w:val="en-AU"/>
              </w:rPr>
              <w:t>Anaemia not due to iron deficiency, e.g. chronic haemolytic anaemia</w:t>
            </w:r>
          </w:p>
          <w:p w:rsidRPr="00BF61B6" w:rsidR="00B111CA" w:rsidP="0059793A" w:rsidRDefault="00B111CA" w14:paraId="233BC7C0" w14:textId="77777777">
            <w:pPr>
              <w:pStyle w:val="BodyText"/>
              <w:rPr>
                <w:rFonts w:cs="Arial"/>
                <w:sz w:val="20"/>
                <w:lang w:val="en-AU"/>
              </w:rPr>
            </w:pPr>
            <w:r w:rsidRPr="00BF61B6">
              <w:rPr>
                <w:rFonts w:cs="Arial"/>
                <w:sz w:val="20"/>
                <w:lang w:val="en-AU"/>
              </w:rPr>
              <w:t>Iron overload conditions: haemochromatosis, haemosiderosis</w:t>
            </w:r>
          </w:p>
          <w:p w:rsidRPr="00BF61B6" w:rsidR="00B111CA" w:rsidP="0059793A" w:rsidRDefault="00B111CA" w14:paraId="476AD768" w14:textId="77777777">
            <w:pPr>
              <w:pStyle w:val="BodyText"/>
              <w:rPr>
                <w:rFonts w:cs="Arial"/>
                <w:sz w:val="20"/>
                <w:lang w:val="en-AU"/>
              </w:rPr>
            </w:pPr>
            <w:r w:rsidRPr="00BF61B6">
              <w:rPr>
                <w:rFonts w:cs="Arial"/>
                <w:sz w:val="20"/>
                <w:lang w:val="en-AU"/>
              </w:rPr>
              <w:t>Hypersensitivity to iron</w:t>
            </w:r>
          </w:p>
          <w:p w:rsidRPr="00BF61B6" w:rsidR="00B111CA" w:rsidP="0059793A" w:rsidRDefault="00B111CA" w14:paraId="68D695A2" w14:textId="77777777">
            <w:pPr>
              <w:pStyle w:val="BodyText"/>
              <w:rPr>
                <w:rFonts w:cs="Arial"/>
                <w:sz w:val="20"/>
                <w:lang w:val="en-AU"/>
              </w:rPr>
            </w:pPr>
            <w:r w:rsidRPr="00BF61B6">
              <w:rPr>
                <w:rFonts w:cs="Arial"/>
                <w:sz w:val="20"/>
                <w:lang w:val="en-AU"/>
              </w:rPr>
              <w:t>Uncontrolled hyperparathyroidism</w:t>
            </w:r>
          </w:p>
          <w:p w:rsidRPr="00BF61B6" w:rsidR="00B111CA" w:rsidP="0059793A" w:rsidRDefault="00B111CA" w14:paraId="0B37546D" w14:textId="77777777">
            <w:pPr>
              <w:pStyle w:val="BodyText"/>
              <w:rPr>
                <w:rFonts w:cs="Arial"/>
                <w:sz w:val="20"/>
                <w:lang w:val="en-AU"/>
              </w:rPr>
            </w:pPr>
            <w:r w:rsidRPr="00BF61B6">
              <w:rPr>
                <w:rFonts w:cs="Arial"/>
                <w:sz w:val="20"/>
                <w:lang w:val="en-AU"/>
              </w:rPr>
              <w:t>Infectious hepatitis – parenteral iron tends to accumulate in inflamed tissues</w:t>
            </w:r>
          </w:p>
          <w:p w:rsidRPr="00BF61B6" w:rsidR="00B111CA" w:rsidP="0059793A" w:rsidRDefault="00B111CA" w14:paraId="64AE94A4" w14:textId="77777777">
            <w:pPr>
              <w:pStyle w:val="BodyText"/>
              <w:rPr>
                <w:rFonts w:cs="Arial"/>
                <w:sz w:val="20"/>
                <w:lang w:val="en-AU"/>
              </w:rPr>
            </w:pPr>
            <w:r w:rsidRPr="00BF61B6">
              <w:rPr>
                <w:rFonts w:cs="Arial"/>
                <w:sz w:val="20"/>
                <w:lang w:val="en-AU"/>
              </w:rPr>
              <w:t>Acute renal infections – parenteral iron tends to accumulate in inflamed tissues</w:t>
            </w:r>
          </w:p>
        </w:tc>
      </w:tr>
      <w:tr w:rsidRPr="00BF61B6" w:rsidR="00B111CA" w:rsidTr="00B111CA" w14:paraId="1EED187B" w14:textId="77777777">
        <w:tc>
          <w:tcPr>
            <w:tcW w:w="1730" w:type="dxa"/>
          </w:tcPr>
          <w:p w:rsidRPr="00BF61B6" w:rsidR="00B111CA" w:rsidP="0059793A" w:rsidRDefault="00B111CA" w14:paraId="62FD1EBF" w14:textId="77777777">
            <w:pPr>
              <w:pStyle w:val="BodyText"/>
              <w:rPr>
                <w:rFonts w:cs="Arial"/>
                <w:b/>
                <w:bCs/>
                <w:sz w:val="20"/>
                <w:lang w:val="en-AU"/>
              </w:rPr>
            </w:pPr>
            <w:r w:rsidRPr="00BF61B6">
              <w:rPr>
                <w:sz w:val="20"/>
                <w:lang w:val="en-AU"/>
              </w:rPr>
              <w:lastRenderedPageBreak/>
              <w:br w:type="page"/>
            </w:r>
            <w:r w:rsidRPr="00BF61B6">
              <w:rPr>
                <w:rFonts w:cs="Arial"/>
                <w:b/>
                <w:bCs/>
                <w:sz w:val="20"/>
                <w:lang w:val="en-AU"/>
              </w:rPr>
              <w:t>Precautions</w:t>
            </w:r>
          </w:p>
        </w:tc>
        <w:tc>
          <w:tcPr>
            <w:tcW w:w="8505" w:type="dxa"/>
          </w:tcPr>
          <w:p w:rsidRPr="00BF61B6" w:rsidR="00B111CA" w:rsidP="0059793A" w:rsidRDefault="00B111CA" w14:paraId="23917974" w14:textId="77777777">
            <w:pPr>
              <w:pStyle w:val="BodyText"/>
              <w:rPr>
                <w:rFonts w:cs="Arial"/>
                <w:sz w:val="20"/>
                <w:lang w:val="en-AU"/>
              </w:rPr>
            </w:pPr>
          </w:p>
        </w:tc>
      </w:tr>
      <w:tr w:rsidRPr="00BF61B6" w:rsidR="00B111CA" w:rsidTr="00B111CA" w14:paraId="277CC926" w14:textId="77777777">
        <w:trPr>
          <w:trHeight w:val="70"/>
        </w:trPr>
        <w:tc>
          <w:tcPr>
            <w:tcW w:w="1730" w:type="dxa"/>
          </w:tcPr>
          <w:p w:rsidRPr="00904909" w:rsidR="00B111CA" w:rsidP="0059793A" w:rsidRDefault="00B111CA" w14:paraId="08D0E926" w14:textId="77777777">
            <w:pPr>
              <w:pStyle w:val="BodyText"/>
              <w:rPr>
                <w:rFonts w:cs="Arial"/>
                <w:b/>
                <w:bCs/>
                <w:sz w:val="20"/>
                <w:lang w:val="en-AU"/>
              </w:rPr>
            </w:pPr>
            <w:r w:rsidRPr="00D0786B">
              <w:rPr>
                <w:rFonts w:cs="Arial"/>
                <w:b/>
                <w:bCs/>
                <w:sz w:val="20"/>
                <w:lang w:val="en-AU"/>
              </w:rPr>
              <w:t xml:space="preserve">Drug </w:t>
            </w:r>
            <w:r w:rsidRPr="003F191A">
              <w:rPr>
                <w:rFonts w:cs="Arial"/>
                <w:b/>
                <w:bCs/>
                <w:sz w:val="20"/>
                <w:lang w:val="en-AU"/>
              </w:rPr>
              <w:t>interactions</w:t>
            </w:r>
          </w:p>
        </w:tc>
        <w:tc>
          <w:tcPr>
            <w:tcW w:w="8505" w:type="dxa"/>
          </w:tcPr>
          <w:p w:rsidRPr="00BF61B6" w:rsidR="00B111CA" w:rsidP="0059793A" w:rsidRDefault="00B111CA" w14:paraId="518D0EB3" w14:textId="77777777">
            <w:pPr>
              <w:pStyle w:val="BodyText"/>
              <w:rPr>
                <w:rFonts w:cs="Arial"/>
                <w:b/>
                <w:sz w:val="20"/>
                <w:u w:val="single"/>
                <w:lang w:val="en-AU"/>
              </w:rPr>
            </w:pPr>
            <w:r w:rsidRPr="00BF61B6">
              <w:rPr>
                <w:rFonts w:cs="Arial"/>
                <w:b/>
                <w:sz w:val="20"/>
                <w:u w:val="single"/>
                <w:lang w:val="en-AU"/>
              </w:rPr>
              <w:t>ORAL iron</w:t>
            </w:r>
          </w:p>
          <w:p w:rsidRPr="00BF61B6" w:rsidR="00B111CA" w:rsidP="0059793A" w:rsidRDefault="00B111CA" w14:paraId="2B79D633" w14:textId="77777777">
            <w:pPr>
              <w:pStyle w:val="BodyText"/>
              <w:rPr>
                <w:rFonts w:cs="Arial"/>
                <w:sz w:val="20"/>
                <w:lang w:val="en-AU"/>
              </w:rPr>
            </w:pPr>
            <w:r w:rsidRPr="00BF61B6">
              <w:rPr>
                <w:rFonts w:cs="Arial"/>
                <w:sz w:val="20"/>
                <w:lang w:val="en-AU"/>
              </w:rPr>
              <w:t xml:space="preserve">Ascorbic acid favours absorption. </w:t>
            </w:r>
          </w:p>
          <w:p w:rsidRPr="00BF61B6" w:rsidR="00B111CA" w:rsidP="0059793A" w:rsidRDefault="00B111CA" w14:paraId="7C1B2EF3" w14:textId="77777777">
            <w:pPr>
              <w:pStyle w:val="BodyText"/>
              <w:rPr>
                <w:rFonts w:cs="Arial"/>
                <w:sz w:val="20"/>
                <w:lang w:val="en-AU"/>
              </w:rPr>
            </w:pPr>
            <w:r w:rsidRPr="00BF61B6">
              <w:rPr>
                <w:rFonts w:cs="Arial"/>
                <w:sz w:val="20"/>
                <w:lang w:val="en-AU"/>
              </w:rPr>
              <w:t>Absorption is better if medicinal iron is supplemented with breast milk or between meals; however</w:t>
            </w:r>
            <w:r>
              <w:rPr>
                <w:rFonts w:cs="Arial"/>
                <w:sz w:val="20"/>
                <w:lang w:val="en-AU"/>
              </w:rPr>
              <w:t>,</w:t>
            </w:r>
            <w:r w:rsidRPr="00067214">
              <w:rPr>
                <w:rFonts w:cs="Arial"/>
                <w:sz w:val="20"/>
                <w:lang w:val="en-AU"/>
              </w:rPr>
              <w:t xml:space="preserve"> give</w:t>
            </w:r>
            <w:r w:rsidRPr="00904909">
              <w:rPr>
                <w:rFonts w:cs="Arial"/>
                <w:sz w:val="20"/>
                <w:lang w:val="en-AU"/>
              </w:rPr>
              <w:t>n</w:t>
            </w:r>
            <w:r w:rsidRPr="00F64FA7">
              <w:rPr>
                <w:rFonts w:cs="Arial"/>
                <w:sz w:val="20"/>
                <w:lang w:val="en-AU"/>
              </w:rPr>
              <w:t xml:space="preserve"> with or soon after food </w:t>
            </w:r>
            <w:r w:rsidRPr="00BF61B6">
              <w:rPr>
                <w:rFonts w:cs="Arial"/>
                <w:sz w:val="20"/>
                <w:lang w:val="en-AU"/>
              </w:rPr>
              <w:t>may reduce gastrointestinal side effects.</w:t>
            </w:r>
            <w:r w:rsidRPr="00BF61B6">
              <w:rPr>
                <w:rFonts w:cs="Arial"/>
                <w:sz w:val="20"/>
                <w:vertAlign w:val="superscript"/>
                <w:lang w:val="en-AU"/>
              </w:rPr>
              <w:t>17</w:t>
            </w:r>
          </w:p>
          <w:p w:rsidRPr="00BF61B6" w:rsidR="00B111CA" w:rsidP="0059793A" w:rsidRDefault="00B111CA" w14:paraId="39E52AF8" w14:textId="77777777">
            <w:pPr>
              <w:pStyle w:val="BodyText"/>
              <w:rPr>
                <w:rFonts w:cs="Arial"/>
                <w:sz w:val="20"/>
                <w:lang w:val="en-AU"/>
              </w:rPr>
            </w:pPr>
            <w:r w:rsidRPr="00BF61B6">
              <w:rPr>
                <w:rFonts w:cs="Arial"/>
                <w:sz w:val="20"/>
                <w:lang w:val="en-AU"/>
              </w:rPr>
              <w:t>Not suitable for jejunal administration as enteral absorption occurs in duodenum and upper jejunum.</w:t>
            </w:r>
          </w:p>
          <w:p w:rsidRPr="00BF61B6" w:rsidR="00B111CA" w:rsidP="0059793A" w:rsidRDefault="00B111CA" w14:paraId="27AE4E54" w14:textId="77777777">
            <w:pPr>
              <w:pStyle w:val="BodyText"/>
              <w:rPr>
                <w:rFonts w:cs="Arial"/>
                <w:sz w:val="20"/>
                <w:u w:val="single"/>
                <w:lang w:val="en-AU"/>
              </w:rPr>
            </w:pPr>
            <w:r w:rsidRPr="00BF61B6">
              <w:rPr>
                <w:rFonts w:cs="Arial"/>
                <w:sz w:val="20"/>
                <w:lang w:val="en-AU"/>
              </w:rPr>
              <w:t>Iron absorption from fortified milk is intact despite its high calcium content.</w:t>
            </w:r>
          </w:p>
          <w:p w:rsidRPr="00BF61B6" w:rsidR="00B111CA" w:rsidP="0059793A" w:rsidRDefault="00B111CA" w14:paraId="64FFA502" w14:textId="77777777">
            <w:pPr>
              <w:pStyle w:val="BodyText"/>
              <w:rPr>
                <w:rFonts w:cs="Arial"/>
                <w:b/>
                <w:sz w:val="20"/>
                <w:u w:val="single"/>
                <w:lang w:val="en-AU"/>
              </w:rPr>
            </w:pPr>
            <w:r w:rsidRPr="00BF61B6">
              <w:rPr>
                <w:rFonts w:cs="Arial"/>
                <w:b/>
                <w:sz w:val="20"/>
                <w:u w:val="single"/>
                <w:lang w:val="en-AU"/>
              </w:rPr>
              <w:t>IV iron</w:t>
            </w:r>
          </w:p>
          <w:p w:rsidRPr="00BF61B6" w:rsidR="00B111CA" w:rsidP="0059793A" w:rsidRDefault="00B111CA" w14:paraId="3E6A3C48" w14:textId="77777777">
            <w:pPr>
              <w:pStyle w:val="BodyText"/>
              <w:rPr>
                <w:rFonts w:cs="Arial"/>
                <w:sz w:val="20"/>
                <w:lang w:val="en-AU"/>
              </w:rPr>
            </w:pPr>
            <w:r w:rsidRPr="00BF61B6">
              <w:rPr>
                <w:rFonts w:cs="Arial"/>
                <w:sz w:val="20"/>
                <w:lang w:val="en-AU"/>
              </w:rPr>
              <w:t>Oral iron is not to be administered concomitantly with IV iron preparations as the absorption of oral iron is reduced. Oral iron therapy should not commence until at least one week after the last iron injection.</w:t>
            </w:r>
          </w:p>
          <w:p w:rsidRPr="00BF61B6" w:rsidR="00B111CA" w:rsidP="0059793A" w:rsidRDefault="00B111CA" w14:paraId="0C9767FB" w14:textId="77777777">
            <w:pPr>
              <w:pStyle w:val="BodyText"/>
              <w:rPr>
                <w:rFonts w:cs="Arial"/>
                <w:sz w:val="20"/>
                <w:lang w:val="en-AU"/>
              </w:rPr>
            </w:pPr>
            <w:r w:rsidRPr="00BF61B6">
              <w:rPr>
                <w:rFonts w:cs="Arial"/>
                <w:sz w:val="20"/>
                <w:lang w:val="en-AU"/>
              </w:rPr>
              <w:t>Concomitant administration of angiotensin converting enzyme (ACE) inhibitors may increase the incidence of adverse effects associated with parental iron preparations e.g. erythema, abdominal cramps, vomiting and hypotension.</w:t>
            </w:r>
          </w:p>
        </w:tc>
      </w:tr>
      <w:tr w:rsidRPr="00BF61B6" w:rsidR="00B111CA" w:rsidTr="00B111CA" w14:paraId="57874E60" w14:textId="77777777">
        <w:trPr>
          <w:trHeight w:val="332"/>
        </w:trPr>
        <w:tc>
          <w:tcPr>
            <w:tcW w:w="1730" w:type="dxa"/>
          </w:tcPr>
          <w:p w:rsidRPr="00BF61B6" w:rsidR="00B111CA" w:rsidP="0059793A" w:rsidRDefault="00B111CA" w14:paraId="793D7CC9" w14:textId="77777777">
            <w:pPr>
              <w:pStyle w:val="BodyText"/>
              <w:rPr>
                <w:rFonts w:cs="Arial"/>
                <w:b/>
                <w:bCs/>
                <w:sz w:val="20"/>
                <w:lang w:val="en-AU"/>
              </w:rPr>
            </w:pPr>
            <w:r w:rsidRPr="00BF61B6">
              <w:rPr>
                <w:rFonts w:cs="Arial"/>
                <w:b/>
                <w:bCs/>
                <w:sz w:val="20"/>
                <w:lang w:val="en-AU"/>
              </w:rPr>
              <w:t xml:space="preserve">Adverse reactions         </w:t>
            </w:r>
          </w:p>
        </w:tc>
        <w:tc>
          <w:tcPr>
            <w:tcW w:w="8505" w:type="dxa"/>
          </w:tcPr>
          <w:p w:rsidRPr="00BF61B6" w:rsidR="00B111CA" w:rsidP="0059793A" w:rsidRDefault="00B111CA" w14:paraId="46E91DE2" w14:textId="77777777">
            <w:pPr>
              <w:pStyle w:val="BodyText"/>
              <w:rPr>
                <w:rFonts w:cs="Arial"/>
                <w:b/>
                <w:sz w:val="20"/>
                <w:u w:val="single"/>
                <w:lang w:val="en-AU"/>
              </w:rPr>
            </w:pPr>
            <w:r w:rsidRPr="00BF61B6">
              <w:rPr>
                <w:rFonts w:cs="Arial"/>
                <w:b/>
                <w:sz w:val="20"/>
                <w:u w:val="single"/>
                <w:lang w:val="en-AU"/>
              </w:rPr>
              <w:t>ORAL iron</w:t>
            </w:r>
          </w:p>
          <w:p w:rsidRPr="00BF61B6" w:rsidR="00B111CA" w:rsidP="0059793A" w:rsidRDefault="00B111CA" w14:paraId="782C5278" w14:textId="77777777">
            <w:pPr>
              <w:pStyle w:val="BodyText"/>
              <w:rPr>
                <w:rFonts w:cs="Arial"/>
                <w:sz w:val="20"/>
                <w:lang w:val="en-AU"/>
              </w:rPr>
            </w:pPr>
            <w:r w:rsidRPr="00BF61B6">
              <w:rPr>
                <w:rFonts w:cs="Arial"/>
                <w:sz w:val="20"/>
                <w:lang w:val="en-AU"/>
              </w:rPr>
              <w:t xml:space="preserve">GI irritation: </w:t>
            </w:r>
            <w:r>
              <w:rPr>
                <w:rFonts w:cs="Arial"/>
                <w:sz w:val="20"/>
                <w:lang w:val="en-AU"/>
              </w:rPr>
              <w:t>A</w:t>
            </w:r>
            <w:r w:rsidRPr="00067214">
              <w:rPr>
                <w:rFonts w:cs="Arial"/>
                <w:sz w:val="20"/>
                <w:lang w:val="en-AU"/>
              </w:rPr>
              <w:t xml:space="preserve">bdominal </w:t>
            </w:r>
            <w:r w:rsidRPr="00904909">
              <w:rPr>
                <w:rFonts w:cs="Arial"/>
                <w:sz w:val="20"/>
                <w:lang w:val="en-AU"/>
              </w:rPr>
              <w:t xml:space="preserve">pain, diarrhoea, constipation, dark stools (green or </w:t>
            </w:r>
            <w:r w:rsidRPr="00F64FA7">
              <w:rPr>
                <w:rFonts w:cs="Arial"/>
                <w:sz w:val="20"/>
                <w:lang w:val="en-AU"/>
              </w:rPr>
              <w:t>black), gastric mucosa</w:t>
            </w:r>
            <w:r w:rsidRPr="00BF61B6">
              <w:rPr>
                <w:rFonts w:cs="Arial"/>
                <w:sz w:val="20"/>
                <w:lang w:val="en-AU"/>
              </w:rPr>
              <w:t>l erosion</w:t>
            </w:r>
          </w:p>
          <w:p w:rsidRPr="00BF61B6" w:rsidR="00B111CA" w:rsidP="0059793A" w:rsidRDefault="00B111CA" w14:paraId="5764D0F6" w14:textId="77777777">
            <w:pPr>
              <w:pStyle w:val="BodyText"/>
              <w:rPr>
                <w:rFonts w:cs="Arial"/>
                <w:b/>
                <w:sz w:val="20"/>
                <w:u w:val="single"/>
                <w:lang w:val="en-AU"/>
              </w:rPr>
            </w:pPr>
            <w:r w:rsidRPr="00BF61B6">
              <w:rPr>
                <w:rFonts w:cs="Arial"/>
                <w:b/>
                <w:sz w:val="20"/>
                <w:u w:val="single"/>
                <w:lang w:val="en-AU"/>
              </w:rPr>
              <w:t>IV iron</w:t>
            </w:r>
          </w:p>
          <w:p w:rsidRPr="00BF61B6" w:rsidR="00B111CA" w:rsidP="0059793A" w:rsidRDefault="00B111CA" w14:paraId="51B14183" w14:textId="77777777">
            <w:pPr>
              <w:pStyle w:val="BodyText"/>
              <w:rPr>
                <w:rFonts w:cs="Arial"/>
                <w:sz w:val="20"/>
                <w:lang w:val="en-AU"/>
              </w:rPr>
            </w:pPr>
            <w:r w:rsidRPr="00BF61B6">
              <w:rPr>
                <w:rFonts w:cs="Arial"/>
                <w:sz w:val="20"/>
                <w:lang w:val="en-AU"/>
              </w:rPr>
              <w:t>General: Flushing, sweating, chills and fever; chest and back pain</w:t>
            </w:r>
          </w:p>
          <w:p w:rsidRPr="00BF61B6" w:rsidR="00B111CA" w:rsidP="0059793A" w:rsidRDefault="00B111CA" w14:paraId="182B17C2" w14:textId="77777777">
            <w:pPr>
              <w:pStyle w:val="BodyText"/>
              <w:rPr>
                <w:rFonts w:cs="Arial"/>
                <w:sz w:val="20"/>
                <w:lang w:val="en-AU"/>
              </w:rPr>
            </w:pPr>
            <w:r w:rsidRPr="00BF61B6">
              <w:rPr>
                <w:rFonts w:cs="Arial"/>
                <w:sz w:val="20"/>
                <w:lang w:val="en-AU"/>
              </w:rPr>
              <w:t>Hypersensitivity, anaphylaxis</w:t>
            </w:r>
          </w:p>
          <w:p w:rsidRPr="00BF61B6" w:rsidR="00B111CA" w:rsidP="0059793A" w:rsidRDefault="00B111CA" w14:paraId="483B26CC" w14:textId="77777777">
            <w:pPr>
              <w:pStyle w:val="BodyText"/>
              <w:rPr>
                <w:rFonts w:cs="Arial"/>
                <w:sz w:val="20"/>
                <w:lang w:val="en-AU"/>
              </w:rPr>
            </w:pPr>
            <w:r w:rsidRPr="00BF61B6">
              <w:rPr>
                <w:rFonts w:cs="Arial"/>
                <w:sz w:val="20"/>
                <w:lang w:val="en-AU"/>
              </w:rPr>
              <w:t>Gastrointestinal: Nausea and vomiting, abdominal pain</w:t>
            </w:r>
          </w:p>
          <w:p w:rsidRPr="00BF61B6" w:rsidR="00B111CA" w:rsidP="0059793A" w:rsidRDefault="00B111CA" w14:paraId="204C383A" w14:textId="77777777">
            <w:pPr>
              <w:pStyle w:val="BodyText"/>
              <w:rPr>
                <w:rFonts w:cs="Arial"/>
                <w:sz w:val="20"/>
                <w:lang w:val="en-AU"/>
              </w:rPr>
            </w:pPr>
            <w:r w:rsidRPr="00BF61B6">
              <w:rPr>
                <w:rFonts w:cs="Arial"/>
                <w:sz w:val="20"/>
                <w:lang w:val="en-AU"/>
              </w:rPr>
              <w:t>Central nervous system: Headache; dizziness</w:t>
            </w:r>
          </w:p>
          <w:p w:rsidRPr="00BF61B6" w:rsidR="00B111CA" w:rsidP="0059793A" w:rsidRDefault="00B111CA" w14:paraId="2715D3ED" w14:textId="77777777">
            <w:pPr>
              <w:pStyle w:val="BodyText"/>
              <w:rPr>
                <w:rFonts w:cs="Arial"/>
                <w:sz w:val="20"/>
                <w:lang w:val="en-AU"/>
              </w:rPr>
            </w:pPr>
            <w:r w:rsidRPr="00BF61B6">
              <w:rPr>
                <w:rFonts w:cs="Arial"/>
                <w:sz w:val="20"/>
                <w:lang w:val="en-AU"/>
              </w:rPr>
              <w:t>Musculoskeletal: Joint and muscle pain; arthralgia; sensation of stiffening of the arms, legs or face</w:t>
            </w:r>
          </w:p>
          <w:p w:rsidRPr="00BF61B6" w:rsidR="00B111CA" w:rsidP="0059793A" w:rsidRDefault="00B111CA" w14:paraId="0B6FF02F" w14:textId="77777777">
            <w:pPr>
              <w:pStyle w:val="BodyText"/>
              <w:rPr>
                <w:rFonts w:cs="Arial"/>
                <w:sz w:val="20"/>
                <w:lang w:val="en-AU"/>
              </w:rPr>
            </w:pPr>
            <w:r w:rsidRPr="00BF61B6">
              <w:rPr>
                <w:rFonts w:cs="Arial"/>
                <w:sz w:val="20"/>
                <w:lang w:val="en-AU"/>
              </w:rPr>
              <w:t>Cardiovascular: Tachycardia, hypotension, circulatory collapse</w:t>
            </w:r>
          </w:p>
          <w:p w:rsidRPr="00BF61B6" w:rsidR="00B111CA" w:rsidP="0059793A" w:rsidRDefault="00B111CA" w14:paraId="605E00AE" w14:textId="77777777">
            <w:pPr>
              <w:pStyle w:val="BodyText"/>
              <w:rPr>
                <w:rFonts w:cs="Arial"/>
                <w:sz w:val="20"/>
                <w:lang w:val="en-AU"/>
              </w:rPr>
            </w:pPr>
            <w:r w:rsidRPr="00BF61B6">
              <w:rPr>
                <w:rFonts w:cs="Arial"/>
                <w:sz w:val="20"/>
                <w:lang w:val="en-AU"/>
              </w:rPr>
              <w:t>Respiratory: Bronchospasm with dyspnoea</w:t>
            </w:r>
          </w:p>
          <w:p w:rsidRPr="00BF61B6" w:rsidR="00B111CA" w:rsidP="0059793A" w:rsidRDefault="00B111CA" w14:paraId="114D099A" w14:textId="77777777">
            <w:pPr>
              <w:pStyle w:val="BodyText"/>
              <w:rPr>
                <w:rFonts w:cs="Arial"/>
                <w:sz w:val="20"/>
                <w:lang w:val="en-AU"/>
              </w:rPr>
            </w:pPr>
            <w:r w:rsidRPr="00BF61B6">
              <w:rPr>
                <w:rFonts w:cs="Arial"/>
                <w:sz w:val="20"/>
                <w:lang w:val="en-AU"/>
              </w:rPr>
              <w:t>Haematological: Generalised lymphadenopathy</w:t>
            </w:r>
          </w:p>
          <w:p w:rsidRPr="00BF61B6" w:rsidR="00B111CA" w:rsidP="0059793A" w:rsidRDefault="00B111CA" w14:paraId="53760C1F" w14:textId="77777777">
            <w:pPr>
              <w:pStyle w:val="BodyText"/>
              <w:rPr>
                <w:rFonts w:cs="Arial"/>
                <w:sz w:val="20"/>
                <w:lang w:val="en-AU"/>
              </w:rPr>
            </w:pPr>
            <w:r w:rsidRPr="00BF61B6">
              <w:rPr>
                <w:rFonts w:cs="Arial"/>
                <w:sz w:val="20"/>
                <w:lang w:val="en-AU"/>
              </w:rPr>
              <w:t>Dermatological: Rash, urticarial, angioneurotic oedema</w:t>
            </w:r>
          </w:p>
          <w:p w:rsidRPr="0055010B" w:rsidR="00B111CA" w:rsidP="0059793A" w:rsidRDefault="00B111CA" w14:paraId="72BBDD6C" w14:textId="77777777">
            <w:pPr>
              <w:pStyle w:val="BodyText"/>
              <w:rPr>
                <w:rFonts w:cs="Arial"/>
                <w:sz w:val="20"/>
                <w:lang w:val="en-AU"/>
              </w:rPr>
            </w:pPr>
            <w:r w:rsidRPr="00BF61B6">
              <w:rPr>
                <w:rFonts w:cs="Arial"/>
                <w:sz w:val="20"/>
                <w:lang w:val="en-AU"/>
              </w:rPr>
              <w:t>Adverse reactions may be delayed by 1</w:t>
            </w:r>
            <w:r>
              <w:rPr>
                <w:rFonts w:cs="Arial"/>
                <w:sz w:val="20"/>
                <w:lang w:val="en-AU"/>
              </w:rPr>
              <w:t>–</w:t>
            </w:r>
            <w:r w:rsidRPr="00067214">
              <w:rPr>
                <w:rFonts w:cs="Arial"/>
                <w:sz w:val="20"/>
                <w:lang w:val="en-AU"/>
              </w:rPr>
              <w:t xml:space="preserve">2 days after treatment with </w:t>
            </w:r>
            <w:r>
              <w:rPr>
                <w:rFonts w:cs="Arial"/>
                <w:sz w:val="20"/>
                <w:lang w:val="en-AU"/>
              </w:rPr>
              <w:t xml:space="preserve">Ferrosig iron or </w:t>
            </w:r>
            <w:r w:rsidRPr="00067214">
              <w:rPr>
                <w:rFonts w:cs="Arial"/>
                <w:sz w:val="20"/>
                <w:lang w:val="en-AU"/>
              </w:rPr>
              <w:t xml:space="preserve">Ferrum H </w:t>
            </w:r>
            <w:r>
              <w:rPr>
                <w:rFonts w:cs="Arial"/>
                <w:sz w:val="20"/>
                <w:lang w:val="en-AU"/>
              </w:rPr>
              <w:t xml:space="preserve">(iron polymaltose) </w:t>
            </w:r>
            <w:r w:rsidRPr="00067214">
              <w:rPr>
                <w:rFonts w:cs="Arial"/>
                <w:sz w:val="20"/>
                <w:lang w:val="en-AU"/>
              </w:rPr>
              <w:t>injection</w:t>
            </w:r>
          </w:p>
          <w:p w:rsidRPr="00BF61B6" w:rsidR="00B111CA" w:rsidP="0059793A" w:rsidRDefault="00B111CA" w14:paraId="2C2A621C" w14:textId="77777777">
            <w:pPr>
              <w:pStyle w:val="BodyText"/>
              <w:rPr>
                <w:rFonts w:cs="Arial"/>
                <w:b/>
                <w:sz w:val="20"/>
                <w:u w:val="single"/>
                <w:lang w:val="en-AU"/>
              </w:rPr>
            </w:pPr>
            <w:r w:rsidRPr="00BF61B6">
              <w:rPr>
                <w:rFonts w:cs="Arial"/>
                <w:b/>
                <w:sz w:val="20"/>
                <w:u w:val="single"/>
                <w:lang w:val="en-AU"/>
              </w:rPr>
              <w:t>Oral and IV</w:t>
            </w:r>
          </w:p>
          <w:p w:rsidRPr="0055010B" w:rsidR="00B111CA" w:rsidP="0059793A" w:rsidRDefault="00B111CA" w14:paraId="710298F9" w14:textId="77777777">
            <w:pPr>
              <w:pStyle w:val="BodyText"/>
              <w:rPr>
                <w:rFonts w:cs="Arial"/>
                <w:sz w:val="20"/>
                <w:lang w:val="en-AU"/>
              </w:rPr>
            </w:pPr>
            <w:r w:rsidRPr="00BF61B6">
              <w:rPr>
                <w:rFonts w:cs="Arial"/>
                <w:sz w:val="20"/>
                <w:lang w:val="en-AU"/>
              </w:rPr>
              <w:t xml:space="preserve">Increased RBC haemolysis and haemolytic anaemia in preterm infants with low vitamin E </w:t>
            </w:r>
            <w:r>
              <w:rPr>
                <w:rFonts w:cs="Arial"/>
                <w:sz w:val="20"/>
                <w:lang w:val="en-AU"/>
              </w:rPr>
              <w:t>concentrations</w:t>
            </w:r>
          </w:p>
          <w:p w:rsidRPr="00F64FA7" w:rsidR="00B111CA" w:rsidP="0059793A" w:rsidRDefault="00B111CA" w14:paraId="0BB36945" w14:textId="77777777">
            <w:pPr>
              <w:pStyle w:val="BodyText"/>
              <w:rPr>
                <w:rFonts w:cs="Arial"/>
                <w:sz w:val="20"/>
                <w:lang w:val="en-AU"/>
              </w:rPr>
            </w:pPr>
            <w:r w:rsidRPr="00C17438">
              <w:rPr>
                <w:rFonts w:cs="Arial"/>
                <w:sz w:val="20"/>
                <w:lang w:val="en-AU"/>
              </w:rPr>
              <w:t xml:space="preserve">Rickets </w:t>
            </w:r>
            <w:r>
              <w:rPr>
                <w:rFonts w:cs="Arial"/>
                <w:sz w:val="20"/>
                <w:lang w:val="en-AU"/>
              </w:rPr>
              <w:t>–</w:t>
            </w:r>
            <w:r w:rsidRPr="00C17438">
              <w:rPr>
                <w:rFonts w:cs="Arial"/>
                <w:sz w:val="20"/>
                <w:lang w:val="en-AU"/>
              </w:rPr>
              <w:t xml:space="preserve"> with large doses of iron over a prolonged </w:t>
            </w:r>
            <w:r w:rsidRPr="00904909">
              <w:rPr>
                <w:rFonts w:cs="Arial"/>
                <w:sz w:val="20"/>
                <w:lang w:val="en-AU"/>
              </w:rPr>
              <w:t>period</w:t>
            </w:r>
          </w:p>
          <w:p w:rsidRPr="00BF61B6" w:rsidR="00B111CA" w:rsidP="0059793A" w:rsidRDefault="00B111CA" w14:paraId="7CDA2340" w14:textId="77777777">
            <w:pPr>
              <w:pStyle w:val="BodyText"/>
              <w:rPr>
                <w:rFonts w:cs="Arial"/>
                <w:sz w:val="20"/>
                <w:lang w:val="en-AU"/>
              </w:rPr>
            </w:pPr>
            <w:r w:rsidRPr="00F11E5B">
              <w:rPr>
                <w:rFonts w:cs="Arial"/>
                <w:sz w:val="20"/>
                <w:lang w:val="en-AU"/>
              </w:rPr>
              <w:t xml:space="preserve">Acute toxicity </w:t>
            </w:r>
            <w:r>
              <w:rPr>
                <w:rFonts w:cs="Arial"/>
                <w:sz w:val="20"/>
                <w:lang w:val="en-AU"/>
              </w:rPr>
              <w:t>–</w:t>
            </w:r>
            <w:r w:rsidRPr="00C17438">
              <w:rPr>
                <w:rFonts w:cs="Arial"/>
                <w:sz w:val="20"/>
                <w:lang w:val="en-AU"/>
              </w:rPr>
              <w:t xml:space="preserve"> more severe GI effects including haematemesis and </w:t>
            </w:r>
            <w:r w:rsidRPr="00F64FA7">
              <w:rPr>
                <w:rFonts w:cs="Arial"/>
                <w:sz w:val="20"/>
                <w:lang w:val="en-AU"/>
              </w:rPr>
              <w:t>melaena, lethargy, pallor, cyanosis and shoc</w:t>
            </w:r>
            <w:r w:rsidRPr="00BF61B6">
              <w:rPr>
                <w:rFonts w:cs="Arial"/>
                <w:sz w:val="20"/>
                <w:lang w:val="en-AU"/>
              </w:rPr>
              <w:t>k</w:t>
            </w:r>
          </w:p>
        </w:tc>
      </w:tr>
      <w:tr w:rsidRPr="00BF61B6" w:rsidR="00B111CA" w:rsidTr="00B111CA" w14:paraId="33F8E798" w14:textId="77777777">
        <w:trPr>
          <w:trHeight w:val="180"/>
        </w:trPr>
        <w:tc>
          <w:tcPr>
            <w:tcW w:w="1730" w:type="dxa"/>
          </w:tcPr>
          <w:p w:rsidRPr="00BF61B6" w:rsidR="00B111CA" w:rsidP="0059793A" w:rsidRDefault="00B111CA" w14:paraId="7CD6AA17" w14:textId="77777777">
            <w:pPr>
              <w:pStyle w:val="BodyText"/>
              <w:rPr>
                <w:rFonts w:cs="Arial"/>
                <w:b/>
                <w:bCs/>
                <w:sz w:val="20"/>
                <w:lang w:val="en-AU"/>
              </w:rPr>
            </w:pPr>
            <w:r w:rsidRPr="00BF61B6">
              <w:rPr>
                <w:rFonts w:cs="Arial"/>
                <w:b/>
                <w:bCs/>
                <w:sz w:val="20"/>
                <w:lang w:val="en-AU"/>
              </w:rPr>
              <w:t>Compatibility</w:t>
            </w:r>
          </w:p>
        </w:tc>
        <w:tc>
          <w:tcPr>
            <w:tcW w:w="8505" w:type="dxa"/>
          </w:tcPr>
          <w:p w:rsidRPr="009F2F96" w:rsidR="00B111CA" w:rsidP="0059793A" w:rsidRDefault="00B111CA" w14:paraId="52481FCD" w14:textId="77777777">
            <w:pPr>
              <w:pStyle w:val="BodyText"/>
              <w:rPr>
                <w:sz w:val="20"/>
                <w:lang w:val="en-AU"/>
              </w:rPr>
            </w:pPr>
            <w:r w:rsidRPr="00BF61B6">
              <w:rPr>
                <w:sz w:val="20"/>
                <w:lang w:val="en-AU"/>
              </w:rPr>
              <w:t xml:space="preserve">Can be administered with </w:t>
            </w:r>
            <w:r>
              <w:rPr>
                <w:sz w:val="20"/>
                <w:lang w:val="en-AU"/>
              </w:rPr>
              <w:t>Pentavite</w:t>
            </w:r>
          </w:p>
        </w:tc>
      </w:tr>
      <w:tr w:rsidRPr="00BF61B6" w:rsidR="00B111CA" w:rsidTr="00B111CA" w14:paraId="765C57B6" w14:textId="77777777">
        <w:trPr>
          <w:trHeight w:val="230"/>
        </w:trPr>
        <w:tc>
          <w:tcPr>
            <w:tcW w:w="1730" w:type="dxa"/>
          </w:tcPr>
          <w:p w:rsidRPr="00BF61B6" w:rsidR="00B111CA" w:rsidP="0059793A" w:rsidRDefault="00B111CA" w14:paraId="6ED9902D" w14:textId="77777777">
            <w:pPr>
              <w:pStyle w:val="BodyText"/>
              <w:rPr>
                <w:rFonts w:cs="Arial"/>
                <w:b/>
                <w:bCs/>
                <w:sz w:val="20"/>
                <w:lang w:val="en-AU"/>
              </w:rPr>
            </w:pPr>
            <w:r w:rsidRPr="00BF61B6">
              <w:rPr>
                <w:rFonts w:cs="Arial"/>
                <w:b/>
                <w:bCs/>
                <w:sz w:val="20"/>
                <w:lang w:val="en-AU"/>
              </w:rPr>
              <w:t>Incompatibility</w:t>
            </w:r>
          </w:p>
        </w:tc>
        <w:tc>
          <w:tcPr>
            <w:tcW w:w="8505" w:type="dxa"/>
          </w:tcPr>
          <w:p w:rsidRPr="00BF61B6" w:rsidR="00B111CA" w:rsidP="0059793A" w:rsidRDefault="00B111CA" w14:paraId="2B7D0602" w14:textId="77777777">
            <w:pPr>
              <w:pStyle w:val="BodyText"/>
              <w:rPr>
                <w:rFonts w:cs="Arial"/>
                <w:sz w:val="20"/>
                <w:lang w:val="en-AU"/>
              </w:rPr>
            </w:pPr>
            <w:r w:rsidRPr="00BF61B6">
              <w:rPr>
                <w:rFonts w:cs="Arial"/>
                <w:sz w:val="20"/>
                <w:lang w:val="en-AU"/>
              </w:rPr>
              <w:t>Do not mix IV solutions with other compounds</w:t>
            </w:r>
          </w:p>
        </w:tc>
      </w:tr>
      <w:tr w:rsidRPr="00BF61B6" w:rsidR="00B111CA" w:rsidTr="00B111CA" w14:paraId="6B4B750D" w14:textId="77777777">
        <w:trPr>
          <w:trHeight w:val="79"/>
        </w:trPr>
        <w:tc>
          <w:tcPr>
            <w:tcW w:w="1730" w:type="dxa"/>
          </w:tcPr>
          <w:p w:rsidRPr="00BF61B6" w:rsidR="00B111CA" w:rsidP="0059793A" w:rsidRDefault="00B111CA" w14:paraId="4F9DCAEA" w14:textId="77777777">
            <w:pPr>
              <w:pStyle w:val="BodyText"/>
              <w:rPr>
                <w:rFonts w:cs="Arial"/>
                <w:b/>
                <w:bCs/>
                <w:sz w:val="20"/>
                <w:lang w:val="en-AU"/>
              </w:rPr>
            </w:pPr>
            <w:r w:rsidRPr="00BF61B6">
              <w:rPr>
                <w:rFonts w:cs="Arial"/>
                <w:b/>
                <w:bCs/>
                <w:sz w:val="20"/>
                <w:lang w:val="en-AU"/>
              </w:rPr>
              <w:t xml:space="preserve">Stability   </w:t>
            </w:r>
          </w:p>
        </w:tc>
        <w:tc>
          <w:tcPr>
            <w:tcW w:w="8505" w:type="dxa"/>
          </w:tcPr>
          <w:p w:rsidRPr="00B91D5A" w:rsidR="00B111CA" w:rsidP="0059793A" w:rsidRDefault="00B111CA" w14:paraId="737E5F20" w14:textId="77777777">
            <w:pPr>
              <w:pStyle w:val="BodyText"/>
              <w:rPr>
                <w:sz w:val="20"/>
                <w:lang w:val="en-AU"/>
              </w:rPr>
            </w:pPr>
            <w:r w:rsidRPr="00B91D5A">
              <w:rPr>
                <w:sz w:val="20"/>
                <w:lang w:val="en-AU"/>
              </w:rPr>
              <w:t>IV preparations:</w:t>
            </w:r>
          </w:p>
          <w:p w:rsidRPr="00B91D5A" w:rsidR="00B111CA" w:rsidP="0059793A" w:rsidRDefault="00B111CA" w14:paraId="521452F3" w14:textId="77777777">
            <w:pPr>
              <w:pStyle w:val="BodyText"/>
              <w:rPr>
                <w:sz w:val="20"/>
                <w:lang w:val="en-AU"/>
              </w:rPr>
            </w:pPr>
            <w:r w:rsidRPr="00B91D5A">
              <w:rPr>
                <w:sz w:val="20"/>
                <w:lang w:val="en-AU"/>
              </w:rPr>
              <w:t xml:space="preserve">Venofer: </w:t>
            </w:r>
            <w:r>
              <w:rPr>
                <w:sz w:val="20"/>
                <w:lang w:val="en-AU"/>
              </w:rPr>
              <w:t>O</w:t>
            </w:r>
            <w:r w:rsidRPr="00B91D5A">
              <w:rPr>
                <w:sz w:val="20"/>
                <w:lang w:val="en-AU"/>
              </w:rPr>
              <w:t>nce diluted, use product immediately and discard unused portions</w:t>
            </w:r>
          </w:p>
          <w:p w:rsidRPr="00B91D5A" w:rsidR="00B111CA" w:rsidP="0059793A" w:rsidRDefault="00B111CA" w14:paraId="70BF05B9" w14:textId="77777777">
            <w:pPr>
              <w:pStyle w:val="BodyText"/>
              <w:rPr>
                <w:sz w:val="20"/>
                <w:lang w:val="en-AU"/>
              </w:rPr>
            </w:pPr>
            <w:r w:rsidRPr="00B91D5A">
              <w:rPr>
                <w:sz w:val="20"/>
                <w:lang w:val="en-AU"/>
              </w:rPr>
              <w:t xml:space="preserve">Ferrosig: </w:t>
            </w:r>
            <w:r>
              <w:rPr>
                <w:sz w:val="20"/>
                <w:lang w:val="en-AU"/>
              </w:rPr>
              <w:t>O</w:t>
            </w:r>
            <w:r w:rsidRPr="00B91D5A">
              <w:rPr>
                <w:sz w:val="20"/>
                <w:lang w:val="en-AU"/>
              </w:rPr>
              <w:t>nce diluted, use product immediately and discard unused portions. However</w:t>
            </w:r>
            <w:r>
              <w:rPr>
                <w:sz w:val="20"/>
                <w:lang w:val="en-AU"/>
              </w:rPr>
              <w:t>,</w:t>
            </w:r>
            <w:r w:rsidRPr="00B91D5A">
              <w:rPr>
                <w:sz w:val="20"/>
                <w:lang w:val="en-AU"/>
              </w:rPr>
              <w:t xml:space="preserve"> if necessary, can store at 2</w:t>
            </w:r>
            <w:r>
              <w:rPr>
                <w:sz w:val="20"/>
                <w:lang w:val="en-AU"/>
              </w:rPr>
              <w:t>–</w:t>
            </w:r>
            <w:r w:rsidRPr="00B91D5A">
              <w:rPr>
                <w:sz w:val="20"/>
                <w:lang w:val="en-AU"/>
              </w:rPr>
              <w:t>8°C for not more than 12 hours</w:t>
            </w:r>
          </w:p>
        </w:tc>
      </w:tr>
      <w:tr w:rsidRPr="00BF61B6" w:rsidR="00B111CA" w:rsidTr="00B111CA" w14:paraId="23EE6184" w14:textId="77777777">
        <w:trPr>
          <w:trHeight w:val="70"/>
        </w:trPr>
        <w:tc>
          <w:tcPr>
            <w:tcW w:w="1730" w:type="dxa"/>
          </w:tcPr>
          <w:p w:rsidRPr="00BF61B6" w:rsidR="00B111CA" w:rsidP="0059793A" w:rsidRDefault="00B111CA" w14:paraId="48D674D3" w14:textId="77777777">
            <w:pPr>
              <w:pStyle w:val="BodyText"/>
              <w:rPr>
                <w:rFonts w:cs="Arial"/>
                <w:b/>
                <w:bCs/>
                <w:sz w:val="20"/>
                <w:lang w:val="en-AU"/>
              </w:rPr>
            </w:pPr>
            <w:r w:rsidRPr="00BF61B6">
              <w:rPr>
                <w:rFonts w:cs="Arial"/>
                <w:b/>
                <w:bCs/>
                <w:sz w:val="20"/>
                <w:lang w:val="en-AU"/>
              </w:rPr>
              <w:t xml:space="preserve">Storage             </w:t>
            </w:r>
          </w:p>
        </w:tc>
        <w:tc>
          <w:tcPr>
            <w:tcW w:w="8505" w:type="dxa"/>
          </w:tcPr>
          <w:p w:rsidRPr="00B91D5A" w:rsidR="00B111CA" w:rsidP="0059793A" w:rsidRDefault="00B111CA" w14:paraId="664C9B4A" w14:textId="77777777">
            <w:pPr>
              <w:pStyle w:val="BodyText"/>
              <w:rPr>
                <w:rFonts w:cs="Arial"/>
                <w:sz w:val="20"/>
                <w:lang w:val="en-AU"/>
              </w:rPr>
            </w:pPr>
            <w:r w:rsidRPr="00B91D5A">
              <w:rPr>
                <w:sz w:val="20"/>
                <w:lang w:val="en-AU"/>
              </w:rPr>
              <w:t>Store below 25°C. Protect from light</w:t>
            </w:r>
          </w:p>
        </w:tc>
      </w:tr>
      <w:tr w:rsidRPr="00BF61B6" w:rsidR="00B111CA" w:rsidTr="00B111CA" w14:paraId="1E8916F9" w14:textId="77777777">
        <w:trPr>
          <w:trHeight w:val="70"/>
        </w:trPr>
        <w:tc>
          <w:tcPr>
            <w:tcW w:w="1730" w:type="dxa"/>
          </w:tcPr>
          <w:p w:rsidRPr="00BF61B6" w:rsidR="00B111CA" w:rsidP="0059793A" w:rsidRDefault="00B111CA" w14:paraId="0B1FD38E" w14:textId="77777777">
            <w:pPr>
              <w:pStyle w:val="BodyText"/>
              <w:rPr>
                <w:rFonts w:cs="Arial"/>
                <w:b/>
                <w:bCs/>
                <w:sz w:val="20"/>
                <w:lang w:val="en-AU"/>
              </w:rPr>
            </w:pPr>
            <w:r w:rsidRPr="00BF61B6">
              <w:rPr>
                <w:rFonts w:cs="Arial"/>
                <w:b/>
                <w:bCs/>
                <w:sz w:val="20"/>
                <w:lang w:val="en-AU"/>
              </w:rPr>
              <w:t>Excipients</w:t>
            </w:r>
          </w:p>
        </w:tc>
        <w:tc>
          <w:tcPr>
            <w:tcW w:w="8505" w:type="dxa"/>
          </w:tcPr>
          <w:p w:rsidRPr="00B91D5A" w:rsidR="00B111CA" w:rsidP="0059793A" w:rsidRDefault="00B111CA" w14:paraId="5F03B6D1" w14:textId="77777777">
            <w:pPr>
              <w:pStyle w:val="BodyText"/>
              <w:rPr>
                <w:sz w:val="20"/>
                <w:lang w:val="en-AU"/>
              </w:rPr>
            </w:pPr>
            <w:r w:rsidRPr="00BF61B6">
              <w:rPr>
                <w:sz w:val="20"/>
                <w:lang w:val="en-AU"/>
              </w:rPr>
              <w:t>Ferro-</w:t>
            </w:r>
            <w:r>
              <w:rPr>
                <w:sz w:val="20"/>
                <w:lang w:val="en-AU"/>
              </w:rPr>
              <w:t>L</w:t>
            </w:r>
            <w:r w:rsidRPr="006408FD">
              <w:rPr>
                <w:sz w:val="20"/>
                <w:lang w:val="en-AU"/>
              </w:rPr>
              <w:t>iquid</w:t>
            </w:r>
            <w:r>
              <w:rPr>
                <w:sz w:val="20"/>
                <w:lang w:val="en-AU"/>
              </w:rPr>
              <w:t xml:space="preserve"> Oral</w:t>
            </w:r>
            <w:r w:rsidRPr="006408FD">
              <w:rPr>
                <w:sz w:val="20"/>
                <w:lang w:val="en-AU"/>
              </w:rPr>
              <w:t xml:space="preserve">: </w:t>
            </w:r>
            <w:r>
              <w:rPr>
                <w:sz w:val="20"/>
                <w:lang w:val="en-AU"/>
              </w:rPr>
              <w:t>S</w:t>
            </w:r>
            <w:r w:rsidRPr="00B91D5A">
              <w:rPr>
                <w:sz w:val="20"/>
                <w:lang w:val="en-AU"/>
              </w:rPr>
              <w:t>ucrose, sorbitol, sodium bisulfite; strawberry flavour</w:t>
            </w:r>
          </w:p>
          <w:p w:rsidRPr="003F191A" w:rsidR="00B111CA" w:rsidP="0059793A" w:rsidRDefault="00B111CA" w14:paraId="2C894DAA" w14:textId="77777777">
            <w:pPr>
              <w:pStyle w:val="BodyText"/>
              <w:rPr>
                <w:sz w:val="20"/>
                <w:lang w:val="en-AU"/>
              </w:rPr>
            </w:pPr>
            <w:r w:rsidRPr="00BF61B6">
              <w:rPr>
                <w:sz w:val="20"/>
                <w:lang w:val="en-AU"/>
              </w:rPr>
              <w:t xml:space="preserve">Maltofer: </w:t>
            </w:r>
            <w:r>
              <w:rPr>
                <w:sz w:val="20"/>
                <w:lang w:val="en-AU"/>
              </w:rPr>
              <w:t>E</w:t>
            </w:r>
            <w:r w:rsidRPr="00BF61B6">
              <w:rPr>
                <w:sz w:val="20"/>
                <w:lang w:val="en-AU"/>
              </w:rPr>
              <w:t xml:space="preserve">thanol, methyl hydroxybenzoate, propyl hydroxybenzoate, water </w:t>
            </w:r>
            <w:r>
              <w:rPr>
                <w:sz w:val="20"/>
                <w:lang w:val="en-AU"/>
              </w:rPr>
              <w:t>–</w:t>
            </w:r>
            <w:r w:rsidRPr="00BF61B6">
              <w:rPr>
                <w:sz w:val="20"/>
                <w:lang w:val="en-AU"/>
              </w:rPr>
              <w:t xml:space="preserve"> purified, sodium hydroxide, sorbitol solution (70%) (non-crystallising), and</w:t>
            </w:r>
            <w:r w:rsidRPr="00D0786B">
              <w:rPr>
                <w:sz w:val="20"/>
                <w:lang w:val="en-AU"/>
              </w:rPr>
              <w:t xml:space="preserve"> </w:t>
            </w:r>
            <w:r w:rsidRPr="003F191A">
              <w:rPr>
                <w:sz w:val="20"/>
                <w:lang w:val="en-AU"/>
              </w:rPr>
              <w:t>sucrose</w:t>
            </w:r>
          </w:p>
          <w:p w:rsidRPr="003F191A" w:rsidR="00B111CA" w:rsidP="0059793A" w:rsidRDefault="00B111CA" w14:paraId="2A752F27" w14:textId="77777777">
            <w:pPr>
              <w:pStyle w:val="BodyText"/>
              <w:rPr>
                <w:sz w:val="20"/>
                <w:lang w:val="en-AU"/>
              </w:rPr>
            </w:pPr>
            <w:r w:rsidRPr="00067214">
              <w:rPr>
                <w:sz w:val="20"/>
                <w:lang w:val="en-AU"/>
              </w:rPr>
              <w:t xml:space="preserve">Ferrosig </w:t>
            </w:r>
            <w:r w:rsidRPr="009A631B">
              <w:rPr>
                <w:sz w:val="20"/>
                <w:lang w:val="en-AU"/>
              </w:rPr>
              <w:t xml:space="preserve">and Ferrum H injections </w:t>
            </w:r>
            <w:r w:rsidRPr="00904909">
              <w:rPr>
                <w:rFonts w:asciiTheme="minorHAnsi" w:hAnsiTheme="minorHAnsi" w:cstheme="minorHAnsi"/>
                <w:sz w:val="20"/>
                <w:lang w:val="en-AU"/>
              </w:rPr>
              <w:t>(</w:t>
            </w:r>
            <w:r>
              <w:rPr>
                <w:rFonts w:asciiTheme="minorHAnsi" w:hAnsiTheme="minorHAnsi" w:cstheme="minorHAnsi"/>
                <w:sz w:val="20"/>
                <w:lang w:val="en-AU" w:eastAsia="en-AU"/>
              </w:rPr>
              <w:t>i</w:t>
            </w:r>
            <w:r w:rsidRPr="00B91D5A">
              <w:rPr>
                <w:rFonts w:asciiTheme="minorHAnsi" w:hAnsiTheme="minorHAnsi" w:cstheme="minorHAnsi"/>
                <w:sz w:val="20"/>
                <w:lang w:val="en-AU" w:eastAsia="en-AU"/>
              </w:rPr>
              <w:t>ron polymaltose compound</w:t>
            </w:r>
            <w:r w:rsidRPr="00BF61B6">
              <w:rPr>
                <w:rFonts w:asciiTheme="minorHAnsi" w:hAnsiTheme="minorHAnsi" w:cstheme="minorHAnsi"/>
                <w:sz w:val="20"/>
                <w:lang w:val="en-AU" w:eastAsia="en-AU"/>
              </w:rPr>
              <w:t>)</w:t>
            </w:r>
            <w:r w:rsidRPr="00BF61B6">
              <w:rPr>
                <w:rFonts w:asciiTheme="minorHAnsi" w:hAnsiTheme="minorHAnsi" w:cstheme="minorHAnsi"/>
                <w:sz w:val="20"/>
                <w:lang w:val="en-AU"/>
              </w:rPr>
              <w:t>:</w:t>
            </w:r>
            <w:r w:rsidRPr="00BF61B6">
              <w:rPr>
                <w:sz w:val="20"/>
                <w:lang w:val="en-AU"/>
              </w:rPr>
              <w:t xml:space="preserve"> </w:t>
            </w:r>
            <w:r>
              <w:rPr>
                <w:sz w:val="20"/>
                <w:lang w:val="en-AU"/>
              </w:rPr>
              <w:t>H</w:t>
            </w:r>
            <w:r w:rsidRPr="00BF61B6">
              <w:rPr>
                <w:sz w:val="20"/>
                <w:lang w:val="en-AU"/>
              </w:rPr>
              <w:t xml:space="preserve">ydrochloric acid or sodium hydroxide (for </w:t>
            </w:r>
            <w:r w:rsidRPr="00D0786B">
              <w:rPr>
                <w:sz w:val="20"/>
                <w:lang w:val="en-AU"/>
              </w:rPr>
              <w:t>pH adjustment)</w:t>
            </w:r>
          </w:p>
          <w:p w:rsidRPr="00F64FA7" w:rsidR="00B111CA" w:rsidP="0059793A" w:rsidRDefault="00B111CA" w14:paraId="6C9EAE14" w14:textId="77777777">
            <w:pPr>
              <w:pStyle w:val="BodyText"/>
              <w:rPr>
                <w:sz w:val="20"/>
                <w:lang w:val="en-AU"/>
              </w:rPr>
            </w:pPr>
            <w:r w:rsidRPr="009A631B">
              <w:rPr>
                <w:sz w:val="20"/>
                <w:lang w:val="en-AU"/>
              </w:rPr>
              <w:t>Venofer (</w:t>
            </w:r>
            <w:r>
              <w:rPr>
                <w:sz w:val="20"/>
                <w:lang w:val="en-AU"/>
              </w:rPr>
              <w:t>i</w:t>
            </w:r>
            <w:r w:rsidRPr="009A631B">
              <w:rPr>
                <w:sz w:val="20"/>
                <w:lang w:val="en-AU"/>
              </w:rPr>
              <w:t xml:space="preserve">ron sucrose): </w:t>
            </w:r>
            <w:r>
              <w:rPr>
                <w:sz w:val="20"/>
                <w:lang w:val="en-AU"/>
              </w:rPr>
              <w:t>S</w:t>
            </w:r>
            <w:r w:rsidRPr="009A631B">
              <w:rPr>
                <w:sz w:val="20"/>
                <w:lang w:val="en-AU"/>
              </w:rPr>
              <w:t xml:space="preserve">odium </w:t>
            </w:r>
            <w:r w:rsidRPr="00904909">
              <w:rPr>
                <w:sz w:val="20"/>
                <w:lang w:val="en-AU"/>
              </w:rPr>
              <w:t>hydroxide (for pH adjustment)</w:t>
            </w:r>
          </w:p>
        </w:tc>
      </w:tr>
      <w:tr w:rsidRPr="00BF61B6" w:rsidR="00B111CA" w:rsidTr="00B111CA" w14:paraId="1435846C" w14:textId="77777777">
        <w:trPr>
          <w:trHeight w:val="270"/>
        </w:trPr>
        <w:tc>
          <w:tcPr>
            <w:tcW w:w="1730" w:type="dxa"/>
          </w:tcPr>
          <w:p w:rsidRPr="00BF61B6" w:rsidR="00B111CA" w:rsidP="0059793A" w:rsidRDefault="00B111CA" w14:paraId="0C4322E8" w14:textId="77777777">
            <w:pPr>
              <w:pStyle w:val="BodyText"/>
              <w:rPr>
                <w:rFonts w:cs="Arial"/>
                <w:b/>
                <w:bCs/>
                <w:sz w:val="20"/>
                <w:lang w:val="en-AU"/>
              </w:rPr>
            </w:pPr>
            <w:r w:rsidRPr="00BF61B6">
              <w:rPr>
                <w:rFonts w:cs="Arial"/>
                <w:b/>
                <w:bCs/>
                <w:sz w:val="20"/>
                <w:lang w:val="en-AU"/>
              </w:rPr>
              <w:t xml:space="preserve">Special comments       </w:t>
            </w:r>
          </w:p>
        </w:tc>
        <w:tc>
          <w:tcPr>
            <w:tcW w:w="8505" w:type="dxa"/>
          </w:tcPr>
          <w:p w:rsidRPr="00BF61B6" w:rsidR="00B111CA" w:rsidP="0059793A" w:rsidRDefault="00B111CA" w14:paraId="069EC699" w14:textId="77777777">
            <w:pPr>
              <w:pStyle w:val="BodyText"/>
              <w:rPr>
                <w:rFonts w:cs="Arial"/>
                <w:sz w:val="20"/>
                <w:lang w:val="en-AU"/>
              </w:rPr>
            </w:pPr>
            <w:r w:rsidRPr="00B91D5A">
              <w:rPr>
                <w:sz w:val="20"/>
                <w:lang w:val="en-AU"/>
              </w:rPr>
              <w:t>Infants on erythropoietin or infants with uncompensated blood loss may initially need higher doses and could be receiving iron supplementation in addition to preterm formula or fortified human milk.</w:t>
            </w:r>
          </w:p>
        </w:tc>
      </w:tr>
      <w:tr w:rsidRPr="00BF61B6" w:rsidR="00B111CA" w:rsidTr="00B111CA" w14:paraId="169CB4EB" w14:textId="77777777">
        <w:trPr>
          <w:trHeight w:val="280"/>
        </w:trPr>
        <w:tc>
          <w:tcPr>
            <w:tcW w:w="1730" w:type="dxa"/>
          </w:tcPr>
          <w:p w:rsidRPr="00BF61B6" w:rsidR="00B111CA" w:rsidP="0059793A" w:rsidRDefault="00B111CA" w14:paraId="6425D67C" w14:textId="77777777">
            <w:pPr>
              <w:pStyle w:val="BodyText"/>
              <w:rPr>
                <w:rFonts w:cs="Arial"/>
                <w:b/>
                <w:bCs/>
                <w:sz w:val="20"/>
                <w:lang w:val="en-AU"/>
              </w:rPr>
            </w:pPr>
            <w:r w:rsidRPr="00BF61B6">
              <w:rPr>
                <w:rFonts w:cs="Arial"/>
                <w:b/>
                <w:bCs/>
                <w:sz w:val="20"/>
                <w:lang w:val="en-AU"/>
              </w:rPr>
              <w:t xml:space="preserve">Evidence </w:t>
            </w:r>
          </w:p>
        </w:tc>
        <w:tc>
          <w:tcPr>
            <w:tcW w:w="8505" w:type="dxa"/>
          </w:tcPr>
          <w:p w:rsidRPr="00C124E0" w:rsidR="00B111CA" w:rsidP="0059793A" w:rsidRDefault="00B111CA" w14:paraId="1AA2362E" w14:textId="77777777">
            <w:pPr>
              <w:pStyle w:val="BodyText"/>
              <w:tabs>
                <w:tab w:val="left" w:pos="1168"/>
              </w:tabs>
              <w:rPr>
                <w:rFonts w:cs="Arial"/>
                <w:b/>
                <w:sz w:val="16"/>
                <w:szCs w:val="16"/>
                <w:u w:val="single"/>
                <w:lang w:val="en-AU"/>
              </w:rPr>
            </w:pPr>
            <w:r w:rsidRPr="00C124E0">
              <w:rPr>
                <w:rFonts w:cs="Arial"/>
                <w:b/>
                <w:sz w:val="16"/>
                <w:szCs w:val="16"/>
                <w:u w:val="single"/>
                <w:lang w:val="en-AU"/>
              </w:rPr>
              <w:t>Efficacy</w:t>
            </w:r>
          </w:p>
          <w:p w:rsidRPr="00C124E0" w:rsidR="00B111CA" w:rsidP="0059793A" w:rsidRDefault="00B111CA" w14:paraId="5C054219" w14:textId="77777777">
            <w:pPr>
              <w:pStyle w:val="BodyText"/>
              <w:tabs>
                <w:tab w:val="left" w:pos="1168"/>
              </w:tabs>
              <w:rPr>
                <w:rFonts w:cs="Arial"/>
                <w:sz w:val="16"/>
                <w:szCs w:val="16"/>
                <w:u w:val="single"/>
                <w:lang w:val="en-AU"/>
              </w:rPr>
            </w:pPr>
            <w:r w:rsidRPr="00C124E0">
              <w:rPr>
                <w:rFonts w:cs="Arial"/>
                <w:sz w:val="16"/>
                <w:szCs w:val="16"/>
                <w:u w:val="single"/>
                <w:lang w:val="en-AU"/>
              </w:rPr>
              <w:t>Enteral iron prophylaxis in preterm and low birthweight infants</w:t>
            </w:r>
          </w:p>
          <w:p w:rsidRPr="00C124E0" w:rsidR="00B111CA" w:rsidP="0059793A" w:rsidRDefault="00B111CA" w14:paraId="50C5AC8C" w14:textId="77777777">
            <w:pPr>
              <w:pStyle w:val="BodyText"/>
              <w:tabs>
                <w:tab w:val="left" w:pos="1168"/>
              </w:tabs>
              <w:rPr>
                <w:rFonts w:cs="Arial"/>
                <w:sz w:val="16"/>
                <w:szCs w:val="16"/>
                <w:lang w:val="en-AU"/>
              </w:rPr>
            </w:pPr>
            <w:r w:rsidRPr="00C124E0">
              <w:rPr>
                <w:rFonts w:cs="Arial"/>
                <w:sz w:val="16"/>
                <w:szCs w:val="16"/>
                <w:lang w:val="en-AU"/>
              </w:rPr>
              <w:t xml:space="preserve">A Cochrane 2012 review by Mills et al found (1) enteral iron supplementation of both preterm (&lt;33 weeks GA) and low birth weight infants (&lt;2500 g) of either term or preterm confers an improvement in haemoglobin and ferritin concentrations after </w:t>
            </w:r>
            <w:r w:rsidRPr="00C124E0">
              <w:rPr>
                <w:rFonts w:cs="Arial"/>
                <w:sz w:val="16"/>
                <w:szCs w:val="16"/>
                <w:lang w:val="en-AU"/>
              </w:rPr>
              <w:lastRenderedPageBreak/>
              <w:t>eight weeks postnatal age and reduces the risk of anaemia, (2) no significant benefit in providing more than 2–3 mg/kg/day of elemental iron, (3) commencement of iron early (&lt;28 days postnatal age) results in improved haematological parameters from as early as eight weeks of age onwards, and (4) less abnormal clinical neurological examination in early iron supplementation (commencement at &lt;28 days of age) group (17% versus 35%; P = 0.02).</w:t>
            </w:r>
            <w:r w:rsidRPr="00C124E0">
              <w:rPr>
                <w:rFonts w:cs="Arial"/>
                <w:sz w:val="16"/>
                <w:szCs w:val="16"/>
                <w:vertAlign w:val="superscript"/>
                <w:lang w:val="en-AU"/>
              </w:rPr>
              <w:t>6</w:t>
            </w:r>
            <w:r w:rsidRPr="00C124E0">
              <w:rPr>
                <w:rFonts w:cs="Arial"/>
                <w:sz w:val="16"/>
                <w:szCs w:val="16"/>
                <w:lang w:val="en-AU"/>
              </w:rPr>
              <w:t xml:space="preserve"> (LOE I GOR A)</w:t>
            </w:r>
          </w:p>
          <w:p w:rsidRPr="00C124E0" w:rsidR="00B111CA" w:rsidP="0059793A" w:rsidRDefault="00B111CA" w14:paraId="4A794D2D" w14:textId="77777777">
            <w:pPr>
              <w:pStyle w:val="BodyText"/>
              <w:tabs>
                <w:tab w:val="left" w:pos="1168"/>
              </w:tabs>
              <w:rPr>
                <w:rFonts w:cs="Arial"/>
                <w:sz w:val="16"/>
                <w:szCs w:val="16"/>
                <w:lang w:val="en-AU"/>
              </w:rPr>
            </w:pPr>
          </w:p>
          <w:p w:rsidRPr="00C124E0" w:rsidR="00B111CA" w:rsidP="0059793A" w:rsidRDefault="00B111CA" w14:paraId="2A929AC7" w14:textId="77777777">
            <w:pPr>
              <w:pStyle w:val="BodyText"/>
              <w:tabs>
                <w:tab w:val="left" w:pos="1168"/>
              </w:tabs>
              <w:rPr>
                <w:rFonts w:cs="Arial"/>
                <w:sz w:val="16"/>
                <w:szCs w:val="16"/>
                <w:lang w:val="en-AU"/>
              </w:rPr>
            </w:pPr>
            <w:r w:rsidRPr="00C124E0">
              <w:rPr>
                <w:rFonts w:cs="Arial"/>
                <w:sz w:val="16"/>
                <w:szCs w:val="16"/>
                <w:lang w:val="en-AU"/>
              </w:rPr>
              <w:t>McCarthy 2019 systematic review investigated the effects of enteral iron supplementation in preterm (&lt;37 weeks’ gestation) and low-birthweight (LBW, &lt;2500 g) infants.</w:t>
            </w:r>
            <w:r w:rsidRPr="00C124E0">
              <w:rPr>
                <w:rFonts w:cs="Arial"/>
                <w:sz w:val="16"/>
                <w:szCs w:val="16"/>
                <w:vertAlign w:val="superscript"/>
                <w:lang w:val="en-AU"/>
              </w:rPr>
              <w:t>5</w:t>
            </w:r>
            <w:r w:rsidRPr="00C124E0">
              <w:rPr>
                <w:rFonts w:cs="Arial"/>
                <w:sz w:val="16"/>
                <w:szCs w:val="16"/>
                <w:lang w:val="en-AU"/>
              </w:rPr>
              <w:t xml:space="preserve"> Iron supplementation was as either medicinal iron, infant formula or human milk fortifier. Iron at 2–4 mg/kg/d was found to have no effect on ferritin, haematocrit or haemoglobin concentrations in VLBW (&lt;1500 g) infants. Higher dose (average 7–10 mg/kg/d) had no effect on ferritin, iron, transferrin saturation, transferrin receptors or total iron-binding capacity (TIBC). In marginally LBW infants (2000–2499 g), 2 mg/kg/d increased circulating iron, ferritin, transferrin saturation, transferrin receptors, mean corpuscular volume (MCV) and haemoglobin at 6 months and increased ferritin concentrations at 12 months. Long term (≥8 weeks) supplementation was associated with a decreased prevalence of iron deficiency and anaemia in preterm and LBW infants. Neither short-term nor long-term supplementation had effect on growth parameters including weight, head circumference and length. Short-term supplementation had no effect on neurological development. There was a trend towards benefit of early initiation: 35% of the late initiation group had an abnormal neurological examination result compared to 19% of the early initiation group. Long-term supplemented children had a significantly lower prevalence of behavioural problems than those in the placebo group (3% vs 13%, respectively) at 3.5 years and had significantly lower scores in externalising-type behaviours (aggression/attention seeking) at 7 years. No article reported on iron overload.</w:t>
            </w:r>
            <w:r w:rsidRPr="00C124E0">
              <w:rPr>
                <w:rFonts w:cs="Arial"/>
                <w:sz w:val="16"/>
                <w:szCs w:val="16"/>
                <w:vertAlign w:val="superscript"/>
                <w:lang w:val="en-AU"/>
              </w:rPr>
              <w:t>5</w:t>
            </w:r>
            <w:r w:rsidRPr="00C124E0">
              <w:rPr>
                <w:rFonts w:cs="Arial"/>
                <w:sz w:val="16"/>
                <w:szCs w:val="16"/>
                <w:lang w:val="en-AU"/>
              </w:rPr>
              <w:t xml:space="preserve"> (LOE I GOR A)</w:t>
            </w:r>
          </w:p>
          <w:p w:rsidRPr="00C124E0" w:rsidR="00B111CA" w:rsidP="0059793A" w:rsidRDefault="00B111CA" w14:paraId="55489F8E" w14:textId="77777777">
            <w:pPr>
              <w:pStyle w:val="BodyText"/>
              <w:tabs>
                <w:tab w:val="left" w:pos="1168"/>
              </w:tabs>
              <w:rPr>
                <w:rFonts w:cs="Arial"/>
                <w:sz w:val="16"/>
                <w:szCs w:val="16"/>
                <w:lang w:val="en-AU"/>
              </w:rPr>
            </w:pPr>
          </w:p>
          <w:p w:rsidRPr="00C124E0" w:rsidR="00B111CA" w:rsidP="0059793A" w:rsidRDefault="00B111CA" w14:paraId="5E1DED91" w14:textId="77777777">
            <w:pPr>
              <w:pStyle w:val="BodyText"/>
              <w:tabs>
                <w:tab w:val="left" w:pos="1168"/>
              </w:tabs>
              <w:rPr>
                <w:rFonts w:cs="Arial"/>
                <w:sz w:val="16"/>
                <w:szCs w:val="16"/>
                <w:lang w:val="en-AU"/>
              </w:rPr>
            </w:pPr>
            <w:r w:rsidRPr="00C124E0">
              <w:rPr>
                <w:rFonts w:cs="Arial"/>
                <w:sz w:val="16"/>
                <w:szCs w:val="16"/>
                <w:lang w:val="en-AU"/>
              </w:rPr>
              <w:t>Moreno-Fernandez 2019’s descriptive review of reports published between 2008 and 2018 included 16 studies enrolling 1743 neonates of 24–36 weeks gestation and drew similar conclusions as McCarthy et al.</w:t>
            </w:r>
            <w:r w:rsidRPr="00C124E0">
              <w:rPr>
                <w:rFonts w:cs="Arial"/>
                <w:sz w:val="16"/>
                <w:szCs w:val="16"/>
                <w:vertAlign w:val="superscript"/>
                <w:lang w:val="en-AU"/>
              </w:rPr>
              <w:t>18</w:t>
            </w:r>
            <w:r w:rsidRPr="00C124E0">
              <w:rPr>
                <w:rFonts w:cs="Arial"/>
                <w:sz w:val="16"/>
                <w:szCs w:val="16"/>
                <w:lang w:val="en-AU"/>
              </w:rPr>
              <w:t xml:space="preserve"> </w:t>
            </w:r>
          </w:p>
          <w:p w:rsidRPr="00C124E0" w:rsidR="00B111CA" w:rsidP="0059793A" w:rsidRDefault="00B111CA" w14:paraId="3D2FAB7E" w14:textId="77777777">
            <w:pPr>
              <w:pStyle w:val="BodyText"/>
              <w:tabs>
                <w:tab w:val="left" w:pos="1168"/>
              </w:tabs>
              <w:rPr>
                <w:rFonts w:cs="Arial"/>
                <w:sz w:val="16"/>
                <w:szCs w:val="16"/>
                <w:lang w:val="en-AU"/>
              </w:rPr>
            </w:pPr>
            <w:r w:rsidRPr="00C124E0">
              <w:rPr>
                <w:rFonts w:cs="Arial"/>
                <w:sz w:val="16"/>
                <w:szCs w:val="16"/>
                <w:lang w:val="en-AU"/>
              </w:rPr>
              <w:t xml:space="preserve">  </w:t>
            </w:r>
          </w:p>
          <w:p w:rsidRPr="00C124E0" w:rsidR="00B111CA" w:rsidP="0059793A" w:rsidRDefault="00B111CA" w14:paraId="68D2D61D" w14:textId="77777777">
            <w:pPr>
              <w:pStyle w:val="BodyText"/>
              <w:tabs>
                <w:tab w:val="left" w:pos="1168"/>
              </w:tabs>
              <w:rPr>
                <w:rFonts w:cs="Arial"/>
                <w:sz w:val="16"/>
                <w:szCs w:val="16"/>
                <w:lang w:val="en-AU"/>
              </w:rPr>
            </w:pPr>
            <w:r w:rsidRPr="00C124E0">
              <w:rPr>
                <w:rFonts w:cs="Arial"/>
                <w:sz w:val="16"/>
                <w:szCs w:val="16"/>
                <w:u w:val="single"/>
                <w:lang w:val="en-AU"/>
              </w:rPr>
              <w:t>Iron prophylaxis in marginally low birthweight infants</w:t>
            </w:r>
            <w:r w:rsidRPr="00C124E0">
              <w:rPr>
                <w:rFonts w:cs="Arial"/>
                <w:sz w:val="16"/>
                <w:szCs w:val="16"/>
                <w:lang w:val="en-AU"/>
              </w:rPr>
              <w:t>: In a trial by Berglund et al, 285 infants with marginally low birth weights 2000–2500 g were randomised to 0, 1 or 2 mg/kg/day of medicinal iron from 6 weeks to 6 months of age. A dose of 2 mg/kg/day significantly reduced the risk of IDA at 6 months relative to placebo.</w:t>
            </w:r>
            <w:r w:rsidRPr="00C124E0">
              <w:rPr>
                <w:rFonts w:cs="Arial"/>
                <w:sz w:val="16"/>
                <w:szCs w:val="16"/>
                <w:vertAlign w:val="superscript"/>
                <w:lang w:val="en-AU"/>
              </w:rPr>
              <w:t>7</w:t>
            </w:r>
            <w:r w:rsidRPr="00C124E0">
              <w:rPr>
                <w:rFonts w:cs="Arial"/>
                <w:sz w:val="16"/>
                <w:szCs w:val="16"/>
                <w:lang w:val="en-AU"/>
              </w:rPr>
              <w:t xml:space="preserve"> Thirty-six percent and 10% of the infants who received the placebo developed iron deficiency and IDA, respectively, but only 4% and 0% of the infants in the group that received 2 mg/kg/day did. Iron supplements did not adversely affect infant growth, infections or other morbidity. In a follow-up study, they observed a significantly higher proportion of abnormal behavioural scores at 3.5 years of age in the placebo group.</w:t>
            </w:r>
            <w:r w:rsidRPr="00C124E0">
              <w:rPr>
                <w:rFonts w:cs="Arial"/>
                <w:sz w:val="16"/>
                <w:szCs w:val="16"/>
                <w:vertAlign w:val="superscript"/>
                <w:lang w:val="en-AU"/>
              </w:rPr>
              <w:t>19</w:t>
            </w:r>
            <w:r w:rsidRPr="00C124E0">
              <w:rPr>
                <w:rFonts w:cs="Arial"/>
                <w:sz w:val="16"/>
                <w:szCs w:val="16"/>
                <w:lang w:val="en-AU"/>
              </w:rPr>
              <w:t xml:space="preserve"> (LOE II GOR B)</w:t>
            </w:r>
          </w:p>
          <w:p w:rsidRPr="00C124E0" w:rsidR="00B111CA" w:rsidP="0059793A" w:rsidRDefault="00B111CA" w14:paraId="7B6D1277" w14:textId="77777777">
            <w:pPr>
              <w:pStyle w:val="BodyText"/>
              <w:tabs>
                <w:tab w:val="left" w:pos="1168"/>
              </w:tabs>
              <w:rPr>
                <w:rFonts w:cs="Arial"/>
                <w:sz w:val="16"/>
                <w:szCs w:val="16"/>
                <w:lang w:val="en-AU"/>
              </w:rPr>
            </w:pPr>
          </w:p>
          <w:p w:rsidRPr="00C124E0" w:rsidR="00B111CA" w:rsidP="0059793A" w:rsidRDefault="00B111CA" w14:paraId="226A49B5" w14:textId="77777777">
            <w:pPr>
              <w:pStyle w:val="BodyText"/>
              <w:tabs>
                <w:tab w:val="left" w:pos="1168"/>
              </w:tabs>
              <w:rPr>
                <w:rFonts w:cs="Arial"/>
                <w:sz w:val="16"/>
                <w:szCs w:val="16"/>
                <w:lang w:val="en-AU"/>
              </w:rPr>
            </w:pPr>
            <w:r w:rsidRPr="00C124E0">
              <w:rPr>
                <w:rFonts w:cs="Arial"/>
                <w:sz w:val="16"/>
                <w:szCs w:val="16"/>
                <w:u w:val="single"/>
                <w:lang w:val="en-AU"/>
              </w:rPr>
              <w:t>Iron supplementation at discharge and post-discharge in VLBW infants:</w:t>
            </w:r>
            <w:r w:rsidRPr="00C124E0">
              <w:rPr>
                <w:rFonts w:cs="Arial"/>
                <w:sz w:val="16"/>
                <w:szCs w:val="16"/>
                <w:lang w:val="en-AU"/>
              </w:rPr>
              <w:t xml:space="preserve"> Preterm infants with an average birth weight of 1.46 kg were given an iron intake of 6 versus 3 mg/kg/day at discharge and about 3 versus 2 mg/kg/day at 3 to 9 months. There was no difference between the 2 groups in anaemia prevalence or neurodevelopment at 12 months, but the high-iron group had higher glutathione peroxidase concentrations (a marker of oxidative stress), lower plasma zinc and copper concentrations, and more respiratory tract infections, suggesting possible adverse effects from the higher intake.</w:t>
            </w:r>
            <w:r w:rsidRPr="00C124E0">
              <w:rPr>
                <w:rFonts w:cs="Arial"/>
                <w:sz w:val="16"/>
                <w:szCs w:val="16"/>
                <w:vertAlign w:val="superscript"/>
                <w:lang w:val="en-AU"/>
              </w:rPr>
              <w:t>20</w:t>
            </w:r>
            <w:r w:rsidRPr="00C124E0">
              <w:rPr>
                <w:rFonts w:cs="Arial"/>
                <w:sz w:val="16"/>
                <w:szCs w:val="16"/>
                <w:lang w:val="en-AU"/>
              </w:rPr>
              <w:t xml:space="preserve"> (LOE II GOR B)</w:t>
            </w:r>
          </w:p>
          <w:p w:rsidRPr="00C124E0" w:rsidR="00B111CA" w:rsidP="0059793A" w:rsidRDefault="00B111CA" w14:paraId="629A5C93" w14:textId="77777777">
            <w:pPr>
              <w:pStyle w:val="BodyText"/>
              <w:tabs>
                <w:tab w:val="left" w:pos="1168"/>
              </w:tabs>
              <w:rPr>
                <w:rFonts w:cs="Arial"/>
                <w:sz w:val="16"/>
                <w:szCs w:val="16"/>
                <w:lang w:val="en-AU"/>
              </w:rPr>
            </w:pPr>
          </w:p>
          <w:p w:rsidRPr="00C124E0" w:rsidR="00B111CA" w:rsidP="0059793A" w:rsidRDefault="00B111CA" w14:paraId="56DE599A" w14:textId="77777777">
            <w:pPr>
              <w:pStyle w:val="BodyText"/>
              <w:tabs>
                <w:tab w:val="left" w:pos="1168"/>
              </w:tabs>
              <w:rPr>
                <w:rFonts w:cs="Arial"/>
                <w:sz w:val="16"/>
                <w:szCs w:val="16"/>
                <w:u w:val="single"/>
                <w:lang w:val="en-AU"/>
              </w:rPr>
            </w:pPr>
            <w:r w:rsidRPr="00C124E0">
              <w:rPr>
                <w:rFonts w:cs="Arial"/>
                <w:sz w:val="16"/>
                <w:szCs w:val="16"/>
                <w:u w:val="single"/>
                <w:lang w:val="en-AU"/>
              </w:rPr>
              <w:t xml:space="preserve">Iron fortified formulas at discharge in LBW infants: </w:t>
            </w:r>
            <w:r w:rsidRPr="00C124E0">
              <w:rPr>
                <w:rFonts w:cs="Arial"/>
                <w:sz w:val="16"/>
                <w:szCs w:val="16"/>
                <w:lang w:val="en-AU"/>
              </w:rPr>
              <w:t>Preterm infants with birth weights &lt;1800 g do not achieve iron sufficiency on a formula containing ≤3 mg/L.</w:t>
            </w:r>
            <w:r w:rsidRPr="00C124E0">
              <w:rPr>
                <w:rFonts w:cs="Arial"/>
                <w:sz w:val="16"/>
                <w:szCs w:val="16"/>
                <w:vertAlign w:val="superscript"/>
                <w:lang w:val="en-AU"/>
              </w:rPr>
              <w:t>21</w:t>
            </w:r>
            <w:r w:rsidRPr="00C124E0">
              <w:rPr>
                <w:rFonts w:cs="Arial"/>
                <w:sz w:val="16"/>
                <w:szCs w:val="16"/>
                <w:lang w:val="en-AU"/>
              </w:rPr>
              <w:t xml:space="preserve"> Formulas containing 5–9 mg/L of iron appear to meet the iron requirements of erythropoiesis in healthy preterm infants during the first 6 months of life.</w:t>
            </w:r>
            <w:r w:rsidRPr="00C124E0">
              <w:rPr>
                <w:rFonts w:cs="Arial"/>
                <w:sz w:val="16"/>
                <w:szCs w:val="16"/>
                <w:vertAlign w:val="superscript"/>
                <w:lang w:val="en-AU"/>
              </w:rPr>
              <w:t>22</w:t>
            </w:r>
            <w:r w:rsidRPr="00C124E0">
              <w:rPr>
                <w:rFonts w:cs="Arial"/>
                <w:sz w:val="16"/>
                <w:szCs w:val="16"/>
                <w:lang w:val="en-AU"/>
              </w:rPr>
              <w:t xml:space="preserve"> However, 18% of the infants receiving the 9 mg/L formula and 30% of those receiving the 5 mg/L formula developed iron deficiency (serum ferritin concentration &lt;10 microg/L) between 4 and 8 months of age in this study.</w:t>
            </w:r>
            <w:r w:rsidRPr="00C124E0">
              <w:rPr>
                <w:rFonts w:cs="Arial"/>
                <w:sz w:val="16"/>
                <w:szCs w:val="16"/>
                <w:vertAlign w:val="superscript"/>
                <w:lang w:val="en-AU"/>
              </w:rPr>
              <w:t>22</w:t>
            </w:r>
            <w:r w:rsidRPr="00C124E0">
              <w:rPr>
                <w:rFonts w:cs="Arial"/>
                <w:sz w:val="16"/>
                <w:szCs w:val="16"/>
                <w:lang w:val="en-AU"/>
              </w:rPr>
              <w:t xml:space="preserve"> (LOE II GOR B). NOTE: Common commercially available formulas in Australia contain 5–8 mg/L of iron.</w:t>
            </w:r>
          </w:p>
          <w:p w:rsidRPr="00C124E0" w:rsidR="00B111CA" w:rsidP="0059793A" w:rsidRDefault="00B111CA" w14:paraId="2B205FDC" w14:textId="77777777">
            <w:pPr>
              <w:pStyle w:val="BodyText"/>
              <w:tabs>
                <w:tab w:val="left" w:pos="1168"/>
              </w:tabs>
              <w:rPr>
                <w:rFonts w:cs="Arial"/>
                <w:sz w:val="16"/>
                <w:szCs w:val="16"/>
                <w:lang w:val="en-AU"/>
              </w:rPr>
            </w:pPr>
          </w:p>
          <w:p w:rsidRPr="00C124E0" w:rsidR="00B111CA" w:rsidP="0059793A" w:rsidRDefault="00B111CA" w14:paraId="140A3884" w14:textId="77777777">
            <w:pPr>
              <w:pStyle w:val="BodyText"/>
              <w:tabs>
                <w:tab w:val="left" w:pos="1168"/>
              </w:tabs>
              <w:rPr>
                <w:rFonts w:cs="Arial"/>
                <w:sz w:val="16"/>
                <w:szCs w:val="16"/>
                <w:lang w:val="en-AU"/>
              </w:rPr>
            </w:pPr>
            <w:r w:rsidRPr="00C124E0">
              <w:rPr>
                <w:rFonts w:cs="Arial"/>
                <w:sz w:val="16"/>
                <w:szCs w:val="16"/>
                <w:u w:val="single"/>
                <w:lang w:val="en-AU"/>
              </w:rPr>
              <w:t>Early versus late iron supplementation in VLBW infants:</w:t>
            </w:r>
            <w:r w:rsidRPr="00C124E0">
              <w:rPr>
                <w:rFonts w:cs="Arial"/>
                <w:sz w:val="16"/>
                <w:szCs w:val="16"/>
                <w:lang w:val="en-AU"/>
              </w:rPr>
              <w:t xml:space="preserve"> Franz et al randomised 204 infants with an average birth weight of 0.87 kg into an early iron group receiving 2 to 4 mg/kg/day of iron supplements from about 2 weeks and a late iron group that did not receive iron supplements until 2 months of age. There were no differences in serum ferritin and haematocrit at 2 months of age but infants in the late iron group had received more blood transfusions.</w:t>
            </w:r>
            <w:r w:rsidRPr="00C124E0">
              <w:rPr>
                <w:rFonts w:cs="Arial"/>
                <w:sz w:val="16"/>
                <w:szCs w:val="16"/>
                <w:vertAlign w:val="superscript"/>
                <w:lang w:val="en-AU"/>
              </w:rPr>
              <w:t>23</w:t>
            </w:r>
            <w:r w:rsidRPr="00C124E0">
              <w:rPr>
                <w:rFonts w:cs="Arial"/>
                <w:sz w:val="16"/>
                <w:szCs w:val="16"/>
                <w:lang w:val="en-AU"/>
              </w:rPr>
              <w:t xml:space="preserve"> (LOE II GOR B)</w:t>
            </w:r>
          </w:p>
          <w:p w:rsidRPr="00C124E0" w:rsidR="00B111CA" w:rsidP="0059793A" w:rsidRDefault="00B111CA" w14:paraId="6726DF44" w14:textId="77777777">
            <w:pPr>
              <w:pStyle w:val="BodyText"/>
              <w:tabs>
                <w:tab w:val="left" w:pos="1168"/>
              </w:tabs>
              <w:rPr>
                <w:rFonts w:cs="Arial"/>
                <w:sz w:val="16"/>
                <w:szCs w:val="16"/>
                <w:lang w:val="en-AU"/>
              </w:rPr>
            </w:pPr>
          </w:p>
          <w:p w:rsidRPr="00C124E0" w:rsidR="00B111CA" w:rsidP="0059793A" w:rsidRDefault="00B111CA" w14:paraId="59502033" w14:textId="77777777">
            <w:pPr>
              <w:pStyle w:val="BodyText"/>
              <w:tabs>
                <w:tab w:val="left" w:pos="1168"/>
              </w:tabs>
              <w:rPr>
                <w:rFonts w:cs="Arial"/>
                <w:sz w:val="16"/>
                <w:szCs w:val="16"/>
                <w:u w:val="single"/>
                <w:lang w:val="en-AU"/>
              </w:rPr>
            </w:pPr>
            <w:r w:rsidRPr="00C124E0">
              <w:rPr>
                <w:rFonts w:cs="Arial"/>
                <w:sz w:val="16"/>
                <w:szCs w:val="16"/>
                <w:u w:val="single"/>
                <w:lang w:val="en-AU"/>
              </w:rPr>
              <w:t xml:space="preserve">Iron supplementation as per serum ferritin: </w:t>
            </w:r>
            <w:r w:rsidRPr="00C124E0">
              <w:rPr>
                <w:rFonts w:cs="Arial"/>
                <w:sz w:val="16"/>
                <w:szCs w:val="16"/>
                <w:lang w:val="en-AU"/>
              </w:rPr>
              <w:t>ESPGHAN 2013 cut-offs for definition of iron deficiency anaemia: 0–1 week: Hb &lt;135 g/L and serum ferritin &lt;40 microg/L; 1 week – 2 months: Hb &lt;90 g/L and serum ferritin &lt;40 microg/L. Serum ferritin &lt;10 microg/L is considered low from 6 months of age.</w:t>
            </w:r>
            <w:r w:rsidRPr="00C124E0">
              <w:rPr>
                <w:rFonts w:cs="Arial"/>
                <w:sz w:val="16"/>
                <w:szCs w:val="16"/>
                <w:vertAlign w:val="superscript"/>
                <w:lang w:val="en-AU"/>
              </w:rPr>
              <w:t>24</w:t>
            </w:r>
            <w:r w:rsidRPr="00C124E0">
              <w:rPr>
                <w:rFonts w:cs="Arial"/>
                <w:sz w:val="16"/>
                <w:szCs w:val="16"/>
                <w:lang w:val="en-AU"/>
              </w:rPr>
              <w:t xml:space="preserve"> (LOE V) </w:t>
            </w:r>
          </w:p>
          <w:p w:rsidRPr="00C124E0" w:rsidR="00B111CA" w:rsidP="0059793A" w:rsidRDefault="00B111CA" w14:paraId="71F01EF7" w14:textId="77777777">
            <w:pPr>
              <w:pStyle w:val="BodyText"/>
              <w:tabs>
                <w:tab w:val="left" w:pos="1168"/>
              </w:tabs>
              <w:rPr>
                <w:rFonts w:cs="Arial"/>
                <w:sz w:val="16"/>
                <w:szCs w:val="16"/>
                <w:lang w:val="en-AU"/>
              </w:rPr>
            </w:pPr>
          </w:p>
          <w:p w:rsidRPr="00C124E0" w:rsidR="00B111CA" w:rsidP="0059793A" w:rsidRDefault="00B111CA" w14:paraId="23E0CCCA" w14:textId="77777777">
            <w:pPr>
              <w:pStyle w:val="BodyText"/>
              <w:tabs>
                <w:tab w:val="left" w:pos="1168"/>
              </w:tabs>
              <w:rPr>
                <w:rFonts w:cs="Arial"/>
                <w:sz w:val="16"/>
                <w:szCs w:val="16"/>
                <w:lang w:val="en-AU"/>
              </w:rPr>
            </w:pPr>
            <w:r w:rsidRPr="00C124E0">
              <w:rPr>
                <w:rFonts w:cs="Arial"/>
                <w:sz w:val="16"/>
                <w:szCs w:val="16"/>
                <w:lang w:val="en-AU"/>
              </w:rPr>
              <w:t>There are no specific guidelines with respect to iron supplementation in preterm infants with high serum ferritin concentrations. High serum ferritin has been suggested to be associated with high incidence of ROP.</w:t>
            </w:r>
            <w:r w:rsidRPr="00C124E0">
              <w:rPr>
                <w:rFonts w:cs="Arial"/>
                <w:sz w:val="16"/>
                <w:szCs w:val="16"/>
                <w:vertAlign w:val="superscript"/>
                <w:lang w:val="en-AU"/>
              </w:rPr>
              <w:t>30</w:t>
            </w:r>
            <w:r w:rsidRPr="00C124E0">
              <w:rPr>
                <w:rFonts w:cs="Arial"/>
                <w:sz w:val="16"/>
                <w:szCs w:val="16"/>
                <w:lang w:val="en-AU"/>
              </w:rPr>
              <w:t xml:space="preserve"> Serum ferritin concentrations &gt;350 </w:t>
            </w:r>
            <w:r w:rsidRPr="00C124E0">
              <w:rPr>
                <w:rFonts w:cs="Calibri"/>
                <w:sz w:val="16"/>
                <w:szCs w:val="16"/>
                <w:lang w:val="en-AU"/>
              </w:rPr>
              <w:t>microg</w:t>
            </w:r>
            <w:r w:rsidRPr="00C124E0">
              <w:rPr>
                <w:rFonts w:cs="Arial"/>
                <w:sz w:val="16"/>
                <w:szCs w:val="16"/>
                <w:lang w:val="en-AU"/>
              </w:rPr>
              <w:t>/L are generally accepted as high level.</w:t>
            </w:r>
            <w:r w:rsidRPr="00C124E0">
              <w:rPr>
                <w:rFonts w:cs="Arial"/>
                <w:sz w:val="16"/>
                <w:szCs w:val="16"/>
                <w:vertAlign w:val="superscript"/>
                <w:lang w:val="en-AU"/>
              </w:rPr>
              <w:t>12,17,31</w:t>
            </w:r>
            <w:r w:rsidRPr="00C124E0">
              <w:rPr>
                <w:rFonts w:cs="Arial"/>
                <w:sz w:val="16"/>
                <w:szCs w:val="16"/>
                <w:lang w:val="en-AU"/>
              </w:rPr>
              <w:t xml:space="preserve"> ESPGHAN 2005 recommendations suggested to limit serum ferritin concentrations to &lt;500 micrograms/L.</w:t>
            </w:r>
            <w:r w:rsidRPr="00C124E0">
              <w:rPr>
                <w:rFonts w:cs="Arial"/>
                <w:sz w:val="16"/>
                <w:szCs w:val="16"/>
                <w:vertAlign w:val="superscript"/>
                <w:lang w:val="en-AU"/>
              </w:rPr>
              <w:t>14</w:t>
            </w:r>
            <w:r w:rsidRPr="00C124E0">
              <w:rPr>
                <w:rFonts w:cs="Arial"/>
                <w:sz w:val="16"/>
                <w:szCs w:val="16"/>
                <w:lang w:val="en-AU"/>
              </w:rPr>
              <w:t xml:space="preserve"> (LOE V)</w:t>
            </w:r>
          </w:p>
          <w:p w:rsidRPr="00C124E0" w:rsidR="00B111CA" w:rsidP="0059793A" w:rsidRDefault="00B111CA" w14:paraId="021D19F5" w14:textId="77777777">
            <w:pPr>
              <w:pStyle w:val="BodyText"/>
              <w:tabs>
                <w:tab w:val="left" w:pos="1168"/>
              </w:tabs>
              <w:rPr>
                <w:rFonts w:cs="Arial"/>
                <w:sz w:val="16"/>
                <w:szCs w:val="16"/>
                <w:lang w:val="en-AU"/>
              </w:rPr>
            </w:pPr>
          </w:p>
          <w:p w:rsidRPr="00C124E0" w:rsidR="00B111CA" w:rsidP="0059793A" w:rsidRDefault="00B111CA" w14:paraId="317984CD" w14:textId="77777777">
            <w:pPr>
              <w:pStyle w:val="BodyText"/>
              <w:tabs>
                <w:tab w:val="left" w:pos="1168"/>
              </w:tabs>
              <w:rPr>
                <w:rFonts w:cs="Calibri"/>
                <w:sz w:val="16"/>
                <w:szCs w:val="16"/>
                <w:lang w:val="en-AU"/>
              </w:rPr>
            </w:pPr>
            <w:r w:rsidRPr="00C124E0">
              <w:rPr>
                <w:rFonts w:cs="Arial"/>
                <w:sz w:val="16"/>
                <w:szCs w:val="16"/>
                <w:lang w:val="en-AU"/>
              </w:rPr>
              <w:t>Some preterm infants with elevated serum ferritin may simultaneously have iron deficient erythropoiesis, suggesting inability to release ferritin bound hepatic iron to the bone marrow.</w:t>
            </w:r>
            <w:r w:rsidRPr="00C124E0">
              <w:rPr>
                <w:rFonts w:cs="Arial"/>
                <w:sz w:val="16"/>
                <w:szCs w:val="16"/>
                <w:vertAlign w:val="superscript"/>
                <w:lang w:val="en-AU"/>
              </w:rPr>
              <w:t>32</w:t>
            </w:r>
            <w:r w:rsidRPr="00C124E0">
              <w:rPr>
                <w:rFonts w:cs="Arial"/>
                <w:sz w:val="16"/>
                <w:szCs w:val="16"/>
                <w:lang w:val="en-AU"/>
              </w:rPr>
              <w:t xml:space="preserve"> Park et al</w:t>
            </w:r>
            <w:r w:rsidRPr="00C124E0">
              <w:rPr>
                <w:rFonts w:cs="Arial"/>
                <w:sz w:val="16"/>
                <w:szCs w:val="16"/>
                <w:vertAlign w:val="superscript"/>
                <w:lang w:val="en-AU"/>
              </w:rPr>
              <w:t>31</w:t>
            </w:r>
            <w:r w:rsidRPr="00C124E0">
              <w:rPr>
                <w:rFonts w:cs="Arial"/>
                <w:sz w:val="16"/>
                <w:szCs w:val="16"/>
                <w:lang w:val="en-AU"/>
              </w:rPr>
              <w:t xml:space="preserve"> compared serum ferritin in 46 very low birthweight infants with respect to (a) no transfusion, (b) transfusion volumes &lt;100 mL/kg during the NICU stay and (c) transfusion volumes </w:t>
            </w:r>
            <w:r w:rsidRPr="00C124E0">
              <w:rPr>
                <w:rFonts w:cs="Calibri"/>
                <w:sz w:val="16"/>
                <w:szCs w:val="16"/>
                <w:lang w:val="en-AU"/>
              </w:rPr>
              <w:t>≥</w:t>
            </w:r>
            <w:r w:rsidRPr="00C124E0">
              <w:rPr>
                <w:rFonts w:cs="Arial"/>
                <w:sz w:val="16"/>
                <w:szCs w:val="16"/>
                <w:lang w:val="en-AU"/>
              </w:rPr>
              <w:t xml:space="preserve">100 mL/kg. When the infants reached enteral feeding of 100 mL/kg, iron supplementation (2 mg/kg) was started. No infant developed iron deficiency defined as serum ferritin &lt;10 ng/mL. Mean serum ferritin was comparable at discharge </w:t>
            </w:r>
            <w:r w:rsidRPr="00C124E0">
              <w:rPr>
                <w:rFonts w:cs="Calibri"/>
                <w:sz w:val="16"/>
                <w:szCs w:val="16"/>
                <w:lang w:val="en-AU"/>
              </w:rPr>
              <w:t>among 3 groups. Maximum serum ferritin during the NICU stay was significantly higher in transfused ≥100 mL/kg (555.6±476.3, 352.1±276.7, 705.7±388.7 respectively). (LOE IV, GOR C)</w:t>
            </w:r>
          </w:p>
          <w:p w:rsidRPr="00C124E0" w:rsidR="00B111CA" w:rsidP="0059793A" w:rsidRDefault="00B111CA" w14:paraId="1DE87A2E" w14:textId="77777777">
            <w:pPr>
              <w:pStyle w:val="BodyText"/>
              <w:tabs>
                <w:tab w:val="left" w:pos="1168"/>
              </w:tabs>
              <w:rPr>
                <w:rFonts w:cs="Arial"/>
                <w:sz w:val="16"/>
                <w:szCs w:val="16"/>
                <w:u w:val="single"/>
                <w:lang w:val="en-AU"/>
              </w:rPr>
            </w:pPr>
          </w:p>
          <w:p w:rsidRPr="00C124E0" w:rsidR="00B111CA" w:rsidP="0059793A" w:rsidRDefault="00B111CA" w14:paraId="7AA3E8AF" w14:textId="77777777">
            <w:pPr>
              <w:pStyle w:val="BodyText"/>
              <w:tabs>
                <w:tab w:val="left" w:pos="1168"/>
              </w:tabs>
              <w:rPr>
                <w:rFonts w:cs="Arial"/>
                <w:sz w:val="16"/>
                <w:szCs w:val="16"/>
                <w:u w:val="single"/>
                <w:lang w:val="en-AU"/>
              </w:rPr>
            </w:pPr>
            <w:r w:rsidRPr="00C124E0">
              <w:rPr>
                <w:rFonts w:cs="Arial"/>
                <w:sz w:val="16"/>
                <w:szCs w:val="16"/>
                <w:u w:val="single"/>
                <w:lang w:val="en-AU"/>
              </w:rPr>
              <w:t>Parenteral iron prophylaxis during Rh EPO therapy</w:t>
            </w:r>
          </w:p>
          <w:p w:rsidRPr="00C124E0" w:rsidR="00B111CA" w:rsidP="0059793A" w:rsidRDefault="00B111CA" w14:paraId="7D2287B1" w14:textId="77777777">
            <w:pPr>
              <w:pStyle w:val="BodyText"/>
              <w:tabs>
                <w:tab w:val="left" w:pos="1168"/>
              </w:tabs>
              <w:rPr>
                <w:rFonts w:cs="Arial"/>
                <w:sz w:val="16"/>
                <w:szCs w:val="16"/>
                <w:lang w:val="en-AU"/>
              </w:rPr>
            </w:pPr>
            <w:r w:rsidRPr="00C124E0">
              <w:rPr>
                <w:rFonts w:cs="Arial"/>
                <w:sz w:val="16"/>
                <w:szCs w:val="16"/>
                <w:lang w:val="en-AU"/>
              </w:rPr>
              <w:lastRenderedPageBreak/>
              <w:t>There is a paucity of studies in relation to intravenous iron in neonates. Carnielli et al,</w:t>
            </w:r>
            <w:r w:rsidRPr="00C124E0">
              <w:rPr>
                <w:rFonts w:cs="Arial"/>
                <w:sz w:val="16"/>
                <w:szCs w:val="16"/>
                <w:vertAlign w:val="superscript"/>
                <w:lang w:val="en-AU"/>
              </w:rPr>
              <w:t>13</w:t>
            </w:r>
            <w:r w:rsidRPr="00C124E0">
              <w:rPr>
                <w:rFonts w:cs="Arial"/>
                <w:sz w:val="16"/>
                <w:szCs w:val="16"/>
                <w:lang w:val="en-AU"/>
              </w:rPr>
              <w:t xml:space="preserve"> in their RCT of recombinant human erythropoietin (r-HuEPO) therapy for low birth weight infants &lt;1750 g administered IV iron polymaltose at 20 mg/kg weekly (equivalent to 2.8 mg/kg/day) as an IV infusion over 3 hours from 2</w:t>
            </w:r>
            <w:r w:rsidRPr="00C124E0">
              <w:rPr>
                <w:rFonts w:cs="Arial"/>
                <w:sz w:val="16"/>
                <w:szCs w:val="16"/>
                <w:vertAlign w:val="superscript"/>
                <w:lang w:val="en-AU"/>
              </w:rPr>
              <w:t>nd</w:t>
            </w:r>
            <w:r w:rsidRPr="00C124E0">
              <w:rPr>
                <w:rFonts w:cs="Arial"/>
                <w:sz w:val="16"/>
                <w:szCs w:val="16"/>
                <w:lang w:val="en-AU"/>
              </w:rPr>
              <w:t xml:space="preserve"> day of life to 8</w:t>
            </w:r>
            <w:r w:rsidRPr="00C124E0">
              <w:rPr>
                <w:rFonts w:cs="Arial"/>
                <w:sz w:val="16"/>
                <w:szCs w:val="16"/>
                <w:vertAlign w:val="superscript"/>
                <w:lang w:val="en-AU"/>
              </w:rPr>
              <w:t>th</w:t>
            </w:r>
            <w:r w:rsidRPr="00C124E0">
              <w:rPr>
                <w:rFonts w:cs="Arial"/>
                <w:sz w:val="16"/>
                <w:szCs w:val="16"/>
                <w:lang w:val="en-AU"/>
              </w:rPr>
              <w:t xml:space="preserve"> week of life (or hospital discharge). Meyer et al 1996 compared oral and IV iron supplementation in 42 preterm infants (&lt;33 weeks' gestation, birth weight &lt;1500 gm) being treated with recombinant human erythropoietin. Infants were randomly assigned to receive either oral iron (12 mg/kg/day) or IV iron sucrose (6 mg/kg per week). Both groups were given rHuEpo 600 U/kg per week in 3 divided doses subcutaneously. Iron sucrose was given over an hour in 10 ml of normal saline solution. IV iron was ceased temporarily for a week when serum ferritin increased to 275 micrograms/L. Supplements were given weekly thereafter. Both iron preparations were safe and well tolerated. The IV supplemented group did not have a decline in serum ferritin during EPO therapy. There was also a significant improvement in weight gain after IV administration of iron.</w:t>
            </w:r>
            <w:r w:rsidRPr="00C124E0">
              <w:rPr>
                <w:rFonts w:cs="Arial"/>
                <w:sz w:val="16"/>
                <w:szCs w:val="16"/>
                <w:vertAlign w:val="superscript"/>
                <w:lang w:val="en-AU"/>
              </w:rPr>
              <w:t xml:space="preserve">36 </w:t>
            </w:r>
            <w:r w:rsidRPr="00C124E0">
              <w:rPr>
                <w:rFonts w:cs="Arial"/>
                <w:sz w:val="16"/>
                <w:szCs w:val="16"/>
                <w:lang w:val="en-AU"/>
              </w:rPr>
              <w:t>Their study showed that IV iron sucrose of 6 mg/kg/week is enough to achieve erythropoiesis during Rh EPO therapy in stable infants. Ohls et al,</w:t>
            </w:r>
            <w:r w:rsidRPr="00C124E0">
              <w:rPr>
                <w:rFonts w:cs="Arial"/>
                <w:sz w:val="16"/>
                <w:szCs w:val="16"/>
                <w:vertAlign w:val="superscript"/>
                <w:lang w:val="en-AU"/>
              </w:rPr>
              <w:t>12</w:t>
            </w:r>
            <w:r w:rsidRPr="00C124E0">
              <w:rPr>
                <w:rFonts w:cs="Arial"/>
                <w:sz w:val="16"/>
                <w:szCs w:val="16"/>
                <w:lang w:val="en-AU"/>
              </w:rPr>
              <w:t xml:space="preserve"> in their RCT of EPO in infants &lt;750 g administered 1 mg/kg/day IV iron-dextran in the first 14 days of life through PN solutions. The combination of EPO and IV iron resulted in fewer transfusions during their first 3 weeks of life in their study. No adverse effects were reported. Pollak et al, in their RCT trial of recombinant human erythropoietin (r-HuEPO) therapy for low birth weight infants &lt;31 weeks and birthweight &lt;1300 g, </w:t>
            </w:r>
            <w:r w:rsidRPr="00C124E0">
              <w:rPr>
                <w:rFonts w:asciiTheme="minorHAnsi" w:hAnsiTheme="minorHAnsi" w:cstheme="minorHAnsi"/>
                <w:sz w:val="16"/>
                <w:szCs w:val="16"/>
                <w:lang w:val="en-AU"/>
              </w:rPr>
              <w:t xml:space="preserve">administered </w:t>
            </w:r>
            <w:r w:rsidRPr="00C124E0">
              <w:rPr>
                <w:rFonts w:cs="Arial"/>
                <w:sz w:val="16"/>
                <w:szCs w:val="16"/>
                <w:lang w:val="en-AU"/>
              </w:rPr>
              <w:t>2 mg of intravenous iron sucrose/kg/day diluted in sodium chloride 0.9% to a final concentration of 2 mg/mL and infused daily over 2 hours in one of 3 arms. No side effects were reported in this arm.</w:t>
            </w:r>
            <w:r w:rsidRPr="00C124E0">
              <w:rPr>
                <w:rFonts w:cs="Arial"/>
                <w:sz w:val="16"/>
                <w:szCs w:val="16"/>
                <w:vertAlign w:val="superscript"/>
                <w:lang w:val="en-AU"/>
              </w:rPr>
              <w:t>37</w:t>
            </w:r>
            <w:r w:rsidRPr="00C124E0">
              <w:rPr>
                <w:rFonts w:cs="Arial"/>
                <w:sz w:val="16"/>
                <w:szCs w:val="16"/>
                <w:lang w:val="en-AU"/>
              </w:rPr>
              <w:t xml:space="preserve"> Infants in this study were 3 weeks of age and clinically stable at the time of enrolment.</w:t>
            </w:r>
            <w:r w:rsidRPr="00C124E0">
              <w:rPr>
                <w:sz w:val="16"/>
                <w:szCs w:val="16"/>
                <w:lang w:val="en-AU"/>
              </w:rPr>
              <w:t xml:space="preserve"> </w:t>
            </w:r>
            <w:r w:rsidRPr="00C124E0">
              <w:rPr>
                <w:rFonts w:asciiTheme="minorHAnsi" w:hAnsiTheme="minorHAnsi" w:cstheme="minorHAnsi"/>
                <w:sz w:val="16"/>
                <w:szCs w:val="16"/>
                <w:lang w:val="en-AU"/>
              </w:rPr>
              <w:t>A parenteral</w:t>
            </w:r>
            <w:r w:rsidRPr="00C124E0">
              <w:rPr>
                <w:rFonts w:cs="Arial"/>
                <w:sz w:val="16"/>
                <w:szCs w:val="16"/>
                <w:lang w:val="en-AU"/>
              </w:rPr>
              <w:t xml:space="preserve"> dose less than 2 mg/kg/day has been suggested by the authors to reduce the potential adverse effects of parenteral iron.</w:t>
            </w:r>
          </w:p>
          <w:p w:rsidRPr="00C124E0" w:rsidR="00B111CA" w:rsidP="0059793A" w:rsidRDefault="00B111CA" w14:paraId="30BC96E6" w14:textId="77777777">
            <w:pPr>
              <w:pStyle w:val="BodyText"/>
              <w:tabs>
                <w:tab w:val="left" w:pos="1168"/>
              </w:tabs>
              <w:rPr>
                <w:rFonts w:cs="Arial"/>
                <w:sz w:val="16"/>
                <w:szCs w:val="16"/>
                <w:lang w:val="en-AU"/>
              </w:rPr>
            </w:pPr>
            <w:r w:rsidRPr="00C124E0">
              <w:rPr>
                <w:rFonts w:cs="Arial"/>
                <w:sz w:val="16"/>
                <w:szCs w:val="16"/>
                <w:lang w:val="en-AU"/>
              </w:rPr>
              <w:t>ANMF consensus: IV iron dose of 1 mg/kg/day is sufficient during Rh EPO therapy. (LOE II GOR B)</w:t>
            </w:r>
          </w:p>
          <w:p w:rsidRPr="00C124E0" w:rsidR="00B111CA" w:rsidP="0059793A" w:rsidRDefault="00B111CA" w14:paraId="4DF5CA4C" w14:textId="77777777">
            <w:pPr>
              <w:pStyle w:val="BodyText"/>
              <w:tabs>
                <w:tab w:val="left" w:pos="1168"/>
              </w:tabs>
              <w:rPr>
                <w:rFonts w:cs="Arial"/>
                <w:sz w:val="16"/>
                <w:szCs w:val="16"/>
                <w:lang w:val="en-AU"/>
              </w:rPr>
            </w:pPr>
          </w:p>
          <w:p w:rsidRPr="00C124E0" w:rsidR="00B111CA" w:rsidP="0059793A" w:rsidRDefault="00B111CA" w14:paraId="695EB028" w14:textId="77777777">
            <w:pPr>
              <w:pStyle w:val="BodyText"/>
              <w:tabs>
                <w:tab w:val="left" w:pos="1168"/>
              </w:tabs>
              <w:rPr>
                <w:rFonts w:cs="Arial"/>
                <w:sz w:val="16"/>
                <w:szCs w:val="16"/>
                <w:lang w:val="en-AU"/>
              </w:rPr>
            </w:pPr>
            <w:r w:rsidRPr="00C124E0">
              <w:rPr>
                <w:rFonts w:cs="Arial"/>
                <w:sz w:val="16"/>
                <w:szCs w:val="16"/>
                <w:lang w:val="en-AU"/>
              </w:rPr>
              <w:t>James BE et al,</w:t>
            </w:r>
            <w:r w:rsidRPr="00C124E0">
              <w:rPr>
                <w:rFonts w:cs="Arial"/>
                <w:sz w:val="16"/>
                <w:szCs w:val="16"/>
                <w:vertAlign w:val="superscript"/>
                <w:lang w:val="en-AU"/>
              </w:rPr>
              <w:t>34</w:t>
            </w:r>
            <w:r w:rsidRPr="00C124E0">
              <w:rPr>
                <w:rFonts w:cs="Arial"/>
                <w:sz w:val="16"/>
                <w:szCs w:val="16"/>
                <w:lang w:val="en-AU"/>
              </w:rPr>
              <w:t xml:space="preserve"> reported no adverse effects in 5 preterm infants given iron dextran at a dose of 10–450 </w:t>
            </w:r>
            <w:r w:rsidRPr="00C124E0">
              <w:rPr>
                <w:rFonts w:cs="Calibri"/>
                <w:sz w:val="16"/>
                <w:szCs w:val="16"/>
                <w:lang w:val="en-AU"/>
              </w:rPr>
              <w:t>microg</w:t>
            </w:r>
            <w:r w:rsidRPr="00C124E0">
              <w:rPr>
                <w:rFonts w:cs="Arial"/>
                <w:sz w:val="16"/>
                <w:szCs w:val="16"/>
                <w:lang w:val="en-AU"/>
              </w:rPr>
              <w:t xml:space="preserve">/kg per day. No complications were observed in a study of 14 very low birth weight infants receiving IV iron dextran supplementation at a dose of 200–250 </w:t>
            </w:r>
            <w:r w:rsidRPr="00C124E0">
              <w:rPr>
                <w:rFonts w:cs="Calibri"/>
                <w:sz w:val="16"/>
                <w:szCs w:val="16"/>
                <w:lang w:val="en-AU"/>
              </w:rPr>
              <w:t>microg</w:t>
            </w:r>
            <w:r w:rsidRPr="00C124E0">
              <w:rPr>
                <w:rFonts w:cs="Arial"/>
                <w:sz w:val="16"/>
                <w:szCs w:val="16"/>
                <w:lang w:val="en-AU"/>
              </w:rPr>
              <w:t>/kg per day.</w:t>
            </w:r>
            <w:r w:rsidRPr="00C124E0">
              <w:rPr>
                <w:rFonts w:cs="Arial"/>
                <w:sz w:val="16"/>
                <w:szCs w:val="16"/>
                <w:vertAlign w:val="superscript"/>
                <w:lang w:val="en-AU"/>
              </w:rPr>
              <w:t>35</w:t>
            </w:r>
          </w:p>
          <w:p w:rsidRPr="00C124E0" w:rsidR="00B111CA" w:rsidP="0059793A" w:rsidRDefault="00B111CA" w14:paraId="7098D39B" w14:textId="77777777">
            <w:pPr>
              <w:pStyle w:val="BodyText"/>
              <w:tabs>
                <w:tab w:val="left" w:pos="1168"/>
              </w:tabs>
              <w:rPr>
                <w:rFonts w:cs="Arial"/>
                <w:sz w:val="16"/>
                <w:szCs w:val="16"/>
                <w:lang w:val="en-AU"/>
              </w:rPr>
            </w:pPr>
          </w:p>
          <w:p w:rsidRPr="00C124E0" w:rsidR="00B111CA" w:rsidP="0059793A" w:rsidRDefault="00B111CA" w14:paraId="31FAE2C9" w14:textId="77777777">
            <w:pPr>
              <w:pStyle w:val="BodyText"/>
              <w:tabs>
                <w:tab w:val="left" w:pos="1168"/>
              </w:tabs>
              <w:rPr>
                <w:rFonts w:cs="Arial"/>
                <w:sz w:val="16"/>
                <w:szCs w:val="16"/>
                <w:u w:val="single"/>
                <w:lang w:val="en-AU"/>
              </w:rPr>
            </w:pPr>
            <w:r w:rsidRPr="00C124E0">
              <w:rPr>
                <w:rFonts w:cs="Arial"/>
                <w:sz w:val="16"/>
                <w:szCs w:val="16"/>
                <w:u w:val="single"/>
                <w:lang w:val="en-AU"/>
              </w:rPr>
              <w:t>Enteral iron supplementation after packed red cell transfusion</w:t>
            </w:r>
          </w:p>
          <w:p w:rsidRPr="00C124E0" w:rsidR="00B111CA" w:rsidP="0059793A" w:rsidRDefault="00B111CA" w14:paraId="00DB0E11" w14:textId="77777777">
            <w:pPr>
              <w:pStyle w:val="BodyText"/>
              <w:tabs>
                <w:tab w:val="left" w:pos="1168"/>
              </w:tabs>
              <w:rPr>
                <w:rFonts w:cs="Arial"/>
                <w:sz w:val="16"/>
                <w:szCs w:val="16"/>
                <w:lang w:val="en-AU"/>
              </w:rPr>
            </w:pPr>
            <w:r w:rsidRPr="00C124E0">
              <w:rPr>
                <w:rFonts w:cs="Arial"/>
                <w:sz w:val="16"/>
                <w:szCs w:val="16"/>
                <w:lang w:val="en-AU"/>
              </w:rPr>
              <w:t>Post-mortem liver iron study by Ng et al</w:t>
            </w:r>
            <w:r w:rsidRPr="00C124E0">
              <w:rPr>
                <w:rFonts w:cs="Arial"/>
                <w:sz w:val="16"/>
                <w:szCs w:val="16"/>
                <w:vertAlign w:val="superscript"/>
                <w:lang w:val="en-AU"/>
              </w:rPr>
              <w:t>39</w:t>
            </w:r>
            <w:r w:rsidRPr="00C124E0">
              <w:rPr>
                <w:rFonts w:cs="Arial"/>
                <w:sz w:val="16"/>
                <w:szCs w:val="16"/>
                <w:lang w:val="en-AU"/>
              </w:rPr>
              <w:t xml:space="preserve"> showed elevated liver iron stores with increasing volumes of transfusions. VLBW infants who received &lt;180 mL of packed cells did not exhibit excessive hepatic iron storage, and those who received &gt; 180 mL had hepatic iron concentrations &gt; 40 micromol/g dry weight and/or histochemical liver iron grading </w:t>
            </w:r>
            <w:r w:rsidRPr="00C124E0">
              <w:rPr>
                <w:rFonts w:cs="Calibri"/>
                <w:sz w:val="16"/>
                <w:szCs w:val="16"/>
                <w:lang w:val="en-AU"/>
              </w:rPr>
              <w:t>≥</w:t>
            </w:r>
            <w:r w:rsidRPr="00C124E0">
              <w:rPr>
                <w:rFonts w:cs="Arial"/>
                <w:sz w:val="16"/>
                <w:szCs w:val="16"/>
                <w:lang w:val="en-AU"/>
              </w:rPr>
              <w:t>2. Authors concluded that routine iron supplementation in the latter group of infants would probably be unnecessary.</w:t>
            </w:r>
            <w:r w:rsidRPr="00C124E0">
              <w:rPr>
                <w:rFonts w:cs="Arial"/>
                <w:sz w:val="16"/>
                <w:szCs w:val="16"/>
                <w:vertAlign w:val="superscript"/>
                <w:lang w:val="en-AU"/>
              </w:rPr>
              <w:t>39</w:t>
            </w:r>
            <w:r w:rsidRPr="00C124E0">
              <w:rPr>
                <w:rFonts w:cs="Arial"/>
                <w:sz w:val="16"/>
                <w:szCs w:val="16"/>
                <w:lang w:val="en-AU"/>
              </w:rPr>
              <w:t xml:space="preserve"> Park et al investigated the iron status (serum ferritin) of very low birth weight infants receiving multiple erythrocyte transfusions and found that total volume of erythrocyte transfusion was not correlated to maximum serum ferritin concentrations until volume of transfusion was &gt;100 mL/kg.</w:t>
            </w:r>
            <w:r w:rsidRPr="00C124E0">
              <w:rPr>
                <w:rFonts w:cs="Arial"/>
                <w:sz w:val="16"/>
                <w:szCs w:val="16"/>
                <w:vertAlign w:val="superscript"/>
                <w:lang w:val="en-AU"/>
              </w:rPr>
              <w:t>31</w:t>
            </w:r>
            <w:r w:rsidRPr="00C124E0">
              <w:rPr>
                <w:rFonts w:cs="Arial"/>
                <w:sz w:val="16"/>
                <w:szCs w:val="16"/>
                <w:lang w:val="en-AU"/>
              </w:rPr>
              <w:t xml:space="preserve"> </w:t>
            </w:r>
          </w:p>
          <w:p w:rsidRPr="00C124E0" w:rsidR="00B111CA" w:rsidP="0059793A" w:rsidRDefault="00B111CA" w14:paraId="6EB75BDE" w14:textId="77777777">
            <w:pPr>
              <w:pStyle w:val="BodyText"/>
              <w:tabs>
                <w:tab w:val="left" w:pos="1168"/>
              </w:tabs>
              <w:rPr>
                <w:rFonts w:cs="Arial"/>
                <w:sz w:val="16"/>
                <w:szCs w:val="16"/>
                <w:lang w:val="en-AU"/>
              </w:rPr>
            </w:pPr>
            <w:r w:rsidRPr="00C124E0">
              <w:rPr>
                <w:rFonts w:cs="Arial"/>
                <w:sz w:val="16"/>
                <w:szCs w:val="16"/>
                <w:lang w:val="en-AU"/>
              </w:rPr>
              <w:t>ANMF Consensus: Preterm infants receiving red cell transfusion volumes greater than 100 mL/kg may not need routine iron supplementation or require periodic (2-weekly) serum ferritin concentrations. (LOE IV GOR C)</w:t>
            </w:r>
          </w:p>
          <w:p w:rsidRPr="00C124E0" w:rsidR="00B111CA" w:rsidP="0059793A" w:rsidRDefault="00B111CA" w14:paraId="0B4C4E9C" w14:textId="77777777">
            <w:pPr>
              <w:pStyle w:val="BodyText"/>
              <w:tabs>
                <w:tab w:val="left" w:pos="1168"/>
              </w:tabs>
              <w:rPr>
                <w:rFonts w:cs="Arial"/>
                <w:sz w:val="16"/>
                <w:szCs w:val="16"/>
                <w:lang w:val="en-AU"/>
              </w:rPr>
            </w:pPr>
          </w:p>
          <w:p w:rsidRPr="00C124E0" w:rsidR="00B111CA" w:rsidP="0059793A" w:rsidRDefault="00B111CA" w14:paraId="0970788A" w14:textId="77777777">
            <w:pPr>
              <w:pStyle w:val="BodyText"/>
              <w:tabs>
                <w:tab w:val="left" w:pos="1168"/>
              </w:tabs>
              <w:rPr>
                <w:rFonts w:cs="Arial"/>
                <w:sz w:val="16"/>
                <w:szCs w:val="16"/>
                <w:lang w:val="en-AU"/>
              </w:rPr>
            </w:pPr>
            <w:r w:rsidRPr="00C124E0">
              <w:rPr>
                <w:rFonts w:cs="Arial"/>
                <w:sz w:val="16"/>
                <w:szCs w:val="16"/>
                <w:u w:val="single"/>
                <w:lang w:val="en-AU"/>
              </w:rPr>
              <w:t xml:space="preserve">Oral iron therapy during recombinant human erythropoietin therapy: </w:t>
            </w:r>
            <w:r w:rsidRPr="00C124E0">
              <w:rPr>
                <w:rFonts w:cs="Arial"/>
                <w:sz w:val="16"/>
                <w:szCs w:val="16"/>
                <w:lang w:val="en-AU"/>
              </w:rPr>
              <w:t>The European multicentre erythropoietin group administered oral iron 2 mg/day from day 14 onwards in their trial. If serum ferritin fell below 100 microgram/L, dose of iron was increased.</w:t>
            </w:r>
            <w:r w:rsidRPr="00C124E0">
              <w:rPr>
                <w:rFonts w:cs="Arial"/>
                <w:sz w:val="16"/>
                <w:szCs w:val="16"/>
                <w:vertAlign w:val="superscript"/>
                <w:lang w:val="en-AU"/>
              </w:rPr>
              <w:t>40</w:t>
            </w:r>
            <w:r w:rsidRPr="00C124E0">
              <w:rPr>
                <w:rFonts w:cs="Arial"/>
                <w:sz w:val="16"/>
                <w:szCs w:val="16"/>
                <w:lang w:val="en-AU"/>
              </w:rPr>
              <w:t>. Emmerson et al,</w:t>
            </w:r>
            <w:r w:rsidRPr="00C124E0">
              <w:rPr>
                <w:rFonts w:cs="Arial"/>
                <w:sz w:val="16"/>
                <w:szCs w:val="16"/>
                <w:vertAlign w:val="superscript"/>
                <w:lang w:val="en-AU"/>
              </w:rPr>
              <w:t>41</w:t>
            </w:r>
            <w:r w:rsidRPr="00C124E0">
              <w:rPr>
                <w:rFonts w:cs="Arial"/>
                <w:sz w:val="16"/>
                <w:szCs w:val="16"/>
                <w:lang w:val="en-AU"/>
              </w:rPr>
              <w:t xml:space="preserve"> in their RCT of RhEPO vs placebo used 6.25 mg oral iron daily from 4 weeks of age to discharge. Shannon KM et al 1995 commenced at 3 mg/kg/day of oral iron and increased to 6 mg/kg/day during their multicentre RCT of rhEPO. Messer et al started 3 mg/kg/dose of oral iron and increased to 8 mg/kg/day in their rhEPO stdy.  Carnielli et al 1998 administered IV iron 20 mg/kg weekly equivalent to 3 mg/kg/day.</w:t>
            </w:r>
            <w:r w:rsidRPr="00C124E0">
              <w:rPr>
                <w:rFonts w:cs="Arial"/>
                <w:sz w:val="16"/>
                <w:szCs w:val="16"/>
                <w:vertAlign w:val="superscript"/>
                <w:lang w:val="en-AU"/>
              </w:rPr>
              <w:t>42</w:t>
            </w:r>
          </w:p>
          <w:p w:rsidRPr="00C124E0" w:rsidR="00B111CA" w:rsidP="0059793A" w:rsidRDefault="00B111CA" w14:paraId="3ACCECA6" w14:textId="77777777">
            <w:pPr>
              <w:pStyle w:val="BodyText"/>
              <w:tabs>
                <w:tab w:val="left" w:pos="1168"/>
              </w:tabs>
              <w:rPr>
                <w:rFonts w:cs="Arial"/>
                <w:sz w:val="16"/>
                <w:szCs w:val="16"/>
                <w:u w:val="single"/>
                <w:lang w:val="en-AU"/>
              </w:rPr>
            </w:pPr>
          </w:p>
          <w:p w:rsidRPr="00C124E0" w:rsidR="00B111CA" w:rsidP="0059793A" w:rsidRDefault="00B111CA" w14:paraId="629F5DB7" w14:textId="77777777">
            <w:pPr>
              <w:pStyle w:val="BodyText"/>
              <w:tabs>
                <w:tab w:val="left" w:pos="1168"/>
              </w:tabs>
              <w:rPr>
                <w:rFonts w:cs="Arial"/>
                <w:b/>
                <w:sz w:val="16"/>
                <w:szCs w:val="16"/>
                <w:u w:val="single"/>
                <w:lang w:val="en-AU"/>
              </w:rPr>
            </w:pPr>
            <w:r w:rsidRPr="00C124E0">
              <w:rPr>
                <w:rFonts w:cs="Arial"/>
                <w:b/>
                <w:sz w:val="16"/>
                <w:szCs w:val="16"/>
                <w:u w:val="single"/>
                <w:lang w:val="en-AU"/>
              </w:rPr>
              <w:t>Safety</w:t>
            </w:r>
          </w:p>
          <w:p w:rsidRPr="00C124E0" w:rsidR="00B111CA" w:rsidP="0059793A" w:rsidRDefault="00B111CA" w14:paraId="16DB2547" w14:textId="77777777">
            <w:pPr>
              <w:pStyle w:val="BodyText"/>
              <w:tabs>
                <w:tab w:val="left" w:pos="1168"/>
              </w:tabs>
              <w:rPr>
                <w:rFonts w:cs="Arial"/>
                <w:sz w:val="16"/>
                <w:szCs w:val="16"/>
                <w:lang w:val="en-AU"/>
              </w:rPr>
            </w:pPr>
            <w:r w:rsidRPr="00C124E0">
              <w:rPr>
                <w:rFonts w:cs="Arial"/>
                <w:sz w:val="16"/>
                <w:szCs w:val="16"/>
                <w:u w:val="single"/>
                <w:lang w:val="en-AU"/>
              </w:rPr>
              <w:t>Iron during NICU stay:</w:t>
            </w:r>
            <w:r w:rsidRPr="00C124E0">
              <w:rPr>
                <w:rFonts w:cs="Arial"/>
                <w:sz w:val="16"/>
                <w:szCs w:val="16"/>
                <w:lang w:val="en-AU"/>
              </w:rPr>
              <w:t xml:space="preserve"> In systematic reviews by Mills et al and McCarthy et al,</w:t>
            </w:r>
            <w:r w:rsidRPr="00C124E0">
              <w:rPr>
                <w:rFonts w:cs="Arial"/>
                <w:sz w:val="16"/>
                <w:szCs w:val="16"/>
                <w:vertAlign w:val="superscript"/>
                <w:lang w:val="en-AU"/>
              </w:rPr>
              <w:t>5-6</w:t>
            </w:r>
            <w:r w:rsidRPr="00C124E0">
              <w:rPr>
                <w:rFonts w:cs="Arial"/>
                <w:sz w:val="16"/>
                <w:szCs w:val="16"/>
                <w:lang w:val="en-AU"/>
              </w:rPr>
              <w:t xml:space="preserve"> only a small number of studies reported on clinical morbidities including necrotising enterocolitis, retinopathy of prematurity, chronic lung disease, periventricular leukomalacia, oxidative stress and sepsis. Patel et al,</w:t>
            </w:r>
            <w:r w:rsidRPr="00C124E0">
              <w:rPr>
                <w:rFonts w:cs="Arial"/>
                <w:sz w:val="16"/>
                <w:szCs w:val="16"/>
                <w:vertAlign w:val="superscript"/>
                <w:lang w:val="en-AU"/>
              </w:rPr>
              <w:t>4</w:t>
            </w:r>
            <w:r w:rsidRPr="00C124E0">
              <w:rPr>
                <w:rFonts w:cs="Arial"/>
                <w:sz w:val="16"/>
                <w:szCs w:val="16"/>
                <w:lang w:val="en-AU"/>
              </w:rPr>
              <w:t xml:space="preserve"> in a retrospective analysis of 598 VLBW infants </w:t>
            </w:r>
            <w:r w:rsidRPr="00C124E0">
              <w:rPr>
                <w:rFonts w:cs="Calibri"/>
                <w:sz w:val="16"/>
                <w:szCs w:val="16"/>
                <w:lang w:val="en-AU"/>
              </w:rPr>
              <w:t>≤</w:t>
            </w:r>
            <w:r w:rsidRPr="00C124E0">
              <w:rPr>
                <w:rFonts w:cs="Arial"/>
                <w:sz w:val="16"/>
                <w:szCs w:val="16"/>
                <w:lang w:val="en-AU"/>
              </w:rPr>
              <w:t>1500 g found that the cumulative dose of supplemental enteral iron exposure was independently associated with an increased risk of BPD (adjusted relative risk [RR] per 50 mg increase: 1.07, 95% CI 1.02–1.11; p = 0.002). Similarly, a greater total volume of RBC transfusion was independently associated with a higher risk of BPD (adjusted RR per 20 mL increase in RBCs transfused, 1.05; 95% CI, 1.02–1.07; p &lt; 0.001). A prospective observational study in VLBW infants by Inder et al showed an independent significant association of retinopathy of prematurity with high serum iron concentrations at 7 days of age and may be an association with 28-day serum ferritin concentrations (OR: 1.86; 95% CI 0.99-4.83).</w:t>
            </w:r>
            <w:r w:rsidRPr="00C124E0">
              <w:rPr>
                <w:rFonts w:cs="Arial"/>
                <w:sz w:val="16"/>
                <w:szCs w:val="16"/>
                <w:vertAlign w:val="superscript"/>
                <w:lang w:val="en-AU"/>
              </w:rPr>
              <w:t>2</w:t>
            </w:r>
            <w:r w:rsidRPr="00C124E0">
              <w:rPr>
                <w:rFonts w:cs="Arial"/>
                <w:sz w:val="16"/>
                <w:szCs w:val="16"/>
                <w:lang w:val="en-AU"/>
              </w:rPr>
              <w:t xml:space="preserve"> Given the iron content of blood, and previous research which has suggested that preterm infants who receive multiple transfusions are at risk of iron overload,</w:t>
            </w:r>
            <w:r w:rsidRPr="00C124E0">
              <w:rPr>
                <w:rFonts w:cs="Arial"/>
                <w:sz w:val="16"/>
                <w:szCs w:val="16"/>
                <w:vertAlign w:val="superscript"/>
                <w:lang w:val="en-AU"/>
              </w:rPr>
              <w:t>39</w:t>
            </w:r>
            <w:r w:rsidRPr="00C124E0">
              <w:rPr>
                <w:rFonts w:cs="Arial"/>
                <w:sz w:val="16"/>
                <w:szCs w:val="16"/>
                <w:lang w:val="en-AU"/>
              </w:rPr>
              <w:t xml:space="preserve"> Brown et al 1996 suggests that the measurement of ferritin concentrations in preterm neonates who have received transfusions may be useful to guide the initiation of iron therapy, but again this remains untested.</w:t>
            </w:r>
            <w:r w:rsidRPr="00C124E0">
              <w:rPr>
                <w:rFonts w:cs="Arial"/>
                <w:sz w:val="16"/>
                <w:szCs w:val="16"/>
                <w:vertAlign w:val="superscript"/>
                <w:lang w:val="en-AU"/>
              </w:rPr>
              <w:t>43</w:t>
            </w:r>
            <w:r w:rsidRPr="00C124E0">
              <w:rPr>
                <w:rFonts w:cs="Arial"/>
                <w:sz w:val="16"/>
                <w:szCs w:val="16"/>
                <w:lang w:val="en-AU"/>
              </w:rPr>
              <w:t xml:space="preserve"> </w:t>
            </w:r>
          </w:p>
          <w:p w:rsidRPr="00C124E0" w:rsidR="00B111CA" w:rsidP="0059793A" w:rsidRDefault="00B111CA" w14:paraId="7031C891" w14:textId="77777777">
            <w:pPr>
              <w:pStyle w:val="BodyText"/>
              <w:tabs>
                <w:tab w:val="left" w:pos="1168"/>
              </w:tabs>
              <w:rPr>
                <w:rFonts w:cs="Arial"/>
                <w:sz w:val="16"/>
                <w:szCs w:val="16"/>
                <w:lang w:val="en-AU"/>
              </w:rPr>
            </w:pPr>
          </w:p>
          <w:p w:rsidRPr="00C124E0" w:rsidR="00B111CA" w:rsidP="0059793A" w:rsidRDefault="00B111CA" w14:paraId="40E85039" w14:textId="77777777">
            <w:pPr>
              <w:pStyle w:val="BodyText"/>
              <w:tabs>
                <w:tab w:val="left" w:pos="1168"/>
              </w:tabs>
              <w:rPr>
                <w:rFonts w:cs="Arial"/>
                <w:sz w:val="16"/>
                <w:szCs w:val="16"/>
                <w:lang w:val="en-AU"/>
              </w:rPr>
            </w:pPr>
            <w:r w:rsidRPr="00C124E0">
              <w:rPr>
                <w:rFonts w:cs="Arial"/>
                <w:sz w:val="16"/>
                <w:szCs w:val="16"/>
                <w:u w:val="single"/>
                <w:lang w:val="en-AU"/>
              </w:rPr>
              <w:t>Iron post-NICU:</w:t>
            </w:r>
            <w:r w:rsidRPr="00C124E0">
              <w:rPr>
                <w:rFonts w:cs="Arial"/>
                <w:sz w:val="16"/>
                <w:szCs w:val="16"/>
                <w:lang w:val="en-AU"/>
              </w:rPr>
              <w:t xml:space="preserve"> Excess iron has been associated with decreased growth, impaired cognitive development and an increased risk of infection, with evidence also emerging of altered gut microbiota in infants and young children.</w:t>
            </w:r>
            <w:r w:rsidRPr="00C124E0">
              <w:rPr>
                <w:rFonts w:cs="Arial"/>
                <w:sz w:val="16"/>
                <w:szCs w:val="16"/>
                <w:vertAlign w:val="superscript"/>
                <w:lang w:val="en-AU"/>
              </w:rPr>
              <w:t>44,45</w:t>
            </w:r>
            <w:r w:rsidRPr="00C124E0">
              <w:rPr>
                <w:rFonts w:cs="Arial"/>
                <w:sz w:val="16"/>
                <w:szCs w:val="16"/>
                <w:lang w:val="en-AU"/>
              </w:rPr>
              <w:t xml:space="preserve"> A meta-analysis has shown that iron supplementation leads to increased risk for malaria and other infections in malaria regions.</w:t>
            </w:r>
            <w:r w:rsidRPr="00C124E0">
              <w:rPr>
                <w:rFonts w:cs="Arial"/>
                <w:sz w:val="16"/>
                <w:szCs w:val="16"/>
                <w:vertAlign w:val="superscript"/>
                <w:lang w:val="en-AU"/>
              </w:rPr>
              <w:t>46</w:t>
            </w:r>
            <w:r w:rsidRPr="00C124E0">
              <w:rPr>
                <w:rFonts w:cs="Arial"/>
                <w:sz w:val="16"/>
                <w:szCs w:val="16"/>
                <w:lang w:val="en-AU"/>
              </w:rPr>
              <w:t xml:space="preserve"> </w:t>
            </w:r>
          </w:p>
          <w:p w:rsidRPr="00C124E0" w:rsidR="00B111CA" w:rsidP="0059793A" w:rsidRDefault="00B111CA" w14:paraId="2B5A63C4" w14:textId="77777777">
            <w:pPr>
              <w:pStyle w:val="BodyText"/>
              <w:tabs>
                <w:tab w:val="left" w:pos="1168"/>
              </w:tabs>
              <w:rPr>
                <w:rFonts w:cs="Arial"/>
                <w:sz w:val="16"/>
                <w:szCs w:val="16"/>
                <w:lang w:val="en-AU"/>
              </w:rPr>
            </w:pPr>
          </w:p>
          <w:p w:rsidRPr="00C124E0" w:rsidR="00B111CA" w:rsidP="0059793A" w:rsidRDefault="00B111CA" w14:paraId="45B20D80" w14:textId="77777777">
            <w:pPr>
              <w:pStyle w:val="BodyText"/>
              <w:tabs>
                <w:tab w:val="left" w:pos="1168"/>
              </w:tabs>
              <w:rPr>
                <w:rFonts w:cs="Arial"/>
                <w:b/>
                <w:sz w:val="16"/>
                <w:szCs w:val="16"/>
                <w:u w:val="single"/>
                <w:lang w:val="en-AU"/>
              </w:rPr>
            </w:pPr>
            <w:r w:rsidRPr="00C124E0">
              <w:rPr>
                <w:rFonts w:cs="Arial"/>
                <w:b/>
                <w:sz w:val="16"/>
                <w:szCs w:val="16"/>
                <w:u w:val="single"/>
                <w:lang w:val="en-AU"/>
              </w:rPr>
              <w:t>Bioavailability</w:t>
            </w:r>
          </w:p>
          <w:p w:rsidRPr="00C124E0" w:rsidR="00B111CA" w:rsidP="0059793A" w:rsidRDefault="00B111CA" w14:paraId="5ABCC349" w14:textId="77777777">
            <w:pPr>
              <w:pStyle w:val="BodyText"/>
              <w:tabs>
                <w:tab w:val="left" w:pos="1168"/>
              </w:tabs>
              <w:rPr>
                <w:rFonts w:cs="Arial"/>
                <w:sz w:val="16"/>
                <w:szCs w:val="16"/>
                <w:lang w:val="en-AU"/>
              </w:rPr>
            </w:pPr>
            <w:r w:rsidRPr="00C124E0">
              <w:rPr>
                <w:rFonts w:cs="Arial"/>
                <w:sz w:val="16"/>
                <w:szCs w:val="16"/>
                <w:lang w:val="en-AU"/>
              </w:rPr>
              <w:t>The absorption of iron from human milk is &gt;50% and from cow milk-based formulas is approximately 4–12%. Absorption is better from whey predominant formula than casein-based formula. Only 1–7% of iron in soy milk-based formula is absorbed. The absorption and retention of oral medicinal iron depends upon the postnatal age and iron status of the infant. Absorption is better if medicinal iron is supplemented with breast milk or between meals. Approximately 25–30% of the administered iron is absorbed. Approximately 10–25% of the iron supplemented between feeding is incorporated into erythrocytes within 2 weeks.</w:t>
            </w:r>
            <w:r w:rsidRPr="00C124E0">
              <w:rPr>
                <w:sz w:val="16"/>
                <w:szCs w:val="16"/>
                <w:lang w:val="en-AU"/>
              </w:rPr>
              <w:t xml:space="preserve"> </w:t>
            </w:r>
            <w:r w:rsidRPr="00C124E0">
              <w:rPr>
                <w:rFonts w:cs="Arial"/>
                <w:sz w:val="16"/>
                <w:szCs w:val="16"/>
                <w:lang w:val="en-AU"/>
              </w:rPr>
              <w:lastRenderedPageBreak/>
              <w:t>Ascorbic acid favours absorption. Iron absorption from fortified breast milk appears to be intact despite the high calcium content of the fortifier.</w:t>
            </w:r>
            <w:r w:rsidRPr="00C124E0">
              <w:rPr>
                <w:rFonts w:cs="Arial"/>
                <w:sz w:val="16"/>
                <w:szCs w:val="16"/>
                <w:vertAlign w:val="superscript"/>
                <w:lang w:val="en-AU"/>
              </w:rPr>
              <w:t>17</w:t>
            </w:r>
            <w:r w:rsidRPr="00C124E0">
              <w:rPr>
                <w:rFonts w:cs="Arial"/>
                <w:sz w:val="16"/>
                <w:szCs w:val="16"/>
                <w:lang w:val="en-AU"/>
              </w:rPr>
              <w:t xml:space="preserve"> </w:t>
            </w:r>
          </w:p>
        </w:tc>
      </w:tr>
      <w:tr w:rsidRPr="00BF61B6" w:rsidR="00B111CA" w:rsidTr="00B111CA" w14:paraId="77A3B7B7" w14:textId="77777777">
        <w:trPr>
          <w:trHeight w:val="108"/>
        </w:trPr>
        <w:tc>
          <w:tcPr>
            <w:tcW w:w="1730" w:type="dxa"/>
          </w:tcPr>
          <w:p w:rsidRPr="00BF61B6" w:rsidR="00B111CA" w:rsidP="0059793A" w:rsidRDefault="00B111CA" w14:paraId="14D55658" w14:textId="77777777">
            <w:pPr>
              <w:pStyle w:val="BodyText"/>
              <w:rPr>
                <w:rFonts w:cs="Arial"/>
                <w:b/>
                <w:bCs/>
                <w:sz w:val="20"/>
                <w:lang w:val="en-AU"/>
              </w:rPr>
            </w:pPr>
            <w:r w:rsidRPr="00BF61B6">
              <w:rPr>
                <w:rFonts w:cs="Arial"/>
                <w:b/>
                <w:bCs/>
                <w:sz w:val="20"/>
                <w:lang w:val="en-AU"/>
              </w:rPr>
              <w:lastRenderedPageBreak/>
              <w:t>Practice points</w:t>
            </w:r>
          </w:p>
        </w:tc>
        <w:tc>
          <w:tcPr>
            <w:tcW w:w="8505" w:type="dxa"/>
          </w:tcPr>
          <w:p w:rsidRPr="00C124E0" w:rsidR="00B111CA" w:rsidP="0059793A" w:rsidRDefault="00B111CA" w14:paraId="575E1F92" w14:textId="77777777">
            <w:pPr>
              <w:pStyle w:val="BodyText"/>
              <w:tabs>
                <w:tab w:val="left" w:pos="1168"/>
              </w:tabs>
              <w:rPr>
                <w:rFonts w:cs="Arial"/>
                <w:sz w:val="16"/>
                <w:szCs w:val="16"/>
                <w:lang w:val="en-AU"/>
              </w:rPr>
            </w:pPr>
            <w:r w:rsidRPr="00C124E0">
              <w:rPr>
                <w:rFonts w:cs="Arial"/>
                <w:sz w:val="16"/>
                <w:szCs w:val="16"/>
                <w:lang w:val="en-AU"/>
              </w:rPr>
              <w:t>Prior to prescription of iron, consider factors including (1) whether delayed cord clamping was performed with current haematocrit and or haemoglobin, (2) iron being received from the diet, (3) amount of blood loss through bloodletting or haemorrhage and (4) any packed red cell transfusions received .</w:t>
            </w:r>
          </w:p>
          <w:p w:rsidRPr="00C124E0" w:rsidR="00B111CA" w:rsidP="0059793A" w:rsidRDefault="00B111CA" w14:paraId="50EE0751" w14:textId="77777777">
            <w:pPr>
              <w:pStyle w:val="BodyText"/>
              <w:tabs>
                <w:tab w:val="left" w:pos="1168"/>
              </w:tabs>
              <w:rPr>
                <w:rFonts w:cs="Arial"/>
                <w:sz w:val="16"/>
                <w:szCs w:val="16"/>
                <w:lang w:val="en-AU"/>
              </w:rPr>
            </w:pPr>
            <w:r w:rsidRPr="00C124E0">
              <w:rPr>
                <w:rFonts w:cs="Arial"/>
                <w:sz w:val="16"/>
                <w:szCs w:val="16"/>
                <w:lang w:val="en-AU"/>
              </w:rPr>
              <w:t xml:space="preserve">Common 0–6 month cow’s milk infant formulas in Australia containing 5–8 mg/L provide an average 1 mg/kg/day of iron and therefore require supplemental iron in preterm and low birthweight infants. </w:t>
            </w:r>
          </w:p>
          <w:p w:rsidRPr="00C124E0" w:rsidR="00B111CA" w:rsidP="0059793A" w:rsidRDefault="00B111CA" w14:paraId="569BA21D" w14:textId="77777777">
            <w:pPr>
              <w:pStyle w:val="BodyText"/>
              <w:tabs>
                <w:tab w:val="left" w:pos="1168"/>
              </w:tabs>
              <w:rPr>
                <w:rFonts w:cs="Arial"/>
                <w:sz w:val="16"/>
                <w:szCs w:val="16"/>
                <w:lang w:val="en-AU"/>
              </w:rPr>
            </w:pPr>
            <w:r w:rsidRPr="00C124E0">
              <w:rPr>
                <w:rFonts w:cs="Arial"/>
                <w:sz w:val="16"/>
                <w:szCs w:val="16"/>
                <w:lang w:val="en-AU"/>
              </w:rPr>
              <w:t>The current iron supplementation and blood transfusions policies in tertiary neonatal intensive care units are less likely to result in iron deficiency during their NICU stay as was evident in a study by Park SH et al 2015. However, iron deficiency is likely post-discharge in preterm infants&lt;37 weeks or low birthweight infants &lt;2.5 Kg if iron intakes are inadequate.</w:t>
            </w:r>
            <w:r w:rsidRPr="00C124E0">
              <w:rPr>
                <w:rFonts w:cs="Arial"/>
                <w:sz w:val="16"/>
                <w:szCs w:val="16"/>
                <w:vertAlign w:val="superscript"/>
                <w:lang w:val="en-AU"/>
              </w:rPr>
              <w:t>3</w:t>
            </w:r>
          </w:p>
          <w:p w:rsidRPr="00C124E0" w:rsidR="00B111CA" w:rsidP="0059793A" w:rsidRDefault="00B111CA" w14:paraId="2BA71DC2" w14:textId="77777777">
            <w:pPr>
              <w:pStyle w:val="BodyText"/>
              <w:tabs>
                <w:tab w:val="left" w:pos="1168"/>
              </w:tabs>
              <w:rPr>
                <w:rFonts w:cs="Arial"/>
                <w:sz w:val="16"/>
                <w:szCs w:val="16"/>
                <w:lang w:val="en-AU"/>
              </w:rPr>
            </w:pPr>
          </w:p>
          <w:p w:rsidRPr="00C124E0" w:rsidR="00B111CA" w:rsidP="0059793A" w:rsidRDefault="00B111CA" w14:paraId="452D728B" w14:textId="77777777">
            <w:pPr>
              <w:pStyle w:val="BodyText"/>
              <w:tabs>
                <w:tab w:val="left" w:pos="1168"/>
              </w:tabs>
              <w:rPr>
                <w:rFonts w:cs="Arial"/>
                <w:sz w:val="16"/>
                <w:szCs w:val="16"/>
                <w:lang w:val="en-AU"/>
              </w:rPr>
            </w:pPr>
            <w:r w:rsidRPr="00C124E0">
              <w:rPr>
                <w:rFonts w:cs="Arial"/>
                <w:sz w:val="16"/>
                <w:szCs w:val="16"/>
                <w:lang w:val="en-AU"/>
              </w:rPr>
              <w:t>National blood authority defines iron deficiency anaemia in infancy as low haemoglobin for the age plus low serum ferritin (&lt;20 microg/L or &lt;50 microg/L in the presence of systemic infection, chronic disease, liver disease).</w:t>
            </w:r>
            <w:r w:rsidRPr="00C124E0">
              <w:rPr>
                <w:rFonts w:cs="Arial"/>
                <w:sz w:val="16"/>
                <w:szCs w:val="16"/>
                <w:vertAlign w:val="superscript"/>
                <w:lang w:val="en-AU"/>
              </w:rPr>
              <w:t>8</w:t>
            </w:r>
          </w:p>
          <w:p w:rsidRPr="00C124E0" w:rsidR="00B111CA" w:rsidP="0059793A" w:rsidRDefault="00B111CA" w14:paraId="7B901AE1" w14:textId="77777777">
            <w:pPr>
              <w:pStyle w:val="BodyText"/>
              <w:tabs>
                <w:tab w:val="left" w:pos="1168"/>
              </w:tabs>
              <w:rPr>
                <w:rFonts w:cs="Arial"/>
                <w:sz w:val="16"/>
                <w:szCs w:val="16"/>
                <w:lang w:val="en-AU"/>
              </w:rPr>
            </w:pPr>
          </w:p>
          <w:p w:rsidRPr="00C124E0" w:rsidR="00B111CA" w:rsidP="0059793A" w:rsidRDefault="00B111CA" w14:paraId="62642884" w14:textId="77777777">
            <w:pPr>
              <w:pStyle w:val="BodyText"/>
              <w:tabs>
                <w:tab w:val="left" w:pos="1168"/>
              </w:tabs>
              <w:rPr>
                <w:rFonts w:cs="Arial"/>
                <w:sz w:val="16"/>
                <w:szCs w:val="16"/>
                <w:lang w:val="en-AU"/>
              </w:rPr>
            </w:pPr>
            <w:r w:rsidRPr="00C124E0">
              <w:rPr>
                <w:rFonts w:cs="Arial"/>
                <w:sz w:val="16"/>
                <w:szCs w:val="16"/>
                <w:u w:val="single"/>
                <w:lang w:val="en-AU"/>
              </w:rPr>
              <w:t xml:space="preserve">ESPGHAN 2019 recommendations in preterm infants, particularly birthweight &lt;1800 g: </w:t>
            </w:r>
            <w:r w:rsidRPr="00C124E0">
              <w:rPr>
                <w:rFonts w:cs="Arial"/>
                <w:sz w:val="16"/>
                <w:szCs w:val="16"/>
                <w:lang w:val="en-AU"/>
              </w:rPr>
              <w:t>(1) Iron intakes of &lt;2 mg/kg/day are likely to result in iron deficiency in preterm infants, at least in those with birth weights &lt;1800 g. (2) Because high enteral iron intakes have been associated with possible adverse effects, an intake of 2 to 3 mg/kg/day is recommended. (3) Prophylactic enteral iron supplementation (given as a separate iron supplement, in preterm formula or in fortified human milk) should be started at 2 to 6 weeks of age (2–4 weeks in extremely-low-birthweight infants). (4) Infants who receive erythropoietin treatment and infants who have had significant, uncompensated blood losses may initially need a higher dose, requiring a separate iron supplement in addition to preterm formula or fortified human milk. (5) Enteral iron doses &gt;5 mg/kg/day should be avoided in preterm infants because of the possible risk of retinopathy of prematurity. (6) Iron supplementation should be delayed in infants who have received multiple blood transfusions and have high serum ferritin concentrations.</w:t>
            </w:r>
            <w:r w:rsidRPr="00C124E0">
              <w:rPr>
                <w:rFonts w:cs="Arial"/>
                <w:sz w:val="16"/>
                <w:szCs w:val="16"/>
                <w:vertAlign w:val="superscript"/>
                <w:lang w:val="en-AU"/>
              </w:rPr>
              <w:t>9</w:t>
            </w:r>
          </w:p>
          <w:p w:rsidRPr="00C124E0" w:rsidR="00B111CA" w:rsidP="0059793A" w:rsidRDefault="00B111CA" w14:paraId="377336AE" w14:textId="77777777">
            <w:pPr>
              <w:pStyle w:val="BodyText"/>
              <w:tabs>
                <w:tab w:val="left" w:pos="1168"/>
              </w:tabs>
              <w:rPr>
                <w:rFonts w:cs="Arial"/>
                <w:sz w:val="16"/>
                <w:szCs w:val="16"/>
                <w:u w:val="single"/>
                <w:lang w:val="en-AU"/>
              </w:rPr>
            </w:pPr>
          </w:p>
          <w:p w:rsidRPr="00C124E0" w:rsidR="00B111CA" w:rsidP="0059793A" w:rsidRDefault="00B111CA" w14:paraId="5A058C2C" w14:textId="77777777">
            <w:pPr>
              <w:pStyle w:val="BodyText"/>
              <w:tabs>
                <w:tab w:val="left" w:pos="1168"/>
              </w:tabs>
              <w:rPr>
                <w:rFonts w:cs="Arial"/>
                <w:sz w:val="16"/>
                <w:szCs w:val="16"/>
                <w:lang w:val="en-AU"/>
              </w:rPr>
            </w:pPr>
            <w:r w:rsidRPr="00C124E0">
              <w:rPr>
                <w:rFonts w:cs="Arial"/>
                <w:sz w:val="16"/>
                <w:szCs w:val="16"/>
                <w:u w:val="single"/>
                <w:lang w:val="en-AU"/>
              </w:rPr>
              <w:t xml:space="preserve">ESPGHAN 2014 recommendations for birthweights 2000–2500 g – </w:t>
            </w:r>
            <w:r w:rsidRPr="00C124E0">
              <w:rPr>
                <w:rFonts w:cs="Arial"/>
                <w:sz w:val="16"/>
                <w:szCs w:val="16"/>
                <w:lang w:val="en-AU"/>
              </w:rPr>
              <w:t>1–2 mg/kg/day for up to 6 months of age.</w:t>
            </w:r>
            <w:r w:rsidRPr="00C124E0">
              <w:rPr>
                <w:rFonts w:cs="Arial"/>
                <w:sz w:val="16"/>
                <w:szCs w:val="16"/>
                <w:vertAlign w:val="superscript"/>
                <w:lang w:val="en-AU"/>
              </w:rPr>
              <w:t xml:space="preserve">24 </w:t>
            </w:r>
          </w:p>
          <w:p w:rsidRPr="00C124E0" w:rsidR="00B111CA" w:rsidP="0059793A" w:rsidRDefault="00B111CA" w14:paraId="21DF6175" w14:textId="77777777">
            <w:pPr>
              <w:pStyle w:val="BodyText"/>
              <w:tabs>
                <w:tab w:val="left" w:pos="1168"/>
              </w:tabs>
              <w:rPr>
                <w:rFonts w:cs="Arial"/>
                <w:sz w:val="16"/>
                <w:szCs w:val="16"/>
                <w:u w:val="single"/>
                <w:lang w:val="en-AU"/>
              </w:rPr>
            </w:pPr>
          </w:p>
          <w:p w:rsidRPr="00C124E0" w:rsidR="00B111CA" w:rsidP="0059793A" w:rsidRDefault="00B111CA" w14:paraId="11AA8772" w14:textId="77777777">
            <w:pPr>
              <w:pStyle w:val="BodyText"/>
              <w:tabs>
                <w:tab w:val="left" w:pos="1168"/>
              </w:tabs>
              <w:rPr>
                <w:rFonts w:cs="Arial"/>
                <w:sz w:val="16"/>
                <w:szCs w:val="16"/>
                <w:lang w:val="en-AU"/>
              </w:rPr>
            </w:pPr>
            <w:r w:rsidRPr="00C124E0">
              <w:rPr>
                <w:rFonts w:cs="Arial"/>
                <w:sz w:val="16"/>
                <w:szCs w:val="16"/>
                <w:u w:val="single"/>
                <w:lang w:val="en-AU"/>
              </w:rPr>
              <w:t xml:space="preserve">American Academy of </w:t>
            </w:r>
            <w:r w:rsidRPr="00C124E0">
              <w:rPr>
                <w:rFonts w:cs="Arial"/>
                <w:sz w:val="16"/>
                <w:szCs w:val="16"/>
                <w:u w:val="single"/>
                <w:lang w:val="en-US"/>
              </w:rPr>
              <w:t>Pediatrics</w:t>
            </w:r>
            <w:r w:rsidRPr="00C124E0">
              <w:rPr>
                <w:rFonts w:cs="Arial"/>
                <w:sz w:val="16"/>
                <w:szCs w:val="16"/>
                <w:u w:val="single"/>
                <w:lang w:val="en-AU"/>
              </w:rPr>
              <w:t xml:space="preserve"> (AAP) recommendations: </w:t>
            </w:r>
            <w:r w:rsidRPr="00C124E0">
              <w:rPr>
                <w:rFonts w:cs="Arial"/>
                <w:sz w:val="16"/>
                <w:szCs w:val="16"/>
                <w:lang w:val="en-AU"/>
              </w:rPr>
              <w:t>Supplementation of preterm neonates recommended at 2 mg/kg/ day of enteral iron, either as an iron mixture, or in the form of iron-fortified formula. It is recommended that this supplementation commence within two months of birth and be continued until 12 months of age.</w:t>
            </w:r>
            <w:r w:rsidRPr="00C124E0">
              <w:rPr>
                <w:rFonts w:cs="Arial"/>
                <w:sz w:val="16"/>
                <w:szCs w:val="16"/>
                <w:vertAlign w:val="superscript"/>
                <w:lang w:val="en-AU"/>
              </w:rPr>
              <w:t>33</w:t>
            </w:r>
          </w:p>
          <w:p w:rsidRPr="00C124E0" w:rsidR="00B111CA" w:rsidP="0059793A" w:rsidRDefault="00B111CA" w14:paraId="561ACDE5" w14:textId="77777777">
            <w:pPr>
              <w:pStyle w:val="BodyText"/>
              <w:tabs>
                <w:tab w:val="left" w:pos="1168"/>
              </w:tabs>
              <w:rPr>
                <w:rFonts w:cs="Arial"/>
                <w:sz w:val="16"/>
                <w:szCs w:val="16"/>
                <w:u w:val="single"/>
                <w:lang w:val="en-AU"/>
              </w:rPr>
            </w:pPr>
          </w:p>
          <w:p w:rsidRPr="00C124E0" w:rsidR="00B111CA" w:rsidP="0059793A" w:rsidRDefault="00B111CA" w14:paraId="5D59ADD8" w14:textId="77777777">
            <w:pPr>
              <w:pStyle w:val="BodyText"/>
              <w:tabs>
                <w:tab w:val="left" w:pos="1168"/>
              </w:tabs>
              <w:rPr>
                <w:rFonts w:cs="Arial"/>
                <w:sz w:val="16"/>
                <w:szCs w:val="16"/>
                <w:lang w:val="en-AU"/>
              </w:rPr>
            </w:pPr>
            <w:r w:rsidRPr="00C124E0">
              <w:rPr>
                <w:rFonts w:cs="Arial"/>
                <w:sz w:val="16"/>
                <w:szCs w:val="16"/>
                <w:u w:val="single"/>
                <w:lang w:val="en-AU"/>
              </w:rPr>
              <w:t xml:space="preserve">ESPGHAN 2018 recommendations: </w:t>
            </w:r>
            <w:r w:rsidRPr="00C124E0">
              <w:rPr>
                <w:rFonts w:cs="Arial"/>
                <w:sz w:val="16"/>
                <w:szCs w:val="16"/>
                <w:lang w:val="en-AU"/>
              </w:rPr>
              <w:t>Preterm and term infants need parenteral iron 200–250 microgram/kg/day and 50–100 microgram/kg/day respectively during long-term PN &gt;4 weeks duration.</w:t>
            </w:r>
            <w:r w:rsidRPr="00C124E0">
              <w:rPr>
                <w:rFonts w:cs="Arial"/>
                <w:sz w:val="16"/>
                <w:szCs w:val="16"/>
                <w:vertAlign w:val="superscript"/>
                <w:lang w:val="en-AU"/>
              </w:rPr>
              <w:t>14</w:t>
            </w:r>
          </w:p>
          <w:p w:rsidRPr="00C124E0" w:rsidR="00B111CA" w:rsidP="0059793A" w:rsidRDefault="00B111CA" w14:paraId="546F27A3" w14:textId="77777777">
            <w:pPr>
              <w:pStyle w:val="BodyText"/>
              <w:tabs>
                <w:tab w:val="left" w:pos="1168"/>
              </w:tabs>
              <w:rPr>
                <w:rFonts w:cs="Arial"/>
                <w:sz w:val="16"/>
                <w:szCs w:val="16"/>
                <w:u w:val="single"/>
                <w:lang w:val="en-AU"/>
              </w:rPr>
            </w:pPr>
          </w:p>
          <w:p w:rsidRPr="00C124E0" w:rsidR="00B111CA" w:rsidP="0059793A" w:rsidRDefault="00B111CA" w14:paraId="47506ED5" w14:textId="77777777">
            <w:pPr>
              <w:pStyle w:val="BodyText"/>
              <w:tabs>
                <w:tab w:val="left" w:pos="1168"/>
              </w:tabs>
              <w:rPr>
                <w:rFonts w:cs="Arial"/>
                <w:sz w:val="16"/>
                <w:szCs w:val="16"/>
                <w:u w:val="single"/>
                <w:lang w:val="en-AU"/>
              </w:rPr>
            </w:pPr>
            <w:r w:rsidRPr="00C124E0">
              <w:rPr>
                <w:rFonts w:cs="Arial"/>
                <w:sz w:val="16"/>
                <w:szCs w:val="16"/>
                <w:u w:val="single"/>
                <w:lang w:val="en-AU"/>
              </w:rPr>
              <w:t>ESPGHAN 2014 summary on iron requirements in infants and toddlers:</w:t>
            </w:r>
            <w:r w:rsidRPr="00C124E0">
              <w:rPr>
                <w:rFonts w:cs="Arial"/>
                <w:sz w:val="16"/>
                <w:szCs w:val="16"/>
                <w:u w:val="single"/>
                <w:vertAlign w:val="superscript"/>
                <w:lang w:val="en-AU"/>
              </w:rPr>
              <w:t>24</w:t>
            </w:r>
          </w:p>
          <w:p w:rsidRPr="00C124E0" w:rsidR="00B111CA" w:rsidP="001B0E05" w:rsidRDefault="00B111CA" w14:paraId="73B8BA51" w14:textId="77777777">
            <w:pPr>
              <w:pStyle w:val="BodyText"/>
              <w:numPr>
                <w:ilvl w:val="0"/>
                <w:numId w:val="98"/>
              </w:numPr>
              <w:tabs>
                <w:tab w:val="left" w:pos="1168"/>
              </w:tabs>
              <w:overflowPunct w:val="0"/>
              <w:autoSpaceDE w:val="0"/>
              <w:autoSpaceDN w:val="0"/>
              <w:adjustRightInd w:val="0"/>
              <w:jc w:val="left"/>
              <w:textAlignment w:val="baseline"/>
              <w:rPr>
                <w:rFonts w:cs="Arial"/>
                <w:sz w:val="16"/>
                <w:szCs w:val="16"/>
                <w:lang w:val="en-AU"/>
              </w:rPr>
            </w:pPr>
            <w:r w:rsidRPr="00C124E0">
              <w:rPr>
                <w:rFonts w:cs="Arial"/>
                <w:sz w:val="16"/>
                <w:szCs w:val="16"/>
                <w:lang w:val="en-AU"/>
              </w:rPr>
              <w:t>General prevalence of IDA (defined as serum ferritin &lt;10–12 microgram/L) in European infants and toddlers is &lt;2% before 6 months, 2–3% at 6–9 months and 3–9% at 1–3 years of age</w:t>
            </w:r>
          </w:p>
          <w:p w:rsidRPr="00C124E0" w:rsidR="00B111CA" w:rsidP="001B0E05" w:rsidRDefault="00B111CA" w14:paraId="10D0A692" w14:textId="77777777">
            <w:pPr>
              <w:pStyle w:val="BodyText"/>
              <w:numPr>
                <w:ilvl w:val="0"/>
                <w:numId w:val="98"/>
              </w:numPr>
              <w:tabs>
                <w:tab w:val="left" w:pos="1168"/>
              </w:tabs>
              <w:overflowPunct w:val="0"/>
              <w:autoSpaceDE w:val="0"/>
              <w:autoSpaceDN w:val="0"/>
              <w:adjustRightInd w:val="0"/>
              <w:jc w:val="left"/>
              <w:textAlignment w:val="baseline"/>
              <w:rPr>
                <w:rFonts w:cs="Arial"/>
                <w:sz w:val="16"/>
                <w:szCs w:val="16"/>
                <w:lang w:val="en-AU"/>
              </w:rPr>
            </w:pPr>
            <w:r w:rsidRPr="00C124E0">
              <w:rPr>
                <w:rFonts w:cs="Arial"/>
                <w:sz w:val="16"/>
                <w:szCs w:val="16"/>
                <w:lang w:val="en-AU"/>
              </w:rPr>
              <w:t>If low before 6 months of age; 0.9–1.3 mg/kg/day at 6–12 months; 0.5–0.8 mg/kg/day at 1–3 years</w:t>
            </w:r>
          </w:p>
          <w:p w:rsidRPr="00C124E0" w:rsidR="00B111CA" w:rsidP="001B0E05" w:rsidRDefault="00B111CA" w14:paraId="2F92ED4E" w14:textId="77777777">
            <w:pPr>
              <w:pStyle w:val="BodyText"/>
              <w:numPr>
                <w:ilvl w:val="0"/>
                <w:numId w:val="98"/>
              </w:numPr>
              <w:tabs>
                <w:tab w:val="left" w:pos="1168"/>
              </w:tabs>
              <w:overflowPunct w:val="0"/>
              <w:autoSpaceDE w:val="0"/>
              <w:autoSpaceDN w:val="0"/>
              <w:adjustRightInd w:val="0"/>
              <w:jc w:val="left"/>
              <w:textAlignment w:val="baseline"/>
              <w:rPr>
                <w:rFonts w:cs="Arial"/>
                <w:sz w:val="16"/>
                <w:szCs w:val="16"/>
                <w:lang w:val="en-AU"/>
              </w:rPr>
            </w:pPr>
            <w:r w:rsidRPr="00C124E0">
              <w:rPr>
                <w:rFonts w:cs="Arial"/>
                <w:sz w:val="16"/>
                <w:szCs w:val="16"/>
                <w:lang w:val="en-AU"/>
              </w:rPr>
              <w:t>Breastfed infants &lt;6 months: Iron supplementation do not reduce iron deficiency anaemia in populations with already low (&lt;5–10%) prevalence of IDA at 6 months</w:t>
            </w:r>
          </w:p>
          <w:p w:rsidRPr="00C124E0" w:rsidR="00B111CA" w:rsidP="001B0E05" w:rsidRDefault="00B111CA" w14:paraId="32A6A101" w14:textId="77777777">
            <w:pPr>
              <w:pStyle w:val="BodyText"/>
              <w:numPr>
                <w:ilvl w:val="0"/>
                <w:numId w:val="98"/>
              </w:numPr>
              <w:tabs>
                <w:tab w:val="left" w:pos="1168"/>
              </w:tabs>
              <w:overflowPunct w:val="0"/>
              <w:autoSpaceDE w:val="0"/>
              <w:autoSpaceDN w:val="0"/>
              <w:adjustRightInd w:val="0"/>
              <w:jc w:val="left"/>
              <w:textAlignment w:val="baseline"/>
              <w:rPr>
                <w:rFonts w:cs="Arial"/>
                <w:sz w:val="16"/>
                <w:szCs w:val="16"/>
                <w:lang w:val="en-AU"/>
              </w:rPr>
            </w:pPr>
            <w:r w:rsidRPr="00C124E0">
              <w:rPr>
                <w:rFonts w:cs="Arial"/>
                <w:sz w:val="16"/>
                <w:szCs w:val="16"/>
                <w:lang w:val="en-AU"/>
              </w:rPr>
              <w:t>In low-birthweight infants &lt;6 months, iron supplements (1–3 mg/kg/day depending on birthweight) prevent IDA and possibly improve neurodevelopment</w:t>
            </w:r>
          </w:p>
          <w:p w:rsidRPr="00C124E0" w:rsidR="00B111CA" w:rsidP="001B0E05" w:rsidRDefault="00B111CA" w14:paraId="3D7B6AC5" w14:textId="77777777">
            <w:pPr>
              <w:pStyle w:val="BodyText"/>
              <w:numPr>
                <w:ilvl w:val="0"/>
                <w:numId w:val="98"/>
              </w:numPr>
              <w:tabs>
                <w:tab w:val="left" w:pos="1168"/>
              </w:tabs>
              <w:overflowPunct w:val="0"/>
              <w:autoSpaceDE w:val="0"/>
              <w:autoSpaceDN w:val="0"/>
              <w:adjustRightInd w:val="0"/>
              <w:jc w:val="left"/>
              <w:textAlignment w:val="baseline"/>
              <w:rPr>
                <w:rFonts w:cs="Arial"/>
                <w:sz w:val="16"/>
                <w:szCs w:val="16"/>
                <w:lang w:val="en-AU"/>
              </w:rPr>
            </w:pPr>
            <w:r w:rsidRPr="00C124E0">
              <w:rPr>
                <w:rFonts w:cs="Arial"/>
                <w:sz w:val="16"/>
                <w:szCs w:val="16"/>
                <w:lang w:val="en-AU"/>
              </w:rPr>
              <w:t>Iron supplements at 4–12 months prevent IDA and may improve neurodevelopment but only in populations with high (&gt;10%) prevalence of IDA at 6–12 months of age</w:t>
            </w:r>
          </w:p>
          <w:p w:rsidRPr="00C124E0" w:rsidR="00B111CA" w:rsidP="0059793A" w:rsidRDefault="00B111CA" w14:paraId="42BBE560" w14:textId="77777777">
            <w:pPr>
              <w:pStyle w:val="BodyText"/>
              <w:tabs>
                <w:tab w:val="left" w:pos="1168"/>
              </w:tabs>
              <w:rPr>
                <w:rFonts w:cs="Arial"/>
                <w:sz w:val="16"/>
                <w:szCs w:val="16"/>
                <w:lang w:val="en-AU"/>
              </w:rPr>
            </w:pPr>
          </w:p>
          <w:p w:rsidRPr="00C124E0" w:rsidR="00B111CA" w:rsidP="0059793A" w:rsidRDefault="00B111CA" w14:paraId="3D5B7D99" w14:textId="77777777">
            <w:pPr>
              <w:pStyle w:val="BodyText"/>
              <w:tabs>
                <w:tab w:val="left" w:pos="1168"/>
              </w:tabs>
              <w:rPr>
                <w:rFonts w:cs="Arial"/>
                <w:sz w:val="16"/>
                <w:szCs w:val="16"/>
                <w:lang w:val="en-AU"/>
              </w:rPr>
            </w:pPr>
            <w:r w:rsidRPr="00C124E0">
              <w:rPr>
                <w:rFonts w:cs="Arial"/>
                <w:sz w:val="16"/>
                <w:szCs w:val="16"/>
                <w:lang w:val="en-AU"/>
              </w:rPr>
              <w:t>1 g of haemoglobin contains 3.5 mg of iron. Based on these numbers, 1 mL of bloodletting with an average 150 g/L of haemoglobin results in net iron loss of 0.5 mg of iron. Packed red cells, on average, contain 180 g/L (48 g in a 260 mL adult red cell pack) of haemoglobin and haematocrit of 0.50–0.70.</w:t>
            </w:r>
            <w:r w:rsidRPr="00C124E0">
              <w:rPr>
                <w:rFonts w:cs="Arial"/>
                <w:sz w:val="16"/>
                <w:szCs w:val="16"/>
                <w:vertAlign w:val="superscript"/>
                <w:lang w:val="en-AU"/>
              </w:rPr>
              <w:t>1</w:t>
            </w:r>
            <w:r w:rsidRPr="00C124E0">
              <w:rPr>
                <w:rFonts w:cs="Arial"/>
                <w:sz w:val="16"/>
                <w:szCs w:val="16"/>
                <w:lang w:val="en-AU"/>
              </w:rPr>
              <w:t xml:space="preserve"> 1 mL of packed red cells contain 0.6 mg (0.5–1 mg) of iron.</w:t>
            </w:r>
          </w:p>
          <w:p w:rsidRPr="00C124E0" w:rsidR="00B111CA" w:rsidP="0059793A" w:rsidRDefault="00B111CA" w14:paraId="79EE3BBB" w14:textId="77777777">
            <w:pPr>
              <w:pStyle w:val="BodyText"/>
              <w:tabs>
                <w:tab w:val="left" w:pos="1168"/>
              </w:tabs>
              <w:rPr>
                <w:rFonts w:cs="Arial"/>
                <w:sz w:val="16"/>
                <w:szCs w:val="16"/>
                <w:lang w:val="en-AU"/>
              </w:rPr>
            </w:pPr>
          </w:p>
          <w:p w:rsidRPr="00C124E0" w:rsidR="00B111CA" w:rsidP="0059793A" w:rsidRDefault="00B111CA" w14:paraId="43767D61" w14:textId="77777777">
            <w:pPr>
              <w:pStyle w:val="BodyText"/>
              <w:tabs>
                <w:tab w:val="left" w:pos="1168"/>
              </w:tabs>
              <w:rPr>
                <w:rFonts w:cs="Arial"/>
                <w:sz w:val="16"/>
                <w:szCs w:val="16"/>
                <w:lang w:val="en-AU"/>
              </w:rPr>
            </w:pPr>
            <w:r w:rsidRPr="00C124E0">
              <w:rPr>
                <w:rFonts w:cs="Arial"/>
                <w:sz w:val="16"/>
                <w:szCs w:val="16"/>
                <w:lang w:val="en-AU"/>
              </w:rPr>
              <w:t>The amount of iron lost through blood collection can be calculated using the following formula:</w:t>
            </w:r>
          </w:p>
          <w:p w:rsidRPr="00C124E0" w:rsidR="00B111CA" w:rsidP="0059793A" w:rsidRDefault="00B111CA" w14:paraId="33B4C33D" w14:textId="77777777">
            <w:pPr>
              <w:autoSpaceDE w:val="0"/>
              <w:autoSpaceDN w:val="0"/>
              <w:adjustRightInd w:val="0"/>
              <w:rPr>
                <w:rFonts w:asciiTheme="minorHAnsi" w:hAnsiTheme="minorHAnsi" w:cstheme="minorHAnsi"/>
                <w:sz w:val="16"/>
                <w:szCs w:val="16"/>
                <w:lang w:eastAsia="en-AU"/>
              </w:rPr>
            </w:pPr>
            <w:r w:rsidRPr="00C124E0">
              <w:rPr>
                <w:rFonts w:cs="Arial"/>
                <w:sz w:val="16"/>
                <w:szCs w:val="16"/>
              </w:rPr>
              <w:t>Blood Iron (mg) = Hb (g/dL) x 3.5 (mg/mL) x blood loss (mL).</w:t>
            </w:r>
            <w:r w:rsidRPr="00C124E0">
              <w:rPr>
                <w:rFonts w:cs="Arial"/>
                <w:sz w:val="16"/>
                <w:szCs w:val="16"/>
                <w:vertAlign w:val="superscript"/>
              </w:rPr>
              <w:t>35</w:t>
            </w:r>
          </w:p>
          <w:p w:rsidRPr="00C124E0" w:rsidR="00B111CA" w:rsidP="0059793A" w:rsidRDefault="00B111CA" w14:paraId="38B2BC33" w14:textId="77777777">
            <w:pPr>
              <w:autoSpaceDE w:val="0"/>
              <w:autoSpaceDN w:val="0"/>
              <w:adjustRightInd w:val="0"/>
              <w:rPr>
                <w:rFonts w:asciiTheme="minorHAnsi" w:hAnsiTheme="minorHAnsi" w:cstheme="minorHAnsi"/>
                <w:sz w:val="16"/>
                <w:szCs w:val="16"/>
                <w:lang w:eastAsia="en-AU"/>
              </w:rPr>
            </w:pPr>
          </w:p>
          <w:p w:rsidRPr="00C124E0" w:rsidR="00B111CA" w:rsidP="0059793A" w:rsidRDefault="00B111CA" w14:paraId="3BEABD7B" w14:textId="77777777">
            <w:pPr>
              <w:autoSpaceDE w:val="0"/>
              <w:autoSpaceDN w:val="0"/>
              <w:adjustRightInd w:val="0"/>
              <w:rPr>
                <w:rFonts w:cs="Arial"/>
                <w:sz w:val="16"/>
                <w:szCs w:val="16"/>
              </w:rPr>
            </w:pPr>
            <w:r w:rsidRPr="00C124E0">
              <w:rPr>
                <w:rFonts w:cs="Arial"/>
                <w:sz w:val="16"/>
                <w:szCs w:val="16"/>
              </w:rPr>
              <w:t>The term infant with normal iron stores at birth, who benefitted from delayed cord clamping, is breastfed, and is growing at a rate consistent with the World Health Organization standard growth curves, requires no additional iron beyond what is found in human milk until 4–6 months of age.</w:t>
            </w:r>
            <w:r w:rsidRPr="00C124E0">
              <w:rPr>
                <w:rFonts w:cs="Arial"/>
                <w:sz w:val="16"/>
                <w:szCs w:val="16"/>
                <w:vertAlign w:val="superscript"/>
              </w:rPr>
              <w:t>47</w:t>
            </w:r>
          </w:p>
          <w:p w:rsidRPr="00C124E0" w:rsidR="00B111CA" w:rsidP="0059793A" w:rsidRDefault="00B111CA" w14:paraId="3773E011" w14:textId="77777777">
            <w:pPr>
              <w:autoSpaceDE w:val="0"/>
              <w:autoSpaceDN w:val="0"/>
              <w:adjustRightInd w:val="0"/>
              <w:rPr>
                <w:rFonts w:cs="Arial"/>
                <w:sz w:val="16"/>
                <w:szCs w:val="16"/>
              </w:rPr>
            </w:pPr>
          </w:p>
          <w:p w:rsidRPr="00C124E0" w:rsidR="00B111CA" w:rsidP="0059793A" w:rsidRDefault="00B111CA" w14:paraId="7367B17B" w14:textId="77777777">
            <w:pPr>
              <w:autoSpaceDE w:val="0"/>
              <w:autoSpaceDN w:val="0"/>
              <w:adjustRightInd w:val="0"/>
              <w:rPr>
                <w:rFonts w:cs="Arial"/>
                <w:sz w:val="16"/>
                <w:szCs w:val="16"/>
              </w:rPr>
            </w:pPr>
            <w:r w:rsidRPr="00C124E0">
              <w:rPr>
                <w:rFonts w:cs="Arial"/>
                <w:sz w:val="16"/>
                <w:szCs w:val="16"/>
              </w:rPr>
              <w:t>Serum ferritin concentrations: Umbilical cord serum ferritin concentrations increased with advancing gestational age, from a mean of 63 microg/L at 23 weeks to 171 microg/L at 41 weeks gestation (p &lt;0.001).</w:t>
            </w:r>
            <w:r w:rsidRPr="00C124E0">
              <w:rPr>
                <w:rFonts w:cs="Arial"/>
                <w:sz w:val="16"/>
                <w:szCs w:val="16"/>
                <w:vertAlign w:val="superscript"/>
              </w:rPr>
              <w:t>25</w:t>
            </w:r>
            <w:r w:rsidRPr="00C124E0">
              <w:rPr>
                <w:rFonts w:cs="Arial"/>
                <w:sz w:val="16"/>
                <w:szCs w:val="16"/>
              </w:rPr>
              <w:t xml:space="preserve"> Higher ferritin concentrations were reported in preterm infants who received intrauterine transfusion, recipients of twin-twin transfusions or received transfusions of more than 100 mL of packed red cells.</w:t>
            </w:r>
            <w:r w:rsidRPr="00C124E0">
              <w:rPr>
                <w:rFonts w:cs="Arial"/>
                <w:sz w:val="16"/>
                <w:szCs w:val="16"/>
                <w:vertAlign w:val="superscript"/>
              </w:rPr>
              <w:t>26-28</w:t>
            </w:r>
            <w:r w:rsidRPr="00C124E0">
              <w:rPr>
                <w:rFonts w:cs="Arial"/>
                <w:sz w:val="16"/>
                <w:szCs w:val="16"/>
              </w:rPr>
              <w:t xml:space="preserve"> Lundström, et al studied ferritin concentrations in LBW infants receiving iron supplementation who did not receive transfusion. By age 2 months ferritin concentrations averaged 60–70 microg/L and remained between 20 and 40 microg/L up to 6 months of age.</w:t>
            </w:r>
            <w:r w:rsidRPr="00C124E0">
              <w:rPr>
                <w:rFonts w:cs="Arial"/>
                <w:sz w:val="16"/>
                <w:szCs w:val="16"/>
                <w:vertAlign w:val="superscript"/>
              </w:rPr>
              <w:t>29</w:t>
            </w:r>
          </w:p>
          <w:p w:rsidRPr="00C124E0" w:rsidR="00B111CA" w:rsidP="0059793A" w:rsidRDefault="00B111CA" w14:paraId="6C10BC8F" w14:textId="77777777">
            <w:pPr>
              <w:autoSpaceDE w:val="0"/>
              <w:autoSpaceDN w:val="0"/>
              <w:adjustRightInd w:val="0"/>
              <w:rPr>
                <w:rFonts w:cs="Arial"/>
                <w:sz w:val="16"/>
                <w:szCs w:val="16"/>
              </w:rPr>
            </w:pPr>
          </w:p>
          <w:p w:rsidRPr="00C124E0" w:rsidR="00B111CA" w:rsidP="0059793A" w:rsidRDefault="00B111CA" w14:paraId="591EA3F9" w14:textId="77777777">
            <w:pPr>
              <w:autoSpaceDE w:val="0"/>
              <w:autoSpaceDN w:val="0"/>
              <w:adjustRightInd w:val="0"/>
              <w:rPr>
                <w:rFonts w:cs="Arial"/>
                <w:sz w:val="16"/>
                <w:szCs w:val="16"/>
              </w:rPr>
            </w:pPr>
            <w:r w:rsidRPr="00C124E0">
              <w:rPr>
                <w:rFonts w:cs="Arial"/>
                <w:sz w:val="16"/>
                <w:szCs w:val="16"/>
                <w:u w:val="single"/>
              </w:rPr>
              <w:t>Parenteral iron therapy for iron deficiency:</w:t>
            </w:r>
            <w:r w:rsidRPr="00C124E0">
              <w:rPr>
                <w:rFonts w:cs="Arial"/>
                <w:sz w:val="16"/>
                <w:szCs w:val="16"/>
              </w:rPr>
              <w:t xml:space="preserve"> Surico et al</w:t>
            </w:r>
            <w:r w:rsidRPr="00C124E0">
              <w:rPr>
                <w:rFonts w:cs="Arial"/>
                <w:sz w:val="16"/>
                <w:szCs w:val="16"/>
                <w:vertAlign w:val="superscript"/>
              </w:rPr>
              <w:t>38</w:t>
            </w:r>
            <w:r w:rsidRPr="00C124E0">
              <w:rPr>
                <w:rFonts w:cs="Arial"/>
                <w:sz w:val="16"/>
                <w:szCs w:val="16"/>
              </w:rPr>
              <w:t xml:space="preserve"> compared intramuscular and intravenous administration in 33 children with severe iron deficiency who failed to respond to oral iron. Mean age was 3.1 years (range 0.7–13.5). Intravenous iron (iron saccharate) was given daily as a 2-hour infusion in a normal saline solution, at an average dose of 28 mg/kg (range 10–50) depending on haemoglobin values, administered over an average time of 6.5 days (range 3–10). The infusion was preceded by a 10-min infusion test dose. Intramuscular iron (iron polymaltose complex) was given twice per week at an average dose of 20 </w:t>
            </w:r>
            <w:r w:rsidRPr="00C124E0">
              <w:rPr>
                <w:rFonts w:cs="Arial"/>
                <w:sz w:val="16"/>
                <w:szCs w:val="16"/>
              </w:rPr>
              <w:lastRenderedPageBreak/>
              <w:t>mg/kg (range 8.5–40), depending on haemoglobin values at diagnosis, over an average period of 26 days (range 14–56). Parenteral iron doses have been calculated taking into account haemoglobin values and weight of children at diagnosis, according to the following formula:</w:t>
            </w:r>
          </w:p>
          <w:p w:rsidRPr="00C124E0" w:rsidR="00B111CA" w:rsidP="0059793A" w:rsidRDefault="00B111CA" w14:paraId="07856233" w14:textId="77777777">
            <w:pPr>
              <w:autoSpaceDE w:val="0"/>
              <w:autoSpaceDN w:val="0"/>
              <w:adjustRightInd w:val="0"/>
              <w:rPr>
                <w:rFonts w:cs="Arial"/>
                <w:sz w:val="16"/>
                <w:szCs w:val="16"/>
              </w:rPr>
            </w:pPr>
          </w:p>
          <w:p w:rsidRPr="00C124E0" w:rsidR="00B111CA" w:rsidP="0059793A" w:rsidRDefault="00B111CA" w14:paraId="2314F0BB" w14:textId="77777777">
            <w:pPr>
              <w:autoSpaceDE w:val="0"/>
              <w:autoSpaceDN w:val="0"/>
              <w:adjustRightInd w:val="0"/>
              <w:rPr>
                <w:rFonts w:cs="Arial"/>
                <w:sz w:val="16"/>
                <w:szCs w:val="16"/>
              </w:rPr>
            </w:pPr>
            <w:r w:rsidRPr="00C124E0">
              <w:rPr>
                <w:rFonts w:cs="Arial"/>
                <w:sz w:val="16"/>
                <w:szCs w:val="16"/>
              </w:rPr>
              <w:t>Total iron dose (mg) = (desired Hb – observed Hb) x 80 mL x BW x 0.034</w:t>
            </w:r>
            <w:r w:rsidRPr="00C124E0">
              <w:rPr>
                <w:rFonts w:cs="Arial"/>
                <w:sz w:val="16"/>
                <w:szCs w:val="16"/>
                <w:vertAlign w:val="superscript"/>
              </w:rPr>
              <w:t>38</w:t>
            </w:r>
            <w:r w:rsidRPr="00C124E0">
              <w:rPr>
                <w:rFonts w:cs="Arial"/>
                <w:sz w:val="16"/>
                <w:szCs w:val="16"/>
              </w:rPr>
              <w:t xml:space="preserve"> </w:t>
            </w:r>
          </w:p>
          <w:p w:rsidRPr="00C124E0" w:rsidR="00B111CA" w:rsidP="0059793A" w:rsidRDefault="00B111CA" w14:paraId="7564043B" w14:textId="77777777">
            <w:pPr>
              <w:autoSpaceDE w:val="0"/>
              <w:autoSpaceDN w:val="0"/>
              <w:adjustRightInd w:val="0"/>
              <w:rPr>
                <w:rFonts w:cs="Arial"/>
                <w:sz w:val="16"/>
                <w:szCs w:val="16"/>
              </w:rPr>
            </w:pPr>
          </w:p>
          <w:p w:rsidRPr="00C124E0" w:rsidR="00B111CA" w:rsidP="0059793A" w:rsidRDefault="00B111CA" w14:paraId="19034485" w14:textId="77777777">
            <w:pPr>
              <w:autoSpaceDE w:val="0"/>
              <w:autoSpaceDN w:val="0"/>
              <w:adjustRightInd w:val="0"/>
              <w:rPr>
                <w:rFonts w:cs="Arial"/>
                <w:sz w:val="16"/>
                <w:szCs w:val="16"/>
              </w:rPr>
            </w:pPr>
            <w:r w:rsidRPr="00C124E0">
              <w:rPr>
                <w:rFonts w:cs="Arial"/>
                <w:sz w:val="16"/>
                <w:szCs w:val="16"/>
              </w:rPr>
              <w:t>A non-neonatal age group study by Martini et al used IV iron saccharate to treat iron deficiency anaemia in children with juvenile chronic arthritis using the formula:</w:t>
            </w:r>
          </w:p>
          <w:p w:rsidRPr="00C124E0" w:rsidR="00B111CA" w:rsidP="0059793A" w:rsidRDefault="00B111CA" w14:paraId="2D686A2D" w14:textId="77777777">
            <w:pPr>
              <w:autoSpaceDE w:val="0"/>
              <w:autoSpaceDN w:val="0"/>
              <w:adjustRightInd w:val="0"/>
              <w:rPr>
                <w:rFonts w:cs="Arial"/>
                <w:sz w:val="16"/>
                <w:szCs w:val="16"/>
              </w:rPr>
            </w:pPr>
          </w:p>
          <w:p w:rsidRPr="00C124E0" w:rsidR="00B111CA" w:rsidP="0059793A" w:rsidRDefault="00B111CA" w14:paraId="19BDFB3E" w14:textId="77777777">
            <w:pPr>
              <w:autoSpaceDE w:val="0"/>
              <w:autoSpaceDN w:val="0"/>
              <w:adjustRightInd w:val="0"/>
              <w:rPr>
                <w:rFonts w:cs="Arial"/>
                <w:sz w:val="16"/>
                <w:szCs w:val="16"/>
              </w:rPr>
            </w:pPr>
            <w:r w:rsidRPr="00C124E0">
              <w:rPr>
                <w:rFonts w:cs="Arial"/>
                <w:sz w:val="16"/>
                <w:szCs w:val="16"/>
              </w:rPr>
              <w:t xml:space="preserve">Total iron dose (mg) = (12.5 – haemoglobin(g/dL) x body weight x 3.4 x 1.4 </w:t>
            </w:r>
          </w:p>
          <w:p w:rsidRPr="00C124E0" w:rsidR="00B111CA" w:rsidP="0059793A" w:rsidRDefault="00B111CA" w14:paraId="285C4A86" w14:textId="77777777">
            <w:pPr>
              <w:autoSpaceDE w:val="0"/>
              <w:autoSpaceDN w:val="0"/>
              <w:adjustRightInd w:val="0"/>
              <w:rPr>
                <w:rFonts w:cs="Arial"/>
                <w:sz w:val="16"/>
                <w:szCs w:val="16"/>
              </w:rPr>
            </w:pPr>
            <w:r w:rsidRPr="00C124E0">
              <w:rPr>
                <w:rFonts w:cs="Arial"/>
                <w:sz w:val="16"/>
                <w:szCs w:val="16"/>
              </w:rPr>
              <w:t>In this formula, 12.5 is the ideal haemoglobin, 3.4 is the milligrams of iron in 1 g haemoglobin and 1.4 a multiplication factor accounting for iron stores.</w:t>
            </w:r>
            <w:r w:rsidRPr="00C124E0">
              <w:rPr>
                <w:rFonts w:cs="Arial"/>
                <w:sz w:val="16"/>
                <w:szCs w:val="16"/>
                <w:vertAlign w:val="superscript"/>
              </w:rPr>
              <w:t>15</w:t>
            </w:r>
          </w:p>
        </w:tc>
      </w:tr>
      <w:tr w:rsidRPr="00BF61B6" w:rsidR="00B111CA" w:rsidTr="00B111CA" w14:paraId="59572326" w14:textId="77777777">
        <w:trPr>
          <w:trHeight w:val="70"/>
        </w:trPr>
        <w:tc>
          <w:tcPr>
            <w:tcW w:w="1730" w:type="dxa"/>
          </w:tcPr>
          <w:p w:rsidRPr="00BF61B6" w:rsidR="00B111CA" w:rsidP="0059793A" w:rsidRDefault="00B111CA" w14:paraId="5ECBDACB" w14:textId="77777777">
            <w:pPr>
              <w:pStyle w:val="BodyText"/>
              <w:rPr>
                <w:rFonts w:cs="Arial"/>
                <w:b/>
                <w:bCs/>
                <w:sz w:val="20"/>
                <w:lang w:val="en-AU"/>
              </w:rPr>
            </w:pPr>
            <w:r w:rsidRPr="00BF61B6">
              <w:rPr>
                <w:b/>
                <w:sz w:val="20"/>
                <w:lang w:val="en-AU"/>
              </w:rPr>
              <w:lastRenderedPageBreak/>
              <w:t>References</w:t>
            </w:r>
          </w:p>
        </w:tc>
        <w:tc>
          <w:tcPr>
            <w:tcW w:w="8505" w:type="dxa"/>
          </w:tcPr>
          <w:p w:rsidRPr="00C124E0" w:rsidR="00B111CA" w:rsidP="001B0E05" w:rsidRDefault="00B111CA" w14:paraId="4D958C91" w14:textId="77777777">
            <w:pPr>
              <w:pStyle w:val="ListParagraph"/>
              <w:numPr>
                <w:ilvl w:val="0"/>
                <w:numId w:val="97"/>
              </w:numPr>
              <w:rPr>
                <w:sz w:val="16"/>
                <w:szCs w:val="16"/>
              </w:rPr>
            </w:pPr>
            <w:r w:rsidRPr="00C124E0">
              <w:rPr>
                <w:sz w:val="16"/>
                <w:szCs w:val="16"/>
              </w:rPr>
              <w:t xml:space="preserve">Australian Red Cross. Red cells. </w:t>
            </w:r>
            <w:hyperlink w:history="1" r:id="rId33">
              <w:r w:rsidRPr="00C124E0">
                <w:rPr>
                  <w:rStyle w:val="Hyperlink"/>
                  <w:rFonts w:asciiTheme="minorHAnsi" w:hAnsiTheme="minorHAnsi" w:cstheme="minorHAnsi"/>
                  <w:sz w:val="16"/>
                  <w:szCs w:val="16"/>
                </w:rPr>
                <w:t>https://transfusion.com.au/blood_products/components/red_cells</w:t>
              </w:r>
            </w:hyperlink>
            <w:r w:rsidRPr="00C124E0">
              <w:rPr>
                <w:rFonts w:asciiTheme="minorHAnsi" w:hAnsiTheme="minorHAnsi" w:cstheme="minorHAnsi"/>
                <w:sz w:val="16"/>
                <w:szCs w:val="16"/>
              </w:rPr>
              <w:t>. Accessed</w:t>
            </w:r>
            <w:r w:rsidRPr="00C124E0">
              <w:rPr>
                <w:sz w:val="16"/>
                <w:szCs w:val="16"/>
              </w:rPr>
              <w:t xml:space="preserve"> on 11 July 2020.</w:t>
            </w:r>
          </w:p>
          <w:p w:rsidRPr="00C124E0" w:rsidR="00B111CA" w:rsidP="001B0E05" w:rsidRDefault="00B111CA" w14:paraId="7D3E62F3" w14:textId="77777777">
            <w:pPr>
              <w:pStyle w:val="ListParagraph"/>
              <w:numPr>
                <w:ilvl w:val="0"/>
                <w:numId w:val="97"/>
              </w:numPr>
              <w:rPr>
                <w:sz w:val="16"/>
                <w:szCs w:val="16"/>
              </w:rPr>
            </w:pPr>
            <w:r w:rsidRPr="00C124E0">
              <w:rPr>
                <w:sz w:val="16"/>
                <w:szCs w:val="16"/>
              </w:rPr>
              <w:t>Inder TE, Clemett RS, Austin NC, Graham P, Darlow BA, Health P, Practice G. High iron status in very low birth weight infants is associated with an increased risk of retinopathy of prematurity. The Journal of pediatrics. 1997 Oct 1;131(4):541-4.</w:t>
            </w:r>
          </w:p>
          <w:p w:rsidRPr="00C124E0" w:rsidR="00B111CA" w:rsidP="001B0E05" w:rsidRDefault="00B111CA" w14:paraId="5D670108" w14:textId="77777777">
            <w:pPr>
              <w:pStyle w:val="ListParagraph"/>
              <w:numPr>
                <w:ilvl w:val="0"/>
                <w:numId w:val="97"/>
              </w:numPr>
              <w:rPr>
                <w:sz w:val="16"/>
                <w:szCs w:val="16"/>
              </w:rPr>
            </w:pPr>
            <w:r w:rsidRPr="00C124E0">
              <w:rPr>
                <w:sz w:val="16"/>
                <w:szCs w:val="16"/>
              </w:rPr>
              <w:t>Domellof M. Iron requirements, absorption and metabolism in infancy and childhood. Curr Opin Clin Nutr Metab Care 2007;10:329–35.</w:t>
            </w:r>
          </w:p>
          <w:p w:rsidRPr="00C124E0" w:rsidR="00B111CA" w:rsidP="001B0E05" w:rsidRDefault="00B111CA" w14:paraId="539F7A61" w14:textId="77777777">
            <w:pPr>
              <w:pStyle w:val="ListParagraph"/>
              <w:numPr>
                <w:ilvl w:val="0"/>
                <w:numId w:val="97"/>
              </w:numPr>
              <w:rPr>
                <w:sz w:val="16"/>
                <w:szCs w:val="16"/>
              </w:rPr>
            </w:pPr>
            <w:r w:rsidRPr="00C124E0">
              <w:rPr>
                <w:sz w:val="16"/>
                <w:szCs w:val="16"/>
              </w:rPr>
              <w:t>Patel RM, Knezevic A, Yang J, Shenvi N, Hinkes M, Roback JD, Easley KA, Josephson CD. Enteral iron supplementation, red blood cell transfusion, and risk of bronchopulmonary dysplasia in very‐low‐birth‐weight infants. Transfusion. 2019 May;59(5):1675-82.</w:t>
            </w:r>
          </w:p>
          <w:p w:rsidRPr="00C124E0" w:rsidR="00B111CA" w:rsidP="001B0E05" w:rsidRDefault="00B111CA" w14:paraId="2826B95A" w14:textId="77777777">
            <w:pPr>
              <w:pStyle w:val="ListParagraph"/>
              <w:numPr>
                <w:ilvl w:val="0"/>
                <w:numId w:val="97"/>
              </w:numPr>
              <w:rPr>
                <w:sz w:val="16"/>
                <w:szCs w:val="16"/>
              </w:rPr>
            </w:pPr>
            <w:r w:rsidRPr="00C124E0">
              <w:rPr>
                <w:sz w:val="16"/>
                <w:szCs w:val="16"/>
              </w:rPr>
              <w:t xml:space="preserve">McCarthy EK, Dempsey EM, Kiely ME. Iron supplementation in preterm and low-birth-weight infants: a systematic review of intervention studies. Nutrition Reviews. 2019 Dec 1;77(12):865-77. </w:t>
            </w:r>
          </w:p>
          <w:p w:rsidRPr="00C124E0" w:rsidR="00B111CA" w:rsidP="001B0E05" w:rsidRDefault="00B111CA" w14:paraId="70A16A90" w14:textId="77777777">
            <w:pPr>
              <w:pStyle w:val="ListParagraph"/>
              <w:numPr>
                <w:ilvl w:val="0"/>
                <w:numId w:val="97"/>
              </w:numPr>
              <w:rPr>
                <w:sz w:val="16"/>
                <w:szCs w:val="16"/>
              </w:rPr>
            </w:pPr>
            <w:r w:rsidRPr="00C124E0">
              <w:rPr>
                <w:sz w:val="16"/>
                <w:szCs w:val="16"/>
              </w:rPr>
              <w:t>Mills RJ, Davies MW. Enteral iron supplementation in preterm and low birth weight infants. Cochrane Database of Systematic Reviews. 2012(3).</w:t>
            </w:r>
          </w:p>
          <w:p w:rsidRPr="00C124E0" w:rsidR="00B111CA" w:rsidP="001B0E05" w:rsidRDefault="00B111CA" w14:paraId="7B821157" w14:textId="77777777">
            <w:pPr>
              <w:pStyle w:val="ListParagraph"/>
              <w:numPr>
                <w:ilvl w:val="0"/>
                <w:numId w:val="97"/>
              </w:numPr>
              <w:rPr>
                <w:sz w:val="16"/>
                <w:szCs w:val="16"/>
              </w:rPr>
            </w:pPr>
            <w:r w:rsidRPr="00C124E0">
              <w:rPr>
                <w:sz w:val="16"/>
                <w:szCs w:val="16"/>
              </w:rPr>
              <w:t>Berglund S, Westrup B, Domell</w:t>
            </w:r>
            <w:r w:rsidRPr="00C124E0">
              <w:rPr>
                <w:rFonts w:cs="Calibri"/>
                <w:sz w:val="16"/>
                <w:szCs w:val="16"/>
              </w:rPr>
              <w:t>ö</w:t>
            </w:r>
            <w:r w:rsidRPr="00C124E0">
              <w:rPr>
                <w:sz w:val="16"/>
                <w:szCs w:val="16"/>
              </w:rPr>
              <w:t>f M. Iron supplements reduce the risk of iron deficiency anemia in marginally low birth weight infants. Pediatrics 2010;126:e874-83.</w:t>
            </w:r>
          </w:p>
          <w:p w:rsidRPr="00C124E0" w:rsidR="00B111CA" w:rsidP="001B0E05" w:rsidRDefault="00B111CA" w14:paraId="47E040B3" w14:textId="77777777">
            <w:pPr>
              <w:pStyle w:val="ListParagraph"/>
              <w:numPr>
                <w:ilvl w:val="0"/>
                <w:numId w:val="97"/>
              </w:numPr>
              <w:rPr>
                <w:sz w:val="16"/>
                <w:szCs w:val="16"/>
              </w:rPr>
            </w:pPr>
            <w:r w:rsidRPr="00C124E0">
              <w:rPr>
                <w:sz w:val="16"/>
                <w:szCs w:val="16"/>
              </w:rPr>
              <w:t xml:space="preserve">National blood authority, Australia. Paediatric and neonatal iron deficiency anaemia guide. December 2017. </w:t>
            </w:r>
            <w:hyperlink w:history="1" r:id="rId34">
              <w:r w:rsidRPr="00C124E0">
                <w:rPr>
                  <w:rStyle w:val="Hyperlink"/>
                  <w:sz w:val="16"/>
                  <w:szCs w:val="16"/>
                </w:rPr>
                <w:t>https://www.blood.gov.au/system/files/Paediatric-and-Neonatal-Iron-Deficiency-Anaemia-Guide-Final-Dec17.pdf</w:t>
              </w:r>
            </w:hyperlink>
          </w:p>
          <w:p w:rsidRPr="00C124E0" w:rsidR="00B111CA" w:rsidP="001B0E05" w:rsidRDefault="00B111CA" w14:paraId="011EE3E1" w14:textId="77777777">
            <w:pPr>
              <w:pStyle w:val="ListParagraph"/>
              <w:numPr>
                <w:ilvl w:val="0"/>
                <w:numId w:val="97"/>
              </w:numPr>
              <w:rPr>
                <w:sz w:val="16"/>
                <w:szCs w:val="16"/>
              </w:rPr>
            </w:pPr>
            <w:r w:rsidRPr="00C124E0">
              <w:rPr>
                <w:sz w:val="16"/>
                <w:szCs w:val="16"/>
              </w:rPr>
              <w:t>Agostoni C, Buonocore G, Carnielli VP et al for the ESPGHAN Committee on Nutrition. Enteral nutrient supply for preterm infants: Commentary from the European Society for Paediatric Gastroenterology, Hepatology and Nutrition Committee on Nutrition. Journal of Pediatric Gastroenterology and Nutrition 2010;50:1-9</w:t>
            </w:r>
          </w:p>
          <w:p w:rsidRPr="00C124E0" w:rsidR="00B111CA" w:rsidP="001B0E05" w:rsidRDefault="00B111CA" w14:paraId="1918E1D8" w14:textId="77777777">
            <w:pPr>
              <w:pStyle w:val="ListParagraph"/>
              <w:numPr>
                <w:ilvl w:val="0"/>
                <w:numId w:val="97"/>
              </w:numPr>
              <w:rPr>
                <w:sz w:val="16"/>
                <w:szCs w:val="16"/>
              </w:rPr>
            </w:pPr>
            <w:r w:rsidRPr="00C124E0">
              <w:rPr>
                <w:sz w:val="16"/>
                <w:szCs w:val="16"/>
              </w:rPr>
              <w:t>Messer J, Haddad J, Donato L, Astruc D, Matis J. Early treatment of premature infants with recombinant human erythropoietin. Pediatrics. 1993 Oct 1;92(4):519-23.</w:t>
            </w:r>
          </w:p>
          <w:p w:rsidRPr="00C124E0" w:rsidR="00B111CA" w:rsidP="001B0E05" w:rsidRDefault="00B111CA" w14:paraId="6A9CCA4C" w14:textId="77777777">
            <w:pPr>
              <w:pStyle w:val="ListParagraph"/>
              <w:numPr>
                <w:ilvl w:val="0"/>
                <w:numId w:val="97"/>
              </w:numPr>
              <w:rPr>
                <w:sz w:val="16"/>
                <w:szCs w:val="16"/>
              </w:rPr>
            </w:pPr>
            <w:r w:rsidRPr="00C124E0">
              <w:rPr>
                <w:sz w:val="16"/>
                <w:szCs w:val="16"/>
              </w:rPr>
              <w:t>Shannon KM, Keith JF, Mentzer WC, Ehrenkranz RA, Brown MS, Widness JA, Gleason CA, Bifano EM, Millard DD, Davis CB, Stevenson DK. Recombinant human erythropoietin stimulates erythropoiesis and reduces erythrocyte transfusions in very low birth weight preterm infants. Pediatrics. 1995 Jan 1;95(1):1-8.</w:t>
            </w:r>
          </w:p>
          <w:p w:rsidRPr="00C124E0" w:rsidR="00B111CA" w:rsidP="001B0E05" w:rsidRDefault="00B111CA" w14:paraId="1C09BF1C" w14:textId="77777777">
            <w:pPr>
              <w:pStyle w:val="ListParagraph"/>
              <w:numPr>
                <w:ilvl w:val="0"/>
                <w:numId w:val="97"/>
              </w:numPr>
              <w:rPr>
                <w:sz w:val="16"/>
                <w:szCs w:val="16"/>
              </w:rPr>
            </w:pPr>
            <w:r w:rsidRPr="00C124E0">
              <w:rPr>
                <w:sz w:val="16"/>
                <w:szCs w:val="16"/>
              </w:rPr>
              <w:t>Ohls RK, Harcum J, Schibler KR, Christensen RD. The effect of erythropoietin on the transfusion requirements of preterm infants weighing 750 grams or less: a randomized, double-blind, placebo-controlled study. J ped. 1997 Nov 1;131(5):661-5.</w:t>
            </w:r>
          </w:p>
          <w:p w:rsidRPr="00C124E0" w:rsidR="00B111CA" w:rsidP="001B0E05" w:rsidRDefault="00B111CA" w14:paraId="3CF549C6" w14:textId="77777777">
            <w:pPr>
              <w:pStyle w:val="ListParagraph"/>
              <w:numPr>
                <w:ilvl w:val="0"/>
                <w:numId w:val="97"/>
              </w:numPr>
              <w:rPr>
                <w:sz w:val="16"/>
                <w:szCs w:val="16"/>
              </w:rPr>
            </w:pPr>
            <w:r w:rsidRPr="00C124E0">
              <w:rPr>
                <w:sz w:val="16"/>
                <w:szCs w:val="16"/>
              </w:rPr>
              <w:t>Carnielli VP, Da Riol R, Montini G. Iron supplementation enhances response to high doses of recombinant human erythropoietin in preterm infants. Arch Dis Child Fetal Neonatal Ed 1998;79:F44-8.</w:t>
            </w:r>
          </w:p>
          <w:p w:rsidRPr="00C124E0" w:rsidR="00B111CA" w:rsidP="001B0E05" w:rsidRDefault="00B111CA" w14:paraId="291BF80A" w14:textId="77777777">
            <w:pPr>
              <w:pStyle w:val="ListParagraph"/>
              <w:numPr>
                <w:ilvl w:val="0"/>
                <w:numId w:val="97"/>
              </w:numPr>
              <w:rPr>
                <w:sz w:val="16"/>
                <w:szCs w:val="16"/>
              </w:rPr>
            </w:pPr>
            <w:r w:rsidRPr="00C124E0">
              <w:rPr>
                <w:sz w:val="16"/>
                <w:szCs w:val="16"/>
              </w:rPr>
              <w:t>Domellöf M, Szitanyi P, Simchowitz V, Franz A, Mimouni F, Braegger C, Bronsky J, Cai W, Campoy C, Carnielli V, Darmaun D. ESPGHAN/ESPEN/ESPR/CSPEN guidelines on pediatric parenteral nutrition: Iron and trace minerals. Clinical Nutrition. 2018 Dec 1;37(6):2354-9..</w:t>
            </w:r>
          </w:p>
          <w:p w:rsidRPr="00C124E0" w:rsidR="00B111CA" w:rsidP="001B0E05" w:rsidRDefault="00B111CA" w14:paraId="31075992" w14:textId="77777777">
            <w:pPr>
              <w:pStyle w:val="ListParagraph"/>
              <w:numPr>
                <w:ilvl w:val="0"/>
                <w:numId w:val="97"/>
              </w:numPr>
              <w:rPr>
                <w:sz w:val="16"/>
                <w:szCs w:val="16"/>
              </w:rPr>
            </w:pPr>
            <w:r w:rsidRPr="00C124E0">
              <w:rPr>
                <w:sz w:val="16"/>
                <w:szCs w:val="16"/>
              </w:rPr>
              <w:t>Martini A, Ravelli A, Di Fuccia G, Rosti V, Cazzola M, Barosi G. Intravenous iron therapy for severe anaemia in systemic-onset juvenile chronic arthritis. The Lancet. 1994 Oct 15;344(8929):1052-4.</w:t>
            </w:r>
          </w:p>
          <w:p w:rsidRPr="00C124E0" w:rsidR="00B111CA" w:rsidP="001B0E05" w:rsidRDefault="00B111CA" w14:paraId="020409E3" w14:textId="77777777">
            <w:pPr>
              <w:pStyle w:val="ListParagraph"/>
              <w:numPr>
                <w:ilvl w:val="0"/>
                <w:numId w:val="97"/>
              </w:numPr>
              <w:rPr>
                <w:sz w:val="16"/>
                <w:szCs w:val="16"/>
              </w:rPr>
            </w:pPr>
            <w:r w:rsidRPr="00C124E0">
              <w:rPr>
                <w:sz w:val="16"/>
                <w:szCs w:val="16"/>
              </w:rPr>
              <w:t xml:space="preserve">Ferrosig injection. Iron polymaltose complex. Product info. Accessed on 20 July 2020. </w:t>
            </w:r>
          </w:p>
          <w:p w:rsidRPr="00C124E0" w:rsidR="00B111CA" w:rsidP="001B0E05" w:rsidRDefault="00B111CA" w14:paraId="6FFC06C1" w14:textId="77777777">
            <w:pPr>
              <w:pStyle w:val="ListParagraph"/>
              <w:numPr>
                <w:ilvl w:val="0"/>
                <w:numId w:val="97"/>
              </w:numPr>
              <w:rPr>
                <w:sz w:val="16"/>
                <w:szCs w:val="16"/>
              </w:rPr>
            </w:pPr>
            <w:r w:rsidRPr="00C124E0">
              <w:rPr>
                <w:sz w:val="16"/>
                <w:szCs w:val="16"/>
              </w:rPr>
              <w:t>Rao R, Georgieff MK. Iron therapy for preterm infants. Clinics in perinatology. 2009 Mar 1;36(1):27-42.</w:t>
            </w:r>
          </w:p>
          <w:p w:rsidRPr="00C124E0" w:rsidR="00B111CA" w:rsidP="001B0E05" w:rsidRDefault="00B111CA" w14:paraId="329C0A49" w14:textId="77777777">
            <w:pPr>
              <w:pStyle w:val="ListParagraph"/>
              <w:numPr>
                <w:ilvl w:val="0"/>
                <w:numId w:val="97"/>
              </w:numPr>
              <w:rPr>
                <w:sz w:val="16"/>
                <w:szCs w:val="16"/>
              </w:rPr>
            </w:pPr>
            <w:r w:rsidRPr="00C124E0">
              <w:rPr>
                <w:sz w:val="16"/>
                <w:szCs w:val="16"/>
              </w:rPr>
              <w:t>Moreno-Fernandez J, Ochoa JJ, Latunde-Dada GO, Diaz-Castro J. Iron deficiency and iron homeostasis in low birth weight preterm infants: A systematic review. Nutrients. 2019 May;11(5):1090.</w:t>
            </w:r>
          </w:p>
          <w:p w:rsidRPr="00C124E0" w:rsidR="00B111CA" w:rsidP="001B0E05" w:rsidRDefault="00B111CA" w14:paraId="274359C7" w14:textId="77777777">
            <w:pPr>
              <w:pStyle w:val="ListParagraph"/>
              <w:numPr>
                <w:ilvl w:val="0"/>
                <w:numId w:val="97"/>
              </w:numPr>
              <w:rPr>
                <w:sz w:val="16"/>
                <w:szCs w:val="16"/>
              </w:rPr>
            </w:pPr>
            <w:r w:rsidRPr="00C124E0">
              <w:rPr>
                <w:sz w:val="16"/>
                <w:szCs w:val="16"/>
              </w:rPr>
              <w:t>Berglund SK, Westrup B, Hagglof B, Hernell O, Domell</w:t>
            </w:r>
            <w:r w:rsidRPr="00C124E0">
              <w:rPr>
                <w:rFonts w:cs="Calibri"/>
                <w:sz w:val="16"/>
                <w:szCs w:val="16"/>
              </w:rPr>
              <w:t>ö</w:t>
            </w:r>
            <w:r w:rsidRPr="00C124E0">
              <w:rPr>
                <w:sz w:val="16"/>
                <w:szCs w:val="16"/>
              </w:rPr>
              <w:t>f M. Effects of iron supplementation of LBW infants on cognition and behavior at 3 years. Pediatrics 2013;131:47-55.</w:t>
            </w:r>
          </w:p>
          <w:p w:rsidRPr="00C124E0" w:rsidR="00B111CA" w:rsidP="001B0E05" w:rsidRDefault="00B111CA" w14:paraId="5DD7F72A" w14:textId="77777777">
            <w:pPr>
              <w:pStyle w:val="ListParagraph"/>
              <w:numPr>
                <w:ilvl w:val="0"/>
                <w:numId w:val="97"/>
              </w:numPr>
              <w:rPr>
                <w:sz w:val="16"/>
                <w:szCs w:val="16"/>
              </w:rPr>
            </w:pPr>
            <w:r w:rsidRPr="00C124E0">
              <w:rPr>
                <w:sz w:val="16"/>
                <w:szCs w:val="16"/>
              </w:rPr>
              <w:t>Friel JK, et al. A randomised trial of two levels of iron supplementation and developmental outcome in low birth weight infants. J Pediatr 2001;139:254–60.</w:t>
            </w:r>
          </w:p>
          <w:p w:rsidRPr="00C124E0" w:rsidR="00B111CA" w:rsidP="001B0E05" w:rsidRDefault="00B111CA" w14:paraId="4131F839" w14:textId="77777777">
            <w:pPr>
              <w:pStyle w:val="ListParagraph"/>
              <w:numPr>
                <w:ilvl w:val="0"/>
                <w:numId w:val="97"/>
              </w:numPr>
              <w:rPr>
                <w:sz w:val="16"/>
                <w:szCs w:val="16"/>
              </w:rPr>
            </w:pPr>
            <w:r w:rsidRPr="00C124E0">
              <w:rPr>
                <w:sz w:val="16"/>
                <w:szCs w:val="16"/>
              </w:rPr>
              <w:t>Hall RT, Wheeler RE, Benson J, Harris G, Rippetoe L. Feeding iron-fortified premature formula during initial hospitalization to infants less than 1800 grams birth weight. Pediatrics 1993;92(3):409–414.</w:t>
            </w:r>
          </w:p>
          <w:p w:rsidRPr="00C124E0" w:rsidR="00B111CA" w:rsidP="001B0E05" w:rsidRDefault="00B111CA" w14:paraId="350C871D" w14:textId="77777777">
            <w:pPr>
              <w:pStyle w:val="ListParagraph"/>
              <w:numPr>
                <w:ilvl w:val="0"/>
                <w:numId w:val="97"/>
              </w:numPr>
              <w:rPr>
                <w:sz w:val="16"/>
                <w:szCs w:val="16"/>
              </w:rPr>
            </w:pPr>
            <w:r w:rsidRPr="00C124E0">
              <w:rPr>
                <w:sz w:val="16"/>
                <w:szCs w:val="16"/>
              </w:rPr>
              <w:t>Griffin IJ, Cooke RJ, Reid MM, McCormick KP, Smith JS. Iron nutritional status in preterm infants fed formulas fortified with iron. Arch Dis Child Fetal Neonatal Ed 1999;81(1):F45–49.</w:t>
            </w:r>
          </w:p>
          <w:p w:rsidRPr="00C124E0" w:rsidR="00B111CA" w:rsidP="001B0E05" w:rsidRDefault="00B111CA" w14:paraId="3CA8264C" w14:textId="77777777">
            <w:pPr>
              <w:pStyle w:val="ListParagraph"/>
              <w:numPr>
                <w:ilvl w:val="0"/>
                <w:numId w:val="97"/>
              </w:numPr>
              <w:rPr>
                <w:sz w:val="16"/>
                <w:szCs w:val="16"/>
              </w:rPr>
            </w:pPr>
            <w:r w:rsidRPr="00C124E0">
              <w:rPr>
                <w:sz w:val="16"/>
                <w:szCs w:val="16"/>
              </w:rPr>
              <w:t>Franz AR, MihatschWA, Sander S, et al. Prospective randomised trial of early versus late enteral iron supplementation in infants with a birth weight of less than 1301 grams. Pediatrics 2000;106:700–6.</w:t>
            </w:r>
          </w:p>
          <w:p w:rsidRPr="00C124E0" w:rsidR="00B111CA" w:rsidP="001B0E05" w:rsidRDefault="00B111CA" w14:paraId="19D20562" w14:textId="77777777">
            <w:pPr>
              <w:pStyle w:val="ListParagraph"/>
              <w:numPr>
                <w:ilvl w:val="0"/>
                <w:numId w:val="97"/>
              </w:numPr>
              <w:rPr>
                <w:sz w:val="16"/>
                <w:szCs w:val="16"/>
              </w:rPr>
            </w:pPr>
            <w:r w:rsidRPr="00C124E0">
              <w:rPr>
                <w:sz w:val="16"/>
                <w:szCs w:val="16"/>
              </w:rPr>
              <w:t>Domellöf M, Braegger C, Campoy C, Colomb V, Decsi T, Fewtrell M, Hojsak I, Mihatsch W, Molgaard C, Shamir R, Turck D. Iron requirements of infants and toddlers. Journal of pediatric gastroenterology and nutrition. 2014 Jan 1;58(1):119-29.</w:t>
            </w:r>
          </w:p>
          <w:p w:rsidRPr="00C124E0" w:rsidR="00B111CA" w:rsidP="001B0E05" w:rsidRDefault="00B111CA" w14:paraId="292536ED" w14:textId="77777777">
            <w:pPr>
              <w:pStyle w:val="ListParagraph"/>
              <w:numPr>
                <w:ilvl w:val="0"/>
                <w:numId w:val="97"/>
              </w:numPr>
              <w:rPr>
                <w:sz w:val="16"/>
                <w:szCs w:val="16"/>
              </w:rPr>
            </w:pPr>
            <w:r w:rsidRPr="00C124E0">
              <w:rPr>
                <w:sz w:val="16"/>
                <w:szCs w:val="16"/>
              </w:rPr>
              <w:t>Siddappa AM, Rao R, Long JD, Widness JA, Georgieff MK. The assessment of newborn iron stores at birth: a review of the literature and standards for ferritin concentrations. Neonatology. 2007;92(2):73-82.</w:t>
            </w:r>
          </w:p>
          <w:p w:rsidRPr="00C124E0" w:rsidR="00B111CA" w:rsidP="001B0E05" w:rsidRDefault="00B111CA" w14:paraId="13B8F007" w14:textId="77777777">
            <w:pPr>
              <w:pStyle w:val="ListParagraph"/>
              <w:numPr>
                <w:ilvl w:val="0"/>
                <w:numId w:val="97"/>
              </w:numPr>
              <w:rPr>
                <w:sz w:val="16"/>
                <w:szCs w:val="16"/>
              </w:rPr>
            </w:pPr>
            <w:r w:rsidRPr="00C124E0">
              <w:rPr>
                <w:sz w:val="16"/>
                <w:szCs w:val="16"/>
              </w:rPr>
              <w:lastRenderedPageBreak/>
              <w:t>Berger HM, Lindeman JH, van Zoeren-Grobben D, Hudkamp E, Kanhai HH, Schrijver J. Iron overload, free radical damage, and rhesus haemolytic disease. The Lancet. 1990 Apr 21;335(8695):933-6.</w:t>
            </w:r>
          </w:p>
          <w:p w:rsidRPr="00C124E0" w:rsidR="00B111CA" w:rsidP="001B0E05" w:rsidRDefault="00B111CA" w14:paraId="38DCEC6C" w14:textId="77777777">
            <w:pPr>
              <w:pStyle w:val="ListParagraph"/>
              <w:numPr>
                <w:ilvl w:val="0"/>
                <w:numId w:val="97"/>
              </w:numPr>
              <w:rPr>
                <w:sz w:val="16"/>
                <w:szCs w:val="16"/>
              </w:rPr>
            </w:pPr>
            <w:r w:rsidRPr="00C124E0">
              <w:rPr>
                <w:sz w:val="16"/>
                <w:szCs w:val="16"/>
              </w:rPr>
              <w:t>Caglar MK, Kollee LA. Determination of serum ferritin in the evaluation of iron depletion and iron over load in chronic twin-to-twin transfusion syndrome. Journal of perinatal medicine. 1989;17(5):357.</w:t>
            </w:r>
          </w:p>
          <w:p w:rsidRPr="00C124E0" w:rsidR="00B111CA" w:rsidP="001B0E05" w:rsidRDefault="00B111CA" w14:paraId="0E66C7B3" w14:textId="77777777">
            <w:pPr>
              <w:pStyle w:val="ListParagraph"/>
              <w:numPr>
                <w:ilvl w:val="0"/>
                <w:numId w:val="97"/>
              </w:numPr>
              <w:rPr>
                <w:sz w:val="16"/>
                <w:szCs w:val="16"/>
              </w:rPr>
            </w:pPr>
            <w:r w:rsidRPr="00C124E0">
              <w:rPr>
                <w:sz w:val="16"/>
                <w:szCs w:val="16"/>
              </w:rPr>
              <w:t>Arad I, Konijn AM, Linder N, Goldstein M, Kaufmann NA. Serum ferritin levels in preterm infants after multiple blood transfusions. American journal of perinatology. 1988 Jan;5(01):40-3.</w:t>
            </w:r>
          </w:p>
          <w:p w:rsidRPr="00C124E0" w:rsidR="00B111CA" w:rsidP="001B0E05" w:rsidRDefault="00B111CA" w14:paraId="1807D70D" w14:textId="77777777">
            <w:pPr>
              <w:pStyle w:val="ListParagraph"/>
              <w:numPr>
                <w:ilvl w:val="0"/>
                <w:numId w:val="97"/>
              </w:numPr>
              <w:rPr>
                <w:sz w:val="16"/>
                <w:szCs w:val="16"/>
              </w:rPr>
            </w:pPr>
            <w:r w:rsidRPr="00C124E0">
              <w:rPr>
                <w:sz w:val="16"/>
                <w:szCs w:val="16"/>
              </w:rPr>
              <w:t>Lundström U, Siimes MA, Dallman PR. At what age does iron supplementation become necessary in low-birth-weight infants? The Journal of pediatrics. 1977 Dec 1;91(6):878-83.</w:t>
            </w:r>
          </w:p>
          <w:p w:rsidRPr="00C124E0" w:rsidR="00B111CA" w:rsidP="001B0E05" w:rsidRDefault="00B111CA" w14:paraId="7FD1C9F6" w14:textId="77777777">
            <w:pPr>
              <w:pStyle w:val="ListParagraph"/>
              <w:numPr>
                <w:ilvl w:val="0"/>
                <w:numId w:val="97"/>
              </w:numPr>
              <w:rPr>
                <w:sz w:val="16"/>
                <w:szCs w:val="16"/>
              </w:rPr>
            </w:pPr>
            <w:r w:rsidRPr="00C124E0">
              <w:rPr>
                <w:sz w:val="16"/>
                <w:szCs w:val="16"/>
              </w:rPr>
              <w:t>Romagnoli C, Zecca E, Gallini F, Girlando P, Zuppa AA. Do recombinant human erythropoietin and iron supplementation increase the risk of retinopathy of prematurity? European journal of pediatrics. 2000 Jul 1;159(8):627.</w:t>
            </w:r>
          </w:p>
          <w:p w:rsidRPr="00C124E0" w:rsidR="00B111CA" w:rsidP="001B0E05" w:rsidRDefault="00B111CA" w14:paraId="2E3DE412" w14:textId="77777777">
            <w:pPr>
              <w:pStyle w:val="ListParagraph"/>
              <w:numPr>
                <w:ilvl w:val="0"/>
                <w:numId w:val="97"/>
              </w:numPr>
              <w:rPr>
                <w:sz w:val="16"/>
                <w:szCs w:val="16"/>
              </w:rPr>
            </w:pPr>
            <w:r w:rsidRPr="00C124E0">
              <w:rPr>
                <w:sz w:val="16"/>
                <w:szCs w:val="16"/>
              </w:rPr>
              <w:t>Park SH, Kim HM. The iron status of very low birth weight infants receiving multiple erythrocyte transfusions during hospitalization in the neonatal intensive care unit. Pediatric gastroenterology, hepatology &amp; nutrition. 2015 Jun 1;18(2):100-7.</w:t>
            </w:r>
          </w:p>
          <w:p w:rsidRPr="00C124E0" w:rsidR="00B111CA" w:rsidP="001B0E05" w:rsidRDefault="00B111CA" w14:paraId="17634A34" w14:textId="77777777">
            <w:pPr>
              <w:pStyle w:val="ListParagraph"/>
              <w:numPr>
                <w:ilvl w:val="0"/>
                <w:numId w:val="97"/>
              </w:numPr>
              <w:rPr>
                <w:sz w:val="16"/>
                <w:szCs w:val="16"/>
              </w:rPr>
            </w:pPr>
            <w:r w:rsidRPr="00C124E0">
              <w:rPr>
                <w:sz w:val="16"/>
                <w:szCs w:val="16"/>
              </w:rPr>
              <w:t>Winzerling JJ, Kling PJ. Iron-deficient erythropoiesis in premature infants measured by blood zinc protoporphyrin/heme. The Journal of pediatrics. 2001 Jul 1;139(1):134-6.</w:t>
            </w:r>
          </w:p>
          <w:p w:rsidRPr="00C124E0" w:rsidR="00B111CA" w:rsidP="001B0E05" w:rsidRDefault="00B111CA" w14:paraId="57226131" w14:textId="77777777">
            <w:pPr>
              <w:pStyle w:val="ListParagraph"/>
              <w:numPr>
                <w:ilvl w:val="0"/>
                <w:numId w:val="97"/>
              </w:numPr>
              <w:rPr>
                <w:sz w:val="16"/>
                <w:szCs w:val="16"/>
              </w:rPr>
            </w:pPr>
            <w:r w:rsidRPr="00C124E0">
              <w:rPr>
                <w:sz w:val="16"/>
                <w:szCs w:val="16"/>
              </w:rPr>
              <w:t>Baker RD, Greer FR. Clinical Report—Diagnosis and prevention of iron deficiency and iron-deficiency anemia in infants and young children (0–3 years of age). Pediatrics. 2010 Sep 29:peds-2010.</w:t>
            </w:r>
          </w:p>
          <w:p w:rsidRPr="00C124E0" w:rsidR="00B111CA" w:rsidP="001B0E05" w:rsidRDefault="00B111CA" w14:paraId="5CF76665" w14:textId="77777777">
            <w:pPr>
              <w:pStyle w:val="ListParagraph"/>
              <w:numPr>
                <w:ilvl w:val="0"/>
                <w:numId w:val="97"/>
              </w:numPr>
              <w:rPr>
                <w:sz w:val="16"/>
                <w:szCs w:val="16"/>
              </w:rPr>
            </w:pPr>
            <w:r w:rsidRPr="00C124E0">
              <w:rPr>
                <w:sz w:val="16"/>
                <w:szCs w:val="16"/>
              </w:rPr>
              <w:t>James BE, Hendry PG, MacMahon RA. Total parenteral nutrition of premature infants. 2. Requirement for micronutrient elements. Aust Paediatr J 1979;15:67–71.</w:t>
            </w:r>
          </w:p>
          <w:p w:rsidRPr="00C124E0" w:rsidR="00B111CA" w:rsidP="001B0E05" w:rsidRDefault="00B111CA" w14:paraId="1A20297A" w14:textId="77777777">
            <w:pPr>
              <w:pStyle w:val="ListParagraph"/>
              <w:numPr>
                <w:ilvl w:val="0"/>
                <w:numId w:val="97"/>
              </w:numPr>
              <w:rPr>
                <w:sz w:val="16"/>
                <w:szCs w:val="16"/>
              </w:rPr>
            </w:pPr>
            <w:r w:rsidRPr="00C124E0">
              <w:rPr>
                <w:sz w:val="16"/>
                <w:szCs w:val="16"/>
              </w:rPr>
              <w:t>Friel JK, Andrews WL, Hall MS, et al. Intravenous iron administration to very-low-birth-weight newborns receiving total and partial parenteral nutrition. JPEN J Parenter Enteral Nutr 1995;19:114–8.</w:t>
            </w:r>
          </w:p>
          <w:p w:rsidRPr="00C124E0" w:rsidR="00B111CA" w:rsidP="001B0E05" w:rsidRDefault="00B111CA" w14:paraId="5EE3FFAA" w14:textId="77777777">
            <w:pPr>
              <w:pStyle w:val="ListParagraph"/>
              <w:numPr>
                <w:ilvl w:val="0"/>
                <w:numId w:val="97"/>
              </w:numPr>
              <w:rPr>
                <w:sz w:val="16"/>
                <w:szCs w:val="16"/>
              </w:rPr>
            </w:pPr>
            <w:r w:rsidRPr="00C124E0">
              <w:rPr>
                <w:sz w:val="16"/>
                <w:szCs w:val="16"/>
              </w:rPr>
              <w:t>Meyer MP, Haworth C, Meyer JH, Commerford A. A comparison of oral and intravenous iron supplementation in preterm infants receiving recombinant erythropoietin. The Journal of pediatrics. 1996 Aug 1;129(2):258-63.</w:t>
            </w:r>
          </w:p>
          <w:p w:rsidRPr="00C124E0" w:rsidR="00B111CA" w:rsidP="001B0E05" w:rsidRDefault="00B111CA" w14:paraId="6BD40E7F" w14:textId="77777777">
            <w:pPr>
              <w:pStyle w:val="ListParagraph"/>
              <w:numPr>
                <w:ilvl w:val="0"/>
                <w:numId w:val="97"/>
              </w:numPr>
              <w:rPr>
                <w:sz w:val="16"/>
                <w:szCs w:val="16"/>
              </w:rPr>
            </w:pPr>
            <w:r w:rsidRPr="00C124E0">
              <w:rPr>
                <w:sz w:val="16"/>
                <w:szCs w:val="16"/>
              </w:rPr>
              <w:t>Pollak A, Hayde M, Hayn M, et al. Effect of intravenous iron supplementation on erythropoiesis in erythropoietin-treated premature infants. Pediatrics 2001;107:78–85.</w:t>
            </w:r>
          </w:p>
          <w:p w:rsidRPr="00C124E0" w:rsidR="00B111CA" w:rsidP="001B0E05" w:rsidRDefault="00B111CA" w14:paraId="413D1400" w14:textId="77777777">
            <w:pPr>
              <w:pStyle w:val="ListParagraph"/>
              <w:numPr>
                <w:ilvl w:val="0"/>
                <w:numId w:val="97"/>
              </w:numPr>
              <w:rPr>
                <w:sz w:val="16"/>
                <w:szCs w:val="16"/>
              </w:rPr>
            </w:pPr>
            <w:r w:rsidRPr="00C124E0">
              <w:rPr>
                <w:sz w:val="16"/>
                <w:szCs w:val="16"/>
              </w:rPr>
              <w:t>Surico G, Muggeo P, Muggeo V, Lucarelli A, Martucci T, Daniele R, Rigillo N. Parenteral iron supplementation for the treatment of iron deficiency anemia in children. Annals of hematology. 2002 Mar 1;81(3):154-7.</w:t>
            </w:r>
          </w:p>
          <w:p w:rsidRPr="00C124E0" w:rsidR="00B111CA" w:rsidP="001B0E05" w:rsidRDefault="00B111CA" w14:paraId="5F351333" w14:textId="77777777">
            <w:pPr>
              <w:pStyle w:val="ListParagraph"/>
              <w:numPr>
                <w:ilvl w:val="0"/>
                <w:numId w:val="97"/>
              </w:numPr>
              <w:rPr>
                <w:sz w:val="16"/>
                <w:szCs w:val="16"/>
              </w:rPr>
            </w:pPr>
            <w:r w:rsidRPr="00C124E0">
              <w:rPr>
                <w:sz w:val="16"/>
                <w:szCs w:val="16"/>
              </w:rPr>
              <w:t>Ng PC, Lam CW, Lee CH, To KF, Fok TF, Chan IH, Wong E. Hepatic iron storage in very low birthweight infants after multiple blood transfusions. Archives of Disease in Childhood-Fetal and Neonatal Edition. 2001 Mar 1;84(2):F101-5.</w:t>
            </w:r>
          </w:p>
          <w:p w:rsidRPr="00C124E0" w:rsidR="00B111CA" w:rsidP="001B0E05" w:rsidRDefault="00B111CA" w14:paraId="122E6525" w14:textId="77777777">
            <w:pPr>
              <w:pStyle w:val="ListParagraph"/>
              <w:numPr>
                <w:ilvl w:val="0"/>
                <w:numId w:val="97"/>
              </w:numPr>
              <w:rPr>
                <w:sz w:val="16"/>
                <w:szCs w:val="16"/>
              </w:rPr>
            </w:pPr>
            <w:r w:rsidRPr="00C124E0">
              <w:rPr>
                <w:sz w:val="16"/>
                <w:szCs w:val="16"/>
              </w:rPr>
              <w:t>Maier RF, Obladen M, Scigalla P, Linderkamp O, Duc G, Hieronimi G, Halliday HL, Versmold HT, Moriette G, Jorch G, Verellen G. The effect of epoetin beta (recombinant human erythropoietin) on the need for transfusion in very-low-birth-weight infants. New England Journal of Medicine. 1994 Apr 28;330(17):1173-8.</w:t>
            </w:r>
          </w:p>
          <w:p w:rsidRPr="00C124E0" w:rsidR="00B111CA" w:rsidP="001B0E05" w:rsidRDefault="00B111CA" w14:paraId="18EAF936" w14:textId="77777777">
            <w:pPr>
              <w:pStyle w:val="ListParagraph"/>
              <w:numPr>
                <w:ilvl w:val="0"/>
                <w:numId w:val="97"/>
              </w:numPr>
              <w:rPr>
                <w:sz w:val="16"/>
                <w:szCs w:val="16"/>
              </w:rPr>
            </w:pPr>
            <w:r w:rsidRPr="00C124E0">
              <w:rPr>
                <w:sz w:val="16"/>
                <w:szCs w:val="16"/>
              </w:rPr>
              <w:t>Emmerson AJ, Coles HJ, Stern CM, Pearson TC. Double blind trial of recombinant human erythropoietin in preterm infants. Archives of disease in childhood. 1993 Mar 1;68(3 Spec No):291-6.</w:t>
            </w:r>
          </w:p>
          <w:p w:rsidRPr="00C124E0" w:rsidR="00B111CA" w:rsidP="001B0E05" w:rsidRDefault="00B111CA" w14:paraId="09674C03" w14:textId="77777777">
            <w:pPr>
              <w:pStyle w:val="ListParagraph"/>
              <w:numPr>
                <w:ilvl w:val="0"/>
                <w:numId w:val="97"/>
              </w:numPr>
              <w:rPr>
                <w:sz w:val="16"/>
                <w:szCs w:val="16"/>
              </w:rPr>
            </w:pPr>
            <w:r w:rsidRPr="00C124E0">
              <w:rPr>
                <w:sz w:val="16"/>
                <w:szCs w:val="16"/>
              </w:rPr>
              <w:t>Shannon KM, Keith JF, Mentzer WC, Ehrenkranz RA, Brown MS, Widness JA, Gleason CA, Bifano EM, Millard DD, Davis CB, Stevenson DK. Recombinant human erythropoietin stimulates erythropoiesis and reduces erythrocyte transfusions in very low birth weight preterm infants. Pediatrics. 1995 Jan 1;95(1):1-8.</w:t>
            </w:r>
          </w:p>
          <w:p w:rsidRPr="00C124E0" w:rsidR="00B111CA" w:rsidP="001B0E05" w:rsidRDefault="00B111CA" w14:paraId="5ADBB5D4" w14:textId="77777777">
            <w:pPr>
              <w:pStyle w:val="ListParagraph"/>
              <w:numPr>
                <w:ilvl w:val="0"/>
                <w:numId w:val="97"/>
              </w:numPr>
              <w:rPr>
                <w:sz w:val="16"/>
                <w:szCs w:val="16"/>
              </w:rPr>
            </w:pPr>
            <w:r w:rsidRPr="00C124E0">
              <w:rPr>
                <w:sz w:val="16"/>
                <w:szCs w:val="16"/>
              </w:rPr>
              <w:t>Brown MS. Effect of transfusion and phlebotomy on serum ferritin levels in low birth weight infants. Journal of Perinatology 1996;16:39-42.</w:t>
            </w:r>
          </w:p>
          <w:p w:rsidRPr="00C124E0" w:rsidR="00B111CA" w:rsidP="001B0E05" w:rsidRDefault="00B111CA" w14:paraId="39DB5C55" w14:textId="77777777">
            <w:pPr>
              <w:pStyle w:val="ListParagraph"/>
              <w:numPr>
                <w:ilvl w:val="0"/>
                <w:numId w:val="97"/>
              </w:numPr>
              <w:rPr>
                <w:sz w:val="16"/>
                <w:szCs w:val="16"/>
              </w:rPr>
            </w:pPr>
            <w:r w:rsidRPr="00C124E0">
              <w:rPr>
                <w:sz w:val="16"/>
                <w:szCs w:val="16"/>
              </w:rPr>
              <w:t>Lonnerdal B. Excess iron intake as a factor in growth, infections, and development of infants and young children. Am J Clin Nutr. 2017;106(suppl 6): 1681s–1687s.</w:t>
            </w:r>
          </w:p>
          <w:p w:rsidRPr="00C124E0" w:rsidR="00B111CA" w:rsidP="001B0E05" w:rsidRDefault="00B111CA" w14:paraId="2F720C4F" w14:textId="77777777">
            <w:pPr>
              <w:pStyle w:val="ListParagraph"/>
              <w:numPr>
                <w:ilvl w:val="0"/>
                <w:numId w:val="97"/>
              </w:numPr>
              <w:rPr>
                <w:sz w:val="16"/>
                <w:szCs w:val="16"/>
              </w:rPr>
            </w:pPr>
            <w:r w:rsidRPr="00C124E0">
              <w:rPr>
                <w:sz w:val="16"/>
                <w:szCs w:val="16"/>
              </w:rPr>
              <w:t>Paganini D, Zimmermann MB. The effects of iron fortification and supplementation on the gut microbiome and diarrhea in infants and children: a review. Am J Clin Nutr. 2017;106(suppl 6): 1688s–1693s.</w:t>
            </w:r>
          </w:p>
          <w:p w:rsidRPr="00C124E0" w:rsidR="00B111CA" w:rsidP="001B0E05" w:rsidRDefault="00B111CA" w14:paraId="454F0DF6" w14:textId="77777777">
            <w:pPr>
              <w:pStyle w:val="ListParagraph"/>
              <w:numPr>
                <w:ilvl w:val="0"/>
                <w:numId w:val="97"/>
              </w:numPr>
              <w:rPr>
                <w:sz w:val="16"/>
                <w:szCs w:val="16"/>
              </w:rPr>
            </w:pPr>
            <w:r w:rsidRPr="00C124E0">
              <w:rPr>
                <w:sz w:val="16"/>
                <w:szCs w:val="16"/>
              </w:rPr>
              <w:t>Oppenheimer SJ. Iron and its relation to immunity and infectious disease. J Nutr 2001; 131:616S–633S.</w:t>
            </w:r>
          </w:p>
          <w:p w:rsidRPr="00C124E0" w:rsidR="00B111CA" w:rsidP="001B0E05" w:rsidRDefault="00B111CA" w14:paraId="04D7795A" w14:textId="77777777">
            <w:pPr>
              <w:pStyle w:val="ListParagraph"/>
              <w:numPr>
                <w:ilvl w:val="0"/>
                <w:numId w:val="97"/>
              </w:numPr>
              <w:rPr>
                <w:sz w:val="16"/>
                <w:szCs w:val="16"/>
              </w:rPr>
            </w:pPr>
            <w:r w:rsidRPr="00C124E0">
              <w:rPr>
                <w:sz w:val="16"/>
                <w:szCs w:val="16"/>
              </w:rPr>
              <w:t>Yang Z, Lönnerdal BO, Adu-Afarwuah S, Brown KH, Chaparro CM, Cohen RJ, Domellöf M, Hernell O, Lartey A, Dewey KG. Prevalence and predictors of iron deficiency in fully breastfed infants at 6 mo of age: comparison of data from 6 studies. The American journal of clinical nutrition. 2009 May 1;89(5):1433-40.</w:t>
            </w:r>
          </w:p>
        </w:tc>
      </w:tr>
    </w:tbl>
    <w:p w:rsidR="003D3CEF" w:rsidP="006F0321" w:rsidRDefault="003D3CEF" w14:paraId="36BBCA35" w14:textId="77777777">
      <w:pPr>
        <w:rPr>
          <w:lang w:val="en-AU"/>
        </w:rPr>
      </w:pPr>
    </w:p>
    <w:p w:rsidRPr="00E25790" w:rsidR="00B111CA" w:rsidP="006F0321" w:rsidRDefault="00B111CA" w14:paraId="1923C7C3" w14:textId="77777777">
      <w:pPr>
        <w:rPr>
          <w:lang w:val="en-AU"/>
        </w:rPr>
      </w:pPr>
    </w:p>
    <w:tbl>
      <w:tblPr>
        <w:tblW w:w="836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19"/>
        <w:gridCol w:w="5245"/>
      </w:tblGrid>
      <w:tr w:rsidRPr="00E25790" w:rsidR="00E424B4" w:rsidTr="003D3CEF" w14:paraId="6CA86F0B" w14:textId="77777777">
        <w:tc>
          <w:tcPr>
            <w:tcW w:w="3119" w:type="dxa"/>
            <w:vAlign w:val="center"/>
          </w:tcPr>
          <w:p w:rsidRPr="00E25790" w:rsidR="003D3CEF" w:rsidP="006F0321" w:rsidRDefault="003D3CEF" w14:paraId="5D492CDE" w14:textId="77777777">
            <w:pPr>
              <w:rPr>
                <w:lang w:val="en-AU"/>
              </w:rPr>
            </w:pPr>
            <w:r w:rsidRPr="00E25790">
              <w:rPr>
                <w:lang w:val="en-AU"/>
              </w:rPr>
              <w:t>Original version Date: 08/08/2015</w:t>
            </w:r>
          </w:p>
        </w:tc>
        <w:tc>
          <w:tcPr>
            <w:tcW w:w="5245" w:type="dxa"/>
            <w:vAlign w:val="center"/>
          </w:tcPr>
          <w:p w:rsidRPr="00E25790" w:rsidR="003D3CEF" w:rsidP="006F0321" w:rsidRDefault="003D3CEF" w14:paraId="5B4B23C7" w14:textId="77777777">
            <w:pPr>
              <w:rPr>
                <w:lang w:val="en-AU"/>
              </w:rPr>
            </w:pPr>
            <w:r w:rsidRPr="00E25790">
              <w:rPr>
                <w:lang w:val="en-AU"/>
              </w:rPr>
              <w:t>Author: NeoMed Consensus Group</w:t>
            </w:r>
          </w:p>
        </w:tc>
      </w:tr>
      <w:tr w:rsidRPr="00E25790" w:rsidR="00E424B4" w:rsidTr="003D3CEF" w14:paraId="5C586B60" w14:textId="77777777">
        <w:tc>
          <w:tcPr>
            <w:tcW w:w="3119" w:type="dxa"/>
            <w:vAlign w:val="center"/>
          </w:tcPr>
          <w:p w:rsidRPr="00E25790" w:rsidR="003D3CEF" w:rsidP="006F0321" w:rsidRDefault="003D3CEF" w14:paraId="14B8EC77" w14:textId="77777777">
            <w:pPr>
              <w:rPr>
                <w:bCs/>
                <w:lang w:val="en-AU"/>
              </w:rPr>
            </w:pPr>
            <w:r w:rsidRPr="00E25790">
              <w:rPr>
                <w:lang w:val="en-AU"/>
              </w:rPr>
              <w:t>Current Version number:  1</w:t>
            </w:r>
          </w:p>
        </w:tc>
        <w:tc>
          <w:tcPr>
            <w:tcW w:w="5245" w:type="dxa"/>
            <w:vAlign w:val="center"/>
          </w:tcPr>
          <w:p w:rsidRPr="00E25790" w:rsidR="003D3CEF" w:rsidP="006F0321" w:rsidRDefault="003D3CEF" w14:paraId="15544143" w14:textId="77777777">
            <w:pPr>
              <w:rPr>
                <w:lang w:val="en-AU"/>
              </w:rPr>
            </w:pPr>
            <w:r w:rsidRPr="00E25790">
              <w:rPr>
                <w:lang w:val="en-AU"/>
              </w:rPr>
              <w:t>TCH Version Date:  08/10/2017</w:t>
            </w:r>
          </w:p>
        </w:tc>
      </w:tr>
      <w:tr w:rsidRPr="00E25790" w:rsidR="00E424B4" w:rsidTr="003D3CEF" w14:paraId="29FE867F" w14:textId="77777777">
        <w:tc>
          <w:tcPr>
            <w:tcW w:w="3119" w:type="dxa"/>
            <w:vAlign w:val="center"/>
          </w:tcPr>
          <w:p w:rsidRPr="00E25790" w:rsidR="003D3CEF" w:rsidP="006F0321" w:rsidRDefault="003D3CEF" w14:paraId="471C1904" w14:textId="77777777">
            <w:pPr>
              <w:rPr>
                <w:lang w:val="en-AU"/>
              </w:rPr>
            </w:pPr>
            <w:r w:rsidRPr="00E25790">
              <w:rPr>
                <w:lang w:val="en-AU"/>
              </w:rPr>
              <w:t>Risk Rating: Medium</w:t>
            </w:r>
          </w:p>
        </w:tc>
        <w:tc>
          <w:tcPr>
            <w:tcW w:w="5245" w:type="dxa"/>
            <w:vAlign w:val="center"/>
          </w:tcPr>
          <w:p w:rsidRPr="00E25790" w:rsidR="003D3CEF" w:rsidP="006F0321" w:rsidRDefault="003D3CEF" w14:paraId="1BF891D0" w14:textId="77777777">
            <w:pPr>
              <w:rPr>
                <w:lang w:val="en-AU"/>
              </w:rPr>
            </w:pPr>
            <w:r w:rsidRPr="00E25790">
              <w:rPr>
                <w:lang w:val="en-AU"/>
              </w:rPr>
              <w:t>Due for Review:  8/10/2020</w:t>
            </w:r>
          </w:p>
        </w:tc>
      </w:tr>
      <w:tr w:rsidRPr="00E25790" w:rsidR="00E424B4" w:rsidTr="003D3CEF" w14:paraId="75BC98CA" w14:textId="77777777">
        <w:trPr>
          <w:trHeight w:val="344"/>
        </w:trPr>
        <w:tc>
          <w:tcPr>
            <w:tcW w:w="3119" w:type="dxa"/>
            <w:tcBorders>
              <w:bottom w:val="single" w:color="auto" w:sz="4" w:space="0"/>
            </w:tcBorders>
            <w:vAlign w:val="center"/>
          </w:tcPr>
          <w:p w:rsidRPr="00E25790" w:rsidR="003D3CEF" w:rsidP="006F0321" w:rsidRDefault="003D3CEF" w14:paraId="247A76E0" w14:textId="77777777">
            <w:pPr>
              <w:rPr>
                <w:lang w:val="en-AU"/>
              </w:rPr>
            </w:pPr>
            <w:r w:rsidRPr="00E25790">
              <w:rPr>
                <w:lang w:val="en-AU"/>
              </w:rPr>
              <w:t>Approval by: DTC</w:t>
            </w:r>
          </w:p>
        </w:tc>
        <w:tc>
          <w:tcPr>
            <w:tcW w:w="5245" w:type="dxa"/>
            <w:tcBorders>
              <w:bottom w:val="single" w:color="auto" w:sz="4" w:space="0"/>
            </w:tcBorders>
            <w:vAlign w:val="center"/>
          </w:tcPr>
          <w:p w:rsidRPr="00E25790" w:rsidR="003D3CEF" w:rsidP="006F0321" w:rsidRDefault="003D3CEF" w14:paraId="092F46D2" w14:textId="77777777">
            <w:pPr>
              <w:rPr>
                <w:lang w:val="en-AU"/>
              </w:rPr>
            </w:pPr>
            <w:r w:rsidRPr="00E25790">
              <w:rPr>
                <w:lang w:val="en-AU"/>
              </w:rPr>
              <w:t>Approval Date: 28/11/2017</w:t>
            </w:r>
          </w:p>
        </w:tc>
      </w:tr>
    </w:tbl>
    <w:p w:rsidRPr="00E25790" w:rsidR="003D3CEF" w:rsidP="006F0321" w:rsidRDefault="003D3CEF" w14:paraId="5F3E678E" w14:textId="77777777"/>
    <w:p w:rsidR="00115F48" w:rsidP="006F0321" w:rsidRDefault="00115F48" w14:paraId="78179B42" w14:textId="77777777"/>
    <w:p w:rsidR="00A95DCE" w:rsidP="006F0321" w:rsidRDefault="00A95DCE" w14:paraId="3CAC29AA" w14:textId="77777777"/>
    <w:p w:rsidR="00A95DCE" w:rsidP="006F0321" w:rsidRDefault="00A95DCE" w14:paraId="33C72DCF" w14:textId="77777777"/>
    <w:p w:rsidR="006E2EED" w:rsidRDefault="006E2EED" w14:paraId="7B3529E0" w14:textId="77777777">
      <w:bookmarkStart w:name="_Toc495481106" w:id="231"/>
      <w:bookmarkStart w:name="_Toc495481232" w:id="232"/>
      <w:bookmarkStart w:name="_Toc495481357" w:id="233"/>
      <w:bookmarkStart w:name="_Toc495501538" w:id="234"/>
      <w:bookmarkStart w:name="_Toc38106844" w:id="235"/>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EC6FC6" w14:paraId="7476C17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419461BF" w14:textId="77777777">
            <w:pPr>
              <w:pStyle w:val="Heading1"/>
            </w:pPr>
            <w:bookmarkStart w:name="_Toc75339970" w:id="236"/>
            <w:r w:rsidRPr="00E25790">
              <w:lastRenderedPageBreak/>
              <w:t>Flecainide</w:t>
            </w:r>
            <w:bookmarkEnd w:id="231"/>
            <w:bookmarkEnd w:id="232"/>
            <w:bookmarkEnd w:id="233"/>
            <w:bookmarkEnd w:id="234"/>
            <w:bookmarkEnd w:id="235"/>
            <w:bookmarkEnd w:id="236"/>
            <w:r w:rsidRPr="00E25790">
              <w:fldChar w:fldCharType="begin"/>
            </w:r>
            <w:r w:rsidRPr="00E25790">
              <w:instrText>tc "Flecainide" \l 0</w:instrText>
            </w:r>
            <w:r w:rsidRPr="00E25790">
              <w:fldChar w:fldCharType="end"/>
            </w:r>
          </w:p>
        </w:tc>
      </w:tr>
      <w:tr w:rsidRPr="00E25790" w:rsidR="00115F48" w:rsidTr="00EC6FC6" w14:paraId="3361192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AE8CD59" w14:textId="23F2F164">
            <w:r w:rsidRPr="00E25790">
              <w:t xml:space="preserve">Revision Date : </w:t>
            </w:r>
            <w:r w:rsidR="0034627F">
              <w:t>12-01-2021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201A7E04" w14:textId="5C63072E">
            <w:r w:rsidRPr="00E25790">
              <w:t xml:space="preserve">Approved : </w:t>
            </w:r>
            <w:r w:rsidR="00572046">
              <w:t>TC, KOH</w:t>
            </w:r>
          </w:p>
        </w:tc>
      </w:tr>
    </w:tbl>
    <w:p w:rsidRPr="00E25790" w:rsidR="00115F48" w:rsidP="006F0321" w:rsidRDefault="00115F48" w14:paraId="2F0E9B66" w14:textId="77777777"/>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655"/>
      </w:tblGrid>
      <w:tr w:rsidRPr="003A7895" w:rsidR="0034627F" w:rsidTr="0034627F" w14:paraId="794F572E" w14:textId="77777777">
        <w:trPr>
          <w:trHeight w:val="70"/>
        </w:trPr>
        <w:tc>
          <w:tcPr>
            <w:tcW w:w="1730" w:type="dxa"/>
          </w:tcPr>
          <w:p w:rsidRPr="00B53E9B" w:rsidR="0034627F" w:rsidP="00FE4186" w:rsidRDefault="0034627F" w14:paraId="3686126E" w14:textId="77777777">
            <w:pPr>
              <w:pStyle w:val="BodyText"/>
              <w:tabs>
                <w:tab w:val="center" w:pos="1476"/>
              </w:tabs>
              <w:rPr>
                <w:rFonts w:cs="Arial"/>
                <w:b/>
                <w:sz w:val="20"/>
              </w:rPr>
            </w:pPr>
            <w:r w:rsidRPr="00B53E9B">
              <w:rPr>
                <w:rFonts w:cs="Arial"/>
                <w:b/>
                <w:sz w:val="20"/>
              </w:rPr>
              <w:t>Alert</w:t>
            </w:r>
          </w:p>
        </w:tc>
        <w:tc>
          <w:tcPr>
            <w:tcW w:w="7655" w:type="dxa"/>
          </w:tcPr>
          <w:p w:rsidRPr="00D33048" w:rsidR="0034627F" w:rsidP="00FE4186" w:rsidRDefault="0034627F" w14:paraId="507DDB27" w14:textId="77777777">
            <w:pPr>
              <w:pStyle w:val="BodyText"/>
              <w:rPr>
                <w:rFonts w:cs="Calibri" w:asciiTheme="minorHAnsi" w:hAnsiTheme="minorHAnsi"/>
                <w:sz w:val="20"/>
                <w:lang w:eastAsia="en-AU"/>
              </w:rPr>
            </w:pPr>
            <w:r w:rsidRPr="00D33048">
              <w:rPr>
                <w:rFonts w:cs="Calibri" w:asciiTheme="minorHAnsi" w:hAnsiTheme="minorHAnsi"/>
                <w:sz w:val="20"/>
                <w:lang w:eastAsia="en-AU"/>
              </w:rPr>
              <w:t xml:space="preserve">Use in consultation with a Paediatric Cardiologist. </w:t>
            </w:r>
          </w:p>
          <w:p w:rsidRPr="00D33048" w:rsidR="0034627F" w:rsidP="00FE4186" w:rsidRDefault="0034627F" w14:paraId="074D552B" w14:textId="77777777">
            <w:pPr>
              <w:pStyle w:val="BodyText"/>
              <w:rPr>
                <w:rFonts w:cs="Calibri" w:asciiTheme="minorHAnsi" w:hAnsiTheme="minorHAnsi"/>
                <w:sz w:val="20"/>
                <w:lang w:eastAsia="en-AU"/>
              </w:rPr>
            </w:pPr>
            <w:r w:rsidRPr="00D33048">
              <w:rPr>
                <w:rFonts w:cs="Calibri" w:asciiTheme="minorHAnsi" w:hAnsiTheme="minorHAnsi"/>
                <w:sz w:val="20"/>
                <w:lang w:eastAsia="en-AU"/>
              </w:rPr>
              <w:t xml:space="preserve">Contraindicated in infants with reduced myocardial contractility. </w:t>
            </w:r>
          </w:p>
          <w:p w:rsidR="0034627F" w:rsidP="00FE4186" w:rsidRDefault="0034627F" w14:paraId="3CC8F89C" w14:textId="77777777">
            <w:pPr>
              <w:pStyle w:val="BodyText"/>
              <w:rPr>
                <w:rFonts w:cs="Calibri" w:asciiTheme="minorHAnsi" w:hAnsiTheme="minorHAnsi"/>
                <w:sz w:val="20"/>
                <w:lang w:eastAsia="en-AU"/>
              </w:rPr>
            </w:pPr>
            <w:r w:rsidRPr="00D33048">
              <w:rPr>
                <w:rFonts w:cs="Calibri" w:asciiTheme="minorHAnsi" w:hAnsiTheme="minorHAnsi"/>
                <w:sz w:val="20"/>
                <w:lang w:eastAsia="en-AU"/>
              </w:rPr>
              <w:t xml:space="preserve">Use </w:t>
            </w:r>
            <w:r>
              <w:rPr>
                <w:rFonts w:cs="Calibri" w:asciiTheme="minorHAnsi" w:hAnsiTheme="minorHAnsi"/>
                <w:sz w:val="20"/>
                <w:lang w:eastAsia="en-AU"/>
              </w:rPr>
              <w:t>c</w:t>
            </w:r>
            <w:r w:rsidRPr="00D33048">
              <w:rPr>
                <w:rFonts w:cs="Calibri" w:asciiTheme="minorHAnsi" w:hAnsiTheme="minorHAnsi"/>
                <w:sz w:val="20"/>
                <w:lang w:eastAsia="en-AU"/>
              </w:rPr>
              <w:t>aution in patients with congenital heart disease</w:t>
            </w:r>
            <w:r>
              <w:rPr>
                <w:rFonts w:cs="Calibri" w:asciiTheme="minorHAnsi" w:hAnsiTheme="minorHAnsi"/>
                <w:sz w:val="20"/>
                <w:lang w:eastAsia="en-AU"/>
              </w:rPr>
              <w:t xml:space="preserve">—increased </w:t>
            </w:r>
            <w:r w:rsidRPr="00D33048">
              <w:rPr>
                <w:rFonts w:cs="Calibri" w:asciiTheme="minorHAnsi" w:hAnsiTheme="minorHAnsi"/>
                <w:sz w:val="20"/>
                <w:lang w:eastAsia="en-AU"/>
              </w:rPr>
              <w:t>potential for pro</w:t>
            </w:r>
            <w:r>
              <w:rPr>
                <w:rFonts w:cs="Calibri" w:asciiTheme="minorHAnsi" w:hAnsiTheme="minorHAnsi"/>
                <w:sz w:val="20"/>
                <w:lang w:eastAsia="en-AU"/>
              </w:rPr>
              <w:t>-</w:t>
            </w:r>
            <w:r w:rsidRPr="00D33048">
              <w:rPr>
                <w:rFonts w:cs="Calibri" w:asciiTheme="minorHAnsi" w:hAnsiTheme="minorHAnsi"/>
                <w:sz w:val="20"/>
                <w:lang w:eastAsia="en-AU"/>
              </w:rPr>
              <w:t>arrhythmi</w:t>
            </w:r>
            <w:r>
              <w:rPr>
                <w:rFonts w:cs="Calibri" w:asciiTheme="minorHAnsi" w:hAnsiTheme="minorHAnsi"/>
                <w:sz w:val="20"/>
                <w:lang w:eastAsia="en-AU"/>
              </w:rPr>
              <w:t>c effects</w:t>
            </w:r>
            <w:r w:rsidRPr="00D33048">
              <w:rPr>
                <w:rFonts w:cs="Calibri" w:asciiTheme="minorHAnsi" w:hAnsiTheme="minorHAnsi"/>
                <w:sz w:val="20"/>
                <w:lang w:eastAsia="en-AU"/>
              </w:rPr>
              <w:t>.</w:t>
            </w:r>
          </w:p>
          <w:p w:rsidRPr="00D33048" w:rsidR="0034627F" w:rsidP="00FE4186" w:rsidRDefault="0034627F" w14:paraId="04F65609" w14:textId="77777777">
            <w:pPr>
              <w:pStyle w:val="BodyText"/>
              <w:rPr>
                <w:rFonts w:asciiTheme="minorHAnsi" w:hAnsiTheme="minorHAnsi"/>
                <w:sz w:val="20"/>
              </w:rPr>
            </w:pPr>
            <w:r w:rsidRPr="00FC7791">
              <w:rPr>
                <w:rFonts w:asciiTheme="minorHAnsi" w:hAnsiTheme="minorHAnsi"/>
                <w:sz w:val="20"/>
              </w:rPr>
              <w:t>I</w:t>
            </w:r>
            <w:r>
              <w:rPr>
                <w:rFonts w:asciiTheme="minorHAnsi" w:hAnsiTheme="minorHAnsi"/>
                <w:sz w:val="20"/>
              </w:rPr>
              <w:t>ntravenous</w:t>
            </w:r>
            <w:r w:rsidRPr="00FC7791">
              <w:rPr>
                <w:rFonts w:asciiTheme="minorHAnsi" w:hAnsiTheme="minorHAnsi"/>
                <w:sz w:val="20"/>
              </w:rPr>
              <w:t xml:space="preserve"> flecainide needs close</w:t>
            </w:r>
            <w:r>
              <w:rPr>
                <w:rFonts w:asciiTheme="minorHAnsi" w:hAnsiTheme="minorHAnsi"/>
                <w:sz w:val="20"/>
              </w:rPr>
              <w:t xml:space="preserve"> cardiorespiratory monitoring</w:t>
            </w:r>
            <w:r w:rsidRPr="00FC7791">
              <w:rPr>
                <w:rFonts w:asciiTheme="minorHAnsi" w:hAnsiTheme="minorHAnsi"/>
                <w:sz w:val="20"/>
              </w:rPr>
              <w:t xml:space="preserve"> </w:t>
            </w:r>
          </w:p>
        </w:tc>
      </w:tr>
      <w:tr w:rsidRPr="003A7895" w:rsidR="0034627F" w:rsidTr="0034627F" w14:paraId="5A07EB10" w14:textId="77777777">
        <w:trPr>
          <w:trHeight w:val="72"/>
        </w:trPr>
        <w:tc>
          <w:tcPr>
            <w:tcW w:w="1730" w:type="dxa"/>
          </w:tcPr>
          <w:p w:rsidRPr="00B53E9B" w:rsidR="0034627F" w:rsidP="00FE4186" w:rsidRDefault="0034627F" w14:paraId="73D07D96" w14:textId="77777777">
            <w:pPr>
              <w:pStyle w:val="BodyText"/>
              <w:rPr>
                <w:rFonts w:cs="Arial"/>
                <w:sz w:val="20"/>
              </w:rPr>
            </w:pPr>
            <w:r w:rsidRPr="00B53E9B">
              <w:rPr>
                <w:rFonts w:cs="Arial"/>
                <w:b/>
                <w:bCs/>
                <w:sz w:val="20"/>
              </w:rPr>
              <w:t>Indication</w:t>
            </w:r>
          </w:p>
        </w:tc>
        <w:tc>
          <w:tcPr>
            <w:tcW w:w="7655" w:type="dxa"/>
          </w:tcPr>
          <w:p w:rsidRPr="00D33048" w:rsidR="0034627F" w:rsidP="00FE4186" w:rsidRDefault="0034627F" w14:paraId="206EE9B1" w14:textId="77777777">
            <w:pPr>
              <w:rPr>
                <w:rFonts w:asciiTheme="minorHAnsi" w:hAnsiTheme="minorHAnsi"/>
                <w:sz w:val="20"/>
              </w:rPr>
            </w:pPr>
            <w:r w:rsidRPr="00D33048">
              <w:rPr>
                <w:rFonts w:cs="Calibri" w:asciiTheme="minorHAnsi" w:hAnsiTheme="minorHAnsi"/>
                <w:sz w:val="20"/>
              </w:rPr>
              <w:t>Treatment of paroxysmal supraventricular tachycardia, paroxysmal atrial fibrillation/flutter and life- threatening ventricular dysrhythmias as a second</w:t>
            </w:r>
            <w:r>
              <w:rPr>
                <w:rFonts w:cs="Calibri" w:asciiTheme="minorHAnsi" w:hAnsiTheme="minorHAnsi"/>
                <w:sz w:val="20"/>
              </w:rPr>
              <w:t>-</w:t>
            </w:r>
            <w:r w:rsidRPr="00D33048">
              <w:rPr>
                <w:rFonts w:cs="Calibri" w:asciiTheme="minorHAnsi" w:hAnsiTheme="minorHAnsi"/>
                <w:sz w:val="20"/>
              </w:rPr>
              <w:t>line agent where tachycardia has been resistant to first</w:t>
            </w:r>
            <w:r>
              <w:rPr>
                <w:rFonts w:cs="Calibri" w:asciiTheme="minorHAnsi" w:hAnsiTheme="minorHAnsi"/>
                <w:sz w:val="20"/>
              </w:rPr>
              <w:t>-</w:t>
            </w:r>
            <w:r w:rsidRPr="00D33048">
              <w:rPr>
                <w:rFonts w:cs="Calibri" w:asciiTheme="minorHAnsi" w:hAnsiTheme="minorHAnsi"/>
                <w:sz w:val="20"/>
              </w:rPr>
              <w:t>line agents.</w:t>
            </w:r>
          </w:p>
        </w:tc>
      </w:tr>
      <w:tr w:rsidRPr="003A7895" w:rsidR="0034627F" w:rsidTr="0034627F" w14:paraId="4D486ED1" w14:textId="77777777">
        <w:trPr>
          <w:trHeight w:val="70"/>
        </w:trPr>
        <w:tc>
          <w:tcPr>
            <w:tcW w:w="1730" w:type="dxa"/>
          </w:tcPr>
          <w:p w:rsidRPr="00B53E9B" w:rsidR="0034627F" w:rsidP="00FE4186" w:rsidRDefault="0034627F" w14:paraId="7CD1B4C1" w14:textId="77777777">
            <w:pPr>
              <w:pStyle w:val="BodyText"/>
              <w:rPr>
                <w:rFonts w:cs="Arial"/>
                <w:b/>
                <w:bCs/>
                <w:sz w:val="20"/>
              </w:rPr>
            </w:pPr>
            <w:r w:rsidRPr="00B53E9B">
              <w:rPr>
                <w:rFonts w:cs="Arial"/>
                <w:b/>
                <w:bCs/>
                <w:sz w:val="20"/>
              </w:rPr>
              <w:t>Action</w:t>
            </w:r>
          </w:p>
        </w:tc>
        <w:tc>
          <w:tcPr>
            <w:tcW w:w="7655" w:type="dxa"/>
          </w:tcPr>
          <w:p w:rsidRPr="00D33048" w:rsidR="0034627F" w:rsidP="00FE4186" w:rsidRDefault="0034627F" w14:paraId="14103831" w14:textId="77777777">
            <w:pPr>
              <w:rPr>
                <w:rFonts w:cs="Arial" w:asciiTheme="minorHAnsi" w:hAnsiTheme="minorHAnsi"/>
                <w:sz w:val="20"/>
              </w:rPr>
            </w:pPr>
            <w:r>
              <w:rPr>
                <w:rFonts w:cs="Calibri" w:asciiTheme="minorHAnsi" w:hAnsiTheme="minorHAnsi"/>
                <w:sz w:val="20"/>
              </w:rPr>
              <w:t>D</w:t>
            </w:r>
            <w:r w:rsidRPr="00D33048">
              <w:rPr>
                <w:rFonts w:cs="Calibri" w:asciiTheme="minorHAnsi" w:hAnsiTheme="minorHAnsi"/>
                <w:sz w:val="20"/>
              </w:rPr>
              <w:t>ecrease</w:t>
            </w:r>
            <w:r>
              <w:rPr>
                <w:rFonts w:cs="Calibri" w:asciiTheme="minorHAnsi" w:hAnsiTheme="minorHAnsi"/>
                <w:sz w:val="20"/>
              </w:rPr>
              <w:t>s</w:t>
            </w:r>
            <w:r w:rsidRPr="00D33048">
              <w:rPr>
                <w:rFonts w:cs="Calibri" w:asciiTheme="minorHAnsi" w:hAnsiTheme="minorHAnsi"/>
                <w:sz w:val="20"/>
              </w:rPr>
              <w:t xml:space="preserve"> intracardiac conduction for all parts of the heart, with the greatest effect in the His-Purkinje system. It acts by blocking fast sodium channels. As a type I</w:t>
            </w:r>
            <w:r>
              <w:rPr>
                <w:rFonts w:cs="Calibri" w:asciiTheme="minorHAnsi" w:hAnsiTheme="minorHAnsi"/>
                <w:sz w:val="20"/>
              </w:rPr>
              <w:t>c</w:t>
            </w:r>
            <w:r w:rsidRPr="00D33048">
              <w:rPr>
                <w:rFonts w:cs="Calibri" w:asciiTheme="minorHAnsi" w:hAnsiTheme="minorHAnsi"/>
                <w:sz w:val="20"/>
              </w:rPr>
              <w:t xml:space="preserve"> agent</w:t>
            </w:r>
            <w:r>
              <w:rPr>
                <w:rFonts w:cs="Calibri" w:asciiTheme="minorHAnsi" w:hAnsiTheme="minorHAnsi"/>
                <w:sz w:val="20"/>
              </w:rPr>
              <w:t>,</w:t>
            </w:r>
            <w:r w:rsidRPr="00D33048">
              <w:rPr>
                <w:rFonts w:cs="Calibri" w:asciiTheme="minorHAnsi" w:hAnsiTheme="minorHAnsi"/>
                <w:sz w:val="20"/>
              </w:rPr>
              <w:t xml:space="preserve"> it slows cardiac conduction and decreases contractility.</w:t>
            </w:r>
          </w:p>
        </w:tc>
      </w:tr>
      <w:tr w:rsidRPr="003A7895" w:rsidR="0034627F" w:rsidTr="0034627F" w14:paraId="0993E34B" w14:textId="77777777">
        <w:trPr>
          <w:trHeight w:val="266"/>
        </w:trPr>
        <w:tc>
          <w:tcPr>
            <w:tcW w:w="1730" w:type="dxa"/>
          </w:tcPr>
          <w:p w:rsidRPr="00B53E9B" w:rsidR="0034627F" w:rsidP="00FE4186" w:rsidRDefault="0034627F" w14:paraId="6ED0188C" w14:textId="77777777">
            <w:pPr>
              <w:pStyle w:val="BodyText"/>
              <w:rPr>
                <w:rFonts w:cs="Arial"/>
                <w:sz w:val="20"/>
              </w:rPr>
            </w:pPr>
            <w:r>
              <w:rPr>
                <w:rFonts w:cs="Arial"/>
                <w:b/>
                <w:bCs/>
                <w:sz w:val="20"/>
              </w:rPr>
              <w:t>Drug t</w:t>
            </w:r>
            <w:r w:rsidRPr="00B53E9B">
              <w:rPr>
                <w:rFonts w:cs="Arial"/>
                <w:b/>
                <w:bCs/>
                <w:sz w:val="20"/>
              </w:rPr>
              <w:t>ype</w:t>
            </w:r>
          </w:p>
        </w:tc>
        <w:tc>
          <w:tcPr>
            <w:tcW w:w="7655" w:type="dxa"/>
          </w:tcPr>
          <w:p w:rsidRPr="00D33048" w:rsidR="0034627F" w:rsidP="00FE4186" w:rsidRDefault="0034627F" w14:paraId="404A9DC8" w14:textId="77777777">
            <w:pPr>
              <w:pStyle w:val="BodyText"/>
              <w:rPr>
                <w:rFonts w:cs="Arial" w:asciiTheme="minorHAnsi" w:hAnsiTheme="minorHAnsi"/>
                <w:sz w:val="20"/>
              </w:rPr>
            </w:pPr>
            <w:r w:rsidRPr="00D33048">
              <w:rPr>
                <w:rFonts w:cs="Calibri" w:asciiTheme="minorHAnsi" w:hAnsiTheme="minorHAnsi"/>
                <w:sz w:val="20"/>
                <w:lang w:eastAsia="en-AU"/>
              </w:rPr>
              <w:t xml:space="preserve">Type </w:t>
            </w:r>
            <w:r>
              <w:rPr>
                <w:rFonts w:cs="Calibri" w:asciiTheme="minorHAnsi" w:hAnsiTheme="minorHAnsi"/>
                <w:sz w:val="20"/>
                <w:lang w:eastAsia="en-AU"/>
              </w:rPr>
              <w:t>Ic</w:t>
            </w:r>
            <w:r w:rsidRPr="00D33048">
              <w:rPr>
                <w:rFonts w:cs="Calibri" w:asciiTheme="minorHAnsi" w:hAnsiTheme="minorHAnsi"/>
                <w:sz w:val="20"/>
                <w:lang w:eastAsia="en-AU"/>
              </w:rPr>
              <w:t xml:space="preserve"> antiarrhythmic</w:t>
            </w:r>
            <w:r>
              <w:rPr>
                <w:rFonts w:cs="Calibri" w:asciiTheme="minorHAnsi" w:hAnsiTheme="minorHAnsi"/>
                <w:sz w:val="20"/>
                <w:lang w:eastAsia="en-AU"/>
              </w:rPr>
              <w:t xml:space="preserve"> agent.</w:t>
            </w:r>
          </w:p>
        </w:tc>
      </w:tr>
      <w:tr w:rsidRPr="003A7895" w:rsidR="0034627F" w:rsidTr="0034627F" w14:paraId="3E39522B" w14:textId="77777777">
        <w:trPr>
          <w:trHeight w:val="114"/>
        </w:trPr>
        <w:tc>
          <w:tcPr>
            <w:tcW w:w="1730" w:type="dxa"/>
          </w:tcPr>
          <w:p w:rsidRPr="00B53E9B" w:rsidR="0034627F" w:rsidP="00FE4186" w:rsidRDefault="0034627F" w14:paraId="09835B5D"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655" w:type="dxa"/>
          </w:tcPr>
          <w:p w:rsidRPr="00D33048" w:rsidR="0034627F" w:rsidP="00FE4186" w:rsidRDefault="0034627F" w14:paraId="0F54AB39" w14:textId="77777777">
            <w:pPr>
              <w:pStyle w:val="BodyText"/>
              <w:rPr>
                <w:rFonts w:cs="Arial" w:asciiTheme="minorHAnsi" w:hAnsiTheme="minorHAnsi"/>
                <w:sz w:val="20"/>
              </w:rPr>
            </w:pPr>
            <w:r w:rsidRPr="00E763CA">
              <w:rPr>
                <w:rFonts w:cs="Calibri" w:asciiTheme="minorHAnsi" w:hAnsiTheme="minorHAnsi"/>
                <w:sz w:val="20"/>
                <w:lang w:eastAsia="en-AU"/>
              </w:rPr>
              <w:t>Flecainide Sandoz Tablets</w:t>
            </w:r>
            <w:r>
              <w:rPr>
                <w:rFonts w:cs="Calibri" w:asciiTheme="minorHAnsi" w:hAnsiTheme="minorHAnsi"/>
                <w:sz w:val="20"/>
                <w:lang w:eastAsia="en-AU"/>
              </w:rPr>
              <w:t>;</w:t>
            </w:r>
            <w:r w:rsidRPr="00E763CA">
              <w:rPr>
                <w:rFonts w:cs="Calibri" w:asciiTheme="minorHAnsi" w:hAnsiTheme="minorHAnsi"/>
                <w:sz w:val="20"/>
                <w:lang w:eastAsia="en-AU"/>
              </w:rPr>
              <w:t xml:space="preserve"> </w:t>
            </w:r>
            <w:r w:rsidRPr="00D33048">
              <w:rPr>
                <w:rFonts w:cs="Calibri" w:asciiTheme="minorHAnsi" w:hAnsiTheme="minorHAnsi"/>
                <w:sz w:val="20"/>
                <w:lang w:eastAsia="en-AU"/>
              </w:rPr>
              <w:t>Flecatab Tab</w:t>
            </w:r>
            <w:r>
              <w:rPr>
                <w:rFonts w:cs="Calibri" w:asciiTheme="minorHAnsi" w:hAnsiTheme="minorHAnsi"/>
                <w:sz w:val="20"/>
                <w:lang w:eastAsia="en-AU"/>
              </w:rPr>
              <w:t xml:space="preserve">lets; </w:t>
            </w:r>
            <w:r w:rsidRPr="00D33048">
              <w:rPr>
                <w:rFonts w:cs="Calibri" w:asciiTheme="minorHAnsi" w:hAnsiTheme="minorHAnsi"/>
                <w:sz w:val="20"/>
                <w:lang w:eastAsia="en-AU"/>
              </w:rPr>
              <w:t>Tambocor solution for injection, Tambocor Tab</w:t>
            </w:r>
            <w:r>
              <w:rPr>
                <w:rFonts w:cs="Calibri" w:asciiTheme="minorHAnsi" w:hAnsiTheme="minorHAnsi"/>
                <w:sz w:val="20"/>
                <w:lang w:eastAsia="en-AU"/>
              </w:rPr>
              <w:t>lets</w:t>
            </w:r>
          </w:p>
        </w:tc>
      </w:tr>
      <w:tr w:rsidRPr="003A7895" w:rsidR="0034627F" w:rsidTr="0034627F" w14:paraId="2CE60791" w14:textId="77777777">
        <w:trPr>
          <w:trHeight w:val="70"/>
        </w:trPr>
        <w:tc>
          <w:tcPr>
            <w:tcW w:w="1730" w:type="dxa"/>
          </w:tcPr>
          <w:p w:rsidRPr="00B53E9B" w:rsidR="0034627F" w:rsidP="00FE4186" w:rsidRDefault="0034627F" w14:paraId="381218C2" w14:textId="77777777">
            <w:pPr>
              <w:pStyle w:val="BodyText"/>
              <w:rPr>
                <w:rFonts w:cs="Arial"/>
                <w:b/>
                <w:bCs/>
                <w:sz w:val="20"/>
              </w:rPr>
            </w:pPr>
            <w:r w:rsidRPr="00B53E9B">
              <w:rPr>
                <w:rFonts w:cs="Arial"/>
                <w:b/>
                <w:bCs/>
                <w:sz w:val="20"/>
              </w:rPr>
              <w:t xml:space="preserve">Presentation </w:t>
            </w:r>
          </w:p>
        </w:tc>
        <w:tc>
          <w:tcPr>
            <w:tcW w:w="7655" w:type="dxa"/>
          </w:tcPr>
          <w:p w:rsidRPr="00D33048" w:rsidR="0034627F" w:rsidP="00FE4186" w:rsidRDefault="0034627F" w14:paraId="294C9BDA" w14:textId="77777777">
            <w:pPr>
              <w:pStyle w:val="BodyText"/>
              <w:ind w:left="34"/>
              <w:rPr>
                <w:rFonts w:cs="Arial" w:asciiTheme="minorHAnsi" w:hAnsiTheme="minorHAnsi"/>
                <w:sz w:val="20"/>
              </w:rPr>
            </w:pPr>
            <w:r w:rsidRPr="00786B81">
              <w:rPr>
                <w:rFonts w:cs="Arial" w:asciiTheme="minorHAnsi" w:hAnsiTheme="minorHAnsi"/>
                <w:b/>
                <w:sz w:val="20"/>
              </w:rPr>
              <w:t>I</w:t>
            </w:r>
            <w:r>
              <w:rPr>
                <w:rFonts w:cs="Arial" w:asciiTheme="minorHAnsi" w:hAnsiTheme="minorHAnsi"/>
                <w:b/>
                <w:sz w:val="20"/>
              </w:rPr>
              <w:t>V</w:t>
            </w:r>
            <w:r w:rsidRPr="00D33048">
              <w:rPr>
                <w:rFonts w:cs="Arial" w:asciiTheme="minorHAnsi" w:hAnsiTheme="minorHAnsi"/>
                <w:sz w:val="20"/>
              </w:rPr>
              <w:t xml:space="preserve">: </w:t>
            </w:r>
          </w:p>
          <w:p w:rsidRPr="00D33048" w:rsidR="0034627F" w:rsidP="00FE4186" w:rsidRDefault="0034627F" w14:paraId="7B03B7B5" w14:textId="77777777">
            <w:pPr>
              <w:pStyle w:val="BodyText"/>
              <w:ind w:left="34"/>
              <w:rPr>
                <w:rFonts w:cs="Arial" w:asciiTheme="minorHAnsi" w:hAnsiTheme="minorHAnsi"/>
                <w:sz w:val="20"/>
              </w:rPr>
            </w:pPr>
            <w:r w:rsidRPr="00D33048">
              <w:rPr>
                <w:rFonts w:cs="Arial" w:asciiTheme="minorHAnsi" w:hAnsiTheme="minorHAnsi"/>
                <w:sz w:val="20"/>
              </w:rPr>
              <w:t>10</w:t>
            </w:r>
            <w:r>
              <w:rPr>
                <w:rFonts w:cs="Arial" w:asciiTheme="minorHAnsi" w:hAnsiTheme="minorHAnsi"/>
                <w:sz w:val="20"/>
              </w:rPr>
              <w:t xml:space="preserve"> </w:t>
            </w:r>
            <w:r w:rsidRPr="00D33048">
              <w:rPr>
                <w:rFonts w:cs="Arial" w:asciiTheme="minorHAnsi" w:hAnsiTheme="minorHAnsi"/>
                <w:sz w:val="20"/>
              </w:rPr>
              <w:t xml:space="preserve">mg/mL injection. </w:t>
            </w:r>
          </w:p>
          <w:p w:rsidRPr="00D33048" w:rsidR="0034627F" w:rsidP="00FE4186" w:rsidRDefault="0034627F" w14:paraId="58AB9FD3" w14:textId="77777777">
            <w:pPr>
              <w:pStyle w:val="BodyText"/>
              <w:ind w:left="34"/>
              <w:rPr>
                <w:rFonts w:cs="Arial" w:asciiTheme="minorHAnsi" w:hAnsiTheme="minorHAnsi"/>
                <w:sz w:val="20"/>
              </w:rPr>
            </w:pPr>
            <w:r w:rsidRPr="00786B81">
              <w:rPr>
                <w:rFonts w:cs="Arial" w:asciiTheme="minorHAnsi" w:hAnsiTheme="minorHAnsi"/>
                <w:b/>
                <w:sz w:val="20"/>
              </w:rPr>
              <w:t>Oral</w:t>
            </w:r>
            <w:r w:rsidRPr="00D33048">
              <w:rPr>
                <w:rFonts w:cs="Arial" w:asciiTheme="minorHAnsi" w:hAnsiTheme="minorHAnsi"/>
                <w:sz w:val="20"/>
              </w:rPr>
              <w:t>:</w:t>
            </w:r>
          </w:p>
          <w:p w:rsidRPr="00D33048" w:rsidR="0034627F" w:rsidP="00FE4186" w:rsidRDefault="0034627F" w14:paraId="4B1F5245" w14:textId="77777777">
            <w:pPr>
              <w:pStyle w:val="BodyText"/>
              <w:ind w:left="34"/>
              <w:rPr>
                <w:rFonts w:cs="Arial" w:asciiTheme="minorHAnsi" w:hAnsiTheme="minorHAnsi"/>
                <w:sz w:val="20"/>
              </w:rPr>
            </w:pPr>
            <w:r w:rsidRPr="00D33048">
              <w:rPr>
                <w:rFonts w:cs="Arial" w:asciiTheme="minorHAnsi" w:hAnsiTheme="minorHAnsi"/>
                <w:sz w:val="20"/>
              </w:rPr>
              <w:t>20</w:t>
            </w:r>
            <w:r>
              <w:rPr>
                <w:rFonts w:cs="Arial" w:asciiTheme="minorHAnsi" w:hAnsiTheme="minorHAnsi"/>
                <w:sz w:val="20"/>
              </w:rPr>
              <w:t xml:space="preserve"> </w:t>
            </w:r>
            <w:r w:rsidRPr="00D33048">
              <w:rPr>
                <w:rFonts w:cs="Arial" w:asciiTheme="minorHAnsi" w:hAnsiTheme="minorHAnsi"/>
                <w:sz w:val="20"/>
              </w:rPr>
              <w:t xml:space="preserve">mg/mL suspension compounded by pharmacy. </w:t>
            </w:r>
          </w:p>
          <w:p w:rsidRPr="00D33048" w:rsidR="0034627F" w:rsidP="00FE4186" w:rsidRDefault="0034627F" w14:paraId="0BA3FB22" w14:textId="77777777">
            <w:pPr>
              <w:pStyle w:val="BodyText"/>
              <w:ind w:left="34"/>
              <w:rPr>
                <w:rFonts w:cs="Arial" w:asciiTheme="minorHAnsi" w:hAnsiTheme="minorHAnsi"/>
                <w:sz w:val="20"/>
              </w:rPr>
            </w:pPr>
            <w:r w:rsidRPr="00D33048">
              <w:rPr>
                <w:rFonts w:cs="Arial" w:asciiTheme="minorHAnsi" w:hAnsiTheme="minorHAnsi"/>
                <w:sz w:val="20"/>
              </w:rPr>
              <w:t>50</w:t>
            </w:r>
            <w:r>
              <w:rPr>
                <w:rFonts w:cs="Arial" w:asciiTheme="minorHAnsi" w:hAnsiTheme="minorHAnsi"/>
                <w:sz w:val="20"/>
              </w:rPr>
              <w:t xml:space="preserve"> </w:t>
            </w:r>
            <w:r w:rsidRPr="00D33048">
              <w:rPr>
                <w:rFonts w:cs="Arial" w:asciiTheme="minorHAnsi" w:hAnsiTheme="minorHAnsi"/>
                <w:sz w:val="20"/>
              </w:rPr>
              <w:t>mg, 100</w:t>
            </w:r>
            <w:r>
              <w:rPr>
                <w:rFonts w:cs="Arial" w:asciiTheme="minorHAnsi" w:hAnsiTheme="minorHAnsi"/>
                <w:sz w:val="20"/>
              </w:rPr>
              <w:t xml:space="preserve"> </w:t>
            </w:r>
            <w:r w:rsidRPr="00D33048">
              <w:rPr>
                <w:rFonts w:cs="Arial" w:asciiTheme="minorHAnsi" w:hAnsiTheme="minorHAnsi"/>
                <w:sz w:val="20"/>
              </w:rPr>
              <w:t xml:space="preserve">mg tablets. </w:t>
            </w:r>
          </w:p>
        </w:tc>
      </w:tr>
      <w:tr w:rsidRPr="000E2236" w:rsidR="0034627F" w:rsidTr="0034627F" w14:paraId="66006134" w14:textId="77777777">
        <w:trPr>
          <w:trHeight w:val="70"/>
        </w:trPr>
        <w:tc>
          <w:tcPr>
            <w:tcW w:w="1730" w:type="dxa"/>
          </w:tcPr>
          <w:p w:rsidRPr="00B53E9B" w:rsidR="0034627F" w:rsidP="00FE4186" w:rsidRDefault="0034627F" w14:paraId="0FBD12B5" w14:textId="77777777">
            <w:pPr>
              <w:pStyle w:val="BodyText"/>
              <w:rPr>
                <w:rFonts w:cs="Arial"/>
                <w:b/>
                <w:bCs/>
                <w:sz w:val="20"/>
              </w:rPr>
            </w:pPr>
            <w:r>
              <w:rPr>
                <w:rFonts w:cs="Arial"/>
                <w:b/>
                <w:bCs/>
                <w:sz w:val="20"/>
              </w:rPr>
              <w:t>Dose</w:t>
            </w:r>
            <w:r w:rsidRPr="00B53E9B">
              <w:rPr>
                <w:rFonts w:cs="Arial"/>
                <w:b/>
                <w:bCs/>
                <w:sz w:val="20"/>
              </w:rPr>
              <w:t xml:space="preserve"> </w:t>
            </w:r>
          </w:p>
        </w:tc>
        <w:tc>
          <w:tcPr>
            <w:tcW w:w="7655" w:type="dxa"/>
          </w:tcPr>
          <w:p w:rsidRPr="00D33048" w:rsidR="0034627F" w:rsidP="00FE4186" w:rsidRDefault="0034627F" w14:paraId="638352BD" w14:textId="77777777">
            <w:pPr>
              <w:rPr>
                <w:rFonts w:cs="Calibri" w:asciiTheme="minorHAnsi" w:hAnsiTheme="minorHAnsi"/>
                <w:sz w:val="20"/>
                <w:lang w:eastAsia="en-AU"/>
              </w:rPr>
            </w:pPr>
            <w:r w:rsidRPr="00786B81">
              <w:rPr>
                <w:rFonts w:cs="Calibri" w:asciiTheme="minorHAnsi" w:hAnsiTheme="minorHAnsi"/>
                <w:b/>
                <w:sz w:val="20"/>
                <w:lang w:eastAsia="en-AU"/>
              </w:rPr>
              <w:t>Oral</w:t>
            </w:r>
            <w:r w:rsidRPr="00D33048">
              <w:rPr>
                <w:rFonts w:cs="Calibri" w:asciiTheme="minorHAnsi" w:hAnsiTheme="minorHAnsi"/>
                <w:sz w:val="20"/>
                <w:lang w:eastAsia="en-AU"/>
              </w:rPr>
              <w:t>:</w:t>
            </w:r>
          </w:p>
          <w:p w:rsidRPr="00D33048" w:rsidR="0034627F" w:rsidP="00FE4186" w:rsidRDefault="0034627F" w14:paraId="400A0436" w14:textId="77777777">
            <w:pPr>
              <w:rPr>
                <w:rFonts w:cs="Calibri" w:asciiTheme="minorHAnsi" w:hAnsiTheme="minorHAnsi"/>
                <w:sz w:val="20"/>
                <w:lang w:eastAsia="en-AU"/>
              </w:rPr>
            </w:pPr>
            <w:r>
              <w:rPr>
                <w:rFonts w:cs="Calibri" w:asciiTheme="minorHAnsi" w:hAnsiTheme="minorHAnsi"/>
                <w:sz w:val="20"/>
                <w:lang w:eastAsia="en-AU"/>
              </w:rPr>
              <w:t xml:space="preserve">Starting dose: </w:t>
            </w:r>
            <w:r w:rsidRPr="00D33048">
              <w:rPr>
                <w:rFonts w:cs="Calibri" w:asciiTheme="minorHAnsi" w:hAnsiTheme="minorHAnsi"/>
                <w:sz w:val="20"/>
                <w:lang w:eastAsia="en-AU"/>
              </w:rPr>
              <w:t xml:space="preserve">1 mg/kg/dose </w:t>
            </w:r>
            <w:r>
              <w:rPr>
                <w:rFonts w:cs="Calibri" w:asciiTheme="minorHAnsi" w:hAnsiTheme="minorHAnsi"/>
                <w:sz w:val="20"/>
                <w:lang w:eastAsia="en-AU"/>
              </w:rPr>
              <w:t xml:space="preserve">8 or </w:t>
            </w:r>
            <w:r w:rsidRPr="00D33048">
              <w:rPr>
                <w:rFonts w:cs="Calibri" w:asciiTheme="minorHAnsi" w:hAnsiTheme="minorHAnsi"/>
                <w:sz w:val="20"/>
                <w:lang w:eastAsia="en-AU"/>
              </w:rPr>
              <w:t>12 hourly.</w:t>
            </w:r>
            <w:r>
              <w:rPr>
                <w:rFonts w:cs="Calibri" w:asciiTheme="minorHAnsi" w:hAnsiTheme="minorHAnsi"/>
                <w:sz w:val="20"/>
                <w:lang w:eastAsia="en-AU"/>
              </w:rPr>
              <w:t xml:space="preserve"> </w:t>
            </w:r>
            <w:r w:rsidRPr="00D33048">
              <w:rPr>
                <w:rFonts w:cs="Calibri" w:asciiTheme="minorHAnsi" w:hAnsiTheme="minorHAnsi"/>
                <w:sz w:val="20"/>
                <w:lang w:eastAsia="en-AU"/>
              </w:rPr>
              <w:t xml:space="preserve">Increase by 1 mg/kg/dose </w:t>
            </w:r>
            <w:r>
              <w:rPr>
                <w:rFonts w:cs="Calibri" w:asciiTheme="minorHAnsi" w:hAnsiTheme="minorHAnsi"/>
                <w:sz w:val="20"/>
                <w:lang w:eastAsia="en-AU"/>
              </w:rPr>
              <w:t>a</w:t>
            </w:r>
            <w:r w:rsidRPr="00D33048">
              <w:rPr>
                <w:rFonts w:cs="Calibri" w:asciiTheme="minorHAnsi" w:hAnsiTheme="minorHAnsi"/>
                <w:sz w:val="20"/>
                <w:lang w:eastAsia="en-AU"/>
              </w:rPr>
              <w:t xml:space="preserve">s necessary to achieve maintenance of sinus rhythm up to </w:t>
            </w:r>
            <w:r>
              <w:rPr>
                <w:rFonts w:cs="Calibri" w:asciiTheme="minorHAnsi" w:hAnsiTheme="minorHAnsi"/>
                <w:sz w:val="20"/>
                <w:lang w:eastAsia="en-AU"/>
              </w:rPr>
              <w:t xml:space="preserve">the </w:t>
            </w:r>
            <w:r w:rsidRPr="00D33048">
              <w:rPr>
                <w:rFonts w:cs="Calibri" w:asciiTheme="minorHAnsi" w:hAnsiTheme="minorHAnsi"/>
                <w:sz w:val="20"/>
                <w:lang w:eastAsia="en-AU"/>
              </w:rPr>
              <w:t>maximum dose.</w:t>
            </w:r>
          </w:p>
          <w:p w:rsidRPr="00D33048" w:rsidR="0034627F" w:rsidP="00FE4186" w:rsidRDefault="0034627F" w14:paraId="5B506681" w14:textId="77777777">
            <w:pPr>
              <w:rPr>
                <w:rFonts w:cs="Calibri" w:asciiTheme="minorHAnsi" w:hAnsiTheme="minorHAnsi"/>
                <w:sz w:val="20"/>
                <w:lang w:eastAsia="en-AU"/>
              </w:rPr>
            </w:pPr>
            <w:r w:rsidRPr="00786B81">
              <w:rPr>
                <w:rFonts w:cs="Calibri" w:asciiTheme="minorHAnsi" w:hAnsiTheme="minorHAnsi"/>
                <w:b/>
                <w:sz w:val="20"/>
                <w:lang w:eastAsia="en-AU"/>
              </w:rPr>
              <w:t>I</w:t>
            </w:r>
            <w:r>
              <w:rPr>
                <w:rFonts w:cs="Calibri" w:asciiTheme="minorHAnsi" w:hAnsiTheme="minorHAnsi"/>
                <w:b/>
                <w:sz w:val="20"/>
                <w:lang w:eastAsia="en-AU"/>
              </w:rPr>
              <w:t>V</w:t>
            </w:r>
            <w:r w:rsidRPr="00D33048">
              <w:rPr>
                <w:rFonts w:cs="Calibri" w:asciiTheme="minorHAnsi" w:hAnsiTheme="minorHAnsi"/>
                <w:sz w:val="20"/>
                <w:lang w:eastAsia="en-AU"/>
              </w:rPr>
              <w:t>:</w:t>
            </w:r>
          </w:p>
          <w:p w:rsidRPr="00D33048" w:rsidR="0034627F" w:rsidP="00FE4186" w:rsidRDefault="0034627F" w14:paraId="3679495E" w14:textId="77777777">
            <w:pPr>
              <w:rPr>
                <w:rFonts w:cs="Arial" w:asciiTheme="minorHAnsi" w:hAnsiTheme="minorHAnsi"/>
                <w:b/>
                <w:sz w:val="20"/>
              </w:rPr>
            </w:pPr>
            <w:r w:rsidRPr="00D33048">
              <w:rPr>
                <w:rFonts w:cs="Calibri" w:asciiTheme="minorHAnsi" w:hAnsiTheme="minorHAnsi"/>
                <w:sz w:val="20"/>
                <w:lang w:eastAsia="en-AU"/>
              </w:rPr>
              <w:t xml:space="preserve">2 mg/kg over </w:t>
            </w:r>
            <w:r>
              <w:rPr>
                <w:rFonts w:cs="Calibri" w:asciiTheme="minorHAnsi" w:hAnsiTheme="minorHAnsi"/>
                <w:sz w:val="20"/>
                <w:lang w:eastAsia="en-AU"/>
              </w:rPr>
              <w:t xml:space="preserve">at least </w:t>
            </w:r>
            <w:r w:rsidRPr="00D33048">
              <w:rPr>
                <w:rFonts w:cs="Calibri" w:asciiTheme="minorHAnsi" w:hAnsiTheme="minorHAnsi"/>
                <w:sz w:val="20"/>
                <w:lang w:eastAsia="en-AU"/>
              </w:rPr>
              <w:t>10 minutes.</w:t>
            </w:r>
          </w:p>
        </w:tc>
      </w:tr>
      <w:tr w:rsidRPr="003A7895" w:rsidR="0034627F" w:rsidTr="0034627F" w14:paraId="11697704" w14:textId="77777777">
        <w:trPr>
          <w:trHeight w:val="70"/>
        </w:trPr>
        <w:tc>
          <w:tcPr>
            <w:tcW w:w="1730" w:type="dxa"/>
          </w:tcPr>
          <w:p w:rsidRPr="00B53E9B" w:rsidR="0034627F" w:rsidP="00FE4186" w:rsidRDefault="0034627F" w14:paraId="379E01BA" w14:textId="77777777">
            <w:pPr>
              <w:pStyle w:val="BodyText"/>
              <w:rPr>
                <w:b/>
                <w:sz w:val="20"/>
              </w:rPr>
            </w:pPr>
            <w:r w:rsidRPr="00B53E9B">
              <w:rPr>
                <w:b/>
                <w:sz w:val="20"/>
              </w:rPr>
              <w:t>Dose adjustment</w:t>
            </w:r>
          </w:p>
        </w:tc>
        <w:tc>
          <w:tcPr>
            <w:tcW w:w="7655" w:type="dxa"/>
          </w:tcPr>
          <w:p w:rsidRPr="00026F20" w:rsidR="0034627F" w:rsidP="00FE4186" w:rsidRDefault="0034627F" w14:paraId="43B4FD62" w14:textId="77777777">
            <w:pPr>
              <w:pStyle w:val="BodyText"/>
              <w:rPr>
                <w:sz w:val="20"/>
              </w:rPr>
            </w:pPr>
            <w:r>
              <w:rPr>
                <w:sz w:val="20"/>
              </w:rPr>
              <w:t>No information.</w:t>
            </w:r>
          </w:p>
        </w:tc>
      </w:tr>
      <w:tr w:rsidRPr="003A7895" w:rsidR="0034627F" w:rsidTr="0034627F" w14:paraId="76F6DC2C" w14:textId="77777777">
        <w:trPr>
          <w:trHeight w:val="113"/>
        </w:trPr>
        <w:tc>
          <w:tcPr>
            <w:tcW w:w="1730" w:type="dxa"/>
          </w:tcPr>
          <w:p w:rsidRPr="00B53E9B" w:rsidR="0034627F" w:rsidP="00FE4186" w:rsidRDefault="0034627F" w14:paraId="160782D6" w14:textId="77777777">
            <w:pPr>
              <w:pStyle w:val="BodyText"/>
              <w:rPr>
                <w:b/>
                <w:sz w:val="20"/>
              </w:rPr>
            </w:pPr>
            <w:r w:rsidRPr="00B53E9B">
              <w:rPr>
                <w:b/>
                <w:sz w:val="20"/>
              </w:rPr>
              <w:t>Maximum dose</w:t>
            </w:r>
          </w:p>
        </w:tc>
        <w:tc>
          <w:tcPr>
            <w:tcW w:w="7655" w:type="dxa"/>
          </w:tcPr>
          <w:p w:rsidRPr="00026F20" w:rsidR="0034627F" w:rsidP="00FE4186" w:rsidRDefault="0034627F" w14:paraId="39330FED" w14:textId="77777777">
            <w:pPr>
              <w:pStyle w:val="BodyText"/>
              <w:rPr>
                <w:sz w:val="20"/>
              </w:rPr>
            </w:pPr>
            <w:r w:rsidRPr="00D33048">
              <w:rPr>
                <w:rFonts w:cs="Calibri" w:asciiTheme="minorHAnsi" w:hAnsiTheme="minorHAnsi"/>
                <w:sz w:val="20"/>
                <w:lang w:eastAsia="en-AU"/>
              </w:rPr>
              <w:t>8 mg/kg/day</w:t>
            </w:r>
          </w:p>
        </w:tc>
      </w:tr>
      <w:tr w:rsidRPr="003A7895" w:rsidR="0034627F" w:rsidTr="0034627F" w14:paraId="60C1CEC7" w14:textId="77777777">
        <w:trPr>
          <w:trHeight w:val="144"/>
        </w:trPr>
        <w:tc>
          <w:tcPr>
            <w:tcW w:w="1730" w:type="dxa"/>
          </w:tcPr>
          <w:p w:rsidRPr="00B53E9B" w:rsidR="0034627F" w:rsidP="00FE4186" w:rsidRDefault="0034627F" w14:paraId="77698575" w14:textId="77777777">
            <w:pPr>
              <w:pStyle w:val="BodyText"/>
              <w:rPr>
                <w:rFonts w:cs="Arial"/>
                <w:b/>
                <w:bCs/>
                <w:sz w:val="20"/>
              </w:rPr>
            </w:pPr>
            <w:r w:rsidRPr="00B53E9B">
              <w:rPr>
                <w:b/>
                <w:sz w:val="20"/>
              </w:rPr>
              <w:t>Total cumulative dose</w:t>
            </w:r>
          </w:p>
        </w:tc>
        <w:tc>
          <w:tcPr>
            <w:tcW w:w="7655" w:type="dxa"/>
          </w:tcPr>
          <w:p w:rsidRPr="00026F20" w:rsidR="0034627F" w:rsidP="00FE4186" w:rsidRDefault="0034627F" w14:paraId="2631D4EA" w14:textId="77777777">
            <w:pPr>
              <w:pStyle w:val="BodyText"/>
              <w:rPr>
                <w:rFonts w:cs="Arial"/>
                <w:b/>
                <w:sz w:val="20"/>
              </w:rPr>
            </w:pPr>
          </w:p>
        </w:tc>
      </w:tr>
      <w:tr w:rsidRPr="003A7895" w:rsidR="0034627F" w:rsidTr="0034627F" w14:paraId="41D5570E" w14:textId="77777777">
        <w:trPr>
          <w:trHeight w:val="294"/>
        </w:trPr>
        <w:tc>
          <w:tcPr>
            <w:tcW w:w="1730" w:type="dxa"/>
          </w:tcPr>
          <w:p w:rsidRPr="00B53E9B" w:rsidR="0034627F" w:rsidP="00FE4186" w:rsidRDefault="0034627F" w14:paraId="062683DC" w14:textId="77777777">
            <w:pPr>
              <w:pStyle w:val="BodyText"/>
              <w:rPr>
                <w:rFonts w:cs="Arial"/>
                <w:sz w:val="20"/>
              </w:rPr>
            </w:pPr>
            <w:r w:rsidRPr="00B53E9B">
              <w:rPr>
                <w:rFonts w:cs="Arial"/>
                <w:b/>
                <w:bCs/>
                <w:sz w:val="20"/>
              </w:rPr>
              <w:t xml:space="preserve">Route </w:t>
            </w:r>
          </w:p>
        </w:tc>
        <w:tc>
          <w:tcPr>
            <w:tcW w:w="7655" w:type="dxa"/>
          </w:tcPr>
          <w:p w:rsidRPr="00026F20" w:rsidR="0034627F" w:rsidP="00FE4186" w:rsidRDefault="0034627F" w14:paraId="0E9D410D" w14:textId="77777777">
            <w:pPr>
              <w:pStyle w:val="BodyText"/>
              <w:rPr>
                <w:rFonts w:cs="Arial"/>
                <w:sz w:val="20"/>
              </w:rPr>
            </w:pPr>
            <w:r w:rsidRPr="00D33048">
              <w:rPr>
                <w:rFonts w:cs="Arial" w:asciiTheme="minorHAnsi" w:hAnsiTheme="minorHAnsi"/>
                <w:sz w:val="20"/>
              </w:rPr>
              <w:t>Oral</w:t>
            </w:r>
            <w:r>
              <w:rPr>
                <w:rFonts w:cs="Calibri" w:asciiTheme="minorHAnsi" w:hAnsiTheme="minorHAnsi"/>
                <w:sz w:val="20"/>
                <w:lang w:eastAsia="en-AU"/>
              </w:rPr>
              <w:t xml:space="preserve"> [preferred route]</w:t>
            </w:r>
            <w:r w:rsidRPr="00D33048">
              <w:rPr>
                <w:rFonts w:cs="Arial" w:asciiTheme="minorHAnsi" w:hAnsiTheme="minorHAnsi"/>
                <w:sz w:val="20"/>
              </w:rPr>
              <w:t xml:space="preserve"> or </w:t>
            </w:r>
            <w:r>
              <w:rPr>
                <w:rFonts w:cs="Arial" w:asciiTheme="minorHAnsi" w:hAnsiTheme="minorHAnsi"/>
                <w:sz w:val="20"/>
              </w:rPr>
              <w:t>IV</w:t>
            </w:r>
          </w:p>
        </w:tc>
      </w:tr>
      <w:tr w:rsidRPr="003A7895" w:rsidR="0034627F" w:rsidTr="0034627F" w14:paraId="51D8A11E" w14:textId="77777777">
        <w:trPr>
          <w:trHeight w:val="93"/>
        </w:trPr>
        <w:tc>
          <w:tcPr>
            <w:tcW w:w="1730" w:type="dxa"/>
            <w:shd w:val="clear" w:color="auto" w:fill="auto"/>
          </w:tcPr>
          <w:p w:rsidRPr="00B53E9B" w:rsidR="0034627F" w:rsidP="00FE4186" w:rsidRDefault="0034627F" w14:paraId="30798AEE" w14:textId="77777777">
            <w:pPr>
              <w:pStyle w:val="BodyText"/>
              <w:rPr>
                <w:rFonts w:cs="Arial"/>
                <w:b/>
                <w:bCs/>
                <w:sz w:val="20"/>
                <w:highlight w:val="cyan"/>
              </w:rPr>
            </w:pPr>
            <w:r w:rsidRPr="00786B81">
              <w:rPr>
                <w:rFonts w:cs="Arial"/>
                <w:b/>
                <w:bCs/>
                <w:sz w:val="20"/>
              </w:rPr>
              <w:t>Preparation (for IV administration)</w:t>
            </w:r>
          </w:p>
        </w:tc>
        <w:tc>
          <w:tcPr>
            <w:tcW w:w="7655" w:type="dxa"/>
          </w:tcPr>
          <w:p w:rsidR="0034627F" w:rsidP="00FE4186" w:rsidRDefault="0034627F" w14:paraId="41D393F1" w14:textId="77777777">
            <w:pPr>
              <w:pStyle w:val="BodyText"/>
              <w:rPr>
                <w:rFonts w:cs="Arial" w:asciiTheme="minorHAnsi" w:hAnsiTheme="minorHAnsi"/>
                <w:sz w:val="20"/>
              </w:rPr>
            </w:pPr>
            <w:r w:rsidRPr="00C5732A">
              <w:rPr>
                <w:rFonts w:cs="Arial"/>
                <w:sz w:val="20"/>
              </w:rPr>
              <w:t xml:space="preserve">Draw up 1mL (10mg of flecainide) and add 9mL of glucose 5% </w:t>
            </w:r>
            <w:r>
              <w:rPr>
                <w:rFonts w:cs="Arial"/>
                <w:sz w:val="20"/>
              </w:rPr>
              <w:t xml:space="preserve">to </w:t>
            </w:r>
            <w:r w:rsidRPr="00C5732A">
              <w:rPr>
                <w:rFonts w:cs="Arial"/>
                <w:sz w:val="20"/>
              </w:rPr>
              <w:t xml:space="preserve">make a final volume of 10 mL with a concentration of 1mg/mL. </w:t>
            </w:r>
            <w:r>
              <w:rPr>
                <w:rFonts w:cs="Arial" w:asciiTheme="minorHAnsi" w:hAnsiTheme="minorHAnsi"/>
                <w:sz w:val="20"/>
              </w:rPr>
              <w:t xml:space="preserve"> </w:t>
            </w:r>
          </w:p>
          <w:p w:rsidRPr="00D33048" w:rsidR="0034627F" w:rsidP="00FE4186" w:rsidRDefault="0034627F" w14:paraId="6CDF6954" w14:textId="77777777">
            <w:pPr>
              <w:pStyle w:val="BodyText"/>
              <w:rPr>
                <w:rFonts w:cs="Arial" w:asciiTheme="minorHAnsi" w:hAnsiTheme="minorHAnsi"/>
                <w:sz w:val="20"/>
              </w:rPr>
            </w:pPr>
            <w:r>
              <w:rPr>
                <w:rFonts w:cs="Arial" w:asciiTheme="minorHAnsi" w:hAnsiTheme="minorHAnsi"/>
                <w:sz w:val="20"/>
              </w:rPr>
              <w:t>It can also be administered undiluted.</w:t>
            </w:r>
          </w:p>
        </w:tc>
      </w:tr>
      <w:tr w:rsidRPr="003A7895" w:rsidR="0034627F" w:rsidTr="0034627F" w14:paraId="3D2A3E89" w14:textId="77777777">
        <w:trPr>
          <w:trHeight w:val="224"/>
        </w:trPr>
        <w:tc>
          <w:tcPr>
            <w:tcW w:w="1730" w:type="dxa"/>
          </w:tcPr>
          <w:p w:rsidRPr="00B53E9B" w:rsidR="0034627F" w:rsidP="00FE4186" w:rsidRDefault="0034627F" w14:paraId="7EA9E16C" w14:textId="77777777">
            <w:pPr>
              <w:pStyle w:val="BodyText"/>
              <w:rPr>
                <w:rFonts w:cs="Arial"/>
                <w:b/>
                <w:bCs/>
                <w:sz w:val="20"/>
              </w:rPr>
            </w:pPr>
            <w:r w:rsidRPr="00B53E9B">
              <w:rPr>
                <w:rFonts w:cs="Arial"/>
                <w:b/>
                <w:bCs/>
                <w:sz w:val="20"/>
              </w:rPr>
              <w:t xml:space="preserve">Administration </w:t>
            </w:r>
          </w:p>
        </w:tc>
        <w:tc>
          <w:tcPr>
            <w:tcW w:w="7655" w:type="dxa"/>
          </w:tcPr>
          <w:p w:rsidRPr="00D33048" w:rsidR="0034627F" w:rsidP="00FE4186" w:rsidRDefault="0034627F" w14:paraId="5639F128" w14:textId="77777777">
            <w:pPr>
              <w:rPr>
                <w:rFonts w:cs="Calibri" w:asciiTheme="minorHAnsi" w:hAnsiTheme="minorHAnsi"/>
                <w:sz w:val="20"/>
                <w:lang w:eastAsia="en-AU"/>
              </w:rPr>
            </w:pPr>
            <w:r w:rsidRPr="00786B81">
              <w:rPr>
                <w:rFonts w:cs="Calibri" w:asciiTheme="minorHAnsi" w:hAnsiTheme="minorHAnsi"/>
                <w:b/>
                <w:sz w:val="20"/>
                <w:lang w:eastAsia="en-AU"/>
              </w:rPr>
              <w:t>Oral</w:t>
            </w:r>
            <w:r w:rsidRPr="00D33048">
              <w:rPr>
                <w:rFonts w:cs="Calibri" w:asciiTheme="minorHAnsi" w:hAnsiTheme="minorHAnsi"/>
                <w:sz w:val="20"/>
                <w:lang w:eastAsia="en-AU"/>
              </w:rPr>
              <w:t>:</w:t>
            </w:r>
          </w:p>
          <w:p w:rsidRPr="00D33048" w:rsidR="0034627F" w:rsidP="00FE4186" w:rsidRDefault="0034627F" w14:paraId="07E56E5E" w14:textId="77777777">
            <w:pPr>
              <w:rPr>
                <w:rFonts w:cs="Calibri" w:asciiTheme="minorHAnsi" w:hAnsiTheme="minorHAnsi"/>
                <w:sz w:val="20"/>
                <w:lang w:eastAsia="en-AU"/>
              </w:rPr>
            </w:pPr>
            <w:r w:rsidRPr="00D33048">
              <w:rPr>
                <w:rFonts w:cs="Calibri" w:asciiTheme="minorHAnsi" w:hAnsiTheme="minorHAnsi"/>
                <w:sz w:val="20"/>
                <w:lang w:eastAsia="en-AU"/>
              </w:rPr>
              <w:t>Administer between milk feeds. Do not administer with milk. Milk decreases absorption</w:t>
            </w:r>
            <w:r>
              <w:rPr>
                <w:rFonts w:cs="Calibri" w:asciiTheme="minorHAnsi" w:hAnsiTheme="minorHAnsi"/>
                <w:sz w:val="20"/>
                <w:lang w:eastAsia="en-AU"/>
              </w:rPr>
              <w:t xml:space="preserve"> of the drug</w:t>
            </w:r>
            <w:r w:rsidRPr="00D33048">
              <w:rPr>
                <w:rFonts w:cs="Calibri" w:asciiTheme="minorHAnsi" w:hAnsiTheme="minorHAnsi"/>
                <w:sz w:val="20"/>
                <w:lang w:eastAsia="en-AU"/>
              </w:rPr>
              <w:t xml:space="preserve">. </w:t>
            </w:r>
          </w:p>
          <w:p w:rsidRPr="00D33048" w:rsidR="0034627F" w:rsidP="00FE4186" w:rsidRDefault="0034627F" w14:paraId="07C7AFAB" w14:textId="77777777">
            <w:pPr>
              <w:rPr>
                <w:rFonts w:cs="Calibri" w:asciiTheme="minorHAnsi" w:hAnsiTheme="minorHAnsi"/>
                <w:sz w:val="20"/>
                <w:lang w:eastAsia="en-AU"/>
              </w:rPr>
            </w:pPr>
          </w:p>
          <w:p w:rsidRPr="00D33048" w:rsidR="0034627F" w:rsidP="00FE4186" w:rsidRDefault="0034627F" w14:paraId="12AAEA59" w14:textId="77777777">
            <w:pPr>
              <w:rPr>
                <w:rFonts w:cs="Calibri" w:asciiTheme="minorHAnsi" w:hAnsiTheme="minorHAnsi"/>
                <w:sz w:val="20"/>
                <w:lang w:eastAsia="en-AU"/>
              </w:rPr>
            </w:pPr>
            <w:r>
              <w:rPr>
                <w:rFonts w:cs="Calibri" w:asciiTheme="minorHAnsi" w:hAnsiTheme="minorHAnsi"/>
                <w:sz w:val="20"/>
                <w:lang w:eastAsia="en-AU"/>
              </w:rPr>
              <w:t>IV</w:t>
            </w:r>
            <w:r w:rsidRPr="00D33048">
              <w:rPr>
                <w:rFonts w:cs="Calibri" w:asciiTheme="minorHAnsi" w:hAnsiTheme="minorHAnsi"/>
                <w:sz w:val="20"/>
                <w:lang w:eastAsia="en-AU"/>
              </w:rPr>
              <w:t>:</w:t>
            </w:r>
          </w:p>
          <w:p w:rsidRPr="00D33048" w:rsidR="0034627F" w:rsidP="00FE4186" w:rsidRDefault="0034627F" w14:paraId="41ED06CA" w14:textId="77777777">
            <w:pPr>
              <w:rPr>
                <w:rFonts w:cs="Calibri" w:asciiTheme="minorHAnsi" w:hAnsiTheme="minorHAnsi"/>
                <w:sz w:val="20"/>
                <w:lang w:eastAsia="en-AU"/>
              </w:rPr>
            </w:pPr>
            <w:r>
              <w:rPr>
                <w:rFonts w:cs="Calibri" w:asciiTheme="minorHAnsi" w:hAnsiTheme="minorHAnsi"/>
                <w:sz w:val="20"/>
                <w:lang w:eastAsia="en-AU"/>
              </w:rPr>
              <w:t>I</w:t>
            </w:r>
            <w:r w:rsidRPr="00D33048">
              <w:rPr>
                <w:rFonts w:cs="Calibri" w:asciiTheme="minorHAnsi" w:hAnsiTheme="minorHAnsi"/>
                <w:sz w:val="20"/>
                <w:lang w:eastAsia="en-AU"/>
              </w:rPr>
              <w:t xml:space="preserve">nfusion over </w:t>
            </w:r>
            <w:r>
              <w:rPr>
                <w:rFonts w:cs="Calibri" w:asciiTheme="minorHAnsi" w:hAnsiTheme="minorHAnsi"/>
                <w:sz w:val="20"/>
                <w:lang w:eastAsia="en-AU"/>
              </w:rPr>
              <w:t>at least</w:t>
            </w:r>
            <w:r w:rsidRPr="00D33048">
              <w:rPr>
                <w:rFonts w:cs="Calibri" w:asciiTheme="minorHAnsi" w:hAnsiTheme="minorHAnsi"/>
                <w:sz w:val="20"/>
                <w:lang w:eastAsia="en-AU"/>
              </w:rPr>
              <w:t xml:space="preserve"> 10 minutes.</w:t>
            </w:r>
            <w:r>
              <w:t xml:space="preserve"> </w:t>
            </w:r>
            <w:r>
              <w:rPr>
                <w:rFonts w:cs="Calibri" w:asciiTheme="minorHAnsi" w:hAnsiTheme="minorHAnsi"/>
                <w:sz w:val="20"/>
                <w:lang w:eastAsia="en-AU"/>
              </w:rPr>
              <w:t>Patient</w:t>
            </w:r>
            <w:r w:rsidRPr="00FC7791">
              <w:rPr>
                <w:rFonts w:cs="Calibri" w:asciiTheme="minorHAnsi" w:hAnsiTheme="minorHAnsi"/>
                <w:sz w:val="20"/>
                <w:lang w:eastAsia="en-AU"/>
              </w:rPr>
              <w:t xml:space="preserve"> needs to be monitored very closely with the potential for an acute d</w:t>
            </w:r>
            <w:r>
              <w:rPr>
                <w:rFonts w:cs="Calibri" w:asciiTheme="minorHAnsi" w:hAnsiTheme="minorHAnsi"/>
                <w:sz w:val="20"/>
                <w:lang w:eastAsia="en-AU"/>
              </w:rPr>
              <w:t>eterioration.</w:t>
            </w:r>
          </w:p>
        </w:tc>
      </w:tr>
      <w:tr w:rsidRPr="003A7895" w:rsidR="0034627F" w:rsidTr="0034627F" w14:paraId="526CC48A" w14:textId="77777777">
        <w:trPr>
          <w:trHeight w:val="215"/>
        </w:trPr>
        <w:tc>
          <w:tcPr>
            <w:tcW w:w="1730" w:type="dxa"/>
          </w:tcPr>
          <w:p w:rsidRPr="00B53E9B" w:rsidR="0034627F" w:rsidP="00FE4186" w:rsidRDefault="0034627F" w14:paraId="18ADEEBB" w14:textId="77777777">
            <w:pPr>
              <w:pStyle w:val="BodyText"/>
              <w:rPr>
                <w:rFonts w:cs="Arial"/>
                <w:b/>
                <w:bCs/>
                <w:sz w:val="20"/>
              </w:rPr>
            </w:pPr>
            <w:r w:rsidRPr="00B53E9B">
              <w:rPr>
                <w:rFonts w:cs="Arial"/>
                <w:b/>
                <w:bCs/>
                <w:sz w:val="20"/>
              </w:rPr>
              <w:t>Monitoring</w:t>
            </w:r>
          </w:p>
        </w:tc>
        <w:tc>
          <w:tcPr>
            <w:tcW w:w="7655" w:type="dxa"/>
          </w:tcPr>
          <w:p w:rsidR="0034627F" w:rsidP="00FE4186" w:rsidRDefault="0034627F" w14:paraId="63AC310E" w14:textId="77777777">
            <w:pPr>
              <w:rPr>
                <w:rFonts w:cs="Calibri" w:asciiTheme="minorHAnsi" w:hAnsiTheme="minorHAnsi"/>
                <w:sz w:val="20"/>
                <w:lang w:eastAsia="en-AU"/>
              </w:rPr>
            </w:pPr>
            <w:r w:rsidRPr="00D33048">
              <w:rPr>
                <w:rFonts w:cs="Calibri" w:asciiTheme="minorHAnsi" w:hAnsiTheme="minorHAnsi"/>
                <w:sz w:val="20"/>
                <w:lang w:eastAsia="en-AU"/>
              </w:rPr>
              <w:t xml:space="preserve">Initiate treatment in hospital with ECG monitoring in consultation with paediatric cardiologist. </w:t>
            </w:r>
          </w:p>
          <w:p w:rsidR="0034627F" w:rsidP="00FE4186" w:rsidRDefault="0034627F" w14:paraId="5FE2DDF8" w14:textId="77777777">
            <w:pPr>
              <w:rPr>
                <w:rFonts w:cs="Calibri" w:asciiTheme="minorHAnsi" w:hAnsiTheme="minorHAnsi"/>
                <w:sz w:val="20"/>
                <w:lang w:eastAsia="en-AU"/>
              </w:rPr>
            </w:pPr>
            <w:r>
              <w:rPr>
                <w:rFonts w:cs="Calibri" w:asciiTheme="minorHAnsi" w:hAnsiTheme="minorHAnsi"/>
                <w:sz w:val="20"/>
                <w:lang w:eastAsia="en-AU"/>
              </w:rPr>
              <w:t xml:space="preserve">When intravenous route is used, continuous ECG monitoring is mandatory. </w:t>
            </w:r>
          </w:p>
          <w:p w:rsidRPr="00D33048" w:rsidR="0034627F" w:rsidP="00FE4186" w:rsidRDefault="0034627F" w14:paraId="1D6A64EA" w14:textId="77777777">
            <w:pPr>
              <w:rPr>
                <w:rFonts w:cs="Calibri" w:asciiTheme="minorHAnsi" w:hAnsiTheme="minorHAnsi"/>
                <w:sz w:val="20"/>
                <w:lang w:eastAsia="en-AU"/>
              </w:rPr>
            </w:pPr>
            <w:r w:rsidRPr="00D33048">
              <w:rPr>
                <w:rFonts w:cs="Calibri" w:asciiTheme="minorHAnsi" w:hAnsiTheme="minorHAnsi"/>
                <w:sz w:val="20"/>
                <w:lang w:eastAsia="en-AU"/>
              </w:rPr>
              <w:t>Perform ECG when the dosage is increased – monitor QRS duration and dysrhythmia.</w:t>
            </w:r>
          </w:p>
          <w:p w:rsidRPr="00D33048" w:rsidR="0034627F" w:rsidP="00FE4186" w:rsidRDefault="0034627F" w14:paraId="15AE151D" w14:textId="77777777">
            <w:pPr>
              <w:rPr>
                <w:rFonts w:cs="Calibri" w:asciiTheme="minorHAnsi" w:hAnsiTheme="minorHAnsi"/>
                <w:sz w:val="20"/>
                <w:lang w:eastAsia="en-AU"/>
              </w:rPr>
            </w:pPr>
            <w:r w:rsidRPr="00D33048">
              <w:rPr>
                <w:rFonts w:cs="Calibri" w:asciiTheme="minorHAnsi" w:hAnsiTheme="minorHAnsi"/>
                <w:sz w:val="20"/>
                <w:lang w:eastAsia="en-AU"/>
              </w:rPr>
              <w:t xml:space="preserve">Therapeutic trough </w:t>
            </w:r>
            <w:r>
              <w:rPr>
                <w:rFonts w:cs="Calibri" w:asciiTheme="minorHAnsi" w:hAnsiTheme="minorHAnsi"/>
                <w:sz w:val="20"/>
                <w:lang w:eastAsia="en-AU"/>
              </w:rPr>
              <w:t>concentrations</w:t>
            </w:r>
            <w:r w:rsidRPr="00D33048">
              <w:rPr>
                <w:rFonts w:cs="Calibri" w:asciiTheme="minorHAnsi" w:hAnsiTheme="minorHAnsi"/>
                <w:sz w:val="20"/>
                <w:lang w:eastAsia="en-AU"/>
              </w:rPr>
              <w:t xml:space="preserve"> are not routinely required</w:t>
            </w:r>
            <w:r>
              <w:rPr>
                <w:rFonts w:cs="Calibri" w:asciiTheme="minorHAnsi" w:hAnsiTheme="minorHAnsi"/>
                <w:sz w:val="20"/>
                <w:lang w:eastAsia="en-AU"/>
              </w:rPr>
              <w:t xml:space="preserve"> (200–1000</w:t>
            </w:r>
            <w:r w:rsidRPr="00D33048">
              <w:rPr>
                <w:rFonts w:cs="Calibri" w:asciiTheme="minorHAnsi" w:hAnsiTheme="minorHAnsi"/>
                <w:sz w:val="20"/>
                <w:lang w:eastAsia="en-AU"/>
              </w:rPr>
              <w:t xml:space="preserve"> microgram/L). </w:t>
            </w:r>
          </w:p>
        </w:tc>
      </w:tr>
      <w:tr w:rsidRPr="003A7895" w:rsidR="0034627F" w:rsidTr="0034627F" w14:paraId="43050E0A" w14:textId="77777777">
        <w:trPr>
          <w:trHeight w:val="342"/>
        </w:trPr>
        <w:tc>
          <w:tcPr>
            <w:tcW w:w="1730" w:type="dxa"/>
          </w:tcPr>
          <w:p w:rsidRPr="00B53E9B" w:rsidR="0034627F" w:rsidP="00FE4186" w:rsidRDefault="0034627F" w14:paraId="31BCB528" w14:textId="77777777">
            <w:pPr>
              <w:pStyle w:val="BodyText"/>
              <w:rPr>
                <w:rFonts w:cs="Arial"/>
                <w:b/>
                <w:bCs/>
                <w:sz w:val="20"/>
              </w:rPr>
            </w:pPr>
            <w:r w:rsidRPr="00B53E9B">
              <w:rPr>
                <w:rFonts w:cs="Arial"/>
                <w:b/>
                <w:bCs/>
                <w:sz w:val="20"/>
              </w:rPr>
              <w:t>Contraindications</w:t>
            </w:r>
          </w:p>
        </w:tc>
        <w:tc>
          <w:tcPr>
            <w:tcW w:w="7655" w:type="dxa"/>
          </w:tcPr>
          <w:p w:rsidRPr="00D33048" w:rsidR="0034627F" w:rsidP="00FE4186" w:rsidRDefault="0034627F" w14:paraId="2F7E7CE6" w14:textId="77777777">
            <w:pPr>
              <w:rPr>
                <w:rFonts w:cs="Calibri" w:asciiTheme="minorHAnsi" w:hAnsiTheme="minorHAnsi"/>
                <w:sz w:val="20"/>
              </w:rPr>
            </w:pPr>
            <w:r w:rsidRPr="00D33048">
              <w:rPr>
                <w:rFonts w:cs="Calibri" w:asciiTheme="minorHAnsi" w:hAnsiTheme="minorHAnsi"/>
                <w:sz w:val="20"/>
              </w:rPr>
              <w:t xml:space="preserve">Cardiogenic shock. </w:t>
            </w:r>
          </w:p>
          <w:p w:rsidRPr="00D33048" w:rsidR="0034627F" w:rsidP="00FE4186" w:rsidRDefault="0034627F" w14:paraId="228A5454" w14:textId="77777777">
            <w:pPr>
              <w:rPr>
                <w:rFonts w:cs="Calibri" w:asciiTheme="minorHAnsi" w:hAnsiTheme="minorHAnsi"/>
                <w:sz w:val="20"/>
              </w:rPr>
            </w:pPr>
            <w:r w:rsidRPr="00D33048">
              <w:rPr>
                <w:rFonts w:cs="Calibri" w:asciiTheme="minorHAnsi" w:hAnsiTheme="minorHAnsi"/>
                <w:sz w:val="20"/>
              </w:rPr>
              <w:t xml:space="preserve">Hypersensitivity to flecainide. </w:t>
            </w:r>
          </w:p>
          <w:p w:rsidRPr="00D33048" w:rsidR="0034627F" w:rsidP="00FE4186" w:rsidRDefault="0034627F" w14:paraId="2FD1ED03" w14:textId="77777777">
            <w:pPr>
              <w:rPr>
                <w:rFonts w:cs="Arial" w:asciiTheme="minorHAnsi" w:hAnsiTheme="minorHAnsi"/>
                <w:sz w:val="20"/>
              </w:rPr>
            </w:pPr>
            <w:r w:rsidRPr="00D33048">
              <w:rPr>
                <w:rFonts w:cs="Arial" w:asciiTheme="minorHAnsi" w:hAnsiTheme="minorHAnsi"/>
                <w:sz w:val="20"/>
              </w:rPr>
              <w:lastRenderedPageBreak/>
              <w:t>Significant renal impairment (creatinine clearance &lt;</w:t>
            </w:r>
            <w:r>
              <w:rPr>
                <w:rFonts w:cs="Arial" w:asciiTheme="minorHAnsi" w:hAnsiTheme="minorHAnsi"/>
                <w:sz w:val="20"/>
              </w:rPr>
              <w:t xml:space="preserve"> </w:t>
            </w:r>
            <w:r w:rsidRPr="00D33048">
              <w:rPr>
                <w:rFonts w:cs="Arial" w:asciiTheme="minorHAnsi" w:hAnsiTheme="minorHAnsi"/>
                <w:sz w:val="20"/>
              </w:rPr>
              <w:t xml:space="preserve">50 </w:t>
            </w:r>
            <w:r>
              <w:rPr>
                <w:rFonts w:cs="Arial" w:asciiTheme="minorHAnsi" w:hAnsiTheme="minorHAnsi"/>
                <w:sz w:val="20"/>
              </w:rPr>
              <w:t>mL/min</w:t>
            </w:r>
            <w:r w:rsidRPr="00D33048">
              <w:rPr>
                <w:rFonts w:cs="Arial" w:asciiTheme="minorHAnsi" w:hAnsiTheme="minorHAnsi"/>
                <w:sz w:val="20"/>
              </w:rPr>
              <w:t xml:space="preserve">). </w:t>
            </w:r>
          </w:p>
          <w:p w:rsidRPr="00D33048" w:rsidR="0034627F" w:rsidP="00FE4186" w:rsidRDefault="0034627F" w14:paraId="237E6568" w14:textId="77777777">
            <w:pPr>
              <w:rPr>
                <w:rFonts w:asciiTheme="minorHAnsi" w:hAnsiTheme="minorHAnsi"/>
                <w:sz w:val="20"/>
              </w:rPr>
            </w:pPr>
            <w:r w:rsidRPr="00D33048">
              <w:rPr>
                <w:rFonts w:cs="Arial" w:asciiTheme="minorHAnsi" w:hAnsiTheme="minorHAnsi"/>
                <w:sz w:val="20"/>
              </w:rPr>
              <w:t xml:space="preserve">Reduced left ventricular ejection fraction. </w:t>
            </w:r>
          </w:p>
        </w:tc>
      </w:tr>
      <w:tr w:rsidRPr="003A7895" w:rsidR="0034627F" w:rsidTr="0034627F" w14:paraId="4C554178" w14:textId="77777777">
        <w:tc>
          <w:tcPr>
            <w:tcW w:w="1730" w:type="dxa"/>
          </w:tcPr>
          <w:p w:rsidRPr="00B53E9B" w:rsidR="0034627F" w:rsidP="00FE4186" w:rsidRDefault="0034627F" w14:paraId="33F86582" w14:textId="77777777">
            <w:pPr>
              <w:pStyle w:val="BodyText"/>
              <w:rPr>
                <w:rFonts w:cs="Arial"/>
                <w:b/>
                <w:bCs/>
                <w:sz w:val="20"/>
              </w:rPr>
            </w:pPr>
            <w:r w:rsidRPr="00B53E9B">
              <w:rPr>
                <w:sz w:val="20"/>
              </w:rPr>
              <w:lastRenderedPageBreak/>
              <w:br w:type="page"/>
            </w:r>
            <w:r w:rsidRPr="00B53E9B">
              <w:rPr>
                <w:rFonts w:cs="Arial"/>
                <w:b/>
                <w:bCs/>
                <w:sz w:val="20"/>
              </w:rPr>
              <w:t>Precautions</w:t>
            </w:r>
          </w:p>
        </w:tc>
        <w:tc>
          <w:tcPr>
            <w:tcW w:w="7655" w:type="dxa"/>
          </w:tcPr>
          <w:p w:rsidRPr="00D33048" w:rsidR="0034627F" w:rsidP="00FE4186" w:rsidRDefault="0034627F" w14:paraId="5B5AF7D4" w14:textId="77777777">
            <w:pPr>
              <w:pStyle w:val="BodyText"/>
              <w:rPr>
                <w:rFonts w:cs="Calibri" w:asciiTheme="minorHAnsi" w:hAnsiTheme="minorHAnsi"/>
                <w:sz w:val="20"/>
              </w:rPr>
            </w:pPr>
            <w:r w:rsidRPr="00D33048">
              <w:rPr>
                <w:rFonts w:cs="Calibri" w:asciiTheme="minorHAnsi" w:hAnsiTheme="minorHAnsi"/>
                <w:sz w:val="20"/>
                <w:lang w:eastAsia="en-AU"/>
              </w:rPr>
              <w:t>Use with caution in patients with</w:t>
            </w:r>
            <w:r w:rsidRPr="00D33048">
              <w:rPr>
                <w:rFonts w:cs="Arial" w:asciiTheme="minorHAnsi" w:hAnsiTheme="minorHAnsi"/>
                <w:sz w:val="20"/>
              </w:rPr>
              <w:t xml:space="preserve"> congenital heart disease or conduction system disease</w:t>
            </w:r>
            <w:r w:rsidRPr="00D33048">
              <w:rPr>
                <w:rFonts w:cs="Calibri" w:asciiTheme="minorHAnsi" w:hAnsiTheme="minorHAnsi"/>
                <w:sz w:val="20"/>
              </w:rPr>
              <w:t xml:space="preserve"> (right bundle branch block, with left hemiblock and without pacemaker; second- or third-degree atrioventricular block, without pacemaker; sick sinus syndrome </w:t>
            </w:r>
            <w:r>
              <w:rPr>
                <w:rFonts w:cs="Calibri" w:asciiTheme="minorHAnsi" w:hAnsiTheme="minorHAnsi"/>
                <w:sz w:val="20"/>
              </w:rPr>
              <w:t>[</w:t>
            </w:r>
            <w:r w:rsidRPr="00D33048">
              <w:rPr>
                <w:rFonts w:cs="Calibri" w:asciiTheme="minorHAnsi" w:hAnsiTheme="minorHAnsi"/>
                <w:sz w:val="20"/>
              </w:rPr>
              <w:t>bradycardia-tachycardia syndrome</w:t>
            </w:r>
            <w:r>
              <w:rPr>
                <w:rFonts w:cs="Calibri" w:asciiTheme="minorHAnsi" w:hAnsiTheme="minorHAnsi"/>
                <w:sz w:val="20"/>
              </w:rPr>
              <w:t>]</w:t>
            </w:r>
            <w:r w:rsidRPr="00D33048">
              <w:rPr>
                <w:rFonts w:cs="Calibri" w:asciiTheme="minorHAnsi" w:hAnsiTheme="minorHAnsi"/>
                <w:sz w:val="20"/>
              </w:rPr>
              <w:t>).</w:t>
            </w:r>
          </w:p>
          <w:p w:rsidRPr="00D33048" w:rsidR="0034627F" w:rsidP="00FE4186" w:rsidRDefault="0034627F" w14:paraId="4BE2646B" w14:textId="77777777">
            <w:pPr>
              <w:pStyle w:val="BodyText"/>
              <w:rPr>
                <w:rFonts w:cs="Calibri" w:asciiTheme="minorHAnsi" w:hAnsiTheme="minorHAnsi"/>
                <w:sz w:val="20"/>
                <w:lang w:eastAsia="en-AU"/>
              </w:rPr>
            </w:pPr>
            <w:r w:rsidRPr="00D33048">
              <w:rPr>
                <w:rFonts w:cs="Calibri" w:asciiTheme="minorHAnsi" w:hAnsiTheme="minorHAnsi"/>
                <w:sz w:val="20"/>
                <w:lang w:eastAsia="en-AU"/>
              </w:rPr>
              <w:t>Milk decreases oral flecainide absorption. Consider decreasing oral dose or dose monitoring if change of milk diet.</w:t>
            </w:r>
          </w:p>
          <w:p w:rsidRPr="00D33048" w:rsidR="0034627F" w:rsidP="00FE4186" w:rsidRDefault="0034627F" w14:paraId="473345FF" w14:textId="77777777">
            <w:pPr>
              <w:rPr>
                <w:rFonts w:cs="Calibri" w:asciiTheme="minorHAnsi" w:hAnsiTheme="minorHAnsi"/>
                <w:sz w:val="20"/>
                <w:lang w:eastAsia="en-AU"/>
              </w:rPr>
            </w:pPr>
            <w:r w:rsidRPr="00D33048">
              <w:rPr>
                <w:rFonts w:cs="Calibri" w:asciiTheme="minorHAnsi" w:hAnsiTheme="minorHAnsi"/>
                <w:sz w:val="20"/>
              </w:rPr>
              <w:t>Dosing adjustments are required in infants with renal impairment because 10% to 50% of a flecainide dose is excreted in the urine.</w:t>
            </w:r>
          </w:p>
          <w:p w:rsidRPr="00D33048" w:rsidR="0034627F" w:rsidP="00FE4186" w:rsidRDefault="0034627F" w14:paraId="15111B69" w14:textId="77777777">
            <w:pPr>
              <w:rPr>
                <w:rFonts w:cs="Calibri" w:asciiTheme="minorHAnsi" w:hAnsiTheme="minorHAnsi"/>
                <w:sz w:val="20"/>
                <w:lang w:eastAsia="en-AU"/>
              </w:rPr>
            </w:pPr>
            <w:r w:rsidRPr="00D33048">
              <w:rPr>
                <w:rFonts w:cs="Calibri" w:asciiTheme="minorHAnsi" w:hAnsiTheme="minorHAnsi"/>
                <w:sz w:val="20"/>
                <w:lang w:eastAsia="en-AU"/>
              </w:rPr>
              <w:t>Use with caution in significant hepatic impairment.</w:t>
            </w:r>
          </w:p>
        </w:tc>
      </w:tr>
      <w:tr w:rsidRPr="003A7895" w:rsidR="0034627F" w:rsidTr="0034627F" w14:paraId="7B24947B" w14:textId="77777777">
        <w:trPr>
          <w:trHeight w:val="70"/>
        </w:trPr>
        <w:tc>
          <w:tcPr>
            <w:tcW w:w="1730" w:type="dxa"/>
          </w:tcPr>
          <w:p w:rsidRPr="00B53E9B" w:rsidR="0034627F" w:rsidP="00FE4186" w:rsidRDefault="0034627F" w14:paraId="7DBD6684"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655" w:type="dxa"/>
          </w:tcPr>
          <w:p w:rsidRPr="00D33048" w:rsidR="0034627F" w:rsidP="00FE4186" w:rsidRDefault="0034627F" w14:paraId="6612D28F" w14:textId="77777777">
            <w:pPr>
              <w:rPr>
                <w:rFonts w:cs="Calibri" w:asciiTheme="minorHAnsi" w:hAnsiTheme="minorHAnsi"/>
                <w:sz w:val="20"/>
                <w:lang w:eastAsia="en-AU"/>
              </w:rPr>
            </w:pPr>
            <w:r>
              <w:rPr>
                <w:rFonts w:cs="Calibri" w:asciiTheme="minorHAnsi" w:hAnsiTheme="minorHAnsi"/>
                <w:sz w:val="20"/>
                <w:lang w:eastAsia="en-AU"/>
              </w:rPr>
              <w:t>Use of any of the d</w:t>
            </w:r>
            <w:r w:rsidRPr="00D33048">
              <w:rPr>
                <w:rFonts w:cs="Calibri" w:asciiTheme="minorHAnsi" w:hAnsiTheme="minorHAnsi"/>
                <w:sz w:val="20"/>
                <w:lang w:eastAsia="en-AU"/>
              </w:rPr>
              <w:t>rugs prolonging QT interval (cisapride, amiodarone, clarithromycin, chloral hydrate, ciprofloxacin, erythromycin, octreotide, sodium phosphate, vasopressin, ketoconazole, fluconazole, hydrochlorothiazide, azithromycin, propranolol, digoxin, verapamil)</w:t>
            </w:r>
            <w:r>
              <w:rPr>
                <w:rFonts w:cs="Calibri" w:asciiTheme="minorHAnsi" w:hAnsiTheme="minorHAnsi"/>
                <w:sz w:val="20"/>
                <w:lang w:eastAsia="en-AU"/>
              </w:rPr>
              <w:t xml:space="preserve"> with flecainide can lead to significant increase in QT interval. </w:t>
            </w:r>
          </w:p>
        </w:tc>
      </w:tr>
      <w:tr w:rsidRPr="003A7895" w:rsidR="0034627F" w:rsidTr="0034627F" w14:paraId="3BC54F03" w14:textId="77777777">
        <w:trPr>
          <w:trHeight w:val="332"/>
        </w:trPr>
        <w:tc>
          <w:tcPr>
            <w:tcW w:w="1730" w:type="dxa"/>
          </w:tcPr>
          <w:p w:rsidRPr="00B53E9B" w:rsidR="0034627F" w:rsidP="00FE4186" w:rsidRDefault="0034627F" w14:paraId="45613F66"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655" w:type="dxa"/>
          </w:tcPr>
          <w:p w:rsidR="0034627F" w:rsidP="00FE4186" w:rsidRDefault="0034627F" w14:paraId="3ECA0AB1" w14:textId="77777777">
            <w:pPr>
              <w:rPr>
                <w:rFonts w:cs="Calibri" w:asciiTheme="minorHAnsi" w:hAnsiTheme="minorHAnsi"/>
                <w:b/>
                <w:bCs/>
                <w:sz w:val="20"/>
                <w:lang w:eastAsia="en-AU"/>
              </w:rPr>
            </w:pPr>
            <w:r w:rsidRPr="004C46FC">
              <w:rPr>
                <w:rFonts w:cs="Calibri" w:asciiTheme="minorHAnsi" w:hAnsiTheme="minorHAnsi"/>
                <w:b/>
                <w:bCs/>
                <w:sz w:val="20"/>
                <w:lang w:eastAsia="en-AU"/>
              </w:rPr>
              <w:t xml:space="preserve">Adults: </w:t>
            </w:r>
          </w:p>
          <w:p w:rsidRPr="00D33048" w:rsidR="0034627F" w:rsidP="00FE4186" w:rsidRDefault="0034627F" w14:paraId="6808EB96" w14:textId="77777777">
            <w:pPr>
              <w:rPr>
                <w:rFonts w:cs="Calibri" w:asciiTheme="minorHAnsi" w:hAnsiTheme="minorHAnsi"/>
                <w:sz w:val="20"/>
                <w:lang w:eastAsia="en-AU"/>
              </w:rPr>
            </w:pPr>
            <w:r w:rsidRPr="00D33048">
              <w:rPr>
                <w:rFonts w:cs="Calibri" w:asciiTheme="minorHAnsi" w:hAnsiTheme="minorHAnsi"/>
                <w:b/>
                <w:bCs/>
                <w:sz w:val="20"/>
                <w:lang w:eastAsia="en-AU"/>
              </w:rPr>
              <w:t>Common</w:t>
            </w:r>
          </w:p>
          <w:p w:rsidRPr="00D33048" w:rsidR="0034627F" w:rsidP="00FE4186" w:rsidRDefault="0034627F" w14:paraId="3942B7AE" w14:textId="77777777">
            <w:pPr>
              <w:rPr>
                <w:rFonts w:cs="Calibri" w:asciiTheme="minorHAnsi" w:hAnsiTheme="minorHAnsi"/>
                <w:sz w:val="20"/>
                <w:lang w:eastAsia="en-AU"/>
              </w:rPr>
            </w:pPr>
            <w:r w:rsidRPr="00D33048">
              <w:rPr>
                <w:rFonts w:cs="Calibri" w:asciiTheme="minorHAnsi" w:hAnsiTheme="minorHAnsi"/>
                <w:bCs/>
                <w:sz w:val="20"/>
                <w:lang w:eastAsia="en-AU"/>
              </w:rPr>
              <w:t xml:space="preserve">Cardiovascular: </w:t>
            </w:r>
            <w:r w:rsidRPr="00D33048">
              <w:rPr>
                <w:rFonts w:cs="Calibri" w:asciiTheme="minorHAnsi" w:hAnsiTheme="minorHAnsi"/>
                <w:sz w:val="20"/>
                <w:lang w:eastAsia="en-AU"/>
              </w:rPr>
              <w:t xml:space="preserve">Palpitations (6.1%); </w:t>
            </w:r>
            <w:r w:rsidRPr="00D33048">
              <w:rPr>
                <w:rFonts w:cs="Calibri" w:asciiTheme="minorHAnsi" w:hAnsiTheme="minorHAnsi"/>
                <w:bCs/>
                <w:sz w:val="20"/>
                <w:lang w:eastAsia="en-AU"/>
              </w:rPr>
              <w:t xml:space="preserve">Gastrointestinal: </w:t>
            </w:r>
            <w:r w:rsidRPr="00D33048">
              <w:rPr>
                <w:rFonts w:cs="Calibri" w:asciiTheme="minorHAnsi" w:hAnsiTheme="minorHAnsi"/>
                <w:sz w:val="20"/>
                <w:lang w:eastAsia="en-AU"/>
              </w:rPr>
              <w:t xml:space="preserve">Nausea (up to 10%); </w:t>
            </w:r>
            <w:r w:rsidRPr="00D33048">
              <w:rPr>
                <w:rFonts w:cs="Calibri" w:asciiTheme="minorHAnsi" w:hAnsiTheme="minorHAnsi"/>
                <w:bCs/>
                <w:sz w:val="20"/>
                <w:lang w:eastAsia="en-AU"/>
              </w:rPr>
              <w:t>Neurologi</w:t>
            </w:r>
            <w:r>
              <w:rPr>
                <w:rFonts w:cs="Calibri" w:asciiTheme="minorHAnsi" w:hAnsiTheme="minorHAnsi"/>
                <w:bCs/>
                <w:sz w:val="20"/>
                <w:lang w:eastAsia="en-AU"/>
              </w:rPr>
              <w:t>cal</w:t>
            </w:r>
            <w:r w:rsidRPr="00D33048">
              <w:rPr>
                <w:rFonts w:cs="Calibri" w:asciiTheme="minorHAnsi" w:hAnsiTheme="minorHAnsi"/>
                <w:bCs/>
                <w:sz w:val="20"/>
                <w:lang w:eastAsia="en-AU"/>
              </w:rPr>
              <w:t xml:space="preserve">: </w:t>
            </w:r>
            <w:r w:rsidRPr="00D33048">
              <w:rPr>
                <w:rFonts w:cs="Calibri" w:asciiTheme="minorHAnsi" w:hAnsiTheme="minorHAnsi"/>
                <w:sz w:val="20"/>
                <w:lang w:eastAsia="en-AU"/>
              </w:rPr>
              <w:t xml:space="preserve">Dizziness (18.9% to 30%), Headache (4.5% to 9.6%); </w:t>
            </w:r>
            <w:r w:rsidRPr="00D33048">
              <w:rPr>
                <w:rFonts w:cs="Calibri" w:asciiTheme="minorHAnsi" w:hAnsiTheme="minorHAnsi"/>
                <w:bCs/>
                <w:sz w:val="20"/>
                <w:lang w:eastAsia="en-AU"/>
              </w:rPr>
              <w:t>Ophthalm</w:t>
            </w:r>
            <w:r>
              <w:rPr>
                <w:rFonts w:cs="Calibri" w:asciiTheme="minorHAnsi" w:hAnsiTheme="minorHAnsi"/>
                <w:bCs/>
                <w:sz w:val="20"/>
                <w:lang w:eastAsia="en-AU"/>
              </w:rPr>
              <w:t>ological</w:t>
            </w:r>
            <w:r w:rsidRPr="00D33048">
              <w:rPr>
                <w:rFonts w:cs="Calibri" w:asciiTheme="minorHAnsi" w:hAnsiTheme="minorHAnsi"/>
                <w:bCs/>
                <w:sz w:val="20"/>
                <w:lang w:eastAsia="en-AU"/>
              </w:rPr>
              <w:t xml:space="preserve">: </w:t>
            </w:r>
            <w:r w:rsidRPr="00D33048">
              <w:rPr>
                <w:rFonts w:cs="Calibri" w:asciiTheme="minorHAnsi" w:hAnsiTheme="minorHAnsi"/>
                <w:sz w:val="20"/>
                <w:lang w:eastAsia="en-AU"/>
              </w:rPr>
              <w:t xml:space="preserve">Blurred vision (10% to 38%), Photopsia (up to 30%); </w:t>
            </w:r>
            <w:r w:rsidRPr="00D33048">
              <w:rPr>
                <w:rFonts w:cs="Calibri" w:asciiTheme="minorHAnsi" w:hAnsiTheme="minorHAnsi"/>
                <w:bCs/>
                <w:sz w:val="20"/>
                <w:lang w:eastAsia="en-AU"/>
              </w:rPr>
              <w:t xml:space="preserve">Respiratory: </w:t>
            </w:r>
            <w:r w:rsidRPr="00D33048">
              <w:rPr>
                <w:rFonts w:cs="Calibri" w:asciiTheme="minorHAnsi" w:hAnsiTheme="minorHAnsi"/>
                <w:sz w:val="20"/>
                <w:lang w:eastAsia="en-AU"/>
              </w:rPr>
              <w:t xml:space="preserve">Dyspnoea (up to 10.3%); </w:t>
            </w:r>
            <w:r w:rsidRPr="00D33048">
              <w:rPr>
                <w:rFonts w:cs="Calibri" w:asciiTheme="minorHAnsi" w:hAnsiTheme="minorHAnsi"/>
                <w:bCs/>
                <w:sz w:val="20"/>
                <w:lang w:eastAsia="en-AU"/>
              </w:rPr>
              <w:t xml:space="preserve">Other: </w:t>
            </w:r>
            <w:r w:rsidRPr="00D33048">
              <w:rPr>
                <w:rFonts w:cs="Calibri" w:asciiTheme="minorHAnsi" w:hAnsiTheme="minorHAnsi"/>
                <w:sz w:val="20"/>
                <w:lang w:eastAsia="en-AU"/>
              </w:rPr>
              <w:t xml:space="preserve">Fatigue (7.7%). </w:t>
            </w:r>
          </w:p>
          <w:p w:rsidRPr="00D33048" w:rsidR="0034627F" w:rsidP="00FE4186" w:rsidRDefault="0034627F" w14:paraId="4F8D4E0D" w14:textId="77777777">
            <w:pPr>
              <w:rPr>
                <w:rFonts w:cs="Calibri" w:asciiTheme="minorHAnsi" w:hAnsiTheme="minorHAnsi"/>
                <w:sz w:val="20"/>
                <w:lang w:eastAsia="en-AU"/>
              </w:rPr>
            </w:pPr>
            <w:r w:rsidRPr="00D33048">
              <w:rPr>
                <w:rFonts w:cs="Calibri" w:asciiTheme="minorHAnsi" w:hAnsiTheme="minorHAnsi"/>
                <w:b/>
                <w:bCs/>
                <w:sz w:val="20"/>
                <w:lang w:eastAsia="en-AU"/>
              </w:rPr>
              <w:t>Serious</w:t>
            </w:r>
          </w:p>
          <w:p w:rsidRPr="00D33048" w:rsidR="0034627F" w:rsidP="00FE4186" w:rsidRDefault="0034627F" w14:paraId="7AF81944" w14:textId="77777777">
            <w:pPr>
              <w:rPr>
                <w:rFonts w:cs="Calibri" w:asciiTheme="minorHAnsi" w:hAnsiTheme="minorHAnsi"/>
                <w:sz w:val="20"/>
                <w:lang w:eastAsia="en-AU"/>
              </w:rPr>
            </w:pPr>
            <w:r w:rsidRPr="00D33048">
              <w:rPr>
                <w:rFonts w:cs="Calibri" w:asciiTheme="minorHAnsi" w:hAnsiTheme="minorHAnsi"/>
                <w:sz w:val="20"/>
                <w:lang w:eastAsia="en-AU"/>
              </w:rPr>
              <w:t xml:space="preserve">Cardiac arrest, </w:t>
            </w:r>
            <w:r>
              <w:rPr>
                <w:rFonts w:cs="Calibri" w:asciiTheme="minorHAnsi" w:hAnsiTheme="minorHAnsi"/>
                <w:sz w:val="20"/>
                <w:lang w:eastAsia="en-AU"/>
              </w:rPr>
              <w:t>c</w:t>
            </w:r>
            <w:r w:rsidRPr="00D33048">
              <w:rPr>
                <w:rFonts w:cs="Calibri" w:asciiTheme="minorHAnsi" w:hAnsiTheme="minorHAnsi"/>
                <w:sz w:val="20"/>
                <w:lang w:eastAsia="en-AU"/>
              </w:rPr>
              <w:t xml:space="preserve">ardiac dysrhythmia, </w:t>
            </w:r>
            <w:r>
              <w:rPr>
                <w:rFonts w:cs="Calibri" w:asciiTheme="minorHAnsi" w:hAnsiTheme="minorHAnsi"/>
                <w:sz w:val="20"/>
                <w:lang w:eastAsia="en-AU"/>
              </w:rPr>
              <w:t>c</w:t>
            </w:r>
            <w:r w:rsidRPr="00D33048">
              <w:rPr>
                <w:rFonts w:cs="Calibri" w:asciiTheme="minorHAnsi" w:hAnsiTheme="minorHAnsi"/>
                <w:sz w:val="20"/>
                <w:lang w:eastAsia="en-AU"/>
              </w:rPr>
              <w:t xml:space="preserve">ardiogenic shock, </w:t>
            </w:r>
            <w:r>
              <w:rPr>
                <w:rFonts w:cs="Calibri" w:asciiTheme="minorHAnsi" w:hAnsiTheme="minorHAnsi"/>
                <w:sz w:val="20"/>
                <w:lang w:eastAsia="en-AU"/>
              </w:rPr>
              <w:t>d</w:t>
            </w:r>
            <w:r w:rsidRPr="00D33048">
              <w:rPr>
                <w:rFonts w:cs="Calibri" w:asciiTheme="minorHAnsi" w:hAnsiTheme="minorHAnsi"/>
                <w:sz w:val="20"/>
                <w:lang w:eastAsia="en-AU"/>
              </w:rPr>
              <w:t xml:space="preserve">isorder of pacing function, </w:t>
            </w:r>
            <w:r>
              <w:rPr>
                <w:rFonts w:cs="Calibri" w:asciiTheme="minorHAnsi" w:hAnsiTheme="minorHAnsi"/>
                <w:sz w:val="20"/>
                <w:lang w:eastAsia="en-AU"/>
              </w:rPr>
              <w:t>e</w:t>
            </w:r>
            <w:r w:rsidRPr="00D33048">
              <w:rPr>
                <w:rFonts w:cs="Calibri" w:asciiTheme="minorHAnsi" w:hAnsiTheme="minorHAnsi"/>
                <w:sz w:val="20"/>
                <w:lang w:eastAsia="en-AU"/>
              </w:rPr>
              <w:t>lectrocardiogram abnorma</w:t>
            </w:r>
            <w:r>
              <w:rPr>
                <w:rFonts w:cs="Calibri" w:asciiTheme="minorHAnsi" w:hAnsiTheme="minorHAnsi"/>
                <w:sz w:val="20"/>
                <w:lang w:eastAsia="en-AU"/>
              </w:rPr>
              <w:t>lities</w:t>
            </w:r>
            <w:r w:rsidRPr="00D33048">
              <w:rPr>
                <w:rFonts w:cs="Calibri" w:asciiTheme="minorHAnsi" w:hAnsiTheme="minorHAnsi"/>
                <w:sz w:val="20"/>
                <w:lang w:eastAsia="en-AU"/>
              </w:rPr>
              <w:t xml:space="preserve">, </w:t>
            </w:r>
            <w:r>
              <w:rPr>
                <w:rFonts w:cs="Calibri" w:asciiTheme="minorHAnsi" w:hAnsiTheme="minorHAnsi"/>
                <w:sz w:val="20"/>
                <w:lang w:eastAsia="en-AU"/>
              </w:rPr>
              <w:t>h</w:t>
            </w:r>
            <w:r w:rsidRPr="00D33048">
              <w:rPr>
                <w:rFonts w:cs="Calibri" w:asciiTheme="minorHAnsi" w:hAnsiTheme="minorHAnsi"/>
                <w:sz w:val="20"/>
                <w:lang w:eastAsia="en-AU"/>
              </w:rPr>
              <w:t xml:space="preserve">eart block, </w:t>
            </w:r>
            <w:r>
              <w:rPr>
                <w:rFonts w:cs="Calibri" w:asciiTheme="minorHAnsi" w:hAnsiTheme="minorHAnsi"/>
                <w:sz w:val="20"/>
                <w:lang w:eastAsia="en-AU"/>
              </w:rPr>
              <w:t>h</w:t>
            </w:r>
            <w:r w:rsidRPr="00D33048">
              <w:rPr>
                <w:rFonts w:cs="Calibri" w:asciiTheme="minorHAnsi" w:hAnsiTheme="minorHAnsi"/>
                <w:sz w:val="20"/>
                <w:lang w:eastAsia="en-AU"/>
              </w:rPr>
              <w:t xml:space="preserve">eart failure </w:t>
            </w:r>
            <w:r>
              <w:rPr>
                <w:rFonts w:cs="Calibri" w:asciiTheme="minorHAnsi" w:hAnsiTheme="minorHAnsi"/>
                <w:sz w:val="20"/>
                <w:lang w:eastAsia="en-AU"/>
              </w:rPr>
              <w:t>(n</w:t>
            </w:r>
            <w:r w:rsidRPr="00D33048">
              <w:rPr>
                <w:rFonts w:cs="Calibri" w:asciiTheme="minorHAnsi" w:hAnsiTheme="minorHAnsi"/>
                <w:sz w:val="20"/>
                <w:lang w:eastAsia="en-AU"/>
              </w:rPr>
              <w:t xml:space="preserve">ew onset or worsening </w:t>
            </w:r>
            <w:r>
              <w:rPr>
                <w:rFonts w:cs="Calibri" w:asciiTheme="minorHAnsi" w:hAnsiTheme="minorHAnsi"/>
                <w:sz w:val="20"/>
                <w:lang w:eastAsia="en-AU"/>
              </w:rPr>
              <w:t>[</w:t>
            </w:r>
            <w:r w:rsidRPr="00D33048">
              <w:rPr>
                <w:rFonts w:cs="Calibri" w:asciiTheme="minorHAnsi" w:hAnsiTheme="minorHAnsi"/>
                <w:sz w:val="20"/>
                <w:lang w:eastAsia="en-AU"/>
              </w:rPr>
              <w:t>up to 25.7%</w:t>
            </w:r>
            <w:r>
              <w:rPr>
                <w:rFonts w:cs="Calibri" w:asciiTheme="minorHAnsi" w:hAnsiTheme="minorHAnsi"/>
                <w:sz w:val="20"/>
                <w:lang w:eastAsia="en-AU"/>
              </w:rPr>
              <w:t>]</w:t>
            </w:r>
            <w:r w:rsidRPr="00D33048">
              <w:rPr>
                <w:rFonts w:cs="Calibri" w:asciiTheme="minorHAnsi" w:hAnsiTheme="minorHAnsi"/>
                <w:sz w:val="20"/>
                <w:lang w:eastAsia="en-AU"/>
              </w:rPr>
              <w:t xml:space="preserve">), </w:t>
            </w:r>
            <w:r>
              <w:rPr>
                <w:rFonts w:cs="Calibri" w:asciiTheme="minorHAnsi" w:hAnsiTheme="minorHAnsi"/>
                <w:sz w:val="20"/>
                <w:lang w:eastAsia="en-AU"/>
              </w:rPr>
              <w:t>p</w:t>
            </w:r>
            <w:r w:rsidRPr="00D33048">
              <w:rPr>
                <w:rFonts w:cs="Calibri" w:asciiTheme="minorHAnsi" w:hAnsiTheme="minorHAnsi"/>
                <w:sz w:val="20"/>
                <w:lang w:eastAsia="en-AU"/>
              </w:rPr>
              <w:t xml:space="preserve">rolonged QT interval, </w:t>
            </w:r>
            <w:r>
              <w:rPr>
                <w:rFonts w:cs="Calibri" w:asciiTheme="minorHAnsi" w:hAnsiTheme="minorHAnsi"/>
                <w:sz w:val="20"/>
                <w:lang w:eastAsia="en-AU"/>
              </w:rPr>
              <w:t>s</w:t>
            </w:r>
            <w:r w:rsidRPr="00D33048">
              <w:rPr>
                <w:rFonts w:cs="Calibri" w:asciiTheme="minorHAnsi" w:hAnsiTheme="minorHAnsi"/>
                <w:sz w:val="20"/>
                <w:lang w:eastAsia="en-AU"/>
              </w:rPr>
              <w:t xml:space="preserve">inus node dysfunction (1% to less than 3% ), </w:t>
            </w:r>
            <w:r>
              <w:rPr>
                <w:rFonts w:cs="Calibri" w:asciiTheme="minorHAnsi" w:hAnsiTheme="minorHAnsi"/>
                <w:sz w:val="20"/>
                <w:lang w:eastAsia="en-AU"/>
              </w:rPr>
              <w:t>s</w:t>
            </w:r>
            <w:r w:rsidRPr="00D33048">
              <w:rPr>
                <w:rFonts w:cs="Calibri" w:asciiTheme="minorHAnsi" w:hAnsiTheme="minorHAnsi"/>
                <w:sz w:val="20"/>
                <w:lang w:eastAsia="en-AU"/>
              </w:rPr>
              <w:t xml:space="preserve">yncope (1% to less than 3% ), </w:t>
            </w:r>
            <w:r>
              <w:rPr>
                <w:rFonts w:cs="Calibri" w:asciiTheme="minorHAnsi" w:hAnsiTheme="minorHAnsi"/>
                <w:sz w:val="20"/>
                <w:lang w:eastAsia="en-AU"/>
              </w:rPr>
              <w:t>t</w:t>
            </w:r>
            <w:r w:rsidRPr="00D33048">
              <w:rPr>
                <w:rFonts w:cs="Calibri" w:asciiTheme="minorHAnsi" w:hAnsiTheme="minorHAnsi"/>
                <w:sz w:val="20"/>
                <w:lang w:eastAsia="en-AU"/>
              </w:rPr>
              <w:t xml:space="preserve">orsades de pointes, </w:t>
            </w:r>
            <w:r>
              <w:rPr>
                <w:rFonts w:cs="Calibri" w:asciiTheme="minorHAnsi" w:hAnsiTheme="minorHAnsi"/>
                <w:sz w:val="20"/>
                <w:lang w:eastAsia="en-AU"/>
              </w:rPr>
              <w:t>v</w:t>
            </w:r>
            <w:r w:rsidRPr="00D33048">
              <w:rPr>
                <w:rFonts w:cs="Calibri" w:asciiTheme="minorHAnsi" w:hAnsiTheme="minorHAnsi"/>
                <w:sz w:val="20"/>
                <w:lang w:eastAsia="en-AU"/>
              </w:rPr>
              <w:t xml:space="preserve">entricular fibrillation, </w:t>
            </w:r>
            <w:r>
              <w:rPr>
                <w:rFonts w:cs="Calibri" w:asciiTheme="minorHAnsi" w:hAnsiTheme="minorHAnsi"/>
                <w:sz w:val="20"/>
                <w:lang w:eastAsia="en-AU"/>
              </w:rPr>
              <w:t>v</w:t>
            </w:r>
            <w:r w:rsidRPr="00D33048">
              <w:rPr>
                <w:rFonts w:cs="Calibri" w:asciiTheme="minorHAnsi" w:hAnsiTheme="minorHAnsi"/>
                <w:sz w:val="20"/>
                <w:lang w:eastAsia="en-AU"/>
              </w:rPr>
              <w:t>entricular tachycardia</w:t>
            </w:r>
            <w:r>
              <w:rPr>
                <w:rFonts w:cs="Calibri" w:asciiTheme="minorHAnsi" w:hAnsiTheme="minorHAnsi"/>
                <w:sz w:val="20"/>
                <w:lang w:eastAsia="en-AU"/>
              </w:rPr>
              <w:t>.</w:t>
            </w:r>
          </w:p>
          <w:p w:rsidRPr="00D33048" w:rsidR="0034627F" w:rsidP="00FE4186" w:rsidRDefault="0034627F" w14:paraId="1AEE5006" w14:textId="77777777">
            <w:pPr>
              <w:pStyle w:val="BodyText"/>
              <w:rPr>
                <w:rFonts w:cs="Calibri" w:asciiTheme="minorHAnsi" w:hAnsiTheme="minorHAnsi"/>
                <w:sz w:val="20"/>
              </w:rPr>
            </w:pPr>
            <w:r w:rsidRPr="00D33048">
              <w:rPr>
                <w:rFonts w:cs="Calibri" w:asciiTheme="minorHAnsi" w:hAnsiTheme="minorHAnsi"/>
                <w:b/>
                <w:sz w:val="20"/>
              </w:rPr>
              <w:t>Children</w:t>
            </w:r>
            <w:r>
              <w:rPr>
                <w:rFonts w:cs="Calibri" w:asciiTheme="minorHAnsi" w:hAnsiTheme="minorHAnsi"/>
                <w:b/>
                <w:sz w:val="20"/>
              </w:rPr>
              <w:t>:</w:t>
            </w:r>
            <w:r w:rsidRPr="00D33048">
              <w:rPr>
                <w:rFonts w:cs="Calibri" w:asciiTheme="minorHAnsi" w:hAnsiTheme="minorHAnsi"/>
                <w:sz w:val="20"/>
              </w:rPr>
              <w:t xml:space="preserve"> </w:t>
            </w:r>
          </w:p>
          <w:p w:rsidRPr="00D33048" w:rsidR="0034627F" w:rsidP="00FE4186" w:rsidRDefault="0034627F" w14:paraId="4380B5A5" w14:textId="77777777">
            <w:pPr>
              <w:pStyle w:val="BodyText"/>
              <w:rPr>
                <w:rFonts w:cs="Calibri" w:asciiTheme="minorHAnsi" w:hAnsiTheme="minorHAnsi"/>
                <w:sz w:val="20"/>
              </w:rPr>
            </w:pPr>
            <w:r w:rsidRPr="00D33048">
              <w:rPr>
                <w:rFonts w:cs="Calibri" w:asciiTheme="minorHAnsi" w:hAnsiTheme="minorHAnsi"/>
                <w:sz w:val="20"/>
              </w:rPr>
              <w:t>Dizziness, blurred vision and headache have been reported in children.</w:t>
            </w:r>
          </w:p>
        </w:tc>
      </w:tr>
      <w:tr w:rsidRPr="003A7895" w:rsidR="0034627F" w:rsidTr="0034627F" w14:paraId="6E2803E4" w14:textId="77777777">
        <w:trPr>
          <w:trHeight w:val="180"/>
        </w:trPr>
        <w:tc>
          <w:tcPr>
            <w:tcW w:w="1730" w:type="dxa"/>
          </w:tcPr>
          <w:p w:rsidRPr="00B53E9B" w:rsidR="0034627F" w:rsidP="00FE4186" w:rsidRDefault="0034627F" w14:paraId="1B74F84A" w14:textId="77777777">
            <w:pPr>
              <w:pStyle w:val="BodyText"/>
              <w:rPr>
                <w:rFonts w:cs="Arial"/>
                <w:b/>
                <w:bCs/>
                <w:sz w:val="20"/>
              </w:rPr>
            </w:pPr>
            <w:r w:rsidRPr="00B53E9B">
              <w:rPr>
                <w:rFonts w:cs="Arial"/>
                <w:b/>
                <w:bCs/>
                <w:sz w:val="20"/>
              </w:rPr>
              <w:t>Compatibility</w:t>
            </w:r>
          </w:p>
        </w:tc>
        <w:tc>
          <w:tcPr>
            <w:tcW w:w="7655" w:type="dxa"/>
          </w:tcPr>
          <w:p w:rsidRPr="00D33048" w:rsidR="0034627F" w:rsidP="00FE4186" w:rsidRDefault="0034627F" w14:paraId="7165EC52" w14:textId="77777777">
            <w:pPr>
              <w:rPr>
                <w:rFonts w:cs="Arial" w:asciiTheme="minorHAnsi" w:hAnsiTheme="minorHAnsi"/>
                <w:sz w:val="20"/>
              </w:rPr>
            </w:pPr>
            <w:r w:rsidRPr="00D33048">
              <w:rPr>
                <w:rFonts w:cs="Calibri" w:asciiTheme="minorHAnsi" w:hAnsiTheme="minorHAnsi"/>
                <w:sz w:val="20"/>
                <w:lang w:eastAsia="en-AU"/>
              </w:rPr>
              <w:t>5% glucose</w:t>
            </w:r>
          </w:p>
        </w:tc>
      </w:tr>
      <w:tr w:rsidRPr="003A7895" w:rsidR="0034627F" w:rsidTr="0034627F" w14:paraId="2BEE4DA6" w14:textId="77777777">
        <w:trPr>
          <w:trHeight w:val="230"/>
        </w:trPr>
        <w:tc>
          <w:tcPr>
            <w:tcW w:w="1730" w:type="dxa"/>
          </w:tcPr>
          <w:p w:rsidRPr="00B53E9B" w:rsidR="0034627F" w:rsidP="00FE4186" w:rsidRDefault="0034627F" w14:paraId="102A36A5" w14:textId="77777777">
            <w:pPr>
              <w:pStyle w:val="BodyText"/>
              <w:rPr>
                <w:rFonts w:cs="Arial"/>
                <w:b/>
                <w:bCs/>
                <w:sz w:val="20"/>
              </w:rPr>
            </w:pPr>
            <w:r w:rsidRPr="00B53E9B">
              <w:rPr>
                <w:rFonts w:cs="Arial"/>
                <w:b/>
                <w:bCs/>
                <w:sz w:val="20"/>
              </w:rPr>
              <w:t>Incompatibility</w:t>
            </w:r>
          </w:p>
        </w:tc>
        <w:tc>
          <w:tcPr>
            <w:tcW w:w="7655" w:type="dxa"/>
          </w:tcPr>
          <w:p w:rsidRPr="00D33048" w:rsidR="0034627F" w:rsidP="00FE4186" w:rsidRDefault="0034627F" w14:paraId="3E7F1250" w14:textId="77777777">
            <w:pPr>
              <w:rPr>
                <w:rFonts w:cs="Arial" w:asciiTheme="minorHAnsi" w:hAnsiTheme="minorHAnsi"/>
                <w:sz w:val="20"/>
              </w:rPr>
            </w:pPr>
            <w:r>
              <w:rPr>
                <w:rFonts w:cs="Calibri" w:asciiTheme="minorHAnsi" w:hAnsiTheme="minorHAnsi"/>
                <w:sz w:val="20"/>
                <w:lang w:eastAsia="en-AU"/>
              </w:rPr>
              <w:t>I</w:t>
            </w:r>
            <w:r w:rsidRPr="00FC7791">
              <w:rPr>
                <w:rFonts w:cs="Calibri" w:asciiTheme="minorHAnsi" w:hAnsiTheme="minorHAnsi"/>
                <w:sz w:val="20"/>
                <w:lang w:eastAsia="en-AU"/>
              </w:rPr>
              <w:t>ncompatible with alkaline and chloride-containing</w:t>
            </w:r>
            <w:r>
              <w:rPr>
                <w:rFonts w:cs="Calibri" w:asciiTheme="minorHAnsi" w:hAnsiTheme="minorHAnsi"/>
                <w:sz w:val="20"/>
                <w:lang w:eastAsia="en-AU"/>
              </w:rPr>
              <w:t xml:space="preserve"> solutions.</w:t>
            </w:r>
          </w:p>
        </w:tc>
      </w:tr>
      <w:tr w:rsidRPr="003A7895" w:rsidR="0034627F" w:rsidTr="0034627F" w14:paraId="77D62687" w14:textId="77777777">
        <w:trPr>
          <w:trHeight w:val="79"/>
        </w:trPr>
        <w:tc>
          <w:tcPr>
            <w:tcW w:w="1730" w:type="dxa"/>
          </w:tcPr>
          <w:p w:rsidRPr="00B53E9B" w:rsidR="0034627F" w:rsidP="00FE4186" w:rsidRDefault="0034627F" w14:paraId="702590D3" w14:textId="77777777">
            <w:pPr>
              <w:pStyle w:val="BodyText"/>
              <w:rPr>
                <w:rFonts w:cs="Arial"/>
                <w:b/>
                <w:bCs/>
                <w:sz w:val="20"/>
              </w:rPr>
            </w:pPr>
            <w:r w:rsidRPr="00B53E9B">
              <w:rPr>
                <w:rFonts w:cs="Arial"/>
                <w:b/>
                <w:bCs/>
                <w:sz w:val="20"/>
              </w:rPr>
              <w:t>Stability</w:t>
            </w:r>
          </w:p>
        </w:tc>
        <w:tc>
          <w:tcPr>
            <w:tcW w:w="7655" w:type="dxa"/>
          </w:tcPr>
          <w:p w:rsidRPr="00D33048" w:rsidR="0034627F" w:rsidP="00FE4186" w:rsidRDefault="0034627F" w14:paraId="6C31DF58" w14:textId="77777777">
            <w:pPr>
              <w:rPr>
                <w:rFonts w:cs="Calibri" w:asciiTheme="minorHAnsi" w:hAnsiTheme="minorHAnsi"/>
                <w:sz w:val="20"/>
                <w:lang w:eastAsia="en-AU"/>
              </w:rPr>
            </w:pPr>
            <w:r w:rsidRPr="00D33048">
              <w:rPr>
                <w:rFonts w:cs="Calibri" w:asciiTheme="minorHAnsi" w:hAnsiTheme="minorHAnsi"/>
                <w:sz w:val="20"/>
                <w:lang w:eastAsia="en-AU"/>
              </w:rPr>
              <w:t>Diluted solution stable for 24 hours at 25</w:t>
            </w:r>
            <w:r w:rsidRPr="00D33048">
              <w:rPr>
                <w:rFonts w:cs="Calibri" w:asciiTheme="minorHAnsi" w:hAnsiTheme="minorHAnsi"/>
                <w:sz w:val="20"/>
                <w:vertAlign w:val="superscript"/>
                <w:lang w:eastAsia="en-AU"/>
              </w:rPr>
              <w:t>o</w:t>
            </w:r>
            <w:r w:rsidRPr="00D33048">
              <w:rPr>
                <w:rFonts w:cs="Calibri" w:asciiTheme="minorHAnsi" w:hAnsiTheme="minorHAnsi"/>
                <w:sz w:val="20"/>
                <w:lang w:eastAsia="en-AU"/>
              </w:rPr>
              <w:t>C.</w:t>
            </w:r>
          </w:p>
          <w:p w:rsidRPr="00D33048" w:rsidR="0034627F" w:rsidP="00FE4186" w:rsidRDefault="0034627F" w14:paraId="50521400" w14:textId="77777777">
            <w:pPr>
              <w:rPr>
                <w:rFonts w:cs="Arial" w:asciiTheme="minorHAnsi" w:hAnsiTheme="minorHAnsi"/>
                <w:sz w:val="20"/>
              </w:rPr>
            </w:pPr>
            <w:r w:rsidRPr="00D33048">
              <w:rPr>
                <w:rFonts w:cs="Calibri" w:asciiTheme="minorHAnsi" w:hAnsiTheme="minorHAnsi"/>
                <w:sz w:val="20"/>
                <w:lang w:eastAsia="en-AU"/>
              </w:rPr>
              <w:t xml:space="preserve">Oral suspension compounded by Pharmacy stable for up to 60 days. </w:t>
            </w:r>
          </w:p>
        </w:tc>
      </w:tr>
      <w:tr w:rsidRPr="003A7895" w:rsidR="0034627F" w:rsidTr="0034627F" w14:paraId="1F7AE024" w14:textId="77777777">
        <w:trPr>
          <w:trHeight w:val="70"/>
        </w:trPr>
        <w:tc>
          <w:tcPr>
            <w:tcW w:w="1730" w:type="dxa"/>
          </w:tcPr>
          <w:p w:rsidRPr="00B53E9B" w:rsidR="0034627F" w:rsidP="00FE4186" w:rsidRDefault="0034627F" w14:paraId="6D9103C6" w14:textId="77777777">
            <w:pPr>
              <w:pStyle w:val="BodyText"/>
              <w:rPr>
                <w:rFonts w:cs="Arial"/>
                <w:b/>
                <w:bCs/>
                <w:sz w:val="20"/>
              </w:rPr>
            </w:pPr>
            <w:r w:rsidRPr="00B53E9B">
              <w:rPr>
                <w:rFonts w:cs="Arial"/>
                <w:b/>
                <w:bCs/>
                <w:sz w:val="20"/>
              </w:rPr>
              <w:t xml:space="preserve">Storage </w:t>
            </w:r>
          </w:p>
        </w:tc>
        <w:tc>
          <w:tcPr>
            <w:tcW w:w="7655" w:type="dxa"/>
          </w:tcPr>
          <w:p w:rsidRPr="00026F20" w:rsidR="0034627F" w:rsidP="00FE4186" w:rsidRDefault="0034627F" w14:paraId="6F4AB126" w14:textId="77777777">
            <w:pPr>
              <w:pStyle w:val="BodyText"/>
              <w:rPr>
                <w:rFonts w:cs="Arial"/>
                <w:sz w:val="20"/>
              </w:rPr>
            </w:pPr>
          </w:p>
        </w:tc>
      </w:tr>
      <w:tr w:rsidRPr="003A7895" w:rsidR="0034627F" w:rsidTr="0034627F" w14:paraId="70E91CFD" w14:textId="77777777">
        <w:trPr>
          <w:trHeight w:val="70"/>
        </w:trPr>
        <w:tc>
          <w:tcPr>
            <w:tcW w:w="1730" w:type="dxa"/>
          </w:tcPr>
          <w:p w:rsidRPr="00B53E9B" w:rsidR="0034627F" w:rsidP="00FE4186" w:rsidRDefault="0034627F" w14:paraId="47F576C1" w14:textId="77777777">
            <w:pPr>
              <w:pStyle w:val="BodyText"/>
              <w:rPr>
                <w:rFonts w:cs="Arial"/>
                <w:b/>
                <w:bCs/>
                <w:sz w:val="20"/>
              </w:rPr>
            </w:pPr>
            <w:r w:rsidRPr="00B53E9B">
              <w:rPr>
                <w:rFonts w:cs="Arial"/>
                <w:b/>
                <w:bCs/>
                <w:sz w:val="20"/>
              </w:rPr>
              <w:t>Excipients</w:t>
            </w:r>
          </w:p>
        </w:tc>
        <w:tc>
          <w:tcPr>
            <w:tcW w:w="7655" w:type="dxa"/>
          </w:tcPr>
          <w:p w:rsidRPr="00026F20" w:rsidR="0034627F" w:rsidP="00FE4186" w:rsidRDefault="0034627F" w14:paraId="2ED9B45D" w14:textId="77777777">
            <w:pPr>
              <w:pStyle w:val="BodyText"/>
              <w:rPr>
                <w:rFonts w:cs="Arial"/>
                <w:sz w:val="20"/>
              </w:rPr>
            </w:pPr>
            <w:r w:rsidRPr="006A1BEF">
              <w:rPr>
                <w:rFonts w:cs="Arial"/>
                <w:sz w:val="20"/>
              </w:rPr>
              <w:t>Silicified microcrystalline cellulose, croscarmellose sodium, maize starch, magnesium stearate.</w:t>
            </w:r>
          </w:p>
        </w:tc>
      </w:tr>
      <w:tr w:rsidRPr="003A7895" w:rsidR="0034627F" w:rsidTr="0034627F" w14:paraId="751292B5" w14:textId="77777777">
        <w:trPr>
          <w:trHeight w:val="270"/>
        </w:trPr>
        <w:tc>
          <w:tcPr>
            <w:tcW w:w="1730" w:type="dxa"/>
          </w:tcPr>
          <w:p w:rsidRPr="00B53E9B" w:rsidR="0034627F" w:rsidP="00FE4186" w:rsidRDefault="0034627F" w14:paraId="3A0A0182"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655" w:type="dxa"/>
          </w:tcPr>
          <w:p w:rsidRPr="00026F20" w:rsidR="0034627F" w:rsidP="00FE4186" w:rsidRDefault="0034627F" w14:paraId="2CE8ABC6" w14:textId="77777777">
            <w:pPr>
              <w:pStyle w:val="BodyText"/>
              <w:rPr>
                <w:rFonts w:cs="Arial"/>
                <w:sz w:val="20"/>
              </w:rPr>
            </w:pPr>
          </w:p>
        </w:tc>
      </w:tr>
      <w:tr w:rsidRPr="003A7895" w:rsidR="0034627F" w:rsidTr="0034627F" w14:paraId="78E80732" w14:textId="77777777">
        <w:trPr>
          <w:trHeight w:val="280"/>
        </w:trPr>
        <w:tc>
          <w:tcPr>
            <w:tcW w:w="1730" w:type="dxa"/>
          </w:tcPr>
          <w:p w:rsidRPr="00B53E9B" w:rsidR="0034627F" w:rsidP="00FE4186" w:rsidRDefault="0034627F" w14:paraId="64932A67" w14:textId="77777777">
            <w:pPr>
              <w:pStyle w:val="BodyText"/>
              <w:rPr>
                <w:rFonts w:cs="Arial"/>
                <w:b/>
                <w:bCs/>
                <w:sz w:val="20"/>
              </w:rPr>
            </w:pPr>
            <w:r w:rsidRPr="00B53E9B">
              <w:rPr>
                <w:rFonts w:cs="Arial"/>
                <w:b/>
                <w:bCs/>
                <w:sz w:val="20"/>
              </w:rPr>
              <w:t>Evidence</w:t>
            </w:r>
          </w:p>
        </w:tc>
        <w:tc>
          <w:tcPr>
            <w:tcW w:w="7655" w:type="dxa"/>
          </w:tcPr>
          <w:p w:rsidRPr="0034627F" w:rsidR="0034627F" w:rsidP="00FE4186" w:rsidRDefault="0034627F" w14:paraId="7CCEACF9" w14:textId="77777777">
            <w:pPr>
              <w:pStyle w:val="BodyText"/>
              <w:rPr>
                <w:rFonts w:cs="Arial" w:asciiTheme="minorHAnsi" w:hAnsiTheme="minorHAnsi"/>
                <w:b/>
                <w:sz w:val="16"/>
                <w:szCs w:val="16"/>
              </w:rPr>
            </w:pPr>
            <w:r w:rsidRPr="0034627F">
              <w:rPr>
                <w:rFonts w:cs="Arial" w:asciiTheme="minorHAnsi" w:hAnsiTheme="minorHAnsi"/>
                <w:b/>
                <w:sz w:val="16"/>
                <w:szCs w:val="16"/>
              </w:rPr>
              <w:t xml:space="preserve">Efficacy and safety: </w:t>
            </w:r>
          </w:p>
          <w:p w:rsidRPr="0034627F" w:rsidR="0034627F" w:rsidP="00FE4186" w:rsidRDefault="0034627F" w14:paraId="1FCEBA74" w14:textId="77777777">
            <w:pPr>
              <w:pStyle w:val="BodyText"/>
              <w:rPr>
                <w:rFonts w:cs="Arial" w:asciiTheme="minorHAnsi" w:hAnsiTheme="minorHAnsi"/>
                <w:sz w:val="16"/>
                <w:szCs w:val="16"/>
              </w:rPr>
            </w:pPr>
            <w:r w:rsidRPr="0034627F">
              <w:rPr>
                <w:rFonts w:cs="Arial" w:asciiTheme="minorHAnsi" w:hAnsiTheme="minorHAnsi"/>
                <w:sz w:val="16"/>
                <w:szCs w:val="16"/>
              </w:rPr>
              <w:t xml:space="preserve">A review of published cases and subsequent reports found flecainide appeared to be safe (no deaths with usual oral dosing; &lt; 1% incidence of serious proarrhythmia) and effective (73–100 % control, depending on mechanism) in children with supraventricular tachycardia. </w:t>
            </w:r>
            <w:r w:rsidRPr="0034627F">
              <w:rPr>
                <w:rFonts w:cs="Arial" w:asciiTheme="minorHAnsi" w:hAnsiTheme="minorHAnsi"/>
                <w:noProof/>
                <w:sz w:val="16"/>
                <w:szCs w:val="16"/>
              </w:rPr>
              <w:t>[1-4]</w:t>
            </w:r>
            <w:r w:rsidRPr="0034627F">
              <w:rPr>
                <w:rFonts w:cs="Arial" w:asciiTheme="minorHAnsi" w:hAnsiTheme="minorHAnsi"/>
                <w:sz w:val="16"/>
                <w:szCs w:val="16"/>
              </w:rPr>
              <w:t xml:space="preserve"> (LOE IV GOR B) However, concerns regarding safety exist in patients with structural heart disease and cardiomyopathy. The Cardiac Arrhythmia and Suppression Trial (adults with AMI) demonstrated increased mortality in patients who received flecainide.</w:t>
            </w:r>
            <w:r w:rsidRPr="0034627F">
              <w:rPr>
                <w:rFonts w:cs="Arial" w:asciiTheme="minorHAnsi" w:hAnsiTheme="minorHAnsi"/>
                <w:noProof/>
                <w:sz w:val="16"/>
                <w:szCs w:val="16"/>
              </w:rPr>
              <w:t>[3-5]</w:t>
            </w:r>
            <w:r w:rsidRPr="0034627F">
              <w:rPr>
                <w:rFonts w:cs="Arial" w:asciiTheme="minorHAnsi" w:hAnsiTheme="minorHAnsi"/>
                <w:sz w:val="16"/>
                <w:szCs w:val="16"/>
              </w:rPr>
              <w:t xml:space="preserve"> A report of young patients (4 days to 26 years) administered flecainide for treatment of SVT (n = 369) or VT (n = 103) found efficacy 71.4%, proarrhythmic response 7.4%, cardiac arrest 2.3% and died during treatment 2.1%. Cardiac arrest and deaths occurred predominantly among patients with underlying heart disease, particularly among patients receiving flecainide for supraventricular tachycardia (8.3%).</w:t>
            </w:r>
            <w:r w:rsidRPr="0034627F">
              <w:rPr>
                <w:rFonts w:cs="Arial" w:asciiTheme="minorHAnsi" w:hAnsiTheme="minorHAnsi"/>
                <w:noProof/>
                <w:sz w:val="16"/>
                <w:szCs w:val="16"/>
              </w:rPr>
              <w:t>[3]</w:t>
            </w:r>
            <w:r w:rsidRPr="0034627F">
              <w:rPr>
                <w:rFonts w:cs="Arial" w:asciiTheme="minorHAnsi" w:hAnsiTheme="minorHAnsi"/>
                <w:sz w:val="16"/>
                <w:szCs w:val="16"/>
              </w:rPr>
              <w:t xml:space="preserve"> A report in children (n = 229) with congenital heart disease or cardiomyopathy, incidence of cardiac arrest in patients receiving flecainide was 3.0% with a mortality of 4.3%, with no difference in cardiac arrest or mortality rate when compared to patients who received other antiarrhythmics.</w:t>
            </w:r>
            <w:r w:rsidRPr="0034627F">
              <w:rPr>
                <w:rFonts w:cs="Arial" w:asciiTheme="minorHAnsi" w:hAnsiTheme="minorHAnsi"/>
                <w:noProof/>
                <w:sz w:val="16"/>
                <w:szCs w:val="16"/>
              </w:rPr>
              <w:t>[4]</w:t>
            </w:r>
            <w:r w:rsidRPr="0034627F">
              <w:rPr>
                <w:rFonts w:cs="Arial" w:asciiTheme="minorHAnsi" w:hAnsiTheme="minorHAnsi"/>
                <w:sz w:val="16"/>
                <w:szCs w:val="16"/>
              </w:rPr>
              <w:t xml:space="preserve"> </w:t>
            </w:r>
          </w:p>
          <w:p w:rsidRPr="0034627F" w:rsidR="0034627F" w:rsidP="00FE4186" w:rsidRDefault="0034627F" w14:paraId="58D3C07E" w14:textId="77777777">
            <w:pPr>
              <w:pStyle w:val="BodyText"/>
              <w:rPr>
                <w:rFonts w:cs="Arial" w:asciiTheme="minorHAnsi" w:hAnsiTheme="minorHAnsi"/>
                <w:sz w:val="16"/>
                <w:szCs w:val="16"/>
              </w:rPr>
            </w:pPr>
            <w:r w:rsidRPr="0034627F">
              <w:rPr>
                <w:rFonts w:cs="Arial" w:asciiTheme="minorHAnsi" w:hAnsiTheme="minorHAnsi"/>
                <w:b/>
                <w:sz w:val="16"/>
                <w:szCs w:val="16"/>
              </w:rPr>
              <w:t xml:space="preserve">Guidelines: </w:t>
            </w:r>
            <w:r w:rsidRPr="0034627F">
              <w:rPr>
                <w:rFonts w:cs="Arial" w:asciiTheme="minorHAnsi" w:hAnsiTheme="minorHAnsi"/>
                <w:sz w:val="16"/>
                <w:szCs w:val="16"/>
              </w:rPr>
              <w:t>For SVT, flecainide is effective as a first-line agent in infants, but typically used as a second-line agent because of its arrhythmogenic potential. It has been used in infants with re-entrant supraventricular tachycardia including Wolff- Parkinson-White syndrome, focal atrial tachycardia and permanent junctional reciprocating tachycardia (case reports). Has the potential for proarrhythmia in patients with congenital heart disease. Caution is advised when used in patients with congenital heart disease or conduction system disease. Milk feeds may decrease absorption. Concentration monitoring may assist in guiding therapy. Contraindicated if creatinine clearance &lt;50 mL/min or reduced Left Ventricular Ejection Fraction.</w:t>
            </w:r>
            <w:r w:rsidRPr="0034627F">
              <w:rPr>
                <w:rFonts w:cs="Arial" w:asciiTheme="minorHAnsi" w:hAnsiTheme="minorHAnsi"/>
                <w:noProof/>
                <w:sz w:val="16"/>
                <w:szCs w:val="16"/>
              </w:rPr>
              <w:t>[6]</w:t>
            </w:r>
            <w:r w:rsidRPr="0034627F">
              <w:rPr>
                <w:rFonts w:cs="Arial" w:asciiTheme="minorHAnsi" w:hAnsiTheme="minorHAnsi"/>
                <w:sz w:val="16"/>
                <w:szCs w:val="16"/>
              </w:rPr>
              <w:t xml:space="preserve"> (LOE IV GOR B)</w:t>
            </w:r>
          </w:p>
          <w:p w:rsidRPr="0034627F" w:rsidR="0034627F" w:rsidP="00FE4186" w:rsidRDefault="0034627F" w14:paraId="4E8C7F22" w14:textId="77777777">
            <w:pPr>
              <w:pStyle w:val="BodyText"/>
              <w:rPr>
                <w:rFonts w:cs="Arial" w:asciiTheme="minorHAnsi" w:hAnsiTheme="minorHAnsi"/>
                <w:sz w:val="16"/>
                <w:szCs w:val="16"/>
              </w:rPr>
            </w:pPr>
          </w:p>
          <w:p w:rsidRPr="0034627F" w:rsidR="0034627F" w:rsidP="00FE4186" w:rsidRDefault="0034627F" w14:paraId="7EF621A0" w14:textId="77777777">
            <w:pPr>
              <w:pStyle w:val="BodyText"/>
              <w:rPr>
                <w:rFonts w:cs="Arial" w:asciiTheme="minorHAnsi" w:hAnsiTheme="minorHAnsi"/>
                <w:b/>
                <w:sz w:val="16"/>
                <w:szCs w:val="16"/>
              </w:rPr>
            </w:pPr>
            <w:r w:rsidRPr="0034627F">
              <w:rPr>
                <w:rFonts w:cs="Arial" w:asciiTheme="minorHAnsi" w:hAnsiTheme="minorHAnsi"/>
                <w:b/>
                <w:sz w:val="16"/>
                <w:szCs w:val="16"/>
              </w:rPr>
              <w:t xml:space="preserve">Pharmacokinetics: </w:t>
            </w:r>
          </w:p>
          <w:p w:rsidRPr="0034627F" w:rsidR="0034627F" w:rsidP="00FE4186" w:rsidRDefault="0034627F" w14:paraId="4374F501" w14:textId="77777777">
            <w:pPr>
              <w:pStyle w:val="BodyText"/>
              <w:tabs>
                <w:tab w:val="left" w:pos="1168"/>
              </w:tabs>
              <w:rPr>
                <w:rFonts w:cs="Arial"/>
                <w:sz w:val="16"/>
                <w:szCs w:val="16"/>
              </w:rPr>
            </w:pPr>
            <w:r w:rsidRPr="0034627F">
              <w:rPr>
                <w:rFonts w:cs="Arial" w:asciiTheme="minorHAnsi" w:hAnsiTheme="minorHAnsi"/>
                <w:sz w:val="16"/>
                <w:szCs w:val="16"/>
              </w:rPr>
              <w:lastRenderedPageBreak/>
              <w:t>Flecainide is cleared via hepatic biotransformation and renal excretion. Infants &lt; 1 year of age had a mean t</w:t>
            </w:r>
            <w:r w:rsidRPr="0034627F">
              <w:rPr>
                <w:rFonts w:cs="Arial" w:asciiTheme="minorHAnsi" w:hAnsiTheme="minorHAnsi"/>
                <w:sz w:val="16"/>
                <w:szCs w:val="16"/>
                <w:vertAlign w:val="subscript"/>
              </w:rPr>
              <w:t>½</w:t>
            </w:r>
            <w:r w:rsidRPr="0034627F">
              <w:rPr>
                <w:rFonts w:cs="Arial" w:asciiTheme="minorHAnsi" w:hAnsiTheme="minorHAnsi"/>
                <w:sz w:val="16"/>
                <w:szCs w:val="16"/>
              </w:rPr>
              <w:t xml:space="preserve"> of 11–12 hour; children aged 1 to 12 years had a t</w:t>
            </w:r>
            <w:r w:rsidRPr="0034627F">
              <w:rPr>
                <w:rFonts w:cs="Arial" w:asciiTheme="minorHAnsi" w:hAnsiTheme="minorHAnsi"/>
                <w:sz w:val="16"/>
                <w:szCs w:val="16"/>
                <w:vertAlign w:val="subscript"/>
              </w:rPr>
              <w:t>½</w:t>
            </w:r>
            <w:r w:rsidRPr="0034627F">
              <w:rPr>
                <w:rFonts w:cs="Arial" w:asciiTheme="minorHAnsi" w:hAnsiTheme="minorHAnsi"/>
                <w:sz w:val="16"/>
                <w:szCs w:val="16"/>
              </w:rPr>
              <w:t xml:space="preserve"> of 8 hours. Dosing schedules based on mg/m</w:t>
            </w:r>
            <w:r w:rsidRPr="0034627F">
              <w:rPr>
                <w:rFonts w:cs="Arial" w:asciiTheme="minorHAnsi" w:hAnsiTheme="minorHAnsi"/>
                <w:sz w:val="16"/>
                <w:szCs w:val="16"/>
                <w:vertAlign w:val="superscript"/>
              </w:rPr>
              <w:t>2</w:t>
            </w:r>
            <w:r w:rsidRPr="0034627F">
              <w:rPr>
                <w:rFonts w:cs="Arial" w:asciiTheme="minorHAnsi" w:hAnsiTheme="minorHAnsi"/>
                <w:sz w:val="16"/>
                <w:szCs w:val="16"/>
              </w:rPr>
              <w:t xml:space="preserve"> correlated better with plasma flecainide concentrations than did dosing based on mg/kg.</w:t>
            </w:r>
            <w:r w:rsidRPr="0034627F">
              <w:rPr>
                <w:rFonts w:cs="Arial" w:asciiTheme="minorHAnsi" w:hAnsiTheme="minorHAnsi"/>
                <w:noProof/>
                <w:sz w:val="16"/>
                <w:szCs w:val="16"/>
              </w:rPr>
              <w:t>[8, 9]</w:t>
            </w:r>
            <w:r w:rsidRPr="0034627F">
              <w:rPr>
                <w:rFonts w:cs="Arial" w:asciiTheme="minorHAnsi" w:hAnsiTheme="minorHAnsi"/>
                <w:sz w:val="16"/>
                <w:szCs w:val="16"/>
              </w:rPr>
              <w:t xml:space="preserve"> Oral bioavailability in adults reported to be 78–100%.</w:t>
            </w:r>
          </w:p>
        </w:tc>
      </w:tr>
      <w:tr w:rsidRPr="003A7895" w:rsidR="0034627F" w:rsidTr="0034627F" w14:paraId="6960B1A7" w14:textId="77777777">
        <w:trPr>
          <w:trHeight w:val="108"/>
        </w:trPr>
        <w:tc>
          <w:tcPr>
            <w:tcW w:w="1730" w:type="dxa"/>
          </w:tcPr>
          <w:p w:rsidRPr="00B53E9B" w:rsidR="0034627F" w:rsidP="00FE4186" w:rsidRDefault="0034627F" w14:paraId="7868EF37" w14:textId="77777777">
            <w:pPr>
              <w:pStyle w:val="BodyText"/>
              <w:rPr>
                <w:rFonts w:cs="Arial"/>
                <w:b/>
                <w:bCs/>
                <w:sz w:val="20"/>
              </w:rPr>
            </w:pPr>
            <w:r w:rsidRPr="00B53E9B">
              <w:rPr>
                <w:rFonts w:cs="Arial"/>
                <w:b/>
                <w:bCs/>
                <w:sz w:val="20"/>
              </w:rPr>
              <w:lastRenderedPageBreak/>
              <w:t>Practice points</w:t>
            </w:r>
          </w:p>
        </w:tc>
        <w:tc>
          <w:tcPr>
            <w:tcW w:w="7655" w:type="dxa"/>
          </w:tcPr>
          <w:p w:rsidRPr="0034627F" w:rsidR="0034627F" w:rsidP="00FE4186" w:rsidRDefault="0034627F" w14:paraId="6CADFA1A" w14:textId="77777777">
            <w:pPr>
              <w:pStyle w:val="BodyText"/>
              <w:tabs>
                <w:tab w:val="left" w:pos="1168"/>
              </w:tabs>
              <w:rPr>
                <w:rFonts w:cs="Arial"/>
                <w:sz w:val="16"/>
                <w:szCs w:val="16"/>
              </w:rPr>
            </w:pPr>
          </w:p>
        </w:tc>
      </w:tr>
      <w:tr w:rsidRPr="003A7895" w:rsidR="0034627F" w:rsidTr="0034627F" w14:paraId="6B4FC9BA" w14:textId="77777777">
        <w:trPr>
          <w:trHeight w:val="70"/>
        </w:trPr>
        <w:tc>
          <w:tcPr>
            <w:tcW w:w="1730" w:type="dxa"/>
          </w:tcPr>
          <w:p w:rsidRPr="00B53E9B" w:rsidR="0034627F" w:rsidP="00FE4186" w:rsidRDefault="0034627F" w14:paraId="3D8C3766" w14:textId="77777777">
            <w:pPr>
              <w:pStyle w:val="BodyText"/>
              <w:rPr>
                <w:rFonts w:cs="Arial"/>
                <w:b/>
                <w:bCs/>
                <w:sz w:val="20"/>
              </w:rPr>
            </w:pPr>
            <w:r w:rsidRPr="00B53E9B">
              <w:rPr>
                <w:b/>
                <w:sz w:val="20"/>
              </w:rPr>
              <w:t>References</w:t>
            </w:r>
          </w:p>
        </w:tc>
        <w:tc>
          <w:tcPr>
            <w:tcW w:w="7655" w:type="dxa"/>
          </w:tcPr>
          <w:p w:rsidRPr="0034627F" w:rsidR="0034627F" w:rsidP="00FE4186" w:rsidRDefault="0034627F" w14:paraId="473614D4" w14:textId="77777777">
            <w:pPr>
              <w:pStyle w:val="EndNoteBibliography"/>
              <w:rPr>
                <w:rFonts w:asciiTheme="minorHAnsi" w:hAnsiTheme="minorHAnsi"/>
                <w:sz w:val="16"/>
                <w:szCs w:val="16"/>
              </w:rPr>
            </w:pPr>
            <w:r w:rsidRPr="0034627F">
              <w:rPr>
                <w:rFonts w:asciiTheme="minorHAnsi" w:hAnsiTheme="minorHAnsi"/>
                <w:sz w:val="16"/>
                <w:szCs w:val="16"/>
              </w:rPr>
              <w:t>1. Perry JC, Garson A, Jr. Flecainide acetate for treatment of tachyarrhythmias in children: review of world literature on efficacy, safety, and dosing. Am Heart J. 1992;124:1614-21.</w:t>
            </w:r>
          </w:p>
          <w:p w:rsidRPr="0034627F" w:rsidR="0034627F" w:rsidP="00FE4186" w:rsidRDefault="0034627F" w14:paraId="00C9DB84" w14:textId="77777777">
            <w:pPr>
              <w:pStyle w:val="EndNoteBibliography"/>
              <w:rPr>
                <w:rFonts w:asciiTheme="minorHAnsi" w:hAnsiTheme="minorHAnsi"/>
                <w:sz w:val="16"/>
                <w:szCs w:val="16"/>
              </w:rPr>
            </w:pPr>
            <w:r w:rsidRPr="0034627F">
              <w:rPr>
                <w:rFonts w:asciiTheme="minorHAnsi" w:hAnsiTheme="minorHAnsi"/>
                <w:sz w:val="16"/>
                <w:szCs w:val="16"/>
              </w:rPr>
              <w:t>2. Ferlini M, Colli AM, Bonanomi C, Salvini L, Galli MA, Salice P, Ravaglia R, Centola M, Danzi GB. Flecainide as first-line treatment for supraventricular tachycardia in newborns. J Cardiovasc Med (Hagerstown). 2009;10:372-5.</w:t>
            </w:r>
          </w:p>
          <w:p w:rsidRPr="0034627F" w:rsidR="0034627F" w:rsidP="00FE4186" w:rsidRDefault="0034627F" w14:paraId="5AF709E7" w14:textId="77777777">
            <w:pPr>
              <w:pStyle w:val="EndNoteBibliography"/>
              <w:rPr>
                <w:rFonts w:asciiTheme="minorHAnsi" w:hAnsiTheme="minorHAnsi"/>
                <w:sz w:val="16"/>
                <w:szCs w:val="16"/>
              </w:rPr>
            </w:pPr>
            <w:r w:rsidRPr="0034627F">
              <w:rPr>
                <w:rFonts w:asciiTheme="minorHAnsi" w:hAnsiTheme="minorHAnsi"/>
                <w:sz w:val="16"/>
                <w:szCs w:val="16"/>
              </w:rPr>
              <w:t>3. Fish FA, Gillette PC, Benson DW, Jr. Proarrhythmia, cardiac arrest and death in young patients receiving encainide and flecainide. The Pediatric Electrophysiology Group. Journal of the American College of Cardiology. 1991;18:356-65.</w:t>
            </w:r>
          </w:p>
          <w:p w:rsidRPr="0034627F" w:rsidR="0034627F" w:rsidP="00FE4186" w:rsidRDefault="0034627F" w14:paraId="5243D08A" w14:textId="77777777">
            <w:pPr>
              <w:pStyle w:val="EndNoteBibliography"/>
              <w:rPr>
                <w:rFonts w:asciiTheme="minorHAnsi" w:hAnsiTheme="minorHAnsi"/>
                <w:sz w:val="16"/>
                <w:szCs w:val="16"/>
              </w:rPr>
            </w:pPr>
            <w:r w:rsidRPr="0034627F">
              <w:rPr>
                <w:rFonts w:asciiTheme="minorHAnsi" w:hAnsiTheme="minorHAnsi"/>
                <w:sz w:val="16"/>
                <w:szCs w:val="16"/>
              </w:rPr>
              <w:t>4. Moffett BS, Valdes SO, Lupo PJ, delaUz C, Miyake C, Krenek M, Kim JJ. Flecainide use in children with cardiomyopathy or structural heart disease. Pediatr Cardiol. 2015;36:146-50.</w:t>
            </w:r>
          </w:p>
          <w:p w:rsidRPr="0034627F" w:rsidR="0034627F" w:rsidP="00FE4186" w:rsidRDefault="0034627F" w14:paraId="0EA41979" w14:textId="77777777">
            <w:pPr>
              <w:pStyle w:val="EndNoteBibliography"/>
              <w:rPr>
                <w:rFonts w:asciiTheme="minorHAnsi" w:hAnsiTheme="minorHAnsi"/>
                <w:sz w:val="16"/>
                <w:szCs w:val="16"/>
              </w:rPr>
            </w:pPr>
            <w:r w:rsidRPr="0034627F">
              <w:rPr>
                <w:rFonts w:asciiTheme="minorHAnsi" w:hAnsiTheme="minorHAnsi"/>
                <w:sz w:val="16"/>
                <w:szCs w:val="16"/>
              </w:rPr>
              <w:t>5. Echt DS, Liebson PR, Mitchell LB, Peters RW, Obias-Manno D, Barker AH, Arensberg D, Baker A, Friedman L, Greene HL, et al. Mortality and morbidity in patients receiving encainide, flecainide, or placebo. The Cardiac Arrhythmia Suppression Trial. N Engl J Med. 1991;324:781-8.</w:t>
            </w:r>
          </w:p>
          <w:p w:rsidRPr="0034627F" w:rsidR="0034627F" w:rsidP="00FE4186" w:rsidRDefault="0034627F" w14:paraId="4871FA8B" w14:textId="77777777">
            <w:pPr>
              <w:pStyle w:val="EndNoteBibliography"/>
              <w:rPr>
                <w:rFonts w:asciiTheme="minorHAnsi" w:hAnsiTheme="minorHAnsi"/>
                <w:sz w:val="16"/>
                <w:szCs w:val="16"/>
              </w:rPr>
            </w:pPr>
            <w:r w:rsidRPr="0034627F">
              <w:rPr>
                <w:rFonts w:asciiTheme="minorHAnsi" w:hAnsiTheme="minorHAnsi"/>
                <w:sz w:val="16"/>
                <w:szCs w:val="16"/>
              </w:rPr>
              <w:t>6. Brugada J, Blom N, Sarquella-Brugada G, Blomstrom-Lundqvist C, Deanfield J, Janousek J, Abrams D, Bauersfeld U, Brugada R, Drago F, de Groot N, Happonen JM, Hebe J, Yen Ho S, Marijon E, Paul T, Pfammatter JP, Rosenthal E, European Heart Rhythm A, Association for European P, Congenital C. Pharmacological and non-pharmacological therapy for arrhythmias in the pediatric population: EHRA and AEPC-Arrhythmia Working Group joint consensus statement. Europace. 2013;15:1337-82.</w:t>
            </w:r>
          </w:p>
          <w:p w:rsidRPr="0034627F" w:rsidR="0034627F" w:rsidP="00FE4186" w:rsidRDefault="0034627F" w14:paraId="57A57A31" w14:textId="77777777">
            <w:pPr>
              <w:pStyle w:val="EndNoteBibliography"/>
              <w:rPr>
                <w:rFonts w:asciiTheme="minorHAnsi" w:hAnsiTheme="minorHAnsi"/>
                <w:sz w:val="16"/>
                <w:szCs w:val="16"/>
              </w:rPr>
            </w:pPr>
            <w:r w:rsidRPr="0034627F">
              <w:rPr>
                <w:rFonts w:asciiTheme="minorHAnsi" w:hAnsiTheme="minorHAnsi"/>
                <w:sz w:val="16"/>
                <w:szCs w:val="16"/>
              </w:rPr>
              <w:t>7. Moffett BS, Salvin JW, Kim JJ. Pediatric Cardiac Intensive Care Society 2014 Consensus Statement: Pharmacotherapies in Cardiac Critical Care Antiarrhythmics. Pediatr Crit Care Med. 2016;17:S49-58.</w:t>
            </w:r>
          </w:p>
          <w:p w:rsidRPr="0034627F" w:rsidR="0034627F" w:rsidP="00FE4186" w:rsidRDefault="0034627F" w14:paraId="024D7F86" w14:textId="77777777">
            <w:pPr>
              <w:pStyle w:val="EndNoteBibliography"/>
              <w:rPr>
                <w:rFonts w:asciiTheme="minorHAnsi" w:hAnsiTheme="minorHAnsi"/>
                <w:sz w:val="16"/>
                <w:szCs w:val="16"/>
              </w:rPr>
            </w:pPr>
            <w:r w:rsidRPr="0034627F">
              <w:rPr>
                <w:rFonts w:asciiTheme="minorHAnsi" w:hAnsiTheme="minorHAnsi"/>
                <w:sz w:val="16"/>
                <w:szCs w:val="16"/>
              </w:rPr>
              <w:t>8. Perry JC, McQuinn RL, Smith RT, Jr., Gothing C, Fredell P, Garson A, Jr. Flecainide acetate for resistant arrhythmias in the young: efficacy and pharmacokinetics. Journal of the American College of Cardiology. 1989;14:185-91; discussion 92-3.</w:t>
            </w:r>
          </w:p>
          <w:p w:rsidRPr="0034627F" w:rsidR="0034627F" w:rsidP="00FE4186" w:rsidRDefault="0034627F" w14:paraId="7221E35C" w14:textId="77777777">
            <w:pPr>
              <w:pStyle w:val="EndNoteBibliography"/>
              <w:rPr>
                <w:rFonts w:asciiTheme="minorHAnsi" w:hAnsiTheme="minorHAnsi"/>
                <w:sz w:val="16"/>
                <w:szCs w:val="16"/>
              </w:rPr>
            </w:pPr>
            <w:r w:rsidRPr="0034627F">
              <w:rPr>
                <w:rFonts w:asciiTheme="minorHAnsi" w:hAnsiTheme="minorHAnsi"/>
                <w:sz w:val="16"/>
                <w:szCs w:val="16"/>
              </w:rPr>
              <w:t>9. Till JA, Shinebourne EA, Rowland E, Ward DE, Bhamra R, Haga P, Johnston A, Holt DW. Paediatric use of flecainide in supraventricular tachycardia: clinical efficacy and pharmacokinetics. Br Heart J. 1989;62:133-9.</w:t>
            </w:r>
          </w:p>
          <w:p w:rsidRPr="0034627F" w:rsidR="0034627F" w:rsidP="00FE4186" w:rsidRDefault="0034627F" w14:paraId="191C3CA8" w14:textId="77777777">
            <w:pPr>
              <w:pStyle w:val="EndNoteBibliography"/>
              <w:rPr>
                <w:rFonts w:asciiTheme="minorHAnsi" w:hAnsiTheme="minorHAnsi"/>
                <w:sz w:val="16"/>
                <w:szCs w:val="16"/>
              </w:rPr>
            </w:pPr>
            <w:r w:rsidRPr="0034627F">
              <w:rPr>
                <w:rFonts w:asciiTheme="minorHAnsi" w:hAnsiTheme="minorHAnsi"/>
                <w:sz w:val="16"/>
                <w:szCs w:val="16"/>
              </w:rPr>
              <w:t>10. Australian Medicines Handbook. Accessed online on 7 February 2017.</w:t>
            </w:r>
          </w:p>
        </w:tc>
      </w:tr>
    </w:tbl>
    <w:p w:rsidRPr="00D33048" w:rsidR="00760B30" w:rsidP="00760B30" w:rsidRDefault="00760B30" w14:paraId="4B0699B8" w14:textId="77777777">
      <w:pPr>
        <w:rPr>
          <w:rFonts w:cs="Arial" w:asciiTheme="minorHAnsi" w:hAnsiTheme="minorHAnsi"/>
          <w:b/>
          <w:bCs/>
          <w:sz w:val="20"/>
        </w:rPr>
      </w:pPr>
    </w:p>
    <w:p w:rsidRPr="00D33048" w:rsidR="00760B30" w:rsidP="00760B30" w:rsidRDefault="00760B30" w14:paraId="22008B96" w14:textId="77777777">
      <w:pPr>
        <w:rPr>
          <w:rFonts w:cs="Arial" w:asciiTheme="minorHAnsi" w:hAnsiTheme="minorHAnsi"/>
          <w:sz w:val="20"/>
        </w:rPr>
      </w:pPr>
    </w:p>
    <w:p w:rsidRPr="00D33048" w:rsidR="00760B30" w:rsidP="00760B30" w:rsidRDefault="00760B30" w14:paraId="09F7CC11" w14:textId="77777777">
      <w:pPr>
        <w:rPr>
          <w:rFonts w:cs="Arial" w:asciiTheme="minorHAnsi" w:hAnsiTheme="minorHAnsi"/>
          <w:sz w:val="20"/>
        </w:rPr>
      </w:pPr>
    </w:p>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42706A" w14:paraId="3FE289B9" w14:textId="77777777">
        <w:tc>
          <w:tcPr>
            <w:tcW w:w="4111" w:type="dxa"/>
            <w:vAlign w:val="center"/>
          </w:tcPr>
          <w:p w:rsidRPr="00646E04" w:rsidR="00705C7C" w:rsidP="0010214E" w:rsidRDefault="00705C7C" w14:paraId="1EA282AE" w14:textId="77777777">
            <w:r w:rsidRPr="00646E04">
              <w:t xml:space="preserve">Original version Date: </w:t>
            </w:r>
            <w:r w:rsidRPr="009A3365">
              <w:t>27/10/2015</w:t>
            </w:r>
          </w:p>
        </w:tc>
        <w:tc>
          <w:tcPr>
            <w:tcW w:w="4820" w:type="dxa"/>
            <w:vAlign w:val="center"/>
          </w:tcPr>
          <w:p w:rsidRPr="00646E04" w:rsidR="00705C7C" w:rsidP="0010214E" w:rsidRDefault="00705C7C" w14:paraId="5B7C0542" w14:textId="77777777">
            <w:r w:rsidRPr="00646E04">
              <w:t>Author: NeoMed Consensus Group</w:t>
            </w:r>
          </w:p>
        </w:tc>
      </w:tr>
      <w:tr w:rsidRPr="003C2CBA" w:rsidR="00E424B4" w:rsidTr="0042706A" w14:paraId="372AFFF8" w14:textId="77777777">
        <w:tc>
          <w:tcPr>
            <w:tcW w:w="4111" w:type="dxa"/>
            <w:vAlign w:val="center"/>
          </w:tcPr>
          <w:p w:rsidRPr="00646E04" w:rsidR="00705C7C" w:rsidP="0010214E" w:rsidRDefault="00705C7C" w14:paraId="70CA4264" w14:textId="5A3E7C95">
            <w:pPr>
              <w:rPr>
                <w:bCs/>
              </w:rPr>
            </w:pPr>
            <w:r w:rsidRPr="00646E04">
              <w:t xml:space="preserve">Current Version number:  </w:t>
            </w:r>
            <w:r w:rsidR="00F21DA6">
              <w:t>2</w:t>
            </w:r>
          </w:p>
        </w:tc>
        <w:tc>
          <w:tcPr>
            <w:tcW w:w="4820" w:type="dxa"/>
            <w:vAlign w:val="center"/>
          </w:tcPr>
          <w:p w:rsidRPr="00646E04" w:rsidR="00705C7C" w:rsidP="0010214E" w:rsidRDefault="00705C7C" w14:paraId="1A61DB69" w14:textId="6F29EFFE">
            <w:r>
              <w:t xml:space="preserve">Current </w:t>
            </w:r>
            <w:r w:rsidRPr="00646E04">
              <w:t xml:space="preserve">Version Date:  </w:t>
            </w:r>
            <w:r w:rsidR="003A1BC0">
              <w:t>12/01/</w:t>
            </w:r>
            <w:r>
              <w:t>202</w:t>
            </w:r>
            <w:r w:rsidR="003A1BC0">
              <w:t>6</w:t>
            </w:r>
          </w:p>
        </w:tc>
      </w:tr>
      <w:tr w:rsidRPr="003C2CBA" w:rsidR="00E424B4" w:rsidTr="0042706A" w14:paraId="0D5B105C" w14:textId="77777777">
        <w:tc>
          <w:tcPr>
            <w:tcW w:w="4111" w:type="dxa"/>
            <w:vAlign w:val="center"/>
          </w:tcPr>
          <w:p w:rsidRPr="00646E04" w:rsidR="00705C7C" w:rsidP="0010214E" w:rsidRDefault="00705C7C" w14:paraId="07AAA91C" w14:textId="77777777">
            <w:r w:rsidRPr="00646E04">
              <w:t>Risk Rating: Medium</w:t>
            </w:r>
          </w:p>
        </w:tc>
        <w:tc>
          <w:tcPr>
            <w:tcW w:w="4820" w:type="dxa"/>
            <w:vAlign w:val="center"/>
          </w:tcPr>
          <w:p w:rsidRPr="00646E04" w:rsidR="00705C7C" w:rsidP="0010214E" w:rsidRDefault="00705C7C" w14:paraId="39264CBF" w14:textId="27B4D20D">
            <w:r w:rsidRPr="00646E04">
              <w:t xml:space="preserve">Due for Review:  </w:t>
            </w:r>
            <w:r w:rsidR="003A1BC0">
              <w:t>12/02/2026</w:t>
            </w:r>
          </w:p>
        </w:tc>
      </w:tr>
      <w:tr w:rsidRPr="003C2CBA" w:rsidR="00E424B4" w:rsidTr="0042706A" w14:paraId="21F7988E" w14:textId="77777777">
        <w:trPr>
          <w:trHeight w:val="344"/>
        </w:trPr>
        <w:tc>
          <w:tcPr>
            <w:tcW w:w="4111" w:type="dxa"/>
            <w:tcBorders>
              <w:bottom w:val="single" w:color="auto" w:sz="4" w:space="0"/>
            </w:tcBorders>
            <w:vAlign w:val="center"/>
          </w:tcPr>
          <w:p w:rsidRPr="003C2CBA" w:rsidR="00705C7C" w:rsidP="0010214E" w:rsidRDefault="00705C7C" w14:paraId="798F4C25" w14:textId="77777777">
            <w:r w:rsidRPr="003C2CBA">
              <w:t xml:space="preserve">Approved by: </w:t>
            </w:r>
            <w:r>
              <w:t>DTC</w:t>
            </w:r>
          </w:p>
        </w:tc>
        <w:tc>
          <w:tcPr>
            <w:tcW w:w="4820" w:type="dxa"/>
            <w:tcBorders>
              <w:bottom w:val="single" w:color="auto" w:sz="4" w:space="0"/>
            </w:tcBorders>
            <w:vAlign w:val="center"/>
          </w:tcPr>
          <w:p w:rsidRPr="00646E04" w:rsidR="00705C7C" w:rsidP="0010214E" w:rsidRDefault="00705C7C" w14:paraId="09692686" w14:textId="5B443924">
            <w:r w:rsidRPr="00646E04">
              <w:t xml:space="preserve">Approval Date: </w:t>
            </w:r>
            <w:r w:rsidR="00260BC8">
              <w:t>APRIL 2021</w:t>
            </w:r>
          </w:p>
        </w:tc>
      </w:tr>
    </w:tbl>
    <w:p w:rsidRPr="00D33048" w:rsidR="00760B30" w:rsidP="00760B30" w:rsidRDefault="00760B30" w14:paraId="025C6219" w14:textId="77777777">
      <w:pPr>
        <w:rPr>
          <w:rFonts w:cs="Arial" w:asciiTheme="minorHAnsi" w:hAnsiTheme="minorHAnsi"/>
          <w:sz w:val="20"/>
        </w:rPr>
      </w:pPr>
    </w:p>
    <w:p w:rsidRPr="00D33048" w:rsidR="00760B30" w:rsidP="00760B30" w:rsidRDefault="00760B30" w14:paraId="2D2C1C38" w14:textId="77777777">
      <w:pPr>
        <w:rPr>
          <w:rFonts w:cs="Arial" w:asciiTheme="minorHAnsi" w:hAnsiTheme="minorHAnsi"/>
          <w:sz w:val="20"/>
        </w:rPr>
      </w:pPr>
    </w:p>
    <w:p w:rsidRPr="00D33048" w:rsidR="00760B30" w:rsidP="00760B30" w:rsidRDefault="00760B30" w14:paraId="10436099" w14:textId="77777777">
      <w:pPr>
        <w:rPr>
          <w:rFonts w:cs="Arial" w:asciiTheme="minorHAnsi" w:hAnsiTheme="minorHAnsi"/>
          <w:sz w:val="20"/>
        </w:rPr>
      </w:pPr>
    </w:p>
    <w:p w:rsidRPr="00D33048" w:rsidR="00760B30" w:rsidP="00760B30" w:rsidRDefault="00760B30" w14:paraId="03DD864F" w14:textId="77777777">
      <w:pPr>
        <w:rPr>
          <w:rFonts w:asciiTheme="minorHAnsi" w:hAnsiTheme="minorHAnsi"/>
          <w:sz w:val="20"/>
        </w:rPr>
      </w:pPr>
    </w:p>
    <w:p w:rsidRPr="00E25790" w:rsidR="00115F48" w:rsidP="006F0321" w:rsidRDefault="00115F48" w14:paraId="0535214F" w14:textId="77777777"/>
    <w:p w:rsidRPr="00E25790" w:rsidR="00115F48" w:rsidP="006F0321" w:rsidRDefault="00115F48" w14:paraId="624B77D0" w14:textId="77777777"/>
    <w:p w:rsidRPr="00E25790" w:rsidR="00115F48" w:rsidP="006F0321" w:rsidRDefault="00115F48" w14:paraId="04405589"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55693E" w:rsidTr="00EC6FC6" w14:paraId="253CCDE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55693E" w:rsidP="009469DB" w:rsidRDefault="0055693E" w14:paraId="331E1C9F" w14:textId="77777777">
            <w:pPr>
              <w:pStyle w:val="Heading1"/>
            </w:pPr>
            <w:bookmarkStart w:name="_Toc495481107" w:id="237"/>
            <w:bookmarkStart w:name="_Toc495481233" w:id="238"/>
            <w:bookmarkStart w:name="_Toc495481358" w:id="239"/>
            <w:bookmarkStart w:name="_Toc495501539" w:id="240"/>
            <w:bookmarkStart w:name="_Toc534709419" w:id="241"/>
            <w:bookmarkStart w:name="_Toc38106845" w:id="242"/>
            <w:bookmarkStart w:name="_Toc75339971" w:id="243"/>
            <w:r w:rsidRPr="00E25790">
              <w:lastRenderedPageBreak/>
              <w:t>Flucloxacillin</w:t>
            </w:r>
            <w:bookmarkEnd w:id="237"/>
            <w:bookmarkEnd w:id="238"/>
            <w:bookmarkEnd w:id="239"/>
            <w:bookmarkEnd w:id="240"/>
            <w:bookmarkEnd w:id="241"/>
            <w:bookmarkEnd w:id="242"/>
            <w:bookmarkEnd w:id="243"/>
            <w:r w:rsidRPr="00E25790">
              <w:fldChar w:fldCharType="begin"/>
            </w:r>
            <w:r w:rsidRPr="00E25790">
              <w:instrText>tc "Flucloxacillin" \l 0</w:instrText>
            </w:r>
            <w:r w:rsidRPr="00E25790">
              <w:fldChar w:fldCharType="end"/>
            </w:r>
          </w:p>
        </w:tc>
      </w:tr>
      <w:tr w:rsidRPr="00E25790" w:rsidR="0055693E" w:rsidTr="00EC6FC6" w14:paraId="29CAEBF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55693E" w:rsidP="006F0321" w:rsidRDefault="0055693E" w14:paraId="28B44ECB" w14:textId="250E5300">
            <w:r w:rsidRPr="00E25790">
              <w:t>Revision Date</w:t>
            </w:r>
            <w:r w:rsidRPr="00E25790">
              <w:rPr>
                <w:b/>
              </w:rPr>
              <w:t xml:space="preserve"> : </w:t>
            </w:r>
            <w:r w:rsidR="00286513">
              <w:rPr>
                <w:b/>
              </w:rPr>
              <w:t>16-11-2020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55693E" w:rsidP="006F0321" w:rsidRDefault="006A73CD" w14:paraId="283F91D9" w14:textId="77777777">
            <w:r w:rsidRPr="00E25790">
              <w:t>Approved: TC, KOH</w:t>
            </w:r>
          </w:p>
        </w:tc>
      </w:tr>
    </w:tbl>
    <w:p w:rsidRPr="00E25790" w:rsidR="00115F48" w:rsidP="006F0321" w:rsidRDefault="00115F48" w14:paraId="68CBADDC" w14:textId="77777777"/>
    <w:tbl>
      <w:tblPr>
        <w:tblW w:w="557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8375"/>
      </w:tblGrid>
      <w:tr w:rsidRPr="00071492" w:rsidR="00286513" w:rsidTr="00747763" w14:paraId="38D13E28" w14:textId="77777777">
        <w:trPr>
          <w:trHeight w:val="70"/>
        </w:trPr>
        <w:tc>
          <w:tcPr>
            <w:tcW w:w="837" w:type="pct"/>
          </w:tcPr>
          <w:p w:rsidRPr="00071492" w:rsidR="00286513" w:rsidP="0059793A" w:rsidRDefault="00286513" w14:paraId="38B1088D" w14:textId="77777777">
            <w:pPr>
              <w:pStyle w:val="BodyText"/>
              <w:tabs>
                <w:tab w:val="center" w:pos="1476"/>
              </w:tabs>
              <w:rPr>
                <w:rFonts w:asciiTheme="minorHAnsi" w:hAnsiTheme="minorHAnsi" w:cstheme="minorHAnsi"/>
                <w:b/>
                <w:sz w:val="20"/>
              </w:rPr>
            </w:pPr>
            <w:r w:rsidRPr="00071492">
              <w:rPr>
                <w:rFonts w:asciiTheme="minorHAnsi" w:hAnsiTheme="minorHAnsi" w:cstheme="minorHAnsi"/>
                <w:b/>
                <w:sz w:val="20"/>
              </w:rPr>
              <w:t>Alert</w:t>
            </w:r>
            <w:r w:rsidRPr="00071492">
              <w:rPr>
                <w:rFonts w:asciiTheme="minorHAnsi" w:hAnsiTheme="minorHAnsi" w:cstheme="minorHAnsi"/>
                <w:b/>
                <w:sz w:val="20"/>
              </w:rPr>
              <w:tab/>
            </w:r>
          </w:p>
        </w:tc>
        <w:tc>
          <w:tcPr>
            <w:tcW w:w="4163" w:type="pct"/>
          </w:tcPr>
          <w:p w:rsidR="00286513" w:rsidP="0059793A" w:rsidRDefault="00286513" w14:paraId="7AA1ECF3" w14:textId="77777777">
            <w:pPr>
              <w:pStyle w:val="BodyText"/>
              <w:rPr>
                <w:rFonts w:asciiTheme="minorHAnsi" w:hAnsiTheme="minorHAnsi" w:cstheme="minorHAnsi"/>
                <w:sz w:val="20"/>
              </w:rPr>
            </w:pPr>
            <w:r>
              <w:rPr>
                <w:rFonts w:asciiTheme="minorHAnsi" w:hAnsiTheme="minorHAnsi" w:cstheme="minorHAnsi"/>
                <w:sz w:val="20"/>
              </w:rPr>
              <w:t>S4 High risk medicine.</w:t>
            </w:r>
          </w:p>
          <w:p w:rsidRPr="00071492" w:rsidR="00286513" w:rsidP="0059793A" w:rsidRDefault="00286513" w14:paraId="310C1D6A" w14:textId="77777777">
            <w:pPr>
              <w:pStyle w:val="BodyText"/>
              <w:rPr>
                <w:rFonts w:asciiTheme="minorHAnsi" w:hAnsiTheme="minorHAnsi" w:cstheme="minorHAnsi"/>
                <w:sz w:val="20"/>
              </w:rPr>
            </w:pPr>
            <w:r w:rsidRPr="00071492">
              <w:rPr>
                <w:rFonts w:asciiTheme="minorHAnsi" w:hAnsiTheme="minorHAnsi" w:cstheme="minorHAnsi"/>
                <w:sz w:val="20"/>
              </w:rPr>
              <w:t xml:space="preserve">Antimicrobial Stewardship Team listed this drug </w:t>
            </w:r>
            <w:r>
              <w:rPr>
                <w:rFonts w:asciiTheme="minorHAnsi" w:hAnsiTheme="minorHAnsi" w:cstheme="minorHAnsi"/>
                <w:sz w:val="20"/>
              </w:rPr>
              <w:t>as u</w:t>
            </w:r>
            <w:r w:rsidRPr="00071492">
              <w:rPr>
                <w:rFonts w:asciiTheme="minorHAnsi" w:hAnsiTheme="minorHAnsi" w:cstheme="minorHAnsi"/>
                <w:sz w:val="20"/>
              </w:rPr>
              <w:t>nrestricted.</w:t>
            </w:r>
          </w:p>
        </w:tc>
      </w:tr>
      <w:tr w:rsidRPr="00071492" w:rsidR="00286513" w:rsidTr="00747763" w14:paraId="082E0AE0" w14:textId="77777777">
        <w:trPr>
          <w:trHeight w:val="72"/>
        </w:trPr>
        <w:tc>
          <w:tcPr>
            <w:tcW w:w="837" w:type="pct"/>
          </w:tcPr>
          <w:p w:rsidRPr="00071492" w:rsidR="00286513" w:rsidP="0059793A" w:rsidRDefault="00286513" w14:paraId="4E4A456B" w14:textId="77777777">
            <w:pPr>
              <w:pStyle w:val="BodyText"/>
              <w:rPr>
                <w:rFonts w:asciiTheme="minorHAnsi" w:hAnsiTheme="minorHAnsi" w:cstheme="minorHAnsi"/>
                <w:sz w:val="20"/>
              </w:rPr>
            </w:pPr>
            <w:r w:rsidRPr="00071492">
              <w:rPr>
                <w:rFonts w:asciiTheme="minorHAnsi" w:hAnsiTheme="minorHAnsi" w:cstheme="minorHAnsi"/>
                <w:b/>
                <w:bCs/>
                <w:sz w:val="20"/>
              </w:rPr>
              <w:t>Indication</w:t>
            </w:r>
          </w:p>
        </w:tc>
        <w:tc>
          <w:tcPr>
            <w:tcW w:w="4163" w:type="pct"/>
          </w:tcPr>
          <w:p w:rsidRPr="00071492" w:rsidR="00286513" w:rsidP="0059793A" w:rsidRDefault="00286513" w14:paraId="1255FF41" w14:textId="77777777">
            <w:pPr>
              <w:jc w:val="both"/>
              <w:rPr>
                <w:rFonts w:asciiTheme="minorHAnsi" w:hAnsiTheme="minorHAnsi" w:cstheme="minorHAnsi"/>
                <w:sz w:val="20"/>
              </w:rPr>
            </w:pPr>
            <w:r w:rsidRPr="00071492">
              <w:rPr>
                <w:rFonts w:asciiTheme="minorHAnsi" w:hAnsiTheme="minorHAnsi" w:cstheme="minorHAnsi"/>
                <w:sz w:val="20"/>
              </w:rPr>
              <w:t>Treatment of sepsis where infection by Staphylococcus aureus or susceptible coagulase-negative Staphylococci (CoNS) is suspected or confirmed, and other infections caused by susceptible organisms.</w:t>
            </w:r>
          </w:p>
        </w:tc>
      </w:tr>
      <w:tr w:rsidRPr="00071492" w:rsidR="00286513" w:rsidTr="00747763" w14:paraId="0C100F1D" w14:textId="77777777">
        <w:trPr>
          <w:trHeight w:val="70"/>
        </w:trPr>
        <w:tc>
          <w:tcPr>
            <w:tcW w:w="837" w:type="pct"/>
          </w:tcPr>
          <w:p w:rsidRPr="00071492" w:rsidR="00286513" w:rsidP="0059793A" w:rsidRDefault="00286513" w14:paraId="6963F7EF" w14:textId="77777777">
            <w:pPr>
              <w:pStyle w:val="BodyText"/>
              <w:rPr>
                <w:rFonts w:asciiTheme="minorHAnsi" w:hAnsiTheme="minorHAnsi" w:cstheme="minorHAnsi"/>
                <w:b/>
                <w:bCs/>
                <w:sz w:val="20"/>
              </w:rPr>
            </w:pPr>
            <w:r w:rsidRPr="00071492">
              <w:rPr>
                <w:rFonts w:asciiTheme="minorHAnsi" w:hAnsiTheme="minorHAnsi" w:cstheme="minorHAnsi"/>
                <w:b/>
                <w:bCs/>
                <w:sz w:val="20"/>
              </w:rPr>
              <w:t>Action</w:t>
            </w:r>
          </w:p>
        </w:tc>
        <w:tc>
          <w:tcPr>
            <w:tcW w:w="4163" w:type="pct"/>
          </w:tcPr>
          <w:p w:rsidRPr="00071492" w:rsidR="00286513" w:rsidP="0059793A" w:rsidRDefault="00286513" w14:paraId="3B2B6D62" w14:textId="77777777">
            <w:pPr>
              <w:rPr>
                <w:rFonts w:asciiTheme="minorHAnsi" w:hAnsiTheme="minorHAnsi" w:cstheme="minorHAnsi"/>
                <w:sz w:val="20"/>
              </w:rPr>
            </w:pPr>
            <w:r w:rsidRPr="00071492">
              <w:rPr>
                <w:rFonts w:asciiTheme="minorHAnsi" w:hAnsiTheme="minorHAnsi" w:cstheme="minorHAnsi"/>
                <w:sz w:val="20"/>
              </w:rPr>
              <w:t>Bactericidal agent that works by inhibiting the biosynthesis of cell wall mucopeptides. Flucloxacillin is stable against beta-lactamase producing Staphylococci.</w:t>
            </w:r>
          </w:p>
        </w:tc>
      </w:tr>
      <w:tr w:rsidRPr="00071492" w:rsidR="00286513" w:rsidTr="00747763" w14:paraId="09A05B7F" w14:textId="77777777">
        <w:trPr>
          <w:trHeight w:val="266"/>
        </w:trPr>
        <w:tc>
          <w:tcPr>
            <w:tcW w:w="837" w:type="pct"/>
          </w:tcPr>
          <w:p w:rsidRPr="00071492" w:rsidR="00286513" w:rsidP="0059793A" w:rsidRDefault="00286513" w14:paraId="5F207C16" w14:textId="77777777">
            <w:pPr>
              <w:pStyle w:val="BodyText"/>
              <w:rPr>
                <w:rFonts w:asciiTheme="minorHAnsi" w:hAnsiTheme="minorHAnsi" w:cstheme="minorHAnsi"/>
                <w:sz w:val="20"/>
              </w:rPr>
            </w:pPr>
            <w:r w:rsidRPr="00071492">
              <w:rPr>
                <w:rFonts w:asciiTheme="minorHAnsi" w:hAnsiTheme="minorHAnsi" w:cstheme="minorHAnsi"/>
                <w:b/>
                <w:bCs/>
                <w:sz w:val="20"/>
              </w:rPr>
              <w:t xml:space="preserve">Drug type                                   </w:t>
            </w:r>
          </w:p>
        </w:tc>
        <w:tc>
          <w:tcPr>
            <w:tcW w:w="4163" w:type="pct"/>
          </w:tcPr>
          <w:p w:rsidRPr="00071492" w:rsidR="00286513" w:rsidP="0059793A" w:rsidRDefault="00286513" w14:paraId="7C454CCD" w14:textId="77777777">
            <w:pPr>
              <w:pStyle w:val="BodyText"/>
              <w:rPr>
                <w:rFonts w:asciiTheme="minorHAnsi" w:hAnsiTheme="minorHAnsi" w:cstheme="minorHAnsi"/>
                <w:sz w:val="20"/>
              </w:rPr>
            </w:pPr>
            <w:r w:rsidRPr="00071492">
              <w:rPr>
                <w:rFonts w:asciiTheme="minorHAnsi" w:hAnsiTheme="minorHAnsi" w:cstheme="minorHAnsi"/>
                <w:sz w:val="20"/>
              </w:rPr>
              <w:t>Penicillin antibiotic.</w:t>
            </w:r>
          </w:p>
        </w:tc>
      </w:tr>
      <w:tr w:rsidRPr="00071492" w:rsidR="00286513" w:rsidTr="00747763" w14:paraId="37BA6137" w14:textId="77777777">
        <w:trPr>
          <w:trHeight w:val="114"/>
        </w:trPr>
        <w:tc>
          <w:tcPr>
            <w:tcW w:w="837" w:type="pct"/>
          </w:tcPr>
          <w:p w:rsidRPr="00071492" w:rsidR="00286513" w:rsidP="0059793A" w:rsidRDefault="00286513" w14:paraId="67E2D6E6"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Trade name                  </w:t>
            </w:r>
          </w:p>
        </w:tc>
        <w:tc>
          <w:tcPr>
            <w:tcW w:w="4163" w:type="pct"/>
          </w:tcPr>
          <w:p w:rsidRPr="00071492" w:rsidR="00286513" w:rsidP="0059793A" w:rsidRDefault="00286513" w14:paraId="045B2580" w14:textId="77777777">
            <w:pPr>
              <w:pStyle w:val="BodyText"/>
              <w:rPr>
                <w:rFonts w:asciiTheme="minorHAnsi" w:hAnsiTheme="minorHAnsi" w:cstheme="minorHAnsi"/>
                <w:sz w:val="20"/>
              </w:rPr>
            </w:pPr>
            <w:r w:rsidRPr="00071492">
              <w:rPr>
                <w:rFonts w:asciiTheme="minorHAnsi" w:hAnsiTheme="minorHAnsi" w:cstheme="minorHAnsi"/>
                <w:sz w:val="20"/>
              </w:rPr>
              <w:t>Flucil, Flucloxacillin sodium monohydrate for injection (DBL), Flubiclox</w:t>
            </w:r>
          </w:p>
        </w:tc>
      </w:tr>
      <w:tr w:rsidRPr="00071492" w:rsidR="00286513" w:rsidTr="00747763" w14:paraId="0C55B103" w14:textId="77777777">
        <w:trPr>
          <w:trHeight w:val="70"/>
        </w:trPr>
        <w:tc>
          <w:tcPr>
            <w:tcW w:w="837" w:type="pct"/>
          </w:tcPr>
          <w:p w:rsidRPr="00071492" w:rsidR="00286513" w:rsidP="0059793A" w:rsidRDefault="00286513" w14:paraId="043039ED"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Presentation </w:t>
            </w:r>
          </w:p>
        </w:tc>
        <w:tc>
          <w:tcPr>
            <w:tcW w:w="4163" w:type="pct"/>
          </w:tcPr>
          <w:p w:rsidRPr="00071492" w:rsidR="00286513" w:rsidP="0059793A" w:rsidRDefault="00286513" w14:paraId="492ADC63" w14:textId="77777777">
            <w:pPr>
              <w:pStyle w:val="BodyText"/>
              <w:ind w:left="34"/>
              <w:rPr>
                <w:rFonts w:asciiTheme="minorHAnsi" w:hAnsiTheme="minorHAnsi" w:cstheme="minorHAnsi"/>
                <w:sz w:val="20"/>
              </w:rPr>
            </w:pPr>
            <w:r w:rsidRPr="00071492">
              <w:rPr>
                <w:rFonts w:asciiTheme="minorHAnsi" w:hAnsiTheme="minorHAnsi" w:cstheme="minorHAnsi"/>
                <w:sz w:val="20"/>
              </w:rPr>
              <w:t>500 mg vial, 1000 mg vial, 125 mg/5 mL suspension, 250 mg/5 mL suspension.</w:t>
            </w:r>
          </w:p>
        </w:tc>
      </w:tr>
      <w:tr w:rsidRPr="00071492" w:rsidR="00286513" w:rsidTr="00747763" w14:paraId="08108255" w14:textId="77777777">
        <w:trPr>
          <w:trHeight w:val="3814"/>
        </w:trPr>
        <w:tc>
          <w:tcPr>
            <w:tcW w:w="837" w:type="pct"/>
          </w:tcPr>
          <w:p w:rsidRPr="00071492" w:rsidR="00286513" w:rsidP="0059793A" w:rsidRDefault="00286513" w14:paraId="4E747AE8"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Dose/interval                           </w:t>
            </w:r>
          </w:p>
        </w:tc>
        <w:tc>
          <w:tcPr>
            <w:tcW w:w="4163" w:type="pct"/>
          </w:tcPr>
          <w:p w:rsidR="00286513" w:rsidP="0059793A" w:rsidRDefault="00286513" w14:paraId="659C06AC" w14:textId="77777777">
            <w:pPr>
              <w:overflowPunct w:val="0"/>
              <w:autoSpaceDE w:val="0"/>
              <w:autoSpaceDN w:val="0"/>
              <w:adjustRightInd w:val="0"/>
              <w:textAlignment w:val="baseline"/>
              <w:rPr>
                <w:rFonts w:asciiTheme="minorHAnsi" w:hAnsiTheme="minorHAnsi" w:cstheme="minorHAnsi"/>
                <w:b/>
                <w:sz w:val="20"/>
              </w:rPr>
            </w:pPr>
            <w:r w:rsidRPr="00071492">
              <w:rPr>
                <w:rFonts w:asciiTheme="minorHAnsi" w:hAnsiTheme="minorHAnsi" w:cstheme="minorHAnsi"/>
                <w:b/>
                <w:sz w:val="20"/>
              </w:rPr>
              <w:t xml:space="preserve">IV, IM or Intraosseous: </w:t>
            </w:r>
            <w:r w:rsidRPr="005C3AE6">
              <w:rPr>
                <w:rFonts w:asciiTheme="minorHAnsi" w:hAnsiTheme="minorHAnsi" w:cstheme="minorHAnsi"/>
                <w:b/>
                <w:sz w:val="20"/>
              </w:rPr>
              <w:t>25 mg/kg/dose every 4 hours</w:t>
            </w:r>
          </w:p>
          <w:p w:rsidR="00286513" w:rsidP="0059793A" w:rsidRDefault="00286513" w14:paraId="2DB8E002" w14:textId="77777777">
            <w:pPr>
              <w:overflowPunct w:val="0"/>
              <w:autoSpaceDE w:val="0"/>
              <w:autoSpaceDN w:val="0"/>
              <w:adjustRightInd w:val="0"/>
              <w:ind w:left="720"/>
              <w:textAlignment w:val="baseline"/>
              <w:rPr>
                <w:rFonts w:asciiTheme="minorHAnsi" w:hAnsiTheme="minorHAnsi" w:cstheme="minorHAnsi"/>
                <w:b/>
                <w:sz w:val="20"/>
              </w:rPr>
            </w:pPr>
            <w:r>
              <w:rPr>
                <w:rFonts w:cs="Calibri"/>
                <w:sz w:val="20"/>
              </w:rPr>
              <w:t>R</w:t>
            </w:r>
            <w:r w:rsidRPr="003029AC">
              <w:rPr>
                <w:rFonts w:cs="Calibri"/>
                <w:sz w:val="20"/>
              </w:rPr>
              <w:t>ecommended for infants with moderate to severe infection, with Staphylococcus aureus and susceptible coagulase negative staphylococcus infections</w:t>
            </w:r>
            <w:r w:rsidRPr="005C3AE6">
              <w:rPr>
                <w:rFonts w:asciiTheme="minorHAnsi" w:hAnsiTheme="minorHAnsi" w:cstheme="minorHAnsi"/>
                <w:b/>
                <w:sz w:val="20"/>
              </w:rPr>
              <w:t>:</w:t>
            </w:r>
            <w:r>
              <w:rPr>
                <w:rFonts w:asciiTheme="minorHAnsi" w:hAnsiTheme="minorHAnsi" w:cstheme="minorHAnsi"/>
                <w:b/>
                <w:sz w:val="20"/>
              </w:rPr>
              <w:t>[1</w:t>
            </w:r>
            <w:r w:rsidRPr="005C3AE6">
              <w:rPr>
                <w:rFonts w:asciiTheme="minorHAnsi" w:hAnsiTheme="minorHAnsi" w:cstheme="minorHAnsi"/>
                <w:b/>
                <w:sz w:val="20"/>
              </w:rPr>
              <w:t>]</w:t>
            </w:r>
          </w:p>
          <w:p w:rsidR="00286513" w:rsidP="0059793A" w:rsidRDefault="00286513" w14:paraId="2876794E" w14:textId="77777777">
            <w:pPr>
              <w:overflowPunct w:val="0"/>
              <w:autoSpaceDE w:val="0"/>
              <w:autoSpaceDN w:val="0"/>
              <w:adjustRightInd w:val="0"/>
              <w:ind w:left="720"/>
              <w:textAlignment w:val="baseline"/>
              <w:rPr>
                <w:rFonts w:asciiTheme="minorHAnsi" w:hAnsiTheme="minorHAnsi" w:cstheme="minorHAnsi"/>
                <w:b/>
                <w:sz w:val="20"/>
              </w:rPr>
            </w:pPr>
          </w:p>
          <w:p w:rsidRPr="00071492" w:rsidR="00286513" w:rsidP="0059793A" w:rsidRDefault="00286513" w14:paraId="6418713D" w14:textId="77777777">
            <w:pPr>
              <w:overflowPunct w:val="0"/>
              <w:autoSpaceDE w:val="0"/>
              <w:autoSpaceDN w:val="0"/>
              <w:adjustRightInd w:val="0"/>
              <w:ind w:left="720"/>
              <w:textAlignment w:val="baseline"/>
              <w:rPr>
                <w:rFonts w:asciiTheme="minorHAnsi" w:hAnsiTheme="minorHAnsi" w:cstheme="minorHAnsi"/>
                <w:sz w:val="20"/>
              </w:rPr>
            </w:pPr>
            <w:r w:rsidRPr="00071492">
              <w:rPr>
                <w:rFonts w:asciiTheme="minorHAnsi" w:hAnsiTheme="minorHAnsi" w:cstheme="minorHAnsi"/>
                <w:b/>
                <w:sz w:val="20"/>
              </w:rPr>
              <w:t>Alternate</w:t>
            </w:r>
            <w:r w:rsidRPr="00071492">
              <w:rPr>
                <w:rFonts w:asciiTheme="minorHAnsi" w:hAnsiTheme="minorHAnsi" w:cstheme="minorHAnsi"/>
                <w:sz w:val="20"/>
              </w:rPr>
              <w:t xml:space="preserve"> </w:t>
            </w:r>
            <w:r w:rsidRPr="00071492">
              <w:rPr>
                <w:rFonts w:asciiTheme="minorHAnsi" w:hAnsiTheme="minorHAnsi" w:cstheme="minorHAnsi"/>
                <w:b/>
                <w:sz w:val="20"/>
              </w:rPr>
              <w:t>dosing regimen</w:t>
            </w:r>
            <w:r w:rsidRPr="00071492">
              <w:rPr>
                <w:rFonts w:asciiTheme="minorHAnsi" w:hAnsiTheme="minorHAnsi" w:cstheme="minorHAnsi"/>
                <w:sz w:val="20"/>
              </w:rPr>
              <w:t xml:space="preserve">: </w:t>
            </w:r>
            <w:r w:rsidRPr="00071492">
              <w:rPr>
                <w:rFonts w:asciiTheme="minorHAnsi" w:hAnsiTheme="minorHAnsi" w:cstheme="minorHAnsi"/>
                <w:b/>
                <w:sz w:val="20"/>
              </w:rPr>
              <w:t>50 mg/kg/dose</w:t>
            </w:r>
          </w:p>
          <w:p w:rsidRPr="00071492" w:rsidR="00286513" w:rsidP="0059793A" w:rsidRDefault="00286513" w14:paraId="18BD0B14" w14:textId="77777777">
            <w:pPr>
              <w:overflowPunct w:val="0"/>
              <w:autoSpaceDE w:val="0"/>
              <w:autoSpaceDN w:val="0"/>
              <w:adjustRightInd w:val="0"/>
              <w:ind w:left="720"/>
              <w:textAlignment w:val="baseline"/>
              <w:rPr>
                <w:rFonts w:asciiTheme="minorHAnsi" w:hAnsiTheme="minorHAnsi" w:cstheme="minorHAnsi"/>
                <w:b/>
                <w:sz w:val="20"/>
              </w:rPr>
            </w:pPr>
          </w:p>
          <w:tbl>
            <w:tblPr>
              <w:tblW w:w="0" w:type="auto"/>
              <w:tblInd w:w="6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6"/>
              <w:gridCol w:w="2977"/>
            </w:tblGrid>
            <w:tr w:rsidRPr="00071492" w:rsidR="00286513" w:rsidTr="0059793A" w14:paraId="16C2C2CE" w14:textId="77777777">
              <w:tc>
                <w:tcPr>
                  <w:tcW w:w="3006" w:type="dxa"/>
                  <w:shd w:val="clear" w:color="auto" w:fill="auto"/>
                </w:tcPr>
                <w:p w:rsidRPr="00071492" w:rsidR="00286513" w:rsidP="0059793A" w:rsidRDefault="00286513" w14:paraId="275EB08B" w14:textId="77777777">
                  <w:pPr>
                    <w:overflowPunct w:val="0"/>
                    <w:autoSpaceDE w:val="0"/>
                    <w:autoSpaceDN w:val="0"/>
                    <w:adjustRightInd w:val="0"/>
                    <w:textAlignment w:val="baseline"/>
                    <w:rPr>
                      <w:rFonts w:asciiTheme="minorHAnsi" w:hAnsiTheme="minorHAnsi" w:cstheme="minorHAnsi"/>
                      <w:b/>
                      <w:sz w:val="20"/>
                    </w:rPr>
                  </w:pPr>
                  <w:r w:rsidRPr="00071492">
                    <w:rPr>
                      <w:rFonts w:asciiTheme="minorHAnsi" w:hAnsiTheme="minorHAnsi" w:cstheme="minorHAnsi"/>
                      <w:b/>
                      <w:sz w:val="20"/>
                    </w:rPr>
                    <w:t>Day of life</w:t>
                  </w:r>
                </w:p>
              </w:tc>
              <w:tc>
                <w:tcPr>
                  <w:tcW w:w="2977" w:type="dxa"/>
                  <w:shd w:val="clear" w:color="auto" w:fill="auto"/>
                </w:tcPr>
                <w:p w:rsidRPr="00071492" w:rsidR="00286513" w:rsidP="0059793A" w:rsidRDefault="00286513" w14:paraId="76A799C3" w14:textId="77777777">
                  <w:pPr>
                    <w:overflowPunct w:val="0"/>
                    <w:autoSpaceDE w:val="0"/>
                    <w:autoSpaceDN w:val="0"/>
                    <w:adjustRightInd w:val="0"/>
                    <w:textAlignment w:val="baseline"/>
                    <w:rPr>
                      <w:rFonts w:asciiTheme="minorHAnsi" w:hAnsiTheme="minorHAnsi" w:cstheme="minorHAnsi"/>
                      <w:b/>
                      <w:sz w:val="20"/>
                    </w:rPr>
                  </w:pPr>
                  <w:r w:rsidRPr="00071492">
                    <w:rPr>
                      <w:rFonts w:asciiTheme="minorHAnsi" w:hAnsiTheme="minorHAnsi" w:cstheme="minorHAnsi"/>
                      <w:b/>
                      <w:sz w:val="20"/>
                    </w:rPr>
                    <w:t>Dosing interval</w:t>
                  </w:r>
                </w:p>
              </w:tc>
            </w:tr>
            <w:tr w:rsidRPr="00071492" w:rsidR="00286513" w:rsidTr="0059793A" w14:paraId="4F94454A" w14:textId="77777777">
              <w:tc>
                <w:tcPr>
                  <w:tcW w:w="3006" w:type="dxa"/>
                  <w:shd w:val="clear" w:color="auto" w:fill="auto"/>
                </w:tcPr>
                <w:p w:rsidRPr="00071492" w:rsidR="00286513" w:rsidP="0059793A" w:rsidRDefault="00286513" w14:paraId="48B82124"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Days 0─7</w:t>
                  </w:r>
                </w:p>
              </w:tc>
              <w:tc>
                <w:tcPr>
                  <w:tcW w:w="2977" w:type="dxa"/>
                  <w:shd w:val="clear" w:color="auto" w:fill="auto"/>
                </w:tcPr>
                <w:p w:rsidRPr="00071492" w:rsidR="00286513" w:rsidP="0059793A" w:rsidRDefault="00286513" w14:paraId="5ADC46C8"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12 hourly</w:t>
                  </w:r>
                </w:p>
              </w:tc>
            </w:tr>
            <w:tr w:rsidRPr="00071492" w:rsidR="00286513" w:rsidTr="0059793A" w14:paraId="2636C30F" w14:textId="77777777">
              <w:tc>
                <w:tcPr>
                  <w:tcW w:w="3006" w:type="dxa"/>
                  <w:shd w:val="clear" w:color="auto" w:fill="auto"/>
                </w:tcPr>
                <w:p w:rsidRPr="00071492" w:rsidR="00286513" w:rsidP="0059793A" w:rsidRDefault="00286513" w14:paraId="06331189"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Days 8─20</w:t>
                  </w:r>
                </w:p>
              </w:tc>
              <w:tc>
                <w:tcPr>
                  <w:tcW w:w="2977" w:type="dxa"/>
                  <w:shd w:val="clear" w:color="auto" w:fill="auto"/>
                </w:tcPr>
                <w:p w:rsidRPr="00071492" w:rsidR="00286513" w:rsidP="0059793A" w:rsidRDefault="00286513" w14:paraId="70346C97"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8 hourly</w:t>
                  </w:r>
                </w:p>
              </w:tc>
            </w:tr>
            <w:tr w:rsidRPr="00071492" w:rsidR="00286513" w:rsidTr="0059793A" w14:paraId="60DF8E88" w14:textId="77777777">
              <w:tc>
                <w:tcPr>
                  <w:tcW w:w="3006" w:type="dxa"/>
                  <w:shd w:val="clear" w:color="auto" w:fill="auto"/>
                </w:tcPr>
                <w:p w:rsidRPr="00071492" w:rsidR="00286513" w:rsidP="0059793A" w:rsidRDefault="00286513" w14:paraId="1DE5E700"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Day 21+</w:t>
                  </w:r>
                </w:p>
              </w:tc>
              <w:tc>
                <w:tcPr>
                  <w:tcW w:w="2977" w:type="dxa"/>
                  <w:shd w:val="clear" w:color="auto" w:fill="auto"/>
                </w:tcPr>
                <w:p w:rsidRPr="00071492" w:rsidR="00286513" w:rsidP="0059793A" w:rsidRDefault="00286513" w14:paraId="17DBA898"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6 hourly</w:t>
                  </w:r>
                </w:p>
              </w:tc>
            </w:tr>
          </w:tbl>
          <w:p w:rsidRPr="00071492" w:rsidR="00286513" w:rsidP="0059793A" w:rsidRDefault="00286513" w14:paraId="7B6BE3E6" w14:textId="77777777">
            <w:pPr>
              <w:overflowPunct w:val="0"/>
              <w:autoSpaceDE w:val="0"/>
              <w:autoSpaceDN w:val="0"/>
              <w:adjustRightInd w:val="0"/>
              <w:ind w:left="720"/>
              <w:textAlignment w:val="baseline"/>
              <w:rPr>
                <w:rFonts w:asciiTheme="minorHAnsi" w:hAnsiTheme="minorHAnsi" w:cstheme="minorHAnsi"/>
                <w:sz w:val="20"/>
              </w:rPr>
            </w:pPr>
          </w:p>
          <w:p w:rsidRPr="00071492" w:rsidR="00286513" w:rsidP="0059793A" w:rsidRDefault="00286513" w14:paraId="7512EF5A" w14:textId="77777777">
            <w:pPr>
              <w:overflowPunct w:val="0"/>
              <w:autoSpaceDE w:val="0"/>
              <w:autoSpaceDN w:val="0"/>
              <w:adjustRightInd w:val="0"/>
              <w:textAlignment w:val="baseline"/>
              <w:rPr>
                <w:rFonts w:asciiTheme="minorHAnsi" w:hAnsiTheme="minorHAnsi" w:cstheme="minorHAnsi"/>
                <w:b/>
                <w:sz w:val="20"/>
              </w:rPr>
            </w:pPr>
            <w:r w:rsidRPr="00071492">
              <w:rPr>
                <w:rFonts w:asciiTheme="minorHAnsi" w:hAnsiTheme="minorHAnsi" w:cstheme="minorHAnsi"/>
                <w:b/>
                <w:sz w:val="20"/>
              </w:rPr>
              <w:t xml:space="preserve">Oral: 25 mg/kg/dose </w:t>
            </w:r>
          </w:p>
          <w:tbl>
            <w:tblPr>
              <w:tblW w:w="0" w:type="auto"/>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06"/>
              <w:gridCol w:w="2977"/>
            </w:tblGrid>
            <w:tr w:rsidRPr="00071492" w:rsidR="00286513" w:rsidTr="0059793A" w14:paraId="54A540D9" w14:textId="77777777">
              <w:tc>
                <w:tcPr>
                  <w:tcW w:w="3006" w:type="dxa"/>
                  <w:shd w:val="clear" w:color="auto" w:fill="auto"/>
                </w:tcPr>
                <w:p w:rsidRPr="00071492" w:rsidR="00286513" w:rsidP="0059793A" w:rsidRDefault="00286513" w14:paraId="72755930" w14:textId="77777777">
                  <w:pPr>
                    <w:overflowPunct w:val="0"/>
                    <w:autoSpaceDE w:val="0"/>
                    <w:autoSpaceDN w:val="0"/>
                    <w:adjustRightInd w:val="0"/>
                    <w:textAlignment w:val="baseline"/>
                    <w:rPr>
                      <w:rFonts w:asciiTheme="minorHAnsi" w:hAnsiTheme="minorHAnsi" w:cstheme="minorHAnsi"/>
                      <w:b/>
                      <w:sz w:val="20"/>
                    </w:rPr>
                  </w:pPr>
                  <w:r w:rsidRPr="00071492">
                    <w:rPr>
                      <w:rFonts w:asciiTheme="minorHAnsi" w:hAnsiTheme="minorHAnsi" w:cstheme="minorHAnsi"/>
                      <w:b/>
                      <w:sz w:val="20"/>
                    </w:rPr>
                    <w:t>Day of life</w:t>
                  </w:r>
                </w:p>
              </w:tc>
              <w:tc>
                <w:tcPr>
                  <w:tcW w:w="2977" w:type="dxa"/>
                  <w:shd w:val="clear" w:color="auto" w:fill="auto"/>
                </w:tcPr>
                <w:p w:rsidRPr="00071492" w:rsidR="00286513" w:rsidP="0059793A" w:rsidRDefault="00286513" w14:paraId="1AEB6C45" w14:textId="77777777">
                  <w:pPr>
                    <w:overflowPunct w:val="0"/>
                    <w:autoSpaceDE w:val="0"/>
                    <w:autoSpaceDN w:val="0"/>
                    <w:adjustRightInd w:val="0"/>
                    <w:textAlignment w:val="baseline"/>
                    <w:rPr>
                      <w:rFonts w:asciiTheme="minorHAnsi" w:hAnsiTheme="minorHAnsi" w:cstheme="minorHAnsi"/>
                      <w:b/>
                      <w:sz w:val="20"/>
                    </w:rPr>
                  </w:pPr>
                  <w:r w:rsidRPr="00071492">
                    <w:rPr>
                      <w:rFonts w:asciiTheme="minorHAnsi" w:hAnsiTheme="minorHAnsi" w:cstheme="minorHAnsi"/>
                      <w:b/>
                      <w:sz w:val="20"/>
                    </w:rPr>
                    <w:t>Dosing interval</w:t>
                  </w:r>
                </w:p>
              </w:tc>
            </w:tr>
            <w:tr w:rsidRPr="00071492" w:rsidR="00286513" w:rsidTr="0059793A" w14:paraId="4A6D64E8" w14:textId="77777777">
              <w:tc>
                <w:tcPr>
                  <w:tcW w:w="3006" w:type="dxa"/>
                  <w:shd w:val="clear" w:color="auto" w:fill="auto"/>
                </w:tcPr>
                <w:p w:rsidRPr="00071492" w:rsidR="00286513" w:rsidP="0059793A" w:rsidRDefault="00286513" w14:paraId="62B59DFF"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Days 0─7</w:t>
                  </w:r>
                </w:p>
              </w:tc>
              <w:tc>
                <w:tcPr>
                  <w:tcW w:w="2977" w:type="dxa"/>
                  <w:shd w:val="clear" w:color="auto" w:fill="auto"/>
                </w:tcPr>
                <w:p w:rsidRPr="00071492" w:rsidR="00286513" w:rsidP="0059793A" w:rsidRDefault="00286513" w14:paraId="6C7B1F51"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12 hourly</w:t>
                  </w:r>
                </w:p>
              </w:tc>
            </w:tr>
            <w:tr w:rsidRPr="00071492" w:rsidR="00286513" w:rsidTr="0059793A" w14:paraId="1955D015" w14:textId="77777777">
              <w:tc>
                <w:tcPr>
                  <w:tcW w:w="3006" w:type="dxa"/>
                  <w:shd w:val="clear" w:color="auto" w:fill="auto"/>
                </w:tcPr>
                <w:p w:rsidRPr="00071492" w:rsidR="00286513" w:rsidP="0059793A" w:rsidRDefault="00286513" w14:paraId="61C4E322"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Days 8─20</w:t>
                  </w:r>
                </w:p>
              </w:tc>
              <w:tc>
                <w:tcPr>
                  <w:tcW w:w="2977" w:type="dxa"/>
                  <w:shd w:val="clear" w:color="auto" w:fill="auto"/>
                </w:tcPr>
                <w:p w:rsidRPr="00071492" w:rsidR="00286513" w:rsidP="0059793A" w:rsidRDefault="00286513" w14:paraId="594A7ACC"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8 hourly</w:t>
                  </w:r>
                </w:p>
              </w:tc>
            </w:tr>
            <w:tr w:rsidRPr="00071492" w:rsidR="00286513" w:rsidTr="0059793A" w14:paraId="62AC9A6A" w14:textId="77777777">
              <w:tc>
                <w:tcPr>
                  <w:tcW w:w="3006" w:type="dxa"/>
                  <w:shd w:val="clear" w:color="auto" w:fill="auto"/>
                </w:tcPr>
                <w:p w:rsidRPr="00071492" w:rsidR="00286513" w:rsidP="0059793A" w:rsidRDefault="00286513" w14:paraId="0C1C85A8"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Day 21 +</w:t>
                  </w:r>
                </w:p>
              </w:tc>
              <w:tc>
                <w:tcPr>
                  <w:tcW w:w="2977" w:type="dxa"/>
                  <w:shd w:val="clear" w:color="auto" w:fill="auto"/>
                </w:tcPr>
                <w:p w:rsidRPr="00071492" w:rsidR="00286513" w:rsidP="0059793A" w:rsidRDefault="00286513" w14:paraId="3D403135" w14:textId="77777777">
                  <w:pPr>
                    <w:overflowPunct w:val="0"/>
                    <w:autoSpaceDE w:val="0"/>
                    <w:autoSpaceDN w:val="0"/>
                    <w:adjustRightInd w:val="0"/>
                    <w:textAlignment w:val="baseline"/>
                    <w:rPr>
                      <w:rFonts w:asciiTheme="minorHAnsi" w:hAnsiTheme="minorHAnsi" w:cstheme="minorHAnsi"/>
                      <w:sz w:val="20"/>
                    </w:rPr>
                  </w:pPr>
                  <w:r w:rsidRPr="00071492">
                    <w:rPr>
                      <w:rFonts w:asciiTheme="minorHAnsi" w:hAnsiTheme="minorHAnsi" w:cstheme="minorHAnsi"/>
                      <w:sz w:val="20"/>
                    </w:rPr>
                    <w:t>6 hourly</w:t>
                  </w:r>
                </w:p>
              </w:tc>
            </w:tr>
          </w:tbl>
          <w:p w:rsidRPr="00071492" w:rsidR="00286513" w:rsidP="0059793A" w:rsidRDefault="00286513" w14:paraId="12ACBE62" w14:textId="77777777">
            <w:pPr>
              <w:pStyle w:val="BodyText"/>
              <w:rPr>
                <w:rFonts w:asciiTheme="minorHAnsi" w:hAnsiTheme="minorHAnsi" w:cstheme="minorHAnsi"/>
                <w:sz w:val="20"/>
              </w:rPr>
            </w:pPr>
          </w:p>
        </w:tc>
      </w:tr>
      <w:tr w:rsidRPr="00071492" w:rsidR="00286513" w:rsidTr="00747763" w14:paraId="2E9A49DF" w14:textId="77777777">
        <w:trPr>
          <w:trHeight w:val="407"/>
        </w:trPr>
        <w:tc>
          <w:tcPr>
            <w:tcW w:w="837" w:type="pct"/>
          </w:tcPr>
          <w:p w:rsidRPr="00071492" w:rsidR="00286513" w:rsidP="0059793A" w:rsidRDefault="00286513" w14:paraId="7C64AA5A" w14:textId="77777777">
            <w:pPr>
              <w:pStyle w:val="BodyText"/>
              <w:rPr>
                <w:rFonts w:asciiTheme="minorHAnsi" w:hAnsiTheme="minorHAnsi" w:cstheme="minorHAnsi"/>
                <w:b/>
                <w:sz w:val="20"/>
              </w:rPr>
            </w:pPr>
            <w:r w:rsidRPr="00071492">
              <w:rPr>
                <w:rFonts w:asciiTheme="minorHAnsi" w:hAnsiTheme="minorHAnsi" w:cstheme="minorHAnsi"/>
                <w:b/>
                <w:sz w:val="20"/>
              </w:rPr>
              <w:t>Dose adjustment</w:t>
            </w:r>
          </w:p>
          <w:p w:rsidRPr="00071492" w:rsidR="00286513" w:rsidP="0059793A" w:rsidRDefault="00286513" w14:paraId="3CE836BB" w14:textId="77777777">
            <w:pPr>
              <w:pStyle w:val="BodyText"/>
              <w:rPr>
                <w:rFonts w:asciiTheme="minorHAnsi" w:hAnsiTheme="minorHAnsi" w:cstheme="minorHAnsi"/>
                <w:b/>
                <w:sz w:val="20"/>
              </w:rPr>
            </w:pPr>
          </w:p>
        </w:tc>
        <w:tc>
          <w:tcPr>
            <w:tcW w:w="4163" w:type="pct"/>
          </w:tcPr>
          <w:p w:rsidRPr="00071492" w:rsidR="00286513" w:rsidP="0059793A" w:rsidRDefault="00286513" w14:paraId="33887D79" w14:textId="77777777">
            <w:pPr>
              <w:pStyle w:val="BodyText"/>
              <w:rPr>
                <w:rFonts w:asciiTheme="minorHAnsi" w:hAnsiTheme="minorHAnsi" w:cstheme="minorHAnsi"/>
                <w:sz w:val="20"/>
              </w:rPr>
            </w:pPr>
            <w:r w:rsidRPr="00071492">
              <w:rPr>
                <w:rFonts w:asciiTheme="minorHAnsi" w:hAnsiTheme="minorHAnsi" w:cstheme="minorHAnsi"/>
                <w:sz w:val="20"/>
              </w:rPr>
              <w:t>Therapeutic hypothermia: No information.</w:t>
            </w:r>
          </w:p>
          <w:p w:rsidRPr="00071492" w:rsidR="00286513" w:rsidP="0059793A" w:rsidRDefault="00286513" w14:paraId="1642671F" w14:textId="77777777">
            <w:pPr>
              <w:pStyle w:val="BodyText"/>
              <w:rPr>
                <w:rFonts w:asciiTheme="minorHAnsi" w:hAnsiTheme="minorHAnsi" w:cstheme="minorHAnsi"/>
                <w:sz w:val="20"/>
              </w:rPr>
            </w:pPr>
            <w:r w:rsidRPr="00071492">
              <w:rPr>
                <w:rFonts w:asciiTheme="minorHAnsi" w:hAnsiTheme="minorHAnsi" w:cstheme="minorHAnsi"/>
                <w:sz w:val="20"/>
              </w:rPr>
              <w:t xml:space="preserve">ECMO: May need increased dosing. </w:t>
            </w:r>
            <w:r w:rsidRPr="00071492">
              <w:rPr>
                <w:rFonts w:asciiTheme="minorHAnsi" w:hAnsiTheme="minorHAnsi" w:cstheme="minorHAnsi"/>
                <w:noProof/>
                <w:sz w:val="20"/>
              </w:rPr>
              <w:t>[2]</w:t>
            </w:r>
          </w:p>
          <w:p w:rsidRPr="00071492" w:rsidR="00286513" w:rsidP="0059793A" w:rsidRDefault="00286513" w14:paraId="0C7AD3C7" w14:textId="77777777">
            <w:pPr>
              <w:pStyle w:val="BodyText"/>
              <w:rPr>
                <w:rFonts w:asciiTheme="minorHAnsi" w:hAnsiTheme="minorHAnsi" w:cstheme="minorHAnsi"/>
                <w:sz w:val="20"/>
              </w:rPr>
            </w:pPr>
            <w:r w:rsidRPr="00071492">
              <w:rPr>
                <w:rFonts w:asciiTheme="minorHAnsi" w:hAnsiTheme="minorHAnsi" w:cstheme="minorHAnsi"/>
                <w:sz w:val="20"/>
              </w:rPr>
              <w:t>Renal</w:t>
            </w:r>
            <w:r>
              <w:rPr>
                <w:rFonts w:asciiTheme="minorHAnsi" w:hAnsiTheme="minorHAnsi" w:cstheme="minorHAnsi"/>
                <w:sz w:val="20"/>
              </w:rPr>
              <w:t xml:space="preserve"> impairment</w:t>
            </w:r>
            <w:r w:rsidRPr="00071492">
              <w:rPr>
                <w:rFonts w:asciiTheme="minorHAnsi" w:hAnsiTheme="minorHAnsi" w:cstheme="minorHAnsi"/>
                <w:sz w:val="20"/>
              </w:rPr>
              <w:t>: Use with caution.</w:t>
            </w:r>
          </w:p>
          <w:p w:rsidRPr="00071492" w:rsidR="00286513" w:rsidP="0059793A" w:rsidRDefault="00286513" w14:paraId="5F1B1FA8" w14:textId="77777777">
            <w:pPr>
              <w:pStyle w:val="BodyText"/>
              <w:rPr>
                <w:rFonts w:asciiTheme="minorHAnsi" w:hAnsiTheme="minorHAnsi" w:cstheme="minorHAnsi"/>
                <w:sz w:val="20"/>
              </w:rPr>
            </w:pPr>
            <w:r w:rsidRPr="00071492">
              <w:rPr>
                <w:rFonts w:asciiTheme="minorHAnsi" w:hAnsiTheme="minorHAnsi" w:cstheme="minorHAnsi"/>
                <w:sz w:val="20"/>
              </w:rPr>
              <w:t>Hepatic</w:t>
            </w:r>
            <w:r>
              <w:rPr>
                <w:rFonts w:asciiTheme="minorHAnsi" w:hAnsiTheme="minorHAnsi" w:cstheme="minorHAnsi"/>
                <w:sz w:val="20"/>
              </w:rPr>
              <w:t xml:space="preserve"> impairment</w:t>
            </w:r>
            <w:r w:rsidRPr="00071492">
              <w:rPr>
                <w:rFonts w:asciiTheme="minorHAnsi" w:hAnsiTheme="minorHAnsi" w:cstheme="minorHAnsi"/>
                <w:sz w:val="20"/>
              </w:rPr>
              <w:t xml:space="preserve">: Use with caution. </w:t>
            </w:r>
          </w:p>
        </w:tc>
      </w:tr>
      <w:tr w:rsidRPr="00071492" w:rsidR="00286513" w:rsidTr="00747763" w14:paraId="1FB3E508" w14:textId="77777777">
        <w:trPr>
          <w:trHeight w:val="113"/>
        </w:trPr>
        <w:tc>
          <w:tcPr>
            <w:tcW w:w="837" w:type="pct"/>
          </w:tcPr>
          <w:p w:rsidRPr="00071492" w:rsidR="00286513" w:rsidP="0059793A" w:rsidRDefault="00286513" w14:paraId="7010C1AE" w14:textId="77777777">
            <w:pPr>
              <w:pStyle w:val="BodyText"/>
              <w:rPr>
                <w:rFonts w:asciiTheme="minorHAnsi" w:hAnsiTheme="minorHAnsi" w:cstheme="minorHAnsi"/>
                <w:b/>
                <w:sz w:val="20"/>
              </w:rPr>
            </w:pPr>
            <w:r w:rsidRPr="00071492">
              <w:rPr>
                <w:rFonts w:asciiTheme="minorHAnsi" w:hAnsiTheme="minorHAnsi" w:cstheme="minorHAnsi"/>
                <w:b/>
                <w:sz w:val="20"/>
              </w:rPr>
              <w:t>Maximum dose</w:t>
            </w:r>
          </w:p>
        </w:tc>
        <w:tc>
          <w:tcPr>
            <w:tcW w:w="4163" w:type="pct"/>
          </w:tcPr>
          <w:p w:rsidRPr="00071492" w:rsidR="00286513" w:rsidP="0059793A" w:rsidRDefault="00286513" w14:paraId="4DE32FF7" w14:textId="77777777">
            <w:pPr>
              <w:pStyle w:val="BodyText"/>
              <w:rPr>
                <w:rFonts w:asciiTheme="minorHAnsi" w:hAnsiTheme="minorHAnsi" w:cstheme="minorHAnsi"/>
                <w:sz w:val="20"/>
              </w:rPr>
            </w:pPr>
            <w:r w:rsidRPr="00071492">
              <w:rPr>
                <w:rFonts w:asciiTheme="minorHAnsi" w:hAnsiTheme="minorHAnsi" w:cstheme="minorHAnsi"/>
                <w:sz w:val="20"/>
              </w:rPr>
              <w:t>200 mg/kg/day</w:t>
            </w:r>
          </w:p>
        </w:tc>
      </w:tr>
      <w:tr w:rsidRPr="00071492" w:rsidR="00286513" w:rsidTr="00747763" w14:paraId="2D10BF3A" w14:textId="77777777">
        <w:trPr>
          <w:trHeight w:val="144"/>
        </w:trPr>
        <w:tc>
          <w:tcPr>
            <w:tcW w:w="837" w:type="pct"/>
          </w:tcPr>
          <w:p w:rsidRPr="00071492" w:rsidR="00286513" w:rsidP="0059793A" w:rsidRDefault="00286513" w14:paraId="536636A0" w14:textId="77777777">
            <w:pPr>
              <w:pStyle w:val="BodyText"/>
              <w:rPr>
                <w:rFonts w:asciiTheme="minorHAnsi" w:hAnsiTheme="minorHAnsi" w:cstheme="minorHAnsi"/>
                <w:b/>
                <w:bCs/>
                <w:sz w:val="20"/>
              </w:rPr>
            </w:pPr>
            <w:r w:rsidRPr="00071492">
              <w:rPr>
                <w:rFonts w:asciiTheme="minorHAnsi" w:hAnsiTheme="minorHAnsi" w:cstheme="minorHAnsi"/>
                <w:b/>
                <w:sz w:val="20"/>
              </w:rPr>
              <w:t>Total cumulative dose</w:t>
            </w:r>
          </w:p>
        </w:tc>
        <w:tc>
          <w:tcPr>
            <w:tcW w:w="4163" w:type="pct"/>
          </w:tcPr>
          <w:p w:rsidRPr="00071492" w:rsidR="00286513" w:rsidP="0059793A" w:rsidRDefault="00286513" w14:paraId="134A8659" w14:textId="77777777">
            <w:pPr>
              <w:pStyle w:val="BodyText"/>
              <w:rPr>
                <w:rFonts w:asciiTheme="minorHAnsi" w:hAnsiTheme="minorHAnsi" w:cstheme="minorHAnsi"/>
                <w:b/>
                <w:sz w:val="20"/>
              </w:rPr>
            </w:pPr>
          </w:p>
        </w:tc>
      </w:tr>
      <w:tr w:rsidRPr="00071492" w:rsidR="00286513" w:rsidTr="00747763" w14:paraId="335E7AD4" w14:textId="77777777">
        <w:trPr>
          <w:trHeight w:val="294"/>
        </w:trPr>
        <w:tc>
          <w:tcPr>
            <w:tcW w:w="837" w:type="pct"/>
          </w:tcPr>
          <w:p w:rsidRPr="00071492" w:rsidR="00286513" w:rsidP="0059793A" w:rsidRDefault="00286513" w14:paraId="7684E511" w14:textId="77777777">
            <w:pPr>
              <w:pStyle w:val="BodyText"/>
              <w:rPr>
                <w:rFonts w:asciiTheme="minorHAnsi" w:hAnsiTheme="minorHAnsi" w:cstheme="minorHAnsi"/>
                <w:sz w:val="20"/>
              </w:rPr>
            </w:pPr>
            <w:r w:rsidRPr="00071492">
              <w:rPr>
                <w:rFonts w:asciiTheme="minorHAnsi" w:hAnsiTheme="minorHAnsi" w:cstheme="minorHAnsi"/>
                <w:b/>
                <w:bCs/>
                <w:sz w:val="20"/>
              </w:rPr>
              <w:t xml:space="preserve">Route                                </w:t>
            </w:r>
          </w:p>
        </w:tc>
        <w:tc>
          <w:tcPr>
            <w:tcW w:w="4163" w:type="pct"/>
          </w:tcPr>
          <w:p w:rsidRPr="00071492" w:rsidR="00286513" w:rsidP="0059793A" w:rsidRDefault="00286513" w14:paraId="6354A493" w14:textId="77777777">
            <w:pPr>
              <w:pStyle w:val="BodyText"/>
              <w:rPr>
                <w:rFonts w:asciiTheme="minorHAnsi" w:hAnsiTheme="minorHAnsi" w:cstheme="minorHAnsi"/>
                <w:b/>
                <w:sz w:val="20"/>
              </w:rPr>
            </w:pPr>
            <w:r w:rsidRPr="00071492">
              <w:rPr>
                <w:rFonts w:asciiTheme="minorHAnsi" w:hAnsiTheme="minorHAnsi" w:cstheme="minorHAnsi"/>
                <w:b/>
                <w:sz w:val="20"/>
              </w:rPr>
              <w:t>IV</w:t>
            </w:r>
          </w:p>
          <w:p w:rsidRPr="00071492" w:rsidR="00286513" w:rsidP="0059793A" w:rsidRDefault="00286513" w14:paraId="413A8EB8" w14:textId="77777777">
            <w:pPr>
              <w:pStyle w:val="BodyText"/>
              <w:rPr>
                <w:rFonts w:asciiTheme="minorHAnsi" w:hAnsiTheme="minorHAnsi" w:cstheme="minorHAnsi"/>
                <w:sz w:val="20"/>
              </w:rPr>
            </w:pPr>
            <w:r w:rsidRPr="00071492">
              <w:rPr>
                <w:rFonts w:asciiTheme="minorHAnsi" w:hAnsiTheme="minorHAnsi" w:cstheme="minorHAnsi"/>
                <w:sz w:val="20"/>
              </w:rPr>
              <w:t>IM (only if IV route not possible as intramuscular route is painful).</w:t>
            </w:r>
          </w:p>
          <w:p w:rsidRPr="00071492" w:rsidR="00286513" w:rsidP="0059793A" w:rsidRDefault="00286513" w14:paraId="7E81F139" w14:textId="77777777">
            <w:pPr>
              <w:pStyle w:val="BodyText"/>
              <w:rPr>
                <w:rFonts w:asciiTheme="minorHAnsi" w:hAnsiTheme="minorHAnsi" w:cstheme="minorHAnsi"/>
                <w:sz w:val="20"/>
              </w:rPr>
            </w:pPr>
            <w:r w:rsidRPr="00071492">
              <w:rPr>
                <w:rFonts w:asciiTheme="minorHAnsi" w:hAnsiTheme="minorHAnsi" w:cstheme="minorHAnsi"/>
                <w:sz w:val="20"/>
              </w:rPr>
              <w:t>Intraosseous</w:t>
            </w:r>
          </w:p>
          <w:p w:rsidRPr="00071492" w:rsidR="00286513" w:rsidP="0059793A" w:rsidRDefault="00286513" w14:paraId="5A100361" w14:textId="77777777">
            <w:pPr>
              <w:pStyle w:val="BodyText"/>
              <w:rPr>
                <w:rFonts w:asciiTheme="minorHAnsi" w:hAnsiTheme="minorHAnsi" w:cstheme="minorHAnsi"/>
                <w:b/>
                <w:sz w:val="20"/>
              </w:rPr>
            </w:pPr>
            <w:r w:rsidRPr="00071492">
              <w:rPr>
                <w:rFonts w:asciiTheme="minorHAnsi" w:hAnsiTheme="minorHAnsi" w:cstheme="minorHAnsi"/>
                <w:b/>
                <w:sz w:val="20"/>
              </w:rPr>
              <w:t>Oral</w:t>
            </w:r>
          </w:p>
        </w:tc>
      </w:tr>
      <w:tr w:rsidRPr="00071492" w:rsidR="00286513" w:rsidTr="00747763" w14:paraId="04C544A8" w14:textId="77777777">
        <w:trPr>
          <w:trHeight w:val="93"/>
        </w:trPr>
        <w:tc>
          <w:tcPr>
            <w:tcW w:w="837" w:type="pct"/>
          </w:tcPr>
          <w:p w:rsidRPr="00071492" w:rsidR="00286513" w:rsidP="0059793A" w:rsidRDefault="00286513" w14:paraId="4A9AE1A5" w14:textId="77777777">
            <w:pPr>
              <w:pStyle w:val="BodyText"/>
              <w:rPr>
                <w:rFonts w:asciiTheme="minorHAnsi" w:hAnsiTheme="minorHAnsi" w:cstheme="minorHAnsi"/>
                <w:b/>
                <w:bCs/>
                <w:sz w:val="20"/>
                <w:highlight w:val="cyan"/>
              </w:rPr>
            </w:pPr>
            <w:r w:rsidRPr="00071492">
              <w:rPr>
                <w:rFonts w:asciiTheme="minorHAnsi" w:hAnsiTheme="minorHAnsi" w:cstheme="minorHAnsi"/>
                <w:b/>
                <w:bCs/>
                <w:sz w:val="20"/>
              </w:rPr>
              <w:t>Preparation</w:t>
            </w:r>
            <w:r w:rsidRPr="00071492">
              <w:rPr>
                <w:rFonts w:asciiTheme="minorHAnsi" w:hAnsiTheme="minorHAnsi" w:cstheme="minorHAnsi"/>
                <w:b/>
                <w:bCs/>
                <w:sz w:val="20"/>
                <w:highlight w:val="cyan"/>
              </w:rPr>
              <w:t xml:space="preserve">                </w:t>
            </w:r>
          </w:p>
        </w:tc>
        <w:tc>
          <w:tcPr>
            <w:tcW w:w="4163" w:type="pct"/>
          </w:tcPr>
          <w:p w:rsidRPr="00071492" w:rsidR="00286513" w:rsidP="0059793A" w:rsidRDefault="00286513" w14:paraId="32CF4D7C" w14:textId="77777777">
            <w:pPr>
              <w:pStyle w:val="BodyText"/>
              <w:rPr>
                <w:rFonts w:asciiTheme="minorHAnsi" w:hAnsiTheme="minorHAnsi" w:cstheme="minorHAnsi"/>
                <w:b/>
                <w:sz w:val="20"/>
              </w:rPr>
            </w:pPr>
            <w:r w:rsidRPr="00071492">
              <w:rPr>
                <w:rFonts w:asciiTheme="minorHAnsi" w:hAnsiTheme="minorHAnsi" w:cstheme="minorHAnsi"/>
                <w:b/>
                <w:sz w:val="20"/>
              </w:rPr>
              <w:t xml:space="preserve">IV </w:t>
            </w:r>
            <w:r>
              <w:rPr>
                <w:rFonts w:asciiTheme="minorHAnsi" w:hAnsiTheme="minorHAnsi" w:cstheme="minorHAnsi"/>
                <w:b/>
                <w:sz w:val="20"/>
              </w:rPr>
              <w:t xml:space="preserve">and </w:t>
            </w:r>
            <w:r w:rsidRPr="00071492">
              <w:rPr>
                <w:rFonts w:asciiTheme="minorHAnsi" w:hAnsiTheme="minorHAnsi" w:cstheme="minorHAnsi"/>
                <w:b/>
                <w:sz w:val="20"/>
              </w:rPr>
              <w:t>Intraosseous</w:t>
            </w:r>
          </w:p>
          <w:p w:rsidRPr="00071492" w:rsidR="00286513" w:rsidP="0059793A" w:rsidRDefault="00286513" w14:paraId="55DC6004" w14:textId="77777777">
            <w:pPr>
              <w:pStyle w:val="BodyText"/>
              <w:rPr>
                <w:rFonts w:asciiTheme="minorHAnsi" w:hAnsiTheme="minorHAnsi" w:cstheme="minorHAnsi"/>
                <w:b/>
                <w:sz w:val="20"/>
              </w:rPr>
            </w:pPr>
            <w:r w:rsidRPr="00071492">
              <w:rPr>
                <w:rFonts w:asciiTheme="minorHAnsi" w:hAnsiTheme="minorHAnsi" w:cstheme="minorHAnsi"/>
                <w:b/>
                <w:sz w:val="20"/>
              </w:rPr>
              <w:t>500mg vial</w:t>
            </w:r>
          </w:p>
          <w:p w:rsidRPr="00071492" w:rsidR="00286513" w:rsidP="0059793A" w:rsidRDefault="00286513" w14:paraId="025C6EB8" w14:textId="77777777">
            <w:pPr>
              <w:pStyle w:val="BodyText"/>
              <w:rPr>
                <w:rFonts w:asciiTheme="minorHAnsi" w:hAnsiTheme="minorHAnsi" w:cstheme="minorHAnsi"/>
                <w:sz w:val="20"/>
              </w:rPr>
            </w:pPr>
            <w:r w:rsidRPr="00071492">
              <w:rPr>
                <w:rFonts w:asciiTheme="minorHAnsi" w:hAnsiTheme="minorHAnsi" w:cstheme="minorHAnsi"/>
                <w:sz w:val="20"/>
              </w:rPr>
              <w:t>Add 4.6 mL of water for injection to the 500 mg vial to make 100 mg/mL solution</w:t>
            </w:r>
          </w:p>
          <w:p w:rsidRPr="004341E7" w:rsidR="00286513" w:rsidP="0059793A" w:rsidRDefault="00286513" w14:paraId="2F104696" w14:textId="77777777">
            <w:pPr>
              <w:pStyle w:val="BodyText"/>
              <w:rPr>
                <w:rFonts w:asciiTheme="minorHAnsi" w:hAnsiTheme="minorHAnsi" w:cstheme="minorHAnsi"/>
                <w:b/>
                <w:sz w:val="20"/>
              </w:rPr>
            </w:pPr>
            <w:r w:rsidRPr="004341E7">
              <w:rPr>
                <w:rFonts w:asciiTheme="minorHAnsi" w:hAnsiTheme="minorHAnsi" w:cstheme="minorHAnsi"/>
                <w:b/>
                <w:sz w:val="20"/>
              </w:rPr>
              <w:t xml:space="preserve">FURTHER DILUTE </w:t>
            </w:r>
          </w:p>
          <w:p w:rsidRPr="00071492" w:rsidR="00286513" w:rsidP="0059793A" w:rsidRDefault="00286513" w14:paraId="1E70B5BF" w14:textId="77777777">
            <w:pPr>
              <w:pStyle w:val="BodyText"/>
              <w:rPr>
                <w:rFonts w:asciiTheme="minorHAnsi" w:hAnsiTheme="minorHAnsi" w:cstheme="minorHAnsi"/>
                <w:b/>
                <w:sz w:val="20"/>
              </w:rPr>
            </w:pPr>
            <w:r w:rsidRPr="00071492">
              <w:rPr>
                <w:rFonts w:asciiTheme="minorHAnsi" w:hAnsiTheme="minorHAnsi" w:cstheme="minorHAnsi"/>
                <w:sz w:val="20"/>
              </w:rPr>
              <w:t>Draw up 5 mL (500 mg of flucloxacillin</w:t>
            </w:r>
            <w:r>
              <w:rPr>
                <w:rFonts w:asciiTheme="minorHAnsi" w:hAnsiTheme="minorHAnsi" w:cstheme="minorHAnsi"/>
                <w:sz w:val="20"/>
              </w:rPr>
              <w:t xml:space="preserve">) </w:t>
            </w:r>
            <w:r w:rsidRPr="00071492">
              <w:rPr>
                <w:rFonts w:asciiTheme="minorHAnsi" w:hAnsiTheme="minorHAnsi" w:cstheme="minorHAnsi"/>
                <w:sz w:val="20"/>
              </w:rPr>
              <w:t xml:space="preserve">of </w:t>
            </w:r>
            <w:r>
              <w:rPr>
                <w:rFonts w:asciiTheme="minorHAnsi" w:hAnsiTheme="minorHAnsi" w:cstheme="minorHAnsi"/>
                <w:sz w:val="20"/>
              </w:rPr>
              <w:t xml:space="preserve">the above </w:t>
            </w:r>
            <w:r w:rsidRPr="00071492">
              <w:rPr>
                <w:rFonts w:asciiTheme="minorHAnsi" w:hAnsiTheme="minorHAnsi" w:cstheme="minorHAnsi"/>
                <w:sz w:val="20"/>
              </w:rPr>
              <w:t xml:space="preserve">solution and add 5 mL sodium chloride 0.9% to make a final volume of 10mL with a </w:t>
            </w:r>
            <w:r>
              <w:rPr>
                <w:rFonts w:asciiTheme="minorHAnsi" w:hAnsiTheme="minorHAnsi" w:cstheme="minorHAnsi"/>
                <w:sz w:val="20"/>
              </w:rPr>
              <w:t xml:space="preserve">final </w:t>
            </w:r>
            <w:r w:rsidRPr="00071492">
              <w:rPr>
                <w:rFonts w:asciiTheme="minorHAnsi" w:hAnsiTheme="minorHAnsi" w:cstheme="minorHAnsi"/>
                <w:sz w:val="20"/>
              </w:rPr>
              <w:t xml:space="preserve">concentration of 50 mg/mL. </w:t>
            </w:r>
            <w:r w:rsidRPr="00071492">
              <w:rPr>
                <w:rFonts w:asciiTheme="minorHAnsi" w:hAnsiTheme="minorHAnsi" w:cstheme="minorHAnsi"/>
                <w:noProof/>
                <w:sz w:val="20"/>
              </w:rPr>
              <w:t>[3]</w:t>
            </w:r>
          </w:p>
          <w:p w:rsidRPr="00071492" w:rsidR="00286513" w:rsidP="0059793A" w:rsidRDefault="00286513" w14:paraId="64F93547" w14:textId="77777777">
            <w:pPr>
              <w:pStyle w:val="BodyText"/>
              <w:rPr>
                <w:rFonts w:asciiTheme="minorHAnsi" w:hAnsiTheme="minorHAnsi" w:cstheme="minorHAnsi"/>
                <w:sz w:val="20"/>
              </w:rPr>
            </w:pPr>
          </w:p>
          <w:p w:rsidRPr="00071492" w:rsidR="00286513" w:rsidP="0059793A" w:rsidRDefault="00286513" w14:paraId="477DDD47" w14:textId="77777777">
            <w:pPr>
              <w:pStyle w:val="BodyText"/>
              <w:rPr>
                <w:rFonts w:asciiTheme="minorHAnsi" w:hAnsiTheme="minorHAnsi" w:cstheme="minorHAnsi"/>
                <w:b/>
                <w:sz w:val="20"/>
              </w:rPr>
            </w:pPr>
            <w:r w:rsidRPr="00071492">
              <w:rPr>
                <w:rFonts w:asciiTheme="minorHAnsi" w:hAnsiTheme="minorHAnsi" w:cstheme="minorHAnsi"/>
                <w:b/>
                <w:sz w:val="20"/>
              </w:rPr>
              <w:t>1g vial</w:t>
            </w:r>
          </w:p>
          <w:p w:rsidRPr="00071492" w:rsidR="00286513" w:rsidP="0059793A" w:rsidRDefault="00286513" w14:paraId="429EC9A1" w14:textId="77777777">
            <w:pPr>
              <w:pStyle w:val="BodyText"/>
              <w:rPr>
                <w:rFonts w:asciiTheme="minorHAnsi" w:hAnsiTheme="minorHAnsi" w:cstheme="minorHAnsi"/>
                <w:sz w:val="20"/>
              </w:rPr>
            </w:pPr>
            <w:r w:rsidRPr="00071492">
              <w:rPr>
                <w:rFonts w:asciiTheme="minorHAnsi" w:hAnsiTheme="minorHAnsi" w:cstheme="minorHAnsi"/>
                <w:sz w:val="20"/>
              </w:rPr>
              <w:t>Add 4.3 mL of water for injection to the 1 g vial to make 200 mg/mL solution.</w:t>
            </w:r>
          </w:p>
          <w:p w:rsidRPr="004341E7" w:rsidR="00286513" w:rsidP="0059793A" w:rsidRDefault="00286513" w14:paraId="60AA0159" w14:textId="77777777">
            <w:pPr>
              <w:pStyle w:val="BodyText"/>
              <w:rPr>
                <w:rFonts w:asciiTheme="minorHAnsi" w:hAnsiTheme="minorHAnsi" w:cstheme="minorHAnsi"/>
                <w:b/>
                <w:sz w:val="20"/>
              </w:rPr>
            </w:pPr>
            <w:r w:rsidRPr="00B700BB">
              <w:rPr>
                <w:rFonts w:asciiTheme="minorHAnsi" w:hAnsiTheme="minorHAnsi" w:cstheme="minorHAnsi"/>
                <w:b/>
                <w:sz w:val="20"/>
              </w:rPr>
              <w:lastRenderedPageBreak/>
              <w:t xml:space="preserve">FURTHER DILUTE </w:t>
            </w:r>
          </w:p>
          <w:p w:rsidRPr="00071492" w:rsidR="00286513" w:rsidP="0059793A" w:rsidRDefault="00286513" w14:paraId="7502A7B1" w14:textId="77777777">
            <w:pPr>
              <w:pStyle w:val="BodyText"/>
              <w:rPr>
                <w:rFonts w:asciiTheme="minorHAnsi" w:hAnsiTheme="minorHAnsi" w:cstheme="minorHAnsi"/>
                <w:sz w:val="20"/>
              </w:rPr>
            </w:pPr>
            <w:r w:rsidRPr="00071492">
              <w:rPr>
                <w:rFonts w:asciiTheme="minorHAnsi" w:hAnsiTheme="minorHAnsi" w:cstheme="minorHAnsi"/>
                <w:sz w:val="20"/>
              </w:rPr>
              <w:t xml:space="preserve">Draw up 2.5 mL (500 mg of flucloxacillin) of </w:t>
            </w:r>
            <w:r>
              <w:rPr>
                <w:rFonts w:asciiTheme="minorHAnsi" w:hAnsiTheme="minorHAnsi" w:cstheme="minorHAnsi"/>
                <w:sz w:val="20"/>
              </w:rPr>
              <w:t xml:space="preserve">the above </w:t>
            </w:r>
            <w:r w:rsidRPr="00071492">
              <w:rPr>
                <w:rFonts w:asciiTheme="minorHAnsi" w:hAnsiTheme="minorHAnsi" w:cstheme="minorHAnsi"/>
                <w:sz w:val="20"/>
              </w:rPr>
              <w:t xml:space="preserve">solution and add 7.5 mL sodium chloride 0.9% to make a final volume of 10mL with a </w:t>
            </w:r>
            <w:r>
              <w:rPr>
                <w:rFonts w:asciiTheme="minorHAnsi" w:hAnsiTheme="minorHAnsi" w:cstheme="minorHAnsi"/>
                <w:sz w:val="20"/>
              </w:rPr>
              <w:t xml:space="preserve">final </w:t>
            </w:r>
            <w:r w:rsidRPr="00071492">
              <w:rPr>
                <w:rFonts w:asciiTheme="minorHAnsi" w:hAnsiTheme="minorHAnsi" w:cstheme="minorHAnsi"/>
                <w:sz w:val="20"/>
              </w:rPr>
              <w:t xml:space="preserve">concentration of 50 mg/mL. </w:t>
            </w:r>
            <w:r w:rsidRPr="00071492">
              <w:rPr>
                <w:rFonts w:asciiTheme="minorHAnsi" w:hAnsiTheme="minorHAnsi" w:cstheme="minorHAnsi"/>
                <w:noProof/>
                <w:sz w:val="20"/>
              </w:rPr>
              <w:t>[3]</w:t>
            </w:r>
          </w:p>
          <w:p w:rsidRPr="00071492" w:rsidR="00286513" w:rsidP="0059793A" w:rsidRDefault="00286513" w14:paraId="01E834E1" w14:textId="77777777">
            <w:pPr>
              <w:pStyle w:val="BodyText"/>
              <w:rPr>
                <w:rFonts w:asciiTheme="minorHAnsi" w:hAnsiTheme="minorHAnsi" w:cstheme="minorHAnsi"/>
                <w:b/>
                <w:sz w:val="20"/>
              </w:rPr>
            </w:pPr>
            <w:r w:rsidRPr="00071492">
              <w:rPr>
                <w:rFonts w:asciiTheme="minorHAnsi" w:hAnsiTheme="minorHAnsi" w:cstheme="minorHAnsi"/>
                <w:b/>
                <w:sz w:val="20"/>
              </w:rPr>
              <w:t>I</w:t>
            </w:r>
            <w:r>
              <w:rPr>
                <w:rFonts w:asciiTheme="minorHAnsi" w:hAnsiTheme="minorHAnsi" w:cstheme="minorHAnsi"/>
                <w:b/>
                <w:sz w:val="20"/>
              </w:rPr>
              <w:t>M</w:t>
            </w:r>
            <w:r w:rsidRPr="00071492">
              <w:rPr>
                <w:rFonts w:asciiTheme="minorHAnsi" w:hAnsiTheme="minorHAnsi" w:cstheme="minorHAnsi"/>
                <w:b/>
                <w:sz w:val="20"/>
              </w:rPr>
              <w:t xml:space="preserve"> </w:t>
            </w:r>
          </w:p>
          <w:p w:rsidRPr="00071492" w:rsidR="00286513" w:rsidP="0059793A" w:rsidRDefault="00286513" w14:paraId="44414DB7" w14:textId="77777777">
            <w:pPr>
              <w:pStyle w:val="BodyText"/>
              <w:rPr>
                <w:rFonts w:asciiTheme="minorHAnsi" w:hAnsiTheme="minorHAnsi" w:cstheme="minorHAnsi"/>
                <w:sz w:val="20"/>
              </w:rPr>
            </w:pPr>
            <w:r w:rsidRPr="004341E7">
              <w:rPr>
                <w:rFonts w:asciiTheme="minorHAnsi" w:hAnsiTheme="minorHAnsi" w:cstheme="minorHAnsi"/>
                <w:i/>
                <w:sz w:val="20"/>
              </w:rPr>
              <w:t>500 mg vial</w:t>
            </w:r>
            <w:r w:rsidRPr="00071492">
              <w:rPr>
                <w:rFonts w:asciiTheme="minorHAnsi" w:hAnsiTheme="minorHAnsi" w:cstheme="minorHAnsi"/>
                <w:sz w:val="20"/>
              </w:rPr>
              <w:t xml:space="preserve">: Add 1.6 mL of water for injection, or lidocaine (lignocaine) 1% to 500mg </w:t>
            </w:r>
            <w:r>
              <w:rPr>
                <w:rFonts w:asciiTheme="minorHAnsi" w:hAnsiTheme="minorHAnsi" w:cstheme="minorHAnsi"/>
                <w:sz w:val="20"/>
              </w:rPr>
              <w:t xml:space="preserve">vial to make a </w:t>
            </w:r>
            <w:r w:rsidRPr="00071492">
              <w:rPr>
                <w:rFonts w:asciiTheme="minorHAnsi" w:hAnsiTheme="minorHAnsi" w:cstheme="minorHAnsi"/>
                <w:sz w:val="20"/>
              </w:rPr>
              <w:t>250 mg/mL</w:t>
            </w:r>
            <w:r>
              <w:rPr>
                <w:rFonts w:asciiTheme="minorHAnsi" w:hAnsiTheme="minorHAnsi" w:cstheme="minorHAnsi"/>
                <w:sz w:val="20"/>
              </w:rPr>
              <w:t xml:space="preserve"> solution</w:t>
            </w:r>
            <w:r w:rsidRPr="00071492">
              <w:rPr>
                <w:rFonts w:asciiTheme="minorHAnsi" w:hAnsiTheme="minorHAnsi" w:cstheme="minorHAnsi"/>
                <w:sz w:val="20"/>
              </w:rPr>
              <w:t xml:space="preserve"> </w:t>
            </w:r>
            <w:r w:rsidRPr="00071492">
              <w:rPr>
                <w:rFonts w:asciiTheme="minorHAnsi" w:hAnsiTheme="minorHAnsi" w:cstheme="minorHAnsi"/>
                <w:noProof/>
                <w:sz w:val="20"/>
              </w:rPr>
              <w:t>[3</w:t>
            </w:r>
          </w:p>
          <w:p w:rsidRPr="00071492" w:rsidR="00286513" w:rsidP="0059793A" w:rsidRDefault="00286513" w14:paraId="184F453E" w14:textId="77777777">
            <w:pPr>
              <w:pStyle w:val="BodyText"/>
              <w:rPr>
                <w:rFonts w:asciiTheme="minorHAnsi" w:hAnsiTheme="minorHAnsi" w:cstheme="minorHAnsi"/>
                <w:sz w:val="20"/>
              </w:rPr>
            </w:pPr>
          </w:p>
          <w:p w:rsidRPr="00071492" w:rsidR="00286513" w:rsidP="0059793A" w:rsidRDefault="00286513" w14:paraId="34202B40" w14:textId="77777777">
            <w:pPr>
              <w:pStyle w:val="BodyText"/>
              <w:rPr>
                <w:rFonts w:asciiTheme="minorHAnsi" w:hAnsiTheme="minorHAnsi" w:cstheme="minorHAnsi"/>
                <w:sz w:val="20"/>
              </w:rPr>
            </w:pPr>
            <w:r w:rsidRPr="004341E7">
              <w:rPr>
                <w:rFonts w:asciiTheme="minorHAnsi" w:hAnsiTheme="minorHAnsi" w:cstheme="minorHAnsi"/>
                <w:i/>
                <w:sz w:val="20"/>
              </w:rPr>
              <w:t>1000 mg vial</w:t>
            </w:r>
            <w:r w:rsidRPr="00071492">
              <w:rPr>
                <w:rFonts w:asciiTheme="minorHAnsi" w:hAnsiTheme="minorHAnsi" w:cstheme="minorHAnsi"/>
                <w:sz w:val="20"/>
              </w:rPr>
              <w:t xml:space="preserve">: Add 3.3 mL of water for injection, or lidocaine (lignocaine) 1% to the 1000 mg </w:t>
            </w:r>
            <w:r>
              <w:rPr>
                <w:rFonts w:asciiTheme="minorHAnsi" w:hAnsiTheme="minorHAnsi" w:cstheme="minorHAnsi"/>
                <w:sz w:val="20"/>
              </w:rPr>
              <w:t xml:space="preserve">vial to make a </w:t>
            </w:r>
            <w:r w:rsidRPr="00071492">
              <w:rPr>
                <w:rFonts w:asciiTheme="minorHAnsi" w:hAnsiTheme="minorHAnsi" w:cstheme="minorHAnsi"/>
                <w:sz w:val="20"/>
              </w:rPr>
              <w:t>250 mg/mL</w:t>
            </w:r>
            <w:r>
              <w:rPr>
                <w:rFonts w:asciiTheme="minorHAnsi" w:hAnsiTheme="minorHAnsi" w:cstheme="minorHAnsi"/>
                <w:sz w:val="20"/>
              </w:rPr>
              <w:t xml:space="preserve"> solution</w:t>
            </w:r>
            <w:r w:rsidRPr="00071492">
              <w:rPr>
                <w:rFonts w:asciiTheme="minorHAnsi" w:hAnsiTheme="minorHAnsi" w:cstheme="minorHAnsi"/>
                <w:sz w:val="20"/>
              </w:rPr>
              <w:t xml:space="preserve">. </w:t>
            </w:r>
            <w:r w:rsidRPr="00071492">
              <w:rPr>
                <w:rFonts w:asciiTheme="minorHAnsi" w:hAnsiTheme="minorHAnsi" w:cstheme="minorHAnsi"/>
                <w:noProof/>
                <w:sz w:val="20"/>
              </w:rPr>
              <w:t>[3]</w:t>
            </w:r>
          </w:p>
          <w:p w:rsidRPr="00071492" w:rsidR="00286513" w:rsidP="0059793A" w:rsidRDefault="00286513" w14:paraId="5127F3EA" w14:textId="77777777">
            <w:pPr>
              <w:pStyle w:val="BodyText"/>
              <w:rPr>
                <w:rFonts w:asciiTheme="minorHAnsi" w:hAnsiTheme="minorHAnsi" w:cstheme="minorHAnsi"/>
                <w:sz w:val="20"/>
              </w:rPr>
            </w:pPr>
            <w:r w:rsidRPr="00071492">
              <w:rPr>
                <w:rFonts w:asciiTheme="minorHAnsi" w:hAnsiTheme="minorHAnsi" w:cstheme="minorHAnsi"/>
                <w:sz w:val="20"/>
              </w:rPr>
              <w:t>NOTE: DO NOT ADMINISTER LIDOCAINE (LIGNOCAINE) CONTAINING SOLUTIONS INTRAVENOUSLY</w:t>
            </w:r>
          </w:p>
        </w:tc>
      </w:tr>
      <w:tr w:rsidRPr="00071492" w:rsidR="00286513" w:rsidTr="00747763" w14:paraId="0F481092" w14:textId="77777777">
        <w:trPr>
          <w:trHeight w:val="224"/>
        </w:trPr>
        <w:tc>
          <w:tcPr>
            <w:tcW w:w="837" w:type="pct"/>
          </w:tcPr>
          <w:p w:rsidRPr="00071492" w:rsidR="00286513" w:rsidP="0059793A" w:rsidRDefault="00286513" w14:paraId="1EE7A30C" w14:textId="77777777">
            <w:pPr>
              <w:pStyle w:val="BodyText"/>
              <w:rPr>
                <w:rFonts w:asciiTheme="minorHAnsi" w:hAnsiTheme="minorHAnsi" w:cstheme="minorHAnsi"/>
                <w:b/>
                <w:bCs/>
                <w:sz w:val="20"/>
              </w:rPr>
            </w:pPr>
            <w:r w:rsidRPr="00071492">
              <w:rPr>
                <w:rFonts w:asciiTheme="minorHAnsi" w:hAnsiTheme="minorHAnsi" w:cstheme="minorHAnsi"/>
                <w:b/>
                <w:bCs/>
                <w:sz w:val="20"/>
              </w:rPr>
              <w:lastRenderedPageBreak/>
              <w:t xml:space="preserve">Administration                </w:t>
            </w:r>
          </w:p>
        </w:tc>
        <w:tc>
          <w:tcPr>
            <w:tcW w:w="4163" w:type="pct"/>
            <w:vAlign w:val="center"/>
          </w:tcPr>
          <w:p w:rsidRPr="00071492" w:rsidR="00286513" w:rsidP="0059793A" w:rsidRDefault="00286513" w14:paraId="3766B7CF" w14:textId="77777777">
            <w:pPr>
              <w:pStyle w:val="BodyText"/>
              <w:rPr>
                <w:rFonts w:asciiTheme="minorHAnsi" w:hAnsiTheme="minorHAnsi" w:cstheme="minorHAnsi"/>
                <w:sz w:val="20"/>
              </w:rPr>
            </w:pPr>
            <w:r w:rsidRPr="00071492">
              <w:rPr>
                <w:rFonts w:asciiTheme="minorHAnsi" w:hAnsiTheme="minorHAnsi" w:cstheme="minorHAnsi"/>
                <w:b/>
                <w:sz w:val="20"/>
              </w:rPr>
              <w:t>IV:</w:t>
            </w:r>
            <w:r w:rsidRPr="00071492">
              <w:rPr>
                <w:rFonts w:asciiTheme="minorHAnsi" w:hAnsiTheme="minorHAnsi" w:cstheme="minorHAnsi"/>
                <w:sz w:val="20"/>
              </w:rPr>
              <w:t xml:space="preserve"> Infuse over 30 to 60 minutes. May be given as an IV injection over 3–5 minutes</w:t>
            </w:r>
            <w:r>
              <w:rPr>
                <w:rFonts w:asciiTheme="minorHAnsi" w:hAnsiTheme="minorHAnsi" w:cstheme="minorHAnsi"/>
                <w:sz w:val="20"/>
              </w:rPr>
              <w:t>,</w:t>
            </w:r>
            <w:r w:rsidRPr="00071492">
              <w:rPr>
                <w:rFonts w:asciiTheme="minorHAnsi" w:hAnsiTheme="minorHAnsi" w:cstheme="minorHAnsi"/>
                <w:sz w:val="20"/>
              </w:rPr>
              <w:t xml:space="preserve"> however pain and phlebitis are common and can be severe. </w:t>
            </w:r>
            <w:r w:rsidRPr="00071492">
              <w:rPr>
                <w:rFonts w:asciiTheme="minorHAnsi" w:hAnsiTheme="minorHAnsi" w:cstheme="minorHAnsi"/>
                <w:noProof/>
                <w:sz w:val="20"/>
              </w:rPr>
              <w:t>[4]</w:t>
            </w:r>
          </w:p>
          <w:p w:rsidRPr="00071492" w:rsidR="00286513" w:rsidP="0059793A" w:rsidRDefault="00286513" w14:paraId="7AA65FBB" w14:textId="77777777">
            <w:pPr>
              <w:pStyle w:val="BodyText"/>
              <w:rPr>
                <w:rFonts w:asciiTheme="minorHAnsi" w:hAnsiTheme="minorHAnsi" w:cstheme="minorHAnsi"/>
                <w:sz w:val="20"/>
              </w:rPr>
            </w:pPr>
            <w:r w:rsidRPr="00071492">
              <w:rPr>
                <w:rFonts w:asciiTheme="minorHAnsi" w:hAnsiTheme="minorHAnsi" w:cstheme="minorHAnsi"/>
                <w:b/>
                <w:sz w:val="20"/>
              </w:rPr>
              <w:t>IM:</w:t>
            </w:r>
            <w:r w:rsidRPr="00071492">
              <w:rPr>
                <w:rFonts w:asciiTheme="minorHAnsi" w:hAnsiTheme="minorHAnsi" w:cstheme="minorHAnsi"/>
                <w:sz w:val="20"/>
              </w:rPr>
              <w:t xml:space="preserve"> Inject slowly into a large muscle </w:t>
            </w:r>
            <w:r>
              <w:rPr>
                <w:rFonts w:asciiTheme="minorHAnsi" w:hAnsiTheme="minorHAnsi" w:cstheme="minorHAnsi"/>
                <w:sz w:val="20"/>
              </w:rPr>
              <w:t>.I</w:t>
            </w:r>
            <w:r w:rsidRPr="00071492">
              <w:rPr>
                <w:rFonts w:asciiTheme="minorHAnsi" w:hAnsiTheme="minorHAnsi" w:cstheme="minorHAnsi"/>
                <w:sz w:val="20"/>
              </w:rPr>
              <w:t>f administering a volume greater than 1mL, divide the dose and administer at 2 different injection sites to minimise pain.</w:t>
            </w:r>
          </w:p>
          <w:p w:rsidRPr="00071492" w:rsidR="00286513" w:rsidP="0059793A" w:rsidRDefault="00286513" w14:paraId="5BB37979" w14:textId="77777777">
            <w:pPr>
              <w:pStyle w:val="BodyText"/>
              <w:rPr>
                <w:rFonts w:asciiTheme="minorHAnsi" w:hAnsiTheme="minorHAnsi" w:cstheme="minorHAnsi"/>
                <w:sz w:val="20"/>
              </w:rPr>
            </w:pPr>
            <w:r w:rsidRPr="00071492">
              <w:rPr>
                <w:rFonts w:asciiTheme="minorHAnsi" w:hAnsiTheme="minorHAnsi" w:cstheme="minorHAnsi"/>
                <w:b/>
                <w:sz w:val="20"/>
              </w:rPr>
              <w:t>Oral:</w:t>
            </w:r>
            <w:r w:rsidRPr="00071492">
              <w:rPr>
                <w:rFonts w:asciiTheme="minorHAnsi" w:hAnsiTheme="minorHAnsi" w:cstheme="minorHAnsi"/>
                <w:sz w:val="20"/>
              </w:rPr>
              <w:t xml:space="preserve"> Give 30 to 60 minutes before feeds. Shake the bottle well before measuring dose. Usually reconstituted by Pharmacy. If supplied unreconstituted, reconstitute powder for oral suspension using water for injection with the volume specified on the bottle.</w:t>
            </w:r>
          </w:p>
        </w:tc>
      </w:tr>
      <w:tr w:rsidRPr="00071492" w:rsidR="00286513" w:rsidTr="00747763" w14:paraId="25D6ADB3" w14:textId="77777777">
        <w:trPr>
          <w:trHeight w:val="215"/>
        </w:trPr>
        <w:tc>
          <w:tcPr>
            <w:tcW w:w="837" w:type="pct"/>
          </w:tcPr>
          <w:p w:rsidRPr="00071492" w:rsidR="00286513" w:rsidP="0059793A" w:rsidRDefault="00286513" w14:paraId="5AB05CF2"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Monitoring                              </w:t>
            </w:r>
          </w:p>
        </w:tc>
        <w:tc>
          <w:tcPr>
            <w:tcW w:w="4163" w:type="pct"/>
          </w:tcPr>
          <w:p w:rsidRPr="00071492" w:rsidR="00286513" w:rsidP="0059793A" w:rsidRDefault="00286513" w14:paraId="3AEA9AB0" w14:textId="77777777">
            <w:pPr>
              <w:pStyle w:val="BodyText"/>
              <w:rPr>
                <w:rFonts w:asciiTheme="minorHAnsi" w:hAnsiTheme="minorHAnsi" w:cstheme="minorHAnsi"/>
                <w:sz w:val="20"/>
              </w:rPr>
            </w:pPr>
            <w:r>
              <w:rPr>
                <w:rFonts w:asciiTheme="minorHAnsi" w:hAnsiTheme="minorHAnsi" w:cstheme="minorHAnsi"/>
                <w:sz w:val="20"/>
              </w:rPr>
              <w:t>L</w:t>
            </w:r>
            <w:r w:rsidRPr="00071492">
              <w:rPr>
                <w:rFonts w:asciiTheme="minorHAnsi" w:hAnsiTheme="minorHAnsi" w:cstheme="minorHAnsi"/>
                <w:sz w:val="20"/>
              </w:rPr>
              <w:t>iver function tests if using high dose/long course or in existing hepatic impairment.</w:t>
            </w:r>
          </w:p>
          <w:p w:rsidRPr="00071492" w:rsidR="00286513" w:rsidP="0059793A" w:rsidRDefault="00286513" w14:paraId="553D258E" w14:textId="77777777">
            <w:pPr>
              <w:pStyle w:val="BodyText"/>
              <w:rPr>
                <w:rFonts w:asciiTheme="minorHAnsi" w:hAnsiTheme="minorHAnsi" w:cstheme="minorHAnsi"/>
                <w:sz w:val="20"/>
              </w:rPr>
            </w:pPr>
            <w:r>
              <w:rPr>
                <w:rFonts w:asciiTheme="minorHAnsi" w:hAnsiTheme="minorHAnsi" w:cstheme="minorHAnsi"/>
                <w:sz w:val="20"/>
              </w:rPr>
              <w:t>R</w:t>
            </w:r>
            <w:r w:rsidRPr="00071492">
              <w:rPr>
                <w:rFonts w:asciiTheme="minorHAnsi" w:hAnsiTheme="minorHAnsi" w:cstheme="minorHAnsi"/>
                <w:sz w:val="20"/>
              </w:rPr>
              <w:t>enal function as the drug is mainly renally excreted.</w:t>
            </w:r>
          </w:p>
        </w:tc>
      </w:tr>
      <w:tr w:rsidRPr="00071492" w:rsidR="00286513" w:rsidTr="00747763" w14:paraId="023DEF01" w14:textId="77777777">
        <w:trPr>
          <w:trHeight w:val="342"/>
        </w:trPr>
        <w:tc>
          <w:tcPr>
            <w:tcW w:w="837" w:type="pct"/>
          </w:tcPr>
          <w:p w:rsidRPr="00071492" w:rsidR="00286513" w:rsidP="0059793A" w:rsidRDefault="00286513" w14:paraId="37D28232"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Contraindications                        </w:t>
            </w:r>
          </w:p>
        </w:tc>
        <w:tc>
          <w:tcPr>
            <w:tcW w:w="4163" w:type="pct"/>
          </w:tcPr>
          <w:p w:rsidRPr="00071492" w:rsidR="00286513" w:rsidP="0059793A" w:rsidRDefault="00286513" w14:paraId="21D98DA9" w14:textId="77777777">
            <w:pPr>
              <w:pStyle w:val="BodyText"/>
              <w:rPr>
                <w:rFonts w:asciiTheme="minorHAnsi" w:hAnsiTheme="minorHAnsi" w:cstheme="minorHAnsi"/>
                <w:sz w:val="20"/>
              </w:rPr>
            </w:pPr>
            <w:r w:rsidRPr="00071492">
              <w:rPr>
                <w:rFonts w:asciiTheme="minorHAnsi" w:hAnsiTheme="minorHAnsi" w:cstheme="minorHAnsi"/>
                <w:sz w:val="20"/>
              </w:rPr>
              <w:t>History of flucloxacillin associated jaundice or hepatic dysfunction.</w:t>
            </w:r>
          </w:p>
          <w:p w:rsidRPr="00071492" w:rsidR="00286513" w:rsidP="0059793A" w:rsidRDefault="00286513" w14:paraId="321C498A" w14:textId="77777777">
            <w:pPr>
              <w:pStyle w:val="BodyText"/>
              <w:rPr>
                <w:rFonts w:asciiTheme="minorHAnsi" w:hAnsiTheme="minorHAnsi" w:cstheme="minorHAnsi"/>
                <w:sz w:val="20"/>
              </w:rPr>
            </w:pPr>
            <w:r w:rsidRPr="00071492">
              <w:rPr>
                <w:rFonts w:asciiTheme="minorHAnsi" w:hAnsiTheme="minorHAnsi" w:cstheme="minorHAnsi"/>
                <w:sz w:val="20"/>
              </w:rPr>
              <w:t>History of a hypersensitivity reaction to beta-lactam antibiotics e.g., penicillins.</w:t>
            </w:r>
          </w:p>
        </w:tc>
      </w:tr>
      <w:tr w:rsidRPr="00071492" w:rsidR="00286513" w:rsidTr="00747763" w14:paraId="2B3B4562" w14:textId="77777777">
        <w:tc>
          <w:tcPr>
            <w:tcW w:w="837" w:type="pct"/>
          </w:tcPr>
          <w:p w:rsidRPr="00071492" w:rsidR="00286513" w:rsidP="0059793A" w:rsidRDefault="00286513" w14:paraId="1D06B1DD" w14:textId="77777777">
            <w:pPr>
              <w:pStyle w:val="BodyText"/>
              <w:rPr>
                <w:rFonts w:asciiTheme="minorHAnsi" w:hAnsiTheme="minorHAnsi" w:cstheme="minorHAnsi"/>
                <w:b/>
                <w:bCs/>
                <w:sz w:val="20"/>
              </w:rPr>
            </w:pPr>
            <w:r w:rsidRPr="00071492">
              <w:rPr>
                <w:rFonts w:asciiTheme="minorHAnsi" w:hAnsiTheme="minorHAnsi" w:cstheme="minorHAnsi"/>
                <w:sz w:val="20"/>
              </w:rPr>
              <w:br w:type="page"/>
            </w:r>
            <w:r w:rsidRPr="00071492">
              <w:rPr>
                <w:rFonts w:asciiTheme="minorHAnsi" w:hAnsiTheme="minorHAnsi" w:cstheme="minorHAnsi"/>
                <w:b/>
                <w:bCs/>
                <w:sz w:val="20"/>
              </w:rPr>
              <w:t>Precautions</w:t>
            </w:r>
          </w:p>
        </w:tc>
        <w:tc>
          <w:tcPr>
            <w:tcW w:w="4163" w:type="pct"/>
          </w:tcPr>
          <w:p w:rsidRPr="00071492" w:rsidR="00286513" w:rsidP="0059793A" w:rsidRDefault="00286513" w14:paraId="24E21D1E" w14:textId="77777777">
            <w:pPr>
              <w:pStyle w:val="BodyText"/>
              <w:rPr>
                <w:rFonts w:asciiTheme="minorHAnsi" w:hAnsiTheme="minorHAnsi" w:cstheme="minorHAnsi"/>
                <w:sz w:val="20"/>
              </w:rPr>
            </w:pPr>
            <w:r w:rsidRPr="00071492">
              <w:rPr>
                <w:rFonts w:asciiTheme="minorHAnsi" w:hAnsiTheme="minorHAnsi" w:cstheme="minorHAnsi"/>
                <w:sz w:val="20"/>
              </w:rPr>
              <w:t xml:space="preserve">Use with caution in renal or hepatic impairment. Consider dosage adjustment in renal impairment. </w:t>
            </w:r>
          </w:p>
          <w:p w:rsidRPr="00071492" w:rsidR="00286513" w:rsidP="0059793A" w:rsidRDefault="00286513" w14:paraId="1183CA5D" w14:textId="77777777">
            <w:pPr>
              <w:pStyle w:val="BodyText"/>
              <w:rPr>
                <w:rFonts w:asciiTheme="minorHAnsi" w:hAnsiTheme="minorHAnsi" w:cstheme="minorHAnsi"/>
                <w:sz w:val="20"/>
              </w:rPr>
            </w:pPr>
            <w:r w:rsidRPr="00071492">
              <w:rPr>
                <w:rFonts w:asciiTheme="minorHAnsi" w:hAnsiTheme="minorHAnsi" w:cstheme="minorHAnsi"/>
                <w:sz w:val="20"/>
              </w:rPr>
              <w:t>Use with caution in jaundiced or preterm infants as flucloxacillin can displace bilirubin from albumin.</w:t>
            </w:r>
          </w:p>
          <w:p w:rsidRPr="00071492" w:rsidR="00286513" w:rsidP="0059793A" w:rsidRDefault="00286513" w14:paraId="07F709AF" w14:textId="77777777">
            <w:pPr>
              <w:pStyle w:val="BodyText"/>
              <w:rPr>
                <w:rFonts w:asciiTheme="minorHAnsi" w:hAnsiTheme="minorHAnsi" w:cstheme="minorHAnsi"/>
                <w:sz w:val="20"/>
              </w:rPr>
            </w:pPr>
            <w:r w:rsidRPr="00071492">
              <w:rPr>
                <w:rFonts w:asciiTheme="minorHAnsi" w:hAnsiTheme="minorHAnsi" w:cstheme="minorHAnsi"/>
                <w:sz w:val="20"/>
              </w:rPr>
              <w:t>IM injection can cause pain and irritation – obtaining IV access as soon as possible is recommended.</w:t>
            </w:r>
          </w:p>
        </w:tc>
      </w:tr>
      <w:tr w:rsidRPr="00071492" w:rsidR="00286513" w:rsidTr="00747763" w14:paraId="1D0F322C" w14:textId="77777777">
        <w:trPr>
          <w:trHeight w:val="70"/>
        </w:trPr>
        <w:tc>
          <w:tcPr>
            <w:tcW w:w="837" w:type="pct"/>
          </w:tcPr>
          <w:p w:rsidRPr="00071492" w:rsidR="00286513" w:rsidP="0059793A" w:rsidRDefault="00286513" w14:paraId="1BE18D08" w14:textId="77777777">
            <w:pPr>
              <w:pStyle w:val="BodyText"/>
              <w:rPr>
                <w:rFonts w:asciiTheme="minorHAnsi" w:hAnsiTheme="minorHAnsi" w:cstheme="minorHAnsi"/>
                <w:b/>
                <w:bCs/>
                <w:sz w:val="20"/>
              </w:rPr>
            </w:pPr>
            <w:r w:rsidRPr="00071492">
              <w:rPr>
                <w:rFonts w:asciiTheme="minorHAnsi" w:hAnsiTheme="minorHAnsi" w:cstheme="minorHAnsi"/>
                <w:b/>
                <w:bCs/>
                <w:sz w:val="20"/>
              </w:rPr>
              <w:t>Drug interactions</w:t>
            </w:r>
          </w:p>
        </w:tc>
        <w:tc>
          <w:tcPr>
            <w:tcW w:w="4163" w:type="pct"/>
          </w:tcPr>
          <w:p w:rsidRPr="00071492" w:rsidR="00286513" w:rsidP="0059793A" w:rsidRDefault="00286513" w14:paraId="36EC29DF" w14:textId="77777777">
            <w:pPr>
              <w:pStyle w:val="BodyText"/>
              <w:rPr>
                <w:rFonts w:asciiTheme="minorHAnsi" w:hAnsiTheme="minorHAnsi" w:cstheme="minorHAnsi"/>
                <w:sz w:val="20"/>
              </w:rPr>
            </w:pPr>
            <w:r w:rsidRPr="00071492">
              <w:rPr>
                <w:rFonts w:asciiTheme="minorHAnsi" w:hAnsiTheme="minorHAnsi" w:cstheme="minorHAnsi"/>
                <w:sz w:val="20"/>
              </w:rPr>
              <w:t>Aminoglycosides, including gentamicin, should not be mixed with flucloxacillin when both drugs are given parenterally as inactivation occurs. Ensure line is adequately flushed between antibiotics.</w:t>
            </w:r>
          </w:p>
        </w:tc>
      </w:tr>
      <w:tr w:rsidRPr="00071492" w:rsidR="00286513" w:rsidTr="00747763" w14:paraId="28908FC2" w14:textId="77777777">
        <w:trPr>
          <w:trHeight w:val="332"/>
        </w:trPr>
        <w:tc>
          <w:tcPr>
            <w:tcW w:w="837" w:type="pct"/>
          </w:tcPr>
          <w:p w:rsidRPr="00071492" w:rsidR="00286513" w:rsidP="0059793A" w:rsidRDefault="00286513" w14:paraId="6B047382"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Adverse reactions         </w:t>
            </w:r>
          </w:p>
        </w:tc>
        <w:tc>
          <w:tcPr>
            <w:tcW w:w="4163" w:type="pct"/>
          </w:tcPr>
          <w:p w:rsidRPr="00071492" w:rsidR="00286513" w:rsidP="0059793A" w:rsidRDefault="00286513" w14:paraId="24D044E7" w14:textId="77777777">
            <w:pPr>
              <w:pStyle w:val="BodyText"/>
              <w:rPr>
                <w:rFonts w:asciiTheme="minorHAnsi" w:hAnsiTheme="minorHAnsi" w:cstheme="minorHAnsi"/>
                <w:sz w:val="20"/>
              </w:rPr>
            </w:pPr>
            <w:r w:rsidRPr="00071492">
              <w:rPr>
                <w:rFonts w:asciiTheme="minorHAnsi" w:hAnsiTheme="minorHAnsi" w:cstheme="minorHAnsi"/>
                <w:sz w:val="20"/>
              </w:rPr>
              <w:t xml:space="preserve">Transient diarrhoea – common with oral doses. </w:t>
            </w:r>
          </w:p>
          <w:p w:rsidRPr="00071492" w:rsidR="00286513" w:rsidP="0059793A" w:rsidRDefault="00286513" w14:paraId="64F0235D" w14:textId="77777777">
            <w:pPr>
              <w:pStyle w:val="BodyText"/>
              <w:rPr>
                <w:rFonts w:asciiTheme="minorHAnsi" w:hAnsiTheme="minorHAnsi" w:cstheme="minorHAnsi"/>
                <w:sz w:val="20"/>
              </w:rPr>
            </w:pPr>
            <w:r w:rsidRPr="00071492">
              <w:rPr>
                <w:rFonts w:asciiTheme="minorHAnsi" w:hAnsiTheme="minorHAnsi" w:cstheme="minorHAnsi"/>
                <w:sz w:val="20"/>
              </w:rPr>
              <w:t>Hypersensitivity (rare) – urticaria, fever, bronchospasm, anaphylaxis, eosinophilia.</w:t>
            </w:r>
          </w:p>
          <w:p w:rsidRPr="00071492" w:rsidR="00286513" w:rsidP="0059793A" w:rsidRDefault="00286513" w14:paraId="6B8991A1" w14:textId="77777777">
            <w:pPr>
              <w:pStyle w:val="BodyText"/>
              <w:rPr>
                <w:rFonts w:asciiTheme="minorHAnsi" w:hAnsiTheme="minorHAnsi" w:cstheme="minorHAnsi"/>
                <w:sz w:val="20"/>
              </w:rPr>
            </w:pPr>
            <w:r w:rsidRPr="00071492">
              <w:rPr>
                <w:rFonts w:asciiTheme="minorHAnsi" w:hAnsiTheme="minorHAnsi" w:cstheme="minorHAnsi"/>
                <w:sz w:val="20"/>
              </w:rPr>
              <w:t>Phlebitis (much rarer than with dicloxacillin) – monitor injection site.</w:t>
            </w:r>
          </w:p>
          <w:p w:rsidRPr="00071492" w:rsidR="00286513" w:rsidP="0059793A" w:rsidRDefault="00286513" w14:paraId="17A4CE71" w14:textId="77777777">
            <w:pPr>
              <w:pStyle w:val="BodyText"/>
              <w:rPr>
                <w:rFonts w:asciiTheme="minorHAnsi" w:hAnsiTheme="minorHAnsi" w:cstheme="minorHAnsi"/>
                <w:sz w:val="20"/>
              </w:rPr>
            </w:pPr>
            <w:r w:rsidRPr="00071492">
              <w:rPr>
                <w:rFonts w:asciiTheme="minorHAnsi" w:hAnsiTheme="minorHAnsi" w:cstheme="minorHAnsi"/>
                <w:sz w:val="20"/>
              </w:rPr>
              <w:t>Hepatitis and cholestatic jaundice (may occur up to several weeks after stopping), isolated cases of nephritis.</w:t>
            </w:r>
          </w:p>
        </w:tc>
      </w:tr>
      <w:tr w:rsidRPr="00071492" w:rsidR="00286513" w:rsidTr="00747763" w14:paraId="61E9D273" w14:textId="77777777">
        <w:trPr>
          <w:trHeight w:val="180"/>
        </w:trPr>
        <w:tc>
          <w:tcPr>
            <w:tcW w:w="837" w:type="pct"/>
          </w:tcPr>
          <w:p w:rsidRPr="00071492" w:rsidR="00286513" w:rsidP="0059793A" w:rsidRDefault="00286513" w14:paraId="4CE7BCA0" w14:textId="77777777">
            <w:pPr>
              <w:pStyle w:val="BodyText"/>
              <w:rPr>
                <w:rFonts w:asciiTheme="minorHAnsi" w:hAnsiTheme="minorHAnsi" w:cstheme="minorHAnsi"/>
                <w:b/>
                <w:bCs/>
                <w:sz w:val="20"/>
              </w:rPr>
            </w:pPr>
            <w:r w:rsidRPr="00071492">
              <w:rPr>
                <w:rFonts w:asciiTheme="minorHAnsi" w:hAnsiTheme="minorHAnsi" w:cstheme="minorHAnsi"/>
                <w:b/>
                <w:bCs/>
                <w:sz w:val="20"/>
              </w:rPr>
              <w:t>Compatibility</w:t>
            </w:r>
          </w:p>
        </w:tc>
        <w:tc>
          <w:tcPr>
            <w:tcW w:w="4163" w:type="pct"/>
          </w:tcPr>
          <w:p w:rsidRPr="00071492" w:rsidR="00286513" w:rsidP="0059793A" w:rsidRDefault="00286513" w14:paraId="713C13F9" w14:textId="77777777">
            <w:pPr>
              <w:pStyle w:val="BodyText"/>
              <w:rPr>
                <w:rFonts w:asciiTheme="minorHAnsi" w:hAnsiTheme="minorHAnsi" w:cstheme="minorHAnsi"/>
                <w:sz w:val="20"/>
              </w:rPr>
            </w:pPr>
            <w:r w:rsidRPr="00071492">
              <w:rPr>
                <w:rFonts w:asciiTheme="minorHAnsi" w:hAnsiTheme="minorHAnsi" w:cstheme="minorHAnsi"/>
                <w:b/>
                <w:sz w:val="20"/>
              </w:rPr>
              <w:t>Fluids:</w:t>
            </w:r>
            <w:r w:rsidRPr="00071492">
              <w:rPr>
                <w:rFonts w:asciiTheme="minorHAnsi" w:hAnsiTheme="minorHAnsi" w:cstheme="minorHAnsi"/>
                <w:sz w:val="20"/>
              </w:rPr>
              <w:t xml:space="preserve"> Glucose 5%, sodium chloride 0.9%. lidocaine (lignocaine) 0.5% or 1%</w:t>
            </w:r>
          </w:p>
          <w:p w:rsidRPr="00071492" w:rsidR="00286513" w:rsidP="0059793A" w:rsidRDefault="00286513" w14:paraId="28D72D19" w14:textId="77777777">
            <w:pPr>
              <w:pStyle w:val="BodyText"/>
              <w:rPr>
                <w:rFonts w:asciiTheme="minorHAnsi" w:hAnsiTheme="minorHAnsi" w:cstheme="minorHAnsi"/>
                <w:sz w:val="20"/>
              </w:rPr>
            </w:pPr>
            <w:r w:rsidRPr="00071492">
              <w:rPr>
                <w:rFonts w:asciiTheme="minorHAnsi" w:hAnsiTheme="minorHAnsi" w:cstheme="minorHAnsi"/>
                <w:b/>
                <w:sz w:val="20"/>
              </w:rPr>
              <w:t>Y-site:</w:t>
            </w:r>
            <w:r w:rsidRPr="00071492">
              <w:rPr>
                <w:rFonts w:asciiTheme="minorHAnsi" w:hAnsiTheme="minorHAnsi" w:cstheme="minorHAnsi"/>
                <w:sz w:val="20"/>
              </w:rPr>
              <w:t xml:space="preserve"> Adrenaline (epinephrine), aminophylline, ampicillin, dexamethasone sodium phosphate, digoxin, heparin, hydrocortisone sodium succinate, potassium chloride, ranitidine, sodium bicarbonate.</w:t>
            </w:r>
          </w:p>
        </w:tc>
      </w:tr>
      <w:tr w:rsidRPr="00071492" w:rsidR="00286513" w:rsidTr="00747763" w14:paraId="24476D65" w14:textId="77777777">
        <w:trPr>
          <w:trHeight w:val="230"/>
        </w:trPr>
        <w:tc>
          <w:tcPr>
            <w:tcW w:w="837" w:type="pct"/>
          </w:tcPr>
          <w:p w:rsidRPr="00071492" w:rsidR="00286513" w:rsidP="0059793A" w:rsidRDefault="00286513" w14:paraId="623B72B9" w14:textId="77777777">
            <w:pPr>
              <w:pStyle w:val="BodyText"/>
              <w:rPr>
                <w:rFonts w:asciiTheme="minorHAnsi" w:hAnsiTheme="minorHAnsi" w:cstheme="minorHAnsi"/>
                <w:b/>
                <w:bCs/>
                <w:sz w:val="20"/>
              </w:rPr>
            </w:pPr>
            <w:r w:rsidRPr="00071492">
              <w:rPr>
                <w:rFonts w:asciiTheme="minorHAnsi" w:hAnsiTheme="minorHAnsi" w:cstheme="minorHAnsi"/>
                <w:b/>
                <w:bCs/>
                <w:sz w:val="20"/>
              </w:rPr>
              <w:t>Incompatibility</w:t>
            </w:r>
          </w:p>
        </w:tc>
        <w:tc>
          <w:tcPr>
            <w:tcW w:w="4163" w:type="pct"/>
          </w:tcPr>
          <w:p w:rsidRPr="00071492" w:rsidR="00286513" w:rsidP="0059793A" w:rsidRDefault="00286513" w14:paraId="1DAD0118" w14:textId="77777777">
            <w:pPr>
              <w:pStyle w:val="BodyText"/>
              <w:rPr>
                <w:rFonts w:asciiTheme="minorHAnsi" w:hAnsiTheme="minorHAnsi" w:cstheme="minorHAnsi"/>
                <w:sz w:val="20"/>
              </w:rPr>
            </w:pPr>
            <w:r w:rsidRPr="00071492">
              <w:rPr>
                <w:rFonts w:asciiTheme="minorHAnsi" w:hAnsiTheme="minorHAnsi" w:cstheme="minorHAnsi"/>
                <w:b/>
                <w:sz w:val="20"/>
              </w:rPr>
              <w:t>Fluids:</w:t>
            </w:r>
            <w:r w:rsidRPr="00071492">
              <w:rPr>
                <w:rFonts w:asciiTheme="minorHAnsi" w:hAnsiTheme="minorHAnsi" w:cstheme="minorHAnsi"/>
                <w:sz w:val="20"/>
              </w:rPr>
              <w:t xml:space="preserve"> Amino acid solutions and lipid emulsions. </w:t>
            </w:r>
          </w:p>
          <w:p w:rsidRPr="00071492" w:rsidR="00286513" w:rsidP="0059793A" w:rsidRDefault="00286513" w14:paraId="110FC00D" w14:textId="77777777">
            <w:pPr>
              <w:pStyle w:val="BodyText"/>
              <w:rPr>
                <w:rFonts w:asciiTheme="minorHAnsi" w:hAnsiTheme="minorHAnsi" w:cstheme="minorHAnsi"/>
                <w:sz w:val="20"/>
              </w:rPr>
            </w:pPr>
            <w:r w:rsidRPr="00071492">
              <w:rPr>
                <w:rFonts w:asciiTheme="minorHAnsi" w:hAnsiTheme="minorHAnsi" w:cstheme="minorHAnsi"/>
                <w:b/>
                <w:sz w:val="20"/>
              </w:rPr>
              <w:t>Y-site:</w:t>
            </w:r>
            <w:r w:rsidRPr="00071492">
              <w:rPr>
                <w:rFonts w:asciiTheme="minorHAnsi" w:hAnsiTheme="minorHAnsi" w:cstheme="minorHAnsi"/>
                <w:sz w:val="20"/>
              </w:rPr>
              <w:t xml:space="preserve"> Aminoglycosides (e.g., gentamicin), amiodarone, atropine sulfate monohydrate, benzylpenicillin, calcium gluconate monohydrate, ciprofloxacin, dobutamine, erythromycin, metoclopramide, midazolam, morphine sulfate, vancomycin.</w:t>
            </w:r>
          </w:p>
        </w:tc>
      </w:tr>
      <w:tr w:rsidRPr="00071492" w:rsidR="00286513" w:rsidTr="00747763" w14:paraId="1E1C820E" w14:textId="77777777">
        <w:trPr>
          <w:trHeight w:val="79"/>
        </w:trPr>
        <w:tc>
          <w:tcPr>
            <w:tcW w:w="837" w:type="pct"/>
          </w:tcPr>
          <w:p w:rsidRPr="00071492" w:rsidR="00286513" w:rsidP="0059793A" w:rsidRDefault="00286513" w14:paraId="633C77C8"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Stability   </w:t>
            </w:r>
          </w:p>
        </w:tc>
        <w:tc>
          <w:tcPr>
            <w:tcW w:w="4163" w:type="pct"/>
          </w:tcPr>
          <w:p w:rsidRPr="00071492" w:rsidR="00286513" w:rsidP="0059793A" w:rsidRDefault="00286513" w14:paraId="21CC276C" w14:textId="77777777">
            <w:pPr>
              <w:pStyle w:val="BodyText"/>
              <w:rPr>
                <w:rFonts w:asciiTheme="minorHAnsi" w:hAnsiTheme="minorHAnsi" w:cstheme="minorHAnsi"/>
                <w:sz w:val="20"/>
              </w:rPr>
            </w:pPr>
            <w:r w:rsidRPr="00071492">
              <w:rPr>
                <w:rFonts w:asciiTheme="minorHAnsi" w:hAnsiTheme="minorHAnsi" w:cstheme="minorHAnsi"/>
                <w:sz w:val="20"/>
              </w:rPr>
              <w:t xml:space="preserve">Use immediately following reconstitution. </w:t>
            </w:r>
          </w:p>
          <w:p w:rsidRPr="00071492" w:rsidR="00286513" w:rsidP="0059793A" w:rsidRDefault="00286513" w14:paraId="30112610" w14:textId="77777777">
            <w:pPr>
              <w:pStyle w:val="BodyText"/>
              <w:rPr>
                <w:rFonts w:asciiTheme="minorHAnsi" w:hAnsiTheme="minorHAnsi" w:cstheme="minorHAnsi"/>
                <w:sz w:val="20"/>
              </w:rPr>
            </w:pPr>
            <w:r w:rsidRPr="00071492">
              <w:rPr>
                <w:rFonts w:asciiTheme="minorHAnsi" w:hAnsiTheme="minorHAnsi" w:cstheme="minorHAnsi"/>
                <w:sz w:val="20"/>
              </w:rPr>
              <w:t xml:space="preserve">Vial is for single use only. </w:t>
            </w:r>
          </w:p>
          <w:p w:rsidRPr="00071492" w:rsidR="00286513" w:rsidP="0059793A" w:rsidRDefault="00286513" w14:paraId="1CEE06C3" w14:textId="77777777">
            <w:pPr>
              <w:pStyle w:val="BodyText"/>
              <w:rPr>
                <w:rFonts w:asciiTheme="minorHAnsi" w:hAnsiTheme="minorHAnsi" w:cstheme="minorHAnsi"/>
                <w:sz w:val="20"/>
              </w:rPr>
            </w:pPr>
          </w:p>
          <w:p w:rsidRPr="00071492" w:rsidR="00286513" w:rsidP="0059793A" w:rsidRDefault="00286513" w14:paraId="72861D3C" w14:textId="77777777">
            <w:pPr>
              <w:pStyle w:val="BodyText"/>
              <w:rPr>
                <w:rFonts w:asciiTheme="minorHAnsi" w:hAnsiTheme="minorHAnsi" w:cstheme="minorHAnsi"/>
                <w:sz w:val="20"/>
              </w:rPr>
            </w:pPr>
            <w:r w:rsidRPr="00071492">
              <w:rPr>
                <w:rFonts w:asciiTheme="minorHAnsi" w:hAnsiTheme="minorHAnsi" w:cstheme="minorHAnsi"/>
                <w:sz w:val="20"/>
              </w:rPr>
              <w:t>Reconstituted oral suspension should be discarded after 14 days.</w:t>
            </w:r>
          </w:p>
        </w:tc>
      </w:tr>
      <w:tr w:rsidRPr="00071492" w:rsidR="00286513" w:rsidTr="00747763" w14:paraId="4F2C878C" w14:textId="77777777">
        <w:trPr>
          <w:trHeight w:val="70"/>
        </w:trPr>
        <w:tc>
          <w:tcPr>
            <w:tcW w:w="837" w:type="pct"/>
          </w:tcPr>
          <w:p w:rsidRPr="00071492" w:rsidR="00286513" w:rsidP="0059793A" w:rsidRDefault="00286513" w14:paraId="46B62548"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Storage             </w:t>
            </w:r>
          </w:p>
        </w:tc>
        <w:tc>
          <w:tcPr>
            <w:tcW w:w="4163" w:type="pct"/>
          </w:tcPr>
          <w:p w:rsidRPr="00071492" w:rsidR="00286513" w:rsidP="0059793A" w:rsidRDefault="00286513" w14:paraId="54C11EF6" w14:textId="77777777">
            <w:pPr>
              <w:pStyle w:val="BodyText"/>
              <w:rPr>
                <w:rFonts w:asciiTheme="minorHAnsi" w:hAnsiTheme="minorHAnsi" w:cstheme="minorHAnsi"/>
                <w:sz w:val="20"/>
              </w:rPr>
            </w:pPr>
            <w:r w:rsidRPr="00071492">
              <w:rPr>
                <w:rFonts w:asciiTheme="minorHAnsi" w:hAnsiTheme="minorHAnsi" w:cstheme="minorHAnsi"/>
                <w:sz w:val="20"/>
              </w:rPr>
              <w:t>Vial: Store below 25°C.</w:t>
            </w:r>
          </w:p>
          <w:p w:rsidRPr="00071492" w:rsidR="00286513" w:rsidP="0059793A" w:rsidRDefault="00286513" w14:paraId="0FCD9B1D" w14:textId="77777777">
            <w:pPr>
              <w:pStyle w:val="BodyText"/>
              <w:rPr>
                <w:rFonts w:asciiTheme="minorHAnsi" w:hAnsiTheme="minorHAnsi" w:cstheme="minorHAnsi"/>
                <w:sz w:val="20"/>
              </w:rPr>
            </w:pPr>
          </w:p>
          <w:p w:rsidRPr="00071492" w:rsidR="00286513" w:rsidP="0059793A" w:rsidRDefault="00286513" w14:paraId="5DC44F8C" w14:textId="77777777">
            <w:pPr>
              <w:pStyle w:val="BodyText"/>
              <w:rPr>
                <w:rFonts w:asciiTheme="minorHAnsi" w:hAnsiTheme="minorHAnsi" w:cstheme="minorHAnsi"/>
                <w:sz w:val="20"/>
              </w:rPr>
            </w:pPr>
            <w:r w:rsidRPr="00071492">
              <w:rPr>
                <w:rFonts w:asciiTheme="minorHAnsi" w:hAnsiTheme="minorHAnsi" w:cstheme="minorHAnsi"/>
                <w:sz w:val="20"/>
              </w:rPr>
              <w:t>Oral suspension: Store powder below 25°C, once reconstituted store solution at 2–8°C</w:t>
            </w:r>
          </w:p>
        </w:tc>
      </w:tr>
      <w:tr w:rsidRPr="00071492" w:rsidR="00286513" w:rsidTr="00747763" w14:paraId="620019C4" w14:textId="77777777">
        <w:trPr>
          <w:trHeight w:val="70"/>
        </w:trPr>
        <w:tc>
          <w:tcPr>
            <w:tcW w:w="837" w:type="pct"/>
          </w:tcPr>
          <w:p w:rsidRPr="00071492" w:rsidR="00286513" w:rsidP="0059793A" w:rsidRDefault="00286513" w14:paraId="7A58EFF4" w14:textId="77777777">
            <w:pPr>
              <w:pStyle w:val="BodyText"/>
              <w:rPr>
                <w:rFonts w:asciiTheme="minorHAnsi" w:hAnsiTheme="minorHAnsi" w:cstheme="minorHAnsi"/>
                <w:b/>
                <w:bCs/>
                <w:sz w:val="20"/>
              </w:rPr>
            </w:pPr>
            <w:r w:rsidRPr="00071492">
              <w:rPr>
                <w:rFonts w:asciiTheme="minorHAnsi" w:hAnsiTheme="minorHAnsi" w:cstheme="minorHAnsi"/>
                <w:b/>
                <w:bCs/>
                <w:sz w:val="20"/>
              </w:rPr>
              <w:t>Excipients</w:t>
            </w:r>
          </w:p>
        </w:tc>
        <w:tc>
          <w:tcPr>
            <w:tcW w:w="4163" w:type="pct"/>
          </w:tcPr>
          <w:p w:rsidRPr="00071492" w:rsidR="00286513" w:rsidP="0059793A" w:rsidRDefault="00286513" w14:paraId="40FA6BA3" w14:textId="77777777">
            <w:pPr>
              <w:pStyle w:val="BodyText"/>
              <w:rPr>
                <w:rFonts w:asciiTheme="minorHAnsi" w:hAnsiTheme="minorHAnsi" w:cstheme="minorHAnsi"/>
                <w:sz w:val="20"/>
              </w:rPr>
            </w:pPr>
          </w:p>
        </w:tc>
      </w:tr>
      <w:tr w:rsidRPr="00071492" w:rsidR="00286513" w:rsidTr="00747763" w14:paraId="0B79099E" w14:textId="77777777">
        <w:trPr>
          <w:trHeight w:val="270"/>
        </w:trPr>
        <w:tc>
          <w:tcPr>
            <w:tcW w:w="837" w:type="pct"/>
          </w:tcPr>
          <w:p w:rsidRPr="00071492" w:rsidR="00286513" w:rsidP="0059793A" w:rsidRDefault="00286513" w14:paraId="38E94DF8"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Special comments       </w:t>
            </w:r>
          </w:p>
        </w:tc>
        <w:tc>
          <w:tcPr>
            <w:tcW w:w="4163" w:type="pct"/>
          </w:tcPr>
          <w:p w:rsidRPr="00071492" w:rsidR="00286513" w:rsidP="0059793A" w:rsidRDefault="00286513" w14:paraId="6960EDCC" w14:textId="77777777">
            <w:pPr>
              <w:pStyle w:val="BodyText"/>
              <w:rPr>
                <w:rFonts w:asciiTheme="minorHAnsi" w:hAnsiTheme="minorHAnsi" w:cstheme="minorHAnsi"/>
                <w:sz w:val="20"/>
              </w:rPr>
            </w:pPr>
            <w:r w:rsidRPr="00071492">
              <w:rPr>
                <w:rFonts w:asciiTheme="minorHAnsi" w:hAnsiTheme="minorHAnsi" w:cstheme="minorHAnsi"/>
                <w:sz w:val="20"/>
              </w:rPr>
              <w:t xml:space="preserve">Powder displacement values of 500 mg and 1 g vials are 0.4 mL and 0.7 mL respectively. </w:t>
            </w:r>
            <w:r w:rsidRPr="00071492">
              <w:rPr>
                <w:rFonts w:asciiTheme="minorHAnsi" w:hAnsiTheme="minorHAnsi" w:cstheme="minorHAnsi"/>
                <w:noProof/>
                <w:sz w:val="20"/>
              </w:rPr>
              <w:t>[5]</w:t>
            </w:r>
          </w:p>
          <w:p w:rsidRPr="00071492" w:rsidR="00286513" w:rsidP="0059793A" w:rsidRDefault="00286513" w14:paraId="468F889F" w14:textId="77777777">
            <w:pPr>
              <w:pStyle w:val="BodyText"/>
              <w:rPr>
                <w:rFonts w:asciiTheme="minorHAnsi" w:hAnsiTheme="minorHAnsi" w:cstheme="minorHAnsi"/>
                <w:sz w:val="20"/>
              </w:rPr>
            </w:pPr>
            <w:r w:rsidRPr="00071492">
              <w:rPr>
                <w:rFonts w:asciiTheme="minorHAnsi" w:hAnsiTheme="minorHAnsi" w:cstheme="minorHAnsi"/>
                <w:sz w:val="20"/>
              </w:rPr>
              <w:t>IM administration will result in delayed peak serum concentrations compared with administration via Intravenous or Intraosseous route</w:t>
            </w:r>
          </w:p>
        </w:tc>
      </w:tr>
      <w:tr w:rsidRPr="00071492" w:rsidR="00286513" w:rsidTr="00747763" w14:paraId="5733CEF1" w14:textId="77777777">
        <w:trPr>
          <w:trHeight w:val="280"/>
        </w:trPr>
        <w:tc>
          <w:tcPr>
            <w:tcW w:w="837" w:type="pct"/>
          </w:tcPr>
          <w:p w:rsidRPr="00071492" w:rsidR="00286513" w:rsidP="0059793A" w:rsidRDefault="00286513" w14:paraId="3D729B4F" w14:textId="77777777">
            <w:pPr>
              <w:pStyle w:val="BodyText"/>
              <w:rPr>
                <w:rFonts w:asciiTheme="minorHAnsi" w:hAnsiTheme="minorHAnsi" w:cstheme="minorHAnsi"/>
                <w:b/>
                <w:bCs/>
                <w:sz w:val="20"/>
              </w:rPr>
            </w:pPr>
            <w:r w:rsidRPr="00071492">
              <w:rPr>
                <w:rFonts w:asciiTheme="minorHAnsi" w:hAnsiTheme="minorHAnsi" w:cstheme="minorHAnsi"/>
                <w:b/>
                <w:bCs/>
                <w:sz w:val="20"/>
              </w:rPr>
              <w:t xml:space="preserve">Evidence </w:t>
            </w:r>
          </w:p>
        </w:tc>
        <w:tc>
          <w:tcPr>
            <w:tcW w:w="4163" w:type="pct"/>
          </w:tcPr>
          <w:p w:rsidRPr="00286513" w:rsidR="00286513" w:rsidP="0059793A" w:rsidRDefault="00286513" w14:paraId="70BD0647" w14:textId="77777777">
            <w:pPr>
              <w:pStyle w:val="BodyText"/>
              <w:tabs>
                <w:tab w:val="left" w:pos="1168"/>
              </w:tabs>
              <w:rPr>
                <w:rFonts w:asciiTheme="minorHAnsi" w:hAnsiTheme="minorHAnsi" w:cstheme="minorHAnsi"/>
                <w:b/>
                <w:sz w:val="16"/>
                <w:szCs w:val="16"/>
              </w:rPr>
            </w:pPr>
            <w:r w:rsidRPr="00286513">
              <w:rPr>
                <w:rFonts w:asciiTheme="minorHAnsi" w:hAnsiTheme="minorHAnsi" w:cstheme="minorHAnsi"/>
                <w:b/>
                <w:sz w:val="16"/>
                <w:szCs w:val="16"/>
              </w:rPr>
              <w:t xml:space="preserve">Efficacy: </w:t>
            </w:r>
          </w:p>
          <w:p w:rsidRPr="00286513" w:rsidR="00286513" w:rsidP="0059793A" w:rsidRDefault="00286513" w14:paraId="1EA6D72B"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b/>
                <w:sz w:val="16"/>
                <w:szCs w:val="16"/>
              </w:rPr>
              <w:t>Infants with suspected late onset sepsis:</w:t>
            </w:r>
            <w:r w:rsidRPr="00286513">
              <w:rPr>
                <w:rFonts w:asciiTheme="minorHAnsi" w:hAnsiTheme="minorHAnsi" w:cstheme="minorHAnsi"/>
                <w:sz w:val="16"/>
                <w:szCs w:val="16"/>
              </w:rPr>
              <w:t xml:space="preserve"> A single small RCT in 24 infants with suspected sepsis comparing flucloxacillin 25 mg/kg 12 hourly and gentamicin 2.5 mg/kg 12 hourly versus ticarcillin-clavulanate (Timentin) 80 mg/kg 12 hourly or 8 hourly reported no difference in mortality, treatment failure or antibiotic resistance. No infant in the flucloxacillin group had a sterile </w:t>
            </w:r>
            <w:r w:rsidRPr="00286513">
              <w:rPr>
                <w:rFonts w:asciiTheme="minorHAnsi" w:hAnsiTheme="minorHAnsi" w:cstheme="minorHAnsi"/>
                <w:sz w:val="16"/>
                <w:szCs w:val="16"/>
              </w:rPr>
              <w:lastRenderedPageBreak/>
              <w:t xml:space="preserve">site positive culture. </w:t>
            </w:r>
            <w:r w:rsidRPr="00286513">
              <w:rPr>
                <w:rFonts w:asciiTheme="minorHAnsi" w:hAnsiTheme="minorHAnsi" w:cstheme="minorHAnsi"/>
                <w:noProof/>
                <w:sz w:val="16"/>
                <w:szCs w:val="16"/>
              </w:rPr>
              <w:t>[6]</w:t>
            </w:r>
            <w:r w:rsidRPr="00286513">
              <w:rPr>
                <w:rFonts w:asciiTheme="minorHAnsi" w:hAnsiTheme="minorHAnsi" w:cstheme="minorHAnsi"/>
                <w:sz w:val="16"/>
                <w:szCs w:val="16"/>
              </w:rPr>
              <w:t xml:space="preserve"> There are no RCTs of oral treatment using flucloxacillin for newborn infections including skin (impetigo) or soft tissue infections (see pharmacokinetics/pharmacodynamics). </w:t>
            </w:r>
            <w:r w:rsidRPr="00286513">
              <w:rPr>
                <w:rFonts w:asciiTheme="minorHAnsi" w:hAnsiTheme="minorHAnsi" w:cstheme="minorHAnsi"/>
                <w:noProof/>
                <w:sz w:val="16"/>
                <w:szCs w:val="16"/>
              </w:rPr>
              <w:t>[7]</w:t>
            </w:r>
            <w:r w:rsidRPr="00286513">
              <w:rPr>
                <w:rFonts w:asciiTheme="minorHAnsi" w:hAnsiTheme="minorHAnsi" w:cstheme="minorHAnsi"/>
                <w:sz w:val="16"/>
                <w:szCs w:val="16"/>
              </w:rPr>
              <w:t xml:space="preserve"> Recommendation: Therapeutic Guidelines (eTG) recommends flucloxacillin 50 mg/kg 4 to 6 hourly (child). Use a 4-hourly flucloxacillin dosing interval for critically ill patients with severe sepsis or septic shock. </w:t>
            </w:r>
            <w:r w:rsidRPr="00286513">
              <w:rPr>
                <w:rFonts w:asciiTheme="minorHAnsi" w:hAnsiTheme="minorHAnsi" w:cstheme="minorHAnsi"/>
                <w:noProof/>
                <w:sz w:val="16"/>
                <w:szCs w:val="16"/>
              </w:rPr>
              <w:t>[8]</w:t>
            </w:r>
          </w:p>
          <w:p w:rsidRPr="00286513" w:rsidR="00286513" w:rsidP="0059793A" w:rsidRDefault="00286513" w14:paraId="01994C64"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sz w:val="16"/>
                <w:szCs w:val="16"/>
              </w:rPr>
              <w:t xml:space="preserve">Alternate IV Dosing regimen:  An alternate dosing regime in this formulary is proposed which has been recommended by British National Formulary </w:t>
            </w:r>
            <w:r w:rsidRPr="00286513">
              <w:rPr>
                <w:rFonts w:asciiTheme="minorHAnsi" w:hAnsiTheme="minorHAnsi" w:cstheme="minorHAnsi"/>
                <w:noProof/>
                <w:sz w:val="16"/>
                <w:szCs w:val="16"/>
              </w:rPr>
              <w:t>[9]</w:t>
            </w:r>
            <w:r w:rsidRPr="00286513">
              <w:rPr>
                <w:rFonts w:asciiTheme="minorHAnsi" w:hAnsiTheme="minorHAnsi" w:cstheme="minorHAnsi"/>
                <w:sz w:val="16"/>
                <w:szCs w:val="16"/>
              </w:rPr>
              <w:t xml:space="preserve"> and has been commonly used in Australia without any report of lack of efficacy (personal communication).</w:t>
            </w:r>
          </w:p>
          <w:p w:rsidRPr="00286513" w:rsidR="00286513" w:rsidP="0059793A" w:rsidRDefault="00286513" w14:paraId="71143B8B"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b/>
                <w:sz w:val="16"/>
                <w:szCs w:val="16"/>
              </w:rPr>
              <w:t>Infants with newly diagnosed cystic fibrosis:</w:t>
            </w:r>
            <w:r w:rsidRPr="00286513">
              <w:rPr>
                <w:rFonts w:asciiTheme="minorHAnsi" w:hAnsiTheme="minorHAnsi" w:cstheme="minorHAnsi"/>
                <w:sz w:val="16"/>
                <w:szCs w:val="16"/>
              </w:rPr>
              <w:t xml:space="preserve"> A small RCT in 38 infants with newly diagnosed CF [mean (range) age of diagnosis 5-7 weeks (1-14 weeks)] treated with continuous oral flucloxacillin 250 mg/day versus episodic antimicrobials as clinically indicated reported reduced clinical symptoms, reduced Staphylococcus aureus colonisation and reduced hospitalisation in the first 2 years. Continuous prophylactic flucloxacillin from early diagnosis of cystic fibrosis is associated with improved clinical progress during the first two years of life. </w:t>
            </w:r>
            <w:r w:rsidRPr="00286513">
              <w:rPr>
                <w:rFonts w:asciiTheme="minorHAnsi" w:hAnsiTheme="minorHAnsi" w:cstheme="minorHAnsi"/>
                <w:noProof/>
                <w:sz w:val="16"/>
                <w:szCs w:val="16"/>
              </w:rPr>
              <w:t>[10]</w:t>
            </w:r>
            <w:r w:rsidRPr="00286513">
              <w:rPr>
                <w:rFonts w:asciiTheme="minorHAnsi" w:hAnsiTheme="minorHAnsi" w:cstheme="minorHAnsi"/>
                <w:sz w:val="16"/>
                <w:szCs w:val="16"/>
              </w:rPr>
              <w:t xml:space="preserve"> (LOE II, GOR C)</w:t>
            </w:r>
          </w:p>
          <w:p w:rsidRPr="00286513" w:rsidR="00286513" w:rsidP="0059793A" w:rsidRDefault="00286513" w14:paraId="303D2B93" w14:textId="77777777">
            <w:pPr>
              <w:pStyle w:val="BodyText"/>
              <w:tabs>
                <w:tab w:val="left" w:pos="1168"/>
              </w:tabs>
              <w:rPr>
                <w:rFonts w:asciiTheme="minorHAnsi" w:hAnsiTheme="minorHAnsi" w:cstheme="minorHAnsi"/>
                <w:b/>
                <w:sz w:val="16"/>
                <w:szCs w:val="16"/>
              </w:rPr>
            </w:pPr>
            <w:r w:rsidRPr="00286513">
              <w:rPr>
                <w:rFonts w:asciiTheme="minorHAnsi" w:hAnsiTheme="minorHAnsi" w:cstheme="minorHAnsi"/>
                <w:b/>
                <w:sz w:val="16"/>
                <w:szCs w:val="16"/>
              </w:rPr>
              <w:t xml:space="preserve">Pharmacokinetics / pharmacodynamics: </w:t>
            </w:r>
          </w:p>
          <w:p w:rsidRPr="00286513" w:rsidR="00286513" w:rsidP="0059793A" w:rsidRDefault="00286513" w14:paraId="35BD70F5"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sz w:val="16"/>
                <w:szCs w:val="16"/>
              </w:rPr>
              <w:t xml:space="preserve">There has been considerable variation in dosing recommendations for neonates regarding flucloxacillin. </w:t>
            </w:r>
            <w:r w:rsidRPr="00286513">
              <w:rPr>
                <w:rFonts w:asciiTheme="minorHAnsi" w:hAnsiTheme="minorHAnsi" w:cstheme="minorHAnsi"/>
                <w:noProof/>
                <w:sz w:val="16"/>
                <w:szCs w:val="16"/>
              </w:rPr>
              <w:t>[11]</w:t>
            </w:r>
            <w:r w:rsidRPr="00286513">
              <w:rPr>
                <w:rFonts w:asciiTheme="minorHAnsi" w:hAnsiTheme="minorHAnsi" w:cstheme="minorHAnsi"/>
                <w:sz w:val="16"/>
                <w:szCs w:val="16"/>
              </w:rPr>
              <w:t xml:space="preserve"> Herngren et al in 9 newborn infants (gestational age 33-41 weeks) reported flucloxacillin 50 mg/kg 12 hourly resulted in plasma concentrations substantially above MIC for Staphylococcus aureus (0.2 mg/L). The average t½ 4.6 hours in infants 33-41 weeks was inversely correlated with gestational age. Plasma protein binding 86% affected by bilirubin/albumin ratio. Bioavailability oral flucloxacillin was 48%. </w:t>
            </w:r>
            <w:r w:rsidRPr="00286513">
              <w:rPr>
                <w:rFonts w:asciiTheme="minorHAnsi" w:hAnsiTheme="minorHAnsi" w:cstheme="minorHAnsi"/>
                <w:noProof/>
                <w:sz w:val="16"/>
                <w:szCs w:val="16"/>
              </w:rPr>
              <w:t>[12]</w:t>
            </w:r>
            <w:r w:rsidRPr="00286513">
              <w:rPr>
                <w:rFonts w:asciiTheme="minorHAnsi" w:hAnsiTheme="minorHAnsi" w:cstheme="minorHAnsi"/>
                <w:sz w:val="16"/>
                <w:szCs w:val="16"/>
              </w:rPr>
              <w:t xml:space="preserve"> </w:t>
            </w:r>
          </w:p>
          <w:p w:rsidRPr="00286513" w:rsidR="00286513" w:rsidP="0059793A" w:rsidRDefault="00286513" w14:paraId="3FA33694"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sz w:val="16"/>
                <w:szCs w:val="16"/>
              </w:rPr>
              <w:t xml:space="preserve">Conversely, Pullen et al reported 235 flucloxacillin total (free + protein bound) plasma concentrations in 55 neonates (gestation 26 to 42 weeks, postnatal age 0 to 44 days). Mean flucloxacillin elimination t½ was 2.6±1.6 hours. CoNS and Staphylococcus aureus breakpoint MIC values of flucloxacillin were 0.25 and 2.0 mg/L, respectively, equivalent to a 10 fold different MIC for Staphylococcus aureus compared with Herngren et al. The dosage regimen 25 or 50 mg/kg every 8 or 12 hours did not result in effective plasma concentrations for the treatment of Staphylococcus aureus in 31%of neonates. Recommend initial dose of 25 mg/kg/4 hourly for all neonates. </w:t>
            </w:r>
            <w:r w:rsidRPr="00286513">
              <w:rPr>
                <w:rFonts w:asciiTheme="minorHAnsi" w:hAnsiTheme="minorHAnsi" w:cstheme="minorHAnsi"/>
                <w:noProof/>
                <w:sz w:val="16"/>
                <w:szCs w:val="16"/>
              </w:rPr>
              <w:t>[1]</w:t>
            </w:r>
            <w:r w:rsidRPr="00286513">
              <w:rPr>
                <w:rFonts w:asciiTheme="minorHAnsi" w:hAnsiTheme="minorHAnsi" w:cstheme="minorHAnsi"/>
                <w:sz w:val="16"/>
                <w:szCs w:val="16"/>
              </w:rPr>
              <w:t xml:space="preserve"> (LOE IV GOR C).</w:t>
            </w:r>
          </w:p>
          <w:p w:rsidRPr="00286513" w:rsidR="00286513" w:rsidP="0059793A" w:rsidRDefault="00286513" w14:paraId="7371A1DB"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sz w:val="16"/>
                <w:szCs w:val="16"/>
              </w:rPr>
              <w:t xml:space="preserve">Adrianzen Vargas 2004 reported that in 11 infants undergoing cardiopulmonary bypass the mean serum concentration of flucloxacillin decreased by 42.5% and the t½ was 2.64 (±0.23) hours. </w:t>
            </w:r>
            <w:r w:rsidRPr="00286513">
              <w:rPr>
                <w:rFonts w:asciiTheme="minorHAnsi" w:hAnsiTheme="minorHAnsi" w:cstheme="minorHAnsi"/>
                <w:noProof/>
                <w:sz w:val="16"/>
                <w:szCs w:val="16"/>
              </w:rPr>
              <w:t>[2]</w:t>
            </w:r>
            <w:r w:rsidRPr="00286513">
              <w:rPr>
                <w:rFonts w:asciiTheme="minorHAnsi" w:hAnsiTheme="minorHAnsi" w:cstheme="minorHAnsi"/>
                <w:sz w:val="16"/>
                <w:szCs w:val="16"/>
              </w:rPr>
              <w:t xml:space="preserve"> (LOE IV)</w:t>
            </w:r>
          </w:p>
          <w:p w:rsidRPr="00286513" w:rsidR="00286513" w:rsidP="0059793A" w:rsidRDefault="00286513" w14:paraId="695B4372"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b/>
                <w:sz w:val="16"/>
                <w:szCs w:val="16"/>
              </w:rPr>
              <w:t>Oral administration:</w:t>
            </w:r>
            <w:r w:rsidRPr="00286513">
              <w:rPr>
                <w:rFonts w:asciiTheme="minorHAnsi" w:hAnsiTheme="minorHAnsi" w:cstheme="minorHAnsi"/>
                <w:sz w:val="16"/>
                <w:szCs w:val="16"/>
              </w:rPr>
              <w:t xml:space="preserve">  </w:t>
            </w:r>
          </w:p>
          <w:p w:rsidRPr="00286513" w:rsidR="00286513" w:rsidP="0059793A" w:rsidRDefault="00286513" w14:paraId="6D37540A"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sz w:val="16"/>
                <w:szCs w:val="16"/>
              </w:rPr>
              <w:t xml:space="preserve">Bioavailability oral flucloxacillin was reported to be 48% in neonates. </w:t>
            </w:r>
            <w:r w:rsidRPr="00286513">
              <w:rPr>
                <w:rFonts w:asciiTheme="minorHAnsi" w:hAnsiTheme="minorHAnsi" w:cstheme="minorHAnsi"/>
                <w:noProof/>
                <w:sz w:val="16"/>
                <w:szCs w:val="16"/>
              </w:rPr>
              <w:t>[12]</w:t>
            </w:r>
            <w:r w:rsidRPr="00286513">
              <w:rPr>
                <w:rFonts w:asciiTheme="minorHAnsi" w:hAnsiTheme="minorHAnsi" w:cstheme="minorHAnsi"/>
                <w:sz w:val="16"/>
                <w:szCs w:val="16"/>
              </w:rPr>
              <w:t xml:space="preserve"> Peak plasma levels after flucloxacillin 25 mg/kg were delayed when given orally (2 hours) compared to IV, but subsequent plasma levels were adequate to achieve levels in excess of MIC of Staphylococcus aureus. </w:t>
            </w:r>
            <w:r w:rsidRPr="00286513">
              <w:rPr>
                <w:rFonts w:asciiTheme="minorHAnsi" w:hAnsiTheme="minorHAnsi" w:cstheme="minorHAnsi"/>
                <w:noProof/>
                <w:sz w:val="16"/>
                <w:szCs w:val="16"/>
              </w:rPr>
              <w:t>[13]</w:t>
            </w:r>
          </w:p>
          <w:p w:rsidRPr="00071492" w:rsidR="00286513" w:rsidP="0059793A" w:rsidRDefault="00286513" w14:paraId="7E9FE57C" w14:textId="77777777">
            <w:pPr>
              <w:pStyle w:val="BodyText"/>
              <w:tabs>
                <w:tab w:val="left" w:pos="1168"/>
              </w:tabs>
              <w:rPr>
                <w:rFonts w:asciiTheme="minorHAnsi" w:hAnsiTheme="minorHAnsi" w:cstheme="minorHAnsi"/>
                <w:sz w:val="20"/>
              </w:rPr>
            </w:pPr>
            <w:r w:rsidRPr="00286513">
              <w:rPr>
                <w:rFonts w:asciiTheme="minorHAnsi" w:hAnsiTheme="minorHAnsi" w:cstheme="minorHAnsi"/>
                <w:sz w:val="16"/>
                <w:szCs w:val="16"/>
              </w:rPr>
              <w:t xml:space="preserve">Lidocaine (lignocaine) has been used as diluent for IM penicillin preparations to reduce the pain at injection site. </w:t>
            </w:r>
            <w:r w:rsidRPr="00286513">
              <w:rPr>
                <w:rFonts w:asciiTheme="minorHAnsi" w:hAnsiTheme="minorHAnsi" w:cstheme="minorHAnsi"/>
                <w:noProof/>
                <w:sz w:val="16"/>
                <w:szCs w:val="16"/>
              </w:rPr>
              <w:t>[3]</w:t>
            </w:r>
          </w:p>
        </w:tc>
      </w:tr>
      <w:tr w:rsidRPr="00071492" w:rsidR="00286513" w:rsidTr="00747763" w14:paraId="12908FB3" w14:textId="77777777">
        <w:trPr>
          <w:trHeight w:val="108"/>
        </w:trPr>
        <w:tc>
          <w:tcPr>
            <w:tcW w:w="837" w:type="pct"/>
          </w:tcPr>
          <w:p w:rsidRPr="00071492" w:rsidR="00286513" w:rsidP="0059793A" w:rsidRDefault="00286513" w14:paraId="7996C7FE" w14:textId="77777777">
            <w:pPr>
              <w:pStyle w:val="BodyText"/>
              <w:rPr>
                <w:rFonts w:asciiTheme="minorHAnsi" w:hAnsiTheme="minorHAnsi" w:cstheme="minorHAnsi"/>
                <w:b/>
                <w:bCs/>
                <w:sz w:val="20"/>
              </w:rPr>
            </w:pPr>
            <w:r w:rsidRPr="00071492">
              <w:rPr>
                <w:rFonts w:asciiTheme="minorHAnsi" w:hAnsiTheme="minorHAnsi" w:cstheme="minorHAnsi"/>
                <w:b/>
                <w:bCs/>
                <w:sz w:val="20"/>
              </w:rPr>
              <w:lastRenderedPageBreak/>
              <w:t>Practice points</w:t>
            </w:r>
          </w:p>
        </w:tc>
        <w:tc>
          <w:tcPr>
            <w:tcW w:w="4163" w:type="pct"/>
          </w:tcPr>
          <w:p w:rsidRPr="00286513" w:rsidR="00286513" w:rsidP="0059793A" w:rsidRDefault="00286513" w14:paraId="28835050" w14:textId="77777777">
            <w:pPr>
              <w:pStyle w:val="BodyText"/>
              <w:tabs>
                <w:tab w:val="left" w:pos="1168"/>
              </w:tabs>
              <w:rPr>
                <w:rFonts w:asciiTheme="minorHAnsi" w:hAnsiTheme="minorHAnsi" w:cstheme="minorHAnsi"/>
                <w:sz w:val="16"/>
                <w:szCs w:val="16"/>
              </w:rPr>
            </w:pPr>
            <w:r w:rsidRPr="00286513">
              <w:rPr>
                <w:rFonts w:asciiTheme="minorHAnsi" w:hAnsiTheme="minorHAnsi" w:cstheme="minorHAnsi"/>
                <w:sz w:val="16"/>
                <w:szCs w:val="16"/>
              </w:rPr>
              <w:t xml:space="preserve">For the treatment of Staphylococcus aureus, the recommend initial dose of 25 mg/kg/4 hourly for all neonates. </w:t>
            </w:r>
            <w:r w:rsidRPr="00286513">
              <w:rPr>
                <w:rFonts w:asciiTheme="minorHAnsi" w:hAnsiTheme="minorHAnsi" w:cstheme="minorHAnsi"/>
                <w:noProof/>
                <w:sz w:val="16"/>
                <w:szCs w:val="16"/>
              </w:rPr>
              <w:t>[1]</w:t>
            </w:r>
            <w:r w:rsidRPr="00286513">
              <w:rPr>
                <w:rFonts w:asciiTheme="minorHAnsi" w:hAnsiTheme="minorHAnsi" w:cstheme="minorHAnsi"/>
                <w:sz w:val="16"/>
                <w:szCs w:val="16"/>
              </w:rPr>
              <w:t xml:space="preserve"> (LOE IV GOR C).</w:t>
            </w:r>
          </w:p>
          <w:p w:rsidRPr="00071492" w:rsidR="00286513" w:rsidP="0059793A" w:rsidRDefault="00286513" w14:paraId="50ACDC69" w14:textId="77777777">
            <w:pPr>
              <w:pStyle w:val="BodyText"/>
              <w:tabs>
                <w:tab w:val="left" w:pos="1168"/>
              </w:tabs>
              <w:rPr>
                <w:rFonts w:asciiTheme="minorHAnsi" w:hAnsiTheme="minorHAnsi" w:cstheme="minorHAnsi"/>
                <w:sz w:val="20"/>
              </w:rPr>
            </w:pPr>
            <w:r w:rsidRPr="00286513">
              <w:rPr>
                <w:rFonts w:asciiTheme="minorHAnsi" w:hAnsiTheme="minorHAnsi" w:cstheme="minorHAnsi"/>
                <w:sz w:val="16"/>
                <w:szCs w:val="16"/>
              </w:rPr>
              <w:t xml:space="preserve">The bioavailability oral flucloxacillin was 48% in neonates. </w:t>
            </w:r>
            <w:r w:rsidRPr="00286513">
              <w:rPr>
                <w:rFonts w:asciiTheme="minorHAnsi" w:hAnsiTheme="minorHAnsi" w:cstheme="minorHAnsi"/>
                <w:noProof/>
                <w:sz w:val="16"/>
                <w:szCs w:val="16"/>
              </w:rPr>
              <w:t>[12]</w:t>
            </w:r>
            <w:r w:rsidRPr="00286513">
              <w:rPr>
                <w:rFonts w:asciiTheme="minorHAnsi" w:hAnsiTheme="minorHAnsi" w:cstheme="minorHAnsi"/>
                <w:sz w:val="16"/>
                <w:szCs w:val="16"/>
              </w:rPr>
              <w:t xml:space="preserve"> Oral flucloxacillin 25 mg/kg produced peak plasma levels after 2 hours that were adequate to achieve levels in excess of MIC of Staphylococcus aureus. </w:t>
            </w:r>
            <w:r w:rsidRPr="00286513">
              <w:rPr>
                <w:rFonts w:asciiTheme="minorHAnsi" w:hAnsiTheme="minorHAnsi" w:cstheme="minorHAnsi"/>
                <w:noProof/>
                <w:sz w:val="16"/>
                <w:szCs w:val="16"/>
              </w:rPr>
              <w:t>[13]</w:t>
            </w:r>
          </w:p>
        </w:tc>
      </w:tr>
      <w:tr w:rsidRPr="00071492" w:rsidR="00286513" w:rsidTr="00747763" w14:paraId="722DE808" w14:textId="77777777">
        <w:trPr>
          <w:trHeight w:val="70"/>
        </w:trPr>
        <w:tc>
          <w:tcPr>
            <w:tcW w:w="837" w:type="pct"/>
          </w:tcPr>
          <w:p w:rsidRPr="00071492" w:rsidR="00286513" w:rsidP="0059793A" w:rsidRDefault="00286513" w14:paraId="4EE57A8D" w14:textId="77777777">
            <w:pPr>
              <w:pStyle w:val="BodyText"/>
              <w:rPr>
                <w:rFonts w:asciiTheme="minorHAnsi" w:hAnsiTheme="minorHAnsi" w:cstheme="minorHAnsi"/>
                <w:b/>
                <w:bCs/>
                <w:sz w:val="20"/>
              </w:rPr>
            </w:pPr>
            <w:r w:rsidRPr="00071492">
              <w:rPr>
                <w:rFonts w:asciiTheme="minorHAnsi" w:hAnsiTheme="minorHAnsi" w:cstheme="minorHAnsi"/>
                <w:b/>
                <w:sz w:val="20"/>
              </w:rPr>
              <w:t>References</w:t>
            </w:r>
          </w:p>
        </w:tc>
        <w:tc>
          <w:tcPr>
            <w:tcW w:w="4163" w:type="pct"/>
          </w:tcPr>
          <w:p w:rsidRPr="00286513" w:rsidR="00286513" w:rsidP="001B0E05" w:rsidRDefault="00286513" w14:paraId="549B59B9"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Pullen J, de Rozario L, Stolk LM, Degraeuwe PL, van Tiel FH, Zimmermann LJ. Population pharmacokinetics and dosing of flucloxacillin in preterm and term neonates. Ther Drug Monit. 2006;28:351-8.</w:t>
            </w:r>
          </w:p>
          <w:p w:rsidRPr="00286513" w:rsidR="00286513" w:rsidP="001B0E05" w:rsidRDefault="00286513" w14:paraId="66CDFAA0"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Adrianzen Vargas MR, Danton MH, Javaid SM, Gray J, Tobin C, Brawn WJ, Barron DJ. Pharmacokinetics of intravenous flucloxacillin and amoxicillin in neonatal and infant cardiopulmonary bypass surgery. Eur J Cardiothorac Surg. 2004;25:256-60.</w:t>
            </w:r>
          </w:p>
          <w:p w:rsidRPr="00286513" w:rsidR="00286513" w:rsidP="001B0E05" w:rsidRDefault="00286513" w14:paraId="0714C5F6"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Amir J, Ginat S, Cohen YH, Marcus TE, Keller N, Varsano I. Lidocaine as a diluent for administration of benzathine penicillin G. Pediatr Infect Dis J. 1998;17:890-3.</w:t>
            </w:r>
          </w:p>
          <w:p w:rsidRPr="00286513" w:rsidR="00286513" w:rsidP="001B0E05" w:rsidRDefault="00286513" w14:paraId="42FB2F2E"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Australian Injectable Drugs Handbook, 7th Edition. https://aidh.hcn.com.au/browse/f/flucloxacillin_sodium.</w:t>
            </w:r>
          </w:p>
          <w:p w:rsidRPr="00286513" w:rsidR="00286513" w:rsidP="001B0E05" w:rsidRDefault="00286513" w14:paraId="394DD61F"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Flucil. Product information. Accessed on 22 November 2018.</w:t>
            </w:r>
          </w:p>
          <w:p w:rsidRPr="00286513" w:rsidR="00286513" w:rsidP="001B0E05" w:rsidRDefault="00286513" w14:paraId="7A1C3801"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Miall-Allen VM, Whitelaw AG, Darrell JH. Ticarcillin plus clavulanic acid (Timentin) compared with standard antibiotic regimes in the treatment of early and late neonatal infections. Br J Clin Pract. 1988;42:273-9.</w:t>
            </w:r>
          </w:p>
          <w:p w:rsidRPr="00286513" w:rsidR="00286513" w:rsidP="001B0E05" w:rsidRDefault="00286513" w14:paraId="279D68EA"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George A, Rubin G. A systematic review and meta-analysis of treatments for impetigo. Br J Gen Pract. 2003;53:480-7.</w:t>
            </w:r>
          </w:p>
          <w:p w:rsidRPr="00286513" w:rsidR="00286513" w:rsidP="001B0E05" w:rsidRDefault="00286513" w14:paraId="5CCE97DF"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Therapeutic Guidelines. www.tg.org.au 2018.</w:t>
            </w:r>
          </w:p>
          <w:p w:rsidRPr="00286513" w:rsidR="00286513" w:rsidP="001B0E05" w:rsidRDefault="00286513" w14:paraId="7CA52F0F"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Flucloxacillin. Medicines Complete. Accessed on 15 November 2018. https://www.medicinescomplete.com.acs.hcn.com.au/#/content/bnfc/_690459654?hspl=flucloxacillin.</w:t>
            </w:r>
          </w:p>
          <w:p w:rsidRPr="00286513" w:rsidR="00286513" w:rsidP="001B0E05" w:rsidRDefault="00286513" w14:paraId="680B459D"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Weaver LT, Green MR, Nicholson K, Mills J, Heeley ME, Kuzemko JA, Austin S, Gregory GA, Dux AE, Davis JA. Prognosis in cystic fibrosis treated with continuous flucloxacillin from the neonatal period. Arch Dis Child. 1994;70:84-9.</w:t>
            </w:r>
          </w:p>
          <w:p w:rsidRPr="00286513" w:rsidR="00286513" w:rsidP="001B0E05" w:rsidRDefault="00286513" w14:paraId="137A78EC"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Pacifici GM. Clinical Pharmacokinetics of Penicillins, Cephalosporins and Aminoglycosides in the Neonate: A Review. Pharmaceuticals (Basel). 2010;3:2568-91.</w:t>
            </w:r>
          </w:p>
          <w:p w:rsidRPr="00286513" w:rsidR="00286513" w:rsidP="001B0E05" w:rsidRDefault="00286513" w14:paraId="5C7DA3E4" w14:textId="77777777">
            <w:pPr>
              <w:pStyle w:val="EndNoteBibliography"/>
              <w:numPr>
                <w:ilvl w:val="0"/>
                <w:numId w:val="99"/>
              </w:numPr>
              <w:ind w:left="360"/>
              <w:rPr>
                <w:rFonts w:asciiTheme="minorHAnsi" w:hAnsiTheme="minorHAnsi" w:cstheme="minorHAnsi"/>
                <w:sz w:val="16"/>
                <w:szCs w:val="16"/>
              </w:rPr>
            </w:pPr>
            <w:r w:rsidRPr="00286513">
              <w:rPr>
                <w:rFonts w:asciiTheme="minorHAnsi" w:hAnsiTheme="minorHAnsi" w:cstheme="minorHAnsi"/>
                <w:sz w:val="16"/>
                <w:szCs w:val="16"/>
              </w:rPr>
              <w:t>Herngren L, Ehrnebo M, Broberger U. Pharmacokinetics of free and total flucloxacillin in newborn infants. Eur J Clin Pharmacol. 1987;32:403-9.</w:t>
            </w:r>
          </w:p>
          <w:p w:rsidRPr="005161EA" w:rsidR="00286513" w:rsidP="001B0E05" w:rsidRDefault="00286513" w14:paraId="5B053778" w14:textId="77777777">
            <w:pPr>
              <w:pStyle w:val="EndNoteBibliography"/>
              <w:numPr>
                <w:ilvl w:val="0"/>
                <w:numId w:val="99"/>
              </w:numPr>
              <w:ind w:left="360"/>
              <w:rPr>
                <w:rFonts w:asciiTheme="minorHAnsi" w:hAnsiTheme="minorHAnsi" w:cstheme="minorHAnsi"/>
                <w:sz w:val="20"/>
                <w:szCs w:val="20"/>
              </w:rPr>
            </w:pPr>
            <w:r w:rsidRPr="00286513">
              <w:rPr>
                <w:rFonts w:asciiTheme="minorHAnsi" w:hAnsiTheme="minorHAnsi" w:cstheme="minorHAnsi"/>
                <w:sz w:val="16"/>
                <w:szCs w:val="16"/>
              </w:rPr>
              <w:t>Cohen MD, Raeburn JA, Devine J, Kirkwood J, Elliott B, Cockburn F, Forfar JO. Pharmacology of some oral penicillins in the newborn infant. Arch Dis Child. 1975;50:230-4.</w:t>
            </w:r>
          </w:p>
        </w:tc>
      </w:tr>
    </w:tbl>
    <w:p w:rsidRPr="00E25790" w:rsidR="00115F48" w:rsidP="006F0321" w:rsidRDefault="00115F48" w14:paraId="65F88E25" w14:textId="77777777"/>
    <w:tbl>
      <w:tblPr>
        <w:tblW w:w="995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5841"/>
      </w:tblGrid>
      <w:tr w:rsidRPr="00E25790" w:rsidR="00E424B4" w:rsidTr="00747763" w14:paraId="491ABBA7" w14:textId="77777777">
        <w:tc>
          <w:tcPr>
            <w:tcW w:w="4111" w:type="dxa"/>
            <w:vAlign w:val="center"/>
          </w:tcPr>
          <w:p w:rsidRPr="00E25790" w:rsidR="0055693E" w:rsidP="006F0321" w:rsidRDefault="0055693E" w14:paraId="0B721895" w14:textId="77777777">
            <w:pPr>
              <w:rPr>
                <w:lang w:val="en-AU"/>
              </w:rPr>
            </w:pPr>
            <w:r w:rsidRPr="00E25790">
              <w:rPr>
                <w:lang w:val="en-AU"/>
              </w:rPr>
              <w:t>Original version Date: 05/12/2015</w:t>
            </w:r>
          </w:p>
        </w:tc>
        <w:tc>
          <w:tcPr>
            <w:tcW w:w="5841" w:type="dxa"/>
            <w:vAlign w:val="center"/>
          </w:tcPr>
          <w:p w:rsidRPr="00E25790" w:rsidR="0055693E" w:rsidP="006F0321" w:rsidRDefault="0055693E" w14:paraId="3325B843" w14:textId="77777777">
            <w:pPr>
              <w:rPr>
                <w:lang w:val="en-AU"/>
              </w:rPr>
            </w:pPr>
            <w:r w:rsidRPr="00E25790">
              <w:rPr>
                <w:lang w:val="en-AU"/>
              </w:rPr>
              <w:t>Author: Neonatal Medicines Formulary Consensus Group</w:t>
            </w:r>
          </w:p>
        </w:tc>
      </w:tr>
      <w:tr w:rsidRPr="00E25790" w:rsidR="00E424B4" w:rsidTr="00747763" w14:paraId="518AA714" w14:textId="77777777">
        <w:tc>
          <w:tcPr>
            <w:tcW w:w="4111" w:type="dxa"/>
            <w:vAlign w:val="center"/>
          </w:tcPr>
          <w:p w:rsidRPr="00E25790" w:rsidR="0055693E" w:rsidP="006F0321" w:rsidRDefault="0055693E" w14:paraId="219DE34A" w14:textId="543C7EF0">
            <w:pPr>
              <w:rPr>
                <w:bCs/>
                <w:lang w:val="en-AU"/>
              </w:rPr>
            </w:pPr>
            <w:r w:rsidRPr="00E25790">
              <w:rPr>
                <w:lang w:val="en-AU"/>
              </w:rPr>
              <w:t xml:space="preserve">Current Version number:  </w:t>
            </w:r>
            <w:r w:rsidR="0079093C">
              <w:rPr>
                <w:lang w:val="en-AU"/>
              </w:rPr>
              <w:t>6</w:t>
            </w:r>
          </w:p>
        </w:tc>
        <w:tc>
          <w:tcPr>
            <w:tcW w:w="5841" w:type="dxa"/>
            <w:vAlign w:val="center"/>
          </w:tcPr>
          <w:p w:rsidRPr="00E25790" w:rsidR="0055693E" w:rsidP="006F0321" w:rsidRDefault="0055693E" w14:paraId="41255DC2" w14:textId="7B18F272">
            <w:pPr>
              <w:rPr>
                <w:lang w:val="en-AU"/>
              </w:rPr>
            </w:pPr>
            <w:r w:rsidRPr="00E25790">
              <w:rPr>
                <w:lang w:val="en-AU"/>
              </w:rPr>
              <w:t xml:space="preserve">Version Date:  </w:t>
            </w:r>
            <w:r w:rsidR="0079093C">
              <w:rPr>
                <w:lang w:val="en-AU"/>
              </w:rPr>
              <w:t>16/11/2020</w:t>
            </w:r>
          </w:p>
        </w:tc>
      </w:tr>
      <w:tr w:rsidRPr="00E25790" w:rsidR="00E424B4" w:rsidTr="00747763" w14:paraId="16A987A9" w14:textId="77777777">
        <w:tc>
          <w:tcPr>
            <w:tcW w:w="4111" w:type="dxa"/>
            <w:vAlign w:val="center"/>
          </w:tcPr>
          <w:p w:rsidRPr="00E25790" w:rsidR="0055693E" w:rsidP="006F0321" w:rsidRDefault="0055693E" w14:paraId="4F388EAB" w14:textId="5C6F306F">
            <w:pPr>
              <w:rPr>
                <w:lang w:val="en-AU"/>
              </w:rPr>
            </w:pPr>
            <w:r w:rsidRPr="00E25790">
              <w:rPr>
                <w:lang w:val="en-AU"/>
              </w:rPr>
              <w:t xml:space="preserve">Risk Rating: </w:t>
            </w:r>
            <w:r w:rsidR="0079093C">
              <w:rPr>
                <w:lang w:val="en-AU"/>
              </w:rPr>
              <w:t>Low</w:t>
            </w:r>
          </w:p>
        </w:tc>
        <w:tc>
          <w:tcPr>
            <w:tcW w:w="5841" w:type="dxa"/>
            <w:vAlign w:val="center"/>
          </w:tcPr>
          <w:p w:rsidRPr="00E25790" w:rsidR="0055693E" w:rsidP="006F0321" w:rsidRDefault="0055693E" w14:paraId="47C61F3F" w14:textId="7BD7105B">
            <w:pPr>
              <w:rPr>
                <w:lang w:val="en-AU"/>
              </w:rPr>
            </w:pPr>
            <w:r w:rsidRPr="00E25790">
              <w:rPr>
                <w:lang w:val="en-AU"/>
              </w:rPr>
              <w:t xml:space="preserve">Due for Review:  </w:t>
            </w:r>
            <w:r w:rsidR="0079093C">
              <w:rPr>
                <w:lang w:val="en-AU"/>
              </w:rPr>
              <w:t>16/11/2025</w:t>
            </w:r>
          </w:p>
        </w:tc>
      </w:tr>
      <w:tr w:rsidRPr="00E25790" w:rsidR="00E424B4" w:rsidTr="00747763" w14:paraId="3B5EEFD0" w14:textId="77777777">
        <w:trPr>
          <w:trHeight w:val="344"/>
        </w:trPr>
        <w:tc>
          <w:tcPr>
            <w:tcW w:w="4111" w:type="dxa"/>
            <w:tcBorders>
              <w:bottom w:val="single" w:color="auto" w:sz="4" w:space="0"/>
            </w:tcBorders>
            <w:vAlign w:val="center"/>
          </w:tcPr>
          <w:p w:rsidRPr="00E25790" w:rsidR="0055693E" w:rsidP="006F0321" w:rsidRDefault="0055693E" w14:paraId="00C614B9" w14:textId="77777777">
            <w:r w:rsidRPr="00E25790">
              <w:t>Approval by: DTC</w:t>
            </w:r>
          </w:p>
        </w:tc>
        <w:tc>
          <w:tcPr>
            <w:tcW w:w="5841" w:type="dxa"/>
            <w:tcBorders>
              <w:bottom w:val="single" w:color="auto" w:sz="4" w:space="0"/>
            </w:tcBorders>
            <w:vAlign w:val="center"/>
          </w:tcPr>
          <w:p w:rsidRPr="00E25790" w:rsidR="0055693E" w:rsidP="006F0321" w:rsidRDefault="0055693E" w14:paraId="4A15A4C5" w14:textId="38367BAB">
            <w:pPr>
              <w:rPr>
                <w:lang w:val="en-AU"/>
              </w:rPr>
            </w:pPr>
            <w:r w:rsidRPr="00E25790">
              <w:rPr>
                <w:lang w:val="en-AU"/>
              </w:rPr>
              <w:t xml:space="preserve">Approval Date: </w:t>
            </w:r>
            <w:r w:rsidR="00260BC8">
              <w:rPr>
                <w:lang w:val="en-AU"/>
              </w:rPr>
              <w:t>APRIL 2021</w:t>
            </w:r>
          </w:p>
        </w:tc>
      </w:tr>
    </w:tbl>
    <w:p w:rsidRPr="00E25790" w:rsidR="00115F48" w:rsidP="006F0321" w:rsidRDefault="00115F48" w14:paraId="4422C020" w14:textId="77777777"/>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896"/>
      </w:tblGrid>
      <w:tr w:rsidRPr="00E25790" w:rsidR="00115F48" w:rsidTr="00B97D99" w14:paraId="683B6BEA" w14:textId="77777777">
        <w:trPr>
          <w:cantSplit/>
          <w:trHeight w:val="720"/>
        </w:trPr>
        <w:tc>
          <w:tcPr>
            <w:tcW w:w="9049" w:type="dxa"/>
            <w:gridSpan w:val="2"/>
            <w:shd w:val="clear" w:color="auto" w:fill="FF6600"/>
          </w:tcPr>
          <w:p w:rsidRPr="00E25790" w:rsidR="00115F48" w:rsidP="009469DB" w:rsidRDefault="00115F48" w14:paraId="75AF7C2B" w14:textId="77777777">
            <w:pPr>
              <w:pStyle w:val="Heading1"/>
            </w:pPr>
            <w:bookmarkStart w:name="_Toc495481108" w:id="244"/>
            <w:bookmarkStart w:name="_Toc495481234" w:id="245"/>
            <w:bookmarkStart w:name="_Toc495481359" w:id="246"/>
            <w:bookmarkStart w:name="_Toc495501540" w:id="247"/>
            <w:bookmarkStart w:name="_Toc38106846" w:id="248"/>
            <w:bookmarkStart w:name="_Toc75339972" w:id="249"/>
            <w:r w:rsidRPr="00E25790">
              <w:t>Fluconazole</w:t>
            </w:r>
            <w:bookmarkEnd w:id="244"/>
            <w:bookmarkEnd w:id="245"/>
            <w:bookmarkEnd w:id="246"/>
            <w:bookmarkEnd w:id="247"/>
            <w:bookmarkEnd w:id="248"/>
            <w:bookmarkEnd w:id="249"/>
            <w:r w:rsidRPr="00E25790">
              <w:fldChar w:fldCharType="begin"/>
            </w:r>
            <w:r w:rsidRPr="00E25790">
              <w:instrText>tc "Fluconazole" \l 0</w:instrText>
            </w:r>
            <w:r w:rsidRPr="00E25790">
              <w:fldChar w:fldCharType="end"/>
            </w:r>
          </w:p>
        </w:tc>
      </w:tr>
      <w:tr w:rsidRPr="00E25790" w:rsidR="00115F48" w:rsidTr="00B97D99" w14:paraId="5E4DA842" w14:textId="77777777">
        <w:trPr>
          <w:cantSplit/>
          <w:trHeight w:val="480"/>
        </w:trPr>
        <w:tc>
          <w:tcPr>
            <w:tcW w:w="4153" w:type="dxa"/>
            <w:shd w:val="clear" w:color="auto" w:fill="FF6600"/>
          </w:tcPr>
          <w:p w:rsidRPr="00E25790" w:rsidR="00115F48" w:rsidP="006F0321" w:rsidRDefault="00115F48" w14:paraId="4AA7D83C" w14:textId="76054757">
            <w:r w:rsidRPr="00E25790">
              <w:t>Revision Date</w:t>
            </w:r>
            <w:r w:rsidRPr="00E25790">
              <w:rPr>
                <w:b/>
              </w:rPr>
              <w:t xml:space="preserve"> : </w:t>
            </w:r>
            <w:r w:rsidR="003216EB">
              <w:rPr>
                <w:b/>
              </w:rPr>
              <w:t>13-1-2021</w:t>
            </w:r>
          </w:p>
        </w:tc>
        <w:tc>
          <w:tcPr>
            <w:tcW w:w="4896" w:type="dxa"/>
            <w:shd w:val="clear" w:color="auto" w:fill="FF6600"/>
          </w:tcPr>
          <w:p w:rsidRPr="00E25790" w:rsidR="00115F48" w:rsidP="006F0321" w:rsidRDefault="00115F48" w14:paraId="241F42AD" w14:textId="77777777">
            <w:r w:rsidRPr="00E25790">
              <w:t xml:space="preserve">Approved : </w:t>
            </w:r>
            <w:r w:rsidRPr="00E25790" w:rsidR="006A73CD">
              <w:t>TC, KOH</w:t>
            </w:r>
          </w:p>
        </w:tc>
      </w:tr>
    </w:tbl>
    <w:p w:rsidRPr="00E25790" w:rsidR="00115F48" w:rsidP="006F0321" w:rsidRDefault="00115F48" w14:paraId="643CDBC5"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533"/>
      </w:tblGrid>
      <w:tr w:rsidRPr="003A7895" w:rsidR="00414745" w:rsidTr="00414745" w14:paraId="5A11A771" w14:textId="77777777">
        <w:trPr>
          <w:trHeight w:val="70"/>
        </w:trPr>
        <w:tc>
          <w:tcPr>
            <w:tcW w:w="1702" w:type="dxa"/>
          </w:tcPr>
          <w:p w:rsidRPr="00B53E9B" w:rsidR="00414745" w:rsidP="0059793A" w:rsidRDefault="00414745" w14:paraId="4BE01EB6" w14:textId="77777777">
            <w:pPr>
              <w:pStyle w:val="BodyText"/>
              <w:tabs>
                <w:tab w:val="center" w:pos="1476"/>
              </w:tabs>
              <w:rPr>
                <w:rFonts w:cs="Arial"/>
                <w:b/>
                <w:sz w:val="20"/>
              </w:rPr>
            </w:pPr>
            <w:r w:rsidRPr="00B53E9B">
              <w:rPr>
                <w:rFonts w:cs="Arial"/>
                <w:b/>
                <w:sz w:val="20"/>
              </w:rPr>
              <w:t>Alert</w:t>
            </w:r>
          </w:p>
        </w:tc>
        <w:tc>
          <w:tcPr>
            <w:tcW w:w="8533" w:type="dxa"/>
          </w:tcPr>
          <w:p w:rsidRPr="00473904" w:rsidR="00414745" w:rsidP="0059793A" w:rsidRDefault="00414745" w14:paraId="70071085" w14:textId="77777777">
            <w:pPr>
              <w:pStyle w:val="BodyText"/>
              <w:rPr>
                <w:rFonts w:cs="Arial"/>
                <w:sz w:val="20"/>
              </w:rPr>
            </w:pPr>
            <w:r w:rsidRPr="00473904">
              <w:rPr>
                <w:sz w:val="20"/>
              </w:rPr>
              <w:t xml:space="preserve">The Antimicrobial Stewardship Team recommends this drug </w:t>
            </w:r>
            <w:r>
              <w:rPr>
                <w:sz w:val="20"/>
              </w:rPr>
              <w:t>as</w:t>
            </w:r>
            <w:r w:rsidRPr="00473904">
              <w:rPr>
                <w:sz w:val="20"/>
              </w:rPr>
              <w:t xml:space="preserve">: </w:t>
            </w:r>
            <w:r>
              <w:rPr>
                <w:sz w:val="20"/>
              </w:rPr>
              <w:t>R</w:t>
            </w:r>
            <w:r w:rsidRPr="00473904">
              <w:rPr>
                <w:sz w:val="20"/>
              </w:rPr>
              <w:t>estricted.</w:t>
            </w:r>
          </w:p>
        </w:tc>
      </w:tr>
      <w:tr w:rsidRPr="003A7895" w:rsidR="00414745" w:rsidTr="00414745" w14:paraId="2F72C7CA" w14:textId="77777777">
        <w:trPr>
          <w:trHeight w:val="72"/>
        </w:trPr>
        <w:tc>
          <w:tcPr>
            <w:tcW w:w="1702" w:type="dxa"/>
          </w:tcPr>
          <w:p w:rsidRPr="00B53E9B" w:rsidR="00414745" w:rsidP="0059793A" w:rsidRDefault="00414745" w14:paraId="72516DE5" w14:textId="77777777">
            <w:pPr>
              <w:pStyle w:val="BodyText"/>
              <w:rPr>
                <w:rFonts w:cs="Arial"/>
                <w:sz w:val="20"/>
              </w:rPr>
            </w:pPr>
            <w:r w:rsidRPr="00B53E9B">
              <w:rPr>
                <w:rFonts w:cs="Arial"/>
                <w:b/>
                <w:bCs/>
                <w:sz w:val="20"/>
              </w:rPr>
              <w:t>Indication</w:t>
            </w:r>
          </w:p>
        </w:tc>
        <w:tc>
          <w:tcPr>
            <w:tcW w:w="8533" w:type="dxa"/>
          </w:tcPr>
          <w:p w:rsidRPr="00473904" w:rsidR="00414745" w:rsidP="0059793A" w:rsidRDefault="00414745" w14:paraId="38F1CDD9" w14:textId="77777777">
            <w:pPr>
              <w:rPr>
                <w:sz w:val="20"/>
              </w:rPr>
            </w:pPr>
            <w:r w:rsidRPr="00473904">
              <w:rPr>
                <w:sz w:val="20"/>
              </w:rPr>
              <w:t>Treatment of systemic infection and meningitis caused b</w:t>
            </w:r>
            <w:r>
              <w:rPr>
                <w:sz w:val="20"/>
              </w:rPr>
              <w:t xml:space="preserve">y susceptible </w:t>
            </w:r>
            <w:r w:rsidRPr="007C2FF2">
              <w:rPr>
                <w:i/>
                <w:sz w:val="20"/>
              </w:rPr>
              <w:t>Candida</w:t>
            </w:r>
            <w:r>
              <w:rPr>
                <w:sz w:val="20"/>
              </w:rPr>
              <w:t xml:space="preserve"> species. </w:t>
            </w:r>
            <w:r>
              <w:rPr>
                <w:sz w:val="20"/>
              </w:rPr>
              <w:br/>
            </w:r>
            <w:r>
              <w:rPr>
                <w:sz w:val="20"/>
              </w:rPr>
              <w:t xml:space="preserve">Prophylaxis from </w:t>
            </w:r>
            <w:r w:rsidRPr="007C2FF2">
              <w:rPr>
                <w:i/>
                <w:sz w:val="20"/>
              </w:rPr>
              <w:t xml:space="preserve">Candida </w:t>
            </w:r>
            <w:r>
              <w:rPr>
                <w:sz w:val="20"/>
              </w:rPr>
              <w:t>infection</w:t>
            </w:r>
            <w:r w:rsidRPr="00473904">
              <w:rPr>
                <w:sz w:val="20"/>
              </w:rPr>
              <w:t>.</w:t>
            </w:r>
          </w:p>
        </w:tc>
      </w:tr>
      <w:tr w:rsidRPr="003A7895" w:rsidR="00414745" w:rsidTr="00414745" w14:paraId="137B66FA" w14:textId="77777777">
        <w:trPr>
          <w:trHeight w:val="70"/>
        </w:trPr>
        <w:tc>
          <w:tcPr>
            <w:tcW w:w="1702" w:type="dxa"/>
          </w:tcPr>
          <w:p w:rsidRPr="00B53E9B" w:rsidR="00414745" w:rsidP="0059793A" w:rsidRDefault="00414745" w14:paraId="61674E92" w14:textId="77777777">
            <w:pPr>
              <w:pStyle w:val="BodyText"/>
              <w:rPr>
                <w:rFonts w:cs="Arial"/>
                <w:b/>
                <w:bCs/>
                <w:sz w:val="20"/>
              </w:rPr>
            </w:pPr>
            <w:r w:rsidRPr="00B53E9B">
              <w:rPr>
                <w:rFonts w:cs="Arial"/>
                <w:b/>
                <w:bCs/>
                <w:sz w:val="20"/>
              </w:rPr>
              <w:t>Action</w:t>
            </w:r>
          </w:p>
        </w:tc>
        <w:tc>
          <w:tcPr>
            <w:tcW w:w="8533" w:type="dxa"/>
          </w:tcPr>
          <w:p w:rsidRPr="00473904" w:rsidR="00414745" w:rsidP="0059793A" w:rsidRDefault="00414745" w14:paraId="533E2E19" w14:textId="77777777">
            <w:pPr>
              <w:rPr>
                <w:rFonts w:cs="Arial"/>
                <w:sz w:val="20"/>
              </w:rPr>
            </w:pPr>
            <w:r w:rsidRPr="00473904">
              <w:rPr>
                <w:sz w:val="20"/>
              </w:rPr>
              <w:t>Triazole antifungal which selectively inhibits fungal cytochrome P-450 sterol C-14 alpha demethylation.</w:t>
            </w:r>
          </w:p>
        </w:tc>
      </w:tr>
      <w:tr w:rsidRPr="003A7895" w:rsidR="00414745" w:rsidTr="00414745" w14:paraId="4C72B74C" w14:textId="77777777">
        <w:trPr>
          <w:trHeight w:val="266"/>
        </w:trPr>
        <w:tc>
          <w:tcPr>
            <w:tcW w:w="1702" w:type="dxa"/>
          </w:tcPr>
          <w:p w:rsidRPr="00B53E9B" w:rsidR="00414745" w:rsidP="0059793A" w:rsidRDefault="00414745" w14:paraId="002A3BE6" w14:textId="77777777">
            <w:pPr>
              <w:pStyle w:val="BodyText"/>
              <w:rPr>
                <w:rFonts w:cs="Arial"/>
                <w:sz w:val="20"/>
              </w:rPr>
            </w:pPr>
            <w:r>
              <w:rPr>
                <w:rFonts w:cs="Arial"/>
                <w:b/>
                <w:bCs/>
                <w:sz w:val="20"/>
              </w:rPr>
              <w:t>Drug t</w:t>
            </w:r>
            <w:r w:rsidRPr="00B53E9B">
              <w:rPr>
                <w:rFonts w:cs="Arial"/>
                <w:b/>
                <w:bCs/>
                <w:sz w:val="20"/>
              </w:rPr>
              <w:t>ype</w:t>
            </w:r>
          </w:p>
        </w:tc>
        <w:tc>
          <w:tcPr>
            <w:tcW w:w="8533" w:type="dxa"/>
          </w:tcPr>
          <w:p w:rsidRPr="00473904" w:rsidR="00414745" w:rsidP="0059793A" w:rsidRDefault="00414745" w14:paraId="6F488712" w14:textId="77777777">
            <w:pPr>
              <w:pStyle w:val="BodyText"/>
              <w:rPr>
                <w:rFonts w:cs="Arial"/>
                <w:sz w:val="20"/>
              </w:rPr>
            </w:pPr>
            <w:r w:rsidRPr="00473904">
              <w:rPr>
                <w:sz w:val="20"/>
              </w:rPr>
              <w:t>Antifungal</w:t>
            </w:r>
            <w:r>
              <w:rPr>
                <w:sz w:val="20"/>
              </w:rPr>
              <w:t>.</w:t>
            </w:r>
          </w:p>
        </w:tc>
      </w:tr>
      <w:tr w:rsidRPr="003A7895" w:rsidR="00414745" w:rsidTr="00414745" w14:paraId="4BB443C5" w14:textId="77777777">
        <w:trPr>
          <w:trHeight w:val="114"/>
        </w:trPr>
        <w:tc>
          <w:tcPr>
            <w:tcW w:w="1702" w:type="dxa"/>
          </w:tcPr>
          <w:p w:rsidRPr="00B53E9B" w:rsidR="00414745" w:rsidP="0059793A" w:rsidRDefault="00414745" w14:paraId="67EECD47"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533" w:type="dxa"/>
          </w:tcPr>
          <w:p w:rsidRPr="00473904" w:rsidR="00414745" w:rsidP="0059793A" w:rsidRDefault="00414745" w14:paraId="4F46017F" w14:textId="77777777">
            <w:pPr>
              <w:pStyle w:val="BodyText"/>
              <w:rPr>
                <w:rFonts w:cs="Arial"/>
                <w:sz w:val="20"/>
              </w:rPr>
            </w:pPr>
            <w:r>
              <w:rPr>
                <w:sz w:val="20"/>
              </w:rPr>
              <w:t>IV: Aspen Fluconazole,</w:t>
            </w:r>
            <w:r w:rsidRPr="00473904">
              <w:rPr>
                <w:sz w:val="20"/>
              </w:rPr>
              <w:t xml:space="preserve"> Diflucan</w:t>
            </w:r>
            <w:r>
              <w:rPr>
                <w:sz w:val="20"/>
              </w:rPr>
              <w:t>, Fluconazole Alphapharm, Fluconazole Claris, Fluconazole Hexal, Fluconazole Sandoz, Fluconazole Solution (Baxter). ORAL: Diflucan</w:t>
            </w:r>
          </w:p>
        </w:tc>
      </w:tr>
      <w:tr w:rsidRPr="003A7895" w:rsidR="00414745" w:rsidTr="00414745" w14:paraId="6848266A" w14:textId="77777777">
        <w:trPr>
          <w:trHeight w:val="70"/>
        </w:trPr>
        <w:tc>
          <w:tcPr>
            <w:tcW w:w="1702" w:type="dxa"/>
          </w:tcPr>
          <w:p w:rsidRPr="00B53E9B" w:rsidR="00414745" w:rsidP="0059793A" w:rsidRDefault="00414745" w14:paraId="5D98C637" w14:textId="77777777">
            <w:pPr>
              <w:pStyle w:val="BodyText"/>
              <w:rPr>
                <w:rFonts w:cs="Arial"/>
                <w:b/>
                <w:bCs/>
                <w:sz w:val="20"/>
              </w:rPr>
            </w:pPr>
            <w:r w:rsidRPr="00B53E9B">
              <w:rPr>
                <w:rFonts w:cs="Arial"/>
                <w:b/>
                <w:bCs/>
                <w:sz w:val="20"/>
              </w:rPr>
              <w:t xml:space="preserve">Presentation </w:t>
            </w:r>
          </w:p>
        </w:tc>
        <w:tc>
          <w:tcPr>
            <w:tcW w:w="8533" w:type="dxa"/>
          </w:tcPr>
          <w:p w:rsidRPr="00473904" w:rsidR="00414745" w:rsidP="0059793A" w:rsidRDefault="00414745" w14:paraId="48F90A2A" w14:textId="77777777">
            <w:pPr>
              <w:pStyle w:val="BodyText"/>
              <w:ind w:left="34"/>
              <w:rPr>
                <w:rFonts w:cs="Arial"/>
                <w:sz w:val="20"/>
              </w:rPr>
            </w:pPr>
            <w:r>
              <w:rPr>
                <w:rFonts w:cs="Arial"/>
                <w:sz w:val="20"/>
              </w:rPr>
              <w:t xml:space="preserve">IV: </w:t>
            </w:r>
            <w:r w:rsidRPr="00473904">
              <w:rPr>
                <w:rFonts w:cs="Arial"/>
                <w:sz w:val="20"/>
              </w:rPr>
              <w:t>2</w:t>
            </w:r>
            <w:r>
              <w:rPr>
                <w:rFonts w:cs="Arial"/>
                <w:sz w:val="20"/>
              </w:rPr>
              <w:t xml:space="preserve"> </w:t>
            </w:r>
            <w:r w:rsidRPr="00473904">
              <w:rPr>
                <w:rFonts w:cs="Arial"/>
                <w:sz w:val="20"/>
              </w:rPr>
              <w:t>mg/mL injection</w:t>
            </w:r>
            <w:r>
              <w:rPr>
                <w:rFonts w:cs="Arial"/>
                <w:sz w:val="20"/>
              </w:rPr>
              <w:t xml:space="preserve"> </w:t>
            </w:r>
          </w:p>
          <w:p w:rsidRPr="00473904" w:rsidR="00414745" w:rsidP="0059793A" w:rsidRDefault="00414745" w14:paraId="1507D377" w14:textId="77777777">
            <w:pPr>
              <w:pStyle w:val="BodyText"/>
              <w:ind w:left="34"/>
              <w:rPr>
                <w:rFonts w:cs="Arial"/>
                <w:sz w:val="20"/>
              </w:rPr>
            </w:pPr>
            <w:r>
              <w:rPr>
                <w:rFonts w:cs="Arial"/>
                <w:sz w:val="20"/>
              </w:rPr>
              <w:t xml:space="preserve">ORAL: </w:t>
            </w:r>
            <w:r w:rsidRPr="00473904">
              <w:rPr>
                <w:rFonts w:cs="Arial"/>
                <w:sz w:val="20"/>
              </w:rPr>
              <w:t>50</w:t>
            </w:r>
            <w:r>
              <w:rPr>
                <w:rFonts w:cs="Arial"/>
                <w:sz w:val="20"/>
              </w:rPr>
              <w:t xml:space="preserve"> </w:t>
            </w:r>
            <w:r w:rsidRPr="00473904">
              <w:rPr>
                <w:rFonts w:cs="Arial"/>
                <w:sz w:val="20"/>
              </w:rPr>
              <w:t>mg/</w:t>
            </w:r>
            <w:r>
              <w:rPr>
                <w:rFonts w:cs="Arial"/>
                <w:sz w:val="20"/>
              </w:rPr>
              <w:t xml:space="preserve"> </w:t>
            </w:r>
            <w:r w:rsidRPr="00473904">
              <w:rPr>
                <w:rFonts w:cs="Arial"/>
                <w:sz w:val="20"/>
              </w:rPr>
              <w:t>5</w:t>
            </w:r>
            <w:r>
              <w:rPr>
                <w:rFonts w:cs="Arial"/>
                <w:sz w:val="20"/>
              </w:rPr>
              <w:t xml:space="preserve"> </w:t>
            </w:r>
            <w:r w:rsidRPr="00473904">
              <w:rPr>
                <w:rFonts w:cs="Arial"/>
                <w:sz w:val="20"/>
              </w:rPr>
              <w:t xml:space="preserve">mL </w:t>
            </w:r>
            <w:r>
              <w:rPr>
                <w:rFonts w:cs="Arial"/>
                <w:sz w:val="20"/>
              </w:rPr>
              <w:t xml:space="preserve">powder for reconstitution </w:t>
            </w:r>
          </w:p>
        </w:tc>
      </w:tr>
      <w:tr w:rsidRPr="000E2236" w:rsidR="00414745" w:rsidTr="00414745" w14:paraId="0BF49E71" w14:textId="77777777">
        <w:trPr>
          <w:trHeight w:val="70"/>
        </w:trPr>
        <w:tc>
          <w:tcPr>
            <w:tcW w:w="1702" w:type="dxa"/>
          </w:tcPr>
          <w:p w:rsidRPr="00B53E9B" w:rsidR="00414745" w:rsidP="0059793A" w:rsidRDefault="00414745" w14:paraId="32F69477" w14:textId="77777777">
            <w:pPr>
              <w:pStyle w:val="BodyText"/>
              <w:rPr>
                <w:rFonts w:cs="Arial"/>
                <w:b/>
                <w:bCs/>
                <w:sz w:val="20"/>
              </w:rPr>
            </w:pPr>
            <w:r>
              <w:rPr>
                <w:rFonts w:cs="Arial"/>
                <w:b/>
                <w:bCs/>
                <w:sz w:val="20"/>
              </w:rPr>
              <w:t>Dose</w:t>
            </w:r>
            <w:r w:rsidRPr="00B53E9B">
              <w:rPr>
                <w:rFonts w:cs="Arial"/>
                <w:b/>
                <w:bCs/>
                <w:sz w:val="20"/>
              </w:rPr>
              <w:t xml:space="preserve"> </w:t>
            </w:r>
          </w:p>
        </w:tc>
        <w:tc>
          <w:tcPr>
            <w:tcW w:w="8533" w:type="dxa"/>
          </w:tcPr>
          <w:p w:rsidRPr="00473904" w:rsidR="00414745" w:rsidP="0059793A" w:rsidRDefault="00414745" w14:paraId="38AA588C" w14:textId="77777777">
            <w:pPr>
              <w:pStyle w:val="BodyText"/>
              <w:rPr>
                <w:b/>
                <w:sz w:val="20"/>
              </w:rPr>
            </w:pPr>
            <w:r w:rsidRPr="00473904">
              <w:rPr>
                <w:b/>
                <w:sz w:val="20"/>
              </w:rPr>
              <w:t>TREATMENT</w:t>
            </w:r>
          </w:p>
          <w:p w:rsidRPr="00473904" w:rsidR="00414745" w:rsidP="0059793A" w:rsidRDefault="00414745" w14:paraId="7A13B8FD" w14:textId="77777777">
            <w:pPr>
              <w:pStyle w:val="BodyText"/>
              <w:rPr>
                <w:sz w:val="20"/>
              </w:rPr>
            </w:pPr>
            <w:r w:rsidRPr="00473904">
              <w:rPr>
                <w:sz w:val="20"/>
              </w:rPr>
              <w:t>Loading dose: 25</w:t>
            </w:r>
            <w:r>
              <w:rPr>
                <w:sz w:val="20"/>
              </w:rPr>
              <w:t xml:space="preserve"> </w:t>
            </w:r>
            <w:r w:rsidRPr="00473904">
              <w:rPr>
                <w:sz w:val="20"/>
              </w:rPr>
              <w:t xml:space="preserve">mg/kg </w:t>
            </w:r>
          </w:p>
          <w:p w:rsidRPr="00473904" w:rsidR="00414745" w:rsidP="0059793A" w:rsidRDefault="00414745" w14:paraId="61ACC2B6" w14:textId="77777777">
            <w:pPr>
              <w:pStyle w:val="BodyText"/>
              <w:rPr>
                <w:sz w:val="20"/>
              </w:rPr>
            </w:pPr>
            <w:r w:rsidRPr="00473904">
              <w:rPr>
                <w:sz w:val="20"/>
              </w:rPr>
              <w:t>Maintenance dose: 12</w:t>
            </w:r>
            <w:r>
              <w:rPr>
                <w:sz w:val="20"/>
              </w:rPr>
              <w:t xml:space="preserve"> </w:t>
            </w:r>
            <w:r w:rsidRPr="00473904">
              <w:rPr>
                <w:sz w:val="20"/>
              </w:rPr>
              <w:t>mg/kg DAILY to start 24 hours after loading dose</w:t>
            </w:r>
            <w:r>
              <w:rPr>
                <w:sz w:val="20"/>
              </w:rPr>
              <w:t>.</w:t>
            </w:r>
          </w:p>
          <w:p w:rsidRPr="00473904" w:rsidR="00414745" w:rsidP="0059793A" w:rsidRDefault="00414745" w14:paraId="3BB6A33F" w14:textId="77777777">
            <w:pPr>
              <w:pStyle w:val="BodyText"/>
              <w:rPr>
                <w:sz w:val="20"/>
              </w:rPr>
            </w:pPr>
          </w:p>
          <w:p w:rsidRPr="00473904" w:rsidR="00414745" w:rsidP="0059793A" w:rsidRDefault="00414745" w14:paraId="68A18DA3" w14:textId="77777777">
            <w:pPr>
              <w:pStyle w:val="BodyText"/>
              <w:rPr>
                <w:sz w:val="20"/>
              </w:rPr>
            </w:pPr>
            <w:r w:rsidRPr="00473904">
              <w:rPr>
                <w:sz w:val="20"/>
              </w:rPr>
              <w:t xml:space="preserve">The regimen without a loading dose may take up to 5 </w:t>
            </w:r>
            <w:r>
              <w:rPr>
                <w:sz w:val="20"/>
              </w:rPr>
              <w:t>days to reach steady state. S</w:t>
            </w:r>
            <w:r w:rsidRPr="00473904">
              <w:rPr>
                <w:sz w:val="20"/>
              </w:rPr>
              <w:t>teady state can be reached in 2 days if a loading dose is used</w:t>
            </w:r>
            <w:r>
              <w:rPr>
                <w:sz w:val="20"/>
              </w:rPr>
              <w:t>.</w:t>
            </w:r>
          </w:p>
          <w:p w:rsidRPr="00473904" w:rsidR="00414745" w:rsidP="0059793A" w:rsidRDefault="00414745" w14:paraId="18C399AF" w14:textId="77777777">
            <w:pPr>
              <w:pStyle w:val="BodyText"/>
              <w:rPr>
                <w:sz w:val="20"/>
              </w:rPr>
            </w:pPr>
          </w:p>
          <w:p w:rsidRPr="00473904" w:rsidR="00414745" w:rsidP="0059793A" w:rsidRDefault="00414745" w14:paraId="22EB7E88" w14:textId="77777777">
            <w:pPr>
              <w:pStyle w:val="BodyText"/>
              <w:rPr>
                <w:b/>
                <w:sz w:val="20"/>
              </w:rPr>
            </w:pPr>
            <w:r w:rsidRPr="00473904">
              <w:rPr>
                <w:b/>
                <w:sz w:val="20"/>
              </w:rPr>
              <w:t>PROPHYLAXIS</w:t>
            </w:r>
            <w:r>
              <w:rPr>
                <w:b/>
                <w:sz w:val="20"/>
              </w:rPr>
              <w:t>*</w:t>
            </w:r>
            <w:r w:rsidRPr="00473904">
              <w:rPr>
                <w:b/>
                <w:sz w:val="20"/>
              </w:rPr>
              <w:t xml:space="preserve"> </w:t>
            </w:r>
          </w:p>
          <w:p w:rsidRPr="00473904" w:rsidR="00414745" w:rsidP="0059793A" w:rsidRDefault="00414745" w14:paraId="3F61E479" w14:textId="77777777">
            <w:pPr>
              <w:pStyle w:val="BodyText"/>
              <w:rPr>
                <w:sz w:val="20"/>
              </w:rPr>
            </w:pPr>
            <w:r w:rsidRPr="00473904">
              <w:rPr>
                <w:sz w:val="20"/>
              </w:rPr>
              <w:t>6</w:t>
            </w:r>
            <w:r>
              <w:rPr>
                <w:sz w:val="20"/>
              </w:rPr>
              <w:t xml:space="preserve"> </w:t>
            </w:r>
            <w:r w:rsidRPr="00473904">
              <w:rPr>
                <w:sz w:val="20"/>
              </w:rPr>
              <w:t>mg/kg TWICE per week</w:t>
            </w:r>
          </w:p>
          <w:p w:rsidRPr="00473904" w:rsidR="00414745" w:rsidP="0059793A" w:rsidRDefault="00414745" w14:paraId="2986D139" w14:textId="77777777">
            <w:pPr>
              <w:pStyle w:val="BodyText"/>
              <w:rPr>
                <w:sz w:val="20"/>
              </w:rPr>
            </w:pPr>
          </w:p>
          <w:p w:rsidRPr="00473904" w:rsidR="00414745" w:rsidP="0059793A" w:rsidRDefault="00414745" w14:paraId="34153453" w14:textId="77777777">
            <w:pPr>
              <w:pStyle w:val="BodyText"/>
              <w:rPr>
                <w:sz w:val="20"/>
              </w:rPr>
            </w:pPr>
            <w:r>
              <w:rPr>
                <w:sz w:val="20"/>
              </w:rPr>
              <w:t>*Fluconazole p</w:t>
            </w:r>
            <w:r w:rsidRPr="00473904">
              <w:rPr>
                <w:sz w:val="20"/>
              </w:rPr>
              <w:t>rophyl</w:t>
            </w:r>
            <w:r>
              <w:rPr>
                <w:sz w:val="20"/>
              </w:rPr>
              <w:t xml:space="preserve">axis may be considered in high risk infants following completion of treatment for </w:t>
            </w:r>
            <w:r w:rsidRPr="007C2FF2">
              <w:rPr>
                <w:i/>
                <w:sz w:val="20"/>
              </w:rPr>
              <w:t>Candida</w:t>
            </w:r>
            <w:r>
              <w:rPr>
                <w:sz w:val="20"/>
              </w:rPr>
              <w:t xml:space="preserve"> sepsis but still carrying risk of recurrence – e.g., presence of indwelling catheters and ongoing skin thrush. </w:t>
            </w:r>
          </w:p>
          <w:p w:rsidRPr="00473904" w:rsidR="00414745" w:rsidP="0059793A" w:rsidRDefault="00414745" w14:paraId="2C852BF8" w14:textId="77777777">
            <w:pPr>
              <w:pStyle w:val="BodyText"/>
              <w:rPr>
                <w:b/>
                <w:sz w:val="20"/>
              </w:rPr>
            </w:pPr>
          </w:p>
        </w:tc>
      </w:tr>
      <w:tr w:rsidRPr="003A7895" w:rsidR="00414745" w:rsidTr="00414745" w14:paraId="6A59561A" w14:textId="77777777">
        <w:trPr>
          <w:trHeight w:val="407"/>
        </w:trPr>
        <w:tc>
          <w:tcPr>
            <w:tcW w:w="1702" w:type="dxa"/>
          </w:tcPr>
          <w:p w:rsidRPr="00B53E9B" w:rsidR="00414745" w:rsidP="0059793A" w:rsidRDefault="00414745" w14:paraId="426F0441" w14:textId="77777777">
            <w:pPr>
              <w:pStyle w:val="BodyText"/>
              <w:rPr>
                <w:b/>
                <w:sz w:val="20"/>
              </w:rPr>
            </w:pPr>
            <w:r w:rsidRPr="00B53E9B">
              <w:rPr>
                <w:b/>
                <w:sz w:val="20"/>
              </w:rPr>
              <w:t>Dose adjustment</w:t>
            </w:r>
          </w:p>
        </w:tc>
        <w:tc>
          <w:tcPr>
            <w:tcW w:w="8533" w:type="dxa"/>
          </w:tcPr>
          <w:p w:rsidRPr="00026F20" w:rsidR="00414745" w:rsidP="0059793A" w:rsidRDefault="00414745" w14:paraId="38031C16" w14:textId="77777777">
            <w:pPr>
              <w:pStyle w:val="BodyText"/>
              <w:rPr>
                <w:sz w:val="20"/>
              </w:rPr>
            </w:pPr>
            <w:r>
              <w:rPr>
                <w:sz w:val="20"/>
              </w:rPr>
              <w:t>No information.</w:t>
            </w:r>
          </w:p>
        </w:tc>
      </w:tr>
      <w:tr w:rsidRPr="003A7895" w:rsidR="00414745" w:rsidTr="00414745" w14:paraId="5C671851" w14:textId="77777777">
        <w:trPr>
          <w:trHeight w:val="113"/>
        </w:trPr>
        <w:tc>
          <w:tcPr>
            <w:tcW w:w="1702" w:type="dxa"/>
          </w:tcPr>
          <w:p w:rsidRPr="00B53E9B" w:rsidR="00414745" w:rsidP="0059793A" w:rsidRDefault="00414745" w14:paraId="004902AF" w14:textId="77777777">
            <w:pPr>
              <w:pStyle w:val="BodyText"/>
              <w:rPr>
                <w:b/>
                <w:sz w:val="20"/>
              </w:rPr>
            </w:pPr>
            <w:r w:rsidRPr="00B53E9B">
              <w:rPr>
                <w:b/>
                <w:sz w:val="20"/>
              </w:rPr>
              <w:t>Maximum dose</w:t>
            </w:r>
          </w:p>
        </w:tc>
        <w:tc>
          <w:tcPr>
            <w:tcW w:w="8533" w:type="dxa"/>
          </w:tcPr>
          <w:p w:rsidRPr="00026F20" w:rsidR="00414745" w:rsidP="0059793A" w:rsidRDefault="00414745" w14:paraId="0BF8A1E2" w14:textId="77777777">
            <w:pPr>
              <w:pStyle w:val="BodyText"/>
              <w:rPr>
                <w:sz w:val="20"/>
              </w:rPr>
            </w:pPr>
          </w:p>
        </w:tc>
      </w:tr>
      <w:tr w:rsidRPr="003A7895" w:rsidR="00414745" w:rsidTr="00414745" w14:paraId="6F5668BE" w14:textId="77777777">
        <w:trPr>
          <w:trHeight w:val="144"/>
        </w:trPr>
        <w:tc>
          <w:tcPr>
            <w:tcW w:w="1702" w:type="dxa"/>
          </w:tcPr>
          <w:p w:rsidRPr="00B53E9B" w:rsidR="00414745" w:rsidP="0059793A" w:rsidRDefault="00414745" w14:paraId="7A1CD300" w14:textId="77777777">
            <w:pPr>
              <w:pStyle w:val="BodyText"/>
              <w:rPr>
                <w:rFonts w:cs="Arial"/>
                <w:b/>
                <w:bCs/>
                <w:sz w:val="20"/>
              </w:rPr>
            </w:pPr>
            <w:r w:rsidRPr="00B53E9B">
              <w:rPr>
                <w:b/>
                <w:sz w:val="20"/>
              </w:rPr>
              <w:t>Total cumulative dose</w:t>
            </w:r>
          </w:p>
        </w:tc>
        <w:tc>
          <w:tcPr>
            <w:tcW w:w="8533" w:type="dxa"/>
          </w:tcPr>
          <w:p w:rsidRPr="00026F20" w:rsidR="00414745" w:rsidP="0059793A" w:rsidRDefault="00414745" w14:paraId="3ED79405" w14:textId="77777777">
            <w:pPr>
              <w:pStyle w:val="BodyText"/>
              <w:rPr>
                <w:rFonts w:cs="Arial"/>
                <w:b/>
                <w:sz w:val="20"/>
              </w:rPr>
            </w:pPr>
          </w:p>
        </w:tc>
      </w:tr>
      <w:tr w:rsidRPr="003A7895" w:rsidR="00414745" w:rsidTr="00414745" w14:paraId="75A46DA1" w14:textId="77777777">
        <w:trPr>
          <w:trHeight w:val="294"/>
        </w:trPr>
        <w:tc>
          <w:tcPr>
            <w:tcW w:w="1702" w:type="dxa"/>
          </w:tcPr>
          <w:p w:rsidRPr="00B53E9B" w:rsidR="00414745" w:rsidP="0059793A" w:rsidRDefault="00414745" w14:paraId="60FD3490" w14:textId="77777777">
            <w:pPr>
              <w:pStyle w:val="BodyText"/>
              <w:rPr>
                <w:rFonts w:cs="Arial"/>
                <w:sz w:val="20"/>
              </w:rPr>
            </w:pPr>
            <w:r w:rsidRPr="00B53E9B">
              <w:rPr>
                <w:rFonts w:cs="Arial"/>
                <w:b/>
                <w:bCs/>
                <w:sz w:val="20"/>
              </w:rPr>
              <w:t xml:space="preserve">Route </w:t>
            </w:r>
          </w:p>
        </w:tc>
        <w:tc>
          <w:tcPr>
            <w:tcW w:w="8533" w:type="dxa"/>
          </w:tcPr>
          <w:p w:rsidRPr="00026F20" w:rsidR="00414745" w:rsidP="0059793A" w:rsidRDefault="00414745" w14:paraId="6CD655BF" w14:textId="77777777">
            <w:pPr>
              <w:pStyle w:val="BodyText"/>
              <w:rPr>
                <w:rFonts w:cs="Arial"/>
                <w:sz w:val="20"/>
              </w:rPr>
            </w:pPr>
            <w:r>
              <w:rPr>
                <w:rFonts w:cs="Arial"/>
                <w:sz w:val="20"/>
              </w:rPr>
              <w:t>IV, Oral</w:t>
            </w:r>
          </w:p>
        </w:tc>
      </w:tr>
      <w:tr w:rsidRPr="003A7895" w:rsidR="00414745" w:rsidTr="00414745" w14:paraId="5635C468" w14:textId="77777777">
        <w:trPr>
          <w:trHeight w:val="93"/>
        </w:trPr>
        <w:tc>
          <w:tcPr>
            <w:tcW w:w="1702" w:type="dxa"/>
          </w:tcPr>
          <w:p w:rsidRPr="00B53E9B" w:rsidR="00414745" w:rsidP="0059793A" w:rsidRDefault="00414745" w14:paraId="400EB366"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533" w:type="dxa"/>
          </w:tcPr>
          <w:p w:rsidRPr="00473904" w:rsidR="00414745" w:rsidP="0059793A" w:rsidRDefault="00414745" w14:paraId="0F0517EA" w14:textId="77777777">
            <w:pPr>
              <w:pStyle w:val="BodyText"/>
              <w:rPr>
                <w:rFonts w:cs="Arial"/>
                <w:sz w:val="20"/>
              </w:rPr>
            </w:pPr>
            <w:r>
              <w:rPr>
                <w:rFonts w:cs="Arial"/>
                <w:sz w:val="20"/>
              </w:rPr>
              <w:t>IV: A</w:t>
            </w:r>
            <w:r w:rsidRPr="00473904">
              <w:rPr>
                <w:rFonts w:cs="Arial"/>
                <w:sz w:val="20"/>
              </w:rPr>
              <w:t>dminister 2</w:t>
            </w:r>
            <w:r>
              <w:rPr>
                <w:rFonts w:cs="Arial"/>
                <w:sz w:val="20"/>
              </w:rPr>
              <w:t xml:space="preserve"> mg/mL injection −</w:t>
            </w:r>
            <w:r w:rsidRPr="00473904">
              <w:rPr>
                <w:rFonts w:cs="Arial"/>
                <w:sz w:val="20"/>
              </w:rPr>
              <w:t>no dilution necessary</w:t>
            </w:r>
            <w:r>
              <w:rPr>
                <w:rFonts w:cs="Arial"/>
                <w:sz w:val="20"/>
              </w:rPr>
              <w:t>.</w:t>
            </w:r>
          </w:p>
          <w:p w:rsidRPr="00473904" w:rsidR="00414745" w:rsidP="0059793A" w:rsidRDefault="00414745" w14:paraId="517326E7" w14:textId="77777777">
            <w:pPr>
              <w:pStyle w:val="BodyText"/>
              <w:rPr>
                <w:rFonts w:cs="Arial"/>
                <w:sz w:val="20"/>
              </w:rPr>
            </w:pPr>
          </w:p>
          <w:p w:rsidRPr="00473904" w:rsidR="00414745" w:rsidP="0059793A" w:rsidRDefault="00414745" w14:paraId="49A83CEA" w14:textId="77777777">
            <w:pPr>
              <w:pStyle w:val="BodyText"/>
              <w:rPr>
                <w:rFonts w:cs="Arial"/>
                <w:sz w:val="20"/>
              </w:rPr>
            </w:pPr>
            <w:r w:rsidRPr="00473904">
              <w:rPr>
                <w:rFonts w:cs="Arial"/>
                <w:sz w:val="20"/>
              </w:rPr>
              <w:t xml:space="preserve">Oral: </w:t>
            </w:r>
            <w:r>
              <w:rPr>
                <w:rFonts w:cs="Arial"/>
                <w:sz w:val="20"/>
              </w:rPr>
              <w:t>P</w:t>
            </w:r>
            <w:r w:rsidRPr="00687B33">
              <w:rPr>
                <w:rFonts w:cs="Arial"/>
                <w:sz w:val="20"/>
              </w:rPr>
              <w:t xml:space="preserve">owder normally reconstituted by Pharmacy. </w:t>
            </w:r>
            <w:r>
              <w:t xml:space="preserve"> </w:t>
            </w:r>
            <w:r w:rsidRPr="006D6037">
              <w:rPr>
                <w:rFonts w:cs="Arial"/>
                <w:sz w:val="20"/>
              </w:rPr>
              <w:t>If supplied as dry powder</w:t>
            </w:r>
            <w:r>
              <w:rPr>
                <w:rFonts w:cs="Arial"/>
                <w:sz w:val="20"/>
              </w:rPr>
              <w:t>,</w:t>
            </w:r>
            <w:r w:rsidRPr="006D6037">
              <w:rPr>
                <w:rFonts w:cs="Arial"/>
                <w:sz w:val="20"/>
              </w:rPr>
              <w:t xml:space="preserve"> reconstitute using water for injection with the volume specified on the bottle.</w:t>
            </w:r>
          </w:p>
        </w:tc>
      </w:tr>
      <w:tr w:rsidRPr="003A7895" w:rsidR="00414745" w:rsidTr="00414745" w14:paraId="31E30A8A" w14:textId="77777777">
        <w:trPr>
          <w:trHeight w:val="224"/>
        </w:trPr>
        <w:tc>
          <w:tcPr>
            <w:tcW w:w="1702" w:type="dxa"/>
          </w:tcPr>
          <w:p w:rsidRPr="00B53E9B" w:rsidR="00414745" w:rsidP="0059793A" w:rsidRDefault="00414745" w14:paraId="67BCBD18" w14:textId="77777777">
            <w:pPr>
              <w:pStyle w:val="BodyText"/>
              <w:rPr>
                <w:rFonts w:cs="Arial"/>
                <w:b/>
                <w:bCs/>
                <w:sz w:val="20"/>
              </w:rPr>
            </w:pPr>
            <w:r w:rsidRPr="00B53E9B">
              <w:rPr>
                <w:rFonts w:cs="Arial"/>
                <w:b/>
                <w:bCs/>
                <w:sz w:val="20"/>
              </w:rPr>
              <w:t xml:space="preserve">Administration </w:t>
            </w:r>
          </w:p>
        </w:tc>
        <w:tc>
          <w:tcPr>
            <w:tcW w:w="8533" w:type="dxa"/>
            <w:vAlign w:val="center"/>
          </w:tcPr>
          <w:p w:rsidRPr="00473904" w:rsidR="00414745" w:rsidP="0059793A" w:rsidRDefault="00414745" w14:paraId="4EAF3076" w14:textId="77777777">
            <w:pPr>
              <w:pStyle w:val="BodyText"/>
              <w:rPr>
                <w:rFonts w:cs="Arial"/>
                <w:sz w:val="20"/>
              </w:rPr>
            </w:pPr>
            <w:r w:rsidRPr="00473904">
              <w:rPr>
                <w:sz w:val="20"/>
              </w:rPr>
              <w:t>I</w:t>
            </w:r>
            <w:r>
              <w:rPr>
                <w:sz w:val="20"/>
              </w:rPr>
              <w:t>V: Infusion over 30 minutes</w:t>
            </w:r>
            <w:r w:rsidRPr="00473904">
              <w:rPr>
                <w:sz w:val="20"/>
              </w:rPr>
              <w:t xml:space="preserve">. </w:t>
            </w:r>
            <w:r w:rsidRPr="00473904">
              <w:rPr>
                <w:sz w:val="20"/>
              </w:rPr>
              <w:br/>
            </w:r>
            <w:r w:rsidRPr="00473904">
              <w:rPr>
                <w:sz w:val="20"/>
              </w:rPr>
              <w:br/>
            </w:r>
            <w:r w:rsidRPr="00473904">
              <w:rPr>
                <w:sz w:val="20"/>
              </w:rPr>
              <w:t xml:space="preserve">Oral: Can be given with feeds. Shake reconstituted bottle well before drawing up dose. </w:t>
            </w:r>
          </w:p>
        </w:tc>
      </w:tr>
      <w:tr w:rsidRPr="003A7895" w:rsidR="00414745" w:rsidTr="00414745" w14:paraId="2C0B0F78" w14:textId="77777777">
        <w:trPr>
          <w:trHeight w:val="215"/>
        </w:trPr>
        <w:tc>
          <w:tcPr>
            <w:tcW w:w="1702" w:type="dxa"/>
          </w:tcPr>
          <w:p w:rsidRPr="00B53E9B" w:rsidR="00414745" w:rsidP="0059793A" w:rsidRDefault="00414745" w14:paraId="6E182AA5" w14:textId="77777777">
            <w:pPr>
              <w:pStyle w:val="BodyText"/>
              <w:rPr>
                <w:rFonts w:cs="Arial"/>
                <w:b/>
                <w:bCs/>
                <w:sz w:val="20"/>
              </w:rPr>
            </w:pPr>
            <w:r w:rsidRPr="00B53E9B">
              <w:rPr>
                <w:rFonts w:cs="Arial"/>
                <w:b/>
                <w:bCs/>
                <w:sz w:val="20"/>
              </w:rPr>
              <w:t>Monitoring</w:t>
            </w:r>
          </w:p>
        </w:tc>
        <w:tc>
          <w:tcPr>
            <w:tcW w:w="8533" w:type="dxa"/>
          </w:tcPr>
          <w:p w:rsidRPr="00473904" w:rsidR="00414745" w:rsidP="0059793A" w:rsidRDefault="00414745" w14:paraId="3028E5F7" w14:textId="6EA70829">
            <w:pPr>
              <w:pStyle w:val="BodyText"/>
              <w:rPr>
                <w:rFonts w:cs="Arial"/>
                <w:sz w:val="20"/>
              </w:rPr>
            </w:pPr>
            <w:r>
              <w:rPr>
                <w:sz w:val="20"/>
              </w:rPr>
              <w:t>S</w:t>
            </w:r>
            <w:r w:rsidRPr="00473904">
              <w:rPr>
                <w:sz w:val="20"/>
              </w:rPr>
              <w:t xml:space="preserve">erum creatinine prior to starting therapy. </w:t>
            </w:r>
            <w:r>
              <w:br/>
            </w:r>
            <w:r w:rsidRPr="4B6A90C3" w:rsidR="6840FFED">
              <w:rPr>
                <w:sz w:val="20"/>
              </w:rPr>
              <w:t>Liver</w:t>
            </w:r>
            <w:r>
              <w:rPr>
                <w:sz w:val="20"/>
              </w:rPr>
              <w:t xml:space="preserve"> function, renal function </w:t>
            </w:r>
            <w:r w:rsidRPr="00473904">
              <w:rPr>
                <w:sz w:val="20"/>
              </w:rPr>
              <w:t xml:space="preserve">and </w:t>
            </w:r>
            <w:r>
              <w:rPr>
                <w:sz w:val="20"/>
              </w:rPr>
              <w:t>f</w:t>
            </w:r>
            <w:r w:rsidRPr="00473904">
              <w:rPr>
                <w:sz w:val="20"/>
              </w:rPr>
              <w:t>ull blood count.</w:t>
            </w:r>
          </w:p>
        </w:tc>
      </w:tr>
      <w:tr w:rsidRPr="003A7895" w:rsidR="00414745" w:rsidTr="00414745" w14:paraId="57B056E2" w14:textId="77777777">
        <w:trPr>
          <w:trHeight w:val="342"/>
        </w:trPr>
        <w:tc>
          <w:tcPr>
            <w:tcW w:w="1702" w:type="dxa"/>
          </w:tcPr>
          <w:p w:rsidRPr="00B53E9B" w:rsidR="00414745" w:rsidP="0059793A" w:rsidRDefault="00414745" w14:paraId="3F5D4729" w14:textId="77777777">
            <w:pPr>
              <w:pStyle w:val="BodyText"/>
              <w:rPr>
                <w:rFonts w:cs="Arial"/>
                <w:b/>
                <w:bCs/>
                <w:sz w:val="20"/>
              </w:rPr>
            </w:pPr>
            <w:r w:rsidRPr="00B53E9B">
              <w:rPr>
                <w:rFonts w:cs="Arial"/>
                <w:b/>
                <w:bCs/>
                <w:sz w:val="20"/>
              </w:rPr>
              <w:t>Contraindications</w:t>
            </w:r>
          </w:p>
        </w:tc>
        <w:tc>
          <w:tcPr>
            <w:tcW w:w="8533" w:type="dxa"/>
          </w:tcPr>
          <w:p w:rsidRPr="00473904" w:rsidR="00414745" w:rsidP="0059793A" w:rsidRDefault="00414745" w14:paraId="787FBE31" w14:textId="77777777">
            <w:pPr>
              <w:pStyle w:val="BodyText"/>
              <w:rPr>
                <w:rFonts w:cs="Arial"/>
                <w:sz w:val="20"/>
              </w:rPr>
            </w:pPr>
            <w:r w:rsidRPr="00473904">
              <w:rPr>
                <w:sz w:val="20"/>
              </w:rPr>
              <w:t>Cardiac rhythm prob</w:t>
            </w:r>
            <w:r>
              <w:rPr>
                <w:sz w:val="20"/>
              </w:rPr>
              <w:t>lems as fluconazole may increase QT interval.</w:t>
            </w:r>
            <w:r w:rsidRPr="00473904">
              <w:rPr>
                <w:sz w:val="20"/>
              </w:rPr>
              <w:br/>
            </w:r>
            <w:r w:rsidRPr="00473904">
              <w:rPr>
                <w:sz w:val="20"/>
              </w:rPr>
              <w:t xml:space="preserve">Hypersensitivity to fluconazole or other constituents. </w:t>
            </w:r>
            <w:r w:rsidRPr="00473904">
              <w:rPr>
                <w:sz w:val="20"/>
              </w:rPr>
              <w:br/>
            </w:r>
            <w:r w:rsidRPr="00473904">
              <w:rPr>
                <w:sz w:val="20"/>
              </w:rPr>
              <w:t>Concurrent therapy with other drugs know</w:t>
            </w:r>
            <w:r>
              <w:rPr>
                <w:sz w:val="20"/>
              </w:rPr>
              <w:t>n to prolong the QT interval and those drugs</w:t>
            </w:r>
            <w:r w:rsidRPr="00473904">
              <w:rPr>
                <w:sz w:val="20"/>
              </w:rPr>
              <w:t xml:space="preserve"> which are metabolised via the enzyme CYP3A4 e.g.</w:t>
            </w:r>
            <w:r>
              <w:rPr>
                <w:sz w:val="20"/>
              </w:rPr>
              <w:t>,</w:t>
            </w:r>
            <w:r w:rsidRPr="00473904">
              <w:rPr>
                <w:sz w:val="20"/>
              </w:rPr>
              <w:t xml:space="preserve"> cisapride, erythromycin</w:t>
            </w:r>
            <w:r>
              <w:rPr>
                <w:sz w:val="20"/>
              </w:rPr>
              <w:t>.</w:t>
            </w:r>
          </w:p>
        </w:tc>
      </w:tr>
      <w:tr w:rsidRPr="003A7895" w:rsidR="00414745" w:rsidTr="00414745" w14:paraId="10138876" w14:textId="77777777">
        <w:tc>
          <w:tcPr>
            <w:tcW w:w="1702" w:type="dxa"/>
          </w:tcPr>
          <w:p w:rsidRPr="00B53E9B" w:rsidR="00414745" w:rsidP="0059793A" w:rsidRDefault="00414745" w14:paraId="23020A53" w14:textId="77777777">
            <w:pPr>
              <w:pStyle w:val="BodyText"/>
              <w:rPr>
                <w:rFonts w:cs="Arial"/>
                <w:b/>
                <w:bCs/>
                <w:sz w:val="20"/>
              </w:rPr>
            </w:pPr>
            <w:r w:rsidRPr="00B53E9B">
              <w:rPr>
                <w:sz w:val="20"/>
              </w:rPr>
              <w:lastRenderedPageBreak/>
              <w:br w:type="page"/>
            </w:r>
            <w:r w:rsidRPr="00B53E9B">
              <w:rPr>
                <w:rFonts w:cs="Arial"/>
                <w:b/>
                <w:bCs/>
                <w:sz w:val="20"/>
              </w:rPr>
              <w:t>Precautions</w:t>
            </w:r>
          </w:p>
        </w:tc>
        <w:tc>
          <w:tcPr>
            <w:tcW w:w="8533" w:type="dxa"/>
          </w:tcPr>
          <w:p w:rsidR="00414745" w:rsidP="0059793A" w:rsidRDefault="00414745" w14:paraId="2052CD0C" w14:textId="77777777">
            <w:pPr>
              <w:pStyle w:val="BodyText"/>
              <w:rPr>
                <w:sz w:val="20"/>
              </w:rPr>
            </w:pPr>
            <w:r w:rsidRPr="00473904">
              <w:rPr>
                <w:sz w:val="20"/>
              </w:rPr>
              <w:t>Consider extending dose interval</w:t>
            </w:r>
            <w:r>
              <w:rPr>
                <w:sz w:val="20"/>
              </w:rPr>
              <w:t xml:space="preserve"> to 48 hourly if creatinine &gt; 115 micro</w:t>
            </w:r>
            <w:r w:rsidRPr="00473904">
              <w:rPr>
                <w:sz w:val="20"/>
              </w:rPr>
              <w:t>mol/L</w:t>
            </w:r>
            <w:r>
              <w:rPr>
                <w:sz w:val="20"/>
              </w:rPr>
              <w:t>.</w:t>
            </w:r>
            <w:r w:rsidRPr="00473904">
              <w:rPr>
                <w:sz w:val="20"/>
              </w:rPr>
              <w:t xml:space="preserve"> </w:t>
            </w:r>
            <w:r w:rsidRPr="00473904">
              <w:rPr>
                <w:sz w:val="20"/>
              </w:rPr>
              <w:br/>
            </w:r>
            <w:r w:rsidRPr="00473904">
              <w:rPr>
                <w:sz w:val="20"/>
              </w:rPr>
              <w:t xml:space="preserve">Use with caution in hepatic impairment. </w:t>
            </w:r>
            <w:r w:rsidRPr="00473904">
              <w:rPr>
                <w:sz w:val="20"/>
              </w:rPr>
              <w:br/>
            </w:r>
            <w:r w:rsidRPr="00473904">
              <w:rPr>
                <w:sz w:val="20"/>
              </w:rPr>
              <w:t xml:space="preserve">May precipitate or worsen hyperbilirubinaemia, use with caution. </w:t>
            </w:r>
          </w:p>
          <w:p w:rsidRPr="00473904" w:rsidR="00414745" w:rsidP="0059793A" w:rsidRDefault="00414745" w14:paraId="2391165C" w14:textId="77777777">
            <w:pPr>
              <w:pStyle w:val="BodyText"/>
              <w:rPr>
                <w:rFonts w:cs="Arial"/>
                <w:sz w:val="20"/>
              </w:rPr>
            </w:pPr>
            <w:r>
              <w:rPr>
                <w:rFonts w:cs="Arial"/>
                <w:sz w:val="20"/>
              </w:rPr>
              <w:t>M</w:t>
            </w:r>
            <w:r w:rsidRPr="00832233">
              <w:rPr>
                <w:rFonts w:cs="Arial"/>
                <w:sz w:val="20"/>
              </w:rPr>
              <w:t>ay increase QT interval.</w:t>
            </w:r>
          </w:p>
        </w:tc>
      </w:tr>
      <w:tr w:rsidRPr="003A7895" w:rsidR="00414745" w:rsidTr="00414745" w14:paraId="471906CB" w14:textId="77777777">
        <w:trPr>
          <w:trHeight w:val="70"/>
        </w:trPr>
        <w:tc>
          <w:tcPr>
            <w:tcW w:w="1702" w:type="dxa"/>
          </w:tcPr>
          <w:p w:rsidRPr="00B53E9B" w:rsidR="00414745" w:rsidP="0059793A" w:rsidRDefault="00414745" w14:paraId="5866E3D1"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533" w:type="dxa"/>
          </w:tcPr>
          <w:p w:rsidRPr="00473904" w:rsidR="00414745" w:rsidP="0059793A" w:rsidRDefault="00414745" w14:paraId="7E3EB7AB" w14:textId="77777777">
            <w:pPr>
              <w:pStyle w:val="BodyText"/>
              <w:rPr>
                <w:rFonts w:cs="Arial"/>
                <w:sz w:val="20"/>
              </w:rPr>
            </w:pPr>
            <w:r>
              <w:rPr>
                <w:sz w:val="20"/>
              </w:rPr>
              <w:t>Erythromycin: C</w:t>
            </w:r>
            <w:r w:rsidRPr="00473904">
              <w:rPr>
                <w:sz w:val="20"/>
              </w:rPr>
              <w:t xml:space="preserve">oncurrent use increases the risk of cardiotoxicity (prolonged QT </w:t>
            </w:r>
            <w:r>
              <w:rPr>
                <w:sz w:val="20"/>
              </w:rPr>
              <w:t>interval, torsades des pointes); therefore a</w:t>
            </w:r>
            <w:r w:rsidRPr="00473904">
              <w:rPr>
                <w:sz w:val="20"/>
              </w:rPr>
              <w:t xml:space="preserve">void combination. </w:t>
            </w:r>
            <w:r w:rsidRPr="00473904">
              <w:rPr>
                <w:sz w:val="20"/>
              </w:rPr>
              <w:br/>
            </w:r>
            <w:r w:rsidRPr="00473904">
              <w:rPr>
                <w:sz w:val="20"/>
              </w:rPr>
              <w:t>Barbitur</w:t>
            </w:r>
            <w:r>
              <w:rPr>
                <w:sz w:val="20"/>
              </w:rPr>
              <w:t>ates, caffeine, benzodiazepines and</w:t>
            </w:r>
            <w:r w:rsidRPr="00473904">
              <w:rPr>
                <w:sz w:val="20"/>
              </w:rPr>
              <w:t xml:space="preserve"> phenytoin: </w:t>
            </w:r>
            <w:r>
              <w:rPr>
                <w:sz w:val="20"/>
              </w:rPr>
              <w:t>Serum concentrations</w:t>
            </w:r>
            <w:r w:rsidRPr="00473904">
              <w:rPr>
                <w:sz w:val="20"/>
              </w:rPr>
              <w:t xml:space="preserve"> increased by fluconazole, consider dose redu</w:t>
            </w:r>
            <w:r>
              <w:rPr>
                <w:sz w:val="20"/>
              </w:rPr>
              <w:t>ction and therapeutic drug</w:t>
            </w:r>
            <w:r w:rsidRPr="00473904">
              <w:rPr>
                <w:sz w:val="20"/>
              </w:rPr>
              <w:t xml:space="preserve"> mon</w:t>
            </w:r>
            <w:r>
              <w:rPr>
                <w:sz w:val="20"/>
              </w:rPr>
              <w:t xml:space="preserve">itoring where available. </w:t>
            </w:r>
            <w:r>
              <w:rPr>
                <w:sz w:val="20"/>
              </w:rPr>
              <w:br/>
            </w:r>
            <w:r>
              <w:rPr>
                <w:sz w:val="20"/>
              </w:rPr>
              <w:t>Hydrochlorothiazide: I</w:t>
            </w:r>
            <w:r w:rsidRPr="00473904">
              <w:rPr>
                <w:sz w:val="20"/>
              </w:rPr>
              <w:t>n</w:t>
            </w:r>
            <w:r>
              <w:rPr>
                <w:sz w:val="20"/>
              </w:rPr>
              <w:t>creases fluconazole serum concentration</w:t>
            </w:r>
            <w:r w:rsidRPr="00473904">
              <w:rPr>
                <w:sz w:val="20"/>
              </w:rPr>
              <w:t>, consider dose reduction of fluconazole</w:t>
            </w:r>
            <w:r>
              <w:rPr>
                <w:sz w:val="20"/>
              </w:rPr>
              <w:t xml:space="preserve">. </w:t>
            </w:r>
            <w:r>
              <w:rPr>
                <w:sz w:val="20"/>
              </w:rPr>
              <w:br/>
            </w:r>
            <w:r>
              <w:rPr>
                <w:sz w:val="20"/>
              </w:rPr>
              <w:t>Zidovudine: Concentrations</w:t>
            </w:r>
            <w:r w:rsidRPr="00473904">
              <w:rPr>
                <w:sz w:val="20"/>
              </w:rPr>
              <w:t xml:space="preserve"> are increased by fluconazole; monitor for adverse reactions (anaemia, neutropenia) and extend dose interv</w:t>
            </w:r>
            <w:r>
              <w:rPr>
                <w:sz w:val="20"/>
              </w:rPr>
              <w:t xml:space="preserve">al. </w:t>
            </w:r>
            <w:r>
              <w:rPr>
                <w:sz w:val="20"/>
              </w:rPr>
              <w:br/>
            </w:r>
            <w:r>
              <w:rPr>
                <w:sz w:val="20"/>
              </w:rPr>
              <w:t xml:space="preserve">Cisapride: May precipitate arrhythmias, therefore </w:t>
            </w:r>
            <w:r w:rsidRPr="00473904">
              <w:rPr>
                <w:sz w:val="20"/>
              </w:rPr>
              <w:t>contraindicated.</w:t>
            </w:r>
          </w:p>
        </w:tc>
      </w:tr>
      <w:tr w:rsidRPr="003A7895" w:rsidR="00414745" w:rsidTr="00414745" w14:paraId="27052E8E" w14:textId="77777777">
        <w:trPr>
          <w:trHeight w:val="332"/>
        </w:trPr>
        <w:tc>
          <w:tcPr>
            <w:tcW w:w="1702" w:type="dxa"/>
          </w:tcPr>
          <w:p w:rsidRPr="00B53E9B" w:rsidR="00414745" w:rsidP="0059793A" w:rsidRDefault="00414745" w14:paraId="26267456"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533" w:type="dxa"/>
          </w:tcPr>
          <w:p w:rsidRPr="00473904" w:rsidR="00414745" w:rsidP="0059793A" w:rsidRDefault="00414745" w14:paraId="2C49D1DF" w14:textId="77777777">
            <w:pPr>
              <w:pStyle w:val="BodyText"/>
              <w:rPr>
                <w:rFonts w:cs="Arial"/>
                <w:sz w:val="20"/>
              </w:rPr>
            </w:pPr>
            <w:r>
              <w:rPr>
                <w:sz w:val="20"/>
              </w:rPr>
              <w:t>Rare: R</w:t>
            </w:r>
            <w:r w:rsidRPr="00473904">
              <w:rPr>
                <w:sz w:val="20"/>
              </w:rPr>
              <w:t>ash, elevated LFTs, leucop</w:t>
            </w:r>
            <w:r>
              <w:rPr>
                <w:sz w:val="20"/>
              </w:rPr>
              <w:t>a</w:t>
            </w:r>
            <w:r w:rsidRPr="00473904">
              <w:rPr>
                <w:sz w:val="20"/>
              </w:rPr>
              <w:t>enia including neutrop</w:t>
            </w:r>
            <w:r>
              <w:rPr>
                <w:sz w:val="20"/>
              </w:rPr>
              <w:t>a</w:t>
            </w:r>
            <w:r w:rsidRPr="00473904">
              <w:rPr>
                <w:sz w:val="20"/>
              </w:rPr>
              <w:t>enia</w:t>
            </w:r>
            <w:r>
              <w:rPr>
                <w:sz w:val="20"/>
              </w:rPr>
              <w:t>,</w:t>
            </w:r>
            <w:r w:rsidRPr="00473904">
              <w:rPr>
                <w:sz w:val="20"/>
              </w:rPr>
              <w:t xml:space="preserve"> agranulocytosis and thrombocytop</w:t>
            </w:r>
            <w:r>
              <w:rPr>
                <w:sz w:val="20"/>
              </w:rPr>
              <w:t>a</w:t>
            </w:r>
            <w:r w:rsidRPr="00473904">
              <w:rPr>
                <w:sz w:val="20"/>
              </w:rPr>
              <w:t>enia.</w:t>
            </w:r>
          </w:p>
        </w:tc>
      </w:tr>
      <w:tr w:rsidRPr="003A7895" w:rsidR="00414745" w:rsidTr="00414745" w14:paraId="073BB371" w14:textId="77777777">
        <w:trPr>
          <w:trHeight w:val="180"/>
        </w:trPr>
        <w:tc>
          <w:tcPr>
            <w:tcW w:w="1702" w:type="dxa"/>
          </w:tcPr>
          <w:p w:rsidRPr="00B53E9B" w:rsidR="00414745" w:rsidP="0059793A" w:rsidRDefault="00414745" w14:paraId="0CD7CF90" w14:textId="77777777">
            <w:pPr>
              <w:pStyle w:val="BodyText"/>
              <w:rPr>
                <w:rFonts w:cs="Arial"/>
                <w:b/>
                <w:bCs/>
                <w:sz w:val="20"/>
              </w:rPr>
            </w:pPr>
            <w:r w:rsidRPr="00B53E9B">
              <w:rPr>
                <w:rFonts w:cs="Arial"/>
                <w:b/>
                <w:bCs/>
                <w:sz w:val="20"/>
              </w:rPr>
              <w:t>Compatibility</w:t>
            </w:r>
          </w:p>
        </w:tc>
        <w:tc>
          <w:tcPr>
            <w:tcW w:w="8533" w:type="dxa"/>
          </w:tcPr>
          <w:p w:rsidRPr="00747763" w:rsidR="00414745" w:rsidP="0059793A" w:rsidRDefault="00414745" w14:paraId="4E426FD9" w14:textId="77777777">
            <w:pPr>
              <w:pStyle w:val="BodyText"/>
              <w:rPr>
                <w:sz w:val="16"/>
                <w:szCs w:val="16"/>
              </w:rPr>
            </w:pPr>
            <w:r w:rsidRPr="00747763">
              <w:rPr>
                <w:sz w:val="16"/>
                <w:szCs w:val="16"/>
              </w:rPr>
              <w:t xml:space="preserve">Fluids: Glucose 5%, glucose 10%, sodium chloride 0.9% </w:t>
            </w:r>
            <w:r w:rsidRPr="00747763">
              <w:rPr>
                <w:sz w:val="16"/>
                <w:szCs w:val="16"/>
              </w:rPr>
              <w:br/>
            </w:r>
          </w:p>
          <w:p w:rsidRPr="00747763" w:rsidR="00414745" w:rsidP="0059793A" w:rsidRDefault="00414745" w14:paraId="65C9BBEF" w14:textId="77777777">
            <w:pPr>
              <w:pStyle w:val="BodyText"/>
              <w:rPr>
                <w:sz w:val="16"/>
                <w:szCs w:val="16"/>
              </w:rPr>
            </w:pPr>
            <w:r w:rsidRPr="00747763">
              <w:rPr>
                <w:sz w:val="16"/>
                <w:szCs w:val="16"/>
              </w:rPr>
              <w:t>Y-Site: Amino acid solutions, aciclovir, amifostine, amikacin, aminophylline, amiodarone, anidulafungin, aztreonam, benztropine, bivalirudin, calcium folinate, cefoxitin, ceftaroline fosamil, cephazolin, chlorpromazine, cisatracurium, dexamethasone, dexmedetomidine, dobutamine, dopamine, droperidol, filgrastim, foscarnet, ganciclovir, gentamicin, glyceryl trinitrate, granisetron, heparin sodium, linezolid, metoclopramide, metronidazole, midazolam, morphine sulfate, pancuronium, pethidine, piperacillin-tazobactam (EDTA-free), promethazine, ranitidine, remifentanil, ticarcillin-clavulanate, tacrolimus, tigecycline, tobramycin, vancomycin, vecuronium, zidovudine.</w:t>
            </w:r>
          </w:p>
        </w:tc>
      </w:tr>
      <w:tr w:rsidRPr="003A7895" w:rsidR="00414745" w:rsidTr="00414745" w14:paraId="180DD1AD" w14:textId="77777777">
        <w:trPr>
          <w:trHeight w:val="230"/>
        </w:trPr>
        <w:tc>
          <w:tcPr>
            <w:tcW w:w="1702" w:type="dxa"/>
          </w:tcPr>
          <w:p w:rsidRPr="00B53E9B" w:rsidR="00414745" w:rsidP="0059793A" w:rsidRDefault="00414745" w14:paraId="185FB3F2" w14:textId="77777777">
            <w:pPr>
              <w:pStyle w:val="BodyText"/>
              <w:rPr>
                <w:rFonts w:cs="Arial"/>
                <w:b/>
                <w:bCs/>
                <w:sz w:val="20"/>
              </w:rPr>
            </w:pPr>
            <w:r w:rsidRPr="00B53E9B">
              <w:rPr>
                <w:rFonts w:cs="Arial"/>
                <w:b/>
                <w:bCs/>
                <w:sz w:val="20"/>
              </w:rPr>
              <w:t>Incompatibility</w:t>
            </w:r>
          </w:p>
        </w:tc>
        <w:tc>
          <w:tcPr>
            <w:tcW w:w="8533" w:type="dxa"/>
          </w:tcPr>
          <w:p w:rsidRPr="00473904" w:rsidR="00414745" w:rsidP="0059793A" w:rsidRDefault="00414745" w14:paraId="2A86FFBD" w14:textId="77777777">
            <w:pPr>
              <w:pStyle w:val="BodyText"/>
              <w:rPr>
                <w:rFonts w:cs="Arial"/>
                <w:sz w:val="20"/>
              </w:rPr>
            </w:pPr>
            <w:r>
              <w:rPr>
                <w:sz w:val="20"/>
              </w:rPr>
              <w:t>Y-site: A</w:t>
            </w:r>
            <w:r w:rsidRPr="00473904">
              <w:rPr>
                <w:sz w:val="20"/>
              </w:rPr>
              <w:t>mpicillin, calcium gluconate, cefotaxime, ceftazidime, ceftriaxone, chloramphenicol, clindamycin, dig</w:t>
            </w:r>
            <w:r>
              <w:rPr>
                <w:sz w:val="20"/>
              </w:rPr>
              <w:t>oxin,</w:t>
            </w:r>
            <w:r w:rsidRPr="00473904">
              <w:rPr>
                <w:sz w:val="20"/>
              </w:rPr>
              <w:t xml:space="preserve"> frusemide</w:t>
            </w:r>
            <w:r>
              <w:rPr>
                <w:sz w:val="20"/>
              </w:rPr>
              <w:t xml:space="preserve">, </w:t>
            </w:r>
            <w:r w:rsidRPr="006F08E6">
              <w:rPr>
                <w:sz w:val="20"/>
              </w:rPr>
              <w:t>imipenem-cilastatin, pentamidine</w:t>
            </w:r>
            <w:r w:rsidRPr="00473904">
              <w:rPr>
                <w:sz w:val="20"/>
              </w:rPr>
              <w:t>.</w:t>
            </w:r>
          </w:p>
        </w:tc>
      </w:tr>
      <w:tr w:rsidRPr="003A7895" w:rsidR="00414745" w:rsidTr="00414745" w14:paraId="7EB35EFA" w14:textId="77777777">
        <w:trPr>
          <w:trHeight w:val="79"/>
        </w:trPr>
        <w:tc>
          <w:tcPr>
            <w:tcW w:w="1702" w:type="dxa"/>
          </w:tcPr>
          <w:p w:rsidRPr="00B53E9B" w:rsidR="00414745" w:rsidP="0059793A" w:rsidRDefault="00414745" w14:paraId="65318F6B" w14:textId="77777777">
            <w:pPr>
              <w:pStyle w:val="BodyText"/>
              <w:rPr>
                <w:rFonts w:cs="Arial"/>
                <w:b/>
                <w:bCs/>
                <w:sz w:val="20"/>
              </w:rPr>
            </w:pPr>
            <w:r w:rsidRPr="00B53E9B">
              <w:rPr>
                <w:rFonts w:cs="Arial"/>
                <w:b/>
                <w:bCs/>
                <w:sz w:val="20"/>
              </w:rPr>
              <w:t>Stability</w:t>
            </w:r>
          </w:p>
        </w:tc>
        <w:tc>
          <w:tcPr>
            <w:tcW w:w="8533" w:type="dxa"/>
          </w:tcPr>
          <w:p w:rsidRPr="00473904" w:rsidR="00414745" w:rsidP="0059793A" w:rsidRDefault="00414745" w14:paraId="3957F734" w14:textId="77777777">
            <w:pPr>
              <w:pStyle w:val="BodyText"/>
              <w:rPr>
                <w:rFonts w:cs="Arial"/>
                <w:sz w:val="20"/>
              </w:rPr>
            </w:pPr>
            <w:r>
              <w:rPr>
                <w:sz w:val="20"/>
              </w:rPr>
              <w:t>Vials: D</w:t>
            </w:r>
            <w:r w:rsidRPr="00473904">
              <w:rPr>
                <w:sz w:val="20"/>
              </w:rPr>
              <w:t>iscard remaining contents after use</w:t>
            </w:r>
            <w:r>
              <w:rPr>
                <w:sz w:val="20"/>
              </w:rPr>
              <w:t>.</w:t>
            </w:r>
            <w:r>
              <w:rPr>
                <w:sz w:val="20"/>
              </w:rPr>
              <w:br/>
            </w:r>
            <w:r>
              <w:rPr>
                <w:sz w:val="20"/>
              </w:rPr>
              <w:t>Oral suspension: D</w:t>
            </w:r>
            <w:r w:rsidRPr="00473904">
              <w:rPr>
                <w:sz w:val="20"/>
              </w:rPr>
              <w:t>iscar</w:t>
            </w:r>
            <w:r>
              <w:rPr>
                <w:sz w:val="20"/>
              </w:rPr>
              <w:t>d</w:t>
            </w:r>
            <w:r w:rsidRPr="00473904">
              <w:rPr>
                <w:sz w:val="20"/>
              </w:rPr>
              <w:t xml:space="preserve"> 14 days after reconstitution.</w:t>
            </w:r>
          </w:p>
        </w:tc>
      </w:tr>
      <w:tr w:rsidRPr="003A7895" w:rsidR="00414745" w:rsidTr="00414745" w14:paraId="7C9E1039" w14:textId="77777777">
        <w:trPr>
          <w:trHeight w:val="70"/>
        </w:trPr>
        <w:tc>
          <w:tcPr>
            <w:tcW w:w="1702" w:type="dxa"/>
          </w:tcPr>
          <w:p w:rsidRPr="00B53E9B" w:rsidR="00414745" w:rsidP="0059793A" w:rsidRDefault="00414745" w14:paraId="424F9BE6" w14:textId="77777777">
            <w:pPr>
              <w:pStyle w:val="BodyText"/>
              <w:rPr>
                <w:rFonts w:cs="Arial"/>
                <w:b/>
                <w:bCs/>
                <w:sz w:val="20"/>
              </w:rPr>
            </w:pPr>
            <w:r w:rsidRPr="00B53E9B">
              <w:rPr>
                <w:rFonts w:cs="Arial"/>
                <w:b/>
                <w:bCs/>
                <w:sz w:val="20"/>
              </w:rPr>
              <w:t xml:space="preserve">Storage </w:t>
            </w:r>
          </w:p>
        </w:tc>
        <w:tc>
          <w:tcPr>
            <w:tcW w:w="8533" w:type="dxa"/>
          </w:tcPr>
          <w:p w:rsidRPr="00235479" w:rsidR="00414745" w:rsidP="0059793A" w:rsidRDefault="00414745" w14:paraId="031CA2CC" w14:textId="77777777">
            <w:pPr>
              <w:pStyle w:val="BodyText"/>
              <w:rPr>
                <w:rFonts w:cs="Arial"/>
                <w:sz w:val="20"/>
              </w:rPr>
            </w:pPr>
            <w:r w:rsidRPr="00235479">
              <w:rPr>
                <w:sz w:val="20"/>
              </w:rPr>
              <w:t xml:space="preserve">Vial </w:t>
            </w:r>
            <w:r>
              <w:rPr>
                <w:sz w:val="20"/>
              </w:rPr>
              <w:t>and powder for reconstitution: S</w:t>
            </w:r>
            <w:r w:rsidRPr="00235479">
              <w:rPr>
                <w:sz w:val="20"/>
              </w:rPr>
              <w:t>tore belo</w:t>
            </w:r>
            <w:r>
              <w:rPr>
                <w:sz w:val="20"/>
              </w:rPr>
              <w:t>w 25°C</w:t>
            </w:r>
            <w:r>
              <w:rPr>
                <w:sz w:val="20"/>
              </w:rPr>
              <w:br/>
            </w:r>
            <w:r>
              <w:rPr>
                <w:sz w:val="20"/>
              </w:rPr>
              <w:t>Reconstituted suspension: Store between 5─</w:t>
            </w:r>
            <w:r w:rsidRPr="00235479">
              <w:rPr>
                <w:sz w:val="20"/>
              </w:rPr>
              <w:t>30°C</w:t>
            </w:r>
          </w:p>
        </w:tc>
      </w:tr>
      <w:tr w:rsidRPr="003A7895" w:rsidR="00414745" w:rsidTr="00414745" w14:paraId="3DE94843" w14:textId="77777777">
        <w:trPr>
          <w:trHeight w:val="70"/>
        </w:trPr>
        <w:tc>
          <w:tcPr>
            <w:tcW w:w="1702" w:type="dxa"/>
          </w:tcPr>
          <w:p w:rsidRPr="00B53E9B" w:rsidR="00414745" w:rsidP="0059793A" w:rsidRDefault="00414745" w14:paraId="56E149AD" w14:textId="77777777">
            <w:pPr>
              <w:pStyle w:val="BodyText"/>
              <w:rPr>
                <w:rFonts w:cs="Arial"/>
                <w:b/>
                <w:bCs/>
                <w:sz w:val="20"/>
              </w:rPr>
            </w:pPr>
            <w:r w:rsidRPr="00B53E9B">
              <w:rPr>
                <w:rFonts w:cs="Arial"/>
                <w:b/>
                <w:bCs/>
                <w:sz w:val="20"/>
              </w:rPr>
              <w:t>Excipients</w:t>
            </w:r>
          </w:p>
        </w:tc>
        <w:tc>
          <w:tcPr>
            <w:tcW w:w="8533" w:type="dxa"/>
          </w:tcPr>
          <w:p w:rsidRPr="00026F20" w:rsidR="00414745" w:rsidP="0059793A" w:rsidRDefault="00414745" w14:paraId="1BD46311" w14:textId="77777777">
            <w:pPr>
              <w:pStyle w:val="BodyText"/>
              <w:rPr>
                <w:rFonts w:cs="Arial"/>
                <w:sz w:val="20"/>
              </w:rPr>
            </w:pPr>
          </w:p>
        </w:tc>
      </w:tr>
      <w:tr w:rsidRPr="003A7895" w:rsidR="00414745" w:rsidTr="00414745" w14:paraId="25206484" w14:textId="77777777">
        <w:trPr>
          <w:trHeight w:val="270"/>
        </w:trPr>
        <w:tc>
          <w:tcPr>
            <w:tcW w:w="1702" w:type="dxa"/>
          </w:tcPr>
          <w:p w:rsidRPr="00B53E9B" w:rsidR="00414745" w:rsidP="0059793A" w:rsidRDefault="00414745" w14:paraId="3985F7F3"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533" w:type="dxa"/>
          </w:tcPr>
          <w:p w:rsidRPr="00473904" w:rsidR="00414745" w:rsidP="0059793A" w:rsidRDefault="00414745" w14:paraId="6385F54D" w14:textId="77777777">
            <w:pPr>
              <w:pStyle w:val="BodyText"/>
              <w:rPr>
                <w:rFonts w:cs="Arial"/>
                <w:sz w:val="20"/>
              </w:rPr>
            </w:pPr>
            <w:r>
              <w:rPr>
                <w:sz w:val="20"/>
              </w:rPr>
              <w:t>IV and oral doses are equivalent.</w:t>
            </w:r>
          </w:p>
        </w:tc>
      </w:tr>
      <w:tr w:rsidRPr="003A7895" w:rsidR="00414745" w:rsidTr="00414745" w14:paraId="3A28FDF1" w14:textId="77777777">
        <w:trPr>
          <w:trHeight w:val="280"/>
        </w:trPr>
        <w:tc>
          <w:tcPr>
            <w:tcW w:w="1702" w:type="dxa"/>
          </w:tcPr>
          <w:p w:rsidRPr="00B53E9B" w:rsidR="00414745" w:rsidP="0059793A" w:rsidRDefault="00414745" w14:paraId="66BCD1C0" w14:textId="77777777">
            <w:pPr>
              <w:pStyle w:val="BodyText"/>
              <w:rPr>
                <w:rFonts w:cs="Arial"/>
                <w:b/>
                <w:bCs/>
                <w:sz w:val="20"/>
              </w:rPr>
            </w:pPr>
            <w:r w:rsidRPr="00B53E9B">
              <w:rPr>
                <w:rFonts w:cs="Arial"/>
                <w:b/>
                <w:bCs/>
                <w:sz w:val="20"/>
              </w:rPr>
              <w:t>Evidence</w:t>
            </w:r>
          </w:p>
        </w:tc>
        <w:tc>
          <w:tcPr>
            <w:tcW w:w="8533" w:type="dxa"/>
          </w:tcPr>
          <w:p w:rsidRPr="00414745" w:rsidR="00414745" w:rsidP="0059793A" w:rsidRDefault="00414745" w14:paraId="74C79C9F" w14:textId="77777777">
            <w:pPr>
              <w:pStyle w:val="BodyText"/>
              <w:rPr>
                <w:rFonts w:cs="Arial"/>
                <w:sz w:val="16"/>
                <w:szCs w:val="16"/>
              </w:rPr>
            </w:pPr>
            <w:r w:rsidRPr="00414745">
              <w:rPr>
                <w:rFonts w:cs="Arial"/>
                <w:sz w:val="16"/>
                <w:szCs w:val="16"/>
              </w:rPr>
              <w:t xml:space="preserve">Treatment dose: 12 mg/kg 24 hourly supported by pharmacokinetic data and Monte Carlo simulations (1,2; Grade B). </w:t>
            </w:r>
          </w:p>
          <w:p w:rsidRPr="00414745" w:rsidR="00414745" w:rsidP="0059793A" w:rsidRDefault="00414745" w14:paraId="28D072DA" w14:textId="77777777">
            <w:pPr>
              <w:pStyle w:val="BodyText"/>
              <w:rPr>
                <w:rFonts w:cs="Arial"/>
                <w:sz w:val="16"/>
                <w:szCs w:val="16"/>
              </w:rPr>
            </w:pPr>
            <w:r w:rsidRPr="00414745">
              <w:rPr>
                <w:rFonts w:cs="Arial"/>
                <w:sz w:val="16"/>
                <w:szCs w:val="16"/>
              </w:rPr>
              <w:t>Loading dose: 25 mg/kg loading dose is shown in Monte Carlo simulations to achieve target AUC by day 2 (2; Grade B).</w:t>
            </w:r>
          </w:p>
          <w:p w:rsidRPr="00242F0A" w:rsidR="00414745" w:rsidP="0059793A" w:rsidRDefault="00414745" w14:paraId="5FD2EF08" w14:textId="77777777">
            <w:pPr>
              <w:pStyle w:val="BodyText"/>
              <w:rPr>
                <w:rFonts w:cs="Arial"/>
                <w:sz w:val="20"/>
              </w:rPr>
            </w:pPr>
            <w:r w:rsidRPr="00414745">
              <w:rPr>
                <w:rFonts w:cs="Arial"/>
                <w:sz w:val="16"/>
                <w:szCs w:val="16"/>
              </w:rPr>
              <w:t>Post-treatment prophylaxis – expert opinion by Infectious Disease members of the ANMF consensus Group</w:t>
            </w:r>
            <w:r>
              <w:rPr>
                <w:rFonts w:cs="Arial"/>
                <w:sz w:val="20"/>
              </w:rPr>
              <w:t>.</w:t>
            </w:r>
          </w:p>
        </w:tc>
      </w:tr>
      <w:tr w:rsidRPr="003A7895" w:rsidR="00414745" w:rsidTr="00414745" w14:paraId="7756140B" w14:textId="77777777">
        <w:trPr>
          <w:trHeight w:val="108"/>
        </w:trPr>
        <w:tc>
          <w:tcPr>
            <w:tcW w:w="1702" w:type="dxa"/>
          </w:tcPr>
          <w:p w:rsidRPr="00B53E9B" w:rsidR="00414745" w:rsidP="0059793A" w:rsidRDefault="00414745" w14:paraId="51A2DFF1" w14:textId="77777777">
            <w:pPr>
              <w:pStyle w:val="BodyText"/>
              <w:rPr>
                <w:rFonts w:cs="Arial"/>
                <w:b/>
                <w:bCs/>
                <w:sz w:val="20"/>
              </w:rPr>
            </w:pPr>
            <w:r w:rsidRPr="00B53E9B">
              <w:rPr>
                <w:rFonts w:cs="Arial"/>
                <w:b/>
                <w:bCs/>
                <w:sz w:val="20"/>
              </w:rPr>
              <w:t>Practice points</w:t>
            </w:r>
          </w:p>
        </w:tc>
        <w:tc>
          <w:tcPr>
            <w:tcW w:w="8533" w:type="dxa"/>
          </w:tcPr>
          <w:p w:rsidRPr="00026F20" w:rsidR="00414745" w:rsidP="0059793A" w:rsidRDefault="00414745" w14:paraId="7075EEC6" w14:textId="77777777">
            <w:pPr>
              <w:pStyle w:val="BodyText"/>
              <w:tabs>
                <w:tab w:val="left" w:pos="1168"/>
              </w:tabs>
              <w:rPr>
                <w:rFonts w:cs="Arial"/>
                <w:sz w:val="20"/>
              </w:rPr>
            </w:pPr>
          </w:p>
        </w:tc>
      </w:tr>
      <w:tr w:rsidRPr="003A7895" w:rsidR="00414745" w:rsidTr="00414745" w14:paraId="2B9B2C5A" w14:textId="77777777">
        <w:trPr>
          <w:trHeight w:val="70"/>
        </w:trPr>
        <w:tc>
          <w:tcPr>
            <w:tcW w:w="1702" w:type="dxa"/>
          </w:tcPr>
          <w:p w:rsidRPr="00B53E9B" w:rsidR="00414745" w:rsidP="0059793A" w:rsidRDefault="00414745" w14:paraId="3C4BDC6A" w14:textId="77777777">
            <w:pPr>
              <w:pStyle w:val="BodyText"/>
              <w:rPr>
                <w:rFonts w:cs="Arial"/>
                <w:b/>
                <w:bCs/>
                <w:sz w:val="20"/>
              </w:rPr>
            </w:pPr>
            <w:r w:rsidRPr="00B53E9B">
              <w:rPr>
                <w:b/>
                <w:sz w:val="20"/>
              </w:rPr>
              <w:t>References</w:t>
            </w:r>
          </w:p>
        </w:tc>
        <w:tc>
          <w:tcPr>
            <w:tcW w:w="8533" w:type="dxa"/>
          </w:tcPr>
          <w:p w:rsidRPr="00414745" w:rsidR="00414745" w:rsidP="0059793A" w:rsidRDefault="00414745" w14:paraId="45539012" w14:textId="77777777">
            <w:pPr>
              <w:rPr>
                <w:rFonts w:cs="Arial"/>
                <w:sz w:val="16"/>
                <w:szCs w:val="16"/>
              </w:rPr>
            </w:pPr>
            <w:r w:rsidRPr="00414745">
              <w:rPr>
                <w:sz w:val="16"/>
                <w:szCs w:val="16"/>
              </w:rPr>
              <w:t>1.</w:t>
            </w:r>
            <w:r w:rsidRPr="00414745">
              <w:rPr>
                <w:rFonts w:cs="Arial"/>
                <w:sz w:val="16"/>
                <w:szCs w:val="16"/>
              </w:rPr>
              <w:t xml:space="preserve"> Wade KC. et al. (2008) Population Pharmacokinetics of Fluconazole in Young Infants, Antimicrobial Agents and Chemotherapy, vol.52; 11, p. 4043–4049.</w:t>
            </w:r>
          </w:p>
          <w:p w:rsidRPr="00414745" w:rsidR="00414745" w:rsidP="0059793A" w:rsidRDefault="00414745" w14:paraId="31CAD9E8" w14:textId="77777777">
            <w:pPr>
              <w:rPr>
                <w:rFonts w:cs="Arial"/>
                <w:sz w:val="16"/>
                <w:szCs w:val="16"/>
              </w:rPr>
            </w:pPr>
            <w:r w:rsidRPr="00414745">
              <w:rPr>
                <w:rFonts w:cs="Arial"/>
                <w:sz w:val="16"/>
                <w:szCs w:val="16"/>
              </w:rPr>
              <w:t>2. Wade KC. et al. (2009) Fluconazole Dosing for the Prevention or Treatment of Invasive Candidiasis in Young Infants, The Paediatric Infectious Disease Journal, vol. 28; 8, 717–723.</w:t>
            </w:r>
          </w:p>
          <w:p w:rsidRPr="00414745" w:rsidR="00414745" w:rsidP="0059793A" w:rsidRDefault="00414745" w14:paraId="4E166B2D" w14:textId="77777777">
            <w:pPr>
              <w:rPr>
                <w:rFonts w:cs="Arial"/>
                <w:sz w:val="16"/>
                <w:szCs w:val="16"/>
              </w:rPr>
            </w:pPr>
            <w:r w:rsidRPr="00414745">
              <w:rPr>
                <w:rFonts w:cs="Arial"/>
                <w:sz w:val="16"/>
                <w:szCs w:val="16"/>
              </w:rPr>
              <w:t>3. Saxen H. et al.(1993) Pharmacokinetics of fluconazole in very low birth weight infants during the first two weeks of life, Clinical Pharmacology &amp; Therapeutics, vol. 53; 3, 269–277.</w:t>
            </w:r>
          </w:p>
          <w:p w:rsidRPr="00414745" w:rsidR="00414745" w:rsidP="0059793A" w:rsidRDefault="00414745" w14:paraId="4D1A8BA4" w14:textId="77777777">
            <w:pPr>
              <w:rPr>
                <w:rFonts w:cs="Arial"/>
                <w:sz w:val="16"/>
                <w:szCs w:val="16"/>
              </w:rPr>
            </w:pPr>
            <w:r w:rsidRPr="00414745">
              <w:rPr>
                <w:rFonts w:cs="Arial"/>
                <w:sz w:val="16"/>
                <w:szCs w:val="16"/>
              </w:rPr>
              <w:t>4. Wenzl TG. et al. (1998) Pharmacokinetics of oral fluconazole in premature infants, Eur J Pediatr, 157:661–662.</w:t>
            </w:r>
          </w:p>
          <w:p w:rsidRPr="00414745" w:rsidR="00414745" w:rsidP="0059793A" w:rsidRDefault="00414745" w14:paraId="0E6BFACF" w14:textId="77777777">
            <w:pPr>
              <w:rPr>
                <w:rFonts w:cs="Arial"/>
                <w:sz w:val="16"/>
                <w:szCs w:val="16"/>
              </w:rPr>
            </w:pPr>
            <w:r w:rsidRPr="00414745">
              <w:rPr>
                <w:rFonts w:cs="Arial"/>
                <w:sz w:val="16"/>
                <w:szCs w:val="16"/>
              </w:rPr>
              <w:t>5. Nahata MC, Tallian KB, Force RW. Pharmacokinetics of fluconazole in young infants. Eur J Drug Metab Pharmacokinet. 1999;24(2):155–157.</w:t>
            </w:r>
          </w:p>
          <w:p w:rsidRPr="00414745" w:rsidR="00414745" w:rsidP="0059793A" w:rsidRDefault="00414745" w14:paraId="5F817DB6" w14:textId="77777777">
            <w:pPr>
              <w:rPr>
                <w:rFonts w:cs="Arial"/>
                <w:sz w:val="16"/>
                <w:szCs w:val="16"/>
              </w:rPr>
            </w:pPr>
            <w:r w:rsidRPr="00414745">
              <w:rPr>
                <w:rFonts w:cs="Arial"/>
                <w:sz w:val="16"/>
                <w:szCs w:val="16"/>
              </w:rPr>
              <w:t xml:space="preserve">6. Takemoto CK et al. (2013) Pediatric &amp; Neonatal Dosage Handbook 20th Edition, page 795–798 </w:t>
            </w:r>
          </w:p>
          <w:p w:rsidRPr="00414745" w:rsidR="00414745" w:rsidP="0059793A" w:rsidRDefault="00414745" w14:paraId="05C096E6" w14:textId="77777777">
            <w:pPr>
              <w:rPr>
                <w:rFonts w:cs="Arial"/>
                <w:sz w:val="16"/>
                <w:szCs w:val="16"/>
              </w:rPr>
            </w:pPr>
            <w:r w:rsidRPr="00414745">
              <w:rPr>
                <w:rFonts w:cs="Arial"/>
                <w:sz w:val="16"/>
                <w:szCs w:val="16"/>
              </w:rPr>
              <w:t>7. Trissel’s IV Compatibility, accessed 04/08/2015 via Micromedex 2.0</w:t>
            </w:r>
          </w:p>
          <w:p w:rsidRPr="00414745" w:rsidR="00414745" w:rsidP="0059793A" w:rsidRDefault="00414745" w14:paraId="4869989F" w14:textId="77777777">
            <w:pPr>
              <w:rPr>
                <w:rFonts w:cs="Arial"/>
                <w:sz w:val="16"/>
                <w:szCs w:val="16"/>
              </w:rPr>
            </w:pPr>
            <w:r w:rsidRPr="00414745">
              <w:rPr>
                <w:rFonts w:cs="Arial"/>
                <w:sz w:val="16"/>
                <w:szCs w:val="16"/>
              </w:rPr>
              <w:t>8. Society of Hospital Pharmacists of Australia (2015) Australian Injectable Drugs Handbook 6th Edition, Fluconazole Monograph.</w:t>
            </w:r>
          </w:p>
          <w:p w:rsidRPr="00414745" w:rsidR="00414745" w:rsidP="0059793A" w:rsidRDefault="00414745" w14:paraId="1610E5E7" w14:textId="77777777">
            <w:pPr>
              <w:rPr>
                <w:rFonts w:cs="Arial"/>
                <w:sz w:val="16"/>
                <w:szCs w:val="16"/>
              </w:rPr>
            </w:pPr>
            <w:r w:rsidRPr="00414745">
              <w:rPr>
                <w:rFonts w:cs="Arial"/>
                <w:sz w:val="16"/>
                <w:szCs w:val="16"/>
              </w:rPr>
              <w:t>9. MIMs Product Information Fluconazole Sandoz Injection Product Information, Sandoz. MIMS online. Accessed on 13 January 2021</w:t>
            </w:r>
          </w:p>
          <w:p w:rsidRPr="00242F0A" w:rsidR="00414745" w:rsidP="0059793A" w:rsidRDefault="00414745" w14:paraId="2150961A" w14:textId="77777777">
            <w:pPr>
              <w:rPr>
                <w:sz w:val="20"/>
              </w:rPr>
            </w:pPr>
            <w:r w:rsidRPr="00414745">
              <w:rPr>
                <w:rFonts w:cs="Arial"/>
                <w:sz w:val="16"/>
                <w:szCs w:val="16"/>
              </w:rPr>
              <w:t xml:space="preserve">10. </w:t>
            </w:r>
            <w:r w:rsidRPr="00414745">
              <w:rPr>
                <w:sz w:val="16"/>
                <w:szCs w:val="16"/>
              </w:rPr>
              <w:t>Micromedex solutions. Accessed on 29</w:t>
            </w:r>
            <w:r w:rsidRPr="00414745">
              <w:rPr>
                <w:sz w:val="16"/>
                <w:szCs w:val="16"/>
                <w:vertAlign w:val="superscript"/>
              </w:rPr>
              <w:t>th</w:t>
            </w:r>
            <w:r w:rsidRPr="00414745">
              <w:rPr>
                <w:sz w:val="16"/>
                <w:szCs w:val="16"/>
              </w:rPr>
              <w:t xml:space="preserve"> July 2015.</w:t>
            </w:r>
          </w:p>
        </w:tc>
      </w:tr>
    </w:tbl>
    <w:p w:rsidR="006A73CD" w:rsidP="006F0321" w:rsidRDefault="006A73CD" w14:paraId="026B90AE"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9"/>
        <w:gridCol w:w="23"/>
        <w:gridCol w:w="3287"/>
        <w:gridCol w:w="772"/>
        <w:gridCol w:w="94"/>
        <w:gridCol w:w="178"/>
        <w:gridCol w:w="1639"/>
        <w:gridCol w:w="1204"/>
        <w:gridCol w:w="1875"/>
        <w:gridCol w:w="288"/>
        <w:gridCol w:w="846"/>
      </w:tblGrid>
      <w:tr w:rsidRPr="003A7895" w:rsidR="00E424B4" w:rsidTr="00747763" w14:paraId="3FB42D5D" w14:textId="77777777">
        <w:tc>
          <w:tcPr>
            <w:tcW w:w="4111" w:type="dxa"/>
            <w:gridSpan w:val="4"/>
            <w:vAlign w:val="center"/>
          </w:tcPr>
          <w:p w:rsidRPr="003A7895" w:rsidR="009E67FF" w:rsidP="00B97D99" w:rsidRDefault="009E67FF" w14:paraId="739A19E8" w14:textId="2044122B">
            <w:r w:rsidRPr="003A7895">
              <w:t xml:space="preserve">Original version Date: </w:t>
            </w:r>
            <w:r w:rsidR="009B62CE">
              <w:t>28/8/2015</w:t>
            </w:r>
          </w:p>
        </w:tc>
        <w:tc>
          <w:tcPr>
            <w:tcW w:w="6124" w:type="dxa"/>
            <w:gridSpan w:val="7"/>
            <w:vAlign w:val="center"/>
          </w:tcPr>
          <w:p w:rsidRPr="003A7895" w:rsidR="009E67FF" w:rsidP="00B97D99" w:rsidRDefault="009E67FF" w14:paraId="79E0CA0C" w14:textId="77777777">
            <w:r>
              <w:t>Author: Neonatal Medicines Formulary Consensus Group</w:t>
            </w:r>
          </w:p>
        </w:tc>
      </w:tr>
      <w:tr w:rsidRPr="003A7895" w:rsidR="00E424B4" w:rsidTr="00747763" w14:paraId="33440B36" w14:textId="77777777">
        <w:tc>
          <w:tcPr>
            <w:tcW w:w="4111" w:type="dxa"/>
            <w:gridSpan w:val="4"/>
            <w:vAlign w:val="center"/>
          </w:tcPr>
          <w:p w:rsidRPr="003A7895" w:rsidR="009E67FF" w:rsidP="00B97D99" w:rsidRDefault="009E67FF" w14:paraId="7E3D1E20" w14:textId="4E89B4E1">
            <w:pPr>
              <w:rPr>
                <w:bCs/>
              </w:rPr>
            </w:pPr>
            <w:r w:rsidRPr="003A7895">
              <w:t xml:space="preserve">Current Version number:  </w:t>
            </w:r>
            <w:r w:rsidR="009B62CE">
              <w:t>2</w:t>
            </w:r>
          </w:p>
        </w:tc>
        <w:tc>
          <w:tcPr>
            <w:tcW w:w="6124" w:type="dxa"/>
            <w:gridSpan w:val="7"/>
            <w:vAlign w:val="center"/>
          </w:tcPr>
          <w:p w:rsidRPr="003A7895" w:rsidR="009E67FF" w:rsidP="00B97D99" w:rsidRDefault="009E67FF" w14:paraId="09B9AD8F" w14:textId="1F718FD2">
            <w:r w:rsidRPr="003A7895">
              <w:t xml:space="preserve">Version Date:  </w:t>
            </w:r>
            <w:r w:rsidR="008E3501">
              <w:t>13/1/2021</w:t>
            </w:r>
          </w:p>
        </w:tc>
      </w:tr>
      <w:tr w:rsidRPr="003A7895" w:rsidR="00E424B4" w:rsidTr="00747763" w14:paraId="58C37526" w14:textId="77777777">
        <w:tc>
          <w:tcPr>
            <w:tcW w:w="4111" w:type="dxa"/>
            <w:gridSpan w:val="4"/>
            <w:vAlign w:val="center"/>
          </w:tcPr>
          <w:p w:rsidRPr="003A7895" w:rsidR="009E67FF" w:rsidP="00B97D99" w:rsidRDefault="009E67FF" w14:paraId="546EDC4D" w14:textId="5CCEDC60">
            <w:r>
              <w:t xml:space="preserve">Risk Rating: </w:t>
            </w:r>
            <w:r w:rsidR="008E3501">
              <w:t>Low</w:t>
            </w:r>
          </w:p>
        </w:tc>
        <w:tc>
          <w:tcPr>
            <w:tcW w:w="6124" w:type="dxa"/>
            <w:gridSpan w:val="7"/>
            <w:vAlign w:val="center"/>
          </w:tcPr>
          <w:p w:rsidRPr="003A7895" w:rsidR="009E67FF" w:rsidP="00B97D99" w:rsidRDefault="009E67FF" w14:paraId="3C064CF7" w14:textId="3B86FA05">
            <w:r w:rsidRPr="003A7895">
              <w:t xml:space="preserve">Due for Review:  </w:t>
            </w:r>
            <w:r w:rsidR="008E3501">
              <w:t>13/1/2026</w:t>
            </w:r>
          </w:p>
        </w:tc>
      </w:tr>
      <w:tr w:rsidRPr="003A7895" w:rsidR="009B62CE" w:rsidTr="00747763" w14:paraId="11B82F7E" w14:textId="77777777">
        <w:trPr>
          <w:trHeight w:val="344"/>
        </w:trPr>
        <w:tc>
          <w:tcPr>
            <w:tcW w:w="4111" w:type="dxa"/>
            <w:gridSpan w:val="4"/>
            <w:tcBorders>
              <w:bottom w:val="single" w:color="auto" w:sz="4" w:space="0"/>
            </w:tcBorders>
            <w:vAlign w:val="center"/>
          </w:tcPr>
          <w:p w:rsidRPr="003A7895" w:rsidR="009E67FF" w:rsidP="00B97D99" w:rsidRDefault="009E67FF" w14:paraId="5D720F57" w14:textId="77777777">
            <w:r w:rsidRPr="003A7895">
              <w:t>Approv</w:t>
            </w:r>
            <w:r>
              <w:t xml:space="preserve">al </w:t>
            </w:r>
            <w:r w:rsidRPr="003A7895">
              <w:t>by</w:t>
            </w:r>
            <w:r>
              <w:t>: DTC</w:t>
            </w:r>
          </w:p>
        </w:tc>
        <w:tc>
          <w:tcPr>
            <w:tcW w:w="6124" w:type="dxa"/>
            <w:gridSpan w:val="7"/>
            <w:tcBorders>
              <w:bottom w:val="single" w:color="auto" w:sz="4" w:space="0"/>
            </w:tcBorders>
            <w:vAlign w:val="center"/>
          </w:tcPr>
          <w:p w:rsidRPr="003A7895" w:rsidR="009E67FF" w:rsidP="00B97D99" w:rsidRDefault="009E67FF" w14:paraId="7BC362F4" w14:textId="4BBD794F">
            <w:r w:rsidRPr="003A7895">
              <w:t>Approval Date:</w:t>
            </w:r>
            <w:r>
              <w:t xml:space="preserve"> </w:t>
            </w:r>
            <w:r w:rsidR="00260BC8">
              <w:t>APRIL 2021</w:t>
            </w:r>
          </w:p>
        </w:tc>
      </w:tr>
      <w:tr w:rsidRPr="00E25790" w:rsidR="00E424B4" w:rsidTr="00747763" w14:paraId="30368A8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2"/>
          <w:gridAfter w:val="2"/>
          <w:wBefore w:w="52" w:type="dxa"/>
          <w:wAfter w:w="1134" w:type="dxa"/>
          <w:cantSplit/>
          <w:trHeight w:val="720"/>
        </w:trPr>
        <w:tc>
          <w:tcPr>
            <w:tcW w:w="9049" w:type="dxa"/>
            <w:gridSpan w:val="7"/>
            <w:tcBorders>
              <w:top w:val="double" w:color="auto" w:sz="6" w:space="0"/>
              <w:left w:val="double" w:color="auto" w:sz="6" w:space="0"/>
              <w:bottom w:val="double" w:color="auto" w:sz="6" w:space="0"/>
              <w:right w:val="double" w:color="auto" w:sz="6" w:space="0"/>
            </w:tcBorders>
            <w:shd w:val="clear" w:color="auto" w:fill="FFFF00"/>
          </w:tcPr>
          <w:p w:rsidRPr="00E25790" w:rsidR="009C41BD" w:rsidP="00063344" w:rsidRDefault="009C41BD" w14:paraId="7174FDB9" w14:textId="6FF0B17E">
            <w:pPr>
              <w:pStyle w:val="Heading1"/>
            </w:pPr>
            <w:bookmarkStart w:name="_Toc75339973" w:id="250"/>
            <w:bookmarkStart w:name="_Hlk74135418" w:id="251"/>
            <w:r>
              <w:lastRenderedPageBreak/>
              <w:t>Fluids- Adjusting the content of bags</w:t>
            </w:r>
            <w:bookmarkEnd w:id="250"/>
            <w:r w:rsidRPr="00E25790">
              <w:fldChar w:fldCharType="begin"/>
            </w:r>
            <w:r w:rsidRPr="00E25790">
              <w:instrText>tc "Flumazenil" \l 0</w:instrText>
            </w:r>
            <w:r w:rsidRPr="00E25790">
              <w:fldChar w:fldCharType="end"/>
            </w:r>
          </w:p>
        </w:tc>
      </w:tr>
      <w:tr w:rsidRPr="00E25790" w:rsidR="00301F45" w:rsidTr="00747763" w14:paraId="22937EF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2"/>
          <w:gridAfter w:val="2"/>
          <w:wBefore w:w="52" w:type="dxa"/>
          <w:wAfter w:w="1134" w:type="dxa"/>
          <w:cantSplit/>
          <w:trHeight w:val="480"/>
        </w:trPr>
        <w:tc>
          <w:tcPr>
            <w:tcW w:w="4153" w:type="dxa"/>
            <w:gridSpan w:val="3"/>
            <w:tcBorders>
              <w:top w:val="double" w:color="auto" w:sz="6" w:space="0"/>
              <w:left w:val="double" w:color="auto" w:sz="6" w:space="0"/>
              <w:bottom w:val="double" w:color="auto" w:sz="6" w:space="0"/>
              <w:right w:val="single" w:color="auto" w:sz="6" w:space="0"/>
            </w:tcBorders>
            <w:shd w:val="clear" w:color="auto" w:fill="FFFF00"/>
          </w:tcPr>
          <w:p w:rsidRPr="00E25790" w:rsidR="009C41BD" w:rsidP="00063344" w:rsidRDefault="009C41BD" w14:paraId="376C7112" w14:textId="6A45874F">
            <w:r w:rsidRPr="00E25790">
              <w:t xml:space="preserve">Revision Date : </w:t>
            </w:r>
            <w:r w:rsidR="002246A9">
              <w:t>22-6-2021</w:t>
            </w:r>
          </w:p>
        </w:tc>
        <w:tc>
          <w:tcPr>
            <w:tcW w:w="4896" w:type="dxa"/>
            <w:gridSpan w:val="4"/>
            <w:tcBorders>
              <w:top w:val="double" w:color="auto" w:sz="6" w:space="0"/>
              <w:left w:val="single" w:color="auto" w:sz="6" w:space="0"/>
              <w:bottom w:val="double" w:color="auto" w:sz="6" w:space="0"/>
              <w:right w:val="double" w:color="auto" w:sz="6" w:space="0"/>
            </w:tcBorders>
            <w:shd w:val="clear" w:color="auto" w:fill="FFFF00"/>
          </w:tcPr>
          <w:p w:rsidRPr="00E25790" w:rsidR="009C41BD" w:rsidP="00063344" w:rsidRDefault="009C41BD" w14:paraId="563AA331" w14:textId="14B9B642">
            <w:r w:rsidRPr="00E25790">
              <w:t xml:space="preserve">Approved : </w:t>
            </w:r>
            <w:r w:rsidR="002246A9">
              <w:t>TC, Tim C</w:t>
            </w:r>
          </w:p>
        </w:tc>
      </w:tr>
      <w:tr w:rsidRPr="00AF5416" w:rsidR="00AF5416" w:rsidTr="00747763" w14:paraId="02E0918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9360" w:type="dxa"/>
            <w:gridSpan w:val="9"/>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4349D797"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To prepare 500 mL</w:t>
            </w:r>
          </w:p>
        </w:tc>
      </w:tr>
      <w:tr w:rsidRPr="00AF5416" w:rsidR="00273A16" w:rsidTr="00747763" w14:paraId="4E467C5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C3AA693"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Fluid to be</w:t>
            </w:r>
            <w:r w:rsidRPr="00AF5416">
              <w:rPr>
                <w:rFonts w:ascii="Tahoma" w:hAnsi="Tahoma" w:cs="Tahoma"/>
                <w:b/>
                <w:bCs/>
                <w:color w:val="3D5567"/>
                <w:sz w:val="20"/>
                <w:lang w:val="en-AU" w:eastAsia="en-AU"/>
              </w:rPr>
              <w:br/>
            </w:r>
            <w:r w:rsidRPr="00AF5416">
              <w:rPr>
                <w:rFonts w:ascii="Tahoma" w:hAnsi="Tahoma" w:cs="Tahoma"/>
                <w:b/>
                <w:bCs/>
                <w:color w:val="3D5567"/>
                <w:sz w:val="20"/>
                <w:lang w:val="en-AU" w:eastAsia="en-AU"/>
              </w:rPr>
              <w:t>prepared</w:t>
            </w:r>
          </w:p>
        </w:tc>
        <w:tc>
          <w:tcPr>
            <w:tcW w:w="1044" w:type="dxa"/>
            <w:gridSpan w:val="3"/>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11555C1"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Fluid bag</w:t>
            </w:r>
            <w:r w:rsidRPr="00AF5416">
              <w:rPr>
                <w:rFonts w:ascii="Tahoma" w:hAnsi="Tahoma" w:cs="Tahoma"/>
                <w:b/>
                <w:bCs/>
                <w:color w:val="3D5567"/>
                <w:sz w:val="20"/>
                <w:lang w:val="en-AU" w:eastAsia="en-AU"/>
              </w:rPr>
              <w:br/>
            </w:r>
            <w:r w:rsidRPr="00AF5416">
              <w:rPr>
                <w:rFonts w:ascii="Tahoma" w:hAnsi="Tahoma" w:cs="Tahoma"/>
                <w:b/>
                <w:bCs/>
                <w:color w:val="3D5567"/>
                <w:sz w:val="20"/>
                <w:lang w:val="en-AU" w:eastAsia="en-AU"/>
              </w:rPr>
              <w:t>(500 mL)</w:t>
            </w:r>
          </w:p>
        </w:tc>
        <w:tc>
          <w:tcPr>
            <w:tcW w:w="1639"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5A87C3B9"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Volume to</w:t>
            </w:r>
            <w:r w:rsidRPr="00AF5416">
              <w:rPr>
                <w:rFonts w:ascii="Tahoma" w:hAnsi="Tahoma" w:cs="Tahoma"/>
                <w:b/>
                <w:bCs/>
                <w:color w:val="3D5567"/>
                <w:sz w:val="20"/>
                <w:lang w:val="en-AU" w:eastAsia="en-AU"/>
              </w:rPr>
              <w:br/>
            </w:r>
            <w:r w:rsidRPr="00AF5416">
              <w:rPr>
                <w:rFonts w:ascii="Tahoma" w:hAnsi="Tahoma" w:cs="Tahoma"/>
                <w:b/>
                <w:bCs/>
                <w:color w:val="3D5567"/>
                <w:sz w:val="20"/>
                <w:lang w:val="en-AU" w:eastAsia="en-AU"/>
              </w:rPr>
              <w:t>withdraw</w:t>
            </w:r>
            <w:r w:rsidRPr="00AF5416">
              <w:rPr>
                <w:rFonts w:ascii="Tahoma" w:hAnsi="Tahoma" w:cs="Tahoma"/>
                <w:b/>
                <w:bCs/>
                <w:color w:val="3D5567"/>
                <w:sz w:val="20"/>
                <w:lang w:val="en-AU" w:eastAsia="en-AU"/>
              </w:rPr>
              <w:br/>
            </w:r>
            <w:r w:rsidRPr="00AF5416">
              <w:rPr>
                <w:rFonts w:ascii="Tahoma" w:hAnsi="Tahoma" w:cs="Tahoma"/>
                <w:b/>
                <w:bCs/>
                <w:color w:val="3D5567"/>
                <w:sz w:val="20"/>
                <w:lang w:val="en-AU" w:eastAsia="en-AU"/>
              </w:rPr>
              <w:t>before additions</w:t>
            </w:r>
            <w:r w:rsidRPr="00AF5416">
              <w:rPr>
                <w:rFonts w:ascii="Tahoma" w:hAnsi="Tahoma" w:cs="Tahoma"/>
                <w:b/>
                <w:bCs/>
                <w:color w:val="3D5567"/>
                <w:sz w:val="20"/>
                <w:lang w:val="en-AU" w:eastAsia="en-AU"/>
              </w:rPr>
              <w:br/>
            </w:r>
            <w:r w:rsidRPr="00AF5416">
              <w:rPr>
                <w:rFonts w:ascii="Tahoma" w:hAnsi="Tahoma" w:cs="Tahoma"/>
                <w:b/>
                <w:bCs/>
                <w:color w:val="3D5567"/>
                <w:sz w:val="20"/>
                <w:lang w:val="en-AU" w:eastAsia="en-AU"/>
              </w:rPr>
              <w:t>are made</w:t>
            </w:r>
          </w:p>
        </w:tc>
        <w:tc>
          <w:tcPr>
            <w:tcW w:w="3367" w:type="dxa"/>
            <w:gridSpan w:val="3"/>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256C7EBA"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Additions</w:t>
            </w:r>
          </w:p>
        </w:tc>
      </w:tr>
      <w:tr w:rsidRPr="00AF5416" w:rsidR="00414653" w:rsidTr="00747763" w14:paraId="278A4C7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vMerge/>
            <w:tcBorders>
              <w:left w:val="single" w:color="auto" w:sz="4" w:space="0"/>
              <w:bottom w:val="single" w:color="auto" w:sz="4" w:space="0"/>
              <w:right w:val="single" w:color="auto" w:sz="4" w:space="0"/>
            </w:tcBorders>
            <w:shd w:val="clear" w:color="auto" w:fill="auto"/>
            <w:vAlign w:val="center"/>
            <w:hideMark/>
          </w:tcPr>
          <w:p w:rsidRPr="00AF5416" w:rsidR="00AF5416" w:rsidP="00AF5416" w:rsidRDefault="00AF5416" w14:paraId="011CD61F" w14:textId="77777777">
            <w:pPr>
              <w:spacing w:after="270"/>
              <w:rPr>
                <w:rFonts w:ascii="Tahoma" w:hAnsi="Tahoma" w:cs="Tahoma"/>
                <w:color w:val="3D5567"/>
                <w:sz w:val="20"/>
                <w:lang w:val="en-AU" w:eastAsia="en-AU"/>
              </w:rPr>
            </w:pPr>
          </w:p>
        </w:tc>
        <w:tc>
          <w:tcPr>
            <w:tcW w:w="1044" w:type="dxa"/>
            <w:gridSpan w:val="3"/>
            <w:vMerge/>
            <w:tcBorders>
              <w:left w:val="single" w:color="auto" w:sz="4" w:space="0"/>
              <w:bottom w:val="single" w:color="auto" w:sz="4" w:space="0"/>
              <w:right w:val="single" w:color="auto" w:sz="4" w:space="0"/>
            </w:tcBorders>
            <w:shd w:val="clear" w:color="auto" w:fill="auto"/>
            <w:vAlign w:val="center"/>
            <w:hideMark/>
          </w:tcPr>
          <w:p w:rsidRPr="00AF5416" w:rsidR="00AF5416" w:rsidP="00AF5416" w:rsidRDefault="00AF5416" w14:paraId="4A4F25CC" w14:textId="77777777">
            <w:pPr>
              <w:spacing w:after="270"/>
              <w:rPr>
                <w:rFonts w:ascii="Tahoma" w:hAnsi="Tahoma" w:cs="Tahoma"/>
                <w:color w:val="3D5567"/>
                <w:sz w:val="20"/>
                <w:lang w:val="en-AU" w:eastAsia="en-AU"/>
              </w:rPr>
            </w:pPr>
          </w:p>
        </w:tc>
        <w:tc>
          <w:tcPr>
            <w:tcW w:w="1639" w:type="dxa"/>
            <w:vMerge/>
            <w:tcBorders>
              <w:left w:val="single" w:color="auto" w:sz="4" w:space="0"/>
              <w:bottom w:val="single" w:color="auto" w:sz="4" w:space="0"/>
              <w:right w:val="single" w:color="auto" w:sz="4" w:space="0"/>
            </w:tcBorders>
            <w:shd w:val="clear" w:color="auto" w:fill="auto"/>
            <w:vAlign w:val="center"/>
            <w:hideMark/>
          </w:tcPr>
          <w:p w:rsidRPr="00AF5416" w:rsidR="00AF5416" w:rsidP="00AF5416" w:rsidRDefault="00AF5416" w14:paraId="5969E856" w14:textId="77777777">
            <w:pPr>
              <w:spacing w:after="270"/>
              <w:rPr>
                <w:rFonts w:ascii="Tahoma" w:hAnsi="Tahoma" w:cs="Tahoma"/>
                <w:color w:val="3D5567"/>
                <w:sz w:val="20"/>
                <w:lang w:val="en-AU" w:eastAsia="en-AU"/>
              </w:rPr>
            </w:pP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4F031FC1"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Glucose 50%</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45E61A43" w14:textId="77777777">
            <w:pPr>
              <w:spacing w:after="270"/>
              <w:jc w:val="center"/>
              <w:rPr>
                <w:rFonts w:ascii="Tahoma" w:hAnsi="Tahoma" w:cs="Tahoma"/>
                <w:color w:val="3D5567"/>
                <w:sz w:val="20"/>
                <w:lang w:val="en-AU" w:eastAsia="en-AU"/>
              </w:rPr>
            </w:pPr>
            <w:r w:rsidRPr="00AF5416">
              <w:rPr>
                <w:rFonts w:ascii="Tahoma" w:hAnsi="Tahoma" w:cs="Tahoma"/>
                <w:b/>
                <w:bCs/>
                <w:color w:val="3D5567"/>
                <w:sz w:val="20"/>
                <w:lang w:val="en-AU" w:eastAsia="en-AU"/>
              </w:rPr>
              <w:t>Sodium chloride 23.4%</w:t>
            </w:r>
          </w:p>
        </w:tc>
      </w:tr>
      <w:tr w:rsidRPr="00AF5416" w:rsidR="00273A16" w:rsidTr="00747763" w14:paraId="5F038ED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FA34531"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5% and sodium chloride 0.9%</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35A26735"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5%</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EF1786" w14:paraId="325E2037" w14:textId="7E2D2462">
            <w:pPr>
              <w:spacing w:after="270"/>
              <w:jc w:val="center"/>
              <w:rPr>
                <w:rFonts w:ascii="Tahoma" w:hAnsi="Tahoma" w:cs="Tahoma"/>
                <w:color w:val="3D5567"/>
                <w:sz w:val="20"/>
                <w:lang w:val="en-AU" w:eastAsia="en-AU"/>
              </w:rPr>
            </w:pPr>
            <w:r>
              <w:rPr>
                <w:rFonts w:ascii="Tahoma" w:hAnsi="Tahoma" w:cs="Tahoma"/>
                <w:color w:val="3D5567"/>
                <w:sz w:val="20"/>
                <w:lang w:val="en-AU" w:eastAsia="en-AU"/>
              </w:rPr>
              <w:t>1</w:t>
            </w:r>
            <w:r w:rsidRPr="00AF5416" w:rsidR="00AF5416">
              <w:rPr>
                <w:rFonts w:ascii="Tahoma" w:hAnsi="Tahoma" w:cs="Tahoma"/>
                <w:color w:val="3D5567"/>
                <w:sz w:val="20"/>
                <w:lang w:val="en-AU" w:eastAsia="en-AU"/>
              </w:rPr>
              <w:t>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6006AE2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B53F5A4"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20 mL</w:t>
            </w:r>
          </w:p>
        </w:tc>
      </w:tr>
      <w:tr w:rsidRPr="00AF5416" w:rsidR="00273A16" w:rsidTr="00747763" w14:paraId="7AD90D5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268C788C"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5% and sodium chloride 0.45%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5F9588A"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5%</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9C6A37C"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547AC7E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0553CC80"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 mL</w:t>
            </w:r>
          </w:p>
        </w:tc>
      </w:tr>
      <w:tr w:rsidRPr="00AF5416" w:rsidR="00273A16" w:rsidTr="00747763" w14:paraId="3DD1BCA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3E176FA"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5% and sodium chloride 0.225%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2B9E53D3"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5%</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4029AFE"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2300FE35"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AF5416" w:rsidP="00AF5416" w:rsidRDefault="00AF5416" w14:paraId="7824FB83"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 mL</w:t>
            </w:r>
          </w:p>
        </w:tc>
      </w:tr>
      <w:tr w:rsidRPr="00AF5416" w:rsidR="004037F5" w:rsidTr="00747763" w14:paraId="10B4BB8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2F83419E" w14:textId="15784A09">
            <w:pPr>
              <w:spacing w:after="270"/>
              <w:rPr>
                <w:rFonts w:ascii="Tahoma" w:hAnsi="Tahoma" w:cs="Tahoma"/>
                <w:color w:val="3D5567"/>
                <w:sz w:val="20"/>
                <w:lang w:val="en-AU" w:eastAsia="en-AU"/>
              </w:rPr>
            </w:pPr>
            <w:r w:rsidRPr="00AF5416">
              <w:rPr>
                <w:rFonts w:ascii="Tahoma" w:hAnsi="Tahoma" w:cs="Tahoma"/>
                <w:color w:val="3D5567"/>
                <w:sz w:val="20"/>
                <w:lang w:val="en-AU" w:eastAsia="en-AU"/>
              </w:rPr>
              <w:t xml:space="preserve">Glucose </w:t>
            </w:r>
            <w:r>
              <w:rPr>
                <w:rFonts w:ascii="Tahoma" w:hAnsi="Tahoma" w:cs="Tahoma"/>
                <w:color w:val="3D5567"/>
                <w:sz w:val="20"/>
                <w:lang w:val="en-AU" w:eastAsia="en-AU"/>
              </w:rPr>
              <w:t>7.</w:t>
            </w:r>
            <w:r w:rsidRPr="00AF5416">
              <w:rPr>
                <w:rFonts w:ascii="Tahoma" w:hAnsi="Tahoma" w:cs="Tahoma"/>
                <w:color w:val="3D5567"/>
                <w:sz w:val="20"/>
                <w:lang w:val="en-AU" w:eastAsia="en-AU"/>
              </w:rPr>
              <w:t>5% and sodium chloride 0.9%</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59790DE8" w14:textId="29E3A04E">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5%</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A06D9A" w14:paraId="14177060" w14:textId="1ED53F44">
            <w:pPr>
              <w:spacing w:after="270"/>
              <w:jc w:val="center"/>
              <w:rPr>
                <w:rFonts w:ascii="Tahoma" w:hAnsi="Tahoma" w:cs="Tahoma"/>
                <w:color w:val="3D5567"/>
                <w:sz w:val="20"/>
                <w:lang w:val="en-AU" w:eastAsia="en-AU"/>
              </w:rPr>
            </w:pPr>
            <w:r>
              <w:rPr>
                <w:rFonts w:ascii="Tahoma" w:hAnsi="Tahoma" w:cs="Tahoma"/>
                <w:color w:val="3D5567"/>
                <w:sz w:val="20"/>
                <w:lang w:val="en-AU" w:eastAsia="en-AU"/>
              </w:rPr>
              <w:t>3</w:t>
            </w:r>
            <w:r w:rsidRPr="00AF5416" w:rsidR="004037F5">
              <w:rPr>
                <w:rFonts w:ascii="Tahoma" w:hAnsi="Tahoma" w:cs="Tahoma"/>
                <w:color w:val="3D5567"/>
                <w:sz w:val="20"/>
                <w:lang w:val="en-AU" w:eastAsia="en-AU"/>
              </w:rPr>
              <w:t>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A06D9A" w14:paraId="623EC659" w14:textId="5B33169D">
            <w:pPr>
              <w:spacing w:after="270"/>
              <w:jc w:val="center"/>
              <w:rPr>
                <w:rFonts w:ascii="Tahoma" w:hAnsi="Tahoma" w:cs="Tahoma"/>
                <w:color w:val="3D5567"/>
                <w:sz w:val="20"/>
                <w:lang w:val="en-AU" w:eastAsia="en-AU"/>
              </w:rPr>
            </w:pPr>
            <w:r>
              <w:rPr>
                <w:rFonts w:ascii="Tahoma" w:hAnsi="Tahoma" w:cs="Tahoma"/>
                <w:color w:val="3D5567"/>
                <w:sz w:val="20"/>
                <w:lang w:val="en-AU" w:eastAsia="en-AU"/>
              </w:rPr>
              <w:t>30</w:t>
            </w:r>
            <w:r w:rsidRPr="004037F5" w:rsidR="004037F5">
              <w:rPr>
                <w:rFonts w:ascii="Tahoma" w:hAnsi="Tahoma" w:cs="Tahoma"/>
                <w:color w:val="3D5567"/>
                <w:sz w:val="20"/>
                <w:lang w:val="en-AU" w:eastAsia="en-AU"/>
              </w:rPr>
              <w:t>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1D4C3C5F" w14:textId="4782992D">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20 mL</w:t>
            </w:r>
          </w:p>
        </w:tc>
      </w:tr>
      <w:tr w:rsidRPr="00AF5416" w:rsidR="004037F5" w:rsidTr="00747763" w14:paraId="05F4942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60872630" w14:textId="692AB880">
            <w:pPr>
              <w:spacing w:after="270"/>
              <w:rPr>
                <w:rFonts w:ascii="Tahoma" w:hAnsi="Tahoma" w:cs="Tahoma"/>
                <w:color w:val="3D5567"/>
                <w:sz w:val="20"/>
                <w:lang w:val="en-AU" w:eastAsia="en-AU"/>
              </w:rPr>
            </w:pPr>
            <w:r w:rsidRPr="00AF5416">
              <w:rPr>
                <w:rFonts w:ascii="Tahoma" w:hAnsi="Tahoma" w:cs="Tahoma"/>
                <w:color w:val="3D5567"/>
                <w:sz w:val="20"/>
                <w:lang w:val="en-AU" w:eastAsia="en-AU"/>
              </w:rPr>
              <w:t xml:space="preserve">Glucose </w:t>
            </w:r>
            <w:r>
              <w:rPr>
                <w:rFonts w:ascii="Tahoma" w:hAnsi="Tahoma" w:cs="Tahoma"/>
                <w:color w:val="3D5567"/>
                <w:sz w:val="20"/>
                <w:lang w:val="en-AU" w:eastAsia="en-AU"/>
              </w:rPr>
              <w:t>7.</w:t>
            </w:r>
            <w:r w:rsidRPr="00AF5416">
              <w:rPr>
                <w:rFonts w:ascii="Tahoma" w:hAnsi="Tahoma" w:cs="Tahoma"/>
                <w:color w:val="3D5567"/>
                <w:sz w:val="20"/>
                <w:lang w:val="en-AU" w:eastAsia="en-AU"/>
              </w:rPr>
              <w:t>5% and sodium chloride 0.45%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3BD0DDD9" w14:textId="1C898F3E">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5%</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266C96" w14:paraId="56DBA293" w14:textId="7B6FAA0F">
            <w:pPr>
              <w:spacing w:after="270"/>
              <w:jc w:val="center"/>
              <w:rPr>
                <w:rFonts w:ascii="Tahoma" w:hAnsi="Tahoma" w:cs="Tahoma"/>
                <w:color w:val="3D5567"/>
                <w:sz w:val="20"/>
                <w:lang w:val="en-AU" w:eastAsia="en-AU"/>
              </w:rPr>
            </w:pPr>
            <w:r>
              <w:rPr>
                <w:rFonts w:ascii="Tahoma" w:hAnsi="Tahoma" w:cs="Tahoma"/>
                <w:color w:val="3D5567"/>
                <w:sz w:val="20"/>
                <w:lang w:val="en-AU" w:eastAsia="en-AU"/>
              </w:rPr>
              <w:t>30</w:t>
            </w:r>
            <w:r w:rsidRPr="00AF5416" w:rsidR="004037F5">
              <w:rPr>
                <w:rFonts w:ascii="Tahoma" w:hAnsi="Tahoma" w:cs="Tahoma"/>
                <w:color w:val="3D5567"/>
                <w:sz w:val="20"/>
                <w:lang w:val="en-AU" w:eastAsia="en-AU"/>
              </w:rPr>
              <w:t xml:space="preserve">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42F8CBF3" w14:textId="637D5DE5">
            <w:pPr>
              <w:spacing w:after="270"/>
              <w:jc w:val="center"/>
              <w:rPr>
                <w:rFonts w:ascii="Tahoma" w:hAnsi="Tahoma" w:cs="Tahoma"/>
                <w:color w:val="3D5567"/>
                <w:sz w:val="20"/>
                <w:lang w:val="en-AU" w:eastAsia="en-AU"/>
              </w:rPr>
            </w:pPr>
            <w:r w:rsidRPr="004037F5">
              <w:rPr>
                <w:rFonts w:ascii="Tahoma" w:hAnsi="Tahoma" w:cs="Tahoma"/>
                <w:color w:val="3D5567"/>
                <w:sz w:val="20"/>
                <w:lang w:val="en-AU" w:eastAsia="en-AU"/>
              </w:rPr>
              <w:t>3</w:t>
            </w:r>
            <w:r w:rsidR="00266C96">
              <w:rPr>
                <w:rFonts w:ascii="Tahoma" w:hAnsi="Tahoma" w:cs="Tahoma"/>
                <w:color w:val="3D5567"/>
                <w:sz w:val="20"/>
                <w:lang w:val="en-AU" w:eastAsia="en-AU"/>
              </w:rPr>
              <w:t>0</w:t>
            </w:r>
            <w:r w:rsidRPr="004037F5">
              <w:rPr>
                <w:rFonts w:ascii="Tahoma" w:hAnsi="Tahoma" w:cs="Tahoma"/>
                <w:color w:val="3D5567"/>
                <w:sz w:val="20"/>
                <w:lang w:val="en-AU" w:eastAsia="en-AU"/>
              </w:rPr>
              <w:t xml:space="preserve">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5DB50E5B" w14:textId="783B38B9">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 mL</w:t>
            </w:r>
          </w:p>
        </w:tc>
      </w:tr>
      <w:tr w:rsidRPr="00AF5416" w:rsidR="004037F5" w:rsidTr="00747763" w14:paraId="773F13E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2C356D39" w14:textId="1D20E654">
            <w:pPr>
              <w:spacing w:after="270"/>
              <w:rPr>
                <w:rFonts w:ascii="Tahoma" w:hAnsi="Tahoma" w:cs="Tahoma"/>
                <w:color w:val="3D5567"/>
                <w:sz w:val="20"/>
                <w:lang w:val="en-AU" w:eastAsia="en-AU"/>
              </w:rPr>
            </w:pPr>
            <w:r w:rsidRPr="00AF5416">
              <w:rPr>
                <w:rFonts w:ascii="Tahoma" w:hAnsi="Tahoma" w:cs="Tahoma"/>
                <w:color w:val="3D5567"/>
                <w:sz w:val="20"/>
                <w:lang w:val="en-AU" w:eastAsia="en-AU"/>
              </w:rPr>
              <w:t xml:space="preserve">Glucose </w:t>
            </w:r>
            <w:r>
              <w:rPr>
                <w:rFonts w:ascii="Tahoma" w:hAnsi="Tahoma" w:cs="Tahoma"/>
                <w:color w:val="3D5567"/>
                <w:sz w:val="20"/>
                <w:lang w:val="en-AU" w:eastAsia="en-AU"/>
              </w:rPr>
              <w:t>7.</w:t>
            </w:r>
            <w:r w:rsidRPr="00AF5416">
              <w:rPr>
                <w:rFonts w:ascii="Tahoma" w:hAnsi="Tahoma" w:cs="Tahoma"/>
                <w:color w:val="3D5567"/>
                <w:sz w:val="20"/>
                <w:lang w:val="en-AU" w:eastAsia="en-AU"/>
              </w:rPr>
              <w:t>5% and sodium chloride 0.225%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18AC002C" w14:textId="6448F083">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5%</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266C96" w14:paraId="198F5102" w14:textId="75BDCA75">
            <w:pPr>
              <w:spacing w:after="270"/>
              <w:jc w:val="center"/>
              <w:rPr>
                <w:rFonts w:ascii="Tahoma" w:hAnsi="Tahoma" w:cs="Tahoma"/>
                <w:color w:val="3D5567"/>
                <w:sz w:val="20"/>
                <w:lang w:val="en-AU" w:eastAsia="en-AU"/>
              </w:rPr>
            </w:pPr>
            <w:r>
              <w:rPr>
                <w:rFonts w:ascii="Tahoma" w:hAnsi="Tahoma" w:cs="Tahoma"/>
                <w:color w:val="3D5567"/>
                <w:sz w:val="20"/>
                <w:lang w:val="en-AU" w:eastAsia="en-AU"/>
              </w:rPr>
              <w:t>30</w:t>
            </w:r>
            <w:r w:rsidRPr="00AF5416" w:rsidR="004037F5">
              <w:rPr>
                <w:rFonts w:ascii="Tahoma" w:hAnsi="Tahoma" w:cs="Tahoma"/>
                <w:color w:val="3D5567"/>
                <w:sz w:val="20"/>
                <w:lang w:val="en-AU" w:eastAsia="en-AU"/>
              </w:rPr>
              <w:t xml:space="preserve">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266C96" w14:paraId="2A2375F8" w14:textId="33305149">
            <w:pPr>
              <w:spacing w:after="270"/>
              <w:jc w:val="center"/>
              <w:rPr>
                <w:rFonts w:ascii="Tahoma" w:hAnsi="Tahoma" w:cs="Tahoma"/>
                <w:color w:val="3D5567"/>
                <w:sz w:val="20"/>
                <w:lang w:val="en-AU" w:eastAsia="en-AU"/>
              </w:rPr>
            </w:pPr>
            <w:r>
              <w:rPr>
                <w:rFonts w:ascii="Tahoma" w:hAnsi="Tahoma" w:cs="Tahoma"/>
                <w:color w:val="3D5567"/>
                <w:sz w:val="20"/>
                <w:lang w:val="en-AU" w:eastAsia="en-AU"/>
              </w:rPr>
              <w:t>30</w:t>
            </w:r>
            <w:r w:rsidRPr="004037F5" w:rsidR="004037F5">
              <w:rPr>
                <w:rFonts w:ascii="Tahoma" w:hAnsi="Tahoma" w:cs="Tahoma"/>
                <w:color w:val="3D5567"/>
                <w:sz w:val="20"/>
                <w:lang w:val="en-AU" w:eastAsia="en-AU"/>
              </w:rPr>
              <w:t xml:space="preserve">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2D71866F" w14:textId="12FC0832">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 mL</w:t>
            </w:r>
          </w:p>
        </w:tc>
      </w:tr>
      <w:tr w:rsidRPr="00AF5416" w:rsidR="004037F5" w:rsidTr="00747763" w14:paraId="286AF85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323E905C"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10% and sodium chloride 0.9%</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534D66A"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266C96" w14:paraId="771274CD" w14:textId="432A7C1E">
            <w:pPr>
              <w:spacing w:after="270"/>
              <w:jc w:val="center"/>
              <w:rPr>
                <w:rFonts w:ascii="Tahoma" w:hAnsi="Tahoma" w:cs="Tahoma"/>
                <w:color w:val="3D5567"/>
                <w:sz w:val="20"/>
                <w:lang w:val="en-AU" w:eastAsia="en-AU"/>
              </w:rPr>
            </w:pPr>
            <w:r>
              <w:rPr>
                <w:rFonts w:ascii="Tahoma" w:hAnsi="Tahoma" w:cs="Tahoma"/>
                <w:color w:val="3D5567"/>
                <w:sz w:val="20"/>
                <w:lang w:val="en-AU" w:eastAsia="en-AU"/>
              </w:rPr>
              <w:t>1</w:t>
            </w:r>
            <w:r w:rsidRPr="00AF5416" w:rsidR="004037F5">
              <w:rPr>
                <w:rFonts w:ascii="Tahoma" w:hAnsi="Tahoma" w:cs="Tahoma"/>
                <w:color w:val="3D5567"/>
                <w:sz w:val="20"/>
                <w:lang w:val="en-AU" w:eastAsia="en-AU"/>
              </w:rPr>
              <w:t>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A17C394"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CB6B5D9"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20 mL</w:t>
            </w:r>
          </w:p>
        </w:tc>
      </w:tr>
      <w:tr w:rsidRPr="00AF5416" w:rsidR="004037F5" w:rsidTr="00747763" w14:paraId="311938D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AC5BF0E"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10% and sodium chloride 0.45%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F3F3E52"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3846BF82"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0D2DB17A"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CFE413B"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 mL</w:t>
            </w:r>
          </w:p>
        </w:tc>
      </w:tr>
      <w:tr w:rsidRPr="00AF5416" w:rsidR="004037F5" w:rsidTr="00747763" w14:paraId="7813E0E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FA68A17"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10% and sodium chloride 0.225%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30C631B"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D42D8FA"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88AC44F"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E9A1490"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 mL</w:t>
            </w:r>
          </w:p>
        </w:tc>
      </w:tr>
      <w:tr w:rsidRPr="00AF5416" w:rsidR="004037F5" w:rsidTr="00747763" w14:paraId="5A5D98B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DA80338"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190343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342FF6A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F1621E3"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35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F1EC44C"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r>
      <w:tr w:rsidRPr="00AF5416" w:rsidR="004037F5" w:rsidTr="00747763" w14:paraId="36BF205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53B856C2"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12.5% and sodium chloride 0.9%</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1E525BE"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1D7420" w14:paraId="2EE5DEFD" w14:textId="137B34F6">
            <w:pPr>
              <w:spacing w:after="270"/>
              <w:jc w:val="center"/>
              <w:rPr>
                <w:rFonts w:ascii="Tahoma" w:hAnsi="Tahoma" w:cs="Tahoma"/>
                <w:color w:val="3D5567"/>
                <w:sz w:val="20"/>
                <w:lang w:val="en-AU" w:eastAsia="en-AU"/>
              </w:rPr>
            </w:pPr>
            <w:r>
              <w:rPr>
                <w:rFonts w:ascii="Tahoma" w:hAnsi="Tahoma" w:cs="Tahoma"/>
                <w:color w:val="3D5567"/>
                <w:sz w:val="20"/>
                <w:lang w:val="en-AU" w:eastAsia="en-AU"/>
              </w:rPr>
              <w:t>5</w:t>
            </w:r>
            <w:r w:rsidRPr="00AF5416" w:rsidR="004037F5">
              <w:rPr>
                <w:rFonts w:ascii="Tahoma" w:hAnsi="Tahoma" w:cs="Tahoma"/>
                <w:color w:val="3D5567"/>
                <w:sz w:val="20"/>
                <w:lang w:val="en-AU" w:eastAsia="en-AU"/>
              </w:rPr>
              <w:t>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3A85824"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35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C4A3AD1"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20 mL</w:t>
            </w:r>
          </w:p>
        </w:tc>
      </w:tr>
      <w:tr w:rsidRPr="00AF5416" w:rsidR="004037F5" w:rsidTr="00747763" w14:paraId="3AA853A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5D47ACB3"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12.5% and sodium chloride 0.45%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1B930BC"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3B40A6" w14:paraId="588F70BD" w14:textId="0DE40928">
            <w:pPr>
              <w:spacing w:after="270"/>
              <w:jc w:val="center"/>
              <w:rPr>
                <w:rFonts w:ascii="Tahoma" w:hAnsi="Tahoma" w:cs="Tahoma"/>
                <w:color w:val="3D5567"/>
                <w:sz w:val="20"/>
                <w:lang w:val="en-AU" w:eastAsia="en-AU"/>
              </w:rPr>
            </w:pPr>
            <w:r>
              <w:rPr>
                <w:rFonts w:ascii="Tahoma" w:hAnsi="Tahoma" w:cs="Tahoma"/>
                <w:color w:val="3D5567"/>
                <w:sz w:val="20"/>
                <w:lang w:val="en-AU" w:eastAsia="en-AU"/>
              </w:rPr>
              <w:t>5</w:t>
            </w:r>
            <w:r w:rsidRPr="00AF5416" w:rsidR="004037F5">
              <w:rPr>
                <w:rFonts w:ascii="Tahoma" w:hAnsi="Tahoma" w:cs="Tahoma"/>
                <w:color w:val="3D5567"/>
                <w:sz w:val="20"/>
                <w:lang w:val="en-AU" w:eastAsia="en-AU"/>
              </w:rPr>
              <w:t>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1E4F7B4"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35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7FF5D3B"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 mL</w:t>
            </w:r>
          </w:p>
        </w:tc>
      </w:tr>
      <w:tr w:rsidRPr="00AF5416" w:rsidR="004037F5" w:rsidTr="00747763" w14:paraId="7D3F499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69F43B4"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lastRenderedPageBreak/>
              <w:t>Glucose 12.5% and sodium chloride 0.225%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06F53626"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082AF68C"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70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34108D0"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35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0FBF6FF"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 mL</w:t>
            </w:r>
          </w:p>
        </w:tc>
      </w:tr>
      <w:tr w:rsidRPr="00AF5416" w:rsidR="004037F5" w:rsidTr="00747763" w14:paraId="12D6A51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FF7CF9E"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0E4DA9B"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6A3500A"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02426069"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70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779484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r>
      <w:tr w:rsidRPr="00AF5416" w:rsidR="004037F5" w:rsidTr="00747763" w14:paraId="0397D04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F89016E"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15% and sodium chloride 0.9%</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5608C621"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9A5D2C8"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5994009F"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70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DE8B5EC"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20 mL</w:t>
            </w:r>
          </w:p>
        </w:tc>
      </w:tr>
      <w:tr w:rsidRPr="00AF5416" w:rsidR="004037F5" w:rsidTr="00747763" w14:paraId="0FFA857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Height w:val="750"/>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21D76A6"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15% and sodium chloride 0.45%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F5DB61D"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9206174"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80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A47A722"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70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59E3B744"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 mL</w:t>
            </w:r>
          </w:p>
        </w:tc>
      </w:tr>
      <w:tr w:rsidRPr="00AF5416" w:rsidR="004037F5" w:rsidTr="00747763" w14:paraId="56106C1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61800F5F" w14:textId="77777777">
            <w:pPr>
              <w:spacing w:after="270"/>
              <w:rPr>
                <w:rFonts w:ascii="Tahoma" w:hAnsi="Tahoma" w:cs="Tahoma"/>
                <w:color w:val="3D5567"/>
                <w:sz w:val="20"/>
                <w:lang w:val="en-AU" w:eastAsia="en-AU"/>
              </w:rPr>
            </w:pPr>
          </w:p>
        </w:tc>
        <w:tc>
          <w:tcPr>
            <w:tcW w:w="1044" w:type="dxa"/>
            <w:gridSpan w:val="3"/>
            <w:tcBorders>
              <w:top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08DAACDF" w14:textId="77777777">
            <w:pPr>
              <w:spacing w:after="270"/>
              <w:jc w:val="center"/>
              <w:rPr>
                <w:rFonts w:ascii="Tahoma" w:hAnsi="Tahoma" w:cs="Tahoma"/>
                <w:color w:val="3D5567"/>
                <w:sz w:val="20"/>
                <w:lang w:val="en-AU" w:eastAsia="en-AU"/>
              </w:rPr>
            </w:pPr>
          </w:p>
        </w:tc>
        <w:tc>
          <w:tcPr>
            <w:tcW w:w="1639" w:type="dxa"/>
            <w:tcBorders>
              <w:top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48269611" w14:textId="77777777">
            <w:pPr>
              <w:spacing w:after="270"/>
              <w:jc w:val="center"/>
              <w:rPr>
                <w:rFonts w:ascii="Tahoma" w:hAnsi="Tahoma" w:cs="Tahoma"/>
                <w:color w:val="3D5567"/>
                <w:sz w:val="20"/>
                <w:lang w:val="en-AU" w:eastAsia="en-AU"/>
              </w:rPr>
            </w:pPr>
          </w:p>
        </w:tc>
        <w:tc>
          <w:tcPr>
            <w:tcW w:w="1204" w:type="dxa"/>
            <w:tcBorders>
              <w:top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0B57E6B7" w14:textId="77777777">
            <w:pPr>
              <w:spacing w:after="270"/>
              <w:jc w:val="center"/>
              <w:rPr>
                <w:rFonts w:ascii="Tahoma" w:hAnsi="Tahoma" w:cs="Tahoma"/>
                <w:color w:val="3D5567"/>
                <w:sz w:val="20"/>
                <w:lang w:val="en-AU" w:eastAsia="en-AU"/>
              </w:rPr>
            </w:pPr>
          </w:p>
        </w:tc>
        <w:tc>
          <w:tcPr>
            <w:tcW w:w="2163" w:type="dxa"/>
            <w:gridSpan w:val="2"/>
            <w:tcBorders>
              <w:top w:val="single" w:color="auto" w:sz="4" w:space="0"/>
            </w:tcBorders>
            <w:shd w:val="clear" w:color="auto" w:fill="auto"/>
            <w:tcMar>
              <w:top w:w="0" w:type="dxa"/>
              <w:left w:w="0" w:type="dxa"/>
              <w:bottom w:w="0" w:type="dxa"/>
              <w:right w:w="0" w:type="dxa"/>
            </w:tcMar>
            <w:vAlign w:val="center"/>
          </w:tcPr>
          <w:p w:rsidRPr="00AF5416" w:rsidR="004037F5" w:rsidP="004037F5" w:rsidRDefault="004037F5" w14:paraId="463ABA78" w14:textId="77777777">
            <w:pPr>
              <w:spacing w:after="270"/>
              <w:jc w:val="center"/>
              <w:rPr>
                <w:rFonts w:ascii="Tahoma" w:hAnsi="Tahoma" w:cs="Tahoma"/>
                <w:color w:val="3D5567"/>
                <w:sz w:val="20"/>
                <w:lang w:val="en-AU" w:eastAsia="en-AU"/>
              </w:rPr>
            </w:pPr>
          </w:p>
        </w:tc>
      </w:tr>
      <w:tr w:rsidRPr="00AF5416" w:rsidR="004037F5" w:rsidTr="00747763" w14:paraId="71F3027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8DF174D"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15% and sodium chloride 0.225%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18D9C1F"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0AB1F1C"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80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FD56ACF"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70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96F67EE"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 mL</w:t>
            </w:r>
          </w:p>
        </w:tc>
      </w:tr>
      <w:tr w:rsidRPr="00AF5416" w:rsidR="004037F5" w:rsidTr="00747763" w14:paraId="5C8D80B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2B30D8A"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20%</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A1B2D7D"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FAD03C0"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120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2B75D9F5"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130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337538F"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w:t>
            </w:r>
          </w:p>
        </w:tc>
      </w:tr>
      <w:tr w:rsidRPr="00AF5416" w:rsidR="004037F5" w:rsidTr="00747763" w14:paraId="7D3ED72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3B8F0E25"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20% and sodium chloride 0.45%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A1E875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003B1603"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140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75C818E0"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130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186F3487"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10 mL</w:t>
            </w:r>
          </w:p>
        </w:tc>
      </w:tr>
      <w:tr w:rsidRPr="00AF5416" w:rsidR="004037F5" w:rsidTr="00747763" w14:paraId="0DB3EAE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Look w:val="04A0" w:firstRow="1" w:lastRow="0" w:firstColumn="1" w:lastColumn="0" w:noHBand="0" w:noVBand="1"/>
        </w:tblPrEx>
        <w:trPr>
          <w:gridBefore w:val="1"/>
          <w:gridAfter w:val="1"/>
          <w:wBefore w:w="29" w:type="dxa"/>
          <w:wAfter w:w="846" w:type="dxa"/>
        </w:trPr>
        <w:tc>
          <w:tcPr>
            <w:tcW w:w="3310"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ED141F8" w14:textId="77777777">
            <w:pPr>
              <w:spacing w:after="270"/>
              <w:rPr>
                <w:rFonts w:ascii="Tahoma" w:hAnsi="Tahoma" w:cs="Tahoma"/>
                <w:color w:val="3D5567"/>
                <w:sz w:val="20"/>
                <w:lang w:val="en-AU" w:eastAsia="en-AU"/>
              </w:rPr>
            </w:pPr>
            <w:r w:rsidRPr="00AF5416">
              <w:rPr>
                <w:rFonts w:ascii="Tahoma" w:hAnsi="Tahoma" w:cs="Tahoma"/>
                <w:color w:val="3D5567"/>
                <w:sz w:val="20"/>
                <w:lang w:val="en-AU" w:eastAsia="en-AU"/>
              </w:rPr>
              <w:t>Glucose 20% and sodium chloride 0.225%</w:t>
            </w:r>
          </w:p>
        </w:tc>
        <w:tc>
          <w:tcPr>
            <w:tcW w:w="1044"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CDCAD85"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Glucose 10%</w:t>
            </w:r>
          </w:p>
        </w:tc>
        <w:tc>
          <w:tcPr>
            <w:tcW w:w="163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68F9ACD8"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140 mL</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D68B91A"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130 mL</w:t>
            </w:r>
          </w:p>
        </w:tc>
        <w:tc>
          <w:tcPr>
            <w:tcW w:w="2163"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AF5416" w:rsidR="004037F5" w:rsidP="004037F5" w:rsidRDefault="004037F5" w14:paraId="45920418" w14:textId="77777777">
            <w:pPr>
              <w:spacing w:after="270"/>
              <w:jc w:val="center"/>
              <w:rPr>
                <w:rFonts w:ascii="Tahoma" w:hAnsi="Tahoma" w:cs="Tahoma"/>
                <w:color w:val="3D5567"/>
                <w:sz w:val="20"/>
                <w:lang w:val="en-AU" w:eastAsia="en-AU"/>
              </w:rPr>
            </w:pPr>
            <w:r w:rsidRPr="00AF5416">
              <w:rPr>
                <w:rFonts w:ascii="Tahoma" w:hAnsi="Tahoma" w:cs="Tahoma"/>
                <w:color w:val="3D5567"/>
                <w:sz w:val="20"/>
                <w:lang w:val="en-AU" w:eastAsia="en-AU"/>
              </w:rPr>
              <w:t>5 mL</w:t>
            </w:r>
          </w:p>
        </w:tc>
      </w:tr>
      <w:bookmarkEnd w:id="251"/>
    </w:tbl>
    <w:p w:rsidR="004F1BAD" w:rsidP="006F0321" w:rsidRDefault="004F1BAD" w14:paraId="215D9836" w14:textId="77777777"/>
    <w:p w:rsidR="004F1BAD" w:rsidP="006F0321" w:rsidRDefault="004F1BAD" w14:paraId="3B776143" w14:textId="77777777"/>
    <w:p w:rsidR="004F1BAD" w:rsidP="006F0321" w:rsidRDefault="004F1BAD" w14:paraId="09E55B46" w14:textId="77777777"/>
    <w:tbl>
      <w:tblPr>
        <w:tblW w:w="5000" w:type="pct"/>
        <w:tblCellMar>
          <w:top w:w="15" w:type="dxa"/>
          <w:left w:w="15" w:type="dxa"/>
          <w:bottom w:w="15" w:type="dxa"/>
          <w:right w:w="15" w:type="dxa"/>
        </w:tblCellMar>
        <w:tblLook w:val="04A0" w:firstRow="1" w:lastRow="0" w:firstColumn="1" w:lastColumn="0" w:noHBand="0" w:noVBand="1"/>
      </w:tblPr>
      <w:tblGrid>
        <w:gridCol w:w="2944"/>
        <w:gridCol w:w="1017"/>
        <w:gridCol w:w="1649"/>
        <w:gridCol w:w="1170"/>
        <w:gridCol w:w="2236"/>
      </w:tblGrid>
      <w:tr w:rsidRPr="004F1BAD" w:rsidR="004F1BAD" w:rsidTr="00626664" w14:paraId="2C1F6EC0" w14:textId="77777777">
        <w:tc>
          <w:tcPr>
            <w:tcW w:w="0" w:type="auto"/>
            <w:gridSpan w:val="5"/>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52AF5AB"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To prepare 1000 mL</w:t>
            </w:r>
          </w:p>
        </w:tc>
      </w:tr>
      <w:tr w:rsidRPr="004F1BAD" w:rsidR="00626664" w:rsidTr="00626664" w14:paraId="44E4D8FF" w14:textId="77777777">
        <w:tc>
          <w:tcPr>
            <w:tcW w:w="0" w:type="auto"/>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CE8761E"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Fluid to be</w:t>
            </w:r>
            <w:r w:rsidRPr="004F1BAD">
              <w:rPr>
                <w:rFonts w:ascii="Tahoma" w:hAnsi="Tahoma" w:cs="Tahoma"/>
                <w:b/>
                <w:bCs/>
                <w:color w:val="3D5567"/>
                <w:sz w:val="20"/>
                <w:lang w:val="en-AU" w:eastAsia="en-AU"/>
              </w:rPr>
              <w:br/>
            </w:r>
            <w:r w:rsidRPr="004F1BAD">
              <w:rPr>
                <w:rFonts w:ascii="Tahoma" w:hAnsi="Tahoma" w:cs="Tahoma"/>
                <w:b/>
                <w:bCs/>
                <w:color w:val="3D5567"/>
                <w:sz w:val="20"/>
                <w:lang w:val="en-AU" w:eastAsia="en-AU"/>
              </w:rPr>
              <w:t>prepared</w:t>
            </w:r>
          </w:p>
        </w:tc>
        <w:tc>
          <w:tcPr>
            <w:tcW w:w="0" w:type="auto"/>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D0849D9"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Fluid bag</w:t>
            </w:r>
            <w:r w:rsidRPr="004F1BAD">
              <w:rPr>
                <w:rFonts w:ascii="Tahoma" w:hAnsi="Tahoma" w:cs="Tahoma"/>
                <w:b/>
                <w:bCs/>
                <w:color w:val="3D5567"/>
                <w:sz w:val="20"/>
                <w:lang w:val="en-AU" w:eastAsia="en-AU"/>
              </w:rPr>
              <w:br/>
            </w:r>
            <w:r w:rsidRPr="004F1BAD">
              <w:rPr>
                <w:rFonts w:ascii="Tahoma" w:hAnsi="Tahoma" w:cs="Tahoma"/>
                <w:b/>
                <w:bCs/>
                <w:color w:val="3D5567"/>
                <w:sz w:val="20"/>
                <w:lang w:val="en-AU" w:eastAsia="en-AU"/>
              </w:rPr>
              <w:t>(1000 mL)</w:t>
            </w:r>
          </w:p>
        </w:tc>
        <w:tc>
          <w:tcPr>
            <w:tcW w:w="0" w:type="auto"/>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205C15B"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Volume to</w:t>
            </w:r>
            <w:r w:rsidRPr="004F1BAD">
              <w:rPr>
                <w:rFonts w:ascii="Tahoma" w:hAnsi="Tahoma" w:cs="Tahoma"/>
                <w:b/>
                <w:bCs/>
                <w:color w:val="3D5567"/>
                <w:sz w:val="20"/>
                <w:lang w:val="en-AU" w:eastAsia="en-AU"/>
              </w:rPr>
              <w:br/>
            </w:r>
            <w:r w:rsidRPr="004F1BAD">
              <w:rPr>
                <w:rFonts w:ascii="Tahoma" w:hAnsi="Tahoma" w:cs="Tahoma"/>
                <w:b/>
                <w:bCs/>
                <w:color w:val="3D5567"/>
                <w:sz w:val="20"/>
                <w:lang w:val="en-AU" w:eastAsia="en-AU"/>
              </w:rPr>
              <w:t>withdraw</w:t>
            </w:r>
            <w:r w:rsidRPr="004F1BAD">
              <w:rPr>
                <w:rFonts w:ascii="Tahoma" w:hAnsi="Tahoma" w:cs="Tahoma"/>
                <w:b/>
                <w:bCs/>
                <w:color w:val="3D5567"/>
                <w:sz w:val="20"/>
                <w:lang w:val="en-AU" w:eastAsia="en-AU"/>
              </w:rPr>
              <w:br/>
            </w:r>
            <w:r w:rsidRPr="004F1BAD">
              <w:rPr>
                <w:rFonts w:ascii="Tahoma" w:hAnsi="Tahoma" w:cs="Tahoma"/>
                <w:b/>
                <w:bCs/>
                <w:color w:val="3D5567"/>
                <w:sz w:val="20"/>
                <w:lang w:val="en-AU" w:eastAsia="en-AU"/>
              </w:rPr>
              <w:t>before additions</w:t>
            </w:r>
            <w:r w:rsidRPr="004F1BAD">
              <w:rPr>
                <w:rFonts w:ascii="Tahoma" w:hAnsi="Tahoma" w:cs="Tahoma"/>
                <w:b/>
                <w:bCs/>
                <w:color w:val="3D5567"/>
                <w:sz w:val="20"/>
                <w:lang w:val="en-AU" w:eastAsia="en-AU"/>
              </w:rPr>
              <w:br/>
            </w:r>
            <w:r w:rsidRPr="004F1BAD">
              <w:rPr>
                <w:rFonts w:ascii="Tahoma" w:hAnsi="Tahoma" w:cs="Tahoma"/>
                <w:b/>
                <w:bCs/>
                <w:color w:val="3D5567"/>
                <w:sz w:val="20"/>
                <w:lang w:val="en-AU" w:eastAsia="en-AU"/>
              </w:rPr>
              <w:t>are made</w:t>
            </w:r>
          </w:p>
        </w:tc>
        <w:tc>
          <w:tcPr>
            <w:tcW w:w="0" w:type="auto"/>
            <w:gridSpan w:val="2"/>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1D78A64"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Additions</w:t>
            </w:r>
          </w:p>
        </w:tc>
      </w:tr>
      <w:tr w:rsidRPr="004F1BAD" w:rsidR="00C22990" w:rsidTr="00626664" w14:paraId="13533A7A" w14:textId="77777777">
        <w:tc>
          <w:tcPr>
            <w:tcW w:w="0" w:type="auto"/>
            <w:vMerge/>
            <w:tcBorders>
              <w:left w:val="single" w:color="auto" w:sz="4" w:space="0"/>
              <w:right w:val="single" w:color="auto" w:sz="4" w:space="0"/>
            </w:tcBorders>
            <w:shd w:val="clear" w:color="auto" w:fill="auto"/>
            <w:vAlign w:val="center"/>
            <w:hideMark/>
          </w:tcPr>
          <w:p w:rsidRPr="004F1BAD" w:rsidR="004F1BAD" w:rsidP="004F1BAD" w:rsidRDefault="004F1BAD" w14:paraId="1A659119" w14:textId="77777777">
            <w:pPr>
              <w:rPr>
                <w:rFonts w:ascii="Tahoma" w:hAnsi="Tahoma" w:cs="Tahoma"/>
                <w:color w:val="3D5567"/>
                <w:sz w:val="20"/>
                <w:lang w:val="en-AU" w:eastAsia="en-AU"/>
              </w:rPr>
            </w:pPr>
          </w:p>
        </w:tc>
        <w:tc>
          <w:tcPr>
            <w:tcW w:w="0" w:type="auto"/>
            <w:vMerge/>
            <w:tcBorders>
              <w:left w:val="single" w:color="auto" w:sz="4" w:space="0"/>
              <w:right w:val="single" w:color="auto" w:sz="4" w:space="0"/>
            </w:tcBorders>
            <w:shd w:val="clear" w:color="auto" w:fill="auto"/>
            <w:vAlign w:val="center"/>
            <w:hideMark/>
          </w:tcPr>
          <w:p w:rsidRPr="004F1BAD" w:rsidR="004F1BAD" w:rsidP="004F1BAD" w:rsidRDefault="004F1BAD" w14:paraId="457C2A1F" w14:textId="77777777">
            <w:pPr>
              <w:rPr>
                <w:rFonts w:ascii="Tahoma" w:hAnsi="Tahoma" w:cs="Tahoma"/>
                <w:color w:val="3D5567"/>
                <w:sz w:val="20"/>
                <w:lang w:val="en-AU" w:eastAsia="en-AU"/>
              </w:rPr>
            </w:pPr>
          </w:p>
        </w:tc>
        <w:tc>
          <w:tcPr>
            <w:tcW w:w="0" w:type="auto"/>
            <w:vMerge/>
            <w:tcBorders>
              <w:left w:val="single" w:color="auto" w:sz="4" w:space="0"/>
              <w:bottom w:val="single" w:color="auto" w:sz="4" w:space="0"/>
              <w:right w:val="single" w:color="auto" w:sz="4" w:space="0"/>
            </w:tcBorders>
            <w:shd w:val="clear" w:color="auto" w:fill="auto"/>
            <w:vAlign w:val="center"/>
            <w:hideMark/>
          </w:tcPr>
          <w:p w:rsidRPr="004F1BAD" w:rsidR="004F1BAD" w:rsidP="004F1BAD" w:rsidRDefault="004F1BAD" w14:paraId="4768D063" w14:textId="77777777">
            <w:pPr>
              <w:rPr>
                <w:rFonts w:ascii="Tahoma" w:hAnsi="Tahoma" w:cs="Tahoma"/>
                <w:color w:val="3D5567"/>
                <w:sz w:val="20"/>
                <w:lang w:val="en-AU" w:eastAsia="en-AU"/>
              </w:rPr>
            </w:pP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B0F39BD"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Glucose 50%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226BDFC" w14:textId="77777777">
            <w:pPr>
              <w:spacing w:after="135"/>
              <w:jc w:val="center"/>
              <w:rPr>
                <w:rFonts w:ascii="Tahoma" w:hAnsi="Tahoma" w:cs="Tahoma"/>
                <w:color w:val="3D5567"/>
                <w:sz w:val="20"/>
                <w:lang w:val="en-AU" w:eastAsia="en-AU"/>
              </w:rPr>
            </w:pPr>
            <w:r w:rsidRPr="004F1BAD">
              <w:rPr>
                <w:rFonts w:ascii="Tahoma" w:hAnsi="Tahoma" w:cs="Tahoma"/>
                <w:b/>
                <w:bCs/>
                <w:color w:val="3D5567"/>
                <w:sz w:val="20"/>
                <w:lang w:val="en-AU" w:eastAsia="en-AU"/>
              </w:rPr>
              <w:t>Sodium chloride 23.4%*</w:t>
            </w:r>
          </w:p>
        </w:tc>
      </w:tr>
      <w:tr w:rsidRPr="004F1BAD" w:rsidR="00C22990" w:rsidTr="00626664" w14:paraId="309009A7" w14:textId="77777777">
        <w:tc>
          <w:tcPr>
            <w:tcW w:w="0" w:type="auto"/>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AF70A32"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5% and sodium chloride 0.9%</w:t>
            </w:r>
          </w:p>
        </w:tc>
        <w:tc>
          <w:tcPr>
            <w:tcW w:w="0" w:type="auto"/>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24F22FC"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0FE2371"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0A296AC"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87AF82F"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40 mL</w:t>
            </w:r>
          </w:p>
        </w:tc>
      </w:tr>
      <w:tr w:rsidRPr="004F1BAD" w:rsidR="00C22990" w:rsidTr="00626664" w14:paraId="00BA755C"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0CF18B2"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5% and sodium chloride 0.45%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3F33403"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41F3EA4"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DB2F478"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5595FBB"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20 mL</w:t>
            </w:r>
          </w:p>
        </w:tc>
      </w:tr>
      <w:tr w:rsidRPr="004F1BAD" w:rsidR="00C22990" w:rsidTr="00626664" w14:paraId="3D0B42F0"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C34F79B"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5% and sodium chloride 0.225%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70BBD17"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Glucose 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8620125"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2D2CC3E"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BF264A1"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 mL</w:t>
            </w:r>
          </w:p>
        </w:tc>
      </w:tr>
      <w:tr w:rsidRPr="004F1BAD" w:rsidR="00C22990" w:rsidTr="00626664" w14:paraId="6230272C"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413D1D8"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10% and sodium chloride 0.9%</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7663172"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683C47E"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8160D0F"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0FFD8E2"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40 mL</w:t>
            </w:r>
          </w:p>
        </w:tc>
      </w:tr>
      <w:tr w:rsidRPr="004F1BAD" w:rsidR="00C22990" w:rsidTr="00626664" w14:paraId="1D34B4B6"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C5BB15A"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10% and sodium chloride 0.45%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4AFB8E4"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454CB96"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412FB48"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73EBF10"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20 mL</w:t>
            </w:r>
          </w:p>
        </w:tc>
      </w:tr>
      <w:tr w:rsidRPr="004F1BAD" w:rsidR="00C22990" w:rsidTr="00626664" w14:paraId="3D6A7FC7"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A05732D"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10% and sodium chloride 0.225%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E203CA6"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5C361BC"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38909F7"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B502A10"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 mL</w:t>
            </w:r>
          </w:p>
        </w:tc>
      </w:tr>
      <w:tr w:rsidRPr="004F1BAD" w:rsidR="00C22990" w:rsidTr="00626664" w14:paraId="1F4D9DB2"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9B4D893"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12.5%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9E54CBA"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CBD66CC"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91D50D1"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65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4B217F2"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r>
      <w:tr w:rsidRPr="004F1BAD" w:rsidR="00C22990" w:rsidTr="00626664" w14:paraId="42544FA5"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FA77606" w14:textId="77777777">
            <w:pPr>
              <w:rPr>
                <w:rFonts w:ascii="Tahoma" w:hAnsi="Tahoma" w:cs="Tahoma"/>
                <w:color w:val="3D5567"/>
                <w:sz w:val="20"/>
                <w:lang w:val="en-AU" w:eastAsia="en-AU"/>
              </w:rPr>
            </w:pPr>
            <w:r w:rsidRPr="004F1BAD">
              <w:rPr>
                <w:rFonts w:ascii="Tahoma" w:hAnsi="Tahoma" w:cs="Tahoma"/>
                <w:color w:val="3D5567"/>
                <w:sz w:val="20"/>
                <w:lang w:val="en-AU" w:eastAsia="en-AU"/>
              </w:rPr>
              <w:lastRenderedPageBreak/>
              <w:t>Glucose 12.5% and sodium chloride 0.9%</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667C581"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610D37B"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E8E0BEC"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65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A6C2857"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40 mL</w:t>
            </w:r>
          </w:p>
        </w:tc>
      </w:tr>
      <w:tr w:rsidRPr="004F1BAD" w:rsidR="00C22990" w:rsidTr="00626664" w14:paraId="0885AD27"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7805611"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12.5% and sodium chloride 0.45%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1729DF2"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522299A"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AA2C6DE"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65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1B42F41"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20 mL</w:t>
            </w:r>
          </w:p>
        </w:tc>
      </w:tr>
      <w:tr w:rsidRPr="004F1BAD" w:rsidR="00C22990" w:rsidTr="00626664" w14:paraId="688DF322"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B507129"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12.5% and sodium chloride 0.225%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811EA05"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24B772A"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4276CB0"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65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7815B06"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 mL</w:t>
            </w:r>
          </w:p>
        </w:tc>
      </w:tr>
      <w:tr w:rsidRPr="004F1BAD" w:rsidR="00C22990" w:rsidTr="00626664" w14:paraId="608B1A2E" w14:textId="77777777">
        <w:trPr>
          <w:trHeight w:val="615"/>
        </w:trPr>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8B54628"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D512819"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D7C306F"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05AD4A2"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130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79C418A"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r>
      <w:tr w:rsidRPr="004F1BAD" w:rsidR="00C22990" w:rsidTr="00626664" w14:paraId="3EECB69E"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4F1BAD" w:rsidR="00626664" w:rsidP="004F1BAD" w:rsidRDefault="00626664" w14:paraId="1667AD0A" w14:textId="77777777">
            <w:pPr>
              <w:rPr>
                <w:rFonts w:ascii="Tahoma" w:hAnsi="Tahoma" w:cs="Tahoma"/>
                <w:color w:val="3D5567"/>
                <w:sz w:val="20"/>
                <w:lang w:val="en-AU" w:eastAsia="en-AU"/>
              </w:rPr>
            </w:pP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4F1BAD" w:rsidR="00626664" w:rsidP="004F1BAD" w:rsidRDefault="00626664" w14:paraId="22660CEF" w14:textId="77777777">
            <w:pPr>
              <w:spacing w:after="135"/>
              <w:jc w:val="center"/>
              <w:rPr>
                <w:rFonts w:ascii="Tahoma" w:hAnsi="Tahoma" w:cs="Tahoma"/>
                <w:color w:val="3D5567"/>
                <w:sz w:val="20"/>
                <w:lang w:val="en-AU" w:eastAsia="en-AU"/>
              </w:rPr>
            </w:pP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4F1BAD" w:rsidR="00626664" w:rsidP="004F1BAD" w:rsidRDefault="00626664" w14:paraId="400AFE6C" w14:textId="77777777">
            <w:pPr>
              <w:jc w:val="center"/>
              <w:rPr>
                <w:rFonts w:ascii="Tahoma" w:hAnsi="Tahoma" w:cs="Tahoma"/>
                <w:color w:val="3D5567"/>
                <w:sz w:val="20"/>
                <w:lang w:val="en-AU" w:eastAsia="en-AU"/>
              </w:rPr>
            </w:pP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4F1BAD" w:rsidR="00626664" w:rsidP="004F1BAD" w:rsidRDefault="00626664" w14:paraId="00CF47A9" w14:textId="77777777">
            <w:pPr>
              <w:jc w:val="center"/>
              <w:rPr>
                <w:rFonts w:ascii="Tahoma" w:hAnsi="Tahoma" w:cs="Tahoma"/>
                <w:color w:val="3D5567"/>
                <w:sz w:val="20"/>
                <w:lang w:val="en-AU" w:eastAsia="en-AU"/>
              </w:rPr>
            </w:pP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rsidRPr="004F1BAD" w:rsidR="00626664" w:rsidP="004F1BAD" w:rsidRDefault="00626664" w14:paraId="2AFCCA61" w14:textId="77777777">
            <w:pPr>
              <w:jc w:val="center"/>
              <w:rPr>
                <w:rFonts w:ascii="Tahoma" w:hAnsi="Tahoma" w:cs="Tahoma"/>
                <w:color w:val="3D5567"/>
                <w:sz w:val="20"/>
                <w:lang w:val="en-AU" w:eastAsia="en-AU"/>
              </w:rPr>
            </w:pPr>
          </w:p>
        </w:tc>
      </w:tr>
      <w:tr w:rsidRPr="004F1BAD" w:rsidR="00C22990" w:rsidTr="00626664" w14:paraId="0D24DE53"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37848C0"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15% and sodium chloride 0.9%</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88BD91F"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8155F44"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150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6F487D9"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130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E0C6900"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40 mL</w:t>
            </w:r>
          </w:p>
        </w:tc>
      </w:tr>
      <w:tr w:rsidRPr="004F1BAD" w:rsidR="00C22990" w:rsidTr="00626664" w14:paraId="1403D836"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A71C7E7"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15% and sodium chloride 0.45%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5A0EDA22"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06D335CD"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150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FC3BF14"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130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38658A7"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20 mL</w:t>
            </w:r>
          </w:p>
        </w:tc>
      </w:tr>
      <w:tr w:rsidRPr="004F1BAD" w:rsidR="00C22990" w:rsidTr="00626664" w14:paraId="6AA01C86"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28A456A"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15% and sodium chloride 0.225%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D95DD62"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95AC567"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150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A53E139"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130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EF43B9F"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 mL</w:t>
            </w:r>
          </w:p>
        </w:tc>
      </w:tr>
      <w:tr w:rsidRPr="004F1BAD" w:rsidR="00C22990" w:rsidTr="00626664" w14:paraId="45A03321"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B7331C0"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20%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D4849E6"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4947CA68"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250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22CC70E"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260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6ADD44AB"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w:t>
            </w:r>
          </w:p>
        </w:tc>
      </w:tr>
      <w:tr w:rsidRPr="004F1BAD" w:rsidR="00C22990" w:rsidTr="00626664" w14:paraId="33353001"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DD65F1E"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20% and sodium chloride 0.45%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40BCB7B" w14:textId="77777777">
            <w:pPr>
              <w:spacing w:after="135"/>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389EF66"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250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7DB1DAFE"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260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B2B324B"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20 mL</w:t>
            </w:r>
          </w:p>
        </w:tc>
      </w:tr>
      <w:tr w:rsidRPr="004F1BAD" w:rsidR="00C22990" w:rsidTr="00626664" w14:paraId="2ADB202E" w14:textId="77777777">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1A7F5827" w14:textId="77777777">
            <w:pPr>
              <w:rPr>
                <w:rFonts w:ascii="Tahoma" w:hAnsi="Tahoma" w:cs="Tahoma"/>
                <w:color w:val="3D5567"/>
                <w:sz w:val="20"/>
                <w:lang w:val="en-AU" w:eastAsia="en-AU"/>
              </w:rPr>
            </w:pPr>
            <w:r w:rsidRPr="004F1BAD">
              <w:rPr>
                <w:rFonts w:ascii="Tahoma" w:hAnsi="Tahoma" w:cs="Tahoma"/>
                <w:color w:val="3D5567"/>
                <w:sz w:val="20"/>
                <w:lang w:val="en-AU" w:eastAsia="en-AU"/>
              </w:rPr>
              <w:t>Glucose 20% and sodium chloride 0.225%</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2659614"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Glucose 10%</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2E3B42CD"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250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27E7B87"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260 mL</w:t>
            </w:r>
          </w:p>
        </w:tc>
        <w:tc>
          <w:tcPr>
            <w:tcW w:w="0" w:type="auto"/>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hideMark/>
          </w:tcPr>
          <w:p w:rsidRPr="004F1BAD" w:rsidR="004F1BAD" w:rsidP="004F1BAD" w:rsidRDefault="004F1BAD" w14:paraId="3955C7B4" w14:textId="77777777">
            <w:pPr>
              <w:jc w:val="center"/>
              <w:rPr>
                <w:rFonts w:ascii="Tahoma" w:hAnsi="Tahoma" w:cs="Tahoma"/>
                <w:color w:val="3D5567"/>
                <w:sz w:val="20"/>
                <w:lang w:val="en-AU" w:eastAsia="en-AU"/>
              </w:rPr>
            </w:pPr>
            <w:r w:rsidRPr="004F1BAD">
              <w:rPr>
                <w:rFonts w:ascii="Tahoma" w:hAnsi="Tahoma" w:cs="Tahoma"/>
                <w:color w:val="3D5567"/>
                <w:sz w:val="20"/>
                <w:lang w:val="en-AU" w:eastAsia="en-AU"/>
              </w:rPr>
              <w:t>10 mL</w:t>
            </w:r>
          </w:p>
        </w:tc>
      </w:tr>
    </w:tbl>
    <w:p w:rsidRPr="00E25790" w:rsidR="00115F48" w:rsidP="006F0321" w:rsidRDefault="00115F48" w14:paraId="1B482D90" w14:textId="6DDB1C9B">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B97D99" w14:paraId="562CAA1F"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B08A848" w14:textId="439C7849">
            <w:pPr>
              <w:pStyle w:val="Heading1"/>
            </w:pPr>
            <w:bookmarkStart w:name="_Toc495481110" w:id="252"/>
            <w:bookmarkStart w:name="_Toc495481236" w:id="253"/>
            <w:bookmarkStart w:name="_Toc495481361" w:id="254"/>
            <w:bookmarkStart w:name="_Toc495501542" w:id="255"/>
            <w:bookmarkStart w:name="_Toc38106847" w:id="256"/>
            <w:bookmarkStart w:name="_Toc75339974" w:id="257"/>
            <w:r w:rsidRPr="00E25790">
              <w:lastRenderedPageBreak/>
              <w:t>Flumazenil</w:t>
            </w:r>
            <w:bookmarkEnd w:id="252"/>
            <w:bookmarkEnd w:id="253"/>
            <w:bookmarkEnd w:id="254"/>
            <w:bookmarkEnd w:id="255"/>
            <w:bookmarkEnd w:id="256"/>
            <w:bookmarkEnd w:id="257"/>
            <w:r w:rsidRPr="00E25790">
              <w:fldChar w:fldCharType="begin"/>
            </w:r>
            <w:r w:rsidRPr="00E25790">
              <w:instrText>tc "Flumazenil" \l 0</w:instrText>
            </w:r>
            <w:r w:rsidRPr="00E25790">
              <w:fldChar w:fldCharType="end"/>
            </w:r>
          </w:p>
        </w:tc>
      </w:tr>
      <w:tr w:rsidRPr="00E25790" w:rsidR="00115F48" w:rsidTr="00B97D99" w14:paraId="5024FA8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835D4F" w:rsidRDefault="00115F48" w14:paraId="0A874A8C" w14:textId="2B5FFF2C">
            <w:r w:rsidRPr="00E25790">
              <w:t xml:space="preserve">Revision Date : </w:t>
            </w:r>
            <w:r w:rsidR="00835D4F">
              <w:t>04/01/2021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835D4F" w:rsidRDefault="00115F48" w14:paraId="034383D3" w14:textId="1CCD1846">
            <w:r w:rsidRPr="00E25790">
              <w:t xml:space="preserve">Approved : </w:t>
            </w:r>
            <w:r w:rsidR="00835D4F">
              <w:t>ZK</w:t>
            </w:r>
          </w:p>
        </w:tc>
      </w:tr>
    </w:tbl>
    <w:p w:rsidRPr="00E25790" w:rsidR="00115F48" w:rsidP="006F0321" w:rsidRDefault="00115F48" w14:paraId="35AB4AA9" w14:textId="77777777"/>
    <w:tbl>
      <w:tblPr>
        <w:tblW w:w="9064" w:type="dxa"/>
        <w:tblLayout w:type="fixed"/>
        <w:tblLook w:val="0000" w:firstRow="0" w:lastRow="0" w:firstColumn="0" w:lastColumn="0" w:noHBand="0" w:noVBand="0"/>
      </w:tblPr>
      <w:tblGrid>
        <w:gridCol w:w="2443"/>
        <w:gridCol w:w="6621"/>
      </w:tblGrid>
      <w:tr w:rsidRPr="00E25790" w:rsidR="00115F48" w:rsidTr="00B97D99" w14:paraId="751713AD"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B97D99" w:rsidRDefault="00115F48" w14:paraId="075C026D" w14:textId="77777777">
            <w:r w:rsidRPr="00E25790">
              <w:t>Indication :</w:t>
            </w:r>
          </w:p>
        </w:tc>
        <w:tc>
          <w:tcPr>
            <w:tcW w:w="6621" w:type="dxa"/>
            <w:tcBorders>
              <w:top w:val="single" w:color="auto" w:sz="6" w:space="0"/>
              <w:bottom w:val="single" w:color="auto" w:sz="6" w:space="0"/>
              <w:right w:val="single" w:color="auto" w:sz="6" w:space="0"/>
            </w:tcBorders>
          </w:tcPr>
          <w:p w:rsidRPr="00E25790" w:rsidR="00115F48" w:rsidP="00B97D99" w:rsidRDefault="00115F48" w14:paraId="6FD5B895" w14:textId="0D17A45B">
            <w:r w:rsidRPr="00E25790">
              <w:t xml:space="preserve">Flumazenil is a specific benzodiazepine antagonist used in the reversal of </w:t>
            </w:r>
            <w:r w:rsidR="00507245">
              <w:t xml:space="preserve">benzodiazepine </w:t>
            </w:r>
            <w:r w:rsidRPr="00E25790">
              <w:t>overdose.</w:t>
            </w:r>
          </w:p>
        </w:tc>
      </w:tr>
      <w:tr w:rsidRPr="00E25790" w:rsidR="00115F48" w:rsidTr="00B97D99" w14:paraId="285FF4FE"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115AD541" w14:textId="77777777">
            <w:r w:rsidRPr="00E25790">
              <w:t>Dose :</w:t>
            </w:r>
          </w:p>
        </w:tc>
        <w:tc>
          <w:tcPr>
            <w:tcW w:w="6621" w:type="dxa"/>
            <w:tcBorders>
              <w:top w:val="single" w:color="auto" w:sz="6" w:space="0"/>
              <w:bottom w:val="single" w:color="auto" w:sz="6" w:space="0"/>
              <w:right w:val="single" w:color="auto" w:sz="6" w:space="0"/>
            </w:tcBorders>
          </w:tcPr>
          <w:p w:rsidRPr="00E25790" w:rsidR="00115F48" w:rsidP="00B97D99" w:rsidRDefault="00115F48" w14:paraId="64B3C666" w14:textId="544DB483">
            <w:r w:rsidRPr="00E25790">
              <w:t xml:space="preserve">Loading dose </w:t>
            </w:r>
            <w:r w:rsidR="00507245">
              <w:t>10</w:t>
            </w:r>
            <w:r w:rsidRPr="00E25790" w:rsidR="00507245">
              <w:t xml:space="preserve"> </w:t>
            </w:r>
            <w:r w:rsidRPr="00E25790">
              <w:t>microg/kg every 60 seconds x</w:t>
            </w:r>
            <w:r w:rsidR="00507245">
              <w:t xml:space="preserve">5 </w:t>
            </w:r>
            <w:r w:rsidRPr="00E25790">
              <w:t>max</w:t>
            </w:r>
            <w:r w:rsidR="00507245">
              <w:t>imum</w:t>
            </w:r>
            <w:r w:rsidRPr="00E25790">
              <w:t>.</w:t>
            </w:r>
          </w:p>
          <w:p w:rsidRPr="00E25790" w:rsidR="00115F48" w:rsidP="00B97D99" w:rsidRDefault="00115F48" w14:paraId="5FCF2233" w14:textId="4412E50D"/>
        </w:tc>
      </w:tr>
      <w:tr w:rsidRPr="00E25790" w:rsidR="00115F48" w:rsidTr="00B97D99" w14:paraId="2A6F92E5"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04466E6C" w14:textId="77777777">
            <w:r w:rsidRPr="00E25790">
              <w:t>Interval :</w:t>
            </w:r>
          </w:p>
        </w:tc>
        <w:tc>
          <w:tcPr>
            <w:tcW w:w="6621" w:type="dxa"/>
            <w:tcBorders>
              <w:top w:val="single" w:color="auto" w:sz="6" w:space="0"/>
              <w:bottom w:val="single" w:color="auto" w:sz="6" w:space="0"/>
              <w:right w:val="single" w:color="auto" w:sz="6" w:space="0"/>
            </w:tcBorders>
          </w:tcPr>
          <w:p w:rsidRPr="00E25790" w:rsidR="00115F48" w:rsidP="00B97D99" w:rsidRDefault="00115F48" w14:paraId="1D06D6EA" w14:textId="77777777">
            <w:r w:rsidRPr="00E25790">
              <w:t>Continuous infusion.</w:t>
            </w:r>
          </w:p>
        </w:tc>
      </w:tr>
      <w:tr w:rsidRPr="00E25790" w:rsidR="00115F48" w:rsidTr="00B97D99" w14:paraId="76C8446D"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15632466" w14:textId="77777777">
            <w:r w:rsidRPr="00E25790">
              <w:t>Route :</w:t>
            </w:r>
          </w:p>
        </w:tc>
        <w:tc>
          <w:tcPr>
            <w:tcW w:w="6621" w:type="dxa"/>
            <w:tcBorders>
              <w:top w:val="single" w:color="auto" w:sz="6" w:space="0"/>
              <w:bottom w:val="single" w:color="auto" w:sz="6" w:space="0"/>
              <w:right w:val="single" w:color="auto" w:sz="6" w:space="0"/>
            </w:tcBorders>
          </w:tcPr>
          <w:p w:rsidRPr="00E25790" w:rsidR="00115F48" w:rsidP="00B97D99" w:rsidRDefault="00115F48" w14:paraId="1778224B" w14:textId="77777777">
            <w:r w:rsidRPr="00E25790">
              <w:t>I.V.</w:t>
            </w:r>
          </w:p>
        </w:tc>
      </w:tr>
      <w:tr w:rsidRPr="00E25790" w:rsidR="00115F48" w:rsidTr="00B97D99" w14:paraId="4FEDA7F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7BF5F7BD" w14:textId="77777777">
            <w:r w:rsidRPr="00E25790">
              <w:t>Total Daily Dose :</w:t>
            </w:r>
          </w:p>
        </w:tc>
        <w:tc>
          <w:tcPr>
            <w:tcW w:w="6621" w:type="dxa"/>
            <w:tcBorders>
              <w:top w:val="single" w:color="auto" w:sz="6" w:space="0"/>
              <w:bottom w:val="single" w:color="auto" w:sz="6" w:space="0"/>
              <w:right w:val="single" w:color="auto" w:sz="6" w:space="0"/>
            </w:tcBorders>
          </w:tcPr>
          <w:p w:rsidRPr="00E25790" w:rsidR="00115F48" w:rsidP="00B97D99" w:rsidRDefault="00115F48" w14:paraId="262E0E77" w14:textId="77777777"/>
        </w:tc>
      </w:tr>
      <w:tr w:rsidRPr="00E25790" w:rsidR="00115F48" w:rsidTr="00B97D99" w14:paraId="6DF4965A"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B97D99" w:rsidRDefault="00115F48" w14:paraId="6B52C763" w14:textId="77777777">
            <w:r w:rsidRPr="00E25790">
              <w:t>Comments :</w:t>
            </w:r>
          </w:p>
        </w:tc>
        <w:tc>
          <w:tcPr>
            <w:tcW w:w="6621" w:type="dxa"/>
            <w:tcBorders>
              <w:top w:val="single" w:color="auto" w:sz="6" w:space="0"/>
              <w:bottom w:val="single" w:color="auto" w:sz="6" w:space="0"/>
              <w:right w:val="single" w:color="auto" w:sz="6" w:space="0"/>
            </w:tcBorders>
          </w:tcPr>
          <w:p w:rsidRPr="00E25790" w:rsidR="00115F48" w:rsidP="00B97D99" w:rsidRDefault="00115F48" w14:paraId="61B8146D" w14:textId="77777777">
            <w:r w:rsidRPr="00E25790">
              <w:t>Benzodiazepines taken by the mother towards the end of gestation are often responsible for evidence of poisoning or withdrawal symptoms because of the long half-life of diazepam, chlorazepate and others in the newborn.  The major metabolite, desmethyldiazepam has a longer half-life than the parent molecule and will therefore have an effect lingering for up to 2-3 weeks.</w:t>
            </w:r>
          </w:p>
        </w:tc>
      </w:tr>
      <w:tr w:rsidRPr="00E25790" w:rsidR="00115F48" w:rsidTr="00B97D99" w14:paraId="5C5CFB46"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5B38E518" w14:textId="77777777">
            <w:r w:rsidRPr="00E25790">
              <w:t>Supplied as :</w:t>
            </w:r>
          </w:p>
        </w:tc>
        <w:tc>
          <w:tcPr>
            <w:tcW w:w="6621" w:type="dxa"/>
            <w:tcBorders>
              <w:top w:val="single" w:color="auto" w:sz="6" w:space="0"/>
              <w:bottom w:val="single" w:color="auto" w:sz="6" w:space="0"/>
              <w:right w:val="single" w:color="auto" w:sz="6" w:space="0"/>
            </w:tcBorders>
          </w:tcPr>
          <w:p w:rsidRPr="00E25790" w:rsidR="00115F48" w:rsidP="00B97D99" w:rsidRDefault="00115F48" w14:paraId="30B9A0DD" w14:textId="23E9FDF0">
            <w:r w:rsidRPr="00E25790">
              <w:t xml:space="preserve"> Flumazenil 0.1 mg/ml </w:t>
            </w:r>
            <w:r w:rsidR="00835D4F">
              <w:t xml:space="preserve">for </w:t>
            </w:r>
            <w:r w:rsidRPr="00E25790">
              <w:t>inj</w:t>
            </w:r>
            <w:r w:rsidR="00835D4F">
              <w:t>ection</w:t>
            </w:r>
          </w:p>
        </w:tc>
      </w:tr>
      <w:tr w:rsidRPr="00E25790" w:rsidR="00115F48" w:rsidTr="00B97D99" w14:paraId="61382BA6" w14:textId="77777777">
        <w:trPr>
          <w:cantSplit/>
          <w:trHeight w:val="960"/>
        </w:trPr>
        <w:tc>
          <w:tcPr>
            <w:tcW w:w="2443" w:type="dxa"/>
            <w:tcBorders>
              <w:top w:val="single" w:color="auto" w:sz="6" w:space="0"/>
              <w:left w:val="single" w:color="auto" w:sz="6" w:space="0"/>
              <w:bottom w:val="single" w:color="auto" w:sz="6" w:space="0"/>
            </w:tcBorders>
          </w:tcPr>
          <w:p w:rsidRPr="00E25790" w:rsidR="00115F48" w:rsidP="00B97D99" w:rsidRDefault="00115F48" w14:paraId="7620A716" w14:textId="77777777">
            <w:r w:rsidRPr="00E25790">
              <w:t>Dilution :</w:t>
            </w:r>
          </w:p>
        </w:tc>
        <w:tc>
          <w:tcPr>
            <w:tcW w:w="6621" w:type="dxa"/>
            <w:tcBorders>
              <w:top w:val="single" w:color="auto" w:sz="6" w:space="0"/>
              <w:bottom w:val="single" w:color="auto" w:sz="6" w:space="0"/>
              <w:right w:val="single" w:color="auto" w:sz="6" w:space="0"/>
            </w:tcBorders>
          </w:tcPr>
          <w:p w:rsidRPr="00E25790" w:rsidR="00115F48" w:rsidP="00B97D99" w:rsidRDefault="00115F48" w14:paraId="5DB6DE18" w14:textId="11901EFA">
            <w:pPr>
              <w:pStyle w:val="BodyText"/>
              <w:jc w:val="left"/>
            </w:pPr>
            <w:r w:rsidRPr="00E25790">
              <w:t xml:space="preserve">Add ‘X’ mL of Flumazenil and dilute to make </w:t>
            </w:r>
            <w:r>
              <w:t>up</w:t>
            </w:r>
            <w:r w:rsidR="75A48559">
              <w:t xml:space="preserve"> </w:t>
            </w:r>
            <w:r>
              <w:t>to</w:t>
            </w:r>
            <w:r w:rsidRPr="00E25790">
              <w:t xml:space="preserve"> 20 mL with normal saline. </w:t>
            </w:r>
          </w:p>
          <w:p w:rsidRPr="00E25790" w:rsidR="00115F48" w:rsidP="00B97D99" w:rsidRDefault="00115F48" w14:paraId="4B731629" w14:textId="77777777">
            <w:pPr>
              <w:rPr>
                <w:lang w:val="de-DE"/>
              </w:rPr>
            </w:pPr>
            <w:r w:rsidRPr="00E25790">
              <w:rPr>
                <w:lang w:val="de-DE"/>
              </w:rPr>
              <w:t>‘X’ = Baby’s weight in kg.</w:t>
            </w:r>
          </w:p>
          <w:p w:rsidRPr="00E25790" w:rsidR="00115F48" w:rsidP="00B97D99" w:rsidRDefault="00115F48" w14:paraId="1925FBC3" w14:textId="77777777">
            <w:pPr>
              <w:rPr>
                <w:lang w:val="de-DE"/>
              </w:rPr>
            </w:pPr>
            <w:r w:rsidRPr="00E25790">
              <w:rPr>
                <w:lang w:val="de-DE"/>
              </w:rPr>
              <w:t xml:space="preserve">@ 1 mL/hr. = 5 microg/kg/hr. </w:t>
            </w:r>
          </w:p>
        </w:tc>
      </w:tr>
      <w:tr w:rsidRPr="00E25790" w:rsidR="00115F48" w:rsidTr="00B97D99" w14:paraId="305C5863"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42EF67E8" w14:textId="77777777">
            <w:r w:rsidRPr="00E25790">
              <w:t>Stability :</w:t>
            </w:r>
          </w:p>
        </w:tc>
        <w:tc>
          <w:tcPr>
            <w:tcW w:w="6621" w:type="dxa"/>
            <w:tcBorders>
              <w:top w:val="single" w:color="auto" w:sz="6" w:space="0"/>
              <w:bottom w:val="single" w:color="auto" w:sz="6" w:space="0"/>
              <w:right w:val="single" w:color="auto" w:sz="6" w:space="0"/>
            </w:tcBorders>
          </w:tcPr>
          <w:p w:rsidRPr="00E25790" w:rsidR="00115F48" w:rsidP="00B97D99" w:rsidRDefault="00115F48" w14:paraId="7571F8A2" w14:textId="77777777">
            <w:r w:rsidRPr="00E25790">
              <w:t>Room temperature.</w:t>
            </w:r>
          </w:p>
        </w:tc>
      </w:tr>
      <w:tr w:rsidRPr="00E25790" w:rsidR="00115F48" w:rsidTr="00B97D99" w14:paraId="29CCF89C"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61B7996A" w14:textId="77777777">
            <w:r w:rsidRPr="00E25790">
              <w:t>Storage :</w:t>
            </w:r>
          </w:p>
        </w:tc>
        <w:tc>
          <w:tcPr>
            <w:tcW w:w="6621" w:type="dxa"/>
            <w:tcBorders>
              <w:top w:val="single" w:color="auto" w:sz="6" w:space="0"/>
              <w:bottom w:val="single" w:color="auto" w:sz="6" w:space="0"/>
              <w:right w:val="single" w:color="auto" w:sz="6" w:space="0"/>
            </w:tcBorders>
          </w:tcPr>
          <w:p w:rsidRPr="00E25790" w:rsidR="00115F48" w:rsidP="00B97D99" w:rsidRDefault="00115F48" w14:paraId="5B857456" w14:textId="77777777">
            <w:r w:rsidRPr="00E25790">
              <w:t>Discard after opening.  Solution should not need administering longer than 12 hours.</w:t>
            </w:r>
          </w:p>
        </w:tc>
      </w:tr>
      <w:tr w:rsidRPr="00E25790" w:rsidR="00115F48" w:rsidTr="00B97D99" w14:paraId="42EF68AE"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B97D99" w:rsidRDefault="00115F48" w14:paraId="376A4BB1" w14:textId="77777777">
            <w:r w:rsidRPr="00E25790">
              <w:t>Incompatibility :</w:t>
            </w:r>
          </w:p>
        </w:tc>
        <w:tc>
          <w:tcPr>
            <w:tcW w:w="6621" w:type="dxa"/>
            <w:tcBorders>
              <w:top w:val="single" w:color="auto" w:sz="6" w:space="0"/>
              <w:bottom w:val="single" w:color="auto" w:sz="6" w:space="0"/>
              <w:right w:val="single" w:color="auto" w:sz="6" w:space="0"/>
            </w:tcBorders>
          </w:tcPr>
          <w:p w:rsidRPr="00E25790" w:rsidR="00115F48" w:rsidP="00B97D99" w:rsidRDefault="00115F48" w14:paraId="03E6A909" w14:textId="38607D4E">
            <w:r w:rsidRPr="00E25790">
              <w:t>Do not mix with other drugs.  Can be given with electrolyte solutions.</w:t>
            </w:r>
            <w:r w:rsidR="00507245">
              <w:t xml:space="preserve"> Compatible with Hartmann’s solution, Dextrose 5% and NaCl 0.9%</w:t>
            </w:r>
          </w:p>
        </w:tc>
      </w:tr>
      <w:tr w:rsidRPr="00E25790" w:rsidR="00115F48" w:rsidTr="00B97D99" w14:paraId="5B12C3CB"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CA4B74" w:rsidRDefault="00CA4B74" w14:paraId="758FADB4" w14:textId="6E900463">
            <w:r>
              <w:t>References</w:t>
            </w:r>
            <w:r w:rsidRPr="00E25790" w:rsidR="00115F48">
              <w:t>:</w:t>
            </w:r>
          </w:p>
        </w:tc>
        <w:tc>
          <w:tcPr>
            <w:tcW w:w="6621" w:type="dxa"/>
            <w:tcBorders>
              <w:top w:val="single" w:color="auto" w:sz="6" w:space="0"/>
              <w:bottom w:val="single" w:color="auto" w:sz="6" w:space="0"/>
              <w:right w:val="single" w:color="auto" w:sz="6" w:space="0"/>
            </w:tcBorders>
          </w:tcPr>
          <w:p w:rsidR="00CA4B74" w:rsidP="00B97D99" w:rsidRDefault="00CA4B74" w14:paraId="28133D34" w14:textId="77777777">
            <w:r>
              <w:t>AMH Children’s Dosing Companion</w:t>
            </w:r>
          </w:p>
          <w:p w:rsidR="00735C5A" w:rsidP="00B97D99" w:rsidRDefault="00CA4B74" w14:paraId="2ACE91CD" w14:textId="77777777">
            <w:r>
              <w:t>RCH Paediatric Injectable Guidelines</w:t>
            </w:r>
          </w:p>
          <w:p w:rsidRPr="00E25790" w:rsidR="00115F48" w:rsidP="00B97D99" w:rsidRDefault="00735C5A" w14:paraId="2407D212" w14:textId="3A353B82">
            <w:r>
              <w:t>IBM Micromedex</w:t>
            </w:r>
          </w:p>
        </w:tc>
      </w:tr>
    </w:tbl>
    <w:p w:rsidRPr="00E25790" w:rsidR="00115F48" w:rsidP="006F0321" w:rsidRDefault="00115F48" w14:paraId="79EE38FB" w14:textId="051FCA83"/>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
        <w:gridCol w:w="4059"/>
        <w:gridCol w:w="94"/>
        <w:gridCol w:w="4896"/>
        <w:gridCol w:w="1134"/>
      </w:tblGrid>
      <w:tr w:rsidRPr="003A7895" w:rsidR="00E424B4" w:rsidTr="00C85F7F" w14:paraId="4C7DBDD3" w14:textId="77777777">
        <w:tc>
          <w:tcPr>
            <w:tcW w:w="4111" w:type="dxa"/>
            <w:gridSpan w:val="2"/>
            <w:vAlign w:val="center"/>
          </w:tcPr>
          <w:p w:rsidRPr="003A7895" w:rsidR="008D3756" w:rsidP="0059793A" w:rsidRDefault="008D3756" w14:paraId="032A73EF" w14:textId="05670E41">
            <w:r w:rsidRPr="003A7895">
              <w:t xml:space="preserve">Original version Date: </w:t>
            </w:r>
            <w:r>
              <w:t>2014</w:t>
            </w:r>
          </w:p>
        </w:tc>
        <w:tc>
          <w:tcPr>
            <w:tcW w:w="6124" w:type="dxa"/>
            <w:gridSpan w:val="3"/>
            <w:vAlign w:val="center"/>
          </w:tcPr>
          <w:p w:rsidRPr="003A7895" w:rsidR="008D3756" w:rsidP="0059793A" w:rsidRDefault="008D3756" w14:paraId="0EAE36EC" w14:textId="1594BAF2">
            <w:r>
              <w:t>Author: AK</w:t>
            </w:r>
            <w:r w:rsidR="00C85F7F">
              <w:t>, JD</w:t>
            </w:r>
          </w:p>
        </w:tc>
      </w:tr>
      <w:tr w:rsidRPr="003A7895" w:rsidR="00E424B4" w:rsidTr="00C85F7F" w14:paraId="3897EBA1" w14:textId="77777777">
        <w:tc>
          <w:tcPr>
            <w:tcW w:w="4111" w:type="dxa"/>
            <w:gridSpan w:val="2"/>
            <w:vAlign w:val="center"/>
          </w:tcPr>
          <w:p w:rsidRPr="003A7895" w:rsidR="008D3756" w:rsidP="0059793A" w:rsidRDefault="008D3756" w14:paraId="0EE81A14" w14:textId="77777777">
            <w:pPr>
              <w:rPr>
                <w:bCs/>
              </w:rPr>
            </w:pPr>
            <w:r w:rsidRPr="003A7895">
              <w:t xml:space="preserve">Current Version number:  </w:t>
            </w:r>
            <w:r>
              <w:t>2</w:t>
            </w:r>
          </w:p>
        </w:tc>
        <w:tc>
          <w:tcPr>
            <w:tcW w:w="6124" w:type="dxa"/>
            <w:gridSpan w:val="3"/>
            <w:vAlign w:val="center"/>
          </w:tcPr>
          <w:p w:rsidRPr="003A7895" w:rsidR="008D3756" w:rsidP="0059793A" w:rsidRDefault="008D3756" w14:paraId="793D1D3F" w14:textId="44AD7E40">
            <w:r w:rsidRPr="003A7895">
              <w:t xml:space="preserve">Version Date:  </w:t>
            </w:r>
            <w:r w:rsidR="00C85F7F">
              <w:t>4</w:t>
            </w:r>
            <w:r>
              <w:t>/1/2021</w:t>
            </w:r>
          </w:p>
        </w:tc>
      </w:tr>
      <w:tr w:rsidRPr="003A7895" w:rsidR="00E424B4" w:rsidTr="00C85F7F" w14:paraId="418072B2" w14:textId="77777777">
        <w:tc>
          <w:tcPr>
            <w:tcW w:w="4111" w:type="dxa"/>
            <w:gridSpan w:val="2"/>
            <w:vAlign w:val="center"/>
          </w:tcPr>
          <w:p w:rsidRPr="003A7895" w:rsidR="008D3756" w:rsidP="0059793A" w:rsidRDefault="008D3756" w14:paraId="37374F23" w14:textId="77777777">
            <w:r>
              <w:t>Risk Rating: Low</w:t>
            </w:r>
          </w:p>
        </w:tc>
        <w:tc>
          <w:tcPr>
            <w:tcW w:w="6124" w:type="dxa"/>
            <w:gridSpan w:val="3"/>
            <w:vAlign w:val="center"/>
          </w:tcPr>
          <w:p w:rsidRPr="003A7895" w:rsidR="008D3756" w:rsidP="0059793A" w:rsidRDefault="008D3756" w14:paraId="5FE3CEC6" w14:textId="4D26C8E9">
            <w:r w:rsidRPr="003A7895">
              <w:t xml:space="preserve">Due for Review:  </w:t>
            </w:r>
            <w:r w:rsidR="00C85F7F">
              <w:t>4</w:t>
            </w:r>
            <w:r>
              <w:t>/1/2026</w:t>
            </w:r>
          </w:p>
        </w:tc>
      </w:tr>
      <w:tr w:rsidRPr="003A7895" w:rsidR="008D3756" w:rsidTr="00C85F7F" w14:paraId="35F7CC92" w14:textId="77777777">
        <w:trPr>
          <w:trHeight w:val="344"/>
        </w:trPr>
        <w:tc>
          <w:tcPr>
            <w:tcW w:w="4111" w:type="dxa"/>
            <w:gridSpan w:val="2"/>
            <w:tcBorders>
              <w:bottom w:val="single" w:color="auto" w:sz="4" w:space="0"/>
            </w:tcBorders>
            <w:vAlign w:val="center"/>
          </w:tcPr>
          <w:p w:rsidRPr="003A7895" w:rsidR="008D3756" w:rsidP="0059793A" w:rsidRDefault="008D3756" w14:paraId="77BCFEA9" w14:textId="77777777">
            <w:r w:rsidRPr="003A7895">
              <w:t>Approv</w:t>
            </w:r>
            <w:r>
              <w:t xml:space="preserve">al </w:t>
            </w:r>
            <w:r w:rsidRPr="003A7895">
              <w:t>by</w:t>
            </w:r>
            <w:r>
              <w:t>: DTC</w:t>
            </w:r>
          </w:p>
        </w:tc>
        <w:tc>
          <w:tcPr>
            <w:tcW w:w="6124" w:type="dxa"/>
            <w:gridSpan w:val="3"/>
            <w:tcBorders>
              <w:bottom w:val="single" w:color="auto" w:sz="4" w:space="0"/>
            </w:tcBorders>
            <w:vAlign w:val="center"/>
          </w:tcPr>
          <w:p w:rsidRPr="003A7895" w:rsidR="008D3756" w:rsidP="0059793A" w:rsidRDefault="008D3756" w14:paraId="28829E18" w14:textId="0B5E1B97">
            <w:r w:rsidRPr="003A7895">
              <w:t>Approval Date:</w:t>
            </w:r>
            <w:r>
              <w:t xml:space="preserve"> </w:t>
            </w:r>
            <w:r w:rsidR="00260BC8">
              <w:t>APRIL 2021</w:t>
            </w:r>
          </w:p>
        </w:tc>
      </w:tr>
      <w:tr w:rsidRPr="00E25790" w:rsidR="00115F48" w:rsidTr="00C85F7F" w14:paraId="210C4FE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52" w:type="dxa"/>
          <w:wAfter w:w="1134" w:type="dxa"/>
          <w:cantSplit/>
          <w:trHeight w:val="720"/>
        </w:trPr>
        <w:tc>
          <w:tcPr>
            <w:tcW w:w="9049" w:type="dxa"/>
            <w:gridSpan w:val="3"/>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1F01BF15" w14:textId="77777777">
            <w:pPr>
              <w:pStyle w:val="Heading1"/>
            </w:pPr>
            <w:bookmarkStart w:name="_Toc495481111" w:id="258"/>
            <w:bookmarkStart w:name="_Toc495481237" w:id="259"/>
            <w:bookmarkStart w:name="_Toc495481362" w:id="260"/>
            <w:bookmarkStart w:name="_Toc495501543" w:id="261"/>
            <w:bookmarkStart w:name="_Toc38106849" w:id="262"/>
            <w:bookmarkStart w:name="_Toc75339975" w:id="263"/>
            <w:r w:rsidRPr="00E25790">
              <w:lastRenderedPageBreak/>
              <w:t>Folic Acid</w:t>
            </w:r>
            <w:bookmarkEnd w:id="258"/>
            <w:bookmarkEnd w:id="259"/>
            <w:bookmarkEnd w:id="260"/>
            <w:bookmarkEnd w:id="261"/>
            <w:bookmarkEnd w:id="262"/>
            <w:bookmarkEnd w:id="263"/>
            <w:r w:rsidRPr="00E25790">
              <w:fldChar w:fldCharType="begin"/>
            </w:r>
            <w:r w:rsidRPr="00E25790">
              <w:instrText>tc "Folic Acid" \l 0</w:instrText>
            </w:r>
            <w:r w:rsidRPr="00E25790">
              <w:fldChar w:fldCharType="end"/>
            </w:r>
          </w:p>
        </w:tc>
      </w:tr>
      <w:tr w:rsidRPr="00E25790" w:rsidR="00115F48" w:rsidTr="00C85F7F" w14:paraId="3F5335B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52" w:type="dxa"/>
          <w:wAfter w:w="1134" w:type="dxa"/>
          <w:cantSplit/>
          <w:trHeight w:val="480"/>
        </w:trPr>
        <w:tc>
          <w:tcPr>
            <w:tcW w:w="4153" w:type="dxa"/>
            <w:gridSpan w:val="2"/>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70618756" w14:textId="77777777">
            <w:r w:rsidRPr="00E25790">
              <w:t>Revision Date</w:t>
            </w:r>
            <w:r w:rsidRPr="00E25790">
              <w:rPr>
                <w:b/>
              </w:rPr>
              <w:t xml:space="preserve"> : </w:t>
            </w:r>
            <w:r w:rsidRPr="00E25790" w:rsidR="00E6633F">
              <w:rPr>
                <w:b/>
              </w:rPr>
              <w:t>19/10/2018</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891E035" w14:textId="77777777">
            <w:r w:rsidRPr="00E25790">
              <w:t xml:space="preserve">Approved : </w:t>
            </w:r>
            <w:r w:rsidRPr="00E25790" w:rsidR="00E6633F">
              <w:t>TC</w:t>
            </w:r>
            <w:r w:rsidRPr="00E25790" w:rsidR="00DF3C58">
              <w:t xml:space="preserve">, </w:t>
            </w:r>
            <w:r w:rsidRPr="00E25790" w:rsidR="00E6633F">
              <w:t>KOH</w:t>
            </w:r>
          </w:p>
        </w:tc>
      </w:tr>
    </w:tbl>
    <w:p w:rsidR="00115F48" w:rsidP="006F0321" w:rsidRDefault="00115F48" w14:paraId="76413706" w14:textId="77777777"/>
    <w:tbl>
      <w:tblPr>
        <w:tblW w:w="5581"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987"/>
        <w:gridCol w:w="8077"/>
      </w:tblGrid>
      <w:tr w:rsidRPr="004D7A57" w:rsidR="00723D37" w:rsidTr="00D03862" w14:paraId="03B4F197" w14:textId="77777777">
        <w:trPr>
          <w:trHeight w:val="235"/>
        </w:trPr>
        <w:tc>
          <w:tcPr>
            <w:tcW w:w="987" w:type="pct"/>
          </w:tcPr>
          <w:p w:rsidRPr="004D7A57" w:rsidR="00723D37" w:rsidP="0059793A" w:rsidRDefault="00723D37" w14:paraId="11DC6326" w14:textId="77777777">
            <w:pPr>
              <w:pStyle w:val="BodyText"/>
              <w:tabs>
                <w:tab w:val="center" w:pos="1476"/>
              </w:tabs>
              <w:rPr>
                <w:rFonts w:cs="Arial" w:asciiTheme="minorHAnsi" w:hAnsiTheme="minorHAnsi"/>
                <w:b/>
                <w:sz w:val="20"/>
              </w:rPr>
            </w:pPr>
            <w:r w:rsidRPr="004D7A57">
              <w:rPr>
                <w:rFonts w:cs="Arial" w:asciiTheme="minorHAnsi" w:hAnsiTheme="minorHAnsi"/>
                <w:b/>
                <w:sz w:val="20"/>
              </w:rPr>
              <w:t>Alert</w:t>
            </w:r>
            <w:r w:rsidRPr="004D7A57">
              <w:rPr>
                <w:rFonts w:cs="Arial" w:asciiTheme="minorHAnsi" w:hAnsiTheme="minorHAnsi"/>
                <w:b/>
                <w:sz w:val="20"/>
              </w:rPr>
              <w:tab/>
            </w:r>
          </w:p>
        </w:tc>
        <w:tc>
          <w:tcPr>
            <w:tcW w:w="4013" w:type="pct"/>
          </w:tcPr>
          <w:p w:rsidRPr="004D7A57" w:rsidR="00723D37" w:rsidP="0059793A" w:rsidRDefault="00723D37" w14:paraId="4ED45131" w14:textId="77777777">
            <w:pPr>
              <w:pStyle w:val="BodyText"/>
              <w:rPr>
                <w:rFonts w:asciiTheme="minorHAnsi" w:hAnsiTheme="minorHAnsi"/>
                <w:sz w:val="20"/>
              </w:rPr>
            </w:pPr>
            <w:r w:rsidRPr="004D7A57">
              <w:rPr>
                <w:rFonts w:asciiTheme="minorHAnsi" w:hAnsiTheme="minorHAnsi"/>
                <w:sz w:val="20"/>
              </w:rPr>
              <w:t>There is no folic acid in Penta-vite and Brauer Baby &amp; Toddler Liquid Multivitamin, two commonly used multivitamin preparations in New South Wales.</w:t>
            </w:r>
          </w:p>
          <w:p w:rsidRPr="004D7A57" w:rsidR="00723D37" w:rsidP="0059793A" w:rsidRDefault="00723D37" w14:paraId="423B9AF8" w14:textId="77777777">
            <w:pPr>
              <w:pStyle w:val="BodyText"/>
              <w:rPr>
                <w:rFonts w:asciiTheme="minorHAnsi" w:hAnsiTheme="minorHAnsi"/>
                <w:sz w:val="20"/>
              </w:rPr>
            </w:pPr>
            <w:r w:rsidRPr="004D7A57">
              <w:rPr>
                <w:rFonts w:asciiTheme="minorHAnsi" w:hAnsiTheme="minorHAnsi"/>
                <w:sz w:val="20"/>
              </w:rPr>
              <w:t xml:space="preserve">Human milk fortifiers contain folate and provide 44-64 microgram/kg/day of folate at 150 mL/kg/day of fortified human milk. </w:t>
            </w:r>
          </w:p>
        </w:tc>
      </w:tr>
      <w:tr w:rsidRPr="004D7A57" w:rsidR="00723D37" w:rsidTr="00D03862" w14:paraId="20C5FEC5" w14:textId="77777777">
        <w:trPr>
          <w:trHeight w:val="763"/>
        </w:trPr>
        <w:tc>
          <w:tcPr>
            <w:tcW w:w="987" w:type="pct"/>
          </w:tcPr>
          <w:p w:rsidRPr="004D7A57" w:rsidR="00723D37" w:rsidP="0059793A" w:rsidRDefault="00723D37" w14:paraId="4FA4EAFF" w14:textId="77777777">
            <w:pPr>
              <w:pStyle w:val="BodyText"/>
              <w:rPr>
                <w:rFonts w:cs="Arial" w:asciiTheme="minorHAnsi" w:hAnsiTheme="minorHAnsi"/>
                <w:sz w:val="20"/>
              </w:rPr>
            </w:pPr>
            <w:r w:rsidRPr="004D7A57">
              <w:rPr>
                <w:rFonts w:cs="Arial" w:asciiTheme="minorHAnsi" w:hAnsiTheme="minorHAnsi"/>
                <w:b/>
                <w:bCs/>
                <w:sz w:val="20"/>
              </w:rPr>
              <w:t>Indication</w:t>
            </w:r>
          </w:p>
        </w:tc>
        <w:tc>
          <w:tcPr>
            <w:tcW w:w="4013" w:type="pct"/>
          </w:tcPr>
          <w:p w:rsidRPr="004D7A57" w:rsidR="00723D37" w:rsidP="001B0E05" w:rsidRDefault="00723D37" w14:paraId="04D81ADF" w14:textId="77777777">
            <w:pPr>
              <w:pStyle w:val="ListParagraph"/>
              <w:numPr>
                <w:ilvl w:val="0"/>
                <w:numId w:val="100"/>
              </w:numPr>
              <w:spacing w:after="200" w:line="276" w:lineRule="auto"/>
              <w:rPr>
                <w:rFonts w:asciiTheme="minorHAnsi" w:hAnsiTheme="minorHAnsi"/>
                <w:sz w:val="20"/>
              </w:rPr>
            </w:pPr>
            <w:r w:rsidRPr="004D7A57">
              <w:rPr>
                <w:rFonts w:asciiTheme="minorHAnsi" w:hAnsiTheme="minorHAnsi"/>
                <w:sz w:val="20"/>
              </w:rPr>
              <w:t>Prevention and treatment of folic acid deficiency including megaloblastic anaemia.</w:t>
            </w:r>
          </w:p>
          <w:p w:rsidRPr="004D7A57" w:rsidR="00723D37" w:rsidP="001B0E05" w:rsidRDefault="00723D37" w14:paraId="718B9581" w14:textId="77777777">
            <w:pPr>
              <w:pStyle w:val="ListParagraph"/>
              <w:numPr>
                <w:ilvl w:val="0"/>
                <w:numId w:val="100"/>
              </w:numPr>
              <w:spacing w:after="200" w:line="276" w:lineRule="auto"/>
              <w:rPr>
                <w:rFonts w:asciiTheme="minorHAnsi" w:hAnsiTheme="minorHAnsi"/>
                <w:sz w:val="20"/>
              </w:rPr>
            </w:pPr>
            <w:r w:rsidRPr="004D7A57">
              <w:rPr>
                <w:rFonts w:asciiTheme="minorHAnsi" w:hAnsiTheme="minorHAnsi"/>
                <w:sz w:val="20"/>
              </w:rPr>
              <w:t>Nutritional treatment of anaemia when folic acid intake may be inadequate.</w:t>
            </w:r>
          </w:p>
          <w:p w:rsidRPr="00C32322" w:rsidR="00723D37" w:rsidP="001B0E05" w:rsidRDefault="00723D37" w14:paraId="12F3746C" w14:textId="77777777">
            <w:pPr>
              <w:pStyle w:val="ListParagraph"/>
              <w:numPr>
                <w:ilvl w:val="0"/>
                <w:numId w:val="100"/>
              </w:numPr>
              <w:spacing w:after="200" w:line="276" w:lineRule="auto"/>
              <w:rPr>
                <w:rFonts w:asciiTheme="minorHAnsi" w:hAnsiTheme="minorHAnsi"/>
                <w:sz w:val="20"/>
              </w:rPr>
            </w:pPr>
            <w:r w:rsidRPr="004D7A57">
              <w:rPr>
                <w:rFonts w:asciiTheme="minorHAnsi" w:hAnsiTheme="minorHAnsi"/>
                <w:sz w:val="20"/>
              </w:rPr>
              <w:t>Supplementation following severe haemolysis – unclear evidence.</w:t>
            </w:r>
          </w:p>
        </w:tc>
      </w:tr>
      <w:tr w:rsidRPr="004D7A57" w:rsidR="00723D37" w:rsidTr="00D03862" w14:paraId="11D9D62C" w14:textId="77777777">
        <w:trPr>
          <w:trHeight w:val="703"/>
        </w:trPr>
        <w:tc>
          <w:tcPr>
            <w:tcW w:w="987" w:type="pct"/>
          </w:tcPr>
          <w:p w:rsidRPr="004D7A57" w:rsidR="00723D37" w:rsidP="0059793A" w:rsidRDefault="00723D37" w14:paraId="66CB937F" w14:textId="77777777">
            <w:pPr>
              <w:pStyle w:val="BodyText"/>
              <w:rPr>
                <w:rFonts w:cs="Arial" w:asciiTheme="minorHAnsi" w:hAnsiTheme="minorHAnsi"/>
                <w:b/>
                <w:bCs/>
                <w:sz w:val="20"/>
              </w:rPr>
            </w:pPr>
            <w:r w:rsidRPr="004D7A57">
              <w:rPr>
                <w:rFonts w:cs="Arial" w:asciiTheme="minorHAnsi" w:hAnsiTheme="minorHAnsi"/>
                <w:b/>
                <w:bCs/>
                <w:sz w:val="20"/>
              </w:rPr>
              <w:t>Action</w:t>
            </w:r>
          </w:p>
        </w:tc>
        <w:tc>
          <w:tcPr>
            <w:tcW w:w="4013" w:type="pct"/>
          </w:tcPr>
          <w:p w:rsidRPr="004D7A57" w:rsidR="00723D37" w:rsidP="0059793A" w:rsidRDefault="00723D37" w14:paraId="2AE6575D" w14:textId="77777777">
            <w:pPr>
              <w:rPr>
                <w:rFonts w:cs="Arial" w:asciiTheme="minorHAnsi" w:hAnsiTheme="minorHAnsi"/>
                <w:sz w:val="20"/>
              </w:rPr>
            </w:pPr>
            <w:r w:rsidRPr="004D7A57">
              <w:rPr>
                <w:rFonts w:cs="Arial" w:asciiTheme="minorHAnsi" w:hAnsiTheme="minorHAnsi"/>
                <w:sz w:val="20"/>
              </w:rPr>
              <w:t xml:space="preserve">Folate (Vitamin B9) is necessary for the synthesis of purines and thymine required for DNA formation. It is necessary for red cell maturation and promotion of cellular growth. The active form of folate is tetrahydrofolate </w:t>
            </w:r>
            <w:r w:rsidRPr="004D7A57">
              <w:rPr>
                <w:rFonts w:cs="Arial" w:asciiTheme="minorHAnsi" w:hAnsiTheme="minorHAnsi"/>
                <w:noProof/>
                <w:sz w:val="20"/>
              </w:rPr>
              <w:t>[1, 2].</w:t>
            </w:r>
            <w:r w:rsidRPr="004D7A57">
              <w:rPr>
                <w:rFonts w:cs="Arial" w:asciiTheme="minorHAnsi" w:hAnsiTheme="minorHAnsi"/>
                <w:sz w:val="20"/>
              </w:rPr>
              <w:t xml:space="preserve"> Supplemental folate is more bioavailable than folate normally present in food (85% versus 50%).</w:t>
            </w:r>
          </w:p>
          <w:p w:rsidRPr="004D7A57" w:rsidR="00723D37" w:rsidP="0059793A" w:rsidRDefault="00723D37" w14:paraId="61B257A9" w14:textId="77777777">
            <w:pPr>
              <w:rPr>
                <w:rFonts w:cs="Arial" w:asciiTheme="minorHAnsi" w:hAnsiTheme="minorHAnsi"/>
                <w:sz w:val="20"/>
              </w:rPr>
            </w:pPr>
            <w:r w:rsidRPr="004D7A57">
              <w:rPr>
                <w:rFonts w:cs="Arial" w:asciiTheme="minorHAnsi" w:hAnsiTheme="minorHAnsi"/>
                <w:sz w:val="20"/>
              </w:rPr>
              <w:t xml:space="preserve">Folinic acid is a metabolically active reduced form of folate that bypasses dihydrofolate reductase. Folate and folinic acid have a protective and probably similar effect against methotrexate related adverse effects in patients with inflammatory disease </w:t>
            </w:r>
            <w:r w:rsidRPr="004D7A57">
              <w:rPr>
                <w:rFonts w:cs="Arial" w:asciiTheme="minorHAnsi" w:hAnsiTheme="minorHAnsi"/>
                <w:noProof/>
                <w:sz w:val="20"/>
              </w:rPr>
              <w:t>[3, 4].</w:t>
            </w:r>
            <w:r w:rsidRPr="004D7A57">
              <w:rPr>
                <w:rFonts w:cs="Arial" w:asciiTheme="minorHAnsi" w:hAnsiTheme="minorHAnsi"/>
                <w:sz w:val="20"/>
              </w:rPr>
              <w:t xml:space="preserve"> As folinic acid is expensive, folate may be preferred.</w:t>
            </w:r>
          </w:p>
        </w:tc>
      </w:tr>
      <w:tr w:rsidRPr="004D7A57" w:rsidR="00723D37" w:rsidTr="00D03862" w14:paraId="12C34A91" w14:textId="77777777">
        <w:trPr>
          <w:trHeight w:val="72"/>
        </w:trPr>
        <w:tc>
          <w:tcPr>
            <w:tcW w:w="987" w:type="pct"/>
          </w:tcPr>
          <w:p w:rsidRPr="004D7A57" w:rsidR="00723D37" w:rsidP="0059793A" w:rsidRDefault="00723D37" w14:paraId="6CFA1F69" w14:textId="77777777">
            <w:pPr>
              <w:pStyle w:val="BodyText"/>
              <w:rPr>
                <w:rFonts w:cs="Arial" w:asciiTheme="minorHAnsi" w:hAnsiTheme="minorHAnsi"/>
                <w:sz w:val="20"/>
              </w:rPr>
            </w:pPr>
            <w:r w:rsidRPr="004D7A57">
              <w:rPr>
                <w:rFonts w:cs="Arial" w:asciiTheme="minorHAnsi" w:hAnsiTheme="minorHAnsi"/>
                <w:b/>
                <w:bCs/>
                <w:sz w:val="20"/>
              </w:rPr>
              <w:t xml:space="preserve">Drug Type                                   </w:t>
            </w:r>
          </w:p>
        </w:tc>
        <w:tc>
          <w:tcPr>
            <w:tcW w:w="4013" w:type="pct"/>
          </w:tcPr>
          <w:p w:rsidRPr="004D7A57" w:rsidR="00723D37" w:rsidP="0059793A" w:rsidRDefault="00723D37" w14:paraId="5293FFA5" w14:textId="77777777">
            <w:pPr>
              <w:pStyle w:val="BodyText"/>
              <w:rPr>
                <w:rFonts w:cs="Arial" w:asciiTheme="minorHAnsi" w:hAnsiTheme="minorHAnsi"/>
                <w:sz w:val="20"/>
              </w:rPr>
            </w:pPr>
            <w:r w:rsidRPr="004D7A57">
              <w:rPr>
                <w:rFonts w:cs="Arial" w:asciiTheme="minorHAnsi" w:hAnsiTheme="minorHAnsi"/>
                <w:sz w:val="20"/>
              </w:rPr>
              <w:t>Vitamin B9</w:t>
            </w:r>
          </w:p>
        </w:tc>
      </w:tr>
      <w:tr w:rsidRPr="004D7A57" w:rsidR="00723D37" w:rsidTr="00D03862" w14:paraId="2454430A" w14:textId="77777777">
        <w:trPr>
          <w:trHeight w:val="198"/>
        </w:trPr>
        <w:tc>
          <w:tcPr>
            <w:tcW w:w="987" w:type="pct"/>
          </w:tcPr>
          <w:p w:rsidRPr="004D7A57" w:rsidR="00723D37" w:rsidP="0059793A" w:rsidRDefault="00723D37" w14:paraId="6910462F" w14:textId="77777777">
            <w:pPr>
              <w:pStyle w:val="BodyText"/>
              <w:rPr>
                <w:rFonts w:cs="Arial" w:asciiTheme="minorHAnsi" w:hAnsiTheme="minorHAnsi"/>
                <w:b/>
                <w:bCs/>
                <w:sz w:val="20"/>
              </w:rPr>
            </w:pPr>
            <w:r w:rsidRPr="004D7A57">
              <w:rPr>
                <w:rFonts w:cs="Arial" w:asciiTheme="minorHAnsi" w:hAnsiTheme="minorHAnsi"/>
                <w:b/>
                <w:bCs/>
                <w:sz w:val="20"/>
              </w:rPr>
              <w:t xml:space="preserve">Trade Name                  </w:t>
            </w:r>
          </w:p>
        </w:tc>
        <w:tc>
          <w:tcPr>
            <w:tcW w:w="4013" w:type="pct"/>
          </w:tcPr>
          <w:p w:rsidRPr="004D7A57" w:rsidR="00723D37" w:rsidP="0059793A" w:rsidRDefault="00723D37" w14:paraId="30616B0B" w14:textId="77777777">
            <w:pPr>
              <w:pStyle w:val="BodyText"/>
              <w:rPr>
                <w:rFonts w:cs="Arial" w:asciiTheme="minorHAnsi" w:hAnsiTheme="minorHAnsi"/>
                <w:sz w:val="20"/>
              </w:rPr>
            </w:pPr>
            <w:r w:rsidRPr="004D7A57">
              <w:rPr>
                <w:rFonts w:cs="Arial" w:asciiTheme="minorHAnsi" w:hAnsiTheme="minorHAnsi"/>
                <w:sz w:val="20"/>
              </w:rPr>
              <w:t>Blackmores Folate Tablets; Foltabs Tablets; Megafol Tablets; Folic Acid Oral Solution; Folic Acid Injection Biological Therapies; Folic Acid Injection Phebra</w:t>
            </w:r>
          </w:p>
        </w:tc>
      </w:tr>
      <w:tr w:rsidRPr="004D7A57" w:rsidR="00723D37" w:rsidTr="00D03862" w14:paraId="3339B1EB" w14:textId="77777777">
        <w:trPr>
          <w:trHeight w:val="354"/>
        </w:trPr>
        <w:tc>
          <w:tcPr>
            <w:tcW w:w="987" w:type="pct"/>
          </w:tcPr>
          <w:p w:rsidRPr="004D7A57" w:rsidR="00723D37" w:rsidP="0059793A" w:rsidRDefault="00723D37" w14:paraId="4F9C9965" w14:textId="77777777">
            <w:pPr>
              <w:pStyle w:val="BodyText"/>
              <w:rPr>
                <w:rFonts w:cs="Arial" w:asciiTheme="minorHAnsi" w:hAnsiTheme="minorHAnsi"/>
                <w:b/>
                <w:bCs/>
                <w:sz w:val="20"/>
              </w:rPr>
            </w:pPr>
            <w:r w:rsidRPr="004D7A57">
              <w:rPr>
                <w:rFonts w:cs="Arial" w:asciiTheme="minorHAnsi" w:hAnsiTheme="minorHAnsi"/>
                <w:b/>
                <w:bCs/>
                <w:sz w:val="20"/>
              </w:rPr>
              <w:t xml:space="preserve">Presentation </w:t>
            </w:r>
          </w:p>
        </w:tc>
        <w:tc>
          <w:tcPr>
            <w:tcW w:w="4013" w:type="pct"/>
          </w:tcPr>
          <w:p w:rsidRPr="004D7A57" w:rsidR="00723D37" w:rsidP="0059793A" w:rsidRDefault="00723D37" w14:paraId="45B58B76" w14:textId="77777777">
            <w:pPr>
              <w:pStyle w:val="BodyText"/>
              <w:rPr>
                <w:rFonts w:cs="Arial" w:asciiTheme="minorHAnsi" w:hAnsiTheme="minorHAnsi"/>
                <w:sz w:val="20"/>
              </w:rPr>
            </w:pPr>
            <w:r w:rsidRPr="004D7A57">
              <w:rPr>
                <w:rFonts w:cs="Arial" w:asciiTheme="minorHAnsi" w:hAnsiTheme="minorHAnsi"/>
                <w:sz w:val="20"/>
              </w:rPr>
              <w:t>5 mg/mL 1 mL vial [Phebra] (each vial contains 34.5 mg/mL of sodium)</w:t>
            </w:r>
          </w:p>
          <w:p w:rsidRPr="004D7A57" w:rsidR="00723D37" w:rsidP="0059793A" w:rsidRDefault="00723D37" w14:paraId="60B40A8D" w14:textId="77777777">
            <w:pPr>
              <w:pStyle w:val="BodyText"/>
              <w:rPr>
                <w:rFonts w:cs="Arial" w:asciiTheme="minorHAnsi" w:hAnsiTheme="minorHAnsi"/>
                <w:sz w:val="20"/>
              </w:rPr>
            </w:pPr>
            <w:r w:rsidRPr="004D7A57">
              <w:rPr>
                <w:rFonts w:cs="Arial" w:asciiTheme="minorHAnsi" w:hAnsiTheme="minorHAnsi"/>
                <w:sz w:val="20"/>
              </w:rPr>
              <w:t>15 mg/mL 1 mL vial [Biological Therapies] (each vial contains 2.4 mg/mL of sodium)</w:t>
            </w:r>
          </w:p>
          <w:p w:rsidRPr="004D7A57" w:rsidR="00723D37" w:rsidP="0059793A" w:rsidRDefault="00723D37" w14:paraId="7605B782" w14:textId="77777777">
            <w:pPr>
              <w:pStyle w:val="BodyText"/>
              <w:rPr>
                <w:rFonts w:cs="Arial" w:asciiTheme="minorHAnsi" w:hAnsiTheme="minorHAnsi"/>
                <w:sz w:val="20"/>
              </w:rPr>
            </w:pPr>
            <w:r>
              <w:rPr>
                <w:rFonts w:cs="Arial" w:asciiTheme="minorHAnsi" w:hAnsiTheme="minorHAnsi"/>
                <w:sz w:val="20"/>
              </w:rPr>
              <w:t xml:space="preserve">0.05mg/mL (50microgram/mL) or </w:t>
            </w:r>
            <w:r w:rsidRPr="004D7A57">
              <w:rPr>
                <w:rFonts w:cs="Arial" w:asciiTheme="minorHAnsi" w:hAnsiTheme="minorHAnsi"/>
                <w:sz w:val="20"/>
              </w:rPr>
              <w:t xml:space="preserve">1 mg/mL oral solution can be prepared by pharmacy. </w:t>
            </w:r>
          </w:p>
          <w:p w:rsidRPr="004D7A57" w:rsidR="00723D37" w:rsidP="0059793A" w:rsidRDefault="00723D37" w14:paraId="545DF2D5" w14:textId="77777777">
            <w:pPr>
              <w:pStyle w:val="BodyText"/>
              <w:rPr>
                <w:rFonts w:cs="Arial" w:asciiTheme="minorHAnsi" w:hAnsiTheme="minorHAnsi"/>
                <w:sz w:val="20"/>
              </w:rPr>
            </w:pPr>
            <w:r w:rsidRPr="004D7A57">
              <w:rPr>
                <w:rFonts w:cs="Arial" w:asciiTheme="minorHAnsi" w:hAnsiTheme="minorHAnsi"/>
                <w:sz w:val="20"/>
              </w:rPr>
              <w:t>500 microgram Mega</w:t>
            </w:r>
            <w:r>
              <w:rPr>
                <w:rFonts w:cs="Arial" w:asciiTheme="minorHAnsi" w:hAnsiTheme="minorHAnsi"/>
                <w:sz w:val="20"/>
              </w:rPr>
              <w:t>f</w:t>
            </w:r>
            <w:r w:rsidRPr="004D7A57">
              <w:rPr>
                <w:rFonts w:cs="Arial" w:asciiTheme="minorHAnsi" w:hAnsiTheme="minorHAnsi"/>
                <w:sz w:val="20"/>
              </w:rPr>
              <w:t>ol tablet, 5mg Mega</w:t>
            </w:r>
            <w:r>
              <w:rPr>
                <w:rFonts w:cs="Arial" w:asciiTheme="minorHAnsi" w:hAnsiTheme="minorHAnsi"/>
                <w:sz w:val="20"/>
              </w:rPr>
              <w:t>f</w:t>
            </w:r>
            <w:r w:rsidRPr="004D7A57">
              <w:rPr>
                <w:rFonts w:cs="Arial" w:asciiTheme="minorHAnsi" w:hAnsiTheme="minorHAnsi"/>
                <w:sz w:val="20"/>
              </w:rPr>
              <w:t xml:space="preserve">ol tablet </w:t>
            </w:r>
          </w:p>
        </w:tc>
      </w:tr>
      <w:tr w:rsidRPr="004D7A57" w:rsidR="00723D37" w:rsidTr="00D03862" w14:paraId="38894D66" w14:textId="77777777">
        <w:trPr>
          <w:trHeight w:val="180"/>
        </w:trPr>
        <w:tc>
          <w:tcPr>
            <w:tcW w:w="987" w:type="pct"/>
          </w:tcPr>
          <w:p w:rsidRPr="004D7A57" w:rsidR="00723D37" w:rsidP="0059793A" w:rsidRDefault="00723D37" w14:paraId="476B445C" w14:textId="77777777">
            <w:pPr>
              <w:pStyle w:val="BodyText"/>
              <w:rPr>
                <w:rFonts w:cs="Arial" w:asciiTheme="minorHAnsi" w:hAnsiTheme="minorHAnsi"/>
                <w:b/>
                <w:bCs/>
                <w:sz w:val="20"/>
              </w:rPr>
            </w:pPr>
            <w:r w:rsidRPr="004D7A57">
              <w:rPr>
                <w:rFonts w:cs="Arial" w:asciiTheme="minorHAnsi" w:hAnsiTheme="minorHAnsi"/>
                <w:b/>
                <w:bCs/>
                <w:sz w:val="20"/>
              </w:rPr>
              <w:t xml:space="preserve">Dosage/Interval                           </w:t>
            </w:r>
          </w:p>
          <w:p w:rsidRPr="004D7A57" w:rsidR="00723D37" w:rsidP="0059793A" w:rsidRDefault="00723D37" w14:paraId="792A5BE7" w14:textId="77777777">
            <w:pPr>
              <w:pStyle w:val="BodyText"/>
              <w:rPr>
                <w:rFonts w:cs="Arial" w:asciiTheme="minorHAnsi" w:hAnsiTheme="minorHAnsi"/>
                <w:sz w:val="20"/>
              </w:rPr>
            </w:pPr>
          </w:p>
        </w:tc>
        <w:tc>
          <w:tcPr>
            <w:tcW w:w="4013" w:type="pct"/>
          </w:tcPr>
          <w:p w:rsidRPr="004D7A57" w:rsidR="00723D37" w:rsidP="0059793A" w:rsidRDefault="00723D37" w14:paraId="6914AEFE" w14:textId="77777777">
            <w:pPr>
              <w:rPr>
                <w:rFonts w:cs="Arial" w:asciiTheme="minorHAnsi" w:hAnsiTheme="minorHAnsi"/>
                <w:sz w:val="20"/>
              </w:rPr>
            </w:pPr>
            <w:r w:rsidRPr="004D7A57">
              <w:rPr>
                <w:rFonts w:cs="Arial" w:asciiTheme="minorHAnsi" w:hAnsiTheme="minorHAnsi"/>
                <w:sz w:val="20"/>
              </w:rPr>
              <w:t xml:space="preserve">Enteral supplementation for very low birthweight infants* </w:t>
            </w:r>
          </w:p>
          <w:p w:rsidRPr="004D7A57" w:rsidR="00723D37" w:rsidP="0059793A" w:rsidRDefault="00723D37" w14:paraId="598A2CB3" w14:textId="77777777">
            <w:pPr>
              <w:ind w:left="720"/>
              <w:rPr>
                <w:rFonts w:cs="Arial" w:asciiTheme="minorHAnsi" w:hAnsiTheme="minorHAnsi"/>
                <w:sz w:val="20"/>
              </w:rPr>
            </w:pPr>
            <w:r w:rsidRPr="004D7A57">
              <w:rPr>
                <w:rFonts w:cs="Arial" w:asciiTheme="minorHAnsi" w:hAnsiTheme="minorHAnsi"/>
                <w:sz w:val="20"/>
              </w:rPr>
              <w:t>50 micrograms/</w:t>
            </w:r>
            <w:r>
              <w:rPr>
                <w:rFonts w:cs="Arial" w:asciiTheme="minorHAnsi" w:hAnsiTheme="minorHAnsi"/>
                <w:sz w:val="20"/>
              </w:rPr>
              <w:t>kg/</w:t>
            </w:r>
            <w:r w:rsidRPr="004D7A57">
              <w:rPr>
                <w:rFonts w:cs="Arial" w:asciiTheme="minorHAnsi" w:hAnsiTheme="minorHAnsi"/>
                <w:sz w:val="20"/>
              </w:rPr>
              <w:t>day (</w:t>
            </w:r>
            <w:r>
              <w:rPr>
                <w:rFonts w:cs="Arial" w:asciiTheme="minorHAnsi" w:hAnsiTheme="minorHAnsi"/>
                <w:sz w:val="20"/>
              </w:rPr>
              <w:t xml:space="preserve">Recommended Daily Intake: </w:t>
            </w:r>
            <w:r w:rsidRPr="004D7A57">
              <w:rPr>
                <w:rFonts w:cs="Arial" w:asciiTheme="minorHAnsi" w:hAnsiTheme="minorHAnsi"/>
                <w:sz w:val="20"/>
              </w:rPr>
              <w:t>35-100 micrograms/</w:t>
            </w:r>
            <w:r>
              <w:rPr>
                <w:rFonts w:cs="Arial" w:asciiTheme="minorHAnsi" w:hAnsiTheme="minorHAnsi"/>
                <w:sz w:val="20"/>
              </w:rPr>
              <w:t>kg/</w:t>
            </w:r>
            <w:r w:rsidRPr="004D7A57">
              <w:rPr>
                <w:rFonts w:cs="Arial" w:asciiTheme="minorHAnsi" w:hAnsiTheme="minorHAnsi"/>
                <w:sz w:val="20"/>
              </w:rPr>
              <w:t>day)</w:t>
            </w:r>
            <w:r w:rsidRPr="001C0448">
              <w:rPr>
                <w:rFonts w:cs="Arial" w:asciiTheme="minorHAnsi" w:hAnsiTheme="minorHAnsi"/>
                <w:sz w:val="20"/>
                <w:vertAlign w:val="superscript"/>
              </w:rPr>
              <w:t>11</w:t>
            </w:r>
          </w:p>
          <w:p w:rsidRPr="004D7A57" w:rsidR="00723D37" w:rsidP="0059793A" w:rsidRDefault="00723D37" w14:paraId="24E1B47B" w14:textId="77777777">
            <w:pPr>
              <w:rPr>
                <w:rFonts w:cs="Arial" w:asciiTheme="minorHAnsi" w:hAnsiTheme="minorHAnsi"/>
                <w:sz w:val="20"/>
              </w:rPr>
            </w:pPr>
          </w:p>
          <w:p w:rsidRPr="004D7A57" w:rsidR="00723D37" w:rsidP="0059793A" w:rsidRDefault="00723D37" w14:paraId="01D5AA47" w14:textId="77777777">
            <w:pPr>
              <w:rPr>
                <w:rFonts w:cs="Arial" w:asciiTheme="minorHAnsi" w:hAnsiTheme="minorHAnsi"/>
                <w:sz w:val="20"/>
              </w:rPr>
            </w:pPr>
            <w:r w:rsidRPr="004D7A57">
              <w:rPr>
                <w:rFonts w:cs="Arial" w:asciiTheme="minorHAnsi" w:hAnsiTheme="minorHAnsi"/>
                <w:sz w:val="20"/>
              </w:rPr>
              <w:t>Treatment of folic acid deficiency:</w:t>
            </w:r>
          </w:p>
          <w:p w:rsidRPr="004D7A57" w:rsidR="00723D37" w:rsidP="0059793A" w:rsidRDefault="00723D37" w14:paraId="7CF2263A" w14:textId="77777777">
            <w:pPr>
              <w:ind w:left="720"/>
              <w:rPr>
                <w:rFonts w:cs="Arial" w:asciiTheme="minorHAnsi" w:hAnsiTheme="minorHAnsi"/>
                <w:sz w:val="20"/>
              </w:rPr>
            </w:pPr>
            <w:r w:rsidRPr="004D7A57">
              <w:rPr>
                <w:rFonts w:cs="Arial" w:asciiTheme="minorHAnsi" w:hAnsiTheme="minorHAnsi"/>
                <w:sz w:val="20"/>
              </w:rPr>
              <w:t>100 microgram/day (</w:t>
            </w:r>
            <w:r w:rsidRPr="004D7A57">
              <w:rPr>
                <w:rFonts w:cs="Arial" w:asciiTheme="minorHAnsi" w:hAnsiTheme="minorHAnsi"/>
                <w:sz w:val="20"/>
                <w:u w:val="single"/>
              </w:rPr>
              <w:t>not</w:t>
            </w:r>
            <w:r w:rsidRPr="004D7A57">
              <w:rPr>
                <w:rFonts w:cs="Arial" w:asciiTheme="minorHAnsi" w:hAnsiTheme="minorHAnsi"/>
                <w:sz w:val="20"/>
              </w:rPr>
              <w:t xml:space="preserve"> per kg)</w:t>
            </w:r>
          </w:p>
          <w:p w:rsidRPr="004D7A57" w:rsidR="00723D37" w:rsidP="0059793A" w:rsidRDefault="00723D37" w14:paraId="70B1875D" w14:textId="77777777">
            <w:pPr>
              <w:rPr>
                <w:rFonts w:cs="Arial" w:asciiTheme="minorHAnsi" w:hAnsiTheme="minorHAnsi"/>
                <w:sz w:val="20"/>
              </w:rPr>
            </w:pPr>
          </w:p>
          <w:p w:rsidRPr="004D7A57" w:rsidR="00723D37" w:rsidP="0059793A" w:rsidRDefault="00723D37" w14:paraId="65A2FB23" w14:textId="77777777">
            <w:pPr>
              <w:rPr>
                <w:rFonts w:cs="Arial" w:asciiTheme="minorHAnsi" w:hAnsiTheme="minorHAnsi"/>
                <w:sz w:val="20"/>
              </w:rPr>
            </w:pPr>
            <w:r w:rsidRPr="004D7A57">
              <w:rPr>
                <w:rFonts w:cs="Arial" w:asciiTheme="minorHAnsi" w:hAnsiTheme="minorHAnsi"/>
                <w:sz w:val="20"/>
              </w:rPr>
              <w:t>*Estimated enteral intakes based on 100 mL/kg human milk and 150 mL/kg fortified human milk are 8.5</w:t>
            </w:r>
            <w:r>
              <w:rPr>
                <w:rFonts w:cs="Arial" w:asciiTheme="minorHAnsi" w:hAnsiTheme="minorHAnsi"/>
                <w:sz w:val="20"/>
              </w:rPr>
              <w:t>-16</w:t>
            </w:r>
            <w:r w:rsidRPr="004D7A57">
              <w:rPr>
                <w:rFonts w:cs="Arial" w:asciiTheme="minorHAnsi" w:hAnsiTheme="minorHAnsi"/>
                <w:sz w:val="20"/>
              </w:rPr>
              <w:t xml:space="preserve"> and 44-64 microgram/kg/day respectively.</w:t>
            </w:r>
            <w:r w:rsidRPr="001C0448">
              <w:rPr>
                <w:rFonts w:cs="Arial" w:asciiTheme="minorHAnsi" w:hAnsiTheme="minorHAnsi"/>
                <w:sz w:val="20"/>
                <w:vertAlign w:val="superscript"/>
              </w:rPr>
              <w:t>10</w:t>
            </w:r>
          </w:p>
        </w:tc>
      </w:tr>
      <w:tr w:rsidRPr="004D7A57" w:rsidR="00723D37" w:rsidTr="00D03862" w14:paraId="540D0130" w14:textId="77777777">
        <w:trPr>
          <w:trHeight w:val="282"/>
        </w:trPr>
        <w:tc>
          <w:tcPr>
            <w:tcW w:w="987" w:type="pct"/>
          </w:tcPr>
          <w:p w:rsidRPr="004D7A57" w:rsidR="00723D37" w:rsidP="0059793A" w:rsidRDefault="00723D37" w14:paraId="066B1A2D" w14:textId="77777777">
            <w:pPr>
              <w:pStyle w:val="BodyText"/>
              <w:rPr>
                <w:rFonts w:cs="Arial" w:asciiTheme="minorHAnsi" w:hAnsiTheme="minorHAnsi"/>
                <w:b/>
                <w:bCs/>
                <w:sz w:val="20"/>
              </w:rPr>
            </w:pPr>
            <w:r w:rsidRPr="004D7A57">
              <w:rPr>
                <w:rFonts w:cs="Arial" w:asciiTheme="minorHAnsi" w:hAnsiTheme="minorHAnsi"/>
                <w:b/>
                <w:bCs/>
                <w:sz w:val="20"/>
              </w:rPr>
              <w:t>Route</w:t>
            </w:r>
          </w:p>
        </w:tc>
        <w:tc>
          <w:tcPr>
            <w:tcW w:w="4013" w:type="pct"/>
          </w:tcPr>
          <w:p w:rsidRPr="004D7A57" w:rsidR="00723D37" w:rsidP="0059793A" w:rsidRDefault="00723D37" w14:paraId="55D7D4D6" w14:textId="77777777">
            <w:pPr>
              <w:pStyle w:val="BodyText"/>
              <w:rPr>
                <w:rFonts w:cs="Arial" w:asciiTheme="minorHAnsi" w:hAnsiTheme="minorHAnsi"/>
                <w:sz w:val="20"/>
              </w:rPr>
            </w:pPr>
            <w:r w:rsidRPr="004D7A57">
              <w:rPr>
                <w:rFonts w:cs="Arial" w:asciiTheme="minorHAnsi" w:hAnsiTheme="minorHAnsi"/>
                <w:sz w:val="20"/>
              </w:rPr>
              <w:t>Oral</w:t>
            </w:r>
          </w:p>
        </w:tc>
      </w:tr>
      <w:tr w:rsidRPr="004D7A57" w:rsidR="00723D37" w:rsidTr="00D03862" w14:paraId="1076F12A" w14:textId="77777777">
        <w:trPr>
          <w:trHeight w:val="234"/>
        </w:trPr>
        <w:tc>
          <w:tcPr>
            <w:tcW w:w="987" w:type="pct"/>
          </w:tcPr>
          <w:p w:rsidRPr="004D7A57" w:rsidR="00723D37" w:rsidP="0059793A" w:rsidRDefault="00723D37" w14:paraId="11F37A6A" w14:textId="77777777">
            <w:pPr>
              <w:rPr>
                <w:rFonts w:asciiTheme="minorHAnsi" w:hAnsiTheme="minorHAnsi"/>
                <w:b/>
                <w:sz w:val="20"/>
              </w:rPr>
            </w:pPr>
            <w:r w:rsidRPr="004D7A57">
              <w:rPr>
                <w:rFonts w:asciiTheme="minorHAnsi" w:hAnsiTheme="minorHAnsi"/>
                <w:b/>
                <w:sz w:val="20"/>
              </w:rPr>
              <w:t>Maximum Daily Dose</w:t>
            </w:r>
          </w:p>
        </w:tc>
        <w:tc>
          <w:tcPr>
            <w:tcW w:w="4013" w:type="pct"/>
          </w:tcPr>
          <w:p w:rsidRPr="004D7A57" w:rsidR="00723D37" w:rsidP="0059793A" w:rsidRDefault="00723D37" w14:paraId="44ABDE2B" w14:textId="77777777">
            <w:pPr>
              <w:rPr>
                <w:rFonts w:asciiTheme="minorHAnsi" w:hAnsiTheme="minorHAnsi"/>
                <w:sz w:val="20"/>
              </w:rPr>
            </w:pPr>
          </w:p>
        </w:tc>
      </w:tr>
      <w:tr w:rsidRPr="004D7A57" w:rsidR="00723D37" w:rsidTr="00ED2747" w14:paraId="0C945D3B" w14:textId="77777777">
        <w:trPr>
          <w:trHeight w:val="1560"/>
        </w:trPr>
        <w:tc>
          <w:tcPr>
            <w:tcW w:w="987" w:type="pct"/>
          </w:tcPr>
          <w:p w:rsidRPr="004D7A57" w:rsidR="00723D37" w:rsidP="0059793A" w:rsidRDefault="00723D37" w14:paraId="3E0E8E0F" w14:textId="77777777">
            <w:pPr>
              <w:pStyle w:val="BodyText"/>
              <w:rPr>
                <w:rFonts w:cs="Arial" w:asciiTheme="minorHAnsi" w:hAnsiTheme="minorHAnsi"/>
                <w:b/>
                <w:bCs/>
                <w:sz w:val="20"/>
                <w:highlight w:val="cyan"/>
              </w:rPr>
            </w:pPr>
            <w:r w:rsidRPr="004D7A57">
              <w:rPr>
                <w:rFonts w:cs="Arial" w:asciiTheme="minorHAnsi" w:hAnsiTheme="minorHAnsi"/>
                <w:b/>
                <w:bCs/>
                <w:sz w:val="20"/>
              </w:rPr>
              <w:t xml:space="preserve">Preparation/Dilution </w:t>
            </w:r>
            <w:r w:rsidRPr="004D7A57">
              <w:rPr>
                <w:rFonts w:cs="Arial" w:asciiTheme="minorHAnsi" w:hAnsiTheme="minorHAnsi"/>
                <w:b/>
                <w:bCs/>
                <w:sz w:val="20"/>
                <w:highlight w:val="cyan"/>
              </w:rPr>
              <w:t xml:space="preserve">               </w:t>
            </w:r>
          </w:p>
        </w:tc>
        <w:tc>
          <w:tcPr>
            <w:tcW w:w="4013" w:type="pct"/>
          </w:tcPr>
          <w:p w:rsidRPr="004D7A57" w:rsidR="00723D37" w:rsidP="0059793A" w:rsidRDefault="00723D37" w14:paraId="4F6C98F6" w14:textId="77777777">
            <w:pPr>
              <w:pStyle w:val="BodyText"/>
              <w:rPr>
                <w:rFonts w:cs="Arial" w:asciiTheme="minorHAnsi" w:hAnsiTheme="minorHAnsi"/>
                <w:b/>
                <w:sz w:val="20"/>
              </w:rPr>
            </w:pPr>
            <w:r w:rsidRPr="004D7A57">
              <w:rPr>
                <w:rFonts w:cs="Arial" w:asciiTheme="minorHAnsi" w:hAnsiTheme="minorHAnsi"/>
                <w:b/>
                <w:sz w:val="20"/>
              </w:rPr>
              <w:t>Option 1 (using the vials for injection)</w:t>
            </w:r>
          </w:p>
          <w:p w:rsidR="00723D37" w:rsidP="0059793A" w:rsidRDefault="00723D37" w14:paraId="1434E219" w14:textId="77777777">
            <w:pPr>
              <w:pStyle w:val="BodyText"/>
              <w:rPr>
                <w:rFonts w:cs="Arial" w:asciiTheme="minorHAnsi" w:hAnsiTheme="minorHAnsi"/>
                <w:sz w:val="20"/>
              </w:rPr>
            </w:pPr>
            <w:r w:rsidRPr="004D7A57">
              <w:rPr>
                <w:rFonts w:cs="Arial" w:asciiTheme="minorHAnsi" w:hAnsiTheme="minorHAnsi"/>
                <w:sz w:val="20"/>
              </w:rPr>
              <w:t>In-house pharmacy can prepare a</w:t>
            </w:r>
            <w:r>
              <w:rPr>
                <w:rFonts w:cs="Arial" w:asciiTheme="minorHAnsi" w:hAnsiTheme="minorHAnsi"/>
                <w:sz w:val="20"/>
              </w:rPr>
              <w:t xml:space="preserve">n </w:t>
            </w:r>
            <w:r w:rsidRPr="004D7A57">
              <w:rPr>
                <w:rFonts w:cs="Arial" w:asciiTheme="minorHAnsi" w:hAnsiTheme="minorHAnsi"/>
                <w:sz w:val="20"/>
              </w:rPr>
              <w:t>oral solution using the vials for injection as follows:</w:t>
            </w:r>
            <w:r>
              <w:rPr>
                <w:rFonts w:cs="Arial" w:asciiTheme="minorHAnsi" w:hAnsiTheme="minorHAnsi"/>
                <w:sz w:val="20"/>
              </w:rPr>
              <w:t xml:space="preserve"> </w:t>
            </w:r>
          </w:p>
          <w:p w:rsidRPr="00CF23C5" w:rsidR="00723D37" w:rsidP="0059793A" w:rsidRDefault="00723D37" w14:paraId="4BD28C8F" w14:textId="77777777">
            <w:pPr>
              <w:pStyle w:val="BodyText"/>
              <w:rPr>
                <w:rFonts w:cs="Arial" w:asciiTheme="minorHAnsi" w:hAnsiTheme="minorHAnsi"/>
                <w:b/>
                <w:sz w:val="20"/>
              </w:rPr>
            </w:pPr>
            <w:r w:rsidRPr="00CF23C5">
              <w:rPr>
                <w:rFonts w:cs="Arial" w:asciiTheme="minorHAnsi" w:hAnsiTheme="minorHAnsi"/>
                <w:b/>
                <w:sz w:val="20"/>
              </w:rPr>
              <w:t>Note: pH of solution needs be adjusted to 8-8.5 using sodium hydroxide. This can be done by adding WFI to approximately 90% of final volume, measure pH, adjust pH if necessary, then make to final volume.</w:t>
            </w:r>
          </w:p>
          <w:p w:rsidR="00723D37" w:rsidP="0059793A" w:rsidRDefault="00723D37" w14:paraId="67671B9E" w14:textId="77777777">
            <w:pPr>
              <w:pStyle w:val="BodyText"/>
              <w:rPr>
                <w:rFonts w:cs="Arial" w:asciiTheme="minorHAnsi" w:hAnsiTheme="minorHAnsi"/>
                <w:sz w:val="20"/>
              </w:rPr>
            </w:pPr>
            <w:r>
              <w:rPr>
                <w:rFonts w:cs="Arial" w:asciiTheme="minorHAnsi" w:hAnsiTheme="minorHAnsi"/>
                <w:sz w:val="20"/>
              </w:rPr>
              <w:t xml:space="preserve">1mg/mL oral solution: </w:t>
            </w:r>
          </w:p>
          <w:p w:rsidR="00723D37" w:rsidP="0059793A" w:rsidRDefault="00723D37" w14:paraId="799B7C26" w14:textId="77777777">
            <w:pPr>
              <w:pStyle w:val="BodyText"/>
              <w:rPr>
                <w:rFonts w:cs="Arial" w:asciiTheme="minorHAnsi" w:hAnsiTheme="minorHAnsi"/>
                <w:sz w:val="20"/>
              </w:rPr>
            </w:pPr>
            <w:r>
              <w:rPr>
                <w:rFonts w:cs="Arial" w:asciiTheme="minorHAnsi" w:hAnsiTheme="minorHAnsi"/>
                <w:sz w:val="20"/>
              </w:rPr>
              <w:t xml:space="preserve">Add </w:t>
            </w:r>
            <w:r w:rsidRPr="004D7A57">
              <w:rPr>
                <w:rFonts w:cs="Arial" w:asciiTheme="minorHAnsi" w:hAnsiTheme="minorHAnsi"/>
                <w:sz w:val="20"/>
              </w:rPr>
              <w:t xml:space="preserve">30 mg of folic acid </w:t>
            </w:r>
            <w:r>
              <w:rPr>
                <w:rFonts w:cs="Arial" w:asciiTheme="minorHAnsi" w:hAnsiTheme="minorHAnsi"/>
                <w:sz w:val="20"/>
              </w:rPr>
              <w:t xml:space="preserve">to water for injection to make a final volume of 30 mL giving final concentration of 1 mg/mL.  </w:t>
            </w:r>
          </w:p>
          <w:p w:rsidR="00723D37" w:rsidP="0059793A" w:rsidRDefault="00723D37" w14:paraId="5CF6B264" w14:textId="77777777">
            <w:pPr>
              <w:pStyle w:val="BodyText"/>
              <w:rPr>
                <w:rFonts w:cs="Arial" w:asciiTheme="minorHAnsi" w:hAnsiTheme="minorHAnsi"/>
                <w:sz w:val="20"/>
              </w:rPr>
            </w:pPr>
            <w:r>
              <w:rPr>
                <w:rFonts w:cs="Arial" w:asciiTheme="minorHAnsi" w:hAnsiTheme="minorHAnsi"/>
                <w:sz w:val="20"/>
              </w:rPr>
              <w:t xml:space="preserve">0.05mg/mL (50microgram/mL) oral solution: </w:t>
            </w:r>
          </w:p>
          <w:p w:rsidR="00723D37" w:rsidP="0059793A" w:rsidRDefault="00723D37" w14:paraId="7F269871" w14:textId="77777777">
            <w:pPr>
              <w:pStyle w:val="BodyText"/>
              <w:rPr>
                <w:rFonts w:cs="Arial" w:asciiTheme="minorHAnsi" w:hAnsiTheme="minorHAnsi"/>
                <w:sz w:val="20"/>
              </w:rPr>
            </w:pPr>
            <w:r>
              <w:rPr>
                <w:rFonts w:cs="Arial" w:asciiTheme="minorHAnsi" w:hAnsiTheme="minorHAnsi"/>
                <w:sz w:val="20"/>
              </w:rPr>
              <w:t>Add 5</w:t>
            </w:r>
            <w:r w:rsidRPr="004D7A57">
              <w:rPr>
                <w:rFonts w:cs="Arial" w:asciiTheme="minorHAnsi" w:hAnsiTheme="minorHAnsi"/>
                <w:sz w:val="20"/>
              </w:rPr>
              <w:t xml:space="preserve"> mg of folic acid </w:t>
            </w:r>
            <w:r>
              <w:rPr>
                <w:rFonts w:cs="Arial" w:asciiTheme="minorHAnsi" w:hAnsiTheme="minorHAnsi"/>
                <w:sz w:val="20"/>
              </w:rPr>
              <w:t xml:space="preserve">to water for injection to make a final volume of 100 mL giving final concentration of 0.05mg/mL (50microgram/mL). </w:t>
            </w:r>
          </w:p>
          <w:p w:rsidRPr="004D7A57" w:rsidR="00723D37" w:rsidP="0059793A" w:rsidRDefault="00723D37" w14:paraId="06B31965" w14:textId="77777777">
            <w:pPr>
              <w:pStyle w:val="BodyText"/>
              <w:rPr>
                <w:rFonts w:cs="Arial" w:asciiTheme="minorHAnsi" w:hAnsiTheme="minorHAnsi"/>
                <w:sz w:val="20"/>
              </w:rPr>
            </w:pPr>
          </w:p>
          <w:p w:rsidR="00ED2747" w:rsidP="0059793A" w:rsidRDefault="00ED2747" w14:paraId="15EC69CE" w14:textId="77777777">
            <w:pPr>
              <w:pStyle w:val="BodyText"/>
              <w:rPr>
                <w:rFonts w:cs="Arial" w:asciiTheme="minorHAnsi" w:hAnsiTheme="minorHAnsi"/>
                <w:b/>
                <w:sz w:val="20"/>
              </w:rPr>
            </w:pPr>
          </w:p>
          <w:p w:rsidRPr="004D7A57" w:rsidR="00723D37" w:rsidP="0059793A" w:rsidRDefault="00723D37" w14:paraId="1FE1F25D" w14:textId="6D19E829">
            <w:pPr>
              <w:pStyle w:val="BodyText"/>
              <w:rPr>
                <w:rFonts w:cs="Arial" w:asciiTheme="minorHAnsi" w:hAnsiTheme="minorHAnsi"/>
                <w:b/>
                <w:sz w:val="20"/>
              </w:rPr>
            </w:pPr>
            <w:r w:rsidRPr="004D7A57">
              <w:rPr>
                <w:rFonts w:cs="Arial" w:asciiTheme="minorHAnsi" w:hAnsiTheme="minorHAnsi"/>
                <w:b/>
                <w:sz w:val="20"/>
              </w:rPr>
              <w:lastRenderedPageBreak/>
              <w:t>Option 2 (using tablets or powder)</w:t>
            </w:r>
          </w:p>
          <w:p w:rsidRPr="004D7A57" w:rsidR="00723D37" w:rsidP="0059793A" w:rsidRDefault="00723D37" w14:paraId="3A1B95E1" w14:textId="77777777">
            <w:pPr>
              <w:pStyle w:val="BodyText"/>
              <w:rPr>
                <w:rFonts w:cs="Arial" w:asciiTheme="minorHAnsi" w:hAnsiTheme="minorHAnsi"/>
                <w:sz w:val="20"/>
              </w:rPr>
            </w:pPr>
            <w:r w:rsidRPr="004D7A57">
              <w:rPr>
                <w:rFonts w:cs="Arial" w:asciiTheme="minorHAnsi" w:hAnsiTheme="minorHAnsi"/>
                <w:sz w:val="20"/>
              </w:rPr>
              <w:t xml:space="preserve">In-house pharmacy can prepare a Syrspend SF PH4 formula using folic acid tablets or powder to prepare a 1mg/mL oral suspension: </w:t>
            </w:r>
          </w:p>
          <w:p w:rsidR="00723D37" w:rsidP="0059793A" w:rsidRDefault="00723D37" w14:paraId="4F51A623" w14:textId="77777777">
            <w:pPr>
              <w:pStyle w:val="BodyText"/>
              <w:rPr>
                <w:rFonts w:cs="Arial" w:asciiTheme="minorHAnsi" w:hAnsiTheme="minorHAnsi"/>
                <w:sz w:val="20"/>
              </w:rPr>
            </w:pPr>
          </w:p>
          <w:p w:rsidR="00723D37" w:rsidP="0059793A" w:rsidRDefault="00723D37" w14:paraId="7AA1484D" w14:textId="77777777">
            <w:pPr>
              <w:pStyle w:val="BodyText"/>
              <w:rPr>
                <w:rFonts w:cs="Arial" w:asciiTheme="minorHAnsi" w:hAnsiTheme="minorHAnsi"/>
                <w:sz w:val="20"/>
              </w:rPr>
            </w:pPr>
            <w:r>
              <w:rPr>
                <w:rFonts w:cs="Arial" w:asciiTheme="minorHAnsi" w:hAnsiTheme="minorHAnsi"/>
                <w:sz w:val="20"/>
              </w:rPr>
              <w:t>Add 30mg of folic acid powder to Syrspend SF PH4 to make a final volume of 30 mL giving final concentration of 1 mg/mL suspension.</w:t>
            </w:r>
          </w:p>
          <w:p w:rsidR="00581C39" w:rsidP="0059793A" w:rsidRDefault="00581C39" w14:paraId="2B0C710B" w14:textId="77777777">
            <w:pPr>
              <w:pStyle w:val="BodyText"/>
              <w:rPr>
                <w:rFonts w:cs="Arial" w:asciiTheme="minorHAnsi" w:hAnsiTheme="minorHAnsi"/>
                <w:sz w:val="20"/>
              </w:rPr>
            </w:pPr>
          </w:p>
          <w:p w:rsidRPr="00A065DE" w:rsidR="00581C39" w:rsidP="005A6918" w:rsidRDefault="00193D5B" w14:paraId="4B32B1B5" w14:textId="77777777">
            <w:pPr>
              <w:pStyle w:val="BodyText"/>
              <w:shd w:val="clear" w:color="auto" w:fill="FFFF00"/>
              <w:rPr>
                <w:rFonts w:cs="Arial" w:asciiTheme="minorHAnsi" w:hAnsiTheme="minorHAnsi"/>
                <w:b/>
                <w:bCs/>
                <w:sz w:val="20"/>
              </w:rPr>
            </w:pPr>
            <w:r w:rsidRPr="00A065DE">
              <w:rPr>
                <w:rFonts w:cs="Arial" w:asciiTheme="minorHAnsi" w:hAnsiTheme="minorHAnsi"/>
                <w:b/>
                <w:bCs/>
                <w:sz w:val="20"/>
              </w:rPr>
              <w:t>Option 3 (</w:t>
            </w:r>
            <w:r w:rsidRPr="00A065DE" w:rsidR="00A065DE">
              <w:rPr>
                <w:rFonts w:cs="Arial" w:asciiTheme="minorHAnsi" w:hAnsiTheme="minorHAnsi"/>
                <w:b/>
                <w:bCs/>
                <w:sz w:val="20"/>
              </w:rPr>
              <w:t>preparation at bedside using oral tablets)</w:t>
            </w:r>
          </w:p>
          <w:p w:rsidRPr="001C0448" w:rsidR="00A065DE" w:rsidP="005A6918" w:rsidRDefault="0066789E" w14:paraId="0A5F7EE9" w14:textId="0F095EA6">
            <w:pPr>
              <w:pStyle w:val="BodyText"/>
              <w:shd w:val="clear" w:color="auto" w:fill="FFFF00"/>
              <w:rPr>
                <w:rFonts w:cs="Arial" w:asciiTheme="minorHAnsi" w:hAnsiTheme="minorHAnsi"/>
                <w:sz w:val="20"/>
              </w:rPr>
            </w:pPr>
            <w:r>
              <w:rPr>
                <w:rFonts w:cs="Arial" w:asciiTheme="minorHAnsi" w:hAnsiTheme="minorHAnsi"/>
                <w:sz w:val="20"/>
              </w:rPr>
              <w:t xml:space="preserve">Add 500 microg folic acid tablet to </w:t>
            </w:r>
            <w:r w:rsidR="00C51371">
              <w:rPr>
                <w:rFonts w:cs="Arial" w:asciiTheme="minorHAnsi" w:hAnsiTheme="minorHAnsi"/>
                <w:sz w:val="20"/>
              </w:rPr>
              <w:t>water for injection</w:t>
            </w:r>
            <w:r w:rsidR="00F30211">
              <w:rPr>
                <w:rFonts w:cs="Arial" w:asciiTheme="minorHAnsi" w:hAnsiTheme="minorHAnsi"/>
                <w:sz w:val="20"/>
              </w:rPr>
              <w:t xml:space="preserve"> in a 10 mL syringe to make a final volume of 10 mL.</w:t>
            </w:r>
            <w:r w:rsidR="005A6918">
              <w:rPr>
                <w:rFonts w:cs="Arial" w:asciiTheme="minorHAnsi" w:hAnsiTheme="minorHAnsi"/>
                <w:sz w:val="20"/>
              </w:rPr>
              <w:t xml:space="preserve"> Mix well to dissolve. This will give a final concentration of 50 microg/mL. Discard the rest following use.</w:t>
            </w:r>
          </w:p>
        </w:tc>
      </w:tr>
      <w:tr w:rsidRPr="004D7A57" w:rsidR="00723D37" w:rsidTr="00D03862" w14:paraId="4D6B958D" w14:textId="77777777">
        <w:trPr>
          <w:trHeight w:val="274"/>
        </w:trPr>
        <w:tc>
          <w:tcPr>
            <w:tcW w:w="987" w:type="pct"/>
          </w:tcPr>
          <w:p w:rsidRPr="004D7A57" w:rsidR="00723D37" w:rsidP="0059793A" w:rsidRDefault="00723D37" w14:paraId="32C956D5" w14:textId="77777777">
            <w:pPr>
              <w:pStyle w:val="BodyText"/>
              <w:rPr>
                <w:rFonts w:cs="Arial" w:asciiTheme="minorHAnsi" w:hAnsiTheme="minorHAnsi"/>
                <w:b/>
                <w:bCs/>
                <w:sz w:val="20"/>
              </w:rPr>
            </w:pPr>
            <w:r w:rsidRPr="004D7A57">
              <w:rPr>
                <w:rFonts w:cs="Arial" w:asciiTheme="minorHAnsi" w:hAnsiTheme="minorHAnsi"/>
                <w:b/>
                <w:bCs/>
                <w:sz w:val="20"/>
              </w:rPr>
              <w:lastRenderedPageBreak/>
              <w:t xml:space="preserve">Administration </w:t>
            </w:r>
          </w:p>
        </w:tc>
        <w:tc>
          <w:tcPr>
            <w:tcW w:w="4013" w:type="pct"/>
          </w:tcPr>
          <w:p w:rsidRPr="004D7A57" w:rsidR="00723D37" w:rsidP="0059793A" w:rsidRDefault="00723D37" w14:paraId="7114FE45" w14:textId="77777777">
            <w:pPr>
              <w:rPr>
                <w:rFonts w:cs="Calibri" w:asciiTheme="minorHAnsi" w:hAnsiTheme="minorHAnsi"/>
                <w:sz w:val="20"/>
                <w:lang w:eastAsia="en-AU"/>
              </w:rPr>
            </w:pPr>
            <w:r w:rsidRPr="004D7A57">
              <w:rPr>
                <w:rFonts w:cs="Calibri" w:asciiTheme="minorHAnsi" w:hAnsiTheme="minorHAnsi"/>
                <w:sz w:val="20"/>
                <w:lang w:eastAsia="en-AU"/>
              </w:rPr>
              <w:t>PO: Administer orally with or without feeds</w:t>
            </w:r>
          </w:p>
        </w:tc>
      </w:tr>
      <w:tr w:rsidRPr="004D7A57" w:rsidR="00723D37" w:rsidTr="00D03862" w14:paraId="744FF10F" w14:textId="77777777">
        <w:trPr>
          <w:trHeight w:val="250"/>
        </w:trPr>
        <w:tc>
          <w:tcPr>
            <w:tcW w:w="987" w:type="pct"/>
          </w:tcPr>
          <w:p w:rsidRPr="004D7A57" w:rsidR="00723D37" w:rsidP="0059793A" w:rsidRDefault="00723D37" w14:paraId="33551F0F" w14:textId="77777777">
            <w:pPr>
              <w:pStyle w:val="BodyText"/>
              <w:rPr>
                <w:rFonts w:cs="Arial" w:asciiTheme="minorHAnsi" w:hAnsiTheme="minorHAnsi"/>
                <w:b/>
                <w:bCs/>
                <w:sz w:val="20"/>
              </w:rPr>
            </w:pPr>
            <w:r w:rsidRPr="004D7A57">
              <w:rPr>
                <w:rFonts w:cs="Arial" w:asciiTheme="minorHAnsi" w:hAnsiTheme="minorHAnsi"/>
                <w:b/>
                <w:bCs/>
                <w:sz w:val="20"/>
              </w:rPr>
              <w:t xml:space="preserve">Monitoring             </w:t>
            </w:r>
          </w:p>
        </w:tc>
        <w:tc>
          <w:tcPr>
            <w:tcW w:w="4013" w:type="pct"/>
          </w:tcPr>
          <w:p w:rsidRPr="004D7A57" w:rsidR="00723D37" w:rsidP="0059793A" w:rsidRDefault="00723D37" w14:paraId="63955E4F" w14:textId="77777777">
            <w:pPr>
              <w:rPr>
                <w:rFonts w:cs="Calibri" w:asciiTheme="minorHAnsi" w:hAnsiTheme="minorHAnsi"/>
                <w:sz w:val="20"/>
                <w:lang w:eastAsia="en-AU"/>
              </w:rPr>
            </w:pPr>
            <w:r w:rsidRPr="004D7A57">
              <w:rPr>
                <w:rFonts w:cs="Calibri" w:asciiTheme="minorHAnsi" w:hAnsiTheme="minorHAnsi"/>
                <w:sz w:val="20"/>
                <w:lang w:eastAsia="en-AU"/>
              </w:rPr>
              <w:t>No specific monitoring required.</w:t>
            </w:r>
          </w:p>
        </w:tc>
      </w:tr>
      <w:tr w:rsidRPr="004D7A57" w:rsidR="00723D37" w:rsidTr="00D03862" w14:paraId="569D2413" w14:textId="77777777">
        <w:trPr>
          <w:trHeight w:val="330"/>
        </w:trPr>
        <w:tc>
          <w:tcPr>
            <w:tcW w:w="987" w:type="pct"/>
          </w:tcPr>
          <w:p w:rsidRPr="004D7A57" w:rsidR="00723D37" w:rsidP="0059793A" w:rsidRDefault="00723D37" w14:paraId="39DFD006" w14:textId="77777777">
            <w:pPr>
              <w:pStyle w:val="BodyText"/>
              <w:rPr>
                <w:rFonts w:cs="Arial" w:asciiTheme="minorHAnsi" w:hAnsiTheme="minorHAnsi"/>
                <w:sz w:val="20"/>
              </w:rPr>
            </w:pPr>
            <w:r w:rsidRPr="004D7A57">
              <w:rPr>
                <w:rFonts w:cs="Arial" w:asciiTheme="minorHAnsi" w:hAnsiTheme="minorHAnsi"/>
                <w:b/>
                <w:bCs/>
                <w:sz w:val="20"/>
              </w:rPr>
              <w:t>Contraindications</w:t>
            </w:r>
          </w:p>
        </w:tc>
        <w:tc>
          <w:tcPr>
            <w:tcW w:w="4013" w:type="pct"/>
          </w:tcPr>
          <w:p w:rsidRPr="004D7A57" w:rsidR="00723D37" w:rsidP="0059793A" w:rsidRDefault="00723D37" w14:paraId="5A3C4E85" w14:textId="77777777">
            <w:pPr>
              <w:pStyle w:val="BodyText"/>
              <w:rPr>
                <w:rFonts w:cs="Arial" w:asciiTheme="minorHAnsi" w:hAnsiTheme="minorHAnsi"/>
                <w:sz w:val="20"/>
              </w:rPr>
            </w:pPr>
            <w:r w:rsidRPr="004D7A57">
              <w:rPr>
                <w:rFonts w:cs="Arial" w:asciiTheme="minorHAnsi" w:hAnsiTheme="minorHAnsi"/>
                <w:sz w:val="20"/>
              </w:rPr>
              <w:t>No information.</w:t>
            </w:r>
          </w:p>
        </w:tc>
      </w:tr>
      <w:tr w:rsidRPr="004D7A57" w:rsidR="00723D37" w:rsidTr="00D03862" w14:paraId="0652D267" w14:textId="77777777">
        <w:tc>
          <w:tcPr>
            <w:tcW w:w="987" w:type="pct"/>
          </w:tcPr>
          <w:p w:rsidRPr="004D7A57" w:rsidR="00723D37" w:rsidP="0059793A" w:rsidRDefault="00723D37" w14:paraId="657DCBFC" w14:textId="77777777">
            <w:pPr>
              <w:pStyle w:val="BodyText"/>
              <w:rPr>
                <w:rFonts w:cs="Arial" w:asciiTheme="minorHAnsi" w:hAnsiTheme="minorHAnsi"/>
                <w:b/>
                <w:bCs/>
                <w:sz w:val="20"/>
              </w:rPr>
            </w:pPr>
            <w:r w:rsidRPr="004D7A57">
              <w:rPr>
                <w:rFonts w:asciiTheme="minorHAnsi" w:hAnsiTheme="minorHAnsi"/>
                <w:sz w:val="20"/>
              </w:rPr>
              <w:br w:type="page"/>
            </w:r>
            <w:r w:rsidRPr="004D7A57">
              <w:rPr>
                <w:rFonts w:cs="Arial" w:asciiTheme="minorHAnsi" w:hAnsiTheme="minorHAnsi"/>
                <w:b/>
                <w:bCs/>
                <w:sz w:val="20"/>
              </w:rPr>
              <w:t>Precautions</w:t>
            </w:r>
          </w:p>
        </w:tc>
        <w:tc>
          <w:tcPr>
            <w:tcW w:w="4013" w:type="pct"/>
          </w:tcPr>
          <w:p w:rsidRPr="004D7A57" w:rsidR="00723D37" w:rsidP="0059793A" w:rsidRDefault="00723D37" w14:paraId="26076FA5" w14:textId="77777777">
            <w:pPr>
              <w:pStyle w:val="BodyText"/>
              <w:rPr>
                <w:rFonts w:cs="Arial" w:asciiTheme="minorHAnsi" w:hAnsiTheme="minorHAnsi"/>
                <w:sz w:val="20"/>
              </w:rPr>
            </w:pPr>
            <w:r w:rsidRPr="004D7A57">
              <w:rPr>
                <w:rFonts w:cs="Arial" w:asciiTheme="minorHAnsi" w:hAnsiTheme="minorHAnsi"/>
                <w:sz w:val="20"/>
              </w:rPr>
              <w:t>No information.</w:t>
            </w:r>
          </w:p>
        </w:tc>
      </w:tr>
      <w:tr w:rsidRPr="004D7A57" w:rsidR="00723D37" w:rsidTr="00D03862" w14:paraId="16F85B9D" w14:textId="77777777">
        <w:trPr>
          <w:trHeight w:val="252"/>
        </w:trPr>
        <w:tc>
          <w:tcPr>
            <w:tcW w:w="987" w:type="pct"/>
          </w:tcPr>
          <w:p w:rsidRPr="004D7A57" w:rsidR="00723D37" w:rsidP="0059793A" w:rsidRDefault="00723D37" w14:paraId="325E7B82" w14:textId="77777777">
            <w:pPr>
              <w:pStyle w:val="BodyText"/>
              <w:rPr>
                <w:rFonts w:cs="Arial" w:asciiTheme="minorHAnsi" w:hAnsiTheme="minorHAnsi"/>
                <w:b/>
                <w:bCs/>
                <w:sz w:val="20"/>
              </w:rPr>
            </w:pPr>
            <w:r w:rsidRPr="004D7A57">
              <w:rPr>
                <w:rFonts w:cs="Arial" w:asciiTheme="minorHAnsi" w:hAnsiTheme="minorHAnsi"/>
                <w:b/>
                <w:bCs/>
                <w:sz w:val="20"/>
              </w:rPr>
              <w:t>Drug Interactions</w:t>
            </w:r>
          </w:p>
        </w:tc>
        <w:tc>
          <w:tcPr>
            <w:tcW w:w="4013" w:type="pct"/>
          </w:tcPr>
          <w:p w:rsidRPr="004D7A57" w:rsidR="00723D37" w:rsidP="0059793A" w:rsidRDefault="00723D37" w14:paraId="6DB4E5A4" w14:textId="77777777">
            <w:pPr>
              <w:rPr>
                <w:rFonts w:cs="Calibri" w:asciiTheme="minorHAnsi" w:hAnsiTheme="minorHAnsi"/>
                <w:sz w:val="20"/>
                <w:lang w:eastAsia="en-AU"/>
              </w:rPr>
            </w:pPr>
            <w:r w:rsidRPr="004D7A57">
              <w:rPr>
                <w:rFonts w:cs="Calibri" w:asciiTheme="minorHAnsi" w:hAnsiTheme="minorHAnsi"/>
                <w:sz w:val="20"/>
                <w:lang w:eastAsia="en-AU"/>
              </w:rPr>
              <w:t xml:space="preserve">Phenytoin: Concurrent use of folic acid and phenytoin may result in decreased folate concentrations and decreased phenytoin effectiveness. </w:t>
            </w:r>
          </w:p>
          <w:p w:rsidRPr="004D7A57" w:rsidR="00723D37" w:rsidP="0059793A" w:rsidRDefault="00723D37" w14:paraId="4FDAC65A" w14:textId="77777777">
            <w:pPr>
              <w:rPr>
                <w:rFonts w:cs="Calibri" w:asciiTheme="minorHAnsi" w:hAnsiTheme="minorHAnsi"/>
                <w:sz w:val="20"/>
                <w:lang w:eastAsia="en-AU"/>
              </w:rPr>
            </w:pPr>
            <w:r w:rsidRPr="004D7A57">
              <w:rPr>
                <w:rFonts w:cs="Calibri" w:asciiTheme="minorHAnsi" w:hAnsiTheme="minorHAnsi"/>
                <w:sz w:val="20"/>
                <w:lang w:eastAsia="en-AU"/>
              </w:rPr>
              <w:t>Phenobarbital (phenobarbitone): Folic acid may decrease phenobarbital (phenobarbitone) concentration and its therapeutic effect; monitor phenobarbital (phenobarbitone) concentration and clinical effect.</w:t>
            </w:r>
          </w:p>
        </w:tc>
      </w:tr>
      <w:tr w:rsidRPr="004D7A57" w:rsidR="00723D37" w:rsidTr="00D03862" w14:paraId="1F4D18BB" w14:textId="77777777">
        <w:trPr>
          <w:trHeight w:val="316"/>
        </w:trPr>
        <w:tc>
          <w:tcPr>
            <w:tcW w:w="987" w:type="pct"/>
          </w:tcPr>
          <w:p w:rsidRPr="004D7A57" w:rsidR="00723D37" w:rsidP="0059793A" w:rsidRDefault="00723D37" w14:paraId="50DF659C" w14:textId="77777777">
            <w:pPr>
              <w:pStyle w:val="BodyText"/>
              <w:rPr>
                <w:rFonts w:cs="Arial" w:asciiTheme="minorHAnsi" w:hAnsiTheme="minorHAnsi"/>
                <w:b/>
                <w:bCs/>
                <w:sz w:val="20"/>
              </w:rPr>
            </w:pPr>
            <w:r w:rsidRPr="004D7A57">
              <w:rPr>
                <w:rFonts w:cs="Arial" w:asciiTheme="minorHAnsi" w:hAnsiTheme="minorHAnsi"/>
                <w:b/>
                <w:bCs/>
                <w:sz w:val="20"/>
              </w:rPr>
              <w:t xml:space="preserve">Adverse Reactions </w:t>
            </w:r>
          </w:p>
        </w:tc>
        <w:tc>
          <w:tcPr>
            <w:tcW w:w="4013" w:type="pct"/>
          </w:tcPr>
          <w:p w:rsidRPr="004D7A57" w:rsidR="00723D37" w:rsidP="0059793A" w:rsidRDefault="00723D37" w14:paraId="2549E7C4" w14:textId="77777777">
            <w:pPr>
              <w:pStyle w:val="BodyText"/>
              <w:rPr>
                <w:rFonts w:cs="Calibri" w:asciiTheme="minorHAnsi" w:hAnsiTheme="minorHAnsi"/>
                <w:sz w:val="20"/>
              </w:rPr>
            </w:pPr>
            <w:r w:rsidRPr="004D7A57">
              <w:rPr>
                <w:rFonts w:cs="Calibri" w:asciiTheme="minorHAnsi" w:hAnsiTheme="minorHAnsi"/>
                <w:sz w:val="20"/>
              </w:rPr>
              <w:t>Toxicity from over dosage is not reported in newborns.</w:t>
            </w:r>
            <w:r w:rsidRPr="004D7A57">
              <w:rPr>
                <w:rFonts w:asciiTheme="minorHAnsi" w:hAnsiTheme="minorHAnsi"/>
                <w:sz w:val="20"/>
              </w:rPr>
              <w:t xml:space="preserve"> In preterm infants, </w:t>
            </w:r>
            <w:r w:rsidRPr="004D7A57">
              <w:rPr>
                <w:rFonts w:cs="Calibri" w:asciiTheme="minorHAnsi" w:hAnsiTheme="minorHAnsi"/>
                <w:sz w:val="20"/>
              </w:rPr>
              <w:t xml:space="preserve">high folate concentrations have been associated with low zinc </w:t>
            </w:r>
            <w:r w:rsidRPr="004D7A57">
              <w:rPr>
                <w:rFonts w:cs="Calibri" w:asciiTheme="minorHAnsi" w:hAnsiTheme="minorHAnsi"/>
                <w:noProof/>
                <w:sz w:val="20"/>
              </w:rPr>
              <w:t>[5]</w:t>
            </w:r>
            <w:r w:rsidRPr="004D7A57">
              <w:rPr>
                <w:rFonts w:cs="Calibri" w:asciiTheme="minorHAnsi" w:hAnsiTheme="minorHAnsi"/>
                <w:sz w:val="20"/>
              </w:rPr>
              <w:t xml:space="preserve">. Weight loss, neurological, gastrointestinal and psychological symptoms were also reported in adults on high doses </w:t>
            </w:r>
            <w:r w:rsidRPr="004D7A57">
              <w:rPr>
                <w:rFonts w:cs="Calibri" w:asciiTheme="minorHAnsi" w:hAnsiTheme="minorHAnsi"/>
                <w:noProof/>
                <w:sz w:val="20"/>
              </w:rPr>
              <w:t>[6]</w:t>
            </w:r>
            <w:r w:rsidRPr="004D7A57">
              <w:rPr>
                <w:rFonts w:cs="Calibri" w:asciiTheme="minorHAnsi" w:hAnsiTheme="minorHAnsi"/>
                <w:sz w:val="20"/>
              </w:rPr>
              <w:t>.</w:t>
            </w:r>
          </w:p>
        </w:tc>
      </w:tr>
      <w:tr w:rsidRPr="004D7A57" w:rsidR="00723D37" w:rsidTr="00D03862" w14:paraId="7DE53958" w14:textId="77777777">
        <w:trPr>
          <w:trHeight w:val="93"/>
        </w:trPr>
        <w:tc>
          <w:tcPr>
            <w:tcW w:w="987" w:type="pct"/>
          </w:tcPr>
          <w:p w:rsidRPr="004D7A57" w:rsidR="00723D37" w:rsidP="0059793A" w:rsidRDefault="00723D37" w14:paraId="6BBA7F32" w14:textId="77777777">
            <w:pPr>
              <w:pStyle w:val="BodyText"/>
              <w:rPr>
                <w:rFonts w:cs="Arial" w:asciiTheme="minorHAnsi" w:hAnsiTheme="minorHAnsi"/>
                <w:b/>
                <w:bCs/>
                <w:sz w:val="20"/>
              </w:rPr>
            </w:pPr>
            <w:r w:rsidRPr="004D7A57">
              <w:rPr>
                <w:rFonts w:cs="Arial" w:asciiTheme="minorHAnsi" w:hAnsiTheme="minorHAnsi"/>
                <w:b/>
                <w:bCs/>
                <w:sz w:val="20"/>
              </w:rPr>
              <w:t>Compatibility</w:t>
            </w:r>
          </w:p>
        </w:tc>
        <w:tc>
          <w:tcPr>
            <w:tcW w:w="4013" w:type="pct"/>
          </w:tcPr>
          <w:p w:rsidRPr="004D7A57" w:rsidR="00723D37" w:rsidP="0059793A" w:rsidRDefault="00723D37" w14:paraId="6CAE8305" w14:textId="77777777">
            <w:pPr>
              <w:rPr>
                <w:rFonts w:cs="Arial" w:asciiTheme="minorHAnsi" w:hAnsiTheme="minorHAnsi"/>
                <w:sz w:val="20"/>
              </w:rPr>
            </w:pPr>
            <w:r w:rsidRPr="004D7A57">
              <w:rPr>
                <w:rFonts w:cs="Arial" w:asciiTheme="minorHAnsi" w:hAnsiTheme="minorHAnsi"/>
                <w:sz w:val="20"/>
              </w:rPr>
              <w:t>Not applicable.</w:t>
            </w:r>
          </w:p>
        </w:tc>
      </w:tr>
      <w:tr w:rsidRPr="004D7A57" w:rsidR="00723D37" w:rsidTr="00D03862" w14:paraId="4100102A" w14:textId="77777777">
        <w:trPr>
          <w:trHeight w:val="235"/>
        </w:trPr>
        <w:tc>
          <w:tcPr>
            <w:tcW w:w="987" w:type="pct"/>
          </w:tcPr>
          <w:p w:rsidRPr="004D7A57" w:rsidR="00723D37" w:rsidP="0059793A" w:rsidRDefault="00723D37" w14:paraId="5DD5DFC6" w14:textId="77777777">
            <w:pPr>
              <w:pStyle w:val="BodyText"/>
              <w:rPr>
                <w:rFonts w:cs="Arial" w:asciiTheme="minorHAnsi" w:hAnsiTheme="minorHAnsi"/>
                <w:b/>
                <w:bCs/>
                <w:sz w:val="20"/>
              </w:rPr>
            </w:pPr>
            <w:r w:rsidRPr="004D7A57">
              <w:rPr>
                <w:rFonts w:cs="Arial" w:asciiTheme="minorHAnsi" w:hAnsiTheme="minorHAnsi"/>
                <w:b/>
                <w:bCs/>
                <w:sz w:val="20"/>
              </w:rPr>
              <w:t xml:space="preserve">Incompatibility  </w:t>
            </w:r>
          </w:p>
        </w:tc>
        <w:tc>
          <w:tcPr>
            <w:tcW w:w="4013" w:type="pct"/>
          </w:tcPr>
          <w:p w:rsidRPr="004D7A57" w:rsidR="00723D37" w:rsidP="0059793A" w:rsidRDefault="00723D37" w14:paraId="70F6A40A" w14:textId="77777777">
            <w:pPr>
              <w:rPr>
                <w:rFonts w:cs="Arial" w:asciiTheme="minorHAnsi" w:hAnsiTheme="minorHAnsi"/>
                <w:sz w:val="20"/>
              </w:rPr>
            </w:pPr>
            <w:r w:rsidRPr="004D7A57">
              <w:rPr>
                <w:rFonts w:cs="Arial" w:asciiTheme="minorHAnsi" w:hAnsiTheme="minorHAnsi"/>
                <w:sz w:val="20"/>
              </w:rPr>
              <w:t>Not applicable.</w:t>
            </w:r>
          </w:p>
        </w:tc>
      </w:tr>
      <w:tr w:rsidRPr="004D7A57" w:rsidR="00723D37" w:rsidTr="00D03862" w14:paraId="470048A0" w14:textId="77777777">
        <w:trPr>
          <w:trHeight w:val="210"/>
        </w:trPr>
        <w:tc>
          <w:tcPr>
            <w:tcW w:w="987" w:type="pct"/>
          </w:tcPr>
          <w:p w:rsidRPr="004D7A57" w:rsidR="00723D37" w:rsidP="0059793A" w:rsidRDefault="00723D37" w14:paraId="3A78F0E7" w14:textId="77777777">
            <w:pPr>
              <w:pStyle w:val="BodyText"/>
              <w:rPr>
                <w:rFonts w:cs="Arial" w:asciiTheme="minorHAnsi" w:hAnsiTheme="minorHAnsi"/>
                <w:b/>
                <w:bCs/>
                <w:sz w:val="20"/>
              </w:rPr>
            </w:pPr>
            <w:r w:rsidRPr="004D7A57">
              <w:rPr>
                <w:rFonts w:cs="Arial" w:asciiTheme="minorHAnsi" w:hAnsiTheme="minorHAnsi"/>
                <w:b/>
                <w:bCs/>
                <w:sz w:val="20"/>
              </w:rPr>
              <w:t xml:space="preserve">Stability          </w:t>
            </w:r>
          </w:p>
        </w:tc>
        <w:tc>
          <w:tcPr>
            <w:tcW w:w="4013" w:type="pct"/>
          </w:tcPr>
          <w:p w:rsidRPr="004D7A57" w:rsidR="00723D37" w:rsidP="0059793A" w:rsidRDefault="00723D37" w14:paraId="4CBE98FF" w14:textId="77777777">
            <w:pPr>
              <w:rPr>
                <w:rFonts w:cs="Arial" w:asciiTheme="minorHAnsi" w:hAnsiTheme="minorHAnsi"/>
                <w:sz w:val="20"/>
              </w:rPr>
            </w:pPr>
            <w:r w:rsidRPr="004D7A57">
              <w:rPr>
                <w:rFonts w:asciiTheme="minorHAnsi" w:hAnsiTheme="minorHAnsi"/>
                <w:sz w:val="20"/>
              </w:rPr>
              <w:t xml:space="preserve">The compounded option using injections is stable for </w:t>
            </w:r>
            <w:r>
              <w:rPr>
                <w:rFonts w:asciiTheme="minorHAnsi" w:hAnsiTheme="minorHAnsi"/>
                <w:sz w:val="20"/>
              </w:rPr>
              <w:t>30</w:t>
            </w:r>
            <w:r w:rsidRPr="004D7A57">
              <w:rPr>
                <w:rFonts w:asciiTheme="minorHAnsi" w:hAnsiTheme="minorHAnsi"/>
                <w:sz w:val="20"/>
              </w:rPr>
              <w:t xml:space="preserve"> days and the Syrspend PH4 formula is stable for 90 days. </w:t>
            </w:r>
            <w:r w:rsidRPr="004D7A57">
              <w:rPr>
                <w:rFonts w:cs="Arial" w:asciiTheme="minorHAnsi" w:hAnsiTheme="minorHAnsi"/>
                <w:sz w:val="20"/>
              </w:rPr>
              <w:t>Refrigerate. Protect from light.</w:t>
            </w:r>
          </w:p>
        </w:tc>
      </w:tr>
      <w:tr w:rsidRPr="004D7A57" w:rsidR="00723D37" w:rsidTr="00D03862" w14:paraId="7E3D1EE8" w14:textId="77777777">
        <w:trPr>
          <w:trHeight w:val="348"/>
        </w:trPr>
        <w:tc>
          <w:tcPr>
            <w:tcW w:w="987" w:type="pct"/>
          </w:tcPr>
          <w:p w:rsidRPr="004D7A57" w:rsidR="00723D37" w:rsidP="0059793A" w:rsidRDefault="00723D37" w14:paraId="70EF01BB" w14:textId="77777777">
            <w:pPr>
              <w:pStyle w:val="BodyText"/>
              <w:rPr>
                <w:rFonts w:cs="Arial" w:asciiTheme="minorHAnsi" w:hAnsiTheme="minorHAnsi"/>
                <w:b/>
                <w:bCs/>
                <w:sz w:val="20"/>
              </w:rPr>
            </w:pPr>
            <w:r w:rsidRPr="004D7A57">
              <w:rPr>
                <w:rFonts w:cs="Arial" w:asciiTheme="minorHAnsi" w:hAnsiTheme="minorHAnsi"/>
                <w:b/>
                <w:bCs/>
                <w:sz w:val="20"/>
              </w:rPr>
              <w:t xml:space="preserve">Storage             </w:t>
            </w:r>
          </w:p>
        </w:tc>
        <w:tc>
          <w:tcPr>
            <w:tcW w:w="4013" w:type="pct"/>
          </w:tcPr>
          <w:p w:rsidRPr="004D7A57" w:rsidR="00723D37" w:rsidP="0059793A" w:rsidRDefault="00723D37" w14:paraId="1C225A72" w14:textId="77777777">
            <w:pPr>
              <w:rPr>
                <w:rFonts w:cs="Arial" w:asciiTheme="minorHAnsi" w:hAnsiTheme="minorHAnsi"/>
                <w:sz w:val="20"/>
              </w:rPr>
            </w:pPr>
            <w:r w:rsidRPr="004D7A57">
              <w:rPr>
                <w:rFonts w:cs="Arial" w:asciiTheme="minorHAnsi" w:hAnsiTheme="minorHAnsi"/>
                <w:sz w:val="20"/>
              </w:rPr>
              <w:t>Refrigerate (2–8°C) oral solution prepared in-house</w:t>
            </w:r>
            <w:r>
              <w:rPr>
                <w:rFonts w:cs="Arial" w:asciiTheme="minorHAnsi" w:hAnsiTheme="minorHAnsi"/>
                <w:sz w:val="20"/>
              </w:rPr>
              <w:t>.</w:t>
            </w:r>
            <w:r w:rsidRPr="004D7A57">
              <w:rPr>
                <w:rFonts w:cs="Arial" w:asciiTheme="minorHAnsi" w:hAnsiTheme="minorHAnsi"/>
                <w:sz w:val="20"/>
              </w:rPr>
              <w:t xml:space="preserve"> </w:t>
            </w:r>
          </w:p>
          <w:p w:rsidRPr="004D7A57" w:rsidR="00723D37" w:rsidP="0059793A" w:rsidRDefault="00723D37" w14:paraId="6CF49676" w14:textId="77777777">
            <w:pPr>
              <w:rPr>
                <w:rFonts w:cs="Arial" w:asciiTheme="minorHAnsi" w:hAnsiTheme="minorHAnsi"/>
                <w:sz w:val="20"/>
              </w:rPr>
            </w:pPr>
            <w:r w:rsidRPr="004D7A57">
              <w:rPr>
                <w:rFonts w:cs="Arial" w:asciiTheme="minorHAnsi" w:hAnsiTheme="minorHAnsi"/>
                <w:sz w:val="20"/>
              </w:rPr>
              <w:t>Tablets store below 25°C</w:t>
            </w:r>
            <w:r>
              <w:rPr>
                <w:rFonts w:cs="Arial" w:asciiTheme="minorHAnsi" w:hAnsiTheme="minorHAnsi"/>
                <w:sz w:val="20"/>
              </w:rPr>
              <w:t>.</w:t>
            </w:r>
          </w:p>
        </w:tc>
      </w:tr>
      <w:tr w:rsidRPr="004D7A57" w:rsidR="00723D37" w:rsidTr="00D03862" w14:paraId="03A3AA49" w14:textId="77777777">
        <w:trPr>
          <w:trHeight w:val="327"/>
        </w:trPr>
        <w:tc>
          <w:tcPr>
            <w:tcW w:w="987" w:type="pct"/>
          </w:tcPr>
          <w:p w:rsidRPr="004D7A57" w:rsidR="00723D37" w:rsidP="0059793A" w:rsidRDefault="00723D37" w14:paraId="09D795CF" w14:textId="77777777">
            <w:pPr>
              <w:pStyle w:val="BodyText"/>
              <w:rPr>
                <w:rFonts w:cs="Arial" w:asciiTheme="minorHAnsi" w:hAnsiTheme="minorHAnsi"/>
                <w:b/>
                <w:bCs/>
                <w:sz w:val="20"/>
              </w:rPr>
            </w:pPr>
            <w:r w:rsidRPr="004D7A57">
              <w:rPr>
                <w:rFonts w:cs="Arial" w:asciiTheme="minorHAnsi" w:hAnsiTheme="minorHAnsi"/>
                <w:b/>
                <w:bCs/>
                <w:sz w:val="20"/>
              </w:rPr>
              <w:t xml:space="preserve">Special Comments </w:t>
            </w:r>
          </w:p>
        </w:tc>
        <w:tc>
          <w:tcPr>
            <w:tcW w:w="4013" w:type="pct"/>
          </w:tcPr>
          <w:p w:rsidRPr="004D7A57" w:rsidR="00723D37" w:rsidP="0059793A" w:rsidRDefault="00723D37" w14:paraId="2E9ACC7D" w14:textId="77777777">
            <w:pPr>
              <w:rPr>
                <w:rFonts w:cs="Calibri" w:asciiTheme="minorHAnsi" w:hAnsiTheme="minorHAnsi"/>
                <w:sz w:val="20"/>
              </w:rPr>
            </w:pPr>
          </w:p>
        </w:tc>
      </w:tr>
      <w:tr w:rsidRPr="004D7A57" w:rsidR="00723D37" w:rsidTr="00D03862" w14:paraId="0E20F347" w14:textId="77777777">
        <w:trPr>
          <w:trHeight w:val="362"/>
        </w:trPr>
        <w:tc>
          <w:tcPr>
            <w:tcW w:w="987" w:type="pct"/>
          </w:tcPr>
          <w:p w:rsidRPr="004D7A57" w:rsidR="00723D37" w:rsidP="0059793A" w:rsidRDefault="00723D37" w14:paraId="38C861F3" w14:textId="77777777">
            <w:pPr>
              <w:pStyle w:val="BodyText"/>
              <w:rPr>
                <w:rFonts w:cs="Arial" w:asciiTheme="minorHAnsi" w:hAnsiTheme="minorHAnsi"/>
                <w:b/>
                <w:bCs/>
                <w:sz w:val="20"/>
              </w:rPr>
            </w:pPr>
            <w:r w:rsidRPr="004D7A57">
              <w:rPr>
                <w:rFonts w:cs="Arial" w:asciiTheme="minorHAnsi" w:hAnsiTheme="minorHAnsi"/>
                <w:b/>
                <w:bCs/>
                <w:sz w:val="20"/>
              </w:rPr>
              <w:t>Evidence summary</w:t>
            </w:r>
          </w:p>
        </w:tc>
        <w:tc>
          <w:tcPr>
            <w:tcW w:w="4013" w:type="pct"/>
          </w:tcPr>
          <w:p w:rsidRPr="005A6918" w:rsidR="00723D37" w:rsidP="0059793A" w:rsidRDefault="00723D37" w14:paraId="7A62804A" w14:textId="77777777">
            <w:pPr>
              <w:pStyle w:val="BodyText"/>
              <w:rPr>
                <w:rFonts w:cs="Arial" w:asciiTheme="minorHAnsi" w:hAnsiTheme="minorHAnsi"/>
                <w:b/>
                <w:sz w:val="16"/>
                <w:szCs w:val="16"/>
              </w:rPr>
            </w:pPr>
            <w:r w:rsidRPr="005A6918">
              <w:rPr>
                <w:rFonts w:cs="Arial" w:asciiTheme="minorHAnsi" w:hAnsiTheme="minorHAnsi"/>
                <w:b/>
                <w:sz w:val="16"/>
                <w:szCs w:val="16"/>
              </w:rPr>
              <w:t>Folate deficiency</w:t>
            </w:r>
          </w:p>
          <w:p w:rsidRPr="005A6918" w:rsidR="00723D37" w:rsidP="0059793A" w:rsidRDefault="00723D37" w14:paraId="2FE08EFF" w14:textId="77777777">
            <w:pPr>
              <w:pStyle w:val="BodyText"/>
              <w:rPr>
                <w:rFonts w:cs="Arial" w:asciiTheme="minorHAnsi" w:hAnsiTheme="minorHAnsi"/>
                <w:sz w:val="16"/>
                <w:szCs w:val="16"/>
              </w:rPr>
            </w:pPr>
            <w:r w:rsidRPr="005A6918">
              <w:rPr>
                <w:rFonts w:cs="Arial" w:asciiTheme="minorHAnsi" w:hAnsiTheme="minorHAnsi"/>
                <w:sz w:val="16"/>
                <w:szCs w:val="16"/>
              </w:rPr>
              <w:t xml:space="preserve">Folate deficiency results in growth retardation, anaemia, abnormalities in neurologic status and small intestinal morphology </w:t>
            </w:r>
            <w:r w:rsidRPr="005A6918">
              <w:rPr>
                <w:rFonts w:cs="Arial" w:asciiTheme="minorHAnsi" w:hAnsiTheme="minorHAnsi"/>
                <w:noProof/>
                <w:sz w:val="16"/>
                <w:szCs w:val="16"/>
              </w:rPr>
              <w:t>[7]</w:t>
            </w:r>
            <w:r w:rsidRPr="005A6918">
              <w:rPr>
                <w:rFonts w:cs="Arial" w:asciiTheme="minorHAnsi" w:hAnsiTheme="minorHAnsi"/>
                <w:sz w:val="16"/>
                <w:szCs w:val="16"/>
              </w:rPr>
              <w:t xml:space="preserve">. The haematological manifestations of folate deficiency include hypersegmentation of neutrophils, megaloblastosis and anaemia. Serum folate levels reflect recent dietary intake, whereas red cell folate reflects longer term status </w:t>
            </w:r>
            <w:r w:rsidRPr="005A6918">
              <w:rPr>
                <w:rFonts w:cs="Arial" w:asciiTheme="minorHAnsi" w:hAnsiTheme="minorHAnsi"/>
                <w:noProof/>
                <w:sz w:val="16"/>
                <w:szCs w:val="16"/>
              </w:rPr>
              <w:t>[8]</w:t>
            </w:r>
            <w:r w:rsidRPr="005A6918">
              <w:rPr>
                <w:rFonts w:cs="Arial" w:asciiTheme="minorHAnsi" w:hAnsiTheme="minorHAnsi"/>
                <w:sz w:val="16"/>
                <w:szCs w:val="16"/>
              </w:rPr>
              <w:t xml:space="preserve">. </w:t>
            </w:r>
          </w:p>
          <w:p w:rsidRPr="005A6918" w:rsidR="00723D37" w:rsidP="0059793A" w:rsidRDefault="00723D37" w14:paraId="54DA86B5" w14:textId="77777777">
            <w:pPr>
              <w:pStyle w:val="BodyText"/>
              <w:rPr>
                <w:rFonts w:cs="Arial" w:asciiTheme="minorHAnsi" w:hAnsiTheme="minorHAnsi"/>
                <w:sz w:val="16"/>
                <w:szCs w:val="16"/>
              </w:rPr>
            </w:pPr>
          </w:p>
          <w:p w:rsidRPr="005A6918" w:rsidR="00723D37" w:rsidP="0059793A" w:rsidRDefault="00723D37" w14:paraId="5E6E9ED3" w14:textId="77777777">
            <w:pPr>
              <w:pStyle w:val="BodyText"/>
              <w:rPr>
                <w:rFonts w:cs="Arial" w:asciiTheme="minorHAnsi" w:hAnsiTheme="minorHAnsi"/>
                <w:b/>
                <w:sz w:val="16"/>
                <w:szCs w:val="16"/>
              </w:rPr>
            </w:pPr>
            <w:r w:rsidRPr="005A6918">
              <w:rPr>
                <w:rFonts w:cs="Arial" w:asciiTheme="minorHAnsi" w:hAnsiTheme="minorHAnsi"/>
                <w:b/>
                <w:sz w:val="16"/>
                <w:szCs w:val="16"/>
              </w:rPr>
              <w:t>Folate Intakes</w:t>
            </w:r>
          </w:p>
          <w:p w:rsidRPr="005A6918" w:rsidR="00723D37" w:rsidP="0059793A" w:rsidRDefault="00723D37" w14:paraId="54CFF305" w14:textId="77777777">
            <w:pPr>
              <w:pStyle w:val="BodyText"/>
              <w:rPr>
                <w:rFonts w:cs="Arial" w:asciiTheme="minorHAnsi" w:hAnsiTheme="minorHAnsi"/>
                <w:sz w:val="16"/>
                <w:szCs w:val="16"/>
              </w:rPr>
            </w:pPr>
            <w:r w:rsidRPr="005A6918">
              <w:rPr>
                <w:rFonts w:cs="Arial" w:asciiTheme="minorHAnsi" w:hAnsiTheme="minorHAnsi"/>
                <w:sz w:val="16"/>
                <w:szCs w:val="16"/>
              </w:rPr>
              <w:t xml:space="preserve">Hay et al reported the folate status in a cohort of Norwegian term breastfed infants. Folate levels remained adequate to 6 months age up until complementary feeds were introduced </w:t>
            </w:r>
            <w:r w:rsidRPr="005A6918">
              <w:rPr>
                <w:rFonts w:cs="Arial" w:asciiTheme="minorHAnsi" w:hAnsiTheme="minorHAnsi"/>
                <w:noProof/>
                <w:sz w:val="16"/>
                <w:szCs w:val="16"/>
              </w:rPr>
              <w:t>[9]</w:t>
            </w:r>
            <w:r w:rsidRPr="005A6918">
              <w:rPr>
                <w:rFonts w:cs="Arial" w:asciiTheme="minorHAnsi" w:hAnsiTheme="minorHAnsi"/>
                <w:sz w:val="16"/>
                <w:szCs w:val="16"/>
              </w:rPr>
              <w:t>.</w:t>
            </w:r>
          </w:p>
          <w:p w:rsidRPr="005A6918" w:rsidR="00723D37" w:rsidP="0059793A" w:rsidRDefault="00723D37" w14:paraId="48AAF603" w14:textId="77777777">
            <w:pPr>
              <w:pStyle w:val="BodyText"/>
              <w:rPr>
                <w:rFonts w:cs="Arial" w:asciiTheme="minorHAnsi" w:hAnsiTheme="minorHAnsi"/>
                <w:sz w:val="16"/>
                <w:szCs w:val="16"/>
              </w:rPr>
            </w:pPr>
            <w:r w:rsidRPr="005A6918">
              <w:rPr>
                <w:rFonts w:cs="Arial" w:asciiTheme="minorHAnsi" w:hAnsiTheme="minorHAnsi"/>
                <w:sz w:val="16"/>
                <w:szCs w:val="16"/>
              </w:rPr>
              <w:t xml:space="preserve">The amount of folic acid present in human milk (8.8 to 16 micrograms per 100 mL) may not be enough to meet the recommended intakes for preterm infants </w:t>
            </w:r>
            <w:r w:rsidRPr="005A6918">
              <w:rPr>
                <w:rFonts w:cs="Arial" w:asciiTheme="minorHAnsi" w:hAnsiTheme="minorHAnsi"/>
                <w:noProof/>
                <w:sz w:val="16"/>
                <w:szCs w:val="16"/>
              </w:rPr>
              <w:t>[10]</w:t>
            </w:r>
            <w:r w:rsidRPr="005A6918">
              <w:rPr>
                <w:rFonts w:cs="Arial" w:asciiTheme="minorHAnsi" w:hAnsiTheme="minorHAnsi"/>
                <w:sz w:val="16"/>
                <w:szCs w:val="16"/>
              </w:rPr>
              <w:t xml:space="preserve">. The use of human breast milk fortifiers or preterm formulas with higher folic acid content has been recommended for preterm infants </w:t>
            </w:r>
            <w:r w:rsidRPr="005A6918">
              <w:rPr>
                <w:rFonts w:cs="Arial" w:asciiTheme="minorHAnsi" w:hAnsiTheme="minorHAnsi"/>
                <w:noProof/>
                <w:sz w:val="16"/>
                <w:szCs w:val="16"/>
              </w:rPr>
              <w:t>[11]</w:t>
            </w:r>
            <w:r w:rsidRPr="005A6918">
              <w:rPr>
                <w:rFonts w:cs="Arial" w:asciiTheme="minorHAnsi" w:hAnsiTheme="minorHAnsi"/>
                <w:sz w:val="16"/>
                <w:szCs w:val="16"/>
              </w:rPr>
              <w:t xml:space="preserve">. </w:t>
            </w:r>
          </w:p>
          <w:p w:rsidRPr="005A6918" w:rsidR="00723D37" w:rsidP="0059793A" w:rsidRDefault="00723D37" w14:paraId="61AC99D8" w14:textId="77777777">
            <w:pPr>
              <w:pStyle w:val="BodyText"/>
              <w:rPr>
                <w:rFonts w:cs="Arial" w:asciiTheme="minorHAnsi" w:hAnsiTheme="minorHAnsi"/>
                <w:sz w:val="16"/>
                <w:szCs w:val="16"/>
              </w:rPr>
            </w:pPr>
            <w:r w:rsidRPr="005A6918">
              <w:rPr>
                <w:rFonts w:cs="Arial" w:asciiTheme="minorHAnsi" w:hAnsiTheme="minorHAnsi"/>
                <w:sz w:val="16"/>
                <w:szCs w:val="16"/>
              </w:rPr>
              <w:t xml:space="preserve">The average folate intake from parenteral nutrition is 40 microgram/kg/day. The average concentration in feeds is: fortified human milk 30 to 40 microgram/100 mL and preterm formula 35 microgram/100 mL). </w:t>
            </w:r>
          </w:p>
          <w:p w:rsidRPr="005A6918" w:rsidR="00723D37" w:rsidP="0059793A" w:rsidRDefault="00723D37" w14:paraId="3596DB9F" w14:textId="77777777">
            <w:pPr>
              <w:pStyle w:val="BodyText"/>
              <w:rPr>
                <w:rFonts w:cs="Arial" w:asciiTheme="minorHAnsi" w:hAnsiTheme="minorHAnsi"/>
                <w:sz w:val="16"/>
                <w:szCs w:val="16"/>
              </w:rPr>
            </w:pPr>
            <w:r w:rsidRPr="005A6918">
              <w:rPr>
                <w:rFonts w:cs="Arial" w:asciiTheme="minorHAnsi" w:hAnsiTheme="minorHAnsi"/>
                <w:sz w:val="16"/>
                <w:szCs w:val="16"/>
              </w:rPr>
              <w:t xml:space="preserve">Oncel et al </w:t>
            </w:r>
            <w:r w:rsidRPr="005A6918">
              <w:rPr>
                <w:rFonts w:cs="Arial" w:asciiTheme="minorHAnsi" w:hAnsiTheme="minorHAnsi"/>
                <w:noProof/>
                <w:sz w:val="16"/>
                <w:szCs w:val="16"/>
              </w:rPr>
              <w:t>[12]</w:t>
            </w:r>
            <w:r w:rsidRPr="005A6918">
              <w:rPr>
                <w:rFonts w:cs="Arial" w:asciiTheme="minorHAnsi" w:hAnsiTheme="minorHAnsi"/>
                <w:sz w:val="16"/>
                <w:szCs w:val="16"/>
              </w:rPr>
              <w:t xml:space="preserve"> reported preterm infants receiving parenteral nutrition with high folic acid content (100 microgram/100 mL) had no risk of folate deficiency up to 2 months of age. P</w:t>
            </w:r>
            <w:r w:rsidRPr="005A6918">
              <w:rPr>
                <w:rFonts w:asciiTheme="minorHAnsi" w:hAnsiTheme="minorHAnsi"/>
                <w:sz w:val="16"/>
                <w:szCs w:val="16"/>
              </w:rPr>
              <w:t>reterm infants on fortified human milk or preterm formula also maintained serum folate concentrations. H</w:t>
            </w:r>
            <w:r w:rsidRPr="005A6918">
              <w:rPr>
                <w:rFonts w:cs="Arial" w:asciiTheme="minorHAnsi" w:hAnsiTheme="minorHAnsi"/>
                <w:sz w:val="16"/>
                <w:szCs w:val="16"/>
              </w:rPr>
              <w:t>owever, preterm infants fed from birth with unfortified human milk had low folate intakes, especially when mothers were smokers and/or did not receive folic acid supplementation during pregnancy.</w:t>
            </w:r>
            <w:r w:rsidRPr="005A6918">
              <w:rPr>
                <w:rFonts w:asciiTheme="minorHAnsi" w:hAnsiTheme="minorHAnsi"/>
                <w:sz w:val="16"/>
                <w:szCs w:val="16"/>
              </w:rPr>
              <w:t xml:space="preserve"> </w:t>
            </w:r>
            <w:r w:rsidRPr="005A6918">
              <w:rPr>
                <w:rFonts w:cs="Arial" w:asciiTheme="minorHAnsi" w:hAnsiTheme="minorHAnsi"/>
                <w:sz w:val="16"/>
                <w:szCs w:val="16"/>
              </w:rPr>
              <w:t xml:space="preserve">However, this study, and another by Spotswood et al, reported preterm neonates did not develop folate deficiency up to 37 weeks postmenstrual age or discharge </w:t>
            </w:r>
            <w:r w:rsidRPr="005A6918">
              <w:rPr>
                <w:rFonts w:cs="Arial" w:asciiTheme="minorHAnsi" w:hAnsiTheme="minorHAnsi"/>
                <w:noProof/>
                <w:sz w:val="16"/>
                <w:szCs w:val="16"/>
              </w:rPr>
              <w:t>[12, 13]</w:t>
            </w:r>
            <w:r w:rsidRPr="005A6918">
              <w:rPr>
                <w:rFonts w:cs="Arial" w:asciiTheme="minorHAnsi" w:hAnsiTheme="minorHAnsi"/>
                <w:sz w:val="16"/>
                <w:szCs w:val="16"/>
              </w:rPr>
              <w:t xml:space="preserve">. </w:t>
            </w:r>
          </w:p>
          <w:p w:rsidRPr="005A6918" w:rsidR="00723D37" w:rsidP="0059793A" w:rsidRDefault="00723D37" w14:paraId="777428AB" w14:textId="77777777">
            <w:pPr>
              <w:pStyle w:val="BodyText"/>
              <w:rPr>
                <w:rFonts w:cs="Arial" w:asciiTheme="minorHAnsi" w:hAnsiTheme="minorHAnsi"/>
                <w:sz w:val="16"/>
                <w:szCs w:val="16"/>
              </w:rPr>
            </w:pPr>
          </w:p>
          <w:p w:rsidRPr="005A6918" w:rsidR="00723D37" w:rsidP="0059793A" w:rsidRDefault="00723D37" w14:paraId="3E491405" w14:textId="77777777">
            <w:pPr>
              <w:pStyle w:val="BodyText"/>
              <w:rPr>
                <w:rFonts w:cs="Arial" w:asciiTheme="minorHAnsi" w:hAnsiTheme="minorHAnsi"/>
                <w:sz w:val="16"/>
                <w:szCs w:val="16"/>
              </w:rPr>
            </w:pPr>
            <w:r w:rsidRPr="005A6918">
              <w:rPr>
                <w:rFonts w:cs="Arial" w:asciiTheme="minorHAnsi" w:hAnsiTheme="minorHAnsi"/>
                <w:sz w:val="16"/>
                <w:szCs w:val="16"/>
              </w:rPr>
              <w:t xml:space="preserve">The ESPGHAN recommended intake of folic acid for preterm infants is 35 to 100 microgram/kg/day (32 to 90 microgram/100 kCal) </w:t>
            </w:r>
            <w:r w:rsidRPr="005A6918">
              <w:rPr>
                <w:rFonts w:cs="Arial" w:asciiTheme="minorHAnsi" w:hAnsiTheme="minorHAnsi"/>
                <w:noProof/>
                <w:sz w:val="16"/>
                <w:szCs w:val="16"/>
              </w:rPr>
              <w:t>[11]</w:t>
            </w:r>
            <w:r w:rsidRPr="005A6918">
              <w:rPr>
                <w:rFonts w:cs="Arial" w:asciiTheme="minorHAnsi" w:hAnsiTheme="minorHAnsi"/>
                <w:sz w:val="16"/>
                <w:szCs w:val="16"/>
              </w:rPr>
              <w:t>. [LOE II-III GOR C]</w:t>
            </w:r>
          </w:p>
          <w:p w:rsidRPr="005A6918" w:rsidR="00723D37" w:rsidP="0059793A" w:rsidRDefault="00723D37" w14:paraId="1491CCE0" w14:textId="77777777">
            <w:pPr>
              <w:pStyle w:val="BodyText"/>
              <w:rPr>
                <w:rFonts w:cs="Arial" w:asciiTheme="minorHAnsi" w:hAnsiTheme="minorHAnsi"/>
                <w:sz w:val="16"/>
                <w:szCs w:val="16"/>
              </w:rPr>
            </w:pPr>
          </w:p>
          <w:p w:rsidRPr="005A6918" w:rsidR="00723D37" w:rsidP="0059793A" w:rsidRDefault="00723D37" w14:paraId="386D64AC" w14:textId="77777777">
            <w:pPr>
              <w:pStyle w:val="BodyText"/>
              <w:rPr>
                <w:rFonts w:cs="Arial" w:asciiTheme="minorHAnsi" w:hAnsiTheme="minorHAnsi"/>
                <w:b/>
                <w:sz w:val="16"/>
                <w:szCs w:val="16"/>
              </w:rPr>
            </w:pPr>
            <w:r w:rsidRPr="005A6918">
              <w:rPr>
                <w:rFonts w:cs="Arial" w:asciiTheme="minorHAnsi" w:hAnsiTheme="minorHAnsi"/>
                <w:b/>
                <w:sz w:val="16"/>
                <w:szCs w:val="16"/>
              </w:rPr>
              <w:t>Efficacy</w:t>
            </w:r>
          </w:p>
          <w:p w:rsidRPr="005A6918" w:rsidR="00723D37" w:rsidP="0059793A" w:rsidRDefault="00723D37" w14:paraId="57BBF645" w14:textId="77777777">
            <w:pPr>
              <w:pStyle w:val="BodyText"/>
              <w:rPr>
                <w:rFonts w:cs="Arial" w:asciiTheme="minorHAnsi" w:hAnsiTheme="minorHAnsi"/>
                <w:b/>
                <w:sz w:val="16"/>
                <w:szCs w:val="16"/>
              </w:rPr>
            </w:pPr>
            <w:r w:rsidRPr="005A6918">
              <w:rPr>
                <w:rFonts w:cs="Arial" w:asciiTheme="minorHAnsi" w:hAnsiTheme="minorHAnsi"/>
                <w:b/>
                <w:i/>
                <w:sz w:val="16"/>
                <w:szCs w:val="16"/>
              </w:rPr>
              <w:t xml:space="preserve">Prevention of anaemia: </w:t>
            </w:r>
            <w:r w:rsidRPr="005A6918">
              <w:rPr>
                <w:rFonts w:cs="Arial" w:asciiTheme="minorHAnsi" w:hAnsiTheme="minorHAnsi"/>
                <w:sz w:val="16"/>
                <w:szCs w:val="16"/>
              </w:rPr>
              <w:t xml:space="preserve">A systematic review of folate supplementation on folate status and health outcomes in infants, children and adolescents reported there is no evidence that additional intake of folate influences haemoglobin levels in </w:t>
            </w:r>
            <w:r w:rsidRPr="005A6918">
              <w:rPr>
                <w:rFonts w:cs="Arial" w:asciiTheme="minorHAnsi" w:hAnsiTheme="minorHAnsi"/>
                <w:sz w:val="16"/>
                <w:szCs w:val="16"/>
              </w:rPr>
              <w:lastRenderedPageBreak/>
              <w:t xml:space="preserve">non-anaemic paediatric patients </w:t>
            </w:r>
            <w:r w:rsidRPr="005A6918">
              <w:rPr>
                <w:rFonts w:cs="Arial" w:asciiTheme="minorHAnsi" w:hAnsiTheme="minorHAnsi"/>
                <w:noProof/>
                <w:sz w:val="16"/>
                <w:szCs w:val="16"/>
              </w:rPr>
              <w:t>[8]</w:t>
            </w:r>
            <w:r w:rsidRPr="005A6918">
              <w:rPr>
                <w:rFonts w:cs="Arial" w:asciiTheme="minorHAnsi" w:hAnsiTheme="minorHAnsi"/>
                <w:sz w:val="16"/>
                <w:szCs w:val="16"/>
              </w:rPr>
              <w:t>. In addition, there was insufficient evidence to determine an effect on growth. [LOE II-III; GOR C]</w:t>
            </w:r>
          </w:p>
          <w:p w:rsidRPr="005A6918" w:rsidR="00723D37" w:rsidP="0059793A" w:rsidRDefault="00723D37" w14:paraId="60E3A276" w14:textId="77777777">
            <w:pPr>
              <w:pStyle w:val="BodyText"/>
              <w:rPr>
                <w:rFonts w:cs="Arial" w:asciiTheme="minorHAnsi" w:hAnsiTheme="minorHAnsi"/>
                <w:sz w:val="16"/>
                <w:szCs w:val="16"/>
              </w:rPr>
            </w:pPr>
            <w:r w:rsidRPr="005A6918">
              <w:rPr>
                <w:rFonts w:cs="Arial" w:asciiTheme="minorHAnsi" w:hAnsiTheme="minorHAnsi"/>
                <w:b/>
                <w:i/>
                <w:sz w:val="16"/>
                <w:szCs w:val="16"/>
              </w:rPr>
              <w:t>Treatment of megaloblastic anaemia:</w:t>
            </w:r>
            <w:r w:rsidRPr="005A6918">
              <w:rPr>
                <w:rFonts w:cs="Arial" w:asciiTheme="minorHAnsi" w:hAnsiTheme="minorHAnsi"/>
                <w:sz w:val="16"/>
                <w:szCs w:val="16"/>
              </w:rPr>
              <w:t xml:space="preserve"> A case series documented response to folate 60 to 480 micrograms/ day intramuscularly in folate deficient infants with megaloblastic anaemia </w:t>
            </w:r>
            <w:r w:rsidRPr="005A6918">
              <w:rPr>
                <w:rFonts w:cs="Arial" w:asciiTheme="minorHAnsi" w:hAnsiTheme="minorHAnsi"/>
                <w:noProof/>
                <w:sz w:val="16"/>
                <w:szCs w:val="16"/>
              </w:rPr>
              <w:t>[14]</w:t>
            </w:r>
            <w:r w:rsidRPr="005A6918">
              <w:rPr>
                <w:rFonts w:cs="Arial" w:asciiTheme="minorHAnsi" w:hAnsiTheme="minorHAnsi"/>
                <w:sz w:val="16"/>
                <w:szCs w:val="16"/>
              </w:rPr>
              <w:t>. [LOE IV GOR C]</w:t>
            </w:r>
          </w:p>
          <w:p w:rsidRPr="005A6918" w:rsidR="00723D37" w:rsidP="0059793A" w:rsidRDefault="00723D37" w14:paraId="17DC6A34" w14:textId="77777777">
            <w:pPr>
              <w:pStyle w:val="BodyText"/>
              <w:rPr>
                <w:rFonts w:cs="Arial" w:asciiTheme="minorHAnsi" w:hAnsiTheme="minorHAnsi"/>
                <w:sz w:val="16"/>
                <w:szCs w:val="16"/>
              </w:rPr>
            </w:pPr>
            <w:r w:rsidRPr="005A6918">
              <w:rPr>
                <w:rFonts w:cs="Arial" w:asciiTheme="minorHAnsi" w:hAnsiTheme="minorHAnsi"/>
                <w:b/>
                <w:i/>
                <w:sz w:val="16"/>
                <w:szCs w:val="16"/>
              </w:rPr>
              <w:t>Preterm or low birth weight infants:</w:t>
            </w:r>
            <w:r w:rsidRPr="005A6918">
              <w:rPr>
                <w:rFonts w:cs="Arial" w:asciiTheme="minorHAnsi" w:hAnsiTheme="minorHAnsi"/>
                <w:sz w:val="16"/>
                <w:szCs w:val="16"/>
              </w:rPr>
              <w:t xml:space="preserve"> A systematic review of folate supplementation on folate status and health outcomes in infants, children and adolescents reported limited data suggest that supplementing the diet of low-birth-weight infants with folic acid may moderate the rapid fall of serum folate and red cell folate in the first months of life </w:t>
            </w:r>
            <w:r w:rsidRPr="005A6918">
              <w:rPr>
                <w:rFonts w:cs="Arial" w:asciiTheme="minorHAnsi" w:hAnsiTheme="minorHAnsi"/>
                <w:noProof/>
                <w:sz w:val="16"/>
                <w:szCs w:val="16"/>
              </w:rPr>
              <w:t>[8]</w:t>
            </w:r>
            <w:r w:rsidRPr="005A6918">
              <w:rPr>
                <w:rFonts w:cs="Arial" w:asciiTheme="minorHAnsi" w:hAnsiTheme="minorHAnsi"/>
                <w:sz w:val="16"/>
                <w:szCs w:val="16"/>
              </w:rPr>
              <w:t xml:space="preserve">. In a RCT in 141 low-birthweight infants, folic acid doses of 25, 50, and 75 micrograms/day were reported to be adequate and affect serum folate levels similarly </w:t>
            </w:r>
            <w:r w:rsidRPr="005A6918">
              <w:rPr>
                <w:rFonts w:cs="Arial" w:asciiTheme="minorHAnsi" w:hAnsiTheme="minorHAnsi"/>
                <w:noProof/>
                <w:sz w:val="16"/>
                <w:szCs w:val="16"/>
              </w:rPr>
              <w:t>[15]</w:t>
            </w:r>
            <w:r w:rsidRPr="005A6918">
              <w:rPr>
                <w:rFonts w:cs="Arial" w:asciiTheme="minorHAnsi" w:hAnsiTheme="minorHAnsi"/>
                <w:sz w:val="16"/>
                <w:szCs w:val="16"/>
              </w:rPr>
              <w:t xml:space="preserve">. There was no significant difference in rehospitalisation rates for transfusion although the study is underpowered. Another RCT in 184 infants born &lt;1800 g and &lt;36 weeks gestation compared oral 100 micrograms folate/day for 4 months versus 100 micrograms vitamin B-12 intramuscularly monthly for 4 months versus both supplements or neither supplement in infants treated with iron and vitamin E </w:t>
            </w:r>
            <w:r w:rsidRPr="005A6918">
              <w:rPr>
                <w:rFonts w:cs="Arial" w:asciiTheme="minorHAnsi" w:hAnsiTheme="minorHAnsi"/>
                <w:noProof/>
                <w:sz w:val="16"/>
                <w:szCs w:val="16"/>
              </w:rPr>
              <w:t>[16]</w:t>
            </w:r>
            <w:r w:rsidRPr="005A6918">
              <w:rPr>
                <w:rFonts w:cs="Arial" w:asciiTheme="minorHAnsi" w:hAnsiTheme="minorHAnsi"/>
                <w:sz w:val="16"/>
                <w:szCs w:val="16"/>
              </w:rPr>
              <w:t xml:space="preserve">. Folate supplementation significantly decreased the decline in haemoglobin compared to the unsupplemented group, although the smallest decline in haemoglobin was reported in infants who received B12 alone or in combination with folate. Transfusion requirements were not reported. </w:t>
            </w:r>
          </w:p>
          <w:p w:rsidRPr="005A6918" w:rsidR="00723D37" w:rsidP="0059793A" w:rsidRDefault="00723D37" w14:paraId="7DE2FE7D" w14:textId="77777777">
            <w:pPr>
              <w:pStyle w:val="BodyText"/>
              <w:rPr>
                <w:rFonts w:cs="Arial" w:asciiTheme="minorHAnsi" w:hAnsiTheme="minorHAnsi"/>
                <w:sz w:val="16"/>
                <w:szCs w:val="16"/>
              </w:rPr>
            </w:pPr>
            <w:r w:rsidRPr="005A6918">
              <w:rPr>
                <w:rFonts w:cs="Arial" w:asciiTheme="minorHAnsi" w:hAnsiTheme="minorHAnsi"/>
                <w:b/>
                <w:sz w:val="16"/>
                <w:szCs w:val="16"/>
              </w:rPr>
              <w:t xml:space="preserve">Recommendation: </w:t>
            </w:r>
            <w:r w:rsidRPr="005A6918">
              <w:rPr>
                <w:rFonts w:cs="Arial" w:asciiTheme="minorHAnsi" w:hAnsiTheme="minorHAnsi"/>
                <w:sz w:val="16"/>
                <w:szCs w:val="16"/>
              </w:rPr>
              <w:t xml:space="preserve">The current ESPGHAN recommended enteral folic acid intake for preterm infants is 35 to 100 microgram/kg/day </w:t>
            </w:r>
            <w:r w:rsidRPr="005A6918">
              <w:rPr>
                <w:rFonts w:cs="Arial" w:asciiTheme="minorHAnsi" w:hAnsiTheme="minorHAnsi"/>
                <w:noProof/>
                <w:sz w:val="16"/>
                <w:szCs w:val="16"/>
              </w:rPr>
              <w:t>[11]</w:t>
            </w:r>
            <w:r w:rsidRPr="005A6918">
              <w:rPr>
                <w:rFonts w:cs="Arial" w:asciiTheme="minorHAnsi" w:hAnsiTheme="minorHAnsi"/>
                <w:sz w:val="16"/>
                <w:szCs w:val="16"/>
              </w:rPr>
              <w:t xml:space="preserve">. The recent ESPGHAN/ESPEN/ESPR/CSPEN guidelines on pediatric parenteral nutrition: Vitamins recommend routine supplementation of folic acid to prevent development of folic acid deficiency in preterm infants </w:t>
            </w:r>
            <w:r w:rsidRPr="005A6918">
              <w:rPr>
                <w:rFonts w:cs="Arial" w:asciiTheme="minorHAnsi" w:hAnsiTheme="minorHAnsi"/>
                <w:noProof/>
                <w:sz w:val="16"/>
                <w:szCs w:val="16"/>
              </w:rPr>
              <w:t>[17]</w:t>
            </w:r>
            <w:r w:rsidRPr="005A6918">
              <w:rPr>
                <w:rFonts w:cs="Arial" w:asciiTheme="minorHAnsi" w:hAnsiTheme="minorHAnsi"/>
                <w:sz w:val="16"/>
                <w:szCs w:val="16"/>
              </w:rPr>
              <w:t>. Erythropoietin therapy for prevention and treatment of anaemia of prematurity may increase folic acid deficiency. Therefore, ESPGHAN has recommended combined therapy of B12 and folic acid to enhance erythropoiesis. According to the ESPGHAN 2005 Guidelines, the current recommended dose of FA in PN is 56 microgram/kg/day for infants and 140 mg/day for children. When needed as a treatment to improve erythropoiesis, the recommended dose is 35 to 100 microgram/kg/day. [LOE II-III GOR C]</w:t>
            </w:r>
          </w:p>
          <w:p w:rsidRPr="005A6918" w:rsidR="00723D37" w:rsidP="0059793A" w:rsidRDefault="00723D37" w14:paraId="084A0B0F" w14:textId="77777777">
            <w:pPr>
              <w:pStyle w:val="BodyText"/>
              <w:rPr>
                <w:rFonts w:cs="Arial" w:asciiTheme="minorHAnsi" w:hAnsiTheme="minorHAnsi"/>
                <w:b/>
                <w:sz w:val="16"/>
                <w:szCs w:val="16"/>
              </w:rPr>
            </w:pPr>
          </w:p>
          <w:p w:rsidRPr="005A6918" w:rsidR="00723D37" w:rsidP="0059793A" w:rsidRDefault="00723D37" w14:paraId="1B96E57D" w14:textId="77777777">
            <w:pPr>
              <w:pStyle w:val="BodyText"/>
              <w:rPr>
                <w:rFonts w:cs="Arial" w:asciiTheme="minorHAnsi" w:hAnsiTheme="minorHAnsi"/>
                <w:b/>
                <w:sz w:val="16"/>
                <w:szCs w:val="16"/>
              </w:rPr>
            </w:pPr>
            <w:r w:rsidRPr="005A6918">
              <w:rPr>
                <w:rFonts w:cs="Arial" w:asciiTheme="minorHAnsi" w:hAnsiTheme="minorHAnsi"/>
                <w:b/>
                <w:sz w:val="16"/>
                <w:szCs w:val="16"/>
              </w:rPr>
              <w:t xml:space="preserve">Treatment of other anaemias: </w:t>
            </w:r>
          </w:p>
          <w:p w:rsidRPr="005A6918" w:rsidR="00723D37" w:rsidP="0059793A" w:rsidRDefault="00723D37" w14:paraId="06EEB83E" w14:textId="77777777">
            <w:pPr>
              <w:pStyle w:val="BodyText"/>
              <w:rPr>
                <w:rFonts w:cs="Arial" w:asciiTheme="minorHAnsi" w:hAnsiTheme="minorHAnsi"/>
                <w:sz w:val="16"/>
                <w:szCs w:val="16"/>
              </w:rPr>
            </w:pPr>
            <w:r w:rsidRPr="005A6918">
              <w:rPr>
                <w:rFonts w:cs="Arial" w:asciiTheme="minorHAnsi" w:hAnsiTheme="minorHAnsi"/>
                <w:b/>
                <w:i/>
                <w:sz w:val="16"/>
                <w:szCs w:val="16"/>
              </w:rPr>
              <w:t xml:space="preserve">Rhesus haemolytic disease of the newborn: </w:t>
            </w:r>
            <w:r w:rsidRPr="005A6918">
              <w:rPr>
                <w:rFonts w:cs="Arial" w:asciiTheme="minorHAnsi" w:hAnsiTheme="minorHAnsi"/>
                <w:sz w:val="16"/>
                <w:szCs w:val="16"/>
              </w:rPr>
              <w:t xml:space="preserve">Two reviews </w:t>
            </w:r>
            <w:r w:rsidRPr="005A6918">
              <w:rPr>
                <w:rFonts w:cs="Arial" w:asciiTheme="minorHAnsi" w:hAnsiTheme="minorHAnsi"/>
                <w:noProof/>
                <w:sz w:val="16"/>
                <w:szCs w:val="16"/>
              </w:rPr>
              <w:t>[18, 19]</w:t>
            </w:r>
            <w:r w:rsidRPr="005A6918">
              <w:rPr>
                <w:rFonts w:cs="Arial" w:asciiTheme="minorHAnsi" w:hAnsiTheme="minorHAnsi"/>
                <w:sz w:val="16"/>
                <w:szCs w:val="16"/>
              </w:rPr>
              <w:t xml:space="preserve"> of the management of rhesus haemolytic disease reported that although administration of folic acid until 3 months of age might hypothetically decrease the need for top-up transfusions of red blood cells, current studies do not provide any evidence that administration of folic acid to infants with haemolytic disease affects the haemoglobin level </w:t>
            </w:r>
            <w:r w:rsidRPr="005A6918">
              <w:rPr>
                <w:rFonts w:cs="Arial" w:asciiTheme="minorHAnsi" w:hAnsiTheme="minorHAnsi"/>
                <w:noProof/>
                <w:sz w:val="16"/>
                <w:szCs w:val="16"/>
              </w:rPr>
              <w:t>[18]</w:t>
            </w:r>
            <w:r w:rsidRPr="005A6918">
              <w:rPr>
                <w:rFonts w:cs="Arial" w:asciiTheme="minorHAnsi" w:hAnsiTheme="minorHAnsi"/>
                <w:sz w:val="16"/>
                <w:szCs w:val="16"/>
              </w:rPr>
              <w:t xml:space="preserve"> or reduces the need for top-up transfusions of red blood cells </w:t>
            </w:r>
            <w:r w:rsidRPr="005A6918">
              <w:rPr>
                <w:rFonts w:cs="Arial" w:asciiTheme="minorHAnsi" w:hAnsiTheme="minorHAnsi"/>
                <w:noProof/>
                <w:sz w:val="16"/>
                <w:szCs w:val="16"/>
              </w:rPr>
              <w:t>[18, 19]</w:t>
            </w:r>
            <w:r w:rsidRPr="005A6918">
              <w:rPr>
                <w:rFonts w:cs="Arial" w:asciiTheme="minorHAnsi" w:hAnsiTheme="minorHAnsi"/>
                <w:sz w:val="16"/>
                <w:szCs w:val="16"/>
              </w:rPr>
              <w:t xml:space="preserve">. Folic acid dosages reported in the literature vary from 25 micrograms to 5 mg/d and side effects (such as rash, fever) were uncommon. A routine supplement of folate 50 micrograms was suggested for infants with haemolytic disease of the newborn during the first three months of life </w:t>
            </w:r>
            <w:r w:rsidRPr="005A6918">
              <w:rPr>
                <w:rFonts w:cs="Arial" w:asciiTheme="minorHAnsi" w:hAnsiTheme="minorHAnsi"/>
                <w:noProof/>
                <w:sz w:val="16"/>
                <w:szCs w:val="16"/>
              </w:rPr>
              <w:t>[19]</w:t>
            </w:r>
            <w:r w:rsidRPr="005A6918">
              <w:rPr>
                <w:rFonts w:cs="Arial" w:asciiTheme="minorHAnsi" w:hAnsiTheme="minorHAnsi"/>
                <w:sz w:val="16"/>
                <w:szCs w:val="16"/>
              </w:rPr>
              <w:t>.</w:t>
            </w:r>
          </w:p>
          <w:p w:rsidRPr="005A6918" w:rsidR="00723D37" w:rsidP="0059793A" w:rsidRDefault="00723D37" w14:paraId="0F1ECF1C" w14:textId="77777777">
            <w:pPr>
              <w:pStyle w:val="BodyText"/>
              <w:rPr>
                <w:rFonts w:cs="Arial" w:asciiTheme="minorHAnsi" w:hAnsiTheme="minorHAnsi"/>
                <w:sz w:val="16"/>
                <w:szCs w:val="16"/>
              </w:rPr>
            </w:pPr>
            <w:r w:rsidRPr="005A6918">
              <w:rPr>
                <w:rFonts w:cs="Arial" w:asciiTheme="minorHAnsi" w:hAnsiTheme="minorHAnsi"/>
                <w:b/>
                <w:i/>
                <w:sz w:val="16"/>
                <w:szCs w:val="16"/>
              </w:rPr>
              <w:t>Sickle cell anaemia:</w:t>
            </w:r>
            <w:r w:rsidRPr="005A6918">
              <w:rPr>
                <w:rFonts w:cs="Arial" w:asciiTheme="minorHAnsi" w:hAnsiTheme="minorHAnsi"/>
                <w:sz w:val="16"/>
                <w:szCs w:val="16"/>
              </w:rPr>
              <w:t xml:space="preserve"> A systematic review found a single trial of folate 5 mg daily versus placebo in 117 children with sickle cell disease aged 6 months to 4 years and reported increased in serum folate levels but no effect on haemoglobin or symptoms of sickle cell disease </w:t>
            </w:r>
            <w:r w:rsidRPr="005A6918">
              <w:rPr>
                <w:rFonts w:cs="Arial" w:asciiTheme="minorHAnsi" w:hAnsiTheme="minorHAnsi"/>
                <w:noProof/>
                <w:sz w:val="16"/>
                <w:szCs w:val="16"/>
              </w:rPr>
              <w:t>[20]</w:t>
            </w:r>
            <w:r w:rsidRPr="005A6918">
              <w:rPr>
                <w:rFonts w:cs="Arial" w:asciiTheme="minorHAnsi" w:hAnsiTheme="minorHAnsi"/>
                <w:sz w:val="16"/>
                <w:szCs w:val="16"/>
              </w:rPr>
              <w:t>. [LOE II GOR C/D]</w:t>
            </w:r>
          </w:p>
          <w:p w:rsidRPr="005A6918" w:rsidR="00723D37" w:rsidP="0059793A" w:rsidRDefault="00723D37" w14:paraId="2BFC1B92" w14:textId="77777777">
            <w:pPr>
              <w:pStyle w:val="BodyText"/>
              <w:rPr>
                <w:rFonts w:cs="Arial" w:asciiTheme="minorHAnsi" w:hAnsiTheme="minorHAnsi"/>
                <w:b/>
                <w:i/>
                <w:sz w:val="16"/>
                <w:szCs w:val="16"/>
              </w:rPr>
            </w:pPr>
            <w:r w:rsidRPr="005A6918">
              <w:rPr>
                <w:rFonts w:cs="Arial" w:asciiTheme="minorHAnsi" w:hAnsiTheme="minorHAnsi"/>
                <w:b/>
                <w:i/>
                <w:sz w:val="16"/>
                <w:szCs w:val="16"/>
              </w:rPr>
              <w:t xml:space="preserve">Hereditary spherocytosis (HS): </w:t>
            </w:r>
            <w:r w:rsidRPr="005A6918">
              <w:rPr>
                <w:rFonts w:cs="Arial" w:asciiTheme="minorHAnsi" w:hAnsiTheme="minorHAnsi"/>
                <w:sz w:val="16"/>
                <w:szCs w:val="16"/>
              </w:rPr>
              <w:t xml:space="preserve">Megaloblastic anaemia has been reported in patients with HS. The General Haematology Task Force of the British Committee for Standards in Haematology recommend folate (2.5 mg/day up to 5 years age, and 5 mg/day thereafter) in severe and moderate HS, but is probably not necessary in mild HS </w:t>
            </w:r>
            <w:r w:rsidRPr="005A6918">
              <w:rPr>
                <w:rFonts w:cs="Arial" w:asciiTheme="minorHAnsi" w:hAnsiTheme="minorHAnsi"/>
                <w:noProof/>
                <w:sz w:val="16"/>
                <w:szCs w:val="16"/>
              </w:rPr>
              <w:t>[21]</w:t>
            </w:r>
            <w:r w:rsidRPr="005A6918">
              <w:rPr>
                <w:rFonts w:cs="Arial" w:asciiTheme="minorHAnsi" w:hAnsiTheme="minorHAnsi"/>
                <w:sz w:val="16"/>
                <w:szCs w:val="16"/>
              </w:rPr>
              <w:t xml:space="preserve">. [LOE III/IV, GOR C] </w:t>
            </w:r>
          </w:p>
          <w:p w:rsidRPr="005A6918" w:rsidR="00723D37" w:rsidP="0059793A" w:rsidRDefault="00723D37" w14:paraId="01BA84F0" w14:textId="77777777">
            <w:pPr>
              <w:pStyle w:val="BodyText"/>
              <w:rPr>
                <w:rFonts w:cs="Arial" w:asciiTheme="minorHAnsi" w:hAnsiTheme="minorHAnsi"/>
                <w:b/>
                <w:sz w:val="16"/>
                <w:szCs w:val="16"/>
              </w:rPr>
            </w:pPr>
            <w:r w:rsidRPr="005A6918">
              <w:rPr>
                <w:rFonts w:cs="Arial" w:asciiTheme="minorHAnsi" w:hAnsiTheme="minorHAnsi"/>
                <w:b/>
                <w:sz w:val="16"/>
                <w:szCs w:val="16"/>
              </w:rPr>
              <w:t xml:space="preserve">Concurrent therapy with dihydrofolate reductase inhibitors (trimethoprim/sulfamethoxazole; Pyrimethamine / sulfadiazine; methotrexate): </w:t>
            </w:r>
          </w:p>
          <w:p w:rsidRPr="005A6918" w:rsidR="00723D37" w:rsidP="0059793A" w:rsidRDefault="00723D37" w14:paraId="6B8A96F1" w14:textId="77777777">
            <w:pPr>
              <w:pStyle w:val="BodyText"/>
              <w:rPr>
                <w:rFonts w:cs="Arial" w:asciiTheme="minorHAnsi" w:hAnsiTheme="minorHAnsi"/>
                <w:sz w:val="16"/>
                <w:szCs w:val="16"/>
              </w:rPr>
            </w:pPr>
            <w:r w:rsidRPr="005A6918">
              <w:rPr>
                <w:rFonts w:cs="Arial" w:asciiTheme="minorHAnsi" w:hAnsiTheme="minorHAnsi"/>
                <w:b/>
                <w:i/>
                <w:sz w:val="16"/>
                <w:szCs w:val="16"/>
              </w:rPr>
              <w:t>Methotrexate:</w:t>
            </w:r>
            <w:r w:rsidRPr="005A6918">
              <w:rPr>
                <w:rFonts w:cs="Arial" w:asciiTheme="minorHAnsi" w:hAnsiTheme="minorHAnsi"/>
                <w:sz w:val="16"/>
                <w:szCs w:val="16"/>
              </w:rPr>
              <w:t xml:space="preserve"> Folate and folinic acid have a protective and probably similar effect against methotrexate related adverse effects (including a reduction in gastrointestinal side effects, hepatic dysfunction and discontinuation of MTX treatment for any reason) in patients with inflammatory disease </w:t>
            </w:r>
            <w:r w:rsidRPr="005A6918">
              <w:rPr>
                <w:rFonts w:cs="Arial" w:asciiTheme="minorHAnsi" w:hAnsiTheme="minorHAnsi"/>
                <w:noProof/>
                <w:sz w:val="16"/>
                <w:szCs w:val="16"/>
              </w:rPr>
              <w:t>[3, 4].</w:t>
            </w:r>
            <w:r w:rsidRPr="005A6918">
              <w:rPr>
                <w:rFonts w:cs="Arial" w:asciiTheme="minorHAnsi" w:hAnsiTheme="minorHAnsi"/>
                <w:sz w:val="16"/>
                <w:szCs w:val="16"/>
              </w:rPr>
              <w:t xml:space="preserve"> As folinic acid is expensive, folate may be preferred.</w:t>
            </w:r>
          </w:p>
          <w:p w:rsidRPr="005A6918" w:rsidR="00723D37" w:rsidP="0059793A" w:rsidRDefault="00723D37" w14:paraId="3ECD9EC1" w14:textId="77777777">
            <w:pPr>
              <w:pStyle w:val="BodyText"/>
              <w:rPr>
                <w:rFonts w:cs="Arial" w:asciiTheme="minorHAnsi" w:hAnsiTheme="minorHAnsi"/>
                <w:sz w:val="16"/>
                <w:szCs w:val="16"/>
              </w:rPr>
            </w:pPr>
            <w:r w:rsidRPr="005A6918">
              <w:rPr>
                <w:rFonts w:cs="Arial" w:asciiTheme="minorHAnsi" w:hAnsiTheme="minorHAnsi"/>
                <w:b/>
                <w:i/>
                <w:sz w:val="16"/>
                <w:szCs w:val="16"/>
              </w:rPr>
              <w:t xml:space="preserve">Pyrimethamine / sulfadiazine: </w:t>
            </w:r>
            <w:r w:rsidRPr="005A6918">
              <w:rPr>
                <w:rFonts w:cs="Arial" w:asciiTheme="minorHAnsi" w:hAnsiTheme="minorHAnsi"/>
                <w:sz w:val="16"/>
                <w:szCs w:val="16"/>
              </w:rPr>
              <w:t xml:space="preserve">Current guidelines for treatment of the infant with congenital toxoplasmosis are for use of pyrimethamine and sulfadiazine plus folinic acid  </w:t>
            </w:r>
            <w:r w:rsidRPr="005A6918">
              <w:rPr>
                <w:rFonts w:cs="Arial" w:asciiTheme="minorHAnsi" w:hAnsiTheme="minorHAnsi"/>
                <w:noProof/>
                <w:sz w:val="16"/>
                <w:szCs w:val="16"/>
              </w:rPr>
              <w:t>[22,23]</w:t>
            </w:r>
            <w:r w:rsidRPr="005A6918">
              <w:rPr>
                <w:rFonts w:cs="Arial" w:asciiTheme="minorHAnsi" w:hAnsiTheme="minorHAnsi"/>
                <w:sz w:val="16"/>
                <w:szCs w:val="16"/>
              </w:rPr>
              <w:t>.</w:t>
            </w:r>
            <w:r w:rsidRPr="005A6918">
              <w:rPr>
                <w:rFonts w:asciiTheme="minorHAnsi" w:hAnsiTheme="minorHAnsi"/>
                <w:sz w:val="16"/>
                <w:szCs w:val="16"/>
              </w:rPr>
              <w:t xml:space="preserve"> </w:t>
            </w:r>
            <w:r w:rsidRPr="005A6918">
              <w:rPr>
                <w:rFonts w:cs="Arial" w:asciiTheme="minorHAnsi" w:hAnsiTheme="minorHAnsi"/>
                <w:sz w:val="16"/>
                <w:szCs w:val="16"/>
              </w:rPr>
              <w:t>Folinic acid 10 mg three</w:t>
            </w:r>
            <w:r w:rsidRPr="005A6918">
              <w:rPr>
                <w:rFonts w:hint="eastAsia" w:ascii="MS Gothic" w:hAnsi="MS Gothic" w:eastAsia="MS Gothic" w:cs="MS Gothic"/>
                <w:sz w:val="16"/>
                <w:szCs w:val="16"/>
              </w:rPr>
              <w:t>‑</w:t>
            </w:r>
            <w:r w:rsidRPr="005A6918">
              <w:rPr>
                <w:rFonts w:cs="Arial" w:asciiTheme="minorHAnsi" w:hAnsiTheme="minorHAnsi"/>
                <w:sz w:val="16"/>
                <w:szCs w:val="16"/>
              </w:rPr>
              <w:t xml:space="preserve">times a week is recommended until 1 week following cessation of Pyrimethamine treatment. It was advised not to use folic acid as a substitute for folinic acid </w:t>
            </w:r>
            <w:r w:rsidRPr="005A6918">
              <w:rPr>
                <w:rFonts w:cs="Arial" w:asciiTheme="minorHAnsi" w:hAnsiTheme="minorHAnsi"/>
                <w:noProof/>
                <w:sz w:val="16"/>
                <w:szCs w:val="16"/>
              </w:rPr>
              <w:t>[24]</w:t>
            </w:r>
            <w:r w:rsidRPr="005A6918">
              <w:rPr>
                <w:rFonts w:cs="Arial" w:asciiTheme="minorHAnsi" w:hAnsiTheme="minorHAnsi"/>
                <w:sz w:val="16"/>
                <w:szCs w:val="16"/>
              </w:rPr>
              <w:t xml:space="preserve">. Levels of folinic acid in the CSF from folinic acid supplemented infants treated with pyrimethamine for congenital toxoplasmosis are thought to be too low to inhibit the effect of pyrimethamine </w:t>
            </w:r>
            <w:r w:rsidRPr="005A6918">
              <w:rPr>
                <w:rFonts w:cs="Arial" w:asciiTheme="minorHAnsi" w:hAnsiTheme="minorHAnsi"/>
                <w:noProof/>
                <w:sz w:val="16"/>
                <w:szCs w:val="16"/>
              </w:rPr>
              <w:t>[25]</w:t>
            </w:r>
            <w:r w:rsidRPr="005A6918">
              <w:rPr>
                <w:rFonts w:cs="Arial" w:asciiTheme="minorHAnsi" w:hAnsiTheme="minorHAnsi"/>
                <w:sz w:val="16"/>
                <w:szCs w:val="16"/>
              </w:rPr>
              <w:t>. However, there are no clinical trials comparing folate or folinic acid versus placebo in infants with toxoplasmosis.</w:t>
            </w:r>
          </w:p>
          <w:p w:rsidRPr="005A6918" w:rsidR="00723D37" w:rsidP="0059793A" w:rsidRDefault="00723D37" w14:paraId="71501E9D" w14:textId="77777777">
            <w:pPr>
              <w:pStyle w:val="BodyText"/>
              <w:rPr>
                <w:rFonts w:cs="Arial" w:asciiTheme="minorHAnsi" w:hAnsiTheme="minorHAnsi"/>
                <w:sz w:val="16"/>
                <w:szCs w:val="16"/>
              </w:rPr>
            </w:pPr>
            <w:r w:rsidRPr="005A6918">
              <w:rPr>
                <w:rFonts w:cs="Arial" w:asciiTheme="minorHAnsi" w:hAnsiTheme="minorHAnsi"/>
                <w:b/>
                <w:i/>
                <w:sz w:val="16"/>
                <w:szCs w:val="16"/>
              </w:rPr>
              <w:t>Trimethoprim/sulfamethoxazole:</w:t>
            </w:r>
            <w:r w:rsidRPr="005A6918">
              <w:rPr>
                <w:rFonts w:cs="Arial" w:asciiTheme="minorHAnsi" w:hAnsiTheme="minorHAnsi"/>
                <w:sz w:val="16"/>
                <w:szCs w:val="16"/>
              </w:rPr>
              <w:t xml:space="preserve"> There are no clinical trials comparing folate or folinic acid versus placebo in infants with treated with trimethoprim/sulfamethoxazole.</w:t>
            </w:r>
          </w:p>
          <w:p w:rsidRPr="005A6918" w:rsidR="00723D37" w:rsidP="0059793A" w:rsidRDefault="00723D37" w14:paraId="29B35856" w14:textId="77777777">
            <w:pPr>
              <w:pStyle w:val="BodyText"/>
              <w:rPr>
                <w:rFonts w:cs="Arial" w:asciiTheme="minorHAnsi" w:hAnsiTheme="minorHAnsi"/>
                <w:b/>
                <w:sz w:val="16"/>
                <w:szCs w:val="16"/>
              </w:rPr>
            </w:pPr>
            <w:r w:rsidRPr="005A6918">
              <w:rPr>
                <w:rFonts w:cs="Arial" w:asciiTheme="minorHAnsi" w:hAnsiTheme="minorHAnsi"/>
                <w:b/>
                <w:sz w:val="16"/>
                <w:szCs w:val="16"/>
              </w:rPr>
              <w:t>Safety</w:t>
            </w:r>
          </w:p>
          <w:p w:rsidRPr="005A6918" w:rsidR="00723D37" w:rsidP="0059793A" w:rsidRDefault="00723D37" w14:paraId="605092EA" w14:textId="77777777">
            <w:pPr>
              <w:pStyle w:val="BodyText"/>
              <w:rPr>
                <w:rFonts w:cs="Arial" w:asciiTheme="minorHAnsi" w:hAnsiTheme="minorHAnsi"/>
                <w:sz w:val="16"/>
                <w:szCs w:val="16"/>
              </w:rPr>
            </w:pPr>
            <w:r w:rsidRPr="005A6918">
              <w:rPr>
                <w:rFonts w:cs="Arial" w:asciiTheme="minorHAnsi" w:hAnsiTheme="minorHAnsi"/>
                <w:sz w:val="16"/>
                <w:szCs w:val="16"/>
              </w:rPr>
              <w:t xml:space="preserve">Folic acid toxicity is not reported in newborns </w:t>
            </w:r>
            <w:r w:rsidRPr="005A6918">
              <w:rPr>
                <w:rFonts w:cs="Arial" w:asciiTheme="minorHAnsi" w:hAnsiTheme="minorHAnsi"/>
                <w:noProof/>
                <w:sz w:val="16"/>
                <w:szCs w:val="16"/>
              </w:rPr>
              <w:t>[17]</w:t>
            </w:r>
            <w:r w:rsidRPr="005A6918">
              <w:rPr>
                <w:rFonts w:cs="Arial" w:asciiTheme="minorHAnsi" w:hAnsiTheme="minorHAnsi"/>
                <w:sz w:val="16"/>
                <w:szCs w:val="16"/>
              </w:rPr>
              <w:t xml:space="preserve">. However, higher, so-called pharmacological doses may mask neurological manifestations of pernicious anaemia and may reduce the efficacy of anticonvulsant medications </w:t>
            </w:r>
            <w:r w:rsidRPr="005A6918">
              <w:rPr>
                <w:rFonts w:cs="Arial" w:asciiTheme="minorHAnsi" w:hAnsiTheme="minorHAnsi"/>
                <w:noProof/>
                <w:sz w:val="16"/>
                <w:szCs w:val="16"/>
              </w:rPr>
              <w:t>[17]</w:t>
            </w:r>
            <w:r w:rsidRPr="005A6918">
              <w:rPr>
                <w:rFonts w:cs="Arial" w:asciiTheme="minorHAnsi" w:hAnsiTheme="minorHAnsi"/>
                <w:sz w:val="16"/>
                <w:szCs w:val="16"/>
              </w:rPr>
              <w:t xml:space="preserve">. High folate concentrations were associated with low zinc concentrations in preterm infants </w:t>
            </w:r>
            <w:r w:rsidRPr="005A6918">
              <w:rPr>
                <w:rFonts w:cs="Arial" w:asciiTheme="minorHAnsi" w:hAnsiTheme="minorHAnsi"/>
                <w:noProof/>
                <w:sz w:val="16"/>
                <w:szCs w:val="16"/>
              </w:rPr>
              <w:t>[5]</w:t>
            </w:r>
            <w:r w:rsidRPr="005A6918">
              <w:rPr>
                <w:rFonts w:cs="Arial" w:asciiTheme="minorHAnsi" w:hAnsiTheme="minorHAnsi"/>
                <w:sz w:val="16"/>
                <w:szCs w:val="16"/>
              </w:rPr>
              <w:t xml:space="preserve">. Weight loss, neurological, gastrointestinal and psychological symptoms were reported in adults on high doses </w:t>
            </w:r>
            <w:r w:rsidRPr="005A6918">
              <w:rPr>
                <w:rFonts w:cs="Arial" w:asciiTheme="minorHAnsi" w:hAnsiTheme="minorHAnsi"/>
                <w:noProof/>
                <w:sz w:val="16"/>
                <w:szCs w:val="16"/>
              </w:rPr>
              <w:t>[6]</w:t>
            </w:r>
            <w:r w:rsidRPr="005A6918">
              <w:rPr>
                <w:rFonts w:cs="Arial" w:asciiTheme="minorHAnsi" w:hAnsiTheme="minorHAnsi"/>
                <w:sz w:val="16"/>
                <w:szCs w:val="16"/>
              </w:rPr>
              <w:t xml:space="preserve">. </w:t>
            </w:r>
          </w:p>
        </w:tc>
      </w:tr>
      <w:tr w:rsidRPr="004D7A57" w:rsidR="00723D37" w:rsidTr="00D03862" w14:paraId="1BE893AD" w14:textId="77777777">
        <w:trPr>
          <w:trHeight w:val="360"/>
        </w:trPr>
        <w:tc>
          <w:tcPr>
            <w:tcW w:w="987" w:type="pct"/>
          </w:tcPr>
          <w:p w:rsidRPr="004D7A57" w:rsidR="00723D37" w:rsidP="0059793A" w:rsidRDefault="00723D37" w14:paraId="21219D39" w14:textId="77777777">
            <w:pPr>
              <w:pStyle w:val="BodyText"/>
              <w:rPr>
                <w:rFonts w:cs="Arial" w:asciiTheme="minorHAnsi" w:hAnsiTheme="minorHAnsi"/>
                <w:b/>
                <w:bCs/>
                <w:sz w:val="20"/>
              </w:rPr>
            </w:pPr>
            <w:r w:rsidRPr="004D7A57">
              <w:rPr>
                <w:rFonts w:asciiTheme="minorHAnsi" w:hAnsiTheme="minorHAnsi"/>
                <w:b/>
                <w:sz w:val="20"/>
              </w:rPr>
              <w:lastRenderedPageBreak/>
              <w:t>References</w:t>
            </w:r>
          </w:p>
        </w:tc>
        <w:tc>
          <w:tcPr>
            <w:tcW w:w="4013" w:type="pct"/>
          </w:tcPr>
          <w:p w:rsidRPr="005A6918" w:rsidR="00723D37" w:rsidP="001B0E05" w:rsidRDefault="00723D37" w14:paraId="2199508D"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Leaf A, Landowne Z. Vitamins – conventional uses and new insights. In: Nutritional Care of Preterm Infants. 2014;110:152-66.</w:t>
            </w:r>
          </w:p>
          <w:p w:rsidRPr="005A6918" w:rsidR="00723D37" w:rsidP="001B0E05" w:rsidRDefault="00723D37" w14:paraId="11B3F795"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Eds Kleinman RE, Greer FR. Water soluble vitamins. By American Academy of Pediatrics. In Pediatric Nutrition 7th edition. 2014:517-34.</w:t>
            </w:r>
          </w:p>
          <w:p w:rsidRPr="005A6918" w:rsidR="00723D37" w:rsidP="001B0E05" w:rsidRDefault="00723D37" w14:paraId="402DD81C"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Prey S, Paul C. Effect of folic or folinic acid supplementation on methotrexate-associated safety and efficacy in inflammatory disease: a systematic review. Br J Dermatol. 2009;160:622-8.</w:t>
            </w:r>
          </w:p>
          <w:p w:rsidRPr="005A6918" w:rsidR="00723D37" w:rsidP="001B0E05" w:rsidRDefault="00723D37" w14:paraId="39C880DD"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Shea B, Swinden MV, Tanjong Ghogomu E, Ortiz Z, Katchamart W, Rader T, Bombardier C, Wells GA, Tugwell P. Folic acid and folinic acid for reducing side effects in patients receiving methotrexate for rheumatoid arthritis. Cochrane Database Syst Rev. 2013:CD000951.</w:t>
            </w:r>
          </w:p>
          <w:p w:rsidRPr="005A6918" w:rsidR="00723D37" w:rsidP="001B0E05" w:rsidRDefault="00723D37" w14:paraId="5C047E31"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Fuller NJ, Bates CJ, Evans PH, Lucas A. High folate intakes related to zinc status in preterm infants. Eur J Pediatr. 1992;151:51-3.</w:t>
            </w:r>
          </w:p>
          <w:p w:rsidRPr="005A6918" w:rsidR="00723D37" w:rsidP="001B0E05" w:rsidRDefault="00723D37" w14:paraId="336A0AD3"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lastRenderedPageBreak/>
              <w:t>Campbell NR. How safe are folic acid supplements? Arch Intern Med. 1996;156:1638-44.</w:t>
            </w:r>
          </w:p>
          <w:p w:rsidRPr="005A6918" w:rsidR="00723D37" w:rsidP="001B0E05" w:rsidRDefault="00723D37" w14:paraId="062DFF25"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Water soluble vitamins. In: Kleinman RE, Greer FR, editors. Pediatric Nutrition 7th edition: American Academy of Pediatrics; 2014. p. 517-34.</w:t>
            </w:r>
          </w:p>
          <w:p w:rsidRPr="005A6918" w:rsidR="00723D37" w:rsidP="001B0E05" w:rsidRDefault="00723D37" w14:paraId="2DA1F4A7"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Lohner S, Fekete K, Berti C, Hermoso M, Cetin I, Koletzko B, Decsi T. Effect of folate supplementation on folate status and health outcomes in infants, children and adolescents: A systematic review. International Journal of Food Sciences and Nutrition. 2012;63:1014-20.</w:t>
            </w:r>
          </w:p>
          <w:p w:rsidRPr="005A6918" w:rsidR="00723D37" w:rsidP="001B0E05" w:rsidRDefault="00723D37" w14:paraId="393365B6"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Hay G, Johnston C, Whitelaw A, Trygg K, Refsum H. Folate and cobalamin status in relation to breastfeeding and weaning in healthy infants. American Journal of Clinical Nutrition. 2008;88:105-14.</w:t>
            </w:r>
          </w:p>
          <w:p w:rsidRPr="005A6918" w:rsidR="00723D37" w:rsidP="001B0E05" w:rsidRDefault="00723D37" w14:paraId="03D1D60E"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Han YH, Yon M, Han HS, Kim KY, Tamura T, Hyun TH. Folate contents in human milk and casein-based and soya-based formulas, and folate status in Korean infants. British Journal of Nutrition. 2009;101:1769-74.</w:t>
            </w:r>
          </w:p>
          <w:p w:rsidRPr="005A6918" w:rsidR="00723D37" w:rsidP="001B0E05" w:rsidRDefault="00723D37" w14:paraId="240D8FE2"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Agostoni C, Buonocore G, Carnielli VP, De Curtis M, Darmaun D, Decsi T, Domellof M, Embleton ND, Fusch C, Genzel-Boroviczeny O, Goulet O, Kalhan SC, Kolacek S, Koletzko B, Lapillonne A, Mihatsch W, Moreno L, Neu J, Poindexter B, Puntis J, Putet G, Rigo J, Riskin A, Salle B, Sauer P, Shamir R, Szajewska H, Thureen P, Turck D, van Goudoever JB, Ziegler EE, Nutrition ECo. Enteral nutrient supply for preterm infants: commentary from the European Society of Paediatric Gastroenterology, Hepatology and Nutrition Committee on Nutrition. J Pediatr Gastroenterol Nutr. 2010;50:85-91.</w:t>
            </w:r>
          </w:p>
          <w:p w:rsidRPr="005A6918" w:rsidR="00723D37" w:rsidP="001B0E05" w:rsidRDefault="00723D37" w14:paraId="37559ECE"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Oncel MY, Calisici E, Ozdemir R, Yurttutan S, Erdeve O, Karahan S, Dilmen U. Is folic acid supplementation really necessary in preterm infants &lt;=32 weeks of gestation? Journal of Pediatric Gastroenterology and Nutrition. 2014;58:188-92.</w:t>
            </w:r>
          </w:p>
          <w:p w:rsidRPr="005A6918" w:rsidR="00723D37" w:rsidP="001B0E05" w:rsidRDefault="00723D37" w14:paraId="6ABA062C"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Spotswood N, Hodyl N, Fletcher J, Ranieri E, Andersen C, Crawford T, Bhatia V. Folate status in preterm neonates: An observational study. Journal of Paediatrics and Child Health. 2017;53 (Supplement 2):95.</w:t>
            </w:r>
          </w:p>
          <w:p w:rsidRPr="005A6918" w:rsidR="00723D37" w:rsidP="001B0E05" w:rsidRDefault="00723D37" w14:paraId="7D8BAECE"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Strelling MK, Blackledge GD, Goodall HB, Walker CH. Megaloblastic anaemia and whole-blood folate levels in premature infants. Lancet. 1966;1:898-900.</w:t>
            </w:r>
          </w:p>
          <w:p w:rsidRPr="005A6918" w:rsidR="00723D37" w:rsidP="001B0E05" w:rsidRDefault="00723D37" w14:paraId="72BE1975"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Cakmak Celik F, Aygun C, Gulten S, Bedir A, Cetinoglu E, Kucukoduk S, Bek Y. Assessment of different folic acid supplementation doses for low-birth-weight infants. [Turkish]. Turk Pediatri Arsivi. 2016;51:210-6.</w:t>
            </w:r>
          </w:p>
          <w:p w:rsidRPr="005A6918" w:rsidR="00723D37" w:rsidP="001B0E05" w:rsidRDefault="00723D37" w14:paraId="01E38AD4"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Worthington-White DA, Behnke M, Gross S. Premature infants require additional folate and vitamin B-12 to reduce the severity of the anemia of prematurity. American Journal of Clinical Nutrition. 1994;60:930-5.</w:t>
            </w:r>
          </w:p>
          <w:p w:rsidRPr="005A6918" w:rsidR="00723D37" w:rsidP="001B0E05" w:rsidRDefault="00723D37" w14:paraId="11519B18"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Bronsky J, Campoy C, Braegger C, nutrition EEECwgopp. ESPGHAN/ESPEN/ESPR/CSPEN guidelines on pediatric parenteral nutrition: Vitamins. Clinical Nutrition. 2018;37:2366-78.</w:t>
            </w:r>
          </w:p>
          <w:p w:rsidRPr="005A6918" w:rsidR="00723D37" w:rsidP="001B0E05" w:rsidRDefault="00723D37" w14:paraId="02B7A46B"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Rath ME, Smits-Wintjens VE, Walther FJ, Lopriore E. Hematological morbidity and management in neonates with hemolytic disease due to red cell alloimmunization. Early Hum Dev. 2011;87:583-8.</w:t>
            </w:r>
          </w:p>
          <w:p w:rsidRPr="005A6918" w:rsidR="00723D37" w:rsidP="001B0E05" w:rsidRDefault="00723D37" w14:paraId="5A2B45EE"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Smits-Wintjens VE, Walther FJ, Lopriore E. Rhesus haemolytic disease of the newborn: Postnatal management, associated morbidity and long-term outcome. Semin Fetal Neonatal Med. 2008;13:265-71.</w:t>
            </w:r>
          </w:p>
          <w:p w:rsidRPr="005A6918" w:rsidR="00723D37" w:rsidP="001B0E05" w:rsidRDefault="00723D37" w14:paraId="4926A9FB"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Dixit R, Nettem S, Madan SS, Soe HHK, Abas ABL, Vance LD, Stover PJ. Folate supplementation in people with sickle cell disease. Cochrane Database Syst Rev. 2018.</w:t>
            </w:r>
          </w:p>
          <w:p w:rsidRPr="005A6918" w:rsidR="00723D37" w:rsidP="001B0E05" w:rsidRDefault="00723D37" w14:paraId="6B53EFF4"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Bolton-Maggs PH, Langer JC, Iolascon A, Tittensor P, King MJ, General Haematology Task Force of the British Committee for Standards in H. Guidelines for the diagnosis and management of hereditary spherocytosis--2011 update. Br J Haematol. 2012;156:37-49.</w:t>
            </w:r>
          </w:p>
          <w:p w:rsidRPr="005A6918" w:rsidR="00723D37" w:rsidP="001B0E05" w:rsidRDefault="00723D37" w14:paraId="0E294174"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Palasanthiran P, Starr M, Jones C, Giles M. Management of perinatal infections. Australasian Society for Infectious Diseases (ASID). 2014:69-74.</w:t>
            </w:r>
          </w:p>
          <w:p w:rsidRPr="005A6918" w:rsidR="00723D37" w:rsidP="001B0E05" w:rsidRDefault="00723D37" w14:paraId="5FC0C280"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Maldonado YA, Read JS, Committee on Infectious Diseases. Diagnosis, treatment, and prevention of congenital toxoplasmosis in the United States. Pediatrics. 2017;139(2):e20163860.</w:t>
            </w:r>
          </w:p>
          <w:p w:rsidRPr="005A6918" w:rsidR="00723D37" w:rsidP="001B0E05" w:rsidRDefault="00723D37" w14:paraId="00F28DA8"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Moncada PA, Montoya JG. Toxoplasmosis in the fetus and newborn: An update on prevalence, diagnosis and treatment. Expert Review of Anti-Infective Therapy. 2012;10:815-28.</w:t>
            </w:r>
          </w:p>
          <w:p w:rsidRPr="005A6918" w:rsidR="00723D37" w:rsidP="001B0E05" w:rsidRDefault="00723D37" w14:paraId="743121BF" w14:textId="77777777">
            <w:pPr>
              <w:pStyle w:val="EndNoteBibliography"/>
              <w:numPr>
                <w:ilvl w:val="0"/>
                <w:numId w:val="101"/>
              </w:numPr>
              <w:rPr>
                <w:rFonts w:asciiTheme="minorHAnsi" w:hAnsiTheme="minorHAnsi"/>
                <w:sz w:val="16"/>
                <w:szCs w:val="16"/>
              </w:rPr>
            </w:pPr>
            <w:r w:rsidRPr="005A6918">
              <w:rPr>
                <w:rFonts w:asciiTheme="minorHAnsi" w:hAnsiTheme="minorHAnsi"/>
                <w:sz w:val="16"/>
                <w:szCs w:val="16"/>
              </w:rPr>
              <w:t>McLeod R, Mack D, Foss R, Boyer K, Withers S, Levin S, Hubbell J. Levels of pyrimethamine in sera and cerebrospinal and ventricular fluids from infants treated for congenital toxoplasmosis. Antimicrobial Agents and Chemotherapy. 1992;36:1040-8.</w:t>
            </w:r>
          </w:p>
        </w:tc>
      </w:tr>
    </w:tbl>
    <w:p w:rsidRPr="00E25790" w:rsidR="00723D37" w:rsidP="006F0321" w:rsidRDefault="00723D37" w14:paraId="7A51093D" w14:textId="77777777"/>
    <w:p w:rsidRPr="00E25790" w:rsidR="00E6633F" w:rsidP="006F0321" w:rsidRDefault="00E6633F" w14:paraId="62AEE79D" w14:textId="77777777"/>
    <w:tbl>
      <w:tblPr>
        <w:tblW w:w="905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02"/>
        <w:gridCol w:w="4950"/>
      </w:tblGrid>
      <w:tr w:rsidRPr="00E25790" w:rsidR="00E424B4" w:rsidTr="00B97D99" w14:paraId="3A288A41" w14:textId="77777777">
        <w:tc>
          <w:tcPr>
            <w:tcW w:w="4102" w:type="dxa"/>
            <w:vAlign w:val="center"/>
          </w:tcPr>
          <w:p w:rsidRPr="00E25790" w:rsidR="00E6633F" w:rsidP="00B97D99" w:rsidRDefault="00E6633F" w14:paraId="6AF85949" w14:textId="77777777">
            <w:r w:rsidRPr="00E25790">
              <w:t>Original version Date: 15/11/2016</w:t>
            </w:r>
          </w:p>
        </w:tc>
        <w:tc>
          <w:tcPr>
            <w:tcW w:w="4950" w:type="dxa"/>
            <w:vAlign w:val="center"/>
          </w:tcPr>
          <w:p w:rsidRPr="00E25790" w:rsidR="00E6633F" w:rsidP="00B97D99" w:rsidRDefault="00E6633F" w14:paraId="54862AE6" w14:textId="77777777">
            <w:r w:rsidRPr="00E25790">
              <w:t>Author: Neonatal Medicines Formulary Consensus Group</w:t>
            </w:r>
          </w:p>
        </w:tc>
      </w:tr>
      <w:tr w:rsidRPr="00E25790" w:rsidR="00E424B4" w:rsidTr="00B97D99" w14:paraId="51FFCBD6" w14:textId="77777777">
        <w:tc>
          <w:tcPr>
            <w:tcW w:w="4102" w:type="dxa"/>
            <w:vAlign w:val="center"/>
          </w:tcPr>
          <w:p w:rsidRPr="00E25790" w:rsidR="00E6633F" w:rsidP="00B97D99" w:rsidRDefault="00E6633F" w14:paraId="404CAB24" w14:textId="205EB9AC">
            <w:pPr>
              <w:rPr>
                <w:bCs/>
              </w:rPr>
            </w:pPr>
            <w:r w:rsidRPr="00E25790">
              <w:t>Current Version number:  2</w:t>
            </w:r>
          </w:p>
        </w:tc>
        <w:tc>
          <w:tcPr>
            <w:tcW w:w="4950" w:type="dxa"/>
            <w:vAlign w:val="center"/>
          </w:tcPr>
          <w:p w:rsidRPr="00E25790" w:rsidR="00E6633F" w:rsidP="00B97D99" w:rsidRDefault="00E6633F" w14:paraId="584E6183" w14:textId="098DCF84">
            <w:r w:rsidRPr="00E25790">
              <w:t xml:space="preserve">TCH Version Date: </w:t>
            </w:r>
            <w:r w:rsidR="00405FBA">
              <w:t>2/3/2021</w:t>
            </w:r>
          </w:p>
        </w:tc>
      </w:tr>
      <w:tr w:rsidRPr="00E25790" w:rsidR="00E424B4" w:rsidTr="00B97D99" w14:paraId="3920EA44" w14:textId="77777777">
        <w:tc>
          <w:tcPr>
            <w:tcW w:w="4102" w:type="dxa"/>
            <w:vAlign w:val="center"/>
          </w:tcPr>
          <w:p w:rsidRPr="00E25790" w:rsidR="00E6633F" w:rsidP="00B97D99" w:rsidRDefault="00E6633F" w14:paraId="5D3BA423" w14:textId="5CD009B9">
            <w:r w:rsidRPr="00E25790">
              <w:t xml:space="preserve">Risk Rating: </w:t>
            </w:r>
            <w:r w:rsidR="00405FBA">
              <w:t>Low</w:t>
            </w:r>
          </w:p>
        </w:tc>
        <w:tc>
          <w:tcPr>
            <w:tcW w:w="4950" w:type="dxa"/>
            <w:vAlign w:val="center"/>
          </w:tcPr>
          <w:p w:rsidRPr="00E25790" w:rsidR="00E6633F" w:rsidP="00B97D99" w:rsidRDefault="00E6633F" w14:paraId="5414B2EC" w14:textId="16EF2791">
            <w:r w:rsidRPr="00E25790">
              <w:t xml:space="preserve">Due for Review:  </w:t>
            </w:r>
            <w:r w:rsidR="00405FBA">
              <w:t>2/3/2026</w:t>
            </w:r>
          </w:p>
        </w:tc>
      </w:tr>
      <w:tr w:rsidRPr="00E25790" w:rsidR="00E424B4" w:rsidTr="00B97D99" w14:paraId="72C9D2FD" w14:textId="77777777">
        <w:trPr>
          <w:trHeight w:val="344"/>
        </w:trPr>
        <w:tc>
          <w:tcPr>
            <w:tcW w:w="4102" w:type="dxa"/>
            <w:tcBorders>
              <w:bottom w:val="single" w:color="auto" w:sz="4" w:space="0"/>
            </w:tcBorders>
            <w:vAlign w:val="center"/>
          </w:tcPr>
          <w:p w:rsidRPr="00E25790" w:rsidR="00E6633F" w:rsidP="00B97D99" w:rsidRDefault="00E6633F" w14:paraId="3EC80713" w14:textId="77777777">
            <w:r w:rsidRPr="00E25790">
              <w:t>Approval by: DTC</w:t>
            </w:r>
          </w:p>
        </w:tc>
        <w:tc>
          <w:tcPr>
            <w:tcW w:w="4950" w:type="dxa"/>
            <w:tcBorders>
              <w:bottom w:val="single" w:color="auto" w:sz="4" w:space="0"/>
            </w:tcBorders>
            <w:vAlign w:val="center"/>
          </w:tcPr>
          <w:p w:rsidRPr="00E25790" w:rsidR="00E6633F" w:rsidP="00B97D99" w:rsidRDefault="00E6633F" w14:paraId="1AC42B9C" w14:textId="42307A6E">
            <w:r w:rsidRPr="00E25790">
              <w:t xml:space="preserve">Approval Date: </w:t>
            </w:r>
            <w:r w:rsidR="00260BC8">
              <w:t>APRIL 2021</w:t>
            </w:r>
          </w:p>
        </w:tc>
      </w:tr>
    </w:tbl>
    <w:p w:rsidR="00B97D99" w:rsidRDefault="00B97D99" w14:paraId="43B03383" w14:textId="77777777"/>
    <w:p w:rsidR="00D97ED0" w:rsidRDefault="00D97ED0" w14:paraId="6234AC4A" w14:textId="77777777"/>
    <w:p w:rsidR="00D97ED0" w:rsidRDefault="00D97ED0" w14:paraId="56ABBA85" w14:textId="77777777"/>
    <w:p w:rsidR="00D97ED0" w:rsidRDefault="00D97ED0" w14:paraId="3311C8AF" w14:textId="77777777"/>
    <w:tbl>
      <w:tblPr>
        <w:tblW w:w="8929" w:type="dxa"/>
        <w:tblLayout w:type="fixed"/>
        <w:tblLook w:val="0000" w:firstRow="0" w:lastRow="0" w:firstColumn="0" w:lastColumn="0" w:noHBand="0" w:noVBand="0"/>
      </w:tblPr>
      <w:tblGrid>
        <w:gridCol w:w="4153"/>
        <w:gridCol w:w="4776"/>
      </w:tblGrid>
      <w:tr w:rsidRPr="00E25790" w:rsidR="00115F48" w:rsidTr="00B97D99" w14:paraId="12197164" w14:textId="77777777">
        <w:trPr>
          <w:cantSplit/>
          <w:trHeight w:val="720"/>
        </w:trPr>
        <w:tc>
          <w:tcPr>
            <w:tcW w:w="892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B97D99" w:rsidRDefault="00115F48" w14:paraId="59B50F51" w14:textId="77777777">
            <w:pPr>
              <w:pStyle w:val="Heading1"/>
            </w:pPr>
            <w:bookmarkStart w:name="_Toc495481112" w:id="264"/>
            <w:bookmarkStart w:name="_Toc495481238" w:id="265"/>
            <w:bookmarkStart w:name="_Toc495481363" w:id="266"/>
            <w:bookmarkStart w:name="_Toc495501544" w:id="267"/>
            <w:bookmarkStart w:name="_Toc38106850" w:id="268"/>
            <w:bookmarkStart w:name="_Toc75339976" w:id="269"/>
            <w:r w:rsidRPr="00E25790">
              <w:lastRenderedPageBreak/>
              <w:t>Frusemide</w:t>
            </w:r>
            <w:bookmarkEnd w:id="264"/>
            <w:bookmarkEnd w:id="265"/>
            <w:bookmarkEnd w:id="266"/>
            <w:bookmarkEnd w:id="267"/>
            <w:bookmarkEnd w:id="268"/>
            <w:bookmarkEnd w:id="269"/>
            <w:r w:rsidRPr="00E25790">
              <w:fldChar w:fldCharType="begin"/>
            </w:r>
            <w:r w:rsidRPr="00E25790">
              <w:instrText>tc "Frusemide" \l 0</w:instrText>
            </w:r>
            <w:r w:rsidRPr="00E25790">
              <w:fldChar w:fldCharType="end"/>
            </w:r>
          </w:p>
        </w:tc>
      </w:tr>
      <w:tr w:rsidRPr="00E25790" w:rsidR="00115F48" w:rsidTr="00B97D99" w14:paraId="79E63FF7"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B97D99" w:rsidRDefault="00115F48" w14:paraId="751FD06F" w14:textId="2C365649">
            <w:r w:rsidRPr="00E25790">
              <w:t xml:space="preserve">Revision Date : </w:t>
            </w:r>
            <w:r w:rsidR="00F46085">
              <w:t>9</w:t>
            </w:r>
            <w:r w:rsidR="00694637">
              <w:t>-</w:t>
            </w:r>
            <w:r w:rsidR="00F46085">
              <w:t>6</w:t>
            </w:r>
            <w:r w:rsidR="00694637">
              <w:t>-202</w:t>
            </w:r>
            <w:r w:rsidR="00F46085">
              <w:t>1</w:t>
            </w:r>
          </w:p>
        </w:tc>
        <w:tc>
          <w:tcPr>
            <w:tcW w:w="477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B97D99" w:rsidRDefault="00115F48" w14:paraId="608C1A9F" w14:textId="682E577D">
            <w:r w:rsidRPr="00E25790">
              <w:t xml:space="preserve">Approved : </w:t>
            </w:r>
            <w:r w:rsidR="00694637">
              <w:t>TC, KOH</w:t>
            </w:r>
          </w:p>
        </w:tc>
      </w:tr>
    </w:tbl>
    <w:p w:rsidRPr="00E25790" w:rsidR="00115F48" w:rsidP="006F0321" w:rsidRDefault="00115F48" w14:paraId="7B2CC3A7" w14:textId="77777777"/>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371"/>
      </w:tblGrid>
      <w:tr w:rsidRPr="003A7895" w:rsidR="00FD2A9D" w:rsidTr="00F46085" w14:paraId="6657F834" w14:textId="77777777">
        <w:trPr>
          <w:trHeight w:val="70"/>
        </w:trPr>
        <w:tc>
          <w:tcPr>
            <w:tcW w:w="1730" w:type="dxa"/>
          </w:tcPr>
          <w:p w:rsidRPr="00B53E9B" w:rsidR="00FD2A9D" w:rsidP="00131848" w:rsidRDefault="00FD2A9D" w14:paraId="418ED5A6" w14:textId="77777777">
            <w:pPr>
              <w:pStyle w:val="BodyText"/>
              <w:tabs>
                <w:tab w:val="center" w:pos="1476"/>
              </w:tabs>
              <w:rPr>
                <w:rFonts w:cs="Arial"/>
                <w:b/>
                <w:sz w:val="20"/>
              </w:rPr>
            </w:pPr>
            <w:r w:rsidRPr="00B53E9B">
              <w:rPr>
                <w:rFonts w:cs="Arial"/>
                <w:b/>
                <w:sz w:val="20"/>
              </w:rPr>
              <w:t>Alert</w:t>
            </w:r>
          </w:p>
        </w:tc>
        <w:tc>
          <w:tcPr>
            <w:tcW w:w="7371" w:type="dxa"/>
          </w:tcPr>
          <w:p w:rsidRPr="00135FC6" w:rsidR="00FD2A9D" w:rsidP="00131848" w:rsidRDefault="00FD2A9D" w14:paraId="1FA70AD9" w14:textId="77777777">
            <w:pPr>
              <w:pStyle w:val="BodyText"/>
              <w:rPr>
                <w:rFonts w:cs="Arial" w:asciiTheme="minorHAnsi" w:hAnsiTheme="minorHAnsi"/>
                <w:sz w:val="20"/>
              </w:rPr>
            </w:pPr>
          </w:p>
        </w:tc>
      </w:tr>
      <w:tr w:rsidRPr="003A7895" w:rsidR="00FD2A9D" w:rsidTr="00F46085" w14:paraId="2771FB35" w14:textId="77777777">
        <w:trPr>
          <w:trHeight w:val="72"/>
        </w:trPr>
        <w:tc>
          <w:tcPr>
            <w:tcW w:w="1730" w:type="dxa"/>
          </w:tcPr>
          <w:p w:rsidRPr="00B53E9B" w:rsidR="00FD2A9D" w:rsidP="00131848" w:rsidRDefault="00FD2A9D" w14:paraId="57D9C6C5" w14:textId="77777777">
            <w:pPr>
              <w:pStyle w:val="BodyText"/>
              <w:rPr>
                <w:rFonts w:cs="Arial"/>
                <w:sz w:val="20"/>
              </w:rPr>
            </w:pPr>
            <w:r w:rsidRPr="00B53E9B">
              <w:rPr>
                <w:rFonts w:cs="Arial"/>
                <w:b/>
                <w:bCs/>
                <w:sz w:val="20"/>
              </w:rPr>
              <w:t>Indication</w:t>
            </w:r>
          </w:p>
        </w:tc>
        <w:tc>
          <w:tcPr>
            <w:tcW w:w="7371" w:type="dxa"/>
          </w:tcPr>
          <w:p w:rsidRPr="0050071D" w:rsidR="00FD2A9D" w:rsidP="00131848" w:rsidRDefault="00FD2A9D" w14:paraId="58AB5246" w14:textId="77777777">
            <w:pPr>
              <w:rPr>
                <w:rFonts w:asciiTheme="minorHAnsi" w:hAnsiTheme="minorHAnsi"/>
                <w:sz w:val="20"/>
              </w:rPr>
            </w:pPr>
            <w:r w:rsidRPr="0050071D">
              <w:rPr>
                <w:rFonts w:asciiTheme="minorHAnsi" w:hAnsiTheme="minorHAnsi"/>
                <w:sz w:val="20"/>
              </w:rPr>
              <w:t>Heart failure.</w:t>
            </w:r>
          </w:p>
          <w:p w:rsidRPr="0050071D" w:rsidR="00FD2A9D" w:rsidP="00131848" w:rsidRDefault="00FD2A9D" w14:paraId="3F80380C" w14:textId="77777777">
            <w:pPr>
              <w:rPr>
                <w:rFonts w:asciiTheme="minorHAnsi" w:hAnsiTheme="minorHAnsi"/>
                <w:sz w:val="20"/>
              </w:rPr>
            </w:pPr>
            <w:r w:rsidRPr="0050071D">
              <w:rPr>
                <w:rFonts w:asciiTheme="minorHAnsi" w:hAnsiTheme="minorHAnsi"/>
                <w:sz w:val="20"/>
              </w:rPr>
              <w:t>Fluid overload.</w:t>
            </w:r>
          </w:p>
          <w:p w:rsidRPr="0050071D" w:rsidR="00FD2A9D" w:rsidP="00131848" w:rsidRDefault="00FD2A9D" w14:paraId="34F2FE6D" w14:textId="77777777">
            <w:pPr>
              <w:rPr>
                <w:rFonts w:asciiTheme="minorHAnsi" w:hAnsiTheme="minorHAnsi"/>
                <w:sz w:val="20"/>
              </w:rPr>
            </w:pPr>
            <w:r w:rsidRPr="0050071D">
              <w:rPr>
                <w:rFonts w:asciiTheme="minorHAnsi" w:hAnsiTheme="minorHAnsi"/>
                <w:sz w:val="20"/>
              </w:rPr>
              <w:t>Short</w:t>
            </w:r>
            <w:r>
              <w:rPr>
                <w:rFonts w:asciiTheme="minorHAnsi" w:hAnsiTheme="minorHAnsi"/>
                <w:sz w:val="20"/>
              </w:rPr>
              <w:t>-</w:t>
            </w:r>
            <w:r w:rsidRPr="0050071D">
              <w:rPr>
                <w:rFonts w:asciiTheme="minorHAnsi" w:hAnsiTheme="minorHAnsi"/>
                <w:sz w:val="20"/>
              </w:rPr>
              <w:t xml:space="preserve">term treatment </w:t>
            </w:r>
            <w:r>
              <w:rPr>
                <w:rFonts w:asciiTheme="minorHAnsi" w:hAnsiTheme="minorHAnsi"/>
                <w:sz w:val="20"/>
              </w:rPr>
              <w:t>in infants with or developing chronic lung disease</w:t>
            </w:r>
            <w:r w:rsidRPr="0050071D">
              <w:rPr>
                <w:rFonts w:asciiTheme="minorHAnsi" w:hAnsiTheme="minorHAnsi"/>
                <w:sz w:val="20"/>
              </w:rPr>
              <w:t>.</w:t>
            </w:r>
          </w:p>
          <w:p w:rsidRPr="0050071D" w:rsidR="00FD2A9D" w:rsidP="00131848" w:rsidRDefault="00FD2A9D" w14:paraId="69175BCF" w14:textId="77777777">
            <w:pPr>
              <w:rPr>
                <w:rFonts w:asciiTheme="minorHAnsi" w:hAnsiTheme="minorHAnsi"/>
                <w:sz w:val="20"/>
              </w:rPr>
            </w:pPr>
            <w:r w:rsidRPr="0050071D">
              <w:rPr>
                <w:rFonts w:asciiTheme="minorHAnsi" w:hAnsiTheme="minorHAnsi"/>
                <w:sz w:val="20"/>
              </w:rPr>
              <w:t>Oliguric renal failure.</w:t>
            </w:r>
          </w:p>
          <w:p w:rsidRPr="00135FC6" w:rsidR="00FD2A9D" w:rsidP="00131848" w:rsidRDefault="00FD2A9D" w14:paraId="402A0797" w14:textId="77777777">
            <w:pPr>
              <w:rPr>
                <w:rFonts w:asciiTheme="minorHAnsi" w:hAnsiTheme="minorHAnsi"/>
                <w:sz w:val="20"/>
              </w:rPr>
            </w:pPr>
            <w:r w:rsidRPr="0050071D">
              <w:rPr>
                <w:rFonts w:asciiTheme="minorHAnsi" w:hAnsiTheme="minorHAnsi"/>
                <w:sz w:val="20"/>
              </w:rPr>
              <w:t>Diuresis renography.</w:t>
            </w:r>
          </w:p>
        </w:tc>
      </w:tr>
      <w:tr w:rsidRPr="003A7895" w:rsidR="00FD2A9D" w:rsidTr="00F46085" w14:paraId="53FFCB5C" w14:textId="77777777">
        <w:trPr>
          <w:trHeight w:val="70"/>
        </w:trPr>
        <w:tc>
          <w:tcPr>
            <w:tcW w:w="1730" w:type="dxa"/>
          </w:tcPr>
          <w:p w:rsidRPr="00B53E9B" w:rsidR="00FD2A9D" w:rsidP="00131848" w:rsidRDefault="00FD2A9D" w14:paraId="5ABEE171" w14:textId="77777777">
            <w:pPr>
              <w:pStyle w:val="BodyText"/>
              <w:rPr>
                <w:rFonts w:cs="Arial"/>
                <w:b/>
                <w:bCs/>
                <w:sz w:val="20"/>
              </w:rPr>
            </w:pPr>
            <w:r w:rsidRPr="00B53E9B">
              <w:rPr>
                <w:rFonts w:cs="Arial"/>
                <w:b/>
                <w:bCs/>
                <w:sz w:val="20"/>
              </w:rPr>
              <w:t>Action</w:t>
            </w:r>
          </w:p>
        </w:tc>
        <w:tc>
          <w:tcPr>
            <w:tcW w:w="7371" w:type="dxa"/>
          </w:tcPr>
          <w:p w:rsidRPr="0050071D" w:rsidR="00FD2A9D" w:rsidP="00131848" w:rsidRDefault="00FD2A9D" w14:paraId="67DB86F0" w14:textId="77777777">
            <w:pPr>
              <w:rPr>
                <w:rFonts w:cs="Arial" w:asciiTheme="minorHAnsi" w:hAnsiTheme="minorHAnsi"/>
                <w:sz w:val="20"/>
              </w:rPr>
            </w:pPr>
            <w:r>
              <w:rPr>
                <w:rFonts w:cs="Arial" w:asciiTheme="minorHAnsi" w:hAnsiTheme="minorHAnsi"/>
                <w:sz w:val="20"/>
              </w:rPr>
              <w:t xml:space="preserve">Potent loop diuretic. </w:t>
            </w:r>
            <w:r w:rsidRPr="0050071D">
              <w:rPr>
                <w:rFonts w:cs="Arial" w:asciiTheme="minorHAnsi" w:hAnsiTheme="minorHAnsi"/>
                <w:sz w:val="20"/>
              </w:rPr>
              <w:t>Inhibits sodium and chloride absorption in the ascending limb of the loop of Henle and in the proximal and the distal tubul</w:t>
            </w:r>
            <w:r>
              <w:rPr>
                <w:rFonts w:cs="Arial" w:asciiTheme="minorHAnsi" w:hAnsiTheme="minorHAnsi"/>
                <w:sz w:val="20"/>
              </w:rPr>
              <w:t>es</w:t>
            </w:r>
            <w:r w:rsidRPr="0050071D">
              <w:rPr>
                <w:rFonts w:cs="Arial" w:asciiTheme="minorHAnsi" w:hAnsiTheme="minorHAnsi"/>
                <w:sz w:val="20"/>
              </w:rPr>
              <w:t>.</w:t>
            </w:r>
          </w:p>
          <w:p w:rsidRPr="00135FC6" w:rsidR="00FD2A9D" w:rsidP="00131848" w:rsidRDefault="00FD2A9D" w14:paraId="6BD48BB0" w14:textId="77777777">
            <w:pPr>
              <w:rPr>
                <w:rFonts w:cs="Arial" w:asciiTheme="minorHAnsi" w:hAnsiTheme="minorHAnsi"/>
                <w:sz w:val="20"/>
              </w:rPr>
            </w:pPr>
            <w:r w:rsidRPr="0050071D">
              <w:rPr>
                <w:rFonts w:cs="Arial" w:asciiTheme="minorHAnsi" w:hAnsiTheme="minorHAnsi"/>
                <w:sz w:val="20"/>
              </w:rPr>
              <w:t>Fu</w:t>
            </w:r>
            <w:r>
              <w:rPr>
                <w:rFonts w:cs="Arial" w:asciiTheme="minorHAnsi" w:hAnsiTheme="minorHAnsi"/>
                <w:sz w:val="20"/>
              </w:rPr>
              <w:t>ro</w:t>
            </w:r>
            <w:r w:rsidRPr="0050071D">
              <w:rPr>
                <w:rFonts w:cs="Arial" w:asciiTheme="minorHAnsi" w:hAnsiTheme="minorHAnsi"/>
                <w:sz w:val="20"/>
              </w:rPr>
              <w:t>semide causes urinary losses of water, sodium</w:t>
            </w:r>
            <w:r>
              <w:rPr>
                <w:rFonts w:cs="Arial" w:asciiTheme="minorHAnsi" w:hAnsiTheme="minorHAnsi"/>
                <w:sz w:val="20"/>
              </w:rPr>
              <w:t xml:space="preserve"> (increases fractional excretion of sodium by 20–25%)</w:t>
            </w:r>
            <w:r w:rsidRPr="0050071D">
              <w:rPr>
                <w:rFonts w:cs="Arial" w:asciiTheme="minorHAnsi" w:hAnsiTheme="minorHAnsi"/>
                <w:sz w:val="20"/>
              </w:rPr>
              <w:t>,</w:t>
            </w:r>
            <w:r w:rsidRPr="00557348">
              <w:rPr>
                <w:rFonts w:cs="Arial" w:asciiTheme="minorHAnsi" w:hAnsiTheme="minorHAnsi"/>
                <w:sz w:val="20"/>
                <w:vertAlign w:val="superscript"/>
              </w:rPr>
              <w:t>2</w:t>
            </w:r>
            <w:r w:rsidRPr="0050071D">
              <w:rPr>
                <w:rFonts w:cs="Arial" w:asciiTheme="minorHAnsi" w:hAnsiTheme="minorHAnsi"/>
                <w:sz w:val="20"/>
              </w:rPr>
              <w:t xml:space="preserve"> potassium and chloride. Urinary losses of calcium and magnesium and urinary pH are increased. </w:t>
            </w:r>
          </w:p>
        </w:tc>
      </w:tr>
      <w:tr w:rsidRPr="003A7895" w:rsidR="00FD2A9D" w:rsidTr="00F46085" w14:paraId="02C06BAB" w14:textId="77777777">
        <w:trPr>
          <w:trHeight w:val="266"/>
        </w:trPr>
        <w:tc>
          <w:tcPr>
            <w:tcW w:w="1730" w:type="dxa"/>
          </w:tcPr>
          <w:p w:rsidRPr="00B53E9B" w:rsidR="00FD2A9D" w:rsidP="00131848" w:rsidRDefault="00FD2A9D" w14:paraId="17295BF8" w14:textId="77777777">
            <w:pPr>
              <w:pStyle w:val="BodyText"/>
              <w:rPr>
                <w:rFonts w:cs="Arial"/>
                <w:sz w:val="20"/>
              </w:rPr>
            </w:pPr>
            <w:r>
              <w:rPr>
                <w:rFonts w:cs="Arial"/>
                <w:b/>
                <w:bCs/>
                <w:sz w:val="20"/>
              </w:rPr>
              <w:t>Drug t</w:t>
            </w:r>
            <w:r w:rsidRPr="00B53E9B">
              <w:rPr>
                <w:rFonts w:cs="Arial"/>
                <w:b/>
                <w:bCs/>
                <w:sz w:val="20"/>
              </w:rPr>
              <w:t>ype</w:t>
            </w:r>
          </w:p>
        </w:tc>
        <w:tc>
          <w:tcPr>
            <w:tcW w:w="7371" w:type="dxa"/>
          </w:tcPr>
          <w:p w:rsidRPr="00135FC6" w:rsidR="00FD2A9D" w:rsidP="00131848" w:rsidRDefault="00FD2A9D" w14:paraId="28BA00E0" w14:textId="77777777">
            <w:pPr>
              <w:pStyle w:val="BodyText"/>
              <w:rPr>
                <w:rFonts w:cs="Arial" w:asciiTheme="minorHAnsi" w:hAnsiTheme="minorHAnsi"/>
                <w:sz w:val="20"/>
              </w:rPr>
            </w:pPr>
            <w:r>
              <w:rPr>
                <w:rFonts w:cs="Arial" w:asciiTheme="minorHAnsi" w:hAnsiTheme="minorHAnsi"/>
                <w:sz w:val="20"/>
              </w:rPr>
              <w:t>Loop d</w:t>
            </w:r>
            <w:r w:rsidRPr="0050071D">
              <w:rPr>
                <w:rFonts w:cs="Arial" w:asciiTheme="minorHAnsi" w:hAnsiTheme="minorHAnsi"/>
                <w:sz w:val="20"/>
              </w:rPr>
              <w:t>iuretic.</w:t>
            </w:r>
          </w:p>
        </w:tc>
      </w:tr>
      <w:tr w:rsidRPr="003A7895" w:rsidR="00FD2A9D" w:rsidTr="00F46085" w14:paraId="20267C1D" w14:textId="77777777">
        <w:trPr>
          <w:trHeight w:val="114"/>
        </w:trPr>
        <w:tc>
          <w:tcPr>
            <w:tcW w:w="1730" w:type="dxa"/>
          </w:tcPr>
          <w:p w:rsidRPr="00B53E9B" w:rsidR="00FD2A9D" w:rsidP="00131848" w:rsidRDefault="00FD2A9D" w14:paraId="2AEF2DE1"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371" w:type="dxa"/>
          </w:tcPr>
          <w:p w:rsidR="00FD2A9D" w:rsidP="00131848" w:rsidRDefault="00FD2A9D" w14:paraId="34BFD168" w14:textId="77777777">
            <w:pPr>
              <w:pStyle w:val="BodyText"/>
              <w:rPr>
                <w:rFonts w:cs="Arial" w:asciiTheme="minorHAnsi" w:hAnsiTheme="minorHAnsi"/>
                <w:sz w:val="20"/>
              </w:rPr>
            </w:pPr>
            <w:r w:rsidRPr="0050071D">
              <w:rPr>
                <w:rFonts w:cs="Arial" w:asciiTheme="minorHAnsi" w:hAnsiTheme="minorHAnsi"/>
                <w:sz w:val="20"/>
              </w:rPr>
              <w:t>IV: Lasix</w:t>
            </w:r>
            <w:r>
              <w:rPr>
                <w:rFonts w:cs="Arial" w:asciiTheme="minorHAnsi" w:hAnsiTheme="minorHAnsi"/>
                <w:sz w:val="20"/>
              </w:rPr>
              <w:t xml:space="preserve"> Solution for Injection, Lasix High Dose Concentrate for Infusion, Furosemide-Baxter Solution for Injection.</w:t>
            </w:r>
          </w:p>
          <w:p w:rsidRPr="00135FC6" w:rsidR="00FD2A9D" w:rsidP="00131848" w:rsidRDefault="00FD2A9D" w14:paraId="3DD143E5" w14:textId="77777777">
            <w:pPr>
              <w:pStyle w:val="BodyText"/>
              <w:rPr>
                <w:rFonts w:cs="Arial" w:asciiTheme="minorHAnsi" w:hAnsiTheme="minorHAnsi"/>
                <w:sz w:val="20"/>
              </w:rPr>
            </w:pPr>
            <w:r w:rsidRPr="0050071D">
              <w:rPr>
                <w:rFonts w:cs="Arial" w:asciiTheme="minorHAnsi" w:hAnsiTheme="minorHAnsi"/>
                <w:sz w:val="20"/>
              </w:rPr>
              <w:t xml:space="preserve">Oral: Lasix </w:t>
            </w:r>
            <w:r>
              <w:rPr>
                <w:rFonts w:cs="Arial" w:asciiTheme="minorHAnsi" w:hAnsiTheme="minorHAnsi"/>
                <w:sz w:val="20"/>
              </w:rPr>
              <w:t>O</w:t>
            </w:r>
            <w:r w:rsidRPr="0050071D">
              <w:rPr>
                <w:rFonts w:cs="Arial" w:asciiTheme="minorHAnsi" w:hAnsiTheme="minorHAnsi"/>
                <w:sz w:val="20"/>
              </w:rPr>
              <w:t xml:space="preserve">ral </w:t>
            </w:r>
            <w:r>
              <w:rPr>
                <w:rFonts w:cs="Arial" w:asciiTheme="minorHAnsi" w:hAnsiTheme="minorHAnsi"/>
                <w:sz w:val="20"/>
              </w:rPr>
              <w:t>S</w:t>
            </w:r>
            <w:r w:rsidRPr="0050071D">
              <w:rPr>
                <w:rFonts w:cs="Arial" w:asciiTheme="minorHAnsi" w:hAnsiTheme="minorHAnsi"/>
                <w:sz w:val="20"/>
              </w:rPr>
              <w:t>olution</w:t>
            </w:r>
            <w:r>
              <w:rPr>
                <w:rFonts w:cs="Arial" w:asciiTheme="minorHAnsi" w:hAnsiTheme="minorHAnsi"/>
                <w:sz w:val="20"/>
              </w:rPr>
              <w:t xml:space="preserve"> (refrigerated), Lasix Oral Solution (not requiring refrigeration).</w:t>
            </w:r>
          </w:p>
        </w:tc>
      </w:tr>
      <w:tr w:rsidRPr="003A7895" w:rsidR="00FD2A9D" w:rsidTr="00F46085" w14:paraId="12958F3C" w14:textId="77777777">
        <w:trPr>
          <w:trHeight w:val="70"/>
        </w:trPr>
        <w:tc>
          <w:tcPr>
            <w:tcW w:w="1730" w:type="dxa"/>
          </w:tcPr>
          <w:p w:rsidRPr="00B53E9B" w:rsidR="00FD2A9D" w:rsidP="00131848" w:rsidRDefault="00FD2A9D" w14:paraId="7F7428CB" w14:textId="77777777">
            <w:pPr>
              <w:pStyle w:val="BodyText"/>
              <w:rPr>
                <w:rFonts w:cs="Arial"/>
                <w:b/>
                <w:bCs/>
                <w:sz w:val="20"/>
              </w:rPr>
            </w:pPr>
            <w:r w:rsidRPr="00B53E9B">
              <w:rPr>
                <w:rFonts w:cs="Arial"/>
                <w:b/>
                <w:bCs/>
                <w:sz w:val="20"/>
              </w:rPr>
              <w:t xml:space="preserve">Presentation </w:t>
            </w:r>
          </w:p>
        </w:tc>
        <w:tc>
          <w:tcPr>
            <w:tcW w:w="7371" w:type="dxa"/>
          </w:tcPr>
          <w:p w:rsidRPr="0050071D" w:rsidR="00FD2A9D" w:rsidP="00131848" w:rsidRDefault="00FD2A9D" w14:paraId="264DDFCB" w14:textId="77777777">
            <w:pPr>
              <w:pStyle w:val="BodyText"/>
              <w:ind w:left="34"/>
              <w:rPr>
                <w:rFonts w:cs="Arial" w:asciiTheme="minorHAnsi" w:hAnsiTheme="minorHAnsi"/>
                <w:sz w:val="20"/>
              </w:rPr>
            </w:pPr>
            <w:r w:rsidRPr="0050071D">
              <w:rPr>
                <w:rFonts w:cs="Arial" w:asciiTheme="minorHAnsi" w:hAnsiTheme="minorHAnsi"/>
                <w:sz w:val="20"/>
              </w:rPr>
              <w:t>IV: 20 mg/2 mL</w:t>
            </w:r>
            <w:r>
              <w:rPr>
                <w:rFonts w:cs="Arial" w:asciiTheme="minorHAnsi" w:hAnsiTheme="minorHAnsi"/>
                <w:sz w:val="20"/>
              </w:rPr>
              <w:t xml:space="preserve">, </w:t>
            </w:r>
            <w:r w:rsidRPr="00CF0D20">
              <w:rPr>
                <w:rFonts w:cs="Arial" w:asciiTheme="minorHAnsi" w:hAnsiTheme="minorHAnsi"/>
                <w:sz w:val="20"/>
              </w:rPr>
              <w:t>40 mg/4 mL</w:t>
            </w:r>
            <w:r>
              <w:rPr>
                <w:rFonts w:cs="Arial" w:asciiTheme="minorHAnsi" w:hAnsiTheme="minorHAnsi"/>
                <w:sz w:val="20"/>
              </w:rPr>
              <w:t xml:space="preserve"> or 250 mg/25 mL ampoule.</w:t>
            </w:r>
          </w:p>
          <w:p w:rsidR="00FD2A9D" w:rsidP="00131848" w:rsidRDefault="00FD2A9D" w14:paraId="148F45E4" w14:textId="77777777">
            <w:pPr>
              <w:pStyle w:val="BodyText"/>
              <w:ind w:left="34"/>
              <w:rPr>
                <w:rFonts w:cs="Arial" w:asciiTheme="minorHAnsi" w:hAnsiTheme="minorHAnsi"/>
                <w:sz w:val="20"/>
              </w:rPr>
            </w:pPr>
            <w:r w:rsidRPr="0050071D">
              <w:rPr>
                <w:rFonts w:cs="Arial" w:asciiTheme="minorHAnsi" w:hAnsiTheme="minorHAnsi"/>
                <w:sz w:val="20"/>
              </w:rPr>
              <w:t>Oral: 10 mg/mL</w:t>
            </w:r>
            <w:r>
              <w:rPr>
                <w:rFonts w:cs="Arial" w:asciiTheme="minorHAnsi" w:hAnsiTheme="minorHAnsi"/>
                <w:sz w:val="20"/>
              </w:rPr>
              <w:t>, 30 mL bottle.</w:t>
            </w:r>
          </w:p>
          <w:p w:rsidR="00FD2A9D" w:rsidP="00131848" w:rsidRDefault="00FD2A9D" w14:paraId="5778F8D2" w14:textId="77777777">
            <w:pPr>
              <w:pStyle w:val="BodyText"/>
              <w:ind w:left="34"/>
              <w:rPr>
                <w:rFonts w:cs="Arial" w:asciiTheme="minorHAnsi" w:hAnsiTheme="minorHAnsi"/>
                <w:sz w:val="20"/>
              </w:rPr>
            </w:pPr>
            <w:r>
              <w:rPr>
                <w:rFonts w:cs="Arial" w:asciiTheme="minorHAnsi" w:hAnsiTheme="minorHAnsi"/>
                <w:sz w:val="20"/>
              </w:rPr>
              <w:t>Note: Commercial preparation “Lasix Oral Solution (not requiring refrigeration)” contains 12.7% v/v alcohol</w:t>
            </w:r>
            <w:r w:rsidRPr="0050071D">
              <w:rPr>
                <w:rFonts w:cs="Arial" w:asciiTheme="minorHAnsi" w:hAnsiTheme="minorHAnsi"/>
                <w:sz w:val="20"/>
              </w:rPr>
              <w:t>.</w:t>
            </w:r>
            <w:r>
              <w:rPr>
                <w:rFonts w:cs="Arial" w:asciiTheme="minorHAnsi" w:hAnsiTheme="minorHAnsi"/>
                <w:sz w:val="20"/>
              </w:rPr>
              <w:t xml:space="preserve"> </w:t>
            </w:r>
          </w:p>
          <w:p w:rsidRPr="00135FC6" w:rsidR="00FD2A9D" w:rsidP="00131848" w:rsidRDefault="00FD2A9D" w14:paraId="56EE6495" w14:textId="77777777">
            <w:pPr>
              <w:pStyle w:val="BodyText"/>
              <w:ind w:left="35"/>
              <w:rPr>
                <w:rFonts w:cs="Arial" w:asciiTheme="minorHAnsi" w:hAnsiTheme="minorHAnsi"/>
                <w:sz w:val="20"/>
              </w:rPr>
            </w:pPr>
            <w:r>
              <w:rPr>
                <w:rFonts w:cs="Arial" w:asciiTheme="minorHAnsi" w:hAnsiTheme="minorHAnsi"/>
                <w:sz w:val="20"/>
              </w:rPr>
              <w:t xml:space="preserve">Non-alcohol containing suspension can be compounded by local pharmacy. </w:t>
            </w:r>
          </w:p>
        </w:tc>
      </w:tr>
      <w:tr w:rsidRPr="000E2236" w:rsidR="00FD2A9D" w:rsidTr="00F46085" w14:paraId="69A38951" w14:textId="77777777">
        <w:trPr>
          <w:trHeight w:val="70"/>
        </w:trPr>
        <w:tc>
          <w:tcPr>
            <w:tcW w:w="1730" w:type="dxa"/>
          </w:tcPr>
          <w:p w:rsidRPr="00B53E9B" w:rsidR="00FD2A9D" w:rsidP="00131848" w:rsidRDefault="00FD2A9D" w14:paraId="0EA4A1E1" w14:textId="77777777">
            <w:pPr>
              <w:pStyle w:val="BodyText"/>
              <w:rPr>
                <w:rFonts w:cs="Arial"/>
                <w:b/>
                <w:bCs/>
                <w:sz w:val="20"/>
              </w:rPr>
            </w:pPr>
            <w:r>
              <w:rPr>
                <w:rFonts w:cs="Arial"/>
                <w:b/>
                <w:bCs/>
                <w:sz w:val="20"/>
              </w:rPr>
              <w:t>Dose</w:t>
            </w:r>
            <w:r w:rsidRPr="00B53E9B">
              <w:rPr>
                <w:rFonts w:cs="Arial"/>
                <w:b/>
                <w:bCs/>
                <w:sz w:val="20"/>
              </w:rPr>
              <w:t xml:space="preserve"> </w:t>
            </w:r>
          </w:p>
        </w:tc>
        <w:tc>
          <w:tcPr>
            <w:tcW w:w="7371" w:type="dxa"/>
          </w:tcPr>
          <w:p w:rsidR="00FD2A9D" w:rsidP="00131848" w:rsidRDefault="00FD2A9D" w14:paraId="5CE2E73D" w14:textId="77777777">
            <w:pPr>
              <w:pStyle w:val="BodyText"/>
              <w:rPr>
                <w:rFonts w:asciiTheme="minorHAnsi" w:hAnsiTheme="minorHAnsi"/>
                <w:sz w:val="20"/>
              </w:rPr>
            </w:pPr>
            <w:r w:rsidRPr="00BF3872">
              <w:rPr>
                <w:rFonts w:asciiTheme="minorHAnsi" w:hAnsiTheme="minorHAnsi"/>
                <w:b/>
                <w:sz w:val="20"/>
              </w:rPr>
              <w:t>IV or PO*:</w:t>
            </w:r>
            <w:r w:rsidRPr="0050071D">
              <w:rPr>
                <w:rFonts w:asciiTheme="minorHAnsi" w:hAnsiTheme="minorHAnsi"/>
                <w:sz w:val="20"/>
              </w:rPr>
              <w:t xml:space="preserve"> 1 to 2 mg/kg/dose</w:t>
            </w:r>
            <w:r>
              <w:rPr>
                <w:rFonts w:asciiTheme="minorHAnsi" w:hAnsiTheme="minorHAnsi"/>
                <w:sz w:val="20"/>
              </w:rPr>
              <w:t xml:space="preserve">. </w:t>
            </w:r>
          </w:p>
          <w:p w:rsidR="00FD2A9D" w:rsidP="00131848" w:rsidRDefault="00FD2A9D" w14:paraId="07CDF956" w14:textId="77777777">
            <w:pPr>
              <w:pStyle w:val="BodyText"/>
              <w:rPr>
                <w:rFonts w:asciiTheme="minorHAnsi" w:hAnsiTheme="minorHAnsi"/>
                <w:sz w:val="20"/>
              </w:rPr>
            </w:pPr>
            <w:r>
              <w:rPr>
                <w:rFonts w:asciiTheme="minorHAnsi" w:hAnsiTheme="minorHAnsi"/>
                <w:sz w:val="20"/>
              </w:rPr>
              <w:t>Dose interval</w:t>
            </w:r>
          </w:p>
          <w:tbl>
            <w:tblPr>
              <w:tblStyle w:val="TableGrid"/>
              <w:tblW w:w="0" w:type="auto"/>
              <w:tblLayout w:type="fixed"/>
              <w:tblLook w:val="04A0" w:firstRow="1" w:lastRow="0" w:firstColumn="1" w:lastColumn="0" w:noHBand="0" w:noVBand="1"/>
            </w:tblPr>
            <w:tblGrid>
              <w:gridCol w:w="3997"/>
              <w:gridCol w:w="2409"/>
            </w:tblGrid>
            <w:tr w:rsidR="00FD2A9D" w:rsidTr="00131848" w14:paraId="353714CE" w14:textId="77777777">
              <w:tc>
                <w:tcPr>
                  <w:tcW w:w="3997" w:type="dxa"/>
                </w:tcPr>
                <w:p w:rsidRPr="00CA68B6" w:rsidR="00FD2A9D" w:rsidP="00131848" w:rsidRDefault="00FD2A9D" w14:paraId="03E31A7C" w14:textId="77777777">
                  <w:pPr>
                    <w:pStyle w:val="BodyText"/>
                    <w:rPr>
                      <w:rFonts w:asciiTheme="minorHAnsi" w:hAnsiTheme="minorHAnsi"/>
                      <w:b/>
                      <w:bCs/>
                      <w:sz w:val="20"/>
                    </w:rPr>
                  </w:pPr>
                  <w:r w:rsidRPr="00CA68B6">
                    <w:rPr>
                      <w:rFonts w:asciiTheme="minorHAnsi" w:hAnsiTheme="minorHAnsi"/>
                      <w:b/>
                      <w:bCs/>
                      <w:sz w:val="20"/>
                    </w:rPr>
                    <w:t>Corrected gestational age/Postmenstrual age</w:t>
                  </w:r>
                </w:p>
              </w:tc>
              <w:tc>
                <w:tcPr>
                  <w:tcW w:w="2409" w:type="dxa"/>
                </w:tcPr>
                <w:p w:rsidRPr="00CA68B6" w:rsidR="00FD2A9D" w:rsidP="00131848" w:rsidRDefault="00FD2A9D" w14:paraId="3A7BAA0A" w14:textId="77777777">
                  <w:pPr>
                    <w:pStyle w:val="BodyText"/>
                    <w:rPr>
                      <w:rFonts w:asciiTheme="minorHAnsi" w:hAnsiTheme="minorHAnsi"/>
                      <w:b/>
                      <w:bCs/>
                      <w:sz w:val="20"/>
                    </w:rPr>
                  </w:pPr>
                  <w:r w:rsidRPr="00CA68B6">
                    <w:rPr>
                      <w:rFonts w:asciiTheme="minorHAnsi" w:hAnsiTheme="minorHAnsi"/>
                      <w:b/>
                      <w:bCs/>
                      <w:sz w:val="20"/>
                    </w:rPr>
                    <w:t>Interval</w:t>
                  </w:r>
                </w:p>
              </w:tc>
            </w:tr>
            <w:tr w:rsidR="00FD2A9D" w:rsidTr="00131848" w14:paraId="18EA6AEB" w14:textId="77777777">
              <w:tc>
                <w:tcPr>
                  <w:tcW w:w="3997" w:type="dxa"/>
                </w:tcPr>
                <w:p w:rsidR="00FD2A9D" w:rsidP="00131848" w:rsidRDefault="00FD2A9D" w14:paraId="1D25EE24" w14:textId="77777777">
                  <w:pPr>
                    <w:pStyle w:val="BodyText"/>
                    <w:rPr>
                      <w:rFonts w:asciiTheme="minorHAnsi" w:hAnsiTheme="minorHAnsi"/>
                      <w:sz w:val="20"/>
                    </w:rPr>
                  </w:pPr>
                  <w:r>
                    <w:rPr>
                      <w:rFonts w:asciiTheme="minorHAnsi" w:hAnsiTheme="minorHAnsi"/>
                      <w:sz w:val="20"/>
                    </w:rPr>
                    <w:t>Preterm infant &lt; 34 weeks</w:t>
                  </w:r>
                </w:p>
              </w:tc>
              <w:tc>
                <w:tcPr>
                  <w:tcW w:w="2409" w:type="dxa"/>
                </w:tcPr>
                <w:p w:rsidR="00FD2A9D" w:rsidP="00131848" w:rsidRDefault="00FD2A9D" w14:paraId="532DA39C" w14:textId="77777777">
                  <w:pPr>
                    <w:pStyle w:val="BodyText"/>
                    <w:rPr>
                      <w:rFonts w:asciiTheme="minorHAnsi" w:hAnsiTheme="minorHAnsi"/>
                      <w:sz w:val="20"/>
                    </w:rPr>
                  </w:pPr>
                  <w:r>
                    <w:rPr>
                      <w:rFonts w:asciiTheme="minorHAnsi" w:hAnsiTheme="minorHAnsi"/>
                      <w:sz w:val="20"/>
                    </w:rPr>
                    <w:t>Every 24 hours</w:t>
                  </w:r>
                </w:p>
              </w:tc>
            </w:tr>
            <w:tr w:rsidR="00FD2A9D" w:rsidTr="00131848" w14:paraId="0C2D3965" w14:textId="77777777">
              <w:tc>
                <w:tcPr>
                  <w:tcW w:w="3997" w:type="dxa"/>
                </w:tcPr>
                <w:p w:rsidR="00FD2A9D" w:rsidP="00131848" w:rsidRDefault="00FD2A9D" w14:paraId="74148BA4" w14:textId="77777777">
                  <w:pPr>
                    <w:pStyle w:val="BodyText"/>
                    <w:rPr>
                      <w:rFonts w:asciiTheme="minorHAnsi" w:hAnsiTheme="minorHAnsi"/>
                      <w:sz w:val="20"/>
                    </w:rPr>
                  </w:pPr>
                  <w:r>
                    <w:rPr>
                      <w:rFonts w:asciiTheme="minorHAnsi" w:hAnsiTheme="minorHAnsi"/>
                      <w:sz w:val="20"/>
                    </w:rPr>
                    <w:t xml:space="preserve">Preterm infant </w:t>
                  </w:r>
                  <w:r w:rsidRPr="002B370F">
                    <w:rPr>
                      <w:rFonts w:asciiTheme="minorHAnsi" w:hAnsiTheme="minorHAnsi" w:cstheme="minorHAnsi"/>
                      <w:sz w:val="20"/>
                    </w:rPr>
                    <w:t>≥</w:t>
                  </w:r>
                  <w:r>
                    <w:rPr>
                      <w:rFonts w:asciiTheme="minorHAnsi" w:hAnsiTheme="minorHAnsi"/>
                      <w:sz w:val="20"/>
                    </w:rPr>
                    <w:t xml:space="preserve"> 34 weeks</w:t>
                  </w:r>
                </w:p>
              </w:tc>
              <w:tc>
                <w:tcPr>
                  <w:tcW w:w="2409" w:type="dxa"/>
                </w:tcPr>
                <w:p w:rsidR="00FD2A9D" w:rsidP="00131848" w:rsidRDefault="00FD2A9D" w14:paraId="533DFD5A" w14:textId="77777777">
                  <w:pPr>
                    <w:pStyle w:val="BodyText"/>
                    <w:rPr>
                      <w:rFonts w:asciiTheme="minorHAnsi" w:hAnsiTheme="minorHAnsi"/>
                      <w:sz w:val="20"/>
                    </w:rPr>
                  </w:pPr>
                  <w:r>
                    <w:rPr>
                      <w:rFonts w:asciiTheme="minorHAnsi" w:hAnsiTheme="minorHAnsi"/>
                      <w:sz w:val="20"/>
                    </w:rPr>
                    <w:t>12–24 hours</w:t>
                  </w:r>
                </w:p>
              </w:tc>
            </w:tr>
            <w:tr w:rsidR="00FD2A9D" w:rsidTr="00131848" w14:paraId="282BD0A7" w14:textId="77777777">
              <w:tc>
                <w:tcPr>
                  <w:tcW w:w="3997" w:type="dxa"/>
                </w:tcPr>
                <w:p w:rsidR="00FD2A9D" w:rsidP="00131848" w:rsidRDefault="00FD2A9D" w14:paraId="3DFF870C" w14:textId="77777777">
                  <w:pPr>
                    <w:pStyle w:val="BodyText"/>
                    <w:rPr>
                      <w:rFonts w:asciiTheme="minorHAnsi" w:hAnsiTheme="minorHAnsi"/>
                      <w:sz w:val="20"/>
                    </w:rPr>
                  </w:pPr>
                  <w:r>
                    <w:rPr>
                      <w:rFonts w:asciiTheme="minorHAnsi" w:hAnsiTheme="minorHAnsi"/>
                      <w:sz w:val="20"/>
                    </w:rPr>
                    <w:t>Term infant 0–30 days</w:t>
                  </w:r>
                </w:p>
              </w:tc>
              <w:tc>
                <w:tcPr>
                  <w:tcW w:w="2409" w:type="dxa"/>
                </w:tcPr>
                <w:p w:rsidR="00FD2A9D" w:rsidP="00131848" w:rsidRDefault="00FD2A9D" w14:paraId="0EECA969" w14:textId="77777777">
                  <w:pPr>
                    <w:pStyle w:val="BodyText"/>
                    <w:rPr>
                      <w:rFonts w:asciiTheme="minorHAnsi" w:hAnsiTheme="minorHAnsi"/>
                      <w:sz w:val="20"/>
                    </w:rPr>
                  </w:pPr>
                  <w:r>
                    <w:rPr>
                      <w:rFonts w:asciiTheme="minorHAnsi" w:hAnsiTheme="minorHAnsi"/>
                      <w:sz w:val="20"/>
                    </w:rPr>
                    <w:t>Every 12 hours</w:t>
                  </w:r>
                </w:p>
              </w:tc>
            </w:tr>
            <w:tr w:rsidR="00FD2A9D" w:rsidTr="00131848" w14:paraId="6164FFF5" w14:textId="77777777">
              <w:tc>
                <w:tcPr>
                  <w:tcW w:w="3997" w:type="dxa"/>
                </w:tcPr>
                <w:p w:rsidR="00FD2A9D" w:rsidP="00131848" w:rsidRDefault="00FD2A9D" w14:paraId="33F0504A" w14:textId="77777777">
                  <w:pPr>
                    <w:pStyle w:val="BodyText"/>
                    <w:rPr>
                      <w:rFonts w:asciiTheme="minorHAnsi" w:hAnsiTheme="minorHAnsi"/>
                      <w:sz w:val="20"/>
                    </w:rPr>
                  </w:pPr>
                  <w:r>
                    <w:rPr>
                      <w:rFonts w:asciiTheme="minorHAnsi" w:hAnsiTheme="minorHAnsi"/>
                      <w:sz w:val="20"/>
                    </w:rPr>
                    <w:t>Term infant &gt; 30 days</w:t>
                  </w:r>
                </w:p>
              </w:tc>
              <w:tc>
                <w:tcPr>
                  <w:tcW w:w="2409" w:type="dxa"/>
                </w:tcPr>
                <w:p w:rsidR="00FD2A9D" w:rsidP="00131848" w:rsidRDefault="00FD2A9D" w14:paraId="2544F483" w14:textId="77777777">
                  <w:pPr>
                    <w:pStyle w:val="BodyText"/>
                    <w:rPr>
                      <w:rFonts w:asciiTheme="minorHAnsi" w:hAnsiTheme="minorHAnsi"/>
                      <w:sz w:val="20"/>
                    </w:rPr>
                  </w:pPr>
                  <w:r>
                    <w:rPr>
                      <w:rFonts w:asciiTheme="minorHAnsi" w:hAnsiTheme="minorHAnsi"/>
                      <w:sz w:val="20"/>
                    </w:rPr>
                    <w:t>8–12 hours</w:t>
                  </w:r>
                </w:p>
              </w:tc>
            </w:tr>
          </w:tbl>
          <w:p w:rsidR="00FD2A9D" w:rsidP="00131848" w:rsidRDefault="00FD2A9D" w14:paraId="7ABC46F2" w14:textId="77777777">
            <w:pPr>
              <w:pStyle w:val="BodyText"/>
              <w:rPr>
                <w:rFonts w:asciiTheme="minorHAnsi" w:hAnsiTheme="minorHAnsi"/>
                <w:sz w:val="20"/>
              </w:rPr>
            </w:pPr>
            <w:r>
              <w:rPr>
                <w:rFonts w:asciiTheme="minorHAnsi" w:hAnsiTheme="minorHAnsi"/>
                <w:sz w:val="20"/>
              </w:rPr>
              <w:t xml:space="preserve">*PO: Dose may be increased up to maximum 6 mg/kg/dose in term infants with heart failure. </w:t>
            </w:r>
          </w:p>
          <w:p w:rsidR="00FD2A9D" w:rsidP="00131848" w:rsidRDefault="00FD2A9D" w14:paraId="23FAB62A" w14:textId="77777777">
            <w:pPr>
              <w:pStyle w:val="BodyText"/>
              <w:rPr>
                <w:rFonts w:asciiTheme="minorHAnsi" w:hAnsiTheme="minorHAnsi"/>
                <w:sz w:val="20"/>
              </w:rPr>
            </w:pPr>
          </w:p>
          <w:p w:rsidRPr="0050071D" w:rsidR="00FD2A9D" w:rsidP="00131848" w:rsidRDefault="00FD2A9D" w14:paraId="642B33A9" w14:textId="77777777">
            <w:pPr>
              <w:pStyle w:val="BodyText"/>
              <w:rPr>
                <w:rFonts w:asciiTheme="minorHAnsi" w:hAnsiTheme="minorHAnsi"/>
                <w:sz w:val="20"/>
              </w:rPr>
            </w:pPr>
            <w:r w:rsidRPr="00BF3872">
              <w:rPr>
                <w:rFonts w:asciiTheme="minorHAnsi" w:hAnsiTheme="minorHAnsi"/>
                <w:b/>
                <w:sz w:val="20"/>
              </w:rPr>
              <w:t>IV Infusion</w:t>
            </w:r>
            <w:r w:rsidRPr="0050071D">
              <w:rPr>
                <w:rFonts w:asciiTheme="minorHAnsi" w:hAnsiTheme="minorHAnsi"/>
                <w:sz w:val="20"/>
              </w:rPr>
              <w:t>: 0.05 to 0.2 mg/kg/hour increased to maximum 0.4 mg/kg/hour if urine output &lt;</w:t>
            </w:r>
            <w:r>
              <w:rPr>
                <w:rFonts w:asciiTheme="minorHAnsi" w:hAnsiTheme="minorHAnsi"/>
                <w:sz w:val="20"/>
              </w:rPr>
              <w:t xml:space="preserve"> </w:t>
            </w:r>
            <w:r w:rsidRPr="0050071D">
              <w:rPr>
                <w:rFonts w:asciiTheme="minorHAnsi" w:hAnsiTheme="minorHAnsi"/>
                <w:sz w:val="20"/>
              </w:rPr>
              <w:t>1 mL/kg/hour.</w:t>
            </w:r>
          </w:p>
          <w:p w:rsidR="00FD2A9D" w:rsidP="00131848" w:rsidRDefault="00FD2A9D" w14:paraId="6869C265" w14:textId="77777777">
            <w:pPr>
              <w:pStyle w:val="BodyText"/>
              <w:rPr>
                <w:rFonts w:asciiTheme="minorHAnsi" w:hAnsiTheme="minorHAnsi"/>
                <w:sz w:val="20"/>
              </w:rPr>
            </w:pPr>
          </w:p>
          <w:p w:rsidRPr="00026F20" w:rsidR="00FD2A9D" w:rsidP="00131848" w:rsidRDefault="00FD2A9D" w14:paraId="3C537B07" w14:textId="77777777">
            <w:pPr>
              <w:pStyle w:val="BodyText"/>
              <w:rPr>
                <w:sz w:val="20"/>
              </w:rPr>
            </w:pPr>
            <w:r w:rsidRPr="0050071D">
              <w:rPr>
                <w:rFonts w:asciiTheme="minorHAnsi" w:hAnsiTheme="minorHAnsi"/>
                <w:sz w:val="20"/>
              </w:rPr>
              <w:t>Diuresis renography: 1 mg/kg</w:t>
            </w:r>
            <w:r>
              <w:rPr>
                <w:rFonts w:asciiTheme="minorHAnsi" w:hAnsiTheme="minorHAnsi"/>
                <w:sz w:val="20"/>
              </w:rPr>
              <w:t xml:space="preserve"> stat. </w:t>
            </w:r>
          </w:p>
        </w:tc>
      </w:tr>
      <w:tr w:rsidRPr="003A7895" w:rsidR="00FD2A9D" w:rsidTr="00F46085" w14:paraId="57DB45DE" w14:textId="77777777">
        <w:trPr>
          <w:trHeight w:val="218"/>
        </w:trPr>
        <w:tc>
          <w:tcPr>
            <w:tcW w:w="1730" w:type="dxa"/>
          </w:tcPr>
          <w:p w:rsidRPr="00B53E9B" w:rsidR="00FD2A9D" w:rsidP="00131848" w:rsidRDefault="00FD2A9D" w14:paraId="41D7D718" w14:textId="77777777">
            <w:pPr>
              <w:pStyle w:val="BodyText"/>
              <w:rPr>
                <w:b/>
                <w:sz w:val="20"/>
              </w:rPr>
            </w:pPr>
            <w:r w:rsidRPr="00B53E9B">
              <w:rPr>
                <w:b/>
                <w:sz w:val="20"/>
              </w:rPr>
              <w:t>Dose adjustment</w:t>
            </w:r>
          </w:p>
        </w:tc>
        <w:tc>
          <w:tcPr>
            <w:tcW w:w="7371" w:type="dxa"/>
          </w:tcPr>
          <w:p w:rsidRPr="0093583A" w:rsidR="00FD2A9D" w:rsidP="00131848" w:rsidRDefault="00FD2A9D" w14:paraId="1063986D" w14:textId="77777777">
            <w:pPr>
              <w:pStyle w:val="BodyText"/>
              <w:rPr>
                <w:sz w:val="20"/>
              </w:rPr>
            </w:pPr>
          </w:p>
        </w:tc>
      </w:tr>
      <w:tr w:rsidRPr="003A7895" w:rsidR="00FD2A9D" w:rsidTr="00F46085" w14:paraId="5E9BE19B" w14:textId="77777777">
        <w:trPr>
          <w:trHeight w:val="113"/>
        </w:trPr>
        <w:tc>
          <w:tcPr>
            <w:tcW w:w="1730" w:type="dxa"/>
          </w:tcPr>
          <w:p w:rsidRPr="00B53E9B" w:rsidR="00FD2A9D" w:rsidP="00131848" w:rsidRDefault="00FD2A9D" w14:paraId="12143F4D" w14:textId="77777777">
            <w:pPr>
              <w:pStyle w:val="BodyText"/>
              <w:rPr>
                <w:b/>
                <w:sz w:val="20"/>
              </w:rPr>
            </w:pPr>
            <w:r w:rsidRPr="00B53E9B">
              <w:rPr>
                <w:b/>
                <w:sz w:val="20"/>
              </w:rPr>
              <w:t>Maximum dose</w:t>
            </w:r>
          </w:p>
        </w:tc>
        <w:tc>
          <w:tcPr>
            <w:tcW w:w="7371" w:type="dxa"/>
          </w:tcPr>
          <w:p w:rsidRPr="0050071D" w:rsidR="00FD2A9D" w:rsidP="00131848" w:rsidRDefault="00FD2A9D" w14:paraId="2DCD24CC" w14:textId="77777777">
            <w:pPr>
              <w:pStyle w:val="BodyText"/>
              <w:rPr>
                <w:rFonts w:asciiTheme="minorHAnsi" w:hAnsiTheme="minorHAnsi"/>
                <w:sz w:val="20"/>
              </w:rPr>
            </w:pPr>
            <w:r w:rsidRPr="0050071D">
              <w:rPr>
                <w:rFonts w:asciiTheme="minorHAnsi" w:hAnsiTheme="minorHAnsi"/>
                <w:sz w:val="20"/>
              </w:rPr>
              <w:t xml:space="preserve">IV: </w:t>
            </w:r>
            <w:r>
              <w:rPr>
                <w:rFonts w:asciiTheme="minorHAnsi" w:hAnsiTheme="minorHAnsi"/>
                <w:sz w:val="20"/>
              </w:rPr>
              <w:t>2 mg/kg/dose</w:t>
            </w:r>
          </w:p>
          <w:p w:rsidRPr="0050071D" w:rsidR="00FD2A9D" w:rsidP="00131848" w:rsidRDefault="00FD2A9D" w14:paraId="320965F3" w14:textId="77777777">
            <w:pPr>
              <w:pStyle w:val="BodyText"/>
              <w:rPr>
                <w:rFonts w:asciiTheme="minorHAnsi" w:hAnsiTheme="minorHAnsi"/>
                <w:sz w:val="20"/>
              </w:rPr>
            </w:pPr>
            <w:r w:rsidRPr="0050071D">
              <w:rPr>
                <w:rFonts w:asciiTheme="minorHAnsi" w:hAnsiTheme="minorHAnsi"/>
                <w:sz w:val="20"/>
              </w:rPr>
              <w:t xml:space="preserve">IV infusion: 0.4 mg/kg/hour </w:t>
            </w:r>
          </w:p>
          <w:p w:rsidRPr="00026F20" w:rsidR="00FD2A9D" w:rsidP="00131848" w:rsidRDefault="00FD2A9D" w14:paraId="2D98EBD4" w14:textId="77777777">
            <w:pPr>
              <w:pStyle w:val="BodyText"/>
              <w:rPr>
                <w:sz w:val="20"/>
              </w:rPr>
            </w:pPr>
            <w:r w:rsidRPr="0050071D">
              <w:rPr>
                <w:rFonts w:asciiTheme="minorHAnsi" w:hAnsiTheme="minorHAnsi"/>
                <w:sz w:val="20"/>
              </w:rPr>
              <w:t>Oral: 6 mg/kg/dose</w:t>
            </w:r>
          </w:p>
        </w:tc>
      </w:tr>
      <w:tr w:rsidRPr="003A7895" w:rsidR="00FD2A9D" w:rsidTr="00F46085" w14:paraId="31AB2C70" w14:textId="77777777">
        <w:trPr>
          <w:trHeight w:val="144"/>
        </w:trPr>
        <w:tc>
          <w:tcPr>
            <w:tcW w:w="1730" w:type="dxa"/>
          </w:tcPr>
          <w:p w:rsidRPr="00B53E9B" w:rsidR="00FD2A9D" w:rsidP="00131848" w:rsidRDefault="00FD2A9D" w14:paraId="1D2ADCFD" w14:textId="77777777">
            <w:pPr>
              <w:pStyle w:val="BodyText"/>
              <w:rPr>
                <w:rFonts w:cs="Arial"/>
                <w:b/>
                <w:bCs/>
                <w:sz w:val="20"/>
              </w:rPr>
            </w:pPr>
            <w:r w:rsidRPr="00B53E9B">
              <w:rPr>
                <w:b/>
                <w:sz w:val="20"/>
              </w:rPr>
              <w:t>Total cumulative dose</w:t>
            </w:r>
          </w:p>
        </w:tc>
        <w:tc>
          <w:tcPr>
            <w:tcW w:w="7371" w:type="dxa"/>
          </w:tcPr>
          <w:p w:rsidRPr="002C0980" w:rsidR="00FD2A9D" w:rsidP="00131848" w:rsidRDefault="00FD2A9D" w14:paraId="106C9C0C" w14:textId="77777777">
            <w:pPr>
              <w:pStyle w:val="BodyText"/>
              <w:rPr>
                <w:rFonts w:cs="Arial"/>
                <w:sz w:val="20"/>
              </w:rPr>
            </w:pPr>
          </w:p>
        </w:tc>
      </w:tr>
      <w:tr w:rsidRPr="003A7895" w:rsidR="00FD2A9D" w:rsidTr="00F46085" w14:paraId="4C88C867" w14:textId="77777777">
        <w:trPr>
          <w:trHeight w:val="294"/>
        </w:trPr>
        <w:tc>
          <w:tcPr>
            <w:tcW w:w="1730" w:type="dxa"/>
          </w:tcPr>
          <w:p w:rsidRPr="00B53E9B" w:rsidR="00FD2A9D" w:rsidP="00131848" w:rsidRDefault="00FD2A9D" w14:paraId="0ED48162" w14:textId="77777777">
            <w:pPr>
              <w:pStyle w:val="BodyText"/>
              <w:rPr>
                <w:rFonts w:cs="Arial"/>
                <w:sz w:val="20"/>
              </w:rPr>
            </w:pPr>
            <w:r w:rsidRPr="00B53E9B">
              <w:rPr>
                <w:rFonts w:cs="Arial"/>
                <w:b/>
                <w:bCs/>
                <w:sz w:val="20"/>
              </w:rPr>
              <w:t xml:space="preserve">Route </w:t>
            </w:r>
          </w:p>
        </w:tc>
        <w:tc>
          <w:tcPr>
            <w:tcW w:w="7371" w:type="dxa"/>
          </w:tcPr>
          <w:p w:rsidRPr="00026F20" w:rsidR="00FD2A9D" w:rsidP="00131848" w:rsidRDefault="00FD2A9D" w14:paraId="09744507" w14:textId="77777777">
            <w:pPr>
              <w:pStyle w:val="BodyText"/>
              <w:rPr>
                <w:rFonts w:cs="Arial"/>
                <w:sz w:val="20"/>
              </w:rPr>
            </w:pPr>
            <w:r w:rsidRPr="0050071D">
              <w:rPr>
                <w:rFonts w:cs="Arial" w:asciiTheme="minorHAnsi" w:hAnsiTheme="minorHAnsi"/>
                <w:sz w:val="20"/>
              </w:rPr>
              <w:t>IV or oral</w:t>
            </w:r>
          </w:p>
        </w:tc>
      </w:tr>
      <w:tr w:rsidRPr="003A7895" w:rsidR="00FD2A9D" w:rsidTr="00F46085" w14:paraId="5CD16452" w14:textId="77777777">
        <w:trPr>
          <w:trHeight w:val="93"/>
        </w:trPr>
        <w:tc>
          <w:tcPr>
            <w:tcW w:w="1730" w:type="dxa"/>
          </w:tcPr>
          <w:p w:rsidRPr="00B53E9B" w:rsidR="00FD2A9D" w:rsidP="00131848" w:rsidRDefault="00FD2A9D" w14:paraId="367CED5D"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371" w:type="dxa"/>
          </w:tcPr>
          <w:p w:rsidR="00FD2A9D" w:rsidP="00131848" w:rsidRDefault="00FD2A9D" w14:paraId="71AAC95F" w14:textId="77777777">
            <w:pPr>
              <w:pStyle w:val="BodyText"/>
              <w:rPr>
                <w:rFonts w:cs="Arial" w:asciiTheme="minorHAnsi" w:hAnsiTheme="minorHAnsi"/>
                <w:sz w:val="20"/>
              </w:rPr>
            </w:pPr>
            <w:r>
              <w:rPr>
                <w:rFonts w:cs="Arial" w:asciiTheme="minorHAnsi" w:hAnsiTheme="minorHAnsi"/>
                <w:sz w:val="20"/>
              </w:rPr>
              <w:t xml:space="preserve">IV bolus: Give undiluted. If dilution required draw up 0.5mL (5 mg of furosemide) and add 9.5mL sodium chloride 0.9% to make a final volume of 10 mL with a concentration of 0.5 mg/mL. </w:t>
            </w:r>
          </w:p>
          <w:p w:rsidRPr="0050071D" w:rsidR="00FD2A9D" w:rsidP="00131848" w:rsidRDefault="00FD2A9D" w14:paraId="3FFC3161" w14:textId="77777777">
            <w:pPr>
              <w:pStyle w:val="BodyText"/>
              <w:rPr>
                <w:rFonts w:cs="Arial" w:asciiTheme="minorHAnsi" w:hAnsiTheme="minorHAnsi"/>
                <w:sz w:val="20"/>
              </w:rPr>
            </w:pPr>
          </w:p>
          <w:p w:rsidR="00FD2A9D" w:rsidP="00131848" w:rsidRDefault="00FD2A9D" w14:paraId="48FF376C" w14:textId="77777777">
            <w:pPr>
              <w:pStyle w:val="BodyText"/>
              <w:rPr>
                <w:rFonts w:cs="Arial" w:asciiTheme="minorHAnsi" w:hAnsiTheme="minorHAnsi"/>
                <w:sz w:val="20"/>
              </w:rPr>
            </w:pPr>
            <w:r w:rsidRPr="0050071D">
              <w:rPr>
                <w:rFonts w:cs="Arial" w:asciiTheme="minorHAnsi" w:hAnsiTheme="minorHAnsi"/>
                <w:sz w:val="20"/>
              </w:rPr>
              <w:t xml:space="preserve">IV infusion: </w:t>
            </w:r>
          </w:p>
          <w:p w:rsidR="00FD2A9D" w:rsidP="00131848" w:rsidRDefault="00FD2A9D" w14:paraId="01FDF445" w14:textId="77777777">
            <w:pPr>
              <w:pStyle w:val="BodyText"/>
              <w:rPr>
                <w:rFonts w:cs="Arial" w:asciiTheme="minorHAnsi" w:hAnsiTheme="minorHAnsi"/>
                <w:sz w:val="20"/>
              </w:rPr>
            </w:pPr>
            <w:r>
              <w:rPr>
                <w:rFonts w:cs="Arial" w:asciiTheme="minorHAnsi" w:hAnsiTheme="minorHAnsi"/>
                <w:sz w:val="20"/>
              </w:rPr>
              <w:lastRenderedPageBreak/>
              <w:t xml:space="preserve">Single-strength infusion: </w:t>
            </w:r>
            <w:r w:rsidRPr="00525494">
              <w:rPr>
                <w:rFonts w:cs="Arial" w:asciiTheme="minorHAnsi" w:hAnsiTheme="minorHAnsi"/>
                <w:sz w:val="20"/>
              </w:rPr>
              <w:t>Draw up 0.5 mL/kg (5</w:t>
            </w:r>
            <w:r>
              <w:rPr>
                <w:rFonts w:cs="Arial" w:asciiTheme="minorHAnsi" w:hAnsiTheme="minorHAnsi"/>
                <w:sz w:val="20"/>
              </w:rPr>
              <w:t xml:space="preserve"> </w:t>
            </w:r>
            <w:r w:rsidRPr="00525494">
              <w:rPr>
                <w:rFonts w:cs="Arial" w:asciiTheme="minorHAnsi" w:hAnsiTheme="minorHAnsi"/>
                <w:sz w:val="20"/>
              </w:rPr>
              <w:t>mg/kg of furosemide</w:t>
            </w:r>
            <w:r>
              <w:rPr>
                <w:rFonts w:cs="Arial" w:asciiTheme="minorHAnsi" w:hAnsiTheme="minorHAnsi"/>
                <w:sz w:val="20"/>
              </w:rPr>
              <w:t>)</w:t>
            </w:r>
            <w:r w:rsidRPr="00525494">
              <w:rPr>
                <w:rFonts w:cs="Arial" w:asciiTheme="minorHAnsi" w:hAnsiTheme="minorHAnsi"/>
                <w:sz w:val="20"/>
              </w:rPr>
              <w:t xml:space="preserve"> and make up to 10 mL with sodium chloride 0.9% or glucose 5% or glucose 10% or glucose 20% to make a 0.5 mg/kg/mL solution. Infusing at a rate of 0.1 mL/hour = 0.05 mg/kg/hour.</w:t>
            </w:r>
          </w:p>
          <w:p w:rsidR="00FD2A9D" w:rsidP="00131848" w:rsidRDefault="00FD2A9D" w14:paraId="069099DE" w14:textId="77777777">
            <w:pPr>
              <w:pStyle w:val="BodyText"/>
              <w:rPr>
                <w:rFonts w:cs="Arial" w:asciiTheme="minorHAnsi" w:hAnsiTheme="minorHAnsi"/>
                <w:sz w:val="20"/>
              </w:rPr>
            </w:pPr>
          </w:p>
          <w:p w:rsidR="00FD2A9D" w:rsidP="00131848" w:rsidRDefault="00FD2A9D" w14:paraId="746B7FDD" w14:textId="77777777">
            <w:pPr>
              <w:pStyle w:val="BodyText"/>
              <w:rPr>
                <w:rFonts w:cs="Arial" w:asciiTheme="minorHAnsi" w:hAnsiTheme="minorHAnsi"/>
                <w:sz w:val="20"/>
              </w:rPr>
            </w:pPr>
            <w:r>
              <w:rPr>
                <w:rFonts w:cs="Arial" w:asciiTheme="minorHAnsi" w:hAnsiTheme="minorHAnsi"/>
                <w:sz w:val="20"/>
              </w:rPr>
              <w:t xml:space="preserve">Double-strength infusion: </w:t>
            </w:r>
            <w:r w:rsidRPr="0009156B">
              <w:rPr>
                <w:rFonts w:cs="Arial" w:asciiTheme="minorHAnsi" w:hAnsiTheme="minorHAnsi"/>
                <w:sz w:val="20"/>
              </w:rPr>
              <w:t xml:space="preserve">Draw up </w:t>
            </w:r>
            <w:r>
              <w:rPr>
                <w:rFonts w:cs="Arial" w:asciiTheme="minorHAnsi" w:hAnsiTheme="minorHAnsi"/>
                <w:sz w:val="20"/>
              </w:rPr>
              <w:t>1</w:t>
            </w:r>
            <w:r w:rsidRPr="0009156B">
              <w:rPr>
                <w:rFonts w:cs="Arial" w:asciiTheme="minorHAnsi" w:hAnsiTheme="minorHAnsi"/>
                <w:sz w:val="20"/>
              </w:rPr>
              <w:t xml:space="preserve"> mL/kg (</w:t>
            </w:r>
            <w:r>
              <w:rPr>
                <w:rFonts w:cs="Arial" w:asciiTheme="minorHAnsi" w:hAnsiTheme="minorHAnsi"/>
                <w:sz w:val="20"/>
              </w:rPr>
              <w:t xml:space="preserve">10 </w:t>
            </w:r>
            <w:r w:rsidRPr="0009156B">
              <w:rPr>
                <w:rFonts w:cs="Arial" w:asciiTheme="minorHAnsi" w:hAnsiTheme="minorHAnsi"/>
                <w:sz w:val="20"/>
              </w:rPr>
              <w:t>mg/kg of furosemide</w:t>
            </w:r>
            <w:r>
              <w:rPr>
                <w:rFonts w:cs="Arial" w:asciiTheme="minorHAnsi" w:hAnsiTheme="minorHAnsi"/>
                <w:sz w:val="20"/>
              </w:rPr>
              <w:t>)</w:t>
            </w:r>
            <w:r w:rsidRPr="0009156B">
              <w:rPr>
                <w:rFonts w:cs="Arial" w:asciiTheme="minorHAnsi" w:hAnsiTheme="minorHAnsi"/>
                <w:sz w:val="20"/>
              </w:rPr>
              <w:t xml:space="preserve"> and make up to 10 mL with sodium chloride 0.9% or glucose 5% or glucose 10% or glucose 20% to make a </w:t>
            </w:r>
            <w:r>
              <w:rPr>
                <w:rFonts w:cs="Arial" w:asciiTheme="minorHAnsi" w:hAnsiTheme="minorHAnsi"/>
                <w:sz w:val="20"/>
              </w:rPr>
              <w:t>1</w:t>
            </w:r>
            <w:r w:rsidRPr="0009156B">
              <w:rPr>
                <w:rFonts w:cs="Arial" w:asciiTheme="minorHAnsi" w:hAnsiTheme="minorHAnsi"/>
                <w:sz w:val="20"/>
              </w:rPr>
              <w:t xml:space="preserve"> mg/kg/mL solution. Infusing at a rate of 0.1 mL/hour = </w:t>
            </w:r>
            <w:r>
              <w:rPr>
                <w:rFonts w:cs="Arial" w:asciiTheme="minorHAnsi" w:hAnsiTheme="minorHAnsi"/>
                <w:sz w:val="20"/>
              </w:rPr>
              <w:t>0.1</w:t>
            </w:r>
            <w:r w:rsidRPr="0009156B">
              <w:rPr>
                <w:rFonts w:cs="Arial" w:asciiTheme="minorHAnsi" w:hAnsiTheme="minorHAnsi"/>
                <w:sz w:val="20"/>
              </w:rPr>
              <w:t xml:space="preserve"> mg/kg/hour.</w:t>
            </w:r>
          </w:p>
          <w:p w:rsidR="00FD2A9D" w:rsidP="00131848" w:rsidRDefault="00FD2A9D" w14:paraId="5B15242E" w14:textId="77777777">
            <w:pPr>
              <w:pStyle w:val="BodyText"/>
              <w:rPr>
                <w:rFonts w:cs="Arial" w:asciiTheme="minorHAnsi" w:hAnsiTheme="minorHAnsi"/>
                <w:sz w:val="20"/>
              </w:rPr>
            </w:pPr>
          </w:p>
          <w:p w:rsidRPr="00026F20" w:rsidR="00FD2A9D" w:rsidP="00131848" w:rsidRDefault="00FD2A9D" w14:paraId="5519E0C9" w14:textId="77777777">
            <w:pPr>
              <w:pStyle w:val="BodyText"/>
              <w:rPr>
                <w:rFonts w:cs="Arial"/>
                <w:sz w:val="20"/>
              </w:rPr>
            </w:pPr>
            <w:r w:rsidRPr="0009156B">
              <w:rPr>
                <w:rFonts w:cs="Arial" w:asciiTheme="minorHAnsi" w:hAnsiTheme="minorHAnsi"/>
                <w:sz w:val="20"/>
              </w:rPr>
              <w:t>Oral: Use as supplied undiluted.</w:t>
            </w:r>
          </w:p>
        </w:tc>
      </w:tr>
      <w:tr w:rsidRPr="003A7895" w:rsidR="00FD2A9D" w:rsidTr="00F46085" w14:paraId="0F12C55E" w14:textId="77777777">
        <w:trPr>
          <w:trHeight w:val="224"/>
        </w:trPr>
        <w:tc>
          <w:tcPr>
            <w:tcW w:w="1730" w:type="dxa"/>
          </w:tcPr>
          <w:p w:rsidRPr="00B53E9B" w:rsidR="00FD2A9D" w:rsidP="00131848" w:rsidRDefault="00FD2A9D" w14:paraId="68028DCE" w14:textId="77777777">
            <w:pPr>
              <w:pStyle w:val="BodyText"/>
              <w:rPr>
                <w:rFonts w:cs="Arial"/>
                <w:b/>
                <w:bCs/>
                <w:sz w:val="20"/>
              </w:rPr>
            </w:pPr>
            <w:r w:rsidRPr="00B53E9B">
              <w:rPr>
                <w:rFonts w:cs="Arial"/>
                <w:b/>
                <w:bCs/>
                <w:sz w:val="20"/>
              </w:rPr>
              <w:lastRenderedPageBreak/>
              <w:t xml:space="preserve">Administration </w:t>
            </w:r>
          </w:p>
        </w:tc>
        <w:tc>
          <w:tcPr>
            <w:tcW w:w="7371" w:type="dxa"/>
          </w:tcPr>
          <w:p w:rsidRPr="0050071D" w:rsidR="00FD2A9D" w:rsidP="00131848" w:rsidRDefault="00FD2A9D" w14:paraId="450706E1" w14:textId="77777777">
            <w:pPr>
              <w:pStyle w:val="BodyText"/>
              <w:rPr>
                <w:rFonts w:cs="Arial" w:asciiTheme="minorHAnsi" w:hAnsiTheme="minorHAnsi"/>
                <w:sz w:val="20"/>
              </w:rPr>
            </w:pPr>
            <w:r w:rsidRPr="0050071D">
              <w:rPr>
                <w:rFonts w:cs="Arial" w:asciiTheme="minorHAnsi" w:hAnsiTheme="minorHAnsi"/>
                <w:sz w:val="20"/>
              </w:rPr>
              <w:t>IV</w:t>
            </w:r>
            <w:r>
              <w:rPr>
                <w:rFonts w:cs="Arial" w:asciiTheme="minorHAnsi" w:hAnsiTheme="minorHAnsi"/>
                <w:sz w:val="20"/>
              </w:rPr>
              <w:t xml:space="preserve"> bolus over 2–4 minutes</w:t>
            </w:r>
            <w:r w:rsidRPr="0050071D">
              <w:rPr>
                <w:rFonts w:cs="Arial" w:asciiTheme="minorHAnsi" w:hAnsiTheme="minorHAnsi"/>
                <w:sz w:val="20"/>
              </w:rPr>
              <w:t xml:space="preserve">: </w:t>
            </w:r>
            <w:r>
              <w:rPr>
                <w:rFonts w:cs="Arial" w:asciiTheme="minorHAnsi" w:hAnsiTheme="minorHAnsi"/>
                <w:sz w:val="20"/>
              </w:rPr>
              <w:t xml:space="preserve">maximum rate not to exceed 0.5 mg/kg/minute or 4 mg/minute. </w:t>
            </w:r>
            <w:r w:rsidRPr="00525494">
              <w:rPr>
                <w:rFonts w:cs="Arial" w:asciiTheme="minorHAnsi" w:hAnsiTheme="minorHAnsi"/>
                <w:sz w:val="20"/>
              </w:rPr>
              <w:t xml:space="preserve">For diuresis renography </w:t>
            </w:r>
            <w:r>
              <w:rPr>
                <w:rFonts w:cs="Arial" w:asciiTheme="minorHAnsi" w:hAnsiTheme="minorHAnsi"/>
                <w:sz w:val="20"/>
              </w:rPr>
              <w:t>–</w:t>
            </w:r>
            <w:r w:rsidRPr="00525494">
              <w:rPr>
                <w:rFonts w:cs="Arial" w:asciiTheme="minorHAnsi" w:hAnsiTheme="minorHAnsi"/>
                <w:sz w:val="20"/>
              </w:rPr>
              <w:t xml:space="preserve"> dose should be given as a push.</w:t>
            </w:r>
            <w:r w:rsidRPr="00F0005F">
              <w:rPr>
                <w:rFonts w:cs="Arial" w:asciiTheme="minorHAnsi" w:hAnsiTheme="minorHAnsi"/>
                <w:sz w:val="20"/>
                <w:vertAlign w:val="superscript"/>
              </w:rPr>
              <w:t>1</w:t>
            </w:r>
          </w:p>
          <w:p w:rsidRPr="0050071D" w:rsidR="00FD2A9D" w:rsidP="00131848" w:rsidRDefault="00FD2A9D" w14:paraId="399FC6EC" w14:textId="77777777">
            <w:pPr>
              <w:pStyle w:val="BodyText"/>
              <w:rPr>
                <w:rFonts w:cs="Arial" w:asciiTheme="minorHAnsi" w:hAnsiTheme="minorHAnsi"/>
                <w:sz w:val="20"/>
              </w:rPr>
            </w:pPr>
            <w:r w:rsidRPr="0050071D">
              <w:rPr>
                <w:rFonts w:cs="Arial" w:asciiTheme="minorHAnsi" w:hAnsiTheme="minorHAnsi"/>
                <w:sz w:val="20"/>
              </w:rPr>
              <w:t xml:space="preserve">IV infusion: </w:t>
            </w:r>
            <w:r>
              <w:rPr>
                <w:rFonts w:cs="Arial" w:asciiTheme="minorHAnsi" w:hAnsiTheme="minorHAnsi"/>
                <w:sz w:val="20"/>
              </w:rPr>
              <w:t>Via syringe pump</w:t>
            </w:r>
          </w:p>
          <w:p w:rsidRPr="00026F20" w:rsidR="00FD2A9D" w:rsidP="00131848" w:rsidRDefault="00FD2A9D" w14:paraId="419F15C4" w14:textId="77777777">
            <w:pPr>
              <w:pStyle w:val="BodyText"/>
              <w:rPr>
                <w:rFonts w:cs="Arial"/>
                <w:sz w:val="20"/>
              </w:rPr>
            </w:pPr>
            <w:r w:rsidRPr="0050071D">
              <w:rPr>
                <w:rFonts w:cs="Arial" w:asciiTheme="minorHAnsi" w:hAnsiTheme="minorHAnsi"/>
                <w:sz w:val="20"/>
              </w:rPr>
              <w:t xml:space="preserve">Oral: </w:t>
            </w:r>
            <w:r w:rsidRPr="0050071D">
              <w:rPr>
                <w:rFonts w:asciiTheme="minorHAnsi" w:hAnsiTheme="minorHAnsi"/>
                <w:sz w:val="20"/>
              </w:rPr>
              <w:t>Solution may be administered without regard to feeds.</w:t>
            </w:r>
          </w:p>
        </w:tc>
      </w:tr>
      <w:tr w:rsidRPr="003A7895" w:rsidR="00FD2A9D" w:rsidTr="00F46085" w14:paraId="08AE9DDB" w14:textId="77777777">
        <w:trPr>
          <w:trHeight w:val="215"/>
        </w:trPr>
        <w:tc>
          <w:tcPr>
            <w:tcW w:w="1730" w:type="dxa"/>
          </w:tcPr>
          <w:p w:rsidRPr="00B53E9B" w:rsidR="00FD2A9D" w:rsidP="00131848" w:rsidRDefault="00FD2A9D" w14:paraId="5E2A4D5C" w14:textId="77777777">
            <w:pPr>
              <w:pStyle w:val="BodyText"/>
              <w:rPr>
                <w:rFonts w:cs="Arial"/>
                <w:b/>
                <w:bCs/>
                <w:sz w:val="20"/>
              </w:rPr>
            </w:pPr>
            <w:r w:rsidRPr="00B53E9B">
              <w:rPr>
                <w:rFonts w:cs="Arial"/>
                <w:b/>
                <w:bCs/>
                <w:sz w:val="20"/>
              </w:rPr>
              <w:t>Monitoring</w:t>
            </w:r>
          </w:p>
        </w:tc>
        <w:tc>
          <w:tcPr>
            <w:tcW w:w="7371" w:type="dxa"/>
          </w:tcPr>
          <w:p w:rsidRPr="00135FC6" w:rsidR="00FD2A9D" w:rsidP="00131848" w:rsidRDefault="00FD2A9D" w14:paraId="17E6B4B1" w14:textId="77777777">
            <w:pPr>
              <w:pStyle w:val="BodyText"/>
              <w:rPr>
                <w:rFonts w:cs="Arial" w:asciiTheme="minorHAnsi" w:hAnsiTheme="minorHAnsi"/>
                <w:sz w:val="20"/>
              </w:rPr>
            </w:pPr>
            <w:r w:rsidRPr="0050071D">
              <w:rPr>
                <w:rFonts w:cs="Arial" w:asciiTheme="minorHAnsi" w:hAnsiTheme="minorHAnsi"/>
                <w:sz w:val="20"/>
              </w:rPr>
              <w:t>Urine output, weight, serum sodium and potassium.</w:t>
            </w:r>
            <w:r>
              <w:rPr>
                <w:rFonts w:cs="Arial" w:asciiTheme="minorHAnsi" w:hAnsiTheme="minorHAnsi"/>
                <w:sz w:val="20"/>
              </w:rPr>
              <w:t xml:space="preserve"> Screening for nephrocalcinosis may be required for preterm infants on prolonged therapy. </w:t>
            </w:r>
          </w:p>
        </w:tc>
      </w:tr>
      <w:tr w:rsidRPr="003A7895" w:rsidR="00FD2A9D" w:rsidTr="00F46085" w14:paraId="2F8A6D25" w14:textId="77777777">
        <w:trPr>
          <w:trHeight w:val="342"/>
        </w:trPr>
        <w:tc>
          <w:tcPr>
            <w:tcW w:w="1730" w:type="dxa"/>
          </w:tcPr>
          <w:p w:rsidRPr="00B53E9B" w:rsidR="00FD2A9D" w:rsidP="00131848" w:rsidRDefault="00FD2A9D" w14:paraId="2DEA8CD6" w14:textId="77777777">
            <w:pPr>
              <w:pStyle w:val="BodyText"/>
              <w:rPr>
                <w:rFonts w:cs="Arial"/>
                <w:b/>
                <w:bCs/>
                <w:sz w:val="20"/>
              </w:rPr>
            </w:pPr>
            <w:r w:rsidRPr="00B53E9B">
              <w:rPr>
                <w:rFonts w:cs="Arial"/>
                <w:b/>
                <w:bCs/>
                <w:sz w:val="20"/>
              </w:rPr>
              <w:t>Contraindications</w:t>
            </w:r>
          </w:p>
        </w:tc>
        <w:tc>
          <w:tcPr>
            <w:tcW w:w="7371" w:type="dxa"/>
          </w:tcPr>
          <w:p w:rsidRPr="0050071D" w:rsidR="00FD2A9D" w:rsidP="00131848" w:rsidRDefault="00FD2A9D" w14:paraId="1A29C303" w14:textId="77777777">
            <w:pPr>
              <w:pStyle w:val="BodyText"/>
              <w:rPr>
                <w:rFonts w:cs="Arial" w:asciiTheme="minorHAnsi" w:hAnsiTheme="minorHAnsi"/>
                <w:sz w:val="20"/>
              </w:rPr>
            </w:pPr>
            <w:r w:rsidRPr="0050071D">
              <w:rPr>
                <w:rFonts w:cs="Arial" w:asciiTheme="minorHAnsi" w:hAnsiTheme="minorHAnsi"/>
                <w:sz w:val="20"/>
              </w:rPr>
              <w:t xml:space="preserve">Known hypersensitivity to </w:t>
            </w:r>
            <w:r>
              <w:rPr>
                <w:rFonts w:cs="Arial" w:asciiTheme="minorHAnsi" w:hAnsiTheme="minorHAnsi"/>
                <w:sz w:val="20"/>
              </w:rPr>
              <w:t>furosemide or sulfonamides or any of the inactive ingredients.</w:t>
            </w:r>
          </w:p>
          <w:p w:rsidR="00FD2A9D" w:rsidP="00131848" w:rsidRDefault="00FD2A9D" w14:paraId="4F2B18B0" w14:textId="77777777">
            <w:pPr>
              <w:pStyle w:val="BodyText"/>
              <w:rPr>
                <w:rFonts w:cs="Arial" w:asciiTheme="minorHAnsi" w:hAnsiTheme="minorHAnsi"/>
                <w:sz w:val="20"/>
              </w:rPr>
            </w:pPr>
            <w:r w:rsidRPr="0050071D">
              <w:rPr>
                <w:rFonts w:cs="Arial" w:asciiTheme="minorHAnsi" w:hAnsiTheme="minorHAnsi"/>
                <w:sz w:val="20"/>
              </w:rPr>
              <w:t>Severe hypokalaemia, hyponatraemia, hypovolaemia, dehydration or hypotension must be regarded as contraindications until serum electrolytes, fluid balance and blood pressure have been restored to normal levels.</w:t>
            </w:r>
          </w:p>
          <w:p w:rsidRPr="00135FC6" w:rsidR="00FD2A9D" w:rsidP="00131848" w:rsidRDefault="00FD2A9D" w14:paraId="435F0688" w14:textId="77777777">
            <w:pPr>
              <w:pStyle w:val="BodyText"/>
              <w:rPr>
                <w:rFonts w:cs="Arial" w:asciiTheme="minorHAnsi" w:hAnsiTheme="minorHAnsi"/>
                <w:sz w:val="20"/>
              </w:rPr>
            </w:pPr>
            <w:r>
              <w:rPr>
                <w:rFonts w:cs="Arial" w:asciiTheme="minorHAnsi" w:hAnsiTheme="minorHAnsi"/>
                <w:sz w:val="20"/>
              </w:rPr>
              <w:t>Severe jaundice at risk of bilirubin encephalopathy.</w:t>
            </w:r>
          </w:p>
        </w:tc>
      </w:tr>
      <w:tr w:rsidRPr="003A7895" w:rsidR="00FD2A9D" w:rsidTr="00F46085" w14:paraId="2CD0A3D9" w14:textId="77777777">
        <w:tc>
          <w:tcPr>
            <w:tcW w:w="1730" w:type="dxa"/>
          </w:tcPr>
          <w:p w:rsidRPr="00B53E9B" w:rsidR="00FD2A9D" w:rsidP="00131848" w:rsidRDefault="00FD2A9D" w14:paraId="6C89E0D5" w14:textId="77777777">
            <w:pPr>
              <w:pStyle w:val="BodyText"/>
              <w:rPr>
                <w:rFonts w:cs="Arial"/>
                <w:b/>
                <w:bCs/>
                <w:sz w:val="20"/>
              </w:rPr>
            </w:pPr>
            <w:r w:rsidRPr="00B53E9B">
              <w:rPr>
                <w:sz w:val="20"/>
              </w:rPr>
              <w:br w:type="page"/>
            </w:r>
            <w:r w:rsidRPr="00B53E9B">
              <w:rPr>
                <w:rFonts w:cs="Arial"/>
                <w:b/>
                <w:bCs/>
                <w:sz w:val="20"/>
              </w:rPr>
              <w:t>Precautions</w:t>
            </w:r>
          </w:p>
        </w:tc>
        <w:tc>
          <w:tcPr>
            <w:tcW w:w="7371" w:type="dxa"/>
          </w:tcPr>
          <w:p w:rsidRPr="0050071D" w:rsidR="00FD2A9D" w:rsidP="00131848" w:rsidRDefault="00FD2A9D" w14:paraId="008334A8" w14:textId="77777777">
            <w:pPr>
              <w:pStyle w:val="BodyText"/>
              <w:rPr>
                <w:rFonts w:cs="Arial" w:asciiTheme="minorHAnsi" w:hAnsiTheme="minorHAnsi"/>
                <w:sz w:val="20"/>
              </w:rPr>
            </w:pPr>
            <w:r>
              <w:rPr>
                <w:rFonts w:cs="Arial" w:asciiTheme="minorHAnsi" w:hAnsiTheme="minorHAnsi"/>
                <w:sz w:val="20"/>
              </w:rPr>
              <w:t>Commercially available o</w:t>
            </w:r>
            <w:r w:rsidRPr="0050071D">
              <w:rPr>
                <w:rFonts w:cs="Arial" w:asciiTheme="minorHAnsi" w:hAnsiTheme="minorHAnsi"/>
                <w:sz w:val="20"/>
              </w:rPr>
              <w:t xml:space="preserve">ral </w:t>
            </w:r>
            <w:r>
              <w:rPr>
                <w:rFonts w:cs="Arial" w:asciiTheme="minorHAnsi" w:hAnsiTheme="minorHAnsi"/>
                <w:sz w:val="20"/>
              </w:rPr>
              <w:t>furosemide</w:t>
            </w:r>
            <w:r w:rsidRPr="0050071D">
              <w:rPr>
                <w:rFonts w:cs="Arial" w:asciiTheme="minorHAnsi" w:hAnsiTheme="minorHAnsi"/>
                <w:sz w:val="20"/>
              </w:rPr>
              <w:t xml:space="preserve"> solution </w:t>
            </w:r>
            <w:r>
              <w:rPr>
                <w:rFonts w:cs="Arial" w:asciiTheme="minorHAnsi" w:hAnsiTheme="minorHAnsi"/>
                <w:sz w:val="20"/>
              </w:rPr>
              <w:t xml:space="preserve">contains ethanol and </w:t>
            </w:r>
            <w:r w:rsidRPr="0050071D">
              <w:rPr>
                <w:rFonts w:cs="Arial" w:asciiTheme="minorHAnsi" w:hAnsiTheme="minorHAnsi"/>
                <w:sz w:val="20"/>
              </w:rPr>
              <w:t xml:space="preserve">2 mg/kg/day </w:t>
            </w:r>
            <w:r>
              <w:rPr>
                <w:rFonts w:cs="Arial" w:asciiTheme="minorHAnsi" w:hAnsiTheme="minorHAnsi"/>
                <w:sz w:val="20"/>
              </w:rPr>
              <w:t xml:space="preserve">of solution </w:t>
            </w:r>
            <w:r w:rsidRPr="0050071D">
              <w:rPr>
                <w:rFonts w:cs="Arial" w:asciiTheme="minorHAnsi" w:hAnsiTheme="minorHAnsi"/>
                <w:sz w:val="20"/>
              </w:rPr>
              <w:t>equates to 1.4 mL/kg/week ethanol intake [equivalent to 1 unit alcohol/week for a man weighing 70 kg].</w:t>
            </w:r>
          </w:p>
          <w:p w:rsidR="00FD2A9D" w:rsidP="00131848" w:rsidRDefault="00FD2A9D" w14:paraId="4487CC73" w14:textId="77777777">
            <w:pPr>
              <w:pStyle w:val="BodyText"/>
              <w:rPr>
                <w:rFonts w:cs="Arial" w:asciiTheme="minorHAnsi" w:hAnsiTheme="minorHAnsi"/>
                <w:sz w:val="20"/>
              </w:rPr>
            </w:pPr>
            <w:r w:rsidRPr="0050071D">
              <w:rPr>
                <w:rFonts w:cs="Arial" w:asciiTheme="minorHAnsi" w:hAnsiTheme="minorHAnsi"/>
                <w:sz w:val="20"/>
              </w:rPr>
              <w:t xml:space="preserve">If increasing azotaemia and oliguria occur during treatment of severe progressive renal disease, discontinue </w:t>
            </w:r>
            <w:r>
              <w:rPr>
                <w:rFonts w:cs="Arial" w:asciiTheme="minorHAnsi" w:hAnsiTheme="minorHAnsi"/>
                <w:sz w:val="20"/>
              </w:rPr>
              <w:t>furosemide</w:t>
            </w:r>
            <w:r w:rsidRPr="0050071D">
              <w:rPr>
                <w:rFonts w:cs="Arial" w:asciiTheme="minorHAnsi" w:hAnsiTheme="minorHAnsi"/>
                <w:sz w:val="20"/>
              </w:rPr>
              <w:t>.</w:t>
            </w:r>
          </w:p>
          <w:p w:rsidR="00FD2A9D" w:rsidP="00131848" w:rsidRDefault="00FD2A9D" w14:paraId="28BB3331" w14:textId="77777777">
            <w:pPr>
              <w:pStyle w:val="BodyText"/>
              <w:rPr>
                <w:rFonts w:cs="Arial" w:asciiTheme="minorHAnsi" w:hAnsiTheme="minorHAnsi"/>
                <w:sz w:val="20"/>
              </w:rPr>
            </w:pPr>
            <w:r w:rsidRPr="0050071D">
              <w:rPr>
                <w:rFonts w:cs="Arial" w:asciiTheme="minorHAnsi" w:hAnsiTheme="minorHAnsi"/>
                <w:sz w:val="20"/>
              </w:rPr>
              <w:t xml:space="preserve">Jaundice – </w:t>
            </w:r>
            <w:r>
              <w:rPr>
                <w:rFonts w:cs="Arial" w:asciiTheme="minorHAnsi" w:hAnsiTheme="minorHAnsi"/>
                <w:sz w:val="20"/>
              </w:rPr>
              <w:t xml:space="preserve">furosemide </w:t>
            </w:r>
            <w:r w:rsidRPr="0050071D">
              <w:rPr>
                <w:rFonts w:cs="Arial" w:asciiTheme="minorHAnsi" w:hAnsiTheme="minorHAnsi"/>
                <w:sz w:val="20"/>
              </w:rPr>
              <w:t>may displace bilirubin from albumin.</w:t>
            </w:r>
            <w:r>
              <w:rPr>
                <w:rFonts w:cs="Arial" w:asciiTheme="minorHAnsi" w:hAnsiTheme="minorHAnsi"/>
                <w:sz w:val="20"/>
              </w:rPr>
              <w:t xml:space="preserve"> However, bilirubin displacement is negligible with standard doses.</w:t>
            </w:r>
          </w:p>
          <w:p w:rsidRPr="002B370F" w:rsidR="00FD2A9D" w:rsidP="00131848" w:rsidRDefault="00FD2A9D" w14:paraId="30A7B4D2" w14:textId="77777777">
            <w:pPr>
              <w:rPr>
                <w:rFonts w:asciiTheme="minorHAnsi" w:hAnsiTheme="minorHAnsi" w:cstheme="minorHAnsi"/>
                <w:sz w:val="20"/>
                <w:lang w:eastAsia="en-AU"/>
              </w:rPr>
            </w:pPr>
            <w:r w:rsidRPr="00C6209E">
              <w:rPr>
                <w:rFonts w:asciiTheme="minorHAnsi" w:hAnsiTheme="minorHAnsi" w:cstheme="minorHAnsi"/>
                <w:sz w:val="20"/>
                <w:lang w:eastAsia="en-AU"/>
              </w:rPr>
              <w:t>Renal calcifications have occurred in some severely premature infants treated with intravenous Lasix for oedema due to patent ductus arteriosus and hyaline membrane disease. The concurrent use of chlorothiazides has been reported to decrease hypercalciuria and to dissolve some calculi.</w:t>
            </w:r>
          </w:p>
        </w:tc>
      </w:tr>
      <w:tr w:rsidRPr="003A7895" w:rsidR="00FD2A9D" w:rsidTr="00F46085" w14:paraId="3DD27BE0" w14:textId="77777777">
        <w:trPr>
          <w:trHeight w:val="70"/>
        </w:trPr>
        <w:tc>
          <w:tcPr>
            <w:tcW w:w="1730" w:type="dxa"/>
          </w:tcPr>
          <w:p w:rsidRPr="00B53E9B" w:rsidR="00FD2A9D" w:rsidP="00131848" w:rsidRDefault="00FD2A9D" w14:paraId="5B2A8137"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371" w:type="dxa"/>
          </w:tcPr>
          <w:p w:rsidRPr="0050071D" w:rsidR="00FD2A9D" w:rsidP="00131848" w:rsidRDefault="00FD2A9D" w14:paraId="08ABFC77" w14:textId="77777777">
            <w:pPr>
              <w:pStyle w:val="BodyText"/>
              <w:rPr>
                <w:rFonts w:cs="Arial" w:asciiTheme="minorHAnsi" w:hAnsiTheme="minorHAnsi"/>
                <w:sz w:val="20"/>
              </w:rPr>
            </w:pPr>
            <w:r>
              <w:rPr>
                <w:rFonts w:cs="Arial" w:asciiTheme="minorHAnsi" w:hAnsiTheme="minorHAnsi"/>
                <w:sz w:val="20"/>
              </w:rPr>
              <w:t>Furosemide</w:t>
            </w:r>
            <w:r w:rsidRPr="0050071D">
              <w:rPr>
                <w:rFonts w:cs="Arial" w:asciiTheme="minorHAnsi" w:hAnsiTheme="minorHAnsi"/>
                <w:sz w:val="20"/>
              </w:rPr>
              <w:t xml:space="preserve"> can cause the depletion of potassium and magnesium, which can predispose patients to serious cardiac arrhythmias, particularly in the presence of digitalis therapy. </w:t>
            </w:r>
          </w:p>
          <w:p w:rsidRPr="0050071D" w:rsidR="00FD2A9D" w:rsidP="00131848" w:rsidRDefault="00FD2A9D" w14:paraId="490120C5" w14:textId="77777777">
            <w:pPr>
              <w:pStyle w:val="BodyText"/>
              <w:rPr>
                <w:rFonts w:cs="Arial" w:asciiTheme="minorHAnsi" w:hAnsiTheme="minorHAnsi"/>
                <w:sz w:val="20"/>
              </w:rPr>
            </w:pPr>
            <w:r w:rsidRPr="0050071D">
              <w:rPr>
                <w:rFonts w:cs="Arial" w:asciiTheme="minorHAnsi" w:hAnsiTheme="minorHAnsi"/>
                <w:sz w:val="20"/>
              </w:rPr>
              <w:t xml:space="preserve">The risk of electrolyte depletion is markedly enhanced when 2 diuretics are used in combination. </w:t>
            </w:r>
          </w:p>
          <w:p w:rsidR="00FD2A9D" w:rsidP="00131848" w:rsidRDefault="00FD2A9D" w14:paraId="4B53009B" w14:textId="77777777">
            <w:pPr>
              <w:pStyle w:val="BodyText"/>
              <w:rPr>
                <w:rFonts w:cs="Arial" w:asciiTheme="minorHAnsi" w:hAnsiTheme="minorHAnsi"/>
                <w:sz w:val="20"/>
              </w:rPr>
            </w:pPr>
            <w:r w:rsidRPr="0050071D">
              <w:rPr>
                <w:rFonts w:cs="Arial" w:asciiTheme="minorHAnsi" w:hAnsiTheme="minorHAnsi"/>
                <w:sz w:val="20"/>
              </w:rPr>
              <w:t>May prolong action of muscle relaxants.</w:t>
            </w:r>
          </w:p>
          <w:p w:rsidR="00FD2A9D" w:rsidP="00131848" w:rsidRDefault="00FD2A9D" w14:paraId="4A4B0862" w14:textId="77777777">
            <w:pPr>
              <w:rPr>
                <w:rFonts w:cs="Arial" w:asciiTheme="minorHAnsi" w:hAnsiTheme="minorHAnsi"/>
                <w:sz w:val="20"/>
              </w:rPr>
            </w:pPr>
            <w:r>
              <w:rPr>
                <w:rFonts w:cs="Arial" w:asciiTheme="minorHAnsi" w:hAnsiTheme="minorHAnsi"/>
                <w:sz w:val="20"/>
              </w:rPr>
              <w:t>Avoid concomitant usage of aminoglycosides to avoid ototoxicity.</w:t>
            </w:r>
          </w:p>
          <w:p w:rsidRPr="002B370F" w:rsidR="00FD2A9D" w:rsidP="00131848" w:rsidRDefault="00FD2A9D" w14:paraId="3B8D7BC8" w14:textId="77777777">
            <w:pPr>
              <w:rPr>
                <w:rFonts w:asciiTheme="minorHAnsi" w:hAnsiTheme="minorHAnsi" w:cstheme="minorHAnsi"/>
                <w:sz w:val="20"/>
                <w:lang w:eastAsia="en-AU"/>
              </w:rPr>
            </w:pPr>
            <w:r w:rsidRPr="00C6209E">
              <w:rPr>
                <w:rFonts w:asciiTheme="minorHAnsi" w:hAnsiTheme="minorHAnsi" w:cstheme="minorHAnsi"/>
                <w:sz w:val="20"/>
                <w:lang w:eastAsia="en-AU"/>
              </w:rPr>
              <w:t>Anticonvulsants may decrease the response to furosemide (frusemide). Use of furosemide (frusemide) concomitantly with chloral hydrate is not recommended.</w:t>
            </w:r>
          </w:p>
        </w:tc>
      </w:tr>
      <w:tr w:rsidRPr="003A7895" w:rsidR="00FD2A9D" w:rsidTr="00F46085" w14:paraId="318B07B5" w14:textId="77777777">
        <w:trPr>
          <w:trHeight w:val="332"/>
        </w:trPr>
        <w:tc>
          <w:tcPr>
            <w:tcW w:w="1730" w:type="dxa"/>
          </w:tcPr>
          <w:p w:rsidRPr="00B53E9B" w:rsidR="00FD2A9D" w:rsidP="00131848" w:rsidRDefault="00FD2A9D" w14:paraId="4EE72082"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371" w:type="dxa"/>
          </w:tcPr>
          <w:p w:rsidRPr="0050071D" w:rsidR="00FD2A9D" w:rsidP="00131848" w:rsidRDefault="00FD2A9D" w14:paraId="13D6F6CB" w14:textId="77777777">
            <w:pPr>
              <w:pStyle w:val="BodyText"/>
              <w:rPr>
                <w:rFonts w:cs="Arial" w:asciiTheme="minorHAnsi" w:hAnsiTheme="minorHAnsi"/>
                <w:sz w:val="20"/>
              </w:rPr>
            </w:pPr>
            <w:r>
              <w:rPr>
                <w:rFonts w:cs="Arial" w:asciiTheme="minorHAnsi" w:hAnsiTheme="minorHAnsi"/>
                <w:sz w:val="20"/>
              </w:rPr>
              <w:t>Furosemide</w:t>
            </w:r>
            <w:r w:rsidRPr="0050071D">
              <w:rPr>
                <w:rFonts w:cs="Arial" w:asciiTheme="minorHAnsi" w:hAnsiTheme="minorHAnsi"/>
                <w:sz w:val="20"/>
              </w:rPr>
              <w:t xml:space="preserve"> is associated with </w:t>
            </w:r>
            <w:r w:rsidRPr="0050071D">
              <w:rPr>
                <w:rFonts w:cs="Segoe UI" w:asciiTheme="minorHAnsi" w:hAnsiTheme="minorHAnsi" w:eastAsiaTheme="minorHAnsi"/>
                <w:sz w:val="20"/>
              </w:rPr>
              <w:t>renal losses of calcium, sodium, chloride and potassium.</w:t>
            </w:r>
          </w:p>
          <w:p w:rsidRPr="00135FC6" w:rsidR="00FD2A9D" w:rsidP="00131848" w:rsidRDefault="00FD2A9D" w14:paraId="38C67BE0" w14:textId="77777777">
            <w:pPr>
              <w:pStyle w:val="BodyText"/>
              <w:rPr>
                <w:rFonts w:cs="Arial" w:asciiTheme="minorHAnsi" w:hAnsiTheme="minorHAnsi"/>
                <w:sz w:val="20"/>
              </w:rPr>
            </w:pPr>
            <w:r w:rsidRPr="0050071D">
              <w:rPr>
                <w:rFonts w:cs="Arial" w:asciiTheme="minorHAnsi" w:hAnsiTheme="minorHAnsi"/>
                <w:sz w:val="20"/>
              </w:rPr>
              <w:t xml:space="preserve">Prolonged and higher doses of </w:t>
            </w:r>
            <w:r>
              <w:rPr>
                <w:rFonts w:cs="Arial" w:asciiTheme="minorHAnsi" w:hAnsiTheme="minorHAnsi"/>
                <w:sz w:val="20"/>
              </w:rPr>
              <w:t>furosemide</w:t>
            </w:r>
            <w:r w:rsidRPr="0050071D">
              <w:rPr>
                <w:rFonts w:cs="Arial" w:asciiTheme="minorHAnsi" w:hAnsiTheme="minorHAnsi"/>
                <w:sz w:val="20"/>
              </w:rPr>
              <w:t xml:space="preserve"> are associated with ototoxicity and nephrocalcinosis.</w:t>
            </w:r>
          </w:p>
        </w:tc>
      </w:tr>
      <w:tr w:rsidRPr="003A7895" w:rsidR="00FD2A9D" w:rsidTr="00F46085" w14:paraId="501B1008" w14:textId="77777777">
        <w:trPr>
          <w:trHeight w:val="180"/>
        </w:trPr>
        <w:tc>
          <w:tcPr>
            <w:tcW w:w="1730" w:type="dxa"/>
          </w:tcPr>
          <w:p w:rsidRPr="00B53E9B" w:rsidR="00FD2A9D" w:rsidP="00131848" w:rsidRDefault="00FD2A9D" w14:paraId="3DB38199" w14:textId="77777777">
            <w:pPr>
              <w:pStyle w:val="BodyText"/>
              <w:rPr>
                <w:rFonts w:cs="Arial"/>
                <w:b/>
                <w:bCs/>
                <w:sz w:val="20"/>
              </w:rPr>
            </w:pPr>
            <w:r w:rsidRPr="00B53E9B">
              <w:rPr>
                <w:rFonts w:cs="Arial"/>
                <w:b/>
                <w:bCs/>
                <w:sz w:val="20"/>
              </w:rPr>
              <w:t>Compatibility</w:t>
            </w:r>
          </w:p>
        </w:tc>
        <w:tc>
          <w:tcPr>
            <w:tcW w:w="7371" w:type="dxa"/>
          </w:tcPr>
          <w:p w:rsidR="00FD2A9D" w:rsidP="00131848" w:rsidRDefault="00FD2A9D" w14:paraId="2A7F9211" w14:textId="77777777">
            <w:pPr>
              <w:pStyle w:val="BodyText"/>
              <w:rPr>
                <w:rFonts w:asciiTheme="minorHAnsi" w:hAnsiTheme="minorHAnsi"/>
                <w:sz w:val="20"/>
              </w:rPr>
            </w:pPr>
            <w:r>
              <w:rPr>
                <w:rFonts w:asciiTheme="minorHAnsi" w:hAnsiTheme="minorHAnsi"/>
                <w:sz w:val="20"/>
              </w:rPr>
              <w:t xml:space="preserve">Fluids: Glucose 5%, glucose 10%, glucose 20%, sodium chloride 0.9%. </w:t>
            </w:r>
          </w:p>
          <w:p w:rsidR="00FD2A9D" w:rsidP="00131848" w:rsidRDefault="00FD2A9D" w14:paraId="7B135496" w14:textId="77777777">
            <w:pPr>
              <w:pStyle w:val="BodyText"/>
              <w:rPr>
                <w:rFonts w:cs="Helvetica" w:asciiTheme="minorHAnsi" w:hAnsiTheme="minorHAnsi"/>
                <w:color w:val="333333"/>
                <w:sz w:val="20"/>
              </w:rPr>
            </w:pPr>
            <w:r>
              <w:rPr>
                <w:rFonts w:asciiTheme="minorHAnsi" w:hAnsiTheme="minorHAnsi"/>
                <w:sz w:val="20"/>
              </w:rPr>
              <w:t>Y-site</w:t>
            </w:r>
            <w:r w:rsidRPr="002B370F">
              <w:rPr>
                <w:rFonts w:asciiTheme="minorHAnsi" w:hAnsiTheme="minorHAnsi"/>
                <w:sz w:val="20"/>
                <w:vertAlign w:val="superscript"/>
              </w:rPr>
              <w:t>24,25</w:t>
            </w:r>
            <w:r>
              <w:rPr>
                <w:rFonts w:asciiTheme="minorHAnsi" w:hAnsiTheme="minorHAnsi"/>
                <w:sz w:val="20"/>
              </w:rPr>
              <w:t xml:space="preserve">: Aciclovir, alprostadil, amikacin, amphotericin B lipid complex, amphoteiricn B liposome, atenolol, atropine, aztreonam, benzylpenicillin, calcium chloride, calcium gluconate,  cefazolin, cefepime, cefotaxime, ceftazidime, ceftriaxone, chloramphenicol sodium succinate, chlorothiazide, clindamycin, cloxacillin,  dexamethasone, dexmedetomidine, digoxin, enalaprilat, epinephrine, epoetin alfa, fentanyl,  folic acid, fosphenytoin, ganciclovir, heparin, hydrocortisone sodium succinate, ibuprofen lysine, imipenem-cilastatin, indomethacin, lidocaine, linezolid, meropenem, methylprednisolone sodium succinate, metoprolol, metronidazole, naloxone, nitroprusside sodium,  octreotide, pamidronate, pentobarbital, phenobarbital, piperacillin-tazobactam, potassium acetate, potassium chloride, propofol, propranolol, </w:t>
            </w:r>
            <w:r>
              <w:rPr>
                <w:rFonts w:asciiTheme="minorHAnsi" w:hAnsiTheme="minorHAnsi"/>
                <w:sz w:val="20"/>
              </w:rPr>
              <w:lastRenderedPageBreak/>
              <w:t>ranitidine, sodium acetate, sodium bicarbonate, succinylcholine, ticarcillin-clavulanate, tobramycin, urokinase, voriconazole</w:t>
            </w:r>
            <w:r>
              <w:rPr>
                <w:rFonts w:cs="Helvetica" w:asciiTheme="minorHAnsi" w:hAnsiTheme="minorHAnsi"/>
                <w:color w:val="333333"/>
                <w:sz w:val="20"/>
              </w:rPr>
              <w:t>.</w:t>
            </w:r>
          </w:p>
          <w:p w:rsidRPr="00135FC6" w:rsidR="00FD2A9D" w:rsidP="00131848" w:rsidRDefault="00FD2A9D" w14:paraId="2FA10A76" w14:textId="77777777">
            <w:pPr>
              <w:pStyle w:val="BodyText"/>
              <w:rPr>
                <w:rFonts w:cs="Arial" w:asciiTheme="minorHAnsi" w:hAnsiTheme="minorHAnsi"/>
                <w:sz w:val="20"/>
              </w:rPr>
            </w:pPr>
            <w:r>
              <w:rPr>
                <w:rFonts w:cs="Helvetica" w:asciiTheme="minorHAnsi" w:hAnsiTheme="minorHAnsi"/>
                <w:b/>
                <w:color w:val="333333"/>
                <w:sz w:val="20"/>
              </w:rPr>
              <w:t>Variable compatibility:</w:t>
            </w:r>
            <w:r>
              <w:rPr>
                <w:rFonts w:cs="Helvetica" w:asciiTheme="minorHAnsi" w:hAnsiTheme="minorHAnsi"/>
                <w:color w:val="333333"/>
                <w:sz w:val="20"/>
              </w:rPr>
              <w:t xml:space="preserve"> Amiodarone, Amphotericin B conventional colloidal, ampicillin, azithromycin, dobutamine, dopamine, erythromycin lactobionate, fluconazole, gentamicin, hydralazine, insulin, labetolol, magnesium sulfate, midazolam, morphine, nitroglycerin, norepinephrine, pantoprazole, phenylephrine, remifentanil, thiopental, vasopressin.</w:t>
            </w:r>
          </w:p>
        </w:tc>
      </w:tr>
      <w:tr w:rsidRPr="003A7895" w:rsidR="00FD2A9D" w:rsidTr="00F46085" w14:paraId="545B0CEF" w14:textId="77777777">
        <w:trPr>
          <w:trHeight w:val="230"/>
        </w:trPr>
        <w:tc>
          <w:tcPr>
            <w:tcW w:w="1730" w:type="dxa"/>
          </w:tcPr>
          <w:p w:rsidRPr="00B53E9B" w:rsidR="00FD2A9D" w:rsidP="00131848" w:rsidRDefault="00FD2A9D" w14:paraId="3942E177" w14:textId="77777777">
            <w:pPr>
              <w:pStyle w:val="BodyText"/>
              <w:rPr>
                <w:rFonts w:cs="Arial"/>
                <w:b/>
                <w:bCs/>
                <w:sz w:val="20"/>
              </w:rPr>
            </w:pPr>
            <w:r w:rsidRPr="00B53E9B">
              <w:rPr>
                <w:rFonts w:cs="Arial"/>
                <w:b/>
                <w:bCs/>
                <w:sz w:val="20"/>
              </w:rPr>
              <w:lastRenderedPageBreak/>
              <w:t>Incompatibility</w:t>
            </w:r>
          </w:p>
        </w:tc>
        <w:tc>
          <w:tcPr>
            <w:tcW w:w="7371" w:type="dxa"/>
          </w:tcPr>
          <w:p w:rsidR="00FD2A9D" w:rsidP="00131848" w:rsidRDefault="00FD2A9D" w14:paraId="55D074E9" w14:textId="77777777">
            <w:pPr>
              <w:pStyle w:val="BodyText"/>
              <w:rPr>
                <w:rFonts w:asciiTheme="minorHAnsi" w:hAnsiTheme="minorHAnsi"/>
                <w:sz w:val="20"/>
              </w:rPr>
            </w:pPr>
            <w:r>
              <w:rPr>
                <w:rFonts w:asciiTheme="minorHAnsi" w:hAnsiTheme="minorHAnsi"/>
                <w:sz w:val="20"/>
              </w:rPr>
              <w:t xml:space="preserve">Fluids: No information. Variable compatibility with parenteral nutrition solutions. </w:t>
            </w:r>
          </w:p>
          <w:p w:rsidR="00FD2A9D" w:rsidP="00131848" w:rsidRDefault="00FD2A9D" w14:paraId="3921F0F4" w14:textId="77777777">
            <w:pPr>
              <w:pStyle w:val="BodyText"/>
              <w:rPr>
                <w:rFonts w:asciiTheme="minorHAnsi" w:hAnsiTheme="minorHAnsi"/>
                <w:sz w:val="20"/>
              </w:rPr>
            </w:pPr>
            <w:r>
              <w:rPr>
                <w:rFonts w:asciiTheme="minorHAnsi" w:hAnsiTheme="minorHAnsi"/>
                <w:sz w:val="20"/>
              </w:rPr>
              <w:t>Do not mix furosemide with solutions that have a pH of less than 5.5.</w:t>
            </w:r>
          </w:p>
          <w:p w:rsidR="00FD2A9D" w:rsidP="00131848" w:rsidRDefault="00FD2A9D" w14:paraId="6625801A" w14:textId="77777777">
            <w:pPr>
              <w:pStyle w:val="BodyText"/>
              <w:rPr>
                <w:rFonts w:asciiTheme="minorHAnsi" w:hAnsiTheme="minorHAnsi"/>
                <w:sz w:val="20"/>
              </w:rPr>
            </w:pPr>
          </w:p>
          <w:p w:rsidRPr="00135FC6" w:rsidR="00FD2A9D" w:rsidP="00131848" w:rsidRDefault="00FD2A9D" w14:paraId="47B05FE1" w14:textId="77777777">
            <w:pPr>
              <w:pStyle w:val="BodyText"/>
              <w:rPr>
                <w:rFonts w:cs="Arial" w:asciiTheme="minorHAnsi" w:hAnsiTheme="minorHAnsi"/>
                <w:sz w:val="20"/>
              </w:rPr>
            </w:pPr>
            <w:r>
              <w:rPr>
                <w:rFonts w:asciiTheme="minorHAnsi" w:hAnsiTheme="minorHAnsi"/>
                <w:sz w:val="20"/>
              </w:rPr>
              <w:t>Y-site</w:t>
            </w:r>
            <w:r w:rsidRPr="002B370F">
              <w:rPr>
                <w:rFonts w:asciiTheme="minorHAnsi" w:hAnsiTheme="minorHAnsi"/>
                <w:sz w:val="20"/>
                <w:vertAlign w:val="superscript"/>
              </w:rPr>
              <w:t>24,25</w:t>
            </w:r>
            <w:r>
              <w:rPr>
                <w:rFonts w:asciiTheme="minorHAnsi" w:hAnsiTheme="minorHAnsi"/>
                <w:sz w:val="20"/>
              </w:rPr>
              <w:t xml:space="preserve">: Atracurium, caffeine citrate, diazepam, diazoxide,  filgrastim, glycopyrronium, hyaluronidase, ketamine, milrinone, pancuronium, phenytoin, protamine, pyridoxine, rocuronium, sulfamethoxazole-trimethoprim, thiamine, vancomycin, vecuronium, verapamil. </w:t>
            </w:r>
          </w:p>
        </w:tc>
      </w:tr>
      <w:tr w:rsidRPr="003A7895" w:rsidR="00FD2A9D" w:rsidTr="00F46085" w14:paraId="7683A363" w14:textId="77777777">
        <w:trPr>
          <w:trHeight w:val="79"/>
        </w:trPr>
        <w:tc>
          <w:tcPr>
            <w:tcW w:w="1730" w:type="dxa"/>
          </w:tcPr>
          <w:p w:rsidRPr="00B53E9B" w:rsidR="00FD2A9D" w:rsidP="00131848" w:rsidRDefault="00FD2A9D" w14:paraId="440C10A1" w14:textId="77777777">
            <w:pPr>
              <w:pStyle w:val="BodyText"/>
              <w:rPr>
                <w:rFonts w:cs="Arial"/>
                <w:b/>
                <w:bCs/>
                <w:sz w:val="20"/>
              </w:rPr>
            </w:pPr>
            <w:r w:rsidRPr="00B53E9B">
              <w:rPr>
                <w:rFonts w:cs="Arial"/>
                <w:b/>
                <w:bCs/>
                <w:sz w:val="20"/>
              </w:rPr>
              <w:t>Stability</w:t>
            </w:r>
          </w:p>
        </w:tc>
        <w:tc>
          <w:tcPr>
            <w:tcW w:w="7371" w:type="dxa"/>
          </w:tcPr>
          <w:p w:rsidR="00FD2A9D" w:rsidP="00131848" w:rsidRDefault="00FD2A9D" w14:paraId="1DE6C83B" w14:textId="77777777">
            <w:pPr>
              <w:rPr>
                <w:rFonts w:cs="Arial" w:asciiTheme="minorHAnsi" w:hAnsiTheme="minorHAnsi"/>
                <w:sz w:val="20"/>
              </w:rPr>
            </w:pPr>
            <w:r w:rsidRPr="0050071D">
              <w:rPr>
                <w:rFonts w:cs="Arial" w:asciiTheme="minorHAnsi" w:hAnsiTheme="minorHAnsi"/>
                <w:sz w:val="20"/>
              </w:rPr>
              <w:t>Do not use if solution is discoloured.</w:t>
            </w:r>
          </w:p>
          <w:p w:rsidR="00FD2A9D" w:rsidP="00131848" w:rsidRDefault="00FD2A9D" w14:paraId="399C4DCF" w14:textId="77777777">
            <w:pPr>
              <w:rPr>
                <w:rFonts w:cs="Arial" w:asciiTheme="minorHAnsi" w:hAnsiTheme="minorHAnsi"/>
                <w:sz w:val="20"/>
              </w:rPr>
            </w:pPr>
            <w:r>
              <w:rPr>
                <w:rFonts w:cs="Arial" w:asciiTheme="minorHAnsi" w:hAnsiTheme="minorHAnsi"/>
                <w:sz w:val="20"/>
              </w:rPr>
              <w:t>Diluted IV solution: Stable for 24 hours at 2</w:t>
            </w:r>
            <w:r>
              <w:rPr>
                <w:rFonts w:cs="Arial"/>
                <w:sz w:val="20"/>
              </w:rPr>
              <w:t>−</w:t>
            </w:r>
            <w:r>
              <w:rPr>
                <w:rFonts w:cs="Arial" w:asciiTheme="minorHAnsi" w:hAnsiTheme="minorHAnsi"/>
                <w:sz w:val="20"/>
              </w:rPr>
              <w:t>25</w:t>
            </w:r>
            <w:r>
              <w:rPr>
                <w:rFonts w:cs="Arial"/>
                <w:sz w:val="20"/>
              </w:rPr>
              <w:t>°</w:t>
            </w:r>
            <w:r>
              <w:rPr>
                <w:rFonts w:cs="Arial" w:asciiTheme="minorHAnsi" w:hAnsiTheme="minorHAnsi"/>
                <w:sz w:val="20"/>
              </w:rPr>
              <w:t>C (preferred storage is 2-8</w:t>
            </w:r>
            <w:r w:rsidRPr="005140EA">
              <w:rPr>
                <w:rFonts w:cs="Arial" w:asciiTheme="minorHAnsi" w:hAnsiTheme="minorHAnsi"/>
                <w:sz w:val="20"/>
              </w:rPr>
              <w:t>°C</w:t>
            </w:r>
            <w:r>
              <w:rPr>
                <w:rFonts w:cs="Arial" w:asciiTheme="minorHAnsi" w:hAnsiTheme="minorHAnsi"/>
                <w:sz w:val="20"/>
              </w:rPr>
              <w:t xml:space="preserve">). </w:t>
            </w:r>
          </w:p>
          <w:p w:rsidR="00FD2A9D" w:rsidP="00131848" w:rsidRDefault="00FD2A9D" w14:paraId="3C61D7E4" w14:textId="77777777">
            <w:pPr>
              <w:rPr>
                <w:rFonts w:cs="Arial" w:asciiTheme="minorHAnsi" w:hAnsiTheme="minorHAnsi"/>
                <w:sz w:val="20"/>
              </w:rPr>
            </w:pPr>
            <w:r>
              <w:rPr>
                <w:rFonts w:cs="Arial" w:asciiTheme="minorHAnsi" w:hAnsiTheme="minorHAnsi"/>
                <w:sz w:val="20"/>
              </w:rPr>
              <w:t xml:space="preserve">Oral solution: </w:t>
            </w:r>
          </w:p>
          <w:p w:rsidR="00FD2A9D" w:rsidP="00131848" w:rsidRDefault="00FD2A9D" w14:paraId="10A40991" w14:textId="77777777">
            <w:pPr>
              <w:rPr>
                <w:rFonts w:cs="Arial" w:asciiTheme="minorHAnsi" w:hAnsiTheme="minorHAnsi"/>
                <w:sz w:val="20"/>
              </w:rPr>
            </w:pPr>
            <w:r>
              <w:rPr>
                <w:rFonts w:cs="Arial" w:asciiTheme="minorHAnsi" w:hAnsiTheme="minorHAnsi"/>
                <w:sz w:val="20"/>
              </w:rPr>
              <w:t xml:space="preserve">Commercial preparation “Lasix”- Discard 8 weeks after opening. </w:t>
            </w:r>
          </w:p>
          <w:p w:rsidRPr="00135FC6" w:rsidR="00FD2A9D" w:rsidP="00131848" w:rsidRDefault="00FD2A9D" w14:paraId="000FBAF3" w14:textId="77777777">
            <w:pPr>
              <w:pStyle w:val="BodyText"/>
              <w:rPr>
                <w:rFonts w:cs="Arial" w:asciiTheme="minorHAnsi" w:hAnsiTheme="minorHAnsi"/>
                <w:sz w:val="20"/>
              </w:rPr>
            </w:pPr>
            <w:r>
              <w:rPr>
                <w:rFonts w:cs="Arial" w:asciiTheme="minorHAnsi" w:hAnsiTheme="minorHAnsi"/>
                <w:sz w:val="20"/>
              </w:rPr>
              <w:t>Compounded suspension – check with local Pharmacy.</w:t>
            </w:r>
          </w:p>
        </w:tc>
      </w:tr>
      <w:tr w:rsidRPr="003A7895" w:rsidR="00FD2A9D" w:rsidTr="00F46085" w14:paraId="6179F309" w14:textId="77777777">
        <w:trPr>
          <w:trHeight w:val="70"/>
        </w:trPr>
        <w:tc>
          <w:tcPr>
            <w:tcW w:w="1730" w:type="dxa"/>
          </w:tcPr>
          <w:p w:rsidRPr="00B53E9B" w:rsidR="00FD2A9D" w:rsidP="00131848" w:rsidRDefault="00FD2A9D" w14:paraId="33200620" w14:textId="77777777">
            <w:pPr>
              <w:pStyle w:val="BodyText"/>
              <w:rPr>
                <w:rFonts w:cs="Arial"/>
                <w:b/>
                <w:bCs/>
                <w:sz w:val="20"/>
              </w:rPr>
            </w:pPr>
            <w:r w:rsidRPr="00B53E9B">
              <w:rPr>
                <w:rFonts w:cs="Arial"/>
                <w:b/>
                <w:bCs/>
                <w:sz w:val="20"/>
              </w:rPr>
              <w:t xml:space="preserve">Storage </w:t>
            </w:r>
          </w:p>
        </w:tc>
        <w:tc>
          <w:tcPr>
            <w:tcW w:w="7371" w:type="dxa"/>
          </w:tcPr>
          <w:p w:rsidRPr="0050071D" w:rsidR="00FD2A9D" w:rsidP="00131848" w:rsidRDefault="00FD2A9D" w14:paraId="6E97D629" w14:textId="77777777">
            <w:pPr>
              <w:pStyle w:val="BodyText"/>
              <w:rPr>
                <w:rFonts w:cs="Arial" w:asciiTheme="minorHAnsi" w:hAnsiTheme="minorHAnsi"/>
                <w:sz w:val="20"/>
              </w:rPr>
            </w:pPr>
            <w:r>
              <w:rPr>
                <w:rFonts w:cs="Arial" w:asciiTheme="minorHAnsi" w:hAnsiTheme="minorHAnsi"/>
                <w:sz w:val="20"/>
              </w:rPr>
              <w:t xml:space="preserve">Ampoule: </w:t>
            </w:r>
            <w:r w:rsidRPr="0050071D">
              <w:rPr>
                <w:rFonts w:cs="Arial" w:asciiTheme="minorHAnsi" w:hAnsiTheme="minorHAnsi"/>
                <w:sz w:val="20"/>
              </w:rPr>
              <w:t>Store below 25</w:t>
            </w:r>
            <w:r>
              <w:rPr>
                <w:rFonts w:cs="Arial" w:asciiTheme="minorHAnsi" w:hAnsiTheme="minorHAnsi"/>
                <w:sz w:val="20"/>
              </w:rPr>
              <w:t>°</w:t>
            </w:r>
            <w:r w:rsidRPr="0050071D">
              <w:rPr>
                <w:rFonts w:cs="Arial" w:asciiTheme="minorHAnsi" w:hAnsiTheme="minorHAnsi"/>
                <w:sz w:val="20"/>
              </w:rPr>
              <w:t>C. Protect from light.</w:t>
            </w:r>
          </w:p>
          <w:p w:rsidR="00FD2A9D" w:rsidP="00131848" w:rsidRDefault="00FD2A9D" w14:paraId="51FFC93F" w14:textId="77777777">
            <w:pPr>
              <w:pStyle w:val="BodyText"/>
              <w:rPr>
                <w:rFonts w:cs="Arial" w:asciiTheme="minorHAnsi" w:hAnsiTheme="minorHAnsi"/>
                <w:sz w:val="20"/>
              </w:rPr>
            </w:pPr>
            <w:r w:rsidRPr="0050071D">
              <w:rPr>
                <w:rFonts w:cs="Arial" w:asciiTheme="minorHAnsi" w:hAnsiTheme="minorHAnsi"/>
                <w:sz w:val="20"/>
              </w:rPr>
              <w:t xml:space="preserve">Occasionally crystal deposits may be seen when ampoules are stored at low temperatures. </w:t>
            </w:r>
            <w:r w:rsidRPr="00525494">
              <w:rPr>
                <w:rFonts w:cs="Arial" w:asciiTheme="minorHAnsi" w:hAnsiTheme="minorHAnsi"/>
                <w:sz w:val="20"/>
              </w:rPr>
              <w:t>Dissolve crystals by warming to 40</w:t>
            </w:r>
            <w:r>
              <w:rPr>
                <w:rFonts w:cs="Arial" w:asciiTheme="minorHAnsi" w:hAnsiTheme="minorHAnsi"/>
                <w:sz w:val="20"/>
              </w:rPr>
              <w:t>°</w:t>
            </w:r>
            <w:r w:rsidRPr="00525494">
              <w:rPr>
                <w:rFonts w:cs="Arial" w:asciiTheme="minorHAnsi" w:hAnsiTheme="minorHAnsi"/>
                <w:sz w:val="20"/>
              </w:rPr>
              <w:t>C and injection may be used.</w:t>
            </w:r>
            <w:r w:rsidRPr="0050071D">
              <w:rPr>
                <w:rFonts w:cs="Arial" w:asciiTheme="minorHAnsi" w:hAnsiTheme="minorHAnsi"/>
                <w:sz w:val="20"/>
              </w:rPr>
              <w:t xml:space="preserve"> </w:t>
            </w:r>
            <w:r>
              <w:rPr>
                <w:rFonts w:cs="Arial" w:asciiTheme="minorHAnsi" w:hAnsiTheme="minorHAnsi"/>
                <w:sz w:val="20"/>
              </w:rPr>
              <w:t xml:space="preserve"> Discard solutions that are yellow. </w:t>
            </w:r>
          </w:p>
          <w:p w:rsidR="00FD2A9D" w:rsidP="00131848" w:rsidRDefault="00FD2A9D" w14:paraId="5CD85485" w14:textId="77777777">
            <w:pPr>
              <w:pStyle w:val="BodyText"/>
              <w:rPr>
                <w:rFonts w:cs="Arial" w:asciiTheme="minorHAnsi" w:hAnsiTheme="minorHAnsi"/>
                <w:sz w:val="20"/>
              </w:rPr>
            </w:pPr>
          </w:p>
          <w:p w:rsidR="00FD2A9D" w:rsidP="00131848" w:rsidRDefault="00FD2A9D" w14:paraId="722F5BF6" w14:textId="77777777">
            <w:pPr>
              <w:pStyle w:val="BodyText"/>
              <w:rPr>
                <w:rFonts w:cs="Arial" w:asciiTheme="minorHAnsi" w:hAnsiTheme="minorHAnsi"/>
                <w:sz w:val="20"/>
              </w:rPr>
            </w:pPr>
            <w:r>
              <w:rPr>
                <w:rFonts w:cs="Arial" w:asciiTheme="minorHAnsi" w:hAnsiTheme="minorHAnsi"/>
                <w:sz w:val="20"/>
              </w:rPr>
              <w:t xml:space="preserve">Oral solution: </w:t>
            </w:r>
          </w:p>
          <w:p w:rsidR="00FD2A9D" w:rsidP="00131848" w:rsidRDefault="00FD2A9D" w14:paraId="1DE7F0EB" w14:textId="77777777">
            <w:pPr>
              <w:pStyle w:val="BodyText"/>
              <w:rPr>
                <w:rFonts w:cs="Arial" w:asciiTheme="minorHAnsi" w:hAnsiTheme="minorHAnsi"/>
                <w:sz w:val="20"/>
              </w:rPr>
            </w:pPr>
            <w:r>
              <w:rPr>
                <w:rFonts w:cs="Arial" w:asciiTheme="minorHAnsi" w:hAnsiTheme="minorHAnsi"/>
                <w:sz w:val="20"/>
              </w:rPr>
              <w:t>Commercial preparation – refer to product label for instructions regarding storage conditions.</w:t>
            </w:r>
          </w:p>
          <w:p w:rsidRPr="00135FC6" w:rsidR="00FD2A9D" w:rsidP="00131848" w:rsidRDefault="00FD2A9D" w14:paraId="66122748" w14:textId="77777777">
            <w:pPr>
              <w:pStyle w:val="BodyText"/>
              <w:rPr>
                <w:rFonts w:cs="Arial" w:asciiTheme="minorHAnsi" w:hAnsiTheme="minorHAnsi"/>
                <w:sz w:val="20"/>
              </w:rPr>
            </w:pPr>
            <w:r>
              <w:rPr>
                <w:rFonts w:cs="Arial" w:asciiTheme="minorHAnsi" w:hAnsiTheme="minorHAnsi"/>
                <w:sz w:val="20"/>
              </w:rPr>
              <w:t>Compounded suspension – check with local Pharmacy..</w:t>
            </w:r>
          </w:p>
        </w:tc>
      </w:tr>
      <w:tr w:rsidRPr="003A7895" w:rsidR="00FD2A9D" w:rsidTr="00F46085" w14:paraId="4EC5A135" w14:textId="77777777">
        <w:trPr>
          <w:trHeight w:val="70"/>
        </w:trPr>
        <w:tc>
          <w:tcPr>
            <w:tcW w:w="1730" w:type="dxa"/>
          </w:tcPr>
          <w:p w:rsidRPr="00B53E9B" w:rsidR="00FD2A9D" w:rsidP="00131848" w:rsidRDefault="00FD2A9D" w14:paraId="1E6D801B" w14:textId="77777777">
            <w:pPr>
              <w:pStyle w:val="BodyText"/>
              <w:rPr>
                <w:rFonts w:cs="Arial"/>
                <w:b/>
                <w:bCs/>
                <w:sz w:val="20"/>
              </w:rPr>
            </w:pPr>
            <w:r w:rsidRPr="00B53E9B">
              <w:rPr>
                <w:rFonts w:cs="Arial"/>
                <w:b/>
                <w:bCs/>
                <w:sz w:val="20"/>
              </w:rPr>
              <w:t>Excipients</w:t>
            </w:r>
          </w:p>
        </w:tc>
        <w:tc>
          <w:tcPr>
            <w:tcW w:w="7371" w:type="dxa"/>
          </w:tcPr>
          <w:p w:rsidR="00FD2A9D" w:rsidP="00131848" w:rsidRDefault="00FD2A9D" w14:paraId="69D84B7F" w14:textId="77777777">
            <w:pPr>
              <w:pStyle w:val="BodyText"/>
              <w:rPr>
                <w:rFonts w:asciiTheme="minorHAnsi" w:hAnsiTheme="minorHAnsi" w:cstheme="minorHAnsi"/>
                <w:color w:val="333333"/>
                <w:sz w:val="20"/>
              </w:rPr>
            </w:pPr>
            <w:r>
              <w:rPr>
                <w:rFonts w:asciiTheme="minorHAnsi" w:hAnsiTheme="minorHAnsi" w:cstheme="minorHAnsi"/>
                <w:color w:val="333333"/>
                <w:sz w:val="20"/>
              </w:rPr>
              <w:t>Lasix: sodium chloride, sodium hydroxide, water for injections (contains 0.16 mmol/mL of sodium).</w:t>
            </w:r>
          </w:p>
          <w:p w:rsidR="00FD2A9D" w:rsidP="00131848" w:rsidRDefault="00FD2A9D" w14:paraId="29D5301D" w14:textId="77777777">
            <w:pPr>
              <w:pStyle w:val="BodyText"/>
              <w:rPr>
                <w:rFonts w:asciiTheme="minorHAnsi" w:hAnsiTheme="minorHAnsi" w:cstheme="minorHAnsi"/>
                <w:color w:val="333333"/>
                <w:sz w:val="20"/>
              </w:rPr>
            </w:pPr>
            <w:r>
              <w:rPr>
                <w:rFonts w:asciiTheme="minorHAnsi" w:hAnsiTheme="minorHAnsi" w:cstheme="minorHAnsi"/>
                <w:color w:val="333333"/>
                <w:sz w:val="20"/>
              </w:rPr>
              <w:t>Lasix High Dose Concentrate: Mannitol, sodium hydroxide, water for injections (contains 0.03 mmol/mL of sodium).</w:t>
            </w:r>
          </w:p>
          <w:p w:rsidR="00FD2A9D" w:rsidP="00131848" w:rsidRDefault="00FD2A9D" w14:paraId="72A38E5E" w14:textId="77777777">
            <w:pPr>
              <w:pStyle w:val="BodyText"/>
              <w:rPr>
                <w:rFonts w:asciiTheme="minorHAnsi" w:hAnsiTheme="minorHAnsi" w:cstheme="minorHAnsi"/>
                <w:color w:val="333333"/>
                <w:sz w:val="20"/>
              </w:rPr>
            </w:pPr>
            <w:r>
              <w:rPr>
                <w:rFonts w:asciiTheme="minorHAnsi" w:hAnsiTheme="minorHAnsi" w:cstheme="minorHAnsi"/>
                <w:color w:val="333333"/>
                <w:sz w:val="20"/>
              </w:rPr>
              <w:t>Furosemide-Baxter: sodium chloride, sodium hydroxide, hydrochloric acid, water for injections.</w:t>
            </w:r>
          </w:p>
          <w:p w:rsidRPr="00B91DD7" w:rsidR="00FD2A9D" w:rsidP="00131848" w:rsidRDefault="00FD2A9D" w14:paraId="07999115" w14:textId="77777777">
            <w:pPr>
              <w:rPr>
                <w:rFonts w:asciiTheme="minorHAnsi" w:hAnsiTheme="minorHAnsi" w:cstheme="minorHAnsi"/>
                <w:sz w:val="20"/>
                <w:lang w:eastAsia="en-AU"/>
              </w:rPr>
            </w:pPr>
            <w:r>
              <w:rPr>
                <w:rFonts w:cs="Arial" w:asciiTheme="minorHAnsi" w:hAnsiTheme="minorHAnsi"/>
                <w:sz w:val="20"/>
              </w:rPr>
              <w:t xml:space="preserve">Lasix Oral Solution (refrigerated): </w:t>
            </w:r>
            <w:r w:rsidRPr="00B91DD7">
              <w:rPr>
                <w:rFonts w:asciiTheme="minorHAnsi" w:hAnsiTheme="minorHAnsi" w:cstheme="minorHAnsi"/>
                <w:sz w:val="20"/>
                <w:lang w:eastAsia="en-AU"/>
              </w:rPr>
              <w:t>sorbitol, glycerol, sodium hydroxide, methyl hydroxybenzoate, potassium sorbate, polysorbate 80, butylated hydroxytoluene, butylated hydroxyanisole, ethanol, Tetrarome Orange 987431 (PI 11335), quinoline yellow, purified water.</w:t>
            </w:r>
          </w:p>
          <w:p w:rsidRPr="002B370F" w:rsidR="00FD2A9D" w:rsidP="00131848" w:rsidRDefault="00FD2A9D" w14:paraId="295F7985" w14:textId="77777777">
            <w:pPr>
              <w:rPr>
                <w:rFonts w:asciiTheme="minorHAnsi" w:hAnsiTheme="minorHAnsi" w:cstheme="minorHAnsi"/>
                <w:sz w:val="20"/>
                <w:lang w:eastAsia="en-AU"/>
              </w:rPr>
            </w:pPr>
            <w:r w:rsidRPr="00B91DD7">
              <w:rPr>
                <w:rFonts w:asciiTheme="minorHAnsi" w:hAnsiTheme="minorHAnsi" w:cstheme="minorHAnsi"/>
                <w:sz w:val="20"/>
                <w:lang w:eastAsia="en-AU"/>
              </w:rPr>
              <w:t xml:space="preserve">Lasix </w:t>
            </w:r>
            <w:r>
              <w:rPr>
                <w:rFonts w:cstheme="minorHAnsi"/>
                <w:sz w:val="20"/>
                <w:lang w:eastAsia="en-AU"/>
              </w:rPr>
              <w:t>O</w:t>
            </w:r>
            <w:r w:rsidRPr="00B91DD7">
              <w:rPr>
                <w:rFonts w:asciiTheme="minorHAnsi" w:hAnsiTheme="minorHAnsi" w:cstheme="minorHAnsi"/>
                <w:sz w:val="20"/>
                <w:lang w:eastAsia="en-AU"/>
              </w:rPr>
              <w:t xml:space="preserve">ral </w:t>
            </w:r>
            <w:r>
              <w:rPr>
                <w:rFonts w:cstheme="minorHAnsi"/>
                <w:sz w:val="20"/>
                <w:lang w:eastAsia="en-AU"/>
              </w:rPr>
              <w:t>S</w:t>
            </w:r>
            <w:r w:rsidRPr="00B91DD7">
              <w:rPr>
                <w:rFonts w:asciiTheme="minorHAnsi" w:hAnsiTheme="minorHAnsi" w:cstheme="minorHAnsi"/>
                <w:sz w:val="20"/>
                <w:lang w:eastAsia="en-AU"/>
              </w:rPr>
              <w:t>olution (not requiring refrigeration): sorbitol solution (70 per cent) (non-crystallising), glycerol, sodium hydroxide, methyl hydroxybenzoate, propyl hydroxybenzoate, ethanol, quinoline yellow, sunset yellow FCF, Trusil Orange Flavour 10814413 (PI 106046), purified water.</w:t>
            </w:r>
          </w:p>
        </w:tc>
      </w:tr>
      <w:tr w:rsidRPr="003A7895" w:rsidR="00FD2A9D" w:rsidTr="00F46085" w14:paraId="34728408" w14:textId="77777777">
        <w:trPr>
          <w:trHeight w:val="270"/>
        </w:trPr>
        <w:tc>
          <w:tcPr>
            <w:tcW w:w="1730" w:type="dxa"/>
          </w:tcPr>
          <w:p w:rsidRPr="00B53E9B" w:rsidR="00FD2A9D" w:rsidP="00131848" w:rsidRDefault="00FD2A9D" w14:paraId="0EC64972"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371" w:type="dxa"/>
          </w:tcPr>
          <w:p w:rsidRPr="0050071D" w:rsidR="00FD2A9D" w:rsidP="00131848" w:rsidRDefault="00FD2A9D" w14:paraId="67FC5010" w14:textId="77777777">
            <w:pPr>
              <w:pStyle w:val="BodyText"/>
              <w:rPr>
                <w:rFonts w:cs="Arial" w:asciiTheme="minorHAnsi" w:hAnsiTheme="minorHAnsi"/>
                <w:sz w:val="20"/>
              </w:rPr>
            </w:pPr>
            <w:r w:rsidRPr="0050071D">
              <w:rPr>
                <w:rFonts w:cs="Arial" w:asciiTheme="minorHAnsi" w:hAnsiTheme="minorHAnsi"/>
                <w:sz w:val="20"/>
              </w:rPr>
              <w:t>Loop diuretics are preferred for initial treatment of heart failure as they have a greater effect on sodium excretion compared to distal diuretics.</w:t>
            </w:r>
            <w:r w:rsidRPr="00F0005F">
              <w:rPr>
                <w:rFonts w:cs="Arial" w:asciiTheme="minorHAnsi" w:hAnsiTheme="minorHAnsi"/>
                <w:sz w:val="20"/>
                <w:vertAlign w:val="superscript"/>
              </w:rPr>
              <w:t>2</w:t>
            </w:r>
          </w:p>
          <w:p w:rsidRPr="0050071D" w:rsidR="00FD2A9D" w:rsidP="00131848" w:rsidRDefault="00FD2A9D" w14:paraId="559851C0" w14:textId="77777777">
            <w:pPr>
              <w:pStyle w:val="BodyText"/>
              <w:rPr>
                <w:rFonts w:cs="Arial" w:asciiTheme="minorHAnsi" w:hAnsiTheme="minorHAnsi"/>
                <w:sz w:val="20"/>
              </w:rPr>
            </w:pPr>
            <w:r w:rsidRPr="0050071D">
              <w:rPr>
                <w:rFonts w:cs="Arial" w:asciiTheme="minorHAnsi" w:hAnsiTheme="minorHAnsi"/>
                <w:sz w:val="20"/>
              </w:rPr>
              <w:t>Potassium deficits can be corrected by the short-term use of potassium supplements.</w:t>
            </w:r>
          </w:p>
          <w:p w:rsidRPr="0050071D" w:rsidR="00FD2A9D" w:rsidP="00131848" w:rsidRDefault="00FD2A9D" w14:paraId="4F8507B8" w14:textId="77777777">
            <w:pPr>
              <w:pStyle w:val="BodyText"/>
              <w:rPr>
                <w:rFonts w:cs="Arial" w:asciiTheme="minorHAnsi" w:hAnsiTheme="minorHAnsi"/>
                <w:sz w:val="20"/>
              </w:rPr>
            </w:pPr>
            <w:r w:rsidRPr="0050071D">
              <w:rPr>
                <w:rFonts w:cs="Arial" w:asciiTheme="minorHAnsi" w:hAnsiTheme="minorHAnsi"/>
                <w:sz w:val="20"/>
              </w:rPr>
              <w:t xml:space="preserve">Concomitant administration </w:t>
            </w:r>
            <w:r>
              <w:rPr>
                <w:rFonts w:cs="Arial" w:asciiTheme="minorHAnsi" w:hAnsiTheme="minorHAnsi"/>
                <w:sz w:val="20"/>
              </w:rPr>
              <w:t xml:space="preserve">of </w:t>
            </w:r>
            <w:r w:rsidRPr="0050071D">
              <w:rPr>
                <w:rFonts w:cs="Arial" w:asciiTheme="minorHAnsi" w:hAnsiTheme="minorHAnsi"/>
                <w:sz w:val="20"/>
              </w:rPr>
              <w:t xml:space="preserve">a potassium-retaining agent such as spironolactone can prevent </w:t>
            </w:r>
            <w:r>
              <w:rPr>
                <w:rFonts w:cs="Arial" w:asciiTheme="minorHAnsi" w:hAnsiTheme="minorHAnsi"/>
                <w:sz w:val="20"/>
              </w:rPr>
              <w:t>potassium</w:t>
            </w:r>
            <w:r w:rsidRPr="0050071D">
              <w:rPr>
                <w:rFonts w:cs="Arial" w:asciiTheme="minorHAnsi" w:hAnsiTheme="minorHAnsi"/>
                <w:sz w:val="20"/>
              </w:rPr>
              <w:t xml:space="preserve"> depletion in most infants taking a loop diuretic.</w:t>
            </w:r>
          </w:p>
          <w:p w:rsidRPr="0050071D" w:rsidR="00FD2A9D" w:rsidP="00131848" w:rsidRDefault="00FD2A9D" w14:paraId="3D85F6EF" w14:textId="77777777">
            <w:pPr>
              <w:pStyle w:val="BodyText"/>
              <w:rPr>
                <w:rFonts w:cs="Arial" w:asciiTheme="minorHAnsi" w:hAnsiTheme="minorHAnsi"/>
                <w:sz w:val="20"/>
              </w:rPr>
            </w:pPr>
            <w:r w:rsidRPr="002875B1">
              <w:rPr>
                <w:rFonts w:cs="Arial" w:asciiTheme="minorHAnsi" w:hAnsiTheme="minorHAnsi"/>
                <w:sz w:val="20"/>
              </w:rPr>
              <w:t xml:space="preserve">Alternate day dosing may </w:t>
            </w:r>
            <w:r>
              <w:rPr>
                <w:rFonts w:cs="Arial" w:asciiTheme="minorHAnsi" w:hAnsiTheme="minorHAnsi"/>
                <w:sz w:val="20"/>
              </w:rPr>
              <w:t xml:space="preserve">be considered to </w:t>
            </w:r>
            <w:r w:rsidRPr="002875B1">
              <w:rPr>
                <w:rFonts w:cs="Arial" w:asciiTheme="minorHAnsi" w:hAnsiTheme="minorHAnsi"/>
                <w:sz w:val="20"/>
              </w:rPr>
              <w:t>reduce the risk of electrolyte and mineral abnormalities.</w:t>
            </w:r>
          </w:p>
          <w:p w:rsidRPr="0050071D" w:rsidR="00FD2A9D" w:rsidP="00131848" w:rsidRDefault="00FD2A9D" w14:paraId="575F078A" w14:textId="77777777">
            <w:pPr>
              <w:pStyle w:val="BodyText"/>
              <w:rPr>
                <w:rFonts w:cs="Arial" w:asciiTheme="minorHAnsi" w:hAnsiTheme="minorHAnsi"/>
                <w:sz w:val="20"/>
              </w:rPr>
            </w:pPr>
            <w:r w:rsidRPr="0050071D">
              <w:rPr>
                <w:rFonts w:cs="Arial" w:asciiTheme="minorHAnsi" w:hAnsiTheme="minorHAnsi"/>
                <w:sz w:val="20"/>
              </w:rPr>
              <w:t>Plasma t</w:t>
            </w:r>
            <w:r w:rsidRPr="00574D40">
              <w:rPr>
                <w:rFonts w:cs="Arial" w:asciiTheme="minorHAnsi" w:hAnsiTheme="minorHAnsi"/>
                <w:sz w:val="20"/>
                <w:vertAlign w:val="subscript"/>
              </w:rPr>
              <w:t>½</w:t>
            </w:r>
            <w:r w:rsidRPr="0050071D">
              <w:rPr>
                <w:rFonts w:cs="Arial" w:asciiTheme="minorHAnsi" w:hAnsiTheme="minorHAnsi"/>
                <w:sz w:val="20"/>
              </w:rPr>
              <w:t xml:space="preserve"> of furosemide is 7.7–26.8 hours in neonates. It is longer in immature infants</w:t>
            </w:r>
            <w:r>
              <w:rPr>
                <w:rFonts w:cs="Arial" w:asciiTheme="minorHAnsi" w:hAnsiTheme="minorHAnsi"/>
                <w:sz w:val="20"/>
              </w:rPr>
              <w:t xml:space="preserve"> (mean</w:t>
            </w:r>
            <w:r>
              <w:t xml:space="preserve"> </w:t>
            </w:r>
            <w:r w:rsidRPr="008D0017">
              <w:rPr>
                <w:rFonts w:cs="Arial" w:asciiTheme="minorHAnsi" w:hAnsiTheme="minorHAnsi"/>
                <w:sz w:val="20"/>
              </w:rPr>
              <w:t>t</w:t>
            </w:r>
            <w:r w:rsidRPr="00574D40">
              <w:rPr>
                <w:rFonts w:cs="Arial" w:asciiTheme="minorHAnsi" w:hAnsiTheme="minorHAnsi"/>
                <w:sz w:val="20"/>
                <w:vertAlign w:val="subscript"/>
              </w:rPr>
              <w:t>½</w:t>
            </w:r>
            <w:r>
              <w:rPr>
                <w:rFonts w:cs="Arial" w:asciiTheme="minorHAnsi" w:hAnsiTheme="minorHAnsi"/>
                <w:sz w:val="20"/>
              </w:rPr>
              <w:t xml:space="preserve"> &gt; 20 hours).</w:t>
            </w:r>
            <w:r w:rsidRPr="00040B5E">
              <w:rPr>
                <w:rFonts w:cs="Arial" w:asciiTheme="minorHAnsi" w:hAnsiTheme="minorHAnsi"/>
                <w:sz w:val="20"/>
                <w:vertAlign w:val="superscript"/>
              </w:rPr>
              <w:t>22</w:t>
            </w:r>
            <w:r w:rsidRPr="0050071D">
              <w:rPr>
                <w:rFonts w:cs="Arial" w:asciiTheme="minorHAnsi" w:hAnsiTheme="minorHAnsi"/>
                <w:sz w:val="20"/>
              </w:rPr>
              <w:t xml:space="preserve"> The t</w:t>
            </w:r>
            <w:r w:rsidRPr="00574D40">
              <w:rPr>
                <w:rFonts w:cs="Arial" w:asciiTheme="minorHAnsi" w:hAnsiTheme="minorHAnsi"/>
                <w:sz w:val="20"/>
                <w:vertAlign w:val="subscript"/>
              </w:rPr>
              <w:t>½</w:t>
            </w:r>
            <w:r w:rsidRPr="0050071D">
              <w:rPr>
                <w:rFonts w:cs="Arial" w:asciiTheme="minorHAnsi" w:hAnsiTheme="minorHAnsi"/>
                <w:sz w:val="20"/>
              </w:rPr>
              <w:t xml:space="preserve"> is prolonged by renal and hepatic insufficiency. </w:t>
            </w:r>
          </w:p>
          <w:p w:rsidR="00FD2A9D" w:rsidP="00131848" w:rsidRDefault="00FD2A9D" w14:paraId="73B1155E" w14:textId="77777777">
            <w:pPr>
              <w:pStyle w:val="BodyText"/>
              <w:rPr>
                <w:rFonts w:cs="Arial" w:asciiTheme="minorHAnsi" w:hAnsiTheme="minorHAnsi"/>
                <w:sz w:val="20"/>
              </w:rPr>
            </w:pPr>
            <w:r w:rsidRPr="0050071D">
              <w:rPr>
                <w:rFonts w:cs="Arial" w:asciiTheme="minorHAnsi" w:hAnsiTheme="minorHAnsi"/>
                <w:sz w:val="20"/>
              </w:rPr>
              <w:t xml:space="preserve">Blood </w:t>
            </w:r>
            <w:r>
              <w:rPr>
                <w:rFonts w:cs="Arial" w:asciiTheme="minorHAnsi" w:hAnsiTheme="minorHAnsi"/>
                <w:sz w:val="20"/>
              </w:rPr>
              <w:t>concentrations</w:t>
            </w:r>
            <w:r w:rsidRPr="0050071D">
              <w:rPr>
                <w:rFonts w:cs="Arial" w:asciiTheme="minorHAnsi" w:hAnsiTheme="minorHAnsi"/>
                <w:sz w:val="20"/>
              </w:rPr>
              <w:t xml:space="preserve"> </w:t>
            </w:r>
            <w:r>
              <w:rPr>
                <w:rFonts w:cs="Arial" w:asciiTheme="minorHAnsi" w:hAnsiTheme="minorHAnsi"/>
                <w:sz w:val="20"/>
              </w:rPr>
              <w:t xml:space="preserve">exceeding </w:t>
            </w:r>
            <w:r w:rsidRPr="0050071D">
              <w:rPr>
                <w:rFonts w:cs="Arial" w:asciiTheme="minorHAnsi" w:hAnsiTheme="minorHAnsi"/>
                <w:sz w:val="20"/>
              </w:rPr>
              <w:t>0.05 mg/mL may be associated with ototoxicity.</w:t>
            </w:r>
          </w:p>
          <w:p w:rsidRPr="002B370F" w:rsidR="00FD2A9D" w:rsidP="00131848" w:rsidRDefault="00FD2A9D" w14:paraId="6B8DA7FD" w14:textId="77777777">
            <w:pPr>
              <w:rPr>
                <w:rFonts w:asciiTheme="minorHAnsi" w:hAnsiTheme="minorHAnsi" w:cstheme="minorHAnsi"/>
                <w:sz w:val="20"/>
              </w:rPr>
            </w:pPr>
            <w:r w:rsidRPr="006D0EFE">
              <w:rPr>
                <w:rFonts w:asciiTheme="minorHAnsi" w:hAnsiTheme="minorHAnsi" w:cstheme="minorHAnsi"/>
                <w:color w:val="333333"/>
                <w:sz w:val="20"/>
                <w:shd w:val="clear" w:color="auto" w:fill="FFFFFF"/>
              </w:rPr>
              <w:lastRenderedPageBreak/>
              <w:t>Administration of high doses at a rate faster than 4 mg/minute may result in tinnitus, vertigo and deafness, especially when combined with other ototoxic drugs or in patients with severe renal impairment</w:t>
            </w:r>
            <w:r>
              <w:rPr>
                <w:rFonts w:cstheme="minorHAnsi"/>
                <w:color w:val="333333"/>
                <w:sz w:val="20"/>
                <w:shd w:val="clear" w:color="auto" w:fill="FFFFFF"/>
              </w:rPr>
              <w:t>.</w:t>
            </w:r>
          </w:p>
        </w:tc>
      </w:tr>
      <w:tr w:rsidRPr="003A7895" w:rsidR="00FD2A9D" w:rsidTr="00F46085" w14:paraId="3C0EA7E3" w14:textId="77777777">
        <w:trPr>
          <w:trHeight w:val="280"/>
        </w:trPr>
        <w:tc>
          <w:tcPr>
            <w:tcW w:w="1730" w:type="dxa"/>
          </w:tcPr>
          <w:p w:rsidRPr="00B53E9B" w:rsidR="00FD2A9D" w:rsidP="00131848" w:rsidRDefault="00FD2A9D" w14:paraId="283FE8C5" w14:textId="77777777">
            <w:pPr>
              <w:pStyle w:val="BodyText"/>
              <w:rPr>
                <w:rFonts w:cs="Arial"/>
                <w:b/>
                <w:bCs/>
                <w:sz w:val="20"/>
              </w:rPr>
            </w:pPr>
            <w:r w:rsidRPr="00B53E9B">
              <w:rPr>
                <w:rFonts w:cs="Arial"/>
                <w:b/>
                <w:bCs/>
                <w:sz w:val="20"/>
              </w:rPr>
              <w:lastRenderedPageBreak/>
              <w:t>Evidence</w:t>
            </w:r>
          </w:p>
        </w:tc>
        <w:tc>
          <w:tcPr>
            <w:tcW w:w="7371" w:type="dxa"/>
          </w:tcPr>
          <w:p w:rsidRPr="00244C61" w:rsidR="00FD2A9D" w:rsidP="00131848" w:rsidRDefault="00FD2A9D" w14:paraId="36D19A72" w14:textId="77777777">
            <w:pPr>
              <w:pStyle w:val="BodyText"/>
              <w:tabs>
                <w:tab w:val="left" w:pos="1168"/>
              </w:tabs>
              <w:rPr>
                <w:rFonts w:cs="Arial" w:asciiTheme="minorHAnsi" w:hAnsiTheme="minorHAnsi"/>
                <w:b/>
                <w:sz w:val="16"/>
                <w:szCs w:val="16"/>
              </w:rPr>
            </w:pPr>
            <w:r w:rsidRPr="00244C61">
              <w:rPr>
                <w:rFonts w:cs="Arial" w:asciiTheme="minorHAnsi" w:hAnsiTheme="minorHAnsi"/>
                <w:b/>
                <w:sz w:val="16"/>
                <w:szCs w:val="16"/>
              </w:rPr>
              <w:t>Efficacy:</w:t>
            </w:r>
          </w:p>
          <w:p w:rsidRPr="00244C61" w:rsidR="00FD2A9D" w:rsidP="00131848" w:rsidRDefault="00FD2A9D" w14:paraId="221EC8D4" w14:textId="77777777">
            <w:pPr>
              <w:pStyle w:val="BodyText"/>
              <w:tabs>
                <w:tab w:val="left" w:pos="1168"/>
              </w:tabs>
              <w:rPr>
                <w:rFonts w:cs="Arial" w:asciiTheme="minorHAnsi" w:hAnsiTheme="minorHAnsi"/>
                <w:b/>
                <w:sz w:val="16"/>
                <w:szCs w:val="16"/>
              </w:rPr>
            </w:pPr>
            <w:r w:rsidRPr="00244C61">
              <w:rPr>
                <w:rFonts w:cs="Arial" w:asciiTheme="minorHAnsi" w:hAnsiTheme="minorHAnsi"/>
                <w:b/>
                <w:sz w:val="16"/>
                <w:szCs w:val="16"/>
              </w:rPr>
              <w:t xml:space="preserve">Heart failure: </w:t>
            </w:r>
            <w:r w:rsidRPr="00244C61">
              <w:rPr>
                <w:rFonts w:cs="Arial" w:asciiTheme="minorHAnsi" w:hAnsiTheme="minorHAnsi"/>
                <w:sz w:val="16"/>
                <w:szCs w:val="16"/>
              </w:rPr>
              <w:t>Controlled trials have demonstrated diuretics increase urinary sodium excretion and decrease physical signs of fluid retention in patients with HF. In short-term studies, diuretic therapy led to a reduction in jugular venous pressures, pulmonary congestion, peripheral oedema and body weight; all of which were observed within days of initiation of therapy. In intermediate-term studies, diuretics have been shown to improve cardiac function, symptoms and exercise tolerance in patients with HF. There have been no long-term studies of diuretic therapy in HF and thus, their effects on morbidity and mortality are not known.</w:t>
            </w:r>
            <w:r w:rsidRPr="00244C61">
              <w:rPr>
                <w:rFonts w:cs="Arial" w:asciiTheme="minorHAnsi" w:hAnsiTheme="minorHAnsi"/>
                <w:sz w:val="16"/>
                <w:szCs w:val="16"/>
                <w:vertAlign w:val="superscript"/>
              </w:rPr>
              <w:t>2</w:t>
            </w:r>
          </w:p>
          <w:p w:rsidRPr="00244C61" w:rsidR="00FD2A9D" w:rsidP="00131848" w:rsidRDefault="00FD2A9D" w14:paraId="120B3673"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 xml:space="preserve">Preterm infants with or developing chronic lung disease (CLD): </w:t>
            </w:r>
            <w:r w:rsidRPr="00244C61">
              <w:rPr>
                <w:rFonts w:cs="Arial" w:asciiTheme="minorHAnsi" w:hAnsiTheme="minorHAnsi"/>
                <w:sz w:val="16"/>
                <w:szCs w:val="16"/>
              </w:rPr>
              <w:t>In preterm infants &lt; 3 weeks of age developing CLD, furosemide administration has either inconsistent effects or no detectable effect. In infants &gt; 3 weeks of age with CLD, a single intravenous dose of 1 mg/kg of furosemide improves lung compliance and airway resistance for one hour. Chronic administration of furosemide improves both oxygenation and lung compliance. Routine or sustained use of systemic loop diuretics in infants with (or developing) CLD cannot be recommended based on current evidence.</w:t>
            </w:r>
            <w:r w:rsidRPr="00244C61">
              <w:rPr>
                <w:rFonts w:cs="Arial" w:asciiTheme="minorHAnsi" w:hAnsiTheme="minorHAnsi"/>
                <w:sz w:val="16"/>
                <w:szCs w:val="16"/>
                <w:vertAlign w:val="superscript"/>
              </w:rPr>
              <w:t>3</w:t>
            </w:r>
            <w:r w:rsidRPr="00244C61">
              <w:rPr>
                <w:rFonts w:cs="Arial" w:asciiTheme="minorHAnsi" w:hAnsiTheme="minorHAnsi"/>
                <w:sz w:val="16"/>
                <w:szCs w:val="16"/>
              </w:rPr>
              <w:t xml:space="preserve"> (LOE II, GOR C)</w:t>
            </w:r>
          </w:p>
          <w:p w:rsidRPr="00244C61" w:rsidR="00FD2A9D" w:rsidP="00131848" w:rsidRDefault="00FD2A9D" w14:paraId="53348D8D"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Aerosolised diuretics for preterm infants with (or developing) chronic lung disease:</w:t>
            </w:r>
            <w:r w:rsidRPr="00244C61">
              <w:rPr>
                <w:rFonts w:cs="Arial" w:asciiTheme="minorHAnsi" w:hAnsiTheme="minorHAnsi"/>
                <w:sz w:val="16"/>
                <w:szCs w:val="16"/>
              </w:rPr>
              <w:t xml:space="preserve"> In preterm infants &gt; 3 weeks with CLD, administration of a single dose of aerosolised furosemide improves pulmonary mechanics. In view of the lack of data from randomised trials concerning effects on important clinical outcomes, routine or sustained use of aerosolised loop diuretics in infants with (or developing) CLD cannot be recommended based on current evidence.</w:t>
            </w:r>
            <w:r w:rsidRPr="00244C61">
              <w:rPr>
                <w:rFonts w:cs="Arial" w:asciiTheme="minorHAnsi" w:hAnsiTheme="minorHAnsi"/>
                <w:sz w:val="16"/>
                <w:szCs w:val="16"/>
                <w:vertAlign w:val="superscript"/>
              </w:rPr>
              <w:t>4</w:t>
            </w:r>
            <w:r w:rsidRPr="00244C61">
              <w:rPr>
                <w:rFonts w:cs="Arial" w:asciiTheme="minorHAnsi" w:hAnsiTheme="minorHAnsi"/>
                <w:sz w:val="16"/>
                <w:szCs w:val="16"/>
              </w:rPr>
              <w:t xml:space="preserve"> (LOE I GOR C)</w:t>
            </w:r>
          </w:p>
          <w:p w:rsidRPr="00244C61" w:rsidR="00FD2A9D" w:rsidP="00131848" w:rsidRDefault="00FD2A9D" w14:paraId="222747C5"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Term infants with transient tachypnoea:</w:t>
            </w:r>
            <w:r w:rsidRPr="00244C61">
              <w:rPr>
                <w:rFonts w:asciiTheme="minorHAnsi" w:hAnsiTheme="minorHAnsi"/>
                <w:sz w:val="16"/>
                <w:szCs w:val="16"/>
              </w:rPr>
              <w:t xml:space="preserve"> </w:t>
            </w:r>
            <w:r w:rsidRPr="00244C61">
              <w:rPr>
                <w:rFonts w:cs="Arial" w:asciiTheme="minorHAnsi" w:hAnsiTheme="minorHAnsi"/>
                <w:sz w:val="16"/>
                <w:szCs w:val="16"/>
              </w:rPr>
              <w:t>Diuretics had no effect in the treatment of transient tachypnoea of the newborn.</w:t>
            </w:r>
            <w:r w:rsidRPr="00244C61">
              <w:rPr>
                <w:rFonts w:cs="Arial" w:asciiTheme="minorHAnsi" w:hAnsiTheme="minorHAnsi"/>
                <w:sz w:val="16"/>
                <w:szCs w:val="16"/>
                <w:vertAlign w:val="superscript"/>
              </w:rPr>
              <w:t>5</w:t>
            </w:r>
            <w:r w:rsidRPr="00244C61">
              <w:rPr>
                <w:rFonts w:cs="Arial" w:asciiTheme="minorHAnsi" w:hAnsiTheme="minorHAnsi"/>
                <w:sz w:val="16"/>
                <w:szCs w:val="16"/>
              </w:rPr>
              <w:t xml:space="preserve"> (LOE I, GOR B)</w:t>
            </w:r>
          </w:p>
          <w:p w:rsidRPr="00244C61" w:rsidR="00FD2A9D" w:rsidP="00131848" w:rsidRDefault="00FD2A9D" w14:paraId="57F91978"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Preterm infants with respiratory distress (RDS):</w:t>
            </w:r>
            <w:r w:rsidRPr="00244C61">
              <w:rPr>
                <w:rFonts w:cs="Arial" w:asciiTheme="minorHAnsi" w:hAnsiTheme="minorHAnsi"/>
                <w:sz w:val="16"/>
                <w:szCs w:val="16"/>
              </w:rPr>
              <w:t xml:space="preserve"> There are no data to support routine administration of furosemide in preterm infants with RDS and it may increase the risk of developing a symptomatic patent ductus arteriosus.</w:t>
            </w:r>
            <w:r w:rsidRPr="00244C61">
              <w:rPr>
                <w:rFonts w:cs="Arial" w:asciiTheme="minorHAnsi" w:hAnsiTheme="minorHAnsi"/>
                <w:sz w:val="16"/>
                <w:szCs w:val="16"/>
                <w:vertAlign w:val="superscript"/>
              </w:rPr>
              <w:t>6</w:t>
            </w:r>
            <w:r w:rsidRPr="00244C61">
              <w:rPr>
                <w:rFonts w:cs="Arial" w:asciiTheme="minorHAnsi" w:hAnsiTheme="minorHAnsi"/>
                <w:sz w:val="16"/>
                <w:szCs w:val="16"/>
              </w:rPr>
              <w:t xml:space="preserve"> (LOE I GOR B)</w:t>
            </w:r>
          </w:p>
          <w:p w:rsidRPr="00244C61" w:rsidR="00FD2A9D" w:rsidP="00131848" w:rsidRDefault="00FD2A9D" w14:paraId="0A5306AF"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Electively transfused preterm infants beyond the first week of life:</w:t>
            </w:r>
            <w:r w:rsidRPr="00244C61">
              <w:rPr>
                <w:rFonts w:cs="Arial" w:asciiTheme="minorHAnsi" w:hAnsiTheme="minorHAnsi"/>
                <w:sz w:val="16"/>
                <w:szCs w:val="16"/>
              </w:rPr>
              <w:t xml:space="preserve"> Furosemide resulted in a reduction in post transfusion FiO</w:t>
            </w:r>
            <w:r w:rsidRPr="00244C61">
              <w:rPr>
                <w:rFonts w:cs="Arial" w:asciiTheme="minorHAnsi" w:hAnsiTheme="minorHAnsi"/>
                <w:sz w:val="16"/>
                <w:szCs w:val="16"/>
                <w:vertAlign w:val="subscript"/>
              </w:rPr>
              <w:t>2</w:t>
            </w:r>
            <w:r w:rsidRPr="00244C61">
              <w:rPr>
                <w:rFonts w:cs="Arial" w:asciiTheme="minorHAnsi" w:hAnsiTheme="minorHAnsi"/>
                <w:sz w:val="16"/>
                <w:szCs w:val="16"/>
              </w:rPr>
              <w:t xml:space="preserve"> (0.29 versus 0.27) which may be clinically insignificant.</w:t>
            </w:r>
            <w:r w:rsidRPr="00244C61">
              <w:rPr>
                <w:rFonts w:cs="Arial" w:asciiTheme="minorHAnsi" w:hAnsiTheme="minorHAnsi"/>
                <w:sz w:val="16"/>
                <w:szCs w:val="16"/>
                <w:vertAlign w:val="superscript"/>
              </w:rPr>
              <w:t>7</w:t>
            </w:r>
            <w:r w:rsidRPr="00244C61">
              <w:rPr>
                <w:rFonts w:cs="Arial" w:asciiTheme="minorHAnsi" w:hAnsiTheme="minorHAnsi"/>
                <w:sz w:val="16"/>
                <w:szCs w:val="16"/>
              </w:rPr>
              <w:t xml:space="preserve"> (LOE II, GOR C)</w:t>
            </w:r>
          </w:p>
          <w:p w:rsidRPr="00244C61" w:rsidR="00FD2A9D" w:rsidP="00131848" w:rsidRDefault="00FD2A9D" w14:paraId="2E34253E"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 xml:space="preserve">Furosemide for symptomatic patent ductus arteriosus in indomethacin-treated infants: </w:t>
            </w:r>
            <w:r w:rsidRPr="00244C61">
              <w:rPr>
                <w:rFonts w:cs="Arial" w:asciiTheme="minorHAnsi" w:hAnsiTheme="minorHAnsi"/>
                <w:sz w:val="16"/>
                <w:szCs w:val="16"/>
              </w:rPr>
              <w:t>Use of furosemide in combination with indomethacin increased the incidence of acute renal failure and did not affect the PDA closure rate.</w:t>
            </w:r>
            <w:r w:rsidRPr="00244C61">
              <w:rPr>
                <w:rFonts w:cs="Arial" w:asciiTheme="minorHAnsi" w:hAnsiTheme="minorHAnsi"/>
                <w:sz w:val="16"/>
                <w:szCs w:val="16"/>
                <w:vertAlign w:val="superscript"/>
              </w:rPr>
              <w:t>8,9</w:t>
            </w:r>
            <w:r w:rsidRPr="00244C61">
              <w:rPr>
                <w:rFonts w:cs="Arial" w:asciiTheme="minorHAnsi" w:hAnsiTheme="minorHAnsi"/>
                <w:sz w:val="16"/>
                <w:szCs w:val="16"/>
              </w:rPr>
              <w:t xml:space="preserve"> (LOE II, GOR C)</w:t>
            </w:r>
          </w:p>
          <w:p w:rsidRPr="00244C61" w:rsidR="00FD2A9D" w:rsidP="00131848" w:rsidRDefault="00FD2A9D" w14:paraId="218581CF"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Infants with post-haemorrhagic ventricular dilatation:</w:t>
            </w:r>
            <w:r w:rsidRPr="00244C61">
              <w:rPr>
                <w:rFonts w:cs="Arial" w:asciiTheme="minorHAnsi" w:hAnsiTheme="minorHAnsi"/>
                <w:sz w:val="16"/>
                <w:szCs w:val="16"/>
              </w:rPr>
              <w:t xml:space="preserve"> Diuretic therapy is neither effective nor safe in treating post-haemorrhagic ventricular dilatation.</w:t>
            </w:r>
            <w:r w:rsidRPr="00244C61">
              <w:rPr>
                <w:rFonts w:cs="Arial" w:asciiTheme="minorHAnsi" w:hAnsiTheme="minorHAnsi"/>
                <w:sz w:val="16"/>
                <w:szCs w:val="16"/>
                <w:vertAlign w:val="superscript"/>
              </w:rPr>
              <w:t>10</w:t>
            </w:r>
            <w:r w:rsidRPr="00244C61">
              <w:rPr>
                <w:rFonts w:cs="Arial" w:asciiTheme="minorHAnsi" w:hAnsiTheme="minorHAnsi"/>
                <w:sz w:val="16"/>
                <w:szCs w:val="16"/>
              </w:rPr>
              <w:t xml:space="preserve"> (LOE I, GOR B)</w:t>
            </w:r>
          </w:p>
          <w:p w:rsidRPr="00244C61" w:rsidR="00FD2A9D" w:rsidP="00131848" w:rsidRDefault="00FD2A9D" w14:paraId="19D1A437"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 xml:space="preserve">Continuous infusion versus intermittent administration of furosemide: </w:t>
            </w:r>
            <w:r w:rsidRPr="00244C61">
              <w:rPr>
                <w:rFonts w:cs="Arial" w:asciiTheme="minorHAnsi" w:hAnsiTheme="minorHAnsi"/>
                <w:sz w:val="16"/>
                <w:szCs w:val="16"/>
              </w:rPr>
              <w:t>The safety and benefits of continuous infusion of furosemide is unclear.</w:t>
            </w:r>
            <w:r w:rsidRPr="00244C61">
              <w:rPr>
                <w:rFonts w:cs="Arial" w:asciiTheme="minorHAnsi" w:hAnsiTheme="minorHAnsi"/>
                <w:sz w:val="16"/>
                <w:szCs w:val="16"/>
                <w:vertAlign w:val="superscript"/>
              </w:rPr>
              <w:t>11–13</w:t>
            </w:r>
            <w:r w:rsidRPr="00244C61">
              <w:rPr>
                <w:rFonts w:cs="Arial" w:asciiTheme="minorHAnsi" w:hAnsiTheme="minorHAnsi"/>
                <w:sz w:val="16"/>
                <w:szCs w:val="16"/>
              </w:rPr>
              <w:t xml:space="preserve"> In adults and children, no significant increase in urine output except for when loading dose administered prior to infusion.</w:t>
            </w:r>
            <w:r w:rsidRPr="00244C61">
              <w:rPr>
                <w:rFonts w:cs="Arial" w:asciiTheme="minorHAnsi" w:hAnsiTheme="minorHAnsi"/>
                <w:sz w:val="16"/>
                <w:szCs w:val="16"/>
                <w:vertAlign w:val="superscript"/>
              </w:rPr>
              <w:t>11</w:t>
            </w:r>
            <w:r w:rsidRPr="00244C61">
              <w:rPr>
                <w:rFonts w:cs="Arial" w:asciiTheme="minorHAnsi" w:hAnsiTheme="minorHAnsi"/>
                <w:sz w:val="16"/>
                <w:szCs w:val="16"/>
              </w:rPr>
              <w:t xml:space="preserve"> (LOE I, GOR C)</w:t>
            </w:r>
          </w:p>
          <w:p w:rsidRPr="00244C61" w:rsidR="00FD2A9D" w:rsidP="00131848" w:rsidRDefault="00FD2A9D" w14:paraId="1A95866F"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 xml:space="preserve">Pharmacokinetics: </w:t>
            </w:r>
            <w:r w:rsidRPr="00244C61">
              <w:rPr>
                <w:rFonts w:cs="Arial" w:asciiTheme="minorHAnsi" w:hAnsiTheme="minorHAnsi"/>
                <w:sz w:val="16"/>
                <w:szCs w:val="16"/>
              </w:rPr>
              <w:t>Plasma t</w:t>
            </w:r>
            <w:r w:rsidRPr="00244C61">
              <w:rPr>
                <w:rFonts w:cs="Arial" w:asciiTheme="minorHAnsi" w:hAnsiTheme="minorHAnsi"/>
                <w:sz w:val="16"/>
                <w:szCs w:val="16"/>
                <w:vertAlign w:val="subscript"/>
              </w:rPr>
              <w:t>½</w:t>
            </w:r>
            <w:r w:rsidRPr="00244C61">
              <w:rPr>
                <w:rFonts w:cs="Arial" w:asciiTheme="minorHAnsi" w:hAnsiTheme="minorHAnsi"/>
                <w:sz w:val="16"/>
                <w:szCs w:val="16"/>
              </w:rPr>
              <w:t xml:space="preserve"> of furosemide is 7.7–26.8 hours in neonates. It is lower in immature infants (mean t</w:t>
            </w:r>
            <w:r w:rsidRPr="00244C61">
              <w:rPr>
                <w:rFonts w:cs="Arial" w:asciiTheme="minorHAnsi" w:hAnsiTheme="minorHAnsi"/>
                <w:sz w:val="16"/>
                <w:szCs w:val="16"/>
                <w:vertAlign w:val="subscript"/>
              </w:rPr>
              <w:t>½</w:t>
            </w:r>
            <w:r w:rsidRPr="00244C61">
              <w:rPr>
                <w:rFonts w:cs="Arial" w:asciiTheme="minorHAnsi" w:hAnsiTheme="minorHAnsi"/>
                <w:sz w:val="16"/>
                <w:szCs w:val="16"/>
              </w:rPr>
              <w:t xml:space="preserve"> &gt; 20 hours)</w:t>
            </w:r>
            <w:r w:rsidRPr="00244C61">
              <w:rPr>
                <w:rFonts w:cs="Arial" w:asciiTheme="minorHAnsi" w:hAnsiTheme="minorHAnsi"/>
                <w:sz w:val="16"/>
                <w:szCs w:val="16"/>
                <w:vertAlign w:val="superscript"/>
              </w:rPr>
              <w:t>22</w:t>
            </w:r>
            <w:r w:rsidRPr="00244C61">
              <w:rPr>
                <w:rFonts w:cs="Arial" w:asciiTheme="minorHAnsi" w:hAnsiTheme="minorHAnsi"/>
                <w:sz w:val="16"/>
                <w:szCs w:val="16"/>
              </w:rPr>
              <w:t>. Drug accumulation may occur with 12 hour dosing especially in infants &lt; 33 weeks PMA.</w:t>
            </w:r>
            <w:r w:rsidRPr="00244C61">
              <w:rPr>
                <w:rFonts w:cs="Arial" w:asciiTheme="minorHAnsi" w:hAnsiTheme="minorHAnsi"/>
                <w:sz w:val="16"/>
                <w:szCs w:val="16"/>
                <w:vertAlign w:val="superscript"/>
              </w:rPr>
              <w:t>14</w:t>
            </w:r>
            <w:r w:rsidRPr="00244C61">
              <w:rPr>
                <w:rFonts w:cs="Arial" w:asciiTheme="minorHAnsi" w:hAnsiTheme="minorHAnsi"/>
                <w:sz w:val="16"/>
                <w:szCs w:val="16"/>
              </w:rPr>
              <w:t xml:space="preserve"> (LOE IV, GOR B) </w:t>
            </w:r>
          </w:p>
          <w:p w:rsidRPr="00244C61" w:rsidR="00FD2A9D" w:rsidP="00131848" w:rsidRDefault="00FD2A9D" w14:paraId="7553097E" w14:textId="77777777">
            <w:pPr>
              <w:pStyle w:val="BodyText"/>
              <w:tabs>
                <w:tab w:val="left" w:pos="1168"/>
              </w:tabs>
              <w:rPr>
                <w:rFonts w:cs="Arial" w:asciiTheme="minorHAnsi" w:hAnsiTheme="minorHAnsi"/>
                <w:sz w:val="16"/>
                <w:szCs w:val="16"/>
              </w:rPr>
            </w:pPr>
            <w:r w:rsidRPr="00244C61">
              <w:rPr>
                <w:rFonts w:cs="Arial" w:asciiTheme="minorHAnsi" w:hAnsiTheme="minorHAnsi"/>
                <w:sz w:val="16"/>
                <w:szCs w:val="16"/>
              </w:rPr>
              <w:t>The bioavailability of oral furosemide markedly reduced in preterm infants – estimated at 20%</w:t>
            </w:r>
            <w:r w:rsidRPr="00244C61">
              <w:rPr>
                <w:rFonts w:cs="Arial" w:asciiTheme="minorHAnsi" w:hAnsiTheme="minorHAnsi"/>
                <w:sz w:val="16"/>
                <w:szCs w:val="16"/>
                <w:vertAlign w:val="superscript"/>
              </w:rPr>
              <w:t>15</w:t>
            </w:r>
            <w:r w:rsidRPr="00244C61">
              <w:rPr>
                <w:rFonts w:cs="Arial" w:asciiTheme="minorHAnsi" w:hAnsiTheme="minorHAnsi"/>
                <w:sz w:val="16"/>
                <w:szCs w:val="16"/>
              </w:rPr>
              <w:t xml:space="preserve">  compared to ~60% in adults.</w:t>
            </w:r>
            <w:r w:rsidRPr="00244C61">
              <w:rPr>
                <w:rFonts w:cs="Arial" w:asciiTheme="minorHAnsi" w:hAnsiTheme="minorHAnsi"/>
                <w:sz w:val="16"/>
                <w:szCs w:val="16"/>
                <w:vertAlign w:val="superscript"/>
              </w:rPr>
              <w:t>16</w:t>
            </w:r>
            <w:r w:rsidRPr="00244C61">
              <w:rPr>
                <w:rFonts w:cs="Arial" w:asciiTheme="minorHAnsi" w:hAnsiTheme="minorHAnsi"/>
                <w:sz w:val="16"/>
                <w:szCs w:val="16"/>
              </w:rPr>
              <w:t xml:space="preserve"> 94% is plasma protein bound.</w:t>
            </w:r>
            <w:r w:rsidRPr="00244C61">
              <w:rPr>
                <w:rFonts w:cs="Arial" w:asciiTheme="minorHAnsi" w:hAnsiTheme="minorHAnsi"/>
                <w:sz w:val="16"/>
                <w:szCs w:val="16"/>
                <w:vertAlign w:val="superscript"/>
              </w:rPr>
              <w:t>15</w:t>
            </w:r>
            <w:r w:rsidRPr="00244C61">
              <w:rPr>
                <w:rFonts w:cs="Arial" w:asciiTheme="minorHAnsi" w:hAnsiTheme="minorHAnsi"/>
                <w:sz w:val="16"/>
                <w:szCs w:val="16"/>
              </w:rPr>
              <w:t xml:space="preserve"> (LOE IV GOR C) </w:t>
            </w:r>
          </w:p>
          <w:p w:rsidRPr="00244C61" w:rsidR="00FD2A9D" w:rsidP="00131848" w:rsidRDefault="00FD2A9D" w14:paraId="0DA01752" w14:textId="77777777">
            <w:pPr>
              <w:pStyle w:val="BodyText"/>
              <w:tabs>
                <w:tab w:val="left" w:pos="1168"/>
              </w:tabs>
              <w:rPr>
                <w:rFonts w:cs="Arial" w:asciiTheme="minorHAnsi" w:hAnsiTheme="minorHAnsi"/>
                <w:sz w:val="16"/>
                <w:szCs w:val="16"/>
              </w:rPr>
            </w:pPr>
            <w:r w:rsidRPr="00244C61">
              <w:rPr>
                <w:rFonts w:cs="Arial" w:asciiTheme="minorHAnsi" w:hAnsiTheme="minorHAnsi"/>
                <w:sz w:val="16"/>
                <w:szCs w:val="16"/>
              </w:rPr>
              <w:t>Furosemide is primarily cleared via renal secretion (60–70%).</w:t>
            </w:r>
            <w:r w:rsidRPr="00244C61">
              <w:rPr>
                <w:rFonts w:cs="Arial" w:asciiTheme="minorHAnsi" w:hAnsiTheme="minorHAnsi"/>
                <w:sz w:val="16"/>
                <w:szCs w:val="16"/>
                <w:vertAlign w:val="superscript"/>
              </w:rPr>
              <w:t>16</w:t>
            </w:r>
            <w:r w:rsidRPr="00244C61">
              <w:rPr>
                <w:rFonts w:cs="Arial" w:asciiTheme="minorHAnsi" w:hAnsiTheme="minorHAnsi"/>
                <w:sz w:val="16"/>
                <w:szCs w:val="16"/>
              </w:rPr>
              <w:t xml:space="preserve"> Clearance is reduced in renal impairment. </w:t>
            </w:r>
          </w:p>
          <w:p w:rsidRPr="00244C61" w:rsidR="00FD2A9D" w:rsidP="00131848" w:rsidRDefault="00FD2A9D" w14:paraId="51AB51AC" w14:textId="77777777">
            <w:pPr>
              <w:pStyle w:val="BodyText"/>
              <w:tabs>
                <w:tab w:val="left" w:pos="1168"/>
              </w:tabs>
              <w:rPr>
                <w:rFonts w:cs="Arial" w:asciiTheme="minorHAnsi" w:hAnsiTheme="minorHAnsi"/>
                <w:sz w:val="16"/>
                <w:szCs w:val="16"/>
              </w:rPr>
            </w:pPr>
            <w:r w:rsidRPr="00244C61">
              <w:rPr>
                <w:rFonts w:cs="Arial" w:asciiTheme="minorHAnsi" w:hAnsiTheme="minorHAnsi"/>
                <w:b/>
                <w:sz w:val="16"/>
                <w:szCs w:val="16"/>
              </w:rPr>
              <w:t xml:space="preserve">Safety: </w:t>
            </w:r>
            <w:r w:rsidRPr="00244C61">
              <w:rPr>
                <w:rFonts w:cs="Arial" w:asciiTheme="minorHAnsi" w:hAnsiTheme="minorHAnsi"/>
                <w:sz w:val="16"/>
                <w:szCs w:val="16"/>
              </w:rPr>
              <w:t>Furosemide results in renal excretion of calcium, sodium, chloride and potassium.</w:t>
            </w:r>
            <w:r w:rsidRPr="00244C61">
              <w:rPr>
                <w:rFonts w:cs="Arial" w:asciiTheme="minorHAnsi" w:hAnsiTheme="minorHAnsi"/>
                <w:sz w:val="16"/>
                <w:szCs w:val="16"/>
                <w:vertAlign w:val="superscript"/>
              </w:rPr>
              <w:t>17</w:t>
            </w:r>
            <w:r w:rsidRPr="00244C61">
              <w:rPr>
                <w:rFonts w:cs="Arial" w:asciiTheme="minorHAnsi" w:hAnsiTheme="minorHAnsi"/>
                <w:sz w:val="16"/>
                <w:szCs w:val="16"/>
              </w:rPr>
              <w:t xml:space="preserve"> Prolonged and high dose use of furosemide, especially in the context of other ototoxic treatments (including aminoglycosides), has been associated with ototoxicity.</w:t>
            </w:r>
            <w:r w:rsidRPr="00244C61">
              <w:rPr>
                <w:rFonts w:cs="Arial" w:asciiTheme="minorHAnsi" w:hAnsiTheme="minorHAnsi"/>
                <w:sz w:val="16"/>
                <w:szCs w:val="16"/>
                <w:vertAlign w:val="superscript"/>
              </w:rPr>
              <w:t>18–20</w:t>
            </w:r>
            <w:r w:rsidRPr="00244C61">
              <w:rPr>
                <w:rFonts w:cs="Arial" w:asciiTheme="minorHAnsi" w:hAnsiTheme="minorHAnsi"/>
                <w:sz w:val="16"/>
                <w:szCs w:val="16"/>
              </w:rPr>
              <w:t xml:space="preserve"> Blood concentrations exceeding 0.05 mg/mL may be associated with ototoxicity.</w:t>
            </w:r>
            <w:r w:rsidRPr="00244C61">
              <w:rPr>
                <w:rFonts w:cs="Arial" w:asciiTheme="minorHAnsi" w:hAnsiTheme="minorHAnsi"/>
                <w:sz w:val="16"/>
                <w:szCs w:val="16"/>
                <w:vertAlign w:val="superscript"/>
              </w:rPr>
              <w:t>14</w:t>
            </w:r>
            <w:r w:rsidRPr="00244C61">
              <w:rPr>
                <w:rFonts w:cs="Arial" w:asciiTheme="minorHAnsi" w:hAnsiTheme="minorHAnsi"/>
                <w:sz w:val="16"/>
                <w:szCs w:val="16"/>
              </w:rPr>
              <w:t xml:space="preserve"> (LOE III-2 GOR B). Prolonged furosemide treatment and treatment combined with acetazolamide is associated with nephrocalcinosis.</w:t>
            </w:r>
            <w:r w:rsidRPr="00244C61">
              <w:rPr>
                <w:rFonts w:cs="Arial" w:asciiTheme="minorHAnsi" w:hAnsiTheme="minorHAnsi"/>
                <w:sz w:val="16"/>
                <w:szCs w:val="16"/>
                <w:vertAlign w:val="superscript"/>
              </w:rPr>
              <w:t>10, 21</w:t>
            </w:r>
            <w:r w:rsidRPr="00244C61">
              <w:rPr>
                <w:rFonts w:cs="Arial" w:asciiTheme="minorHAnsi" w:hAnsiTheme="minorHAnsi"/>
                <w:sz w:val="16"/>
                <w:szCs w:val="16"/>
              </w:rPr>
              <w:t xml:space="preserve"> (LOE I GOR B)</w:t>
            </w:r>
          </w:p>
          <w:p w:rsidRPr="00244C61" w:rsidR="00FD2A9D" w:rsidP="00131848" w:rsidRDefault="00FD2A9D" w14:paraId="346905C2" w14:textId="77777777">
            <w:pPr>
              <w:pStyle w:val="BodyText"/>
              <w:tabs>
                <w:tab w:val="left" w:pos="1168"/>
              </w:tabs>
              <w:rPr>
                <w:rFonts w:cs="Arial"/>
                <w:sz w:val="16"/>
                <w:szCs w:val="16"/>
              </w:rPr>
            </w:pPr>
            <w:r w:rsidRPr="00244C61">
              <w:rPr>
                <w:rFonts w:cs="Arial" w:asciiTheme="minorHAnsi" w:hAnsiTheme="minorHAnsi"/>
                <w:sz w:val="16"/>
                <w:szCs w:val="16"/>
              </w:rPr>
              <w:t>Alternate day furosemide may be associated with a lower risk of electrolyte and mineral abnormalities.</w:t>
            </w:r>
            <w:r w:rsidRPr="00244C61">
              <w:rPr>
                <w:rFonts w:cs="Arial" w:asciiTheme="minorHAnsi" w:hAnsiTheme="minorHAnsi"/>
                <w:sz w:val="16"/>
                <w:szCs w:val="16"/>
                <w:vertAlign w:val="superscript"/>
              </w:rPr>
              <w:t>23</w:t>
            </w:r>
          </w:p>
        </w:tc>
      </w:tr>
      <w:tr w:rsidRPr="003A7895" w:rsidR="00FD2A9D" w:rsidTr="00F46085" w14:paraId="2CDF9C31" w14:textId="77777777">
        <w:trPr>
          <w:trHeight w:val="108"/>
        </w:trPr>
        <w:tc>
          <w:tcPr>
            <w:tcW w:w="1730" w:type="dxa"/>
          </w:tcPr>
          <w:p w:rsidRPr="00B53E9B" w:rsidR="00FD2A9D" w:rsidP="00131848" w:rsidRDefault="00FD2A9D" w14:paraId="194B8316" w14:textId="77777777">
            <w:pPr>
              <w:pStyle w:val="BodyText"/>
              <w:rPr>
                <w:rFonts w:cs="Arial"/>
                <w:b/>
                <w:bCs/>
                <w:sz w:val="20"/>
              </w:rPr>
            </w:pPr>
            <w:r w:rsidRPr="00B53E9B">
              <w:rPr>
                <w:rFonts w:cs="Arial"/>
                <w:b/>
                <w:bCs/>
                <w:sz w:val="20"/>
              </w:rPr>
              <w:t>Practice points</w:t>
            </w:r>
          </w:p>
        </w:tc>
        <w:tc>
          <w:tcPr>
            <w:tcW w:w="7371" w:type="dxa"/>
          </w:tcPr>
          <w:p w:rsidRPr="00026F20" w:rsidR="00FD2A9D" w:rsidP="00131848" w:rsidRDefault="00FD2A9D" w14:paraId="00F0B1BF" w14:textId="77777777">
            <w:pPr>
              <w:pStyle w:val="BodyText"/>
              <w:tabs>
                <w:tab w:val="left" w:pos="1168"/>
              </w:tabs>
              <w:rPr>
                <w:rFonts w:cs="Arial"/>
                <w:sz w:val="20"/>
              </w:rPr>
            </w:pPr>
          </w:p>
        </w:tc>
      </w:tr>
      <w:tr w:rsidRPr="003A7895" w:rsidR="00FD2A9D" w:rsidTr="00F46085" w14:paraId="64B8218C" w14:textId="77777777">
        <w:trPr>
          <w:trHeight w:val="70"/>
        </w:trPr>
        <w:tc>
          <w:tcPr>
            <w:tcW w:w="1730" w:type="dxa"/>
          </w:tcPr>
          <w:p w:rsidRPr="00B53E9B" w:rsidR="00FD2A9D" w:rsidP="00131848" w:rsidRDefault="00FD2A9D" w14:paraId="1977D94C" w14:textId="77777777">
            <w:pPr>
              <w:pStyle w:val="BodyText"/>
              <w:rPr>
                <w:rFonts w:cs="Arial"/>
                <w:b/>
                <w:bCs/>
                <w:sz w:val="20"/>
              </w:rPr>
            </w:pPr>
            <w:r w:rsidRPr="00B53E9B">
              <w:rPr>
                <w:b/>
                <w:sz w:val="20"/>
              </w:rPr>
              <w:t>References</w:t>
            </w:r>
          </w:p>
        </w:tc>
        <w:tc>
          <w:tcPr>
            <w:tcW w:w="7371" w:type="dxa"/>
          </w:tcPr>
          <w:p w:rsidRPr="00244C61" w:rsidR="00FD2A9D" w:rsidP="001B0E05" w:rsidRDefault="00FD2A9D" w14:paraId="25D80141"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O'Reilly PH, Consensus Committee of the Society of Radionuclides in N. Standardization of the renogram technique for investigating the dilated upper urinary tract and assessing the results of surgery. BJU Int. 2003;91:239-43.</w:t>
            </w:r>
          </w:p>
          <w:p w:rsidRPr="00244C61" w:rsidR="00FD2A9D" w:rsidP="001B0E05" w:rsidRDefault="00FD2A9D" w14:paraId="6AB4E521"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Hunt SA, Abraham WT, Chin MH, Feldman AM, Francis GS, Ganiats TG, et al, American College of C, American Heart Association Task Force on Practice G, American College of Chest P, International Society for H, Lung T, Heart Rhythm S. ACC/AHA 2005 Guideline Update for the Diagnosis and Management of Chronic Heart Failure in the Adult: a report of the American College of Cardiology/American Heart Association Task Force on Practice Guidelines (Writing Committee to Update the 2001 Guidelines for the Evaluation and Management of Heart Failure). Circulation. 2005;112:e154-235.</w:t>
            </w:r>
          </w:p>
          <w:p w:rsidRPr="00244C61" w:rsidR="00FD2A9D" w:rsidP="001B0E05" w:rsidRDefault="00FD2A9D" w14:paraId="38C70243"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Stewart A, Brion LP. Intravenous or enteral loop diuretics for preterm infants with (or developing) chronic lung disease. Cochrane Database Syst Rev. 2011:CD001453.</w:t>
            </w:r>
          </w:p>
          <w:p w:rsidRPr="00244C61" w:rsidR="00FD2A9D" w:rsidP="001B0E05" w:rsidRDefault="00FD2A9D" w14:paraId="45AE8946"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Brion LP, Primhak RA, Yong W. Aerosolized diuretics for preterm infants with (or developing) chronic lung disease. Cochrane Database Syst Rev. 2006:CD001694.</w:t>
            </w:r>
          </w:p>
          <w:p w:rsidRPr="00244C61" w:rsidR="00FD2A9D" w:rsidP="001B0E05" w:rsidRDefault="00FD2A9D" w14:paraId="53D52077"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Kassab M, Khriesat WM, Anabrees J. Diuretics for transient tachypnoea of the newborn. Cochrane Database Syst Rev. 2015;11:CD003064.</w:t>
            </w:r>
          </w:p>
          <w:p w:rsidRPr="00244C61" w:rsidR="00FD2A9D" w:rsidP="001B0E05" w:rsidRDefault="00FD2A9D" w14:paraId="324B4D7F"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Stewart A, Brion LP, Soll R. Diuretics for respiratory distress syndrome in preterm infants. Cochrane Database Syst Rev. 2011:CD001454.</w:t>
            </w:r>
          </w:p>
          <w:p w:rsidRPr="00244C61" w:rsidR="00FD2A9D" w:rsidP="001B0E05" w:rsidRDefault="00FD2A9D" w14:paraId="0DE8D9EE"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lastRenderedPageBreak/>
              <w:t>Balegar VK, Kluckow M. Furosemide for packed red cell transfusion in preterm infants: a randomized controlled trial. J Pediatr. 2011;159:913-8.e1.</w:t>
            </w:r>
          </w:p>
          <w:p w:rsidRPr="00244C61" w:rsidR="00FD2A9D" w:rsidP="001B0E05" w:rsidRDefault="00FD2A9D" w14:paraId="38FD3C4E"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Brion LP, Campbell DE. Furosemide for symptomatic patent ductus arteriosus in indomethacin-treated infants. Cochrane Database Syst Rev. 2001:CD001148.</w:t>
            </w:r>
          </w:p>
          <w:p w:rsidRPr="00244C61" w:rsidR="00FD2A9D" w:rsidP="001B0E05" w:rsidRDefault="00FD2A9D" w14:paraId="65FF42B1"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Lee BS, Byun SY, Chung ML, Chang JY, Kim HY, Kim EA, Kim KS, Pi SY. Effect of furosemide on ductal closure and renal function in indomethacin-treated preterm infants during the early neonatal period. Neonatology. 2010;98:191-9.</w:t>
            </w:r>
          </w:p>
          <w:p w:rsidRPr="00244C61" w:rsidR="00FD2A9D" w:rsidP="001B0E05" w:rsidRDefault="00FD2A9D" w14:paraId="0CAE6FA6"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Whitelaw A, Kennedy CR, Brion LP. Diuretic therapy for newborn infants with posthemorrhagic ventricular dilatation. Cochrane Database Syst Rev. 2001:CD002270.</w:t>
            </w:r>
          </w:p>
          <w:p w:rsidRPr="00244C61" w:rsidR="00FD2A9D" w:rsidP="001B0E05" w:rsidRDefault="00FD2A9D" w14:paraId="1AFDE3A3"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Alqahtani F, Koulouridis I, Susantitaphong P, Dahal K, Jaber BL. A meta-analysis of continuous vs intermittent infusion of loop diuretics in hospitalized patients. J Crit Care. 2014;29:10-7.</w:t>
            </w:r>
          </w:p>
          <w:p w:rsidRPr="00244C61" w:rsidR="00FD2A9D" w:rsidP="001B0E05" w:rsidRDefault="00FD2A9D" w14:paraId="19129DC3"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Salvador DR, Rey NR, Ramos GC, Punzalan FE. Continuous infusion versus bolus injection of loop diuretics in congestive heart failure. Cochrane Database Syst Rev. 2005:CD003178.</w:t>
            </w:r>
          </w:p>
          <w:p w:rsidRPr="00244C61" w:rsidR="00FD2A9D" w:rsidP="001B0E05" w:rsidRDefault="00FD2A9D" w14:paraId="7A3B087E"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Wu MY, Chang NC, Su CL, Hsu YH, Chen TW, Lin YF, Wu CH, Tam KW. Loop diuretic strategies in patients with acute decompensated heart failure: a meta-analysis of randomized controlled trials. J Crit Care. 2014;29:2-9.</w:t>
            </w:r>
          </w:p>
          <w:p w:rsidRPr="00244C61" w:rsidR="00FD2A9D" w:rsidP="001B0E05" w:rsidRDefault="00FD2A9D" w14:paraId="45C1D4FD"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Pacifici GM. Clinical pharmacology of the loop diuretics furosemide and bumetanide in neonates and infants. Paediatr Drugs. 2012;14:233-46.</w:t>
            </w:r>
          </w:p>
          <w:p w:rsidRPr="00244C61" w:rsidR="00FD2A9D" w:rsidP="001B0E05" w:rsidRDefault="00FD2A9D" w14:paraId="3814DAA2"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Peterson RG, Simmons MA, Rumack BH, Levine RL, Brooks JG. Pharmacology of furosemide in the premature newborn infant. J Pediatr. 1980;97:139-43.</w:t>
            </w:r>
          </w:p>
          <w:p w:rsidRPr="00244C61" w:rsidR="00FD2A9D" w:rsidP="001B0E05" w:rsidRDefault="00FD2A9D" w14:paraId="131441D6"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Van Wart SA, Shoaf SE, Mallikaarjun S, Mager DE. Population-based meta-analysis of furosemide pharmacokinetics. Biopharm Drug Dispos. 2014;35:119-33.</w:t>
            </w:r>
          </w:p>
          <w:p w:rsidRPr="00244C61" w:rsidR="00FD2A9D" w:rsidP="001B0E05" w:rsidRDefault="00FD2A9D" w14:paraId="0B2E5F13"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Atkinson SA, Shah JK, McGee C, Steele BT. Mineral excretion in premature infants receiving various diuretic therapies. J Pediatr. 1988;113:540-5.</w:t>
            </w:r>
          </w:p>
          <w:p w:rsidRPr="00244C61" w:rsidR="00FD2A9D" w:rsidP="001B0E05" w:rsidRDefault="00FD2A9D" w14:paraId="0D021573"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Borradori C, Fawer CL, Buclin T, Calame A. Risk factors of sensorineural hearing loss in preterm infants. Biol Neonate. 1997;71:1-10.</w:t>
            </w:r>
          </w:p>
          <w:p w:rsidRPr="00244C61" w:rsidR="00FD2A9D" w:rsidP="001B0E05" w:rsidRDefault="00FD2A9D" w14:paraId="23FDA370"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Robertson CM, Alton GY, Bork KT, Joffe AR, Tawfik GC, Sauve RS, Moddemann DM, Ross DB, Rebeyka IM. Bilateral sensory permanent hearing loss after palliative hypoplastic left heart syndrome operation. Ann Thorac Surg. 2012;93:1248-53.</w:t>
            </w:r>
          </w:p>
          <w:p w:rsidRPr="00244C61" w:rsidR="00FD2A9D" w:rsidP="001B0E05" w:rsidRDefault="00FD2A9D" w14:paraId="5473BE2D"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Robertson CM, Tyebkhan JM, Peliowski A, Etches PC, Cheung PY. Ototoxic drugs and sensorineural hearing loss following severe neonatal respiratory failure. Acta Paediatr. 2006;95:214-23.</w:t>
            </w:r>
          </w:p>
          <w:p w:rsidRPr="00244C61" w:rsidR="00FD2A9D" w:rsidP="001B0E05" w:rsidRDefault="00FD2A9D" w14:paraId="7753B0EA"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Gimpel C, Krause A, Franck P, Krueger M, von Schnakenburg C. Exposure to furosemide as the strongest risk factor for nephrocalcinosis in preterm infants. Pediatr Int. 2010;52:51-6.</w:t>
            </w:r>
          </w:p>
          <w:p w:rsidRPr="00244C61" w:rsidR="00FD2A9D" w:rsidP="001B0E05" w:rsidRDefault="00FD2A9D" w14:paraId="60B708C7"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Pacifici GM. Clinical Pharmacology of Furosemide in Neonates: A Review. Pharmaceuticals 2013;6:1094-1129.</w:t>
            </w:r>
          </w:p>
          <w:p w:rsidRPr="00244C61" w:rsidR="00FD2A9D" w:rsidP="001B0E05" w:rsidRDefault="00FD2A9D" w14:paraId="68D8993A" w14:textId="77777777">
            <w:pPr>
              <w:pStyle w:val="EndNoteBibliography"/>
              <w:numPr>
                <w:ilvl w:val="0"/>
                <w:numId w:val="152"/>
              </w:numPr>
              <w:ind w:left="360"/>
              <w:rPr>
                <w:rFonts w:asciiTheme="minorHAnsi" w:hAnsiTheme="minorHAnsi"/>
                <w:sz w:val="16"/>
                <w:szCs w:val="16"/>
              </w:rPr>
            </w:pPr>
            <w:r w:rsidRPr="00244C61">
              <w:rPr>
                <w:rFonts w:ascii="Segoe UI" w:hAnsi="Segoe UI" w:cs="Segoe UI" w:eastAsiaTheme="minorHAnsi"/>
                <w:sz w:val="16"/>
                <w:szCs w:val="16"/>
              </w:rPr>
              <w:t>Rush MG, Engelhardt B, Parker RA, Hazinski TA. Double-blind, placebo-controlled trial of alternate-day furosemide therapy in infants with chronic bronchopulmonary dysplasia. J Pediatr. 1990;117:112-8.</w:t>
            </w:r>
          </w:p>
          <w:p w:rsidRPr="00244C61" w:rsidR="00FD2A9D" w:rsidP="001B0E05" w:rsidRDefault="00FD2A9D" w14:paraId="587B253A" w14:textId="77777777">
            <w:pPr>
              <w:pStyle w:val="EndNoteBibliography"/>
              <w:numPr>
                <w:ilvl w:val="0"/>
                <w:numId w:val="152"/>
              </w:numPr>
              <w:ind w:left="360"/>
              <w:rPr>
                <w:rFonts w:asciiTheme="minorHAnsi" w:hAnsiTheme="minorHAnsi"/>
                <w:sz w:val="16"/>
                <w:szCs w:val="16"/>
              </w:rPr>
            </w:pPr>
            <w:r w:rsidRPr="00244C61">
              <w:rPr>
                <w:rFonts w:ascii="Segoe UI" w:hAnsi="Segoe UI" w:cs="Segoe UI" w:eastAsiaTheme="minorHAnsi"/>
                <w:sz w:val="16"/>
                <w:szCs w:val="16"/>
              </w:rPr>
              <w:t>Micromedex. Furosemide. Accessed online on 17 May 2021.</w:t>
            </w:r>
          </w:p>
          <w:p w:rsidRPr="00244C61" w:rsidR="00FD2A9D" w:rsidP="001B0E05" w:rsidRDefault="00FD2A9D" w14:paraId="07501623" w14:textId="77777777">
            <w:pPr>
              <w:pStyle w:val="EndNoteBibliography"/>
              <w:numPr>
                <w:ilvl w:val="0"/>
                <w:numId w:val="152"/>
              </w:numPr>
              <w:ind w:left="360"/>
              <w:rPr>
                <w:rFonts w:asciiTheme="minorHAnsi" w:hAnsiTheme="minorHAnsi"/>
                <w:sz w:val="16"/>
                <w:szCs w:val="16"/>
              </w:rPr>
            </w:pPr>
            <w:r w:rsidRPr="00244C61">
              <w:rPr>
                <w:rFonts w:ascii="Segoe UI" w:hAnsi="Segoe UI" w:cs="Segoe UI" w:eastAsiaTheme="minorHAnsi"/>
                <w:sz w:val="16"/>
                <w:szCs w:val="16"/>
              </w:rPr>
              <w:t>Australian Injectable drugs handbook. Furosemide. Accessed online on 17 May 2021.</w:t>
            </w:r>
          </w:p>
          <w:p w:rsidRPr="00244C61" w:rsidR="00FD2A9D" w:rsidP="001B0E05" w:rsidRDefault="00FD2A9D" w14:paraId="266DFE0E" w14:textId="77777777">
            <w:pPr>
              <w:pStyle w:val="EndNoteBibliography"/>
              <w:numPr>
                <w:ilvl w:val="0"/>
                <w:numId w:val="152"/>
              </w:numPr>
              <w:ind w:left="360"/>
              <w:rPr>
                <w:rFonts w:asciiTheme="minorHAnsi" w:hAnsiTheme="minorHAnsi"/>
                <w:sz w:val="16"/>
                <w:szCs w:val="16"/>
              </w:rPr>
            </w:pPr>
            <w:r w:rsidRPr="00244C61">
              <w:rPr>
                <w:rFonts w:asciiTheme="minorHAnsi" w:hAnsiTheme="minorHAnsi"/>
                <w:sz w:val="16"/>
                <w:szCs w:val="16"/>
              </w:rPr>
              <w:t>MIMS online. Accessed online on 17 May 2021.</w:t>
            </w:r>
          </w:p>
        </w:tc>
      </w:tr>
    </w:tbl>
    <w:p w:rsidRPr="0050071D" w:rsidR="00694637" w:rsidP="00694637" w:rsidRDefault="00694637" w14:paraId="7095FB0A" w14:textId="77777777">
      <w:pPr>
        <w:rPr>
          <w:rFonts w:cs="Arial" w:asciiTheme="minorHAnsi" w:hAnsiTheme="minorHAnsi"/>
          <w:b/>
          <w:bCs/>
          <w:sz w:val="20"/>
        </w:rPr>
      </w:pPr>
    </w:p>
    <w:p w:rsidR="00694637" w:rsidP="00694637" w:rsidRDefault="00694637" w14:paraId="65447F0C" w14:textId="77777777">
      <w:pPr>
        <w:rPr>
          <w:rFonts w:asciiTheme="minorHAnsi" w:hAnsiTheme="minorHAnsi"/>
          <w:sz w:val="20"/>
        </w:rPr>
      </w:pPr>
    </w:p>
    <w:p w:rsidR="00C1554F" w:rsidP="00694637" w:rsidRDefault="00C1554F" w14:paraId="30171E68" w14:textId="77777777">
      <w:pPr>
        <w:rPr>
          <w:rFonts w:asciiTheme="minorHAnsi" w:hAnsiTheme="minorHAnsi"/>
          <w:sz w:val="20"/>
        </w:rPr>
      </w:pPr>
    </w:p>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820"/>
      </w:tblGrid>
      <w:tr w:rsidRPr="003C2CBA" w:rsidR="00E424B4" w:rsidTr="0042706A" w14:paraId="21FF8985" w14:textId="77777777">
        <w:tc>
          <w:tcPr>
            <w:tcW w:w="4111" w:type="dxa"/>
            <w:vAlign w:val="center"/>
          </w:tcPr>
          <w:p w:rsidRPr="00646E04" w:rsidR="00C1554F" w:rsidP="0010214E" w:rsidRDefault="00C1554F" w14:paraId="7BA8560B" w14:textId="5A64CF57">
            <w:r w:rsidRPr="00646E04">
              <w:t xml:space="preserve">Original version Date: </w:t>
            </w:r>
            <w:r w:rsidR="00196311">
              <w:t>18/7/2016</w:t>
            </w:r>
          </w:p>
        </w:tc>
        <w:tc>
          <w:tcPr>
            <w:tcW w:w="4820" w:type="dxa"/>
            <w:vAlign w:val="center"/>
          </w:tcPr>
          <w:p w:rsidRPr="00646E04" w:rsidR="00C1554F" w:rsidP="0010214E" w:rsidRDefault="00C1554F" w14:paraId="03F9D225" w14:textId="77777777">
            <w:r w:rsidRPr="00646E04">
              <w:t>Author: NeoMed Consensus Group</w:t>
            </w:r>
          </w:p>
        </w:tc>
      </w:tr>
      <w:tr w:rsidRPr="003C2CBA" w:rsidR="00E424B4" w:rsidTr="0042706A" w14:paraId="1B3601D1" w14:textId="77777777">
        <w:tc>
          <w:tcPr>
            <w:tcW w:w="4111" w:type="dxa"/>
            <w:vAlign w:val="center"/>
          </w:tcPr>
          <w:p w:rsidRPr="00646E04" w:rsidR="00C1554F" w:rsidP="0010214E" w:rsidRDefault="00C1554F" w14:paraId="634B7002" w14:textId="2B920748">
            <w:pPr>
              <w:rPr>
                <w:bCs/>
              </w:rPr>
            </w:pPr>
            <w:r w:rsidRPr="00646E04">
              <w:t xml:space="preserve">Current Version number:  </w:t>
            </w:r>
            <w:r w:rsidR="00F46085">
              <w:t>3</w:t>
            </w:r>
          </w:p>
        </w:tc>
        <w:tc>
          <w:tcPr>
            <w:tcW w:w="4820" w:type="dxa"/>
            <w:vAlign w:val="center"/>
          </w:tcPr>
          <w:p w:rsidRPr="00646E04" w:rsidR="00C1554F" w:rsidP="0010214E" w:rsidRDefault="00C1554F" w14:paraId="6014DB82" w14:textId="6324A710">
            <w:r>
              <w:t xml:space="preserve">Current </w:t>
            </w:r>
            <w:r w:rsidRPr="00646E04">
              <w:t xml:space="preserve">Version Date:  </w:t>
            </w:r>
            <w:r w:rsidR="00F46085">
              <w:t>9-6-2021</w:t>
            </w:r>
          </w:p>
        </w:tc>
      </w:tr>
      <w:tr w:rsidRPr="003C2CBA" w:rsidR="00E424B4" w:rsidTr="0042706A" w14:paraId="5BC3586E" w14:textId="77777777">
        <w:tc>
          <w:tcPr>
            <w:tcW w:w="4111" w:type="dxa"/>
            <w:vAlign w:val="center"/>
          </w:tcPr>
          <w:p w:rsidRPr="00646E04" w:rsidR="00C1554F" w:rsidP="0010214E" w:rsidRDefault="00C1554F" w14:paraId="01F05E82" w14:textId="76D92E04">
            <w:r w:rsidRPr="00646E04">
              <w:t xml:space="preserve">Risk Rating: </w:t>
            </w:r>
            <w:r w:rsidR="00F46085">
              <w:t>Low</w:t>
            </w:r>
          </w:p>
        </w:tc>
        <w:tc>
          <w:tcPr>
            <w:tcW w:w="4820" w:type="dxa"/>
            <w:vAlign w:val="center"/>
          </w:tcPr>
          <w:p w:rsidRPr="00646E04" w:rsidR="00C1554F" w:rsidP="0010214E" w:rsidRDefault="00C1554F" w14:paraId="7D6661D0" w14:textId="0F751ACE">
            <w:r w:rsidRPr="00646E04">
              <w:t xml:space="preserve">Due for Review:  </w:t>
            </w:r>
            <w:r w:rsidR="00F46085">
              <w:t>9-6-2026</w:t>
            </w:r>
          </w:p>
        </w:tc>
      </w:tr>
      <w:tr w:rsidRPr="003C2CBA" w:rsidR="00E424B4" w:rsidTr="0042706A" w14:paraId="43D817CF" w14:textId="77777777">
        <w:trPr>
          <w:trHeight w:val="344"/>
        </w:trPr>
        <w:tc>
          <w:tcPr>
            <w:tcW w:w="4111" w:type="dxa"/>
            <w:tcBorders>
              <w:bottom w:val="single" w:color="auto" w:sz="4" w:space="0"/>
            </w:tcBorders>
            <w:vAlign w:val="center"/>
          </w:tcPr>
          <w:p w:rsidRPr="003C2CBA" w:rsidR="00C1554F" w:rsidP="0010214E" w:rsidRDefault="00C1554F" w14:paraId="70246C12" w14:textId="77777777">
            <w:r w:rsidRPr="003C2CBA">
              <w:t xml:space="preserve">Approved by: </w:t>
            </w:r>
            <w:r>
              <w:t>DTC</w:t>
            </w:r>
          </w:p>
        </w:tc>
        <w:tc>
          <w:tcPr>
            <w:tcW w:w="4820" w:type="dxa"/>
            <w:tcBorders>
              <w:bottom w:val="single" w:color="auto" w:sz="4" w:space="0"/>
            </w:tcBorders>
            <w:vAlign w:val="center"/>
          </w:tcPr>
          <w:p w:rsidRPr="00646E04" w:rsidR="00C1554F" w:rsidP="0010214E" w:rsidRDefault="00C1554F" w14:paraId="4052CEE6" w14:textId="566DC834">
            <w:r w:rsidRPr="00646E04">
              <w:t xml:space="preserve">Approval Date: </w:t>
            </w:r>
            <w:r w:rsidR="00F46085">
              <w:t>June</w:t>
            </w:r>
            <w:r w:rsidR="00260BC8">
              <w:t xml:space="preserve"> 2021</w:t>
            </w:r>
          </w:p>
        </w:tc>
      </w:tr>
    </w:tbl>
    <w:p w:rsidRPr="0050071D" w:rsidR="00694637" w:rsidP="00694637" w:rsidRDefault="00694637" w14:paraId="697E0509" w14:textId="77777777">
      <w:pPr>
        <w:rPr>
          <w:rFonts w:asciiTheme="minorHAnsi" w:hAnsiTheme="minorHAnsi"/>
          <w:sz w:val="20"/>
        </w:rPr>
      </w:pPr>
    </w:p>
    <w:p w:rsidRPr="00E25790" w:rsidR="00115F48" w:rsidP="006F0321" w:rsidRDefault="00115F48" w14:paraId="7F5AD9D2" w14:textId="77777777">
      <w:r w:rsidRPr="00E25790">
        <w:br w:type="page"/>
      </w:r>
    </w:p>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0000"/>
        <w:tblLayout w:type="fixed"/>
        <w:tblLook w:val="0000" w:firstRow="0" w:lastRow="0" w:firstColumn="0" w:lastColumn="0" w:noHBand="0" w:noVBand="0"/>
      </w:tblPr>
      <w:tblGrid>
        <w:gridCol w:w="4153"/>
        <w:gridCol w:w="4896"/>
      </w:tblGrid>
      <w:tr w:rsidRPr="00E25790" w:rsidR="00115F48" w:rsidTr="00B97D99" w14:paraId="0B83EDD1" w14:textId="77777777">
        <w:trPr>
          <w:cantSplit/>
          <w:trHeight w:val="720"/>
        </w:trPr>
        <w:tc>
          <w:tcPr>
            <w:tcW w:w="9049" w:type="dxa"/>
            <w:gridSpan w:val="2"/>
            <w:shd w:val="clear" w:color="auto" w:fill="FF0000"/>
          </w:tcPr>
          <w:p w:rsidRPr="00E25790" w:rsidR="00115F48" w:rsidP="009469DB" w:rsidRDefault="00115F48" w14:paraId="5B634CBE" w14:textId="77777777">
            <w:pPr>
              <w:pStyle w:val="Heading1"/>
            </w:pPr>
            <w:bookmarkStart w:name="_Toc495415473" w:id="270"/>
            <w:bookmarkStart w:name="_Toc495481114" w:id="271"/>
            <w:bookmarkStart w:name="_Toc495481240" w:id="272"/>
            <w:bookmarkStart w:name="_Toc495481365" w:id="273"/>
            <w:bookmarkStart w:name="_Toc495501546" w:id="274"/>
            <w:bookmarkStart w:name="_Toc38106851" w:id="275"/>
            <w:bookmarkStart w:name="_Toc75339977" w:id="276"/>
            <w:r w:rsidRPr="00E25790">
              <w:lastRenderedPageBreak/>
              <w:t>Ganciclovir</w:t>
            </w:r>
            <w:bookmarkEnd w:id="270"/>
            <w:bookmarkEnd w:id="271"/>
            <w:bookmarkEnd w:id="272"/>
            <w:bookmarkEnd w:id="273"/>
            <w:bookmarkEnd w:id="274"/>
            <w:bookmarkEnd w:id="275"/>
            <w:bookmarkEnd w:id="276"/>
            <w:r w:rsidRPr="00E25790">
              <w:fldChar w:fldCharType="begin"/>
            </w:r>
            <w:r w:rsidRPr="00E25790">
              <w:instrText>tc "Ganciclovir" \l 0</w:instrText>
            </w:r>
            <w:r w:rsidRPr="00E25790">
              <w:fldChar w:fldCharType="end"/>
            </w:r>
          </w:p>
        </w:tc>
      </w:tr>
      <w:tr w:rsidRPr="00E25790" w:rsidR="00115F48" w:rsidTr="00B97D99" w14:paraId="30582B14" w14:textId="77777777">
        <w:trPr>
          <w:cantSplit/>
          <w:trHeight w:val="480"/>
        </w:trPr>
        <w:tc>
          <w:tcPr>
            <w:tcW w:w="4153" w:type="dxa"/>
            <w:shd w:val="clear" w:color="auto" w:fill="FF0000"/>
          </w:tcPr>
          <w:p w:rsidRPr="00E25790" w:rsidR="00115F48" w:rsidP="006F0321" w:rsidRDefault="00115F48" w14:paraId="5F4727C4" w14:textId="4112D676">
            <w:r w:rsidRPr="00E25790">
              <w:t>Revision Date</w:t>
            </w:r>
            <w:r w:rsidRPr="00E25790">
              <w:rPr>
                <w:b/>
              </w:rPr>
              <w:t xml:space="preserve"> : </w:t>
            </w:r>
            <w:r w:rsidR="00F728DC">
              <w:rPr>
                <w:b/>
              </w:rPr>
              <w:t>10-12-2020</w:t>
            </w:r>
          </w:p>
        </w:tc>
        <w:tc>
          <w:tcPr>
            <w:tcW w:w="4896" w:type="dxa"/>
            <w:shd w:val="clear" w:color="auto" w:fill="FF0000"/>
          </w:tcPr>
          <w:p w:rsidRPr="00E25790" w:rsidR="00115F48" w:rsidP="006F0321" w:rsidRDefault="00115F48" w14:paraId="47CD76ED" w14:textId="77777777">
            <w:r w:rsidRPr="00E25790">
              <w:t xml:space="preserve">Approved : </w:t>
            </w:r>
            <w:r w:rsidRPr="00E25790" w:rsidR="003C3882">
              <w:t>TC, KOH</w:t>
            </w:r>
          </w:p>
        </w:tc>
      </w:tr>
    </w:tbl>
    <w:p w:rsidRPr="00E25790" w:rsidR="00115F48" w:rsidP="006F0321" w:rsidRDefault="00115F48" w14:paraId="417974F5"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7331"/>
      </w:tblGrid>
      <w:tr w:rsidRPr="003B78EA" w:rsidR="007976CE" w:rsidTr="0059793A" w14:paraId="5CC92EE0" w14:textId="77777777">
        <w:trPr>
          <w:trHeight w:val="263"/>
        </w:trPr>
        <w:tc>
          <w:tcPr>
            <w:tcW w:w="879" w:type="pct"/>
          </w:tcPr>
          <w:p w:rsidRPr="003B78EA" w:rsidR="007976CE" w:rsidP="0059793A" w:rsidRDefault="007976CE" w14:paraId="3E69C59A"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121" w:type="pct"/>
          </w:tcPr>
          <w:p w:rsidRPr="003B78EA" w:rsidR="007976CE" w:rsidP="0059793A" w:rsidRDefault="007976CE" w14:paraId="7ACE70C5" w14:textId="77777777">
            <w:pPr>
              <w:pStyle w:val="BodyText"/>
              <w:rPr>
                <w:rFonts w:asciiTheme="minorHAnsi" w:hAnsiTheme="minorHAnsi" w:cstheme="minorHAnsi"/>
                <w:sz w:val="20"/>
              </w:rPr>
            </w:pPr>
            <w:r>
              <w:rPr>
                <w:rFonts w:cs="Arial" w:asciiTheme="minorHAnsi" w:hAnsiTheme="minorHAnsi"/>
                <w:b/>
                <w:sz w:val="20"/>
              </w:rPr>
              <w:t>High risk medicine. C</w:t>
            </w:r>
            <w:r w:rsidRPr="005A64A0">
              <w:rPr>
                <w:rFonts w:cs="Arial" w:asciiTheme="minorHAnsi" w:hAnsiTheme="minorHAnsi"/>
                <w:b/>
                <w:sz w:val="20"/>
              </w:rPr>
              <w:t>ytotoxic agent.</w:t>
            </w:r>
          </w:p>
        </w:tc>
      </w:tr>
      <w:tr w:rsidRPr="003B78EA" w:rsidR="007976CE" w:rsidTr="0059793A" w14:paraId="09DA61CA" w14:textId="77777777">
        <w:trPr>
          <w:trHeight w:val="263"/>
        </w:trPr>
        <w:tc>
          <w:tcPr>
            <w:tcW w:w="879" w:type="pct"/>
          </w:tcPr>
          <w:p w:rsidRPr="003B78EA" w:rsidR="007976CE" w:rsidP="0059793A" w:rsidRDefault="007976CE" w14:paraId="2D182436"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121" w:type="pct"/>
          </w:tcPr>
          <w:p w:rsidRPr="005A64A0" w:rsidR="007976CE" w:rsidP="0059793A" w:rsidRDefault="007976CE" w14:paraId="1232077B" w14:textId="77777777">
            <w:pPr>
              <w:rPr>
                <w:rFonts w:cs="Calibri Light" w:asciiTheme="minorHAnsi" w:hAnsiTheme="minorHAnsi"/>
                <w:sz w:val="20"/>
              </w:rPr>
            </w:pPr>
            <w:r w:rsidRPr="005A64A0">
              <w:rPr>
                <w:rFonts w:cs="Calibri Light" w:asciiTheme="minorHAnsi" w:hAnsiTheme="minorHAnsi"/>
                <w:sz w:val="20"/>
              </w:rPr>
              <w:t>Treatment of severe or moderately severe</w:t>
            </w:r>
            <w:r>
              <w:rPr>
                <w:rFonts w:cs="Calibri Light" w:asciiTheme="minorHAnsi" w:hAnsiTheme="minorHAnsi"/>
                <w:sz w:val="20"/>
              </w:rPr>
              <w:t>,</w:t>
            </w:r>
            <w:r w:rsidRPr="005A64A0">
              <w:rPr>
                <w:rFonts w:cs="Calibri Light" w:asciiTheme="minorHAnsi" w:hAnsiTheme="minorHAnsi"/>
                <w:sz w:val="20"/>
              </w:rPr>
              <w:t xml:space="preserve"> symptomatic congenital CMV </w:t>
            </w:r>
          </w:p>
          <w:p w:rsidRPr="003B78EA" w:rsidR="007976CE" w:rsidP="0059793A" w:rsidRDefault="007976CE" w14:paraId="2455C7B0" w14:textId="77777777">
            <w:pPr>
              <w:rPr>
                <w:rFonts w:asciiTheme="minorHAnsi" w:hAnsiTheme="minorHAnsi" w:cstheme="minorHAnsi"/>
                <w:sz w:val="20"/>
              </w:rPr>
            </w:pPr>
            <w:r w:rsidRPr="005A64A0">
              <w:rPr>
                <w:rFonts w:cs="Calibri Light" w:asciiTheme="minorHAnsi" w:hAnsiTheme="minorHAnsi"/>
                <w:sz w:val="20"/>
              </w:rPr>
              <w:t xml:space="preserve">Treatment of acute severe CMV disease. </w:t>
            </w:r>
          </w:p>
        </w:tc>
      </w:tr>
      <w:tr w:rsidRPr="003B78EA" w:rsidR="007976CE" w:rsidTr="0059793A" w14:paraId="7EFBFCCB" w14:textId="77777777">
        <w:trPr>
          <w:trHeight w:val="263"/>
        </w:trPr>
        <w:tc>
          <w:tcPr>
            <w:tcW w:w="879" w:type="pct"/>
          </w:tcPr>
          <w:p w:rsidRPr="003B78EA" w:rsidR="007976CE" w:rsidP="0059793A" w:rsidRDefault="007976CE" w14:paraId="19E6345D"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121" w:type="pct"/>
          </w:tcPr>
          <w:p w:rsidRPr="003B78EA" w:rsidR="007976CE" w:rsidP="0059793A" w:rsidRDefault="007976CE" w14:paraId="2F738D2E" w14:textId="77777777">
            <w:pPr>
              <w:rPr>
                <w:rFonts w:asciiTheme="minorHAnsi" w:hAnsiTheme="minorHAnsi" w:cstheme="minorHAnsi"/>
                <w:sz w:val="20"/>
              </w:rPr>
            </w:pPr>
            <w:r w:rsidRPr="005A64A0">
              <w:rPr>
                <w:rFonts w:cs="Arial" w:asciiTheme="minorHAnsi" w:hAnsiTheme="minorHAnsi"/>
                <w:sz w:val="20"/>
              </w:rPr>
              <w:t>Synthetic nucleoside analogue of 2-deoxyguanosine that inhibits replication of herpes viruses</w:t>
            </w:r>
            <w:r>
              <w:rPr>
                <w:rFonts w:cs="Arial" w:asciiTheme="minorHAnsi" w:hAnsiTheme="minorHAnsi"/>
                <w:sz w:val="20"/>
              </w:rPr>
              <w:t xml:space="preserve"> such as </w:t>
            </w:r>
            <w:r w:rsidRPr="005A64A0">
              <w:rPr>
                <w:rFonts w:cs="Arial" w:asciiTheme="minorHAnsi" w:hAnsiTheme="minorHAnsi"/>
                <w:sz w:val="20"/>
              </w:rPr>
              <w:t>cytomegalovirus, herpes simplex virus 1 and 2, herpes virus type 6, 7 and 8, Epstein-Barr virus, varicella zoster virus and hepatitis B virus.</w:t>
            </w:r>
          </w:p>
        </w:tc>
      </w:tr>
      <w:tr w:rsidRPr="003B78EA" w:rsidR="007976CE" w:rsidTr="0059793A" w14:paraId="3694278C" w14:textId="77777777">
        <w:trPr>
          <w:trHeight w:val="263"/>
        </w:trPr>
        <w:tc>
          <w:tcPr>
            <w:tcW w:w="879" w:type="pct"/>
          </w:tcPr>
          <w:p w:rsidRPr="003B78EA" w:rsidR="007976CE" w:rsidP="0059793A" w:rsidRDefault="007976CE" w14:paraId="241DE4D8"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121" w:type="pct"/>
          </w:tcPr>
          <w:p w:rsidRPr="003B78EA" w:rsidR="007976CE" w:rsidP="0059793A" w:rsidRDefault="007976CE" w14:paraId="29E0F7EE" w14:textId="77777777">
            <w:pPr>
              <w:pStyle w:val="BodyText"/>
              <w:rPr>
                <w:rFonts w:asciiTheme="minorHAnsi" w:hAnsiTheme="minorHAnsi" w:cstheme="minorHAnsi"/>
                <w:sz w:val="20"/>
              </w:rPr>
            </w:pPr>
            <w:r w:rsidRPr="005A64A0">
              <w:rPr>
                <w:rFonts w:cs="Arial" w:asciiTheme="minorHAnsi" w:hAnsiTheme="minorHAnsi"/>
                <w:sz w:val="20"/>
              </w:rPr>
              <w:t xml:space="preserve">Antiviral </w:t>
            </w:r>
          </w:p>
        </w:tc>
      </w:tr>
      <w:tr w:rsidRPr="003B78EA" w:rsidR="007976CE" w:rsidTr="0059793A" w14:paraId="6B7E4FD3" w14:textId="77777777">
        <w:trPr>
          <w:trHeight w:val="263"/>
        </w:trPr>
        <w:tc>
          <w:tcPr>
            <w:tcW w:w="879" w:type="pct"/>
          </w:tcPr>
          <w:p w:rsidRPr="003B78EA" w:rsidR="007976CE" w:rsidP="0059793A" w:rsidRDefault="007976CE" w14:paraId="6CBE07A3"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121" w:type="pct"/>
          </w:tcPr>
          <w:p w:rsidRPr="003B78EA" w:rsidR="007976CE" w:rsidP="0059793A" w:rsidRDefault="007976CE" w14:paraId="5137F9FD" w14:textId="77777777">
            <w:pPr>
              <w:pStyle w:val="BodyText"/>
              <w:rPr>
                <w:rFonts w:asciiTheme="minorHAnsi" w:hAnsiTheme="minorHAnsi" w:cstheme="minorHAnsi"/>
                <w:sz w:val="20"/>
              </w:rPr>
            </w:pPr>
            <w:r w:rsidRPr="005A64A0">
              <w:rPr>
                <w:rFonts w:cs="Arial" w:asciiTheme="minorHAnsi" w:hAnsiTheme="minorHAnsi"/>
                <w:sz w:val="20"/>
              </w:rPr>
              <w:t>Cymevene</w:t>
            </w:r>
            <w:r>
              <w:rPr>
                <w:rFonts w:cs="Arial" w:asciiTheme="minorHAnsi" w:hAnsiTheme="minorHAnsi"/>
                <w:sz w:val="20"/>
              </w:rPr>
              <w:t>, Ganciclovir SXP</w:t>
            </w:r>
          </w:p>
        </w:tc>
      </w:tr>
      <w:tr w:rsidRPr="003B78EA" w:rsidR="007976CE" w:rsidTr="0059793A" w14:paraId="4A10958B" w14:textId="77777777">
        <w:trPr>
          <w:trHeight w:val="263"/>
        </w:trPr>
        <w:tc>
          <w:tcPr>
            <w:tcW w:w="879" w:type="pct"/>
          </w:tcPr>
          <w:p w:rsidRPr="003B78EA" w:rsidR="007976CE" w:rsidP="0059793A" w:rsidRDefault="007976CE" w14:paraId="67C94796"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121" w:type="pct"/>
          </w:tcPr>
          <w:p w:rsidRPr="003B78EA" w:rsidR="007976CE" w:rsidP="0059793A" w:rsidRDefault="007976CE" w14:paraId="2FCC4219" w14:textId="77777777">
            <w:pPr>
              <w:pStyle w:val="BodyText"/>
              <w:rPr>
                <w:rFonts w:asciiTheme="minorHAnsi" w:hAnsiTheme="minorHAnsi" w:cstheme="minorHAnsi"/>
                <w:sz w:val="20"/>
              </w:rPr>
            </w:pPr>
            <w:r w:rsidRPr="005A64A0">
              <w:rPr>
                <w:rFonts w:cs="Arial" w:asciiTheme="minorHAnsi" w:hAnsiTheme="minorHAnsi"/>
                <w:sz w:val="20"/>
              </w:rPr>
              <w:t>500</w:t>
            </w:r>
            <w:r>
              <w:rPr>
                <w:rFonts w:cs="Arial" w:asciiTheme="minorHAnsi" w:hAnsiTheme="minorHAnsi"/>
                <w:sz w:val="20"/>
              </w:rPr>
              <w:t xml:space="preserve"> </w:t>
            </w:r>
            <w:r w:rsidRPr="005A64A0">
              <w:rPr>
                <w:rFonts w:cs="Arial" w:asciiTheme="minorHAnsi" w:hAnsiTheme="minorHAnsi"/>
                <w:sz w:val="20"/>
              </w:rPr>
              <w:t xml:space="preserve">mg </w:t>
            </w:r>
            <w:r w:rsidRPr="0017295D">
              <w:rPr>
                <w:rFonts w:cs="Arial" w:asciiTheme="minorHAnsi" w:hAnsiTheme="minorHAnsi"/>
                <w:sz w:val="20"/>
              </w:rPr>
              <w:t xml:space="preserve">ganciclovir sodium </w:t>
            </w:r>
            <w:r>
              <w:rPr>
                <w:rFonts w:cs="Arial" w:asciiTheme="minorHAnsi" w:hAnsiTheme="minorHAnsi"/>
                <w:sz w:val="20"/>
              </w:rPr>
              <w:t>vial for reconstitution</w:t>
            </w:r>
          </w:p>
        </w:tc>
      </w:tr>
      <w:tr w:rsidR="007976CE" w:rsidTr="0059793A" w14:paraId="174366B4" w14:textId="77777777">
        <w:trPr>
          <w:trHeight w:val="263"/>
        </w:trPr>
        <w:tc>
          <w:tcPr>
            <w:tcW w:w="879" w:type="pct"/>
          </w:tcPr>
          <w:p w:rsidRPr="003B78EA" w:rsidR="007976CE" w:rsidP="0059793A" w:rsidRDefault="007976CE" w14:paraId="7945D4E0"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121" w:type="pct"/>
          </w:tcPr>
          <w:p w:rsidRPr="005A64A0" w:rsidR="007976CE" w:rsidP="0059793A" w:rsidRDefault="007976CE" w14:paraId="07049E59" w14:textId="77777777">
            <w:pPr>
              <w:spacing w:after="120"/>
              <w:rPr>
                <w:rFonts w:cs="Arial" w:asciiTheme="minorHAnsi" w:hAnsiTheme="minorHAnsi"/>
                <w:sz w:val="20"/>
              </w:rPr>
            </w:pPr>
            <w:r w:rsidRPr="005A64A0">
              <w:rPr>
                <w:rFonts w:cs="Arial" w:asciiTheme="minorHAnsi" w:hAnsiTheme="minorHAnsi"/>
                <w:sz w:val="20"/>
              </w:rPr>
              <w:t>6</w:t>
            </w:r>
            <w:r>
              <w:rPr>
                <w:rFonts w:cs="Arial" w:asciiTheme="minorHAnsi" w:hAnsiTheme="minorHAnsi"/>
                <w:sz w:val="20"/>
              </w:rPr>
              <w:t xml:space="preserve"> </w:t>
            </w:r>
            <w:r w:rsidRPr="005A64A0">
              <w:rPr>
                <w:rFonts w:cs="Arial" w:asciiTheme="minorHAnsi" w:hAnsiTheme="minorHAnsi"/>
                <w:sz w:val="20"/>
              </w:rPr>
              <w:t>mg/kg/dose 12 hourly</w:t>
            </w:r>
            <w:r>
              <w:rPr>
                <w:rFonts w:cs="Arial" w:asciiTheme="minorHAnsi" w:hAnsiTheme="minorHAnsi"/>
                <w:sz w:val="20"/>
              </w:rPr>
              <w:t>.</w:t>
            </w:r>
          </w:p>
          <w:p w:rsidR="007976CE" w:rsidP="0059793A" w:rsidRDefault="007976CE" w14:paraId="573B714E" w14:textId="77777777">
            <w:pPr>
              <w:pStyle w:val="BodyText"/>
              <w:rPr>
                <w:rFonts w:cs="Arial" w:asciiTheme="minorHAnsi" w:hAnsiTheme="minorHAnsi"/>
                <w:sz w:val="20"/>
              </w:rPr>
            </w:pPr>
            <w:r w:rsidRPr="005A64A0">
              <w:rPr>
                <w:rFonts w:cs="Arial" w:asciiTheme="minorHAnsi" w:hAnsiTheme="minorHAnsi"/>
                <w:sz w:val="20"/>
              </w:rPr>
              <w:t xml:space="preserve">Infants may be switched to oral valganciclovir if clinically stable and able to take oral medications. </w:t>
            </w:r>
          </w:p>
          <w:p w:rsidR="007976CE" w:rsidP="0059793A" w:rsidRDefault="007976CE" w14:paraId="1E76A749" w14:textId="77777777">
            <w:pPr>
              <w:pStyle w:val="BodyText"/>
              <w:rPr>
                <w:rFonts w:cs="Arial" w:asciiTheme="minorHAnsi" w:hAnsiTheme="minorHAnsi"/>
                <w:sz w:val="20"/>
              </w:rPr>
            </w:pPr>
            <w:r w:rsidRPr="005A64A0">
              <w:rPr>
                <w:rFonts w:cs="Arial" w:asciiTheme="minorHAnsi" w:hAnsiTheme="minorHAnsi"/>
                <w:sz w:val="20"/>
              </w:rPr>
              <w:t xml:space="preserve">IV ganciclovir should generally not be used for more than 6 weeks. </w:t>
            </w:r>
          </w:p>
          <w:p w:rsidR="007976CE" w:rsidP="0059793A" w:rsidRDefault="007976CE" w14:paraId="48FC6F37" w14:textId="77777777">
            <w:pPr>
              <w:pStyle w:val="BodyText"/>
              <w:ind w:left="720" w:hanging="720"/>
              <w:rPr>
                <w:rFonts w:asciiTheme="minorHAnsi" w:hAnsiTheme="minorHAnsi" w:cstheme="minorHAnsi"/>
                <w:sz w:val="20"/>
              </w:rPr>
            </w:pPr>
            <w:r w:rsidRPr="005A64A0">
              <w:rPr>
                <w:rFonts w:cs="Arial" w:asciiTheme="minorHAnsi" w:hAnsiTheme="minorHAnsi"/>
                <w:sz w:val="20"/>
              </w:rPr>
              <w:t>Please note</w:t>
            </w:r>
            <w:r>
              <w:rPr>
                <w:rFonts w:cs="Arial" w:asciiTheme="minorHAnsi" w:hAnsiTheme="minorHAnsi"/>
                <w:sz w:val="20"/>
              </w:rPr>
              <w:t>,</w:t>
            </w:r>
            <w:r w:rsidRPr="005A64A0">
              <w:rPr>
                <w:rFonts w:cs="Arial" w:asciiTheme="minorHAnsi" w:hAnsiTheme="minorHAnsi"/>
                <w:sz w:val="20"/>
              </w:rPr>
              <w:t xml:space="preserve"> oral valganciclovir is the oral prodrug of ganciclovir and prescribed at a different dose.</w:t>
            </w:r>
          </w:p>
        </w:tc>
      </w:tr>
      <w:tr w:rsidRPr="003B78EA" w:rsidR="007976CE" w:rsidTr="0059793A" w14:paraId="23A3268D" w14:textId="77777777">
        <w:trPr>
          <w:trHeight w:val="263"/>
        </w:trPr>
        <w:tc>
          <w:tcPr>
            <w:tcW w:w="879" w:type="pct"/>
          </w:tcPr>
          <w:p w:rsidRPr="003B78EA" w:rsidR="007976CE" w:rsidP="0059793A" w:rsidRDefault="007976CE" w14:paraId="0FC7B314"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121" w:type="pct"/>
          </w:tcPr>
          <w:p w:rsidRPr="003B78EA" w:rsidR="007976CE" w:rsidP="0059793A" w:rsidRDefault="007976CE" w14:paraId="7B2DB5C4" w14:textId="77777777">
            <w:pPr>
              <w:pStyle w:val="BodyText"/>
              <w:rPr>
                <w:rFonts w:asciiTheme="minorHAnsi" w:hAnsiTheme="minorHAnsi" w:cstheme="minorHAnsi"/>
                <w:sz w:val="20"/>
              </w:rPr>
            </w:pPr>
          </w:p>
        </w:tc>
      </w:tr>
      <w:tr w:rsidRPr="003B78EA" w:rsidR="007976CE" w:rsidTr="0059793A" w14:paraId="0C1E3827" w14:textId="77777777">
        <w:trPr>
          <w:trHeight w:val="263"/>
        </w:trPr>
        <w:tc>
          <w:tcPr>
            <w:tcW w:w="879" w:type="pct"/>
          </w:tcPr>
          <w:p w:rsidRPr="003B78EA" w:rsidR="007976CE" w:rsidP="0059793A" w:rsidRDefault="007976CE" w14:paraId="450ABCEC"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121" w:type="pct"/>
          </w:tcPr>
          <w:p w:rsidRPr="003B78EA" w:rsidR="007976CE" w:rsidP="0059793A" w:rsidRDefault="007976CE" w14:paraId="47FE916F" w14:textId="77777777">
            <w:pPr>
              <w:pStyle w:val="BodyText"/>
              <w:rPr>
                <w:rFonts w:asciiTheme="minorHAnsi" w:hAnsiTheme="minorHAnsi" w:cstheme="minorHAnsi"/>
                <w:sz w:val="20"/>
              </w:rPr>
            </w:pPr>
          </w:p>
        </w:tc>
      </w:tr>
      <w:tr w:rsidRPr="003B78EA" w:rsidR="007976CE" w:rsidTr="0059793A" w14:paraId="1C29820D" w14:textId="77777777">
        <w:trPr>
          <w:trHeight w:val="263"/>
        </w:trPr>
        <w:tc>
          <w:tcPr>
            <w:tcW w:w="879" w:type="pct"/>
          </w:tcPr>
          <w:p w:rsidRPr="003B78EA" w:rsidR="007976CE" w:rsidP="0059793A" w:rsidRDefault="007976CE" w14:paraId="7E5CE810"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121" w:type="pct"/>
          </w:tcPr>
          <w:p w:rsidRPr="003B78EA" w:rsidR="007976CE" w:rsidP="0059793A" w:rsidRDefault="007976CE" w14:paraId="4D3F9AFC" w14:textId="77777777">
            <w:pPr>
              <w:pStyle w:val="BodyText"/>
              <w:rPr>
                <w:rFonts w:asciiTheme="minorHAnsi" w:hAnsiTheme="minorHAnsi" w:cstheme="minorHAnsi"/>
                <w:b/>
                <w:sz w:val="20"/>
              </w:rPr>
            </w:pPr>
          </w:p>
        </w:tc>
      </w:tr>
      <w:tr w:rsidRPr="003B78EA" w:rsidR="007976CE" w:rsidTr="0059793A" w14:paraId="628B9C84" w14:textId="77777777">
        <w:trPr>
          <w:trHeight w:val="263"/>
        </w:trPr>
        <w:tc>
          <w:tcPr>
            <w:tcW w:w="879" w:type="pct"/>
          </w:tcPr>
          <w:p w:rsidRPr="003B78EA" w:rsidR="007976CE" w:rsidP="0059793A" w:rsidRDefault="007976CE" w14:paraId="7F6EF1A7"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121" w:type="pct"/>
          </w:tcPr>
          <w:p w:rsidRPr="003B78EA" w:rsidR="007976CE" w:rsidP="0059793A" w:rsidRDefault="007976CE" w14:paraId="5E399811" w14:textId="77777777">
            <w:pPr>
              <w:pStyle w:val="BodyText"/>
              <w:rPr>
                <w:rFonts w:asciiTheme="minorHAnsi" w:hAnsiTheme="minorHAnsi" w:cstheme="minorHAnsi"/>
                <w:sz w:val="20"/>
              </w:rPr>
            </w:pPr>
            <w:r w:rsidRPr="005A64A0">
              <w:rPr>
                <w:rFonts w:cs="Arial" w:asciiTheme="minorHAnsi" w:hAnsiTheme="minorHAnsi"/>
                <w:sz w:val="20"/>
              </w:rPr>
              <w:t>IV</w:t>
            </w:r>
          </w:p>
        </w:tc>
      </w:tr>
      <w:tr w:rsidRPr="003B78EA" w:rsidR="007976CE" w:rsidTr="0059793A" w14:paraId="01B02DA1" w14:textId="77777777">
        <w:trPr>
          <w:trHeight w:val="263"/>
        </w:trPr>
        <w:tc>
          <w:tcPr>
            <w:tcW w:w="879" w:type="pct"/>
          </w:tcPr>
          <w:p w:rsidRPr="003B78EA" w:rsidR="007976CE" w:rsidP="0059793A" w:rsidRDefault="007976CE" w14:paraId="210053B7"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121" w:type="pct"/>
          </w:tcPr>
          <w:p w:rsidRPr="003B78EA" w:rsidR="007976CE" w:rsidP="0059793A" w:rsidRDefault="007976CE" w14:paraId="24984C34" w14:textId="77777777">
            <w:pPr>
              <w:pStyle w:val="BodyText"/>
              <w:rPr>
                <w:rFonts w:asciiTheme="minorHAnsi" w:hAnsiTheme="minorHAnsi" w:cstheme="minorHAnsi"/>
                <w:sz w:val="20"/>
              </w:rPr>
            </w:pPr>
            <w:r w:rsidRPr="005A64A0">
              <w:rPr>
                <w:rFonts w:cs="Arial" w:asciiTheme="minorHAnsi" w:hAnsiTheme="minorHAnsi"/>
                <w:b/>
                <w:sz w:val="20"/>
              </w:rPr>
              <w:t xml:space="preserve">IV </w:t>
            </w:r>
            <w:r>
              <w:rPr>
                <w:rFonts w:cs="Arial" w:asciiTheme="minorHAnsi" w:hAnsiTheme="minorHAnsi"/>
                <w:b/>
                <w:sz w:val="20"/>
              </w:rPr>
              <w:t>Provided by pharmacy</w:t>
            </w:r>
            <w:r w:rsidRPr="005A64A0">
              <w:rPr>
                <w:rFonts w:cs="Arial" w:asciiTheme="minorHAnsi" w:hAnsiTheme="minorHAnsi"/>
                <w:sz w:val="20"/>
              </w:rPr>
              <w:t xml:space="preserve"> </w:t>
            </w:r>
            <w:r>
              <w:rPr>
                <w:rFonts w:cs="Arial" w:asciiTheme="minorHAnsi" w:hAnsiTheme="minorHAnsi"/>
                <w:sz w:val="20"/>
              </w:rPr>
              <w:t xml:space="preserve">of the </w:t>
            </w:r>
            <w:r w:rsidRPr="005A64A0">
              <w:rPr>
                <w:rFonts w:cs="Arial" w:asciiTheme="minorHAnsi" w:hAnsiTheme="minorHAnsi"/>
                <w:sz w:val="20"/>
              </w:rPr>
              <w:t>reconstituted/pre-diluted product. Final concentration should not be higher than 10</w:t>
            </w:r>
            <w:r>
              <w:rPr>
                <w:rFonts w:cs="Arial" w:asciiTheme="minorHAnsi" w:hAnsiTheme="minorHAnsi"/>
                <w:sz w:val="20"/>
              </w:rPr>
              <w:t xml:space="preserve"> </w:t>
            </w:r>
            <w:r w:rsidRPr="005A64A0">
              <w:rPr>
                <w:rFonts w:cs="Arial" w:asciiTheme="minorHAnsi" w:hAnsiTheme="minorHAnsi"/>
                <w:sz w:val="20"/>
              </w:rPr>
              <w:t>mg/mL.</w:t>
            </w:r>
            <w:r>
              <w:rPr>
                <w:rFonts w:cs="Arial" w:asciiTheme="minorHAnsi" w:hAnsiTheme="minorHAnsi"/>
                <w:sz w:val="20"/>
              </w:rPr>
              <w:t xml:space="preserve"> Cytotoxic agent so infusion should not be manipulated on the ward. </w:t>
            </w:r>
          </w:p>
        </w:tc>
      </w:tr>
      <w:tr w:rsidRPr="003B78EA" w:rsidR="007976CE" w:rsidTr="0059793A" w14:paraId="77BF8D6A" w14:textId="77777777">
        <w:trPr>
          <w:trHeight w:val="263"/>
        </w:trPr>
        <w:tc>
          <w:tcPr>
            <w:tcW w:w="879" w:type="pct"/>
          </w:tcPr>
          <w:p w:rsidRPr="003B78EA" w:rsidR="007976CE" w:rsidP="0059793A" w:rsidRDefault="007976CE" w14:paraId="5ED31895"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121" w:type="pct"/>
          </w:tcPr>
          <w:p w:rsidR="007976CE" w:rsidP="0059793A" w:rsidRDefault="007976CE" w14:paraId="6362F494" w14:textId="77777777">
            <w:pPr>
              <w:spacing w:after="120"/>
              <w:rPr>
                <w:rFonts w:cs="Arial" w:asciiTheme="minorHAnsi" w:hAnsiTheme="minorHAnsi"/>
                <w:b/>
                <w:sz w:val="20"/>
              </w:rPr>
            </w:pPr>
            <w:r w:rsidRPr="005A64A0">
              <w:rPr>
                <w:rFonts w:cs="Arial" w:asciiTheme="minorHAnsi" w:hAnsiTheme="minorHAnsi"/>
                <w:b/>
                <w:sz w:val="20"/>
              </w:rPr>
              <w:t xml:space="preserve">IV </w:t>
            </w:r>
          </w:p>
          <w:p w:rsidRPr="005A64A0" w:rsidR="007976CE" w:rsidP="0059793A" w:rsidRDefault="007976CE" w14:paraId="664DCA8C" w14:textId="77777777">
            <w:pPr>
              <w:spacing w:after="120"/>
              <w:rPr>
                <w:rFonts w:cs="Arial" w:asciiTheme="minorHAnsi" w:hAnsiTheme="minorHAnsi"/>
                <w:b/>
                <w:sz w:val="20"/>
              </w:rPr>
            </w:pPr>
            <w:r w:rsidRPr="005A64A0">
              <w:rPr>
                <w:rFonts w:cs="Arial" w:asciiTheme="minorHAnsi" w:hAnsiTheme="minorHAnsi"/>
                <w:b/>
                <w:sz w:val="20"/>
              </w:rPr>
              <w:t xml:space="preserve">Follow full cytotoxic precautions as per local policy. </w:t>
            </w:r>
          </w:p>
          <w:p w:rsidRPr="003B78EA" w:rsidR="007976CE" w:rsidP="0059793A" w:rsidRDefault="007976CE" w14:paraId="51605591" w14:textId="77777777">
            <w:pPr>
              <w:pStyle w:val="BodyText"/>
              <w:rPr>
                <w:rFonts w:asciiTheme="minorHAnsi" w:hAnsiTheme="minorHAnsi" w:cstheme="minorHAnsi"/>
                <w:sz w:val="20"/>
              </w:rPr>
            </w:pPr>
            <w:r w:rsidRPr="005A64A0">
              <w:rPr>
                <w:rFonts w:cs="Arial" w:asciiTheme="minorHAnsi" w:hAnsiTheme="minorHAnsi"/>
                <w:sz w:val="20"/>
              </w:rPr>
              <w:t>IV infusion over 30 minutes</w:t>
            </w:r>
            <w:r>
              <w:rPr>
                <w:rFonts w:cs="Arial" w:asciiTheme="minorHAnsi" w:hAnsiTheme="minorHAnsi"/>
                <w:sz w:val="20"/>
              </w:rPr>
              <w:t xml:space="preserve"> preferably via central venous access</w:t>
            </w:r>
            <w:r w:rsidRPr="005A64A0">
              <w:rPr>
                <w:rFonts w:cs="Arial" w:asciiTheme="minorHAnsi" w:hAnsiTheme="minorHAnsi"/>
                <w:sz w:val="20"/>
              </w:rPr>
              <w:t xml:space="preserve">. </w:t>
            </w:r>
          </w:p>
        </w:tc>
      </w:tr>
      <w:tr w:rsidRPr="007F4B77" w:rsidR="007976CE" w:rsidTr="0059793A" w14:paraId="10110AEE" w14:textId="77777777">
        <w:trPr>
          <w:trHeight w:val="263"/>
        </w:trPr>
        <w:tc>
          <w:tcPr>
            <w:tcW w:w="879" w:type="pct"/>
          </w:tcPr>
          <w:p w:rsidRPr="003B78EA" w:rsidR="007976CE" w:rsidP="0059793A" w:rsidRDefault="007976CE" w14:paraId="0AA11160"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121" w:type="pct"/>
          </w:tcPr>
          <w:p w:rsidR="007976CE" w:rsidP="0059793A" w:rsidRDefault="007976CE" w14:paraId="602438B6" w14:textId="77777777">
            <w:pPr>
              <w:spacing w:after="120"/>
              <w:rPr>
                <w:rFonts w:cs="Arial" w:asciiTheme="minorHAnsi" w:hAnsiTheme="minorHAnsi"/>
                <w:sz w:val="20"/>
              </w:rPr>
            </w:pPr>
            <w:r>
              <w:rPr>
                <w:rFonts w:cs="Arial" w:asciiTheme="minorHAnsi" w:hAnsiTheme="minorHAnsi"/>
                <w:sz w:val="20"/>
              </w:rPr>
              <w:t xml:space="preserve">Full blood count, particularly </w:t>
            </w:r>
            <w:r w:rsidRPr="0027284A">
              <w:rPr>
                <w:rFonts w:cs="Arial" w:asciiTheme="minorHAnsi" w:hAnsiTheme="minorHAnsi"/>
                <w:sz w:val="20"/>
              </w:rPr>
              <w:t>neutrophil</w:t>
            </w:r>
            <w:r>
              <w:rPr>
                <w:rFonts w:cs="Arial" w:asciiTheme="minorHAnsi" w:hAnsiTheme="minorHAnsi"/>
                <w:sz w:val="20"/>
              </w:rPr>
              <w:t>s,</w:t>
            </w:r>
            <w:r w:rsidRPr="0027284A">
              <w:rPr>
                <w:rFonts w:cs="Arial" w:asciiTheme="minorHAnsi" w:hAnsiTheme="minorHAnsi"/>
                <w:sz w:val="20"/>
              </w:rPr>
              <w:t xml:space="preserve"> should be followed weekly for 6 weeks, then at week 8, then monthly for the duration of therapy</w:t>
            </w:r>
            <w:r>
              <w:rPr>
                <w:rFonts w:cs="Arial" w:asciiTheme="minorHAnsi" w:hAnsiTheme="minorHAnsi"/>
                <w:sz w:val="20"/>
              </w:rPr>
              <w:t>.</w:t>
            </w:r>
          </w:p>
          <w:p w:rsidRPr="0027284A" w:rsidR="007976CE" w:rsidP="0059793A" w:rsidRDefault="007976CE" w14:paraId="68A077BB" w14:textId="77777777">
            <w:pPr>
              <w:spacing w:after="120"/>
              <w:rPr>
                <w:rFonts w:cs="Arial" w:asciiTheme="minorHAnsi" w:hAnsiTheme="minorHAnsi"/>
                <w:sz w:val="20"/>
              </w:rPr>
            </w:pPr>
            <w:r>
              <w:rPr>
                <w:rFonts w:cs="Arial" w:asciiTheme="minorHAnsi" w:hAnsiTheme="minorHAnsi"/>
                <w:sz w:val="20"/>
              </w:rPr>
              <w:t>IV site for phlebitis</w:t>
            </w:r>
          </w:p>
          <w:p w:rsidRPr="005A64A0" w:rsidR="007976CE" w:rsidP="0059793A" w:rsidRDefault="007976CE" w14:paraId="6F1E2410" w14:textId="77777777">
            <w:pPr>
              <w:spacing w:after="120"/>
              <w:rPr>
                <w:rFonts w:cs="Arial" w:asciiTheme="minorHAnsi" w:hAnsiTheme="minorHAnsi"/>
                <w:sz w:val="20"/>
              </w:rPr>
            </w:pPr>
            <w:r w:rsidRPr="005A64A0">
              <w:rPr>
                <w:rFonts w:cs="Arial" w:asciiTheme="minorHAnsi" w:hAnsiTheme="minorHAnsi"/>
                <w:sz w:val="20"/>
              </w:rPr>
              <w:t>Liver function tests</w:t>
            </w:r>
            <w:r>
              <w:rPr>
                <w:rFonts w:cs="Arial" w:asciiTheme="minorHAnsi" w:hAnsiTheme="minorHAnsi"/>
                <w:sz w:val="20"/>
              </w:rPr>
              <w:t xml:space="preserve"> monthly throughout therapy</w:t>
            </w:r>
            <w:r w:rsidRPr="005A64A0">
              <w:rPr>
                <w:rFonts w:cs="Arial" w:asciiTheme="minorHAnsi" w:hAnsiTheme="minorHAnsi"/>
                <w:sz w:val="20"/>
              </w:rPr>
              <w:t>.</w:t>
            </w:r>
          </w:p>
          <w:p w:rsidRPr="007F4B77" w:rsidR="007976CE" w:rsidP="0059793A" w:rsidRDefault="007976CE" w14:paraId="725A5F90" w14:textId="77777777">
            <w:pPr>
              <w:pStyle w:val="BodyText"/>
              <w:rPr>
                <w:rFonts w:asciiTheme="minorHAnsi" w:hAnsiTheme="minorHAnsi" w:cstheme="minorHAnsi"/>
                <w:sz w:val="20"/>
              </w:rPr>
            </w:pPr>
            <w:r w:rsidRPr="005A64A0">
              <w:rPr>
                <w:rFonts w:cs="Arial" w:asciiTheme="minorHAnsi" w:hAnsiTheme="minorHAnsi"/>
                <w:sz w:val="20"/>
              </w:rPr>
              <w:t>Renal function tests.</w:t>
            </w:r>
          </w:p>
        </w:tc>
      </w:tr>
      <w:tr w:rsidR="007976CE" w:rsidTr="0059793A" w14:paraId="1DA5CB0C" w14:textId="77777777">
        <w:trPr>
          <w:trHeight w:val="263"/>
        </w:trPr>
        <w:tc>
          <w:tcPr>
            <w:tcW w:w="879" w:type="pct"/>
          </w:tcPr>
          <w:p w:rsidRPr="003B78EA" w:rsidR="007976CE" w:rsidP="0059793A" w:rsidRDefault="007976CE" w14:paraId="78DD0A6C"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121" w:type="pct"/>
          </w:tcPr>
          <w:p w:rsidRPr="005A64A0" w:rsidR="007976CE" w:rsidP="0059793A" w:rsidRDefault="007976CE" w14:paraId="52E5D9C1" w14:textId="77777777">
            <w:pPr>
              <w:spacing w:after="120"/>
              <w:rPr>
                <w:rFonts w:cs="Arial" w:asciiTheme="minorHAnsi" w:hAnsiTheme="minorHAnsi"/>
                <w:sz w:val="20"/>
              </w:rPr>
            </w:pPr>
            <w:r w:rsidRPr="005A64A0">
              <w:rPr>
                <w:rFonts w:cs="Arial" w:asciiTheme="minorHAnsi" w:hAnsiTheme="minorHAnsi"/>
                <w:sz w:val="20"/>
              </w:rPr>
              <w:t>Hypersensitivity to ganciclovir, valganciclovir, ac</w:t>
            </w:r>
            <w:r>
              <w:rPr>
                <w:rFonts w:cs="Arial" w:asciiTheme="minorHAnsi" w:hAnsiTheme="minorHAnsi"/>
                <w:sz w:val="20"/>
              </w:rPr>
              <w:t>i</w:t>
            </w:r>
            <w:r w:rsidRPr="005A64A0">
              <w:rPr>
                <w:rFonts w:cs="Arial" w:asciiTheme="minorHAnsi" w:hAnsiTheme="minorHAnsi"/>
                <w:sz w:val="20"/>
              </w:rPr>
              <w:t xml:space="preserve">clovir or valacyclovir. </w:t>
            </w:r>
          </w:p>
          <w:p w:rsidRPr="005A64A0" w:rsidR="007976CE" w:rsidP="0059793A" w:rsidRDefault="007976CE" w14:paraId="56DF9927" w14:textId="77777777">
            <w:pPr>
              <w:pStyle w:val="BodyText"/>
              <w:rPr>
                <w:rFonts w:cs="Arial" w:asciiTheme="minorHAnsi" w:hAnsiTheme="minorHAnsi"/>
                <w:sz w:val="20"/>
              </w:rPr>
            </w:pPr>
            <w:r w:rsidRPr="005A64A0">
              <w:rPr>
                <w:rFonts w:cs="Arial" w:asciiTheme="minorHAnsi" w:hAnsiTheme="minorHAnsi"/>
                <w:sz w:val="20"/>
              </w:rPr>
              <w:t>Patients with:</w:t>
            </w:r>
          </w:p>
          <w:p w:rsidRPr="005A64A0" w:rsidR="007976CE" w:rsidP="001B0E05" w:rsidRDefault="007976CE" w14:paraId="5B03576A" w14:textId="77777777">
            <w:pPr>
              <w:pStyle w:val="BodyText"/>
              <w:numPr>
                <w:ilvl w:val="0"/>
                <w:numId w:val="25"/>
              </w:numPr>
              <w:overflowPunct w:val="0"/>
              <w:autoSpaceDE w:val="0"/>
              <w:autoSpaceDN w:val="0"/>
              <w:adjustRightInd w:val="0"/>
              <w:ind w:left="173" w:hanging="173"/>
              <w:jc w:val="left"/>
              <w:textAlignment w:val="baseline"/>
              <w:rPr>
                <w:rFonts w:cs="Calibri Light" w:asciiTheme="minorHAnsi" w:hAnsiTheme="minorHAnsi"/>
                <w:sz w:val="20"/>
              </w:rPr>
            </w:pPr>
            <w:r w:rsidRPr="005A64A0">
              <w:rPr>
                <w:rFonts w:cs="Calibri Light" w:asciiTheme="minorHAnsi" w:hAnsiTheme="minorHAnsi"/>
                <w:sz w:val="20"/>
              </w:rPr>
              <w:t>absolute neutrophil count below 0.5 x 10</w:t>
            </w:r>
            <w:r w:rsidRPr="005A64A0">
              <w:rPr>
                <w:rFonts w:cs="Calibri Light" w:asciiTheme="minorHAnsi" w:hAnsiTheme="minorHAnsi"/>
                <w:sz w:val="20"/>
                <w:vertAlign w:val="superscript"/>
              </w:rPr>
              <w:t>9</w:t>
            </w:r>
            <w:r w:rsidRPr="005A64A0">
              <w:rPr>
                <w:rFonts w:cs="Calibri Light" w:asciiTheme="minorHAnsi" w:hAnsiTheme="minorHAnsi"/>
                <w:sz w:val="20"/>
              </w:rPr>
              <w:t xml:space="preserve">/L or </w:t>
            </w:r>
          </w:p>
          <w:p w:rsidRPr="005A64A0" w:rsidR="007976CE" w:rsidP="001B0E05" w:rsidRDefault="007976CE" w14:paraId="2A3D6D14" w14:textId="77777777">
            <w:pPr>
              <w:pStyle w:val="BodyText"/>
              <w:numPr>
                <w:ilvl w:val="0"/>
                <w:numId w:val="25"/>
              </w:numPr>
              <w:overflowPunct w:val="0"/>
              <w:autoSpaceDE w:val="0"/>
              <w:autoSpaceDN w:val="0"/>
              <w:adjustRightInd w:val="0"/>
              <w:ind w:left="173" w:hanging="173"/>
              <w:jc w:val="left"/>
              <w:textAlignment w:val="baseline"/>
              <w:rPr>
                <w:rFonts w:cs="Calibri Light" w:asciiTheme="minorHAnsi" w:hAnsiTheme="minorHAnsi"/>
                <w:sz w:val="20"/>
              </w:rPr>
            </w:pPr>
            <w:r w:rsidRPr="005A64A0">
              <w:rPr>
                <w:rFonts w:cs="Calibri Light" w:asciiTheme="minorHAnsi" w:hAnsiTheme="minorHAnsi"/>
                <w:sz w:val="20"/>
              </w:rPr>
              <w:t>platelet count below 25 x 10</w:t>
            </w:r>
            <w:r w:rsidRPr="005A64A0">
              <w:rPr>
                <w:rFonts w:cs="Calibri Light" w:asciiTheme="minorHAnsi" w:hAnsiTheme="minorHAnsi"/>
                <w:sz w:val="20"/>
                <w:vertAlign w:val="superscript"/>
              </w:rPr>
              <w:t>9</w:t>
            </w:r>
            <w:r w:rsidRPr="005A64A0">
              <w:rPr>
                <w:rFonts w:cs="Calibri Light" w:asciiTheme="minorHAnsi" w:hAnsiTheme="minorHAnsi"/>
                <w:sz w:val="20"/>
              </w:rPr>
              <w:t>/L unless thrombocytopenia is related to CMV disease, or</w:t>
            </w:r>
          </w:p>
          <w:p w:rsidR="007976CE" w:rsidP="001B0E05" w:rsidRDefault="007976CE" w14:paraId="118E5D81" w14:textId="77777777">
            <w:pPr>
              <w:pStyle w:val="BodyText"/>
              <w:numPr>
                <w:ilvl w:val="0"/>
                <w:numId w:val="25"/>
              </w:numPr>
              <w:overflowPunct w:val="0"/>
              <w:autoSpaceDE w:val="0"/>
              <w:autoSpaceDN w:val="0"/>
              <w:adjustRightInd w:val="0"/>
              <w:ind w:left="174" w:hanging="141"/>
              <w:jc w:val="left"/>
              <w:textAlignment w:val="baseline"/>
              <w:rPr>
                <w:rFonts w:asciiTheme="minorHAnsi" w:hAnsiTheme="minorHAnsi" w:cstheme="minorHAnsi"/>
                <w:sz w:val="20"/>
              </w:rPr>
            </w:pPr>
            <w:r w:rsidRPr="005A64A0">
              <w:rPr>
                <w:rFonts w:cs="Calibri Light" w:asciiTheme="minorHAnsi" w:hAnsiTheme="minorHAnsi"/>
                <w:sz w:val="20"/>
              </w:rPr>
              <w:t>haemoglobin less than 80 g/L (8 g/dL).</w:t>
            </w:r>
          </w:p>
        </w:tc>
      </w:tr>
      <w:tr w:rsidRPr="003B78EA" w:rsidR="007976CE" w:rsidTr="0059793A" w14:paraId="7FA0F957" w14:textId="77777777">
        <w:trPr>
          <w:trHeight w:val="263"/>
        </w:trPr>
        <w:tc>
          <w:tcPr>
            <w:tcW w:w="879" w:type="pct"/>
          </w:tcPr>
          <w:p w:rsidRPr="003B78EA" w:rsidR="007976CE" w:rsidP="0059793A" w:rsidRDefault="007976CE" w14:paraId="7C6B5323"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121" w:type="pct"/>
          </w:tcPr>
          <w:p w:rsidRPr="003B78EA" w:rsidR="007976CE" w:rsidP="0059793A" w:rsidRDefault="007976CE" w14:paraId="3C61665E" w14:textId="77777777">
            <w:pPr>
              <w:pStyle w:val="BodyText"/>
              <w:rPr>
                <w:rFonts w:asciiTheme="minorHAnsi" w:hAnsiTheme="minorHAnsi" w:cstheme="minorHAnsi"/>
                <w:sz w:val="20"/>
              </w:rPr>
            </w:pPr>
            <w:r w:rsidRPr="001300EC">
              <w:rPr>
                <w:rFonts w:cs="Arial" w:asciiTheme="minorHAnsi" w:hAnsiTheme="minorHAnsi"/>
                <w:sz w:val="20"/>
              </w:rPr>
              <w:t>Ganciclovir</w:t>
            </w:r>
            <w:r>
              <w:rPr>
                <w:rFonts w:cs="Arial" w:asciiTheme="minorHAnsi" w:hAnsiTheme="minorHAnsi"/>
                <w:sz w:val="20"/>
              </w:rPr>
              <w:t xml:space="preserve"> </w:t>
            </w:r>
            <w:r w:rsidRPr="001300EC">
              <w:rPr>
                <w:rFonts w:cs="Arial" w:asciiTheme="minorHAnsi" w:hAnsiTheme="minorHAnsi"/>
                <w:sz w:val="20"/>
              </w:rPr>
              <w:t>has both gonadal toxicity and carcinogenicity in animal</w:t>
            </w:r>
            <w:r>
              <w:rPr>
                <w:rFonts w:cs="Arial" w:asciiTheme="minorHAnsi" w:hAnsiTheme="minorHAnsi"/>
                <w:sz w:val="20"/>
              </w:rPr>
              <w:t xml:space="preserve"> </w:t>
            </w:r>
            <w:r w:rsidRPr="001300EC">
              <w:rPr>
                <w:rFonts w:cs="Arial" w:asciiTheme="minorHAnsi" w:hAnsiTheme="minorHAnsi"/>
                <w:sz w:val="20"/>
              </w:rPr>
              <w:t>models and its long-term safety after administration to</w:t>
            </w:r>
            <w:r>
              <w:rPr>
                <w:rFonts w:cs="Arial" w:asciiTheme="minorHAnsi" w:hAnsiTheme="minorHAnsi"/>
                <w:sz w:val="20"/>
              </w:rPr>
              <w:t xml:space="preserve"> </w:t>
            </w:r>
            <w:r w:rsidRPr="001300EC">
              <w:rPr>
                <w:rFonts w:cs="Arial" w:asciiTheme="minorHAnsi" w:hAnsiTheme="minorHAnsi"/>
                <w:sz w:val="20"/>
              </w:rPr>
              <w:t>young children is not established.</w:t>
            </w:r>
            <w:r w:rsidRPr="00EE3B84">
              <w:rPr>
                <w:rFonts w:cs="Arial" w:asciiTheme="minorHAnsi" w:hAnsiTheme="minorHAnsi"/>
                <w:sz w:val="20"/>
                <w:vertAlign w:val="superscript"/>
              </w:rPr>
              <w:t>1</w:t>
            </w:r>
          </w:p>
        </w:tc>
      </w:tr>
      <w:tr w:rsidRPr="003B78EA" w:rsidR="007976CE" w:rsidTr="0059793A" w14:paraId="74204C5E" w14:textId="77777777">
        <w:trPr>
          <w:trHeight w:val="263"/>
        </w:trPr>
        <w:tc>
          <w:tcPr>
            <w:tcW w:w="879" w:type="pct"/>
          </w:tcPr>
          <w:p w:rsidRPr="003B78EA" w:rsidR="007976CE" w:rsidP="0059793A" w:rsidRDefault="007976CE" w14:paraId="5D8A6C99"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121" w:type="pct"/>
          </w:tcPr>
          <w:p w:rsidR="007976CE" w:rsidP="0059793A" w:rsidRDefault="007976CE" w14:paraId="22751C4D" w14:textId="77777777">
            <w:pPr>
              <w:pStyle w:val="BodyText"/>
              <w:rPr>
                <w:rFonts w:cs="Arial" w:asciiTheme="minorHAnsi" w:hAnsiTheme="minorHAnsi"/>
                <w:sz w:val="20"/>
              </w:rPr>
            </w:pPr>
            <w:r w:rsidRPr="005A64A0">
              <w:rPr>
                <w:rFonts w:cs="Arial" w:asciiTheme="minorHAnsi" w:hAnsiTheme="minorHAnsi"/>
                <w:sz w:val="20"/>
              </w:rPr>
              <w:t xml:space="preserve">Convulsions have been reported in patients </w:t>
            </w:r>
            <w:r>
              <w:rPr>
                <w:rFonts w:cs="Arial" w:asciiTheme="minorHAnsi" w:hAnsiTheme="minorHAnsi"/>
                <w:sz w:val="20"/>
              </w:rPr>
              <w:t>receiving</w:t>
            </w:r>
            <w:r w:rsidRPr="005A64A0">
              <w:rPr>
                <w:rFonts w:cs="Arial" w:asciiTheme="minorHAnsi" w:hAnsiTheme="minorHAnsi"/>
                <w:sz w:val="20"/>
              </w:rPr>
              <w:t xml:space="preserve"> ganciclovir and imipenem-cilastatin concurrently.</w:t>
            </w:r>
          </w:p>
          <w:p w:rsidRPr="003B78EA" w:rsidR="007976CE" w:rsidP="0059793A" w:rsidRDefault="007976CE" w14:paraId="01CB6CF9" w14:textId="77777777">
            <w:pPr>
              <w:pStyle w:val="BodyText"/>
              <w:rPr>
                <w:rFonts w:asciiTheme="minorHAnsi" w:hAnsiTheme="minorHAnsi" w:cstheme="minorHAnsi"/>
                <w:sz w:val="20"/>
              </w:rPr>
            </w:pPr>
            <w:r>
              <w:rPr>
                <w:rFonts w:cs="Arial" w:asciiTheme="minorHAnsi" w:hAnsiTheme="minorHAnsi"/>
                <w:sz w:val="20"/>
              </w:rPr>
              <w:t>Concurrent use of tacrolimus and ganciclovir increases nephrotoxicity.</w:t>
            </w:r>
          </w:p>
        </w:tc>
      </w:tr>
      <w:tr w:rsidRPr="003B78EA" w:rsidR="007976CE" w:rsidTr="0059793A" w14:paraId="3EC4B766" w14:textId="77777777">
        <w:trPr>
          <w:trHeight w:val="263"/>
        </w:trPr>
        <w:tc>
          <w:tcPr>
            <w:tcW w:w="879" w:type="pct"/>
          </w:tcPr>
          <w:p w:rsidRPr="003B78EA" w:rsidR="007976CE" w:rsidP="0059793A" w:rsidRDefault="007976CE" w14:paraId="161EB008"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 xml:space="preserve">Adverse reactions </w:t>
            </w:r>
          </w:p>
        </w:tc>
        <w:tc>
          <w:tcPr>
            <w:tcW w:w="4121" w:type="pct"/>
          </w:tcPr>
          <w:p w:rsidRPr="005A64A0" w:rsidR="007976CE" w:rsidP="0059793A" w:rsidRDefault="007976CE" w14:paraId="3253F375" w14:textId="77777777">
            <w:pPr>
              <w:spacing w:after="120"/>
              <w:rPr>
                <w:rFonts w:cs="Arial" w:asciiTheme="minorHAnsi" w:hAnsiTheme="minorHAnsi"/>
                <w:sz w:val="20"/>
              </w:rPr>
            </w:pPr>
            <w:r w:rsidRPr="005A64A0">
              <w:rPr>
                <w:rFonts w:cs="Arial" w:asciiTheme="minorHAnsi" w:hAnsiTheme="minorHAnsi"/>
                <w:sz w:val="20"/>
              </w:rPr>
              <w:t>Commonly causes neutropenia. If absolute neutrophil count (ANC) falls below 0.5 x 10</w:t>
            </w:r>
            <w:r w:rsidRPr="005A64A0">
              <w:rPr>
                <w:rFonts w:cs="Arial" w:asciiTheme="minorHAnsi" w:hAnsiTheme="minorHAnsi"/>
                <w:sz w:val="20"/>
                <w:vertAlign w:val="superscript"/>
              </w:rPr>
              <w:t>9</w:t>
            </w:r>
            <w:r w:rsidRPr="005A64A0">
              <w:rPr>
                <w:rFonts w:cs="Arial" w:asciiTheme="minorHAnsi" w:hAnsiTheme="minorHAnsi"/>
                <w:sz w:val="20"/>
              </w:rPr>
              <w:t>/L</w:t>
            </w:r>
            <w:r>
              <w:rPr>
                <w:rFonts w:cs="Arial" w:asciiTheme="minorHAnsi" w:hAnsiTheme="minorHAnsi"/>
                <w:sz w:val="20"/>
              </w:rPr>
              <w:t xml:space="preserve"> and if it is thought not to be due to CMV disease, </w:t>
            </w:r>
            <w:r w:rsidRPr="005A64A0">
              <w:rPr>
                <w:rFonts w:cs="Arial" w:asciiTheme="minorHAnsi" w:hAnsiTheme="minorHAnsi"/>
                <w:sz w:val="20"/>
              </w:rPr>
              <w:t>withhold medication until ANC is above 0.75 x 10</w:t>
            </w:r>
            <w:r w:rsidRPr="005A64A0">
              <w:rPr>
                <w:rFonts w:cs="Arial" w:asciiTheme="minorHAnsi" w:hAnsiTheme="minorHAnsi"/>
                <w:sz w:val="20"/>
                <w:vertAlign w:val="superscript"/>
              </w:rPr>
              <w:t>9</w:t>
            </w:r>
            <w:r w:rsidRPr="005A64A0">
              <w:rPr>
                <w:rFonts w:cs="Arial" w:asciiTheme="minorHAnsi" w:hAnsiTheme="minorHAnsi"/>
                <w:sz w:val="20"/>
              </w:rPr>
              <w:t>/L then restart medication at half dose. If ANC falls below 0.5 x 10</w:t>
            </w:r>
            <w:r w:rsidRPr="005A64A0">
              <w:rPr>
                <w:rFonts w:cs="Arial" w:asciiTheme="minorHAnsi" w:hAnsiTheme="minorHAnsi"/>
                <w:sz w:val="20"/>
                <w:vertAlign w:val="superscript"/>
              </w:rPr>
              <w:t>9</w:t>
            </w:r>
            <w:r w:rsidRPr="005A64A0">
              <w:rPr>
                <w:rFonts w:cs="Arial" w:asciiTheme="minorHAnsi" w:hAnsiTheme="minorHAnsi"/>
                <w:sz w:val="20"/>
              </w:rPr>
              <w:t xml:space="preserve">/L again, </w:t>
            </w:r>
            <w:r>
              <w:rPr>
                <w:rFonts w:cs="Arial" w:asciiTheme="minorHAnsi" w:hAnsiTheme="minorHAnsi"/>
                <w:sz w:val="20"/>
              </w:rPr>
              <w:t xml:space="preserve">consider </w:t>
            </w:r>
            <w:r w:rsidRPr="005A64A0">
              <w:rPr>
                <w:rFonts w:cs="Arial" w:asciiTheme="minorHAnsi" w:hAnsiTheme="minorHAnsi"/>
                <w:sz w:val="20"/>
              </w:rPr>
              <w:t>discontinu</w:t>
            </w:r>
            <w:r>
              <w:rPr>
                <w:rFonts w:cs="Arial" w:asciiTheme="minorHAnsi" w:hAnsiTheme="minorHAnsi"/>
                <w:sz w:val="20"/>
              </w:rPr>
              <w:t>ing</w:t>
            </w:r>
            <w:r w:rsidRPr="005A64A0">
              <w:rPr>
                <w:rFonts w:cs="Arial" w:asciiTheme="minorHAnsi" w:hAnsiTheme="minorHAnsi"/>
                <w:sz w:val="20"/>
              </w:rPr>
              <w:t xml:space="preserve"> the medication. </w:t>
            </w:r>
          </w:p>
          <w:p w:rsidRPr="003B78EA" w:rsidR="007976CE" w:rsidP="0059793A" w:rsidRDefault="007976CE" w14:paraId="59AF8D18" w14:textId="77777777">
            <w:pPr>
              <w:pStyle w:val="BodyText"/>
              <w:rPr>
                <w:rFonts w:asciiTheme="minorHAnsi" w:hAnsiTheme="minorHAnsi" w:cstheme="minorHAnsi"/>
                <w:sz w:val="20"/>
              </w:rPr>
            </w:pPr>
            <w:r w:rsidRPr="005A64A0">
              <w:rPr>
                <w:rFonts w:cs="Arial" w:asciiTheme="minorHAnsi" w:hAnsiTheme="minorHAnsi"/>
                <w:sz w:val="20"/>
              </w:rPr>
              <w:t xml:space="preserve">Can also cause anaemia and thrombocytopenia. </w:t>
            </w:r>
            <w:r>
              <w:rPr>
                <w:rFonts w:cs="Arial" w:asciiTheme="minorHAnsi" w:hAnsiTheme="minorHAnsi"/>
                <w:sz w:val="20"/>
              </w:rPr>
              <w:t>Discontinue</w:t>
            </w:r>
            <w:r w:rsidRPr="005A64A0">
              <w:rPr>
                <w:rFonts w:cs="Arial" w:asciiTheme="minorHAnsi" w:hAnsiTheme="minorHAnsi"/>
                <w:sz w:val="20"/>
              </w:rPr>
              <w:t xml:space="preserve"> medication if platelet count below 25 x 10</w:t>
            </w:r>
            <w:r w:rsidRPr="005A64A0">
              <w:rPr>
                <w:rFonts w:cs="Arial" w:asciiTheme="minorHAnsi" w:hAnsiTheme="minorHAnsi"/>
                <w:sz w:val="20"/>
                <w:vertAlign w:val="superscript"/>
              </w:rPr>
              <w:t>9</w:t>
            </w:r>
            <w:r w:rsidRPr="005A64A0">
              <w:rPr>
                <w:rFonts w:cs="Arial" w:asciiTheme="minorHAnsi" w:hAnsiTheme="minorHAnsi"/>
                <w:sz w:val="20"/>
              </w:rPr>
              <w:t>/L or haemoglobin less than 80 g/L</w:t>
            </w:r>
            <w:r>
              <w:rPr>
                <w:rFonts w:cs="Arial" w:asciiTheme="minorHAnsi" w:hAnsiTheme="minorHAnsi"/>
                <w:sz w:val="20"/>
              </w:rPr>
              <w:t xml:space="preserve"> occurs and is thought not to be due to CMV disease</w:t>
            </w:r>
            <w:r w:rsidRPr="005A64A0">
              <w:rPr>
                <w:rFonts w:cs="Arial" w:asciiTheme="minorHAnsi" w:hAnsiTheme="minorHAnsi"/>
                <w:sz w:val="20"/>
              </w:rPr>
              <w:t>.</w:t>
            </w:r>
          </w:p>
        </w:tc>
      </w:tr>
      <w:tr w:rsidRPr="003B78EA" w:rsidR="007976CE" w:rsidTr="0059793A" w14:paraId="388FD3BF" w14:textId="77777777">
        <w:trPr>
          <w:trHeight w:val="550"/>
        </w:trPr>
        <w:tc>
          <w:tcPr>
            <w:tcW w:w="879" w:type="pct"/>
          </w:tcPr>
          <w:p w:rsidRPr="003B78EA" w:rsidR="007976CE" w:rsidP="0059793A" w:rsidRDefault="007976CE" w14:paraId="1BBC8A31"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121" w:type="pct"/>
          </w:tcPr>
          <w:p w:rsidR="007976CE" w:rsidP="0059793A" w:rsidRDefault="007976CE" w14:paraId="2B0E2DE1" w14:textId="77777777">
            <w:pPr>
              <w:spacing w:after="120"/>
              <w:rPr>
                <w:rFonts w:cs="Arial" w:asciiTheme="minorHAnsi" w:hAnsiTheme="minorHAnsi"/>
                <w:sz w:val="20"/>
              </w:rPr>
            </w:pPr>
            <w:r w:rsidRPr="005A1A7F">
              <w:rPr>
                <w:rFonts w:cs="Arial" w:asciiTheme="minorHAnsi" w:hAnsiTheme="minorHAnsi"/>
                <w:sz w:val="20"/>
              </w:rPr>
              <w:t>Fluids:</w:t>
            </w:r>
            <w:r w:rsidRPr="005A64A0">
              <w:rPr>
                <w:rFonts w:cs="Arial" w:asciiTheme="minorHAnsi" w:hAnsiTheme="minorHAnsi"/>
                <w:sz w:val="20"/>
              </w:rPr>
              <w:t xml:space="preserve"> Glucose 5%, sodium chloride 0.9%</w:t>
            </w:r>
            <w:r>
              <w:rPr>
                <w:rFonts w:cs="Arial" w:asciiTheme="minorHAnsi" w:hAnsiTheme="minorHAnsi"/>
                <w:sz w:val="20"/>
              </w:rPr>
              <w:t>.</w:t>
            </w:r>
            <w:r w:rsidRPr="005A64A0">
              <w:rPr>
                <w:rFonts w:cs="Arial" w:asciiTheme="minorHAnsi" w:hAnsiTheme="minorHAnsi"/>
                <w:sz w:val="20"/>
              </w:rPr>
              <w:t xml:space="preserve"> </w:t>
            </w:r>
          </w:p>
          <w:p w:rsidRPr="003B78EA" w:rsidR="007976CE" w:rsidP="0059793A" w:rsidRDefault="007976CE" w14:paraId="5A02CD6E" w14:textId="77777777">
            <w:pPr>
              <w:spacing w:after="120"/>
              <w:rPr>
                <w:rFonts w:asciiTheme="minorHAnsi" w:hAnsiTheme="minorHAnsi" w:cstheme="minorHAnsi"/>
                <w:sz w:val="20"/>
              </w:rPr>
            </w:pPr>
            <w:r>
              <w:rPr>
                <w:rFonts w:cs="Arial" w:asciiTheme="minorHAnsi" w:hAnsiTheme="minorHAnsi"/>
                <w:sz w:val="20"/>
              </w:rPr>
              <w:t>Must not be administered in conjunction with any other drugs.</w:t>
            </w:r>
          </w:p>
        </w:tc>
      </w:tr>
      <w:tr w:rsidRPr="003B78EA" w:rsidR="007976CE" w:rsidTr="0059793A" w14:paraId="33301AFD" w14:textId="77777777">
        <w:trPr>
          <w:trHeight w:val="263"/>
        </w:trPr>
        <w:tc>
          <w:tcPr>
            <w:tcW w:w="879" w:type="pct"/>
          </w:tcPr>
          <w:p w:rsidRPr="003B78EA" w:rsidR="007976CE" w:rsidP="0059793A" w:rsidRDefault="007976CE" w14:paraId="00BB179D"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121" w:type="pct"/>
          </w:tcPr>
          <w:p w:rsidRPr="003B78EA" w:rsidR="007976CE" w:rsidP="0059793A" w:rsidRDefault="007976CE" w14:paraId="2485919E" w14:textId="77777777">
            <w:pPr>
              <w:pStyle w:val="BodyText"/>
              <w:rPr>
                <w:rFonts w:asciiTheme="minorHAnsi" w:hAnsiTheme="minorHAnsi" w:cstheme="minorHAnsi"/>
                <w:sz w:val="20"/>
              </w:rPr>
            </w:pPr>
          </w:p>
        </w:tc>
      </w:tr>
      <w:tr w:rsidRPr="003B78EA" w:rsidR="007976CE" w:rsidTr="0059793A" w14:paraId="30F7D2A4" w14:textId="77777777">
        <w:trPr>
          <w:trHeight w:val="263"/>
        </w:trPr>
        <w:tc>
          <w:tcPr>
            <w:tcW w:w="879" w:type="pct"/>
          </w:tcPr>
          <w:p w:rsidRPr="003B78EA" w:rsidR="007976CE" w:rsidP="0059793A" w:rsidRDefault="007976CE" w14:paraId="578830EA"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121" w:type="pct"/>
          </w:tcPr>
          <w:p w:rsidRPr="003B78EA" w:rsidR="007976CE" w:rsidP="0059793A" w:rsidRDefault="007976CE" w14:paraId="1EC970C4" w14:textId="77777777">
            <w:pPr>
              <w:pStyle w:val="BodyText"/>
              <w:rPr>
                <w:rFonts w:asciiTheme="minorHAnsi" w:hAnsiTheme="minorHAnsi" w:cstheme="minorHAnsi"/>
                <w:sz w:val="20"/>
              </w:rPr>
            </w:pPr>
            <w:r w:rsidRPr="005A64A0">
              <w:rPr>
                <w:rFonts w:cs="Arial" w:asciiTheme="minorHAnsi" w:hAnsiTheme="minorHAnsi"/>
                <w:sz w:val="20"/>
              </w:rPr>
              <w:t>Compounding centres that are licensed by the Australian Therapeutic Goods Administration to reconstitute and/or further dilute cytotoxic medicines and have validated aseptic procedures and regular monitoring of aseptic technique may apply a shelf life of 15 days at 2 to 8°C (refrigerate, do not freeze) to ganciclovir IV infusions reconstituted with water and further diluted with sodium chloride 0.9% or glucose 5%. Please contact your Pharmacy Department for more information or refer to expiry date on the product.</w:t>
            </w:r>
          </w:p>
        </w:tc>
      </w:tr>
      <w:tr w:rsidRPr="003B78EA" w:rsidR="007976CE" w:rsidTr="0059793A" w14:paraId="4A817259" w14:textId="77777777">
        <w:trPr>
          <w:trHeight w:val="263"/>
        </w:trPr>
        <w:tc>
          <w:tcPr>
            <w:tcW w:w="879" w:type="pct"/>
          </w:tcPr>
          <w:p w:rsidRPr="003B78EA" w:rsidR="007976CE" w:rsidP="0059793A" w:rsidRDefault="007976CE" w14:paraId="2E58A356"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121" w:type="pct"/>
          </w:tcPr>
          <w:p w:rsidRPr="005A64A0" w:rsidR="007976CE" w:rsidP="0059793A" w:rsidRDefault="007976CE" w14:paraId="197EF834" w14:textId="77777777">
            <w:pPr>
              <w:spacing w:after="120"/>
              <w:rPr>
                <w:rFonts w:cs="Arial" w:asciiTheme="minorHAnsi" w:hAnsiTheme="minorHAnsi"/>
                <w:sz w:val="20"/>
              </w:rPr>
            </w:pPr>
            <w:r>
              <w:rPr>
                <w:rFonts w:cs="Arial" w:asciiTheme="minorHAnsi" w:hAnsiTheme="minorHAnsi"/>
                <w:sz w:val="20"/>
              </w:rPr>
              <w:t>S</w:t>
            </w:r>
            <w:r w:rsidRPr="005A64A0">
              <w:rPr>
                <w:rFonts w:cs="Arial" w:asciiTheme="minorHAnsi" w:hAnsiTheme="minorHAnsi"/>
                <w:sz w:val="20"/>
              </w:rPr>
              <w:t>tore</w:t>
            </w:r>
            <w:r>
              <w:rPr>
                <w:rFonts w:cs="Arial" w:asciiTheme="minorHAnsi" w:hAnsiTheme="minorHAnsi"/>
                <w:sz w:val="20"/>
              </w:rPr>
              <w:t xml:space="preserve"> vial</w:t>
            </w:r>
            <w:r w:rsidRPr="005A64A0">
              <w:rPr>
                <w:rFonts w:cs="Arial" w:asciiTheme="minorHAnsi" w:hAnsiTheme="minorHAnsi"/>
                <w:sz w:val="20"/>
              </w:rPr>
              <w:t xml:space="preserve"> below 30°C. </w:t>
            </w:r>
          </w:p>
          <w:p w:rsidRPr="003B78EA" w:rsidR="007976CE" w:rsidP="0059793A" w:rsidRDefault="007976CE" w14:paraId="3704B430" w14:textId="77777777">
            <w:pPr>
              <w:pStyle w:val="BodyText"/>
              <w:rPr>
                <w:rFonts w:asciiTheme="minorHAnsi" w:hAnsiTheme="minorHAnsi" w:cstheme="minorHAnsi"/>
                <w:sz w:val="20"/>
              </w:rPr>
            </w:pPr>
            <w:r w:rsidRPr="005A64A0">
              <w:rPr>
                <w:rFonts w:cs="Arial" w:asciiTheme="minorHAnsi" w:hAnsiTheme="minorHAnsi"/>
                <w:sz w:val="20"/>
              </w:rPr>
              <w:t xml:space="preserve">Pre-diluted solution: </w:t>
            </w:r>
            <w:r>
              <w:rPr>
                <w:rFonts w:cs="Arial" w:asciiTheme="minorHAnsi" w:hAnsiTheme="minorHAnsi"/>
                <w:sz w:val="20"/>
              </w:rPr>
              <w:t>S</w:t>
            </w:r>
            <w:r w:rsidRPr="005A64A0">
              <w:rPr>
                <w:rFonts w:cs="Arial" w:asciiTheme="minorHAnsi" w:hAnsiTheme="minorHAnsi"/>
                <w:sz w:val="20"/>
              </w:rPr>
              <w:t>tore at 2 to 8°C or as instructed on product label by compounding facility</w:t>
            </w:r>
            <w:r>
              <w:rPr>
                <w:rFonts w:cs="Arial" w:asciiTheme="minorHAnsi" w:hAnsiTheme="minorHAnsi"/>
                <w:sz w:val="20"/>
              </w:rPr>
              <w:t>.</w:t>
            </w:r>
            <w:r w:rsidRPr="005A64A0">
              <w:rPr>
                <w:rFonts w:cs="Arial" w:asciiTheme="minorHAnsi" w:hAnsiTheme="minorHAnsi"/>
                <w:sz w:val="20"/>
              </w:rPr>
              <w:t xml:space="preserve"> </w:t>
            </w:r>
          </w:p>
        </w:tc>
      </w:tr>
      <w:tr w:rsidRPr="003B78EA" w:rsidR="007976CE" w:rsidTr="0059793A" w14:paraId="7C61B84C" w14:textId="77777777">
        <w:trPr>
          <w:trHeight w:val="263"/>
        </w:trPr>
        <w:tc>
          <w:tcPr>
            <w:tcW w:w="879" w:type="pct"/>
          </w:tcPr>
          <w:p w:rsidRPr="003B78EA" w:rsidR="007976CE" w:rsidP="0059793A" w:rsidRDefault="007976CE" w14:paraId="630CA329"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121" w:type="pct"/>
          </w:tcPr>
          <w:p w:rsidRPr="003B78EA" w:rsidR="007976CE" w:rsidP="0059793A" w:rsidRDefault="007976CE" w14:paraId="76DC4C22" w14:textId="77777777">
            <w:pPr>
              <w:pStyle w:val="BodyText"/>
              <w:rPr>
                <w:rFonts w:asciiTheme="minorHAnsi" w:hAnsiTheme="minorHAnsi" w:cstheme="minorHAnsi"/>
                <w:sz w:val="20"/>
              </w:rPr>
            </w:pPr>
            <w:r>
              <w:rPr>
                <w:rFonts w:asciiTheme="minorHAnsi" w:hAnsiTheme="minorHAnsi" w:cstheme="minorHAnsi"/>
                <w:sz w:val="20"/>
              </w:rPr>
              <w:t xml:space="preserve">None. </w:t>
            </w:r>
          </w:p>
        </w:tc>
      </w:tr>
      <w:tr w:rsidRPr="003B78EA" w:rsidR="007976CE" w:rsidTr="0059793A" w14:paraId="255FA646" w14:textId="77777777">
        <w:trPr>
          <w:trHeight w:val="263"/>
        </w:trPr>
        <w:tc>
          <w:tcPr>
            <w:tcW w:w="879" w:type="pct"/>
          </w:tcPr>
          <w:p w:rsidRPr="003B78EA" w:rsidR="007976CE" w:rsidP="0059793A" w:rsidRDefault="007976CE" w14:paraId="4BE836DE"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121" w:type="pct"/>
          </w:tcPr>
          <w:p w:rsidRPr="003B78EA" w:rsidR="007976CE" w:rsidP="0059793A" w:rsidRDefault="007976CE" w14:paraId="268DB4D9" w14:textId="77777777">
            <w:pPr>
              <w:pStyle w:val="BodyText"/>
              <w:rPr>
                <w:rFonts w:asciiTheme="minorHAnsi" w:hAnsiTheme="minorHAnsi" w:cstheme="minorHAnsi"/>
                <w:sz w:val="20"/>
              </w:rPr>
            </w:pPr>
          </w:p>
        </w:tc>
      </w:tr>
      <w:tr w:rsidRPr="003B78EA" w:rsidR="007976CE" w:rsidTr="0059793A" w14:paraId="51F6F8BA" w14:textId="77777777">
        <w:trPr>
          <w:trHeight w:val="263"/>
        </w:trPr>
        <w:tc>
          <w:tcPr>
            <w:tcW w:w="879" w:type="pct"/>
          </w:tcPr>
          <w:p w:rsidRPr="003B78EA" w:rsidR="007976CE" w:rsidP="0059793A" w:rsidRDefault="007976CE" w14:paraId="617AA32B"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121" w:type="pct"/>
          </w:tcPr>
          <w:p w:rsidRPr="007976CE" w:rsidR="007976CE" w:rsidP="0059793A" w:rsidRDefault="007976CE" w14:paraId="38D29D5C" w14:textId="77777777">
            <w:pPr>
              <w:spacing w:after="120"/>
              <w:contextualSpacing/>
              <w:rPr>
                <w:rFonts w:asciiTheme="minorHAnsi" w:hAnsiTheme="minorHAnsi"/>
                <w:b/>
                <w:sz w:val="16"/>
                <w:szCs w:val="16"/>
              </w:rPr>
            </w:pPr>
            <w:r w:rsidRPr="007976CE">
              <w:rPr>
                <w:rFonts w:asciiTheme="minorHAnsi" w:hAnsiTheme="minorHAnsi"/>
                <w:b/>
                <w:sz w:val="16"/>
                <w:szCs w:val="16"/>
              </w:rPr>
              <w:t>Efficacy and safety:</w:t>
            </w:r>
          </w:p>
          <w:p w:rsidRPr="007976CE" w:rsidR="007976CE" w:rsidP="0059793A" w:rsidRDefault="007976CE" w14:paraId="02EBAC1D" w14:textId="77777777">
            <w:pPr>
              <w:spacing w:after="120"/>
              <w:contextualSpacing/>
              <w:rPr>
                <w:rFonts w:cs="Arial" w:asciiTheme="minorHAnsi" w:hAnsiTheme="minorHAnsi"/>
                <w:sz w:val="16"/>
                <w:szCs w:val="16"/>
              </w:rPr>
            </w:pPr>
            <w:r w:rsidRPr="007976CE">
              <w:rPr>
                <w:rFonts w:cs="Arial" w:asciiTheme="minorHAnsi" w:hAnsiTheme="minorHAnsi"/>
                <w:b/>
                <w:sz w:val="16"/>
                <w:szCs w:val="16"/>
              </w:rPr>
              <w:t>Symptomatic congenital cytomegalovirus disease:</w:t>
            </w:r>
            <w:r w:rsidRPr="007976CE">
              <w:rPr>
                <w:rFonts w:cs="Arial" w:asciiTheme="minorHAnsi" w:hAnsiTheme="minorHAnsi"/>
                <w:sz w:val="16"/>
                <w:szCs w:val="16"/>
              </w:rPr>
              <w:t xml:space="preserve"> A randomised, controlled trial in infants </w:t>
            </w:r>
            <w:r w:rsidRPr="007976CE">
              <w:rPr>
                <w:rFonts w:cs="Arial"/>
                <w:sz w:val="16"/>
                <w:szCs w:val="16"/>
              </w:rPr>
              <w:t>≥</w:t>
            </w:r>
            <w:r w:rsidRPr="007976CE">
              <w:rPr>
                <w:rFonts w:cs="Arial" w:asciiTheme="minorHAnsi" w:hAnsiTheme="minorHAnsi"/>
                <w:sz w:val="16"/>
                <w:szCs w:val="16"/>
              </w:rPr>
              <w:t xml:space="preserve"> 32 weeks GA of 6 weeks IV ganciclovir 6 mg/kg every 12 hours demonstrated more infants had improved hearing or maintained normal hearing between baseline and 6 months in the IV ganciclovir group versus placebo (84% vs 59%, p = 0.06) and fewer infants had worsening hearing (0% vs 41%, p &lt; 0.01).</w:t>
            </w:r>
            <w:r w:rsidRPr="007976CE">
              <w:rPr>
                <w:rFonts w:cs="Arial" w:asciiTheme="minorHAnsi" w:hAnsiTheme="minorHAnsi"/>
                <w:noProof/>
                <w:sz w:val="16"/>
                <w:szCs w:val="16"/>
                <w:vertAlign w:val="superscript"/>
              </w:rPr>
              <w:t>1</w:t>
            </w:r>
            <w:r w:rsidRPr="007976CE">
              <w:rPr>
                <w:rFonts w:cs="Arial" w:asciiTheme="minorHAnsi" w:hAnsiTheme="minorHAnsi"/>
                <w:sz w:val="16"/>
                <w:szCs w:val="16"/>
              </w:rPr>
              <w:t xml:space="preserve"> This effect was sustained at 1 year of age, when 21% of infants in the treatment group had worsening hearing versus 68% in the placebo group (p &lt; 0.01)</w:t>
            </w:r>
            <w:r w:rsidRPr="007976CE">
              <w:rPr>
                <w:rFonts w:cs="Arial" w:asciiTheme="minorHAnsi" w:hAnsiTheme="minorHAnsi"/>
                <w:noProof/>
                <w:sz w:val="16"/>
                <w:szCs w:val="16"/>
                <w:vertAlign w:val="superscript"/>
              </w:rPr>
              <w:t>1</w:t>
            </w:r>
            <w:r w:rsidRPr="007976CE">
              <w:rPr>
                <w:rFonts w:cs="Arial" w:asciiTheme="minorHAnsi" w:hAnsiTheme="minorHAnsi"/>
                <w:sz w:val="16"/>
                <w:szCs w:val="16"/>
              </w:rPr>
              <w:t>. Two-thirds of the treatment group developed significant neutropenia</w:t>
            </w:r>
            <w:r w:rsidRPr="007976CE">
              <w:rPr>
                <w:rFonts w:cs="Arial" w:asciiTheme="minorHAnsi" w:hAnsiTheme="minorHAnsi"/>
                <w:noProof/>
                <w:sz w:val="16"/>
                <w:szCs w:val="16"/>
                <w:vertAlign w:val="superscript"/>
              </w:rPr>
              <w:t>1</w:t>
            </w:r>
            <w:r w:rsidRPr="007976CE">
              <w:rPr>
                <w:rFonts w:cs="Arial" w:asciiTheme="minorHAnsi" w:hAnsiTheme="minorHAnsi"/>
                <w:sz w:val="16"/>
                <w:szCs w:val="16"/>
              </w:rPr>
              <w:t>. At 12 months, infants treated with 6 weeks IV ganciclovir had fewer developmental delays.</w:t>
            </w:r>
            <w:r w:rsidRPr="007976CE">
              <w:rPr>
                <w:rFonts w:cs="Arial" w:asciiTheme="minorHAnsi" w:hAnsiTheme="minorHAnsi"/>
                <w:noProof/>
                <w:sz w:val="16"/>
                <w:szCs w:val="16"/>
                <w:vertAlign w:val="superscript"/>
              </w:rPr>
              <w:t>2</w:t>
            </w:r>
            <w:r w:rsidRPr="007976CE">
              <w:rPr>
                <w:rFonts w:cs="Arial" w:asciiTheme="minorHAnsi" w:hAnsiTheme="minorHAnsi"/>
                <w:sz w:val="16"/>
                <w:szCs w:val="16"/>
              </w:rPr>
              <w:t xml:space="preserve"> [LOE II, GOR B – see below for recommendation].</w:t>
            </w:r>
          </w:p>
          <w:p w:rsidRPr="007976CE" w:rsidR="007976CE" w:rsidP="0059793A" w:rsidRDefault="007976CE" w14:paraId="26369846" w14:textId="77777777">
            <w:pPr>
              <w:spacing w:after="120"/>
              <w:rPr>
                <w:rFonts w:cs="Arial" w:asciiTheme="minorHAnsi" w:hAnsiTheme="minorHAnsi"/>
                <w:sz w:val="16"/>
                <w:szCs w:val="16"/>
              </w:rPr>
            </w:pPr>
            <w:r w:rsidRPr="007976CE">
              <w:rPr>
                <w:rFonts w:cs="Arial" w:asciiTheme="minorHAnsi" w:hAnsiTheme="minorHAnsi"/>
                <w:sz w:val="16"/>
                <w:szCs w:val="16"/>
              </w:rPr>
              <w:t>There are reports of the use of 10–12 mg/kg/day in 2 divided doses in extreme preterm infants.</w:t>
            </w:r>
            <w:r w:rsidRPr="007976CE">
              <w:rPr>
                <w:rFonts w:cs="Arial" w:asciiTheme="minorHAnsi" w:hAnsiTheme="minorHAnsi"/>
                <w:sz w:val="16"/>
                <w:szCs w:val="16"/>
                <w:vertAlign w:val="superscript"/>
              </w:rPr>
              <w:t>10-14</w:t>
            </w:r>
          </w:p>
          <w:p w:rsidRPr="007976CE" w:rsidR="007976CE" w:rsidP="0059793A" w:rsidRDefault="007976CE" w14:paraId="177C70B4" w14:textId="77777777">
            <w:pPr>
              <w:spacing w:after="120"/>
              <w:rPr>
                <w:rFonts w:cs="Arial" w:asciiTheme="minorHAnsi" w:hAnsiTheme="minorHAnsi"/>
                <w:b/>
                <w:sz w:val="16"/>
                <w:szCs w:val="16"/>
              </w:rPr>
            </w:pPr>
            <w:r w:rsidRPr="007976CE">
              <w:rPr>
                <w:rFonts w:cs="Arial" w:asciiTheme="minorHAnsi" w:hAnsiTheme="minorHAnsi"/>
                <w:b/>
                <w:sz w:val="16"/>
                <w:szCs w:val="16"/>
              </w:rPr>
              <w:t>International Congenital Cytomegalovirus Recommendations Group:</w:t>
            </w:r>
            <w:r w:rsidRPr="007976CE">
              <w:rPr>
                <w:rFonts w:asciiTheme="minorHAnsi" w:hAnsiTheme="minorHAnsi"/>
                <w:sz w:val="16"/>
                <w:szCs w:val="16"/>
              </w:rPr>
              <w:t xml:space="preserve"> Ganciclovir is now available as an oral prodrug, valganciclovir. A recent RCT now recommends valganciclovir treatment for congenitally-infected neonates ≥ 32 weeks of life, with moderate to severe symptomatic disease, to be commenced within the first month of life and for 6 months. </w:t>
            </w:r>
            <w:r w:rsidRPr="007976CE">
              <w:rPr>
                <w:rFonts w:cs="Arial" w:asciiTheme="minorHAnsi" w:hAnsiTheme="minorHAnsi"/>
                <w:sz w:val="16"/>
                <w:szCs w:val="16"/>
              </w:rPr>
              <w:t>Antiviral therapy should not be administered to neonates with asymptomatic congenital cytomegalovirus infections. Antiviral therapy is not routinely recommended for asymptomatic congenital cytomegalovirus infection with isolated sensorineural hearing loss or for neonates with mildly symptomatic congenital cytomegalovirus infection.</w:t>
            </w:r>
            <w:r w:rsidRPr="007976CE">
              <w:rPr>
                <w:rFonts w:cs="Arial" w:asciiTheme="minorHAnsi" w:hAnsiTheme="minorHAnsi"/>
                <w:noProof/>
                <w:sz w:val="16"/>
                <w:szCs w:val="16"/>
                <w:vertAlign w:val="superscript"/>
              </w:rPr>
              <w:t>3</w:t>
            </w:r>
            <w:r w:rsidRPr="007976CE">
              <w:rPr>
                <w:rFonts w:cs="Arial" w:asciiTheme="minorHAnsi" w:hAnsiTheme="minorHAnsi"/>
                <w:sz w:val="16"/>
                <w:szCs w:val="16"/>
              </w:rPr>
              <w:t xml:space="preserve"> </w:t>
            </w:r>
          </w:p>
          <w:p w:rsidRPr="007976CE" w:rsidR="007976CE" w:rsidP="0059793A" w:rsidRDefault="007976CE" w14:paraId="1BFC6782" w14:textId="77777777">
            <w:pPr>
              <w:spacing w:after="120"/>
              <w:contextualSpacing/>
              <w:rPr>
                <w:rFonts w:cs="Arial" w:asciiTheme="minorHAnsi" w:hAnsiTheme="minorHAnsi"/>
                <w:b/>
                <w:sz w:val="16"/>
                <w:szCs w:val="16"/>
              </w:rPr>
            </w:pPr>
            <w:r w:rsidRPr="007976CE">
              <w:rPr>
                <w:rFonts w:cs="Arial" w:asciiTheme="minorHAnsi" w:hAnsiTheme="minorHAnsi"/>
                <w:b/>
                <w:sz w:val="16"/>
                <w:szCs w:val="16"/>
              </w:rPr>
              <w:t>Pharmacokinetics:</w:t>
            </w:r>
          </w:p>
          <w:p w:rsidRPr="007976CE" w:rsidR="007976CE" w:rsidP="0059793A" w:rsidRDefault="007976CE" w14:paraId="3D1BAFF5" w14:textId="77777777">
            <w:pPr>
              <w:spacing w:after="120"/>
              <w:contextualSpacing/>
              <w:rPr>
                <w:rFonts w:cs="Arial" w:asciiTheme="minorHAnsi" w:hAnsiTheme="minorHAnsi"/>
                <w:b/>
                <w:sz w:val="16"/>
                <w:szCs w:val="16"/>
              </w:rPr>
            </w:pPr>
            <w:r w:rsidRPr="007976CE">
              <w:rPr>
                <w:rFonts w:eastAsia="Calibri" w:cs="Segoe UI" w:asciiTheme="minorHAnsi" w:hAnsiTheme="minorHAnsi"/>
                <w:sz w:val="16"/>
                <w:szCs w:val="16"/>
                <w:lang w:eastAsia="en-AU"/>
              </w:rPr>
              <w:t>In symptomatic newborns with CMV, the mean elimination half-life of ganciclovir was 2.4 hours.</w:t>
            </w:r>
            <w:r w:rsidRPr="007976CE">
              <w:rPr>
                <w:rFonts w:eastAsia="Calibri" w:cs="Segoe UI" w:asciiTheme="minorHAnsi" w:hAnsiTheme="minorHAnsi"/>
                <w:noProof/>
                <w:sz w:val="16"/>
                <w:szCs w:val="16"/>
                <w:vertAlign w:val="superscript"/>
                <w:lang w:eastAsia="en-AU"/>
              </w:rPr>
              <w:t>4</w:t>
            </w:r>
            <w:r w:rsidRPr="007976CE">
              <w:rPr>
                <w:rFonts w:eastAsia="Calibri" w:cs="Segoe UI" w:asciiTheme="minorHAnsi" w:hAnsiTheme="minorHAnsi"/>
                <w:sz w:val="16"/>
                <w:szCs w:val="16"/>
                <w:lang w:eastAsia="en-AU"/>
              </w:rPr>
              <w:t xml:space="preserve"> A target AUC</w:t>
            </w:r>
            <w:r w:rsidRPr="007976CE">
              <w:rPr>
                <w:rFonts w:eastAsia="Calibri" w:cs="Segoe UI" w:asciiTheme="minorHAnsi" w:hAnsiTheme="minorHAnsi"/>
                <w:sz w:val="16"/>
                <w:szCs w:val="16"/>
                <w:vertAlign w:val="subscript"/>
                <w:lang w:eastAsia="en-AU"/>
              </w:rPr>
              <w:t>12</w:t>
            </w:r>
            <w:r w:rsidRPr="007976CE">
              <w:rPr>
                <w:rFonts w:eastAsia="Calibri" w:cs="Segoe UI" w:asciiTheme="minorHAnsi" w:hAnsiTheme="minorHAnsi"/>
                <w:sz w:val="16"/>
                <w:szCs w:val="16"/>
                <w:lang w:eastAsia="en-AU"/>
              </w:rPr>
              <w:t xml:space="preserve"> (area under the concentration-time curve over a 12-h period) of 27 mg x h/L has been defined.</w:t>
            </w:r>
            <w:r w:rsidRPr="007976CE">
              <w:rPr>
                <w:rFonts w:eastAsia="Calibri" w:cs="Segoe UI" w:asciiTheme="minorHAnsi" w:hAnsiTheme="minorHAnsi"/>
                <w:noProof/>
                <w:sz w:val="16"/>
                <w:szCs w:val="16"/>
                <w:vertAlign w:val="superscript"/>
                <w:lang w:eastAsia="en-AU"/>
              </w:rPr>
              <w:t>5</w:t>
            </w:r>
            <w:r w:rsidRPr="007976CE">
              <w:rPr>
                <w:rFonts w:eastAsia="Calibri" w:cs="Segoe UI" w:asciiTheme="minorHAnsi" w:hAnsiTheme="minorHAnsi"/>
                <w:sz w:val="16"/>
                <w:szCs w:val="16"/>
                <w:lang w:eastAsia="en-AU"/>
              </w:rPr>
              <w:t xml:space="preserve"> The clearance of intravenous ganciclovir nearly doubled and the AUC</w:t>
            </w:r>
            <w:r w:rsidRPr="007976CE">
              <w:rPr>
                <w:rFonts w:eastAsia="Calibri" w:cs="Segoe UI" w:asciiTheme="minorHAnsi" w:hAnsiTheme="minorHAnsi"/>
                <w:sz w:val="16"/>
                <w:szCs w:val="16"/>
                <w:vertAlign w:val="subscript"/>
                <w:lang w:eastAsia="en-AU"/>
              </w:rPr>
              <w:t>12</w:t>
            </w:r>
            <w:r w:rsidRPr="007976CE">
              <w:rPr>
                <w:rFonts w:eastAsia="Calibri" w:cs="Segoe UI" w:asciiTheme="minorHAnsi" w:hAnsiTheme="minorHAnsi"/>
                <w:sz w:val="16"/>
                <w:szCs w:val="16"/>
                <w:lang w:eastAsia="en-AU"/>
              </w:rPr>
              <w:t xml:space="preserve"> was reduced by almost one-half during the first 6 weeks of life.</w:t>
            </w:r>
            <w:r w:rsidRPr="007976CE">
              <w:rPr>
                <w:rFonts w:eastAsia="Calibri" w:cs="Segoe UI" w:asciiTheme="minorHAnsi" w:hAnsiTheme="minorHAnsi"/>
                <w:noProof/>
                <w:sz w:val="16"/>
                <w:szCs w:val="16"/>
                <w:vertAlign w:val="superscript"/>
                <w:lang w:eastAsia="en-AU"/>
              </w:rPr>
              <w:t>5</w:t>
            </w:r>
            <w:r w:rsidRPr="007976CE">
              <w:rPr>
                <w:rFonts w:eastAsia="Calibri" w:cs="Segoe UI" w:asciiTheme="minorHAnsi" w:hAnsiTheme="minorHAnsi"/>
                <w:sz w:val="16"/>
                <w:szCs w:val="16"/>
                <w:lang w:eastAsia="en-AU"/>
              </w:rPr>
              <w:t xml:space="preserve"> Based on these data, it appears ganciclovir 6 mg/kg every 12 hours may be insufficient to achieve the pharmacokinetic target despite evidence for clinical and virological efficacy.</w:t>
            </w:r>
            <w:r w:rsidRPr="007976CE">
              <w:rPr>
                <w:rFonts w:eastAsia="Calibri" w:cs="Segoe UI" w:asciiTheme="minorHAnsi" w:hAnsiTheme="minorHAnsi"/>
                <w:noProof/>
                <w:sz w:val="16"/>
                <w:szCs w:val="16"/>
                <w:vertAlign w:val="superscript"/>
                <w:lang w:eastAsia="en-AU"/>
              </w:rPr>
              <w:t>5</w:t>
            </w:r>
          </w:p>
          <w:p w:rsidRPr="007976CE" w:rsidR="007976CE" w:rsidP="0059793A" w:rsidRDefault="007976CE" w14:paraId="6A3A19A7" w14:textId="77777777">
            <w:pPr>
              <w:pStyle w:val="BodyText"/>
              <w:tabs>
                <w:tab w:val="left" w:pos="1168"/>
              </w:tabs>
              <w:rPr>
                <w:rFonts w:asciiTheme="minorHAnsi" w:hAnsiTheme="minorHAnsi" w:cstheme="minorHAnsi"/>
                <w:sz w:val="16"/>
                <w:szCs w:val="16"/>
              </w:rPr>
            </w:pPr>
            <w:r w:rsidRPr="007976CE">
              <w:rPr>
                <w:rFonts w:cs="Arial" w:asciiTheme="minorHAnsi" w:hAnsiTheme="minorHAnsi"/>
                <w:sz w:val="16"/>
                <w:szCs w:val="16"/>
              </w:rPr>
              <w:t xml:space="preserve">A pharmacokinetic study showed that oral valganciclovir 16 mg/kg </w:t>
            </w:r>
            <w:r w:rsidRPr="007976CE">
              <w:rPr>
                <w:rFonts w:eastAsia="Calibri" w:cs="Segoe UI" w:asciiTheme="minorHAnsi" w:hAnsiTheme="minorHAnsi"/>
                <w:sz w:val="16"/>
                <w:szCs w:val="16"/>
                <w:lang w:eastAsia="en-AU"/>
              </w:rPr>
              <w:t>every 12 hours</w:t>
            </w:r>
            <w:r w:rsidRPr="007976CE">
              <w:rPr>
                <w:rFonts w:cs="Arial" w:asciiTheme="minorHAnsi" w:hAnsiTheme="minorHAnsi"/>
                <w:sz w:val="16"/>
                <w:szCs w:val="16"/>
              </w:rPr>
              <w:t xml:space="preserve"> achieved similar concentrations to IV ganciclovir 6 mg/kg </w:t>
            </w:r>
            <w:r w:rsidRPr="007976CE">
              <w:rPr>
                <w:rFonts w:eastAsia="Calibri" w:cs="Segoe UI" w:asciiTheme="minorHAnsi" w:hAnsiTheme="minorHAnsi"/>
                <w:sz w:val="16"/>
                <w:szCs w:val="16"/>
                <w:lang w:eastAsia="en-AU"/>
              </w:rPr>
              <w:t>every 12 hours</w:t>
            </w:r>
            <w:r w:rsidRPr="007976CE">
              <w:rPr>
                <w:rFonts w:cs="Arial" w:asciiTheme="minorHAnsi" w:hAnsiTheme="minorHAnsi"/>
                <w:sz w:val="16"/>
                <w:szCs w:val="16"/>
              </w:rPr>
              <w:t xml:space="preserve">. </w:t>
            </w:r>
            <w:r w:rsidRPr="007976CE">
              <w:rPr>
                <w:rFonts w:cs="Arial" w:asciiTheme="minorHAnsi" w:hAnsiTheme="minorHAnsi"/>
                <w:noProof/>
                <w:sz w:val="16"/>
                <w:szCs w:val="16"/>
                <w:vertAlign w:val="superscript"/>
              </w:rPr>
              <w:t>5</w:t>
            </w:r>
            <w:r w:rsidRPr="007976CE">
              <w:rPr>
                <w:rFonts w:cs="Arial" w:asciiTheme="minorHAnsi" w:hAnsiTheme="minorHAnsi"/>
                <w:sz w:val="16"/>
                <w:szCs w:val="16"/>
              </w:rPr>
              <w:t xml:space="preserve"> [LOE III, GOR B]</w:t>
            </w:r>
          </w:p>
        </w:tc>
      </w:tr>
      <w:tr w:rsidRPr="003B78EA" w:rsidR="007976CE" w:rsidTr="0059793A" w14:paraId="5FC50FDB" w14:textId="77777777">
        <w:trPr>
          <w:trHeight w:val="263"/>
        </w:trPr>
        <w:tc>
          <w:tcPr>
            <w:tcW w:w="879" w:type="pct"/>
          </w:tcPr>
          <w:p w:rsidRPr="003B78EA" w:rsidR="007976CE" w:rsidP="0059793A" w:rsidRDefault="007976CE" w14:paraId="0AB0E857"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4121" w:type="pct"/>
          </w:tcPr>
          <w:p w:rsidRPr="007976CE" w:rsidR="007976CE" w:rsidP="0059793A" w:rsidRDefault="007976CE" w14:paraId="3FCE133E" w14:textId="77777777">
            <w:pPr>
              <w:pStyle w:val="BodyText"/>
              <w:tabs>
                <w:tab w:val="left" w:pos="1168"/>
              </w:tabs>
              <w:rPr>
                <w:rFonts w:asciiTheme="minorHAnsi" w:hAnsiTheme="minorHAnsi" w:cstheme="minorHAnsi"/>
                <w:sz w:val="16"/>
                <w:szCs w:val="16"/>
              </w:rPr>
            </w:pPr>
            <w:r w:rsidRPr="007976CE">
              <w:rPr>
                <w:rFonts w:asciiTheme="minorHAnsi" w:hAnsiTheme="minorHAnsi" w:cstheme="minorHAnsi"/>
                <w:sz w:val="16"/>
                <w:szCs w:val="16"/>
              </w:rPr>
              <w:t>Central line is preferred as medication has high pH and can cause tissue irritation. Peripheral cannula may be used for short-term treatment but the IV site should be monitored carefully.</w:t>
            </w:r>
          </w:p>
        </w:tc>
      </w:tr>
      <w:tr w:rsidRPr="00B72D4C" w:rsidR="007976CE" w:rsidTr="0059793A" w14:paraId="1317DC61" w14:textId="77777777">
        <w:trPr>
          <w:trHeight w:val="263"/>
        </w:trPr>
        <w:tc>
          <w:tcPr>
            <w:tcW w:w="879" w:type="pct"/>
          </w:tcPr>
          <w:p w:rsidRPr="003B78EA" w:rsidR="007976CE" w:rsidP="0059793A" w:rsidRDefault="007976CE" w14:paraId="25FE38B3"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121" w:type="pct"/>
          </w:tcPr>
          <w:p w:rsidRPr="007976CE" w:rsidR="007976CE" w:rsidP="001B0E05" w:rsidRDefault="007976CE" w14:paraId="24D1F356" w14:textId="77777777">
            <w:pPr>
              <w:pStyle w:val="EndNoteBibliography"/>
              <w:numPr>
                <w:ilvl w:val="0"/>
                <w:numId w:val="26"/>
              </w:numPr>
              <w:rPr>
                <w:rFonts w:asciiTheme="minorHAnsi" w:hAnsiTheme="minorHAnsi"/>
                <w:sz w:val="16"/>
                <w:szCs w:val="16"/>
              </w:rPr>
            </w:pPr>
            <w:r w:rsidRPr="007976CE">
              <w:rPr>
                <w:rFonts w:asciiTheme="minorHAnsi" w:hAnsiTheme="minorHAnsi"/>
                <w:sz w:val="16"/>
                <w:szCs w:val="16"/>
              </w:rPr>
              <w:t xml:space="preserve">Kimberlin DW, Lin CY, Sanchez PJ, Demmler GJ, Dankner W, Shelton M, Jacobs RF, Vaudry W, Pass RF, Kiell JM, Soong SJ, Whitley RJ. Effect of ganciclovir therapy on hearing in symptomatic congenital cytomegalovirus disease involving the central nervous system: A randomized, controlled trial. Journal of Pediatrics. 2003;143:16-25. </w:t>
            </w:r>
          </w:p>
          <w:p w:rsidRPr="007976CE" w:rsidR="007976CE" w:rsidP="001B0E05" w:rsidRDefault="007976CE" w14:paraId="2570E896" w14:textId="77777777">
            <w:pPr>
              <w:pStyle w:val="EndNoteBibliography"/>
              <w:numPr>
                <w:ilvl w:val="0"/>
                <w:numId w:val="26"/>
              </w:numPr>
              <w:rPr>
                <w:rFonts w:asciiTheme="minorHAnsi" w:hAnsiTheme="minorHAnsi"/>
                <w:sz w:val="16"/>
                <w:szCs w:val="16"/>
              </w:rPr>
            </w:pPr>
            <w:r w:rsidRPr="007976CE">
              <w:rPr>
                <w:rFonts w:asciiTheme="minorHAnsi" w:hAnsiTheme="minorHAnsi"/>
                <w:sz w:val="16"/>
                <w:szCs w:val="16"/>
              </w:rPr>
              <w:t xml:space="preserve">Oliver SE, Cloud GA, Sanchez PJ, Demmler GJ, Dankner W, Shelton M, Jacobs RF, Vaudry W, Pass RF, Soong Sj, Whitley RJ, Kimberlin DW. Neurodevelopmental outcomes following ganciclovir therapy in </w:t>
            </w:r>
            <w:r w:rsidRPr="007976CE">
              <w:rPr>
                <w:rFonts w:asciiTheme="minorHAnsi" w:hAnsiTheme="minorHAnsi"/>
                <w:sz w:val="16"/>
                <w:szCs w:val="16"/>
              </w:rPr>
              <w:lastRenderedPageBreak/>
              <w:t>symptomatic congenital cytomegalovirus infections involving the central nervous system. Journal of Clinical Virology. 2009;46:S22-S6.</w:t>
            </w:r>
          </w:p>
          <w:p w:rsidRPr="007976CE" w:rsidR="007976CE" w:rsidP="001B0E05" w:rsidRDefault="007976CE" w14:paraId="77977AC3" w14:textId="77777777">
            <w:pPr>
              <w:pStyle w:val="EndNoteBibliography"/>
              <w:numPr>
                <w:ilvl w:val="0"/>
                <w:numId w:val="26"/>
              </w:numPr>
              <w:rPr>
                <w:rFonts w:asciiTheme="minorHAnsi" w:hAnsiTheme="minorHAnsi"/>
                <w:sz w:val="16"/>
                <w:szCs w:val="16"/>
              </w:rPr>
            </w:pPr>
            <w:r w:rsidRPr="007976CE">
              <w:rPr>
                <w:rFonts w:asciiTheme="minorHAnsi" w:hAnsiTheme="minorHAnsi"/>
                <w:sz w:val="16"/>
                <w:szCs w:val="16"/>
              </w:rPr>
              <w:t>Rawlinson WD, Boppana SB, Fowler KB, Kimberlin DW, Lazzarotto T, Alain S, Daly K, Doutre S, Gibson L, Giles ML, Greenlee J, Hamilton ST, Harrison GJ, Hui L, Jones CA, Palasanthiran P, Schleiss MR, Shand AW, van Zuylen WJ. Congenital cytomegalovirus infection in pregnancy and the neonate: consensus recommendations for prevention, diagnosis, and therapy. The Lancet Infectious Diseases. 2017;17:e177-e88.</w:t>
            </w:r>
          </w:p>
          <w:p w:rsidRPr="007976CE" w:rsidR="007976CE" w:rsidP="001B0E05" w:rsidRDefault="007976CE" w14:paraId="094D747E" w14:textId="77777777">
            <w:pPr>
              <w:pStyle w:val="EndNoteBibliography"/>
              <w:numPr>
                <w:ilvl w:val="0"/>
                <w:numId w:val="26"/>
              </w:numPr>
              <w:rPr>
                <w:rFonts w:asciiTheme="minorHAnsi" w:hAnsiTheme="minorHAnsi"/>
                <w:sz w:val="16"/>
                <w:szCs w:val="16"/>
              </w:rPr>
            </w:pPr>
            <w:r w:rsidRPr="007976CE">
              <w:rPr>
                <w:rFonts w:asciiTheme="minorHAnsi" w:hAnsiTheme="minorHAnsi"/>
                <w:sz w:val="16"/>
                <w:szCs w:val="16"/>
              </w:rPr>
              <w:t>Trang JM, Kidd L, Gruber W, Storch G, Demmler G, Jacobs R, Dankner W, Starr S, Pass R, Stagno S, Alford C, Soong SJ, Whitley RJ, Sommadossi JP. Linear single-dose pharmacokinetics of ganciclovir in newborns with congenital cytomegalovirus infections. Clinical Pharmacology and Therapeutics. 1993;53:15-21.</w:t>
            </w:r>
          </w:p>
          <w:p w:rsidRPr="007976CE" w:rsidR="007976CE" w:rsidP="001B0E05" w:rsidRDefault="007976CE" w14:paraId="7B7ABDBE" w14:textId="77777777">
            <w:pPr>
              <w:pStyle w:val="EndNoteBibliography"/>
              <w:numPr>
                <w:ilvl w:val="0"/>
                <w:numId w:val="26"/>
              </w:numPr>
              <w:rPr>
                <w:rFonts w:asciiTheme="minorHAnsi" w:hAnsiTheme="minorHAnsi"/>
                <w:sz w:val="16"/>
                <w:szCs w:val="16"/>
              </w:rPr>
            </w:pPr>
            <w:r w:rsidRPr="007976CE">
              <w:rPr>
                <w:rFonts w:asciiTheme="minorHAnsi" w:hAnsiTheme="minorHAnsi"/>
                <w:sz w:val="16"/>
                <w:szCs w:val="16"/>
              </w:rPr>
              <w:t>Kimberlin DW, Acosta EP, Sanchez PJ, Sood S, Agrawal V, Homans J, Jacobs RF, Lang D, Romero JR, Griffin J, Cloud GA, Lakeman FD, Whitley RJ, National Institute of A, Infectious Diseases Collaborative Antiviral Study G. Pharmacokinetic and pharmacodynamic assessment of oral valganciclovir in the treatment of symptomatic congenital cytomegalovirus disease. J Infect Dis. 2008;197:836-45.</w:t>
            </w:r>
          </w:p>
          <w:p w:rsidRPr="007976CE" w:rsidR="007976CE" w:rsidP="001B0E05" w:rsidRDefault="007976CE" w14:paraId="2ECE162A"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SHPA, Ganciclovir monograph, Australian Injectable Handbook 7</w:t>
            </w:r>
            <w:r w:rsidRPr="007976CE">
              <w:rPr>
                <w:rFonts w:cs="Arial" w:asciiTheme="minorHAnsi" w:hAnsiTheme="minorHAnsi"/>
                <w:sz w:val="16"/>
                <w:szCs w:val="16"/>
                <w:vertAlign w:val="superscript"/>
              </w:rPr>
              <w:t>th</w:t>
            </w:r>
            <w:r w:rsidRPr="007976CE">
              <w:rPr>
                <w:rFonts w:cs="Arial" w:asciiTheme="minorHAnsi" w:hAnsiTheme="minorHAnsi"/>
                <w:sz w:val="16"/>
                <w:szCs w:val="16"/>
              </w:rPr>
              <w:t xml:space="preserve"> Ed, 2017</w:t>
            </w:r>
          </w:p>
          <w:p w:rsidRPr="007976CE" w:rsidR="007976CE" w:rsidP="001B0E05" w:rsidRDefault="007976CE" w14:paraId="333511B7"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Roche, Valcyte monograph, MIMs, 2017</w:t>
            </w:r>
          </w:p>
          <w:p w:rsidRPr="007976CE" w:rsidR="007976CE" w:rsidP="001B0E05" w:rsidRDefault="007976CE" w14:paraId="15F565C3"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 xml:space="preserve">Roche, Cymevene monograph, MIMs, 2017 </w:t>
            </w:r>
          </w:p>
          <w:p w:rsidRPr="007976CE" w:rsidR="007976CE" w:rsidP="001B0E05" w:rsidRDefault="007976CE" w14:paraId="024D99DF"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Trissel's 2 Clinical Pharmaceutics Database (Parenteral Compatibility), Ganciclovir monograph, accessed via Micromedex, 26/07/2017.</w:t>
            </w:r>
          </w:p>
          <w:p w:rsidRPr="007976CE" w:rsidR="007976CE" w:rsidP="001B0E05" w:rsidRDefault="007976CE" w14:paraId="7614C40B"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El-Sayed MF, Goldfarb DM, Fulford M, Pernica JM. Severe late-onset multisystem cytomegalovirus infection in a premature neonate previously treated for congenital infection. BMC Pediatr. 2013;13:142.</w:t>
            </w:r>
          </w:p>
          <w:p w:rsidRPr="007976CE" w:rsidR="007976CE" w:rsidP="001B0E05" w:rsidRDefault="007976CE" w14:paraId="15B1D782"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Fischer C, Meylan P, Bickle Graz M, Gudinchet F, Vaudaux B, Berger C, Roth-Kleiner M. Severe postnatally acquired cytomegalovirus infection presenting with colitis, pneumonitis and sepsis-like syndrome in an extremely low birthweight infant. Neonatology. 2010;97:339-45.</w:t>
            </w:r>
          </w:p>
          <w:p w:rsidRPr="007976CE" w:rsidR="007976CE" w:rsidP="001B0E05" w:rsidRDefault="007976CE" w14:paraId="62A543DB"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Mehler K, Oberthuer A, Lang-Roth R, Kribs A. High rate of symptomatic cytomegalovirus infection in extremely low gestational age preterm infants of 22-24 weeks' gestation after transmission via breast milk. Neonatology. 2014;105:27-32.</w:t>
            </w:r>
          </w:p>
          <w:p w:rsidRPr="007976CE" w:rsidR="007976CE" w:rsidP="001B0E05" w:rsidRDefault="007976CE" w14:paraId="79291A26"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Muller A, Eis-Hubinger AM, Brandhorst G, Heep A, Bartmann P, Franz AR. Oral valganciclovir for symptomatic congenital cytomegalovirus infection in an extremely low birth weight infant. J Perinatol. 2008;28:74-6.</w:t>
            </w:r>
          </w:p>
          <w:p w:rsidRPr="007976CE" w:rsidR="007976CE" w:rsidP="001B0E05" w:rsidRDefault="007976CE" w14:paraId="38DD0BBB" w14:textId="77777777">
            <w:pPr>
              <w:pStyle w:val="EndNoteBibliography"/>
              <w:numPr>
                <w:ilvl w:val="0"/>
                <w:numId w:val="26"/>
              </w:numPr>
              <w:rPr>
                <w:rFonts w:asciiTheme="minorHAnsi" w:hAnsiTheme="minorHAnsi"/>
                <w:sz w:val="16"/>
                <w:szCs w:val="16"/>
              </w:rPr>
            </w:pPr>
            <w:r w:rsidRPr="007976CE">
              <w:rPr>
                <w:rFonts w:cs="Arial" w:asciiTheme="minorHAnsi" w:hAnsiTheme="minorHAnsi"/>
                <w:sz w:val="16"/>
                <w:szCs w:val="16"/>
              </w:rPr>
              <w:t>Okulu E, Akin IM, Atasay B, Ciftci E, Arsan S, Turmen T. Severe postnatal cytomegalovirus infection with multisystem involvement in an extremely low birth weight infant. J Perinatol. 2012;32:72-4.</w:t>
            </w:r>
          </w:p>
        </w:tc>
      </w:tr>
    </w:tbl>
    <w:p w:rsidR="00115F48" w:rsidP="006F0321" w:rsidRDefault="00115F48" w14:paraId="117E74D5" w14:textId="77777777"/>
    <w:p w:rsidRPr="00E25790" w:rsidR="002D1A06" w:rsidP="006F0321" w:rsidRDefault="002D1A06" w14:paraId="5A9D6825" w14:textId="77777777"/>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672"/>
      </w:tblGrid>
      <w:tr w:rsidRPr="001668F8" w:rsidR="009E67FF" w:rsidTr="00B97D99" w14:paraId="68385488" w14:textId="77777777">
        <w:tc>
          <w:tcPr>
            <w:tcW w:w="4395" w:type="dxa"/>
            <w:vAlign w:val="center"/>
          </w:tcPr>
          <w:p w:rsidRPr="009E67FF" w:rsidR="009E67FF" w:rsidP="00B97D99" w:rsidRDefault="009E67FF" w14:paraId="3B54D2D1" w14:textId="77777777">
            <w:r w:rsidRPr="009E67FF">
              <w:t>Original version Date: 18/09/2017</w:t>
            </w:r>
          </w:p>
        </w:tc>
        <w:tc>
          <w:tcPr>
            <w:tcW w:w="4672" w:type="dxa"/>
            <w:vAlign w:val="center"/>
          </w:tcPr>
          <w:p w:rsidRPr="009E67FF" w:rsidR="009E67FF" w:rsidP="00B97D99" w:rsidRDefault="009E67FF" w14:paraId="402861AF" w14:textId="77777777">
            <w:r w:rsidRPr="009E67FF">
              <w:t xml:space="preserve">Author: Xiao </w:t>
            </w:r>
          </w:p>
        </w:tc>
      </w:tr>
      <w:tr w:rsidRPr="001668F8" w:rsidR="009E67FF" w:rsidTr="00B97D99" w14:paraId="52DCD8D2" w14:textId="77777777">
        <w:tc>
          <w:tcPr>
            <w:tcW w:w="4395" w:type="dxa"/>
            <w:vAlign w:val="center"/>
          </w:tcPr>
          <w:p w:rsidRPr="009E67FF" w:rsidR="009E67FF" w:rsidP="00B97D99" w:rsidRDefault="009E67FF" w14:paraId="540FDD11" w14:textId="77777777">
            <w:pPr>
              <w:rPr>
                <w:bCs/>
              </w:rPr>
            </w:pPr>
            <w:r w:rsidRPr="009E67FF">
              <w:t>Current Version number:  1.0</w:t>
            </w:r>
          </w:p>
        </w:tc>
        <w:tc>
          <w:tcPr>
            <w:tcW w:w="4672" w:type="dxa"/>
            <w:vAlign w:val="center"/>
          </w:tcPr>
          <w:p w:rsidRPr="009E67FF" w:rsidR="009E67FF" w:rsidP="00B97D99" w:rsidRDefault="009E67FF" w14:paraId="7FA0B215" w14:textId="1A78F076">
            <w:r w:rsidRPr="009E67FF">
              <w:t xml:space="preserve">Current Version Date:  </w:t>
            </w:r>
            <w:r w:rsidR="00F728DC">
              <w:t>10/12/2020</w:t>
            </w:r>
          </w:p>
        </w:tc>
      </w:tr>
      <w:tr w:rsidRPr="001668F8" w:rsidR="009E67FF" w:rsidTr="00B97D99" w14:paraId="3976B522" w14:textId="77777777">
        <w:tc>
          <w:tcPr>
            <w:tcW w:w="4395" w:type="dxa"/>
            <w:vAlign w:val="center"/>
          </w:tcPr>
          <w:p w:rsidRPr="009E67FF" w:rsidR="009E67FF" w:rsidP="00B97D99" w:rsidRDefault="009E67FF" w14:paraId="7D76E09A" w14:textId="68B68CCD">
            <w:r w:rsidRPr="009E67FF">
              <w:t xml:space="preserve">Risk Rating: </w:t>
            </w:r>
            <w:r w:rsidR="00F728DC">
              <w:t>Low</w:t>
            </w:r>
          </w:p>
        </w:tc>
        <w:tc>
          <w:tcPr>
            <w:tcW w:w="4672" w:type="dxa"/>
            <w:vAlign w:val="center"/>
          </w:tcPr>
          <w:p w:rsidRPr="009E67FF" w:rsidR="009E67FF" w:rsidP="00B97D99" w:rsidRDefault="009E67FF" w14:paraId="54937EDD" w14:textId="7ECF2356">
            <w:r w:rsidRPr="009E67FF">
              <w:t xml:space="preserve">Due for Review: </w:t>
            </w:r>
            <w:r w:rsidR="00F728DC">
              <w:t>10/12/2025</w:t>
            </w:r>
          </w:p>
        </w:tc>
      </w:tr>
      <w:tr w:rsidRPr="001668F8" w:rsidR="009E67FF" w:rsidTr="00B97D99" w14:paraId="62A259E4" w14:textId="77777777">
        <w:trPr>
          <w:trHeight w:val="344"/>
        </w:trPr>
        <w:tc>
          <w:tcPr>
            <w:tcW w:w="4395" w:type="dxa"/>
            <w:tcBorders>
              <w:bottom w:val="single" w:color="auto" w:sz="4" w:space="0"/>
            </w:tcBorders>
            <w:vAlign w:val="center"/>
          </w:tcPr>
          <w:p w:rsidRPr="009E67FF" w:rsidR="009E67FF" w:rsidP="00B97D99" w:rsidRDefault="009E67FF" w14:paraId="1A0FB2D2" w14:textId="77777777">
            <w:r w:rsidRPr="009E67FF">
              <w:t>Approval by: DTC</w:t>
            </w:r>
          </w:p>
        </w:tc>
        <w:tc>
          <w:tcPr>
            <w:tcW w:w="4672" w:type="dxa"/>
            <w:tcBorders>
              <w:bottom w:val="single" w:color="auto" w:sz="4" w:space="0"/>
            </w:tcBorders>
            <w:vAlign w:val="center"/>
          </w:tcPr>
          <w:p w:rsidRPr="009E67FF" w:rsidR="009E67FF" w:rsidP="00B97D99" w:rsidRDefault="009E67FF" w14:paraId="674BD11E" w14:textId="414090A6">
            <w:r w:rsidRPr="009E67FF">
              <w:t xml:space="preserve">Approval Date: </w:t>
            </w:r>
            <w:r w:rsidR="00260BC8">
              <w:t>APRIL 2021</w:t>
            </w:r>
          </w:p>
        </w:tc>
      </w:tr>
    </w:tbl>
    <w:p w:rsidRPr="00E25790" w:rsidR="009E67FF" w:rsidP="006F0321" w:rsidRDefault="009E67FF" w14:paraId="095F728C" w14:textId="77777777"/>
    <w:p w:rsidRPr="00E25790" w:rsidR="00115F48" w:rsidP="006F0321" w:rsidRDefault="00115F48" w14:paraId="2DBA1BDC" w14:textId="77777777">
      <w:r w:rsidRPr="00E25790">
        <w:br w:type="page"/>
      </w:r>
    </w:p>
    <w:p w:rsidRPr="00E25790" w:rsidR="00115F48" w:rsidP="006F0321" w:rsidRDefault="00115F48" w14:paraId="1C428FE8" w14:textId="77777777"/>
    <w:p w:rsidRPr="00E25790" w:rsidR="00115F48" w:rsidP="006F0321" w:rsidRDefault="00115F48" w14:paraId="3D9C6871" w14:textId="77777777"/>
    <w:tbl>
      <w:tblPr>
        <w:tblW w:w="9049" w:type="dxa"/>
        <w:tblLayout w:type="fixed"/>
        <w:tblLook w:val="0000" w:firstRow="0" w:lastRow="0" w:firstColumn="0" w:lastColumn="0" w:noHBand="0" w:noVBand="0"/>
      </w:tblPr>
      <w:tblGrid>
        <w:gridCol w:w="4153"/>
        <w:gridCol w:w="4896"/>
      </w:tblGrid>
      <w:tr w:rsidRPr="00E25790" w:rsidR="00115F48" w:rsidTr="00B97D99" w14:paraId="34FB644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DEFD642" w14:textId="77777777">
            <w:pPr>
              <w:pStyle w:val="Heading1"/>
            </w:pPr>
            <w:bookmarkStart w:name="_Toc495481117" w:id="277"/>
            <w:bookmarkStart w:name="_Toc495481243" w:id="278"/>
            <w:bookmarkStart w:name="_Toc495481368" w:id="279"/>
            <w:bookmarkStart w:name="_Toc495501549" w:id="280"/>
            <w:bookmarkStart w:name="_Toc38106854" w:id="281"/>
            <w:bookmarkStart w:name="_Toc75339978" w:id="282"/>
            <w:r w:rsidRPr="00E25790">
              <w:t>Gentamicin</w:t>
            </w:r>
            <w:bookmarkEnd w:id="277"/>
            <w:bookmarkEnd w:id="278"/>
            <w:bookmarkEnd w:id="279"/>
            <w:bookmarkEnd w:id="280"/>
            <w:bookmarkEnd w:id="281"/>
            <w:bookmarkEnd w:id="282"/>
            <w:r w:rsidRPr="00E25790">
              <w:fldChar w:fldCharType="begin"/>
            </w:r>
            <w:r w:rsidRPr="00E25790">
              <w:instrText>tc "Gentamicin" \l 0</w:instrText>
            </w:r>
            <w:r w:rsidRPr="00E25790">
              <w:fldChar w:fldCharType="end"/>
            </w:r>
          </w:p>
        </w:tc>
      </w:tr>
      <w:tr w:rsidRPr="00E25790" w:rsidR="00115F48" w:rsidTr="00B97D99" w14:paraId="257A8F0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B433B35" w14:textId="50BE6486">
            <w:r w:rsidRPr="00E25790">
              <w:t>Revision Date</w:t>
            </w:r>
            <w:r w:rsidRPr="00E25790">
              <w:rPr>
                <w:b/>
              </w:rPr>
              <w:t xml:space="preserve"> : </w:t>
            </w:r>
            <w:r w:rsidR="00F15991">
              <w:rPr>
                <w:b/>
              </w:rPr>
              <w:t>18-2-2021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D432F4E" w14:textId="77777777">
            <w:r w:rsidRPr="00E25790">
              <w:t xml:space="preserve">Approved : </w:t>
            </w:r>
            <w:r w:rsidRPr="00E25790" w:rsidR="007E0C26">
              <w:t>TC</w:t>
            </w:r>
            <w:r w:rsidRPr="00E25790" w:rsidR="00DF3C58">
              <w:t xml:space="preserve">, </w:t>
            </w:r>
            <w:r w:rsidRPr="00E25790" w:rsidR="007E0C26">
              <w:t>KOH</w:t>
            </w:r>
          </w:p>
        </w:tc>
      </w:tr>
    </w:tbl>
    <w:p w:rsidR="00115F48" w:rsidP="006F0321" w:rsidRDefault="00115F48" w14:paraId="69CD5176"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30"/>
        <w:gridCol w:w="8505"/>
      </w:tblGrid>
      <w:tr w:rsidRPr="008F114E" w:rsidR="00841634" w:rsidTr="00244C61" w14:paraId="1EFFDFE1" w14:textId="77777777">
        <w:trPr>
          <w:trHeight w:val="70"/>
        </w:trPr>
        <w:tc>
          <w:tcPr>
            <w:tcW w:w="1730" w:type="dxa"/>
          </w:tcPr>
          <w:p w:rsidRPr="008F114E" w:rsidR="00841634" w:rsidP="00FE4186" w:rsidRDefault="00841634" w14:paraId="5253D18F" w14:textId="77777777">
            <w:pPr>
              <w:pStyle w:val="BodyText"/>
              <w:tabs>
                <w:tab w:val="center" w:pos="1476"/>
              </w:tabs>
              <w:rPr>
                <w:rFonts w:asciiTheme="minorHAnsi" w:hAnsiTheme="minorHAnsi" w:cstheme="minorHAnsi"/>
                <w:b/>
                <w:sz w:val="20"/>
                <w:lang w:val="en-AU"/>
              </w:rPr>
            </w:pPr>
            <w:r w:rsidRPr="008F114E">
              <w:rPr>
                <w:rFonts w:asciiTheme="minorHAnsi" w:hAnsiTheme="minorHAnsi" w:cstheme="minorHAnsi"/>
                <w:b/>
                <w:sz w:val="20"/>
                <w:lang w:val="en-AU"/>
              </w:rPr>
              <w:t>Alert</w:t>
            </w:r>
            <w:r w:rsidRPr="008F114E">
              <w:rPr>
                <w:rFonts w:asciiTheme="minorHAnsi" w:hAnsiTheme="minorHAnsi" w:cstheme="minorHAnsi"/>
                <w:b/>
                <w:sz w:val="20"/>
                <w:lang w:val="en-AU"/>
              </w:rPr>
              <w:tab/>
            </w:r>
          </w:p>
        </w:tc>
        <w:tc>
          <w:tcPr>
            <w:tcW w:w="8505" w:type="dxa"/>
          </w:tcPr>
          <w:p w:rsidRPr="008F114E" w:rsidR="00841634" w:rsidP="00FE4186" w:rsidRDefault="00841634" w14:paraId="749B3C81"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The administration of antibiotics within 1 hour of the identification of sepsis is recommended.</w:t>
            </w:r>
            <w:r w:rsidRPr="008F114E">
              <w:rPr>
                <w:rFonts w:asciiTheme="minorHAnsi" w:hAnsiTheme="minorHAnsi" w:cstheme="minorHAnsi"/>
                <w:noProof/>
                <w:sz w:val="20"/>
                <w:lang w:val="en-AU"/>
              </w:rPr>
              <w:t>(1)</w:t>
            </w:r>
          </w:p>
          <w:p w:rsidRPr="008F114E" w:rsidR="00841634" w:rsidP="00FE4186" w:rsidRDefault="00841634" w14:paraId="026D0DBD"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The Antimicrobial Stewardship Team has listed this drug under the following categories :</w:t>
            </w:r>
          </w:p>
          <w:p w:rsidRPr="008F114E" w:rsidR="00841634" w:rsidP="00FE4186" w:rsidRDefault="00841634" w14:paraId="2CB4BC4A"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Unrestricted – duration up to 48 hours and restricted for duration &gt; 48 hours</w:t>
            </w:r>
          </w:p>
          <w:p w:rsidRPr="008F114E" w:rsidR="00841634" w:rsidP="00FE4186" w:rsidRDefault="00841634" w14:paraId="2CA8384E"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Aminoglycosides can be inactivated by penicillin and cephalosporin antibiotics. As commonly co-prescribed, where feasible, give at separate sites or separate the administration time of the antibiotics.</w:t>
            </w:r>
          </w:p>
          <w:p w:rsidRPr="00B200B2" w:rsidR="00841634" w:rsidP="00FE4186" w:rsidRDefault="00841634" w14:paraId="4C84D583" w14:textId="77777777">
            <w:pPr>
              <w:pStyle w:val="BodyText"/>
              <w:rPr>
                <w:rFonts w:asciiTheme="minorHAnsi" w:hAnsiTheme="minorHAnsi" w:cstheme="minorHAnsi"/>
                <w:sz w:val="20"/>
                <w:lang w:val="en-AU"/>
              </w:rPr>
            </w:pPr>
            <w:r w:rsidRPr="008F114E">
              <w:rPr>
                <w:rFonts w:asciiTheme="minorHAnsi" w:hAnsiTheme="minorHAnsi" w:cstheme="minorHAnsi"/>
                <w:sz w:val="20"/>
              </w:rPr>
              <w:t>Unregistered products from overseas available during shortages may contain preservatives</w:t>
            </w:r>
            <w:r>
              <w:rPr>
                <w:rFonts w:asciiTheme="minorHAnsi" w:hAnsiTheme="minorHAnsi" w:cstheme="minorHAnsi"/>
                <w:sz w:val="20"/>
                <w:lang w:val="en-AU"/>
              </w:rPr>
              <w:t>.</w:t>
            </w:r>
          </w:p>
        </w:tc>
      </w:tr>
      <w:tr w:rsidRPr="008F114E" w:rsidR="00841634" w:rsidTr="00244C61" w14:paraId="43C2E313" w14:textId="77777777">
        <w:trPr>
          <w:trHeight w:val="72"/>
        </w:trPr>
        <w:tc>
          <w:tcPr>
            <w:tcW w:w="1730" w:type="dxa"/>
          </w:tcPr>
          <w:p w:rsidRPr="008F114E" w:rsidR="00841634" w:rsidP="00FE4186" w:rsidRDefault="00841634" w14:paraId="593C73AF" w14:textId="77777777">
            <w:pPr>
              <w:pStyle w:val="BodyText"/>
              <w:rPr>
                <w:rFonts w:asciiTheme="minorHAnsi" w:hAnsiTheme="minorHAnsi" w:cstheme="minorHAnsi"/>
                <w:sz w:val="20"/>
                <w:lang w:val="en-AU"/>
              </w:rPr>
            </w:pPr>
            <w:r w:rsidRPr="008F114E">
              <w:rPr>
                <w:rFonts w:asciiTheme="minorHAnsi" w:hAnsiTheme="minorHAnsi" w:cstheme="minorHAnsi"/>
                <w:b/>
                <w:bCs/>
                <w:sz w:val="20"/>
                <w:lang w:val="en-AU"/>
              </w:rPr>
              <w:t>Indication</w:t>
            </w:r>
          </w:p>
        </w:tc>
        <w:tc>
          <w:tcPr>
            <w:tcW w:w="8505" w:type="dxa"/>
          </w:tcPr>
          <w:p w:rsidRPr="008F114E" w:rsidR="00841634" w:rsidP="00FE4186" w:rsidRDefault="00841634" w14:paraId="7F2EDC35" w14:textId="77777777">
            <w:pPr>
              <w:rPr>
                <w:rFonts w:asciiTheme="minorHAnsi" w:hAnsiTheme="minorHAnsi" w:cstheme="minorHAnsi"/>
                <w:sz w:val="20"/>
              </w:rPr>
            </w:pPr>
            <w:r w:rsidRPr="008F114E">
              <w:rPr>
                <w:rFonts w:asciiTheme="minorHAnsi" w:hAnsiTheme="minorHAnsi" w:cstheme="minorHAnsi"/>
                <w:sz w:val="20"/>
              </w:rPr>
              <w:t>Treatment of gram-negative infections.</w:t>
            </w:r>
          </w:p>
        </w:tc>
      </w:tr>
      <w:tr w:rsidRPr="008F114E" w:rsidR="00841634" w:rsidTr="00244C61" w14:paraId="3D5649E0" w14:textId="77777777">
        <w:trPr>
          <w:trHeight w:val="70"/>
        </w:trPr>
        <w:tc>
          <w:tcPr>
            <w:tcW w:w="1730" w:type="dxa"/>
          </w:tcPr>
          <w:p w:rsidRPr="008F114E" w:rsidR="00841634" w:rsidP="00FE4186" w:rsidRDefault="00841634" w14:paraId="268E39A1"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Action</w:t>
            </w:r>
          </w:p>
        </w:tc>
        <w:tc>
          <w:tcPr>
            <w:tcW w:w="8505" w:type="dxa"/>
          </w:tcPr>
          <w:p w:rsidRPr="008F114E" w:rsidR="00841634" w:rsidP="00FE4186" w:rsidRDefault="00841634" w14:paraId="39459447" w14:textId="77777777">
            <w:pPr>
              <w:rPr>
                <w:rFonts w:asciiTheme="minorHAnsi" w:hAnsiTheme="minorHAnsi" w:cstheme="minorHAnsi"/>
                <w:sz w:val="20"/>
              </w:rPr>
            </w:pPr>
            <w:r w:rsidRPr="008F114E">
              <w:rPr>
                <w:rFonts w:asciiTheme="minorHAnsi" w:hAnsiTheme="minorHAnsi" w:cstheme="minorHAnsi"/>
                <w:sz w:val="20"/>
              </w:rPr>
              <w:t>Bactericidal agent that acts by inhibiting protein synthesis in susceptible bacteria.</w:t>
            </w:r>
          </w:p>
        </w:tc>
      </w:tr>
      <w:tr w:rsidRPr="008F114E" w:rsidR="00841634" w:rsidTr="00244C61" w14:paraId="07738A13" w14:textId="77777777">
        <w:trPr>
          <w:trHeight w:val="266"/>
        </w:trPr>
        <w:tc>
          <w:tcPr>
            <w:tcW w:w="1730" w:type="dxa"/>
          </w:tcPr>
          <w:p w:rsidRPr="008F114E" w:rsidR="00841634" w:rsidP="00FE4186" w:rsidRDefault="00841634" w14:paraId="325CE74C" w14:textId="77777777">
            <w:pPr>
              <w:pStyle w:val="BodyText"/>
              <w:rPr>
                <w:rFonts w:asciiTheme="minorHAnsi" w:hAnsiTheme="minorHAnsi" w:cstheme="minorHAnsi"/>
                <w:sz w:val="20"/>
                <w:lang w:val="en-AU"/>
              </w:rPr>
            </w:pPr>
            <w:r w:rsidRPr="008F114E">
              <w:rPr>
                <w:rFonts w:asciiTheme="minorHAnsi" w:hAnsiTheme="minorHAnsi" w:cstheme="minorHAnsi"/>
                <w:b/>
                <w:bCs/>
                <w:sz w:val="20"/>
                <w:lang w:val="en-AU"/>
              </w:rPr>
              <w:t xml:space="preserve">Drug type                                   </w:t>
            </w:r>
          </w:p>
        </w:tc>
        <w:tc>
          <w:tcPr>
            <w:tcW w:w="8505" w:type="dxa"/>
          </w:tcPr>
          <w:p w:rsidRPr="008F114E" w:rsidR="00841634" w:rsidP="00FE4186" w:rsidRDefault="00841634" w14:paraId="31222F0B"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Aminoglycoside antibiotic</w:t>
            </w:r>
          </w:p>
        </w:tc>
      </w:tr>
      <w:tr w:rsidRPr="008F114E" w:rsidR="00841634" w:rsidTr="00244C61" w14:paraId="52A7A20E" w14:textId="77777777">
        <w:trPr>
          <w:trHeight w:val="114"/>
        </w:trPr>
        <w:tc>
          <w:tcPr>
            <w:tcW w:w="1730" w:type="dxa"/>
          </w:tcPr>
          <w:p w:rsidRPr="008F114E" w:rsidR="00841634" w:rsidP="00FE4186" w:rsidRDefault="00841634" w14:paraId="76849C8B"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Trade name                  </w:t>
            </w:r>
          </w:p>
        </w:tc>
        <w:tc>
          <w:tcPr>
            <w:tcW w:w="8505" w:type="dxa"/>
          </w:tcPr>
          <w:p w:rsidRPr="008F114E" w:rsidR="00841634" w:rsidP="00FE4186" w:rsidRDefault="00841634" w14:paraId="58766FB0"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DBL gentamicin, Gentamicin BP (Pfizer)</w:t>
            </w:r>
          </w:p>
        </w:tc>
      </w:tr>
      <w:tr w:rsidRPr="008F114E" w:rsidR="00841634" w:rsidTr="00244C61" w14:paraId="758FA6A9" w14:textId="77777777">
        <w:trPr>
          <w:trHeight w:val="70"/>
        </w:trPr>
        <w:tc>
          <w:tcPr>
            <w:tcW w:w="1730" w:type="dxa"/>
          </w:tcPr>
          <w:p w:rsidRPr="008F114E" w:rsidR="00841634" w:rsidP="00FE4186" w:rsidRDefault="00841634" w14:paraId="0400DB3E"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Presentation </w:t>
            </w:r>
          </w:p>
        </w:tc>
        <w:tc>
          <w:tcPr>
            <w:tcW w:w="8505" w:type="dxa"/>
          </w:tcPr>
          <w:p w:rsidRPr="008F114E" w:rsidR="00841634" w:rsidP="00FE4186" w:rsidRDefault="00841634" w14:paraId="2FE77912"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 xml:space="preserve">10 mg/mL ampoule – </w:t>
            </w:r>
            <w:r w:rsidRPr="008F114E">
              <w:rPr>
                <w:rFonts w:asciiTheme="minorHAnsi" w:hAnsiTheme="minorHAnsi" w:cstheme="minorHAnsi"/>
                <w:b/>
                <w:sz w:val="20"/>
              </w:rPr>
              <w:t>paediatric strength</w:t>
            </w:r>
            <w:r w:rsidRPr="008F114E">
              <w:rPr>
                <w:rFonts w:asciiTheme="minorHAnsi" w:hAnsiTheme="minorHAnsi" w:cstheme="minorHAnsi"/>
                <w:sz w:val="20"/>
              </w:rPr>
              <w:t xml:space="preserve"> </w:t>
            </w:r>
          </w:p>
          <w:p w:rsidR="00841634" w:rsidP="00FE4186" w:rsidRDefault="00841634" w14:paraId="5E1C6D12" w14:textId="77777777">
            <w:pPr>
              <w:pStyle w:val="BodyText"/>
              <w:rPr>
                <w:rFonts w:asciiTheme="minorHAnsi" w:hAnsiTheme="minorHAnsi" w:cstheme="minorHAnsi"/>
                <w:b/>
                <w:sz w:val="20"/>
                <w:lang w:val="en-AU"/>
              </w:rPr>
            </w:pPr>
            <w:r w:rsidRPr="008F114E">
              <w:rPr>
                <w:rFonts w:asciiTheme="minorHAnsi" w:hAnsiTheme="minorHAnsi" w:cstheme="minorHAnsi"/>
                <w:sz w:val="20"/>
                <w:lang w:val="en-AU"/>
              </w:rPr>
              <w:t xml:space="preserve">80 mg/2 mL ampoule – </w:t>
            </w:r>
            <w:r w:rsidRPr="008F114E">
              <w:rPr>
                <w:rFonts w:asciiTheme="minorHAnsi" w:hAnsiTheme="minorHAnsi" w:cstheme="minorHAnsi"/>
                <w:b/>
                <w:sz w:val="20"/>
                <w:lang w:val="en-AU"/>
              </w:rPr>
              <w:t>adult strength</w:t>
            </w:r>
          </w:p>
          <w:p w:rsidRPr="008F114E" w:rsidR="00841634" w:rsidP="00FE4186" w:rsidRDefault="00841634" w14:paraId="03913AF6" w14:textId="77777777">
            <w:pPr>
              <w:pStyle w:val="BodyText"/>
              <w:rPr>
                <w:rFonts w:asciiTheme="minorHAnsi" w:hAnsiTheme="minorHAnsi" w:cstheme="minorHAnsi"/>
                <w:sz w:val="20"/>
                <w:lang w:val="en-AU"/>
              </w:rPr>
            </w:pPr>
            <w:r>
              <w:rPr>
                <w:rFonts w:asciiTheme="minorHAnsi" w:hAnsiTheme="minorHAnsi" w:cstheme="minorHAnsi"/>
                <w:b/>
                <w:sz w:val="20"/>
                <w:lang w:val="en-AU"/>
              </w:rPr>
              <w:t>NOTE: SAS product may be considered in the event of a shortage. Consult the local pharmacy.</w:t>
            </w:r>
          </w:p>
        </w:tc>
      </w:tr>
      <w:tr w:rsidRPr="008F114E" w:rsidR="00841634" w:rsidTr="00244C61" w14:paraId="690481B2" w14:textId="77777777">
        <w:trPr>
          <w:trHeight w:val="70"/>
        </w:trPr>
        <w:tc>
          <w:tcPr>
            <w:tcW w:w="1730" w:type="dxa"/>
          </w:tcPr>
          <w:p w:rsidRPr="008F114E" w:rsidR="00841634" w:rsidP="00FE4186" w:rsidRDefault="00841634" w14:paraId="22F9A38C"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Dose                          </w:t>
            </w:r>
          </w:p>
        </w:tc>
        <w:tc>
          <w:tcPr>
            <w:tcW w:w="8505" w:type="dxa"/>
          </w:tcPr>
          <w:p w:rsidRPr="008F114E" w:rsidR="00841634" w:rsidP="00FE4186" w:rsidRDefault="00841634" w14:paraId="5E03F8F7" w14:textId="77777777">
            <w:pPr>
              <w:pStyle w:val="BodyText"/>
              <w:rPr>
                <w:rFonts w:asciiTheme="minorHAnsi" w:hAnsiTheme="minorHAnsi" w:cstheme="minorHAnsi"/>
                <w:b/>
                <w:sz w:val="20"/>
                <w:lang w:val="en-AU"/>
              </w:rPr>
            </w:pPr>
            <w:r w:rsidRPr="008F114E">
              <w:rPr>
                <w:rFonts w:asciiTheme="minorHAnsi" w:hAnsiTheme="minorHAnsi" w:cstheme="minorHAnsi"/>
                <w:b/>
                <w:sz w:val="20"/>
                <w:lang w:val="en-AU"/>
              </w:rPr>
              <w:t xml:space="preserve">Dose: 5 mg/kg as follows: </w:t>
            </w:r>
            <w:r>
              <w:rPr>
                <w:rFonts w:asciiTheme="minorHAnsi" w:hAnsiTheme="minorHAnsi" w:cstheme="minorHAnsi"/>
                <w:b/>
                <w:noProof/>
                <w:sz w:val="20"/>
                <w:lang w:val="en-AU"/>
              </w:rPr>
              <w:t>(2-5)</w:t>
            </w:r>
          </w:p>
          <w:tbl>
            <w:tblPr>
              <w:tblpPr w:leftFromText="180" w:rightFromText="180" w:vertAnchor="page" w:horzAnchor="margin" w:tblpXSpec="center" w:tblpY="316"/>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682"/>
              <w:gridCol w:w="831"/>
              <w:gridCol w:w="2152"/>
              <w:gridCol w:w="2189"/>
            </w:tblGrid>
            <w:tr w:rsidRPr="008F114E" w:rsidR="00841634" w:rsidTr="00FE4186" w14:paraId="127EE71D" w14:textId="77777777">
              <w:trPr>
                <w:trHeight w:val="247"/>
              </w:trPr>
              <w:tc>
                <w:tcPr>
                  <w:tcW w:w="2682" w:type="dxa"/>
                  <w:shd w:val="clear" w:color="auto" w:fill="auto"/>
                  <w:vAlign w:val="center"/>
                </w:tcPr>
                <w:p w:rsidRPr="008F114E" w:rsidR="00841634" w:rsidP="00FE4186" w:rsidRDefault="00841634" w14:paraId="59730408" w14:textId="77777777">
                  <w:pPr>
                    <w:jc w:val="center"/>
                    <w:rPr>
                      <w:rFonts w:asciiTheme="minorHAnsi" w:hAnsiTheme="minorHAnsi" w:cstheme="minorHAnsi"/>
                      <w:b/>
                      <w:sz w:val="20"/>
                    </w:rPr>
                  </w:pPr>
                  <w:r w:rsidRPr="008F114E">
                    <w:rPr>
                      <w:rFonts w:asciiTheme="minorHAnsi" w:hAnsiTheme="minorHAnsi" w:cstheme="minorHAnsi"/>
                      <w:b/>
                      <w:sz w:val="20"/>
                    </w:rPr>
                    <w:t>Corrected Gestational Age/Postmenstrual Age*</w:t>
                  </w:r>
                </w:p>
              </w:tc>
              <w:tc>
                <w:tcPr>
                  <w:tcW w:w="831" w:type="dxa"/>
                  <w:shd w:val="clear" w:color="auto" w:fill="auto"/>
                  <w:vAlign w:val="center"/>
                </w:tcPr>
                <w:p w:rsidRPr="008F114E" w:rsidR="00841634" w:rsidP="00FE4186" w:rsidRDefault="00841634" w14:paraId="2C6E7AC1" w14:textId="77777777">
                  <w:pPr>
                    <w:jc w:val="center"/>
                    <w:rPr>
                      <w:rFonts w:asciiTheme="minorHAnsi" w:hAnsiTheme="minorHAnsi" w:cstheme="minorHAnsi"/>
                      <w:b/>
                      <w:sz w:val="20"/>
                    </w:rPr>
                  </w:pPr>
                  <w:r w:rsidRPr="008F114E">
                    <w:rPr>
                      <w:rFonts w:asciiTheme="minorHAnsi" w:hAnsiTheme="minorHAnsi" w:cstheme="minorHAnsi"/>
                      <w:b/>
                      <w:sz w:val="20"/>
                    </w:rPr>
                    <w:t>Route</w:t>
                  </w:r>
                </w:p>
              </w:tc>
              <w:tc>
                <w:tcPr>
                  <w:tcW w:w="2152" w:type="dxa"/>
                  <w:shd w:val="clear" w:color="auto" w:fill="auto"/>
                  <w:vAlign w:val="center"/>
                </w:tcPr>
                <w:p w:rsidRPr="008F114E" w:rsidR="00841634" w:rsidP="00FE4186" w:rsidRDefault="00841634" w14:paraId="2567FB68" w14:textId="77777777">
                  <w:pPr>
                    <w:jc w:val="center"/>
                    <w:rPr>
                      <w:rFonts w:asciiTheme="minorHAnsi" w:hAnsiTheme="minorHAnsi" w:cstheme="minorHAnsi"/>
                      <w:b/>
                      <w:sz w:val="20"/>
                    </w:rPr>
                  </w:pPr>
                  <w:r w:rsidRPr="008F114E">
                    <w:rPr>
                      <w:rFonts w:asciiTheme="minorHAnsi" w:hAnsiTheme="minorHAnsi" w:cstheme="minorHAnsi"/>
                      <w:b/>
                      <w:sz w:val="20"/>
                    </w:rPr>
                    <w:t>Dosing interval</w:t>
                  </w:r>
                </w:p>
              </w:tc>
              <w:tc>
                <w:tcPr>
                  <w:tcW w:w="2189" w:type="dxa"/>
                </w:tcPr>
                <w:p w:rsidRPr="008F114E" w:rsidR="00841634" w:rsidP="00FE4186" w:rsidRDefault="00841634" w14:paraId="21248E96" w14:textId="77777777">
                  <w:pPr>
                    <w:jc w:val="center"/>
                    <w:rPr>
                      <w:rFonts w:asciiTheme="minorHAnsi" w:hAnsiTheme="minorHAnsi" w:cstheme="minorHAnsi"/>
                      <w:b/>
                      <w:sz w:val="20"/>
                    </w:rPr>
                  </w:pPr>
                  <w:r w:rsidRPr="008F114E">
                    <w:rPr>
                      <w:rFonts w:asciiTheme="minorHAnsi" w:hAnsiTheme="minorHAnsi" w:cstheme="minorHAnsi"/>
                      <w:b/>
                      <w:sz w:val="20"/>
                    </w:rPr>
                    <w:t>Drug concentration to be performed at:</w:t>
                  </w:r>
                </w:p>
              </w:tc>
            </w:tr>
            <w:tr w:rsidRPr="008F114E" w:rsidR="00841634" w:rsidTr="00FE4186" w14:paraId="628A14B8" w14:textId="77777777">
              <w:tc>
                <w:tcPr>
                  <w:tcW w:w="2682" w:type="dxa"/>
                  <w:shd w:val="clear" w:color="auto" w:fill="auto"/>
                  <w:vAlign w:val="center"/>
                </w:tcPr>
                <w:p w:rsidRPr="008F114E" w:rsidR="00841634" w:rsidP="00FE4186" w:rsidRDefault="00841634" w14:paraId="2974F61D" w14:textId="77777777">
                  <w:pPr>
                    <w:rPr>
                      <w:rFonts w:asciiTheme="minorHAnsi" w:hAnsiTheme="minorHAnsi" w:cstheme="minorHAnsi"/>
                      <w:sz w:val="20"/>
                    </w:rPr>
                  </w:pPr>
                  <w:r w:rsidRPr="008F114E">
                    <w:rPr>
                      <w:rFonts w:asciiTheme="minorHAnsi" w:hAnsiTheme="minorHAnsi" w:cstheme="minorHAnsi"/>
                      <w:sz w:val="20"/>
                    </w:rPr>
                    <w:t>&lt; 30</w:t>
                  </w:r>
                  <w:r w:rsidRPr="008F114E">
                    <w:rPr>
                      <w:rFonts w:asciiTheme="minorHAnsi" w:hAnsiTheme="minorHAnsi" w:cstheme="minorHAnsi"/>
                      <w:sz w:val="20"/>
                      <w:vertAlign w:val="superscript"/>
                    </w:rPr>
                    <w:t>+0</w:t>
                  </w:r>
                  <w:r w:rsidRPr="008F114E">
                    <w:rPr>
                      <w:rFonts w:asciiTheme="minorHAnsi" w:hAnsiTheme="minorHAnsi" w:cstheme="minorHAnsi"/>
                      <w:sz w:val="20"/>
                    </w:rPr>
                    <w:t xml:space="preserve"> weeks* </w:t>
                  </w:r>
                </w:p>
              </w:tc>
              <w:tc>
                <w:tcPr>
                  <w:tcW w:w="831" w:type="dxa"/>
                  <w:shd w:val="clear" w:color="auto" w:fill="auto"/>
                  <w:vAlign w:val="center"/>
                </w:tcPr>
                <w:p w:rsidRPr="008F114E" w:rsidR="00841634" w:rsidP="00FE4186" w:rsidRDefault="00841634" w14:paraId="07128151" w14:textId="77777777">
                  <w:pPr>
                    <w:rPr>
                      <w:rFonts w:asciiTheme="minorHAnsi" w:hAnsiTheme="minorHAnsi" w:cstheme="minorHAnsi"/>
                      <w:sz w:val="20"/>
                    </w:rPr>
                  </w:pPr>
                  <w:r w:rsidRPr="008F114E">
                    <w:rPr>
                      <w:rFonts w:asciiTheme="minorHAnsi" w:hAnsiTheme="minorHAnsi" w:cstheme="minorHAnsi"/>
                      <w:sz w:val="20"/>
                    </w:rPr>
                    <w:t>IV/IM</w:t>
                  </w:r>
                </w:p>
              </w:tc>
              <w:tc>
                <w:tcPr>
                  <w:tcW w:w="2152" w:type="dxa"/>
                  <w:shd w:val="clear" w:color="auto" w:fill="auto"/>
                  <w:vAlign w:val="center"/>
                </w:tcPr>
                <w:p w:rsidRPr="008F114E" w:rsidR="00841634" w:rsidP="00FE4186" w:rsidRDefault="00841634" w14:paraId="6BF7BE8A" w14:textId="77777777">
                  <w:pPr>
                    <w:rPr>
                      <w:rFonts w:asciiTheme="minorHAnsi" w:hAnsiTheme="minorHAnsi" w:cstheme="minorHAnsi"/>
                      <w:sz w:val="20"/>
                    </w:rPr>
                  </w:pPr>
                  <w:r w:rsidRPr="008F114E">
                    <w:rPr>
                      <w:rFonts w:asciiTheme="minorHAnsi" w:hAnsiTheme="minorHAnsi" w:cstheme="minorHAnsi"/>
                      <w:sz w:val="20"/>
                    </w:rPr>
                    <w:t>48 hourly</w:t>
                  </w:r>
                </w:p>
              </w:tc>
              <w:tc>
                <w:tcPr>
                  <w:tcW w:w="2189" w:type="dxa"/>
                </w:tcPr>
                <w:p w:rsidRPr="008F114E" w:rsidR="00841634" w:rsidP="00FE4186" w:rsidRDefault="00841634" w14:paraId="1A55A43A" w14:textId="77777777">
                  <w:pPr>
                    <w:rPr>
                      <w:rFonts w:asciiTheme="minorHAnsi" w:hAnsiTheme="minorHAnsi" w:cstheme="minorHAnsi"/>
                      <w:sz w:val="20"/>
                    </w:rPr>
                  </w:pPr>
                  <w:r w:rsidRPr="008F114E">
                    <w:rPr>
                      <w:rFonts w:asciiTheme="minorHAnsi" w:hAnsiTheme="minorHAnsi" w:cstheme="minorHAnsi"/>
                      <w:sz w:val="20"/>
                    </w:rPr>
                    <w:t>22 hours after the 2</w:t>
                  </w:r>
                  <w:r w:rsidRPr="008F114E">
                    <w:rPr>
                      <w:rFonts w:asciiTheme="minorHAnsi" w:hAnsiTheme="minorHAnsi" w:cstheme="minorHAnsi"/>
                      <w:sz w:val="20"/>
                      <w:vertAlign w:val="superscript"/>
                    </w:rPr>
                    <w:t>nd</w:t>
                  </w:r>
                  <w:r w:rsidRPr="008F114E">
                    <w:rPr>
                      <w:rFonts w:asciiTheme="minorHAnsi" w:hAnsiTheme="minorHAnsi" w:cstheme="minorHAnsi"/>
                      <w:sz w:val="20"/>
                    </w:rPr>
                    <w:t xml:space="preserve"> dose</w:t>
                  </w:r>
                </w:p>
              </w:tc>
            </w:tr>
            <w:tr w:rsidRPr="008F114E" w:rsidR="00841634" w:rsidTr="00FE4186" w14:paraId="3AF82370" w14:textId="77777777">
              <w:tc>
                <w:tcPr>
                  <w:tcW w:w="2682" w:type="dxa"/>
                  <w:shd w:val="clear" w:color="auto" w:fill="auto"/>
                  <w:vAlign w:val="center"/>
                </w:tcPr>
                <w:p w:rsidRPr="008F114E" w:rsidR="00841634" w:rsidP="00FE4186" w:rsidRDefault="00841634" w14:paraId="6649B3E7" w14:textId="77777777">
                  <w:pPr>
                    <w:rPr>
                      <w:rFonts w:asciiTheme="minorHAnsi" w:hAnsiTheme="minorHAnsi" w:cstheme="minorHAnsi"/>
                      <w:sz w:val="20"/>
                    </w:rPr>
                  </w:pPr>
                  <w:r w:rsidRPr="008F114E">
                    <w:rPr>
                      <w:rFonts w:asciiTheme="minorHAnsi" w:hAnsiTheme="minorHAnsi" w:cstheme="minorHAnsi"/>
                      <w:sz w:val="20"/>
                    </w:rPr>
                    <w:t>30</w:t>
                  </w:r>
                  <w:r w:rsidRPr="008F114E">
                    <w:rPr>
                      <w:rFonts w:asciiTheme="minorHAnsi" w:hAnsiTheme="minorHAnsi" w:cstheme="minorHAnsi"/>
                      <w:sz w:val="20"/>
                      <w:vertAlign w:val="superscript"/>
                    </w:rPr>
                    <w:t>+0</w:t>
                  </w:r>
                  <w:r w:rsidRPr="008F114E">
                    <w:rPr>
                      <w:rFonts w:asciiTheme="minorHAnsi" w:hAnsiTheme="minorHAnsi" w:cstheme="minorHAnsi"/>
                      <w:sz w:val="20"/>
                    </w:rPr>
                    <w:t>─34</w:t>
                  </w:r>
                  <w:r w:rsidRPr="008F114E">
                    <w:rPr>
                      <w:rFonts w:asciiTheme="minorHAnsi" w:hAnsiTheme="minorHAnsi" w:cstheme="minorHAnsi"/>
                      <w:sz w:val="20"/>
                      <w:vertAlign w:val="superscript"/>
                    </w:rPr>
                    <w:t>+6</w:t>
                  </w:r>
                  <w:r w:rsidRPr="008F114E">
                    <w:rPr>
                      <w:rFonts w:asciiTheme="minorHAnsi" w:hAnsiTheme="minorHAnsi" w:cstheme="minorHAnsi"/>
                      <w:sz w:val="20"/>
                    </w:rPr>
                    <w:t xml:space="preserve"> weeks* </w:t>
                  </w:r>
                </w:p>
              </w:tc>
              <w:tc>
                <w:tcPr>
                  <w:tcW w:w="831" w:type="dxa"/>
                  <w:shd w:val="clear" w:color="auto" w:fill="auto"/>
                  <w:vAlign w:val="center"/>
                </w:tcPr>
                <w:p w:rsidRPr="008F114E" w:rsidR="00841634" w:rsidP="00FE4186" w:rsidRDefault="00841634" w14:paraId="348795B0" w14:textId="77777777">
                  <w:pPr>
                    <w:rPr>
                      <w:rFonts w:asciiTheme="minorHAnsi" w:hAnsiTheme="minorHAnsi" w:cstheme="minorHAnsi"/>
                      <w:sz w:val="20"/>
                    </w:rPr>
                  </w:pPr>
                  <w:r w:rsidRPr="008F114E">
                    <w:rPr>
                      <w:rFonts w:asciiTheme="minorHAnsi" w:hAnsiTheme="minorHAnsi" w:cstheme="minorHAnsi"/>
                      <w:sz w:val="20"/>
                    </w:rPr>
                    <w:t>IV/IM</w:t>
                  </w:r>
                </w:p>
              </w:tc>
              <w:tc>
                <w:tcPr>
                  <w:tcW w:w="2152" w:type="dxa"/>
                  <w:shd w:val="clear" w:color="auto" w:fill="auto"/>
                  <w:vAlign w:val="center"/>
                </w:tcPr>
                <w:p w:rsidRPr="008F114E" w:rsidR="00841634" w:rsidP="00FE4186" w:rsidRDefault="00841634" w14:paraId="50864293" w14:textId="77777777">
                  <w:pPr>
                    <w:rPr>
                      <w:rFonts w:asciiTheme="minorHAnsi" w:hAnsiTheme="minorHAnsi" w:cstheme="minorHAnsi"/>
                      <w:sz w:val="20"/>
                    </w:rPr>
                  </w:pPr>
                  <w:r w:rsidRPr="008F114E">
                    <w:rPr>
                      <w:rFonts w:asciiTheme="minorHAnsi" w:hAnsiTheme="minorHAnsi" w:cstheme="minorHAnsi"/>
                      <w:sz w:val="20"/>
                    </w:rPr>
                    <w:t xml:space="preserve">36 hourly </w:t>
                  </w:r>
                </w:p>
              </w:tc>
              <w:tc>
                <w:tcPr>
                  <w:tcW w:w="2189" w:type="dxa"/>
                </w:tcPr>
                <w:p w:rsidRPr="008F114E" w:rsidR="00841634" w:rsidP="00FE4186" w:rsidRDefault="00841634" w14:paraId="49B4DFBD" w14:textId="77777777">
                  <w:pPr>
                    <w:rPr>
                      <w:rFonts w:asciiTheme="minorHAnsi" w:hAnsiTheme="minorHAnsi" w:cstheme="minorHAnsi"/>
                      <w:sz w:val="20"/>
                    </w:rPr>
                  </w:pPr>
                  <w:r w:rsidRPr="008F114E">
                    <w:rPr>
                      <w:rFonts w:asciiTheme="minorHAnsi" w:hAnsiTheme="minorHAnsi" w:cstheme="minorHAnsi"/>
                      <w:sz w:val="20"/>
                    </w:rPr>
                    <w:t>22 hours after the 2</w:t>
                  </w:r>
                  <w:r w:rsidRPr="008F114E">
                    <w:rPr>
                      <w:rFonts w:asciiTheme="minorHAnsi" w:hAnsiTheme="minorHAnsi" w:cstheme="minorHAnsi"/>
                      <w:sz w:val="20"/>
                      <w:vertAlign w:val="superscript"/>
                    </w:rPr>
                    <w:t>nd</w:t>
                  </w:r>
                  <w:r w:rsidRPr="008F114E">
                    <w:rPr>
                      <w:rFonts w:asciiTheme="minorHAnsi" w:hAnsiTheme="minorHAnsi" w:cstheme="minorHAnsi"/>
                      <w:sz w:val="20"/>
                    </w:rPr>
                    <w:t xml:space="preserve"> dose</w:t>
                  </w:r>
                </w:p>
              </w:tc>
            </w:tr>
            <w:tr w:rsidRPr="008F114E" w:rsidR="00841634" w:rsidTr="00FE4186" w14:paraId="78B4BA83" w14:textId="77777777">
              <w:tc>
                <w:tcPr>
                  <w:tcW w:w="2682" w:type="dxa"/>
                  <w:shd w:val="clear" w:color="auto" w:fill="auto"/>
                  <w:vAlign w:val="center"/>
                </w:tcPr>
                <w:p w:rsidRPr="008F114E" w:rsidR="00841634" w:rsidP="00FE4186" w:rsidRDefault="00841634" w14:paraId="5C7447FE" w14:textId="77777777">
                  <w:pPr>
                    <w:rPr>
                      <w:rFonts w:asciiTheme="minorHAnsi" w:hAnsiTheme="minorHAnsi" w:cstheme="minorHAnsi"/>
                      <w:sz w:val="20"/>
                    </w:rPr>
                  </w:pPr>
                  <w:r w:rsidRPr="008F114E">
                    <w:rPr>
                      <w:rFonts w:asciiTheme="minorHAnsi" w:hAnsiTheme="minorHAnsi" w:cstheme="minorHAnsi"/>
                      <w:sz w:val="20"/>
                    </w:rPr>
                    <w:t>≥ 35</w:t>
                  </w:r>
                  <w:r w:rsidRPr="008F114E">
                    <w:rPr>
                      <w:rFonts w:asciiTheme="minorHAnsi" w:hAnsiTheme="minorHAnsi" w:cstheme="minorHAnsi"/>
                      <w:sz w:val="20"/>
                      <w:vertAlign w:val="superscript"/>
                    </w:rPr>
                    <w:t>+0</w:t>
                  </w:r>
                  <w:r w:rsidRPr="008F114E">
                    <w:rPr>
                      <w:rFonts w:asciiTheme="minorHAnsi" w:hAnsiTheme="minorHAnsi" w:cstheme="minorHAnsi"/>
                      <w:sz w:val="20"/>
                    </w:rPr>
                    <w:t xml:space="preserve"> weeks*</w:t>
                  </w:r>
                </w:p>
              </w:tc>
              <w:tc>
                <w:tcPr>
                  <w:tcW w:w="831" w:type="dxa"/>
                  <w:shd w:val="clear" w:color="auto" w:fill="auto"/>
                  <w:vAlign w:val="center"/>
                </w:tcPr>
                <w:p w:rsidRPr="008F114E" w:rsidR="00841634" w:rsidP="00FE4186" w:rsidRDefault="00841634" w14:paraId="73FABFF9" w14:textId="77777777">
                  <w:pPr>
                    <w:rPr>
                      <w:rFonts w:asciiTheme="minorHAnsi" w:hAnsiTheme="minorHAnsi" w:cstheme="minorHAnsi"/>
                      <w:sz w:val="20"/>
                    </w:rPr>
                  </w:pPr>
                  <w:r w:rsidRPr="008F114E">
                    <w:rPr>
                      <w:rFonts w:asciiTheme="minorHAnsi" w:hAnsiTheme="minorHAnsi" w:cstheme="minorHAnsi"/>
                      <w:sz w:val="20"/>
                    </w:rPr>
                    <w:t>IV/IM</w:t>
                  </w:r>
                </w:p>
              </w:tc>
              <w:tc>
                <w:tcPr>
                  <w:tcW w:w="2152" w:type="dxa"/>
                  <w:shd w:val="clear" w:color="auto" w:fill="auto"/>
                  <w:vAlign w:val="center"/>
                </w:tcPr>
                <w:p w:rsidRPr="008F114E" w:rsidR="00841634" w:rsidP="00FE4186" w:rsidRDefault="00841634" w14:paraId="75A3B874" w14:textId="77777777">
                  <w:pPr>
                    <w:rPr>
                      <w:rFonts w:asciiTheme="minorHAnsi" w:hAnsiTheme="minorHAnsi" w:cstheme="minorHAnsi"/>
                      <w:sz w:val="20"/>
                    </w:rPr>
                  </w:pPr>
                  <w:r w:rsidRPr="008F114E">
                    <w:rPr>
                      <w:rFonts w:asciiTheme="minorHAnsi" w:hAnsiTheme="minorHAnsi" w:cstheme="minorHAnsi"/>
                      <w:sz w:val="20"/>
                    </w:rPr>
                    <w:t xml:space="preserve">24 hourly </w:t>
                  </w:r>
                </w:p>
              </w:tc>
              <w:tc>
                <w:tcPr>
                  <w:tcW w:w="2189" w:type="dxa"/>
                </w:tcPr>
                <w:p w:rsidRPr="008F114E" w:rsidR="00841634" w:rsidP="00FE4186" w:rsidRDefault="00841634" w14:paraId="24E823DE" w14:textId="77777777">
                  <w:pPr>
                    <w:rPr>
                      <w:rFonts w:asciiTheme="minorHAnsi" w:hAnsiTheme="minorHAnsi" w:cstheme="minorHAnsi"/>
                      <w:sz w:val="20"/>
                    </w:rPr>
                  </w:pPr>
                  <w:r w:rsidRPr="008F114E">
                    <w:rPr>
                      <w:rFonts w:asciiTheme="minorHAnsi" w:hAnsiTheme="minorHAnsi" w:cstheme="minorHAnsi"/>
                      <w:sz w:val="20"/>
                    </w:rPr>
                    <w:t>22 hours after the 2</w:t>
                  </w:r>
                  <w:r w:rsidRPr="008F114E">
                    <w:rPr>
                      <w:rFonts w:asciiTheme="minorHAnsi" w:hAnsiTheme="minorHAnsi" w:cstheme="minorHAnsi"/>
                      <w:sz w:val="20"/>
                      <w:vertAlign w:val="superscript"/>
                    </w:rPr>
                    <w:t>nd</w:t>
                  </w:r>
                  <w:r w:rsidRPr="008F114E">
                    <w:rPr>
                      <w:rFonts w:asciiTheme="minorHAnsi" w:hAnsiTheme="minorHAnsi" w:cstheme="minorHAnsi"/>
                      <w:sz w:val="20"/>
                    </w:rPr>
                    <w:t xml:space="preserve"> dose</w:t>
                  </w:r>
                </w:p>
              </w:tc>
            </w:tr>
            <w:tr w:rsidRPr="008F114E" w:rsidR="00841634" w:rsidTr="00FE4186" w14:paraId="54E89D3B" w14:textId="77777777">
              <w:tc>
                <w:tcPr>
                  <w:tcW w:w="2682" w:type="dxa"/>
                  <w:shd w:val="clear" w:color="auto" w:fill="auto"/>
                  <w:vAlign w:val="center"/>
                </w:tcPr>
                <w:p w:rsidRPr="008F114E" w:rsidR="00841634" w:rsidP="00FE4186" w:rsidRDefault="00841634" w14:paraId="48641CA4" w14:textId="77777777">
                  <w:pPr>
                    <w:rPr>
                      <w:rFonts w:asciiTheme="minorHAnsi" w:hAnsiTheme="minorHAnsi" w:cstheme="minorHAnsi"/>
                      <w:sz w:val="20"/>
                    </w:rPr>
                  </w:pPr>
                  <w:r w:rsidRPr="008F114E">
                    <w:rPr>
                      <w:rFonts w:asciiTheme="minorHAnsi" w:hAnsiTheme="minorHAnsi" w:cstheme="minorHAnsi"/>
                      <w:sz w:val="20"/>
                    </w:rPr>
                    <w:t>*Concurrent cyclo-oxygenase inhibitors (indomethacin or ibuprofen)</w:t>
                  </w:r>
                  <w:r>
                    <w:rPr>
                      <w:rFonts w:asciiTheme="minorHAnsi" w:hAnsiTheme="minorHAnsi" w:cstheme="minorHAnsi"/>
                      <w:sz w:val="20"/>
                    </w:rPr>
                    <w:t xml:space="preserve"> </w:t>
                  </w:r>
                  <w:r>
                    <w:rPr>
                      <w:rFonts w:asciiTheme="minorHAnsi" w:hAnsiTheme="minorHAnsi" w:cstheme="minorHAnsi"/>
                      <w:noProof/>
                      <w:sz w:val="20"/>
                    </w:rPr>
                    <w:t>(6-8)</w:t>
                  </w:r>
                </w:p>
              </w:tc>
              <w:tc>
                <w:tcPr>
                  <w:tcW w:w="831" w:type="dxa"/>
                  <w:shd w:val="clear" w:color="auto" w:fill="auto"/>
                  <w:vAlign w:val="center"/>
                </w:tcPr>
                <w:p w:rsidRPr="008F114E" w:rsidR="00841634" w:rsidP="00FE4186" w:rsidRDefault="00841634" w14:paraId="43AB8C88" w14:textId="77777777">
                  <w:pPr>
                    <w:rPr>
                      <w:rFonts w:asciiTheme="minorHAnsi" w:hAnsiTheme="minorHAnsi" w:cstheme="minorHAnsi"/>
                      <w:sz w:val="20"/>
                    </w:rPr>
                  </w:pPr>
                  <w:r>
                    <w:rPr>
                      <w:rFonts w:asciiTheme="minorHAnsi" w:hAnsiTheme="minorHAnsi" w:cstheme="minorHAnsi"/>
                      <w:sz w:val="20"/>
                    </w:rPr>
                    <w:t>IV/IM</w:t>
                  </w:r>
                </w:p>
              </w:tc>
              <w:tc>
                <w:tcPr>
                  <w:tcW w:w="2152" w:type="dxa"/>
                  <w:shd w:val="clear" w:color="auto" w:fill="auto"/>
                  <w:vAlign w:val="center"/>
                </w:tcPr>
                <w:p w:rsidR="00841634" w:rsidP="00FE4186" w:rsidRDefault="00841634" w14:paraId="273B05CA" w14:textId="77777777">
                  <w:pPr>
                    <w:rPr>
                      <w:rFonts w:asciiTheme="minorHAnsi" w:hAnsiTheme="minorHAnsi" w:cstheme="minorHAnsi"/>
                      <w:sz w:val="20"/>
                    </w:rPr>
                  </w:pPr>
                  <w:r>
                    <w:rPr>
                      <w:rFonts w:asciiTheme="minorHAnsi" w:hAnsiTheme="minorHAnsi" w:cstheme="minorHAnsi"/>
                      <w:sz w:val="20"/>
                    </w:rPr>
                    <w:t>Extend dosing</w:t>
                  </w:r>
                  <w:r w:rsidRPr="00AD5FAC">
                    <w:rPr>
                      <w:rFonts w:asciiTheme="minorHAnsi" w:hAnsiTheme="minorHAnsi" w:cstheme="minorHAnsi"/>
                      <w:sz w:val="20"/>
                    </w:rPr>
                    <w:t xml:space="preserve"> interval by 12 hours</w:t>
                  </w:r>
                </w:p>
                <w:p w:rsidR="00841634" w:rsidP="00FE4186" w:rsidRDefault="00841634" w14:paraId="1E59DBB2" w14:textId="77777777">
                  <w:pPr>
                    <w:rPr>
                      <w:rFonts w:asciiTheme="minorHAnsi" w:hAnsiTheme="minorHAnsi" w:cstheme="minorHAnsi"/>
                      <w:sz w:val="20"/>
                    </w:rPr>
                  </w:pPr>
                  <w:r>
                    <w:rPr>
                      <w:rFonts w:asciiTheme="minorHAnsi" w:hAnsiTheme="minorHAnsi" w:cstheme="minorHAnsi"/>
                      <w:sz w:val="20"/>
                    </w:rPr>
                    <w:t>Example:</w:t>
                  </w:r>
                </w:p>
                <w:p w:rsidRPr="008F114E" w:rsidR="00841634" w:rsidP="00FE4186" w:rsidRDefault="00841634" w14:paraId="784DEFD0" w14:textId="77777777">
                  <w:pPr>
                    <w:rPr>
                      <w:rFonts w:asciiTheme="minorHAnsi" w:hAnsiTheme="minorHAnsi" w:cstheme="minorHAnsi"/>
                      <w:sz w:val="20"/>
                    </w:rPr>
                  </w:pPr>
                  <w:r>
                    <w:rPr>
                      <w:rFonts w:asciiTheme="minorHAnsi" w:hAnsiTheme="minorHAnsi" w:cstheme="minorHAnsi"/>
                      <w:sz w:val="20"/>
                    </w:rPr>
                    <w:t>48 hourly to 60 hourly</w:t>
                  </w:r>
                </w:p>
              </w:tc>
              <w:tc>
                <w:tcPr>
                  <w:tcW w:w="2189" w:type="dxa"/>
                </w:tcPr>
                <w:p w:rsidR="00841634" w:rsidP="00FE4186" w:rsidRDefault="00841634" w14:paraId="60F5E896" w14:textId="77777777">
                  <w:pPr>
                    <w:rPr>
                      <w:rFonts w:asciiTheme="minorHAnsi" w:hAnsiTheme="minorHAnsi" w:cstheme="minorHAnsi"/>
                      <w:sz w:val="20"/>
                    </w:rPr>
                  </w:pPr>
                  <w:r>
                    <w:rPr>
                      <w:rFonts w:asciiTheme="minorHAnsi" w:hAnsiTheme="minorHAnsi" w:cstheme="minorHAnsi"/>
                      <w:sz w:val="20"/>
                    </w:rPr>
                    <w:t xml:space="preserve"> </w:t>
                  </w:r>
                </w:p>
              </w:tc>
            </w:tr>
            <w:tr w:rsidRPr="008F114E" w:rsidR="00841634" w:rsidTr="00FE4186" w14:paraId="755AA876" w14:textId="77777777">
              <w:tc>
                <w:tcPr>
                  <w:tcW w:w="2682" w:type="dxa"/>
                  <w:shd w:val="clear" w:color="auto" w:fill="auto"/>
                  <w:vAlign w:val="center"/>
                </w:tcPr>
                <w:p w:rsidRPr="008F114E" w:rsidR="00841634" w:rsidP="00FE4186" w:rsidRDefault="00841634" w14:paraId="7AE4B8FF" w14:textId="77777777">
                  <w:pPr>
                    <w:rPr>
                      <w:rFonts w:asciiTheme="minorHAnsi" w:hAnsiTheme="minorHAnsi" w:cstheme="minorHAnsi"/>
                      <w:sz w:val="20"/>
                    </w:rPr>
                  </w:pPr>
                  <w:r w:rsidRPr="008F114E">
                    <w:rPr>
                      <w:rFonts w:asciiTheme="minorHAnsi" w:hAnsiTheme="minorHAnsi" w:cstheme="minorHAnsi"/>
                      <w:sz w:val="20"/>
                    </w:rPr>
                    <w:t>Therapeutic hypothermia</w:t>
                  </w:r>
                  <w:r>
                    <w:rPr>
                      <w:rFonts w:asciiTheme="minorHAnsi" w:hAnsiTheme="minorHAnsi" w:cstheme="minorHAnsi"/>
                      <w:sz w:val="20"/>
                    </w:rPr>
                    <w:t xml:space="preserve"> </w:t>
                  </w:r>
                  <w:r>
                    <w:rPr>
                      <w:rFonts w:asciiTheme="minorHAnsi" w:hAnsiTheme="minorHAnsi" w:cstheme="minorHAnsi"/>
                      <w:noProof/>
                      <w:sz w:val="20"/>
                    </w:rPr>
                    <w:t>(9-13)</w:t>
                  </w:r>
                </w:p>
              </w:tc>
              <w:tc>
                <w:tcPr>
                  <w:tcW w:w="831" w:type="dxa"/>
                  <w:shd w:val="clear" w:color="auto" w:fill="auto"/>
                  <w:vAlign w:val="center"/>
                </w:tcPr>
                <w:p w:rsidRPr="008F114E" w:rsidR="00841634" w:rsidP="00FE4186" w:rsidRDefault="00841634" w14:paraId="339A034D" w14:textId="77777777">
                  <w:pPr>
                    <w:rPr>
                      <w:rFonts w:asciiTheme="minorHAnsi" w:hAnsiTheme="minorHAnsi" w:cstheme="minorHAnsi"/>
                      <w:sz w:val="20"/>
                    </w:rPr>
                  </w:pPr>
                  <w:r w:rsidRPr="008F114E">
                    <w:rPr>
                      <w:rFonts w:asciiTheme="minorHAnsi" w:hAnsiTheme="minorHAnsi" w:cstheme="minorHAnsi"/>
                      <w:sz w:val="20"/>
                    </w:rPr>
                    <w:t>IV/IM</w:t>
                  </w:r>
                </w:p>
              </w:tc>
              <w:tc>
                <w:tcPr>
                  <w:tcW w:w="2152" w:type="dxa"/>
                  <w:shd w:val="clear" w:color="auto" w:fill="auto"/>
                  <w:vAlign w:val="center"/>
                </w:tcPr>
                <w:p w:rsidRPr="008F114E" w:rsidR="00841634" w:rsidP="00FE4186" w:rsidRDefault="00841634" w14:paraId="367D73C5" w14:textId="77777777">
                  <w:pPr>
                    <w:rPr>
                      <w:rFonts w:asciiTheme="minorHAnsi" w:hAnsiTheme="minorHAnsi" w:cstheme="minorHAnsi"/>
                      <w:sz w:val="20"/>
                    </w:rPr>
                  </w:pPr>
                  <w:r w:rsidRPr="008F114E">
                    <w:rPr>
                      <w:rFonts w:asciiTheme="minorHAnsi" w:hAnsiTheme="minorHAnsi" w:cstheme="minorHAnsi"/>
                      <w:sz w:val="20"/>
                    </w:rPr>
                    <w:t>36 hourly</w:t>
                  </w:r>
                </w:p>
              </w:tc>
              <w:tc>
                <w:tcPr>
                  <w:tcW w:w="2189" w:type="dxa"/>
                </w:tcPr>
                <w:p w:rsidRPr="008F114E" w:rsidR="00841634" w:rsidP="00FE4186" w:rsidRDefault="00841634" w14:paraId="05CF1B65" w14:textId="77777777">
                  <w:pPr>
                    <w:rPr>
                      <w:rFonts w:asciiTheme="minorHAnsi" w:hAnsiTheme="minorHAnsi" w:cstheme="minorHAnsi"/>
                      <w:sz w:val="20"/>
                    </w:rPr>
                  </w:pPr>
                  <w:r>
                    <w:rPr>
                      <w:rFonts w:asciiTheme="minorHAnsi" w:hAnsiTheme="minorHAnsi" w:cstheme="minorHAnsi"/>
                      <w:sz w:val="20"/>
                    </w:rPr>
                    <w:t>Trough concentrations prior to every dose</w:t>
                  </w:r>
                </w:p>
              </w:tc>
            </w:tr>
          </w:tbl>
          <w:p w:rsidRPr="008F114E" w:rsidR="00841634" w:rsidP="00FE4186" w:rsidRDefault="00841634" w14:paraId="31FDAE9B" w14:textId="77777777">
            <w:pPr>
              <w:overflowPunct w:val="0"/>
              <w:autoSpaceDE w:val="0"/>
              <w:autoSpaceDN w:val="0"/>
              <w:adjustRightInd w:val="0"/>
              <w:textAlignment w:val="baseline"/>
              <w:rPr>
                <w:rFonts w:asciiTheme="minorHAnsi" w:hAnsiTheme="minorHAnsi" w:cstheme="minorHAnsi"/>
                <w:sz w:val="20"/>
              </w:rPr>
            </w:pPr>
          </w:p>
          <w:p w:rsidRPr="008F114E" w:rsidR="00841634" w:rsidP="00FE4186" w:rsidRDefault="00841634" w14:paraId="6C202DF9"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b/>
                <w:sz w:val="20"/>
              </w:rPr>
              <w:t>Subsequent dose interval is based on a gentamicin concentration at 22 hours after the administration of the 2</w:t>
            </w:r>
            <w:r w:rsidRPr="008F114E">
              <w:rPr>
                <w:rFonts w:asciiTheme="minorHAnsi" w:hAnsiTheme="minorHAnsi" w:cstheme="minorHAnsi"/>
                <w:b/>
                <w:sz w:val="20"/>
                <w:vertAlign w:val="superscript"/>
              </w:rPr>
              <w:t>nd</w:t>
            </w:r>
            <w:r w:rsidRPr="008F114E">
              <w:rPr>
                <w:rFonts w:asciiTheme="minorHAnsi" w:hAnsiTheme="minorHAnsi" w:cstheme="minorHAnsi"/>
                <w:b/>
                <w:sz w:val="20"/>
              </w:rPr>
              <w:t xml:space="preserve"> dose as indicated in the table below.</w:t>
            </w:r>
            <w:r w:rsidRPr="008F114E">
              <w:rPr>
                <w:rFonts w:asciiTheme="minorHAnsi" w:hAnsiTheme="minorHAnsi" w:cstheme="minorHAnsi"/>
                <w:b/>
                <w:noProof/>
                <w:sz w:val="20"/>
              </w:rPr>
              <w:t>(3, 4)</w:t>
            </w:r>
            <w:r w:rsidRPr="008F114E">
              <w:rPr>
                <w:rFonts w:asciiTheme="minorHAnsi" w:hAnsiTheme="minorHAnsi" w:cstheme="minorHAnsi"/>
                <w:b/>
                <w:sz w:val="20"/>
              </w:rPr>
              <w:br/>
            </w:r>
          </w:p>
          <w:tbl>
            <w:tblPr>
              <w:tblW w:w="0" w:type="auto"/>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544"/>
              <w:gridCol w:w="4491"/>
            </w:tblGrid>
            <w:tr w:rsidRPr="008F114E" w:rsidR="00841634" w:rsidTr="00FE4186" w14:paraId="39FE51D8" w14:textId="77777777">
              <w:tc>
                <w:tcPr>
                  <w:tcW w:w="3544" w:type="dxa"/>
                  <w:shd w:val="clear" w:color="auto" w:fill="auto"/>
                </w:tcPr>
                <w:p w:rsidRPr="008F114E" w:rsidR="00841634" w:rsidP="00FE4186" w:rsidRDefault="00841634" w14:paraId="2990961B" w14:textId="77777777">
                  <w:pPr>
                    <w:overflowPunct w:val="0"/>
                    <w:autoSpaceDE w:val="0"/>
                    <w:autoSpaceDN w:val="0"/>
                    <w:adjustRightInd w:val="0"/>
                    <w:jc w:val="center"/>
                    <w:textAlignment w:val="baseline"/>
                    <w:rPr>
                      <w:rFonts w:asciiTheme="minorHAnsi" w:hAnsiTheme="minorHAnsi" w:cstheme="minorHAnsi"/>
                      <w:b/>
                      <w:sz w:val="20"/>
                    </w:rPr>
                  </w:pPr>
                  <w:r>
                    <w:rPr>
                      <w:rFonts w:asciiTheme="minorHAnsi" w:hAnsiTheme="minorHAnsi" w:cstheme="minorHAnsi"/>
                      <w:b/>
                      <w:sz w:val="20"/>
                    </w:rPr>
                    <w:t xml:space="preserve">22-hour </w:t>
                  </w:r>
                  <w:r w:rsidRPr="008F114E">
                    <w:rPr>
                      <w:rFonts w:asciiTheme="minorHAnsi" w:hAnsiTheme="minorHAnsi" w:cstheme="minorHAnsi"/>
                      <w:b/>
                      <w:sz w:val="20"/>
                    </w:rPr>
                    <w:t xml:space="preserve">Gentamicin </w:t>
                  </w:r>
                  <w:r>
                    <w:rPr>
                      <w:rFonts w:asciiTheme="minorHAnsi" w:hAnsiTheme="minorHAnsi" w:cstheme="minorHAnsi"/>
                      <w:b/>
                      <w:sz w:val="20"/>
                    </w:rPr>
                    <w:t>concentration</w:t>
                  </w:r>
                  <w:r w:rsidRPr="008F114E">
                    <w:rPr>
                      <w:rFonts w:asciiTheme="minorHAnsi" w:hAnsiTheme="minorHAnsi" w:cstheme="minorHAnsi"/>
                      <w:b/>
                      <w:sz w:val="20"/>
                    </w:rPr>
                    <w:t>*</w:t>
                  </w:r>
                </w:p>
              </w:tc>
              <w:tc>
                <w:tcPr>
                  <w:tcW w:w="4491" w:type="dxa"/>
                  <w:shd w:val="clear" w:color="auto" w:fill="auto"/>
                </w:tcPr>
                <w:p w:rsidRPr="008F114E" w:rsidR="00841634" w:rsidP="00FE4186" w:rsidRDefault="00841634" w14:paraId="2ADB4BF9" w14:textId="77777777">
                  <w:pPr>
                    <w:overflowPunct w:val="0"/>
                    <w:autoSpaceDE w:val="0"/>
                    <w:autoSpaceDN w:val="0"/>
                    <w:adjustRightInd w:val="0"/>
                    <w:jc w:val="center"/>
                    <w:textAlignment w:val="baseline"/>
                    <w:rPr>
                      <w:rFonts w:asciiTheme="minorHAnsi" w:hAnsiTheme="minorHAnsi" w:cstheme="minorHAnsi"/>
                      <w:b/>
                      <w:sz w:val="20"/>
                    </w:rPr>
                  </w:pPr>
                  <w:r w:rsidRPr="008F114E">
                    <w:rPr>
                      <w:rFonts w:asciiTheme="minorHAnsi" w:hAnsiTheme="minorHAnsi" w:cstheme="minorHAnsi"/>
                      <w:b/>
                      <w:sz w:val="20"/>
                    </w:rPr>
                    <w:t>Interval</w:t>
                  </w:r>
                </w:p>
              </w:tc>
            </w:tr>
            <w:tr w:rsidRPr="008F114E" w:rsidR="00841634" w:rsidTr="00FE4186" w14:paraId="0BBE9A9F" w14:textId="77777777">
              <w:tc>
                <w:tcPr>
                  <w:tcW w:w="3544" w:type="dxa"/>
                  <w:shd w:val="clear" w:color="auto" w:fill="auto"/>
                </w:tcPr>
                <w:p w:rsidRPr="008F114E" w:rsidR="00841634" w:rsidP="00FE4186" w:rsidRDefault="00841634" w14:paraId="6C96A2C2"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 1.2 mg/L</w:t>
                  </w:r>
                </w:p>
              </w:tc>
              <w:tc>
                <w:tcPr>
                  <w:tcW w:w="4491" w:type="dxa"/>
                  <w:shd w:val="clear" w:color="auto" w:fill="auto"/>
                </w:tcPr>
                <w:p w:rsidRPr="008F114E" w:rsidR="00841634" w:rsidP="00FE4186" w:rsidRDefault="00841634" w14:paraId="69EEDDC4"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Every 24 hours after previous dose</w:t>
                  </w:r>
                </w:p>
              </w:tc>
            </w:tr>
            <w:tr w:rsidRPr="008F114E" w:rsidR="00841634" w:rsidTr="00FE4186" w14:paraId="53562052" w14:textId="77777777">
              <w:tc>
                <w:tcPr>
                  <w:tcW w:w="3544" w:type="dxa"/>
                  <w:shd w:val="clear" w:color="auto" w:fill="auto"/>
                </w:tcPr>
                <w:p w:rsidRPr="008F114E" w:rsidR="00841634" w:rsidP="00FE4186" w:rsidRDefault="00841634" w14:paraId="2A3E8740"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1.3 mg/L ─ 2.6 mg/L</w:t>
                  </w:r>
                </w:p>
              </w:tc>
              <w:tc>
                <w:tcPr>
                  <w:tcW w:w="4491" w:type="dxa"/>
                  <w:shd w:val="clear" w:color="auto" w:fill="auto"/>
                </w:tcPr>
                <w:p w:rsidRPr="008F114E" w:rsidR="00841634" w:rsidP="00FE4186" w:rsidRDefault="00841634" w14:paraId="3BD772A6"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Every 36 hours after previous dose</w:t>
                  </w:r>
                </w:p>
              </w:tc>
            </w:tr>
            <w:tr w:rsidRPr="008F114E" w:rsidR="00841634" w:rsidTr="00FE4186" w14:paraId="2163DDFC" w14:textId="77777777">
              <w:tc>
                <w:tcPr>
                  <w:tcW w:w="3544" w:type="dxa"/>
                  <w:shd w:val="clear" w:color="auto" w:fill="auto"/>
                </w:tcPr>
                <w:p w:rsidRPr="008F114E" w:rsidR="00841634" w:rsidP="00FE4186" w:rsidRDefault="00841634" w14:paraId="2A22D7B6"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2.7 mg/L ─ 3.5 mg/L</w:t>
                  </w:r>
                </w:p>
              </w:tc>
              <w:tc>
                <w:tcPr>
                  <w:tcW w:w="4491" w:type="dxa"/>
                  <w:shd w:val="clear" w:color="auto" w:fill="auto"/>
                </w:tcPr>
                <w:p w:rsidRPr="008F114E" w:rsidR="00841634" w:rsidP="00FE4186" w:rsidRDefault="00841634" w14:paraId="15BA2681"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Every 48 hours after previous dose</w:t>
                  </w:r>
                </w:p>
              </w:tc>
            </w:tr>
            <w:tr w:rsidRPr="008F114E" w:rsidR="00841634" w:rsidTr="00FE4186" w14:paraId="0AB157FC" w14:textId="77777777">
              <w:tc>
                <w:tcPr>
                  <w:tcW w:w="3544" w:type="dxa"/>
                  <w:shd w:val="clear" w:color="auto" w:fill="auto"/>
                </w:tcPr>
                <w:p w:rsidRPr="008F114E" w:rsidR="00841634" w:rsidP="00FE4186" w:rsidRDefault="00841634" w14:paraId="0F47CC17"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 3.6 mg/L</w:t>
                  </w:r>
                </w:p>
              </w:tc>
              <w:tc>
                <w:tcPr>
                  <w:tcW w:w="4491" w:type="dxa"/>
                  <w:shd w:val="clear" w:color="auto" w:fill="auto"/>
                </w:tcPr>
                <w:p w:rsidRPr="008F114E" w:rsidR="00841634" w:rsidP="00FE4186" w:rsidRDefault="00841634" w14:paraId="506D4308"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Hold dose, repeat concentration 24 hours later</w:t>
                  </w:r>
                </w:p>
              </w:tc>
            </w:tr>
          </w:tbl>
          <w:p w:rsidRPr="008F114E" w:rsidR="00841634" w:rsidP="00FE4186" w:rsidRDefault="00841634" w14:paraId="50891C5D" w14:textId="77777777">
            <w:pPr>
              <w:overflowPunct w:val="0"/>
              <w:autoSpaceDE w:val="0"/>
              <w:autoSpaceDN w:val="0"/>
              <w:adjustRightInd w:val="0"/>
              <w:textAlignment w:val="baseline"/>
              <w:rPr>
                <w:rFonts w:asciiTheme="minorHAnsi" w:hAnsiTheme="minorHAnsi" w:cstheme="minorHAnsi"/>
                <w:sz w:val="20"/>
              </w:rPr>
            </w:pPr>
            <w:r w:rsidRPr="008F114E">
              <w:rPr>
                <w:rFonts w:asciiTheme="minorHAnsi" w:hAnsiTheme="minorHAnsi" w:cstheme="minorHAnsi"/>
                <w:sz w:val="20"/>
              </w:rPr>
              <w:t>*</w:t>
            </w:r>
            <w:r>
              <w:rPr>
                <w:rFonts w:asciiTheme="minorHAnsi" w:hAnsiTheme="minorHAnsi" w:cstheme="minorHAnsi"/>
                <w:sz w:val="20"/>
              </w:rPr>
              <w:t>Different to trough concentration performed prior to next dose – Refer to dose adjustment section.</w:t>
            </w:r>
          </w:p>
          <w:p w:rsidRPr="008F114E" w:rsidR="00841634" w:rsidP="00FE4186" w:rsidRDefault="00841634" w14:paraId="3711F001" w14:textId="77777777">
            <w:pPr>
              <w:pStyle w:val="BodyText"/>
              <w:rPr>
                <w:rFonts w:asciiTheme="minorHAnsi" w:hAnsiTheme="minorHAnsi" w:cstheme="minorHAnsi"/>
                <w:b/>
                <w:sz w:val="20"/>
                <w:lang w:val="en-AU"/>
              </w:rPr>
            </w:pPr>
          </w:p>
          <w:p w:rsidRPr="008F114E" w:rsidR="00841634" w:rsidP="00FE4186" w:rsidRDefault="00841634" w14:paraId="4631367F" w14:textId="77777777">
            <w:pPr>
              <w:pStyle w:val="BodyText"/>
              <w:rPr>
                <w:rFonts w:asciiTheme="minorHAnsi" w:hAnsiTheme="minorHAnsi" w:cstheme="minorHAnsi"/>
                <w:b/>
                <w:sz w:val="20"/>
                <w:lang w:val="en-AU"/>
              </w:rPr>
            </w:pPr>
            <w:r w:rsidRPr="008F114E">
              <w:rPr>
                <w:rFonts w:asciiTheme="minorHAnsi" w:hAnsiTheme="minorHAnsi" w:cstheme="minorHAnsi"/>
                <w:b/>
                <w:sz w:val="20"/>
                <w:lang w:val="en-AU"/>
              </w:rPr>
              <w:t>Gentamicin monitoring is required ONCE only, except</w:t>
            </w:r>
            <w:r>
              <w:rPr>
                <w:rFonts w:asciiTheme="minorHAnsi" w:hAnsiTheme="minorHAnsi" w:cstheme="minorHAnsi"/>
                <w:b/>
                <w:sz w:val="20"/>
                <w:lang w:val="en-AU"/>
              </w:rPr>
              <w:t xml:space="preserve"> when</w:t>
            </w:r>
            <w:r w:rsidRPr="008F114E">
              <w:rPr>
                <w:rFonts w:asciiTheme="minorHAnsi" w:hAnsiTheme="minorHAnsi" w:cstheme="minorHAnsi"/>
                <w:b/>
                <w:sz w:val="20"/>
                <w:lang w:val="en-AU"/>
              </w:rPr>
              <w:t xml:space="preserve"> the duration of gentamicin therapy is greater than 7 days or with the conditions described in dose adjustment </w:t>
            </w:r>
            <w:r>
              <w:rPr>
                <w:rFonts w:asciiTheme="minorHAnsi" w:hAnsiTheme="minorHAnsi" w:cstheme="minorHAnsi"/>
                <w:b/>
                <w:sz w:val="20"/>
                <w:lang w:val="en-AU"/>
              </w:rPr>
              <w:t>and monitoring section</w:t>
            </w:r>
            <w:r w:rsidRPr="008F114E">
              <w:rPr>
                <w:rFonts w:asciiTheme="minorHAnsi" w:hAnsiTheme="minorHAnsi" w:cstheme="minorHAnsi"/>
                <w:b/>
                <w:sz w:val="20"/>
                <w:lang w:val="en-AU"/>
              </w:rPr>
              <w:t xml:space="preserve">. </w:t>
            </w:r>
          </w:p>
        </w:tc>
      </w:tr>
      <w:tr w:rsidRPr="008F114E" w:rsidR="00841634" w:rsidTr="00244C61" w14:paraId="20355C26" w14:textId="77777777">
        <w:trPr>
          <w:trHeight w:val="407"/>
        </w:trPr>
        <w:tc>
          <w:tcPr>
            <w:tcW w:w="1730" w:type="dxa"/>
          </w:tcPr>
          <w:p w:rsidRPr="008F114E" w:rsidR="00841634" w:rsidP="00FE4186" w:rsidRDefault="00841634" w14:paraId="6CF08884" w14:textId="77777777">
            <w:pPr>
              <w:pStyle w:val="BodyText"/>
              <w:rPr>
                <w:rFonts w:asciiTheme="minorHAnsi" w:hAnsiTheme="minorHAnsi" w:cstheme="minorHAnsi"/>
                <w:b/>
                <w:sz w:val="20"/>
                <w:lang w:val="en-AU"/>
              </w:rPr>
            </w:pPr>
            <w:r w:rsidRPr="008F114E">
              <w:rPr>
                <w:rFonts w:asciiTheme="minorHAnsi" w:hAnsiTheme="minorHAnsi" w:cstheme="minorHAnsi"/>
                <w:b/>
                <w:sz w:val="20"/>
                <w:lang w:val="en-AU"/>
              </w:rPr>
              <w:t>Dose adjustment</w:t>
            </w:r>
          </w:p>
          <w:p w:rsidRPr="008F114E" w:rsidR="00841634" w:rsidP="00FE4186" w:rsidRDefault="00841634" w14:paraId="62B21DA5" w14:textId="77777777">
            <w:pPr>
              <w:pStyle w:val="BodyText"/>
              <w:rPr>
                <w:rFonts w:asciiTheme="minorHAnsi" w:hAnsiTheme="minorHAnsi" w:cstheme="minorHAnsi"/>
                <w:b/>
                <w:sz w:val="20"/>
                <w:lang w:val="en-AU"/>
              </w:rPr>
            </w:pPr>
          </w:p>
        </w:tc>
        <w:tc>
          <w:tcPr>
            <w:tcW w:w="8505" w:type="dxa"/>
          </w:tcPr>
          <w:p w:rsidRPr="008F114E" w:rsidR="00841634" w:rsidP="00FE4186" w:rsidRDefault="00841634" w14:paraId="66284025" w14:textId="77777777">
            <w:pPr>
              <w:pStyle w:val="BodyText"/>
              <w:rPr>
                <w:rFonts w:asciiTheme="minorHAnsi" w:hAnsiTheme="minorHAnsi" w:cstheme="minorHAnsi"/>
                <w:sz w:val="20"/>
                <w:lang w:val="en-AU"/>
              </w:rPr>
            </w:pPr>
            <w:r w:rsidRPr="00B200B2">
              <w:rPr>
                <w:rFonts w:asciiTheme="minorHAnsi" w:hAnsiTheme="minorHAnsi" w:cstheme="minorHAnsi"/>
                <w:b/>
                <w:sz w:val="20"/>
                <w:lang w:val="en-AU"/>
              </w:rPr>
              <w:t>Therapeutic hypothermia</w:t>
            </w:r>
            <w:r w:rsidRPr="008F114E">
              <w:rPr>
                <w:rFonts w:asciiTheme="minorHAnsi" w:hAnsiTheme="minorHAnsi" w:cstheme="minorHAnsi"/>
                <w:sz w:val="20"/>
                <w:lang w:val="en-AU"/>
              </w:rPr>
              <w:t xml:space="preserve"> –36 hourly interval</w:t>
            </w:r>
            <w:r>
              <w:rPr>
                <w:rFonts w:asciiTheme="minorHAnsi" w:hAnsiTheme="minorHAnsi" w:cstheme="minorHAnsi"/>
                <w:noProof/>
                <w:sz w:val="20"/>
                <w:lang w:val="en-AU"/>
              </w:rPr>
              <w:t>(9-13)</w:t>
            </w:r>
            <w:r>
              <w:rPr>
                <w:rFonts w:asciiTheme="minorHAnsi" w:hAnsiTheme="minorHAnsi" w:cstheme="minorHAnsi"/>
                <w:sz w:val="20"/>
                <w:lang w:val="en-AU"/>
              </w:rPr>
              <w:t>. Measure trough concentrations before every dose.</w:t>
            </w:r>
            <w:r w:rsidRPr="008F114E">
              <w:rPr>
                <w:rFonts w:asciiTheme="minorHAnsi" w:hAnsiTheme="minorHAnsi" w:cstheme="minorHAnsi"/>
                <w:sz w:val="20"/>
                <w:lang w:val="en-AU"/>
              </w:rPr>
              <w:t xml:space="preserve"> </w:t>
            </w:r>
          </w:p>
          <w:p w:rsidRPr="008F114E" w:rsidR="00841634" w:rsidP="00FE4186" w:rsidRDefault="00841634" w14:paraId="3131B94A" w14:textId="77777777">
            <w:pPr>
              <w:pStyle w:val="BodyText"/>
              <w:rPr>
                <w:rFonts w:asciiTheme="minorHAnsi" w:hAnsiTheme="minorHAnsi" w:cstheme="minorHAnsi"/>
                <w:sz w:val="20"/>
                <w:lang w:val="en-AU"/>
              </w:rPr>
            </w:pPr>
            <w:r w:rsidRPr="00B200B2">
              <w:rPr>
                <w:rFonts w:asciiTheme="minorHAnsi" w:hAnsiTheme="minorHAnsi" w:cstheme="minorHAnsi"/>
                <w:b/>
                <w:sz w:val="20"/>
                <w:lang w:val="en-AU"/>
              </w:rPr>
              <w:lastRenderedPageBreak/>
              <w:t xml:space="preserve">ECMO </w:t>
            </w:r>
            <w:r w:rsidRPr="008F114E">
              <w:rPr>
                <w:rFonts w:asciiTheme="minorHAnsi" w:hAnsiTheme="minorHAnsi" w:cstheme="minorHAnsi"/>
                <w:sz w:val="20"/>
                <w:lang w:val="en-AU"/>
              </w:rPr>
              <w:t>- Renal dysfunction is the main determinant. Measure trough concentration before 2</w:t>
            </w:r>
            <w:r w:rsidRPr="008F114E">
              <w:rPr>
                <w:rFonts w:asciiTheme="minorHAnsi" w:hAnsiTheme="minorHAnsi" w:cstheme="minorHAnsi"/>
                <w:sz w:val="20"/>
                <w:vertAlign w:val="superscript"/>
                <w:lang w:val="en-AU"/>
              </w:rPr>
              <w:t>nd</w:t>
            </w:r>
            <w:r w:rsidRPr="008F114E">
              <w:rPr>
                <w:rFonts w:asciiTheme="minorHAnsi" w:hAnsiTheme="minorHAnsi" w:cstheme="minorHAnsi"/>
                <w:sz w:val="20"/>
                <w:lang w:val="en-AU"/>
              </w:rPr>
              <w:t xml:space="preserve"> dose.</w:t>
            </w:r>
            <w:r>
              <w:rPr>
                <w:rFonts w:asciiTheme="minorHAnsi" w:hAnsiTheme="minorHAnsi" w:cstheme="minorHAnsi"/>
                <w:noProof/>
                <w:sz w:val="20"/>
                <w:lang w:val="en-AU"/>
              </w:rPr>
              <w:t>(14)</w:t>
            </w:r>
            <w:r w:rsidRPr="008F114E">
              <w:rPr>
                <w:rFonts w:asciiTheme="minorHAnsi" w:hAnsiTheme="minorHAnsi" w:cstheme="minorHAnsi"/>
                <w:sz w:val="20"/>
                <w:lang w:val="en-AU"/>
              </w:rPr>
              <w:t xml:space="preserve"> </w:t>
            </w:r>
          </w:p>
          <w:p w:rsidRPr="008F114E" w:rsidR="00841634" w:rsidP="00FE4186" w:rsidRDefault="00841634" w14:paraId="5B9E0A4C" w14:textId="77777777">
            <w:pPr>
              <w:pStyle w:val="BodyText"/>
              <w:rPr>
                <w:rFonts w:asciiTheme="minorHAnsi" w:hAnsiTheme="minorHAnsi" w:cstheme="minorHAnsi"/>
                <w:sz w:val="20"/>
                <w:lang w:val="en-AU"/>
              </w:rPr>
            </w:pPr>
            <w:r w:rsidRPr="00B200B2">
              <w:rPr>
                <w:rFonts w:asciiTheme="minorHAnsi" w:hAnsiTheme="minorHAnsi" w:cstheme="minorHAnsi"/>
                <w:b/>
                <w:sz w:val="20"/>
                <w:lang w:val="en-AU"/>
              </w:rPr>
              <w:t>Renal impairment</w:t>
            </w:r>
            <w:r w:rsidRPr="008F114E">
              <w:rPr>
                <w:rFonts w:asciiTheme="minorHAnsi" w:hAnsiTheme="minorHAnsi" w:cstheme="minorHAnsi"/>
                <w:sz w:val="20"/>
                <w:lang w:val="en-AU"/>
              </w:rPr>
              <w:t xml:space="preserve"> – Measure trough concentration before every dose.</w:t>
            </w:r>
          </w:p>
          <w:p w:rsidRPr="008F114E" w:rsidR="00841634" w:rsidP="00FE4186" w:rsidRDefault="00841634" w14:paraId="58FDEB36" w14:textId="77777777">
            <w:pPr>
              <w:pStyle w:val="BodyText"/>
              <w:rPr>
                <w:rFonts w:asciiTheme="minorHAnsi" w:hAnsiTheme="minorHAnsi" w:cstheme="minorHAnsi"/>
                <w:sz w:val="20"/>
                <w:lang w:val="en-AU"/>
              </w:rPr>
            </w:pPr>
            <w:r w:rsidRPr="00B200B2">
              <w:rPr>
                <w:rFonts w:asciiTheme="minorHAnsi" w:hAnsiTheme="minorHAnsi" w:cstheme="minorHAnsi"/>
                <w:b/>
                <w:sz w:val="20"/>
                <w:lang w:val="en-AU"/>
              </w:rPr>
              <w:t>Hepatic impairment</w:t>
            </w:r>
            <w:r w:rsidRPr="008F114E">
              <w:rPr>
                <w:rFonts w:asciiTheme="minorHAnsi" w:hAnsiTheme="minorHAnsi" w:cstheme="minorHAnsi"/>
                <w:sz w:val="20"/>
                <w:lang w:val="en-AU"/>
              </w:rPr>
              <w:t xml:space="preserve"> – No specific dose adjustment.</w:t>
            </w:r>
          </w:p>
        </w:tc>
      </w:tr>
      <w:tr w:rsidRPr="008F114E" w:rsidR="00841634" w:rsidTr="00244C61" w14:paraId="6D031584" w14:textId="77777777">
        <w:trPr>
          <w:trHeight w:val="113"/>
        </w:trPr>
        <w:tc>
          <w:tcPr>
            <w:tcW w:w="1730" w:type="dxa"/>
          </w:tcPr>
          <w:p w:rsidRPr="008F114E" w:rsidR="00841634" w:rsidP="00FE4186" w:rsidRDefault="00841634" w14:paraId="3A1CD600" w14:textId="77777777">
            <w:pPr>
              <w:pStyle w:val="BodyText"/>
              <w:rPr>
                <w:rFonts w:asciiTheme="minorHAnsi" w:hAnsiTheme="minorHAnsi" w:cstheme="minorHAnsi"/>
                <w:b/>
                <w:sz w:val="20"/>
                <w:lang w:val="en-AU"/>
              </w:rPr>
            </w:pPr>
            <w:r w:rsidRPr="008F114E">
              <w:rPr>
                <w:rFonts w:asciiTheme="minorHAnsi" w:hAnsiTheme="minorHAnsi" w:cstheme="minorHAnsi"/>
                <w:b/>
                <w:sz w:val="20"/>
                <w:lang w:val="en-AU"/>
              </w:rPr>
              <w:lastRenderedPageBreak/>
              <w:t>Maximum dose</w:t>
            </w:r>
          </w:p>
        </w:tc>
        <w:tc>
          <w:tcPr>
            <w:tcW w:w="8505" w:type="dxa"/>
          </w:tcPr>
          <w:p w:rsidRPr="008F114E" w:rsidR="00841634" w:rsidP="00FE4186" w:rsidRDefault="00841634" w14:paraId="7F4AA0AD" w14:textId="77777777">
            <w:pPr>
              <w:pStyle w:val="BodyText"/>
              <w:rPr>
                <w:rFonts w:asciiTheme="minorHAnsi" w:hAnsiTheme="minorHAnsi" w:cstheme="minorHAnsi"/>
                <w:sz w:val="20"/>
                <w:lang w:val="en-AU"/>
              </w:rPr>
            </w:pPr>
          </w:p>
        </w:tc>
      </w:tr>
      <w:tr w:rsidRPr="008F114E" w:rsidR="00841634" w:rsidTr="00244C61" w14:paraId="2BD7EBA4" w14:textId="77777777">
        <w:trPr>
          <w:trHeight w:val="144"/>
        </w:trPr>
        <w:tc>
          <w:tcPr>
            <w:tcW w:w="1730" w:type="dxa"/>
          </w:tcPr>
          <w:p w:rsidRPr="008F114E" w:rsidR="00841634" w:rsidP="00FE4186" w:rsidRDefault="00841634" w14:paraId="2A5D4EC8" w14:textId="77777777">
            <w:pPr>
              <w:pStyle w:val="BodyText"/>
              <w:rPr>
                <w:rFonts w:asciiTheme="minorHAnsi" w:hAnsiTheme="minorHAnsi" w:cstheme="minorHAnsi"/>
                <w:b/>
                <w:bCs/>
                <w:sz w:val="20"/>
                <w:lang w:val="en-AU"/>
              </w:rPr>
            </w:pPr>
            <w:r w:rsidRPr="008F114E">
              <w:rPr>
                <w:rFonts w:asciiTheme="minorHAnsi" w:hAnsiTheme="minorHAnsi" w:cstheme="minorHAnsi"/>
                <w:b/>
                <w:sz w:val="20"/>
                <w:lang w:val="en-AU"/>
              </w:rPr>
              <w:t>Total cumulative dose</w:t>
            </w:r>
          </w:p>
        </w:tc>
        <w:tc>
          <w:tcPr>
            <w:tcW w:w="8505" w:type="dxa"/>
          </w:tcPr>
          <w:p w:rsidRPr="008F114E" w:rsidR="00841634" w:rsidP="00FE4186" w:rsidRDefault="00841634" w14:paraId="58A422CD" w14:textId="77777777">
            <w:pPr>
              <w:pStyle w:val="BodyText"/>
              <w:rPr>
                <w:rFonts w:asciiTheme="minorHAnsi" w:hAnsiTheme="minorHAnsi" w:cstheme="minorHAnsi"/>
                <w:b/>
                <w:sz w:val="20"/>
                <w:lang w:val="en-AU"/>
              </w:rPr>
            </w:pPr>
          </w:p>
        </w:tc>
      </w:tr>
      <w:tr w:rsidRPr="008F114E" w:rsidR="00841634" w:rsidTr="00244C61" w14:paraId="4208D9B1" w14:textId="77777777">
        <w:trPr>
          <w:trHeight w:val="294"/>
        </w:trPr>
        <w:tc>
          <w:tcPr>
            <w:tcW w:w="1730" w:type="dxa"/>
          </w:tcPr>
          <w:p w:rsidRPr="008F114E" w:rsidR="00841634" w:rsidP="00FE4186" w:rsidRDefault="00841634" w14:paraId="1577ABE7" w14:textId="77777777">
            <w:pPr>
              <w:pStyle w:val="BodyText"/>
              <w:rPr>
                <w:rFonts w:asciiTheme="minorHAnsi" w:hAnsiTheme="minorHAnsi" w:cstheme="minorHAnsi"/>
                <w:sz w:val="20"/>
                <w:lang w:val="en-AU"/>
              </w:rPr>
            </w:pPr>
            <w:r w:rsidRPr="008F114E">
              <w:rPr>
                <w:rFonts w:asciiTheme="minorHAnsi" w:hAnsiTheme="minorHAnsi" w:cstheme="minorHAnsi"/>
                <w:b/>
                <w:bCs/>
                <w:sz w:val="20"/>
                <w:lang w:val="en-AU"/>
              </w:rPr>
              <w:t xml:space="preserve">Route                                </w:t>
            </w:r>
          </w:p>
        </w:tc>
        <w:tc>
          <w:tcPr>
            <w:tcW w:w="8505" w:type="dxa"/>
          </w:tcPr>
          <w:p w:rsidR="00841634" w:rsidP="00FE4186" w:rsidRDefault="00841634" w14:paraId="2B0A6EAC"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IV</w:t>
            </w:r>
          </w:p>
          <w:p w:rsidRPr="008F114E" w:rsidR="00841634" w:rsidP="00FE4186" w:rsidRDefault="00841634" w14:paraId="4A448756" w14:textId="77777777">
            <w:pPr>
              <w:pStyle w:val="BodyText"/>
              <w:rPr>
                <w:rFonts w:asciiTheme="minorHAnsi" w:hAnsiTheme="minorHAnsi" w:cstheme="minorHAnsi"/>
                <w:sz w:val="20"/>
                <w:lang w:val="en-AU"/>
              </w:rPr>
            </w:pPr>
            <w:r>
              <w:rPr>
                <w:rFonts w:asciiTheme="minorHAnsi" w:hAnsiTheme="minorHAnsi" w:cstheme="minorHAnsi"/>
                <w:sz w:val="20"/>
                <w:lang w:val="en-AU"/>
              </w:rPr>
              <w:t>IM – only if IV access is not available.</w:t>
            </w:r>
          </w:p>
        </w:tc>
      </w:tr>
      <w:tr w:rsidRPr="008F114E" w:rsidR="00841634" w:rsidTr="00244C61" w14:paraId="6C350697" w14:textId="77777777">
        <w:trPr>
          <w:trHeight w:val="93"/>
        </w:trPr>
        <w:tc>
          <w:tcPr>
            <w:tcW w:w="1730" w:type="dxa"/>
          </w:tcPr>
          <w:p w:rsidRPr="008F114E" w:rsidR="00841634" w:rsidP="00FE4186" w:rsidRDefault="00841634" w14:paraId="689420E8" w14:textId="77777777">
            <w:pPr>
              <w:pStyle w:val="BodyText"/>
              <w:rPr>
                <w:rFonts w:asciiTheme="minorHAnsi" w:hAnsiTheme="minorHAnsi" w:cstheme="minorHAnsi"/>
                <w:b/>
                <w:bCs/>
                <w:sz w:val="20"/>
                <w:highlight w:val="cyan"/>
                <w:lang w:val="en-AU"/>
              </w:rPr>
            </w:pPr>
            <w:r w:rsidRPr="008F114E">
              <w:rPr>
                <w:rFonts w:asciiTheme="minorHAnsi" w:hAnsiTheme="minorHAnsi" w:cstheme="minorHAnsi"/>
                <w:b/>
                <w:bCs/>
                <w:sz w:val="20"/>
                <w:lang w:val="en-AU"/>
              </w:rPr>
              <w:t>Preparation</w:t>
            </w:r>
            <w:r w:rsidRPr="008F114E">
              <w:rPr>
                <w:rFonts w:asciiTheme="minorHAnsi" w:hAnsiTheme="minorHAnsi" w:cstheme="minorHAnsi"/>
                <w:b/>
                <w:bCs/>
                <w:sz w:val="20"/>
                <w:highlight w:val="cyan"/>
                <w:lang w:val="en-AU"/>
              </w:rPr>
              <w:t xml:space="preserve">                </w:t>
            </w:r>
          </w:p>
        </w:tc>
        <w:tc>
          <w:tcPr>
            <w:tcW w:w="8505" w:type="dxa"/>
          </w:tcPr>
          <w:p w:rsidRPr="008F114E" w:rsidR="00841634" w:rsidP="00FE4186" w:rsidRDefault="00841634" w14:paraId="15BF5AAC" w14:textId="77777777">
            <w:pPr>
              <w:pStyle w:val="BodyText"/>
              <w:rPr>
                <w:rFonts w:asciiTheme="minorHAnsi" w:hAnsiTheme="minorHAnsi" w:cstheme="minorHAnsi"/>
                <w:b/>
                <w:sz w:val="20"/>
                <w:lang w:val="en-AU"/>
              </w:rPr>
            </w:pPr>
            <w:r w:rsidRPr="00B200B2">
              <w:rPr>
                <w:rFonts w:asciiTheme="minorHAnsi" w:hAnsiTheme="minorHAnsi" w:cstheme="minorHAnsi"/>
                <w:b/>
                <w:sz w:val="20"/>
                <w:lang w:val="en-AU"/>
              </w:rPr>
              <w:t xml:space="preserve">10mg/mL – paediatric </w:t>
            </w:r>
            <w:r w:rsidRPr="008F114E">
              <w:rPr>
                <w:rFonts w:asciiTheme="minorHAnsi" w:hAnsiTheme="minorHAnsi" w:cstheme="minorHAnsi"/>
                <w:b/>
                <w:sz w:val="20"/>
                <w:lang w:val="en-AU"/>
              </w:rPr>
              <w:t>strength</w:t>
            </w:r>
          </w:p>
          <w:p w:rsidRPr="008F114E" w:rsidR="00841634" w:rsidP="00FE4186" w:rsidRDefault="00841634" w14:paraId="69062BA9" w14:textId="77777777">
            <w:pPr>
              <w:pStyle w:val="BodyText"/>
              <w:rPr>
                <w:rFonts w:asciiTheme="minorHAnsi" w:hAnsiTheme="minorHAnsi" w:cstheme="minorHAnsi"/>
                <w:sz w:val="20"/>
                <w:lang w:val="en-AU"/>
              </w:rPr>
            </w:pPr>
            <w:r w:rsidRPr="00B200B2">
              <w:rPr>
                <w:rFonts w:asciiTheme="minorHAnsi" w:hAnsiTheme="minorHAnsi" w:cstheme="minorHAnsi"/>
                <w:sz w:val="20"/>
                <w:lang w:val="en-AU"/>
              </w:rPr>
              <w:t>Draw up 1mL (10mg) gentamicin and add to 4mL of sodium chloride 0.9% to make a</w:t>
            </w:r>
            <w:r w:rsidRPr="008F114E">
              <w:rPr>
                <w:rFonts w:asciiTheme="minorHAnsi" w:hAnsiTheme="minorHAnsi" w:cstheme="minorHAnsi"/>
                <w:sz w:val="20"/>
                <w:lang w:val="en-AU"/>
              </w:rPr>
              <w:t xml:space="preserve"> </w:t>
            </w:r>
            <w:r w:rsidRPr="00B200B2">
              <w:rPr>
                <w:rFonts w:asciiTheme="minorHAnsi" w:hAnsiTheme="minorHAnsi" w:cstheme="minorHAnsi"/>
                <w:sz w:val="20"/>
                <w:lang w:val="en-AU"/>
              </w:rPr>
              <w:t>final volume of 5mL with a concentration of 2mg/mL solution.</w:t>
            </w:r>
          </w:p>
          <w:p w:rsidRPr="00B200B2" w:rsidR="00841634" w:rsidP="00FE4186" w:rsidRDefault="00841634" w14:paraId="2CC5CE8F" w14:textId="77777777">
            <w:pPr>
              <w:pStyle w:val="BodyText"/>
              <w:rPr>
                <w:rFonts w:asciiTheme="minorHAnsi" w:hAnsiTheme="minorHAnsi" w:cstheme="minorHAnsi"/>
                <w:b/>
                <w:sz w:val="20"/>
                <w:lang w:val="en-AU"/>
              </w:rPr>
            </w:pPr>
            <w:r w:rsidRPr="00B200B2">
              <w:rPr>
                <w:rFonts w:asciiTheme="minorHAnsi" w:hAnsiTheme="minorHAnsi" w:cstheme="minorHAnsi"/>
                <w:b/>
                <w:sz w:val="20"/>
                <w:lang w:val="en-AU"/>
              </w:rPr>
              <w:t>80mg/2 mL – adult strength</w:t>
            </w:r>
          </w:p>
          <w:p w:rsidRPr="008F114E" w:rsidR="00841634" w:rsidP="00FE4186" w:rsidRDefault="00841634" w14:paraId="3B920776"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Draw up 1mL (40mg) gentamicin and add to 19mL of sodium chloride 0.9% to make a final volume of 20mL with a concentration of 2mg/mL solution.</w:t>
            </w:r>
          </w:p>
        </w:tc>
      </w:tr>
      <w:tr w:rsidRPr="008F114E" w:rsidR="00841634" w:rsidTr="00244C61" w14:paraId="020A68CA" w14:textId="77777777">
        <w:trPr>
          <w:trHeight w:val="224"/>
        </w:trPr>
        <w:tc>
          <w:tcPr>
            <w:tcW w:w="1730" w:type="dxa"/>
          </w:tcPr>
          <w:p w:rsidRPr="008F114E" w:rsidR="00841634" w:rsidP="00FE4186" w:rsidRDefault="00841634" w14:paraId="494ACF0F"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Administration                </w:t>
            </w:r>
          </w:p>
        </w:tc>
        <w:tc>
          <w:tcPr>
            <w:tcW w:w="8505" w:type="dxa"/>
            <w:vAlign w:val="center"/>
          </w:tcPr>
          <w:p w:rsidRPr="008F114E" w:rsidR="00841634" w:rsidP="00FE4186" w:rsidRDefault="00841634" w14:paraId="55F64432" w14:textId="77777777">
            <w:pPr>
              <w:pStyle w:val="BodyText"/>
              <w:rPr>
                <w:rFonts w:asciiTheme="minorHAnsi" w:hAnsiTheme="minorHAnsi" w:cstheme="minorHAnsi"/>
                <w:sz w:val="20"/>
                <w:lang w:val="en-AU"/>
              </w:rPr>
            </w:pPr>
            <w:r>
              <w:rPr>
                <w:rFonts w:asciiTheme="minorHAnsi" w:hAnsiTheme="minorHAnsi" w:cstheme="minorHAnsi"/>
                <w:sz w:val="20"/>
                <w:lang w:val="en-AU"/>
              </w:rPr>
              <w:t xml:space="preserve">IV - </w:t>
            </w:r>
            <w:r w:rsidRPr="008F114E">
              <w:rPr>
                <w:rFonts w:asciiTheme="minorHAnsi" w:hAnsiTheme="minorHAnsi" w:cstheme="minorHAnsi"/>
                <w:sz w:val="20"/>
                <w:lang w:val="en-AU"/>
              </w:rPr>
              <w:t>Inject slowly over 5 minutes as an IV injection.</w:t>
            </w:r>
            <w:r>
              <w:rPr>
                <w:rFonts w:asciiTheme="minorHAnsi" w:hAnsiTheme="minorHAnsi" w:cstheme="minorHAnsi"/>
                <w:noProof/>
                <w:sz w:val="20"/>
                <w:lang w:val="en-AU"/>
              </w:rPr>
              <w:t>(15)</w:t>
            </w:r>
          </w:p>
          <w:p w:rsidRPr="008F114E" w:rsidR="00841634" w:rsidP="00FE4186" w:rsidRDefault="00841634" w14:paraId="63A31285" w14:textId="77777777">
            <w:pPr>
              <w:pStyle w:val="BodyText"/>
              <w:rPr>
                <w:rFonts w:asciiTheme="minorHAnsi" w:hAnsiTheme="minorHAnsi" w:cstheme="minorHAnsi"/>
                <w:sz w:val="20"/>
                <w:lang w:val="en-AU"/>
              </w:rPr>
            </w:pPr>
            <w:r w:rsidRPr="00216C06">
              <w:rPr>
                <w:rFonts w:asciiTheme="minorHAnsi" w:hAnsiTheme="minorHAnsi" w:cstheme="minorHAnsi"/>
                <w:sz w:val="20"/>
                <w:lang w:val="en-AU"/>
              </w:rPr>
              <w:t>IM- only given when IV route is not available as the IM absorption is variable. Administer required dose undiluted, deeply into a</w:t>
            </w:r>
            <w:r>
              <w:rPr>
                <w:rFonts w:asciiTheme="minorHAnsi" w:hAnsiTheme="minorHAnsi" w:cstheme="minorHAnsi"/>
                <w:sz w:val="20"/>
                <w:lang w:val="en-AU"/>
              </w:rPr>
              <w:t>nterolateral thigh muscle.</w:t>
            </w:r>
            <w:r w:rsidRPr="00216C06">
              <w:rPr>
                <w:rFonts w:asciiTheme="minorHAnsi" w:hAnsiTheme="minorHAnsi" w:cstheme="minorHAnsi"/>
                <w:sz w:val="20"/>
                <w:lang w:val="en-AU"/>
              </w:rPr>
              <w:t xml:space="preserve">  </w:t>
            </w:r>
          </w:p>
        </w:tc>
      </w:tr>
      <w:tr w:rsidRPr="008F114E" w:rsidR="00841634" w:rsidTr="00244C61" w14:paraId="4F162BD2" w14:textId="77777777">
        <w:trPr>
          <w:trHeight w:val="215"/>
        </w:trPr>
        <w:tc>
          <w:tcPr>
            <w:tcW w:w="1730" w:type="dxa"/>
          </w:tcPr>
          <w:p w:rsidRPr="008F114E" w:rsidR="00841634" w:rsidP="00FE4186" w:rsidRDefault="00841634" w14:paraId="6462B325"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Monitoring                              </w:t>
            </w:r>
          </w:p>
        </w:tc>
        <w:tc>
          <w:tcPr>
            <w:tcW w:w="8505" w:type="dxa"/>
          </w:tcPr>
          <w:p w:rsidRPr="008F114E" w:rsidR="00841634" w:rsidP="00FE4186" w:rsidRDefault="00841634" w14:paraId="397F8143"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Urine output, urine analysis, blood urea, nitrogen and creatinine</w:t>
            </w:r>
          </w:p>
          <w:p w:rsidRPr="008F114E" w:rsidR="00841634" w:rsidP="00FE4186" w:rsidRDefault="00841634" w14:paraId="6B8ECA9E"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Monitor for anaphylaxis</w:t>
            </w:r>
          </w:p>
          <w:p w:rsidRPr="008F114E" w:rsidR="00841634" w:rsidP="00FE4186" w:rsidRDefault="00841634" w14:paraId="60000316"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 xml:space="preserve">Trough concentrations – Target trough concentration:  &lt;2 mg/L. Repeat trough concentrations are not required routinely unless: </w:t>
            </w:r>
            <w:r w:rsidRPr="008F114E">
              <w:rPr>
                <w:rFonts w:asciiTheme="minorHAnsi" w:hAnsiTheme="minorHAnsi" w:cstheme="minorHAnsi"/>
                <w:noProof/>
                <w:sz w:val="20"/>
                <w:lang w:val="en-AU"/>
              </w:rPr>
              <w:t>(4)</w:t>
            </w:r>
            <w:r w:rsidRPr="008F114E">
              <w:rPr>
                <w:rFonts w:asciiTheme="minorHAnsi" w:hAnsiTheme="minorHAnsi" w:cstheme="minorHAnsi"/>
                <w:sz w:val="20"/>
                <w:lang w:val="en-AU"/>
              </w:rPr>
              <w:t xml:space="preserve"> </w:t>
            </w:r>
          </w:p>
          <w:p w:rsidRPr="008F114E" w:rsidR="00841634" w:rsidP="001B0E05" w:rsidRDefault="00841634" w14:paraId="7B834E36" w14:textId="77777777">
            <w:pPr>
              <w:pStyle w:val="BodyText"/>
              <w:numPr>
                <w:ilvl w:val="0"/>
                <w:numId w:val="102"/>
              </w:numPr>
              <w:overflowPunct w:val="0"/>
              <w:autoSpaceDE w:val="0"/>
              <w:autoSpaceDN w:val="0"/>
              <w:adjustRightInd w:val="0"/>
              <w:jc w:val="left"/>
              <w:textAlignment w:val="baseline"/>
              <w:rPr>
                <w:rFonts w:asciiTheme="minorHAnsi" w:hAnsiTheme="minorHAnsi" w:cstheme="minorHAnsi"/>
                <w:sz w:val="20"/>
                <w:lang w:val="en-AU"/>
              </w:rPr>
            </w:pPr>
            <w:r w:rsidRPr="008F114E">
              <w:rPr>
                <w:rFonts w:asciiTheme="minorHAnsi" w:hAnsiTheme="minorHAnsi" w:cstheme="minorHAnsi"/>
                <w:sz w:val="20"/>
                <w:lang w:val="en-AU"/>
              </w:rPr>
              <w:t>duration of therapy is ≥ 7 days – In this scenario, prior to dose on day 7 and then weekly thereafter.</w:t>
            </w:r>
          </w:p>
          <w:p w:rsidRPr="0089583D" w:rsidR="00841634" w:rsidP="001B0E05" w:rsidRDefault="00841634" w14:paraId="775C6B0B" w14:textId="77777777">
            <w:pPr>
              <w:pStyle w:val="BodyText"/>
              <w:numPr>
                <w:ilvl w:val="0"/>
                <w:numId w:val="102"/>
              </w:numPr>
              <w:overflowPunct w:val="0"/>
              <w:autoSpaceDE w:val="0"/>
              <w:autoSpaceDN w:val="0"/>
              <w:adjustRightInd w:val="0"/>
              <w:jc w:val="left"/>
              <w:textAlignment w:val="baseline"/>
              <w:rPr>
                <w:rFonts w:asciiTheme="minorHAnsi" w:hAnsiTheme="minorHAnsi" w:cstheme="minorHAnsi"/>
                <w:sz w:val="20"/>
                <w:lang w:val="en-AU"/>
              </w:rPr>
            </w:pPr>
            <w:r w:rsidRPr="008F114E">
              <w:rPr>
                <w:rFonts w:asciiTheme="minorHAnsi" w:hAnsiTheme="minorHAnsi" w:cstheme="minorHAnsi"/>
                <w:sz w:val="20"/>
                <w:lang w:val="en-AU"/>
              </w:rPr>
              <w:t xml:space="preserve">renal impairment or perinatal hypoxia with Apgar &lt;5 at 5 minutes and/or concomitant use of other nephrotoxic agents or therapeutic hypothermia In these scenarios, perform trough concentration prior to </w:t>
            </w:r>
            <w:r w:rsidRPr="0089583D">
              <w:rPr>
                <w:rFonts w:asciiTheme="minorHAnsi" w:hAnsiTheme="minorHAnsi" w:cstheme="minorHAnsi"/>
                <w:sz w:val="20"/>
                <w:lang w:val="en-AU"/>
              </w:rPr>
              <w:t>every dose.</w:t>
            </w:r>
          </w:p>
          <w:p w:rsidR="00841634" w:rsidP="00FE4186" w:rsidRDefault="00841634" w14:paraId="2F8387E6" w14:textId="77777777">
            <w:pPr>
              <w:pStyle w:val="BodyText"/>
              <w:rPr>
                <w:rFonts w:asciiTheme="minorHAnsi" w:hAnsiTheme="minorHAnsi" w:cstheme="minorHAnsi"/>
                <w:sz w:val="20"/>
                <w:lang w:val="en-AU"/>
              </w:rPr>
            </w:pPr>
          </w:p>
          <w:p w:rsidRPr="008F114E" w:rsidR="00841634" w:rsidP="00FE4186" w:rsidRDefault="00841634" w14:paraId="6401429E" w14:textId="77777777">
            <w:pPr>
              <w:pStyle w:val="BodyText"/>
              <w:rPr>
                <w:rFonts w:asciiTheme="minorHAnsi" w:hAnsiTheme="minorHAnsi" w:cstheme="minorHAnsi"/>
                <w:sz w:val="20"/>
                <w:lang w:val="en-AU"/>
              </w:rPr>
            </w:pPr>
            <w:r>
              <w:rPr>
                <w:rFonts w:asciiTheme="minorHAnsi" w:hAnsiTheme="minorHAnsi" w:cstheme="minorHAnsi"/>
                <w:sz w:val="20"/>
                <w:lang w:val="en-AU"/>
              </w:rPr>
              <w:t>If trough concentration ≥2 mg/L</w:t>
            </w:r>
            <w:r w:rsidRPr="008F114E">
              <w:rPr>
                <w:rFonts w:asciiTheme="minorHAnsi" w:hAnsiTheme="minorHAnsi" w:cstheme="minorHAnsi"/>
                <w:sz w:val="20"/>
                <w:lang w:val="en-AU"/>
              </w:rPr>
              <w:t>, withhold the dose, repeat trough concentrations before the subsequent dosing and discuss with infectious disease specialist/clinical microbiologist for either extended dosing interval or alternate antibiotic.</w:t>
            </w:r>
          </w:p>
          <w:p w:rsidR="00841634" w:rsidP="00FE4186" w:rsidRDefault="00841634" w14:paraId="1F658CDB" w14:textId="77777777">
            <w:pPr>
              <w:pStyle w:val="BodyText"/>
              <w:rPr>
                <w:rFonts w:asciiTheme="minorHAnsi" w:hAnsiTheme="minorHAnsi" w:cstheme="minorHAnsi"/>
                <w:sz w:val="20"/>
                <w:lang w:val="en-AU"/>
              </w:rPr>
            </w:pPr>
          </w:p>
          <w:p w:rsidRPr="008F114E" w:rsidR="00841634" w:rsidP="00FE4186" w:rsidRDefault="00841634" w14:paraId="15D95ECA"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Peak concentrations - Not required routinely. Target peak concentrations: 5-12 mg/L. Peak concentration should be drawn at 30 minutes post dose.</w:t>
            </w:r>
          </w:p>
        </w:tc>
      </w:tr>
      <w:tr w:rsidRPr="008F114E" w:rsidR="00841634" w:rsidTr="00244C61" w14:paraId="239DE8FA" w14:textId="77777777">
        <w:trPr>
          <w:trHeight w:val="342"/>
        </w:trPr>
        <w:tc>
          <w:tcPr>
            <w:tcW w:w="1730" w:type="dxa"/>
          </w:tcPr>
          <w:p w:rsidRPr="008F114E" w:rsidR="00841634" w:rsidP="00FE4186" w:rsidRDefault="00841634" w14:paraId="209BF939"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Contraindications                        </w:t>
            </w:r>
          </w:p>
        </w:tc>
        <w:tc>
          <w:tcPr>
            <w:tcW w:w="8505" w:type="dxa"/>
          </w:tcPr>
          <w:p w:rsidRPr="008F114E" w:rsidR="00841634" w:rsidP="00FE4186" w:rsidRDefault="00841634" w14:paraId="1AB4C2B2"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Hypersensitivity to aminoglycosides</w:t>
            </w:r>
          </w:p>
        </w:tc>
      </w:tr>
      <w:tr w:rsidRPr="008F114E" w:rsidR="00841634" w:rsidTr="00244C61" w14:paraId="6360A686" w14:textId="77777777">
        <w:tc>
          <w:tcPr>
            <w:tcW w:w="1730" w:type="dxa"/>
          </w:tcPr>
          <w:p w:rsidRPr="008F114E" w:rsidR="00841634" w:rsidP="00FE4186" w:rsidRDefault="00841634" w14:paraId="7BFF8F24" w14:textId="77777777">
            <w:pPr>
              <w:pStyle w:val="BodyText"/>
              <w:rPr>
                <w:rFonts w:asciiTheme="minorHAnsi" w:hAnsiTheme="minorHAnsi" w:cstheme="minorHAnsi"/>
                <w:b/>
                <w:bCs/>
                <w:sz w:val="20"/>
                <w:lang w:val="en-AU"/>
              </w:rPr>
            </w:pPr>
            <w:r w:rsidRPr="008F114E">
              <w:rPr>
                <w:rFonts w:asciiTheme="minorHAnsi" w:hAnsiTheme="minorHAnsi" w:cstheme="minorHAnsi"/>
                <w:sz w:val="20"/>
                <w:lang w:val="en-AU"/>
              </w:rPr>
              <w:br w:type="page"/>
            </w:r>
            <w:r w:rsidRPr="008F114E">
              <w:rPr>
                <w:rFonts w:asciiTheme="minorHAnsi" w:hAnsiTheme="minorHAnsi" w:cstheme="minorHAnsi"/>
                <w:b/>
                <w:bCs/>
                <w:sz w:val="20"/>
                <w:lang w:val="en-AU"/>
              </w:rPr>
              <w:t>Precautions</w:t>
            </w:r>
          </w:p>
        </w:tc>
        <w:tc>
          <w:tcPr>
            <w:tcW w:w="8505" w:type="dxa"/>
          </w:tcPr>
          <w:p w:rsidRPr="008F114E" w:rsidR="00841634" w:rsidP="00FE4186" w:rsidRDefault="00841634" w14:paraId="16234D7E"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CAUTION in patients with pre-existing renal impairment, auditory or vestibular impairment, hypocalcaemia, depressed neuromuscular transmission.</w:t>
            </w:r>
          </w:p>
        </w:tc>
      </w:tr>
      <w:tr w:rsidRPr="008F114E" w:rsidR="00841634" w:rsidTr="00244C61" w14:paraId="66F4C480" w14:textId="77777777">
        <w:trPr>
          <w:trHeight w:val="70"/>
        </w:trPr>
        <w:tc>
          <w:tcPr>
            <w:tcW w:w="1730" w:type="dxa"/>
          </w:tcPr>
          <w:p w:rsidRPr="008F114E" w:rsidR="00841634" w:rsidP="00FE4186" w:rsidRDefault="00841634" w14:paraId="0DE15506"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Drug interactions</w:t>
            </w:r>
          </w:p>
        </w:tc>
        <w:tc>
          <w:tcPr>
            <w:tcW w:w="8505" w:type="dxa"/>
          </w:tcPr>
          <w:p w:rsidRPr="008F114E" w:rsidR="00841634" w:rsidP="00FE4186" w:rsidRDefault="00841634" w14:paraId="188781B4"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Gentamicin should not be mixed with penicillins or cephalosporins as inactivation occurs.</w:t>
            </w:r>
            <w:r>
              <w:rPr>
                <w:rFonts w:asciiTheme="minorHAnsi" w:hAnsiTheme="minorHAnsi" w:cstheme="minorHAnsi"/>
                <w:noProof/>
                <w:sz w:val="20"/>
                <w:lang w:val="en-AU"/>
              </w:rPr>
              <w:t>(15)</w:t>
            </w:r>
            <w:r w:rsidRPr="008F114E">
              <w:rPr>
                <w:rFonts w:asciiTheme="minorHAnsi" w:hAnsiTheme="minorHAnsi" w:cstheme="minorHAnsi"/>
                <w:sz w:val="20"/>
                <w:lang w:val="en-AU"/>
              </w:rPr>
              <w:t xml:space="preserve"> Ensure line is adequately flushed between antibiotics and if possible, stagger the time of administration of each drug so that they are separated by several hours. </w:t>
            </w:r>
          </w:p>
          <w:p w:rsidRPr="008F114E" w:rsidR="00841634" w:rsidP="00FE4186" w:rsidRDefault="00841634" w14:paraId="2187848C"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Avoid use with other potent diuretics, neurotoxic, nephrotoxic and neuromuscular blocking agents.</w:t>
            </w:r>
            <w:r>
              <w:rPr>
                <w:rFonts w:asciiTheme="minorHAnsi" w:hAnsiTheme="minorHAnsi" w:cstheme="minorHAnsi"/>
                <w:noProof/>
                <w:sz w:val="20"/>
                <w:lang w:val="en-AU"/>
              </w:rPr>
              <w:t>(16)</w:t>
            </w:r>
            <w:r w:rsidRPr="008F114E">
              <w:rPr>
                <w:rFonts w:asciiTheme="minorHAnsi" w:hAnsiTheme="minorHAnsi" w:cstheme="minorHAnsi"/>
                <w:sz w:val="20"/>
                <w:lang w:val="en-AU"/>
              </w:rPr>
              <w:t xml:space="preserve"> </w:t>
            </w:r>
          </w:p>
        </w:tc>
      </w:tr>
      <w:tr w:rsidRPr="008F114E" w:rsidR="00841634" w:rsidTr="00244C61" w14:paraId="2C3E329F" w14:textId="77777777">
        <w:trPr>
          <w:trHeight w:val="332"/>
        </w:trPr>
        <w:tc>
          <w:tcPr>
            <w:tcW w:w="1730" w:type="dxa"/>
          </w:tcPr>
          <w:p w:rsidRPr="008F114E" w:rsidR="00841634" w:rsidP="00FE4186" w:rsidRDefault="00841634" w14:paraId="572353F1"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Adverse reactions         </w:t>
            </w:r>
          </w:p>
        </w:tc>
        <w:tc>
          <w:tcPr>
            <w:tcW w:w="8505" w:type="dxa"/>
          </w:tcPr>
          <w:p w:rsidRPr="00244C61" w:rsidR="00841634" w:rsidP="00FE4186" w:rsidRDefault="00841634" w14:paraId="01581E8B"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Toxicity is rare in the newborn but can include:</w:t>
            </w:r>
          </w:p>
          <w:p w:rsidRPr="00244C61" w:rsidR="00841634" w:rsidP="00FE4186" w:rsidRDefault="00841634" w14:paraId="2C9873BE"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1. Nephrotoxicity-</w:t>
            </w:r>
          </w:p>
          <w:p w:rsidRPr="00244C61" w:rsidR="00841634" w:rsidP="00FE4186" w:rsidRDefault="00841634" w14:paraId="6F9D112B"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Associated with excessive accumulation of gentamicin. The initial symptoms may be due to renal tubular concentrating defect. These include excessive losses of sodium, calcium and magnesium. This may progress to proteinuria, increased urea, oliguria, increased serum creatinine. Renal impairment is usually reversible.</w:t>
            </w:r>
          </w:p>
          <w:p w:rsidRPr="00244C61" w:rsidR="00841634" w:rsidP="00FE4186" w:rsidRDefault="00841634" w14:paraId="77A89F75"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2. Ototoxicity.</w:t>
            </w:r>
          </w:p>
          <w:p w:rsidRPr="00244C61" w:rsidR="00841634" w:rsidP="00FE4186" w:rsidRDefault="00841634" w14:paraId="1AFA4544"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Primarily vestibular but also auditory toxicity. Associated with excessive accumulation of gentamicin and duration of therapy. Effects often irreversible.</w:t>
            </w:r>
          </w:p>
          <w:p w:rsidRPr="00244C61" w:rsidR="00841634" w:rsidP="00FE4186" w:rsidRDefault="00841634" w14:paraId="0E3FFBA0"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3. Neuromuscular blockade-</w:t>
            </w:r>
          </w:p>
          <w:p w:rsidRPr="00244C61" w:rsidR="00841634" w:rsidP="00FE4186" w:rsidRDefault="00841634" w14:paraId="47A4EC43"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Muscular paralysis and respiratory failure may occur particularly when used with other neuromuscular blockers such as pancuronium.</w:t>
            </w:r>
          </w:p>
          <w:p w:rsidRPr="00244C61" w:rsidR="00841634" w:rsidP="00FE4186" w:rsidRDefault="00841634" w14:paraId="1D089697"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4. Hypersensitivity-</w:t>
            </w:r>
          </w:p>
          <w:p w:rsidRPr="00244C61" w:rsidR="00841634" w:rsidP="00FE4186" w:rsidRDefault="00841634" w14:paraId="6D85E6EF"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Very rare − rash, urticaria, fever, laryngeal oedema, eosinophilia.</w:t>
            </w:r>
          </w:p>
          <w:p w:rsidRPr="00244C61" w:rsidR="00841634" w:rsidP="00FE4186" w:rsidRDefault="00841634" w14:paraId="44F954FC"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Nephrotoxicity and ototoxicity are more pronounced with addition of other nephrotoxic/ototoxic agents such as furosemide and vancomycin.</w:t>
            </w:r>
          </w:p>
        </w:tc>
      </w:tr>
      <w:tr w:rsidRPr="008F114E" w:rsidR="00841634" w:rsidTr="00244C61" w14:paraId="58DDE464" w14:textId="77777777">
        <w:trPr>
          <w:trHeight w:val="180"/>
        </w:trPr>
        <w:tc>
          <w:tcPr>
            <w:tcW w:w="1730" w:type="dxa"/>
          </w:tcPr>
          <w:p w:rsidRPr="008F114E" w:rsidR="00841634" w:rsidP="00FE4186" w:rsidRDefault="00841634" w14:paraId="6928C6E4"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Compatibility</w:t>
            </w:r>
          </w:p>
        </w:tc>
        <w:tc>
          <w:tcPr>
            <w:tcW w:w="8505" w:type="dxa"/>
          </w:tcPr>
          <w:p w:rsidRPr="00244C61" w:rsidR="00841634" w:rsidP="00FE4186" w:rsidRDefault="00841634" w14:paraId="5C62FD75"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 xml:space="preserve">Fluids: Glucose 5% , glucose 10%, Hartmann’s, sodium chloride 0.9%, </w:t>
            </w:r>
            <w:r w:rsidRPr="00244C61">
              <w:rPr>
                <w:rFonts w:asciiTheme="minorHAnsi" w:hAnsiTheme="minorHAnsi" w:cstheme="minorHAnsi"/>
                <w:sz w:val="16"/>
                <w:szCs w:val="16"/>
              </w:rPr>
              <w:t>Ringer’s</w:t>
            </w:r>
            <w:r w:rsidRPr="00244C61">
              <w:rPr>
                <w:rFonts w:asciiTheme="minorHAnsi" w:hAnsiTheme="minorHAnsi" w:cstheme="minorHAnsi"/>
                <w:sz w:val="16"/>
                <w:szCs w:val="16"/>
                <w:lang w:val="en-AU"/>
              </w:rPr>
              <w:t xml:space="preserve"> </w:t>
            </w:r>
            <w:r w:rsidRPr="00244C61">
              <w:rPr>
                <w:rFonts w:asciiTheme="minorHAnsi" w:hAnsiTheme="minorHAnsi" w:cstheme="minorHAnsi"/>
                <w:noProof/>
                <w:sz w:val="16"/>
                <w:szCs w:val="16"/>
                <w:lang w:val="en-AU"/>
              </w:rPr>
              <w:t>(15)</w:t>
            </w:r>
          </w:p>
          <w:p w:rsidRPr="00244C61" w:rsidR="00841634" w:rsidP="00FE4186" w:rsidRDefault="00841634" w14:paraId="5CA2492B"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lastRenderedPageBreak/>
              <w:t>Y-Site: Amino acid solutions, amifostine, amiodarone, anidulafungin, atracurium, aztreonam, bivalirudin, calcium chloride, calcium gluconate, caspofungin, ciprofloxacin, cisatracurium, clindamycin, dexmedetomidine, digoxin, dobutamine, esmolol, fentanyl, fluconazole, foscarnet, granisetron, hydromorphone, labetalol, linezolid, magnesium sulfate, meropenem, methylprednisolone, metronidazole, midazolam, morphine sulfate, , pancuronium, pethidine, phenobarbital sodium, potassium chloride, remifentanil, rocuronium, suxamethonium, tigecycline, vancomycin, vecuronium, zidovudine.</w:t>
            </w:r>
          </w:p>
        </w:tc>
      </w:tr>
      <w:tr w:rsidRPr="008F114E" w:rsidR="00841634" w:rsidTr="00244C61" w14:paraId="68421F5C" w14:textId="77777777">
        <w:trPr>
          <w:trHeight w:val="230"/>
        </w:trPr>
        <w:tc>
          <w:tcPr>
            <w:tcW w:w="1730" w:type="dxa"/>
          </w:tcPr>
          <w:p w:rsidRPr="008F114E" w:rsidR="00841634" w:rsidP="00FE4186" w:rsidRDefault="00841634" w14:paraId="538FAE23"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lastRenderedPageBreak/>
              <w:t>Incompatibility</w:t>
            </w:r>
          </w:p>
        </w:tc>
        <w:tc>
          <w:tcPr>
            <w:tcW w:w="8505" w:type="dxa"/>
          </w:tcPr>
          <w:p w:rsidRPr="00244C61" w:rsidR="00841634" w:rsidP="00FE4186" w:rsidRDefault="00841634" w14:paraId="4A185E70"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Fluids: Fat emulsions.</w:t>
            </w:r>
          </w:p>
          <w:p w:rsidRPr="00244C61" w:rsidR="00841634" w:rsidP="00FE4186" w:rsidRDefault="00841634" w14:paraId="23EBD3D8"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Y-site: Azathioprine, azithromycin, chloramphenicol, dexamethasone, flucloxacillin, folic acid, frusemide, ganciclovir, heparin sodium, indomethacin, pentamidine, propofol, teicoplanin.</w:t>
            </w:r>
          </w:p>
          <w:p w:rsidRPr="00244C61" w:rsidR="00841634" w:rsidP="00FE4186" w:rsidRDefault="00841634" w14:paraId="292AC130" w14:textId="77777777">
            <w:pPr>
              <w:pStyle w:val="BodyText"/>
              <w:rPr>
                <w:rFonts w:asciiTheme="minorHAnsi" w:hAnsiTheme="minorHAnsi" w:cstheme="minorHAnsi"/>
                <w:sz w:val="16"/>
                <w:szCs w:val="16"/>
                <w:lang w:val="en-AU"/>
              </w:rPr>
            </w:pPr>
            <w:r w:rsidRPr="00244C61">
              <w:rPr>
                <w:rFonts w:asciiTheme="minorHAnsi" w:hAnsiTheme="minorHAnsi" w:cstheme="minorHAnsi"/>
                <w:sz w:val="16"/>
                <w:szCs w:val="16"/>
                <w:lang w:val="en-AU"/>
              </w:rPr>
              <w:t xml:space="preserve">Note: Do not mix together with penicillins or cephalosporins. </w:t>
            </w:r>
          </w:p>
        </w:tc>
      </w:tr>
      <w:tr w:rsidRPr="008F114E" w:rsidR="00841634" w:rsidTr="00244C61" w14:paraId="0CFB34DC" w14:textId="77777777">
        <w:trPr>
          <w:trHeight w:val="79"/>
        </w:trPr>
        <w:tc>
          <w:tcPr>
            <w:tcW w:w="1730" w:type="dxa"/>
          </w:tcPr>
          <w:p w:rsidRPr="008F114E" w:rsidR="00841634" w:rsidP="00FE4186" w:rsidRDefault="00841634" w14:paraId="4BB9ECDB"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Stability   </w:t>
            </w:r>
          </w:p>
        </w:tc>
        <w:tc>
          <w:tcPr>
            <w:tcW w:w="8505" w:type="dxa"/>
          </w:tcPr>
          <w:p w:rsidRPr="008F114E" w:rsidR="00841634" w:rsidP="00FE4186" w:rsidRDefault="00841634" w14:paraId="36C05EA2"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Administer immediately, discard unused portion.</w:t>
            </w:r>
          </w:p>
        </w:tc>
      </w:tr>
      <w:tr w:rsidRPr="008F114E" w:rsidR="00841634" w:rsidTr="00244C61" w14:paraId="654054CC" w14:textId="77777777">
        <w:trPr>
          <w:trHeight w:val="70"/>
        </w:trPr>
        <w:tc>
          <w:tcPr>
            <w:tcW w:w="1730" w:type="dxa"/>
          </w:tcPr>
          <w:p w:rsidRPr="008F114E" w:rsidR="00841634" w:rsidP="00FE4186" w:rsidRDefault="00841634" w14:paraId="1C27A4C1"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Storage             </w:t>
            </w:r>
          </w:p>
        </w:tc>
        <w:tc>
          <w:tcPr>
            <w:tcW w:w="8505" w:type="dxa"/>
          </w:tcPr>
          <w:p w:rsidRPr="008F114E" w:rsidR="00841634" w:rsidP="00FE4186" w:rsidRDefault="00841634" w14:paraId="37E848DF" w14:textId="77777777">
            <w:pPr>
              <w:pStyle w:val="BodyText"/>
              <w:rPr>
                <w:rFonts w:asciiTheme="minorHAnsi" w:hAnsiTheme="minorHAnsi" w:cstheme="minorHAnsi"/>
                <w:sz w:val="20"/>
                <w:lang w:val="en-AU"/>
              </w:rPr>
            </w:pPr>
            <w:r w:rsidRPr="008F114E">
              <w:rPr>
                <w:rFonts w:asciiTheme="minorHAnsi" w:hAnsiTheme="minorHAnsi" w:cstheme="minorHAnsi"/>
                <w:sz w:val="20"/>
                <w:lang w:val="en-AU"/>
              </w:rPr>
              <w:t>Protect from light. Store below 25°C</w:t>
            </w:r>
          </w:p>
        </w:tc>
      </w:tr>
      <w:tr w:rsidRPr="008F114E" w:rsidR="00841634" w:rsidTr="00244C61" w14:paraId="5E4AD53A" w14:textId="77777777">
        <w:trPr>
          <w:trHeight w:val="70"/>
        </w:trPr>
        <w:tc>
          <w:tcPr>
            <w:tcW w:w="1730" w:type="dxa"/>
          </w:tcPr>
          <w:p w:rsidRPr="008F114E" w:rsidR="00841634" w:rsidP="00FE4186" w:rsidRDefault="00841634" w14:paraId="70020261"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Excipients</w:t>
            </w:r>
          </w:p>
        </w:tc>
        <w:tc>
          <w:tcPr>
            <w:tcW w:w="8505" w:type="dxa"/>
          </w:tcPr>
          <w:p w:rsidRPr="008F114E" w:rsidR="00841634" w:rsidP="00FE4186" w:rsidRDefault="00841634" w14:paraId="18222F23" w14:textId="77777777">
            <w:pPr>
              <w:pStyle w:val="BodyText"/>
              <w:rPr>
                <w:rFonts w:asciiTheme="minorHAnsi" w:hAnsiTheme="minorHAnsi" w:cstheme="minorHAnsi"/>
                <w:sz w:val="20"/>
              </w:rPr>
            </w:pPr>
            <w:r w:rsidRPr="008F114E">
              <w:rPr>
                <w:rFonts w:asciiTheme="minorHAnsi" w:hAnsiTheme="minorHAnsi" w:cstheme="minorHAnsi"/>
                <w:sz w:val="20"/>
                <w:lang w:val="en-AU"/>
              </w:rPr>
              <w:t xml:space="preserve">DBL Gentamicin: </w:t>
            </w:r>
            <w:r w:rsidRPr="008F114E">
              <w:rPr>
                <w:rFonts w:asciiTheme="minorHAnsi" w:hAnsiTheme="minorHAnsi" w:cstheme="minorHAnsi"/>
                <w:sz w:val="20"/>
              </w:rPr>
              <w:t>Disodium edetate</w:t>
            </w:r>
          </w:p>
          <w:p w:rsidRPr="008F114E" w:rsidR="00841634" w:rsidP="00FE4186" w:rsidRDefault="00841634" w14:paraId="72771AC4" w14:textId="77777777">
            <w:pPr>
              <w:pStyle w:val="BodyText"/>
              <w:rPr>
                <w:rFonts w:asciiTheme="minorHAnsi" w:hAnsiTheme="minorHAnsi" w:cstheme="minorHAnsi"/>
                <w:sz w:val="20"/>
                <w:lang w:val="en-AU"/>
              </w:rPr>
            </w:pPr>
            <w:r w:rsidRPr="008F114E">
              <w:rPr>
                <w:rFonts w:asciiTheme="minorHAnsi" w:hAnsiTheme="minorHAnsi" w:cstheme="minorHAnsi"/>
                <w:sz w:val="20"/>
              </w:rPr>
              <w:t>Pfizer Gentamicin: Disodium edetate, sodium hydroxide, sulfuric acid.</w:t>
            </w:r>
          </w:p>
        </w:tc>
      </w:tr>
      <w:tr w:rsidRPr="008F114E" w:rsidR="00841634" w:rsidTr="00244C61" w14:paraId="1EB560E8" w14:textId="77777777">
        <w:trPr>
          <w:trHeight w:val="270"/>
        </w:trPr>
        <w:tc>
          <w:tcPr>
            <w:tcW w:w="1730" w:type="dxa"/>
          </w:tcPr>
          <w:p w:rsidRPr="008F114E" w:rsidR="00841634" w:rsidP="00FE4186" w:rsidRDefault="00841634" w14:paraId="77E2EE01"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Special comments       </w:t>
            </w:r>
          </w:p>
        </w:tc>
        <w:tc>
          <w:tcPr>
            <w:tcW w:w="8505" w:type="dxa"/>
          </w:tcPr>
          <w:p w:rsidRPr="008F114E" w:rsidR="00841634" w:rsidP="00FE4186" w:rsidRDefault="00841634" w14:paraId="57D197B2" w14:textId="77777777">
            <w:pPr>
              <w:pStyle w:val="BodyText"/>
              <w:rPr>
                <w:rFonts w:asciiTheme="minorHAnsi" w:hAnsiTheme="minorHAnsi" w:cstheme="minorHAnsi"/>
                <w:sz w:val="20"/>
                <w:lang w:val="en-AU"/>
              </w:rPr>
            </w:pPr>
          </w:p>
        </w:tc>
      </w:tr>
      <w:tr w:rsidRPr="008F114E" w:rsidR="00841634" w:rsidTr="00244C61" w14:paraId="0AF666F4" w14:textId="77777777">
        <w:trPr>
          <w:trHeight w:val="280"/>
        </w:trPr>
        <w:tc>
          <w:tcPr>
            <w:tcW w:w="1730" w:type="dxa"/>
          </w:tcPr>
          <w:p w:rsidRPr="008F114E" w:rsidR="00841634" w:rsidP="00FE4186" w:rsidRDefault="00841634" w14:paraId="2F536492"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 xml:space="preserve">Evidence </w:t>
            </w:r>
          </w:p>
        </w:tc>
        <w:tc>
          <w:tcPr>
            <w:tcW w:w="8505" w:type="dxa"/>
          </w:tcPr>
          <w:p w:rsidRPr="00F15991" w:rsidR="00841634" w:rsidP="00FE4186" w:rsidRDefault="00841634" w14:paraId="2D460909"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Efficacy</w:t>
            </w:r>
          </w:p>
          <w:p w:rsidRPr="00F15991" w:rsidR="00841634" w:rsidP="00FE4186" w:rsidRDefault="00841634" w14:paraId="72D5697F"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Extended interval dosing for gentamicin in neonates provides a superior pharmacokinetic profile compared to multiple doses a day dosing.</w:t>
            </w:r>
            <w:r w:rsidRPr="00F15991">
              <w:rPr>
                <w:sz w:val="16"/>
                <w:szCs w:val="16"/>
              </w:rPr>
              <w:t xml:space="preserve"> </w:t>
            </w:r>
            <w:r w:rsidRPr="00F15991">
              <w:rPr>
                <w:rFonts w:asciiTheme="minorHAnsi" w:hAnsiTheme="minorHAnsi" w:cstheme="minorHAnsi"/>
                <w:sz w:val="16"/>
                <w:szCs w:val="16"/>
                <w:lang w:val="en-AU"/>
              </w:rPr>
              <w:t xml:space="preserve">However, there is insufficient evidence to conclude whether a 'once a day' or a 'multiple doses a day' regimen of gentamicin is clinically superior in treating proven neonatal sepsis. </w:t>
            </w:r>
            <w:r w:rsidRPr="00F15991">
              <w:rPr>
                <w:rFonts w:asciiTheme="minorHAnsi" w:hAnsiTheme="minorHAnsi" w:cstheme="minorHAnsi"/>
                <w:noProof/>
                <w:sz w:val="16"/>
                <w:szCs w:val="16"/>
                <w:lang w:val="en-AU"/>
              </w:rPr>
              <w:t>(17, 18)</w:t>
            </w:r>
            <w:r w:rsidRPr="00F15991">
              <w:rPr>
                <w:rFonts w:asciiTheme="minorHAnsi" w:hAnsiTheme="minorHAnsi" w:cstheme="minorHAnsi"/>
                <w:sz w:val="16"/>
                <w:szCs w:val="16"/>
                <w:lang w:val="en-AU"/>
              </w:rPr>
              <w:t xml:space="preserve"> (Rao SC 2016, Nestaas E 2005)</w:t>
            </w:r>
          </w:p>
          <w:p w:rsidRPr="00F15991" w:rsidR="00841634" w:rsidP="00FE4186" w:rsidRDefault="00841634" w14:paraId="003D1511" w14:textId="77777777">
            <w:pPr>
              <w:pStyle w:val="BodyText"/>
              <w:tabs>
                <w:tab w:val="left" w:pos="1168"/>
              </w:tabs>
              <w:rPr>
                <w:rFonts w:asciiTheme="minorHAnsi" w:hAnsiTheme="minorHAnsi" w:cstheme="minorHAnsi"/>
                <w:sz w:val="16"/>
                <w:szCs w:val="16"/>
                <w:lang w:val="en-AU"/>
              </w:rPr>
            </w:pPr>
          </w:p>
          <w:p w:rsidRPr="00F15991" w:rsidR="00841634" w:rsidP="00FE4186" w:rsidRDefault="00841634" w14:paraId="425DDE41"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Current dosing recommendations are based on 4 prospective observational studies using extended-interval dosing interval with a single drug concentration at 22 hours after the first dose.</w:t>
            </w:r>
            <w:r w:rsidRPr="00F15991">
              <w:rPr>
                <w:rFonts w:asciiTheme="minorHAnsi" w:hAnsiTheme="minorHAnsi" w:cstheme="minorHAnsi"/>
                <w:noProof/>
                <w:sz w:val="16"/>
                <w:szCs w:val="16"/>
                <w:lang w:val="en-AU"/>
              </w:rPr>
              <w:t>(2-5)</w:t>
            </w:r>
            <w:r w:rsidRPr="00F15991">
              <w:rPr>
                <w:rFonts w:asciiTheme="minorHAnsi" w:hAnsiTheme="minorHAnsi" w:cstheme="minorHAnsi"/>
                <w:sz w:val="16"/>
                <w:szCs w:val="16"/>
                <w:lang w:val="en-AU"/>
              </w:rPr>
              <w:t xml:space="preserve"> Three of them were consecutive Canadian studies. First of the studies evaluated the extended interval dosing (EID) regimen in neonates ≤28-week gestation. The dosing interval was based on a 22 h level after the first dose of 5mg⁄kg. All neonates, except one, achieved therapeutic peak and trough levels. Based on the 22 h level, dosing interval was 36 h in 61% of neonates and 48 h in 39% of neonates. In their second prospective, observational study, similar findings were noted in 104 neonates ≤7 days of life, gestational age 23 weeks to full term. Appropriate peak and trough concentrations were attained in all neonates. A third prospective observational study by the group assessed extended-interval dosing of gentamicin in neonates &gt;7 days old and found appropriate peak and trough concentrations in all neonates.</w:t>
            </w:r>
            <w:r w:rsidRPr="00F15991">
              <w:rPr>
                <w:rFonts w:asciiTheme="minorHAnsi" w:hAnsiTheme="minorHAnsi" w:cstheme="minorHAnsi"/>
                <w:noProof/>
                <w:sz w:val="16"/>
                <w:szCs w:val="16"/>
                <w:lang w:val="en-AU"/>
              </w:rPr>
              <w:t>(2-4)</w:t>
            </w:r>
            <w:r w:rsidRPr="00F15991">
              <w:rPr>
                <w:rFonts w:asciiTheme="minorHAnsi" w:hAnsiTheme="minorHAnsi" w:cstheme="minorHAnsi"/>
                <w:sz w:val="16"/>
                <w:szCs w:val="16"/>
                <w:lang w:val="en-AU"/>
              </w:rPr>
              <w:t xml:space="preserve"> Fourth observational study by Matinkova et al, in which 4 mg/kg/dose was given at various intervals based on gestational age groups (&lt;34 weeks-48 hourly; 34-38 weeks – 36 hourly; &gt;38 weeks – 24 hourly). The initial dose of gentamicin 4mg/kg during the first week of life was high enough to reach bactericidal Cmax within 6–10mg/L. However, C</w:t>
            </w:r>
            <w:r w:rsidRPr="00F15991">
              <w:rPr>
                <w:rFonts w:asciiTheme="minorHAnsi" w:hAnsiTheme="minorHAnsi" w:cstheme="minorHAnsi"/>
                <w:sz w:val="16"/>
                <w:szCs w:val="16"/>
                <w:vertAlign w:val="subscript"/>
                <w:lang w:val="en-AU"/>
              </w:rPr>
              <w:t>max</w:t>
            </w:r>
            <w:r w:rsidRPr="00F15991">
              <w:rPr>
                <w:rFonts w:asciiTheme="minorHAnsi" w:hAnsiTheme="minorHAnsi" w:cstheme="minorHAnsi"/>
                <w:sz w:val="16"/>
                <w:szCs w:val="16"/>
                <w:lang w:val="en-AU"/>
              </w:rPr>
              <w:t xml:space="preserve"> &lt;6 mg/L occurred in 13% of neonates. The inter-dose interval modified according to the recommendation resulted in C</w:t>
            </w:r>
            <w:r w:rsidRPr="00F15991">
              <w:rPr>
                <w:rFonts w:asciiTheme="minorHAnsi" w:hAnsiTheme="minorHAnsi" w:cstheme="minorHAnsi"/>
                <w:sz w:val="16"/>
                <w:szCs w:val="16"/>
                <w:vertAlign w:val="subscript"/>
                <w:lang w:val="en-AU"/>
              </w:rPr>
              <w:t>trough</w:t>
            </w:r>
            <w:r w:rsidRPr="00F15991">
              <w:rPr>
                <w:rFonts w:asciiTheme="minorHAnsi" w:hAnsiTheme="minorHAnsi" w:cstheme="minorHAnsi"/>
                <w:sz w:val="16"/>
                <w:szCs w:val="16"/>
                <w:lang w:val="en-AU"/>
              </w:rPr>
              <w:t xml:space="preserve"> values within the target range of 0.5–2.0mg/L in all but 2 neonates.</w:t>
            </w:r>
            <w:r w:rsidRPr="00F15991">
              <w:rPr>
                <w:rFonts w:asciiTheme="minorHAnsi" w:hAnsiTheme="minorHAnsi" w:cstheme="minorHAnsi"/>
                <w:noProof/>
                <w:sz w:val="16"/>
                <w:szCs w:val="16"/>
                <w:lang w:val="en-AU"/>
              </w:rPr>
              <w:t>(5)</w:t>
            </w:r>
            <w:r w:rsidRPr="00F15991">
              <w:rPr>
                <w:rFonts w:asciiTheme="minorHAnsi" w:hAnsiTheme="minorHAnsi" w:cstheme="minorHAnsi"/>
                <w:sz w:val="16"/>
                <w:szCs w:val="16"/>
                <w:lang w:val="en-AU"/>
              </w:rPr>
              <w:t xml:space="preserve"> </w:t>
            </w:r>
          </w:p>
          <w:p w:rsidRPr="00F15991" w:rsidR="00841634" w:rsidP="00FE4186" w:rsidRDefault="00841634" w14:paraId="26243C7B" w14:textId="77777777">
            <w:pPr>
              <w:pStyle w:val="BodyText"/>
              <w:tabs>
                <w:tab w:val="left" w:pos="1168"/>
              </w:tabs>
              <w:rPr>
                <w:rFonts w:asciiTheme="minorHAnsi" w:hAnsiTheme="minorHAnsi" w:cstheme="minorHAnsi"/>
                <w:sz w:val="16"/>
                <w:szCs w:val="16"/>
                <w:lang w:val="en-AU"/>
              </w:rPr>
            </w:pPr>
          </w:p>
          <w:p w:rsidRPr="00F15991" w:rsidR="00841634" w:rsidP="00FE4186" w:rsidRDefault="00841634" w14:paraId="57310CE1"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Patients who have early (l-hr post-infusion) peak plasma aminoglycoside levels that are &gt;5 ug/mL for gentamicin and tobramycin and &gt;20 ug/ml for amikacin are less likely to die from gram-negative bacteraemia. Moore et al reported a 2.4% mortality rate in adults who achieved 1-hour post-infusion gentamicin or tobramycin peak concentrations above 5 μg/mL. Mortality rate increased to 20.9% for patients failing to achieve peak concentrations above 5 μg/mL within 24–48 hours of starting therapy. </w:t>
            </w:r>
            <w:r w:rsidRPr="00F15991">
              <w:rPr>
                <w:rFonts w:asciiTheme="minorHAnsi" w:hAnsiTheme="minorHAnsi" w:cstheme="minorHAnsi"/>
                <w:noProof/>
                <w:sz w:val="16"/>
                <w:szCs w:val="16"/>
                <w:lang w:val="en-AU"/>
              </w:rPr>
              <w:t>(19, 20)</w:t>
            </w:r>
          </w:p>
          <w:p w:rsidRPr="00F15991" w:rsidR="00841634" w:rsidP="00FE4186" w:rsidRDefault="00841634" w14:paraId="0FC7F78C"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b/>
                <w:sz w:val="16"/>
                <w:szCs w:val="16"/>
                <w:u w:val="single"/>
                <w:lang w:val="en-AU"/>
              </w:rPr>
              <w:t>Therapeutic hypothermia (TH):</w:t>
            </w:r>
            <w:r w:rsidRPr="00F15991">
              <w:rPr>
                <w:rFonts w:asciiTheme="minorHAnsi" w:hAnsiTheme="minorHAnsi" w:cstheme="minorHAnsi"/>
                <w:sz w:val="16"/>
                <w:szCs w:val="16"/>
                <w:lang w:val="en-AU"/>
              </w:rPr>
              <w:t xml:space="preserve"> Gentamicin clearance is decreased in neonates receiving hypothermia treatment. Modified gentamicin dosing regimens are required to avoid potential toxicity related to higher concentrations.</w:t>
            </w:r>
            <w:r w:rsidRPr="00F15991">
              <w:rPr>
                <w:rFonts w:asciiTheme="minorHAnsi" w:hAnsiTheme="minorHAnsi" w:cstheme="minorHAnsi"/>
                <w:noProof/>
                <w:sz w:val="16"/>
                <w:szCs w:val="16"/>
                <w:lang w:val="en-AU"/>
              </w:rPr>
              <w:t>(13)</w:t>
            </w:r>
          </w:p>
          <w:p w:rsidRPr="00F15991" w:rsidR="00841634" w:rsidP="00FE4186" w:rsidRDefault="00841634" w14:paraId="0570673E"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b/>
                <w:sz w:val="16"/>
                <w:szCs w:val="16"/>
                <w:u w:val="single"/>
                <w:lang w:val="en-AU"/>
              </w:rPr>
              <w:t>ECMO</w:t>
            </w:r>
            <w:r w:rsidRPr="00F15991">
              <w:rPr>
                <w:rFonts w:asciiTheme="minorHAnsi" w:hAnsiTheme="minorHAnsi" w:cstheme="minorHAnsi"/>
                <w:sz w:val="16"/>
                <w:szCs w:val="16"/>
                <w:lang w:val="en-AU"/>
              </w:rPr>
              <w:t xml:space="preserve">: During ECMO, gentamicin has an increased volume of distribution (Vd), and decreased clearance (Cl), leading to a prolonged elimination half-life. The renal dysfunction, which is a common multifactorial condition during ECMO, can be considered as the main determinant of the prolonged elimination half-life of gentamicin. Given the concentration dependent antimicrobial activity of aminoglycosides, it is recommended to perform therapeutic drug monitoring (TDM) to ensure adequate antimicrobial exposure. </w:t>
            </w:r>
            <w:r w:rsidRPr="00F15991">
              <w:rPr>
                <w:rFonts w:asciiTheme="minorHAnsi" w:hAnsiTheme="minorHAnsi" w:cstheme="minorHAnsi"/>
                <w:noProof/>
                <w:sz w:val="16"/>
                <w:szCs w:val="16"/>
                <w:lang w:val="en-AU"/>
              </w:rPr>
              <w:t>(14)</w:t>
            </w:r>
            <w:r w:rsidRPr="00F15991">
              <w:rPr>
                <w:rFonts w:asciiTheme="minorHAnsi" w:hAnsiTheme="minorHAnsi" w:cstheme="minorHAnsi"/>
                <w:sz w:val="16"/>
                <w:szCs w:val="16"/>
                <w:lang w:val="en-AU"/>
              </w:rPr>
              <w:t xml:space="preserve"> </w:t>
            </w:r>
          </w:p>
          <w:p w:rsidRPr="00F15991" w:rsidR="00841634" w:rsidP="00FE4186" w:rsidRDefault="00841634" w14:paraId="44355D89"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b/>
                <w:sz w:val="16"/>
                <w:szCs w:val="16"/>
                <w:u w:val="single"/>
                <w:lang w:val="en-AU"/>
              </w:rPr>
              <w:t>Cyclo-oxygenase inhibitors</w:t>
            </w:r>
            <w:r w:rsidRPr="00F15991">
              <w:rPr>
                <w:rFonts w:asciiTheme="minorHAnsi" w:hAnsiTheme="minorHAnsi" w:cstheme="minorHAnsi"/>
                <w:b/>
                <w:sz w:val="16"/>
                <w:szCs w:val="16"/>
                <w:lang w:val="en-AU"/>
              </w:rPr>
              <w:t xml:space="preserve">: </w:t>
            </w:r>
            <w:r w:rsidRPr="00F15991">
              <w:rPr>
                <w:rFonts w:asciiTheme="minorHAnsi" w:hAnsiTheme="minorHAnsi" w:cstheme="minorHAnsi"/>
                <w:sz w:val="16"/>
                <w:szCs w:val="16"/>
                <w:lang w:val="en-AU"/>
              </w:rPr>
              <w:t xml:space="preserve">Renal drug clearance of aminoglycosides is lower in infants on cyclo-oxygenase inhibitors. </w:t>
            </w:r>
            <w:r w:rsidRPr="00F15991">
              <w:rPr>
                <w:rFonts w:asciiTheme="minorHAnsi" w:hAnsiTheme="minorHAnsi" w:cstheme="minorHAnsi"/>
                <w:noProof/>
                <w:sz w:val="16"/>
                <w:szCs w:val="16"/>
                <w:lang w:val="en-AU"/>
              </w:rPr>
              <w:t>(6-8)</w:t>
            </w:r>
            <w:r w:rsidRPr="00F15991">
              <w:rPr>
                <w:rFonts w:asciiTheme="minorHAnsi" w:hAnsiTheme="minorHAnsi" w:cstheme="minorHAnsi"/>
                <w:sz w:val="16"/>
                <w:szCs w:val="16"/>
                <w:lang w:val="en-AU"/>
              </w:rPr>
              <w:t xml:space="preserve"> </w:t>
            </w:r>
          </w:p>
          <w:p w:rsidRPr="00F15991" w:rsidR="00841634" w:rsidP="00FE4186" w:rsidRDefault="00841634" w14:paraId="4E522A75" w14:textId="77777777">
            <w:pPr>
              <w:pStyle w:val="BodyText"/>
              <w:tabs>
                <w:tab w:val="left" w:pos="1168"/>
              </w:tabs>
              <w:rPr>
                <w:rFonts w:asciiTheme="minorHAnsi" w:hAnsiTheme="minorHAnsi" w:cstheme="minorHAnsi"/>
                <w:sz w:val="16"/>
                <w:szCs w:val="16"/>
                <w:lang w:val="en-AU"/>
              </w:rPr>
            </w:pPr>
          </w:p>
          <w:p w:rsidRPr="00F15991" w:rsidR="00841634" w:rsidP="00FE4186" w:rsidRDefault="00841634" w14:paraId="4133B49A"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Safety</w:t>
            </w:r>
          </w:p>
          <w:p w:rsidRPr="00F15991" w:rsidR="00841634" w:rsidP="00FE4186" w:rsidRDefault="00841634" w14:paraId="77A45993" w14:textId="77777777">
            <w:pPr>
              <w:pStyle w:val="BodyText"/>
              <w:tabs>
                <w:tab w:val="left" w:pos="1168"/>
              </w:tabs>
              <w:rPr>
                <w:rFonts w:asciiTheme="minorHAnsi" w:hAnsiTheme="minorHAnsi" w:cstheme="minorHAnsi"/>
                <w:sz w:val="16"/>
                <w:szCs w:val="16"/>
              </w:rPr>
            </w:pPr>
            <w:r w:rsidRPr="00F15991">
              <w:rPr>
                <w:rFonts w:asciiTheme="minorHAnsi" w:hAnsiTheme="minorHAnsi" w:cstheme="minorHAnsi"/>
                <w:sz w:val="16"/>
                <w:szCs w:val="16"/>
                <w:lang w:val="en-AU"/>
              </w:rPr>
              <w:t xml:space="preserve">Ototoxicity: There is no clear association between peak or trough levels and ototoxicity in neonates. </w:t>
            </w:r>
            <w:r w:rsidRPr="00F15991">
              <w:rPr>
                <w:rFonts w:asciiTheme="minorHAnsi" w:hAnsiTheme="minorHAnsi" w:cstheme="minorHAnsi"/>
                <w:noProof/>
                <w:sz w:val="16"/>
                <w:szCs w:val="16"/>
                <w:lang w:val="en-AU"/>
              </w:rPr>
              <w:t>(21-23)</w:t>
            </w:r>
            <w:r w:rsidRPr="00F15991">
              <w:rPr>
                <w:rFonts w:asciiTheme="minorHAnsi" w:hAnsiTheme="minorHAnsi" w:cstheme="minorHAnsi"/>
                <w:sz w:val="16"/>
                <w:szCs w:val="16"/>
                <w:lang w:val="en-AU"/>
              </w:rPr>
              <w:t xml:space="preserve"> The chance of gentamicin ototoxicity is reported to be greater in those who receive the drug for a longer duration.</w:t>
            </w:r>
            <w:r w:rsidRPr="00F15991">
              <w:rPr>
                <w:rFonts w:asciiTheme="minorHAnsi" w:hAnsiTheme="minorHAnsi" w:cstheme="minorHAnsi"/>
                <w:noProof/>
                <w:sz w:val="16"/>
                <w:szCs w:val="16"/>
                <w:lang w:val="en-AU"/>
              </w:rPr>
              <w:t>(21)</w:t>
            </w:r>
            <w:r w:rsidRPr="00F15991">
              <w:rPr>
                <w:rFonts w:asciiTheme="minorHAnsi" w:hAnsiTheme="minorHAnsi" w:cstheme="minorHAnsi"/>
                <w:sz w:val="16"/>
                <w:szCs w:val="16"/>
              </w:rPr>
              <w:t xml:space="preserve"> </w:t>
            </w:r>
          </w:p>
          <w:p w:rsidRPr="00F15991" w:rsidR="00841634" w:rsidP="00FE4186" w:rsidRDefault="00841634" w14:paraId="770D503D"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Nephrotoxicity: Nephrotoxicity does not seem to be related to peak or trough levels and more related to drug concentration and longer duration.</w:t>
            </w:r>
            <w:r w:rsidRPr="00F15991">
              <w:rPr>
                <w:rFonts w:asciiTheme="minorHAnsi" w:hAnsiTheme="minorHAnsi" w:cstheme="minorHAnsi"/>
                <w:noProof/>
                <w:sz w:val="16"/>
                <w:szCs w:val="16"/>
                <w:lang w:val="en-AU"/>
              </w:rPr>
              <w:t>(24)</w:t>
            </w:r>
            <w:r w:rsidRPr="00F15991">
              <w:rPr>
                <w:rFonts w:asciiTheme="minorHAnsi" w:hAnsiTheme="minorHAnsi" w:cstheme="minorHAnsi"/>
                <w:sz w:val="16"/>
                <w:szCs w:val="16"/>
                <w:lang w:val="en-AU"/>
              </w:rPr>
              <w:t xml:space="preserve"> Among neonates with PDA and receiving gentamicin, non-steroid anti-inflammatory drugs (ibuprofen, indomethacin) therapy increases the risk of acute kidney injury.</w:t>
            </w:r>
            <w:r w:rsidRPr="00F15991">
              <w:rPr>
                <w:rFonts w:asciiTheme="minorHAnsi" w:hAnsiTheme="minorHAnsi" w:cstheme="minorHAnsi"/>
                <w:noProof/>
                <w:sz w:val="16"/>
                <w:szCs w:val="16"/>
                <w:lang w:val="en-AU"/>
              </w:rPr>
              <w:t>(25)</w:t>
            </w:r>
          </w:p>
          <w:p w:rsidRPr="00F15991" w:rsidR="00841634" w:rsidP="00FE4186" w:rsidRDefault="00841634" w14:paraId="54CC2D78"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MT-RNR1 genotype: MT-RNR1 gene mutation is one of the common causes of hereditary hearing loss, particularly in Asian population. In individuals who carry mutations in MT-RNR1 gene, a single dose of gentamicin can result in hearing loss.</w:t>
            </w:r>
            <w:r w:rsidRPr="00F15991">
              <w:rPr>
                <w:rFonts w:asciiTheme="minorHAnsi" w:hAnsiTheme="minorHAnsi" w:cstheme="minorHAnsi"/>
                <w:noProof/>
                <w:sz w:val="16"/>
                <w:szCs w:val="16"/>
                <w:lang w:val="en-AU"/>
              </w:rPr>
              <w:t>(26, 27)</w:t>
            </w:r>
            <w:r w:rsidRPr="00F15991">
              <w:rPr>
                <w:rFonts w:asciiTheme="minorHAnsi" w:hAnsiTheme="minorHAnsi" w:cstheme="minorHAnsi"/>
                <w:sz w:val="16"/>
                <w:szCs w:val="16"/>
                <w:lang w:val="en-AU"/>
              </w:rPr>
              <w:t xml:space="preserve"> </w:t>
            </w:r>
          </w:p>
          <w:p w:rsidRPr="00F15991" w:rsidR="00841634" w:rsidP="00FE4186" w:rsidRDefault="00841634" w14:paraId="37F9316E"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Intraventricular antibiotics: In infants with meningitis and ventriculitis, intraventricular antibiotics in combination resulted in a three‐fold increase in mortality compared to standard treatment with intravenous antibiotics alone and should be avoided.</w:t>
            </w:r>
            <w:r w:rsidRPr="00F15991">
              <w:rPr>
                <w:rFonts w:asciiTheme="minorHAnsi" w:hAnsiTheme="minorHAnsi" w:cstheme="minorHAnsi"/>
                <w:noProof/>
                <w:sz w:val="16"/>
                <w:szCs w:val="16"/>
                <w:lang w:val="en-AU"/>
              </w:rPr>
              <w:t>(28)</w:t>
            </w:r>
            <w:r w:rsidRPr="00F15991">
              <w:rPr>
                <w:rFonts w:asciiTheme="minorHAnsi" w:hAnsiTheme="minorHAnsi" w:cstheme="minorHAnsi"/>
                <w:sz w:val="16"/>
                <w:szCs w:val="16"/>
                <w:lang w:val="en-AU"/>
              </w:rPr>
              <w:t xml:space="preserve"> </w:t>
            </w:r>
          </w:p>
          <w:p w:rsidRPr="00F15991" w:rsidR="00841634" w:rsidP="00FE4186" w:rsidRDefault="00841634" w14:paraId="6DEA24D2" w14:textId="77777777">
            <w:pPr>
              <w:pStyle w:val="BodyText"/>
              <w:tabs>
                <w:tab w:val="left" w:pos="1168"/>
              </w:tabs>
              <w:rPr>
                <w:rFonts w:asciiTheme="minorHAnsi" w:hAnsiTheme="minorHAnsi" w:cstheme="minorHAnsi"/>
                <w:b/>
                <w:sz w:val="16"/>
                <w:szCs w:val="16"/>
                <w:lang w:val="en-AU"/>
              </w:rPr>
            </w:pPr>
          </w:p>
          <w:p w:rsidRPr="00F15991" w:rsidR="00841634" w:rsidP="00FE4186" w:rsidRDefault="00841634" w14:paraId="4A9380A7"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Pharmacokinetics</w:t>
            </w:r>
          </w:p>
          <w:p w:rsidRPr="00F15991" w:rsidR="00841634" w:rsidP="00FE4186" w:rsidRDefault="00841634" w14:paraId="17BB63F5"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Aminoglycosides display concentration-dependent killing, suggesting higher peaks provide greater efficacy.</w:t>
            </w:r>
            <w:r w:rsidRPr="00F15991">
              <w:rPr>
                <w:rFonts w:asciiTheme="minorHAnsi" w:hAnsiTheme="minorHAnsi" w:cstheme="minorHAnsi"/>
                <w:noProof/>
                <w:sz w:val="16"/>
                <w:szCs w:val="16"/>
                <w:lang w:val="en-AU"/>
              </w:rPr>
              <w:t>(29, 30)</w:t>
            </w:r>
            <w:r w:rsidRPr="00F15991">
              <w:rPr>
                <w:rFonts w:asciiTheme="minorHAnsi" w:hAnsiTheme="minorHAnsi" w:cstheme="minorHAnsi"/>
                <w:sz w:val="16"/>
                <w:szCs w:val="16"/>
                <w:lang w:val="en-AU"/>
              </w:rPr>
              <w:t xml:space="preserve"> While a peak aminoglycoside concentration to minimum inhibitory concentration (MIC) ratio of 8–10:1 is considered ideal, based on the usual MICs of Escherichia coli (range 0.25–1 mg/L) a peak of at least 5 mg/L has a high likelihood of being effective.</w:t>
            </w:r>
            <w:r w:rsidRPr="00F15991">
              <w:rPr>
                <w:rFonts w:asciiTheme="minorHAnsi" w:hAnsiTheme="minorHAnsi" w:cstheme="minorHAnsi"/>
                <w:noProof/>
                <w:sz w:val="16"/>
                <w:szCs w:val="16"/>
                <w:lang w:val="en-AU"/>
              </w:rPr>
              <w:t>(4, 30)</w:t>
            </w:r>
            <w:r w:rsidRPr="00F15991">
              <w:rPr>
                <w:rFonts w:asciiTheme="minorHAnsi" w:hAnsiTheme="minorHAnsi" w:cstheme="minorHAnsi"/>
                <w:sz w:val="16"/>
                <w:szCs w:val="16"/>
                <w:lang w:val="en-AU"/>
              </w:rPr>
              <w:t xml:space="preserve"> Aminoglycosides display a post-antibiotic effect whereby bacterial growth is suppressed despite negligible drug concentrations.</w:t>
            </w:r>
            <w:r w:rsidRPr="00F15991">
              <w:rPr>
                <w:rFonts w:asciiTheme="minorHAnsi" w:hAnsiTheme="minorHAnsi" w:cstheme="minorHAnsi"/>
                <w:noProof/>
                <w:sz w:val="16"/>
                <w:szCs w:val="16"/>
                <w:lang w:val="en-AU"/>
              </w:rPr>
              <w:t>(31)</w:t>
            </w:r>
            <w:r w:rsidRPr="00F15991">
              <w:rPr>
                <w:rFonts w:asciiTheme="minorHAnsi" w:hAnsiTheme="minorHAnsi" w:cstheme="minorHAnsi"/>
                <w:sz w:val="16"/>
                <w:szCs w:val="16"/>
                <w:lang w:val="en-AU"/>
              </w:rPr>
              <w:t xml:space="preserve"> Aminoglycosides have poor CNS penetration when administered intravenously.</w:t>
            </w:r>
            <w:r w:rsidRPr="00F15991">
              <w:rPr>
                <w:rFonts w:asciiTheme="minorHAnsi" w:hAnsiTheme="minorHAnsi" w:cstheme="minorHAnsi"/>
                <w:noProof/>
                <w:sz w:val="16"/>
                <w:szCs w:val="16"/>
                <w:lang w:val="en-AU"/>
              </w:rPr>
              <w:t>(32)</w:t>
            </w:r>
            <w:r w:rsidRPr="00F15991">
              <w:rPr>
                <w:rFonts w:asciiTheme="minorHAnsi" w:hAnsiTheme="minorHAnsi" w:cstheme="minorHAnsi"/>
                <w:sz w:val="16"/>
                <w:szCs w:val="16"/>
                <w:lang w:val="en-AU"/>
              </w:rPr>
              <w:t xml:space="preserve">  </w:t>
            </w:r>
          </w:p>
        </w:tc>
      </w:tr>
      <w:tr w:rsidRPr="008F114E" w:rsidR="00841634" w:rsidTr="00244C61" w14:paraId="7DEA3AF1" w14:textId="77777777">
        <w:trPr>
          <w:trHeight w:val="108"/>
        </w:trPr>
        <w:tc>
          <w:tcPr>
            <w:tcW w:w="1730" w:type="dxa"/>
          </w:tcPr>
          <w:p w:rsidRPr="008F114E" w:rsidR="00841634" w:rsidP="00FE4186" w:rsidRDefault="00841634" w14:paraId="29D853EB" w14:textId="77777777">
            <w:pPr>
              <w:pStyle w:val="BodyText"/>
              <w:rPr>
                <w:rFonts w:asciiTheme="minorHAnsi" w:hAnsiTheme="minorHAnsi" w:cstheme="minorHAnsi"/>
                <w:b/>
                <w:bCs/>
                <w:sz w:val="20"/>
                <w:lang w:val="en-AU"/>
              </w:rPr>
            </w:pPr>
            <w:r w:rsidRPr="008F114E">
              <w:rPr>
                <w:rFonts w:asciiTheme="minorHAnsi" w:hAnsiTheme="minorHAnsi" w:cstheme="minorHAnsi"/>
                <w:b/>
                <w:bCs/>
                <w:sz w:val="20"/>
                <w:lang w:val="en-AU"/>
              </w:rPr>
              <w:t>Practice points</w:t>
            </w:r>
          </w:p>
        </w:tc>
        <w:tc>
          <w:tcPr>
            <w:tcW w:w="8505" w:type="dxa"/>
          </w:tcPr>
          <w:p w:rsidRPr="00F15991" w:rsidR="00841634" w:rsidP="00FE4186" w:rsidRDefault="00841634" w14:paraId="6B181777"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Dose</w:t>
            </w:r>
          </w:p>
          <w:p w:rsidRPr="00F15991" w:rsidR="00841634" w:rsidP="00FE4186" w:rsidRDefault="00841634" w14:paraId="164919CF"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lastRenderedPageBreak/>
              <w:t>There is insufficient evidence whether a 'once a day' regimen of gentamicin is optimal in treating proven neonatal sepsis, however, pharmacokinetic data suggests 'once a day' gentamicin regimens are superior to a 'multiple doses a day' regimens.</w:t>
            </w:r>
            <w:r w:rsidRPr="00F15991">
              <w:rPr>
                <w:rFonts w:asciiTheme="minorHAnsi" w:hAnsiTheme="minorHAnsi" w:cstheme="minorHAnsi"/>
                <w:noProof/>
                <w:sz w:val="16"/>
                <w:szCs w:val="16"/>
                <w:lang w:val="en-AU"/>
              </w:rPr>
              <w:t>(17)</w:t>
            </w:r>
            <w:r w:rsidRPr="00F15991">
              <w:rPr>
                <w:rFonts w:asciiTheme="minorHAnsi" w:hAnsiTheme="minorHAnsi" w:cstheme="minorHAnsi"/>
                <w:sz w:val="16"/>
                <w:szCs w:val="16"/>
                <w:lang w:val="en-AU"/>
              </w:rPr>
              <w:t xml:space="preserve"> (LOE I, GOR B)</w:t>
            </w:r>
          </w:p>
          <w:p w:rsidRPr="00F15991" w:rsidR="00841634" w:rsidP="00FE4186" w:rsidRDefault="00841634" w14:paraId="0D6FCB21"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sz w:val="16"/>
                <w:szCs w:val="16"/>
                <w:lang w:val="en-AU"/>
              </w:rPr>
              <w:t>The recommended dose regimen in this formulary is a pragmatic adaptation of the dosing used in 4 prospective observational studies.</w:t>
            </w:r>
            <w:r w:rsidRPr="00F15991">
              <w:rPr>
                <w:rFonts w:asciiTheme="minorHAnsi" w:hAnsiTheme="minorHAnsi" w:cstheme="minorHAnsi"/>
                <w:noProof/>
                <w:sz w:val="16"/>
                <w:szCs w:val="16"/>
                <w:lang w:val="en-AU"/>
              </w:rPr>
              <w:t>(2-5)</w:t>
            </w:r>
            <w:r w:rsidRPr="00F15991">
              <w:rPr>
                <w:rFonts w:asciiTheme="minorHAnsi" w:hAnsiTheme="minorHAnsi" w:cstheme="minorHAnsi"/>
                <w:sz w:val="16"/>
                <w:szCs w:val="16"/>
                <w:lang w:val="en-AU"/>
              </w:rPr>
              <w:t xml:space="preserve"> (LOE III-3, GOR B)</w:t>
            </w:r>
          </w:p>
          <w:p w:rsidRPr="00F15991" w:rsidR="00841634" w:rsidP="00FE4186" w:rsidRDefault="00841634" w14:paraId="14D07BEB"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b/>
                <w:sz w:val="16"/>
                <w:szCs w:val="16"/>
                <w:lang w:val="en-AU"/>
              </w:rPr>
              <w:t>Dose adjustment</w:t>
            </w:r>
          </w:p>
          <w:p w:rsidRPr="00F15991" w:rsidR="00841634" w:rsidP="00FE4186" w:rsidRDefault="00841634" w14:paraId="1D2EB26D"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sz w:val="16"/>
                <w:szCs w:val="16"/>
                <w:lang w:val="en-AU"/>
              </w:rPr>
              <w:t>An increased dosing interval is recommended in therapeutic hypothermia.</w:t>
            </w:r>
            <w:r w:rsidRPr="00F15991">
              <w:rPr>
                <w:rFonts w:asciiTheme="minorHAnsi" w:hAnsiTheme="minorHAnsi" w:cstheme="minorHAnsi"/>
                <w:noProof/>
                <w:sz w:val="16"/>
                <w:szCs w:val="16"/>
                <w:lang w:val="en-AU"/>
              </w:rPr>
              <w:t>(9-13)</w:t>
            </w:r>
            <w:r w:rsidRPr="00F15991">
              <w:rPr>
                <w:rFonts w:asciiTheme="minorHAnsi" w:hAnsiTheme="minorHAnsi" w:cstheme="minorHAnsi"/>
                <w:sz w:val="16"/>
                <w:szCs w:val="16"/>
                <w:lang w:val="en-AU"/>
              </w:rPr>
              <w:t xml:space="preserve"> (LOE IV, GOR B)</w:t>
            </w:r>
          </w:p>
          <w:p w:rsidRPr="00F15991" w:rsidR="00841634" w:rsidP="00FE4186" w:rsidRDefault="00841634" w14:paraId="237FC116"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An increased dosing interval is recommended in infants on cyclo-oxygenase inhibitors.</w:t>
            </w:r>
            <w:r w:rsidRPr="00F15991">
              <w:rPr>
                <w:rFonts w:asciiTheme="minorHAnsi" w:hAnsiTheme="minorHAnsi" w:cstheme="minorHAnsi"/>
                <w:noProof/>
                <w:sz w:val="16"/>
                <w:szCs w:val="16"/>
                <w:lang w:val="en-AU"/>
              </w:rPr>
              <w:t>(6)</w:t>
            </w:r>
            <w:r w:rsidRPr="00F15991">
              <w:rPr>
                <w:rFonts w:asciiTheme="minorHAnsi" w:hAnsiTheme="minorHAnsi" w:cstheme="minorHAnsi"/>
                <w:sz w:val="16"/>
                <w:szCs w:val="16"/>
                <w:lang w:val="en-AU"/>
              </w:rPr>
              <w:t xml:space="preserve"> (LOE IV, GOR B)</w:t>
            </w:r>
          </w:p>
          <w:p w:rsidRPr="00F15991" w:rsidR="00841634" w:rsidP="00FE4186" w:rsidRDefault="00841634" w14:paraId="771F3963"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Monitoring</w:t>
            </w:r>
          </w:p>
          <w:p w:rsidRPr="00F15991" w:rsidR="00841634" w:rsidP="00FE4186" w:rsidRDefault="00841634" w14:paraId="03E9875A"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The evidence suggests a serum gentamicin concentration performed 22 hours after the 1st dose is useful to guide dosing intervals. </w:t>
            </w:r>
            <w:r w:rsidRPr="00F15991">
              <w:rPr>
                <w:rFonts w:asciiTheme="minorHAnsi" w:hAnsiTheme="minorHAnsi" w:cstheme="minorHAnsi"/>
                <w:noProof/>
                <w:sz w:val="16"/>
                <w:szCs w:val="16"/>
                <w:lang w:val="en-AU"/>
              </w:rPr>
              <w:t>(2-4)</w:t>
            </w:r>
            <w:r w:rsidRPr="00F15991">
              <w:rPr>
                <w:rFonts w:asciiTheme="minorHAnsi" w:hAnsiTheme="minorHAnsi" w:cstheme="minorHAnsi"/>
                <w:sz w:val="16"/>
                <w:szCs w:val="16"/>
                <w:lang w:val="en-AU"/>
              </w:rPr>
              <w:t>(LOE III-3, GOR B). However, in daily practice, gentamicin is most often discontinued within 36-48 hours of commencement (once the neonate is deemed no longer at risk of sepsis and septic screen remain negative). Therefore, measurement of drug concentrations is recommended only after the 2nd dose to limit the burden of blood sampling. (ANMF consensus recommendation).</w:t>
            </w:r>
          </w:p>
          <w:p w:rsidRPr="00F15991" w:rsidR="00841634" w:rsidP="00FE4186" w:rsidRDefault="00841634" w14:paraId="30FA28E4"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Subsequent concentrations are not routinely required. </w:t>
            </w:r>
            <w:r w:rsidRPr="00F15991">
              <w:rPr>
                <w:rFonts w:asciiTheme="minorHAnsi" w:hAnsiTheme="minorHAnsi" w:cstheme="minorHAnsi"/>
                <w:noProof/>
                <w:sz w:val="16"/>
                <w:szCs w:val="16"/>
                <w:lang w:val="en-AU"/>
              </w:rPr>
              <w:t>(2-4)</w:t>
            </w:r>
            <w:r w:rsidRPr="00F15991">
              <w:rPr>
                <w:rFonts w:asciiTheme="minorHAnsi" w:hAnsiTheme="minorHAnsi" w:cstheme="minorHAnsi"/>
                <w:sz w:val="16"/>
                <w:szCs w:val="16"/>
                <w:lang w:val="en-AU"/>
              </w:rPr>
              <w:t xml:space="preserve"> (LOE III-3, GOR B)</w:t>
            </w:r>
          </w:p>
          <w:p w:rsidRPr="00F15991" w:rsidR="00841634" w:rsidP="00FE4186" w:rsidRDefault="00841634" w14:paraId="07FF7837"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Routine peak concentrations are not necessary as high dose extended interval dosing regimens are able to achieve target peak concentrations in the majority of infants </w:t>
            </w:r>
            <w:r w:rsidRPr="00F15991">
              <w:rPr>
                <w:rFonts w:asciiTheme="minorHAnsi" w:hAnsiTheme="minorHAnsi" w:cstheme="minorHAnsi"/>
                <w:noProof/>
                <w:sz w:val="16"/>
                <w:szCs w:val="16"/>
                <w:lang w:val="en-AU"/>
              </w:rPr>
              <w:t>(2-4, 17, 18)</w:t>
            </w:r>
            <w:r w:rsidRPr="00F15991">
              <w:rPr>
                <w:rFonts w:asciiTheme="minorHAnsi" w:hAnsiTheme="minorHAnsi" w:cstheme="minorHAnsi"/>
                <w:sz w:val="16"/>
                <w:szCs w:val="16"/>
                <w:lang w:val="en-AU"/>
              </w:rPr>
              <w:t xml:space="preserve"> (LOE III-3, GOR B)</w:t>
            </w:r>
          </w:p>
          <w:p w:rsidRPr="00F15991" w:rsidR="00841634" w:rsidP="00FE4186" w:rsidRDefault="00841634" w14:paraId="6EB39119"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Consider performing peak concentrations if there is poor clinical response in gram negative infections, oedema or macrosomia.</w:t>
            </w:r>
            <w:r w:rsidRPr="00F15991">
              <w:rPr>
                <w:rFonts w:asciiTheme="minorHAnsi" w:hAnsiTheme="minorHAnsi" w:cstheme="minorHAnsi"/>
                <w:noProof/>
                <w:sz w:val="16"/>
                <w:szCs w:val="16"/>
                <w:lang w:val="en-AU"/>
              </w:rPr>
              <w:t>(5)</w:t>
            </w:r>
            <w:r w:rsidRPr="00F15991">
              <w:rPr>
                <w:rFonts w:asciiTheme="minorHAnsi" w:hAnsiTheme="minorHAnsi" w:cstheme="minorHAnsi"/>
                <w:sz w:val="16"/>
                <w:szCs w:val="16"/>
                <w:lang w:val="en-AU"/>
              </w:rPr>
              <w:t xml:space="preserve"> (LOE IV, GOR C).</w:t>
            </w:r>
          </w:p>
          <w:p w:rsidRPr="00F15991" w:rsidR="00841634" w:rsidP="00FE4186" w:rsidRDefault="00841634" w14:paraId="79D251FB"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A peak concentration, if required, can be performed after the 2nd or 3rd dose.</w:t>
            </w:r>
            <w:r w:rsidRPr="00F15991">
              <w:rPr>
                <w:rFonts w:asciiTheme="minorHAnsi" w:hAnsiTheme="minorHAnsi" w:cstheme="minorHAnsi"/>
                <w:sz w:val="16"/>
                <w:szCs w:val="16"/>
              </w:rPr>
              <w:t xml:space="preserve"> </w:t>
            </w:r>
            <w:r w:rsidRPr="00F15991">
              <w:rPr>
                <w:rFonts w:asciiTheme="minorHAnsi" w:hAnsiTheme="minorHAnsi" w:cstheme="minorHAnsi"/>
                <w:noProof/>
                <w:sz w:val="16"/>
                <w:szCs w:val="16"/>
              </w:rPr>
              <w:t>(29)</w:t>
            </w:r>
          </w:p>
          <w:p w:rsidRPr="00F15991" w:rsidR="00841634" w:rsidP="00FE4186" w:rsidRDefault="00841634" w14:paraId="14A00B96"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Target peak concentrations of 5─12 mg/L. </w:t>
            </w:r>
            <w:r w:rsidRPr="00F15991">
              <w:rPr>
                <w:rFonts w:asciiTheme="minorHAnsi" w:hAnsiTheme="minorHAnsi" w:cstheme="minorHAnsi"/>
                <w:noProof/>
                <w:sz w:val="16"/>
                <w:szCs w:val="16"/>
                <w:lang w:val="en-AU"/>
              </w:rPr>
              <w:t>(17-19, 29)</w:t>
            </w:r>
            <w:r w:rsidRPr="00F15991">
              <w:rPr>
                <w:rFonts w:asciiTheme="minorHAnsi" w:hAnsiTheme="minorHAnsi" w:cstheme="minorHAnsi"/>
                <w:sz w:val="16"/>
                <w:szCs w:val="16"/>
                <w:lang w:val="en-AU"/>
              </w:rPr>
              <w:t xml:space="preserve"> (LOE IV, GOR C)</w:t>
            </w:r>
          </w:p>
          <w:p w:rsidRPr="00F15991" w:rsidR="00841634" w:rsidP="00FE4186" w:rsidRDefault="00841634" w14:paraId="5AE947A4"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Target trough concentrations of &lt; 2 mg/L to reduce risk of ototoxicity and nephrotoxicity. </w:t>
            </w:r>
            <w:r w:rsidRPr="00F15991">
              <w:rPr>
                <w:rFonts w:asciiTheme="minorHAnsi" w:hAnsiTheme="minorHAnsi" w:cstheme="minorHAnsi"/>
                <w:noProof/>
                <w:sz w:val="16"/>
                <w:szCs w:val="16"/>
                <w:lang w:val="en-AU"/>
              </w:rPr>
              <w:t>(33, 34)</w:t>
            </w:r>
            <w:r w:rsidRPr="00F15991">
              <w:rPr>
                <w:rFonts w:asciiTheme="minorHAnsi" w:hAnsiTheme="minorHAnsi" w:cstheme="minorHAnsi"/>
                <w:sz w:val="16"/>
                <w:szCs w:val="16"/>
                <w:lang w:val="en-AU"/>
              </w:rPr>
              <w:t xml:space="preserve"> (LOE IV, GOR C - adult) </w:t>
            </w:r>
          </w:p>
          <w:p w:rsidRPr="00F15991" w:rsidR="00841634" w:rsidP="00FE4186" w:rsidRDefault="00841634" w14:paraId="426E49BA"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Duration of therapy ≥ 7 days – Perform trough concentration prior to dose on day 7 and then weekly thereafter. </w:t>
            </w:r>
            <w:r w:rsidRPr="00F15991">
              <w:rPr>
                <w:rFonts w:asciiTheme="minorHAnsi" w:hAnsiTheme="minorHAnsi" w:cstheme="minorHAnsi"/>
                <w:noProof/>
                <w:sz w:val="16"/>
                <w:szCs w:val="16"/>
                <w:lang w:val="en-AU"/>
              </w:rPr>
              <w:t>(4, 35)</w:t>
            </w:r>
            <w:r w:rsidRPr="00F15991">
              <w:rPr>
                <w:rFonts w:asciiTheme="minorHAnsi" w:hAnsiTheme="minorHAnsi" w:cstheme="minorHAnsi"/>
                <w:sz w:val="16"/>
                <w:szCs w:val="16"/>
                <w:lang w:val="en-AU"/>
              </w:rPr>
              <w:t xml:space="preserve"> (LOE IV, GOR B)</w:t>
            </w:r>
          </w:p>
          <w:p w:rsidRPr="00F15991" w:rsidR="00841634" w:rsidP="00FE4186" w:rsidRDefault="00841634" w14:paraId="1C0F34AC"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Perinatal hypoxia – Perform trough concentrations prior to every dose. </w:t>
            </w:r>
            <w:r w:rsidRPr="00F15991">
              <w:rPr>
                <w:rFonts w:asciiTheme="minorHAnsi" w:hAnsiTheme="minorHAnsi" w:cstheme="minorHAnsi"/>
                <w:noProof/>
                <w:sz w:val="16"/>
                <w:szCs w:val="16"/>
                <w:lang w:val="en-AU"/>
              </w:rPr>
              <w:t>(4, 35)</w:t>
            </w:r>
            <w:r w:rsidRPr="00F15991">
              <w:rPr>
                <w:rFonts w:asciiTheme="minorHAnsi" w:hAnsiTheme="minorHAnsi" w:cstheme="minorHAnsi"/>
                <w:sz w:val="16"/>
                <w:szCs w:val="16"/>
                <w:lang w:val="en-AU"/>
              </w:rPr>
              <w:t xml:space="preserve"> (LOE IV, GOR B)</w:t>
            </w:r>
          </w:p>
          <w:p w:rsidRPr="00F15991" w:rsidR="00841634" w:rsidP="00FE4186" w:rsidRDefault="00841634" w14:paraId="0E6464A2"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Renal impairment – Perform trough concentrations prior to every dose. </w:t>
            </w:r>
            <w:r w:rsidRPr="00F15991">
              <w:rPr>
                <w:rFonts w:asciiTheme="minorHAnsi" w:hAnsiTheme="minorHAnsi" w:cstheme="minorHAnsi"/>
                <w:noProof/>
                <w:sz w:val="16"/>
                <w:szCs w:val="16"/>
                <w:lang w:val="en-AU"/>
              </w:rPr>
              <w:t>(4, 35)</w:t>
            </w:r>
            <w:r w:rsidRPr="00F15991">
              <w:rPr>
                <w:rFonts w:asciiTheme="minorHAnsi" w:hAnsiTheme="minorHAnsi" w:cstheme="minorHAnsi"/>
                <w:sz w:val="16"/>
                <w:szCs w:val="16"/>
                <w:lang w:val="en-AU"/>
              </w:rPr>
              <w:t xml:space="preserve"> (LOE IV, GOR B)</w:t>
            </w:r>
          </w:p>
          <w:p w:rsidRPr="00F15991" w:rsidR="00841634" w:rsidP="00FE4186" w:rsidRDefault="00841634" w14:paraId="3C754C88"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 xml:space="preserve">Concomitant use of other nephrotoxic agents – Perform trough concentrations prior to every dose. </w:t>
            </w:r>
            <w:r w:rsidRPr="00F15991">
              <w:rPr>
                <w:rFonts w:asciiTheme="minorHAnsi" w:hAnsiTheme="minorHAnsi" w:cstheme="minorHAnsi"/>
                <w:noProof/>
                <w:sz w:val="16"/>
                <w:szCs w:val="16"/>
                <w:lang w:val="en-AU"/>
              </w:rPr>
              <w:t>(4, 35)</w:t>
            </w:r>
            <w:r w:rsidRPr="00F15991">
              <w:rPr>
                <w:rFonts w:asciiTheme="minorHAnsi" w:hAnsiTheme="minorHAnsi" w:cstheme="minorHAnsi"/>
                <w:sz w:val="16"/>
                <w:szCs w:val="16"/>
                <w:lang w:val="en-AU"/>
              </w:rPr>
              <w:t xml:space="preserve"> (LOE IV, GOR B)</w:t>
            </w:r>
          </w:p>
          <w:p w:rsidRPr="00F15991" w:rsidR="00841634" w:rsidP="00FE4186" w:rsidRDefault="00841634" w14:paraId="7B05C14A"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ECMO – Perform trough concentration before 2</w:t>
            </w:r>
            <w:r w:rsidRPr="00F15991">
              <w:rPr>
                <w:rFonts w:asciiTheme="minorHAnsi" w:hAnsiTheme="minorHAnsi" w:cstheme="minorHAnsi"/>
                <w:sz w:val="16"/>
                <w:szCs w:val="16"/>
                <w:vertAlign w:val="superscript"/>
                <w:lang w:val="en-AU"/>
              </w:rPr>
              <w:t>nd</w:t>
            </w:r>
            <w:r w:rsidRPr="00F15991">
              <w:rPr>
                <w:rFonts w:asciiTheme="minorHAnsi" w:hAnsiTheme="minorHAnsi" w:cstheme="minorHAnsi"/>
                <w:sz w:val="16"/>
                <w:szCs w:val="16"/>
                <w:lang w:val="en-AU"/>
              </w:rPr>
              <w:t xml:space="preserve"> dose.</w:t>
            </w:r>
            <w:r w:rsidRPr="00F15991">
              <w:rPr>
                <w:rFonts w:asciiTheme="minorHAnsi" w:hAnsiTheme="minorHAnsi" w:cstheme="minorHAnsi"/>
                <w:noProof/>
                <w:sz w:val="16"/>
                <w:szCs w:val="16"/>
                <w:lang w:val="en-AU"/>
              </w:rPr>
              <w:t>(14)</w:t>
            </w:r>
            <w:r w:rsidRPr="00F15991">
              <w:rPr>
                <w:rFonts w:asciiTheme="minorHAnsi" w:hAnsiTheme="minorHAnsi" w:cstheme="minorHAnsi"/>
                <w:sz w:val="16"/>
                <w:szCs w:val="16"/>
                <w:lang w:val="en-AU"/>
              </w:rPr>
              <w:t xml:space="preserve"> (LOE IV, GOR B)</w:t>
            </w:r>
          </w:p>
          <w:p w:rsidRPr="00F15991" w:rsidR="00841634" w:rsidP="00FE4186" w:rsidRDefault="00841634" w14:paraId="26D52374"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Route</w:t>
            </w:r>
          </w:p>
          <w:p w:rsidRPr="00F15991" w:rsidR="00841634" w:rsidP="00FE4186" w:rsidRDefault="00841634" w14:paraId="59BDDE73"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Intraventricular antibiotics are associated with increased mortality and should be avoided.</w:t>
            </w:r>
            <w:r w:rsidRPr="00F15991">
              <w:rPr>
                <w:rFonts w:asciiTheme="minorHAnsi" w:hAnsiTheme="minorHAnsi" w:cstheme="minorHAnsi"/>
                <w:noProof/>
                <w:sz w:val="16"/>
                <w:szCs w:val="16"/>
                <w:lang w:val="en-AU"/>
              </w:rPr>
              <w:t>(28)</w:t>
            </w:r>
            <w:r w:rsidRPr="00F15991">
              <w:rPr>
                <w:rFonts w:asciiTheme="minorHAnsi" w:hAnsiTheme="minorHAnsi" w:cstheme="minorHAnsi"/>
                <w:sz w:val="16"/>
                <w:szCs w:val="16"/>
                <w:lang w:val="en-AU"/>
              </w:rPr>
              <w:t xml:space="preserve"> (LOE II, GOR B)</w:t>
            </w:r>
          </w:p>
          <w:p w:rsidRPr="00F15991" w:rsidR="00841634" w:rsidP="00FE4186" w:rsidRDefault="00841634" w14:paraId="640BBC4A" w14:textId="77777777">
            <w:pPr>
              <w:pStyle w:val="BodyText"/>
              <w:tabs>
                <w:tab w:val="left" w:pos="1168"/>
              </w:tabs>
              <w:rPr>
                <w:rFonts w:asciiTheme="minorHAnsi" w:hAnsiTheme="minorHAnsi" w:cstheme="minorHAnsi"/>
                <w:b/>
                <w:sz w:val="16"/>
                <w:szCs w:val="16"/>
                <w:lang w:val="en-AU"/>
              </w:rPr>
            </w:pPr>
            <w:r w:rsidRPr="00F15991">
              <w:rPr>
                <w:rFonts w:asciiTheme="minorHAnsi" w:hAnsiTheme="minorHAnsi" w:cstheme="minorHAnsi"/>
                <w:b/>
                <w:sz w:val="16"/>
                <w:szCs w:val="16"/>
                <w:lang w:val="en-AU"/>
              </w:rPr>
              <w:t>General</w:t>
            </w:r>
          </w:p>
          <w:p w:rsidRPr="00F15991" w:rsidR="00841634" w:rsidP="00FE4186" w:rsidRDefault="00841634" w14:paraId="31434CE8" w14:textId="77777777">
            <w:pPr>
              <w:pStyle w:val="BodyText"/>
              <w:tabs>
                <w:tab w:val="left" w:pos="1168"/>
              </w:tabs>
              <w:rPr>
                <w:rFonts w:asciiTheme="minorHAnsi" w:hAnsiTheme="minorHAnsi" w:cstheme="minorHAnsi"/>
                <w:sz w:val="16"/>
                <w:szCs w:val="16"/>
                <w:lang w:val="en-AU"/>
              </w:rPr>
            </w:pPr>
            <w:r w:rsidRPr="00F15991">
              <w:rPr>
                <w:rFonts w:asciiTheme="minorHAnsi" w:hAnsiTheme="minorHAnsi" w:cstheme="minorHAnsi"/>
                <w:sz w:val="16"/>
                <w:szCs w:val="16"/>
                <w:lang w:val="en-AU"/>
              </w:rPr>
              <w:t>Aim to minimise aminoglycoside toxicity by (1) avoiding gentamicin to patients at elevated risk (i.e. on indomethacin, history of hypoxia and/or significant renal dysfunction), (2) minimising the duration of treatment and (3) prescribing a dose in a way that minimizes risk (i.e. EID with dose adjustment as necessary). (ANMF consensus recommendations)</w:t>
            </w:r>
          </w:p>
        </w:tc>
      </w:tr>
      <w:tr w:rsidRPr="008F114E" w:rsidR="00841634" w:rsidTr="00244C61" w14:paraId="0843BDB6" w14:textId="77777777">
        <w:trPr>
          <w:trHeight w:val="70"/>
        </w:trPr>
        <w:tc>
          <w:tcPr>
            <w:tcW w:w="1730" w:type="dxa"/>
          </w:tcPr>
          <w:p w:rsidRPr="008F114E" w:rsidR="00841634" w:rsidP="00FE4186" w:rsidRDefault="00841634" w14:paraId="1DE42783" w14:textId="77777777">
            <w:pPr>
              <w:pStyle w:val="BodyText"/>
              <w:rPr>
                <w:rFonts w:asciiTheme="minorHAnsi" w:hAnsiTheme="minorHAnsi" w:cstheme="minorHAnsi"/>
                <w:b/>
                <w:bCs/>
                <w:sz w:val="20"/>
                <w:lang w:val="en-AU"/>
              </w:rPr>
            </w:pPr>
            <w:r w:rsidRPr="008F114E">
              <w:rPr>
                <w:rFonts w:asciiTheme="minorHAnsi" w:hAnsiTheme="minorHAnsi" w:cstheme="minorHAnsi"/>
                <w:b/>
                <w:sz w:val="20"/>
                <w:lang w:val="en-AU"/>
              </w:rPr>
              <w:lastRenderedPageBreak/>
              <w:t>References</w:t>
            </w:r>
          </w:p>
        </w:tc>
        <w:tc>
          <w:tcPr>
            <w:tcW w:w="8505" w:type="dxa"/>
          </w:tcPr>
          <w:p w:rsidRPr="00F15991" w:rsidR="00841634" w:rsidP="001B0E05" w:rsidRDefault="00841634" w14:paraId="54CC9F16"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Rhodes A, Evans LE, Alhazzani W, Levy MM, Antonelli M, Ferrer R, et al. Surviving Sepsis Campaign: International Guidelines for Management of Sepsis and Septic Shock: 2016. Intensive care medicine. 2017;43(3):304-77.</w:t>
            </w:r>
          </w:p>
          <w:p w:rsidRPr="00F15991" w:rsidR="00841634" w:rsidP="001B0E05" w:rsidRDefault="00841634" w14:paraId="48FFE84E"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Alshaikh B, Dersch-Mills D, Taylor R, Akierman AR, Yusuf K. Extended interval dosing of gentamicin in premature neonates ≤ 28-week gestation. Acta Paediatrica. 2012;101(11):1134-9.</w:t>
            </w:r>
          </w:p>
          <w:p w:rsidRPr="00F15991" w:rsidR="00841634" w:rsidP="001B0E05" w:rsidRDefault="00841634" w14:paraId="1C7FE5F5"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Dersch-Mills D, Akierman A, Alshaikh B, Yusuf K. Validation of a Dosage Individualization Table for Extended-Interval Gentamicin in Neonates. Annals of Pharmacotherapy. 2012;46(7-8):935-42.</w:t>
            </w:r>
          </w:p>
          <w:p w:rsidRPr="00F15991" w:rsidR="00841634" w:rsidP="001B0E05" w:rsidRDefault="00841634" w14:paraId="71A5B7E0"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Dersch-Mills D, Akierman A, Alshaikh B, Sundaram A, Yusuf K. Performance of a dosage individualization table for extended interval gentamicin in neonates beyond the first week of life. The Journal of Maternal-Fetal &amp; Neonatal Medicine. 2016;29(9):1451-6.</w:t>
            </w:r>
          </w:p>
          <w:p w:rsidRPr="00F15991" w:rsidR="00841634" w:rsidP="001B0E05" w:rsidRDefault="00841634" w14:paraId="7D8BFE56"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Martínková J, Pokorná P, Záhora J, Chládek J, Vobruba V, Selke-Krulichová I, et al. Tolerability and outcomes of kinetically guided therapy with gentamicin in critically ill neonates during the first week of life: an open-label, prospective study. Clinical therapeutics. 2010;32(14):2400-14.</w:t>
            </w:r>
          </w:p>
          <w:p w:rsidRPr="00F15991" w:rsidR="00841634" w:rsidP="001B0E05" w:rsidRDefault="00841634" w14:paraId="7EA93415"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Allegaert K. The impact of ibuprofen or indomethacin on renal drug clearance in neonates. The Journal of Maternal-Fetal &amp; Neonatal Medicine. 2009;22(sup3):88-91.</w:t>
            </w:r>
          </w:p>
          <w:p w:rsidRPr="00F15991" w:rsidR="00841634" w:rsidP="001B0E05" w:rsidRDefault="00841634" w14:paraId="3C3FF9CC"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Smits A, De Cock RFW, Allegaert K, Vanhaesebrouck S, Danhof M, Knibbe CAJ. Prospective Evaluation of a Model-Based Dosing Regimen for Amikacin in Preterm and Term Neonates in Clinical Practice. Antimicrobial Agents and Chemotherapy. 2015;59(10):6344.</w:t>
            </w:r>
          </w:p>
          <w:p w:rsidRPr="00F15991" w:rsidR="00841634" w:rsidP="001B0E05" w:rsidRDefault="00841634" w14:paraId="7D5EDDCC"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Smits A, Kulo A, Van Den Anker J, Allegaert K. The amikacin research program: a stepwise approach to validate dosing regimens in neonates. 2016:1-10.</w:t>
            </w:r>
          </w:p>
          <w:p w:rsidRPr="00F15991" w:rsidR="00841634" w:rsidP="001B0E05" w:rsidRDefault="00841634" w14:paraId="3B6FE162"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Frymoyer A, Lee S, Bonifacio SL, Meng L, Lucas SS, Guglielmo BJ, et al. Every 36-h gentamicin dosing in neonates with hypoxic–ischemic encephalopathy receiving hypothermia. Journal of Perinatology. 2013;33(10):778-82.</w:t>
            </w:r>
          </w:p>
          <w:p w:rsidRPr="00F15991" w:rsidR="00841634" w:rsidP="001B0E05" w:rsidRDefault="00841634" w14:paraId="4E263342"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Bijleveld YA, De Haan TR, Van Der Lee HJH, Groenendaal F, Dijk PH, Van Heijst A, et al. Altered gentamicin pharmacokinetics in term neonates undergoing controlled hypothermia. British Journal of Clinical Pharmacology. 2016;81(6):1067-77.</w:t>
            </w:r>
          </w:p>
          <w:p w:rsidRPr="00F15991" w:rsidR="00841634" w:rsidP="001B0E05" w:rsidRDefault="00841634" w14:paraId="2A894FD5"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Lutz IC, Allegaert K, de Hoon JN, Marynissen H. Pharmacokinetics during therapeutic hypothermia for neonatal hypoxic ischaemic encephalopathy: a literature review. BMJ Paediatr Open. 2020;4(1):e000685-e.</w:t>
            </w:r>
          </w:p>
          <w:p w:rsidRPr="00F15991" w:rsidR="00841634" w:rsidP="001B0E05" w:rsidRDefault="00841634" w14:paraId="70C86496"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Cristea S, Smits A, Kulo A, Knibbe CAJ, van Weissenbruch M, Krekels EHJ, et al. Amikacin Pharmacokinetics To Optimize Dosing in Neonates with Perinatal Asphyxia Treated with Hypothermia. Antimicrobial Agents and Chemotherapy. 2017;61(12):e01282-17.</w:t>
            </w:r>
          </w:p>
          <w:p w:rsidRPr="00F15991" w:rsidR="00841634" w:rsidP="001B0E05" w:rsidRDefault="00841634" w14:paraId="52C7AFE6"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lastRenderedPageBreak/>
              <w:t>Choi D, Park J, Lee S, An S. Effect of hypothermia treatment on gentamicin pharmacokinetics in neonates with hypoxic‐ischaemic encephalopathy: A systematic review and meta‐analysis. Journal of Clinical Pharmacy and Therapeutics. 2018;43(4):484-92.</w:t>
            </w:r>
          </w:p>
          <w:p w:rsidRPr="00F15991" w:rsidR="00841634" w:rsidP="001B0E05" w:rsidRDefault="00841634" w14:paraId="51B3E97D"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Raffaeli G, Pokorna P, Allegaert K, Mosca F, Cavallaro G, Wildschut E, et al. Drug disposition and pharmacotherapy in neonatal ECMO: from fragmented data to integrated knowledge. Frontiers in pediatrics. 2019;7:360.</w:t>
            </w:r>
          </w:p>
          <w:p w:rsidRPr="00F15991" w:rsidR="00841634" w:rsidP="001B0E05" w:rsidRDefault="00841634" w14:paraId="7E113F91"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Gentamicin. Australian Injectable drug handbook 8th edition. (18 Spetember 2020).</w:t>
            </w:r>
          </w:p>
          <w:p w:rsidRPr="00F15991" w:rsidR="00841634" w:rsidP="001B0E05" w:rsidRDefault="00841634" w14:paraId="76C091BD"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 MIMS online. (14 September 2020).</w:t>
            </w:r>
          </w:p>
          <w:p w:rsidRPr="00F15991" w:rsidR="00841634" w:rsidP="001B0E05" w:rsidRDefault="00841634" w14:paraId="54A3E76F"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Rao SC, Srinivasjois R, Moon K. One dose per day compared to multiple doses per day of gentamicin for treatment of suspected or proven sepsis in neonates. Cochrane Database of Systematic Reviews. 2016.</w:t>
            </w:r>
          </w:p>
          <w:p w:rsidRPr="00F15991" w:rsidR="00841634" w:rsidP="001B0E05" w:rsidRDefault="00841634" w14:paraId="2EF27D32"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Nestaas E. Aminoglycoside extended interval dosing in neonates is safe and effective: a meta-analysis. 2005;90(4):F294-f300.</w:t>
            </w:r>
          </w:p>
          <w:p w:rsidRPr="00F15991" w:rsidR="00841634" w:rsidP="001B0E05" w:rsidRDefault="00841634" w14:paraId="27B9A1E9"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Moore RD, Smith CR, Lietman PS. The association of aminoglycoside plasma levels with mortality in patients with gram-negative bacteremia. Journal of infectious diseases. 1984;149(3):443-8.</w:t>
            </w:r>
          </w:p>
          <w:p w:rsidRPr="00F15991" w:rsidR="00841634" w:rsidP="001B0E05" w:rsidRDefault="00841634" w14:paraId="17852AB5"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Moore RD, Smith CR, Lietman PS. Association of aminoglycoside plasma levels with therapeutic outcome in gram-negative pneumonia. The American journal of medicine. 1984;77(4):657-62.</w:t>
            </w:r>
          </w:p>
          <w:p w:rsidRPr="00F15991" w:rsidR="00841634" w:rsidP="001B0E05" w:rsidRDefault="00841634" w14:paraId="6AC42B08"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Kent A, Turner MA, Sharland M, Heath PT. Aminoglycoside toxicity in neonates: something to worry about? Expert Review of Anti-infective Therapy. 2014;12(3):319-31.</w:t>
            </w:r>
          </w:p>
          <w:p w:rsidRPr="00F15991" w:rsidR="00841634" w:rsidP="001B0E05" w:rsidRDefault="00841634" w14:paraId="02B3C47A"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Setiabudy R, Suwento R, Rundjan L, Yasin FH, Louisa M, Dwijayanti A, et al. Lack of a relationship between the serum concentration of aminoglycosides and ototoxicity in neonates. Int J Clin Pharmacol Ther. 2013;51(5):401-6.</w:t>
            </w:r>
          </w:p>
          <w:p w:rsidRPr="00F15991" w:rsidR="00841634" w:rsidP="001B0E05" w:rsidRDefault="00841634" w14:paraId="45852575"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El-Barbary MN, Ismail RIH, Ibrahim AAA. Gentamicin extended interval regimen and ototoxicity in neonates. 2015;79(8):1294-8.</w:t>
            </w:r>
          </w:p>
          <w:p w:rsidRPr="00F15991" w:rsidR="00841634" w:rsidP="001B0E05" w:rsidRDefault="00841634" w14:paraId="1FFAC8A2"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Quiros Y, Vicente-Vicente L, Morales AI, López-Novoa JM, López-Hernández FJ. An integrative overview on the mechanisms underlying the renal tubular cytotoxicity of gentamicin. Toxicological sciences. 2011;119(2):245-56.</w:t>
            </w:r>
          </w:p>
          <w:p w:rsidRPr="00F15991" w:rsidR="00841634" w:rsidP="001B0E05" w:rsidRDefault="00841634" w14:paraId="72EFB222"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Constance JE, Reith D, Ward R, Balch A, Stockmann C, Korgenski EK, et al. Risk of nonsteroidal anti-inflammatory drug-associated renal dysfunction among neonates diagnosed with patent ductus arteriosus and treated with gentamicin. Journal of Perinatology. 2017;37(10):1093-102.</w:t>
            </w:r>
          </w:p>
          <w:p w:rsidRPr="00F15991" w:rsidR="00841634" w:rsidP="001B0E05" w:rsidRDefault="00841634" w14:paraId="7091C6E6"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Wang X, Hong Y, Cai P, Tang N, Chen Y, Yan T, et al. Rapid and Reliable Detection of Nonsyndromic Hearing Loss Mutations by Multicolor Melting Curve Analysis. Scientific Reports. 2017;7(1):42894.</w:t>
            </w:r>
          </w:p>
          <w:p w:rsidRPr="00F15991" w:rsidR="00841634" w:rsidP="001B0E05" w:rsidRDefault="00841634" w14:paraId="23884BD5"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Dean L. Gentamicin Therapy and MT-RNR1 Genotype: National Center for Biotechnology Information (US), Bethesda (MD); 2012 2012.</w:t>
            </w:r>
          </w:p>
          <w:p w:rsidRPr="00F15991" w:rsidR="00841634" w:rsidP="001B0E05" w:rsidRDefault="00841634" w14:paraId="3ED201F8"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Shah SS, Ohlsson A, Shah VS. Intraventricular antibiotics for bacterial meningitis in neonates. Cochrane Database of Systematic Reviews. 2012(7).</w:t>
            </w:r>
          </w:p>
          <w:p w:rsidRPr="00F15991" w:rsidR="00841634" w:rsidP="001B0E05" w:rsidRDefault="00841634" w14:paraId="19A26DE6"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Touw DJ, Westerman EM, Sprij AJ. Therapeutic Drug Monitoring of Aminoglycosides in Neonates. Clinical Pharmacokinetics. 2009;48(2):71-88.</w:t>
            </w:r>
          </w:p>
          <w:p w:rsidRPr="00F15991" w:rsidR="00841634" w:rsidP="001B0E05" w:rsidRDefault="00841634" w14:paraId="075ECC20"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Kearns GL, Abdel-Rahman SM, Alander SW, Blowey DL, Leeder JS, Kauffman RE. Developmental pharmacology—drug disposition, action, and therapy in infants and children. New England Journal of Medicine. 2003;349(12):1157-67.</w:t>
            </w:r>
          </w:p>
          <w:p w:rsidRPr="00F15991" w:rsidR="00841634" w:rsidP="001B0E05" w:rsidRDefault="00841634" w14:paraId="5AC9AA9C"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Lacy MK, Nicolau DP, Nightingale CH, Quintiliani R. The pharmacodynamics of aminoglycosides. Clinical infectious diseases. 1998;27(1):23-7.</w:t>
            </w:r>
          </w:p>
          <w:p w:rsidRPr="00F15991" w:rsidR="00841634" w:rsidP="001B0E05" w:rsidRDefault="00841634" w14:paraId="05A30B5A"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Sullins AK, Abdel-Rahman SM. Pharmacokinetics of antibacterial agents in the CSF of children and adolescents. Pediatric Drugs. 2013;15(2):93-117.</w:t>
            </w:r>
          </w:p>
          <w:p w:rsidRPr="00F15991" w:rsidR="00841634" w:rsidP="001B0E05" w:rsidRDefault="00841634" w14:paraId="5AF725A7"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Dahlgren JG, Anderson ET, Hewitt WL. Gentamicin blood levels: a guide to nephrotoxicity. Antimicrobial agents and chemotherapy. 1975;8(1):58-62.</w:t>
            </w:r>
          </w:p>
          <w:p w:rsidRPr="00F15991" w:rsidR="00841634" w:rsidP="001B0E05" w:rsidRDefault="00841634" w14:paraId="566C6D14"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Goodman EL, Van Gelder J, Holmes R, Hull AR, Sanford JP. Prospective comparative study of variable dosage and variable frequency regimens for administration of gentamicin. Antimicrobial Agents and Chemotherapy. 1975;8(4):434-8.</w:t>
            </w:r>
          </w:p>
          <w:p w:rsidRPr="00F15991" w:rsidR="00841634" w:rsidP="001B0E05" w:rsidRDefault="00841634" w14:paraId="18A18A4F" w14:textId="77777777">
            <w:pPr>
              <w:pStyle w:val="ListParagraph"/>
              <w:numPr>
                <w:ilvl w:val="0"/>
                <w:numId w:val="103"/>
              </w:numPr>
              <w:spacing w:after="160" w:line="259" w:lineRule="auto"/>
              <w:ind w:left="284" w:hanging="284"/>
              <w:rPr>
                <w:rFonts w:asciiTheme="minorHAnsi" w:hAnsiTheme="minorHAnsi" w:eastAsiaTheme="minorHAnsi" w:cstheme="minorHAnsi"/>
                <w:sz w:val="16"/>
                <w:szCs w:val="16"/>
              </w:rPr>
            </w:pPr>
            <w:r w:rsidRPr="00F15991">
              <w:rPr>
                <w:rFonts w:asciiTheme="minorHAnsi" w:hAnsiTheme="minorHAnsi" w:eastAsiaTheme="minorHAnsi" w:cstheme="minorHAnsi"/>
                <w:sz w:val="16"/>
                <w:szCs w:val="16"/>
              </w:rPr>
              <w:t>de Hoog M, Mouton JW, van den Anker JN, editors. New dosing strategies for antibacterial agents in the neonate. Seminars in Fetal and Neonatal Medicine; 2005: Elsevier.</w:t>
            </w:r>
          </w:p>
        </w:tc>
      </w:tr>
    </w:tbl>
    <w:p w:rsidRPr="00E25790" w:rsidR="00B1617E" w:rsidP="006F0321" w:rsidRDefault="00B1617E" w14:paraId="05105410" w14:textId="77777777"/>
    <w:p w:rsidRPr="00E25790" w:rsidR="00115F48" w:rsidP="006F0321" w:rsidRDefault="00115F48" w14:paraId="70C5A756" w14:textId="77777777">
      <w:pPr>
        <w:rPr>
          <w:lang w:val="fr-FR"/>
        </w:rPr>
      </w:pPr>
    </w:p>
    <w:tbl>
      <w:tblPr>
        <w:tblW w:w="836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1"/>
        <w:gridCol w:w="4253"/>
      </w:tblGrid>
      <w:tr w:rsidRPr="003A7895" w:rsidR="00E424B4" w:rsidTr="004E3A81" w14:paraId="405095D8" w14:textId="77777777">
        <w:tc>
          <w:tcPr>
            <w:tcW w:w="4111" w:type="dxa"/>
            <w:vAlign w:val="center"/>
          </w:tcPr>
          <w:p w:rsidRPr="003A7895" w:rsidR="004E3A81" w:rsidP="00B97D99" w:rsidRDefault="004E3A81" w14:paraId="69B18680" w14:textId="77777777">
            <w:r w:rsidRPr="003A7895">
              <w:t>Original version Date: 08/0</w:t>
            </w:r>
            <w:r>
              <w:t>8</w:t>
            </w:r>
            <w:r w:rsidRPr="003A7895">
              <w:t>/2015</w:t>
            </w:r>
          </w:p>
        </w:tc>
        <w:tc>
          <w:tcPr>
            <w:tcW w:w="4253" w:type="dxa"/>
            <w:vAlign w:val="center"/>
          </w:tcPr>
          <w:p w:rsidRPr="003A7895" w:rsidR="004E3A81" w:rsidP="00B97D99" w:rsidRDefault="004E3A81" w14:paraId="5A81CADE" w14:textId="77777777">
            <w:r>
              <w:t>Author: NeoMed Consensus Group</w:t>
            </w:r>
          </w:p>
        </w:tc>
      </w:tr>
      <w:tr w:rsidRPr="003A7895" w:rsidR="00E424B4" w:rsidTr="004E3A81" w14:paraId="6B1DAFFA" w14:textId="77777777">
        <w:tc>
          <w:tcPr>
            <w:tcW w:w="4111" w:type="dxa"/>
            <w:vAlign w:val="center"/>
          </w:tcPr>
          <w:p w:rsidRPr="003A7895" w:rsidR="004E3A81" w:rsidP="00B97D99" w:rsidRDefault="004E3A81" w14:paraId="6E914839" w14:textId="7DDE71BC">
            <w:pPr>
              <w:rPr>
                <w:bCs/>
              </w:rPr>
            </w:pPr>
            <w:r w:rsidRPr="003A7895">
              <w:t xml:space="preserve">Current Version number:  </w:t>
            </w:r>
            <w:r w:rsidR="002E59B6">
              <w:t>3</w:t>
            </w:r>
          </w:p>
        </w:tc>
        <w:tc>
          <w:tcPr>
            <w:tcW w:w="4253" w:type="dxa"/>
            <w:vAlign w:val="center"/>
          </w:tcPr>
          <w:p w:rsidRPr="003A7895" w:rsidR="004E3A81" w:rsidP="00B97D99" w:rsidRDefault="004E3A81" w14:paraId="568C9ADB" w14:textId="50CC3ECC">
            <w:r w:rsidRPr="003A7895">
              <w:t xml:space="preserve">Version Date:  </w:t>
            </w:r>
            <w:r w:rsidR="00E56CB1">
              <w:t>18</w:t>
            </w:r>
            <w:r w:rsidR="002E59B6">
              <w:t>/</w:t>
            </w:r>
            <w:r w:rsidR="00E56CB1">
              <w:t>2</w:t>
            </w:r>
            <w:r w:rsidR="002E59B6">
              <w:t>/202</w:t>
            </w:r>
            <w:r w:rsidR="00E56CB1">
              <w:t>1</w:t>
            </w:r>
          </w:p>
        </w:tc>
      </w:tr>
      <w:tr w:rsidRPr="003A7895" w:rsidR="00E424B4" w:rsidTr="004E3A81" w14:paraId="45BE70B2" w14:textId="77777777">
        <w:tc>
          <w:tcPr>
            <w:tcW w:w="4111" w:type="dxa"/>
            <w:vAlign w:val="center"/>
          </w:tcPr>
          <w:p w:rsidRPr="003A7895" w:rsidR="004E3A81" w:rsidP="00B97D99" w:rsidRDefault="004E3A81" w14:paraId="6CF503A7" w14:textId="50021BB0">
            <w:r>
              <w:t xml:space="preserve">Risk Rating: </w:t>
            </w:r>
            <w:r w:rsidR="002E59B6">
              <w:t>Low</w:t>
            </w:r>
          </w:p>
        </w:tc>
        <w:tc>
          <w:tcPr>
            <w:tcW w:w="4253" w:type="dxa"/>
            <w:vAlign w:val="center"/>
          </w:tcPr>
          <w:p w:rsidRPr="003A7895" w:rsidR="004E3A81" w:rsidP="00B97D99" w:rsidRDefault="004E3A81" w14:paraId="0E9A04FF" w14:textId="62CC0569">
            <w:r w:rsidRPr="003A7895">
              <w:t xml:space="preserve">Due for Review:  </w:t>
            </w:r>
            <w:r w:rsidR="00E56CB1">
              <w:t>18</w:t>
            </w:r>
            <w:r w:rsidR="002E59B6">
              <w:t>/</w:t>
            </w:r>
            <w:r w:rsidR="00E56CB1">
              <w:t>2</w:t>
            </w:r>
            <w:r w:rsidR="002E59B6">
              <w:t>/202</w:t>
            </w:r>
            <w:r w:rsidR="00E56CB1">
              <w:t>6</w:t>
            </w:r>
          </w:p>
        </w:tc>
      </w:tr>
      <w:tr w:rsidRPr="003A7895" w:rsidR="00E424B4" w:rsidTr="004E3A81" w14:paraId="0C406C75" w14:textId="77777777">
        <w:trPr>
          <w:trHeight w:val="344"/>
        </w:trPr>
        <w:tc>
          <w:tcPr>
            <w:tcW w:w="4111" w:type="dxa"/>
            <w:tcBorders>
              <w:bottom w:val="single" w:color="auto" w:sz="4" w:space="0"/>
            </w:tcBorders>
            <w:vAlign w:val="center"/>
          </w:tcPr>
          <w:p w:rsidRPr="003A7895" w:rsidR="004E3A81" w:rsidP="00B97D99" w:rsidRDefault="004E3A81" w14:paraId="35F63023" w14:textId="77777777">
            <w:r w:rsidRPr="003A7895">
              <w:t>Approv</w:t>
            </w:r>
            <w:r>
              <w:t xml:space="preserve">al </w:t>
            </w:r>
            <w:r w:rsidRPr="003A7895">
              <w:t>by</w:t>
            </w:r>
            <w:r>
              <w:t>: DTC</w:t>
            </w:r>
          </w:p>
        </w:tc>
        <w:tc>
          <w:tcPr>
            <w:tcW w:w="4253" w:type="dxa"/>
            <w:tcBorders>
              <w:bottom w:val="single" w:color="auto" w:sz="4" w:space="0"/>
            </w:tcBorders>
            <w:vAlign w:val="center"/>
          </w:tcPr>
          <w:p w:rsidRPr="003A7895" w:rsidR="004E3A81" w:rsidP="00B97D99" w:rsidRDefault="004E3A81" w14:paraId="40A16F87" w14:textId="699765C3">
            <w:r w:rsidRPr="003A7895">
              <w:t>Approval Date:</w:t>
            </w:r>
            <w:r w:rsidR="00260BC8">
              <w:t>APRIL 2021</w:t>
            </w:r>
          </w:p>
        </w:tc>
      </w:tr>
    </w:tbl>
    <w:p w:rsidRPr="00E25790" w:rsidR="004E3A81" w:rsidP="006F0321" w:rsidRDefault="004E3A81" w14:paraId="1E8D72E3" w14:textId="77777777">
      <w:pPr>
        <w:rPr>
          <w:lang w:val="fr-FR"/>
        </w:rPr>
      </w:pPr>
    </w:p>
    <w:p w:rsidR="00B12A8E" w:rsidP="006F0321" w:rsidRDefault="00B12A8E" w14:paraId="337D32A7" w14:textId="77777777">
      <w:pPr>
        <w:rPr>
          <w:lang w:val="fr-FR"/>
        </w:rPr>
      </w:pPr>
    </w:p>
    <w:p w:rsidR="006E2EED" w:rsidRDefault="006E2EED" w14:paraId="650CEF62" w14:textId="77777777">
      <w:bookmarkStart w:name="_Toc495481118" w:id="283"/>
      <w:bookmarkStart w:name="_Toc495481244" w:id="284"/>
      <w:bookmarkStart w:name="_Toc495481369" w:id="285"/>
      <w:bookmarkStart w:name="_Toc495501550" w:id="286"/>
      <w:bookmarkStart w:name="_Toc38106855" w:id="287"/>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B97D99" w14:paraId="3F400A8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C485DB7" w14:textId="77777777">
            <w:pPr>
              <w:pStyle w:val="Heading1"/>
            </w:pPr>
            <w:bookmarkStart w:name="_Toc75339979" w:id="288"/>
            <w:r w:rsidRPr="00E25790">
              <w:lastRenderedPageBreak/>
              <w:t>Glucagon</w:t>
            </w:r>
            <w:bookmarkEnd w:id="283"/>
            <w:bookmarkEnd w:id="284"/>
            <w:bookmarkEnd w:id="285"/>
            <w:bookmarkEnd w:id="286"/>
            <w:bookmarkEnd w:id="287"/>
            <w:bookmarkEnd w:id="288"/>
            <w:r w:rsidRPr="00E25790">
              <w:fldChar w:fldCharType="begin"/>
            </w:r>
            <w:r w:rsidRPr="00E25790">
              <w:instrText>tc "Glucagon" \l 0</w:instrText>
            </w:r>
            <w:r w:rsidRPr="00E25790">
              <w:fldChar w:fldCharType="end"/>
            </w:r>
          </w:p>
        </w:tc>
      </w:tr>
      <w:tr w:rsidRPr="00E25790" w:rsidR="00115F48" w:rsidTr="00B97D99" w14:paraId="43E78B3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16E096BE" w14:textId="7EE68B05">
            <w:r w:rsidRPr="00E25790">
              <w:t>Revision Date</w:t>
            </w:r>
            <w:r w:rsidRPr="00E25790">
              <w:rPr>
                <w:b/>
              </w:rPr>
              <w:t xml:space="preserve"> : </w:t>
            </w:r>
            <w:r w:rsidR="00FC713D">
              <w:rPr>
                <w:b/>
              </w:rPr>
              <w:t>15-12-2020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103A541" w14:textId="77777777">
            <w:r w:rsidRPr="00E25790">
              <w:t xml:space="preserve">Approved : </w:t>
            </w:r>
            <w:r w:rsidRPr="00E25790" w:rsidR="004E3A81">
              <w:t>TC, KOH</w:t>
            </w:r>
          </w:p>
        </w:tc>
      </w:tr>
    </w:tbl>
    <w:p w:rsidRPr="00E25790" w:rsidR="00115F48" w:rsidP="006F0321" w:rsidRDefault="00115F48" w14:paraId="24D4F708"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533"/>
      </w:tblGrid>
      <w:tr w:rsidRPr="003A7895" w:rsidR="00273A16" w:rsidTr="00FC713D" w14:paraId="1F11CB5B" w14:textId="77777777">
        <w:trPr>
          <w:trHeight w:val="70"/>
        </w:trPr>
        <w:tc>
          <w:tcPr>
            <w:tcW w:w="1702" w:type="dxa"/>
          </w:tcPr>
          <w:p w:rsidRPr="00B53E9B" w:rsidR="00070B5A" w:rsidP="0059793A" w:rsidRDefault="00070B5A" w14:paraId="21184434" w14:textId="77777777">
            <w:pPr>
              <w:pStyle w:val="BodyText"/>
              <w:tabs>
                <w:tab w:val="center" w:pos="1476"/>
              </w:tabs>
              <w:rPr>
                <w:rFonts w:cs="Arial"/>
                <w:b/>
                <w:sz w:val="20"/>
              </w:rPr>
            </w:pPr>
            <w:r w:rsidRPr="00B53E9B">
              <w:rPr>
                <w:rFonts w:cs="Arial"/>
                <w:b/>
                <w:sz w:val="20"/>
              </w:rPr>
              <w:t>Alert</w:t>
            </w:r>
          </w:p>
        </w:tc>
        <w:tc>
          <w:tcPr>
            <w:tcW w:w="8533" w:type="dxa"/>
            <w:shd w:val="clear" w:color="auto" w:fill="FFFF00"/>
          </w:tcPr>
          <w:p w:rsidRPr="00026F20" w:rsidR="00070B5A" w:rsidP="0059793A" w:rsidRDefault="00FC713D" w14:paraId="3AFD361D" w14:textId="4075622D">
            <w:pPr>
              <w:pStyle w:val="BodyText"/>
              <w:rPr>
                <w:rFonts w:cs="Arial"/>
                <w:sz w:val="20"/>
              </w:rPr>
            </w:pPr>
            <w:r>
              <w:rPr>
                <w:rFonts w:cs="Arial"/>
                <w:sz w:val="20"/>
              </w:rPr>
              <w:t>Do not run through filter or TPN</w:t>
            </w:r>
          </w:p>
        </w:tc>
      </w:tr>
      <w:tr w:rsidRPr="003A7895" w:rsidR="00070B5A" w:rsidTr="00FC713D" w14:paraId="5099A36F" w14:textId="77777777">
        <w:trPr>
          <w:trHeight w:val="72"/>
        </w:trPr>
        <w:tc>
          <w:tcPr>
            <w:tcW w:w="1702" w:type="dxa"/>
          </w:tcPr>
          <w:p w:rsidRPr="00B53E9B" w:rsidR="00070B5A" w:rsidP="0059793A" w:rsidRDefault="00070B5A" w14:paraId="08B32D37" w14:textId="77777777">
            <w:pPr>
              <w:pStyle w:val="BodyText"/>
              <w:rPr>
                <w:rFonts w:cs="Arial"/>
                <w:sz w:val="20"/>
              </w:rPr>
            </w:pPr>
            <w:r w:rsidRPr="00B53E9B">
              <w:rPr>
                <w:rFonts w:cs="Arial"/>
                <w:b/>
                <w:bCs/>
                <w:sz w:val="20"/>
              </w:rPr>
              <w:t>Indication</w:t>
            </w:r>
          </w:p>
        </w:tc>
        <w:tc>
          <w:tcPr>
            <w:tcW w:w="8533" w:type="dxa"/>
          </w:tcPr>
          <w:p w:rsidRPr="00690969" w:rsidR="00070B5A" w:rsidP="0059793A" w:rsidRDefault="00070B5A" w14:paraId="5CDA5193" w14:textId="77777777">
            <w:pPr>
              <w:jc w:val="both"/>
              <w:rPr>
                <w:sz w:val="20"/>
              </w:rPr>
            </w:pPr>
            <w:r w:rsidRPr="00690969">
              <w:rPr>
                <w:sz w:val="20"/>
              </w:rPr>
              <w:t>Management of neonatal hypoglycaemia:</w:t>
            </w:r>
          </w:p>
          <w:p w:rsidRPr="00690969" w:rsidR="00070B5A" w:rsidP="001B0E05" w:rsidRDefault="00070B5A" w14:paraId="3E784FE4" w14:textId="77777777">
            <w:pPr>
              <w:numPr>
                <w:ilvl w:val="0"/>
                <w:numId w:val="27"/>
              </w:numPr>
              <w:ind w:left="601" w:hanging="283"/>
              <w:jc w:val="both"/>
              <w:rPr>
                <w:sz w:val="20"/>
                <w:vertAlign w:val="superscript"/>
              </w:rPr>
            </w:pPr>
            <w:r w:rsidRPr="00690969">
              <w:rPr>
                <w:sz w:val="20"/>
              </w:rPr>
              <w:t xml:space="preserve">Refractory to intravenous </w:t>
            </w:r>
            <w:r>
              <w:rPr>
                <w:sz w:val="20"/>
              </w:rPr>
              <w:t>glucose</w:t>
            </w:r>
            <w:r w:rsidRPr="00690969">
              <w:rPr>
                <w:sz w:val="20"/>
              </w:rPr>
              <w:t xml:space="preserve"> infusions;</w:t>
            </w:r>
          </w:p>
          <w:p w:rsidRPr="00690969" w:rsidR="00070B5A" w:rsidP="001B0E05" w:rsidRDefault="00070B5A" w14:paraId="289DAF5A" w14:textId="77777777">
            <w:pPr>
              <w:numPr>
                <w:ilvl w:val="0"/>
                <w:numId w:val="27"/>
              </w:numPr>
              <w:ind w:left="601" w:hanging="283"/>
              <w:jc w:val="both"/>
              <w:rPr>
                <w:sz w:val="20"/>
                <w:vertAlign w:val="superscript"/>
              </w:rPr>
            </w:pPr>
            <w:r w:rsidRPr="00690969">
              <w:rPr>
                <w:sz w:val="20"/>
              </w:rPr>
              <w:t xml:space="preserve">When </w:t>
            </w:r>
            <w:r>
              <w:rPr>
                <w:sz w:val="20"/>
              </w:rPr>
              <w:t>glucose</w:t>
            </w:r>
            <w:r w:rsidRPr="00690969">
              <w:rPr>
                <w:sz w:val="20"/>
              </w:rPr>
              <w:t xml:space="preserve"> infusion is unavailable.</w:t>
            </w:r>
          </w:p>
          <w:p w:rsidRPr="00690969" w:rsidR="00070B5A" w:rsidP="0059793A" w:rsidRDefault="00070B5A" w14:paraId="445CDB26" w14:textId="77777777">
            <w:pPr>
              <w:jc w:val="both"/>
              <w:rPr>
                <w:sz w:val="20"/>
              </w:rPr>
            </w:pPr>
            <w:r w:rsidRPr="00690969">
              <w:rPr>
                <w:sz w:val="20"/>
              </w:rPr>
              <w:t xml:space="preserve">Management of hyperinsulinaemic hypoglycaemia (e.g. </w:t>
            </w:r>
            <w:r>
              <w:rPr>
                <w:sz w:val="20"/>
              </w:rPr>
              <w:t>c</w:t>
            </w:r>
            <w:r w:rsidRPr="00690969">
              <w:rPr>
                <w:sz w:val="20"/>
              </w:rPr>
              <w:t>ongenital hyperinsulinism).</w:t>
            </w:r>
          </w:p>
          <w:p w:rsidRPr="00690969" w:rsidR="00070B5A" w:rsidP="0059793A" w:rsidRDefault="00070B5A" w14:paraId="39501746" w14:textId="77777777">
            <w:pPr>
              <w:jc w:val="both"/>
              <w:rPr>
                <w:sz w:val="20"/>
              </w:rPr>
            </w:pPr>
            <w:r w:rsidRPr="00690969">
              <w:rPr>
                <w:sz w:val="20"/>
              </w:rPr>
              <w:t>Adjunctive treatment of beta</w:t>
            </w:r>
            <w:r>
              <w:rPr>
                <w:sz w:val="20"/>
              </w:rPr>
              <w:t>-</w:t>
            </w:r>
            <w:r w:rsidRPr="00690969">
              <w:rPr>
                <w:sz w:val="20"/>
              </w:rPr>
              <w:t xml:space="preserve">blocker overdose. </w:t>
            </w:r>
          </w:p>
        </w:tc>
      </w:tr>
      <w:tr w:rsidRPr="003A7895" w:rsidR="00070B5A" w:rsidTr="00FC713D" w14:paraId="1A4C96CD" w14:textId="77777777">
        <w:trPr>
          <w:trHeight w:val="70"/>
        </w:trPr>
        <w:tc>
          <w:tcPr>
            <w:tcW w:w="1702" w:type="dxa"/>
          </w:tcPr>
          <w:p w:rsidRPr="00B53E9B" w:rsidR="00070B5A" w:rsidP="0059793A" w:rsidRDefault="00070B5A" w14:paraId="311FAC59" w14:textId="77777777">
            <w:pPr>
              <w:pStyle w:val="BodyText"/>
              <w:rPr>
                <w:rFonts w:cs="Arial"/>
                <w:b/>
                <w:bCs/>
                <w:sz w:val="20"/>
              </w:rPr>
            </w:pPr>
            <w:r w:rsidRPr="00B53E9B">
              <w:rPr>
                <w:rFonts w:cs="Arial"/>
                <w:b/>
                <w:bCs/>
                <w:sz w:val="20"/>
              </w:rPr>
              <w:t>Action</w:t>
            </w:r>
          </w:p>
        </w:tc>
        <w:tc>
          <w:tcPr>
            <w:tcW w:w="8533" w:type="dxa"/>
          </w:tcPr>
          <w:p w:rsidRPr="00690969" w:rsidR="00070B5A" w:rsidP="0059793A" w:rsidRDefault="00070B5A" w14:paraId="27238FB3" w14:textId="77777777">
            <w:pPr>
              <w:rPr>
                <w:rFonts w:cs="Arial"/>
                <w:sz w:val="20"/>
              </w:rPr>
            </w:pPr>
            <w:r>
              <w:rPr>
                <w:rFonts w:cs="Arial"/>
                <w:sz w:val="20"/>
              </w:rPr>
              <w:t>S</w:t>
            </w:r>
            <w:r w:rsidRPr="00690969">
              <w:rPr>
                <w:rFonts w:cs="Arial"/>
                <w:sz w:val="20"/>
              </w:rPr>
              <w:t>timulates hepatic gluconeogenesis and glycogenolysis. Glucagon has a positive inotropic action.</w:t>
            </w:r>
          </w:p>
        </w:tc>
      </w:tr>
      <w:tr w:rsidRPr="003A7895" w:rsidR="00070B5A" w:rsidTr="00FC713D" w14:paraId="5379E267" w14:textId="77777777">
        <w:trPr>
          <w:trHeight w:val="266"/>
        </w:trPr>
        <w:tc>
          <w:tcPr>
            <w:tcW w:w="1702" w:type="dxa"/>
          </w:tcPr>
          <w:p w:rsidRPr="00B53E9B" w:rsidR="00070B5A" w:rsidP="0059793A" w:rsidRDefault="00070B5A" w14:paraId="074208F9" w14:textId="77777777">
            <w:pPr>
              <w:pStyle w:val="BodyText"/>
              <w:rPr>
                <w:rFonts w:cs="Arial"/>
                <w:sz w:val="20"/>
              </w:rPr>
            </w:pPr>
            <w:r>
              <w:rPr>
                <w:rFonts w:cs="Arial"/>
                <w:b/>
                <w:bCs/>
                <w:sz w:val="20"/>
              </w:rPr>
              <w:t>Drug t</w:t>
            </w:r>
            <w:r w:rsidRPr="00B53E9B">
              <w:rPr>
                <w:rFonts w:cs="Arial"/>
                <w:b/>
                <w:bCs/>
                <w:sz w:val="20"/>
              </w:rPr>
              <w:t>ype</w:t>
            </w:r>
          </w:p>
        </w:tc>
        <w:tc>
          <w:tcPr>
            <w:tcW w:w="8533" w:type="dxa"/>
          </w:tcPr>
          <w:p w:rsidRPr="00690969" w:rsidR="00070B5A" w:rsidP="0059793A" w:rsidRDefault="00070B5A" w14:paraId="0B5EEB69" w14:textId="77777777">
            <w:pPr>
              <w:pStyle w:val="BodyText"/>
              <w:rPr>
                <w:rFonts w:cs="Arial"/>
                <w:sz w:val="20"/>
              </w:rPr>
            </w:pPr>
            <w:r w:rsidRPr="00690969">
              <w:rPr>
                <w:rFonts w:cs="Arial"/>
                <w:sz w:val="20"/>
              </w:rPr>
              <w:t xml:space="preserve">Polypeptide hormone </w:t>
            </w:r>
            <w:r>
              <w:rPr>
                <w:rFonts w:cs="Arial"/>
                <w:sz w:val="20"/>
              </w:rPr>
              <w:t>–</w:t>
            </w:r>
            <w:r w:rsidRPr="00690969">
              <w:rPr>
                <w:rFonts w:cs="Arial"/>
                <w:sz w:val="20"/>
              </w:rPr>
              <w:t xml:space="preserve"> hyperglycaemic agent</w:t>
            </w:r>
          </w:p>
        </w:tc>
      </w:tr>
      <w:tr w:rsidRPr="003A7895" w:rsidR="00070B5A" w:rsidTr="00FC713D" w14:paraId="48BA323C" w14:textId="77777777">
        <w:trPr>
          <w:trHeight w:val="114"/>
        </w:trPr>
        <w:tc>
          <w:tcPr>
            <w:tcW w:w="1702" w:type="dxa"/>
          </w:tcPr>
          <w:p w:rsidRPr="00B53E9B" w:rsidR="00070B5A" w:rsidP="0059793A" w:rsidRDefault="00070B5A" w14:paraId="05EF594C"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533" w:type="dxa"/>
          </w:tcPr>
          <w:p w:rsidRPr="00690969" w:rsidR="00070B5A" w:rsidP="0059793A" w:rsidRDefault="00070B5A" w14:paraId="4A415DD9" w14:textId="77777777">
            <w:pPr>
              <w:pStyle w:val="BodyText"/>
              <w:rPr>
                <w:rFonts w:cs="Arial"/>
                <w:sz w:val="20"/>
              </w:rPr>
            </w:pPr>
            <w:r w:rsidRPr="00690969">
              <w:rPr>
                <w:rFonts w:cs="Arial"/>
                <w:sz w:val="20"/>
              </w:rPr>
              <w:t>GlucaGen HypoKit 1</w:t>
            </w:r>
            <w:r>
              <w:rPr>
                <w:rFonts w:cs="Arial"/>
                <w:sz w:val="20"/>
              </w:rPr>
              <w:t xml:space="preserve"> </w:t>
            </w:r>
            <w:r w:rsidRPr="00690969">
              <w:rPr>
                <w:rFonts w:cs="Arial"/>
                <w:sz w:val="20"/>
              </w:rPr>
              <w:t>mg/mL</w:t>
            </w:r>
          </w:p>
        </w:tc>
      </w:tr>
      <w:tr w:rsidRPr="003A7895" w:rsidR="00070B5A" w:rsidTr="00FC713D" w14:paraId="785B8525" w14:textId="77777777">
        <w:trPr>
          <w:trHeight w:val="70"/>
        </w:trPr>
        <w:tc>
          <w:tcPr>
            <w:tcW w:w="1702" w:type="dxa"/>
          </w:tcPr>
          <w:p w:rsidRPr="00B53E9B" w:rsidR="00070B5A" w:rsidP="0059793A" w:rsidRDefault="00070B5A" w14:paraId="2A2610EC" w14:textId="77777777">
            <w:pPr>
              <w:pStyle w:val="BodyText"/>
              <w:rPr>
                <w:rFonts w:cs="Arial"/>
                <w:b/>
                <w:bCs/>
                <w:sz w:val="20"/>
              </w:rPr>
            </w:pPr>
            <w:r w:rsidRPr="00B53E9B">
              <w:rPr>
                <w:rFonts w:cs="Arial"/>
                <w:b/>
                <w:bCs/>
                <w:sz w:val="20"/>
              </w:rPr>
              <w:t xml:space="preserve">Presentation </w:t>
            </w:r>
          </w:p>
        </w:tc>
        <w:tc>
          <w:tcPr>
            <w:tcW w:w="8533" w:type="dxa"/>
          </w:tcPr>
          <w:p w:rsidRPr="00690969" w:rsidR="00070B5A" w:rsidP="0059793A" w:rsidRDefault="00070B5A" w14:paraId="11640182" w14:textId="77777777">
            <w:pPr>
              <w:pStyle w:val="BodyText"/>
              <w:ind w:left="34"/>
              <w:rPr>
                <w:rFonts w:cs="Arial"/>
                <w:sz w:val="20"/>
              </w:rPr>
            </w:pPr>
            <w:r w:rsidRPr="00690969">
              <w:rPr>
                <w:rFonts w:cs="Arial"/>
                <w:sz w:val="20"/>
              </w:rPr>
              <w:t>1 mg/</w:t>
            </w:r>
            <w:r>
              <w:rPr>
                <w:rFonts w:cs="Arial"/>
                <w:sz w:val="20"/>
              </w:rPr>
              <w:t>mL</w:t>
            </w:r>
            <w:r w:rsidRPr="00690969">
              <w:rPr>
                <w:rFonts w:cs="Arial"/>
                <w:sz w:val="20"/>
              </w:rPr>
              <w:t xml:space="preserve"> vial. </w:t>
            </w:r>
          </w:p>
          <w:p w:rsidRPr="00690969" w:rsidR="00070B5A" w:rsidP="0059793A" w:rsidRDefault="00070B5A" w14:paraId="449A8E8D" w14:textId="77777777">
            <w:pPr>
              <w:pStyle w:val="BodyText"/>
              <w:ind w:left="34"/>
              <w:rPr>
                <w:rFonts w:cs="Arial"/>
                <w:sz w:val="20"/>
              </w:rPr>
            </w:pPr>
            <w:r w:rsidRPr="00690969">
              <w:rPr>
                <w:rFonts w:cs="Arial"/>
                <w:sz w:val="20"/>
              </w:rPr>
              <w:t>1 unit of glucagon = 1 mg (1000 microgram) glucagon</w:t>
            </w:r>
          </w:p>
        </w:tc>
      </w:tr>
      <w:tr w:rsidRPr="000E2236" w:rsidR="00070B5A" w:rsidTr="00FC713D" w14:paraId="346C5B70" w14:textId="77777777">
        <w:trPr>
          <w:trHeight w:val="70"/>
        </w:trPr>
        <w:tc>
          <w:tcPr>
            <w:tcW w:w="1702" w:type="dxa"/>
          </w:tcPr>
          <w:p w:rsidRPr="00B53E9B" w:rsidR="00070B5A" w:rsidP="0059793A" w:rsidRDefault="00070B5A" w14:paraId="6A0FD90B" w14:textId="77777777">
            <w:pPr>
              <w:pStyle w:val="BodyText"/>
              <w:rPr>
                <w:rFonts w:cs="Arial"/>
                <w:b/>
                <w:bCs/>
                <w:sz w:val="20"/>
              </w:rPr>
            </w:pPr>
            <w:r>
              <w:rPr>
                <w:rFonts w:cs="Arial"/>
                <w:b/>
                <w:bCs/>
                <w:sz w:val="20"/>
              </w:rPr>
              <w:t>Dose</w:t>
            </w:r>
            <w:r w:rsidRPr="00B53E9B">
              <w:rPr>
                <w:rFonts w:cs="Arial"/>
                <w:b/>
                <w:bCs/>
                <w:sz w:val="20"/>
              </w:rPr>
              <w:t xml:space="preserve"> </w:t>
            </w:r>
          </w:p>
        </w:tc>
        <w:tc>
          <w:tcPr>
            <w:tcW w:w="8533" w:type="dxa"/>
          </w:tcPr>
          <w:p w:rsidRPr="00690969" w:rsidR="00070B5A" w:rsidP="0059793A" w:rsidRDefault="00070B5A" w14:paraId="7D067DE4" w14:textId="77777777">
            <w:pPr>
              <w:pStyle w:val="BodyText"/>
              <w:rPr>
                <w:rFonts w:cs="Arial"/>
                <w:b/>
                <w:sz w:val="20"/>
              </w:rPr>
            </w:pPr>
            <w:r w:rsidRPr="00690969">
              <w:rPr>
                <w:rFonts w:cs="Arial"/>
                <w:b/>
                <w:sz w:val="20"/>
              </w:rPr>
              <w:t>IV bolus/IM/SC</w:t>
            </w:r>
          </w:p>
          <w:p w:rsidRPr="00690969" w:rsidR="00070B5A" w:rsidP="0059793A" w:rsidRDefault="00070B5A" w14:paraId="7D18A08A" w14:textId="77777777">
            <w:pPr>
              <w:pStyle w:val="BodyText"/>
              <w:rPr>
                <w:rFonts w:cs="Arial"/>
                <w:sz w:val="20"/>
              </w:rPr>
            </w:pPr>
            <w:r w:rsidRPr="00690969">
              <w:rPr>
                <w:rFonts w:cs="Arial"/>
                <w:sz w:val="20"/>
              </w:rPr>
              <w:t>200 microgram/kg/dose. Do not exceed 1</w:t>
            </w:r>
            <w:r>
              <w:rPr>
                <w:rFonts w:cs="Arial"/>
                <w:sz w:val="20"/>
              </w:rPr>
              <w:t xml:space="preserve"> </w:t>
            </w:r>
            <w:r w:rsidRPr="00690969">
              <w:rPr>
                <w:rFonts w:cs="Arial"/>
                <w:sz w:val="20"/>
              </w:rPr>
              <w:t>mg/dose. IV glucose is to be administered as soon as possible.</w:t>
            </w:r>
          </w:p>
          <w:p w:rsidRPr="00690969" w:rsidR="00070B5A" w:rsidP="0059793A" w:rsidRDefault="00070B5A" w14:paraId="34D3D322" w14:textId="77777777">
            <w:pPr>
              <w:pStyle w:val="BodyText"/>
              <w:rPr>
                <w:rFonts w:cs="Arial"/>
                <w:sz w:val="20"/>
              </w:rPr>
            </w:pPr>
          </w:p>
          <w:p w:rsidRPr="00690969" w:rsidR="00070B5A" w:rsidP="0059793A" w:rsidRDefault="00070B5A" w14:paraId="3D5782B6" w14:textId="77777777">
            <w:pPr>
              <w:pStyle w:val="BodyText"/>
              <w:rPr>
                <w:rFonts w:cs="Arial"/>
                <w:b/>
                <w:sz w:val="20"/>
              </w:rPr>
            </w:pPr>
            <w:r w:rsidRPr="00690969">
              <w:rPr>
                <w:rFonts w:cs="Arial"/>
                <w:b/>
                <w:sz w:val="20"/>
              </w:rPr>
              <w:t>IV infusion</w:t>
            </w:r>
          </w:p>
          <w:p w:rsidRPr="00690969" w:rsidR="00070B5A" w:rsidP="0059793A" w:rsidRDefault="00070B5A" w14:paraId="613E6545" w14:textId="77777777">
            <w:pPr>
              <w:pStyle w:val="BodyText"/>
              <w:rPr>
                <w:rFonts w:cs="Arial"/>
                <w:sz w:val="20"/>
              </w:rPr>
            </w:pPr>
            <w:r w:rsidRPr="00690969">
              <w:rPr>
                <w:rFonts w:cs="Arial"/>
                <w:sz w:val="20"/>
              </w:rPr>
              <w:t>5</w:t>
            </w:r>
            <w:r>
              <w:rPr>
                <w:rFonts w:cs="Arial"/>
                <w:sz w:val="20"/>
              </w:rPr>
              <w:t>–</w:t>
            </w:r>
            <w:r w:rsidRPr="00690969">
              <w:rPr>
                <w:rFonts w:cs="Arial"/>
                <w:sz w:val="20"/>
              </w:rPr>
              <w:t xml:space="preserve">20 microgram/kg/hour.  </w:t>
            </w:r>
          </w:p>
          <w:p w:rsidRPr="00690969" w:rsidR="00070B5A" w:rsidP="0059793A" w:rsidRDefault="00070B5A" w14:paraId="31BFEA26" w14:textId="77777777">
            <w:pPr>
              <w:pStyle w:val="BodyText"/>
              <w:rPr>
                <w:rFonts w:cs="Arial"/>
                <w:sz w:val="20"/>
              </w:rPr>
            </w:pPr>
            <w:r w:rsidRPr="00690969">
              <w:rPr>
                <w:rFonts w:cs="Arial"/>
                <w:sz w:val="20"/>
              </w:rPr>
              <w:t>Consider starting dose of 20 microgram/kg/hour and decrease carefully, monitoring blood glucose, until the minimum effective dose is reached.</w:t>
            </w:r>
          </w:p>
          <w:p w:rsidRPr="00690969" w:rsidR="00070B5A" w:rsidP="0059793A" w:rsidRDefault="00070B5A" w14:paraId="2A8684BB" w14:textId="77777777">
            <w:pPr>
              <w:pStyle w:val="BodyText"/>
              <w:rPr>
                <w:rFonts w:cs="Arial"/>
                <w:sz w:val="20"/>
              </w:rPr>
            </w:pPr>
          </w:p>
          <w:p w:rsidRPr="00690969" w:rsidR="00070B5A" w:rsidP="0059793A" w:rsidRDefault="00070B5A" w14:paraId="059EB402" w14:textId="77777777">
            <w:pPr>
              <w:pStyle w:val="BodyText"/>
              <w:rPr>
                <w:rFonts w:cs="Arial"/>
                <w:sz w:val="20"/>
              </w:rPr>
            </w:pPr>
            <w:r w:rsidRPr="00690969">
              <w:rPr>
                <w:rFonts w:cs="Arial"/>
                <w:b/>
                <w:sz w:val="20"/>
              </w:rPr>
              <w:t>Beta</w:t>
            </w:r>
            <w:r>
              <w:rPr>
                <w:rFonts w:cs="Arial"/>
                <w:b/>
                <w:sz w:val="20"/>
              </w:rPr>
              <w:t>-</w:t>
            </w:r>
            <w:r w:rsidRPr="00690969">
              <w:rPr>
                <w:rFonts w:cs="Arial"/>
                <w:b/>
                <w:sz w:val="20"/>
              </w:rPr>
              <w:t>blocker overdose:</w:t>
            </w:r>
            <w:r w:rsidRPr="00690969">
              <w:rPr>
                <w:rFonts w:cs="Arial"/>
                <w:sz w:val="20"/>
              </w:rPr>
              <w:t xml:space="preserve"> Refer to evidence summary.</w:t>
            </w:r>
          </w:p>
        </w:tc>
      </w:tr>
      <w:tr w:rsidRPr="003A7895" w:rsidR="00070B5A" w:rsidTr="00FC713D" w14:paraId="399680AC" w14:textId="77777777">
        <w:trPr>
          <w:trHeight w:val="407"/>
        </w:trPr>
        <w:tc>
          <w:tcPr>
            <w:tcW w:w="1702" w:type="dxa"/>
          </w:tcPr>
          <w:p w:rsidRPr="00B53E9B" w:rsidR="00070B5A" w:rsidP="0059793A" w:rsidRDefault="00070B5A" w14:paraId="3BFC9FB2" w14:textId="77777777">
            <w:pPr>
              <w:pStyle w:val="BodyText"/>
              <w:rPr>
                <w:b/>
                <w:sz w:val="20"/>
              </w:rPr>
            </w:pPr>
            <w:r w:rsidRPr="00B53E9B">
              <w:rPr>
                <w:b/>
                <w:sz w:val="20"/>
              </w:rPr>
              <w:t>Dose adjustment</w:t>
            </w:r>
          </w:p>
          <w:p w:rsidRPr="00B53E9B" w:rsidR="00070B5A" w:rsidP="0059793A" w:rsidRDefault="00070B5A" w14:paraId="6587387E" w14:textId="77777777">
            <w:pPr>
              <w:pStyle w:val="BodyText"/>
              <w:rPr>
                <w:b/>
                <w:sz w:val="20"/>
              </w:rPr>
            </w:pPr>
          </w:p>
        </w:tc>
        <w:tc>
          <w:tcPr>
            <w:tcW w:w="8533" w:type="dxa"/>
          </w:tcPr>
          <w:p w:rsidRPr="00B53E9B" w:rsidR="00070B5A" w:rsidP="0059793A" w:rsidRDefault="00070B5A" w14:paraId="0F8F28E5" w14:textId="77777777">
            <w:pPr>
              <w:pStyle w:val="BodyText"/>
              <w:rPr>
                <w:sz w:val="20"/>
              </w:rPr>
            </w:pPr>
            <w:r w:rsidRPr="00B53E9B">
              <w:rPr>
                <w:sz w:val="20"/>
              </w:rPr>
              <w:t>Therapeutic hypothermia</w:t>
            </w:r>
            <w:r>
              <w:rPr>
                <w:sz w:val="20"/>
              </w:rPr>
              <w:t xml:space="preserve"> – No information.</w:t>
            </w:r>
          </w:p>
          <w:p w:rsidRPr="00B53E9B" w:rsidR="00070B5A" w:rsidP="0059793A" w:rsidRDefault="00070B5A" w14:paraId="02209AFC" w14:textId="77777777">
            <w:pPr>
              <w:pStyle w:val="BodyText"/>
              <w:rPr>
                <w:sz w:val="20"/>
              </w:rPr>
            </w:pPr>
            <w:r w:rsidRPr="00B53E9B">
              <w:rPr>
                <w:sz w:val="20"/>
              </w:rPr>
              <w:t>ECMO</w:t>
            </w:r>
            <w:r>
              <w:rPr>
                <w:sz w:val="20"/>
              </w:rPr>
              <w:t xml:space="preserve"> – NO information.</w:t>
            </w:r>
          </w:p>
          <w:p w:rsidRPr="00B53E9B" w:rsidR="00070B5A" w:rsidP="0059793A" w:rsidRDefault="00070B5A" w14:paraId="37E65518" w14:textId="77777777">
            <w:pPr>
              <w:pStyle w:val="BodyText"/>
              <w:rPr>
                <w:sz w:val="20"/>
              </w:rPr>
            </w:pPr>
            <w:r w:rsidRPr="00B53E9B">
              <w:rPr>
                <w:sz w:val="20"/>
              </w:rPr>
              <w:t>Renal</w:t>
            </w:r>
            <w:r>
              <w:rPr>
                <w:sz w:val="20"/>
              </w:rPr>
              <w:t xml:space="preserve"> impairment – No information.</w:t>
            </w:r>
          </w:p>
          <w:p w:rsidRPr="00026F20" w:rsidR="00070B5A" w:rsidP="0059793A" w:rsidRDefault="00070B5A" w14:paraId="1A5B3F42" w14:textId="77777777">
            <w:pPr>
              <w:pStyle w:val="BodyText"/>
              <w:rPr>
                <w:sz w:val="20"/>
              </w:rPr>
            </w:pPr>
            <w:r w:rsidRPr="00B53E9B">
              <w:rPr>
                <w:sz w:val="20"/>
              </w:rPr>
              <w:t>Hepatic</w:t>
            </w:r>
            <w:r>
              <w:rPr>
                <w:sz w:val="20"/>
              </w:rPr>
              <w:t xml:space="preserve"> impairment – No information.</w:t>
            </w:r>
          </w:p>
        </w:tc>
      </w:tr>
      <w:tr w:rsidRPr="003A7895" w:rsidR="00070B5A" w:rsidTr="00FC713D" w14:paraId="752240B1" w14:textId="77777777">
        <w:trPr>
          <w:trHeight w:val="113"/>
        </w:trPr>
        <w:tc>
          <w:tcPr>
            <w:tcW w:w="1702" w:type="dxa"/>
          </w:tcPr>
          <w:p w:rsidRPr="00B53E9B" w:rsidR="00070B5A" w:rsidP="0059793A" w:rsidRDefault="00070B5A" w14:paraId="5DD31B14" w14:textId="77777777">
            <w:pPr>
              <w:pStyle w:val="BodyText"/>
              <w:rPr>
                <w:b/>
                <w:sz w:val="20"/>
              </w:rPr>
            </w:pPr>
            <w:r w:rsidRPr="00B53E9B">
              <w:rPr>
                <w:b/>
                <w:sz w:val="20"/>
              </w:rPr>
              <w:t>Maximum dose</w:t>
            </w:r>
          </w:p>
        </w:tc>
        <w:tc>
          <w:tcPr>
            <w:tcW w:w="8533" w:type="dxa"/>
          </w:tcPr>
          <w:p w:rsidRPr="00026F20" w:rsidR="00070B5A" w:rsidP="0059793A" w:rsidRDefault="00070B5A" w14:paraId="06C2AAE1" w14:textId="77777777">
            <w:pPr>
              <w:pStyle w:val="BodyText"/>
              <w:rPr>
                <w:sz w:val="20"/>
              </w:rPr>
            </w:pPr>
            <w:r w:rsidRPr="00690969">
              <w:rPr>
                <w:sz w:val="20"/>
              </w:rPr>
              <w:t>Maximum stat dose: 1 mg (1000 microgram)</w:t>
            </w:r>
          </w:p>
        </w:tc>
      </w:tr>
      <w:tr w:rsidRPr="003A7895" w:rsidR="00070B5A" w:rsidTr="00FC713D" w14:paraId="05074A24" w14:textId="77777777">
        <w:trPr>
          <w:trHeight w:val="144"/>
        </w:trPr>
        <w:tc>
          <w:tcPr>
            <w:tcW w:w="1702" w:type="dxa"/>
          </w:tcPr>
          <w:p w:rsidRPr="00B53E9B" w:rsidR="00070B5A" w:rsidP="0059793A" w:rsidRDefault="00070B5A" w14:paraId="3E18C707" w14:textId="77777777">
            <w:pPr>
              <w:pStyle w:val="BodyText"/>
              <w:rPr>
                <w:rFonts w:cs="Arial"/>
                <w:b/>
                <w:bCs/>
                <w:sz w:val="20"/>
              </w:rPr>
            </w:pPr>
            <w:r w:rsidRPr="00B53E9B">
              <w:rPr>
                <w:b/>
                <w:sz w:val="20"/>
              </w:rPr>
              <w:t>Total cumulative dose</w:t>
            </w:r>
          </w:p>
        </w:tc>
        <w:tc>
          <w:tcPr>
            <w:tcW w:w="8533" w:type="dxa"/>
          </w:tcPr>
          <w:p w:rsidRPr="00026F20" w:rsidR="00070B5A" w:rsidP="0059793A" w:rsidRDefault="00070B5A" w14:paraId="579833C7" w14:textId="77777777">
            <w:pPr>
              <w:pStyle w:val="BodyText"/>
              <w:rPr>
                <w:rFonts w:cs="Arial"/>
                <w:b/>
                <w:sz w:val="20"/>
              </w:rPr>
            </w:pPr>
          </w:p>
        </w:tc>
      </w:tr>
      <w:tr w:rsidRPr="003A7895" w:rsidR="00070B5A" w:rsidTr="00FC713D" w14:paraId="40CDF984" w14:textId="77777777">
        <w:trPr>
          <w:trHeight w:val="294"/>
        </w:trPr>
        <w:tc>
          <w:tcPr>
            <w:tcW w:w="1702" w:type="dxa"/>
          </w:tcPr>
          <w:p w:rsidRPr="00B53E9B" w:rsidR="00070B5A" w:rsidP="0059793A" w:rsidRDefault="00070B5A" w14:paraId="03B3E953" w14:textId="77777777">
            <w:pPr>
              <w:pStyle w:val="BodyText"/>
              <w:rPr>
                <w:rFonts w:cs="Arial"/>
                <w:sz w:val="20"/>
              </w:rPr>
            </w:pPr>
            <w:r w:rsidRPr="00B53E9B">
              <w:rPr>
                <w:rFonts w:cs="Arial"/>
                <w:b/>
                <w:bCs/>
                <w:sz w:val="20"/>
              </w:rPr>
              <w:t xml:space="preserve">Route </w:t>
            </w:r>
          </w:p>
        </w:tc>
        <w:tc>
          <w:tcPr>
            <w:tcW w:w="8533" w:type="dxa"/>
          </w:tcPr>
          <w:p w:rsidRPr="00026F20" w:rsidR="00070B5A" w:rsidP="0059793A" w:rsidRDefault="00070B5A" w14:paraId="280AC901" w14:textId="77777777">
            <w:pPr>
              <w:pStyle w:val="BodyText"/>
              <w:rPr>
                <w:rFonts w:cs="Arial"/>
                <w:sz w:val="20"/>
              </w:rPr>
            </w:pPr>
            <w:r w:rsidRPr="00690969">
              <w:rPr>
                <w:rFonts w:cs="Arial"/>
                <w:sz w:val="20"/>
              </w:rPr>
              <w:t>IV, IM, SC</w:t>
            </w:r>
          </w:p>
        </w:tc>
      </w:tr>
      <w:tr w:rsidRPr="003A7895" w:rsidR="00070B5A" w:rsidTr="00FC713D" w14:paraId="6994E6D9" w14:textId="77777777">
        <w:trPr>
          <w:trHeight w:val="93"/>
        </w:trPr>
        <w:tc>
          <w:tcPr>
            <w:tcW w:w="1702" w:type="dxa"/>
          </w:tcPr>
          <w:p w:rsidRPr="00B53E9B" w:rsidR="00070B5A" w:rsidP="0059793A" w:rsidRDefault="00070B5A" w14:paraId="38EA01BD"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533" w:type="dxa"/>
          </w:tcPr>
          <w:p w:rsidRPr="00690969" w:rsidR="00070B5A" w:rsidP="0059793A" w:rsidRDefault="00070B5A" w14:paraId="04517FC3" w14:textId="77777777">
            <w:pPr>
              <w:pStyle w:val="BodyText"/>
              <w:rPr>
                <w:rFonts w:cs="Arial"/>
                <w:b/>
                <w:sz w:val="20"/>
                <w:u w:val="single"/>
              </w:rPr>
            </w:pPr>
            <w:r w:rsidRPr="00690969">
              <w:rPr>
                <w:rFonts w:cs="Arial"/>
                <w:b/>
                <w:sz w:val="20"/>
                <w:u w:val="single"/>
              </w:rPr>
              <w:t xml:space="preserve">IV bolus/IM/SC: </w:t>
            </w:r>
          </w:p>
          <w:p w:rsidRPr="00690969" w:rsidR="00070B5A" w:rsidP="0059793A" w:rsidRDefault="00070B5A" w14:paraId="459F15FC" w14:textId="77777777">
            <w:pPr>
              <w:pStyle w:val="BodyText"/>
              <w:rPr>
                <w:rFonts w:cs="Arial"/>
                <w:sz w:val="20"/>
              </w:rPr>
            </w:pPr>
            <w:r>
              <w:rPr>
                <w:rFonts w:cs="Arial"/>
                <w:sz w:val="20"/>
              </w:rPr>
              <w:t xml:space="preserve">Reconstitute </w:t>
            </w:r>
            <w:r w:rsidRPr="00690969">
              <w:rPr>
                <w:rFonts w:cs="Arial"/>
                <w:sz w:val="20"/>
              </w:rPr>
              <w:t>1</w:t>
            </w:r>
            <w:r>
              <w:rPr>
                <w:rFonts w:cs="Arial"/>
                <w:sz w:val="20"/>
              </w:rPr>
              <w:t xml:space="preserve"> </w:t>
            </w:r>
            <w:r w:rsidRPr="00690969">
              <w:rPr>
                <w:rFonts w:cs="Arial"/>
                <w:sz w:val="20"/>
              </w:rPr>
              <w:t xml:space="preserve">mg (1000 microgram) </w:t>
            </w:r>
            <w:r>
              <w:rPr>
                <w:rFonts w:cs="Arial"/>
                <w:sz w:val="20"/>
              </w:rPr>
              <w:t xml:space="preserve">glucagon </w:t>
            </w:r>
            <w:r w:rsidRPr="00690969">
              <w:rPr>
                <w:rFonts w:cs="Arial"/>
                <w:sz w:val="20"/>
              </w:rPr>
              <w:t xml:space="preserve">vial </w:t>
            </w:r>
            <w:r>
              <w:rPr>
                <w:rFonts w:cs="Arial"/>
                <w:sz w:val="20"/>
              </w:rPr>
              <w:t xml:space="preserve">with </w:t>
            </w:r>
            <w:r w:rsidRPr="00690969">
              <w:rPr>
                <w:rFonts w:cs="Arial"/>
                <w:sz w:val="20"/>
              </w:rPr>
              <w:t>1</w:t>
            </w:r>
            <w:r>
              <w:rPr>
                <w:rFonts w:cs="Arial"/>
                <w:sz w:val="20"/>
              </w:rPr>
              <w:t xml:space="preserve"> </w:t>
            </w:r>
            <w:r w:rsidRPr="00690969">
              <w:rPr>
                <w:rFonts w:cs="Arial"/>
                <w:sz w:val="20"/>
              </w:rPr>
              <w:t xml:space="preserve">mL of diluent provided </w:t>
            </w:r>
            <w:r>
              <w:rPr>
                <w:rFonts w:cs="Arial"/>
                <w:sz w:val="20"/>
              </w:rPr>
              <w:t>(water for injection</w:t>
            </w:r>
            <w:r w:rsidRPr="00690969">
              <w:rPr>
                <w:rFonts w:cs="Arial"/>
                <w:sz w:val="20"/>
              </w:rPr>
              <w:t>) to make a 1</w:t>
            </w:r>
            <w:r>
              <w:rPr>
                <w:rFonts w:cs="Arial"/>
                <w:sz w:val="20"/>
              </w:rPr>
              <w:t xml:space="preserve"> </w:t>
            </w:r>
            <w:r w:rsidRPr="00690969">
              <w:rPr>
                <w:rFonts w:cs="Arial"/>
                <w:sz w:val="20"/>
              </w:rPr>
              <w:t>mg/mL (1000 microgram/mL)</w:t>
            </w:r>
            <w:r>
              <w:rPr>
                <w:rFonts w:cs="Arial"/>
                <w:sz w:val="20"/>
              </w:rPr>
              <w:t xml:space="preserve"> solution.</w:t>
            </w:r>
          </w:p>
          <w:p w:rsidRPr="00690969" w:rsidR="00070B5A" w:rsidP="0059793A" w:rsidRDefault="00070B5A" w14:paraId="031B3C97" w14:textId="77777777">
            <w:pPr>
              <w:pStyle w:val="BodyText"/>
              <w:rPr>
                <w:rFonts w:cs="Arial"/>
                <w:sz w:val="20"/>
              </w:rPr>
            </w:pPr>
          </w:p>
          <w:p w:rsidRPr="00690969" w:rsidR="00070B5A" w:rsidP="0059793A" w:rsidRDefault="00070B5A" w14:paraId="46F030BE" w14:textId="77777777">
            <w:pPr>
              <w:pStyle w:val="BodyText"/>
              <w:rPr>
                <w:rFonts w:cs="Arial"/>
                <w:b/>
                <w:sz w:val="20"/>
                <w:u w:val="single"/>
              </w:rPr>
            </w:pPr>
            <w:r w:rsidRPr="00690969">
              <w:rPr>
                <w:rFonts w:cs="Arial"/>
                <w:b/>
                <w:sz w:val="20"/>
                <w:u w:val="single"/>
              </w:rPr>
              <w:t xml:space="preserve">IV </w:t>
            </w:r>
            <w:r>
              <w:rPr>
                <w:rFonts w:cs="Arial"/>
                <w:b/>
                <w:sz w:val="20"/>
                <w:u w:val="single"/>
              </w:rPr>
              <w:t>i</w:t>
            </w:r>
            <w:r w:rsidRPr="00690969">
              <w:rPr>
                <w:rFonts w:cs="Arial"/>
                <w:b/>
                <w:sz w:val="20"/>
                <w:u w:val="single"/>
              </w:rPr>
              <w:t>nfusion</w:t>
            </w:r>
          </w:p>
          <w:p w:rsidRPr="00690969" w:rsidR="00070B5A" w:rsidP="0059793A" w:rsidRDefault="00070B5A" w14:paraId="078AB23C" w14:textId="77777777">
            <w:pPr>
              <w:pStyle w:val="BodyText"/>
              <w:rPr>
                <w:rFonts w:cs="Arial"/>
                <w:b/>
                <w:sz w:val="20"/>
              </w:rPr>
            </w:pPr>
            <w:r w:rsidRPr="00690969">
              <w:rPr>
                <w:rFonts w:cs="Arial"/>
                <w:b/>
                <w:sz w:val="20"/>
              </w:rPr>
              <w:t xml:space="preserve">SINGLE STRENGTH infusion: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89"/>
              <w:gridCol w:w="4702"/>
            </w:tblGrid>
            <w:tr w:rsidRPr="00690969" w:rsidR="00070B5A" w:rsidTr="0059793A" w14:paraId="3E8A217C" w14:textId="77777777">
              <w:tc>
                <w:tcPr>
                  <w:tcW w:w="3289" w:type="dxa"/>
                </w:tcPr>
                <w:p w:rsidRPr="00690969" w:rsidR="00070B5A" w:rsidP="0059793A" w:rsidRDefault="00070B5A" w14:paraId="6EE45DAB" w14:textId="77777777">
                  <w:pPr>
                    <w:pStyle w:val="BodyText"/>
                    <w:jc w:val="center"/>
                    <w:rPr>
                      <w:rFonts w:cs="Arial"/>
                      <w:b/>
                      <w:sz w:val="20"/>
                    </w:rPr>
                  </w:pPr>
                  <w:r w:rsidRPr="00690969">
                    <w:rPr>
                      <w:rFonts w:cs="Arial"/>
                      <w:b/>
                      <w:sz w:val="20"/>
                    </w:rPr>
                    <w:t xml:space="preserve">Infusion </w:t>
                  </w:r>
                  <w:r>
                    <w:rPr>
                      <w:rFonts w:cs="Arial"/>
                      <w:b/>
                      <w:sz w:val="20"/>
                    </w:rPr>
                    <w:t>Strength</w:t>
                  </w:r>
                </w:p>
              </w:tc>
              <w:tc>
                <w:tcPr>
                  <w:tcW w:w="4702" w:type="dxa"/>
                </w:tcPr>
                <w:p w:rsidRPr="00690969" w:rsidR="00070B5A" w:rsidP="0059793A" w:rsidRDefault="00070B5A" w14:paraId="49EA59F6" w14:textId="77777777">
                  <w:pPr>
                    <w:pStyle w:val="BodyText"/>
                    <w:jc w:val="center"/>
                    <w:rPr>
                      <w:rFonts w:cs="Arial"/>
                      <w:b/>
                      <w:sz w:val="20"/>
                    </w:rPr>
                  </w:pPr>
                  <w:r w:rsidRPr="00690969">
                    <w:rPr>
                      <w:rFonts w:cs="Arial"/>
                      <w:b/>
                      <w:sz w:val="20"/>
                    </w:rPr>
                    <w:t>Prescribed amount</w:t>
                  </w:r>
                </w:p>
              </w:tc>
            </w:tr>
            <w:tr w:rsidRPr="00690969" w:rsidR="00070B5A" w:rsidTr="0059793A" w14:paraId="1CC0DA39" w14:textId="77777777">
              <w:tc>
                <w:tcPr>
                  <w:tcW w:w="3289" w:type="dxa"/>
                </w:tcPr>
                <w:p w:rsidRPr="00690969" w:rsidR="00070B5A" w:rsidP="0059793A" w:rsidRDefault="00070B5A" w14:paraId="54337A32" w14:textId="77777777">
                  <w:pPr>
                    <w:pStyle w:val="BodyText"/>
                    <w:jc w:val="center"/>
                    <w:rPr>
                      <w:rFonts w:cs="Arial"/>
                      <w:sz w:val="20"/>
                    </w:rPr>
                  </w:pPr>
                  <w:r w:rsidRPr="00690969">
                    <w:rPr>
                      <w:rFonts w:cs="Arial"/>
                      <w:sz w:val="20"/>
                    </w:rPr>
                    <w:t>1 mL/hour</w:t>
                  </w:r>
                  <w:r>
                    <w:rPr>
                      <w:rFonts w:cs="Arial"/>
                      <w:sz w:val="20"/>
                    </w:rPr>
                    <w:t xml:space="preserve"> </w:t>
                  </w:r>
                  <w:r w:rsidRPr="00690969">
                    <w:rPr>
                      <w:rFonts w:cs="Arial"/>
                      <w:sz w:val="20"/>
                    </w:rPr>
                    <w:t>=</w:t>
                  </w:r>
                  <w:r>
                    <w:rPr>
                      <w:rFonts w:cs="Arial"/>
                      <w:sz w:val="20"/>
                    </w:rPr>
                    <w:t xml:space="preserve"> </w:t>
                  </w:r>
                  <w:r w:rsidRPr="00690969">
                    <w:rPr>
                      <w:rFonts w:cs="Arial"/>
                      <w:sz w:val="20"/>
                    </w:rPr>
                    <w:t>10 microgram/kg/hour</w:t>
                  </w:r>
                </w:p>
              </w:tc>
              <w:tc>
                <w:tcPr>
                  <w:tcW w:w="4702" w:type="dxa"/>
                </w:tcPr>
                <w:p w:rsidRPr="00690969" w:rsidR="00070B5A" w:rsidP="0059793A" w:rsidRDefault="00070B5A" w14:paraId="55E3BC6F" w14:textId="77777777">
                  <w:pPr>
                    <w:pStyle w:val="BodyText"/>
                    <w:jc w:val="center"/>
                    <w:rPr>
                      <w:rFonts w:cs="Arial"/>
                      <w:sz w:val="20"/>
                    </w:rPr>
                  </w:pPr>
                  <w:r w:rsidRPr="00690969">
                    <w:rPr>
                      <w:rFonts w:cs="Arial"/>
                      <w:sz w:val="20"/>
                    </w:rPr>
                    <w:t>0.5 mg/kg (0.5 mL/kg) glucagon to make up to 50 mL</w:t>
                  </w:r>
                </w:p>
              </w:tc>
            </w:tr>
          </w:tbl>
          <w:p w:rsidR="00070B5A" w:rsidP="0059793A" w:rsidRDefault="00070B5A" w14:paraId="2D8085C3" w14:textId="77777777">
            <w:pPr>
              <w:pStyle w:val="BodyText"/>
              <w:rPr>
                <w:rFonts w:cs="Arial"/>
                <w:sz w:val="20"/>
              </w:rPr>
            </w:pPr>
            <w:r w:rsidRPr="00690969">
              <w:rPr>
                <w:rFonts w:cs="Arial"/>
                <w:sz w:val="20"/>
              </w:rPr>
              <w:t>Add 1</w:t>
            </w:r>
            <w:r>
              <w:rPr>
                <w:rFonts w:cs="Arial"/>
                <w:sz w:val="20"/>
              </w:rPr>
              <w:t xml:space="preserve"> </w:t>
            </w:r>
            <w:r w:rsidRPr="00690969">
              <w:rPr>
                <w:rFonts w:cs="Arial"/>
                <w:sz w:val="20"/>
              </w:rPr>
              <w:t xml:space="preserve">mL of diluent provided </w:t>
            </w:r>
            <w:r>
              <w:rPr>
                <w:rFonts w:cs="Arial"/>
                <w:sz w:val="20"/>
              </w:rPr>
              <w:t>(water for injection</w:t>
            </w:r>
            <w:r w:rsidRPr="00690969">
              <w:rPr>
                <w:rFonts w:cs="Arial"/>
                <w:sz w:val="20"/>
              </w:rPr>
              <w:t>) to the 1 mg vial (1000 microgram of glucagon)</w:t>
            </w:r>
            <w:r>
              <w:rPr>
                <w:rFonts w:cs="Arial"/>
                <w:sz w:val="20"/>
              </w:rPr>
              <w:t xml:space="preserve"> to make a 1mg/mL solution</w:t>
            </w:r>
            <w:r w:rsidRPr="00690969">
              <w:rPr>
                <w:rFonts w:cs="Arial"/>
                <w:sz w:val="20"/>
              </w:rPr>
              <w:t>.</w:t>
            </w:r>
          </w:p>
          <w:p w:rsidRPr="00E41750" w:rsidR="00070B5A" w:rsidP="0059793A" w:rsidRDefault="00070B5A" w14:paraId="36986780" w14:textId="77777777">
            <w:pPr>
              <w:pStyle w:val="BodyText"/>
              <w:rPr>
                <w:rFonts w:cs="Arial"/>
                <w:b/>
                <w:sz w:val="20"/>
              </w:rPr>
            </w:pPr>
            <w:r w:rsidRPr="00E41750">
              <w:rPr>
                <w:rFonts w:cs="Arial"/>
                <w:b/>
                <w:sz w:val="20"/>
              </w:rPr>
              <w:t xml:space="preserve">FURTHER DILUTE </w:t>
            </w:r>
          </w:p>
          <w:p w:rsidRPr="00690969" w:rsidR="00070B5A" w:rsidP="0059793A" w:rsidRDefault="00070B5A" w14:paraId="0FC7754A" w14:textId="77777777">
            <w:pPr>
              <w:pStyle w:val="BodyText"/>
              <w:rPr>
                <w:rFonts w:cs="Arial"/>
                <w:sz w:val="20"/>
              </w:rPr>
            </w:pPr>
            <w:r w:rsidRPr="00690969">
              <w:rPr>
                <w:rFonts w:cs="Arial"/>
                <w:sz w:val="20"/>
              </w:rPr>
              <w:t xml:space="preserve">Draw up 0.5 mL/kg (0.5 mg/kg of glucagon) </w:t>
            </w:r>
            <w:r>
              <w:rPr>
                <w:rFonts w:cs="Arial"/>
                <w:sz w:val="20"/>
              </w:rPr>
              <w:t xml:space="preserve">of the above solution </w:t>
            </w:r>
            <w:r w:rsidRPr="00690969">
              <w:rPr>
                <w:rFonts w:cs="Arial"/>
                <w:sz w:val="20"/>
              </w:rPr>
              <w:t xml:space="preserve">and make up to a final volume of 50 mL with glucose 5% </w:t>
            </w:r>
            <w:r>
              <w:rPr>
                <w:rFonts w:cs="Arial"/>
                <w:sz w:val="20"/>
              </w:rPr>
              <w:t>to make a final</w:t>
            </w:r>
            <w:r w:rsidRPr="00690969">
              <w:rPr>
                <w:rFonts w:cs="Arial"/>
                <w:sz w:val="20"/>
              </w:rPr>
              <w:t xml:space="preserve"> concentration of 10 microgram/kg/mL.</w:t>
            </w:r>
          </w:p>
          <w:p w:rsidRPr="00690969" w:rsidR="00070B5A" w:rsidP="0059793A" w:rsidRDefault="00070B5A" w14:paraId="71EB5EEA" w14:textId="77777777">
            <w:pPr>
              <w:pStyle w:val="BodyText"/>
              <w:rPr>
                <w:rFonts w:cs="Arial"/>
                <w:b/>
                <w:sz w:val="20"/>
              </w:rPr>
            </w:pPr>
            <w:r w:rsidRPr="00690969">
              <w:rPr>
                <w:rFonts w:cs="Arial"/>
                <w:b/>
                <w:sz w:val="20"/>
              </w:rPr>
              <w:t>Infusing at 1</w:t>
            </w:r>
            <w:r>
              <w:rPr>
                <w:rFonts w:cs="Arial"/>
                <w:b/>
                <w:sz w:val="20"/>
              </w:rPr>
              <w:t xml:space="preserve"> </w:t>
            </w:r>
            <w:r w:rsidRPr="00690969">
              <w:rPr>
                <w:rFonts w:cs="Arial"/>
                <w:b/>
                <w:sz w:val="20"/>
              </w:rPr>
              <w:t>mL/hour = 10</w:t>
            </w:r>
            <w:r>
              <w:rPr>
                <w:rFonts w:cs="Arial"/>
                <w:b/>
                <w:sz w:val="20"/>
              </w:rPr>
              <w:t xml:space="preserve"> </w:t>
            </w:r>
            <w:r w:rsidRPr="00690969">
              <w:rPr>
                <w:rFonts w:cs="Arial"/>
                <w:b/>
                <w:sz w:val="20"/>
              </w:rPr>
              <w:t>microgram/kg/hour.</w:t>
            </w:r>
          </w:p>
          <w:p w:rsidRPr="00690969" w:rsidR="00070B5A" w:rsidP="0059793A" w:rsidRDefault="00070B5A" w14:paraId="6DA51856" w14:textId="77777777">
            <w:pPr>
              <w:pStyle w:val="BodyText"/>
              <w:rPr>
                <w:rFonts w:cs="Arial"/>
                <w:sz w:val="20"/>
              </w:rPr>
            </w:pPr>
          </w:p>
          <w:p w:rsidRPr="00690969" w:rsidR="00070B5A" w:rsidP="0059793A" w:rsidRDefault="00070B5A" w14:paraId="71A399A5" w14:textId="77777777">
            <w:pPr>
              <w:pStyle w:val="BodyText"/>
              <w:rPr>
                <w:rFonts w:cs="Arial"/>
                <w:b/>
                <w:sz w:val="20"/>
              </w:rPr>
            </w:pPr>
            <w:r w:rsidRPr="00690969">
              <w:rPr>
                <w:rFonts w:cs="Arial"/>
                <w:b/>
                <w:sz w:val="20"/>
              </w:rPr>
              <w:t>DOUBLE STRENGTH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89"/>
              <w:gridCol w:w="4702"/>
            </w:tblGrid>
            <w:tr w:rsidRPr="00690969" w:rsidR="00070B5A" w:rsidTr="0059793A" w14:paraId="75E819B8" w14:textId="77777777">
              <w:tc>
                <w:tcPr>
                  <w:tcW w:w="3289" w:type="dxa"/>
                </w:tcPr>
                <w:p w:rsidRPr="00690969" w:rsidR="00070B5A" w:rsidP="0059793A" w:rsidRDefault="00070B5A" w14:paraId="2C4A3944" w14:textId="77777777">
                  <w:pPr>
                    <w:pStyle w:val="BodyText"/>
                    <w:jc w:val="center"/>
                    <w:rPr>
                      <w:rFonts w:cs="Arial"/>
                      <w:b/>
                      <w:sz w:val="20"/>
                    </w:rPr>
                  </w:pPr>
                  <w:r w:rsidRPr="00690969">
                    <w:rPr>
                      <w:rFonts w:cs="Arial"/>
                      <w:b/>
                      <w:sz w:val="20"/>
                    </w:rPr>
                    <w:t xml:space="preserve">Infusion </w:t>
                  </w:r>
                  <w:r>
                    <w:rPr>
                      <w:rFonts w:cs="Arial"/>
                      <w:b/>
                      <w:sz w:val="20"/>
                    </w:rPr>
                    <w:t>Strength</w:t>
                  </w:r>
                </w:p>
              </w:tc>
              <w:tc>
                <w:tcPr>
                  <w:tcW w:w="4702" w:type="dxa"/>
                </w:tcPr>
                <w:p w:rsidRPr="00690969" w:rsidR="00070B5A" w:rsidP="0059793A" w:rsidRDefault="00070B5A" w14:paraId="3683B5F4" w14:textId="77777777">
                  <w:pPr>
                    <w:pStyle w:val="BodyText"/>
                    <w:jc w:val="center"/>
                    <w:rPr>
                      <w:rFonts w:cs="Arial"/>
                      <w:b/>
                      <w:sz w:val="20"/>
                    </w:rPr>
                  </w:pPr>
                  <w:r w:rsidRPr="00690969">
                    <w:rPr>
                      <w:rFonts w:cs="Arial"/>
                      <w:b/>
                      <w:sz w:val="20"/>
                    </w:rPr>
                    <w:t>Prescribed amount</w:t>
                  </w:r>
                </w:p>
              </w:tc>
            </w:tr>
            <w:tr w:rsidRPr="00690969" w:rsidR="00070B5A" w:rsidTr="0059793A" w14:paraId="126BCCD2" w14:textId="77777777">
              <w:tc>
                <w:tcPr>
                  <w:tcW w:w="3289" w:type="dxa"/>
                </w:tcPr>
                <w:p w:rsidRPr="00690969" w:rsidR="00070B5A" w:rsidP="0059793A" w:rsidRDefault="00070B5A" w14:paraId="642F9E01" w14:textId="77777777">
                  <w:pPr>
                    <w:pStyle w:val="BodyText"/>
                    <w:jc w:val="center"/>
                    <w:rPr>
                      <w:rFonts w:cs="Arial"/>
                      <w:sz w:val="20"/>
                    </w:rPr>
                  </w:pPr>
                  <w:r w:rsidRPr="00690969">
                    <w:rPr>
                      <w:rFonts w:cs="Arial"/>
                      <w:sz w:val="20"/>
                    </w:rPr>
                    <w:t>1 mL/hour</w:t>
                  </w:r>
                  <w:r>
                    <w:rPr>
                      <w:rFonts w:cs="Arial"/>
                      <w:sz w:val="20"/>
                    </w:rPr>
                    <w:t xml:space="preserve"> </w:t>
                  </w:r>
                  <w:r w:rsidRPr="00690969">
                    <w:rPr>
                      <w:rFonts w:cs="Arial"/>
                      <w:sz w:val="20"/>
                    </w:rPr>
                    <w:t>=</w:t>
                  </w:r>
                  <w:r>
                    <w:rPr>
                      <w:rFonts w:cs="Arial"/>
                      <w:sz w:val="20"/>
                    </w:rPr>
                    <w:t xml:space="preserve"> </w:t>
                  </w:r>
                  <w:r w:rsidRPr="00690969">
                    <w:rPr>
                      <w:rFonts w:cs="Arial"/>
                      <w:sz w:val="20"/>
                    </w:rPr>
                    <w:t>20 microgram/kg/hour</w:t>
                  </w:r>
                </w:p>
              </w:tc>
              <w:tc>
                <w:tcPr>
                  <w:tcW w:w="4702" w:type="dxa"/>
                </w:tcPr>
                <w:p w:rsidRPr="00690969" w:rsidR="00070B5A" w:rsidP="0059793A" w:rsidRDefault="00070B5A" w14:paraId="11CD7770" w14:textId="77777777">
                  <w:pPr>
                    <w:pStyle w:val="BodyText"/>
                    <w:jc w:val="center"/>
                    <w:rPr>
                      <w:rFonts w:cs="Arial"/>
                      <w:sz w:val="20"/>
                    </w:rPr>
                  </w:pPr>
                  <w:r w:rsidRPr="00690969">
                    <w:rPr>
                      <w:rFonts w:cs="Arial"/>
                      <w:sz w:val="20"/>
                    </w:rPr>
                    <w:t>1 mg/kg (1 mL/kg) glucagon to make up to 50 mL</w:t>
                  </w:r>
                </w:p>
              </w:tc>
            </w:tr>
          </w:tbl>
          <w:p w:rsidR="00070B5A" w:rsidP="0059793A" w:rsidRDefault="00070B5A" w14:paraId="4C9D528E" w14:textId="77777777">
            <w:pPr>
              <w:pStyle w:val="BodyText"/>
              <w:rPr>
                <w:rFonts w:cs="Arial"/>
                <w:sz w:val="20"/>
              </w:rPr>
            </w:pPr>
            <w:r w:rsidRPr="00690969">
              <w:rPr>
                <w:rFonts w:cs="Arial"/>
                <w:sz w:val="20"/>
              </w:rPr>
              <w:lastRenderedPageBreak/>
              <w:t>Add 1</w:t>
            </w:r>
            <w:r>
              <w:rPr>
                <w:rFonts w:cs="Arial"/>
                <w:sz w:val="20"/>
              </w:rPr>
              <w:t xml:space="preserve"> </w:t>
            </w:r>
            <w:r w:rsidRPr="00690969">
              <w:rPr>
                <w:rFonts w:cs="Arial"/>
                <w:sz w:val="20"/>
              </w:rPr>
              <w:t xml:space="preserve">mL of diluent provided </w:t>
            </w:r>
            <w:r>
              <w:rPr>
                <w:rFonts w:cs="Arial"/>
                <w:sz w:val="20"/>
              </w:rPr>
              <w:t>(water for injection</w:t>
            </w:r>
            <w:r w:rsidRPr="00690969">
              <w:rPr>
                <w:rFonts w:cs="Arial"/>
                <w:sz w:val="20"/>
              </w:rPr>
              <w:t>) to the 1</w:t>
            </w:r>
            <w:r>
              <w:rPr>
                <w:rFonts w:cs="Arial"/>
                <w:sz w:val="20"/>
              </w:rPr>
              <w:t xml:space="preserve"> </w:t>
            </w:r>
            <w:r w:rsidRPr="00690969">
              <w:rPr>
                <w:rFonts w:cs="Arial"/>
                <w:sz w:val="20"/>
              </w:rPr>
              <w:t>mg vial (1000 microgram of glucagon)</w:t>
            </w:r>
            <w:r>
              <w:rPr>
                <w:rFonts w:cs="Arial"/>
                <w:sz w:val="20"/>
              </w:rPr>
              <w:t xml:space="preserve"> to make a 1mg/mL solution</w:t>
            </w:r>
            <w:r w:rsidRPr="00690969">
              <w:rPr>
                <w:rFonts w:cs="Arial"/>
                <w:sz w:val="20"/>
              </w:rPr>
              <w:t>.</w:t>
            </w:r>
          </w:p>
          <w:p w:rsidRPr="00E41750" w:rsidR="00070B5A" w:rsidP="0059793A" w:rsidRDefault="00070B5A" w14:paraId="4A74E940" w14:textId="77777777">
            <w:pPr>
              <w:pStyle w:val="BodyText"/>
              <w:rPr>
                <w:rFonts w:cs="Arial"/>
                <w:b/>
                <w:sz w:val="20"/>
              </w:rPr>
            </w:pPr>
            <w:r w:rsidRPr="00E41750">
              <w:rPr>
                <w:rFonts w:cs="Arial"/>
                <w:b/>
                <w:sz w:val="20"/>
              </w:rPr>
              <w:t xml:space="preserve">FURTHER DILUTE </w:t>
            </w:r>
          </w:p>
          <w:p w:rsidRPr="00690969" w:rsidR="00070B5A" w:rsidP="0059793A" w:rsidRDefault="00070B5A" w14:paraId="02252A06" w14:textId="77777777">
            <w:pPr>
              <w:pStyle w:val="BodyText"/>
              <w:rPr>
                <w:rFonts w:cs="Arial"/>
                <w:sz w:val="20"/>
              </w:rPr>
            </w:pPr>
            <w:r w:rsidRPr="00690969">
              <w:rPr>
                <w:rFonts w:cs="Arial"/>
                <w:sz w:val="20"/>
              </w:rPr>
              <w:t>Draw up 1 mL/kg (1</w:t>
            </w:r>
            <w:r>
              <w:rPr>
                <w:rFonts w:cs="Arial"/>
                <w:sz w:val="20"/>
              </w:rPr>
              <w:t xml:space="preserve"> </w:t>
            </w:r>
            <w:r w:rsidRPr="00690969">
              <w:rPr>
                <w:rFonts w:cs="Arial"/>
                <w:sz w:val="20"/>
              </w:rPr>
              <w:t xml:space="preserve">mg/kg of glucagon) </w:t>
            </w:r>
            <w:r>
              <w:rPr>
                <w:rFonts w:cs="Arial"/>
                <w:sz w:val="20"/>
              </w:rPr>
              <w:t xml:space="preserve">of the above solution </w:t>
            </w:r>
            <w:r w:rsidRPr="00690969">
              <w:rPr>
                <w:rFonts w:cs="Arial"/>
                <w:sz w:val="20"/>
              </w:rPr>
              <w:t xml:space="preserve">and make up to a final volume of 50 mL with glucose 5% </w:t>
            </w:r>
            <w:r>
              <w:rPr>
                <w:rFonts w:cs="Arial"/>
                <w:sz w:val="20"/>
              </w:rPr>
              <w:t>to make a final</w:t>
            </w:r>
            <w:r w:rsidRPr="00690969">
              <w:rPr>
                <w:rFonts w:cs="Arial"/>
                <w:sz w:val="20"/>
              </w:rPr>
              <w:t xml:space="preserve"> concentration of 20 microgram/kg/mL.</w:t>
            </w:r>
          </w:p>
          <w:p w:rsidRPr="00690969" w:rsidR="00070B5A" w:rsidP="0059793A" w:rsidRDefault="00070B5A" w14:paraId="66C9DFA0" w14:textId="77777777">
            <w:pPr>
              <w:pStyle w:val="BodyText"/>
              <w:rPr>
                <w:rFonts w:cs="Arial"/>
                <w:b/>
                <w:sz w:val="20"/>
              </w:rPr>
            </w:pPr>
            <w:r w:rsidRPr="00690969">
              <w:rPr>
                <w:rFonts w:cs="Arial"/>
                <w:b/>
                <w:sz w:val="20"/>
              </w:rPr>
              <w:t>Infusing at 1</w:t>
            </w:r>
            <w:r>
              <w:rPr>
                <w:rFonts w:cs="Arial"/>
                <w:b/>
                <w:sz w:val="20"/>
              </w:rPr>
              <w:t xml:space="preserve"> </w:t>
            </w:r>
            <w:r w:rsidRPr="00690969">
              <w:rPr>
                <w:rFonts w:cs="Arial"/>
                <w:b/>
                <w:sz w:val="20"/>
              </w:rPr>
              <w:t>mL/hour = 20</w:t>
            </w:r>
            <w:r>
              <w:rPr>
                <w:rFonts w:cs="Arial"/>
                <w:b/>
                <w:sz w:val="20"/>
              </w:rPr>
              <w:t xml:space="preserve"> </w:t>
            </w:r>
            <w:r w:rsidRPr="00690969">
              <w:rPr>
                <w:rFonts w:cs="Arial"/>
                <w:b/>
                <w:sz w:val="20"/>
              </w:rPr>
              <w:t>microgram/kg/hour.</w:t>
            </w:r>
          </w:p>
        </w:tc>
      </w:tr>
      <w:tr w:rsidRPr="003A7895" w:rsidR="00070B5A" w:rsidTr="00FC713D" w14:paraId="3ED9ABC9" w14:textId="77777777">
        <w:trPr>
          <w:trHeight w:val="224"/>
        </w:trPr>
        <w:tc>
          <w:tcPr>
            <w:tcW w:w="1702" w:type="dxa"/>
          </w:tcPr>
          <w:p w:rsidRPr="00B53E9B" w:rsidR="00070B5A" w:rsidP="0059793A" w:rsidRDefault="00070B5A" w14:paraId="10690EFE" w14:textId="77777777">
            <w:pPr>
              <w:pStyle w:val="BodyText"/>
              <w:rPr>
                <w:rFonts w:cs="Arial"/>
                <w:b/>
                <w:bCs/>
                <w:sz w:val="20"/>
              </w:rPr>
            </w:pPr>
            <w:r w:rsidRPr="00B53E9B">
              <w:rPr>
                <w:rFonts w:cs="Arial"/>
                <w:b/>
                <w:bCs/>
                <w:sz w:val="20"/>
              </w:rPr>
              <w:lastRenderedPageBreak/>
              <w:t xml:space="preserve">Administration </w:t>
            </w:r>
          </w:p>
        </w:tc>
        <w:tc>
          <w:tcPr>
            <w:tcW w:w="8533" w:type="dxa"/>
            <w:vAlign w:val="center"/>
          </w:tcPr>
          <w:p w:rsidRPr="00690969" w:rsidR="00070B5A" w:rsidP="0059793A" w:rsidRDefault="00070B5A" w14:paraId="2970D8ED" w14:textId="77777777">
            <w:pPr>
              <w:pStyle w:val="BodyText"/>
              <w:rPr>
                <w:sz w:val="20"/>
              </w:rPr>
            </w:pPr>
            <w:r w:rsidRPr="00690969">
              <w:rPr>
                <w:sz w:val="20"/>
              </w:rPr>
              <w:t>Do not use the reconstituted solution unless it is clear.</w:t>
            </w:r>
          </w:p>
          <w:p w:rsidRPr="00690969" w:rsidR="00070B5A" w:rsidP="0059793A" w:rsidRDefault="00070B5A" w14:paraId="693ECDD8" w14:textId="77777777">
            <w:pPr>
              <w:pStyle w:val="BodyText"/>
              <w:rPr>
                <w:sz w:val="20"/>
              </w:rPr>
            </w:pPr>
            <w:r w:rsidRPr="00690969">
              <w:rPr>
                <w:b/>
                <w:sz w:val="20"/>
              </w:rPr>
              <w:t>IV bolus</w:t>
            </w:r>
            <w:r w:rsidRPr="00690969">
              <w:rPr>
                <w:sz w:val="20"/>
              </w:rPr>
              <w:t xml:space="preserve">: Administer </w:t>
            </w:r>
            <w:r>
              <w:rPr>
                <w:sz w:val="20"/>
              </w:rPr>
              <w:t xml:space="preserve">0.2 mL/kg of the reconstituted solution (to a maximum 1 mL) </w:t>
            </w:r>
            <w:r w:rsidRPr="00690969">
              <w:rPr>
                <w:sz w:val="20"/>
              </w:rPr>
              <w:t>over 3 to 5 minutes.</w:t>
            </w:r>
          </w:p>
          <w:p w:rsidRPr="00FA7904" w:rsidR="00070B5A" w:rsidP="0059793A" w:rsidRDefault="00070B5A" w14:paraId="296BB7D4" w14:textId="77777777">
            <w:pPr>
              <w:pStyle w:val="BodyText"/>
              <w:rPr>
                <w:rFonts w:cs="Helvetica"/>
                <w:sz w:val="20"/>
              </w:rPr>
            </w:pPr>
            <w:r w:rsidRPr="00690969">
              <w:rPr>
                <w:b/>
                <w:sz w:val="20"/>
              </w:rPr>
              <w:t>IM:</w:t>
            </w:r>
            <w:r w:rsidRPr="00690969">
              <w:rPr>
                <w:sz w:val="20"/>
              </w:rPr>
              <w:t xml:space="preserve"> </w:t>
            </w:r>
            <w:r w:rsidRPr="00FA7904">
              <w:rPr>
                <w:rFonts w:cs="Helvetica"/>
                <w:sz w:val="20"/>
              </w:rPr>
              <w:t xml:space="preserve">Inject into the anterolateral thigh (preferred) or the ventrogluteal areas </w:t>
            </w:r>
            <w:r w:rsidRPr="00FA7904">
              <w:rPr>
                <w:rFonts w:cs="Helvetica"/>
                <w:noProof/>
                <w:sz w:val="20"/>
              </w:rPr>
              <w:t>[1, 2]</w:t>
            </w:r>
            <w:r w:rsidRPr="00FA7904">
              <w:rPr>
                <w:rFonts w:cs="Helvetica"/>
                <w:sz w:val="20"/>
              </w:rPr>
              <w:t>.</w:t>
            </w:r>
          </w:p>
          <w:p w:rsidRPr="00FA7904" w:rsidR="00070B5A" w:rsidP="0059793A" w:rsidRDefault="00070B5A" w14:paraId="24780A1F" w14:textId="77777777">
            <w:pPr>
              <w:pStyle w:val="BodyText"/>
              <w:rPr>
                <w:rFonts w:cs="Helvetica"/>
                <w:sz w:val="20"/>
              </w:rPr>
            </w:pPr>
            <w:r w:rsidRPr="00690969">
              <w:rPr>
                <w:b/>
                <w:sz w:val="20"/>
              </w:rPr>
              <w:t>SC:</w:t>
            </w:r>
            <w:r w:rsidRPr="00690969">
              <w:rPr>
                <w:sz w:val="20"/>
              </w:rPr>
              <w:t xml:space="preserve"> </w:t>
            </w:r>
            <w:r w:rsidRPr="00FA7904">
              <w:rPr>
                <w:rFonts w:cs="Helvetica"/>
                <w:sz w:val="20"/>
              </w:rPr>
              <w:t xml:space="preserve">Inject into the area over the deltoid muscle or over the anterolateral thigh </w:t>
            </w:r>
            <w:r w:rsidRPr="00FA7904">
              <w:rPr>
                <w:rFonts w:cs="Helvetica"/>
                <w:noProof/>
                <w:sz w:val="20"/>
              </w:rPr>
              <w:t>[1, 3]</w:t>
            </w:r>
            <w:r w:rsidRPr="00FA7904">
              <w:rPr>
                <w:rFonts w:cs="Helvetica"/>
                <w:sz w:val="20"/>
              </w:rPr>
              <w:t>.</w:t>
            </w:r>
          </w:p>
          <w:p w:rsidRPr="00690969" w:rsidR="00070B5A" w:rsidP="0059793A" w:rsidRDefault="00070B5A" w14:paraId="2C291364" w14:textId="77777777">
            <w:pPr>
              <w:pStyle w:val="BodyText"/>
              <w:rPr>
                <w:rFonts w:cs="Arial"/>
                <w:sz w:val="20"/>
              </w:rPr>
            </w:pPr>
            <w:r w:rsidRPr="00690969">
              <w:rPr>
                <w:rFonts w:cs="Arial"/>
                <w:b/>
                <w:sz w:val="20"/>
              </w:rPr>
              <w:t>Continuous IV infusion:</w:t>
            </w:r>
            <w:r w:rsidRPr="00690969">
              <w:rPr>
                <w:rFonts w:cs="Arial"/>
                <w:sz w:val="20"/>
              </w:rPr>
              <w:t xml:space="preserve"> </w:t>
            </w:r>
            <w:r>
              <w:rPr>
                <w:rFonts w:cs="Arial"/>
                <w:sz w:val="20"/>
              </w:rPr>
              <w:t>V</w:t>
            </w:r>
            <w:r w:rsidRPr="00690969">
              <w:rPr>
                <w:rFonts w:cs="Arial"/>
                <w:sz w:val="20"/>
              </w:rPr>
              <w:t>ia syringe driver.</w:t>
            </w:r>
          </w:p>
        </w:tc>
      </w:tr>
      <w:tr w:rsidRPr="003A7895" w:rsidR="00070B5A" w:rsidTr="00FC713D" w14:paraId="55690785" w14:textId="77777777">
        <w:trPr>
          <w:trHeight w:val="215"/>
        </w:trPr>
        <w:tc>
          <w:tcPr>
            <w:tcW w:w="1702" w:type="dxa"/>
          </w:tcPr>
          <w:p w:rsidRPr="00B53E9B" w:rsidR="00070B5A" w:rsidP="0059793A" w:rsidRDefault="00070B5A" w14:paraId="3FA00A4C" w14:textId="77777777">
            <w:pPr>
              <w:pStyle w:val="BodyText"/>
              <w:rPr>
                <w:rFonts w:cs="Arial"/>
                <w:b/>
                <w:bCs/>
                <w:sz w:val="20"/>
              </w:rPr>
            </w:pPr>
            <w:r w:rsidRPr="00B53E9B">
              <w:rPr>
                <w:rFonts w:cs="Arial"/>
                <w:b/>
                <w:bCs/>
                <w:sz w:val="20"/>
              </w:rPr>
              <w:t>Monitoring</w:t>
            </w:r>
          </w:p>
        </w:tc>
        <w:tc>
          <w:tcPr>
            <w:tcW w:w="8533" w:type="dxa"/>
          </w:tcPr>
          <w:p w:rsidRPr="00FA7904" w:rsidR="00070B5A" w:rsidP="0059793A" w:rsidRDefault="00070B5A" w14:paraId="79B7DC00" w14:textId="77777777">
            <w:pPr>
              <w:pStyle w:val="BodyText"/>
              <w:rPr>
                <w:rFonts w:cs="Arial"/>
                <w:sz w:val="20"/>
              </w:rPr>
            </w:pPr>
            <w:r w:rsidRPr="00FA7904">
              <w:rPr>
                <w:rFonts w:cs="Arial"/>
                <w:sz w:val="20"/>
              </w:rPr>
              <w:t>Blood glucose concentrations</w:t>
            </w:r>
            <w:r>
              <w:rPr>
                <w:rFonts w:cs="Arial"/>
                <w:sz w:val="20"/>
              </w:rPr>
              <w:t>,</w:t>
            </w:r>
            <w:r w:rsidRPr="00FA7904">
              <w:rPr>
                <w:rFonts w:cs="Arial"/>
                <w:sz w:val="20"/>
              </w:rPr>
              <w:t xml:space="preserve"> watch for rebound hypoglycaemia</w:t>
            </w:r>
            <w:r>
              <w:rPr>
                <w:rFonts w:cs="Arial"/>
                <w:sz w:val="20"/>
              </w:rPr>
              <w:t xml:space="preserve"> after cessation.</w:t>
            </w:r>
          </w:p>
          <w:p w:rsidRPr="00FA7904" w:rsidR="00070B5A" w:rsidP="0059793A" w:rsidRDefault="00070B5A" w14:paraId="1D7FD667" w14:textId="77777777">
            <w:pPr>
              <w:pStyle w:val="BodyText"/>
              <w:rPr>
                <w:rFonts w:cs="Arial"/>
                <w:sz w:val="20"/>
              </w:rPr>
            </w:pPr>
            <w:r w:rsidRPr="00FA7904">
              <w:rPr>
                <w:rFonts w:cs="Arial"/>
                <w:sz w:val="20"/>
              </w:rPr>
              <w:t xml:space="preserve">Consider cardiorespiratory and blood pressure monitoring. </w:t>
            </w:r>
          </w:p>
          <w:p w:rsidRPr="00FA7904" w:rsidR="00070B5A" w:rsidP="0059793A" w:rsidRDefault="00070B5A" w14:paraId="4C50DE32" w14:textId="77777777">
            <w:pPr>
              <w:pStyle w:val="BodyText"/>
              <w:rPr>
                <w:rFonts w:cs="Arial"/>
                <w:sz w:val="20"/>
              </w:rPr>
            </w:pPr>
            <w:r w:rsidRPr="00FA7904">
              <w:rPr>
                <w:rFonts w:cs="Arial"/>
                <w:sz w:val="20"/>
              </w:rPr>
              <w:t>Electrolytes for continuous infusion.</w:t>
            </w:r>
          </w:p>
        </w:tc>
      </w:tr>
      <w:tr w:rsidRPr="003A7895" w:rsidR="00070B5A" w:rsidTr="00FC713D" w14:paraId="3BA8EC61" w14:textId="77777777">
        <w:trPr>
          <w:trHeight w:val="342"/>
        </w:trPr>
        <w:tc>
          <w:tcPr>
            <w:tcW w:w="1702" w:type="dxa"/>
          </w:tcPr>
          <w:p w:rsidRPr="00B53E9B" w:rsidR="00070B5A" w:rsidP="0059793A" w:rsidRDefault="00070B5A" w14:paraId="39524D9D" w14:textId="77777777">
            <w:pPr>
              <w:pStyle w:val="BodyText"/>
              <w:rPr>
                <w:rFonts w:cs="Arial"/>
                <w:b/>
                <w:bCs/>
                <w:sz w:val="20"/>
              </w:rPr>
            </w:pPr>
            <w:r w:rsidRPr="00B53E9B">
              <w:rPr>
                <w:rFonts w:cs="Arial"/>
                <w:b/>
                <w:bCs/>
                <w:sz w:val="20"/>
              </w:rPr>
              <w:t>Contraindications</w:t>
            </w:r>
          </w:p>
        </w:tc>
        <w:tc>
          <w:tcPr>
            <w:tcW w:w="8533" w:type="dxa"/>
          </w:tcPr>
          <w:p w:rsidRPr="00FA7904" w:rsidR="00070B5A" w:rsidP="0059793A" w:rsidRDefault="00070B5A" w14:paraId="257840C6" w14:textId="77777777">
            <w:pPr>
              <w:pStyle w:val="BodyText"/>
              <w:rPr>
                <w:rFonts w:cs="Arial"/>
                <w:sz w:val="20"/>
              </w:rPr>
            </w:pPr>
            <w:r w:rsidRPr="00FA7904">
              <w:rPr>
                <w:rFonts w:cs="Arial"/>
                <w:sz w:val="20"/>
              </w:rPr>
              <w:t xml:space="preserve">Phaeochromocytoma </w:t>
            </w:r>
            <w:r w:rsidRPr="00FA7904">
              <w:rPr>
                <w:rFonts w:cs="Arial"/>
                <w:noProof/>
                <w:sz w:val="20"/>
              </w:rPr>
              <w:t>[4-6]</w:t>
            </w:r>
            <w:r w:rsidRPr="00FA7904">
              <w:rPr>
                <w:rFonts w:cs="Arial"/>
                <w:sz w:val="20"/>
              </w:rPr>
              <w:t xml:space="preserve">, glucagonoma. </w:t>
            </w:r>
          </w:p>
          <w:p w:rsidRPr="00FA7904" w:rsidR="00070B5A" w:rsidP="0059793A" w:rsidRDefault="00070B5A" w14:paraId="1159C360" w14:textId="77777777">
            <w:pPr>
              <w:pStyle w:val="BodyText"/>
              <w:rPr>
                <w:rFonts w:cs="Arial"/>
                <w:sz w:val="20"/>
              </w:rPr>
            </w:pPr>
            <w:r w:rsidRPr="00FA7904">
              <w:rPr>
                <w:rFonts w:cs="Arial"/>
                <w:sz w:val="20"/>
              </w:rPr>
              <w:t xml:space="preserve">Hypersensitivity to glucagon or any component. </w:t>
            </w:r>
          </w:p>
        </w:tc>
      </w:tr>
      <w:tr w:rsidRPr="003A7895" w:rsidR="00070B5A" w:rsidTr="00FC713D" w14:paraId="3ED25B61" w14:textId="77777777">
        <w:tc>
          <w:tcPr>
            <w:tcW w:w="1702" w:type="dxa"/>
          </w:tcPr>
          <w:p w:rsidRPr="00B53E9B" w:rsidR="00070B5A" w:rsidP="0059793A" w:rsidRDefault="00070B5A" w14:paraId="5A81090C" w14:textId="77777777">
            <w:pPr>
              <w:pStyle w:val="BodyText"/>
              <w:rPr>
                <w:rFonts w:cs="Arial"/>
                <w:b/>
                <w:bCs/>
                <w:sz w:val="20"/>
              </w:rPr>
            </w:pPr>
            <w:r w:rsidRPr="00B53E9B">
              <w:rPr>
                <w:sz w:val="20"/>
              </w:rPr>
              <w:br w:type="page"/>
            </w:r>
            <w:r w:rsidRPr="00B53E9B">
              <w:rPr>
                <w:rFonts w:cs="Arial"/>
                <w:b/>
                <w:bCs/>
                <w:sz w:val="20"/>
              </w:rPr>
              <w:t>Precautions</w:t>
            </w:r>
          </w:p>
        </w:tc>
        <w:tc>
          <w:tcPr>
            <w:tcW w:w="8533" w:type="dxa"/>
          </w:tcPr>
          <w:p w:rsidRPr="00FA7904" w:rsidR="00070B5A" w:rsidP="0059793A" w:rsidRDefault="00070B5A" w14:paraId="2344F9F6" w14:textId="77777777">
            <w:pPr>
              <w:pStyle w:val="BodyText"/>
              <w:rPr>
                <w:rFonts w:cs="Arial"/>
                <w:sz w:val="20"/>
              </w:rPr>
            </w:pPr>
            <w:r w:rsidRPr="00FA7904">
              <w:rPr>
                <w:rFonts w:cs="Arial"/>
                <w:sz w:val="20"/>
              </w:rPr>
              <w:t xml:space="preserve">Hypertension. </w:t>
            </w:r>
          </w:p>
          <w:p w:rsidRPr="00FA7904" w:rsidR="00070B5A" w:rsidP="0059793A" w:rsidRDefault="00070B5A" w14:paraId="28361BB9" w14:textId="77777777">
            <w:pPr>
              <w:pStyle w:val="BodyText"/>
              <w:rPr>
                <w:rFonts w:cs="Arial"/>
                <w:sz w:val="20"/>
              </w:rPr>
            </w:pPr>
            <w:r w:rsidRPr="00FA7904">
              <w:rPr>
                <w:rFonts w:cs="Arial"/>
                <w:sz w:val="20"/>
              </w:rPr>
              <w:t xml:space="preserve">Insulinoma: Glucagon has been used to treat hypoglycaemia caused by insulinoma. However, it should be used cautiously because of the propensity to release insulin </w:t>
            </w:r>
            <w:r w:rsidRPr="00FA7904">
              <w:rPr>
                <w:rFonts w:cs="Arial"/>
                <w:noProof/>
                <w:sz w:val="20"/>
              </w:rPr>
              <w:t>[7]</w:t>
            </w:r>
            <w:r w:rsidRPr="00FA7904">
              <w:rPr>
                <w:rFonts w:cs="Arial"/>
                <w:sz w:val="20"/>
              </w:rPr>
              <w:t xml:space="preserve">. </w:t>
            </w:r>
          </w:p>
        </w:tc>
      </w:tr>
      <w:tr w:rsidRPr="003A7895" w:rsidR="00070B5A" w:rsidTr="00FC713D" w14:paraId="740D8DAB" w14:textId="77777777">
        <w:trPr>
          <w:trHeight w:val="70"/>
        </w:trPr>
        <w:tc>
          <w:tcPr>
            <w:tcW w:w="1702" w:type="dxa"/>
          </w:tcPr>
          <w:p w:rsidRPr="00B53E9B" w:rsidR="00070B5A" w:rsidP="0059793A" w:rsidRDefault="00070B5A" w14:paraId="2708638B"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533" w:type="dxa"/>
          </w:tcPr>
          <w:p w:rsidRPr="00FA7904" w:rsidR="00070B5A" w:rsidP="0059793A" w:rsidRDefault="00070B5A" w14:paraId="07DF9408" w14:textId="77777777">
            <w:pPr>
              <w:pStyle w:val="BodyText"/>
              <w:rPr>
                <w:rFonts w:cs="Arial"/>
                <w:sz w:val="20"/>
              </w:rPr>
            </w:pPr>
            <w:r w:rsidRPr="00FA7904">
              <w:rPr>
                <w:rFonts w:cs="Arial"/>
                <w:sz w:val="20"/>
              </w:rPr>
              <w:t xml:space="preserve">Drug interactions largely unreported in newborn infants. </w:t>
            </w:r>
          </w:p>
          <w:p w:rsidRPr="005E1A1D" w:rsidR="00070B5A" w:rsidP="0059793A" w:rsidRDefault="00070B5A" w14:paraId="273EA3CA" w14:textId="77777777">
            <w:pPr>
              <w:pStyle w:val="BodyText"/>
              <w:rPr>
                <w:rFonts w:cs="Arial"/>
                <w:sz w:val="20"/>
              </w:rPr>
            </w:pPr>
            <w:r w:rsidRPr="00FA7904">
              <w:rPr>
                <w:rFonts w:cs="Arial"/>
                <w:sz w:val="20"/>
              </w:rPr>
              <w:t>Glucagon has a positive inotropic action which may counteract effect of beta</w:t>
            </w:r>
            <w:r>
              <w:rPr>
                <w:rFonts w:cs="Arial"/>
                <w:sz w:val="20"/>
              </w:rPr>
              <w:t>-</w:t>
            </w:r>
            <w:r w:rsidRPr="005E1A1D">
              <w:rPr>
                <w:rFonts w:cs="Arial"/>
                <w:sz w:val="20"/>
              </w:rPr>
              <w:t>blockers. Beta</w:t>
            </w:r>
            <w:r>
              <w:rPr>
                <w:rFonts w:cs="Arial"/>
                <w:sz w:val="20"/>
              </w:rPr>
              <w:t>-</w:t>
            </w:r>
            <w:r w:rsidRPr="005E1A1D">
              <w:rPr>
                <w:rFonts w:cs="Arial"/>
                <w:sz w:val="20"/>
              </w:rPr>
              <w:t xml:space="preserve">blockers may reduce hyperglycaemic effect of glucagon </w:t>
            </w:r>
            <w:r w:rsidRPr="005E1A1D">
              <w:rPr>
                <w:rFonts w:cs="Arial"/>
                <w:noProof/>
                <w:sz w:val="20"/>
              </w:rPr>
              <w:t>[8]</w:t>
            </w:r>
            <w:r w:rsidRPr="005E1A1D">
              <w:rPr>
                <w:rFonts w:cs="Arial"/>
                <w:sz w:val="20"/>
              </w:rPr>
              <w:t>.</w:t>
            </w:r>
          </w:p>
          <w:p w:rsidRPr="00FA7904" w:rsidR="00070B5A" w:rsidP="0059793A" w:rsidRDefault="00070B5A" w14:paraId="291E4EA8" w14:textId="77777777">
            <w:pPr>
              <w:pStyle w:val="BodyText"/>
              <w:rPr>
                <w:rFonts w:cs="Arial"/>
                <w:sz w:val="20"/>
                <w:vertAlign w:val="superscript"/>
              </w:rPr>
            </w:pPr>
            <w:r w:rsidRPr="00FA7904">
              <w:rPr>
                <w:rFonts w:cs="Arial"/>
                <w:sz w:val="20"/>
              </w:rPr>
              <w:t>Warfarin: Increased effect of warfarin resulting in increased risk of bleeding.</w:t>
            </w:r>
            <w:r w:rsidRPr="00FA7904">
              <w:rPr>
                <w:rFonts w:cs="Arial"/>
                <w:noProof/>
                <w:sz w:val="20"/>
              </w:rPr>
              <w:t>[9]</w:t>
            </w:r>
          </w:p>
          <w:p w:rsidRPr="00FA7904" w:rsidR="00070B5A" w:rsidP="0059793A" w:rsidRDefault="00070B5A" w14:paraId="0ABC4772" w14:textId="77777777">
            <w:pPr>
              <w:pStyle w:val="BodyText"/>
              <w:rPr>
                <w:rFonts w:cs="Arial"/>
                <w:sz w:val="20"/>
              </w:rPr>
            </w:pPr>
            <w:r w:rsidRPr="00FA7904">
              <w:rPr>
                <w:rFonts w:cs="Arial"/>
                <w:sz w:val="20"/>
              </w:rPr>
              <w:t xml:space="preserve">Indomethacin: Glucagon may lose its ability to raise blood glucose or paradoxically may even produce hypoglycaemia </w:t>
            </w:r>
            <w:r w:rsidRPr="00FA7904">
              <w:rPr>
                <w:rFonts w:cs="Arial"/>
                <w:noProof/>
                <w:sz w:val="20"/>
              </w:rPr>
              <w:t>[7]</w:t>
            </w:r>
            <w:r w:rsidRPr="00FA7904">
              <w:rPr>
                <w:rFonts w:cs="Arial"/>
                <w:sz w:val="20"/>
              </w:rPr>
              <w:t>.</w:t>
            </w:r>
          </w:p>
        </w:tc>
      </w:tr>
      <w:tr w:rsidRPr="003A7895" w:rsidR="00070B5A" w:rsidTr="00FC713D" w14:paraId="7801DD65" w14:textId="77777777">
        <w:trPr>
          <w:trHeight w:val="332"/>
        </w:trPr>
        <w:tc>
          <w:tcPr>
            <w:tcW w:w="1702" w:type="dxa"/>
          </w:tcPr>
          <w:p w:rsidRPr="00B53E9B" w:rsidR="00070B5A" w:rsidP="0059793A" w:rsidRDefault="00070B5A" w14:paraId="4700CE3C"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533" w:type="dxa"/>
          </w:tcPr>
          <w:p w:rsidRPr="00FA7904" w:rsidR="00070B5A" w:rsidP="0059793A" w:rsidRDefault="00070B5A" w14:paraId="04F4AA0B" w14:textId="77777777">
            <w:pPr>
              <w:pStyle w:val="BodyText"/>
              <w:rPr>
                <w:rFonts w:cs="Arial"/>
                <w:sz w:val="20"/>
              </w:rPr>
            </w:pPr>
            <w:r w:rsidRPr="00FA7904">
              <w:rPr>
                <w:rFonts w:cs="Arial"/>
                <w:sz w:val="20"/>
              </w:rPr>
              <w:t xml:space="preserve">Generally well tolerated. </w:t>
            </w:r>
          </w:p>
          <w:p w:rsidRPr="00FA7904" w:rsidR="00070B5A" w:rsidP="0059793A" w:rsidRDefault="00070B5A" w14:paraId="392C1E18" w14:textId="77777777">
            <w:pPr>
              <w:pStyle w:val="BodyText"/>
              <w:rPr>
                <w:rFonts w:cs="Arial"/>
                <w:sz w:val="20"/>
              </w:rPr>
            </w:pPr>
            <w:r w:rsidRPr="00FA7904">
              <w:rPr>
                <w:rFonts w:cs="Arial"/>
                <w:sz w:val="20"/>
              </w:rPr>
              <w:t xml:space="preserve">Transient increase in blood pressure and pulse rate. </w:t>
            </w:r>
            <w:r w:rsidRPr="00FA7904">
              <w:rPr>
                <w:rFonts w:cs="Arial"/>
                <w:noProof/>
                <w:sz w:val="20"/>
              </w:rPr>
              <w:t>[7]</w:t>
            </w:r>
          </w:p>
          <w:p w:rsidRPr="005E1A1D" w:rsidR="00070B5A" w:rsidP="0059793A" w:rsidRDefault="00070B5A" w14:paraId="6C8B5E1A" w14:textId="77777777">
            <w:pPr>
              <w:pStyle w:val="BodyText"/>
              <w:rPr>
                <w:rFonts w:cs="Arial"/>
                <w:sz w:val="20"/>
              </w:rPr>
            </w:pPr>
            <w:r w:rsidRPr="00FA7904">
              <w:rPr>
                <w:rFonts w:cs="Arial"/>
                <w:sz w:val="20"/>
              </w:rPr>
              <w:t xml:space="preserve">Anaphylaxis or hypersensitivity reactions </w:t>
            </w:r>
            <w:r>
              <w:rPr>
                <w:rFonts w:cs="Arial"/>
                <w:sz w:val="20"/>
              </w:rPr>
              <w:t>have been</w:t>
            </w:r>
            <w:r w:rsidRPr="005E1A1D">
              <w:rPr>
                <w:rFonts w:cs="Arial"/>
                <w:sz w:val="20"/>
              </w:rPr>
              <w:t xml:space="preserve"> reported in adults. </w:t>
            </w:r>
            <w:r w:rsidRPr="005E1A1D">
              <w:rPr>
                <w:rFonts w:cs="Arial"/>
                <w:noProof/>
                <w:sz w:val="20"/>
              </w:rPr>
              <w:t>[7]</w:t>
            </w:r>
            <w:r w:rsidRPr="005E1A1D">
              <w:rPr>
                <w:rFonts w:cs="Arial"/>
                <w:sz w:val="20"/>
              </w:rPr>
              <w:t xml:space="preserve"> </w:t>
            </w:r>
          </w:p>
          <w:p w:rsidRPr="00FA7904" w:rsidR="00070B5A" w:rsidP="0059793A" w:rsidRDefault="00070B5A" w14:paraId="39A5EE0D" w14:textId="77777777">
            <w:pPr>
              <w:pStyle w:val="BodyText"/>
              <w:rPr>
                <w:rFonts w:cs="Arial"/>
                <w:sz w:val="20"/>
                <w:vertAlign w:val="superscript"/>
              </w:rPr>
            </w:pPr>
            <w:r w:rsidRPr="00FA7904">
              <w:rPr>
                <w:rFonts w:cs="Arial"/>
                <w:sz w:val="20"/>
              </w:rPr>
              <w:t xml:space="preserve">Very rare: Hypertension, hypotension, vomiting. </w:t>
            </w:r>
            <w:r w:rsidRPr="00FA7904">
              <w:rPr>
                <w:rFonts w:cs="Arial"/>
                <w:noProof/>
                <w:sz w:val="20"/>
              </w:rPr>
              <w:t>[7]</w:t>
            </w:r>
          </w:p>
          <w:p w:rsidRPr="00FA7904" w:rsidR="00070B5A" w:rsidP="0059793A" w:rsidRDefault="00070B5A" w14:paraId="2DAA4410" w14:textId="77777777">
            <w:pPr>
              <w:pStyle w:val="BodyText"/>
              <w:rPr>
                <w:rFonts w:cs="Arial"/>
                <w:sz w:val="20"/>
              </w:rPr>
            </w:pPr>
            <w:r w:rsidRPr="00FA7904">
              <w:rPr>
                <w:rFonts w:cs="Arial"/>
                <w:sz w:val="20"/>
              </w:rPr>
              <w:t>Erythema necrolyticum migrans (erythematosquamous skin lesions) has been reported with prolonged glucagon infusion.</w:t>
            </w:r>
          </w:p>
        </w:tc>
      </w:tr>
      <w:tr w:rsidRPr="003A7895" w:rsidR="00070B5A" w:rsidTr="00FC713D" w14:paraId="1103D836" w14:textId="77777777">
        <w:trPr>
          <w:trHeight w:val="180"/>
        </w:trPr>
        <w:tc>
          <w:tcPr>
            <w:tcW w:w="1702" w:type="dxa"/>
          </w:tcPr>
          <w:p w:rsidRPr="00B53E9B" w:rsidR="00070B5A" w:rsidP="0059793A" w:rsidRDefault="00070B5A" w14:paraId="7A9765BF" w14:textId="77777777">
            <w:pPr>
              <w:pStyle w:val="BodyText"/>
              <w:rPr>
                <w:rFonts w:cs="Arial"/>
                <w:b/>
                <w:bCs/>
                <w:sz w:val="20"/>
              </w:rPr>
            </w:pPr>
            <w:r w:rsidRPr="00B53E9B">
              <w:rPr>
                <w:rFonts w:cs="Arial"/>
                <w:b/>
                <w:bCs/>
                <w:sz w:val="20"/>
              </w:rPr>
              <w:t>Compatibility</w:t>
            </w:r>
          </w:p>
        </w:tc>
        <w:tc>
          <w:tcPr>
            <w:tcW w:w="8533" w:type="dxa"/>
          </w:tcPr>
          <w:p w:rsidRPr="005E2EB6" w:rsidR="00070B5A" w:rsidP="0059793A" w:rsidRDefault="00070B5A" w14:paraId="1D274C8C" w14:textId="77777777">
            <w:pPr>
              <w:pStyle w:val="BodyText"/>
              <w:rPr>
                <w:rFonts w:cs="Arial"/>
                <w:sz w:val="20"/>
              </w:rPr>
            </w:pPr>
            <w:r w:rsidRPr="00FA7904">
              <w:rPr>
                <w:sz w:val="20"/>
              </w:rPr>
              <w:t>Fluids: Glu</w:t>
            </w:r>
            <w:r w:rsidRPr="005E2EB6">
              <w:rPr>
                <w:sz w:val="20"/>
              </w:rPr>
              <w:t>cose 5% and 10%</w:t>
            </w:r>
            <w:r>
              <w:rPr>
                <w:sz w:val="20"/>
              </w:rPr>
              <w:t>, sodium chloride 0.9%</w:t>
            </w:r>
            <w:r w:rsidRPr="005E2EB6">
              <w:rPr>
                <w:sz w:val="20"/>
              </w:rPr>
              <w:t>.</w:t>
            </w:r>
          </w:p>
          <w:p w:rsidRPr="00FA7904" w:rsidR="00070B5A" w:rsidP="0059793A" w:rsidRDefault="00070B5A" w14:paraId="07B04997" w14:textId="77777777">
            <w:pPr>
              <w:pStyle w:val="BodyText"/>
              <w:rPr>
                <w:sz w:val="20"/>
              </w:rPr>
            </w:pPr>
            <w:r w:rsidRPr="00FA7904">
              <w:rPr>
                <w:sz w:val="20"/>
              </w:rPr>
              <w:t>Y-site: Naloxone.</w:t>
            </w:r>
          </w:p>
        </w:tc>
      </w:tr>
      <w:tr w:rsidRPr="003A7895" w:rsidR="00070B5A" w:rsidTr="00FC713D" w14:paraId="18A12F39" w14:textId="77777777">
        <w:trPr>
          <w:trHeight w:val="230"/>
        </w:trPr>
        <w:tc>
          <w:tcPr>
            <w:tcW w:w="1702" w:type="dxa"/>
          </w:tcPr>
          <w:p w:rsidRPr="00B53E9B" w:rsidR="00070B5A" w:rsidP="0059793A" w:rsidRDefault="00070B5A" w14:paraId="5B8A457D" w14:textId="77777777">
            <w:pPr>
              <w:pStyle w:val="BodyText"/>
              <w:rPr>
                <w:rFonts w:cs="Arial"/>
                <w:b/>
                <w:bCs/>
                <w:sz w:val="20"/>
              </w:rPr>
            </w:pPr>
            <w:r w:rsidRPr="00B53E9B">
              <w:rPr>
                <w:rFonts w:cs="Arial"/>
                <w:b/>
                <w:bCs/>
                <w:sz w:val="20"/>
              </w:rPr>
              <w:t>Incompatibility</w:t>
            </w:r>
          </w:p>
        </w:tc>
        <w:tc>
          <w:tcPr>
            <w:tcW w:w="8533" w:type="dxa"/>
          </w:tcPr>
          <w:p w:rsidRPr="005E2EB6" w:rsidR="00070B5A" w:rsidP="0059793A" w:rsidRDefault="00070B5A" w14:paraId="6298BD40" w14:textId="77777777">
            <w:pPr>
              <w:pStyle w:val="BodyText"/>
              <w:rPr>
                <w:rFonts w:cs="Arial"/>
                <w:sz w:val="20"/>
              </w:rPr>
            </w:pPr>
            <w:r w:rsidRPr="00FA7904">
              <w:rPr>
                <w:sz w:val="20"/>
              </w:rPr>
              <w:t xml:space="preserve">Fluids: </w:t>
            </w:r>
            <w:r>
              <w:rPr>
                <w:sz w:val="20"/>
              </w:rPr>
              <w:t>Solutions that contain calcium</w:t>
            </w:r>
            <w:r w:rsidRPr="005E2EB6">
              <w:rPr>
                <w:sz w:val="20"/>
              </w:rPr>
              <w:t>. Y-site: No information.</w:t>
            </w:r>
          </w:p>
        </w:tc>
      </w:tr>
      <w:tr w:rsidRPr="003A7895" w:rsidR="00070B5A" w:rsidTr="00FC713D" w14:paraId="50E9FA67" w14:textId="77777777">
        <w:trPr>
          <w:trHeight w:val="79"/>
        </w:trPr>
        <w:tc>
          <w:tcPr>
            <w:tcW w:w="1702" w:type="dxa"/>
          </w:tcPr>
          <w:p w:rsidRPr="00B53E9B" w:rsidR="00070B5A" w:rsidP="0059793A" w:rsidRDefault="00070B5A" w14:paraId="7A9D518E" w14:textId="77777777">
            <w:pPr>
              <w:pStyle w:val="BodyText"/>
              <w:rPr>
                <w:rFonts w:cs="Arial"/>
                <w:b/>
                <w:bCs/>
                <w:sz w:val="20"/>
              </w:rPr>
            </w:pPr>
            <w:r w:rsidRPr="00B53E9B">
              <w:rPr>
                <w:rFonts w:cs="Arial"/>
                <w:b/>
                <w:bCs/>
                <w:sz w:val="20"/>
              </w:rPr>
              <w:t>Stability</w:t>
            </w:r>
          </w:p>
        </w:tc>
        <w:tc>
          <w:tcPr>
            <w:tcW w:w="8533" w:type="dxa"/>
          </w:tcPr>
          <w:p w:rsidRPr="00FA7904" w:rsidR="00070B5A" w:rsidP="0059793A" w:rsidRDefault="00070B5A" w14:paraId="004EA91B" w14:textId="77777777">
            <w:pPr>
              <w:pStyle w:val="BodyText"/>
              <w:rPr>
                <w:rFonts w:cs="Arial"/>
                <w:sz w:val="20"/>
              </w:rPr>
            </w:pPr>
            <w:r w:rsidRPr="00FA7904">
              <w:rPr>
                <w:rFonts w:cs="Arial"/>
                <w:sz w:val="20"/>
              </w:rPr>
              <w:t xml:space="preserve">Discard any unused solution. </w:t>
            </w:r>
          </w:p>
          <w:p w:rsidRPr="00FA7904" w:rsidR="00070B5A" w:rsidP="0059793A" w:rsidRDefault="00070B5A" w14:paraId="64BA0F4D" w14:textId="77777777">
            <w:pPr>
              <w:pStyle w:val="BodyText"/>
              <w:rPr>
                <w:rFonts w:cs="Arial"/>
                <w:sz w:val="20"/>
              </w:rPr>
            </w:pPr>
            <w:r w:rsidRPr="00FA7904">
              <w:rPr>
                <w:rFonts w:cs="Arial"/>
                <w:sz w:val="20"/>
              </w:rPr>
              <w:t>IV infusion solution is stable for 24 hours.</w:t>
            </w:r>
          </w:p>
        </w:tc>
      </w:tr>
      <w:tr w:rsidRPr="003A7895" w:rsidR="00070B5A" w:rsidTr="00FC713D" w14:paraId="3B6928FC" w14:textId="77777777">
        <w:trPr>
          <w:trHeight w:val="70"/>
        </w:trPr>
        <w:tc>
          <w:tcPr>
            <w:tcW w:w="1702" w:type="dxa"/>
          </w:tcPr>
          <w:p w:rsidRPr="00B53E9B" w:rsidR="00070B5A" w:rsidP="0059793A" w:rsidRDefault="00070B5A" w14:paraId="3B382C31" w14:textId="77777777">
            <w:pPr>
              <w:pStyle w:val="BodyText"/>
              <w:rPr>
                <w:rFonts w:cs="Arial"/>
                <w:b/>
                <w:bCs/>
                <w:sz w:val="20"/>
              </w:rPr>
            </w:pPr>
            <w:r w:rsidRPr="00B53E9B">
              <w:rPr>
                <w:rFonts w:cs="Arial"/>
                <w:b/>
                <w:bCs/>
                <w:sz w:val="20"/>
              </w:rPr>
              <w:t xml:space="preserve">Storage </w:t>
            </w:r>
          </w:p>
        </w:tc>
        <w:tc>
          <w:tcPr>
            <w:tcW w:w="8533" w:type="dxa"/>
          </w:tcPr>
          <w:p w:rsidRPr="00FA7904" w:rsidR="00070B5A" w:rsidP="0059793A" w:rsidRDefault="00070B5A" w14:paraId="7504276B" w14:textId="77777777">
            <w:pPr>
              <w:pStyle w:val="BodyText"/>
              <w:rPr>
                <w:rFonts w:cs="Arial"/>
                <w:sz w:val="20"/>
              </w:rPr>
            </w:pPr>
            <w:r w:rsidRPr="00FA7904">
              <w:rPr>
                <w:rFonts w:cs="Arial"/>
                <w:sz w:val="20"/>
              </w:rPr>
              <w:t xml:space="preserve">Store below 25°C. Do not freeze. The sealed container should be protected from light. </w:t>
            </w:r>
          </w:p>
        </w:tc>
      </w:tr>
      <w:tr w:rsidRPr="003A7895" w:rsidR="00070B5A" w:rsidTr="00FC713D" w14:paraId="05BB23DB" w14:textId="77777777">
        <w:trPr>
          <w:trHeight w:val="70"/>
        </w:trPr>
        <w:tc>
          <w:tcPr>
            <w:tcW w:w="1702" w:type="dxa"/>
          </w:tcPr>
          <w:p w:rsidRPr="00B53E9B" w:rsidR="00070B5A" w:rsidP="0059793A" w:rsidRDefault="00070B5A" w14:paraId="4C5621CA" w14:textId="77777777">
            <w:pPr>
              <w:pStyle w:val="BodyText"/>
              <w:rPr>
                <w:rFonts w:cs="Arial"/>
                <w:b/>
                <w:bCs/>
                <w:sz w:val="20"/>
              </w:rPr>
            </w:pPr>
            <w:r w:rsidRPr="00B53E9B">
              <w:rPr>
                <w:rFonts w:cs="Arial"/>
                <w:b/>
                <w:bCs/>
                <w:sz w:val="20"/>
              </w:rPr>
              <w:t>Excipients</w:t>
            </w:r>
          </w:p>
        </w:tc>
        <w:tc>
          <w:tcPr>
            <w:tcW w:w="8533" w:type="dxa"/>
          </w:tcPr>
          <w:p w:rsidRPr="00026F20" w:rsidR="00070B5A" w:rsidP="0059793A" w:rsidRDefault="00070B5A" w14:paraId="1F5B1ED9" w14:textId="77777777">
            <w:pPr>
              <w:pStyle w:val="BodyText"/>
              <w:rPr>
                <w:rFonts w:cs="Arial"/>
                <w:sz w:val="20"/>
              </w:rPr>
            </w:pPr>
            <w:r w:rsidRPr="0099357C">
              <w:rPr>
                <w:rFonts w:cs="Arial"/>
                <w:sz w:val="20"/>
              </w:rPr>
              <w:t>Lactose monohydrate, hydrochloric acid (for pH adjustment), sodium hydroxide (for pH adjustment), and water for injections.</w:t>
            </w:r>
          </w:p>
        </w:tc>
      </w:tr>
      <w:tr w:rsidRPr="003A7895" w:rsidR="00070B5A" w:rsidTr="00FC713D" w14:paraId="45AEBA39" w14:textId="77777777">
        <w:trPr>
          <w:trHeight w:val="270"/>
        </w:trPr>
        <w:tc>
          <w:tcPr>
            <w:tcW w:w="1702" w:type="dxa"/>
          </w:tcPr>
          <w:p w:rsidRPr="00B53E9B" w:rsidR="00070B5A" w:rsidP="0059793A" w:rsidRDefault="00070B5A" w14:paraId="775B44CC"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533" w:type="dxa"/>
          </w:tcPr>
          <w:p w:rsidRPr="00026F20" w:rsidR="00070B5A" w:rsidP="0059793A" w:rsidRDefault="00070B5A" w14:paraId="036B47D0" w14:textId="77777777">
            <w:pPr>
              <w:pStyle w:val="BodyText"/>
              <w:rPr>
                <w:rFonts w:cs="Arial"/>
                <w:sz w:val="20"/>
              </w:rPr>
            </w:pPr>
          </w:p>
        </w:tc>
      </w:tr>
      <w:tr w:rsidRPr="003A7895" w:rsidR="00070B5A" w:rsidTr="00FC713D" w14:paraId="1DE4A239" w14:textId="77777777">
        <w:trPr>
          <w:trHeight w:val="280"/>
        </w:trPr>
        <w:tc>
          <w:tcPr>
            <w:tcW w:w="1702" w:type="dxa"/>
          </w:tcPr>
          <w:p w:rsidRPr="00B53E9B" w:rsidR="00070B5A" w:rsidP="0059793A" w:rsidRDefault="00070B5A" w14:paraId="5B2AF75E" w14:textId="77777777">
            <w:pPr>
              <w:pStyle w:val="BodyText"/>
              <w:rPr>
                <w:rFonts w:cs="Arial"/>
                <w:b/>
                <w:bCs/>
                <w:sz w:val="20"/>
              </w:rPr>
            </w:pPr>
            <w:r w:rsidRPr="00B53E9B">
              <w:rPr>
                <w:rFonts w:cs="Arial"/>
                <w:b/>
                <w:bCs/>
                <w:sz w:val="20"/>
              </w:rPr>
              <w:t>Evidence</w:t>
            </w:r>
          </w:p>
        </w:tc>
        <w:tc>
          <w:tcPr>
            <w:tcW w:w="8533" w:type="dxa"/>
          </w:tcPr>
          <w:p w:rsidRPr="00FC713D" w:rsidR="00070B5A" w:rsidP="0059793A" w:rsidRDefault="00070B5A" w14:paraId="1A60C91C" w14:textId="77777777">
            <w:pPr>
              <w:pStyle w:val="BodyText"/>
              <w:rPr>
                <w:rFonts w:cs="Arial"/>
                <w:b/>
                <w:sz w:val="16"/>
                <w:szCs w:val="16"/>
              </w:rPr>
            </w:pPr>
            <w:r w:rsidRPr="00FC713D">
              <w:rPr>
                <w:rFonts w:cs="Arial"/>
                <w:b/>
                <w:sz w:val="16"/>
                <w:szCs w:val="16"/>
              </w:rPr>
              <w:t>Efficacy</w:t>
            </w:r>
          </w:p>
          <w:p w:rsidRPr="00FC713D" w:rsidR="00070B5A" w:rsidP="0059793A" w:rsidRDefault="00070B5A" w14:paraId="0E100999" w14:textId="77777777">
            <w:pPr>
              <w:pStyle w:val="BodyText"/>
              <w:rPr>
                <w:rFonts w:cs="Arial"/>
                <w:sz w:val="16"/>
                <w:szCs w:val="16"/>
              </w:rPr>
            </w:pPr>
            <w:r w:rsidRPr="00FC713D">
              <w:rPr>
                <w:rFonts w:cs="Arial"/>
                <w:b/>
                <w:sz w:val="16"/>
                <w:szCs w:val="16"/>
              </w:rPr>
              <w:t xml:space="preserve">Treatment of hypoglycaemia: </w:t>
            </w:r>
            <w:r w:rsidRPr="00FC713D">
              <w:rPr>
                <w:rFonts w:cs="Arial"/>
                <w:sz w:val="16"/>
                <w:szCs w:val="16"/>
              </w:rPr>
              <w:t xml:space="preserve">The data are mainly derived from case series and case reports </w:t>
            </w:r>
            <w:r w:rsidRPr="00FC713D">
              <w:rPr>
                <w:rFonts w:cs="Arial"/>
                <w:noProof/>
                <w:sz w:val="16"/>
                <w:szCs w:val="16"/>
              </w:rPr>
              <w:t>[10-13]</w:t>
            </w:r>
            <w:r w:rsidRPr="00FC713D">
              <w:rPr>
                <w:rFonts w:cs="Arial"/>
                <w:sz w:val="16"/>
                <w:szCs w:val="16"/>
              </w:rPr>
              <w:t xml:space="preserve">. A single bolus dose of glucagon (200 microgram/kg) caused a rapid rise in hepatic glucose production rate in newborns with hypoglycaemia </w:t>
            </w:r>
            <w:r w:rsidRPr="00FC713D">
              <w:rPr>
                <w:rFonts w:cs="Arial"/>
                <w:noProof/>
                <w:sz w:val="16"/>
                <w:szCs w:val="16"/>
              </w:rPr>
              <w:t>[12]</w:t>
            </w:r>
            <w:r w:rsidRPr="00FC713D">
              <w:rPr>
                <w:rFonts w:cs="Arial"/>
                <w:sz w:val="16"/>
                <w:szCs w:val="16"/>
              </w:rPr>
              <w:t xml:space="preserve">. (LOE IV) Glucagon infusion (0.5–1 mg/day = 20–40 microgram/hour) resulted in a significant rise in blood glucose concentration within 4 hours of infusion in newborn infants irrespective of the cause of hypoglycaemia </w:t>
            </w:r>
            <w:r w:rsidRPr="00FC713D">
              <w:rPr>
                <w:rFonts w:cs="Arial"/>
                <w:noProof/>
                <w:sz w:val="16"/>
                <w:szCs w:val="16"/>
              </w:rPr>
              <w:t>[13]</w:t>
            </w:r>
            <w:r w:rsidRPr="00FC713D">
              <w:rPr>
                <w:rFonts w:cs="Arial"/>
                <w:sz w:val="16"/>
                <w:szCs w:val="16"/>
              </w:rPr>
              <w:t>.</w:t>
            </w:r>
            <w:r w:rsidRPr="00FC713D">
              <w:rPr>
                <w:rFonts w:cs="Arial"/>
                <w:sz w:val="16"/>
                <w:szCs w:val="16"/>
                <w:vertAlign w:val="superscript"/>
              </w:rPr>
              <w:t xml:space="preserve"> </w:t>
            </w:r>
            <w:r w:rsidRPr="00FC713D">
              <w:rPr>
                <w:rFonts w:cs="Arial"/>
                <w:sz w:val="16"/>
                <w:szCs w:val="16"/>
              </w:rPr>
              <w:t xml:space="preserve">(LOE IV, GOR C). Glucose production in response to a glucagon 100 microgram/kg bolus was comparable in preterm, Appropriately Grown for Age and Small for Gestational Age infants </w:t>
            </w:r>
            <w:r w:rsidRPr="00FC713D">
              <w:rPr>
                <w:rFonts w:cs="Arial"/>
                <w:noProof/>
                <w:sz w:val="16"/>
                <w:szCs w:val="16"/>
              </w:rPr>
              <w:t>[14]</w:t>
            </w:r>
            <w:r w:rsidRPr="00FC713D">
              <w:rPr>
                <w:rFonts w:cs="Arial"/>
                <w:sz w:val="16"/>
                <w:szCs w:val="16"/>
              </w:rPr>
              <w:t>. (LOE IV). Glucagon infusion (20–40 microgram/hour) has been used to treat refractory hypoglycaemia in sick preterm infants</w:t>
            </w:r>
            <w:r w:rsidRPr="00FC713D">
              <w:rPr>
                <w:sz w:val="16"/>
                <w:szCs w:val="16"/>
              </w:rPr>
              <w:t xml:space="preserve"> (mean </w:t>
            </w:r>
            <w:r w:rsidRPr="00FC713D">
              <w:rPr>
                <w:rFonts w:cs="Arial"/>
                <w:sz w:val="16"/>
                <w:szCs w:val="16"/>
              </w:rPr>
              <w:t xml:space="preserve">birth weight 1814 g and gestational age 32 weeks) </w:t>
            </w:r>
            <w:r w:rsidRPr="00FC713D">
              <w:rPr>
                <w:rFonts w:cs="Arial"/>
                <w:noProof/>
                <w:sz w:val="16"/>
                <w:szCs w:val="16"/>
              </w:rPr>
              <w:t>[11]</w:t>
            </w:r>
            <w:r w:rsidRPr="00FC713D">
              <w:rPr>
                <w:rFonts w:cs="Arial"/>
                <w:sz w:val="16"/>
                <w:szCs w:val="16"/>
              </w:rPr>
              <w:t>. (LOE IV)</w:t>
            </w:r>
          </w:p>
          <w:p w:rsidRPr="00FC713D" w:rsidR="00070B5A" w:rsidP="0059793A" w:rsidRDefault="00070B5A" w14:paraId="184CDE91" w14:textId="77777777">
            <w:pPr>
              <w:pStyle w:val="BodyText"/>
              <w:rPr>
                <w:rFonts w:cs="Arial"/>
                <w:sz w:val="16"/>
                <w:szCs w:val="16"/>
              </w:rPr>
            </w:pPr>
            <w:r w:rsidRPr="00FC713D">
              <w:rPr>
                <w:rFonts w:cs="Arial"/>
                <w:b/>
                <w:sz w:val="16"/>
                <w:szCs w:val="16"/>
              </w:rPr>
              <w:t>Treatment of low-output heart failure associated with beta-blocker overdose:</w:t>
            </w:r>
            <w:r w:rsidRPr="00FC713D">
              <w:rPr>
                <w:rFonts w:cs="Arial"/>
                <w:sz w:val="16"/>
                <w:szCs w:val="16"/>
              </w:rPr>
              <w:t xml:space="preserve"> A case report of a preterm infant with low output heart failure after maternal labetalol use who responded to repeated use of intravenous glucagon 0.3 to 0.6 mg/kg </w:t>
            </w:r>
            <w:r w:rsidRPr="00FC713D">
              <w:rPr>
                <w:rFonts w:cs="Arial"/>
                <w:noProof/>
                <w:sz w:val="16"/>
                <w:szCs w:val="16"/>
              </w:rPr>
              <w:t xml:space="preserve">[15] </w:t>
            </w:r>
            <w:r w:rsidRPr="00FC713D">
              <w:rPr>
                <w:rFonts w:cs="Arial"/>
                <w:sz w:val="16"/>
                <w:szCs w:val="16"/>
              </w:rPr>
              <w:t xml:space="preserve">(LOE IV GOR C). This is consistent with doses in case reports of glucagon use for adult beta-blocker overdose. </w:t>
            </w:r>
            <w:r w:rsidRPr="00FC713D">
              <w:rPr>
                <w:rFonts w:cs="Arial"/>
                <w:noProof/>
                <w:sz w:val="16"/>
                <w:szCs w:val="16"/>
              </w:rPr>
              <w:t>[16]</w:t>
            </w:r>
            <w:r w:rsidRPr="00FC713D">
              <w:rPr>
                <w:rFonts w:cs="Arial"/>
                <w:sz w:val="16"/>
                <w:szCs w:val="16"/>
              </w:rPr>
              <w:t xml:space="preserve">. </w:t>
            </w:r>
          </w:p>
          <w:p w:rsidRPr="00FC713D" w:rsidR="00070B5A" w:rsidP="0059793A" w:rsidRDefault="00070B5A" w14:paraId="58032C0D" w14:textId="77777777">
            <w:pPr>
              <w:pStyle w:val="BodyText"/>
              <w:rPr>
                <w:rFonts w:cs="Arial"/>
                <w:b/>
                <w:sz w:val="16"/>
                <w:szCs w:val="16"/>
              </w:rPr>
            </w:pPr>
            <w:r w:rsidRPr="00FC713D">
              <w:rPr>
                <w:rFonts w:cs="Arial"/>
                <w:b/>
                <w:sz w:val="16"/>
                <w:szCs w:val="16"/>
              </w:rPr>
              <w:t>Safety</w:t>
            </w:r>
          </w:p>
          <w:p w:rsidRPr="00FC713D" w:rsidR="00070B5A" w:rsidP="0059793A" w:rsidRDefault="00070B5A" w14:paraId="0CBDE497" w14:textId="77777777">
            <w:pPr>
              <w:pStyle w:val="BodyText"/>
              <w:rPr>
                <w:rFonts w:cs="Arial"/>
                <w:sz w:val="16"/>
                <w:szCs w:val="16"/>
              </w:rPr>
            </w:pPr>
            <w:r w:rsidRPr="00FC713D">
              <w:rPr>
                <w:rFonts w:cs="Arial"/>
                <w:sz w:val="16"/>
                <w:szCs w:val="16"/>
              </w:rPr>
              <w:t xml:space="preserve">Hyponatraemia has been variably reported with glucagon infusion </w:t>
            </w:r>
            <w:r w:rsidRPr="00FC713D">
              <w:rPr>
                <w:rFonts w:cs="Arial"/>
                <w:noProof/>
                <w:sz w:val="16"/>
                <w:szCs w:val="16"/>
              </w:rPr>
              <w:t>[13, 17, 18]</w:t>
            </w:r>
            <w:r w:rsidRPr="00FC713D">
              <w:rPr>
                <w:rFonts w:cs="Arial"/>
                <w:sz w:val="16"/>
                <w:szCs w:val="16"/>
              </w:rPr>
              <w:t xml:space="preserve"> although it may be explained by other factors including glucose infusion. (LOE IV GOR D) Thrombocytopenia has been reported </w:t>
            </w:r>
            <w:r w:rsidRPr="00FC713D">
              <w:rPr>
                <w:rFonts w:cs="Arial"/>
                <w:noProof/>
                <w:sz w:val="16"/>
                <w:szCs w:val="16"/>
              </w:rPr>
              <w:t>[13, 17]</w:t>
            </w:r>
            <w:r w:rsidRPr="00FC713D">
              <w:rPr>
                <w:rFonts w:cs="Arial"/>
                <w:sz w:val="16"/>
                <w:szCs w:val="16"/>
              </w:rPr>
              <w:t xml:space="preserve"> although a case series found increasing platelet counts during infusion </w:t>
            </w:r>
            <w:r w:rsidRPr="00FC713D">
              <w:rPr>
                <w:rFonts w:cs="Arial"/>
                <w:noProof/>
                <w:sz w:val="16"/>
                <w:szCs w:val="16"/>
              </w:rPr>
              <w:t>[11]</w:t>
            </w:r>
            <w:r w:rsidRPr="00FC713D">
              <w:rPr>
                <w:rFonts w:cs="Arial"/>
                <w:sz w:val="16"/>
                <w:szCs w:val="16"/>
              </w:rPr>
              <w:t xml:space="preserve">. Erythema necrolyticum migrans (erythematosquamous skin lesions) has been reported with </w:t>
            </w:r>
            <w:r w:rsidRPr="00FC713D">
              <w:rPr>
                <w:rFonts w:cs="Arial"/>
                <w:sz w:val="16"/>
                <w:szCs w:val="16"/>
              </w:rPr>
              <w:lastRenderedPageBreak/>
              <w:t xml:space="preserve">prolonged glucagon infusion </w:t>
            </w:r>
            <w:r w:rsidRPr="00FC713D">
              <w:rPr>
                <w:rFonts w:cs="Arial"/>
                <w:noProof/>
                <w:sz w:val="16"/>
                <w:szCs w:val="16"/>
              </w:rPr>
              <w:t>[19, 20]</w:t>
            </w:r>
            <w:r w:rsidRPr="00FC713D">
              <w:rPr>
                <w:rFonts w:cs="Arial"/>
                <w:sz w:val="16"/>
                <w:szCs w:val="16"/>
              </w:rPr>
              <w:t xml:space="preserve">. Glucagon has been reported to induce hypertension in patients with phaeochromocytoma </w:t>
            </w:r>
            <w:r w:rsidRPr="00FC713D">
              <w:rPr>
                <w:rFonts w:cs="Arial"/>
                <w:noProof/>
                <w:sz w:val="16"/>
                <w:szCs w:val="16"/>
              </w:rPr>
              <w:t>[8, 10, 11]</w:t>
            </w:r>
            <w:r w:rsidRPr="00FC713D">
              <w:rPr>
                <w:rFonts w:cs="Arial"/>
                <w:sz w:val="16"/>
                <w:szCs w:val="16"/>
              </w:rPr>
              <w:t xml:space="preserve">. Adverse cardiovascular events attributable to glucagon have not been reported in newborns. </w:t>
            </w:r>
          </w:p>
          <w:p w:rsidRPr="00FC713D" w:rsidR="00070B5A" w:rsidP="0059793A" w:rsidRDefault="00070B5A" w14:paraId="6BF71D9D" w14:textId="77777777">
            <w:pPr>
              <w:pStyle w:val="BodyText"/>
              <w:rPr>
                <w:rFonts w:cs="Arial"/>
                <w:b/>
                <w:sz w:val="16"/>
                <w:szCs w:val="16"/>
              </w:rPr>
            </w:pPr>
            <w:r w:rsidRPr="00FC713D">
              <w:rPr>
                <w:rFonts w:cs="Arial"/>
                <w:b/>
                <w:sz w:val="16"/>
                <w:szCs w:val="16"/>
              </w:rPr>
              <w:t>Pharmacodynamics</w:t>
            </w:r>
          </w:p>
          <w:p w:rsidRPr="00FC713D" w:rsidR="00070B5A" w:rsidP="0059793A" w:rsidRDefault="00070B5A" w14:paraId="0238090C" w14:textId="77777777">
            <w:pPr>
              <w:pStyle w:val="BodyText"/>
              <w:rPr>
                <w:rFonts w:cs="Arial"/>
                <w:sz w:val="16"/>
                <w:szCs w:val="16"/>
              </w:rPr>
            </w:pPr>
            <w:r w:rsidRPr="00FC713D">
              <w:rPr>
                <w:rFonts w:cs="Arial"/>
                <w:sz w:val="16"/>
                <w:szCs w:val="16"/>
              </w:rPr>
              <w:t xml:space="preserve">An effect on blood glucose is usually seen within 5–20 minutes after IV, IM or SC administration </w:t>
            </w:r>
            <w:r w:rsidRPr="00FC713D">
              <w:rPr>
                <w:rFonts w:cs="Arial"/>
                <w:noProof/>
                <w:sz w:val="16"/>
                <w:szCs w:val="16"/>
              </w:rPr>
              <w:t>[11]</w:t>
            </w:r>
            <w:r w:rsidRPr="00FC713D">
              <w:rPr>
                <w:rFonts w:cs="Arial"/>
                <w:sz w:val="16"/>
                <w:szCs w:val="16"/>
              </w:rPr>
              <w:t xml:space="preserve">. Response to an intravenous bolus persists for at least 45 minutes </w:t>
            </w:r>
            <w:r w:rsidRPr="00FC713D">
              <w:rPr>
                <w:rFonts w:cs="Arial"/>
                <w:noProof/>
                <w:sz w:val="16"/>
                <w:szCs w:val="16"/>
              </w:rPr>
              <w:t>[13]</w:t>
            </w:r>
            <w:r w:rsidRPr="00FC713D">
              <w:rPr>
                <w:rFonts w:cs="Arial"/>
                <w:sz w:val="16"/>
                <w:szCs w:val="16"/>
              </w:rPr>
              <w:t xml:space="preserve">. </w:t>
            </w:r>
          </w:p>
          <w:p w:rsidRPr="00FC713D" w:rsidR="00070B5A" w:rsidP="0059793A" w:rsidRDefault="00070B5A" w14:paraId="3ABFD253" w14:textId="77777777">
            <w:pPr>
              <w:pStyle w:val="BodyText"/>
              <w:rPr>
                <w:rFonts w:cs="Arial"/>
                <w:b/>
                <w:sz w:val="16"/>
                <w:szCs w:val="16"/>
              </w:rPr>
            </w:pPr>
            <w:r w:rsidRPr="00FC713D">
              <w:rPr>
                <w:rFonts w:cs="Arial"/>
                <w:b/>
                <w:sz w:val="16"/>
                <w:szCs w:val="16"/>
              </w:rPr>
              <w:t>Pharmacokinetics</w:t>
            </w:r>
          </w:p>
          <w:p w:rsidRPr="00FC713D" w:rsidR="00070B5A" w:rsidP="0059793A" w:rsidRDefault="00070B5A" w14:paraId="6BF48023" w14:textId="77777777">
            <w:pPr>
              <w:pStyle w:val="BodyText"/>
              <w:rPr>
                <w:rFonts w:cs="Arial"/>
                <w:sz w:val="16"/>
                <w:szCs w:val="16"/>
              </w:rPr>
            </w:pPr>
            <w:r w:rsidRPr="00FC713D">
              <w:rPr>
                <w:rFonts w:cs="Arial"/>
                <w:sz w:val="16"/>
                <w:szCs w:val="16"/>
              </w:rPr>
              <w:t>Adult data report half-life of 8–18 minutes.</w:t>
            </w:r>
            <w:r w:rsidRPr="00FC713D">
              <w:rPr>
                <w:rFonts w:cs="Arial"/>
                <w:noProof/>
                <w:sz w:val="16"/>
                <w:szCs w:val="16"/>
              </w:rPr>
              <w:t>[7]</w:t>
            </w:r>
            <w:r w:rsidRPr="00FC713D">
              <w:rPr>
                <w:rFonts w:cs="Arial"/>
                <w:sz w:val="16"/>
                <w:szCs w:val="16"/>
              </w:rPr>
              <w:t xml:space="preserve">  </w:t>
            </w:r>
          </w:p>
        </w:tc>
      </w:tr>
      <w:tr w:rsidRPr="003A7895" w:rsidR="00070B5A" w:rsidTr="00FC713D" w14:paraId="11519089" w14:textId="77777777">
        <w:trPr>
          <w:trHeight w:val="108"/>
        </w:trPr>
        <w:tc>
          <w:tcPr>
            <w:tcW w:w="1702" w:type="dxa"/>
          </w:tcPr>
          <w:p w:rsidRPr="00B53E9B" w:rsidR="00070B5A" w:rsidP="0059793A" w:rsidRDefault="00070B5A" w14:paraId="67302093" w14:textId="77777777">
            <w:pPr>
              <w:pStyle w:val="BodyText"/>
              <w:rPr>
                <w:rFonts w:cs="Arial"/>
                <w:b/>
                <w:bCs/>
                <w:sz w:val="20"/>
              </w:rPr>
            </w:pPr>
            <w:r w:rsidRPr="00B53E9B">
              <w:rPr>
                <w:rFonts w:cs="Arial"/>
                <w:b/>
                <w:bCs/>
                <w:sz w:val="20"/>
              </w:rPr>
              <w:lastRenderedPageBreak/>
              <w:t>Practice points</w:t>
            </w:r>
          </w:p>
        </w:tc>
        <w:tc>
          <w:tcPr>
            <w:tcW w:w="8533" w:type="dxa"/>
          </w:tcPr>
          <w:p w:rsidRPr="00FC713D" w:rsidR="00070B5A" w:rsidP="0059793A" w:rsidRDefault="00070B5A" w14:paraId="3C5E8643" w14:textId="77777777">
            <w:pPr>
              <w:pStyle w:val="BodyText"/>
              <w:tabs>
                <w:tab w:val="left" w:pos="1168"/>
              </w:tabs>
              <w:rPr>
                <w:rFonts w:cs="Arial"/>
                <w:sz w:val="16"/>
                <w:szCs w:val="16"/>
              </w:rPr>
            </w:pPr>
          </w:p>
        </w:tc>
      </w:tr>
      <w:tr w:rsidRPr="003A7895" w:rsidR="00070B5A" w:rsidTr="00FC713D" w14:paraId="7B3CEDDA" w14:textId="77777777">
        <w:trPr>
          <w:trHeight w:val="70"/>
        </w:trPr>
        <w:tc>
          <w:tcPr>
            <w:tcW w:w="1702" w:type="dxa"/>
          </w:tcPr>
          <w:p w:rsidRPr="00B53E9B" w:rsidR="00070B5A" w:rsidP="0059793A" w:rsidRDefault="00070B5A" w14:paraId="0122833B" w14:textId="77777777">
            <w:pPr>
              <w:pStyle w:val="BodyText"/>
              <w:rPr>
                <w:rFonts w:cs="Arial"/>
                <w:b/>
                <w:bCs/>
                <w:sz w:val="20"/>
              </w:rPr>
            </w:pPr>
            <w:r w:rsidRPr="00B53E9B">
              <w:rPr>
                <w:b/>
                <w:sz w:val="20"/>
              </w:rPr>
              <w:t>References</w:t>
            </w:r>
          </w:p>
        </w:tc>
        <w:tc>
          <w:tcPr>
            <w:tcW w:w="8533" w:type="dxa"/>
          </w:tcPr>
          <w:p w:rsidRPr="00FC713D" w:rsidR="00070B5A" w:rsidP="0059793A" w:rsidRDefault="00070B5A" w14:paraId="24112F66" w14:textId="77777777">
            <w:pPr>
              <w:pStyle w:val="EndNoteBibliography"/>
              <w:rPr>
                <w:sz w:val="16"/>
                <w:szCs w:val="16"/>
                <w:lang w:val="en-AU"/>
              </w:rPr>
            </w:pPr>
            <w:r w:rsidRPr="00FC713D">
              <w:rPr>
                <w:sz w:val="16"/>
                <w:szCs w:val="16"/>
                <w:lang w:val="en-AU"/>
              </w:rPr>
              <w:t>1. The Australian Immunisation Handbook 10th edition 2013 (updated January 2014).</w:t>
            </w:r>
          </w:p>
          <w:p w:rsidRPr="00FC713D" w:rsidR="00070B5A" w:rsidP="0059793A" w:rsidRDefault="00070B5A" w14:paraId="4254220A" w14:textId="77777777">
            <w:pPr>
              <w:pStyle w:val="EndNoteBibliography"/>
              <w:rPr>
                <w:sz w:val="16"/>
                <w:szCs w:val="16"/>
                <w:lang w:val="en-AU"/>
              </w:rPr>
            </w:pPr>
            <w:r w:rsidRPr="00FC713D">
              <w:rPr>
                <w:sz w:val="16"/>
                <w:szCs w:val="16"/>
                <w:lang w:val="en-AU"/>
              </w:rPr>
              <w:t>2. Rishovd A. Pediatric intramuscular injections: guidelines for best practice. MCN Am J Matern Child Nurs. 2014;39:107-12; quiz 13-4.</w:t>
            </w:r>
          </w:p>
          <w:p w:rsidRPr="00FC713D" w:rsidR="00070B5A" w:rsidP="0059793A" w:rsidRDefault="00070B5A" w14:paraId="30AAB1A3" w14:textId="77777777">
            <w:pPr>
              <w:pStyle w:val="EndNoteBibliography"/>
              <w:rPr>
                <w:sz w:val="16"/>
                <w:szCs w:val="16"/>
                <w:lang w:val="en-AU"/>
              </w:rPr>
            </w:pPr>
            <w:r w:rsidRPr="00FC713D">
              <w:rPr>
                <w:sz w:val="16"/>
                <w:szCs w:val="16"/>
                <w:lang w:val="en-AU"/>
              </w:rPr>
              <w:t>3. Hensel D, Morson GL, Preuss EA. Best practices in newborn injections. MCN Am J Matern Child Nurs. 2013;38:163-7; quiz 8-9.</w:t>
            </w:r>
          </w:p>
          <w:p w:rsidRPr="00FC713D" w:rsidR="00070B5A" w:rsidP="0059793A" w:rsidRDefault="00070B5A" w14:paraId="1F6D8DD6" w14:textId="77777777">
            <w:pPr>
              <w:pStyle w:val="EndNoteBibliography"/>
              <w:rPr>
                <w:sz w:val="16"/>
                <w:szCs w:val="16"/>
                <w:lang w:val="en-AU"/>
              </w:rPr>
            </w:pPr>
            <w:r w:rsidRPr="00FC713D">
              <w:rPr>
                <w:sz w:val="16"/>
                <w:szCs w:val="16"/>
                <w:lang w:val="en-AU"/>
              </w:rPr>
              <w:t>4. Hosseinnezhad A, Black RM, Aeddula NR, Adhikari D, Trivedi N. Glucagon-induced pheochromocytoma crisis. Endocr Pract. 2011;17:e51-4.</w:t>
            </w:r>
          </w:p>
          <w:p w:rsidRPr="00FC713D" w:rsidR="00070B5A" w:rsidP="0059793A" w:rsidRDefault="00070B5A" w14:paraId="48E7197E" w14:textId="77777777">
            <w:pPr>
              <w:pStyle w:val="EndNoteBibliography"/>
              <w:rPr>
                <w:sz w:val="16"/>
                <w:szCs w:val="16"/>
                <w:lang w:val="en-AU"/>
              </w:rPr>
            </w:pPr>
            <w:r w:rsidRPr="00FC713D">
              <w:rPr>
                <w:sz w:val="16"/>
                <w:szCs w:val="16"/>
                <w:lang w:val="en-AU"/>
              </w:rPr>
              <w:t>5. Minamori Y, Yammoto M, Tanaka A, Takeda N, Yasuda K. Hazard of glucagon test in diabetic patients. Hypertensive crisis in asymptomatic pheochromocytoma. Diabetes Care. 1992;15:1437-8.</w:t>
            </w:r>
          </w:p>
          <w:p w:rsidRPr="00FC713D" w:rsidR="00070B5A" w:rsidP="0059793A" w:rsidRDefault="00070B5A" w14:paraId="64C9CCF0" w14:textId="77777777">
            <w:pPr>
              <w:pStyle w:val="EndNoteBibliography"/>
              <w:rPr>
                <w:sz w:val="16"/>
                <w:szCs w:val="16"/>
                <w:lang w:val="en-AU"/>
              </w:rPr>
            </w:pPr>
            <w:r w:rsidRPr="00FC713D">
              <w:rPr>
                <w:sz w:val="16"/>
                <w:szCs w:val="16"/>
                <w:lang w:val="en-AU"/>
              </w:rPr>
              <w:t>6. Sebel EF, Hull RD, Kleerekoper M, Stokes GS. Responses to glucagon in hypertensive patients with and without pheochromocytoma. Am J Med Sci. 1974;267:337-43.</w:t>
            </w:r>
          </w:p>
          <w:p w:rsidRPr="00FC713D" w:rsidR="00070B5A" w:rsidP="0059793A" w:rsidRDefault="00070B5A" w14:paraId="2CC80F0C" w14:textId="77777777">
            <w:pPr>
              <w:pStyle w:val="EndNoteBibliography"/>
              <w:rPr>
                <w:sz w:val="16"/>
                <w:szCs w:val="16"/>
                <w:lang w:val="en-AU"/>
              </w:rPr>
            </w:pPr>
            <w:r w:rsidRPr="00FC713D">
              <w:rPr>
                <w:sz w:val="16"/>
                <w:szCs w:val="16"/>
                <w:lang w:val="en-AU"/>
              </w:rPr>
              <w:t>7. Product Information: GlucaGen(R) intramuscular injection, intravenous injection, subcutaneous injection, glucagon rDNA origin intramuscular injection, intravenous injection, subcutaneous injection. Boehringer Ingelheim Pharmaceuticals, Inc. (per DailyMed), Ridgefield, CT, 2014.</w:t>
            </w:r>
          </w:p>
          <w:p w:rsidRPr="00FC713D" w:rsidR="00070B5A" w:rsidP="0059793A" w:rsidRDefault="00070B5A" w14:paraId="11F5FC81" w14:textId="77777777">
            <w:pPr>
              <w:pStyle w:val="EndNoteBibliography"/>
              <w:rPr>
                <w:sz w:val="16"/>
                <w:szCs w:val="16"/>
                <w:lang w:val="en-AU"/>
              </w:rPr>
            </w:pPr>
            <w:r w:rsidRPr="00FC713D">
              <w:rPr>
                <w:sz w:val="16"/>
                <w:szCs w:val="16"/>
                <w:lang w:val="en-AU"/>
              </w:rPr>
              <w:t>8. Messerli FH, Kuchel O, Tolis G, Hamet P, Fraysse J, Genest J. Effects of beta-adrenergic blockade on plasma cyclic AMP and blood sugar responses to glucagon and isoproterenol in man. Int J Clin Pharmacol Biopharm. 1976;14:189-94.</w:t>
            </w:r>
          </w:p>
          <w:p w:rsidRPr="00FC713D" w:rsidR="00070B5A" w:rsidP="0059793A" w:rsidRDefault="00070B5A" w14:paraId="24E49CBC" w14:textId="77777777">
            <w:pPr>
              <w:pStyle w:val="EndNoteBibliography"/>
              <w:rPr>
                <w:sz w:val="16"/>
                <w:szCs w:val="16"/>
                <w:lang w:val="en-AU"/>
              </w:rPr>
            </w:pPr>
            <w:r w:rsidRPr="00FC713D">
              <w:rPr>
                <w:sz w:val="16"/>
                <w:szCs w:val="16"/>
                <w:lang w:val="en-AU"/>
              </w:rPr>
              <w:t>9. Micromedex solutions. Glucagon. Accessed on 22 March 2017.</w:t>
            </w:r>
          </w:p>
          <w:p w:rsidRPr="00FC713D" w:rsidR="00070B5A" w:rsidP="0059793A" w:rsidRDefault="00070B5A" w14:paraId="715D90CA" w14:textId="77777777">
            <w:pPr>
              <w:pStyle w:val="EndNoteBibliography"/>
              <w:rPr>
                <w:sz w:val="16"/>
                <w:szCs w:val="16"/>
                <w:lang w:val="en-AU"/>
              </w:rPr>
            </w:pPr>
            <w:r w:rsidRPr="00FC713D">
              <w:rPr>
                <w:sz w:val="16"/>
                <w:szCs w:val="16"/>
                <w:lang w:val="en-AU"/>
              </w:rPr>
              <w:t>10. Carter PE, Lloyd DJ, Duffty P. Glucagon for hypoglycaemia in infants small for gestational age. Arch Dis Child. 1988;63:1264-6.</w:t>
            </w:r>
          </w:p>
          <w:p w:rsidRPr="00FC713D" w:rsidR="00070B5A" w:rsidP="0059793A" w:rsidRDefault="00070B5A" w14:paraId="2D8893F0" w14:textId="77777777">
            <w:pPr>
              <w:pStyle w:val="EndNoteBibliography"/>
              <w:rPr>
                <w:sz w:val="16"/>
                <w:szCs w:val="16"/>
                <w:lang w:val="en-AU"/>
              </w:rPr>
            </w:pPr>
            <w:r w:rsidRPr="00FC713D">
              <w:rPr>
                <w:sz w:val="16"/>
                <w:szCs w:val="16"/>
                <w:lang w:val="en-AU"/>
              </w:rPr>
              <w:t>11. Charsha DS, McKinley PS, Whitfield JM. Glucagon infusion for treatment of hypoglycemia: efficacy and safety in sick, preterm infants. Pediatrics. 2003;111:220-1.</w:t>
            </w:r>
          </w:p>
          <w:p w:rsidRPr="00FC713D" w:rsidR="00070B5A" w:rsidP="0059793A" w:rsidRDefault="00070B5A" w14:paraId="6BA03015" w14:textId="77777777">
            <w:pPr>
              <w:pStyle w:val="EndNoteBibliography"/>
              <w:rPr>
                <w:sz w:val="16"/>
                <w:szCs w:val="16"/>
                <w:lang w:val="en-AU"/>
              </w:rPr>
            </w:pPr>
            <w:r w:rsidRPr="00FC713D">
              <w:rPr>
                <w:sz w:val="16"/>
                <w:szCs w:val="16"/>
                <w:lang w:val="en-AU"/>
              </w:rPr>
              <w:t>12. Hawdon JM, Aynsley-Green A, Ward Platt MP. Neonatal blood glucose concentrations: metabolic effects of intravenous glucagon and intragastric medium chain triglyceride. Arch Dis Child. 1993;68:255-61.</w:t>
            </w:r>
          </w:p>
          <w:p w:rsidRPr="00FC713D" w:rsidR="00070B5A" w:rsidP="0059793A" w:rsidRDefault="00070B5A" w14:paraId="7B6183EC" w14:textId="77777777">
            <w:pPr>
              <w:pStyle w:val="EndNoteBibliography"/>
              <w:rPr>
                <w:sz w:val="16"/>
                <w:szCs w:val="16"/>
                <w:lang w:val="en-AU"/>
              </w:rPr>
            </w:pPr>
            <w:r w:rsidRPr="00FC713D">
              <w:rPr>
                <w:sz w:val="16"/>
                <w:szCs w:val="16"/>
                <w:lang w:val="en-AU"/>
              </w:rPr>
              <w:t>13. Miralles RE, Lodha A, Perlman M, Moore AM. Experience with intravenous glucagon infusions as a treatment for resistant neonatal hypoglycemia. Archives of Pediatrics &amp; Adolescent Medicine. 2002;156:999-1004.</w:t>
            </w:r>
          </w:p>
          <w:p w:rsidRPr="00FC713D" w:rsidR="00070B5A" w:rsidP="0059793A" w:rsidRDefault="00070B5A" w14:paraId="670EDCF5" w14:textId="77777777">
            <w:pPr>
              <w:pStyle w:val="EndNoteBibliography"/>
              <w:rPr>
                <w:sz w:val="16"/>
                <w:szCs w:val="16"/>
                <w:lang w:val="en-AU"/>
              </w:rPr>
            </w:pPr>
            <w:r w:rsidRPr="00FC713D">
              <w:rPr>
                <w:sz w:val="16"/>
                <w:szCs w:val="16"/>
                <w:lang w:val="en-AU"/>
              </w:rPr>
              <w:t>14. van Kempen AA, Ackermans MT, Endert E, Kok JH, Sauerwein HP. Glucose production in response to glucagon is comparable in preterm AGA and SGA infants. Clin Nutr. 2005;24:727-36.</w:t>
            </w:r>
          </w:p>
          <w:p w:rsidRPr="00FC713D" w:rsidR="00070B5A" w:rsidP="0059793A" w:rsidRDefault="00070B5A" w14:paraId="403F9652" w14:textId="77777777">
            <w:pPr>
              <w:pStyle w:val="EndNoteBibliography"/>
              <w:rPr>
                <w:sz w:val="16"/>
                <w:szCs w:val="16"/>
                <w:lang w:val="en-AU"/>
              </w:rPr>
            </w:pPr>
            <w:r w:rsidRPr="00FC713D">
              <w:rPr>
                <w:sz w:val="16"/>
                <w:szCs w:val="16"/>
                <w:lang w:val="en-AU"/>
              </w:rPr>
              <w:t>15. Stevens TP, Guillet R. Use of glucagon to treat neonatal low-output congestive heart failure after maternal labetalol therapy. J Pediatr. 1995;127:151-3.</w:t>
            </w:r>
          </w:p>
          <w:p w:rsidRPr="00FC713D" w:rsidR="00070B5A" w:rsidP="0059793A" w:rsidRDefault="00070B5A" w14:paraId="6276902B" w14:textId="77777777">
            <w:pPr>
              <w:pStyle w:val="EndNoteBibliography"/>
              <w:rPr>
                <w:sz w:val="16"/>
                <w:szCs w:val="16"/>
                <w:lang w:val="en-AU"/>
              </w:rPr>
            </w:pPr>
            <w:r w:rsidRPr="00FC713D">
              <w:rPr>
                <w:sz w:val="16"/>
                <w:szCs w:val="16"/>
                <w:lang w:val="en-AU"/>
              </w:rPr>
              <w:t>16. Boyd R, Ghosh A. Towards evidence based emergency medicine: best BETs from the Manchester Royal Infirmary. Glucagon for the treatment of symptomatic beta blocker overdose. Emerg Med J. 2003;20:266-7.</w:t>
            </w:r>
          </w:p>
          <w:p w:rsidRPr="00FC713D" w:rsidR="00070B5A" w:rsidP="0059793A" w:rsidRDefault="00070B5A" w14:paraId="7985AD4A" w14:textId="77777777">
            <w:pPr>
              <w:pStyle w:val="EndNoteBibliography"/>
              <w:rPr>
                <w:sz w:val="16"/>
                <w:szCs w:val="16"/>
                <w:lang w:val="en-AU"/>
              </w:rPr>
            </w:pPr>
            <w:r w:rsidRPr="00FC713D">
              <w:rPr>
                <w:sz w:val="16"/>
                <w:szCs w:val="16"/>
                <w:lang w:val="en-AU"/>
              </w:rPr>
              <w:t>17. Belik J, Musey J, Trussell RA. Continuous infusion of glucagon induces severe hyponatremia and thrombocytopenia in a premature neonate. Pediatrics. 2001;107:595-7.</w:t>
            </w:r>
          </w:p>
          <w:p w:rsidRPr="00FC713D" w:rsidR="00070B5A" w:rsidP="0059793A" w:rsidRDefault="00070B5A" w14:paraId="1855F0C3" w14:textId="77777777">
            <w:pPr>
              <w:pStyle w:val="EndNoteBibliography"/>
              <w:rPr>
                <w:sz w:val="16"/>
                <w:szCs w:val="16"/>
                <w:lang w:val="en-AU"/>
              </w:rPr>
            </w:pPr>
            <w:r w:rsidRPr="00FC713D">
              <w:rPr>
                <w:sz w:val="16"/>
                <w:szCs w:val="16"/>
                <w:lang w:val="en-AU"/>
              </w:rPr>
              <w:t>18. Coulthard MG, Hey EN. Glucagon is very unlikely to have caused hyponatremia. Pediatrics. 2002;109:985.</w:t>
            </w:r>
          </w:p>
          <w:p w:rsidRPr="00FC713D" w:rsidR="00070B5A" w:rsidP="0059793A" w:rsidRDefault="00070B5A" w14:paraId="34022C80" w14:textId="77777777">
            <w:pPr>
              <w:pStyle w:val="EndNoteBibliography"/>
              <w:rPr>
                <w:sz w:val="16"/>
                <w:szCs w:val="16"/>
                <w:lang w:val="en-AU"/>
              </w:rPr>
            </w:pPr>
            <w:r w:rsidRPr="00FC713D">
              <w:rPr>
                <w:sz w:val="16"/>
                <w:szCs w:val="16"/>
                <w:lang w:val="en-AU"/>
              </w:rPr>
              <w:t>19. Mohnike K, Blankenstein O, Pfuetzner A, Potzsch S, Schober E, Steiner S, Hardy OT, Grimberg A, van Waarde WM. Long-term non-surgical therapy of severe persistent congenital hyperinsulinism with glucagon. Horm Res. 2008;70:59-64.</w:t>
            </w:r>
          </w:p>
          <w:p w:rsidRPr="00FC713D" w:rsidR="00070B5A" w:rsidP="0059793A" w:rsidRDefault="00070B5A" w14:paraId="5272052A" w14:textId="77777777">
            <w:pPr>
              <w:pStyle w:val="EndNoteBibliography"/>
              <w:rPr>
                <w:sz w:val="16"/>
                <w:szCs w:val="16"/>
                <w:lang w:val="en-AU"/>
              </w:rPr>
            </w:pPr>
            <w:r w:rsidRPr="00FC713D">
              <w:rPr>
                <w:sz w:val="16"/>
                <w:szCs w:val="16"/>
                <w:lang w:val="en-AU"/>
              </w:rPr>
              <w:t>20. Wald M, Lawrenz K, Luckner D, Seimann R, Mohnike K, Schober E. Glucagon therapy as a possible cause of erythema necrolyticum migrans in two neonates with persistent hyperinsulinaemic hypoglycaemia. Eur J Pediatr. 2002;161:600-3.</w:t>
            </w:r>
          </w:p>
        </w:tc>
      </w:tr>
    </w:tbl>
    <w:p w:rsidR="00115F48" w:rsidP="006F0321" w:rsidRDefault="00115F48" w14:paraId="0C8DC24A" w14:textId="77777777"/>
    <w:p w:rsidRPr="00E25790" w:rsidR="00070B5A" w:rsidP="006F0321" w:rsidRDefault="00070B5A" w14:paraId="49A6DA7A" w14:textId="77777777"/>
    <w:tbl>
      <w:tblPr>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544"/>
        <w:gridCol w:w="5103"/>
      </w:tblGrid>
      <w:tr w:rsidRPr="00FA7904" w:rsidR="00E424B4" w:rsidTr="30CD2787" w14:paraId="64ADD5FB" w14:textId="77777777">
        <w:tc>
          <w:tcPr>
            <w:tcW w:w="3544" w:type="dxa"/>
            <w:vAlign w:val="center"/>
          </w:tcPr>
          <w:p w:rsidRPr="00FA7904" w:rsidR="004E3A81" w:rsidP="006E2EED" w:rsidRDefault="004E3A81" w14:paraId="356343C3" w14:textId="77777777">
            <w:r w:rsidRPr="00FA7904">
              <w:t>Original version Date:  18/05/2017</w:t>
            </w:r>
          </w:p>
        </w:tc>
        <w:tc>
          <w:tcPr>
            <w:tcW w:w="5103" w:type="dxa"/>
            <w:vAlign w:val="center"/>
          </w:tcPr>
          <w:p w:rsidRPr="00FA7904" w:rsidR="004E3A81" w:rsidP="006E2EED" w:rsidRDefault="004E3A81" w14:paraId="3C2B5021" w14:textId="77777777">
            <w:r w:rsidRPr="00FA7904">
              <w:t>Author: Neonatal Medicines Formulary Consensus Group</w:t>
            </w:r>
          </w:p>
        </w:tc>
      </w:tr>
      <w:tr w:rsidRPr="00FA7904" w:rsidR="00E424B4" w:rsidTr="30CD2787" w14:paraId="3FCBB700" w14:textId="77777777">
        <w:tc>
          <w:tcPr>
            <w:tcW w:w="3544" w:type="dxa"/>
            <w:vAlign w:val="center"/>
          </w:tcPr>
          <w:p w:rsidRPr="00FA7904" w:rsidR="004E3A81" w:rsidP="006E2EED" w:rsidRDefault="004E3A81" w14:paraId="7BF6EFC6" w14:textId="008D8CAA">
            <w:pPr>
              <w:rPr>
                <w:bCs/>
              </w:rPr>
            </w:pPr>
            <w:r w:rsidRPr="00FA7904">
              <w:t xml:space="preserve">Current Version number:  </w:t>
            </w:r>
            <w:r w:rsidR="00F1228B">
              <w:t>3</w:t>
            </w:r>
          </w:p>
        </w:tc>
        <w:tc>
          <w:tcPr>
            <w:tcW w:w="5103" w:type="dxa"/>
            <w:vAlign w:val="center"/>
          </w:tcPr>
          <w:p w:rsidRPr="00FA7904" w:rsidR="004E3A81" w:rsidP="006E2EED" w:rsidRDefault="004E3A81" w14:paraId="4B5966DB" w14:textId="7C936DB4">
            <w:r>
              <w:t xml:space="preserve">TCH </w:t>
            </w:r>
            <w:r w:rsidRPr="00FA7904">
              <w:t xml:space="preserve">Version Date:  </w:t>
            </w:r>
            <w:r w:rsidR="00F1228B">
              <w:t>15-12-2020</w:t>
            </w:r>
          </w:p>
        </w:tc>
      </w:tr>
      <w:tr w:rsidRPr="00FA7904" w:rsidR="00E424B4" w:rsidTr="30CD2787" w14:paraId="6B87841A" w14:textId="77777777">
        <w:tc>
          <w:tcPr>
            <w:tcW w:w="3544" w:type="dxa"/>
            <w:vAlign w:val="center"/>
          </w:tcPr>
          <w:p w:rsidRPr="00FA7904" w:rsidR="004E3A81" w:rsidP="006E2EED" w:rsidRDefault="004E3A81" w14:paraId="053853DE" w14:textId="3426151D">
            <w:r w:rsidRPr="00FA7904">
              <w:t xml:space="preserve">Risk Rating: </w:t>
            </w:r>
            <w:r w:rsidR="00F1228B">
              <w:t>Low</w:t>
            </w:r>
          </w:p>
        </w:tc>
        <w:tc>
          <w:tcPr>
            <w:tcW w:w="5103" w:type="dxa"/>
            <w:vAlign w:val="center"/>
          </w:tcPr>
          <w:p w:rsidRPr="00FA7904" w:rsidR="004E3A81" w:rsidP="006E2EED" w:rsidRDefault="004E3A81" w14:paraId="5CF62F75" w14:textId="0A03E40B">
            <w:r w:rsidRPr="00FA7904">
              <w:t xml:space="preserve">Due for Review: </w:t>
            </w:r>
            <w:r w:rsidR="00F1228B">
              <w:t>15-12-2025</w:t>
            </w:r>
          </w:p>
        </w:tc>
      </w:tr>
      <w:tr w:rsidRPr="00FA7904" w:rsidR="00E424B4" w:rsidTr="30CD2787" w14:paraId="24C3DE23" w14:textId="77777777">
        <w:trPr>
          <w:trHeight w:val="225"/>
        </w:trPr>
        <w:tc>
          <w:tcPr>
            <w:tcW w:w="3544" w:type="dxa"/>
            <w:tcBorders>
              <w:bottom w:val="single" w:color="auto" w:sz="4" w:space="0"/>
            </w:tcBorders>
            <w:vAlign w:val="center"/>
          </w:tcPr>
          <w:p w:rsidRPr="00FA7904" w:rsidR="004E3A81" w:rsidP="006E2EED" w:rsidRDefault="004E3A81" w14:paraId="48E3C92A" w14:textId="77777777">
            <w:r w:rsidRPr="00FA7904">
              <w:t xml:space="preserve">Approval by: </w:t>
            </w:r>
            <w:r>
              <w:t>DTC</w:t>
            </w:r>
          </w:p>
        </w:tc>
        <w:tc>
          <w:tcPr>
            <w:tcW w:w="5103" w:type="dxa"/>
            <w:tcBorders>
              <w:bottom w:val="single" w:color="auto" w:sz="4" w:space="0"/>
            </w:tcBorders>
            <w:vAlign w:val="center"/>
          </w:tcPr>
          <w:p w:rsidRPr="00FA7904" w:rsidR="004E3A81" w:rsidP="006E2EED" w:rsidRDefault="004E3A81" w14:paraId="65A92380" w14:textId="45E8BE11">
            <w:r w:rsidRPr="00FA7904">
              <w:t>Approval Date:</w:t>
            </w:r>
            <w:r>
              <w:t xml:space="preserve"> </w:t>
            </w:r>
            <w:r w:rsidR="00260BC8">
              <w:t>APRIL 2021</w:t>
            </w:r>
          </w:p>
        </w:tc>
      </w:tr>
    </w:tbl>
    <w:p w:rsidR="00115F48" w:rsidP="006F0321" w:rsidRDefault="00115F48" w14:paraId="30C6C311" w14:textId="2FDB4106"/>
    <w:p w:rsidR="004F7B5A" w:rsidP="006F0321" w:rsidRDefault="004F7B5A" w14:paraId="39C78DD6" w14:textId="77777777"/>
    <w:p w:rsidR="004F7B5A" w:rsidP="006F0321" w:rsidRDefault="004F7B5A" w14:paraId="0534E6CF" w14:textId="77777777"/>
    <w:p w:rsidR="004F7B5A" w:rsidP="006F0321" w:rsidRDefault="004F7B5A" w14:paraId="37D153F3" w14:textId="77777777"/>
    <w:p w:rsidR="00436584" w:rsidP="006F0321" w:rsidRDefault="00436584" w14:paraId="78A70D83" w14:textId="77777777"/>
    <w:p w:rsidR="00436584" w:rsidP="006F0321" w:rsidRDefault="00436584" w14:paraId="0E272CAB" w14:textId="77777777"/>
    <w:p w:rsidR="00436584" w:rsidP="006F0321" w:rsidRDefault="00436584" w14:paraId="079EEFBA" w14:textId="77777777"/>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30CD2787" w:rsidTr="00F1228B" w14:paraId="71A18033" w14:textId="77777777">
        <w:trPr>
          <w:trHeight w:val="720"/>
        </w:trPr>
        <w:tc>
          <w:tcPr>
            <w:tcW w:w="8980" w:type="dxa"/>
            <w:gridSpan w:val="2"/>
            <w:shd w:val="clear" w:color="auto" w:fill="FFFF00"/>
          </w:tcPr>
          <w:p w:rsidR="51052EF2" w:rsidP="30CD2787" w:rsidRDefault="51052EF2" w14:paraId="4C721154" w14:textId="4AF2716B">
            <w:pPr>
              <w:pStyle w:val="Heading1"/>
            </w:pPr>
            <w:bookmarkStart w:name="_Toc75339980" w:id="289"/>
            <w:r>
              <w:lastRenderedPageBreak/>
              <w:t>Glycerol (Glycerine)</w:t>
            </w:r>
            <w:bookmarkEnd w:id="289"/>
            <w:r>
              <w:fldChar w:fldCharType="begin"/>
            </w:r>
            <w:r>
              <w:instrText>tc "Ampicillin" \l 0</w:instrText>
            </w:r>
            <w:r>
              <w:fldChar w:fldCharType="end"/>
            </w:r>
          </w:p>
        </w:tc>
      </w:tr>
      <w:tr w:rsidR="30CD2787" w:rsidTr="00F1228B" w14:paraId="3E059C19" w14:textId="77777777">
        <w:trPr>
          <w:trHeight w:val="480"/>
        </w:trPr>
        <w:tc>
          <w:tcPr>
            <w:tcW w:w="4122" w:type="dxa"/>
            <w:shd w:val="clear" w:color="auto" w:fill="FFFF00"/>
          </w:tcPr>
          <w:p w:rsidR="30CD2787" w:rsidRDefault="30CD2787" w14:paraId="31095F88" w14:textId="39BAED1C">
            <w:r>
              <w:t xml:space="preserve">Revision Date : </w:t>
            </w:r>
          </w:p>
        </w:tc>
        <w:tc>
          <w:tcPr>
            <w:tcW w:w="4858" w:type="dxa"/>
            <w:shd w:val="clear" w:color="auto" w:fill="FFFF00"/>
          </w:tcPr>
          <w:p w:rsidR="30CD2787" w:rsidRDefault="30CD2787" w14:paraId="5F17DF67" w14:textId="77777777">
            <w:r>
              <w:t>Approved : TC, KOH</w:t>
            </w:r>
          </w:p>
        </w:tc>
      </w:tr>
    </w:tbl>
    <w:p w:rsidRPr="00E25790" w:rsidR="00115F48" w:rsidP="006F0321" w:rsidRDefault="00115F48" w14:paraId="2CD75BFA" w14:textId="77777777"/>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213"/>
        <w:gridCol w:w="2098"/>
        <w:gridCol w:w="4124"/>
        <w:gridCol w:w="586"/>
      </w:tblGrid>
      <w:tr w:rsidR="00E424B4" w:rsidTr="5801437A" w14:paraId="0C22E3CE" w14:textId="77777777">
        <w:trPr>
          <w:gridAfter w:val="1"/>
          <w:wAfter w:w="789" w:type="dxa"/>
          <w:trHeight w:val="300"/>
        </w:trPr>
        <w:tc>
          <w:tcPr>
            <w:tcW w:w="2303" w:type="dxa"/>
            <w:tcMar/>
          </w:tcPr>
          <w:p w:rsidR="30CD2787" w:rsidP="77BEE3D0" w:rsidRDefault="65CD3C34" w14:paraId="5A957566" w14:textId="77777777">
            <w:pPr>
              <w:rPr>
                <w:sz w:val="20"/>
                <w:lang w:val="en-AU"/>
              </w:rPr>
            </w:pPr>
            <w:r w:rsidRPr="77BEE3D0">
              <w:rPr>
                <w:b/>
                <w:bCs/>
                <w:sz w:val="20"/>
                <w:lang w:val="en-AU"/>
              </w:rPr>
              <w:t xml:space="preserve">Indication </w:t>
            </w:r>
            <w:r w:rsidRPr="77BEE3D0">
              <w:rPr>
                <w:sz w:val="20"/>
                <w:lang w:val="en-AU"/>
              </w:rPr>
              <w:t xml:space="preserve">                        </w:t>
            </w:r>
          </w:p>
          <w:p w:rsidR="30CD2787" w:rsidP="77BEE3D0" w:rsidRDefault="30CD2787" w14:paraId="31550EBB" w14:textId="77777777">
            <w:pPr>
              <w:rPr>
                <w:sz w:val="20"/>
                <w:lang w:val="en-AU"/>
              </w:rPr>
            </w:pPr>
          </w:p>
        </w:tc>
        <w:tc>
          <w:tcPr>
            <w:tcW w:w="6769" w:type="dxa"/>
            <w:gridSpan w:val="2"/>
            <w:tcMar/>
          </w:tcPr>
          <w:p w:rsidR="349BBCDF" w:rsidP="540593E1" w:rsidRDefault="349BBCDF" w14:paraId="02233C6C" w14:textId="53F18EEA">
            <w:pPr>
              <w:rPr>
                <w:sz w:val="20"/>
                <w:lang w:val="en-AU"/>
              </w:rPr>
            </w:pPr>
            <w:r w:rsidRPr="540593E1">
              <w:rPr>
                <w:sz w:val="20"/>
                <w:lang w:val="en-AU"/>
              </w:rPr>
              <w:t>Facilitation of passage of meconium.</w:t>
            </w:r>
            <w:r w:rsidRPr="540593E1" w:rsidR="2A6B360A">
              <w:rPr>
                <w:sz w:val="20"/>
                <w:lang w:val="en-AU"/>
              </w:rPr>
              <w:t xml:space="preserve"> </w:t>
            </w:r>
            <w:r w:rsidRPr="540593E1">
              <w:rPr>
                <w:sz w:val="20"/>
                <w:lang w:val="en-AU"/>
              </w:rPr>
              <w:t>Constipation.</w:t>
            </w:r>
          </w:p>
          <w:p w:rsidR="30CD2787" w:rsidP="30CD2787" w:rsidRDefault="30CD2787" w14:paraId="586743CB" w14:textId="6EEBC897">
            <w:pPr>
              <w:rPr>
                <w:lang w:val="en-AU"/>
              </w:rPr>
            </w:pPr>
          </w:p>
        </w:tc>
      </w:tr>
      <w:tr w:rsidR="00E424B4" w:rsidTr="5801437A" w14:paraId="5033C938" w14:textId="77777777">
        <w:trPr>
          <w:gridAfter w:val="1"/>
          <w:wAfter w:w="789" w:type="dxa"/>
          <w:trHeight w:val="472"/>
        </w:trPr>
        <w:tc>
          <w:tcPr>
            <w:tcW w:w="2303" w:type="dxa"/>
            <w:tcMar/>
          </w:tcPr>
          <w:p w:rsidR="30CD2787" w:rsidP="77BEE3D0" w:rsidRDefault="65CD3C34" w14:paraId="631A37A8" w14:textId="77777777">
            <w:pPr>
              <w:rPr>
                <w:b/>
                <w:bCs/>
                <w:sz w:val="20"/>
                <w:lang w:val="en-AU"/>
              </w:rPr>
            </w:pPr>
            <w:r w:rsidRPr="77BEE3D0">
              <w:rPr>
                <w:b/>
                <w:bCs/>
                <w:sz w:val="20"/>
                <w:lang w:val="en-AU"/>
              </w:rPr>
              <w:t>Action</w:t>
            </w:r>
          </w:p>
        </w:tc>
        <w:tc>
          <w:tcPr>
            <w:tcW w:w="6769" w:type="dxa"/>
            <w:gridSpan w:val="2"/>
            <w:tcMar/>
          </w:tcPr>
          <w:p w:rsidR="40332308" w:rsidP="540593E1" w:rsidRDefault="40332308" w14:paraId="4B194734" w14:textId="7D3432CF">
            <w:pPr>
              <w:rPr>
                <w:sz w:val="20"/>
                <w:lang w:val="en-AU"/>
              </w:rPr>
            </w:pPr>
            <w:r w:rsidRPr="540593E1">
              <w:rPr>
                <w:sz w:val="20"/>
                <w:lang w:val="en-AU"/>
              </w:rPr>
              <w:t>Osmotic laxative that acts by increasing osmotic pressure in the gut; It also stimulates rectal, contraction. Onset may take 15–30 minutes.</w:t>
            </w:r>
          </w:p>
          <w:p w:rsidR="30CD2787" w:rsidP="30CD2787" w:rsidRDefault="30CD2787" w14:paraId="491E41DF" w14:textId="45DDE7B2">
            <w:pPr>
              <w:rPr>
                <w:lang w:val="en-AU"/>
              </w:rPr>
            </w:pPr>
          </w:p>
        </w:tc>
      </w:tr>
      <w:tr w:rsidR="00E424B4" w:rsidTr="5801437A" w14:paraId="3314B08F" w14:textId="77777777">
        <w:trPr>
          <w:gridAfter w:val="1"/>
          <w:wAfter w:w="789" w:type="dxa"/>
          <w:trHeight w:val="300"/>
        </w:trPr>
        <w:tc>
          <w:tcPr>
            <w:tcW w:w="2303" w:type="dxa"/>
            <w:tcMar/>
          </w:tcPr>
          <w:p w:rsidR="30CD2787" w:rsidP="77BEE3D0" w:rsidRDefault="65CD3C34" w14:paraId="5E9D4591" w14:textId="77777777">
            <w:pPr>
              <w:rPr>
                <w:sz w:val="20"/>
                <w:lang w:val="en-AU"/>
              </w:rPr>
            </w:pPr>
            <w:r w:rsidRPr="77BEE3D0">
              <w:rPr>
                <w:b/>
                <w:bCs/>
                <w:sz w:val="20"/>
                <w:lang w:val="en-AU"/>
              </w:rPr>
              <w:t>Drug Type</w:t>
            </w:r>
            <w:r w:rsidRPr="77BEE3D0">
              <w:rPr>
                <w:sz w:val="20"/>
                <w:lang w:val="en-AU"/>
              </w:rPr>
              <w:t xml:space="preserve">                                   </w:t>
            </w:r>
          </w:p>
        </w:tc>
        <w:tc>
          <w:tcPr>
            <w:tcW w:w="6769" w:type="dxa"/>
            <w:gridSpan w:val="2"/>
            <w:tcMar/>
          </w:tcPr>
          <w:p w:rsidR="32DAF6FF" w:rsidP="540593E1" w:rsidRDefault="32DAF6FF" w14:paraId="46C16888" w14:textId="7D1F6175">
            <w:pPr>
              <w:rPr>
                <w:sz w:val="20"/>
                <w:lang w:val="en-AU"/>
              </w:rPr>
            </w:pPr>
            <w:r w:rsidRPr="540593E1">
              <w:rPr>
                <w:sz w:val="20"/>
                <w:lang w:val="en-AU"/>
              </w:rPr>
              <w:t>Laxative</w:t>
            </w:r>
          </w:p>
        </w:tc>
      </w:tr>
      <w:tr w:rsidR="00E424B4" w:rsidTr="5801437A" w14:paraId="7C56DC0B" w14:textId="77777777">
        <w:trPr>
          <w:gridAfter w:val="1"/>
          <w:wAfter w:w="789" w:type="dxa"/>
          <w:trHeight w:val="384"/>
        </w:trPr>
        <w:tc>
          <w:tcPr>
            <w:tcW w:w="2303" w:type="dxa"/>
            <w:tcMar/>
          </w:tcPr>
          <w:p w:rsidR="30CD2787" w:rsidP="77BEE3D0" w:rsidRDefault="65CD3C34" w14:paraId="0EC663F4" w14:textId="77777777">
            <w:pPr>
              <w:rPr>
                <w:sz w:val="20"/>
                <w:lang w:val="en-AU"/>
              </w:rPr>
            </w:pPr>
            <w:r w:rsidRPr="77BEE3D0">
              <w:rPr>
                <w:b/>
                <w:bCs/>
                <w:sz w:val="20"/>
                <w:lang w:val="en-AU"/>
              </w:rPr>
              <w:t xml:space="preserve">Trade Name </w:t>
            </w:r>
            <w:r w:rsidRPr="77BEE3D0">
              <w:rPr>
                <w:sz w:val="20"/>
                <w:lang w:val="en-AU"/>
              </w:rPr>
              <w:t xml:space="preserve">                 </w:t>
            </w:r>
          </w:p>
        </w:tc>
        <w:tc>
          <w:tcPr>
            <w:tcW w:w="6769" w:type="dxa"/>
            <w:gridSpan w:val="2"/>
            <w:tcMar/>
          </w:tcPr>
          <w:p w:rsidR="5F8FC2A6" w:rsidP="540593E1" w:rsidRDefault="5F8FC2A6" w14:paraId="2EFC4F6A" w14:textId="0F4115F3">
            <w:pPr>
              <w:rPr>
                <w:sz w:val="20"/>
                <w:lang w:val="en-AU"/>
              </w:rPr>
            </w:pPr>
            <w:r w:rsidRPr="540593E1">
              <w:rPr>
                <w:sz w:val="20"/>
                <w:lang w:val="en-AU"/>
              </w:rPr>
              <w:t>Petrus Glycerol Suppositories BP 0.7 g for Infants (glycerine)</w:t>
            </w:r>
          </w:p>
          <w:p w:rsidR="5F8FC2A6" w:rsidP="540593E1" w:rsidRDefault="5F8FC2A6" w14:paraId="0165E1DB" w14:textId="63D1C98B">
            <w:pPr>
              <w:rPr>
                <w:sz w:val="20"/>
                <w:lang w:val="en-AU"/>
              </w:rPr>
            </w:pPr>
            <w:r w:rsidRPr="540593E1">
              <w:rPr>
                <w:sz w:val="20"/>
                <w:lang w:val="en-AU"/>
              </w:rPr>
              <w:t>Glycerol B.P. Liquid (Perrigo Australia)</w:t>
            </w:r>
          </w:p>
          <w:p w:rsidR="30CD2787" w:rsidP="30CD2787" w:rsidRDefault="30CD2787" w14:paraId="6F64F6C8" w14:textId="4414248C">
            <w:pPr>
              <w:rPr>
                <w:lang w:val="en-AU"/>
              </w:rPr>
            </w:pPr>
          </w:p>
        </w:tc>
      </w:tr>
      <w:tr w:rsidR="00E424B4" w:rsidTr="5801437A" w14:paraId="79C2F1EC" w14:textId="77777777">
        <w:trPr>
          <w:gridAfter w:val="1"/>
          <w:wAfter w:w="789" w:type="dxa"/>
          <w:trHeight w:val="564"/>
        </w:trPr>
        <w:tc>
          <w:tcPr>
            <w:tcW w:w="2303" w:type="dxa"/>
            <w:tcMar/>
          </w:tcPr>
          <w:p w:rsidR="30CD2787" w:rsidP="77BEE3D0" w:rsidRDefault="65CD3C34" w14:paraId="187F28E5" w14:textId="77777777">
            <w:pPr>
              <w:rPr>
                <w:sz w:val="20"/>
                <w:lang w:val="en-AU"/>
              </w:rPr>
            </w:pPr>
            <w:r w:rsidRPr="77BEE3D0">
              <w:rPr>
                <w:b/>
                <w:bCs/>
                <w:sz w:val="20"/>
                <w:lang w:val="en-AU"/>
              </w:rPr>
              <w:t>Presentation</w:t>
            </w:r>
            <w:r w:rsidRPr="77BEE3D0">
              <w:rPr>
                <w:sz w:val="20"/>
                <w:lang w:val="en-AU"/>
              </w:rPr>
              <w:t xml:space="preserve"> </w:t>
            </w:r>
          </w:p>
        </w:tc>
        <w:tc>
          <w:tcPr>
            <w:tcW w:w="6769" w:type="dxa"/>
            <w:gridSpan w:val="2"/>
            <w:tcMar/>
          </w:tcPr>
          <w:p w:rsidR="29A359EB" w:rsidP="540593E1" w:rsidRDefault="29A359EB" w14:paraId="327EC1CC" w14:textId="06868248">
            <w:pPr>
              <w:rPr>
                <w:sz w:val="20"/>
                <w:lang w:val="en-AU"/>
              </w:rPr>
            </w:pPr>
            <w:r w:rsidRPr="540593E1">
              <w:rPr>
                <w:sz w:val="20"/>
                <w:lang w:val="en-AU"/>
              </w:rPr>
              <w:t xml:space="preserve">Suppositories – Petrus suppository infant size glycerol 0.7 g in a 1g suppository (also contains, gelatine and water), </w:t>
            </w:r>
          </w:p>
          <w:p w:rsidR="29A359EB" w:rsidP="540593E1" w:rsidRDefault="29A359EB" w14:paraId="05313044" w14:textId="61E1936B">
            <w:pPr>
              <w:rPr>
                <w:sz w:val="20"/>
                <w:lang w:val="en-AU"/>
              </w:rPr>
            </w:pPr>
            <w:r w:rsidRPr="540593E1">
              <w:rPr>
                <w:sz w:val="20"/>
                <w:lang w:val="en-AU"/>
              </w:rPr>
              <w:t>Liquid – Glycerol B.P. 100 mL bottle. Contains 100% w/w glycerol.</w:t>
            </w:r>
          </w:p>
          <w:p w:rsidR="30CD2787" w:rsidP="30CD2787" w:rsidRDefault="30CD2787" w14:paraId="69E87287" w14:textId="143DB66D">
            <w:pPr>
              <w:rPr>
                <w:lang w:val="en-AU"/>
              </w:rPr>
            </w:pPr>
          </w:p>
        </w:tc>
      </w:tr>
      <w:tr w:rsidR="00E424B4" w:rsidTr="5801437A" w14:paraId="1775650A" w14:textId="77777777">
        <w:trPr>
          <w:gridAfter w:val="1"/>
          <w:wAfter w:w="789" w:type="dxa"/>
          <w:trHeight w:val="735"/>
        </w:trPr>
        <w:tc>
          <w:tcPr>
            <w:tcW w:w="2303" w:type="dxa"/>
            <w:tcMar/>
          </w:tcPr>
          <w:p w:rsidR="30CD2787" w:rsidP="77BEE3D0" w:rsidRDefault="65CD3C34" w14:paraId="1A4C92A2" w14:textId="77777777">
            <w:pPr>
              <w:rPr>
                <w:sz w:val="20"/>
                <w:lang w:val="en-AU"/>
              </w:rPr>
            </w:pPr>
            <w:r w:rsidRPr="77BEE3D0">
              <w:rPr>
                <w:b/>
                <w:bCs/>
                <w:sz w:val="20"/>
                <w:lang w:val="en-AU"/>
              </w:rPr>
              <w:t>Dosage / Interval</w:t>
            </w:r>
            <w:r w:rsidRPr="77BEE3D0">
              <w:rPr>
                <w:sz w:val="20"/>
                <w:lang w:val="en-AU"/>
              </w:rPr>
              <w:t xml:space="preserve">                           </w:t>
            </w:r>
          </w:p>
          <w:p w:rsidR="30CD2787" w:rsidP="77BEE3D0" w:rsidRDefault="30CD2787" w14:paraId="1DB17768" w14:textId="77777777">
            <w:pPr>
              <w:rPr>
                <w:sz w:val="20"/>
                <w:lang w:val="en-AU"/>
              </w:rPr>
            </w:pPr>
          </w:p>
        </w:tc>
        <w:tc>
          <w:tcPr>
            <w:tcW w:w="6769" w:type="dxa"/>
            <w:gridSpan w:val="2"/>
            <w:tcMar/>
          </w:tcPr>
          <w:p w:rsidR="20B6C875" w:rsidP="77BEE3D0" w:rsidRDefault="49CA0F7E" w14:paraId="5D169041" w14:textId="1464AC3A">
            <w:pPr>
              <w:rPr>
                <w:sz w:val="20"/>
                <w:lang w:val="en-AU"/>
              </w:rPr>
            </w:pPr>
            <w:r w:rsidRPr="77BEE3D0">
              <w:rPr>
                <w:sz w:val="20"/>
                <w:lang w:val="en-AU"/>
              </w:rPr>
              <w:t>Glycerine suppository – sliver.</w:t>
            </w:r>
            <w:r w:rsidRPr="77BEE3D0" w:rsidR="5B95E345">
              <w:rPr>
                <w:sz w:val="20"/>
                <w:lang w:val="en-AU"/>
              </w:rPr>
              <w:t xml:space="preserve"> </w:t>
            </w:r>
            <w:r w:rsidRPr="77BEE3D0">
              <w:rPr>
                <w:sz w:val="20"/>
                <w:lang w:val="en-AU"/>
              </w:rPr>
              <w:t>Glycerol liquid – 0.2 mL of diluted 80% glycerol</w:t>
            </w:r>
            <w:r w:rsidRPr="77BEE3D0" w:rsidR="09E9AC38">
              <w:rPr>
                <w:sz w:val="20"/>
                <w:lang w:val="en-AU"/>
              </w:rPr>
              <w:t xml:space="preserve">. </w:t>
            </w:r>
            <w:r w:rsidRPr="77BEE3D0">
              <w:rPr>
                <w:sz w:val="20"/>
                <w:lang w:val="en-AU"/>
              </w:rPr>
              <w:t>*Refer to maximum daily dose section and evidence summary for alternate dose and, strength.</w:t>
            </w:r>
          </w:p>
          <w:p w:rsidR="30CD2787" w:rsidP="30CD2787" w:rsidRDefault="30CD2787" w14:paraId="04A8A0C2" w14:textId="26076CA2">
            <w:pPr>
              <w:rPr>
                <w:lang w:val="en-AU"/>
              </w:rPr>
            </w:pPr>
          </w:p>
        </w:tc>
      </w:tr>
      <w:tr w:rsidR="00E424B4" w:rsidTr="5801437A" w14:paraId="4644F668" w14:textId="77777777">
        <w:trPr>
          <w:gridAfter w:val="1"/>
          <w:wAfter w:w="789" w:type="dxa"/>
          <w:trHeight w:val="407"/>
        </w:trPr>
        <w:tc>
          <w:tcPr>
            <w:tcW w:w="2303" w:type="dxa"/>
            <w:tcMar/>
          </w:tcPr>
          <w:p w:rsidR="30CD2787" w:rsidP="77BEE3D0" w:rsidRDefault="65CD3C34" w14:paraId="493D8772" w14:textId="77777777">
            <w:pPr>
              <w:rPr>
                <w:rFonts w:cs="Arial"/>
                <w:b/>
                <w:bCs/>
                <w:sz w:val="20"/>
                <w:lang w:val="en-AU"/>
              </w:rPr>
            </w:pPr>
            <w:r w:rsidRPr="77BEE3D0">
              <w:rPr>
                <w:b/>
                <w:bCs/>
                <w:sz w:val="20"/>
                <w:lang w:val="en-AU"/>
              </w:rPr>
              <w:t>Maximum Daily Dose</w:t>
            </w:r>
          </w:p>
        </w:tc>
        <w:tc>
          <w:tcPr>
            <w:tcW w:w="6769" w:type="dxa"/>
            <w:gridSpan w:val="2"/>
            <w:tcMar/>
          </w:tcPr>
          <w:p w:rsidR="73C04067" w:rsidP="540593E1" w:rsidRDefault="73C04067" w14:paraId="2D5D8AA5" w14:textId="4C651220">
            <w:pPr>
              <w:rPr>
                <w:sz w:val="20"/>
                <w:lang w:val="en-AU"/>
              </w:rPr>
            </w:pPr>
            <w:r w:rsidRPr="540593E1">
              <w:rPr>
                <w:sz w:val="20"/>
                <w:lang w:val="en-AU"/>
              </w:rPr>
              <w:t>Dose of 1 mL/kg of 1:4 diluted glycerol at 12–24 hour intervals has been used.</w:t>
            </w:r>
          </w:p>
          <w:p w:rsidR="30CD2787" w:rsidP="30CD2787" w:rsidRDefault="30CD2787" w14:paraId="3F1F8354" w14:textId="64373ACA">
            <w:pPr>
              <w:rPr>
                <w:lang w:val="en-AU"/>
              </w:rPr>
            </w:pPr>
          </w:p>
        </w:tc>
      </w:tr>
      <w:tr w:rsidR="00E424B4" w:rsidTr="5801437A" w14:paraId="4B4C1AC5" w14:textId="77777777">
        <w:trPr>
          <w:gridAfter w:val="1"/>
          <w:wAfter w:w="789" w:type="dxa"/>
          <w:trHeight w:val="300"/>
        </w:trPr>
        <w:tc>
          <w:tcPr>
            <w:tcW w:w="2303" w:type="dxa"/>
            <w:tcMar/>
          </w:tcPr>
          <w:p w:rsidR="30CD2787" w:rsidP="77BEE3D0" w:rsidRDefault="65CD3C34" w14:paraId="2B6FB5B6" w14:textId="77777777">
            <w:pPr>
              <w:rPr>
                <w:sz w:val="20"/>
                <w:lang w:val="en-AU"/>
              </w:rPr>
            </w:pPr>
            <w:r w:rsidRPr="77BEE3D0">
              <w:rPr>
                <w:b/>
                <w:bCs/>
                <w:sz w:val="20"/>
                <w:lang w:val="en-AU"/>
              </w:rPr>
              <w:t xml:space="preserve">Route  </w:t>
            </w:r>
            <w:r w:rsidRPr="77BEE3D0">
              <w:rPr>
                <w:sz w:val="20"/>
                <w:lang w:val="en-AU"/>
              </w:rPr>
              <w:t xml:space="preserve">                              </w:t>
            </w:r>
          </w:p>
          <w:p w:rsidR="30CD2787" w:rsidP="77BEE3D0" w:rsidRDefault="65CD3C34" w14:paraId="4BC2E4FF" w14:textId="77777777">
            <w:pPr>
              <w:rPr>
                <w:sz w:val="20"/>
                <w:lang w:val="en-AU"/>
              </w:rPr>
            </w:pPr>
            <w:r w:rsidRPr="77BEE3D0">
              <w:rPr>
                <w:sz w:val="20"/>
                <w:lang w:val="en-AU"/>
              </w:rPr>
              <w:t xml:space="preserve">           </w:t>
            </w:r>
          </w:p>
        </w:tc>
        <w:tc>
          <w:tcPr>
            <w:tcW w:w="6769" w:type="dxa"/>
            <w:gridSpan w:val="2"/>
            <w:tcMar/>
          </w:tcPr>
          <w:p w:rsidR="2F33C8B1" w:rsidP="540593E1" w:rsidRDefault="2F33C8B1" w14:paraId="6C29D35E" w14:textId="4AFBA4F5">
            <w:pPr>
              <w:rPr>
                <w:sz w:val="20"/>
                <w:lang w:val="en-AU"/>
              </w:rPr>
            </w:pPr>
            <w:r w:rsidRPr="540593E1">
              <w:rPr>
                <w:sz w:val="20"/>
                <w:lang w:val="en-AU"/>
              </w:rPr>
              <w:t>PR</w:t>
            </w:r>
          </w:p>
        </w:tc>
      </w:tr>
      <w:tr w:rsidR="00E424B4" w:rsidTr="5801437A" w14:paraId="06F7E6CE" w14:textId="77777777">
        <w:trPr>
          <w:gridAfter w:val="1"/>
          <w:wAfter w:w="789" w:type="dxa"/>
          <w:trHeight w:val="690"/>
        </w:trPr>
        <w:tc>
          <w:tcPr>
            <w:tcW w:w="2303" w:type="dxa"/>
            <w:tcMar/>
          </w:tcPr>
          <w:p w:rsidR="30CD2787" w:rsidP="77BEE3D0" w:rsidRDefault="65CD3C34" w14:paraId="339437FF" w14:textId="035EB75C">
            <w:pPr>
              <w:rPr>
                <w:sz w:val="20"/>
                <w:highlight w:val="cyan"/>
                <w:lang w:val="en-AU"/>
              </w:rPr>
            </w:pPr>
            <w:r w:rsidRPr="77BEE3D0">
              <w:rPr>
                <w:b/>
                <w:bCs/>
                <w:sz w:val="20"/>
                <w:lang w:val="en-AU"/>
              </w:rPr>
              <w:t>Preparation/Dilution</w:t>
            </w:r>
            <w:r w:rsidRPr="77BEE3D0">
              <w:rPr>
                <w:sz w:val="20"/>
                <w:lang w:val="en-AU"/>
              </w:rPr>
              <w:t xml:space="preserve"> </w:t>
            </w:r>
          </w:p>
        </w:tc>
        <w:tc>
          <w:tcPr>
            <w:tcW w:w="6769" w:type="dxa"/>
            <w:gridSpan w:val="2"/>
            <w:tcMar/>
          </w:tcPr>
          <w:p w:rsidR="74EC61B7" w:rsidP="30CD2787" w:rsidRDefault="74EC61B7" w14:paraId="25C8B064" w14:textId="2D4851B4">
            <w:pPr>
              <w:rPr>
                <w:rFonts w:asciiTheme="minorHAnsi" w:hAnsiTheme="minorHAnsi" w:eastAsiaTheme="minorEastAsia" w:cstheme="minorBidi"/>
                <w:sz w:val="20"/>
                <w:lang w:val="en-AU"/>
              </w:rPr>
            </w:pPr>
            <w:r w:rsidRPr="30CD2787">
              <w:rPr>
                <w:rFonts w:asciiTheme="minorHAnsi" w:hAnsiTheme="minorHAnsi" w:eastAsiaTheme="minorEastAsia" w:cstheme="minorBidi"/>
                <w:sz w:val="20"/>
                <w:lang w:val="en-AU"/>
              </w:rPr>
              <w:t xml:space="preserve">Glycerine suppository – cut a small sliver, </w:t>
            </w:r>
          </w:p>
          <w:p w:rsidR="74EC61B7" w:rsidP="48F57877" w:rsidRDefault="6165D6B3" w14:paraId="32D9507E" w14:textId="50E8CDC9">
            <w:pPr>
              <w:rPr>
                <w:rFonts w:asciiTheme="minorHAnsi" w:hAnsiTheme="minorHAnsi" w:eastAsiaTheme="minorEastAsia" w:cstheme="minorBidi"/>
                <w:sz w:val="20"/>
                <w:lang w:val="en-AU"/>
              </w:rPr>
            </w:pPr>
            <w:r w:rsidRPr="48F57877">
              <w:rPr>
                <w:rFonts w:asciiTheme="minorHAnsi" w:hAnsiTheme="minorHAnsi" w:eastAsiaTheme="minorEastAsia" w:cstheme="minorBidi"/>
                <w:sz w:val="20"/>
                <w:lang w:val="en-AU"/>
              </w:rPr>
              <w:t>Glycerol liquid enema – Pharmacy to dilute 80 mL of 100% glycerol with 20 mL of sterile water t</w:t>
            </w:r>
            <w:r w:rsidRPr="48F57877" w:rsidR="16A20007">
              <w:rPr>
                <w:rFonts w:asciiTheme="minorHAnsi" w:hAnsiTheme="minorHAnsi" w:eastAsiaTheme="minorEastAsia" w:cstheme="minorBidi"/>
                <w:sz w:val="20"/>
                <w:lang w:val="en-AU"/>
              </w:rPr>
              <w:t>o</w:t>
            </w:r>
            <w:r w:rsidRPr="48F57877">
              <w:rPr>
                <w:rFonts w:asciiTheme="minorHAnsi" w:hAnsiTheme="minorHAnsi" w:eastAsiaTheme="minorEastAsia" w:cstheme="minorBidi"/>
                <w:sz w:val="20"/>
                <w:lang w:val="en-AU"/>
              </w:rPr>
              <w:t xml:space="preserve"> prepare a 80% v/v liquid glycerol.</w:t>
            </w:r>
          </w:p>
          <w:p w:rsidR="30CD2787" w:rsidP="30CD2787" w:rsidRDefault="30CD2787" w14:paraId="38676052" w14:textId="3FE06004">
            <w:pPr>
              <w:rPr>
                <w:rFonts w:cs="Arial"/>
                <w:lang w:val="en-AU"/>
              </w:rPr>
            </w:pPr>
          </w:p>
        </w:tc>
      </w:tr>
      <w:tr w:rsidR="00E424B4" w:rsidTr="5801437A" w14:paraId="1E6BD55E" w14:textId="77777777">
        <w:trPr>
          <w:gridAfter w:val="1"/>
          <w:wAfter w:w="789" w:type="dxa"/>
          <w:trHeight w:val="1020"/>
        </w:trPr>
        <w:tc>
          <w:tcPr>
            <w:tcW w:w="2303" w:type="dxa"/>
            <w:tcMar/>
          </w:tcPr>
          <w:p w:rsidR="30CD2787" w:rsidP="77BEE3D0" w:rsidRDefault="65CD3C34" w14:paraId="5A905C4E" w14:textId="77777777">
            <w:pPr>
              <w:rPr>
                <w:sz w:val="20"/>
                <w:lang w:val="en-AU"/>
              </w:rPr>
            </w:pPr>
            <w:r w:rsidRPr="77BEE3D0">
              <w:rPr>
                <w:b/>
                <w:bCs/>
                <w:sz w:val="20"/>
                <w:lang w:val="en-AU"/>
              </w:rPr>
              <w:t xml:space="preserve">Administration  </w:t>
            </w:r>
            <w:r w:rsidRPr="77BEE3D0">
              <w:rPr>
                <w:sz w:val="20"/>
                <w:lang w:val="en-AU"/>
              </w:rPr>
              <w:t xml:space="preserve">               </w:t>
            </w:r>
          </w:p>
          <w:p w:rsidR="30CD2787" w:rsidP="77BEE3D0" w:rsidRDefault="30CD2787" w14:paraId="4CA1EDF8" w14:textId="77777777">
            <w:pPr>
              <w:rPr>
                <w:sz w:val="20"/>
                <w:lang w:val="en-AU"/>
              </w:rPr>
            </w:pPr>
          </w:p>
        </w:tc>
        <w:tc>
          <w:tcPr>
            <w:tcW w:w="6769" w:type="dxa"/>
            <w:gridSpan w:val="2"/>
            <w:tcMar/>
            <w:vAlign w:val="center"/>
          </w:tcPr>
          <w:p w:rsidRPr="00642ECE" w:rsidR="14A7ADA9" w:rsidP="1ADE82BF" w:rsidRDefault="14A7ADA9" w14:paraId="3A853D87" w14:textId="1E00E7A0">
            <w:pPr>
              <w:rPr>
                <w:sz w:val="20"/>
                <w:lang w:val="en-AU"/>
              </w:rPr>
            </w:pPr>
            <w:r w:rsidRPr="00642ECE">
              <w:rPr>
                <w:sz w:val="20"/>
                <w:lang w:val="en-AU"/>
              </w:rPr>
              <w:t xml:space="preserve">Glycerine suppository – gently insert the sliver fully into the rectum., </w:t>
            </w:r>
          </w:p>
          <w:p w:rsidR="14A7ADA9" w:rsidP="1ADE82BF" w:rsidRDefault="14A7ADA9" w14:paraId="2BEE915C" w14:textId="23E4E8B0">
            <w:pPr>
              <w:rPr>
                <w:sz w:val="20"/>
                <w:lang w:val="en-AU"/>
              </w:rPr>
            </w:pPr>
            <w:r w:rsidRPr="00642ECE">
              <w:rPr>
                <w:sz w:val="20"/>
                <w:lang w:val="en-AU"/>
              </w:rPr>
              <w:t>Glycerol liquid – draw 0.3 mL of diluted 80% glycerol into a 1 mL syringe. Attach Clot Catcher and, prime with the solution. Insert 1–2 cm of Clot Catcher through anus and administer 0.2 mL.</w:t>
            </w:r>
          </w:p>
          <w:p w:rsidR="30CD2787" w:rsidP="30CD2787" w:rsidRDefault="0041066A" w14:paraId="7EF25313" w14:textId="626E80CE">
            <w:pPr>
              <w:rPr>
                <w:lang w:val="en-AU"/>
              </w:rPr>
            </w:pPr>
            <w:r w:rsidR="0041066A">
              <w:drawing>
                <wp:inline wp14:editId="1118207D" wp14:anchorId="44503A2C">
                  <wp:extent cx="2819269" cy="1309370"/>
                  <wp:effectExtent l="0" t="0" r="635" b="5080"/>
                  <wp:docPr id="2" name="Picture 2" title=""/>
                  <wp:cNvGraphicFramePr>
                    <a:graphicFrameLocks noChangeAspect="1"/>
                  </wp:cNvGraphicFramePr>
                  <a:graphic>
                    <a:graphicData uri="http://schemas.openxmlformats.org/drawingml/2006/picture">
                      <pic:pic>
                        <pic:nvPicPr>
                          <pic:cNvPr id="0" name="Picture 2"/>
                          <pic:cNvPicPr/>
                        </pic:nvPicPr>
                        <pic:blipFill>
                          <a:blip r:embed="R4ceef77f36474b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9269" cy="1309370"/>
                          </a:xfrm>
                          <a:prstGeom prst="rect">
                            <a:avLst/>
                          </a:prstGeom>
                        </pic:spPr>
                      </pic:pic>
                    </a:graphicData>
                  </a:graphic>
                </wp:inline>
              </w:drawing>
            </w:r>
          </w:p>
          <w:p w:rsidR="30CD2787" w:rsidP="30CD2787" w:rsidRDefault="30CD2787" w14:paraId="40E0E3DF" w14:textId="707C69D5">
            <w:pPr>
              <w:rPr>
                <w:lang w:val="en-AU"/>
              </w:rPr>
            </w:pPr>
          </w:p>
        </w:tc>
      </w:tr>
      <w:tr w:rsidR="00E424B4" w:rsidTr="5801437A" w14:paraId="615CC484" w14:textId="77777777">
        <w:trPr>
          <w:gridAfter w:val="1"/>
          <w:wAfter w:w="789" w:type="dxa"/>
          <w:trHeight w:val="407"/>
        </w:trPr>
        <w:tc>
          <w:tcPr>
            <w:tcW w:w="2303" w:type="dxa"/>
            <w:tcMar/>
          </w:tcPr>
          <w:p w:rsidR="30CD2787" w:rsidP="77BEE3D0" w:rsidRDefault="65CD3C34" w14:paraId="0B1B8D0A" w14:textId="77777777">
            <w:pPr>
              <w:rPr>
                <w:sz w:val="20"/>
                <w:lang w:val="en-AU"/>
              </w:rPr>
            </w:pPr>
            <w:r w:rsidRPr="77BEE3D0">
              <w:rPr>
                <w:b/>
                <w:bCs/>
                <w:sz w:val="20"/>
                <w:lang w:val="en-AU"/>
              </w:rPr>
              <w:t xml:space="preserve">Monitoring   </w:t>
            </w:r>
            <w:r w:rsidRPr="77BEE3D0">
              <w:rPr>
                <w:sz w:val="20"/>
                <w:lang w:val="en-AU"/>
              </w:rPr>
              <w:t xml:space="preserve">                           </w:t>
            </w:r>
          </w:p>
          <w:p w:rsidR="30CD2787" w:rsidP="77BEE3D0" w:rsidRDefault="30CD2787" w14:paraId="77F465BE" w14:textId="77777777">
            <w:pPr>
              <w:rPr>
                <w:sz w:val="20"/>
                <w:lang w:val="en-AU"/>
              </w:rPr>
            </w:pPr>
          </w:p>
        </w:tc>
        <w:tc>
          <w:tcPr>
            <w:tcW w:w="6769" w:type="dxa"/>
            <w:gridSpan w:val="2"/>
            <w:tcMar/>
          </w:tcPr>
          <w:p w:rsidR="29F6A554" w:rsidP="48F57877" w:rsidRDefault="052B38B5" w14:paraId="77E24188" w14:textId="6F15FEDD">
            <w:pPr>
              <w:rPr>
                <w:sz w:val="20"/>
                <w:lang w:val="en-AU"/>
              </w:rPr>
            </w:pPr>
            <w:r w:rsidRPr="48F57877">
              <w:rPr>
                <w:sz w:val="20"/>
                <w:lang w:val="en-AU"/>
              </w:rPr>
              <w:t>Stool Output</w:t>
            </w:r>
          </w:p>
        </w:tc>
      </w:tr>
      <w:tr w:rsidR="00E424B4" w:rsidTr="5801437A" w14:paraId="560F30B9" w14:textId="77777777">
        <w:trPr>
          <w:gridAfter w:val="1"/>
          <w:wAfter w:w="789" w:type="dxa"/>
          <w:trHeight w:val="627"/>
        </w:trPr>
        <w:tc>
          <w:tcPr>
            <w:tcW w:w="2303" w:type="dxa"/>
            <w:tcMar/>
          </w:tcPr>
          <w:p w:rsidR="30CD2787" w:rsidP="77BEE3D0" w:rsidRDefault="65CD3C34" w14:paraId="7A63F9D3" w14:textId="77777777">
            <w:pPr>
              <w:rPr>
                <w:sz w:val="20"/>
                <w:lang w:val="en-AU"/>
              </w:rPr>
            </w:pPr>
            <w:r w:rsidRPr="77BEE3D0">
              <w:rPr>
                <w:b/>
                <w:bCs/>
                <w:sz w:val="20"/>
                <w:lang w:val="en-AU"/>
              </w:rPr>
              <w:t xml:space="preserve">Contraindications </w:t>
            </w:r>
            <w:r w:rsidRPr="77BEE3D0">
              <w:rPr>
                <w:sz w:val="20"/>
                <w:lang w:val="en-AU"/>
              </w:rPr>
              <w:t xml:space="preserve">                          </w:t>
            </w:r>
          </w:p>
          <w:p w:rsidR="30CD2787" w:rsidP="77BEE3D0" w:rsidRDefault="30CD2787" w14:paraId="0C5BBF61" w14:textId="77777777">
            <w:pPr>
              <w:rPr>
                <w:sz w:val="20"/>
                <w:lang w:val="en-AU"/>
              </w:rPr>
            </w:pPr>
          </w:p>
        </w:tc>
        <w:tc>
          <w:tcPr>
            <w:tcW w:w="6769" w:type="dxa"/>
            <w:gridSpan w:val="2"/>
            <w:tcMar/>
          </w:tcPr>
          <w:p w:rsidRPr="00642ECE" w:rsidR="05DE4C9D" w:rsidP="1ADE82BF" w:rsidRDefault="05DE4C9D" w14:paraId="7E7D643F" w14:textId="44899469">
            <w:pPr>
              <w:rPr>
                <w:sz w:val="20"/>
                <w:lang w:val="en-AU"/>
              </w:rPr>
            </w:pPr>
            <w:r w:rsidRPr="00642ECE">
              <w:rPr>
                <w:sz w:val="20"/>
                <w:lang w:val="en-AU"/>
              </w:rPr>
              <w:t>Dehydration, rectal bleeding</w:t>
            </w:r>
          </w:p>
        </w:tc>
      </w:tr>
      <w:tr w:rsidR="00E424B4" w:rsidTr="5801437A" w14:paraId="5994CE23" w14:textId="77777777">
        <w:trPr>
          <w:gridAfter w:val="1"/>
          <w:wAfter w:w="789" w:type="dxa"/>
        </w:trPr>
        <w:tc>
          <w:tcPr>
            <w:tcW w:w="2303" w:type="dxa"/>
            <w:tcMar/>
          </w:tcPr>
          <w:p w:rsidR="30CD2787" w:rsidP="77BEE3D0" w:rsidRDefault="65CD3C34" w14:paraId="7E22298E" w14:textId="6BC6AA05">
            <w:pPr>
              <w:rPr>
                <w:b/>
                <w:bCs/>
                <w:sz w:val="20"/>
                <w:lang w:val="en-AU"/>
              </w:rPr>
            </w:pPr>
            <w:r w:rsidRPr="77BEE3D0">
              <w:rPr>
                <w:b/>
                <w:bCs/>
                <w:sz w:val="20"/>
                <w:lang w:val="en-AU"/>
              </w:rPr>
              <w:lastRenderedPageBreak/>
              <w:t>Precautions</w:t>
            </w:r>
          </w:p>
        </w:tc>
        <w:tc>
          <w:tcPr>
            <w:tcW w:w="6769" w:type="dxa"/>
            <w:gridSpan w:val="2"/>
            <w:tcMar/>
          </w:tcPr>
          <w:p w:rsidRPr="00642ECE" w:rsidR="022ECE32" w:rsidP="1ADE82BF" w:rsidRDefault="022ECE32" w14:paraId="6D70034B" w14:textId="6CF231FE">
            <w:pPr>
              <w:rPr>
                <w:sz w:val="20"/>
                <w:lang w:val="en-AU"/>
              </w:rPr>
            </w:pPr>
            <w:r w:rsidRPr="00642ECE">
              <w:rPr>
                <w:sz w:val="20"/>
                <w:lang w:val="en-AU"/>
              </w:rPr>
              <w:t xml:space="preserve">Congenital gastrointestinal conditions – to discuss with surgeon prior to prescription., </w:t>
            </w:r>
          </w:p>
          <w:p w:rsidR="022ECE32" w:rsidP="1ADE82BF" w:rsidRDefault="022ECE32" w14:paraId="2855540B" w14:textId="3858F86F">
            <w:pPr>
              <w:rPr>
                <w:sz w:val="20"/>
                <w:lang w:val="en-AU"/>
              </w:rPr>
            </w:pPr>
            <w:r w:rsidRPr="00642ECE">
              <w:rPr>
                <w:sz w:val="20"/>
                <w:lang w:val="en-AU"/>
              </w:rPr>
              <w:t>Major cardiac defects (risk of fluid shift),</w:t>
            </w:r>
          </w:p>
          <w:p w:rsidR="30CD2787" w:rsidP="30CD2787" w:rsidRDefault="30CD2787" w14:paraId="260B311D" w14:textId="1E71D83D">
            <w:pPr>
              <w:rPr>
                <w:lang w:val="en-AU"/>
              </w:rPr>
            </w:pPr>
          </w:p>
        </w:tc>
      </w:tr>
      <w:tr w:rsidR="00E424B4" w:rsidTr="5801437A" w14:paraId="135630BB" w14:textId="77777777">
        <w:trPr>
          <w:gridAfter w:val="1"/>
          <w:wAfter w:w="789" w:type="dxa"/>
          <w:trHeight w:val="440"/>
        </w:trPr>
        <w:tc>
          <w:tcPr>
            <w:tcW w:w="2303" w:type="dxa"/>
            <w:tcMar/>
          </w:tcPr>
          <w:p w:rsidR="30CD2787" w:rsidP="77BEE3D0" w:rsidRDefault="65CD3C34" w14:paraId="74A9EF7D" w14:textId="77777777">
            <w:pPr>
              <w:rPr>
                <w:b/>
                <w:bCs/>
                <w:sz w:val="20"/>
                <w:lang w:val="en-AU"/>
              </w:rPr>
            </w:pPr>
            <w:r w:rsidRPr="77BEE3D0">
              <w:rPr>
                <w:b/>
                <w:bCs/>
                <w:sz w:val="20"/>
                <w:lang w:val="en-AU"/>
              </w:rPr>
              <w:t>Drug Interactions</w:t>
            </w:r>
          </w:p>
        </w:tc>
        <w:tc>
          <w:tcPr>
            <w:tcW w:w="6769" w:type="dxa"/>
            <w:gridSpan w:val="2"/>
            <w:tcMar/>
          </w:tcPr>
          <w:p w:rsidR="30CD2787" w:rsidP="30CD2787" w:rsidRDefault="30CD2787" w14:paraId="5BE9EF1B" w14:textId="591800C1">
            <w:pPr>
              <w:rPr>
                <w:lang w:val="en-AU"/>
              </w:rPr>
            </w:pPr>
          </w:p>
        </w:tc>
      </w:tr>
      <w:tr w:rsidR="00E424B4" w:rsidTr="5801437A" w14:paraId="661968D0" w14:textId="77777777">
        <w:trPr>
          <w:gridAfter w:val="1"/>
          <w:wAfter w:w="789" w:type="dxa"/>
          <w:trHeight w:val="645"/>
        </w:trPr>
        <w:tc>
          <w:tcPr>
            <w:tcW w:w="2303" w:type="dxa"/>
            <w:tcMar/>
          </w:tcPr>
          <w:p w:rsidR="30CD2787" w:rsidP="77BEE3D0" w:rsidRDefault="65CD3C34" w14:paraId="352785EE" w14:textId="77777777">
            <w:pPr>
              <w:rPr>
                <w:sz w:val="20"/>
                <w:lang w:val="en-AU"/>
              </w:rPr>
            </w:pPr>
            <w:r w:rsidRPr="77BEE3D0">
              <w:rPr>
                <w:b/>
                <w:bCs/>
                <w:sz w:val="20"/>
                <w:lang w:val="en-AU"/>
              </w:rPr>
              <w:t xml:space="preserve">Adverse Reactions  </w:t>
            </w:r>
            <w:r w:rsidRPr="77BEE3D0">
              <w:rPr>
                <w:sz w:val="20"/>
                <w:lang w:val="en-AU"/>
              </w:rPr>
              <w:t xml:space="preserve">       </w:t>
            </w:r>
          </w:p>
          <w:p w:rsidR="30CD2787" w:rsidP="77BEE3D0" w:rsidRDefault="30CD2787" w14:paraId="5F8BA0DC" w14:textId="77777777">
            <w:pPr>
              <w:rPr>
                <w:sz w:val="20"/>
                <w:lang w:val="en-AU"/>
              </w:rPr>
            </w:pPr>
          </w:p>
        </w:tc>
        <w:tc>
          <w:tcPr>
            <w:tcW w:w="6769" w:type="dxa"/>
            <w:gridSpan w:val="2"/>
            <w:tcMar/>
          </w:tcPr>
          <w:p w:rsidRPr="00642ECE" w:rsidR="30C25F13" w:rsidP="1ADE82BF" w:rsidRDefault="30C25F13" w14:paraId="7104F9FC" w14:textId="4BFBD0C7">
            <w:pPr>
              <w:rPr>
                <w:sz w:val="20"/>
                <w:lang w:val="en-AU"/>
              </w:rPr>
            </w:pPr>
            <w:r w:rsidRPr="00642ECE">
              <w:rPr>
                <w:sz w:val="20"/>
                <w:lang w:val="en-AU"/>
              </w:rPr>
              <w:t>Diarrhoea, rectal irritation, bleeding per rectum (from insertion of the syringe), abdominal pain</w:t>
            </w:r>
          </w:p>
        </w:tc>
      </w:tr>
      <w:tr w:rsidR="00E424B4" w:rsidTr="5801437A" w14:paraId="3D511F02" w14:textId="77777777">
        <w:trPr>
          <w:gridAfter w:val="1"/>
          <w:wAfter w:w="789" w:type="dxa"/>
          <w:trHeight w:val="300"/>
        </w:trPr>
        <w:tc>
          <w:tcPr>
            <w:tcW w:w="2303" w:type="dxa"/>
            <w:tcMar/>
          </w:tcPr>
          <w:p w:rsidR="30CD2787" w:rsidP="77BEE3D0" w:rsidRDefault="65CD3C34" w14:paraId="6BC83C9B" w14:textId="77777777">
            <w:pPr>
              <w:rPr>
                <w:b/>
                <w:bCs/>
                <w:sz w:val="20"/>
                <w:lang w:val="en-AU"/>
              </w:rPr>
            </w:pPr>
            <w:r w:rsidRPr="77BEE3D0">
              <w:rPr>
                <w:b/>
                <w:bCs/>
                <w:sz w:val="20"/>
                <w:lang w:val="en-AU"/>
              </w:rPr>
              <w:t>Compatibility</w:t>
            </w:r>
          </w:p>
          <w:p w:rsidR="30CD2787" w:rsidP="77BEE3D0" w:rsidRDefault="30CD2787" w14:paraId="016DCEEB" w14:textId="77777777">
            <w:pPr>
              <w:rPr>
                <w:sz w:val="20"/>
                <w:lang w:val="en-AU"/>
              </w:rPr>
            </w:pPr>
          </w:p>
        </w:tc>
        <w:tc>
          <w:tcPr>
            <w:tcW w:w="6769" w:type="dxa"/>
            <w:gridSpan w:val="2"/>
            <w:tcMar/>
          </w:tcPr>
          <w:p w:rsidRPr="00642ECE" w:rsidR="0AC9C378" w:rsidP="1ADE82BF" w:rsidRDefault="0AC9C378" w14:paraId="00FAA682" w14:textId="6B6A978C">
            <w:pPr>
              <w:rPr>
                <w:sz w:val="20"/>
                <w:lang w:val="en-AU"/>
              </w:rPr>
            </w:pPr>
            <w:r w:rsidRPr="00642ECE">
              <w:rPr>
                <w:sz w:val="20"/>
                <w:lang w:val="en-AU"/>
              </w:rPr>
              <w:t>Not applicable</w:t>
            </w:r>
          </w:p>
        </w:tc>
      </w:tr>
      <w:tr w:rsidR="00E424B4" w:rsidTr="5801437A" w14:paraId="4BB92769" w14:textId="77777777">
        <w:trPr>
          <w:gridAfter w:val="1"/>
          <w:wAfter w:w="789" w:type="dxa"/>
        </w:trPr>
        <w:tc>
          <w:tcPr>
            <w:tcW w:w="2303" w:type="dxa"/>
            <w:tcMar/>
          </w:tcPr>
          <w:p w:rsidR="30CD2787" w:rsidP="77BEE3D0" w:rsidRDefault="65CD3C34" w14:paraId="77B0279C" w14:textId="77777777">
            <w:pPr>
              <w:rPr>
                <w:sz w:val="20"/>
                <w:lang w:val="en-AU"/>
              </w:rPr>
            </w:pPr>
            <w:r w:rsidRPr="77BEE3D0">
              <w:rPr>
                <w:b/>
                <w:bCs/>
                <w:sz w:val="20"/>
                <w:lang w:val="en-AU"/>
              </w:rPr>
              <w:t>Incompatibility</w:t>
            </w:r>
            <w:r w:rsidRPr="77BEE3D0">
              <w:rPr>
                <w:sz w:val="20"/>
                <w:lang w:val="en-AU"/>
              </w:rPr>
              <w:t xml:space="preserve">      </w:t>
            </w:r>
          </w:p>
          <w:p w:rsidR="30CD2787" w:rsidP="77BEE3D0" w:rsidRDefault="65CD3C34" w14:paraId="3A58531D" w14:textId="77777777">
            <w:pPr>
              <w:rPr>
                <w:sz w:val="20"/>
                <w:lang w:val="en-AU"/>
              </w:rPr>
            </w:pPr>
            <w:r w:rsidRPr="77BEE3D0">
              <w:rPr>
                <w:sz w:val="20"/>
                <w:lang w:val="en-AU"/>
              </w:rPr>
              <w:t xml:space="preserve">               </w:t>
            </w:r>
            <w:r w:rsidR="30CD2787">
              <w:tab/>
            </w:r>
          </w:p>
        </w:tc>
        <w:tc>
          <w:tcPr>
            <w:tcW w:w="6769" w:type="dxa"/>
            <w:gridSpan w:val="2"/>
            <w:tcMar/>
          </w:tcPr>
          <w:p w:rsidR="04E5BD25" w:rsidP="30CD2787" w:rsidRDefault="04E5BD25" w14:paraId="1049BB62" w14:textId="0780A833">
            <w:pPr>
              <w:rPr>
                <w:sz w:val="20"/>
                <w:lang w:val="en-AU"/>
              </w:rPr>
            </w:pPr>
            <w:r w:rsidRPr="30CD2787">
              <w:rPr>
                <w:sz w:val="20"/>
                <w:lang w:val="en-AU"/>
              </w:rPr>
              <w:t>Not applicable</w:t>
            </w:r>
          </w:p>
        </w:tc>
      </w:tr>
      <w:tr w:rsidR="00E424B4" w:rsidTr="5801437A" w14:paraId="05FE40BA" w14:textId="77777777">
        <w:trPr>
          <w:gridAfter w:val="1"/>
          <w:wAfter w:w="789" w:type="dxa"/>
          <w:trHeight w:val="483"/>
        </w:trPr>
        <w:tc>
          <w:tcPr>
            <w:tcW w:w="2303" w:type="dxa"/>
            <w:tcMar/>
          </w:tcPr>
          <w:p w:rsidR="30CD2787" w:rsidP="77BEE3D0" w:rsidRDefault="65CD3C34" w14:paraId="0DE6B79C" w14:textId="77777777">
            <w:pPr>
              <w:rPr>
                <w:sz w:val="20"/>
                <w:lang w:val="en-AU"/>
              </w:rPr>
            </w:pPr>
            <w:r w:rsidRPr="77BEE3D0">
              <w:rPr>
                <w:b/>
                <w:bCs/>
                <w:sz w:val="20"/>
                <w:lang w:val="en-AU"/>
              </w:rPr>
              <w:t>Stability</w:t>
            </w:r>
            <w:r w:rsidRPr="77BEE3D0">
              <w:rPr>
                <w:sz w:val="20"/>
                <w:lang w:val="en-AU"/>
              </w:rPr>
              <w:t xml:space="preserve">                  </w:t>
            </w:r>
          </w:p>
        </w:tc>
        <w:tc>
          <w:tcPr>
            <w:tcW w:w="6769" w:type="dxa"/>
            <w:gridSpan w:val="2"/>
            <w:tcMar/>
          </w:tcPr>
          <w:p w:rsidR="35AF5398" w:rsidP="30CD2787" w:rsidRDefault="35AF5398" w14:paraId="0B01EA8E" w14:textId="440CEA1B">
            <w:pPr>
              <w:rPr>
                <w:sz w:val="20"/>
                <w:lang w:val="en-AU"/>
              </w:rPr>
            </w:pPr>
            <w:r w:rsidRPr="30CD2787">
              <w:rPr>
                <w:sz w:val="20"/>
                <w:lang w:val="en-AU"/>
              </w:rPr>
              <w:t>Glycerol liquid preparation – 30 days expiry after pharmacy preparation.</w:t>
            </w:r>
          </w:p>
        </w:tc>
      </w:tr>
      <w:tr w:rsidR="00E424B4" w:rsidTr="5801437A" w14:paraId="16F7C7C1" w14:textId="77777777">
        <w:trPr>
          <w:gridAfter w:val="1"/>
          <w:wAfter w:w="789" w:type="dxa"/>
          <w:trHeight w:val="371"/>
        </w:trPr>
        <w:tc>
          <w:tcPr>
            <w:tcW w:w="2303" w:type="dxa"/>
            <w:tcMar/>
          </w:tcPr>
          <w:p w:rsidR="30CD2787" w:rsidP="77BEE3D0" w:rsidRDefault="65CD3C34" w14:paraId="63E2E50E" w14:textId="77777777">
            <w:pPr>
              <w:rPr>
                <w:sz w:val="20"/>
                <w:lang w:val="en-AU"/>
              </w:rPr>
            </w:pPr>
            <w:r w:rsidRPr="77BEE3D0">
              <w:rPr>
                <w:b/>
                <w:bCs/>
                <w:sz w:val="20"/>
                <w:lang w:val="en-AU"/>
              </w:rPr>
              <w:t xml:space="preserve">Storage </w:t>
            </w:r>
            <w:r w:rsidRPr="77BEE3D0">
              <w:rPr>
                <w:sz w:val="20"/>
                <w:lang w:val="en-AU"/>
              </w:rPr>
              <w:t xml:space="preserve">            </w:t>
            </w:r>
          </w:p>
        </w:tc>
        <w:tc>
          <w:tcPr>
            <w:tcW w:w="6769" w:type="dxa"/>
            <w:gridSpan w:val="2"/>
            <w:tcMar/>
          </w:tcPr>
          <w:p w:rsidR="0ED1E160" w:rsidP="30CD2787" w:rsidRDefault="0ED1E160" w14:paraId="5D2F2023" w14:textId="1E84CAB1">
            <w:pPr>
              <w:rPr>
                <w:sz w:val="20"/>
                <w:lang w:val="en-AU"/>
              </w:rPr>
            </w:pPr>
            <w:r w:rsidRPr="30CD2787">
              <w:rPr>
                <w:sz w:val="20"/>
                <w:lang w:val="en-AU"/>
              </w:rPr>
              <w:t>Diluted glycerol liquid preparation – keep it refrigerated.7</w:t>
            </w:r>
          </w:p>
          <w:p w:rsidR="0ED1E160" w:rsidP="30CD2787" w:rsidRDefault="0ED1E160" w14:paraId="2CCA35E3" w14:textId="7389DE57">
            <w:pPr>
              <w:rPr>
                <w:sz w:val="20"/>
                <w:lang w:val="en-AU"/>
              </w:rPr>
            </w:pPr>
            <w:r w:rsidRPr="30CD2787">
              <w:rPr>
                <w:sz w:val="20"/>
                <w:lang w:val="en-AU"/>
              </w:rPr>
              <w:t>Glycerine suppository – keep it at room temperature.</w:t>
            </w:r>
          </w:p>
          <w:p w:rsidR="30CD2787" w:rsidP="30CD2787" w:rsidRDefault="30CD2787" w14:paraId="07B5A42D" w14:textId="33F256CA">
            <w:pPr>
              <w:rPr>
                <w:lang w:val="en-AU"/>
              </w:rPr>
            </w:pPr>
          </w:p>
        </w:tc>
      </w:tr>
      <w:tr w:rsidR="00E424B4" w:rsidTr="5801437A" w14:paraId="6BA52EC7" w14:textId="77777777">
        <w:trPr>
          <w:gridAfter w:val="1"/>
          <w:wAfter w:w="789" w:type="dxa"/>
          <w:trHeight w:val="673"/>
        </w:trPr>
        <w:tc>
          <w:tcPr>
            <w:tcW w:w="2303" w:type="dxa"/>
            <w:tcMar/>
          </w:tcPr>
          <w:p w:rsidR="30CD2787" w:rsidP="77BEE3D0" w:rsidRDefault="65CD3C34" w14:paraId="0D1904B9" w14:textId="77777777">
            <w:pPr>
              <w:rPr>
                <w:sz w:val="20"/>
                <w:lang w:val="en-AU"/>
              </w:rPr>
            </w:pPr>
            <w:r w:rsidRPr="77BEE3D0">
              <w:rPr>
                <w:b/>
                <w:bCs/>
                <w:sz w:val="20"/>
                <w:lang w:val="en-AU"/>
              </w:rPr>
              <w:t>Special Comments</w:t>
            </w:r>
            <w:r w:rsidRPr="77BEE3D0">
              <w:rPr>
                <w:sz w:val="20"/>
                <w:lang w:val="en-AU"/>
              </w:rPr>
              <w:t xml:space="preserve">       </w:t>
            </w:r>
          </w:p>
          <w:p w:rsidR="30CD2787" w:rsidP="77BEE3D0" w:rsidRDefault="30CD2787" w14:paraId="35FEC77D" w14:textId="77777777">
            <w:pPr>
              <w:rPr>
                <w:sz w:val="20"/>
                <w:lang w:val="en-AU"/>
              </w:rPr>
            </w:pPr>
          </w:p>
        </w:tc>
        <w:tc>
          <w:tcPr>
            <w:tcW w:w="6769" w:type="dxa"/>
            <w:gridSpan w:val="2"/>
            <w:tcMar/>
          </w:tcPr>
          <w:p w:rsidR="4E21E406" w:rsidP="30CD2787" w:rsidRDefault="4E21E406" w14:paraId="634BE855" w14:textId="1BA2F2A9">
            <w:pPr>
              <w:rPr>
                <w:sz w:val="20"/>
                <w:lang w:val="en-AU"/>
              </w:rPr>
            </w:pPr>
            <w:r w:rsidRPr="30CD2787">
              <w:rPr>
                <w:sz w:val="20"/>
                <w:lang w:val="en-AU"/>
              </w:rPr>
              <w:t>Glycerol is the pure compound CAS Number 56-81-5 while glycerine (Australian/British spelling)</w:t>
            </w:r>
          </w:p>
          <w:p w:rsidR="4E21E406" w:rsidP="30CD2787" w:rsidRDefault="4E21E406" w14:paraId="17D5C2E9" w14:textId="08577B4E">
            <w:pPr>
              <w:rPr>
                <w:sz w:val="20"/>
                <w:lang w:val="en-AU"/>
              </w:rPr>
            </w:pPr>
            <w:r w:rsidRPr="30CD2787">
              <w:rPr>
                <w:sz w:val="20"/>
                <w:lang w:val="en-AU"/>
              </w:rPr>
              <w:t>or glycerin (US spelling) refers to products that contain varying amounts of glycerol.</w:t>
            </w:r>
          </w:p>
          <w:p w:rsidR="30CD2787" w:rsidP="30CD2787" w:rsidRDefault="30CD2787" w14:paraId="008A372F" w14:textId="77166427">
            <w:pPr>
              <w:rPr>
                <w:lang w:val="en-AU"/>
              </w:rPr>
            </w:pPr>
          </w:p>
        </w:tc>
      </w:tr>
      <w:tr w:rsidR="00E424B4" w:rsidTr="5801437A" w14:paraId="3D19231C" w14:textId="77777777">
        <w:trPr>
          <w:gridAfter w:val="1"/>
          <w:wAfter w:w="789" w:type="dxa"/>
          <w:trHeight w:val="388"/>
        </w:trPr>
        <w:tc>
          <w:tcPr>
            <w:tcW w:w="2303" w:type="dxa"/>
            <w:tcMar/>
          </w:tcPr>
          <w:p w:rsidR="30CD2787" w:rsidP="77BEE3D0" w:rsidRDefault="65CD3C34" w14:paraId="4A8E854E" w14:textId="77777777">
            <w:pPr>
              <w:rPr>
                <w:b/>
                <w:bCs/>
                <w:sz w:val="20"/>
                <w:lang w:val="en-AU"/>
              </w:rPr>
            </w:pPr>
            <w:r w:rsidRPr="77BEE3D0">
              <w:rPr>
                <w:b/>
                <w:bCs/>
                <w:sz w:val="20"/>
                <w:lang w:val="en-AU"/>
              </w:rPr>
              <w:t>Evidence summary</w:t>
            </w:r>
          </w:p>
        </w:tc>
        <w:tc>
          <w:tcPr>
            <w:tcW w:w="6769" w:type="dxa"/>
            <w:gridSpan w:val="2"/>
            <w:tcMar/>
          </w:tcPr>
          <w:p w:rsidR="4D704F89" w:rsidP="30CD2787" w:rsidRDefault="4D704F89" w14:paraId="51075615" w14:textId="26232EDF">
            <w:pPr>
              <w:rPr>
                <w:b/>
                <w:bCs/>
                <w:sz w:val="16"/>
                <w:szCs w:val="16"/>
                <w:lang w:val="en-AU"/>
              </w:rPr>
            </w:pPr>
            <w:r w:rsidRPr="30CD2787">
              <w:rPr>
                <w:b/>
                <w:bCs/>
                <w:sz w:val="16"/>
                <w:szCs w:val="16"/>
                <w:lang w:val="en-AU"/>
              </w:rPr>
              <w:t xml:space="preserve">Efficacy,  ,  </w:t>
            </w:r>
          </w:p>
          <w:p w:rsidR="4D704F89" w:rsidP="30CD2787" w:rsidRDefault="4D704F89" w14:paraId="6E6245FD" w14:textId="7367B263">
            <w:r w:rsidRPr="30CD2787">
              <w:rPr>
                <w:b/>
                <w:bCs/>
                <w:sz w:val="16"/>
                <w:szCs w:val="16"/>
                <w:lang w:val="en-AU"/>
              </w:rPr>
              <w:t>Feed intolerance:</w:t>
            </w:r>
            <w:r w:rsidRPr="30CD2787">
              <w:rPr>
                <w:sz w:val="16"/>
                <w:szCs w:val="16"/>
                <w:lang w:val="en-AU"/>
              </w:rPr>
              <w:t xml:space="preserve"> Systematic reviews that enrolled preterm infants &lt;32 weeks’ gestational age, , </w:t>
            </w:r>
          </w:p>
          <w:p w:rsidR="4D704F89" w:rsidP="30CD2787" w:rsidRDefault="4D704F89" w14:paraId="5F323E25" w14:textId="6018313E">
            <w:r w:rsidRPr="30CD2787">
              <w:rPr>
                <w:sz w:val="16"/>
                <w:szCs w:val="16"/>
                <w:lang w:val="en-AU"/>
              </w:rPr>
              <w:t xml:space="preserve">(GA) and/or &lt;1500 g birth weight showed that prophylactic administration of glycerine laxatives, , </w:t>
            </w:r>
          </w:p>
          <w:p w:rsidR="4D704F89" w:rsidP="30CD2787" w:rsidRDefault="4D704F89" w14:paraId="2A86E518" w14:textId="0D4FCD1E">
            <w:r w:rsidRPr="30CD2787">
              <w:rPr>
                <w:sz w:val="16"/>
                <w:szCs w:val="16"/>
                <w:lang w:val="en-AU"/>
              </w:rPr>
              <w:t xml:space="preserve">did not reduce the time required to achieve full enteral feeds and did not influence duration of, , </w:t>
            </w:r>
          </w:p>
          <w:p w:rsidR="4D704F89" w:rsidP="30CD2787" w:rsidRDefault="4D704F89" w14:paraId="5E74FD0E" w14:textId="5CBF0C2C">
            <w:r w:rsidRPr="30CD2787">
              <w:rPr>
                <w:sz w:val="16"/>
                <w:szCs w:val="16"/>
                <w:lang w:val="en-AU"/>
              </w:rPr>
              <w:t xml:space="preserve">hospital stay, mortality or weight at discharge.2,3,4 However, an observational study by Shim, , </w:t>
            </w:r>
          </w:p>
          <w:p w:rsidR="4D704F89" w:rsidP="30CD2787" w:rsidRDefault="4D704F89" w14:paraId="1F408386" w14:textId="20B6BEE6">
            <w:r w:rsidRPr="30CD2787">
              <w:rPr>
                <w:sz w:val="16"/>
                <w:szCs w:val="16"/>
                <w:lang w:val="en-AU"/>
              </w:rPr>
              <w:t xml:space="preserve">2007 reported routine use of glycerine enema in infants &lt;1500 g birthweight resulted in a, , </w:t>
            </w:r>
          </w:p>
          <w:p w:rsidR="4D704F89" w:rsidP="30CD2787" w:rsidRDefault="4D704F89" w14:paraId="42A41793" w14:textId="1D6E7D03">
            <w:r w:rsidRPr="30CD2787">
              <w:rPr>
                <w:sz w:val="16"/>
                <w:szCs w:val="16"/>
                <w:lang w:val="en-AU"/>
              </w:rPr>
              <w:t>shorter time to full enteral feeds and reduced sepsis rate.5 This suggests that further trials of, , glycerol for prevention or treatment of constipation in at risk preterm infants are required. They used 1:4 diluted glycerol at 1 mL/kg every 12–24 hours.</w:t>
            </w:r>
          </w:p>
          <w:p w:rsidR="4D704F89" w:rsidP="30CD2787" w:rsidRDefault="4D704F89" w14:paraId="25EFA7DE" w14:textId="6BE03808">
            <w:r w:rsidRPr="30CD2787">
              <w:rPr>
                <w:sz w:val="16"/>
                <w:szCs w:val="16"/>
                <w:lang w:val="en-AU"/>
              </w:rPr>
              <w:t xml:space="preserve"> </w:t>
            </w:r>
          </w:p>
          <w:p w:rsidR="4D704F89" w:rsidP="30CD2787" w:rsidRDefault="4D704F89" w14:paraId="4C0A6BD7" w14:textId="637EF17B">
            <w:r w:rsidRPr="30CD2787">
              <w:rPr>
                <w:b/>
                <w:bCs/>
                <w:sz w:val="16"/>
                <w:szCs w:val="16"/>
                <w:lang w:val="en-AU"/>
              </w:rPr>
              <w:t>Hyperbilirubinaemia:</w:t>
            </w:r>
            <w:r w:rsidRPr="30CD2787">
              <w:rPr>
                <w:sz w:val="16"/>
                <w:szCs w:val="16"/>
                <w:lang w:val="en-AU"/>
              </w:rPr>
              <w:t xml:space="preserve"> Systematic review to study the efficacy of early meconium evacuation using per rectal laxatives on the concentration of serum bilirubin and the need for phototherapy in healthy term infants identified 3 trials. Two trials used glycerine suppository whereas one used glycerine enema for meconium evacuation. Meta-analysis was not possible due to clinical heterogeneity in the choice of laxatives and frequency of intervention. In all three studies, serum bilirubin at 48 h and the need for phototherapy was not significantly different between the two groups.6</w:t>
            </w:r>
          </w:p>
          <w:p w:rsidR="4D704F89" w:rsidP="30CD2787" w:rsidRDefault="4D704F89" w14:paraId="4680B6D4" w14:textId="3B315DB8">
            <w:r w:rsidRPr="30CD2787">
              <w:rPr>
                <w:sz w:val="16"/>
                <w:szCs w:val="16"/>
                <w:lang w:val="en-AU"/>
              </w:rPr>
              <w:t xml:space="preserve"> </w:t>
            </w:r>
          </w:p>
          <w:p w:rsidR="4D704F89" w:rsidP="30CD2787" w:rsidRDefault="4D704F89" w14:paraId="770092F2" w14:textId="7351C930">
            <w:r w:rsidRPr="30CD2787">
              <w:rPr>
                <w:b/>
                <w:bCs/>
                <w:sz w:val="16"/>
                <w:szCs w:val="16"/>
                <w:lang w:val="en-AU"/>
              </w:rPr>
              <w:t>Glycerine enemas versus suppository:</w:t>
            </w:r>
            <w:r w:rsidRPr="30CD2787">
              <w:rPr>
                <w:sz w:val="16"/>
                <w:szCs w:val="16"/>
                <w:lang w:val="en-AU"/>
              </w:rPr>
              <w:t xml:space="preserve"> 0.2 mL of 80% glycerol liquid enema administered with a syringe has been shown to be as effective in terms of passage of stool and easier to administer in comparison to glycerine suppository chip in neonates.7</w:t>
            </w:r>
          </w:p>
          <w:p w:rsidR="4D704F89" w:rsidP="30CD2787" w:rsidRDefault="4D704F89" w14:paraId="28E03C8F" w14:textId="1542BBAB">
            <w:r w:rsidRPr="30CD2787">
              <w:rPr>
                <w:sz w:val="16"/>
                <w:szCs w:val="16"/>
                <w:lang w:val="en-AU"/>
              </w:rPr>
              <w:t xml:space="preserve"> </w:t>
            </w:r>
          </w:p>
          <w:p w:rsidR="4D704F89" w:rsidP="30CD2787" w:rsidRDefault="4D704F89" w14:paraId="7DB22C27" w14:textId="1D2DBCC4">
            <w:r w:rsidRPr="30CD2787">
              <w:rPr>
                <w:b/>
                <w:bCs/>
                <w:sz w:val="16"/>
                <w:szCs w:val="16"/>
                <w:lang w:val="en-AU"/>
              </w:rPr>
              <w:t>Glycerine enema preparations:</w:t>
            </w:r>
            <w:r w:rsidRPr="30CD2787">
              <w:rPr>
                <w:sz w:val="16"/>
                <w:szCs w:val="16"/>
                <w:lang w:val="en-AU"/>
              </w:rPr>
              <w:t xml:space="preserve"> Shim et al performed glycerine enema at 1 ml/kg every 12–24 h within 24 h after birth in their study. The glycerol was diluted 1: 4 with distilled water and was instilled slowly through a 5F Nelaton catheter which was cut to 3 cm and connected to a syringe. The tip of the catheter was placed 0.5 cm above the anus.5 Zenk et al used 0.2 mL of 80% glycerol liquid based on the strength indicated in FDA monograph for non-prescription laxative. The authors chose 0.2 mL irrespective of the body weight based on the comparative approximate volume of chip of suppository.7</w:t>
            </w:r>
          </w:p>
          <w:p w:rsidR="4D704F89" w:rsidP="30CD2787" w:rsidRDefault="4D704F89" w14:paraId="65874439" w14:textId="04A9C1FF">
            <w:r w:rsidRPr="30CD2787">
              <w:rPr>
                <w:sz w:val="16"/>
                <w:szCs w:val="16"/>
                <w:lang w:val="en-AU"/>
              </w:rPr>
              <w:t xml:space="preserve"> </w:t>
            </w:r>
          </w:p>
          <w:p w:rsidR="4D704F89" w:rsidP="30CD2787" w:rsidRDefault="4D704F89" w14:paraId="4BC1C3A4" w14:textId="6B6144E5">
            <w:r w:rsidRPr="30CD2787">
              <w:rPr>
                <w:b/>
                <w:bCs/>
                <w:sz w:val="16"/>
                <w:szCs w:val="16"/>
                <w:lang w:val="en-AU"/>
              </w:rPr>
              <w:t xml:space="preserve">Safety: </w:t>
            </w:r>
            <w:r w:rsidRPr="30CD2787">
              <w:rPr>
                <w:sz w:val="16"/>
                <w:szCs w:val="16"/>
                <w:lang w:val="en-AU"/>
              </w:rPr>
              <w:t>Trials conducted in neonates were underpowered to report any uncommon serious adverse effects.</w:t>
            </w:r>
          </w:p>
          <w:p w:rsidR="30CD2787" w:rsidP="30CD2787" w:rsidRDefault="30CD2787" w14:paraId="7EE413AA" w14:textId="0A9FACB0">
            <w:pPr>
              <w:rPr>
                <w:sz w:val="16"/>
                <w:szCs w:val="16"/>
                <w:lang w:val="en-AU"/>
              </w:rPr>
            </w:pPr>
          </w:p>
          <w:p w:rsidR="30CD2787" w:rsidP="30CD2787" w:rsidRDefault="30CD2787" w14:paraId="7305BC1C" w14:textId="131ECE0F">
            <w:pPr>
              <w:rPr>
                <w:sz w:val="16"/>
                <w:szCs w:val="16"/>
                <w:lang w:val="en-AU"/>
              </w:rPr>
            </w:pPr>
            <w:r w:rsidRPr="30CD2787">
              <w:rPr>
                <w:sz w:val="16"/>
                <w:szCs w:val="16"/>
                <w:lang w:val="en-AU"/>
              </w:rPr>
              <w:t xml:space="preserve"> </w:t>
            </w:r>
          </w:p>
        </w:tc>
      </w:tr>
      <w:tr w:rsidR="00E424B4" w:rsidTr="5801437A" w14:paraId="37BA9261" w14:textId="77777777">
        <w:trPr>
          <w:gridAfter w:val="1"/>
          <w:wAfter w:w="789" w:type="dxa"/>
          <w:trHeight w:val="361"/>
        </w:trPr>
        <w:tc>
          <w:tcPr>
            <w:tcW w:w="2303" w:type="dxa"/>
            <w:tcMar/>
          </w:tcPr>
          <w:p w:rsidR="30CD2787" w:rsidP="77BEE3D0" w:rsidRDefault="65CD3C34" w14:paraId="2346976A" w14:textId="77777777">
            <w:pPr>
              <w:rPr>
                <w:rFonts w:cs="Arial"/>
                <w:b/>
                <w:bCs/>
                <w:sz w:val="20"/>
                <w:lang w:val="en-AU"/>
              </w:rPr>
            </w:pPr>
            <w:r w:rsidRPr="77BEE3D0">
              <w:rPr>
                <w:b/>
                <w:bCs/>
                <w:sz w:val="20"/>
                <w:lang w:val="en-AU"/>
              </w:rPr>
              <w:lastRenderedPageBreak/>
              <w:t>References</w:t>
            </w:r>
          </w:p>
        </w:tc>
        <w:tc>
          <w:tcPr>
            <w:tcW w:w="6769" w:type="dxa"/>
            <w:gridSpan w:val="2"/>
            <w:tcMar/>
          </w:tcPr>
          <w:p w:rsidR="480CD048" w:rsidP="0083246D" w:rsidRDefault="75D4CD1D" w14:paraId="0C72216A" w14:textId="16AB013B">
            <w:pPr>
              <w:pStyle w:val="ListParagraph"/>
              <w:numPr>
                <w:ilvl w:val="0"/>
                <w:numId w:val="8"/>
              </w:numPr>
              <w:rPr>
                <w:rFonts w:eastAsia="Calibri" w:cs="Calibri"/>
                <w:sz w:val="16"/>
                <w:szCs w:val="16"/>
                <w:lang w:val="en-AU"/>
              </w:rPr>
            </w:pPr>
            <w:r w:rsidRPr="77BEE3D0">
              <w:rPr>
                <w:sz w:val="16"/>
                <w:szCs w:val="16"/>
                <w:lang w:val="en-AU"/>
              </w:rPr>
              <w:t>Gilman AF, Rall WT, Nies AD, Taylor P. Goodman and Gilman’s The Pharmacologic Basis of Therapeutics. New York: McGraw-Hill Companies, 1990.</w:t>
            </w:r>
          </w:p>
          <w:p w:rsidR="480CD048" w:rsidP="30CD2787" w:rsidRDefault="480CD048" w14:paraId="2CDD8F51" w14:textId="4B5903E7">
            <w:r w:rsidRPr="30CD2787">
              <w:rPr>
                <w:sz w:val="16"/>
                <w:szCs w:val="16"/>
                <w:lang w:val="en-AU"/>
              </w:rPr>
              <w:t xml:space="preserve"> </w:t>
            </w:r>
          </w:p>
          <w:p w:rsidR="480CD048" w:rsidP="0083246D" w:rsidRDefault="75D4CD1D" w14:paraId="77B1AC0A" w14:textId="2E883C02">
            <w:pPr>
              <w:pStyle w:val="ListParagraph"/>
              <w:numPr>
                <w:ilvl w:val="0"/>
                <w:numId w:val="8"/>
              </w:numPr>
              <w:rPr>
                <w:rFonts w:eastAsia="Calibri" w:cs="Calibri"/>
                <w:sz w:val="16"/>
                <w:szCs w:val="16"/>
                <w:lang w:val="en-AU"/>
              </w:rPr>
            </w:pPr>
            <w:r w:rsidRPr="77BEE3D0">
              <w:rPr>
                <w:sz w:val="16"/>
                <w:szCs w:val="16"/>
                <w:lang w:val="en-AU"/>
              </w:rPr>
              <w:t>Anabrees J, Shah VS, AlOsaimi A, AlFaleh K. Glycerin laxatives for prevention or treatment of feeding intolerance in very low birth weight infants. Cochrane Database of Systematic Reviews 2015, Issue 9. Art. No.: CD010464. DOI:10.1002/14651858.CD010464.pub2.</w:t>
            </w:r>
            <w:r w:rsidR="480CD048">
              <w:br/>
            </w:r>
          </w:p>
          <w:p w:rsidR="480CD048" w:rsidP="0083246D" w:rsidRDefault="75D4CD1D" w14:paraId="5CDE0C7D" w14:textId="34BA8444">
            <w:pPr>
              <w:pStyle w:val="ListParagraph"/>
              <w:numPr>
                <w:ilvl w:val="0"/>
                <w:numId w:val="8"/>
              </w:numPr>
              <w:rPr>
                <w:sz w:val="16"/>
                <w:szCs w:val="16"/>
                <w:lang w:val="en-AU"/>
              </w:rPr>
            </w:pPr>
            <w:r w:rsidRPr="77BEE3D0">
              <w:rPr>
                <w:sz w:val="16"/>
                <w:szCs w:val="16"/>
                <w:lang w:val="en-AU"/>
              </w:rPr>
              <w:t>Kamphorst K, Sietsma Y, Brouwer AJ, Rood PJ, van den Hoogen A. Enemas, suppositories and rectal stimulation are not effective in accelerating enteral feeding or meconium evacuation in low‐birthweight infants: a systematic review. Acta Paediatrica. 2016</w:t>
            </w:r>
            <w:r w:rsidRPr="77BEE3D0" w:rsidR="13E16B4E">
              <w:rPr>
                <w:sz w:val="16"/>
                <w:szCs w:val="16"/>
                <w:lang w:val="en-AU"/>
              </w:rPr>
              <w:t xml:space="preserve"> </w:t>
            </w:r>
            <w:r w:rsidRPr="77BEE3D0">
              <w:rPr>
                <w:sz w:val="16"/>
                <w:szCs w:val="16"/>
                <w:lang w:val="en-AU"/>
              </w:rPr>
              <w:t>Nov;105(11):1280-7.</w:t>
            </w:r>
            <w:r w:rsidR="480CD048">
              <w:br/>
            </w:r>
          </w:p>
          <w:p w:rsidR="480CD048" w:rsidP="0083246D" w:rsidRDefault="75D4CD1D" w14:paraId="06F8F44B" w14:textId="7323077E">
            <w:pPr>
              <w:pStyle w:val="ListParagraph"/>
              <w:numPr>
                <w:ilvl w:val="0"/>
                <w:numId w:val="8"/>
              </w:numPr>
              <w:rPr>
                <w:sz w:val="16"/>
                <w:szCs w:val="16"/>
              </w:rPr>
            </w:pPr>
            <w:r w:rsidRPr="77BEE3D0">
              <w:rPr>
                <w:sz w:val="16"/>
                <w:szCs w:val="16"/>
                <w:lang w:val="en-AU"/>
              </w:rPr>
              <w:t>Deshmukh M, Balasubramanian H, Patole S. Meconium evacuation for facilitating feed tolerance in preterm neonates: a systematic review and meta-analysis. Neonatology. 2016;110(1):55-65.</w:t>
            </w:r>
            <w:r w:rsidR="480CD048">
              <w:br/>
            </w:r>
            <w:r w:rsidR="480CD048">
              <w:br/>
            </w:r>
            <w:r w:rsidRPr="77BEE3D0">
              <w:rPr>
                <w:sz w:val="16"/>
                <w:szCs w:val="16"/>
                <w:lang w:val="en-AU"/>
              </w:rPr>
              <w:t xml:space="preserve"> </w:t>
            </w:r>
          </w:p>
          <w:p w:rsidR="480CD048" w:rsidP="0083246D" w:rsidRDefault="75D4CD1D" w14:paraId="373F57F0" w14:textId="0765F95F">
            <w:pPr>
              <w:pStyle w:val="ListParagraph"/>
              <w:numPr>
                <w:ilvl w:val="0"/>
                <w:numId w:val="8"/>
              </w:numPr>
              <w:rPr>
                <w:rFonts w:eastAsia="Calibri" w:cs="Calibri"/>
                <w:sz w:val="16"/>
                <w:szCs w:val="16"/>
              </w:rPr>
            </w:pPr>
            <w:r w:rsidRPr="77BEE3D0">
              <w:rPr>
                <w:sz w:val="16"/>
                <w:szCs w:val="16"/>
                <w:lang w:val="en-AU"/>
              </w:rPr>
              <w:t>Shim SY, Kim HS, Kim DH, Kim EK, Son DW, Kima B, et al. Induction of early meconium evacuation promotes feeding tolerance in very low birth weight infants. Neonatology 2007;92(1):67–72.</w:t>
            </w:r>
            <w:r w:rsidR="480CD048">
              <w:br/>
            </w:r>
            <w:r w:rsidR="480CD048">
              <w:br/>
            </w:r>
            <w:r w:rsidRPr="77BEE3D0">
              <w:rPr>
                <w:sz w:val="16"/>
                <w:szCs w:val="16"/>
                <w:lang w:val="en-AU"/>
              </w:rPr>
              <w:t xml:space="preserve"> </w:t>
            </w:r>
          </w:p>
          <w:p w:rsidR="480CD048" w:rsidP="0083246D" w:rsidRDefault="75D4CD1D" w14:paraId="2E6382CA" w14:textId="6A045E8E">
            <w:pPr>
              <w:pStyle w:val="ListParagraph"/>
              <w:numPr>
                <w:ilvl w:val="0"/>
                <w:numId w:val="8"/>
              </w:numPr>
              <w:rPr>
                <w:rFonts w:eastAsia="Calibri" w:cs="Calibri"/>
                <w:sz w:val="16"/>
                <w:szCs w:val="16"/>
              </w:rPr>
            </w:pPr>
            <w:r w:rsidRPr="77BEE3D0">
              <w:rPr>
                <w:sz w:val="16"/>
                <w:szCs w:val="16"/>
                <w:lang w:val="en-AU"/>
              </w:rPr>
              <w:t>Srinivasjois R, Sharma A, Shah P, Kava M. Effect of induction of meconium evacuation using per rectal laxatives on neonatal hyperbilirubinemia in term infants: a systematic review of randomized controlled trials. Indian journal of medical sciences. 2011 Jul 1;65(7).</w:t>
            </w:r>
            <w:r w:rsidR="480CD048">
              <w:br/>
            </w:r>
            <w:r w:rsidR="480CD048">
              <w:br/>
            </w:r>
            <w:r w:rsidRPr="77BEE3D0">
              <w:rPr>
                <w:sz w:val="16"/>
                <w:szCs w:val="16"/>
                <w:lang w:val="en-AU"/>
              </w:rPr>
              <w:t xml:space="preserve"> </w:t>
            </w:r>
          </w:p>
          <w:p w:rsidR="480CD048" w:rsidP="0083246D" w:rsidRDefault="75D4CD1D" w14:paraId="4D259380" w14:textId="45F6F509">
            <w:pPr>
              <w:pStyle w:val="ListParagraph"/>
              <w:numPr>
                <w:ilvl w:val="0"/>
                <w:numId w:val="8"/>
              </w:numPr>
              <w:rPr>
                <w:rFonts w:eastAsia="Calibri" w:cs="Calibri"/>
                <w:sz w:val="16"/>
                <w:szCs w:val="16"/>
              </w:rPr>
            </w:pPr>
            <w:r w:rsidRPr="77BEE3D0">
              <w:rPr>
                <w:sz w:val="16"/>
                <w:szCs w:val="16"/>
                <w:lang w:val="en-AU"/>
              </w:rPr>
              <w:t>Zenk KE, Koeppel RM, Liem LA. Comparative efficacy of glycerin enemas and suppository chips in neonates. Clinical Pharmacy 1993;12(11):846-8.</w:t>
            </w:r>
          </w:p>
          <w:p w:rsidR="30CD2787" w:rsidP="30CD2787" w:rsidRDefault="30CD2787" w14:paraId="0E6EE5E6" w14:textId="18BE83D9">
            <w:pPr>
              <w:rPr>
                <w:sz w:val="16"/>
                <w:szCs w:val="16"/>
                <w:lang w:val="en-AU"/>
              </w:rPr>
            </w:pPr>
          </w:p>
        </w:tc>
      </w:tr>
      <w:tr w:rsidR="00E424B4" w:rsidTr="5801437A" w14:paraId="50F52317" w14:textId="77777777">
        <w:tc>
          <w:tcPr>
            <w:tcW w:w="4424" w:type="dxa"/>
            <w:gridSpan w:val="2"/>
            <w:tcMar/>
            <w:vAlign w:val="center"/>
          </w:tcPr>
          <w:p w:rsidR="540593E1" w:rsidP="540593E1" w:rsidRDefault="540593E1" w14:paraId="26E7DCD7" w14:textId="22F022AC">
            <w:pPr>
              <w:rPr>
                <w:b/>
                <w:bCs/>
                <w:lang w:val="en-AU"/>
              </w:rPr>
            </w:pPr>
            <w:bookmarkStart w:name="_Hlk65510520" w:id="290"/>
            <w:r w:rsidRPr="540593E1">
              <w:rPr>
                <w:b/>
                <w:bCs/>
                <w:lang w:val="en-AU"/>
              </w:rPr>
              <w:t xml:space="preserve">Original version Date: </w:t>
            </w:r>
            <w:r w:rsidR="005B76D1">
              <w:rPr>
                <w:b/>
                <w:bCs/>
                <w:lang w:val="en-AU"/>
              </w:rPr>
              <w:t>2014</w:t>
            </w:r>
          </w:p>
        </w:tc>
        <w:tc>
          <w:tcPr>
            <w:tcW w:w="5386" w:type="dxa"/>
            <w:gridSpan w:val="2"/>
            <w:tcMar/>
            <w:vAlign w:val="center"/>
          </w:tcPr>
          <w:p w:rsidR="540593E1" w:rsidP="540593E1" w:rsidRDefault="540593E1" w14:paraId="7E138600" w14:textId="445D91DF">
            <w:pPr>
              <w:rPr>
                <w:b/>
                <w:bCs/>
                <w:lang w:val="en-AU"/>
              </w:rPr>
            </w:pPr>
            <w:r w:rsidRPr="540593E1">
              <w:rPr>
                <w:b/>
                <w:bCs/>
                <w:lang w:val="en-AU"/>
              </w:rPr>
              <w:t>Author: NMF Consensus Group</w:t>
            </w:r>
          </w:p>
        </w:tc>
      </w:tr>
      <w:tr w:rsidR="00E424B4" w:rsidTr="5801437A" w14:paraId="45B02B08" w14:textId="77777777">
        <w:tc>
          <w:tcPr>
            <w:tcW w:w="4424" w:type="dxa"/>
            <w:gridSpan w:val="2"/>
            <w:tcMar/>
            <w:vAlign w:val="center"/>
          </w:tcPr>
          <w:p w:rsidR="540593E1" w:rsidP="540593E1" w:rsidRDefault="540593E1" w14:paraId="0E965A06" w14:textId="3DE8F021">
            <w:pPr>
              <w:rPr>
                <w:lang w:val="en-AU"/>
              </w:rPr>
            </w:pPr>
            <w:r w:rsidRPr="540593E1">
              <w:rPr>
                <w:b/>
                <w:bCs/>
                <w:lang w:val="en-AU"/>
              </w:rPr>
              <w:t xml:space="preserve">Current Version number:  </w:t>
            </w:r>
            <w:r w:rsidR="007C2D11">
              <w:rPr>
                <w:b/>
                <w:bCs/>
                <w:lang w:val="en-AU"/>
              </w:rPr>
              <w:t>2</w:t>
            </w:r>
          </w:p>
        </w:tc>
        <w:tc>
          <w:tcPr>
            <w:tcW w:w="5386" w:type="dxa"/>
            <w:gridSpan w:val="2"/>
            <w:tcMar/>
            <w:vAlign w:val="center"/>
          </w:tcPr>
          <w:p w:rsidR="540593E1" w:rsidP="540593E1" w:rsidRDefault="540593E1" w14:paraId="670E439B" w14:textId="57A0329D">
            <w:pPr>
              <w:rPr>
                <w:lang w:val="en-AU"/>
              </w:rPr>
            </w:pPr>
            <w:r w:rsidRPr="540593E1">
              <w:rPr>
                <w:b/>
                <w:bCs/>
                <w:lang w:val="en-AU"/>
              </w:rPr>
              <w:t>Current Version Date:</w:t>
            </w:r>
            <w:r w:rsidRPr="540593E1">
              <w:rPr>
                <w:lang w:val="en-AU"/>
              </w:rPr>
              <w:t xml:space="preserve">  </w:t>
            </w:r>
            <w:r w:rsidRPr="540593E1" w:rsidR="1EBDBA3B">
              <w:rPr>
                <w:lang w:val="en-AU"/>
              </w:rPr>
              <w:t>20/05/2019</w:t>
            </w:r>
          </w:p>
        </w:tc>
      </w:tr>
      <w:tr w:rsidR="00E424B4" w:rsidTr="5801437A" w14:paraId="721D25A2" w14:textId="77777777">
        <w:tc>
          <w:tcPr>
            <w:tcW w:w="4424" w:type="dxa"/>
            <w:gridSpan w:val="2"/>
            <w:tcMar/>
            <w:vAlign w:val="center"/>
          </w:tcPr>
          <w:p w:rsidR="540593E1" w:rsidP="540593E1" w:rsidRDefault="540593E1" w14:paraId="7A9AB8F9" w14:textId="4BF00BA0">
            <w:pPr>
              <w:rPr>
                <w:lang w:val="en-AU"/>
              </w:rPr>
            </w:pPr>
            <w:r w:rsidRPr="540593E1">
              <w:rPr>
                <w:b/>
                <w:bCs/>
                <w:lang w:val="en-AU"/>
              </w:rPr>
              <w:t xml:space="preserve">Risk Rating: </w:t>
            </w:r>
            <w:r w:rsidR="007C2D11">
              <w:rPr>
                <w:lang w:val="en-AU"/>
              </w:rPr>
              <w:t>Low</w:t>
            </w:r>
          </w:p>
        </w:tc>
        <w:tc>
          <w:tcPr>
            <w:tcW w:w="5386" w:type="dxa"/>
            <w:gridSpan w:val="2"/>
            <w:tcMar/>
            <w:vAlign w:val="center"/>
          </w:tcPr>
          <w:p w:rsidR="540593E1" w:rsidP="540593E1" w:rsidRDefault="540593E1" w14:paraId="2010F872" w14:textId="1523E266">
            <w:pPr>
              <w:rPr>
                <w:lang w:val="en-AU"/>
              </w:rPr>
            </w:pPr>
            <w:r w:rsidRPr="540593E1">
              <w:rPr>
                <w:b/>
                <w:bCs/>
                <w:lang w:val="en-AU"/>
              </w:rPr>
              <w:t xml:space="preserve">Due for Review: </w:t>
            </w:r>
            <w:r w:rsidRPr="540593E1">
              <w:rPr>
                <w:lang w:val="en-AU"/>
              </w:rPr>
              <w:t>2</w:t>
            </w:r>
            <w:r w:rsidRPr="540593E1" w:rsidR="2C934180">
              <w:rPr>
                <w:lang w:val="en-AU"/>
              </w:rPr>
              <w:t>0/05/2024</w:t>
            </w:r>
          </w:p>
        </w:tc>
      </w:tr>
      <w:tr w:rsidR="0041066A" w:rsidTr="5801437A" w14:paraId="1D27C25C" w14:textId="77777777">
        <w:trPr>
          <w:trHeight w:val="344"/>
        </w:trPr>
        <w:tc>
          <w:tcPr>
            <w:tcW w:w="4424" w:type="dxa"/>
            <w:gridSpan w:val="2"/>
            <w:tcBorders>
              <w:bottom w:val="single" w:color="auto" w:sz="4" w:space="0"/>
            </w:tcBorders>
            <w:tcMar/>
            <w:vAlign w:val="center"/>
          </w:tcPr>
          <w:p w:rsidR="540593E1" w:rsidP="540593E1" w:rsidRDefault="540593E1" w14:paraId="7B4892B9" w14:textId="77777777">
            <w:pPr>
              <w:rPr>
                <w:b/>
                <w:bCs/>
                <w:lang w:val="en-AU"/>
              </w:rPr>
            </w:pPr>
            <w:r w:rsidRPr="540593E1">
              <w:rPr>
                <w:b/>
                <w:bCs/>
                <w:lang w:val="en-AU"/>
              </w:rPr>
              <w:t>Approval by: DTC</w:t>
            </w:r>
          </w:p>
        </w:tc>
        <w:tc>
          <w:tcPr>
            <w:tcW w:w="5386" w:type="dxa"/>
            <w:gridSpan w:val="2"/>
            <w:tcBorders>
              <w:bottom w:val="single" w:color="auto" w:sz="4" w:space="0"/>
            </w:tcBorders>
            <w:tcMar/>
            <w:vAlign w:val="center"/>
          </w:tcPr>
          <w:p w:rsidR="540593E1" w:rsidP="540593E1" w:rsidRDefault="540593E1" w14:paraId="3A6D8D78" w14:textId="30BBBEEC">
            <w:pPr>
              <w:rPr>
                <w:b/>
                <w:bCs/>
                <w:lang w:val="en-AU"/>
              </w:rPr>
            </w:pPr>
            <w:r w:rsidRPr="540593E1">
              <w:rPr>
                <w:b/>
                <w:bCs/>
                <w:lang w:val="en-AU"/>
              </w:rPr>
              <w:t xml:space="preserve">Approval Date: </w:t>
            </w:r>
            <w:r w:rsidR="00260BC8">
              <w:rPr>
                <w:b/>
                <w:bCs/>
                <w:lang w:val="en-AU"/>
              </w:rPr>
              <w:t>APRIL 2021</w:t>
            </w:r>
          </w:p>
        </w:tc>
      </w:tr>
    </w:tbl>
    <w:bookmarkEnd w:id="290"/>
    <w:p w:rsidRPr="00E25790" w:rsidR="00115F48" w:rsidP="30CD2787" w:rsidRDefault="3C6B15D4" w14:paraId="092DA921" w14:textId="3B30F4AF">
      <w:r>
        <w:t xml:space="preserve"> </w:t>
      </w:r>
    </w:p>
    <w:p w:rsidRPr="00E25790" w:rsidR="00115F48" w:rsidP="006F0321" w:rsidRDefault="00115F48" w14:paraId="37BE043F"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B97D99" w14:paraId="48B94A62"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0FB5B3A4" w14:textId="77777777">
            <w:pPr>
              <w:pStyle w:val="Heading1"/>
            </w:pPr>
            <w:bookmarkStart w:name="_Toc495481119" w:id="291"/>
            <w:bookmarkStart w:name="_Toc495481245" w:id="292"/>
            <w:bookmarkStart w:name="_Toc495481370" w:id="293"/>
            <w:bookmarkStart w:name="_Toc495501551" w:id="294"/>
            <w:bookmarkStart w:name="_Toc38106856" w:id="295"/>
            <w:bookmarkStart w:name="_Toc75339981" w:id="296"/>
            <w:r w:rsidRPr="00E25790">
              <w:lastRenderedPageBreak/>
              <w:t>Heparin</w:t>
            </w:r>
            <w:bookmarkEnd w:id="291"/>
            <w:bookmarkEnd w:id="292"/>
            <w:bookmarkEnd w:id="293"/>
            <w:bookmarkEnd w:id="294"/>
            <w:bookmarkEnd w:id="295"/>
            <w:bookmarkEnd w:id="296"/>
            <w:r w:rsidRPr="00E25790">
              <w:fldChar w:fldCharType="begin"/>
            </w:r>
            <w:r w:rsidRPr="00E25790">
              <w:instrText>tc "Heparin" \l 0</w:instrText>
            </w:r>
            <w:r w:rsidRPr="00E25790">
              <w:fldChar w:fldCharType="end"/>
            </w:r>
          </w:p>
        </w:tc>
      </w:tr>
      <w:tr w:rsidRPr="00E25790" w:rsidR="00115F48" w:rsidTr="00B97D99" w14:paraId="62B557F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7676719" w14:textId="3877A705">
            <w:r w:rsidRPr="00E25790">
              <w:t xml:space="preserve">Revision Date : </w:t>
            </w:r>
            <w:r w:rsidR="00EE20B3">
              <w:rPr>
                <w:noProof/>
              </w:rPr>
              <w:t>18</w:t>
            </w:r>
            <w:r w:rsidR="00857213">
              <w:rPr>
                <w:noProof/>
              </w:rPr>
              <w:t>/</w:t>
            </w:r>
            <w:r w:rsidR="00EE20B3">
              <w:rPr>
                <w:noProof/>
              </w:rPr>
              <w:t>6</w:t>
            </w:r>
            <w:r w:rsidR="00C97242">
              <w:rPr>
                <w:noProof/>
              </w:rPr>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24EAE73A" w14:textId="43C95267">
            <w:r w:rsidRPr="00E25790">
              <w:t xml:space="preserve">Approved : </w:t>
            </w:r>
            <w:r w:rsidR="00C97242">
              <w:t>DD, TC, KOH</w:t>
            </w:r>
          </w:p>
        </w:tc>
      </w:tr>
    </w:tbl>
    <w:p w:rsidRPr="00E25790" w:rsidR="00115F48" w:rsidP="006F0321" w:rsidRDefault="00115F48" w14:paraId="61FB710C"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3A7895" w:rsidR="00840391" w:rsidTr="00EE20B3" w14:paraId="1332C1DE" w14:textId="77777777">
        <w:trPr>
          <w:trHeight w:val="70"/>
        </w:trPr>
        <w:tc>
          <w:tcPr>
            <w:tcW w:w="1730" w:type="dxa"/>
          </w:tcPr>
          <w:p w:rsidRPr="00B53E9B" w:rsidR="00840391" w:rsidP="00131848" w:rsidRDefault="00840391" w14:paraId="24CE56C5"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7513" w:type="dxa"/>
          </w:tcPr>
          <w:p w:rsidR="00840391" w:rsidP="00131848" w:rsidRDefault="00840391" w14:paraId="1AE38B20" w14:textId="77777777">
            <w:pPr>
              <w:pStyle w:val="BodyText"/>
              <w:rPr>
                <w:rFonts w:asciiTheme="minorHAnsi" w:hAnsiTheme="minorHAnsi" w:cstheme="minorHAnsi"/>
                <w:sz w:val="20"/>
                <w:lang w:val="en-US"/>
              </w:rPr>
            </w:pPr>
            <w:r>
              <w:rPr>
                <w:rFonts w:asciiTheme="minorHAnsi" w:hAnsiTheme="minorHAnsi" w:cstheme="minorHAnsi"/>
                <w:sz w:val="20"/>
                <w:lang w:val="en-US"/>
              </w:rPr>
              <w:t>High risk medication in</w:t>
            </w:r>
            <w:r>
              <w:t xml:space="preserve"> </w:t>
            </w:r>
            <w:r w:rsidRPr="007C6FFF">
              <w:rPr>
                <w:rFonts w:asciiTheme="minorHAnsi" w:hAnsiTheme="minorHAnsi" w:cstheme="minorHAnsi"/>
                <w:sz w:val="20"/>
                <w:lang w:val="en-US"/>
              </w:rPr>
              <w:t xml:space="preserve">A PINCH Medicines </w:t>
            </w:r>
            <w:r>
              <w:rPr>
                <w:rFonts w:asciiTheme="minorHAnsi" w:hAnsiTheme="minorHAnsi" w:cstheme="minorHAnsi"/>
                <w:sz w:val="20"/>
                <w:lang w:val="en-US"/>
              </w:rPr>
              <w:t xml:space="preserve">list </w:t>
            </w:r>
            <w:r w:rsidRPr="007C6FFF">
              <w:rPr>
                <w:rFonts w:asciiTheme="minorHAnsi" w:hAnsiTheme="minorHAnsi" w:cstheme="minorHAnsi"/>
                <w:sz w:val="20"/>
                <w:lang w:val="en-US"/>
              </w:rPr>
              <w:t>under New South Wales Clinical Excellence Commission</w:t>
            </w:r>
            <w:r>
              <w:rPr>
                <w:rFonts w:asciiTheme="minorHAnsi" w:hAnsiTheme="minorHAnsi" w:cstheme="minorHAnsi"/>
                <w:sz w:val="20"/>
                <w:lang w:val="en-US"/>
              </w:rPr>
              <w:t xml:space="preserve">. </w:t>
            </w:r>
          </w:p>
          <w:p w:rsidRPr="00AC083A" w:rsidR="00840391" w:rsidP="00131848" w:rsidRDefault="00840391" w14:paraId="265D1003" w14:textId="77777777">
            <w:pPr>
              <w:pStyle w:val="BodyText"/>
              <w:rPr>
                <w:rFonts w:cs="Arial"/>
                <w:sz w:val="20"/>
                <w:lang w:val="en-AU"/>
              </w:rPr>
            </w:pPr>
            <w:r w:rsidRPr="007C6FFF">
              <w:rPr>
                <w:rFonts w:asciiTheme="minorHAnsi" w:hAnsiTheme="minorHAnsi" w:cstheme="minorHAnsi"/>
                <w:sz w:val="20"/>
                <w:lang w:val="en-US"/>
              </w:rPr>
              <w:t>Also known as unfractionated heparin</w:t>
            </w:r>
            <w:r>
              <w:rPr>
                <w:rFonts w:asciiTheme="minorHAnsi" w:hAnsiTheme="minorHAnsi" w:cstheme="minorHAnsi"/>
                <w:sz w:val="20"/>
                <w:lang w:val="en-US"/>
              </w:rPr>
              <w:t xml:space="preserve"> (UFH)</w:t>
            </w:r>
            <w:r w:rsidRPr="007C6FFF">
              <w:rPr>
                <w:rFonts w:asciiTheme="minorHAnsi" w:hAnsiTheme="minorHAnsi" w:cstheme="minorHAnsi"/>
                <w:sz w:val="20"/>
                <w:lang w:val="en-US"/>
              </w:rPr>
              <w:t>. Not equivalent to low molecular weight heparin (LMWH</w:t>
            </w:r>
            <w:r>
              <w:rPr>
                <w:rFonts w:asciiTheme="minorHAnsi" w:hAnsiTheme="minorHAnsi" w:cstheme="minorHAnsi"/>
                <w:sz w:val="20"/>
                <w:lang w:val="en-US"/>
              </w:rPr>
              <w:t xml:space="preserve">). </w:t>
            </w:r>
          </w:p>
          <w:p w:rsidRPr="0014643F" w:rsidR="00840391" w:rsidP="00131848" w:rsidRDefault="00840391" w14:paraId="5B3BFE35" w14:textId="77777777">
            <w:pPr>
              <w:pStyle w:val="BodyText"/>
              <w:rPr>
                <w:rFonts w:cs="Arial"/>
                <w:sz w:val="20"/>
                <w:lang w:val="en-AU"/>
              </w:rPr>
            </w:pPr>
            <w:r w:rsidRPr="0014643F">
              <w:rPr>
                <w:rFonts w:cs="Arial"/>
                <w:sz w:val="20"/>
                <w:lang w:val="en-AU"/>
              </w:rPr>
              <w:t xml:space="preserve">Use in consultation with haematologist for treatment of thrombosis. </w:t>
            </w:r>
          </w:p>
          <w:p w:rsidR="00840391" w:rsidP="00131848" w:rsidRDefault="00840391" w14:paraId="27941D28" w14:textId="77777777">
            <w:pPr>
              <w:pStyle w:val="BodyText"/>
              <w:rPr>
                <w:rFonts w:cs="Arial"/>
                <w:sz w:val="20"/>
                <w:lang w:val="en-AU"/>
              </w:rPr>
            </w:pPr>
            <w:r>
              <w:rPr>
                <w:rFonts w:cs="Arial"/>
                <w:sz w:val="20"/>
                <w:lang w:val="en-AU"/>
              </w:rPr>
              <w:t xml:space="preserve">Many concentrations of heparin are available. </w:t>
            </w:r>
            <w:r w:rsidRPr="0014643F">
              <w:rPr>
                <w:rFonts w:cs="Arial"/>
                <w:sz w:val="20"/>
                <w:lang w:val="en-AU"/>
              </w:rPr>
              <w:t xml:space="preserve">Accidental overdose can occur </w:t>
            </w:r>
            <w:r>
              <w:rPr>
                <w:rFonts w:cs="Arial"/>
                <w:sz w:val="20"/>
                <w:lang w:val="en-AU"/>
              </w:rPr>
              <w:t xml:space="preserve">when multiple concentrations are kept in the unit. </w:t>
            </w:r>
          </w:p>
          <w:p w:rsidR="00840391" w:rsidP="00131848" w:rsidRDefault="00840391" w14:paraId="782F6291" w14:textId="77777777">
            <w:pPr>
              <w:pStyle w:val="BodyText"/>
              <w:rPr>
                <w:rFonts w:cs="Arial"/>
                <w:sz w:val="20"/>
                <w:lang w:val="en-AU"/>
              </w:rPr>
            </w:pPr>
            <w:r>
              <w:rPr>
                <w:rFonts w:cs="Arial"/>
                <w:sz w:val="20"/>
                <w:lang w:val="en-AU"/>
              </w:rPr>
              <w:t xml:space="preserve">In neonatal settings: </w:t>
            </w:r>
            <w:r w:rsidRPr="0014643F">
              <w:rPr>
                <w:rFonts w:cs="Arial"/>
                <w:sz w:val="20"/>
                <w:lang w:val="en-AU"/>
              </w:rPr>
              <w:t xml:space="preserve"> recommend to </w:t>
            </w:r>
            <w:r>
              <w:rPr>
                <w:rFonts w:cs="Arial"/>
                <w:sz w:val="20"/>
                <w:lang w:val="en-AU"/>
              </w:rPr>
              <w:t xml:space="preserve">store the following preparations only: heparinised saline 50 units/5 mL and heparin sodium injection ampoule 1000 units/1 mL. </w:t>
            </w:r>
          </w:p>
          <w:p w:rsidRPr="007344DE" w:rsidR="00840391" w:rsidP="00131848" w:rsidRDefault="00840391" w14:paraId="4CE5491D" w14:textId="77777777">
            <w:pPr>
              <w:pStyle w:val="BodyText"/>
              <w:rPr>
                <w:rFonts w:asciiTheme="minorHAnsi" w:hAnsiTheme="minorHAnsi" w:cstheme="minorHAnsi"/>
                <w:sz w:val="20"/>
                <w:lang w:val="en-AU"/>
              </w:rPr>
            </w:pPr>
            <w:r w:rsidRPr="007344DE">
              <w:rPr>
                <w:rFonts w:asciiTheme="minorHAnsi" w:hAnsiTheme="minorHAnsi" w:cstheme="minorHAnsi"/>
                <w:sz w:val="20"/>
                <w:lang w:val="en-US"/>
              </w:rPr>
              <w:t xml:space="preserve">DBL </w:t>
            </w:r>
            <w:r>
              <w:rPr>
                <w:rFonts w:asciiTheme="minorHAnsi" w:hAnsiTheme="minorHAnsi" w:cstheme="minorHAnsi"/>
                <w:sz w:val="20"/>
                <w:lang w:val="en-US"/>
              </w:rPr>
              <w:t>H</w:t>
            </w:r>
            <w:r w:rsidRPr="007344DE">
              <w:rPr>
                <w:rFonts w:asciiTheme="minorHAnsi" w:hAnsiTheme="minorHAnsi" w:cstheme="minorHAnsi"/>
                <w:sz w:val="20"/>
                <w:lang w:val="en-US"/>
              </w:rPr>
              <w:t xml:space="preserve">eparin sodium injection in </w:t>
            </w:r>
            <w:r w:rsidRPr="007344DE">
              <w:rPr>
                <w:rFonts w:asciiTheme="minorHAnsi" w:hAnsiTheme="minorHAnsi" w:cstheme="minorHAnsi"/>
                <w:b/>
                <w:i/>
                <w:sz w:val="20"/>
                <w:lang w:val="en-US"/>
              </w:rPr>
              <w:t>vials</w:t>
            </w:r>
            <w:r w:rsidRPr="007344DE">
              <w:rPr>
                <w:rFonts w:asciiTheme="minorHAnsi" w:hAnsiTheme="minorHAnsi" w:cstheme="minorHAnsi"/>
                <w:sz w:val="20"/>
                <w:lang w:val="en-US"/>
              </w:rPr>
              <w:t xml:space="preserve"> </w:t>
            </w:r>
            <w:r w:rsidRPr="00BB2BAE">
              <w:rPr>
                <w:rFonts w:asciiTheme="minorHAnsi" w:hAnsiTheme="minorHAnsi" w:cstheme="minorHAnsi"/>
                <w:b/>
                <w:sz w:val="20"/>
                <w:lang w:val="en-US"/>
              </w:rPr>
              <w:t>is not recommended</w:t>
            </w:r>
            <w:r>
              <w:rPr>
                <w:rFonts w:asciiTheme="minorHAnsi" w:hAnsiTheme="minorHAnsi" w:cstheme="minorHAnsi"/>
                <w:sz w:val="20"/>
                <w:lang w:val="en-US"/>
              </w:rPr>
              <w:t xml:space="preserve"> in neonates as it contains benzyl alcohol. </w:t>
            </w:r>
            <w:r w:rsidRPr="007344DE">
              <w:rPr>
                <w:rFonts w:asciiTheme="minorHAnsi" w:hAnsiTheme="minorHAnsi" w:cstheme="minorHAnsi"/>
                <w:sz w:val="20"/>
                <w:lang w:val="en-US"/>
              </w:rPr>
              <w:t>However</w:t>
            </w:r>
            <w:r>
              <w:rPr>
                <w:rFonts w:asciiTheme="minorHAnsi" w:hAnsiTheme="minorHAnsi" w:cstheme="minorHAnsi"/>
                <w:sz w:val="20"/>
                <w:lang w:val="en-US"/>
              </w:rPr>
              <w:t>,</w:t>
            </w:r>
            <w:r w:rsidRPr="007344DE">
              <w:rPr>
                <w:rFonts w:asciiTheme="minorHAnsi" w:hAnsiTheme="minorHAnsi" w:cstheme="minorHAnsi"/>
                <w:sz w:val="20"/>
                <w:lang w:val="en-US"/>
              </w:rPr>
              <w:t xml:space="preserve"> DBL </w:t>
            </w:r>
            <w:r>
              <w:rPr>
                <w:rFonts w:asciiTheme="minorHAnsi" w:hAnsiTheme="minorHAnsi" w:cstheme="minorHAnsi"/>
                <w:sz w:val="20"/>
                <w:lang w:val="en-US"/>
              </w:rPr>
              <w:t>H</w:t>
            </w:r>
            <w:r w:rsidRPr="007344DE">
              <w:rPr>
                <w:rFonts w:asciiTheme="minorHAnsi" w:hAnsiTheme="minorHAnsi" w:cstheme="minorHAnsi"/>
                <w:sz w:val="20"/>
                <w:lang w:val="en-US"/>
              </w:rPr>
              <w:t xml:space="preserve">eparin sodium injection in </w:t>
            </w:r>
            <w:r w:rsidRPr="007344DE">
              <w:rPr>
                <w:rFonts w:asciiTheme="minorHAnsi" w:hAnsiTheme="minorHAnsi" w:cstheme="minorHAnsi"/>
                <w:b/>
                <w:i/>
                <w:sz w:val="20"/>
                <w:lang w:val="en-US"/>
              </w:rPr>
              <w:t>ampoules</w:t>
            </w:r>
            <w:r w:rsidRPr="007344DE">
              <w:rPr>
                <w:rFonts w:asciiTheme="minorHAnsi" w:hAnsiTheme="minorHAnsi" w:cstheme="minorHAnsi"/>
                <w:sz w:val="20"/>
                <w:lang w:val="en-US"/>
              </w:rPr>
              <w:t xml:space="preserve"> does </w:t>
            </w:r>
            <w:r w:rsidRPr="008616C1">
              <w:rPr>
                <w:rFonts w:asciiTheme="minorHAnsi" w:hAnsiTheme="minorHAnsi" w:cstheme="minorHAnsi"/>
                <w:b/>
                <w:sz w:val="20"/>
                <w:lang w:val="en-US"/>
              </w:rPr>
              <w:t>not</w:t>
            </w:r>
            <w:r w:rsidRPr="007344DE">
              <w:rPr>
                <w:rFonts w:asciiTheme="minorHAnsi" w:hAnsiTheme="minorHAnsi" w:cstheme="minorHAnsi"/>
                <w:sz w:val="20"/>
                <w:lang w:val="en-US"/>
              </w:rPr>
              <w:t xml:space="preserve"> contain benzyl alcohol.</w:t>
            </w:r>
          </w:p>
        </w:tc>
      </w:tr>
      <w:tr w:rsidRPr="003A7895" w:rsidR="00840391" w:rsidTr="00EE20B3" w14:paraId="70796BBB" w14:textId="77777777">
        <w:trPr>
          <w:trHeight w:val="72"/>
        </w:trPr>
        <w:tc>
          <w:tcPr>
            <w:tcW w:w="1730" w:type="dxa"/>
          </w:tcPr>
          <w:p w:rsidRPr="00B53E9B" w:rsidR="00840391" w:rsidP="00131848" w:rsidRDefault="00840391" w14:paraId="1D441D72" w14:textId="77777777">
            <w:pPr>
              <w:pStyle w:val="BodyText"/>
              <w:rPr>
                <w:rFonts w:cs="Arial"/>
                <w:sz w:val="20"/>
                <w:lang w:val="en-AU"/>
              </w:rPr>
            </w:pPr>
            <w:r w:rsidRPr="00B53E9B">
              <w:rPr>
                <w:rFonts w:cs="Arial"/>
                <w:b/>
                <w:bCs/>
                <w:sz w:val="20"/>
                <w:lang w:val="en-AU"/>
              </w:rPr>
              <w:t>Indication</w:t>
            </w:r>
          </w:p>
        </w:tc>
        <w:tc>
          <w:tcPr>
            <w:tcW w:w="7513" w:type="dxa"/>
          </w:tcPr>
          <w:p w:rsidR="00840391" w:rsidP="00131848" w:rsidRDefault="00840391" w14:paraId="592A4FF1" w14:textId="77777777">
            <w:pPr>
              <w:rPr>
                <w:sz w:val="20"/>
              </w:rPr>
            </w:pPr>
            <w:r>
              <w:rPr>
                <w:sz w:val="20"/>
              </w:rPr>
              <w:t xml:space="preserve">Primary or secondary </w:t>
            </w:r>
            <w:r w:rsidRPr="00FD4C91">
              <w:rPr>
                <w:sz w:val="20"/>
              </w:rPr>
              <w:t xml:space="preserve">antithrombotic </w:t>
            </w:r>
            <w:r>
              <w:rPr>
                <w:sz w:val="20"/>
              </w:rPr>
              <w:t>prophylaxis.</w:t>
            </w:r>
          </w:p>
          <w:p w:rsidRPr="006A2FF0" w:rsidR="00840391" w:rsidP="00131848" w:rsidRDefault="00840391" w14:paraId="4749ACDD" w14:textId="77777777">
            <w:pPr>
              <w:rPr>
                <w:sz w:val="20"/>
              </w:rPr>
            </w:pPr>
            <w:r w:rsidRPr="00FD4C91">
              <w:rPr>
                <w:sz w:val="20"/>
              </w:rPr>
              <w:t>Maintenance of arterial and central venous catheter patency.</w:t>
            </w:r>
          </w:p>
        </w:tc>
      </w:tr>
      <w:tr w:rsidRPr="003A7895" w:rsidR="00840391" w:rsidTr="00EE20B3" w14:paraId="30482955" w14:textId="77777777">
        <w:trPr>
          <w:trHeight w:val="70"/>
        </w:trPr>
        <w:tc>
          <w:tcPr>
            <w:tcW w:w="1730" w:type="dxa"/>
          </w:tcPr>
          <w:p w:rsidRPr="00B53E9B" w:rsidR="00840391" w:rsidP="00131848" w:rsidRDefault="00840391" w14:paraId="7D26CFC7" w14:textId="77777777">
            <w:pPr>
              <w:pStyle w:val="BodyText"/>
              <w:rPr>
                <w:rFonts w:cs="Arial"/>
                <w:b/>
                <w:bCs/>
                <w:sz w:val="20"/>
                <w:lang w:val="en-AU"/>
              </w:rPr>
            </w:pPr>
            <w:r w:rsidRPr="00B53E9B">
              <w:rPr>
                <w:rFonts w:cs="Arial"/>
                <w:b/>
                <w:bCs/>
                <w:sz w:val="20"/>
                <w:lang w:val="en-AU"/>
              </w:rPr>
              <w:t>Action</w:t>
            </w:r>
          </w:p>
        </w:tc>
        <w:tc>
          <w:tcPr>
            <w:tcW w:w="7513" w:type="dxa"/>
          </w:tcPr>
          <w:p w:rsidRPr="006A2FF0" w:rsidR="00840391" w:rsidP="00131848" w:rsidRDefault="00840391" w14:paraId="54FE0665" w14:textId="77777777">
            <w:pPr>
              <w:rPr>
                <w:rFonts w:cs="Arial"/>
                <w:sz w:val="20"/>
              </w:rPr>
            </w:pPr>
            <w:r w:rsidRPr="007C6FFF">
              <w:rPr>
                <w:rFonts w:cs="Arial"/>
                <w:sz w:val="20"/>
              </w:rPr>
              <w:t>Heparin binds to antithrombin III</w:t>
            </w:r>
            <w:r>
              <w:rPr>
                <w:rFonts w:cs="Arial"/>
                <w:sz w:val="20"/>
              </w:rPr>
              <w:t xml:space="preserve"> (ATIII)</w:t>
            </w:r>
            <w:r w:rsidRPr="007C6FFF">
              <w:rPr>
                <w:rFonts w:cs="Arial"/>
                <w:sz w:val="20"/>
              </w:rPr>
              <w:t>, potentiating ATIII’s activity by at least 1000-fold. ATIII predominantly inactivates factor Xa and thrombin (other proteases/clotting factors to less</w:t>
            </w:r>
            <w:r>
              <w:rPr>
                <w:rFonts w:cs="Arial"/>
                <w:sz w:val="20"/>
              </w:rPr>
              <w:t>e</w:t>
            </w:r>
            <w:r w:rsidRPr="007C6FFF">
              <w:rPr>
                <w:rFonts w:cs="Arial"/>
                <w:sz w:val="20"/>
              </w:rPr>
              <w:t>r degree), which in turn inhibits conversion of fibrinogen to fibrin</w:t>
            </w:r>
            <w:r>
              <w:rPr>
                <w:rFonts w:cs="Arial"/>
                <w:sz w:val="20"/>
              </w:rPr>
              <w:t xml:space="preserve">. </w:t>
            </w:r>
            <w:r w:rsidRPr="00FD4C91">
              <w:rPr>
                <w:rFonts w:cs="Arial"/>
                <w:sz w:val="20"/>
              </w:rPr>
              <w:t>Also possesses anti</w:t>
            </w:r>
            <w:r>
              <w:rPr>
                <w:rFonts w:cs="Arial"/>
                <w:sz w:val="20"/>
              </w:rPr>
              <w:t>-</w:t>
            </w:r>
            <w:r w:rsidRPr="00FD4C91">
              <w:rPr>
                <w:rFonts w:cs="Arial"/>
                <w:sz w:val="20"/>
              </w:rPr>
              <w:t>complementary activity, inhibiting both the classic and alternative pathways</w:t>
            </w:r>
            <w:r>
              <w:rPr>
                <w:rFonts w:cs="Arial"/>
                <w:sz w:val="20"/>
              </w:rPr>
              <w:t>.</w:t>
            </w:r>
          </w:p>
        </w:tc>
      </w:tr>
      <w:tr w:rsidRPr="003A7895" w:rsidR="00840391" w:rsidTr="00EE20B3" w14:paraId="62234D03" w14:textId="77777777">
        <w:trPr>
          <w:trHeight w:val="266"/>
        </w:trPr>
        <w:tc>
          <w:tcPr>
            <w:tcW w:w="1730" w:type="dxa"/>
          </w:tcPr>
          <w:p w:rsidRPr="00B53E9B" w:rsidR="00840391" w:rsidP="00131848" w:rsidRDefault="00840391" w14:paraId="5B667725"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7513" w:type="dxa"/>
          </w:tcPr>
          <w:p w:rsidRPr="006A2FF0" w:rsidR="00840391" w:rsidP="00131848" w:rsidRDefault="00840391" w14:paraId="04F5BB69" w14:textId="77777777">
            <w:pPr>
              <w:pStyle w:val="BodyText"/>
              <w:rPr>
                <w:rFonts w:cs="Arial"/>
                <w:sz w:val="20"/>
              </w:rPr>
            </w:pPr>
            <w:r w:rsidRPr="00FD4C91">
              <w:rPr>
                <w:rFonts w:cs="Arial"/>
                <w:sz w:val="20"/>
              </w:rPr>
              <w:t>Anticoagulant</w:t>
            </w:r>
          </w:p>
        </w:tc>
      </w:tr>
      <w:tr w:rsidRPr="003A7895" w:rsidR="00840391" w:rsidTr="00EE20B3" w14:paraId="7006939B" w14:textId="77777777">
        <w:trPr>
          <w:trHeight w:val="114"/>
        </w:trPr>
        <w:tc>
          <w:tcPr>
            <w:tcW w:w="1730" w:type="dxa"/>
          </w:tcPr>
          <w:p w:rsidRPr="00B53E9B" w:rsidR="00840391" w:rsidP="00131848" w:rsidRDefault="00840391" w14:paraId="7F4E49D2"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7513" w:type="dxa"/>
          </w:tcPr>
          <w:p w:rsidR="00840391" w:rsidP="00131848" w:rsidRDefault="00840391" w14:paraId="79730668" w14:textId="77777777">
            <w:pPr>
              <w:pStyle w:val="BodyText"/>
              <w:rPr>
                <w:rFonts w:cs="Arial"/>
                <w:sz w:val="20"/>
                <w:lang w:val="en-US"/>
              </w:rPr>
            </w:pPr>
            <w:r>
              <w:rPr>
                <w:rFonts w:cs="Arial"/>
                <w:sz w:val="20"/>
                <w:lang w:val="en-US"/>
              </w:rPr>
              <w:t>Heparin Sodium Injection (Pfizer), DBL Heparin Sodium Injection BP</w:t>
            </w:r>
          </w:p>
          <w:p w:rsidRPr="006A2FF0" w:rsidR="00840391" w:rsidP="00131848" w:rsidRDefault="00840391" w14:paraId="4CC9AD34" w14:textId="77777777">
            <w:pPr>
              <w:pStyle w:val="BodyText"/>
              <w:rPr>
                <w:rFonts w:cs="Arial"/>
                <w:sz w:val="20"/>
              </w:rPr>
            </w:pPr>
            <w:r>
              <w:rPr>
                <w:rFonts w:cs="Arial"/>
                <w:sz w:val="20"/>
                <w:lang w:val="en-US"/>
              </w:rPr>
              <w:t>Heparinised Saline Injection (Pfizer)</w:t>
            </w:r>
          </w:p>
        </w:tc>
      </w:tr>
      <w:tr w:rsidRPr="003A7895" w:rsidR="00840391" w:rsidTr="00EE20B3" w14:paraId="0F0E55A7" w14:textId="77777777">
        <w:trPr>
          <w:trHeight w:val="70"/>
        </w:trPr>
        <w:tc>
          <w:tcPr>
            <w:tcW w:w="1730" w:type="dxa"/>
          </w:tcPr>
          <w:p w:rsidRPr="00B53E9B" w:rsidR="00840391" w:rsidP="00131848" w:rsidRDefault="00840391" w14:paraId="47599AD8" w14:textId="77777777">
            <w:pPr>
              <w:pStyle w:val="BodyText"/>
              <w:rPr>
                <w:rFonts w:cs="Arial"/>
                <w:b/>
                <w:bCs/>
                <w:sz w:val="20"/>
                <w:lang w:val="en-AU"/>
              </w:rPr>
            </w:pPr>
            <w:r w:rsidRPr="00B53E9B">
              <w:rPr>
                <w:rFonts w:cs="Arial"/>
                <w:b/>
                <w:bCs/>
                <w:sz w:val="20"/>
                <w:lang w:val="en-AU"/>
              </w:rPr>
              <w:t xml:space="preserve">Presentation </w:t>
            </w:r>
          </w:p>
        </w:tc>
        <w:tc>
          <w:tcPr>
            <w:tcW w:w="7513" w:type="dxa"/>
          </w:tcPr>
          <w:p w:rsidR="00840391" w:rsidP="00131848" w:rsidRDefault="00840391" w14:paraId="53961BEC" w14:textId="77777777">
            <w:pPr>
              <w:pStyle w:val="BodyText"/>
              <w:rPr>
                <w:rFonts w:cs="Arial"/>
                <w:sz w:val="20"/>
                <w:lang w:val="en-US"/>
              </w:rPr>
            </w:pPr>
            <w:r>
              <w:rPr>
                <w:rFonts w:cs="Arial"/>
                <w:b/>
                <w:sz w:val="20"/>
                <w:lang w:val="en-US"/>
              </w:rPr>
              <w:t>A</w:t>
            </w:r>
            <w:r w:rsidRPr="007344DE">
              <w:rPr>
                <w:rFonts w:cs="Arial"/>
                <w:b/>
                <w:sz w:val="20"/>
                <w:lang w:val="en-US"/>
              </w:rPr>
              <w:t>ntithrombotic prophylaxis</w:t>
            </w:r>
          </w:p>
          <w:p w:rsidR="00840391" w:rsidP="00131848" w:rsidRDefault="00840391" w14:paraId="40BA0334" w14:textId="77777777">
            <w:pPr>
              <w:pStyle w:val="BodyText"/>
              <w:ind w:left="720"/>
              <w:rPr>
                <w:rFonts w:cs="Arial"/>
                <w:sz w:val="20"/>
                <w:lang w:val="en-US"/>
              </w:rPr>
            </w:pPr>
            <w:r>
              <w:rPr>
                <w:rFonts w:cs="Arial"/>
                <w:sz w:val="20"/>
                <w:lang w:val="en-US"/>
              </w:rPr>
              <w:t xml:space="preserve">Pfizer Heparin Sodium Injection Ampoule: 5000 units/5 mL </w:t>
            </w:r>
          </w:p>
          <w:p w:rsidR="00840391" w:rsidP="00131848" w:rsidRDefault="00840391" w14:paraId="3B19ACE5" w14:textId="77777777">
            <w:pPr>
              <w:pStyle w:val="BodyText"/>
              <w:ind w:left="720"/>
              <w:rPr>
                <w:rFonts w:cs="Arial"/>
                <w:sz w:val="20"/>
                <w:lang w:val="en-US"/>
              </w:rPr>
            </w:pPr>
            <w:r>
              <w:rPr>
                <w:rFonts w:cs="Arial"/>
                <w:sz w:val="20"/>
                <w:lang w:val="en-US"/>
              </w:rPr>
              <w:t xml:space="preserve">DBL Heparin Sodium Injection BP Ampoule: 1000 units/1 mL </w:t>
            </w:r>
          </w:p>
          <w:p w:rsidR="00840391" w:rsidP="00131848" w:rsidRDefault="00840391" w14:paraId="630AA036" w14:textId="77777777">
            <w:pPr>
              <w:pStyle w:val="BodyText"/>
              <w:ind w:left="720"/>
              <w:rPr>
                <w:rFonts w:cs="Arial"/>
                <w:sz w:val="20"/>
                <w:lang w:val="en-US"/>
              </w:rPr>
            </w:pPr>
            <w:r>
              <w:rPr>
                <w:rFonts w:cs="Arial"/>
                <w:sz w:val="20"/>
                <w:lang w:val="en-US"/>
              </w:rPr>
              <w:t xml:space="preserve">DBL Heparin Sodium BP Vials – </w:t>
            </w:r>
            <w:r w:rsidRPr="008616C1">
              <w:rPr>
                <w:rFonts w:cs="Arial"/>
                <w:b/>
                <w:i/>
                <w:sz w:val="20"/>
                <w:lang w:val="en-US"/>
              </w:rPr>
              <w:t>Not to be used in neonates as it contains benzyl alcohol.</w:t>
            </w:r>
          </w:p>
          <w:p w:rsidRPr="007344DE" w:rsidR="00840391" w:rsidP="00131848" w:rsidRDefault="00840391" w14:paraId="29B11B59" w14:textId="77777777">
            <w:pPr>
              <w:pStyle w:val="BodyText"/>
              <w:rPr>
                <w:rFonts w:cs="Arial"/>
                <w:b/>
                <w:sz w:val="20"/>
                <w:lang w:val="en-US"/>
              </w:rPr>
            </w:pPr>
            <w:r w:rsidRPr="007344DE">
              <w:rPr>
                <w:rFonts w:cs="Arial"/>
                <w:b/>
                <w:sz w:val="20"/>
                <w:lang w:val="en-US"/>
              </w:rPr>
              <w:t>Maintenance of catheter patency</w:t>
            </w:r>
          </w:p>
          <w:p w:rsidRPr="007344DE" w:rsidR="00840391" w:rsidP="00131848" w:rsidRDefault="00840391" w14:paraId="0A72F61C" w14:textId="77777777">
            <w:pPr>
              <w:pStyle w:val="BodyText"/>
              <w:ind w:left="720"/>
              <w:rPr>
                <w:rFonts w:cs="Arial"/>
                <w:sz w:val="20"/>
                <w:lang w:val="en-US"/>
              </w:rPr>
            </w:pPr>
            <w:r>
              <w:rPr>
                <w:rFonts w:cs="Arial"/>
                <w:sz w:val="20"/>
                <w:lang w:val="en-US"/>
              </w:rPr>
              <w:t>Heparinised Saline Injection Ampoule: 50 units/5 mL (10 units/mL)</w:t>
            </w:r>
          </w:p>
          <w:p w:rsidRPr="006A2FF0" w:rsidR="00840391" w:rsidP="00131848" w:rsidRDefault="00840391" w14:paraId="77583C4D" w14:textId="77777777">
            <w:pPr>
              <w:pStyle w:val="BodyText"/>
              <w:ind w:left="720"/>
              <w:rPr>
                <w:rFonts w:cs="Arial"/>
                <w:sz w:val="20"/>
              </w:rPr>
            </w:pPr>
            <w:r w:rsidRPr="00FD4C91">
              <w:rPr>
                <w:rFonts w:cs="Arial"/>
                <w:sz w:val="20"/>
              </w:rPr>
              <w:t xml:space="preserve">Also available </w:t>
            </w:r>
            <w:r>
              <w:rPr>
                <w:rFonts w:cs="Arial"/>
                <w:sz w:val="20"/>
                <w:lang w:val="en-AU"/>
              </w:rPr>
              <w:t>as</w:t>
            </w:r>
            <w:r>
              <w:rPr>
                <w:rFonts w:cs="Arial"/>
                <w:sz w:val="20"/>
              </w:rPr>
              <w:t xml:space="preserve"> premixed infusion</w:t>
            </w:r>
            <w:r>
              <w:rPr>
                <w:rFonts w:cs="Arial"/>
                <w:sz w:val="20"/>
                <w:lang w:val="en-AU"/>
              </w:rPr>
              <w:t>s.</w:t>
            </w:r>
          </w:p>
        </w:tc>
      </w:tr>
      <w:tr w:rsidRPr="000E2236" w:rsidR="00840391" w:rsidTr="00EE20B3" w14:paraId="5982991E" w14:textId="77777777">
        <w:trPr>
          <w:trHeight w:val="70"/>
        </w:trPr>
        <w:tc>
          <w:tcPr>
            <w:tcW w:w="1730" w:type="dxa"/>
          </w:tcPr>
          <w:p w:rsidRPr="00B53E9B" w:rsidR="00840391" w:rsidP="00131848" w:rsidRDefault="00840391" w14:paraId="33F8AEED"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7513" w:type="dxa"/>
          </w:tcPr>
          <w:p w:rsidRPr="00F2140A" w:rsidR="00840391" w:rsidP="00131848" w:rsidRDefault="00840391" w14:paraId="665B89F8" w14:textId="77777777">
            <w:pPr>
              <w:pStyle w:val="BodyText"/>
              <w:rPr>
                <w:b/>
                <w:sz w:val="20"/>
              </w:rPr>
            </w:pPr>
            <w:r>
              <w:rPr>
                <w:b/>
                <w:sz w:val="20"/>
                <w:lang w:val="en-AU"/>
              </w:rPr>
              <w:t>A</w:t>
            </w:r>
            <w:r w:rsidRPr="00F2140A">
              <w:rPr>
                <w:b/>
                <w:sz w:val="20"/>
              </w:rPr>
              <w:t xml:space="preserve">ntithrombotic </w:t>
            </w:r>
            <w:r>
              <w:rPr>
                <w:b/>
                <w:sz w:val="20"/>
                <w:lang w:val="en-AU"/>
              </w:rPr>
              <w:t>prophylaxis</w:t>
            </w:r>
            <w:r>
              <w:rPr>
                <w:b/>
                <w:sz w:val="20"/>
                <w:vertAlign w:val="superscript"/>
                <w:lang w:val="en-AU"/>
              </w:rPr>
              <w:t xml:space="preserve">1,2,3 </w:t>
            </w:r>
          </w:p>
          <w:p w:rsidR="00840391" w:rsidP="00131848" w:rsidRDefault="00840391" w14:paraId="60C8E10F" w14:textId="77777777">
            <w:pPr>
              <w:pStyle w:val="BodyText"/>
              <w:ind w:left="720"/>
              <w:rPr>
                <w:sz w:val="20"/>
              </w:rPr>
            </w:pPr>
            <w:r w:rsidRPr="00560542">
              <w:rPr>
                <w:sz w:val="20"/>
              </w:rPr>
              <w:t xml:space="preserve">Loading dose: 75 (50-100) units/kg over </w:t>
            </w:r>
            <w:r>
              <w:rPr>
                <w:sz w:val="20"/>
                <w:lang w:val="en-AU"/>
              </w:rPr>
              <w:t>30</w:t>
            </w:r>
            <w:r w:rsidRPr="00560542">
              <w:rPr>
                <w:sz w:val="20"/>
              </w:rPr>
              <w:t xml:space="preserve"> minutes</w:t>
            </w:r>
            <w:r>
              <w:rPr>
                <w:sz w:val="20"/>
                <w:lang w:val="en-AU"/>
              </w:rPr>
              <w:t>.</w:t>
            </w:r>
            <w:r w:rsidRPr="00FD4C91">
              <w:rPr>
                <w:sz w:val="20"/>
              </w:rPr>
              <w:t xml:space="preserve"> </w:t>
            </w:r>
          </w:p>
          <w:p w:rsidR="00840391" w:rsidP="00131848" w:rsidRDefault="00840391" w14:paraId="156EE0DB" w14:textId="77777777">
            <w:pPr>
              <w:pStyle w:val="BodyText"/>
              <w:ind w:left="720"/>
              <w:rPr>
                <w:sz w:val="20"/>
                <w:lang w:val="en-AU"/>
              </w:rPr>
            </w:pPr>
            <w:r w:rsidRPr="00560542">
              <w:rPr>
                <w:sz w:val="20"/>
              </w:rPr>
              <w:t xml:space="preserve">Initial maintenance dose: </w:t>
            </w:r>
            <w:r>
              <w:rPr>
                <w:sz w:val="20"/>
                <w:lang w:val="en-AU"/>
              </w:rPr>
              <w:t>30</w:t>
            </w:r>
            <w:r w:rsidRPr="00560542">
              <w:rPr>
                <w:sz w:val="20"/>
              </w:rPr>
              <w:t xml:space="preserve"> </w:t>
            </w:r>
            <w:r>
              <w:rPr>
                <w:sz w:val="20"/>
                <w:lang w:val="en-AU"/>
              </w:rPr>
              <w:t xml:space="preserve">(20-40) </w:t>
            </w:r>
            <w:r w:rsidRPr="00560542">
              <w:rPr>
                <w:sz w:val="20"/>
              </w:rPr>
              <w:t>units/kg/hour</w:t>
            </w:r>
            <w:r>
              <w:rPr>
                <w:sz w:val="20"/>
                <w:lang w:val="en-AU"/>
              </w:rPr>
              <w:t xml:space="preserve"> as continuous IV infusion.</w:t>
            </w:r>
          </w:p>
          <w:p w:rsidRPr="00560542" w:rsidR="00840391" w:rsidP="00131848" w:rsidRDefault="00840391" w14:paraId="59B4F452" w14:textId="77777777">
            <w:pPr>
              <w:pStyle w:val="BodyText"/>
              <w:rPr>
                <w:b/>
                <w:sz w:val="20"/>
                <w:lang w:val="en-AU"/>
              </w:rPr>
            </w:pPr>
          </w:p>
          <w:p w:rsidRPr="00560542" w:rsidR="00840391" w:rsidP="00131848" w:rsidRDefault="00840391" w14:paraId="0E0DC190" w14:textId="77777777">
            <w:pPr>
              <w:pStyle w:val="BodyText"/>
              <w:ind w:left="720"/>
              <w:rPr>
                <w:b/>
                <w:sz w:val="20"/>
                <w:lang w:val="en-AU"/>
              </w:rPr>
            </w:pPr>
            <w:r w:rsidRPr="00560542">
              <w:rPr>
                <w:b/>
                <w:sz w:val="20"/>
                <w:lang w:val="en-AU"/>
              </w:rPr>
              <w:t xml:space="preserve">Adjustment of Heparin dose </w:t>
            </w:r>
          </w:p>
          <w:p w:rsidR="00840391" w:rsidP="00131848" w:rsidRDefault="00840391" w14:paraId="40C767A3" w14:textId="77777777">
            <w:pPr>
              <w:pStyle w:val="BodyText"/>
              <w:ind w:left="720"/>
              <w:rPr>
                <w:sz w:val="20"/>
                <w:lang w:val="en-AU"/>
              </w:rPr>
            </w:pPr>
            <w:r>
              <w:rPr>
                <w:sz w:val="20"/>
                <w:lang w:val="en-AU"/>
              </w:rPr>
              <w:t xml:space="preserve"> Anti-Xa is preferred to assess the effect of heparin and guide dosing (Table 1).  </w:t>
            </w:r>
          </w:p>
          <w:p w:rsidR="00840391" w:rsidP="00131848" w:rsidRDefault="00840391" w14:paraId="3CDFA624" w14:textId="77777777">
            <w:pPr>
              <w:pStyle w:val="BodyText"/>
              <w:ind w:left="720"/>
              <w:rPr>
                <w:sz w:val="20"/>
                <w:lang w:val="en-AU"/>
              </w:rPr>
            </w:pPr>
          </w:p>
          <w:p w:rsidRPr="009A23C8" w:rsidR="00840391" w:rsidP="00131848" w:rsidRDefault="00840391" w14:paraId="6AF58951" w14:textId="77777777">
            <w:pPr>
              <w:pStyle w:val="BodyText"/>
              <w:ind w:left="720"/>
              <w:rPr>
                <w:b/>
                <w:sz w:val="20"/>
                <w:lang w:val="en-AU"/>
              </w:rPr>
            </w:pPr>
            <w:r w:rsidRPr="009A23C8">
              <w:rPr>
                <w:b/>
                <w:sz w:val="20"/>
                <w:lang w:val="en-AU"/>
              </w:rPr>
              <w:t>Table</w:t>
            </w:r>
            <w:r>
              <w:rPr>
                <w:b/>
                <w:sz w:val="20"/>
                <w:lang w:val="en-AU"/>
              </w:rPr>
              <w:t xml:space="preserve"> </w:t>
            </w:r>
            <w:r w:rsidRPr="009A23C8">
              <w:rPr>
                <w:b/>
                <w:sz w:val="20"/>
                <w:lang w:val="en-AU"/>
              </w:rPr>
              <w:t xml:space="preserve">1. Heparin dosing based on anti-Xa levels (therapeutic range 0.3-0.7 </w:t>
            </w:r>
            <w:r>
              <w:rPr>
                <w:b/>
                <w:sz w:val="20"/>
                <w:lang w:val="en-AU"/>
              </w:rPr>
              <w:t>unit</w:t>
            </w:r>
            <w:r w:rsidRPr="009A23C8">
              <w:rPr>
                <w:b/>
                <w:sz w:val="20"/>
                <w:lang w:val="en-AU"/>
              </w:rPr>
              <w:t>/m</w:t>
            </w:r>
            <w:r>
              <w:rPr>
                <w:b/>
                <w:sz w:val="20"/>
                <w:lang w:val="en-AU"/>
              </w:rPr>
              <w:t>L</w:t>
            </w:r>
            <w:r w:rsidRPr="009A23C8">
              <w:rPr>
                <w:b/>
                <w:sz w:val="20"/>
                <w:lang w:val="en-AU"/>
              </w:rPr>
              <w:t>)</w:t>
            </w:r>
            <w:r>
              <w:rPr>
                <w:b/>
                <w:sz w:val="20"/>
                <w:lang w:val="en-AU"/>
              </w:rPr>
              <w:t>(modified from O’Meara et al)</w:t>
            </w:r>
            <w:r w:rsidRPr="008616C1">
              <w:rPr>
                <w:b/>
                <w:sz w:val="20"/>
                <w:vertAlign w:val="superscript"/>
                <w:lang w:val="en-AU"/>
              </w:rPr>
              <w:t>3</w:t>
            </w:r>
          </w:p>
          <w:p w:rsidR="00840391" w:rsidP="00131848" w:rsidRDefault="00840391" w14:paraId="68A1EB40" w14:textId="77777777">
            <w:pPr>
              <w:pStyle w:val="BodyText"/>
              <w:ind w:left="720"/>
              <w:rPr>
                <w:sz w:val="20"/>
                <w:lang w:val="en-AU"/>
              </w:rPr>
            </w:pPr>
          </w:p>
          <w:tbl>
            <w:tblPr>
              <w:tblStyle w:val="TableGrid"/>
              <w:tblW w:w="0" w:type="auto"/>
              <w:tblInd w:w="29" w:type="dxa"/>
              <w:tblLayout w:type="fixed"/>
              <w:tblLook w:val="04A0" w:firstRow="1" w:lastRow="0" w:firstColumn="1" w:lastColumn="0" w:noHBand="0" w:noVBand="1"/>
            </w:tblPr>
            <w:tblGrid>
              <w:gridCol w:w="3260"/>
              <w:gridCol w:w="3541"/>
            </w:tblGrid>
            <w:tr w:rsidR="00840391" w:rsidTr="00EE20B3" w14:paraId="77C3599F" w14:textId="77777777">
              <w:tc>
                <w:tcPr>
                  <w:tcW w:w="3260" w:type="dxa"/>
                </w:tcPr>
                <w:p w:rsidRPr="00BB2BAE" w:rsidR="00840391" w:rsidP="00131848" w:rsidRDefault="00840391" w14:paraId="26CAD5C9" w14:textId="77777777">
                  <w:pPr>
                    <w:pStyle w:val="BodyText"/>
                    <w:jc w:val="center"/>
                    <w:rPr>
                      <w:b/>
                      <w:sz w:val="20"/>
                      <w:lang w:val="en-AU"/>
                    </w:rPr>
                  </w:pPr>
                  <w:r w:rsidRPr="00BB2BAE">
                    <w:rPr>
                      <w:b/>
                      <w:sz w:val="20"/>
                      <w:lang w:val="en-AU"/>
                    </w:rPr>
                    <w:t>Anti</w:t>
                  </w:r>
                  <w:r>
                    <w:rPr>
                      <w:b/>
                      <w:sz w:val="20"/>
                      <w:lang w:val="en-AU"/>
                    </w:rPr>
                    <w:t>-</w:t>
                  </w:r>
                  <w:r w:rsidRPr="00BB2BAE">
                    <w:rPr>
                      <w:b/>
                      <w:sz w:val="20"/>
                      <w:lang w:val="en-AU"/>
                    </w:rPr>
                    <w:t>Xa level (</w:t>
                  </w:r>
                  <w:r>
                    <w:rPr>
                      <w:b/>
                      <w:sz w:val="20"/>
                      <w:lang w:val="en-AU"/>
                    </w:rPr>
                    <w:t>unit</w:t>
                  </w:r>
                  <w:r w:rsidRPr="00BB2BAE">
                    <w:rPr>
                      <w:b/>
                      <w:sz w:val="20"/>
                      <w:lang w:val="en-AU"/>
                    </w:rPr>
                    <w:t>/mL)</w:t>
                  </w:r>
                </w:p>
              </w:tc>
              <w:tc>
                <w:tcPr>
                  <w:tcW w:w="3541" w:type="dxa"/>
                </w:tcPr>
                <w:p w:rsidRPr="00BB2BAE" w:rsidR="00840391" w:rsidP="00131848" w:rsidRDefault="00840391" w14:paraId="4E784A33" w14:textId="77777777">
                  <w:pPr>
                    <w:pStyle w:val="BodyText"/>
                    <w:jc w:val="center"/>
                    <w:rPr>
                      <w:b/>
                      <w:sz w:val="20"/>
                      <w:lang w:val="en-AU"/>
                    </w:rPr>
                  </w:pPr>
                  <w:r w:rsidRPr="00BB2BAE">
                    <w:rPr>
                      <w:b/>
                      <w:sz w:val="20"/>
                      <w:lang w:val="en-AU"/>
                    </w:rPr>
                    <w:t>Dose adjustment</w:t>
                  </w:r>
                </w:p>
              </w:tc>
            </w:tr>
            <w:tr w:rsidR="00840391" w:rsidTr="00EE20B3" w14:paraId="7CED5B2F" w14:textId="77777777">
              <w:tc>
                <w:tcPr>
                  <w:tcW w:w="3260" w:type="dxa"/>
                </w:tcPr>
                <w:p w:rsidR="00840391" w:rsidP="00131848" w:rsidRDefault="00840391" w14:paraId="1C521376" w14:textId="77777777">
                  <w:pPr>
                    <w:pStyle w:val="BodyText"/>
                    <w:jc w:val="center"/>
                    <w:rPr>
                      <w:sz w:val="20"/>
                      <w:lang w:val="en-AU"/>
                    </w:rPr>
                  </w:pPr>
                  <w:r>
                    <w:rPr>
                      <w:sz w:val="20"/>
                      <w:lang w:val="en-AU"/>
                    </w:rPr>
                    <w:t>&lt;0.2</w:t>
                  </w:r>
                </w:p>
              </w:tc>
              <w:tc>
                <w:tcPr>
                  <w:tcW w:w="3541" w:type="dxa"/>
                </w:tcPr>
                <w:p w:rsidR="00840391" w:rsidP="00131848" w:rsidRDefault="00840391" w14:paraId="13C16286" w14:textId="77777777">
                  <w:pPr>
                    <w:pStyle w:val="BodyText"/>
                    <w:jc w:val="center"/>
                    <w:rPr>
                      <w:sz w:val="20"/>
                      <w:lang w:val="en-AU"/>
                    </w:rPr>
                  </w:pPr>
                  <w:r>
                    <w:rPr>
                      <w:sz w:val="20"/>
                      <w:lang w:val="en-AU"/>
                    </w:rPr>
                    <w:t>Increase infusion by 5 units/kg/hour</w:t>
                  </w:r>
                </w:p>
              </w:tc>
            </w:tr>
            <w:tr w:rsidR="00840391" w:rsidTr="00EE20B3" w14:paraId="4FC12365" w14:textId="77777777">
              <w:tc>
                <w:tcPr>
                  <w:tcW w:w="3260" w:type="dxa"/>
                </w:tcPr>
                <w:p w:rsidR="00840391" w:rsidP="00131848" w:rsidRDefault="00840391" w14:paraId="38D0163B" w14:textId="77777777">
                  <w:pPr>
                    <w:pStyle w:val="BodyText"/>
                    <w:jc w:val="center"/>
                    <w:rPr>
                      <w:sz w:val="20"/>
                      <w:lang w:val="en-AU"/>
                    </w:rPr>
                  </w:pPr>
                  <w:r>
                    <w:rPr>
                      <w:sz w:val="20"/>
                      <w:lang w:val="en-AU"/>
                    </w:rPr>
                    <w:t>0.2-0.29</w:t>
                  </w:r>
                </w:p>
              </w:tc>
              <w:tc>
                <w:tcPr>
                  <w:tcW w:w="3541" w:type="dxa"/>
                </w:tcPr>
                <w:p w:rsidR="00840391" w:rsidP="00131848" w:rsidRDefault="00840391" w14:paraId="21F1AE87" w14:textId="77777777">
                  <w:pPr>
                    <w:pStyle w:val="BodyText"/>
                    <w:jc w:val="center"/>
                    <w:rPr>
                      <w:sz w:val="20"/>
                      <w:lang w:val="en-AU"/>
                    </w:rPr>
                  </w:pPr>
                  <w:r>
                    <w:rPr>
                      <w:sz w:val="20"/>
                      <w:lang w:val="en-AU"/>
                    </w:rPr>
                    <w:t>I</w:t>
                  </w:r>
                  <w:r w:rsidRPr="00B0127A">
                    <w:rPr>
                      <w:sz w:val="20"/>
                      <w:lang w:val="en-AU"/>
                    </w:rPr>
                    <w:t>ncrease infusion by 5 units/kg/hour</w:t>
                  </w:r>
                </w:p>
              </w:tc>
            </w:tr>
            <w:tr w:rsidR="00840391" w:rsidTr="00EE20B3" w14:paraId="6DA12727" w14:textId="77777777">
              <w:tc>
                <w:tcPr>
                  <w:tcW w:w="3260" w:type="dxa"/>
                </w:tcPr>
                <w:p w:rsidR="00840391" w:rsidP="00131848" w:rsidRDefault="00840391" w14:paraId="3F77B5EE" w14:textId="77777777">
                  <w:pPr>
                    <w:pStyle w:val="BodyText"/>
                    <w:jc w:val="center"/>
                    <w:rPr>
                      <w:sz w:val="20"/>
                      <w:lang w:val="en-AU"/>
                    </w:rPr>
                  </w:pPr>
                  <w:r>
                    <w:rPr>
                      <w:sz w:val="20"/>
                      <w:lang w:val="en-AU"/>
                    </w:rPr>
                    <w:t>0.3-0.7</w:t>
                  </w:r>
                </w:p>
              </w:tc>
              <w:tc>
                <w:tcPr>
                  <w:tcW w:w="3541" w:type="dxa"/>
                </w:tcPr>
                <w:p w:rsidR="00840391" w:rsidP="00131848" w:rsidRDefault="00840391" w14:paraId="6E8B35F0" w14:textId="77777777">
                  <w:pPr>
                    <w:pStyle w:val="BodyText"/>
                    <w:jc w:val="center"/>
                    <w:rPr>
                      <w:sz w:val="20"/>
                      <w:lang w:val="en-AU"/>
                    </w:rPr>
                  </w:pPr>
                  <w:r>
                    <w:rPr>
                      <w:sz w:val="20"/>
                      <w:lang w:val="en-AU"/>
                    </w:rPr>
                    <w:t>No change</w:t>
                  </w:r>
                </w:p>
              </w:tc>
            </w:tr>
            <w:tr w:rsidR="00840391" w:rsidTr="00EE20B3" w14:paraId="1086B0AE" w14:textId="77777777">
              <w:tc>
                <w:tcPr>
                  <w:tcW w:w="3260" w:type="dxa"/>
                </w:tcPr>
                <w:p w:rsidR="00840391" w:rsidP="00131848" w:rsidRDefault="00840391" w14:paraId="5A6803D2" w14:textId="77777777">
                  <w:pPr>
                    <w:pStyle w:val="BodyText"/>
                    <w:jc w:val="center"/>
                    <w:rPr>
                      <w:sz w:val="20"/>
                      <w:lang w:val="en-AU"/>
                    </w:rPr>
                  </w:pPr>
                  <w:r>
                    <w:rPr>
                      <w:sz w:val="20"/>
                      <w:lang w:val="en-AU"/>
                    </w:rPr>
                    <w:t>&gt;0.7</w:t>
                  </w:r>
                  <w:r>
                    <w:rPr>
                      <w:rFonts w:cs="Calibri"/>
                      <w:sz w:val="20"/>
                      <w:lang w:val="en-AU"/>
                    </w:rPr>
                    <w:t>≤</w:t>
                  </w:r>
                  <w:r>
                    <w:rPr>
                      <w:sz w:val="20"/>
                      <w:lang w:val="en-AU"/>
                    </w:rPr>
                    <w:t>1.0</w:t>
                  </w:r>
                </w:p>
              </w:tc>
              <w:tc>
                <w:tcPr>
                  <w:tcW w:w="3541" w:type="dxa"/>
                </w:tcPr>
                <w:p w:rsidR="00840391" w:rsidP="00131848" w:rsidRDefault="00840391" w14:paraId="6367647B" w14:textId="77777777">
                  <w:pPr>
                    <w:pStyle w:val="BodyText"/>
                    <w:jc w:val="center"/>
                    <w:rPr>
                      <w:sz w:val="20"/>
                      <w:lang w:val="en-AU"/>
                    </w:rPr>
                  </w:pPr>
                  <w:r>
                    <w:rPr>
                      <w:sz w:val="20"/>
                      <w:lang w:val="en-AU"/>
                    </w:rPr>
                    <w:t>Decrease infusion</w:t>
                  </w:r>
                  <w:r w:rsidRPr="00B0127A">
                    <w:rPr>
                      <w:sz w:val="20"/>
                      <w:lang w:val="en-AU"/>
                    </w:rPr>
                    <w:t xml:space="preserve"> by 2 unit/kg/hr</w:t>
                  </w:r>
                </w:p>
              </w:tc>
            </w:tr>
            <w:tr w:rsidR="00840391" w:rsidTr="00EE20B3" w14:paraId="14B940C4" w14:textId="77777777">
              <w:tc>
                <w:tcPr>
                  <w:tcW w:w="3260" w:type="dxa"/>
                </w:tcPr>
                <w:p w:rsidR="00840391" w:rsidP="00131848" w:rsidRDefault="00840391" w14:paraId="1A34CF91" w14:textId="77777777">
                  <w:pPr>
                    <w:pStyle w:val="BodyText"/>
                    <w:jc w:val="center"/>
                    <w:rPr>
                      <w:sz w:val="20"/>
                      <w:lang w:val="en-AU"/>
                    </w:rPr>
                  </w:pPr>
                  <w:r>
                    <w:rPr>
                      <w:sz w:val="20"/>
                      <w:lang w:val="en-AU"/>
                    </w:rPr>
                    <w:t>&gt;1</w:t>
                  </w:r>
                </w:p>
              </w:tc>
              <w:tc>
                <w:tcPr>
                  <w:tcW w:w="3541" w:type="dxa"/>
                </w:tcPr>
                <w:p w:rsidR="00840391" w:rsidP="00131848" w:rsidRDefault="00840391" w14:paraId="770BA4AC" w14:textId="77777777">
                  <w:pPr>
                    <w:pStyle w:val="BodyText"/>
                    <w:jc w:val="center"/>
                    <w:rPr>
                      <w:sz w:val="20"/>
                      <w:lang w:val="en-AU"/>
                    </w:rPr>
                  </w:pPr>
                  <w:r>
                    <w:rPr>
                      <w:sz w:val="20"/>
                      <w:lang w:val="en-AU"/>
                    </w:rPr>
                    <w:t>Seek advice from haematologist</w:t>
                  </w:r>
                </w:p>
              </w:tc>
            </w:tr>
            <w:tr w:rsidR="00840391" w:rsidTr="00EE20B3" w14:paraId="04D784C6" w14:textId="77777777">
              <w:tc>
                <w:tcPr>
                  <w:tcW w:w="6801" w:type="dxa"/>
                  <w:gridSpan w:val="2"/>
                </w:tcPr>
                <w:p w:rsidR="00840391" w:rsidP="00131848" w:rsidRDefault="00840391" w14:paraId="21F6506F" w14:textId="77777777">
                  <w:pPr>
                    <w:pStyle w:val="BodyText"/>
                    <w:rPr>
                      <w:sz w:val="20"/>
                      <w:lang w:val="en-AU"/>
                    </w:rPr>
                  </w:pPr>
                  <w:r>
                    <w:rPr>
                      <w:sz w:val="20"/>
                      <w:lang w:val="en-AU"/>
                    </w:rPr>
                    <w:lastRenderedPageBreak/>
                    <w:t xml:space="preserve">Measure anti-Xa levels 6 hours after commencing heparin and then 6 hourly until two consequent values are within therapeutic range. </w:t>
                  </w:r>
                  <w:r w:rsidRPr="0088408A">
                    <w:rPr>
                      <w:sz w:val="20"/>
                      <w:lang w:val="en-AU"/>
                    </w:rPr>
                    <w:t>After every heparin adjustment or</w:t>
                  </w:r>
                  <w:r>
                    <w:rPr>
                      <w:sz w:val="20"/>
                      <w:lang w:val="en-AU"/>
                    </w:rPr>
                    <w:t xml:space="preserve"> a </w:t>
                  </w:r>
                  <w:r w:rsidRPr="0088408A">
                    <w:rPr>
                      <w:sz w:val="20"/>
                      <w:lang w:val="en-AU"/>
                    </w:rPr>
                    <w:t>blood produc</w:t>
                  </w:r>
                  <w:r>
                    <w:rPr>
                      <w:sz w:val="20"/>
                      <w:lang w:val="en-AU"/>
                    </w:rPr>
                    <w:t>t administration, the anti-Xa level should be</w:t>
                  </w:r>
                  <w:r w:rsidRPr="0088408A">
                    <w:rPr>
                      <w:sz w:val="20"/>
                      <w:lang w:val="en-AU"/>
                    </w:rPr>
                    <w:t xml:space="preserve"> checked again in</w:t>
                  </w:r>
                  <w:r>
                    <w:rPr>
                      <w:sz w:val="20"/>
                      <w:lang w:val="en-AU"/>
                    </w:rPr>
                    <w:t xml:space="preserve"> 6 hours and discuss with haematologist on frequency of further monitoring. </w:t>
                  </w:r>
                </w:p>
                <w:p w:rsidR="00840391" w:rsidP="00131848" w:rsidRDefault="00840391" w14:paraId="017872C4" w14:textId="77777777">
                  <w:pPr>
                    <w:pStyle w:val="BodyText"/>
                    <w:rPr>
                      <w:sz w:val="20"/>
                      <w:lang w:val="en-AU"/>
                    </w:rPr>
                  </w:pPr>
                  <w:r w:rsidRPr="007F62DF">
                    <w:rPr>
                      <w:sz w:val="20"/>
                      <w:lang w:val="en-AU"/>
                    </w:rPr>
                    <w:t>PT/INR, PTT, fibrinogen, platelet count, and ATII</w:t>
                  </w:r>
                  <w:r>
                    <w:rPr>
                      <w:sz w:val="20"/>
                      <w:lang w:val="en-AU"/>
                    </w:rPr>
                    <w:t>I</w:t>
                  </w:r>
                  <w:r w:rsidRPr="007F62DF">
                    <w:rPr>
                      <w:sz w:val="20"/>
                      <w:lang w:val="en-AU"/>
                    </w:rPr>
                    <w:t xml:space="preserve"> levels are</w:t>
                  </w:r>
                  <w:r>
                    <w:rPr>
                      <w:sz w:val="20"/>
                      <w:lang w:val="en-AU"/>
                    </w:rPr>
                    <w:t xml:space="preserve"> </w:t>
                  </w:r>
                  <w:r w:rsidRPr="007F62DF">
                    <w:rPr>
                      <w:sz w:val="20"/>
                      <w:lang w:val="en-AU"/>
                    </w:rPr>
                    <w:t>measured</w:t>
                  </w:r>
                  <w:r>
                    <w:rPr>
                      <w:sz w:val="20"/>
                      <w:lang w:val="en-AU"/>
                    </w:rPr>
                    <w:t xml:space="preserve"> daily or as advised by the haematologist</w:t>
                  </w:r>
                  <w:r w:rsidRPr="007F62DF">
                    <w:rPr>
                      <w:sz w:val="20"/>
                      <w:lang w:val="en-AU"/>
                    </w:rPr>
                    <w:t>.</w:t>
                  </w:r>
                </w:p>
              </w:tc>
            </w:tr>
          </w:tbl>
          <w:p w:rsidR="00840391" w:rsidP="00131848" w:rsidRDefault="00840391" w14:paraId="5B0D62EA" w14:textId="77777777">
            <w:pPr>
              <w:pStyle w:val="BodyText"/>
              <w:ind w:left="720"/>
              <w:rPr>
                <w:sz w:val="20"/>
                <w:lang w:val="en-AU"/>
              </w:rPr>
            </w:pPr>
          </w:p>
          <w:p w:rsidRPr="00560542" w:rsidR="00840391" w:rsidP="00131848" w:rsidRDefault="00840391" w14:paraId="2B989F2E" w14:textId="77777777">
            <w:pPr>
              <w:pStyle w:val="BodyText"/>
              <w:ind w:left="720"/>
              <w:rPr>
                <w:sz w:val="20"/>
                <w:lang w:val="en-AU"/>
              </w:rPr>
            </w:pPr>
            <w:r>
              <w:rPr>
                <w:sz w:val="20"/>
                <w:lang w:val="en-AU"/>
              </w:rPr>
              <w:t>If anti-Xa levels are not available, APTT can be used to guide heparin dosing (Table 2).</w:t>
            </w:r>
          </w:p>
          <w:p w:rsidR="00840391" w:rsidP="00131848" w:rsidRDefault="00840391" w14:paraId="191F7F14" w14:textId="77777777">
            <w:pPr>
              <w:pStyle w:val="BodyText"/>
              <w:ind w:left="720"/>
              <w:rPr>
                <w:sz w:val="20"/>
              </w:rPr>
            </w:pPr>
          </w:p>
          <w:p w:rsidRPr="009A23C8" w:rsidR="00840391" w:rsidP="00131848" w:rsidRDefault="00840391" w14:paraId="685AF429" w14:textId="77777777">
            <w:pPr>
              <w:pStyle w:val="BodyText"/>
              <w:ind w:left="720"/>
              <w:rPr>
                <w:b/>
                <w:sz w:val="20"/>
                <w:lang w:val="en-AU"/>
              </w:rPr>
            </w:pPr>
            <w:r w:rsidRPr="009A23C8">
              <w:rPr>
                <w:b/>
                <w:sz w:val="20"/>
                <w:lang w:val="en-AU"/>
              </w:rPr>
              <w:t xml:space="preserve">Table 2. Heparin dosing based on </w:t>
            </w:r>
            <w:r>
              <w:rPr>
                <w:b/>
                <w:sz w:val="20"/>
                <w:lang w:val="en-AU"/>
              </w:rPr>
              <w:t>A</w:t>
            </w:r>
            <w:r w:rsidRPr="009A23C8">
              <w:rPr>
                <w:b/>
                <w:sz w:val="20"/>
                <w:lang w:val="en-AU"/>
              </w:rPr>
              <w:t>PTT levels (therapeutic range 60-85 sec</w:t>
            </w:r>
            <w:r>
              <w:rPr>
                <w:b/>
                <w:sz w:val="20"/>
                <w:lang w:val="en-AU"/>
              </w:rPr>
              <w:t>onds</w:t>
            </w:r>
            <w:r w:rsidRPr="009A23C8">
              <w:rPr>
                <w:b/>
                <w:sz w:val="20"/>
                <w:lang w:val="en-AU"/>
              </w:rPr>
              <w:t>).</w:t>
            </w:r>
            <w:r w:rsidRPr="009A23C8">
              <w:rPr>
                <w:b/>
                <w:sz w:val="20"/>
                <w:vertAlign w:val="superscript"/>
                <w:lang w:val="en-AU"/>
              </w:rPr>
              <w:t>1,4</w:t>
            </w:r>
            <w:r w:rsidRPr="009A23C8">
              <w:rPr>
                <w:b/>
                <w:sz w:val="20"/>
                <w:lang w:val="en-AU"/>
              </w:rPr>
              <w:t xml:space="preserve"> </w:t>
            </w:r>
          </w:p>
          <w:p w:rsidRPr="00FD4C91" w:rsidR="00840391" w:rsidP="00131848" w:rsidRDefault="00840391" w14:paraId="0455B731" w14:textId="77777777">
            <w:pPr>
              <w:pStyle w:val="BodyText"/>
              <w:ind w:left="720"/>
              <w:rPr>
                <w:sz w:val="20"/>
              </w:rPr>
            </w:pPr>
          </w:p>
          <w:tbl>
            <w:tblPr>
              <w:tblW w:w="6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35"/>
              <w:gridCol w:w="1134"/>
              <w:gridCol w:w="1134"/>
              <w:gridCol w:w="1559"/>
              <w:gridCol w:w="1338"/>
            </w:tblGrid>
            <w:tr w:rsidRPr="00FD4C91" w:rsidR="00840391" w:rsidTr="00EE20B3" w14:paraId="493596C6" w14:textId="77777777">
              <w:trPr>
                <w:jc w:val="center"/>
              </w:trPr>
              <w:tc>
                <w:tcPr>
                  <w:tcW w:w="1435" w:type="dxa"/>
                  <w:shd w:val="clear" w:color="auto" w:fill="auto"/>
                </w:tcPr>
                <w:p w:rsidRPr="007C6FFF" w:rsidR="00840391" w:rsidP="00131848" w:rsidRDefault="00840391" w14:paraId="676194A9" w14:textId="77777777">
                  <w:pPr>
                    <w:pStyle w:val="BodyText"/>
                    <w:jc w:val="center"/>
                    <w:rPr>
                      <w:sz w:val="20"/>
                      <w:lang w:val="en-US"/>
                    </w:rPr>
                  </w:pPr>
                  <w:r>
                    <w:rPr>
                      <w:sz w:val="20"/>
                      <w:lang w:val="en-AU"/>
                    </w:rPr>
                    <w:t>A</w:t>
                  </w:r>
                  <w:r w:rsidRPr="00FD4C91">
                    <w:rPr>
                      <w:sz w:val="20"/>
                    </w:rPr>
                    <w:t>PT</w:t>
                  </w:r>
                  <w:r>
                    <w:rPr>
                      <w:sz w:val="20"/>
                      <w:lang w:val="en-US"/>
                    </w:rPr>
                    <w:t>T</w:t>
                  </w:r>
                  <w:r w:rsidRPr="00FD4C91">
                    <w:rPr>
                      <w:sz w:val="20"/>
                    </w:rPr>
                    <w:t xml:space="preserve"> </w:t>
                  </w:r>
                  <w:r>
                    <w:rPr>
                      <w:sz w:val="20"/>
                      <w:lang w:val="en-US"/>
                    </w:rPr>
                    <w:t>(</w:t>
                  </w:r>
                  <w:r w:rsidRPr="00FD4C91">
                    <w:rPr>
                      <w:sz w:val="20"/>
                    </w:rPr>
                    <w:t>seconds</w:t>
                  </w:r>
                  <w:r>
                    <w:rPr>
                      <w:sz w:val="20"/>
                      <w:lang w:val="en-US"/>
                    </w:rPr>
                    <w:t>)</w:t>
                  </w:r>
                </w:p>
              </w:tc>
              <w:tc>
                <w:tcPr>
                  <w:tcW w:w="1134" w:type="dxa"/>
                  <w:shd w:val="clear" w:color="auto" w:fill="auto"/>
                </w:tcPr>
                <w:p w:rsidRPr="007C6FFF" w:rsidR="00840391" w:rsidP="00131848" w:rsidRDefault="00840391" w14:paraId="25910AA3" w14:textId="77777777">
                  <w:pPr>
                    <w:pStyle w:val="BodyText"/>
                    <w:jc w:val="center"/>
                    <w:rPr>
                      <w:sz w:val="20"/>
                      <w:lang w:val="en-US"/>
                    </w:rPr>
                  </w:pPr>
                  <w:r w:rsidRPr="00FD4C91">
                    <w:rPr>
                      <w:sz w:val="20"/>
                    </w:rPr>
                    <w:t>Bolus</w:t>
                  </w:r>
                  <w:r>
                    <w:rPr>
                      <w:sz w:val="20"/>
                      <w:lang w:val="en-US"/>
                    </w:rPr>
                    <w:t xml:space="preserve"> (</w:t>
                  </w:r>
                  <w:r w:rsidRPr="00FD4C91">
                    <w:rPr>
                      <w:sz w:val="20"/>
                    </w:rPr>
                    <w:t>units/kg</w:t>
                  </w:r>
                  <w:r>
                    <w:rPr>
                      <w:sz w:val="20"/>
                      <w:lang w:val="en-US"/>
                    </w:rPr>
                    <w:t>)</w:t>
                  </w:r>
                </w:p>
              </w:tc>
              <w:tc>
                <w:tcPr>
                  <w:tcW w:w="1134" w:type="dxa"/>
                  <w:shd w:val="clear" w:color="auto" w:fill="auto"/>
                </w:tcPr>
                <w:p w:rsidRPr="007C6FFF" w:rsidR="00840391" w:rsidP="00131848" w:rsidRDefault="00840391" w14:paraId="4851D0A1" w14:textId="77777777">
                  <w:pPr>
                    <w:pStyle w:val="BodyText"/>
                    <w:jc w:val="center"/>
                    <w:rPr>
                      <w:sz w:val="20"/>
                      <w:lang w:val="en-US"/>
                    </w:rPr>
                  </w:pPr>
                  <w:r w:rsidRPr="00FD4C91">
                    <w:rPr>
                      <w:sz w:val="20"/>
                    </w:rPr>
                    <w:t>Hold</w:t>
                  </w:r>
                  <w:r>
                    <w:rPr>
                      <w:sz w:val="20"/>
                      <w:lang w:val="en-US"/>
                    </w:rPr>
                    <w:t xml:space="preserve"> (</w:t>
                  </w:r>
                  <w:r w:rsidRPr="00FD4C91">
                    <w:rPr>
                      <w:sz w:val="20"/>
                    </w:rPr>
                    <w:t>min</w:t>
                  </w:r>
                  <w:r>
                    <w:rPr>
                      <w:sz w:val="20"/>
                      <w:lang w:val="en-US"/>
                    </w:rPr>
                    <w:t>)</w:t>
                  </w:r>
                </w:p>
              </w:tc>
              <w:tc>
                <w:tcPr>
                  <w:tcW w:w="1559" w:type="dxa"/>
                  <w:shd w:val="clear" w:color="auto" w:fill="auto"/>
                </w:tcPr>
                <w:p w:rsidRPr="007C6FFF" w:rsidR="00840391" w:rsidP="00131848" w:rsidRDefault="00840391" w14:paraId="05BD79EC" w14:textId="77777777">
                  <w:pPr>
                    <w:pStyle w:val="BodyText"/>
                    <w:jc w:val="center"/>
                    <w:rPr>
                      <w:sz w:val="20"/>
                      <w:lang w:val="en-US"/>
                    </w:rPr>
                  </w:pPr>
                  <w:r w:rsidRPr="00FD4C91">
                    <w:rPr>
                      <w:sz w:val="20"/>
                    </w:rPr>
                    <w:t>Rate change</w:t>
                  </w:r>
                  <w:r>
                    <w:rPr>
                      <w:sz w:val="20"/>
                      <w:lang w:val="en-US"/>
                    </w:rPr>
                    <w:t xml:space="preserve"> (%)</w:t>
                  </w:r>
                </w:p>
              </w:tc>
              <w:tc>
                <w:tcPr>
                  <w:tcW w:w="1338" w:type="dxa"/>
                  <w:shd w:val="clear" w:color="auto" w:fill="auto"/>
                </w:tcPr>
                <w:p w:rsidRPr="007C6FFF" w:rsidR="00840391" w:rsidP="00131848" w:rsidRDefault="00840391" w14:paraId="50FB0682" w14:textId="77777777">
                  <w:pPr>
                    <w:pStyle w:val="BodyText"/>
                    <w:jc w:val="center"/>
                    <w:rPr>
                      <w:sz w:val="20"/>
                      <w:lang w:val="en-US"/>
                    </w:rPr>
                  </w:pPr>
                  <w:r>
                    <w:rPr>
                      <w:sz w:val="20"/>
                      <w:lang w:val="en-US"/>
                    </w:rPr>
                    <w:t xml:space="preserve">Time until </w:t>
                  </w:r>
                  <w:r w:rsidRPr="00FD4C91">
                    <w:rPr>
                      <w:sz w:val="20"/>
                    </w:rPr>
                    <w:t xml:space="preserve">repeat </w:t>
                  </w:r>
                  <w:r>
                    <w:rPr>
                      <w:sz w:val="20"/>
                      <w:lang w:val="en-AU"/>
                    </w:rPr>
                    <w:t>A</w:t>
                  </w:r>
                  <w:r w:rsidRPr="00FD4C91">
                    <w:rPr>
                      <w:sz w:val="20"/>
                    </w:rPr>
                    <w:t>PTT</w:t>
                  </w:r>
                </w:p>
              </w:tc>
            </w:tr>
            <w:tr w:rsidRPr="00FD4C91" w:rsidR="00840391" w:rsidTr="00EE20B3" w14:paraId="62B10D87" w14:textId="77777777">
              <w:trPr>
                <w:jc w:val="center"/>
              </w:trPr>
              <w:tc>
                <w:tcPr>
                  <w:tcW w:w="1435" w:type="dxa"/>
                  <w:shd w:val="clear" w:color="auto" w:fill="auto"/>
                </w:tcPr>
                <w:p w:rsidRPr="00FD4C91" w:rsidR="00840391" w:rsidP="00131848" w:rsidRDefault="00840391" w14:paraId="27E5F2D6" w14:textId="77777777">
                  <w:pPr>
                    <w:pStyle w:val="BodyText"/>
                    <w:jc w:val="center"/>
                    <w:rPr>
                      <w:sz w:val="20"/>
                    </w:rPr>
                  </w:pPr>
                  <w:r w:rsidRPr="00FD4C91">
                    <w:rPr>
                      <w:sz w:val="20"/>
                    </w:rPr>
                    <w:t>&lt;50</w:t>
                  </w:r>
                </w:p>
              </w:tc>
              <w:tc>
                <w:tcPr>
                  <w:tcW w:w="1134" w:type="dxa"/>
                  <w:shd w:val="clear" w:color="auto" w:fill="auto"/>
                </w:tcPr>
                <w:p w:rsidRPr="00FD4C91" w:rsidR="00840391" w:rsidP="00131848" w:rsidRDefault="00840391" w14:paraId="3BA1CB77" w14:textId="77777777">
                  <w:pPr>
                    <w:pStyle w:val="BodyText"/>
                    <w:jc w:val="center"/>
                    <w:rPr>
                      <w:sz w:val="20"/>
                    </w:rPr>
                  </w:pPr>
                  <w:r w:rsidRPr="00FD4C91">
                    <w:rPr>
                      <w:sz w:val="20"/>
                    </w:rPr>
                    <w:t>50</w:t>
                  </w:r>
                </w:p>
              </w:tc>
              <w:tc>
                <w:tcPr>
                  <w:tcW w:w="1134" w:type="dxa"/>
                  <w:shd w:val="clear" w:color="auto" w:fill="auto"/>
                </w:tcPr>
                <w:p w:rsidRPr="00FD4C91" w:rsidR="00840391" w:rsidP="00131848" w:rsidRDefault="00840391" w14:paraId="49077842" w14:textId="77777777">
                  <w:pPr>
                    <w:pStyle w:val="BodyText"/>
                    <w:jc w:val="center"/>
                    <w:rPr>
                      <w:sz w:val="20"/>
                    </w:rPr>
                  </w:pPr>
                  <w:r w:rsidRPr="00FD4C91">
                    <w:rPr>
                      <w:sz w:val="20"/>
                    </w:rPr>
                    <w:t>0</w:t>
                  </w:r>
                </w:p>
              </w:tc>
              <w:tc>
                <w:tcPr>
                  <w:tcW w:w="1559" w:type="dxa"/>
                  <w:shd w:val="clear" w:color="auto" w:fill="auto"/>
                </w:tcPr>
                <w:p w:rsidRPr="00FD4C91" w:rsidR="00840391" w:rsidP="00131848" w:rsidRDefault="00840391" w14:paraId="3E9D689F" w14:textId="77777777">
                  <w:pPr>
                    <w:pStyle w:val="BodyText"/>
                    <w:jc w:val="center"/>
                    <w:rPr>
                      <w:sz w:val="20"/>
                    </w:rPr>
                  </w:pPr>
                  <w:r w:rsidRPr="00FD4C91">
                    <w:rPr>
                      <w:sz w:val="20"/>
                    </w:rPr>
                    <w:t>+10</w:t>
                  </w:r>
                </w:p>
              </w:tc>
              <w:tc>
                <w:tcPr>
                  <w:tcW w:w="1338" w:type="dxa"/>
                  <w:shd w:val="clear" w:color="auto" w:fill="auto"/>
                </w:tcPr>
                <w:p w:rsidRPr="008616C1" w:rsidR="00840391" w:rsidP="00131848" w:rsidRDefault="00840391" w14:paraId="37C38423" w14:textId="77777777">
                  <w:pPr>
                    <w:pStyle w:val="BodyText"/>
                    <w:jc w:val="center"/>
                    <w:rPr>
                      <w:sz w:val="20"/>
                      <w:lang w:val="en-AU"/>
                    </w:rPr>
                  </w:pPr>
                  <w:r>
                    <w:rPr>
                      <w:sz w:val="20"/>
                      <w:lang w:val="en-AU"/>
                    </w:rPr>
                    <w:t>6</w:t>
                  </w:r>
                  <w:r w:rsidRPr="00FD4C91">
                    <w:rPr>
                      <w:sz w:val="20"/>
                    </w:rPr>
                    <w:t xml:space="preserve"> h</w:t>
                  </w:r>
                </w:p>
              </w:tc>
            </w:tr>
            <w:tr w:rsidRPr="00FD4C91" w:rsidR="00840391" w:rsidTr="00EE20B3" w14:paraId="17246433" w14:textId="77777777">
              <w:trPr>
                <w:jc w:val="center"/>
              </w:trPr>
              <w:tc>
                <w:tcPr>
                  <w:tcW w:w="1435" w:type="dxa"/>
                  <w:shd w:val="clear" w:color="auto" w:fill="auto"/>
                </w:tcPr>
                <w:p w:rsidRPr="00FD4C91" w:rsidR="00840391" w:rsidP="00131848" w:rsidRDefault="00840391" w14:paraId="3D60D394" w14:textId="77777777">
                  <w:pPr>
                    <w:pStyle w:val="BodyText"/>
                    <w:jc w:val="center"/>
                    <w:rPr>
                      <w:sz w:val="20"/>
                    </w:rPr>
                  </w:pPr>
                  <w:r w:rsidRPr="00FD4C91">
                    <w:rPr>
                      <w:sz w:val="20"/>
                    </w:rPr>
                    <w:t>50-59</w:t>
                  </w:r>
                </w:p>
              </w:tc>
              <w:tc>
                <w:tcPr>
                  <w:tcW w:w="1134" w:type="dxa"/>
                  <w:shd w:val="clear" w:color="auto" w:fill="auto"/>
                </w:tcPr>
                <w:p w:rsidRPr="00FD4C91" w:rsidR="00840391" w:rsidP="00131848" w:rsidRDefault="00840391" w14:paraId="46A19EF2" w14:textId="77777777">
                  <w:pPr>
                    <w:pStyle w:val="BodyText"/>
                    <w:jc w:val="center"/>
                    <w:rPr>
                      <w:sz w:val="20"/>
                    </w:rPr>
                  </w:pPr>
                  <w:r w:rsidRPr="00FD4C91">
                    <w:rPr>
                      <w:sz w:val="20"/>
                    </w:rPr>
                    <w:t>0</w:t>
                  </w:r>
                </w:p>
              </w:tc>
              <w:tc>
                <w:tcPr>
                  <w:tcW w:w="1134" w:type="dxa"/>
                  <w:shd w:val="clear" w:color="auto" w:fill="auto"/>
                </w:tcPr>
                <w:p w:rsidRPr="00FD4C91" w:rsidR="00840391" w:rsidP="00131848" w:rsidRDefault="00840391" w14:paraId="415B7D03" w14:textId="77777777">
                  <w:pPr>
                    <w:pStyle w:val="BodyText"/>
                    <w:jc w:val="center"/>
                    <w:rPr>
                      <w:sz w:val="20"/>
                    </w:rPr>
                  </w:pPr>
                  <w:r w:rsidRPr="00FD4C91">
                    <w:rPr>
                      <w:sz w:val="20"/>
                    </w:rPr>
                    <w:t>0</w:t>
                  </w:r>
                </w:p>
              </w:tc>
              <w:tc>
                <w:tcPr>
                  <w:tcW w:w="1559" w:type="dxa"/>
                  <w:shd w:val="clear" w:color="auto" w:fill="auto"/>
                </w:tcPr>
                <w:p w:rsidRPr="00FD4C91" w:rsidR="00840391" w:rsidP="00131848" w:rsidRDefault="00840391" w14:paraId="6DD7A06C" w14:textId="77777777">
                  <w:pPr>
                    <w:pStyle w:val="BodyText"/>
                    <w:jc w:val="center"/>
                    <w:rPr>
                      <w:sz w:val="20"/>
                    </w:rPr>
                  </w:pPr>
                  <w:r w:rsidRPr="00FD4C91">
                    <w:rPr>
                      <w:sz w:val="20"/>
                    </w:rPr>
                    <w:t>+10</w:t>
                  </w:r>
                </w:p>
              </w:tc>
              <w:tc>
                <w:tcPr>
                  <w:tcW w:w="1338" w:type="dxa"/>
                  <w:shd w:val="clear" w:color="auto" w:fill="auto"/>
                </w:tcPr>
                <w:p w:rsidRPr="00FD4C91" w:rsidR="00840391" w:rsidP="00131848" w:rsidRDefault="00840391" w14:paraId="04324241" w14:textId="77777777">
                  <w:pPr>
                    <w:pStyle w:val="BodyText"/>
                    <w:jc w:val="center"/>
                    <w:rPr>
                      <w:sz w:val="20"/>
                    </w:rPr>
                  </w:pPr>
                  <w:r>
                    <w:rPr>
                      <w:sz w:val="20"/>
                      <w:lang w:val="en-AU"/>
                    </w:rPr>
                    <w:t>6</w:t>
                  </w:r>
                  <w:r w:rsidRPr="00FD4C91">
                    <w:rPr>
                      <w:sz w:val="20"/>
                    </w:rPr>
                    <w:t xml:space="preserve"> h</w:t>
                  </w:r>
                </w:p>
              </w:tc>
            </w:tr>
            <w:tr w:rsidRPr="00FD4C91" w:rsidR="00840391" w:rsidTr="00EE20B3" w14:paraId="40E21F48" w14:textId="77777777">
              <w:trPr>
                <w:jc w:val="center"/>
              </w:trPr>
              <w:tc>
                <w:tcPr>
                  <w:tcW w:w="1435" w:type="dxa"/>
                  <w:shd w:val="clear" w:color="auto" w:fill="auto"/>
                </w:tcPr>
                <w:p w:rsidRPr="00FD4C91" w:rsidR="00840391" w:rsidP="00131848" w:rsidRDefault="00840391" w14:paraId="6A24AEEC" w14:textId="77777777">
                  <w:pPr>
                    <w:pStyle w:val="BodyText"/>
                    <w:jc w:val="center"/>
                    <w:rPr>
                      <w:sz w:val="20"/>
                    </w:rPr>
                  </w:pPr>
                  <w:r w:rsidRPr="00FD4C91">
                    <w:rPr>
                      <w:sz w:val="20"/>
                    </w:rPr>
                    <w:t>60-85</w:t>
                  </w:r>
                </w:p>
              </w:tc>
              <w:tc>
                <w:tcPr>
                  <w:tcW w:w="1134" w:type="dxa"/>
                  <w:shd w:val="clear" w:color="auto" w:fill="auto"/>
                </w:tcPr>
                <w:p w:rsidRPr="00FD4C91" w:rsidR="00840391" w:rsidP="00131848" w:rsidRDefault="00840391" w14:paraId="1C578EFE" w14:textId="77777777">
                  <w:pPr>
                    <w:pStyle w:val="BodyText"/>
                    <w:jc w:val="center"/>
                    <w:rPr>
                      <w:sz w:val="20"/>
                    </w:rPr>
                  </w:pPr>
                  <w:r w:rsidRPr="00FD4C91">
                    <w:rPr>
                      <w:sz w:val="20"/>
                    </w:rPr>
                    <w:t>0</w:t>
                  </w:r>
                </w:p>
              </w:tc>
              <w:tc>
                <w:tcPr>
                  <w:tcW w:w="1134" w:type="dxa"/>
                  <w:shd w:val="clear" w:color="auto" w:fill="auto"/>
                </w:tcPr>
                <w:p w:rsidRPr="00FD4C91" w:rsidR="00840391" w:rsidP="00131848" w:rsidRDefault="00840391" w14:paraId="66157865" w14:textId="77777777">
                  <w:pPr>
                    <w:pStyle w:val="BodyText"/>
                    <w:jc w:val="center"/>
                    <w:rPr>
                      <w:sz w:val="20"/>
                    </w:rPr>
                  </w:pPr>
                  <w:r w:rsidRPr="00FD4C91">
                    <w:rPr>
                      <w:sz w:val="20"/>
                    </w:rPr>
                    <w:t>0</w:t>
                  </w:r>
                </w:p>
              </w:tc>
              <w:tc>
                <w:tcPr>
                  <w:tcW w:w="1559" w:type="dxa"/>
                  <w:shd w:val="clear" w:color="auto" w:fill="auto"/>
                </w:tcPr>
                <w:p w:rsidRPr="007C6FFF" w:rsidR="00840391" w:rsidP="00131848" w:rsidRDefault="00840391" w14:paraId="60B89787" w14:textId="77777777">
                  <w:pPr>
                    <w:pStyle w:val="BodyText"/>
                    <w:jc w:val="center"/>
                    <w:rPr>
                      <w:sz w:val="20"/>
                      <w:lang w:val="en-AU"/>
                    </w:rPr>
                  </w:pPr>
                  <w:r>
                    <w:rPr>
                      <w:sz w:val="20"/>
                      <w:lang w:val="en-AU"/>
                    </w:rPr>
                    <w:t>No change</w:t>
                  </w:r>
                </w:p>
              </w:tc>
              <w:tc>
                <w:tcPr>
                  <w:tcW w:w="1338" w:type="dxa"/>
                  <w:shd w:val="clear" w:color="auto" w:fill="auto"/>
                </w:tcPr>
                <w:p w:rsidRPr="00FD4C91" w:rsidR="00840391" w:rsidP="00131848" w:rsidRDefault="00840391" w14:paraId="2499F1E8" w14:textId="77777777">
                  <w:pPr>
                    <w:pStyle w:val="BodyText"/>
                    <w:jc w:val="center"/>
                    <w:rPr>
                      <w:sz w:val="20"/>
                    </w:rPr>
                  </w:pPr>
                  <w:r w:rsidRPr="00FD4C91">
                    <w:rPr>
                      <w:sz w:val="20"/>
                    </w:rPr>
                    <w:t>Next day or as per haematologist advice</w:t>
                  </w:r>
                </w:p>
              </w:tc>
            </w:tr>
            <w:tr w:rsidRPr="00FD4C91" w:rsidR="00840391" w:rsidTr="00EE20B3" w14:paraId="45CBA9A6" w14:textId="77777777">
              <w:trPr>
                <w:jc w:val="center"/>
              </w:trPr>
              <w:tc>
                <w:tcPr>
                  <w:tcW w:w="1435" w:type="dxa"/>
                  <w:shd w:val="clear" w:color="auto" w:fill="auto"/>
                </w:tcPr>
                <w:p w:rsidRPr="00FD4C91" w:rsidR="00840391" w:rsidP="00131848" w:rsidRDefault="00840391" w14:paraId="3DD6EA5E" w14:textId="77777777">
                  <w:pPr>
                    <w:pStyle w:val="BodyText"/>
                    <w:jc w:val="center"/>
                    <w:rPr>
                      <w:sz w:val="20"/>
                    </w:rPr>
                  </w:pPr>
                  <w:r w:rsidRPr="00FD4C91">
                    <w:rPr>
                      <w:sz w:val="20"/>
                    </w:rPr>
                    <w:t>86-95</w:t>
                  </w:r>
                </w:p>
              </w:tc>
              <w:tc>
                <w:tcPr>
                  <w:tcW w:w="1134" w:type="dxa"/>
                  <w:shd w:val="clear" w:color="auto" w:fill="auto"/>
                </w:tcPr>
                <w:p w:rsidRPr="00FD4C91" w:rsidR="00840391" w:rsidP="00131848" w:rsidRDefault="00840391" w14:paraId="78E9F07C" w14:textId="77777777">
                  <w:pPr>
                    <w:pStyle w:val="BodyText"/>
                    <w:jc w:val="center"/>
                    <w:rPr>
                      <w:sz w:val="20"/>
                    </w:rPr>
                  </w:pPr>
                  <w:r w:rsidRPr="00FD4C91">
                    <w:rPr>
                      <w:sz w:val="20"/>
                    </w:rPr>
                    <w:t>0</w:t>
                  </w:r>
                </w:p>
              </w:tc>
              <w:tc>
                <w:tcPr>
                  <w:tcW w:w="1134" w:type="dxa"/>
                  <w:shd w:val="clear" w:color="auto" w:fill="auto"/>
                </w:tcPr>
                <w:p w:rsidRPr="00FD4C91" w:rsidR="00840391" w:rsidP="00131848" w:rsidRDefault="00840391" w14:paraId="41BBCB2B" w14:textId="77777777">
                  <w:pPr>
                    <w:pStyle w:val="BodyText"/>
                    <w:jc w:val="center"/>
                    <w:rPr>
                      <w:sz w:val="20"/>
                    </w:rPr>
                  </w:pPr>
                  <w:r w:rsidRPr="00FD4C91">
                    <w:rPr>
                      <w:sz w:val="20"/>
                    </w:rPr>
                    <w:t>0</w:t>
                  </w:r>
                </w:p>
              </w:tc>
              <w:tc>
                <w:tcPr>
                  <w:tcW w:w="1559" w:type="dxa"/>
                  <w:shd w:val="clear" w:color="auto" w:fill="auto"/>
                </w:tcPr>
                <w:p w:rsidRPr="00FD4C91" w:rsidR="00840391" w:rsidP="00131848" w:rsidRDefault="00840391" w14:paraId="5C6E0FDB" w14:textId="77777777">
                  <w:pPr>
                    <w:pStyle w:val="BodyText"/>
                    <w:jc w:val="center"/>
                    <w:rPr>
                      <w:sz w:val="20"/>
                    </w:rPr>
                  </w:pPr>
                  <w:r w:rsidRPr="00FD4C91">
                    <w:rPr>
                      <w:sz w:val="20"/>
                    </w:rPr>
                    <w:t>-10</w:t>
                  </w:r>
                </w:p>
              </w:tc>
              <w:tc>
                <w:tcPr>
                  <w:tcW w:w="1338" w:type="dxa"/>
                  <w:shd w:val="clear" w:color="auto" w:fill="auto"/>
                </w:tcPr>
                <w:p w:rsidRPr="00FD4C91" w:rsidR="00840391" w:rsidP="00131848" w:rsidRDefault="00840391" w14:paraId="0563193B" w14:textId="77777777">
                  <w:pPr>
                    <w:pStyle w:val="BodyText"/>
                    <w:jc w:val="center"/>
                    <w:rPr>
                      <w:sz w:val="20"/>
                    </w:rPr>
                  </w:pPr>
                  <w:r>
                    <w:rPr>
                      <w:sz w:val="20"/>
                      <w:lang w:val="en-AU"/>
                    </w:rPr>
                    <w:t>6</w:t>
                  </w:r>
                  <w:r w:rsidRPr="00FD4C91">
                    <w:rPr>
                      <w:sz w:val="20"/>
                    </w:rPr>
                    <w:t xml:space="preserve"> h</w:t>
                  </w:r>
                </w:p>
              </w:tc>
            </w:tr>
            <w:tr w:rsidRPr="00FD4C91" w:rsidR="00840391" w:rsidTr="00EE20B3" w14:paraId="2F398A15" w14:textId="77777777">
              <w:trPr>
                <w:jc w:val="center"/>
              </w:trPr>
              <w:tc>
                <w:tcPr>
                  <w:tcW w:w="1435" w:type="dxa"/>
                  <w:shd w:val="clear" w:color="auto" w:fill="auto"/>
                </w:tcPr>
                <w:p w:rsidRPr="00FD4C91" w:rsidR="00840391" w:rsidP="00131848" w:rsidRDefault="00840391" w14:paraId="31382E81" w14:textId="77777777">
                  <w:pPr>
                    <w:pStyle w:val="BodyText"/>
                    <w:jc w:val="center"/>
                    <w:rPr>
                      <w:sz w:val="20"/>
                    </w:rPr>
                  </w:pPr>
                  <w:r w:rsidRPr="00FD4C91">
                    <w:rPr>
                      <w:sz w:val="20"/>
                    </w:rPr>
                    <w:t>96-120</w:t>
                  </w:r>
                </w:p>
              </w:tc>
              <w:tc>
                <w:tcPr>
                  <w:tcW w:w="1134" w:type="dxa"/>
                  <w:shd w:val="clear" w:color="auto" w:fill="auto"/>
                </w:tcPr>
                <w:p w:rsidRPr="00FD4C91" w:rsidR="00840391" w:rsidP="00131848" w:rsidRDefault="00840391" w14:paraId="535CE59A" w14:textId="77777777">
                  <w:pPr>
                    <w:pStyle w:val="BodyText"/>
                    <w:jc w:val="center"/>
                    <w:rPr>
                      <w:sz w:val="20"/>
                    </w:rPr>
                  </w:pPr>
                  <w:r w:rsidRPr="00FD4C91">
                    <w:rPr>
                      <w:sz w:val="20"/>
                    </w:rPr>
                    <w:t>0</w:t>
                  </w:r>
                </w:p>
              </w:tc>
              <w:tc>
                <w:tcPr>
                  <w:tcW w:w="1134" w:type="dxa"/>
                  <w:shd w:val="clear" w:color="auto" w:fill="auto"/>
                </w:tcPr>
                <w:p w:rsidRPr="00FD4C91" w:rsidR="00840391" w:rsidP="00131848" w:rsidRDefault="00840391" w14:paraId="2DE11D83" w14:textId="77777777">
                  <w:pPr>
                    <w:pStyle w:val="BodyText"/>
                    <w:jc w:val="center"/>
                    <w:rPr>
                      <w:sz w:val="20"/>
                    </w:rPr>
                  </w:pPr>
                  <w:r w:rsidRPr="00FD4C91">
                    <w:rPr>
                      <w:sz w:val="20"/>
                    </w:rPr>
                    <w:t>30</w:t>
                  </w:r>
                </w:p>
              </w:tc>
              <w:tc>
                <w:tcPr>
                  <w:tcW w:w="1559" w:type="dxa"/>
                  <w:shd w:val="clear" w:color="auto" w:fill="auto"/>
                </w:tcPr>
                <w:p w:rsidRPr="00FD4C91" w:rsidR="00840391" w:rsidP="00131848" w:rsidRDefault="00840391" w14:paraId="3035F8E4" w14:textId="77777777">
                  <w:pPr>
                    <w:pStyle w:val="BodyText"/>
                    <w:jc w:val="center"/>
                    <w:rPr>
                      <w:sz w:val="20"/>
                    </w:rPr>
                  </w:pPr>
                  <w:r w:rsidRPr="00FD4C91">
                    <w:rPr>
                      <w:sz w:val="20"/>
                    </w:rPr>
                    <w:t>-10</w:t>
                  </w:r>
                </w:p>
              </w:tc>
              <w:tc>
                <w:tcPr>
                  <w:tcW w:w="1338" w:type="dxa"/>
                  <w:shd w:val="clear" w:color="auto" w:fill="auto"/>
                </w:tcPr>
                <w:p w:rsidRPr="00FD4C91" w:rsidR="00840391" w:rsidP="00131848" w:rsidRDefault="00840391" w14:paraId="219A158D" w14:textId="77777777">
                  <w:pPr>
                    <w:pStyle w:val="BodyText"/>
                    <w:jc w:val="center"/>
                    <w:rPr>
                      <w:sz w:val="20"/>
                    </w:rPr>
                  </w:pPr>
                  <w:r>
                    <w:rPr>
                      <w:sz w:val="20"/>
                      <w:lang w:val="en-AU"/>
                    </w:rPr>
                    <w:t>6</w:t>
                  </w:r>
                  <w:r w:rsidRPr="00FD4C91">
                    <w:rPr>
                      <w:sz w:val="20"/>
                    </w:rPr>
                    <w:t xml:space="preserve"> h</w:t>
                  </w:r>
                </w:p>
              </w:tc>
            </w:tr>
            <w:tr w:rsidRPr="00FD4C91" w:rsidR="00840391" w:rsidTr="00EE20B3" w14:paraId="081C20BE" w14:textId="77777777">
              <w:trPr>
                <w:jc w:val="center"/>
              </w:trPr>
              <w:tc>
                <w:tcPr>
                  <w:tcW w:w="1435" w:type="dxa"/>
                  <w:shd w:val="clear" w:color="auto" w:fill="auto"/>
                </w:tcPr>
                <w:p w:rsidRPr="00FD4C91" w:rsidR="00840391" w:rsidP="00131848" w:rsidRDefault="00840391" w14:paraId="4D730286" w14:textId="77777777">
                  <w:pPr>
                    <w:pStyle w:val="BodyText"/>
                    <w:jc w:val="center"/>
                    <w:rPr>
                      <w:sz w:val="20"/>
                    </w:rPr>
                  </w:pPr>
                  <w:r w:rsidRPr="00FD4C91">
                    <w:rPr>
                      <w:sz w:val="20"/>
                    </w:rPr>
                    <w:t>&gt;120</w:t>
                  </w:r>
                </w:p>
              </w:tc>
              <w:tc>
                <w:tcPr>
                  <w:tcW w:w="1134" w:type="dxa"/>
                  <w:shd w:val="clear" w:color="auto" w:fill="auto"/>
                </w:tcPr>
                <w:p w:rsidRPr="00FD4C91" w:rsidR="00840391" w:rsidP="00131848" w:rsidRDefault="00840391" w14:paraId="50349FAD" w14:textId="77777777">
                  <w:pPr>
                    <w:pStyle w:val="BodyText"/>
                    <w:jc w:val="center"/>
                    <w:rPr>
                      <w:sz w:val="20"/>
                    </w:rPr>
                  </w:pPr>
                  <w:r w:rsidRPr="00FD4C91">
                    <w:rPr>
                      <w:sz w:val="20"/>
                    </w:rPr>
                    <w:t>0</w:t>
                  </w:r>
                </w:p>
              </w:tc>
              <w:tc>
                <w:tcPr>
                  <w:tcW w:w="1134" w:type="dxa"/>
                  <w:shd w:val="clear" w:color="auto" w:fill="auto"/>
                </w:tcPr>
                <w:p w:rsidRPr="00FD4C91" w:rsidR="00840391" w:rsidP="00131848" w:rsidRDefault="00840391" w14:paraId="0DDE9741" w14:textId="77777777">
                  <w:pPr>
                    <w:pStyle w:val="BodyText"/>
                    <w:jc w:val="center"/>
                    <w:rPr>
                      <w:sz w:val="20"/>
                    </w:rPr>
                  </w:pPr>
                  <w:r w:rsidRPr="00FD4C91">
                    <w:rPr>
                      <w:sz w:val="20"/>
                    </w:rPr>
                    <w:t>60</w:t>
                  </w:r>
                </w:p>
              </w:tc>
              <w:tc>
                <w:tcPr>
                  <w:tcW w:w="1559" w:type="dxa"/>
                  <w:shd w:val="clear" w:color="auto" w:fill="auto"/>
                </w:tcPr>
                <w:p w:rsidRPr="00FD4C91" w:rsidR="00840391" w:rsidP="00131848" w:rsidRDefault="00840391" w14:paraId="2F5D3F34" w14:textId="77777777">
                  <w:pPr>
                    <w:pStyle w:val="BodyText"/>
                    <w:jc w:val="center"/>
                    <w:rPr>
                      <w:sz w:val="20"/>
                    </w:rPr>
                  </w:pPr>
                  <w:r w:rsidRPr="00FD4C91">
                    <w:rPr>
                      <w:sz w:val="20"/>
                    </w:rPr>
                    <w:t>-10</w:t>
                  </w:r>
                </w:p>
              </w:tc>
              <w:tc>
                <w:tcPr>
                  <w:tcW w:w="1338" w:type="dxa"/>
                  <w:shd w:val="clear" w:color="auto" w:fill="auto"/>
                </w:tcPr>
                <w:p w:rsidRPr="00FD4C91" w:rsidR="00840391" w:rsidP="00131848" w:rsidRDefault="00840391" w14:paraId="274E7646" w14:textId="77777777">
                  <w:pPr>
                    <w:pStyle w:val="BodyText"/>
                    <w:jc w:val="center"/>
                    <w:rPr>
                      <w:sz w:val="20"/>
                    </w:rPr>
                  </w:pPr>
                  <w:r>
                    <w:rPr>
                      <w:sz w:val="20"/>
                      <w:lang w:val="en-AU"/>
                    </w:rPr>
                    <w:t>6</w:t>
                  </w:r>
                  <w:r w:rsidRPr="00FD4C91">
                    <w:rPr>
                      <w:sz w:val="20"/>
                    </w:rPr>
                    <w:t xml:space="preserve"> h</w:t>
                  </w:r>
                </w:p>
              </w:tc>
            </w:tr>
            <w:tr w:rsidRPr="00FD4C91" w:rsidR="00840391" w:rsidTr="00EE20B3" w14:paraId="24895664" w14:textId="77777777">
              <w:trPr>
                <w:jc w:val="center"/>
              </w:trPr>
              <w:tc>
                <w:tcPr>
                  <w:tcW w:w="6600" w:type="dxa"/>
                  <w:gridSpan w:val="5"/>
                  <w:shd w:val="clear" w:color="auto" w:fill="auto"/>
                </w:tcPr>
                <w:p w:rsidR="00840391" w:rsidP="00131848" w:rsidRDefault="00840391" w14:paraId="3A20CD2D" w14:textId="77777777">
                  <w:pPr>
                    <w:pStyle w:val="BodyText"/>
                    <w:rPr>
                      <w:sz w:val="20"/>
                      <w:lang w:val="en-AU"/>
                    </w:rPr>
                  </w:pPr>
                  <w:r w:rsidRPr="00FD4C91">
                    <w:rPr>
                      <w:sz w:val="20"/>
                    </w:rPr>
                    <w:t xml:space="preserve">Obtain blood for </w:t>
                  </w:r>
                  <w:r>
                    <w:rPr>
                      <w:sz w:val="20"/>
                      <w:lang w:val="en-AU"/>
                    </w:rPr>
                    <w:t>A</w:t>
                  </w:r>
                  <w:r w:rsidRPr="00FD4C91">
                    <w:rPr>
                      <w:sz w:val="20"/>
                    </w:rPr>
                    <w:t xml:space="preserve">PTT </w:t>
                  </w:r>
                  <w:r>
                    <w:rPr>
                      <w:sz w:val="20"/>
                      <w:lang w:val="en-AU"/>
                    </w:rPr>
                    <w:t>6</w:t>
                  </w:r>
                  <w:r w:rsidRPr="00FD4C91">
                    <w:rPr>
                      <w:sz w:val="20"/>
                    </w:rPr>
                    <w:t xml:space="preserve"> h</w:t>
                  </w:r>
                  <w:r>
                    <w:rPr>
                      <w:sz w:val="20"/>
                      <w:lang w:val="en-AU"/>
                    </w:rPr>
                    <w:t>ours</w:t>
                  </w:r>
                  <w:r w:rsidRPr="00FD4C91">
                    <w:rPr>
                      <w:sz w:val="20"/>
                    </w:rPr>
                    <w:t xml:space="preserve"> after administration of loading dose and </w:t>
                  </w:r>
                  <w:r>
                    <w:rPr>
                      <w:sz w:val="20"/>
                      <w:lang w:val="en-AU"/>
                    </w:rPr>
                    <w:t>6</w:t>
                  </w:r>
                  <w:r w:rsidRPr="00FD4C91">
                    <w:rPr>
                      <w:sz w:val="20"/>
                    </w:rPr>
                    <w:t xml:space="preserve"> hours after every change</w:t>
                  </w:r>
                  <w:r>
                    <w:rPr>
                      <w:sz w:val="20"/>
                      <w:lang w:val="en-AU"/>
                    </w:rPr>
                    <w:t>.</w:t>
                  </w:r>
                </w:p>
                <w:p w:rsidR="00840391" w:rsidP="00131848" w:rsidRDefault="00840391" w14:paraId="176BFB03" w14:textId="77777777">
                  <w:pPr>
                    <w:pStyle w:val="BodyText"/>
                    <w:rPr>
                      <w:sz w:val="20"/>
                      <w:lang w:val="en-AU"/>
                    </w:rPr>
                  </w:pPr>
                  <w:r w:rsidRPr="00FD4C91">
                    <w:rPr>
                      <w:sz w:val="20"/>
                    </w:rPr>
                    <w:t xml:space="preserve">When </w:t>
                  </w:r>
                  <w:r>
                    <w:rPr>
                      <w:sz w:val="20"/>
                      <w:lang w:val="en-AU"/>
                    </w:rPr>
                    <w:t>A</w:t>
                  </w:r>
                  <w:r w:rsidRPr="00FD4C91">
                    <w:rPr>
                      <w:sz w:val="20"/>
                    </w:rPr>
                    <w:t xml:space="preserve">PTT values are therapeutic, blood count and </w:t>
                  </w:r>
                  <w:r>
                    <w:rPr>
                      <w:sz w:val="20"/>
                      <w:lang w:val="en-AU"/>
                    </w:rPr>
                    <w:t>A</w:t>
                  </w:r>
                  <w:r w:rsidRPr="00FD4C91">
                    <w:rPr>
                      <w:sz w:val="20"/>
                    </w:rPr>
                    <w:t>PTT daily or as per the advice of haematologist.</w:t>
                  </w:r>
                </w:p>
              </w:tc>
            </w:tr>
            <w:tr w:rsidRPr="00FD4C91" w:rsidR="00840391" w:rsidTr="00EE20B3" w14:paraId="530A5585" w14:textId="77777777">
              <w:trPr>
                <w:jc w:val="center"/>
              </w:trPr>
              <w:tc>
                <w:tcPr>
                  <w:tcW w:w="6600" w:type="dxa"/>
                  <w:gridSpan w:val="5"/>
                  <w:shd w:val="clear" w:color="auto" w:fill="auto"/>
                </w:tcPr>
                <w:p w:rsidRPr="008616C1" w:rsidR="00840391" w:rsidP="00131848" w:rsidRDefault="00840391" w14:paraId="43C40BED" w14:textId="77777777">
                  <w:pPr>
                    <w:pStyle w:val="BodyText"/>
                    <w:rPr>
                      <w:sz w:val="20"/>
                      <w:lang w:val="en-AU"/>
                    </w:rPr>
                  </w:pPr>
                </w:p>
              </w:tc>
            </w:tr>
          </w:tbl>
          <w:p w:rsidR="00840391" w:rsidP="00131848" w:rsidRDefault="00840391" w14:paraId="4E7FA1A9" w14:textId="77777777">
            <w:pPr>
              <w:pStyle w:val="BodyText"/>
              <w:ind w:left="720"/>
              <w:rPr>
                <w:sz w:val="20"/>
              </w:rPr>
            </w:pPr>
            <w:r>
              <w:rPr>
                <w:sz w:val="20"/>
                <w:lang w:val="en-AU"/>
              </w:rPr>
              <w:t>A</w:t>
            </w:r>
            <w:r w:rsidRPr="00FD4C91">
              <w:rPr>
                <w:sz w:val="20"/>
              </w:rPr>
              <w:t>PTT</w:t>
            </w:r>
            <w:r>
              <w:rPr>
                <w:sz w:val="20"/>
                <w:lang w:val="en-US"/>
              </w:rPr>
              <w:t>:</w:t>
            </w:r>
            <w:r w:rsidRPr="00FD4C91">
              <w:rPr>
                <w:sz w:val="20"/>
              </w:rPr>
              <w:t xml:space="preserve"> </w:t>
            </w:r>
            <w:r>
              <w:rPr>
                <w:sz w:val="20"/>
                <w:lang w:val="en-US"/>
              </w:rPr>
              <w:t>A</w:t>
            </w:r>
            <w:r w:rsidRPr="00FD4C91">
              <w:rPr>
                <w:sz w:val="20"/>
              </w:rPr>
              <w:t>ctivated partial thromboplastin time</w:t>
            </w:r>
          </w:p>
          <w:p w:rsidR="00840391" w:rsidP="00131848" w:rsidRDefault="00840391" w14:paraId="1169C224" w14:textId="77777777">
            <w:pPr>
              <w:pStyle w:val="BodyText"/>
              <w:rPr>
                <w:sz w:val="20"/>
              </w:rPr>
            </w:pPr>
          </w:p>
          <w:p w:rsidRPr="00F2140A" w:rsidR="00840391" w:rsidP="00131848" w:rsidRDefault="00840391" w14:paraId="21498837" w14:textId="77777777">
            <w:pPr>
              <w:pStyle w:val="BodyText"/>
              <w:rPr>
                <w:sz w:val="20"/>
              </w:rPr>
            </w:pPr>
            <w:r>
              <w:rPr>
                <w:b/>
                <w:sz w:val="20"/>
                <w:lang w:val="en-AU"/>
              </w:rPr>
              <w:t>Venous c</w:t>
            </w:r>
            <w:r w:rsidRPr="00F2140A">
              <w:rPr>
                <w:b/>
                <w:sz w:val="20"/>
                <w:lang w:val="en-AU"/>
              </w:rPr>
              <w:t>atheter patency</w:t>
            </w:r>
            <w:r>
              <w:rPr>
                <w:b/>
                <w:sz w:val="20"/>
                <w:lang w:val="en-AU"/>
              </w:rPr>
              <w:t xml:space="preserve"> maintenance.</w:t>
            </w:r>
            <w:r w:rsidRPr="00D4090D">
              <w:rPr>
                <w:sz w:val="20"/>
                <w:vertAlign w:val="superscript"/>
                <w:lang w:val="en-AU"/>
              </w:rPr>
              <w:t>1,2,</w:t>
            </w:r>
            <w:r w:rsidRPr="00137982">
              <w:rPr>
                <w:sz w:val="20"/>
                <w:vertAlign w:val="superscript"/>
                <w:lang w:val="en-AU"/>
              </w:rPr>
              <w:t>5-7</w:t>
            </w:r>
            <w:r>
              <w:rPr>
                <w:sz w:val="20"/>
                <w:vertAlign w:val="superscript"/>
                <w:lang w:val="en-AU"/>
              </w:rPr>
              <w:t>,18-21</w:t>
            </w:r>
            <w:r>
              <w:rPr>
                <w:b/>
                <w:sz w:val="20"/>
                <w:lang w:val="en-AU"/>
              </w:rPr>
              <w:t xml:space="preserve">  </w:t>
            </w:r>
          </w:p>
          <w:p w:rsidR="00840391" w:rsidP="00131848" w:rsidRDefault="00840391" w14:paraId="1CFB751B" w14:textId="77777777">
            <w:pPr>
              <w:pStyle w:val="BodyText"/>
              <w:rPr>
                <w:sz w:val="20"/>
                <w:lang w:val="en-AU"/>
              </w:rPr>
            </w:pPr>
            <w:r w:rsidRPr="00FD4C91">
              <w:rPr>
                <w:sz w:val="20"/>
              </w:rPr>
              <w:t xml:space="preserve">0.5 unit/mL of </w:t>
            </w:r>
            <w:r>
              <w:rPr>
                <w:sz w:val="20"/>
                <w:lang w:val="en-AU"/>
              </w:rPr>
              <w:t xml:space="preserve">diluted heparinised </w:t>
            </w:r>
            <w:r w:rsidRPr="00FD4C91">
              <w:rPr>
                <w:sz w:val="20"/>
              </w:rPr>
              <w:t>IV fluid</w:t>
            </w:r>
            <w:r>
              <w:rPr>
                <w:sz w:val="20"/>
                <w:lang w:val="en-AU"/>
              </w:rPr>
              <w:t xml:space="preserve"> to run at 0.5 –1 mL/hour</w:t>
            </w:r>
            <w:r w:rsidRPr="00FD4C91">
              <w:rPr>
                <w:sz w:val="20"/>
              </w:rPr>
              <w:t>.</w:t>
            </w:r>
            <w:r>
              <w:rPr>
                <w:sz w:val="20"/>
                <w:lang w:val="en-AU"/>
              </w:rPr>
              <w:t>(Refer to evidence section)</w:t>
            </w:r>
          </w:p>
          <w:p w:rsidR="00840391" w:rsidP="00131848" w:rsidRDefault="00840391" w14:paraId="75C85F74" w14:textId="77777777">
            <w:pPr>
              <w:pStyle w:val="BodyText"/>
              <w:rPr>
                <w:sz w:val="20"/>
                <w:lang w:val="en-AU"/>
              </w:rPr>
            </w:pPr>
          </w:p>
          <w:p w:rsidRPr="00F2140A" w:rsidR="00840391" w:rsidP="00131848" w:rsidRDefault="00840391" w14:paraId="2302CC65" w14:textId="77777777">
            <w:pPr>
              <w:pStyle w:val="BodyText"/>
              <w:rPr>
                <w:sz w:val="20"/>
              </w:rPr>
            </w:pPr>
            <w:r>
              <w:rPr>
                <w:b/>
                <w:sz w:val="20"/>
                <w:lang w:val="en-AU"/>
              </w:rPr>
              <w:t>Arterial c</w:t>
            </w:r>
            <w:r w:rsidRPr="00F2140A">
              <w:rPr>
                <w:b/>
                <w:sz w:val="20"/>
                <w:lang w:val="en-AU"/>
              </w:rPr>
              <w:t>atheter patency</w:t>
            </w:r>
            <w:r>
              <w:rPr>
                <w:b/>
                <w:sz w:val="20"/>
                <w:lang w:val="en-AU"/>
              </w:rPr>
              <w:t xml:space="preserve"> maintenance.</w:t>
            </w:r>
            <w:r w:rsidRPr="00D4090D">
              <w:rPr>
                <w:sz w:val="20"/>
                <w:vertAlign w:val="superscript"/>
                <w:lang w:val="en-AU"/>
              </w:rPr>
              <w:t>1,2,</w:t>
            </w:r>
            <w:r w:rsidRPr="00012131">
              <w:rPr>
                <w:sz w:val="20"/>
                <w:vertAlign w:val="superscript"/>
                <w:lang w:val="en-AU"/>
              </w:rPr>
              <w:t>5</w:t>
            </w:r>
            <w:r w:rsidRPr="00137982">
              <w:rPr>
                <w:sz w:val="20"/>
                <w:vertAlign w:val="superscript"/>
                <w:lang w:val="en-AU"/>
              </w:rPr>
              <w:t>-7</w:t>
            </w:r>
            <w:r>
              <w:rPr>
                <w:sz w:val="20"/>
                <w:vertAlign w:val="superscript"/>
                <w:lang w:val="en-AU"/>
              </w:rPr>
              <w:t>,18-21</w:t>
            </w:r>
            <w:r>
              <w:rPr>
                <w:b/>
                <w:sz w:val="20"/>
                <w:lang w:val="en-AU"/>
              </w:rPr>
              <w:t xml:space="preserve">  </w:t>
            </w:r>
          </w:p>
          <w:p w:rsidRPr="00026F20" w:rsidR="00840391" w:rsidP="00131848" w:rsidRDefault="00840391" w14:paraId="3D67FDDB" w14:textId="77777777">
            <w:pPr>
              <w:pStyle w:val="BodyText"/>
              <w:rPr>
                <w:sz w:val="20"/>
                <w:lang w:val="en-AU"/>
              </w:rPr>
            </w:pPr>
            <w:r>
              <w:rPr>
                <w:sz w:val="20"/>
                <w:lang w:val="en-AU"/>
              </w:rPr>
              <w:t>1</w:t>
            </w:r>
            <w:r w:rsidRPr="00FD4C91">
              <w:rPr>
                <w:sz w:val="20"/>
              </w:rPr>
              <w:t xml:space="preserve"> unit/mL of </w:t>
            </w:r>
            <w:r>
              <w:rPr>
                <w:sz w:val="20"/>
                <w:lang w:val="en-AU"/>
              </w:rPr>
              <w:t xml:space="preserve">diluted heparinised </w:t>
            </w:r>
            <w:r w:rsidRPr="00FD4C91">
              <w:rPr>
                <w:sz w:val="20"/>
              </w:rPr>
              <w:t>IV fluid</w:t>
            </w:r>
            <w:r>
              <w:rPr>
                <w:sz w:val="20"/>
                <w:lang w:val="en-AU"/>
              </w:rPr>
              <w:t xml:space="preserve"> to run at 0.5 – 1 mL/hour</w:t>
            </w:r>
            <w:r w:rsidRPr="00FD4C91">
              <w:rPr>
                <w:sz w:val="20"/>
              </w:rPr>
              <w:t>.</w:t>
            </w:r>
            <w:r>
              <w:rPr>
                <w:sz w:val="20"/>
                <w:lang w:val="en-AU"/>
              </w:rPr>
              <w:t>(Refer to evidence section)</w:t>
            </w:r>
          </w:p>
        </w:tc>
      </w:tr>
      <w:tr w:rsidRPr="003A7895" w:rsidR="00840391" w:rsidTr="00EE20B3" w14:paraId="758ACC5C" w14:textId="77777777">
        <w:trPr>
          <w:trHeight w:val="407"/>
        </w:trPr>
        <w:tc>
          <w:tcPr>
            <w:tcW w:w="1730" w:type="dxa"/>
          </w:tcPr>
          <w:p w:rsidRPr="00B53E9B" w:rsidR="00840391" w:rsidP="00131848" w:rsidRDefault="00840391" w14:paraId="0238F695" w14:textId="77777777">
            <w:pPr>
              <w:pStyle w:val="BodyText"/>
              <w:rPr>
                <w:b/>
                <w:sz w:val="20"/>
                <w:lang w:val="en-AU"/>
              </w:rPr>
            </w:pPr>
            <w:r w:rsidRPr="00B53E9B">
              <w:rPr>
                <w:b/>
                <w:sz w:val="20"/>
                <w:lang w:val="en-AU"/>
              </w:rPr>
              <w:lastRenderedPageBreak/>
              <w:t>Dose adjustment</w:t>
            </w:r>
          </w:p>
          <w:p w:rsidRPr="00B53E9B" w:rsidR="00840391" w:rsidP="00131848" w:rsidRDefault="00840391" w14:paraId="5E586E12" w14:textId="77777777">
            <w:pPr>
              <w:pStyle w:val="BodyText"/>
              <w:rPr>
                <w:b/>
                <w:sz w:val="20"/>
                <w:lang w:val="en-AU"/>
              </w:rPr>
            </w:pPr>
          </w:p>
        </w:tc>
        <w:tc>
          <w:tcPr>
            <w:tcW w:w="7513" w:type="dxa"/>
          </w:tcPr>
          <w:p w:rsidRPr="00B53E9B" w:rsidR="00840391" w:rsidP="00131848" w:rsidRDefault="00840391" w14:paraId="01838E60" w14:textId="77777777">
            <w:pPr>
              <w:pStyle w:val="BodyText"/>
              <w:rPr>
                <w:sz w:val="20"/>
                <w:lang w:val="en-AU"/>
              </w:rPr>
            </w:pPr>
            <w:r w:rsidRPr="00B53E9B">
              <w:rPr>
                <w:sz w:val="20"/>
                <w:lang w:val="en-AU"/>
              </w:rPr>
              <w:t>Therapeutic hypothermia</w:t>
            </w:r>
            <w:r>
              <w:rPr>
                <w:sz w:val="20"/>
                <w:lang w:val="en-AU"/>
              </w:rPr>
              <w:t xml:space="preserve"> – No information.</w:t>
            </w:r>
          </w:p>
          <w:p w:rsidR="00840391" w:rsidP="00131848" w:rsidRDefault="00840391" w14:paraId="2EF99739" w14:textId="77777777">
            <w:pPr>
              <w:pStyle w:val="BodyText"/>
              <w:rPr>
                <w:sz w:val="20"/>
                <w:lang w:val="en-AU"/>
              </w:rPr>
            </w:pPr>
            <w:r w:rsidRPr="00A666AC">
              <w:rPr>
                <w:sz w:val="20"/>
                <w:lang w:val="en-AU"/>
              </w:rPr>
              <w:t>ECMO – Refer</w:t>
            </w:r>
            <w:r>
              <w:rPr>
                <w:sz w:val="20"/>
                <w:lang w:val="en-AU"/>
              </w:rPr>
              <w:t xml:space="preserve"> to</w:t>
            </w:r>
            <w:r w:rsidRPr="007C6FFF">
              <w:rPr>
                <w:sz w:val="20"/>
                <w:lang w:val="en-AU"/>
              </w:rPr>
              <w:t xml:space="preserve"> </w:t>
            </w:r>
            <w:r>
              <w:rPr>
                <w:sz w:val="20"/>
                <w:lang w:val="en-AU"/>
              </w:rPr>
              <w:t xml:space="preserve">local </w:t>
            </w:r>
            <w:r w:rsidRPr="007C6FFF">
              <w:rPr>
                <w:sz w:val="20"/>
                <w:lang w:val="en-AU"/>
              </w:rPr>
              <w:t xml:space="preserve">ECMO protocols </w:t>
            </w:r>
            <w:r>
              <w:rPr>
                <w:sz w:val="20"/>
                <w:lang w:val="en-AU"/>
              </w:rPr>
              <w:t>for</w:t>
            </w:r>
            <w:r w:rsidRPr="007C6FFF">
              <w:rPr>
                <w:sz w:val="20"/>
                <w:lang w:val="en-AU"/>
              </w:rPr>
              <w:t xml:space="preserve"> anticoagulation</w:t>
            </w:r>
            <w:r>
              <w:rPr>
                <w:sz w:val="20"/>
                <w:lang w:val="en-AU"/>
              </w:rPr>
              <w:t>.</w:t>
            </w:r>
          </w:p>
          <w:p w:rsidRPr="00B53E9B" w:rsidR="00840391" w:rsidP="00131848" w:rsidRDefault="00840391" w14:paraId="382B2ED7" w14:textId="77777777">
            <w:pPr>
              <w:pStyle w:val="BodyText"/>
              <w:rPr>
                <w:sz w:val="20"/>
                <w:lang w:val="en-AU"/>
              </w:rPr>
            </w:pPr>
            <w:r w:rsidRPr="00B53E9B">
              <w:rPr>
                <w:sz w:val="20"/>
                <w:lang w:val="en-AU"/>
              </w:rPr>
              <w:t>Renal</w:t>
            </w:r>
            <w:r>
              <w:rPr>
                <w:sz w:val="20"/>
                <w:lang w:val="en-AU"/>
              </w:rPr>
              <w:t xml:space="preserve"> impairment – Dose adjustment may be required in severe renal impairment. Discuss with haematologist.</w:t>
            </w:r>
          </w:p>
          <w:p w:rsidRPr="00026F20" w:rsidR="00840391" w:rsidP="00131848" w:rsidRDefault="00840391" w14:paraId="6BB0B7DF" w14:textId="77777777">
            <w:pPr>
              <w:pStyle w:val="BodyText"/>
              <w:rPr>
                <w:sz w:val="20"/>
                <w:lang w:val="en-AU"/>
              </w:rPr>
            </w:pPr>
            <w:r w:rsidRPr="00B53E9B">
              <w:rPr>
                <w:sz w:val="20"/>
                <w:lang w:val="en-AU"/>
              </w:rPr>
              <w:t>Hepatic</w:t>
            </w:r>
            <w:r>
              <w:rPr>
                <w:sz w:val="20"/>
                <w:lang w:val="en-AU"/>
              </w:rPr>
              <w:t xml:space="preserve"> impairment – No dose adjustment is required.</w:t>
            </w:r>
            <w:r w:rsidRPr="00137982">
              <w:rPr>
                <w:sz w:val="20"/>
                <w:vertAlign w:val="superscript"/>
                <w:lang w:val="en-AU"/>
              </w:rPr>
              <w:t xml:space="preserve">8  </w:t>
            </w:r>
          </w:p>
        </w:tc>
      </w:tr>
      <w:tr w:rsidRPr="003A7895" w:rsidR="00840391" w:rsidTr="00EE20B3" w14:paraId="63CB505F" w14:textId="77777777">
        <w:trPr>
          <w:trHeight w:val="113"/>
        </w:trPr>
        <w:tc>
          <w:tcPr>
            <w:tcW w:w="1730" w:type="dxa"/>
          </w:tcPr>
          <w:p w:rsidRPr="00B53E9B" w:rsidR="00840391" w:rsidP="00131848" w:rsidRDefault="00840391" w14:paraId="68CEEA6B" w14:textId="77777777">
            <w:pPr>
              <w:pStyle w:val="BodyText"/>
              <w:rPr>
                <w:b/>
                <w:sz w:val="20"/>
                <w:lang w:val="en-AU"/>
              </w:rPr>
            </w:pPr>
            <w:r w:rsidRPr="00B53E9B">
              <w:rPr>
                <w:b/>
                <w:sz w:val="20"/>
                <w:lang w:val="en-AU"/>
              </w:rPr>
              <w:t>Maximum dose</w:t>
            </w:r>
          </w:p>
        </w:tc>
        <w:tc>
          <w:tcPr>
            <w:tcW w:w="7513" w:type="dxa"/>
          </w:tcPr>
          <w:p w:rsidRPr="00026F20" w:rsidR="00840391" w:rsidP="00131848" w:rsidRDefault="00840391" w14:paraId="6503F498" w14:textId="77777777">
            <w:pPr>
              <w:pStyle w:val="BodyText"/>
              <w:rPr>
                <w:sz w:val="20"/>
                <w:lang w:val="en-AU"/>
              </w:rPr>
            </w:pPr>
          </w:p>
        </w:tc>
      </w:tr>
      <w:tr w:rsidRPr="003A7895" w:rsidR="00840391" w:rsidTr="00EE20B3" w14:paraId="28799B83" w14:textId="77777777">
        <w:trPr>
          <w:trHeight w:val="144"/>
        </w:trPr>
        <w:tc>
          <w:tcPr>
            <w:tcW w:w="1730" w:type="dxa"/>
          </w:tcPr>
          <w:p w:rsidRPr="00B53E9B" w:rsidR="00840391" w:rsidP="00131848" w:rsidRDefault="00840391" w14:paraId="09D72E99" w14:textId="77777777">
            <w:pPr>
              <w:pStyle w:val="BodyText"/>
              <w:rPr>
                <w:rFonts w:cs="Arial"/>
                <w:b/>
                <w:bCs/>
                <w:sz w:val="20"/>
                <w:lang w:val="en-AU"/>
              </w:rPr>
            </w:pPr>
            <w:r w:rsidRPr="00B53E9B">
              <w:rPr>
                <w:b/>
                <w:sz w:val="20"/>
                <w:lang w:val="en-AU"/>
              </w:rPr>
              <w:t>Total cumulative dose</w:t>
            </w:r>
          </w:p>
        </w:tc>
        <w:tc>
          <w:tcPr>
            <w:tcW w:w="7513" w:type="dxa"/>
          </w:tcPr>
          <w:p w:rsidRPr="004B334F" w:rsidR="00840391" w:rsidP="00131848" w:rsidRDefault="00840391" w14:paraId="1F234E25" w14:textId="77777777">
            <w:pPr>
              <w:pStyle w:val="BodyText"/>
              <w:rPr>
                <w:rFonts w:cs="Arial"/>
                <w:sz w:val="20"/>
                <w:lang w:val="en-AU"/>
              </w:rPr>
            </w:pPr>
          </w:p>
        </w:tc>
      </w:tr>
      <w:tr w:rsidRPr="003A7895" w:rsidR="00840391" w:rsidTr="00EE20B3" w14:paraId="00D14E0A" w14:textId="77777777">
        <w:trPr>
          <w:trHeight w:val="294"/>
        </w:trPr>
        <w:tc>
          <w:tcPr>
            <w:tcW w:w="1730" w:type="dxa"/>
          </w:tcPr>
          <w:p w:rsidRPr="00B53E9B" w:rsidR="00840391" w:rsidP="00131848" w:rsidRDefault="00840391" w14:paraId="5C4FC1A9" w14:textId="77777777">
            <w:pPr>
              <w:pStyle w:val="BodyText"/>
              <w:rPr>
                <w:rFonts w:cs="Arial"/>
                <w:sz w:val="20"/>
                <w:lang w:val="en-AU"/>
              </w:rPr>
            </w:pPr>
            <w:r w:rsidRPr="00B53E9B">
              <w:rPr>
                <w:rFonts w:cs="Arial"/>
                <w:b/>
                <w:bCs/>
                <w:sz w:val="20"/>
                <w:lang w:val="en-AU"/>
              </w:rPr>
              <w:t xml:space="preserve">Route                                </w:t>
            </w:r>
          </w:p>
        </w:tc>
        <w:tc>
          <w:tcPr>
            <w:tcW w:w="7513" w:type="dxa"/>
          </w:tcPr>
          <w:p w:rsidRPr="00026F20" w:rsidR="00840391" w:rsidP="00131848" w:rsidRDefault="00840391" w14:paraId="7AC55EC3" w14:textId="77777777">
            <w:pPr>
              <w:pStyle w:val="BodyText"/>
              <w:rPr>
                <w:rFonts w:cs="Arial"/>
                <w:sz w:val="20"/>
                <w:lang w:val="en-AU"/>
              </w:rPr>
            </w:pPr>
            <w:r>
              <w:rPr>
                <w:rFonts w:cs="Arial"/>
                <w:sz w:val="20"/>
                <w:lang w:val="en-AU"/>
              </w:rPr>
              <w:t>IV</w:t>
            </w:r>
          </w:p>
        </w:tc>
      </w:tr>
      <w:tr w:rsidRPr="003A7895" w:rsidR="00840391" w:rsidTr="00EE20B3" w14:paraId="6CE04DD3" w14:textId="77777777">
        <w:trPr>
          <w:trHeight w:val="93"/>
        </w:trPr>
        <w:tc>
          <w:tcPr>
            <w:tcW w:w="1730" w:type="dxa"/>
          </w:tcPr>
          <w:p w:rsidRPr="00B53E9B" w:rsidR="00840391" w:rsidP="00131848" w:rsidRDefault="00840391" w14:paraId="78AB7806" w14:textId="77777777">
            <w:pPr>
              <w:pStyle w:val="BodyText"/>
              <w:rPr>
                <w:rFonts w:cs="Arial"/>
                <w:b/>
                <w:bCs/>
                <w:sz w:val="20"/>
                <w:highlight w:val="cyan"/>
                <w:lang w:val="en-AU"/>
              </w:rPr>
            </w:pPr>
            <w:r w:rsidRPr="00A666AC">
              <w:rPr>
                <w:rFonts w:cs="Arial"/>
                <w:b/>
                <w:bCs/>
                <w:sz w:val="20"/>
                <w:lang w:val="en-AU"/>
              </w:rPr>
              <w:t xml:space="preserve">Preparation  </w:t>
            </w:r>
            <w:r w:rsidRPr="007344DE">
              <w:rPr>
                <w:rFonts w:cs="Arial"/>
                <w:b/>
                <w:bCs/>
                <w:sz w:val="20"/>
                <w:highlight w:val="yellow"/>
                <w:lang w:val="en-AU"/>
              </w:rPr>
              <w:t xml:space="preserve">              </w:t>
            </w:r>
          </w:p>
        </w:tc>
        <w:tc>
          <w:tcPr>
            <w:tcW w:w="7513" w:type="dxa"/>
          </w:tcPr>
          <w:p w:rsidRPr="00FD4C91" w:rsidR="00840391" w:rsidP="00131848" w:rsidRDefault="00840391" w14:paraId="65286654" w14:textId="77777777">
            <w:pPr>
              <w:pStyle w:val="BodyText"/>
              <w:rPr>
                <w:rFonts w:cs="Arial"/>
                <w:b/>
                <w:sz w:val="20"/>
                <w:lang w:val="en-AU"/>
              </w:rPr>
            </w:pPr>
            <w:r>
              <w:rPr>
                <w:rFonts w:cs="Arial"/>
                <w:b/>
                <w:sz w:val="20"/>
                <w:lang w:val="en-AU"/>
              </w:rPr>
              <w:t>Antithrombotic prophylaxis</w:t>
            </w:r>
          </w:p>
          <w:p w:rsidR="00840391" w:rsidP="00131848" w:rsidRDefault="00840391" w14:paraId="59EA9C53" w14:textId="77777777">
            <w:pPr>
              <w:pStyle w:val="BodyText"/>
              <w:rPr>
                <w:rFonts w:cs="Arial"/>
                <w:sz w:val="20"/>
                <w:lang w:val="en-AU"/>
              </w:rPr>
            </w:pPr>
            <w:r w:rsidRPr="00FD4C91">
              <w:rPr>
                <w:rFonts w:cs="Arial"/>
                <w:sz w:val="20"/>
                <w:lang w:val="en-AU"/>
              </w:rPr>
              <w:t>The concentrations varying from 100 to 500 units/mL can be used for loading doses and concentration</w:t>
            </w:r>
            <w:r>
              <w:rPr>
                <w:rFonts w:cs="Arial"/>
                <w:sz w:val="20"/>
                <w:lang w:val="en-AU"/>
              </w:rPr>
              <w:t>s</w:t>
            </w:r>
            <w:r w:rsidRPr="00FD4C91">
              <w:rPr>
                <w:rFonts w:cs="Arial"/>
                <w:sz w:val="20"/>
                <w:lang w:val="en-AU"/>
              </w:rPr>
              <w:t xml:space="preserve"> of 10 to 500 units/mL can be us</w:t>
            </w:r>
            <w:r>
              <w:rPr>
                <w:rFonts w:cs="Arial"/>
                <w:sz w:val="20"/>
                <w:lang w:val="en-AU"/>
              </w:rPr>
              <w:t>ed for continuous IV infusion.</w:t>
            </w:r>
          </w:p>
          <w:p w:rsidRPr="00FD4C91" w:rsidR="00840391" w:rsidP="00131848" w:rsidRDefault="00840391" w14:paraId="187C0701" w14:textId="77777777">
            <w:pPr>
              <w:pStyle w:val="BodyText"/>
              <w:rPr>
                <w:rFonts w:cs="Arial"/>
                <w:b/>
                <w:sz w:val="20"/>
                <w:lang w:val="en-AU"/>
              </w:rPr>
            </w:pPr>
            <w:r w:rsidRPr="00FD4C91">
              <w:rPr>
                <w:rFonts w:cs="Arial"/>
                <w:b/>
                <w:sz w:val="20"/>
                <w:lang w:val="en-AU"/>
              </w:rPr>
              <w:t>V</w:t>
            </w:r>
            <w:r>
              <w:rPr>
                <w:rFonts w:cs="Arial"/>
                <w:b/>
                <w:sz w:val="20"/>
                <w:lang w:val="en-AU"/>
              </w:rPr>
              <w:t>enous</w:t>
            </w:r>
            <w:r w:rsidRPr="00FD4C91">
              <w:rPr>
                <w:rFonts w:cs="Arial"/>
                <w:b/>
                <w:sz w:val="20"/>
                <w:lang w:val="en-AU"/>
              </w:rPr>
              <w:t xml:space="preserve"> catheter patency </w:t>
            </w:r>
          </w:p>
          <w:p w:rsidR="00840391" w:rsidP="00131848" w:rsidRDefault="00840391" w14:paraId="69256596" w14:textId="77777777">
            <w:pPr>
              <w:pStyle w:val="BodyText"/>
              <w:rPr>
                <w:rFonts w:cs="Arial"/>
                <w:sz w:val="20"/>
                <w:lang w:val="en-AU"/>
              </w:rPr>
            </w:pPr>
            <w:r>
              <w:rPr>
                <w:rFonts w:cs="Arial"/>
                <w:sz w:val="20"/>
                <w:lang w:val="en-AU"/>
              </w:rPr>
              <w:lastRenderedPageBreak/>
              <w:t xml:space="preserve">Add 25 units (2.5 mL) of </w:t>
            </w:r>
            <w:r w:rsidRPr="008F0D4B">
              <w:rPr>
                <w:rFonts w:cs="Arial"/>
                <w:b/>
                <w:sz w:val="20"/>
                <w:lang w:val="en-AU"/>
              </w:rPr>
              <w:t>heparinised saline</w:t>
            </w:r>
            <w:r>
              <w:rPr>
                <w:rFonts w:cs="Arial"/>
                <w:sz w:val="20"/>
                <w:lang w:val="en-AU"/>
              </w:rPr>
              <w:t xml:space="preserve"> to 47.5 mL of </w:t>
            </w:r>
            <w:r w:rsidRPr="00FD4C91">
              <w:rPr>
                <w:rFonts w:cs="Arial"/>
                <w:sz w:val="20"/>
                <w:lang w:val="en-AU"/>
              </w:rPr>
              <w:t xml:space="preserve">sodium chloride </w:t>
            </w:r>
            <w:r>
              <w:rPr>
                <w:rFonts w:cs="Arial"/>
                <w:sz w:val="20"/>
                <w:lang w:val="en-AU"/>
              </w:rPr>
              <w:t xml:space="preserve">0.9% or 0.45% to make a final volume of 50 mL with a concentration of 0.5 unit/mL. </w:t>
            </w:r>
          </w:p>
          <w:p w:rsidRPr="00FD4C91" w:rsidR="00840391" w:rsidP="00131848" w:rsidRDefault="00840391" w14:paraId="5AB71C7C" w14:textId="77777777">
            <w:pPr>
              <w:pStyle w:val="BodyText"/>
              <w:rPr>
                <w:rFonts w:cs="Arial"/>
                <w:b/>
                <w:sz w:val="20"/>
                <w:lang w:val="en-AU"/>
              </w:rPr>
            </w:pPr>
            <w:r>
              <w:rPr>
                <w:rFonts w:cs="Arial"/>
                <w:b/>
                <w:sz w:val="20"/>
                <w:lang w:val="en-AU"/>
              </w:rPr>
              <w:t>Arterial</w:t>
            </w:r>
            <w:r w:rsidRPr="00FD4C91">
              <w:rPr>
                <w:rFonts w:cs="Arial"/>
                <w:b/>
                <w:sz w:val="20"/>
                <w:lang w:val="en-AU"/>
              </w:rPr>
              <w:t xml:space="preserve"> catheter patency </w:t>
            </w:r>
          </w:p>
          <w:p w:rsidRPr="00026F20" w:rsidR="00840391" w:rsidP="00131848" w:rsidRDefault="00840391" w14:paraId="3DCC9797" w14:textId="77777777">
            <w:pPr>
              <w:pStyle w:val="BodyText"/>
              <w:rPr>
                <w:rFonts w:cs="Arial"/>
                <w:sz w:val="20"/>
                <w:lang w:val="en-AU"/>
              </w:rPr>
            </w:pPr>
            <w:r>
              <w:rPr>
                <w:rFonts w:cs="Arial"/>
                <w:sz w:val="20"/>
                <w:lang w:val="en-AU"/>
              </w:rPr>
              <w:t xml:space="preserve">Add 50 units (5 mL) of </w:t>
            </w:r>
            <w:r w:rsidRPr="008F0D4B">
              <w:rPr>
                <w:rFonts w:cs="Arial"/>
                <w:b/>
                <w:sz w:val="20"/>
                <w:lang w:val="en-AU"/>
              </w:rPr>
              <w:t>heparinised saline</w:t>
            </w:r>
            <w:r>
              <w:rPr>
                <w:rFonts w:cs="Arial"/>
                <w:sz w:val="20"/>
                <w:lang w:val="en-AU"/>
              </w:rPr>
              <w:t xml:space="preserve"> to 45 mL of </w:t>
            </w:r>
            <w:r w:rsidRPr="00FD4C91">
              <w:rPr>
                <w:rFonts w:cs="Arial"/>
                <w:sz w:val="20"/>
                <w:lang w:val="en-AU"/>
              </w:rPr>
              <w:t xml:space="preserve">sodium chloride </w:t>
            </w:r>
            <w:r>
              <w:rPr>
                <w:rFonts w:cs="Arial"/>
                <w:sz w:val="20"/>
                <w:lang w:val="en-AU"/>
              </w:rPr>
              <w:t>0.9% or 0.45% to make a final volume of 50 mL with a concentration of 1 unit/mL.</w:t>
            </w:r>
          </w:p>
        </w:tc>
      </w:tr>
      <w:tr w:rsidRPr="003A7895" w:rsidR="00840391" w:rsidTr="00EE20B3" w14:paraId="6362505B" w14:textId="77777777">
        <w:trPr>
          <w:trHeight w:val="224"/>
        </w:trPr>
        <w:tc>
          <w:tcPr>
            <w:tcW w:w="1730" w:type="dxa"/>
          </w:tcPr>
          <w:p w:rsidRPr="00B53E9B" w:rsidR="00840391" w:rsidP="00131848" w:rsidRDefault="00840391" w14:paraId="74168CEA" w14:textId="77777777">
            <w:pPr>
              <w:pStyle w:val="BodyText"/>
              <w:rPr>
                <w:rFonts w:cs="Arial"/>
                <w:b/>
                <w:bCs/>
                <w:sz w:val="20"/>
                <w:lang w:val="en-AU"/>
              </w:rPr>
            </w:pPr>
            <w:r w:rsidRPr="00B53E9B">
              <w:rPr>
                <w:rFonts w:cs="Arial"/>
                <w:b/>
                <w:bCs/>
                <w:sz w:val="20"/>
                <w:lang w:val="en-AU"/>
              </w:rPr>
              <w:lastRenderedPageBreak/>
              <w:t xml:space="preserve">Administration                </w:t>
            </w:r>
          </w:p>
        </w:tc>
        <w:tc>
          <w:tcPr>
            <w:tcW w:w="7513" w:type="dxa"/>
            <w:vAlign w:val="center"/>
          </w:tcPr>
          <w:p w:rsidRPr="00FD4C91" w:rsidR="00840391" w:rsidP="00131848" w:rsidRDefault="00840391" w14:paraId="2028D130" w14:textId="77777777">
            <w:pPr>
              <w:overflowPunct w:val="0"/>
              <w:autoSpaceDE w:val="0"/>
              <w:autoSpaceDN w:val="0"/>
              <w:adjustRightInd w:val="0"/>
              <w:textAlignment w:val="baseline"/>
              <w:rPr>
                <w:rFonts w:cs="Arial"/>
                <w:b/>
                <w:sz w:val="20"/>
              </w:rPr>
            </w:pPr>
            <w:r w:rsidRPr="00FD4C91">
              <w:rPr>
                <w:rFonts w:cs="Arial"/>
                <w:b/>
                <w:sz w:val="20"/>
              </w:rPr>
              <w:t>Systemic antithrombotic therapy</w:t>
            </w:r>
          </w:p>
          <w:p w:rsidR="00840391" w:rsidP="00131848" w:rsidRDefault="00840391" w14:paraId="58EDF2BB" w14:textId="77777777">
            <w:pPr>
              <w:overflowPunct w:val="0"/>
              <w:autoSpaceDE w:val="0"/>
              <w:autoSpaceDN w:val="0"/>
              <w:adjustRightInd w:val="0"/>
              <w:textAlignment w:val="baseline"/>
              <w:rPr>
                <w:rFonts w:cs="Arial"/>
                <w:sz w:val="20"/>
              </w:rPr>
            </w:pPr>
            <w:r>
              <w:rPr>
                <w:rFonts w:cs="Arial"/>
                <w:sz w:val="20"/>
              </w:rPr>
              <w:t>Loading dose: Administer over 30 minutes.</w:t>
            </w:r>
            <w:r w:rsidRPr="00FD4C91">
              <w:rPr>
                <w:rFonts w:cs="Arial"/>
                <w:sz w:val="20"/>
              </w:rPr>
              <w:t xml:space="preserve"> </w:t>
            </w:r>
          </w:p>
          <w:p w:rsidRPr="00FD4C91" w:rsidR="00840391" w:rsidP="00131848" w:rsidRDefault="00840391" w14:paraId="3B85D709" w14:textId="77777777">
            <w:pPr>
              <w:overflowPunct w:val="0"/>
              <w:autoSpaceDE w:val="0"/>
              <w:autoSpaceDN w:val="0"/>
              <w:adjustRightInd w:val="0"/>
              <w:textAlignment w:val="baseline"/>
              <w:rPr>
                <w:rFonts w:cs="Arial"/>
                <w:sz w:val="20"/>
              </w:rPr>
            </w:pPr>
            <w:r>
              <w:rPr>
                <w:rFonts w:cs="Arial"/>
                <w:sz w:val="20"/>
              </w:rPr>
              <w:t>Maintenance: C</w:t>
            </w:r>
            <w:r w:rsidRPr="00FD4C91">
              <w:rPr>
                <w:rFonts w:cs="Arial"/>
                <w:sz w:val="20"/>
              </w:rPr>
              <w:t>ontinuous IV infusion</w:t>
            </w:r>
            <w:r>
              <w:rPr>
                <w:rFonts w:cs="Arial"/>
                <w:sz w:val="20"/>
              </w:rPr>
              <w:t>.</w:t>
            </w:r>
          </w:p>
          <w:p w:rsidRPr="00FD4C91" w:rsidR="00840391" w:rsidP="00131848" w:rsidRDefault="00840391" w14:paraId="18974BB7" w14:textId="77777777">
            <w:pPr>
              <w:overflowPunct w:val="0"/>
              <w:autoSpaceDE w:val="0"/>
              <w:autoSpaceDN w:val="0"/>
              <w:adjustRightInd w:val="0"/>
              <w:textAlignment w:val="baseline"/>
              <w:rPr>
                <w:rFonts w:cs="Arial"/>
                <w:b/>
                <w:sz w:val="20"/>
              </w:rPr>
            </w:pPr>
            <w:r>
              <w:rPr>
                <w:rFonts w:cs="Arial"/>
                <w:b/>
                <w:sz w:val="20"/>
              </w:rPr>
              <w:t>Vascular c</w:t>
            </w:r>
            <w:r w:rsidRPr="00FD4C91">
              <w:rPr>
                <w:rFonts w:cs="Arial"/>
                <w:b/>
                <w:sz w:val="20"/>
              </w:rPr>
              <w:t xml:space="preserve">atheter patency </w:t>
            </w:r>
          </w:p>
          <w:p w:rsidRPr="00026F20" w:rsidR="00840391" w:rsidP="00131848" w:rsidRDefault="00840391" w14:paraId="7F405DFB" w14:textId="77777777">
            <w:pPr>
              <w:pStyle w:val="BodyText"/>
              <w:rPr>
                <w:rFonts w:cs="Arial"/>
                <w:sz w:val="20"/>
                <w:lang w:val="en-AU"/>
              </w:rPr>
            </w:pPr>
            <w:r w:rsidRPr="00FD4C91">
              <w:rPr>
                <w:rFonts w:cs="Arial"/>
                <w:sz w:val="20"/>
                <w:szCs w:val="24"/>
                <w:lang w:val="en-AU"/>
              </w:rPr>
              <w:t>Continuous IV infusion</w:t>
            </w:r>
            <w:r>
              <w:rPr>
                <w:rFonts w:cs="Arial"/>
                <w:sz w:val="20"/>
                <w:szCs w:val="24"/>
                <w:lang w:val="en-AU"/>
              </w:rPr>
              <w:t>.</w:t>
            </w:r>
          </w:p>
        </w:tc>
      </w:tr>
      <w:tr w:rsidRPr="003A7895" w:rsidR="00840391" w:rsidTr="00EE20B3" w14:paraId="5B1B750C" w14:textId="77777777">
        <w:trPr>
          <w:trHeight w:val="215"/>
        </w:trPr>
        <w:tc>
          <w:tcPr>
            <w:tcW w:w="1730" w:type="dxa"/>
          </w:tcPr>
          <w:p w:rsidRPr="00B53E9B" w:rsidR="00840391" w:rsidP="00131848" w:rsidRDefault="00840391" w14:paraId="4DB19BBC" w14:textId="77777777">
            <w:pPr>
              <w:pStyle w:val="BodyText"/>
              <w:rPr>
                <w:rFonts w:cs="Arial"/>
                <w:b/>
                <w:bCs/>
                <w:sz w:val="20"/>
                <w:lang w:val="en-AU"/>
              </w:rPr>
            </w:pPr>
            <w:r w:rsidRPr="00B53E9B">
              <w:rPr>
                <w:rFonts w:cs="Arial"/>
                <w:b/>
                <w:bCs/>
                <w:sz w:val="20"/>
                <w:lang w:val="en-AU"/>
              </w:rPr>
              <w:t xml:space="preserve">Monitoring                              </w:t>
            </w:r>
          </w:p>
        </w:tc>
        <w:tc>
          <w:tcPr>
            <w:tcW w:w="7513" w:type="dxa"/>
          </w:tcPr>
          <w:p w:rsidRPr="00FD4C91" w:rsidR="00840391" w:rsidP="00131848" w:rsidRDefault="00840391" w14:paraId="31B04B9F" w14:textId="77777777">
            <w:pPr>
              <w:overflowPunct w:val="0"/>
              <w:autoSpaceDE w:val="0"/>
              <w:autoSpaceDN w:val="0"/>
              <w:adjustRightInd w:val="0"/>
              <w:textAlignment w:val="baseline"/>
              <w:rPr>
                <w:rFonts w:cs="Arial"/>
                <w:b/>
                <w:sz w:val="20"/>
              </w:rPr>
            </w:pPr>
            <w:r>
              <w:rPr>
                <w:rFonts w:cs="Arial"/>
                <w:b/>
                <w:sz w:val="20"/>
              </w:rPr>
              <w:t>A</w:t>
            </w:r>
            <w:r w:rsidRPr="00FD4C91">
              <w:rPr>
                <w:rFonts w:cs="Arial"/>
                <w:b/>
                <w:sz w:val="20"/>
              </w:rPr>
              <w:t xml:space="preserve">ntithrombotic </w:t>
            </w:r>
            <w:r>
              <w:rPr>
                <w:rFonts w:cs="Arial"/>
                <w:b/>
                <w:sz w:val="20"/>
              </w:rPr>
              <w:t>prophylaxis</w:t>
            </w:r>
          </w:p>
          <w:p w:rsidRPr="00FD4C91" w:rsidR="00840391" w:rsidP="00131848" w:rsidRDefault="00840391" w14:paraId="5351E1CF" w14:textId="77777777">
            <w:pPr>
              <w:overflowPunct w:val="0"/>
              <w:autoSpaceDE w:val="0"/>
              <w:autoSpaceDN w:val="0"/>
              <w:adjustRightInd w:val="0"/>
              <w:textAlignment w:val="baseline"/>
              <w:rPr>
                <w:rFonts w:cs="Arial"/>
                <w:sz w:val="20"/>
              </w:rPr>
            </w:pPr>
            <w:r>
              <w:rPr>
                <w:rFonts w:cs="Arial"/>
                <w:sz w:val="20"/>
              </w:rPr>
              <w:t>Six</w:t>
            </w:r>
            <w:r w:rsidRPr="00FD4C91">
              <w:rPr>
                <w:rFonts w:cs="Arial"/>
                <w:sz w:val="20"/>
              </w:rPr>
              <w:t xml:space="preserve"> hours after initiating therapy, measure</w:t>
            </w:r>
            <w:r>
              <w:rPr>
                <w:rFonts w:cs="Arial"/>
                <w:sz w:val="20"/>
              </w:rPr>
              <w:t xml:space="preserve"> anti-Xa (or</w:t>
            </w:r>
            <w:r w:rsidRPr="00FD4C91">
              <w:rPr>
                <w:rFonts w:cs="Arial"/>
                <w:sz w:val="20"/>
              </w:rPr>
              <w:t xml:space="preserve"> </w:t>
            </w:r>
            <w:r>
              <w:rPr>
                <w:rFonts w:cs="Arial"/>
                <w:sz w:val="20"/>
              </w:rPr>
              <w:t>A</w:t>
            </w:r>
            <w:r w:rsidRPr="00FD4C91">
              <w:rPr>
                <w:rFonts w:cs="Arial"/>
                <w:sz w:val="20"/>
              </w:rPr>
              <w:t>PT</w:t>
            </w:r>
            <w:r>
              <w:rPr>
                <w:rFonts w:cs="Arial"/>
                <w:sz w:val="20"/>
              </w:rPr>
              <w:t>T if anti-Xa is not available)</w:t>
            </w:r>
            <w:r w:rsidRPr="00FD4C91">
              <w:rPr>
                <w:rFonts w:cs="Arial"/>
                <w:sz w:val="20"/>
              </w:rPr>
              <w:t>, then adjust dose to achieve anti</w:t>
            </w:r>
            <w:r>
              <w:rPr>
                <w:rFonts w:cs="Arial"/>
                <w:sz w:val="20"/>
              </w:rPr>
              <w:t>-</w:t>
            </w:r>
            <w:r w:rsidRPr="00FD4C91">
              <w:rPr>
                <w:rFonts w:cs="Arial"/>
                <w:sz w:val="20"/>
              </w:rPr>
              <w:t>Xa level of 0.3 to 0.7</w:t>
            </w:r>
            <w:r>
              <w:rPr>
                <w:rFonts w:cs="Arial"/>
                <w:sz w:val="20"/>
              </w:rPr>
              <w:t xml:space="preserve"> unit/mL</w:t>
            </w:r>
            <w:r w:rsidRPr="00FD4C91">
              <w:rPr>
                <w:rFonts w:cs="Arial"/>
                <w:sz w:val="20"/>
              </w:rPr>
              <w:t xml:space="preserve"> (</w:t>
            </w:r>
            <w:r>
              <w:rPr>
                <w:rFonts w:cs="Arial"/>
                <w:sz w:val="20"/>
              </w:rPr>
              <w:t>equivalent to A</w:t>
            </w:r>
            <w:r w:rsidRPr="00FD4C91">
              <w:rPr>
                <w:rFonts w:cs="Arial"/>
                <w:sz w:val="20"/>
              </w:rPr>
              <w:t>PTT of 60 to 85 seconds) – Refer to table</w:t>
            </w:r>
            <w:r>
              <w:rPr>
                <w:rFonts w:cs="Arial"/>
                <w:sz w:val="20"/>
              </w:rPr>
              <w:t>s</w:t>
            </w:r>
            <w:r w:rsidRPr="00FD4C91">
              <w:rPr>
                <w:rFonts w:cs="Arial"/>
                <w:sz w:val="20"/>
              </w:rPr>
              <w:t xml:space="preserve"> </w:t>
            </w:r>
            <w:r>
              <w:rPr>
                <w:rFonts w:cs="Arial"/>
                <w:sz w:val="20"/>
              </w:rPr>
              <w:t xml:space="preserve">1 and 2 </w:t>
            </w:r>
            <w:r w:rsidRPr="00FD4C91">
              <w:rPr>
                <w:rFonts w:cs="Arial"/>
                <w:sz w:val="20"/>
              </w:rPr>
              <w:t>in the dosing section.</w:t>
            </w:r>
          </w:p>
          <w:p w:rsidR="00840391" w:rsidP="00131848" w:rsidRDefault="00840391" w14:paraId="0750B43E" w14:textId="77777777">
            <w:pPr>
              <w:overflowPunct w:val="0"/>
              <w:autoSpaceDE w:val="0"/>
              <w:autoSpaceDN w:val="0"/>
              <w:adjustRightInd w:val="0"/>
              <w:textAlignment w:val="baseline"/>
              <w:rPr>
                <w:rFonts w:cs="Arial"/>
                <w:sz w:val="20"/>
              </w:rPr>
            </w:pPr>
            <w:r w:rsidRPr="00856838">
              <w:rPr>
                <w:rFonts w:cs="Arial"/>
                <w:sz w:val="20"/>
              </w:rPr>
              <w:t xml:space="preserve">Platelet count before </w:t>
            </w:r>
            <w:r>
              <w:rPr>
                <w:rFonts w:cs="Arial"/>
                <w:sz w:val="20"/>
              </w:rPr>
              <w:t>the commencement and</w:t>
            </w:r>
            <w:r w:rsidRPr="00856838">
              <w:rPr>
                <w:rFonts w:cs="Arial"/>
                <w:sz w:val="20"/>
              </w:rPr>
              <w:t xml:space="preserve"> then weekly</w:t>
            </w:r>
            <w:r>
              <w:rPr>
                <w:rFonts w:cs="Arial"/>
                <w:sz w:val="20"/>
              </w:rPr>
              <w:t xml:space="preserve">. </w:t>
            </w:r>
          </w:p>
          <w:p w:rsidR="00840391" w:rsidP="00131848" w:rsidRDefault="00840391" w14:paraId="3E1F7388" w14:textId="77777777">
            <w:pPr>
              <w:overflowPunct w:val="0"/>
              <w:autoSpaceDE w:val="0"/>
              <w:autoSpaceDN w:val="0"/>
              <w:adjustRightInd w:val="0"/>
              <w:textAlignment w:val="baseline"/>
              <w:rPr>
                <w:rFonts w:cs="Arial"/>
                <w:sz w:val="20"/>
              </w:rPr>
            </w:pPr>
            <w:r>
              <w:rPr>
                <w:rFonts w:cs="Arial"/>
                <w:sz w:val="20"/>
              </w:rPr>
              <w:t>Assess for signs of bleeding and thrombosis.</w:t>
            </w:r>
          </w:p>
          <w:p w:rsidRPr="00FD4C91" w:rsidR="00840391" w:rsidP="00131848" w:rsidRDefault="00840391" w14:paraId="57A00D69" w14:textId="77777777">
            <w:pPr>
              <w:overflowPunct w:val="0"/>
              <w:autoSpaceDE w:val="0"/>
              <w:autoSpaceDN w:val="0"/>
              <w:adjustRightInd w:val="0"/>
              <w:textAlignment w:val="baseline"/>
              <w:rPr>
                <w:rFonts w:cs="Arial"/>
                <w:b/>
                <w:sz w:val="20"/>
              </w:rPr>
            </w:pPr>
            <w:r>
              <w:rPr>
                <w:rFonts w:cs="Arial"/>
                <w:b/>
                <w:sz w:val="20"/>
              </w:rPr>
              <w:t>Vascular c</w:t>
            </w:r>
            <w:r w:rsidRPr="00FD4C91">
              <w:rPr>
                <w:rFonts w:cs="Arial"/>
                <w:b/>
                <w:sz w:val="20"/>
              </w:rPr>
              <w:t>atheter patency</w:t>
            </w:r>
          </w:p>
          <w:p w:rsidRPr="00373907" w:rsidR="00840391" w:rsidP="00131848" w:rsidRDefault="00840391" w14:paraId="322F494A" w14:textId="77777777">
            <w:pPr>
              <w:overflowPunct w:val="0"/>
              <w:autoSpaceDE w:val="0"/>
              <w:autoSpaceDN w:val="0"/>
              <w:adjustRightInd w:val="0"/>
              <w:textAlignment w:val="baseline"/>
              <w:rPr>
                <w:rFonts w:cs="Arial"/>
                <w:sz w:val="20"/>
              </w:rPr>
            </w:pPr>
            <w:r w:rsidRPr="00FD4C91">
              <w:rPr>
                <w:rFonts w:cs="Arial"/>
                <w:sz w:val="20"/>
              </w:rPr>
              <w:t>Standard observations</w:t>
            </w:r>
            <w:r w:rsidRPr="00FD4C91">
              <w:rPr>
                <w:rFonts w:cs="Arial"/>
                <w:b/>
                <w:sz w:val="20"/>
              </w:rPr>
              <w:t xml:space="preserve"> </w:t>
            </w:r>
            <w:r w:rsidRPr="00FD4C91">
              <w:rPr>
                <w:rFonts w:cs="Arial"/>
                <w:sz w:val="20"/>
              </w:rPr>
              <w:t>for intravascular catheters.</w:t>
            </w:r>
            <w:r w:rsidRPr="008616C1">
              <w:rPr>
                <w:rFonts w:cs="Arial"/>
                <w:b/>
                <w:sz w:val="20"/>
              </w:rPr>
              <w:t xml:space="preserve"> </w:t>
            </w:r>
          </w:p>
        </w:tc>
      </w:tr>
      <w:tr w:rsidRPr="003A7895" w:rsidR="00840391" w:rsidTr="00EE20B3" w14:paraId="5161731E" w14:textId="77777777">
        <w:trPr>
          <w:trHeight w:val="342"/>
        </w:trPr>
        <w:tc>
          <w:tcPr>
            <w:tcW w:w="1730" w:type="dxa"/>
          </w:tcPr>
          <w:p w:rsidRPr="00B53E9B" w:rsidR="00840391" w:rsidP="00131848" w:rsidRDefault="00840391" w14:paraId="47662D0B" w14:textId="77777777">
            <w:pPr>
              <w:pStyle w:val="BodyText"/>
              <w:rPr>
                <w:rFonts w:cs="Arial"/>
                <w:b/>
                <w:bCs/>
                <w:sz w:val="20"/>
                <w:lang w:val="en-AU"/>
              </w:rPr>
            </w:pPr>
            <w:r w:rsidRPr="00B53E9B">
              <w:rPr>
                <w:rFonts w:cs="Arial"/>
                <w:b/>
                <w:bCs/>
                <w:sz w:val="20"/>
                <w:lang w:val="en-AU"/>
              </w:rPr>
              <w:t xml:space="preserve">Contraindications                        </w:t>
            </w:r>
          </w:p>
        </w:tc>
        <w:tc>
          <w:tcPr>
            <w:tcW w:w="7513" w:type="dxa"/>
          </w:tcPr>
          <w:p w:rsidRPr="00FD4C91" w:rsidR="00840391" w:rsidP="00131848" w:rsidRDefault="00840391" w14:paraId="35DAD71D" w14:textId="77777777">
            <w:pPr>
              <w:pStyle w:val="BodyText"/>
              <w:rPr>
                <w:rFonts w:cs="Arial"/>
                <w:sz w:val="20"/>
                <w:lang w:val="en-AU"/>
              </w:rPr>
            </w:pPr>
            <w:r w:rsidRPr="00FD4C91">
              <w:rPr>
                <w:rFonts w:cs="Arial"/>
                <w:sz w:val="20"/>
                <w:lang w:val="en-AU"/>
              </w:rPr>
              <w:t>Known hypersensitivity to heparin, uncontrolled bleeding</w:t>
            </w:r>
            <w:r>
              <w:rPr>
                <w:rFonts w:cs="Arial"/>
                <w:sz w:val="20"/>
                <w:lang w:val="en-AU"/>
              </w:rPr>
              <w:t>.</w:t>
            </w:r>
          </w:p>
          <w:p w:rsidR="00840391" w:rsidP="00131848" w:rsidRDefault="00840391" w14:paraId="277B3E64" w14:textId="77777777">
            <w:pPr>
              <w:pStyle w:val="BodyText"/>
              <w:rPr>
                <w:rFonts w:cs="Arial"/>
                <w:sz w:val="20"/>
                <w:lang w:val="en-AU"/>
              </w:rPr>
            </w:pPr>
            <w:r w:rsidRPr="00FD4C91">
              <w:rPr>
                <w:rFonts w:cs="Arial"/>
                <w:sz w:val="20"/>
                <w:lang w:val="en-AU"/>
              </w:rPr>
              <w:t>Intraventricular haemorrhage, gastrointestinal haemorrhage, thrombocytopenia &lt; 50 x 10</w:t>
            </w:r>
            <w:r w:rsidRPr="007344DE">
              <w:rPr>
                <w:rFonts w:cs="Arial"/>
                <w:sz w:val="20"/>
                <w:vertAlign w:val="superscript"/>
                <w:lang w:val="en-AU"/>
              </w:rPr>
              <w:t>9</w:t>
            </w:r>
            <w:r w:rsidRPr="00FD4C91">
              <w:rPr>
                <w:rFonts w:cs="Arial"/>
                <w:sz w:val="20"/>
                <w:lang w:val="en-AU"/>
              </w:rPr>
              <w:t>/L, severe hypertension</w:t>
            </w:r>
            <w:r>
              <w:rPr>
                <w:rFonts w:cs="Arial"/>
                <w:sz w:val="20"/>
                <w:lang w:val="en-AU"/>
              </w:rPr>
              <w:t>.</w:t>
            </w:r>
          </w:p>
          <w:p w:rsidRPr="00026F20" w:rsidR="00840391" w:rsidP="00131848" w:rsidRDefault="00840391" w14:paraId="3E15476A" w14:textId="77777777">
            <w:pPr>
              <w:pStyle w:val="BodyText"/>
              <w:rPr>
                <w:rFonts w:cs="Arial"/>
                <w:sz w:val="20"/>
                <w:lang w:val="en-AU"/>
              </w:rPr>
            </w:pPr>
            <w:r>
              <w:rPr>
                <w:rFonts w:cs="Arial"/>
                <w:sz w:val="20"/>
                <w:lang w:val="en-AU"/>
              </w:rPr>
              <w:t>E</w:t>
            </w:r>
            <w:r w:rsidRPr="00FD4C91">
              <w:rPr>
                <w:rFonts w:cs="Arial"/>
                <w:sz w:val="20"/>
                <w:lang w:val="en-AU"/>
              </w:rPr>
              <w:t>ye, brain or spinal cord surgery</w:t>
            </w:r>
            <w:r>
              <w:rPr>
                <w:rFonts w:cs="Arial"/>
                <w:sz w:val="20"/>
                <w:lang w:val="en-AU"/>
              </w:rPr>
              <w:t xml:space="preserve"> – Surgeons to give clearance regarding when to start heparin</w:t>
            </w:r>
            <w:r w:rsidRPr="00FD4C91">
              <w:rPr>
                <w:rFonts w:cs="Arial"/>
                <w:sz w:val="20"/>
                <w:lang w:val="en-AU"/>
              </w:rPr>
              <w:t>.</w:t>
            </w:r>
            <w:r>
              <w:rPr>
                <w:rFonts w:cs="Arial"/>
                <w:sz w:val="20"/>
                <w:vertAlign w:val="superscript"/>
                <w:lang w:val="en-AU"/>
              </w:rPr>
              <w:t>7</w:t>
            </w:r>
          </w:p>
        </w:tc>
      </w:tr>
      <w:tr w:rsidRPr="003A7895" w:rsidR="00840391" w:rsidTr="00EE20B3" w14:paraId="406577BB" w14:textId="77777777">
        <w:tc>
          <w:tcPr>
            <w:tcW w:w="1730" w:type="dxa"/>
          </w:tcPr>
          <w:p w:rsidRPr="00B53E9B" w:rsidR="00840391" w:rsidP="00131848" w:rsidRDefault="00840391" w14:paraId="228A15ED"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7513" w:type="dxa"/>
          </w:tcPr>
          <w:p w:rsidR="00840391" w:rsidP="00131848" w:rsidRDefault="00840391" w14:paraId="2677D847" w14:textId="77777777">
            <w:pPr>
              <w:pStyle w:val="BodyText"/>
              <w:rPr>
                <w:rFonts w:cs="Arial"/>
                <w:sz w:val="20"/>
                <w:lang w:val="en-AU"/>
              </w:rPr>
            </w:pPr>
            <w:r>
              <w:rPr>
                <w:rFonts w:cs="Arial"/>
                <w:sz w:val="20"/>
                <w:lang w:val="en-AU"/>
              </w:rPr>
              <w:t>Bleeding disorders – Discuss with haematologist.</w:t>
            </w:r>
          </w:p>
          <w:p w:rsidRPr="00026F20" w:rsidR="00840391" w:rsidP="00131848" w:rsidRDefault="00840391" w14:paraId="5EB0D197" w14:textId="77777777">
            <w:pPr>
              <w:pStyle w:val="BodyText"/>
              <w:rPr>
                <w:rFonts w:cs="Arial"/>
                <w:sz w:val="20"/>
                <w:lang w:val="en-AU"/>
              </w:rPr>
            </w:pPr>
            <w:r w:rsidRPr="00FD4C91">
              <w:rPr>
                <w:rFonts w:cs="Arial"/>
                <w:sz w:val="20"/>
                <w:lang w:val="en-AU"/>
              </w:rPr>
              <w:t>Store heparinised saline ampoules separately from other heparin products and sodium chloride 0.9% ampoules to reduce the risk of selection errors</w:t>
            </w:r>
            <w:r>
              <w:rPr>
                <w:rFonts w:cs="Arial"/>
                <w:sz w:val="20"/>
                <w:lang w:val="en-AU"/>
              </w:rPr>
              <w:t>.</w:t>
            </w:r>
          </w:p>
        </w:tc>
      </w:tr>
      <w:tr w:rsidRPr="003A7895" w:rsidR="00840391" w:rsidTr="00EE20B3" w14:paraId="62AC5D78" w14:textId="77777777">
        <w:trPr>
          <w:trHeight w:val="70"/>
        </w:trPr>
        <w:tc>
          <w:tcPr>
            <w:tcW w:w="1730" w:type="dxa"/>
          </w:tcPr>
          <w:p w:rsidRPr="00B53E9B" w:rsidR="00840391" w:rsidP="00131848" w:rsidRDefault="00840391" w14:paraId="0FAF0DAA"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7513" w:type="dxa"/>
          </w:tcPr>
          <w:p w:rsidRPr="00026F20" w:rsidR="00840391" w:rsidP="00131848" w:rsidRDefault="00840391" w14:paraId="49ABE63C" w14:textId="77777777">
            <w:pPr>
              <w:pStyle w:val="BodyText"/>
              <w:rPr>
                <w:rFonts w:cs="Arial"/>
                <w:sz w:val="20"/>
                <w:lang w:val="en-AU"/>
              </w:rPr>
            </w:pPr>
            <w:r>
              <w:rPr>
                <w:rFonts w:cs="Arial"/>
                <w:sz w:val="20"/>
                <w:lang w:val="en-AU"/>
              </w:rPr>
              <w:t>Paracetamol, n</w:t>
            </w:r>
            <w:r w:rsidRPr="00FD4C91">
              <w:rPr>
                <w:rFonts w:cs="Arial"/>
                <w:sz w:val="20"/>
                <w:lang w:val="en-AU"/>
              </w:rPr>
              <w:t xml:space="preserve">on-steroid anti-inflammatory drugs, </w:t>
            </w:r>
            <w:r>
              <w:rPr>
                <w:rFonts w:cs="Arial"/>
                <w:sz w:val="20"/>
                <w:lang w:val="en-AU"/>
              </w:rPr>
              <w:t>a</w:t>
            </w:r>
            <w:r w:rsidRPr="00FD4C91">
              <w:rPr>
                <w:rFonts w:cs="Arial"/>
                <w:sz w:val="20"/>
                <w:lang w:val="en-AU"/>
              </w:rPr>
              <w:t xml:space="preserve">lprostadil, thrombolytic agents, </w:t>
            </w:r>
            <w:r>
              <w:rPr>
                <w:rFonts w:cs="Arial"/>
                <w:sz w:val="20"/>
                <w:lang w:val="en-AU"/>
              </w:rPr>
              <w:t>v</w:t>
            </w:r>
            <w:r w:rsidRPr="00FD4C91">
              <w:rPr>
                <w:rFonts w:cs="Arial"/>
                <w:sz w:val="20"/>
                <w:lang w:val="en-AU"/>
              </w:rPr>
              <w:t>itamin A may increase the risk of bleeding.</w:t>
            </w:r>
          </w:p>
        </w:tc>
      </w:tr>
      <w:tr w:rsidRPr="003A7895" w:rsidR="00840391" w:rsidTr="00EE20B3" w14:paraId="56903356" w14:textId="77777777">
        <w:trPr>
          <w:trHeight w:val="332"/>
        </w:trPr>
        <w:tc>
          <w:tcPr>
            <w:tcW w:w="1730" w:type="dxa"/>
          </w:tcPr>
          <w:p w:rsidRPr="00B53E9B" w:rsidR="00840391" w:rsidP="00131848" w:rsidRDefault="00840391" w14:paraId="098A9DFD"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7513" w:type="dxa"/>
          </w:tcPr>
          <w:p w:rsidR="00840391" w:rsidP="00131848" w:rsidRDefault="00840391" w14:paraId="25DB9AC6" w14:textId="77777777">
            <w:pPr>
              <w:overflowPunct w:val="0"/>
              <w:autoSpaceDE w:val="0"/>
              <w:autoSpaceDN w:val="0"/>
              <w:adjustRightInd w:val="0"/>
              <w:textAlignment w:val="baseline"/>
              <w:rPr>
                <w:rFonts w:cs="Arial"/>
                <w:sz w:val="20"/>
              </w:rPr>
            </w:pPr>
            <w:r w:rsidRPr="00FD4C91">
              <w:rPr>
                <w:rFonts w:cs="Arial"/>
                <w:sz w:val="20"/>
              </w:rPr>
              <w:t xml:space="preserve">Haemorrhage and haematoma formation. </w:t>
            </w:r>
          </w:p>
          <w:p w:rsidR="00840391" w:rsidP="00131848" w:rsidRDefault="00840391" w14:paraId="74CD69AE" w14:textId="77777777">
            <w:pPr>
              <w:overflowPunct w:val="0"/>
              <w:autoSpaceDE w:val="0"/>
              <w:autoSpaceDN w:val="0"/>
              <w:adjustRightInd w:val="0"/>
              <w:textAlignment w:val="baseline"/>
              <w:rPr>
                <w:rFonts w:cs="Arial"/>
                <w:sz w:val="20"/>
              </w:rPr>
            </w:pPr>
            <w:r w:rsidRPr="00FD4C91">
              <w:rPr>
                <w:rFonts w:cs="Arial"/>
                <w:sz w:val="20"/>
              </w:rPr>
              <w:t>Heparin-induced thrombocytopenia (HIT)</w:t>
            </w:r>
            <w:r>
              <w:rPr>
                <w:rFonts w:cs="Arial"/>
                <w:sz w:val="20"/>
              </w:rPr>
              <w:t>.</w:t>
            </w:r>
            <w:r w:rsidRPr="00FD4C91">
              <w:rPr>
                <w:rFonts w:cs="Arial"/>
                <w:sz w:val="20"/>
              </w:rPr>
              <w:t xml:space="preserve"> </w:t>
            </w:r>
          </w:p>
          <w:p w:rsidR="00840391" w:rsidP="00131848" w:rsidRDefault="00840391" w14:paraId="075C2A8E" w14:textId="77777777">
            <w:pPr>
              <w:overflowPunct w:val="0"/>
              <w:autoSpaceDE w:val="0"/>
              <w:autoSpaceDN w:val="0"/>
              <w:adjustRightInd w:val="0"/>
              <w:textAlignment w:val="baseline"/>
              <w:rPr>
                <w:rFonts w:cs="Arial"/>
                <w:sz w:val="20"/>
              </w:rPr>
            </w:pPr>
            <w:r w:rsidRPr="00FD4C91">
              <w:rPr>
                <w:rFonts w:cs="Arial"/>
                <w:sz w:val="20"/>
              </w:rPr>
              <w:t>Osteoporosis</w:t>
            </w:r>
            <w:r>
              <w:rPr>
                <w:rFonts w:cs="Arial"/>
                <w:sz w:val="20"/>
              </w:rPr>
              <w:t>.</w:t>
            </w:r>
            <w:r w:rsidRPr="00FD4C91">
              <w:rPr>
                <w:rFonts w:cs="Arial"/>
                <w:sz w:val="20"/>
              </w:rPr>
              <w:t xml:space="preserve"> </w:t>
            </w:r>
          </w:p>
          <w:p w:rsidR="00840391" w:rsidP="00131848" w:rsidRDefault="00840391" w14:paraId="75D94440" w14:textId="77777777">
            <w:pPr>
              <w:overflowPunct w:val="0"/>
              <w:autoSpaceDE w:val="0"/>
              <w:autoSpaceDN w:val="0"/>
              <w:adjustRightInd w:val="0"/>
              <w:textAlignment w:val="baseline"/>
              <w:rPr>
                <w:rFonts w:cs="Arial"/>
                <w:sz w:val="20"/>
              </w:rPr>
            </w:pPr>
            <w:r>
              <w:rPr>
                <w:rFonts w:cs="Arial"/>
                <w:sz w:val="20"/>
              </w:rPr>
              <w:t>C</w:t>
            </w:r>
            <w:r w:rsidRPr="00FD4C91">
              <w:rPr>
                <w:rFonts w:cs="Arial"/>
                <w:sz w:val="20"/>
              </w:rPr>
              <w:t>holestatic liver reaction</w:t>
            </w:r>
            <w:r>
              <w:rPr>
                <w:rFonts w:cs="Arial"/>
                <w:sz w:val="20"/>
              </w:rPr>
              <w:t xml:space="preserve"> and</w:t>
            </w:r>
            <w:r w:rsidRPr="00FD4C91">
              <w:rPr>
                <w:rFonts w:cs="Arial"/>
                <w:sz w:val="20"/>
              </w:rPr>
              <w:t xml:space="preserve"> elevation of transaminases</w:t>
            </w:r>
            <w:r>
              <w:rPr>
                <w:rFonts w:cs="Arial"/>
                <w:sz w:val="20"/>
              </w:rPr>
              <w:t>.</w:t>
            </w:r>
            <w:r w:rsidRPr="00FD4C91">
              <w:rPr>
                <w:rFonts w:cs="Arial"/>
                <w:sz w:val="20"/>
              </w:rPr>
              <w:t xml:space="preserve"> </w:t>
            </w:r>
          </w:p>
          <w:p w:rsidRPr="00FD4C91" w:rsidR="00840391" w:rsidP="00131848" w:rsidRDefault="00840391" w14:paraId="2B1C5412" w14:textId="77777777">
            <w:pPr>
              <w:overflowPunct w:val="0"/>
              <w:autoSpaceDE w:val="0"/>
              <w:autoSpaceDN w:val="0"/>
              <w:adjustRightInd w:val="0"/>
              <w:textAlignment w:val="baseline"/>
              <w:rPr>
                <w:rFonts w:cs="Arial"/>
                <w:sz w:val="20"/>
              </w:rPr>
            </w:pPr>
            <w:r>
              <w:rPr>
                <w:rFonts w:cs="Arial"/>
                <w:sz w:val="20"/>
              </w:rPr>
              <w:t>H</w:t>
            </w:r>
            <w:r w:rsidRPr="00FD4C91">
              <w:rPr>
                <w:rFonts w:cs="Arial"/>
                <w:sz w:val="20"/>
              </w:rPr>
              <w:t>yperaldosteronism can occur after prolonged administration.</w:t>
            </w:r>
            <w:r w:rsidRPr="00B512F4">
              <w:rPr>
                <w:rFonts w:cs="Arial"/>
                <w:sz w:val="20"/>
                <w:vertAlign w:val="superscript"/>
              </w:rPr>
              <w:t>8</w:t>
            </w:r>
          </w:p>
          <w:p w:rsidRPr="00FD4C91" w:rsidR="00840391" w:rsidP="00131848" w:rsidRDefault="00840391" w14:paraId="78D20416" w14:textId="77777777">
            <w:pPr>
              <w:overflowPunct w:val="0"/>
              <w:autoSpaceDE w:val="0"/>
              <w:autoSpaceDN w:val="0"/>
              <w:adjustRightInd w:val="0"/>
              <w:textAlignment w:val="baseline"/>
              <w:rPr>
                <w:rFonts w:cs="Arial"/>
                <w:sz w:val="20"/>
              </w:rPr>
            </w:pPr>
          </w:p>
          <w:p w:rsidRPr="00FD4C91" w:rsidR="00840391" w:rsidP="00131848" w:rsidRDefault="00840391" w14:paraId="2BF3C01F" w14:textId="77777777">
            <w:pPr>
              <w:overflowPunct w:val="0"/>
              <w:autoSpaceDE w:val="0"/>
              <w:autoSpaceDN w:val="0"/>
              <w:adjustRightInd w:val="0"/>
              <w:textAlignment w:val="baseline"/>
              <w:rPr>
                <w:rFonts w:cs="Arial"/>
                <w:sz w:val="20"/>
              </w:rPr>
            </w:pPr>
            <w:r w:rsidRPr="00FD4C91">
              <w:rPr>
                <w:rFonts w:cs="Arial"/>
                <w:sz w:val="20"/>
              </w:rPr>
              <w:t xml:space="preserve">Treatment of Heparin-Induced Bleeding: (1) </w:t>
            </w:r>
            <w:r>
              <w:rPr>
                <w:rFonts w:cs="Arial"/>
                <w:sz w:val="20"/>
              </w:rPr>
              <w:t>c</w:t>
            </w:r>
            <w:r w:rsidRPr="00FD4C91">
              <w:rPr>
                <w:rFonts w:cs="Arial"/>
                <w:sz w:val="20"/>
              </w:rPr>
              <w:t>ease heparin and (2) if immediate reversal is required, administer protamine sulfate. The required dose of protamine sulfate is based on the amount of UFH received in the previous 2 hours as follows:</w:t>
            </w:r>
            <w:r w:rsidRPr="00FD4C91">
              <w:rPr>
                <w:rFonts w:cs="Arial"/>
                <w:sz w:val="20"/>
                <w:vertAlign w:val="superscript"/>
              </w:rPr>
              <w:t>1</w:t>
            </w:r>
          </w:p>
          <w:p w:rsidRPr="00FD4C91" w:rsidR="00840391" w:rsidP="00131848" w:rsidRDefault="00840391" w14:paraId="411E301E" w14:textId="77777777">
            <w:pPr>
              <w:overflowPunct w:val="0"/>
              <w:autoSpaceDE w:val="0"/>
              <w:autoSpaceDN w:val="0"/>
              <w:adjustRightInd w:val="0"/>
              <w:textAlignment w:val="baseline"/>
              <w:rPr>
                <w:rFonts w:cs="Arial"/>
                <w:sz w:val="20"/>
              </w:rPr>
            </w:pPr>
          </w:p>
          <w:tbl>
            <w:tblPr>
              <w:tblStyle w:val="TableGrid"/>
              <w:tblW w:w="6234" w:type="dxa"/>
              <w:tblInd w:w="454" w:type="dxa"/>
              <w:tblLayout w:type="fixed"/>
              <w:tblLook w:val="04A0" w:firstRow="1" w:lastRow="0" w:firstColumn="1" w:lastColumn="0" w:noHBand="0" w:noVBand="1"/>
            </w:tblPr>
            <w:tblGrid>
              <w:gridCol w:w="3289"/>
              <w:gridCol w:w="2945"/>
            </w:tblGrid>
            <w:tr w:rsidR="00840391" w:rsidTr="00EE20B3" w14:paraId="63E01E8E" w14:textId="77777777">
              <w:tc>
                <w:tcPr>
                  <w:tcW w:w="3289" w:type="dxa"/>
                </w:tcPr>
                <w:p w:rsidRPr="00FA298F" w:rsidR="00840391" w:rsidP="00131848" w:rsidRDefault="00840391" w14:paraId="3E28B3FC" w14:textId="77777777">
                  <w:pPr>
                    <w:jc w:val="center"/>
                    <w:rPr>
                      <w:rFonts w:asciiTheme="minorHAnsi" w:hAnsiTheme="minorHAnsi" w:cstheme="minorHAnsi"/>
                      <w:sz w:val="20"/>
                    </w:rPr>
                  </w:pPr>
                  <w:r w:rsidRPr="00FA298F">
                    <w:rPr>
                      <w:rFonts w:asciiTheme="minorHAnsi" w:hAnsiTheme="minorHAnsi" w:cstheme="minorHAnsi"/>
                      <w:b/>
                      <w:bCs/>
                      <w:sz w:val="20"/>
                    </w:rPr>
                    <w:t xml:space="preserve">Time </w:t>
                  </w:r>
                  <w:r>
                    <w:rPr>
                      <w:rFonts w:asciiTheme="minorHAnsi" w:hAnsiTheme="minorHAnsi" w:cstheme="minorHAnsi"/>
                      <w:b/>
                      <w:bCs/>
                      <w:sz w:val="20"/>
                    </w:rPr>
                    <w:t>S</w:t>
                  </w:r>
                  <w:r w:rsidRPr="00FA298F">
                    <w:rPr>
                      <w:rFonts w:asciiTheme="minorHAnsi" w:hAnsiTheme="minorHAnsi" w:cstheme="minorHAnsi"/>
                      <w:b/>
                      <w:bCs/>
                      <w:sz w:val="20"/>
                    </w:rPr>
                    <w:t xml:space="preserve">ince </w:t>
                  </w:r>
                  <w:r>
                    <w:rPr>
                      <w:rFonts w:asciiTheme="minorHAnsi" w:hAnsiTheme="minorHAnsi" w:cstheme="minorHAnsi"/>
                      <w:b/>
                      <w:bCs/>
                      <w:sz w:val="20"/>
                    </w:rPr>
                    <w:t>Last Heparin</w:t>
                  </w:r>
                  <w:r w:rsidRPr="00FA298F">
                    <w:rPr>
                      <w:rFonts w:asciiTheme="minorHAnsi" w:hAnsiTheme="minorHAnsi" w:cstheme="minorHAnsi"/>
                      <w:b/>
                      <w:bCs/>
                      <w:sz w:val="20"/>
                    </w:rPr>
                    <w:t xml:space="preserve"> </w:t>
                  </w:r>
                  <w:r>
                    <w:rPr>
                      <w:rFonts w:asciiTheme="minorHAnsi" w:hAnsiTheme="minorHAnsi" w:cstheme="minorHAnsi"/>
                      <w:b/>
                      <w:bCs/>
                      <w:sz w:val="20"/>
                    </w:rPr>
                    <w:t>D</w:t>
                  </w:r>
                  <w:r w:rsidRPr="00FA298F">
                    <w:rPr>
                      <w:rFonts w:asciiTheme="minorHAnsi" w:hAnsiTheme="minorHAnsi" w:cstheme="minorHAnsi"/>
                      <w:b/>
                      <w:bCs/>
                      <w:sz w:val="20"/>
                    </w:rPr>
                    <w:t>ose</w:t>
                  </w:r>
                </w:p>
              </w:tc>
              <w:tc>
                <w:tcPr>
                  <w:tcW w:w="2945" w:type="dxa"/>
                </w:tcPr>
                <w:p w:rsidRPr="00FA298F" w:rsidR="00840391" w:rsidP="00131848" w:rsidRDefault="00840391" w14:paraId="3A8D9028" w14:textId="77777777">
                  <w:pPr>
                    <w:jc w:val="center"/>
                    <w:rPr>
                      <w:rFonts w:asciiTheme="minorHAnsi" w:hAnsiTheme="minorHAnsi" w:cstheme="minorHAnsi"/>
                      <w:sz w:val="20"/>
                    </w:rPr>
                  </w:pPr>
                  <w:r>
                    <w:rPr>
                      <w:rFonts w:asciiTheme="minorHAnsi" w:hAnsiTheme="minorHAnsi" w:cstheme="minorHAnsi"/>
                      <w:b/>
                      <w:bCs/>
                      <w:sz w:val="20"/>
                    </w:rPr>
                    <w:t xml:space="preserve">Protamine dose </w:t>
                  </w:r>
                  <w:r w:rsidRPr="00FA298F">
                    <w:rPr>
                      <w:rFonts w:asciiTheme="minorHAnsi" w:hAnsiTheme="minorHAnsi" w:cstheme="minorHAnsi"/>
                      <w:b/>
                      <w:bCs/>
                      <w:sz w:val="20"/>
                    </w:rPr>
                    <w:t>per 100</w:t>
                  </w:r>
                  <w:r>
                    <w:rPr>
                      <w:rFonts w:asciiTheme="minorHAnsi" w:hAnsiTheme="minorHAnsi" w:cstheme="minorHAnsi"/>
                      <w:b/>
                      <w:bCs/>
                      <w:sz w:val="20"/>
                    </w:rPr>
                    <w:t xml:space="preserve"> </w:t>
                  </w:r>
                  <w:r w:rsidRPr="00FA298F">
                    <w:rPr>
                      <w:rFonts w:asciiTheme="minorHAnsi" w:hAnsiTheme="minorHAnsi" w:cstheme="minorHAnsi"/>
                      <w:b/>
                      <w:bCs/>
                      <w:sz w:val="20"/>
                    </w:rPr>
                    <w:t>units</w:t>
                  </w:r>
                  <w:r>
                    <w:rPr>
                      <w:rFonts w:asciiTheme="minorHAnsi" w:hAnsiTheme="minorHAnsi" w:cstheme="minorHAnsi"/>
                      <w:b/>
                      <w:bCs/>
                      <w:sz w:val="20"/>
                    </w:rPr>
                    <w:t xml:space="preserve"> of</w:t>
                  </w:r>
                  <w:r w:rsidRPr="00FA298F">
                    <w:rPr>
                      <w:rFonts w:asciiTheme="minorHAnsi" w:hAnsiTheme="minorHAnsi" w:cstheme="minorHAnsi"/>
                      <w:b/>
                      <w:bCs/>
                      <w:sz w:val="20"/>
                    </w:rPr>
                    <w:t xml:space="preserve"> </w:t>
                  </w:r>
                  <w:r>
                    <w:rPr>
                      <w:rFonts w:asciiTheme="minorHAnsi" w:hAnsiTheme="minorHAnsi" w:cstheme="minorHAnsi"/>
                      <w:b/>
                      <w:bCs/>
                      <w:sz w:val="20"/>
                    </w:rPr>
                    <w:t>heparin</w:t>
                  </w:r>
                  <w:r w:rsidRPr="00FA298F">
                    <w:rPr>
                      <w:rFonts w:asciiTheme="minorHAnsi" w:hAnsiTheme="minorHAnsi" w:cstheme="minorHAnsi"/>
                      <w:b/>
                      <w:bCs/>
                      <w:sz w:val="20"/>
                    </w:rPr>
                    <w:t xml:space="preserve"> received</w:t>
                  </w:r>
                  <w:r>
                    <w:rPr>
                      <w:rFonts w:asciiTheme="minorHAnsi" w:hAnsiTheme="minorHAnsi" w:cstheme="minorHAnsi"/>
                      <w:b/>
                      <w:bCs/>
                      <w:sz w:val="20"/>
                    </w:rPr>
                    <w:t xml:space="preserve"> in the last 2 hours</w:t>
                  </w:r>
                </w:p>
              </w:tc>
            </w:tr>
            <w:tr w:rsidR="00840391" w:rsidTr="00EE20B3" w14:paraId="735832E4" w14:textId="77777777">
              <w:tc>
                <w:tcPr>
                  <w:tcW w:w="3289" w:type="dxa"/>
                </w:tcPr>
                <w:p w:rsidRPr="00FA298F" w:rsidR="00840391" w:rsidP="00131848" w:rsidRDefault="00840391" w14:paraId="28010721" w14:textId="77777777">
                  <w:pPr>
                    <w:jc w:val="center"/>
                    <w:rPr>
                      <w:rFonts w:asciiTheme="minorHAnsi" w:hAnsiTheme="minorHAnsi" w:cstheme="minorHAnsi"/>
                      <w:sz w:val="20"/>
                    </w:rPr>
                  </w:pPr>
                  <w:r w:rsidRPr="00FA298F">
                    <w:rPr>
                      <w:rFonts w:asciiTheme="minorHAnsi" w:hAnsiTheme="minorHAnsi" w:cstheme="minorHAnsi"/>
                      <w:sz w:val="20"/>
                    </w:rPr>
                    <w:t>&lt;30 min</w:t>
                  </w:r>
                </w:p>
              </w:tc>
              <w:tc>
                <w:tcPr>
                  <w:tcW w:w="2945" w:type="dxa"/>
                </w:tcPr>
                <w:p w:rsidRPr="00FA298F" w:rsidR="00840391" w:rsidP="00131848" w:rsidRDefault="00840391" w14:paraId="4A7B32C9" w14:textId="77777777">
                  <w:pPr>
                    <w:jc w:val="center"/>
                    <w:rPr>
                      <w:rFonts w:asciiTheme="minorHAnsi" w:hAnsiTheme="minorHAnsi" w:cstheme="minorHAnsi"/>
                      <w:sz w:val="20"/>
                    </w:rPr>
                  </w:pPr>
                  <w:r w:rsidRPr="00FA298F">
                    <w:rPr>
                      <w:rFonts w:asciiTheme="minorHAnsi" w:hAnsiTheme="minorHAnsi" w:cstheme="minorHAnsi"/>
                      <w:sz w:val="20"/>
                    </w:rPr>
                    <w:t>1 mg</w:t>
                  </w:r>
                </w:p>
              </w:tc>
            </w:tr>
            <w:tr w:rsidR="00840391" w:rsidTr="00EE20B3" w14:paraId="3F40D54A" w14:textId="77777777">
              <w:tc>
                <w:tcPr>
                  <w:tcW w:w="3289" w:type="dxa"/>
                </w:tcPr>
                <w:p w:rsidRPr="00FA298F" w:rsidR="00840391" w:rsidP="00131848" w:rsidRDefault="00840391" w14:paraId="19A547EC" w14:textId="77777777">
                  <w:pPr>
                    <w:jc w:val="center"/>
                    <w:rPr>
                      <w:rFonts w:asciiTheme="minorHAnsi" w:hAnsiTheme="minorHAnsi" w:cstheme="minorHAnsi"/>
                      <w:sz w:val="20"/>
                    </w:rPr>
                  </w:pPr>
                  <w:r w:rsidRPr="00FA298F">
                    <w:rPr>
                      <w:rFonts w:asciiTheme="minorHAnsi" w:hAnsiTheme="minorHAnsi" w:cstheme="minorHAnsi"/>
                      <w:sz w:val="20"/>
                    </w:rPr>
                    <w:t>30-60 min</w:t>
                  </w:r>
                </w:p>
              </w:tc>
              <w:tc>
                <w:tcPr>
                  <w:tcW w:w="2945" w:type="dxa"/>
                </w:tcPr>
                <w:p w:rsidRPr="00FA298F" w:rsidR="00840391" w:rsidP="00131848" w:rsidRDefault="00840391" w14:paraId="74C4DC35" w14:textId="77777777">
                  <w:pPr>
                    <w:jc w:val="center"/>
                    <w:rPr>
                      <w:rFonts w:asciiTheme="minorHAnsi" w:hAnsiTheme="minorHAnsi" w:cstheme="minorHAnsi"/>
                      <w:sz w:val="20"/>
                    </w:rPr>
                  </w:pPr>
                  <w:r w:rsidRPr="00FA298F">
                    <w:rPr>
                      <w:rFonts w:asciiTheme="minorHAnsi" w:hAnsiTheme="minorHAnsi" w:cstheme="minorHAnsi"/>
                      <w:sz w:val="20"/>
                    </w:rPr>
                    <w:t>0.5-0.75 mg</w:t>
                  </w:r>
                </w:p>
              </w:tc>
            </w:tr>
            <w:tr w:rsidR="00840391" w:rsidTr="00EE20B3" w14:paraId="37F2A491" w14:textId="77777777">
              <w:tc>
                <w:tcPr>
                  <w:tcW w:w="3289" w:type="dxa"/>
                </w:tcPr>
                <w:p w:rsidRPr="00FA298F" w:rsidR="00840391" w:rsidP="00131848" w:rsidRDefault="00840391" w14:paraId="3543516C" w14:textId="77777777">
                  <w:pPr>
                    <w:jc w:val="center"/>
                    <w:rPr>
                      <w:rFonts w:asciiTheme="minorHAnsi" w:hAnsiTheme="minorHAnsi" w:cstheme="minorHAnsi"/>
                      <w:sz w:val="20"/>
                    </w:rPr>
                  </w:pPr>
                  <w:r w:rsidRPr="00FA298F">
                    <w:rPr>
                      <w:rFonts w:asciiTheme="minorHAnsi" w:hAnsiTheme="minorHAnsi" w:cstheme="minorHAnsi"/>
                      <w:sz w:val="20"/>
                    </w:rPr>
                    <w:t>60-120 min</w:t>
                  </w:r>
                </w:p>
              </w:tc>
              <w:tc>
                <w:tcPr>
                  <w:tcW w:w="2945" w:type="dxa"/>
                </w:tcPr>
                <w:p w:rsidRPr="00FA298F" w:rsidR="00840391" w:rsidP="00131848" w:rsidRDefault="00840391" w14:paraId="72977865" w14:textId="77777777">
                  <w:pPr>
                    <w:jc w:val="center"/>
                    <w:rPr>
                      <w:rFonts w:asciiTheme="minorHAnsi" w:hAnsiTheme="minorHAnsi" w:cstheme="minorHAnsi"/>
                      <w:sz w:val="20"/>
                    </w:rPr>
                  </w:pPr>
                  <w:r w:rsidRPr="00FA298F">
                    <w:rPr>
                      <w:rFonts w:asciiTheme="minorHAnsi" w:hAnsiTheme="minorHAnsi" w:cstheme="minorHAnsi"/>
                      <w:sz w:val="20"/>
                    </w:rPr>
                    <w:t>0.375-0.5 mg</w:t>
                  </w:r>
                </w:p>
              </w:tc>
            </w:tr>
            <w:tr w:rsidR="00840391" w:rsidTr="00EE20B3" w14:paraId="6E1DD789" w14:textId="77777777">
              <w:tc>
                <w:tcPr>
                  <w:tcW w:w="3289" w:type="dxa"/>
                </w:tcPr>
                <w:p w:rsidRPr="00FA298F" w:rsidR="00840391" w:rsidP="00131848" w:rsidRDefault="00840391" w14:paraId="72A01B79" w14:textId="77777777">
                  <w:pPr>
                    <w:jc w:val="center"/>
                    <w:rPr>
                      <w:rFonts w:asciiTheme="minorHAnsi" w:hAnsiTheme="minorHAnsi" w:cstheme="minorHAnsi"/>
                      <w:sz w:val="20"/>
                    </w:rPr>
                  </w:pPr>
                  <w:r w:rsidRPr="00FA298F">
                    <w:rPr>
                      <w:rFonts w:asciiTheme="minorHAnsi" w:hAnsiTheme="minorHAnsi" w:cstheme="minorHAnsi"/>
                      <w:sz w:val="20"/>
                    </w:rPr>
                    <w:t>&gt;120 min</w:t>
                  </w:r>
                </w:p>
              </w:tc>
              <w:tc>
                <w:tcPr>
                  <w:tcW w:w="2945" w:type="dxa"/>
                </w:tcPr>
                <w:p w:rsidRPr="00FA298F" w:rsidR="00840391" w:rsidP="00131848" w:rsidRDefault="00840391" w14:paraId="034AF822" w14:textId="77777777">
                  <w:pPr>
                    <w:jc w:val="center"/>
                    <w:rPr>
                      <w:rFonts w:asciiTheme="minorHAnsi" w:hAnsiTheme="minorHAnsi" w:cstheme="minorHAnsi"/>
                      <w:sz w:val="20"/>
                    </w:rPr>
                  </w:pPr>
                  <w:r w:rsidRPr="00FA298F">
                    <w:rPr>
                      <w:rFonts w:asciiTheme="minorHAnsi" w:hAnsiTheme="minorHAnsi" w:cstheme="minorHAnsi"/>
                      <w:sz w:val="20"/>
                    </w:rPr>
                    <w:t>0.25-0.375 mg</w:t>
                  </w:r>
                </w:p>
              </w:tc>
            </w:tr>
          </w:tbl>
          <w:p w:rsidRPr="00026F20" w:rsidR="00840391" w:rsidP="00131848" w:rsidRDefault="00840391" w14:paraId="09E2A2E7" w14:textId="77777777">
            <w:pPr>
              <w:pStyle w:val="BodyText"/>
              <w:rPr>
                <w:rFonts w:cs="Arial"/>
                <w:sz w:val="20"/>
                <w:lang w:val="en-AU"/>
              </w:rPr>
            </w:pPr>
            <w:r w:rsidRPr="00FD4C91">
              <w:rPr>
                <w:rFonts w:cs="Arial"/>
                <w:sz w:val="20"/>
                <w:szCs w:val="24"/>
                <w:lang w:val="en-AU"/>
              </w:rPr>
              <w:t>Maximum dose of 50 mg. Infusion rate of a 10 mg/mL solution should not exceed 5 mg/min. Hypersensitivity reactions to protamine sulfate may occur in patients with known hypersensitivity reactions to fish or those previously exposed to protamine therapy or protamine-containing insulin</w:t>
            </w:r>
            <w:r>
              <w:rPr>
                <w:rFonts w:cs="Arial"/>
                <w:sz w:val="20"/>
                <w:szCs w:val="24"/>
                <w:lang w:val="en-AU"/>
              </w:rPr>
              <w:t>. For more information, refer to Protamine formulary.</w:t>
            </w:r>
          </w:p>
        </w:tc>
      </w:tr>
      <w:tr w:rsidRPr="003A7895" w:rsidR="00840391" w:rsidTr="00EE20B3" w14:paraId="23396C24" w14:textId="77777777">
        <w:trPr>
          <w:trHeight w:val="180"/>
        </w:trPr>
        <w:tc>
          <w:tcPr>
            <w:tcW w:w="1730" w:type="dxa"/>
          </w:tcPr>
          <w:p w:rsidRPr="00B53E9B" w:rsidR="00840391" w:rsidP="00131848" w:rsidRDefault="00840391" w14:paraId="750E45A7" w14:textId="77777777">
            <w:pPr>
              <w:pStyle w:val="BodyText"/>
              <w:rPr>
                <w:rFonts w:cs="Arial"/>
                <w:b/>
                <w:bCs/>
                <w:sz w:val="20"/>
                <w:lang w:val="en-AU"/>
              </w:rPr>
            </w:pPr>
            <w:r w:rsidRPr="00B53E9B">
              <w:rPr>
                <w:rFonts w:cs="Arial"/>
                <w:b/>
                <w:bCs/>
                <w:sz w:val="20"/>
                <w:lang w:val="en-AU"/>
              </w:rPr>
              <w:t>Compatibility</w:t>
            </w:r>
            <w:r>
              <w:rPr>
                <w:rFonts w:cs="Arial"/>
                <w:b/>
                <w:bCs/>
                <w:sz w:val="20"/>
                <w:lang w:val="en-AU"/>
              </w:rPr>
              <w:t xml:space="preserve"> </w:t>
            </w:r>
          </w:p>
        </w:tc>
        <w:tc>
          <w:tcPr>
            <w:tcW w:w="7513" w:type="dxa"/>
          </w:tcPr>
          <w:p w:rsidRPr="007344DE" w:rsidR="00840391" w:rsidP="00131848" w:rsidRDefault="00840391" w14:paraId="3F930896" w14:textId="77777777">
            <w:pPr>
              <w:pStyle w:val="CommentText"/>
              <w:rPr>
                <w:rFonts w:asciiTheme="minorHAnsi" w:hAnsiTheme="minorHAnsi" w:cstheme="minorHAnsi"/>
                <w:lang w:val="en-US"/>
              </w:rPr>
            </w:pPr>
            <w:r w:rsidRPr="007344DE">
              <w:rPr>
                <w:rFonts w:asciiTheme="minorHAnsi" w:hAnsiTheme="minorHAnsi" w:cstheme="minorHAnsi"/>
                <w:lang w:val="en-US"/>
              </w:rPr>
              <w:t xml:space="preserve">Fluids: Glucose 5%, Sodium </w:t>
            </w:r>
            <w:r>
              <w:rPr>
                <w:rFonts w:asciiTheme="minorHAnsi" w:hAnsiTheme="minorHAnsi" w:cstheme="minorHAnsi"/>
                <w:lang w:val="en-US"/>
              </w:rPr>
              <w:t>c</w:t>
            </w:r>
            <w:r w:rsidRPr="007344DE">
              <w:rPr>
                <w:rFonts w:asciiTheme="minorHAnsi" w:hAnsiTheme="minorHAnsi" w:cstheme="minorHAnsi"/>
                <w:lang w:val="en-US"/>
              </w:rPr>
              <w:t>hloride 0.9%</w:t>
            </w:r>
            <w:r>
              <w:rPr>
                <w:rFonts w:asciiTheme="minorHAnsi" w:hAnsiTheme="minorHAnsi" w:cstheme="minorHAnsi"/>
                <w:lang w:val="en-US"/>
              </w:rPr>
              <w:t>, sodium chloride 0.45%.</w:t>
            </w:r>
            <w:r>
              <w:rPr>
                <w:rFonts w:asciiTheme="minorHAnsi" w:hAnsiTheme="minorHAnsi" w:cstheme="minorHAnsi"/>
                <w:vertAlign w:val="superscript"/>
                <w:lang w:val="en-US"/>
              </w:rPr>
              <w:t>8,</w:t>
            </w:r>
            <w:r w:rsidRPr="00B512F4">
              <w:rPr>
                <w:rFonts w:asciiTheme="minorHAnsi" w:hAnsiTheme="minorHAnsi" w:cstheme="minorHAnsi"/>
                <w:vertAlign w:val="superscript"/>
                <w:lang w:val="en-US"/>
              </w:rPr>
              <w:t>9</w:t>
            </w:r>
            <w:r>
              <w:rPr>
                <w:rFonts w:asciiTheme="minorHAnsi" w:hAnsiTheme="minorHAnsi" w:cstheme="minorHAnsi"/>
                <w:lang w:val="en-US"/>
              </w:rPr>
              <w:t xml:space="preserve"> </w:t>
            </w:r>
          </w:p>
          <w:p w:rsidRPr="00026F20" w:rsidR="00840391" w:rsidP="00131848" w:rsidRDefault="00840391" w14:paraId="06BD3225" w14:textId="77777777">
            <w:pPr>
              <w:pStyle w:val="BodyText"/>
              <w:rPr>
                <w:sz w:val="20"/>
                <w:lang w:val="en-AU"/>
              </w:rPr>
            </w:pPr>
            <w:r w:rsidRPr="007344DE">
              <w:rPr>
                <w:rFonts w:asciiTheme="minorHAnsi" w:hAnsiTheme="minorHAnsi" w:cstheme="minorHAnsi"/>
                <w:sz w:val="20"/>
                <w:lang w:val="en-US"/>
              </w:rPr>
              <w:t xml:space="preserve">Y-site: Aciclovir, ampicillin, atropine, aztreonam, caffeine citrate, calcium chloride, calcium gluconate, cefazolin, cefotaxime, clindamycin, dexamethasone, dexmedetomidine, digoxin, dopamine, ephedrine sulfate, fentanyl, fluconazole, </w:t>
            </w:r>
            <w:r>
              <w:rPr>
                <w:rFonts w:asciiTheme="minorHAnsi" w:hAnsiTheme="minorHAnsi" w:cstheme="minorHAnsi"/>
                <w:sz w:val="20"/>
                <w:lang w:val="en-US"/>
              </w:rPr>
              <w:t xml:space="preserve">folic acid (sodium salt), </w:t>
            </w:r>
            <w:r w:rsidRPr="007344DE">
              <w:rPr>
                <w:rFonts w:asciiTheme="minorHAnsi" w:hAnsiTheme="minorHAnsi" w:cstheme="minorHAnsi"/>
                <w:sz w:val="20"/>
                <w:lang w:val="en-US"/>
              </w:rPr>
              <w:lastRenderedPageBreak/>
              <w:t>furosemide,</w:t>
            </w:r>
            <w:r>
              <w:rPr>
                <w:rFonts w:asciiTheme="minorHAnsi" w:hAnsiTheme="minorHAnsi" w:cstheme="minorHAnsi"/>
                <w:sz w:val="20"/>
                <w:lang w:val="en-US"/>
              </w:rPr>
              <w:t xml:space="preserve"> hydrocortisone sodium succinate, </w:t>
            </w:r>
            <w:r w:rsidRPr="007344DE">
              <w:rPr>
                <w:rFonts w:asciiTheme="minorHAnsi" w:hAnsiTheme="minorHAnsi" w:cstheme="minorHAnsi"/>
                <w:sz w:val="20"/>
                <w:lang w:val="en-US"/>
              </w:rPr>
              <w:t xml:space="preserve"> levetiracetam, linezolid, magnesium sulfate,</w:t>
            </w:r>
            <w:r>
              <w:rPr>
                <w:rFonts w:asciiTheme="minorHAnsi" w:hAnsiTheme="minorHAnsi" w:cstheme="minorHAnsi"/>
                <w:sz w:val="20"/>
                <w:lang w:val="en-US"/>
              </w:rPr>
              <w:t xml:space="preserve"> meropenem,</w:t>
            </w:r>
            <w:r w:rsidRPr="007344DE">
              <w:rPr>
                <w:rFonts w:asciiTheme="minorHAnsi" w:hAnsiTheme="minorHAnsi" w:cstheme="minorHAnsi"/>
                <w:sz w:val="20"/>
                <w:lang w:val="en-US"/>
              </w:rPr>
              <w:t xml:space="preserve"> metronidazole, midazolam</w:t>
            </w:r>
            <w:r>
              <w:rPr>
                <w:rFonts w:asciiTheme="minorHAnsi" w:hAnsiTheme="minorHAnsi" w:cstheme="minorHAnsi"/>
                <w:sz w:val="20"/>
                <w:lang w:val="en-US"/>
              </w:rPr>
              <w:t xml:space="preserve"> hydrochloride</w:t>
            </w:r>
            <w:r w:rsidRPr="007344DE">
              <w:rPr>
                <w:rFonts w:asciiTheme="minorHAnsi" w:hAnsiTheme="minorHAnsi" w:cstheme="minorHAnsi"/>
                <w:sz w:val="20"/>
                <w:lang w:val="en-US"/>
              </w:rPr>
              <w:t xml:space="preserve">, morphine sulfate, </w:t>
            </w:r>
            <w:r>
              <w:rPr>
                <w:rFonts w:asciiTheme="minorHAnsi" w:hAnsiTheme="minorHAnsi" w:cstheme="minorHAnsi"/>
                <w:sz w:val="20"/>
                <w:lang w:val="en-US"/>
              </w:rPr>
              <w:t xml:space="preserve">naloxone hydrochloride, </w:t>
            </w:r>
            <w:r w:rsidRPr="007344DE">
              <w:rPr>
                <w:rFonts w:asciiTheme="minorHAnsi" w:hAnsiTheme="minorHAnsi" w:cstheme="minorHAnsi"/>
                <w:sz w:val="20"/>
                <w:lang w:val="en-US"/>
              </w:rPr>
              <w:t xml:space="preserve">noradrenaline, </w:t>
            </w:r>
            <w:r>
              <w:rPr>
                <w:rFonts w:asciiTheme="minorHAnsi" w:hAnsiTheme="minorHAnsi" w:cstheme="minorHAnsi"/>
                <w:sz w:val="20"/>
                <w:lang w:val="en-US"/>
              </w:rPr>
              <w:t xml:space="preserve">pancuronium bromide, </w:t>
            </w:r>
            <w:r w:rsidRPr="007344DE">
              <w:rPr>
                <w:rFonts w:asciiTheme="minorHAnsi" w:hAnsiTheme="minorHAnsi" w:cstheme="minorHAnsi"/>
                <w:sz w:val="20"/>
                <w:lang w:val="en-US"/>
              </w:rPr>
              <w:t xml:space="preserve">paracetamol, piperacillin/tazobactam, </w:t>
            </w:r>
            <w:r>
              <w:rPr>
                <w:rFonts w:asciiTheme="minorHAnsi" w:hAnsiTheme="minorHAnsi" w:cstheme="minorHAnsi"/>
                <w:sz w:val="20"/>
                <w:lang w:val="en-US"/>
              </w:rPr>
              <w:t xml:space="preserve">phenobarbital sodium, pipercillin-tazobactam, </w:t>
            </w:r>
            <w:r w:rsidRPr="007344DE">
              <w:rPr>
                <w:rFonts w:asciiTheme="minorHAnsi" w:hAnsiTheme="minorHAnsi" w:cstheme="minorHAnsi"/>
                <w:sz w:val="20"/>
                <w:lang w:val="en-US"/>
              </w:rPr>
              <w:t xml:space="preserve">potassium chloride, </w:t>
            </w:r>
            <w:r>
              <w:rPr>
                <w:rFonts w:asciiTheme="minorHAnsi" w:hAnsiTheme="minorHAnsi" w:cstheme="minorHAnsi"/>
                <w:sz w:val="20"/>
                <w:lang w:val="en-US"/>
              </w:rPr>
              <w:t xml:space="preserve">rocuronium bromide, </w:t>
            </w:r>
            <w:r w:rsidRPr="007344DE">
              <w:rPr>
                <w:rFonts w:asciiTheme="minorHAnsi" w:hAnsiTheme="minorHAnsi" w:cstheme="minorHAnsi"/>
                <w:sz w:val="20"/>
                <w:lang w:val="en-US"/>
              </w:rPr>
              <w:t>suxamethonium, vecuronium, zidovudine</w:t>
            </w:r>
            <w:r>
              <w:rPr>
                <w:rFonts w:asciiTheme="minorHAnsi" w:hAnsiTheme="minorHAnsi" w:cstheme="minorHAnsi"/>
                <w:sz w:val="20"/>
                <w:lang w:val="en-US"/>
              </w:rPr>
              <w:t>.</w:t>
            </w:r>
          </w:p>
        </w:tc>
      </w:tr>
      <w:tr w:rsidRPr="003A7895" w:rsidR="00840391" w:rsidTr="00EE20B3" w14:paraId="334DB06C" w14:textId="77777777">
        <w:trPr>
          <w:trHeight w:val="230"/>
        </w:trPr>
        <w:tc>
          <w:tcPr>
            <w:tcW w:w="1730" w:type="dxa"/>
          </w:tcPr>
          <w:p w:rsidRPr="00B53E9B" w:rsidR="00840391" w:rsidP="00131848" w:rsidRDefault="00840391" w14:paraId="6CF66B7B" w14:textId="77777777">
            <w:pPr>
              <w:pStyle w:val="BodyText"/>
              <w:rPr>
                <w:rFonts w:cs="Arial"/>
                <w:b/>
                <w:bCs/>
                <w:sz w:val="20"/>
                <w:lang w:val="en-AU"/>
              </w:rPr>
            </w:pPr>
            <w:r w:rsidRPr="00B53E9B">
              <w:rPr>
                <w:rFonts w:cs="Arial"/>
                <w:b/>
                <w:bCs/>
                <w:sz w:val="20"/>
                <w:lang w:val="en-AU"/>
              </w:rPr>
              <w:lastRenderedPageBreak/>
              <w:t>Incompatibility</w:t>
            </w:r>
          </w:p>
        </w:tc>
        <w:tc>
          <w:tcPr>
            <w:tcW w:w="7513" w:type="dxa"/>
          </w:tcPr>
          <w:p w:rsidRPr="007344DE" w:rsidR="00840391" w:rsidP="00131848" w:rsidRDefault="00840391" w14:paraId="448635AF" w14:textId="77777777">
            <w:pPr>
              <w:pStyle w:val="CommentText"/>
              <w:rPr>
                <w:rFonts w:asciiTheme="minorHAnsi" w:hAnsiTheme="minorHAnsi" w:cstheme="minorHAnsi"/>
                <w:lang w:val="en-US"/>
              </w:rPr>
            </w:pPr>
            <w:r w:rsidRPr="007344DE">
              <w:rPr>
                <w:rFonts w:asciiTheme="minorHAnsi" w:hAnsiTheme="minorHAnsi" w:cstheme="minorHAnsi"/>
                <w:lang w:val="en-US"/>
              </w:rPr>
              <w:t>Fluids: Fat emulsion</w:t>
            </w:r>
            <w:r>
              <w:rPr>
                <w:rFonts w:asciiTheme="minorHAnsi" w:hAnsiTheme="minorHAnsi" w:cstheme="minorHAnsi"/>
                <w:lang w:val="en-US"/>
              </w:rPr>
              <w:t>.</w:t>
            </w:r>
          </w:p>
          <w:p w:rsidRPr="00026F20" w:rsidR="00840391" w:rsidP="00131848" w:rsidRDefault="00840391" w14:paraId="6BC658E8" w14:textId="77777777">
            <w:pPr>
              <w:pStyle w:val="BodyText"/>
              <w:rPr>
                <w:rFonts w:cs="Arial"/>
                <w:sz w:val="20"/>
                <w:lang w:val="en-AU"/>
              </w:rPr>
            </w:pPr>
            <w:r w:rsidRPr="007344DE">
              <w:rPr>
                <w:rFonts w:asciiTheme="minorHAnsi" w:hAnsiTheme="minorHAnsi" w:cstheme="minorHAnsi"/>
                <w:sz w:val="20"/>
                <w:lang w:val="en-US"/>
              </w:rPr>
              <w:t>Y-site: Benzylpenicillin, ciprofloxacin, cisatracurium, dobutamine, erythromycin, gentamicin, ketamine, tobramycin</w:t>
            </w:r>
            <w:r>
              <w:rPr>
                <w:rFonts w:asciiTheme="minorHAnsi" w:hAnsiTheme="minorHAnsi" w:cstheme="minorHAnsi"/>
                <w:sz w:val="20"/>
                <w:lang w:val="en-US"/>
              </w:rPr>
              <w:t>.</w:t>
            </w:r>
          </w:p>
        </w:tc>
      </w:tr>
      <w:tr w:rsidRPr="003A7895" w:rsidR="00840391" w:rsidTr="00EE20B3" w14:paraId="05B52D29" w14:textId="77777777">
        <w:trPr>
          <w:trHeight w:val="79"/>
        </w:trPr>
        <w:tc>
          <w:tcPr>
            <w:tcW w:w="1730" w:type="dxa"/>
          </w:tcPr>
          <w:p w:rsidRPr="00B53E9B" w:rsidR="00840391" w:rsidP="00131848" w:rsidRDefault="00840391" w14:paraId="4675E7B1" w14:textId="77777777">
            <w:pPr>
              <w:pStyle w:val="BodyText"/>
              <w:rPr>
                <w:rFonts w:cs="Arial"/>
                <w:b/>
                <w:bCs/>
                <w:sz w:val="20"/>
                <w:lang w:val="en-AU"/>
              </w:rPr>
            </w:pPr>
            <w:r w:rsidRPr="00B53E9B">
              <w:rPr>
                <w:rFonts w:cs="Arial"/>
                <w:b/>
                <w:bCs/>
                <w:sz w:val="20"/>
                <w:lang w:val="en-AU"/>
              </w:rPr>
              <w:t xml:space="preserve">Stability   </w:t>
            </w:r>
          </w:p>
        </w:tc>
        <w:tc>
          <w:tcPr>
            <w:tcW w:w="7513" w:type="dxa"/>
          </w:tcPr>
          <w:p w:rsidRPr="00026F20" w:rsidR="00840391" w:rsidP="00131848" w:rsidRDefault="00840391" w14:paraId="34463D94" w14:textId="77777777">
            <w:pPr>
              <w:pStyle w:val="BodyText"/>
              <w:rPr>
                <w:rFonts w:cs="Arial"/>
                <w:sz w:val="20"/>
                <w:lang w:val="en-AU"/>
              </w:rPr>
            </w:pPr>
          </w:p>
        </w:tc>
      </w:tr>
      <w:tr w:rsidRPr="003A7895" w:rsidR="00840391" w:rsidTr="00EE20B3" w14:paraId="67C8A744" w14:textId="77777777">
        <w:trPr>
          <w:trHeight w:val="70"/>
        </w:trPr>
        <w:tc>
          <w:tcPr>
            <w:tcW w:w="1730" w:type="dxa"/>
          </w:tcPr>
          <w:p w:rsidRPr="00B53E9B" w:rsidR="00840391" w:rsidP="00131848" w:rsidRDefault="00840391" w14:paraId="129241EF" w14:textId="77777777">
            <w:pPr>
              <w:pStyle w:val="BodyText"/>
              <w:rPr>
                <w:rFonts w:cs="Arial"/>
                <w:b/>
                <w:bCs/>
                <w:sz w:val="20"/>
                <w:lang w:val="en-AU"/>
              </w:rPr>
            </w:pPr>
            <w:r w:rsidRPr="00B53E9B">
              <w:rPr>
                <w:rFonts w:cs="Arial"/>
                <w:b/>
                <w:bCs/>
                <w:sz w:val="20"/>
                <w:lang w:val="en-AU"/>
              </w:rPr>
              <w:t xml:space="preserve">Storage             </w:t>
            </w:r>
          </w:p>
        </w:tc>
        <w:tc>
          <w:tcPr>
            <w:tcW w:w="7513" w:type="dxa"/>
          </w:tcPr>
          <w:p w:rsidR="00840391" w:rsidP="00131848" w:rsidRDefault="00840391" w14:paraId="0FF81E9B" w14:textId="77777777">
            <w:pPr>
              <w:pStyle w:val="BodyText"/>
              <w:rPr>
                <w:rFonts w:cs="Arial"/>
                <w:sz w:val="20"/>
                <w:lang w:val="en-AU"/>
              </w:rPr>
            </w:pPr>
            <w:r w:rsidRPr="00CB0215">
              <w:rPr>
                <w:rFonts w:cs="Arial"/>
                <w:sz w:val="20"/>
                <w:lang w:val="en-AU"/>
              </w:rPr>
              <w:t xml:space="preserve">Ampoule and vial: </w:t>
            </w:r>
            <w:r>
              <w:rPr>
                <w:rFonts w:cs="Arial"/>
                <w:sz w:val="20"/>
                <w:lang w:val="en-AU"/>
              </w:rPr>
              <w:t>Store below 25</w:t>
            </w:r>
            <w:r w:rsidRPr="00CB0215">
              <w:rPr>
                <w:rFonts w:cs="Arial"/>
                <w:sz w:val="20"/>
                <w:lang w:val="en-AU"/>
              </w:rPr>
              <w:t xml:space="preserve">°C. </w:t>
            </w:r>
          </w:p>
          <w:p w:rsidRPr="00026F20" w:rsidR="00840391" w:rsidP="00131848" w:rsidRDefault="00840391" w14:paraId="3CBADD4D" w14:textId="77777777">
            <w:pPr>
              <w:pStyle w:val="BodyText"/>
              <w:rPr>
                <w:rFonts w:cs="Arial"/>
                <w:sz w:val="20"/>
                <w:lang w:val="en-AU"/>
              </w:rPr>
            </w:pPr>
            <w:r w:rsidRPr="00CB0215">
              <w:rPr>
                <w:rFonts w:cs="Arial"/>
                <w:sz w:val="20"/>
                <w:lang w:val="en-AU"/>
              </w:rPr>
              <w:t xml:space="preserve">Bag: </w:t>
            </w:r>
            <w:r>
              <w:rPr>
                <w:rFonts w:cs="Arial"/>
                <w:sz w:val="20"/>
                <w:lang w:val="en-AU"/>
              </w:rPr>
              <w:t>Store below 30</w:t>
            </w:r>
            <w:r w:rsidRPr="00CB0215">
              <w:rPr>
                <w:rFonts w:cs="Arial"/>
                <w:sz w:val="20"/>
                <w:lang w:val="en-AU"/>
              </w:rPr>
              <w:t>°C.</w:t>
            </w:r>
          </w:p>
        </w:tc>
      </w:tr>
      <w:tr w:rsidRPr="003A7895" w:rsidR="00840391" w:rsidTr="00EE20B3" w14:paraId="4EE55D21" w14:textId="77777777">
        <w:trPr>
          <w:trHeight w:val="70"/>
        </w:trPr>
        <w:tc>
          <w:tcPr>
            <w:tcW w:w="1730" w:type="dxa"/>
          </w:tcPr>
          <w:p w:rsidRPr="00B53E9B" w:rsidR="00840391" w:rsidP="00131848" w:rsidRDefault="00840391" w14:paraId="17C5C2CF" w14:textId="77777777">
            <w:pPr>
              <w:pStyle w:val="BodyText"/>
              <w:rPr>
                <w:rFonts w:cs="Arial"/>
                <w:b/>
                <w:bCs/>
                <w:sz w:val="20"/>
                <w:lang w:val="en-AU"/>
              </w:rPr>
            </w:pPr>
            <w:r w:rsidRPr="00B53E9B">
              <w:rPr>
                <w:rFonts w:cs="Arial"/>
                <w:b/>
                <w:bCs/>
                <w:sz w:val="20"/>
                <w:lang w:val="en-AU"/>
              </w:rPr>
              <w:t>Excipients</w:t>
            </w:r>
          </w:p>
        </w:tc>
        <w:tc>
          <w:tcPr>
            <w:tcW w:w="7513" w:type="dxa"/>
          </w:tcPr>
          <w:p w:rsidR="00840391" w:rsidP="00131848" w:rsidRDefault="00840391" w14:paraId="18CF3048" w14:textId="77777777">
            <w:pPr>
              <w:pStyle w:val="BodyText"/>
              <w:rPr>
                <w:rFonts w:cs="Arial"/>
                <w:sz w:val="20"/>
                <w:lang w:val="en-AU"/>
              </w:rPr>
            </w:pPr>
            <w:r>
              <w:rPr>
                <w:rFonts w:cs="Arial"/>
                <w:sz w:val="20"/>
                <w:lang w:val="en-AU"/>
              </w:rPr>
              <w:t>Pfizer ampoule: Water for injection</w:t>
            </w:r>
          </w:p>
          <w:p w:rsidR="00840391" w:rsidP="00131848" w:rsidRDefault="00840391" w14:paraId="5F7BECA8" w14:textId="77777777">
            <w:pPr>
              <w:pStyle w:val="BodyText"/>
              <w:rPr>
                <w:rFonts w:cs="Arial"/>
                <w:sz w:val="20"/>
                <w:lang w:val="en-AU"/>
              </w:rPr>
            </w:pPr>
            <w:r>
              <w:rPr>
                <w:rFonts w:cs="Arial"/>
                <w:sz w:val="20"/>
                <w:lang w:val="en-AU"/>
              </w:rPr>
              <w:t xml:space="preserve">DBL ampoule: Hydrochloric acid, sodium hydroxide. </w:t>
            </w:r>
          </w:p>
          <w:p w:rsidRPr="007344DE" w:rsidR="00840391" w:rsidP="00131848" w:rsidRDefault="00840391" w14:paraId="3032D335" w14:textId="77777777">
            <w:pPr>
              <w:pStyle w:val="BodyText"/>
              <w:rPr>
                <w:rFonts w:asciiTheme="minorHAnsi" w:hAnsiTheme="minorHAnsi" w:cstheme="minorHAnsi"/>
                <w:sz w:val="20"/>
                <w:lang w:val="en-AU"/>
              </w:rPr>
            </w:pPr>
            <w:r>
              <w:rPr>
                <w:rFonts w:cs="Arial"/>
                <w:sz w:val="20"/>
                <w:lang w:val="en-AU"/>
              </w:rPr>
              <w:t xml:space="preserve">DBL vial: </w:t>
            </w:r>
            <w:r w:rsidRPr="00C91229">
              <w:rPr>
                <w:rFonts w:cs="Arial"/>
                <w:sz w:val="20"/>
                <w:lang w:val="en-AU"/>
              </w:rPr>
              <w:t>Benzyl alcohol</w:t>
            </w:r>
            <w:r>
              <w:rPr>
                <w:rFonts w:cs="Arial"/>
                <w:sz w:val="20"/>
                <w:lang w:val="en-AU"/>
              </w:rPr>
              <w:t>. D</w:t>
            </w:r>
            <w:r w:rsidRPr="007344DE">
              <w:rPr>
                <w:rFonts w:asciiTheme="minorHAnsi" w:hAnsiTheme="minorHAnsi" w:cstheme="minorHAnsi"/>
                <w:sz w:val="20"/>
                <w:lang w:val="en-US"/>
              </w:rPr>
              <w:t>o not give products that contain benzyl alcohol to neonates</w:t>
            </w:r>
            <w:r>
              <w:rPr>
                <w:rFonts w:asciiTheme="minorHAnsi" w:hAnsiTheme="minorHAnsi" w:cstheme="minorHAnsi"/>
                <w:sz w:val="20"/>
                <w:lang w:val="en-US"/>
              </w:rPr>
              <w:t xml:space="preserve">. </w:t>
            </w:r>
          </w:p>
          <w:p w:rsidRPr="00026F20" w:rsidR="00840391" w:rsidP="00131848" w:rsidRDefault="00840391" w14:paraId="28DD5A7E" w14:textId="77777777">
            <w:pPr>
              <w:pStyle w:val="BodyText"/>
              <w:rPr>
                <w:rFonts w:cs="Arial"/>
                <w:sz w:val="20"/>
                <w:lang w:val="en-AU"/>
              </w:rPr>
            </w:pPr>
            <w:r>
              <w:rPr>
                <w:rFonts w:cs="Arial"/>
                <w:sz w:val="20"/>
                <w:lang w:val="en-AU"/>
              </w:rPr>
              <w:t xml:space="preserve">Heparinised saline: </w:t>
            </w:r>
            <w:r w:rsidRPr="0024064F">
              <w:rPr>
                <w:rFonts w:cs="Arial"/>
                <w:sz w:val="20"/>
                <w:lang w:val="en-AU"/>
              </w:rPr>
              <w:t>Hydrochloric acid, sodium chloride, sodium hydroxide</w:t>
            </w:r>
            <w:r>
              <w:rPr>
                <w:rFonts w:cs="Arial"/>
                <w:sz w:val="20"/>
                <w:lang w:val="en-AU"/>
              </w:rPr>
              <w:t xml:space="preserve">. </w:t>
            </w:r>
          </w:p>
        </w:tc>
      </w:tr>
      <w:tr w:rsidRPr="003A7895" w:rsidR="00840391" w:rsidTr="00EE20B3" w14:paraId="7D1D1B0E" w14:textId="77777777">
        <w:trPr>
          <w:trHeight w:val="270"/>
        </w:trPr>
        <w:tc>
          <w:tcPr>
            <w:tcW w:w="1730" w:type="dxa"/>
          </w:tcPr>
          <w:p w:rsidRPr="00B53E9B" w:rsidR="00840391" w:rsidP="00131848" w:rsidRDefault="00840391" w14:paraId="50328E28"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7513" w:type="dxa"/>
          </w:tcPr>
          <w:p w:rsidRPr="00026F20" w:rsidR="00840391" w:rsidP="00131848" w:rsidRDefault="00840391" w14:paraId="3E848633" w14:textId="77777777">
            <w:pPr>
              <w:pStyle w:val="BodyText"/>
              <w:rPr>
                <w:rFonts w:cs="Arial"/>
                <w:sz w:val="20"/>
                <w:lang w:val="en-AU"/>
              </w:rPr>
            </w:pPr>
            <w:r w:rsidRPr="002A2775">
              <w:rPr>
                <w:rFonts w:cs="Arial"/>
                <w:sz w:val="20"/>
                <w:lang w:val="en-AU"/>
              </w:rPr>
              <w:t xml:space="preserve">Protamine sulfate is the reversal agent to correct the anticoagulant effect of </w:t>
            </w:r>
            <w:r>
              <w:rPr>
                <w:rFonts w:cs="Arial"/>
                <w:sz w:val="20"/>
                <w:lang w:val="en-AU"/>
              </w:rPr>
              <w:t>heparin</w:t>
            </w:r>
            <w:r w:rsidRPr="00CB0215">
              <w:rPr>
                <w:rFonts w:cs="Arial"/>
                <w:sz w:val="20"/>
                <w:lang w:val="en-AU"/>
              </w:rPr>
              <w:t>.</w:t>
            </w:r>
          </w:p>
        </w:tc>
      </w:tr>
      <w:tr w:rsidRPr="003A7895" w:rsidR="00840391" w:rsidTr="00EE20B3" w14:paraId="0BF868A9" w14:textId="77777777">
        <w:trPr>
          <w:trHeight w:val="280"/>
        </w:trPr>
        <w:tc>
          <w:tcPr>
            <w:tcW w:w="1730" w:type="dxa"/>
          </w:tcPr>
          <w:p w:rsidRPr="00B53E9B" w:rsidR="00840391" w:rsidP="00131848" w:rsidRDefault="00840391" w14:paraId="60A3E1B1" w14:textId="77777777">
            <w:pPr>
              <w:pStyle w:val="BodyText"/>
              <w:rPr>
                <w:rFonts w:cs="Arial"/>
                <w:b/>
                <w:bCs/>
                <w:sz w:val="20"/>
                <w:lang w:val="en-AU"/>
              </w:rPr>
            </w:pPr>
            <w:r w:rsidRPr="00B53E9B">
              <w:rPr>
                <w:rFonts w:cs="Arial"/>
                <w:b/>
                <w:bCs/>
                <w:sz w:val="20"/>
                <w:lang w:val="en-AU"/>
              </w:rPr>
              <w:t xml:space="preserve">Evidence </w:t>
            </w:r>
          </w:p>
        </w:tc>
        <w:tc>
          <w:tcPr>
            <w:tcW w:w="7513" w:type="dxa"/>
          </w:tcPr>
          <w:p w:rsidRPr="00EE20B3" w:rsidR="00840391" w:rsidP="00131848" w:rsidRDefault="00840391" w14:paraId="0A163C04" w14:textId="77777777">
            <w:pPr>
              <w:overflowPunct w:val="0"/>
              <w:autoSpaceDE w:val="0"/>
              <w:autoSpaceDN w:val="0"/>
              <w:adjustRightInd w:val="0"/>
              <w:textAlignment w:val="baseline"/>
              <w:rPr>
                <w:rFonts w:cs="Arial"/>
                <w:b/>
                <w:sz w:val="16"/>
                <w:szCs w:val="16"/>
              </w:rPr>
            </w:pPr>
            <w:r w:rsidRPr="00EE20B3">
              <w:rPr>
                <w:rFonts w:cs="Arial"/>
                <w:b/>
                <w:sz w:val="16"/>
                <w:szCs w:val="16"/>
              </w:rPr>
              <w:t>Efficacy</w:t>
            </w:r>
          </w:p>
          <w:p w:rsidRPr="00EE20B3" w:rsidR="00840391" w:rsidP="00131848" w:rsidRDefault="00840391" w14:paraId="12090A79" w14:textId="77777777">
            <w:pPr>
              <w:overflowPunct w:val="0"/>
              <w:autoSpaceDE w:val="0"/>
              <w:autoSpaceDN w:val="0"/>
              <w:adjustRightInd w:val="0"/>
              <w:textAlignment w:val="baseline"/>
              <w:rPr>
                <w:rFonts w:cs="Arial"/>
                <w:b/>
                <w:sz w:val="16"/>
                <w:szCs w:val="16"/>
                <w:u w:val="single"/>
              </w:rPr>
            </w:pPr>
            <w:r w:rsidRPr="00EE20B3">
              <w:rPr>
                <w:rFonts w:cs="Arial"/>
                <w:b/>
                <w:sz w:val="16"/>
                <w:szCs w:val="16"/>
                <w:u w:val="single"/>
              </w:rPr>
              <w:t xml:space="preserve">Systemic antithrombotic therapy/prophylaxis </w:t>
            </w:r>
          </w:p>
          <w:p w:rsidRPr="00EE20B3" w:rsidR="00840391" w:rsidP="00131848" w:rsidRDefault="00840391" w14:paraId="7FE36D17" w14:textId="77777777">
            <w:pPr>
              <w:overflowPunct w:val="0"/>
              <w:autoSpaceDE w:val="0"/>
              <w:autoSpaceDN w:val="0"/>
              <w:adjustRightInd w:val="0"/>
              <w:textAlignment w:val="baseline"/>
              <w:rPr>
                <w:rFonts w:cs="Arial"/>
                <w:sz w:val="16"/>
                <w:szCs w:val="16"/>
              </w:rPr>
            </w:pPr>
            <w:r w:rsidRPr="00EE20B3">
              <w:rPr>
                <w:rFonts w:cs="Arial"/>
                <w:sz w:val="16"/>
                <w:szCs w:val="16"/>
                <w:u w:val="single"/>
              </w:rPr>
              <w:t>Arterial thrombosis:</w:t>
            </w:r>
            <w:r w:rsidRPr="00EE20B3">
              <w:rPr>
                <w:rFonts w:cs="Arial"/>
                <w:sz w:val="16"/>
                <w:szCs w:val="16"/>
              </w:rPr>
              <w:t xml:space="preserve"> Spontaneous arterial thrombosis is rare in neonates and the evidence around its management using heparin is limited to case reports only. De Godoy et al reported complete disappearance of an aortic thrombus and clinical improvement in a neonate following 15 days anticoagulation with heparin.</w:t>
            </w:r>
            <w:r w:rsidRPr="00EE20B3">
              <w:rPr>
                <w:rFonts w:cs="Arial"/>
                <w:sz w:val="16"/>
                <w:szCs w:val="16"/>
                <w:vertAlign w:val="superscript"/>
              </w:rPr>
              <w:t>11</w:t>
            </w:r>
            <w:r w:rsidRPr="00EE20B3">
              <w:rPr>
                <w:rFonts w:cs="Arial"/>
                <w:sz w:val="16"/>
                <w:szCs w:val="16"/>
              </w:rPr>
              <w:t xml:space="preserve"> Similarly, anticoagulation with heparin following initial thrombolysis of a major aortic thrombus is found to be helpful in improving clinical outcomes of neonates.</w:t>
            </w:r>
            <w:r w:rsidRPr="00EE20B3">
              <w:rPr>
                <w:rFonts w:cs="Arial"/>
                <w:sz w:val="16"/>
                <w:szCs w:val="16"/>
                <w:vertAlign w:val="superscript"/>
              </w:rPr>
              <w:t>12</w:t>
            </w:r>
            <w:r w:rsidRPr="00EE20B3">
              <w:rPr>
                <w:rFonts w:cs="Arial"/>
                <w:sz w:val="16"/>
                <w:szCs w:val="16"/>
              </w:rPr>
              <w:t xml:space="preserve"> </w:t>
            </w:r>
          </w:p>
          <w:p w:rsidRPr="00EE20B3" w:rsidR="00840391" w:rsidP="00131848" w:rsidRDefault="00840391" w14:paraId="52DD00D8" w14:textId="77777777">
            <w:pPr>
              <w:overflowPunct w:val="0"/>
              <w:autoSpaceDE w:val="0"/>
              <w:autoSpaceDN w:val="0"/>
              <w:adjustRightInd w:val="0"/>
              <w:textAlignment w:val="baseline"/>
              <w:rPr>
                <w:rFonts w:cs="Arial"/>
                <w:sz w:val="16"/>
                <w:szCs w:val="16"/>
                <w:u w:val="single"/>
              </w:rPr>
            </w:pPr>
          </w:p>
          <w:p w:rsidRPr="00EE20B3" w:rsidR="00840391" w:rsidP="00131848" w:rsidRDefault="00840391" w14:paraId="0376311E" w14:textId="77777777">
            <w:pPr>
              <w:overflowPunct w:val="0"/>
              <w:autoSpaceDE w:val="0"/>
              <w:autoSpaceDN w:val="0"/>
              <w:adjustRightInd w:val="0"/>
              <w:textAlignment w:val="baseline"/>
              <w:rPr>
                <w:rFonts w:cs="Arial"/>
                <w:sz w:val="16"/>
                <w:szCs w:val="16"/>
              </w:rPr>
            </w:pPr>
            <w:r w:rsidRPr="00EE20B3">
              <w:rPr>
                <w:rFonts w:cs="Arial"/>
                <w:sz w:val="16"/>
                <w:szCs w:val="16"/>
                <w:u w:val="single"/>
              </w:rPr>
              <w:t>Venous thrombosis:</w:t>
            </w:r>
            <w:r w:rsidRPr="00EE20B3">
              <w:rPr>
                <w:rFonts w:cs="Arial"/>
                <w:sz w:val="16"/>
                <w:szCs w:val="16"/>
              </w:rPr>
              <w:t xml:space="preserve"> In a cohort of 53 neonates who received heparin, Moharir et al found significant reduction in propagation of cerebral sino-venous thrombosis (2 vs 30%; P &lt; 0.001). However, no difference was noted in thrombus recanalisation, mortality and long-term disability.</w:t>
            </w:r>
            <w:r w:rsidRPr="00EE20B3">
              <w:rPr>
                <w:rFonts w:cs="Arial"/>
                <w:sz w:val="16"/>
                <w:szCs w:val="16"/>
                <w:vertAlign w:val="superscript"/>
              </w:rPr>
              <w:t xml:space="preserve">13 </w:t>
            </w:r>
            <w:r w:rsidRPr="00EE20B3">
              <w:rPr>
                <w:rFonts w:cs="Arial"/>
                <w:sz w:val="16"/>
                <w:szCs w:val="16"/>
              </w:rPr>
              <w:t xml:space="preserve">Non-life threatening bleeding was seen in 5-6% of neonates. </w:t>
            </w:r>
          </w:p>
          <w:p w:rsidRPr="00EE20B3" w:rsidR="00840391" w:rsidP="00131848" w:rsidRDefault="00840391" w14:paraId="68470CC9" w14:textId="77777777">
            <w:pPr>
              <w:overflowPunct w:val="0"/>
              <w:autoSpaceDE w:val="0"/>
              <w:autoSpaceDN w:val="0"/>
              <w:adjustRightInd w:val="0"/>
              <w:textAlignment w:val="baseline"/>
              <w:rPr>
                <w:rFonts w:cs="Arial"/>
                <w:sz w:val="16"/>
                <w:szCs w:val="16"/>
              </w:rPr>
            </w:pPr>
          </w:p>
          <w:p w:rsidRPr="00EE20B3" w:rsidR="00840391" w:rsidP="00131848" w:rsidRDefault="00840391" w14:paraId="08C26067" w14:textId="77777777">
            <w:pPr>
              <w:overflowPunct w:val="0"/>
              <w:autoSpaceDE w:val="0"/>
              <w:autoSpaceDN w:val="0"/>
              <w:adjustRightInd w:val="0"/>
              <w:textAlignment w:val="baseline"/>
              <w:rPr>
                <w:rFonts w:cs="Arial"/>
                <w:sz w:val="16"/>
                <w:szCs w:val="16"/>
              </w:rPr>
            </w:pPr>
            <w:r w:rsidRPr="00EE20B3">
              <w:rPr>
                <w:rFonts w:cs="Arial"/>
                <w:sz w:val="16"/>
                <w:szCs w:val="16"/>
              </w:rPr>
              <w:t>In two retrospective reviews involving 100 neonates who received heparin therapy for renal vein thrombosis with or without inferior vena cava involvement, there was no difference in irreversible renal damage and renal atrophy at long term follow up.</w:t>
            </w:r>
            <w:r w:rsidRPr="00EE20B3">
              <w:rPr>
                <w:rFonts w:cs="Arial"/>
                <w:sz w:val="16"/>
                <w:szCs w:val="16"/>
                <w:vertAlign w:val="superscript"/>
              </w:rPr>
              <w:t>14, 15</w:t>
            </w:r>
            <w:r w:rsidRPr="00EE20B3">
              <w:rPr>
                <w:rFonts w:cs="Arial"/>
                <w:sz w:val="16"/>
                <w:szCs w:val="16"/>
              </w:rPr>
              <w:t xml:space="preserve"> In a cohort of 128 neonates with portal vein thrombosis the incidence of lobar atrophy of liver and risk of portal hypertension was not altered by the use of anticoagulants.</w:t>
            </w:r>
            <w:r w:rsidRPr="00EE20B3">
              <w:rPr>
                <w:rFonts w:cs="Arial"/>
                <w:sz w:val="16"/>
                <w:szCs w:val="16"/>
                <w:vertAlign w:val="superscript"/>
              </w:rPr>
              <w:t xml:space="preserve">16   </w:t>
            </w:r>
            <w:r w:rsidRPr="00EE20B3">
              <w:rPr>
                <w:rFonts w:cs="Arial"/>
                <w:sz w:val="16"/>
                <w:szCs w:val="16"/>
              </w:rPr>
              <w:t xml:space="preserve"> </w:t>
            </w:r>
          </w:p>
          <w:p w:rsidRPr="00EE20B3" w:rsidR="00840391" w:rsidP="00131848" w:rsidRDefault="00840391" w14:paraId="23F8F9AE" w14:textId="77777777">
            <w:pPr>
              <w:overflowPunct w:val="0"/>
              <w:autoSpaceDE w:val="0"/>
              <w:autoSpaceDN w:val="0"/>
              <w:adjustRightInd w:val="0"/>
              <w:textAlignment w:val="baseline"/>
              <w:rPr>
                <w:rFonts w:cs="Arial"/>
                <w:sz w:val="16"/>
                <w:szCs w:val="16"/>
                <w:lang w:val="x-none"/>
              </w:rPr>
            </w:pPr>
          </w:p>
          <w:p w:rsidRPr="00EE20B3" w:rsidR="00840391" w:rsidP="00131848" w:rsidRDefault="00840391" w14:paraId="218F4CC6" w14:textId="77777777">
            <w:pPr>
              <w:overflowPunct w:val="0"/>
              <w:autoSpaceDE w:val="0"/>
              <w:autoSpaceDN w:val="0"/>
              <w:adjustRightInd w:val="0"/>
              <w:textAlignment w:val="baseline"/>
              <w:rPr>
                <w:rFonts w:cs="Arial"/>
                <w:sz w:val="16"/>
                <w:szCs w:val="16"/>
                <w:vertAlign w:val="superscript"/>
              </w:rPr>
            </w:pPr>
            <w:r w:rsidRPr="00EE20B3">
              <w:rPr>
                <w:rFonts w:cs="Arial"/>
                <w:sz w:val="16"/>
                <w:szCs w:val="16"/>
                <w:lang w:val="x-none"/>
              </w:rPr>
              <w:t>No clinical outcome</w:t>
            </w:r>
            <w:r w:rsidRPr="00EE20B3">
              <w:rPr>
                <w:rFonts w:cs="Arial"/>
                <w:sz w:val="16"/>
                <w:szCs w:val="16"/>
              </w:rPr>
              <w:t xml:space="preserve"> </w:t>
            </w:r>
            <w:r w:rsidRPr="00EE20B3">
              <w:rPr>
                <w:rFonts w:cs="Arial"/>
                <w:sz w:val="16"/>
                <w:szCs w:val="16"/>
                <w:lang w:val="x-none"/>
              </w:rPr>
              <w:t>studies have determined the therapeutic range for</w:t>
            </w:r>
            <w:r w:rsidRPr="00EE20B3">
              <w:rPr>
                <w:rFonts w:cs="Arial"/>
                <w:sz w:val="16"/>
                <w:szCs w:val="16"/>
              </w:rPr>
              <w:t xml:space="preserve"> heparin in neonates and the APTT therapeutic range and monitoring  is extrapolated  from adults. One prospective cohort study used a weight-based nomogram to address dosing of heparin in paediatric patients required to achieve adult therapeutic APTT values. Bolus doses of 75 to 100 units/kg resulted in therapeutic APTT values in 90% of children at 4-6 hours after bolus.</w:t>
            </w:r>
            <w:r w:rsidRPr="00EE20B3">
              <w:rPr>
                <w:rFonts w:cs="Arial"/>
                <w:sz w:val="16"/>
                <w:szCs w:val="16"/>
                <w:vertAlign w:val="superscript"/>
              </w:rPr>
              <w:t xml:space="preserve">17 </w:t>
            </w:r>
          </w:p>
          <w:p w:rsidRPr="00EE20B3" w:rsidR="00840391" w:rsidP="00131848" w:rsidRDefault="00840391" w14:paraId="11810320" w14:textId="77777777">
            <w:pPr>
              <w:overflowPunct w:val="0"/>
              <w:autoSpaceDE w:val="0"/>
              <w:autoSpaceDN w:val="0"/>
              <w:adjustRightInd w:val="0"/>
              <w:textAlignment w:val="baseline"/>
              <w:rPr>
                <w:rFonts w:cs="Arial"/>
                <w:b/>
                <w:sz w:val="16"/>
                <w:szCs w:val="16"/>
                <w:u w:val="single"/>
              </w:rPr>
            </w:pPr>
          </w:p>
          <w:p w:rsidRPr="00EE20B3" w:rsidR="00840391" w:rsidP="00131848" w:rsidRDefault="00840391" w14:paraId="1D61A923" w14:textId="77777777">
            <w:pPr>
              <w:overflowPunct w:val="0"/>
              <w:autoSpaceDE w:val="0"/>
              <w:autoSpaceDN w:val="0"/>
              <w:adjustRightInd w:val="0"/>
              <w:textAlignment w:val="baseline"/>
              <w:rPr>
                <w:rFonts w:cs="Arial"/>
                <w:b/>
                <w:sz w:val="16"/>
                <w:szCs w:val="16"/>
                <w:u w:val="single"/>
              </w:rPr>
            </w:pPr>
            <w:r w:rsidRPr="00EE20B3">
              <w:rPr>
                <w:rFonts w:cs="Arial"/>
                <w:b/>
                <w:sz w:val="16"/>
                <w:szCs w:val="16"/>
                <w:u w:val="single"/>
              </w:rPr>
              <w:t>Maintenance of patency of central vascular catheters</w:t>
            </w:r>
            <w:r w:rsidRPr="00EE20B3">
              <w:rPr>
                <w:rFonts w:cs="Arial"/>
                <w:b/>
                <w:sz w:val="16"/>
                <w:szCs w:val="16"/>
                <w:u w:val="single"/>
                <w:vertAlign w:val="superscript"/>
              </w:rPr>
              <w:t>1,2, 5-7</w:t>
            </w:r>
            <w:r w:rsidRPr="00EE20B3">
              <w:rPr>
                <w:rFonts w:cs="Arial"/>
                <w:b/>
                <w:sz w:val="16"/>
                <w:szCs w:val="16"/>
                <w:u w:val="single"/>
              </w:rPr>
              <w:t xml:space="preserve">  </w:t>
            </w:r>
          </w:p>
          <w:p w:rsidRPr="00EE20B3" w:rsidR="00840391" w:rsidP="00131848" w:rsidRDefault="00840391" w14:paraId="46A25445" w14:textId="77777777">
            <w:pPr>
              <w:overflowPunct w:val="0"/>
              <w:autoSpaceDE w:val="0"/>
              <w:autoSpaceDN w:val="0"/>
              <w:adjustRightInd w:val="0"/>
              <w:textAlignment w:val="baseline"/>
              <w:rPr>
                <w:rFonts w:cs="Arial"/>
                <w:b/>
                <w:sz w:val="16"/>
                <w:szCs w:val="16"/>
              </w:rPr>
            </w:pPr>
            <w:r w:rsidRPr="00EE20B3">
              <w:rPr>
                <w:rFonts w:cs="Arial"/>
                <w:sz w:val="16"/>
                <w:szCs w:val="16"/>
              </w:rPr>
              <w:t>Low dose heparin administered as a continuous infusion or regular flushes significantly increases the duration of peripheral catheter patency and reduces the episodes of infusion failure.</w:t>
            </w:r>
            <w:r w:rsidRPr="00EE20B3">
              <w:rPr>
                <w:rFonts w:cs="Arial"/>
                <w:sz w:val="16"/>
                <w:szCs w:val="16"/>
                <w:vertAlign w:val="superscript"/>
              </w:rPr>
              <w:t>5,6</w:t>
            </w:r>
            <w:r w:rsidRPr="00EE20B3">
              <w:rPr>
                <w:rFonts w:cs="Arial"/>
                <w:sz w:val="16"/>
                <w:szCs w:val="16"/>
              </w:rPr>
              <w:t xml:space="preserve"> A systematic review involving 267 neonates reported significant reduction in occlusion of peripherally placed percutaneous central venous catheters and higher rates of completion of therapy if heparin is infused at a dose of 0.5unit/kg/hr.</w:t>
            </w:r>
            <w:r w:rsidRPr="00EE20B3">
              <w:rPr>
                <w:rFonts w:cs="Arial"/>
                <w:sz w:val="16"/>
                <w:szCs w:val="16"/>
                <w:vertAlign w:val="superscript"/>
              </w:rPr>
              <w:t>7</w:t>
            </w:r>
            <w:r w:rsidRPr="00EE20B3">
              <w:rPr>
                <w:rFonts w:cs="Arial"/>
                <w:sz w:val="16"/>
                <w:szCs w:val="16"/>
              </w:rPr>
              <w:t xml:space="preserve"> Administration of heparin in low doses does not significantly alter the risk of sepsis or intraventricular haemorrhage.</w:t>
            </w:r>
            <w:r w:rsidRPr="00EE20B3">
              <w:rPr>
                <w:rFonts w:cs="Arial"/>
                <w:sz w:val="16"/>
                <w:szCs w:val="16"/>
                <w:vertAlign w:val="superscript"/>
              </w:rPr>
              <w:t>1,5-7</w:t>
            </w:r>
            <w:r w:rsidRPr="00EE20B3">
              <w:rPr>
                <w:rFonts w:cs="Arial"/>
                <w:sz w:val="16"/>
                <w:szCs w:val="16"/>
              </w:rPr>
              <w:t xml:space="preserve"> </w:t>
            </w:r>
            <w:r w:rsidRPr="00EE20B3">
              <w:rPr>
                <w:rFonts w:cs="Arial"/>
                <w:sz w:val="16"/>
                <w:szCs w:val="16"/>
                <w:lang w:val="x-none"/>
              </w:rPr>
              <w:t>However, Lesko et</w:t>
            </w:r>
            <w:r w:rsidRPr="00EE20B3">
              <w:rPr>
                <w:rFonts w:cs="Arial"/>
                <w:sz w:val="16"/>
                <w:szCs w:val="16"/>
              </w:rPr>
              <w:t>.</w:t>
            </w:r>
            <w:r w:rsidRPr="00EE20B3">
              <w:rPr>
                <w:rFonts w:cs="Arial"/>
                <w:sz w:val="16"/>
                <w:szCs w:val="16"/>
                <w:lang w:val="x-none"/>
              </w:rPr>
              <w:t xml:space="preserve"> </w:t>
            </w:r>
            <w:r w:rsidRPr="00EE20B3">
              <w:rPr>
                <w:rFonts w:cs="Arial"/>
                <w:sz w:val="16"/>
                <w:szCs w:val="16"/>
              </w:rPr>
              <w:t>a</w:t>
            </w:r>
            <w:r w:rsidRPr="00EE20B3">
              <w:rPr>
                <w:rFonts w:cs="Arial"/>
                <w:sz w:val="16"/>
                <w:szCs w:val="16"/>
                <w:lang w:val="x-none"/>
              </w:rPr>
              <w:t>l</w:t>
            </w:r>
            <w:r w:rsidRPr="00EE20B3">
              <w:rPr>
                <w:rFonts w:cs="Arial"/>
                <w:sz w:val="16"/>
                <w:szCs w:val="16"/>
              </w:rPr>
              <w:t>.</w:t>
            </w:r>
            <w:r w:rsidRPr="00EE20B3">
              <w:rPr>
                <w:rFonts w:cs="Arial"/>
                <w:sz w:val="16"/>
                <w:szCs w:val="16"/>
                <w:lang w:val="x-none"/>
              </w:rPr>
              <w:t xml:space="preserve"> reported a </w:t>
            </w:r>
            <w:r w:rsidRPr="00EE20B3">
              <w:rPr>
                <w:rFonts w:cs="Arial"/>
                <w:sz w:val="16"/>
                <w:szCs w:val="16"/>
              </w:rPr>
              <w:t>4-</w:t>
            </w:r>
            <w:r w:rsidRPr="00EE20B3">
              <w:rPr>
                <w:rFonts w:cs="Arial"/>
                <w:sz w:val="16"/>
                <w:szCs w:val="16"/>
                <w:lang w:val="x-none"/>
              </w:rPr>
              <w:t>fold</w:t>
            </w:r>
            <w:r w:rsidRPr="00EE20B3">
              <w:rPr>
                <w:rFonts w:cs="Arial"/>
                <w:sz w:val="16"/>
                <w:szCs w:val="16"/>
              </w:rPr>
              <w:t>, but statistically not significant,</w:t>
            </w:r>
            <w:r w:rsidRPr="00EE20B3">
              <w:rPr>
                <w:rFonts w:cs="Arial"/>
                <w:sz w:val="16"/>
                <w:szCs w:val="16"/>
                <w:lang w:val="x-none"/>
              </w:rPr>
              <w:t xml:space="preserve"> increase in IVH in low-birthweight</w:t>
            </w:r>
            <w:r w:rsidRPr="00EE20B3">
              <w:rPr>
                <w:rFonts w:cs="Arial"/>
                <w:sz w:val="16"/>
                <w:szCs w:val="16"/>
              </w:rPr>
              <w:t xml:space="preserve"> </w:t>
            </w:r>
            <w:r w:rsidRPr="00EE20B3">
              <w:rPr>
                <w:rFonts w:cs="Arial"/>
                <w:sz w:val="16"/>
                <w:szCs w:val="16"/>
                <w:lang w:val="x-none"/>
              </w:rPr>
              <w:t>infants in a case control study</w:t>
            </w:r>
            <w:r w:rsidRPr="00EE20B3">
              <w:rPr>
                <w:rFonts w:cs="Arial"/>
                <w:sz w:val="16"/>
                <w:szCs w:val="16"/>
              </w:rPr>
              <w:t xml:space="preserve"> (</w:t>
            </w:r>
            <w:r w:rsidRPr="00EE20B3">
              <w:rPr>
                <w:rFonts w:cs="Arial"/>
                <w:sz w:val="16"/>
                <w:szCs w:val="16"/>
                <w:lang w:val="x-none"/>
              </w:rPr>
              <w:t>OR, 3.9; 95% CI, 1.4-11.0).</w:t>
            </w:r>
            <w:r w:rsidRPr="00EE20B3">
              <w:rPr>
                <w:rFonts w:cs="Arial"/>
                <w:sz w:val="16"/>
                <w:szCs w:val="16"/>
                <w:vertAlign w:val="superscript"/>
              </w:rPr>
              <w:t>10</w:t>
            </w:r>
          </w:p>
          <w:p w:rsidRPr="00EE20B3" w:rsidR="00840391" w:rsidP="00131848" w:rsidRDefault="00840391" w14:paraId="5C87A984" w14:textId="77777777">
            <w:pPr>
              <w:overflowPunct w:val="0"/>
              <w:autoSpaceDE w:val="0"/>
              <w:autoSpaceDN w:val="0"/>
              <w:adjustRightInd w:val="0"/>
              <w:textAlignment w:val="baseline"/>
              <w:rPr>
                <w:rFonts w:cs="Arial"/>
                <w:b/>
                <w:sz w:val="16"/>
                <w:szCs w:val="16"/>
                <w:u w:val="single"/>
              </w:rPr>
            </w:pPr>
          </w:p>
          <w:p w:rsidRPr="00EE20B3" w:rsidR="00840391" w:rsidP="00131848" w:rsidRDefault="00840391" w14:paraId="5B7F0D9C" w14:textId="77777777">
            <w:pPr>
              <w:overflowPunct w:val="0"/>
              <w:autoSpaceDE w:val="0"/>
              <w:autoSpaceDN w:val="0"/>
              <w:adjustRightInd w:val="0"/>
              <w:textAlignment w:val="baseline"/>
              <w:rPr>
                <w:rFonts w:cs="Arial"/>
                <w:b/>
                <w:sz w:val="16"/>
                <w:szCs w:val="16"/>
                <w:u w:val="single"/>
              </w:rPr>
            </w:pPr>
            <w:r w:rsidRPr="00EE20B3">
              <w:rPr>
                <w:rFonts w:cs="Arial"/>
                <w:b/>
                <w:sz w:val="16"/>
                <w:szCs w:val="16"/>
                <w:u w:val="single"/>
              </w:rPr>
              <w:t>Maintenance of patency of peripheral arterial catheters</w:t>
            </w:r>
          </w:p>
          <w:p w:rsidRPr="00EE20B3" w:rsidR="00840391" w:rsidP="00131848" w:rsidRDefault="00840391" w14:paraId="3439FFA6" w14:textId="77777777">
            <w:pPr>
              <w:overflowPunct w:val="0"/>
              <w:autoSpaceDE w:val="0"/>
              <w:autoSpaceDN w:val="0"/>
              <w:adjustRightInd w:val="0"/>
              <w:textAlignment w:val="baseline"/>
              <w:rPr>
                <w:rFonts w:cs="Arial"/>
                <w:sz w:val="16"/>
                <w:szCs w:val="16"/>
                <w:vertAlign w:val="superscript"/>
              </w:rPr>
            </w:pPr>
            <w:r w:rsidRPr="00EE20B3">
              <w:rPr>
                <w:rFonts w:cs="Arial"/>
                <w:sz w:val="16"/>
                <w:szCs w:val="16"/>
              </w:rPr>
              <w:t>Heparin is shown to significantly reduce clot formation and maintain patency of peripheral arterial catheter for a longer period.</w:t>
            </w:r>
            <w:r w:rsidRPr="00EE20B3">
              <w:rPr>
                <w:rFonts w:cs="Arial"/>
                <w:sz w:val="16"/>
                <w:szCs w:val="16"/>
                <w:vertAlign w:val="superscript"/>
              </w:rPr>
              <w:t>18</w:t>
            </w:r>
            <w:r w:rsidRPr="00EE20B3">
              <w:rPr>
                <w:rFonts w:cs="Arial"/>
                <w:sz w:val="16"/>
                <w:szCs w:val="16"/>
              </w:rPr>
              <w:t xml:space="preserve">  Compared with 1 unit/mL, heparin concentration of 5 units/mL is more effective in keeping arterial catheters patent for longer time.</w:t>
            </w:r>
            <w:r w:rsidRPr="00EE20B3">
              <w:rPr>
                <w:rFonts w:cs="Arial"/>
                <w:sz w:val="16"/>
                <w:szCs w:val="16"/>
                <w:vertAlign w:val="superscript"/>
              </w:rPr>
              <w:t>19</w:t>
            </w:r>
            <w:r w:rsidRPr="00EE20B3">
              <w:rPr>
                <w:rFonts w:cs="Arial"/>
                <w:sz w:val="16"/>
                <w:szCs w:val="16"/>
              </w:rPr>
              <w:t xml:space="preserve"> Studies found heparinised normal saline superior to heparinised glucose solution, and continuous infusion of heparin in normal saline better compared to intermittent flushing to improve arterial catheter patency.</w:t>
            </w:r>
            <w:r w:rsidRPr="00EE20B3">
              <w:rPr>
                <w:rFonts w:cs="Arial"/>
                <w:sz w:val="16"/>
                <w:szCs w:val="16"/>
                <w:vertAlign w:val="superscript"/>
              </w:rPr>
              <w:t>20,21</w:t>
            </w:r>
          </w:p>
          <w:p w:rsidRPr="00EE20B3" w:rsidR="00840391" w:rsidP="00131848" w:rsidRDefault="00840391" w14:paraId="30116550" w14:textId="77777777">
            <w:pPr>
              <w:overflowPunct w:val="0"/>
              <w:autoSpaceDE w:val="0"/>
              <w:autoSpaceDN w:val="0"/>
              <w:adjustRightInd w:val="0"/>
              <w:textAlignment w:val="baseline"/>
              <w:rPr>
                <w:rFonts w:cs="Arial"/>
                <w:b/>
                <w:sz w:val="16"/>
                <w:szCs w:val="16"/>
              </w:rPr>
            </w:pPr>
          </w:p>
          <w:p w:rsidRPr="00EE20B3" w:rsidR="00840391" w:rsidP="00131848" w:rsidRDefault="00840391" w14:paraId="26687805" w14:textId="77777777">
            <w:pPr>
              <w:overflowPunct w:val="0"/>
              <w:autoSpaceDE w:val="0"/>
              <w:autoSpaceDN w:val="0"/>
              <w:adjustRightInd w:val="0"/>
              <w:textAlignment w:val="baseline"/>
              <w:rPr>
                <w:rFonts w:cs="Arial"/>
                <w:b/>
                <w:sz w:val="16"/>
                <w:szCs w:val="16"/>
              </w:rPr>
            </w:pPr>
            <w:r w:rsidRPr="00EE20B3">
              <w:rPr>
                <w:rFonts w:cs="Arial"/>
                <w:b/>
                <w:sz w:val="16"/>
                <w:szCs w:val="16"/>
              </w:rPr>
              <w:t xml:space="preserve">ANMF consensus on the strength and infusion rate of heparinised IV fluid for catheter patency is a simplified pragmatic recommendation from the evidence. </w:t>
            </w:r>
          </w:p>
          <w:p w:rsidRPr="00EE20B3" w:rsidR="00840391" w:rsidP="00131848" w:rsidRDefault="00840391" w14:paraId="10D11603" w14:textId="77777777">
            <w:pPr>
              <w:overflowPunct w:val="0"/>
              <w:autoSpaceDE w:val="0"/>
              <w:autoSpaceDN w:val="0"/>
              <w:adjustRightInd w:val="0"/>
              <w:textAlignment w:val="baseline"/>
              <w:rPr>
                <w:rFonts w:cs="Arial"/>
                <w:b/>
                <w:sz w:val="16"/>
                <w:szCs w:val="16"/>
              </w:rPr>
            </w:pPr>
          </w:p>
          <w:p w:rsidRPr="00EE20B3" w:rsidR="00840391" w:rsidP="00131848" w:rsidRDefault="00840391" w14:paraId="40461B6D" w14:textId="77777777">
            <w:pPr>
              <w:overflowPunct w:val="0"/>
              <w:autoSpaceDE w:val="0"/>
              <w:autoSpaceDN w:val="0"/>
              <w:adjustRightInd w:val="0"/>
              <w:textAlignment w:val="baseline"/>
              <w:rPr>
                <w:rFonts w:cs="Arial"/>
                <w:b/>
                <w:sz w:val="16"/>
                <w:szCs w:val="16"/>
              </w:rPr>
            </w:pPr>
            <w:r w:rsidRPr="00EE20B3">
              <w:rPr>
                <w:rFonts w:cs="Arial"/>
                <w:b/>
                <w:sz w:val="16"/>
                <w:szCs w:val="16"/>
              </w:rPr>
              <w:t>Safety</w:t>
            </w:r>
          </w:p>
          <w:p w:rsidRPr="00EE20B3" w:rsidR="00840391" w:rsidP="00131848" w:rsidRDefault="00840391" w14:paraId="5C96F020" w14:textId="77777777">
            <w:pPr>
              <w:overflowPunct w:val="0"/>
              <w:autoSpaceDE w:val="0"/>
              <w:autoSpaceDN w:val="0"/>
              <w:adjustRightInd w:val="0"/>
              <w:textAlignment w:val="baseline"/>
              <w:rPr>
                <w:rFonts w:cs="Arial"/>
                <w:sz w:val="16"/>
                <w:szCs w:val="16"/>
              </w:rPr>
            </w:pPr>
            <w:r w:rsidRPr="00EE20B3">
              <w:rPr>
                <w:rFonts w:cs="Arial"/>
                <w:sz w:val="16"/>
                <w:szCs w:val="16"/>
              </w:rPr>
              <w:t xml:space="preserve">Major bleeding has been reported in children treated for deep vein thrombosis/pulmonary embolism. There are case reports of osteoporosis. Given the adverse effects, and the availability of alternative anticoagulants, long term use of heparin can be avoided. Heparin-induced thrombocytopenia (HIT) has been reported in neonates. </w:t>
            </w:r>
            <w:r w:rsidRPr="00EE20B3">
              <w:rPr>
                <w:rFonts w:cs="Arial"/>
                <w:sz w:val="16"/>
                <w:szCs w:val="16"/>
              </w:rPr>
              <w:lastRenderedPageBreak/>
              <w:t>Following exposure to heparin for at least 5 days, Schmugge et al reported antibodies against HPF4 in 2.3% children who developed thrombocytopenia and thrombosis.</w:t>
            </w:r>
            <w:r w:rsidRPr="00EE20B3">
              <w:rPr>
                <w:rFonts w:cs="Arial"/>
                <w:sz w:val="16"/>
                <w:szCs w:val="16"/>
                <w:vertAlign w:val="superscript"/>
              </w:rPr>
              <w:t>23</w:t>
            </w:r>
            <w:r w:rsidRPr="00EE20B3">
              <w:rPr>
                <w:rFonts w:cs="Arial"/>
                <w:sz w:val="16"/>
                <w:szCs w:val="16"/>
              </w:rPr>
              <w:t xml:space="preserve"> In a systematic review, Avila et. al. reported seroconversion for anti-PF4/H antibodies in 0-1.7% neonates but no neonate fulfilled the combined clinical and laboratory criteria used for the diagnosis of HIT.</w:t>
            </w:r>
            <w:r w:rsidRPr="00EE20B3">
              <w:rPr>
                <w:rFonts w:cs="Arial"/>
                <w:sz w:val="16"/>
                <w:szCs w:val="16"/>
                <w:vertAlign w:val="superscript"/>
              </w:rPr>
              <w:t>24</w:t>
            </w:r>
          </w:p>
          <w:p w:rsidRPr="00EE20B3" w:rsidR="00840391" w:rsidP="00131848" w:rsidRDefault="00840391" w14:paraId="2586D910" w14:textId="77777777">
            <w:pPr>
              <w:overflowPunct w:val="0"/>
              <w:autoSpaceDE w:val="0"/>
              <w:autoSpaceDN w:val="0"/>
              <w:adjustRightInd w:val="0"/>
              <w:textAlignment w:val="baseline"/>
              <w:rPr>
                <w:rFonts w:cs="Arial"/>
                <w:b/>
                <w:sz w:val="16"/>
                <w:szCs w:val="16"/>
              </w:rPr>
            </w:pPr>
          </w:p>
          <w:p w:rsidRPr="00EE20B3" w:rsidR="00840391" w:rsidP="00131848" w:rsidRDefault="00840391" w14:paraId="414201B2" w14:textId="77777777">
            <w:pPr>
              <w:overflowPunct w:val="0"/>
              <w:autoSpaceDE w:val="0"/>
              <w:autoSpaceDN w:val="0"/>
              <w:adjustRightInd w:val="0"/>
              <w:textAlignment w:val="baseline"/>
              <w:rPr>
                <w:rFonts w:cs="Arial"/>
                <w:b/>
                <w:sz w:val="16"/>
                <w:szCs w:val="16"/>
              </w:rPr>
            </w:pPr>
            <w:r w:rsidRPr="00EE20B3">
              <w:rPr>
                <w:rFonts w:cs="Arial"/>
                <w:b/>
                <w:sz w:val="16"/>
                <w:szCs w:val="16"/>
              </w:rPr>
              <w:t xml:space="preserve">Pharmacokinetics </w:t>
            </w:r>
          </w:p>
          <w:p w:rsidRPr="00EE20B3" w:rsidR="00840391" w:rsidP="00131848" w:rsidRDefault="00840391" w14:paraId="1C47DD10" w14:textId="77777777">
            <w:pPr>
              <w:pStyle w:val="BodyText"/>
              <w:tabs>
                <w:tab w:val="left" w:pos="1168"/>
              </w:tabs>
              <w:rPr>
                <w:rFonts w:cs="Arial"/>
                <w:sz w:val="16"/>
                <w:szCs w:val="16"/>
                <w:lang w:val="en-AU"/>
              </w:rPr>
            </w:pPr>
            <w:r w:rsidRPr="00EE20B3">
              <w:rPr>
                <w:rFonts w:cs="Arial"/>
                <w:sz w:val="16"/>
                <w:szCs w:val="16"/>
                <w:lang w:val="en-AU"/>
              </w:rPr>
              <w:t>Studies of heparin in newborns are limited but show that the clearance is faster than for older children because of a larger volume of distribution. It is metabolised by liver and excreted renally within 6 hours but may be delayed. Half-life is dose-dependent but averages 1 to 3 hours. Efficacy in neonates may be low due to low antithrombin plasma concentrations.</w:t>
            </w:r>
            <w:r w:rsidRPr="00EE20B3">
              <w:rPr>
                <w:rFonts w:cs="Arial"/>
                <w:sz w:val="16"/>
                <w:szCs w:val="16"/>
                <w:vertAlign w:val="superscript"/>
                <w:lang w:val="en-AU"/>
              </w:rPr>
              <w:t>1</w:t>
            </w:r>
          </w:p>
        </w:tc>
      </w:tr>
      <w:tr w:rsidRPr="003A7895" w:rsidR="00840391" w:rsidTr="00EE20B3" w14:paraId="6E811664" w14:textId="77777777">
        <w:trPr>
          <w:trHeight w:val="108"/>
        </w:trPr>
        <w:tc>
          <w:tcPr>
            <w:tcW w:w="1730" w:type="dxa"/>
          </w:tcPr>
          <w:p w:rsidRPr="00B53E9B" w:rsidR="00840391" w:rsidP="00131848" w:rsidRDefault="00840391" w14:paraId="53D3D790" w14:textId="77777777">
            <w:pPr>
              <w:pStyle w:val="BodyText"/>
              <w:rPr>
                <w:rFonts w:cs="Arial"/>
                <w:b/>
                <w:bCs/>
                <w:sz w:val="20"/>
                <w:lang w:val="en-AU"/>
              </w:rPr>
            </w:pPr>
            <w:r w:rsidRPr="00B53E9B">
              <w:rPr>
                <w:rFonts w:cs="Arial"/>
                <w:b/>
                <w:bCs/>
                <w:sz w:val="20"/>
                <w:lang w:val="en-AU"/>
              </w:rPr>
              <w:lastRenderedPageBreak/>
              <w:t>Practice points</w:t>
            </w:r>
          </w:p>
        </w:tc>
        <w:tc>
          <w:tcPr>
            <w:tcW w:w="7513" w:type="dxa"/>
          </w:tcPr>
          <w:p w:rsidRPr="00EE20B3" w:rsidR="00840391" w:rsidP="00131848" w:rsidRDefault="00840391" w14:paraId="010183B0" w14:textId="77777777">
            <w:pPr>
              <w:overflowPunct w:val="0"/>
              <w:autoSpaceDE w:val="0"/>
              <w:autoSpaceDN w:val="0"/>
              <w:adjustRightInd w:val="0"/>
              <w:textAlignment w:val="baseline"/>
              <w:rPr>
                <w:rFonts w:cs="Arial"/>
                <w:b/>
                <w:sz w:val="16"/>
                <w:szCs w:val="16"/>
              </w:rPr>
            </w:pPr>
            <w:r w:rsidRPr="00EE20B3">
              <w:rPr>
                <w:rFonts w:cs="Arial"/>
                <w:b/>
                <w:sz w:val="16"/>
                <w:szCs w:val="16"/>
              </w:rPr>
              <w:t>General</w:t>
            </w:r>
          </w:p>
          <w:p w:rsidRPr="00EE20B3" w:rsidR="00840391" w:rsidP="00131848" w:rsidRDefault="00840391" w14:paraId="32259848" w14:textId="77777777">
            <w:pPr>
              <w:overflowPunct w:val="0"/>
              <w:autoSpaceDE w:val="0"/>
              <w:autoSpaceDN w:val="0"/>
              <w:adjustRightInd w:val="0"/>
              <w:textAlignment w:val="baseline"/>
              <w:rPr>
                <w:rFonts w:cs="Arial"/>
                <w:b/>
                <w:sz w:val="16"/>
                <w:szCs w:val="16"/>
              </w:rPr>
            </w:pPr>
            <w:r w:rsidRPr="00EE20B3">
              <w:rPr>
                <w:rFonts w:cs="Arial"/>
                <w:sz w:val="16"/>
                <w:szCs w:val="16"/>
              </w:rPr>
              <w:t>There are no data from randomised controlled trials to recommend or refute the use of heparin for treatment of neonatal thrombosis.</w:t>
            </w:r>
            <w:r w:rsidRPr="00EE20B3">
              <w:rPr>
                <w:rFonts w:cs="Arial"/>
                <w:sz w:val="16"/>
                <w:szCs w:val="16"/>
                <w:vertAlign w:val="superscript"/>
              </w:rPr>
              <w:t xml:space="preserve">2 </w:t>
            </w:r>
            <w:r w:rsidRPr="00EE20B3">
              <w:rPr>
                <w:rFonts w:cs="Arial"/>
                <w:b/>
                <w:sz w:val="16"/>
                <w:szCs w:val="16"/>
              </w:rPr>
              <w:t xml:space="preserve"> </w:t>
            </w:r>
          </w:p>
          <w:p w:rsidRPr="00EE20B3" w:rsidR="00840391" w:rsidP="00131848" w:rsidRDefault="00840391" w14:paraId="674FD57A" w14:textId="77777777">
            <w:pPr>
              <w:pStyle w:val="BodyText"/>
              <w:tabs>
                <w:tab w:val="left" w:pos="1168"/>
              </w:tabs>
              <w:rPr>
                <w:rFonts w:cs="Arial"/>
                <w:b/>
                <w:sz w:val="16"/>
                <w:szCs w:val="16"/>
                <w:lang w:val="en-AU"/>
              </w:rPr>
            </w:pPr>
            <w:r w:rsidRPr="00EE20B3">
              <w:rPr>
                <w:rFonts w:cs="Arial"/>
                <w:b/>
                <w:sz w:val="16"/>
                <w:szCs w:val="16"/>
                <w:lang w:val="en-AU"/>
              </w:rPr>
              <w:t>Dose</w:t>
            </w:r>
          </w:p>
          <w:p w:rsidRPr="00EE20B3" w:rsidR="00840391" w:rsidP="00131848" w:rsidRDefault="00840391" w14:paraId="7CBD8E0F" w14:textId="77777777">
            <w:pPr>
              <w:pStyle w:val="BodyText"/>
              <w:tabs>
                <w:tab w:val="left" w:pos="1168"/>
              </w:tabs>
              <w:rPr>
                <w:rFonts w:cs="Arial"/>
                <w:sz w:val="16"/>
                <w:szCs w:val="16"/>
                <w:u w:val="single"/>
                <w:lang w:val="en-AU"/>
              </w:rPr>
            </w:pPr>
            <w:r w:rsidRPr="00EE20B3">
              <w:rPr>
                <w:rFonts w:cs="Arial"/>
                <w:sz w:val="16"/>
                <w:szCs w:val="16"/>
                <w:u w:val="single"/>
                <w:lang w:val="en-AU"/>
              </w:rPr>
              <w:t>Antithrombotic prophylaxis</w:t>
            </w:r>
          </w:p>
          <w:p w:rsidRPr="00EE20B3" w:rsidR="00840391" w:rsidP="00131848" w:rsidRDefault="00840391" w14:paraId="0EFFCACA" w14:textId="77777777">
            <w:pPr>
              <w:pStyle w:val="BodyText"/>
              <w:tabs>
                <w:tab w:val="left" w:pos="1168"/>
              </w:tabs>
              <w:rPr>
                <w:rFonts w:cs="Arial"/>
                <w:sz w:val="16"/>
                <w:szCs w:val="16"/>
                <w:lang w:val="en-AU"/>
              </w:rPr>
            </w:pPr>
            <w:r w:rsidRPr="00EE20B3">
              <w:rPr>
                <w:rFonts w:cs="Arial"/>
                <w:sz w:val="16"/>
                <w:szCs w:val="16"/>
                <w:lang w:val="en-AU"/>
              </w:rPr>
              <w:t>Loading doses and maintenance doses have been adapted from the American College of Chest Physicians Evidence-Based Clinical Practice Guidelines 2012,</w:t>
            </w:r>
            <w:r w:rsidRPr="00EE20B3">
              <w:rPr>
                <w:rFonts w:cs="Arial"/>
                <w:sz w:val="16"/>
                <w:szCs w:val="16"/>
                <w:vertAlign w:val="superscript"/>
                <w:lang w:val="en-AU"/>
              </w:rPr>
              <w:t>1</w:t>
            </w:r>
            <w:r w:rsidRPr="00EE20B3">
              <w:rPr>
                <w:rFonts w:cs="Arial"/>
                <w:sz w:val="16"/>
                <w:szCs w:val="16"/>
                <w:lang w:val="en-AU"/>
              </w:rPr>
              <w:t xml:space="preserve"> which were based on paediatric data from a prospective cohort study.</w:t>
            </w:r>
            <w:r w:rsidRPr="00EE20B3">
              <w:rPr>
                <w:rFonts w:cs="Arial"/>
                <w:sz w:val="16"/>
                <w:szCs w:val="16"/>
                <w:vertAlign w:val="superscript"/>
                <w:lang w:val="en-AU"/>
              </w:rPr>
              <w:t>22</w:t>
            </w:r>
            <w:r w:rsidRPr="00EE20B3">
              <w:rPr>
                <w:rFonts w:cs="Arial"/>
                <w:sz w:val="16"/>
                <w:szCs w:val="16"/>
                <w:lang w:val="en-AU"/>
              </w:rPr>
              <w:t xml:space="preserve"> (LOE IV GOR D) </w:t>
            </w:r>
          </w:p>
          <w:p w:rsidRPr="00EE20B3" w:rsidR="00840391" w:rsidP="00131848" w:rsidRDefault="00840391" w14:paraId="06136C3F" w14:textId="77777777">
            <w:pPr>
              <w:pStyle w:val="BodyText"/>
              <w:tabs>
                <w:tab w:val="left" w:pos="1168"/>
              </w:tabs>
              <w:rPr>
                <w:rFonts w:cs="Arial"/>
                <w:sz w:val="16"/>
                <w:szCs w:val="16"/>
                <w:lang w:val="en-AU"/>
              </w:rPr>
            </w:pPr>
            <w:r w:rsidRPr="00EE20B3">
              <w:rPr>
                <w:rFonts w:cs="Arial"/>
                <w:sz w:val="16"/>
                <w:szCs w:val="16"/>
                <w:lang w:val="en-AU"/>
              </w:rPr>
              <w:t>Loading dose is safer to be infused over 30 minutes in neonates. (ANMF haematology expert group opinion)</w:t>
            </w:r>
          </w:p>
          <w:p w:rsidRPr="00EE20B3" w:rsidR="00840391" w:rsidP="00131848" w:rsidRDefault="00840391" w14:paraId="322C5D97" w14:textId="77777777">
            <w:pPr>
              <w:pStyle w:val="BodyText"/>
              <w:tabs>
                <w:tab w:val="left" w:pos="1168"/>
              </w:tabs>
              <w:rPr>
                <w:rFonts w:cs="Arial"/>
                <w:sz w:val="16"/>
                <w:szCs w:val="16"/>
                <w:lang w:val="en-AU"/>
              </w:rPr>
            </w:pPr>
            <w:r w:rsidRPr="00EE20B3">
              <w:rPr>
                <w:rFonts w:cs="Arial"/>
                <w:sz w:val="16"/>
                <w:szCs w:val="16"/>
                <w:lang w:val="en-AU"/>
              </w:rPr>
              <w:t>Initial maintenance dose is easier to be administered at 30 units/kg/hr, rather than 28 units/kg/hr. (ANMF haematology expert group opinion)</w:t>
            </w:r>
          </w:p>
          <w:p w:rsidRPr="00EE20B3" w:rsidR="00840391" w:rsidP="00131848" w:rsidRDefault="00840391" w14:paraId="6B0F463D" w14:textId="77777777">
            <w:pPr>
              <w:overflowPunct w:val="0"/>
              <w:autoSpaceDE w:val="0"/>
              <w:autoSpaceDN w:val="0"/>
              <w:adjustRightInd w:val="0"/>
              <w:textAlignment w:val="baseline"/>
              <w:rPr>
                <w:rFonts w:cs="Arial"/>
                <w:sz w:val="16"/>
                <w:szCs w:val="16"/>
                <w:u w:val="single"/>
              </w:rPr>
            </w:pPr>
            <w:r w:rsidRPr="00EE20B3">
              <w:rPr>
                <w:rFonts w:cs="Arial"/>
                <w:sz w:val="16"/>
                <w:szCs w:val="16"/>
                <w:u w:val="single"/>
              </w:rPr>
              <w:t>Central vascular catheters</w:t>
            </w:r>
          </w:p>
          <w:p w:rsidRPr="00EE20B3" w:rsidR="00840391" w:rsidP="00131848" w:rsidRDefault="00840391" w14:paraId="440690F0" w14:textId="77777777">
            <w:pPr>
              <w:overflowPunct w:val="0"/>
              <w:autoSpaceDE w:val="0"/>
              <w:autoSpaceDN w:val="0"/>
              <w:adjustRightInd w:val="0"/>
              <w:textAlignment w:val="baseline"/>
              <w:rPr>
                <w:rFonts w:cs="Arial"/>
                <w:sz w:val="16"/>
                <w:szCs w:val="16"/>
              </w:rPr>
            </w:pPr>
            <w:r w:rsidRPr="00EE20B3">
              <w:rPr>
                <w:rFonts w:cs="Arial"/>
                <w:sz w:val="16"/>
                <w:szCs w:val="16"/>
              </w:rPr>
              <w:t>Heparin infusions at 0.5 units/kg per hour are recommended to maintain CVAD patency.</w:t>
            </w:r>
            <w:r w:rsidRPr="00EE20B3">
              <w:rPr>
                <w:rFonts w:cs="Arial"/>
                <w:sz w:val="16"/>
                <w:szCs w:val="16"/>
                <w:vertAlign w:val="superscript"/>
              </w:rPr>
              <w:t>1,7</w:t>
            </w:r>
            <w:r w:rsidRPr="00EE20B3">
              <w:rPr>
                <w:rFonts w:cs="Arial"/>
                <w:sz w:val="16"/>
                <w:szCs w:val="16"/>
              </w:rPr>
              <w:t xml:space="preserve"> (LOE I, GOR B)</w:t>
            </w:r>
          </w:p>
          <w:p w:rsidRPr="00EE20B3" w:rsidR="00840391" w:rsidP="00131848" w:rsidRDefault="00840391" w14:paraId="4AF32DEA" w14:textId="77777777">
            <w:pPr>
              <w:overflowPunct w:val="0"/>
              <w:autoSpaceDE w:val="0"/>
              <w:autoSpaceDN w:val="0"/>
              <w:adjustRightInd w:val="0"/>
              <w:textAlignment w:val="baseline"/>
              <w:rPr>
                <w:rFonts w:cs="Arial"/>
                <w:sz w:val="16"/>
                <w:szCs w:val="16"/>
                <w:u w:val="single"/>
              </w:rPr>
            </w:pPr>
            <w:r w:rsidRPr="00EE20B3">
              <w:rPr>
                <w:rFonts w:cs="Arial"/>
                <w:sz w:val="16"/>
                <w:szCs w:val="16"/>
                <w:u w:val="single"/>
              </w:rPr>
              <w:t xml:space="preserve">Peripheral arterial catheters </w:t>
            </w:r>
          </w:p>
          <w:p w:rsidRPr="00EE20B3" w:rsidR="00840391" w:rsidP="00131848" w:rsidRDefault="00840391" w14:paraId="6E3544F8" w14:textId="77777777">
            <w:pPr>
              <w:overflowPunct w:val="0"/>
              <w:autoSpaceDE w:val="0"/>
              <w:autoSpaceDN w:val="0"/>
              <w:adjustRightInd w:val="0"/>
              <w:textAlignment w:val="baseline"/>
              <w:rPr>
                <w:rFonts w:cs="Arial"/>
                <w:sz w:val="16"/>
                <w:szCs w:val="16"/>
              </w:rPr>
            </w:pPr>
            <w:r w:rsidRPr="00EE20B3">
              <w:rPr>
                <w:rFonts w:cs="Arial"/>
                <w:sz w:val="16"/>
                <w:szCs w:val="16"/>
              </w:rPr>
              <w:t>Heparin infusions at 0.5 units/mL at 1 mL/hour are recommended.</w:t>
            </w:r>
            <w:r w:rsidRPr="00EE20B3">
              <w:rPr>
                <w:rFonts w:cs="Arial"/>
                <w:sz w:val="16"/>
                <w:szCs w:val="16"/>
                <w:vertAlign w:val="superscript"/>
              </w:rPr>
              <w:t xml:space="preserve">1 </w:t>
            </w:r>
            <w:r w:rsidRPr="00EE20B3">
              <w:rPr>
                <w:rFonts w:cs="Arial"/>
                <w:sz w:val="16"/>
                <w:szCs w:val="16"/>
              </w:rPr>
              <w:t>(LOE II, GOR B)</w:t>
            </w:r>
          </w:p>
          <w:p w:rsidRPr="00EE20B3" w:rsidR="00840391" w:rsidP="00131848" w:rsidRDefault="00840391" w14:paraId="0CA3CB91" w14:textId="77777777">
            <w:pPr>
              <w:overflowPunct w:val="0"/>
              <w:autoSpaceDE w:val="0"/>
              <w:autoSpaceDN w:val="0"/>
              <w:adjustRightInd w:val="0"/>
              <w:textAlignment w:val="baseline"/>
              <w:rPr>
                <w:rFonts w:cs="Arial"/>
                <w:sz w:val="16"/>
                <w:szCs w:val="16"/>
              </w:rPr>
            </w:pPr>
            <w:r w:rsidRPr="00EE20B3">
              <w:rPr>
                <w:rFonts w:cs="Arial"/>
                <w:sz w:val="16"/>
                <w:szCs w:val="16"/>
              </w:rPr>
              <w:t>ANMF consensus on the strength and infusion rate of heparinised IV fluid for catheter patency is a simplified pragmatic recommendation from the evidence.</w:t>
            </w:r>
          </w:p>
          <w:p w:rsidRPr="00EE20B3" w:rsidR="00840391" w:rsidP="00131848" w:rsidRDefault="00840391" w14:paraId="02C53BB1" w14:textId="77777777">
            <w:pPr>
              <w:pStyle w:val="BodyText"/>
              <w:tabs>
                <w:tab w:val="left" w:pos="1168"/>
              </w:tabs>
              <w:rPr>
                <w:rFonts w:cs="Arial"/>
                <w:b/>
                <w:sz w:val="16"/>
                <w:szCs w:val="16"/>
                <w:lang w:val="en-AU"/>
              </w:rPr>
            </w:pPr>
            <w:r w:rsidRPr="00EE20B3">
              <w:rPr>
                <w:rFonts w:cs="Arial"/>
                <w:b/>
                <w:sz w:val="16"/>
                <w:szCs w:val="16"/>
                <w:lang w:val="en-AU"/>
              </w:rPr>
              <w:t>Dose adjustment</w:t>
            </w:r>
          </w:p>
          <w:p w:rsidRPr="00EE20B3" w:rsidR="00840391" w:rsidP="00131848" w:rsidRDefault="00840391" w14:paraId="638FA9C0" w14:textId="77777777">
            <w:pPr>
              <w:pStyle w:val="BodyText"/>
              <w:tabs>
                <w:tab w:val="left" w:pos="1168"/>
              </w:tabs>
              <w:rPr>
                <w:rFonts w:cs="Arial"/>
                <w:sz w:val="16"/>
                <w:szCs w:val="16"/>
                <w:lang w:val="en-AU"/>
              </w:rPr>
            </w:pPr>
            <w:r w:rsidRPr="00EE20B3">
              <w:rPr>
                <w:rFonts w:cs="Arial"/>
                <w:sz w:val="16"/>
                <w:szCs w:val="16"/>
                <w:lang w:val="en-AU"/>
              </w:rPr>
              <w:t>Anti-Xa therapeutic range: While O’Meara study suggests 0.4 – 0.8 unit/mL, range of 0.3 – 0.7 unit/mL is adequate for most indications, and most commonly used. Table 1 is a modified regimen of O’Meara study,</w:t>
            </w:r>
            <w:r w:rsidRPr="00EE20B3">
              <w:rPr>
                <w:rFonts w:cs="Arial"/>
                <w:sz w:val="16"/>
                <w:szCs w:val="16"/>
                <w:vertAlign w:val="superscript"/>
                <w:lang w:val="en-AU"/>
              </w:rPr>
              <w:t>3</w:t>
            </w:r>
            <w:r w:rsidRPr="00EE20B3">
              <w:rPr>
                <w:rFonts w:cs="Arial"/>
                <w:sz w:val="16"/>
                <w:szCs w:val="16"/>
                <w:lang w:val="en-AU"/>
              </w:rPr>
              <w:t xml:space="preserve"> which was performed in ECMO patients where very tight anticoagulation is required, managed by staff very experience in managing anticoagulation for ECMO circuits; hence, the repeat boluses were recommended by O’Meara et. al. when anti-Xa was below the target range. Repeat boluses are not required in the majority of non-ECMO patients. Regarding dose adjustment for anti-Xa &gt; 1, advice from the haematologist should be sought as the anti-Xa can be very high and simply reducing the infusion rate may not be appropriate.</w:t>
            </w:r>
            <w:r w:rsidRPr="00EE20B3">
              <w:rPr>
                <w:rFonts w:cs="Arial"/>
                <w:sz w:val="16"/>
                <w:szCs w:val="16"/>
                <w:vertAlign w:val="superscript"/>
                <w:lang w:val="en-AU"/>
              </w:rPr>
              <w:t>3</w:t>
            </w:r>
            <w:r w:rsidRPr="00EE20B3">
              <w:rPr>
                <w:rFonts w:cs="Arial"/>
                <w:sz w:val="16"/>
                <w:szCs w:val="16"/>
                <w:lang w:val="en-AU"/>
              </w:rPr>
              <w:t xml:space="preserve"> (ANMF haematology expert group opinion)</w:t>
            </w:r>
          </w:p>
          <w:p w:rsidRPr="00EE20B3" w:rsidR="00840391" w:rsidP="00131848" w:rsidRDefault="00840391" w14:paraId="19700A4A" w14:textId="77777777">
            <w:pPr>
              <w:pStyle w:val="BodyText"/>
              <w:tabs>
                <w:tab w:val="left" w:pos="1168"/>
              </w:tabs>
              <w:rPr>
                <w:rFonts w:cs="Arial"/>
                <w:sz w:val="16"/>
                <w:szCs w:val="16"/>
                <w:lang w:val="en-AU"/>
              </w:rPr>
            </w:pPr>
            <w:r w:rsidRPr="00EE20B3">
              <w:rPr>
                <w:rFonts w:cs="Arial"/>
                <w:sz w:val="16"/>
                <w:szCs w:val="16"/>
                <w:lang w:val="en-AU"/>
              </w:rPr>
              <w:t>The frequency of testing at 2 hourly intervals is the practice in ECMO circuits but not indicated for routine anti-coagulation for non-ECMO patients. Testing too early &amp; too frequently, lends to inappropriate dose adjustments. Testing 6 hours after starting infusion and dose changes is adequate as a general guide, and to check with the haematologist on further monitoring. (ANMF haematology expert group opinion)</w:t>
            </w:r>
          </w:p>
          <w:p w:rsidRPr="00EE20B3" w:rsidR="00840391" w:rsidP="00131848" w:rsidRDefault="00840391" w14:paraId="7A4773B3" w14:textId="77777777">
            <w:pPr>
              <w:pStyle w:val="BodyText"/>
              <w:tabs>
                <w:tab w:val="left" w:pos="1168"/>
              </w:tabs>
              <w:rPr>
                <w:rFonts w:cs="Arial"/>
                <w:sz w:val="16"/>
                <w:szCs w:val="16"/>
                <w:lang w:val="en-AU"/>
              </w:rPr>
            </w:pPr>
            <w:r w:rsidRPr="00EE20B3">
              <w:rPr>
                <w:rFonts w:cs="Arial"/>
                <w:sz w:val="16"/>
                <w:szCs w:val="16"/>
                <w:lang w:val="en-AU"/>
              </w:rPr>
              <w:t>Dose adjustments using APTT monitoring have been adapted from the American College of Chest Physicians Evidence-Based Clinical Practice Guidelines 2012,</w:t>
            </w:r>
            <w:r w:rsidRPr="00EE20B3">
              <w:rPr>
                <w:rFonts w:cs="Arial"/>
                <w:sz w:val="16"/>
                <w:szCs w:val="16"/>
                <w:vertAlign w:val="superscript"/>
                <w:lang w:val="en-AU"/>
              </w:rPr>
              <w:t>1</w:t>
            </w:r>
            <w:r w:rsidRPr="00EE20B3">
              <w:rPr>
                <w:rFonts w:cs="Arial"/>
                <w:sz w:val="16"/>
                <w:szCs w:val="16"/>
                <w:lang w:val="en-AU"/>
              </w:rPr>
              <w:t xml:space="preserve"> which were based on paediatric data from a prospective cohort study.</w:t>
            </w:r>
            <w:r w:rsidRPr="00EE20B3">
              <w:rPr>
                <w:rFonts w:cs="Arial"/>
                <w:sz w:val="16"/>
                <w:szCs w:val="16"/>
                <w:vertAlign w:val="superscript"/>
                <w:lang w:val="en-AU"/>
              </w:rPr>
              <w:t>22</w:t>
            </w:r>
            <w:r w:rsidRPr="00EE20B3">
              <w:rPr>
                <w:rFonts w:cs="Arial"/>
                <w:sz w:val="16"/>
                <w:szCs w:val="16"/>
                <w:lang w:val="en-AU"/>
              </w:rPr>
              <w:t xml:space="preserve"> (LOE IV GOR D)</w:t>
            </w:r>
          </w:p>
          <w:p w:rsidRPr="00EE20B3" w:rsidR="00840391" w:rsidP="00131848" w:rsidRDefault="00840391" w14:paraId="222E8A6C" w14:textId="77777777">
            <w:pPr>
              <w:pStyle w:val="BodyText"/>
              <w:tabs>
                <w:tab w:val="left" w:pos="1168"/>
              </w:tabs>
              <w:rPr>
                <w:rFonts w:cs="Arial"/>
                <w:sz w:val="16"/>
                <w:szCs w:val="16"/>
                <w:lang w:val="en-AU"/>
              </w:rPr>
            </w:pPr>
            <w:r w:rsidRPr="00EE20B3">
              <w:rPr>
                <w:rFonts w:cs="Arial"/>
                <w:sz w:val="16"/>
                <w:szCs w:val="16"/>
                <w:lang w:val="en-AU"/>
              </w:rPr>
              <w:t>For consistency, using APTT monitoring, testing 6 hours after starting infusion and dose changes is suggested as a general guide, and to check with the haematologist. (ANMF haematology expert group opinion)</w:t>
            </w:r>
          </w:p>
        </w:tc>
      </w:tr>
      <w:tr w:rsidRPr="003A7895" w:rsidR="00840391" w:rsidTr="00EE20B3" w14:paraId="3D58499E" w14:textId="77777777">
        <w:trPr>
          <w:trHeight w:val="70"/>
        </w:trPr>
        <w:tc>
          <w:tcPr>
            <w:tcW w:w="1730" w:type="dxa"/>
          </w:tcPr>
          <w:p w:rsidRPr="00B53E9B" w:rsidR="00840391" w:rsidP="00131848" w:rsidRDefault="00840391" w14:paraId="6944ED44" w14:textId="77777777">
            <w:pPr>
              <w:pStyle w:val="BodyText"/>
              <w:rPr>
                <w:rFonts w:cs="Arial"/>
                <w:b/>
                <w:bCs/>
                <w:sz w:val="20"/>
                <w:lang w:val="en-AU"/>
              </w:rPr>
            </w:pPr>
            <w:r w:rsidRPr="00B53E9B">
              <w:rPr>
                <w:b/>
                <w:sz w:val="20"/>
                <w:lang w:val="en-AU"/>
              </w:rPr>
              <w:t>References</w:t>
            </w:r>
          </w:p>
        </w:tc>
        <w:tc>
          <w:tcPr>
            <w:tcW w:w="7513" w:type="dxa"/>
          </w:tcPr>
          <w:p w:rsidRPr="00EE20B3" w:rsidR="00840391" w:rsidP="00840391" w:rsidRDefault="00840391" w14:paraId="144F3C1F" w14:textId="77777777">
            <w:pPr>
              <w:pStyle w:val="ListParagraph"/>
              <w:numPr>
                <w:ilvl w:val="0"/>
                <w:numId w:val="104"/>
              </w:numPr>
              <w:spacing w:line="276" w:lineRule="auto"/>
              <w:rPr>
                <w:sz w:val="16"/>
                <w:szCs w:val="16"/>
              </w:rPr>
            </w:pPr>
            <w:r w:rsidRPr="00EE20B3">
              <w:rPr>
                <w:sz w:val="16"/>
                <w:szCs w:val="16"/>
              </w:rPr>
              <w:t xml:space="preserve">Monagle P, Chan A, Goldenberg N et al: Antithrombotic Therapy in Neonates and Children: Antithrombotic Therapy and Prevention of Thrombosis, 9th Ed: American College of Chest Physicians Evidence-Based Clinical Practice Guidelines. </w:t>
            </w:r>
            <w:r w:rsidRPr="00EE20B3">
              <w:rPr>
                <w:i/>
                <w:iCs/>
                <w:sz w:val="16"/>
                <w:szCs w:val="16"/>
              </w:rPr>
              <w:t>Chest</w:t>
            </w:r>
            <w:r w:rsidRPr="00EE20B3">
              <w:rPr>
                <w:sz w:val="16"/>
                <w:szCs w:val="16"/>
              </w:rPr>
              <w:t xml:space="preserve"> Feb, 2012; 141(2 suppl): e737S-e801S.</w:t>
            </w:r>
          </w:p>
          <w:p w:rsidRPr="00EE20B3" w:rsidR="00840391" w:rsidP="00840391" w:rsidRDefault="00840391" w14:paraId="3EC232C0" w14:textId="77777777">
            <w:pPr>
              <w:pStyle w:val="ListParagraph"/>
              <w:numPr>
                <w:ilvl w:val="0"/>
                <w:numId w:val="104"/>
              </w:numPr>
              <w:spacing w:line="276" w:lineRule="auto"/>
              <w:rPr>
                <w:sz w:val="16"/>
                <w:szCs w:val="16"/>
              </w:rPr>
            </w:pPr>
            <w:r w:rsidRPr="00EE20B3">
              <w:rPr>
                <w:sz w:val="16"/>
                <w:szCs w:val="16"/>
              </w:rPr>
              <w:t>Romantsik O, Bruschettini M, Zappettini S, et al. Heparin for the treatment of thrombosis in neonates. Cochrane Database Syst Rev. 2016 Nov 7; 11:CD012185.</w:t>
            </w:r>
          </w:p>
          <w:p w:rsidRPr="00EE20B3" w:rsidR="00840391" w:rsidP="00840391" w:rsidRDefault="00840391" w14:paraId="3B21C026" w14:textId="77777777">
            <w:pPr>
              <w:pStyle w:val="ListParagraph"/>
              <w:numPr>
                <w:ilvl w:val="0"/>
                <w:numId w:val="104"/>
              </w:numPr>
              <w:spacing w:line="276" w:lineRule="auto"/>
              <w:rPr>
                <w:sz w:val="16"/>
                <w:szCs w:val="16"/>
              </w:rPr>
            </w:pPr>
            <w:r w:rsidRPr="00EE20B3">
              <w:rPr>
                <w:sz w:val="16"/>
                <w:szCs w:val="16"/>
              </w:rPr>
              <w:t>O'Meara LC, Alten JA, Goldberg KG, Timpa JG, Phillips J, Laney D, Borasino S. Anti-xa directed protocol for anticoagulation management in children supported with extracorporeal membrane oxygenation. ASAIO J. 2015 May-Jun;61(3):339-44</w:t>
            </w:r>
          </w:p>
          <w:p w:rsidRPr="00EE20B3" w:rsidR="00840391" w:rsidP="00840391" w:rsidRDefault="00840391" w14:paraId="18D547D3" w14:textId="77777777">
            <w:pPr>
              <w:pStyle w:val="ListParagraph"/>
              <w:numPr>
                <w:ilvl w:val="0"/>
                <w:numId w:val="104"/>
              </w:numPr>
              <w:spacing w:line="276" w:lineRule="auto"/>
              <w:rPr>
                <w:sz w:val="16"/>
                <w:szCs w:val="16"/>
              </w:rPr>
            </w:pPr>
            <w:r w:rsidRPr="00EE20B3">
              <w:rPr>
                <w:sz w:val="16"/>
                <w:szCs w:val="16"/>
              </w:rPr>
              <w:t>Bhatt MD, Paes BA, Chan AK. How to use unfractionated heparin to treat neonatal thrombosis in clinical practice. Blood Coagul Fibrinolysis. 2016 Sep;27(6):605</w:t>
            </w:r>
          </w:p>
          <w:p w:rsidRPr="00EE20B3" w:rsidR="00840391" w:rsidP="00840391" w:rsidRDefault="00840391" w14:paraId="49313135" w14:textId="77777777">
            <w:pPr>
              <w:pStyle w:val="ListParagraph"/>
              <w:numPr>
                <w:ilvl w:val="0"/>
                <w:numId w:val="104"/>
              </w:numPr>
              <w:spacing w:line="276" w:lineRule="auto"/>
              <w:rPr>
                <w:sz w:val="16"/>
                <w:szCs w:val="16"/>
              </w:rPr>
            </w:pPr>
            <w:r w:rsidRPr="00EE20B3">
              <w:rPr>
                <w:sz w:val="16"/>
                <w:szCs w:val="16"/>
              </w:rPr>
              <w:t>Upadhyay A, Verma K, Lal P, et al. Heparin for prolonging peripheral intravenous catheter use in neonates: a randomized controlled trial. J Perinatol. 2015 Apr; 35(4):274-7.</w:t>
            </w:r>
          </w:p>
          <w:p w:rsidRPr="00EE20B3" w:rsidR="00840391" w:rsidP="00840391" w:rsidRDefault="00840391" w14:paraId="7F39A9FF" w14:textId="77777777">
            <w:pPr>
              <w:pStyle w:val="ListParagraph"/>
              <w:numPr>
                <w:ilvl w:val="0"/>
                <w:numId w:val="104"/>
              </w:numPr>
              <w:spacing w:line="276" w:lineRule="auto"/>
              <w:rPr>
                <w:sz w:val="16"/>
                <w:szCs w:val="16"/>
              </w:rPr>
            </w:pPr>
            <w:r w:rsidRPr="00EE20B3">
              <w:rPr>
                <w:sz w:val="16"/>
                <w:szCs w:val="16"/>
              </w:rPr>
              <w:t>Kumar M, Vandermeer B, Bassler D, Mansoor N. Low-dose heparin use and the patency of peripheral IV catheters in children: a systematic review. Pediatrics. 2013 Mar;131(3):e864-72</w:t>
            </w:r>
          </w:p>
          <w:p w:rsidRPr="00EE20B3" w:rsidR="00840391" w:rsidP="00840391" w:rsidRDefault="00840391" w14:paraId="623BA37B" w14:textId="77777777">
            <w:pPr>
              <w:pStyle w:val="ListParagraph"/>
              <w:numPr>
                <w:ilvl w:val="0"/>
                <w:numId w:val="104"/>
              </w:numPr>
              <w:spacing w:line="276" w:lineRule="auto"/>
              <w:rPr>
                <w:sz w:val="16"/>
                <w:szCs w:val="16"/>
              </w:rPr>
            </w:pPr>
            <w:r w:rsidRPr="00EE20B3">
              <w:rPr>
                <w:sz w:val="16"/>
                <w:szCs w:val="16"/>
              </w:rPr>
              <w:t>Shah P, Shah V. Continuous heparin infusion to prevent thrombosis and catheter occlusion in neonates with peripherally placed percutaneous central venous catheters. Cochrane Database Syst Rev. 2008 Apr 16 ;( 2):CD002772.</w:t>
            </w:r>
          </w:p>
          <w:p w:rsidRPr="00EE20B3" w:rsidR="00840391" w:rsidP="00840391" w:rsidRDefault="00840391" w14:paraId="24FB8BAA" w14:textId="77777777">
            <w:pPr>
              <w:pStyle w:val="ListParagraph"/>
              <w:numPr>
                <w:ilvl w:val="0"/>
                <w:numId w:val="104"/>
              </w:numPr>
              <w:rPr>
                <w:sz w:val="16"/>
                <w:szCs w:val="16"/>
              </w:rPr>
            </w:pPr>
            <w:r w:rsidRPr="00EE20B3">
              <w:rPr>
                <w:sz w:val="16"/>
                <w:szCs w:val="16"/>
              </w:rPr>
              <w:t>https://www.micromedexsolutions.com.acs.hcn.com.au. Accessed on 25/08/2020.</w:t>
            </w:r>
          </w:p>
          <w:p w:rsidRPr="00EE20B3" w:rsidR="00840391" w:rsidP="00840391" w:rsidRDefault="00840391" w14:paraId="6129B466" w14:textId="77777777">
            <w:pPr>
              <w:pStyle w:val="ListParagraph"/>
              <w:numPr>
                <w:ilvl w:val="0"/>
                <w:numId w:val="104"/>
              </w:numPr>
              <w:rPr>
                <w:sz w:val="16"/>
                <w:szCs w:val="16"/>
              </w:rPr>
            </w:pPr>
            <w:r w:rsidRPr="00EE20B3">
              <w:rPr>
                <w:sz w:val="16"/>
                <w:szCs w:val="16"/>
              </w:rPr>
              <w:t>Australian Injectable Drug Handbook edition 7. Accessed on 13 November 2019.</w:t>
            </w:r>
          </w:p>
          <w:p w:rsidRPr="00EE20B3" w:rsidR="00840391" w:rsidP="00840391" w:rsidRDefault="00840391" w14:paraId="17FA9D60" w14:textId="77777777">
            <w:pPr>
              <w:pStyle w:val="ListParagraph"/>
              <w:numPr>
                <w:ilvl w:val="0"/>
                <w:numId w:val="104"/>
              </w:numPr>
              <w:rPr>
                <w:sz w:val="16"/>
                <w:szCs w:val="16"/>
              </w:rPr>
            </w:pPr>
            <w:r w:rsidRPr="00EE20B3">
              <w:rPr>
                <w:sz w:val="16"/>
                <w:szCs w:val="16"/>
              </w:rPr>
              <w:lastRenderedPageBreak/>
              <w:t>Lesko SM, Mitchell AA, Epstein M, et al. Heparin use as a risk factor for intraventricular hemorrhage in low-birth-weight infants. N Engl J Med. 1986; 314 (18): 1156 -60.</w:t>
            </w:r>
          </w:p>
          <w:p w:rsidRPr="00EE20B3" w:rsidR="00840391" w:rsidP="00840391" w:rsidRDefault="00840391" w14:paraId="04742A12" w14:textId="77777777">
            <w:pPr>
              <w:pStyle w:val="ListParagraph"/>
              <w:numPr>
                <w:ilvl w:val="0"/>
                <w:numId w:val="104"/>
              </w:numPr>
              <w:spacing w:line="276" w:lineRule="auto"/>
              <w:rPr>
                <w:sz w:val="16"/>
                <w:szCs w:val="16"/>
              </w:rPr>
            </w:pPr>
            <w:r w:rsidRPr="00EE20B3">
              <w:rPr>
                <w:sz w:val="16"/>
                <w:szCs w:val="16"/>
              </w:rPr>
              <w:t xml:space="preserve">De Godoy J, De Marchi C, Silva M. Thrombosis of the Abdominal Aorta in a Newborn: Case Report and Review of Literature. J Pediatr Surg. 2003 Apr; 38(4):E11. </w:t>
            </w:r>
          </w:p>
          <w:p w:rsidRPr="00EE20B3" w:rsidR="00840391" w:rsidP="00840391" w:rsidRDefault="00840391" w14:paraId="777E9EDF" w14:textId="77777777">
            <w:pPr>
              <w:pStyle w:val="ListParagraph"/>
              <w:numPr>
                <w:ilvl w:val="0"/>
                <w:numId w:val="104"/>
              </w:numPr>
              <w:rPr>
                <w:sz w:val="16"/>
                <w:szCs w:val="16"/>
              </w:rPr>
            </w:pPr>
            <w:r w:rsidRPr="00EE20B3">
              <w:rPr>
                <w:sz w:val="16"/>
                <w:szCs w:val="16"/>
              </w:rPr>
              <w:t xml:space="preserve">Nouri-Merchaoui S, Mahdhaoui N, Trabelsi S, et al. Spontaneous neonatal arterial thrombosis: a report of 4 neonates. Arch Pediatr. 2012 Apr; 19(4):413-8. </w:t>
            </w:r>
          </w:p>
          <w:p w:rsidRPr="00EE20B3" w:rsidR="00840391" w:rsidP="00840391" w:rsidRDefault="00840391" w14:paraId="4FA1C2E7" w14:textId="77777777">
            <w:pPr>
              <w:pStyle w:val="ListParagraph"/>
              <w:numPr>
                <w:ilvl w:val="0"/>
                <w:numId w:val="104"/>
              </w:numPr>
              <w:spacing w:line="276" w:lineRule="auto"/>
              <w:rPr>
                <w:sz w:val="16"/>
                <w:szCs w:val="16"/>
              </w:rPr>
            </w:pPr>
            <w:r w:rsidRPr="00EE20B3">
              <w:rPr>
                <w:sz w:val="16"/>
                <w:szCs w:val="16"/>
              </w:rPr>
              <w:t>Moharir M, Shroff M, Stephens D, et al. Anticoagulants in pediatric cerebral sinovenous thrombosis: a safety and outcome study. Ann Neurol. 2010 May; 67(5):590-9.</w:t>
            </w:r>
          </w:p>
          <w:p w:rsidRPr="00EE20B3" w:rsidR="00840391" w:rsidP="00840391" w:rsidRDefault="006B3E26" w14:paraId="0BBEF55B" w14:textId="77777777">
            <w:pPr>
              <w:pStyle w:val="ListParagraph"/>
              <w:numPr>
                <w:ilvl w:val="0"/>
                <w:numId w:val="104"/>
              </w:numPr>
              <w:spacing w:line="276" w:lineRule="auto"/>
              <w:rPr>
                <w:sz w:val="16"/>
                <w:szCs w:val="16"/>
              </w:rPr>
            </w:pPr>
            <w:hyperlink w:history="1" r:id="rId36">
              <w:r w:rsidRPr="00EE20B3" w:rsidR="00840391">
                <w:rPr>
                  <w:sz w:val="16"/>
                  <w:szCs w:val="16"/>
                </w:rPr>
                <w:t>Lau K</w:t>
              </w:r>
            </w:hyperlink>
            <w:r w:rsidRPr="00EE20B3" w:rsidR="00840391">
              <w:rPr>
                <w:sz w:val="16"/>
                <w:szCs w:val="16"/>
              </w:rPr>
              <w:t xml:space="preserve">, </w:t>
            </w:r>
            <w:hyperlink w:history="1" r:id="rId37">
              <w:r w:rsidRPr="00EE20B3" w:rsidR="00840391">
                <w:rPr>
                  <w:sz w:val="16"/>
                  <w:szCs w:val="16"/>
                </w:rPr>
                <w:t>Stoffman J</w:t>
              </w:r>
            </w:hyperlink>
            <w:r w:rsidRPr="00EE20B3" w:rsidR="00840391">
              <w:rPr>
                <w:sz w:val="16"/>
                <w:szCs w:val="16"/>
              </w:rPr>
              <w:t xml:space="preserve">, </w:t>
            </w:r>
            <w:hyperlink w:history="1" r:id="rId38">
              <w:r w:rsidRPr="00EE20B3" w:rsidR="00840391">
                <w:rPr>
                  <w:sz w:val="16"/>
                  <w:szCs w:val="16"/>
                </w:rPr>
                <w:t>Williams S</w:t>
              </w:r>
            </w:hyperlink>
            <w:r w:rsidRPr="00EE20B3" w:rsidR="00840391">
              <w:rPr>
                <w:sz w:val="16"/>
                <w:szCs w:val="16"/>
              </w:rPr>
              <w:t xml:space="preserve">, et al. Neonatal renal vein thrombosis: review of the English-language literature between 1992 and 2006. Pediatrics. 2007; 120(5):e1278-84. </w:t>
            </w:r>
          </w:p>
          <w:p w:rsidRPr="00EE20B3" w:rsidR="00840391" w:rsidP="00840391" w:rsidRDefault="00840391" w14:paraId="37D76AF1" w14:textId="77777777">
            <w:pPr>
              <w:pStyle w:val="ListParagraph"/>
              <w:numPr>
                <w:ilvl w:val="0"/>
                <w:numId w:val="104"/>
              </w:numPr>
              <w:spacing w:line="276" w:lineRule="auto"/>
              <w:rPr>
                <w:sz w:val="16"/>
                <w:szCs w:val="16"/>
              </w:rPr>
            </w:pPr>
            <w:r w:rsidRPr="00EE20B3">
              <w:rPr>
                <w:sz w:val="16"/>
                <w:szCs w:val="16"/>
              </w:rPr>
              <w:t>Kosch A, Kuwertz-Broking E, Heller C, Kurnik K, Schobess R, et al. Renal venous thrombosis in neonates: prothrombotic risk factors and Long-term follow up. Blood 2004; 104:1356-60.</w:t>
            </w:r>
          </w:p>
          <w:p w:rsidRPr="00EE20B3" w:rsidR="00840391" w:rsidP="00840391" w:rsidRDefault="00840391" w14:paraId="5E2E72F2" w14:textId="77777777">
            <w:pPr>
              <w:pStyle w:val="ListParagraph"/>
              <w:numPr>
                <w:ilvl w:val="0"/>
                <w:numId w:val="104"/>
              </w:numPr>
              <w:spacing w:line="276" w:lineRule="auto"/>
              <w:rPr>
                <w:sz w:val="16"/>
                <w:szCs w:val="16"/>
              </w:rPr>
            </w:pPr>
            <w:r w:rsidRPr="00EE20B3">
              <w:rPr>
                <w:sz w:val="16"/>
                <w:szCs w:val="16"/>
              </w:rPr>
              <w:t>Morag I, Epelman M, Daneman A, et al. Portal vein thrombosis in the neonate: risk factors, course, and outcome. J Pediatr. 2006 Jun; 148(6):735-9.</w:t>
            </w:r>
          </w:p>
          <w:p w:rsidRPr="00EE20B3" w:rsidR="00840391" w:rsidP="00840391" w:rsidRDefault="00840391" w14:paraId="36FC8E1F" w14:textId="77777777">
            <w:pPr>
              <w:pStyle w:val="ListParagraph"/>
              <w:numPr>
                <w:ilvl w:val="0"/>
                <w:numId w:val="104"/>
              </w:numPr>
              <w:spacing w:line="276" w:lineRule="auto"/>
              <w:rPr>
                <w:sz w:val="16"/>
                <w:szCs w:val="16"/>
              </w:rPr>
            </w:pPr>
            <w:r w:rsidRPr="00EE20B3">
              <w:rPr>
                <w:sz w:val="16"/>
                <w:szCs w:val="16"/>
              </w:rPr>
              <w:t>Andrew M, Marzinotto V, Massicotte P, et al. Heparin therapy in pediatric patients: a prospective cohort study. Pediatr Res. 1994; 35 (1): 78 - 83.</w:t>
            </w:r>
          </w:p>
          <w:p w:rsidRPr="00EE20B3" w:rsidR="00840391" w:rsidP="00840391" w:rsidRDefault="00840391" w14:paraId="11E51DCC" w14:textId="77777777">
            <w:pPr>
              <w:pStyle w:val="ListParagraph"/>
              <w:numPr>
                <w:ilvl w:val="0"/>
                <w:numId w:val="104"/>
              </w:numPr>
              <w:spacing w:line="276" w:lineRule="auto"/>
              <w:rPr>
                <w:sz w:val="16"/>
                <w:szCs w:val="16"/>
              </w:rPr>
            </w:pPr>
            <w:r w:rsidRPr="00EE20B3">
              <w:rPr>
                <w:sz w:val="16"/>
                <w:szCs w:val="16"/>
              </w:rPr>
              <w:t>Kulkarni M, Elsner C, Ouellet D, Zeldin R. Heparinised saline versus normal saline in maintaining patency of the radial artery catheter. Can J Surg. 1994 Feb; 37(1):37-42.</w:t>
            </w:r>
          </w:p>
          <w:p w:rsidRPr="00EE20B3" w:rsidR="00840391" w:rsidP="00840391" w:rsidRDefault="00840391" w14:paraId="1DB4C91E" w14:textId="77777777">
            <w:pPr>
              <w:pStyle w:val="ListParagraph"/>
              <w:numPr>
                <w:ilvl w:val="0"/>
                <w:numId w:val="104"/>
              </w:numPr>
              <w:spacing w:line="276" w:lineRule="auto"/>
              <w:rPr>
                <w:sz w:val="16"/>
                <w:szCs w:val="16"/>
              </w:rPr>
            </w:pPr>
            <w:r w:rsidRPr="00EE20B3">
              <w:rPr>
                <w:sz w:val="16"/>
                <w:szCs w:val="16"/>
              </w:rPr>
              <w:t>Butt W, Shan F, McDonnell G, Hudson I. Effect of heparin concentration and infusion rate on the patency of arterial catheters. Crit Care Med. 1987; 15 (3): 230 - 232.</w:t>
            </w:r>
          </w:p>
          <w:p w:rsidRPr="00EE20B3" w:rsidR="00840391" w:rsidP="00840391" w:rsidRDefault="00840391" w14:paraId="3B944B9B" w14:textId="77777777">
            <w:pPr>
              <w:pStyle w:val="ListParagraph"/>
              <w:numPr>
                <w:ilvl w:val="0"/>
                <w:numId w:val="104"/>
              </w:numPr>
              <w:spacing w:line="276" w:lineRule="auto"/>
              <w:rPr>
                <w:sz w:val="16"/>
                <w:szCs w:val="16"/>
              </w:rPr>
            </w:pPr>
            <w:r w:rsidRPr="00EE20B3">
              <w:rPr>
                <w:sz w:val="16"/>
                <w:szCs w:val="16"/>
              </w:rPr>
              <w:t>Rais-Bahrami K, Karna P, Dolanski EA. Effect of fluids on life span of peripheral arterial lines. Am J Perinatol. 1990; 7 (2): 122 - 124.</w:t>
            </w:r>
          </w:p>
          <w:p w:rsidRPr="00EE20B3" w:rsidR="00840391" w:rsidP="00840391" w:rsidRDefault="00840391" w14:paraId="43254CA1" w14:textId="77777777">
            <w:pPr>
              <w:pStyle w:val="ListParagraph"/>
              <w:numPr>
                <w:ilvl w:val="0"/>
                <w:numId w:val="104"/>
              </w:numPr>
              <w:spacing w:line="276" w:lineRule="auto"/>
              <w:rPr>
                <w:sz w:val="16"/>
                <w:szCs w:val="16"/>
              </w:rPr>
            </w:pPr>
            <w:r w:rsidRPr="00EE20B3">
              <w:rPr>
                <w:sz w:val="16"/>
                <w:szCs w:val="16"/>
              </w:rPr>
              <w:t>Selldén H, Nilsson K, Larsson LE, Ekström-Jodal B. Radial arterial catheters in children and neonates: a prospective study . Crit Care Med. 1987; 15 (12): 1106 – 1109.</w:t>
            </w:r>
          </w:p>
          <w:p w:rsidRPr="00EE20B3" w:rsidR="00840391" w:rsidP="00840391" w:rsidRDefault="00840391" w14:paraId="08F995BB" w14:textId="77777777">
            <w:pPr>
              <w:pStyle w:val="ListParagraph"/>
              <w:numPr>
                <w:ilvl w:val="0"/>
                <w:numId w:val="104"/>
              </w:numPr>
              <w:spacing w:line="276" w:lineRule="auto"/>
              <w:rPr>
                <w:rFonts w:asciiTheme="minorHAnsi" w:hAnsiTheme="minorHAnsi" w:cstheme="minorHAnsi"/>
                <w:sz w:val="16"/>
                <w:szCs w:val="16"/>
              </w:rPr>
            </w:pPr>
            <w:r w:rsidRPr="00EE20B3">
              <w:rPr>
                <w:rFonts w:asciiTheme="minorHAnsi" w:hAnsiTheme="minorHAnsi" w:cstheme="minorHAnsi"/>
                <w:color w:val="222222"/>
                <w:sz w:val="16"/>
                <w:szCs w:val="16"/>
                <w:shd w:val="clear" w:color="auto" w:fill="FFFFFF"/>
              </w:rPr>
              <w:t>Andrew M, Marzinotto V, Massicotte P, Blanchette V, Ginsberg J, Brill-Edwards P, Burrows P, Benson L, Williams W, David M, Poon A. Heparin therapy in pediatric patients: a prospective cohort study. Pediatric Research. 1994 Jan;35(1):78-83.</w:t>
            </w:r>
          </w:p>
          <w:p w:rsidRPr="00EE20B3" w:rsidR="00840391" w:rsidP="00840391" w:rsidRDefault="00840391" w14:paraId="69F1E738" w14:textId="77777777">
            <w:pPr>
              <w:pStyle w:val="ListParagraph"/>
              <w:numPr>
                <w:ilvl w:val="0"/>
                <w:numId w:val="104"/>
              </w:numPr>
              <w:spacing w:line="276" w:lineRule="auto"/>
              <w:rPr>
                <w:rFonts w:asciiTheme="minorHAnsi" w:hAnsiTheme="minorHAnsi" w:cstheme="minorHAnsi"/>
                <w:sz w:val="16"/>
                <w:szCs w:val="16"/>
              </w:rPr>
            </w:pPr>
            <w:r w:rsidRPr="00EE20B3">
              <w:rPr>
                <w:rFonts w:asciiTheme="minorHAnsi" w:hAnsiTheme="minorHAnsi" w:cstheme="minorHAnsi"/>
                <w:sz w:val="16"/>
                <w:szCs w:val="16"/>
              </w:rPr>
              <w:t>Schmugge M, Risch L, Huber AR, Benn A, Fischer JE. Heparin-induced thrombocytopenia-associated thrombosis in pediatric intensive care patients. Pediatrics. 2002 Jan 1;109(1):e10.</w:t>
            </w:r>
          </w:p>
          <w:p w:rsidRPr="00EE20B3" w:rsidR="00840391" w:rsidP="00840391" w:rsidRDefault="00840391" w14:paraId="004049B5" w14:textId="77777777">
            <w:pPr>
              <w:pStyle w:val="ListParagraph"/>
              <w:numPr>
                <w:ilvl w:val="0"/>
                <w:numId w:val="104"/>
              </w:numPr>
              <w:spacing w:line="276" w:lineRule="auto"/>
              <w:rPr>
                <w:rFonts w:asciiTheme="minorHAnsi" w:hAnsiTheme="minorHAnsi" w:cstheme="minorHAnsi"/>
                <w:sz w:val="16"/>
                <w:szCs w:val="16"/>
              </w:rPr>
            </w:pPr>
            <w:r w:rsidRPr="00EE20B3">
              <w:rPr>
                <w:rFonts w:asciiTheme="minorHAnsi" w:hAnsiTheme="minorHAnsi" w:cstheme="minorHAnsi"/>
                <w:sz w:val="16"/>
                <w:szCs w:val="16"/>
              </w:rPr>
              <w:t>Avila ML, Shah V, Brandao LR. Systematic review on heparin‐induced thrombocytopenia in children: a call to action. Journal of Thrombosis and Haemostasis. 2013 Apr;11(4):660-9.</w:t>
            </w:r>
          </w:p>
        </w:tc>
      </w:tr>
    </w:tbl>
    <w:p w:rsidR="00857213" w:rsidP="00857213" w:rsidRDefault="00857213" w14:paraId="1FE9D4E1" w14:textId="77777777">
      <w:pPr>
        <w:rPr>
          <w:rFonts w:ascii="Arial" w:hAnsi="Arial" w:cs="Arial"/>
        </w:rPr>
      </w:pPr>
    </w:p>
    <w:p w:rsidR="00857213" w:rsidP="00857213" w:rsidRDefault="00857213" w14:paraId="68988757" w14:textId="77777777">
      <w:pPr>
        <w:rPr>
          <w:rFonts w:ascii="Arial" w:hAnsi="Arial" w:cs="Arial"/>
        </w:rPr>
      </w:pPr>
    </w:p>
    <w:tbl>
      <w:tblPr>
        <w:tblW w:w="90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073"/>
        <w:gridCol w:w="4948"/>
      </w:tblGrid>
      <w:tr w:rsidR="00436584" w:rsidTr="00244C61" w14:paraId="6C019180" w14:textId="77777777">
        <w:tc>
          <w:tcPr>
            <w:tcW w:w="4073" w:type="dxa"/>
            <w:vAlign w:val="center"/>
          </w:tcPr>
          <w:p w:rsidR="00436584" w:rsidP="0059793A" w:rsidRDefault="00436584" w14:paraId="15D6FF9A" w14:textId="4B05BA18">
            <w:pPr>
              <w:rPr>
                <w:b/>
                <w:bCs/>
                <w:lang w:val="en-AU"/>
              </w:rPr>
            </w:pPr>
            <w:r w:rsidRPr="540593E1">
              <w:rPr>
                <w:b/>
                <w:bCs/>
                <w:lang w:val="en-AU"/>
              </w:rPr>
              <w:t xml:space="preserve">Original version Date: </w:t>
            </w:r>
            <w:r w:rsidR="00C82885">
              <w:rPr>
                <w:b/>
                <w:bCs/>
                <w:lang w:val="en-AU"/>
              </w:rPr>
              <w:t>2014</w:t>
            </w:r>
          </w:p>
        </w:tc>
        <w:tc>
          <w:tcPr>
            <w:tcW w:w="4948" w:type="dxa"/>
            <w:vAlign w:val="center"/>
          </w:tcPr>
          <w:p w:rsidR="00436584" w:rsidP="0059793A" w:rsidRDefault="00436584" w14:paraId="7418870A" w14:textId="2F7824A2">
            <w:pPr>
              <w:rPr>
                <w:b/>
                <w:bCs/>
                <w:lang w:val="en-AU"/>
              </w:rPr>
            </w:pPr>
            <w:r w:rsidRPr="540593E1">
              <w:rPr>
                <w:b/>
                <w:bCs/>
                <w:lang w:val="en-AU"/>
              </w:rPr>
              <w:t>Author: NMF Consensus Group</w:t>
            </w:r>
          </w:p>
        </w:tc>
      </w:tr>
      <w:tr w:rsidR="00436584" w:rsidTr="00244C61" w14:paraId="4298E3B2" w14:textId="77777777">
        <w:tc>
          <w:tcPr>
            <w:tcW w:w="4073" w:type="dxa"/>
            <w:vAlign w:val="center"/>
          </w:tcPr>
          <w:p w:rsidR="00436584" w:rsidP="0059793A" w:rsidRDefault="00436584" w14:paraId="1337D9E8" w14:textId="4B76757D">
            <w:pPr>
              <w:rPr>
                <w:lang w:val="en-AU"/>
              </w:rPr>
            </w:pPr>
            <w:r w:rsidRPr="540593E1">
              <w:rPr>
                <w:b/>
                <w:bCs/>
                <w:lang w:val="en-AU"/>
              </w:rPr>
              <w:t xml:space="preserve">Current Version number:  </w:t>
            </w:r>
            <w:r w:rsidR="00C82885">
              <w:rPr>
                <w:b/>
                <w:bCs/>
                <w:lang w:val="en-AU"/>
              </w:rPr>
              <w:t>2</w:t>
            </w:r>
          </w:p>
        </w:tc>
        <w:tc>
          <w:tcPr>
            <w:tcW w:w="4948" w:type="dxa"/>
            <w:vAlign w:val="center"/>
          </w:tcPr>
          <w:p w:rsidR="00436584" w:rsidP="0059793A" w:rsidRDefault="00436584" w14:paraId="60AF5D3D" w14:textId="4AB90068">
            <w:pPr>
              <w:rPr>
                <w:lang w:val="en-AU"/>
              </w:rPr>
            </w:pPr>
            <w:r w:rsidRPr="540593E1">
              <w:rPr>
                <w:b/>
                <w:bCs/>
                <w:lang w:val="en-AU"/>
              </w:rPr>
              <w:t>Current Version Date:</w:t>
            </w:r>
            <w:r w:rsidRPr="540593E1">
              <w:rPr>
                <w:lang w:val="en-AU"/>
              </w:rPr>
              <w:t xml:space="preserve">  </w:t>
            </w:r>
            <w:r w:rsidR="00EE20B3">
              <w:rPr>
                <w:lang w:val="en-AU"/>
              </w:rPr>
              <w:t>18</w:t>
            </w:r>
            <w:r w:rsidR="006C28AE">
              <w:rPr>
                <w:lang w:val="en-AU"/>
              </w:rPr>
              <w:t>/</w:t>
            </w:r>
            <w:r w:rsidR="00EE20B3">
              <w:rPr>
                <w:lang w:val="en-AU"/>
              </w:rPr>
              <w:t>6</w:t>
            </w:r>
            <w:r w:rsidR="006C28AE">
              <w:rPr>
                <w:lang w:val="en-AU"/>
              </w:rPr>
              <w:t>/2021</w:t>
            </w:r>
          </w:p>
        </w:tc>
      </w:tr>
      <w:tr w:rsidR="00436584" w:rsidTr="00244C61" w14:paraId="72CD1C42" w14:textId="77777777">
        <w:tc>
          <w:tcPr>
            <w:tcW w:w="4073" w:type="dxa"/>
            <w:vAlign w:val="center"/>
          </w:tcPr>
          <w:p w:rsidR="00436584" w:rsidP="0059793A" w:rsidRDefault="00436584" w14:paraId="7E640B23" w14:textId="665B8FB1">
            <w:pPr>
              <w:rPr>
                <w:lang w:val="en-AU"/>
              </w:rPr>
            </w:pPr>
            <w:r w:rsidRPr="540593E1">
              <w:rPr>
                <w:b/>
                <w:bCs/>
                <w:lang w:val="en-AU"/>
              </w:rPr>
              <w:t xml:space="preserve">Risk Rating: </w:t>
            </w:r>
            <w:r w:rsidR="00BA0280">
              <w:rPr>
                <w:lang w:val="en-AU"/>
              </w:rPr>
              <w:t>Low</w:t>
            </w:r>
          </w:p>
        </w:tc>
        <w:tc>
          <w:tcPr>
            <w:tcW w:w="4948" w:type="dxa"/>
            <w:vAlign w:val="center"/>
          </w:tcPr>
          <w:p w:rsidR="00436584" w:rsidP="0059793A" w:rsidRDefault="00436584" w14:paraId="5F0C37FF" w14:textId="1D760E93">
            <w:pPr>
              <w:rPr>
                <w:lang w:val="en-AU"/>
              </w:rPr>
            </w:pPr>
            <w:r w:rsidRPr="540593E1">
              <w:rPr>
                <w:b/>
                <w:bCs/>
                <w:lang w:val="en-AU"/>
              </w:rPr>
              <w:t xml:space="preserve">Due for Review: </w:t>
            </w:r>
            <w:r w:rsidR="00EE20B3">
              <w:rPr>
                <w:lang w:val="en-AU"/>
              </w:rPr>
              <w:t>18</w:t>
            </w:r>
            <w:r w:rsidR="00BA0280">
              <w:rPr>
                <w:lang w:val="en-AU"/>
              </w:rPr>
              <w:t>/</w:t>
            </w:r>
            <w:r w:rsidR="00EE20B3">
              <w:rPr>
                <w:lang w:val="en-AU"/>
              </w:rPr>
              <w:t>6</w:t>
            </w:r>
            <w:r w:rsidR="00BA0280">
              <w:rPr>
                <w:lang w:val="en-AU"/>
              </w:rPr>
              <w:t>/2026</w:t>
            </w:r>
          </w:p>
        </w:tc>
      </w:tr>
      <w:tr w:rsidR="00273A16" w:rsidTr="00244C61" w14:paraId="557FB225" w14:textId="77777777">
        <w:trPr>
          <w:trHeight w:val="344"/>
        </w:trPr>
        <w:tc>
          <w:tcPr>
            <w:tcW w:w="4073" w:type="dxa"/>
            <w:tcBorders>
              <w:bottom w:val="single" w:color="auto" w:sz="4" w:space="0"/>
            </w:tcBorders>
            <w:vAlign w:val="center"/>
          </w:tcPr>
          <w:p w:rsidR="00436584" w:rsidP="0059793A" w:rsidRDefault="00436584" w14:paraId="41C1FC06" w14:textId="77777777">
            <w:pPr>
              <w:rPr>
                <w:b/>
                <w:bCs/>
                <w:lang w:val="en-AU"/>
              </w:rPr>
            </w:pPr>
            <w:r w:rsidRPr="540593E1">
              <w:rPr>
                <w:b/>
                <w:bCs/>
                <w:lang w:val="en-AU"/>
              </w:rPr>
              <w:t>Approval by: DTC</w:t>
            </w:r>
          </w:p>
        </w:tc>
        <w:tc>
          <w:tcPr>
            <w:tcW w:w="4948" w:type="dxa"/>
            <w:tcBorders>
              <w:bottom w:val="single" w:color="auto" w:sz="4" w:space="0"/>
            </w:tcBorders>
            <w:vAlign w:val="center"/>
          </w:tcPr>
          <w:p w:rsidR="00436584" w:rsidP="0059793A" w:rsidRDefault="00436584" w14:paraId="49EE4952" w14:textId="1B1AB838">
            <w:pPr>
              <w:rPr>
                <w:b/>
                <w:bCs/>
                <w:lang w:val="en-AU"/>
              </w:rPr>
            </w:pPr>
            <w:r w:rsidRPr="540593E1">
              <w:rPr>
                <w:b/>
                <w:bCs/>
                <w:lang w:val="en-AU"/>
              </w:rPr>
              <w:t xml:space="preserve">Approval Date: </w:t>
            </w:r>
            <w:r w:rsidR="00260BC8">
              <w:rPr>
                <w:b/>
                <w:bCs/>
                <w:lang w:val="en-AU"/>
              </w:rPr>
              <w:t>APRIL 2021</w:t>
            </w:r>
          </w:p>
        </w:tc>
      </w:tr>
    </w:tbl>
    <w:p w:rsidR="00EF6AB6" w:rsidP="006F0321" w:rsidRDefault="00EF6AB6" w14:paraId="64D24D01" w14:textId="78B4AF16"/>
    <w:p w:rsidR="00244C61" w:rsidP="006F0321" w:rsidRDefault="00244C61" w14:paraId="46ADD335" w14:textId="3ABBF106"/>
    <w:p w:rsidR="00244C61" w:rsidP="006F0321" w:rsidRDefault="00244C61" w14:paraId="571A59AE" w14:textId="28EF54A2"/>
    <w:p w:rsidR="00244C61" w:rsidP="006F0321" w:rsidRDefault="00244C61" w14:paraId="008E9E53" w14:textId="7A5C96F6"/>
    <w:p w:rsidR="00244C61" w:rsidP="006F0321" w:rsidRDefault="00244C61" w14:paraId="4D186024" w14:textId="3B2D255D"/>
    <w:p w:rsidR="00244C61" w:rsidP="006F0321" w:rsidRDefault="00244C61" w14:paraId="4DFF23EC" w14:textId="5011E4FB"/>
    <w:p w:rsidR="00244C61" w:rsidP="006F0321" w:rsidRDefault="00244C61" w14:paraId="598A5FA0" w14:textId="2C83734A"/>
    <w:p w:rsidR="00244C61" w:rsidP="006F0321" w:rsidRDefault="00244C61" w14:paraId="49EAA284" w14:textId="49698A7A"/>
    <w:p w:rsidR="00244C61" w:rsidP="006F0321" w:rsidRDefault="00244C61" w14:paraId="70F25311" w14:textId="1B69B0D5"/>
    <w:p w:rsidR="00244C61" w:rsidP="006F0321" w:rsidRDefault="00244C61" w14:paraId="40B1A662" w14:textId="7A48D09E"/>
    <w:p w:rsidR="00244C61" w:rsidP="006F0321" w:rsidRDefault="00244C61" w14:paraId="5678477E" w14:textId="5F5B7D9F"/>
    <w:p w:rsidR="00244C61" w:rsidP="006F0321" w:rsidRDefault="00244C61" w14:paraId="53EF163A" w14:textId="16348444"/>
    <w:p w:rsidR="00244C61" w:rsidP="006F0321" w:rsidRDefault="00244C61" w14:paraId="77C2EC55" w14:textId="0BF16B99"/>
    <w:p w:rsidR="00244C61" w:rsidP="006F0321" w:rsidRDefault="00244C61" w14:paraId="47B983A7" w14:textId="77777777"/>
    <w:tbl>
      <w:tblPr>
        <w:tblW w:w="9072" w:type="dxa"/>
        <w:tblInd w:w="-5" w:type="dxa"/>
        <w:tblLook w:val="0000" w:firstRow="0" w:lastRow="0" w:firstColumn="0" w:lastColumn="0" w:noHBand="0" w:noVBand="0"/>
      </w:tblPr>
      <w:tblGrid>
        <w:gridCol w:w="4164"/>
        <w:gridCol w:w="4908"/>
      </w:tblGrid>
      <w:tr w:rsidRPr="00E25790" w:rsidR="00244C61" w:rsidTr="00EB7031" w14:paraId="3717C92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244C61" w:rsidP="00EB7031" w:rsidRDefault="00244C61" w14:paraId="7651B19D" w14:textId="77777777">
            <w:pPr>
              <w:pStyle w:val="Heading1"/>
            </w:pPr>
            <w:bookmarkStart w:name="_Toc75339982" w:id="297"/>
            <w:r w:rsidRPr="00E25790">
              <w:lastRenderedPageBreak/>
              <w:t>Heparin CVC Lock</w:t>
            </w:r>
            <w:bookmarkEnd w:id="297"/>
            <w:r w:rsidRPr="00E25790">
              <w:fldChar w:fldCharType="begin"/>
            </w:r>
            <w:r w:rsidRPr="00E25790">
              <w:instrText>tc "CAP Trial" \l 0</w:instrText>
            </w:r>
            <w:r w:rsidRPr="00E25790">
              <w:fldChar w:fldCharType="end"/>
            </w:r>
          </w:p>
        </w:tc>
      </w:tr>
      <w:tr w:rsidRPr="00E25790" w:rsidR="00244C61" w:rsidTr="00EB7031" w14:paraId="57E314A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244C61" w:rsidP="00EB7031" w:rsidRDefault="00244C61" w14:paraId="268C8D0D" w14:textId="77777777">
            <w:r w:rsidRPr="00E25790">
              <w:t xml:space="preserve">Revision Date : </w:t>
            </w:r>
            <w:r>
              <w:t>28-2-2021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244C61" w:rsidP="00EB7031" w:rsidRDefault="00244C61" w14:paraId="790BE1D1" w14:textId="77777777">
            <w:r w:rsidRPr="00E25790">
              <w:t xml:space="preserve">Approved : </w:t>
            </w:r>
            <w:r>
              <w:t>DD, TC, KOH</w:t>
            </w:r>
          </w:p>
        </w:tc>
      </w:tr>
    </w:tbl>
    <w:p w:rsidRPr="00E25790" w:rsidR="00244C61" w:rsidP="006F0321" w:rsidRDefault="00244C61" w14:paraId="16AC980C" w14:textId="77777777"/>
    <w:tbl>
      <w:tblPr>
        <w:tblW w:w="9064" w:type="dxa"/>
        <w:tblLayout w:type="fixed"/>
        <w:tblLook w:val="0000" w:firstRow="0" w:lastRow="0" w:firstColumn="0" w:lastColumn="0" w:noHBand="0" w:noVBand="0"/>
      </w:tblPr>
      <w:tblGrid>
        <w:gridCol w:w="2093"/>
        <w:gridCol w:w="6971"/>
      </w:tblGrid>
      <w:tr w:rsidRPr="00E25790" w:rsidR="00EF6AB6" w:rsidTr="00B97D99" w14:paraId="22431FC6" w14:textId="77777777">
        <w:trPr>
          <w:cantSplit/>
          <w:trHeight w:val="613"/>
        </w:trPr>
        <w:tc>
          <w:tcPr>
            <w:tcW w:w="2093" w:type="dxa"/>
            <w:tcBorders>
              <w:top w:val="single" w:color="auto" w:sz="6" w:space="0"/>
              <w:left w:val="single" w:color="auto" w:sz="6" w:space="0"/>
              <w:bottom w:val="single" w:color="auto" w:sz="6" w:space="0"/>
            </w:tcBorders>
          </w:tcPr>
          <w:p w:rsidRPr="00E25790" w:rsidR="00EF6AB6" w:rsidP="006F0321" w:rsidRDefault="00EF6AB6" w14:paraId="72E11320" w14:textId="77777777">
            <w:r w:rsidRPr="00E25790">
              <w:t xml:space="preserve">Indication :  </w:t>
            </w:r>
          </w:p>
          <w:p w:rsidRPr="00E25790" w:rsidR="00EF6AB6" w:rsidP="006F0321" w:rsidRDefault="00EF6AB6" w14:paraId="3FA7A4D1" w14:textId="77777777"/>
        </w:tc>
        <w:tc>
          <w:tcPr>
            <w:tcW w:w="6971" w:type="dxa"/>
            <w:tcBorders>
              <w:top w:val="single" w:color="auto" w:sz="6" w:space="0"/>
              <w:bottom w:val="single" w:color="auto" w:sz="6" w:space="0"/>
              <w:right w:val="single" w:color="auto" w:sz="6" w:space="0"/>
            </w:tcBorders>
          </w:tcPr>
          <w:p w:rsidRPr="00E25790" w:rsidR="00EF6AB6" w:rsidP="006F0321" w:rsidRDefault="00EF6AB6" w14:paraId="1D6AB8E0" w14:textId="77777777">
            <w:r w:rsidRPr="00E25790">
              <w:t>To maintain patency of secondary lumens on central venous catheters and to allow blood sampling from central line</w:t>
            </w:r>
          </w:p>
        </w:tc>
      </w:tr>
      <w:tr w:rsidRPr="00E25790" w:rsidR="00EF6AB6" w:rsidTr="00B97D99" w14:paraId="0142FF4E"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0426C3D4" w14:textId="77777777">
            <w:r w:rsidRPr="00E25790">
              <w:t>Dose :</w:t>
            </w:r>
          </w:p>
        </w:tc>
        <w:tc>
          <w:tcPr>
            <w:tcW w:w="6971" w:type="dxa"/>
            <w:tcBorders>
              <w:top w:val="single" w:color="auto" w:sz="6" w:space="0"/>
              <w:bottom w:val="single" w:color="auto" w:sz="6" w:space="0"/>
              <w:right w:val="single" w:color="auto" w:sz="6" w:space="0"/>
            </w:tcBorders>
          </w:tcPr>
          <w:p w:rsidRPr="00E25790" w:rsidR="00EF6AB6" w:rsidP="006F0321" w:rsidRDefault="00EF6AB6" w14:paraId="5E3347C6" w14:textId="77777777">
            <w:r w:rsidRPr="00E25790">
              <w:t xml:space="preserve">Time between access: </w:t>
            </w:r>
          </w:p>
          <w:p w:rsidRPr="00E25790" w:rsidR="00EF6AB6" w:rsidP="006F0321" w:rsidRDefault="00EF6AB6" w14:paraId="705553C3" w14:textId="77777777">
            <w:r w:rsidRPr="00E25790">
              <w:t>1] &lt; 6 hours – 1.5 mls - Normal saline</w:t>
            </w:r>
          </w:p>
          <w:p w:rsidRPr="00E25790" w:rsidR="00EF6AB6" w:rsidP="006F0321" w:rsidRDefault="00EF6AB6" w14:paraId="147B6211" w14:textId="77777777">
            <w:r w:rsidRPr="00E25790">
              <w:t>2] &lt; 24 hours – 2 mls daily – 50 units heparin in 5 mls</w:t>
            </w:r>
          </w:p>
          <w:p w:rsidRPr="00E25790" w:rsidR="00EF6AB6" w:rsidP="006F0321" w:rsidRDefault="00EF6AB6" w14:paraId="5C6DF453" w14:textId="77777777">
            <w:r w:rsidRPr="00E25790">
              <w:t>3] &gt; 24 hours – 2 mls weekly – 1000 units heparin in 10 mls</w:t>
            </w:r>
          </w:p>
        </w:tc>
      </w:tr>
      <w:tr w:rsidRPr="00E25790" w:rsidR="00EF6AB6" w:rsidTr="00B97D99" w14:paraId="5FCAA665"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0248FD13" w14:textId="77777777">
            <w:r w:rsidRPr="00E25790">
              <w:t>Interval :</w:t>
            </w:r>
          </w:p>
        </w:tc>
        <w:tc>
          <w:tcPr>
            <w:tcW w:w="6971" w:type="dxa"/>
            <w:tcBorders>
              <w:top w:val="single" w:color="auto" w:sz="6" w:space="0"/>
              <w:bottom w:val="single" w:color="auto" w:sz="6" w:space="0"/>
              <w:right w:val="single" w:color="auto" w:sz="6" w:space="0"/>
            </w:tcBorders>
          </w:tcPr>
          <w:p w:rsidRPr="00E25790" w:rsidR="00EF6AB6" w:rsidP="006F0321" w:rsidRDefault="00EF6AB6" w14:paraId="45217C0C" w14:textId="77777777">
            <w:r w:rsidRPr="00E25790">
              <w:t>1] 4-6/24</w:t>
            </w:r>
          </w:p>
          <w:p w:rsidRPr="00E25790" w:rsidR="00EF6AB6" w:rsidP="006F0321" w:rsidRDefault="00EF6AB6" w14:paraId="30A0BBE7" w14:textId="77777777">
            <w:r w:rsidRPr="00E25790">
              <w:t>2] daily</w:t>
            </w:r>
          </w:p>
          <w:p w:rsidRPr="00E25790" w:rsidR="00EF6AB6" w:rsidP="006F0321" w:rsidRDefault="00EF6AB6" w14:paraId="2155487D" w14:textId="77777777">
            <w:r w:rsidRPr="00E25790">
              <w:t>3] weekly</w:t>
            </w:r>
          </w:p>
        </w:tc>
      </w:tr>
      <w:tr w:rsidRPr="00E25790" w:rsidR="00EF6AB6" w:rsidTr="00B97D99" w14:paraId="26D16002"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7C5E595D" w14:textId="77777777">
            <w:r w:rsidRPr="00E25790">
              <w:t>Route :</w:t>
            </w:r>
          </w:p>
        </w:tc>
        <w:tc>
          <w:tcPr>
            <w:tcW w:w="6971" w:type="dxa"/>
            <w:tcBorders>
              <w:top w:val="single" w:color="auto" w:sz="6" w:space="0"/>
              <w:bottom w:val="single" w:color="auto" w:sz="6" w:space="0"/>
              <w:right w:val="single" w:color="auto" w:sz="6" w:space="0"/>
            </w:tcBorders>
          </w:tcPr>
          <w:p w:rsidRPr="00E25790" w:rsidR="00EF6AB6" w:rsidP="006F0321" w:rsidRDefault="00EF6AB6" w14:paraId="4A973B79" w14:textId="77777777">
            <w:r w:rsidRPr="00E25790">
              <w:t>IV</w:t>
            </w:r>
          </w:p>
        </w:tc>
      </w:tr>
      <w:tr w:rsidRPr="00E25790" w:rsidR="00EF6AB6" w:rsidTr="00B97D99" w14:paraId="6EEA9462"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495CF867" w14:textId="77777777">
            <w:r w:rsidRPr="00E25790">
              <w:t>Total Daily Dose :</w:t>
            </w:r>
          </w:p>
        </w:tc>
        <w:tc>
          <w:tcPr>
            <w:tcW w:w="6971" w:type="dxa"/>
            <w:tcBorders>
              <w:top w:val="single" w:color="auto" w:sz="6" w:space="0"/>
              <w:bottom w:val="single" w:color="auto" w:sz="6" w:space="0"/>
              <w:right w:val="single" w:color="auto" w:sz="6" w:space="0"/>
            </w:tcBorders>
          </w:tcPr>
          <w:p w:rsidRPr="00E25790" w:rsidR="00EF6AB6" w:rsidP="006F0321" w:rsidRDefault="00EF6AB6" w14:paraId="0EB272CB" w14:textId="77777777"/>
        </w:tc>
      </w:tr>
      <w:tr w:rsidRPr="00E25790" w:rsidR="00EF6AB6" w:rsidTr="00B97D99" w14:paraId="6D5EFFCB" w14:textId="77777777">
        <w:trPr>
          <w:cantSplit/>
          <w:trHeight w:val="1200"/>
        </w:trPr>
        <w:tc>
          <w:tcPr>
            <w:tcW w:w="2093" w:type="dxa"/>
            <w:tcBorders>
              <w:top w:val="single" w:color="auto" w:sz="6" w:space="0"/>
              <w:left w:val="single" w:color="auto" w:sz="6" w:space="0"/>
              <w:bottom w:val="single" w:color="auto" w:sz="6" w:space="0"/>
            </w:tcBorders>
          </w:tcPr>
          <w:p w:rsidRPr="00E25790" w:rsidR="00EF6AB6" w:rsidP="006F0321" w:rsidRDefault="00EF6AB6" w14:paraId="384B6E1C" w14:textId="77777777">
            <w:r w:rsidRPr="00E25790">
              <w:t>Comments :</w:t>
            </w:r>
          </w:p>
        </w:tc>
        <w:tc>
          <w:tcPr>
            <w:tcW w:w="6971" w:type="dxa"/>
            <w:tcBorders>
              <w:top w:val="single" w:color="auto" w:sz="6" w:space="0"/>
              <w:bottom w:val="single" w:color="auto" w:sz="6" w:space="0"/>
              <w:right w:val="single" w:color="auto" w:sz="6" w:space="0"/>
            </w:tcBorders>
          </w:tcPr>
          <w:p w:rsidRPr="00E25790" w:rsidR="00EF6AB6" w:rsidP="006F0321" w:rsidRDefault="00EF6AB6" w14:paraId="40CC0169" w14:textId="77777777">
            <w:pPr>
              <w:pStyle w:val="SubjectHead"/>
            </w:pPr>
            <w:r w:rsidRPr="00E25790">
              <w:t>Always remove heparin lock before accessing the catheter to ensure heparin is not injected into the patient and to remove previous heparin lock before administration of next heparin lock. All clamping is to be done on the cuffed area of the tube.</w:t>
            </w:r>
          </w:p>
        </w:tc>
      </w:tr>
      <w:tr w:rsidRPr="00E25790" w:rsidR="00EF6AB6" w:rsidTr="00B97D99" w14:paraId="49DD6365" w14:textId="77777777">
        <w:trPr>
          <w:cantSplit/>
          <w:trHeight w:val="489"/>
        </w:trPr>
        <w:tc>
          <w:tcPr>
            <w:tcW w:w="2093" w:type="dxa"/>
            <w:tcBorders>
              <w:top w:val="single" w:color="auto" w:sz="6" w:space="0"/>
              <w:left w:val="single" w:color="auto" w:sz="6" w:space="0"/>
              <w:bottom w:val="single" w:color="auto" w:sz="6" w:space="0"/>
            </w:tcBorders>
          </w:tcPr>
          <w:p w:rsidRPr="00E25790" w:rsidR="00EF6AB6" w:rsidP="006F0321" w:rsidRDefault="00EF6AB6" w14:paraId="7088091A" w14:textId="77777777">
            <w:r w:rsidRPr="00E25790">
              <w:t>Supplied as :</w:t>
            </w:r>
          </w:p>
        </w:tc>
        <w:tc>
          <w:tcPr>
            <w:tcW w:w="6971" w:type="dxa"/>
            <w:tcBorders>
              <w:top w:val="single" w:color="auto" w:sz="6" w:space="0"/>
              <w:bottom w:val="single" w:color="auto" w:sz="6" w:space="0"/>
              <w:right w:val="single" w:color="auto" w:sz="6" w:space="0"/>
            </w:tcBorders>
          </w:tcPr>
          <w:p w:rsidRPr="00E25790" w:rsidR="00EF6AB6" w:rsidP="006F0321" w:rsidRDefault="00EF6AB6" w14:paraId="2DD21C1D" w14:textId="77777777">
            <w:pPr>
              <w:rPr>
                <w:lang w:val="it-IT"/>
              </w:rPr>
            </w:pPr>
            <w:r w:rsidRPr="00E25790">
              <w:rPr>
                <w:lang w:val="it-IT"/>
              </w:rPr>
              <w:t>1] Normal saline 10 ml ampoule</w:t>
            </w:r>
          </w:p>
          <w:p w:rsidRPr="00E25790" w:rsidR="00EF6AB6" w:rsidP="006F0321" w:rsidRDefault="00EF6AB6" w14:paraId="708D4D23" w14:textId="77777777">
            <w:pPr>
              <w:rPr>
                <w:lang w:val="it-IT"/>
              </w:rPr>
            </w:pPr>
            <w:r w:rsidRPr="00E25790">
              <w:rPr>
                <w:lang w:val="it-IT"/>
              </w:rPr>
              <w:t>2] 50 units heparin in 5 ml ampoule</w:t>
            </w:r>
          </w:p>
          <w:p w:rsidRPr="00E25790" w:rsidR="00EF6AB6" w:rsidP="006F0321" w:rsidRDefault="00EF6AB6" w14:paraId="77D5384A" w14:textId="77777777">
            <w:r w:rsidRPr="00E25790">
              <w:t xml:space="preserve">3] 1000 units in 1ml ampoule </w:t>
            </w:r>
          </w:p>
        </w:tc>
      </w:tr>
      <w:tr w:rsidRPr="00E25790" w:rsidR="00EF6AB6" w:rsidTr="00B97D99" w14:paraId="5C36E635" w14:textId="77777777">
        <w:trPr>
          <w:cantSplit/>
          <w:trHeight w:val="360"/>
        </w:trPr>
        <w:tc>
          <w:tcPr>
            <w:tcW w:w="2093" w:type="dxa"/>
            <w:tcBorders>
              <w:top w:val="single" w:color="auto" w:sz="6" w:space="0"/>
              <w:left w:val="single" w:color="auto" w:sz="6" w:space="0"/>
              <w:bottom w:val="single" w:color="auto" w:sz="6" w:space="0"/>
            </w:tcBorders>
          </w:tcPr>
          <w:p w:rsidRPr="00E25790" w:rsidR="00EF6AB6" w:rsidP="006F0321" w:rsidRDefault="00EF6AB6" w14:paraId="4D3B04EA" w14:textId="77777777">
            <w:r w:rsidRPr="00E25790">
              <w:t>Dilution :</w:t>
            </w:r>
          </w:p>
        </w:tc>
        <w:tc>
          <w:tcPr>
            <w:tcW w:w="6971" w:type="dxa"/>
            <w:tcBorders>
              <w:top w:val="single" w:color="auto" w:sz="6" w:space="0"/>
              <w:bottom w:val="single" w:color="auto" w:sz="6" w:space="0"/>
              <w:right w:val="single" w:color="auto" w:sz="6" w:space="0"/>
            </w:tcBorders>
          </w:tcPr>
          <w:p w:rsidRPr="00E25790" w:rsidR="00EF6AB6" w:rsidP="006F0321" w:rsidRDefault="00EF6AB6" w14:paraId="6C385C12" w14:textId="77777777">
            <w:r w:rsidRPr="00E25790">
              <w:t>1] Normal saline 10 ml ampoule – no dilution required</w:t>
            </w:r>
          </w:p>
          <w:p w:rsidRPr="00E25790" w:rsidR="00EF6AB6" w:rsidP="006F0321" w:rsidRDefault="00EF6AB6" w14:paraId="4931214A" w14:textId="77777777">
            <w:r w:rsidRPr="00E25790">
              <w:t>2] 50 units heparin in 5 ml ampoule – no dilution required</w:t>
            </w:r>
          </w:p>
          <w:p w:rsidRPr="00E25790" w:rsidR="00EF6AB6" w:rsidP="006F0321" w:rsidRDefault="00EF6AB6" w14:paraId="7CD6EC5F" w14:textId="77777777">
            <w:r w:rsidRPr="00E25790">
              <w:t>3] 1000 units in 1ml ampoule – dilute 1 ml ampoule with 9 mls of normal saline (100 units per ml)</w:t>
            </w:r>
          </w:p>
        </w:tc>
      </w:tr>
      <w:tr w:rsidRPr="00E25790" w:rsidR="00EF6AB6" w:rsidTr="00B97D99" w14:paraId="79C2AD16"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412A5619" w14:textId="77777777">
            <w:r w:rsidRPr="00E25790">
              <w:t>Stability :</w:t>
            </w:r>
          </w:p>
        </w:tc>
        <w:tc>
          <w:tcPr>
            <w:tcW w:w="6971" w:type="dxa"/>
            <w:tcBorders>
              <w:top w:val="single" w:color="auto" w:sz="6" w:space="0"/>
              <w:bottom w:val="single" w:color="auto" w:sz="6" w:space="0"/>
              <w:right w:val="single" w:color="auto" w:sz="6" w:space="0"/>
            </w:tcBorders>
          </w:tcPr>
          <w:p w:rsidRPr="00E25790" w:rsidR="00EF6AB6" w:rsidP="006F0321" w:rsidRDefault="006E1D84" w14:paraId="1035C491" w14:textId="279B0B34">
            <w:r w:rsidRPr="00E25790">
              <w:t xml:space="preserve">Discard unused portion.  </w:t>
            </w:r>
          </w:p>
        </w:tc>
      </w:tr>
      <w:tr w:rsidRPr="00E25790" w:rsidR="00EF6AB6" w:rsidTr="00B97D99" w14:paraId="21539BF8"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3C7730F5" w14:textId="77777777">
            <w:r w:rsidRPr="00E25790">
              <w:t>Storage :</w:t>
            </w:r>
          </w:p>
        </w:tc>
        <w:tc>
          <w:tcPr>
            <w:tcW w:w="6971" w:type="dxa"/>
            <w:tcBorders>
              <w:top w:val="single" w:color="auto" w:sz="6" w:space="0"/>
              <w:bottom w:val="single" w:color="auto" w:sz="6" w:space="0"/>
              <w:right w:val="single" w:color="auto" w:sz="6" w:space="0"/>
            </w:tcBorders>
          </w:tcPr>
          <w:p w:rsidRPr="00E25790" w:rsidR="00EF6AB6" w:rsidP="006F0321" w:rsidRDefault="00EF6AB6" w14:paraId="439E0C88" w14:textId="77777777">
            <w:r w:rsidRPr="00E25790">
              <w:t>Room temperature</w:t>
            </w:r>
          </w:p>
        </w:tc>
      </w:tr>
      <w:tr w:rsidRPr="00E25790" w:rsidR="00EF6AB6" w:rsidTr="00B97D99" w14:paraId="37AD249B"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1F93356A" w14:textId="77777777">
            <w:pPr>
              <w:rPr>
                <w:highlight w:val="yellow"/>
              </w:rPr>
            </w:pPr>
            <w:r w:rsidRPr="00E25790">
              <w:t>Compatibility:</w:t>
            </w:r>
          </w:p>
        </w:tc>
        <w:tc>
          <w:tcPr>
            <w:tcW w:w="6971" w:type="dxa"/>
            <w:tcBorders>
              <w:top w:val="single" w:color="auto" w:sz="6" w:space="0"/>
              <w:bottom w:val="single" w:color="auto" w:sz="6" w:space="0"/>
              <w:right w:val="single" w:color="auto" w:sz="6" w:space="0"/>
            </w:tcBorders>
          </w:tcPr>
          <w:p w:rsidRPr="00E25790" w:rsidR="00EF6AB6" w:rsidP="006F0321" w:rsidRDefault="00EF6AB6" w14:paraId="6D74DF73" w14:textId="77777777">
            <w:pPr>
              <w:rPr>
                <w:highlight w:val="yellow"/>
              </w:rPr>
            </w:pPr>
          </w:p>
        </w:tc>
      </w:tr>
      <w:tr w:rsidRPr="00E25790" w:rsidR="00EF6AB6" w:rsidTr="00B97D99" w14:paraId="57FCB105"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08622275" w14:textId="77777777">
            <w:r w:rsidRPr="00E25790">
              <w:t>Incompatibility :</w:t>
            </w:r>
          </w:p>
        </w:tc>
        <w:tc>
          <w:tcPr>
            <w:tcW w:w="6971" w:type="dxa"/>
            <w:tcBorders>
              <w:top w:val="single" w:color="auto" w:sz="6" w:space="0"/>
              <w:bottom w:val="single" w:color="auto" w:sz="6" w:space="0"/>
              <w:right w:val="single" w:color="auto" w:sz="6" w:space="0"/>
            </w:tcBorders>
          </w:tcPr>
          <w:p w:rsidRPr="00E25790" w:rsidR="00EF6AB6" w:rsidP="006F0321" w:rsidRDefault="00EF6AB6" w14:paraId="37D0954E" w14:textId="77777777"/>
        </w:tc>
      </w:tr>
      <w:tr w:rsidRPr="00E25790" w:rsidR="00EF6AB6" w:rsidTr="00B97D99" w14:paraId="272F2B4C" w14:textId="77777777">
        <w:trPr>
          <w:cantSplit/>
          <w:trHeight w:val="480"/>
        </w:trPr>
        <w:tc>
          <w:tcPr>
            <w:tcW w:w="2093" w:type="dxa"/>
            <w:tcBorders>
              <w:top w:val="single" w:color="auto" w:sz="6" w:space="0"/>
              <w:left w:val="single" w:color="auto" w:sz="6" w:space="0"/>
              <w:bottom w:val="single" w:color="auto" w:sz="6" w:space="0"/>
            </w:tcBorders>
          </w:tcPr>
          <w:p w:rsidRPr="00E25790" w:rsidR="00EF6AB6" w:rsidP="006F0321" w:rsidRDefault="00EF6AB6" w14:paraId="141FE4EF" w14:textId="77777777">
            <w:r w:rsidRPr="00E25790">
              <w:t>Serum Levels :</w:t>
            </w:r>
          </w:p>
        </w:tc>
        <w:tc>
          <w:tcPr>
            <w:tcW w:w="6971" w:type="dxa"/>
            <w:tcBorders>
              <w:top w:val="single" w:color="auto" w:sz="6" w:space="0"/>
              <w:bottom w:val="single" w:color="auto" w:sz="6" w:space="0"/>
              <w:right w:val="single" w:color="auto" w:sz="6" w:space="0"/>
            </w:tcBorders>
          </w:tcPr>
          <w:p w:rsidRPr="00E25790" w:rsidR="00EF6AB6" w:rsidP="006F0321" w:rsidRDefault="00EF6AB6" w14:paraId="269E6FAE" w14:textId="77777777">
            <w:r w:rsidRPr="00E25790">
              <w:t>Not required</w:t>
            </w:r>
          </w:p>
        </w:tc>
      </w:tr>
    </w:tbl>
    <w:p w:rsidRPr="00E25790" w:rsidR="00EF6AB6" w:rsidP="006F0321" w:rsidRDefault="00EF6AB6" w14:paraId="579CC837" w14:textId="77777777"/>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072"/>
        <w:gridCol w:w="4949"/>
      </w:tblGrid>
      <w:tr w:rsidR="00E82D7E" w:rsidTr="00665A17" w14:paraId="2553E2E0" w14:textId="77777777">
        <w:tc>
          <w:tcPr>
            <w:tcW w:w="4424" w:type="dxa"/>
            <w:vAlign w:val="center"/>
          </w:tcPr>
          <w:p w:rsidRPr="00E82D7E" w:rsidR="00E82D7E" w:rsidP="0059793A" w:rsidRDefault="00E82D7E" w14:paraId="6BA2B3B7" w14:textId="77777777">
            <w:pPr>
              <w:rPr>
                <w:b/>
                <w:bCs/>
                <w:sz w:val="16"/>
                <w:szCs w:val="16"/>
                <w:lang w:val="en-AU"/>
              </w:rPr>
            </w:pPr>
            <w:r w:rsidRPr="00E82D7E">
              <w:rPr>
                <w:b/>
                <w:bCs/>
                <w:sz w:val="16"/>
                <w:szCs w:val="16"/>
                <w:lang w:val="en-AU"/>
              </w:rPr>
              <w:t>Original version Date: 2014</w:t>
            </w:r>
          </w:p>
        </w:tc>
        <w:tc>
          <w:tcPr>
            <w:tcW w:w="5386" w:type="dxa"/>
            <w:vAlign w:val="center"/>
          </w:tcPr>
          <w:p w:rsidRPr="00E82D7E" w:rsidR="00E82D7E" w:rsidP="0059793A" w:rsidRDefault="00E82D7E" w14:paraId="5BD56A17" w14:textId="77777777">
            <w:pPr>
              <w:rPr>
                <w:b/>
                <w:bCs/>
                <w:sz w:val="16"/>
                <w:szCs w:val="16"/>
                <w:lang w:val="en-AU"/>
              </w:rPr>
            </w:pPr>
            <w:r w:rsidRPr="00E82D7E">
              <w:rPr>
                <w:b/>
                <w:bCs/>
                <w:sz w:val="16"/>
                <w:szCs w:val="16"/>
                <w:lang w:val="en-AU"/>
              </w:rPr>
              <w:t>Author: NMF Consensus Group</w:t>
            </w:r>
          </w:p>
        </w:tc>
      </w:tr>
      <w:tr w:rsidR="00E82D7E" w:rsidTr="00665A17" w14:paraId="6363CA8A" w14:textId="77777777">
        <w:tc>
          <w:tcPr>
            <w:tcW w:w="4424" w:type="dxa"/>
            <w:vAlign w:val="center"/>
          </w:tcPr>
          <w:p w:rsidRPr="00E82D7E" w:rsidR="00E82D7E" w:rsidP="0059793A" w:rsidRDefault="00E82D7E" w14:paraId="1E338225" w14:textId="77777777">
            <w:pPr>
              <w:rPr>
                <w:sz w:val="16"/>
                <w:szCs w:val="16"/>
                <w:lang w:val="en-AU"/>
              </w:rPr>
            </w:pPr>
            <w:r w:rsidRPr="00E82D7E">
              <w:rPr>
                <w:b/>
                <w:bCs/>
                <w:sz w:val="16"/>
                <w:szCs w:val="16"/>
                <w:lang w:val="en-AU"/>
              </w:rPr>
              <w:t>Current Version number:  2</w:t>
            </w:r>
          </w:p>
        </w:tc>
        <w:tc>
          <w:tcPr>
            <w:tcW w:w="5386" w:type="dxa"/>
            <w:vAlign w:val="center"/>
          </w:tcPr>
          <w:p w:rsidRPr="00E82D7E" w:rsidR="00E82D7E" w:rsidP="0059793A" w:rsidRDefault="00E82D7E" w14:paraId="391485F5" w14:textId="02BEAB43">
            <w:pPr>
              <w:rPr>
                <w:sz w:val="16"/>
                <w:szCs w:val="16"/>
                <w:lang w:val="en-AU"/>
              </w:rPr>
            </w:pPr>
            <w:r w:rsidRPr="00E82D7E">
              <w:rPr>
                <w:b/>
                <w:bCs/>
                <w:sz w:val="16"/>
                <w:szCs w:val="16"/>
                <w:lang w:val="en-AU"/>
              </w:rPr>
              <w:t>Current Version Date:</w:t>
            </w:r>
            <w:r w:rsidRPr="00E82D7E">
              <w:rPr>
                <w:sz w:val="16"/>
                <w:szCs w:val="16"/>
                <w:lang w:val="en-AU"/>
              </w:rPr>
              <w:t xml:space="preserve">  </w:t>
            </w:r>
            <w:r>
              <w:rPr>
                <w:sz w:val="16"/>
                <w:szCs w:val="16"/>
                <w:lang w:val="en-AU"/>
              </w:rPr>
              <w:t>28</w:t>
            </w:r>
            <w:r w:rsidRPr="00E82D7E">
              <w:rPr>
                <w:sz w:val="16"/>
                <w:szCs w:val="16"/>
                <w:lang w:val="en-AU"/>
              </w:rPr>
              <w:t>/</w:t>
            </w:r>
            <w:r>
              <w:rPr>
                <w:sz w:val="16"/>
                <w:szCs w:val="16"/>
                <w:lang w:val="en-AU"/>
              </w:rPr>
              <w:t>2</w:t>
            </w:r>
            <w:r w:rsidRPr="00E82D7E">
              <w:rPr>
                <w:sz w:val="16"/>
                <w:szCs w:val="16"/>
                <w:lang w:val="en-AU"/>
              </w:rPr>
              <w:t>/2021</w:t>
            </w:r>
          </w:p>
        </w:tc>
      </w:tr>
      <w:tr w:rsidR="00E82D7E" w:rsidTr="00665A17" w14:paraId="12E3F5C3" w14:textId="77777777">
        <w:tc>
          <w:tcPr>
            <w:tcW w:w="4424" w:type="dxa"/>
            <w:vAlign w:val="center"/>
          </w:tcPr>
          <w:p w:rsidRPr="00E82D7E" w:rsidR="00E82D7E" w:rsidP="0059793A" w:rsidRDefault="00E82D7E" w14:paraId="065DF55D" w14:textId="77777777">
            <w:pPr>
              <w:rPr>
                <w:sz w:val="16"/>
                <w:szCs w:val="16"/>
                <w:lang w:val="en-AU"/>
              </w:rPr>
            </w:pPr>
            <w:r w:rsidRPr="00E82D7E">
              <w:rPr>
                <w:b/>
                <w:bCs/>
                <w:sz w:val="16"/>
                <w:szCs w:val="16"/>
                <w:lang w:val="en-AU"/>
              </w:rPr>
              <w:t xml:space="preserve">Risk Rating: </w:t>
            </w:r>
            <w:r w:rsidRPr="00E82D7E">
              <w:rPr>
                <w:sz w:val="16"/>
                <w:szCs w:val="16"/>
                <w:lang w:val="en-AU"/>
              </w:rPr>
              <w:t>Low</w:t>
            </w:r>
          </w:p>
        </w:tc>
        <w:tc>
          <w:tcPr>
            <w:tcW w:w="5386" w:type="dxa"/>
            <w:vAlign w:val="center"/>
          </w:tcPr>
          <w:p w:rsidRPr="00E82D7E" w:rsidR="00E82D7E" w:rsidP="0059793A" w:rsidRDefault="00E82D7E" w14:paraId="5D9AB378" w14:textId="56B52325">
            <w:pPr>
              <w:rPr>
                <w:sz w:val="16"/>
                <w:szCs w:val="16"/>
                <w:lang w:val="en-AU"/>
              </w:rPr>
            </w:pPr>
            <w:r w:rsidRPr="00E82D7E">
              <w:rPr>
                <w:b/>
                <w:bCs/>
                <w:sz w:val="16"/>
                <w:szCs w:val="16"/>
                <w:lang w:val="en-AU"/>
              </w:rPr>
              <w:t xml:space="preserve">Due for Review: </w:t>
            </w:r>
            <w:r>
              <w:rPr>
                <w:sz w:val="16"/>
                <w:szCs w:val="16"/>
                <w:lang w:val="en-AU"/>
              </w:rPr>
              <w:t>28/2</w:t>
            </w:r>
            <w:r w:rsidRPr="00E82D7E">
              <w:rPr>
                <w:sz w:val="16"/>
                <w:szCs w:val="16"/>
                <w:lang w:val="en-AU"/>
              </w:rPr>
              <w:t>/2026</w:t>
            </w:r>
          </w:p>
        </w:tc>
      </w:tr>
      <w:tr w:rsidR="00E82D7E" w:rsidTr="00665A17" w14:paraId="7716264D" w14:textId="77777777">
        <w:trPr>
          <w:trHeight w:val="344"/>
        </w:trPr>
        <w:tc>
          <w:tcPr>
            <w:tcW w:w="4424" w:type="dxa"/>
            <w:tcBorders>
              <w:bottom w:val="single" w:color="auto" w:sz="4" w:space="0"/>
            </w:tcBorders>
            <w:vAlign w:val="center"/>
          </w:tcPr>
          <w:p w:rsidRPr="00E82D7E" w:rsidR="00E82D7E" w:rsidP="0059793A" w:rsidRDefault="00E82D7E" w14:paraId="4E57F449" w14:textId="77777777">
            <w:pPr>
              <w:rPr>
                <w:b/>
                <w:bCs/>
                <w:sz w:val="16"/>
                <w:szCs w:val="16"/>
                <w:lang w:val="en-AU"/>
              </w:rPr>
            </w:pPr>
            <w:r w:rsidRPr="00E82D7E">
              <w:rPr>
                <w:b/>
                <w:bCs/>
                <w:sz w:val="16"/>
                <w:szCs w:val="16"/>
                <w:lang w:val="en-AU"/>
              </w:rPr>
              <w:t>Approval by: DTC</w:t>
            </w:r>
          </w:p>
        </w:tc>
        <w:tc>
          <w:tcPr>
            <w:tcW w:w="5386" w:type="dxa"/>
            <w:tcBorders>
              <w:bottom w:val="single" w:color="auto" w:sz="4" w:space="0"/>
            </w:tcBorders>
            <w:vAlign w:val="center"/>
          </w:tcPr>
          <w:p w:rsidRPr="00E82D7E" w:rsidR="00E82D7E" w:rsidP="0059793A" w:rsidRDefault="00E82D7E" w14:paraId="1F436213" w14:textId="5EE0E823">
            <w:pPr>
              <w:rPr>
                <w:b/>
                <w:bCs/>
                <w:sz w:val="16"/>
                <w:szCs w:val="16"/>
                <w:lang w:val="en-AU"/>
              </w:rPr>
            </w:pPr>
            <w:r w:rsidRPr="00E82D7E">
              <w:rPr>
                <w:b/>
                <w:bCs/>
                <w:sz w:val="16"/>
                <w:szCs w:val="16"/>
                <w:lang w:val="en-AU"/>
              </w:rPr>
              <w:t xml:space="preserve">Approval Date: </w:t>
            </w:r>
            <w:r w:rsidR="00260BC8">
              <w:rPr>
                <w:b/>
                <w:bCs/>
                <w:sz w:val="16"/>
                <w:szCs w:val="16"/>
                <w:lang w:val="en-AU"/>
              </w:rPr>
              <w:t>APRIL 2021</w:t>
            </w:r>
          </w:p>
        </w:tc>
      </w:tr>
    </w:tbl>
    <w:p w:rsidRPr="00E25790" w:rsidR="00115F48" w:rsidP="006F0321" w:rsidRDefault="00115F48" w14:paraId="34B9DC5E" w14:textId="7E12323B"/>
    <w:tbl>
      <w:tblPr>
        <w:tblW w:w="9049" w:type="dxa"/>
        <w:tblLayout w:type="fixed"/>
        <w:tblLook w:val="0000" w:firstRow="0" w:lastRow="0" w:firstColumn="0" w:lastColumn="0" w:noHBand="0" w:noVBand="0"/>
      </w:tblPr>
      <w:tblGrid>
        <w:gridCol w:w="4153"/>
        <w:gridCol w:w="4896"/>
      </w:tblGrid>
      <w:tr w:rsidRPr="00E25790" w:rsidR="00115F48" w:rsidTr="00B97D99" w14:paraId="34C3CB1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5947DBB0" w14:textId="77777777">
            <w:pPr>
              <w:pStyle w:val="Heading1"/>
            </w:pPr>
            <w:bookmarkStart w:name="_Toc495481120" w:id="298"/>
            <w:bookmarkStart w:name="_Toc495481246" w:id="299"/>
            <w:bookmarkStart w:name="_Toc495481371" w:id="300"/>
            <w:bookmarkStart w:name="_Toc495501552" w:id="301"/>
            <w:bookmarkStart w:name="_Toc38106858" w:id="302"/>
            <w:bookmarkStart w:name="_Toc75339983" w:id="303"/>
            <w:r w:rsidRPr="00E25790">
              <w:t>Hepatitis B Immunoglobulin</w:t>
            </w:r>
            <w:bookmarkEnd w:id="298"/>
            <w:bookmarkEnd w:id="299"/>
            <w:bookmarkEnd w:id="300"/>
            <w:bookmarkEnd w:id="301"/>
            <w:bookmarkEnd w:id="302"/>
            <w:bookmarkEnd w:id="303"/>
            <w:r w:rsidRPr="00E25790">
              <w:fldChar w:fldCharType="begin"/>
            </w:r>
            <w:r w:rsidRPr="00E25790">
              <w:instrText>tc "Hepatitis B Ig" \l 0</w:instrText>
            </w:r>
            <w:r w:rsidRPr="00E25790">
              <w:fldChar w:fldCharType="end"/>
            </w:r>
          </w:p>
        </w:tc>
      </w:tr>
      <w:tr w:rsidRPr="00E25790" w:rsidR="00115F48" w:rsidTr="00B97D99" w14:paraId="091E55C7"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565367F4" w14:textId="3D5B16B8">
            <w:r w:rsidRPr="00E25790">
              <w:t xml:space="preserve">Revision Date : </w:t>
            </w:r>
            <w:r w:rsidR="006F7FD2">
              <w:t>15-12-2020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8C7EEBB" w14:textId="4267A138">
            <w:r w:rsidRPr="00E25790">
              <w:t xml:space="preserve">Approved: </w:t>
            </w:r>
            <w:r w:rsidR="006F7FD2">
              <w:t>TC, KOH</w:t>
            </w:r>
          </w:p>
        </w:tc>
      </w:tr>
    </w:tbl>
    <w:p w:rsidRPr="00E25790" w:rsidR="00115F48" w:rsidP="006F0321" w:rsidRDefault="00115F48" w14:paraId="6BCD5E99" w14:textId="77777777"/>
    <w:tbl>
      <w:tblPr>
        <w:tblW w:w="10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967"/>
      </w:tblGrid>
      <w:tr w:rsidRPr="003A7895" w:rsidR="00273A16" w:rsidTr="77BEE3D0" w14:paraId="7A27C6BA" w14:textId="77777777">
        <w:trPr>
          <w:trHeight w:val="740"/>
        </w:trPr>
        <w:tc>
          <w:tcPr>
            <w:tcW w:w="2410" w:type="dxa"/>
          </w:tcPr>
          <w:p w:rsidRPr="003A7895" w:rsidR="00D610E5" w:rsidP="77BEE3D0" w:rsidRDefault="55AB71D8" w14:paraId="5187AD6D" w14:textId="77777777">
            <w:pPr>
              <w:pStyle w:val="BodyText"/>
              <w:rPr>
                <w:rFonts w:cs="Arial"/>
                <w:b/>
                <w:bCs/>
                <w:sz w:val="20"/>
              </w:rPr>
            </w:pPr>
            <w:r w:rsidRPr="77BEE3D0">
              <w:rPr>
                <w:rFonts w:cs="Arial"/>
                <w:b/>
                <w:bCs/>
                <w:sz w:val="20"/>
              </w:rPr>
              <w:t xml:space="preserve">Indication                         </w:t>
            </w:r>
          </w:p>
          <w:p w:rsidRPr="003A7895" w:rsidR="00D610E5" w:rsidP="77BEE3D0" w:rsidRDefault="00D610E5" w14:paraId="5D150045" w14:textId="77777777">
            <w:pPr>
              <w:pStyle w:val="BodyText"/>
              <w:rPr>
                <w:rFonts w:cs="Arial"/>
                <w:sz w:val="20"/>
              </w:rPr>
            </w:pPr>
          </w:p>
        </w:tc>
        <w:tc>
          <w:tcPr>
            <w:tcW w:w="7967" w:type="dxa"/>
          </w:tcPr>
          <w:p w:rsidRPr="00A13C25" w:rsidR="00D610E5" w:rsidP="0010214E" w:rsidRDefault="00D610E5" w14:paraId="09B83076" w14:textId="70C6912D">
            <w:pPr>
              <w:rPr>
                <w:sz w:val="20"/>
              </w:rPr>
            </w:pPr>
            <w:r w:rsidRPr="00A13C25">
              <w:rPr>
                <w:sz w:val="20"/>
              </w:rPr>
              <w:t xml:space="preserve">Passive immunisation of newborns whose mothers have acute hepatitis B infection at the time of delivery or who are hepatitis B surface </w:t>
            </w:r>
            <w:r>
              <w:rPr>
                <w:sz w:val="20"/>
              </w:rPr>
              <w:t>antigen (HBsAg</w:t>
            </w:r>
            <w:r w:rsidRPr="00A13C25">
              <w:rPr>
                <w:sz w:val="20"/>
              </w:rPr>
              <w:t>)</w:t>
            </w:r>
            <w:r>
              <w:rPr>
                <w:sz w:val="20"/>
              </w:rPr>
              <w:t xml:space="preserve"> positive</w:t>
            </w:r>
            <w:r w:rsidRPr="00A13C25">
              <w:rPr>
                <w:sz w:val="20"/>
              </w:rPr>
              <w:t>.</w:t>
            </w:r>
            <w:r w:rsidRPr="00E42B43" w:rsidR="00E42B43">
              <w:rPr>
                <w:sz w:val="20"/>
                <w:vertAlign w:val="superscript"/>
              </w:rPr>
              <w:t>1</w:t>
            </w:r>
          </w:p>
        </w:tc>
      </w:tr>
      <w:tr w:rsidRPr="003A7895" w:rsidR="00273A16" w:rsidTr="77BEE3D0" w14:paraId="549F67C3" w14:textId="77777777">
        <w:trPr>
          <w:trHeight w:val="410"/>
        </w:trPr>
        <w:tc>
          <w:tcPr>
            <w:tcW w:w="2410" w:type="dxa"/>
          </w:tcPr>
          <w:p w:rsidRPr="003A7895" w:rsidR="00D610E5" w:rsidP="77BEE3D0" w:rsidRDefault="55AB71D8" w14:paraId="62FFBFAF" w14:textId="77777777">
            <w:pPr>
              <w:pStyle w:val="BodyText"/>
              <w:rPr>
                <w:rFonts w:cs="Arial"/>
                <w:b/>
                <w:bCs/>
                <w:sz w:val="20"/>
              </w:rPr>
            </w:pPr>
            <w:r w:rsidRPr="77BEE3D0">
              <w:rPr>
                <w:rFonts w:cs="Arial"/>
                <w:b/>
                <w:bCs/>
                <w:sz w:val="20"/>
              </w:rPr>
              <w:t>Action</w:t>
            </w:r>
          </w:p>
        </w:tc>
        <w:tc>
          <w:tcPr>
            <w:tcW w:w="7967" w:type="dxa"/>
          </w:tcPr>
          <w:p w:rsidRPr="00A13C25" w:rsidR="00D610E5" w:rsidP="0010214E" w:rsidRDefault="00D610E5" w14:paraId="08698EFE" w14:textId="77777777">
            <w:pPr>
              <w:rPr>
                <w:rFonts w:cs="Arial"/>
                <w:sz w:val="20"/>
              </w:rPr>
            </w:pPr>
            <w:r w:rsidRPr="00A13C25">
              <w:rPr>
                <w:sz w:val="20"/>
              </w:rPr>
              <w:t>Confers immediate passive immunity due to the injection of pre-formed antibodies.</w:t>
            </w:r>
          </w:p>
        </w:tc>
      </w:tr>
      <w:tr w:rsidRPr="003A7895" w:rsidR="00273A16" w:rsidTr="77BEE3D0" w14:paraId="5D669245" w14:textId="77777777">
        <w:trPr>
          <w:trHeight w:val="429"/>
        </w:trPr>
        <w:tc>
          <w:tcPr>
            <w:tcW w:w="2410" w:type="dxa"/>
          </w:tcPr>
          <w:p w:rsidRPr="003A7895" w:rsidR="00D610E5" w:rsidP="77BEE3D0" w:rsidRDefault="55AB71D8" w14:paraId="025C743E" w14:textId="77777777">
            <w:pPr>
              <w:pStyle w:val="BodyText"/>
              <w:rPr>
                <w:rFonts w:cs="Arial"/>
                <w:sz w:val="20"/>
              </w:rPr>
            </w:pPr>
            <w:r w:rsidRPr="77BEE3D0">
              <w:rPr>
                <w:rFonts w:cs="Arial"/>
                <w:b/>
                <w:bCs/>
                <w:sz w:val="20"/>
              </w:rPr>
              <w:t xml:space="preserve">Drug Type                                   </w:t>
            </w:r>
          </w:p>
        </w:tc>
        <w:tc>
          <w:tcPr>
            <w:tcW w:w="7967" w:type="dxa"/>
          </w:tcPr>
          <w:p w:rsidRPr="00A13C25" w:rsidR="00D610E5" w:rsidP="0010214E" w:rsidRDefault="00D610E5" w14:paraId="2FE41E2E" w14:textId="77777777">
            <w:pPr>
              <w:pStyle w:val="BodyText"/>
              <w:rPr>
                <w:rFonts w:cs="Arial"/>
                <w:sz w:val="20"/>
              </w:rPr>
            </w:pPr>
            <w:r w:rsidRPr="00A13C25">
              <w:rPr>
                <w:sz w:val="20"/>
              </w:rPr>
              <w:t>Immunoglobulin</w:t>
            </w:r>
            <w:r>
              <w:rPr>
                <w:sz w:val="20"/>
              </w:rPr>
              <w:t>.</w:t>
            </w:r>
          </w:p>
        </w:tc>
      </w:tr>
      <w:tr w:rsidRPr="003A7895" w:rsidR="00273A16" w:rsidTr="77BEE3D0" w14:paraId="2FA82550" w14:textId="77777777">
        <w:trPr>
          <w:trHeight w:val="405"/>
        </w:trPr>
        <w:tc>
          <w:tcPr>
            <w:tcW w:w="2410" w:type="dxa"/>
          </w:tcPr>
          <w:p w:rsidRPr="003A7895" w:rsidR="00D610E5" w:rsidP="77BEE3D0" w:rsidRDefault="55AB71D8" w14:paraId="43063D74" w14:textId="77777777">
            <w:pPr>
              <w:pStyle w:val="BodyText"/>
              <w:rPr>
                <w:rFonts w:cs="Arial"/>
                <w:b/>
                <w:bCs/>
                <w:sz w:val="20"/>
              </w:rPr>
            </w:pPr>
            <w:r w:rsidRPr="77BEE3D0">
              <w:rPr>
                <w:rFonts w:cs="Arial"/>
                <w:b/>
                <w:bCs/>
                <w:sz w:val="20"/>
              </w:rPr>
              <w:t xml:space="preserve">Trade Name                  </w:t>
            </w:r>
          </w:p>
        </w:tc>
        <w:tc>
          <w:tcPr>
            <w:tcW w:w="7967" w:type="dxa"/>
          </w:tcPr>
          <w:p w:rsidRPr="00A13C25" w:rsidR="00D610E5" w:rsidP="0010214E" w:rsidRDefault="00D610E5" w14:paraId="6170638E" w14:textId="2258ADA4">
            <w:pPr>
              <w:pStyle w:val="BodyText"/>
              <w:rPr>
                <w:rFonts w:cs="Arial"/>
                <w:sz w:val="20"/>
              </w:rPr>
            </w:pPr>
            <w:r w:rsidRPr="00A13C25">
              <w:rPr>
                <w:sz w:val="20"/>
              </w:rPr>
              <w:t>Hepatitis B Immunoglobulin-VF</w:t>
            </w:r>
            <w:r w:rsidRPr="00494844" w:rsidR="00494844">
              <w:rPr>
                <w:sz w:val="20"/>
                <w:vertAlign w:val="superscript"/>
              </w:rPr>
              <w:t>2</w:t>
            </w:r>
          </w:p>
        </w:tc>
      </w:tr>
      <w:tr w:rsidRPr="003A7895" w:rsidR="00273A16" w:rsidTr="77BEE3D0" w14:paraId="0CA7C09C" w14:textId="77777777">
        <w:trPr>
          <w:trHeight w:val="544"/>
        </w:trPr>
        <w:tc>
          <w:tcPr>
            <w:tcW w:w="2410" w:type="dxa"/>
          </w:tcPr>
          <w:p w:rsidRPr="003A7895" w:rsidR="00D610E5" w:rsidP="77BEE3D0" w:rsidRDefault="55AB71D8" w14:paraId="60AC4906" w14:textId="77777777">
            <w:pPr>
              <w:pStyle w:val="BodyText"/>
              <w:rPr>
                <w:rFonts w:cs="Arial"/>
                <w:b/>
                <w:bCs/>
                <w:sz w:val="20"/>
              </w:rPr>
            </w:pPr>
            <w:r w:rsidRPr="77BEE3D0">
              <w:rPr>
                <w:rFonts w:cs="Arial"/>
                <w:b/>
                <w:bCs/>
                <w:sz w:val="20"/>
              </w:rPr>
              <w:t xml:space="preserve">Presentation </w:t>
            </w:r>
          </w:p>
        </w:tc>
        <w:tc>
          <w:tcPr>
            <w:tcW w:w="7967" w:type="dxa"/>
          </w:tcPr>
          <w:p w:rsidRPr="00A13C25" w:rsidR="00D610E5" w:rsidP="0010214E" w:rsidRDefault="00D610E5" w14:paraId="4C7A58A6" w14:textId="77777777">
            <w:pPr>
              <w:pStyle w:val="BodyText"/>
              <w:ind w:left="34"/>
              <w:rPr>
                <w:rFonts w:cs="Arial"/>
                <w:sz w:val="20"/>
              </w:rPr>
            </w:pPr>
            <w:r w:rsidRPr="00A13C25">
              <w:rPr>
                <w:sz w:val="20"/>
              </w:rPr>
              <w:t>100 Unit/mL ampoule</w:t>
            </w:r>
            <w:r>
              <w:rPr>
                <w:sz w:val="20"/>
              </w:rPr>
              <w:t>.</w:t>
            </w:r>
            <w:r w:rsidRPr="00A13C25">
              <w:rPr>
                <w:sz w:val="20"/>
              </w:rPr>
              <w:br/>
            </w:r>
            <w:r w:rsidRPr="002A6534">
              <w:rPr>
                <w:sz w:val="20"/>
              </w:rPr>
              <w:t>Available from the blood bank</w:t>
            </w:r>
            <w:r>
              <w:rPr>
                <w:sz w:val="20"/>
              </w:rPr>
              <w:t>.</w:t>
            </w:r>
          </w:p>
        </w:tc>
      </w:tr>
      <w:tr w:rsidRPr="003A7895" w:rsidR="00273A16" w:rsidTr="77BEE3D0" w14:paraId="25A81575" w14:textId="77777777">
        <w:trPr>
          <w:trHeight w:val="422"/>
        </w:trPr>
        <w:tc>
          <w:tcPr>
            <w:tcW w:w="2410" w:type="dxa"/>
          </w:tcPr>
          <w:p w:rsidRPr="003A7895" w:rsidR="00D610E5" w:rsidP="77BEE3D0" w:rsidRDefault="55AB71D8" w14:paraId="1A94CE28" w14:textId="77777777">
            <w:pPr>
              <w:pStyle w:val="BodyText"/>
              <w:rPr>
                <w:rFonts w:cs="Arial"/>
                <w:b/>
                <w:bCs/>
                <w:sz w:val="20"/>
              </w:rPr>
            </w:pPr>
            <w:r w:rsidRPr="77BEE3D0">
              <w:rPr>
                <w:rFonts w:cs="Arial"/>
                <w:b/>
                <w:bCs/>
                <w:sz w:val="20"/>
              </w:rPr>
              <w:t>Dosage/Interval</w:t>
            </w:r>
          </w:p>
        </w:tc>
        <w:tc>
          <w:tcPr>
            <w:tcW w:w="7967" w:type="dxa"/>
          </w:tcPr>
          <w:p w:rsidRPr="0031622D" w:rsidR="00D610E5" w:rsidP="0010214E" w:rsidRDefault="00D610E5" w14:paraId="59B591D2" w14:textId="77777777">
            <w:pPr>
              <w:pStyle w:val="BodyText"/>
              <w:rPr>
                <w:rFonts w:cs="Arial"/>
                <w:sz w:val="20"/>
              </w:rPr>
            </w:pPr>
            <w:r>
              <w:rPr>
                <w:rFonts w:cs="Arial"/>
                <w:sz w:val="20"/>
              </w:rPr>
              <w:t>100 Units single dose.</w:t>
            </w:r>
          </w:p>
        </w:tc>
      </w:tr>
      <w:tr w:rsidRPr="003A7895" w:rsidR="00273A16" w:rsidTr="77BEE3D0" w14:paraId="7CCF5BAA" w14:textId="77777777">
        <w:trPr>
          <w:trHeight w:val="422"/>
        </w:trPr>
        <w:tc>
          <w:tcPr>
            <w:tcW w:w="2410" w:type="dxa"/>
          </w:tcPr>
          <w:p w:rsidRPr="00D81B92" w:rsidR="00D610E5" w:rsidP="77BEE3D0" w:rsidRDefault="55AB71D8" w14:paraId="3C4C001F" w14:textId="77777777">
            <w:pPr>
              <w:pStyle w:val="BodyText"/>
              <w:rPr>
                <w:rFonts w:cs="Arial"/>
                <w:b/>
                <w:bCs/>
                <w:sz w:val="20"/>
              </w:rPr>
            </w:pPr>
            <w:r w:rsidRPr="77BEE3D0">
              <w:rPr>
                <w:rFonts w:cs="Arial"/>
                <w:b/>
                <w:bCs/>
                <w:sz w:val="20"/>
              </w:rPr>
              <w:t xml:space="preserve">Route                                    </w:t>
            </w:r>
          </w:p>
        </w:tc>
        <w:tc>
          <w:tcPr>
            <w:tcW w:w="7967" w:type="dxa"/>
          </w:tcPr>
          <w:p w:rsidRPr="00A13C25" w:rsidR="00D610E5" w:rsidP="0010214E" w:rsidRDefault="00D610E5" w14:paraId="4AAD7E34" w14:textId="77777777">
            <w:pPr>
              <w:pStyle w:val="BodyText"/>
              <w:rPr>
                <w:rFonts w:cs="Arial"/>
                <w:sz w:val="20"/>
              </w:rPr>
            </w:pPr>
            <w:r w:rsidRPr="0031622D">
              <w:rPr>
                <w:rFonts w:cs="Arial"/>
                <w:sz w:val="20"/>
              </w:rPr>
              <w:t>IM</w:t>
            </w:r>
            <w:r w:rsidRPr="00A13C25">
              <w:rPr>
                <w:rFonts w:cs="Arial"/>
                <w:sz w:val="20"/>
              </w:rPr>
              <w:t xml:space="preserve"> ONLY</w:t>
            </w:r>
            <w:r>
              <w:rPr>
                <w:rFonts w:cs="Arial"/>
                <w:sz w:val="20"/>
              </w:rPr>
              <w:t xml:space="preserve"> in the anterolateral thigh.</w:t>
            </w:r>
          </w:p>
        </w:tc>
      </w:tr>
      <w:tr w:rsidRPr="003A7895" w:rsidR="00E424B4" w:rsidTr="77BEE3D0" w14:paraId="30C46AF2" w14:textId="77777777">
        <w:trPr>
          <w:trHeight w:val="558"/>
        </w:trPr>
        <w:tc>
          <w:tcPr>
            <w:tcW w:w="2410" w:type="dxa"/>
          </w:tcPr>
          <w:p w:rsidRPr="003A7895" w:rsidR="00D610E5" w:rsidP="77BEE3D0" w:rsidRDefault="55AB71D8" w14:paraId="39FC939A" w14:textId="77777777">
            <w:pPr>
              <w:pStyle w:val="BodyText"/>
              <w:rPr>
                <w:rFonts w:cs="Arial"/>
                <w:b/>
                <w:bCs/>
                <w:sz w:val="20"/>
              </w:rPr>
            </w:pPr>
            <w:r w:rsidRPr="77BEE3D0">
              <w:rPr>
                <w:rFonts w:cs="Arial"/>
                <w:b/>
                <w:bCs/>
                <w:sz w:val="20"/>
              </w:rPr>
              <w:t xml:space="preserve">Administration                 </w:t>
            </w:r>
          </w:p>
          <w:p w:rsidRPr="003A7895" w:rsidR="00D610E5" w:rsidP="77BEE3D0" w:rsidRDefault="00D610E5" w14:paraId="29B744C0" w14:textId="77777777">
            <w:pPr>
              <w:pStyle w:val="BodyText"/>
              <w:rPr>
                <w:rFonts w:cs="Arial"/>
                <w:sz w:val="20"/>
              </w:rPr>
            </w:pPr>
          </w:p>
        </w:tc>
        <w:tc>
          <w:tcPr>
            <w:tcW w:w="7967" w:type="dxa"/>
            <w:vAlign w:val="center"/>
          </w:tcPr>
          <w:p w:rsidR="00D610E5" w:rsidP="0010214E" w:rsidRDefault="00D610E5" w14:paraId="76D5505D" w14:textId="77777777">
            <w:pPr>
              <w:pStyle w:val="BodyText"/>
              <w:rPr>
                <w:sz w:val="20"/>
              </w:rPr>
            </w:pPr>
            <w:r w:rsidRPr="00A13C25">
              <w:rPr>
                <w:sz w:val="20"/>
              </w:rPr>
              <w:t>Administer as a separate injection within 12 hours after birth at the same time</w:t>
            </w:r>
            <w:r>
              <w:rPr>
                <w:sz w:val="20"/>
              </w:rPr>
              <w:t xml:space="preserve"> as the hepatitis B vaccine (</w:t>
            </w:r>
            <w:r w:rsidRPr="00A13C25">
              <w:rPr>
                <w:sz w:val="20"/>
              </w:rPr>
              <w:t>should be given in the other thigh</w:t>
            </w:r>
            <w:r>
              <w:rPr>
                <w:sz w:val="20"/>
              </w:rPr>
              <w:t>).</w:t>
            </w:r>
            <w:r w:rsidRPr="00A13C25">
              <w:rPr>
                <w:sz w:val="20"/>
              </w:rPr>
              <w:br/>
            </w:r>
            <w:r w:rsidRPr="00A13C25">
              <w:rPr>
                <w:sz w:val="20"/>
              </w:rPr>
              <w:t>Efficacy decreases &gt;</w:t>
            </w:r>
            <w:r>
              <w:rPr>
                <w:sz w:val="20"/>
              </w:rPr>
              <w:t xml:space="preserve"> </w:t>
            </w:r>
            <w:r w:rsidRPr="00A13C25">
              <w:rPr>
                <w:sz w:val="20"/>
              </w:rPr>
              <w:t>48 hours from birth</w:t>
            </w:r>
            <w:r>
              <w:rPr>
                <w:sz w:val="20"/>
              </w:rPr>
              <w:t>.</w:t>
            </w:r>
            <w:r w:rsidRPr="00A13C25">
              <w:rPr>
                <w:sz w:val="20"/>
              </w:rPr>
              <w:br/>
            </w:r>
            <w:r w:rsidRPr="00A13C25">
              <w:rPr>
                <w:sz w:val="20"/>
              </w:rPr>
              <w:t>DO NOT ADMINISTER IV because of the risk of serious systemic reactions.</w:t>
            </w:r>
          </w:p>
          <w:p w:rsidR="00D610E5" w:rsidP="0010214E" w:rsidRDefault="00D610E5" w14:paraId="7078FF16" w14:textId="77777777">
            <w:pPr>
              <w:pStyle w:val="BodyText"/>
              <w:rPr>
                <w:rFonts w:cs="Arial"/>
                <w:sz w:val="20"/>
              </w:rPr>
            </w:pPr>
            <w:r w:rsidRPr="0031622D">
              <w:rPr>
                <w:rFonts w:cs="Arial"/>
                <w:sz w:val="20"/>
              </w:rPr>
              <w:t>Record details of the vaccination in patient's Personal Health Record ("Blue Book")</w:t>
            </w:r>
            <w:r>
              <w:rPr>
                <w:rFonts w:cs="Arial"/>
                <w:sz w:val="20"/>
              </w:rPr>
              <w:t>.</w:t>
            </w:r>
          </w:p>
          <w:p w:rsidR="00D610E5" w:rsidP="0010214E" w:rsidRDefault="00D610E5" w14:paraId="6CDEE035" w14:textId="77777777">
            <w:pPr>
              <w:pStyle w:val="BodyText"/>
              <w:rPr>
                <w:rFonts w:cs="Arial"/>
                <w:sz w:val="20"/>
              </w:rPr>
            </w:pPr>
            <w:r>
              <w:rPr>
                <w:rFonts w:cs="Arial"/>
                <w:sz w:val="20"/>
              </w:rPr>
              <w:t>Record batch number</w:t>
            </w:r>
            <w:r w:rsidRPr="0031622D">
              <w:rPr>
                <w:rFonts w:cs="Arial"/>
                <w:sz w:val="20"/>
              </w:rPr>
              <w:t xml:space="preserve"> on the medication chart</w:t>
            </w:r>
            <w:r>
              <w:rPr>
                <w:rFonts w:cs="Arial"/>
                <w:sz w:val="20"/>
              </w:rPr>
              <w:t>.</w:t>
            </w:r>
          </w:p>
          <w:p w:rsidRPr="00A13C25" w:rsidR="00D610E5" w:rsidP="0010214E" w:rsidRDefault="00D610E5" w14:paraId="3D4C3CC7" w14:textId="77777777">
            <w:pPr>
              <w:pStyle w:val="BodyText"/>
              <w:rPr>
                <w:rFonts w:cs="Arial"/>
                <w:sz w:val="20"/>
              </w:rPr>
            </w:pPr>
            <w:r>
              <w:rPr>
                <w:rFonts w:cs="Arial"/>
                <w:sz w:val="20"/>
              </w:rPr>
              <w:t>Record i</w:t>
            </w:r>
            <w:r w:rsidRPr="0031622D">
              <w:rPr>
                <w:rFonts w:cs="Arial"/>
                <w:sz w:val="20"/>
              </w:rPr>
              <w:t>njection</w:t>
            </w:r>
            <w:r>
              <w:rPr>
                <w:rFonts w:cs="Arial"/>
                <w:sz w:val="20"/>
              </w:rPr>
              <w:t xml:space="preserve"> sites</w:t>
            </w:r>
            <w:r w:rsidRPr="0031622D">
              <w:rPr>
                <w:rFonts w:cs="Arial"/>
                <w:sz w:val="20"/>
              </w:rPr>
              <w:t xml:space="preserve"> of concurrently administered vaccines to allow any local reactions to be attributed to the</w:t>
            </w:r>
            <w:r>
              <w:rPr>
                <w:rFonts w:cs="Arial"/>
                <w:sz w:val="20"/>
              </w:rPr>
              <w:t xml:space="preserve"> appropriate antigen.</w:t>
            </w:r>
          </w:p>
        </w:tc>
      </w:tr>
      <w:tr w:rsidRPr="003A7895" w:rsidR="00273A16" w:rsidTr="77BEE3D0" w14:paraId="33BEDF62" w14:textId="77777777">
        <w:trPr>
          <w:trHeight w:val="407"/>
        </w:trPr>
        <w:tc>
          <w:tcPr>
            <w:tcW w:w="2410" w:type="dxa"/>
          </w:tcPr>
          <w:p w:rsidRPr="003A7895" w:rsidR="00D610E5" w:rsidP="77BEE3D0" w:rsidRDefault="55AB71D8" w14:paraId="7A4798C8" w14:textId="77777777">
            <w:pPr>
              <w:pStyle w:val="BodyText"/>
              <w:rPr>
                <w:rFonts w:cs="Arial"/>
                <w:b/>
                <w:bCs/>
                <w:sz w:val="20"/>
              </w:rPr>
            </w:pPr>
            <w:r w:rsidRPr="77BEE3D0">
              <w:rPr>
                <w:rFonts w:cs="Arial"/>
                <w:b/>
                <w:bCs/>
                <w:sz w:val="20"/>
              </w:rPr>
              <w:t xml:space="preserve">Monitoring                              </w:t>
            </w:r>
          </w:p>
          <w:p w:rsidRPr="003A7895" w:rsidR="00D610E5" w:rsidP="77BEE3D0" w:rsidRDefault="00D610E5" w14:paraId="27BD2CD0" w14:textId="77777777">
            <w:pPr>
              <w:pStyle w:val="BodyText"/>
              <w:rPr>
                <w:rFonts w:cs="Arial"/>
                <w:sz w:val="20"/>
              </w:rPr>
            </w:pPr>
          </w:p>
        </w:tc>
        <w:tc>
          <w:tcPr>
            <w:tcW w:w="7967" w:type="dxa"/>
          </w:tcPr>
          <w:p w:rsidRPr="00A13C25" w:rsidR="00D610E5" w:rsidP="0010214E" w:rsidRDefault="00D610E5" w14:paraId="1F6D00A8" w14:textId="77777777">
            <w:pPr>
              <w:pStyle w:val="BodyText"/>
              <w:rPr>
                <w:rFonts w:cs="Arial"/>
                <w:sz w:val="20"/>
              </w:rPr>
            </w:pPr>
            <w:r>
              <w:rPr>
                <w:sz w:val="20"/>
              </w:rPr>
              <w:t>Monitor injection site.</w:t>
            </w:r>
            <w:r>
              <w:rPr>
                <w:sz w:val="20"/>
              </w:rPr>
              <w:br/>
            </w:r>
            <w:r>
              <w:rPr>
                <w:sz w:val="20"/>
              </w:rPr>
              <w:t>Hepatitis B surface antibodies (anti-HBs) and HBsAg concentrations</w:t>
            </w:r>
            <w:r w:rsidRPr="00A13C25">
              <w:rPr>
                <w:sz w:val="20"/>
              </w:rPr>
              <w:t xml:space="preserve"> should be measured in infants born to mothers with chronic hepatitis B infection 3 to 12 months after completing the primary vaccine course. Testing should not be performed before 9 months of age to avoid detection</w:t>
            </w:r>
            <w:r>
              <w:rPr>
                <w:sz w:val="20"/>
              </w:rPr>
              <w:t xml:space="preserve"> of anti-HBs from hepatitis B immunoglobulin</w:t>
            </w:r>
            <w:r w:rsidRPr="00A13C25">
              <w:rPr>
                <w:sz w:val="20"/>
              </w:rPr>
              <w:t xml:space="preserve"> given</w:t>
            </w:r>
            <w:r>
              <w:rPr>
                <w:sz w:val="20"/>
              </w:rPr>
              <w:t xml:space="preserve"> at birth. If anti-HBs </w:t>
            </w:r>
            <w:r w:rsidRPr="00A13C25">
              <w:rPr>
                <w:sz w:val="20"/>
              </w:rPr>
              <w:t>levels are adequate (≥</w:t>
            </w:r>
            <w:r>
              <w:rPr>
                <w:sz w:val="20"/>
              </w:rPr>
              <w:t xml:space="preserve"> 10 mUnit</w:t>
            </w:r>
            <w:r w:rsidRPr="00A13C25">
              <w:rPr>
                <w:sz w:val="20"/>
              </w:rPr>
              <w:t>/mL) and HBsAg is negative, then the infant is considered to be protected.</w:t>
            </w:r>
          </w:p>
        </w:tc>
      </w:tr>
      <w:tr w:rsidRPr="003A7895" w:rsidR="00273A16" w:rsidTr="77BEE3D0" w14:paraId="4951485F" w14:textId="77777777">
        <w:trPr>
          <w:trHeight w:val="627"/>
        </w:trPr>
        <w:tc>
          <w:tcPr>
            <w:tcW w:w="2410" w:type="dxa"/>
          </w:tcPr>
          <w:p w:rsidRPr="003A7895" w:rsidR="00D610E5" w:rsidP="77BEE3D0" w:rsidRDefault="55AB71D8" w14:paraId="3C8C8ED7" w14:textId="77777777">
            <w:pPr>
              <w:pStyle w:val="BodyText"/>
              <w:rPr>
                <w:rFonts w:cs="Arial"/>
                <w:b/>
                <w:bCs/>
                <w:sz w:val="20"/>
              </w:rPr>
            </w:pPr>
            <w:r w:rsidRPr="77BEE3D0">
              <w:rPr>
                <w:rFonts w:cs="Arial"/>
                <w:b/>
                <w:bCs/>
                <w:sz w:val="20"/>
              </w:rPr>
              <w:t xml:space="preserve">Contraindications                           </w:t>
            </w:r>
          </w:p>
          <w:p w:rsidRPr="003A7895" w:rsidR="00D610E5" w:rsidP="77BEE3D0" w:rsidRDefault="00D610E5" w14:paraId="77509895" w14:textId="77777777">
            <w:pPr>
              <w:pStyle w:val="BodyText"/>
              <w:rPr>
                <w:rFonts w:cs="Arial"/>
                <w:sz w:val="20"/>
              </w:rPr>
            </w:pPr>
          </w:p>
        </w:tc>
        <w:tc>
          <w:tcPr>
            <w:tcW w:w="7967" w:type="dxa"/>
          </w:tcPr>
          <w:p w:rsidRPr="00A13C25" w:rsidR="00D610E5" w:rsidP="0010214E" w:rsidRDefault="00D610E5" w14:paraId="69FA7B18" w14:textId="77777777">
            <w:pPr>
              <w:pStyle w:val="BodyText"/>
              <w:rPr>
                <w:rFonts w:cs="Arial"/>
                <w:sz w:val="20"/>
              </w:rPr>
            </w:pPr>
            <w:r w:rsidRPr="00A13C25">
              <w:rPr>
                <w:sz w:val="20"/>
              </w:rPr>
              <w:t xml:space="preserve">Severe thrombocytopenia </w:t>
            </w:r>
            <w:r>
              <w:rPr>
                <w:sz w:val="20"/>
              </w:rPr>
              <w:t>or bleeding disorder.</w:t>
            </w:r>
            <w:r w:rsidRPr="00A13C25">
              <w:rPr>
                <w:sz w:val="20"/>
              </w:rPr>
              <w:br/>
            </w:r>
            <w:r w:rsidRPr="00A13C25">
              <w:rPr>
                <w:sz w:val="20"/>
              </w:rPr>
              <w:t>Isolated IgA deficiency</w:t>
            </w:r>
            <w:r>
              <w:rPr>
                <w:sz w:val="20"/>
              </w:rPr>
              <w:t>.</w:t>
            </w:r>
          </w:p>
        </w:tc>
      </w:tr>
      <w:tr w:rsidRPr="003A7895" w:rsidR="00273A16" w:rsidTr="77BEE3D0" w14:paraId="6AE50695" w14:textId="77777777">
        <w:trPr>
          <w:trHeight w:val="666"/>
        </w:trPr>
        <w:tc>
          <w:tcPr>
            <w:tcW w:w="2410" w:type="dxa"/>
          </w:tcPr>
          <w:p w:rsidRPr="003A7895" w:rsidR="00D610E5" w:rsidP="77BEE3D0" w:rsidRDefault="55AB71D8" w14:paraId="4E5239A1" w14:textId="77777777">
            <w:pPr>
              <w:pStyle w:val="BodyText"/>
              <w:rPr>
                <w:rFonts w:cs="Arial"/>
                <w:b/>
                <w:bCs/>
                <w:sz w:val="20"/>
              </w:rPr>
            </w:pPr>
            <w:r w:rsidRPr="77BEE3D0">
              <w:rPr>
                <w:rFonts w:cs="Arial"/>
                <w:b/>
                <w:bCs/>
                <w:sz w:val="20"/>
              </w:rPr>
              <w:t xml:space="preserve">Adverse Reactions         </w:t>
            </w:r>
          </w:p>
          <w:p w:rsidRPr="003A7895" w:rsidR="00D610E5" w:rsidP="77BEE3D0" w:rsidRDefault="00D610E5" w14:paraId="4379BC84" w14:textId="77777777">
            <w:pPr>
              <w:pStyle w:val="BodyText"/>
              <w:rPr>
                <w:rFonts w:cs="Arial"/>
                <w:b/>
                <w:bCs/>
                <w:sz w:val="20"/>
              </w:rPr>
            </w:pPr>
          </w:p>
        </w:tc>
        <w:tc>
          <w:tcPr>
            <w:tcW w:w="7967" w:type="dxa"/>
          </w:tcPr>
          <w:p w:rsidRPr="00A13C25" w:rsidR="00D610E5" w:rsidP="0010214E" w:rsidRDefault="00D610E5" w14:paraId="3041E46D" w14:textId="77777777">
            <w:pPr>
              <w:pStyle w:val="BodyText"/>
              <w:rPr>
                <w:rFonts w:cs="Arial"/>
                <w:sz w:val="20"/>
              </w:rPr>
            </w:pPr>
            <w:r w:rsidRPr="00A13C25">
              <w:rPr>
                <w:sz w:val="20"/>
              </w:rPr>
              <w:t>Local pain and tenderness at injection site.</w:t>
            </w:r>
            <w:r w:rsidRPr="00A13C25">
              <w:rPr>
                <w:sz w:val="20"/>
              </w:rPr>
              <w:br/>
            </w:r>
            <w:r w:rsidRPr="00A13C25">
              <w:rPr>
                <w:sz w:val="20"/>
              </w:rPr>
              <w:t>Systemic reactions are rare but may include urticaria, angioedema, erythema, low grade fever.</w:t>
            </w:r>
          </w:p>
        </w:tc>
      </w:tr>
      <w:tr w:rsidRPr="003A7895" w:rsidR="00273A16" w:rsidTr="77BEE3D0" w14:paraId="772AF560" w14:textId="77777777">
        <w:trPr>
          <w:trHeight w:val="371"/>
        </w:trPr>
        <w:tc>
          <w:tcPr>
            <w:tcW w:w="2410" w:type="dxa"/>
          </w:tcPr>
          <w:p w:rsidRPr="003A7895" w:rsidR="00D610E5" w:rsidP="77BEE3D0" w:rsidRDefault="55AB71D8" w14:paraId="6F3A6BED" w14:textId="77777777">
            <w:pPr>
              <w:pStyle w:val="BodyText"/>
              <w:rPr>
                <w:rFonts w:cs="Arial"/>
                <w:b/>
                <w:bCs/>
                <w:sz w:val="20"/>
              </w:rPr>
            </w:pPr>
            <w:r w:rsidRPr="77BEE3D0">
              <w:rPr>
                <w:rFonts w:cs="Arial"/>
                <w:b/>
                <w:bCs/>
                <w:sz w:val="20"/>
              </w:rPr>
              <w:t xml:space="preserve">Storage             </w:t>
            </w:r>
          </w:p>
        </w:tc>
        <w:tc>
          <w:tcPr>
            <w:tcW w:w="7967" w:type="dxa"/>
          </w:tcPr>
          <w:p w:rsidRPr="00A13C25" w:rsidR="00D610E5" w:rsidP="0010214E" w:rsidRDefault="00D610E5" w14:paraId="2F4B4F38" w14:textId="77777777">
            <w:pPr>
              <w:pStyle w:val="BodyText"/>
              <w:rPr>
                <w:rFonts w:cs="Arial"/>
                <w:sz w:val="20"/>
              </w:rPr>
            </w:pPr>
            <w:r w:rsidRPr="00A13C25">
              <w:rPr>
                <w:sz w:val="20"/>
              </w:rPr>
              <w:t xml:space="preserve">Store </w:t>
            </w:r>
            <w:r>
              <w:rPr>
                <w:sz w:val="20"/>
              </w:rPr>
              <w:t>between</w:t>
            </w:r>
            <w:r w:rsidRPr="00A13C25">
              <w:rPr>
                <w:sz w:val="20"/>
              </w:rPr>
              <w:t xml:space="preserve"> 2</w:t>
            </w:r>
            <w:r>
              <w:rPr>
                <w:sz w:val="20"/>
              </w:rPr>
              <w:t xml:space="preserve"> and </w:t>
            </w:r>
            <w:r w:rsidRPr="00A13C25">
              <w:rPr>
                <w:sz w:val="20"/>
              </w:rPr>
              <w:t>8°</w:t>
            </w:r>
            <w:r>
              <w:rPr>
                <w:sz w:val="20"/>
              </w:rPr>
              <w:t xml:space="preserve">C. </w:t>
            </w:r>
            <w:r w:rsidRPr="00A13C25">
              <w:rPr>
                <w:sz w:val="20"/>
              </w:rPr>
              <w:t>Do not freez</w:t>
            </w:r>
            <w:r>
              <w:rPr>
                <w:sz w:val="20"/>
              </w:rPr>
              <w:t xml:space="preserve">e. </w:t>
            </w:r>
            <w:r w:rsidRPr="00A13C25">
              <w:rPr>
                <w:sz w:val="20"/>
              </w:rPr>
              <w:t>Protect from light.</w:t>
            </w:r>
          </w:p>
        </w:tc>
      </w:tr>
      <w:tr w:rsidRPr="003A7895" w:rsidR="00273A16" w:rsidTr="77BEE3D0" w14:paraId="6CE4F49D" w14:textId="77777777">
        <w:trPr>
          <w:trHeight w:val="442"/>
        </w:trPr>
        <w:tc>
          <w:tcPr>
            <w:tcW w:w="2410" w:type="dxa"/>
          </w:tcPr>
          <w:p w:rsidRPr="003A7895" w:rsidR="00D610E5" w:rsidP="77BEE3D0" w:rsidRDefault="55AB71D8" w14:paraId="46146281" w14:textId="77777777">
            <w:pPr>
              <w:pStyle w:val="BodyText"/>
              <w:rPr>
                <w:rFonts w:cs="Arial"/>
                <w:b/>
                <w:bCs/>
                <w:sz w:val="20"/>
              </w:rPr>
            </w:pPr>
            <w:r w:rsidRPr="77BEE3D0">
              <w:rPr>
                <w:rFonts w:cs="Arial"/>
                <w:b/>
                <w:bCs/>
                <w:sz w:val="20"/>
              </w:rPr>
              <w:t xml:space="preserve">Special Comments  </w:t>
            </w:r>
          </w:p>
        </w:tc>
        <w:tc>
          <w:tcPr>
            <w:tcW w:w="7967" w:type="dxa"/>
          </w:tcPr>
          <w:p w:rsidRPr="00877605" w:rsidR="00877605" w:rsidP="00877605" w:rsidRDefault="00877605" w14:paraId="428367D7" w14:textId="77777777">
            <w:pPr>
              <w:pStyle w:val="BodyText"/>
              <w:rPr>
                <w:sz w:val="20"/>
              </w:rPr>
            </w:pPr>
            <w:r w:rsidRPr="00877605">
              <w:rPr>
                <w:sz w:val="20"/>
              </w:rPr>
              <w:t>Three subsequent doses of a multivalent/combination hepatitis B vaccine should be given</w:t>
            </w:r>
          </w:p>
          <w:p w:rsidRPr="00877605" w:rsidR="00877605" w:rsidP="00877605" w:rsidRDefault="00877605" w14:paraId="46336C76" w14:textId="77777777">
            <w:pPr>
              <w:pStyle w:val="BodyText"/>
              <w:rPr>
                <w:sz w:val="20"/>
              </w:rPr>
            </w:pPr>
            <w:r w:rsidRPr="00877605">
              <w:rPr>
                <w:sz w:val="20"/>
              </w:rPr>
              <w:t>at 6 weeks, 4 months and 6 months of age, so that the infant is given a total of 4 doses of</w:t>
            </w:r>
          </w:p>
          <w:p w:rsidRPr="00877605" w:rsidR="00877605" w:rsidP="00877605" w:rsidRDefault="00877605" w14:paraId="3DD4BE0A" w14:textId="77777777">
            <w:pPr>
              <w:pStyle w:val="BodyText"/>
              <w:rPr>
                <w:sz w:val="20"/>
              </w:rPr>
            </w:pPr>
            <w:r w:rsidRPr="00877605">
              <w:rPr>
                <w:sz w:val="20"/>
              </w:rPr>
              <w:t>hepatitis B-containing vaccines. For babies born at &lt;32 weeks gestation and/or &lt;2000g, a</w:t>
            </w:r>
          </w:p>
          <w:p w:rsidRPr="00877605" w:rsidR="00877605" w:rsidP="00877605" w:rsidRDefault="00877605" w14:paraId="258B50F0" w14:textId="77777777">
            <w:pPr>
              <w:pStyle w:val="BodyText"/>
              <w:rPr>
                <w:sz w:val="20"/>
              </w:rPr>
            </w:pPr>
            <w:r w:rsidRPr="00877605">
              <w:rPr>
                <w:sz w:val="20"/>
              </w:rPr>
              <w:t>booster dose is also given at 12 months unless serology confirms infant is protected (see</w:t>
            </w:r>
          </w:p>
          <w:p w:rsidRPr="00877605" w:rsidR="00877605" w:rsidP="00877605" w:rsidRDefault="00877605" w14:paraId="6CACCFB7" w14:textId="3F0A1F01">
            <w:pPr>
              <w:pStyle w:val="BodyText"/>
              <w:rPr>
                <w:sz w:val="20"/>
              </w:rPr>
            </w:pPr>
            <w:r w:rsidRPr="00877605">
              <w:rPr>
                <w:sz w:val="20"/>
              </w:rPr>
              <w:t>monitoring).</w:t>
            </w:r>
            <w:r w:rsidRPr="00494844" w:rsidR="00494844">
              <w:rPr>
                <w:sz w:val="20"/>
                <w:vertAlign w:val="superscript"/>
              </w:rPr>
              <w:t>1</w:t>
            </w:r>
          </w:p>
          <w:p w:rsidRPr="00877605" w:rsidR="00877605" w:rsidP="00877605" w:rsidRDefault="00877605" w14:paraId="3CA99917" w14:textId="78D7F891">
            <w:pPr>
              <w:pStyle w:val="BodyText"/>
              <w:rPr>
                <w:sz w:val="20"/>
              </w:rPr>
            </w:pPr>
            <w:r w:rsidRPr="00877605">
              <w:rPr>
                <w:sz w:val="20"/>
              </w:rPr>
              <w:t>Use cautiously in patients with thrombocytopenia, coagulopathy or bleeding disorders who</w:t>
            </w:r>
          </w:p>
          <w:p w:rsidRPr="00877605" w:rsidR="00877605" w:rsidP="00877605" w:rsidRDefault="00877605" w14:paraId="5162D9B3" w14:textId="77777777">
            <w:pPr>
              <w:pStyle w:val="BodyText"/>
              <w:rPr>
                <w:sz w:val="20"/>
              </w:rPr>
            </w:pPr>
            <w:r w:rsidRPr="00877605">
              <w:rPr>
                <w:sz w:val="20"/>
              </w:rPr>
              <w:t>may be at risk of haemorrhage from IM injection.</w:t>
            </w:r>
          </w:p>
          <w:p w:rsidRPr="0031622D" w:rsidR="00D610E5" w:rsidP="00877605" w:rsidRDefault="00877605" w14:paraId="1713C7CE" w14:textId="1067C4A5">
            <w:pPr>
              <w:pStyle w:val="BodyText"/>
              <w:rPr>
                <w:sz w:val="20"/>
              </w:rPr>
            </w:pPr>
            <w:r w:rsidRPr="00877605">
              <w:rPr>
                <w:sz w:val="20"/>
              </w:rPr>
              <w:t>If the mother has a known blood borne virus, clean the limbs prior to administration</w:t>
            </w:r>
          </w:p>
        </w:tc>
      </w:tr>
      <w:tr w:rsidRPr="003A7895" w:rsidR="00273A16" w:rsidTr="77BEE3D0" w14:paraId="6E345D17" w14:textId="77777777">
        <w:trPr>
          <w:trHeight w:val="413"/>
        </w:trPr>
        <w:tc>
          <w:tcPr>
            <w:tcW w:w="2410" w:type="dxa"/>
          </w:tcPr>
          <w:p w:rsidRPr="003A7895" w:rsidR="00D610E5" w:rsidP="77BEE3D0" w:rsidRDefault="55AB71D8" w14:paraId="26890F84" w14:textId="77777777">
            <w:pPr>
              <w:pStyle w:val="BodyText"/>
              <w:rPr>
                <w:rFonts w:cs="Arial"/>
                <w:b/>
                <w:bCs/>
                <w:sz w:val="20"/>
              </w:rPr>
            </w:pPr>
            <w:r w:rsidRPr="77BEE3D0">
              <w:rPr>
                <w:rFonts w:cs="Arial"/>
                <w:b/>
                <w:bCs/>
                <w:sz w:val="20"/>
              </w:rPr>
              <w:t>Evidence summary</w:t>
            </w:r>
          </w:p>
        </w:tc>
        <w:tc>
          <w:tcPr>
            <w:tcW w:w="7967" w:type="dxa"/>
          </w:tcPr>
          <w:p w:rsidR="00D610E5" w:rsidP="0010214E" w:rsidRDefault="0063567F" w14:paraId="128590E9" w14:textId="161BC965">
            <w:pPr>
              <w:pStyle w:val="BodyText"/>
              <w:rPr>
                <w:rFonts w:cs="Arial"/>
                <w:sz w:val="20"/>
              </w:rPr>
            </w:pPr>
            <w:r w:rsidRPr="0063567F">
              <w:rPr>
                <w:rFonts w:cs="Arial"/>
                <w:sz w:val="20"/>
              </w:rPr>
              <w:t>In a meta-analysis of three randomized trials, compared with placebo/no intervention, the combination of HepB vaccine and HBIG reduced HBV infection in infants born to HBsAg-positive women (4 versus 57 percent, relative risk [RR] 0.08, 95% CI 0.03-0.17)</w:t>
            </w:r>
            <w:r w:rsidRPr="001522CC" w:rsidR="001522CC">
              <w:rPr>
                <w:rFonts w:cs="Arial"/>
                <w:sz w:val="20"/>
                <w:vertAlign w:val="superscript"/>
              </w:rPr>
              <w:t>3</w:t>
            </w:r>
          </w:p>
          <w:p w:rsidR="005A6885" w:rsidP="0010214E" w:rsidRDefault="005A6885" w14:paraId="3BB8BB32" w14:textId="77777777">
            <w:pPr>
              <w:pStyle w:val="BodyText"/>
              <w:rPr>
                <w:rFonts w:cs="Arial"/>
                <w:sz w:val="20"/>
              </w:rPr>
            </w:pPr>
          </w:p>
          <w:p w:rsidRPr="00A13C25" w:rsidR="0063567F" w:rsidP="0010214E" w:rsidRDefault="005A6885" w14:paraId="732504C1" w14:textId="4387B0EC">
            <w:pPr>
              <w:pStyle w:val="BodyText"/>
              <w:rPr>
                <w:rFonts w:cs="Arial"/>
                <w:sz w:val="20"/>
              </w:rPr>
            </w:pPr>
            <w:r w:rsidRPr="005A6885">
              <w:rPr>
                <w:rFonts w:cs="Arial"/>
                <w:sz w:val="20"/>
              </w:rPr>
              <w:t>In prospective surveillance studies of infants born to women with HBV infection who received HBIG and HepB vaccine and had postvaccination serologic testing, perinatal HBV infection occurred in &lt;2 percent</w:t>
            </w:r>
            <w:r w:rsidR="00447179">
              <w:rPr>
                <w:rFonts w:cs="Arial"/>
                <w:sz w:val="20"/>
              </w:rPr>
              <w:t>.</w:t>
            </w:r>
            <w:r w:rsidRPr="005E6C5B" w:rsidR="005E6C5B">
              <w:rPr>
                <w:rFonts w:cs="Arial"/>
                <w:sz w:val="20"/>
                <w:vertAlign w:val="superscript"/>
              </w:rPr>
              <w:t>4</w:t>
            </w:r>
            <w:r w:rsidR="00CE1558">
              <w:rPr>
                <w:rFonts w:cs="Arial"/>
                <w:sz w:val="20"/>
                <w:vertAlign w:val="superscript"/>
              </w:rPr>
              <w:t>, 5</w:t>
            </w:r>
          </w:p>
        </w:tc>
      </w:tr>
      <w:tr w:rsidRPr="003A7895" w:rsidR="00273A16" w:rsidTr="77BEE3D0" w14:paraId="0966CC56" w14:textId="77777777">
        <w:trPr>
          <w:trHeight w:val="1101"/>
        </w:trPr>
        <w:tc>
          <w:tcPr>
            <w:tcW w:w="2410" w:type="dxa"/>
          </w:tcPr>
          <w:p w:rsidRPr="003A7895" w:rsidR="00D610E5" w:rsidP="77BEE3D0" w:rsidRDefault="55AB71D8" w14:paraId="69E43AA8" w14:textId="77777777">
            <w:pPr>
              <w:pStyle w:val="BodyText"/>
              <w:rPr>
                <w:rFonts w:cs="Arial"/>
                <w:b/>
                <w:bCs/>
                <w:sz w:val="20"/>
              </w:rPr>
            </w:pPr>
            <w:r w:rsidRPr="77BEE3D0">
              <w:rPr>
                <w:b/>
                <w:bCs/>
                <w:sz w:val="20"/>
              </w:rPr>
              <w:lastRenderedPageBreak/>
              <w:t>References</w:t>
            </w:r>
          </w:p>
        </w:tc>
        <w:tc>
          <w:tcPr>
            <w:tcW w:w="7967" w:type="dxa"/>
          </w:tcPr>
          <w:p w:rsidR="00B52C6F" w:rsidP="001B0E05" w:rsidRDefault="00D610E5" w14:paraId="290118E1" w14:textId="5F66BEBC">
            <w:pPr>
              <w:pStyle w:val="ListParagraph"/>
              <w:numPr>
                <w:ilvl w:val="0"/>
                <w:numId w:val="58"/>
              </w:numPr>
              <w:rPr>
                <w:sz w:val="20"/>
              </w:rPr>
            </w:pPr>
            <w:r w:rsidRPr="00B52C6F">
              <w:rPr>
                <w:sz w:val="20"/>
              </w:rPr>
              <w:t>The Australian Immunisation Handbook.</w:t>
            </w:r>
            <w:r w:rsidR="002A03C6">
              <w:rPr>
                <w:sz w:val="20"/>
              </w:rPr>
              <w:t xml:space="preserve"> </w:t>
            </w:r>
            <w:hyperlink w:history="1" r:id="rId39">
              <w:r w:rsidRPr="00C344D2" w:rsidR="002A03C6">
                <w:rPr>
                  <w:rStyle w:val="Hyperlink"/>
                  <w:sz w:val="20"/>
                </w:rPr>
                <w:t>https://immunisationhandbook.health.gov.au/about-the-handbook</w:t>
              </w:r>
            </w:hyperlink>
            <w:r w:rsidR="002A03C6">
              <w:rPr>
                <w:sz w:val="20"/>
              </w:rPr>
              <w:t xml:space="preserve">. </w:t>
            </w:r>
            <w:r w:rsidR="00F428DB">
              <w:rPr>
                <w:sz w:val="20"/>
              </w:rPr>
              <w:t xml:space="preserve">Accessed </w:t>
            </w:r>
            <w:r w:rsidR="002A03C6">
              <w:rPr>
                <w:sz w:val="20"/>
              </w:rPr>
              <w:t>15-12-2020</w:t>
            </w:r>
          </w:p>
          <w:p w:rsidRPr="00B52C6F" w:rsidR="00D610E5" w:rsidP="001B0E05" w:rsidRDefault="00D610E5" w14:paraId="6B57C097" w14:textId="02DFD359">
            <w:pPr>
              <w:pStyle w:val="ListParagraph"/>
              <w:numPr>
                <w:ilvl w:val="0"/>
                <w:numId w:val="58"/>
              </w:numPr>
              <w:rPr>
                <w:sz w:val="20"/>
              </w:rPr>
            </w:pPr>
            <w:r w:rsidRPr="00B52C6F">
              <w:rPr>
                <w:sz w:val="20"/>
              </w:rPr>
              <w:t xml:space="preserve">MIMS Australia, Hepatitis B Immunoglobulin-VF full product information (Accessed </w:t>
            </w:r>
            <w:r w:rsidR="005D24F2">
              <w:rPr>
                <w:sz w:val="20"/>
              </w:rPr>
              <w:t>15-12-2020</w:t>
            </w:r>
            <w:r w:rsidRPr="00B52C6F">
              <w:rPr>
                <w:sz w:val="20"/>
              </w:rPr>
              <w:t xml:space="preserve">). </w:t>
            </w:r>
          </w:p>
          <w:p w:rsidRPr="00B52C6F" w:rsidR="00B52C6F" w:rsidP="001B0E05" w:rsidRDefault="00B52C6F" w14:paraId="5D4C88AB" w14:textId="77777777">
            <w:pPr>
              <w:pStyle w:val="ListParagraph"/>
              <w:numPr>
                <w:ilvl w:val="0"/>
                <w:numId w:val="58"/>
              </w:numPr>
              <w:rPr>
                <w:sz w:val="20"/>
              </w:rPr>
            </w:pPr>
            <w:r w:rsidRPr="00B52C6F">
              <w:rPr>
                <w:sz w:val="20"/>
              </w:rPr>
              <w:t>Lee C, Gong Y, Brok J, et al. Hepatitis B immunisation for newborn infants of hepatitis B surface antigen-positive mothers. Cochrane Database Syst Rev 2006; :CD004790.</w:t>
            </w:r>
          </w:p>
          <w:p w:rsidRPr="00F9140D" w:rsidR="00F9140D" w:rsidP="001B0E05" w:rsidRDefault="00F9140D" w14:paraId="4897CA86" w14:textId="77777777">
            <w:pPr>
              <w:pStyle w:val="ListParagraph"/>
              <w:numPr>
                <w:ilvl w:val="0"/>
                <w:numId w:val="58"/>
              </w:numPr>
              <w:rPr>
                <w:sz w:val="20"/>
              </w:rPr>
            </w:pPr>
            <w:r w:rsidRPr="00F9140D">
              <w:rPr>
                <w:sz w:val="20"/>
              </w:rPr>
              <w:t>Schillie S, Walker T, Veselsky S, et al. Outcomes of infants born to women infected with hepatitis B. Pediatrics 2015; 135:e1141.</w:t>
            </w:r>
          </w:p>
          <w:p w:rsidRPr="00447179" w:rsidR="00B52C6F" w:rsidP="001B0E05" w:rsidRDefault="00447179" w14:paraId="4A3D3597" w14:textId="5A8B1C4E">
            <w:pPr>
              <w:pStyle w:val="ListParagraph"/>
              <w:numPr>
                <w:ilvl w:val="0"/>
                <w:numId w:val="58"/>
              </w:numPr>
              <w:rPr>
                <w:sz w:val="20"/>
              </w:rPr>
            </w:pPr>
            <w:r w:rsidRPr="00447179">
              <w:rPr>
                <w:sz w:val="20"/>
              </w:rPr>
              <w:t>Centers for Disease Control and Prevention (CDC). Postvaccination serologic testing results for infants aged ≤24 months exposed to hepatitis B virus at birth: United States, 2008-2011. MMWR Morb Mortal Wkly Rep 2012; 61:768.</w:t>
            </w:r>
          </w:p>
          <w:p w:rsidRPr="005C7DF3" w:rsidR="009F72D2" w:rsidP="0010214E" w:rsidRDefault="009F72D2" w14:paraId="73AB303F" w14:textId="2894B104">
            <w:pPr>
              <w:rPr>
                <w:sz w:val="20"/>
              </w:rPr>
            </w:pPr>
          </w:p>
        </w:tc>
      </w:tr>
    </w:tbl>
    <w:p w:rsidRPr="00E25790" w:rsidR="00115F48" w:rsidP="006F0321" w:rsidRDefault="00115F48" w14:paraId="347AD050" w14:textId="77777777"/>
    <w:p w:rsidRPr="00E25790" w:rsidR="00115F48" w:rsidP="006F0321" w:rsidRDefault="00115F48" w14:paraId="669652BE" w14:textId="77777777"/>
    <w:tbl>
      <w:tblPr>
        <w:tblW w:w="98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24"/>
        <w:gridCol w:w="5386"/>
      </w:tblGrid>
      <w:tr w:rsidRPr="00644251" w:rsidR="00E424B4" w:rsidTr="00A65F20" w14:paraId="2CC5E133" w14:textId="77777777">
        <w:tc>
          <w:tcPr>
            <w:tcW w:w="4424" w:type="dxa"/>
            <w:vAlign w:val="center"/>
          </w:tcPr>
          <w:p w:rsidRPr="00644251" w:rsidR="00F0393A" w:rsidP="00E525C7" w:rsidRDefault="00F0393A" w14:paraId="06751F4B" w14:textId="4DBEA785">
            <w:pPr>
              <w:rPr>
                <w:b/>
                <w:lang w:val="en-AU"/>
              </w:rPr>
            </w:pPr>
            <w:r w:rsidRPr="00644251">
              <w:rPr>
                <w:b/>
                <w:lang w:val="en-AU"/>
              </w:rPr>
              <w:t xml:space="preserve">Original version Date: </w:t>
            </w:r>
            <w:r>
              <w:rPr>
                <w:lang w:val="en-AU"/>
              </w:rPr>
              <w:t>8/8/2015</w:t>
            </w:r>
          </w:p>
        </w:tc>
        <w:tc>
          <w:tcPr>
            <w:tcW w:w="5386" w:type="dxa"/>
            <w:vAlign w:val="center"/>
          </w:tcPr>
          <w:p w:rsidRPr="00644251" w:rsidR="00F0393A" w:rsidP="00E525C7" w:rsidRDefault="00F0393A" w14:paraId="563E3D63" w14:textId="77777777">
            <w:pPr>
              <w:rPr>
                <w:b/>
                <w:lang w:val="en-AU"/>
              </w:rPr>
            </w:pPr>
            <w:r w:rsidRPr="00644251">
              <w:rPr>
                <w:b/>
                <w:lang w:val="en-AU"/>
              </w:rPr>
              <w:t>Author: NMF Consensus Group</w:t>
            </w:r>
            <w:r>
              <w:rPr>
                <w:b/>
                <w:lang w:val="en-AU"/>
              </w:rPr>
              <w:t>/TC</w:t>
            </w:r>
          </w:p>
        </w:tc>
      </w:tr>
      <w:tr w:rsidRPr="00644251" w:rsidR="00E424B4" w:rsidTr="00A65F20" w14:paraId="12987E56" w14:textId="77777777">
        <w:tc>
          <w:tcPr>
            <w:tcW w:w="4424" w:type="dxa"/>
            <w:vAlign w:val="center"/>
          </w:tcPr>
          <w:p w:rsidRPr="00644251" w:rsidR="00F0393A" w:rsidP="00E525C7" w:rsidRDefault="00F0393A" w14:paraId="3E5D1A06" w14:textId="77777777">
            <w:pPr>
              <w:rPr>
                <w:bCs/>
                <w:lang w:val="en-AU"/>
              </w:rPr>
            </w:pPr>
            <w:r w:rsidRPr="00644251">
              <w:rPr>
                <w:b/>
                <w:lang w:val="en-AU"/>
              </w:rPr>
              <w:t xml:space="preserve">Current Version number:  </w:t>
            </w:r>
            <w:r>
              <w:rPr>
                <w:lang w:val="en-AU"/>
              </w:rPr>
              <w:t>2</w:t>
            </w:r>
          </w:p>
        </w:tc>
        <w:tc>
          <w:tcPr>
            <w:tcW w:w="5386" w:type="dxa"/>
            <w:vAlign w:val="center"/>
          </w:tcPr>
          <w:p w:rsidRPr="00644251" w:rsidR="00F0393A" w:rsidP="00E525C7" w:rsidRDefault="00F0393A" w14:paraId="14BC3060" w14:textId="77777777">
            <w:pPr>
              <w:rPr>
                <w:lang w:val="en-AU"/>
              </w:rPr>
            </w:pPr>
            <w:r w:rsidRPr="00644251">
              <w:rPr>
                <w:b/>
                <w:lang w:val="en-AU"/>
              </w:rPr>
              <w:t>Current Version Date:</w:t>
            </w:r>
            <w:r w:rsidRPr="00644251">
              <w:rPr>
                <w:lang w:val="en-AU"/>
              </w:rPr>
              <w:t xml:space="preserve">  </w:t>
            </w:r>
            <w:r>
              <w:rPr>
                <w:lang w:val="en-AU"/>
              </w:rPr>
              <w:t>21</w:t>
            </w:r>
            <w:r w:rsidRPr="00644251">
              <w:rPr>
                <w:lang w:val="en-AU"/>
              </w:rPr>
              <w:t>/</w:t>
            </w:r>
            <w:r>
              <w:rPr>
                <w:lang w:val="en-AU"/>
              </w:rPr>
              <w:t>12</w:t>
            </w:r>
            <w:r w:rsidRPr="00644251">
              <w:rPr>
                <w:lang w:val="en-AU"/>
              </w:rPr>
              <w:t>/</w:t>
            </w:r>
            <w:r>
              <w:rPr>
                <w:lang w:val="en-AU"/>
              </w:rPr>
              <w:t>2020</w:t>
            </w:r>
          </w:p>
        </w:tc>
      </w:tr>
      <w:tr w:rsidRPr="00644251" w:rsidR="00E424B4" w:rsidTr="00A65F20" w14:paraId="6F66A5CF" w14:textId="77777777">
        <w:tc>
          <w:tcPr>
            <w:tcW w:w="4424" w:type="dxa"/>
            <w:vAlign w:val="center"/>
          </w:tcPr>
          <w:p w:rsidRPr="00644251" w:rsidR="00F0393A" w:rsidP="00E525C7" w:rsidRDefault="00F0393A" w14:paraId="7F336A34" w14:textId="47C58841">
            <w:pPr>
              <w:rPr>
                <w:lang w:val="en-AU"/>
              </w:rPr>
            </w:pPr>
            <w:r w:rsidRPr="00644251">
              <w:rPr>
                <w:b/>
                <w:lang w:val="en-AU"/>
              </w:rPr>
              <w:t xml:space="preserve">Risk Rating: </w:t>
            </w:r>
            <w:r w:rsidR="00326AD5">
              <w:rPr>
                <w:lang w:val="en-AU"/>
              </w:rPr>
              <w:t>Low</w:t>
            </w:r>
          </w:p>
        </w:tc>
        <w:tc>
          <w:tcPr>
            <w:tcW w:w="5386" w:type="dxa"/>
            <w:vAlign w:val="center"/>
          </w:tcPr>
          <w:p w:rsidRPr="00644251" w:rsidR="00F0393A" w:rsidP="00E525C7" w:rsidRDefault="00F0393A" w14:paraId="727E393C" w14:textId="1A897AB0">
            <w:pPr>
              <w:rPr>
                <w:lang w:val="en-AU"/>
              </w:rPr>
            </w:pPr>
            <w:r w:rsidRPr="00644251">
              <w:rPr>
                <w:b/>
                <w:lang w:val="en-AU"/>
              </w:rPr>
              <w:t xml:space="preserve">Due for Review: </w:t>
            </w:r>
            <w:r>
              <w:rPr>
                <w:lang w:val="en-AU"/>
              </w:rPr>
              <w:t>21</w:t>
            </w:r>
            <w:r w:rsidR="007D349A">
              <w:rPr>
                <w:lang w:val="en-AU"/>
              </w:rPr>
              <w:t>/</w:t>
            </w:r>
            <w:r>
              <w:rPr>
                <w:lang w:val="en-AU"/>
              </w:rPr>
              <w:t>12</w:t>
            </w:r>
            <w:r w:rsidR="007D349A">
              <w:rPr>
                <w:lang w:val="en-AU"/>
              </w:rPr>
              <w:t>/</w:t>
            </w:r>
            <w:r>
              <w:rPr>
                <w:lang w:val="en-AU"/>
              </w:rPr>
              <w:t>2025</w:t>
            </w:r>
          </w:p>
        </w:tc>
      </w:tr>
      <w:tr w:rsidRPr="00644251" w:rsidR="00E424B4" w:rsidTr="00A65F20" w14:paraId="71D8E0AC" w14:textId="77777777">
        <w:trPr>
          <w:trHeight w:val="344"/>
        </w:trPr>
        <w:tc>
          <w:tcPr>
            <w:tcW w:w="4424" w:type="dxa"/>
            <w:tcBorders>
              <w:bottom w:val="single" w:color="auto" w:sz="4" w:space="0"/>
            </w:tcBorders>
            <w:vAlign w:val="center"/>
          </w:tcPr>
          <w:p w:rsidRPr="00644251" w:rsidR="00F0393A" w:rsidP="00E525C7" w:rsidRDefault="00F0393A" w14:paraId="4FF3EF82" w14:textId="77777777">
            <w:pPr>
              <w:rPr>
                <w:b/>
                <w:lang w:val="en-AU"/>
              </w:rPr>
            </w:pPr>
            <w:r w:rsidRPr="00644251">
              <w:rPr>
                <w:b/>
                <w:lang w:val="en-AU"/>
              </w:rPr>
              <w:t xml:space="preserve">Approval by: </w:t>
            </w:r>
            <w:r>
              <w:rPr>
                <w:b/>
                <w:lang w:val="en-AU"/>
              </w:rPr>
              <w:t>DTC</w:t>
            </w:r>
          </w:p>
        </w:tc>
        <w:tc>
          <w:tcPr>
            <w:tcW w:w="5386" w:type="dxa"/>
            <w:tcBorders>
              <w:bottom w:val="single" w:color="auto" w:sz="4" w:space="0"/>
            </w:tcBorders>
            <w:vAlign w:val="center"/>
          </w:tcPr>
          <w:p w:rsidRPr="00644251" w:rsidR="00F0393A" w:rsidP="00E525C7" w:rsidRDefault="00F0393A" w14:paraId="5C382B10" w14:textId="46224B38">
            <w:pPr>
              <w:rPr>
                <w:b/>
                <w:lang w:val="en-AU"/>
              </w:rPr>
            </w:pPr>
            <w:r w:rsidRPr="00644251">
              <w:rPr>
                <w:b/>
                <w:lang w:val="en-AU"/>
              </w:rPr>
              <w:t>Approval Date:</w:t>
            </w:r>
            <w:r>
              <w:rPr>
                <w:b/>
                <w:lang w:val="en-AU"/>
              </w:rPr>
              <w:t xml:space="preserve"> </w:t>
            </w:r>
            <w:r w:rsidR="00260BC8">
              <w:rPr>
                <w:b/>
                <w:lang w:val="en-AU"/>
              </w:rPr>
              <w:t>APRIL 2021</w:t>
            </w:r>
          </w:p>
        </w:tc>
      </w:tr>
    </w:tbl>
    <w:p w:rsidRPr="00E25790" w:rsidR="00115F48" w:rsidP="006F0321" w:rsidRDefault="00115F48" w14:paraId="2FF14061"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B97D99" w14:paraId="04B66F92"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553F9EA8" w14:textId="77777777">
            <w:pPr>
              <w:pStyle w:val="Heading1"/>
            </w:pPr>
            <w:bookmarkStart w:name="_Toc495481121" w:id="304"/>
            <w:bookmarkStart w:name="_Toc495481247" w:id="305"/>
            <w:bookmarkStart w:name="_Toc495481372" w:id="306"/>
            <w:bookmarkStart w:name="_Toc495501553" w:id="307"/>
            <w:bookmarkStart w:name="_Toc38106859" w:id="308"/>
            <w:bookmarkStart w:name="_Toc75339984" w:id="309"/>
            <w:r w:rsidRPr="00E25790">
              <w:lastRenderedPageBreak/>
              <w:t>Hepatitis B Vaccine</w:t>
            </w:r>
            <w:bookmarkEnd w:id="304"/>
            <w:bookmarkEnd w:id="305"/>
            <w:bookmarkEnd w:id="306"/>
            <w:bookmarkEnd w:id="307"/>
            <w:bookmarkEnd w:id="308"/>
            <w:bookmarkEnd w:id="309"/>
            <w:r w:rsidRPr="00E25790">
              <w:fldChar w:fldCharType="begin"/>
            </w:r>
            <w:r w:rsidRPr="00E25790">
              <w:instrText>tc "Hepatitis B Vaccine" \l 0</w:instrText>
            </w:r>
            <w:r w:rsidRPr="00E25790">
              <w:fldChar w:fldCharType="end"/>
            </w:r>
          </w:p>
        </w:tc>
      </w:tr>
      <w:tr w:rsidRPr="00E25790" w:rsidR="00115F48" w:rsidTr="00B97D99" w14:paraId="1953DB4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65E2F407" w14:textId="25E77EEA">
            <w:r w:rsidRPr="00E25790">
              <w:t xml:space="preserve">Revision Date : </w:t>
            </w:r>
            <w:r w:rsidR="00037D8D">
              <w:t>21/12/2020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EB88F07" w14:textId="30CCFE8E">
            <w:r w:rsidRPr="00E25790">
              <w:t>Approved</w:t>
            </w:r>
            <w:r w:rsidRPr="00E25790" w:rsidR="00DF3C58">
              <w:t>:</w:t>
            </w:r>
            <w:r w:rsidRPr="00E25790">
              <w:t xml:space="preserve"> </w:t>
            </w:r>
            <w:r w:rsidR="00037D8D">
              <w:t>TC, KOH</w:t>
            </w:r>
          </w:p>
        </w:tc>
      </w:tr>
    </w:tbl>
    <w:p w:rsidRPr="00E25790" w:rsidR="00115F48" w:rsidP="006F0321" w:rsidRDefault="00115F48" w14:paraId="410F330A" w14:textId="77777777"/>
    <w:p w:rsidRPr="00E25790" w:rsidR="00115F48" w:rsidP="006F0321" w:rsidRDefault="00115F48" w14:paraId="4509D20E" w14:textId="77777777"/>
    <w:tbl>
      <w:tblPr>
        <w:tblW w:w="103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967"/>
      </w:tblGrid>
      <w:tr w:rsidRPr="003A7895" w:rsidR="00037D8D" w:rsidTr="77BEE3D0" w14:paraId="2D09799D" w14:textId="77777777">
        <w:tc>
          <w:tcPr>
            <w:tcW w:w="2410" w:type="dxa"/>
          </w:tcPr>
          <w:p w:rsidRPr="00F94278" w:rsidR="00037D8D" w:rsidP="77BEE3D0" w:rsidRDefault="079893BA" w14:paraId="40C4F8FC" w14:textId="77777777">
            <w:pPr>
              <w:pStyle w:val="BodyText"/>
              <w:tabs>
                <w:tab w:val="center" w:pos="1476"/>
              </w:tabs>
              <w:rPr>
                <w:rFonts w:cs="Arial"/>
                <w:b/>
                <w:bCs/>
                <w:sz w:val="20"/>
              </w:rPr>
            </w:pPr>
            <w:r w:rsidRPr="77BEE3D0">
              <w:rPr>
                <w:rFonts w:cs="Arial"/>
                <w:b/>
                <w:bCs/>
                <w:sz w:val="20"/>
              </w:rPr>
              <w:t>Alert</w:t>
            </w:r>
            <w:r w:rsidR="00037D8D">
              <w:tab/>
            </w:r>
          </w:p>
          <w:p w:rsidRPr="003A7895" w:rsidR="00037D8D" w:rsidP="77BEE3D0" w:rsidRDefault="079893BA" w14:paraId="5F90C3C5" w14:textId="77777777">
            <w:pPr>
              <w:pStyle w:val="BodyText"/>
              <w:tabs>
                <w:tab w:val="center" w:pos="1476"/>
              </w:tabs>
              <w:rPr>
                <w:rFonts w:cs="Arial"/>
                <w:b/>
                <w:bCs/>
                <w:sz w:val="20"/>
              </w:rPr>
            </w:pPr>
            <w:r w:rsidRPr="77BEE3D0">
              <w:rPr>
                <w:rFonts w:cs="Arial"/>
                <w:b/>
                <w:bCs/>
                <w:sz w:val="20"/>
              </w:rPr>
              <w:t xml:space="preserve"> </w:t>
            </w:r>
          </w:p>
        </w:tc>
        <w:tc>
          <w:tcPr>
            <w:tcW w:w="7967" w:type="dxa"/>
          </w:tcPr>
          <w:p w:rsidRPr="006D4AA5" w:rsidR="00037D8D" w:rsidP="00E525C7" w:rsidRDefault="00037D8D" w14:paraId="4FB34FCE" w14:textId="77777777">
            <w:pPr>
              <w:pStyle w:val="BodyText"/>
              <w:jc w:val="left"/>
              <w:rPr>
                <w:rFonts w:cs="Arial"/>
                <w:b/>
                <w:sz w:val="20"/>
              </w:rPr>
            </w:pPr>
            <w:r w:rsidRPr="006D4AA5">
              <w:rPr>
                <w:b/>
                <w:sz w:val="20"/>
              </w:rPr>
              <w:t>All neonates (preterm or term) born to hepatitis B positive mothers must be given a dose of hepatitis B vaccine AND hepatitis B immunoglobulin at birth.</w:t>
            </w:r>
          </w:p>
        </w:tc>
      </w:tr>
      <w:tr w:rsidRPr="003A7895" w:rsidR="00037D8D" w:rsidTr="77BEE3D0" w14:paraId="04544CB9" w14:textId="77777777">
        <w:trPr>
          <w:trHeight w:val="553"/>
        </w:trPr>
        <w:tc>
          <w:tcPr>
            <w:tcW w:w="2410" w:type="dxa"/>
          </w:tcPr>
          <w:p w:rsidRPr="003A7895" w:rsidR="00037D8D" w:rsidP="77BEE3D0" w:rsidRDefault="079893BA" w14:paraId="5F8B4577" w14:textId="77777777">
            <w:pPr>
              <w:pStyle w:val="BodyText"/>
              <w:rPr>
                <w:rFonts w:cs="Arial"/>
                <w:b/>
                <w:bCs/>
                <w:sz w:val="20"/>
              </w:rPr>
            </w:pPr>
            <w:r w:rsidRPr="77BEE3D0">
              <w:rPr>
                <w:rFonts w:cs="Arial"/>
                <w:b/>
                <w:bCs/>
                <w:sz w:val="20"/>
              </w:rPr>
              <w:t xml:space="preserve">Indication                         </w:t>
            </w:r>
          </w:p>
          <w:p w:rsidRPr="003A7895" w:rsidR="00037D8D" w:rsidP="77BEE3D0" w:rsidRDefault="00037D8D" w14:paraId="7CF4C05E" w14:textId="77777777">
            <w:pPr>
              <w:pStyle w:val="BodyText"/>
              <w:rPr>
                <w:rFonts w:cs="Arial"/>
                <w:sz w:val="20"/>
              </w:rPr>
            </w:pPr>
          </w:p>
        </w:tc>
        <w:tc>
          <w:tcPr>
            <w:tcW w:w="7967" w:type="dxa"/>
          </w:tcPr>
          <w:p w:rsidRPr="0082596A" w:rsidR="00037D8D" w:rsidP="00E525C7" w:rsidRDefault="00037D8D" w14:paraId="5484C3B1" w14:textId="77777777">
            <w:pPr>
              <w:rPr>
                <w:sz w:val="20"/>
              </w:rPr>
            </w:pPr>
            <w:r w:rsidRPr="0082596A">
              <w:rPr>
                <w:sz w:val="20"/>
              </w:rPr>
              <w:t>Primary immunisation of ALL infants against infection caus</w:t>
            </w:r>
            <w:r>
              <w:rPr>
                <w:sz w:val="20"/>
              </w:rPr>
              <w:t>ed by the hepatitis B virus</w:t>
            </w:r>
            <w:r w:rsidRPr="0082596A">
              <w:rPr>
                <w:sz w:val="20"/>
              </w:rPr>
              <w:t>.</w:t>
            </w:r>
          </w:p>
        </w:tc>
      </w:tr>
      <w:tr w:rsidRPr="003A7895" w:rsidR="00037D8D" w:rsidTr="77BEE3D0" w14:paraId="0F6CA9B4" w14:textId="77777777">
        <w:trPr>
          <w:trHeight w:val="561"/>
        </w:trPr>
        <w:tc>
          <w:tcPr>
            <w:tcW w:w="2410" w:type="dxa"/>
          </w:tcPr>
          <w:p w:rsidRPr="003A7895" w:rsidR="00037D8D" w:rsidP="77BEE3D0" w:rsidRDefault="079893BA" w14:paraId="31100C81" w14:textId="77777777">
            <w:pPr>
              <w:pStyle w:val="BodyText"/>
              <w:rPr>
                <w:rFonts w:cs="Arial"/>
                <w:b/>
                <w:bCs/>
                <w:sz w:val="20"/>
              </w:rPr>
            </w:pPr>
            <w:r w:rsidRPr="77BEE3D0">
              <w:rPr>
                <w:rFonts w:cs="Arial"/>
                <w:b/>
                <w:bCs/>
                <w:sz w:val="20"/>
              </w:rPr>
              <w:t>Action</w:t>
            </w:r>
          </w:p>
        </w:tc>
        <w:tc>
          <w:tcPr>
            <w:tcW w:w="7967" w:type="dxa"/>
          </w:tcPr>
          <w:p w:rsidRPr="0082596A" w:rsidR="00037D8D" w:rsidP="00E525C7" w:rsidRDefault="00037D8D" w14:paraId="4FBC8CA6" w14:textId="77777777">
            <w:pPr>
              <w:rPr>
                <w:rFonts w:cs="Arial"/>
                <w:sz w:val="20"/>
              </w:rPr>
            </w:pPr>
            <w:r w:rsidRPr="0082596A">
              <w:rPr>
                <w:sz w:val="20"/>
              </w:rPr>
              <w:t>Stimulates the production of antibodies to confer p</w:t>
            </w:r>
            <w:r>
              <w:rPr>
                <w:sz w:val="20"/>
              </w:rPr>
              <w:t>rotection against the</w:t>
            </w:r>
            <w:r w:rsidRPr="0082596A">
              <w:rPr>
                <w:sz w:val="20"/>
              </w:rPr>
              <w:t xml:space="preserve"> hepatitis B virus.</w:t>
            </w:r>
          </w:p>
        </w:tc>
      </w:tr>
      <w:tr w:rsidRPr="003A7895" w:rsidR="00037D8D" w:rsidTr="77BEE3D0" w14:paraId="51E5D73E" w14:textId="77777777">
        <w:trPr>
          <w:trHeight w:val="429"/>
        </w:trPr>
        <w:tc>
          <w:tcPr>
            <w:tcW w:w="2410" w:type="dxa"/>
          </w:tcPr>
          <w:p w:rsidRPr="003A7895" w:rsidR="00037D8D" w:rsidP="77BEE3D0" w:rsidRDefault="079893BA" w14:paraId="56B7195C" w14:textId="77777777">
            <w:pPr>
              <w:pStyle w:val="BodyText"/>
              <w:rPr>
                <w:rFonts w:cs="Arial"/>
                <w:sz w:val="20"/>
              </w:rPr>
            </w:pPr>
            <w:r w:rsidRPr="77BEE3D0">
              <w:rPr>
                <w:rFonts w:cs="Arial"/>
                <w:b/>
                <w:bCs/>
                <w:sz w:val="20"/>
              </w:rPr>
              <w:t xml:space="preserve">Drug Type                                   </w:t>
            </w:r>
          </w:p>
        </w:tc>
        <w:tc>
          <w:tcPr>
            <w:tcW w:w="7967" w:type="dxa"/>
          </w:tcPr>
          <w:p w:rsidRPr="0082596A" w:rsidR="00037D8D" w:rsidP="00E525C7" w:rsidRDefault="00037D8D" w14:paraId="4954B663" w14:textId="77777777">
            <w:pPr>
              <w:pStyle w:val="BodyText"/>
              <w:jc w:val="left"/>
              <w:rPr>
                <w:rFonts w:cs="Arial"/>
                <w:sz w:val="20"/>
              </w:rPr>
            </w:pPr>
            <w:r w:rsidRPr="0082596A">
              <w:rPr>
                <w:sz w:val="20"/>
              </w:rPr>
              <w:t>Vaccine</w:t>
            </w:r>
            <w:r>
              <w:rPr>
                <w:sz w:val="20"/>
              </w:rPr>
              <w:t>.</w:t>
            </w:r>
          </w:p>
        </w:tc>
      </w:tr>
      <w:tr w:rsidRPr="003A7895" w:rsidR="00037D8D" w:rsidTr="77BEE3D0" w14:paraId="32DE1CD2" w14:textId="77777777">
        <w:trPr>
          <w:trHeight w:val="405"/>
        </w:trPr>
        <w:tc>
          <w:tcPr>
            <w:tcW w:w="2410" w:type="dxa"/>
          </w:tcPr>
          <w:p w:rsidRPr="003A7895" w:rsidR="00037D8D" w:rsidP="77BEE3D0" w:rsidRDefault="079893BA" w14:paraId="797F5936" w14:textId="77777777">
            <w:pPr>
              <w:pStyle w:val="BodyText"/>
              <w:rPr>
                <w:rFonts w:cs="Arial"/>
                <w:b/>
                <w:bCs/>
                <w:sz w:val="20"/>
              </w:rPr>
            </w:pPr>
            <w:r w:rsidRPr="77BEE3D0">
              <w:rPr>
                <w:rFonts w:cs="Arial"/>
                <w:b/>
                <w:bCs/>
                <w:sz w:val="20"/>
              </w:rPr>
              <w:t xml:space="preserve">Trade Name                  </w:t>
            </w:r>
          </w:p>
        </w:tc>
        <w:tc>
          <w:tcPr>
            <w:tcW w:w="7967" w:type="dxa"/>
          </w:tcPr>
          <w:p w:rsidRPr="0082596A" w:rsidR="00037D8D" w:rsidP="00E525C7" w:rsidRDefault="00037D8D" w14:paraId="258E57D7" w14:textId="77777777">
            <w:pPr>
              <w:pStyle w:val="BodyText"/>
              <w:jc w:val="left"/>
              <w:rPr>
                <w:color w:val="000000"/>
                <w:sz w:val="20"/>
              </w:rPr>
            </w:pPr>
            <w:r>
              <w:rPr>
                <w:color w:val="000000"/>
                <w:sz w:val="20"/>
              </w:rPr>
              <w:t>H-B</w:t>
            </w:r>
            <w:r w:rsidRPr="0082596A">
              <w:rPr>
                <w:color w:val="000000"/>
                <w:sz w:val="20"/>
              </w:rPr>
              <w:t>-Vax-II</w:t>
            </w:r>
            <w:r>
              <w:rPr>
                <w:color w:val="000000"/>
                <w:sz w:val="20"/>
              </w:rPr>
              <w:t>− for</w:t>
            </w:r>
            <w:r w:rsidRPr="0082596A">
              <w:rPr>
                <w:color w:val="000000"/>
                <w:sz w:val="20"/>
              </w:rPr>
              <w:t xml:space="preserve"> immunisation</w:t>
            </w:r>
            <w:r>
              <w:rPr>
                <w:color w:val="000000"/>
                <w:sz w:val="20"/>
              </w:rPr>
              <w:t xml:space="preserve"> at birth.</w:t>
            </w:r>
          </w:p>
          <w:p w:rsidR="00037D8D" w:rsidP="00E525C7" w:rsidRDefault="00037D8D" w14:paraId="60CCAA3F" w14:textId="77777777">
            <w:pPr>
              <w:pStyle w:val="BodyText"/>
              <w:jc w:val="left"/>
              <w:rPr>
                <w:color w:val="000000"/>
                <w:sz w:val="20"/>
              </w:rPr>
            </w:pPr>
            <w:r>
              <w:rPr>
                <w:color w:val="000000"/>
                <w:sz w:val="20"/>
              </w:rPr>
              <w:t xml:space="preserve">Infanrix Hexa− </w:t>
            </w:r>
            <w:r w:rsidRPr="0082596A">
              <w:rPr>
                <w:color w:val="000000"/>
                <w:sz w:val="20"/>
              </w:rPr>
              <w:t xml:space="preserve">for </w:t>
            </w:r>
            <w:r>
              <w:rPr>
                <w:color w:val="000000"/>
                <w:sz w:val="20"/>
              </w:rPr>
              <w:t xml:space="preserve">immunisation at </w:t>
            </w:r>
            <w:r w:rsidRPr="0082596A">
              <w:rPr>
                <w:color w:val="000000"/>
                <w:sz w:val="20"/>
              </w:rPr>
              <w:t>2,</w:t>
            </w:r>
            <w:r>
              <w:rPr>
                <w:color w:val="000000"/>
                <w:sz w:val="20"/>
              </w:rPr>
              <w:t xml:space="preserve"> </w:t>
            </w:r>
            <w:r w:rsidRPr="0082596A">
              <w:rPr>
                <w:color w:val="000000"/>
                <w:sz w:val="20"/>
              </w:rPr>
              <w:t>4 and 6 month</w:t>
            </w:r>
            <w:r>
              <w:rPr>
                <w:color w:val="000000"/>
                <w:sz w:val="20"/>
              </w:rPr>
              <w:t>s of age.</w:t>
            </w:r>
          </w:p>
          <w:p w:rsidRPr="0082596A" w:rsidR="00037D8D" w:rsidP="00E525C7" w:rsidRDefault="00037D8D" w14:paraId="26AC163E" w14:textId="77777777">
            <w:pPr>
              <w:pStyle w:val="BodyText"/>
              <w:jc w:val="left"/>
              <w:rPr>
                <w:rFonts w:cs="Arial"/>
                <w:color w:val="000000"/>
                <w:sz w:val="20"/>
              </w:rPr>
            </w:pPr>
            <w:r>
              <w:rPr>
                <w:color w:val="000000"/>
                <w:sz w:val="20"/>
              </w:rPr>
              <w:t>Engerix-B− for immunisation at birth, 2, 4 and 6 months of age.</w:t>
            </w:r>
          </w:p>
        </w:tc>
      </w:tr>
      <w:tr w:rsidRPr="003A7895" w:rsidR="00037D8D" w:rsidTr="77BEE3D0" w14:paraId="20E4BA07" w14:textId="77777777">
        <w:trPr>
          <w:trHeight w:val="867"/>
        </w:trPr>
        <w:tc>
          <w:tcPr>
            <w:tcW w:w="2410" w:type="dxa"/>
          </w:tcPr>
          <w:p w:rsidRPr="003A7895" w:rsidR="00037D8D" w:rsidP="77BEE3D0" w:rsidRDefault="079893BA" w14:paraId="0E046508" w14:textId="77777777">
            <w:pPr>
              <w:pStyle w:val="BodyText"/>
              <w:rPr>
                <w:rFonts w:cs="Arial"/>
                <w:b/>
                <w:bCs/>
                <w:sz w:val="20"/>
              </w:rPr>
            </w:pPr>
            <w:r w:rsidRPr="77BEE3D0">
              <w:rPr>
                <w:rFonts w:cs="Arial"/>
                <w:b/>
                <w:bCs/>
                <w:sz w:val="20"/>
              </w:rPr>
              <w:t xml:space="preserve">Presentation </w:t>
            </w:r>
          </w:p>
        </w:tc>
        <w:tc>
          <w:tcPr>
            <w:tcW w:w="7967" w:type="dxa"/>
          </w:tcPr>
          <w:p w:rsidR="00037D8D" w:rsidP="00E525C7" w:rsidRDefault="00037D8D" w14:paraId="59A494FC" w14:textId="77777777">
            <w:pPr>
              <w:pStyle w:val="BodyText"/>
              <w:ind w:left="34"/>
              <w:jc w:val="left"/>
              <w:rPr>
                <w:color w:val="000000"/>
                <w:sz w:val="20"/>
              </w:rPr>
            </w:pPr>
            <w:r>
              <w:rPr>
                <w:color w:val="000000"/>
                <w:sz w:val="20"/>
              </w:rPr>
              <w:t xml:space="preserve">HB-Vax-II− 5 microg/0.5 mL </w:t>
            </w:r>
          </w:p>
          <w:p w:rsidR="00037D8D" w:rsidP="00E525C7" w:rsidRDefault="00037D8D" w14:paraId="19F4606A" w14:textId="77777777">
            <w:pPr>
              <w:pStyle w:val="BodyText"/>
              <w:ind w:left="34"/>
              <w:jc w:val="left"/>
              <w:rPr>
                <w:color w:val="000000"/>
                <w:sz w:val="20"/>
              </w:rPr>
            </w:pPr>
            <w:r>
              <w:rPr>
                <w:color w:val="000000"/>
                <w:sz w:val="20"/>
              </w:rPr>
              <w:t>Infanrix Hexa− 10 microg/0.5 mL</w:t>
            </w:r>
          </w:p>
          <w:p w:rsidRPr="0082596A" w:rsidR="00037D8D" w:rsidP="00E525C7" w:rsidRDefault="00037D8D" w14:paraId="4F238651" w14:textId="77777777">
            <w:pPr>
              <w:pStyle w:val="BodyText"/>
              <w:ind w:left="34"/>
              <w:jc w:val="left"/>
              <w:rPr>
                <w:rFonts w:cs="Arial"/>
                <w:color w:val="000000"/>
                <w:sz w:val="20"/>
              </w:rPr>
            </w:pPr>
            <w:r>
              <w:rPr>
                <w:color w:val="000000"/>
                <w:sz w:val="20"/>
              </w:rPr>
              <w:t>Engerix-B Thiomersal Free Paediatric Formulation− 10 microg/0.5 mL</w:t>
            </w:r>
          </w:p>
        </w:tc>
      </w:tr>
      <w:tr w:rsidRPr="003A7895" w:rsidR="00037D8D" w:rsidTr="77BEE3D0" w14:paraId="253067D4" w14:textId="77777777">
        <w:trPr>
          <w:trHeight w:val="4945"/>
        </w:trPr>
        <w:tc>
          <w:tcPr>
            <w:tcW w:w="2410" w:type="dxa"/>
          </w:tcPr>
          <w:p w:rsidRPr="003A7895" w:rsidR="00037D8D" w:rsidP="77BEE3D0" w:rsidRDefault="079893BA" w14:paraId="01C167E7" w14:textId="77777777">
            <w:pPr>
              <w:pStyle w:val="BodyText"/>
              <w:rPr>
                <w:rFonts w:cs="Arial"/>
                <w:b/>
                <w:bCs/>
                <w:sz w:val="20"/>
              </w:rPr>
            </w:pPr>
            <w:r w:rsidRPr="77BEE3D0">
              <w:rPr>
                <w:rFonts w:cs="Arial"/>
                <w:b/>
                <w:bCs/>
                <w:sz w:val="20"/>
              </w:rPr>
              <w:t xml:space="preserve">Dosage / Interval                           </w:t>
            </w:r>
          </w:p>
          <w:p w:rsidRPr="003A7895" w:rsidR="00037D8D" w:rsidP="77BEE3D0" w:rsidRDefault="00037D8D" w14:paraId="73BBB5B9" w14:textId="77777777">
            <w:pPr>
              <w:pStyle w:val="BodyText"/>
              <w:rPr>
                <w:rFonts w:cs="Arial"/>
                <w:sz w:val="20"/>
              </w:rPr>
            </w:pPr>
          </w:p>
        </w:tc>
        <w:tc>
          <w:tcPr>
            <w:tcW w:w="7967" w:type="dxa"/>
          </w:tcPr>
          <w:p w:rsidR="00037D8D" w:rsidP="00E525C7" w:rsidRDefault="00037D8D" w14:paraId="03376BE1" w14:textId="77777777">
            <w:pPr>
              <w:pStyle w:val="BodyText"/>
              <w:jc w:val="left"/>
              <w:rPr>
                <w:color w:val="000000"/>
                <w:sz w:val="20"/>
              </w:rPr>
            </w:pPr>
            <w:r>
              <w:rPr>
                <w:color w:val="000000"/>
                <w:sz w:val="20"/>
              </w:rPr>
              <w:t>0.5 mL IM.</w:t>
            </w:r>
          </w:p>
          <w:p w:rsidRPr="0082596A" w:rsidR="00037D8D" w:rsidP="00E525C7" w:rsidRDefault="00037D8D" w14:paraId="00324FEA" w14:textId="77777777">
            <w:pPr>
              <w:pStyle w:val="BodyText"/>
              <w:jc w:val="left"/>
              <w:rPr>
                <w:rFonts w:cs="Arial"/>
                <w:color w:val="000000"/>
                <w:sz w:val="20"/>
              </w:rPr>
            </w:pPr>
            <w:r w:rsidRPr="0082596A">
              <w:rPr>
                <w:color w:val="000000"/>
                <w:sz w:val="20"/>
              </w:rPr>
              <w:t xml:space="preserve">Should be given to all infants as soon as possible after birth. </w:t>
            </w:r>
            <w:r w:rsidRPr="0082596A">
              <w:rPr>
                <w:color w:val="000000"/>
                <w:sz w:val="20"/>
              </w:rPr>
              <w:br/>
            </w:r>
            <w:r w:rsidRPr="0082596A">
              <w:rPr>
                <w:color w:val="000000"/>
                <w:sz w:val="20"/>
              </w:rPr>
              <w:t xml:space="preserve">The greatest benefit is seen when the first dose is administered within 24 hours. </w:t>
            </w:r>
            <w:r w:rsidRPr="0082596A">
              <w:rPr>
                <w:color w:val="000000"/>
                <w:sz w:val="20"/>
              </w:rPr>
              <w:br/>
            </w:r>
            <w:r w:rsidRPr="0082596A">
              <w:rPr>
                <w:b/>
                <w:color w:val="000000"/>
                <w:sz w:val="20"/>
              </w:rPr>
              <w:t>The first dose must be given within 7 days</w:t>
            </w:r>
            <w:r w:rsidRPr="0082596A">
              <w:rPr>
                <w:color w:val="000000"/>
                <w:sz w:val="20"/>
              </w:rPr>
              <w:t xml:space="preserve">. </w:t>
            </w:r>
            <w:r w:rsidRPr="0082596A">
              <w:rPr>
                <w:color w:val="000000"/>
                <w:sz w:val="20"/>
              </w:rPr>
              <w:br/>
            </w:r>
            <w:r w:rsidRPr="0082596A">
              <w:rPr>
                <w:color w:val="000000"/>
                <w:sz w:val="20"/>
              </w:rPr>
              <w:t>A total of four doses shou</w:t>
            </w:r>
            <w:r>
              <w:rPr>
                <w:color w:val="000000"/>
                <w:sz w:val="20"/>
              </w:rPr>
              <w:t xml:space="preserve">ld be administered at either: </w:t>
            </w:r>
            <w:r>
              <w:rPr>
                <w:color w:val="000000"/>
                <w:sz w:val="20"/>
              </w:rPr>
              <w:br/>
            </w:r>
            <w:r>
              <w:rPr>
                <w:color w:val="000000"/>
                <w:sz w:val="20"/>
              </w:rPr>
              <w:t>−</w:t>
            </w:r>
            <w:r w:rsidRPr="0082596A">
              <w:rPr>
                <w:color w:val="000000"/>
                <w:sz w:val="20"/>
              </w:rPr>
              <w:t xml:space="preserve"> Birth, 2 mon</w:t>
            </w:r>
            <w:r>
              <w:rPr>
                <w:color w:val="000000"/>
                <w:sz w:val="20"/>
              </w:rPr>
              <w:t xml:space="preserve">ths, 4 months and 6 months OR </w:t>
            </w:r>
            <w:r>
              <w:rPr>
                <w:color w:val="000000"/>
                <w:sz w:val="20"/>
              </w:rPr>
              <w:br/>
            </w:r>
            <w:r>
              <w:rPr>
                <w:color w:val="000000"/>
                <w:sz w:val="20"/>
              </w:rPr>
              <w:t xml:space="preserve">− </w:t>
            </w:r>
            <w:r w:rsidRPr="0082596A">
              <w:rPr>
                <w:color w:val="000000"/>
                <w:sz w:val="20"/>
              </w:rPr>
              <w:t xml:space="preserve">Birth, 2 months, 4 months and 12 months </w:t>
            </w:r>
            <w:r w:rsidRPr="0082596A">
              <w:rPr>
                <w:color w:val="000000"/>
                <w:sz w:val="20"/>
              </w:rPr>
              <w:br/>
            </w:r>
            <w:r w:rsidRPr="0082596A">
              <w:rPr>
                <w:color w:val="000000"/>
                <w:sz w:val="20"/>
              </w:rPr>
              <w:br/>
            </w:r>
            <w:r w:rsidRPr="0082596A">
              <w:rPr>
                <w:color w:val="000000"/>
                <w:sz w:val="20"/>
              </w:rPr>
              <w:t>Babies born at &lt; 32 weeks gestation or with a birth weight &lt;</w:t>
            </w:r>
            <w:r>
              <w:rPr>
                <w:color w:val="000000"/>
                <w:sz w:val="20"/>
              </w:rPr>
              <w:t xml:space="preserve"> </w:t>
            </w:r>
            <w:r w:rsidRPr="0082596A">
              <w:rPr>
                <w:color w:val="000000"/>
                <w:sz w:val="20"/>
              </w:rPr>
              <w:t>2000</w:t>
            </w:r>
            <w:r>
              <w:rPr>
                <w:color w:val="000000"/>
                <w:sz w:val="20"/>
              </w:rPr>
              <w:t xml:space="preserve"> </w:t>
            </w:r>
            <w:r w:rsidRPr="0082596A">
              <w:rPr>
                <w:color w:val="000000"/>
                <w:sz w:val="20"/>
              </w:rPr>
              <w:t>g, are recommended to have their vaccine given at 0, 2, 4 and 6 months</w:t>
            </w:r>
            <w:r>
              <w:rPr>
                <w:color w:val="000000"/>
                <w:sz w:val="20"/>
              </w:rPr>
              <w:t xml:space="preserve"> of age and either: </w:t>
            </w:r>
            <w:r>
              <w:rPr>
                <w:color w:val="000000"/>
                <w:sz w:val="20"/>
              </w:rPr>
              <w:br/>
            </w:r>
            <w:r>
              <w:rPr>
                <w:color w:val="000000"/>
                <w:sz w:val="20"/>
              </w:rPr>
              <w:t>− Measure h</w:t>
            </w:r>
            <w:r w:rsidRPr="0082596A">
              <w:rPr>
                <w:color w:val="000000"/>
                <w:sz w:val="20"/>
              </w:rPr>
              <w:t>ep</w:t>
            </w:r>
            <w:r>
              <w:rPr>
                <w:color w:val="000000"/>
                <w:sz w:val="20"/>
              </w:rPr>
              <w:t>atitis B anti</w:t>
            </w:r>
            <w:r w:rsidRPr="0082596A">
              <w:rPr>
                <w:color w:val="000000"/>
                <w:sz w:val="20"/>
              </w:rPr>
              <w:t>bodies at 7 months of age and give a booster at 12 months of age if antibody titre is &lt;</w:t>
            </w:r>
            <w:r>
              <w:rPr>
                <w:color w:val="000000"/>
                <w:sz w:val="20"/>
              </w:rPr>
              <w:t xml:space="preserve"> </w:t>
            </w:r>
            <w:r w:rsidRPr="0082596A">
              <w:rPr>
                <w:color w:val="000000"/>
                <w:sz w:val="20"/>
              </w:rPr>
              <w:t>10</w:t>
            </w:r>
            <w:r>
              <w:rPr>
                <w:color w:val="000000"/>
                <w:sz w:val="20"/>
              </w:rPr>
              <w:t xml:space="preserve"> mUnits/mL OR </w:t>
            </w:r>
            <w:r>
              <w:rPr>
                <w:color w:val="000000"/>
                <w:sz w:val="20"/>
              </w:rPr>
              <w:br/>
            </w:r>
            <w:r>
              <w:rPr>
                <w:color w:val="000000"/>
                <w:sz w:val="20"/>
              </w:rPr>
              <w:t>−</w:t>
            </w:r>
            <w:r w:rsidRPr="0082596A">
              <w:rPr>
                <w:color w:val="000000"/>
                <w:sz w:val="20"/>
              </w:rPr>
              <w:t xml:space="preserve"> Give a booster at 12 months without measuring antibody titre. </w:t>
            </w:r>
            <w:r w:rsidRPr="0082596A">
              <w:rPr>
                <w:color w:val="000000"/>
                <w:sz w:val="20"/>
              </w:rPr>
              <w:br/>
            </w:r>
            <w:r w:rsidRPr="0082596A">
              <w:rPr>
                <w:color w:val="000000"/>
                <w:sz w:val="20"/>
              </w:rPr>
              <w:br/>
            </w:r>
            <w:r w:rsidRPr="0082596A">
              <w:rPr>
                <w:color w:val="000000"/>
                <w:sz w:val="20"/>
              </w:rPr>
              <w:t xml:space="preserve">Record </w:t>
            </w:r>
            <w:r>
              <w:rPr>
                <w:color w:val="000000"/>
                <w:sz w:val="20"/>
              </w:rPr>
              <w:t>details of vaccination in patient</w:t>
            </w:r>
            <w:r w:rsidRPr="0082596A">
              <w:rPr>
                <w:color w:val="000000"/>
                <w:sz w:val="20"/>
              </w:rPr>
              <w:t>'s Personal Health Record ('Blue Book') and complete Australian Community Immunisation Register records and complete a NSW Neonatal Hepatitis B Vacci</w:t>
            </w:r>
            <w:r>
              <w:rPr>
                <w:color w:val="000000"/>
                <w:sz w:val="20"/>
              </w:rPr>
              <w:t>nation Program F</w:t>
            </w:r>
            <w:r w:rsidRPr="0082596A">
              <w:rPr>
                <w:color w:val="000000"/>
                <w:sz w:val="20"/>
              </w:rPr>
              <w:t xml:space="preserve">orm. </w:t>
            </w:r>
            <w:r>
              <w:rPr>
                <w:color w:val="000000"/>
                <w:sz w:val="20"/>
              </w:rPr>
              <w:br/>
            </w:r>
            <w:r>
              <w:rPr>
                <w:color w:val="000000"/>
                <w:sz w:val="20"/>
              </w:rPr>
              <w:br/>
            </w:r>
            <w:r>
              <w:rPr>
                <w:color w:val="000000"/>
                <w:sz w:val="20"/>
              </w:rPr>
              <w:t>Record vaccine</w:t>
            </w:r>
            <w:r w:rsidRPr="0082596A">
              <w:rPr>
                <w:color w:val="000000"/>
                <w:sz w:val="20"/>
              </w:rPr>
              <w:t xml:space="preserve"> </w:t>
            </w:r>
            <w:r>
              <w:rPr>
                <w:color w:val="000000"/>
                <w:sz w:val="20"/>
              </w:rPr>
              <w:t xml:space="preserve">batch number </w:t>
            </w:r>
            <w:r w:rsidRPr="0082596A">
              <w:rPr>
                <w:color w:val="000000"/>
                <w:sz w:val="20"/>
              </w:rPr>
              <w:t>on</w:t>
            </w:r>
            <w:r>
              <w:rPr>
                <w:color w:val="000000"/>
                <w:sz w:val="20"/>
              </w:rPr>
              <w:t xml:space="preserve"> the</w:t>
            </w:r>
            <w:r w:rsidRPr="0082596A">
              <w:rPr>
                <w:color w:val="000000"/>
                <w:sz w:val="20"/>
              </w:rPr>
              <w:t xml:space="preserve"> medication chart.</w:t>
            </w:r>
          </w:p>
        </w:tc>
      </w:tr>
      <w:tr w:rsidRPr="003A7895" w:rsidR="00037D8D" w:rsidTr="77BEE3D0" w14:paraId="3DA0715B" w14:textId="77777777">
        <w:trPr>
          <w:trHeight w:val="386"/>
        </w:trPr>
        <w:tc>
          <w:tcPr>
            <w:tcW w:w="2410" w:type="dxa"/>
          </w:tcPr>
          <w:p w:rsidRPr="003A7895" w:rsidR="00037D8D" w:rsidP="77BEE3D0" w:rsidRDefault="079893BA" w14:paraId="4D0BF3BF" w14:textId="77777777">
            <w:pPr>
              <w:pStyle w:val="BodyText"/>
              <w:rPr>
                <w:rFonts w:cs="Arial"/>
                <w:sz w:val="20"/>
              </w:rPr>
            </w:pPr>
            <w:r w:rsidRPr="77BEE3D0">
              <w:rPr>
                <w:rFonts w:cs="Arial"/>
                <w:b/>
                <w:bCs/>
                <w:sz w:val="20"/>
              </w:rPr>
              <w:t xml:space="preserve">Route                                   </w:t>
            </w:r>
          </w:p>
        </w:tc>
        <w:tc>
          <w:tcPr>
            <w:tcW w:w="7967" w:type="dxa"/>
          </w:tcPr>
          <w:p w:rsidRPr="0082596A" w:rsidR="00037D8D" w:rsidP="00E525C7" w:rsidRDefault="00037D8D" w14:paraId="5E92B7C2" w14:textId="77777777">
            <w:pPr>
              <w:pStyle w:val="BodyText"/>
              <w:jc w:val="left"/>
              <w:rPr>
                <w:rFonts w:cs="Arial"/>
                <w:sz w:val="20"/>
              </w:rPr>
            </w:pPr>
            <w:r w:rsidRPr="0082596A">
              <w:rPr>
                <w:rFonts w:cs="Arial"/>
                <w:sz w:val="20"/>
              </w:rPr>
              <w:t xml:space="preserve">IM </w:t>
            </w:r>
          </w:p>
        </w:tc>
      </w:tr>
      <w:tr w:rsidRPr="003A7895" w:rsidR="00037D8D" w:rsidTr="77BEE3D0" w14:paraId="1CAAFA46" w14:textId="77777777">
        <w:trPr>
          <w:trHeight w:val="558"/>
        </w:trPr>
        <w:tc>
          <w:tcPr>
            <w:tcW w:w="2410" w:type="dxa"/>
          </w:tcPr>
          <w:p w:rsidRPr="003A7895" w:rsidR="00037D8D" w:rsidP="77BEE3D0" w:rsidRDefault="079893BA" w14:paraId="4F298EC4" w14:textId="77777777">
            <w:pPr>
              <w:pStyle w:val="BodyText"/>
              <w:rPr>
                <w:rFonts w:cs="Arial"/>
                <w:b/>
                <w:bCs/>
                <w:sz w:val="20"/>
              </w:rPr>
            </w:pPr>
            <w:r w:rsidRPr="77BEE3D0">
              <w:rPr>
                <w:rFonts w:cs="Arial"/>
                <w:b/>
                <w:bCs/>
                <w:sz w:val="20"/>
              </w:rPr>
              <w:t xml:space="preserve">Administration                 </w:t>
            </w:r>
          </w:p>
          <w:p w:rsidRPr="003A7895" w:rsidR="00037D8D" w:rsidP="77BEE3D0" w:rsidRDefault="00037D8D" w14:paraId="0856E5D3" w14:textId="77777777">
            <w:pPr>
              <w:pStyle w:val="BodyText"/>
              <w:rPr>
                <w:rFonts w:cs="Arial"/>
                <w:sz w:val="20"/>
              </w:rPr>
            </w:pPr>
          </w:p>
        </w:tc>
        <w:tc>
          <w:tcPr>
            <w:tcW w:w="7967" w:type="dxa"/>
            <w:vAlign w:val="center"/>
          </w:tcPr>
          <w:p w:rsidRPr="0082596A" w:rsidR="00037D8D" w:rsidP="00E525C7" w:rsidRDefault="00037D8D" w14:paraId="08BB835B" w14:textId="77777777">
            <w:pPr>
              <w:pStyle w:val="BodyText"/>
              <w:jc w:val="left"/>
              <w:rPr>
                <w:rFonts w:cs="Arial"/>
                <w:sz w:val="20"/>
              </w:rPr>
            </w:pPr>
            <w:r>
              <w:rPr>
                <w:sz w:val="20"/>
              </w:rPr>
              <w:t xml:space="preserve">IM injection.  </w:t>
            </w:r>
            <w:r w:rsidRPr="0082596A">
              <w:rPr>
                <w:sz w:val="20"/>
              </w:rPr>
              <w:t>S</w:t>
            </w:r>
            <w:r>
              <w:rPr>
                <w:sz w:val="20"/>
              </w:rPr>
              <w:t xml:space="preserve">hake well before use. </w:t>
            </w:r>
            <w:r>
              <w:rPr>
                <w:sz w:val="20"/>
              </w:rPr>
              <w:br/>
            </w:r>
            <w:r>
              <w:rPr>
                <w:sz w:val="20"/>
              </w:rPr>
              <w:t>Give</w:t>
            </w:r>
            <w:r w:rsidRPr="0082596A">
              <w:rPr>
                <w:sz w:val="20"/>
              </w:rPr>
              <w:t xml:space="preserve"> a</w:t>
            </w:r>
            <w:r>
              <w:rPr>
                <w:sz w:val="20"/>
              </w:rPr>
              <w:t>t a</w:t>
            </w:r>
            <w:r w:rsidRPr="0082596A">
              <w:rPr>
                <w:sz w:val="20"/>
              </w:rPr>
              <w:t xml:space="preserve"> separate site from other concurrently administered vaccines/IM injections.</w:t>
            </w:r>
          </w:p>
        </w:tc>
      </w:tr>
      <w:tr w:rsidRPr="003A7895" w:rsidR="00037D8D" w:rsidTr="77BEE3D0" w14:paraId="297824E3" w14:textId="77777777">
        <w:trPr>
          <w:trHeight w:val="407"/>
        </w:trPr>
        <w:tc>
          <w:tcPr>
            <w:tcW w:w="2410" w:type="dxa"/>
          </w:tcPr>
          <w:p w:rsidRPr="003A7895" w:rsidR="00037D8D" w:rsidP="77BEE3D0" w:rsidRDefault="079893BA" w14:paraId="66501C74" w14:textId="77777777">
            <w:pPr>
              <w:pStyle w:val="BodyText"/>
              <w:rPr>
                <w:rFonts w:cs="Arial"/>
                <w:b/>
                <w:bCs/>
                <w:sz w:val="20"/>
              </w:rPr>
            </w:pPr>
            <w:r w:rsidRPr="77BEE3D0">
              <w:rPr>
                <w:rFonts w:cs="Arial"/>
                <w:b/>
                <w:bCs/>
                <w:sz w:val="20"/>
              </w:rPr>
              <w:t xml:space="preserve">Monitoring                              </w:t>
            </w:r>
          </w:p>
          <w:p w:rsidRPr="003A7895" w:rsidR="00037D8D" w:rsidP="77BEE3D0" w:rsidRDefault="00037D8D" w14:paraId="2A6083DB" w14:textId="77777777">
            <w:pPr>
              <w:pStyle w:val="BodyText"/>
              <w:rPr>
                <w:rFonts w:cs="Arial"/>
                <w:sz w:val="20"/>
              </w:rPr>
            </w:pPr>
          </w:p>
        </w:tc>
        <w:tc>
          <w:tcPr>
            <w:tcW w:w="7967" w:type="dxa"/>
          </w:tcPr>
          <w:p w:rsidRPr="00F515ED" w:rsidR="00037D8D" w:rsidP="00E525C7" w:rsidRDefault="00037D8D" w14:paraId="53AF29BF" w14:textId="77777777">
            <w:pPr>
              <w:pStyle w:val="BodyText"/>
              <w:rPr>
                <w:sz w:val="20"/>
              </w:rPr>
            </w:pPr>
            <w:r w:rsidRPr="00F515ED">
              <w:rPr>
                <w:sz w:val="20"/>
              </w:rPr>
              <w:t>-HBsAgs and hepatitis B surface antibodies should be measured in infants born to mothers with</w:t>
            </w:r>
          </w:p>
          <w:p w:rsidRPr="00F515ED" w:rsidR="00037D8D" w:rsidP="00E525C7" w:rsidRDefault="00037D8D" w14:paraId="01E15F47" w14:textId="77777777">
            <w:pPr>
              <w:pStyle w:val="BodyText"/>
              <w:rPr>
                <w:sz w:val="20"/>
              </w:rPr>
            </w:pPr>
            <w:r w:rsidRPr="00F515ED">
              <w:rPr>
                <w:sz w:val="20"/>
              </w:rPr>
              <w:t>chronic HBV 3</w:t>
            </w:r>
            <w:r>
              <w:rPr>
                <w:sz w:val="20"/>
              </w:rPr>
              <w:t>-</w:t>
            </w:r>
            <w:r w:rsidRPr="00F515ED">
              <w:rPr>
                <w:sz w:val="20"/>
              </w:rPr>
              <w:t>12 months after completing the primary vaccine course</w:t>
            </w:r>
          </w:p>
          <w:p w:rsidRPr="00F515ED" w:rsidR="00037D8D" w:rsidP="00E525C7" w:rsidRDefault="00037D8D" w14:paraId="3E10E6EF" w14:textId="77777777">
            <w:pPr>
              <w:pStyle w:val="BodyText"/>
              <w:rPr>
                <w:sz w:val="20"/>
              </w:rPr>
            </w:pPr>
            <w:r w:rsidRPr="00F515ED">
              <w:rPr>
                <w:sz w:val="20"/>
              </w:rPr>
              <w:t>-Potential risk of apnoea in preterm infants particularly &lt;28 weeks of gestation when administering</w:t>
            </w:r>
            <w:r>
              <w:rPr>
                <w:sz w:val="20"/>
              </w:rPr>
              <w:t xml:space="preserve"> </w:t>
            </w:r>
            <w:r w:rsidRPr="00F515ED">
              <w:rPr>
                <w:sz w:val="20"/>
              </w:rPr>
              <w:t>primary immunisation series. Monitor cardiorespiratory status for 48</w:t>
            </w:r>
            <w:r>
              <w:rPr>
                <w:sz w:val="20"/>
              </w:rPr>
              <w:t>-</w:t>
            </w:r>
            <w:r w:rsidRPr="00F515ED">
              <w:rPr>
                <w:sz w:val="20"/>
              </w:rPr>
              <w:t>72 h post administration</w:t>
            </w:r>
          </w:p>
        </w:tc>
      </w:tr>
      <w:tr w:rsidRPr="003A7895" w:rsidR="00037D8D" w:rsidTr="77BEE3D0" w14:paraId="03F7C585" w14:textId="77777777">
        <w:trPr>
          <w:trHeight w:val="425"/>
        </w:trPr>
        <w:tc>
          <w:tcPr>
            <w:tcW w:w="2410" w:type="dxa"/>
          </w:tcPr>
          <w:p w:rsidRPr="003A7895" w:rsidR="00037D8D" w:rsidP="77BEE3D0" w:rsidRDefault="079893BA" w14:paraId="012BDC94" w14:textId="77777777">
            <w:pPr>
              <w:pStyle w:val="BodyText"/>
              <w:rPr>
                <w:rFonts w:cs="Arial"/>
                <w:b/>
                <w:bCs/>
                <w:sz w:val="20"/>
              </w:rPr>
            </w:pPr>
            <w:r w:rsidRPr="77BEE3D0">
              <w:rPr>
                <w:rFonts w:cs="Arial"/>
                <w:b/>
                <w:bCs/>
                <w:sz w:val="20"/>
              </w:rPr>
              <w:lastRenderedPageBreak/>
              <w:t xml:space="preserve">Contraindications                           </w:t>
            </w:r>
          </w:p>
          <w:p w:rsidRPr="003A7895" w:rsidR="00037D8D" w:rsidP="77BEE3D0" w:rsidRDefault="00037D8D" w14:paraId="0AB9D184" w14:textId="77777777">
            <w:pPr>
              <w:pStyle w:val="BodyText"/>
              <w:rPr>
                <w:rFonts w:cs="Arial"/>
                <w:sz w:val="20"/>
              </w:rPr>
            </w:pPr>
          </w:p>
        </w:tc>
        <w:tc>
          <w:tcPr>
            <w:tcW w:w="7967" w:type="dxa"/>
          </w:tcPr>
          <w:p w:rsidRPr="009D449B" w:rsidR="00037D8D" w:rsidP="00E525C7" w:rsidRDefault="00037D8D" w14:paraId="15A76DD4" w14:textId="77777777">
            <w:pPr>
              <w:pStyle w:val="BodyText"/>
              <w:rPr>
                <w:sz w:val="20"/>
              </w:rPr>
            </w:pPr>
            <w:r w:rsidRPr="009D449B">
              <w:rPr>
                <w:sz w:val="20"/>
              </w:rPr>
              <w:t>Serious allergic reaction (e.g. anaphylaxis) after previous vaccine dose or to a component of vaccine,</w:t>
            </w:r>
          </w:p>
          <w:p w:rsidRPr="009D449B" w:rsidR="00037D8D" w:rsidP="00E525C7" w:rsidRDefault="00037D8D" w14:paraId="532D17D2" w14:textId="77777777">
            <w:pPr>
              <w:pStyle w:val="BodyText"/>
              <w:jc w:val="left"/>
              <w:rPr>
                <w:sz w:val="20"/>
              </w:rPr>
            </w:pPr>
            <w:r w:rsidRPr="009D449B">
              <w:rPr>
                <w:sz w:val="20"/>
              </w:rPr>
              <w:t>including yeast</w:t>
            </w:r>
            <w:r>
              <w:rPr>
                <w:sz w:val="20"/>
              </w:rPr>
              <w:t>.</w:t>
            </w:r>
          </w:p>
        </w:tc>
      </w:tr>
      <w:tr w:rsidRPr="003A7895" w:rsidR="00037D8D" w:rsidTr="77BEE3D0" w14:paraId="0B8FF64A" w14:textId="77777777">
        <w:trPr>
          <w:trHeight w:val="426"/>
        </w:trPr>
        <w:tc>
          <w:tcPr>
            <w:tcW w:w="2410" w:type="dxa"/>
          </w:tcPr>
          <w:p w:rsidRPr="003A7895" w:rsidR="00037D8D" w:rsidP="77BEE3D0" w:rsidRDefault="079893BA" w14:paraId="5361429A" w14:textId="77777777">
            <w:pPr>
              <w:pStyle w:val="BodyText"/>
              <w:rPr>
                <w:rFonts w:cs="Arial"/>
                <w:b/>
                <w:bCs/>
                <w:sz w:val="20"/>
              </w:rPr>
            </w:pPr>
            <w:r w:rsidRPr="77BEE3D0">
              <w:rPr>
                <w:rFonts w:cs="Arial"/>
                <w:b/>
                <w:bCs/>
                <w:sz w:val="20"/>
              </w:rPr>
              <w:t xml:space="preserve">Adverse Reactions    </w:t>
            </w:r>
          </w:p>
          <w:p w:rsidRPr="003A7895" w:rsidR="00037D8D" w:rsidP="77BEE3D0" w:rsidRDefault="00037D8D" w14:paraId="5544EC21" w14:textId="77777777">
            <w:pPr>
              <w:pStyle w:val="BodyText"/>
              <w:rPr>
                <w:rFonts w:cs="Arial"/>
                <w:b/>
                <w:bCs/>
                <w:sz w:val="20"/>
              </w:rPr>
            </w:pPr>
          </w:p>
        </w:tc>
        <w:tc>
          <w:tcPr>
            <w:tcW w:w="7967" w:type="dxa"/>
          </w:tcPr>
          <w:p w:rsidRPr="00C200FB" w:rsidR="00037D8D" w:rsidP="00E525C7" w:rsidRDefault="00037D8D" w14:paraId="50239431" w14:textId="77777777">
            <w:pPr>
              <w:pStyle w:val="BodyText"/>
              <w:rPr>
                <w:sz w:val="20"/>
              </w:rPr>
            </w:pPr>
            <w:r w:rsidRPr="00C200FB">
              <w:rPr>
                <w:sz w:val="20"/>
              </w:rPr>
              <w:t>-Soreness at the injection site is common</w:t>
            </w:r>
          </w:p>
          <w:p w:rsidRPr="0082596A" w:rsidR="00037D8D" w:rsidP="00E525C7" w:rsidRDefault="00037D8D" w14:paraId="7FF8EC58" w14:textId="77777777">
            <w:pPr>
              <w:pStyle w:val="BodyText"/>
              <w:jc w:val="left"/>
              <w:rPr>
                <w:rFonts w:cs="Arial"/>
                <w:sz w:val="20"/>
              </w:rPr>
            </w:pPr>
            <w:r w:rsidRPr="00C200FB">
              <w:rPr>
                <w:sz w:val="20"/>
              </w:rPr>
              <w:t>-Fever greater than 37.7</w:t>
            </w:r>
            <w:r>
              <w:rPr>
                <w:sz w:val="20"/>
              </w:rPr>
              <w:t xml:space="preserve"> degree</w:t>
            </w:r>
            <w:r w:rsidRPr="00C200FB">
              <w:rPr>
                <w:sz w:val="20"/>
              </w:rPr>
              <w:t xml:space="preserve"> C occurs in 1%</w:t>
            </w:r>
            <w:r>
              <w:rPr>
                <w:sz w:val="20"/>
              </w:rPr>
              <w:t>-</w:t>
            </w:r>
            <w:r w:rsidRPr="00C200FB">
              <w:rPr>
                <w:sz w:val="20"/>
              </w:rPr>
              <w:t>6%</w:t>
            </w:r>
          </w:p>
        </w:tc>
      </w:tr>
      <w:tr w:rsidRPr="003A7895" w:rsidR="00037D8D" w:rsidTr="77BEE3D0" w14:paraId="528E579D" w14:textId="77777777">
        <w:trPr>
          <w:trHeight w:val="656"/>
        </w:trPr>
        <w:tc>
          <w:tcPr>
            <w:tcW w:w="2410" w:type="dxa"/>
          </w:tcPr>
          <w:p w:rsidRPr="003A7895" w:rsidR="00037D8D" w:rsidP="77BEE3D0" w:rsidRDefault="079893BA" w14:paraId="2CE83459" w14:textId="77777777">
            <w:pPr>
              <w:pStyle w:val="BodyText"/>
              <w:rPr>
                <w:rFonts w:cs="Arial"/>
                <w:b/>
                <w:bCs/>
                <w:sz w:val="20"/>
              </w:rPr>
            </w:pPr>
            <w:r w:rsidRPr="77BEE3D0">
              <w:rPr>
                <w:rFonts w:cs="Arial"/>
                <w:b/>
                <w:bCs/>
                <w:sz w:val="20"/>
              </w:rPr>
              <w:t xml:space="preserve">Storage             </w:t>
            </w:r>
          </w:p>
        </w:tc>
        <w:tc>
          <w:tcPr>
            <w:tcW w:w="7967" w:type="dxa"/>
          </w:tcPr>
          <w:p w:rsidRPr="0082596A" w:rsidR="00037D8D" w:rsidP="00E525C7" w:rsidRDefault="00037D8D" w14:paraId="632D0E66" w14:textId="77777777">
            <w:pPr>
              <w:pStyle w:val="BodyText"/>
              <w:jc w:val="left"/>
              <w:rPr>
                <w:rFonts w:cs="Arial"/>
                <w:sz w:val="20"/>
              </w:rPr>
            </w:pPr>
            <w:r>
              <w:rPr>
                <w:sz w:val="20"/>
              </w:rPr>
              <w:t xml:space="preserve">Store between 2 and </w:t>
            </w:r>
            <w:r w:rsidRPr="0082596A">
              <w:rPr>
                <w:sz w:val="20"/>
              </w:rPr>
              <w:t>8</w:t>
            </w:r>
            <w:r w:rsidRPr="00CC68E2">
              <w:rPr>
                <w:sz w:val="20"/>
              </w:rPr>
              <w:t>°</w:t>
            </w:r>
            <w:r w:rsidRPr="0082596A">
              <w:rPr>
                <w:sz w:val="20"/>
              </w:rPr>
              <w:t>C</w:t>
            </w:r>
            <w:r>
              <w:rPr>
                <w:sz w:val="20"/>
              </w:rPr>
              <w:t>.</w:t>
            </w:r>
            <w:r w:rsidRPr="0082596A">
              <w:rPr>
                <w:sz w:val="20"/>
              </w:rPr>
              <w:t xml:space="preserve"> Do NOT freeze as this reduces potency. Storage above or below the recomme</w:t>
            </w:r>
            <w:r>
              <w:rPr>
                <w:sz w:val="20"/>
              </w:rPr>
              <w:t>n</w:t>
            </w:r>
            <w:r w:rsidRPr="0082596A">
              <w:rPr>
                <w:sz w:val="20"/>
              </w:rPr>
              <w:t>ded temperature may decrease potency.</w:t>
            </w:r>
          </w:p>
        </w:tc>
      </w:tr>
      <w:tr w:rsidRPr="003A7895" w:rsidR="00037D8D" w:rsidTr="77BEE3D0" w14:paraId="575B84EF" w14:textId="77777777">
        <w:trPr>
          <w:trHeight w:val="532"/>
        </w:trPr>
        <w:tc>
          <w:tcPr>
            <w:tcW w:w="2410" w:type="dxa"/>
          </w:tcPr>
          <w:p w:rsidRPr="003A7895" w:rsidR="00037D8D" w:rsidP="77BEE3D0" w:rsidRDefault="079893BA" w14:paraId="39C405D7" w14:textId="77777777">
            <w:pPr>
              <w:pStyle w:val="BodyText"/>
              <w:rPr>
                <w:rFonts w:cs="Arial"/>
                <w:b/>
                <w:bCs/>
                <w:sz w:val="20"/>
              </w:rPr>
            </w:pPr>
            <w:r w:rsidRPr="77BEE3D0">
              <w:rPr>
                <w:rFonts w:cs="Arial"/>
                <w:b/>
                <w:bCs/>
                <w:sz w:val="20"/>
              </w:rPr>
              <w:t xml:space="preserve">Special Comments       </w:t>
            </w:r>
          </w:p>
          <w:p w:rsidRPr="003A7895" w:rsidR="00037D8D" w:rsidP="77BEE3D0" w:rsidRDefault="00037D8D" w14:paraId="3020E0D9" w14:textId="77777777">
            <w:pPr>
              <w:pStyle w:val="BodyText"/>
              <w:rPr>
                <w:rFonts w:cs="Arial"/>
                <w:b/>
                <w:bCs/>
                <w:sz w:val="20"/>
              </w:rPr>
            </w:pPr>
          </w:p>
        </w:tc>
        <w:tc>
          <w:tcPr>
            <w:tcW w:w="7967" w:type="dxa"/>
          </w:tcPr>
          <w:p w:rsidRPr="006D2D42" w:rsidR="00037D8D" w:rsidP="00E525C7" w:rsidRDefault="00037D8D" w14:paraId="785EB334" w14:textId="555FC6DF">
            <w:pPr>
              <w:autoSpaceDE w:val="0"/>
              <w:autoSpaceDN w:val="0"/>
              <w:adjustRightInd w:val="0"/>
              <w:rPr>
                <w:rFonts w:asciiTheme="minorHAnsi" w:hAnsiTheme="minorHAnsi" w:cstheme="minorHAnsi"/>
                <w:sz w:val="20"/>
                <w:lang w:val="en-AU" w:eastAsia="en-AU"/>
              </w:rPr>
            </w:pPr>
            <w:r w:rsidRPr="006D2D42">
              <w:rPr>
                <w:rFonts w:asciiTheme="minorHAnsi" w:hAnsiTheme="minorHAnsi" w:cstheme="minorHAnsi"/>
                <w:sz w:val="20"/>
                <w:lang w:val="en-AU" w:eastAsia="en-AU"/>
              </w:rPr>
              <w:t>-</w:t>
            </w:r>
            <w:r w:rsidR="00303C04">
              <w:rPr>
                <w:rFonts w:asciiTheme="minorHAnsi" w:hAnsiTheme="minorHAnsi" w:cstheme="minorHAnsi"/>
                <w:sz w:val="20"/>
                <w:lang w:val="en-AU" w:eastAsia="en-AU"/>
              </w:rPr>
              <w:t xml:space="preserve"> </w:t>
            </w:r>
            <w:r w:rsidRPr="006D2D42">
              <w:rPr>
                <w:rFonts w:asciiTheme="minorHAnsi" w:hAnsiTheme="minorHAnsi" w:cstheme="minorHAnsi"/>
                <w:sz w:val="20"/>
                <w:lang w:val="en-AU" w:eastAsia="en-AU"/>
              </w:rPr>
              <w:t xml:space="preserve">Postpone vaccination in significant acute illness or fever &gt;38.5 </w:t>
            </w:r>
            <w:r>
              <w:rPr>
                <w:rFonts w:asciiTheme="minorHAnsi" w:hAnsiTheme="minorHAnsi" w:cstheme="minorHAnsi"/>
                <w:sz w:val="20"/>
                <w:lang w:val="en-AU" w:eastAsia="en-AU"/>
              </w:rPr>
              <w:t xml:space="preserve"> degrees </w:t>
            </w:r>
            <w:r w:rsidRPr="006D2D42">
              <w:rPr>
                <w:rFonts w:asciiTheme="minorHAnsi" w:hAnsiTheme="minorHAnsi" w:cstheme="minorHAnsi"/>
                <w:sz w:val="20"/>
                <w:lang w:val="en-AU" w:eastAsia="en-AU"/>
              </w:rPr>
              <w:t>C</w:t>
            </w:r>
          </w:p>
          <w:p w:rsidRPr="006D2D42" w:rsidR="00037D8D" w:rsidP="00E525C7" w:rsidRDefault="00037D8D" w14:paraId="640DD1F1" w14:textId="77777777">
            <w:pPr>
              <w:autoSpaceDE w:val="0"/>
              <w:autoSpaceDN w:val="0"/>
              <w:adjustRightInd w:val="0"/>
              <w:rPr>
                <w:rFonts w:asciiTheme="minorHAnsi" w:hAnsiTheme="minorHAnsi" w:cstheme="minorHAnsi"/>
                <w:sz w:val="20"/>
                <w:lang w:val="en-AU" w:eastAsia="en-AU"/>
              </w:rPr>
            </w:pPr>
            <w:r w:rsidRPr="006D2D42">
              <w:rPr>
                <w:rFonts w:asciiTheme="minorHAnsi" w:hAnsiTheme="minorHAnsi" w:cstheme="minorHAnsi"/>
                <w:sz w:val="20"/>
                <w:lang w:val="en-AU" w:eastAsia="en-AU"/>
              </w:rPr>
              <w:t>-IM injections should not be given if there is severe thrombocytopenia or a coagulation disorder like</w:t>
            </w:r>
            <w:r>
              <w:rPr>
                <w:rFonts w:asciiTheme="minorHAnsi" w:hAnsiTheme="minorHAnsi" w:cstheme="minorHAnsi"/>
                <w:sz w:val="20"/>
                <w:lang w:val="en-AU" w:eastAsia="en-AU"/>
              </w:rPr>
              <w:t xml:space="preserve"> </w:t>
            </w:r>
            <w:r w:rsidRPr="006D2D42">
              <w:rPr>
                <w:rFonts w:asciiTheme="minorHAnsi" w:hAnsiTheme="minorHAnsi" w:cstheme="minorHAnsi"/>
                <w:sz w:val="20"/>
                <w:lang w:val="en-AU" w:eastAsia="en-AU"/>
              </w:rPr>
              <w:t>haemophilia</w:t>
            </w:r>
          </w:p>
          <w:p w:rsidR="00037D8D" w:rsidP="00E525C7" w:rsidRDefault="00037D8D" w14:paraId="013BF4BA" w14:textId="5AB463A6">
            <w:pPr>
              <w:autoSpaceDE w:val="0"/>
              <w:autoSpaceDN w:val="0"/>
              <w:adjustRightInd w:val="0"/>
              <w:rPr>
                <w:rFonts w:asciiTheme="minorHAnsi" w:hAnsiTheme="minorHAnsi" w:cstheme="minorHAnsi"/>
                <w:sz w:val="20"/>
                <w:lang w:val="en-AU" w:eastAsia="en-AU"/>
              </w:rPr>
            </w:pPr>
            <w:r w:rsidRPr="006D2D42">
              <w:rPr>
                <w:rFonts w:asciiTheme="minorHAnsi" w:hAnsiTheme="minorHAnsi" w:cstheme="minorHAnsi"/>
                <w:sz w:val="20"/>
                <w:lang w:val="en-AU" w:eastAsia="en-AU"/>
              </w:rPr>
              <w:t>-</w:t>
            </w:r>
            <w:r w:rsidR="00303C04">
              <w:rPr>
                <w:rFonts w:asciiTheme="minorHAnsi" w:hAnsiTheme="minorHAnsi" w:cstheme="minorHAnsi"/>
                <w:sz w:val="20"/>
                <w:lang w:val="en-AU" w:eastAsia="en-AU"/>
              </w:rPr>
              <w:t xml:space="preserve"> </w:t>
            </w:r>
            <w:r w:rsidRPr="006D2D42">
              <w:rPr>
                <w:rFonts w:asciiTheme="minorHAnsi" w:hAnsiTheme="minorHAnsi" w:cstheme="minorHAnsi"/>
                <w:sz w:val="20"/>
                <w:lang w:val="en-AU" w:eastAsia="en-AU"/>
              </w:rPr>
              <w:t>Use caution in latex sensitive individuals as tip caps of the pre-filled syringes may contain natural</w:t>
            </w:r>
            <w:r>
              <w:rPr>
                <w:rFonts w:asciiTheme="minorHAnsi" w:hAnsiTheme="minorHAnsi" w:cstheme="minorHAnsi"/>
                <w:sz w:val="20"/>
                <w:lang w:val="en-AU" w:eastAsia="en-AU"/>
              </w:rPr>
              <w:t xml:space="preserve"> </w:t>
            </w:r>
            <w:r w:rsidRPr="006D2D42">
              <w:rPr>
                <w:rFonts w:asciiTheme="minorHAnsi" w:hAnsiTheme="minorHAnsi" w:cstheme="minorHAnsi"/>
                <w:sz w:val="20"/>
                <w:lang w:val="en-AU" w:eastAsia="en-AU"/>
              </w:rPr>
              <w:t>rubber latex</w:t>
            </w:r>
          </w:p>
          <w:p w:rsidRPr="00C851AF" w:rsidR="00037D8D" w:rsidP="00E525C7" w:rsidRDefault="00037D8D" w14:paraId="742845CE" w14:textId="133D661D">
            <w:pPr>
              <w:autoSpaceDE w:val="0"/>
              <w:autoSpaceDN w:val="0"/>
              <w:adjustRightInd w:val="0"/>
              <w:rPr>
                <w:rFonts w:asciiTheme="minorHAnsi" w:hAnsiTheme="minorHAnsi" w:cstheme="minorHAnsi"/>
                <w:sz w:val="20"/>
                <w:lang w:val="en-AU" w:eastAsia="en-AU"/>
              </w:rPr>
            </w:pPr>
            <w:r w:rsidRPr="00C851AF">
              <w:rPr>
                <w:rFonts w:asciiTheme="minorHAnsi" w:hAnsiTheme="minorHAnsi" w:cstheme="minorHAnsi"/>
                <w:sz w:val="20"/>
                <w:lang w:val="en-AU" w:eastAsia="en-AU"/>
              </w:rPr>
              <w:t>- Efficacy of the HBV vaccine is measured by its ability to induce hepatitis B surface antibody (Hbs Ab)</w:t>
            </w:r>
            <w:r>
              <w:rPr>
                <w:rFonts w:asciiTheme="minorHAnsi" w:hAnsiTheme="minorHAnsi" w:cstheme="minorHAnsi"/>
                <w:sz w:val="20"/>
                <w:lang w:val="en-AU" w:eastAsia="en-AU"/>
              </w:rPr>
              <w:t xml:space="preserve"> </w:t>
            </w:r>
            <w:r w:rsidRPr="00C851AF">
              <w:rPr>
                <w:rFonts w:asciiTheme="minorHAnsi" w:hAnsiTheme="minorHAnsi" w:cstheme="minorHAnsi"/>
                <w:sz w:val="20"/>
                <w:lang w:val="en-AU" w:eastAsia="en-AU"/>
              </w:rPr>
              <w:t>at a titre of &gt;10 IU/L</w:t>
            </w:r>
            <w:r w:rsidR="008E4E10">
              <w:rPr>
                <w:rFonts w:asciiTheme="minorHAnsi" w:hAnsiTheme="minorHAnsi" w:cstheme="minorHAnsi"/>
                <w:sz w:val="20"/>
                <w:lang w:val="en-AU" w:eastAsia="en-AU"/>
              </w:rPr>
              <w:t>.</w:t>
            </w:r>
            <w:r w:rsidRPr="008E4E10" w:rsidR="008E4E10">
              <w:rPr>
                <w:rFonts w:asciiTheme="minorHAnsi" w:hAnsiTheme="minorHAnsi" w:cstheme="minorHAnsi"/>
                <w:sz w:val="20"/>
                <w:vertAlign w:val="superscript"/>
                <w:lang w:val="en-AU" w:eastAsia="en-AU"/>
              </w:rPr>
              <w:t>3</w:t>
            </w:r>
          </w:p>
          <w:p w:rsidRPr="00C851AF" w:rsidR="00037D8D" w:rsidP="00E525C7" w:rsidRDefault="00037D8D" w14:paraId="480ADF8E" w14:textId="77777777">
            <w:pPr>
              <w:autoSpaceDE w:val="0"/>
              <w:autoSpaceDN w:val="0"/>
              <w:adjustRightInd w:val="0"/>
              <w:rPr>
                <w:rFonts w:asciiTheme="minorHAnsi" w:hAnsiTheme="minorHAnsi" w:cstheme="minorHAnsi"/>
                <w:sz w:val="20"/>
                <w:lang w:val="en-AU" w:eastAsia="en-AU"/>
              </w:rPr>
            </w:pPr>
            <w:r w:rsidRPr="00C851AF">
              <w:rPr>
                <w:rFonts w:asciiTheme="minorHAnsi" w:hAnsiTheme="minorHAnsi" w:cstheme="minorHAnsi"/>
                <w:sz w:val="20"/>
                <w:lang w:val="en-AU" w:eastAsia="en-AU"/>
              </w:rPr>
              <w:t>- In healthy infants, 30%</w:t>
            </w:r>
            <w:r>
              <w:rPr>
                <w:rFonts w:asciiTheme="minorHAnsi" w:hAnsiTheme="minorHAnsi" w:cstheme="minorHAnsi"/>
                <w:sz w:val="20"/>
                <w:lang w:val="en-AU" w:eastAsia="en-AU"/>
              </w:rPr>
              <w:t>-</w:t>
            </w:r>
            <w:r w:rsidRPr="00C851AF">
              <w:rPr>
                <w:rFonts w:asciiTheme="minorHAnsi" w:hAnsiTheme="minorHAnsi" w:cstheme="minorHAnsi"/>
                <w:sz w:val="20"/>
                <w:lang w:val="en-AU" w:eastAsia="en-AU"/>
              </w:rPr>
              <w:t>40% protection against HBV infection is achieved with one dose of the</w:t>
            </w:r>
          </w:p>
          <w:p w:rsidRPr="00C851AF" w:rsidR="00037D8D" w:rsidP="00E525C7" w:rsidRDefault="00037D8D" w14:paraId="642F295E" w14:textId="0ED0422D">
            <w:pPr>
              <w:autoSpaceDE w:val="0"/>
              <w:autoSpaceDN w:val="0"/>
              <w:adjustRightInd w:val="0"/>
              <w:rPr>
                <w:rFonts w:asciiTheme="minorHAnsi" w:hAnsiTheme="minorHAnsi" w:cstheme="minorHAnsi"/>
                <w:sz w:val="20"/>
                <w:lang w:val="en-AU" w:eastAsia="en-AU"/>
              </w:rPr>
            </w:pPr>
            <w:r w:rsidRPr="00C851AF">
              <w:rPr>
                <w:rFonts w:asciiTheme="minorHAnsi" w:hAnsiTheme="minorHAnsi" w:cstheme="minorHAnsi"/>
                <w:sz w:val="20"/>
                <w:lang w:val="en-AU" w:eastAsia="en-AU"/>
              </w:rPr>
              <w:t>vaccine, 50%</w:t>
            </w:r>
            <w:r>
              <w:rPr>
                <w:rFonts w:asciiTheme="minorHAnsi" w:hAnsiTheme="minorHAnsi" w:cstheme="minorHAnsi"/>
                <w:sz w:val="20"/>
                <w:lang w:val="en-AU" w:eastAsia="en-AU"/>
              </w:rPr>
              <w:t>-</w:t>
            </w:r>
            <w:r w:rsidRPr="00C851AF">
              <w:rPr>
                <w:rFonts w:asciiTheme="minorHAnsi" w:hAnsiTheme="minorHAnsi" w:cstheme="minorHAnsi"/>
                <w:sz w:val="20"/>
                <w:lang w:val="en-AU" w:eastAsia="en-AU"/>
              </w:rPr>
              <w:t>75% protection with two doses and &gt;90% with three doses</w:t>
            </w:r>
            <w:r w:rsidR="00303C04">
              <w:rPr>
                <w:rFonts w:asciiTheme="minorHAnsi" w:hAnsiTheme="minorHAnsi" w:cstheme="minorHAnsi"/>
                <w:sz w:val="20"/>
                <w:lang w:val="en-AU" w:eastAsia="en-AU"/>
              </w:rPr>
              <w:t>.</w:t>
            </w:r>
            <w:r w:rsidRPr="00303C04" w:rsidR="00303C04">
              <w:rPr>
                <w:rFonts w:asciiTheme="minorHAnsi" w:hAnsiTheme="minorHAnsi" w:cstheme="minorHAnsi"/>
                <w:sz w:val="20"/>
                <w:vertAlign w:val="superscript"/>
                <w:lang w:val="en-AU" w:eastAsia="en-AU"/>
              </w:rPr>
              <w:t>3</w:t>
            </w:r>
          </w:p>
          <w:p w:rsidRPr="00594FC5" w:rsidR="00037D8D" w:rsidP="00E525C7" w:rsidRDefault="00037D8D" w14:paraId="0936EC3E" w14:textId="179C1A94">
            <w:pPr>
              <w:pStyle w:val="BodyText"/>
              <w:rPr>
                <w:sz w:val="20"/>
                <w:lang w:val="en-AU"/>
              </w:rPr>
            </w:pPr>
            <w:r w:rsidRPr="00594FC5">
              <w:rPr>
                <w:sz w:val="20"/>
                <w:lang w:val="en-AU"/>
              </w:rPr>
              <w:t>-</w:t>
            </w:r>
            <w:r w:rsidR="00303C04">
              <w:rPr>
                <w:sz w:val="20"/>
                <w:lang w:val="en-AU"/>
              </w:rPr>
              <w:t xml:space="preserve"> </w:t>
            </w:r>
            <w:r w:rsidRPr="00594FC5">
              <w:rPr>
                <w:sz w:val="20"/>
                <w:lang w:val="en-AU"/>
              </w:rPr>
              <w:t>Booster doses are not currently recommended for fully vaccinated, immunocompetent individuals</w:t>
            </w:r>
          </w:p>
          <w:p w:rsidRPr="00594FC5" w:rsidR="00037D8D" w:rsidP="00E525C7" w:rsidRDefault="00037D8D" w14:paraId="1B11C71E" w14:textId="3D627420">
            <w:pPr>
              <w:pStyle w:val="BodyText"/>
              <w:rPr>
                <w:sz w:val="20"/>
                <w:lang w:val="en-AU"/>
              </w:rPr>
            </w:pPr>
            <w:r w:rsidRPr="00594FC5">
              <w:rPr>
                <w:sz w:val="20"/>
                <w:lang w:val="en-AU"/>
              </w:rPr>
              <w:t>- Preterm</w:t>
            </w:r>
            <w:r>
              <w:rPr>
                <w:sz w:val="20"/>
                <w:lang w:val="en-AU"/>
              </w:rPr>
              <w:t xml:space="preserve"> </w:t>
            </w:r>
            <w:r w:rsidRPr="00594FC5">
              <w:rPr>
                <w:sz w:val="20"/>
                <w:lang w:val="en-AU"/>
              </w:rPr>
              <w:t>neonates &lt;2000 g or &lt;32 weeks do not respond as well to hepatitis B vaccine as full term</w:t>
            </w:r>
            <w:r>
              <w:rPr>
                <w:sz w:val="20"/>
                <w:lang w:val="en-AU"/>
              </w:rPr>
              <w:t xml:space="preserve"> </w:t>
            </w:r>
            <w:r w:rsidRPr="00594FC5">
              <w:rPr>
                <w:sz w:val="20"/>
                <w:lang w:val="en-AU"/>
              </w:rPr>
              <w:t>babies. They should have the usual dosing schedule and then consider a booster dose at 12months</w:t>
            </w:r>
            <w:r w:rsidRPr="00303C04" w:rsidR="00303C04">
              <w:rPr>
                <w:sz w:val="20"/>
                <w:vertAlign w:val="superscript"/>
                <w:lang w:val="en-AU"/>
              </w:rPr>
              <w:t>1</w:t>
            </w:r>
          </w:p>
          <w:p w:rsidRPr="000A7769" w:rsidR="00037D8D" w:rsidP="00E525C7" w:rsidRDefault="00037D8D" w14:paraId="14107B6B" w14:textId="1A477433">
            <w:pPr>
              <w:pStyle w:val="BodyText"/>
              <w:rPr>
                <w:sz w:val="20"/>
                <w:lang w:val="en-AU"/>
              </w:rPr>
            </w:pPr>
            <w:r w:rsidRPr="00594FC5">
              <w:rPr>
                <w:sz w:val="20"/>
                <w:lang w:val="en-AU"/>
              </w:rPr>
              <w:t>-</w:t>
            </w:r>
            <w:r>
              <w:rPr>
                <w:sz w:val="20"/>
                <w:lang w:val="en-AU"/>
              </w:rPr>
              <w:t xml:space="preserve"> </w:t>
            </w:r>
            <w:r w:rsidRPr="00594FC5">
              <w:rPr>
                <w:sz w:val="20"/>
                <w:lang w:val="en-AU"/>
              </w:rPr>
              <w:t>All newborns born to HBsAg-positive mothers, must receive both a birth dose of hepatitis B vaccine</w:t>
            </w:r>
            <w:r>
              <w:rPr>
                <w:sz w:val="20"/>
                <w:lang w:val="en-AU"/>
              </w:rPr>
              <w:t xml:space="preserve"> </w:t>
            </w:r>
            <w:r w:rsidRPr="00594FC5">
              <w:rPr>
                <w:sz w:val="20"/>
                <w:lang w:val="en-AU"/>
              </w:rPr>
              <w:t>and hepatitis B immune globulin (HBIG) in separate thighs preferably within 12 h of birth. This</w:t>
            </w:r>
            <w:r>
              <w:rPr>
                <w:sz w:val="20"/>
                <w:lang w:val="en-AU"/>
              </w:rPr>
              <w:t xml:space="preserve"> </w:t>
            </w:r>
            <w:r w:rsidRPr="00594FC5">
              <w:rPr>
                <w:sz w:val="20"/>
                <w:lang w:val="en-AU"/>
              </w:rPr>
              <w:t>regimen results in the seroconversion rates of 96%.</w:t>
            </w:r>
            <w:r w:rsidRPr="003639BC" w:rsidR="003639BC">
              <w:rPr>
                <w:sz w:val="20"/>
                <w:vertAlign w:val="superscript"/>
                <w:lang w:val="en-AU"/>
              </w:rPr>
              <w:t>4</w:t>
            </w:r>
          </w:p>
        </w:tc>
      </w:tr>
      <w:tr w:rsidRPr="003A7895" w:rsidR="00037D8D" w:rsidTr="77BEE3D0" w14:paraId="5FAC5D67" w14:textId="77777777">
        <w:trPr>
          <w:trHeight w:val="390"/>
        </w:trPr>
        <w:tc>
          <w:tcPr>
            <w:tcW w:w="2410" w:type="dxa"/>
          </w:tcPr>
          <w:p w:rsidRPr="003A7895" w:rsidR="00037D8D" w:rsidP="77BEE3D0" w:rsidRDefault="079893BA" w14:paraId="6D07AAD6" w14:textId="77777777">
            <w:pPr>
              <w:pStyle w:val="BodyText"/>
              <w:rPr>
                <w:rFonts w:cs="Arial"/>
                <w:b/>
                <w:bCs/>
                <w:sz w:val="20"/>
              </w:rPr>
            </w:pPr>
            <w:r w:rsidRPr="77BEE3D0">
              <w:rPr>
                <w:rFonts w:cs="Arial"/>
                <w:b/>
                <w:bCs/>
                <w:sz w:val="20"/>
              </w:rPr>
              <w:t>Evidence summary</w:t>
            </w:r>
          </w:p>
        </w:tc>
        <w:tc>
          <w:tcPr>
            <w:tcW w:w="7967" w:type="dxa"/>
          </w:tcPr>
          <w:p w:rsidRPr="00A755F1" w:rsidR="00037D8D" w:rsidP="00E525C7" w:rsidRDefault="00037D8D" w14:paraId="5A31CC60" w14:textId="77777777">
            <w:pPr>
              <w:pStyle w:val="BodyText"/>
              <w:rPr>
                <w:rFonts w:cs="Arial"/>
                <w:sz w:val="16"/>
                <w:szCs w:val="16"/>
              </w:rPr>
            </w:pPr>
            <w:r w:rsidRPr="00A755F1">
              <w:rPr>
                <w:rFonts w:cs="Arial"/>
                <w:sz w:val="16"/>
                <w:szCs w:val="16"/>
              </w:rPr>
              <w:t>- van den Ende et al. [29] performed a systematic review on immunogenicity of Engerix B (GSK HepB, GSK, Belgium) vaccine in children. They found that primary 3-dose vaccination of healthy infants and children, including infants born to HBsAg-positive mothers, using the standard 0, 1, 6 month schedule was associated with seroprotection rates &gt;= 96.0%. Children with severe underlying disease, including human immunodeficiency virus infection and cancer had lower seroprotection rates. The vaccine had a clinically acceptable safety profile in all the populations studied.</w:t>
            </w:r>
          </w:p>
          <w:p w:rsidRPr="00A755F1" w:rsidR="00037D8D" w:rsidP="00E525C7" w:rsidRDefault="00037D8D" w14:paraId="437A69CC" w14:textId="77777777">
            <w:pPr>
              <w:pStyle w:val="BodyText"/>
              <w:rPr>
                <w:rFonts w:cs="Arial"/>
                <w:sz w:val="16"/>
                <w:szCs w:val="16"/>
              </w:rPr>
            </w:pPr>
            <w:r w:rsidRPr="00A755F1">
              <w:rPr>
                <w:rFonts w:cs="Arial"/>
                <w:sz w:val="16"/>
                <w:szCs w:val="16"/>
              </w:rPr>
              <w:t>- Dolhain et al. [30] performed a systematic review of 6 clinical trials conducted in the South-East</w:t>
            </w:r>
          </w:p>
          <w:p w:rsidRPr="00A755F1" w:rsidR="00037D8D" w:rsidP="00E525C7" w:rsidRDefault="00037D8D" w14:paraId="4A3998AA" w14:textId="77777777">
            <w:pPr>
              <w:pStyle w:val="BodyText"/>
              <w:rPr>
                <w:rFonts w:cs="Arial"/>
                <w:sz w:val="16"/>
                <w:szCs w:val="16"/>
              </w:rPr>
            </w:pPr>
            <w:r w:rsidRPr="00A755F1">
              <w:rPr>
                <w:rFonts w:cs="Arial"/>
                <w:sz w:val="16"/>
                <w:szCs w:val="16"/>
              </w:rPr>
              <w:t>Asia and Western Pacific Regions, investigating vaccination regimens with &gt;3 doses of HBV containing vaccines in infants, including a monovalent HBV vaccine birth dose and &gt;=1 dose of</w:t>
            </w:r>
          </w:p>
          <w:p w:rsidRPr="00A755F1" w:rsidR="00037D8D" w:rsidP="00E525C7" w:rsidRDefault="00037D8D" w14:paraId="1EA29EA2" w14:textId="77777777">
            <w:pPr>
              <w:pStyle w:val="BodyText"/>
              <w:rPr>
                <w:rFonts w:cs="Arial"/>
                <w:sz w:val="16"/>
                <w:szCs w:val="16"/>
              </w:rPr>
            </w:pPr>
            <w:r w:rsidRPr="00A755F1">
              <w:rPr>
                <w:rFonts w:cs="Arial"/>
                <w:sz w:val="16"/>
                <w:szCs w:val="16"/>
              </w:rPr>
              <w:t>Infanrix Hexa (GSK's hexavalent DTPa-HBV-IPV/Hib vaccine). They found in all studies, three primary doses of hexavalent DTPa-HBV-IPV/Hib vaccine administered during the first 6 months of life, which induced a robust immune response to all vaccine antigens and had a clinically acceptable safety profile.</w:t>
            </w:r>
          </w:p>
        </w:tc>
      </w:tr>
      <w:tr w:rsidRPr="003A7895" w:rsidR="00037D8D" w:rsidTr="77BEE3D0" w14:paraId="3468857C" w14:textId="77777777">
        <w:trPr>
          <w:trHeight w:val="551"/>
        </w:trPr>
        <w:tc>
          <w:tcPr>
            <w:tcW w:w="2410" w:type="dxa"/>
          </w:tcPr>
          <w:p w:rsidRPr="003A7895" w:rsidR="00037D8D" w:rsidP="77BEE3D0" w:rsidRDefault="079893BA" w14:paraId="72882D3A" w14:textId="77777777">
            <w:pPr>
              <w:pStyle w:val="BodyText"/>
              <w:rPr>
                <w:rFonts w:cs="Arial"/>
                <w:b/>
                <w:bCs/>
                <w:sz w:val="20"/>
              </w:rPr>
            </w:pPr>
            <w:r w:rsidRPr="77BEE3D0">
              <w:rPr>
                <w:b/>
                <w:bCs/>
                <w:sz w:val="20"/>
              </w:rPr>
              <w:t>References</w:t>
            </w:r>
          </w:p>
        </w:tc>
        <w:tc>
          <w:tcPr>
            <w:tcW w:w="7967" w:type="dxa"/>
          </w:tcPr>
          <w:p w:rsidRPr="003639BC" w:rsidR="00A755F1" w:rsidP="00A755F1" w:rsidRDefault="00A755F1" w14:paraId="59D44AB8" w14:textId="67FDCE96">
            <w:pPr>
              <w:rPr>
                <w:sz w:val="16"/>
                <w:szCs w:val="16"/>
              </w:rPr>
            </w:pPr>
            <w:r w:rsidRPr="003639BC">
              <w:rPr>
                <w:sz w:val="16"/>
                <w:szCs w:val="16"/>
              </w:rPr>
              <w:t>1. The Australian Immunisation Handbook. https://immunisationhandbook.health.gov.au/about-the-handbook. Accessed 21-12-2020</w:t>
            </w:r>
          </w:p>
          <w:p w:rsidRPr="003639BC" w:rsidR="00A755F1" w:rsidP="00A755F1" w:rsidRDefault="00A755F1" w14:paraId="76CFD448" w14:textId="356237EC">
            <w:pPr>
              <w:jc w:val="both"/>
              <w:rPr>
                <w:sz w:val="16"/>
                <w:szCs w:val="16"/>
              </w:rPr>
            </w:pPr>
            <w:r w:rsidRPr="003639BC">
              <w:rPr>
                <w:sz w:val="16"/>
                <w:szCs w:val="16"/>
              </w:rPr>
              <w:t>2. MIMS Australia, Hepatitis B Immunoglobulin-VF full product information (Accessed 21-12-2020).</w:t>
            </w:r>
          </w:p>
          <w:p w:rsidRPr="003639BC" w:rsidR="00037D8D" w:rsidP="00E525C7" w:rsidRDefault="00A755F1" w14:paraId="49EA880D" w14:textId="14EA0942">
            <w:pPr>
              <w:rPr>
                <w:sz w:val="16"/>
                <w:szCs w:val="16"/>
              </w:rPr>
            </w:pPr>
            <w:r w:rsidRPr="003639BC">
              <w:rPr>
                <w:sz w:val="16"/>
                <w:szCs w:val="16"/>
              </w:rPr>
              <w:t>3.</w:t>
            </w:r>
            <w:r w:rsidRPr="003639BC" w:rsidR="003B5565">
              <w:rPr>
                <w:sz w:val="16"/>
                <w:szCs w:val="16"/>
              </w:rPr>
              <w:t xml:space="preserve"> Demirjian A, Levy O. Safety and efficacy of neonatal vaccination. Eur J Immunol. 2009;39(1):36-46. doi:10.1002/eji.200838620</w:t>
            </w:r>
          </w:p>
          <w:p w:rsidRPr="003639BC" w:rsidR="00C77F1F" w:rsidP="00E525C7" w:rsidRDefault="00C77F1F" w14:paraId="7171DCC0" w14:textId="77419FC0">
            <w:pPr>
              <w:rPr>
                <w:sz w:val="16"/>
                <w:szCs w:val="16"/>
              </w:rPr>
            </w:pPr>
            <w:r w:rsidRPr="003639BC">
              <w:rPr>
                <w:sz w:val="16"/>
                <w:szCs w:val="16"/>
              </w:rPr>
              <w:t>4.</w:t>
            </w:r>
            <w:r w:rsidRPr="003639BC" w:rsidR="004C4721">
              <w:rPr>
                <w:sz w:val="16"/>
                <w:szCs w:val="16"/>
              </w:rPr>
              <w:t xml:space="preserve"> Lee C, Gong Y, Brok J, et al. Hepatitis B immunisation for newborn infants of hepatitis B surface antigen-positive mothers. Cochrane Database Syst Rev 2006; :CD004790.</w:t>
            </w:r>
          </w:p>
          <w:p w:rsidRPr="00C12C81" w:rsidR="003B5565" w:rsidP="00E525C7" w:rsidRDefault="003B5565" w14:paraId="6D3C1117" w14:textId="77BDDD95">
            <w:pPr>
              <w:rPr>
                <w:sz w:val="20"/>
              </w:rPr>
            </w:pPr>
          </w:p>
        </w:tc>
      </w:tr>
    </w:tbl>
    <w:p w:rsidRPr="00E25790" w:rsidR="00115F48" w:rsidP="006F0321" w:rsidRDefault="00115F48" w14:paraId="24CC4D1D" w14:textId="77777777"/>
    <w:tbl>
      <w:tblPr>
        <w:tblW w:w="98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24"/>
        <w:gridCol w:w="5386"/>
      </w:tblGrid>
      <w:tr w:rsidRPr="00644251" w:rsidR="00E424B4" w:rsidTr="00A65F20" w14:paraId="2E106235" w14:textId="77777777">
        <w:tc>
          <w:tcPr>
            <w:tcW w:w="4424" w:type="dxa"/>
            <w:vAlign w:val="center"/>
          </w:tcPr>
          <w:p w:rsidRPr="00644251" w:rsidR="00F0393A" w:rsidP="00E525C7" w:rsidRDefault="00F0393A" w14:paraId="28301ADA" w14:textId="746C8142">
            <w:pPr>
              <w:rPr>
                <w:b/>
                <w:lang w:val="en-AU"/>
              </w:rPr>
            </w:pPr>
            <w:r w:rsidRPr="00644251">
              <w:rPr>
                <w:b/>
                <w:lang w:val="en-AU"/>
              </w:rPr>
              <w:t xml:space="preserve">Original version Date: </w:t>
            </w:r>
            <w:r w:rsidR="007D349A">
              <w:rPr>
                <w:lang w:val="en-AU"/>
              </w:rPr>
              <w:t>8</w:t>
            </w:r>
            <w:r w:rsidRPr="00644251">
              <w:rPr>
                <w:lang w:val="en-AU"/>
              </w:rPr>
              <w:t>/0</w:t>
            </w:r>
            <w:r w:rsidR="007D349A">
              <w:rPr>
                <w:lang w:val="en-AU"/>
              </w:rPr>
              <w:t>8</w:t>
            </w:r>
            <w:r w:rsidRPr="00644251">
              <w:rPr>
                <w:lang w:val="en-AU"/>
              </w:rPr>
              <w:t>/201</w:t>
            </w:r>
            <w:r w:rsidR="007D349A">
              <w:rPr>
                <w:lang w:val="en-AU"/>
              </w:rPr>
              <w:t>5</w:t>
            </w:r>
          </w:p>
        </w:tc>
        <w:tc>
          <w:tcPr>
            <w:tcW w:w="5386" w:type="dxa"/>
            <w:vAlign w:val="center"/>
          </w:tcPr>
          <w:p w:rsidRPr="00644251" w:rsidR="00F0393A" w:rsidP="00E525C7" w:rsidRDefault="00F0393A" w14:paraId="5882D41E" w14:textId="77777777">
            <w:pPr>
              <w:rPr>
                <w:b/>
                <w:lang w:val="en-AU"/>
              </w:rPr>
            </w:pPr>
            <w:r w:rsidRPr="00644251">
              <w:rPr>
                <w:b/>
                <w:lang w:val="en-AU"/>
              </w:rPr>
              <w:t>Author: NMF Consensus Group</w:t>
            </w:r>
            <w:r>
              <w:rPr>
                <w:b/>
                <w:lang w:val="en-AU"/>
              </w:rPr>
              <w:t>/TC</w:t>
            </w:r>
          </w:p>
        </w:tc>
      </w:tr>
      <w:tr w:rsidRPr="00644251" w:rsidR="00E424B4" w:rsidTr="00A65F20" w14:paraId="417C9218" w14:textId="77777777">
        <w:tc>
          <w:tcPr>
            <w:tcW w:w="4424" w:type="dxa"/>
            <w:vAlign w:val="center"/>
          </w:tcPr>
          <w:p w:rsidRPr="00644251" w:rsidR="00F0393A" w:rsidP="00E525C7" w:rsidRDefault="00F0393A" w14:paraId="459466E4" w14:textId="77777777">
            <w:pPr>
              <w:rPr>
                <w:bCs/>
                <w:lang w:val="en-AU"/>
              </w:rPr>
            </w:pPr>
            <w:r w:rsidRPr="00644251">
              <w:rPr>
                <w:b/>
                <w:lang w:val="en-AU"/>
              </w:rPr>
              <w:t xml:space="preserve">Current Version number:  </w:t>
            </w:r>
            <w:r>
              <w:rPr>
                <w:lang w:val="en-AU"/>
              </w:rPr>
              <w:t>2</w:t>
            </w:r>
          </w:p>
        </w:tc>
        <w:tc>
          <w:tcPr>
            <w:tcW w:w="5386" w:type="dxa"/>
            <w:vAlign w:val="center"/>
          </w:tcPr>
          <w:p w:rsidRPr="00644251" w:rsidR="00F0393A" w:rsidP="00E525C7" w:rsidRDefault="00F0393A" w14:paraId="693C1849" w14:textId="77777777">
            <w:pPr>
              <w:rPr>
                <w:lang w:val="en-AU"/>
              </w:rPr>
            </w:pPr>
            <w:r w:rsidRPr="00644251">
              <w:rPr>
                <w:b/>
                <w:lang w:val="en-AU"/>
              </w:rPr>
              <w:t>Current Version Date:</w:t>
            </w:r>
            <w:r w:rsidRPr="00644251">
              <w:rPr>
                <w:lang w:val="en-AU"/>
              </w:rPr>
              <w:t xml:space="preserve">  </w:t>
            </w:r>
            <w:r>
              <w:rPr>
                <w:lang w:val="en-AU"/>
              </w:rPr>
              <w:t>21</w:t>
            </w:r>
            <w:r w:rsidRPr="00644251">
              <w:rPr>
                <w:lang w:val="en-AU"/>
              </w:rPr>
              <w:t>/</w:t>
            </w:r>
            <w:r>
              <w:rPr>
                <w:lang w:val="en-AU"/>
              </w:rPr>
              <w:t>12</w:t>
            </w:r>
            <w:r w:rsidRPr="00644251">
              <w:rPr>
                <w:lang w:val="en-AU"/>
              </w:rPr>
              <w:t>/</w:t>
            </w:r>
            <w:r>
              <w:rPr>
                <w:lang w:val="en-AU"/>
              </w:rPr>
              <w:t>2020</w:t>
            </w:r>
          </w:p>
        </w:tc>
      </w:tr>
      <w:tr w:rsidRPr="00644251" w:rsidR="00E424B4" w:rsidTr="00A65F20" w14:paraId="59E171FA" w14:textId="77777777">
        <w:tc>
          <w:tcPr>
            <w:tcW w:w="4424" w:type="dxa"/>
            <w:vAlign w:val="center"/>
          </w:tcPr>
          <w:p w:rsidRPr="00644251" w:rsidR="00F0393A" w:rsidP="00E525C7" w:rsidRDefault="00F0393A" w14:paraId="62FD79EF" w14:textId="26D62618">
            <w:pPr>
              <w:rPr>
                <w:lang w:val="en-AU"/>
              </w:rPr>
            </w:pPr>
            <w:r w:rsidRPr="00644251">
              <w:rPr>
                <w:b/>
                <w:lang w:val="en-AU"/>
              </w:rPr>
              <w:t xml:space="preserve">Risk Rating: </w:t>
            </w:r>
            <w:r w:rsidR="00326AD5">
              <w:rPr>
                <w:lang w:val="en-AU"/>
              </w:rPr>
              <w:t>Low</w:t>
            </w:r>
          </w:p>
        </w:tc>
        <w:tc>
          <w:tcPr>
            <w:tcW w:w="5386" w:type="dxa"/>
            <w:vAlign w:val="center"/>
          </w:tcPr>
          <w:p w:rsidRPr="00644251" w:rsidR="00F0393A" w:rsidP="00E525C7" w:rsidRDefault="00F0393A" w14:paraId="313BB026" w14:textId="42F963EA">
            <w:pPr>
              <w:rPr>
                <w:lang w:val="en-AU"/>
              </w:rPr>
            </w:pPr>
            <w:r w:rsidRPr="00644251">
              <w:rPr>
                <w:b/>
                <w:lang w:val="en-AU"/>
              </w:rPr>
              <w:t xml:space="preserve">Due for Review: </w:t>
            </w:r>
            <w:r>
              <w:rPr>
                <w:lang w:val="en-AU"/>
              </w:rPr>
              <w:t>21</w:t>
            </w:r>
            <w:r w:rsidR="007D349A">
              <w:rPr>
                <w:lang w:val="en-AU"/>
              </w:rPr>
              <w:t>/</w:t>
            </w:r>
            <w:r>
              <w:rPr>
                <w:lang w:val="en-AU"/>
              </w:rPr>
              <w:t>12</w:t>
            </w:r>
            <w:r w:rsidR="007D349A">
              <w:rPr>
                <w:lang w:val="en-AU"/>
              </w:rPr>
              <w:t>/</w:t>
            </w:r>
            <w:r>
              <w:rPr>
                <w:lang w:val="en-AU"/>
              </w:rPr>
              <w:t>2025</w:t>
            </w:r>
          </w:p>
        </w:tc>
      </w:tr>
      <w:tr w:rsidRPr="00644251" w:rsidR="00E424B4" w:rsidTr="00A65F20" w14:paraId="3BB823AB" w14:textId="77777777">
        <w:trPr>
          <w:trHeight w:val="344"/>
        </w:trPr>
        <w:tc>
          <w:tcPr>
            <w:tcW w:w="4424" w:type="dxa"/>
            <w:tcBorders>
              <w:bottom w:val="single" w:color="auto" w:sz="4" w:space="0"/>
            </w:tcBorders>
            <w:vAlign w:val="center"/>
          </w:tcPr>
          <w:p w:rsidRPr="00644251" w:rsidR="00F0393A" w:rsidP="00E525C7" w:rsidRDefault="00F0393A" w14:paraId="38DE6B4C" w14:textId="77777777">
            <w:pPr>
              <w:rPr>
                <w:b/>
                <w:lang w:val="en-AU"/>
              </w:rPr>
            </w:pPr>
            <w:r w:rsidRPr="00644251">
              <w:rPr>
                <w:b/>
                <w:lang w:val="en-AU"/>
              </w:rPr>
              <w:t xml:space="preserve">Approval by: </w:t>
            </w:r>
            <w:r>
              <w:rPr>
                <w:b/>
                <w:lang w:val="en-AU"/>
              </w:rPr>
              <w:t>DTC</w:t>
            </w:r>
          </w:p>
        </w:tc>
        <w:tc>
          <w:tcPr>
            <w:tcW w:w="5386" w:type="dxa"/>
            <w:tcBorders>
              <w:bottom w:val="single" w:color="auto" w:sz="4" w:space="0"/>
            </w:tcBorders>
            <w:vAlign w:val="center"/>
          </w:tcPr>
          <w:p w:rsidRPr="00644251" w:rsidR="00F0393A" w:rsidP="00E525C7" w:rsidRDefault="00F0393A" w14:paraId="47C71687" w14:textId="6EDB564C">
            <w:pPr>
              <w:rPr>
                <w:b/>
                <w:lang w:val="en-AU"/>
              </w:rPr>
            </w:pPr>
            <w:r w:rsidRPr="00644251">
              <w:rPr>
                <w:b/>
                <w:lang w:val="en-AU"/>
              </w:rPr>
              <w:t>Approval Date:</w:t>
            </w:r>
            <w:r>
              <w:rPr>
                <w:b/>
                <w:lang w:val="en-AU"/>
              </w:rPr>
              <w:t xml:space="preserve"> </w:t>
            </w:r>
            <w:r w:rsidR="00260BC8">
              <w:rPr>
                <w:b/>
                <w:lang w:val="en-AU"/>
              </w:rPr>
              <w:t>APRIL 2021</w:t>
            </w:r>
          </w:p>
        </w:tc>
      </w:tr>
    </w:tbl>
    <w:p w:rsidRPr="00E25790" w:rsidR="00115F48" w:rsidP="006F0321" w:rsidRDefault="00115F48" w14:paraId="4CB705D6"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B97D99" w14:paraId="397E4007"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2467B457" w14:textId="77777777">
            <w:pPr>
              <w:pStyle w:val="Heading1"/>
            </w:pPr>
            <w:bookmarkStart w:name="_Toc495481124" w:id="310"/>
            <w:bookmarkStart w:name="_Toc495481250" w:id="311"/>
            <w:bookmarkStart w:name="_Toc495481375" w:id="312"/>
            <w:bookmarkStart w:name="_Toc495501556" w:id="313"/>
            <w:bookmarkStart w:name="_Toc38106860" w:id="314"/>
            <w:bookmarkStart w:name="_Toc75339985" w:id="315"/>
            <w:r w:rsidRPr="00E25790">
              <w:lastRenderedPageBreak/>
              <w:t>Hydralazine</w:t>
            </w:r>
            <w:bookmarkEnd w:id="310"/>
            <w:bookmarkEnd w:id="311"/>
            <w:bookmarkEnd w:id="312"/>
            <w:bookmarkEnd w:id="313"/>
            <w:bookmarkEnd w:id="314"/>
            <w:bookmarkEnd w:id="315"/>
            <w:r w:rsidRPr="00E25790">
              <w:fldChar w:fldCharType="begin"/>
            </w:r>
            <w:r w:rsidRPr="00E25790">
              <w:instrText>tc "Hydralazine" \l 0</w:instrText>
            </w:r>
            <w:r w:rsidRPr="00E25790">
              <w:fldChar w:fldCharType="end"/>
            </w:r>
          </w:p>
        </w:tc>
      </w:tr>
      <w:tr w:rsidRPr="00E25790" w:rsidR="00115F48" w:rsidTr="00B97D99" w14:paraId="11E8ACC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3B6B1EE4" w14:textId="2605406E">
            <w:r w:rsidRPr="00E25790">
              <w:t xml:space="preserve">Revision Date : </w:t>
            </w:r>
            <w:r w:rsidR="00B1291F">
              <w:t>30 December</w:t>
            </w:r>
            <w:r w:rsidR="00722076">
              <w:t xml:space="preserve"> 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178CDC35" w14:textId="26BE2AAB">
            <w:r w:rsidRPr="00E25790">
              <w:t xml:space="preserve">Approved: </w:t>
            </w:r>
            <w:r w:rsidR="00A3041A">
              <w:t>AM, KOH</w:t>
            </w:r>
          </w:p>
        </w:tc>
      </w:tr>
    </w:tbl>
    <w:p w:rsidRPr="00E25790" w:rsidR="00115F48" w:rsidP="006F0321" w:rsidRDefault="00115F48" w14:paraId="2638373D" w14:textId="77777777"/>
    <w:p w:rsidRPr="00E25790" w:rsidR="00115F48" w:rsidP="006F0321" w:rsidRDefault="00115F48" w14:paraId="55ABF1CE" w14:textId="77777777"/>
    <w:tbl>
      <w:tblPr>
        <w:tblW w:w="9303" w:type="dxa"/>
        <w:tblInd w:w="-3" w:type="dxa"/>
        <w:tblLayout w:type="fixed"/>
        <w:tblLook w:val="0000" w:firstRow="0" w:lastRow="0" w:firstColumn="0" w:lastColumn="0" w:noHBand="0" w:noVBand="0"/>
      </w:tblPr>
      <w:tblGrid>
        <w:gridCol w:w="1971"/>
        <w:gridCol w:w="7332"/>
      </w:tblGrid>
      <w:tr w:rsidRPr="00E25790" w:rsidR="00414653" w:rsidTr="00642ECE" w14:paraId="5B730522" w14:textId="77777777">
        <w:trPr>
          <w:cantSplit/>
          <w:trHeight w:val="1200"/>
        </w:trPr>
        <w:tc>
          <w:tcPr>
            <w:tcW w:w="1971" w:type="dxa"/>
            <w:tcBorders>
              <w:top w:val="single" w:color="auto" w:sz="6" w:space="0"/>
              <w:left w:val="single" w:color="auto" w:sz="6" w:space="0"/>
              <w:bottom w:val="single" w:color="auto" w:sz="6" w:space="0"/>
            </w:tcBorders>
          </w:tcPr>
          <w:p w:rsidRPr="00E25790" w:rsidR="00115F48" w:rsidP="006F0321" w:rsidRDefault="00115F48" w14:paraId="40685316" w14:textId="77777777">
            <w:r w:rsidRPr="00642ECE">
              <w:rPr>
                <w:b/>
              </w:rPr>
              <w:t>Indication</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7D48585E" w14:textId="77777777">
            <w:r w:rsidRPr="00E25790">
              <w:t>Initial treatment of hypertension.  Useful as it preserves renal blood flow.</w:t>
            </w:r>
          </w:p>
        </w:tc>
      </w:tr>
      <w:tr w:rsidRPr="00E25790" w:rsidR="00414653" w:rsidTr="00642ECE" w14:paraId="4D01C1CA"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6698D446" w14:textId="77777777">
            <w:r w:rsidRPr="00642ECE">
              <w:rPr>
                <w:b/>
              </w:rPr>
              <w:t>Dose</w:t>
            </w:r>
            <w:r w:rsidRPr="00E25790">
              <w:t xml:space="preserve"> :</w:t>
            </w:r>
          </w:p>
        </w:tc>
        <w:tc>
          <w:tcPr>
            <w:tcW w:w="7332" w:type="dxa"/>
            <w:tcBorders>
              <w:top w:val="single" w:color="auto" w:sz="6" w:space="0"/>
              <w:bottom w:val="single" w:color="auto" w:sz="6" w:space="0"/>
              <w:right w:val="single" w:color="auto" w:sz="6" w:space="0"/>
            </w:tcBorders>
          </w:tcPr>
          <w:p w:rsidR="00C671BE" w:rsidP="006F0321" w:rsidRDefault="003A3743" w14:paraId="6C2AFFB4" w14:textId="287A2DDE">
            <w:r>
              <w:t xml:space="preserve">Oral: </w:t>
            </w:r>
            <w:r w:rsidR="004010FF">
              <w:t>0.25 to 1mg/kg/dose every 8 hours, titrating according to response up to a maximum of 3mg/kg/dose every 8 hours</w:t>
            </w:r>
          </w:p>
          <w:p w:rsidR="00ED12BA" w:rsidP="006F0321" w:rsidRDefault="00ED12BA" w14:paraId="723E6487" w14:textId="77777777"/>
          <w:p w:rsidRPr="00E25790" w:rsidR="00115F48" w:rsidP="006F0321" w:rsidRDefault="00C671BE" w14:paraId="101462FD" w14:textId="53FC1B09">
            <w:r>
              <w:t xml:space="preserve">Intravenous: </w:t>
            </w:r>
            <w:r w:rsidRPr="00E25790" w:rsidR="00115F48">
              <w:t>0.1-0.</w:t>
            </w:r>
            <w:r w:rsidR="00561E66">
              <w:t>5</w:t>
            </w:r>
            <w:r w:rsidRPr="00E25790" w:rsidR="00561E66">
              <w:t xml:space="preserve"> </w:t>
            </w:r>
            <w:r w:rsidRPr="00E25790" w:rsidR="00115F48">
              <w:t>mg/kg</w:t>
            </w:r>
            <w:r w:rsidR="00561E66">
              <w:t>/dose</w:t>
            </w:r>
            <w:r w:rsidRPr="00E25790" w:rsidR="00115F48">
              <w:t xml:space="preserve"> </w:t>
            </w:r>
            <w:r w:rsidR="003A3743">
              <w:t>titrating according to response up to a maximum of 2mg/kg/dose every 6 hours</w:t>
            </w:r>
            <w:r w:rsidRPr="00E25790" w:rsidR="00115F48">
              <w:t>.</w:t>
            </w:r>
          </w:p>
          <w:p w:rsidRPr="00E25790" w:rsidR="00ED12BA" w:rsidP="006F0321" w:rsidRDefault="00ED12BA" w14:paraId="4B9E5510" w14:textId="77777777"/>
          <w:p w:rsidRPr="00E25790" w:rsidR="00115F48" w:rsidP="006F0321" w:rsidRDefault="00115F48" w14:paraId="79264A6A" w14:textId="4DB71B18">
            <w:r w:rsidRPr="00E25790">
              <w:t>Infusion</w:t>
            </w:r>
            <w:r w:rsidR="003A3743">
              <w:t>:</w:t>
            </w:r>
            <w:r w:rsidRPr="00E25790">
              <w:t xml:space="preserve"> 4-6 microg/kg/min</w:t>
            </w:r>
          </w:p>
        </w:tc>
      </w:tr>
      <w:tr w:rsidRPr="00E25790" w:rsidR="00414653" w:rsidTr="00642ECE" w14:paraId="342A51E5"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577430D5" w14:textId="77777777">
            <w:r w:rsidRPr="00642ECE">
              <w:rPr>
                <w:b/>
              </w:rPr>
              <w:t>Interval</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1B0E05" w:rsidRDefault="00115F48" w14:paraId="1F823C0A" w14:textId="77777777">
            <w:pPr>
              <w:pStyle w:val="ListParagraph"/>
              <w:numPr>
                <w:ilvl w:val="1"/>
                <w:numId w:val="13"/>
              </w:numPr>
            </w:pPr>
            <w:r w:rsidRPr="00E25790">
              <w:t>hourly.</w:t>
            </w:r>
          </w:p>
          <w:p w:rsidRPr="00E25790" w:rsidR="00115F48" w:rsidP="006F0321" w:rsidRDefault="00115F48" w14:paraId="62460B3F" w14:textId="77777777">
            <w:r w:rsidRPr="00E25790">
              <w:t>Infusion</w:t>
            </w:r>
          </w:p>
        </w:tc>
      </w:tr>
      <w:tr w:rsidRPr="00E25790" w:rsidR="00414653" w:rsidTr="00642ECE" w14:paraId="114008C6"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56948825" w14:textId="77777777">
            <w:r w:rsidRPr="00642ECE">
              <w:rPr>
                <w:b/>
              </w:rPr>
              <w:t>Route</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1B37D7FF" w14:textId="77777777">
            <w:r w:rsidRPr="00E25790">
              <w:t>I.V.</w:t>
            </w:r>
          </w:p>
          <w:p w:rsidRPr="00E25790" w:rsidR="00115F48" w:rsidP="006F0321" w:rsidRDefault="00115F48" w14:paraId="48662256" w14:textId="77777777">
            <w:r w:rsidRPr="00E25790">
              <w:t>Oral</w:t>
            </w:r>
          </w:p>
        </w:tc>
      </w:tr>
      <w:tr w:rsidRPr="00E25790" w:rsidR="00414653" w:rsidTr="00642ECE" w14:paraId="4AD54048"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609D4B00" w14:textId="77777777">
            <w:r w:rsidRPr="00642ECE">
              <w:rPr>
                <w:b/>
              </w:rPr>
              <w:t>Total Daily Dose</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0D532C40" w14:textId="77777777">
            <w:r w:rsidRPr="00E25790">
              <w:t>Titrate dose as per response.</w:t>
            </w:r>
          </w:p>
        </w:tc>
      </w:tr>
      <w:tr w:rsidRPr="00E25790" w:rsidR="00414653" w:rsidTr="00642ECE" w14:paraId="5343FBDE" w14:textId="77777777">
        <w:trPr>
          <w:cantSplit/>
          <w:trHeight w:val="1200"/>
        </w:trPr>
        <w:tc>
          <w:tcPr>
            <w:tcW w:w="1971" w:type="dxa"/>
            <w:tcBorders>
              <w:top w:val="single" w:color="auto" w:sz="6" w:space="0"/>
              <w:left w:val="single" w:color="auto" w:sz="6" w:space="0"/>
              <w:bottom w:val="single" w:color="auto" w:sz="6" w:space="0"/>
            </w:tcBorders>
          </w:tcPr>
          <w:p w:rsidRPr="00E25790" w:rsidR="00115F48" w:rsidP="006F0321" w:rsidRDefault="00115F48" w14:paraId="720FEA5D" w14:textId="77777777">
            <w:r w:rsidRPr="00642ECE">
              <w:rPr>
                <w:b/>
              </w:rPr>
              <w:t>Comments</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679ED450" w14:textId="4EB6B046">
            <w:r w:rsidRPr="00E25790">
              <w:t>May increase heart rate. Always start with a lower dose and increase the dose depending upon the response. Exerts effect by directly relaxing vascular smooth muscle tone and lowering peripheral vascular resistance.</w:t>
            </w:r>
          </w:p>
        </w:tc>
      </w:tr>
      <w:tr w:rsidRPr="00E25790" w:rsidR="00414653" w:rsidTr="00642ECE" w14:paraId="6513D367"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722268AF" w14:textId="77777777">
            <w:r w:rsidRPr="00642ECE">
              <w:rPr>
                <w:b/>
              </w:rPr>
              <w:t>Supplied as</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2D16F723" w14:textId="77777777">
            <w:r w:rsidRPr="00E25790">
              <w:t>Apresoline ampoules containing 20 mg Hydralazine HCl powder.</w:t>
            </w:r>
          </w:p>
        </w:tc>
      </w:tr>
      <w:tr w:rsidRPr="00E25790" w:rsidR="00414653" w:rsidTr="00642ECE" w14:paraId="1B2078E4" w14:textId="77777777">
        <w:trPr>
          <w:cantSplit/>
          <w:trHeight w:val="960"/>
        </w:trPr>
        <w:tc>
          <w:tcPr>
            <w:tcW w:w="1971" w:type="dxa"/>
            <w:tcBorders>
              <w:top w:val="single" w:color="auto" w:sz="6" w:space="0"/>
              <w:left w:val="single" w:color="auto" w:sz="6" w:space="0"/>
              <w:bottom w:val="single" w:color="auto" w:sz="6" w:space="0"/>
            </w:tcBorders>
          </w:tcPr>
          <w:p w:rsidRPr="00E25790" w:rsidR="00115F48" w:rsidP="006F0321" w:rsidRDefault="00115F48" w14:paraId="44A20084" w14:textId="77777777">
            <w:r w:rsidRPr="00642ECE">
              <w:rPr>
                <w:b/>
              </w:rPr>
              <w:t>Dilution</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15FAA996" w14:textId="77777777">
            <w:r w:rsidRPr="00E25790">
              <w:t>Dissolve powder 1 ml water for injection. Add 1 ml of drug to 9 ml of Normal Saline to make up a solution of 2 mg/ml. Give slowly over 5-10 minutes.</w:t>
            </w:r>
          </w:p>
          <w:p w:rsidRPr="00E25790" w:rsidR="00115F48" w:rsidP="006F0321" w:rsidRDefault="00115F48" w14:paraId="4C48ACF8" w14:textId="77777777">
            <w:r w:rsidRPr="00E25790">
              <w:t>Add 9 x Xmg of drug (4.5 x Xml of the solution) where X is the weight in kg, to a syringe and make up to 25 mls with NS. 1 ml/hour = 6 microgram/kg/min</w:t>
            </w:r>
          </w:p>
        </w:tc>
      </w:tr>
      <w:tr w:rsidRPr="00E25790" w:rsidR="00414653" w:rsidTr="00642ECE" w14:paraId="31BA0036"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47CA91A7" w14:textId="77777777">
            <w:r w:rsidRPr="00642ECE">
              <w:rPr>
                <w:b/>
              </w:rPr>
              <w:t>Stability</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414290CE" w14:textId="77777777">
            <w:r w:rsidRPr="00E25790">
              <w:t>Discard unused portion.</w:t>
            </w:r>
          </w:p>
        </w:tc>
      </w:tr>
      <w:tr w:rsidRPr="00E25790" w:rsidR="00414653" w:rsidTr="00642ECE" w14:paraId="737E2810"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47A6D522" w14:textId="77777777">
            <w:r w:rsidRPr="00642ECE">
              <w:rPr>
                <w:b/>
              </w:rPr>
              <w:t>Storage</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664B580F" w14:textId="77777777">
            <w:r w:rsidRPr="00E25790">
              <w:t>Room temperature. Do not store powdered ampoules in refrigerator.</w:t>
            </w:r>
          </w:p>
        </w:tc>
      </w:tr>
      <w:tr w:rsidRPr="00E25790" w:rsidR="00E424B4" w:rsidTr="00980B4A" w14:paraId="24DC7DF1" w14:textId="77777777">
        <w:trPr>
          <w:cantSplit/>
          <w:trHeight w:val="480"/>
        </w:trPr>
        <w:tc>
          <w:tcPr>
            <w:tcW w:w="1971" w:type="dxa"/>
            <w:tcBorders>
              <w:top w:val="single" w:color="auto" w:sz="6" w:space="0"/>
              <w:left w:val="single" w:color="auto" w:sz="6" w:space="0"/>
              <w:bottom w:val="single" w:color="auto" w:sz="6" w:space="0"/>
            </w:tcBorders>
          </w:tcPr>
          <w:p w:rsidRPr="00642ECE" w:rsidR="00980B4A" w:rsidP="003E456E" w:rsidRDefault="00980B4A" w14:paraId="3910D682" w14:textId="59DD1056">
            <w:pPr>
              <w:rPr>
                <w:b/>
                <w:bCs/>
                <w:lang w:val="en-AU"/>
              </w:rPr>
            </w:pPr>
            <w:r w:rsidRPr="00644251">
              <w:rPr>
                <w:b/>
                <w:bCs/>
                <w:lang w:val="en-AU"/>
              </w:rPr>
              <w:t xml:space="preserve">Adverse Reactions      </w:t>
            </w:r>
          </w:p>
        </w:tc>
        <w:tc>
          <w:tcPr>
            <w:tcW w:w="7332" w:type="dxa"/>
            <w:tcBorders>
              <w:top w:val="single" w:color="auto" w:sz="6" w:space="0"/>
              <w:bottom w:val="single" w:color="auto" w:sz="6" w:space="0"/>
              <w:right w:val="single" w:color="auto" w:sz="6" w:space="0"/>
            </w:tcBorders>
          </w:tcPr>
          <w:p w:rsidR="00980B4A" w:rsidP="00980B4A" w:rsidRDefault="00980B4A" w14:paraId="49ABC5EE" w14:textId="77777777">
            <w:r w:rsidRPr="00F6568B">
              <w:rPr>
                <w:b/>
                <w:bCs/>
              </w:rPr>
              <w:t>Common</w:t>
            </w:r>
            <w:r>
              <w:t xml:space="preserve"> :</w:t>
            </w:r>
          </w:p>
          <w:p w:rsidR="00980B4A" w:rsidP="00980B4A" w:rsidRDefault="00980B4A" w14:paraId="5DD50617" w14:textId="77777777">
            <w:r>
              <w:t>Flushing, tachycardia, palpitations, oedema, gastrointestinal disturbances.</w:t>
            </w:r>
          </w:p>
          <w:p w:rsidR="00980B4A" w:rsidP="00980B4A" w:rsidRDefault="00980B4A" w14:paraId="505776E6" w14:textId="77777777">
            <w:r w:rsidRPr="0036385E">
              <w:rPr>
                <w:b/>
                <w:bCs/>
              </w:rPr>
              <w:t>Rare</w:t>
            </w:r>
            <w:r>
              <w:t xml:space="preserve"> :</w:t>
            </w:r>
          </w:p>
          <w:p w:rsidRPr="00E25790" w:rsidR="00980B4A" w:rsidP="00980B4A" w:rsidRDefault="00980B4A" w14:paraId="5601F9E4" w14:textId="46792787">
            <w:r>
              <w:t>Blood dyscrasia, rash, fever, nasal congestion</w:t>
            </w:r>
            <w:r w:rsidRPr="00644251">
              <w:rPr>
                <w:lang w:val="en-AU"/>
              </w:rPr>
              <w:t>.</w:t>
            </w:r>
          </w:p>
        </w:tc>
      </w:tr>
      <w:tr w:rsidRPr="00E25790" w:rsidR="00414653" w:rsidTr="00642ECE" w14:paraId="37C85F6E"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49D3EE3D" w14:textId="77777777">
            <w:r w:rsidRPr="00642ECE">
              <w:rPr>
                <w:b/>
              </w:rPr>
              <w:lastRenderedPageBreak/>
              <w:t>Compatibility</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626780E3" w14:textId="77777777">
            <w:r w:rsidRPr="00E25790">
              <w:t xml:space="preserve">Normal Saline, Dobutamine, Heparin, Hydrocortisone and potassium chloride. </w:t>
            </w:r>
          </w:p>
        </w:tc>
      </w:tr>
      <w:tr w:rsidRPr="00E25790" w:rsidR="00414653" w:rsidTr="00642ECE" w14:paraId="0A86B62B" w14:textId="77777777">
        <w:trPr>
          <w:cantSplit/>
          <w:trHeight w:val="480"/>
        </w:trPr>
        <w:tc>
          <w:tcPr>
            <w:tcW w:w="1971" w:type="dxa"/>
            <w:tcBorders>
              <w:top w:val="single" w:color="auto" w:sz="6" w:space="0"/>
              <w:left w:val="single" w:color="auto" w:sz="6" w:space="0"/>
              <w:bottom w:val="single" w:color="auto" w:sz="6" w:space="0"/>
            </w:tcBorders>
          </w:tcPr>
          <w:p w:rsidRPr="00E25790" w:rsidR="00115F48" w:rsidP="006F0321" w:rsidRDefault="00115F48" w14:paraId="1D01C612" w14:textId="77777777">
            <w:r w:rsidRPr="00642ECE">
              <w:rPr>
                <w:b/>
              </w:rPr>
              <w:t>Incompatibility</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68186279" w14:textId="77777777">
            <w:r w:rsidRPr="00E25790">
              <w:t xml:space="preserve">5% and 10% Dextrose, Aminophylline, Ampicillin, Frusemide and phenobarbital. </w:t>
            </w:r>
          </w:p>
        </w:tc>
      </w:tr>
      <w:tr w:rsidRPr="00E25790" w:rsidR="00414653" w:rsidTr="00642ECE" w14:paraId="47C0E041" w14:textId="77777777">
        <w:trPr>
          <w:cantSplit/>
          <w:trHeight w:val="649"/>
        </w:trPr>
        <w:tc>
          <w:tcPr>
            <w:tcW w:w="1971" w:type="dxa"/>
            <w:tcBorders>
              <w:top w:val="single" w:color="auto" w:sz="6" w:space="0"/>
              <w:left w:val="single" w:color="auto" w:sz="6" w:space="0"/>
              <w:bottom w:val="single" w:color="auto" w:sz="6" w:space="0"/>
            </w:tcBorders>
          </w:tcPr>
          <w:p w:rsidRPr="00E25790" w:rsidR="00115F48" w:rsidP="006F0321" w:rsidRDefault="00115F48" w14:paraId="6D074CE9" w14:textId="77777777">
            <w:r w:rsidRPr="00642ECE">
              <w:rPr>
                <w:b/>
              </w:rPr>
              <w:t>Serum Levels</w:t>
            </w:r>
            <w:r w:rsidRPr="00E25790">
              <w:t xml:space="preserve"> :</w:t>
            </w:r>
          </w:p>
        </w:tc>
        <w:tc>
          <w:tcPr>
            <w:tcW w:w="7332" w:type="dxa"/>
            <w:tcBorders>
              <w:top w:val="single" w:color="auto" w:sz="6" w:space="0"/>
              <w:bottom w:val="single" w:color="auto" w:sz="6" w:space="0"/>
              <w:right w:val="single" w:color="auto" w:sz="6" w:space="0"/>
            </w:tcBorders>
          </w:tcPr>
          <w:p w:rsidRPr="00E25790" w:rsidR="00115F48" w:rsidP="006F0321" w:rsidRDefault="00115F48" w14:paraId="4C1E76D0" w14:textId="77777777">
            <w:r w:rsidRPr="00E25790">
              <w:t>Not Applicable.</w:t>
            </w:r>
          </w:p>
        </w:tc>
      </w:tr>
    </w:tbl>
    <w:p w:rsidR="00E84122" w:rsidRDefault="00E84122" w14:paraId="24AD47B3" w14:textId="77777777"/>
    <w:tbl>
      <w:tblPr>
        <w:tblW w:w="98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24"/>
        <w:gridCol w:w="5386"/>
      </w:tblGrid>
      <w:tr w:rsidRPr="00644251" w:rsidR="00E424B4" w:rsidTr="00D03862" w14:paraId="1DFDE9E6" w14:textId="77777777">
        <w:tc>
          <w:tcPr>
            <w:tcW w:w="4424" w:type="dxa"/>
            <w:vAlign w:val="center"/>
          </w:tcPr>
          <w:p w:rsidRPr="00644251" w:rsidR="00E84122" w:rsidP="0059793A" w:rsidRDefault="00E84122" w14:paraId="26A4546D" w14:textId="0B774148">
            <w:pPr>
              <w:rPr>
                <w:b/>
                <w:lang w:val="en-AU"/>
              </w:rPr>
            </w:pPr>
            <w:r w:rsidRPr="00644251">
              <w:rPr>
                <w:b/>
                <w:lang w:val="en-AU"/>
              </w:rPr>
              <w:t xml:space="preserve">Original version Date: </w:t>
            </w:r>
            <w:r>
              <w:rPr>
                <w:lang w:val="en-AU"/>
              </w:rPr>
              <w:t>2014</w:t>
            </w:r>
          </w:p>
        </w:tc>
        <w:tc>
          <w:tcPr>
            <w:tcW w:w="5386" w:type="dxa"/>
            <w:vAlign w:val="center"/>
          </w:tcPr>
          <w:p w:rsidRPr="00644251" w:rsidR="00E84122" w:rsidP="0059793A" w:rsidRDefault="00E84122" w14:paraId="0947AE7F" w14:textId="77777777">
            <w:pPr>
              <w:rPr>
                <w:b/>
                <w:lang w:val="en-AU"/>
              </w:rPr>
            </w:pPr>
            <w:r w:rsidRPr="00644251">
              <w:rPr>
                <w:b/>
                <w:lang w:val="en-AU"/>
              </w:rPr>
              <w:t>Author: NMF Consensus Group</w:t>
            </w:r>
          </w:p>
        </w:tc>
      </w:tr>
      <w:tr w:rsidRPr="00644251" w:rsidR="00E424B4" w:rsidTr="00D03862" w14:paraId="7D9856C7" w14:textId="77777777">
        <w:tc>
          <w:tcPr>
            <w:tcW w:w="4424" w:type="dxa"/>
            <w:vAlign w:val="center"/>
          </w:tcPr>
          <w:p w:rsidRPr="00644251" w:rsidR="00E84122" w:rsidP="0059793A" w:rsidRDefault="00E84122" w14:paraId="3102D307" w14:textId="77777777">
            <w:pPr>
              <w:rPr>
                <w:bCs/>
                <w:lang w:val="en-AU"/>
              </w:rPr>
            </w:pPr>
            <w:r w:rsidRPr="00644251">
              <w:rPr>
                <w:b/>
                <w:lang w:val="en-AU"/>
              </w:rPr>
              <w:t xml:space="preserve">Current Version number:  </w:t>
            </w:r>
            <w:r>
              <w:rPr>
                <w:lang w:val="en-AU"/>
              </w:rPr>
              <w:t>2</w:t>
            </w:r>
          </w:p>
        </w:tc>
        <w:tc>
          <w:tcPr>
            <w:tcW w:w="5386" w:type="dxa"/>
            <w:vAlign w:val="center"/>
          </w:tcPr>
          <w:p w:rsidRPr="00644251" w:rsidR="00E84122" w:rsidP="0059793A" w:rsidRDefault="00E84122" w14:paraId="54668F67" w14:textId="55D4D971">
            <w:pPr>
              <w:rPr>
                <w:lang w:val="en-AU"/>
              </w:rPr>
            </w:pPr>
            <w:r w:rsidRPr="00644251">
              <w:rPr>
                <w:b/>
                <w:lang w:val="en-AU"/>
              </w:rPr>
              <w:t>Current Version Date:</w:t>
            </w:r>
            <w:r w:rsidRPr="00644251">
              <w:rPr>
                <w:lang w:val="en-AU"/>
              </w:rPr>
              <w:t xml:space="preserve">  </w:t>
            </w:r>
            <w:r>
              <w:rPr>
                <w:lang w:val="en-AU"/>
              </w:rPr>
              <w:t>30</w:t>
            </w:r>
            <w:r w:rsidRPr="00644251">
              <w:rPr>
                <w:lang w:val="en-AU"/>
              </w:rPr>
              <w:t>/</w:t>
            </w:r>
            <w:r>
              <w:rPr>
                <w:lang w:val="en-AU"/>
              </w:rPr>
              <w:t>12</w:t>
            </w:r>
            <w:r w:rsidRPr="00644251">
              <w:rPr>
                <w:lang w:val="en-AU"/>
              </w:rPr>
              <w:t>/</w:t>
            </w:r>
            <w:r>
              <w:rPr>
                <w:lang w:val="en-AU"/>
              </w:rPr>
              <w:t>2020</w:t>
            </w:r>
          </w:p>
        </w:tc>
      </w:tr>
      <w:tr w:rsidRPr="00644251" w:rsidR="00E424B4" w:rsidTr="00D03862" w14:paraId="0B26E0AC" w14:textId="77777777">
        <w:tc>
          <w:tcPr>
            <w:tcW w:w="4424" w:type="dxa"/>
            <w:vAlign w:val="center"/>
          </w:tcPr>
          <w:p w:rsidRPr="00644251" w:rsidR="00E84122" w:rsidP="0059793A" w:rsidRDefault="00E84122" w14:paraId="584613DE" w14:textId="77777777">
            <w:pPr>
              <w:rPr>
                <w:lang w:val="en-AU"/>
              </w:rPr>
            </w:pPr>
            <w:r w:rsidRPr="00644251">
              <w:rPr>
                <w:b/>
                <w:lang w:val="en-AU"/>
              </w:rPr>
              <w:t xml:space="preserve">Risk Rating: </w:t>
            </w:r>
            <w:r>
              <w:rPr>
                <w:lang w:val="en-AU"/>
              </w:rPr>
              <w:t>Low</w:t>
            </w:r>
          </w:p>
        </w:tc>
        <w:tc>
          <w:tcPr>
            <w:tcW w:w="5386" w:type="dxa"/>
            <w:vAlign w:val="center"/>
          </w:tcPr>
          <w:p w:rsidRPr="00644251" w:rsidR="00E84122" w:rsidP="0059793A" w:rsidRDefault="00E84122" w14:paraId="137503FE" w14:textId="1BAF8C0E">
            <w:pPr>
              <w:rPr>
                <w:lang w:val="en-AU"/>
              </w:rPr>
            </w:pPr>
            <w:r w:rsidRPr="00644251">
              <w:rPr>
                <w:b/>
                <w:lang w:val="en-AU"/>
              </w:rPr>
              <w:t xml:space="preserve">Due for Review: </w:t>
            </w:r>
            <w:r>
              <w:rPr>
                <w:lang w:val="en-AU"/>
              </w:rPr>
              <w:t>30-12-2025</w:t>
            </w:r>
          </w:p>
        </w:tc>
      </w:tr>
      <w:tr w:rsidRPr="00644251" w:rsidR="00E84122" w:rsidTr="00D03862" w14:paraId="39A2415F" w14:textId="77777777">
        <w:trPr>
          <w:trHeight w:val="344"/>
        </w:trPr>
        <w:tc>
          <w:tcPr>
            <w:tcW w:w="4424" w:type="dxa"/>
            <w:tcBorders>
              <w:bottom w:val="single" w:color="auto" w:sz="4" w:space="0"/>
            </w:tcBorders>
            <w:vAlign w:val="center"/>
          </w:tcPr>
          <w:p w:rsidRPr="00644251" w:rsidR="00E84122" w:rsidP="0059793A" w:rsidRDefault="00E84122" w14:paraId="6D85DF34" w14:textId="77777777">
            <w:pPr>
              <w:rPr>
                <w:b/>
                <w:lang w:val="en-AU"/>
              </w:rPr>
            </w:pPr>
            <w:r w:rsidRPr="00644251">
              <w:rPr>
                <w:b/>
                <w:lang w:val="en-AU"/>
              </w:rPr>
              <w:t xml:space="preserve">Approval by: </w:t>
            </w:r>
            <w:r>
              <w:rPr>
                <w:b/>
                <w:lang w:val="en-AU"/>
              </w:rPr>
              <w:t>DTC</w:t>
            </w:r>
          </w:p>
        </w:tc>
        <w:tc>
          <w:tcPr>
            <w:tcW w:w="5386" w:type="dxa"/>
            <w:tcBorders>
              <w:bottom w:val="single" w:color="auto" w:sz="4" w:space="0"/>
            </w:tcBorders>
            <w:vAlign w:val="center"/>
          </w:tcPr>
          <w:p w:rsidRPr="00644251" w:rsidR="00E84122" w:rsidP="0059793A" w:rsidRDefault="00E84122" w14:paraId="43D0BAFC" w14:textId="32ED4BA4">
            <w:pPr>
              <w:rPr>
                <w:b/>
                <w:lang w:val="en-AU"/>
              </w:rPr>
            </w:pPr>
            <w:r w:rsidRPr="00644251">
              <w:rPr>
                <w:b/>
                <w:lang w:val="en-AU"/>
              </w:rPr>
              <w:t>Approval Date:</w:t>
            </w:r>
            <w:r>
              <w:rPr>
                <w:b/>
                <w:lang w:val="en-AU"/>
              </w:rPr>
              <w:t xml:space="preserve"> </w:t>
            </w:r>
            <w:r w:rsidR="00260BC8">
              <w:rPr>
                <w:b/>
                <w:lang w:val="en-AU"/>
              </w:rPr>
              <w:t>APRIL 2021</w:t>
            </w:r>
          </w:p>
        </w:tc>
      </w:tr>
    </w:tbl>
    <w:p w:rsidR="00980B4A" w:rsidRDefault="00980B4A" w14:paraId="5BFB2CAB" w14:textId="18197BC1">
      <w:r>
        <w:br w:type="page"/>
      </w:r>
    </w:p>
    <w:tbl>
      <w:tblPr>
        <w:tblW w:w="9303" w:type="dxa"/>
        <w:tblInd w:w="5" w:type="dxa"/>
        <w:tblLayout w:type="fixed"/>
        <w:tblLook w:val="0000" w:firstRow="0" w:lastRow="0" w:firstColumn="0" w:lastColumn="0" w:noHBand="0" w:noVBand="0"/>
      </w:tblPr>
      <w:tblGrid>
        <w:gridCol w:w="9303"/>
      </w:tblGrid>
      <w:tr w:rsidRPr="00E25790" w:rsidR="00414653" w:rsidTr="00642ECE" w14:paraId="2975C457" w14:textId="77777777">
        <w:trPr>
          <w:cantSplit/>
          <w:trHeight w:val="480"/>
        </w:trPr>
        <w:tc>
          <w:tcPr>
            <w:tcW w:w="9303" w:type="dxa"/>
            <w:tcBorders>
              <w:top w:val="single" w:color="auto" w:sz="6" w:space="0"/>
              <w:bottom w:val="nil"/>
            </w:tcBorders>
          </w:tcPr>
          <w:p w:rsidRPr="00E25790" w:rsidR="00115F48" w:rsidP="006F0321" w:rsidRDefault="00115F48" w14:paraId="4D67FD85" w14:textId="1AA235EB"/>
        </w:tc>
      </w:tr>
    </w:tbl>
    <w:p w:rsidRPr="00E25790" w:rsidR="00115F48" w:rsidP="006F0321" w:rsidRDefault="00115F48" w14:paraId="25F9FC19" w14:textId="77777777"/>
    <w:tbl>
      <w:tblPr>
        <w:tblW w:w="9049" w:type="dxa"/>
        <w:tblLayout w:type="fixed"/>
        <w:tblLook w:val="0000" w:firstRow="0" w:lastRow="0" w:firstColumn="0" w:lastColumn="0" w:noHBand="0" w:noVBand="0"/>
      </w:tblPr>
      <w:tblGrid>
        <w:gridCol w:w="4153"/>
        <w:gridCol w:w="4896"/>
      </w:tblGrid>
      <w:tr w:rsidRPr="00E25790" w:rsidR="00115F48" w:rsidTr="00B97D99" w14:paraId="4829254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0249114B" w14:textId="77777777">
            <w:pPr>
              <w:pStyle w:val="Heading1"/>
            </w:pPr>
            <w:bookmarkStart w:name="_Toc38106861" w:id="316"/>
            <w:bookmarkStart w:name="_Toc75339986" w:id="317"/>
            <w:r w:rsidRPr="00E25790">
              <w:t>Hydrochlorothiazide</w:t>
            </w:r>
            <w:bookmarkEnd w:id="316"/>
            <w:bookmarkEnd w:id="317"/>
            <w:r w:rsidRPr="00E25790">
              <w:fldChar w:fldCharType="begin"/>
            </w:r>
            <w:r w:rsidRPr="00E25790">
              <w:instrText>tc "Chlorthiazide" \l 0</w:instrText>
            </w:r>
            <w:r w:rsidRPr="00E25790">
              <w:fldChar w:fldCharType="end"/>
            </w:r>
          </w:p>
        </w:tc>
      </w:tr>
      <w:tr w:rsidRPr="00E25790" w:rsidR="00115F48" w:rsidTr="00B97D99" w14:paraId="5A3C751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6D8866D1" w14:textId="2AA3611F">
            <w:r w:rsidRPr="00E25790">
              <w:t xml:space="preserve">Revision Date : </w:t>
            </w:r>
            <w:r w:rsidR="00397A0F">
              <w:t>18-</w:t>
            </w:r>
            <w:r w:rsidR="003D0BEE">
              <w:t>6</w:t>
            </w:r>
            <w:r w:rsidR="00397A0F">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24DD5617" w14:textId="06EC2753">
            <w:r w:rsidRPr="00E25790">
              <w:t xml:space="preserve">Approved: </w:t>
            </w:r>
            <w:r w:rsidR="00644251">
              <w:t>TC, KOH</w:t>
            </w:r>
          </w:p>
        </w:tc>
      </w:tr>
    </w:tbl>
    <w:p w:rsidRPr="00E25790" w:rsidR="00115F48" w:rsidP="006F0321" w:rsidRDefault="00115F48" w14:paraId="5C63D64E" w14:textId="77777777"/>
    <w:tbl>
      <w:tblPr>
        <w:tblW w:w="995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542"/>
      </w:tblGrid>
      <w:tr w:rsidRPr="003A7895" w:rsidR="003D0BEE" w:rsidTr="008074AA" w14:paraId="65C769AD" w14:textId="77777777">
        <w:trPr>
          <w:trHeight w:val="70"/>
        </w:trPr>
        <w:tc>
          <w:tcPr>
            <w:tcW w:w="2410" w:type="dxa"/>
          </w:tcPr>
          <w:p w:rsidRPr="00B53E9B" w:rsidR="003D0BEE" w:rsidP="00131848" w:rsidRDefault="003D0BEE" w14:paraId="7A9A3A5F" w14:textId="77777777">
            <w:pPr>
              <w:pStyle w:val="BodyText"/>
              <w:tabs>
                <w:tab w:val="center" w:pos="1476"/>
              </w:tabs>
              <w:rPr>
                <w:rFonts w:cs="Arial"/>
                <w:b/>
                <w:sz w:val="20"/>
              </w:rPr>
            </w:pPr>
            <w:r w:rsidRPr="00B53E9B">
              <w:rPr>
                <w:rFonts w:cs="Arial"/>
                <w:b/>
                <w:sz w:val="20"/>
              </w:rPr>
              <w:t>Alert</w:t>
            </w:r>
          </w:p>
        </w:tc>
        <w:tc>
          <w:tcPr>
            <w:tcW w:w="7542" w:type="dxa"/>
          </w:tcPr>
          <w:p w:rsidRPr="00717D91" w:rsidR="003D0BEE" w:rsidP="00131848" w:rsidRDefault="003D0BEE" w14:paraId="09BE54C9" w14:textId="77777777">
            <w:pPr>
              <w:pStyle w:val="BodyText"/>
              <w:rPr>
                <w:rFonts w:cs="Arial" w:asciiTheme="minorHAnsi" w:hAnsiTheme="minorHAnsi"/>
                <w:sz w:val="20"/>
              </w:rPr>
            </w:pPr>
            <w:r>
              <w:rPr>
                <w:rFonts w:cs="Arial" w:asciiTheme="minorHAnsi" w:hAnsiTheme="minorHAnsi"/>
                <w:sz w:val="20"/>
              </w:rPr>
              <w:t xml:space="preserve">Spironolactone is a potassium-sparing diuretic and concomitant intake of potassium or ACE inhibitors may lead to hyperkalemia. </w:t>
            </w:r>
          </w:p>
        </w:tc>
      </w:tr>
      <w:tr w:rsidRPr="003A7895" w:rsidR="003D0BEE" w:rsidTr="008074AA" w14:paraId="4B4CD230" w14:textId="77777777">
        <w:trPr>
          <w:trHeight w:val="72"/>
        </w:trPr>
        <w:tc>
          <w:tcPr>
            <w:tcW w:w="2410" w:type="dxa"/>
          </w:tcPr>
          <w:p w:rsidRPr="00B53E9B" w:rsidR="003D0BEE" w:rsidP="00131848" w:rsidRDefault="003D0BEE" w14:paraId="2E2DF6B4" w14:textId="77777777">
            <w:pPr>
              <w:pStyle w:val="BodyText"/>
              <w:rPr>
                <w:rFonts w:cs="Arial"/>
                <w:sz w:val="20"/>
              </w:rPr>
            </w:pPr>
            <w:r w:rsidRPr="00B53E9B">
              <w:rPr>
                <w:rFonts w:cs="Arial"/>
                <w:b/>
                <w:bCs/>
                <w:sz w:val="20"/>
              </w:rPr>
              <w:t>Indication</w:t>
            </w:r>
          </w:p>
        </w:tc>
        <w:tc>
          <w:tcPr>
            <w:tcW w:w="7542" w:type="dxa"/>
          </w:tcPr>
          <w:p w:rsidRPr="00717D91" w:rsidR="003D0BEE" w:rsidP="00131848" w:rsidRDefault="003D0BEE" w14:paraId="345E1D99" w14:textId="77777777">
            <w:pPr>
              <w:rPr>
                <w:rFonts w:cs="Arial" w:asciiTheme="minorHAnsi" w:hAnsiTheme="minorHAnsi"/>
                <w:sz w:val="20"/>
              </w:rPr>
            </w:pPr>
            <w:r w:rsidRPr="00717D91">
              <w:rPr>
                <w:rFonts w:cs="Arial" w:asciiTheme="minorHAnsi" w:hAnsiTheme="minorHAnsi"/>
                <w:sz w:val="20"/>
              </w:rPr>
              <w:t xml:space="preserve">Diuretic primarily prescribed for its potassium-sparing effect. </w:t>
            </w:r>
          </w:p>
          <w:p w:rsidRPr="00717D91" w:rsidR="003D0BEE" w:rsidP="00131848" w:rsidRDefault="003D0BEE" w14:paraId="19A257FE" w14:textId="77777777">
            <w:pPr>
              <w:rPr>
                <w:rFonts w:cs="Arial" w:asciiTheme="minorHAnsi" w:hAnsiTheme="minorHAnsi"/>
                <w:sz w:val="20"/>
              </w:rPr>
            </w:pPr>
            <w:r w:rsidRPr="00717D91">
              <w:rPr>
                <w:rFonts w:cs="Arial" w:asciiTheme="minorHAnsi" w:hAnsiTheme="minorHAnsi"/>
                <w:sz w:val="20"/>
              </w:rPr>
              <w:t>For heart failure, in conjunction with f</w:t>
            </w:r>
            <w:r>
              <w:rPr>
                <w:rFonts w:cs="Arial" w:asciiTheme="minorHAnsi" w:hAnsiTheme="minorHAnsi"/>
                <w:sz w:val="20"/>
              </w:rPr>
              <w:t>u</w:t>
            </w:r>
            <w:r w:rsidRPr="00717D91">
              <w:rPr>
                <w:rFonts w:cs="Arial" w:asciiTheme="minorHAnsi" w:hAnsiTheme="minorHAnsi"/>
                <w:sz w:val="20"/>
              </w:rPr>
              <w:t>r</w:t>
            </w:r>
            <w:r>
              <w:rPr>
                <w:rFonts w:cs="Arial" w:asciiTheme="minorHAnsi" w:hAnsiTheme="minorHAnsi"/>
                <w:sz w:val="20"/>
              </w:rPr>
              <w:t>o</w:t>
            </w:r>
            <w:r w:rsidRPr="00717D91">
              <w:rPr>
                <w:rFonts w:cs="Arial" w:asciiTheme="minorHAnsi" w:hAnsiTheme="minorHAnsi"/>
                <w:sz w:val="20"/>
              </w:rPr>
              <w:t>semide</w:t>
            </w:r>
            <w:r>
              <w:rPr>
                <w:rFonts w:cs="Arial" w:asciiTheme="minorHAnsi" w:hAnsiTheme="minorHAnsi"/>
                <w:sz w:val="20"/>
              </w:rPr>
              <w:t>.</w:t>
            </w:r>
            <w:r w:rsidRPr="00717D91">
              <w:rPr>
                <w:rFonts w:cs="Arial" w:asciiTheme="minorHAnsi" w:hAnsiTheme="minorHAnsi"/>
                <w:sz w:val="20"/>
              </w:rPr>
              <w:t xml:space="preserve"> </w:t>
            </w:r>
          </w:p>
          <w:p w:rsidR="003D0BEE" w:rsidP="00131848" w:rsidRDefault="003D0BEE" w14:paraId="041663D9" w14:textId="77777777">
            <w:pPr>
              <w:rPr>
                <w:rFonts w:cs="Arial" w:asciiTheme="minorHAnsi" w:hAnsiTheme="minorHAnsi"/>
                <w:sz w:val="20"/>
              </w:rPr>
            </w:pPr>
            <w:r w:rsidRPr="00717D91">
              <w:rPr>
                <w:rFonts w:cs="Arial" w:asciiTheme="minorHAnsi" w:hAnsiTheme="minorHAnsi"/>
                <w:sz w:val="20"/>
              </w:rPr>
              <w:t>For chronic lung disease, in conjunction with a thiazide diuretic.</w:t>
            </w:r>
          </w:p>
          <w:p w:rsidRPr="00717D91" w:rsidR="003D0BEE" w:rsidP="00131848" w:rsidRDefault="003D0BEE" w14:paraId="6A0134A0" w14:textId="77777777">
            <w:pPr>
              <w:rPr>
                <w:rFonts w:asciiTheme="minorHAnsi" w:hAnsiTheme="minorHAnsi"/>
                <w:sz w:val="20"/>
              </w:rPr>
            </w:pPr>
            <w:r>
              <w:rPr>
                <w:rFonts w:cs="Arial" w:asciiTheme="minorHAnsi" w:hAnsiTheme="minorHAnsi"/>
                <w:sz w:val="20"/>
              </w:rPr>
              <w:t>Bartter syndrome and Gitelman Syndrome.</w:t>
            </w:r>
          </w:p>
        </w:tc>
      </w:tr>
      <w:tr w:rsidRPr="003A7895" w:rsidR="003D0BEE" w:rsidTr="008074AA" w14:paraId="2A4153A6" w14:textId="77777777">
        <w:trPr>
          <w:trHeight w:val="70"/>
        </w:trPr>
        <w:tc>
          <w:tcPr>
            <w:tcW w:w="2410" w:type="dxa"/>
          </w:tcPr>
          <w:p w:rsidRPr="00B53E9B" w:rsidR="003D0BEE" w:rsidP="00131848" w:rsidRDefault="003D0BEE" w14:paraId="5D286323" w14:textId="77777777">
            <w:pPr>
              <w:pStyle w:val="BodyText"/>
              <w:rPr>
                <w:rFonts w:cs="Arial"/>
                <w:b/>
                <w:bCs/>
                <w:sz w:val="20"/>
              </w:rPr>
            </w:pPr>
            <w:r w:rsidRPr="00B53E9B">
              <w:rPr>
                <w:rFonts w:cs="Arial"/>
                <w:b/>
                <w:bCs/>
                <w:sz w:val="20"/>
              </w:rPr>
              <w:t>Action</w:t>
            </w:r>
          </w:p>
        </w:tc>
        <w:tc>
          <w:tcPr>
            <w:tcW w:w="7542" w:type="dxa"/>
          </w:tcPr>
          <w:p w:rsidRPr="00717D91" w:rsidR="003D0BEE" w:rsidP="00131848" w:rsidRDefault="003D0BEE" w14:paraId="71701E89" w14:textId="77777777">
            <w:pPr>
              <w:rPr>
                <w:rFonts w:cs="Arial" w:asciiTheme="minorHAnsi" w:hAnsiTheme="minorHAnsi"/>
                <w:sz w:val="20"/>
              </w:rPr>
            </w:pPr>
            <w:r w:rsidRPr="00717D91">
              <w:rPr>
                <w:rFonts w:cs="Arial" w:asciiTheme="minorHAnsi" w:hAnsiTheme="minorHAnsi"/>
                <w:sz w:val="20"/>
              </w:rPr>
              <w:t>Spironolactone is a synthetic steroid that acts as a competitive aldosterone receptor antagonist, so inhibits sodium reabsorption and spares potassium</w:t>
            </w:r>
            <w:r>
              <w:rPr>
                <w:rFonts w:cs="Arial" w:asciiTheme="minorHAnsi" w:hAnsiTheme="minorHAnsi"/>
                <w:sz w:val="20"/>
              </w:rPr>
              <w:t xml:space="preserve">. It is </w:t>
            </w:r>
            <w:r w:rsidRPr="00717D91">
              <w:rPr>
                <w:rFonts w:cs="Arial" w:asciiTheme="minorHAnsi" w:hAnsiTheme="minorHAnsi"/>
                <w:sz w:val="20"/>
              </w:rPr>
              <w:t xml:space="preserve">a weak diuretic. </w:t>
            </w:r>
          </w:p>
          <w:p w:rsidRPr="00717D91" w:rsidR="003D0BEE" w:rsidP="00131848" w:rsidRDefault="003D0BEE" w14:paraId="75507264" w14:textId="77777777">
            <w:pPr>
              <w:rPr>
                <w:rFonts w:cs="Arial" w:asciiTheme="minorHAnsi" w:hAnsiTheme="minorHAnsi"/>
                <w:sz w:val="20"/>
              </w:rPr>
            </w:pPr>
            <w:r>
              <w:rPr>
                <w:rFonts w:cs="Arial" w:asciiTheme="minorHAnsi" w:hAnsiTheme="minorHAnsi"/>
                <w:sz w:val="20"/>
              </w:rPr>
              <w:t>It</w:t>
            </w:r>
            <w:r w:rsidRPr="00717D91">
              <w:rPr>
                <w:rFonts w:cs="Arial" w:asciiTheme="minorHAnsi" w:hAnsiTheme="minorHAnsi"/>
                <w:sz w:val="20"/>
              </w:rPr>
              <w:t xml:space="preserve"> </w:t>
            </w:r>
            <w:r>
              <w:rPr>
                <w:rFonts w:cs="Arial" w:asciiTheme="minorHAnsi" w:hAnsiTheme="minorHAnsi"/>
                <w:sz w:val="20"/>
              </w:rPr>
              <w:t xml:space="preserve">also inhibits </w:t>
            </w:r>
            <w:r w:rsidRPr="008423F9">
              <w:rPr>
                <w:rFonts w:cs="Arial" w:asciiTheme="minorHAnsi" w:hAnsiTheme="minorHAnsi"/>
                <w:sz w:val="20"/>
              </w:rPr>
              <w:t>the interaction between dihydrotestosterone and the intracellular androgen receptor</w:t>
            </w:r>
            <w:r>
              <w:rPr>
                <w:rFonts w:cs="Arial" w:asciiTheme="minorHAnsi" w:hAnsiTheme="minorHAnsi"/>
                <w:sz w:val="20"/>
              </w:rPr>
              <w:t xml:space="preserve"> resulting in moderate antiandrogenic activity</w:t>
            </w:r>
            <w:r w:rsidRPr="008423F9">
              <w:rPr>
                <w:rFonts w:cs="Arial" w:asciiTheme="minorHAnsi" w:hAnsiTheme="minorHAnsi"/>
                <w:sz w:val="20"/>
              </w:rPr>
              <w:t>.</w:t>
            </w:r>
          </w:p>
        </w:tc>
      </w:tr>
      <w:tr w:rsidRPr="003A7895" w:rsidR="003D0BEE" w:rsidTr="008074AA" w14:paraId="52CDF30D" w14:textId="77777777">
        <w:trPr>
          <w:trHeight w:val="266"/>
        </w:trPr>
        <w:tc>
          <w:tcPr>
            <w:tcW w:w="2410" w:type="dxa"/>
          </w:tcPr>
          <w:p w:rsidRPr="00B53E9B" w:rsidR="003D0BEE" w:rsidP="00131848" w:rsidRDefault="003D0BEE" w14:paraId="2732E1BF" w14:textId="77777777">
            <w:pPr>
              <w:pStyle w:val="BodyText"/>
              <w:rPr>
                <w:rFonts w:cs="Arial"/>
                <w:sz w:val="20"/>
              </w:rPr>
            </w:pPr>
            <w:r>
              <w:rPr>
                <w:rFonts w:cs="Arial"/>
                <w:b/>
                <w:bCs/>
                <w:sz w:val="20"/>
              </w:rPr>
              <w:t>Drug t</w:t>
            </w:r>
            <w:r w:rsidRPr="00B53E9B">
              <w:rPr>
                <w:rFonts w:cs="Arial"/>
                <w:b/>
                <w:bCs/>
                <w:sz w:val="20"/>
              </w:rPr>
              <w:t>ype</w:t>
            </w:r>
          </w:p>
        </w:tc>
        <w:tc>
          <w:tcPr>
            <w:tcW w:w="7542" w:type="dxa"/>
          </w:tcPr>
          <w:p w:rsidRPr="00717D91" w:rsidR="003D0BEE" w:rsidP="00131848" w:rsidRDefault="003D0BEE" w14:paraId="660B1914" w14:textId="77777777">
            <w:pPr>
              <w:pStyle w:val="BodyText"/>
              <w:rPr>
                <w:rFonts w:cs="Arial" w:asciiTheme="minorHAnsi" w:hAnsiTheme="minorHAnsi"/>
                <w:sz w:val="20"/>
              </w:rPr>
            </w:pPr>
            <w:r>
              <w:rPr>
                <w:rFonts w:cs="Segoe UI" w:asciiTheme="minorHAnsi" w:hAnsiTheme="minorHAnsi" w:eastAsiaTheme="minorHAnsi"/>
                <w:sz w:val="20"/>
              </w:rPr>
              <w:t>N</w:t>
            </w:r>
            <w:r w:rsidRPr="00717D91">
              <w:rPr>
                <w:rFonts w:cs="Segoe UI" w:asciiTheme="minorHAnsi" w:hAnsiTheme="minorHAnsi" w:eastAsiaTheme="minorHAnsi"/>
                <w:sz w:val="20"/>
              </w:rPr>
              <w:t>on-selective mineralocorticoid receptor antagonist.</w:t>
            </w:r>
          </w:p>
        </w:tc>
      </w:tr>
      <w:tr w:rsidRPr="003A7895" w:rsidR="003D0BEE" w:rsidTr="008074AA" w14:paraId="3425A783" w14:textId="77777777">
        <w:trPr>
          <w:trHeight w:val="114"/>
        </w:trPr>
        <w:tc>
          <w:tcPr>
            <w:tcW w:w="2410" w:type="dxa"/>
          </w:tcPr>
          <w:p w:rsidRPr="00B53E9B" w:rsidR="003D0BEE" w:rsidP="00131848" w:rsidRDefault="003D0BEE" w14:paraId="41F20AF2"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42" w:type="dxa"/>
          </w:tcPr>
          <w:p w:rsidRPr="00717D91" w:rsidR="003D0BEE" w:rsidP="00131848" w:rsidRDefault="003D0BEE" w14:paraId="7D9ABBDA" w14:textId="77777777">
            <w:pPr>
              <w:pStyle w:val="BodyText"/>
              <w:rPr>
                <w:rFonts w:cs="Arial" w:asciiTheme="minorHAnsi" w:hAnsiTheme="minorHAnsi"/>
                <w:sz w:val="20"/>
              </w:rPr>
            </w:pPr>
            <w:r w:rsidRPr="00717D91">
              <w:rPr>
                <w:rFonts w:cs="Arial" w:asciiTheme="minorHAnsi" w:hAnsiTheme="minorHAnsi"/>
                <w:sz w:val="20"/>
              </w:rPr>
              <w:t>Aldactone</w:t>
            </w:r>
            <w:r>
              <w:rPr>
                <w:rFonts w:cs="Arial" w:asciiTheme="minorHAnsi" w:hAnsiTheme="minorHAnsi"/>
                <w:sz w:val="20"/>
              </w:rPr>
              <w:t>; Spiractin</w:t>
            </w:r>
          </w:p>
        </w:tc>
      </w:tr>
      <w:tr w:rsidRPr="003A7895" w:rsidR="003D0BEE" w:rsidTr="008074AA" w14:paraId="635296DB" w14:textId="77777777">
        <w:trPr>
          <w:trHeight w:val="70"/>
        </w:trPr>
        <w:tc>
          <w:tcPr>
            <w:tcW w:w="2410" w:type="dxa"/>
          </w:tcPr>
          <w:p w:rsidRPr="00B53E9B" w:rsidR="003D0BEE" w:rsidP="00131848" w:rsidRDefault="003D0BEE" w14:paraId="2398163F" w14:textId="77777777">
            <w:pPr>
              <w:pStyle w:val="BodyText"/>
              <w:rPr>
                <w:rFonts w:cs="Arial"/>
                <w:b/>
                <w:bCs/>
                <w:sz w:val="20"/>
              </w:rPr>
            </w:pPr>
            <w:r w:rsidRPr="00B53E9B">
              <w:rPr>
                <w:rFonts w:cs="Arial"/>
                <w:b/>
                <w:bCs/>
                <w:sz w:val="20"/>
              </w:rPr>
              <w:t xml:space="preserve">Presentation </w:t>
            </w:r>
          </w:p>
        </w:tc>
        <w:tc>
          <w:tcPr>
            <w:tcW w:w="7542" w:type="dxa"/>
          </w:tcPr>
          <w:p w:rsidRPr="00717D91" w:rsidR="003D0BEE" w:rsidP="00131848" w:rsidRDefault="003D0BEE" w14:paraId="1C9A3792" w14:textId="77777777">
            <w:pPr>
              <w:pStyle w:val="BodyText"/>
              <w:ind w:left="34"/>
              <w:rPr>
                <w:rFonts w:cs="Arial" w:asciiTheme="minorHAnsi" w:hAnsiTheme="minorHAnsi"/>
                <w:sz w:val="20"/>
              </w:rPr>
            </w:pPr>
            <w:r w:rsidRPr="005F16FE">
              <w:rPr>
                <w:rFonts w:cs="Arial" w:asciiTheme="minorHAnsi" w:hAnsiTheme="minorHAnsi"/>
                <w:sz w:val="20"/>
              </w:rPr>
              <w:t>Oral suspension prepared in pharmacy</w:t>
            </w:r>
            <w:r>
              <w:rPr>
                <w:rFonts w:cs="Arial" w:asciiTheme="minorHAnsi" w:hAnsiTheme="minorHAnsi"/>
                <w:sz w:val="20"/>
              </w:rPr>
              <w:t>: 1 mg/mL;</w:t>
            </w:r>
            <w:r w:rsidRPr="005F16FE">
              <w:rPr>
                <w:rFonts w:cs="Arial" w:asciiTheme="minorHAnsi" w:hAnsiTheme="minorHAnsi"/>
                <w:sz w:val="20"/>
              </w:rPr>
              <w:t xml:space="preserve"> 2.5 mg/mL</w:t>
            </w:r>
            <w:r>
              <w:rPr>
                <w:rFonts w:cs="Arial" w:asciiTheme="minorHAnsi" w:hAnsiTheme="minorHAnsi"/>
                <w:sz w:val="20"/>
              </w:rPr>
              <w:t>; 5 mg/mL.</w:t>
            </w:r>
          </w:p>
        </w:tc>
      </w:tr>
      <w:tr w:rsidRPr="000E2236" w:rsidR="003D0BEE" w:rsidTr="008074AA" w14:paraId="0A8EE780" w14:textId="77777777">
        <w:trPr>
          <w:trHeight w:val="70"/>
        </w:trPr>
        <w:tc>
          <w:tcPr>
            <w:tcW w:w="2410" w:type="dxa"/>
          </w:tcPr>
          <w:p w:rsidRPr="00B53E9B" w:rsidR="003D0BEE" w:rsidP="00131848" w:rsidRDefault="003D0BEE" w14:paraId="72723FF3" w14:textId="77777777">
            <w:pPr>
              <w:pStyle w:val="BodyText"/>
              <w:rPr>
                <w:rFonts w:cs="Arial"/>
                <w:b/>
                <w:bCs/>
                <w:sz w:val="20"/>
              </w:rPr>
            </w:pPr>
            <w:r>
              <w:rPr>
                <w:rFonts w:cs="Arial"/>
                <w:b/>
                <w:bCs/>
                <w:sz w:val="20"/>
              </w:rPr>
              <w:t>Dose</w:t>
            </w:r>
            <w:r w:rsidRPr="00B53E9B">
              <w:rPr>
                <w:rFonts w:cs="Arial"/>
                <w:b/>
                <w:bCs/>
                <w:sz w:val="20"/>
              </w:rPr>
              <w:t xml:space="preserve"> </w:t>
            </w:r>
          </w:p>
        </w:tc>
        <w:tc>
          <w:tcPr>
            <w:tcW w:w="7542" w:type="dxa"/>
          </w:tcPr>
          <w:p w:rsidR="003D0BEE" w:rsidP="00131848" w:rsidRDefault="003D0BEE" w14:paraId="240C38CD" w14:textId="77777777">
            <w:pPr>
              <w:pStyle w:val="BodyText"/>
              <w:rPr>
                <w:rFonts w:asciiTheme="minorHAnsi" w:hAnsiTheme="minorHAnsi"/>
                <w:sz w:val="20"/>
              </w:rPr>
            </w:pPr>
            <w:r>
              <w:rPr>
                <w:rFonts w:asciiTheme="minorHAnsi" w:hAnsiTheme="minorHAnsi"/>
                <w:sz w:val="20"/>
              </w:rPr>
              <w:t xml:space="preserve">1–3 mg/kg/dose 24 hourly. </w:t>
            </w:r>
          </w:p>
          <w:p w:rsidRPr="00717D91" w:rsidR="003D0BEE" w:rsidP="00131848" w:rsidRDefault="003D0BEE" w14:paraId="03EBDD21" w14:textId="77777777">
            <w:pPr>
              <w:pStyle w:val="BodyText"/>
              <w:rPr>
                <w:rFonts w:asciiTheme="minorHAnsi" w:hAnsiTheme="minorHAnsi"/>
                <w:sz w:val="20"/>
              </w:rPr>
            </w:pPr>
            <w:r>
              <w:rPr>
                <w:rFonts w:asciiTheme="minorHAnsi" w:hAnsiTheme="minorHAnsi"/>
                <w:sz w:val="20"/>
              </w:rPr>
              <w:t xml:space="preserve">Dose can be divided into different intervals. </w:t>
            </w:r>
          </w:p>
        </w:tc>
      </w:tr>
      <w:tr w:rsidRPr="003A7895" w:rsidR="003D0BEE" w:rsidTr="008074AA" w14:paraId="1989CEE0" w14:textId="77777777">
        <w:trPr>
          <w:trHeight w:val="407"/>
        </w:trPr>
        <w:tc>
          <w:tcPr>
            <w:tcW w:w="2410" w:type="dxa"/>
          </w:tcPr>
          <w:p w:rsidRPr="00B53E9B" w:rsidR="003D0BEE" w:rsidP="00131848" w:rsidRDefault="003D0BEE" w14:paraId="2753C8EE" w14:textId="77777777">
            <w:pPr>
              <w:pStyle w:val="BodyText"/>
              <w:rPr>
                <w:b/>
                <w:sz w:val="20"/>
              </w:rPr>
            </w:pPr>
            <w:r w:rsidRPr="00B53E9B">
              <w:rPr>
                <w:b/>
                <w:sz w:val="20"/>
              </w:rPr>
              <w:t>Dose adjustment</w:t>
            </w:r>
          </w:p>
        </w:tc>
        <w:tc>
          <w:tcPr>
            <w:tcW w:w="7542" w:type="dxa"/>
          </w:tcPr>
          <w:p w:rsidR="003D0BEE" w:rsidP="00131848" w:rsidRDefault="003D0BEE" w14:paraId="54502B7A" w14:textId="77777777">
            <w:pPr>
              <w:pStyle w:val="BodyText"/>
              <w:rPr>
                <w:sz w:val="20"/>
              </w:rPr>
            </w:pPr>
            <w:r>
              <w:rPr>
                <w:sz w:val="20"/>
              </w:rPr>
              <w:t>Therapeutic hypothermia – Not applicable.</w:t>
            </w:r>
          </w:p>
          <w:p w:rsidR="003D0BEE" w:rsidP="00131848" w:rsidRDefault="003D0BEE" w14:paraId="22A0B912" w14:textId="77777777">
            <w:pPr>
              <w:pStyle w:val="BodyText"/>
              <w:rPr>
                <w:sz w:val="20"/>
              </w:rPr>
            </w:pPr>
            <w:r>
              <w:rPr>
                <w:sz w:val="20"/>
              </w:rPr>
              <w:t>Renal impairment – Refer to precautions section.</w:t>
            </w:r>
          </w:p>
          <w:p w:rsidRPr="00026F20" w:rsidR="003D0BEE" w:rsidP="00131848" w:rsidRDefault="003D0BEE" w14:paraId="0AE8A18A" w14:textId="77777777">
            <w:pPr>
              <w:pStyle w:val="BodyText"/>
              <w:rPr>
                <w:sz w:val="20"/>
              </w:rPr>
            </w:pPr>
            <w:r>
              <w:rPr>
                <w:sz w:val="20"/>
              </w:rPr>
              <w:t>Hepatic impairment – Refer to precautions section.</w:t>
            </w:r>
          </w:p>
        </w:tc>
      </w:tr>
      <w:tr w:rsidRPr="003A7895" w:rsidR="003D0BEE" w:rsidTr="008074AA" w14:paraId="21C2AA11" w14:textId="77777777">
        <w:trPr>
          <w:trHeight w:val="113"/>
        </w:trPr>
        <w:tc>
          <w:tcPr>
            <w:tcW w:w="2410" w:type="dxa"/>
          </w:tcPr>
          <w:p w:rsidRPr="00B53E9B" w:rsidR="003D0BEE" w:rsidP="00131848" w:rsidRDefault="003D0BEE" w14:paraId="56D23380" w14:textId="77777777">
            <w:pPr>
              <w:pStyle w:val="BodyText"/>
              <w:rPr>
                <w:b/>
                <w:sz w:val="20"/>
              </w:rPr>
            </w:pPr>
            <w:r w:rsidRPr="00B53E9B">
              <w:rPr>
                <w:b/>
                <w:sz w:val="20"/>
              </w:rPr>
              <w:t>Maximum dose</w:t>
            </w:r>
          </w:p>
        </w:tc>
        <w:tc>
          <w:tcPr>
            <w:tcW w:w="7542" w:type="dxa"/>
          </w:tcPr>
          <w:p w:rsidRPr="00026F20" w:rsidR="003D0BEE" w:rsidP="00131848" w:rsidRDefault="003D0BEE" w14:paraId="590EA451" w14:textId="77777777">
            <w:pPr>
              <w:pStyle w:val="BodyText"/>
              <w:rPr>
                <w:sz w:val="20"/>
              </w:rPr>
            </w:pPr>
            <w:r>
              <w:rPr>
                <w:rFonts w:asciiTheme="minorHAnsi" w:hAnsiTheme="minorHAnsi"/>
                <w:sz w:val="20"/>
              </w:rPr>
              <w:t>3</w:t>
            </w:r>
            <w:r w:rsidRPr="00717D91">
              <w:rPr>
                <w:rFonts w:asciiTheme="minorHAnsi" w:hAnsiTheme="minorHAnsi"/>
                <w:sz w:val="20"/>
              </w:rPr>
              <w:t xml:space="preserve"> mg/kg/day</w:t>
            </w:r>
          </w:p>
        </w:tc>
      </w:tr>
      <w:tr w:rsidRPr="003A7895" w:rsidR="003D0BEE" w:rsidTr="008074AA" w14:paraId="2F2EE50C" w14:textId="77777777">
        <w:trPr>
          <w:trHeight w:val="144"/>
        </w:trPr>
        <w:tc>
          <w:tcPr>
            <w:tcW w:w="2410" w:type="dxa"/>
          </w:tcPr>
          <w:p w:rsidRPr="00B53E9B" w:rsidR="003D0BEE" w:rsidP="00131848" w:rsidRDefault="003D0BEE" w14:paraId="44032491" w14:textId="77777777">
            <w:pPr>
              <w:pStyle w:val="BodyText"/>
              <w:rPr>
                <w:rFonts w:cs="Arial"/>
                <w:b/>
                <w:bCs/>
                <w:sz w:val="20"/>
              </w:rPr>
            </w:pPr>
            <w:r w:rsidRPr="00B53E9B">
              <w:rPr>
                <w:b/>
                <w:sz w:val="20"/>
              </w:rPr>
              <w:t>Total cumulative dose</w:t>
            </w:r>
          </w:p>
        </w:tc>
        <w:tc>
          <w:tcPr>
            <w:tcW w:w="7542" w:type="dxa"/>
          </w:tcPr>
          <w:p w:rsidRPr="00026F20" w:rsidR="003D0BEE" w:rsidP="00131848" w:rsidRDefault="003D0BEE" w14:paraId="479EB913" w14:textId="77777777">
            <w:pPr>
              <w:pStyle w:val="BodyText"/>
              <w:rPr>
                <w:rFonts w:cs="Arial"/>
                <w:b/>
                <w:sz w:val="20"/>
              </w:rPr>
            </w:pPr>
          </w:p>
        </w:tc>
      </w:tr>
      <w:tr w:rsidRPr="003A7895" w:rsidR="003D0BEE" w:rsidTr="008074AA" w14:paraId="5A02EB03" w14:textId="77777777">
        <w:trPr>
          <w:trHeight w:val="294"/>
        </w:trPr>
        <w:tc>
          <w:tcPr>
            <w:tcW w:w="2410" w:type="dxa"/>
          </w:tcPr>
          <w:p w:rsidRPr="00B53E9B" w:rsidR="003D0BEE" w:rsidP="00131848" w:rsidRDefault="003D0BEE" w14:paraId="3515BA5A" w14:textId="77777777">
            <w:pPr>
              <w:pStyle w:val="BodyText"/>
              <w:rPr>
                <w:rFonts w:cs="Arial"/>
                <w:sz w:val="20"/>
              </w:rPr>
            </w:pPr>
            <w:r w:rsidRPr="00B53E9B">
              <w:rPr>
                <w:rFonts w:cs="Arial"/>
                <w:b/>
                <w:bCs/>
                <w:sz w:val="20"/>
              </w:rPr>
              <w:t xml:space="preserve">Route </w:t>
            </w:r>
          </w:p>
        </w:tc>
        <w:tc>
          <w:tcPr>
            <w:tcW w:w="7542" w:type="dxa"/>
          </w:tcPr>
          <w:p w:rsidRPr="00717D91" w:rsidR="003D0BEE" w:rsidP="00131848" w:rsidRDefault="003D0BEE" w14:paraId="1D9AE2FE" w14:textId="77777777">
            <w:pPr>
              <w:pStyle w:val="BodyText"/>
              <w:rPr>
                <w:rFonts w:cs="Arial" w:asciiTheme="minorHAnsi" w:hAnsiTheme="minorHAnsi"/>
                <w:sz w:val="20"/>
              </w:rPr>
            </w:pPr>
            <w:r w:rsidRPr="00717D91">
              <w:rPr>
                <w:rFonts w:cs="Arial" w:asciiTheme="minorHAnsi" w:hAnsiTheme="minorHAnsi"/>
                <w:sz w:val="20"/>
              </w:rPr>
              <w:t>Oral</w:t>
            </w:r>
          </w:p>
        </w:tc>
      </w:tr>
      <w:tr w:rsidRPr="003A7895" w:rsidR="003D0BEE" w:rsidTr="008074AA" w14:paraId="627D043D" w14:textId="77777777">
        <w:trPr>
          <w:trHeight w:val="93"/>
        </w:trPr>
        <w:tc>
          <w:tcPr>
            <w:tcW w:w="2410" w:type="dxa"/>
          </w:tcPr>
          <w:p w:rsidRPr="00B53E9B" w:rsidR="003D0BEE" w:rsidP="00131848" w:rsidRDefault="003D0BEE" w14:paraId="3CFEA988"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42" w:type="dxa"/>
          </w:tcPr>
          <w:p w:rsidRPr="00717D91" w:rsidR="003D0BEE" w:rsidP="00131848" w:rsidRDefault="003D0BEE" w14:paraId="10BA9F46" w14:textId="77777777">
            <w:pPr>
              <w:pStyle w:val="BodyText"/>
              <w:rPr>
                <w:rFonts w:cs="Arial" w:asciiTheme="minorHAnsi" w:hAnsiTheme="minorHAnsi"/>
                <w:sz w:val="20"/>
              </w:rPr>
            </w:pPr>
            <w:r>
              <w:rPr>
                <w:rFonts w:cs="Arial" w:asciiTheme="minorHAnsi" w:hAnsiTheme="minorHAnsi"/>
                <w:sz w:val="20"/>
              </w:rPr>
              <w:t>Oral suspension.</w:t>
            </w:r>
          </w:p>
        </w:tc>
      </w:tr>
      <w:tr w:rsidRPr="003A7895" w:rsidR="003D0BEE" w:rsidTr="008074AA" w14:paraId="185F8B6A" w14:textId="77777777">
        <w:trPr>
          <w:trHeight w:val="224"/>
        </w:trPr>
        <w:tc>
          <w:tcPr>
            <w:tcW w:w="2410" w:type="dxa"/>
          </w:tcPr>
          <w:p w:rsidRPr="00B53E9B" w:rsidR="003D0BEE" w:rsidP="00131848" w:rsidRDefault="003D0BEE" w14:paraId="711880C2" w14:textId="77777777">
            <w:pPr>
              <w:pStyle w:val="BodyText"/>
              <w:rPr>
                <w:rFonts w:cs="Arial"/>
                <w:b/>
                <w:bCs/>
                <w:sz w:val="20"/>
              </w:rPr>
            </w:pPr>
            <w:r w:rsidRPr="00B53E9B">
              <w:rPr>
                <w:rFonts w:cs="Arial"/>
                <w:b/>
                <w:bCs/>
                <w:sz w:val="20"/>
              </w:rPr>
              <w:t xml:space="preserve">Administration </w:t>
            </w:r>
          </w:p>
        </w:tc>
        <w:tc>
          <w:tcPr>
            <w:tcW w:w="7542" w:type="dxa"/>
          </w:tcPr>
          <w:p w:rsidRPr="00717D91" w:rsidR="003D0BEE" w:rsidP="00131848" w:rsidRDefault="003D0BEE" w14:paraId="54108232" w14:textId="77777777">
            <w:pPr>
              <w:pStyle w:val="BodyText"/>
              <w:rPr>
                <w:rFonts w:cs="Arial" w:asciiTheme="minorHAnsi" w:hAnsiTheme="minorHAnsi"/>
                <w:sz w:val="20"/>
              </w:rPr>
            </w:pPr>
            <w:r>
              <w:rPr>
                <w:rFonts w:cs="Arial" w:asciiTheme="minorHAnsi" w:hAnsiTheme="minorHAnsi"/>
                <w:sz w:val="20"/>
              </w:rPr>
              <w:t xml:space="preserve">Administer undiluted </w:t>
            </w:r>
            <w:r w:rsidRPr="00717D91">
              <w:rPr>
                <w:rFonts w:cs="Arial" w:asciiTheme="minorHAnsi" w:hAnsiTheme="minorHAnsi"/>
                <w:sz w:val="20"/>
              </w:rPr>
              <w:t>with feeds.</w:t>
            </w:r>
          </w:p>
        </w:tc>
      </w:tr>
      <w:tr w:rsidRPr="003A7895" w:rsidR="003D0BEE" w:rsidTr="008074AA" w14:paraId="3AB34BC7" w14:textId="77777777">
        <w:trPr>
          <w:trHeight w:val="215"/>
        </w:trPr>
        <w:tc>
          <w:tcPr>
            <w:tcW w:w="2410" w:type="dxa"/>
          </w:tcPr>
          <w:p w:rsidRPr="00B53E9B" w:rsidR="003D0BEE" w:rsidP="00131848" w:rsidRDefault="003D0BEE" w14:paraId="24740D6B" w14:textId="77777777">
            <w:pPr>
              <w:pStyle w:val="BodyText"/>
              <w:rPr>
                <w:rFonts w:cs="Arial"/>
                <w:b/>
                <w:bCs/>
                <w:sz w:val="20"/>
              </w:rPr>
            </w:pPr>
            <w:r w:rsidRPr="00B53E9B">
              <w:rPr>
                <w:rFonts w:cs="Arial"/>
                <w:b/>
                <w:bCs/>
                <w:sz w:val="20"/>
              </w:rPr>
              <w:t>Monitoring</w:t>
            </w:r>
          </w:p>
        </w:tc>
        <w:tc>
          <w:tcPr>
            <w:tcW w:w="7542" w:type="dxa"/>
          </w:tcPr>
          <w:p w:rsidRPr="00717D91" w:rsidR="003D0BEE" w:rsidP="00131848" w:rsidRDefault="003D0BEE" w14:paraId="13338649" w14:textId="77777777">
            <w:pPr>
              <w:pStyle w:val="BodyText"/>
              <w:rPr>
                <w:rFonts w:cs="Arial" w:asciiTheme="minorHAnsi" w:hAnsiTheme="minorHAnsi"/>
                <w:sz w:val="20"/>
              </w:rPr>
            </w:pPr>
            <w:r w:rsidRPr="00717D91">
              <w:rPr>
                <w:rFonts w:cs="Arial" w:asciiTheme="minorHAnsi" w:hAnsiTheme="minorHAnsi"/>
                <w:sz w:val="20"/>
              </w:rPr>
              <w:t xml:space="preserve">Serum potassium at regular intervals. </w:t>
            </w:r>
          </w:p>
        </w:tc>
      </w:tr>
      <w:tr w:rsidRPr="003A7895" w:rsidR="003D0BEE" w:rsidTr="008074AA" w14:paraId="7FB5ED53" w14:textId="77777777">
        <w:trPr>
          <w:trHeight w:val="342"/>
        </w:trPr>
        <w:tc>
          <w:tcPr>
            <w:tcW w:w="2410" w:type="dxa"/>
          </w:tcPr>
          <w:p w:rsidRPr="00B53E9B" w:rsidR="003D0BEE" w:rsidP="00131848" w:rsidRDefault="003D0BEE" w14:paraId="0B6EE00C" w14:textId="77777777">
            <w:pPr>
              <w:pStyle w:val="BodyText"/>
              <w:rPr>
                <w:rFonts w:cs="Arial"/>
                <w:b/>
                <w:bCs/>
                <w:sz w:val="20"/>
              </w:rPr>
            </w:pPr>
            <w:r w:rsidRPr="00B53E9B">
              <w:rPr>
                <w:rFonts w:cs="Arial"/>
                <w:b/>
                <w:bCs/>
                <w:sz w:val="20"/>
              </w:rPr>
              <w:t>Contraindications</w:t>
            </w:r>
          </w:p>
        </w:tc>
        <w:tc>
          <w:tcPr>
            <w:tcW w:w="7542" w:type="dxa"/>
          </w:tcPr>
          <w:p w:rsidR="003D0BEE" w:rsidP="00131848" w:rsidRDefault="003D0BEE" w14:paraId="3795DC2A" w14:textId="77777777">
            <w:pPr>
              <w:pStyle w:val="BodyText"/>
              <w:rPr>
                <w:rFonts w:cs="Arial" w:asciiTheme="minorHAnsi" w:hAnsiTheme="minorHAnsi"/>
                <w:sz w:val="20"/>
              </w:rPr>
            </w:pPr>
            <w:r w:rsidRPr="00717D91">
              <w:rPr>
                <w:rFonts w:cs="Arial" w:asciiTheme="minorHAnsi" w:hAnsiTheme="minorHAnsi"/>
                <w:sz w:val="20"/>
              </w:rPr>
              <w:t>Hyperkalaemia</w:t>
            </w:r>
            <w:r>
              <w:rPr>
                <w:rFonts w:cs="Arial" w:asciiTheme="minorHAnsi" w:hAnsiTheme="minorHAnsi"/>
                <w:sz w:val="20"/>
              </w:rPr>
              <w:t>.</w:t>
            </w:r>
          </w:p>
          <w:p w:rsidR="003D0BEE" w:rsidP="00131848" w:rsidRDefault="003D0BEE" w14:paraId="0B2C0CC1" w14:textId="77777777">
            <w:pPr>
              <w:pStyle w:val="BodyText"/>
              <w:rPr>
                <w:rFonts w:cs="Arial" w:asciiTheme="minorHAnsi" w:hAnsiTheme="minorHAnsi"/>
                <w:sz w:val="20"/>
              </w:rPr>
            </w:pPr>
            <w:r>
              <w:rPr>
                <w:rFonts w:cs="Arial" w:asciiTheme="minorHAnsi" w:hAnsiTheme="minorHAnsi"/>
                <w:sz w:val="20"/>
              </w:rPr>
              <w:t>S</w:t>
            </w:r>
            <w:r w:rsidRPr="00717D91">
              <w:rPr>
                <w:rFonts w:cs="Arial" w:asciiTheme="minorHAnsi" w:hAnsiTheme="minorHAnsi"/>
                <w:sz w:val="20"/>
              </w:rPr>
              <w:t>ignificant renal impairment</w:t>
            </w:r>
            <w:r>
              <w:rPr>
                <w:rFonts w:cs="Arial" w:asciiTheme="minorHAnsi" w:hAnsiTheme="minorHAnsi"/>
                <w:sz w:val="20"/>
              </w:rPr>
              <w:t xml:space="preserve">. </w:t>
            </w:r>
          </w:p>
          <w:p w:rsidR="003D0BEE" w:rsidP="00131848" w:rsidRDefault="003D0BEE" w14:paraId="33F20541" w14:textId="77777777">
            <w:pPr>
              <w:pStyle w:val="BodyText"/>
              <w:rPr>
                <w:rFonts w:cs="Arial" w:asciiTheme="minorHAnsi" w:hAnsiTheme="minorHAnsi"/>
                <w:sz w:val="20"/>
              </w:rPr>
            </w:pPr>
            <w:r>
              <w:rPr>
                <w:rFonts w:cs="Arial" w:asciiTheme="minorHAnsi" w:hAnsiTheme="minorHAnsi"/>
                <w:sz w:val="20"/>
              </w:rPr>
              <w:t>Anuria.</w:t>
            </w:r>
          </w:p>
          <w:p w:rsidRPr="00717D91" w:rsidR="003D0BEE" w:rsidP="00131848" w:rsidRDefault="003D0BEE" w14:paraId="66C070D8" w14:textId="77777777">
            <w:pPr>
              <w:pStyle w:val="BodyText"/>
              <w:rPr>
                <w:rFonts w:cs="Arial" w:asciiTheme="minorHAnsi" w:hAnsiTheme="minorHAnsi"/>
                <w:sz w:val="20"/>
              </w:rPr>
            </w:pPr>
            <w:r>
              <w:rPr>
                <w:rFonts w:cs="Arial" w:asciiTheme="minorHAnsi" w:hAnsiTheme="minorHAnsi"/>
                <w:sz w:val="20"/>
              </w:rPr>
              <w:t>A</w:t>
            </w:r>
            <w:r w:rsidRPr="00717D91">
              <w:rPr>
                <w:rFonts w:cs="Arial" w:asciiTheme="minorHAnsi" w:hAnsiTheme="minorHAnsi"/>
                <w:sz w:val="20"/>
              </w:rPr>
              <w:t>drenal insufficiency.</w:t>
            </w:r>
          </w:p>
        </w:tc>
      </w:tr>
      <w:tr w:rsidRPr="003A7895" w:rsidR="003D0BEE" w:rsidTr="008074AA" w14:paraId="580D934F" w14:textId="77777777">
        <w:tc>
          <w:tcPr>
            <w:tcW w:w="2410" w:type="dxa"/>
          </w:tcPr>
          <w:p w:rsidRPr="00B53E9B" w:rsidR="003D0BEE" w:rsidP="00131848" w:rsidRDefault="003D0BEE" w14:paraId="015E87B6" w14:textId="77777777">
            <w:pPr>
              <w:pStyle w:val="BodyText"/>
              <w:rPr>
                <w:rFonts w:cs="Arial"/>
                <w:b/>
                <w:bCs/>
                <w:sz w:val="20"/>
              </w:rPr>
            </w:pPr>
            <w:r w:rsidRPr="00B53E9B">
              <w:rPr>
                <w:sz w:val="20"/>
              </w:rPr>
              <w:br w:type="page"/>
            </w:r>
            <w:r w:rsidRPr="00B53E9B">
              <w:rPr>
                <w:rFonts w:cs="Arial"/>
                <w:b/>
                <w:bCs/>
                <w:sz w:val="20"/>
              </w:rPr>
              <w:t>Precautions</w:t>
            </w:r>
          </w:p>
        </w:tc>
        <w:tc>
          <w:tcPr>
            <w:tcW w:w="7542" w:type="dxa"/>
          </w:tcPr>
          <w:p w:rsidRPr="00717D91" w:rsidR="003D0BEE" w:rsidP="00131848" w:rsidRDefault="003D0BEE" w14:paraId="2288FCA7" w14:textId="77777777">
            <w:pPr>
              <w:pStyle w:val="BodyText"/>
              <w:rPr>
                <w:rFonts w:cs="Arial" w:asciiTheme="minorHAnsi" w:hAnsiTheme="minorHAnsi"/>
                <w:sz w:val="20"/>
              </w:rPr>
            </w:pPr>
            <w:r w:rsidRPr="00717D91">
              <w:rPr>
                <w:rFonts w:cs="Arial" w:asciiTheme="minorHAnsi" w:hAnsiTheme="minorHAnsi"/>
                <w:sz w:val="20"/>
              </w:rPr>
              <w:t xml:space="preserve">Use with caution in infants with renal </w:t>
            </w:r>
            <w:r>
              <w:rPr>
                <w:rFonts w:cs="Arial" w:asciiTheme="minorHAnsi" w:hAnsiTheme="minorHAnsi"/>
                <w:sz w:val="20"/>
              </w:rPr>
              <w:t>or</w:t>
            </w:r>
            <w:r w:rsidRPr="00717D91">
              <w:rPr>
                <w:rFonts w:cs="Arial" w:asciiTheme="minorHAnsi" w:hAnsiTheme="minorHAnsi"/>
                <w:sz w:val="20"/>
              </w:rPr>
              <w:t xml:space="preserve"> hepatic impairment. </w:t>
            </w:r>
          </w:p>
          <w:p w:rsidRPr="00717D91" w:rsidR="003D0BEE" w:rsidP="00131848" w:rsidRDefault="003D0BEE" w14:paraId="7C515A99" w14:textId="77777777">
            <w:pPr>
              <w:pStyle w:val="BodyText"/>
              <w:rPr>
                <w:rFonts w:cs="Arial" w:asciiTheme="minorHAnsi" w:hAnsiTheme="minorHAnsi"/>
                <w:sz w:val="20"/>
              </w:rPr>
            </w:pPr>
            <w:r w:rsidRPr="00717D91">
              <w:rPr>
                <w:rFonts w:cs="Arial" w:asciiTheme="minorHAnsi" w:hAnsiTheme="minorHAnsi"/>
                <w:sz w:val="20"/>
              </w:rPr>
              <w:t>Monitor more frequently if infant</w:t>
            </w:r>
            <w:r>
              <w:rPr>
                <w:rFonts w:cs="Arial" w:asciiTheme="minorHAnsi" w:hAnsiTheme="minorHAnsi"/>
                <w:sz w:val="20"/>
              </w:rPr>
              <w:t xml:space="preserve"> is</w:t>
            </w:r>
            <w:r w:rsidRPr="00717D91">
              <w:rPr>
                <w:rFonts w:cs="Arial" w:asciiTheme="minorHAnsi" w:hAnsiTheme="minorHAnsi"/>
                <w:sz w:val="20"/>
              </w:rPr>
              <w:t xml:space="preserve"> also given pota</w:t>
            </w:r>
            <w:r>
              <w:rPr>
                <w:rFonts w:cs="Arial" w:asciiTheme="minorHAnsi" w:hAnsiTheme="minorHAnsi"/>
                <w:sz w:val="20"/>
              </w:rPr>
              <w:t>ssium.</w:t>
            </w:r>
          </w:p>
        </w:tc>
      </w:tr>
      <w:tr w:rsidRPr="003A7895" w:rsidR="003D0BEE" w:rsidTr="008074AA" w14:paraId="1238D79B" w14:textId="77777777">
        <w:trPr>
          <w:trHeight w:val="70"/>
        </w:trPr>
        <w:tc>
          <w:tcPr>
            <w:tcW w:w="2410" w:type="dxa"/>
          </w:tcPr>
          <w:p w:rsidRPr="00B53E9B" w:rsidR="003D0BEE" w:rsidP="00131848" w:rsidRDefault="003D0BEE" w14:paraId="1BD91957"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42" w:type="dxa"/>
          </w:tcPr>
          <w:p w:rsidRPr="00717D91" w:rsidR="003D0BEE" w:rsidP="00131848" w:rsidRDefault="003D0BEE" w14:paraId="72ADD7B3" w14:textId="77777777">
            <w:pPr>
              <w:pStyle w:val="BodyText"/>
              <w:rPr>
                <w:rFonts w:cs="Arial" w:asciiTheme="minorHAnsi" w:hAnsiTheme="minorHAnsi"/>
                <w:sz w:val="20"/>
              </w:rPr>
            </w:pPr>
            <w:r>
              <w:rPr>
                <w:rFonts w:cs="Arial" w:asciiTheme="minorHAnsi" w:hAnsiTheme="minorHAnsi"/>
                <w:sz w:val="20"/>
              </w:rPr>
              <w:t xml:space="preserve">Spironolactone increases the effects of ACE inhibitors (leading to hyperkalemia), digoxin and sotalol. </w:t>
            </w:r>
          </w:p>
        </w:tc>
      </w:tr>
      <w:tr w:rsidRPr="003A7895" w:rsidR="003D0BEE" w:rsidTr="008074AA" w14:paraId="6C82FED3" w14:textId="77777777">
        <w:trPr>
          <w:trHeight w:val="332"/>
        </w:trPr>
        <w:tc>
          <w:tcPr>
            <w:tcW w:w="2410" w:type="dxa"/>
          </w:tcPr>
          <w:p w:rsidRPr="00B53E9B" w:rsidR="003D0BEE" w:rsidP="00131848" w:rsidRDefault="003D0BEE" w14:paraId="29B4063D"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42" w:type="dxa"/>
          </w:tcPr>
          <w:p w:rsidRPr="00717D91" w:rsidR="003D0BEE" w:rsidP="00131848" w:rsidRDefault="003D0BEE" w14:paraId="7A601D16" w14:textId="77777777">
            <w:pPr>
              <w:pStyle w:val="BodyText"/>
              <w:rPr>
                <w:rFonts w:cs="Arial" w:asciiTheme="minorHAnsi" w:hAnsiTheme="minorHAnsi"/>
                <w:sz w:val="20"/>
              </w:rPr>
            </w:pPr>
            <w:r w:rsidRPr="00717D91">
              <w:rPr>
                <w:rFonts w:cs="Arial" w:asciiTheme="minorHAnsi" w:hAnsiTheme="minorHAnsi"/>
                <w:sz w:val="20"/>
              </w:rPr>
              <w:t>Hyperkalaemia and metabolic acidosis.</w:t>
            </w:r>
          </w:p>
          <w:p w:rsidRPr="00717D91" w:rsidR="003D0BEE" w:rsidP="00131848" w:rsidRDefault="003D0BEE" w14:paraId="5448C768" w14:textId="77777777">
            <w:pPr>
              <w:pStyle w:val="BodyText"/>
              <w:rPr>
                <w:rFonts w:cs="Arial" w:asciiTheme="minorHAnsi" w:hAnsiTheme="minorHAnsi"/>
                <w:sz w:val="20"/>
              </w:rPr>
            </w:pPr>
            <w:r>
              <w:rPr>
                <w:rFonts w:cs="Arial" w:asciiTheme="minorHAnsi" w:hAnsiTheme="minorHAnsi"/>
                <w:sz w:val="20"/>
              </w:rPr>
              <w:t>Antia</w:t>
            </w:r>
            <w:r w:rsidRPr="00717D91">
              <w:rPr>
                <w:rFonts w:cs="Arial" w:asciiTheme="minorHAnsi" w:hAnsiTheme="minorHAnsi"/>
                <w:sz w:val="20"/>
              </w:rPr>
              <w:t xml:space="preserve">ndrogenic effects include reduced hirsutism and gynecomastia. </w:t>
            </w:r>
          </w:p>
          <w:p w:rsidRPr="00717D91" w:rsidR="003D0BEE" w:rsidP="00131848" w:rsidRDefault="003D0BEE" w14:paraId="0716C8B6" w14:textId="77777777">
            <w:pPr>
              <w:pStyle w:val="BodyText"/>
              <w:rPr>
                <w:rFonts w:cs="Arial" w:asciiTheme="minorHAnsi" w:hAnsiTheme="minorHAnsi"/>
                <w:sz w:val="20"/>
              </w:rPr>
            </w:pPr>
            <w:r w:rsidRPr="00717D91">
              <w:rPr>
                <w:rFonts w:cs="Arial" w:asciiTheme="minorHAnsi" w:hAnsiTheme="minorHAnsi"/>
                <w:sz w:val="20"/>
              </w:rPr>
              <w:t xml:space="preserve">There is one case report of an ovarian cyst in a neonate on spironolactone. </w:t>
            </w:r>
          </w:p>
          <w:p w:rsidRPr="00717D91" w:rsidR="003D0BEE" w:rsidP="00131848" w:rsidRDefault="003D0BEE" w14:paraId="101E9F20" w14:textId="77777777">
            <w:pPr>
              <w:pStyle w:val="BodyText"/>
              <w:rPr>
                <w:rFonts w:cs="Arial" w:asciiTheme="minorHAnsi" w:hAnsiTheme="minorHAnsi"/>
                <w:sz w:val="20"/>
              </w:rPr>
            </w:pPr>
            <w:r w:rsidRPr="00717D91">
              <w:rPr>
                <w:rFonts w:cs="Arial" w:asciiTheme="minorHAnsi" w:hAnsiTheme="minorHAnsi"/>
                <w:sz w:val="20"/>
              </w:rPr>
              <w:t>Spironolactone interferes with 17-hydroxyprogesterone measurement, which is used to screen neonates for congenital adrenal hyperplasia.</w:t>
            </w:r>
          </w:p>
          <w:p w:rsidRPr="00717D91" w:rsidR="003D0BEE" w:rsidP="00131848" w:rsidRDefault="003D0BEE" w14:paraId="01CB3A2A" w14:textId="77777777">
            <w:pPr>
              <w:pStyle w:val="BodyText"/>
              <w:rPr>
                <w:rFonts w:cs="Arial" w:asciiTheme="minorHAnsi" w:hAnsiTheme="minorHAnsi"/>
                <w:sz w:val="20"/>
              </w:rPr>
            </w:pPr>
            <w:r w:rsidRPr="00717D91">
              <w:rPr>
                <w:rFonts w:cs="Arial" w:asciiTheme="minorHAnsi" w:hAnsiTheme="minorHAnsi"/>
                <w:sz w:val="20"/>
              </w:rPr>
              <w:t xml:space="preserve">Reduces clearance of digoxin. </w:t>
            </w:r>
          </w:p>
        </w:tc>
      </w:tr>
      <w:tr w:rsidRPr="003A7895" w:rsidR="003D0BEE" w:rsidTr="008074AA" w14:paraId="63F7072E" w14:textId="77777777">
        <w:trPr>
          <w:trHeight w:val="180"/>
        </w:trPr>
        <w:tc>
          <w:tcPr>
            <w:tcW w:w="2410" w:type="dxa"/>
          </w:tcPr>
          <w:p w:rsidRPr="00B53E9B" w:rsidR="003D0BEE" w:rsidP="00131848" w:rsidRDefault="003D0BEE" w14:paraId="7876CCE0" w14:textId="77777777">
            <w:pPr>
              <w:pStyle w:val="BodyText"/>
              <w:rPr>
                <w:rFonts w:cs="Arial"/>
                <w:b/>
                <w:bCs/>
                <w:sz w:val="20"/>
              </w:rPr>
            </w:pPr>
            <w:r w:rsidRPr="00B53E9B">
              <w:rPr>
                <w:rFonts w:cs="Arial"/>
                <w:b/>
                <w:bCs/>
                <w:sz w:val="20"/>
              </w:rPr>
              <w:t>Compatibility</w:t>
            </w:r>
          </w:p>
        </w:tc>
        <w:tc>
          <w:tcPr>
            <w:tcW w:w="7542" w:type="dxa"/>
          </w:tcPr>
          <w:p w:rsidRPr="00717D91" w:rsidR="003D0BEE" w:rsidP="00131848" w:rsidRDefault="003D0BEE" w14:paraId="009EB79F" w14:textId="77777777">
            <w:pPr>
              <w:pStyle w:val="BodyText"/>
              <w:rPr>
                <w:rFonts w:asciiTheme="minorHAnsi" w:hAnsiTheme="minorHAnsi"/>
                <w:sz w:val="20"/>
              </w:rPr>
            </w:pPr>
            <w:r>
              <w:rPr>
                <w:rFonts w:asciiTheme="minorHAnsi" w:hAnsiTheme="minorHAnsi"/>
                <w:sz w:val="20"/>
              </w:rPr>
              <w:t>N/A</w:t>
            </w:r>
          </w:p>
        </w:tc>
      </w:tr>
      <w:tr w:rsidRPr="003A7895" w:rsidR="003D0BEE" w:rsidTr="008074AA" w14:paraId="536B6863" w14:textId="77777777">
        <w:trPr>
          <w:trHeight w:val="230"/>
        </w:trPr>
        <w:tc>
          <w:tcPr>
            <w:tcW w:w="2410" w:type="dxa"/>
          </w:tcPr>
          <w:p w:rsidRPr="00B53E9B" w:rsidR="003D0BEE" w:rsidP="00131848" w:rsidRDefault="003D0BEE" w14:paraId="16DB674D" w14:textId="77777777">
            <w:pPr>
              <w:pStyle w:val="BodyText"/>
              <w:rPr>
                <w:rFonts w:cs="Arial"/>
                <w:b/>
                <w:bCs/>
                <w:sz w:val="20"/>
              </w:rPr>
            </w:pPr>
            <w:r w:rsidRPr="00B53E9B">
              <w:rPr>
                <w:rFonts w:cs="Arial"/>
                <w:b/>
                <w:bCs/>
                <w:sz w:val="20"/>
              </w:rPr>
              <w:t>Incompatibility</w:t>
            </w:r>
          </w:p>
        </w:tc>
        <w:tc>
          <w:tcPr>
            <w:tcW w:w="7542" w:type="dxa"/>
          </w:tcPr>
          <w:p w:rsidRPr="00717D91" w:rsidR="003D0BEE" w:rsidP="00131848" w:rsidRDefault="003D0BEE" w14:paraId="7A16B003" w14:textId="77777777">
            <w:pPr>
              <w:pStyle w:val="BodyText"/>
              <w:rPr>
                <w:rFonts w:cs="Arial" w:asciiTheme="minorHAnsi" w:hAnsiTheme="minorHAnsi"/>
                <w:sz w:val="20"/>
              </w:rPr>
            </w:pPr>
            <w:r>
              <w:rPr>
                <w:rFonts w:asciiTheme="minorHAnsi" w:hAnsiTheme="minorHAnsi"/>
                <w:sz w:val="20"/>
              </w:rPr>
              <w:t>N/A</w:t>
            </w:r>
          </w:p>
        </w:tc>
      </w:tr>
      <w:tr w:rsidRPr="003A7895" w:rsidR="003D0BEE" w:rsidTr="008074AA" w14:paraId="06357BBF" w14:textId="77777777">
        <w:trPr>
          <w:trHeight w:val="79"/>
        </w:trPr>
        <w:tc>
          <w:tcPr>
            <w:tcW w:w="2410" w:type="dxa"/>
          </w:tcPr>
          <w:p w:rsidRPr="00B53E9B" w:rsidR="003D0BEE" w:rsidP="00131848" w:rsidRDefault="003D0BEE" w14:paraId="5A907D33" w14:textId="77777777">
            <w:pPr>
              <w:pStyle w:val="BodyText"/>
              <w:rPr>
                <w:rFonts w:cs="Arial"/>
                <w:b/>
                <w:bCs/>
                <w:sz w:val="20"/>
              </w:rPr>
            </w:pPr>
            <w:r w:rsidRPr="00B53E9B">
              <w:rPr>
                <w:rFonts w:cs="Arial"/>
                <w:b/>
                <w:bCs/>
                <w:sz w:val="20"/>
              </w:rPr>
              <w:t>Stability</w:t>
            </w:r>
          </w:p>
        </w:tc>
        <w:tc>
          <w:tcPr>
            <w:tcW w:w="7542" w:type="dxa"/>
          </w:tcPr>
          <w:p w:rsidRPr="00717D91" w:rsidR="003D0BEE" w:rsidP="00131848" w:rsidRDefault="003D0BEE" w14:paraId="741FE232" w14:textId="77777777">
            <w:pPr>
              <w:rPr>
                <w:rFonts w:cs="Arial" w:asciiTheme="minorHAnsi" w:hAnsiTheme="minorHAnsi"/>
                <w:sz w:val="20"/>
              </w:rPr>
            </w:pPr>
            <w:r w:rsidRPr="00717D91">
              <w:rPr>
                <w:rFonts w:cs="Arial" w:asciiTheme="minorHAnsi" w:hAnsiTheme="minorHAnsi"/>
                <w:sz w:val="20"/>
              </w:rPr>
              <w:t xml:space="preserve">Biochemical stability </w:t>
            </w:r>
            <w:r>
              <w:rPr>
                <w:rFonts w:cs="Arial" w:asciiTheme="minorHAnsi" w:hAnsiTheme="minorHAnsi"/>
                <w:sz w:val="20"/>
              </w:rPr>
              <w:t xml:space="preserve">when </w:t>
            </w:r>
            <w:r w:rsidRPr="00717D91">
              <w:rPr>
                <w:rFonts w:cs="Arial" w:asciiTheme="minorHAnsi" w:hAnsiTheme="minorHAnsi"/>
                <w:sz w:val="20"/>
              </w:rPr>
              <w:t>stored in solution for 1 month.</w:t>
            </w:r>
            <w:r w:rsidRPr="00D55213">
              <w:rPr>
                <w:rFonts w:cs="Arial" w:asciiTheme="minorHAnsi" w:hAnsiTheme="minorHAnsi"/>
                <w:sz w:val="20"/>
                <w:vertAlign w:val="superscript"/>
              </w:rPr>
              <w:t>1</w:t>
            </w:r>
            <w:r w:rsidRPr="00717D91">
              <w:rPr>
                <w:rFonts w:cs="Arial" w:asciiTheme="minorHAnsi" w:hAnsiTheme="minorHAnsi"/>
                <w:sz w:val="20"/>
              </w:rPr>
              <w:t xml:space="preserve"> </w:t>
            </w:r>
          </w:p>
        </w:tc>
      </w:tr>
      <w:tr w:rsidRPr="003A7895" w:rsidR="003D0BEE" w:rsidTr="008074AA" w14:paraId="542361DE" w14:textId="77777777">
        <w:trPr>
          <w:trHeight w:val="70"/>
        </w:trPr>
        <w:tc>
          <w:tcPr>
            <w:tcW w:w="2410" w:type="dxa"/>
          </w:tcPr>
          <w:p w:rsidRPr="00B53E9B" w:rsidR="003D0BEE" w:rsidP="00131848" w:rsidRDefault="003D0BEE" w14:paraId="4CD9114C" w14:textId="77777777">
            <w:pPr>
              <w:pStyle w:val="BodyText"/>
              <w:rPr>
                <w:rFonts w:cs="Arial"/>
                <w:b/>
                <w:bCs/>
                <w:sz w:val="20"/>
              </w:rPr>
            </w:pPr>
            <w:r w:rsidRPr="00B53E9B">
              <w:rPr>
                <w:rFonts w:cs="Arial"/>
                <w:b/>
                <w:bCs/>
                <w:sz w:val="20"/>
              </w:rPr>
              <w:t xml:space="preserve">Storage </w:t>
            </w:r>
          </w:p>
        </w:tc>
        <w:tc>
          <w:tcPr>
            <w:tcW w:w="7542" w:type="dxa"/>
          </w:tcPr>
          <w:p w:rsidRPr="00717D91" w:rsidR="003D0BEE" w:rsidP="00131848" w:rsidRDefault="003D0BEE" w14:paraId="3E797251" w14:textId="77777777">
            <w:pPr>
              <w:pStyle w:val="BodyText"/>
              <w:rPr>
                <w:rFonts w:cs="Arial" w:asciiTheme="minorHAnsi" w:hAnsiTheme="minorHAnsi"/>
                <w:sz w:val="20"/>
              </w:rPr>
            </w:pPr>
            <w:r>
              <w:rPr>
                <w:rFonts w:cs="Arial" w:asciiTheme="minorHAnsi" w:hAnsiTheme="minorHAnsi"/>
                <w:sz w:val="20"/>
              </w:rPr>
              <w:t>Check with local pharmacy</w:t>
            </w:r>
            <w:r w:rsidRPr="00717D91">
              <w:rPr>
                <w:rFonts w:cs="Arial" w:asciiTheme="minorHAnsi" w:hAnsiTheme="minorHAnsi"/>
                <w:sz w:val="20"/>
              </w:rPr>
              <w:t>.</w:t>
            </w:r>
          </w:p>
        </w:tc>
      </w:tr>
      <w:tr w:rsidRPr="003A7895" w:rsidR="003D0BEE" w:rsidTr="008074AA" w14:paraId="0320D168" w14:textId="77777777">
        <w:trPr>
          <w:trHeight w:val="70"/>
        </w:trPr>
        <w:tc>
          <w:tcPr>
            <w:tcW w:w="2410" w:type="dxa"/>
          </w:tcPr>
          <w:p w:rsidRPr="00B53E9B" w:rsidR="003D0BEE" w:rsidP="00131848" w:rsidRDefault="003D0BEE" w14:paraId="6C6E76AF" w14:textId="77777777">
            <w:pPr>
              <w:pStyle w:val="BodyText"/>
              <w:rPr>
                <w:rFonts w:cs="Arial"/>
                <w:b/>
                <w:bCs/>
                <w:sz w:val="20"/>
              </w:rPr>
            </w:pPr>
            <w:r w:rsidRPr="00B53E9B">
              <w:rPr>
                <w:rFonts w:cs="Arial"/>
                <w:b/>
                <w:bCs/>
                <w:sz w:val="20"/>
              </w:rPr>
              <w:t>Excipients</w:t>
            </w:r>
          </w:p>
        </w:tc>
        <w:tc>
          <w:tcPr>
            <w:tcW w:w="7542" w:type="dxa"/>
          </w:tcPr>
          <w:p w:rsidRPr="00026F20" w:rsidR="003D0BEE" w:rsidP="00131848" w:rsidRDefault="003D0BEE" w14:paraId="64CC0D23" w14:textId="77777777">
            <w:pPr>
              <w:pStyle w:val="BodyText"/>
              <w:rPr>
                <w:rFonts w:cs="Arial"/>
                <w:sz w:val="20"/>
              </w:rPr>
            </w:pPr>
          </w:p>
        </w:tc>
      </w:tr>
      <w:tr w:rsidRPr="003A7895" w:rsidR="003D0BEE" w:rsidTr="008074AA" w14:paraId="62F9B9F8" w14:textId="77777777">
        <w:trPr>
          <w:trHeight w:val="270"/>
        </w:trPr>
        <w:tc>
          <w:tcPr>
            <w:tcW w:w="2410" w:type="dxa"/>
          </w:tcPr>
          <w:p w:rsidRPr="00B53E9B" w:rsidR="003D0BEE" w:rsidP="00131848" w:rsidRDefault="003D0BEE" w14:paraId="1D0E4685" w14:textId="77777777">
            <w:pPr>
              <w:pStyle w:val="BodyText"/>
              <w:rPr>
                <w:rFonts w:cs="Arial"/>
                <w:b/>
                <w:bCs/>
                <w:sz w:val="20"/>
              </w:rPr>
            </w:pPr>
            <w:r w:rsidRPr="00B53E9B">
              <w:rPr>
                <w:rFonts w:cs="Arial"/>
                <w:b/>
                <w:bCs/>
                <w:sz w:val="20"/>
              </w:rPr>
              <w:lastRenderedPageBreak/>
              <w:t xml:space="preserve">Special </w:t>
            </w:r>
            <w:r>
              <w:rPr>
                <w:rFonts w:cs="Arial"/>
                <w:b/>
                <w:bCs/>
                <w:sz w:val="20"/>
              </w:rPr>
              <w:t>c</w:t>
            </w:r>
            <w:r w:rsidRPr="00B53E9B">
              <w:rPr>
                <w:rFonts w:cs="Arial"/>
                <w:b/>
                <w:bCs/>
                <w:sz w:val="20"/>
              </w:rPr>
              <w:t xml:space="preserve">omments </w:t>
            </w:r>
          </w:p>
        </w:tc>
        <w:tc>
          <w:tcPr>
            <w:tcW w:w="7542" w:type="dxa"/>
          </w:tcPr>
          <w:p w:rsidRPr="00717D91" w:rsidR="003D0BEE" w:rsidP="00131848" w:rsidRDefault="003D0BEE" w14:paraId="47B41796" w14:textId="77777777">
            <w:pPr>
              <w:pStyle w:val="BodyText"/>
              <w:rPr>
                <w:rFonts w:cs="Arial" w:asciiTheme="minorHAnsi" w:hAnsiTheme="minorHAnsi"/>
                <w:sz w:val="20"/>
              </w:rPr>
            </w:pPr>
            <w:r w:rsidRPr="00717D91">
              <w:rPr>
                <w:rFonts w:cs="Arial" w:asciiTheme="minorHAnsi" w:hAnsiTheme="minorHAnsi"/>
                <w:sz w:val="20"/>
              </w:rPr>
              <w:t>Pharmacokinetics not studied in infants. Absorption increased by food. Metabolised to active metabolites 7α-methylspironolactone and canrenone which are extensively bound to plasma protein at therapeutic concentrations and have extended half-lives.</w:t>
            </w:r>
          </w:p>
        </w:tc>
      </w:tr>
      <w:tr w:rsidRPr="003A7895" w:rsidR="003D0BEE" w:rsidTr="008074AA" w14:paraId="12702272" w14:textId="77777777">
        <w:trPr>
          <w:trHeight w:val="280"/>
        </w:trPr>
        <w:tc>
          <w:tcPr>
            <w:tcW w:w="2410" w:type="dxa"/>
          </w:tcPr>
          <w:p w:rsidRPr="00B53E9B" w:rsidR="003D0BEE" w:rsidP="00131848" w:rsidRDefault="003D0BEE" w14:paraId="21604F30" w14:textId="77777777">
            <w:pPr>
              <w:pStyle w:val="BodyText"/>
              <w:rPr>
                <w:rFonts w:cs="Arial"/>
                <w:b/>
                <w:bCs/>
                <w:sz w:val="20"/>
              </w:rPr>
            </w:pPr>
            <w:r w:rsidRPr="00B53E9B">
              <w:rPr>
                <w:rFonts w:cs="Arial"/>
                <w:b/>
                <w:bCs/>
                <w:sz w:val="20"/>
              </w:rPr>
              <w:t>Evidence</w:t>
            </w:r>
          </w:p>
        </w:tc>
        <w:tc>
          <w:tcPr>
            <w:tcW w:w="7542" w:type="dxa"/>
          </w:tcPr>
          <w:p w:rsidRPr="003D0BEE" w:rsidR="003D0BEE" w:rsidP="00131848" w:rsidRDefault="003D0BEE" w14:paraId="06CAB417" w14:textId="77777777">
            <w:pPr>
              <w:pStyle w:val="BodyText"/>
              <w:tabs>
                <w:tab w:val="left" w:pos="1168"/>
              </w:tabs>
              <w:rPr>
                <w:rFonts w:cs="Arial" w:asciiTheme="minorHAnsi" w:hAnsiTheme="minorHAnsi"/>
                <w:b/>
                <w:sz w:val="16"/>
                <w:szCs w:val="16"/>
              </w:rPr>
            </w:pPr>
            <w:r w:rsidRPr="003D0BEE">
              <w:rPr>
                <w:rFonts w:cs="Arial" w:asciiTheme="minorHAnsi" w:hAnsiTheme="minorHAnsi"/>
                <w:b/>
                <w:sz w:val="16"/>
                <w:szCs w:val="16"/>
              </w:rPr>
              <w:t xml:space="preserve">Efficacy: </w:t>
            </w:r>
          </w:p>
          <w:p w:rsidRPr="003D0BEE" w:rsidR="003D0BEE" w:rsidP="00131848" w:rsidRDefault="003D0BEE" w14:paraId="296B8D0E" w14:textId="77777777">
            <w:pPr>
              <w:pStyle w:val="BodyText"/>
              <w:tabs>
                <w:tab w:val="left" w:pos="1168"/>
              </w:tabs>
              <w:rPr>
                <w:rFonts w:cs="Arial" w:asciiTheme="minorHAnsi" w:hAnsiTheme="minorHAnsi"/>
                <w:sz w:val="16"/>
                <w:szCs w:val="16"/>
              </w:rPr>
            </w:pPr>
            <w:r w:rsidRPr="003D0BEE">
              <w:rPr>
                <w:rFonts w:cs="Arial" w:asciiTheme="minorHAnsi" w:hAnsiTheme="minorHAnsi"/>
                <w:b/>
                <w:sz w:val="16"/>
                <w:szCs w:val="16"/>
              </w:rPr>
              <w:t>In preterm infants &gt; 3 weeks of age with CLD</w:t>
            </w:r>
            <w:r w:rsidRPr="003D0BEE">
              <w:rPr>
                <w:rFonts w:cs="Arial" w:asciiTheme="minorHAnsi" w:hAnsiTheme="minorHAnsi"/>
                <w:sz w:val="16"/>
                <w:szCs w:val="16"/>
              </w:rPr>
              <w:t>: Acute and chronic administration of thiazide diuretic and spironolactone improved pulmonary mechanics.</w:t>
            </w:r>
            <w:r w:rsidRPr="003D0BEE">
              <w:rPr>
                <w:rFonts w:cs="Arial" w:asciiTheme="minorHAnsi" w:hAnsiTheme="minorHAnsi"/>
                <w:sz w:val="16"/>
                <w:szCs w:val="16"/>
                <w:vertAlign w:val="superscript"/>
              </w:rPr>
              <w:t>2</w:t>
            </w:r>
            <w:r w:rsidRPr="003D0BEE">
              <w:rPr>
                <w:rFonts w:cs="Arial" w:asciiTheme="minorHAnsi" w:hAnsiTheme="minorHAnsi"/>
                <w:sz w:val="16"/>
                <w:szCs w:val="16"/>
              </w:rPr>
              <w:t xml:space="preserve"> A single study showed thiazide and spironolactone decreased the risk of death in infants who did not have access to corticosteroids, bronchodilators or aminophylline.</w:t>
            </w:r>
            <w:r w:rsidRPr="003D0BEE">
              <w:rPr>
                <w:rFonts w:cs="Arial" w:asciiTheme="minorHAnsi" w:hAnsiTheme="minorHAnsi"/>
                <w:sz w:val="16"/>
                <w:szCs w:val="16"/>
                <w:vertAlign w:val="superscript"/>
              </w:rPr>
              <w:t>3</w:t>
            </w:r>
            <w:r w:rsidRPr="003D0BEE">
              <w:rPr>
                <w:rFonts w:cs="Arial" w:asciiTheme="minorHAnsi" w:hAnsiTheme="minorHAnsi"/>
                <w:sz w:val="16"/>
                <w:szCs w:val="16"/>
              </w:rPr>
              <w:t xml:space="preserve"> (LOE I, GOR C) Trials used spironolactone doses from 3 to 4 mg/kg/day. </w:t>
            </w:r>
          </w:p>
          <w:p w:rsidRPr="003D0BEE" w:rsidR="003D0BEE" w:rsidP="00131848" w:rsidRDefault="003D0BEE" w14:paraId="1E0F1C7E" w14:textId="77777777">
            <w:pPr>
              <w:pStyle w:val="BodyText"/>
              <w:tabs>
                <w:tab w:val="left" w:pos="1168"/>
              </w:tabs>
              <w:rPr>
                <w:rFonts w:cs="Arial" w:asciiTheme="minorHAnsi" w:hAnsiTheme="minorHAnsi"/>
                <w:b/>
                <w:sz w:val="16"/>
                <w:szCs w:val="16"/>
              </w:rPr>
            </w:pPr>
            <w:r w:rsidRPr="003D0BEE">
              <w:rPr>
                <w:rFonts w:cs="Arial" w:asciiTheme="minorHAnsi" w:hAnsiTheme="minorHAnsi"/>
                <w:b/>
                <w:sz w:val="16"/>
                <w:szCs w:val="16"/>
              </w:rPr>
              <w:t xml:space="preserve">Heart failure: </w:t>
            </w:r>
            <w:r w:rsidRPr="003D0BEE">
              <w:rPr>
                <w:rFonts w:cs="Arial" w:asciiTheme="minorHAnsi" w:hAnsiTheme="minorHAnsi"/>
                <w:sz w:val="16"/>
                <w:szCs w:val="16"/>
              </w:rPr>
              <w:t>Spironolactone resulted in short-term improvement in heart failure secondary to congenital heart disease compared to potassium supplementation in infants treated with digoxin and a thiazide diuretic.</w:t>
            </w:r>
            <w:r w:rsidRPr="003D0BEE">
              <w:rPr>
                <w:rFonts w:cs="Arial" w:asciiTheme="minorHAnsi" w:hAnsiTheme="minorHAnsi"/>
                <w:sz w:val="16"/>
                <w:szCs w:val="16"/>
                <w:vertAlign w:val="superscript"/>
              </w:rPr>
              <w:t>4</w:t>
            </w:r>
            <w:r w:rsidRPr="003D0BEE">
              <w:rPr>
                <w:rFonts w:cs="Arial" w:asciiTheme="minorHAnsi" w:hAnsiTheme="minorHAnsi"/>
                <w:sz w:val="16"/>
                <w:szCs w:val="16"/>
              </w:rPr>
              <w:t xml:space="preserve"> (LOE II GOR C)</w:t>
            </w:r>
            <w:r w:rsidRPr="003D0BEE">
              <w:rPr>
                <w:rFonts w:cs="Arial" w:asciiTheme="minorHAnsi" w:hAnsiTheme="minorHAnsi"/>
                <w:b/>
                <w:sz w:val="16"/>
                <w:szCs w:val="16"/>
              </w:rPr>
              <w:t xml:space="preserve"> </w:t>
            </w:r>
            <w:r w:rsidRPr="003D0BEE">
              <w:rPr>
                <w:rFonts w:cs="Arial" w:asciiTheme="minorHAnsi" w:hAnsiTheme="minorHAnsi"/>
                <w:sz w:val="16"/>
                <w:szCs w:val="16"/>
              </w:rPr>
              <w:t>In adults with heart failure, the addition of aldosterone antagonists reduced mortality, hospitalisation rate, and hypokalaemia but increased creatinine and occurrence of hyperkalaemia.</w:t>
            </w:r>
            <w:r w:rsidRPr="003D0BEE">
              <w:rPr>
                <w:rFonts w:cs="Arial" w:asciiTheme="minorHAnsi" w:hAnsiTheme="minorHAnsi"/>
                <w:sz w:val="16"/>
                <w:szCs w:val="16"/>
                <w:vertAlign w:val="superscript"/>
              </w:rPr>
              <w:t>5,6</w:t>
            </w:r>
            <w:r w:rsidRPr="003D0BEE">
              <w:rPr>
                <w:rFonts w:cs="Arial" w:asciiTheme="minorHAnsi" w:hAnsiTheme="minorHAnsi"/>
                <w:sz w:val="16"/>
                <w:szCs w:val="16"/>
              </w:rPr>
              <w:t xml:space="preserve"> (LOE 1/adults GOR C)</w:t>
            </w:r>
          </w:p>
          <w:p w:rsidRPr="003D0BEE" w:rsidR="003D0BEE" w:rsidP="00131848" w:rsidRDefault="003D0BEE" w14:paraId="44C4CF69" w14:textId="77777777">
            <w:pPr>
              <w:pStyle w:val="BodyText"/>
              <w:tabs>
                <w:tab w:val="left" w:pos="1168"/>
              </w:tabs>
              <w:rPr>
                <w:rFonts w:cs="Segoe UI" w:asciiTheme="minorHAnsi" w:hAnsiTheme="minorHAnsi" w:eastAsiaTheme="minorHAnsi"/>
                <w:sz w:val="16"/>
                <w:szCs w:val="16"/>
              </w:rPr>
            </w:pPr>
            <w:r w:rsidRPr="003D0BEE">
              <w:rPr>
                <w:rFonts w:cs="Segoe UI" w:asciiTheme="minorHAnsi" w:hAnsiTheme="minorHAnsi" w:eastAsiaTheme="minorHAnsi"/>
                <w:b/>
                <w:sz w:val="16"/>
                <w:szCs w:val="16"/>
              </w:rPr>
              <w:t>Bartter syndrome and Gitelman syndrome:</w:t>
            </w:r>
            <w:r w:rsidRPr="003D0BEE">
              <w:rPr>
                <w:rFonts w:cs="Segoe UI" w:asciiTheme="minorHAnsi" w:hAnsiTheme="minorHAnsi" w:eastAsiaTheme="minorHAnsi"/>
                <w:sz w:val="16"/>
                <w:szCs w:val="16"/>
              </w:rPr>
              <w:t xml:space="preserve"> Spironolactone has been used to maintain serum potassium in patients with Bartter syndrome and Gitelman syndrome.</w:t>
            </w:r>
            <w:r w:rsidRPr="003D0BEE">
              <w:rPr>
                <w:rFonts w:cs="Segoe UI" w:asciiTheme="minorHAnsi" w:hAnsiTheme="minorHAnsi" w:eastAsiaTheme="minorHAnsi"/>
                <w:sz w:val="16"/>
                <w:szCs w:val="16"/>
                <w:vertAlign w:val="superscript"/>
              </w:rPr>
              <w:t>7</w:t>
            </w:r>
          </w:p>
          <w:p w:rsidRPr="003D0BEE" w:rsidR="003D0BEE" w:rsidP="00131848" w:rsidRDefault="003D0BEE" w14:paraId="4D55CD7B" w14:textId="77777777">
            <w:pPr>
              <w:pStyle w:val="BodyText"/>
              <w:tabs>
                <w:tab w:val="left" w:pos="1168"/>
              </w:tabs>
              <w:rPr>
                <w:rFonts w:cs="Arial" w:asciiTheme="minorHAnsi" w:hAnsiTheme="minorHAnsi"/>
                <w:b/>
                <w:sz w:val="16"/>
                <w:szCs w:val="16"/>
              </w:rPr>
            </w:pPr>
            <w:r w:rsidRPr="003D0BEE">
              <w:rPr>
                <w:rFonts w:cs="Arial" w:asciiTheme="minorHAnsi" w:hAnsiTheme="minorHAnsi"/>
                <w:b/>
                <w:sz w:val="16"/>
                <w:szCs w:val="16"/>
              </w:rPr>
              <w:t xml:space="preserve">Pharmacokinetics and pharmacodynamics: </w:t>
            </w:r>
          </w:p>
          <w:p w:rsidRPr="003D0BEE" w:rsidR="003D0BEE" w:rsidP="00131848" w:rsidRDefault="003D0BEE" w14:paraId="6FB8B575" w14:textId="77777777">
            <w:pPr>
              <w:pStyle w:val="BodyText"/>
              <w:tabs>
                <w:tab w:val="left" w:pos="1168"/>
              </w:tabs>
              <w:rPr>
                <w:rFonts w:cs="Segoe UI" w:asciiTheme="minorHAnsi" w:hAnsiTheme="minorHAnsi" w:eastAsiaTheme="minorHAnsi"/>
                <w:sz w:val="16"/>
                <w:szCs w:val="16"/>
              </w:rPr>
            </w:pPr>
            <w:r w:rsidRPr="003D0BEE">
              <w:rPr>
                <w:rFonts w:cs="Segoe UI" w:asciiTheme="minorHAnsi" w:hAnsiTheme="minorHAnsi" w:eastAsiaTheme="minorHAnsi"/>
                <w:sz w:val="16"/>
                <w:szCs w:val="16"/>
              </w:rPr>
              <w:t>Spironolactone is a non-selective mineralocorticoid receptor antagonist with moderate affinity for both progesterone and androgen receptors. Pharmacokinetics and pharmacodynamics have not been evaluated in newborn infants. In adults, absorption is estimated to be 80–90%. The onset of action for spironolactone is typically very slow, with a peak response sometimes occurring 48 hours or more after the first dose. Spironolactone is rapidly metabolised hepatically into a number of metabolites. The predominant metabolite, 7α-methylspironolactone, accounts for around 80% of the K</w:t>
            </w:r>
            <w:r w:rsidRPr="003D0BEE">
              <w:rPr>
                <w:rFonts w:cs="Segoe UI" w:asciiTheme="minorHAnsi" w:hAnsiTheme="minorHAnsi" w:eastAsiaTheme="minorHAnsi"/>
                <w:sz w:val="16"/>
                <w:szCs w:val="16"/>
                <w:vertAlign w:val="superscript"/>
              </w:rPr>
              <w:t>+</w:t>
            </w:r>
            <w:r w:rsidRPr="003D0BEE">
              <w:rPr>
                <w:rFonts w:cs="Segoe UI" w:asciiTheme="minorHAnsi" w:hAnsiTheme="minorHAnsi" w:eastAsiaTheme="minorHAnsi"/>
                <w:sz w:val="16"/>
                <w:szCs w:val="16"/>
              </w:rPr>
              <w:t>-sparing effect of spironolactone. Spironolactone (88%) and its canrenone metabolite (99%) are extensively bound to plasma protein at therapeutic concentrations. In normal volunteers, the mean t</w:t>
            </w:r>
            <w:r w:rsidRPr="003D0BEE">
              <w:rPr>
                <w:rFonts w:cs="Segoe UI" w:asciiTheme="minorHAnsi" w:hAnsiTheme="minorHAnsi" w:eastAsiaTheme="minorHAnsi"/>
                <w:sz w:val="16"/>
                <w:szCs w:val="16"/>
                <w:vertAlign w:val="subscript"/>
              </w:rPr>
              <w:t>½</w:t>
            </w:r>
            <w:r w:rsidRPr="003D0BEE">
              <w:rPr>
                <w:rFonts w:cs="Segoe UI" w:asciiTheme="minorHAnsi" w:hAnsiTheme="minorHAnsi" w:eastAsiaTheme="minorHAnsi"/>
                <w:sz w:val="16"/>
                <w:szCs w:val="16"/>
              </w:rPr>
              <w:t xml:space="preserve"> of spironolactone, canrenone, 7α-TMS and 6ß-hydroxy-7α-TMS were 1.4, 16.5, 13.8 and 15 hours, respectively. In cirrhotic patients, the t</w:t>
            </w:r>
            <w:r w:rsidRPr="003D0BEE">
              <w:rPr>
                <w:rFonts w:cs="Segoe UI" w:asciiTheme="minorHAnsi" w:hAnsiTheme="minorHAnsi" w:eastAsiaTheme="minorHAnsi"/>
                <w:sz w:val="16"/>
                <w:szCs w:val="16"/>
                <w:vertAlign w:val="subscript"/>
              </w:rPr>
              <w:t>½</w:t>
            </w:r>
            <w:r w:rsidRPr="003D0BEE">
              <w:rPr>
                <w:rFonts w:cs="Segoe UI" w:asciiTheme="minorHAnsi" w:hAnsiTheme="minorHAnsi" w:eastAsiaTheme="minorHAnsi"/>
                <w:sz w:val="16"/>
                <w:szCs w:val="16"/>
              </w:rPr>
              <w:t xml:space="preserve"> of spironolactone and its metabolites are increased. The pharmacokinetics of spironolactone and its metabolites have not been specifically studied in the setting of renal insufficiency or end-stage renal disease.</w:t>
            </w:r>
            <w:r w:rsidRPr="003D0BEE">
              <w:rPr>
                <w:rFonts w:cs="Segoe UI" w:asciiTheme="minorHAnsi" w:hAnsiTheme="minorHAnsi" w:eastAsiaTheme="minorHAnsi"/>
                <w:sz w:val="16"/>
                <w:szCs w:val="16"/>
                <w:vertAlign w:val="superscript"/>
              </w:rPr>
              <w:t>8,9</w:t>
            </w:r>
            <w:r w:rsidRPr="003D0BEE">
              <w:rPr>
                <w:rFonts w:cs="Segoe UI" w:asciiTheme="minorHAnsi" w:hAnsiTheme="minorHAnsi" w:eastAsiaTheme="minorHAnsi"/>
                <w:sz w:val="16"/>
                <w:szCs w:val="16"/>
              </w:rPr>
              <w:t xml:space="preserve"> </w:t>
            </w:r>
          </w:p>
          <w:p w:rsidRPr="003D0BEE" w:rsidR="003D0BEE" w:rsidP="00131848" w:rsidRDefault="003D0BEE" w14:paraId="1C16382D" w14:textId="77777777">
            <w:pPr>
              <w:pStyle w:val="BodyText"/>
              <w:tabs>
                <w:tab w:val="left" w:pos="1168"/>
              </w:tabs>
              <w:rPr>
                <w:rFonts w:cs="Arial" w:asciiTheme="minorHAnsi" w:hAnsiTheme="minorHAnsi"/>
                <w:b/>
                <w:sz w:val="16"/>
                <w:szCs w:val="16"/>
              </w:rPr>
            </w:pPr>
            <w:r w:rsidRPr="003D0BEE">
              <w:rPr>
                <w:rFonts w:cs="Arial" w:asciiTheme="minorHAnsi" w:hAnsiTheme="minorHAnsi"/>
                <w:b/>
                <w:sz w:val="16"/>
                <w:szCs w:val="16"/>
              </w:rPr>
              <w:t xml:space="preserve">Safety: </w:t>
            </w:r>
          </w:p>
          <w:p w:rsidRPr="003D0BEE" w:rsidR="003D0BEE" w:rsidP="00131848" w:rsidRDefault="003D0BEE" w14:paraId="1B75D4C4" w14:textId="77777777">
            <w:pPr>
              <w:pStyle w:val="BodyText"/>
              <w:tabs>
                <w:tab w:val="left" w:pos="1168"/>
              </w:tabs>
              <w:rPr>
                <w:rFonts w:cs="Arial" w:asciiTheme="minorHAnsi" w:hAnsiTheme="minorHAnsi"/>
                <w:sz w:val="16"/>
                <w:szCs w:val="16"/>
              </w:rPr>
            </w:pPr>
            <w:r w:rsidRPr="003D0BEE">
              <w:rPr>
                <w:rFonts w:cs="Arial" w:asciiTheme="minorHAnsi" w:hAnsiTheme="minorHAnsi"/>
                <w:sz w:val="16"/>
                <w:szCs w:val="16"/>
              </w:rPr>
              <w:t>Preterm infants receiving hydrochlorothiazide in combination with spironolactone may have an increased need for sodium and potassium supplementation.</w:t>
            </w:r>
            <w:r w:rsidRPr="003D0BEE">
              <w:rPr>
                <w:rFonts w:cs="Arial" w:asciiTheme="minorHAnsi" w:hAnsiTheme="minorHAnsi"/>
                <w:sz w:val="16"/>
                <w:szCs w:val="16"/>
                <w:vertAlign w:val="superscript"/>
              </w:rPr>
              <w:t>3</w:t>
            </w:r>
            <w:r w:rsidRPr="003D0BEE">
              <w:rPr>
                <w:rFonts w:cs="Arial" w:asciiTheme="minorHAnsi" w:hAnsiTheme="minorHAnsi"/>
                <w:sz w:val="16"/>
                <w:szCs w:val="16"/>
              </w:rPr>
              <w:t xml:space="preserve"> (LOE II GOR B) The addition of spironolactone to a thiazide diuretic did not reduce the requirement for supplemental electrolytes over 2 weeks in a small trial.</w:t>
            </w:r>
            <w:r w:rsidRPr="003D0BEE">
              <w:rPr>
                <w:rFonts w:cs="Arial" w:asciiTheme="minorHAnsi" w:hAnsiTheme="minorHAnsi"/>
                <w:sz w:val="16"/>
                <w:szCs w:val="16"/>
                <w:vertAlign w:val="superscript"/>
              </w:rPr>
              <w:t>10</w:t>
            </w:r>
            <w:r w:rsidRPr="003D0BEE">
              <w:rPr>
                <w:rFonts w:cs="Arial" w:asciiTheme="minorHAnsi" w:hAnsiTheme="minorHAnsi"/>
                <w:sz w:val="16"/>
                <w:szCs w:val="16"/>
              </w:rPr>
              <w:t xml:space="preserve"> (LOE II GOR C) Use of spironolactone in adults increases creatinine and the incidence of hyperkalaemia.</w:t>
            </w:r>
            <w:r w:rsidRPr="003D0BEE">
              <w:rPr>
                <w:rFonts w:cs="Arial" w:asciiTheme="minorHAnsi" w:hAnsiTheme="minorHAnsi"/>
                <w:sz w:val="16"/>
                <w:szCs w:val="16"/>
                <w:vertAlign w:val="superscript"/>
              </w:rPr>
              <w:t>5</w:t>
            </w:r>
            <w:r w:rsidRPr="003D0BEE">
              <w:rPr>
                <w:rFonts w:cs="Arial" w:asciiTheme="minorHAnsi" w:hAnsiTheme="minorHAnsi"/>
                <w:sz w:val="16"/>
                <w:szCs w:val="16"/>
              </w:rPr>
              <w:t xml:space="preserve"> (LOE I GOR C) Spironolactone reduced digoxin clearance in infants.</w:t>
            </w:r>
            <w:r w:rsidRPr="003D0BEE">
              <w:rPr>
                <w:rFonts w:cs="Arial" w:asciiTheme="minorHAnsi" w:hAnsiTheme="minorHAnsi"/>
                <w:sz w:val="16"/>
                <w:szCs w:val="16"/>
                <w:vertAlign w:val="superscript"/>
              </w:rPr>
              <w:t>11</w:t>
            </w:r>
            <w:r w:rsidRPr="003D0BEE">
              <w:rPr>
                <w:rFonts w:cs="Arial" w:asciiTheme="minorHAnsi" w:hAnsiTheme="minorHAnsi"/>
                <w:sz w:val="16"/>
                <w:szCs w:val="16"/>
              </w:rPr>
              <w:t xml:space="preserve"> (LOE IV GOR C)</w:t>
            </w:r>
          </w:p>
        </w:tc>
      </w:tr>
      <w:tr w:rsidRPr="003A7895" w:rsidR="003D0BEE" w:rsidTr="008074AA" w14:paraId="234CCCFC" w14:textId="77777777">
        <w:trPr>
          <w:trHeight w:val="108"/>
        </w:trPr>
        <w:tc>
          <w:tcPr>
            <w:tcW w:w="2410" w:type="dxa"/>
          </w:tcPr>
          <w:p w:rsidRPr="00B53E9B" w:rsidR="003D0BEE" w:rsidP="00131848" w:rsidRDefault="003D0BEE" w14:paraId="72E62E93" w14:textId="77777777">
            <w:pPr>
              <w:pStyle w:val="BodyText"/>
              <w:rPr>
                <w:rFonts w:cs="Arial"/>
                <w:b/>
                <w:bCs/>
                <w:sz w:val="20"/>
              </w:rPr>
            </w:pPr>
            <w:r w:rsidRPr="00B53E9B">
              <w:rPr>
                <w:rFonts w:cs="Arial"/>
                <w:b/>
                <w:bCs/>
                <w:sz w:val="20"/>
              </w:rPr>
              <w:t>Practice points</w:t>
            </w:r>
          </w:p>
        </w:tc>
        <w:tc>
          <w:tcPr>
            <w:tcW w:w="7542" w:type="dxa"/>
          </w:tcPr>
          <w:p w:rsidRPr="00026F20" w:rsidR="003D0BEE" w:rsidP="00131848" w:rsidRDefault="003D0BEE" w14:paraId="0395C254" w14:textId="77777777">
            <w:pPr>
              <w:pStyle w:val="BodyText"/>
              <w:tabs>
                <w:tab w:val="left" w:pos="1168"/>
              </w:tabs>
              <w:rPr>
                <w:rFonts w:cs="Arial"/>
                <w:sz w:val="20"/>
              </w:rPr>
            </w:pPr>
          </w:p>
        </w:tc>
      </w:tr>
      <w:tr w:rsidRPr="003A7895" w:rsidR="003D0BEE" w:rsidTr="008074AA" w14:paraId="7560DF32" w14:textId="77777777">
        <w:trPr>
          <w:trHeight w:val="70"/>
        </w:trPr>
        <w:tc>
          <w:tcPr>
            <w:tcW w:w="2410" w:type="dxa"/>
          </w:tcPr>
          <w:p w:rsidRPr="00B53E9B" w:rsidR="003D0BEE" w:rsidP="00131848" w:rsidRDefault="003D0BEE" w14:paraId="5460A96D" w14:textId="77777777">
            <w:pPr>
              <w:pStyle w:val="BodyText"/>
              <w:rPr>
                <w:rFonts w:cs="Arial"/>
                <w:b/>
                <w:bCs/>
                <w:sz w:val="20"/>
              </w:rPr>
            </w:pPr>
            <w:r w:rsidRPr="00B53E9B">
              <w:rPr>
                <w:b/>
                <w:sz w:val="20"/>
              </w:rPr>
              <w:t>References</w:t>
            </w:r>
          </w:p>
        </w:tc>
        <w:tc>
          <w:tcPr>
            <w:tcW w:w="7542" w:type="dxa"/>
          </w:tcPr>
          <w:p w:rsidRPr="003D0BEE" w:rsidR="003D0BEE" w:rsidP="00131848" w:rsidRDefault="003D0BEE" w14:paraId="1B509830" w14:textId="77777777">
            <w:pPr>
              <w:pStyle w:val="EndNoteBibliography"/>
              <w:rPr>
                <w:rFonts w:asciiTheme="minorHAnsi" w:hAnsiTheme="minorHAnsi"/>
                <w:sz w:val="16"/>
                <w:szCs w:val="16"/>
              </w:rPr>
            </w:pPr>
            <w:r w:rsidRPr="003D0BEE">
              <w:rPr>
                <w:rFonts w:asciiTheme="minorHAnsi" w:hAnsiTheme="minorHAnsi"/>
                <w:sz w:val="16"/>
                <w:szCs w:val="16"/>
              </w:rPr>
              <w:t>1. Mathur LK, Wickman A. Stability of extemporaneously compounded spironolactone suspensions. Am J Hosp Pharm. 1989;46:2040-2.</w:t>
            </w:r>
          </w:p>
          <w:p w:rsidRPr="003D0BEE" w:rsidR="003D0BEE" w:rsidP="00131848" w:rsidRDefault="003D0BEE" w14:paraId="7DEB17E4" w14:textId="77777777">
            <w:pPr>
              <w:pStyle w:val="EndNoteBibliography"/>
              <w:rPr>
                <w:rFonts w:asciiTheme="minorHAnsi" w:hAnsiTheme="minorHAnsi"/>
                <w:sz w:val="16"/>
                <w:szCs w:val="16"/>
              </w:rPr>
            </w:pPr>
            <w:r w:rsidRPr="003D0BEE">
              <w:rPr>
                <w:rFonts w:asciiTheme="minorHAnsi" w:hAnsiTheme="minorHAnsi"/>
                <w:sz w:val="16"/>
                <w:szCs w:val="16"/>
              </w:rPr>
              <w:t>2. Stewart A, Brion LP, Ambrosio-Perez I. Diuretics acting on the distal renal tubule for preterm infants with (or developing) chronic lung disease. Cochrane Database Syst Rev. 2011:CD001817.</w:t>
            </w:r>
          </w:p>
          <w:p w:rsidRPr="003D0BEE" w:rsidR="003D0BEE" w:rsidP="00131848" w:rsidRDefault="003D0BEE" w14:paraId="3F007758" w14:textId="77777777">
            <w:pPr>
              <w:pStyle w:val="EndNoteBibliography"/>
              <w:rPr>
                <w:rFonts w:asciiTheme="minorHAnsi" w:hAnsiTheme="minorHAnsi"/>
                <w:sz w:val="16"/>
                <w:szCs w:val="16"/>
              </w:rPr>
            </w:pPr>
            <w:r w:rsidRPr="003D0BEE">
              <w:rPr>
                <w:rFonts w:asciiTheme="minorHAnsi" w:hAnsiTheme="minorHAnsi"/>
                <w:sz w:val="16"/>
                <w:szCs w:val="16"/>
              </w:rPr>
              <w:t>3. Albersheim SG, Solimano AJ, Sharma AK, Smyth JA, Rotschild A, Wood BJ, Sheps SB. Randomized, double-blind, controlled trial of long-term diuretic therapy for bronchopulmonary dysplasia. J Pediatr. 1989;115:615-20.</w:t>
            </w:r>
          </w:p>
          <w:p w:rsidRPr="003D0BEE" w:rsidR="003D0BEE" w:rsidP="00131848" w:rsidRDefault="003D0BEE" w14:paraId="0FEF4C01" w14:textId="77777777">
            <w:pPr>
              <w:pStyle w:val="EndNoteBibliography"/>
              <w:rPr>
                <w:rFonts w:asciiTheme="minorHAnsi" w:hAnsiTheme="minorHAnsi"/>
                <w:sz w:val="16"/>
                <w:szCs w:val="16"/>
              </w:rPr>
            </w:pPr>
            <w:r w:rsidRPr="003D0BEE">
              <w:rPr>
                <w:rFonts w:asciiTheme="minorHAnsi" w:hAnsiTheme="minorHAnsi"/>
                <w:sz w:val="16"/>
                <w:szCs w:val="16"/>
              </w:rPr>
              <w:t>4. Hobbins SM, Fowler RS, Rowe RD, Korey AG. Spironolactone therapy in infants with congestive heart failure secondary to congenital heart disease. Arch Dis Child. 1981;56:934-8.</w:t>
            </w:r>
          </w:p>
          <w:p w:rsidRPr="003D0BEE" w:rsidR="003D0BEE" w:rsidP="00131848" w:rsidRDefault="003D0BEE" w14:paraId="6A437E74" w14:textId="77777777">
            <w:pPr>
              <w:pStyle w:val="EndNoteBibliography"/>
              <w:rPr>
                <w:rFonts w:asciiTheme="minorHAnsi" w:hAnsiTheme="minorHAnsi"/>
                <w:sz w:val="16"/>
                <w:szCs w:val="16"/>
              </w:rPr>
            </w:pPr>
            <w:r w:rsidRPr="003D0BEE">
              <w:rPr>
                <w:rFonts w:asciiTheme="minorHAnsi" w:hAnsiTheme="minorHAnsi"/>
                <w:sz w:val="16"/>
                <w:szCs w:val="16"/>
              </w:rPr>
              <w:t>5. Hu LJ, Chen YQ, Deng SB, Du JL, She Q. Additional use of an aldosterone antagonist in patients with mild to moderate chronic heart failure: a systematic review and meta-analysis. Br J Clin Pharmacol. 2013;75:1202-12.</w:t>
            </w:r>
          </w:p>
          <w:p w:rsidRPr="003D0BEE" w:rsidR="003D0BEE" w:rsidP="00131848" w:rsidRDefault="003D0BEE" w14:paraId="3A571BE8" w14:textId="77777777">
            <w:pPr>
              <w:pStyle w:val="EndNoteBibliography"/>
              <w:rPr>
                <w:rFonts w:asciiTheme="minorHAnsi" w:hAnsiTheme="minorHAnsi"/>
                <w:sz w:val="16"/>
                <w:szCs w:val="16"/>
              </w:rPr>
            </w:pPr>
            <w:r w:rsidRPr="003D0BEE">
              <w:rPr>
                <w:rFonts w:asciiTheme="minorHAnsi" w:hAnsiTheme="minorHAnsi"/>
                <w:sz w:val="16"/>
                <w:szCs w:val="16"/>
              </w:rPr>
              <w:t>6. Anonymous. Effectiveness of spironolactone added to an angiotensin-converting enzyme inhibitor and a loop diuretic for severe chronic congestive heart failure (the Randomized Aldactone Evaluation Study [RALES]). Am J Cardiol. 1996;78:902-7.</w:t>
            </w:r>
          </w:p>
          <w:p w:rsidRPr="003D0BEE" w:rsidR="003D0BEE" w:rsidP="00131848" w:rsidRDefault="003D0BEE" w14:paraId="3AD65F1C" w14:textId="77777777">
            <w:pPr>
              <w:pStyle w:val="EndNoteBibliography"/>
              <w:rPr>
                <w:rFonts w:asciiTheme="minorHAnsi" w:hAnsiTheme="minorHAnsi"/>
                <w:sz w:val="16"/>
                <w:szCs w:val="16"/>
              </w:rPr>
            </w:pPr>
            <w:r w:rsidRPr="003D0BEE">
              <w:rPr>
                <w:rFonts w:asciiTheme="minorHAnsi" w:hAnsiTheme="minorHAnsi"/>
                <w:sz w:val="16"/>
                <w:szCs w:val="16"/>
              </w:rPr>
              <w:t>7. Fremont OT, Chan JC. Understanding Bartter syndrome and Gitelman syndrome. World J Pediatr. 2012;8:25-30.</w:t>
            </w:r>
          </w:p>
          <w:p w:rsidRPr="003D0BEE" w:rsidR="003D0BEE" w:rsidP="00131848" w:rsidRDefault="003D0BEE" w14:paraId="4D0B881E" w14:textId="77777777">
            <w:pPr>
              <w:pStyle w:val="EndNoteBibliography"/>
              <w:rPr>
                <w:rFonts w:asciiTheme="minorHAnsi" w:hAnsiTheme="minorHAnsi"/>
                <w:sz w:val="16"/>
                <w:szCs w:val="16"/>
              </w:rPr>
            </w:pPr>
            <w:r w:rsidRPr="003D0BEE">
              <w:rPr>
                <w:rFonts w:asciiTheme="minorHAnsi" w:hAnsiTheme="minorHAnsi"/>
                <w:sz w:val="16"/>
                <w:szCs w:val="16"/>
              </w:rPr>
              <w:t>8. Sica DA. Pharmacokinetics and pharmacodynamics of mineralocorticoid blocking agents and their effects on potassium homeostasis. Heart Fail Rev. 2005;10:23-9.</w:t>
            </w:r>
          </w:p>
          <w:p w:rsidRPr="003D0BEE" w:rsidR="003D0BEE" w:rsidP="00131848" w:rsidRDefault="003D0BEE" w14:paraId="4E71C3A9" w14:textId="77777777">
            <w:pPr>
              <w:pStyle w:val="EndNoteBibliography"/>
              <w:rPr>
                <w:rFonts w:asciiTheme="minorHAnsi" w:hAnsiTheme="minorHAnsi"/>
                <w:sz w:val="16"/>
                <w:szCs w:val="16"/>
              </w:rPr>
            </w:pPr>
            <w:r w:rsidRPr="003D0BEE">
              <w:rPr>
                <w:rFonts w:asciiTheme="minorHAnsi" w:hAnsiTheme="minorHAnsi"/>
                <w:sz w:val="16"/>
                <w:szCs w:val="16"/>
              </w:rPr>
              <w:t>9. Karim A. Spironolactone: disposition, metabolism, pharmacodynamics, and bioavailability. Drug Metab Rev. 1978;8:151-88.</w:t>
            </w:r>
          </w:p>
          <w:p w:rsidRPr="003D0BEE" w:rsidR="003D0BEE" w:rsidP="00131848" w:rsidRDefault="003D0BEE" w14:paraId="7D6BFF49" w14:textId="77777777">
            <w:pPr>
              <w:pStyle w:val="EndNoteBibliography"/>
              <w:rPr>
                <w:rFonts w:asciiTheme="minorHAnsi" w:hAnsiTheme="minorHAnsi"/>
                <w:sz w:val="16"/>
                <w:szCs w:val="16"/>
              </w:rPr>
            </w:pPr>
            <w:r w:rsidRPr="003D0BEE">
              <w:rPr>
                <w:rFonts w:asciiTheme="minorHAnsi" w:hAnsiTheme="minorHAnsi"/>
                <w:sz w:val="16"/>
                <w:szCs w:val="16"/>
              </w:rPr>
              <w:t>10. Hoffman DJ, Gerdes JS, Abbasi S. Pulmonary function and electrolyte balance following spironolactone treatment in preterm infants with chronic lung disease: a double-blind, placebo-controlled, randomized trial. J Perinatol. 2000;20:41-5.</w:t>
            </w:r>
          </w:p>
          <w:p w:rsidRPr="003D0BEE" w:rsidR="003D0BEE" w:rsidP="00131848" w:rsidRDefault="003D0BEE" w14:paraId="332D8C01" w14:textId="77777777">
            <w:pPr>
              <w:pStyle w:val="EndNoteBibliography"/>
              <w:rPr>
                <w:rFonts w:asciiTheme="minorHAnsi" w:hAnsiTheme="minorHAnsi"/>
                <w:sz w:val="16"/>
                <w:szCs w:val="16"/>
              </w:rPr>
            </w:pPr>
            <w:r w:rsidRPr="003D0BEE">
              <w:rPr>
                <w:rFonts w:asciiTheme="minorHAnsi" w:hAnsiTheme="minorHAnsi"/>
                <w:sz w:val="16"/>
                <w:szCs w:val="16"/>
              </w:rPr>
              <w:t>11. Suematsu F, Minemoto M, Yukawa E, Higuchi S. Population analysis for the optimization of digoxin treatment in Japanese paediatric patients. J Clin Pharm Ther. 1999;24:203-8.</w:t>
            </w:r>
          </w:p>
        </w:tc>
      </w:tr>
    </w:tbl>
    <w:p w:rsidR="00644251" w:rsidP="00644251" w:rsidRDefault="00644251" w14:paraId="401A448E" w14:textId="34D6ED01">
      <w:pPr>
        <w:rPr>
          <w:b/>
          <w:bCs/>
          <w:lang w:val="en-AU"/>
        </w:rPr>
      </w:pPr>
    </w:p>
    <w:p w:rsidRPr="00644251" w:rsidR="00A07901" w:rsidP="00644251" w:rsidRDefault="00A07901" w14:paraId="344F11A3" w14:textId="77777777">
      <w:pPr>
        <w:rPr>
          <w:b/>
          <w:bCs/>
          <w:lang w:val="en-AU"/>
        </w:rPr>
      </w:pPr>
    </w:p>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2"/>
        <w:gridCol w:w="4153"/>
        <w:gridCol w:w="219"/>
        <w:gridCol w:w="4677"/>
        <w:gridCol w:w="142"/>
      </w:tblGrid>
      <w:tr w:rsidRPr="00644251" w:rsidR="00E424B4" w:rsidTr="008074AA" w14:paraId="1815A7A0" w14:textId="77777777">
        <w:tc>
          <w:tcPr>
            <w:tcW w:w="4424" w:type="dxa"/>
            <w:gridSpan w:val="3"/>
            <w:vAlign w:val="center"/>
          </w:tcPr>
          <w:p w:rsidRPr="00644251" w:rsidR="00644251" w:rsidP="00644251" w:rsidRDefault="00644251" w14:paraId="4AC4C9A9" w14:textId="00BD04C1">
            <w:pPr>
              <w:rPr>
                <w:b/>
                <w:lang w:val="en-AU"/>
              </w:rPr>
            </w:pPr>
            <w:r w:rsidRPr="00644251">
              <w:rPr>
                <w:b/>
                <w:lang w:val="en-AU"/>
              </w:rPr>
              <w:t xml:space="preserve">Original version Date: </w:t>
            </w:r>
            <w:r w:rsidRPr="00644251" w:rsidR="0000356B">
              <w:rPr>
                <w:lang w:val="en-AU"/>
              </w:rPr>
              <w:t>18/07/2016</w:t>
            </w:r>
          </w:p>
        </w:tc>
        <w:tc>
          <w:tcPr>
            <w:tcW w:w="4819" w:type="dxa"/>
            <w:gridSpan w:val="2"/>
            <w:vAlign w:val="center"/>
          </w:tcPr>
          <w:p w:rsidRPr="00644251" w:rsidR="00644251" w:rsidP="00644251" w:rsidRDefault="00644251" w14:paraId="7A793C92" w14:textId="7FF37211">
            <w:pPr>
              <w:rPr>
                <w:b/>
                <w:lang w:val="en-AU"/>
              </w:rPr>
            </w:pPr>
            <w:r w:rsidRPr="00644251">
              <w:rPr>
                <w:b/>
                <w:lang w:val="en-AU"/>
              </w:rPr>
              <w:t>Author: NMF Consensus Group</w:t>
            </w:r>
          </w:p>
        </w:tc>
      </w:tr>
      <w:tr w:rsidRPr="00644251" w:rsidR="00E424B4" w:rsidTr="008074AA" w14:paraId="78B08E9A" w14:textId="77777777">
        <w:tc>
          <w:tcPr>
            <w:tcW w:w="4424" w:type="dxa"/>
            <w:gridSpan w:val="3"/>
            <w:vAlign w:val="center"/>
          </w:tcPr>
          <w:p w:rsidRPr="00644251" w:rsidR="00644251" w:rsidP="00644251" w:rsidRDefault="00644251" w14:paraId="11CC5EE6" w14:textId="7F837620">
            <w:pPr>
              <w:rPr>
                <w:bCs/>
                <w:lang w:val="en-AU"/>
              </w:rPr>
            </w:pPr>
            <w:r w:rsidRPr="00644251">
              <w:rPr>
                <w:b/>
                <w:lang w:val="en-AU"/>
              </w:rPr>
              <w:t xml:space="preserve">Current Version number:  </w:t>
            </w:r>
            <w:r w:rsidR="003D0BEE">
              <w:rPr>
                <w:lang w:val="en-AU"/>
              </w:rPr>
              <w:t>4</w:t>
            </w:r>
          </w:p>
        </w:tc>
        <w:tc>
          <w:tcPr>
            <w:tcW w:w="4819" w:type="dxa"/>
            <w:gridSpan w:val="2"/>
            <w:vAlign w:val="center"/>
          </w:tcPr>
          <w:p w:rsidRPr="00644251" w:rsidR="00644251" w:rsidP="00644251" w:rsidRDefault="00644251" w14:paraId="686152C0" w14:textId="49D62A73">
            <w:pPr>
              <w:rPr>
                <w:lang w:val="en-AU"/>
              </w:rPr>
            </w:pPr>
            <w:r w:rsidRPr="00644251">
              <w:rPr>
                <w:b/>
                <w:lang w:val="en-AU"/>
              </w:rPr>
              <w:t>Current Version Date:</w:t>
            </w:r>
            <w:r w:rsidRPr="00644251">
              <w:rPr>
                <w:lang w:val="en-AU"/>
              </w:rPr>
              <w:t xml:space="preserve">  </w:t>
            </w:r>
            <w:r w:rsidR="00397A0F">
              <w:rPr>
                <w:lang w:val="en-AU"/>
              </w:rPr>
              <w:t>18-</w:t>
            </w:r>
            <w:r w:rsidR="003D0BEE">
              <w:rPr>
                <w:lang w:val="en-AU"/>
              </w:rPr>
              <w:t>6</w:t>
            </w:r>
            <w:r w:rsidR="00397A0F">
              <w:rPr>
                <w:lang w:val="en-AU"/>
              </w:rPr>
              <w:t>-2021</w:t>
            </w:r>
          </w:p>
        </w:tc>
      </w:tr>
      <w:tr w:rsidRPr="00644251" w:rsidR="00E424B4" w:rsidTr="008074AA" w14:paraId="7CD507B6" w14:textId="77777777">
        <w:tc>
          <w:tcPr>
            <w:tcW w:w="4424" w:type="dxa"/>
            <w:gridSpan w:val="3"/>
            <w:vAlign w:val="center"/>
          </w:tcPr>
          <w:p w:rsidRPr="00644251" w:rsidR="00644251" w:rsidP="00644251" w:rsidRDefault="00644251" w14:paraId="285B97A4" w14:textId="5C9D37C6">
            <w:pPr>
              <w:rPr>
                <w:lang w:val="en-AU"/>
              </w:rPr>
            </w:pPr>
            <w:r w:rsidRPr="00644251">
              <w:rPr>
                <w:b/>
                <w:lang w:val="en-AU"/>
              </w:rPr>
              <w:t xml:space="preserve">Risk Rating: </w:t>
            </w:r>
            <w:r w:rsidR="00A3041A">
              <w:rPr>
                <w:lang w:val="en-AU"/>
              </w:rPr>
              <w:t>Low</w:t>
            </w:r>
          </w:p>
        </w:tc>
        <w:tc>
          <w:tcPr>
            <w:tcW w:w="4819" w:type="dxa"/>
            <w:gridSpan w:val="2"/>
            <w:vAlign w:val="center"/>
          </w:tcPr>
          <w:p w:rsidRPr="00644251" w:rsidR="00644251" w:rsidP="00644251" w:rsidRDefault="00644251" w14:paraId="5CD5456B" w14:textId="5B2D797B">
            <w:pPr>
              <w:rPr>
                <w:lang w:val="en-AU"/>
              </w:rPr>
            </w:pPr>
            <w:r w:rsidRPr="00644251">
              <w:rPr>
                <w:b/>
                <w:lang w:val="en-AU"/>
              </w:rPr>
              <w:t xml:space="preserve">Due for Review: </w:t>
            </w:r>
            <w:r w:rsidR="00397A0F">
              <w:rPr>
                <w:lang w:val="en-AU"/>
              </w:rPr>
              <w:t>18-</w:t>
            </w:r>
            <w:r w:rsidR="003D0BEE">
              <w:rPr>
                <w:lang w:val="en-AU"/>
              </w:rPr>
              <w:t>6</w:t>
            </w:r>
            <w:r w:rsidR="00397A0F">
              <w:rPr>
                <w:lang w:val="en-AU"/>
              </w:rPr>
              <w:t>-2026</w:t>
            </w:r>
          </w:p>
        </w:tc>
      </w:tr>
      <w:tr w:rsidRPr="00644251" w:rsidR="00E424B4" w:rsidTr="008074AA" w14:paraId="7C58B429" w14:textId="77777777">
        <w:trPr>
          <w:trHeight w:val="344"/>
        </w:trPr>
        <w:tc>
          <w:tcPr>
            <w:tcW w:w="4424" w:type="dxa"/>
            <w:gridSpan w:val="3"/>
            <w:tcBorders>
              <w:bottom w:val="single" w:color="auto" w:sz="4" w:space="0"/>
            </w:tcBorders>
            <w:vAlign w:val="center"/>
          </w:tcPr>
          <w:p w:rsidRPr="00644251" w:rsidR="00644251" w:rsidP="00644251" w:rsidRDefault="00644251" w14:paraId="1395DC43" w14:textId="06E91D48">
            <w:pPr>
              <w:rPr>
                <w:b/>
                <w:lang w:val="en-AU"/>
              </w:rPr>
            </w:pPr>
            <w:r w:rsidRPr="00644251">
              <w:rPr>
                <w:b/>
                <w:lang w:val="en-AU"/>
              </w:rPr>
              <w:t xml:space="preserve">Approval by: </w:t>
            </w:r>
            <w:r w:rsidR="0000356B">
              <w:rPr>
                <w:b/>
                <w:lang w:val="en-AU"/>
              </w:rPr>
              <w:t>DTC</w:t>
            </w:r>
          </w:p>
        </w:tc>
        <w:tc>
          <w:tcPr>
            <w:tcW w:w="4819" w:type="dxa"/>
            <w:gridSpan w:val="2"/>
            <w:tcBorders>
              <w:bottom w:val="single" w:color="auto" w:sz="4" w:space="0"/>
            </w:tcBorders>
            <w:vAlign w:val="center"/>
          </w:tcPr>
          <w:p w:rsidRPr="00644251" w:rsidR="00644251" w:rsidP="00644251" w:rsidRDefault="00644251" w14:paraId="772FB5A7" w14:textId="25143341">
            <w:pPr>
              <w:rPr>
                <w:b/>
                <w:lang w:val="en-AU"/>
              </w:rPr>
            </w:pPr>
            <w:r w:rsidRPr="00644251">
              <w:rPr>
                <w:b/>
                <w:lang w:val="en-AU"/>
              </w:rPr>
              <w:t>Approval Date:</w:t>
            </w:r>
            <w:r w:rsidR="0000356B">
              <w:rPr>
                <w:b/>
                <w:lang w:val="en-AU"/>
              </w:rPr>
              <w:t xml:space="preserve"> </w:t>
            </w:r>
            <w:r w:rsidR="00260BC8">
              <w:rPr>
                <w:b/>
                <w:lang w:val="en-AU"/>
              </w:rPr>
              <w:t>APRIL 2021</w:t>
            </w:r>
          </w:p>
        </w:tc>
      </w:tr>
      <w:tr w:rsidRPr="00E25790" w:rsidR="00115F48" w:rsidTr="008074AA" w14:paraId="5EABA3B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52" w:type="dxa"/>
          <w:wAfter w:w="142" w:type="dxa"/>
          <w:cantSplit/>
          <w:trHeight w:val="720"/>
        </w:trPr>
        <w:tc>
          <w:tcPr>
            <w:tcW w:w="9049" w:type="dxa"/>
            <w:gridSpan w:val="3"/>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5A5A8BA2" w14:textId="77777777">
            <w:pPr>
              <w:pStyle w:val="Heading1"/>
            </w:pPr>
            <w:bookmarkStart w:name="_Toc495481125" w:id="318"/>
            <w:bookmarkStart w:name="_Toc495481251" w:id="319"/>
            <w:bookmarkStart w:name="_Toc495481376" w:id="320"/>
            <w:bookmarkStart w:name="_Toc495501557" w:id="321"/>
            <w:bookmarkStart w:name="_Toc38106862" w:id="322"/>
            <w:bookmarkStart w:name="_Toc75339987" w:id="323"/>
            <w:r w:rsidRPr="00E25790">
              <w:lastRenderedPageBreak/>
              <w:t>Hydrocortisone</w:t>
            </w:r>
            <w:bookmarkEnd w:id="318"/>
            <w:bookmarkEnd w:id="319"/>
            <w:bookmarkEnd w:id="320"/>
            <w:bookmarkEnd w:id="321"/>
            <w:bookmarkEnd w:id="322"/>
            <w:bookmarkEnd w:id="323"/>
            <w:r w:rsidRPr="00E25790">
              <w:fldChar w:fldCharType="begin"/>
            </w:r>
            <w:r w:rsidRPr="00E25790">
              <w:instrText>tc "Hydrocortisone" \l 0</w:instrText>
            </w:r>
            <w:r w:rsidRPr="00E25790">
              <w:fldChar w:fldCharType="end"/>
            </w:r>
          </w:p>
        </w:tc>
      </w:tr>
      <w:tr w:rsidRPr="00E25790" w:rsidR="00115F48" w:rsidTr="008074AA" w14:paraId="61458D1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52" w:type="dxa"/>
          <w:wAfter w:w="142" w:type="dxa"/>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79B553FC" w14:textId="77777777">
            <w:r w:rsidRPr="00E25790">
              <w:t>Revision Date</w:t>
            </w:r>
            <w:r w:rsidRPr="00E25790">
              <w:rPr>
                <w:b/>
              </w:rPr>
              <w:t xml:space="preserve"> : </w:t>
            </w:r>
            <w:r w:rsidRPr="00E25790" w:rsidR="008F6C57">
              <w:rPr>
                <w:b/>
              </w:rPr>
              <w:t>15-3-2018</w:t>
            </w:r>
          </w:p>
        </w:tc>
        <w:tc>
          <w:tcPr>
            <w:tcW w:w="4896" w:type="dxa"/>
            <w:gridSpan w:val="2"/>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C63F1F1" w14:textId="77777777">
            <w:r w:rsidRPr="00E25790">
              <w:t xml:space="preserve">Approved: </w:t>
            </w:r>
            <w:r w:rsidRPr="00E25790" w:rsidR="00F736F0">
              <w:t>TC, KOH</w:t>
            </w:r>
          </w:p>
        </w:tc>
      </w:tr>
    </w:tbl>
    <w:p w:rsidRPr="00E25790" w:rsidR="00115F48" w:rsidP="006F0321" w:rsidRDefault="00115F48" w14:paraId="44423300" w14:textId="77777777"/>
    <w:tbl>
      <w:tblPr>
        <w:tblW w:w="542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36"/>
        <w:gridCol w:w="7339"/>
      </w:tblGrid>
      <w:tr w:rsidRPr="009F1244" w:rsidR="00F736F0" w:rsidTr="00E847ED" w14:paraId="263F46BB" w14:textId="77777777">
        <w:trPr>
          <w:trHeight w:val="389"/>
        </w:trPr>
        <w:tc>
          <w:tcPr>
            <w:tcW w:w="1246" w:type="pct"/>
          </w:tcPr>
          <w:p w:rsidRPr="00F736F0" w:rsidR="00F736F0" w:rsidP="77BEE3D0" w:rsidRDefault="2F8A48D9" w14:paraId="3AAB4EB5" w14:textId="77777777">
            <w:pPr>
              <w:pStyle w:val="BodyText"/>
              <w:rPr>
                <w:b/>
                <w:bCs/>
                <w:sz w:val="20"/>
              </w:rPr>
            </w:pPr>
            <w:r w:rsidRPr="77BEE3D0">
              <w:rPr>
                <w:b/>
                <w:bCs/>
                <w:sz w:val="20"/>
              </w:rPr>
              <w:t>Alert</w:t>
            </w:r>
            <w:r w:rsidR="00F736F0">
              <w:tab/>
            </w:r>
          </w:p>
          <w:p w:rsidRPr="00F736F0" w:rsidR="00F736F0" w:rsidP="77BEE3D0" w:rsidRDefault="2F8A48D9" w14:paraId="58F74913" w14:textId="77777777">
            <w:pPr>
              <w:pStyle w:val="BodyText"/>
              <w:rPr>
                <w:b/>
                <w:bCs/>
                <w:sz w:val="20"/>
              </w:rPr>
            </w:pPr>
            <w:r w:rsidRPr="77BEE3D0">
              <w:rPr>
                <w:b/>
                <w:bCs/>
                <w:sz w:val="20"/>
              </w:rPr>
              <w:t xml:space="preserve"> </w:t>
            </w:r>
          </w:p>
        </w:tc>
        <w:tc>
          <w:tcPr>
            <w:tcW w:w="3754" w:type="pct"/>
          </w:tcPr>
          <w:p w:rsidRPr="00F736F0" w:rsidR="00F736F0" w:rsidP="00B97D99" w:rsidRDefault="00F736F0" w14:paraId="21BB3725" w14:textId="77777777">
            <w:pPr>
              <w:pStyle w:val="BodyText"/>
              <w:jc w:val="left"/>
            </w:pPr>
            <w:r w:rsidRPr="00F736F0">
              <w:t xml:space="preserve">Oral dose: Hydrocortisone is not soluble in water and the dose is not evenly distributed in the solution. Refer to preparation section for specific instructions on the oral preparation.  </w:t>
            </w:r>
          </w:p>
        </w:tc>
      </w:tr>
      <w:tr w:rsidRPr="009F1244" w:rsidR="00F736F0" w:rsidTr="00E847ED" w14:paraId="5ABCA6C4" w14:textId="77777777">
        <w:trPr>
          <w:trHeight w:val="723"/>
        </w:trPr>
        <w:tc>
          <w:tcPr>
            <w:tcW w:w="1246" w:type="pct"/>
          </w:tcPr>
          <w:p w:rsidRPr="00F736F0" w:rsidR="00F736F0" w:rsidP="77BEE3D0" w:rsidRDefault="2F8A48D9" w14:paraId="648947ED" w14:textId="77777777">
            <w:pPr>
              <w:pStyle w:val="BodyText"/>
              <w:rPr>
                <w:b/>
                <w:bCs/>
                <w:sz w:val="20"/>
              </w:rPr>
            </w:pPr>
            <w:r w:rsidRPr="77BEE3D0">
              <w:rPr>
                <w:b/>
                <w:bCs/>
                <w:sz w:val="20"/>
              </w:rPr>
              <w:t xml:space="preserve">Indication </w:t>
            </w:r>
          </w:p>
        </w:tc>
        <w:tc>
          <w:tcPr>
            <w:tcW w:w="3754" w:type="pct"/>
          </w:tcPr>
          <w:p w:rsidRPr="00F736F0" w:rsidR="00F736F0" w:rsidP="001B0E05" w:rsidRDefault="00F736F0" w14:paraId="019940B1" w14:textId="77777777">
            <w:pPr>
              <w:pStyle w:val="ListParagraph"/>
              <w:numPr>
                <w:ilvl w:val="0"/>
                <w:numId w:val="29"/>
              </w:numPr>
            </w:pPr>
            <w:r w:rsidRPr="00F736F0">
              <w:t>Treatment of cortisol deficiency (hypoadrenalism).</w:t>
            </w:r>
          </w:p>
          <w:p w:rsidRPr="00F736F0" w:rsidR="00F736F0" w:rsidP="001B0E05" w:rsidRDefault="00F736F0" w14:paraId="6F5387DC" w14:textId="77777777">
            <w:pPr>
              <w:pStyle w:val="ListParagraph"/>
              <w:numPr>
                <w:ilvl w:val="0"/>
                <w:numId w:val="29"/>
              </w:numPr>
            </w:pPr>
            <w:r w:rsidRPr="00F736F0">
              <w:t>Treatment of hypotension NOT responding to inotrope.</w:t>
            </w:r>
          </w:p>
          <w:p w:rsidRPr="00F736F0" w:rsidR="00F736F0" w:rsidP="001B0E05" w:rsidRDefault="00F736F0" w14:paraId="729000A6" w14:textId="77777777">
            <w:pPr>
              <w:pStyle w:val="ListParagraph"/>
              <w:numPr>
                <w:ilvl w:val="0"/>
                <w:numId w:val="29"/>
              </w:numPr>
            </w:pPr>
            <w:r w:rsidRPr="00F736F0">
              <w:t>Short term adjunctive therapy for persistent hypoglycaemia.</w:t>
            </w:r>
          </w:p>
          <w:p w:rsidRPr="00F736F0" w:rsidR="00F736F0" w:rsidP="001B0E05" w:rsidRDefault="00F736F0" w14:paraId="1975E41B" w14:textId="77777777">
            <w:pPr>
              <w:pStyle w:val="ListParagraph"/>
              <w:numPr>
                <w:ilvl w:val="0"/>
                <w:numId w:val="29"/>
              </w:numPr>
            </w:pPr>
            <w:r w:rsidRPr="00F736F0">
              <w:t>Prevention of bronchopulmonary dysplasia (not routinely recommended)</w:t>
            </w:r>
          </w:p>
        </w:tc>
      </w:tr>
      <w:tr w:rsidRPr="009F1244" w:rsidR="00F736F0" w:rsidTr="00E847ED" w14:paraId="71E8E288" w14:textId="77777777">
        <w:trPr>
          <w:trHeight w:val="703"/>
        </w:trPr>
        <w:tc>
          <w:tcPr>
            <w:tcW w:w="1246" w:type="pct"/>
          </w:tcPr>
          <w:p w:rsidRPr="00F736F0" w:rsidR="00F736F0" w:rsidP="77BEE3D0" w:rsidRDefault="2F8A48D9" w14:paraId="12568792" w14:textId="77777777">
            <w:pPr>
              <w:pStyle w:val="BodyText"/>
              <w:rPr>
                <w:b/>
                <w:bCs/>
                <w:sz w:val="20"/>
              </w:rPr>
            </w:pPr>
            <w:r w:rsidRPr="77BEE3D0">
              <w:rPr>
                <w:b/>
                <w:bCs/>
                <w:sz w:val="20"/>
              </w:rPr>
              <w:t>Action</w:t>
            </w:r>
          </w:p>
        </w:tc>
        <w:tc>
          <w:tcPr>
            <w:tcW w:w="3754" w:type="pct"/>
          </w:tcPr>
          <w:p w:rsidRPr="00F736F0" w:rsidR="00F736F0" w:rsidP="001B0E05" w:rsidRDefault="00F736F0" w14:paraId="1C9BA1C4" w14:textId="77777777">
            <w:pPr>
              <w:pStyle w:val="ListParagraph"/>
              <w:numPr>
                <w:ilvl w:val="0"/>
                <w:numId w:val="28"/>
              </w:numPr>
            </w:pPr>
            <w:r w:rsidRPr="00F736F0">
              <w:t>Adrenal corticosteroid with primarily glucocorticoid effects.</w:t>
            </w:r>
          </w:p>
          <w:p w:rsidRPr="00F736F0" w:rsidR="00F736F0" w:rsidP="001B0E05" w:rsidRDefault="00F736F0" w14:paraId="199998BF" w14:textId="77777777">
            <w:pPr>
              <w:pStyle w:val="ListParagraph"/>
              <w:numPr>
                <w:ilvl w:val="0"/>
                <w:numId w:val="28"/>
              </w:numPr>
            </w:pPr>
            <w:r w:rsidRPr="00F736F0">
              <w:t>Enhances vascular reactivity to other vasoactive substances by increasing expression of adrenergic receptors in the vascular wall and increasing calcium concentrations in myocardial cells.</w:t>
            </w:r>
          </w:p>
          <w:p w:rsidRPr="00F736F0" w:rsidR="00F736F0" w:rsidP="001B0E05" w:rsidRDefault="00F736F0" w14:paraId="3485A83C" w14:textId="77777777">
            <w:pPr>
              <w:pStyle w:val="ListParagraph"/>
              <w:numPr>
                <w:ilvl w:val="0"/>
                <w:numId w:val="28"/>
              </w:numPr>
            </w:pPr>
            <w:r w:rsidRPr="00F736F0">
              <w:t>Decreases breakdown of catecholamines.</w:t>
            </w:r>
          </w:p>
          <w:p w:rsidRPr="00F736F0" w:rsidR="00F736F0" w:rsidP="001B0E05" w:rsidRDefault="00F736F0" w14:paraId="0693DF44" w14:textId="77777777">
            <w:pPr>
              <w:pStyle w:val="ListParagraph"/>
              <w:numPr>
                <w:ilvl w:val="0"/>
                <w:numId w:val="28"/>
              </w:numPr>
            </w:pPr>
            <w:r w:rsidRPr="00F736F0">
              <w:t>Stimulates the liver to produce glucose from amino acids and glycerol, and stimulates the deposition of glucose as glycogen.</w:t>
            </w:r>
          </w:p>
        </w:tc>
      </w:tr>
      <w:tr w:rsidRPr="009F1244" w:rsidR="00F736F0" w:rsidTr="00E847ED" w14:paraId="6AC442ED" w14:textId="77777777">
        <w:trPr>
          <w:trHeight w:val="263"/>
        </w:trPr>
        <w:tc>
          <w:tcPr>
            <w:tcW w:w="1246" w:type="pct"/>
          </w:tcPr>
          <w:p w:rsidRPr="00F736F0" w:rsidR="00F736F0" w:rsidP="77BEE3D0" w:rsidRDefault="2F8A48D9" w14:paraId="0E476968" w14:textId="77777777">
            <w:pPr>
              <w:pStyle w:val="BodyText"/>
              <w:rPr>
                <w:b/>
                <w:bCs/>
                <w:sz w:val="20"/>
              </w:rPr>
            </w:pPr>
            <w:r w:rsidRPr="77BEE3D0">
              <w:rPr>
                <w:b/>
                <w:bCs/>
                <w:sz w:val="20"/>
              </w:rPr>
              <w:t xml:space="preserve">Drug Type                               </w:t>
            </w:r>
          </w:p>
        </w:tc>
        <w:tc>
          <w:tcPr>
            <w:tcW w:w="3754" w:type="pct"/>
          </w:tcPr>
          <w:p w:rsidRPr="00F736F0" w:rsidR="00F736F0" w:rsidP="00B97D99" w:rsidRDefault="00F736F0" w14:paraId="64A360C5" w14:textId="77777777">
            <w:pPr>
              <w:pStyle w:val="BodyText"/>
              <w:jc w:val="left"/>
            </w:pPr>
            <w:r w:rsidRPr="00F736F0">
              <w:t>Corticosteroid.</w:t>
            </w:r>
          </w:p>
        </w:tc>
      </w:tr>
      <w:tr w:rsidRPr="009F1244" w:rsidR="00F736F0" w:rsidTr="00E847ED" w14:paraId="46DCDED6" w14:textId="77777777">
        <w:trPr>
          <w:trHeight w:val="405"/>
        </w:trPr>
        <w:tc>
          <w:tcPr>
            <w:tcW w:w="1246" w:type="pct"/>
          </w:tcPr>
          <w:p w:rsidRPr="00F736F0" w:rsidR="00F736F0" w:rsidP="77BEE3D0" w:rsidRDefault="2F8A48D9" w14:paraId="06486461" w14:textId="77777777">
            <w:pPr>
              <w:pStyle w:val="BodyText"/>
              <w:rPr>
                <w:b/>
                <w:bCs/>
                <w:sz w:val="20"/>
              </w:rPr>
            </w:pPr>
            <w:r w:rsidRPr="77BEE3D0">
              <w:rPr>
                <w:b/>
                <w:bCs/>
                <w:sz w:val="20"/>
              </w:rPr>
              <w:t xml:space="preserve">Trade Name                  </w:t>
            </w:r>
          </w:p>
        </w:tc>
        <w:tc>
          <w:tcPr>
            <w:tcW w:w="3754" w:type="pct"/>
          </w:tcPr>
          <w:p w:rsidRPr="00F736F0" w:rsidR="00F736F0" w:rsidP="00B97D99" w:rsidRDefault="00F736F0" w14:paraId="223F8E78" w14:textId="77777777">
            <w:pPr>
              <w:pStyle w:val="BodyText"/>
              <w:jc w:val="left"/>
            </w:pPr>
            <w:r w:rsidRPr="00F736F0">
              <w:t xml:space="preserve">IV: Solu-Cortef. </w:t>
            </w:r>
          </w:p>
          <w:p w:rsidRPr="00F736F0" w:rsidR="00F736F0" w:rsidP="00B97D99" w:rsidRDefault="00F736F0" w14:paraId="7B495207" w14:textId="77777777">
            <w:pPr>
              <w:pStyle w:val="BodyText"/>
              <w:jc w:val="left"/>
            </w:pPr>
            <w:r w:rsidRPr="00F736F0">
              <w:t>Oral: Hysone.</w:t>
            </w:r>
          </w:p>
        </w:tc>
      </w:tr>
      <w:tr w:rsidRPr="009F1244" w:rsidR="00F736F0" w:rsidTr="00E847ED" w14:paraId="0627E520" w14:textId="77777777">
        <w:trPr>
          <w:trHeight w:val="354"/>
        </w:trPr>
        <w:tc>
          <w:tcPr>
            <w:tcW w:w="1246" w:type="pct"/>
          </w:tcPr>
          <w:p w:rsidRPr="00F736F0" w:rsidR="00F736F0" w:rsidP="77BEE3D0" w:rsidRDefault="2F8A48D9" w14:paraId="225DA12B" w14:textId="77777777">
            <w:pPr>
              <w:pStyle w:val="BodyText"/>
              <w:rPr>
                <w:b/>
                <w:bCs/>
                <w:sz w:val="20"/>
              </w:rPr>
            </w:pPr>
            <w:r w:rsidRPr="77BEE3D0">
              <w:rPr>
                <w:b/>
                <w:bCs/>
                <w:sz w:val="20"/>
              </w:rPr>
              <w:t xml:space="preserve">Presentation </w:t>
            </w:r>
          </w:p>
        </w:tc>
        <w:tc>
          <w:tcPr>
            <w:tcW w:w="3754" w:type="pct"/>
          </w:tcPr>
          <w:p w:rsidRPr="00F736F0" w:rsidR="00F736F0" w:rsidP="00B97D99" w:rsidRDefault="00F736F0" w14:paraId="7CFCB7E6" w14:textId="77777777">
            <w:pPr>
              <w:pStyle w:val="BodyText"/>
              <w:jc w:val="left"/>
            </w:pPr>
            <w:r w:rsidRPr="00F736F0">
              <w:t>100 mg vial, 4 mg tablet, 20mg tablet</w:t>
            </w:r>
          </w:p>
        </w:tc>
      </w:tr>
      <w:tr w:rsidRPr="009F1244" w:rsidR="00F736F0" w:rsidTr="00E847ED" w14:paraId="5B91AB4A" w14:textId="77777777">
        <w:trPr>
          <w:trHeight w:val="354"/>
        </w:trPr>
        <w:tc>
          <w:tcPr>
            <w:tcW w:w="1246" w:type="pct"/>
          </w:tcPr>
          <w:p w:rsidRPr="00F736F0" w:rsidR="00F736F0" w:rsidP="77BEE3D0" w:rsidRDefault="2F8A48D9" w14:paraId="438DA5C3" w14:textId="77777777">
            <w:pPr>
              <w:pStyle w:val="BodyText"/>
              <w:rPr>
                <w:b/>
                <w:bCs/>
                <w:sz w:val="20"/>
              </w:rPr>
            </w:pPr>
            <w:r w:rsidRPr="77BEE3D0">
              <w:rPr>
                <w:b/>
                <w:bCs/>
                <w:sz w:val="20"/>
              </w:rPr>
              <w:t xml:space="preserve">Dosage / Interval                           </w:t>
            </w:r>
          </w:p>
          <w:p w:rsidRPr="00F736F0" w:rsidR="00F736F0" w:rsidP="77BEE3D0" w:rsidRDefault="00F736F0" w14:paraId="2C1CF8F7" w14:textId="77777777">
            <w:pPr>
              <w:pStyle w:val="BodyText"/>
              <w:rPr>
                <w:b/>
                <w:bCs/>
                <w:sz w:val="20"/>
              </w:rPr>
            </w:pPr>
          </w:p>
        </w:tc>
        <w:tc>
          <w:tcPr>
            <w:tcW w:w="3754" w:type="pct"/>
          </w:tcPr>
          <w:p w:rsidRPr="00F736F0" w:rsidR="00F736F0" w:rsidP="00B97D99" w:rsidRDefault="00F736F0" w14:paraId="6E87EE60" w14:textId="77777777">
            <w:pPr>
              <w:rPr>
                <w:rFonts w:cs="Arial"/>
              </w:rPr>
            </w:pPr>
            <w:r w:rsidRPr="00F736F0">
              <w:rPr>
                <w:rFonts w:cs="Arial"/>
              </w:rPr>
              <w:t xml:space="preserve">For oral dosing </w:t>
            </w:r>
            <w:r w:rsidRPr="00F736F0">
              <w:rPr>
                <w:noProof/>
                <w:lang w:eastAsia="en-AU"/>
              </w:rPr>
              <w:t xml:space="preserve">round dose off to the nearest whole milligram (ie round dose off to the nearest half or quarter tablet). </w:t>
            </w:r>
          </w:p>
          <w:p w:rsidRPr="00F736F0" w:rsidR="00F736F0" w:rsidP="00B97D99" w:rsidRDefault="00F736F0" w14:paraId="6FD0C020" w14:textId="77777777"/>
          <w:p w:rsidRPr="00F736F0" w:rsidR="00F736F0" w:rsidP="00B97D99" w:rsidRDefault="00F736F0" w14:paraId="36677127" w14:textId="77777777">
            <w:r w:rsidRPr="00F736F0">
              <w:t xml:space="preserve">Hypotension </w:t>
            </w:r>
          </w:p>
          <w:p w:rsidRPr="00F736F0" w:rsidR="00F736F0" w:rsidP="00B97D99" w:rsidRDefault="00F736F0" w14:paraId="396CC3CE" w14:textId="77777777">
            <w:r w:rsidRPr="00F736F0">
              <w:t>≥ 35 weeks CGA/PMA: 1 mg/kg/dose 6–8 hourly (range 1−2 mg/kg/dose).</w:t>
            </w:r>
          </w:p>
          <w:p w:rsidRPr="00F736F0" w:rsidR="00F736F0" w:rsidP="00B97D99" w:rsidRDefault="00F736F0" w14:paraId="1CA07920" w14:textId="77777777">
            <w:r w:rsidRPr="00F736F0">
              <w:t xml:space="preserve"> &lt; 35 weeks CGA/PMA: 1 mg/kg/dose 6–12 hourly (range 1−2 mg/kg/dose).</w:t>
            </w:r>
          </w:p>
          <w:p w:rsidRPr="00F736F0" w:rsidR="00F736F0" w:rsidP="00B97D99" w:rsidRDefault="00F736F0" w14:paraId="53537872" w14:textId="77777777"/>
          <w:p w:rsidRPr="00F736F0" w:rsidR="00F736F0" w:rsidP="00B97D99" w:rsidRDefault="00F736F0" w14:paraId="4440939E" w14:textId="77777777">
            <w:r w:rsidRPr="00F736F0">
              <w:rPr>
                <w:b/>
              </w:rPr>
              <w:t xml:space="preserve">Hypoglycaemia: </w:t>
            </w:r>
            <w:r w:rsidRPr="00F736F0">
              <w:t>1–2.5 mg/kg/dose every 6 hours.</w:t>
            </w:r>
          </w:p>
          <w:p w:rsidRPr="00F736F0" w:rsidR="00F736F0" w:rsidP="00B97D99" w:rsidRDefault="00F736F0" w14:paraId="7C6BE4F1" w14:textId="77777777"/>
          <w:p w:rsidRPr="00F736F0" w:rsidR="00F736F0" w:rsidP="00B97D99" w:rsidRDefault="00F736F0" w14:paraId="523AFBDE" w14:textId="77777777">
            <w:r w:rsidRPr="00F736F0">
              <w:rPr>
                <w:b/>
              </w:rPr>
              <w:t>Physiologic replacement (hypoadrenalism)</w:t>
            </w:r>
            <w:r w:rsidRPr="00F736F0">
              <w:t>: 8-20 mg/m</w:t>
            </w:r>
            <w:r w:rsidRPr="00F736F0">
              <w:rPr>
                <w:vertAlign w:val="superscript"/>
              </w:rPr>
              <w:t>2</w:t>
            </w:r>
            <w:r w:rsidRPr="00F736F0">
              <w:t xml:space="preserve">/day in 3-4 divided doses. </w:t>
            </w:r>
            <w:r w:rsidRPr="00F736F0">
              <w:rPr>
                <w:noProof/>
              </w:rPr>
              <w:t>[2]</w:t>
            </w:r>
          </w:p>
          <w:p w:rsidRPr="00F736F0" w:rsidR="00F736F0" w:rsidP="00B97D99" w:rsidRDefault="00F736F0" w14:paraId="3BDD597A" w14:textId="77777777">
            <w:pPr>
              <w:rPr>
                <w:noProof/>
              </w:rPr>
            </w:pPr>
            <w:r w:rsidRPr="00F736F0">
              <w:rPr>
                <w:noProof/>
              </w:rPr>
              <w:t xml:space="preserve">Dosing and dose adjustment should be done in consultation with a Paediatric Endocrinologist. </w:t>
            </w:r>
          </w:p>
          <w:p w:rsidRPr="00F736F0" w:rsidR="00F736F0" w:rsidP="00B97D99" w:rsidRDefault="00F736F0" w14:paraId="35BE7164" w14:textId="77777777"/>
          <w:p w:rsidRPr="00F736F0" w:rsidR="00F736F0" w:rsidP="00B97D99" w:rsidRDefault="00F736F0" w14:paraId="6610DB86" w14:textId="77777777">
            <w:pPr>
              <w:rPr>
                <w:b/>
              </w:rPr>
            </w:pPr>
            <w:r w:rsidRPr="00F736F0">
              <w:rPr>
                <w:b/>
              </w:rPr>
              <w:t xml:space="preserve">Stress dose: </w:t>
            </w:r>
            <w:r w:rsidRPr="00F736F0">
              <w:t>50 mg/m</w:t>
            </w:r>
            <w:r w:rsidRPr="00F736F0">
              <w:rPr>
                <w:vertAlign w:val="superscript"/>
              </w:rPr>
              <w:t>2</w:t>
            </w:r>
            <w:r w:rsidRPr="00F736F0">
              <w:t>/day in 4 divided doses [up to 100 mg/m</w:t>
            </w:r>
            <w:r w:rsidRPr="00F736F0">
              <w:rPr>
                <w:vertAlign w:val="superscript"/>
              </w:rPr>
              <w:t>2</w:t>
            </w:r>
            <w:r w:rsidRPr="00F736F0">
              <w:t>/day]. [If length not available use hypoglycaemia dose].</w:t>
            </w:r>
          </w:p>
          <w:p w:rsidRPr="00F736F0" w:rsidR="00F736F0" w:rsidP="00B97D99" w:rsidRDefault="00F736F0" w14:paraId="2FC2877C" w14:textId="77777777"/>
          <w:p w:rsidRPr="00F736F0" w:rsidR="00F736F0" w:rsidP="00B97D99" w:rsidRDefault="00F736F0" w14:paraId="54D477C9" w14:textId="77777777">
            <w:r w:rsidRPr="00F736F0">
              <w:t>Body Surface Area (BSA) calculation:</w:t>
            </w:r>
          </w:p>
          <w:p w:rsidRPr="0048482D" w:rsidR="00F736F0" w:rsidP="00B97D99" w:rsidRDefault="0048482D" w14:paraId="76044EC1" w14:textId="77777777">
            <m:oMathPara>
              <m:oMathParaPr>
                <m:jc m:val="left"/>
              </m:oMathParaPr>
              <m:oMath>
                <m:r>
                  <w:rPr>
                    <w:rFonts w:ascii="Cambria Math" w:hAnsi="Cambria Math"/>
                  </w:rPr>
                  <w:lastRenderedPageBreak/>
                  <m:t>BSA</m:t>
                </m:r>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height</m:t>
                        </m:r>
                        <m:r>
                          <m:rPr>
                            <m:sty m:val="p"/>
                          </m:rPr>
                          <w:rPr>
                            <w:rFonts w:ascii="Cambria Math" w:hAnsi="Cambria Math"/>
                          </w:rPr>
                          <m:t xml:space="preserve"> </m:t>
                        </m:r>
                        <m:d>
                          <m:dPr>
                            <m:ctrlPr>
                              <w:rPr>
                                <w:rFonts w:ascii="Cambria Math" w:hAnsi="Cambria Math"/>
                              </w:rPr>
                            </m:ctrlPr>
                          </m:dPr>
                          <m:e>
                            <m:r>
                              <w:rPr>
                                <w:rFonts w:ascii="Cambria Math" w:hAnsi="Cambria Math"/>
                              </w:rPr>
                              <m:t>cm</m:t>
                            </m:r>
                          </m:e>
                        </m:d>
                        <m:r>
                          <m:rPr>
                            <m:sty m:val="p"/>
                          </m:rPr>
                          <w:rPr>
                            <w:rFonts w:ascii="Cambria Math" w:hAnsi="Cambria Math"/>
                          </w:rPr>
                          <m:t>×</m:t>
                        </m:r>
                        <m:r>
                          <w:rPr>
                            <w:rFonts w:ascii="Cambria Math" w:hAnsi="Cambria Math"/>
                          </w:rPr>
                          <m:t>weight</m:t>
                        </m:r>
                        <m:r>
                          <m:rPr>
                            <m:sty m:val="p"/>
                          </m:rPr>
                          <w:rPr>
                            <w:rFonts w:ascii="Cambria Math" w:hAnsi="Cambria Math"/>
                          </w:rPr>
                          <m:t xml:space="preserve"> (</m:t>
                        </m:r>
                        <m:r>
                          <w:rPr>
                            <w:rFonts w:ascii="Cambria Math" w:hAnsi="Cambria Math"/>
                          </w:rPr>
                          <m:t>kg</m:t>
                        </m:r>
                        <m:r>
                          <m:rPr>
                            <m:sty m:val="p"/>
                          </m:rPr>
                          <w:rPr>
                            <w:rFonts w:ascii="Cambria Math" w:hAnsi="Cambria Math"/>
                          </w:rPr>
                          <m:t>)</m:t>
                        </m:r>
                      </m:num>
                      <m:den>
                        <m:r>
                          <m:rPr>
                            <m:sty m:val="p"/>
                          </m:rPr>
                          <w:rPr>
                            <w:rFonts w:ascii="Cambria Math" w:hAnsi="Cambria Math"/>
                          </w:rPr>
                          <m:t>3600</m:t>
                        </m:r>
                      </m:den>
                    </m:f>
                  </m:e>
                </m:rad>
              </m:oMath>
            </m:oMathPara>
          </w:p>
          <w:p w:rsidRPr="00F736F0" w:rsidR="00F736F0" w:rsidP="00B97D99" w:rsidRDefault="00F736F0" w14:paraId="1E4E422B" w14:textId="77777777"/>
          <w:p w:rsidRPr="00F736F0" w:rsidR="00F736F0" w:rsidP="00B97D99" w:rsidRDefault="00F736F0" w14:paraId="3B4D2F6F" w14:textId="77777777">
            <w:r w:rsidRPr="00F736F0">
              <w:t xml:space="preserve">Low dose for prevention of bronchopulmonary dysplasia (not routinely recommended) </w:t>
            </w:r>
            <w:r w:rsidRPr="00F736F0">
              <w:rPr>
                <w:noProof/>
              </w:rPr>
              <w:t>[1-3]</w:t>
            </w:r>
            <w:r w:rsidRPr="00F736F0">
              <w:t>:</w:t>
            </w:r>
          </w:p>
          <w:p w:rsidRPr="00F736F0" w:rsidR="00F736F0" w:rsidP="00B97D99" w:rsidRDefault="00F736F0" w14:paraId="1B217790" w14:textId="77777777">
            <w:r w:rsidRPr="00F736F0">
              <w:t>0.5 mg/kg/dose every 12 hours for 7 days; then</w:t>
            </w:r>
          </w:p>
          <w:p w:rsidRPr="00F736F0" w:rsidR="00F736F0" w:rsidP="00B97D99" w:rsidRDefault="00F736F0" w14:paraId="6DF498AA" w14:textId="77777777">
            <w:r w:rsidRPr="00F736F0">
              <w:t>0.5 mg/kg/dose every 24 hours for 3 days.</w:t>
            </w:r>
          </w:p>
        </w:tc>
      </w:tr>
      <w:tr w:rsidRPr="009F1244" w:rsidR="00F736F0" w:rsidTr="00E847ED" w14:paraId="5FD4D74A" w14:textId="77777777">
        <w:trPr>
          <w:trHeight w:val="193"/>
        </w:trPr>
        <w:tc>
          <w:tcPr>
            <w:tcW w:w="1246" w:type="pct"/>
          </w:tcPr>
          <w:p w:rsidRPr="00F736F0" w:rsidR="00F736F0" w:rsidP="77BEE3D0" w:rsidRDefault="2F8A48D9" w14:paraId="7E6527B2" w14:textId="77777777">
            <w:pPr>
              <w:pStyle w:val="BodyText"/>
              <w:rPr>
                <w:b/>
                <w:bCs/>
                <w:sz w:val="20"/>
              </w:rPr>
            </w:pPr>
            <w:r w:rsidRPr="77BEE3D0">
              <w:rPr>
                <w:b/>
                <w:bCs/>
                <w:sz w:val="20"/>
              </w:rPr>
              <w:lastRenderedPageBreak/>
              <w:t xml:space="preserve">Route                           </w:t>
            </w:r>
          </w:p>
        </w:tc>
        <w:tc>
          <w:tcPr>
            <w:tcW w:w="3754" w:type="pct"/>
          </w:tcPr>
          <w:p w:rsidRPr="00F736F0" w:rsidR="00F736F0" w:rsidP="00B97D99" w:rsidRDefault="00F736F0" w14:paraId="09B0D480" w14:textId="77777777">
            <w:pPr>
              <w:pStyle w:val="BodyText"/>
              <w:jc w:val="left"/>
            </w:pPr>
            <w:r w:rsidRPr="00F736F0">
              <w:t xml:space="preserve">IV, oral. </w:t>
            </w:r>
          </w:p>
        </w:tc>
      </w:tr>
      <w:tr w:rsidRPr="009F1244" w:rsidR="00F736F0" w:rsidTr="00E847ED" w14:paraId="1A49F656" w14:textId="77777777">
        <w:trPr>
          <w:trHeight w:val="354"/>
        </w:trPr>
        <w:tc>
          <w:tcPr>
            <w:tcW w:w="1246" w:type="pct"/>
          </w:tcPr>
          <w:p w:rsidRPr="00F736F0" w:rsidR="00F736F0" w:rsidP="77BEE3D0" w:rsidRDefault="2F8A48D9" w14:paraId="035412D8" w14:textId="77777777">
            <w:pPr>
              <w:pStyle w:val="BodyText"/>
              <w:rPr>
                <w:b/>
                <w:bCs/>
                <w:sz w:val="20"/>
              </w:rPr>
            </w:pPr>
            <w:r w:rsidRPr="77BEE3D0">
              <w:rPr>
                <w:b/>
                <w:bCs/>
                <w:sz w:val="20"/>
              </w:rPr>
              <w:t>Preparation</w:t>
            </w:r>
          </w:p>
        </w:tc>
        <w:tc>
          <w:tcPr>
            <w:tcW w:w="3754" w:type="pct"/>
          </w:tcPr>
          <w:p w:rsidRPr="00F736F0" w:rsidR="00F736F0" w:rsidP="00B97D99" w:rsidRDefault="00F736F0" w14:paraId="4B639D98" w14:textId="77777777">
            <w:pPr>
              <w:pStyle w:val="BodyText"/>
              <w:jc w:val="left"/>
            </w:pPr>
            <w:r w:rsidRPr="00F736F0">
              <w:t>IV</w:t>
            </w:r>
          </w:p>
          <w:p w:rsidRPr="00F736F0" w:rsidR="00F736F0" w:rsidP="00B97D99" w:rsidRDefault="00F736F0" w14:paraId="47A1A1BE" w14:textId="77777777">
            <w:pPr>
              <w:pStyle w:val="BodyText"/>
              <w:jc w:val="left"/>
            </w:pPr>
            <w:r w:rsidRPr="00F736F0">
              <w:t xml:space="preserve">Add 2 mL of water for injection to the 100 mg vial (50 mg/mL). Draw up 1 mL (50 mg) of reconstituted solution and add 4 mL sodium chloride 0.9% to make a final volume of 5 mL with a concentration of 10 mg/mL. </w:t>
            </w:r>
          </w:p>
          <w:p w:rsidRPr="00F736F0" w:rsidR="00F736F0" w:rsidP="00B97D99" w:rsidRDefault="00F736F0" w14:paraId="1EC6D87B" w14:textId="77777777">
            <w:pPr>
              <w:pStyle w:val="BodyText"/>
              <w:jc w:val="left"/>
            </w:pPr>
          </w:p>
          <w:p w:rsidRPr="00F736F0" w:rsidR="00F736F0" w:rsidP="00B97D99" w:rsidRDefault="00F736F0" w14:paraId="4D6BB416" w14:textId="77777777">
            <w:pPr>
              <w:pStyle w:val="BodyText"/>
              <w:jc w:val="left"/>
            </w:pPr>
            <w:r w:rsidRPr="00F736F0">
              <w:t>Oral</w:t>
            </w:r>
          </w:p>
          <w:p w:rsidRPr="00F736F0" w:rsidR="00F736F0" w:rsidP="00B97D99" w:rsidRDefault="00F736F0" w14:paraId="37E87BD2" w14:textId="77777777">
            <w:pPr>
              <w:rPr>
                <w:noProof/>
                <w:lang w:eastAsia="en-AU"/>
              </w:rPr>
            </w:pPr>
            <w:r w:rsidRPr="00F736F0">
              <w:rPr>
                <w:noProof/>
                <w:lang w:eastAsia="en-AU"/>
              </w:rPr>
              <w:t xml:space="preserve">Hydrocortisone is not soluble in water. Underdosing or inaccurate dosing can occur when a whole 4mg tablet is dispersed in water, and a proportion of the final volume administered. Doses of hydrocortisone for oral administration should be rounded off to the nearest whole milligram (ie round dose off to the nearest half or quarter tablet).  </w:t>
            </w:r>
          </w:p>
          <w:p w:rsidRPr="00F736F0" w:rsidR="00F736F0" w:rsidP="00B97D99" w:rsidRDefault="00F736F0" w14:paraId="6CE2FA3B" w14:textId="77777777">
            <w:pPr>
              <w:rPr>
                <w:noProof/>
                <w:lang w:eastAsia="en-AU"/>
              </w:rPr>
            </w:pPr>
          </w:p>
          <w:p w:rsidRPr="00F736F0" w:rsidR="00F736F0" w:rsidP="00B97D99" w:rsidRDefault="00F736F0" w14:paraId="5AA6AC8F" w14:textId="77777777">
            <w:pPr>
              <w:rPr>
                <w:noProof/>
                <w:lang w:eastAsia="en-AU"/>
              </w:rPr>
            </w:pPr>
            <w:r w:rsidRPr="00F736F0">
              <w:rPr>
                <w:noProof/>
                <w:u w:val="single"/>
                <w:lang w:eastAsia="en-AU"/>
              </w:rPr>
              <w:t>Instructions to prepare an oral dose</w:t>
            </w:r>
            <w:r w:rsidRPr="00F736F0">
              <w:rPr>
                <w:noProof/>
                <w:lang w:eastAsia="en-AU"/>
              </w:rPr>
              <w:t xml:space="preserve">: Using a tablet cutter, cut a 4mg tablet in halves or quarters (depending on the dose required). Crush the portion of tablet required for the dose and disperse it in 1-2mL of sterile water or milk for administration to patient. Discard remaining portion of tablet. </w:t>
            </w:r>
          </w:p>
          <w:p w:rsidRPr="00F736F0" w:rsidR="00F736F0" w:rsidDel="00D90EB5" w:rsidP="00B97D99" w:rsidRDefault="00F736F0" w14:paraId="4736BEFE" w14:textId="77777777">
            <w:pPr>
              <w:pStyle w:val="BodyText"/>
              <w:jc w:val="left"/>
            </w:pPr>
            <w:r w:rsidRPr="00F736F0">
              <w:t xml:space="preserve">Refer to Appendix 1 for instruction sheet for staff and parents. </w:t>
            </w:r>
          </w:p>
        </w:tc>
      </w:tr>
      <w:tr w:rsidRPr="009F1244" w:rsidR="00F736F0" w:rsidTr="00E847ED" w14:paraId="4692D500" w14:textId="77777777">
        <w:trPr>
          <w:trHeight w:val="248"/>
        </w:trPr>
        <w:tc>
          <w:tcPr>
            <w:tcW w:w="1246" w:type="pct"/>
          </w:tcPr>
          <w:p w:rsidRPr="00F736F0" w:rsidR="00F736F0" w:rsidP="77BEE3D0" w:rsidRDefault="2F8A48D9" w14:paraId="227BEF7A" w14:textId="77777777">
            <w:pPr>
              <w:pStyle w:val="BodyText"/>
              <w:rPr>
                <w:b/>
                <w:bCs/>
                <w:sz w:val="20"/>
              </w:rPr>
            </w:pPr>
            <w:r w:rsidRPr="77BEE3D0">
              <w:rPr>
                <w:b/>
                <w:bCs/>
                <w:sz w:val="20"/>
              </w:rPr>
              <w:t xml:space="preserve">Administration                 </w:t>
            </w:r>
          </w:p>
        </w:tc>
        <w:tc>
          <w:tcPr>
            <w:tcW w:w="3754" w:type="pct"/>
          </w:tcPr>
          <w:p w:rsidRPr="00F736F0" w:rsidR="00F736F0" w:rsidP="00B97D99" w:rsidRDefault="00F736F0" w14:paraId="079ED192" w14:textId="77777777">
            <w:pPr>
              <w:pStyle w:val="BodyText"/>
              <w:jc w:val="left"/>
            </w:pPr>
            <w:r w:rsidRPr="00F736F0">
              <w:t xml:space="preserve">IV: Slow IV injection over at least 1 minute. </w:t>
            </w:r>
          </w:p>
          <w:p w:rsidRPr="00F736F0" w:rsidR="00F736F0" w:rsidDel="00D90EB5" w:rsidP="00B97D99" w:rsidRDefault="00F736F0" w14:paraId="72DA94FE" w14:textId="77777777">
            <w:pPr>
              <w:pStyle w:val="BodyText"/>
              <w:jc w:val="left"/>
            </w:pPr>
            <w:r w:rsidRPr="00F736F0">
              <w:t>Oral: With feeds.</w:t>
            </w:r>
          </w:p>
        </w:tc>
      </w:tr>
      <w:tr w:rsidRPr="009F1244" w:rsidR="00F736F0" w:rsidTr="00E847ED" w14:paraId="744DC508" w14:textId="77777777">
        <w:trPr>
          <w:trHeight w:val="407"/>
        </w:trPr>
        <w:tc>
          <w:tcPr>
            <w:tcW w:w="1246" w:type="pct"/>
          </w:tcPr>
          <w:p w:rsidRPr="00F736F0" w:rsidR="00F736F0" w:rsidP="77BEE3D0" w:rsidRDefault="2F8A48D9" w14:paraId="0A023D3E" w14:textId="77777777">
            <w:pPr>
              <w:pStyle w:val="BodyText"/>
              <w:rPr>
                <w:b/>
                <w:bCs/>
                <w:sz w:val="20"/>
              </w:rPr>
            </w:pPr>
            <w:r w:rsidRPr="77BEE3D0">
              <w:rPr>
                <w:b/>
                <w:bCs/>
                <w:sz w:val="20"/>
              </w:rPr>
              <w:t xml:space="preserve">Monitoring                              </w:t>
            </w:r>
          </w:p>
          <w:p w:rsidRPr="00F736F0" w:rsidR="00F736F0" w:rsidP="77BEE3D0" w:rsidRDefault="00F736F0" w14:paraId="12F417A4" w14:textId="77777777">
            <w:pPr>
              <w:pStyle w:val="BodyText"/>
              <w:rPr>
                <w:b/>
                <w:bCs/>
                <w:sz w:val="20"/>
              </w:rPr>
            </w:pPr>
          </w:p>
        </w:tc>
        <w:tc>
          <w:tcPr>
            <w:tcW w:w="3754" w:type="pct"/>
          </w:tcPr>
          <w:p w:rsidRPr="00F736F0" w:rsidR="00F736F0" w:rsidP="00B97D99" w:rsidRDefault="00F736F0" w14:paraId="393BB72F" w14:textId="77777777">
            <w:pPr>
              <w:pStyle w:val="BodyText"/>
              <w:jc w:val="left"/>
            </w:pPr>
            <w:r w:rsidRPr="00F736F0">
              <w:t xml:space="preserve">Measure blood pressure and blood glucose frequently during acute illness. </w:t>
            </w:r>
          </w:p>
          <w:p w:rsidRPr="00F736F0" w:rsidR="00F736F0" w:rsidP="00B97D99" w:rsidRDefault="00F736F0" w14:paraId="42EF604A" w14:textId="77777777">
            <w:pPr>
              <w:pStyle w:val="BodyText"/>
              <w:jc w:val="left"/>
            </w:pPr>
            <w:r w:rsidRPr="00F736F0">
              <w:t xml:space="preserve">In infants with primary adrenal insufficiency, monitor glucocorticoid replacement by clinical assessment, including growth velocity, body weight, blood pressure and energy levels. </w:t>
            </w:r>
          </w:p>
        </w:tc>
      </w:tr>
      <w:tr w:rsidRPr="009F1244" w:rsidR="00F736F0" w:rsidTr="00E847ED" w14:paraId="18C2B753" w14:textId="77777777">
        <w:trPr>
          <w:trHeight w:val="330"/>
        </w:trPr>
        <w:tc>
          <w:tcPr>
            <w:tcW w:w="1246" w:type="pct"/>
          </w:tcPr>
          <w:p w:rsidRPr="00F736F0" w:rsidR="00F736F0" w:rsidP="77BEE3D0" w:rsidRDefault="2F8A48D9" w14:paraId="668CAF0D" w14:textId="77777777">
            <w:pPr>
              <w:pStyle w:val="BodyText"/>
              <w:rPr>
                <w:b/>
                <w:bCs/>
                <w:sz w:val="20"/>
              </w:rPr>
            </w:pPr>
            <w:r w:rsidRPr="77BEE3D0">
              <w:rPr>
                <w:b/>
                <w:bCs/>
                <w:sz w:val="20"/>
              </w:rPr>
              <w:t>Contraindications</w:t>
            </w:r>
          </w:p>
        </w:tc>
        <w:tc>
          <w:tcPr>
            <w:tcW w:w="3754" w:type="pct"/>
          </w:tcPr>
          <w:p w:rsidRPr="00F736F0" w:rsidR="00F736F0" w:rsidP="00B97D99" w:rsidRDefault="00F736F0" w14:paraId="3E247C56" w14:textId="77777777">
            <w:pPr>
              <w:pStyle w:val="BodyText"/>
              <w:jc w:val="left"/>
            </w:pPr>
            <w:r w:rsidRPr="00F736F0">
              <w:t xml:space="preserve">Hydrocortisone is contraindicated in systemic fungal infections and patients with known hypersensitivity to the product and its constituents. </w:t>
            </w:r>
          </w:p>
        </w:tc>
      </w:tr>
      <w:tr w:rsidRPr="009F1244" w:rsidR="00F736F0" w:rsidTr="00E847ED" w14:paraId="67299FC8" w14:textId="77777777">
        <w:tc>
          <w:tcPr>
            <w:tcW w:w="1246" w:type="pct"/>
          </w:tcPr>
          <w:p w:rsidRPr="00F736F0" w:rsidR="00F736F0" w:rsidP="77BEE3D0" w:rsidRDefault="00F736F0" w14:paraId="00FFBAF5" w14:textId="77777777">
            <w:pPr>
              <w:pStyle w:val="BodyText"/>
              <w:rPr>
                <w:b/>
                <w:bCs/>
                <w:sz w:val="20"/>
              </w:rPr>
            </w:pPr>
            <w:r w:rsidRPr="77BEE3D0">
              <w:rPr>
                <w:b/>
                <w:bCs/>
                <w:sz w:val="20"/>
              </w:rPr>
              <w:br w:type="page"/>
            </w:r>
            <w:r w:rsidRPr="77BEE3D0" w:rsidR="2F8A48D9">
              <w:rPr>
                <w:b/>
                <w:bCs/>
                <w:sz w:val="20"/>
              </w:rPr>
              <w:t>Precautions</w:t>
            </w:r>
          </w:p>
        </w:tc>
        <w:tc>
          <w:tcPr>
            <w:tcW w:w="3754" w:type="pct"/>
          </w:tcPr>
          <w:p w:rsidRPr="00F736F0" w:rsidR="00F736F0" w:rsidP="00B97D99" w:rsidRDefault="00F736F0" w14:paraId="6DB3E746" w14:textId="77777777">
            <w:pPr>
              <w:pStyle w:val="BodyText"/>
              <w:jc w:val="left"/>
            </w:pPr>
            <w:r w:rsidRPr="00F736F0">
              <w:t>Use of hydrocortisone in preterm infants in the first week is associated with intestinal perforation, particularly when treating concurrently with indomethacin.</w:t>
            </w:r>
          </w:p>
          <w:p w:rsidRPr="00F736F0" w:rsidR="00F736F0" w:rsidP="00B97D99" w:rsidRDefault="00F736F0" w14:paraId="29BC50F5" w14:textId="77777777">
            <w:pPr>
              <w:pStyle w:val="BodyText"/>
              <w:jc w:val="left"/>
            </w:pPr>
            <w:r w:rsidRPr="00F736F0">
              <w:t xml:space="preserve">Untreated systemic bacterial infections. </w:t>
            </w:r>
          </w:p>
          <w:p w:rsidRPr="00F736F0" w:rsidR="00F736F0" w:rsidP="00B97D99" w:rsidRDefault="00F736F0" w14:paraId="387A9501" w14:textId="77777777">
            <w:pPr>
              <w:pStyle w:val="BodyText"/>
              <w:jc w:val="left"/>
            </w:pPr>
            <w:r w:rsidRPr="00F736F0">
              <w:t>Use with caution in patients with renal impairment, hypothyroidism or cardiac disease.</w:t>
            </w:r>
          </w:p>
          <w:p w:rsidRPr="00F736F0" w:rsidR="00F736F0" w:rsidP="00B97D99" w:rsidRDefault="00F736F0" w14:paraId="51B32493" w14:textId="77777777">
            <w:pPr>
              <w:pStyle w:val="BodyText"/>
              <w:jc w:val="left"/>
            </w:pPr>
            <w:r w:rsidRPr="00F736F0">
              <w:t>Prolonged use of corticosteroids (&gt; 14 days) may cause prolonged adrenal suppression requiring a tapering dose of hydrocortisone.</w:t>
            </w:r>
            <w:r w:rsidRPr="00F736F0">
              <w:rPr>
                <w:noProof/>
              </w:rPr>
              <w:t>[4-6]</w:t>
            </w:r>
            <w:r w:rsidRPr="00F736F0">
              <w:t xml:space="preserve"> </w:t>
            </w:r>
          </w:p>
          <w:p w:rsidRPr="00F736F0" w:rsidR="00F736F0" w:rsidP="00B97D99" w:rsidRDefault="00F736F0" w14:paraId="608EF3BE" w14:textId="77777777">
            <w:pPr>
              <w:pStyle w:val="BodyText"/>
              <w:jc w:val="left"/>
            </w:pPr>
            <w:r w:rsidRPr="00F736F0">
              <w:lastRenderedPageBreak/>
              <w:t>Caution should be used when using hydrocortisone for treatment of hyperinsulinaemic hypoglycaemia given the lack of evidence, potential for adrenal suppression and side effects.</w:t>
            </w:r>
          </w:p>
        </w:tc>
      </w:tr>
      <w:tr w:rsidRPr="009F1244" w:rsidR="00F736F0" w:rsidTr="00E847ED" w14:paraId="03F54D47" w14:textId="77777777">
        <w:trPr>
          <w:trHeight w:val="874"/>
        </w:trPr>
        <w:tc>
          <w:tcPr>
            <w:tcW w:w="1246" w:type="pct"/>
          </w:tcPr>
          <w:p w:rsidRPr="00F736F0" w:rsidR="00F736F0" w:rsidP="77BEE3D0" w:rsidRDefault="2F8A48D9" w14:paraId="42E39ABE" w14:textId="77777777">
            <w:pPr>
              <w:pStyle w:val="BodyText"/>
              <w:rPr>
                <w:b/>
                <w:bCs/>
                <w:sz w:val="20"/>
              </w:rPr>
            </w:pPr>
            <w:r w:rsidRPr="77BEE3D0">
              <w:rPr>
                <w:b/>
                <w:bCs/>
                <w:sz w:val="20"/>
              </w:rPr>
              <w:lastRenderedPageBreak/>
              <w:t>Drug Interactions</w:t>
            </w:r>
          </w:p>
        </w:tc>
        <w:tc>
          <w:tcPr>
            <w:tcW w:w="3754" w:type="pct"/>
          </w:tcPr>
          <w:p w:rsidRPr="00F736F0" w:rsidR="00F736F0" w:rsidP="00B97D99" w:rsidRDefault="00F736F0" w14:paraId="30B431C2" w14:textId="77777777">
            <w:pPr>
              <w:pStyle w:val="BodyText"/>
              <w:jc w:val="left"/>
            </w:pPr>
            <w:r w:rsidRPr="00F736F0">
              <w:t xml:space="preserve">Drugs that induce hepatic enzymes such as phenobarbitone, phenytoin may increase the clearance of corticosteroids and may require increases in corticosteroid dose to achieve the desired response. </w:t>
            </w:r>
            <w:r w:rsidRPr="00F736F0">
              <w:br/>
            </w:r>
            <w:r w:rsidRPr="00F736F0">
              <w:t>Ketoconazole may inhibit the metabolism of corticosteroids and thus decrease their clearance. Therefore, the dose of corticosteroid should be titrated to avoid steroid toxicity.</w:t>
            </w:r>
          </w:p>
          <w:p w:rsidRPr="00F736F0" w:rsidR="00F736F0" w:rsidP="00B97D99" w:rsidRDefault="00F736F0" w14:paraId="0BE5A4F0" w14:textId="77777777">
            <w:pPr>
              <w:pStyle w:val="BodyText"/>
              <w:jc w:val="left"/>
              <w:rPr>
                <w:rFonts w:cs="Arial"/>
              </w:rPr>
            </w:pPr>
            <w:r w:rsidRPr="00F736F0">
              <w:t>Increased GI toxicity with concurrent use of indomethacin.</w:t>
            </w:r>
          </w:p>
        </w:tc>
      </w:tr>
      <w:tr w:rsidRPr="009F1244" w:rsidR="00F736F0" w:rsidTr="00E847ED" w14:paraId="3BAE5FD4" w14:textId="77777777">
        <w:trPr>
          <w:trHeight w:val="878"/>
        </w:trPr>
        <w:tc>
          <w:tcPr>
            <w:tcW w:w="1246" w:type="pct"/>
          </w:tcPr>
          <w:p w:rsidRPr="00F736F0" w:rsidR="00F736F0" w:rsidP="77BEE3D0" w:rsidRDefault="2F8A48D9" w14:paraId="74A25835" w14:textId="77777777">
            <w:pPr>
              <w:pStyle w:val="BodyText"/>
              <w:rPr>
                <w:b/>
                <w:bCs/>
                <w:sz w:val="20"/>
              </w:rPr>
            </w:pPr>
            <w:r w:rsidRPr="77BEE3D0">
              <w:rPr>
                <w:b/>
                <w:bCs/>
                <w:sz w:val="20"/>
              </w:rPr>
              <w:t xml:space="preserve">Adverse effects        </w:t>
            </w:r>
          </w:p>
          <w:p w:rsidRPr="00F736F0" w:rsidR="00F736F0" w:rsidP="77BEE3D0" w:rsidRDefault="00F736F0" w14:paraId="131EEB08" w14:textId="77777777">
            <w:pPr>
              <w:pStyle w:val="BodyText"/>
              <w:rPr>
                <w:b/>
                <w:bCs/>
                <w:sz w:val="20"/>
              </w:rPr>
            </w:pPr>
          </w:p>
        </w:tc>
        <w:tc>
          <w:tcPr>
            <w:tcW w:w="3754" w:type="pct"/>
          </w:tcPr>
          <w:p w:rsidRPr="00F736F0" w:rsidR="00F736F0" w:rsidP="00B97D99" w:rsidRDefault="00F736F0" w14:paraId="242B5C76" w14:textId="77777777">
            <w:pPr>
              <w:pStyle w:val="BodyText"/>
              <w:jc w:val="left"/>
            </w:pPr>
            <w:r w:rsidRPr="00F736F0">
              <w:t>Hyperglycaemia, glycosuria.</w:t>
            </w:r>
          </w:p>
          <w:p w:rsidRPr="00F736F0" w:rsidR="00F736F0" w:rsidP="00B97D99" w:rsidRDefault="00F736F0" w14:paraId="2E86EA71" w14:textId="77777777">
            <w:pPr>
              <w:pStyle w:val="BodyText"/>
              <w:jc w:val="left"/>
            </w:pPr>
            <w:r w:rsidRPr="00F736F0">
              <w:t>Hypertension after 24−48 hours.</w:t>
            </w:r>
          </w:p>
          <w:p w:rsidRPr="00F736F0" w:rsidR="00F736F0" w:rsidP="00B97D99" w:rsidRDefault="00F736F0" w14:paraId="08DCC726" w14:textId="77777777">
            <w:pPr>
              <w:pStyle w:val="BodyText"/>
              <w:jc w:val="left"/>
            </w:pPr>
            <w:r w:rsidRPr="00F736F0">
              <w:t xml:space="preserve">Vomiting, diarrhoea, gastric irritation, gastrointestinal ulceration and bleeding. </w:t>
            </w:r>
          </w:p>
          <w:p w:rsidRPr="00F736F0" w:rsidR="00F736F0" w:rsidP="00B97D99" w:rsidRDefault="00F736F0" w14:paraId="18D0A4F8" w14:textId="77777777">
            <w:pPr>
              <w:pStyle w:val="BodyText"/>
              <w:jc w:val="left"/>
            </w:pPr>
            <w:r w:rsidRPr="00F736F0">
              <w:t>Use of hydrocortisone in preterm infants in the first week is associated with intestinal perforation, particularly when treating concurrently with indomethacin.</w:t>
            </w:r>
          </w:p>
          <w:p w:rsidRPr="00F736F0" w:rsidR="00F736F0" w:rsidP="00B97D99" w:rsidRDefault="00F736F0" w14:paraId="17557F5C" w14:textId="77777777">
            <w:pPr>
              <w:pStyle w:val="BodyText"/>
              <w:jc w:val="left"/>
            </w:pPr>
            <w:r w:rsidRPr="00F736F0">
              <w:t>Salt and water retention.</w:t>
            </w:r>
          </w:p>
          <w:p w:rsidRPr="00F736F0" w:rsidR="00F736F0" w:rsidP="00B97D99" w:rsidRDefault="00F736F0" w14:paraId="4603A7EA" w14:textId="77777777">
            <w:pPr>
              <w:pStyle w:val="BodyText"/>
              <w:jc w:val="left"/>
            </w:pPr>
            <w:r w:rsidRPr="00F736F0">
              <w:t>Hypokalaemia.</w:t>
            </w:r>
          </w:p>
          <w:p w:rsidRPr="00F736F0" w:rsidR="00F736F0" w:rsidP="00B97D99" w:rsidRDefault="00F736F0" w14:paraId="154D9E64" w14:textId="77777777">
            <w:pPr>
              <w:pStyle w:val="BodyText"/>
              <w:jc w:val="left"/>
            </w:pPr>
            <w:r w:rsidRPr="00F736F0">
              <w:t>Hypocalcaemia and long-term exposure increases the risk of osteopenia.</w:t>
            </w:r>
          </w:p>
          <w:p w:rsidRPr="00F736F0" w:rsidR="00F736F0" w:rsidP="00B97D99" w:rsidRDefault="00F736F0" w14:paraId="5DC228C2" w14:textId="77777777">
            <w:pPr>
              <w:pStyle w:val="BodyText"/>
              <w:jc w:val="left"/>
            </w:pPr>
            <w:r w:rsidRPr="00F736F0">
              <w:t>Inhibits immune function and decreases resistance to infection. May mask symptoms of infection.</w:t>
            </w:r>
          </w:p>
          <w:p w:rsidRPr="00F736F0" w:rsidR="00F736F0" w:rsidP="00B97D99" w:rsidRDefault="00F736F0" w14:paraId="7CA290C9" w14:textId="77777777">
            <w:pPr>
              <w:pStyle w:val="BodyText"/>
              <w:jc w:val="left"/>
            </w:pPr>
            <w:r w:rsidRPr="00F736F0">
              <w:t xml:space="preserve">Neutrophilia, thrombocytopenia. </w:t>
            </w:r>
          </w:p>
          <w:p w:rsidRPr="00F736F0" w:rsidR="00F736F0" w:rsidP="00B97D99" w:rsidRDefault="00F736F0" w14:paraId="039967F5" w14:textId="77777777">
            <w:pPr>
              <w:pStyle w:val="BodyText"/>
              <w:jc w:val="left"/>
            </w:pPr>
            <w:r w:rsidRPr="00F736F0">
              <w:t>Irritability.</w:t>
            </w:r>
          </w:p>
          <w:p w:rsidRPr="00F736F0" w:rsidR="00F736F0" w:rsidP="00B97D99" w:rsidRDefault="00F736F0" w14:paraId="2F35DC13" w14:textId="77777777">
            <w:pPr>
              <w:pStyle w:val="BodyText"/>
              <w:jc w:val="left"/>
            </w:pPr>
            <w:r w:rsidRPr="00F736F0">
              <w:t>Acute withdrawal after use &gt; 14 days can lead to acute adrenal insufficiency with fever, hypotension, hypoglycaemia and shock.</w:t>
            </w:r>
          </w:p>
          <w:p w:rsidRPr="00F736F0" w:rsidR="00F736F0" w:rsidP="00B97D99" w:rsidRDefault="00F736F0" w14:paraId="404895FA" w14:textId="77777777">
            <w:pPr>
              <w:pStyle w:val="BodyText"/>
              <w:jc w:val="left"/>
            </w:pPr>
            <w:r w:rsidRPr="00F736F0">
              <w:t>Long-term use can adversely affect somatic growth.</w:t>
            </w:r>
          </w:p>
        </w:tc>
      </w:tr>
      <w:tr w:rsidRPr="009F1244" w:rsidR="00F736F0" w:rsidTr="00E847ED" w14:paraId="141F16BB" w14:textId="77777777">
        <w:trPr>
          <w:trHeight w:val="878"/>
        </w:trPr>
        <w:tc>
          <w:tcPr>
            <w:tcW w:w="1246" w:type="pct"/>
          </w:tcPr>
          <w:p w:rsidRPr="00F736F0" w:rsidR="00F736F0" w:rsidP="77BEE3D0" w:rsidRDefault="2F8A48D9" w14:paraId="2B9F10D9" w14:textId="77777777">
            <w:pPr>
              <w:pStyle w:val="BodyText"/>
              <w:rPr>
                <w:b/>
                <w:bCs/>
                <w:sz w:val="20"/>
              </w:rPr>
            </w:pPr>
            <w:r w:rsidRPr="77BEE3D0">
              <w:rPr>
                <w:b/>
                <w:bCs/>
                <w:sz w:val="20"/>
              </w:rPr>
              <w:t xml:space="preserve">Compatibility  </w:t>
            </w:r>
          </w:p>
        </w:tc>
        <w:tc>
          <w:tcPr>
            <w:tcW w:w="3754" w:type="pct"/>
          </w:tcPr>
          <w:p w:rsidRPr="00F736F0" w:rsidR="00F736F0" w:rsidP="00B97D99" w:rsidRDefault="00F736F0" w14:paraId="10561D97" w14:textId="77777777">
            <w:pPr>
              <w:pStyle w:val="BodyText"/>
              <w:jc w:val="left"/>
            </w:pPr>
            <w:r w:rsidRPr="00F736F0">
              <w:t>Fluids: Glucose 5%, glucose 10%, Hartmann’s, sodium chloride 0.9%</w:t>
            </w:r>
          </w:p>
          <w:p w:rsidRPr="00F736F0" w:rsidR="00F736F0" w:rsidP="00B97D99" w:rsidRDefault="00F736F0" w14:paraId="52B9EBA4" w14:textId="77777777">
            <w:pPr>
              <w:pStyle w:val="BodyText"/>
              <w:jc w:val="left"/>
            </w:pPr>
          </w:p>
          <w:p w:rsidRPr="00F736F0" w:rsidR="00F736F0" w:rsidP="00B97D99" w:rsidRDefault="00F736F0" w14:paraId="4191DEDA" w14:textId="77777777">
            <w:pPr>
              <w:pStyle w:val="BodyText"/>
              <w:jc w:val="left"/>
              <w:rPr>
                <w:rFonts w:cs="Arial"/>
              </w:rPr>
            </w:pPr>
            <w:r w:rsidRPr="00F736F0">
              <w:t>Y-site: Amino acid solutions. Aciclovir, amifostine, aminophylline, anidulafungin, atracurium, atropine, aztreonam, bivalirudin, calcium gluconate, caspofungin, chlorpromazine, cisatracurium, dexamethasone, digoxin, dopamine, doripenem, droperidol, fentanyl, filgrastim, foscarnet, frusemide, granisetron, hyoscine hydrobromide, lignocaine, linezolid, magnesium sulfate, morphine sulfate, neostigmine, noradrenaline, oxytocin, pancuronium, pethidine, piperacillin-tazobactam (EDTA-free), remifentanil, sodium bicarbonate, suxamethonium, vecuronium.</w:t>
            </w:r>
          </w:p>
        </w:tc>
      </w:tr>
      <w:tr w:rsidRPr="009F1244" w:rsidR="00F736F0" w:rsidTr="00E847ED" w14:paraId="46AE94B1" w14:textId="77777777">
        <w:trPr>
          <w:trHeight w:val="392"/>
        </w:trPr>
        <w:tc>
          <w:tcPr>
            <w:tcW w:w="1246" w:type="pct"/>
          </w:tcPr>
          <w:p w:rsidRPr="00F736F0" w:rsidR="00F736F0" w:rsidP="77BEE3D0" w:rsidRDefault="2F8A48D9" w14:paraId="07B7CCFE" w14:textId="77777777">
            <w:pPr>
              <w:pStyle w:val="BodyText"/>
              <w:rPr>
                <w:b/>
                <w:bCs/>
                <w:sz w:val="20"/>
              </w:rPr>
            </w:pPr>
            <w:r w:rsidRPr="77BEE3D0">
              <w:rPr>
                <w:b/>
                <w:bCs/>
                <w:sz w:val="20"/>
              </w:rPr>
              <w:t xml:space="preserve">Incompatibility  </w:t>
            </w:r>
          </w:p>
        </w:tc>
        <w:tc>
          <w:tcPr>
            <w:tcW w:w="3754" w:type="pct"/>
          </w:tcPr>
          <w:p w:rsidRPr="00F736F0" w:rsidR="00F736F0" w:rsidP="00B97D99" w:rsidRDefault="00F736F0" w14:paraId="313FE392" w14:textId="77777777">
            <w:pPr>
              <w:pStyle w:val="BodyText"/>
              <w:jc w:val="left"/>
            </w:pPr>
            <w:r w:rsidRPr="00F736F0">
              <w:t xml:space="preserve">Fluids: No information.  </w:t>
            </w:r>
          </w:p>
          <w:p w:rsidRPr="00F736F0" w:rsidR="00F736F0" w:rsidP="00B97D99" w:rsidRDefault="00F736F0" w14:paraId="7B0A33D3" w14:textId="77777777">
            <w:pPr>
              <w:pStyle w:val="BodyText"/>
              <w:jc w:val="left"/>
            </w:pPr>
          </w:p>
          <w:p w:rsidRPr="00F736F0" w:rsidR="00F736F0" w:rsidP="00B97D99" w:rsidRDefault="00F736F0" w14:paraId="5173130C" w14:textId="77777777">
            <w:pPr>
              <w:pStyle w:val="BodyText"/>
              <w:jc w:val="left"/>
              <w:rPr>
                <w:rFonts w:cs="Arial"/>
              </w:rPr>
            </w:pPr>
            <w:r w:rsidRPr="00F736F0">
              <w:t xml:space="preserve">Y-site: Adrenaline hydrochloride, azathioprine, calcium chloride, ciprofloxacin, colistin, dobutamine, dolasetron, ephedrine, ganciclovir, haloperidol lactate, labetalol, midazolam, mycophenolate mofetil, pentamidine, phenobarbitone, promethazine, protamine, rocuronium. </w:t>
            </w:r>
          </w:p>
        </w:tc>
      </w:tr>
      <w:tr w:rsidRPr="009F1244" w:rsidR="00F736F0" w:rsidTr="00E847ED" w14:paraId="1A740BE7" w14:textId="77777777">
        <w:trPr>
          <w:trHeight w:val="483"/>
        </w:trPr>
        <w:tc>
          <w:tcPr>
            <w:tcW w:w="1246" w:type="pct"/>
          </w:tcPr>
          <w:p w:rsidRPr="00F736F0" w:rsidR="00F736F0" w:rsidP="77BEE3D0" w:rsidRDefault="2F8A48D9" w14:paraId="328B2245" w14:textId="77777777">
            <w:pPr>
              <w:pStyle w:val="BodyText"/>
              <w:rPr>
                <w:b/>
                <w:bCs/>
                <w:sz w:val="20"/>
              </w:rPr>
            </w:pPr>
            <w:r w:rsidRPr="77BEE3D0">
              <w:rPr>
                <w:b/>
                <w:bCs/>
                <w:sz w:val="20"/>
              </w:rPr>
              <w:lastRenderedPageBreak/>
              <w:t xml:space="preserve">Stability                  </w:t>
            </w:r>
          </w:p>
        </w:tc>
        <w:tc>
          <w:tcPr>
            <w:tcW w:w="3754" w:type="pct"/>
          </w:tcPr>
          <w:p w:rsidRPr="00F736F0" w:rsidR="00F736F0" w:rsidP="00B97D99" w:rsidRDefault="00F736F0" w14:paraId="1EAE6DFC" w14:textId="77777777">
            <w:pPr>
              <w:pStyle w:val="BodyText"/>
              <w:jc w:val="left"/>
            </w:pPr>
            <w:r w:rsidRPr="00F736F0">
              <w:t xml:space="preserve">IV: </w:t>
            </w:r>
          </w:p>
          <w:p w:rsidRPr="00F736F0" w:rsidR="00F736F0" w:rsidP="00B97D99" w:rsidRDefault="00F736F0" w14:paraId="24BE29E0" w14:textId="77777777">
            <w:pPr>
              <w:pStyle w:val="BodyText"/>
              <w:jc w:val="left"/>
            </w:pPr>
            <w:r w:rsidRPr="00F736F0">
              <w:t xml:space="preserve">Reconstituted solution: Stable for 24 hours at 2−8 °C. Protect from light. </w:t>
            </w:r>
            <w:r w:rsidRPr="00F736F0">
              <w:br/>
            </w:r>
            <w:r w:rsidRPr="00F736F0">
              <w:t>Diluted solution: Stable for 4 hours below 25 °C or 24 hours at 2−8°C.</w:t>
            </w:r>
          </w:p>
          <w:p w:rsidRPr="00F736F0" w:rsidR="00F736F0" w:rsidP="00B97D99" w:rsidRDefault="00F736F0" w14:paraId="2E593B3C" w14:textId="77777777">
            <w:pPr>
              <w:pStyle w:val="BodyText"/>
              <w:jc w:val="left"/>
            </w:pPr>
          </w:p>
          <w:p w:rsidRPr="00F736F0" w:rsidR="00F736F0" w:rsidP="00B97D99" w:rsidRDefault="00F736F0" w14:paraId="304243DD" w14:textId="77777777">
            <w:pPr>
              <w:pStyle w:val="BodyText"/>
              <w:jc w:val="left"/>
            </w:pPr>
            <w:r w:rsidRPr="00F736F0">
              <w:t>Oral:</w:t>
            </w:r>
          </w:p>
          <w:p w:rsidRPr="00F736F0" w:rsidR="00F736F0" w:rsidP="00B97D99" w:rsidRDefault="00F736F0" w14:paraId="793251AB" w14:textId="77777777">
            <w:pPr>
              <w:pStyle w:val="BodyText"/>
              <w:jc w:val="left"/>
              <w:rPr>
                <w:rFonts w:cs="Arial"/>
              </w:rPr>
            </w:pPr>
            <w:r w:rsidRPr="00F736F0">
              <w:t>Discard remaining pieces of tablet after dose administration.</w:t>
            </w:r>
          </w:p>
        </w:tc>
      </w:tr>
      <w:tr w:rsidRPr="009F1244" w:rsidR="00F736F0" w:rsidTr="00E847ED" w14:paraId="25996285" w14:textId="77777777">
        <w:trPr>
          <w:trHeight w:val="183"/>
        </w:trPr>
        <w:tc>
          <w:tcPr>
            <w:tcW w:w="1246" w:type="pct"/>
          </w:tcPr>
          <w:p w:rsidRPr="00F736F0" w:rsidR="00F736F0" w:rsidP="77BEE3D0" w:rsidRDefault="2F8A48D9" w14:paraId="70F95D47" w14:textId="77777777">
            <w:pPr>
              <w:pStyle w:val="BodyText"/>
              <w:rPr>
                <w:b/>
                <w:bCs/>
                <w:sz w:val="20"/>
              </w:rPr>
            </w:pPr>
            <w:r w:rsidRPr="77BEE3D0">
              <w:rPr>
                <w:b/>
                <w:bCs/>
                <w:sz w:val="20"/>
              </w:rPr>
              <w:t xml:space="preserve">Storage             </w:t>
            </w:r>
          </w:p>
        </w:tc>
        <w:tc>
          <w:tcPr>
            <w:tcW w:w="3754" w:type="pct"/>
          </w:tcPr>
          <w:p w:rsidRPr="00F736F0" w:rsidR="00F736F0" w:rsidP="00B97D99" w:rsidRDefault="00F736F0" w14:paraId="297C6E1F" w14:textId="77777777">
            <w:pPr>
              <w:pStyle w:val="BodyText"/>
              <w:jc w:val="left"/>
              <w:rPr>
                <w:rFonts w:cs="Arial"/>
              </w:rPr>
            </w:pPr>
            <w:r w:rsidRPr="00F736F0">
              <w:t>Ampoules and tablets: Store below 25°C. Protect from light.</w:t>
            </w:r>
          </w:p>
        </w:tc>
      </w:tr>
      <w:tr w:rsidRPr="009F1244" w:rsidR="00F736F0" w:rsidTr="00E847ED" w14:paraId="595C7FDD" w14:textId="77777777">
        <w:trPr>
          <w:trHeight w:val="885"/>
        </w:trPr>
        <w:tc>
          <w:tcPr>
            <w:tcW w:w="1246" w:type="pct"/>
          </w:tcPr>
          <w:p w:rsidRPr="00F736F0" w:rsidR="00F736F0" w:rsidP="77BEE3D0" w:rsidRDefault="2F8A48D9" w14:paraId="08655832" w14:textId="77777777">
            <w:pPr>
              <w:pStyle w:val="BodyText"/>
              <w:rPr>
                <w:b/>
                <w:bCs/>
                <w:sz w:val="20"/>
              </w:rPr>
            </w:pPr>
            <w:r w:rsidRPr="77BEE3D0">
              <w:rPr>
                <w:b/>
                <w:bCs/>
                <w:sz w:val="20"/>
              </w:rPr>
              <w:t xml:space="preserve">Special Comments       </w:t>
            </w:r>
          </w:p>
          <w:p w:rsidRPr="00F736F0" w:rsidR="00F736F0" w:rsidP="77BEE3D0" w:rsidRDefault="00F736F0" w14:paraId="32F51B68" w14:textId="77777777">
            <w:pPr>
              <w:pStyle w:val="BodyText"/>
              <w:rPr>
                <w:b/>
                <w:bCs/>
                <w:sz w:val="20"/>
              </w:rPr>
            </w:pPr>
          </w:p>
        </w:tc>
        <w:tc>
          <w:tcPr>
            <w:tcW w:w="3754" w:type="pct"/>
          </w:tcPr>
          <w:p w:rsidRPr="00F736F0" w:rsidR="00F736F0" w:rsidP="00B97D99" w:rsidRDefault="00F736F0" w14:paraId="002922D3" w14:textId="77777777">
            <w:pPr>
              <w:pStyle w:val="BodyText"/>
              <w:jc w:val="left"/>
            </w:pPr>
            <w:r w:rsidRPr="00F736F0">
              <w:t xml:space="preserve">Serum cortisol is recommended prior to commencing treatment with hydrocortisone. </w:t>
            </w:r>
          </w:p>
          <w:p w:rsidRPr="00F736F0" w:rsidR="00F736F0" w:rsidP="00B97D99" w:rsidRDefault="00F736F0" w14:paraId="4529BB6A" w14:textId="77777777">
            <w:pPr>
              <w:pStyle w:val="BodyText"/>
              <w:jc w:val="left"/>
            </w:pPr>
            <w:r w:rsidRPr="00F736F0">
              <w:t>Caution – Increased risk of GI perforation particularly with simultaneous treatment with indomethacin. If hydrocortisone is required, delay treatment with indomethacin for at least 72 hours if possible.</w:t>
            </w:r>
          </w:p>
          <w:p w:rsidRPr="00F736F0" w:rsidR="00F736F0" w:rsidP="00B97D99" w:rsidRDefault="00F736F0" w14:paraId="6D07A547" w14:textId="77777777">
            <w:pPr>
              <w:pStyle w:val="BodyText"/>
              <w:jc w:val="left"/>
            </w:pPr>
            <w:r w:rsidRPr="00F736F0">
              <w:t>For management of cortisol deficiency, change to oral preparation when possible.</w:t>
            </w:r>
          </w:p>
        </w:tc>
      </w:tr>
      <w:tr w:rsidRPr="009F1244" w:rsidR="00F736F0" w:rsidTr="00E847ED" w14:paraId="7B0836AD" w14:textId="77777777">
        <w:trPr>
          <w:trHeight w:val="248"/>
        </w:trPr>
        <w:tc>
          <w:tcPr>
            <w:tcW w:w="1246" w:type="pct"/>
          </w:tcPr>
          <w:p w:rsidRPr="00F736F0" w:rsidR="00F736F0" w:rsidP="77BEE3D0" w:rsidRDefault="2F8A48D9" w14:paraId="4CA230DA" w14:textId="77777777">
            <w:pPr>
              <w:pStyle w:val="BodyText"/>
              <w:rPr>
                <w:b/>
                <w:bCs/>
                <w:sz w:val="20"/>
              </w:rPr>
            </w:pPr>
            <w:r w:rsidRPr="77BEE3D0">
              <w:rPr>
                <w:b/>
                <w:bCs/>
                <w:sz w:val="20"/>
              </w:rPr>
              <w:t>Evidence summary</w:t>
            </w:r>
          </w:p>
        </w:tc>
        <w:tc>
          <w:tcPr>
            <w:tcW w:w="3754" w:type="pct"/>
          </w:tcPr>
          <w:p w:rsidRPr="00E847ED" w:rsidR="00F736F0" w:rsidP="00B97D99" w:rsidRDefault="00F736F0" w14:paraId="053906CC" w14:textId="77777777">
            <w:pPr>
              <w:pStyle w:val="BodyText"/>
              <w:jc w:val="left"/>
              <w:rPr>
                <w:sz w:val="16"/>
                <w:szCs w:val="16"/>
              </w:rPr>
            </w:pPr>
            <w:r w:rsidRPr="00E847ED">
              <w:rPr>
                <w:sz w:val="16"/>
                <w:szCs w:val="16"/>
              </w:rPr>
              <w:t xml:space="preserve">Efficacy: </w:t>
            </w:r>
          </w:p>
          <w:p w:rsidRPr="00E847ED" w:rsidR="00F736F0" w:rsidP="00B97D99" w:rsidRDefault="00F736F0" w14:paraId="77C66D4A" w14:textId="77777777">
            <w:pPr>
              <w:pStyle w:val="BodyText"/>
              <w:jc w:val="left"/>
              <w:rPr>
                <w:sz w:val="16"/>
                <w:szCs w:val="16"/>
              </w:rPr>
            </w:pPr>
            <w:r w:rsidRPr="00E847ED">
              <w:rPr>
                <w:sz w:val="16"/>
                <w:szCs w:val="16"/>
              </w:rPr>
              <w:t xml:space="preserve">Treatment of hypotension: </w:t>
            </w:r>
          </w:p>
          <w:p w:rsidRPr="00E847ED" w:rsidR="00F736F0" w:rsidP="00B97D99" w:rsidRDefault="00F736F0" w14:paraId="125B9E08" w14:textId="77777777">
            <w:pPr>
              <w:pStyle w:val="BodyText"/>
              <w:jc w:val="left"/>
              <w:rPr>
                <w:sz w:val="16"/>
                <w:szCs w:val="16"/>
              </w:rPr>
            </w:pPr>
            <w:r w:rsidRPr="00E847ED">
              <w:rPr>
                <w:sz w:val="16"/>
                <w:szCs w:val="16"/>
              </w:rPr>
              <w:t xml:space="preserve">For primary treatment of hypotension: Hydrocortisone has not been shown to change clinical outcome and may not be as effective as dopamine. (LOE II, GOR D). </w:t>
            </w:r>
            <w:r w:rsidRPr="00E847ED">
              <w:rPr>
                <w:noProof/>
                <w:sz w:val="16"/>
                <w:szCs w:val="16"/>
              </w:rPr>
              <w:t>[7]</w:t>
            </w:r>
          </w:p>
          <w:p w:rsidRPr="00E847ED" w:rsidR="00F736F0" w:rsidP="00B97D99" w:rsidRDefault="00F736F0" w14:paraId="5FCA4CFB" w14:textId="77777777">
            <w:pPr>
              <w:pStyle w:val="BodyText"/>
              <w:jc w:val="left"/>
              <w:rPr>
                <w:sz w:val="16"/>
                <w:szCs w:val="16"/>
              </w:rPr>
            </w:pPr>
            <w:r w:rsidRPr="00E847ED">
              <w:rPr>
                <w:sz w:val="16"/>
                <w:szCs w:val="16"/>
              </w:rPr>
              <w:t xml:space="preserve">For treatment of refractory hypotension: Hydrocortisone was effective in preventing persistent hypotension. (LOE I, GOR C). Dose range used in trials: 1 to 2.5 mg/kg every 6 to 12 hours weaned over 48 hours to 6 days. </w:t>
            </w:r>
            <w:r w:rsidRPr="00E847ED">
              <w:rPr>
                <w:noProof/>
                <w:sz w:val="16"/>
                <w:szCs w:val="16"/>
              </w:rPr>
              <w:t>[7]</w:t>
            </w:r>
            <w:r w:rsidRPr="00E847ED">
              <w:rPr>
                <w:sz w:val="16"/>
                <w:szCs w:val="16"/>
              </w:rPr>
              <w:t xml:space="preserve"> There were no statistically significant effects on any other short or long-term outcome but analyses are underpowered to detect differences in clinical and safety outcomes.</w:t>
            </w:r>
          </w:p>
          <w:p w:rsidRPr="00E847ED" w:rsidR="00F736F0" w:rsidP="00B97D99" w:rsidRDefault="00F736F0" w14:paraId="6EF81C3C" w14:textId="77777777">
            <w:pPr>
              <w:pStyle w:val="BodyText"/>
              <w:jc w:val="left"/>
              <w:rPr>
                <w:sz w:val="16"/>
                <w:szCs w:val="16"/>
              </w:rPr>
            </w:pPr>
            <w:r w:rsidRPr="00E847ED">
              <w:rPr>
                <w:sz w:val="16"/>
                <w:szCs w:val="16"/>
              </w:rPr>
              <w:t xml:space="preserve">Prevention of bronchopulmonary dysplasia: </w:t>
            </w:r>
          </w:p>
          <w:p w:rsidRPr="00E847ED" w:rsidR="00F736F0" w:rsidP="00B97D99" w:rsidRDefault="00F736F0" w14:paraId="3F602EF2" w14:textId="77777777">
            <w:pPr>
              <w:pStyle w:val="BodyText"/>
              <w:jc w:val="left"/>
              <w:rPr>
                <w:sz w:val="16"/>
                <w:szCs w:val="16"/>
              </w:rPr>
            </w:pPr>
            <w:r w:rsidRPr="00E847ED">
              <w:rPr>
                <w:sz w:val="16"/>
                <w:szCs w:val="16"/>
              </w:rPr>
              <w:t xml:space="preserve">Trials in ventilated preterm infants at risk of BPD started hydrocortisone from 2 hours to &lt; 7 days, used various regimens ranging from 0.5 mg/kg/dose 12 hourly for 7 days and 24 hourly for 3 days </w:t>
            </w:r>
            <w:r w:rsidRPr="00E847ED">
              <w:rPr>
                <w:noProof/>
                <w:sz w:val="16"/>
                <w:szCs w:val="16"/>
              </w:rPr>
              <w:t>[1, 2]</w:t>
            </w:r>
            <w:r w:rsidRPr="00E847ED">
              <w:rPr>
                <w:sz w:val="16"/>
                <w:szCs w:val="16"/>
              </w:rPr>
              <w:t xml:space="preserve">, 1 to 2 mg/kg every 8 to 24 hours for a duration 2 to 6 days </w:t>
            </w:r>
            <w:r w:rsidRPr="00E847ED">
              <w:rPr>
                <w:noProof/>
                <w:sz w:val="16"/>
                <w:szCs w:val="16"/>
              </w:rPr>
              <w:t>[3, 8]</w:t>
            </w:r>
            <w:r w:rsidRPr="00E847ED">
              <w:rPr>
                <w:sz w:val="16"/>
                <w:szCs w:val="16"/>
              </w:rPr>
              <w:t xml:space="preserve">, up to 15 mg/kg x 2 doses </w:t>
            </w:r>
            <w:r w:rsidRPr="00E847ED">
              <w:rPr>
                <w:noProof/>
                <w:sz w:val="16"/>
                <w:szCs w:val="16"/>
              </w:rPr>
              <w:t>[3, 8]</w:t>
            </w:r>
            <w:r w:rsidRPr="00E847ED">
              <w:rPr>
                <w:sz w:val="16"/>
                <w:szCs w:val="16"/>
              </w:rPr>
              <w:t xml:space="preserve">. Subgroup analysis of trials of hydrocortisone found hydrocortisone was associated with reduced rates of patent ductus arteriosus, mortality, and the combined outcome of mortality or chronic lung disease, but with increased occurrence of intestinal perforation. Results showed that hydrocortisone was not associated with obvious longer-term problems </w:t>
            </w:r>
            <w:r w:rsidRPr="00E847ED">
              <w:rPr>
                <w:noProof/>
                <w:sz w:val="16"/>
                <w:szCs w:val="16"/>
              </w:rPr>
              <w:t>[3]</w:t>
            </w:r>
            <w:r w:rsidRPr="00E847ED">
              <w:rPr>
                <w:sz w:val="16"/>
                <w:szCs w:val="16"/>
              </w:rPr>
              <w:t>. Conclusion: Short-term and longer-term effects of early hydrocortisone to prevent bronchopulmonary dysplasia require further evaluation. (LOE I, GOR B)</w:t>
            </w:r>
          </w:p>
          <w:p w:rsidRPr="00E847ED" w:rsidR="00F736F0" w:rsidP="00B97D99" w:rsidRDefault="00F736F0" w14:paraId="67F5CB36" w14:textId="77777777">
            <w:pPr>
              <w:pStyle w:val="BodyText"/>
              <w:jc w:val="left"/>
              <w:rPr>
                <w:sz w:val="16"/>
                <w:szCs w:val="16"/>
              </w:rPr>
            </w:pPr>
            <w:r w:rsidRPr="00E847ED">
              <w:rPr>
                <w:sz w:val="16"/>
                <w:szCs w:val="16"/>
              </w:rPr>
              <w:t xml:space="preserve">Endocrine Society Clinical Practice Guidelines recommend treatment of primary adrenal insufficiency: </w:t>
            </w:r>
            <w:r w:rsidRPr="00E847ED">
              <w:rPr>
                <w:noProof/>
                <w:sz w:val="16"/>
                <w:szCs w:val="16"/>
              </w:rPr>
              <w:t>[9]</w:t>
            </w:r>
          </w:p>
          <w:p w:rsidRPr="00E847ED" w:rsidR="00F736F0" w:rsidP="00B97D99" w:rsidRDefault="00F736F0" w14:paraId="5B81B387" w14:textId="77777777">
            <w:pPr>
              <w:pStyle w:val="BodyText"/>
              <w:jc w:val="left"/>
              <w:rPr>
                <w:sz w:val="16"/>
                <w:szCs w:val="16"/>
              </w:rPr>
            </w:pPr>
            <w:r w:rsidRPr="00E847ED">
              <w:rPr>
                <w:sz w:val="16"/>
                <w:szCs w:val="16"/>
              </w:rPr>
              <w:t>Maintenance treatment of primary adrenal insufficiency in children: Hydrocortisone 8 mg/m</w:t>
            </w:r>
            <w:r w:rsidRPr="00E847ED">
              <w:rPr>
                <w:sz w:val="16"/>
                <w:szCs w:val="16"/>
                <w:vertAlign w:val="superscript"/>
              </w:rPr>
              <w:t>2</w:t>
            </w:r>
            <w:r w:rsidRPr="00E847ED">
              <w:rPr>
                <w:sz w:val="16"/>
                <w:szCs w:val="16"/>
              </w:rPr>
              <w:t xml:space="preserve">/ day in 3 or 4 divided doses. </w:t>
            </w:r>
          </w:p>
          <w:p w:rsidRPr="00E847ED" w:rsidR="00F736F0" w:rsidP="00B97D99" w:rsidRDefault="00F736F0" w14:paraId="19D124E0" w14:textId="77777777">
            <w:pPr>
              <w:pStyle w:val="BodyText"/>
              <w:jc w:val="left"/>
              <w:rPr>
                <w:sz w:val="16"/>
                <w:szCs w:val="16"/>
              </w:rPr>
            </w:pPr>
            <w:r w:rsidRPr="00E847ED">
              <w:rPr>
                <w:sz w:val="16"/>
                <w:szCs w:val="16"/>
              </w:rPr>
              <w:t>Management of adrenal crisis: Hydrocortisone 50–100 mg/m</w:t>
            </w:r>
            <w:r w:rsidRPr="00E847ED">
              <w:rPr>
                <w:sz w:val="16"/>
                <w:szCs w:val="16"/>
                <w:vertAlign w:val="superscript"/>
              </w:rPr>
              <w:t>2</w:t>
            </w:r>
            <w:r w:rsidRPr="00E847ED">
              <w:rPr>
                <w:sz w:val="16"/>
                <w:szCs w:val="16"/>
              </w:rPr>
              <w:t xml:space="preserve"> IV or IM, then 50–100 mg/m</w:t>
            </w:r>
            <w:r w:rsidRPr="00E847ED">
              <w:rPr>
                <w:sz w:val="16"/>
                <w:szCs w:val="16"/>
                <w:vertAlign w:val="superscript"/>
              </w:rPr>
              <w:t>2</w:t>
            </w:r>
            <w:r w:rsidRPr="00E847ED">
              <w:rPr>
                <w:sz w:val="16"/>
                <w:szCs w:val="16"/>
              </w:rPr>
              <w:t xml:space="preserve"> every 24 hours. </w:t>
            </w:r>
          </w:p>
          <w:p w:rsidRPr="00E847ED" w:rsidR="00F736F0" w:rsidP="00B97D99" w:rsidRDefault="00F736F0" w14:paraId="07806F42" w14:textId="77777777">
            <w:pPr>
              <w:pStyle w:val="BodyText"/>
              <w:jc w:val="left"/>
              <w:rPr>
                <w:sz w:val="16"/>
                <w:szCs w:val="16"/>
              </w:rPr>
            </w:pPr>
            <w:r w:rsidRPr="00E847ED">
              <w:rPr>
                <w:sz w:val="16"/>
                <w:szCs w:val="16"/>
              </w:rPr>
              <w:t>Home management of illness with fever: Hydrocortisone replacement doses doubled (&gt; 38°C) or tripled (&gt; 39°C) until recovery.</w:t>
            </w:r>
          </w:p>
          <w:p w:rsidRPr="00E847ED" w:rsidR="00F736F0" w:rsidP="00B97D99" w:rsidRDefault="00F736F0" w14:paraId="6538EE32" w14:textId="77777777">
            <w:pPr>
              <w:pStyle w:val="BodyText"/>
              <w:jc w:val="left"/>
              <w:rPr>
                <w:sz w:val="16"/>
                <w:szCs w:val="16"/>
              </w:rPr>
            </w:pPr>
            <w:r w:rsidRPr="00E847ED">
              <w:rPr>
                <w:sz w:val="16"/>
                <w:szCs w:val="16"/>
              </w:rPr>
              <w:t>Unable to tolerate oral medication due to gastroenteritis or trauma: Hydrocortisone 50 mg/m</w:t>
            </w:r>
            <w:r w:rsidRPr="00E847ED">
              <w:rPr>
                <w:sz w:val="16"/>
                <w:szCs w:val="16"/>
                <w:vertAlign w:val="superscript"/>
              </w:rPr>
              <w:t>2</w:t>
            </w:r>
            <w:r w:rsidRPr="00E847ED">
              <w:rPr>
                <w:sz w:val="16"/>
                <w:szCs w:val="16"/>
              </w:rPr>
              <w:t xml:space="preserve"> IM.</w:t>
            </w:r>
          </w:p>
          <w:p w:rsidRPr="00E847ED" w:rsidR="00F736F0" w:rsidP="00B97D99" w:rsidRDefault="00F736F0" w14:paraId="5416EF58" w14:textId="77777777">
            <w:pPr>
              <w:pStyle w:val="BodyText"/>
              <w:jc w:val="left"/>
              <w:rPr>
                <w:sz w:val="16"/>
                <w:szCs w:val="16"/>
              </w:rPr>
            </w:pPr>
            <w:r w:rsidRPr="00E847ED">
              <w:rPr>
                <w:sz w:val="16"/>
                <w:szCs w:val="16"/>
              </w:rPr>
              <w:t>Minor to moderate surgical stress: Hydrocortisone 50 mg/m</w:t>
            </w:r>
            <w:r w:rsidRPr="00E847ED">
              <w:rPr>
                <w:sz w:val="16"/>
                <w:szCs w:val="16"/>
                <w:vertAlign w:val="superscript"/>
              </w:rPr>
              <w:t>2</w:t>
            </w:r>
            <w:r w:rsidRPr="00E847ED">
              <w:rPr>
                <w:sz w:val="16"/>
                <w:szCs w:val="16"/>
              </w:rPr>
              <w:t xml:space="preserve"> IM or hydrocortisone replacement doses doubled or tripled.</w:t>
            </w:r>
          </w:p>
          <w:p w:rsidRPr="00E847ED" w:rsidR="00F736F0" w:rsidP="00B97D99" w:rsidRDefault="00F736F0" w14:paraId="0EE8F47D" w14:textId="77777777">
            <w:pPr>
              <w:pStyle w:val="BodyText"/>
              <w:jc w:val="left"/>
              <w:rPr>
                <w:sz w:val="16"/>
                <w:szCs w:val="16"/>
              </w:rPr>
            </w:pPr>
            <w:r w:rsidRPr="00E847ED">
              <w:rPr>
                <w:sz w:val="16"/>
                <w:szCs w:val="16"/>
              </w:rPr>
              <w:t>Major surgery: Hydrocortisone 50 mg/m2 IV followed by hydrocortisone 50–100 mg/m</w:t>
            </w:r>
            <w:r w:rsidRPr="00E847ED">
              <w:rPr>
                <w:sz w:val="16"/>
                <w:szCs w:val="16"/>
                <w:vertAlign w:val="superscript"/>
              </w:rPr>
              <w:t>2</w:t>
            </w:r>
            <w:r w:rsidRPr="00E847ED">
              <w:rPr>
                <w:sz w:val="16"/>
                <w:szCs w:val="16"/>
              </w:rPr>
              <w:t>/day divided 6 hourly.</w:t>
            </w:r>
          </w:p>
          <w:p w:rsidRPr="00E847ED" w:rsidR="00F736F0" w:rsidP="00B97D99" w:rsidRDefault="00F736F0" w14:paraId="19F81A02" w14:textId="77777777">
            <w:pPr>
              <w:pStyle w:val="BodyText"/>
              <w:jc w:val="left"/>
              <w:rPr>
                <w:sz w:val="16"/>
                <w:szCs w:val="16"/>
              </w:rPr>
            </w:pPr>
            <w:r w:rsidRPr="00E847ED">
              <w:rPr>
                <w:sz w:val="16"/>
                <w:szCs w:val="16"/>
              </w:rPr>
              <w:t>Acute adrenal crisis: Rapid bolus of normal saline 0.9% 20 mL/kg. Can repeat up to a total of 60 mL/kg within 1 hour for shock. Hydrocortisone 50–100 mg/m</w:t>
            </w:r>
            <w:r w:rsidRPr="00E847ED">
              <w:rPr>
                <w:sz w:val="16"/>
                <w:szCs w:val="16"/>
                <w:vertAlign w:val="superscript"/>
              </w:rPr>
              <w:t>2</w:t>
            </w:r>
            <w:r w:rsidRPr="00E847ED">
              <w:rPr>
                <w:sz w:val="16"/>
                <w:szCs w:val="16"/>
              </w:rPr>
              <w:t xml:space="preserve"> bolus followed by hydrocortisone 50–100 mg/m</w:t>
            </w:r>
            <w:r w:rsidRPr="00E847ED">
              <w:rPr>
                <w:sz w:val="16"/>
                <w:szCs w:val="16"/>
                <w:vertAlign w:val="superscript"/>
              </w:rPr>
              <w:t>2</w:t>
            </w:r>
            <w:r w:rsidRPr="00E847ED">
              <w:rPr>
                <w:sz w:val="16"/>
                <w:szCs w:val="16"/>
              </w:rPr>
              <w:t>/day divided 6 hourly.</w:t>
            </w:r>
          </w:p>
          <w:p w:rsidRPr="00E847ED" w:rsidR="00F736F0" w:rsidP="00B97D99" w:rsidRDefault="00F736F0" w14:paraId="5E0A73D9" w14:textId="77777777">
            <w:pPr>
              <w:pStyle w:val="BodyText"/>
              <w:jc w:val="left"/>
              <w:rPr>
                <w:sz w:val="16"/>
                <w:szCs w:val="16"/>
              </w:rPr>
            </w:pPr>
            <w:r w:rsidRPr="00E847ED">
              <w:rPr>
                <w:sz w:val="16"/>
                <w:szCs w:val="16"/>
              </w:rPr>
              <w:t xml:space="preserve">Treatment of neonatal hypoglycaemia: </w:t>
            </w:r>
          </w:p>
          <w:p w:rsidRPr="00E847ED" w:rsidR="00F736F0" w:rsidP="00B97D99" w:rsidRDefault="00F736F0" w14:paraId="520B43B7" w14:textId="77777777">
            <w:pPr>
              <w:pStyle w:val="BodyText"/>
              <w:jc w:val="left"/>
              <w:rPr>
                <w:sz w:val="16"/>
                <w:szCs w:val="16"/>
              </w:rPr>
            </w:pPr>
            <w:r w:rsidRPr="00E847ED">
              <w:rPr>
                <w:sz w:val="16"/>
                <w:szCs w:val="16"/>
              </w:rPr>
              <w:t>There are case reports of short term use of hydrocortisone for neonatal hyperinsulinaemic hypoglycaemia.</w:t>
            </w:r>
            <w:r w:rsidRPr="00E847ED">
              <w:rPr>
                <w:noProof/>
                <w:sz w:val="16"/>
                <w:szCs w:val="16"/>
              </w:rPr>
              <w:t>[10, 11]</w:t>
            </w:r>
            <w:r w:rsidRPr="00E847ED">
              <w:rPr>
                <w:sz w:val="16"/>
                <w:szCs w:val="16"/>
              </w:rPr>
              <w:t xml:space="preserve"> Use of corticosteroids is not addressed in guidelines for management. </w:t>
            </w:r>
          </w:p>
          <w:p w:rsidRPr="00E847ED" w:rsidR="00F736F0" w:rsidP="00B97D99" w:rsidRDefault="00F736F0" w14:paraId="1531B54D" w14:textId="77777777">
            <w:pPr>
              <w:pStyle w:val="BodyText"/>
              <w:jc w:val="left"/>
              <w:rPr>
                <w:sz w:val="16"/>
                <w:szCs w:val="16"/>
              </w:rPr>
            </w:pPr>
            <w:r w:rsidRPr="00E847ED">
              <w:rPr>
                <w:sz w:val="16"/>
                <w:szCs w:val="16"/>
              </w:rPr>
              <w:t xml:space="preserve">Safety: </w:t>
            </w:r>
          </w:p>
          <w:p w:rsidRPr="00E847ED" w:rsidR="00F736F0" w:rsidP="00B97D99" w:rsidRDefault="00F736F0" w14:paraId="2F04FB14" w14:textId="77777777">
            <w:pPr>
              <w:pStyle w:val="BodyText"/>
              <w:jc w:val="left"/>
              <w:rPr>
                <w:sz w:val="16"/>
                <w:szCs w:val="16"/>
              </w:rPr>
            </w:pPr>
            <w:r w:rsidRPr="00E847ED">
              <w:rPr>
                <w:sz w:val="16"/>
                <w:szCs w:val="16"/>
              </w:rPr>
              <w:t xml:space="preserve">Use of hydrocortisone in preterm infants in the first week is associated with intestinal perforation. </w:t>
            </w:r>
            <w:r w:rsidRPr="00E847ED">
              <w:rPr>
                <w:noProof/>
                <w:sz w:val="16"/>
                <w:szCs w:val="16"/>
              </w:rPr>
              <w:t>[3, 8]</w:t>
            </w:r>
            <w:r w:rsidRPr="00E847ED">
              <w:rPr>
                <w:sz w:val="16"/>
                <w:szCs w:val="16"/>
              </w:rPr>
              <w:t xml:space="preserve"> (LOE I) The risk may be increased with concomitant treatment with indomethacin.</w:t>
            </w:r>
            <w:r w:rsidRPr="00E847ED">
              <w:rPr>
                <w:noProof/>
                <w:sz w:val="16"/>
                <w:szCs w:val="16"/>
              </w:rPr>
              <w:t>[12, 13]</w:t>
            </w:r>
            <w:r w:rsidRPr="00E847ED">
              <w:rPr>
                <w:sz w:val="16"/>
                <w:szCs w:val="16"/>
              </w:rPr>
              <w:t xml:space="preserve"> (LOE II) </w:t>
            </w:r>
          </w:p>
          <w:p w:rsidRPr="00E847ED" w:rsidR="00F736F0" w:rsidP="00B97D99" w:rsidRDefault="00F736F0" w14:paraId="6D20F944" w14:textId="77777777">
            <w:pPr>
              <w:pStyle w:val="BodyText"/>
              <w:jc w:val="left"/>
              <w:rPr>
                <w:sz w:val="16"/>
                <w:szCs w:val="16"/>
              </w:rPr>
            </w:pPr>
            <w:r w:rsidRPr="00E847ED">
              <w:rPr>
                <w:sz w:val="16"/>
                <w:szCs w:val="16"/>
              </w:rPr>
              <w:t xml:space="preserve">Use of hydrocortisone increased risk of hyperglycaemia in hypotensive preterm infants treated with adrenaline. (LOE II) </w:t>
            </w:r>
            <w:r w:rsidRPr="00E847ED">
              <w:rPr>
                <w:noProof/>
                <w:sz w:val="16"/>
                <w:szCs w:val="16"/>
              </w:rPr>
              <w:t>[14]</w:t>
            </w:r>
          </w:p>
          <w:p w:rsidRPr="00E847ED" w:rsidR="00F736F0" w:rsidP="00B97D99" w:rsidRDefault="00F736F0" w14:paraId="25079F17" w14:textId="77777777">
            <w:pPr>
              <w:pStyle w:val="BodyText"/>
              <w:jc w:val="left"/>
              <w:rPr>
                <w:sz w:val="16"/>
                <w:szCs w:val="16"/>
              </w:rPr>
            </w:pPr>
            <w:r w:rsidRPr="00E847ED">
              <w:rPr>
                <w:sz w:val="16"/>
                <w:szCs w:val="16"/>
              </w:rPr>
              <w:t xml:space="preserve">Pharmacokinetics and pharmacodynamics: </w:t>
            </w:r>
          </w:p>
          <w:p w:rsidRPr="00E847ED" w:rsidR="00F736F0" w:rsidP="00B97D99" w:rsidRDefault="00F736F0" w14:paraId="306EF2B9" w14:textId="77777777">
            <w:pPr>
              <w:pStyle w:val="BodyText"/>
              <w:jc w:val="left"/>
              <w:rPr>
                <w:sz w:val="16"/>
                <w:szCs w:val="16"/>
              </w:rPr>
            </w:pPr>
            <w:r w:rsidRPr="00E847ED">
              <w:rPr>
                <w:sz w:val="16"/>
                <w:szCs w:val="16"/>
              </w:rPr>
              <w:t xml:space="preserve">The half-life of hydrocortisone is reported to be &lt; 3 hours in newborn and premature infants. An increase in unbound hydrocortisone clearance was observed at 35 weeks postmenstrual age. </w:t>
            </w:r>
            <w:r w:rsidRPr="00E847ED">
              <w:rPr>
                <w:noProof/>
                <w:sz w:val="16"/>
                <w:szCs w:val="16"/>
              </w:rPr>
              <w:t>[15, 16]</w:t>
            </w:r>
          </w:p>
          <w:p w:rsidRPr="00E847ED" w:rsidR="00F736F0" w:rsidP="00B97D99" w:rsidRDefault="00F736F0" w14:paraId="2B6273FB" w14:textId="77777777">
            <w:pPr>
              <w:pStyle w:val="BodyText"/>
              <w:jc w:val="left"/>
              <w:rPr>
                <w:sz w:val="16"/>
                <w:szCs w:val="16"/>
              </w:rPr>
            </w:pPr>
            <w:r w:rsidRPr="00E847ED">
              <w:rPr>
                <w:sz w:val="16"/>
                <w:szCs w:val="16"/>
              </w:rPr>
              <w:t xml:space="preserve">The pharmacodynamics effect of hydrocortisone on blood pressure in hypotensive preterm infants has been reported to have an onset by 2 hours and persist for at least 12 hours. </w:t>
            </w:r>
            <w:r w:rsidRPr="00E847ED">
              <w:rPr>
                <w:noProof/>
                <w:sz w:val="16"/>
                <w:szCs w:val="16"/>
              </w:rPr>
              <w:t>[17, 18]</w:t>
            </w:r>
          </w:p>
        </w:tc>
      </w:tr>
      <w:tr w:rsidRPr="009F1244" w:rsidR="00F736F0" w:rsidTr="00E847ED" w14:paraId="3A2B883B" w14:textId="77777777">
        <w:trPr>
          <w:trHeight w:val="360"/>
        </w:trPr>
        <w:tc>
          <w:tcPr>
            <w:tcW w:w="1246" w:type="pct"/>
          </w:tcPr>
          <w:p w:rsidRPr="00F736F0" w:rsidR="00F736F0" w:rsidP="77BEE3D0" w:rsidRDefault="2F8A48D9" w14:paraId="05268A88" w14:textId="77777777">
            <w:pPr>
              <w:pStyle w:val="BodyText"/>
              <w:rPr>
                <w:rFonts w:cs="Arial"/>
                <w:b/>
                <w:bCs/>
                <w:sz w:val="20"/>
              </w:rPr>
            </w:pPr>
            <w:r w:rsidRPr="77BEE3D0">
              <w:rPr>
                <w:b/>
                <w:bCs/>
                <w:sz w:val="20"/>
              </w:rPr>
              <w:t>References</w:t>
            </w:r>
          </w:p>
        </w:tc>
        <w:tc>
          <w:tcPr>
            <w:tcW w:w="3754" w:type="pct"/>
          </w:tcPr>
          <w:p w:rsidRPr="00E847ED" w:rsidR="00F736F0" w:rsidP="00B97D99" w:rsidRDefault="00F736F0" w14:paraId="329D244D" w14:textId="77777777">
            <w:pPr>
              <w:pStyle w:val="EndNoteBibliography"/>
              <w:rPr>
                <w:sz w:val="16"/>
                <w:szCs w:val="16"/>
              </w:rPr>
            </w:pPr>
            <w:r w:rsidRPr="00E847ED">
              <w:rPr>
                <w:sz w:val="16"/>
                <w:szCs w:val="16"/>
              </w:rPr>
              <w:t xml:space="preserve">1. Baud O, Maury L, Lebail F, Ramful D, El Moussawi F, Nicaise C, Zupan-Simunek V, Coursol A, Beuchee A, Bolot P, Andrini P, Mohamed D, Alberti C, group Pts. Effect of early low-dose hydrocortisone on survival </w:t>
            </w:r>
            <w:r w:rsidRPr="00E847ED">
              <w:rPr>
                <w:sz w:val="16"/>
                <w:szCs w:val="16"/>
              </w:rPr>
              <w:lastRenderedPageBreak/>
              <w:t>without bronchopulmonary dysplasia in extremely preterm infants (PREMILOC): a double-blind, placebo-controlled, multicentre, randomised trial. Lancet. 2016;387:1827-36.</w:t>
            </w:r>
          </w:p>
          <w:p w:rsidRPr="00E847ED" w:rsidR="00F736F0" w:rsidP="00B97D99" w:rsidRDefault="00F736F0" w14:paraId="51866DD8" w14:textId="77777777">
            <w:pPr>
              <w:pStyle w:val="EndNoteBibliography"/>
              <w:rPr>
                <w:sz w:val="16"/>
                <w:szCs w:val="16"/>
              </w:rPr>
            </w:pPr>
            <w:r w:rsidRPr="00E847ED">
              <w:rPr>
                <w:sz w:val="16"/>
                <w:szCs w:val="16"/>
              </w:rPr>
              <w:t>2. Baud O, Trousson C, Biran V, Leroy E, Mohamed D, Alberti C, Group PT. Association Between Early Low-Dose Hydrocortisone Therapy in Extremely Preterm Neonates and Neurodevelopmental Outcomes at 2 Years of Age. JAMA. 2017;317:1329-37.</w:t>
            </w:r>
          </w:p>
          <w:p w:rsidRPr="00E847ED" w:rsidR="00F736F0" w:rsidP="00B97D99" w:rsidRDefault="00F736F0" w14:paraId="2D30E970" w14:textId="77777777">
            <w:pPr>
              <w:pStyle w:val="EndNoteBibliography"/>
              <w:rPr>
                <w:sz w:val="16"/>
                <w:szCs w:val="16"/>
              </w:rPr>
            </w:pPr>
            <w:r w:rsidRPr="00E847ED">
              <w:rPr>
                <w:sz w:val="16"/>
                <w:szCs w:val="16"/>
              </w:rPr>
              <w:t>3. Doyle LW, Cheong JL, Ehrenkranz RA, Halliday HL. Early (&lt; 8 days) systemic postnatal corticosteroids for prevention of bronchopulmonary dysplasia in preterm infants. The Cochrane database of systematic reviews. 2017;10:CD001146.</w:t>
            </w:r>
          </w:p>
          <w:p w:rsidRPr="00E847ED" w:rsidR="00F736F0" w:rsidP="00B97D99" w:rsidRDefault="00F736F0" w14:paraId="48782BBA" w14:textId="77777777">
            <w:pPr>
              <w:pStyle w:val="EndNoteBibliography"/>
              <w:rPr>
                <w:sz w:val="16"/>
                <w:szCs w:val="16"/>
              </w:rPr>
            </w:pPr>
            <w:r w:rsidRPr="00E847ED">
              <w:rPr>
                <w:sz w:val="16"/>
                <w:szCs w:val="16"/>
              </w:rPr>
              <w:t>4. Ng PC, Lam CW, Lee CH, Chan IH, Wong SP, Fok TF. Suppression and recovery of the hypothalamic function after high-dose corticosteroid treatment in preterm infants. Neonatology. 2008;94:170-5.</w:t>
            </w:r>
          </w:p>
          <w:p w:rsidRPr="00E847ED" w:rsidR="00F736F0" w:rsidP="00B97D99" w:rsidRDefault="00F736F0" w14:paraId="453267B2" w14:textId="77777777">
            <w:pPr>
              <w:pStyle w:val="EndNoteBibliography"/>
              <w:rPr>
                <w:sz w:val="16"/>
                <w:szCs w:val="16"/>
              </w:rPr>
            </w:pPr>
            <w:r w:rsidRPr="00E847ED">
              <w:rPr>
                <w:sz w:val="16"/>
                <w:szCs w:val="16"/>
              </w:rPr>
              <w:t>5. Ng PC, Lee CH, Bnur FL, Chan IH, Lee AW, Wong E, Chan HB, Lam CW, Lee BS, Fok TF. A double-blind, randomized, controlled study of a "stress dose" of hydrocortisone for rescue treatment of refractory hypotension in preterm infants. Pediatrics. 2006;117:367-75.</w:t>
            </w:r>
          </w:p>
          <w:p w:rsidRPr="00E847ED" w:rsidR="00F736F0" w:rsidP="00B97D99" w:rsidRDefault="00F736F0" w14:paraId="39C0EB6F" w14:textId="77777777">
            <w:pPr>
              <w:pStyle w:val="EndNoteBibliography"/>
              <w:rPr>
                <w:sz w:val="16"/>
                <w:szCs w:val="16"/>
              </w:rPr>
            </w:pPr>
            <w:r w:rsidRPr="00E847ED">
              <w:rPr>
                <w:sz w:val="16"/>
                <w:szCs w:val="16"/>
              </w:rPr>
              <w:t>6. Walther FJ, Findlay RD, Durand M. Adrenal suppression and extubation rate after moderately early low-dose dexamethasone therapy in very preterm infants. Early Human Development. 2003;74:37-45.</w:t>
            </w:r>
          </w:p>
          <w:p w:rsidRPr="00E847ED" w:rsidR="00F736F0" w:rsidP="00B97D99" w:rsidRDefault="00F736F0" w14:paraId="3914DE03" w14:textId="77777777">
            <w:pPr>
              <w:pStyle w:val="EndNoteBibliography"/>
              <w:rPr>
                <w:sz w:val="16"/>
                <w:szCs w:val="16"/>
              </w:rPr>
            </w:pPr>
            <w:r w:rsidRPr="00E847ED">
              <w:rPr>
                <w:sz w:val="16"/>
                <w:szCs w:val="16"/>
              </w:rPr>
              <w:t>7. Ibrahim H, Sinha IP, Subhedar NV. Corticosteroids for treating hypotension in preterm infants. The Cochrane database of systematic reviews. 2011:CD003662.</w:t>
            </w:r>
          </w:p>
          <w:p w:rsidRPr="00E847ED" w:rsidR="00F736F0" w:rsidP="00B97D99" w:rsidRDefault="00F736F0" w14:paraId="7095E703" w14:textId="77777777">
            <w:pPr>
              <w:pStyle w:val="EndNoteBibliography"/>
              <w:rPr>
                <w:sz w:val="16"/>
                <w:szCs w:val="16"/>
              </w:rPr>
            </w:pPr>
            <w:r w:rsidRPr="00E847ED">
              <w:rPr>
                <w:sz w:val="16"/>
                <w:szCs w:val="16"/>
              </w:rPr>
              <w:t>8. Doyle LW, Ehrenkranz RA, Halliday HL. Postnatal hydrocortisone for preventing or treating bronchopulmonary dysplasia in preterm infants: a systematic review. Neonatology. 2010;98:111-7.</w:t>
            </w:r>
          </w:p>
          <w:p w:rsidRPr="00E847ED" w:rsidR="00F736F0" w:rsidP="00B97D99" w:rsidRDefault="00F736F0" w14:paraId="41CC5AB2" w14:textId="77777777">
            <w:pPr>
              <w:pStyle w:val="EndNoteBibliography"/>
              <w:rPr>
                <w:sz w:val="16"/>
                <w:szCs w:val="16"/>
              </w:rPr>
            </w:pPr>
            <w:r w:rsidRPr="00E847ED">
              <w:rPr>
                <w:sz w:val="16"/>
                <w:szCs w:val="16"/>
              </w:rPr>
              <w:t>9. Bornstein SR, Allolio B, Arlt W, Barthel A, Don-Wauchope A, Hammer GD, Husebye ES, Merke DP, Murad MH, Stratakis CA, Torpy DJ. Diagnosis and Treatment of Primary Adrenal Insufficiency: An Endocrine Society Clinical Practice Guideline. The Journal of clinical endocrinology and metabolism. 2016;101:364-89.</w:t>
            </w:r>
          </w:p>
          <w:p w:rsidRPr="00E847ED" w:rsidR="00F736F0" w:rsidP="00B97D99" w:rsidRDefault="00F736F0" w14:paraId="57C03B33" w14:textId="77777777">
            <w:pPr>
              <w:pStyle w:val="EndNoteBibliography"/>
              <w:rPr>
                <w:sz w:val="16"/>
                <w:szCs w:val="16"/>
              </w:rPr>
            </w:pPr>
            <w:r w:rsidRPr="00E847ED">
              <w:rPr>
                <w:sz w:val="16"/>
                <w:szCs w:val="16"/>
              </w:rPr>
              <w:t>10. Rahmah R, Hayati AR, Kuhnle U. Management and short-term outcome of persistent hyperinsulinaemic hypoglycaemia of infancy (nesidioblastosis). Singapore Medical Journal. 1999;40:151-6.</w:t>
            </w:r>
          </w:p>
          <w:p w:rsidRPr="00E847ED" w:rsidR="00F736F0" w:rsidP="00B97D99" w:rsidRDefault="00F736F0" w14:paraId="04ABF9E2" w14:textId="77777777">
            <w:pPr>
              <w:pStyle w:val="EndNoteBibliography"/>
              <w:rPr>
                <w:sz w:val="16"/>
                <w:szCs w:val="16"/>
              </w:rPr>
            </w:pPr>
            <w:r w:rsidRPr="00E847ED">
              <w:rPr>
                <w:sz w:val="16"/>
                <w:szCs w:val="16"/>
              </w:rPr>
              <w:t>11. Sotelo-Cruz N, Cordero-Olivares A, Ramirez-Rodriguez C, Lopez-Cervantes G, Hurtado-Valenzuela J, Lopez-Cervantes BM. [Persistent hyperinsulinemic hypoglycemia. Two case reports]. Cirugia y Cirujanos. 2004;72:409-14.</w:t>
            </w:r>
          </w:p>
          <w:p w:rsidRPr="00E847ED" w:rsidR="00F736F0" w:rsidP="00B97D99" w:rsidRDefault="00F736F0" w14:paraId="549E0B39" w14:textId="77777777">
            <w:pPr>
              <w:pStyle w:val="EndNoteBibliography"/>
              <w:rPr>
                <w:sz w:val="16"/>
                <w:szCs w:val="16"/>
              </w:rPr>
            </w:pPr>
            <w:r w:rsidRPr="00E847ED">
              <w:rPr>
                <w:sz w:val="16"/>
                <w:szCs w:val="16"/>
              </w:rPr>
              <w:t>12. Peltoniemi O, Kari MA, Heinonen K, Saarela T, Nikolajev K, Andersson S, Voutilainen R, Hallman M. Pretreatment cortisol values may predict responses to hydrocortisone administration for the prevention of bronchopulmonary dysplasia in high-risk infants. The Journal of pediatrics. 2005;146:632-7.</w:t>
            </w:r>
          </w:p>
          <w:p w:rsidRPr="00E847ED" w:rsidR="00F736F0" w:rsidP="00B97D99" w:rsidRDefault="00F736F0" w14:paraId="4E21656B" w14:textId="77777777">
            <w:pPr>
              <w:pStyle w:val="EndNoteBibliography"/>
              <w:rPr>
                <w:sz w:val="16"/>
                <w:szCs w:val="16"/>
              </w:rPr>
            </w:pPr>
            <w:r w:rsidRPr="00E847ED">
              <w:rPr>
                <w:sz w:val="16"/>
                <w:szCs w:val="16"/>
              </w:rPr>
              <w:t>13. Watterberg KL, Gerdes JS, Cole CH, Aucott SW, Thilo EH, Mammel MC, Couser RJ, Garland JS, Rozycki HJ, Leach CL, Backstrom C, Shaffer ML. Prophylaxis of early adrenal insufficiency to prevent bronchopulmonary dysplasia: a multicenter trial. Pediatrics. 2004;114:1649-57.</w:t>
            </w:r>
          </w:p>
          <w:p w:rsidRPr="00E847ED" w:rsidR="00F736F0" w:rsidP="00B97D99" w:rsidRDefault="00F736F0" w14:paraId="723CA04C" w14:textId="77777777">
            <w:pPr>
              <w:pStyle w:val="EndNoteBibliography"/>
              <w:rPr>
                <w:sz w:val="16"/>
                <w:szCs w:val="16"/>
              </w:rPr>
            </w:pPr>
            <w:r w:rsidRPr="00E847ED">
              <w:rPr>
                <w:sz w:val="16"/>
                <w:szCs w:val="16"/>
              </w:rPr>
              <w:t>14. Salas G, Travaglianti M, Leone A, Couceiro C, Rodriguez S, Farina D. [Hydrocortisone for the treatment of refractory hypotension: a randomized controlled trial]. Anales de pediatria. 2014;80:387-93.</w:t>
            </w:r>
          </w:p>
          <w:p w:rsidRPr="00E847ED" w:rsidR="00F736F0" w:rsidP="00B97D99" w:rsidRDefault="00F736F0" w14:paraId="1ADE6911" w14:textId="77777777">
            <w:pPr>
              <w:pStyle w:val="EndNoteBibliography"/>
              <w:rPr>
                <w:sz w:val="16"/>
                <w:szCs w:val="16"/>
              </w:rPr>
            </w:pPr>
            <w:r w:rsidRPr="00E847ED">
              <w:rPr>
                <w:sz w:val="16"/>
                <w:szCs w:val="16"/>
              </w:rPr>
              <w:t>15. Cranny RL, Kirschvink JF, Kelley VC. The half-life of hydrocortisone in normal newborn infants. AMA journal of diseases of children. 1960;99:437-43.</w:t>
            </w:r>
          </w:p>
          <w:p w:rsidRPr="00E847ED" w:rsidR="00F736F0" w:rsidP="00B97D99" w:rsidRDefault="00F736F0" w14:paraId="6171628D" w14:textId="77777777">
            <w:pPr>
              <w:pStyle w:val="EndNoteBibliography"/>
              <w:rPr>
                <w:sz w:val="16"/>
                <w:szCs w:val="16"/>
              </w:rPr>
            </w:pPr>
            <w:r w:rsidRPr="00E847ED">
              <w:rPr>
                <w:sz w:val="16"/>
                <w:szCs w:val="16"/>
              </w:rPr>
              <w:t>16. Vezina HE, Ng CM, Vazquez DM, Barks JD, Bhatt-Mehta V. Population pharmacokinetics of unbound hydrocortisone in critically ill neonates and infants with vasopressor-resistant hypotension. Pediatric critical care medicine : a journal of the Society of Critical Care Medicine and the World Federation of Pediatric Intensive and Critical Care Societies. 2014;15:546-53.</w:t>
            </w:r>
          </w:p>
          <w:p w:rsidRPr="00E847ED" w:rsidR="00F736F0" w:rsidP="00B97D99" w:rsidRDefault="00F736F0" w14:paraId="55DEAFF6" w14:textId="77777777">
            <w:pPr>
              <w:pStyle w:val="EndNoteBibliography"/>
              <w:rPr>
                <w:sz w:val="16"/>
                <w:szCs w:val="16"/>
              </w:rPr>
            </w:pPr>
            <w:r w:rsidRPr="00E847ED">
              <w:rPr>
                <w:sz w:val="16"/>
                <w:szCs w:val="16"/>
              </w:rPr>
              <w:t>17. Baker CF, Barks JD, Engmann C, Vazquez DM, Neal CR, Jr., Schumacher RE, Bhatt-Mehta V. Hydrocortisone administration for the treatment of refractory hypotension in critically ill newborns. Journal of perinatology : official journal of the California Perinatal Association. 2008;28:412-9.</w:t>
            </w:r>
          </w:p>
          <w:p w:rsidRPr="00E847ED" w:rsidR="00F736F0" w:rsidP="00B97D99" w:rsidRDefault="00F736F0" w14:paraId="5B114A0E" w14:textId="77777777">
            <w:pPr>
              <w:pStyle w:val="EndNoteBibliography"/>
              <w:rPr>
                <w:sz w:val="16"/>
                <w:szCs w:val="16"/>
              </w:rPr>
            </w:pPr>
            <w:r w:rsidRPr="00E847ED">
              <w:rPr>
                <w:sz w:val="16"/>
                <w:szCs w:val="16"/>
              </w:rPr>
              <w:t>18. Mizobuchi M, Yoshimoto S, Nakao H. Time-course effect of a single dose of hydrocortisone for refractory hypotension in preterm infants. Pediatrics international : official journal of the Japan Pediatric Society. 2011;53:881-6.</w:t>
            </w:r>
          </w:p>
          <w:p w:rsidRPr="00E847ED" w:rsidR="00F736F0" w:rsidP="00B97D99" w:rsidRDefault="00F736F0" w14:paraId="4152E52F" w14:textId="77777777">
            <w:pPr>
              <w:pStyle w:val="ListParagraph"/>
              <w:rPr>
                <w:sz w:val="16"/>
                <w:szCs w:val="16"/>
              </w:rPr>
            </w:pPr>
            <w:r w:rsidRPr="00E847ED">
              <w:rPr>
                <w:sz w:val="16"/>
                <w:szCs w:val="16"/>
              </w:rPr>
              <w:t>19. Sydney Children’s Hospital Network. Adrenal Insufficiency – Emergency Management. Guideline No: 0/C/14:9017-01:00</w:t>
            </w:r>
          </w:p>
          <w:p w:rsidRPr="00E847ED" w:rsidR="00F736F0" w:rsidP="00B97D99" w:rsidRDefault="00F736F0" w14:paraId="242F1DB5" w14:textId="77777777">
            <w:pPr>
              <w:rPr>
                <w:sz w:val="16"/>
                <w:szCs w:val="16"/>
                <w:lang w:eastAsia="en-AU"/>
              </w:rPr>
            </w:pPr>
            <w:r w:rsidRPr="00E847ED">
              <w:rPr>
                <w:rFonts w:cs="Arial"/>
                <w:sz w:val="16"/>
                <w:szCs w:val="16"/>
              </w:rPr>
              <w:t xml:space="preserve">20. </w:t>
            </w:r>
            <w:r w:rsidRPr="00E847ED">
              <w:rPr>
                <w:sz w:val="16"/>
                <w:szCs w:val="16"/>
                <w:lang w:eastAsia="en-AU"/>
              </w:rPr>
              <w:t>Australian Injectable Drugs Handbook, 6th Edition, Society of Hospital Pharmacists of Australia 2014</w:t>
            </w:r>
          </w:p>
          <w:p w:rsidRPr="00E847ED" w:rsidR="00F736F0" w:rsidP="00B97D99" w:rsidRDefault="00F736F0" w14:paraId="3E93763B" w14:textId="77777777">
            <w:pPr>
              <w:rPr>
                <w:sz w:val="16"/>
                <w:szCs w:val="16"/>
              </w:rPr>
            </w:pPr>
            <w:r w:rsidRPr="00E847ED">
              <w:rPr>
                <w:sz w:val="16"/>
                <w:szCs w:val="16"/>
                <w:lang w:eastAsia="en-AU"/>
              </w:rPr>
              <w:t>20. Micromedex Online. Accessed on 28th October 2015.</w:t>
            </w:r>
          </w:p>
        </w:tc>
      </w:tr>
    </w:tbl>
    <w:p w:rsidRPr="00E25790" w:rsidR="00CB3AD5" w:rsidP="006F0321" w:rsidRDefault="00CB3AD5" w14:paraId="33160E42" w14:textId="77777777"/>
    <w:p w:rsidRPr="00E25790" w:rsidR="008F6C57" w:rsidP="006F0321" w:rsidRDefault="008F6C57" w14:paraId="702DD71C" w14:textId="77777777"/>
    <w:p w:rsidRPr="00E25790" w:rsidR="008F6C57" w:rsidP="006F0321" w:rsidRDefault="008F6C57" w14:paraId="29A244E9" w14:textId="77777777">
      <w:r w:rsidRPr="00E25790">
        <w:tab/>
      </w:r>
    </w:p>
    <w:tbl>
      <w:tblPr>
        <w:tblW w:w="9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08"/>
        <w:gridCol w:w="4678"/>
      </w:tblGrid>
      <w:tr w:rsidRPr="009F1244" w:rsidR="008F6C57" w:rsidTr="00B97D99" w14:paraId="20C92B59" w14:textId="77777777">
        <w:tc>
          <w:tcPr>
            <w:tcW w:w="4508" w:type="dxa"/>
            <w:vAlign w:val="center"/>
          </w:tcPr>
          <w:p w:rsidRPr="008F6C57" w:rsidR="008F6C57" w:rsidP="00B97D99" w:rsidRDefault="008F6C57" w14:paraId="513A5C4F" w14:textId="77777777">
            <w:r w:rsidRPr="008F6C57">
              <w:t>Original version Date: 28/12/2016</w:t>
            </w:r>
          </w:p>
        </w:tc>
        <w:tc>
          <w:tcPr>
            <w:tcW w:w="4678" w:type="dxa"/>
            <w:vAlign w:val="center"/>
          </w:tcPr>
          <w:p w:rsidRPr="008F6C57" w:rsidR="008F6C57" w:rsidP="00B97D99" w:rsidRDefault="008F6C57" w14:paraId="46F42F58" w14:textId="77777777">
            <w:r w:rsidRPr="008F6C57">
              <w:t>Author: NMF Consensus Group</w:t>
            </w:r>
          </w:p>
        </w:tc>
      </w:tr>
      <w:tr w:rsidRPr="009F1244" w:rsidR="008F6C57" w:rsidTr="00B97D99" w14:paraId="0B0E4AFC" w14:textId="77777777">
        <w:tc>
          <w:tcPr>
            <w:tcW w:w="4508" w:type="dxa"/>
            <w:vAlign w:val="center"/>
          </w:tcPr>
          <w:p w:rsidRPr="008F6C57" w:rsidR="008F6C57" w:rsidP="00B97D99" w:rsidRDefault="008F6C57" w14:paraId="6090A9C8" w14:textId="509067A2">
            <w:pPr>
              <w:rPr>
                <w:bCs/>
              </w:rPr>
            </w:pPr>
            <w:r w:rsidRPr="008F6C57">
              <w:t xml:space="preserve">Current Version number:  </w:t>
            </w:r>
            <w:r w:rsidR="00A97051">
              <w:t>2</w:t>
            </w:r>
          </w:p>
        </w:tc>
        <w:tc>
          <w:tcPr>
            <w:tcW w:w="4678" w:type="dxa"/>
            <w:vAlign w:val="center"/>
          </w:tcPr>
          <w:p w:rsidRPr="008F6C57" w:rsidR="008F6C57" w:rsidP="00B97D99" w:rsidRDefault="008F6C57" w14:paraId="28CE3D31" w14:textId="77777777">
            <w:r w:rsidRPr="008F6C57">
              <w:t>Version Date:  15/03/2018</w:t>
            </w:r>
          </w:p>
        </w:tc>
      </w:tr>
      <w:tr w:rsidRPr="009F1244" w:rsidR="008F6C57" w:rsidTr="00B97D99" w14:paraId="7823A66C" w14:textId="77777777">
        <w:tc>
          <w:tcPr>
            <w:tcW w:w="4508" w:type="dxa"/>
            <w:vAlign w:val="center"/>
          </w:tcPr>
          <w:p w:rsidRPr="008F6C57" w:rsidR="008F6C57" w:rsidP="00B97D99" w:rsidRDefault="008F6C57" w14:paraId="3E5F5248" w14:textId="74B6DCFD">
            <w:r w:rsidRPr="008F6C57">
              <w:t xml:space="preserve">Risk Rating: </w:t>
            </w:r>
            <w:r w:rsidR="00A97051">
              <w:t>Low</w:t>
            </w:r>
          </w:p>
        </w:tc>
        <w:tc>
          <w:tcPr>
            <w:tcW w:w="4678" w:type="dxa"/>
            <w:vAlign w:val="center"/>
          </w:tcPr>
          <w:p w:rsidRPr="008F6C57" w:rsidR="008F6C57" w:rsidP="00B97D99" w:rsidRDefault="008F6C57" w14:paraId="69E4587D" w14:textId="1FC14646">
            <w:r w:rsidRPr="008F6C57">
              <w:t xml:space="preserve">Due for Review:  </w:t>
            </w:r>
            <w:r w:rsidR="00A97051">
              <w:t>15/3/2023</w:t>
            </w:r>
          </w:p>
        </w:tc>
      </w:tr>
      <w:tr w:rsidRPr="009F1244" w:rsidR="008F6C57" w:rsidTr="00B97D99" w14:paraId="352801B9" w14:textId="77777777">
        <w:trPr>
          <w:trHeight w:val="344"/>
        </w:trPr>
        <w:tc>
          <w:tcPr>
            <w:tcW w:w="4508" w:type="dxa"/>
            <w:tcBorders>
              <w:bottom w:val="single" w:color="auto" w:sz="4" w:space="0"/>
            </w:tcBorders>
            <w:vAlign w:val="center"/>
          </w:tcPr>
          <w:p w:rsidRPr="008F6C57" w:rsidR="008F6C57" w:rsidP="00B97D99" w:rsidRDefault="008F6C57" w14:paraId="0AB47679" w14:textId="77777777">
            <w:r w:rsidRPr="008F6C57">
              <w:t>Approval by: DTC</w:t>
            </w:r>
          </w:p>
        </w:tc>
        <w:tc>
          <w:tcPr>
            <w:tcW w:w="4678" w:type="dxa"/>
            <w:tcBorders>
              <w:bottom w:val="single" w:color="auto" w:sz="4" w:space="0"/>
            </w:tcBorders>
            <w:vAlign w:val="center"/>
          </w:tcPr>
          <w:p w:rsidRPr="008F6C57" w:rsidR="008F6C57" w:rsidP="00B97D99" w:rsidRDefault="008F6C57" w14:paraId="4831AF89" w14:textId="77777777">
            <w:r w:rsidRPr="008F6C57">
              <w:t>Approval Date: October 2019</w:t>
            </w:r>
          </w:p>
        </w:tc>
      </w:tr>
    </w:tbl>
    <w:p w:rsidRPr="00E25790" w:rsidR="008F6C57" w:rsidP="006F0321" w:rsidRDefault="008F6C57" w14:paraId="5AD6DFB6" w14:textId="77777777"/>
    <w:p w:rsidRPr="00E25790" w:rsidR="008C390A" w:rsidP="006F0321" w:rsidRDefault="00CB3AD5" w14:paraId="00512A3A"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8C390A" w:rsidTr="00B97D99" w14:paraId="22D0FFA3"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8C390A" w:rsidP="009469DB" w:rsidRDefault="008C390A" w14:paraId="44CDB622" w14:textId="77777777">
            <w:pPr>
              <w:pStyle w:val="Heading1"/>
            </w:pPr>
            <w:bookmarkStart w:name="_Toc426719395" w:id="324"/>
            <w:bookmarkStart w:name="_Toc38106863" w:id="325"/>
            <w:bookmarkStart w:name="_Toc75339988" w:id="326"/>
            <w:r w:rsidRPr="00E25790">
              <w:lastRenderedPageBreak/>
              <w:t>Ibuprofen</w:t>
            </w:r>
            <w:bookmarkEnd w:id="324"/>
            <w:bookmarkEnd w:id="325"/>
            <w:bookmarkEnd w:id="326"/>
            <w:r w:rsidRPr="00E25790">
              <w:fldChar w:fldCharType="begin"/>
            </w:r>
            <w:r w:rsidRPr="00E25790">
              <w:instrText>tc "Surfactant" \l 0</w:instrText>
            </w:r>
            <w:r w:rsidRPr="00E25790">
              <w:fldChar w:fldCharType="end"/>
            </w:r>
          </w:p>
        </w:tc>
      </w:tr>
      <w:tr w:rsidRPr="00E25790" w:rsidR="008C390A" w:rsidTr="00B97D99" w14:paraId="593A02C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8C390A" w:rsidP="006F0321" w:rsidRDefault="008C390A" w14:paraId="46EBC471" w14:textId="77777777">
            <w:r w:rsidRPr="00E25790">
              <w:t xml:space="preserve">Revision Date : </w:t>
            </w:r>
            <w:r w:rsidRPr="00E25790">
              <w:fldChar w:fldCharType="begin"/>
            </w:r>
            <w:r w:rsidRPr="00E25790">
              <w:instrText xml:space="preserve"> CREATEDATE  \@ "d MMMM yyyy" </w:instrText>
            </w:r>
            <w:r w:rsidRPr="00E25790">
              <w:fldChar w:fldCharType="separate"/>
            </w:r>
            <w:r w:rsidRPr="00E25790">
              <w:rPr>
                <w:noProof/>
              </w:rPr>
              <w:t>5th F</w:t>
            </w:r>
            <w:r w:rsidRPr="00E25790">
              <w:t>ebruary 2017</w:t>
            </w:r>
            <w:r w:rsidRPr="00E25790">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8C390A" w:rsidP="006F0321" w:rsidRDefault="008C390A" w14:paraId="5DDBEDAE" w14:textId="77777777">
            <w:r w:rsidRPr="00E25790">
              <w:t xml:space="preserve">Approved: </w:t>
            </w:r>
            <w:r w:rsidRPr="00E25790" w:rsidR="000A359A">
              <w:t>TC, KOH</w:t>
            </w:r>
          </w:p>
        </w:tc>
      </w:tr>
    </w:tbl>
    <w:p w:rsidRPr="00E25790" w:rsidR="008C390A" w:rsidP="006F0321" w:rsidRDefault="008C390A" w14:paraId="21887816" w14:textId="77777777"/>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43"/>
        <w:gridCol w:w="6973"/>
      </w:tblGrid>
      <w:tr w:rsidRPr="0083046D" w:rsidR="002A5580" w:rsidTr="0059793A" w14:paraId="05967D1B" w14:textId="77777777">
        <w:trPr>
          <w:trHeight w:val="70"/>
        </w:trPr>
        <w:tc>
          <w:tcPr>
            <w:tcW w:w="1133" w:type="pct"/>
          </w:tcPr>
          <w:p w:rsidRPr="0083046D" w:rsidR="002A5580" w:rsidP="0059793A" w:rsidRDefault="002A5580" w14:paraId="05EB8647" w14:textId="77777777">
            <w:pPr>
              <w:pStyle w:val="BodyText"/>
              <w:tabs>
                <w:tab w:val="center" w:pos="1476"/>
              </w:tabs>
              <w:rPr>
                <w:rFonts w:cs="Arial" w:asciiTheme="minorHAnsi" w:hAnsiTheme="minorHAnsi"/>
                <w:b/>
                <w:sz w:val="20"/>
                <w:lang w:val="en-AU"/>
              </w:rPr>
            </w:pPr>
            <w:r w:rsidRPr="0083046D">
              <w:rPr>
                <w:rFonts w:cs="Arial" w:asciiTheme="minorHAnsi" w:hAnsiTheme="minorHAnsi"/>
                <w:b/>
                <w:sz w:val="20"/>
                <w:lang w:val="en-AU"/>
              </w:rPr>
              <w:t>Alert</w:t>
            </w:r>
            <w:r w:rsidRPr="0083046D">
              <w:rPr>
                <w:rFonts w:cs="Arial" w:asciiTheme="minorHAnsi" w:hAnsiTheme="minorHAnsi"/>
                <w:b/>
                <w:sz w:val="20"/>
                <w:lang w:val="en-AU"/>
              </w:rPr>
              <w:tab/>
            </w:r>
          </w:p>
        </w:tc>
        <w:tc>
          <w:tcPr>
            <w:tcW w:w="3867" w:type="pct"/>
          </w:tcPr>
          <w:p w:rsidR="002A5580" w:rsidP="0059793A" w:rsidRDefault="002A5580" w14:paraId="378AF922" w14:textId="77777777">
            <w:pPr>
              <w:pStyle w:val="BodyText"/>
              <w:rPr>
                <w:rFonts w:asciiTheme="minorHAnsi" w:hAnsiTheme="minorHAnsi"/>
                <w:sz w:val="20"/>
                <w:lang w:val="en-AU"/>
              </w:rPr>
            </w:pPr>
            <w:r>
              <w:rPr>
                <w:rFonts w:asciiTheme="minorHAnsi" w:hAnsiTheme="minorHAnsi"/>
                <w:sz w:val="20"/>
                <w:lang w:val="en-AU"/>
              </w:rPr>
              <w:t>Pedea is currently the only registered product with Therapeutic Goods Administration (TGA) for closure of patent ductus arteriosus in preterm infants &lt;34 weeks gestation.</w:t>
            </w:r>
          </w:p>
          <w:p w:rsidR="002A5580" w:rsidP="0059793A" w:rsidRDefault="002A5580" w14:paraId="69844EB0" w14:textId="77777777">
            <w:pPr>
              <w:pStyle w:val="BodyText"/>
              <w:rPr>
                <w:rFonts w:asciiTheme="minorHAnsi" w:hAnsiTheme="minorHAnsi"/>
                <w:sz w:val="20"/>
                <w:lang w:val="en-AU"/>
              </w:rPr>
            </w:pPr>
            <w:r>
              <w:rPr>
                <w:rFonts w:asciiTheme="minorHAnsi" w:hAnsiTheme="minorHAnsi"/>
                <w:sz w:val="20"/>
                <w:lang w:val="en-AU"/>
              </w:rPr>
              <w:t xml:space="preserve">Neoprofen is not currently registered with TGA. It is available for use via the Special Access Scheme (SAS). </w:t>
            </w:r>
          </w:p>
          <w:p w:rsidRPr="008F6128" w:rsidR="002A5580" w:rsidP="0059793A" w:rsidRDefault="002A5580" w14:paraId="13CB9EC4" w14:textId="77777777">
            <w:pPr>
              <w:pStyle w:val="BodyText"/>
              <w:rPr>
                <w:rFonts w:asciiTheme="minorHAnsi" w:hAnsiTheme="minorHAnsi"/>
                <w:sz w:val="20"/>
                <w:lang w:val="en-AU"/>
              </w:rPr>
            </w:pPr>
            <w:r>
              <w:rPr>
                <w:rFonts w:asciiTheme="minorHAnsi" w:hAnsiTheme="minorHAnsi"/>
                <w:sz w:val="20"/>
              </w:rPr>
              <w:t>Caldolor is registered for fever reduction and postoperative pain in adults.</w:t>
            </w:r>
          </w:p>
        </w:tc>
      </w:tr>
      <w:tr w:rsidRPr="0083046D" w:rsidR="002A5580" w:rsidTr="0059793A" w14:paraId="626602F6" w14:textId="77777777">
        <w:trPr>
          <w:trHeight w:val="72"/>
        </w:trPr>
        <w:tc>
          <w:tcPr>
            <w:tcW w:w="1133" w:type="pct"/>
          </w:tcPr>
          <w:p w:rsidRPr="0083046D" w:rsidR="002A5580" w:rsidP="0059793A" w:rsidRDefault="002A5580" w14:paraId="794A1540" w14:textId="77777777">
            <w:pPr>
              <w:pStyle w:val="BodyText"/>
              <w:rPr>
                <w:rFonts w:cs="Arial" w:asciiTheme="minorHAnsi" w:hAnsiTheme="minorHAnsi"/>
                <w:sz w:val="20"/>
                <w:lang w:val="en-AU"/>
              </w:rPr>
            </w:pPr>
            <w:r w:rsidRPr="0083046D">
              <w:rPr>
                <w:rFonts w:cs="Arial" w:asciiTheme="minorHAnsi" w:hAnsiTheme="minorHAnsi"/>
                <w:b/>
                <w:bCs/>
                <w:sz w:val="20"/>
                <w:lang w:val="en-AU"/>
              </w:rPr>
              <w:t>Indication</w:t>
            </w:r>
          </w:p>
        </w:tc>
        <w:tc>
          <w:tcPr>
            <w:tcW w:w="3867" w:type="pct"/>
          </w:tcPr>
          <w:p w:rsidRPr="0083046D" w:rsidR="002A5580" w:rsidP="0059793A" w:rsidRDefault="002A5580" w14:paraId="2A1E2B0B" w14:textId="77777777">
            <w:pPr>
              <w:rPr>
                <w:rFonts w:asciiTheme="minorHAnsi" w:hAnsiTheme="minorHAnsi"/>
                <w:sz w:val="20"/>
              </w:rPr>
            </w:pPr>
            <w:r w:rsidRPr="0083046D">
              <w:rPr>
                <w:rFonts w:asciiTheme="minorHAnsi" w:hAnsiTheme="minorHAnsi"/>
                <w:sz w:val="20"/>
              </w:rPr>
              <w:t>Patent ductus arteriosus.</w:t>
            </w:r>
          </w:p>
        </w:tc>
      </w:tr>
      <w:tr w:rsidRPr="0083046D" w:rsidR="002A5580" w:rsidTr="0059793A" w14:paraId="31C07A6D" w14:textId="77777777">
        <w:trPr>
          <w:trHeight w:val="70"/>
        </w:trPr>
        <w:tc>
          <w:tcPr>
            <w:tcW w:w="1133" w:type="pct"/>
          </w:tcPr>
          <w:p w:rsidRPr="0083046D" w:rsidR="002A5580" w:rsidP="0059793A" w:rsidRDefault="002A5580" w14:paraId="7E8C7985"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Action</w:t>
            </w:r>
          </w:p>
        </w:tc>
        <w:tc>
          <w:tcPr>
            <w:tcW w:w="3867" w:type="pct"/>
          </w:tcPr>
          <w:p w:rsidRPr="0083046D" w:rsidR="002A5580" w:rsidP="0059793A" w:rsidRDefault="002A5580" w14:paraId="6E1EE191" w14:textId="77777777">
            <w:pPr>
              <w:rPr>
                <w:rFonts w:cs="Arial" w:asciiTheme="minorHAnsi" w:hAnsiTheme="minorHAnsi"/>
                <w:sz w:val="20"/>
              </w:rPr>
            </w:pPr>
            <w:r w:rsidRPr="0083046D">
              <w:rPr>
                <w:rFonts w:asciiTheme="minorHAnsi" w:hAnsiTheme="minorHAnsi"/>
                <w:sz w:val="20"/>
              </w:rPr>
              <w:t>Prostaglandin inhibitor. Prostaglandins are important in maintaining ductal patency in utero.</w:t>
            </w:r>
          </w:p>
        </w:tc>
      </w:tr>
      <w:tr w:rsidRPr="0083046D" w:rsidR="002A5580" w:rsidTr="0059793A" w14:paraId="65736BC7" w14:textId="77777777">
        <w:trPr>
          <w:trHeight w:val="266"/>
        </w:trPr>
        <w:tc>
          <w:tcPr>
            <w:tcW w:w="1133" w:type="pct"/>
          </w:tcPr>
          <w:p w:rsidRPr="0083046D" w:rsidR="002A5580" w:rsidP="0059793A" w:rsidRDefault="002A5580" w14:paraId="40258017" w14:textId="77777777">
            <w:pPr>
              <w:pStyle w:val="BodyText"/>
              <w:rPr>
                <w:rFonts w:cs="Arial" w:asciiTheme="minorHAnsi" w:hAnsiTheme="minorHAnsi"/>
                <w:sz w:val="20"/>
                <w:lang w:val="en-AU"/>
              </w:rPr>
            </w:pPr>
            <w:r w:rsidRPr="0083046D">
              <w:rPr>
                <w:rFonts w:cs="Arial" w:asciiTheme="minorHAnsi" w:hAnsiTheme="minorHAnsi"/>
                <w:b/>
                <w:bCs/>
                <w:sz w:val="20"/>
                <w:lang w:val="en-AU"/>
              </w:rPr>
              <w:t xml:space="preserve">Drug type                                   </w:t>
            </w:r>
          </w:p>
        </w:tc>
        <w:tc>
          <w:tcPr>
            <w:tcW w:w="3867" w:type="pct"/>
          </w:tcPr>
          <w:p w:rsidRPr="0083046D" w:rsidR="002A5580" w:rsidP="0059793A" w:rsidRDefault="002A5580" w14:paraId="79AFB9AF" w14:textId="77777777">
            <w:pPr>
              <w:pStyle w:val="BodyText"/>
              <w:rPr>
                <w:rFonts w:cs="Arial" w:asciiTheme="minorHAnsi" w:hAnsiTheme="minorHAnsi"/>
                <w:sz w:val="20"/>
                <w:lang w:val="en-AU"/>
              </w:rPr>
            </w:pPr>
            <w:r w:rsidRPr="0083046D">
              <w:rPr>
                <w:rFonts w:asciiTheme="minorHAnsi" w:hAnsiTheme="minorHAnsi"/>
                <w:sz w:val="20"/>
              </w:rPr>
              <w:t>Non-steroidal anti-inflammatory drug (NSAID).</w:t>
            </w:r>
          </w:p>
        </w:tc>
      </w:tr>
      <w:tr w:rsidRPr="0083046D" w:rsidR="002A5580" w:rsidTr="0059793A" w14:paraId="43AE799B" w14:textId="77777777">
        <w:trPr>
          <w:trHeight w:val="114"/>
        </w:trPr>
        <w:tc>
          <w:tcPr>
            <w:tcW w:w="1133" w:type="pct"/>
          </w:tcPr>
          <w:p w:rsidRPr="0083046D" w:rsidR="002A5580" w:rsidP="0059793A" w:rsidRDefault="002A5580" w14:paraId="17FA9F37"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Trade name                  </w:t>
            </w:r>
          </w:p>
        </w:tc>
        <w:tc>
          <w:tcPr>
            <w:tcW w:w="3867" w:type="pct"/>
          </w:tcPr>
          <w:p w:rsidR="002A5580" w:rsidP="0059793A" w:rsidRDefault="002A5580" w14:paraId="04BAC65E" w14:textId="77777777">
            <w:pPr>
              <w:pStyle w:val="BodyText"/>
              <w:rPr>
                <w:rFonts w:asciiTheme="minorHAnsi" w:hAnsiTheme="minorHAnsi"/>
                <w:sz w:val="20"/>
                <w:lang w:val="en-AU"/>
              </w:rPr>
            </w:pPr>
            <w:r>
              <w:rPr>
                <w:rFonts w:asciiTheme="minorHAnsi" w:hAnsiTheme="minorHAnsi"/>
                <w:sz w:val="20"/>
                <w:lang w:val="en-AU"/>
              </w:rPr>
              <w:t xml:space="preserve">Intravenous: Pedea (ibuprofen sodium), Neoprofen (ibuprofen lysine). Caldolor (ibuprofen arginine), </w:t>
            </w:r>
          </w:p>
          <w:p w:rsidRPr="0083046D" w:rsidR="002A5580" w:rsidP="0059793A" w:rsidRDefault="002A5580" w14:paraId="0C58BF45" w14:textId="77777777">
            <w:pPr>
              <w:pStyle w:val="BodyText"/>
              <w:rPr>
                <w:rFonts w:cs="Arial" w:asciiTheme="minorHAnsi" w:hAnsiTheme="minorHAnsi"/>
                <w:sz w:val="20"/>
                <w:lang w:val="en-AU"/>
              </w:rPr>
            </w:pPr>
            <w:r>
              <w:rPr>
                <w:rFonts w:asciiTheme="minorHAnsi" w:hAnsiTheme="minorHAnsi"/>
                <w:sz w:val="20"/>
              </w:rPr>
              <w:t>Oral: FenPaed, Advil, Bugesic, Chemist’s Own, Dimetapp, iProfen, Nurofen</w:t>
            </w:r>
          </w:p>
        </w:tc>
      </w:tr>
      <w:tr w:rsidRPr="0083046D" w:rsidR="002A5580" w:rsidTr="0059793A" w14:paraId="67EA764A" w14:textId="77777777">
        <w:trPr>
          <w:trHeight w:val="70"/>
        </w:trPr>
        <w:tc>
          <w:tcPr>
            <w:tcW w:w="1133" w:type="pct"/>
          </w:tcPr>
          <w:p w:rsidRPr="0083046D" w:rsidR="002A5580" w:rsidP="0059793A" w:rsidRDefault="002A5580" w14:paraId="177C0A59"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Presentation </w:t>
            </w:r>
          </w:p>
        </w:tc>
        <w:tc>
          <w:tcPr>
            <w:tcW w:w="3867" w:type="pct"/>
          </w:tcPr>
          <w:p w:rsidRPr="0083046D" w:rsidR="002A5580" w:rsidP="0059793A" w:rsidRDefault="002A5580" w14:paraId="0CA5C669" w14:textId="77777777">
            <w:pPr>
              <w:pStyle w:val="BodyText"/>
              <w:rPr>
                <w:rFonts w:cs="Arial" w:asciiTheme="minorHAnsi" w:hAnsiTheme="minorHAnsi"/>
                <w:sz w:val="20"/>
                <w:lang w:val="en-AU"/>
              </w:rPr>
            </w:pPr>
            <w:r w:rsidRPr="0083046D">
              <w:rPr>
                <w:rFonts w:cs="Arial" w:asciiTheme="minorHAnsi" w:hAnsiTheme="minorHAnsi"/>
                <w:sz w:val="20"/>
                <w:lang w:val="en-AU"/>
              </w:rPr>
              <w:t>IV:</w:t>
            </w:r>
          </w:p>
          <w:p w:rsidRPr="0083046D" w:rsidR="002A5580" w:rsidP="0059793A" w:rsidRDefault="002A5580" w14:paraId="4EB967F6" w14:textId="77777777">
            <w:pPr>
              <w:pStyle w:val="BodyText"/>
              <w:ind w:left="720"/>
              <w:rPr>
                <w:rFonts w:cs="Arial" w:asciiTheme="minorHAnsi" w:hAnsiTheme="minorHAnsi"/>
                <w:sz w:val="20"/>
                <w:lang w:val="en-AU"/>
              </w:rPr>
            </w:pPr>
            <w:r w:rsidRPr="0083046D">
              <w:rPr>
                <w:rFonts w:cs="Arial" w:asciiTheme="minorHAnsi" w:hAnsiTheme="minorHAnsi"/>
                <w:sz w:val="20"/>
                <w:lang w:val="en-AU"/>
              </w:rPr>
              <w:t>Pedea (ibuprofen sodium) 10 mg in 2 mL vial.</w:t>
            </w:r>
          </w:p>
          <w:p w:rsidRPr="0083046D" w:rsidR="002A5580" w:rsidP="0059793A" w:rsidRDefault="002A5580" w14:paraId="39D61C96" w14:textId="77777777">
            <w:pPr>
              <w:pStyle w:val="BodyText"/>
              <w:ind w:left="720"/>
              <w:rPr>
                <w:rFonts w:cs="Arial" w:asciiTheme="minorHAnsi" w:hAnsiTheme="minorHAnsi"/>
                <w:sz w:val="20"/>
                <w:lang w:val="en-AU"/>
              </w:rPr>
            </w:pPr>
            <w:r w:rsidRPr="0083046D">
              <w:rPr>
                <w:rFonts w:cs="Arial" w:asciiTheme="minorHAnsi" w:hAnsiTheme="minorHAnsi"/>
                <w:sz w:val="20"/>
                <w:lang w:val="en-AU"/>
              </w:rPr>
              <w:t>Neoprofen (ibuprofen lysine) 20 mg in 2 mL vial.</w:t>
            </w:r>
          </w:p>
          <w:p w:rsidRPr="0083046D" w:rsidR="002A5580" w:rsidP="0059793A" w:rsidRDefault="002A5580" w14:paraId="661386A0" w14:textId="77777777">
            <w:pPr>
              <w:pStyle w:val="BodyText"/>
              <w:ind w:left="720"/>
              <w:rPr>
                <w:rFonts w:cs="Arial" w:asciiTheme="minorHAnsi" w:hAnsiTheme="minorHAnsi"/>
                <w:sz w:val="20"/>
                <w:lang w:val="en-AU"/>
              </w:rPr>
            </w:pPr>
            <w:r w:rsidRPr="0083046D">
              <w:rPr>
                <w:rFonts w:cs="Arial" w:asciiTheme="minorHAnsi" w:hAnsiTheme="minorHAnsi"/>
                <w:sz w:val="20"/>
                <w:lang w:val="en-AU"/>
              </w:rPr>
              <w:t>Caldolor (ibuprofen arginine) 800 mg in 8 mL vial.</w:t>
            </w:r>
          </w:p>
          <w:p w:rsidRPr="0083046D" w:rsidR="002A5580" w:rsidP="0059793A" w:rsidRDefault="002A5580" w14:paraId="162083B1" w14:textId="77777777">
            <w:pPr>
              <w:pStyle w:val="BodyText"/>
              <w:rPr>
                <w:rFonts w:cs="Arial" w:asciiTheme="minorHAnsi" w:hAnsiTheme="minorHAnsi"/>
                <w:sz w:val="20"/>
                <w:lang w:val="en-AU"/>
              </w:rPr>
            </w:pPr>
          </w:p>
          <w:p w:rsidRPr="00CE2396" w:rsidR="002A5580" w:rsidP="0059793A" w:rsidRDefault="002A5580" w14:paraId="7868CF6D" w14:textId="77777777">
            <w:pPr>
              <w:pStyle w:val="BodyText"/>
              <w:rPr>
                <w:rFonts w:cs="Arial" w:asciiTheme="minorHAnsi" w:hAnsiTheme="minorHAnsi"/>
                <w:sz w:val="20"/>
                <w:lang w:val="en-AU"/>
              </w:rPr>
            </w:pPr>
            <w:r w:rsidRPr="0083046D">
              <w:rPr>
                <w:rFonts w:cs="Arial" w:asciiTheme="minorHAnsi" w:hAnsiTheme="minorHAnsi"/>
                <w:sz w:val="20"/>
              </w:rPr>
              <w:t>Oral: 100 mg/5 mL</w:t>
            </w:r>
            <w:r>
              <w:rPr>
                <w:rFonts w:cs="Arial" w:asciiTheme="minorHAnsi" w:hAnsiTheme="minorHAnsi"/>
                <w:sz w:val="20"/>
                <w:lang w:val="en-AU"/>
              </w:rPr>
              <w:t xml:space="preserve"> suspension</w:t>
            </w:r>
          </w:p>
        </w:tc>
      </w:tr>
      <w:tr w:rsidRPr="0083046D" w:rsidR="002A5580" w:rsidTr="0059793A" w14:paraId="60CC96DB" w14:textId="77777777">
        <w:trPr>
          <w:trHeight w:val="70"/>
        </w:trPr>
        <w:tc>
          <w:tcPr>
            <w:tcW w:w="1133" w:type="pct"/>
          </w:tcPr>
          <w:p w:rsidRPr="0083046D" w:rsidR="002A5580" w:rsidP="0059793A" w:rsidRDefault="002A5580" w14:paraId="28C8F217"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Dose                          </w:t>
            </w:r>
          </w:p>
        </w:tc>
        <w:tc>
          <w:tcPr>
            <w:tcW w:w="3867" w:type="pct"/>
          </w:tcPr>
          <w:p w:rsidR="002A5580" w:rsidP="0059793A" w:rsidRDefault="002A5580" w14:paraId="3FFC23D6" w14:textId="77777777">
            <w:pPr>
              <w:pStyle w:val="BodyText"/>
              <w:rPr>
                <w:rFonts w:asciiTheme="minorHAnsi" w:hAnsiTheme="minorHAnsi"/>
                <w:b/>
                <w:sz w:val="20"/>
                <w:lang w:val="en-AU"/>
              </w:rPr>
            </w:pPr>
            <w:r w:rsidRPr="0083046D">
              <w:rPr>
                <w:rFonts w:asciiTheme="minorHAnsi" w:hAnsiTheme="minorHAnsi"/>
                <w:b/>
                <w:sz w:val="20"/>
                <w:lang w:val="en-AU"/>
              </w:rPr>
              <w:t>IV/ORAL</w:t>
            </w:r>
          </w:p>
          <w:p w:rsidRPr="0083046D" w:rsidR="002A5580" w:rsidP="0059793A" w:rsidRDefault="002A5580" w14:paraId="46F7AD85" w14:textId="77777777">
            <w:pPr>
              <w:pStyle w:val="BodyText"/>
              <w:rPr>
                <w:rFonts w:asciiTheme="minorHAnsi" w:hAnsiTheme="minorHAnsi"/>
                <w:b/>
                <w:sz w:val="20"/>
                <w:lang w:val="en-AU"/>
              </w:rPr>
            </w:pPr>
            <w:r w:rsidRPr="00BF514D">
              <w:rPr>
                <w:rFonts w:asciiTheme="minorHAnsi" w:hAnsiTheme="minorHAnsi"/>
                <w:b/>
                <w:sz w:val="20"/>
                <w:lang w:val="en-AU"/>
              </w:rPr>
              <w:t>Single daily dose as follows: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81"/>
              <w:gridCol w:w="1499"/>
              <w:gridCol w:w="1690"/>
              <w:gridCol w:w="1777"/>
            </w:tblGrid>
            <w:tr w:rsidRPr="0083046D" w:rsidR="002A5580" w:rsidTr="0059793A" w14:paraId="0CA0CD08" w14:textId="77777777">
              <w:tc>
                <w:tcPr>
                  <w:tcW w:w="2439"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26C8ACEC" w14:textId="77777777">
                  <w:pPr>
                    <w:pStyle w:val="BodyText"/>
                    <w:rPr>
                      <w:rFonts w:asciiTheme="minorHAnsi" w:hAnsiTheme="minorHAnsi"/>
                      <w:sz w:val="20"/>
                      <w:lang w:val="en-AU"/>
                    </w:rPr>
                  </w:pPr>
                  <w:r w:rsidRPr="0083046D">
                    <w:rPr>
                      <w:rFonts w:asciiTheme="minorHAnsi" w:hAnsiTheme="minorHAnsi"/>
                      <w:sz w:val="20"/>
                      <w:lang w:val="en-AU"/>
                    </w:rPr>
                    <w:t xml:space="preserve">Post-natal Age </w:t>
                  </w:r>
                </w:p>
              </w:tc>
              <w:tc>
                <w:tcPr>
                  <w:tcW w:w="1701"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7B9E98E5" w14:textId="77777777">
                  <w:pPr>
                    <w:pStyle w:val="BodyText"/>
                    <w:rPr>
                      <w:rFonts w:asciiTheme="minorHAnsi" w:hAnsiTheme="minorHAnsi"/>
                      <w:sz w:val="20"/>
                      <w:lang w:val="en-AU"/>
                    </w:rPr>
                  </w:pPr>
                  <w:r w:rsidRPr="0083046D">
                    <w:rPr>
                      <w:rFonts w:asciiTheme="minorHAnsi" w:hAnsiTheme="minorHAnsi"/>
                      <w:sz w:val="20"/>
                      <w:lang w:val="en-AU"/>
                    </w:rPr>
                    <w:t>Day 1</w:t>
                  </w:r>
                </w:p>
              </w:tc>
              <w:tc>
                <w:tcPr>
                  <w:tcW w:w="1853"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0E5C8E1E" w14:textId="77777777">
                  <w:pPr>
                    <w:pStyle w:val="BodyText"/>
                    <w:rPr>
                      <w:rFonts w:asciiTheme="minorHAnsi" w:hAnsiTheme="minorHAnsi"/>
                      <w:sz w:val="20"/>
                      <w:lang w:val="en-AU"/>
                    </w:rPr>
                  </w:pPr>
                  <w:r w:rsidRPr="0083046D">
                    <w:rPr>
                      <w:rFonts w:asciiTheme="minorHAnsi" w:hAnsiTheme="minorHAnsi"/>
                      <w:sz w:val="20"/>
                      <w:lang w:val="en-AU"/>
                    </w:rPr>
                    <w:t>Day 2</w:t>
                  </w:r>
                </w:p>
              </w:tc>
              <w:tc>
                <w:tcPr>
                  <w:tcW w:w="1998"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0FC4D15E" w14:textId="77777777">
                  <w:pPr>
                    <w:pStyle w:val="BodyText"/>
                    <w:rPr>
                      <w:rFonts w:asciiTheme="minorHAnsi" w:hAnsiTheme="minorHAnsi"/>
                      <w:sz w:val="20"/>
                      <w:lang w:val="en-AU"/>
                    </w:rPr>
                  </w:pPr>
                  <w:r w:rsidRPr="0083046D">
                    <w:rPr>
                      <w:rFonts w:asciiTheme="minorHAnsi" w:hAnsiTheme="minorHAnsi"/>
                      <w:sz w:val="20"/>
                      <w:lang w:val="en-AU"/>
                    </w:rPr>
                    <w:t>Day 3</w:t>
                  </w:r>
                </w:p>
              </w:tc>
            </w:tr>
            <w:tr w:rsidRPr="0083046D" w:rsidR="002A5580" w:rsidTr="0059793A" w14:paraId="6472AC27" w14:textId="77777777">
              <w:tc>
                <w:tcPr>
                  <w:tcW w:w="2439"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0FE66322" w14:textId="77777777">
                  <w:pPr>
                    <w:pStyle w:val="BodyText"/>
                    <w:rPr>
                      <w:rFonts w:asciiTheme="minorHAnsi" w:hAnsiTheme="minorHAnsi"/>
                      <w:sz w:val="20"/>
                      <w:lang w:val="en-AU"/>
                    </w:rPr>
                  </w:pPr>
                  <w:r w:rsidRPr="0083046D">
                    <w:rPr>
                      <w:rFonts w:asciiTheme="minorHAnsi" w:hAnsiTheme="minorHAnsi"/>
                      <w:sz w:val="20"/>
                      <w:lang w:val="en-AU"/>
                    </w:rPr>
                    <w:t>&lt; 72 hours</w:t>
                  </w:r>
                </w:p>
              </w:tc>
              <w:tc>
                <w:tcPr>
                  <w:tcW w:w="1701"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1475BDCF" w14:textId="77777777">
                  <w:pPr>
                    <w:pStyle w:val="BodyText"/>
                    <w:rPr>
                      <w:rFonts w:asciiTheme="minorHAnsi" w:hAnsiTheme="minorHAnsi"/>
                      <w:sz w:val="20"/>
                      <w:lang w:val="en-AU"/>
                    </w:rPr>
                  </w:pPr>
                  <w:r w:rsidRPr="0083046D">
                    <w:rPr>
                      <w:rFonts w:asciiTheme="minorHAnsi" w:hAnsiTheme="minorHAnsi"/>
                      <w:sz w:val="20"/>
                      <w:lang w:val="en-AU"/>
                    </w:rPr>
                    <w:t>10 mg/kg/dose</w:t>
                  </w:r>
                </w:p>
              </w:tc>
              <w:tc>
                <w:tcPr>
                  <w:tcW w:w="1853"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03FF795B" w14:textId="77777777">
                  <w:pPr>
                    <w:pStyle w:val="BodyText"/>
                    <w:rPr>
                      <w:rFonts w:asciiTheme="minorHAnsi" w:hAnsiTheme="minorHAnsi"/>
                      <w:sz w:val="20"/>
                      <w:lang w:val="en-AU"/>
                    </w:rPr>
                  </w:pPr>
                  <w:r w:rsidRPr="0083046D">
                    <w:rPr>
                      <w:rFonts w:asciiTheme="minorHAnsi" w:hAnsiTheme="minorHAnsi"/>
                      <w:sz w:val="20"/>
                      <w:lang w:val="en-AU"/>
                    </w:rPr>
                    <w:t>5 mg/kg/dose</w:t>
                  </w:r>
                </w:p>
              </w:tc>
              <w:tc>
                <w:tcPr>
                  <w:tcW w:w="1998"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7ADF52A6" w14:textId="77777777">
                  <w:pPr>
                    <w:pStyle w:val="BodyText"/>
                    <w:rPr>
                      <w:rFonts w:asciiTheme="minorHAnsi" w:hAnsiTheme="minorHAnsi"/>
                      <w:sz w:val="20"/>
                      <w:lang w:val="en-AU"/>
                    </w:rPr>
                  </w:pPr>
                  <w:r w:rsidRPr="0083046D">
                    <w:rPr>
                      <w:rFonts w:asciiTheme="minorHAnsi" w:hAnsiTheme="minorHAnsi"/>
                      <w:sz w:val="20"/>
                      <w:lang w:val="en-AU"/>
                    </w:rPr>
                    <w:t>5 mg/kg/dose</w:t>
                  </w:r>
                </w:p>
              </w:tc>
            </w:tr>
            <w:tr w:rsidRPr="0083046D" w:rsidR="002A5580" w:rsidTr="0059793A" w14:paraId="3681DEAB" w14:textId="77777777">
              <w:tc>
                <w:tcPr>
                  <w:tcW w:w="2439"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1E434C21" w14:textId="77777777">
                  <w:pPr>
                    <w:pStyle w:val="BodyText"/>
                    <w:rPr>
                      <w:rFonts w:asciiTheme="minorHAnsi" w:hAnsiTheme="minorHAnsi"/>
                      <w:sz w:val="20"/>
                      <w:lang w:val="en-AU"/>
                    </w:rPr>
                  </w:pPr>
                  <w:r>
                    <w:rPr>
                      <w:rFonts w:asciiTheme="minorHAnsi" w:hAnsiTheme="minorHAnsi"/>
                      <w:sz w:val="20"/>
                      <w:lang w:val="en-AU"/>
                    </w:rPr>
                    <w:t>≥ 72 hours (h</w:t>
                  </w:r>
                  <w:r w:rsidRPr="0083046D">
                    <w:rPr>
                      <w:rFonts w:asciiTheme="minorHAnsi" w:hAnsiTheme="minorHAnsi"/>
                      <w:sz w:val="20"/>
                      <w:lang w:val="en-AU"/>
                    </w:rPr>
                    <w:t>igher dose)</w:t>
                  </w:r>
                </w:p>
              </w:tc>
              <w:tc>
                <w:tcPr>
                  <w:tcW w:w="1701"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16CC606A" w14:textId="77777777">
                  <w:pPr>
                    <w:pStyle w:val="BodyText"/>
                    <w:rPr>
                      <w:rFonts w:asciiTheme="minorHAnsi" w:hAnsiTheme="minorHAnsi"/>
                      <w:sz w:val="20"/>
                      <w:lang w:val="en-AU"/>
                    </w:rPr>
                  </w:pPr>
                  <w:r w:rsidRPr="0083046D">
                    <w:rPr>
                      <w:rFonts w:asciiTheme="minorHAnsi" w:hAnsiTheme="minorHAnsi"/>
                      <w:sz w:val="20"/>
                      <w:lang w:val="en-AU"/>
                    </w:rPr>
                    <w:t>20 mg/kg/dose</w:t>
                  </w:r>
                </w:p>
              </w:tc>
              <w:tc>
                <w:tcPr>
                  <w:tcW w:w="1853"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399B6E7E" w14:textId="77777777">
                  <w:pPr>
                    <w:pStyle w:val="BodyText"/>
                    <w:rPr>
                      <w:rFonts w:asciiTheme="minorHAnsi" w:hAnsiTheme="minorHAnsi"/>
                      <w:sz w:val="20"/>
                      <w:lang w:val="en-AU"/>
                    </w:rPr>
                  </w:pPr>
                  <w:r w:rsidRPr="0083046D">
                    <w:rPr>
                      <w:rFonts w:asciiTheme="minorHAnsi" w:hAnsiTheme="minorHAnsi"/>
                      <w:sz w:val="20"/>
                      <w:lang w:val="en-AU"/>
                    </w:rPr>
                    <w:t>10 mg/kg/dose</w:t>
                  </w:r>
                </w:p>
              </w:tc>
              <w:tc>
                <w:tcPr>
                  <w:tcW w:w="1998"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1AEAA327" w14:textId="77777777">
                  <w:pPr>
                    <w:pStyle w:val="BodyText"/>
                    <w:rPr>
                      <w:rFonts w:asciiTheme="minorHAnsi" w:hAnsiTheme="minorHAnsi"/>
                      <w:sz w:val="20"/>
                      <w:lang w:val="en-AU"/>
                    </w:rPr>
                  </w:pPr>
                  <w:r w:rsidRPr="0083046D">
                    <w:rPr>
                      <w:rFonts w:asciiTheme="minorHAnsi" w:hAnsiTheme="minorHAnsi"/>
                      <w:sz w:val="20"/>
                      <w:lang w:val="en-AU"/>
                    </w:rPr>
                    <w:t>10 mg/kg/dose</w:t>
                  </w:r>
                </w:p>
              </w:tc>
            </w:tr>
            <w:tr w:rsidRPr="0083046D" w:rsidR="002A5580" w:rsidTr="0059793A" w14:paraId="14FFD283" w14:textId="77777777">
              <w:tc>
                <w:tcPr>
                  <w:tcW w:w="2439"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2F48153F" w14:textId="77777777">
                  <w:pPr>
                    <w:pStyle w:val="BodyText"/>
                    <w:rPr>
                      <w:rFonts w:asciiTheme="minorHAnsi" w:hAnsiTheme="minorHAnsi"/>
                      <w:sz w:val="20"/>
                      <w:lang w:val="en-AU"/>
                    </w:rPr>
                  </w:pPr>
                  <w:r w:rsidRPr="0083046D">
                    <w:rPr>
                      <w:rFonts w:asciiTheme="minorHAnsi" w:hAnsiTheme="minorHAnsi"/>
                      <w:sz w:val="20"/>
                      <w:lang w:val="en-AU"/>
                    </w:rPr>
                    <w:t>≥ 72 hours (lower dose)</w:t>
                  </w:r>
                </w:p>
              </w:tc>
              <w:tc>
                <w:tcPr>
                  <w:tcW w:w="1701"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7B63E488" w14:textId="77777777">
                  <w:pPr>
                    <w:pStyle w:val="BodyText"/>
                    <w:rPr>
                      <w:rFonts w:asciiTheme="minorHAnsi" w:hAnsiTheme="minorHAnsi"/>
                      <w:sz w:val="20"/>
                      <w:lang w:val="en-AU"/>
                    </w:rPr>
                  </w:pPr>
                  <w:r w:rsidRPr="0083046D">
                    <w:rPr>
                      <w:rFonts w:asciiTheme="minorHAnsi" w:hAnsiTheme="minorHAnsi"/>
                      <w:sz w:val="20"/>
                      <w:lang w:val="en-AU"/>
                    </w:rPr>
                    <w:t>10 mg/kg/dose</w:t>
                  </w:r>
                </w:p>
              </w:tc>
              <w:tc>
                <w:tcPr>
                  <w:tcW w:w="1853"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42431CA8" w14:textId="77777777">
                  <w:pPr>
                    <w:pStyle w:val="BodyText"/>
                    <w:rPr>
                      <w:rFonts w:asciiTheme="minorHAnsi" w:hAnsiTheme="minorHAnsi"/>
                      <w:sz w:val="20"/>
                      <w:lang w:val="en-AU"/>
                    </w:rPr>
                  </w:pPr>
                  <w:r w:rsidRPr="0083046D">
                    <w:rPr>
                      <w:rFonts w:asciiTheme="minorHAnsi" w:hAnsiTheme="minorHAnsi"/>
                      <w:sz w:val="20"/>
                      <w:lang w:val="en-AU"/>
                    </w:rPr>
                    <w:t>5 mg/kg/dose</w:t>
                  </w:r>
                </w:p>
              </w:tc>
              <w:tc>
                <w:tcPr>
                  <w:tcW w:w="1998" w:type="dxa"/>
                  <w:tcBorders>
                    <w:top w:val="single" w:color="auto" w:sz="4" w:space="0"/>
                    <w:left w:val="single" w:color="auto" w:sz="4" w:space="0"/>
                    <w:bottom w:val="single" w:color="auto" w:sz="4" w:space="0"/>
                    <w:right w:val="single" w:color="auto" w:sz="4" w:space="0"/>
                  </w:tcBorders>
                  <w:hideMark/>
                </w:tcPr>
                <w:p w:rsidRPr="0083046D" w:rsidR="002A5580" w:rsidP="0059793A" w:rsidRDefault="002A5580" w14:paraId="23AF3E90" w14:textId="77777777">
                  <w:pPr>
                    <w:pStyle w:val="BodyText"/>
                    <w:rPr>
                      <w:rFonts w:asciiTheme="minorHAnsi" w:hAnsiTheme="minorHAnsi"/>
                      <w:sz w:val="20"/>
                      <w:lang w:val="en-AU"/>
                    </w:rPr>
                  </w:pPr>
                  <w:r w:rsidRPr="0083046D">
                    <w:rPr>
                      <w:rFonts w:asciiTheme="minorHAnsi" w:hAnsiTheme="minorHAnsi"/>
                      <w:sz w:val="20"/>
                      <w:lang w:val="en-AU"/>
                    </w:rPr>
                    <w:t>5 mg/kg/dose</w:t>
                  </w:r>
                </w:p>
              </w:tc>
            </w:tr>
          </w:tbl>
          <w:p w:rsidRPr="0083046D" w:rsidR="002A5580" w:rsidP="0059793A" w:rsidRDefault="002A5580" w14:paraId="353BA7E8" w14:textId="77777777">
            <w:pPr>
              <w:pStyle w:val="BodyText"/>
              <w:rPr>
                <w:rFonts w:asciiTheme="minorHAnsi" w:hAnsiTheme="minorHAnsi"/>
                <w:sz w:val="20"/>
                <w:lang w:val="en-AU"/>
              </w:rPr>
            </w:pPr>
          </w:p>
          <w:p w:rsidR="002A5580" w:rsidP="0059793A" w:rsidRDefault="002A5580" w14:paraId="4CA55196" w14:textId="77777777">
            <w:pPr>
              <w:pStyle w:val="BodyText"/>
              <w:rPr>
                <w:rFonts w:asciiTheme="minorHAnsi" w:hAnsiTheme="minorHAnsi"/>
                <w:sz w:val="20"/>
                <w:lang w:val="en-AU"/>
              </w:rPr>
            </w:pPr>
            <w:r>
              <w:rPr>
                <w:rFonts w:asciiTheme="minorHAnsi" w:hAnsiTheme="minorHAnsi"/>
                <w:sz w:val="20"/>
                <w:lang w:val="en-AU"/>
              </w:rPr>
              <w:t xml:space="preserve">A full course of ibuprofen may not be necessary if ductal constriction or closure is demonstrated [1,2]. </w:t>
            </w:r>
          </w:p>
          <w:p w:rsidRPr="0083046D" w:rsidR="002A5580" w:rsidP="0059793A" w:rsidRDefault="002A5580" w14:paraId="7D37CD51" w14:textId="77777777">
            <w:pPr>
              <w:pStyle w:val="BodyText"/>
              <w:rPr>
                <w:rFonts w:asciiTheme="minorHAnsi" w:hAnsiTheme="minorHAnsi"/>
                <w:sz w:val="20"/>
                <w:lang w:val="en-AU"/>
              </w:rPr>
            </w:pPr>
            <w:r>
              <w:rPr>
                <w:rFonts w:asciiTheme="minorHAnsi" w:hAnsiTheme="minorHAnsi"/>
                <w:sz w:val="20"/>
                <w:lang w:val="en-AU"/>
              </w:rPr>
              <w:t>A repeat course of treatment may be considered depending on continuing haemodynamic significance of the ductus arteriosus and relative contraindications to treatment [3]. Data are insufficient to determine the efficacy of a 3</w:t>
            </w:r>
            <w:r w:rsidRPr="00BE2A17">
              <w:rPr>
                <w:rFonts w:asciiTheme="minorHAnsi" w:hAnsiTheme="minorHAnsi"/>
                <w:sz w:val="20"/>
                <w:vertAlign w:val="superscript"/>
                <w:lang w:val="en-AU"/>
              </w:rPr>
              <w:t>rd</w:t>
            </w:r>
            <w:r>
              <w:rPr>
                <w:rFonts w:asciiTheme="minorHAnsi" w:hAnsiTheme="minorHAnsi"/>
                <w:sz w:val="20"/>
                <w:lang w:val="en-AU"/>
              </w:rPr>
              <w:t xml:space="preserve"> course [4].</w:t>
            </w:r>
          </w:p>
        </w:tc>
      </w:tr>
      <w:tr w:rsidRPr="0083046D" w:rsidR="002A5580" w:rsidTr="0059793A" w14:paraId="07440301" w14:textId="77777777">
        <w:trPr>
          <w:trHeight w:val="407"/>
        </w:trPr>
        <w:tc>
          <w:tcPr>
            <w:tcW w:w="1133" w:type="pct"/>
          </w:tcPr>
          <w:p w:rsidRPr="0083046D" w:rsidR="002A5580" w:rsidP="0059793A" w:rsidRDefault="002A5580" w14:paraId="23C44845" w14:textId="77777777">
            <w:pPr>
              <w:pStyle w:val="BodyText"/>
              <w:rPr>
                <w:rFonts w:asciiTheme="minorHAnsi" w:hAnsiTheme="minorHAnsi"/>
                <w:b/>
                <w:sz w:val="20"/>
                <w:lang w:val="en-AU"/>
              </w:rPr>
            </w:pPr>
            <w:r w:rsidRPr="0083046D">
              <w:rPr>
                <w:rFonts w:asciiTheme="minorHAnsi" w:hAnsiTheme="minorHAnsi"/>
                <w:b/>
                <w:sz w:val="20"/>
                <w:lang w:val="en-AU"/>
              </w:rPr>
              <w:t>Dose adjustment</w:t>
            </w:r>
          </w:p>
          <w:p w:rsidRPr="0083046D" w:rsidR="002A5580" w:rsidP="0059793A" w:rsidRDefault="002A5580" w14:paraId="3C154A72" w14:textId="77777777">
            <w:pPr>
              <w:pStyle w:val="BodyText"/>
              <w:rPr>
                <w:rFonts w:asciiTheme="minorHAnsi" w:hAnsiTheme="minorHAnsi"/>
                <w:sz w:val="20"/>
                <w:lang w:val="en-AU"/>
              </w:rPr>
            </w:pPr>
            <w:r w:rsidRPr="0083046D">
              <w:rPr>
                <w:rFonts w:asciiTheme="minorHAnsi" w:hAnsiTheme="minorHAnsi"/>
                <w:sz w:val="20"/>
                <w:lang w:val="en-AU"/>
              </w:rPr>
              <w:t>Therapeutic hypothermia</w:t>
            </w:r>
          </w:p>
          <w:p w:rsidRPr="0083046D" w:rsidR="002A5580" w:rsidP="0059793A" w:rsidRDefault="002A5580" w14:paraId="17D5C6EA" w14:textId="77777777">
            <w:pPr>
              <w:pStyle w:val="BodyText"/>
              <w:rPr>
                <w:rFonts w:asciiTheme="minorHAnsi" w:hAnsiTheme="minorHAnsi"/>
                <w:sz w:val="20"/>
                <w:lang w:val="en-AU"/>
              </w:rPr>
            </w:pPr>
            <w:r w:rsidRPr="0083046D">
              <w:rPr>
                <w:rFonts w:asciiTheme="minorHAnsi" w:hAnsiTheme="minorHAnsi"/>
                <w:sz w:val="20"/>
                <w:lang w:val="en-AU"/>
              </w:rPr>
              <w:t>ECMO</w:t>
            </w:r>
          </w:p>
          <w:p w:rsidRPr="0083046D" w:rsidR="002A5580" w:rsidP="0059793A" w:rsidRDefault="002A5580" w14:paraId="7F3CCE21" w14:textId="77777777">
            <w:pPr>
              <w:pStyle w:val="BodyText"/>
              <w:rPr>
                <w:rFonts w:asciiTheme="minorHAnsi" w:hAnsiTheme="minorHAnsi"/>
                <w:sz w:val="20"/>
                <w:lang w:val="en-AU"/>
              </w:rPr>
            </w:pPr>
            <w:r w:rsidRPr="0083046D">
              <w:rPr>
                <w:rFonts w:asciiTheme="minorHAnsi" w:hAnsiTheme="minorHAnsi"/>
                <w:sz w:val="20"/>
                <w:lang w:val="en-AU"/>
              </w:rPr>
              <w:t>Renal</w:t>
            </w:r>
            <w:r>
              <w:rPr>
                <w:rFonts w:asciiTheme="minorHAnsi" w:hAnsiTheme="minorHAnsi"/>
                <w:sz w:val="20"/>
                <w:lang w:val="en-AU"/>
              </w:rPr>
              <w:t xml:space="preserve"> impairment</w:t>
            </w:r>
          </w:p>
          <w:p w:rsidRPr="0083046D" w:rsidR="002A5580" w:rsidP="0059793A" w:rsidRDefault="002A5580" w14:paraId="5ABCC0FF" w14:textId="77777777">
            <w:pPr>
              <w:pStyle w:val="BodyText"/>
              <w:rPr>
                <w:rFonts w:asciiTheme="minorHAnsi" w:hAnsiTheme="minorHAnsi"/>
                <w:b/>
                <w:sz w:val="20"/>
                <w:lang w:val="en-AU"/>
              </w:rPr>
            </w:pPr>
            <w:r w:rsidRPr="0083046D">
              <w:rPr>
                <w:rFonts w:asciiTheme="minorHAnsi" w:hAnsiTheme="minorHAnsi"/>
                <w:sz w:val="20"/>
                <w:lang w:val="en-AU"/>
              </w:rPr>
              <w:t>Hepatic</w:t>
            </w:r>
            <w:r>
              <w:rPr>
                <w:rFonts w:asciiTheme="minorHAnsi" w:hAnsiTheme="minorHAnsi"/>
                <w:sz w:val="20"/>
                <w:lang w:val="en-AU"/>
              </w:rPr>
              <w:t xml:space="preserve"> impairment</w:t>
            </w:r>
          </w:p>
        </w:tc>
        <w:tc>
          <w:tcPr>
            <w:tcW w:w="3867" w:type="pct"/>
          </w:tcPr>
          <w:p w:rsidR="002A5580" w:rsidP="0059793A" w:rsidRDefault="002A5580" w14:paraId="1644DDF7" w14:textId="77777777">
            <w:pPr>
              <w:pStyle w:val="BodyText"/>
              <w:rPr>
                <w:rFonts w:asciiTheme="minorHAnsi" w:hAnsiTheme="minorHAnsi"/>
                <w:sz w:val="20"/>
                <w:lang w:val="en-AU"/>
              </w:rPr>
            </w:pPr>
          </w:p>
          <w:p w:rsidR="002A5580" w:rsidP="0059793A" w:rsidRDefault="002A5580" w14:paraId="6B0412B6" w14:textId="77777777">
            <w:pPr>
              <w:pStyle w:val="BodyText"/>
              <w:rPr>
                <w:rFonts w:asciiTheme="minorHAnsi" w:hAnsiTheme="minorHAnsi"/>
                <w:sz w:val="20"/>
                <w:lang w:val="en-AU"/>
              </w:rPr>
            </w:pPr>
            <w:r>
              <w:rPr>
                <w:rFonts w:asciiTheme="minorHAnsi" w:hAnsiTheme="minorHAnsi"/>
                <w:sz w:val="20"/>
                <w:lang w:val="en-AU"/>
              </w:rPr>
              <w:t>Not applicable</w:t>
            </w:r>
          </w:p>
          <w:p w:rsidR="002A5580" w:rsidP="0059793A" w:rsidRDefault="002A5580" w14:paraId="164EC2FC" w14:textId="77777777">
            <w:pPr>
              <w:pStyle w:val="BodyText"/>
              <w:rPr>
                <w:rFonts w:asciiTheme="minorHAnsi" w:hAnsiTheme="minorHAnsi"/>
                <w:sz w:val="20"/>
                <w:lang w:val="en-AU"/>
              </w:rPr>
            </w:pPr>
            <w:r>
              <w:rPr>
                <w:rFonts w:asciiTheme="minorHAnsi" w:hAnsiTheme="minorHAnsi"/>
                <w:sz w:val="20"/>
                <w:lang w:val="en-AU"/>
              </w:rPr>
              <w:t>Not applicable</w:t>
            </w:r>
          </w:p>
          <w:p w:rsidR="002A5580" w:rsidP="0059793A" w:rsidRDefault="002A5580" w14:paraId="669B028E" w14:textId="77777777">
            <w:pPr>
              <w:pStyle w:val="BodyText"/>
              <w:rPr>
                <w:rFonts w:asciiTheme="minorHAnsi" w:hAnsiTheme="minorHAnsi"/>
                <w:sz w:val="20"/>
                <w:lang w:val="en-AU"/>
              </w:rPr>
            </w:pPr>
            <w:r>
              <w:rPr>
                <w:rFonts w:asciiTheme="minorHAnsi" w:hAnsiTheme="minorHAnsi"/>
                <w:sz w:val="20"/>
                <w:lang w:val="en-AU"/>
              </w:rPr>
              <w:t>Current evidence is insufficient to suggest any specific dose adjustment.</w:t>
            </w:r>
          </w:p>
          <w:p w:rsidRPr="0083046D" w:rsidR="002A5580" w:rsidP="0059793A" w:rsidRDefault="002A5580" w14:paraId="63BDE696" w14:textId="77777777">
            <w:pPr>
              <w:pStyle w:val="BodyText"/>
              <w:rPr>
                <w:rFonts w:asciiTheme="minorHAnsi" w:hAnsiTheme="minorHAnsi"/>
                <w:sz w:val="20"/>
                <w:lang w:val="en-AU"/>
              </w:rPr>
            </w:pPr>
            <w:r>
              <w:rPr>
                <w:rFonts w:asciiTheme="minorHAnsi" w:hAnsiTheme="minorHAnsi"/>
                <w:sz w:val="20"/>
              </w:rPr>
              <w:t>Not applicable</w:t>
            </w:r>
          </w:p>
        </w:tc>
      </w:tr>
      <w:tr w:rsidRPr="0083046D" w:rsidR="002A5580" w:rsidTr="0059793A" w14:paraId="295AA7AB" w14:textId="77777777">
        <w:trPr>
          <w:trHeight w:val="113"/>
        </w:trPr>
        <w:tc>
          <w:tcPr>
            <w:tcW w:w="1133" w:type="pct"/>
          </w:tcPr>
          <w:p w:rsidRPr="0083046D" w:rsidR="002A5580" w:rsidP="0059793A" w:rsidRDefault="002A5580" w14:paraId="5733F02A" w14:textId="77777777">
            <w:pPr>
              <w:pStyle w:val="BodyText"/>
              <w:rPr>
                <w:rFonts w:asciiTheme="minorHAnsi" w:hAnsiTheme="minorHAnsi"/>
                <w:b/>
                <w:sz w:val="20"/>
                <w:lang w:val="en-AU"/>
              </w:rPr>
            </w:pPr>
            <w:r w:rsidRPr="0083046D">
              <w:rPr>
                <w:rFonts w:asciiTheme="minorHAnsi" w:hAnsiTheme="minorHAnsi"/>
                <w:b/>
                <w:sz w:val="20"/>
                <w:lang w:val="en-AU"/>
              </w:rPr>
              <w:t>Maximum dose</w:t>
            </w:r>
          </w:p>
        </w:tc>
        <w:tc>
          <w:tcPr>
            <w:tcW w:w="3867" w:type="pct"/>
          </w:tcPr>
          <w:p w:rsidRPr="0083046D" w:rsidR="002A5580" w:rsidP="0059793A" w:rsidRDefault="002A5580" w14:paraId="7E915AF0" w14:textId="77777777">
            <w:pPr>
              <w:pStyle w:val="BodyText"/>
              <w:rPr>
                <w:rFonts w:asciiTheme="minorHAnsi" w:hAnsiTheme="minorHAnsi"/>
                <w:sz w:val="20"/>
                <w:lang w:val="en-AU"/>
              </w:rPr>
            </w:pPr>
            <w:r w:rsidRPr="0083046D">
              <w:rPr>
                <w:rFonts w:asciiTheme="minorHAnsi" w:hAnsiTheme="minorHAnsi"/>
                <w:sz w:val="20"/>
              </w:rPr>
              <w:t>20 mg/kg</w:t>
            </w:r>
          </w:p>
        </w:tc>
      </w:tr>
      <w:tr w:rsidRPr="0083046D" w:rsidR="002A5580" w:rsidTr="0059793A" w14:paraId="7AD975E3" w14:textId="77777777">
        <w:trPr>
          <w:trHeight w:val="144"/>
        </w:trPr>
        <w:tc>
          <w:tcPr>
            <w:tcW w:w="1133" w:type="pct"/>
          </w:tcPr>
          <w:p w:rsidRPr="0083046D" w:rsidR="002A5580" w:rsidP="0059793A" w:rsidRDefault="002A5580" w14:paraId="15DF15FA" w14:textId="77777777">
            <w:pPr>
              <w:pStyle w:val="BodyText"/>
              <w:rPr>
                <w:rFonts w:cs="Arial" w:asciiTheme="minorHAnsi" w:hAnsiTheme="minorHAnsi"/>
                <w:b/>
                <w:bCs/>
                <w:sz w:val="20"/>
                <w:lang w:val="en-AU"/>
              </w:rPr>
            </w:pPr>
            <w:r w:rsidRPr="0083046D">
              <w:rPr>
                <w:rFonts w:asciiTheme="minorHAnsi" w:hAnsiTheme="minorHAnsi"/>
                <w:b/>
                <w:sz w:val="20"/>
                <w:lang w:val="en-AU"/>
              </w:rPr>
              <w:t>Total cumulative dose</w:t>
            </w:r>
          </w:p>
        </w:tc>
        <w:tc>
          <w:tcPr>
            <w:tcW w:w="3867" w:type="pct"/>
          </w:tcPr>
          <w:p w:rsidRPr="0083046D" w:rsidR="002A5580" w:rsidP="0059793A" w:rsidRDefault="002A5580" w14:paraId="2A5ADCE8" w14:textId="77777777">
            <w:pPr>
              <w:pStyle w:val="BodyText"/>
              <w:rPr>
                <w:rFonts w:cs="Arial" w:asciiTheme="minorHAnsi" w:hAnsiTheme="minorHAnsi"/>
                <w:b/>
                <w:sz w:val="20"/>
                <w:lang w:val="en-AU"/>
              </w:rPr>
            </w:pPr>
            <w:r w:rsidRPr="0083046D">
              <w:rPr>
                <w:rFonts w:asciiTheme="minorHAnsi" w:hAnsiTheme="minorHAnsi"/>
                <w:sz w:val="20"/>
              </w:rPr>
              <w:t>20−40 mg/kg</w:t>
            </w:r>
          </w:p>
        </w:tc>
      </w:tr>
      <w:tr w:rsidRPr="0083046D" w:rsidR="002A5580" w:rsidTr="0059793A" w14:paraId="01658F76" w14:textId="77777777">
        <w:trPr>
          <w:trHeight w:val="294"/>
        </w:trPr>
        <w:tc>
          <w:tcPr>
            <w:tcW w:w="1133" w:type="pct"/>
          </w:tcPr>
          <w:p w:rsidRPr="0083046D" w:rsidR="002A5580" w:rsidP="0059793A" w:rsidRDefault="002A5580" w14:paraId="038C7BDB" w14:textId="77777777">
            <w:pPr>
              <w:pStyle w:val="BodyText"/>
              <w:rPr>
                <w:rFonts w:cs="Arial" w:asciiTheme="minorHAnsi" w:hAnsiTheme="minorHAnsi"/>
                <w:sz w:val="20"/>
                <w:lang w:val="en-AU"/>
              </w:rPr>
            </w:pPr>
            <w:r w:rsidRPr="0083046D">
              <w:rPr>
                <w:rFonts w:cs="Arial" w:asciiTheme="minorHAnsi" w:hAnsiTheme="minorHAnsi"/>
                <w:b/>
                <w:bCs/>
                <w:sz w:val="20"/>
                <w:lang w:val="en-AU"/>
              </w:rPr>
              <w:t xml:space="preserve">Route                                </w:t>
            </w:r>
          </w:p>
        </w:tc>
        <w:tc>
          <w:tcPr>
            <w:tcW w:w="3867" w:type="pct"/>
          </w:tcPr>
          <w:p w:rsidRPr="0083046D" w:rsidR="002A5580" w:rsidP="0059793A" w:rsidRDefault="002A5580" w14:paraId="3F7833BC" w14:textId="77777777">
            <w:pPr>
              <w:pStyle w:val="BodyText"/>
              <w:rPr>
                <w:rFonts w:cs="Arial" w:asciiTheme="minorHAnsi" w:hAnsiTheme="minorHAnsi"/>
                <w:sz w:val="20"/>
                <w:lang w:val="en-AU"/>
              </w:rPr>
            </w:pPr>
            <w:r w:rsidRPr="0083046D">
              <w:rPr>
                <w:rFonts w:cs="Arial" w:asciiTheme="minorHAnsi" w:hAnsiTheme="minorHAnsi"/>
                <w:sz w:val="20"/>
              </w:rPr>
              <w:t>IV, oral</w:t>
            </w:r>
          </w:p>
        </w:tc>
      </w:tr>
      <w:tr w:rsidRPr="0083046D" w:rsidR="002A5580" w:rsidTr="0059793A" w14:paraId="073CF5F4" w14:textId="77777777">
        <w:trPr>
          <w:trHeight w:val="93"/>
        </w:trPr>
        <w:tc>
          <w:tcPr>
            <w:tcW w:w="1133" w:type="pct"/>
          </w:tcPr>
          <w:p w:rsidRPr="0083046D" w:rsidR="002A5580" w:rsidP="0059793A" w:rsidRDefault="002A5580" w14:paraId="303D6561" w14:textId="77777777">
            <w:pPr>
              <w:pStyle w:val="BodyText"/>
              <w:rPr>
                <w:rFonts w:cs="Arial" w:asciiTheme="minorHAnsi" w:hAnsiTheme="minorHAnsi"/>
                <w:b/>
                <w:bCs/>
                <w:sz w:val="20"/>
                <w:highlight w:val="cyan"/>
                <w:lang w:val="en-AU"/>
              </w:rPr>
            </w:pPr>
            <w:r w:rsidRPr="0083046D">
              <w:rPr>
                <w:rFonts w:cs="Arial" w:asciiTheme="minorHAnsi" w:hAnsiTheme="minorHAnsi"/>
                <w:b/>
                <w:bCs/>
                <w:sz w:val="20"/>
                <w:lang w:val="en-AU"/>
              </w:rPr>
              <w:t>Preparation</w:t>
            </w:r>
            <w:r w:rsidRPr="0083046D">
              <w:rPr>
                <w:rFonts w:cs="Arial" w:asciiTheme="minorHAnsi" w:hAnsiTheme="minorHAnsi"/>
                <w:b/>
                <w:bCs/>
                <w:sz w:val="20"/>
                <w:highlight w:val="cyan"/>
                <w:lang w:val="en-AU"/>
              </w:rPr>
              <w:t xml:space="preserve">                </w:t>
            </w:r>
          </w:p>
        </w:tc>
        <w:tc>
          <w:tcPr>
            <w:tcW w:w="3867" w:type="pct"/>
          </w:tcPr>
          <w:p w:rsidRPr="0083046D" w:rsidR="002A5580" w:rsidP="0059793A" w:rsidRDefault="002A5580" w14:paraId="3E6706F7" w14:textId="77777777">
            <w:pPr>
              <w:pStyle w:val="BodyText"/>
              <w:rPr>
                <w:rFonts w:cs="Arial" w:asciiTheme="minorHAnsi" w:hAnsiTheme="minorHAnsi"/>
                <w:sz w:val="20"/>
                <w:lang w:val="en-AU"/>
              </w:rPr>
            </w:pPr>
            <w:r w:rsidRPr="0083046D">
              <w:rPr>
                <w:rFonts w:cs="Arial" w:asciiTheme="minorHAnsi" w:hAnsiTheme="minorHAnsi"/>
                <w:sz w:val="20"/>
                <w:lang w:val="en-AU"/>
              </w:rPr>
              <w:t>Pedea (ibuprofen sodium)</w:t>
            </w:r>
          </w:p>
          <w:p w:rsidRPr="0083046D" w:rsidR="002A5580" w:rsidP="0059793A" w:rsidRDefault="002A5580" w14:paraId="11831713" w14:textId="77777777">
            <w:pPr>
              <w:pStyle w:val="BodyText"/>
              <w:rPr>
                <w:rFonts w:cs="Arial" w:asciiTheme="minorHAnsi" w:hAnsiTheme="minorHAnsi"/>
                <w:sz w:val="20"/>
                <w:lang w:val="en-AU"/>
              </w:rPr>
            </w:pPr>
            <w:r w:rsidRPr="0083046D">
              <w:rPr>
                <w:rFonts w:cs="Arial" w:asciiTheme="minorHAnsi" w:hAnsiTheme="minorHAnsi"/>
                <w:sz w:val="20"/>
                <w:lang w:val="en-AU"/>
              </w:rPr>
              <w:t>Can be administered undiluted.</w:t>
            </w:r>
          </w:p>
          <w:p w:rsidRPr="0083046D" w:rsidR="002A5580" w:rsidP="0059793A" w:rsidRDefault="002A5580" w14:paraId="6D18EDE5" w14:textId="77777777">
            <w:pPr>
              <w:pStyle w:val="BodyText"/>
              <w:rPr>
                <w:rFonts w:cs="Arial" w:asciiTheme="minorHAnsi" w:hAnsiTheme="minorHAnsi"/>
                <w:sz w:val="20"/>
                <w:lang w:val="en-AU"/>
              </w:rPr>
            </w:pPr>
            <w:r w:rsidRPr="0083046D">
              <w:rPr>
                <w:rFonts w:cs="Arial" w:asciiTheme="minorHAnsi" w:hAnsiTheme="minorHAnsi"/>
                <w:sz w:val="20"/>
                <w:lang w:val="en-AU"/>
              </w:rPr>
              <w:lastRenderedPageBreak/>
              <w:t>If dilution is required draw up 2 mL (10 mg of ibuprofen) and add 2 mL of sodium chloride 0.9% or glucose 5% to make a final volume of 4 mL with a concentration of 2.5 mg/mL.</w:t>
            </w:r>
          </w:p>
          <w:p w:rsidRPr="0083046D" w:rsidR="002A5580" w:rsidP="0059793A" w:rsidRDefault="002A5580" w14:paraId="706B5AA8" w14:textId="77777777">
            <w:pPr>
              <w:pStyle w:val="BodyText"/>
              <w:rPr>
                <w:rFonts w:cs="Arial" w:asciiTheme="minorHAnsi" w:hAnsiTheme="minorHAnsi"/>
                <w:sz w:val="20"/>
                <w:lang w:val="en-AU"/>
              </w:rPr>
            </w:pPr>
          </w:p>
          <w:p w:rsidRPr="0083046D" w:rsidR="002A5580" w:rsidP="0059793A" w:rsidRDefault="002A5580" w14:paraId="6181D198" w14:textId="77777777">
            <w:pPr>
              <w:pStyle w:val="BodyText"/>
              <w:rPr>
                <w:rFonts w:cs="Arial" w:asciiTheme="minorHAnsi" w:hAnsiTheme="minorHAnsi"/>
                <w:sz w:val="20"/>
                <w:lang w:val="en-AU"/>
              </w:rPr>
            </w:pPr>
            <w:r w:rsidRPr="0083046D">
              <w:rPr>
                <w:rFonts w:cs="Arial" w:asciiTheme="minorHAnsi" w:hAnsiTheme="minorHAnsi"/>
                <w:sz w:val="20"/>
                <w:lang w:val="en-AU"/>
              </w:rPr>
              <w:t xml:space="preserve">Neoprofen (ibuprofen  lysine) </w:t>
            </w:r>
            <w:r w:rsidRPr="0083046D">
              <w:rPr>
                <w:rFonts w:asciiTheme="minorHAnsi" w:hAnsiTheme="minorHAnsi"/>
                <w:sz w:val="20"/>
                <w:lang w:val="en-AU"/>
              </w:rPr>
              <w:t xml:space="preserve"> </w:t>
            </w:r>
          </w:p>
          <w:p w:rsidRPr="0083046D" w:rsidR="002A5580" w:rsidP="0059793A" w:rsidRDefault="002A5580" w14:paraId="4C52AA15" w14:textId="77777777">
            <w:pPr>
              <w:pStyle w:val="BodyText"/>
              <w:rPr>
                <w:rFonts w:cs="Arial" w:asciiTheme="minorHAnsi" w:hAnsiTheme="minorHAnsi"/>
                <w:sz w:val="20"/>
                <w:lang w:val="en-AU"/>
              </w:rPr>
            </w:pPr>
            <w:r w:rsidRPr="0083046D">
              <w:rPr>
                <w:rFonts w:cs="Arial" w:asciiTheme="minorHAnsi" w:hAnsiTheme="minorHAnsi"/>
                <w:sz w:val="20"/>
                <w:lang w:val="en-AU"/>
              </w:rPr>
              <w:t>Draw up 1 mL (10 mg of ibuprofen) and add 3 mL of sodium chloride 0.9% or glucose 5% to make a final volume of 4 mL with a concentration of 2.5 mg/mL.</w:t>
            </w:r>
          </w:p>
          <w:p w:rsidRPr="0083046D" w:rsidR="002A5580" w:rsidP="0059793A" w:rsidRDefault="002A5580" w14:paraId="1A53B6C1" w14:textId="77777777">
            <w:pPr>
              <w:pStyle w:val="BodyText"/>
              <w:rPr>
                <w:rFonts w:cs="Arial" w:asciiTheme="minorHAnsi" w:hAnsiTheme="minorHAnsi"/>
                <w:sz w:val="20"/>
                <w:lang w:val="en-AU"/>
              </w:rPr>
            </w:pPr>
          </w:p>
          <w:p w:rsidRPr="0083046D" w:rsidR="002A5580" w:rsidP="0059793A" w:rsidRDefault="002A5580" w14:paraId="1896DCC3" w14:textId="77777777">
            <w:pPr>
              <w:pStyle w:val="BodyText"/>
              <w:rPr>
                <w:rFonts w:cs="Arial" w:asciiTheme="minorHAnsi" w:hAnsiTheme="minorHAnsi"/>
                <w:sz w:val="20"/>
                <w:lang w:val="en-AU"/>
              </w:rPr>
            </w:pPr>
            <w:r w:rsidRPr="0083046D">
              <w:rPr>
                <w:rFonts w:cs="Arial" w:asciiTheme="minorHAnsi" w:hAnsiTheme="minorHAnsi"/>
                <w:sz w:val="20"/>
                <w:lang w:val="en-AU"/>
              </w:rPr>
              <w:t>Caldolor (ibuprofen arginine)</w:t>
            </w:r>
          </w:p>
          <w:p w:rsidRPr="0083046D" w:rsidR="002A5580" w:rsidP="0059793A" w:rsidRDefault="002A5580" w14:paraId="6E9FE5BA" w14:textId="77777777">
            <w:pPr>
              <w:pStyle w:val="BodyText"/>
              <w:rPr>
                <w:rFonts w:cs="Arial" w:asciiTheme="minorHAnsi" w:hAnsiTheme="minorHAnsi"/>
                <w:sz w:val="20"/>
                <w:lang w:val="en-AU"/>
              </w:rPr>
            </w:pPr>
            <w:r w:rsidRPr="0083046D">
              <w:rPr>
                <w:rFonts w:cs="Arial" w:asciiTheme="minorHAnsi" w:hAnsiTheme="minorHAnsi"/>
                <w:sz w:val="20"/>
              </w:rPr>
              <w:t>Draw up 0.5 mL (50 mg of ibuprofen) and add 19.5 mL of sodium chloride 0.9% or glucose 5% to make a final volume of 20 mL with a concentration of 2.5 mg/mL.</w:t>
            </w:r>
          </w:p>
        </w:tc>
      </w:tr>
      <w:tr w:rsidRPr="0083046D" w:rsidR="002A5580" w:rsidTr="0059793A" w14:paraId="1D387254" w14:textId="77777777">
        <w:trPr>
          <w:trHeight w:val="224"/>
        </w:trPr>
        <w:tc>
          <w:tcPr>
            <w:tcW w:w="1133" w:type="pct"/>
          </w:tcPr>
          <w:p w:rsidRPr="0083046D" w:rsidR="002A5580" w:rsidP="0059793A" w:rsidRDefault="002A5580" w14:paraId="48B43BFA"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lastRenderedPageBreak/>
              <w:t xml:space="preserve">Administration                </w:t>
            </w:r>
          </w:p>
        </w:tc>
        <w:tc>
          <w:tcPr>
            <w:tcW w:w="3867" w:type="pct"/>
            <w:vAlign w:val="center"/>
          </w:tcPr>
          <w:p w:rsidRPr="00DB4CFC" w:rsidR="002A5580" w:rsidP="0059793A" w:rsidRDefault="002A5580" w14:paraId="456DB159" w14:textId="77777777">
            <w:pPr>
              <w:pStyle w:val="BodyText"/>
              <w:rPr>
                <w:rFonts w:asciiTheme="minorHAnsi" w:hAnsiTheme="minorHAnsi"/>
                <w:sz w:val="20"/>
                <w:u w:val="single"/>
                <w:lang w:val="en-AU"/>
              </w:rPr>
            </w:pPr>
            <w:r w:rsidRPr="00DB4CFC">
              <w:rPr>
                <w:rFonts w:asciiTheme="minorHAnsi" w:hAnsiTheme="minorHAnsi"/>
                <w:sz w:val="20"/>
                <w:u w:val="single"/>
                <w:lang w:val="en-AU"/>
              </w:rPr>
              <w:t>IV infusion:</w:t>
            </w:r>
          </w:p>
          <w:p w:rsidRPr="0083046D" w:rsidR="002A5580" w:rsidP="0059793A" w:rsidRDefault="002A5580" w14:paraId="1C3980C5" w14:textId="77777777">
            <w:pPr>
              <w:pStyle w:val="BodyText"/>
              <w:ind w:left="720"/>
              <w:rPr>
                <w:rFonts w:asciiTheme="minorHAnsi" w:hAnsiTheme="minorHAnsi"/>
                <w:sz w:val="20"/>
                <w:lang w:val="en-AU"/>
              </w:rPr>
            </w:pPr>
            <w:r w:rsidRPr="0083046D">
              <w:rPr>
                <w:rFonts w:asciiTheme="minorHAnsi" w:hAnsiTheme="minorHAnsi"/>
                <w:sz w:val="20"/>
                <w:lang w:val="en-AU"/>
              </w:rPr>
              <w:t xml:space="preserve">Pedea − over 15 minutes. </w:t>
            </w:r>
          </w:p>
          <w:p w:rsidRPr="0083046D" w:rsidR="002A5580" w:rsidP="0059793A" w:rsidRDefault="002A5580" w14:paraId="650DCC72" w14:textId="77777777">
            <w:pPr>
              <w:pStyle w:val="BodyText"/>
              <w:ind w:left="720"/>
              <w:rPr>
                <w:rFonts w:asciiTheme="minorHAnsi" w:hAnsiTheme="minorHAnsi"/>
                <w:sz w:val="20"/>
                <w:lang w:val="en-AU"/>
              </w:rPr>
            </w:pPr>
            <w:r w:rsidRPr="0083046D">
              <w:rPr>
                <w:rFonts w:asciiTheme="minorHAnsi" w:hAnsiTheme="minorHAnsi"/>
                <w:sz w:val="20"/>
                <w:lang w:val="en-AU"/>
              </w:rPr>
              <w:t>Neoprofen</w:t>
            </w:r>
            <w:r w:rsidRPr="0083046D">
              <w:rPr>
                <w:rFonts w:cs="Arial" w:asciiTheme="minorHAnsi" w:hAnsiTheme="minorHAnsi"/>
                <w:sz w:val="20"/>
                <w:lang w:val="en-AU"/>
              </w:rPr>
              <w:t xml:space="preserve"> </w:t>
            </w:r>
            <w:r w:rsidRPr="0083046D">
              <w:rPr>
                <w:rFonts w:asciiTheme="minorHAnsi" w:hAnsiTheme="minorHAnsi"/>
                <w:sz w:val="20"/>
                <w:lang w:val="en-AU"/>
              </w:rPr>
              <w:t xml:space="preserve">− over 15 minutes </w:t>
            </w:r>
          </w:p>
          <w:p w:rsidRPr="0083046D" w:rsidR="002A5580" w:rsidP="0059793A" w:rsidRDefault="002A5580" w14:paraId="5D692B2C" w14:textId="77777777">
            <w:pPr>
              <w:pStyle w:val="BodyText"/>
              <w:ind w:left="720"/>
              <w:rPr>
                <w:rFonts w:asciiTheme="minorHAnsi" w:hAnsiTheme="minorHAnsi"/>
                <w:sz w:val="20"/>
                <w:lang w:val="en-AU"/>
              </w:rPr>
            </w:pPr>
            <w:r w:rsidRPr="0083046D">
              <w:rPr>
                <w:rFonts w:asciiTheme="minorHAnsi" w:hAnsiTheme="minorHAnsi"/>
                <w:sz w:val="20"/>
                <w:lang w:val="en-AU"/>
              </w:rPr>
              <w:t>Caldolor</w:t>
            </w:r>
            <w:r w:rsidRPr="0083046D">
              <w:rPr>
                <w:rFonts w:cs="Arial" w:asciiTheme="minorHAnsi" w:hAnsiTheme="minorHAnsi"/>
                <w:sz w:val="20"/>
                <w:lang w:val="en-AU"/>
              </w:rPr>
              <w:t xml:space="preserve"> </w:t>
            </w:r>
            <w:r w:rsidRPr="0083046D">
              <w:rPr>
                <w:rFonts w:asciiTheme="minorHAnsi" w:hAnsiTheme="minorHAnsi"/>
                <w:sz w:val="20"/>
                <w:lang w:val="en-AU"/>
              </w:rPr>
              <w:t>− over 30 minutes</w:t>
            </w:r>
          </w:p>
          <w:p w:rsidRPr="0083046D" w:rsidR="002A5580" w:rsidP="0059793A" w:rsidRDefault="002A5580" w14:paraId="26AA1732" w14:textId="77777777">
            <w:pPr>
              <w:pStyle w:val="BodyText"/>
              <w:rPr>
                <w:rFonts w:asciiTheme="minorHAnsi" w:hAnsiTheme="minorHAnsi"/>
                <w:sz w:val="20"/>
                <w:lang w:val="en-AU"/>
              </w:rPr>
            </w:pPr>
          </w:p>
          <w:p w:rsidRPr="00DB4CFC" w:rsidR="002A5580" w:rsidP="0059793A" w:rsidRDefault="002A5580" w14:paraId="66489554" w14:textId="77777777">
            <w:pPr>
              <w:pStyle w:val="BodyText"/>
              <w:rPr>
                <w:rFonts w:asciiTheme="minorHAnsi" w:hAnsiTheme="minorHAnsi"/>
                <w:b/>
                <w:sz w:val="20"/>
                <w:lang w:val="en-AU"/>
              </w:rPr>
            </w:pPr>
            <w:r w:rsidRPr="00DB4CFC">
              <w:rPr>
                <w:rFonts w:asciiTheme="minorHAnsi" w:hAnsiTheme="minorHAnsi"/>
                <w:b/>
                <w:sz w:val="20"/>
                <w:lang w:val="en-AU"/>
              </w:rPr>
              <w:t>Do not use chlorhexidine to disinfect the neck of the ampoule.</w:t>
            </w:r>
            <w:r w:rsidRPr="00DB4CFC">
              <w:rPr>
                <w:rFonts w:asciiTheme="minorHAnsi" w:hAnsiTheme="minorHAnsi"/>
                <w:sz w:val="20"/>
                <w:vertAlign w:val="superscript"/>
                <w:lang w:val="en-AU"/>
              </w:rPr>
              <w:t>31</w:t>
            </w:r>
          </w:p>
          <w:p w:rsidRPr="0083046D" w:rsidR="002A5580" w:rsidP="0059793A" w:rsidRDefault="002A5580" w14:paraId="0995B240" w14:textId="77777777">
            <w:pPr>
              <w:pStyle w:val="BodyText"/>
              <w:rPr>
                <w:rFonts w:asciiTheme="minorHAnsi" w:hAnsiTheme="minorHAnsi"/>
                <w:sz w:val="20"/>
                <w:lang w:val="en-AU"/>
              </w:rPr>
            </w:pPr>
          </w:p>
          <w:p w:rsidRPr="0083046D" w:rsidR="002A5580" w:rsidP="0059793A" w:rsidRDefault="002A5580" w14:paraId="4EE408F5" w14:textId="77777777">
            <w:pPr>
              <w:pStyle w:val="BodyText"/>
              <w:rPr>
                <w:rFonts w:cs="Arial" w:asciiTheme="minorHAnsi" w:hAnsiTheme="minorHAnsi"/>
                <w:sz w:val="20"/>
                <w:lang w:val="en-AU"/>
              </w:rPr>
            </w:pPr>
            <w:r w:rsidRPr="0083046D">
              <w:rPr>
                <w:rFonts w:asciiTheme="minorHAnsi" w:hAnsiTheme="minorHAnsi"/>
                <w:sz w:val="20"/>
              </w:rPr>
              <w:t>Oral – give via intra-gastric tube, preferably with milk feed to minimise risk of gastrointestinal irritation. If baby is not on enteral feeds or breast milk is not available, give dose via intra-gastric tube and flush with 0.5 mL water for injection.</w:t>
            </w:r>
          </w:p>
        </w:tc>
      </w:tr>
      <w:tr w:rsidRPr="0083046D" w:rsidR="002A5580" w:rsidTr="0059793A" w14:paraId="21C9162E" w14:textId="77777777">
        <w:trPr>
          <w:trHeight w:val="215"/>
        </w:trPr>
        <w:tc>
          <w:tcPr>
            <w:tcW w:w="1133" w:type="pct"/>
          </w:tcPr>
          <w:p w:rsidRPr="0083046D" w:rsidR="002A5580" w:rsidP="0059793A" w:rsidRDefault="002A5580" w14:paraId="1986B365"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Monitoring                              </w:t>
            </w:r>
          </w:p>
        </w:tc>
        <w:tc>
          <w:tcPr>
            <w:tcW w:w="3867" w:type="pct"/>
          </w:tcPr>
          <w:p w:rsidRPr="0083046D" w:rsidR="002A5580" w:rsidP="0059793A" w:rsidRDefault="002A5580" w14:paraId="5F9CE9FA" w14:textId="77777777">
            <w:pPr>
              <w:pStyle w:val="BodyText"/>
              <w:rPr>
                <w:rFonts w:cs="Arial" w:asciiTheme="minorHAnsi" w:hAnsiTheme="minorHAnsi"/>
                <w:sz w:val="20"/>
                <w:lang w:val="en-AU"/>
              </w:rPr>
            </w:pPr>
            <w:r>
              <w:rPr>
                <w:rFonts w:asciiTheme="minorHAnsi" w:hAnsiTheme="minorHAnsi"/>
                <w:sz w:val="20"/>
                <w:lang w:val="en-AU"/>
              </w:rPr>
              <w:t>U</w:t>
            </w:r>
            <w:r w:rsidRPr="0083046D">
              <w:rPr>
                <w:rFonts w:asciiTheme="minorHAnsi" w:hAnsiTheme="minorHAnsi"/>
                <w:sz w:val="20"/>
              </w:rPr>
              <w:t>rine output, cardiovascular status, serum biochemistry, renal function and for signs of bleeding.</w:t>
            </w:r>
          </w:p>
        </w:tc>
      </w:tr>
      <w:tr w:rsidRPr="0083046D" w:rsidR="002A5580" w:rsidTr="0059793A" w14:paraId="7CB107E6" w14:textId="77777777">
        <w:trPr>
          <w:trHeight w:val="342"/>
        </w:trPr>
        <w:tc>
          <w:tcPr>
            <w:tcW w:w="1133" w:type="pct"/>
          </w:tcPr>
          <w:p w:rsidRPr="0083046D" w:rsidR="002A5580" w:rsidP="0059793A" w:rsidRDefault="002A5580" w14:paraId="3A64ADF1"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Contraindications                        </w:t>
            </w:r>
          </w:p>
        </w:tc>
        <w:tc>
          <w:tcPr>
            <w:tcW w:w="3867" w:type="pct"/>
          </w:tcPr>
          <w:p w:rsidRPr="0083046D" w:rsidR="002A5580" w:rsidP="0059793A" w:rsidRDefault="002A5580" w14:paraId="4371B81D" w14:textId="77777777">
            <w:pPr>
              <w:pStyle w:val="BodyText"/>
              <w:rPr>
                <w:rFonts w:cs="Arial" w:asciiTheme="minorHAnsi" w:hAnsiTheme="minorHAnsi"/>
                <w:sz w:val="20"/>
                <w:lang w:val="en-AU"/>
              </w:rPr>
            </w:pPr>
            <w:r w:rsidRPr="0083046D">
              <w:rPr>
                <w:rFonts w:asciiTheme="minorHAnsi" w:hAnsiTheme="minorHAnsi"/>
                <w:sz w:val="20"/>
              </w:rPr>
              <w:t>Serious infection, active bleeding, thrombocytopenia or coagulopathy, necrotising enterocolitis or intestinal perforation, significant renal dysfunction, ductal dependent congenital heart disease, pulmonary hypertension and significant jaundice as may displace bilirubin from albumin.</w:t>
            </w:r>
          </w:p>
        </w:tc>
      </w:tr>
      <w:tr w:rsidRPr="0083046D" w:rsidR="002A5580" w:rsidTr="0059793A" w14:paraId="37950DCA" w14:textId="77777777">
        <w:tc>
          <w:tcPr>
            <w:tcW w:w="1133" w:type="pct"/>
          </w:tcPr>
          <w:p w:rsidRPr="0083046D" w:rsidR="002A5580" w:rsidP="0059793A" w:rsidRDefault="002A5580" w14:paraId="2E88FAD1" w14:textId="77777777">
            <w:pPr>
              <w:pStyle w:val="BodyText"/>
              <w:rPr>
                <w:rFonts w:cs="Arial" w:asciiTheme="minorHAnsi" w:hAnsiTheme="minorHAnsi"/>
                <w:b/>
                <w:bCs/>
                <w:sz w:val="20"/>
                <w:lang w:val="en-AU"/>
              </w:rPr>
            </w:pPr>
            <w:r w:rsidRPr="0083046D">
              <w:rPr>
                <w:rFonts w:asciiTheme="minorHAnsi" w:hAnsiTheme="minorHAnsi"/>
                <w:sz w:val="20"/>
                <w:lang w:val="en-AU"/>
              </w:rPr>
              <w:br w:type="page"/>
            </w:r>
            <w:r w:rsidRPr="0083046D">
              <w:rPr>
                <w:rFonts w:cs="Arial" w:asciiTheme="minorHAnsi" w:hAnsiTheme="minorHAnsi"/>
                <w:b/>
                <w:bCs/>
                <w:sz w:val="20"/>
                <w:lang w:val="en-AU"/>
              </w:rPr>
              <w:t>Precautions</w:t>
            </w:r>
          </w:p>
        </w:tc>
        <w:tc>
          <w:tcPr>
            <w:tcW w:w="3867" w:type="pct"/>
          </w:tcPr>
          <w:p w:rsidRPr="0083046D" w:rsidR="002A5580" w:rsidP="0059793A" w:rsidRDefault="002A5580" w14:paraId="580AEBEE" w14:textId="77777777">
            <w:pPr>
              <w:pStyle w:val="BodyText"/>
              <w:rPr>
                <w:rFonts w:asciiTheme="minorHAnsi" w:hAnsiTheme="minorHAnsi"/>
                <w:sz w:val="20"/>
                <w:lang w:val="en-AU"/>
              </w:rPr>
            </w:pPr>
            <w:r w:rsidRPr="0083046D">
              <w:rPr>
                <w:rFonts w:asciiTheme="minorHAnsi" w:hAnsiTheme="minorHAnsi"/>
                <w:sz w:val="20"/>
                <w:lang w:val="en-AU"/>
              </w:rPr>
              <w:t>IV – nil</w:t>
            </w:r>
          </w:p>
          <w:p w:rsidRPr="0083046D" w:rsidR="002A5580" w:rsidP="0059793A" w:rsidRDefault="002A5580" w14:paraId="3609F8A8" w14:textId="77777777">
            <w:pPr>
              <w:pStyle w:val="BodyText"/>
              <w:rPr>
                <w:rFonts w:cs="Arial" w:asciiTheme="minorHAnsi" w:hAnsiTheme="minorHAnsi"/>
                <w:sz w:val="20"/>
                <w:lang w:val="en-AU"/>
              </w:rPr>
            </w:pPr>
            <w:r w:rsidRPr="0083046D">
              <w:rPr>
                <w:rFonts w:asciiTheme="minorHAnsi" w:hAnsiTheme="minorHAnsi"/>
                <w:sz w:val="20"/>
              </w:rPr>
              <w:t>Oral- nil</w:t>
            </w:r>
          </w:p>
        </w:tc>
      </w:tr>
      <w:tr w:rsidRPr="0083046D" w:rsidR="002A5580" w:rsidTr="0059793A" w14:paraId="53D708D3" w14:textId="77777777">
        <w:trPr>
          <w:trHeight w:val="70"/>
        </w:trPr>
        <w:tc>
          <w:tcPr>
            <w:tcW w:w="1133" w:type="pct"/>
          </w:tcPr>
          <w:p w:rsidRPr="0083046D" w:rsidR="002A5580" w:rsidP="0059793A" w:rsidRDefault="002A5580" w14:paraId="6C3EC02B"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Drug interactions</w:t>
            </w:r>
          </w:p>
        </w:tc>
        <w:tc>
          <w:tcPr>
            <w:tcW w:w="3867" w:type="pct"/>
          </w:tcPr>
          <w:p w:rsidRPr="0083046D" w:rsidR="002A5580" w:rsidP="0059793A" w:rsidRDefault="002A5580" w14:paraId="3E5F1DE5" w14:textId="77777777">
            <w:pPr>
              <w:pStyle w:val="BodyText"/>
              <w:rPr>
                <w:rFonts w:asciiTheme="minorHAnsi" w:hAnsiTheme="minorHAnsi"/>
                <w:sz w:val="20"/>
                <w:lang w:val="en-AU"/>
              </w:rPr>
            </w:pPr>
            <w:r w:rsidRPr="0083046D">
              <w:rPr>
                <w:rFonts w:asciiTheme="minorHAnsi" w:hAnsiTheme="minorHAnsi"/>
                <w:sz w:val="20"/>
                <w:lang w:val="en-AU"/>
              </w:rPr>
              <w:t>Diuretics – Ibuprofen may reduce the effect of diuretics; whilst the diuretic may increase the risk of nephrotoxicity of NSAIDs in dehydrated patients.</w:t>
            </w:r>
          </w:p>
          <w:p w:rsidRPr="0083046D" w:rsidR="002A5580" w:rsidP="0059793A" w:rsidRDefault="002A5580" w14:paraId="620A9FCC" w14:textId="77777777">
            <w:pPr>
              <w:pStyle w:val="BodyText"/>
              <w:rPr>
                <w:rFonts w:asciiTheme="minorHAnsi" w:hAnsiTheme="minorHAnsi"/>
                <w:sz w:val="20"/>
                <w:lang w:val="en-AU"/>
              </w:rPr>
            </w:pPr>
            <w:r w:rsidRPr="0083046D">
              <w:rPr>
                <w:rFonts w:asciiTheme="minorHAnsi" w:hAnsiTheme="minorHAnsi"/>
                <w:sz w:val="20"/>
                <w:lang w:val="en-AU"/>
              </w:rPr>
              <w:t>Anticoagulants – ibuprofen may increase the effect of anticoagulants and enhance the risk of bleeding.</w:t>
            </w:r>
          </w:p>
          <w:p w:rsidRPr="0083046D" w:rsidR="002A5580" w:rsidP="0059793A" w:rsidRDefault="002A5580" w14:paraId="4CA14B7F" w14:textId="77777777">
            <w:pPr>
              <w:pStyle w:val="BodyText"/>
              <w:rPr>
                <w:rFonts w:asciiTheme="minorHAnsi" w:hAnsiTheme="minorHAnsi"/>
                <w:sz w:val="20"/>
                <w:lang w:val="en-AU"/>
              </w:rPr>
            </w:pPr>
            <w:r w:rsidRPr="0083046D">
              <w:rPr>
                <w:rFonts w:asciiTheme="minorHAnsi" w:hAnsiTheme="minorHAnsi"/>
                <w:sz w:val="20"/>
                <w:lang w:val="en-AU"/>
              </w:rPr>
              <w:t>Nitric oxide – as both medicinal products have an inhibitory effect on platelet function, their combination may in theory increase the risk of bleeding.</w:t>
            </w:r>
          </w:p>
          <w:p w:rsidRPr="0083046D" w:rsidR="002A5580" w:rsidP="0059793A" w:rsidRDefault="002A5580" w14:paraId="62DA20AD" w14:textId="77777777">
            <w:pPr>
              <w:pStyle w:val="BodyText"/>
              <w:rPr>
                <w:rFonts w:asciiTheme="minorHAnsi" w:hAnsiTheme="minorHAnsi"/>
                <w:sz w:val="20"/>
                <w:lang w:val="en-AU"/>
              </w:rPr>
            </w:pPr>
            <w:r w:rsidRPr="0083046D">
              <w:rPr>
                <w:rFonts w:asciiTheme="minorHAnsi" w:hAnsiTheme="minorHAnsi"/>
                <w:sz w:val="20"/>
                <w:lang w:val="en-AU"/>
              </w:rPr>
              <w:t>Corticosteroids – ibuprofen may increase the risk of gastrointestinal bleeding.</w:t>
            </w:r>
          </w:p>
          <w:p w:rsidRPr="0083046D" w:rsidR="002A5580" w:rsidP="0059793A" w:rsidRDefault="002A5580" w14:paraId="65246902" w14:textId="77777777">
            <w:pPr>
              <w:pStyle w:val="BodyText"/>
              <w:rPr>
                <w:rFonts w:asciiTheme="minorHAnsi" w:hAnsiTheme="minorHAnsi"/>
                <w:sz w:val="20"/>
                <w:lang w:val="en-AU"/>
              </w:rPr>
            </w:pPr>
            <w:r w:rsidRPr="0083046D">
              <w:rPr>
                <w:rFonts w:asciiTheme="minorHAnsi" w:hAnsiTheme="minorHAnsi"/>
                <w:sz w:val="20"/>
                <w:lang w:val="en-AU"/>
              </w:rPr>
              <w:t>Other NSAIDs – the concomitant use of more than one NSAID may increase risk of adverse reactions.</w:t>
            </w:r>
          </w:p>
          <w:p w:rsidRPr="0083046D" w:rsidR="002A5580" w:rsidP="0059793A" w:rsidRDefault="002A5580" w14:paraId="40DD5B9A" w14:textId="77777777">
            <w:pPr>
              <w:pStyle w:val="BodyText"/>
              <w:rPr>
                <w:rFonts w:asciiTheme="minorHAnsi" w:hAnsiTheme="minorHAnsi"/>
                <w:sz w:val="20"/>
                <w:lang w:val="en-AU"/>
              </w:rPr>
            </w:pPr>
            <w:r w:rsidRPr="0083046D">
              <w:rPr>
                <w:rFonts w:asciiTheme="minorHAnsi" w:hAnsiTheme="minorHAnsi"/>
                <w:sz w:val="20"/>
                <w:lang w:val="en-AU"/>
              </w:rPr>
              <w:t>Aminoglycosides – since ibuprofen may decrease the clearance of aminoglycosides, their co-administration may increase the risk of nephrotoxicity and ototoxicity.</w:t>
            </w:r>
          </w:p>
          <w:p w:rsidRPr="0083046D" w:rsidR="002A5580" w:rsidP="0059793A" w:rsidRDefault="002A5580" w14:paraId="070FEFAD" w14:textId="77777777">
            <w:pPr>
              <w:pStyle w:val="BodyText"/>
              <w:rPr>
                <w:rFonts w:asciiTheme="minorHAnsi" w:hAnsiTheme="minorHAnsi"/>
                <w:sz w:val="20"/>
                <w:lang w:val="en-AU"/>
              </w:rPr>
            </w:pPr>
            <w:r w:rsidRPr="0083046D">
              <w:rPr>
                <w:rFonts w:asciiTheme="minorHAnsi" w:hAnsiTheme="minorHAnsi"/>
                <w:sz w:val="20"/>
                <w:lang w:val="en-AU"/>
              </w:rPr>
              <w:t xml:space="preserve">Fluconazole - Metabolism of ibuprofen may be inhibited, increasing its concentration. </w:t>
            </w:r>
          </w:p>
          <w:p w:rsidRPr="0083046D" w:rsidR="002A5580" w:rsidP="0059793A" w:rsidRDefault="002A5580" w14:paraId="096A7354" w14:textId="77777777">
            <w:pPr>
              <w:pStyle w:val="BodyText"/>
              <w:rPr>
                <w:rFonts w:cs="Arial" w:asciiTheme="minorHAnsi" w:hAnsiTheme="minorHAnsi"/>
                <w:sz w:val="20"/>
                <w:lang w:val="en-AU"/>
              </w:rPr>
            </w:pPr>
            <w:r w:rsidRPr="0083046D">
              <w:rPr>
                <w:rFonts w:asciiTheme="minorHAnsi" w:hAnsiTheme="minorHAnsi"/>
                <w:sz w:val="20"/>
              </w:rPr>
              <w:t>Systemic corticosteroids - Intestinal perforation has been described in infants treated with early dexamethasone and indomethacin. Although not described with ibuprofen, caution is advised.</w:t>
            </w:r>
          </w:p>
        </w:tc>
      </w:tr>
      <w:tr w:rsidRPr="0083046D" w:rsidR="002A5580" w:rsidTr="0059793A" w14:paraId="51783579" w14:textId="77777777">
        <w:trPr>
          <w:trHeight w:val="332"/>
        </w:trPr>
        <w:tc>
          <w:tcPr>
            <w:tcW w:w="1133" w:type="pct"/>
          </w:tcPr>
          <w:p w:rsidRPr="0083046D" w:rsidR="002A5580" w:rsidP="0059793A" w:rsidRDefault="002A5580" w14:paraId="7B7A600A"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Adverse reactions         </w:t>
            </w:r>
          </w:p>
        </w:tc>
        <w:tc>
          <w:tcPr>
            <w:tcW w:w="3867" w:type="pct"/>
          </w:tcPr>
          <w:p w:rsidRPr="008F1F77" w:rsidR="002A5580" w:rsidP="0059793A" w:rsidRDefault="002A5580" w14:paraId="20C35439" w14:textId="77777777">
            <w:pPr>
              <w:pStyle w:val="BodyText"/>
              <w:rPr>
                <w:rFonts w:cs="Arial" w:asciiTheme="minorHAnsi" w:hAnsiTheme="minorHAnsi"/>
                <w:sz w:val="20"/>
                <w:lang w:val="en-AU"/>
              </w:rPr>
            </w:pPr>
            <w:r>
              <w:rPr>
                <w:rFonts w:cs="Arial" w:asciiTheme="minorHAnsi" w:hAnsiTheme="minorHAnsi"/>
                <w:sz w:val="20"/>
                <w:lang w:val="en-AU"/>
              </w:rPr>
              <w:t>P</w:t>
            </w:r>
            <w:r w:rsidRPr="008F1F77">
              <w:rPr>
                <w:rFonts w:cs="Arial" w:asciiTheme="minorHAnsi" w:hAnsiTheme="minorHAnsi"/>
                <w:sz w:val="20"/>
                <w:lang w:val="en-AU"/>
              </w:rPr>
              <w:t>rophylactic use of ibuprofen is associated increased risks for oliguria, increase in serum creatinine levels, and increased risk of g</w:t>
            </w:r>
            <w:r>
              <w:rPr>
                <w:rFonts w:cs="Arial" w:asciiTheme="minorHAnsi" w:hAnsiTheme="minorHAnsi"/>
                <w:sz w:val="20"/>
                <w:lang w:val="en-AU"/>
              </w:rPr>
              <w:t>astrointestinal haemorrhage.[5].</w:t>
            </w:r>
            <w:r>
              <w:rPr>
                <w:rFonts w:asciiTheme="minorHAnsi" w:hAnsiTheme="minorHAnsi"/>
                <w:sz w:val="20"/>
                <w:lang w:val="en-AU"/>
              </w:rPr>
              <w:t xml:space="preserve"> </w:t>
            </w:r>
            <w:r w:rsidRPr="008F1F77">
              <w:rPr>
                <w:rFonts w:cs="Arial" w:asciiTheme="minorHAnsi" w:hAnsiTheme="minorHAnsi"/>
                <w:sz w:val="20"/>
                <w:lang w:val="en-AU"/>
              </w:rPr>
              <w:t xml:space="preserve">  </w:t>
            </w:r>
            <w:r>
              <w:rPr>
                <w:rFonts w:cs="Arial" w:asciiTheme="minorHAnsi" w:hAnsiTheme="minorHAnsi"/>
                <w:sz w:val="20"/>
                <w:lang w:val="en-AU"/>
              </w:rPr>
              <w:t>[LOE I]</w:t>
            </w:r>
          </w:p>
          <w:p w:rsidRPr="008F1F77" w:rsidR="002A5580" w:rsidP="0059793A" w:rsidRDefault="002A5580" w14:paraId="0082DA77" w14:textId="77777777">
            <w:pPr>
              <w:pStyle w:val="BodyText"/>
              <w:rPr>
                <w:rFonts w:cs="Arial" w:asciiTheme="minorHAnsi" w:hAnsiTheme="minorHAnsi"/>
                <w:sz w:val="20"/>
                <w:lang w:val="en-AU"/>
              </w:rPr>
            </w:pPr>
            <w:r w:rsidRPr="008F1F77">
              <w:rPr>
                <w:rFonts w:cs="Arial" w:asciiTheme="minorHAnsi" w:hAnsiTheme="minorHAnsi"/>
                <w:sz w:val="20"/>
                <w:lang w:val="en-AU"/>
              </w:rPr>
              <w:t>Ibuprofen for treatment of a PDA was associated with increased oligur</w:t>
            </w:r>
            <w:r>
              <w:rPr>
                <w:rFonts w:cs="Arial" w:asciiTheme="minorHAnsi" w:hAnsiTheme="minorHAnsi"/>
                <w:sz w:val="20"/>
                <w:lang w:val="en-AU"/>
              </w:rPr>
              <w:t>ia and increased creatinine.</w:t>
            </w:r>
            <w:r w:rsidRPr="008F1F77">
              <w:rPr>
                <w:rFonts w:cs="Arial" w:asciiTheme="minorHAnsi" w:hAnsiTheme="minorHAnsi"/>
                <w:sz w:val="20"/>
                <w:lang w:val="en-AU"/>
              </w:rPr>
              <w:t xml:space="preserve"> </w:t>
            </w:r>
            <w:r>
              <w:rPr>
                <w:rFonts w:cs="Arial" w:asciiTheme="minorHAnsi" w:hAnsiTheme="minorHAnsi"/>
                <w:sz w:val="20"/>
                <w:lang w:val="en-AU"/>
              </w:rPr>
              <w:t xml:space="preserve"> [LOE I]</w:t>
            </w:r>
          </w:p>
          <w:p w:rsidRPr="008F1F77" w:rsidR="002A5580" w:rsidP="0059793A" w:rsidRDefault="002A5580" w14:paraId="3703ACD8" w14:textId="77777777">
            <w:pPr>
              <w:pStyle w:val="BodyText"/>
              <w:rPr>
                <w:rFonts w:cs="Arial" w:asciiTheme="minorHAnsi" w:hAnsiTheme="minorHAnsi"/>
                <w:sz w:val="20"/>
                <w:lang w:val="en-AU"/>
              </w:rPr>
            </w:pPr>
            <w:r w:rsidRPr="008F1F77">
              <w:rPr>
                <w:rFonts w:cs="Arial" w:asciiTheme="minorHAnsi" w:hAnsiTheme="minorHAnsi"/>
                <w:sz w:val="20"/>
                <w:lang w:val="en-AU"/>
              </w:rPr>
              <w:t>Compared to treatment of a PDA with indomethacin, ibuprofen was associated with reduced NEC, reduced oliguria and was associated with lower creatinine levels 72 hours af</w:t>
            </w:r>
            <w:r>
              <w:rPr>
                <w:rFonts w:cs="Arial" w:asciiTheme="minorHAnsi" w:hAnsiTheme="minorHAnsi"/>
                <w:sz w:val="20"/>
                <w:lang w:val="en-AU"/>
              </w:rPr>
              <w:t>ter initiation of treatment.[6].[LOE I]</w:t>
            </w:r>
          </w:p>
          <w:p w:rsidRPr="008F1F77" w:rsidR="002A5580" w:rsidP="0059793A" w:rsidRDefault="002A5580" w14:paraId="230ABB5B" w14:textId="77777777">
            <w:pPr>
              <w:pStyle w:val="BodyText"/>
              <w:rPr>
                <w:rFonts w:cs="Arial" w:asciiTheme="minorHAnsi" w:hAnsiTheme="minorHAnsi"/>
                <w:sz w:val="20"/>
                <w:lang w:val="en-AU"/>
              </w:rPr>
            </w:pPr>
            <w:r w:rsidRPr="008F1F77">
              <w:rPr>
                <w:rFonts w:cs="Arial" w:asciiTheme="minorHAnsi" w:hAnsiTheme="minorHAnsi"/>
                <w:sz w:val="20"/>
                <w:lang w:val="en-AU"/>
              </w:rPr>
              <w:lastRenderedPageBreak/>
              <w:t>Compared to paracetamol (acetaminophen), ibuprofen was associated with a high rate of gastrointestinal bleeding, higher creatinine and bilirubin levels, and lower platelet counts and daily urine output.</w:t>
            </w:r>
            <w:r>
              <w:rPr>
                <w:rFonts w:cs="Arial" w:asciiTheme="minorHAnsi" w:hAnsiTheme="minorHAnsi"/>
                <w:sz w:val="20"/>
                <w:lang w:val="en-AU"/>
              </w:rPr>
              <w:t xml:space="preserve"> [7].</w:t>
            </w:r>
          </w:p>
          <w:p w:rsidR="002A5580" w:rsidP="0059793A" w:rsidRDefault="002A5580" w14:paraId="6DC24BAD" w14:textId="77777777">
            <w:pPr>
              <w:pStyle w:val="BodyText"/>
              <w:rPr>
                <w:rFonts w:cs="Arial" w:asciiTheme="minorHAnsi" w:hAnsiTheme="minorHAnsi"/>
                <w:sz w:val="20"/>
                <w:lang w:val="en-AU"/>
              </w:rPr>
            </w:pPr>
            <w:r>
              <w:rPr>
                <w:rFonts w:cs="Arial" w:asciiTheme="minorHAnsi" w:hAnsiTheme="minorHAnsi"/>
                <w:sz w:val="20"/>
                <w:lang w:val="en-AU"/>
              </w:rPr>
              <w:t>There have been reports of</w:t>
            </w:r>
            <w:r w:rsidRPr="008F1F77">
              <w:rPr>
                <w:rFonts w:cs="Arial" w:asciiTheme="minorHAnsi" w:hAnsiTheme="minorHAnsi"/>
                <w:sz w:val="20"/>
                <w:lang w:val="en-AU"/>
              </w:rPr>
              <w:t xml:space="preserve"> pulmonary hypertension </w:t>
            </w:r>
            <w:r>
              <w:rPr>
                <w:rFonts w:cs="Arial" w:asciiTheme="minorHAnsi" w:hAnsiTheme="minorHAnsi"/>
                <w:sz w:val="20"/>
                <w:lang w:val="en-AU"/>
              </w:rPr>
              <w:t xml:space="preserve">with use of ibuprofen, </w:t>
            </w:r>
            <w:r>
              <w:rPr>
                <w:rFonts w:asciiTheme="minorHAnsi" w:hAnsiTheme="minorHAnsi"/>
                <w:sz w:val="20"/>
                <w:lang w:val="en-AU"/>
              </w:rPr>
              <w:fldChar w:fldCharType="begin">
                <w:fldData xml:space="preserve">PEVuZE5vdGU+PENpdGU+PEF1dGhvcj5PaGxzc29uPC9BdXRob3I+PFllYXI+MjAxOTwvWWVhcj48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Pr>
                <w:rFonts w:asciiTheme="minorHAnsi" w:hAnsiTheme="minorHAnsi"/>
                <w:sz w:val="20"/>
                <w:lang w:val="en-AU"/>
              </w:rPr>
              <w:instrText xml:space="preserve"> ADDIN EN.CITE </w:instrText>
            </w:r>
            <w:r>
              <w:rPr>
                <w:rFonts w:asciiTheme="minorHAnsi" w:hAnsiTheme="minorHAnsi"/>
                <w:sz w:val="20"/>
                <w:lang w:val="en-AU"/>
              </w:rPr>
              <w:fldChar w:fldCharType="begin">
                <w:fldData xml:space="preserve">PEVuZE5vdGU+PENpdGU+PEF1dGhvcj5PaGxzc29uPC9BdXRob3I+PFllYXI+MjAxOTwvWWVhcj48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</w:fldData>
              </w:fldChar>
            </w:r>
            <w:r>
              <w:rPr>
                <w:rFonts w:asciiTheme="minorHAnsi" w:hAnsiTheme="minorHAnsi"/>
                <w:sz w:val="20"/>
                <w:lang w:val="en-AU"/>
              </w:rPr>
              <w:instrText xml:space="preserve"> ADDIN EN.CITE.DATA </w:instrText>
            </w:r>
            <w:r>
              <w:rPr>
                <w:rFonts w:asciiTheme="minorHAnsi" w:hAnsiTheme="minorHAnsi"/>
                <w:sz w:val="20"/>
                <w:lang w:val="en-AU"/>
              </w:rPr>
            </w:r>
            <w:r>
              <w:rPr>
                <w:rFonts w:asciiTheme="minorHAnsi" w:hAnsiTheme="minorHAnsi"/>
                <w:sz w:val="20"/>
                <w:lang w:val="en-AU"/>
              </w:rPr>
              <w:fldChar w:fldCharType="end"/>
            </w:r>
            <w:r>
              <w:rPr>
                <w:rFonts w:asciiTheme="minorHAnsi" w:hAnsiTheme="minorHAnsi"/>
                <w:sz w:val="20"/>
                <w:lang w:val="en-AU"/>
              </w:rPr>
            </w:r>
            <w:r>
              <w:rPr>
                <w:rFonts w:asciiTheme="minorHAnsi" w:hAnsiTheme="minorHAnsi"/>
                <w:sz w:val="20"/>
                <w:lang w:val="en-AU"/>
              </w:rPr>
              <w:fldChar w:fldCharType="separate"/>
            </w:r>
            <w:r>
              <w:rPr>
                <w:rFonts w:asciiTheme="minorHAnsi" w:hAnsiTheme="minorHAnsi"/>
                <w:noProof/>
                <w:sz w:val="20"/>
                <w:lang w:val="en-AU"/>
              </w:rPr>
              <w:t>[5, 6]</w:t>
            </w:r>
            <w:r>
              <w:rPr>
                <w:rFonts w:asciiTheme="minorHAnsi" w:hAnsiTheme="minorHAnsi"/>
                <w:sz w:val="20"/>
                <w:lang w:val="en-AU"/>
              </w:rPr>
              <w:fldChar w:fldCharType="end"/>
            </w:r>
            <w:r>
              <w:rPr>
                <w:rFonts w:cs="Arial" w:asciiTheme="minorHAnsi" w:hAnsiTheme="minorHAnsi"/>
                <w:sz w:val="20"/>
                <w:lang w:val="en-AU"/>
              </w:rPr>
              <w:t xml:space="preserve"> although the rate may be similar to that reported for indomethacin.[8].</w:t>
            </w:r>
          </w:p>
          <w:p w:rsidRPr="008F1F77" w:rsidR="002A5580" w:rsidP="0059793A" w:rsidRDefault="002A5580" w14:paraId="51DE1FD6" w14:textId="77777777">
            <w:pPr>
              <w:pStyle w:val="BodyText"/>
              <w:rPr>
                <w:rFonts w:cs="Arial" w:asciiTheme="minorHAnsi" w:hAnsiTheme="minorHAnsi"/>
                <w:sz w:val="20"/>
                <w:lang w:val="en-AU"/>
              </w:rPr>
            </w:pPr>
            <w:r w:rsidRPr="008F1F77">
              <w:rPr>
                <w:rFonts w:cs="Arial" w:asciiTheme="minorHAnsi" w:hAnsiTheme="minorHAnsi"/>
                <w:sz w:val="20"/>
                <w:lang w:val="en-AU"/>
              </w:rPr>
              <w:t>Ibuprofen may displace bilirubin from albumin at high concentrations in vitro (200 micromol/L)</w:t>
            </w:r>
            <w:r>
              <w:rPr>
                <w:rFonts w:cs="Arial" w:asciiTheme="minorHAnsi" w:hAnsiTheme="minorHAnsi"/>
                <w:sz w:val="20"/>
                <w:lang w:val="en-AU"/>
              </w:rPr>
              <w:t>, [9] although t</w:t>
            </w:r>
            <w:r w:rsidRPr="008F1F77">
              <w:rPr>
                <w:rFonts w:cs="Arial" w:asciiTheme="minorHAnsi" w:hAnsiTheme="minorHAnsi"/>
                <w:sz w:val="20"/>
                <w:lang w:val="en-AU"/>
              </w:rPr>
              <w:t>his does not appear to occur in vivo at the concentrations associated with recommended doses (up to 100 micromol/L).</w:t>
            </w:r>
            <w:r>
              <w:rPr>
                <w:rFonts w:cs="Arial" w:asciiTheme="minorHAnsi" w:hAnsiTheme="minorHAnsi"/>
                <w:sz w:val="20"/>
                <w:lang w:val="en-AU"/>
              </w:rPr>
              <w:t xml:space="preserve"> [10]. </w:t>
            </w:r>
          </w:p>
        </w:tc>
      </w:tr>
      <w:tr w:rsidRPr="0083046D" w:rsidR="002A5580" w:rsidTr="0059793A" w14:paraId="4053DF4C" w14:textId="77777777">
        <w:trPr>
          <w:trHeight w:val="180"/>
        </w:trPr>
        <w:tc>
          <w:tcPr>
            <w:tcW w:w="1133" w:type="pct"/>
          </w:tcPr>
          <w:p w:rsidRPr="00677CEA" w:rsidR="002A5580" w:rsidP="0059793A" w:rsidRDefault="002A5580" w14:paraId="0BA84FE8" w14:textId="77777777">
            <w:pPr>
              <w:pStyle w:val="BodyText"/>
              <w:rPr>
                <w:rFonts w:cs="Arial" w:asciiTheme="minorHAnsi" w:hAnsiTheme="minorHAnsi"/>
                <w:b/>
                <w:bCs/>
                <w:sz w:val="20"/>
                <w:lang w:val="en-AU"/>
              </w:rPr>
            </w:pPr>
            <w:r w:rsidRPr="00677CEA">
              <w:rPr>
                <w:rFonts w:cs="Arial" w:asciiTheme="minorHAnsi" w:hAnsiTheme="minorHAnsi"/>
                <w:b/>
                <w:bCs/>
                <w:sz w:val="20"/>
                <w:lang w:val="en-AU"/>
              </w:rPr>
              <w:lastRenderedPageBreak/>
              <w:t>Compatibility</w:t>
            </w:r>
          </w:p>
        </w:tc>
        <w:tc>
          <w:tcPr>
            <w:tcW w:w="3867" w:type="pct"/>
          </w:tcPr>
          <w:p w:rsidRPr="0083046D" w:rsidR="002A5580" w:rsidP="0059793A" w:rsidRDefault="002A5580" w14:paraId="530E2ECD" w14:textId="77777777">
            <w:pPr>
              <w:pStyle w:val="BodyText"/>
              <w:rPr>
                <w:rFonts w:asciiTheme="minorHAnsi" w:hAnsiTheme="minorHAnsi"/>
                <w:sz w:val="20"/>
                <w:lang w:val="en-AU"/>
              </w:rPr>
            </w:pPr>
            <w:r w:rsidRPr="0083046D">
              <w:rPr>
                <w:rFonts w:asciiTheme="minorHAnsi" w:hAnsiTheme="minorHAnsi"/>
                <w:sz w:val="20"/>
                <w:lang w:val="en-AU"/>
              </w:rPr>
              <w:t>Fluids:</w:t>
            </w:r>
            <w:r>
              <w:rPr>
                <w:rFonts w:asciiTheme="minorHAnsi" w:hAnsiTheme="minorHAnsi"/>
                <w:sz w:val="20"/>
                <w:lang w:val="en-AU"/>
              </w:rPr>
              <w:t xml:space="preserve"> Pedea, neoprofen, caldolor -  </w:t>
            </w:r>
            <w:r w:rsidRPr="0083046D">
              <w:rPr>
                <w:rFonts w:asciiTheme="minorHAnsi" w:hAnsiTheme="minorHAnsi"/>
                <w:sz w:val="20"/>
                <w:lang w:val="en-AU"/>
              </w:rPr>
              <w:t>Sodium chloride 0.9%, glucose 5%</w:t>
            </w:r>
            <w:r>
              <w:rPr>
                <w:rFonts w:asciiTheme="minorHAnsi" w:hAnsiTheme="minorHAnsi"/>
                <w:sz w:val="20"/>
                <w:lang w:val="en-AU"/>
              </w:rPr>
              <w:t>. NeoProfen only- sterile water for injection.</w:t>
            </w:r>
            <w:r w:rsidRPr="00DB4CFC">
              <w:rPr>
                <w:rFonts w:asciiTheme="minorHAnsi" w:hAnsiTheme="minorHAnsi"/>
                <w:sz w:val="20"/>
                <w:vertAlign w:val="superscript"/>
                <w:lang w:val="en-AU"/>
              </w:rPr>
              <w:t>36</w:t>
            </w:r>
          </w:p>
          <w:p w:rsidR="002A5580" w:rsidP="0059793A" w:rsidRDefault="002A5580" w14:paraId="62265F2A" w14:textId="77777777">
            <w:pPr>
              <w:pStyle w:val="BodyText"/>
              <w:rPr>
                <w:rFonts w:asciiTheme="minorHAnsi" w:hAnsiTheme="minorHAnsi"/>
                <w:sz w:val="20"/>
              </w:rPr>
            </w:pPr>
            <w:r w:rsidRPr="0083046D">
              <w:rPr>
                <w:rFonts w:asciiTheme="minorHAnsi" w:hAnsiTheme="minorHAnsi"/>
                <w:sz w:val="20"/>
                <w:lang w:val="en-AU"/>
              </w:rPr>
              <w:t xml:space="preserve">Y site: </w:t>
            </w:r>
            <w:r w:rsidRPr="0083046D">
              <w:rPr>
                <w:rFonts w:asciiTheme="minorHAnsi" w:hAnsiTheme="minorHAnsi"/>
                <w:sz w:val="20"/>
              </w:rPr>
              <w:t>Pedea</w:t>
            </w:r>
            <w:r w:rsidRPr="0083046D">
              <w:rPr>
                <w:rFonts w:cs="Arial" w:asciiTheme="minorHAnsi" w:hAnsiTheme="minorHAnsi"/>
                <w:sz w:val="20"/>
              </w:rPr>
              <w:t xml:space="preserve"> </w:t>
            </w:r>
            <w:r w:rsidRPr="0083046D">
              <w:rPr>
                <w:rFonts w:asciiTheme="minorHAnsi" w:hAnsiTheme="minorHAnsi"/>
                <w:sz w:val="20"/>
              </w:rPr>
              <w:t>: Not tested.</w:t>
            </w:r>
          </w:p>
          <w:p w:rsidR="002A5580" w:rsidP="0059793A" w:rsidRDefault="002A5580" w14:paraId="751DAF49" w14:textId="77777777">
            <w:pPr>
              <w:pStyle w:val="BodyText"/>
              <w:rPr>
                <w:rFonts w:asciiTheme="minorHAnsi" w:hAnsiTheme="minorHAnsi"/>
                <w:sz w:val="20"/>
                <w:lang w:val="en-AU"/>
              </w:rPr>
            </w:pPr>
            <w:r>
              <w:rPr>
                <w:rFonts w:asciiTheme="minorHAnsi" w:hAnsiTheme="minorHAnsi"/>
                <w:sz w:val="20"/>
                <w:lang w:val="en-AU"/>
              </w:rPr>
              <w:t xml:space="preserve">Y site: </w:t>
            </w:r>
            <w:r w:rsidRPr="0083046D">
              <w:rPr>
                <w:rFonts w:asciiTheme="minorHAnsi" w:hAnsiTheme="minorHAnsi"/>
                <w:sz w:val="20"/>
                <w:lang w:val="en-AU"/>
              </w:rPr>
              <w:t xml:space="preserve">Neoprofen: Ceftazidime, </w:t>
            </w:r>
            <w:r>
              <w:rPr>
                <w:rFonts w:asciiTheme="minorHAnsi" w:hAnsiTheme="minorHAnsi"/>
                <w:sz w:val="20"/>
                <w:lang w:val="en-AU"/>
              </w:rPr>
              <w:t xml:space="preserve">epinephrine hydrochloride, </w:t>
            </w:r>
            <w:r w:rsidRPr="0083046D">
              <w:rPr>
                <w:rFonts w:asciiTheme="minorHAnsi" w:hAnsiTheme="minorHAnsi"/>
                <w:sz w:val="20"/>
                <w:lang w:val="en-AU"/>
              </w:rPr>
              <w:t>f</w:t>
            </w:r>
            <w:r>
              <w:rPr>
                <w:rFonts w:asciiTheme="minorHAnsi" w:hAnsiTheme="minorHAnsi"/>
                <w:sz w:val="20"/>
                <w:lang w:val="en-AU"/>
              </w:rPr>
              <w:t>urose</w:t>
            </w:r>
            <w:r w:rsidRPr="0083046D">
              <w:rPr>
                <w:rFonts w:asciiTheme="minorHAnsi" w:hAnsiTheme="minorHAnsi"/>
                <w:sz w:val="20"/>
                <w:lang w:val="en-AU"/>
              </w:rPr>
              <w:t>mide, heparin sodium,</w:t>
            </w:r>
            <w:r>
              <w:rPr>
                <w:rFonts w:asciiTheme="minorHAnsi" w:hAnsiTheme="minorHAnsi"/>
                <w:sz w:val="20"/>
                <w:lang w:val="en-AU"/>
              </w:rPr>
              <w:t xml:space="preserve"> insulin, phenobarbital sodium,</w:t>
            </w:r>
            <w:r w:rsidRPr="0083046D">
              <w:rPr>
                <w:rFonts w:asciiTheme="minorHAnsi" w:hAnsiTheme="minorHAnsi"/>
                <w:sz w:val="20"/>
                <w:lang w:val="en-AU"/>
              </w:rPr>
              <w:t xml:space="preserve"> potassium chloride</w:t>
            </w:r>
            <w:r>
              <w:rPr>
                <w:rFonts w:asciiTheme="minorHAnsi" w:hAnsiTheme="minorHAnsi"/>
                <w:sz w:val="20"/>
                <w:lang w:val="en-AU"/>
              </w:rPr>
              <w:t>, sodium bicarbonate</w:t>
            </w:r>
          </w:p>
          <w:p w:rsidRPr="0083046D" w:rsidR="002A5580" w:rsidP="0059793A" w:rsidRDefault="002A5580" w14:paraId="0EDA8C58" w14:textId="77777777">
            <w:pPr>
              <w:pStyle w:val="BodyText"/>
              <w:rPr>
                <w:rFonts w:asciiTheme="minorHAnsi" w:hAnsiTheme="minorHAnsi"/>
                <w:sz w:val="20"/>
                <w:lang w:val="en-AU"/>
              </w:rPr>
            </w:pPr>
            <w:r>
              <w:rPr>
                <w:rFonts w:asciiTheme="minorHAnsi" w:hAnsiTheme="minorHAnsi"/>
                <w:sz w:val="20"/>
                <w:lang w:val="en-AU"/>
              </w:rPr>
              <w:t>Y site: Caldolor: Metoprolol tartrate</w:t>
            </w:r>
          </w:p>
          <w:p w:rsidRPr="0083046D" w:rsidR="002A5580" w:rsidP="0059793A" w:rsidRDefault="002A5580" w14:paraId="7146B327" w14:textId="77777777">
            <w:pPr>
              <w:pStyle w:val="BodyText"/>
              <w:rPr>
                <w:rFonts w:asciiTheme="minorHAnsi" w:hAnsiTheme="minorHAnsi"/>
                <w:sz w:val="20"/>
                <w:lang w:val="en-AU"/>
              </w:rPr>
            </w:pPr>
          </w:p>
        </w:tc>
      </w:tr>
      <w:tr w:rsidRPr="0083046D" w:rsidR="002A5580" w:rsidTr="0059793A" w14:paraId="06E05430" w14:textId="77777777">
        <w:trPr>
          <w:trHeight w:val="230"/>
        </w:trPr>
        <w:tc>
          <w:tcPr>
            <w:tcW w:w="1133" w:type="pct"/>
          </w:tcPr>
          <w:p w:rsidRPr="00677CEA" w:rsidR="002A5580" w:rsidP="0059793A" w:rsidRDefault="002A5580" w14:paraId="6CAA3176" w14:textId="77777777">
            <w:pPr>
              <w:pStyle w:val="BodyText"/>
              <w:rPr>
                <w:rFonts w:cs="Arial" w:asciiTheme="minorHAnsi" w:hAnsiTheme="minorHAnsi"/>
                <w:b/>
                <w:bCs/>
                <w:sz w:val="20"/>
                <w:lang w:val="en-AU"/>
              </w:rPr>
            </w:pPr>
            <w:r w:rsidRPr="00677CEA">
              <w:rPr>
                <w:rFonts w:cs="Arial" w:asciiTheme="minorHAnsi" w:hAnsiTheme="minorHAnsi"/>
                <w:b/>
                <w:bCs/>
                <w:sz w:val="20"/>
                <w:lang w:val="en-AU"/>
              </w:rPr>
              <w:t>Incompatibility</w:t>
            </w:r>
          </w:p>
        </w:tc>
        <w:tc>
          <w:tcPr>
            <w:tcW w:w="3867" w:type="pct"/>
          </w:tcPr>
          <w:p w:rsidRPr="0083046D" w:rsidR="002A5580" w:rsidP="0059793A" w:rsidRDefault="002A5580" w14:paraId="58386750" w14:textId="77777777">
            <w:pPr>
              <w:pStyle w:val="BodyText"/>
              <w:rPr>
                <w:rFonts w:cs="Arial" w:asciiTheme="minorHAnsi" w:hAnsiTheme="minorHAnsi"/>
                <w:sz w:val="20"/>
                <w:lang w:val="en-AU"/>
              </w:rPr>
            </w:pPr>
            <w:r w:rsidRPr="0083046D">
              <w:rPr>
                <w:rFonts w:asciiTheme="minorHAnsi" w:hAnsiTheme="minorHAnsi"/>
                <w:sz w:val="20"/>
              </w:rPr>
              <w:t xml:space="preserve">Caldolor </w:t>
            </w:r>
            <w:r w:rsidRPr="0083046D">
              <w:rPr>
                <w:rFonts w:cs="Arial" w:asciiTheme="minorHAnsi" w:hAnsiTheme="minorHAnsi"/>
                <w:sz w:val="20"/>
              </w:rPr>
              <w:t>(ibuprofen arginine)</w:t>
            </w:r>
            <w:r w:rsidRPr="0083046D">
              <w:rPr>
                <w:rFonts w:asciiTheme="minorHAnsi" w:hAnsiTheme="minorHAnsi"/>
                <w:sz w:val="20"/>
              </w:rPr>
              <w:t xml:space="preserve">, Neoprofen </w:t>
            </w:r>
            <w:r w:rsidRPr="0083046D">
              <w:rPr>
                <w:rFonts w:cs="Arial" w:asciiTheme="minorHAnsi" w:hAnsiTheme="minorHAnsi"/>
                <w:sz w:val="20"/>
              </w:rPr>
              <w:t>(ibuprofen lysine)</w:t>
            </w:r>
            <w:r w:rsidRPr="0083046D">
              <w:rPr>
                <w:rFonts w:asciiTheme="minorHAnsi" w:hAnsiTheme="minorHAnsi"/>
                <w:sz w:val="20"/>
              </w:rPr>
              <w:t xml:space="preserve"> and Pedea </w:t>
            </w:r>
            <w:r w:rsidRPr="0083046D">
              <w:rPr>
                <w:rFonts w:cs="Arial" w:asciiTheme="minorHAnsi" w:hAnsiTheme="minorHAnsi"/>
                <w:sz w:val="20"/>
              </w:rPr>
              <w:t xml:space="preserve">(ibuprofen sodium) </w:t>
            </w:r>
            <w:r w:rsidRPr="0083046D">
              <w:rPr>
                <w:rFonts w:asciiTheme="minorHAnsi" w:hAnsiTheme="minorHAnsi"/>
                <w:sz w:val="20"/>
              </w:rPr>
              <w:t>- regard all other IV solutions and drugs as incompatible.</w:t>
            </w:r>
          </w:p>
        </w:tc>
      </w:tr>
      <w:tr w:rsidRPr="0083046D" w:rsidR="002A5580" w:rsidTr="0059793A" w14:paraId="219B5353" w14:textId="77777777">
        <w:trPr>
          <w:trHeight w:val="79"/>
        </w:trPr>
        <w:tc>
          <w:tcPr>
            <w:tcW w:w="1133" w:type="pct"/>
          </w:tcPr>
          <w:p w:rsidRPr="00677CEA" w:rsidR="002A5580" w:rsidP="0059793A" w:rsidRDefault="002A5580" w14:paraId="670A6D08" w14:textId="77777777">
            <w:pPr>
              <w:pStyle w:val="BodyText"/>
              <w:rPr>
                <w:rFonts w:cs="Arial" w:asciiTheme="minorHAnsi" w:hAnsiTheme="minorHAnsi"/>
                <w:b/>
                <w:bCs/>
                <w:sz w:val="20"/>
                <w:lang w:val="en-AU"/>
              </w:rPr>
            </w:pPr>
            <w:r w:rsidRPr="00677CEA">
              <w:rPr>
                <w:rFonts w:cs="Arial" w:asciiTheme="minorHAnsi" w:hAnsiTheme="minorHAnsi"/>
                <w:b/>
                <w:bCs/>
                <w:sz w:val="20"/>
                <w:lang w:val="en-AU"/>
              </w:rPr>
              <w:t xml:space="preserve">Stability   </w:t>
            </w:r>
          </w:p>
        </w:tc>
        <w:tc>
          <w:tcPr>
            <w:tcW w:w="3867" w:type="pct"/>
          </w:tcPr>
          <w:p w:rsidRPr="0083046D" w:rsidR="002A5580" w:rsidP="0059793A" w:rsidRDefault="002A5580" w14:paraId="1605C392" w14:textId="77777777">
            <w:pPr>
              <w:pStyle w:val="BodyText"/>
              <w:rPr>
                <w:rFonts w:asciiTheme="minorHAnsi" w:hAnsiTheme="minorHAnsi"/>
                <w:sz w:val="20"/>
                <w:lang w:val="en-AU"/>
              </w:rPr>
            </w:pPr>
            <w:r w:rsidRPr="0083046D">
              <w:rPr>
                <w:rFonts w:asciiTheme="minorHAnsi" w:hAnsiTheme="minorHAnsi"/>
                <w:sz w:val="20"/>
                <w:lang w:val="en-AU"/>
              </w:rPr>
              <w:t>Caldolor: Diluted solutions are stable for up to 24 hours at room temperature (20−25° C) and room lighting.</w:t>
            </w:r>
          </w:p>
          <w:p w:rsidRPr="0083046D" w:rsidR="002A5580" w:rsidP="0059793A" w:rsidRDefault="002A5580" w14:paraId="762C6E95" w14:textId="77777777">
            <w:pPr>
              <w:pStyle w:val="BodyText"/>
              <w:rPr>
                <w:rFonts w:cs="Arial" w:asciiTheme="minorHAnsi" w:hAnsiTheme="minorHAnsi"/>
                <w:sz w:val="20"/>
                <w:lang w:val="en-AU"/>
              </w:rPr>
            </w:pPr>
            <w:r w:rsidRPr="0083046D">
              <w:rPr>
                <w:rFonts w:asciiTheme="minorHAnsi" w:hAnsiTheme="minorHAnsi"/>
                <w:sz w:val="20"/>
              </w:rPr>
              <w:t>Neoprofen and Pedea: Discard unused portion once opened.</w:t>
            </w:r>
          </w:p>
        </w:tc>
      </w:tr>
      <w:tr w:rsidRPr="0083046D" w:rsidR="002A5580" w:rsidTr="0059793A" w14:paraId="16D57594" w14:textId="77777777">
        <w:trPr>
          <w:trHeight w:val="70"/>
        </w:trPr>
        <w:tc>
          <w:tcPr>
            <w:tcW w:w="1133" w:type="pct"/>
          </w:tcPr>
          <w:p w:rsidRPr="00677CEA" w:rsidR="002A5580" w:rsidP="0059793A" w:rsidRDefault="002A5580" w14:paraId="5ED8611B" w14:textId="77777777">
            <w:pPr>
              <w:pStyle w:val="BodyText"/>
              <w:rPr>
                <w:rFonts w:cs="Arial" w:asciiTheme="minorHAnsi" w:hAnsiTheme="minorHAnsi"/>
                <w:b/>
                <w:bCs/>
                <w:sz w:val="20"/>
                <w:lang w:val="en-AU"/>
              </w:rPr>
            </w:pPr>
            <w:r w:rsidRPr="00677CEA">
              <w:rPr>
                <w:rFonts w:cs="Arial" w:asciiTheme="minorHAnsi" w:hAnsiTheme="minorHAnsi"/>
                <w:b/>
                <w:bCs/>
                <w:sz w:val="20"/>
                <w:lang w:val="en-AU"/>
              </w:rPr>
              <w:t xml:space="preserve">Storage             </w:t>
            </w:r>
          </w:p>
        </w:tc>
        <w:tc>
          <w:tcPr>
            <w:tcW w:w="3867" w:type="pct"/>
          </w:tcPr>
          <w:p w:rsidRPr="0083046D" w:rsidR="002A5580" w:rsidP="0059793A" w:rsidRDefault="002A5580" w14:paraId="2E122D5D" w14:textId="77777777">
            <w:pPr>
              <w:pStyle w:val="BodyText"/>
              <w:rPr>
                <w:rFonts w:asciiTheme="minorHAnsi" w:hAnsiTheme="minorHAnsi"/>
                <w:sz w:val="20"/>
                <w:lang w:val="en-AU"/>
              </w:rPr>
            </w:pPr>
            <w:r w:rsidRPr="0083046D">
              <w:rPr>
                <w:rFonts w:asciiTheme="minorHAnsi" w:hAnsiTheme="minorHAnsi"/>
                <w:sz w:val="20"/>
                <w:lang w:val="en-AU"/>
              </w:rPr>
              <w:t xml:space="preserve">IV − store unopened vials at room temperature (20−25°C). </w:t>
            </w:r>
          </w:p>
          <w:p w:rsidRPr="0083046D" w:rsidR="002A5580" w:rsidP="0059793A" w:rsidRDefault="002A5580" w14:paraId="0A63197D" w14:textId="77777777">
            <w:pPr>
              <w:pStyle w:val="BodyText"/>
              <w:rPr>
                <w:rFonts w:cs="Arial" w:asciiTheme="minorHAnsi" w:hAnsiTheme="minorHAnsi"/>
                <w:sz w:val="20"/>
                <w:lang w:val="en-AU"/>
              </w:rPr>
            </w:pPr>
            <w:r w:rsidRPr="0083046D">
              <w:rPr>
                <w:rFonts w:asciiTheme="minorHAnsi" w:hAnsiTheme="minorHAnsi"/>
                <w:sz w:val="20"/>
              </w:rPr>
              <w:t>Oral liquid − store below 25°C.</w:t>
            </w:r>
          </w:p>
        </w:tc>
      </w:tr>
      <w:tr w:rsidRPr="0083046D" w:rsidR="002A5580" w:rsidTr="0059793A" w14:paraId="4C055E31" w14:textId="77777777">
        <w:trPr>
          <w:trHeight w:val="70"/>
        </w:trPr>
        <w:tc>
          <w:tcPr>
            <w:tcW w:w="1133" w:type="pct"/>
          </w:tcPr>
          <w:p w:rsidRPr="0083046D" w:rsidR="002A5580" w:rsidP="0059793A" w:rsidRDefault="002A5580" w14:paraId="160C65D7"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Excipients</w:t>
            </w:r>
          </w:p>
        </w:tc>
        <w:tc>
          <w:tcPr>
            <w:tcW w:w="3867" w:type="pct"/>
          </w:tcPr>
          <w:p w:rsidRPr="0083046D" w:rsidR="002A5580" w:rsidP="0059793A" w:rsidRDefault="002A5580" w14:paraId="74ABAFFC" w14:textId="77777777">
            <w:pPr>
              <w:pStyle w:val="BodyText"/>
              <w:rPr>
                <w:rFonts w:cs="Arial" w:asciiTheme="minorHAnsi" w:hAnsiTheme="minorHAnsi"/>
                <w:sz w:val="20"/>
                <w:lang w:val="en-AU"/>
              </w:rPr>
            </w:pPr>
            <w:r w:rsidRPr="0083046D">
              <w:rPr>
                <w:rFonts w:cs="Arial" w:asciiTheme="minorHAnsi" w:hAnsiTheme="minorHAnsi"/>
                <w:sz w:val="20"/>
                <w:lang w:val="en-AU"/>
              </w:rPr>
              <w:t>PEDEA - Each 1 ml of PEDEA contains the following inactive ingredients: trometamol (3.78 mg), sodium hydroxide (0.14 mg), sodium chloride (7.3 mg), hydrochloric acid and water for injections. The headspace within the ampoules is filled with nitrogen.</w:t>
            </w:r>
          </w:p>
          <w:p w:rsidRPr="0083046D" w:rsidR="002A5580" w:rsidP="0059793A" w:rsidRDefault="002A5580" w14:paraId="798B504D" w14:textId="77777777">
            <w:pPr>
              <w:pStyle w:val="BodyText"/>
              <w:rPr>
                <w:rFonts w:cs="Arial" w:asciiTheme="minorHAnsi" w:hAnsiTheme="minorHAnsi"/>
                <w:sz w:val="20"/>
                <w:lang w:val="en-AU"/>
              </w:rPr>
            </w:pPr>
          </w:p>
          <w:p w:rsidRPr="0083046D" w:rsidR="002A5580" w:rsidP="0059793A" w:rsidRDefault="002A5580" w14:paraId="7094A09E" w14:textId="77777777">
            <w:pPr>
              <w:pStyle w:val="BodyText"/>
              <w:rPr>
                <w:rFonts w:cs="Arial" w:asciiTheme="minorHAnsi" w:hAnsiTheme="minorHAnsi"/>
                <w:sz w:val="20"/>
                <w:lang w:val="en-AU"/>
              </w:rPr>
            </w:pPr>
            <w:r w:rsidRPr="0083046D">
              <w:rPr>
                <w:rFonts w:cs="Arial" w:asciiTheme="minorHAnsi" w:hAnsiTheme="minorHAnsi"/>
                <w:sz w:val="20"/>
                <w:lang w:val="en-AU"/>
              </w:rPr>
              <w:t>Caldolor – Each 1 mL of Caldolor also contains 78 mg of arginine at a molar ratio of 0.92:1 arginine: ibuprofen. Hydrochloric acid is added for pH adjustment.</w:t>
            </w:r>
          </w:p>
          <w:p w:rsidRPr="0083046D" w:rsidR="002A5580" w:rsidP="0059793A" w:rsidRDefault="002A5580" w14:paraId="10E2B6FA" w14:textId="77777777">
            <w:pPr>
              <w:pStyle w:val="BodyText"/>
              <w:rPr>
                <w:rFonts w:cs="Arial" w:asciiTheme="minorHAnsi" w:hAnsiTheme="minorHAnsi"/>
                <w:sz w:val="20"/>
                <w:lang w:val="en-AU"/>
              </w:rPr>
            </w:pPr>
          </w:p>
          <w:p w:rsidR="002A5580" w:rsidP="0059793A" w:rsidRDefault="002A5580" w14:paraId="649245BF" w14:textId="77777777">
            <w:pPr>
              <w:pStyle w:val="BodyText"/>
              <w:rPr>
                <w:rFonts w:cs="Arial" w:asciiTheme="minorHAnsi" w:hAnsiTheme="minorHAnsi"/>
                <w:sz w:val="20"/>
              </w:rPr>
            </w:pPr>
            <w:r w:rsidRPr="0083046D">
              <w:rPr>
                <w:rFonts w:cs="Arial" w:asciiTheme="minorHAnsi" w:hAnsiTheme="minorHAnsi"/>
                <w:sz w:val="20"/>
              </w:rPr>
              <w:t>Neoprofen - Each mL of NeoProfen contains 17.1 mg of ibuprofen lysine (equivalent to 10 mg of (±)-ibuprofen) in Water for Injection. The pH is adjusted to 7.0 with sodium hydroxide or hydrochloric acid.</w:t>
            </w:r>
          </w:p>
          <w:p w:rsidR="002A5580" w:rsidP="0059793A" w:rsidRDefault="002A5580" w14:paraId="5A8AA1AD" w14:textId="77777777">
            <w:pPr>
              <w:pStyle w:val="BodyText"/>
              <w:rPr>
                <w:rFonts w:cs="Arial" w:asciiTheme="minorHAnsi" w:hAnsiTheme="minorHAnsi"/>
                <w:sz w:val="20"/>
              </w:rPr>
            </w:pPr>
          </w:p>
          <w:p w:rsidRPr="008522AE" w:rsidR="002A5580" w:rsidP="0059793A" w:rsidRDefault="002A5580" w14:paraId="13695C44" w14:textId="77777777">
            <w:pPr>
              <w:pStyle w:val="BodyText"/>
              <w:rPr>
                <w:rFonts w:asciiTheme="minorHAnsi" w:hAnsiTheme="minorHAnsi" w:cstheme="minorHAnsi"/>
                <w:sz w:val="20"/>
                <w:lang w:val="en-AU"/>
              </w:rPr>
            </w:pPr>
            <w:r>
              <w:rPr>
                <w:rFonts w:asciiTheme="minorHAnsi" w:hAnsiTheme="minorHAnsi" w:cstheme="minorHAnsi"/>
                <w:sz w:val="20"/>
                <w:lang w:val="en-AU"/>
              </w:rPr>
              <w:t xml:space="preserve">Fenpaed - </w:t>
            </w:r>
            <w:r w:rsidRPr="00DB4CFC">
              <w:rPr>
                <w:rFonts w:asciiTheme="minorHAnsi" w:hAnsiTheme="minorHAnsi" w:cstheme="minorHAnsi"/>
                <w:sz w:val="20"/>
              </w:rPr>
              <w:t>contains glycerol, xanthan gum, maltitol, polysorbate 80, saccharin sodium, citric acid monohydrate, sodium methyl hydroxybenzoate, sodium propyl hydroxybenzoate, purified water and strawberry flavour</w:t>
            </w:r>
            <w:r>
              <w:rPr>
                <w:rFonts w:asciiTheme="minorHAnsi" w:hAnsiTheme="minorHAnsi" w:cstheme="minorHAnsi"/>
                <w:sz w:val="20"/>
                <w:lang w:val="en-AU"/>
              </w:rPr>
              <w:t xml:space="preserve">. </w:t>
            </w:r>
          </w:p>
        </w:tc>
      </w:tr>
      <w:tr w:rsidRPr="0083046D" w:rsidR="002A5580" w:rsidTr="0059793A" w14:paraId="1F94526B" w14:textId="77777777">
        <w:trPr>
          <w:trHeight w:val="270"/>
        </w:trPr>
        <w:tc>
          <w:tcPr>
            <w:tcW w:w="1133" w:type="pct"/>
          </w:tcPr>
          <w:p w:rsidRPr="0083046D" w:rsidR="002A5580" w:rsidP="0059793A" w:rsidRDefault="002A5580" w14:paraId="04FB4E34"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Special comments       </w:t>
            </w:r>
          </w:p>
        </w:tc>
        <w:tc>
          <w:tcPr>
            <w:tcW w:w="3867" w:type="pct"/>
          </w:tcPr>
          <w:p w:rsidRPr="0083046D" w:rsidR="002A5580" w:rsidP="0059793A" w:rsidRDefault="002A5580" w14:paraId="37F3D08C" w14:textId="77777777">
            <w:pPr>
              <w:pStyle w:val="BodyText"/>
              <w:rPr>
                <w:rFonts w:cs="Arial" w:asciiTheme="minorHAnsi" w:hAnsiTheme="minorHAnsi"/>
                <w:sz w:val="20"/>
                <w:lang w:val="en-AU"/>
              </w:rPr>
            </w:pPr>
            <w:r w:rsidRPr="0083046D">
              <w:rPr>
                <w:rFonts w:cs="Arial" w:asciiTheme="minorHAnsi" w:hAnsiTheme="minorHAnsi"/>
                <w:sz w:val="20"/>
              </w:rPr>
              <w:t>Nil</w:t>
            </w:r>
          </w:p>
        </w:tc>
      </w:tr>
      <w:tr w:rsidRPr="0083046D" w:rsidR="002A5580" w:rsidTr="0059793A" w14:paraId="11443BEB" w14:textId="77777777">
        <w:trPr>
          <w:trHeight w:val="280"/>
        </w:trPr>
        <w:tc>
          <w:tcPr>
            <w:tcW w:w="1133" w:type="pct"/>
          </w:tcPr>
          <w:p w:rsidRPr="0083046D" w:rsidR="002A5580" w:rsidP="0059793A" w:rsidRDefault="002A5580" w14:paraId="182A9842"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t xml:space="preserve">Evidence </w:t>
            </w:r>
          </w:p>
        </w:tc>
        <w:tc>
          <w:tcPr>
            <w:tcW w:w="3867" w:type="pct"/>
          </w:tcPr>
          <w:p w:rsidRPr="00CD0750" w:rsidR="002A5580" w:rsidP="0059793A" w:rsidRDefault="002A5580" w14:paraId="351FD719" w14:textId="77777777">
            <w:pPr>
              <w:pStyle w:val="BodyText"/>
              <w:tabs>
                <w:tab w:val="left" w:pos="1168"/>
              </w:tabs>
              <w:rPr>
                <w:rFonts w:asciiTheme="minorHAnsi" w:hAnsiTheme="minorHAnsi"/>
                <w:b/>
                <w:sz w:val="16"/>
                <w:szCs w:val="16"/>
                <w:lang w:val="en-AU"/>
              </w:rPr>
            </w:pPr>
            <w:r w:rsidRPr="00CD0750">
              <w:rPr>
                <w:rFonts w:asciiTheme="minorHAnsi" w:hAnsiTheme="minorHAnsi"/>
                <w:b/>
                <w:sz w:val="16"/>
                <w:szCs w:val="16"/>
                <w:lang w:val="en-AU"/>
              </w:rPr>
              <w:t>Treatment of patent ductus arteriosus in term infants</w:t>
            </w:r>
          </w:p>
          <w:p w:rsidRPr="00CD0750" w:rsidR="002A5580" w:rsidP="0059793A" w:rsidRDefault="002A5580" w14:paraId="218B99A0"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Because most term infants and children with PDA are asymptomatic, acute medical treatment before definitive closure is usually not necessary. Those with symptoms usually improve with a standard short term regimen of fluid restriction and diuretics. [11,12] Indomethacin has been reported to constrict the ductus in case series of term infants with PDA (25/41; 61%) and infants with genetic disorders and/or congenital abnormality (67/85; 79%). [12,13] There are no reports of use of ibuprofen for treatment of a PDA in term infants. </w:t>
            </w:r>
          </w:p>
          <w:p w:rsidRPr="00CD0750" w:rsidR="002A5580" w:rsidP="0059793A" w:rsidRDefault="002A5580" w14:paraId="039143CE" w14:textId="77777777">
            <w:pPr>
              <w:pStyle w:val="BodyText"/>
              <w:tabs>
                <w:tab w:val="left" w:pos="1168"/>
              </w:tabs>
              <w:rPr>
                <w:rFonts w:asciiTheme="minorHAnsi" w:hAnsiTheme="minorHAnsi"/>
                <w:b/>
                <w:sz w:val="16"/>
                <w:szCs w:val="16"/>
                <w:lang w:val="en-AU"/>
              </w:rPr>
            </w:pPr>
            <w:r w:rsidRPr="00CD0750">
              <w:rPr>
                <w:rFonts w:asciiTheme="minorHAnsi" w:hAnsiTheme="minorHAnsi"/>
                <w:b/>
                <w:sz w:val="16"/>
                <w:szCs w:val="16"/>
                <w:lang w:val="en-AU"/>
              </w:rPr>
              <w:t xml:space="preserve">Patent ductus arteriosus in preterm infants </w:t>
            </w:r>
          </w:p>
          <w:p w:rsidRPr="00CD0750" w:rsidR="002A5580" w:rsidP="0059793A" w:rsidRDefault="002A5580" w14:paraId="76E2DD8B" w14:textId="77777777">
            <w:pPr>
              <w:rPr>
                <w:rFonts w:asciiTheme="minorHAnsi" w:hAnsiTheme="minorHAnsi"/>
                <w:sz w:val="16"/>
                <w:szCs w:val="16"/>
              </w:rPr>
            </w:pPr>
            <w:r w:rsidRPr="00CD0750">
              <w:rPr>
                <w:rFonts w:asciiTheme="minorHAnsi" w:hAnsiTheme="minorHAnsi"/>
                <w:sz w:val="16"/>
                <w:szCs w:val="16"/>
              </w:rPr>
              <w:t>In preterm infants closure of the ductus is delayed, remaining open at 7 days of age in approximately 2% of infants born at 30-37 weeks’ gestation, 65% of those born at 25 through 28 weeks’ gestation, and  87% of those born at 24 weeks’ gestation.[14] The ductus is likely to close without treatment in infants born at &gt;28 weeks’ gestation (73%),[15] in those with birth weight &gt;1000 g (94%),[16] and in infants born at 26-29 weeks’ gestation who do not have respiratory distress syndrome (93%). [17] Data from placebo arms of controlled trials demonstrate that spontaneous ductal closure among smaller, less mature infants with respiratory distress syndrome is frequent. In the Trial of Indomethacin Prophylaxis in Preterms which included infants with birth weight from 500 to 999 g, 50% of placebo recipients never developed clinical signs of a PDA. [18] In a trial of early versus late indomethacin treatment of infants born at 26-31 weeks’ gestation in which PDA was confirmed by echocardiography on day 3, the ductus closed spontaneously by 9 days of age in 78% of those randomized to late intervention. [19] In a cohort of 842 infants,  a haemodynamically significant PDA occurred in 70% (106/151) of infants born at 23-24 weeks and in 59% (405/691) of infants born at 25-28 weeks of gestation. [20]</w:t>
            </w:r>
            <w:r w:rsidRPr="00CD0750" w:rsidDel="00F0135B">
              <w:rPr>
                <w:rFonts w:asciiTheme="minorHAnsi" w:hAnsiTheme="minorHAnsi"/>
                <w:sz w:val="16"/>
                <w:szCs w:val="16"/>
              </w:rPr>
              <w:t xml:space="preserve"> </w:t>
            </w:r>
          </w:p>
          <w:p w:rsidRPr="00CD0750" w:rsidR="002A5580" w:rsidP="0059793A" w:rsidRDefault="002A5580" w14:paraId="785A2809" w14:textId="77777777">
            <w:pPr>
              <w:rPr>
                <w:rFonts w:asciiTheme="minorHAnsi" w:hAnsiTheme="minorHAnsi"/>
                <w:sz w:val="16"/>
                <w:szCs w:val="16"/>
              </w:rPr>
            </w:pPr>
          </w:p>
          <w:p w:rsidRPr="00CD0750" w:rsidR="002A5580" w:rsidP="0059793A" w:rsidRDefault="002A5580" w14:paraId="35BEDBEE" w14:textId="77777777">
            <w:pPr>
              <w:rPr>
                <w:rFonts w:asciiTheme="minorHAnsi" w:hAnsiTheme="minorHAnsi"/>
                <w:sz w:val="16"/>
                <w:szCs w:val="16"/>
              </w:rPr>
            </w:pPr>
            <w:r w:rsidRPr="00CD0750">
              <w:rPr>
                <w:rFonts w:asciiTheme="minorHAnsi" w:hAnsiTheme="minorHAnsi"/>
                <w:b/>
                <w:sz w:val="16"/>
                <w:szCs w:val="16"/>
              </w:rPr>
              <w:t>Efficacy</w:t>
            </w:r>
          </w:p>
          <w:p w:rsidRPr="00CD0750" w:rsidR="002A5580" w:rsidP="0059793A" w:rsidRDefault="002A5580" w14:paraId="7607FA45" w14:textId="77777777">
            <w:pPr>
              <w:pStyle w:val="BodyText"/>
              <w:tabs>
                <w:tab w:val="left" w:pos="1168"/>
              </w:tabs>
              <w:rPr>
                <w:rFonts w:asciiTheme="minorHAnsi" w:hAnsiTheme="minorHAnsi"/>
                <w:b/>
                <w:sz w:val="16"/>
                <w:szCs w:val="16"/>
                <w:lang w:val="en-AU"/>
              </w:rPr>
            </w:pPr>
            <w:r w:rsidRPr="00CD0750">
              <w:rPr>
                <w:rFonts w:asciiTheme="minorHAnsi" w:hAnsiTheme="minorHAnsi"/>
                <w:b/>
                <w:sz w:val="16"/>
                <w:szCs w:val="16"/>
                <w:lang w:val="en-AU"/>
              </w:rPr>
              <w:t>Ibuprofen for the prevention of patent ductus arteriosus in preterm and/or low birth weight infants</w:t>
            </w:r>
          </w:p>
          <w:p w:rsidRPr="00CD0750" w:rsidR="002A5580" w:rsidP="0059793A" w:rsidRDefault="002A5580" w14:paraId="2B192DD7"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Systematic review found prophylactic ibuprofen (IV or oral) decreased the risk of PDA on day 3 or 4 (RR 0.39, 95% CI 0.31 to 0.48; NNTB 4, 95% CI 3 to 5; 9 trials; N = 1029), although in the control group, the spontaneous closure rate was 58% by day 3 to 4 of age. Ibuprofen decreased the need for rescue treatment with cyclo-oxygenase inhibitors (RR 0.17, 95% CI 0.11 to 0.26; NNTB 4; 95% CI 3 to 5), and need for surgical ductal ligation (RR 0.46, 95% CI 0.22 to 0.96; NNTB 33, 95% CI 20 to infinity; 7 trials; N = 925). Prophylactic ibuprofen  decreased grade 3 or 4 IVH in infants (RR 0.67, 95% CI 0.45 to 1.00; 7 trials; N = 925), and increased risk of oliguria (RR 1.45, 95% CI 1.04 to 2.02; NNTH 17, 95% CI 9 to 100; 4 trials; N = 747). [5]</w:t>
            </w:r>
          </w:p>
          <w:p w:rsidRPr="00CD0750" w:rsidR="002A5580" w:rsidP="0059793A" w:rsidRDefault="002A5580" w14:paraId="000065DB"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For the comparison prophylactic ibuprofen versus indomethacin, only one study has been published that used oral treatment, and results were reported in 62 infants. There were no significant results apart from a significant increase in length of hospitalisation for the ibuprofen group. [21] </w:t>
            </w:r>
          </w:p>
          <w:p w:rsidRPr="00CD0750" w:rsidR="002A5580" w:rsidP="0059793A" w:rsidRDefault="002A5580" w14:paraId="2A502062"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Conclusion: Prophylactic use of ibuprofen decreases the incidence of PDA, need for rescue treatment with cyclo-oxygenase inhibitors and surgical ductal closure. Adverse effects associated with ibuprofen (IV or oral) included increased risks for oliguria, increase in serum creatinine levels, and increased risk of gastrointestinal haemorrhage. There was a reduced risk for intraventricular haemorrhage (grade III - IV) but no evidence of a difference in mortality, chronic lung disease, necrotising enterocolitis, or time to reach full feeds. In the control group, the patent ductus arteriosus had closed spontaneously by day 3 or 4 in 58% of neonates. Prophylactic treatment exposes a large proportion of infants unnecessarily to a drug that has important side effects without conferring any important short-term benefits. Current evidence does not support the use of ibuprofen for prevention of patent ductus arteriosus. [5] [LOE I GOR B]</w:t>
            </w:r>
          </w:p>
          <w:p w:rsidRPr="00CD0750" w:rsidR="002A5580" w:rsidP="0059793A" w:rsidRDefault="002A5580" w14:paraId="5EF70E51" w14:textId="77777777">
            <w:pPr>
              <w:pStyle w:val="BodyText"/>
              <w:tabs>
                <w:tab w:val="left" w:pos="1168"/>
              </w:tabs>
              <w:rPr>
                <w:rFonts w:asciiTheme="minorHAnsi" w:hAnsiTheme="minorHAnsi"/>
                <w:sz w:val="16"/>
                <w:szCs w:val="16"/>
                <w:lang w:val="en-AU"/>
              </w:rPr>
            </w:pPr>
          </w:p>
          <w:p w:rsidRPr="00CD0750" w:rsidR="002A5580" w:rsidP="0059793A" w:rsidRDefault="002A5580" w14:paraId="46ED2253" w14:textId="77777777">
            <w:pPr>
              <w:pStyle w:val="BodyText"/>
              <w:tabs>
                <w:tab w:val="left" w:pos="1168"/>
              </w:tabs>
              <w:rPr>
                <w:rFonts w:asciiTheme="minorHAnsi" w:hAnsiTheme="minorHAnsi"/>
                <w:b/>
                <w:sz w:val="16"/>
                <w:szCs w:val="16"/>
                <w:lang w:val="en-AU"/>
              </w:rPr>
            </w:pPr>
            <w:r w:rsidRPr="00CD0750">
              <w:rPr>
                <w:rFonts w:asciiTheme="minorHAnsi" w:hAnsiTheme="minorHAnsi"/>
                <w:b/>
                <w:sz w:val="16"/>
                <w:szCs w:val="16"/>
                <w:lang w:val="en-AU"/>
              </w:rPr>
              <w:t>Ibuprofen for the treatment of patent ductus arteriosus in preterm or low birth weight infants</w:t>
            </w:r>
          </w:p>
          <w:p w:rsidRPr="00CD0750" w:rsidR="002A5580" w:rsidP="0059793A" w:rsidRDefault="002A5580" w14:paraId="124AAF62"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The standard dosing regimen in the following analyses for ibuprofen was 10 mg/kg followed by ibuprofen 5 mg/kg 24 and 48 hours later, and indomethacin 0.2 mg/kg at 12 hour intervals for three doses.</w:t>
            </w:r>
          </w:p>
          <w:p w:rsidRPr="00CD0750" w:rsidR="002A5580" w:rsidP="0059793A" w:rsidRDefault="002A5580" w14:paraId="56370549"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Systematic review of RCTs found intravenous ibuprofen (3 doses) reduced failure to close a PDA compared with placebo (RR; 0.62 (95% CI 0.44 to 0.86); RD; -0.18 (95% CI -0.30 to -0.06); NNTB 6 (95% CI 3 to 17); I2 = 65% for RR and I2 = 0% for RD; 2 studies, 206 infants; moderate-quality evidence) but was associated with increased oliguria (RR 39.0, 95% CI 2.40, 633.01) and increased creatinine (MD 29.17, 95% CI 12.60, 45.74 µmol/L). There was no difference in other morbidities including pulmonary hypertension, NEC and mortality.[6]</w:t>
            </w:r>
          </w:p>
          <w:p w:rsidRPr="00CD0750" w:rsidR="002A5580" w:rsidP="0059793A" w:rsidRDefault="002A5580" w14:paraId="17D2B4B0"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Twenty-four studies (1590 infants) compared ibuprofen (IV or oral) with indomethacin (IV or oral). No differences in failure rate for PDA closure was found (RR 1.07, 95% CI 0.92 to 1.24; RD 0.02, 95% CI -0.02 to 0.06; I2 = 0%; moderate-quality evidence). Ibuprofen reduced NEC (18 studies, 1292 infants; RR 0.68, 95% CI 0.49 to 0.94; NNTB 25, 95% CI 14 to 100),  reduced oliguria  (6 studies, 576 infants; RR 0.28, 95% CI 0.14 to 0.54; NNTB 11, 95% CI 7 to 20), was associated with low creatinine levels 72 hours after initiation of treatment (11 studies, 918 infants; MD -8.12 µmol/L, 95% CI -10.81 to -5.43) compared to indomethacin treated infants. [6] </w:t>
            </w:r>
          </w:p>
          <w:p w:rsidRPr="00CD0750" w:rsidR="002A5580" w:rsidP="0059793A" w:rsidRDefault="002A5580" w14:paraId="096A7E63"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Five studies compared treatment of PDA with paracetamol versus ibuprofen and enrolled 559 infants. There was no significant difference for failure of ductal closure after the first course of drug administration (RR 0.95, 95% CI 0.75 to 1.21; 5 trials, 559 infants). Ibuprofen was associated with a high rate of gastrointestinal bleeding (RR 0.28, 95% CI 0.12 to 0.69; NNTB 17 95% CI 11 to 50), higher creatinine and bilirubin levels, and lower platelet counts and daily urine output.  There were no significant differences in the neurological outcomes at 18 to 24 months (n = 61). [7]</w:t>
            </w:r>
            <w:r w:rsidRPr="00CD0750" w:rsidDel="00F0135B">
              <w:rPr>
                <w:rFonts w:asciiTheme="minorHAnsi" w:hAnsiTheme="minorHAnsi"/>
                <w:sz w:val="16"/>
                <w:szCs w:val="16"/>
                <w:lang w:val="en-AU"/>
              </w:rPr>
              <w:t xml:space="preserve"> </w:t>
            </w:r>
          </w:p>
          <w:p w:rsidRPr="00CD0750" w:rsidR="002A5580" w:rsidP="0059793A" w:rsidRDefault="002A5580" w14:paraId="557F4327" w14:textId="77777777">
            <w:pPr>
              <w:pStyle w:val="BodyText"/>
              <w:tabs>
                <w:tab w:val="left" w:pos="1168"/>
              </w:tabs>
              <w:rPr>
                <w:rFonts w:asciiTheme="minorHAnsi" w:hAnsiTheme="minorHAnsi"/>
                <w:sz w:val="16"/>
                <w:szCs w:val="16"/>
                <w:lang w:val="en-AU"/>
              </w:rPr>
            </w:pPr>
          </w:p>
          <w:p w:rsidRPr="00CD0750" w:rsidR="002A5580" w:rsidP="0059793A" w:rsidRDefault="002A5580" w14:paraId="0E4008EF" w14:textId="77777777">
            <w:pPr>
              <w:pStyle w:val="BodyText"/>
              <w:tabs>
                <w:tab w:val="left" w:pos="1168"/>
              </w:tabs>
              <w:rPr>
                <w:rFonts w:asciiTheme="minorHAnsi" w:hAnsiTheme="minorHAnsi"/>
                <w:b/>
                <w:sz w:val="16"/>
                <w:szCs w:val="16"/>
                <w:lang w:val="en-AU"/>
              </w:rPr>
            </w:pPr>
            <w:r w:rsidRPr="00CD0750">
              <w:rPr>
                <w:rFonts w:asciiTheme="minorHAnsi" w:hAnsiTheme="minorHAnsi"/>
                <w:b/>
                <w:sz w:val="16"/>
                <w:szCs w:val="16"/>
                <w:lang w:val="en-AU"/>
              </w:rPr>
              <w:t>Higher versus lower dose of ibuprofen for treatment of</w:t>
            </w:r>
            <w:r w:rsidRPr="00CD0750">
              <w:rPr>
                <w:b/>
                <w:sz w:val="16"/>
                <w:szCs w:val="16"/>
              </w:rPr>
              <w:t xml:space="preserve"> </w:t>
            </w:r>
            <w:r w:rsidRPr="00CD0750">
              <w:rPr>
                <w:rFonts w:asciiTheme="minorHAnsi" w:hAnsiTheme="minorHAnsi"/>
                <w:b/>
                <w:sz w:val="16"/>
                <w:szCs w:val="16"/>
                <w:lang w:val="en-AU"/>
              </w:rPr>
              <w:t>patent ductus arteriosus in preterm or low birth weight infants</w:t>
            </w:r>
          </w:p>
          <w:p w:rsidRPr="00CD0750" w:rsidR="002A5580" w:rsidP="0059793A" w:rsidRDefault="002A5580" w14:paraId="49A38387"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For the following analyses, the higher dosing regimen of ibuprofen was 20 mg/kg/day followed by ibuprofen 10 mg/kg/day for two doses compared with the standard-dose of ibuprofen 10 mg/kg/day followed by ibuprofen 5 mg/kg/day for two doses. </w:t>
            </w:r>
          </w:p>
          <w:p w:rsidRPr="00CD0750" w:rsidR="002A5580" w:rsidP="0059793A" w:rsidRDefault="002A5580" w14:paraId="20F9AF8E"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There was a decreased risk of failure to close a PDA with high-dose versus standard-dose of IV ibuprofen (3 studies 190 infants; RR 0.37, 95% CI 0.22 to 0.61; NNTB 4, 95% CI 3 to 7). Although neonatal morbidities including gastrointestinal and renal side effects were not significantly different, the analyses were underpowered to detect a difference. [6] </w:t>
            </w:r>
          </w:p>
          <w:p w:rsidRPr="00CD0750" w:rsidR="002A5580" w:rsidP="0059793A" w:rsidRDefault="002A5580" w14:paraId="25D0A870" w14:textId="77777777">
            <w:pPr>
              <w:pStyle w:val="BodyText"/>
              <w:tabs>
                <w:tab w:val="left" w:pos="1168"/>
              </w:tabs>
              <w:rPr>
                <w:rFonts w:asciiTheme="minorHAnsi" w:hAnsiTheme="minorHAnsi"/>
                <w:sz w:val="16"/>
                <w:szCs w:val="16"/>
                <w:lang w:val="en-AU"/>
              </w:rPr>
            </w:pPr>
          </w:p>
          <w:p w:rsidRPr="00CD0750" w:rsidR="002A5580" w:rsidP="0059793A" w:rsidRDefault="002A5580" w14:paraId="50DA9FF6" w14:textId="77777777">
            <w:pPr>
              <w:pStyle w:val="BodyText"/>
              <w:tabs>
                <w:tab w:val="left" w:pos="1168"/>
              </w:tabs>
              <w:rPr>
                <w:rFonts w:asciiTheme="minorHAnsi" w:hAnsiTheme="minorHAnsi"/>
                <w:b/>
                <w:sz w:val="16"/>
                <w:szCs w:val="16"/>
                <w:lang w:val="en-AU"/>
              </w:rPr>
            </w:pPr>
            <w:r w:rsidRPr="00CD0750">
              <w:rPr>
                <w:rFonts w:asciiTheme="minorHAnsi" w:hAnsiTheme="minorHAnsi"/>
                <w:b/>
                <w:sz w:val="16"/>
                <w:szCs w:val="16"/>
                <w:lang w:val="en-AU"/>
              </w:rPr>
              <w:t>Oral ibuprofen versus intravenous ibuprofen</w:t>
            </w:r>
          </w:p>
          <w:p w:rsidRPr="00CD0750" w:rsidR="002A5580" w:rsidP="0059793A" w:rsidRDefault="002A5580" w14:paraId="6E3780F2"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Prophylactic oral ibuprofen decreased the risk of PDA (RR 0.47, 95% CI 0.30 to 0.74; 4 trials, 202 infants) and increased risk of gastrointestinal bleeding (RR 2.01, 95% CI 1.17, 3.48; NNTH 7, 95% CI 4 to 25). No evidence of a difference was identified for mortality, IVH or chronic lung disease. [5] [LOE I]</w:t>
            </w:r>
          </w:p>
          <w:p w:rsidRPr="00CD0750" w:rsidR="002A5580" w:rsidP="0059793A" w:rsidRDefault="002A5580" w14:paraId="625AC949"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For treatment of PDA, one study reported decreased failure to close a PDA after single or three doses of oral ibuprofen compared with placebo (64 infants; RR 0.26, 95% CI 0.11 to 0.62; RD -0.44, 95% CI -0.65 to -0.23; NNTB 2, 95% CI 2 to 4) but other outcomes were not reported. [6] [LOE II] </w:t>
            </w:r>
          </w:p>
          <w:p w:rsidRPr="00CD0750" w:rsidR="002A5580" w:rsidP="0059793A" w:rsidRDefault="002A5580" w14:paraId="4FE8DBA5"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 xml:space="preserve">Comparing oral ibuprofen versus intravenous ibuprofen for treatment of PDA, oral ibuprofen was associated with reduced failure to close the PDA (5 trials, 406 infants RR 0.38, 95% CI 0.26, 0.56), no </w:t>
            </w:r>
            <w:r w:rsidRPr="00CD0750">
              <w:rPr>
                <w:rFonts w:asciiTheme="minorHAnsi" w:hAnsiTheme="minorHAnsi"/>
                <w:sz w:val="16"/>
                <w:szCs w:val="16"/>
                <w:lang w:val="en-AU"/>
              </w:rPr>
              <w:lastRenderedPageBreak/>
              <w:t>difference in mortality, need for surgical closure of the ductus, duration of ventilatory support, pulmonary haemorrhage, pulmonary hypertension, chronic lung disease, IVH, periventricular leukomalacia, necrotising enterocolitis (3 trials, 236 infants; RR 0.86, 95% CI 0.35, 2.15), intestinal perforation (2 trials, 134 infants; RR 0.32, 95% CI 0.01, 7.48), gastrointestinal bleed (2 trials, 172 infants;  RR 2.89, 95% CI 0.12, 69.24), ROP or neurodevelopment at 18-24 months. Oral ibuprofen was associated with lower creatinine levels after treatment (MD -22.47, 95% CI -32.40, -12.53 µmol/L). [6] [LOE I]</w:t>
            </w:r>
          </w:p>
          <w:p w:rsidRPr="00CD0750" w:rsidR="002A5580" w:rsidP="0059793A" w:rsidRDefault="002A5580" w14:paraId="333F38E3" w14:textId="77777777">
            <w:pPr>
              <w:pStyle w:val="BodyText"/>
              <w:tabs>
                <w:tab w:val="left" w:pos="1168"/>
              </w:tabs>
              <w:rPr>
                <w:rFonts w:cs="Arial" w:asciiTheme="minorHAnsi" w:hAnsiTheme="minorHAnsi"/>
                <w:sz w:val="16"/>
                <w:szCs w:val="16"/>
                <w:lang w:val="en-AU"/>
              </w:rPr>
            </w:pPr>
          </w:p>
          <w:p w:rsidRPr="00CD0750" w:rsidR="002A5580" w:rsidP="0059793A" w:rsidRDefault="002A5580" w14:paraId="1B761E2E" w14:textId="77777777">
            <w:pPr>
              <w:pStyle w:val="BodyText"/>
              <w:tabs>
                <w:tab w:val="left" w:pos="1168"/>
              </w:tabs>
              <w:rPr>
                <w:rFonts w:cs="Arial" w:asciiTheme="minorHAnsi" w:hAnsiTheme="minorHAnsi"/>
                <w:b/>
                <w:sz w:val="16"/>
                <w:szCs w:val="16"/>
                <w:lang w:val="en-AU"/>
              </w:rPr>
            </w:pPr>
            <w:r w:rsidRPr="00CD0750">
              <w:rPr>
                <w:rFonts w:cs="Arial" w:asciiTheme="minorHAnsi" w:hAnsiTheme="minorHAnsi"/>
                <w:b/>
                <w:sz w:val="16"/>
                <w:szCs w:val="16"/>
                <w:lang w:val="en-AU"/>
              </w:rPr>
              <w:t>Summary of treatment modalities for patent ductus arteriosus in preterm infants</w:t>
            </w:r>
          </w:p>
          <w:p w:rsidRPr="00CD0750" w:rsidR="002A5580" w:rsidP="0059793A" w:rsidRDefault="002A5580" w14:paraId="1D7089A7"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 xml:space="preserve">A network meta-analysis of treatment modalities for patent ductus arteriosus in preterm infants included 68 RCTs of 4802 infants including 14 different variations of indomethacin, ibuprofen, acetaminophen and placebo. The overall PDA closure rate was 67.4% (2867 of 4256 infants). </w:t>
            </w:r>
          </w:p>
          <w:p w:rsidRPr="00CD0750" w:rsidR="002A5580" w:rsidP="0059793A" w:rsidRDefault="002A5580" w14:paraId="015D9554"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A high dose of oral ibuprofen [</w:t>
            </w:r>
            <w:r w:rsidRPr="00CD0750">
              <w:rPr>
                <w:rFonts w:asciiTheme="minorHAnsi" w:hAnsiTheme="minorHAnsi"/>
                <w:sz w:val="16"/>
                <w:szCs w:val="16"/>
              </w:rPr>
              <w:t>20 mg/kg followed by ibuprofen 10 mg/kg for two doses</w:t>
            </w:r>
            <w:r w:rsidRPr="00CD0750">
              <w:rPr>
                <w:rFonts w:cs="Arial" w:asciiTheme="minorHAnsi" w:hAnsiTheme="minorHAnsi"/>
                <w:sz w:val="16"/>
                <w:szCs w:val="16"/>
                <w:lang w:val="en-AU"/>
              </w:rPr>
              <w:t>] was associated with a significantly higher odds of PDA closure versus a standard dose of intravenous ibuprofen (OR 3.59; 95% CI 1.64-8.17; RD 199, 95%CI, 95-258 more per 1000 infants) and a standard dose of intravenous indomethacin (OR 2.35, 95%CI 1.08-5.31; RD 124, 95%CI 14-188 more per 1000 infants). Based on the ranking statistics, a high dose of oral ibuprofen ranked as the best pharmacotherapeutic option for PDA closure and to prevent surgical PDA ligation. There was no significant difference in the odds of mortality, necrotizing enterocolitis, or intraventricular hemorrhage with use of placebo or no treatment compared with any of the other treatment modalities. For side effects, a continuous infusion of intravenous ibuprofen was associated with the lowest incidence of oliguria, whereas high dose ibuprofen was associated with the highest incidence of oliguria. [22]</w:t>
            </w:r>
          </w:p>
          <w:p w:rsidRPr="00CD0750" w:rsidR="002A5580" w:rsidP="0059793A" w:rsidRDefault="002A5580" w14:paraId="7E3659D4"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 xml:space="preserve">Conclusion: A high dose of oral ibuprofen was associated with a higher likelihood of hemodynamically significant PDA closure compared to standard doses of intravenous ibuprofen or intravenous indomethacin. However, high dose ibuprofen was associated with a higher likelihood of oliguria. Placebo or no treatment did not significantly change the likelihood of mortality, necrotizing enterocolitis, or intraventricular hemorrhage. [22] </w:t>
            </w:r>
          </w:p>
          <w:p w:rsidRPr="00CD0750" w:rsidR="002A5580" w:rsidP="0059793A" w:rsidRDefault="002A5580" w14:paraId="06212191" w14:textId="77777777">
            <w:pPr>
              <w:pStyle w:val="BodyText"/>
              <w:tabs>
                <w:tab w:val="left" w:pos="1168"/>
              </w:tabs>
              <w:rPr>
                <w:rFonts w:cs="Arial" w:asciiTheme="minorHAnsi" w:hAnsiTheme="minorHAnsi"/>
                <w:sz w:val="16"/>
                <w:szCs w:val="16"/>
                <w:lang w:val="en-AU"/>
              </w:rPr>
            </w:pPr>
          </w:p>
          <w:p w:rsidRPr="00CD0750" w:rsidR="002A5580" w:rsidP="0059793A" w:rsidRDefault="002A5580" w14:paraId="401166F5" w14:textId="77777777">
            <w:pPr>
              <w:pStyle w:val="BodyText"/>
              <w:tabs>
                <w:tab w:val="left" w:pos="1168"/>
              </w:tabs>
              <w:rPr>
                <w:rFonts w:cs="Arial" w:asciiTheme="minorHAnsi" w:hAnsiTheme="minorHAnsi"/>
                <w:b/>
                <w:sz w:val="16"/>
                <w:szCs w:val="16"/>
                <w:lang w:val="en-AU"/>
              </w:rPr>
            </w:pPr>
            <w:r w:rsidRPr="00CD0750">
              <w:rPr>
                <w:rFonts w:cs="Arial" w:asciiTheme="minorHAnsi" w:hAnsiTheme="minorHAnsi"/>
                <w:b/>
                <w:sz w:val="16"/>
                <w:szCs w:val="16"/>
                <w:lang w:val="en-AU"/>
              </w:rPr>
              <w:t>Safety</w:t>
            </w:r>
          </w:p>
          <w:p w:rsidRPr="00CD0750" w:rsidR="002A5580" w:rsidP="0059793A" w:rsidRDefault="002A5580" w14:paraId="76A79014"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Compared to placebo, prophylactic use of ibuprofen is associated increased risks for oliguria, increase in serum creatinine levels, and increased risk of gastrointestinal haemorrhage.</w:t>
            </w:r>
            <w:r w:rsidRPr="00CD0750">
              <w:rPr>
                <w:rFonts w:asciiTheme="minorHAnsi" w:hAnsiTheme="minorHAnsi"/>
                <w:sz w:val="16"/>
                <w:szCs w:val="16"/>
                <w:lang w:val="en-AU"/>
              </w:rPr>
              <w:fldChar w:fldCharType="begin">
                <w:fldData xml:space="preserve">PEVuZE5vdGU+PENpdGU+PEF1dGhvcj5PaGxzc29uPC9BdXRob3I+PFllYXI+MjAxOTwvWWVhcj48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rsidRPr="00CD0750">
              <w:rPr>
                <w:rFonts w:asciiTheme="minorHAnsi" w:hAnsiTheme="minorHAnsi"/>
                <w:sz w:val="16"/>
                <w:szCs w:val="16"/>
                <w:lang w:val="en-AU"/>
              </w:rPr>
              <w:instrText xml:space="preserve"> ADDIN EN.CITE </w:instrText>
            </w:r>
            <w:r w:rsidRPr="00CD0750">
              <w:rPr>
                <w:rFonts w:asciiTheme="minorHAnsi" w:hAnsiTheme="minorHAnsi"/>
                <w:sz w:val="16"/>
                <w:szCs w:val="16"/>
                <w:lang w:val="en-AU"/>
              </w:rPr>
              <w:fldChar w:fldCharType="begin">
                <w:fldData xml:space="preserve">PEVuZE5vdGU+PENpdGU+PEF1dGhvcj5PaGxzc29uPC9BdXRob3I+PFllYXI+MjAxOTwvWWVhcj48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</w:fldData>
              </w:fldChar>
            </w:r>
            <w:r w:rsidRPr="00CD0750">
              <w:rPr>
                <w:rFonts w:asciiTheme="minorHAnsi" w:hAnsiTheme="minorHAnsi"/>
                <w:sz w:val="16"/>
                <w:szCs w:val="16"/>
                <w:lang w:val="en-AU"/>
              </w:rPr>
              <w:instrText xml:space="preserve"> ADDIN EN.CITE.DATA </w:instrText>
            </w:r>
            <w:r w:rsidRPr="00CD0750">
              <w:rPr>
                <w:rFonts w:asciiTheme="minorHAnsi" w:hAnsiTheme="minorHAnsi"/>
                <w:sz w:val="16"/>
                <w:szCs w:val="16"/>
                <w:lang w:val="en-AU"/>
              </w:rPr>
            </w:r>
            <w:r w:rsidRPr="00CD0750">
              <w:rPr>
                <w:rFonts w:asciiTheme="minorHAnsi" w:hAnsiTheme="minorHAnsi"/>
                <w:sz w:val="16"/>
                <w:szCs w:val="16"/>
                <w:lang w:val="en-AU"/>
              </w:rPr>
              <w:fldChar w:fldCharType="end"/>
            </w:r>
            <w:r w:rsidRPr="00CD0750">
              <w:rPr>
                <w:rFonts w:asciiTheme="minorHAnsi" w:hAnsiTheme="minorHAnsi"/>
                <w:sz w:val="16"/>
                <w:szCs w:val="16"/>
                <w:lang w:val="en-AU"/>
              </w:rPr>
            </w:r>
            <w:r w:rsidRPr="00CD0750">
              <w:rPr>
                <w:rFonts w:asciiTheme="minorHAnsi" w:hAnsiTheme="minorHAnsi"/>
                <w:sz w:val="16"/>
                <w:szCs w:val="16"/>
                <w:lang w:val="en-AU"/>
              </w:rPr>
              <w:fldChar w:fldCharType="separate"/>
            </w:r>
            <w:r w:rsidRPr="00CD0750">
              <w:rPr>
                <w:rFonts w:asciiTheme="minorHAnsi" w:hAnsiTheme="minorHAnsi"/>
                <w:noProof/>
                <w:sz w:val="16"/>
                <w:szCs w:val="16"/>
                <w:lang w:val="en-AU"/>
              </w:rPr>
              <w:t>[5]</w:t>
            </w:r>
            <w:r w:rsidRPr="00CD0750">
              <w:rPr>
                <w:rFonts w:asciiTheme="minorHAnsi" w:hAnsiTheme="minorHAnsi"/>
                <w:sz w:val="16"/>
                <w:szCs w:val="16"/>
                <w:lang w:val="en-AU"/>
              </w:rPr>
              <w:fldChar w:fldCharType="end"/>
            </w:r>
            <w:r w:rsidRPr="00CD0750">
              <w:rPr>
                <w:rFonts w:asciiTheme="minorHAnsi" w:hAnsiTheme="minorHAnsi"/>
                <w:sz w:val="16"/>
                <w:szCs w:val="16"/>
                <w:lang w:val="en-AU"/>
              </w:rPr>
              <w:t xml:space="preserve"> </w:t>
            </w:r>
          </w:p>
          <w:p w:rsidRPr="00CD0750" w:rsidR="002A5580" w:rsidP="0059793A" w:rsidRDefault="002A5580" w14:paraId="154F4F9F"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Ibuprofen for treatment of a PDA was associated with increased oliguria and increased creatinine. [6]</w:t>
            </w:r>
            <w:r w:rsidRPr="00CD0750" w:rsidDel="0043559A">
              <w:rPr>
                <w:rFonts w:asciiTheme="minorHAnsi" w:hAnsiTheme="minorHAnsi"/>
                <w:sz w:val="16"/>
                <w:szCs w:val="16"/>
                <w:lang w:val="en-AU"/>
              </w:rPr>
              <w:t xml:space="preserve"> </w:t>
            </w:r>
          </w:p>
          <w:p w:rsidRPr="00CD0750" w:rsidR="002A5580" w:rsidP="0059793A" w:rsidRDefault="002A5580" w14:paraId="1EAE4016" w14:textId="77777777">
            <w:pPr>
              <w:pStyle w:val="BodyText"/>
              <w:tabs>
                <w:tab w:val="left" w:pos="1168"/>
              </w:tabs>
              <w:rPr>
                <w:rFonts w:asciiTheme="minorHAnsi" w:hAnsiTheme="minorHAnsi"/>
                <w:sz w:val="16"/>
                <w:szCs w:val="16"/>
                <w:lang w:val="en-AU"/>
              </w:rPr>
            </w:pPr>
            <w:r w:rsidRPr="00CD0750">
              <w:rPr>
                <w:rFonts w:cs="Arial" w:asciiTheme="minorHAnsi" w:hAnsiTheme="minorHAnsi"/>
                <w:sz w:val="16"/>
                <w:szCs w:val="16"/>
                <w:lang w:val="en-AU"/>
              </w:rPr>
              <w:t xml:space="preserve">Compared to treatment of a PDA with </w:t>
            </w:r>
            <w:r w:rsidRPr="00CD0750">
              <w:rPr>
                <w:rFonts w:asciiTheme="minorHAnsi" w:hAnsiTheme="minorHAnsi"/>
                <w:sz w:val="16"/>
                <w:szCs w:val="16"/>
                <w:lang w:val="en-AU"/>
              </w:rPr>
              <w:t xml:space="preserve">indomethacin, ibuprofen was associated with reduced NEC, reduced oliguria and was associated with lower creatinine levels 72 hours after initiation of treatment. [6] </w:t>
            </w:r>
          </w:p>
          <w:p w:rsidRPr="00CD0750" w:rsidR="002A5580" w:rsidP="0059793A" w:rsidRDefault="002A5580" w14:paraId="1DDD3DBF"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 xml:space="preserve">Compared to paracetamol (acetaminophen), ibuprofen was associated with a high rate of gastrointestinal bleeding (RR 3.57, 95% CI 1.45 to 8.33; NNTH 17, 95% CI 11 to 50), higher creatinine and bilirubin levels, and lower platelet counts and daily urine output. [7] </w:t>
            </w:r>
          </w:p>
          <w:p w:rsidRPr="00CD0750" w:rsidR="002A5580" w:rsidP="0059793A" w:rsidRDefault="002A5580" w14:paraId="4B96933D"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A single study (111 infants) reported use of a continuous infusion of ibuprofen of 10 mg, 5 mg and 5 mg given over 24 hours compared to IV ibuprofen of 10 mg 5 mg and 5 mg administered over 15 minutes did not have an effect on PDA closure or reopening, reduced surgical ligation of the ductus (RR 0.28, 95% CI 0.08, 0.94) and was not associated with other benefits or harms. [23] [LOE II, GOR D]</w:t>
            </w:r>
          </w:p>
          <w:p w:rsidRPr="00CD0750" w:rsidR="002A5580" w:rsidP="0059793A" w:rsidRDefault="002A5580" w14:paraId="6A9B769B"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In clinical trials, pulmonary hypertension was observed in only three infants after the prophylactic use of ibuprofen [5], in one case after ibuprofen treatment, and in additional case reports for the treatment of a PDA. [6] In a cohort study, 732 infants had a PDA diagnosis, with persistent pulmonary hypertension of the newborn occurring in 19 of 306 ibuprofen treated infants (6%) and in 32 of 426 indomethacin treated infants (8%). [8]</w:t>
            </w:r>
            <w:r w:rsidRPr="00CD0750" w:rsidDel="0043559A">
              <w:rPr>
                <w:rFonts w:cs="Arial" w:asciiTheme="minorHAnsi" w:hAnsiTheme="minorHAnsi"/>
                <w:sz w:val="16"/>
                <w:szCs w:val="16"/>
                <w:lang w:val="en-AU"/>
              </w:rPr>
              <w:t xml:space="preserve"> </w:t>
            </w:r>
          </w:p>
          <w:p w:rsidRPr="00CD0750" w:rsidR="002A5580" w:rsidP="0059793A" w:rsidRDefault="002A5580" w14:paraId="69220447"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Ibuprofen may displace bilirubin from albumin at high concentrations in vitro (200 micromol/L)</w:t>
            </w:r>
            <w:r w:rsidRPr="00CD0750">
              <w:rPr>
                <w:rFonts w:asciiTheme="minorHAnsi" w:hAnsiTheme="minorHAnsi"/>
                <w:sz w:val="16"/>
                <w:szCs w:val="16"/>
                <w:lang w:val="en-AU"/>
              </w:rPr>
              <w:fldChar w:fldCharType="begin"/>
            </w:r>
            <w:r w:rsidRPr="00CD0750">
              <w:rPr>
                <w:rFonts w:asciiTheme="minorHAnsi" w:hAnsiTheme="minorHAnsi"/>
                <w:sz w:val="16"/>
                <w:szCs w:val="16"/>
                <w:lang w:val="en-AU"/>
              </w:rPr>
              <w:instrText xml:space="preserve"> ADDIN EN.CITE &lt;EndNote&gt;&lt;Cite&gt;&lt;Author&gt;Diot&lt;/Author&gt;&lt;Year&gt;2010&lt;/Year&gt;&lt;RecNum&gt;46&lt;/RecNum&gt;&lt;DisplayText&gt;[9]&lt;/DisplayText&gt;&lt;record&gt;&lt;rec-number&gt;46&lt;/rec-number&gt;&lt;foreign-keys&gt;&lt;key app="EN" db-id="0txz59pdids9peedxe5vfzrf9tst5pes0rrr" timestamp="1441600660"&gt;46&lt;/key&gt;&lt;/foreign-keys&gt;&lt;ref-type name="Journal Article"&gt;17&lt;/ref-type&gt;&lt;contributors&gt;&lt;authors&gt;&lt;author&gt;Diot, C.&lt;/author&gt;&lt;author&gt;Kibleur, Y.&lt;/author&gt;&lt;author&gt;Desfrere, L.&lt;/author&gt;&lt;/authors&gt;&lt;/contributors&gt;&lt;auth-address&gt;SGS Cephac Europe, Saint-Benoit Cedex, France.&lt;/auth-address&gt;&lt;titles&gt;&lt;title&gt;Effect of ibuprofen on bilirubin-albumin binding in vitro at concentrations observed during treatment of patent ductus arteriosus&lt;/title&gt;&lt;secondary-title&gt;Early Hum Dev&lt;/secondary-title&gt;&lt;alt-title&gt;Early human development&lt;/alt-title&gt;&lt;/titles&gt;&lt;periodical&gt;&lt;full-title&gt;Early Hum Dev&lt;/full-title&gt;&lt;abbr-1&gt;Early human development&lt;/abbr-1&gt;&lt;/periodical&gt;&lt;alt-periodical&gt;&lt;full-title&gt;Early Hum Dev&lt;/full-title&gt;&lt;abbr-1&gt;Early human development&lt;/abbr-1&gt;&lt;/alt-periodical&gt;&lt;pages&gt;315-7&lt;/pages&gt;&lt;volume&gt;86&lt;/volume&gt;&lt;number&gt;5&lt;/number&gt;&lt;keywords&gt;&lt;keyword&gt;Albumins/*metabolism&lt;/keyword&gt;&lt;keyword&gt;Analgesics, Non-Narcotic/pharmacology&lt;/keyword&gt;&lt;keyword&gt;Bilirubin/*metabolism&lt;/keyword&gt;&lt;keyword&gt;Binding Sites/drug effects&lt;/keyword&gt;&lt;keyword&gt;Dose-Response Relationship, Drug&lt;/keyword&gt;&lt;keyword&gt;Ductus Arteriosus, Patent/*drug therapy&lt;/keyword&gt;&lt;keyword&gt;Humans&lt;/keyword&gt;&lt;keyword&gt;Ibuprofen/*administration &amp;amp; dosage/adverse effects/*pharmacology&lt;/keyword&gt;&lt;keyword&gt;In Vitro Techniques&lt;/keyword&gt;&lt;keyword&gt;Infant, Newborn&lt;/keyword&gt;&lt;keyword&gt;Neonatal Screening/standards&lt;/keyword&gt;&lt;keyword&gt;Osmolar Concentration&lt;/keyword&gt;&lt;keyword&gt;Protein Binding/drug effects&lt;/keyword&gt;&lt;/keywords&gt;&lt;dates&gt;&lt;year&gt;2010&lt;/year&gt;&lt;pub-dates&gt;&lt;date&gt;May&lt;/date&gt;&lt;/pub-dates&gt;&lt;/dates&gt;&lt;isbn&gt;1872-6232 (Electronic)&amp;#xD;0378-3782 (Linking)&lt;/isbn&gt;&lt;accession-num&gt;20472375&lt;/accession-num&gt;&lt;urls&gt;&lt;related-urls&gt;&lt;url&gt;http://www.ncbi.nlm.nih.gov/pubmed/20472375&lt;/url&gt;&lt;/related-urls&gt;&lt;/urls&gt;&lt;electronic-resource-num&gt;10.1016/j.earlhumdev.2010.04.006&lt;/electronic-resource-num&gt;&lt;/record&gt;&lt;/Cite&gt;&lt;/EndNote&gt;</w:instrText>
            </w:r>
            <w:r w:rsidRPr="00CD0750">
              <w:rPr>
                <w:rFonts w:asciiTheme="minorHAnsi" w:hAnsiTheme="minorHAnsi"/>
                <w:sz w:val="16"/>
                <w:szCs w:val="16"/>
                <w:lang w:val="en-AU"/>
              </w:rPr>
              <w:fldChar w:fldCharType="separate"/>
            </w:r>
            <w:r w:rsidRPr="00CD0750">
              <w:rPr>
                <w:rFonts w:asciiTheme="minorHAnsi" w:hAnsiTheme="minorHAnsi"/>
                <w:noProof/>
                <w:sz w:val="16"/>
                <w:szCs w:val="16"/>
                <w:lang w:val="en-AU"/>
              </w:rPr>
              <w:t>[9]</w:t>
            </w:r>
            <w:r w:rsidRPr="00CD0750">
              <w:rPr>
                <w:rFonts w:asciiTheme="minorHAnsi" w:hAnsiTheme="minorHAnsi"/>
                <w:sz w:val="16"/>
                <w:szCs w:val="16"/>
                <w:lang w:val="en-AU"/>
              </w:rPr>
              <w:fldChar w:fldCharType="end"/>
            </w:r>
            <w:r w:rsidRPr="00CD0750">
              <w:rPr>
                <w:rFonts w:asciiTheme="minorHAnsi" w:hAnsiTheme="minorHAnsi"/>
                <w:sz w:val="16"/>
                <w:szCs w:val="16"/>
                <w:lang w:val="en-AU"/>
              </w:rPr>
              <w:t>. This does not appear to occur in vivo at the concentrations associated with recommended doses (up to 100 micromol/L). [10] [Note 1 µg/mL = 4.85 µmol/L].</w:t>
            </w:r>
          </w:p>
          <w:p w:rsidRPr="00CD0750" w:rsidR="002A5580" w:rsidP="0059793A" w:rsidRDefault="002A5580" w14:paraId="590B0E2E" w14:textId="77777777">
            <w:pPr>
              <w:pStyle w:val="BodyText"/>
              <w:tabs>
                <w:tab w:val="left" w:pos="1168"/>
              </w:tabs>
              <w:rPr>
                <w:rFonts w:cs="Arial" w:asciiTheme="minorHAnsi" w:hAnsiTheme="minorHAnsi"/>
                <w:sz w:val="16"/>
                <w:szCs w:val="16"/>
                <w:lang w:val="en-AU"/>
              </w:rPr>
            </w:pPr>
          </w:p>
          <w:p w:rsidRPr="00CD0750" w:rsidR="002A5580" w:rsidP="0059793A" w:rsidRDefault="002A5580" w14:paraId="182BD441" w14:textId="77777777">
            <w:pPr>
              <w:pStyle w:val="BodyText"/>
              <w:tabs>
                <w:tab w:val="left" w:pos="1168"/>
              </w:tabs>
              <w:rPr>
                <w:rFonts w:cs="Arial" w:asciiTheme="minorHAnsi" w:hAnsiTheme="minorHAnsi"/>
                <w:b/>
                <w:sz w:val="16"/>
                <w:szCs w:val="16"/>
                <w:lang w:val="en-AU"/>
              </w:rPr>
            </w:pPr>
            <w:r w:rsidRPr="00CD0750">
              <w:rPr>
                <w:rFonts w:cs="Arial" w:asciiTheme="minorHAnsi" w:hAnsiTheme="minorHAnsi"/>
                <w:b/>
                <w:sz w:val="16"/>
                <w:szCs w:val="16"/>
                <w:lang w:val="en-AU"/>
              </w:rPr>
              <w:t>Pharmacokinetics/pharmacodynamics</w:t>
            </w:r>
          </w:p>
          <w:p w:rsidRPr="00CD0750" w:rsidR="002A5580" w:rsidP="0059793A" w:rsidRDefault="002A5580" w14:paraId="647A7769"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Two RCTs compared higher-dose (20, 10, 10 mg/kg/day) versus lower dose (10, 5, 5 mg/kg/day) ibuprofen for treatment of PDA in extremely preterm infants with an increase in ductal closure rate reported. There was no difference in side effects. Peak concentrations were 109.8 (SD 27.2) micromol/L [24,25].  A pharmacokinetic study has shown drug elimination increases with postnatal age and recommended ibuprofen course: 10, 5, 5 mg/kg for neonates younger than 70 hours; 14, 7, 7 mg/kg between 70−108 hours; and 18, 9, 9 mg/kg between 108−180 hours. [26]</w:t>
            </w:r>
          </w:p>
          <w:p w:rsidRPr="00CD0750" w:rsidR="002A5580" w:rsidP="0059793A" w:rsidRDefault="002A5580" w14:paraId="4943E105"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Ibuprofen is well absorbed orally. After a single dose of 10 mg/kg oral ibuprofen, levels were detectable 1 hour after administration, peaked after 8 hours and remained in a relative plateau until 24 hours post administration. Area under the curve 0 to 24 hours was higher than levels reported with intravenous treatment. [27]</w:t>
            </w:r>
            <w:r w:rsidRPr="00CD0750" w:rsidDel="0043559A">
              <w:rPr>
                <w:rFonts w:cs="Arial" w:asciiTheme="minorHAnsi" w:hAnsiTheme="minorHAnsi"/>
                <w:sz w:val="16"/>
                <w:szCs w:val="16"/>
                <w:lang w:val="en-AU"/>
              </w:rPr>
              <w:t xml:space="preserve"> </w:t>
            </w:r>
          </w:p>
          <w:p w:rsidRPr="00CD0750" w:rsidR="002A5580" w:rsidP="0059793A" w:rsidRDefault="002A5580" w14:paraId="4C1C498B"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 xml:space="preserve">The trough ibuprofen level &gt;5 mg/L (25 </w:t>
            </w:r>
            <w:r w:rsidRPr="00CD0750">
              <w:rPr>
                <w:rFonts w:asciiTheme="minorHAnsi" w:hAnsiTheme="minorHAnsi"/>
                <w:sz w:val="16"/>
                <w:szCs w:val="16"/>
                <w:lang w:val="en-AU"/>
              </w:rPr>
              <w:t>µmol/L</w:t>
            </w:r>
            <w:r w:rsidRPr="00CD0750">
              <w:rPr>
                <w:rFonts w:cs="Arial" w:asciiTheme="minorHAnsi" w:hAnsiTheme="minorHAnsi"/>
                <w:sz w:val="16"/>
                <w:szCs w:val="16"/>
                <w:lang w:val="en-AU"/>
              </w:rPr>
              <w:t>) after day 1 of treatment (10 mg/kg) was predictive of ductal close in a small case series. [28]</w:t>
            </w:r>
            <w:r w:rsidRPr="00CD0750" w:rsidDel="0043559A">
              <w:rPr>
                <w:rFonts w:cs="Arial" w:asciiTheme="minorHAnsi" w:hAnsiTheme="minorHAnsi"/>
                <w:sz w:val="16"/>
                <w:szCs w:val="16"/>
                <w:lang w:val="en-AU"/>
              </w:rPr>
              <w:t xml:space="preserve"> </w:t>
            </w:r>
          </w:p>
          <w:p w:rsidRPr="00CD0750" w:rsidR="002A5580" w:rsidP="0059793A" w:rsidRDefault="002A5580" w14:paraId="743E3355"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Amikacin clearance was reduced by 21% and vancomycin by 18% during co-administration of ibuprofen. The impact of indomethacin on vancomycin clearance was significantly higher compared to ibuprofen (46 and 28%, respectively). [29]</w:t>
            </w:r>
            <w:r w:rsidRPr="00CD0750" w:rsidDel="0043559A">
              <w:rPr>
                <w:rFonts w:cs="Arial" w:asciiTheme="minorHAnsi" w:hAnsiTheme="minorHAnsi"/>
                <w:sz w:val="16"/>
                <w:szCs w:val="16"/>
                <w:lang w:val="en-AU"/>
              </w:rPr>
              <w:t xml:space="preserve"> </w:t>
            </w:r>
          </w:p>
        </w:tc>
      </w:tr>
      <w:tr w:rsidRPr="0083046D" w:rsidR="002A5580" w:rsidTr="0059793A" w14:paraId="4756FE7E" w14:textId="77777777">
        <w:trPr>
          <w:trHeight w:val="108"/>
        </w:trPr>
        <w:tc>
          <w:tcPr>
            <w:tcW w:w="1133" w:type="pct"/>
          </w:tcPr>
          <w:p w:rsidRPr="0083046D" w:rsidR="002A5580" w:rsidP="0059793A" w:rsidRDefault="002A5580" w14:paraId="01BB598D" w14:textId="77777777">
            <w:pPr>
              <w:pStyle w:val="BodyText"/>
              <w:rPr>
                <w:rFonts w:cs="Arial" w:asciiTheme="minorHAnsi" w:hAnsiTheme="minorHAnsi"/>
                <w:b/>
                <w:bCs/>
                <w:sz w:val="20"/>
                <w:lang w:val="en-AU"/>
              </w:rPr>
            </w:pPr>
            <w:r w:rsidRPr="0083046D">
              <w:rPr>
                <w:rFonts w:cs="Arial" w:asciiTheme="minorHAnsi" w:hAnsiTheme="minorHAnsi"/>
                <w:b/>
                <w:bCs/>
                <w:sz w:val="20"/>
                <w:lang w:val="en-AU"/>
              </w:rPr>
              <w:lastRenderedPageBreak/>
              <w:t>Practice points</w:t>
            </w:r>
          </w:p>
        </w:tc>
        <w:tc>
          <w:tcPr>
            <w:tcW w:w="3867" w:type="pct"/>
          </w:tcPr>
          <w:p w:rsidRPr="00CD0750" w:rsidR="002A5580" w:rsidP="0059793A" w:rsidRDefault="002A5580" w14:paraId="0B672C06"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 xml:space="preserve">A large body of evidence demonstrates that early, routine treatment to induce closure of the ductus in preterm infants, either medically or surgically, in the first 2 weeks after birth does not improve long-term outcomes. </w:t>
            </w:r>
          </w:p>
          <w:p w:rsidRPr="00CD0750" w:rsidR="002A5580" w:rsidP="0059793A" w:rsidRDefault="002A5580" w14:paraId="1010A5B2" w14:textId="77777777">
            <w:pPr>
              <w:pStyle w:val="BodyText"/>
              <w:tabs>
                <w:tab w:val="left" w:pos="1168"/>
              </w:tabs>
              <w:rPr>
                <w:rFonts w:cs="Arial" w:asciiTheme="minorHAnsi" w:hAnsiTheme="minorHAnsi"/>
                <w:sz w:val="16"/>
                <w:szCs w:val="16"/>
                <w:lang w:val="en-AU"/>
              </w:rPr>
            </w:pPr>
            <w:r w:rsidRPr="00CD0750">
              <w:rPr>
                <w:rFonts w:cs="Arial" w:asciiTheme="minorHAnsi" w:hAnsiTheme="minorHAnsi"/>
                <w:sz w:val="16"/>
                <w:szCs w:val="16"/>
                <w:lang w:val="en-AU"/>
              </w:rPr>
              <w:t>The role of more selective use of medical methods for induction of ductal closure, either for defined high-risk infants in the first 2 postnatal weeks, or more generally, for older infants in whom the ductus remains patent, remains uncertain and requires further study. [30]</w:t>
            </w:r>
            <w:r w:rsidRPr="00CD0750" w:rsidDel="0043559A">
              <w:rPr>
                <w:rFonts w:cs="Arial" w:asciiTheme="minorHAnsi" w:hAnsiTheme="minorHAnsi"/>
                <w:sz w:val="16"/>
                <w:szCs w:val="16"/>
                <w:lang w:val="en-AU"/>
              </w:rPr>
              <w:t xml:space="preserve"> </w:t>
            </w:r>
          </w:p>
          <w:p w:rsidRPr="00CD0750" w:rsidR="002A5580" w:rsidP="0059793A" w:rsidRDefault="002A5580" w14:paraId="69B15B05"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Oral ibuprofen was associated a reduced failure rate to close the PDA, no difference in neonatal morbidities including intestinal perforation and gastrointestinal bleed, and lower creatinine levels after treatment compared to intravenous ibuprofen. [6] [LOE I]</w:t>
            </w:r>
          </w:p>
          <w:p w:rsidRPr="00CD0750" w:rsidR="002A5580" w:rsidP="0059793A" w:rsidRDefault="002A5580" w14:paraId="53FDB6B4" w14:textId="77777777">
            <w:pPr>
              <w:pStyle w:val="BodyText"/>
              <w:tabs>
                <w:tab w:val="left" w:pos="1168"/>
              </w:tabs>
              <w:rPr>
                <w:rFonts w:asciiTheme="minorHAnsi" w:hAnsiTheme="minorHAnsi"/>
                <w:sz w:val="16"/>
                <w:szCs w:val="16"/>
                <w:lang w:val="en-AU"/>
              </w:rPr>
            </w:pPr>
            <w:r w:rsidRPr="00CD0750">
              <w:rPr>
                <w:rFonts w:asciiTheme="minorHAnsi" w:hAnsiTheme="minorHAnsi"/>
                <w:sz w:val="16"/>
                <w:szCs w:val="16"/>
                <w:lang w:val="en-AU"/>
              </w:rPr>
              <w:t>Although high dose ibuprofen (oral or intravenous) is associated with a reduced failure rate to close the PDA, there are insufficient data to assess its safety. [6]</w:t>
            </w:r>
            <w:r w:rsidRPr="00CD0750" w:rsidDel="0043559A">
              <w:rPr>
                <w:rFonts w:asciiTheme="minorHAnsi" w:hAnsiTheme="minorHAnsi"/>
                <w:sz w:val="16"/>
                <w:szCs w:val="16"/>
                <w:lang w:val="en-AU"/>
              </w:rPr>
              <w:t xml:space="preserve"> </w:t>
            </w:r>
          </w:p>
        </w:tc>
      </w:tr>
      <w:tr w:rsidRPr="0083046D" w:rsidR="002A5580" w:rsidTr="0059793A" w14:paraId="152895E5" w14:textId="77777777">
        <w:trPr>
          <w:trHeight w:val="70"/>
        </w:trPr>
        <w:tc>
          <w:tcPr>
            <w:tcW w:w="1133" w:type="pct"/>
          </w:tcPr>
          <w:p w:rsidRPr="0083046D" w:rsidR="002A5580" w:rsidP="0059793A" w:rsidRDefault="002A5580" w14:paraId="6F6DFF36" w14:textId="77777777">
            <w:pPr>
              <w:pStyle w:val="BodyText"/>
              <w:rPr>
                <w:rFonts w:cs="Arial" w:asciiTheme="minorHAnsi" w:hAnsiTheme="minorHAnsi"/>
                <w:b/>
                <w:bCs/>
                <w:sz w:val="20"/>
                <w:lang w:val="en-AU"/>
              </w:rPr>
            </w:pPr>
            <w:r w:rsidRPr="0083046D">
              <w:rPr>
                <w:rFonts w:asciiTheme="minorHAnsi" w:hAnsiTheme="minorHAnsi"/>
                <w:b/>
                <w:sz w:val="20"/>
                <w:lang w:val="en-AU"/>
              </w:rPr>
              <w:t>References</w:t>
            </w:r>
          </w:p>
        </w:tc>
        <w:tc>
          <w:tcPr>
            <w:tcW w:w="3867" w:type="pct"/>
          </w:tcPr>
          <w:p w:rsidRPr="00CD0750" w:rsidR="002A5580" w:rsidP="001B0E05" w:rsidRDefault="002A5580" w14:paraId="69E4B9D8" w14:textId="77777777">
            <w:pPr>
              <w:pStyle w:val="ListParagraph"/>
              <w:numPr>
                <w:ilvl w:val="0"/>
                <w:numId w:val="105"/>
              </w:numPr>
              <w:rPr>
                <w:sz w:val="16"/>
                <w:szCs w:val="16"/>
              </w:rPr>
            </w:pPr>
            <w:r w:rsidRPr="00CD0750">
              <w:rPr>
                <w:sz w:val="16"/>
                <w:szCs w:val="16"/>
              </w:rPr>
              <w:t>Bravo MC, Cabanas F, Riera J, Perez-Fernandez E, Quero J, Perez-Rodriguez J, Pellicer A. Randomised controlled clinical trial of standard versus echocardiographically guided ibuprofen treatment for patent ductus arteriosus in preterm infants: a pilot study. J Matern Fetal Neonatal Med. 2014;27:904-9.</w:t>
            </w:r>
          </w:p>
          <w:p w:rsidRPr="00CD0750" w:rsidR="002A5580" w:rsidP="001B0E05" w:rsidRDefault="002A5580" w14:paraId="06BA7DCC" w14:textId="77777777">
            <w:pPr>
              <w:pStyle w:val="ListParagraph"/>
              <w:numPr>
                <w:ilvl w:val="0"/>
                <w:numId w:val="105"/>
              </w:numPr>
              <w:rPr>
                <w:sz w:val="16"/>
                <w:szCs w:val="16"/>
              </w:rPr>
            </w:pPr>
            <w:r w:rsidRPr="00CD0750">
              <w:rPr>
                <w:sz w:val="16"/>
                <w:szCs w:val="16"/>
              </w:rPr>
              <w:t>Weiss H, Cooper B, Brook M, Schlueter M, Clyman R. Factors determining reopening of the ductus arteriosus after successful clinical closure with indomethacin. J Pediatr. 1995;127:466-71.</w:t>
            </w:r>
          </w:p>
          <w:p w:rsidRPr="00CD0750" w:rsidR="002A5580" w:rsidP="001B0E05" w:rsidRDefault="002A5580" w14:paraId="3B78A4EC" w14:textId="77777777">
            <w:pPr>
              <w:pStyle w:val="ListParagraph"/>
              <w:numPr>
                <w:ilvl w:val="0"/>
                <w:numId w:val="105"/>
              </w:numPr>
              <w:rPr>
                <w:sz w:val="16"/>
                <w:szCs w:val="16"/>
              </w:rPr>
            </w:pPr>
            <w:r w:rsidRPr="00CD0750">
              <w:rPr>
                <w:sz w:val="16"/>
                <w:szCs w:val="16"/>
              </w:rPr>
              <w:t>Olgun H, Ceviz N, Kartal I, Caner I, Karacan M, Tastekin A, Becit N. Repeated Courses of Oral Ibuprofen in Premature Infants with Patent Ductus Arteriosus: Efficacy and Safety. Pediatr Neonatol. 2017;58:29-35.</w:t>
            </w:r>
          </w:p>
          <w:p w:rsidRPr="00CD0750" w:rsidR="002A5580" w:rsidP="001B0E05" w:rsidRDefault="002A5580" w14:paraId="1E5BB2D9" w14:textId="77777777">
            <w:pPr>
              <w:pStyle w:val="ListParagraph"/>
              <w:numPr>
                <w:ilvl w:val="0"/>
                <w:numId w:val="105"/>
              </w:numPr>
              <w:rPr>
                <w:sz w:val="16"/>
                <w:szCs w:val="16"/>
              </w:rPr>
            </w:pPr>
            <w:r w:rsidRPr="00CD0750">
              <w:rPr>
                <w:sz w:val="16"/>
                <w:szCs w:val="16"/>
              </w:rPr>
              <w:t>Marconi E, Bettiol A, Ambrosio G, Perduca V, Vannacci A, Troiani S, Dani C, Mugelli A, Lucenteforte E. Efficacy and safety of pharmacological treatments for patent ductus arteriosus closure: A systematic review and network meta-analysis of clinical trials and observational studies. Pharmacological Research. 2019;148 (no pagination).</w:t>
            </w:r>
          </w:p>
          <w:p w:rsidRPr="00CD0750" w:rsidR="002A5580" w:rsidP="001B0E05" w:rsidRDefault="002A5580" w14:paraId="3EE902C1" w14:textId="77777777">
            <w:pPr>
              <w:pStyle w:val="ListParagraph"/>
              <w:numPr>
                <w:ilvl w:val="0"/>
                <w:numId w:val="105"/>
              </w:numPr>
              <w:rPr>
                <w:sz w:val="16"/>
                <w:szCs w:val="16"/>
              </w:rPr>
            </w:pPr>
            <w:r w:rsidRPr="00CD0750">
              <w:rPr>
                <w:sz w:val="16"/>
                <w:szCs w:val="16"/>
              </w:rPr>
              <w:t>Ohlsson A, Shah SS. Ibuprofen for the prevention of patent ductus arteriosus in preterm and/or low birth weight infants. Cochrane Database of Systematic Reviews. 2019;2019 (6) (no pagination).</w:t>
            </w:r>
          </w:p>
          <w:p w:rsidRPr="00CD0750" w:rsidR="002A5580" w:rsidP="001B0E05" w:rsidRDefault="002A5580" w14:paraId="0C1B6A60" w14:textId="77777777">
            <w:pPr>
              <w:pStyle w:val="ListParagraph"/>
              <w:numPr>
                <w:ilvl w:val="0"/>
                <w:numId w:val="105"/>
              </w:numPr>
              <w:rPr>
                <w:sz w:val="16"/>
                <w:szCs w:val="16"/>
              </w:rPr>
            </w:pPr>
            <w:r w:rsidRPr="00CD0750">
              <w:rPr>
                <w:sz w:val="16"/>
                <w:szCs w:val="16"/>
              </w:rPr>
              <w:t>Ohlsson A, Walia R, Shah SS. Ibuprofen for the treatment of patent ductus arteriosus in preterm or low birth weight (or both) infants. Cochrane Database of Systematic Reviews. 2018;2018 (9) (no pagination).</w:t>
            </w:r>
          </w:p>
          <w:p w:rsidRPr="00CD0750" w:rsidR="002A5580" w:rsidP="001B0E05" w:rsidRDefault="002A5580" w14:paraId="12CCAA90" w14:textId="77777777">
            <w:pPr>
              <w:pStyle w:val="ListParagraph"/>
              <w:numPr>
                <w:ilvl w:val="0"/>
                <w:numId w:val="105"/>
              </w:numPr>
              <w:rPr>
                <w:sz w:val="16"/>
                <w:szCs w:val="16"/>
              </w:rPr>
            </w:pPr>
            <w:r w:rsidRPr="00CD0750">
              <w:rPr>
                <w:sz w:val="16"/>
                <w:szCs w:val="16"/>
              </w:rPr>
              <w:t>Ohlsson A, Shah PS. Paracetamol (acetaminophen) for patent ductus arteriosus in preterm or low birth weight infants. The Cochrane database of systematic reviews. 2018;4:CD010061.</w:t>
            </w:r>
          </w:p>
          <w:p w:rsidRPr="00CD0750" w:rsidR="002A5580" w:rsidP="001B0E05" w:rsidRDefault="002A5580" w14:paraId="50B806F1" w14:textId="77777777">
            <w:pPr>
              <w:pStyle w:val="ListParagraph"/>
              <w:numPr>
                <w:ilvl w:val="0"/>
                <w:numId w:val="105"/>
              </w:numPr>
              <w:rPr>
                <w:sz w:val="16"/>
                <w:szCs w:val="16"/>
              </w:rPr>
            </w:pPr>
            <w:r w:rsidRPr="00CD0750">
              <w:rPr>
                <w:sz w:val="16"/>
                <w:szCs w:val="16"/>
              </w:rPr>
              <w:t>ElHassan NO, Bird TM, King AJ, Ambadwar PB, Jaquiss RD, Kaiser JR, Robbins JM. Variation and comparative effectiveness of patent ductus arteriosus pharmacotherapy in extremely low birth weight infants. J Neonatal Perinatal Med. 2014;7:229-35.</w:t>
            </w:r>
          </w:p>
          <w:p w:rsidRPr="00CD0750" w:rsidR="002A5580" w:rsidP="001B0E05" w:rsidRDefault="002A5580" w14:paraId="3EEF20F8" w14:textId="77777777">
            <w:pPr>
              <w:pStyle w:val="ListParagraph"/>
              <w:numPr>
                <w:ilvl w:val="0"/>
                <w:numId w:val="105"/>
              </w:numPr>
              <w:rPr>
                <w:sz w:val="16"/>
                <w:szCs w:val="16"/>
              </w:rPr>
            </w:pPr>
            <w:r w:rsidRPr="00CD0750">
              <w:rPr>
                <w:sz w:val="16"/>
                <w:szCs w:val="16"/>
              </w:rPr>
              <w:t>Diot C, Kibleur Y, Desfrere L. Effect of ibuprofen on bilirubin-albumin binding in vitro at concentrations observed during treatment of patent ductus arteriosus. Early human development. 2010;86:315-7.</w:t>
            </w:r>
          </w:p>
          <w:p w:rsidRPr="00CD0750" w:rsidR="002A5580" w:rsidP="001B0E05" w:rsidRDefault="002A5580" w14:paraId="76D0A6A1" w14:textId="77777777">
            <w:pPr>
              <w:pStyle w:val="ListParagraph"/>
              <w:numPr>
                <w:ilvl w:val="0"/>
                <w:numId w:val="105"/>
              </w:numPr>
              <w:rPr>
                <w:sz w:val="16"/>
                <w:szCs w:val="16"/>
              </w:rPr>
            </w:pPr>
            <w:r w:rsidRPr="00CD0750">
              <w:rPr>
                <w:sz w:val="16"/>
                <w:szCs w:val="16"/>
              </w:rPr>
              <w:t>Desfrere L, Thibaut C, Kibleur Y, Barbier A, Bordarier C, Moriette G. Unbound bilirubin does not increase during ibuprofen treatment of patent ductus arteriosus in preterm infants. The Journal of pediatrics. 2012;160:258-64 e1.</w:t>
            </w:r>
          </w:p>
          <w:p w:rsidRPr="00CD0750" w:rsidR="002A5580" w:rsidP="001B0E05" w:rsidRDefault="002A5580" w14:paraId="3D9554D7" w14:textId="77777777">
            <w:pPr>
              <w:pStyle w:val="ListParagraph"/>
              <w:numPr>
                <w:ilvl w:val="0"/>
                <w:numId w:val="105"/>
              </w:numPr>
              <w:rPr>
                <w:sz w:val="16"/>
                <w:szCs w:val="16"/>
              </w:rPr>
            </w:pPr>
            <w:r w:rsidRPr="00CD0750">
              <w:rPr>
                <w:sz w:val="16"/>
                <w:szCs w:val="16"/>
              </w:rPr>
              <w:t>Schneider DJ. The patent ductus arteriosus in term infants, children, and adults. Semin Perinatol. 2012;36:146-53.</w:t>
            </w:r>
          </w:p>
          <w:p w:rsidRPr="00CD0750" w:rsidR="002A5580" w:rsidP="001B0E05" w:rsidRDefault="002A5580" w14:paraId="24E49ABE" w14:textId="77777777">
            <w:pPr>
              <w:pStyle w:val="ListParagraph"/>
              <w:numPr>
                <w:ilvl w:val="0"/>
                <w:numId w:val="105"/>
              </w:numPr>
              <w:rPr>
                <w:sz w:val="16"/>
                <w:szCs w:val="16"/>
              </w:rPr>
            </w:pPr>
            <w:r w:rsidRPr="00CD0750">
              <w:rPr>
                <w:sz w:val="16"/>
                <w:szCs w:val="16"/>
              </w:rPr>
              <w:t>Takami T, Yoda H, Kawakami T, Yamamura H, Nakanishi T, Nakazawa M, Takei Y, Miyajima T, Hoshika A. Usefulness of indomethacin for patent ductus arteriosus in full-term infants. Pediatr Cardiol. 2007;28:46-50.</w:t>
            </w:r>
          </w:p>
          <w:p w:rsidRPr="00CD0750" w:rsidR="002A5580" w:rsidP="001B0E05" w:rsidRDefault="002A5580" w14:paraId="71112E4E" w14:textId="77777777">
            <w:pPr>
              <w:pStyle w:val="ListParagraph"/>
              <w:numPr>
                <w:ilvl w:val="0"/>
                <w:numId w:val="105"/>
              </w:numPr>
              <w:rPr>
                <w:sz w:val="16"/>
                <w:szCs w:val="16"/>
              </w:rPr>
            </w:pPr>
            <w:r w:rsidRPr="00CD0750">
              <w:rPr>
                <w:sz w:val="16"/>
                <w:szCs w:val="16"/>
              </w:rPr>
              <w:t>Takami T, Yoda H, Ishida T, Morichi S, Kondo A, Sunohara D, Hoshika A, Kawakami T. Effects of indomethacin on patent ductus arteriosus in neonates with genetic disorders and/or congenital anomalies. Am J Perinatol. 2013;30:551-6.</w:t>
            </w:r>
          </w:p>
          <w:p w:rsidRPr="00CD0750" w:rsidR="002A5580" w:rsidP="001B0E05" w:rsidRDefault="002A5580" w14:paraId="3B2A6AE2" w14:textId="77777777">
            <w:pPr>
              <w:pStyle w:val="ListParagraph"/>
              <w:numPr>
                <w:ilvl w:val="0"/>
                <w:numId w:val="105"/>
              </w:numPr>
              <w:rPr>
                <w:sz w:val="16"/>
                <w:szCs w:val="16"/>
              </w:rPr>
            </w:pPr>
            <w:r w:rsidRPr="00CD0750">
              <w:rPr>
                <w:sz w:val="16"/>
                <w:szCs w:val="16"/>
              </w:rPr>
              <w:t>Clyman RI, Couto J, Murphy GM. Patent Ductus Arteriosus: Are Current Neonatal Treatment Options Better or Worse Than No Treatment at All? Seminars in Perinatology. 2012;36:123-9.</w:t>
            </w:r>
          </w:p>
          <w:p w:rsidRPr="00CD0750" w:rsidR="002A5580" w:rsidP="001B0E05" w:rsidRDefault="002A5580" w14:paraId="65534660" w14:textId="77777777">
            <w:pPr>
              <w:pStyle w:val="ListParagraph"/>
              <w:numPr>
                <w:ilvl w:val="0"/>
                <w:numId w:val="105"/>
              </w:numPr>
              <w:rPr>
                <w:sz w:val="16"/>
                <w:szCs w:val="16"/>
              </w:rPr>
            </w:pPr>
            <w:r w:rsidRPr="00CD0750">
              <w:rPr>
                <w:sz w:val="16"/>
                <w:szCs w:val="16"/>
              </w:rPr>
              <w:t>Koch J, Hensley G, Roy L, Brown S, Ramaciotti C, Rosenfeld CR. Prevalence of spontaneous closure of the ductus arteriosus in neonates at a birth weight of 1000 grams or less. Pediatrics. 2006;117:1113-21.</w:t>
            </w:r>
          </w:p>
          <w:p w:rsidRPr="00CD0750" w:rsidR="002A5580" w:rsidP="001B0E05" w:rsidRDefault="002A5580" w14:paraId="46BFCEC1" w14:textId="77777777">
            <w:pPr>
              <w:pStyle w:val="ListParagraph"/>
              <w:numPr>
                <w:ilvl w:val="0"/>
                <w:numId w:val="105"/>
              </w:numPr>
              <w:rPr>
                <w:sz w:val="16"/>
                <w:szCs w:val="16"/>
              </w:rPr>
            </w:pPr>
            <w:r w:rsidRPr="00CD0750">
              <w:rPr>
                <w:sz w:val="16"/>
                <w:szCs w:val="16"/>
              </w:rPr>
              <w:t>Nemerofsky SL, Parravicini E, Bateman D, Kleinman C, Polin RA, Lorenz JM. The ductus arteriosus rarely requires treatment in infants &gt; 1000 grams. American journal of perinatology. 2008;25:661-6.</w:t>
            </w:r>
          </w:p>
          <w:p w:rsidRPr="00CD0750" w:rsidR="002A5580" w:rsidP="001B0E05" w:rsidRDefault="002A5580" w14:paraId="476BA1F2" w14:textId="77777777">
            <w:pPr>
              <w:pStyle w:val="ListParagraph"/>
              <w:numPr>
                <w:ilvl w:val="0"/>
                <w:numId w:val="105"/>
              </w:numPr>
              <w:rPr>
                <w:sz w:val="16"/>
                <w:szCs w:val="16"/>
              </w:rPr>
            </w:pPr>
            <w:r w:rsidRPr="00CD0750">
              <w:rPr>
                <w:sz w:val="16"/>
                <w:szCs w:val="16"/>
              </w:rPr>
              <w:t>Reller MD, Rice MJ, McDonald RW. Review of studies evaluating ductal patency in the premature infant. Journal of Pediatrics. 1993;122:S59-S62.</w:t>
            </w:r>
          </w:p>
          <w:p w:rsidRPr="00CD0750" w:rsidR="002A5580" w:rsidP="001B0E05" w:rsidRDefault="002A5580" w14:paraId="0730A6F8" w14:textId="77777777">
            <w:pPr>
              <w:pStyle w:val="ListParagraph"/>
              <w:numPr>
                <w:ilvl w:val="0"/>
                <w:numId w:val="105"/>
              </w:numPr>
              <w:rPr>
                <w:sz w:val="16"/>
                <w:szCs w:val="16"/>
              </w:rPr>
            </w:pPr>
            <w:r w:rsidRPr="00CD0750">
              <w:rPr>
                <w:sz w:val="16"/>
                <w:szCs w:val="16"/>
              </w:rPr>
              <w:t>Schmidt B, Davis P, Moddemann D, Ohlsson A, Roberts RS, Saigal S, Solimano A, Vincer M, Wright LL, Trial of Indomethacin Prophylaxis in Preterms I. Long-term effects of indomethacin prophylaxis in extremely-low-birth-weight infants. The New England journal of medicine. 2001;344:1966-72.</w:t>
            </w:r>
          </w:p>
          <w:p w:rsidRPr="00CD0750" w:rsidR="002A5580" w:rsidP="001B0E05" w:rsidRDefault="002A5580" w14:paraId="70823AB4" w14:textId="77777777">
            <w:pPr>
              <w:pStyle w:val="ListParagraph"/>
              <w:numPr>
                <w:ilvl w:val="0"/>
                <w:numId w:val="105"/>
              </w:numPr>
              <w:rPr>
                <w:sz w:val="16"/>
                <w:szCs w:val="16"/>
              </w:rPr>
            </w:pPr>
            <w:r w:rsidRPr="00CD0750">
              <w:rPr>
                <w:sz w:val="16"/>
                <w:szCs w:val="16"/>
              </w:rPr>
              <w:t>Van Overmeire B, Van De Broek H, Van Laer P, Weyler J, Vanhaesebrouck P. Early versus late indomethacin treatment for patent ductus arteriosus in premature infants with respiratory distress syndrome. Journal of Pediatrics. 2001;138:205-11.</w:t>
            </w:r>
          </w:p>
          <w:p w:rsidRPr="00CD0750" w:rsidR="002A5580" w:rsidP="001B0E05" w:rsidRDefault="002A5580" w14:paraId="4F12F796" w14:textId="77777777">
            <w:pPr>
              <w:pStyle w:val="ListParagraph"/>
              <w:numPr>
                <w:ilvl w:val="0"/>
                <w:numId w:val="105"/>
              </w:numPr>
              <w:rPr>
                <w:sz w:val="16"/>
                <w:szCs w:val="16"/>
              </w:rPr>
            </w:pPr>
            <w:r w:rsidRPr="00CD0750">
              <w:rPr>
                <w:sz w:val="16"/>
                <w:szCs w:val="16"/>
              </w:rPr>
              <w:t xml:space="preserve">Dani C, Mosca F, Cresi F, Lago P, Lista G, Laforgia N, Del Vecchio A, Corvaglia L, Paolillo P, Trevisanuto D, Capasso L, Fanos V, Maffei G, Boni L. Patent ductus arteriosus in preterm infants </w:t>
            </w:r>
            <w:r w:rsidRPr="00CD0750">
              <w:rPr>
                <w:sz w:val="16"/>
                <w:szCs w:val="16"/>
              </w:rPr>
              <w:lastRenderedPageBreak/>
              <w:t>born at 23-24 weeks' gestation: Should we pay more attention? Early human development. 2019;135:16-22.</w:t>
            </w:r>
          </w:p>
          <w:p w:rsidRPr="00CD0750" w:rsidR="002A5580" w:rsidP="001B0E05" w:rsidRDefault="002A5580" w14:paraId="25B11A6C" w14:textId="77777777">
            <w:pPr>
              <w:pStyle w:val="ListParagraph"/>
              <w:numPr>
                <w:ilvl w:val="0"/>
                <w:numId w:val="105"/>
              </w:numPr>
              <w:rPr>
                <w:sz w:val="16"/>
                <w:szCs w:val="16"/>
              </w:rPr>
            </w:pPr>
            <w:r w:rsidRPr="00CD0750">
              <w:rPr>
                <w:sz w:val="16"/>
                <w:szCs w:val="16"/>
              </w:rPr>
              <w:t>Kalani M, Shariat M, Khalesi N, Farahani Z, Ahmadi S. A comparison of early ibuprofen and indomethacin administration to prevent intraventricular hemorrhage among preterm infants. Acta Medica Iranica. 2016;54:788-92.</w:t>
            </w:r>
          </w:p>
          <w:p w:rsidRPr="00CD0750" w:rsidR="002A5580" w:rsidP="001B0E05" w:rsidRDefault="002A5580" w14:paraId="164F6E6A" w14:textId="77777777">
            <w:pPr>
              <w:pStyle w:val="ListParagraph"/>
              <w:numPr>
                <w:ilvl w:val="0"/>
                <w:numId w:val="105"/>
              </w:numPr>
              <w:rPr>
                <w:sz w:val="16"/>
                <w:szCs w:val="16"/>
              </w:rPr>
            </w:pPr>
            <w:r w:rsidRPr="00CD0750">
              <w:rPr>
                <w:sz w:val="16"/>
                <w:szCs w:val="16"/>
              </w:rPr>
              <w:t>Mitra S, Florez ID, Tamayo ME, Mbuagbaw L, Vanniyasingam T, Veroniki AA, Zea AM, Zhang Y, Sadeghirad B, Thabane L. Association of placebo, indomethacin, ibuprofen, and acetaminophen with closure of hemodynamically significant patent ductus arteriosus in preterm infants a systematic review and meta-analysis. JAMA - Journal of the American Medical Association. 2018;319:1221-38.</w:t>
            </w:r>
          </w:p>
          <w:p w:rsidRPr="00CD0750" w:rsidR="002A5580" w:rsidP="001B0E05" w:rsidRDefault="002A5580" w14:paraId="004B8F6F" w14:textId="77777777">
            <w:pPr>
              <w:pStyle w:val="ListParagraph"/>
              <w:numPr>
                <w:ilvl w:val="0"/>
                <w:numId w:val="105"/>
              </w:numPr>
              <w:rPr>
                <w:sz w:val="16"/>
                <w:szCs w:val="16"/>
              </w:rPr>
            </w:pPr>
            <w:r w:rsidRPr="00CD0750">
              <w:rPr>
                <w:sz w:val="16"/>
                <w:szCs w:val="16"/>
              </w:rPr>
              <w:t>Lago P, Salvadori S, Opocher F, Ricato S, Chiandetti L, Frigo AC. Continuous infusion of ibuprofen for treatment of patent ductus arteriosus in very low birth weight infants. Neonatology. 2014;105:46-54.</w:t>
            </w:r>
          </w:p>
          <w:p w:rsidRPr="00CD0750" w:rsidR="002A5580" w:rsidP="001B0E05" w:rsidRDefault="002A5580" w14:paraId="6DCA4E44" w14:textId="77777777">
            <w:pPr>
              <w:pStyle w:val="ListParagraph"/>
              <w:numPr>
                <w:ilvl w:val="0"/>
                <w:numId w:val="105"/>
              </w:numPr>
              <w:rPr>
                <w:sz w:val="16"/>
                <w:szCs w:val="16"/>
              </w:rPr>
            </w:pPr>
            <w:r w:rsidRPr="00CD0750">
              <w:rPr>
                <w:sz w:val="16"/>
                <w:szCs w:val="16"/>
              </w:rPr>
              <w:t>Dani C, Vangi V, Bertini G, Pratesi S, Lori I, Favelli F, Ciuti R, Bandinelli A, Martano C, Murru P, Messner H, Schena F, Mosca F. High-dose ibuprofen for patent ductus arteriosus in extremely preterm infants: a randomized controlled study. Clinical pharmacology and therapeutics. 2012;91:590-6.</w:t>
            </w:r>
          </w:p>
          <w:p w:rsidRPr="00CD0750" w:rsidR="002A5580" w:rsidP="001B0E05" w:rsidRDefault="002A5580" w14:paraId="052988B6" w14:textId="77777777">
            <w:pPr>
              <w:pStyle w:val="ListParagraph"/>
              <w:numPr>
                <w:ilvl w:val="0"/>
                <w:numId w:val="105"/>
              </w:numPr>
              <w:rPr>
                <w:sz w:val="16"/>
                <w:szCs w:val="16"/>
              </w:rPr>
            </w:pPr>
            <w:r w:rsidRPr="00CD0750">
              <w:rPr>
                <w:sz w:val="16"/>
                <w:szCs w:val="16"/>
              </w:rPr>
              <w:t>Pourarian S, Takmil F, Cheriki S, Amoozgar H. The Effect of Oral High-dose Ibuprofen on Patent Ductus Arteriosus Closure in Preterm Infants. American journal of perinatology. 2015.</w:t>
            </w:r>
          </w:p>
          <w:p w:rsidRPr="00CD0750" w:rsidR="002A5580" w:rsidP="001B0E05" w:rsidRDefault="002A5580" w14:paraId="256E4F50" w14:textId="77777777">
            <w:pPr>
              <w:pStyle w:val="ListParagraph"/>
              <w:numPr>
                <w:ilvl w:val="0"/>
                <w:numId w:val="105"/>
              </w:numPr>
              <w:rPr>
                <w:sz w:val="16"/>
                <w:szCs w:val="16"/>
              </w:rPr>
            </w:pPr>
            <w:r w:rsidRPr="00CD0750">
              <w:rPr>
                <w:sz w:val="16"/>
                <w:szCs w:val="16"/>
              </w:rPr>
              <w:t>Hirt D, Van Overmeire B, Treluyer JM, Langhendries JP, Marguglio A, Eisinger MJ, Schepens P, Urien S. An optimized ibuprofen dosing scheme for preterm neonates with patent ductus arteriosus, based on a population pharmacokinetic and pharmacodynamic study. British journal of clinical pharmacology. 2008;65:629-36.</w:t>
            </w:r>
          </w:p>
          <w:p w:rsidRPr="00CD0750" w:rsidR="002A5580" w:rsidP="001B0E05" w:rsidRDefault="002A5580" w14:paraId="13E57573" w14:textId="77777777">
            <w:pPr>
              <w:pStyle w:val="ListParagraph"/>
              <w:numPr>
                <w:ilvl w:val="0"/>
                <w:numId w:val="105"/>
              </w:numPr>
              <w:rPr>
                <w:sz w:val="16"/>
                <w:szCs w:val="16"/>
              </w:rPr>
            </w:pPr>
            <w:r w:rsidRPr="00CD0750">
              <w:rPr>
                <w:sz w:val="16"/>
                <w:szCs w:val="16"/>
              </w:rPr>
              <w:t>Barzilay B, Youngster I, Batash D, Keidar R, Baram S, Goldman M, Berkovitch M, Heyman E. Pharmacokinetics of oral ibuprofen for patent ductus arteriosus closure in preterm infants. Archives of disease in childhood Fetal and neonatal edition. 2012;97:F116-9.</w:t>
            </w:r>
          </w:p>
          <w:p w:rsidRPr="00CD0750" w:rsidR="002A5580" w:rsidP="001B0E05" w:rsidRDefault="002A5580" w14:paraId="64D777E5" w14:textId="77777777">
            <w:pPr>
              <w:pStyle w:val="ListParagraph"/>
              <w:numPr>
                <w:ilvl w:val="0"/>
                <w:numId w:val="105"/>
              </w:numPr>
              <w:rPr>
                <w:sz w:val="16"/>
                <w:szCs w:val="16"/>
              </w:rPr>
            </w:pPr>
            <w:r w:rsidRPr="00CD0750">
              <w:rPr>
                <w:sz w:val="16"/>
                <w:szCs w:val="16"/>
              </w:rPr>
              <w:t>Yurttutan S, Erdeve O, Oncel MY, Ozdemir R, Dilmen U. The relationship between trough drug concentrations and ductal closure in preterm infants treated with three-dose-oral ibuprofen. The journal of maternal-fetal &amp; neonatal medicine  2013;26:1306-10.</w:t>
            </w:r>
          </w:p>
          <w:p w:rsidRPr="00CD0750" w:rsidR="002A5580" w:rsidP="001B0E05" w:rsidRDefault="002A5580" w14:paraId="391F7218" w14:textId="77777777">
            <w:pPr>
              <w:pStyle w:val="ListParagraph"/>
              <w:numPr>
                <w:ilvl w:val="0"/>
                <w:numId w:val="105"/>
              </w:numPr>
              <w:rPr>
                <w:sz w:val="16"/>
                <w:szCs w:val="16"/>
              </w:rPr>
            </w:pPr>
            <w:r w:rsidRPr="00CD0750">
              <w:rPr>
                <w:sz w:val="16"/>
                <w:szCs w:val="16"/>
              </w:rPr>
              <w:t>Allegaert K. The impact of ibuprofen or indomethacin on renal drug clearance in neonates. The journal of maternal-fetal &amp; neonatal medicine : the official journal of the European Association of Perinatal Medicine, the Federation of Asia and Oceania Perinatal Societies, the International Society of Perinatal Obstet. 2009;22 Suppl 3:88-91.</w:t>
            </w:r>
          </w:p>
          <w:p w:rsidRPr="00CD0750" w:rsidR="002A5580" w:rsidP="001B0E05" w:rsidRDefault="002A5580" w14:paraId="0668DDC3" w14:textId="77777777">
            <w:pPr>
              <w:pStyle w:val="ListParagraph"/>
              <w:numPr>
                <w:ilvl w:val="0"/>
                <w:numId w:val="105"/>
              </w:numPr>
              <w:rPr>
                <w:sz w:val="16"/>
                <w:szCs w:val="16"/>
              </w:rPr>
            </w:pPr>
            <w:r w:rsidRPr="00CD0750">
              <w:rPr>
                <w:sz w:val="16"/>
                <w:szCs w:val="16"/>
              </w:rPr>
              <w:t>Benitz WE, Committee on F, Newborn AAoP. Patent Ductus Arteriosus in Preterm Infants. Pediatrics. 2016;137.</w:t>
            </w:r>
          </w:p>
          <w:p w:rsidRPr="00CD0750" w:rsidR="002A5580" w:rsidP="001B0E05" w:rsidRDefault="002A5580" w14:paraId="0010298E" w14:textId="77777777">
            <w:pPr>
              <w:pStyle w:val="ListParagraph"/>
              <w:numPr>
                <w:ilvl w:val="0"/>
                <w:numId w:val="105"/>
              </w:numPr>
              <w:rPr>
                <w:sz w:val="16"/>
                <w:szCs w:val="16"/>
              </w:rPr>
            </w:pPr>
            <w:r w:rsidRPr="00CD0750">
              <w:rPr>
                <w:sz w:val="16"/>
                <w:szCs w:val="16"/>
              </w:rPr>
              <w:t>Pedea (Ibuprofen). Australian Product Information. Accessed on 28 November 2019.</w:t>
            </w:r>
          </w:p>
          <w:p w:rsidRPr="00CD0750" w:rsidR="002A5580" w:rsidP="001B0E05" w:rsidRDefault="002A5580" w14:paraId="0716EA68" w14:textId="77777777">
            <w:pPr>
              <w:pStyle w:val="ListParagraph"/>
              <w:numPr>
                <w:ilvl w:val="0"/>
                <w:numId w:val="105"/>
              </w:numPr>
              <w:rPr>
                <w:sz w:val="16"/>
                <w:szCs w:val="16"/>
              </w:rPr>
            </w:pPr>
            <w:r w:rsidRPr="00CD0750">
              <w:rPr>
                <w:sz w:val="16"/>
                <w:szCs w:val="16"/>
              </w:rPr>
              <w:t>Product Information: Caldolor intravenous, injection, ibuprofen arginine injection. Cumberland Phamaceuticals Inc., Nashville, TN, 2014.</w:t>
            </w:r>
          </w:p>
          <w:p w:rsidRPr="00CD0750" w:rsidR="002A5580" w:rsidP="001B0E05" w:rsidRDefault="002A5580" w14:paraId="152B45A4" w14:textId="77777777">
            <w:pPr>
              <w:pStyle w:val="ListParagraph"/>
              <w:numPr>
                <w:ilvl w:val="0"/>
                <w:numId w:val="105"/>
              </w:numPr>
              <w:rPr>
                <w:sz w:val="16"/>
                <w:szCs w:val="16"/>
              </w:rPr>
            </w:pPr>
            <w:r w:rsidRPr="00CD0750">
              <w:rPr>
                <w:sz w:val="16"/>
                <w:szCs w:val="16"/>
              </w:rPr>
              <w:t>Product Information: Neoprofen intravenous, injection, ibuprofen lysine injection. Recordati rare diseases, Lebanon, NJ, 2013.</w:t>
            </w:r>
          </w:p>
          <w:p w:rsidRPr="00CD0750" w:rsidR="002A5580" w:rsidP="001B0E05" w:rsidRDefault="002A5580" w14:paraId="381B6C01" w14:textId="77777777">
            <w:pPr>
              <w:pStyle w:val="ListParagraph"/>
              <w:numPr>
                <w:ilvl w:val="0"/>
                <w:numId w:val="105"/>
              </w:numPr>
              <w:rPr>
                <w:sz w:val="16"/>
                <w:szCs w:val="16"/>
              </w:rPr>
            </w:pPr>
            <w:r w:rsidRPr="00CD0750">
              <w:rPr>
                <w:sz w:val="16"/>
                <w:szCs w:val="16"/>
              </w:rPr>
              <w:t>Ibuprofen arginine, Ibuprofen lysine. In: IV index. Trissel's 2 clinical pharmaceutics database (parenteral compatibility). Greenwood Village, Colorado: Truven Health Analytics. Accessed 11/9/1515.</w:t>
            </w:r>
          </w:p>
          <w:p w:rsidRPr="00CD0750" w:rsidR="002A5580" w:rsidP="001B0E05" w:rsidRDefault="002A5580" w14:paraId="0F0B3854" w14:textId="77777777">
            <w:pPr>
              <w:pStyle w:val="ListParagraph"/>
              <w:numPr>
                <w:ilvl w:val="0"/>
                <w:numId w:val="105"/>
              </w:numPr>
              <w:rPr>
                <w:sz w:val="16"/>
                <w:szCs w:val="16"/>
              </w:rPr>
            </w:pPr>
            <w:r w:rsidRPr="00CD0750">
              <w:rPr>
                <w:sz w:val="16"/>
                <w:szCs w:val="16"/>
              </w:rPr>
              <w:t>Australian Injectable Drugs Handbook, 6th Edition, Society of Hospital Pharmacists of Australia 2014.</w:t>
            </w:r>
          </w:p>
          <w:p w:rsidRPr="00CD0750" w:rsidR="002A5580" w:rsidP="001B0E05" w:rsidRDefault="002A5580" w14:paraId="3C7CA73D" w14:textId="77777777">
            <w:pPr>
              <w:pStyle w:val="ListParagraph"/>
              <w:numPr>
                <w:ilvl w:val="0"/>
                <w:numId w:val="105"/>
              </w:numPr>
              <w:rPr>
                <w:sz w:val="16"/>
                <w:szCs w:val="16"/>
              </w:rPr>
            </w:pPr>
            <w:r w:rsidRPr="00CD0750">
              <w:rPr>
                <w:sz w:val="16"/>
                <w:szCs w:val="16"/>
              </w:rPr>
              <w:t>Micromedex solutions. Accessed on 30 January 2020.</w:t>
            </w:r>
          </w:p>
        </w:tc>
      </w:tr>
    </w:tbl>
    <w:p w:rsidR="000A359A" w:rsidP="006F0321" w:rsidRDefault="000A359A" w14:paraId="226F341A" w14:textId="77777777"/>
    <w:p w:rsidRPr="00E25790" w:rsidR="002A5580" w:rsidP="006F0321" w:rsidRDefault="002A5580" w14:paraId="44D6F7C1" w14:textId="77777777"/>
    <w:tbl>
      <w:tblPr>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819"/>
      </w:tblGrid>
      <w:tr w:rsidRPr="003A7895" w:rsidR="00E424B4" w:rsidTr="000A359A" w14:paraId="1AC4B56A" w14:textId="77777777">
        <w:tc>
          <w:tcPr>
            <w:tcW w:w="4395" w:type="dxa"/>
            <w:vAlign w:val="center"/>
          </w:tcPr>
          <w:p w:rsidRPr="003A7895" w:rsidR="000A359A" w:rsidP="00B97D99" w:rsidRDefault="000A359A" w14:paraId="1F2E870A" w14:textId="77777777">
            <w:r>
              <w:t>Original version Date: 27/10</w:t>
            </w:r>
            <w:r w:rsidRPr="003A7895">
              <w:t>/2015</w:t>
            </w:r>
          </w:p>
        </w:tc>
        <w:tc>
          <w:tcPr>
            <w:tcW w:w="4819" w:type="dxa"/>
            <w:vAlign w:val="center"/>
          </w:tcPr>
          <w:p w:rsidRPr="003A7895" w:rsidR="000A359A" w:rsidP="00B97D99" w:rsidRDefault="000A359A" w14:paraId="56FF49F2" w14:textId="77777777">
            <w:r>
              <w:t>Author: NeoMed Consensus Group</w:t>
            </w:r>
          </w:p>
        </w:tc>
      </w:tr>
      <w:tr w:rsidRPr="003A7895" w:rsidR="00E424B4" w:rsidTr="000A359A" w14:paraId="617833DB" w14:textId="77777777">
        <w:tc>
          <w:tcPr>
            <w:tcW w:w="4395" w:type="dxa"/>
            <w:vAlign w:val="center"/>
          </w:tcPr>
          <w:p w:rsidRPr="003A7895" w:rsidR="000A359A" w:rsidP="00B97D99" w:rsidRDefault="000A359A" w14:paraId="07705796" w14:textId="77777777">
            <w:pPr>
              <w:rPr>
                <w:bCs/>
              </w:rPr>
            </w:pPr>
            <w:r w:rsidRPr="003A7895">
              <w:t>Current Version number:  1</w:t>
            </w:r>
            <w:r>
              <w:t>.2</w:t>
            </w:r>
          </w:p>
        </w:tc>
        <w:tc>
          <w:tcPr>
            <w:tcW w:w="4819" w:type="dxa"/>
            <w:vAlign w:val="center"/>
          </w:tcPr>
          <w:p w:rsidRPr="003A7895" w:rsidR="000A359A" w:rsidP="00B97D99" w:rsidRDefault="000A359A" w14:paraId="7BDCD22E" w14:textId="77777777">
            <w:r>
              <w:t xml:space="preserve">Current </w:t>
            </w:r>
            <w:r w:rsidRPr="003A7895">
              <w:t>Version Date</w:t>
            </w:r>
            <w:r w:rsidRPr="00CE7642">
              <w:t xml:space="preserve">:  </w:t>
            </w:r>
            <w:r>
              <w:t>24/9/2019</w:t>
            </w:r>
          </w:p>
        </w:tc>
      </w:tr>
      <w:tr w:rsidRPr="003A7895" w:rsidR="00E424B4" w:rsidTr="000A359A" w14:paraId="0CFE0D72" w14:textId="77777777">
        <w:tc>
          <w:tcPr>
            <w:tcW w:w="4395" w:type="dxa"/>
            <w:vAlign w:val="center"/>
          </w:tcPr>
          <w:p w:rsidRPr="003A7895" w:rsidR="000A359A" w:rsidP="00B97D99" w:rsidRDefault="000A359A" w14:paraId="5B6A5038" w14:textId="77777777">
            <w:r>
              <w:t>Risk Rating: Medium</w:t>
            </w:r>
          </w:p>
        </w:tc>
        <w:tc>
          <w:tcPr>
            <w:tcW w:w="4819" w:type="dxa"/>
            <w:vAlign w:val="center"/>
          </w:tcPr>
          <w:p w:rsidRPr="003A7895" w:rsidR="000A359A" w:rsidP="00B97D99" w:rsidRDefault="000A359A" w14:paraId="18945142" w14:textId="77777777">
            <w:r w:rsidRPr="003A7895">
              <w:t xml:space="preserve">Due for Review:  </w:t>
            </w:r>
            <w:r>
              <w:t>24/9/2022</w:t>
            </w:r>
          </w:p>
        </w:tc>
      </w:tr>
      <w:tr w:rsidRPr="003A7895" w:rsidR="00E424B4" w:rsidTr="000A359A" w14:paraId="31FF8A33" w14:textId="77777777">
        <w:trPr>
          <w:trHeight w:val="344"/>
        </w:trPr>
        <w:tc>
          <w:tcPr>
            <w:tcW w:w="4395" w:type="dxa"/>
            <w:tcBorders>
              <w:bottom w:val="single" w:color="auto" w:sz="4" w:space="0"/>
            </w:tcBorders>
            <w:vAlign w:val="center"/>
          </w:tcPr>
          <w:p w:rsidRPr="003A7895" w:rsidR="000A359A" w:rsidP="00B97D99" w:rsidRDefault="000A359A" w14:paraId="0956984C" w14:textId="77777777">
            <w:r w:rsidRPr="003A7895">
              <w:t>Approv</w:t>
            </w:r>
            <w:r>
              <w:t xml:space="preserve">al </w:t>
            </w:r>
            <w:r w:rsidRPr="003A7895">
              <w:t>by</w:t>
            </w:r>
            <w:r>
              <w:t>: DTC</w:t>
            </w:r>
          </w:p>
        </w:tc>
        <w:tc>
          <w:tcPr>
            <w:tcW w:w="4819" w:type="dxa"/>
            <w:tcBorders>
              <w:bottom w:val="single" w:color="auto" w:sz="4" w:space="0"/>
            </w:tcBorders>
            <w:vAlign w:val="center"/>
          </w:tcPr>
          <w:p w:rsidRPr="003A7895" w:rsidR="000A359A" w:rsidP="00B97D99" w:rsidRDefault="000A359A" w14:paraId="5A1D52D5" w14:textId="77777777">
            <w:r w:rsidRPr="003A7895">
              <w:t>Approval Date:</w:t>
            </w:r>
            <w:r>
              <w:t>22/11/2019</w:t>
            </w:r>
          </w:p>
        </w:tc>
      </w:tr>
    </w:tbl>
    <w:p w:rsidRPr="00E25790" w:rsidR="000A359A" w:rsidP="006F0321" w:rsidRDefault="000A359A" w14:paraId="336591AE" w14:textId="77777777"/>
    <w:p w:rsidR="00A95DCE" w:rsidP="006F0321" w:rsidRDefault="00A95DCE" w14:paraId="5A92A12B" w14:textId="77777777"/>
    <w:p w:rsidR="00B97D99" w:rsidRDefault="00B97D99" w14:paraId="463DCA1C" w14:textId="77777777">
      <w:bookmarkStart w:name="_Toc38106864" w:id="327"/>
      <w:r>
        <w:rPr>
          <w:b/>
        </w:rPr>
        <w:br w:type="page"/>
      </w:r>
    </w:p>
    <w:tbl>
      <w:tblPr>
        <w:tblW w:w="10201" w:type="dxa"/>
        <w:tblInd w:w="-18" w:type="dxa"/>
        <w:shd w:val="clear" w:color="auto" w:fill="FF0000"/>
        <w:tblLayout w:type="fixed"/>
        <w:tblLook w:val="0000" w:firstRow="0" w:lastRow="0" w:firstColumn="0" w:lastColumn="0" w:noHBand="0" w:noVBand="0"/>
      </w:tblPr>
      <w:tblGrid>
        <w:gridCol w:w="18"/>
        <w:gridCol w:w="2031"/>
        <w:gridCol w:w="2122"/>
        <w:gridCol w:w="4896"/>
        <w:gridCol w:w="1134"/>
      </w:tblGrid>
      <w:tr w:rsidRPr="00E25790" w:rsidR="007B1384" w:rsidTr="00EB294D" w14:paraId="716D291D" w14:textId="77777777">
        <w:trPr>
          <w:gridBefore w:val="1"/>
          <w:gridAfter w:val="1"/>
          <w:wBefore w:w="18" w:type="dxa"/>
          <w:wAfter w:w="1134" w:type="dxa"/>
          <w:cantSplit/>
          <w:trHeight w:val="720"/>
        </w:trPr>
        <w:tc>
          <w:tcPr>
            <w:tcW w:w="9049" w:type="dxa"/>
            <w:gridSpan w:val="3"/>
            <w:tcBorders>
              <w:top w:val="double" w:color="auto" w:sz="6" w:space="0"/>
              <w:left w:val="double" w:color="auto" w:sz="6" w:space="0"/>
              <w:bottom w:val="double" w:color="auto" w:sz="6" w:space="0"/>
            </w:tcBorders>
            <w:shd w:val="clear" w:color="auto" w:fill="FF0000"/>
          </w:tcPr>
          <w:p w:rsidRPr="00E25790" w:rsidR="00115F48" w:rsidP="009469DB" w:rsidRDefault="00115F48" w14:paraId="4B7F65B2" w14:textId="77777777">
            <w:pPr>
              <w:pStyle w:val="Heading1"/>
            </w:pPr>
            <w:bookmarkStart w:name="_Toc75339989" w:id="328"/>
            <w:r w:rsidRPr="00E25790">
              <w:lastRenderedPageBreak/>
              <w:t>Imipenem/Cilastatin</w:t>
            </w:r>
            <w:bookmarkEnd w:id="327"/>
            <w:bookmarkEnd w:id="328"/>
            <w:r w:rsidRPr="00E25790">
              <w:fldChar w:fldCharType="begin"/>
            </w:r>
            <w:r w:rsidRPr="00E25790">
              <w:instrText>tc "Imipenem" \l 0</w:instrText>
            </w:r>
            <w:r w:rsidRPr="00E25790">
              <w:fldChar w:fldCharType="end"/>
            </w:r>
          </w:p>
        </w:tc>
      </w:tr>
      <w:tr w:rsidRPr="00E25790" w:rsidR="00301F45" w:rsidTr="00EB294D" w14:paraId="32C8B1EE" w14:textId="77777777">
        <w:trPr>
          <w:gridBefore w:val="1"/>
          <w:gridAfter w:val="1"/>
          <w:wBefore w:w="18" w:type="dxa"/>
          <w:wAfter w:w="1134" w:type="dxa"/>
          <w:cantSplit/>
          <w:trHeight w:val="480"/>
        </w:trPr>
        <w:tc>
          <w:tcPr>
            <w:tcW w:w="4153" w:type="dxa"/>
            <w:gridSpan w:val="2"/>
            <w:tcBorders>
              <w:top w:val="double" w:color="auto" w:sz="6" w:space="0"/>
              <w:left w:val="double" w:color="auto" w:sz="6" w:space="0"/>
              <w:bottom w:val="double" w:color="auto" w:sz="6" w:space="0"/>
              <w:right w:val="single" w:color="auto" w:sz="6" w:space="0"/>
            </w:tcBorders>
            <w:shd w:val="clear" w:color="auto" w:fill="FF0000"/>
          </w:tcPr>
          <w:p w:rsidRPr="00E25790" w:rsidR="00115F48" w:rsidP="006F0321" w:rsidRDefault="00115F48" w14:paraId="03CF3A5F" w14:textId="595725D6">
            <w:r w:rsidRPr="00E25790">
              <w:t xml:space="preserve">Revision Date : </w:t>
            </w:r>
            <w:r w:rsidR="00481D48">
              <w:t>23-12-2020</w:t>
            </w:r>
          </w:p>
        </w:tc>
        <w:tc>
          <w:tcPr>
            <w:tcW w:w="4896" w:type="dxa"/>
            <w:tcBorders>
              <w:top w:val="double" w:color="auto" w:sz="6" w:space="0"/>
              <w:left w:val="single" w:color="auto" w:sz="6" w:space="0"/>
              <w:bottom w:val="double" w:color="auto" w:sz="6" w:space="0"/>
              <w:right w:val="double" w:color="auto" w:sz="6" w:space="0"/>
            </w:tcBorders>
            <w:shd w:val="clear" w:color="auto" w:fill="FF0000"/>
          </w:tcPr>
          <w:p w:rsidRPr="00E25790" w:rsidR="00115F48" w:rsidP="006F0321" w:rsidRDefault="00115F48" w14:paraId="3FFEF34D" w14:textId="4612810E">
            <w:r w:rsidRPr="00E25790">
              <w:t>Approved</w:t>
            </w:r>
            <w:r w:rsidRPr="00E25790" w:rsidR="00DF3C58">
              <w:t>:</w:t>
            </w:r>
            <w:r w:rsidRPr="00E25790">
              <w:t xml:space="preserve"> </w:t>
            </w:r>
            <w:r w:rsidR="00481D48">
              <w:t>TC, KOH</w:t>
            </w:r>
          </w:p>
        </w:tc>
      </w:tr>
      <w:tr w:rsidRPr="003B78EA" w:rsidR="00273A16" w:rsidTr="00EB294D" w14:paraId="5B5EE20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15BA1348"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8152" w:type="dxa"/>
            <w:gridSpan w:val="3"/>
          </w:tcPr>
          <w:p w:rsidR="0018451B" w:rsidP="00E525C7" w:rsidRDefault="0018451B" w14:paraId="1E8266E2" w14:textId="77777777">
            <w:pPr>
              <w:pStyle w:val="BodyText"/>
              <w:rPr>
                <w:sz w:val="20"/>
              </w:rPr>
            </w:pPr>
            <w:r>
              <w:rPr>
                <w:sz w:val="20"/>
              </w:rPr>
              <w:t>High risk medicine.</w:t>
            </w:r>
          </w:p>
          <w:p w:rsidR="0018451B" w:rsidP="00E525C7" w:rsidRDefault="0018451B" w14:paraId="0BB1A8A6" w14:textId="77777777">
            <w:pPr>
              <w:pStyle w:val="BodyText"/>
              <w:rPr>
                <w:sz w:val="20"/>
              </w:rPr>
            </w:pPr>
            <w:r w:rsidRPr="00B66868">
              <w:rPr>
                <w:sz w:val="20"/>
              </w:rPr>
              <w:t>Antimicrobial Stewardship Team recommends this drug is listed</w:t>
            </w:r>
            <w:r>
              <w:rPr>
                <w:sz w:val="20"/>
              </w:rPr>
              <w:t xml:space="preserve"> as </w:t>
            </w:r>
            <w:r w:rsidRPr="002E5B6F">
              <w:rPr>
                <w:sz w:val="20"/>
              </w:rPr>
              <w:t>Restricted.</w:t>
            </w:r>
            <w:r w:rsidRPr="00241FC0">
              <w:rPr>
                <w:sz w:val="20"/>
              </w:rPr>
              <w:t xml:space="preserve"> </w:t>
            </w:r>
          </w:p>
          <w:p w:rsidR="0018451B" w:rsidP="00E525C7" w:rsidRDefault="0018451B" w14:paraId="399F92CA" w14:textId="77777777">
            <w:pPr>
              <w:pStyle w:val="BodyText"/>
              <w:rPr>
                <w:sz w:val="20"/>
              </w:rPr>
            </w:pPr>
            <w:r w:rsidRPr="00241FC0">
              <w:rPr>
                <w:sz w:val="20"/>
              </w:rPr>
              <w:t xml:space="preserve">Widespread use of carbapenems has been linked with increasing prevalence of infections caused by methicillin-resistant </w:t>
            </w:r>
            <w:r w:rsidRPr="00247953">
              <w:rPr>
                <w:i/>
                <w:sz w:val="20"/>
              </w:rPr>
              <w:t>Staphylococcus aureus</w:t>
            </w:r>
            <w:r w:rsidRPr="00241FC0">
              <w:rPr>
                <w:sz w:val="20"/>
              </w:rPr>
              <w:t xml:space="preserve"> (MRSA), vancomycin-resistant enterococci (VRE), multi</w:t>
            </w:r>
            <w:r>
              <w:rPr>
                <w:sz w:val="20"/>
              </w:rPr>
              <w:t xml:space="preserve"> </w:t>
            </w:r>
            <w:r w:rsidRPr="00241FC0">
              <w:rPr>
                <w:sz w:val="20"/>
              </w:rPr>
              <w:t xml:space="preserve">resistant Gram-negative organisms and </w:t>
            </w:r>
            <w:r w:rsidRPr="002E5B6F">
              <w:rPr>
                <w:i/>
                <w:sz w:val="20"/>
              </w:rPr>
              <w:t>Clostridium difficile</w:t>
            </w:r>
            <w:r w:rsidRPr="00241FC0">
              <w:rPr>
                <w:sz w:val="20"/>
              </w:rPr>
              <w:t>.</w:t>
            </w:r>
          </w:p>
          <w:p w:rsidRPr="003B78EA" w:rsidR="0018451B" w:rsidP="00E525C7" w:rsidRDefault="0018451B" w14:paraId="39CF28D9" w14:textId="77777777">
            <w:pPr>
              <w:pStyle w:val="BodyText"/>
              <w:rPr>
                <w:rFonts w:asciiTheme="minorHAnsi" w:hAnsiTheme="minorHAnsi" w:cstheme="minorHAnsi"/>
                <w:sz w:val="20"/>
              </w:rPr>
            </w:pPr>
            <w:r>
              <w:rPr>
                <w:sz w:val="20"/>
              </w:rPr>
              <w:t xml:space="preserve">NOT the preferred </w:t>
            </w:r>
            <w:r w:rsidRPr="00EE0DD5">
              <w:rPr>
                <w:sz w:val="20"/>
              </w:rPr>
              <w:t>carbapenem</w:t>
            </w:r>
            <w:r w:rsidRPr="00EE0DD5" w:rsidDel="00EE0DD5">
              <w:rPr>
                <w:sz w:val="20"/>
              </w:rPr>
              <w:t xml:space="preserve"> </w:t>
            </w:r>
            <w:r>
              <w:rPr>
                <w:sz w:val="20"/>
              </w:rPr>
              <w:t>in neonates because of possible adverse effects. Should be avoided in preterm neonates because of cilastatin accumulation.</w:t>
            </w:r>
          </w:p>
        </w:tc>
      </w:tr>
      <w:tr w:rsidRPr="003B78EA" w:rsidR="00273A16" w:rsidTr="00EB294D" w14:paraId="2686B06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6211EE2C"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8152" w:type="dxa"/>
            <w:gridSpan w:val="3"/>
          </w:tcPr>
          <w:p w:rsidRPr="003B78EA" w:rsidR="0018451B" w:rsidP="00E525C7" w:rsidRDefault="0018451B" w14:paraId="64EB00B3" w14:textId="77777777">
            <w:pPr>
              <w:rPr>
                <w:rFonts w:asciiTheme="minorHAnsi" w:hAnsiTheme="minorHAnsi" w:cstheme="minorHAnsi"/>
                <w:sz w:val="20"/>
              </w:rPr>
            </w:pPr>
            <w:r w:rsidRPr="00262A79">
              <w:rPr>
                <w:sz w:val="20"/>
              </w:rPr>
              <w:t xml:space="preserve">Non-CNS sepsis caused by susceptible organisms including enteric </w:t>
            </w:r>
            <w:r>
              <w:rPr>
                <w:sz w:val="20"/>
              </w:rPr>
              <w:t>G</w:t>
            </w:r>
            <w:r w:rsidRPr="00262A79">
              <w:rPr>
                <w:sz w:val="20"/>
              </w:rPr>
              <w:t xml:space="preserve">ram-negative rods, extended-spectrum beta-lactamase [ESBL] organisms, </w:t>
            </w:r>
            <w:r w:rsidRPr="00262A79">
              <w:rPr>
                <w:i/>
                <w:sz w:val="20"/>
              </w:rPr>
              <w:t>Pseudomonas aeruginosa</w:t>
            </w:r>
            <w:r w:rsidRPr="00262A79">
              <w:rPr>
                <w:sz w:val="20"/>
              </w:rPr>
              <w:t xml:space="preserve">, anaerobic organisms (including </w:t>
            </w:r>
            <w:r w:rsidRPr="00262A79">
              <w:rPr>
                <w:i/>
                <w:sz w:val="20"/>
              </w:rPr>
              <w:t>Bacteroides fragilis</w:t>
            </w:r>
            <w:r w:rsidRPr="00262A79">
              <w:rPr>
                <w:sz w:val="20"/>
              </w:rPr>
              <w:t xml:space="preserve">) and many </w:t>
            </w:r>
            <w:r>
              <w:rPr>
                <w:sz w:val="20"/>
              </w:rPr>
              <w:t>G</w:t>
            </w:r>
            <w:r w:rsidRPr="00262A79">
              <w:rPr>
                <w:sz w:val="20"/>
              </w:rPr>
              <w:t>ram-positive organisms.</w:t>
            </w:r>
          </w:p>
        </w:tc>
      </w:tr>
      <w:tr w:rsidRPr="003B78EA" w:rsidR="00273A16" w:rsidTr="00EB294D" w14:paraId="561C4C4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1829AC3F"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8152" w:type="dxa"/>
            <w:gridSpan w:val="3"/>
          </w:tcPr>
          <w:p w:rsidR="0018451B" w:rsidP="00E525C7" w:rsidRDefault="0018451B" w14:paraId="11C19E0B" w14:textId="77777777">
            <w:pPr>
              <w:rPr>
                <w:sz w:val="20"/>
              </w:rPr>
            </w:pPr>
            <w:r>
              <w:rPr>
                <w:sz w:val="20"/>
              </w:rPr>
              <w:t xml:space="preserve">Inhibits cell wall synthesis. Cilastatin prevents renal metabolism of imipenem. </w:t>
            </w:r>
          </w:p>
          <w:p w:rsidRPr="003B78EA" w:rsidR="0018451B" w:rsidP="00E525C7" w:rsidRDefault="0018451B" w14:paraId="4BD8C577" w14:textId="77777777">
            <w:pPr>
              <w:rPr>
                <w:rFonts w:asciiTheme="minorHAnsi" w:hAnsiTheme="minorHAnsi" w:cstheme="minorHAnsi"/>
                <w:sz w:val="20"/>
              </w:rPr>
            </w:pPr>
            <w:r>
              <w:rPr>
                <w:sz w:val="20"/>
              </w:rPr>
              <w:t>Meropenem is a better choice for central nervous system infections as it</w:t>
            </w:r>
            <w:r w:rsidRPr="00241FC0">
              <w:rPr>
                <w:sz w:val="20"/>
              </w:rPr>
              <w:t xml:space="preserve"> attains a higher concentration in the cerebrospinal fluid and has a lower incidence of seizures than imipenem</w:t>
            </w:r>
            <w:r>
              <w:rPr>
                <w:sz w:val="20"/>
              </w:rPr>
              <w:t xml:space="preserve"> + cilastatin</w:t>
            </w:r>
            <w:r w:rsidRPr="00241FC0">
              <w:rPr>
                <w:sz w:val="20"/>
              </w:rPr>
              <w:t>.</w:t>
            </w:r>
          </w:p>
        </w:tc>
      </w:tr>
      <w:tr w:rsidRPr="003B78EA" w:rsidR="00273A16" w:rsidTr="00EB294D" w14:paraId="57359D0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16A74F22"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8152" w:type="dxa"/>
            <w:gridSpan w:val="3"/>
          </w:tcPr>
          <w:p w:rsidRPr="003B78EA" w:rsidR="0018451B" w:rsidP="00E525C7" w:rsidRDefault="0018451B" w14:paraId="2B939130" w14:textId="77777777">
            <w:pPr>
              <w:pStyle w:val="BodyText"/>
              <w:rPr>
                <w:rFonts w:asciiTheme="minorHAnsi" w:hAnsiTheme="minorHAnsi" w:cstheme="minorHAnsi"/>
                <w:sz w:val="20"/>
              </w:rPr>
            </w:pPr>
            <w:r>
              <w:rPr>
                <w:sz w:val="20"/>
              </w:rPr>
              <w:t>Carbapenem antibiotic</w:t>
            </w:r>
          </w:p>
        </w:tc>
      </w:tr>
      <w:tr w:rsidRPr="003B78EA" w:rsidR="00273A16" w:rsidTr="00EB294D" w14:paraId="0834432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3ED4FC8A"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8152" w:type="dxa"/>
            <w:gridSpan w:val="3"/>
          </w:tcPr>
          <w:p w:rsidRPr="003B78EA" w:rsidR="0018451B" w:rsidP="00E525C7" w:rsidRDefault="0018451B" w14:paraId="0BE9176C" w14:textId="77777777">
            <w:pPr>
              <w:pStyle w:val="BodyText"/>
              <w:rPr>
                <w:rFonts w:asciiTheme="minorHAnsi" w:hAnsiTheme="minorHAnsi" w:cstheme="minorHAnsi"/>
                <w:sz w:val="20"/>
              </w:rPr>
            </w:pPr>
            <w:r>
              <w:rPr>
                <w:rFonts w:cs="Arial"/>
                <w:sz w:val="20"/>
              </w:rPr>
              <w:t>Primaxin</w:t>
            </w:r>
          </w:p>
        </w:tc>
      </w:tr>
      <w:tr w:rsidRPr="003B78EA" w:rsidR="00273A16" w:rsidTr="00EB294D" w14:paraId="252D7EF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58021759"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8152" w:type="dxa"/>
            <w:gridSpan w:val="3"/>
          </w:tcPr>
          <w:p w:rsidRPr="003B78EA" w:rsidR="0018451B" w:rsidP="00E525C7" w:rsidRDefault="0018451B" w14:paraId="634690CA" w14:textId="77777777">
            <w:pPr>
              <w:pStyle w:val="BodyText"/>
              <w:rPr>
                <w:rFonts w:asciiTheme="minorHAnsi" w:hAnsiTheme="minorHAnsi" w:cstheme="minorHAnsi"/>
                <w:sz w:val="20"/>
              </w:rPr>
            </w:pPr>
            <w:r>
              <w:rPr>
                <w:rFonts w:cs="Arial"/>
                <w:sz w:val="20"/>
              </w:rPr>
              <w:t>500 mg vial.</w:t>
            </w:r>
          </w:p>
        </w:tc>
      </w:tr>
      <w:tr w:rsidRPr="003B78EA" w:rsidR="00273A16" w:rsidTr="00EB294D" w14:paraId="72A6451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5D6C5438"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8152" w:type="dxa"/>
            <w:gridSpan w:val="3"/>
          </w:tcPr>
          <w:p w:rsidR="0018451B" w:rsidP="00E525C7" w:rsidRDefault="0018451B" w14:paraId="1FE7D2AB" w14:textId="77777777">
            <w:pPr>
              <w:pStyle w:val="BodyText"/>
              <w:ind w:left="720" w:hanging="720"/>
              <w:rPr>
                <w:rFonts w:asciiTheme="minorHAnsi" w:hAnsiTheme="minorHAnsi" w:cstheme="minorHAnsi"/>
                <w:sz w:val="20"/>
              </w:rPr>
            </w:pPr>
            <w:r>
              <w:rPr>
                <w:rFonts w:asciiTheme="minorHAnsi" w:hAnsiTheme="minorHAnsi" w:cstheme="minorHAnsi"/>
                <w:sz w:val="20"/>
              </w:rPr>
              <w:t>Dose based on imipenem component</w:t>
            </w:r>
          </w:p>
          <w:tbl>
            <w:tblPr>
              <w:tblpPr w:leftFromText="180" w:rightFromText="180" w:vertAnchor="page" w:horzAnchor="margin" w:tblpY="301"/>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97"/>
              <w:gridCol w:w="1998"/>
              <w:gridCol w:w="1998"/>
              <w:gridCol w:w="1998"/>
            </w:tblGrid>
            <w:tr w:rsidRPr="00257268" w:rsidR="0018451B" w:rsidTr="00E525C7" w14:paraId="3C58BDEF" w14:textId="77777777">
              <w:tc>
                <w:tcPr>
                  <w:tcW w:w="1997" w:type="dxa"/>
                  <w:shd w:val="clear" w:color="auto" w:fill="auto"/>
                </w:tcPr>
                <w:p w:rsidRPr="00257268" w:rsidR="0018451B" w:rsidP="00E525C7" w:rsidRDefault="0018451B" w14:paraId="1B89BA4C" w14:textId="77777777">
                  <w:pPr>
                    <w:pStyle w:val="BodyText"/>
                    <w:rPr>
                      <w:rFonts w:cs="Arial"/>
                      <w:b/>
                      <w:sz w:val="20"/>
                    </w:rPr>
                  </w:pPr>
                  <w:r w:rsidRPr="00257268">
                    <w:rPr>
                      <w:rFonts w:cs="Arial"/>
                      <w:b/>
                      <w:sz w:val="20"/>
                    </w:rPr>
                    <w:t>Condition</w:t>
                  </w:r>
                </w:p>
              </w:tc>
              <w:tc>
                <w:tcPr>
                  <w:tcW w:w="1998" w:type="dxa"/>
                  <w:shd w:val="clear" w:color="auto" w:fill="auto"/>
                </w:tcPr>
                <w:p w:rsidRPr="00257268" w:rsidR="0018451B" w:rsidP="00E525C7" w:rsidRDefault="0018451B" w14:paraId="0DBCB6BA" w14:textId="77777777">
                  <w:pPr>
                    <w:pStyle w:val="BodyText"/>
                    <w:rPr>
                      <w:rFonts w:cs="Arial"/>
                      <w:b/>
                      <w:sz w:val="20"/>
                    </w:rPr>
                  </w:pPr>
                  <w:r w:rsidRPr="00257268">
                    <w:rPr>
                      <w:rFonts w:cs="Arial"/>
                      <w:b/>
                      <w:sz w:val="20"/>
                    </w:rPr>
                    <w:t>Dose</w:t>
                  </w:r>
                </w:p>
              </w:tc>
              <w:tc>
                <w:tcPr>
                  <w:tcW w:w="1998" w:type="dxa"/>
                  <w:shd w:val="clear" w:color="auto" w:fill="auto"/>
                </w:tcPr>
                <w:p w:rsidRPr="00257268" w:rsidR="0018451B" w:rsidP="00E525C7" w:rsidRDefault="0018451B" w14:paraId="1BBAAB21" w14:textId="77777777">
                  <w:pPr>
                    <w:pStyle w:val="BodyText"/>
                    <w:rPr>
                      <w:rFonts w:cs="Arial"/>
                      <w:b/>
                      <w:sz w:val="20"/>
                    </w:rPr>
                  </w:pPr>
                  <w:r w:rsidRPr="00257268">
                    <w:rPr>
                      <w:rFonts w:cs="Arial"/>
                      <w:b/>
                      <w:sz w:val="20"/>
                    </w:rPr>
                    <w:t>Dosing Interval</w:t>
                  </w:r>
                </w:p>
              </w:tc>
              <w:tc>
                <w:tcPr>
                  <w:tcW w:w="1998" w:type="dxa"/>
                  <w:shd w:val="clear" w:color="auto" w:fill="auto"/>
                </w:tcPr>
                <w:p w:rsidRPr="00257268" w:rsidR="0018451B" w:rsidP="00E525C7" w:rsidRDefault="0018451B" w14:paraId="6343D53F" w14:textId="77777777">
                  <w:pPr>
                    <w:pStyle w:val="BodyText"/>
                    <w:rPr>
                      <w:rFonts w:cs="Arial"/>
                      <w:b/>
                      <w:sz w:val="20"/>
                    </w:rPr>
                  </w:pPr>
                  <w:r w:rsidRPr="00257268">
                    <w:rPr>
                      <w:rFonts w:cs="Arial"/>
                      <w:b/>
                      <w:sz w:val="20"/>
                    </w:rPr>
                    <w:t>Infusion Time</w:t>
                  </w:r>
                </w:p>
              </w:tc>
            </w:tr>
            <w:tr w:rsidRPr="00257268" w:rsidR="0018451B" w:rsidTr="00E525C7" w14:paraId="050D0A78" w14:textId="77777777">
              <w:tc>
                <w:tcPr>
                  <w:tcW w:w="1997" w:type="dxa"/>
                  <w:shd w:val="clear" w:color="auto" w:fill="auto"/>
                </w:tcPr>
                <w:p w:rsidRPr="00257268" w:rsidR="0018451B" w:rsidP="00E525C7" w:rsidRDefault="0018451B" w14:paraId="337B50D1" w14:textId="77777777">
                  <w:pPr>
                    <w:pStyle w:val="BodyText"/>
                    <w:rPr>
                      <w:rFonts w:cs="Arial"/>
                      <w:sz w:val="20"/>
                    </w:rPr>
                  </w:pPr>
                  <w:r w:rsidRPr="00257268">
                    <w:rPr>
                      <w:rFonts w:cs="Arial"/>
                      <w:sz w:val="20"/>
                    </w:rPr>
                    <w:t>Non-</w:t>
                  </w:r>
                  <w:r w:rsidRPr="00247953">
                    <w:rPr>
                      <w:rFonts w:cs="Arial"/>
                      <w:i/>
                      <w:sz w:val="20"/>
                    </w:rPr>
                    <w:t>Pseudomonas aeruginosa</w:t>
                  </w:r>
                </w:p>
              </w:tc>
              <w:tc>
                <w:tcPr>
                  <w:tcW w:w="1998" w:type="dxa"/>
                  <w:shd w:val="clear" w:color="auto" w:fill="auto"/>
                </w:tcPr>
                <w:p w:rsidRPr="00257268" w:rsidR="0018451B" w:rsidP="00E525C7" w:rsidRDefault="0018451B" w14:paraId="1CD83759" w14:textId="77777777">
                  <w:pPr>
                    <w:pStyle w:val="BodyText"/>
                    <w:rPr>
                      <w:rFonts w:cs="Arial"/>
                      <w:sz w:val="20"/>
                    </w:rPr>
                  </w:pPr>
                  <w:r w:rsidRPr="00257268">
                    <w:rPr>
                      <w:rFonts w:cs="Arial"/>
                      <w:sz w:val="20"/>
                    </w:rPr>
                    <w:t>25 mg/kg</w:t>
                  </w:r>
                </w:p>
              </w:tc>
              <w:tc>
                <w:tcPr>
                  <w:tcW w:w="1998" w:type="dxa"/>
                  <w:shd w:val="clear" w:color="auto" w:fill="auto"/>
                </w:tcPr>
                <w:p w:rsidRPr="00257268" w:rsidR="0018451B" w:rsidP="00E525C7" w:rsidRDefault="0018451B" w14:paraId="2DD00782" w14:textId="77777777">
                  <w:pPr>
                    <w:pStyle w:val="BodyText"/>
                    <w:rPr>
                      <w:rFonts w:cs="Arial"/>
                      <w:sz w:val="20"/>
                    </w:rPr>
                  </w:pPr>
                  <w:r w:rsidRPr="00257268">
                    <w:rPr>
                      <w:rFonts w:cs="Arial"/>
                      <w:sz w:val="20"/>
                    </w:rPr>
                    <w:t>12 h</w:t>
                  </w:r>
                  <w:r>
                    <w:rPr>
                      <w:rFonts w:cs="Arial"/>
                      <w:sz w:val="20"/>
                    </w:rPr>
                    <w:t>ou</w:t>
                  </w:r>
                  <w:r w:rsidRPr="00257268">
                    <w:rPr>
                      <w:rFonts w:cs="Arial"/>
                      <w:sz w:val="20"/>
                    </w:rPr>
                    <w:t>rly</w:t>
                  </w:r>
                </w:p>
              </w:tc>
              <w:tc>
                <w:tcPr>
                  <w:tcW w:w="1998" w:type="dxa"/>
                  <w:shd w:val="clear" w:color="auto" w:fill="auto"/>
                </w:tcPr>
                <w:p w:rsidRPr="00257268" w:rsidR="0018451B" w:rsidP="00E525C7" w:rsidRDefault="0018451B" w14:paraId="20BCC638" w14:textId="77777777">
                  <w:pPr>
                    <w:pStyle w:val="BodyText"/>
                    <w:rPr>
                      <w:rFonts w:cs="Arial"/>
                      <w:sz w:val="20"/>
                    </w:rPr>
                  </w:pPr>
                  <w:r w:rsidRPr="00257268">
                    <w:rPr>
                      <w:rFonts w:cs="Arial"/>
                      <w:sz w:val="20"/>
                    </w:rPr>
                    <w:t>30 minutes</w:t>
                  </w:r>
                </w:p>
              </w:tc>
            </w:tr>
            <w:tr w:rsidRPr="00257268" w:rsidR="0018451B" w:rsidTr="00E525C7" w14:paraId="6A30C49E" w14:textId="77777777">
              <w:tc>
                <w:tcPr>
                  <w:tcW w:w="1997" w:type="dxa"/>
                  <w:shd w:val="clear" w:color="auto" w:fill="auto"/>
                </w:tcPr>
                <w:p w:rsidRPr="00247953" w:rsidR="0018451B" w:rsidP="00E525C7" w:rsidRDefault="0018451B" w14:paraId="605752F1" w14:textId="77777777">
                  <w:pPr>
                    <w:pStyle w:val="BodyText"/>
                    <w:rPr>
                      <w:rFonts w:cs="Arial"/>
                      <w:i/>
                      <w:sz w:val="20"/>
                    </w:rPr>
                  </w:pPr>
                  <w:r w:rsidRPr="00247953">
                    <w:rPr>
                      <w:rFonts w:cs="Arial"/>
                      <w:i/>
                      <w:sz w:val="20"/>
                    </w:rPr>
                    <w:t>Pseudomonas aeruginosa</w:t>
                  </w:r>
                </w:p>
              </w:tc>
              <w:tc>
                <w:tcPr>
                  <w:tcW w:w="1998" w:type="dxa"/>
                  <w:shd w:val="clear" w:color="auto" w:fill="auto"/>
                </w:tcPr>
                <w:p w:rsidRPr="00257268" w:rsidR="0018451B" w:rsidP="00E525C7" w:rsidRDefault="0018451B" w14:paraId="1115CDFB" w14:textId="77777777">
                  <w:pPr>
                    <w:pStyle w:val="BodyText"/>
                    <w:rPr>
                      <w:rFonts w:cs="Arial"/>
                      <w:sz w:val="20"/>
                    </w:rPr>
                  </w:pPr>
                  <w:r w:rsidRPr="00257268">
                    <w:rPr>
                      <w:rFonts w:cs="Arial"/>
                      <w:sz w:val="20"/>
                    </w:rPr>
                    <w:t>25 mg/kg</w:t>
                  </w:r>
                </w:p>
              </w:tc>
              <w:tc>
                <w:tcPr>
                  <w:tcW w:w="1998" w:type="dxa"/>
                  <w:shd w:val="clear" w:color="auto" w:fill="auto"/>
                </w:tcPr>
                <w:p w:rsidRPr="00257268" w:rsidR="0018451B" w:rsidP="00E525C7" w:rsidRDefault="0018451B" w14:paraId="0C8BD547" w14:textId="77777777">
                  <w:pPr>
                    <w:pStyle w:val="BodyText"/>
                    <w:rPr>
                      <w:rFonts w:cs="Arial"/>
                      <w:sz w:val="20"/>
                    </w:rPr>
                  </w:pPr>
                  <w:r w:rsidRPr="00257268">
                    <w:rPr>
                      <w:rFonts w:cs="Arial"/>
                      <w:sz w:val="20"/>
                    </w:rPr>
                    <w:t>8 h</w:t>
                  </w:r>
                  <w:r>
                    <w:rPr>
                      <w:rFonts w:cs="Arial"/>
                      <w:sz w:val="20"/>
                    </w:rPr>
                    <w:t>ou</w:t>
                  </w:r>
                  <w:r w:rsidRPr="00257268">
                    <w:rPr>
                      <w:rFonts w:cs="Arial"/>
                      <w:sz w:val="20"/>
                    </w:rPr>
                    <w:t>rly</w:t>
                  </w:r>
                </w:p>
              </w:tc>
              <w:tc>
                <w:tcPr>
                  <w:tcW w:w="1998" w:type="dxa"/>
                  <w:shd w:val="clear" w:color="auto" w:fill="auto"/>
                </w:tcPr>
                <w:p w:rsidRPr="00257268" w:rsidR="0018451B" w:rsidP="00E525C7" w:rsidRDefault="0018451B" w14:paraId="6B81B605" w14:textId="77777777">
                  <w:pPr>
                    <w:pStyle w:val="BodyText"/>
                    <w:rPr>
                      <w:rFonts w:cs="Arial"/>
                      <w:sz w:val="20"/>
                    </w:rPr>
                  </w:pPr>
                  <w:r w:rsidRPr="00257268">
                    <w:rPr>
                      <w:rFonts w:cs="Arial"/>
                      <w:sz w:val="20"/>
                    </w:rPr>
                    <w:t>90 minutes</w:t>
                  </w:r>
                </w:p>
              </w:tc>
            </w:tr>
          </w:tbl>
          <w:p w:rsidR="0018451B" w:rsidP="00E525C7" w:rsidRDefault="0018451B" w14:paraId="6BF3C354" w14:textId="77777777">
            <w:pPr>
              <w:pStyle w:val="BodyText"/>
              <w:ind w:left="720" w:hanging="720"/>
              <w:rPr>
                <w:rFonts w:asciiTheme="minorHAnsi" w:hAnsiTheme="minorHAnsi" w:cstheme="minorHAnsi"/>
                <w:sz w:val="20"/>
              </w:rPr>
            </w:pPr>
          </w:p>
          <w:p w:rsidR="0018451B" w:rsidP="00E525C7" w:rsidRDefault="0018451B" w14:paraId="019956DE" w14:textId="77777777">
            <w:pPr>
              <w:pStyle w:val="BodyText"/>
              <w:ind w:left="720" w:hanging="720"/>
              <w:rPr>
                <w:rFonts w:asciiTheme="minorHAnsi" w:hAnsiTheme="minorHAnsi" w:cstheme="minorHAnsi"/>
                <w:sz w:val="20"/>
              </w:rPr>
            </w:pPr>
          </w:p>
        </w:tc>
      </w:tr>
      <w:tr w:rsidRPr="003B78EA" w:rsidR="00273A16" w:rsidTr="00EB294D" w14:paraId="1F6E9EF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6FB6216E"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8152" w:type="dxa"/>
            <w:gridSpan w:val="3"/>
          </w:tcPr>
          <w:p w:rsidRPr="003B78EA" w:rsidR="0018451B" w:rsidP="00E525C7" w:rsidRDefault="0018451B" w14:paraId="392D71AC" w14:textId="77777777">
            <w:pPr>
              <w:pStyle w:val="BodyText"/>
              <w:rPr>
                <w:rFonts w:asciiTheme="minorHAnsi" w:hAnsiTheme="minorHAnsi" w:cstheme="minorHAnsi"/>
                <w:sz w:val="20"/>
              </w:rPr>
            </w:pPr>
            <w:r>
              <w:rPr>
                <w:rFonts w:cs="Arial"/>
                <w:sz w:val="20"/>
              </w:rPr>
              <w:t>Dose may need to be reduced in impaired renal function.</w:t>
            </w:r>
          </w:p>
        </w:tc>
      </w:tr>
      <w:tr w:rsidRPr="003B78EA" w:rsidR="00273A16" w:rsidTr="00EB294D" w14:paraId="30EC4F5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71D433A7"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8152" w:type="dxa"/>
            <w:gridSpan w:val="3"/>
          </w:tcPr>
          <w:p w:rsidRPr="003B78EA" w:rsidR="0018451B" w:rsidP="00E525C7" w:rsidRDefault="0018451B" w14:paraId="74CE7F08" w14:textId="77777777">
            <w:pPr>
              <w:pStyle w:val="BodyText"/>
              <w:rPr>
                <w:rFonts w:asciiTheme="minorHAnsi" w:hAnsiTheme="minorHAnsi" w:cstheme="minorHAnsi"/>
                <w:sz w:val="20"/>
              </w:rPr>
            </w:pPr>
            <w:r>
              <w:rPr>
                <w:sz w:val="20"/>
              </w:rPr>
              <w:t>75 mg/kg/day</w:t>
            </w:r>
          </w:p>
        </w:tc>
      </w:tr>
      <w:tr w:rsidRPr="003B78EA" w:rsidR="00273A16" w:rsidTr="00EB294D" w14:paraId="7C9701C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74AD8D8E"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8152" w:type="dxa"/>
            <w:gridSpan w:val="3"/>
          </w:tcPr>
          <w:p w:rsidRPr="003B78EA" w:rsidR="0018451B" w:rsidP="00E525C7" w:rsidRDefault="0018451B" w14:paraId="411C7A92" w14:textId="77777777">
            <w:pPr>
              <w:pStyle w:val="BodyText"/>
              <w:rPr>
                <w:rFonts w:asciiTheme="minorHAnsi" w:hAnsiTheme="minorHAnsi" w:cstheme="minorHAnsi"/>
                <w:b/>
                <w:sz w:val="20"/>
              </w:rPr>
            </w:pPr>
          </w:p>
        </w:tc>
      </w:tr>
      <w:tr w:rsidRPr="003B78EA" w:rsidR="00273A16" w:rsidTr="00EB294D" w14:paraId="088AA5B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482C788D"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8152" w:type="dxa"/>
            <w:gridSpan w:val="3"/>
          </w:tcPr>
          <w:p w:rsidRPr="003B78EA" w:rsidR="0018451B" w:rsidP="00E525C7" w:rsidRDefault="0018451B" w14:paraId="6D198EDD" w14:textId="77777777">
            <w:pPr>
              <w:pStyle w:val="BodyText"/>
              <w:rPr>
                <w:rFonts w:asciiTheme="minorHAnsi" w:hAnsiTheme="minorHAnsi" w:cstheme="minorHAnsi"/>
                <w:sz w:val="20"/>
              </w:rPr>
            </w:pPr>
            <w:r>
              <w:rPr>
                <w:rFonts w:cs="Arial"/>
                <w:sz w:val="20"/>
              </w:rPr>
              <w:t>IV Infusion</w:t>
            </w:r>
          </w:p>
        </w:tc>
      </w:tr>
      <w:tr w:rsidRPr="003B78EA" w:rsidR="00273A16" w:rsidTr="00EB294D" w14:paraId="62D70AE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4A04AAB5"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8152" w:type="dxa"/>
            <w:gridSpan w:val="3"/>
          </w:tcPr>
          <w:p w:rsidR="0018451B" w:rsidP="00E525C7" w:rsidRDefault="0018451B" w14:paraId="3015CF4D" w14:textId="77777777">
            <w:pPr>
              <w:pStyle w:val="BodyText"/>
              <w:rPr>
                <w:rFonts w:cs="Arial"/>
                <w:sz w:val="20"/>
              </w:rPr>
            </w:pPr>
            <w:r>
              <w:rPr>
                <w:rFonts w:cs="Arial"/>
                <w:sz w:val="20"/>
              </w:rPr>
              <w:t>Add 9.2 mL of sodium chloride 0.9% to the 500 mg vial to make a 50 mg/mL solution</w:t>
            </w:r>
          </w:p>
          <w:p w:rsidRPr="00917990" w:rsidR="0018451B" w:rsidP="00E525C7" w:rsidRDefault="0018451B" w14:paraId="4FBE85E1" w14:textId="77777777">
            <w:pPr>
              <w:pStyle w:val="BodyText"/>
              <w:rPr>
                <w:rFonts w:cs="Arial"/>
                <w:b/>
                <w:sz w:val="20"/>
              </w:rPr>
            </w:pPr>
            <w:r w:rsidRPr="00917990">
              <w:rPr>
                <w:rFonts w:cs="Arial"/>
                <w:b/>
                <w:sz w:val="20"/>
              </w:rPr>
              <w:t>FURTHER DILUTE</w:t>
            </w:r>
          </w:p>
          <w:p w:rsidRPr="003B78EA" w:rsidR="0018451B" w:rsidP="00E525C7" w:rsidRDefault="0018451B" w14:paraId="5B22D876" w14:textId="77777777">
            <w:pPr>
              <w:pStyle w:val="BodyText"/>
              <w:rPr>
                <w:rFonts w:asciiTheme="minorHAnsi" w:hAnsiTheme="minorHAnsi" w:cstheme="minorHAnsi"/>
                <w:sz w:val="20"/>
              </w:rPr>
            </w:pPr>
            <w:r>
              <w:rPr>
                <w:rFonts w:cs="Arial"/>
                <w:sz w:val="20"/>
              </w:rPr>
              <w:t>Draw up 2 mL (100 mg of Imipenem + cilastatin) of the above solution and add 8 mL sodium chloride 0.9% to make a final volume of 10 mL with a final concentration of 10 mg/mL.</w:t>
            </w:r>
          </w:p>
        </w:tc>
      </w:tr>
      <w:tr w:rsidRPr="003B78EA" w:rsidR="00E424B4" w:rsidTr="00EB294D" w14:paraId="41B9FF8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6EC9DFD6"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8152" w:type="dxa"/>
            <w:gridSpan w:val="3"/>
            <w:vAlign w:val="center"/>
          </w:tcPr>
          <w:p w:rsidR="0018451B" w:rsidP="00E525C7" w:rsidRDefault="0018451B" w14:paraId="519CFD1E" w14:textId="77777777">
            <w:pPr>
              <w:pStyle w:val="BodyText"/>
              <w:rPr>
                <w:rFonts w:cs="Arial"/>
                <w:sz w:val="20"/>
              </w:rPr>
            </w:pPr>
            <w:r w:rsidRPr="00257268">
              <w:rPr>
                <w:rFonts w:cs="Arial"/>
                <w:sz w:val="20"/>
              </w:rPr>
              <w:t>Non-</w:t>
            </w:r>
            <w:r w:rsidRPr="00247953">
              <w:rPr>
                <w:rFonts w:cs="Arial"/>
                <w:i/>
                <w:sz w:val="20"/>
              </w:rPr>
              <w:t>Pseudomonas aeruginosa</w:t>
            </w:r>
            <w:r>
              <w:rPr>
                <w:rFonts w:cs="Arial"/>
                <w:i/>
                <w:sz w:val="20"/>
              </w:rPr>
              <w:t xml:space="preserve"> </w:t>
            </w:r>
            <w:r>
              <w:rPr>
                <w:rFonts w:cs="Arial"/>
                <w:sz w:val="20"/>
              </w:rPr>
              <w:t>− IV infusion over 30 minutes.</w:t>
            </w:r>
          </w:p>
          <w:p w:rsidRPr="003B78EA" w:rsidR="0018451B" w:rsidP="00E525C7" w:rsidRDefault="0018451B" w14:paraId="0EA742CA" w14:textId="77777777">
            <w:pPr>
              <w:pStyle w:val="BodyText"/>
              <w:rPr>
                <w:rFonts w:asciiTheme="minorHAnsi" w:hAnsiTheme="minorHAnsi" w:cstheme="minorHAnsi"/>
                <w:sz w:val="20"/>
              </w:rPr>
            </w:pPr>
            <w:r w:rsidRPr="00247953">
              <w:rPr>
                <w:rFonts w:cs="Arial"/>
                <w:i/>
                <w:sz w:val="20"/>
              </w:rPr>
              <w:t>Pseudomonas aeruginosa</w:t>
            </w:r>
            <w:r>
              <w:rPr>
                <w:rFonts w:cs="Arial"/>
                <w:i/>
                <w:sz w:val="20"/>
              </w:rPr>
              <w:t xml:space="preserve"> </w:t>
            </w:r>
            <w:r>
              <w:rPr>
                <w:rFonts w:cs="Arial"/>
                <w:sz w:val="20"/>
              </w:rPr>
              <w:t>− IV infusion over 90 minutes.</w:t>
            </w:r>
          </w:p>
        </w:tc>
      </w:tr>
      <w:tr w:rsidRPr="003B78EA" w:rsidR="00273A16" w:rsidTr="00EB294D" w14:paraId="638845A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178C7DBE"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8152" w:type="dxa"/>
            <w:gridSpan w:val="3"/>
          </w:tcPr>
          <w:p w:rsidR="0018451B" w:rsidP="00E525C7" w:rsidRDefault="0018451B" w14:paraId="03C08F22" w14:textId="77777777">
            <w:pPr>
              <w:pStyle w:val="BodyText"/>
              <w:rPr>
                <w:rFonts w:cs="Arial"/>
                <w:sz w:val="20"/>
              </w:rPr>
            </w:pPr>
            <w:r>
              <w:rPr>
                <w:rFonts w:cs="Arial"/>
                <w:sz w:val="20"/>
              </w:rPr>
              <w:t>Renal function. Dose may need to be reduced in impaired renal function.</w:t>
            </w:r>
          </w:p>
          <w:p w:rsidRPr="007F4B77" w:rsidR="0018451B" w:rsidP="00E525C7" w:rsidRDefault="0018451B" w14:paraId="0D3FCC2B" w14:textId="77777777">
            <w:pPr>
              <w:pStyle w:val="BodyText"/>
              <w:rPr>
                <w:rFonts w:asciiTheme="minorHAnsi" w:hAnsiTheme="minorHAnsi" w:cstheme="minorHAnsi"/>
                <w:sz w:val="20"/>
              </w:rPr>
            </w:pPr>
            <w:r>
              <w:rPr>
                <w:rFonts w:cs="Arial"/>
                <w:sz w:val="20"/>
              </w:rPr>
              <w:t>Blood count and liver function.</w:t>
            </w:r>
          </w:p>
        </w:tc>
      </w:tr>
      <w:tr w:rsidRPr="003B78EA" w:rsidR="00273A16" w:rsidTr="00EB294D" w14:paraId="50BB945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7DE585DD"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8152" w:type="dxa"/>
            <w:gridSpan w:val="3"/>
          </w:tcPr>
          <w:p w:rsidR="0018451B" w:rsidP="00E525C7" w:rsidRDefault="0018451B" w14:paraId="694D59D5" w14:textId="77777777">
            <w:pPr>
              <w:pStyle w:val="BodyText"/>
              <w:rPr>
                <w:rFonts w:cs="Arial"/>
                <w:sz w:val="20"/>
              </w:rPr>
            </w:pPr>
            <w:r>
              <w:rPr>
                <w:rFonts w:cs="Arial"/>
                <w:sz w:val="20"/>
              </w:rPr>
              <w:t>Hypersensitivity to penicillins, cephalosporins or carbapenems.</w:t>
            </w:r>
          </w:p>
          <w:p w:rsidRPr="003B78EA" w:rsidR="0018451B" w:rsidP="00E525C7" w:rsidRDefault="0018451B" w14:paraId="577C259B" w14:textId="77777777">
            <w:pPr>
              <w:pStyle w:val="BodyText"/>
              <w:rPr>
                <w:rFonts w:asciiTheme="minorHAnsi" w:hAnsiTheme="minorHAnsi" w:cstheme="minorHAnsi"/>
                <w:sz w:val="20"/>
              </w:rPr>
            </w:pPr>
            <w:r>
              <w:rPr>
                <w:rFonts w:cs="Arial"/>
                <w:sz w:val="20"/>
              </w:rPr>
              <w:t>CNS infections.</w:t>
            </w:r>
          </w:p>
        </w:tc>
      </w:tr>
      <w:tr w:rsidRPr="003B78EA" w:rsidR="00273A16" w:rsidTr="00EB294D" w14:paraId="0DB21E8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47375A39"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8152" w:type="dxa"/>
            <w:gridSpan w:val="3"/>
          </w:tcPr>
          <w:p w:rsidRPr="003B78EA" w:rsidR="0018451B" w:rsidP="00E525C7" w:rsidRDefault="0018451B" w14:paraId="318D1D84" w14:textId="77777777">
            <w:pPr>
              <w:pStyle w:val="BodyText"/>
              <w:rPr>
                <w:rFonts w:asciiTheme="minorHAnsi" w:hAnsiTheme="minorHAnsi" w:cstheme="minorHAnsi"/>
                <w:sz w:val="20"/>
              </w:rPr>
            </w:pPr>
            <w:r>
              <w:rPr>
                <w:rFonts w:cs="Arial"/>
                <w:sz w:val="20"/>
              </w:rPr>
              <w:t>Seizures can occur in infants with renal impairment or central nervous system infection.</w:t>
            </w:r>
          </w:p>
        </w:tc>
      </w:tr>
      <w:tr w:rsidRPr="003B78EA" w:rsidR="00273A16" w:rsidTr="00EB294D" w14:paraId="05D6F2E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054914A2"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8152" w:type="dxa"/>
            <w:gridSpan w:val="3"/>
          </w:tcPr>
          <w:p w:rsidR="0018451B" w:rsidP="00E525C7" w:rsidRDefault="0018451B" w14:paraId="5FA92F31" w14:textId="77777777">
            <w:pPr>
              <w:pStyle w:val="BodyText"/>
              <w:rPr>
                <w:rFonts w:cs="Arial"/>
                <w:sz w:val="20"/>
              </w:rPr>
            </w:pPr>
            <w:r>
              <w:rPr>
                <w:rFonts w:cs="Arial"/>
                <w:sz w:val="20"/>
              </w:rPr>
              <w:t xml:space="preserve">Ganciclovir − risk of seizures. Do not give concomitantly unless the potential benefits outweigh the risks. </w:t>
            </w:r>
          </w:p>
          <w:p w:rsidRPr="003B78EA" w:rsidR="0018451B" w:rsidP="00E525C7" w:rsidRDefault="0018451B" w14:paraId="7884484F" w14:textId="77777777">
            <w:pPr>
              <w:pStyle w:val="BodyText"/>
              <w:rPr>
                <w:rFonts w:asciiTheme="minorHAnsi" w:hAnsiTheme="minorHAnsi" w:cstheme="minorHAnsi"/>
                <w:sz w:val="20"/>
              </w:rPr>
            </w:pPr>
            <w:r>
              <w:rPr>
                <w:rFonts w:cs="Arial"/>
                <w:sz w:val="20"/>
              </w:rPr>
              <w:t>Valproate − results in decreased concentrations of valproate.</w:t>
            </w:r>
          </w:p>
        </w:tc>
      </w:tr>
      <w:tr w:rsidRPr="003B78EA" w:rsidR="00273A16" w:rsidTr="00EB294D" w14:paraId="357DF79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2231CA5C"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8152" w:type="dxa"/>
            <w:gridSpan w:val="3"/>
          </w:tcPr>
          <w:p w:rsidRPr="003B78EA" w:rsidR="0018451B" w:rsidP="00E525C7" w:rsidRDefault="0018451B" w14:paraId="6B2CEC9B" w14:textId="77777777">
            <w:pPr>
              <w:pStyle w:val="BodyText"/>
              <w:rPr>
                <w:rFonts w:asciiTheme="minorHAnsi" w:hAnsiTheme="minorHAnsi" w:cstheme="minorHAnsi"/>
                <w:sz w:val="20"/>
              </w:rPr>
            </w:pPr>
            <w:r>
              <w:rPr>
                <w:rFonts w:cs="Arial"/>
                <w:sz w:val="20"/>
              </w:rPr>
              <w:t>Seizures, impaired renal function, impaired liver function, tachycardia, local phlebitis, urticaria, diarrhoea, pseudomembranous colitis (</w:t>
            </w:r>
            <w:r w:rsidRPr="006D6FC5">
              <w:rPr>
                <w:rFonts w:cs="Arial"/>
                <w:i/>
                <w:sz w:val="20"/>
              </w:rPr>
              <w:t>Clostridium difficile</w:t>
            </w:r>
            <w:r>
              <w:rPr>
                <w:rFonts w:cs="Arial"/>
                <w:sz w:val="20"/>
              </w:rPr>
              <w:t>) and vomiting.</w:t>
            </w:r>
          </w:p>
        </w:tc>
      </w:tr>
      <w:tr w:rsidRPr="003B78EA" w:rsidR="00273A16" w:rsidTr="00EB294D" w14:paraId="3043E05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3C8F0F87"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8152" w:type="dxa"/>
            <w:gridSpan w:val="3"/>
          </w:tcPr>
          <w:p w:rsidRPr="002E5B6F" w:rsidR="0018451B" w:rsidP="00E525C7" w:rsidRDefault="0018451B" w14:paraId="57537B11" w14:textId="77777777">
            <w:pPr>
              <w:shd w:val="clear" w:color="auto" w:fill="FFFFFF"/>
              <w:rPr>
                <w:rFonts w:cs="Helvetica"/>
                <w:color w:val="333333"/>
                <w:sz w:val="20"/>
              </w:rPr>
            </w:pPr>
            <w:r w:rsidRPr="004131B2">
              <w:rPr>
                <w:rStyle w:val="Strong"/>
                <w:rFonts w:cs="Helvetica"/>
                <w:color w:val="333333"/>
                <w:sz w:val="20"/>
              </w:rPr>
              <w:t>F</w:t>
            </w:r>
            <w:r w:rsidRPr="002E5B6F">
              <w:rPr>
                <w:rStyle w:val="Strong"/>
                <w:rFonts w:cs="Helvetica"/>
                <w:color w:val="333333"/>
                <w:sz w:val="20"/>
              </w:rPr>
              <w:t>luids</w:t>
            </w:r>
            <w:r w:rsidRPr="002E5B6F">
              <w:rPr>
                <w:rFonts w:cs="Helvetica"/>
                <w:color w:val="333333"/>
                <w:sz w:val="20"/>
              </w:rPr>
              <w:t>: Glucose 5%, glucose 10%, sodium chloride 0.9%</w:t>
            </w:r>
          </w:p>
          <w:p w:rsidRPr="004131B2" w:rsidR="0018451B" w:rsidP="00E525C7" w:rsidRDefault="0018451B" w14:paraId="38A530E4" w14:textId="77777777">
            <w:pPr>
              <w:shd w:val="clear" w:color="auto" w:fill="FFFFFF"/>
              <w:rPr>
                <w:rStyle w:val="Strong"/>
                <w:rFonts w:cs="Helvetica"/>
                <w:b w:val="0"/>
                <w:color w:val="333333"/>
                <w:sz w:val="20"/>
              </w:rPr>
            </w:pPr>
          </w:p>
          <w:p w:rsidRPr="003B78EA" w:rsidR="0018451B" w:rsidP="00E525C7" w:rsidRDefault="0018451B" w14:paraId="34515C04" w14:textId="77777777">
            <w:pPr>
              <w:pStyle w:val="BodyText"/>
              <w:rPr>
                <w:rFonts w:asciiTheme="minorHAnsi" w:hAnsiTheme="minorHAnsi" w:cstheme="minorHAnsi"/>
                <w:sz w:val="20"/>
              </w:rPr>
            </w:pPr>
            <w:r w:rsidRPr="002E5B6F">
              <w:rPr>
                <w:rStyle w:val="Strong"/>
                <w:rFonts w:cs="Helvetica"/>
                <w:color w:val="333333"/>
                <w:sz w:val="20"/>
              </w:rPr>
              <w:lastRenderedPageBreak/>
              <w:t>Y-sit</w:t>
            </w:r>
            <w:r>
              <w:rPr>
                <w:rStyle w:val="Strong"/>
                <w:rFonts w:cs="Helvetica"/>
                <w:color w:val="333333"/>
                <w:sz w:val="20"/>
              </w:rPr>
              <w:t>e</w:t>
            </w:r>
            <w:r w:rsidRPr="002E5B6F">
              <w:rPr>
                <w:rFonts w:cs="Helvetica"/>
                <w:color w:val="333333"/>
                <w:sz w:val="20"/>
              </w:rPr>
              <w:t>: Aciclovir, amifostine, anidulafungin, aztreonam, caspofungin, cisatracurium</w:t>
            </w:r>
            <w:r>
              <w:rPr>
                <w:rFonts w:cs="Helvetica"/>
                <w:color w:val="333333"/>
                <w:sz w:val="20"/>
              </w:rPr>
              <w:t xml:space="preserve"> </w:t>
            </w:r>
            <w:r w:rsidRPr="005F5975">
              <w:rPr>
                <w:rFonts w:cs="Helvetica"/>
                <w:color w:val="333333"/>
                <w:sz w:val="20"/>
              </w:rPr>
              <w:t>besilate</w:t>
            </w:r>
            <w:r w:rsidRPr="002E5B6F">
              <w:rPr>
                <w:rFonts w:cs="Helvetica"/>
                <w:color w:val="333333"/>
                <w:sz w:val="20"/>
              </w:rPr>
              <w:t>, foscarnet, granisetron, linezolid, remif</w:t>
            </w:r>
            <w:r w:rsidRPr="0071029D">
              <w:rPr>
                <w:rFonts w:cs="Helvetica"/>
                <w:color w:val="333333"/>
                <w:sz w:val="20"/>
              </w:rPr>
              <w:t>entanil, tigecycline, zidovudin</w:t>
            </w:r>
            <w:r>
              <w:rPr>
                <w:rFonts w:cs="Helvetica"/>
                <w:color w:val="333333"/>
                <w:sz w:val="20"/>
              </w:rPr>
              <w:t>e.</w:t>
            </w:r>
          </w:p>
        </w:tc>
      </w:tr>
      <w:tr w:rsidRPr="003B78EA" w:rsidR="00273A16" w:rsidTr="00EB294D" w14:paraId="29C429DF"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3702501C"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Incompatibility</w:t>
            </w:r>
          </w:p>
        </w:tc>
        <w:tc>
          <w:tcPr>
            <w:tcW w:w="8152" w:type="dxa"/>
            <w:gridSpan w:val="3"/>
          </w:tcPr>
          <w:p w:rsidRPr="004131B2" w:rsidR="0018451B" w:rsidP="00E525C7" w:rsidRDefault="0018451B" w14:paraId="6EC8083A" w14:textId="77777777">
            <w:pPr>
              <w:shd w:val="clear" w:color="auto" w:fill="FFFFFF"/>
              <w:rPr>
                <w:rFonts w:cs="Helvetica"/>
                <w:color w:val="333333"/>
                <w:sz w:val="20"/>
              </w:rPr>
            </w:pPr>
            <w:r w:rsidRPr="002E5B6F">
              <w:rPr>
                <w:rStyle w:val="Strong"/>
                <w:rFonts w:cs="Helvetica"/>
                <w:color w:val="333333"/>
                <w:sz w:val="20"/>
              </w:rPr>
              <w:t>Fluids</w:t>
            </w:r>
            <w:r w:rsidRPr="002E5B6F">
              <w:rPr>
                <w:rFonts w:cs="Helvetica"/>
                <w:b/>
                <w:color w:val="333333"/>
                <w:sz w:val="20"/>
              </w:rPr>
              <w:t>:</w:t>
            </w:r>
            <w:r w:rsidRPr="002E5B6F">
              <w:rPr>
                <w:rFonts w:cs="Helvetica"/>
                <w:color w:val="333333"/>
                <w:sz w:val="20"/>
              </w:rPr>
              <w:t xml:space="preserve"> Hartmann’s</w:t>
            </w:r>
            <w:r>
              <w:rPr>
                <w:rFonts w:cs="Helvetica"/>
                <w:color w:val="333333"/>
                <w:sz w:val="20"/>
              </w:rPr>
              <w:t>.</w:t>
            </w:r>
            <w:r w:rsidRPr="002E5B6F">
              <w:rPr>
                <w:rFonts w:cs="Helvetica"/>
                <w:color w:val="333333"/>
                <w:sz w:val="20"/>
              </w:rPr>
              <w:t xml:space="preserve"> </w:t>
            </w:r>
          </w:p>
          <w:p w:rsidRPr="004131B2" w:rsidR="0018451B" w:rsidP="00E525C7" w:rsidRDefault="0018451B" w14:paraId="0AF092E8" w14:textId="77777777">
            <w:pPr>
              <w:shd w:val="clear" w:color="auto" w:fill="FFFFFF"/>
              <w:rPr>
                <w:rFonts w:cs="Helvetica"/>
                <w:color w:val="333333"/>
                <w:sz w:val="20"/>
              </w:rPr>
            </w:pPr>
          </w:p>
          <w:p w:rsidRPr="003B78EA" w:rsidR="0018451B" w:rsidP="00E525C7" w:rsidRDefault="0018451B" w14:paraId="4A408F3E" w14:textId="77777777">
            <w:pPr>
              <w:pStyle w:val="BodyText"/>
              <w:rPr>
                <w:rFonts w:asciiTheme="minorHAnsi" w:hAnsiTheme="minorHAnsi" w:cstheme="minorHAnsi"/>
                <w:sz w:val="20"/>
              </w:rPr>
            </w:pPr>
            <w:r>
              <w:rPr>
                <w:rFonts w:cs="Helvetica"/>
                <w:color w:val="333333"/>
                <w:sz w:val="20"/>
              </w:rPr>
              <w:t>Y-site</w:t>
            </w:r>
            <w:r w:rsidRPr="002E5B6F">
              <w:rPr>
                <w:rFonts w:cs="Helvetica"/>
                <w:color w:val="333333"/>
                <w:sz w:val="20"/>
              </w:rPr>
              <w:t>: Amiodarone, amoxycillin, azathioprine, azithromycin, ceftriaxone, chlorpromazine, daptomycin, fluconazole, g</w:t>
            </w:r>
            <w:r w:rsidRPr="00582DB5">
              <w:rPr>
                <w:rFonts w:cs="Helvetica"/>
                <w:color w:val="333333"/>
                <w:sz w:val="20"/>
              </w:rPr>
              <w:t>anciclovir, haloperidol lactate</w:t>
            </w:r>
            <w:r w:rsidRPr="002E5B6F">
              <w:rPr>
                <w:rFonts w:cs="Helvetica"/>
                <w:color w:val="333333"/>
                <w:sz w:val="20"/>
              </w:rPr>
              <w:t>, metaraminol, midazolam, milrinone, mycophenolate mofeti</w:t>
            </w:r>
            <w:r w:rsidRPr="004131B2">
              <w:rPr>
                <w:rFonts w:cs="Helvetica"/>
                <w:color w:val="333333"/>
                <w:sz w:val="20"/>
              </w:rPr>
              <w:t>l</w:t>
            </w:r>
            <w:r w:rsidRPr="002E5B6F">
              <w:rPr>
                <w:rFonts w:cs="Helvetica"/>
                <w:color w:val="333333"/>
                <w:sz w:val="20"/>
              </w:rPr>
              <w:t>, palonosetron, pethidine, sodium bicarbonate, vecuroniu</w:t>
            </w:r>
            <w:r>
              <w:rPr>
                <w:rFonts w:cs="Helvetica"/>
                <w:color w:val="333333"/>
                <w:sz w:val="20"/>
              </w:rPr>
              <w:t>m.</w:t>
            </w:r>
          </w:p>
        </w:tc>
      </w:tr>
      <w:tr w:rsidRPr="003B78EA" w:rsidR="00273A16" w:rsidTr="00EB294D" w14:paraId="258ABA8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65871C83"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8152" w:type="dxa"/>
            <w:gridSpan w:val="3"/>
          </w:tcPr>
          <w:p w:rsidRPr="003B78EA" w:rsidR="0018451B" w:rsidP="00E525C7" w:rsidRDefault="0018451B" w14:paraId="0B5DB8E4" w14:textId="77777777">
            <w:pPr>
              <w:pStyle w:val="BodyText"/>
              <w:rPr>
                <w:rFonts w:asciiTheme="minorHAnsi" w:hAnsiTheme="minorHAnsi" w:cstheme="minorHAnsi"/>
                <w:sz w:val="20"/>
              </w:rPr>
            </w:pPr>
            <w:r>
              <w:rPr>
                <w:rFonts w:cs="Arial"/>
                <w:sz w:val="20"/>
              </w:rPr>
              <w:t xml:space="preserve">Reconstituted or diluted solution </w:t>
            </w:r>
            <w:r>
              <w:rPr>
                <w:rFonts w:cs="Helvetica"/>
                <w:color w:val="333333"/>
                <w:sz w:val="20"/>
              </w:rPr>
              <w:t>s</w:t>
            </w:r>
            <w:r w:rsidRPr="002E5B6F">
              <w:rPr>
                <w:rFonts w:cs="Helvetica"/>
                <w:color w:val="333333"/>
                <w:sz w:val="20"/>
              </w:rPr>
              <w:t>table for 4 hours bel</w:t>
            </w:r>
            <w:r w:rsidRPr="004131B2">
              <w:rPr>
                <w:rFonts w:cs="Helvetica"/>
                <w:color w:val="333333"/>
                <w:sz w:val="20"/>
              </w:rPr>
              <w:t>ow 25°C or for 24 hours at 2</w:t>
            </w:r>
            <w:r>
              <w:rPr>
                <w:rFonts w:cs="Helvetica"/>
                <w:color w:val="333333"/>
                <w:sz w:val="20"/>
              </w:rPr>
              <w:t>−</w:t>
            </w:r>
            <w:r w:rsidRPr="002E5B6F">
              <w:rPr>
                <w:rFonts w:cs="Helvetica"/>
                <w:color w:val="333333"/>
                <w:sz w:val="20"/>
              </w:rPr>
              <w:t>8°</w:t>
            </w:r>
            <w:r w:rsidRPr="004131B2">
              <w:rPr>
                <w:rFonts w:cs="Helvetica"/>
                <w:color w:val="333333"/>
                <w:sz w:val="20"/>
              </w:rPr>
              <w:t>C.</w:t>
            </w:r>
          </w:p>
        </w:tc>
      </w:tr>
      <w:tr w:rsidRPr="003B78EA" w:rsidR="00273A16" w:rsidTr="00EB294D" w14:paraId="134B467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562198C4"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8152" w:type="dxa"/>
            <w:gridSpan w:val="3"/>
          </w:tcPr>
          <w:p w:rsidRPr="003B78EA" w:rsidR="0018451B" w:rsidP="00E525C7" w:rsidRDefault="0018451B" w14:paraId="61EE6FFE" w14:textId="77777777">
            <w:pPr>
              <w:pStyle w:val="BodyText"/>
              <w:rPr>
                <w:rFonts w:asciiTheme="minorHAnsi" w:hAnsiTheme="minorHAnsi" w:cstheme="minorHAnsi"/>
                <w:sz w:val="20"/>
              </w:rPr>
            </w:pPr>
            <w:r>
              <w:rPr>
                <w:rFonts w:cs="Arial"/>
                <w:sz w:val="20"/>
              </w:rPr>
              <w:t>Store vial below 25°C.</w:t>
            </w:r>
          </w:p>
        </w:tc>
      </w:tr>
      <w:tr w:rsidRPr="003B78EA" w:rsidR="00273A16" w:rsidTr="00EB294D" w14:paraId="558E3E8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49DBA30A"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8152" w:type="dxa"/>
            <w:gridSpan w:val="3"/>
          </w:tcPr>
          <w:p w:rsidRPr="003B78EA" w:rsidR="0018451B" w:rsidP="00E525C7" w:rsidRDefault="0018451B" w14:paraId="0A0AA5FB" w14:textId="77777777">
            <w:pPr>
              <w:pStyle w:val="BodyText"/>
              <w:rPr>
                <w:rFonts w:asciiTheme="minorHAnsi" w:hAnsiTheme="minorHAnsi" w:cstheme="minorHAnsi"/>
                <w:sz w:val="20"/>
              </w:rPr>
            </w:pPr>
            <w:r>
              <w:rPr>
                <w:rFonts w:asciiTheme="minorHAnsi" w:hAnsiTheme="minorHAnsi" w:cstheme="minorHAnsi"/>
                <w:sz w:val="20"/>
              </w:rPr>
              <w:t>Sodium bicarbonate</w:t>
            </w:r>
          </w:p>
        </w:tc>
      </w:tr>
      <w:tr w:rsidRPr="003B78EA" w:rsidR="00273A16" w:rsidTr="00EB294D" w14:paraId="2506636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4D01077F"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8152" w:type="dxa"/>
            <w:gridSpan w:val="3"/>
          </w:tcPr>
          <w:p w:rsidRPr="003B78EA" w:rsidR="0018451B" w:rsidP="00E525C7" w:rsidRDefault="0018451B" w14:paraId="3B898028" w14:textId="77777777">
            <w:pPr>
              <w:pStyle w:val="BodyText"/>
              <w:rPr>
                <w:rFonts w:asciiTheme="minorHAnsi" w:hAnsiTheme="minorHAnsi" w:cstheme="minorHAnsi"/>
                <w:sz w:val="20"/>
              </w:rPr>
            </w:pPr>
            <w:r w:rsidRPr="002E5B6F">
              <w:rPr>
                <w:rFonts w:cs="Helvetica"/>
                <w:color w:val="333333"/>
                <w:sz w:val="20"/>
              </w:rPr>
              <w:t xml:space="preserve">Solutions of imipenem </w:t>
            </w:r>
            <w:r>
              <w:rPr>
                <w:rFonts w:cs="Helvetica"/>
                <w:color w:val="333333"/>
                <w:sz w:val="20"/>
              </w:rPr>
              <w:t xml:space="preserve">+ cilastatin </w:t>
            </w:r>
            <w:r w:rsidRPr="002E5B6F">
              <w:rPr>
                <w:rFonts w:cs="Helvetica"/>
                <w:color w:val="333333"/>
                <w:sz w:val="20"/>
              </w:rPr>
              <w:t>range from colourless to yellow. Variations of colour within this range do not affect the potency.</w:t>
            </w:r>
          </w:p>
        </w:tc>
      </w:tr>
      <w:tr w:rsidRPr="003B78EA" w:rsidR="00273A16" w:rsidTr="00EB294D" w14:paraId="5ABCAE7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011F932D"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8152" w:type="dxa"/>
            <w:gridSpan w:val="3"/>
          </w:tcPr>
          <w:p w:rsidRPr="0018451B" w:rsidR="0018451B" w:rsidP="00E525C7" w:rsidRDefault="0018451B" w14:paraId="335DE064" w14:textId="77777777">
            <w:pPr>
              <w:pStyle w:val="BodyText"/>
              <w:rPr>
                <w:rFonts w:cs="Arial"/>
                <w:b/>
                <w:sz w:val="16"/>
                <w:szCs w:val="16"/>
              </w:rPr>
            </w:pPr>
            <w:r w:rsidRPr="0018451B">
              <w:rPr>
                <w:rFonts w:cs="Arial"/>
                <w:b/>
                <w:sz w:val="16"/>
                <w:szCs w:val="16"/>
              </w:rPr>
              <w:t>Pharmacokinetics</w:t>
            </w:r>
          </w:p>
          <w:p w:rsidRPr="0018451B" w:rsidR="0018451B" w:rsidP="00E525C7" w:rsidRDefault="0018451B" w14:paraId="33763B44" w14:textId="77777777">
            <w:pPr>
              <w:pStyle w:val="BodyText"/>
              <w:rPr>
                <w:rFonts w:cs="Arial"/>
                <w:sz w:val="16"/>
                <w:szCs w:val="16"/>
                <w:vertAlign w:val="superscript"/>
              </w:rPr>
            </w:pPr>
            <w:r w:rsidRPr="0018451B">
              <w:rPr>
                <w:rFonts w:cs="Arial"/>
                <w:sz w:val="16"/>
                <w:szCs w:val="16"/>
              </w:rPr>
              <w:t xml:space="preserve"> Imipenem + cilastatin is excreted via kidneys, mainly though glomerular filtration. Imipenem clearance is not influenced by postnatal or postmenstrual age. Infusions (0.5 hours) of 25 mg/kg every 12 hours (50 mg/kg/day) is sufficient against common bacterial isolates in neonates. However, 1.5 hour infusions of 25 mg/kg every 8 hours (75 mg/kg/day) in neonates are required to be effective against </w:t>
            </w:r>
            <w:r w:rsidRPr="0018451B">
              <w:rPr>
                <w:rFonts w:cs="Arial"/>
                <w:i/>
                <w:sz w:val="16"/>
                <w:szCs w:val="16"/>
              </w:rPr>
              <w:t>Pseudomonas aeruginosa</w:t>
            </w:r>
            <w:r w:rsidRPr="0018451B">
              <w:rPr>
                <w:rFonts w:cs="Arial"/>
                <w:sz w:val="16"/>
                <w:szCs w:val="16"/>
              </w:rPr>
              <w:t>.</w:t>
            </w:r>
            <w:r w:rsidRPr="0018451B">
              <w:rPr>
                <w:rFonts w:cs="Arial"/>
                <w:sz w:val="16"/>
                <w:szCs w:val="16"/>
                <w:vertAlign w:val="superscript"/>
              </w:rPr>
              <w:t>1</w:t>
            </w:r>
          </w:p>
          <w:p w:rsidRPr="0018451B" w:rsidR="0018451B" w:rsidP="00E525C7" w:rsidRDefault="0018451B" w14:paraId="59CC6400" w14:textId="77777777">
            <w:pPr>
              <w:pStyle w:val="BodyText"/>
              <w:tabs>
                <w:tab w:val="left" w:pos="1168"/>
              </w:tabs>
              <w:rPr>
                <w:rFonts w:cs="Arial"/>
                <w:sz w:val="16"/>
                <w:szCs w:val="16"/>
              </w:rPr>
            </w:pPr>
            <w:r w:rsidRPr="0018451B">
              <w:rPr>
                <w:rFonts w:cs="Arial"/>
                <w:b/>
                <w:sz w:val="16"/>
                <w:szCs w:val="16"/>
              </w:rPr>
              <w:t>Safety</w:t>
            </w:r>
            <w:r w:rsidRPr="0018451B">
              <w:rPr>
                <w:rFonts w:cs="Arial"/>
                <w:sz w:val="16"/>
                <w:szCs w:val="16"/>
              </w:rPr>
              <w:t xml:space="preserve">: </w:t>
            </w:r>
          </w:p>
          <w:p w:rsidRPr="003B78EA" w:rsidR="0018451B" w:rsidP="00E525C7" w:rsidRDefault="0018451B" w14:paraId="1125305A" w14:textId="77777777">
            <w:pPr>
              <w:pStyle w:val="BodyText"/>
              <w:tabs>
                <w:tab w:val="left" w:pos="1168"/>
              </w:tabs>
              <w:rPr>
                <w:rFonts w:asciiTheme="minorHAnsi" w:hAnsiTheme="minorHAnsi" w:cstheme="minorHAnsi"/>
                <w:sz w:val="20"/>
              </w:rPr>
            </w:pPr>
            <w:r w:rsidRPr="0018451B">
              <w:rPr>
                <w:rFonts w:cs="Arial"/>
                <w:sz w:val="16"/>
                <w:szCs w:val="16"/>
              </w:rPr>
              <w:t>Seizures can occur in neonates with meningitis, other CNS infections and in patients with renal impairment.</w:t>
            </w:r>
            <w:r w:rsidRPr="0018451B">
              <w:rPr>
                <w:rFonts w:cs="Arial"/>
                <w:sz w:val="16"/>
                <w:szCs w:val="16"/>
                <w:vertAlign w:val="superscript"/>
              </w:rPr>
              <w:t>1,4,6,9</w:t>
            </w:r>
          </w:p>
        </w:tc>
      </w:tr>
      <w:tr w:rsidRPr="003B78EA" w:rsidR="00273A16" w:rsidTr="00EB294D" w14:paraId="03329331"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137E90F5"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8152" w:type="dxa"/>
            <w:gridSpan w:val="3"/>
          </w:tcPr>
          <w:p w:rsidRPr="003B78EA" w:rsidR="0018451B" w:rsidP="00E525C7" w:rsidRDefault="0018451B" w14:paraId="798BCC89" w14:textId="77777777">
            <w:pPr>
              <w:pStyle w:val="BodyText"/>
              <w:tabs>
                <w:tab w:val="left" w:pos="1168"/>
              </w:tabs>
              <w:rPr>
                <w:rFonts w:asciiTheme="minorHAnsi" w:hAnsiTheme="minorHAnsi" w:cstheme="minorHAnsi"/>
                <w:sz w:val="20"/>
              </w:rPr>
            </w:pPr>
          </w:p>
        </w:tc>
      </w:tr>
      <w:tr w:rsidRPr="003B78EA" w:rsidR="00273A16" w:rsidTr="00EB294D" w14:paraId="2D3D1F7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3"/>
        </w:trPr>
        <w:tc>
          <w:tcPr>
            <w:tcW w:w="2049" w:type="dxa"/>
            <w:gridSpan w:val="2"/>
          </w:tcPr>
          <w:p w:rsidRPr="003B78EA" w:rsidR="0018451B" w:rsidP="00E525C7" w:rsidRDefault="0018451B" w14:paraId="4645762C"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8152" w:type="dxa"/>
            <w:gridSpan w:val="3"/>
          </w:tcPr>
          <w:p w:rsidRPr="0018451B" w:rsidR="0018451B" w:rsidP="00E525C7" w:rsidRDefault="0018451B" w14:paraId="71D358BD" w14:textId="77777777">
            <w:pPr>
              <w:rPr>
                <w:sz w:val="16"/>
                <w:szCs w:val="16"/>
              </w:rPr>
            </w:pPr>
            <w:r w:rsidRPr="0018451B">
              <w:rPr>
                <w:sz w:val="16"/>
                <w:szCs w:val="16"/>
              </w:rPr>
              <w:t>1. Yoshizawa K, Ikawa K, Ikeda K, Ohge H, Morikawa N. Population pharmacokinetic-pharmacodynamic target attainment analysis of imipenem plasma and urine data in neonates and children. Pediatr Infect Dis J [Internet]. 2013 [cited 2013 Nov];32(11):1208–16. http://ovidsp.ovid.com/ovidweb.cgi?T=JS&amp;PAGE=reference&amp;D=medl&amp;NEWS=N&amp;AN=23676856</w:t>
            </w:r>
          </w:p>
          <w:p w:rsidRPr="0018451B" w:rsidR="0018451B" w:rsidP="00E525C7" w:rsidRDefault="0018451B" w14:paraId="54004AF0" w14:textId="77777777">
            <w:pPr>
              <w:rPr>
                <w:sz w:val="16"/>
                <w:szCs w:val="16"/>
              </w:rPr>
            </w:pPr>
            <w:r w:rsidRPr="0018451B">
              <w:rPr>
                <w:sz w:val="16"/>
                <w:szCs w:val="16"/>
              </w:rPr>
              <w:t>2. Fujimura S, Nakano Y, Sato T, Shirahata K, Watanabe A. Relationship between the usage of carbapenem antibiotics and the incidence of imipenem-resistant Pseudomonas aeruginosa. J Infect Chemother [Internet]. 2007 [cited 2007 Jun];13(3):147–50. http://ovidsp.ovid.com/ovidweb.cgi?T=JS&amp;PAGE=reference&amp;D=med5&amp;NEWS=N&amp;AN=17593500</w:t>
            </w:r>
          </w:p>
          <w:p w:rsidRPr="0018451B" w:rsidR="0018451B" w:rsidP="00E525C7" w:rsidRDefault="0018451B" w14:paraId="2A47B1D4" w14:textId="77777777">
            <w:pPr>
              <w:rPr>
                <w:sz w:val="16"/>
                <w:szCs w:val="16"/>
              </w:rPr>
            </w:pPr>
            <w:r w:rsidRPr="0018451B">
              <w:rPr>
                <w:sz w:val="16"/>
                <w:szCs w:val="16"/>
              </w:rPr>
              <w:t>3. Schlossberg D, Pietroski N. Carbapenems. Semin Pediatr Infect Dis [Internet]. 2002 [cited 2002 Jan];13(1):4. http://ovidsp.ovid.com/ovidweb.cgi?T=JS&amp;PAGE=reference&amp;D=med4&amp;NEWS=N&amp;AN=12118842</w:t>
            </w:r>
          </w:p>
          <w:p w:rsidRPr="0018451B" w:rsidR="0018451B" w:rsidP="00E525C7" w:rsidRDefault="0018451B" w14:paraId="1B7DE749" w14:textId="77777777">
            <w:pPr>
              <w:rPr>
                <w:sz w:val="16"/>
                <w:szCs w:val="16"/>
              </w:rPr>
            </w:pPr>
            <w:r w:rsidRPr="0018451B">
              <w:rPr>
                <w:sz w:val="16"/>
                <w:szCs w:val="16"/>
              </w:rPr>
              <w:t>4. Boswald M, Dobig C, Kandler C, Kruger C, Scharf J, Soergel F, Zink S, Guggenbichler JP. Pharmacokinetic and clinical evaluation of serious infections in premature and newborn infants under therapy with imipenem/cilastatin.   Infection [Internet]. 1999 [cited 1999];27(4-5):299–304. http://ovidsp.ovid.com/ovidweb.cgi?T=JS&amp;PAGE=reference&amp;D=med4&amp;NEWS=N&amp;AN=10885853</w:t>
            </w:r>
          </w:p>
          <w:p w:rsidRPr="0018451B" w:rsidR="0018451B" w:rsidP="00E525C7" w:rsidRDefault="0018451B" w14:paraId="481EAA1F" w14:textId="77777777">
            <w:pPr>
              <w:rPr>
                <w:sz w:val="16"/>
                <w:szCs w:val="16"/>
              </w:rPr>
            </w:pPr>
            <w:r w:rsidRPr="0018451B">
              <w:rPr>
                <w:sz w:val="16"/>
                <w:szCs w:val="16"/>
              </w:rPr>
              <w:t>5. Blumer JL. Pharmacokinetic determinants of carbapenem therapy in neonates and children. Pediatr Infect Dis J [Internet]. 1996 [cited 1996 Aug];15(8):733–7. http://ovidsp.ovid.com/ovidweb.cgi?T=JS&amp;PAGE=reference&amp;D=med4&amp;NEWS=N&amp;AN=8858691</w:t>
            </w:r>
          </w:p>
          <w:p w:rsidRPr="0018451B" w:rsidR="0018451B" w:rsidP="00E525C7" w:rsidRDefault="0018451B" w14:paraId="5B712F7E" w14:textId="77777777">
            <w:pPr>
              <w:rPr>
                <w:sz w:val="16"/>
                <w:szCs w:val="16"/>
              </w:rPr>
            </w:pPr>
            <w:r w:rsidRPr="0018451B">
              <w:rPr>
                <w:sz w:val="16"/>
                <w:szCs w:val="16"/>
              </w:rPr>
              <w:t>6. Stuart RL, Turnidge J, Grayson ML. Safety of imipenem in neonates. Pediatr Infect Dis J [Internet]. 1995 [cited 1995 Sep];14(9):804–5. http://ovidsp.ovid.com/ovidweb.cgi?T=JS&amp;PAGE=reference&amp;D=med3&amp;NEWS=N&amp;AN=8559632</w:t>
            </w:r>
          </w:p>
          <w:p w:rsidRPr="0018451B" w:rsidR="0018451B" w:rsidP="00E525C7" w:rsidRDefault="0018451B" w14:paraId="2037D283" w14:textId="77777777">
            <w:pPr>
              <w:rPr>
                <w:sz w:val="16"/>
                <w:szCs w:val="16"/>
              </w:rPr>
            </w:pPr>
            <w:r w:rsidRPr="0018451B">
              <w:rPr>
                <w:sz w:val="16"/>
                <w:szCs w:val="16"/>
              </w:rPr>
              <w:t>7. Reed MD, Kliegman RM, Yamashita TS, Myers CM, Blumer JL. Clinical pharmacology of imipenem and cilastatin in premature infants during the first week of life. Antimicrob Agents Chemother [Internet]. 1990 [cited 1990 Jun];34(6):1172–7. http://ovidsp.ovid.com/ovidweb.cgi?T=JS&amp;PAGE=reference&amp;D=med3&amp;NEWS=N&amp;AN=2393278</w:t>
            </w:r>
          </w:p>
          <w:p w:rsidRPr="0018451B" w:rsidR="0018451B" w:rsidP="00E525C7" w:rsidRDefault="0018451B" w14:paraId="1893A7FC" w14:textId="77777777">
            <w:pPr>
              <w:rPr>
                <w:sz w:val="16"/>
                <w:szCs w:val="16"/>
              </w:rPr>
            </w:pPr>
            <w:r w:rsidRPr="0018451B">
              <w:rPr>
                <w:sz w:val="16"/>
                <w:szCs w:val="16"/>
              </w:rPr>
              <w:t>8. Ahonkhai VI, Cyhan GM, Wilson SE, Brown KR. Imipenem-cilastatin in pediatric patients: an overview of safety and efficacy in studies conducted in the United States. Pediatr Infect Dis J [Internet]. 1989 [cited 1989 Nov];8(11):740–4. http://ovidsp.ovid.com/ovidweb.cgi?T=JS&amp;PAGE=reference&amp;D=med3&amp;NEWS=N&amp;AN=2687787</w:t>
            </w:r>
          </w:p>
          <w:p w:rsidRPr="0018451B" w:rsidR="0018451B" w:rsidP="00E525C7" w:rsidRDefault="0018451B" w14:paraId="73A03174" w14:textId="77777777">
            <w:pPr>
              <w:rPr>
                <w:sz w:val="16"/>
                <w:szCs w:val="16"/>
              </w:rPr>
            </w:pPr>
            <w:r w:rsidRPr="0018451B">
              <w:rPr>
                <w:sz w:val="16"/>
                <w:szCs w:val="16"/>
              </w:rPr>
              <w:t xml:space="preserve">9. Nalin DR, Jacobsen CA. Imipenem/cilastatin therapy for serious infections in neonates and infants. Scand J Infect Dis Suppl [Internet]. 1987 [cited 1987];5246–55. </w:t>
            </w:r>
            <w:hyperlink w:history="1" r:id="rId40">
              <w:r w:rsidRPr="0018451B">
                <w:rPr>
                  <w:rStyle w:val="Hyperlink"/>
                  <w:sz w:val="16"/>
                  <w:szCs w:val="16"/>
                </w:rPr>
                <w:t>http://ovidsp.ovid.com/ovidweb.cgi?T=JS&amp;PAGE=reference&amp;D=med2&amp;NEWS=N&amp;AN=3331042</w:t>
              </w:r>
            </w:hyperlink>
          </w:p>
          <w:p w:rsidRPr="0018451B" w:rsidR="0018451B" w:rsidP="00E525C7" w:rsidRDefault="0018451B" w14:paraId="63963735" w14:textId="77777777">
            <w:pPr>
              <w:autoSpaceDE w:val="0"/>
              <w:autoSpaceDN w:val="0"/>
              <w:adjustRightInd w:val="0"/>
              <w:rPr>
                <w:sz w:val="16"/>
                <w:szCs w:val="16"/>
                <w:lang w:eastAsia="en-AU"/>
              </w:rPr>
            </w:pPr>
            <w:r w:rsidRPr="0018451B">
              <w:rPr>
                <w:sz w:val="16"/>
                <w:szCs w:val="16"/>
              </w:rPr>
              <w:t>10.</w:t>
            </w:r>
            <w:r w:rsidRPr="0018451B">
              <w:rPr>
                <w:sz w:val="16"/>
                <w:szCs w:val="16"/>
                <w:lang w:eastAsia="en-AU"/>
              </w:rPr>
              <w:t xml:space="preserve"> Micromedex 2.0 accessed via CIAP 4</w:t>
            </w:r>
            <w:r w:rsidRPr="0018451B">
              <w:rPr>
                <w:sz w:val="16"/>
                <w:szCs w:val="16"/>
                <w:vertAlign w:val="superscript"/>
                <w:lang w:eastAsia="en-AU"/>
              </w:rPr>
              <w:t>nd</w:t>
            </w:r>
            <w:r w:rsidRPr="0018451B">
              <w:rPr>
                <w:sz w:val="16"/>
                <w:szCs w:val="16"/>
                <w:lang w:eastAsia="en-AU"/>
              </w:rPr>
              <w:t xml:space="preserve"> November 2015.</w:t>
            </w:r>
          </w:p>
          <w:p w:rsidRPr="00917990" w:rsidR="0018451B" w:rsidP="00E525C7" w:rsidRDefault="0018451B" w14:paraId="14D0E710" w14:textId="77777777">
            <w:pPr>
              <w:autoSpaceDE w:val="0"/>
              <w:autoSpaceDN w:val="0"/>
              <w:adjustRightInd w:val="0"/>
              <w:rPr>
                <w:sz w:val="20"/>
                <w:lang w:eastAsia="en-AU"/>
              </w:rPr>
            </w:pPr>
            <w:r w:rsidRPr="0018451B">
              <w:rPr>
                <w:sz w:val="16"/>
                <w:szCs w:val="16"/>
                <w:lang w:eastAsia="en-AU"/>
              </w:rPr>
              <w:t>11. Australian Injectable Drugs Handbook, 6th Edition, Society of Hospital Pharmacists of Australia 2015.</w:t>
            </w:r>
          </w:p>
        </w:tc>
      </w:tr>
    </w:tbl>
    <w:p w:rsidR="00115F48" w:rsidP="006F0321" w:rsidRDefault="00115F48" w14:paraId="585ED2F2" w14:textId="77777777"/>
    <w:tbl>
      <w:tblPr>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819"/>
      </w:tblGrid>
      <w:tr w:rsidRPr="003A7895" w:rsidR="00CD0750" w:rsidTr="00A65F20" w14:paraId="36D55E8F" w14:textId="77777777">
        <w:tc>
          <w:tcPr>
            <w:tcW w:w="4395" w:type="dxa"/>
            <w:vAlign w:val="center"/>
          </w:tcPr>
          <w:p w:rsidRPr="003A7895" w:rsidR="00481D48" w:rsidP="00E525C7" w:rsidRDefault="00481D48" w14:paraId="55BE0CA9" w14:textId="28F5F23A">
            <w:r>
              <w:t xml:space="preserve">Original version Date: </w:t>
            </w:r>
            <w:r w:rsidR="0061559F">
              <w:t>5</w:t>
            </w:r>
            <w:r>
              <w:t>/1</w:t>
            </w:r>
            <w:r w:rsidR="0061559F">
              <w:t>2</w:t>
            </w:r>
            <w:r w:rsidRPr="003A7895">
              <w:t>/2015</w:t>
            </w:r>
          </w:p>
        </w:tc>
        <w:tc>
          <w:tcPr>
            <w:tcW w:w="4819" w:type="dxa"/>
            <w:vAlign w:val="center"/>
          </w:tcPr>
          <w:p w:rsidRPr="003A7895" w:rsidR="00481D48" w:rsidP="00E525C7" w:rsidRDefault="00481D48" w14:paraId="76F88363" w14:textId="77777777">
            <w:r>
              <w:t>Author: NeoMed Consensus Group</w:t>
            </w:r>
          </w:p>
        </w:tc>
      </w:tr>
      <w:tr w:rsidRPr="003A7895" w:rsidR="00CD0750" w:rsidTr="00A65F20" w14:paraId="20F1DDE7" w14:textId="77777777">
        <w:tc>
          <w:tcPr>
            <w:tcW w:w="4395" w:type="dxa"/>
            <w:vAlign w:val="center"/>
          </w:tcPr>
          <w:p w:rsidRPr="003A7895" w:rsidR="00481D48" w:rsidP="00E525C7" w:rsidRDefault="00481D48" w14:paraId="32995583" w14:textId="5323E270">
            <w:pPr>
              <w:rPr>
                <w:bCs/>
              </w:rPr>
            </w:pPr>
            <w:r w:rsidRPr="003A7895">
              <w:t xml:space="preserve">Current Version number:  </w:t>
            </w:r>
            <w:r w:rsidR="0020431B">
              <w:t>5</w:t>
            </w:r>
          </w:p>
        </w:tc>
        <w:tc>
          <w:tcPr>
            <w:tcW w:w="4819" w:type="dxa"/>
            <w:vAlign w:val="center"/>
          </w:tcPr>
          <w:p w:rsidRPr="003A7895" w:rsidR="00481D48" w:rsidP="00E525C7" w:rsidRDefault="00481D48" w14:paraId="3F7259F5" w14:textId="02886884">
            <w:r>
              <w:t xml:space="preserve">Current </w:t>
            </w:r>
            <w:r w:rsidRPr="003A7895">
              <w:t>Version Date</w:t>
            </w:r>
            <w:r w:rsidRPr="00CE7642">
              <w:t xml:space="preserve">:  </w:t>
            </w:r>
            <w:r w:rsidR="0020431B">
              <w:t>17/9/2020</w:t>
            </w:r>
          </w:p>
        </w:tc>
      </w:tr>
      <w:tr w:rsidRPr="003A7895" w:rsidR="00CD0750" w:rsidTr="00A65F20" w14:paraId="29E64367" w14:textId="77777777">
        <w:tc>
          <w:tcPr>
            <w:tcW w:w="4395" w:type="dxa"/>
            <w:vAlign w:val="center"/>
          </w:tcPr>
          <w:p w:rsidRPr="003A7895" w:rsidR="00481D48" w:rsidP="00E525C7" w:rsidRDefault="00481D48" w14:paraId="79DAAED9" w14:textId="77777777">
            <w:r>
              <w:t>Risk Rating: Medium</w:t>
            </w:r>
          </w:p>
        </w:tc>
        <w:tc>
          <w:tcPr>
            <w:tcW w:w="4819" w:type="dxa"/>
            <w:vAlign w:val="center"/>
          </w:tcPr>
          <w:p w:rsidRPr="003A7895" w:rsidR="00481D48" w:rsidP="00E525C7" w:rsidRDefault="00481D48" w14:paraId="5572A30E" w14:textId="43EC6D51">
            <w:r w:rsidRPr="003A7895">
              <w:t xml:space="preserve">Due for Review:  </w:t>
            </w:r>
            <w:r w:rsidR="0020431B">
              <w:t>17/9</w:t>
            </w:r>
            <w:r>
              <w:t>/202</w:t>
            </w:r>
            <w:r w:rsidR="00E411F3">
              <w:t>5</w:t>
            </w:r>
          </w:p>
        </w:tc>
      </w:tr>
      <w:tr w:rsidRPr="003A7895" w:rsidR="00CD0750" w:rsidTr="00A65F20" w14:paraId="041EBA2D" w14:textId="77777777">
        <w:trPr>
          <w:trHeight w:val="344"/>
        </w:trPr>
        <w:tc>
          <w:tcPr>
            <w:tcW w:w="4395" w:type="dxa"/>
            <w:tcBorders>
              <w:bottom w:val="single" w:color="auto" w:sz="4" w:space="0"/>
            </w:tcBorders>
            <w:vAlign w:val="center"/>
          </w:tcPr>
          <w:p w:rsidRPr="003A7895" w:rsidR="00481D48" w:rsidP="00E525C7" w:rsidRDefault="00481D48" w14:paraId="01B48ECE" w14:textId="77777777">
            <w:r w:rsidRPr="003A7895">
              <w:t>Approv</w:t>
            </w:r>
            <w:r>
              <w:t xml:space="preserve">al </w:t>
            </w:r>
            <w:r w:rsidRPr="003A7895">
              <w:t>by</w:t>
            </w:r>
            <w:r>
              <w:t>: DTC</w:t>
            </w:r>
          </w:p>
        </w:tc>
        <w:tc>
          <w:tcPr>
            <w:tcW w:w="4819" w:type="dxa"/>
            <w:tcBorders>
              <w:bottom w:val="single" w:color="auto" w:sz="4" w:space="0"/>
            </w:tcBorders>
            <w:vAlign w:val="center"/>
          </w:tcPr>
          <w:p w:rsidRPr="003A7895" w:rsidR="00481D48" w:rsidP="00E525C7" w:rsidRDefault="00481D48" w14:paraId="06D713C9" w14:textId="5F4EA4AD">
            <w:r w:rsidRPr="003A7895">
              <w:t>Approval Date:</w:t>
            </w:r>
            <w:r w:rsidR="00260BC8">
              <w:t>APRIL 2021</w:t>
            </w:r>
          </w:p>
        </w:tc>
      </w:tr>
    </w:tbl>
    <w:p w:rsidR="00481D48" w:rsidP="006F0321" w:rsidRDefault="00481D48" w14:paraId="271B19EB" w14:textId="77777777"/>
    <w:p w:rsidR="0018451B" w:rsidP="006F0321" w:rsidRDefault="0018451B" w14:paraId="202FF80F" w14:textId="77777777"/>
    <w:p w:rsidR="0018451B" w:rsidP="006F0321" w:rsidRDefault="0018451B" w14:paraId="63230B8A" w14:textId="77777777"/>
    <w:p w:rsidRPr="00E25790" w:rsidR="0018451B" w:rsidP="006F0321" w:rsidRDefault="0018451B" w14:paraId="5C7CBF93" w14:textId="77777777"/>
    <w:p w:rsidRPr="00E25790" w:rsidR="00115F48" w:rsidP="006F0321" w:rsidRDefault="00115F48" w14:paraId="728D656B" w14:textId="77777777"/>
    <w:tbl>
      <w:tblPr>
        <w:tblW w:w="9049" w:type="dxa"/>
        <w:tblLayout w:type="fixed"/>
        <w:tblLook w:val="0000" w:firstRow="0" w:lastRow="0" w:firstColumn="0" w:lastColumn="0" w:noHBand="0" w:noVBand="0"/>
      </w:tblPr>
      <w:tblGrid>
        <w:gridCol w:w="4153"/>
        <w:gridCol w:w="4896"/>
      </w:tblGrid>
      <w:tr w:rsidRPr="00E25790" w:rsidR="007B48BA" w:rsidTr="00B97D99" w14:paraId="73E33882"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7B48BA" w:rsidP="009469DB" w:rsidRDefault="007B48BA" w14:paraId="3578BC79" w14:textId="77777777">
            <w:pPr>
              <w:pStyle w:val="Heading1"/>
            </w:pPr>
            <w:bookmarkStart w:name="_Toc38106865" w:id="329"/>
            <w:bookmarkStart w:name="_Toc75339990" w:id="330"/>
            <w:r w:rsidRPr="00E25790">
              <w:lastRenderedPageBreak/>
              <w:t>Immunoglobulin IV (Intragram</w:t>
            </w:r>
            <w:r w:rsidRPr="00E25790">
              <w:rPr>
                <w:rFonts w:cs="Arial"/>
                <w:vertAlign w:val="superscript"/>
              </w:rPr>
              <w:t>®</w:t>
            </w:r>
            <w:r w:rsidRPr="00E25790">
              <w:t>P):</w:t>
            </w:r>
            <w:bookmarkEnd w:id="329"/>
            <w:bookmarkEnd w:id="330"/>
            <w:r w:rsidRPr="00E25790" w:rsidR="00DA008B">
              <w:t xml:space="preserve"> </w:t>
            </w:r>
            <w:r w:rsidRPr="00E25790">
              <w:fldChar w:fldCharType="begin"/>
            </w:r>
            <w:r w:rsidRPr="00E25790">
              <w:instrText>tc "Imipenem" \l 0</w:instrText>
            </w:r>
            <w:r w:rsidRPr="00E25790">
              <w:fldChar w:fldCharType="end"/>
            </w:r>
          </w:p>
        </w:tc>
      </w:tr>
      <w:tr w:rsidRPr="00E25790" w:rsidR="007B48BA" w:rsidTr="00B97D99" w14:paraId="460ED909"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7B48BA" w:rsidP="006F0321" w:rsidRDefault="007B48BA" w14:paraId="6EFBC929" w14:textId="06C8FB71">
            <w:r w:rsidRPr="00E25790">
              <w:t xml:space="preserve">Revision Date : </w:t>
            </w:r>
            <w:r w:rsidR="001A2B2F">
              <w:t>22-12-2020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7B48BA" w:rsidP="006F0321" w:rsidRDefault="007B48BA" w14:paraId="4C612680" w14:textId="77777777">
            <w:r w:rsidRPr="00E25790">
              <w:t>Approved: TC</w:t>
            </w:r>
            <w:r w:rsidRPr="00E25790" w:rsidR="00DA008B">
              <w:t>, KOH</w:t>
            </w:r>
          </w:p>
        </w:tc>
      </w:tr>
    </w:tbl>
    <w:p w:rsidRPr="00E25790" w:rsidR="007B48BA" w:rsidP="006F0321" w:rsidRDefault="007B48BA" w14:paraId="42A9149F" w14:textId="77777777"/>
    <w:tbl>
      <w:tblPr>
        <w:tblW w:w="542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38"/>
        <w:gridCol w:w="7337"/>
      </w:tblGrid>
      <w:tr w:rsidRPr="005C6C19" w:rsidR="00DA008B" w:rsidTr="0020431B" w14:paraId="1EAFD497" w14:textId="77777777">
        <w:trPr>
          <w:trHeight w:val="363"/>
        </w:trPr>
        <w:tc>
          <w:tcPr>
            <w:tcW w:w="1247" w:type="pct"/>
          </w:tcPr>
          <w:p w:rsidRPr="00DA008B" w:rsidR="00DA008B" w:rsidP="77BEE3D0" w:rsidRDefault="159DC075" w14:paraId="6B88F63E" w14:textId="77777777">
            <w:pPr>
              <w:pStyle w:val="BodyText"/>
              <w:rPr>
                <w:b/>
                <w:bCs/>
                <w:sz w:val="20"/>
              </w:rPr>
            </w:pPr>
            <w:r w:rsidRPr="77BEE3D0">
              <w:rPr>
                <w:b/>
                <w:bCs/>
                <w:sz w:val="20"/>
              </w:rPr>
              <w:t>Alert</w:t>
            </w:r>
            <w:r w:rsidR="00DA008B">
              <w:tab/>
            </w:r>
          </w:p>
          <w:p w:rsidRPr="00DA008B" w:rsidR="00DA008B" w:rsidP="77BEE3D0" w:rsidRDefault="159DC075" w14:paraId="005BAA9A" w14:textId="77777777">
            <w:pPr>
              <w:pStyle w:val="BodyText"/>
              <w:rPr>
                <w:b/>
                <w:bCs/>
                <w:sz w:val="20"/>
              </w:rPr>
            </w:pPr>
            <w:r w:rsidRPr="77BEE3D0">
              <w:rPr>
                <w:b/>
                <w:bCs/>
                <w:sz w:val="20"/>
              </w:rPr>
              <w:t xml:space="preserve"> </w:t>
            </w:r>
          </w:p>
        </w:tc>
        <w:tc>
          <w:tcPr>
            <w:tcW w:w="3753" w:type="pct"/>
          </w:tcPr>
          <w:p w:rsidRPr="00DA008B" w:rsidR="00DA008B" w:rsidP="00B97D99" w:rsidRDefault="00DA008B" w14:paraId="57AC9602" w14:textId="77777777">
            <w:pPr>
              <w:pStyle w:val="BodyText"/>
              <w:jc w:val="left"/>
            </w:pPr>
            <w:r w:rsidRPr="00DA008B">
              <w:t>If the patient has ANY adverse reaction, stop infusion and call a medical officer IMMEDIATELY.</w:t>
            </w:r>
          </w:p>
          <w:p w:rsidRPr="00DA008B" w:rsidR="00DA008B" w:rsidP="00B97D99" w:rsidRDefault="00DA008B" w14:paraId="1303B02F" w14:textId="77777777">
            <w:pPr>
              <w:pStyle w:val="BodyText"/>
              <w:jc w:val="left"/>
            </w:pPr>
            <w:r w:rsidRPr="00DA008B">
              <w:t>This formulary is for Intragam 10.</w:t>
            </w:r>
          </w:p>
          <w:p w:rsidRPr="00DA008B" w:rsidR="00DA008B" w:rsidP="00B97D99" w:rsidRDefault="00DA008B" w14:paraId="0F8ABAB1" w14:textId="77777777">
            <w:pPr>
              <w:pStyle w:val="BodyText"/>
              <w:jc w:val="left"/>
            </w:pPr>
            <w:r w:rsidRPr="00DA008B">
              <w:t xml:space="preserve">Intragam 10 is the domestically produced intravenous immunoglobulin (IVIg) and is the most likely product that you will receive from the Australian Blood Service. </w:t>
            </w:r>
          </w:p>
          <w:p w:rsidRPr="00DA008B" w:rsidR="00DA008B" w:rsidP="00B97D99" w:rsidRDefault="00DA008B" w14:paraId="5828D3F1" w14:textId="77777777">
            <w:pPr>
              <w:pStyle w:val="BodyText"/>
              <w:jc w:val="left"/>
            </w:pPr>
            <w:r w:rsidRPr="00DA008B">
              <w:t xml:space="preserve">Intragam P (6%) is no longer produced as of June 2018.  </w:t>
            </w:r>
          </w:p>
          <w:p w:rsidRPr="00DA008B" w:rsidR="00DA008B" w:rsidP="00B97D99" w:rsidRDefault="00DA008B" w14:paraId="3157B4DF" w14:textId="77777777">
            <w:pPr>
              <w:pStyle w:val="BodyText"/>
              <w:jc w:val="left"/>
            </w:pPr>
            <w:r w:rsidRPr="00DA008B">
              <w:t>Flebogamma 5% and 10% should not be given to neonates due to undiagnosed hereditary fructose intolerance.</w:t>
            </w:r>
          </w:p>
          <w:p w:rsidRPr="00DA008B" w:rsidR="00DA008B" w:rsidP="00B97D99" w:rsidRDefault="00DA008B" w14:paraId="0CC28D35" w14:textId="77777777">
            <w:pPr>
              <w:pStyle w:val="BodyText"/>
              <w:jc w:val="left"/>
            </w:pPr>
            <w:r w:rsidRPr="00DA008B">
              <w:t xml:space="preserve">Other preparations such as Privigen 10 are available for paediatric use, but beyond the scope of this formulary. </w:t>
            </w:r>
          </w:p>
        </w:tc>
      </w:tr>
      <w:tr w:rsidRPr="005C6C19" w:rsidR="00DA008B" w:rsidTr="0020431B" w14:paraId="6F687EFD" w14:textId="77777777">
        <w:trPr>
          <w:trHeight w:val="553"/>
        </w:trPr>
        <w:tc>
          <w:tcPr>
            <w:tcW w:w="1247" w:type="pct"/>
          </w:tcPr>
          <w:p w:rsidRPr="00DA008B" w:rsidR="00DA008B" w:rsidP="77BEE3D0" w:rsidRDefault="159DC075" w14:paraId="5A7B7062" w14:textId="77777777">
            <w:pPr>
              <w:pStyle w:val="BodyText"/>
              <w:rPr>
                <w:b/>
                <w:bCs/>
                <w:sz w:val="20"/>
              </w:rPr>
            </w:pPr>
            <w:r w:rsidRPr="77BEE3D0">
              <w:rPr>
                <w:b/>
                <w:bCs/>
                <w:sz w:val="20"/>
              </w:rPr>
              <w:t xml:space="preserve">Indication                         </w:t>
            </w:r>
          </w:p>
          <w:p w:rsidRPr="00DA008B" w:rsidR="00DA008B" w:rsidP="77BEE3D0" w:rsidRDefault="00DA008B" w14:paraId="4C933D09" w14:textId="77777777">
            <w:pPr>
              <w:pStyle w:val="BodyText"/>
              <w:rPr>
                <w:b/>
                <w:bCs/>
                <w:sz w:val="20"/>
              </w:rPr>
            </w:pPr>
          </w:p>
        </w:tc>
        <w:tc>
          <w:tcPr>
            <w:tcW w:w="3753" w:type="pct"/>
          </w:tcPr>
          <w:p w:rsidRPr="00DA008B" w:rsidR="00DA008B" w:rsidP="001B0E05" w:rsidRDefault="00DA008B" w14:paraId="47996F84" w14:textId="77777777">
            <w:pPr>
              <w:pStyle w:val="ListParagraph"/>
              <w:numPr>
                <w:ilvl w:val="0"/>
                <w:numId w:val="33"/>
              </w:numPr>
            </w:pPr>
            <w:r w:rsidRPr="00DA008B">
              <w:t>Neonatal alloimmune thrombocytopenia (NAIT)</w:t>
            </w:r>
          </w:p>
          <w:p w:rsidRPr="00DA008B" w:rsidR="00DA008B" w:rsidP="001B0E05" w:rsidRDefault="00DA008B" w14:paraId="6457EE59" w14:textId="77777777">
            <w:pPr>
              <w:pStyle w:val="ListParagraph"/>
              <w:numPr>
                <w:ilvl w:val="0"/>
                <w:numId w:val="33"/>
              </w:numPr>
            </w:pPr>
            <w:r w:rsidRPr="00DA008B">
              <w:t>Haemolytic disease of the newborn (HDN) (isoimmunisation)</w:t>
            </w:r>
          </w:p>
          <w:p w:rsidRPr="00DA008B" w:rsidR="00DA008B" w:rsidP="001B0E05" w:rsidRDefault="00DA008B" w14:paraId="1C5FAC8B" w14:textId="77777777">
            <w:pPr>
              <w:pStyle w:val="ListParagraph"/>
              <w:numPr>
                <w:ilvl w:val="0"/>
                <w:numId w:val="33"/>
              </w:numPr>
            </w:pPr>
            <w:r w:rsidRPr="00DA008B">
              <w:t>Immune thrombocytopenic purpura</w:t>
            </w:r>
          </w:p>
          <w:p w:rsidRPr="00DA008B" w:rsidR="00DA008B" w:rsidP="001B0E05" w:rsidRDefault="00DA008B" w14:paraId="1D6B0CAA" w14:textId="77777777">
            <w:pPr>
              <w:pStyle w:val="ListParagraph"/>
              <w:numPr>
                <w:ilvl w:val="0"/>
                <w:numId w:val="33"/>
              </w:numPr>
            </w:pPr>
            <w:r w:rsidRPr="00DA008B">
              <w:t>Primary immunodeficiency diseases</w:t>
            </w:r>
          </w:p>
          <w:p w:rsidRPr="00DA008B" w:rsidR="00DA008B" w:rsidP="001B0E05" w:rsidRDefault="00DA008B" w14:paraId="2ED1AA21" w14:textId="77777777">
            <w:pPr>
              <w:pStyle w:val="ListParagraph"/>
              <w:numPr>
                <w:ilvl w:val="0"/>
                <w:numId w:val="33"/>
              </w:numPr>
            </w:pPr>
            <w:r w:rsidRPr="00DA008B">
              <w:t>Secondary hypogammaglobulinaemia</w:t>
            </w:r>
          </w:p>
          <w:p w:rsidRPr="00DA008B" w:rsidR="00DA008B" w:rsidP="001B0E05" w:rsidRDefault="00DA008B" w14:paraId="3C787BB2" w14:textId="77777777">
            <w:pPr>
              <w:pStyle w:val="ListParagraph"/>
              <w:numPr>
                <w:ilvl w:val="0"/>
                <w:numId w:val="33"/>
              </w:numPr>
            </w:pPr>
            <w:r w:rsidRPr="00DA008B">
              <w:t>Neonatal haemochromatosis – gestational alloimmune liver disease (GALD)</w:t>
            </w:r>
          </w:p>
          <w:p w:rsidRPr="00DA008B" w:rsidR="00DA008B" w:rsidP="001B0E05" w:rsidRDefault="00DA008B" w14:paraId="752E2EFB" w14:textId="77777777">
            <w:pPr>
              <w:pStyle w:val="ListParagraph"/>
              <w:numPr>
                <w:ilvl w:val="0"/>
                <w:numId w:val="33"/>
              </w:numPr>
            </w:pPr>
            <w:r w:rsidRPr="00DA008B">
              <w:t>Neonatal myasthenia gravis</w:t>
            </w:r>
          </w:p>
          <w:p w:rsidRPr="00DA008B" w:rsidR="00DA008B" w:rsidP="001B0E05" w:rsidRDefault="00DA008B" w14:paraId="07CD52CA" w14:textId="77777777">
            <w:pPr>
              <w:pStyle w:val="ListParagraph"/>
              <w:numPr>
                <w:ilvl w:val="0"/>
                <w:numId w:val="33"/>
              </w:numPr>
            </w:pPr>
            <w:r w:rsidRPr="00DA008B">
              <w:t>Severe neonatal enterovirus infection including myocarditis or hepatitis</w:t>
            </w:r>
          </w:p>
          <w:p w:rsidRPr="00DA008B" w:rsidR="00DA008B" w:rsidP="001B0E05" w:rsidRDefault="00DA008B" w14:paraId="6AEDCFBE" w14:textId="77777777">
            <w:pPr>
              <w:pStyle w:val="ListParagraph"/>
              <w:numPr>
                <w:ilvl w:val="0"/>
                <w:numId w:val="33"/>
              </w:numPr>
            </w:pPr>
            <w:r w:rsidRPr="00DA008B">
              <w:t>Sepsis/infection – prevention and treatment – NOT RECOMMENDED.</w:t>
            </w:r>
          </w:p>
          <w:p w:rsidR="00A95DCE" w:rsidP="00B97D99" w:rsidRDefault="00A95DCE" w14:paraId="4047AD5A" w14:textId="77777777"/>
          <w:p w:rsidRPr="00DA008B" w:rsidR="00DA008B" w:rsidP="00B97D99" w:rsidRDefault="00DA008B" w14:paraId="18D21CF4" w14:textId="77777777">
            <w:r w:rsidRPr="00DA008B">
              <w:t xml:space="preserve">1, 3-5, and 7 are approved indications by the National Blood Authority of Australia, 6 is a proposed addition as of June 2018.  </w:t>
            </w:r>
          </w:p>
          <w:p w:rsidRPr="00DA008B" w:rsidR="00DA008B" w:rsidP="00B97D99" w:rsidRDefault="00DA008B" w14:paraId="4FAD8C83" w14:textId="77777777">
            <w:r w:rsidRPr="00DA008B">
              <w:t xml:space="preserve">See </w:t>
            </w:r>
            <w:hyperlink w:history="1" r:id="rId41">
              <w:r w:rsidRPr="00DA008B">
                <w:rPr>
                  <w:rStyle w:val="Hyperlink"/>
                  <w:sz w:val="20"/>
                </w:rPr>
                <w:t>https://www.criteria.blood.gov.au/</w:t>
              </w:r>
            </w:hyperlink>
            <w:r w:rsidRPr="00DA008B">
              <w:t xml:space="preserve"> for a comprehensive list.</w:t>
            </w:r>
          </w:p>
          <w:p w:rsidR="00DA008B" w:rsidP="00B97D99" w:rsidRDefault="00DA008B" w14:paraId="216BE949" w14:textId="77777777">
            <w:r w:rsidRPr="00DA008B">
              <w:t>Indications not funded under the Criteria for the clinical use of intravenous immunoglobulin in Australia (Criteria), may be provided for locally under Jurisdictional Direct Orders (</w:t>
            </w:r>
            <w:hyperlink w:history="1" r:id="rId42">
              <w:r w:rsidRPr="00DA008B">
                <w:rPr>
                  <w:rStyle w:val="Hyperlink"/>
                  <w:sz w:val="20"/>
                </w:rPr>
                <w:t>https://www.blood.gov.au/system/files/documents/jdo-factsheet.pdf</w:t>
              </w:r>
            </w:hyperlink>
            <w:r w:rsidRPr="00DA008B">
              <w:t xml:space="preserve">). </w:t>
            </w:r>
          </w:p>
          <w:p w:rsidR="00F27AE4" w:rsidP="00B97D99" w:rsidRDefault="00F27AE4" w14:paraId="601026FD" w14:textId="77777777"/>
          <w:p w:rsidRPr="00F27AE4" w:rsidR="00442165" w:rsidP="00B97D99" w:rsidRDefault="00442165" w14:paraId="648C5C93" w14:textId="549E82E3">
            <w:pPr>
              <w:rPr>
                <w:b/>
                <w:bCs/>
                <w:color w:val="FF0000"/>
              </w:rPr>
            </w:pPr>
            <w:r w:rsidRPr="00F27AE4">
              <w:rPr>
                <w:b/>
                <w:bCs/>
                <w:color w:val="FF0000"/>
              </w:rPr>
              <w:t xml:space="preserve">At Canberra Hospital, </w:t>
            </w:r>
            <w:r w:rsidRPr="00F27AE4" w:rsidR="001A11C0">
              <w:rPr>
                <w:b/>
                <w:bCs/>
                <w:color w:val="FF0000"/>
              </w:rPr>
              <w:t>IVIG (</w:t>
            </w:r>
            <w:r w:rsidRPr="00F27AE4" w:rsidR="00041B2A">
              <w:rPr>
                <w:b/>
                <w:bCs/>
                <w:color w:val="FF0000"/>
              </w:rPr>
              <w:t>P</w:t>
            </w:r>
            <w:r w:rsidRPr="00F27AE4" w:rsidR="001A11C0">
              <w:rPr>
                <w:b/>
                <w:bCs/>
                <w:color w:val="FF0000"/>
              </w:rPr>
              <w:t>rivigen)</w:t>
            </w:r>
            <w:r w:rsidRPr="00F27AE4" w:rsidR="00110184">
              <w:rPr>
                <w:b/>
                <w:bCs/>
                <w:color w:val="FF0000"/>
              </w:rPr>
              <w:t xml:space="preserve"> can be procured under JDO</w:t>
            </w:r>
            <w:r w:rsidRPr="00F27AE4" w:rsidR="006C16FD">
              <w:rPr>
                <w:b/>
                <w:bCs/>
                <w:color w:val="FF0000"/>
              </w:rPr>
              <w:t xml:space="preserve"> for </w:t>
            </w:r>
            <w:r w:rsidRPr="00F27AE4" w:rsidR="0038708E">
              <w:rPr>
                <w:b/>
                <w:bCs/>
                <w:color w:val="FF0000"/>
              </w:rPr>
              <w:t>isoimmune haemolytic jaundice</w:t>
            </w:r>
            <w:r w:rsidRPr="00F27AE4" w:rsidR="006C16FD">
              <w:rPr>
                <w:b/>
                <w:bCs/>
                <w:color w:val="FF0000"/>
              </w:rPr>
              <w:t>. It is purchased by pharmacy and c</w:t>
            </w:r>
            <w:r w:rsidRPr="00F27AE4" w:rsidR="0038708E">
              <w:rPr>
                <w:b/>
                <w:bCs/>
                <w:color w:val="FF0000"/>
              </w:rPr>
              <w:t>an</w:t>
            </w:r>
            <w:r w:rsidRPr="00F27AE4" w:rsidR="006C16FD">
              <w:rPr>
                <w:b/>
                <w:bCs/>
                <w:color w:val="FF0000"/>
              </w:rPr>
              <w:t xml:space="preserve"> be accessed by Neonatology Staff </w:t>
            </w:r>
            <w:r w:rsidRPr="00F27AE4" w:rsidR="0038708E">
              <w:rPr>
                <w:b/>
                <w:bCs/>
                <w:color w:val="FF0000"/>
              </w:rPr>
              <w:t>through pathology</w:t>
            </w:r>
            <w:r w:rsidRPr="00F27AE4" w:rsidR="00AD12D4">
              <w:rPr>
                <w:b/>
                <w:bCs/>
                <w:color w:val="FF0000"/>
              </w:rPr>
              <w:t xml:space="preserve"> for release on request if meeting following criteria:</w:t>
            </w:r>
          </w:p>
          <w:p w:rsidRPr="00F27AE4" w:rsidR="00AD12D4" w:rsidP="00B97D99" w:rsidRDefault="001F671B" w14:paraId="0B23A7E8" w14:textId="77777777">
            <w:pPr>
              <w:rPr>
                <w:b/>
                <w:bCs/>
                <w:color w:val="FF0000"/>
              </w:rPr>
            </w:pPr>
            <w:r w:rsidRPr="00F27AE4">
              <w:rPr>
                <w:b/>
                <w:bCs/>
                <w:color w:val="FF0000"/>
              </w:rPr>
              <w:t>-Isoimmune haemolytic jauncie (Rh, ABO, Other)</w:t>
            </w:r>
          </w:p>
          <w:p w:rsidRPr="00F27AE4" w:rsidR="001F671B" w:rsidP="00B97D99" w:rsidRDefault="001F671B" w14:paraId="7D6D0029" w14:textId="77777777">
            <w:pPr>
              <w:rPr>
                <w:b/>
                <w:bCs/>
                <w:color w:val="FF0000"/>
              </w:rPr>
            </w:pPr>
            <w:r w:rsidRPr="00F27AE4">
              <w:rPr>
                <w:b/>
                <w:bCs/>
                <w:color w:val="FF0000"/>
              </w:rPr>
              <w:t>-DAT positive</w:t>
            </w:r>
          </w:p>
          <w:p w:rsidRPr="00F27AE4" w:rsidR="001F671B" w:rsidP="00B97D99" w:rsidRDefault="001F671B" w14:paraId="7EC6230D" w14:textId="77777777">
            <w:pPr>
              <w:rPr>
                <w:b/>
                <w:bCs/>
                <w:color w:val="FF0000"/>
              </w:rPr>
            </w:pPr>
            <w:r w:rsidRPr="00F27AE4">
              <w:rPr>
                <w:b/>
                <w:bCs/>
                <w:color w:val="FF0000"/>
              </w:rPr>
              <w:lastRenderedPageBreak/>
              <w:t xml:space="preserve">-SBR rising </w:t>
            </w:r>
            <w:r w:rsidRPr="00F27AE4" w:rsidR="001B0275">
              <w:rPr>
                <w:b/>
                <w:bCs/>
                <w:color w:val="FF0000"/>
              </w:rPr>
              <w:t xml:space="preserve">at &gt;8 micromol/L/hour despite intensive phototherapy </w:t>
            </w:r>
            <w:r w:rsidRPr="00F27AE4" w:rsidR="00C5154B">
              <w:rPr>
                <w:b/>
                <w:bCs/>
                <w:color w:val="FF0000"/>
              </w:rPr>
              <w:t xml:space="preserve">in the first 24 hours </w:t>
            </w:r>
            <w:r w:rsidRPr="00F27AE4" w:rsidR="001B0275">
              <w:rPr>
                <w:b/>
                <w:bCs/>
                <w:color w:val="FF0000"/>
              </w:rPr>
              <w:t xml:space="preserve">or within 35-50 micromol/L </w:t>
            </w:r>
            <w:r w:rsidRPr="00F27AE4" w:rsidR="00C5154B">
              <w:rPr>
                <w:b/>
                <w:bCs/>
                <w:color w:val="FF0000"/>
              </w:rPr>
              <w:t>of exchange transfusion after 24 hours.</w:t>
            </w:r>
          </w:p>
          <w:p w:rsidRPr="00F27AE4" w:rsidR="00C5154B" w:rsidP="00B97D99" w:rsidRDefault="00C5154B" w14:paraId="138E7678" w14:textId="77777777">
            <w:pPr>
              <w:rPr>
                <w:b/>
                <w:bCs/>
                <w:color w:val="FF0000"/>
              </w:rPr>
            </w:pPr>
          </w:p>
          <w:p w:rsidRPr="005C6C19" w:rsidR="00C5154B" w:rsidP="00B97D99" w:rsidRDefault="00F27AE4" w14:paraId="4FF46F8E" w14:textId="33DA3135">
            <w:r w:rsidRPr="00F27AE4">
              <w:rPr>
                <w:b/>
                <w:bCs/>
                <w:color w:val="FF0000"/>
              </w:rPr>
              <w:t>Note that no haematology approval is needed for ordering IVIG</w:t>
            </w:r>
          </w:p>
        </w:tc>
      </w:tr>
      <w:tr w:rsidRPr="005C6C19" w:rsidR="00DA008B" w:rsidTr="0020431B" w14:paraId="010EB632" w14:textId="77777777">
        <w:trPr>
          <w:trHeight w:val="91"/>
        </w:trPr>
        <w:tc>
          <w:tcPr>
            <w:tcW w:w="1247" w:type="pct"/>
          </w:tcPr>
          <w:p w:rsidRPr="00DA008B" w:rsidR="00DA008B" w:rsidP="77BEE3D0" w:rsidRDefault="159DC075" w14:paraId="16DC990A" w14:textId="77777777">
            <w:pPr>
              <w:pStyle w:val="BodyText"/>
              <w:rPr>
                <w:b/>
                <w:bCs/>
                <w:sz w:val="20"/>
              </w:rPr>
            </w:pPr>
            <w:r w:rsidRPr="77BEE3D0">
              <w:rPr>
                <w:b/>
                <w:bCs/>
                <w:sz w:val="20"/>
              </w:rPr>
              <w:lastRenderedPageBreak/>
              <w:t>Action</w:t>
            </w:r>
          </w:p>
        </w:tc>
        <w:tc>
          <w:tcPr>
            <w:tcW w:w="3753" w:type="pct"/>
          </w:tcPr>
          <w:p w:rsidRPr="00DA008B" w:rsidR="00DA008B" w:rsidP="00B97D99" w:rsidRDefault="00DA008B" w14:paraId="27E7C21E" w14:textId="77777777">
            <w:r w:rsidRPr="00DA008B">
              <w:t>Immunoglobulin G (IgG) provides humoral immunity and is an immune modulator. [19]</w:t>
            </w:r>
          </w:p>
        </w:tc>
      </w:tr>
      <w:tr w:rsidRPr="005C6C19" w:rsidR="00DA008B" w:rsidTr="0020431B" w14:paraId="154EAF8B" w14:textId="77777777">
        <w:trPr>
          <w:trHeight w:val="266"/>
        </w:trPr>
        <w:tc>
          <w:tcPr>
            <w:tcW w:w="1247" w:type="pct"/>
          </w:tcPr>
          <w:p w:rsidRPr="00DA008B" w:rsidR="00DA008B" w:rsidP="77BEE3D0" w:rsidRDefault="159DC075" w14:paraId="2C703F9B" w14:textId="77777777">
            <w:pPr>
              <w:pStyle w:val="BodyText"/>
              <w:rPr>
                <w:b/>
                <w:bCs/>
                <w:sz w:val="20"/>
              </w:rPr>
            </w:pPr>
            <w:r w:rsidRPr="77BEE3D0">
              <w:rPr>
                <w:b/>
                <w:bCs/>
                <w:sz w:val="20"/>
              </w:rPr>
              <w:t xml:space="preserve">Drug Type                                   </w:t>
            </w:r>
          </w:p>
        </w:tc>
        <w:tc>
          <w:tcPr>
            <w:tcW w:w="3753" w:type="pct"/>
          </w:tcPr>
          <w:p w:rsidRPr="00DA008B" w:rsidR="00DA008B" w:rsidP="00B97D99" w:rsidRDefault="00DA008B" w14:paraId="6944F3ED" w14:textId="77777777">
            <w:pPr>
              <w:pStyle w:val="BodyText"/>
              <w:jc w:val="left"/>
            </w:pPr>
            <w:r w:rsidRPr="00DA008B">
              <w:t xml:space="preserve">Immunoglobulin </w:t>
            </w:r>
          </w:p>
        </w:tc>
      </w:tr>
      <w:tr w:rsidRPr="005C6C19" w:rsidR="00DA008B" w:rsidTr="0020431B" w14:paraId="2D337DED" w14:textId="77777777">
        <w:trPr>
          <w:trHeight w:val="215"/>
        </w:trPr>
        <w:tc>
          <w:tcPr>
            <w:tcW w:w="1247" w:type="pct"/>
          </w:tcPr>
          <w:p w:rsidRPr="00DA008B" w:rsidR="00DA008B" w:rsidP="77BEE3D0" w:rsidRDefault="159DC075" w14:paraId="06B11A9A" w14:textId="77777777">
            <w:pPr>
              <w:pStyle w:val="BodyText"/>
              <w:rPr>
                <w:b/>
                <w:bCs/>
                <w:sz w:val="20"/>
              </w:rPr>
            </w:pPr>
            <w:r w:rsidRPr="77BEE3D0">
              <w:rPr>
                <w:b/>
                <w:bCs/>
                <w:sz w:val="20"/>
              </w:rPr>
              <w:t xml:space="preserve">Trade Name                  </w:t>
            </w:r>
          </w:p>
        </w:tc>
        <w:tc>
          <w:tcPr>
            <w:tcW w:w="3753" w:type="pct"/>
          </w:tcPr>
          <w:p w:rsidRPr="00DA008B" w:rsidR="00DA008B" w:rsidP="00B97D99" w:rsidRDefault="00DA008B" w14:paraId="535634C6" w14:textId="77777777">
            <w:pPr>
              <w:pStyle w:val="BodyText"/>
              <w:jc w:val="left"/>
            </w:pPr>
            <w:r w:rsidRPr="00DA008B">
              <w:t>Intragam 10. Contains 1 g of immunoglobulin G in 10 mL.</w:t>
            </w:r>
          </w:p>
        </w:tc>
      </w:tr>
      <w:tr w:rsidRPr="005C6C19" w:rsidR="00DA008B" w:rsidTr="0020431B" w14:paraId="40FE39DD" w14:textId="77777777">
        <w:trPr>
          <w:trHeight w:val="403"/>
        </w:trPr>
        <w:tc>
          <w:tcPr>
            <w:tcW w:w="1247" w:type="pct"/>
          </w:tcPr>
          <w:p w:rsidRPr="00DA008B" w:rsidR="00DA008B" w:rsidP="77BEE3D0" w:rsidRDefault="159DC075" w14:paraId="2B72B973" w14:textId="77777777">
            <w:pPr>
              <w:pStyle w:val="BodyText"/>
              <w:rPr>
                <w:b/>
                <w:bCs/>
                <w:sz w:val="20"/>
              </w:rPr>
            </w:pPr>
            <w:r w:rsidRPr="77BEE3D0">
              <w:rPr>
                <w:b/>
                <w:bCs/>
                <w:sz w:val="20"/>
              </w:rPr>
              <w:t xml:space="preserve">Presentation </w:t>
            </w:r>
          </w:p>
        </w:tc>
        <w:tc>
          <w:tcPr>
            <w:tcW w:w="3753" w:type="pct"/>
          </w:tcPr>
          <w:p w:rsidRPr="00DA008B" w:rsidR="00DA008B" w:rsidP="00B97D99" w:rsidRDefault="00DA008B" w14:paraId="6B414E23" w14:textId="77777777">
            <w:pPr>
              <w:pStyle w:val="BodyText"/>
              <w:jc w:val="left"/>
            </w:pPr>
            <w:r w:rsidRPr="00DA008B">
              <w:rPr>
                <w:b/>
              </w:rPr>
              <w:t>Intragam 10</w:t>
            </w:r>
            <w:r w:rsidRPr="00DA008B">
              <w:t xml:space="preserve"> is a 10% w/v solution of IgG produced by CSL Behring from voluntary donors to the Australian Red Cross. Intragam® 10 comes in 2.5 g in 25 mL, 10 g in 100 mL and 20 g in 200 mL. All these strengths provide 1 g of Ig in 10 mL.</w:t>
            </w:r>
          </w:p>
          <w:p w:rsidRPr="00DA008B" w:rsidR="00DA008B" w:rsidP="00B97D99" w:rsidRDefault="00DA008B" w14:paraId="435F7AFE" w14:textId="77777777">
            <w:pPr>
              <w:pStyle w:val="BodyText"/>
              <w:jc w:val="left"/>
            </w:pPr>
            <w:r w:rsidRPr="00DA008B">
              <w:t xml:space="preserve">Donors are screened for antibodies to HIV and Hepatitis B and C. </w:t>
            </w:r>
          </w:p>
        </w:tc>
      </w:tr>
      <w:tr w:rsidRPr="005C6C19" w:rsidR="00DA008B" w:rsidTr="0020431B" w14:paraId="37157359" w14:textId="77777777">
        <w:trPr>
          <w:trHeight w:val="587"/>
        </w:trPr>
        <w:tc>
          <w:tcPr>
            <w:tcW w:w="1247" w:type="pct"/>
          </w:tcPr>
          <w:p w:rsidRPr="00DA008B" w:rsidR="00DA008B" w:rsidP="77BEE3D0" w:rsidRDefault="159DC075" w14:paraId="73FEBA15" w14:textId="77777777">
            <w:pPr>
              <w:pStyle w:val="BodyText"/>
              <w:rPr>
                <w:b/>
                <w:bCs/>
                <w:sz w:val="20"/>
              </w:rPr>
            </w:pPr>
            <w:r w:rsidRPr="77BEE3D0">
              <w:rPr>
                <w:b/>
                <w:bCs/>
                <w:sz w:val="20"/>
              </w:rPr>
              <w:t xml:space="preserve">Dosage / Interval                           </w:t>
            </w:r>
          </w:p>
          <w:p w:rsidRPr="00DA008B" w:rsidR="00DA008B" w:rsidP="77BEE3D0" w:rsidRDefault="00DA008B" w14:paraId="0E35BFED" w14:textId="77777777">
            <w:pPr>
              <w:pStyle w:val="BodyText"/>
              <w:rPr>
                <w:b/>
                <w:bCs/>
                <w:sz w:val="20"/>
              </w:rPr>
            </w:pPr>
          </w:p>
        </w:tc>
        <w:tc>
          <w:tcPr>
            <w:tcW w:w="3753" w:type="pct"/>
          </w:tcPr>
          <w:p w:rsidRPr="00DA008B" w:rsidR="00DA008B" w:rsidP="00B97D99" w:rsidRDefault="00DA008B" w14:paraId="3F10AA29" w14:textId="77777777">
            <w:pPr>
              <w:pStyle w:val="BodyText"/>
              <w:jc w:val="left"/>
            </w:pPr>
            <w:r w:rsidRPr="00DA008B">
              <w:t>Medical officer should prescribe (1) brand of IVIg and the % concentration (e.g. Intragam 10), (2) dose in grams and the volume in mL (e.g. 2 g/20 mL) and (3) Rate of infusion (see Administration section)</w:t>
            </w:r>
          </w:p>
          <w:p w:rsidRPr="00DA008B" w:rsidR="00DA008B" w:rsidP="00B97D99" w:rsidRDefault="00DA008B" w14:paraId="7D5CB02C" w14:textId="77777777">
            <w:pPr>
              <w:pStyle w:val="BodyText"/>
              <w:jc w:val="left"/>
            </w:pPr>
            <w:r w:rsidRPr="00DA008B">
              <w:t xml:space="preserve">Isoimmunisation: </w:t>
            </w:r>
          </w:p>
          <w:p w:rsidRPr="00DA008B" w:rsidR="00DA008B" w:rsidP="00B97D99" w:rsidRDefault="00DA008B" w14:paraId="67DF7A8C" w14:textId="77777777">
            <w:pPr>
              <w:pStyle w:val="BodyText"/>
              <w:jc w:val="left"/>
            </w:pPr>
            <w:r w:rsidRPr="00DA008B">
              <w:t xml:space="preserve">1 g/kg (range 0.5–1.5 g/kg) IV. Dose may be repeated in 12–24 hours if required. </w:t>
            </w:r>
          </w:p>
          <w:p w:rsidRPr="00DA008B" w:rsidR="00DA008B" w:rsidP="00B97D99" w:rsidRDefault="00DA008B" w14:paraId="036D42BA" w14:textId="77777777">
            <w:pPr>
              <w:pStyle w:val="BodyText"/>
              <w:jc w:val="left"/>
            </w:pPr>
            <w:r w:rsidRPr="00DA008B">
              <w:t>Neonatal alloimmune thrombocytopenia (NAIT):</w:t>
            </w:r>
          </w:p>
          <w:p w:rsidRPr="00DA008B" w:rsidR="00DA008B" w:rsidP="00B97D99" w:rsidRDefault="00DA008B" w14:paraId="11A58256" w14:textId="77777777">
            <w:pPr>
              <w:pStyle w:val="BodyText"/>
              <w:jc w:val="left"/>
            </w:pPr>
            <w:r w:rsidRPr="00DA008B">
              <w:rPr>
                <w:rFonts w:cs="Arial"/>
              </w:rPr>
              <w:t>1 g/kg IV. R</w:t>
            </w:r>
            <w:r w:rsidRPr="00DA008B">
              <w:t>epeat if required.</w:t>
            </w:r>
          </w:p>
          <w:p w:rsidRPr="00DA008B" w:rsidR="00DA008B" w:rsidP="00B97D99" w:rsidRDefault="00DA008B" w14:paraId="1585C987" w14:textId="77777777">
            <w:pPr>
              <w:pStyle w:val="BodyText"/>
              <w:jc w:val="left"/>
            </w:pPr>
            <w:r w:rsidRPr="00DA008B">
              <w:t xml:space="preserve">Immune thrombocytopenic purpura (ITP): </w:t>
            </w:r>
          </w:p>
          <w:p w:rsidRPr="00DA008B" w:rsidR="00DA008B" w:rsidP="00B97D99" w:rsidRDefault="00DA008B" w14:paraId="489100EE" w14:textId="77777777">
            <w:pPr>
              <w:pStyle w:val="BodyText"/>
              <w:jc w:val="left"/>
            </w:pPr>
            <w:r w:rsidRPr="00DA008B">
              <w:t>1 g/kg IV. Repeat if required.</w:t>
            </w:r>
          </w:p>
          <w:p w:rsidRPr="00DA008B" w:rsidR="00DA008B" w:rsidP="00B97D99" w:rsidRDefault="00DA008B" w14:paraId="7DDD8FD6" w14:textId="77777777">
            <w:pPr>
              <w:pStyle w:val="BodyText"/>
              <w:jc w:val="left"/>
            </w:pPr>
            <w:r w:rsidRPr="00DA008B">
              <w:t xml:space="preserve">Immunodeficiency: </w:t>
            </w:r>
          </w:p>
          <w:p w:rsidRPr="00DA008B" w:rsidR="00DA008B" w:rsidP="00B97D99" w:rsidRDefault="00DA008B" w14:paraId="37E3FBBB" w14:textId="77777777">
            <w:pPr>
              <w:pStyle w:val="BodyText"/>
              <w:jc w:val="left"/>
            </w:pPr>
            <w:r w:rsidRPr="00DA008B">
              <w:t>0.4 g/kg IV (dose should be based on number of infections and trough serum IgG concentration [optimally above 6 g/L, higher if there is bronchiectasis]).</w:t>
            </w:r>
          </w:p>
          <w:p w:rsidRPr="00DA008B" w:rsidR="00DA008B" w:rsidP="00B97D99" w:rsidRDefault="00DA008B" w14:paraId="403CF97E" w14:textId="77777777">
            <w:pPr>
              <w:pStyle w:val="BodyText"/>
              <w:jc w:val="left"/>
            </w:pPr>
            <w:r w:rsidRPr="00DA008B">
              <w:t xml:space="preserve">Neonatal myasthenia gravis: </w:t>
            </w:r>
          </w:p>
          <w:p w:rsidRPr="00DA008B" w:rsidR="00DA008B" w:rsidP="00B97D99" w:rsidRDefault="00DA008B" w14:paraId="7E3C3854" w14:textId="77777777">
            <w:pPr>
              <w:pStyle w:val="BodyText"/>
              <w:jc w:val="left"/>
            </w:pPr>
            <w:r w:rsidRPr="00DA008B">
              <w:t>1 g/kg IV daily for 2 days (total dose: 2 g/kg). If additional therapy required, titrate against clinical response.[9]</w:t>
            </w:r>
          </w:p>
          <w:p w:rsidRPr="00DA008B" w:rsidR="00DA008B" w:rsidP="00B97D99" w:rsidRDefault="00DA008B" w14:paraId="6749DB62" w14:textId="77777777">
            <w:pPr>
              <w:pStyle w:val="BodyText"/>
              <w:jc w:val="left"/>
            </w:pPr>
            <w:r w:rsidRPr="00DA008B">
              <w:t xml:space="preserve">Severe enterovirus infection/myocarditis or hepatitis: </w:t>
            </w:r>
          </w:p>
          <w:p w:rsidRPr="00DA008B" w:rsidR="00DA008B" w:rsidP="00B97D99" w:rsidRDefault="00DA008B" w14:paraId="17723BF6" w14:textId="77777777">
            <w:pPr>
              <w:pStyle w:val="BodyText"/>
              <w:jc w:val="left"/>
            </w:pPr>
            <w:r w:rsidRPr="00DA008B">
              <w:t>2 g/kg IV (up to 2.5 g/kg) as a single dose within 3 days of onset.</w:t>
            </w:r>
          </w:p>
          <w:p w:rsidRPr="00DA008B" w:rsidR="00DA008B" w:rsidP="00B97D99" w:rsidRDefault="00DA008B" w14:paraId="1472FB6D" w14:textId="77777777">
            <w:r w:rsidRPr="00DA008B">
              <w:t xml:space="preserve">Sepsis/infection (prevention or treatment) – not recommended: </w:t>
            </w:r>
          </w:p>
          <w:p w:rsidRPr="00DA008B" w:rsidR="00DA008B" w:rsidP="00B97D99" w:rsidRDefault="00DA008B" w14:paraId="1A243AC6" w14:textId="77777777">
            <w:r w:rsidRPr="00DA008B">
              <w:t>0.5 to 1 g/kg IV repeated at intervals when required has been used.</w:t>
            </w:r>
          </w:p>
          <w:p w:rsidRPr="00DA008B" w:rsidR="00DA008B" w:rsidP="00B97D99" w:rsidRDefault="00DA008B" w14:paraId="7AEF7DEA" w14:textId="77777777">
            <w:r w:rsidRPr="00DA008B">
              <w:t xml:space="preserve">Neonatal haemochromatosis: </w:t>
            </w:r>
          </w:p>
          <w:p w:rsidRPr="00DA008B" w:rsidR="00DA008B" w:rsidP="00B97D99" w:rsidRDefault="00DA008B" w14:paraId="50BE7EDB" w14:textId="77777777">
            <w:r w:rsidRPr="00DA008B">
              <w:t>1–2 g/kg/day IV following exchange transfusion in the first 7 days and then 1 g/kg weekly, as required.</w:t>
            </w:r>
          </w:p>
        </w:tc>
      </w:tr>
      <w:tr w:rsidRPr="005C6C19" w:rsidR="00DA008B" w:rsidTr="0020431B" w14:paraId="558BCC90" w14:textId="77777777">
        <w:trPr>
          <w:trHeight w:val="407"/>
        </w:trPr>
        <w:tc>
          <w:tcPr>
            <w:tcW w:w="1247" w:type="pct"/>
          </w:tcPr>
          <w:p w:rsidRPr="00DA008B" w:rsidR="00DA008B" w:rsidP="77BEE3D0" w:rsidRDefault="159DC075" w14:paraId="4CF6E45D" w14:textId="77777777">
            <w:pPr>
              <w:pStyle w:val="BodyText"/>
              <w:rPr>
                <w:b/>
                <w:bCs/>
                <w:sz w:val="20"/>
              </w:rPr>
            </w:pPr>
            <w:r w:rsidRPr="77BEE3D0">
              <w:rPr>
                <w:b/>
                <w:bCs/>
                <w:sz w:val="20"/>
              </w:rPr>
              <w:t>Maximum daily dose</w:t>
            </w:r>
          </w:p>
        </w:tc>
        <w:tc>
          <w:tcPr>
            <w:tcW w:w="3753" w:type="pct"/>
          </w:tcPr>
          <w:p w:rsidRPr="00DA008B" w:rsidR="00DA008B" w:rsidP="00B97D99" w:rsidRDefault="00DA008B" w14:paraId="36A3A51E" w14:textId="77777777">
            <w:pPr>
              <w:pStyle w:val="BodyText"/>
              <w:jc w:val="left"/>
            </w:pPr>
            <w:r w:rsidRPr="00DA008B">
              <w:t>2 g/kg/day.</w:t>
            </w:r>
          </w:p>
          <w:p w:rsidRPr="00DA008B" w:rsidR="00DA008B" w:rsidP="00B97D99" w:rsidRDefault="00DA008B" w14:paraId="3F0247DD" w14:textId="77777777">
            <w:pPr>
              <w:pStyle w:val="BodyText"/>
              <w:jc w:val="left"/>
            </w:pPr>
            <w:r w:rsidRPr="00DA008B">
              <w:t xml:space="preserve">Enterovirus infection: 2.5 g/kg/day </w:t>
            </w:r>
          </w:p>
        </w:tc>
      </w:tr>
      <w:tr w:rsidRPr="005C6C19" w:rsidR="00DA008B" w:rsidTr="0020431B" w14:paraId="254884DA" w14:textId="77777777">
        <w:trPr>
          <w:trHeight w:val="191"/>
        </w:trPr>
        <w:tc>
          <w:tcPr>
            <w:tcW w:w="1247" w:type="pct"/>
          </w:tcPr>
          <w:p w:rsidRPr="00DA008B" w:rsidR="00DA008B" w:rsidP="77BEE3D0" w:rsidRDefault="159DC075" w14:paraId="6F33A400" w14:textId="77777777">
            <w:pPr>
              <w:pStyle w:val="BodyText"/>
              <w:rPr>
                <w:b/>
                <w:bCs/>
                <w:sz w:val="20"/>
              </w:rPr>
            </w:pPr>
            <w:r w:rsidRPr="77BEE3D0">
              <w:rPr>
                <w:b/>
                <w:bCs/>
                <w:sz w:val="20"/>
              </w:rPr>
              <w:t xml:space="preserve">Route                             </w:t>
            </w:r>
          </w:p>
        </w:tc>
        <w:tc>
          <w:tcPr>
            <w:tcW w:w="3753" w:type="pct"/>
          </w:tcPr>
          <w:p w:rsidRPr="00DA008B" w:rsidR="00DA008B" w:rsidP="00B97D99" w:rsidRDefault="00DA008B" w14:paraId="2B277F39" w14:textId="77777777">
            <w:pPr>
              <w:pStyle w:val="BodyText"/>
              <w:jc w:val="left"/>
            </w:pPr>
            <w:r w:rsidRPr="00DA008B">
              <w:t>Intravenous.</w:t>
            </w:r>
          </w:p>
        </w:tc>
      </w:tr>
      <w:tr w:rsidRPr="005C6C19" w:rsidR="00DA008B" w:rsidTr="0020431B" w14:paraId="39A1D2C0" w14:textId="77777777">
        <w:trPr>
          <w:trHeight w:val="742"/>
        </w:trPr>
        <w:tc>
          <w:tcPr>
            <w:tcW w:w="1247" w:type="pct"/>
          </w:tcPr>
          <w:p w:rsidRPr="00DA008B" w:rsidR="00DA008B" w:rsidP="77BEE3D0" w:rsidRDefault="159DC075" w14:paraId="036671BC" w14:textId="7562E926">
            <w:pPr>
              <w:pStyle w:val="BodyText"/>
              <w:rPr>
                <w:b/>
                <w:bCs/>
                <w:sz w:val="20"/>
                <w:highlight w:val="cyan"/>
              </w:rPr>
            </w:pPr>
            <w:r w:rsidRPr="77BEE3D0">
              <w:rPr>
                <w:b/>
                <w:bCs/>
                <w:sz w:val="20"/>
              </w:rPr>
              <w:t xml:space="preserve">Preparation/Dilution </w:t>
            </w:r>
          </w:p>
        </w:tc>
        <w:tc>
          <w:tcPr>
            <w:tcW w:w="3753" w:type="pct"/>
          </w:tcPr>
          <w:p w:rsidRPr="00DA008B" w:rsidR="00DA008B" w:rsidP="00B97D99" w:rsidRDefault="00DA008B" w14:paraId="0C25FA0A" w14:textId="77777777">
            <w:pPr>
              <w:pStyle w:val="BodyText"/>
              <w:jc w:val="left"/>
            </w:pPr>
            <w:r w:rsidRPr="00DA008B">
              <w:t>Obtain written consent from parent or guardian.</w:t>
            </w:r>
          </w:p>
          <w:p w:rsidRPr="00DA008B" w:rsidR="00DA008B" w:rsidP="00B97D99" w:rsidRDefault="00DA008B" w14:paraId="27F602B6" w14:textId="77777777">
            <w:pPr>
              <w:pStyle w:val="BodyText"/>
              <w:jc w:val="left"/>
            </w:pPr>
            <w:r w:rsidRPr="00DA008B">
              <w:t>All opened bottles must be used immediately.</w:t>
            </w:r>
          </w:p>
          <w:p w:rsidRPr="00DA008B" w:rsidR="00DA008B" w:rsidP="00B97D99" w:rsidRDefault="00DA008B" w14:paraId="23D2D8FC" w14:textId="77777777">
            <w:pPr>
              <w:pStyle w:val="BodyText"/>
              <w:jc w:val="left"/>
            </w:pPr>
            <w:r w:rsidRPr="00DA008B">
              <w:t xml:space="preserve">Do not shake bottles to avoid foaming. </w:t>
            </w:r>
          </w:p>
          <w:p w:rsidRPr="00DA008B" w:rsidR="00DA008B" w:rsidP="00B97D99" w:rsidRDefault="00DA008B" w14:paraId="6ADAFF5B" w14:textId="77777777">
            <w:pPr>
              <w:pStyle w:val="BodyText"/>
              <w:jc w:val="left"/>
            </w:pPr>
            <w:r w:rsidRPr="00DA008B">
              <w:lastRenderedPageBreak/>
              <w:t>A ‘peel-off’ identification label with Batch Number and Expiry Date is to be placed on the patient’s Blood Component order form.</w:t>
            </w:r>
          </w:p>
          <w:p w:rsidRPr="00DA008B" w:rsidR="00DA008B" w:rsidP="00B97D99" w:rsidRDefault="00DA008B" w14:paraId="6E832EA8" w14:textId="77777777">
            <w:pPr>
              <w:pStyle w:val="BodyText"/>
              <w:jc w:val="left"/>
            </w:pPr>
            <w:r w:rsidRPr="00DA008B">
              <w:t>Allow preparation to reach room temperature and inspect for turbidity or sediments. If seen, return to Blood Bank.</w:t>
            </w:r>
          </w:p>
        </w:tc>
      </w:tr>
      <w:tr w:rsidRPr="005C6C19" w:rsidR="00DA008B" w:rsidTr="0020431B" w14:paraId="6E16C191" w14:textId="77777777">
        <w:trPr>
          <w:trHeight w:val="558"/>
        </w:trPr>
        <w:tc>
          <w:tcPr>
            <w:tcW w:w="1247" w:type="pct"/>
          </w:tcPr>
          <w:p w:rsidRPr="00DA008B" w:rsidR="00DA008B" w:rsidP="77BEE3D0" w:rsidRDefault="159DC075" w14:paraId="101EE300" w14:textId="77777777">
            <w:pPr>
              <w:pStyle w:val="BodyText"/>
              <w:rPr>
                <w:b/>
                <w:bCs/>
                <w:sz w:val="20"/>
              </w:rPr>
            </w:pPr>
            <w:r w:rsidRPr="77BEE3D0">
              <w:rPr>
                <w:b/>
                <w:bCs/>
                <w:sz w:val="20"/>
              </w:rPr>
              <w:lastRenderedPageBreak/>
              <w:t xml:space="preserve">Administration                 </w:t>
            </w:r>
          </w:p>
          <w:p w:rsidRPr="00DA008B" w:rsidR="00DA008B" w:rsidP="77BEE3D0" w:rsidRDefault="00DA008B" w14:paraId="0BF722E9" w14:textId="77777777">
            <w:pPr>
              <w:pStyle w:val="BodyText"/>
              <w:rPr>
                <w:b/>
                <w:bCs/>
                <w:sz w:val="20"/>
              </w:rPr>
            </w:pPr>
          </w:p>
        </w:tc>
        <w:tc>
          <w:tcPr>
            <w:tcW w:w="3753" w:type="pct"/>
          </w:tcPr>
          <w:p w:rsidRPr="00DA008B" w:rsidR="00DA008B" w:rsidP="00B97D99" w:rsidRDefault="00DA008B" w14:paraId="2303090E" w14:textId="77777777">
            <w:pPr>
              <w:pStyle w:val="BodyText"/>
              <w:jc w:val="left"/>
            </w:pPr>
            <w:r w:rsidRPr="00DA008B">
              <w:t>Infusion rate: 0.5 mL/kg/hour for 60 minutes; then 1 mL/kg/hour for next 60 minutes; 2 mL/kg/hour for next 60 minutes; then 4 mL/kg/hour (at a maximum rate of 25 mL/hour).</w:t>
            </w:r>
          </w:p>
          <w:p w:rsidRPr="00DA008B" w:rsidR="00DA008B" w:rsidP="00B97D99" w:rsidRDefault="00DA008B" w14:paraId="467F31B5" w14:textId="77777777">
            <w:pPr>
              <w:pStyle w:val="BodyText"/>
              <w:jc w:val="left"/>
            </w:pPr>
            <w:r w:rsidRPr="00DA008B">
              <w:t>To be checked by two Registered Nurses.</w:t>
            </w:r>
          </w:p>
          <w:p w:rsidRPr="00DA008B" w:rsidR="00DA008B" w:rsidP="001B0E05" w:rsidRDefault="00DA008B" w14:paraId="18A2BB82" w14:textId="77777777">
            <w:pPr>
              <w:pStyle w:val="BodyText"/>
              <w:numPr>
                <w:ilvl w:val="0"/>
                <w:numId w:val="32"/>
              </w:numPr>
              <w:jc w:val="left"/>
            </w:pPr>
            <w:r w:rsidRPr="00DA008B">
              <w:t xml:space="preserve">Requires a surgically clean procedure. </w:t>
            </w:r>
          </w:p>
          <w:p w:rsidRPr="00DA008B" w:rsidR="00DA008B" w:rsidP="001B0E05" w:rsidRDefault="00DA008B" w14:paraId="36001A08" w14:textId="77777777">
            <w:pPr>
              <w:pStyle w:val="BodyText"/>
              <w:numPr>
                <w:ilvl w:val="0"/>
                <w:numId w:val="32"/>
              </w:numPr>
              <w:jc w:val="left"/>
            </w:pPr>
            <w:r w:rsidRPr="00DA008B">
              <w:t>Given via intravenous cannula, central line, long line or port.</w:t>
            </w:r>
          </w:p>
          <w:p w:rsidRPr="00DA008B" w:rsidR="00DA008B" w:rsidP="001B0E05" w:rsidRDefault="00DA008B" w14:paraId="3CF37A66" w14:textId="77777777">
            <w:pPr>
              <w:pStyle w:val="BodyText"/>
              <w:numPr>
                <w:ilvl w:val="0"/>
                <w:numId w:val="32"/>
              </w:numPr>
              <w:jc w:val="left"/>
            </w:pPr>
            <w:r w:rsidRPr="00DA008B">
              <w:t>Administered by infusion pump.</w:t>
            </w:r>
          </w:p>
          <w:p w:rsidRPr="00DA008B" w:rsidR="00DA008B" w:rsidP="001B0E05" w:rsidRDefault="00DA008B" w14:paraId="63AB7E8F" w14:textId="77777777">
            <w:pPr>
              <w:pStyle w:val="BodyText"/>
              <w:numPr>
                <w:ilvl w:val="0"/>
                <w:numId w:val="32"/>
              </w:numPr>
              <w:jc w:val="left"/>
            </w:pPr>
            <w:r w:rsidRPr="00DA008B">
              <w:t xml:space="preserve">A blood filter is not required, but may be used. </w:t>
            </w:r>
          </w:p>
          <w:p w:rsidRPr="00DA008B" w:rsidR="00DA008B" w:rsidP="001B0E05" w:rsidRDefault="00DA008B" w14:paraId="4523162E" w14:textId="77777777">
            <w:pPr>
              <w:pStyle w:val="BodyText"/>
              <w:numPr>
                <w:ilvl w:val="0"/>
                <w:numId w:val="32"/>
              </w:numPr>
              <w:jc w:val="left"/>
            </w:pPr>
            <w:r w:rsidRPr="00DA008B">
              <w:t>Sodium chloride 0.9% may be used as a flush at the end of the infusion.</w:t>
            </w:r>
          </w:p>
        </w:tc>
      </w:tr>
      <w:tr w:rsidRPr="005C6C19" w:rsidR="00DA008B" w:rsidTr="0020431B" w14:paraId="00A8EE54" w14:textId="77777777">
        <w:trPr>
          <w:trHeight w:val="221"/>
        </w:trPr>
        <w:tc>
          <w:tcPr>
            <w:tcW w:w="1247" w:type="pct"/>
          </w:tcPr>
          <w:p w:rsidRPr="00DA008B" w:rsidR="00DA008B" w:rsidP="77BEE3D0" w:rsidRDefault="159DC075" w14:paraId="7A0CD63A" w14:textId="77777777">
            <w:pPr>
              <w:pStyle w:val="BodyText"/>
              <w:rPr>
                <w:b/>
                <w:bCs/>
                <w:sz w:val="20"/>
              </w:rPr>
            </w:pPr>
            <w:r w:rsidRPr="77BEE3D0">
              <w:rPr>
                <w:b/>
                <w:bCs/>
                <w:sz w:val="20"/>
              </w:rPr>
              <w:t xml:space="preserve">Monitoring                              </w:t>
            </w:r>
          </w:p>
          <w:p w:rsidRPr="00DA008B" w:rsidR="00DA008B" w:rsidP="77BEE3D0" w:rsidRDefault="00DA008B" w14:paraId="59836754" w14:textId="77777777">
            <w:pPr>
              <w:pStyle w:val="BodyText"/>
              <w:rPr>
                <w:b/>
                <w:bCs/>
                <w:sz w:val="20"/>
              </w:rPr>
            </w:pPr>
          </w:p>
        </w:tc>
        <w:tc>
          <w:tcPr>
            <w:tcW w:w="3753" w:type="pct"/>
          </w:tcPr>
          <w:p w:rsidRPr="00DA008B" w:rsidR="00DA008B" w:rsidP="00B97D99" w:rsidRDefault="00DA008B" w14:paraId="211FEFE3" w14:textId="77777777">
            <w:pPr>
              <w:pStyle w:val="BodyText"/>
              <w:jc w:val="left"/>
            </w:pPr>
            <w:r w:rsidRPr="00DA008B">
              <w:t>Vital sign monitoring of temperature, heart rate, respiratory rate and blood pressure to be recorded before commencement of infusion.</w:t>
            </w:r>
          </w:p>
          <w:p w:rsidRPr="00DA008B" w:rsidR="00DA008B" w:rsidP="00B97D99" w:rsidRDefault="00DA008B" w14:paraId="6142A04B" w14:textId="77777777">
            <w:pPr>
              <w:pStyle w:val="BodyText"/>
              <w:jc w:val="left"/>
            </w:pPr>
            <w:r w:rsidRPr="00DA008B">
              <w:t>If the patient is unwell or there are any concerns particularly regarding the baseline observations, the medical officer should be contacted before the infusion commences.</w:t>
            </w:r>
          </w:p>
          <w:p w:rsidRPr="00DA008B" w:rsidR="00DA008B" w:rsidP="00B97D99" w:rsidRDefault="00DA008B" w14:paraId="540C4C5D" w14:textId="77777777">
            <w:pPr>
              <w:pStyle w:val="BodyText"/>
              <w:jc w:val="left"/>
            </w:pPr>
            <w:r w:rsidRPr="00DA008B">
              <w:t>Vital signs (temperature, heart rate, respiratory rate) should then be checked and recorded:</w:t>
            </w:r>
          </w:p>
          <w:p w:rsidRPr="00DA008B" w:rsidR="00DA008B" w:rsidP="001B0E05" w:rsidRDefault="00DA008B" w14:paraId="76DA73EF" w14:textId="77777777">
            <w:pPr>
              <w:pStyle w:val="BodyText"/>
              <w:numPr>
                <w:ilvl w:val="0"/>
                <w:numId w:val="30"/>
              </w:numPr>
              <w:jc w:val="left"/>
            </w:pPr>
            <w:r w:rsidRPr="00DA008B">
              <w:t>Within 15 minutes after the start of the infusion;</w:t>
            </w:r>
          </w:p>
          <w:p w:rsidRPr="00DA008B" w:rsidR="00DA008B" w:rsidP="001B0E05" w:rsidRDefault="00DA008B" w14:paraId="359E8419" w14:textId="77777777">
            <w:pPr>
              <w:pStyle w:val="BodyText"/>
              <w:numPr>
                <w:ilvl w:val="0"/>
                <w:numId w:val="30"/>
              </w:numPr>
              <w:jc w:val="left"/>
            </w:pPr>
            <w:r w:rsidRPr="00DA008B">
              <w:t>Hourly during the infusion;</w:t>
            </w:r>
          </w:p>
          <w:p w:rsidRPr="00DA008B" w:rsidR="00DA008B" w:rsidP="001B0E05" w:rsidRDefault="00DA008B" w14:paraId="1D3E78B1" w14:textId="77777777">
            <w:pPr>
              <w:pStyle w:val="BodyText"/>
              <w:numPr>
                <w:ilvl w:val="0"/>
                <w:numId w:val="30"/>
              </w:numPr>
              <w:jc w:val="left"/>
            </w:pPr>
            <w:r w:rsidRPr="00DA008B">
              <w:t>At the end of the infusion.</w:t>
            </w:r>
          </w:p>
        </w:tc>
      </w:tr>
      <w:tr w:rsidRPr="005C6C19" w:rsidR="00DA008B" w:rsidTr="0020431B" w14:paraId="3A09D6D6" w14:textId="77777777">
        <w:trPr>
          <w:trHeight w:val="342"/>
        </w:trPr>
        <w:tc>
          <w:tcPr>
            <w:tcW w:w="1247" w:type="pct"/>
          </w:tcPr>
          <w:p w:rsidRPr="00DA008B" w:rsidR="00DA008B" w:rsidP="77BEE3D0" w:rsidRDefault="159DC075" w14:paraId="6BCBBFB0" w14:textId="77777777">
            <w:pPr>
              <w:pStyle w:val="BodyText"/>
              <w:rPr>
                <w:b/>
                <w:bCs/>
                <w:sz w:val="20"/>
              </w:rPr>
            </w:pPr>
            <w:r w:rsidRPr="77BEE3D0">
              <w:rPr>
                <w:b/>
                <w:bCs/>
                <w:sz w:val="20"/>
              </w:rPr>
              <w:t xml:space="preserve">Contraindications                        </w:t>
            </w:r>
          </w:p>
          <w:p w:rsidRPr="00DA008B" w:rsidR="00DA008B" w:rsidP="77BEE3D0" w:rsidRDefault="00DA008B" w14:paraId="0285C578" w14:textId="77777777">
            <w:pPr>
              <w:pStyle w:val="BodyText"/>
              <w:rPr>
                <w:b/>
                <w:bCs/>
                <w:sz w:val="20"/>
              </w:rPr>
            </w:pPr>
          </w:p>
        </w:tc>
        <w:tc>
          <w:tcPr>
            <w:tcW w:w="3753" w:type="pct"/>
          </w:tcPr>
          <w:p w:rsidRPr="00DA008B" w:rsidR="00DA008B" w:rsidP="00B97D99" w:rsidRDefault="00DA008B" w14:paraId="60F53547" w14:textId="77777777">
            <w:pPr>
              <w:pStyle w:val="BodyText"/>
              <w:jc w:val="left"/>
            </w:pPr>
            <w:r w:rsidRPr="00DA008B">
              <w:t>Patients who have had an anaphylactic reaction to a human immunoglobulin preparation.</w:t>
            </w:r>
          </w:p>
        </w:tc>
      </w:tr>
      <w:tr w:rsidRPr="005C6C19" w:rsidR="00DA008B" w:rsidTr="0020431B" w14:paraId="348CB2B1" w14:textId="77777777">
        <w:tc>
          <w:tcPr>
            <w:tcW w:w="1247" w:type="pct"/>
          </w:tcPr>
          <w:p w:rsidRPr="00DA008B" w:rsidR="00DA008B" w:rsidP="77BEE3D0" w:rsidRDefault="00DA008B" w14:paraId="2683ABC2" w14:textId="77777777">
            <w:pPr>
              <w:pStyle w:val="BodyText"/>
              <w:rPr>
                <w:b/>
                <w:bCs/>
                <w:sz w:val="20"/>
              </w:rPr>
            </w:pPr>
            <w:r w:rsidRPr="77BEE3D0">
              <w:rPr>
                <w:b/>
                <w:bCs/>
                <w:sz w:val="20"/>
              </w:rPr>
              <w:br w:type="page"/>
            </w:r>
            <w:r w:rsidRPr="77BEE3D0" w:rsidR="159DC075">
              <w:rPr>
                <w:b/>
                <w:bCs/>
                <w:sz w:val="20"/>
              </w:rPr>
              <w:t>Precautions</w:t>
            </w:r>
          </w:p>
        </w:tc>
        <w:tc>
          <w:tcPr>
            <w:tcW w:w="3753" w:type="pct"/>
          </w:tcPr>
          <w:p w:rsidRPr="00DA008B" w:rsidR="00DA008B" w:rsidP="00B97D99" w:rsidRDefault="00DA008B" w14:paraId="2460E70D" w14:textId="77777777">
            <w:pPr>
              <w:pStyle w:val="BodyText"/>
              <w:jc w:val="left"/>
            </w:pPr>
          </w:p>
        </w:tc>
      </w:tr>
      <w:tr w:rsidRPr="005C6C19" w:rsidR="00DA008B" w:rsidTr="0020431B" w14:paraId="6B517BA6" w14:textId="77777777">
        <w:trPr>
          <w:trHeight w:val="276"/>
        </w:trPr>
        <w:tc>
          <w:tcPr>
            <w:tcW w:w="1247" w:type="pct"/>
          </w:tcPr>
          <w:p w:rsidRPr="00DA008B" w:rsidR="00DA008B" w:rsidP="77BEE3D0" w:rsidRDefault="159DC075" w14:paraId="14B00965" w14:textId="77777777">
            <w:pPr>
              <w:pStyle w:val="BodyText"/>
              <w:rPr>
                <w:b/>
                <w:bCs/>
                <w:sz w:val="20"/>
              </w:rPr>
            </w:pPr>
            <w:r w:rsidRPr="77BEE3D0">
              <w:rPr>
                <w:b/>
                <w:bCs/>
                <w:sz w:val="20"/>
              </w:rPr>
              <w:t>Drug Interactions</w:t>
            </w:r>
          </w:p>
        </w:tc>
        <w:tc>
          <w:tcPr>
            <w:tcW w:w="3753" w:type="pct"/>
          </w:tcPr>
          <w:p w:rsidRPr="00461BAA" w:rsidR="00DA008B" w:rsidP="00B97D99" w:rsidRDefault="00DA008B" w14:paraId="40651A0B" w14:textId="77777777">
            <w:pPr>
              <w:pStyle w:val="BodyText"/>
              <w:jc w:val="left"/>
            </w:pPr>
            <w:r w:rsidRPr="00461BAA">
              <w:t>Concurrent use of immunoglobulin and live virus vaccines may result in interference with the immune response to the live vaccine. The Australian Technical Advisory Group on Immunisation (ATAGI) recommendations are below:</w:t>
            </w:r>
          </w:p>
          <w:p w:rsidRPr="00461BAA" w:rsidR="00DA008B" w:rsidP="00B97D99" w:rsidRDefault="00DA008B" w14:paraId="01A4F43D" w14:textId="77777777">
            <w:pPr>
              <w:pStyle w:val="BodyText"/>
              <w:jc w:val="left"/>
            </w:pPr>
            <w:r w:rsidRPr="00461BAA">
              <w:t>Hepatitis B vaccine is an inactivated vaccine and can be administered at any time before, after or concurrently with IVIg.</w:t>
            </w:r>
          </w:p>
          <w:p w:rsidRPr="00461BAA" w:rsidR="00DA008B" w:rsidP="00B97D99" w:rsidRDefault="00DA008B" w14:paraId="303A6C47" w14:textId="77777777">
            <w:pPr>
              <w:pStyle w:val="BodyText"/>
              <w:jc w:val="left"/>
            </w:pPr>
            <w:r w:rsidRPr="00461BAA">
              <w:t>Rotavirus vaccine may be administered at any time before, after or concurrently with any blood product, including antibody-containing products.</w:t>
            </w:r>
          </w:p>
          <w:p w:rsidRPr="00461BAA" w:rsidR="00DA008B" w:rsidP="00B97D99" w:rsidRDefault="00DA008B" w14:paraId="4C58A866" w14:textId="77777777">
            <w:pPr>
              <w:pStyle w:val="BodyText"/>
              <w:jc w:val="left"/>
            </w:pPr>
            <w:r w:rsidRPr="00461BAA">
              <w:t>BCG vaccine can be given at any time before or after administration of immunoglobulin or any antibody-containing blood product.</w:t>
            </w:r>
          </w:p>
          <w:p w:rsidRPr="00461BAA" w:rsidR="00DA008B" w:rsidP="00B97D99" w:rsidRDefault="00DA008B" w14:paraId="004136C6" w14:textId="77777777">
            <w:pPr>
              <w:pStyle w:val="BodyText"/>
              <w:jc w:val="left"/>
            </w:pPr>
            <w:r w:rsidRPr="00461BAA">
              <w:t>Following the receipt of IVIg for ITP treatment, an interval of 8–10 months should elapse before vaccination with an MMR, MMRV or varicella vaccine.</w:t>
            </w:r>
          </w:p>
          <w:p w:rsidRPr="00461BAA" w:rsidR="00DA008B" w:rsidP="00B97D99" w:rsidRDefault="00DA008B" w14:paraId="60DF0053" w14:textId="77777777">
            <w:pPr>
              <w:pStyle w:val="BodyText"/>
              <w:jc w:val="left"/>
            </w:pPr>
            <w:r w:rsidRPr="00461BAA">
              <w:t>May result in false-positive Coombs test due to passive transmission of antibodies to erythrocyte antigens.</w:t>
            </w:r>
          </w:p>
          <w:p w:rsidRPr="00461BAA" w:rsidR="00DA008B" w:rsidP="00B97D99" w:rsidRDefault="00DA008B" w14:paraId="661C6B69" w14:textId="77777777">
            <w:pPr>
              <w:pStyle w:val="BodyText"/>
              <w:jc w:val="left"/>
            </w:pPr>
            <w:r w:rsidRPr="00461BAA">
              <w:lastRenderedPageBreak/>
              <w:t>May result in a falsely elevated blood glucose measurement due to assay interference with the glucose dehydrogenase (pyrroloquinoline-quinone) method.</w:t>
            </w:r>
          </w:p>
        </w:tc>
      </w:tr>
      <w:tr w:rsidRPr="005C6C19" w:rsidR="00DA008B" w:rsidTr="0020431B" w14:paraId="54F84BAF" w14:textId="77777777">
        <w:trPr>
          <w:trHeight w:val="274"/>
        </w:trPr>
        <w:tc>
          <w:tcPr>
            <w:tcW w:w="1247" w:type="pct"/>
          </w:tcPr>
          <w:p w:rsidRPr="00DA008B" w:rsidR="00DA008B" w:rsidP="77BEE3D0" w:rsidRDefault="159DC075" w14:paraId="30018DB6" w14:textId="77777777">
            <w:pPr>
              <w:pStyle w:val="BodyText"/>
              <w:rPr>
                <w:b/>
                <w:bCs/>
                <w:sz w:val="20"/>
              </w:rPr>
            </w:pPr>
            <w:r w:rsidRPr="77BEE3D0">
              <w:rPr>
                <w:b/>
                <w:bCs/>
                <w:sz w:val="20"/>
              </w:rPr>
              <w:lastRenderedPageBreak/>
              <w:t xml:space="preserve">Adverse Reactions         </w:t>
            </w:r>
          </w:p>
          <w:p w:rsidRPr="00DA008B" w:rsidR="00DA008B" w:rsidP="77BEE3D0" w:rsidRDefault="00DA008B" w14:paraId="46A64314" w14:textId="77777777">
            <w:pPr>
              <w:pStyle w:val="BodyText"/>
              <w:rPr>
                <w:b/>
                <w:bCs/>
                <w:sz w:val="20"/>
              </w:rPr>
            </w:pPr>
          </w:p>
        </w:tc>
        <w:tc>
          <w:tcPr>
            <w:tcW w:w="3753" w:type="pct"/>
          </w:tcPr>
          <w:p w:rsidRPr="00A95DCE" w:rsidR="00DA008B" w:rsidP="00B97D99" w:rsidRDefault="00DA008B" w14:paraId="73682670" w14:textId="77777777">
            <w:pPr>
              <w:pStyle w:val="BodyText"/>
              <w:jc w:val="left"/>
            </w:pPr>
            <w:r w:rsidRPr="00A95DCE">
              <w:t>If adverse reactions occur, the first response should be to stop the infusion, then notify Medical Officer.</w:t>
            </w:r>
          </w:p>
          <w:p w:rsidRPr="00A95DCE" w:rsidR="00DA008B" w:rsidP="001B0E05" w:rsidRDefault="00DA008B" w14:paraId="7D977E29" w14:textId="77777777">
            <w:pPr>
              <w:pStyle w:val="BodyText"/>
              <w:numPr>
                <w:ilvl w:val="0"/>
                <w:numId w:val="31"/>
              </w:numPr>
              <w:jc w:val="left"/>
            </w:pPr>
            <w:r w:rsidRPr="00A95DCE">
              <w:t>Severe reactions are uncommon especially in neonates. In older patients are most likely to occur during the first infusion, but may occur subsequently.</w:t>
            </w:r>
          </w:p>
          <w:p w:rsidRPr="00A95DCE" w:rsidR="00DA008B" w:rsidP="001B0E05" w:rsidRDefault="00DA008B" w14:paraId="37CFE541" w14:textId="77777777">
            <w:pPr>
              <w:pStyle w:val="BodyText"/>
              <w:numPr>
                <w:ilvl w:val="0"/>
                <w:numId w:val="31"/>
              </w:numPr>
              <w:jc w:val="left"/>
            </w:pPr>
            <w:r w:rsidRPr="00A95DCE">
              <w:t>Anaphylactic reactions are rare: urticaria, angioedema, bronchospasm and hypotension. Anaphylactic reactions may require oxygen, adrenaline (epinephrine) and steroids depending on severity of the reaction.</w:t>
            </w:r>
          </w:p>
          <w:p w:rsidRPr="00A95DCE" w:rsidR="00DA008B" w:rsidP="001B0E05" w:rsidRDefault="00DA008B" w14:paraId="3D9AB9EB" w14:textId="77777777">
            <w:pPr>
              <w:pStyle w:val="BodyText"/>
              <w:numPr>
                <w:ilvl w:val="0"/>
                <w:numId w:val="31"/>
              </w:numPr>
              <w:jc w:val="left"/>
            </w:pPr>
            <w:r w:rsidRPr="00A95DCE">
              <w:t xml:space="preserve">More common reactions are: flushing, fever, headache, pallor, shivering and tachycardia. </w:t>
            </w:r>
          </w:p>
          <w:p w:rsidRPr="00A95DCE" w:rsidR="00DA008B" w:rsidP="001B0E05" w:rsidRDefault="00DA008B" w14:paraId="73DB34E6" w14:textId="77777777">
            <w:pPr>
              <w:pStyle w:val="BodyText"/>
              <w:numPr>
                <w:ilvl w:val="0"/>
                <w:numId w:val="31"/>
              </w:numPr>
              <w:jc w:val="left"/>
            </w:pPr>
            <w:r w:rsidRPr="00A95DCE">
              <w:t xml:space="preserve">Other reported reactions: dyspnoea, chest tightness, tachycardia or hypotension without anaphylaxis, transient haemolytic anaemia, abdominal pain and renal failure. </w:t>
            </w:r>
          </w:p>
          <w:p w:rsidRPr="00A95DCE" w:rsidR="00DA008B" w:rsidP="001B0E05" w:rsidRDefault="00DA008B" w14:paraId="3B89552A" w14:textId="77777777">
            <w:pPr>
              <w:pStyle w:val="BodyText"/>
              <w:numPr>
                <w:ilvl w:val="0"/>
                <w:numId w:val="31"/>
              </w:numPr>
              <w:jc w:val="left"/>
            </w:pPr>
            <w:r w:rsidRPr="00A95DCE">
              <w:t>Milder reactions often resolve after the infusion has been stopped. If so, after discussion with medical staff, the infusion may be recommenced at a slower rate after at least 15 minutes.</w:t>
            </w:r>
          </w:p>
          <w:p w:rsidRPr="00A95DCE" w:rsidR="00DA008B" w:rsidP="001B0E05" w:rsidRDefault="00DA008B" w14:paraId="1E94FE9B" w14:textId="77777777">
            <w:pPr>
              <w:pStyle w:val="BodyText"/>
              <w:numPr>
                <w:ilvl w:val="0"/>
                <w:numId w:val="31"/>
              </w:numPr>
              <w:jc w:val="left"/>
            </w:pPr>
            <w:r w:rsidRPr="00A95DCE">
              <w:t>Subsequent infusions should be commenced and escalated at a slower rate.</w:t>
            </w:r>
          </w:p>
        </w:tc>
      </w:tr>
      <w:tr w:rsidRPr="005C6C19" w:rsidR="00DA008B" w:rsidTr="0020431B" w14:paraId="4036E13E" w14:textId="77777777">
        <w:trPr>
          <w:trHeight w:val="396"/>
        </w:trPr>
        <w:tc>
          <w:tcPr>
            <w:tcW w:w="1247" w:type="pct"/>
          </w:tcPr>
          <w:p w:rsidRPr="00DA008B" w:rsidR="00DA008B" w:rsidP="77BEE3D0" w:rsidRDefault="159DC075" w14:paraId="547C6E6F" w14:textId="77777777">
            <w:pPr>
              <w:pStyle w:val="BodyText"/>
              <w:rPr>
                <w:b/>
                <w:bCs/>
                <w:sz w:val="20"/>
              </w:rPr>
            </w:pPr>
            <w:r w:rsidRPr="77BEE3D0">
              <w:rPr>
                <w:b/>
                <w:bCs/>
                <w:sz w:val="20"/>
              </w:rPr>
              <w:t>Compatibility</w:t>
            </w:r>
          </w:p>
          <w:p w:rsidRPr="00DA008B" w:rsidR="00DA008B" w:rsidP="77BEE3D0" w:rsidRDefault="00DA008B" w14:paraId="44A58DD0" w14:textId="77777777">
            <w:pPr>
              <w:pStyle w:val="BodyText"/>
              <w:rPr>
                <w:b/>
                <w:bCs/>
                <w:sz w:val="20"/>
              </w:rPr>
            </w:pPr>
          </w:p>
        </w:tc>
        <w:tc>
          <w:tcPr>
            <w:tcW w:w="3753" w:type="pct"/>
          </w:tcPr>
          <w:p w:rsidRPr="00DA008B" w:rsidR="00DA008B" w:rsidP="00B97D99" w:rsidRDefault="00DA008B" w14:paraId="1E3E3736" w14:textId="77777777">
            <w:pPr>
              <w:pStyle w:val="BodyText"/>
              <w:jc w:val="left"/>
            </w:pPr>
            <w:r w:rsidRPr="00DA008B">
              <w:t xml:space="preserve">Sodium chloride 0.9% for priming and flushing. Others not tested. </w:t>
            </w:r>
          </w:p>
          <w:p w:rsidRPr="00DA008B" w:rsidR="00DA008B" w:rsidP="00B97D99" w:rsidRDefault="00DA008B" w14:paraId="53D8D381" w14:textId="77777777">
            <w:pPr>
              <w:pStyle w:val="BodyText"/>
              <w:jc w:val="left"/>
            </w:pPr>
            <w:r w:rsidRPr="00DA008B">
              <w:t xml:space="preserve">Administer through a separate line. </w:t>
            </w:r>
          </w:p>
        </w:tc>
      </w:tr>
      <w:tr w:rsidRPr="005C6C19" w:rsidR="00DA008B" w:rsidTr="0020431B" w14:paraId="7D784757" w14:textId="77777777">
        <w:trPr>
          <w:trHeight w:val="70"/>
        </w:trPr>
        <w:tc>
          <w:tcPr>
            <w:tcW w:w="1247" w:type="pct"/>
          </w:tcPr>
          <w:p w:rsidRPr="00DA008B" w:rsidR="00DA008B" w:rsidP="77BEE3D0" w:rsidRDefault="159DC075" w14:paraId="146BD826" w14:textId="77777777">
            <w:pPr>
              <w:pStyle w:val="BodyText"/>
              <w:rPr>
                <w:b/>
                <w:bCs/>
                <w:sz w:val="20"/>
              </w:rPr>
            </w:pPr>
            <w:r w:rsidRPr="77BEE3D0">
              <w:rPr>
                <w:b/>
                <w:bCs/>
                <w:sz w:val="20"/>
              </w:rPr>
              <w:t xml:space="preserve">Incompatibility      </w:t>
            </w:r>
          </w:p>
        </w:tc>
        <w:tc>
          <w:tcPr>
            <w:tcW w:w="3753" w:type="pct"/>
          </w:tcPr>
          <w:p w:rsidRPr="00DA008B" w:rsidR="00DA008B" w:rsidP="00B97D99" w:rsidRDefault="00DA008B" w14:paraId="084FEE5E" w14:textId="77777777">
            <w:pPr>
              <w:pStyle w:val="BodyText"/>
              <w:jc w:val="left"/>
            </w:pPr>
            <w:r w:rsidRPr="00DA008B">
              <w:t>Compatibility with other drugs not established.</w:t>
            </w:r>
          </w:p>
        </w:tc>
      </w:tr>
      <w:tr w:rsidRPr="005C6C19" w:rsidR="00DA008B" w:rsidTr="0020431B" w14:paraId="7FD29E7A" w14:textId="77777777">
        <w:trPr>
          <w:trHeight w:val="297"/>
        </w:trPr>
        <w:tc>
          <w:tcPr>
            <w:tcW w:w="1247" w:type="pct"/>
          </w:tcPr>
          <w:p w:rsidRPr="00DA008B" w:rsidR="00DA008B" w:rsidP="77BEE3D0" w:rsidRDefault="159DC075" w14:paraId="0A55C17B" w14:textId="77777777">
            <w:pPr>
              <w:pStyle w:val="BodyText"/>
              <w:rPr>
                <w:b/>
                <w:bCs/>
                <w:sz w:val="20"/>
              </w:rPr>
            </w:pPr>
            <w:r w:rsidRPr="77BEE3D0">
              <w:rPr>
                <w:b/>
                <w:bCs/>
                <w:sz w:val="20"/>
              </w:rPr>
              <w:t xml:space="preserve">Stability              </w:t>
            </w:r>
          </w:p>
        </w:tc>
        <w:tc>
          <w:tcPr>
            <w:tcW w:w="3753" w:type="pct"/>
          </w:tcPr>
          <w:p w:rsidRPr="00DA008B" w:rsidR="00DA008B" w:rsidP="00B97D99" w:rsidRDefault="00DA008B" w14:paraId="16EC3C51" w14:textId="77777777">
            <w:pPr>
              <w:pStyle w:val="BodyText"/>
              <w:jc w:val="left"/>
            </w:pPr>
            <w:r w:rsidRPr="00DA008B">
              <w:t>Do not mix immunoglobulin products of different formulations or from different manufacturers.</w:t>
            </w:r>
          </w:p>
        </w:tc>
      </w:tr>
      <w:tr w:rsidRPr="005C6C19" w:rsidR="00DA008B" w:rsidTr="0020431B" w14:paraId="16BB4D96" w14:textId="77777777">
        <w:trPr>
          <w:trHeight w:val="371"/>
        </w:trPr>
        <w:tc>
          <w:tcPr>
            <w:tcW w:w="1247" w:type="pct"/>
          </w:tcPr>
          <w:p w:rsidRPr="00DA008B" w:rsidR="00DA008B" w:rsidP="77BEE3D0" w:rsidRDefault="159DC075" w14:paraId="4E16B138" w14:textId="77777777">
            <w:pPr>
              <w:pStyle w:val="BodyText"/>
              <w:rPr>
                <w:b/>
                <w:bCs/>
                <w:sz w:val="20"/>
              </w:rPr>
            </w:pPr>
            <w:r w:rsidRPr="77BEE3D0">
              <w:rPr>
                <w:b/>
                <w:bCs/>
                <w:sz w:val="20"/>
              </w:rPr>
              <w:t xml:space="preserve">Storage             </w:t>
            </w:r>
          </w:p>
        </w:tc>
        <w:tc>
          <w:tcPr>
            <w:tcW w:w="3753" w:type="pct"/>
          </w:tcPr>
          <w:p w:rsidRPr="00DA008B" w:rsidR="00DA008B" w:rsidP="00B97D99" w:rsidRDefault="00DA008B" w14:paraId="579997C5" w14:textId="77777777">
            <w:pPr>
              <w:pStyle w:val="BodyText"/>
              <w:jc w:val="left"/>
            </w:pPr>
            <w:r w:rsidRPr="00DA008B">
              <w:t xml:space="preserve">Store at 2 to 8 </w:t>
            </w:r>
            <w:r w:rsidRPr="00DA008B">
              <w:rPr>
                <w:rFonts w:cs="Calibri"/>
              </w:rPr>
              <w:t>°</w:t>
            </w:r>
            <w:r w:rsidRPr="00DA008B">
              <w:t>C (Refrigerate. Do not freeze). Protect from light.</w:t>
            </w:r>
          </w:p>
          <w:p w:rsidRPr="00DA008B" w:rsidR="00DA008B" w:rsidP="00B97D99" w:rsidRDefault="00DA008B" w14:paraId="3A604605" w14:textId="77777777">
            <w:pPr>
              <w:pStyle w:val="BodyText"/>
              <w:jc w:val="left"/>
            </w:pPr>
            <w:r w:rsidRPr="00DA008B">
              <w:t xml:space="preserve">Once removed from refrigeration, unopened bottles of Intragam 10 must be used within three months. </w:t>
            </w:r>
          </w:p>
          <w:p w:rsidRPr="00DA008B" w:rsidR="00DA008B" w:rsidP="00B97D99" w:rsidRDefault="00DA008B" w14:paraId="1A6B0569" w14:textId="77777777">
            <w:pPr>
              <w:pStyle w:val="BodyText"/>
              <w:jc w:val="left"/>
            </w:pPr>
            <w:r w:rsidRPr="00DA008B">
              <w:t xml:space="preserve">Intragam 10 can only be ordered from the Australian Red Cross Blood Service (ARCBS). </w:t>
            </w:r>
          </w:p>
        </w:tc>
      </w:tr>
      <w:tr w:rsidRPr="005C6C19" w:rsidR="00DA008B" w:rsidTr="0020431B" w14:paraId="2458C305" w14:textId="77777777">
        <w:trPr>
          <w:trHeight w:val="395"/>
        </w:trPr>
        <w:tc>
          <w:tcPr>
            <w:tcW w:w="1247" w:type="pct"/>
          </w:tcPr>
          <w:p w:rsidRPr="00DA008B" w:rsidR="00DA008B" w:rsidP="77BEE3D0" w:rsidRDefault="159DC075" w14:paraId="2A9C2F10" w14:textId="77777777">
            <w:pPr>
              <w:pStyle w:val="BodyText"/>
              <w:rPr>
                <w:b/>
                <w:bCs/>
                <w:sz w:val="20"/>
              </w:rPr>
            </w:pPr>
            <w:r w:rsidRPr="77BEE3D0">
              <w:rPr>
                <w:b/>
                <w:bCs/>
                <w:sz w:val="20"/>
              </w:rPr>
              <w:t xml:space="preserve">Special Comments       </w:t>
            </w:r>
          </w:p>
          <w:p w:rsidRPr="00DA008B" w:rsidR="00DA008B" w:rsidP="77BEE3D0" w:rsidRDefault="00DA008B" w14:paraId="44C63BCC" w14:textId="77777777">
            <w:pPr>
              <w:pStyle w:val="BodyText"/>
              <w:rPr>
                <w:b/>
                <w:bCs/>
                <w:sz w:val="20"/>
              </w:rPr>
            </w:pPr>
          </w:p>
        </w:tc>
        <w:tc>
          <w:tcPr>
            <w:tcW w:w="3753" w:type="pct"/>
          </w:tcPr>
          <w:p w:rsidRPr="00DA008B" w:rsidR="00DA008B" w:rsidP="00B97D99" w:rsidRDefault="00DA008B" w14:paraId="03F0E9CA" w14:textId="77777777">
            <w:pPr>
              <w:pStyle w:val="BodyText"/>
              <w:jc w:val="left"/>
            </w:pPr>
            <w:r w:rsidRPr="00DA008B">
              <w:t>Newborn infants with isoimmunisation who are considered at risk of exchange transfusion must have intensive prophylactic phototherapy as this is the intervention most likely to prevent the need for exchange transfusion.</w:t>
            </w:r>
          </w:p>
          <w:p w:rsidRPr="00DA008B" w:rsidR="00DA008B" w:rsidP="00B97D99" w:rsidRDefault="00DA008B" w14:paraId="4C459458" w14:textId="77777777">
            <w:pPr>
              <w:pStyle w:val="BodyText"/>
              <w:jc w:val="left"/>
            </w:pPr>
            <w:r w:rsidRPr="00DA008B">
              <w:t>If not yet done – newborn screening (NBS) should be performed prior to infusion and repeated as per blood transfusion/NBS policy.</w:t>
            </w:r>
          </w:p>
        </w:tc>
      </w:tr>
      <w:tr w:rsidRPr="005C6C19" w:rsidR="00DA008B" w:rsidTr="0020431B" w14:paraId="69F046A0" w14:textId="77777777">
        <w:trPr>
          <w:trHeight w:val="1071"/>
        </w:trPr>
        <w:tc>
          <w:tcPr>
            <w:tcW w:w="1247" w:type="pct"/>
          </w:tcPr>
          <w:p w:rsidRPr="00DA008B" w:rsidR="00DA008B" w:rsidP="77BEE3D0" w:rsidRDefault="159DC075" w14:paraId="7C3E627E" w14:textId="77777777">
            <w:pPr>
              <w:pStyle w:val="BodyText"/>
              <w:rPr>
                <w:b/>
                <w:bCs/>
                <w:sz w:val="20"/>
              </w:rPr>
            </w:pPr>
            <w:r w:rsidRPr="77BEE3D0">
              <w:rPr>
                <w:b/>
                <w:bCs/>
                <w:sz w:val="20"/>
              </w:rPr>
              <w:t>Evidence summary</w:t>
            </w:r>
          </w:p>
        </w:tc>
        <w:tc>
          <w:tcPr>
            <w:tcW w:w="3753" w:type="pct"/>
          </w:tcPr>
          <w:p w:rsidRPr="008944C2" w:rsidR="00DA008B" w:rsidP="00B97D99" w:rsidRDefault="00DA008B" w14:paraId="00556726" w14:textId="77777777">
            <w:pPr>
              <w:pStyle w:val="BodyText"/>
              <w:jc w:val="left"/>
              <w:rPr>
                <w:sz w:val="16"/>
                <w:szCs w:val="16"/>
              </w:rPr>
            </w:pPr>
            <w:r w:rsidRPr="008944C2">
              <w:rPr>
                <w:sz w:val="16"/>
                <w:szCs w:val="16"/>
              </w:rPr>
              <w:t xml:space="preserve">Efficacy: </w:t>
            </w:r>
          </w:p>
          <w:p w:rsidRPr="008944C2" w:rsidR="00DA008B" w:rsidP="00B97D99" w:rsidRDefault="00DA008B" w14:paraId="6762DB85" w14:textId="77777777">
            <w:pPr>
              <w:pStyle w:val="BodyText"/>
              <w:jc w:val="left"/>
              <w:rPr>
                <w:sz w:val="16"/>
                <w:szCs w:val="16"/>
              </w:rPr>
            </w:pPr>
            <w:r w:rsidRPr="008944C2">
              <w:rPr>
                <w:b/>
                <w:sz w:val="16"/>
                <w:szCs w:val="16"/>
              </w:rPr>
              <w:t xml:space="preserve">Newborn infants with isoimmunisation: </w:t>
            </w:r>
            <w:r w:rsidRPr="008944C2">
              <w:rPr>
                <w:sz w:val="16"/>
                <w:szCs w:val="16"/>
              </w:rPr>
              <w:t xml:space="preserve">Systematic review included 12 studies, 10 trials (n = 463) of Rh isoimmunisation and 2 trials (n = 350) of ABO isoimmunisation. Studies with a high risk of bias showed that IVIg reduced the rate of exchange transfusion (ET) in Rh isoimmunisation (RR 0.23, 95% CI 0.13 to 0.40), whereas studies with a low risk of bias that also used prophylactic phototherapy did not show statistically significant differences (RR 0.82, 95% CI 0.53 to 1.26). </w:t>
            </w:r>
            <w:r w:rsidRPr="008944C2">
              <w:rPr>
                <w:noProof/>
                <w:sz w:val="16"/>
                <w:szCs w:val="16"/>
              </w:rPr>
              <w:t>[1, 2]</w:t>
            </w:r>
            <w:r w:rsidRPr="008944C2">
              <w:rPr>
                <w:sz w:val="16"/>
                <w:szCs w:val="16"/>
              </w:rPr>
              <w:t xml:space="preserve"> (LOE ,I GOR C) For ABO isoimmunisation, only studies with a high risk of bias were available and meta-analysis revealed efficacy of IVIg in reducing ET (RR 0.31, 95% CI 0.18 to 0.55). Role of IVIg in ABO disease is not clear.</w:t>
            </w:r>
            <w:r w:rsidRPr="008944C2">
              <w:rPr>
                <w:noProof/>
                <w:sz w:val="16"/>
                <w:szCs w:val="16"/>
              </w:rPr>
              <w:t>[1, 3]</w:t>
            </w:r>
            <w:r w:rsidRPr="008944C2">
              <w:rPr>
                <w:sz w:val="16"/>
                <w:szCs w:val="16"/>
              </w:rPr>
              <w:t xml:space="preserve"> (LOE I, GOR C)</w:t>
            </w:r>
          </w:p>
          <w:p w:rsidRPr="008944C2" w:rsidR="00DA008B" w:rsidP="00B97D99" w:rsidRDefault="00DA008B" w14:paraId="568C586E" w14:textId="77777777">
            <w:pPr>
              <w:pStyle w:val="BodyText"/>
              <w:jc w:val="left"/>
              <w:rPr>
                <w:sz w:val="16"/>
                <w:szCs w:val="16"/>
              </w:rPr>
            </w:pPr>
            <w:r w:rsidRPr="008944C2">
              <w:rPr>
                <w:sz w:val="16"/>
                <w:szCs w:val="16"/>
              </w:rPr>
              <w:lastRenderedPageBreak/>
              <w:t>Recommendations: The National Blood Authority Patient Blood Management Guidelines for Neonatal and Paediatrics: In neonates with haemolytic disease of the fetus and newborn, the use of IVIg is not recommended.</w:t>
            </w:r>
            <w:r w:rsidRPr="008944C2">
              <w:rPr>
                <w:noProof/>
                <w:sz w:val="16"/>
                <w:szCs w:val="16"/>
              </w:rPr>
              <w:t>[4]</w:t>
            </w:r>
            <w:r w:rsidRPr="008944C2">
              <w:rPr>
                <w:sz w:val="16"/>
                <w:szCs w:val="16"/>
              </w:rPr>
              <w:t xml:space="preserve"> </w:t>
            </w:r>
          </w:p>
          <w:p w:rsidRPr="008944C2" w:rsidR="00DA008B" w:rsidP="00B97D99" w:rsidRDefault="00DA008B" w14:paraId="61295764" w14:textId="77777777">
            <w:pPr>
              <w:pStyle w:val="BodyText"/>
              <w:jc w:val="left"/>
              <w:rPr>
                <w:sz w:val="16"/>
                <w:szCs w:val="16"/>
              </w:rPr>
            </w:pPr>
            <w:r w:rsidRPr="008944C2">
              <w:rPr>
                <w:sz w:val="16"/>
                <w:szCs w:val="16"/>
              </w:rPr>
              <w:t xml:space="preserve">However, the NICE Practice Guideline recommends: use intravenous immunoglobulin 500 mg/kg over 4 hours as an adjunct to continuous intensified phototherapy in cases of rhesus haemolytic disease or ABO haemolytic disease when the serum bilirubin continues to rise by more than 8.5 µmol/litre per hour [5]. The AAP Subcommittee on Hyperbilirubinemia Clinical Practice Guideline 2004 recommends: In infants with isoimmune haemolytic disease and TSB level rising in spite of intensive phototherapy or within 2–3 mg/dL (34–51 µmol/L) of exchange level, administer intravenous immunoglobulin 0.5–1 g/kg over 2 hours and repeat in 12 hours if necessary.[6] </w:t>
            </w:r>
          </w:p>
          <w:p w:rsidRPr="008944C2" w:rsidR="00DA008B" w:rsidP="00B97D99" w:rsidRDefault="00DA008B" w14:paraId="0A0A7298" w14:textId="77777777">
            <w:pPr>
              <w:pStyle w:val="BodyText"/>
              <w:jc w:val="left"/>
              <w:rPr>
                <w:sz w:val="16"/>
                <w:szCs w:val="16"/>
              </w:rPr>
            </w:pPr>
            <w:r w:rsidRPr="008944C2">
              <w:rPr>
                <w:b/>
                <w:sz w:val="16"/>
                <w:szCs w:val="16"/>
              </w:rPr>
              <w:t xml:space="preserve">Intravenous immunoglobulin for suspected or proven infection in neonates: </w:t>
            </w:r>
            <w:r w:rsidRPr="008944C2">
              <w:rPr>
                <w:sz w:val="16"/>
                <w:szCs w:val="16"/>
              </w:rPr>
              <w:t xml:space="preserve">The results of the INIS trial, which enrolled 3493 infants, and meta-analyses (n = 3973) showed no reduction in mortality during hospital stay or death or major disability at two years of age. Although based on a small sample size (n = 266), IgM-enriched IVIg does not significantly reduce mortality during hospital stay in infants with suspected infection. </w:t>
            </w:r>
          </w:p>
          <w:p w:rsidRPr="008944C2" w:rsidR="00DA008B" w:rsidP="00B97D99" w:rsidRDefault="00DA008B" w14:paraId="4DDAEDD6" w14:textId="77777777">
            <w:pPr>
              <w:pStyle w:val="BodyText"/>
              <w:jc w:val="left"/>
              <w:rPr>
                <w:sz w:val="16"/>
                <w:szCs w:val="16"/>
              </w:rPr>
            </w:pPr>
            <w:r w:rsidRPr="008944C2">
              <w:rPr>
                <w:sz w:val="16"/>
                <w:szCs w:val="16"/>
              </w:rPr>
              <w:t>Routine administration of IVIg or IgM-enriched IVIg to prevent mortality in infants with suspected or proven neonatal infection is not recommended.</w:t>
            </w:r>
            <w:r w:rsidRPr="008944C2">
              <w:rPr>
                <w:noProof/>
                <w:sz w:val="16"/>
                <w:szCs w:val="16"/>
              </w:rPr>
              <w:t>[7]</w:t>
            </w:r>
            <w:r w:rsidRPr="008944C2">
              <w:rPr>
                <w:sz w:val="16"/>
                <w:szCs w:val="16"/>
              </w:rPr>
              <w:t xml:space="preserve"> (LOE I, GOR A)</w:t>
            </w:r>
          </w:p>
          <w:p w:rsidRPr="008944C2" w:rsidR="00DA008B" w:rsidP="00B97D99" w:rsidRDefault="00DA008B" w14:paraId="62E3028E" w14:textId="77777777">
            <w:pPr>
              <w:pStyle w:val="BodyText"/>
              <w:jc w:val="left"/>
              <w:rPr>
                <w:sz w:val="16"/>
                <w:szCs w:val="16"/>
              </w:rPr>
            </w:pPr>
            <w:r w:rsidRPr="008944C2">
              <w:rPr>
                <w:b/>
                <w:sz w:val="16"/>
                <w:szCs w:val="16"/>
              </w:rPr>
              <w:t>Intravenous immunoglobulin for preventing infection in preterm and/or low birth weight infants:</w:t>
            </w:r>
            <w:r w:rsidRPr="008944C2">
              <w:rPr>
                <w:sz w:val="16"/>
                <w:szCs w:val="16"/>
              </w:rPr>
              <w:t xml:space="preserve"> IVIg administration results in a 3% reduction in sepsis and a 4% reduction in one or more episodes of any serious infection but is not associated with reductions in other clinically important outcomes, including mortality. Prophylactic use of IVIg is not associated with any short-term serious side effects. The decision to use prophylactic IVIg will depend on the costs and the values assigned to the clinical outcomes.</w:t>
            </w:r>
            <w:r w:rsidRPr="008944C2">
              <w:rPr>
                <w:noProof/>
                <w:sz w:val="16"/>
                <w:szCs w:val="16"/>
              </w:rPr>
              <w:t>[8]</w:t>
            </w:r>
            <w:r w:rsidRPr="008944C2">
              <w:rPr>
                <w:sz w:val="16"/>
                <w:szCs w:val="16"/>
              </w:rPr>
              <w:t xml:space="preserve"> (LOE I, GOR B)</w:t>
            </w:r>
          </w:p>
          <w:p w:rsidRPr="008944C2" w:rsidR="00DA008B" w:rsidP="00B97D99" w:rsidRDefault="00DA008B" w14:paraId="39E5FD4B" w14:textId="77777777">
            <w:pPr>
              <w:rPr>
                <w:sz w:val="16"/>
                <w:szCs w:val="16"/>
              </w:rPr>
            </w:pPr>
            <w:r w:rsidRPr="008944C2">
              <w:rPr>
                <w:b/>
                <w:sz w:val="16"/>
                <w:szCs w:val="16"/>
              </w:rPr>
              <w:t xml:space="preserve">Fetal and neonatal alloimmune thrombocytopenia (F-NAIT): </w:t>
            </w:r>
            <w:r w:rsidRPr="008944C2">
              <w:rPr>
                <w:sz w:val="16"/>
                <w:szCs w:val="16"/>
              </w:rPr>
              <w:t>National Blood Authority Patient Blood Management Guidelines for Neonatal and Paediatrics: There are case reports of IVIg for NAIT. For neonates with F-NAIT, IVIg may be considered. Treatment of the neonate: 1 g/kg. Occasionally more than one dose is required if thrombocytopenia persists. [4] (LOE IV, GOR C/D)</w:t>
            </w:r>
          </w:p>
          <w:p w:rsidRPr="008944C2" w:rsidR="00DA008B" w:rsidP="00B97D99" w:rsidRDefault="00DA008B" w14:paraId="4732FBD0" w14:textId="77777777">
            <w:pPr>
              <w:rPr>
                <w:sz w:val="16"/>
                <w:szCs w:val="16"/>
              </w:rPr>
            </w:pPr>
            <w:r w:rsidRPr="008944C2">
              <w:rPr>
                <w:b/>
                <w:sz w:val="16"/>
                <w:szCs w:val="16"/>
              </w:rPr>
              <w:t>Neonatal myasthenia gravis:</w:t>
            </w:r>
            <w:r w:rsidRPr="008944C2">
              <w:rPr>
                <w:sz w:val="16"/>
                <w:szCs w:val="16"/>
              </w:rPr>
              <w:t xml:space="preserve"> Several case reports of variable response to IVIg up to 2 g/kg in infants with neonatal myasthenia gravis.</w:t>
            </w:r>
            <w:r w:rsidRPr="008944C2">
              <w:rPr>
                <w:noProof/>
                <w:sz w:val="16"/>
                <w:szCs w:val="16"/>
              </w:rPr>
              <w:t>[9-12]</w:t>
            </w:r>
            <w:r w:rsidRPr="008944C2">
              <w:rPr>
                <w:sz w:val="16"/>
                <w:szCs w:val="16"/>
              </w:rPr>
              <w:t xml:space="preserve"> (LOE IV, GOR C)</w:t>
            </w:r>
          </w:p>
          <w:p w:rsidRPr="008944C2" w:rsidR="00DA008B" w:rsidP="00B97D99" w:rsidRDefault="00DA008B" w14:paraId="09F3450A" w14:textId="77777777">
            <w:pPr>
              <w:rPr>
                <w:noProof/>
                <w:sz w:val="16"/>
                <w:szCs w:val="16"/>
              </w:rPr>
            </w:pPr>
            <w:r w:rsidRPr="008944C2">
              <w:rPr>
                <w:b/>
                <w:sz w:val="16"/>
                <w:szCs w:val="16"/>
              </w:rPr>
              <w:t xml:space="preserve">Newborns with severe enterovirus infection: </w:t>
            </w:r>
            <w:r w:rsidRPr="008944C2">
              <w:rPr>
                <w:sz w:val="16"/>
                <w:szCs w:val="16"/>
              </w:rPr>
              <w:t xml:space="preserve">In infants &lt;7 days age at presentation with severe enterovirus infection (hepatitis with coagulopathy and thrombocytopenia) caused by coxsackievirus B, early IVIg therapy 2–2.5 g/kg was independently associated with a favourable prognosis. </w:t>
            </w:r>
            <w:r w:rsidRPr="008944C2">
              <w:rPr>
                <w:noProof/>
                <w:sz w:val="16"/>
                <w:szCs w:val="16"/>
              </w:rPr>
              <w:t xml:space="preserve">[13] </w:t>
            </w:r>
            <w:r w:rsidRPr="008944C2">
              <w:rPr>
                <w:sz w:val="16"/>
                <w:szCs w:val="16"/>
              </w:rPr>
              <w:t>(LOE IV, GOR C)</w:t>
            </w:r>
          </w:p>
          <w:p w:rsidRPr="008944C2" w:rsidR="00DA008B" w:rsidP="00B97D99" w:rsidRDefault="00DA008B" w14:paraId="54AC4861" w14:textId="77777777">
            <w:pPr>
              <w:rPr>
                <w:sz w:val="16"/>
                <w:szCs w:val="16"/>
              </w:rPr>
            </w:pPr>
            <w:r w:rsidRPr="008944C2">
              <w:rPr>
                <w:b/>
                <w:sz w:val="16"/>
                <w:szCs w:val="16"/>
              </w:rPr>
              <w:t>Neonatal hemochromatosis – gestational alloimmune liver disease (GALD):</w:t>
            </w:r>
            <w:r w:rsidRPr="008944C2">
              <w:rPr>
                <w:sz w:val="16"/>
                <w:szCs w:val="16"/>
              </w:rPr>
              <w:t xml:space="preserve"> No controlled clinical trials have assessed the efficacy of IVIg for GALD. Several observational studies reported improved outcomes of pregnancies at risk of GALD with antenatal IVIg. [14–16] There is less evidence for use of postnatal IVIg in infants with GALD. In the largest, historical control study, the majority received either no disease directed therapy (N = 46) or a cocktail of chelation and antioxidants (N = 54). Their overall rate of survival was 13%. IVIg/double volume exchange therapy was applied to 20 patients, with 9 (45%) surviving, and 14 received a liver transplant with 6 (43%) surviving. [17] National Blood Authority proposed recommendation: Neonate with neonatal hemochromatosis – Maintenance IVIg 1–2 g/kg following exchange transfusion in the first 7 days and then 1 g/kg weekly, as required. The aim should be to use the lowest dose possible that achieves the appropriate clinical outcome for each patient. Dosing above 1 g/kg per day is contraindicated for some IVIg products. [18] [LOE III-3, GOR C]</w:t>
            </w:r>
          </w:p>
          <w:p w:rsidRPr="008944C2" w:rsidR="00DA008B" w:rsidP="00B97D99" w:rsidRDefault="00DA008B" w14:paraId="70619078" w14:textId="77777777">
            <w:pPr>
              <w:rPr>
                <w:b/>
                <w:sz w:val="16"/>
                <w:szCs w:val="16"/>
              </w:rPr>
            </w:pPr>
            <w:r w:rsidRPr="008944C2">
              <w:rPr>
                <w:b/>
                <w:sz w:val="16"/>
                <w:szCs w:val="16"/>
              </w:rPr>
              <w:t xml:space="preserve">Safety: </w:t>
            </w:r>
            <w:r w:rsidRPr="008944C2">
              <w:rPr>
                <w:sz w:val="16"/>
                <w:szCs w:val="16"/>
              </w:rPr>
              <w:t>Donors are screened for antibodies to HIV and Hepatitis B and C. Prophylactic use of IVIg has not been associated with any short-term serious side effects in newborns.</w:t>
            </w:r>
            <w:r w:rsidRPr="008944C2">
              <w:rPr>
                <w:noProof/>
                <w:sz w:val="16"/>
                <w:szCs w:val="16"/>
              </w:rPr>
              <w:t>[7]</w:t>
            </w:r>
          </w:p>
        </w:tc>
      </w:tr>
      <w:tr w:rsidRPr="005C6C19" w:rsidR="00DA008B" w:rsidTr="0020431B" w14:paraId="697CDD2F" w14:textId="77777777">
        <w:trPr>
          <w:trHeight w:val="361"/>
        </w:trPr>
        <w:tc>
          <w:tcPr>
            <w:tcW w:w="1247" w:type="pct"/>
          </w:tcPr>
          <w:p w:rsidRPr="00DA008B" w:rsidR="00DA008B" w:rsidP="77BEE3D0" w:rsidRDefault="159DC075" w14:paraId="41D24BDB" w14:textId="77777777">
            <w:pPr>
              <w:pStyle w:val="BodyText"/>
              <w:rPr>
                <w:rFonts w:cs="Arial"/>
                <w:b/>
                <w:bCs/>
                <w:sz w:val="20"/>
              </w:rPr>
            </w:pPr>
            <w:r w:rsidRPr="77BEE3D0">
              <w:rPr>
                <w:b/>
                <w:bCs/>
                <w:sz w:val="20"/>
              </w:rPr>
              <w:lastRenderedPageBreak/>
              <w:t>References</w:t>
            </w:r>
          </w:p>
        </w:tc>
        <w:tc>
          <w:tcPr>
            <w:tcW w:w="3753" w:type="pct"/>
          </w:tcPr>
          <w:p w:rsidRPr="008944C2" w:rsidR="00DA008B" w:rsidP="00B97D99" w:rsidRDefault="00DA008B" w14:paraId="3BB4E155" w14:textId="77777777">
            <w:pPr>
              <w:pStyle w:val="EndNoteBibliography"/>
              <w:rPr>
                <w:sz w:val="16"/>
                <w:szCs w:val="16"/>
              </w:rPr>
            </w:pPr>
            <w:r w:rsidRPr="008944C2">
              <w:rPr>
                <w:sz w:val="16"/>
                <w:szCs w:val="16"/>
              </w:rPr>
              <w:t>1. Louis D, More K, Oberoi S, Shah PS. Intravenous immunoglobulin in isoimmune haemolytic disease of newborn: an updated systematic review and meta-analysis. Arch Dis Child Fetal Neonatal Ed. 2014;99:F325-31.</w:t>
            </w:r>
          </w:p>
          <w:p w:rsidRPr="008944C2" w:rsidR="00DA008B" w:rsidP="00B97D99" w:rsidRDefault="00DA008B" w14:paraId="25354C60" w14:textId="77777777">
            <w:pPr>
              <w:pStyle w:val="EndNoteBibliography"/>
              <w:rPr>
                <w:sz w:val="16"/>
                <w:szCs w:val="16"/>
              </w:rPr>
            </w:pPr>
            <w:r w:rsidRPr="008944C2">
              <w:rPr>
                <w:sz w:val="16"/>
                <w:szCs w:val="16"/>
              </w:rPr>
              <w:t>2. Zwiers C et al. Immunoglobulin for alloimmune hemolytic disease in neonates. Cochrane Database Syst Rev. 2018 Mar 18;3:CD003313. doi: 10.1002/14651858.CD003313.pub2. PubMed PMID:29551014</w:t>
            </w:r>
          </w:p>
          <w:p w:rsidRPr="008944C2" w:rsidR="00DA008B" w:rsidP="00B97D99" w:rsidRDefault="00DA008B" w14:paraId="08BFD831" w14:textId="77777777">
            <w:pPr>
              <w:pStyle w:val="EndNoteBibliography"/>
              <w:rPr>
                <w:sz w:val="16"/>
                <w:szCs w:val="16"/>
              </w:rPr>
            </w:pPr>
            <w:r w:rsidRPr="008944C2">
              <w:rPr>
                <w:sz w:val="16"/>
                <w:szCs w:val="16"/>
              </w:rPr>
              <w:t>3. Cortey A, Elzaabi M, Waegemans T, Roch B, Aujard Y. [Efficacy and safety of intravenous immunoglobulins in the management of neonatal hyperbilirubinemia due to ABO incompatibility: a meta-analysis]. Arch Pediatr. 2014;21:976-83.</w:t>
            </w:r>
          </w:p>
          <w:p w:rsidRPr="008944C2" w:rsidR="00DA008B" w:rsidP="00B97D99" w:rsidRDefault="00DA008B" w14:paraId="42D5970F" w14:textId="77777777">
            <w:pPr>
              <w:pStyle w:val="EndNoteBibliography"/>
              <w:rPr>
                <w:sz w:val="16"/>
                <w:szCs w:val="16"/>
              </w:rPr>
            </w:pPr>
            <w:r w:rsidRPr="008944C2">
              <w:rPr>
                <w:sz w:val="16"/>
                <w:szCs w:val="16"/>
              </w:rPr>
              <w:t>4. National Blood Authority (NBA). Patient Blood Management Guidelines: Module 6 – Neonatal and Paediatrics. NBA, Canberra, Australia. 2016.</w:t>
            </w:r>
          </w:p>
          <w:p w:rsidRPr="008944C2" w:rsidR="00DA008B" w:rsidP="00B97D99" w:rsidRDefault="00DA008B" w14:paraId="1710EA53" w14:textId="77777777">
            <w:pPr>
              <w:pStyle w:val="EndNoteBibliography"/>
              <w:rPr>
                <w:sz w:val="16"/>
                <w:szCs w:val="16"/>
              </w:rPr>
            </w:pPr>
            <w:r w:rsidRPr="008944C2">
              <w:rPr>
                <w:sz w:val="16"/>
                <w:szCs w:val="16"/>
              </w:rPr>
              <w:t>5. American Academy of Pediatrics Subcommittee on H. Management of hyperbilirubinemia in the newborn infant 35 or more weeks of gestation. Pediatrics. 2004;114:297-316.</w:t>
            </w:r>
          </w:p>
          <w:p w:rsidRPr="008944C2" w:rsidR="00DA008B" w:rsidP="00B97D99" w:rsidRDefault="00DA008B" w14:paraId="7EFA3DC0" w14:textId="77777777">
            <w:pPr>
              <w:pStyle w:val="EndNoteBibliography"/>
              <w:rPr>
                <w:sz w:val="16"/>
                <w:szCs w:val="16"/>
              </w:rPr>
            </w:pPr>
            <w:r w:rsidRPr="008944C2">
              <w:rPr>
                <w:sz w:val="16"/>
                <w:szCs w:val="16"/>
              </w:rPr>
              <w:t xml:space="preserve">6. NICE Guideline. Jaundice in newborn babies under 28 days. Clinical guideline Published: 19 May 2010 nice.org.uk/guidance/cg98 </w:t>
            </w:r>
          </w:p>
          <w:p w:rsidRPr="008944C2" w:rsidR="00DA008B" w:rsidP="00B97D99" w:rsidRDefault="00DA008B" w14:paraId="611FF984" w14:textId="77777777">
            <w:pPr>
              <w:pStyle w:val="EndNoteBibliography"/>
              <w:rPr>
                <w:sz w:val="16"/>
                <w:szCs w:val="16"/>
              </w:rPr>
            </w:pPr>
            <w:r w:rsidRPr="008944C2">
              <w:rPr>
                <w:sz w:val="16"/>
                <w:szCs w:val="16"/>
              </w:rPr>
              <w:t>7. Ohlsson A, Lacy JB. Intravenous immunoglobulin for suspected or proven infection in neonates. Cochrane Database Syst Rev. 2015:CD001239.</w:t>
            </w:r>
          </w:p>
          <w:p w:rsidRPr="008944C2" w:rsidR="00DA008B" w:rsidP="00B97D99" w:rsidRDefault="00DA008B" w14:paraId="22B42614" w14:textId="77777777">
            <w:pPr>
              <w:pStyle w:val="EndNoteBibliography"/>
              <w:rPr>
                <w:sz w:val="16"/>
                <w:szCs w:val="16"/>
              </w:rPr>
            </w:pPr>
            <w:r w:rsidRPr="008944C2">
              <w:rPr>
                <w:sz w:val="16"/>
                <w:szCs w:val="16"/>
              </w:rPr>
              <w:t>8. Ohlsson A, Lacy JB. Intravenous immunoglobulin for preventing infection in preterm and/or low birth weight infants. Cochrane Database Syst Rev. 2013:CD000361.</w:t>
            </w:r>
          </w:p>
          <w:p w:rsidRPr="008944C2" w:rsidR="00DA008B" w:rsidP="00B97D99" w:rsidRDefault="00DA008B" w14:paraId="7425A108" w14:textId="77777777">
            <w:pPr>
              <w:pStyle w:val="EndNoteBibliography"/>
              <w:rPr>
                <w:sz w:val="16"/>
                <w:szCs w:val="16"/>
              </w:rPr>
            </w:pPr>
            <w:r w:rsidRPr="008944C2">
              <w:rPr>
                <w:sz w:val="16"/>
                <w:szCs w:val="16"/>
              </w:rPr>
              <w:t>9. Zifman E, Litmanovitz I, Segal G, Regev R, Watemberg N. Marked hypotonia in an infant of a mother with Devic disease. J Child Neurol. 2010;25:746-7.</w:t>
            </w:r>
          </w:p>
          <w:p w:rsidRPr="008944C2" w:rsidR="00DA008B" w:rsidP="00B97D99" w:rsidRDefault="00DA008B" w14:paraId="629FB2F4" w14:textId="77777777">
            <w:pPr>
              <w:pStyle w:val="EndNoteBibliography"/>
              <w:rPr>
                <w:sz w:val="16"/>
                <w:szCs w:val="16"/>
              </w:rPr>
            </w:pPr>
            <w:r w:rsidRPr="008944C2">
              <w:rPr>
                <w:sz w:val="16"/>
                <w:szCs w:val="16"/>
              </w:rPr>
              <w:t>10. O'Carroll P, Bertorini TE, Jacob G, Mitchell CW, Graff J. Transient neonatal myasthenia gravis in a baby born to a mother with new-onset anti-MuSK-mediated myasthenia gravis. J. 2009;11:69-71.</w:t>
            </w:r>
          </w:p>
          <w:p w:rsidRPr="008944C2" w:rsidR="00DA008B" w:rsidP="00B97D99" w:rsidRDefault="00DA008B" w14:paraId="23A12F02" w14:textId="77777777">
            <w:pPr>
              <w:pStyle w:val="EndNoteBibliography"/>
              <w:rPr>
                <w:sz w:val="16"/>
                <w:szCs w:val="16"/>
              </w:rPr>
            </w:pPr>
            <w:r w:rsidRPr="008944C2">
              <w:rPr>
                <w:sz w:val="16"/>
                <w:szCs w:val="16"/>
              </w:rPr>
              <w:t>11. Tagher RJ, Baumann R, Desai N. Failure of intravenously administered immunoglobulin in the treatment of neonatal myasthenia gravis. J Pediatr. 1999;134:233-5.</w:t>
            </w:r>
          </w:p>
          <w:p w:rsidRPr="008944C2" w:rsidR="00DA008B" w:rsidP="00B97D99" w:rsidRDefault="00DA008B" w14:paraId="79951692" w14:textId="77777777">
            <w:pPr>
              <w:pStyle w:val="EndNoteBibliography"/>
              <w:rPr>
                <w:sz w:val="16"/>
                <w:szCs w:val="16"/>
              </w:rPr>
            </w:pPr>
            <w:r w:rsidRPr="008944C2">
              <w:rPr>
                <w:sz w:val="16"/>
                <w:szCs w:val="16"/>
              </w:rPr>
              <w:lastRenderedPageBreak/>
              <w:t>12. Bassan H, Muhlbaur B, Tomer A, Spirer Z. High-dose intravenous immunoglobulin in transient neonatal myasthenia gravis. Pediatr Neurol. 1998;18:181-3.</w:t>
            </w:r>
          </w:p>
          <w:p w:rsidRPr="008944C2" w:rsidR="00DA008B" w:rsidP="00B97D99" w:rsidRDefault="00DA008B" w14:paraId="678FDDBE" w14:textId="77777777">
            <w:pPr>
              <w:pStyle w:val="EndNoteBibliography"/>
              <w:rPr>
                <w:sz w:val="16"/>
                <w:szCs w:val="16"/>
              </w:rPr>
            </w:pPr>
            <w:r w:rsidRPr="008944C2">
              <w:rPr>
                <w:sz w:val="16"/>
                <w:szCs w:val="16"/>
              </w:rPr>
              <w:t>13. Yen MH, Huang YC, Chen MC, Liu CC, Chiu NC, Lien R, Chang LY, Chiu CH, Tsao KC, Lin TY. Effect of intravenous immunoglobulin for neonates with severe enteroviral infections with emphasis on the timing of administration. J Clin Virol. 2015;64:92-6.</w:t>
            </w:r>
          </w:p>
          <w:p w:rsidRPr="008944C2" w:rsidR="00DA008B" w:rsidP="00B97D99" w:rsidRDefault="00DA008B" w14:paraId="153AA1DC" w14:textId="77777777">
            <w:pPr>
              <w:pStyle w:val="EndNoteBibliography"/>
              <w:rPr>
                <w:sz w:val="16"/>
                <w:szCs w:val="16"/>
              </w:rPr>
            </w:pPr>
            <w:r w:rsidRPr="008944C2">
              <w:rPr>
                <w:sz w:val="16"/>
                <w:szCs w:val="16"/>
              </w:rPr>
              <w:t>14. Whitington PF, Kelly S, Taylor SA, Nobrega S, Schreiber RA, Sokal EM, Hibbard JU. Antenatal Treatment with Intravenous Immunoglobulin to Prevent Gestational Alloimmune Liver Disease: Comparative Effectiveness of 14-Week versus 18-Week Initiation. Fetal Diagnosis and Therapy. 2018;43:218-25.</w:t>
            </w:r>
          </w:p>
          <w:p w:rsidRPr="008944C2" w:rsidR="00DA008B" w:rsidP="00B97D99" w:rsidRDefault="00DA008B" w14:paraId="0560349D" w14:textId="77777777">
            <w:pPr>
              <w:pStyle w:val="EndNoteBibliography"/>
              <w:rPr>
                <w:sz w:val="16"/>
                <w:szCs w:val="16"/>
              </w:rPr>
            </w:pPr>
            <w:r w:rsidRPr="008944C2">
              <w:rPr>
                <w:sz w:val="16"/>
                <w:szCs w:val="16"/>
              </w:rPr>
              <w:t>15. Lee SS, Lee CH, Kawada P, O'Loughlin E V, Magoffin A, Gaskin KJ, Stormon MO. Long term outcome of neonatal hemochromatosis: A review of two decades of experience. Journal of Gastroenterology and Hepatology (Australia). 2014;2):152.</w:t>
            </w:r>
          </w:p>
          <w:p w:rsidRPr="008944C2" w:rsidR="00DA008B" w:rsidP="00B97D99" w:rsidRDefault="00DA008B" w14:paraId="56CF2DA5" w14:textId="77777777">
            <w:pPr>
              <w:pStyle w:val="EndNoteBibliography"/>
              <w:rPr>
                <w:sz w:val="16"/>
                <w:szCs w:val="16"/>
              </w:rPr>
            </w:pPr>
            <w:r w:rsidRPr="008944C2">
              <w:rPr>
                <w:sz w:val="16"/>
                <w:szCs w:val="16"/>
              </w:rPr>
              <w:t>16. Baruteau J, Heissat S, Broue P, Collardeau-Frachon S, Bouvier R, Fabre M, Debiec H, Ronco P, Uzan M, Narcy P, Cordier MP, Lachaux A, Lamireau T, Elleau C, Filet JP, Mitanchez D, Dupuy MP, Salaun JF, Odent S, Davison J, Debray D, Guigonis V. Transient neonatal liver disease after maternal antenatal intravenous IG infusions in gestational alloimmune liver disease associated with neonatal haemochromatosis. Journal of Pediatric Gastroenterology and Nutrition. 2014;59:629-35.</w:t>
            </w:r>
          </w:p>
          <w:p w:rsidRPr="008944C2" w:rsidR="00DA008B" w:rsidP="00B97D99" w:rsidRDefault="00DA008B" w14:paraId="6516FF23" w14:textId="77777777">
            <w:pPr>
              <w:pStyle w:val="EndNoteBibliography"/>
              <w:rPr>
                <w:sz w:val="16"/>
                <w:szCs w:val="16"/>
              </w:rPr>
            </w:pPr>
            <w:r w:rsidRPr="008944C2">
              <w:rPr>
                <w:sz w:val="16"/>
                <w:szCs w:val="16"/>
              </w:rPr>
              <w:t>17. Taylor SA, Kelly S, Alonso EM, Whitington PF. The Effects of Gestational Alloimmune Liver Disease on Fetal and Infant Morbidity and Mortality. Journal of Pediatrics. 2018;196:123-8.</w:t>
            </w:r>
          </w:p>
          <w:p w:rsidRPr="008944C2" w:rsidR="00DA008B" w:rsidP="00B97D99" w:rsidRDefault="00DA008B" w14:paraId="3E46C6A5" w14:textId="77777777">
            <w:pPr>
              <w:pStyle w:val="EndNoteBibliography"/>
              <w:rPr>
                <w:sz w:val="16"/>
                <w:szCs w:val="16"/>
              </w:rPr>
            </w:pPr>
            <w:r w:rsidRPr="008944C2">
              <w:rPr>
                <w:sz w:val="16"/>
                <w:szCs w:val="16"/>
              </w:rPr>
              <w:t xml:space="preserve">18. National Blood Authority Specialist  Working Group for Haematology. Proposed changes to the criteria for the clinical use of intravenous immunoglobulin in Australia, Second Edition 2012. </w:t>
            </w:r>
            <w:hyperlink w:history="1" r:id="rId43">
              <w:r w:rsidRPr="008944C2">
                <w:rPr>
                  <w:rStyle w:val="Hyperlink"/>
                  <w:sz w:val="16"/>
                  <w:szCs w:val="16"/>
                </w:rPr>
                <w:t>https://www.blood.gov.au/</w:t>
              </w:r>
            </w:hyperlink>
            <w:r w:rsidRPr="008944C2">
              <w:rPr>
                <w:sz w:val="16"/>
                <w:szCs w:val="16"/>
              </w:rPr>
              <w:t xml:space="preserve"> accessed 13/06/2018.</w:t>
            </w:r>
          </w:p>
          <w:p w:rsidRPr="008944C2" w:rsidR="00DA008B" w:rsidP="00B97D99" w:rsidRDefault="00DA008B" w14:paraId="3C3F751E" w14:textId="77777777">
            <w:pPr>
              <w:pStyle w:val="EndNoteBibliography"/>
              <w:rPr>
                <w:sz w:val="16"/>
                <w:szCs w:val="16"/>
              </w:rPr>
            </w:pPr>
            <w:r w:rsidRPr="008944C2">
              <w:rPr>
                <w:sz w:val="16"/>
                <w:szCs w:val="16"/>
              </w:rPr>
              <w:t>19. Basta M, Branch DR. 7th International Immunoglobulin Conference: Mechanisms of action. Clin Exp Immunol. 2014;178 Suppl 1:87-8 and 111.</w:t>
            </w:r>
          </w:p>
        </w:tc>
      </w:tr>
    </w:tbl>
    <w:p w:rsidRPr="00E25790" w:rsidR="007B48BA" w:rsidP="006F0321" w:rsidRDefault="007B48BA" w14:paraId="763E3361" w14:textId="77777777"/>
    <w:tbl>
      <w:tblPr>
        <w:tblW w:w="9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7"/>
        <w:gridCol w:w="4678"/>
      </w:tblGrid>
      <w:tr w:rsidRPr="005C6C19" w:rsidR="00461BAA" w:rsidTr="00B97D99" w14:paraId="79E6AFD7" w14:textId="77777777">
        <w:trPr>
          <w:trHeight w:val="233"/>
        </w:trPr>
        <w:tc>
          <w:tcPr>
            <w:tcW w:w="4537" w:type="dxa"/>
            <w:vAlign w:val="center"/>
          </w:tcPr>
          <w:p w:rsidRPr="00461BAA" w:rsidR="00461BAA" w:rsidP="00B97D99" w:rsidRDefault="00461BAA" w14:paraId="4B46123D" w14:textId="77777777">
            <w:r w:rsidRPr="00461BAA">
              <w:t>Original version Date: 3/07/2018</w:t>
            </w:r>
          </w:p>
        </w:tc>
        <w:tc>
          <w:tcPr>
            <w:tcW w:w="4678" w:type="dxa"/>
            <w:vAlign w:val="center"/>
          </w:tcPr>
          <w:p w:rsidRPr="00461BAA" w:rsidR="00461BAA" w:rsidP="00B97D99" w:rsidRDefault="00461BAA" w14:paraId="5A368DB1" w14:textId="77777777">
            <w:r w:rsidRPr="00461BAA">
              <w:t>Author: NMF Consensus Group</w:t>
            </w:r>
          </w:p>
        </w:tc>
      </w:tr>
      <w:tr w:rsidRPr="005C6C19" w:rsidR="00461BAA" w:rsidTr="00B97D99" w14:paraId="2F54269D" w14:textId="77777777">
        <w:trPr>
          <w:trHeight w:val="233"/>
        </w:trPr>
        <w:tc>
          <w:tcPr>
            <w:tcW w:w="4537" w:type="dxa"/>
            <w:vAlign w:val="center"/>
          </w:tcPr>
          <w:p w:rsidRPr="00461BAA" w:rsidR="00461BAA" w:rsidP="00B97D99" w:rsidRDefault="00461BAA" w14:paraId="21F4C491" w14:textId="722FD67C">
            <w:pPr>
              <w:rPr>
                <w:bCs/>
              </w:rPr>
            </w:pPr>
            <w:r w:rsidRPr="00461BAA">
              <w:t xml:space="preserve">Current Version number:  </w:t>
            </w:r>
            <w:r w:rsidR="00AA5EF3">
              <w:t>2</w:t>
            </w:r>
          </w:p>
        </w:tc>
        <w:tc>
          <w:tcPr>
            <w:tcW w:w="4678" w:type="dxa"/>
            <w:vAlign w:val="center"/>
          </w:tcPr>
          <w:p w:rsidRPr="00461BAA" w:rsidR="00461BAA" w:rsidP="00B97D99" w:rsidRDefault="00461BAA" w14:paraId="4625B316" w14:textId="00DC0FF9">
            <w:r w:rsidRPr="00461BAA">
              <w:t xml:space="preserve">Current Version Date:  </w:t>
            </w:r>
            <w:r w:rsidR="00070A6D">
              <w:t>22</w:t>
            </w:r>
            <w:r w:rsidR="0020431B">
              <w:t>/</w:t>
            </w:r>
            <w:r w:rsidR="00070A6D">
              <w:t>12</w:t>
            </w:r>
            <w:r w:rsidR="0020431B">
              <w:t>/</w:t>
            </w:r>
            <w:r w:rsidR="00070A6D">
              <w:t>2020</w:t>
            </w:r>
          </w:p>
        </w:tc>
      </w:tr>
      <w:tr w:rsidRPr="005C6C19" w:rsidR="00461BAA" w:rsidTr="00B97D99" w14:paraId="63A982EE" w14:textId="77777777">
        <w:trPr>
          <w:trHeight w:val="233"/>
        </w:trPr>
        <w:tc>
          <w:tcPr>
            <w:tcW w:w="4537" w:type="dxa"/>
            <w:vAlign w:val="center"/>
          </w:tcPr>
          <w:p w:rsidRPr="00461BAA" w:rsidR="00461BAA" w:rsidP="00B97D99" w:rsidRDefault="00461BAA" w14:paraId="4A5A23C9" w14:textId="51934053">
            <w:r w:rsidRPr="00461BAA">
              <w:t xml:space="preserve">Risk Rating: </w:t>
            </w:r>
            <w:r w:rsidR="0020431B">
              <w:t>Medium</w:t>
            </w:r>
          </w:p>
        </w:tc>
        <w:tc>
          <w:tcPr>
            <w:tcW w:w="4678" w:type="dxa"/>
            <w:vAlign w:val="center"/>
          </w:tcPr>
          <w:p w:rsidRPr="00461BAA" w:rsidR="00461BAA" w:rsidP="00B97D99" w:rsidRDefault="00461BAA" w14:paraId="7F1BAC2F" w14:textId="75CD2B1F">
            <w:r w:rsidRPr="00461BAA">
              <w:t xml:space="preserve">Due for Review: </w:t>
            </w:r>
            <w:r w:rsidR="00070A6D">
              <w:t>21</w:t>
            </w:r>
            <w:r w:rsidRPr="00461BAA">
              <w:t>/</w:t>
            </w:r>
            <w:r w:rsidR="00070A6D">
              <w:t>12</w:t>
            </w:r>
            <w:r w:rsidRPr="00461BAA">
              <w:t>/202</w:t>
            </w:r>
            <w:r w:rsidR="00070A6D">
              <w:t>3</w:t>
            </w:r>
          </w:p>
        </w:tc>
      </w:tr>
      <w:tr w:rsidRPr="005C6C19" w:rsidR="00461BAA" w:rsidTr="00B97D99" w14:paraId="3CAD961E" w14:textId="77777777">
        <w:trPr>
          <w:trHeight w:val="334"/>
        </w:trPr>
        <w:tc>
          <w:tcPr>
            <w:tcW w:w="4537" w:type="dxa"/>
            <w:tcBorders>
              <w:bottom w:val="single" w:color="auto" w:sz="4" w:space="0"/>
            </w:tcBorders>
            <w:vAlign w:val="center"/>
          </w:tcPr>
          <w:p w:rsidRPr="00461BAA" w:rsidR="00461BAA" w:rsidP="00B97D99" w:rsidRDefault="00461BAA" w14:paraId="7910C80A" w14:textId="77777777">
            <w:r w:rsidRPr="00461BAA">
              <w:t>Approval by: DTC</w:t>
            </w:r>
          </w:p>
        </w:tc>
        <w:tc>
          <w:tcPr>
            <w:tcW w:w="4678" w:type="dxa"/>
            <w:tcBorders>
              <w:bottom w:val="single" w:color="auto" w:sz="4" w:space="0"/>
            </w:tcBorders>
            <w:vAlign w:val="center"/>
          </w:tcPr>
          <w:p w:rsidRPr="00461BAA" w:rsidR="00461BAA" w:rsidP="00B97D99" w:rsidRDefault="00461BAA" w14:paraId="13D710D6" w14:textId="798522D5">
            <w:r w:rsidRPr="00461BAA">
              <w:t xml:space="preserve">Approval Date: </w:t>
            </w:r>
            <w:r w:rsidR="00260BC8">
              <w:t>APRIL 2021</w:t>
            </w:r>
          </w:p>
        </w:tc>
      </w:tr>
    </w:tbl>
    <w:p w:rsidRPr="00E25790" w:rsidR="00115F48" w:rsidP="006F0321" w:rsidRDefault="00115F48" w14:paraId="6A64D576"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F91A22" w:rsidTr="00B97D99" w14:paraId="66E0A820"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F91A22" w:rsidP="00B97D99" w:rsidRDefault="00F91A22" w14:paraId="395E0488" w14:textId="77777777">
            <w:pPr>
              <w:pStyle w:val="Heading1"/>
            </w:pPr>
            <w:bookmarkStart w:name="_Toc75339991" w:id="331"/>
            <w:r w:rsidRPr="00E25790">
              <w:lastRenderedPageBreak/>
              <w:t>Indomethacin</w:t>
            </w:r>
            <w:bookmarkEnd w:id="331"/>
            <w:r w:rsidRPr="00E25790">
              <w:fldChar w:fldCharType="begin"/>
            </w:r>
            <w:r w:rsidRPr="00E25790">
              <w:instrText>tc "Indomethacin" \l 0</w:instrText>
            </w:r>
            <w:r w:rsidRPr="00E25790">
              <w:fldChar w:fldCharType="end"/>
            </w:r>
          </w:p>
        </w:tc>
      </w:tr>
      <w:tr w:rsidRPr="00E25790" w:rsidR="00F91A22" w:rsidTr="00B97D99" w14:paraId="0D151C9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F91A22" w:rsidP="006F0321" w:rsidRDefault="00F91A22" w14:paraId="539EC1D8" w14:textId="17960585">
            <w:r w:rsidRPr="00E25790">
              <w:t xml:space="preserve">Revision Date : </w:t>
            </w:r>
            <w:r w:rsidR="00996A53">
              <w:t>18-2-2021</w:t>
            </w:r>
            <w:r w:rsidR="003361A4">
              <w:fldChar w:fldCharType="begin"/>
            </w:r>
            <w:r w:rsidR="003361A4">
              <w:instrText xml:space="preserve"> CREATEDATE  </w:instrText>
            </w:r>
            <w:r w:rsidR="003361A4">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F91A22" w:rsidP="006F0321" w:rsidRDefault="00F91A22" w14:paraId="0C7F5CBB" w14:textId="77777777">
            <w:r w:rsidRPr="00E25790">
              <w:t>Approved: TC, KOH</w:t>
            </w:r>
          </w:p>
        </w:tc>
      </w:tr>
    </w:tbl>
    <w:p w:rsidRPr="00E25790" w:rsidR="008C390A" w:rsidP="006F0321" w:rsidRDefault="008C390A" w14:paraId="7DF5CE13" w14:textId="77777777"/>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6975"/>
      </w:tblGrid>
      <w:tr w:rsidRPr="00026F20" w:rsidR="00C01069" w:rsidTr="00C01069" w14:paraId="313293D7" w14:textId="77777777">
        <w:trPr>
          <w:trHeight w:val="70"/>
        </w:trPr>
        <w:tc>
          <w:tcPr>
            <w:tcW w:w="2410" w:type="dxa"/>
          </w:tcPr>
          <w:p w:rsidRPr="00B53E9B" w:rsidR="00C01069" w:rsidP="00131848" w:rsidRDefault="00C01069" w14:paraId="49C8B62A"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6975" w:type="dxa"/>
          </w:tcPr>
          <w:p w:rsidRPr="00026F20" w:rsidR="00C01069" w:rsidP="00131848" w:rsidRDefault="00C01069" w14:paraId="34014EA3" w14:textId="77777777">
            <w:pPr>
              <w:pStyle w:val="BodyText"/>
              <w:rPr>
                <w:rFonts w:cs="Arial"/>
                <w:sz w:val="20"/>
                <w:lang w:val="en-AU"/>
              </w:rPr>
            </w:pPr>
            <w:r w:rsidRPr="004B334F">
              <w:rPr>
                <w:rFonts w:cs="Arial"/>
                <w:sz w:val="20"/>
                <w:lang w:val="en-AU"/>
              </w:rPr>
              <w:t>From April 2016, the international spelling for Indomethacin has been changed to Indometacin.</w:t>
            </w:r>
          </w:p>
        </w:tc>
      </w:tr>
      <w:tr w:rsidRPr="006A2FF0" w:rsidR="00C01069" w:rsidTr="00C01069" w14:paraId="71556E7B" w14:textId="77777777">
        <w:trPr>
          <w:trHeight w:val="72"/>
        </w:trPr>
        <w:tc>
          <w:tcPr>
            <w:tcW w:w="2410" w:type="dxa"/>
          </w:tcPr>
          <w:p w:rsidRPr="00B53E9B" w:rsidR="00C01069" w:rsidP="00131848" w:rsidRDefault="00C01069" w14:paraId="7C5E63A9" w14:textId="77777777">
            <w:pPr>
              <w:pStyle w:val="BodyText"/>
              <w:rPr>
                <w:rFonts w:cs="Arial"/>
                <w:sz w:val="20"/>
                <w:lang w:val="en-AU"/>
              </w:rPr>
            </w:pPr>
            <w:r w:rsidRPr="00B53E9B">
              <w:rPr>
                <w:rFonts w:cs="Arial"/>
                <w:b/>
                <w:bCs/>
                <w:sz w:val="20"/>
                <w:lang w:val="en-AU"/>
              </w:rPr>
              <w:t>Indication</w:t>
            </w:r>
          </w:p>
        </w:tc>
        <w:tc>
          <w:tcPr>
            <w:tcW w:w="6975" w:type="dxa"/>
          </w:tcPr>
          <w:p w:rsidR="00C01069" w:rsidP="00131848" w:rsidRDefault="00C01069" w14:paraId="4C225250" w14:textId="77777777">
            <w:pPr>
              <w:rPr>
                <w:sz w:val="20"/>
              </w:rPr>
            </w:pPr>
            <w:r w:rsidRPr="006A2FF0">
              <w:rPr>
                <w:sz w:val="20"/>
              </w:rPr>
              <w:t>Closure of patent ductus arteriosus (PDA)</w:t>
            </w:r>
          </w:p>
          <w:p w:rsidRPr="006A2FF0" w:rsidR="00C01069" w:rsidP="00131848" w:rsidRDefault="00C01069" w14:paraId="5BBCB415" w14:textId="77777777">
            <w:pPr>
              <w:rPr>
                <w:sz w:val="20"/>
              </w:rPr>
            </w:pPr>
            <w:r>
              <w:rPr>
                <w:sz w:val="20"/>
              </w:rPr>
              <w:t>P</w:t>
            </w:r>
            <w:r w:rsidRPr="006A2FF0">
              <w:rPr>
                <w:sz w:val="20"/>
              </w:rPr>
              <w:t>revention of severe intra-ventricular haemorrhage.</w:t>
            </w:r>
          </w:p>
        </w:tc>
      </w:tr>
      <w:tr w:rsidRPr="006A2FF0" w:rsidR="00C01069" w:rsidTr="00C01069" w14:paraId="434ADAB2" w14:textId="77777777">
        <w:trPr>
          <w:trHeight w:val="70"/>
        </w:trPr>
        <w:tc>
          <w:tcPr>
            <w:tcW w:w="2410" w:type="dxa"/>
          </w:tcPr>
          <w:p w:rsidRPr="00B53E9B" w:rsidR="00C01069" w:rsidP="00131848" w:rsidRDefault="00C01069" w14:paraId="757C5140" w14:textId="77777777">
            <w:pPr>
              <w:pStyle w:val="BodyText"/>
              <w:rPr>
                <w:rFonts w:cs="Arial"/>
                <w:b/>
                <w:bCs/>
                <w:sz w:val="20"/>
                <w:lang w:val="en-AU"/>
              </w:rPr>
            </w:pPr>
            <w:r w:rsidRPr="00B53E9B">
              <w:rPr>
                <w:rFonts w:cs="Arial"/>
                <w:b/>
                <w:bCs/>
                <w:sz w:val="20"/>
                <w:lang w:val="en-AU"/>
              </w:rPr>
              <w:t>Action</w:t>
            </w:r>
          </w:p>
        </w:tc>
        <w:tc>
          <w:tcPr>
            <w:tcW w:w="6975" w:type="dxa"/>
          </w:tcPr>
          <w:p w:rsidRPr="006A2FF0" w:rsidR="00C01069" w:rsidP="00131848" w:rsidRDefault="00C01069" w14:paraId="3D460C18" w14:textId="77777777">
            <w:pPr>
              <w:rPr>
                <w:rFonts w:cs="Arial"/>
                <w:sz w:val="20"/>
              </w:rPr>
            </w:pPr>
            <w:r w:rsidRPr="006A2FF0">
              <w:rPr>
                <w:sz w:val="20"/>
              </w:rPr>
              <w:t xml:space="preserve">Prostaglandin inhibitor. Prostaglandins are important in maintaining ductal patency </w:t>
            </w:r>
            <w:r w:rsidRPr="00135988">
              <w:rPr>
                <w:sz w:val="20"/>
              </w:rPr>
              <w:t>in utero</w:t>
            </w:r>
            <w:r w:rsidRPr="006A2FF0">
              <w:rPr>
                <w:sz w:val="20"/>
              </w:rPr>
              <w:t>.</w:t>
            </w:r>
          </w:p>
        </w:tc>
      </w:tr>
      <w:tr w:rsidRPr="006A2FF0" w:rsidR="00C01069" w:rsidTr="00C01069" w14:paraId="222ABD3E" w14:textId="77777777">
        <w:trPr>
          <w:trHeight w:val="266"/>
        </w:trPr>
        <w:tc>
          <w:tcPr>
            <w:tcW w:w="2410" w:type="dxa"/>
          </w:tcPr>
          <w:p w:rsidRPr="00B53E9B" w:rsidR="00C01069" w:rsidP="00131848" w:rsidRDefault="00C01069" w14:paraId="29B4C0AC"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6975" w:type="dxa"/>
          </w:tcPr>
          <w:p w:rsidRPr="006A2FF0" w:rsidR="00C01069" w:rsidP="00131848" w:rsidRDefault="00C01069" w14:paraId="16505071" w14:textId="77777777">
            <w:pPr>
              <w:pStyle w:val="BodyText"/>
              <w:rPr>
                <w:rFonts w:cs="Arial"/>
                <w:sz w:val="20"/>
              </w:rPr>
            </w:pPr>
            <w:r w:rsidRPr="006A2FF0">
              <w:rPr>
                <w:sz w:val="20"/>
              </w:rPr>
              <w:t>Non-steroidal anti-inflammatory</w:t>
            </w:r>
            <w:r>
              <w:rPr>
                <w:sz w:val="20"/>
              </w:rPr>
              <w:t xml:space="preserve"> drug (NSAID)</w:t>
            </w:r>
            <w:r w:rsidRPr="006A2FF0">
              <w:rPr>
                <w:sz w:val="20"/>
              </w:rPr>
              <w:t>.</w:t>
            </w:r>
          </w:p>
        </w:tc>
      </w:tr>
      <w:tr w:rsidRPr="006A2FF0" w:rsidR="00C01069" w:rsidTr="00C01069" w14:paraId="2D61FD3C" w14:textId="77777777">
        <w:trPr>
          <w:trHeight w:val="114"/>
        </w:trPr>
        <w:tc>
          <w:tcPr>
            <w:tcW w:w="2410" w:type="dxa"/>
          </w:tcPr>
          <w:p w:rsidRPr="00B53E9B" w:rsidR="00C01069" w:rsidP="00131848" w:rsidRDefault="00C01069" w14:paraId="5CAAC438"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6975" w:type="dxa"/>
          </w:tcPr>
          <w:p w:rsidRPr="006A2FF0" w:rsidR="00C01069" w:rsidP="00131848" w:rsidRDefault="00C01069" w14:paraId="1E368A3D" w14:textId="77777777">
            <w:pPr>
              <w:pStyle w:val="BodyText"/>
              <w:rPr>
                <w:rFonts w:cs="Arial"/>
                <w:sz w:val="20"/>
              </w:rPr>
            </w:pPr>
            <w:r w:rsidRPr="006A2FF0">
              <w:rPr>
                <w:sz w:val="20"/>
              </w:rPr>
              <w:t>Indocid PDA</w:t>
            </w:r>
            <w:r>
              <w:rPr>
                <w:sz w:val="20"/>
              </w:rPr>
              <w:t>, Indomethacin Agila</w:t>
            </w:r>
          </w:p>
        </w:tc>
      </w:tr>
      <w:tr w:rsidRPr="006A2FF0" w:rsidR="00C01069" w:rsidTr="00C01069" w14:paraId="47C67D84" w14:textId="77777777">
        <w:trPr>
          <w:trHeight w:val="70"/>
        </w:trPr>
        <w:tc>
          <w:tcPr>
            <w:tcW w:w="2410" w:type="dxa"/>
          </w:tcPr>
          <w:p w:rsidRPr="00B53E9B" w:rsidR="00C01069" w:rsidP="00131848" w:rsidRDefault="00C01069" w14:paraId="233CADAE" w14:textId="77777777">
            <w:pPr>
              <w:pStyle w:val="BodyText"/>
              <w:rPr>
                <w:rFonts w:cs="Arial"/>
                <w:b/>
                <w:bCs/>
                <w:sz w:val="20"/>
                <w:lang w:val="en-AU"/>
              </w:rPr>
            </w:pPr>
            <w:r w:rsidRPr="00B53E9B">
              <w:rPr>
                <w:rFonts w:cs="Arial"/>
                <w:b/>
                <w:bCs/>
                <w:sz w:val="20"/>
                <w:lang w:val="en-AU"/>
              </w:rPr>
              <w:t xml:space="preserve">Presentation </w:t>
            </w:r>
          </w:p>
        </w:tc>
        <w:tc>
          <w:tcPr>
            <w:tcW w:w="6975" w:type="dxa"/>
          </w:tcPr>
          <w:p w:rsidRPr="006A2FF0" w:rsidR="00C01069" w:rsidP="00131848" w:rsidRDefault="00C01069" w14:paraId="69DFBF9B" w14:textId="77777777">
            <w:pPr>
              <w:pStyle w:val="BodyText"/>
              <w:rPr>
                <w:rFonts w:cs="Arial"/>
                <w:sz w:val="20"/>
              </w:rPr>
            </w:pPr>
            <w:r w:rsidRPr="006A2FF0">
              <w:rPr>
                <w:rFonts w:cs="Arial"/>
                <w:sz w:val="20"/>
              </w:rPr>
              <w:t>1 mg powder for reconstitution.</w:t>
            </w:r>
          </w:p>
        </w:tc>
      </w:tr>
      <w:tr w:rsidRPr="00026F20" w:rsidR="00C01069" w:rsidTr="00C01069" w14:paraId="5F31E634" w14:textId="77777777">
        <w:trPr>
          <w:trHeight w:val="70"/>
        </w:trPr>
        <w:tc>
          <w:tcPr>
            <w:tcW w:w="2410" w:type="dxa"/>
          </w:tcPr>
          <w:p w:rsidRPr="00B53E9B" w:rsidR="00C01069" w:rsidP="00131848" w:rsidRDefault="00C01069" w14:paraId="24CA137C"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6975" w:type="dxa"/>
          </w:tcPr>
          <w:p w:rsidRPr="004B334F" w:rsidR="00C01069" w:rsidP="00131848" w:rsidRDefault="00C01069" w14:paraId="775A506A" w14:textId="77777777">
            <w:pPr>
              <w:overflowPunct w:val="0"/>
              <w:autoSpaceDE w:val="0"/>
              <w:autoSpaceDN w:val="0"/>
              <w:adjustRightInd w:val="0"/>
              <w:jc w:val="both"/>
              <w:textAlignment w:val="baseline"/>
              <w:rPr>
                <w:sz w:val="20"/>
              </w:rPr>
            </w:pPr>
            <w:r w:rsidRPr="004B334F">
              <w:rPr>
                <w:sz w:val="20"/>
              </w:rPr>
              <w:t>IV</w:t>
            </w:r>
          </w:p>
          <w:p w:rsidRPr="004B334F" w:rsidR="00C01069" w:rsidP="00131848" w:rsidRDefault="00C01069" w14:paraId="5ECBE093" w14:textId="77777777">
            <w:pPr>
              <w:overflowPunct w:val="0"/>
              <w:autoSpaceDE w:val="0"/>
              <w:autoSpaceDN w:val="0"/>
              <w:adjustRightInd w:val="0"/>
              <w:jc w:val="both"/>
              <w:textAlignment w:val="baseline"/>
              <w:rPr>
                <w:sz w:val="20"/>
              </w:rPr>
            </w:pPr>
            <w:r w:rsidRPr="004B334F">
              <w:rPr>
                <w:sz w:val="20"/>
              </w:rPr>
              <w:t>Single daily dose as follows: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47"/>
              <w:gridCol w:w="1734"/>
              <w:gridCol w:w="1701"/>
              <w:gridCol w:w="1560"/>
            </w:tblGrid>
            <w:tr w:rsidRPr="004B334F" w:rsidR="00C01069" w:rsidTr="00C01069" w14:paraId="2A12E782" w14:textId="77777777">
              <w:tc>
                <w:tcPr>
                  <w:tcW w:w="1447" w:type="dxa"/>
                  <w:shd w:val="clear" w:color="auto" w:fill="auto"/>
                </w:tcPr>
                <w:p w:rsidRPr="004B334F" w:rsidR="00C01069" w:rsidP="00131848" w:rsidRDefault="00C01069" w14:paraId="4E736129" w14:textId="77777777">
                  <w:pPr>
                    <w:overflowPunct w:val="0"/>
                    <w:autoSpaceDE w:val="0"/>
                    <w:autoSpaceDN w:val="0"/>
                    <w:adjustRightInd w:val="0"/>
                    <w:jc w:val="both"/>
                    <w:textAlignment w:val="baseline"/>
                    <w:rPr>
                      <w:sz w:val="20"/>
                    </w:rPr>
                  </w:pPr>
                  <w:r w:rsidRPr="004B334F">
                    <w:rPr>
                      <w:sz w:val="20"/>
                    </w:rPr>
                    <w:t xml:space="preserve">Post-natal Age </w:t>
                  </w:r>
                </w:p>
              </w:tc>
              <w:tc>
                <w:tcPr>
                  <w:tcW w:w="1734" w:type="dxa"/>
                  <w:shd w:val="clear" w:color="auto" w:fill="auto"/>
                </w:tcPr>
                <w:p w:rsidRPr="004B334F" w:rsidR="00C01069" w:rsidP="00131848" w:rsidRDefault="00C01069" w14:paraId="3B63421A" w14:textId="77777777">
                  <w:pPr>
                    <w:overflowPunct w:val="0"/>
                    <w:autoSpaceDE w:val="0"/>
                    <w:autoSpaceDN w:val="0"/>
                    <w:adjustRightInd w:val="0"/>
                    <w:jc w:val="both"/>
                    <w:textAlignment w:val="baseline"/>
                    <w:rPr>
                      <w:sz w:val="20"/>
                    </w:rPr>
                  </w:pPr>
                  <w:r w:rsidRPr="004B334F">
                    <w:rPr>
                      <w:sz w:val="20"/>
                    </w:rPr>
                    <w:t>Day 1</w:t>
                  </w:r>
                </w:p>
              </w:tc>
              <w:tc>
                <w:tcPr>
                  <w:tcW w:w="1701" w:type="dxa"/>
                  <w:shd w:val="clear" w:color="auto" w:fill="auto"/>
                </w:tcPr>
                <w:p w:rsidRPr="004B334F" w:rsidR="00C01069" w:rsidP="00131848" w:rsidRDefault="00C01069" w14:paraId="69EBC1F9" w14:textId="77777777">
                  <w:pPr>
                    <w:overflowPunct w:val="0"/>
                    <w:autoSpaceDE w:val="0"/>
                    <w:autoSpaceDN w:val="0"/>
                    <w:adjustRightInd w:val="0"/>
                    <w:jc w:val="both"/>
                    <w:textAlignment w:val="baseline"/>
                    <w:rPr>
                      <w:sz w:val="20"/>
                    </w:rPr>
                  </w:pPr>
                  <w:r w:rsidRPr="004B334F">
                    <w:rPr>
                      <w:sz w:val="20"/>
                    </w:rPr>
                    <w:t>Day 2</w:t>
                  </w:r>
                </w:p>
              </w:tc>
              <w:tc>
                <w:tcPr>
                  <w:tcW w:w="1560" w:type="dxa"/>
                  <w:shd w:val="clear" w:color="auto" w:fill="auto"/>
                </w:tcPr>
                <w:p w:rsidRPr="004B334F" w:rsidR="00C01069" w:rsidP="00131848" w:rsidRDefault="00C01069" w14:paraId="147D6831" w14:textId="77777777">
                  <w:pPr>
                    <w:overflowPunct w:val="0"/>
                    <w:autoSpaceDE w:val="0"/>
                    <w:autoSpaceDN w:val="0"/>
                    <w:adjustRightInd w:val="0"/>
                    <w:jc w:val="both"/>
                    <w:textAlignment w:val="baseline"/>
                    <w:rPr>
                      <w:sz w:val="20"/>
                    </w:rPr>
                  </w:pPr>
                  <w:r w:rsidRPr="004B334F">
                    <w:rPr>
                      <w:sz w:val="20"/>
                    </w:rPr>
                    <w:t>Day 3</w:t>
                  </w:r>
                </w:p>
              </w:tc>
            </w:tr>
            <w:tr w:rsidRPr="004B334F" w:rsidR="00C01069" w:rsidTr="00C01069" w14:paraId="210E427A" w14:textId="77777777">
              <w:tc>
                <w:tcPr>
                  <w:tcW w:w="1447" w:type="dxa"/>
                  <w:shd w:val="clear" w:color="auto" w:fill="auto"/>
                </w:tcPr>
                <w:p w:rsidRPr="004B334F" w:rsidR="00C01069" w:rsidP="00131848" w:rsidRDefault="00C01069" w14:paraId="3248398C" w14:textId="77777777">
                  <w:pPr>
                    <w:overflowPunct w:val="0"/>
                    <w:autoSpaceDE w:val="0"/>
                    <w:autoSpaceDN w:val="0"/>
                    <w:adjustRightInd w:val="0"/>
                    <w:jc w:val="both"/>
                    <w:textAlignment w:val="baseline"/>
                    <w:rPr>
                      <w:sz w:val="20"/>
                    </w:rPr>
                  </w:pPr>
                  <w:r>
                    <w:rPr>
                      <w:sz w:val="20"/>
                    </w:rPr>
                    <w:t>&lt;</w:t>
                  </w:r>
                  <w:r w:rsidRPr="004B334F">
                    <w:rPr>
                      <w:sz w:val="20"/>
                    </w:rPr>
                    <w:t xml:space="preserve"> 48 hours</w:t>
                  </w:r>
                </w:p>
              </w:tc>
              <w:tc>
                <w:tcPr>
                  <w:tcW w:w="1734" w:type="dxa"/>
                  <w:shd w:val="clear" w:color="auto" w:fill="auto"/>
                </w:tcPr>
                <w:p w:rsidRPr="004B334F" w:rsidR="00C01069" w:rsidP="00131848" w:rsidRDefault="00C01069" w14:paraId="17D4891A" w14:textId="77777777">
                  <w:pPr>
                    <w:overflowPunct w:val="0"/>
                    <w:autoSpaceDE w:val="0"/>
                    <w:autoSpaceDN w:val="0"/>
                    <w:adjustRightInd w:val="0"/>
                    <w:jc w:val="both"/>
                    <w:textAlignment w:val="baseline"/>
                    <w:rPr>
                      <w:sz w:val="20"/>
                    </w:rPr>
                  </w:pPr>
                  <w:r w:rsidRPr="004B334F">
                    <w:rPr>
                      <w:sz w:val="20"/>
                    </w:rPr>
                    <w:t>0.2 mg/kg/dose</w:t>
                  </w:r>
                </w:p>
              </w:tc>
              <w:tc>
                <w:tcPr>
                  <w:tcW w:w="1701" w:type="dxa"/>
                  <w:shd w:val="clear" w:color="auto" w:fill="auto"/>
                </w:tcPr>
                <w:p w:rsidRPr="004B334F" w:rsidR="00C01069" w:rsidP="00131848" w:rsidRDefault="00C01069" w14:paraId="4F9C6ABC" w14:textId="77777777">
                  <w:pPr>
                    <w:overflowPunct w:val="0"/>
                    <w:autoSpaceDE w:val="0"/>
                    <w:autoSpaceDN w:val="0"/>
                    <w:adjustRightInd w:val="0"/>
                    <w:jc w:val="both"/>
                    <w:textAlignment w:val="baseline"/>
                    <w:rPr>
                      <w:sz w:val="20"/>
                    </w:rPr>
                  </w:pPr>
                  <w:r w:rsidRPr="004B334F">
                    <w:rPr>
                      <w:sz w:val="20"/>
                    </w:rPr>
                    <w:t>0.1 mg/kg/dose</w:t>
                  </w:r>
                </w:p>
              </w:tc>
              <w:tc>
                <w:tcPr>
                  <w:tcW w:w="1560" w:type="dxa"/>
                  <w:shd w:val="clear" w:color="auto" w:fill="auto"/>
                </w:tcPr>
                <w:p w:rsidRPr="004B334F" w:rsidR="00C01069" w:rsidP="00131848" w:rsidRDefault="00C01069" w14:paraId="3EB7824B" w14:textId="77777777">
                  <w:pPr>
                    <w:overflowPunct w:val="0"/>
                    <w:autoSpaceDE w:val="0"/>
                    <w:autoSpaceDN w:val="0"/>
                    <w:adjustRightInd w:val="0"/>
                    <w:jc w:val="both"/>
                    <w:textAlignment w:val="baseline"/>
                    <w:rPr>
                      <w:sz w:val="20"/>
                    </w:rPr>
                  </w:pPr>
                  <w:r w:rsidRPr="004B334F">
                    <w:rPr>
                      <w:sz w:val="20"/>
                    </w:rPr>
                    <w:t>0.1 mg/kg/dose</w:t>
                  </w:r>
                </w:p>
              </w:tc>
            </w:tr>
            <w:tr w:rsidRPr="004B334F" w:rsidR="00C01069" w:rsidTr="00C01069" w14:paraId="0838379F" w14:textId="77777777">
              <w:tc>
                <w:tcPr>
                  <w:tcW w:w="1447" w:type="dxa"/>
                  <w:shd w:val="clear" w:color="auto" w:fill="auto"/>
                </w:tcPr>
                <w:p w:rsidRPr="004B334F" w:rsidR="00C01069" w:rsidP="00131848" w:rsidRDefault="00C01069" w14:paraId="3B1903E2" w14:textId="77777777">
                  <w:pPr>
                    <w:overflowPunct w:val="0"/>
                    <w:autoSpaceDE w:val="0"/>
                    <w:autoSpaceDN w:val="0"/>
                    <w:adjustRightInd w:val="0"/>
                    <w:jc w:val="both"/>
                    <w:textAlignment w:val="baseline"/>
                    <w:rPr>
                      <w:sz w:val="20"/>
                    </w:rPr>
                  </w:pPr>
                  <w:r w:rsidRPr="00A56878">
                    <w:rPr>
                      <w:rFonts w:asciiTheme="minorHAnsi" w:hAnsiTheme="minorHAnsi"/>
                      <w:sz w:val="20"/>
                    </w:rPr>
                    <w:t>≥</w:t>
                  </w:r>
                  <w:r w:rsidRPr="004B334F">
                    <w:rPr>
                      <w:sz w:val="20"/>
                    </w:rPr>
                    <w:t xml:space="preserve"> 48 hours</w:t>
                  </w:r>
                </w:p>
              </w:tc>
              <w:tc>
                <w:tcPr>
                  <w:tcW w:w="1734" w:type="dxa"/>
                  <w:shd w:val="clear" w:color="auto" w:fill="auto"/>
                </w:tcPr>
                <w:p w:rsidRPr="004B334F" w:rsidR="00C01069" w:rsidP="00131848" w:rsidRDefault="00C01069" w14:paraId="49B6CC78" w14:textId="77777777">
                  <w:pPr>
                    <w:overflowPunct w:val="0"/>
                    <w:autoSpaceDE w:val="0"/>
                    <w:autoSpaceDN w:val="0"/>
                    <w:adjustRightInd w:val="0"/>
                    <w:jc w:val="both"/>
                    <w:textAlignment w:val="baseline"/>
                    <w:rPr>
                      <w:sz w:val="20"/>
                    </w:rPr>
                  </w:pPr>
                  <w:r w:rsidRPr="004B334F">
                    <w:rPr>
                      <w:sz w:val="20"/>
                    </w:rPr>
                    <w:t>0.2 mg/kg/dose</w:t>
                  </w:r>
                </w:p>
              </w:tc>
              <w:tc>
                <w:tcPr>
                  <w:tcW w:w="1701" w:type="dxa"/>
                  <w:shd w:val="clear" w:color="auto" w:fill="auto"/>
                </w:tcPr>
                <w:p w:rsidRPr="004B334F" w:rsidR="00C01069" w:rsidP="00131848" w:rsidRDefault="00C01069" w14:paraId="04CEE97F" w14:textId="77777777">
                  <w:pPr>
                    <w:overflowPunct w:val="0"/>
                    <w:autoSpaceDE w:val="0"/>
                    <w:autoSpaceDN w:val="0"/>
                    <w:adjustRightInd w:val="0"/>
                    <w:jc w:val="both"/>
                    <w:textAlignment w:val="baseline"/>
                    <w:rPr>
                      <w:sz w:val="20"/>
                    </w:rPr>
                  </w:pPr>
                  <w:r w:rsidRPr="004B334F">
                    <w:rPr>
                      <w:sz w:val="20"/>
                    </w:rPr>
                    <w:t>0.2 mg/kg/dose</w:t>
                  </w:r>
                </w:p>
              </w:tc>
              <w:tc>
                <w:tcPr>
                  <w:tcW w:w="1560" w:type="dxa"/>
                  <w:shd w:val="clear" w:color="auto" w:fill="auto"/>
                </w:tcPr>
                <w:p w:rsidRPr="004B334F" w:rsidR="00C01069" w:rsidP="00131848" w:rsidRDefault="00C01069" w14:paraId="10E04EB5" w14:textId="77777777">
                  <w:pPr>
                    <w:overflowPunct w:val="0"/>
                    <w:autoSpaceDE w:val="0"/>
                    <w:autoSpaceDN w:val="0"/>
                    <w:adjustRightInd w:val="0"/>
                    <w:jc w:val="both"/>
                    <w:textAlignment w:val="baseline"/>
                    <w:rPr>
                      <w:sz w:val="20"/>
                    </w:rPr>
                  </w:pPr>
                  <w:r w:rsidRPr="004B334F">
                    <w:rPr>
                      <w:sz w:val="20"/>
                    </w:rPr>
                    <w:t>0.2 mg/kg/dose</w:t>
                  </w:r>
                </w:p>
              </w:tc>
            </w:tr>
          </w:tbl>
          <w:p w:rsidRPr="00026F20" w:rsidR="00C01069" w:rsidP="00131848" w:rsidRDefault="00C01069" w14:paraId="6FBA7546" w14:textId="77777777">
            <w:pPr>
              <w:pStyle w:val="BodyText"/>
              <w:rPr>
                <w:sz w:val="20"/>
                <w:lang w:val="en-AU"/>
              </w:rPr>
            </w:pPr>
          </w:p>
        </w:tc>
      </w:tr>
      <w:tr w:rsidRPr="00026F20" w:rsidR="00C01069" w:rsidTr="00C01069" w14:paraId="4B8D3285" w14:textId="77777777">
        <w:trPr>
          <w:trHeight w:val="407"/>
        </w:trPr>
        <w:tc>
          <w:tcPr>
            <w:tcW w:w="2410" w:type="dxa"/>
          </w:tcPr>
          <w:p w:rsidRPr="00B53E9B" w:rsidR="00C01069" w:rsidP="00131848" w:rsidRDefault="00C01069" w14:paraId="185948C3" w14:textId="77777777">
            <w:pPr>
              <w:pStyle w:val="BodyText"/>
              <w:rPr>
                <w:b/>
                <w:sz w:val="20"/>
                <w:lang w:val="en-AU"/>
              </w:rPr>
            </w:pPr>
            <w:r w:rsidRPr="00B53E9B">
              <w:rPr>
                <w:b/>
                <w:sz w:val="20"/>
                <w:lang w:val="en-AU"/>
              </w:rPr>
              <w:t>Dose adjustment</w:t>
            </w:r>
          </w:p>
          <w:p w:rsidRPr="00B53E9B" w:rsidR="00C01069" w:rsidP="00131848" w:rsidRDefault="00C01069" w14:paraId="34491B96" w14:textId="77777777">
            <w:pPr>
              <w:pStyle w:val="BodyText"/>
              <w:rPr>
                <w:sz w:val="20"/>
                <w:lang w:val="en-AU"/>
              </w:rPr>
            </w:pPr>
            <w:r w:rsidRPr="00B53E9B">
              <w:rPr>
                <w:sz w:val="20"/>
                <w:lang w:val="en-AU"/>
              </w:rPr>
              <w:t>Therapeutic hypothermia</w:t>
            </w:r>
          </w:p>
          <w:p w:rsidRPr="00B53E9B" w:rsidR="00C01069" w:rsidP="00131848" w:rsidRDefault="00C01069" w14:paraId="73B40C8D" w14:textId="77777777">
            <w:pPr>
              <w:pStyle w:val="BodyText"/>
              <w:rPr>
                <w:sz w:val="20"/>
                <w:lang w:val="en-AU"/>
              </w:rPr>
            </w:pPr>
            <w:r w:rsidRPr="00B53E9B">
              <w:rPr>
                <w:sz w:val="20"/>
                <w:lang w:val="en-AU"/>
              </w:rPr>
              <w:t>ECMO</w:t>
            </w:r>
          </w:p>
          <w:p w:rsidRPr="00B53E9B" w:rsidR="00C01069" w:rsidP="00131848" w:rsidRDefault="00C01069" w14:paraId="5D526CDD" w14:textId="77777777">
            <w:pPr>
              <w:pStyle w:val="BodyText"/>
              <w:rPr>
                <w:sz w:val="20"/>
                <w:lang w:val="en-AU"/>
              </w:rPr>
            </w:pPr>
            <w:r w:rsidRPr="00B53E9B">
              <w:rPr>
                <w:sz w:val="20"/>
                <w:lang w:val="en-AU"/>
              </w:rPr>
              <w:t>Renal</w:t>
            </w:r>
            <w:r>
              <w:rPr>
                <w:sz w:val="20"/>
                <w:lang w:val="en-AU"/>
              </w:rPr>
              <w:t xml:space="preserve"> impairment</w:t>
            </w:r>
          </w:p>
          <w:p w:rsidRPr="00B53E9B" w:rsidR="00C01069" w:rsidP="00131848" w:rsidRDefault="00C01069" w14:paraId="3E274D00" w14:textId="77777777">
            <w:pPr>
              <w:pStyle w:val="BodyText"/>
              <w:rPr>
                <w:b/>
                <w:sz w:val="20"/>
                <w:lang w:val="en-AU"/>
              </w:rPr>
            </w:pPr>
            <w:r w:rsidRPr="00B53E9B">
              <w:rPr>
                <w:sz w:val="20"/>
                <w:lang w:val="en-AU"/>
              </w:rPr>
              <w:t>Hepatic</w:t>
            </w:r>
            <w:r>
              <w:rPr>
                <w:sz w:val="20"/>
                <w:lang w:val="en-AU"/>
              </w:rPr>
              <w:t xml:space="preserve"> impairment</w:t>
            </w:r>
          </w:p>
        </w:tc>
        <w:tc>
          <w:tcPr>
            <w:tcW w:w="6975" w:type="dxa"/>
          </w:tcPr>
          <w:p w:rsidR="00C01069" w:rsidP="00131848" w:rsidRDefault="00C01069" w14:paraId="04C1D65D" w14:textId="77777777">
            <w:pPr>
              <w:pStyle w:val="BodyText"/>
              <w:rPr>
                <w:sz w:val="20"/>
                <w:lang w:val="en-AU"/>
              </w:rPr>
            </w:pPr>
          </w:p>
          <w:p w:rsidR="00C01069" w:rsidP="00131848" w:rsidRDefault="00C01069" w14:paraId="1B496DB4" w14:textId="77777777">
            <w:pPr>
              <w:pStyle w:val="BodyText"/>
              <w:rPr>
                <w:sz w:val="20"/>
                <w:lang w:val="en-AU"/>
              </w:rPr>
            </w:pPr>
            <w:r>
              <w:rPr>
                <w:sz w:val="20"/>
                <w:lang w:val="en-AU"/>
              </w:rPr>
              <w:t xml:space="preserve">Not applicable </w:t>
            </w:r>
          </w:p>
          <w:p w:rsidR="00C01069" w:rsidP="00131848" w:rsidRDefault="00C01069" w14:paraId="6B02438B" w14:textId="77777777">
            <w:pPr>
              <w:pStyle w:val="BodyText"/>
              <w:rPr>
                <w:sz w:val="20"/>
                <w:lang w:val="en-AU"/>
              </w:rPr>
            </w:pPr>
            <w:r w:rsidRPr="004B334F">
              <w:rPr>
                <w:sz w:val="20"/>
                <w:lang w:val="en-AU"/>
              </w:rPr>
              <w:t>I</w:t>
            </w:r>
            <w:r>
              <w:rPr>
                <w:sz w:val="20"/>
                <w:lang w:val="en-AU"/>
              </w:rPr>
              <w:t xml:space="preserve">nsufficient data to suggest </w:t>
            </w:r>
            <w:r w:rsidRPr="004B334F">
              <w:rPr>
                <w:sz w:val="20"/>
                <w:lang w:val="en-AU"/>
              </w:rPr>
              <w:t xml:space="preserve">dose adjustments.  </w:t>
            </w:r>
          </w:p>
          <w:p w:rsidR="00C01069" w:rsidP="00131848" w:rsidRDefault="00C01069" w14:paraId="50E60B54" w14:textId="77777777">
            <w:pPr>
              <w:pStyle w:val="BodyText"/>
              <w:rPr>
                <w:sz w:val="20"/>
                <w:lang w:val="en-AU"/>
              </w:rPr>
            </w:pPr>
            <w:r>
              <w:rPr>
                <w:sz w:val="20"/>
                <w:lang w:val="en-AU"/>
              </w:rPr>
              <w:t xml:space="preserve">Refer to contraindications section. </w:t>
            </w:r>
          </w:p>
          <w:p w:rsidRPr="00026F20" w:rsidR="00C01069" w:rsidP="00131848" w:rsidRDefault="00C01069" w14:paraId="244D7BA5" w14:textId="77777777">
            <w:pPr>
              <w:pStyle w:val="BodyText"/>
              <w:rPr>
                <w:sz w:val="20"/>
                <w:lang w:val="en-AU"/>
              </w:rPr>
            </w:pPr>
            <w:r w:rsidRPr="00AC0CA8">
              <w:rPr>
                <w:sz w:val="20"/>
                <w:lang w:val="en-AU"/>
              </w:rPr>
              <w:t xml:space="preserve">Insufficient data to suggest dose adjustments.  </w:t>
            </w:r>
            <w:r>
              <w:rPr>
                <w:sz w:val="20"/>
                <w:lang w:val="en-AU"/>
              </w:rPr>
              <w:t xml:space="preserve"> </w:t>
            </w:r>
          </w:p>
        </w:tc>
      </w:tr>
      <w:tr w:rsidRPr="00026F20" w:rsidR="00C01069" w:rsidTr="00C01069" w14:paraId="4B43CD82" w14:textId="77777777">
        <w:trPr>
          <w:trHeight w:val="113"/>
        </w:trPr>
        <w:tc>
          <w:tcPr>
            <w:tcW w:w="2410" w:type="dxa"/>
          </w:tcPr>
          <w:p w:rsidRPr="00B53E9B" w:rsidR="00C01069" w:rsidP="00131848" w:rsidRDefault="00C01069" w14:paraId="02D80065" w14:textId="77777777">
            <w:pPr>
              <w:pStyle w:val="BodyText"/>
              <w:rPr>
                <w:b/>
                <w:sz w:val="20"/>
                <w:lang w:val="en-AU"/>
              </w:rPr>
            </w:pPr>
            <w:r w:rsidRPr="00B53E9B">
              <w:rPr>
                <w:b/>
                <w:sz w:val="20"/>
                <w:lang w:val="en-AU"/>
              </w:rPr>
              <w:t>Maximum dose</w:t>
            </w:r>
          </w:p>
        </w:tc>
        <w:tc>
          <w:tcPr>
            <w:tcW w:w="6975" w:type="dxa"/>
          </w:tcPr>
          <w:p w:rsidRPr="00026F20" w:rsidR="00C01069" w:rsidP="00131848" w:rsidRDefault="00C01069" w14:paraId="3393E1A2" w14:textId="77777777">
            <w:pPr>
              <w:pStyle w:val="BodyText"/>
              <w:rPr>
                <w:sz w:val="20"/>
                <w:lang w:val="en-AU"/>
              </w:rPr>
            </w:pPr>
            <w:r w:rsidRPr="004B334F">
              <w:rPr>
                <w:sz w:val="20"/>
                <w:lang w:val="en-AU"/>
              </w:rPr>
              <w:t>0.2 mg/kg</w:t>
            </w:r>
          </w:p>
        </w:tc>
      </w:tr>
      <w:tr w:rsidRPr="004B334F" w:rsidR="00C01069" w:rsidTr="00C01069" w14:paraId="4EA328B2" w14:textId="77777777">
        <w:trPr>
          <w:trHeight w:val="144"/>
        </w:trPr>
        <w:tc>
          <w:tcPr>
            <w:tcW w:w="2410" w:type="dxa"/>
          </w:tcPr>
          <w:p w:rsidRPr="00B53E9B" w:rsidR="00C01069" w:rsidP="00131848" w:rsidRDefault="00C01069" w14:paraId="032FD3EA" w14:textId="77777777">
            <w:pPr>
              <w:pStyle w:val="BodyText"/>
              <w:rPr>
                <w:rFonts w:cs="Arial"/>
                <w:b/>
                <w:bCs/>
                <w:sz w:val="20"/>
                <w:lang w:val="en-AU"/>
              </w:rPr>
            </w:pPr>
            <w:r w:rsidRPr="00B53E9B">
              <w:rPr>
                <w:b/>
                <w:sz w:val="20"/>
                <w:lang w:val="en-AU"/>
              </w:rPr>
              <w:t>Total cumulative dose</w:t>
            </w:r>
          </w:p>
        </w:tc>
        <w:tc>
          <w:tcPr>
            <w:tcW w:w="6975" w:type="dxa"/>
          </w:tcPr>
          <w:p w:rsidRPr="004B334F" w:rsidR="00C01069" w:rsidP="00131848" w:rsidRDefault="00C01069" w14:paraId="5CE169C2" w14:textId="77777777">
            <w:pPr>
              <w:pStyle w:val="BodyText"/>
              <w:rPr>
                <w:rFonts w:cs="Arial"/>
                <w:sz w:val="20"/>
                <w:lang w:val="en-AU"/>
              </w:rPr>
            </w:pPr>
            <w:r w:rsidRPr="004B334F">
              <w:rPr>
                <w:rFonts w:cs="Arial"/>
                <w:sz w:val="20"/>
                <w:lang w:val="en-AU"/>
              </w:rPr>
              <w:t>0.6 mg/kg</w:t>
            </w:r>
          </w:p>
        </w:tc>
      </w:tr>
      <w:tr w:rsidRPr="00026F20" w:rsidR="00C01069" w:rsidTr="00C01069" w14:paraId="1A1995E2" w14:textId="77777777">
        <w:trPr>
          <w:trHeight w:val="294"/>
        </w:trPr>
        <w:tc>
          <w:tcPr>
            <w:tcW w:w="2410" w:type="dxa"/>
          </w:tcPr>
          <w:p w:rsidRPr="00B53E9B" w:rsidR="00C01069" w:rsidP="00131848" w:rsidRDefault="00C01069" w14:paraId="645D10C0" w14:textId="77777777">
            <w:pPr>
              <w:pStyle w:val="BodyText"/>
              <w:rPr>
                <w:rFonts w:cs="Arial"/>
                <w:sz w:val="20"/>
                <w:lang w:val="en-AU"/>
              </w:rPr>
            </w:pPr>
            <w:r w:rsidRPr="00B53E9B">
              <w:rPr>
                <w:rFonts w:cs="Arial"/>
                <w:b/>
                <w:bCs/>
                <w:sz w:val="20"/>
                <w:lang w:val="en-AU"/>
              </w:rPr>
              <w:t xml:space="preserve">Route                                </w:t>
            </w:r>
          </w:p>
        </w:tc>
        <w:tc>
          <w:tcPr>
            <w:tcW w:w="6975" w:type="dxa"/>
          </w:tcPr>
          <w:p w:rsidRPr="00026F20" w:rsidR="00C01069" w:rsidP="00131848" w:rsidRDefault="00C01069" w14:paraId="615878A7" w14:textId="77777777">
            <w:pPr>
              <w:pStyle w:val="BodyText"/>
              <w:rPr>
                <w:rFonts w:cs="Arial"/>
                <w:sz w:val="20"/>
                <w:lang w:val="en-AU"/>
              </w:rPr>
            </w:pPr>
            <w:r w:rsidRPr="004B334F">
              <w:rPr>
                <w:rFonts w:cs="Arial"/>
                <w:sz w:val="20"/>
                <w:lang w:val="en-AU"/>
              </w:rPr>
              <w:t>IV</w:t>
            </w:r>
          </w:p>
        </w:tc>
      </w:tr>
      <w:tr w:rsidRPr="00026F20" w:rsidR="00C01069" w:rsidTr="00C01069" w14:paraId="36D2F5A0" w14:textId="77777777">
        <w:trPr>
          <w:trHeight w:val="93"/>
        </w:trPr>
        <w:tc>
          <w:tcPr>
            <w:tcW w:w="2410" w:type="dxa"/>
          </w:tcPr>
          <w:p w:rsidRPr="00B53E9B" w:rsidR="00C01069" w:rsidP="00131848" w:rsidRDefault="00C01069" w14:paraId="6297B233" w14:textId="77777777">
            <w:pPr>
              <w:pStyle w:val="BodyText"/>
              <w:rPr>
                <w:rFonts w:cs="Arial"/>
                <w:b/>
                <w:bCs/>
                <w:sz w:val="20"/>
                <w:highlight w:val="cyan"/>
                <w:lang w:val="en-AU"/>
              </w:rPr>
            </w:pPr>
            <w:r w:rsidRPr="00B53E9B">
              <w:rPr>
                <w:rFonts w:cs="Arial"/>
                <w:b/>
                <w:bCs/>
                <w:sz w:val="20"/>
                <w:lang w:val="en-AU"/>
              </w:rPr>
              <w:t>Preparation</w:t>
            </w:r>
            <w:r w:rsidRPr="00B53E9B">
              <w:rPr>
                <w:rFonts w:cs="Arial"/>
                <w:b/>
                <w:bCs/>
                <w:sz w:val="20"/>
                <w:highlight w:val="cyan"/>
                <w:lang w:val="en-AU"/>
              </w:rPr>
              <w:t xml:space="preserve">                </w:t>
            </w:r>
          </w:p>
        </w:tc>
        <w:tc>
          <w:tcPr>
            <w:tcW w:w="6975" w:type="dxa"/>
          </w:tcPr>
          <w:p w:rsidRPr="00026F20" w:rsidR="00C01069" w:rsidP="00131848" w:rsidRDefault="00C01069" w14:paraId="709C4A15" w14:textId="77777777">
            <w:pPr>
              <w:pStyle w:val="BodyText"/>
              <w:rPr>
                <w:rFonts w:cs="Arial"/>
                <w:sz w:val="20"/>
                <w:lang w:val="en-AU"/>
              </w:rPr>
            </w:pPr>
            <w:r w:rsidRPr="004B334F">
              <w:rPr>
                <w:rFonts w:cs="Arial"/>
                <w:sz w:val="20"/>
                <w:lang w:val="en-AU"/>
              </w:rPr>
              <w:t>Add 1 mL of WFI to the 1 mg powder for reconstitution. Then draw up 1 mL (1 mg) and add 9 mL WFI to make a final volume of 10 mL with a concentration of 0.1 mg/mL.</w:t>
            </w:r>
          </w:p>
        </w:tc>
      </w:tr>
      <w:tr w:rsidRPr="00026F20" w:rsidR="00C01069" w:rsidTr="00C01069" w14:paraId="472F35EF" w14:textId="77777777">
        <w:trPr>
          <w:trHeight w:val="224"/>
        </w:trPr>
        <w:tc>
          <w:tcPr>
            <w:tcW w:w="2410" w:type="dxa"/>
          </w:tcPr>
          <w:p w:rsidRPr="00B53E9B" w:rsidR="00C01069" w:rsidP="00131848" w:rsidRDefault="00C01069" w14:paraId="5625C77A" w14:textId="77777777">
            <w:pPr>
              <w:pStyle w:val="BodyText"/>
              <w:rPr>
                <w:rFonts w:cs="Arial"/>
                <w:b/>
                <w:bCs/>
                <w:sz w:val="20"/>
                <w:lang w:val="en-AU"/>
              </w:rPr>
            </w:pPr>
            <w:r w:rsidRPr="00B53E9B">
              <w:rPr>
                <w:rFonts w:cs="Arial"/>
                <w:b/>
                <w:bCs/>
                <w:sz w:val="20"/>
                <w:lang w:val="en-AU"/>
              </w:rPr>
              <w:t xml:space="preserve">Administration                </w:t>
            </w:r>
          </w:p>
        </w:tc>
        <w:tc>
          <w:tcPr>
            <w:tcW w:w="6975" w:type="dxa"/>
            <w:vAlign w:val="center"/>
          </w:tcPr>
          <w:p w:rsidRPr="004B334F" w:rsidR="00C01069" w:rsidP="00131848" w:rsidRDefault="00C01069" w14:paraId="026270AF" w14:textId="77777777">
            <w:pPr>
              <w:pStyle w:val="BodyText"/>
              <w:rPr>
                <w:rFonts w:cs="Arial"/>
                <w:sz w:val="20"/>
                <w:lang w:val="en-AU"/>
              </w:rPr>
            </w:pPr>
            <w:r w:rsidRPr="004B334F">
              <w:rPr>
                <w:rFonts w:cs="Arial"/>
                <w:sz w:val="20"/>
                <w:lang w:val="en-AU"/>
              </w:rPr>
              <w:t>IV: Over 20−-30 minutes.</w:t>
            </w:r>
          </w:p>
          <w:p w:rsidRPr="004B334F" w:rsidR="00C01069" w:rsidP="00131848" w:rsidRDefault="00C01069" w14:paraId="1589A97E" w14:textId="77777777">
            <w:pPr>
              <w:pStyle w:val="BodyText"/>
              <w:rPr>
                <w:rFonts w:cs="Arial"/>
                <w:sz w:val="20"/>
                <w:lang w:val="en-AU"/>
              </w:rPr>
            </w:pPr>
          </w:p>
          <w:p w:rsidRPr="00026F20" w:rsidR="00C01069" w:rsidP="00131848" w:rsidRDefault="00C01069" w14:paraId="5D37F7ED" w14:textId="77777777">
            <w:pPr>
              <w:pStyle w:val="BodyText"/>
              <w:rPr>
                <w:rFonts w:cs="Arial"/>
                <w:sz w:val="20"/>
                <w:lang w:val="en-AU"/>
              </w:rPr>
            </w:pPr>
            <w:r w:rsidRPr="004B334F">
              <w:rPr>
                <w:rFonts w:cs="Arial"/>
                <w:sz w:val="20"/>
                <w:lang w:val="en-AU"/>
              </w:rPr>
              <w:t>Inspect visually for particulate matter and discolouration prior to administration.</w:t>
            </w:r>
          </w:p>
        </w:tc>
      </w:tr>
      <w:tr w:rsidRPr="00026F20" w:rsidR="00C01069" w:rsidTr="00C01069" w14:paraId="4FC176C2" w14:textId="77777777">
        <w:trPr>
          <w:trHeight w:val="215"/>
        </w:trPr>
        <w:tc>
          <w:tcPr>
            <w:tcW w:w="2410" w:type="dxa"/>
          </w:tcPr>
          <w:p w:rsidRPr="00B53E9B" w:rsidR="00C01069" w:rsidP="00131848" w:rsidRDefault="00C01069" w14:paraId="7934EECF" w14:textId="77777777">
            <w:pPr>
              <w:pStyle w:val="BodyText"/>
              <w:rPr>
                <w:rFonts w:cs="Arial"/>
                <w:b/>
                <w:bCs/>
                <w:sz w:val="20"/>
                <w:lang w:val="en-AU"/>
              </w:rPr>
            </w:pPr>
            <w:r w:rsidRPr="00B53E9B">
              <w:rPr>
                <w:rFonts w:cs="Arial"/>
                <w:b/>
                <w:bCs/>
                <w:sz w:val="20"/>
                <w:lang w:val="en-AU"/>
              </w:rPr>
              <w:t xml:space="preserve">Monitoring                              </w:t>
            </w:r>
          </w:p>
        </w:tc>
        <w:tc>
          <w:tcPr>
            <w:tcW w:w="6975" w:type="dxa"/>
          </w:tcPr>
          <w:p w:rsidRPr="00026F20" w:rsidR="00C01069" w:rsidP="00131848" w:rsidRDefault="00C01069" w14:paraId="7EBA64FF" w14:textId="77777777">
            <w:pPr>
              <w:pStyle w:val="BodyText"/>
              <w:rPr>
                <w:rFonts w:cs="Arial"/>
                <w:sz w:val="20"/>
                <w:lang w:val="en-AU"/>
              </w:rPr>
            </w:pPr>
            <w:r w:rsidRPr="004B334F">
              <w:rPr>
                <w:rFonts w:cs="Arial"/>
                <w:sz w:val="20"/>
                <w:lang w:val="en-AU"/>
              </w:rPr>
              <w:t>Monitor urine output, cardiovascular status, serum biochemistry, renal function and for signs of bleeding.</w:t>
            </w:r>
          </w:p>
        </w:tc>
      </w:tr>
      <w:tr w:rsidRPr="00026F20" w:rsidR="00C01069" w:rsidTr="00C01069" w14:paraId="17045D5A" w14:textId="77777777">
        <w:trPr>
          <w:trHeight w:val="342"/>
        </w:trPr>
        <w:tc>
          <w:tcPr>
            <w:tcW w:w="2410" w:type="dxa"/>
          </w:tcPr>
          <w:p w:rsidRPr="00B53E9B" w:rsidR="00C01069" w:rsidP="00131848" w:rsidRDefault="00C01069" w14:paraId="4BF5CE83" w14:textId="77777777">
            <w:pPr>
              <w:pStyle w:val="BodyText"/>
              <w:rPr>
                <w:rFonts w:cs="Arial"/>
                <w:b/>
                <w:bCs/>
                <w:sz w:val="20"/>
                <w:lang w:val="en-AU"/>
              </w:rPr>
            </w:pPr>
            <w:r w:rsidRPr="00B53E9B">
              <w:rPr>
                <w:rFonts w:cs="Arial"/>
                <w:b/>
                <w:bCs/>
                <w:sz w:val="20"/>
                <w:lang w:val="en-AU"/>
              </w:rPr>
              <w:t xml:space="preserve">Contraindications                        </w:t>
            </w:r>
          </w:p>
        </w:tc>
        <w:tc>
          <w:tcPr>
            <w:tcW w:w="6975" w:type="dxa"/>
          </w:tcPr>
          <w:p w:rsidRPr="00026F20" w:rsidR="00C01069" w:rsidP="00131848" w:rsidRDefault="00C01069" w14:paraId="30004FDB" w14:textId="77777777">
            <w:pPr>
              <w:pStyle w:val="BodyText"/>
              <w:rPr>
                <w:rFonts w:cs="Arial"/>
                <w:sz w:val="20"/>
                <w:lang w:val="en-AU"/>
              </w:rPr>
            </w:pPr>
            <w:r w:rsidRPr="004B334F">
              <w:rPr>
                <w:rFonts w:cs="Arial"/>
                <w:sz w:val="20"/>
                <w:lang w:val="en-AU"/>
              </w:rPr>
              <w:t>Serious infection, active bleeding, thrombocytopenia or coagulopathy, necrotising enterocolitis (NEC) or intestinal perforation, significant renal dysfunction, ductal dependent congenital heart disease and pulmonary hypertension.</w:t>
            </w:r>
          </w:p>
        </w:tc>
      </w:tr>
      <w:tr w:rsidRPr="00026F20" w:rsidR="00C01069" w:rsidTr="00C01069" w14:paraId="1AE860C2" w14:textId="77777777">
        <w:tc>
          <w:tcPr>
            <w:tcW w:w="2410" w:type="dxa"/>
          </w:tcPr>
          <w:p w:rsidRPr="00B53E9B" w:rsidR="00C01069" w:rsidP="00131848" w:rsidRDefault="00C01069" w14:paraId="1D7E028A"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6975" w:type="dxa"/>
          </w:tcPr>
          <w:p w:rsidRPr="00026F20" w:rsidR="00C01069" w:rsidP="00131848" w:rsidRDefault="00C01069" w14:paraId="06342E7F" w14:textId="77777777">
            <w:pPr>
              <w:pStyle w:val="BodyText"/>
              <w:rPr>
                <w:rFonts w:cs="Arial"/>
                <w:sz w:val="20"/>
                <w:lang w:val="en-AU"/>
              </w:rPr>
            </w:pPr>
            <w:r w:rsidRPr="004B334F">
              <w:rPr>
                <w:rFonts w:cs="Arial"/>
                <w:sz w:val="20"/>
                <w:lang w:val="en-AU"/>
              </w:rPr>
              <w:t>Indomethacin is associated with transient renal impairment. Late and prolonged treatment of the ductus arteriosus with indomethacin may increase the incidence of NEC.</w:t>
            </w:r>
          </w:p>
        </w:tc>
      </w:tr>
      <w:tr w:rsidRPr="00026F20" w:rsidR="00C01069" w:rsidTr="00C01069" w14:paraId="0C7037B8" w14:textId="77777777">
        <w:trPr>
          <w:trHeight w:val="70"/>
        </w:trPr>
        <w:tc>
          <w:tcPr>
            <w:tcW w:w="2410" w:type="dxa"/>
          </w:tcPr>
          <w:p w:rsidRPr="00B53E9B" w:rsidR="00C01069" w:rsidP="00131848" w:rsidRDefault="00C01069" w14:paraId="5FD4A2CE"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6975" w:type="dxa"/>
          </w:tcPr>
          <w:p w:rsidRPr="004B334F" w:rsidR="00C01069" w:rsidP="00131848" w:rsidRDefault="00C01069" w14:paraId="7B7698BE" w14:textId="77777777">
            <w:pPr>
              <w:pStyle w:val="BodyText"/>
              <w:rPr>
                <w:rFonts w:cs="Arial"/>
                <w:sz w:val="20"/>
                <w:lang w:val="en-AU"/>
              </w:rPr>
            </w:pPr>
            <w:r w:rsidRPr="004B334F">
              <w:rPr>
                <w:rFonts w:cs="Arial"/>
                <w:sz w:val="20"/>
                <w:lang w:val="en-AU"/>
              </w:rPr>
              <w:t xml:space="preserve">Aminoglycosides: Dose may need to be modified if indomethacin affects renal function. </w:t>
            </w:r>
          </w:p>
          <w:p w:rsidRPr="004B334F" w:rsidR="00C01069" w:rsidP="00131848" w:rsidRDefault="00C01069" w14:paraId="0FCE9E0C" w14:textId="77777777">
            <w:pPr>
              <w:pStyle w:val="BodyText"/>
              <w:rPr>
                <w:rFonts w:cs="Arial"/>
                <w:sz w:val="20"/>
                <w:lang w:val="en-AU"/>
              </w:rPr>
            </w:pPr>
            <w:r w:rsidRPr="004B334F">
              <w:rPr>
                <w:rFonts w:cs="Arial"/>
                <w:sz w:val="20"/>
                <w:lang w:val="en-AU"/>
              </w:rPr>
              <w:t xml:space="preserve">Digoxin: Reduces indomethacin volume of distribution – increased dose may be required. </w:t>
            </w:r>
          </w:p>
          <w:p w:rsidRPr="004B334F" w:rsidR="00C01069" w:rsidP="00131848" w:rsidRDefault="00C01069" w14:paraId="0491F0EE" w14:textId="77777777">
            <w:pPr>
              <w:pStyle w:val="BodyText"/>
              <w:rPr>
                <w:rFonts w:cs="Arial"/>
                <w:sz w:val="20"/>
                <w:lang w:val="en-AU"/>
              </w:rPr>
            </w:pPr>
            <w:r w:rsidRPr="004B334F">
              <w:rPr>
                <w:rFonts w:cs="Arial"/>
                <w:sz w:val="20"/>
                <w:lang w:val="en-AU"/>
              </w:rPr>
              <w:t xml:space="preserve">Diuretics: Use of frusemide in combination with indomethacin may increase the incidence of renal impairment. </w:t>
            </w:r>
          </w:p>
          <w:p w:rsidRPr="00026F20" w:rsidR="00C01069" w:rsidP="00131848" w:rsidRDefault="00C01069" w14:paraId="6DD48145" w14:textId="77777777">
            <w:pPr>
              <w:pStyle w:val="BodyText"/>
              <w:rPr>
                <w:rFonts w:cs="Arial"/>
                <w:sz w:val="20"/>
                <w:lang w:val="en-AU"/>
              </w:rPr>
            </w:pPr>
            <w:r w:rsidRPr="004B334F">
              <w:rPr>
                <w:rFonts w:cs="Arial"/>
                <w:sz w:val="20"/>
                <w:lang w:val="en-AU"/>
              </w:rPr>
              <w:t>Systemic corticosteroids: Intestinal perforation has been described in infants treated with early dexamethasone and indomethacin.</w:t>
            </w:r>
          </w:p>
        </w:tc>
      </w:tr>
      <w:tr w:rsidRPr="00026F20" w:rsidR="00C01069" w:rsidTr="00C01069" w14:paraId="1739FD00" w14:textId="77777777">
        <w:trPr>
          <w:trHeight w:val="332"/>
        </w:trPr>
        <w:tc>
          <w:tcPr>
            <w:tcW w:w="2410" w:type="dxa"/>
          </w:tcPr>
          <w:p w:rsidRPr="00B53E9B" w:rsidR="00C01069" w:rsidP="00131848" w:rsidRDefault="00C01069" w14:paraId="481646DD"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6975" w:type="dxa"/>
          </w:tcPr>
          <w:p w:rsidRPr="004B334F" w:rsidR="00C01069" w:rsidP="00131848" w:rsidRDefault="00C01069" w14:paraId="19A96EE5" w14:textId="77777777">
            <w:pPr>
              <w:pStyle w:val="BodyText"/>
              <w:rPr>
                <w:rFonts w:cs="Arial"/>
                <w:sz w:val="20"/>
                <w:lang w:val="en-AU"/>
              </w:rPr>
            </w:pPr>
            <w:r w:rsidRPr="004B334F">
              <w:rPr>
                <w:rFonts w:cs="Arial"/>
                <w:sz w:val="20"/>
                <w:lang w:val="en-AU"/>
              </w:rPr>
              <w:t xml:space="preserve">Prophylactic indomethacin is associated with oliguria/anuria. </w:t>
            </w:r>
          </w:p>
          <w:p w:rsidRPr="004B334F" w:rsidR="00C01069" w:rsidP="00131848" w:rsidRDefault="00C01069" w14:paraId="140FFC2B" w14:textId="77777777">
            <w:pPr>
              <w:pStyle w:val="BodyText"/>
              <w:rPr>
                <w:rFonts w:cs="Arial"/>
                <w:sz w:val="20"/>
                <w:lang w:val="en-AU"/>
              </w:rPr>
            </w:pPr>
            <w:r w:rsidRPr="004B334F">
              <w:rPr>
                <w:rFonts w:cs="Arial"/>
                <w:sz w:val="20"/>
                <w:lang w:val="en-AU"/>
              </w:rPr>
              <w:lastRenderedPageBreak/>
              <w:t xml:space="preserve">Treatment of the ductus arteriosus with indomethacin and prolonged courses of indomethacin are associated with NEC. </w:t>
            </w:r>
          </w:p>
          <w:p w:rsidRPr="004B334F" w:rsidR="00C01069" w:rsidP="00131848" w:rsidRDefault="00C01069" w14:paraId="4449C135" w14:textId="77777777">
            <w:pPr>
              <w:pStyle w:val="BodyText"/>
              <w:rPr>
                <w:rFonts w:cs="Arial"/>
                <w:sz w:val="20"/>
                <w:lang w:val="en-AU"/>
              </w:rPr>
            </w:pPr>
            <w:r w:rsidRPr="004B334F">
              <w:rPr>
                <w:rFonts w:cs="Arial"/>
                <w:sz w:val="20"/>
                <w:lang w:val="en-AU"/>
              </w:rPr>
              <w:t>Gastrointestinal perforation and possibly bleeding.</w:t>
            </w:r>
          </w:p>
          <w:p w:rsidRPr="00026F20" w:rsidR="00C01069" w:rsidP="00131848" w:rsidRDefault="00C01069" w14:paraId="5C85E1F3" w14:textId="77777777">
            <w:pPr>
              <w:pStyle w:val="BodyText"/>
              <w:rPr>
                <w:rFonts w:cs="Arial"/>
                <w:sz w:val="20"/>
                <w:lang w:val="en-AU"/>
              </w:rPr>
            </w:pPr>
            <w:r w:rsidRPr="004B334F">
              <w:rPr>
                <w:rFonts w:cs="Arial"/>
                <w:sz w:val="20"/>
                <w:lang w:val="en-AU"/>
              </w:rPr>
              <w:t>Extravasation.</w:t>
            </w:r>
          </w:p>
        </w:tc>
      </w:tr>
      <w:tr w:rsidRPr="00026F20" w:rsidR="00C01069" w:rsidTr="00C01069" w14:paraId="035404E6" w14:textId="77777777">
        <w:trPr>
          <w:trHeight w:val="180"/>
        </w:trPr>
        <w:tc>
          <w:tcPr>
            <w:tcW w:w="2410" w:type="dxa"/>
          </w:tcPr>
          <w:p w:rsidRPr="00B53E9B" w:rsidR="00C01069" w:rsidP="00131848" w:rsidRDefault="00C01069" w14:paraId="26AB94AF" w14:textId="77777777">
            <w:pPr>
              <w:pStyle w:val="BodyText"/>
              <w:rPr>
                <w:rFonts w:cs="Arial"/>
                <w:b/>
                <w:bCs/>
                <w:sz w:val="20"/>
                <w:lang w:val="en-AU"/>
              </w:rPr>
            </w:pPr>
            <w:r w:rsidRPr="00B53E9B">
              <w:rPr>
                <w:rFonts w:cs="Arial"/>
                <w:b/>
                <w:bCs/>
                <w:sz w:val="20"/>
                <w:lang w:val="en-AU"/>
              </w:rPr>
              <w:lastRenderedPageBreak/>
              <w:t>Compatibility</w:t>
            </w:r>
          </w:p>
        </w:tc>
        <w:tc>
          <w:tcPr>
            <w:tcW w:w="6975" w:type="dxa"/>
          </w:tcPr>
          <w:p w:rsidRPr="004B334F" w:rsidR="00C01069" w:rsidP="00131848" w:rsidRDefault="00C01069" w14:paraId="1F73D372" w14:textId="77777777">
            <w:pPr>
              <w:pStyle w:val="BodyText"/>
              <w:rPr>
                <w:sz w:val="20"/>
                <w:lang w:val="en-AU"/>
              </w:rPr>
            </w:pPr>
            <w:r w:rsidRPr="004B334F">
              <w:rPr>
                <w:sz w:val="20"/>
                <w:lang w:val="en-AU"/>
              </w:rPr>
              <w:t>Fluids: Sodium chloride 0.9%, water for injection.</w:t>
            </w:r>
          </w:p>
          <w:p w:rsidRPr="00026F20" w:rsidR="00C01069" w:rsidP="00131848" w:rsidRDefault="00C01069" w14:paraId="39837609" w14:textId="77777777">
            <w:pPr>
              <w:pStyle w:val="BodyText"/>
              <w:rPr>
                <w:sz w:val="20"/>
                <w:lang w:val="en-AU"/>
              </w:rPr>
            </w:pPr>
            <w:r w:rsidRPr="004B334F">
              <w:rPr>
                <w:sz w:val="20"/>
                <w:lang w:val="en-AU"/>
              </w:rPr>
              <w:t>Y site: Atropine, Cephazolin, cefotaxime, ceftazidime, clindamycin, dexamethasone, digoxin, fentanyl, fluconazole, frusemide, heparin, hydrocortisone, benzylpenicillin, potassium chloride, sodium bicarbonate.</w:t>
            </w:r>
          </w:p>
        </w:tc>
      </w:tr>
      <w:tr w:rsidRPr="00026F20" w:rsidR="00C01069" w:rsidTr="00C01069" w14:paraId="4761E1B5" w14:textId="77777777">
        <w:trPr>
          <w:trHeight w:val="230"/>
        </w:trPr>
        <w:tc>
          <w:tcPr>
            <w:tcW w:w="2410" w:type="dxa"/>
          </w:tcPr>
          <w:p w:rsidRPr="00B53E9B" w:rsidR="00C01069" w:rsidP="00131848" w:rsidRDefault="00C01069" w14:paraId="494CA5EC" w14:textId="77777777">
            <w:pPr>
              <w:pStyle w:val="BodyText"/>
              <w:rPr>
                <w:rFonts w:cs="Arial"/>
                <w:b/>
                <w:bCs/>
                <w:sz w:val="20"/>
                <w:lang w:val="en-AU"/>
              </w:rPr>
            </w:pPr>
            <w:r w:rsidRPr="00B53E9B">
              <w:rPr>
                <w:rFonts w:cs="Arial"/>
                <w:b/>
                <w:bCs/>
                <w:sz w:val="20"/>
                <w:lang w:val="en-AU"/>
              </w:rPr>
              <w:t>Incompatibility</w:t>
            </w:r>
          </w:p>
        </w:tc>
        <w:tc>
          <w:tcPr>
            <w:tcW w:w="6975" w:type="dxa"/>
          </w:tcPr>
          <w:p w:rsidRPr="004B334F" w:rsidR="00C01069" w:rsidP="00131848" w:rsidRDefault="00C01069" w14:paraId="1C863BAF" w14:textId="77777777">
            <w:pPr>
              <w:pStyle w:val="BodyText"/>
              <w:rPr>
                <w:rFonts w:cs="Arial"/>
                <w:sz w:val="20"/>
                <w:lang w:val="en-AU"/>
              </w:rPr>
            </w:pPr>
            <w:r w:rsidRPr="004B334F">
              <w:rPr>
                <w:rFonts w:cs="Arial"/>
                <w:sz w:val="20"/>
                <w:lang w:val="en-AU"/>
              </w:rPr>
              <w:t xml:space="preserve">Fluids: Glucose 7.5%, Glucose 10% </w:t>
            </w:r>
          </w:p>
          <w:p w:rsidRPr="00026F20" w:rsidR="00C01069" w:rsidP="00131848" w:rsidRDefault="00C01069" w14:paraId="64AC7719" w14:textId="77777777">
            <w:pPr>
              <w:pStyle w:val="BodyText"/>
              <w:rPr>
                <w:rFonts w:cs="Arial"/>
                <w:sz w:val="20"/>
                <w:lang w:val="en-AU"/>
              </w:rPr>
            </w:pPr>
            <w:r w:rsidRPr="004B334F">
              <w:rPr>
                <w:rFonts w:cs="Arial"/>
                <w:sz w:val="20"/>
                <w:lang w:val="en-AU"/>
              </w:rPr>
              <w:t>Y-site: Amino acid solutions, adrenaline, amikacin, atracurium, aztreonam, benztropine, buprenorphine, calcium chloride, calcium gluconate, chlorpromazine, dobutamine, dopamine, erythromycin, esmolol, gentamicin, glycopyrrolate, haloperidol lactate, hydralazine, labetalol, magnesium sulfate, metaraminol, midazolam, morphine sulfate, noradrenaline, ondansetron, pentamidine, pethidine, phenylephrine, promethazine, protamine, suxamethonium, tobramycin, vancomycin, vasopressin, verapamil.</w:t>
            </w:r>
          </w:p>
        </w:tc>
      </w:tr>
      <w:tr w:rsidRPr="00026F20" w:rsidR="00C01069" w:rsidTr="00C01069" w14:paraId="43046485" w14:textId="77777777">
        <w:trPr>
          <w:trHeight w:val="79"/>
        </w:trPr>
        <w:tc>
          <w:tcPr>
            <w:tcW w:w="2410" w:type="dxa"/>
          </w:tcPr>
          <w:p w:rsidRPr="00B53E9B" w:rsidR="00C01069" w:rsidP="00131848" w:rsidRDefault="00C01069" w14:paraId="111CBE9D" w14:textId="77777777">
            <w:pPr>
              <w:pStyle w:val="BodyText"/>
              <w:rPr>
                <w:rFonts w:cs="Arial"/>
                <w:b/>
                <w:bCs/>
                <w:sz w:val="20"/>
                <w:lang w:val="en-AU"/>
              </w:rPr>
            </w:pPr>
            <w:r w:rsidRPr="00B53E9B">
              <w:rPr>
                <w:rFonts w:cs="Arial"/>
                <w:b/>
                <w:bCs/>
                <w:sz w:val="20"/>
                <w:lang w:val="en-AU"/>
              </w:rPr>
              <w:t xml:space="preserve">Stability   </w:t>
            </w:r>
          </w:p>
        </w:tc>
        <w:tc>
          <w:tcPr>
            <w:tcW w:w="6975" w:type="dxa"/>
          </w:tcPr>
          <w:p w:rsidRPr="00026F20" w:rsidR="00C01069" w:rsidP="00131848" w:rsidRDefault="00C01069" w14:paraId="16C9490E" w14:textId="77777777">
            <w:pPr>
              <w:pStyle w:val="BodyText"/>
              <w:rPr>
                <w:rFonts w:cs="Arial"/>
                <w:sz w:val="20"/>
                <w:lang w:val="en-AU"/>
              </w:rPr>
            </w:pPr>
            <w:r w:rsidRPr="004B334F">
              <w:rPr>
                <w:rFonts w:cs="Arial"/>
                <w:sz w:val="20"/>
                <w:lang w:val="en-AU"/>
              </w:rPr>
              <w:t>Discard unused portion. Diluted solution is stable for 6 hours at room temperature.</w:t>
            </w:r>
          </w:p>
        </w:tc>
      </w:tr>
      <w:tr w:rsidRPr="00026F20" w:rsidR="00C01069" w:rsidTr="00C01069" w14:paraId="411696B6" w14:textId="77777777">
        <w:trPr>
          <w:trHeight w:val="70"/>
        </w:trPr>
        <w:tc>
          <w:tcPr>
            <w:tcW w:w="2410" w:type="dxa"/>
          </w:tcPr>
          <w:p w:rsidRPr="00B53E9B" w:rsidR="00C01069" w:rsidP="00131848" w:rsidRDefault="00C01069" w14:paraId="1A911244" w14:textId="77777777">
            <w:pPr>
              <w:pStyle w:val="BodyText"/>
              <w:rPr>
                <w:rFonts w:cs="Arial"/>
                <w:b/>
                <w:bCs/>
                <w:sz w:val="20"/>
                <w:lang w:val="en-AU"/>
              </w:rPr>
            </w:pPr>
            <w:r w:rsidRPr="00B53E9B">
              <w:rPr>
                <w:rFonts w:cs="Arial"/>
                <w:b/>
                <w:bCs/>
                <w:sz w:val="20"/>
                <w:lang w:val="en-AU"/>
              </w:rPr>
              <w:t xml:space="preserve">Storage             </w:t>
            </w:r>
          </w:p>
        </w:tc>
        <w:tc>
          <w:tcPr>
            <w:tcW w:w="6975" w:type="dxa"/>
          </w:tcPr>
          <w:p w:rsidRPr="00026F20" w:rsidR="00C01069" w:rsidP="00131848" w:rsidRDefault="00C01069" w14:paraId="4A768D46" w14:textId="77777777">
            <w:pPr>
              <w:pStyle w:val="BodyText"/>
              <w:rPr>
                <w:rFonts w:cs="Arial"/>
                <w:sz w:val="20"/>
                <w:lang w:val="en-AU"/>
              </w:rPr>
            </w:pPr>
            <w:r w:rsidRPr="004B334F">
              <w:rPr>
                <w:rFonts w:cs="Arial"/>
                <w:sz w:val="20"/>
                <w:lang w:val="en-AU"/>
              </w:rPr>
              <w:t>Store unopened vials at room temperature (20−25°C)</w:t>
            </w:r>
          </w:p>
        </w:tc>
      </w:tr>
      <w:tr w:rsidRPr="00026F20" w:rsidR="00C01069" w:rsidTr="00C01069" w14:paraId="7CD5E662" w14:textId="77777777">
        <w:trPr>
          <w:trHeight w:val="70"/>
        </w:trPr>
        <w:tc>
          <w:tcPr>
            <w:tcW w:w="2410" w:type="dxa"/>
          </w:tcPr>
          <w:p w:rsidRPr="00B53E9B" w:rsidR="00C01069" w:rsidP="00131848" w:rsidRDefault="00C01069" w14:paraId="1AA0AD9E" w14:textId="77777777">
            <w:pPr>
              <w:pStyle w:val="BodyText"/>
              <w:rPr>
                <w:rFonts w:cs="Arial"/>
                <w:b/>
                <w:bCs/>
                <w:sz w:val="20"/>
                <w:lang w:val="en-AU"/>
              </w:rPr>
            </w:pPr>
            <w:r w:rsidRPr="00B53E9B">
              <w:rPr>
                <w:rFonts w:cs="Arial"/>
                <w:b/>
                <w:bCs/>
                <w:sz w:val="20"/>
                <w:lang w:val="en-AU"/>
              </w:rPr>
              <w:t>Excipients</w:t>
            </w:r>
          </w:p>
        </w:tc>
        <w:tc>
          <w:tcPr>
            <w:tcW w:w="6975" w:type="dxa"/>
          </w:tcPr>
          <w:p w:rsidRPr="00026F20" w:rsidR="00C01069" w:rsidP="00131848" w:rsidRDefault="00C01069" w14:paraId="213156A6" w14:textId="77777777">
            <w:pPr>
              <w:pStyle w:val="BodyText"/>
              <w:rPr>
                <w:rFonts w:cs="Arial"/>
                <w:sz w:val="20"/>
                <w:lang w:val="en-AU"/>
              </w:rPr>
            </w:pPr>
          </w:p>
        </w:tc>
      </w:tr>
      <w:tr w:rsidRPr="00026F20" w:rsidR="00C01069" w:rsidTr="00C01069" w14:paraId="25139C24" w14:textId="77777777">
        <w:trPr>
          <w:trHeight w:val="270"/>
        </w:trPr>
        <w:tc>
          <w:tcPr>
            <w:tcW w:w="2410" w:type="dxa"/>
          </w:tcPr>
          <w:p w:rsidRPr="00B53E9B" w:rsidR="00C01069" w:rsidP="00131848" w:rsidRDefault="00C01069" w14:paraId="34F433C4"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6975" w:type="dxa"/>
          </w:tcPr>
          <w:p w:rsidRPr="00026F20" w:rsidR="00C01069" w:rsidP="00131848" w:rsidRDefault="00C01069" w14:paraId="1772AAEA" w14:textId="77777777">
            <w:pPr>
              <w:pStyle w:val="BodyText"/>
              <w:rPr>
                <w:rFonts w:cs="Arial"/>
                <w:sz w:val="20"/>
                <w:lang w:val="en-AU"/>
              </w:rPr>
            </w:pPr>
          </w:p>
        </w:tc>
      </w:tr>
      <w:tr w:rsidRPr="00026F20" w:rsidR="00C01069" w:rsidTr="00C01069" w14:paraId="48D73C96" w14:textId="77777777">
        <w:trPr>
          <w:trHeight w:val="280"/>
        </w:trPr>
        <w:tc>
          <w:tcPr>
            <w:tcW w:w="2410" w:type="dxa"/>
          </w:tcPr>
          <w:p w:rsidRPr="00B53E9B" w:rsidR="00C01069" w:rsidP="00131848" w:rsidRDefault="00C01069" w14:paraId="7C59CF57" w14:textId="77777777">
            <w:pPr>
              <w:pStyle w:val="BodyText"/>
              <w:rPr>
                <w:rFonts w:cs="Arial"/>
                <w:b/>
                <w:bCs/>
                <w:sz w:val="20"/>
                <w:lang w:val="en-AU"/>
              </w:rPr>
            </w:pPr>
            <w:r w:rsidRPr="00B53E9B">
              <w:rPr>
                <w:rFonts w:cs="Arial"/>
                <w:b/>
                <w:bCs/>
                <w:sz w:val="20"/>
                <w:lang w:val="en-AU"/>
              </w:rPr>
              <w:t xml:space="preserve">Evidence </w:t>
            </w:r>
          </w:p>
        </w:tc>
        <w:tc>
          <w:tcPr>
            <w:tcW w:w="6975" w:type="dxa"/>
          </w:tcPr>
          <w:p w:rsidRPr="00C01069" w:rsidR="00C01069" w:rsidP="00131848" w:rsidRDefault="00C01069" w14:paraId="1C743AA3" w14:textId="77777777">
            <w:pPr>
              <w:pStyle w:val="BodyText"/>
              <w:tabs>
                <w:tab w:val="left" w:pos="1168"/>
              </w:tabs>
              <w:rPr>
                <w:rFonts w:cs="Arial"/>
                <w:sz w:val="16"/>
                <w:szCs w:val="16"/>
                <w:lang w:val="en-AU"/>
              </w:rPr>
            </w:pPr>
            <w:r w:rsidRPr="00C01069">
              <w:rPr>
                <w:rFonts w:cs="Arial"/>
                <w:sz w:val="16"/>
                <w:szCs w:val="16"/>
                <w:lang w:val="en-AU"/>
              </w:rPr>
              <w:t xml:space="preserve">Effectiveness: </w:t>
            </w:r>
          </w:p>
          <w:p w:rsidRPr="00C01069" w:rsidR="00C01069" w:rsidP="00131848" w:rsidRDefault="00C01069" w14:paraId="31FA46C6" w14:textId="77777777">
            <w:pPr>
              <w:pStyle w:val="BodyText"/>
              <w:tabs>
                <w:tab w:val="left" w:pos="1168"/>
              </w:tabs>
              <w:rPr>
                <w:rFonts w:cs="Arial"/>
                <w:sz w:val="16"/>
                <w:szCs w:val="16"/>
                <w:lang w:val="en-AU"/>
              </w:rPr>
            </w:pPr>
            <w:r w:rsidRPr="00C01069">
              <w:rPr>
                <w:rFonts w:cs="Arial"/>
                <w:sz w:val="16"/>
                <w:szCs w:val="16"/>
                <w:lang w:val="en-AU"/>
              </w:rPr>
              <w:t>Prophylactic intravenous indomethacin in preterm infants has short-term benefits including a reduction in the incidence of symptomatic PDA, PDA surgical ligation and severe intraventricular haemorrhage (IVH). However, there is no evidence of effect on mortality or neurodevelopment5 (LOE I GOR C). Safety: Prophylactic indomethacin is associated with oliguria but not an increased creatinine or gastrointestinal side effects.</w:t>
            </w:r>
          </w:p>
          <w:p w:rsidRPr="00C01069" w:rsidR="00C01069" w:rsidP="00131848" w:rsidRDefault="00C01069" w14:paraId="6979DF50" w14:textId="77777777">
            <w:pPr>
              <w:pStyle w:val="BodyText"/>
              <w:tabs>
                <w:tab w:val="left" w:pos="1168"/>
              </w:tabs>
              <w:rPr>
                <w:rFonts w:cs="Arial"/>
                <w:sz w:val="16"/>
                <w:szCs w:val="16"/>
                <w:lang w:val="en-AU"/>
              </w:rPr>
            </w:pPr>
          </w:p>
          <w:p w:rsidRPr="00C01069" w:rsidR="00C01069" w:rsidP="00131848" w:rsidRDefault="00C01069" w14:paraId="0378E18C" w14:textId="77777777">
            <w:pPr>
              <w:pStyle w:val="BodyText"/>
              <w:tabs>
                <w:tab w:val="left" w:pos="1168"/>
              </w:tabs>
              <w:rPr>
                <w:rFonts w:cs="Arial"/>
                <w:sz w:val="16"/>
                <w:szCs w:val="16"/>
                <w:lang w:val="en-AU"/>
              </w:rPr>
            </w:pPr>
            <w:r w:rsidRPr="00C01069">
              <w:rPr>
                <w:rFonts w:cs="Arial"/>
                <w:sz w:val="16"/>
                <w:szCs w:val="16"/>
                <w:lang w:val="en-AU"/>
              </w:rPr>
              <w:t xml:space="preserve">Indomethacin for asymptomatic patent ductus arteriosus: Treatment of an asymptomatic PDA with indomethacin reduced the incidence of symptomatic PDA, duration of supplemental oxygen, with no effect on mortality, IVH, retinopathy of prematurity, length of ventilation, or NEC. Safety: Renal and gastrointestinal toxicities and long term neurodevelopment were not reported10 (LOE I, GOR C). </w:t>
            </w:r>
          </w:p>
          <w:p w:rsidRPr="00C01069" w:rsidR="00C01069" w:rsidP="00131848" w:rsidRDefault="00C01069" w14:paraId="4F717766" w14:textId="77777777">
            <w:pPr>
              <w:pStyle w:val="BodyText"/>
              <w:tabs>
                <w:tab w:val="left" w:pos="1168"/>
              </w:tabs>
              <w:rPr>
                <w:rFonts w:cs="Arial"/>
                <w:sz w:val="16"/>
                <w:szCs w:val="16"/>
                <w:lang w:val="en-AU"/>
              </w:rPr>
            </w:pPr>
          </w:p>
          <w:p w:rsidRPr="00C01069" w:rsidR="00C01069" w:rsidP="00131848" w:rsidRDefault="00C01069" w14:paraId="4EFE5F18" w14:textId="77777777">
            <w:pPr>
              <w:pStyle w:val="BodyText"/>
              <w:tabs>
                <w:tab w:val="left" w:pos="1168"/>
              </w:tabs>
              <w:rPr>
                <w:rFonts w:cs="Arial"/>
                <w:sz w:val="16"/>
                <w:szCs w:val="16"/>
                <w:lang w:val="en-AU"/>
              </w:rPr>
            </w:pPr>
            <w:r w:rsidRPr="00C01069">
              <w:rPr>
                <w:rFonts w:cs="Arial"/>
                <w:sz w:val="16"/>
                <w:szCs w:val="16"/>
                <w:lang w:val="en-AU"/>
              </w:rPr>
              <w:t xml:space="preserve">Indomethacin versus ibuprofen for the treatment of patent ductus arteriosus in preterm or low birth weight infants: Indomethacin is as effective as ibuprofen in closing a PDA6. Safety: Indomethacin increases the risk of NEC and transient renal insufficiency compared to ibuprofen. </w:t>
            </w:r>
          </w:p>
          <w:p w:rsidRPr="00C01069" w:rsidR="00C01069" w:rsidP="00131848" w:rsidRDefault="00C01069" w14:paraId="0F92E9CC" w14:textId="77777777">
            <w:pPr>
              <w:pStyle w:val="BodyText"/>
              <w:tabs>
                <w:tab w:val="left" w:pos="1168"/>
              </w:tabs>
              <w:rPr>
                <w:rFonts w:cs="Arial"/>
                <w:sz w:val="16"/>
                <w:szCs w:val="16"/>
                <w:lang w:val="en-AU"/>
              </w:rPr>
            </w:pPr>
          </w:p>
          <w:p w:rsidRPr="00C01069" w:rsidR="00C01069" w:rsidP="00131848" w:rsidRDefault="00C01069" w14:paraId="121FF4EE" w14:textId="77777777">
            <w:pPr>
              <w:pStyle w:val="BodyText"/>
              <w:tabs>
                <w:tab w:val="left" w:pos="1168"/>
              </w:tabs>
              <w:rPr>
                <w:rFonts w:cs="Arial"/>
                <w:sz w:val="16"/>
                <w:szCs w:val="16"/>
                <w:lang w:val="en-AU"/>
              </w:rPr>
            </w:pPr>
            <w:r w:rsidRPr="00C01069">
              <w:rPr>
                <w:rFonts w:cs="Arial"/>
                <w:sz w:val="16"/>
                <w:szCs w:val="16"/>
                <w:lang w:val="en-AU"/>
              </w:rPr>
              <w:t xml:space="preserve">Summary recommendation: Ibuprofen is as effective as indomethacin in closing a PDA and currently appears to be the drug of choice. Ibuprofen reduces the risk of NEC and transient renal insufficiency compared to indomethacin6 (LOE I GOR B). </w:t>
            </w:r>
          </w:p>
          <w:p w:rsidRPr="00C01069" w:rsidR="00C01069" w:rsidP="00131848" w:rsidRDefault="00C01069" w14:paraId="6F03FC51" w14:textId="77777777">
            <w:pPr>
              <w:pStyle w:val="BodyText"/>
              <w:tabs>
                <w:tab w:val="left" w:pos="1168"/>
              </w:tabs>
              <w:rPr>
                <w:rFonts w:cs="Arial"/>
                <w:sz w:val="16"/>
                <w:szCs w:val="16"/>
                <w:lang w:val="en-AU"/>
              </w:rPr>
            </w:pPr>
          </w:p>
          <w:p w:rsidRPr="00C01069" w:rsidR="00C01069" w:rsidP="00131848" w:rsidRDefault="00C01069" w14:paraId="06F38F90" w14:textId="77777777">
            <w:pPr>
              <w:pStyle w:val="BodyText"/>
              <w:tabs>
                <w:tab w:val="left" w:pos="1168"/>
              </w:tabs>
              <w:rPr>
                <w:rFonts w:cs="Arial"/>
                <w:sz w:val="16"/>
                <w:szCs w:val="16"/>
                <w:lang w:val="en-AU"/>
              </w:rPr>
            </w:pPr>
            <w:r w:rsidRPr="00C01069">
              <w:rPr>
                <w:rFonts w:cs="Arial"/>
                <w:sz w:val="16"/>
                <w:szCs w:val="16"/>
                <w:lang w:val="en-AU"/>
              </w:rPr>
              <w:t>Dose: Indomethacin given in total amounts for the prolonged course (6−8 doses) of 0.6−1.6 mg/kg compared with the short course 0.3−0.6 mg/kg (2–3 doses): There was no difference in efficacy between a short or prolonged course of indomethacin (LOE 1, GOR C). Safety: A prolonged course is associated with an increased risk of NEC but a decreased incidence of renal function impairment (oliguria and increased serum creatinine) 7 (LOE I, GOR B). Pharmacokinetic studies reported substantial interpatient variability11, 12 in clearance related to postnatal age2, 12. Bolus infusions of indomethacin are associated with alterations in renal, mesenteric and cerebral blood flow13. Ductus arteriosus closure rates are related to dose and indomethacin concentrations 11,14.</w:t>
            </w:r>
          </w:p>
        </w:tc>
      </w:tr>
      <w:tr w:rsidRPr="00026F20" w:rsidR="00C01069" w:rsidTr="00C01069" w14:paraId="23F4B66A" w14:textId="77777777">
        <w:trPr>
          <w:trHeight w:val="108"/>
        </w:trPr>
        <w:tc>
          <w:tcPr>
            <w:tcW w:w="2410" w:type="dxa"/>
          </w:tcPr>
          <w:p w:rsidRPr="00B53E9B" w:rsidR="00C01069" w:rsidP="00131848" w:rsidRDefault="00C01069" w14:paraId="043C25F4" w14:textId="77777777">
            <w:pPr>
              <w:pStyle w:val="BodyText"/>
              <w:rPr>
                <w:rFonts w:cs="Arial"/>
                <w:b/>
                <w:bCs/>
                <w:sz w:val="20"/>
                <w:lang w:val="en-AU"/>
              </w:rPr>
            </w:pPr>
            <w:r w:rsidRPr="00B53E9B">
              <w:rPr>
                <w:rFonts w:cs="Arial"/>
                <w:b/>
                <w:bCs/>
                <w:sz w:val="20"/>
                <w:lang w:val="en-AU"/>
              </w:rPr>
              <w:t>Practice points</w:t>
            </w:r>
          </w:p>
        </w:tc>
        <w:tc>
          <w:tcPr>
            <w:tcW w:w="6975" w:type="dxa"/>
          </w:tcPr>
          <w:p w:rsidRPr="00026F20" w:rsidR="00C01069" w:rsidP="00131848" w:rsidRDefault="00C01069" w14:paraId="1288C4DB" w14:textId="77777777">
            <w:pPr>
              <w:pStyle w:val="BodyText"/>
              <w:tabs>
                <w:tab w:val="left" w:pos="1168"/>
              </w:tabs>
              <w:rPr>
                <w:rFonts w:cs="Arial"/>
                <w:sz w:val="20"/>
                <w:lang w:val="en-AU"/>
              </w:rPr>
            </w:pPr>
          </w:p>
        </w:tc>
      </w:tr>
      <w:tr w:rsidRPr="00A4414D" w:rsidR="00C01069" w:rsidTr="00C01069" w14:paraId="2CE07883" w14:textId="77777777">
        <w:trPr>
          <w:trHeight w:val="70"/>
        </w:trPr>
        <w:tc>
          <w:tcPr>
            <w:tcW w:w="2410" w:type="dxa"/>
          </w:tcPr>
          <w:p w:rsidRPr="00B53E9B" w:rsidR="00C01069" w:rsidP="00131848" w:rsidRDefault="00C01069" w14:paraId="7E06C477" w14:textId="77777777">
            <w:pPr>
              <w:pStyle w:val="BodyText"/>
              <w:rPr>
                <w:rFonts w:cs="Arial"/>
                <w:b/>
                <w:bCs/>
                <w:sz w:val="20"/>
                <w:lang w:val="en-AU"/>
              </w:rPr>
            </w:pPr>
            <w:r w:rsidRPr="00B53E9B">
              <w:rPr>
                <w:b/>
                <w:sz w:val="20"/>
                <w:lang w:val="en-AU"/>
              </w:rPr>
              <w:t>References</w:t>
            </w:r>
          </w:p>
        </w:tc>
        <w:tc>
          <w:tcPr>
            <w:tcW w:w="6975" w:type="dxa"/>
          </w:tcPr>
          <w:p w:rsidRPr="00C01069" w:rsidR="00C01069" w:rsidP="00131848" w:rsidRDefault="00C01069" w14:paraId="64ABFFC4" w14:textId="77777777">
            <w:pPr>
              <w:rPr>
                <w:sz w:val="16"/>
                <w:szCs w:val="16"/>
              </w:rPr>
            </w:pPr>
            <w:r w:rsidRPr="00C01069">
              <w:rPr>
                <w:sz w:val="16"/>
                <w:szCs w:val="16"/>
              </w:rPr>
              <w:t>1. Allegaert K. The impact of ibuprofen or indomethacin on renal drug clearance in neonates. The journal of maternal-fetal &amp; neonatal medicine. 2009;22;88–91.</w:t>
            </w:r>
          </w:p>
          <w:p w:rsidRPr="00C01069" w:rsidR="00C01069" w:rsidP="00131848" w:rsidRDefault="00C01069" w14:paraId="357FE9D4" w14:textId="77777777">
            <w:pPr>
              <w:rPr>
                <w:sz w:val="16"/>
                <w:szCs w:val="16"/>
              </w:rPr>
            </w:pPr>
            <w:r w:rsidRPr="00C01069">
              <w:rPr>
                <w:sz w:val="16"/>
                <w:szCs w:val="16"/>
              </w:rPr>
              <w:t>2. Smyth JM, Collier PS, Darwish M, Millership JS, Halliday HL, Petersen S, McElnay JC. Intravenous indomethacin in preterm infants with symptomatic patent ductus arteriosus. A population pharmacokinetic study. British journal of clinical pharmacology. 2004;58:249–58.</w:t>
            </w:r>
          </w:p>
          <w:p w:rsidRPr="00C01069" w:rsidR="00C01069" w:rsidP="00131848" w:rsidRDefault="00C01069" w14:paraId="073A4BE0" w14:textId="77777777">
            <w:pPr>
              <w:rPr>
                <w:sz w:val="16"/>
                <w:szCs w:val="16"/>
              </w:rPr>
            </w:pPr>
            <w:r w:rsidRPr="00C01069">
              <w:rPr>
                <w:sz w:val="16"/>
                <w:szCs w:val="16"/>
              </w:rPr>
              <w:t>3. Lee BS, Byun SY, Chung ML, Chang JY, Kim HY, Kim EA, Kim KS, Pi SY. Effect of furosemide on ductal closure and renal function in indomethacin-treated preterm infants during the early neonatal period. Neonatology. 2010;98:191–9.</w:t>
            </w:r>
          </w:p>
          <w:p w:rsidRPr="00C01069" w:rsidR="00C01069" w:rsidP="00131848" w:rsidRDefault="00C01069" w14:paraId="627D8C64" w14:textId="77777777">
            <w:pPr>
              <w:rPr>
                <w:sz w:val="16"/>
                <w:szCs w:val="16"/>
              </w:rPr>
            </w:pPr>
            <w:r w:rsidRPr="00C01069">
              <w:rPr>
                <w:sz w:val="16"/>
                <w:szCs w:val="16"/>
              </w:rPr>
              <w:t>4. Brion LP, Campbell DE. Furosemide for symptomatic patent ductus arteriosus in indomethacin-treated infants. The Cochrane database of systematic reviews. 2001:CD001148.</w:t>
            </w:r>
          </w:p>
          <w:p w:rsidRPr="00C01069" w:rsidR="00C01069" w:rsidP="00131848" w:rsidRDefault="00C01069" w14:paraId="057FC521" w14:textId="77777777">
            <w:pPr>
              <w:rPr>
                <w:sz w:val="16"/>
                <w:szCs w:val="16"/>
              </w:rPr>
            </w:pPr>
            <w:r w:rsidRPr="00C01069">
              <w:rPr>
                <w:sz w:val="16"/>
                <w:szCs w:val="16"/>
              </w:rPr>
              <w:t>5. Fowlie PW, Davis PG, McGuire W. Prophylactic intravenous indomethacin for preventing mortality and morbidity in preterm infants. The Cochrane database of systematic reviews. 2010:CD000174.</w:t>
            </w:r>
          </w:p>
          <w:p w:rsidRPr="00C01069" w:rsidR="00C01069" w:rsidP="00131848" w:rsidRDefault="00C01069" w14:paraId="11BA2C94" w14:textId="77777777">
            <w:pPr>
              <w:rPr>
                <w:sz w:val="16"/>
                <w:szCs w:val="16"/>
              </w:rPr>
            </w:pPr>
            <w:r w:rsidRPr="00C01069">
              <w:rPr>
                <w:sz w:val="16"/>
                <w:szCs w:val="16"/>
              </w:rPr>
              <w:lastRenderedPageBreak/>
              <w:t>6. Ohlsson A, Walia R, Shah SS. Ibuprofen for the treatment of patent ductus arteriosus in preterm or low birth weight (or both) infants. The Cochrane database of systematic reviews. 2015;2:CD003481.</w:t>
            </w:r>
          </w:p>
          <w:p w:rsidRPr="00C01069" w:rsidR="00C01069" w:rsidP="00131848" w:rsidRDefault="00C01069" w14:paraId="2E4CD5FA" w14:textId="77777777">
            <w:pPr>
              <w:rPr>
                <w:sz w:val="16"/>
                <w:szCs w:val="16"/>
              </w:rPr>
            </w:pPr>
            <w:r w:rsidRPr="00C01069">
              <w:rPr>
                <w:sz w:val="16"/>
                <w:szCs w:val="16"/>
              </w:rPr>
              <w:t>7. Herrera C, Holberton J, Davis P. Prolonged versus short course of indomethacin for the treatment of patent ductus arteriosus in preterm infants. The Cochrane database of systematic reviews. 2007:CD003480.</w:t>
            </w:r>
          </w:p>
          <w:p w:rsidRPr="00C01069" w:rsidR="00C01069" w:rsidP="00131848" w:rsidRDefault="00C01069" w14:paraId="54B991BD" w14:textId="77777777">
            <w:pPr>
              <w:rPr>
                <w:sz w:val="16"/>
                <w:szCs w:val="16"/>
              </w:rPr>
            </w:pPr>
            <w:r w:rsidRPr="00C01069">
              <w:rPr>
                <w:sz w:val="16"/>
                <w:szCs w:val="16"/>
              </w:rPr>
              <w:t>8. Stark AR, Carlo WA, Tyson JE, Papile LA, Wright LL, Shankaran S, Donovan EF, Oh W, Bauer CR, Saha S, Poole WK, Stoll BJ, National Institute of Child H, Human Development Neonatal Research N. Adverse effects of early dexamethasone in extremely-low-birth-weight infants. National Institute of Child Health and Human Development Neonatal Research Network. The New England journal of medicine. 2001;344:95–101.</w:t>
            </w:r>
          </w:p>
          <w:p w:rsidRPr="00C01069" w:rsidR="00C01069" w:rsidP="00131848" w:rsidRDefault="00C01069" w14:paraId="6E18E928" w14:textId="77777777">
            <w:pPr>
              <w:rPr>
                <w:sz w:val="16"/>
                <w:szCs w:val="16"/>
              </w:rPr>
            </w:pPr>
            <w:r w:rsidRPr="00C01069">
              <w:rPr>
                <w:sz w:val="16"/>
                <w:szCs w:val="16"/>
              </w:rPr>
              <w:t>9. Walker SE, Gray S, Schmidt B. Stability of reconstituted indomethacin sodium trihydrate in original vials and polypropylene syringes. American journal of health-system pharmacy : AJHP : official journal of the American Society of Health-System Pharmacists. 1998; 55:154–8.</w:t>
            </w:r>
          </w:p>
          <w:p w:rsidRPr="00C01069" w:rsidR="00C01069" w:rsidP="00131848" w:rsidRDefault="00C01069" w14:paraId="4CB59A24" w14:textId="77777777">
            <w:pPr>
              <w:rPr>
                <w:sz w:val="16"/>
                <w:szCs w:val="16"/>
              </w:rPr>
            </w:pPr>
            <w:r w:rsidRPr="00C01069">
              <w:rPr>
                <w:sz w:val="16"/>
                <w:szCs w:val="16"/>
              </w:rPr>
              <w:t>10. Cooke L, Steer P, Woodgate P. Indomethacin for asymptomatic patent ductus arteriosus in preterm infants. The Cochrane database of systematic reviews. 2003:CD003745.</w:t>
            </w:r>
          </w:p>
          <w:p w:rsidRPr="00C01069" w:rsidR="00C01069" w:rsidP="00131848" w:rsidRDefault="00C01069" w14:paraId="6DE74598" w14:textId="77777777">
            <w:pPr>
              <w:rPr>
                <w:sz w:val="16"/>
                <w:szCs w:val="16"/>
              </w:rPr>
            </w:pPr>
            <w:r w:rsidRPr="00C01069">
              <w:rPr>
                <w:sz w:val="16"/>
                <w:szCs w:val="16"/>
              </w:rPr>
              <w:t>11. Brash AR, Hickey DE, Graham TP, Stahlman MT, Oates JA, Cotton RB. Pharmacokinetics of indomethacin in the neonate. Relation of plasma indomethacin levels to response of the ductus arteriosus. The New England journal of medicine. 1981; 305:67–72.</w:t>
            </w:r>
          </w:p>
          <w:p w:rsidRPr="00C01069" w:rsidR="00C01069" w:rsidP="00131848" w:rsidRDefault="00C01069" w14:paraId="5C65D559" w14:textId="77777777">
            <w:pPr>
              <w:rPr>
                <w:sz w:val="16"/>
                <w:szCs w:val="16"/>
              </w:rPr>
            </w:pPr>
            <w:r w:rsidRPr="00C01069">
              <w:rPr>
                <w:sz w:val="16"/>
                <w:szCs w:val="16"/>
              </w:rPr>
              <w:t>12. Yaffe SJ, Friedman WF, Rogers D, Lang P, Ragni M, Saccar C. The disposition of indomethacin in preterm babies. The Journal of pediatrics. 1980;97:1001–6.</w:t>
            </w:r>
          </w:p>
          <w:p w:rsidRPr="00C01069" w:rsidR="00C01069" w:rsidP="00131848" w:rsidRDefault="00C01069" w14:paraId="49B69E5C" w14:textId="77777777">
            <w:pPr>
              <w:rPr>
                <w:sz w:val="16"/>
                <w:szCs w:val="16"/>
              </w:rPr>
            </w:pPr>
            <w:r w:rsidRPr="00C01069">
              <w:rPr>
                <w:sz w:val="16"/>
                <w:szCs w:val="16"/>
              </w:rPr>
              <w:t>13. Gork AS, Ehrenkranz RA, Bracken MB. Continuous infusion versus intermittent bolus doses of indomethacin for patent ductus arteriosus closure in symptomatic preterm infants. The Cochrane database of systematic reviews. 2008:CD006071.</w:t>
            </w:r>
          </w:p>
          <w:p w:rsidRPr="00C01069" w:rsidR="00C01069" w:rsidP="00131848" w:rsidRDefault="00C01069" w14:paraId="7DE5FFE4" w14:textId="77777777">
            <w:pPr>
              <w:rPr>
                <w:sz w:val="16"/>
                <w:szCs w:val="16"/>
              </w:rPr>
            </w:pPr>
            <w:r w:rsidRPr="00C01069">
              <w:rPr>
                <w:sz w:val="16"/>
                <w:szCs w:val="16"/>
              </w:rPr>
              <w:t>14. Shaffer CL, Gal P, Ransom JL, Carlos RQ, Smith MS, Davey AM, Dimaguila MA, Brown YL, Schall SA. Effect of age and birth weight on indomethacin pharmacodynamics in neonates treated for patent ductus arteriosus. Critical care medicine. 2002;30:343–8.</w:t>
            </w:r>
          </w:p>
          <w:p w:rsidRPr="00C01069" w:rsidR="00C01069" w:rsidP="00131848" w:rsidRDefault="00C01069" w14:paraId="7B96D12D" w14:textId="77777777">
            <w:pPr>
              <w:rPr>
                <w:sz w:val="16"/>
                <w:szCs w:val="16"/>
              </w:rPr>
            </w:pPr>
            <w:r w:rsidRPr="00C01069">
              <w:rPr>
                <w:sz w:val="16"/>
                <w:szCs w:val="16"/>
              </w:rPr>
              <w:t>15. Indomethacin. In: IV index. Trissel's 2 clinical pharmaceutics database (parenteral compatibility). Greenwood Village, Colorado: Truven Health Analytics. Accessed 9/9/15.</w:t>
            </w:r>
          </w:p>
          <w:p w:rsidRPr="00C01069" w:rsidR="00C01069" w:rsidP="00131848" w:rsidRDefault="00C01069" w14:paraId="63E39538" w14:textId="77777777">
            <w:pPr>
              <w:rPr>
                <w:sz w:val="16"/>
                <w:szCs w:val="16"/>
              </w:rPr>
            </w:pPr>
            <w:r w:rsidRPr="00C01069">
              <w:rPr>
                <w:sz w:val="16"/>
                <w:szCs w:val="16"/>
              </w:rPr>
              <w:t>16. Australian Injectable Drugs Handbook, 6th Edition, Society of Hospital Pharmacists of Australia 2014.</w:t>
            </w:r>
          </w:p>
        </w:tc>
      </w:tr>
    </w:tbl>
    <w:p w:rsidRPr="00E25790" w:rsidR="008C390A" w:rsidP="006F0321" w:rsidRDefault="008C390A" w14:paraId="6B95DF3A" w14:textId="77777777"/>
    <w:p w:rsidRPr="00E25790" w:rsidR="008C390A" w:rsidP="006F0321" w:rsidRDefault="008C390A" w14:paraId="6FA19733" w14:textId="77777777"/>
    <w:tbl>
      <w:tblPr>
        <w:tblW w:w="8789"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394"/>
      </w:tblGrid>
      <w:tr w:rsidRPr="00E25790" w:rsidR="00CD0750" w:rsidTr="00F91A22" w14:paraId="257E2C0F" w14:textId="77777777">
        <w:tc>
          <w:tcPr>
            <w:tcW w:w="4395" w:type="dxa"/>
            <w:vAlign w:val="center"/>
          </w:tcPr>
          <w:p w:rsidRPr="00E25790" w:rsidR="00F91A22" w:rsidP="006F0321" w:rsidRDefault="00F91A22" w14:paraId="2532655B" w14:textId="77777777">
            <w:pPr>
              <w:rPr>
                <w:lang w:val="en-AU"/>
              </w:rPr>
            </w:pPr>
            <w:r w:rsidRPr="00E25790">
              <w:rPr>
                <w:lang w:val="en-AU"/>
              </w:rPr>
              <w:t>Original version Date: 29/09/2015</w:t>
            </w:r>
          </w:p>
        </w:tc>
        <w:tc>
          <w:tcPr>
            <w:tcW w:w="4394" w:type="dxa"/>
            <w:vAlign w:val="center"/>
          </w:tcPr>
          <w:p w:rsidRPr="00E25790" w:rsidR="00F91A22" w:rsidP="006F0321" w:rsidRDefault="00F91A22" w14:paraId="19672835" w14:textId="77777777">
            <w:pPr>
              <w:rPr>
                <w:lang w:val="en-AU"/>
              </w:rPr>
            </w:pPr>
            <w:r w:rsidRPr="00E25790">
              <w:rPr>
                <w:lang w:val="en-AU"/>
              </w:rPr>
              <w:t>Author: NeoMed Consensus Group</w:t>
            </w:r>
          </w:p>
        </w:tc>
      </w:tr>
      <w:tr w:rsidRPr="00E25790" w:rsidR="00CD0750" w:rsidTr="00F91A22" w14:paraId="2908616E" w14:textId="77777777">
        <w:tc>
          <w:tcPr>
            <w:tcW w:w="4395" w:type="dxa"/>
            <w:vAlign w:val="center"/>
          </w:tcPr>
          <w:p w:rsidRPr="00E25790" w:rsidR="00F91A22" w:rsidP="006F0321" w:rsidRDefault="00F91A22" w14:paraId="746CF4C4" w14:textId="5171CFE1">
            <w:pPr>
              <w:rPr>
                <w:bCs/>
                <w:lang w:val="en-AU"/>
              </w:rPr>
            </w:pPr>
            <w:r w:rsidRPr="00E25790">
              <w:rPr>
                <w:lang w:val="en-AU"/>
              </w:rPr>
              <w:t xml:space="preserve">Current Version number:  </w:t>
            </w:r>
            <w:r w:rsidR="00996A53">
              <w:rPr>
                <w:lang w:val="en-AU"/>
              </w:rPr>
              <w:t>2</w:t>
            </w:r>
          </w:p>
        </w:tc>
        <w:tc>
          <w:tcPr>
            <w:tcW w:w="4394" w:type="dxa"/>
            <w:vAlign w:val="center"/>
          </w:tcPr>
          <w:p w:rsidRPr="00E25790" w:rsidR="00F91A22" w:rsidP="006F0321" w:rsidRDefault="00F91A22" w14:paraId="12F701AF" w14:textId="36251B6F">
            <w:pPr>
              <w:rPr>
                <w:lang w:val="en-AU"/>
              </w:rPr>
            </w:pPr>
            <w:r w:rsidRPr="00E25790">
              <w:rPr>
                <w:lang w:val="en-AU"/>
              </w:rPr>
              <w:t xml:space="preserve">Current Version Date: </w:t>
            </w:r>
            <w:r w:rsidR="00996A53">
              <w:rPr>
                <w:lang w:val="en-AU"/>
              </w:rPr>
              <w:t>18-2-2021</w:t>
            </w:r>
          </w:p>
        </w:tc>
      </w:tr>
      <w:tr w:rsidRPr="00E25790" w:rsidR="00CD0750" w:rsidTr="00F91A22" w14:paraId="46E9951E" w14:textId="77777777">
        <w:tc>
          <w:tcPr>
            <w:tcW w:w="4395" w:type="dxa"/>
            <w:vAlign w:val="center"/>
          </w:tcPr>
          <w:p w:rsidRPr="00E25790" w:rsidR="00F91A22" w:rsidP="006F0321" w:rsidRDefault="00F91A22" w14:paraId="418E7E0C" w14:textId="648048A9">
            <w:pPr>
              <w:rPr>
                <w:lang w:val="en-AU"/>
              </w:rPr>
            </w:pPr>
            <w:r w:rsidRPr="00E25790">
              <w:rPr>
                <w:lang w:val="en-AU"/>
              </w:rPr>
              <w:t xml:space="preserve">Risk Rating: </w:t>
            </w:r>
            <w:r w:rsidR="00097A20">
              <w:rPr>
                <w:lang w:val="en-AU"/>
              </w:rPr>
              <w:t>Low</w:t>
            </w:r>
          </w:p>
        </w:tc>
        <w:tc>
          <w:tcPr>
            <w:tcW w:w="4394" w:type="dxa"/>
            <w:vAlign w:val="center"/>
          </w:tcPr>
          <w:p w:rsidRPr="00E25790" w:rsidR="00F91A22" w:rsidP="006F0321" w:rsidRDefault="00F91A22" w14:paraId="128657F9" w14:textId="7EA201FE">
            <w:pPr>
              <w:rPr>
                <w:lang w:val="en-AU"/>
              </w:rPr>
            </w:pPr>
            <w:r w:rsidRPr="00E25790">
              <w:rPr>
                <w:lang w:val="en-AU"/>
              </w:rPr>
              <w:t xml:space="preserve">Due for Review:  </w:t>
            </w:r>
            <w:r w:rsidR="00996A53">
              <w:rPr>
                <w:lang w:val="en-AU"/>
              </w:rPr>
              <w:t>18-2-2026</w:t>
            </w:r>
          </w:p>
        </w:tc>
      </w:tr>
      <w:tr w:rsidRPr="00E25790" w:rsidR="00CD0750" w:rsidTr="00F91A22" w14:paraId="3FD803B5" w14:textId="77777777">
        <w:trPr>
          <w:trHeight w:val="344"/>
        </w:trPr>
        <w:tc>
          <w:tcPr>
            <w:tcW w:w="4395" w:type="dxa"/>
            <w:tcBorders>
              <w:bottom w:val="single" w:color="auto" w:sz="4" w:space="0"/>
            </w:tcBorders>
            <w:vAlign w:val="center"/>
          </w:tcPr>
          <w:p w:rsidRPr="00E25790" w:rsidR="00F91A22" w:rsidP="006F0321" w:rsidRDefault="00F91A22" w14:paraId="0A0A7971" w14:textId="77777777">
            <w:r w:rsidRPr="00E25790">
              <w:t>Approval by: DTC</w:t>
            </w:r>
          </w:p>
        </w:tc>
        <w:tc>
          <w:tcPr>
            <w:tcW w:w="4394" w:type="dxa"/>
            <w:tcBorders>
              <w:bottom w:val="single" w:color="auto" w:sz="4" w:space="0"/>
            </w:tcBorders>
            <w:vAlign w:val="center"/>
          </w:tcPr>
          <w:p w:rsidRPr="00E25790" w:rsidR="00F91A22" w:rsidP="006F0321" w:rsidRDefault="00F91A22" w14:paraId="4EE199D9" w14:textId="33326255">
            <w:pPr>
              <w:rPr>
                <w:lang w:val="en-AU"/>
              </w:rPr>
            </w:pPr>
            <w:r w:rsidRPr="00E25790">
              <w:rPr>
                <w:lang w:val="en-AU"/>
              </w:rPr>
              <w:t xml:space="preserve">Approval Date: </w:t>
            </w:r>
            <w:r w:rsidR="00260BC8">
              <w:rPr>
                <w:lang w:val="en-AU"/>
              </w:rPr>
              <w:t>APRIL 2021</w:t>
            </w:r>
          </w:p>
        </w:tc>
      </w:tr>
    </w:tbl>
    <w:p w:rsidRPr="00E25790" w:rsidR="00115F48" w:rsidP="006F0321" w:rsidRDefault="00115F48" w14:paraId="5D13037B"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A26E96" w14:paraId="74526959"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3D795F86" w14:textId="77777777">
            <w:pPr>
              <w:pStyle w:val="Heading1"/>
            </w:pPr>
            <w:bookmarkStart w:name="_Toc38106866" w:id="332"/>
            <w:bookmarkStart w:name="_Toc75339992" w:id="333"/>
            <w:r w:rsidRPr="00E25790">
              <w:rPr>
                <w:caps/>
              </w:rPr>
              <w:lastRenderedPageBreak/>
              <w:t>Infanrix</w:t>
            </w:r>
            <w:r w:rsidRPr="00E25790">
              <w:t xml:space="preserve"> hexa</w:t>
            </w:r>
            <w:bookmarkEnd w:id="332"/>
            <w:bookmarkEnd w:id="333"/>
            <w:r w:rsidRPr="00E25790">
              <w:fldChar w:fldCharType="begin"/>
            </w:r>
            <w:r w:rsidRPr="00E25790">
              <w:instrText>tc "Surfactant" \l 0</w:instrText>
            </w:r>
            <w:r w:rsidRPr="00E25790">
              <w:fldChar w:fldCharType="end"/>
            </w:r>
          </w:p>
        </w:tc>
      </w:tr>
      <w:tr w:rsidRPr="00E25790" w:rsidR="00115F48" w:rsidTr="00A26E96" w14:paraId="699D14F7"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18A07B16" w14:textId="1D51A9DE">
            <w:r w:rsidRPr="00E25790">
              <w:t xml:space="preserve">Revision Date : </w:t>
            </w:r>
            <w:r w:rsidR="00D91A40">
              <w:t>22-12-2020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F9EC94A" w14:textId="7002EF1B">
            <w:r w:rsidRPr="00E25790">
              <w:t xml:space="preserve">Approved: </w:t>
            </w:r>
            <w:r w:rsidR="00D91A40">
              <w:t>TC, KOH</w:t>
            </w:r>
          </w:p>
        </w:tc>
      </w:tr>
    </w:tbl>
    <w:p w:rsidRPr="00E25790" w:rsidR="00115F48" w:rsidP="006F0321" w:rsidRDefault="00115F48" w14:paraId="4A3A35F3" w14:textId="77777777"/>
    <w:tbl>
      <w:tblPr>
        <w:tblW w:w="10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967"/>
      </w:tblGrid>
      <w:tr w:rsidRPr="00721BF0" w:rsidR="00273A16" w:rsidTr="77BEE3D0" w14:paraId="32D75742" w14:textId="77777777">
        <w:trPr>
          <w:trHeight w:val="363"/>
        </w:trPr>
        <w:tc>
          <w:tcPr>
            <w:tcW w:w="2410" w:type="dxa"/>
          </w:tcPr>
          <w:p w:rsidRPr="00721BF0" w:rsidR="00AF56F9" w:rsidP="00E525C7" w:rsidRDefault="00AF56F9" w14:paraId="5889472F" w14:textId="77777777">
            <w:pPr>
              <w:pStyle w:val="BodyText"/>
              <w:tabs>
                <w:tab w:val="center" w:pos="1476"/>
              </w:tabs>
              <w:rPr>
                <w:rFonts w:cs="Arial" w:asciiTheme="minorHAnsi" w:hAnsiTheme="minorHAnsi"/>
                <w:b/>
                <w:sz w:val="22"/>
                <w:szCs w:val="22"/>
              </w:rPr>
            </w:pPr>
            <w:r w:rsidRPr="00721BF0">
              <w:rPr>
                <w:rFonts w:cs="Arial" w:asciiTheme="minorHAnsi" w:hAnsiTheme="minorHAnsi"/>
                <w:b/>
                <w:sz w:val="22"/>
                <w:szCs w:val="22"/>
              </w:rPr>
              <w:t>Alert</w:t>
            </w:r>
            <w:r w:rsidRPr="00721BF0">
              <w:rPr>
                <w:rFonts w:cs="Arial" w:asciiTheme="minorHAnsi" w:hAnsiTheme="minorHAnsi"/>
                <w:b/>
                <w:sz w:val="22"/>
                <w:szCs w:val="22"/>
              </w:rPr>
              <w:tab/>
            </w:r>
          </w:p>
          <w:p w:rsidRPr="00721BF0" w:rsidR="00AF56F9" w:rsidP="00E525C7" w:rsidRDefault="00AF56F9" w14:paraId="257CADD1" w14:textId="77777777">
            <w:pPr>
              <w:pStyle w:val="BodyText"/>
              <w:tabs>
                <w:tab w:val="center" w:pos="1476"/>
              </w:tabs>
              <w:rPr>
                <w:rFonts w:cs="Arial" w:asciiTheme="minorHAnsi" w:hAnsiTheme="minorHAnsi"/>
                <w:b/>
                <w:sz w:val="20"/>
              </w:rPr>
            </w:pPr>
            <w:r w:rsidRPr="00721BF0">
              <w:rPr>
                <w:rFonts w:cs="Arial" w:asciiTheme="minorHAnsi" w:hAnsiTheme="minorHAnsi"/>
                <w:b/>
                <w:sz w:val="20"/>
              </w:rPr>
              <w:t xml:space="preserve"> </w:t>
            </w:r>
          </w:p>
        </w:tc>
        <w:tc>
          <w:tcPr>
            <w:tcW w:w="7967" w:type="dxa"/>
          </w:tcPr>
          <w:p w:rsidR="00AF56F9" w:rsidP="00E525C7" w:rsidRDefault="00AF56F9" w14:paraId="3B24F94D" w14:textId="77777777">
            <w:pPr>
              <w:pStyle w:val="Default"/>
              <w:rPr>
                <w:rFonts w:asciiTheme="minorHAnsi" w:hAnsiTheme="minorHAnsi"/>
                <w:sz w:val="20"/>
              </w:rPr>
            </w:pPr>
            <w:r w:rsidRPr="005729C2">
              <w:rPr>
                <w:rFonts w:asciiTheme="minorHAnsi" w:hAnsiTheme="minorHAnsi"/>
                <w:sz w:val="20"/>
              </w:rPr>
              <w:t>Ensure the pre-filled syringe containing the diphtheria, tetanus and pertussis toxoid is mixed with the vial containing the HIB component of the vaccine.</w:t>
            </w:r>
          </w:p>
          <w:p w:rsidRPr="00D77099" w:rsidR="00AF56F9" w:rsidP="00E525C7" w:rsidRDefault="00AF56F9" w14:paraId="147CD8AA" w14:textId="77777777">
            <w:pPr>
              <w:pStyle w:val="Default"/>
              <w:rPr>
                <w:rFonts w:asciiTheme="minorHAnsi" w:hAnsiTheme="minorHAnsi"/>
                <w:sz w:val="20"/>
              </w:rPr>
            </w:pPr>
            <w:r w:rsidRPr="00D77099">
              <w:rPr>
                <w:rFonts w:asciiTheme="minorHAnsi" w:hAnsiTheme="minorHAnsi"/>
                <w:sz w:val="20"/>
              </w:rPr>
              <w:t>Prophylactic administration of paracetamol at the time of, or immediately after, vaccination to reduce the risk of fever is not recommended.</w:t>
            </w:r>
          </w:p>
          <w:p w:rsidRPr="00D77099" w:rsidR="00AF56F9" w:rsidP="00E525C7" w:rsidRDefault="00AF56F9" w14:paraId="1490B57F" w14:textId="77777777">
            <w:pPr>
              <w:pStyle w:val="Default"/>
              <w:rPr>
                <w:rFonts w:asciiTheme="minorHAnsi" w:hAnsiTheme="minorHAnsi"/>
                <w:sz w:val="20"/>
              </w:rPr>
            </w:pPr>
            <w:r w:rsidRPr="00D77099">
              <w:rPr>
                <w:rFonts w:asciiTheme="minorHAnsi" w:hAnsiTheme="minorHAnsi"/>
                <w:sz w:val="20"/>
              </w:rPr>
              <w:t>However, if an infant has a fever of &gt;</w:t>
            </w:r>
            <w:r>
              <w:rPr>
                <w:rFonts w:asciiTheme="minorHAnsi" w:hAnsiTheme="minorHAnsi"/>
                <w:sz w:val="20"/>
              </w:rPr>
              <w:t xml:space="preserve"> </w:t>
            </w:r>
            <w:r w:rsidRPr="00D77099">
              <w:rPr>
                <w:rFonts w:asciiTheme="minorHAnsi" w:hAnsiTheme="minorHAnsi"/>
                <w:sz w:val="20"/>
              </w:rPr>
              <w:t>38.5°C following vaccination or has pain at the injection site</w:t>
            </w:r>
            <w:r>
              <w:rPr>
                <w:rFonts w:asciiTheme="minorHAnsi" w:hAnsiTheme="minorHAnsi"/>
                <w:sz w:val="20"/>
              </w:rPr>
              <w:t xml:space="preserve"> and is miserable</w:t>
            </w:r>
            <w:r w:rsidRPr="00D77099">
              <w:rPr>
                <w:rFonts w:asciiTheme="minorHAnsi" w:hAnsiTheme="minorHAnsi"/>
                <w:sz w:val="20"/>
              </w:rPr>
              <w:t xml:space="preserve">, paracetamol can be given. </w:t>
            </w:r>
          </w:p>
          <w:p w:rsidRPr="00721BF0" w:rsidR="00AF56F9" w:rsidP="00E525C7" w:rsidRDefault="00AF56F9" w14:paraId="0E8F8469" w14:textId="77777777">
            <w:pPr>
              <w:pStyle w:val="Default"/>
              <w:rPr>
                <w:rFonts w:asciiTheme="minorHAnsi" w:hAnsiTheme="minorHAnsi"/>
                <w:sz w:val="20"/>
              </w:rPr>
            </w:pPr>
            <w:r w:rsidRPr="00D77099">
              <w:rPr>
                <w:rFonts w:asciiTheme="minorHAnsi" w:hAnsiTheme="minorHAnsi"/>
                <w:sz w:val="20"/>
              </w:rPr>
              <w:t>The dose of paracetamol is 15 mg/kg/dose, up to a maximum dose of 60 mg/kg per day in four divided doses.</w:t>
            </w:r>
          </w:p>
        </w:tc>
      </w:tr>
      <w:tr w:rsidRPr="00721BF0" w:rsidR="00273A16" w:rsidTr="77BEE3D0" w14:paraId="0714D3A5" w14:textId="77777777">
        <w:trPr>
          <w:trHeight w:val="553"/>
        </w:trPr>
        <w:tc>
          <w:tcPr>
            <w:tcW w:w="2410" w:type="dxa"/>
          </w:tcPr>
          <w:p w:rsidRPr="00721BF0" w:rsidR="00AF56F9" w:rsidP="00E525C7" w:rsidRDefault="00AF56F9" w14:paraId="0A3B51C7" w14:textId="77777777">
            <w:pPr>
              <w:pStyle w:val="BodyText"/>
              <w:rPr>
                <w:rFonts w:cs="Arial" w:asciiTheme="minorHAnsi" w:hAnsiTheme="minorHAnsi"/>
                <w:b/>
                <w:bCs/>
                <w:szCs w:val="24"/>
              </w:rPr>
            </w:pPr>
            <w:r w:rsidRPr="00721BF0">
              <w:rPr>
                <w:rFonts w:cs="Arial" w:asciiTheme="minorHAnsi" w:hAnsiTheme="minorHAnsi"/>
                <w:b/>
                <w:bCs/>
                <w:szCs w:val="24"/>
              </w:rPr>
              <w:t xml:space="preserve">Indication                         </w:t>
            </w:r>
          </w:p>
          <w:p w:rsidRPr="00721BF0" w:rsidR="00AF56F9" w:rsidP="00E525C7" w:rsidRDefault="00AF56F9" w14:paraId="20BCE7C2" w14:textId="77777777">
            <w:pPr>
              <w:pStyle w:val="BodyText"/>
              <w:rPr>
                <w:rFonts w:cs="Arial" w:asciiTheme="minorHAnsi" w:hAnsiTheme="minorHAnsi"/>
                <w:sz w:val="20"/>
              </w:rPr>
            </w:pPr>
          </w:p>
        </w:tc>
        <w:tc>
          <w:tcPr>
            <w:tcW w:w="7967" w:type="dxa"/>
          </w:tcPr>
          <w:p w:rsidRPr="005729C2" w:rsidR="00AF56F9" w:rsidP="00E525C7" w:rsidRDefault="00AF56F9" w14:paraId="0A13B441" w14:textId="77777777">
            <w:pPr>
              <w:rPr>
                <w:rFonts w:asciiTheme="minorHAnsi" w:hAnsiTheme="minorHAnsi"/>
                <w:sz w:val="20"/>
              </w:rPr>
            </w:pPr>
            <w:r w:rsidRPr="00721BF0">
              <w:rPr>
                <w:rFonts w:asciiTheme="minorHAnsi" w:hAnsiTheme="minorHAnsi"/>
                <w:sz w:val="20"/>
              </w:rPr>
              <w:t xml:space="preserve"> </w:t>
            </w:r>
            <w:r w:rsidRPr="005729C2">
              <w:rPr>
                <w:rFonts w:asciiTheme="minorHAnsi" w:hAnsiTheme="minorHAnsi"/>
                <w:sz w:val="20"/>
              </w:rPr>
              <w:t>1.</w:t>
            </w:r>
            <w:r>
              <w:rPr>
                <w:rFonts w:asciiTheme="minorHAnsi" w:hAnsiTheme="minorHAnsi"/>
                <w:sz w:val="20"/>
              </w:rPr>
              <w:t xml:space="preserve"> </w:t>
            </w:r>
            <w:r w:rsidRPr="005729C2">
              <w:rPr>
                <w:rFonts w:asciiTheme="minorHAnsi" w:hAnsiTheme="minorHAnsi"/>
                <w:sz w:val="20"/>
              </w:rPr>
              <w:t xml:space="preserve">Primary immunisation against diphtheria, tetanus, pertussis, hepatitis B, poliomyelitis and </w:t>
            </w:r>
            <w:r w:rsidRPr="00066905">
              <w:rPr>
                <w:rFonts w:asciiTheme="minorHAnsi" w:hAnsiTheme="minorHAnsi"/>
                <w:i/>
                <w:sz w:val="20"/>
              </w:rPr>
              <w:t>Haemophilus influenzae</w:t>
            </w:r>
            <w:r w:rsidRPr="005729C2">
              <w:rPr>
                <w:rFonts w:asciiTheme="minorHAnsi" w:hAnsiTheme="minorHAnsi"/>
                <w:sz w:val="20"/>
              </w:rPr>
              <w:t xml:space="preserve"> type B in infants at </w:t>
            </w:r>
            <w:r>
              <w:rPr>
                <w:rFonts w:asciiTheme="minorHAnsi" w:hAnsiTheme="minorHAnsi"/>
                <w:sz w:val="20"/>
              </w:rPr>
              <w:t>6 weeks/</w:t>
            </w:r>
            <w:r w:rsidRPr="005729C2">
              <w:rPr>
                <w:rFonts w:asciiTheme="minorHAnsi" w:hAnsiTheme="minorHAnsi"/>
                <w:sz w:val="20"/>
              </w:rPr>
              <w:t>2</w:t>
            </w:r>
            <w:r>
              <w:rPr>
                <w:rFonts w:asciiTheme="minorHAnsi" w:hAnsiTheme="minorHAnsi"/>
                <w:sz w:val="20"/>
              </w:rPr>
              <w:t xml:space="preserve"> months</w:t>
            </w:r>
            <w:r w:rsidRPr="005729C2">
              <w:rPr>
                <w:rFonts w:asciiTheme="minorHAnsi" w:hAnsiTheme="minorHAnsi"/>
                <w:sz w:val="20"/>
              </w:rPr>
              <w:t xml:space="preserve">, 4 and 6 months of age. </w:t>
            </w:r>
          </w:p>
          <w:p w:rsidRPr="00721BF0" w:rsidR="00AF56F9" w:rsidP="00E525C7" w:rsidRDefault="00AF56F9" w14:paraId="30F6CCA0" w14:textId="77777777">
            <w:pPr>
              <w:rPr>
                <w:rFonts w:asciiTheme="minorHAnsi" w:hAnsiTheme="minorHAnsi"/>
                <w:sz w:val="20"/>
              </w:rPr>
            </w:pPr>
            <w:r w:rsidRPr="005729C2">
              <w:rPr>
                <w:rFonts w:asciiTheme="minorHAnsi" w:hAnsiTheme="minorHAnsi"/>
                <w:sz w:val="20"/>
              </w:rPr>
              <w:t>2.</w:t>
            </w:r>
            <w:r>
              <w:rPr>
                <w:rFonts w:asciiTheme="minorHAnsi" w:hAnsiTheme="minorHAnsi"/>
                <w:sz w:val="20"/>
              </w:rPr>
              <w:t xml:space="preserve"> </w:t>
            </w:r>
            <w:r w:rsidRPr="005729C2">
              <w:rPr>
                <w:rFonts w:asciiTheme="minorHAnsi" w:hAnsiTheme="minorHAnsi"/>
                <w:sz w:val="20"/>
              </w:rPr>
              <w:t>Catch-up vaccination schedules in children &lt; 10 years of age.</w:t>
            </w:r>
          </w:p>
        </w:tc>
      </w:tr>
      <w:tr w:rsidRPr="00721BF0" w:rsidR="00273A16" w:rsidTr="77BEE3D0" w14:paraId="52F576C7" w14:textId="77777777">
        <w:trPr>
          <w:trHeight w:val="372"/>
        </w:trPr>
        <w:tc>
          <w:tcPr>
            <w:tcW w:w="2410" w:type="dxa"/>
          </w:tcPr>
          <w:p w:rsidRPr="00721BF0" w:rsidR="00AF56F9" w:rsidP="00E525C7" w:rsidRDefault="00AF56F9" w14:paraId="4508194A" w14:textId="77777777">
            <w:pPr>
              <w:pStyle w:val="BodyText"/>
              <w:rPr>
                <w:rFonts w:cs="Arial" w:asciiTheme="minorHAnsi" w:hAnsiTheme="minorHAnsi"/>
                <w:b/>
                <w:bCs/>
                <w:szCs w:val="24"/>
              </w:rPr>
            </w:pPr>
            <w:r w:rsidRPr="00721BF0">
              <w:rPr>
                <w:rFonts w:cs="Arial" w:asciiTheme="minorHAnsi" w:hAnsiTheme="minorHAnsi"/>
                <w:b/>
                <w:bCs/>
                <w:szCs w:val="24"/>
              </w:rPr>
              <w:t>Action</w:t>
            </w:r>
          </w:p>
        </w:tc>
        <w:tc>
          <w:tcPr>
            <w:tcW w:w="7967" w:type="dxa"/>
          </w:tcPr>
          <w:p w:rsidRPr="00721BF0" w:rsidR="00AF56F9" w:rsidP="00E525C7" w:rsidRDefault="00AF56F9" w14:paraId="62BEF623" w14:textId="77777777">
            <w:pPr>
              <w:pStyle w:val="Default"/>
              <w:rPr>
                <w:rFonts w:asciiTheme="minorHAnsi" w:hAnsiTheme="minorHAnsi"/>
                <w:sz w:val="20"/>
                <w:szCs w:val="20"/>
              </w:rPr>
            </w:pPr>
            <w:r w:rsidRPr="005729C2">
              <w:rPr>
                <w:rFonts w:asciiTheme="minorHAnsi" w:hAnsiTheme="minorHAnsi"/>
                <w:sz w:val="20"/>
              </w:rPr>
              <w:t xml:space="preserve">Combined diphtheria and tetanus toxoids, acellular pertussis antigens, hepatitis B (recombinant) surface antigen, inactivated polio virus and adsorbed conjugated </w:t>
            </w:r>
            <w:r w:rsidRPr="00066905">
              <w:rPr>
                <w:rFonts w:asciiTheme="minorHAnsi" w:hAnsiTheme="minorHAnsi"/>
                <w:i/>
                <w:sz w:val="20"/>
              </w:rPr>
              <w:t>Haemophilus influenzae</w:t>
            </w:r>
            <w:r w:rsidRPr="005729C2">
              <w:rPr>
                <w:rFonts w:asciiTheme="minorHAnsi" w:hAnsiTheme="minorHAnsi"/>
                <w:sz w:val="20"/>
              </w:rPr>
              <w:t xml:space="preserve"> type b polysaccharide.</w:t>
            </w:r>
            <w:r>
              <w:rPr>
                <w:rFonts w:asciiTheme="minorHAnsi" w:hAnsiTheme="minorHAnsi"/>
                <w:sz w:val="20"/>
              </w:rPr>
              <w:t xml:space="preserve"> </w:t>
            </w:r>
            <w:r w:rsidRPr="005729C2">
              <w:rPr>
                <w:rFonts w:asciiTheme="minorHAnsi" w:hAnsiTheme="minorHAnsi"/>
                <w:sz w:val="20"/>
                <w:szCs w:val="20"/>
              </w:rPr>
              <w:t xml:space="preserve">Induces the production of antibodies against diphtheria, tetanus, pertussis, hepatitis B, poliomyelitis and </w:t>
            </w:r>
            <w:r w:rsidRPr="00066905">
              <w:rPr>
                <w:rFonts w:asciiTheme="minorHAnsi" w:hAnsiTheme="minorHAnsi"/>
                <w:i/>
                <w:sz w:val="20"/>
                <w:szCs w:val="20"/>
              </w:rPr>
              <w:t>Haemophilus influenzae</w:t>
            </w:r>
            <w:r w:rsidRPr="005729C2">
              <w:rPr>
                <w:rFonts w:asciiTheme="minorHAnsi" w:hAnsiTheme="minorHAnsi"/>
                <w:sz w:val="20"/>
                <w:szCs w:val="20"/>
              </w:rPr>
              <w:t xml:space="preserve"> type B infection.</w:t>
            </w:r>
          </w:p>
        </w:tc>
      </w:tr>
      <w:tr w:rsidRPr="00721BF0" w:rsidR="00273A16" w:rsidTr="77BEE3D0" w14:paraId="22866CFC" w14:textId="77777777">
        <w:trPr>
          <w:trHeight w:val="157"/>
        </w:trPr>
        <w:tc>
          <w:tcPr>
            <w:tcW w:w="2410" w:type="dxa"/>
          </w:tcPr>
          <w:p w:rsidRPr="00721BF0" w:rsidR="00AF56F9" w:rsidP="00E525C7" w:rsidRDefault="00AF56F9" w14:paraId="2DDA96DF" w14:textId="77777777">
            <w:pPr>
              <w:pStyle w:val="BodyText"/>
              <w:rPr>
                <w:rFonts w:cs="Arial" w:asciiTheme="minorHAnsi" w:hAnsiTheme="minorHAnsi"/>
                <w:szCs w:val="24"/>
              </w:rPr>
            </w:pPr>
            <w:r w:rsidRPr="00721BF0">
              <w:rPr>
                <w:rFonts w:cs="Arial" w:asciiTheme="minorHAnsi" w:hAnsiTheme="minorHAnsi"/>
                <w:b/>
                <w:bCs/>
                <w:szCs w:val="24"/>
              </w:rPr>
              <w:t xml:space="preserve">Drug Type                           </w:t>
            </w:r>
          </w:p>
        </w:tc>
        <w:tc>
          <w:tcPr>
            <w:tcW w:w="7967" w:type="dxa"/>
          </w:tcPr>
          <w:p w:rsidRPr="00721BF0" w:rsidR="00AF56F9" w:rsidP="00E525C7" w:rsidRDefault="00AF56F9" w14:paraId="35DAB60A" w14:textId="77777777">
            <w:pPr>
              <w:pStyle w:val="BodyText"/>
              <w:rPr>
                <w:rFonts w:cs="Arial" w:asciiTheme="minorHAnsi" w:hAnsiTheme="minorHAnsi"/>
                <w:sz w:val="20"/>
              </w:rPr>
            </w:pPr>
            <w:r w:rsidRPr="005729C2">
              <w:rPr>
                <w:rFonts w:cs="Arial" w:asciiTheme="minorHAnsi" w:hAnsiTheme="minorHAnsi"/>
                <w:sz w:val="20"/>
              </w:rPr>
              <w:t>Vaccine</w:t>
            </w:r>
            <w:r>
              <w:rPr>
                <w:rFonts w:cs="Arial" w:asciiTheme="minorHAnsi" w:hAnsiTheme="minorHAnsi"/>
                <w:sz w:val="20"/>
              </w:rPr>
              <w:t>.</w:t>
            </w:r>
            <w:r w:rsidRPr="005729C2">
              <w:rPr>
                <w:rFonts w:cs="Arial" w:asciiTheme="minorHAnsi" w:hAnsiTheme="minorHAnsi"/>
                <w:sz w:val="20"/>
              </w:rPr>
              <w:t xml:space="preserve"> </w:t>
            </w:r>
          </w:p>
        </w:tc>
      </w:tr>
      <w:tr w:rsidRPr="00721BF0" w:rsidR="00273A16" w:rsidTr="77BEE3D0" w14:paraId="67233C93" w14:textId="77777777">
        <w:trPr>
          <w:trHeight w:val="384"/>
        </w:trPr>
        <w:tc>
          <w:tcPr>
            <w:tcW w:w="2410" w:type="dxa"/>
          </w:tcPr>
          <w:p w:rsidRPr="00721BF0" w:rsidR="00AF56F9" w:rsidP="00E525C7" w:rsidRDefault="00AF56F9" w14:paraId="1A0FC0BD" w14:textId="77777777">
            <w:pPr>
              <w:pStyle w:val="BodyText"/>
              <w:rPr>
                <w:rFonts w:cs="Arial" w:asciiTheme="minorHAnsi" w:hAnsiTheme="minorHAnsi"/>
                <w:b/>
                <w:bCs/>
                <w:szCs w:val="24"/>
              </w:rPr>
            </w:pPr>
            <w:r w:rsidRPr="00721BF0">
              <w:rPr>
                <w:rFonts w:cs="Arial" w:asciiTheme="minorHAnsi" w:hAnsiTheme="minorHAnsi"/>
                <w:b/>
                <w:bCs/>
                <w:szCs w:val="24"/>
              </w:rPr>
              <w:t xml:space="preserve">Trade Name                  </w:t>
            </w:r>
          </w:p>
        </w:tc>
        <w:tc>
          <w:tcPr>
            <w:tcW w:w="7967" w:type="dxa"/>
          </w:tcPr>
          <w:p w:rsidRPr="00721BF0" w:rsidR="00AF56F9" w:rsidP="00E525C7" w:rsidRDefault="00AF56F9" w14:paraId="6961C72F" w14:textId="77777777">
            <w:pPr>
              <w:pStyle w:val="BodyText"/>
              <w:rPr>
                <w:rFonts w:cs="Arial" w:asciiTheme="minorHAnsi" w:hAnsiTheme="minorHAnsi"/>
                <w:sz w:val="20"/>
              </w:rPr>
            </w:pPr>
            <w:r w:rsidRPr="005729C2">
              <w:rPr>
                <w:rFonts w:cs="Arial" w:asciiTheme="minorHAnsi" w:hAnsiTheme="minorHAnsi"/>
                <w:sz w:val="20"/>
              </w:rPr>
              <w:t xml:space="preserve">INFANRIX </w:t>
            </w:r>
            <w:r>
              <w:rPr>
                <w:rFonts w:cs="Arial" w:asciiTheme="minorHAnsi" w:hAnsiTheme="minorHAnsi"/>
                <w:sz w:val="20"/>
              </w:rPr>
              <w:t>h</w:t>
            </w:r>
            <w:r w:rsidRPr="005729C2">
              <w:rPr>
                <w:rFonts w:cs="Arial" w:asciiTheme="minorHAnsi" w:hAnsiTheme="minorHAnsi"/>
                <w:sz w:val="20"/>
              </w:rPr>
              <w:t>exa</w:t>
            </w:r>
          </w:p>
        </w:tc>
      </w:tr>
      <w:tr w:rsidRPr="00721BF0" w:rsidR="00273A16" w:rsidTr="77BEE3D0" w14:paraId="7A8AED6F" w14:textId="77777777">
        <w:trPr>
          <w:trHeight w:val="403"/>
        </w:trPr>
        <w:tc>
          <w:tcPr>
            <w:tcW w:w="2410" w:type="dxa"/>
          </w:tcPr>
          <w:p w:rsidRPr="00721BF0" w:rsidR="00AF56F9" w:rsidP="00E525C7" w:rsidRDefault="00AF56F9" w14:paraId="4DD7BFD3" w14:textId="77777777">
            <w:pPr>
              <w:pStyle w:val="BodyText"/>
              <w:rPr>
                <w:rFonts w:cs="Arial" w:asciiTheme="minorHAnsi" w:hAnsiTheme="minorHAnsi"/>
                <w:b/>
                <w:bCs/>
                <w:szCs w:val="24"/>
              </w:rPr>
            </w:pPr>
            <w:r w:rsidRPr="00721BF0">
              <w:rPr>
                <w:rFonts w:cs="Arial" w:asciiTheme="minorHAnsi" w:hAnsiTheme="minorHAnsi"/>
                <w:b/>
                <w:bCs/>
                <w:szCs w:val="24"/>
              </w:rPr>
              <w:t xml:space="preserve">Presentation </w:t>
            </w:r>
          </w:p>
        </w:tc>
        <w:tc>
          <w:tcPr>
            <w:tcW w:w="7967" w:type="dxa"/>
          </w:tcPr>
          <w:p w:rsidRPr="00721BF0" w:rsidR="00AF56F9" w:rsidP="00E525C7" w:rsidRDefault="00AF56F9" w14:paraId="68E6D51F" w14:textId="77777777">
            <w:pPr>
              <w:pStyle w:val="BodyText"/>
              <w:rPr>
                <w:rFonts w:cs="Arial" w:asciiTheme="minorHAnsi" w:hAnsiTheme="minorHAnsi"/>
                <w:sz w:val="20"/>
              </w:rPr>
            </w:pPr>
            <w:r w:rsidRPr="005729C2">
              <w:rPr>
                <w:rFonts w:cs="Arial" w:asciiTheme="minorHAnsi" w:hAnsiTheme="minorHAnsi"/>
                <w:sz w:val="20"/>
              </w:rPr>
              <w:t>Pellets in a vial with suspension for injection in a pr</w:t>
            </w:r>
            <w:r>
              <w:rPr>
                <w:rFonts w:cs="Arial" w:asciiTheme="minorHAnsi" w:hAnsiTheme="minorHAnsi"/>
                <w:sz w:val="20"/>
              </w:rPr>
              <w:t>e-</w:t>
            </w:r>
            <w:r w:rsidRPr="005729C2">
              <w:rPr>
                <w:rFonts w:cs="Arial" w:asciiTheme="minorHAnsi" w:hAnsiTheme="minorHAnsi"/>
                <w:sz w:val="20"/>
              </w:rPr>
              <w:t>filled syringe.</w:t>
            </w:r>
          </w:p>
        </w:tc>
      </w:tr>
      <w:tr w:rsidRPr="00721BF0" w:rsidR="00273A16" w:rsidTr="77BEE3D0" w14:paraId="7275B033" w14:textId="77777777">
        <w:trPr>
          <w:trHeight w:val="172"/>
        </w:trPr>
        <w:tc>
          <w:tcPr>
            <w:tcW w:w="2410" w:type="dxa"/>
          </w:tcPr>
          <w:p w:rsidRPr="008F4C20" w:rsidR="00AF56F9" w:rsidP="00E525C7" w:rsidRDefault="00AF56F9" w14:paraId="3EC3C019" w14:textId="77777777">
            <w:pPr>
              <w:pStyle w:val="BodyText"/>
              <w:rPr>
                <w:rFonts w:cs="Arial" w:asciiTheme="minorHAnsi" w:hAnsiTheme="minorHAnsi"/>
                <w:b/>
                <w:bCs/>
                <w:szCs w:val="24"/>
              </w:rPr>
            </w:pPr>
            <w:r w:rsidRPr="00721BF0">
              <w:rPr>
                <w:rFonts w:cs="Arial" w:asciiTheme="minorHAnsi" w:hAnsiTheme="minorHAnsi"/>
                <w:b/>
                <w:bCs/>
                <w:szCs w:val="24"/>
              </w:rPr>
              <w:t xml:space="preserve">Dosage/Interval                           </w:t>
            </w:r>
          </w:p>
        </w:tc>
        <w:tc>
          <w:tcPr>
            <w:tcW w:w="7967" w:type="dxa"/>
          </w:tcPr>
          <w:p w:rsidRPr="00721BF0" w:rsidR="00AF56F9" w:rsidP="00E525C7" w:rsidRDefault="00AF56F9" w14:paraId="76AD53D3" w14:textId="77777777">
            <w:pPr>
              <w:pStyle w:val="Default"/>
              <w:rPr>
                <w:rFonts w:asciiTheme="minorHAnsi" w:hAnsiTheme="minorHAnsi"/>
                <w:sz w:val="20"/>
              </w:rPr>
            </w:pPr>
            <w:r>
              <w:rPr>
                <w:rFonts w:asciiTheme="minorHAnsi" w:hAnsiTheme="minorHAnsi"/>
                <w:sz w:val="20"/>
                <w:szCs w:val="20"/>
              </w:rPr>
              <w:t>0.5 mL</w:t>
            </w:r>
            <w:r w:rsidRPr="00721BF0">
              <w:rPr>
                <w:rFonts w:asciiTheme="minorHAnsi" w:hAnsiTheme="minorHAnsi"/>
                <w:sz w:val="20"/>
                <w:szCs w:val="20"/>
              </w:rPr>
              <w:t xml:space="preserve"> </w:t>
            </w:r>
          </w:p>
        </w:tc>
      </w:tr>
      <w:tr w:rsidRPr="00721BF0" w:rsidR="00273A16" w:rsidTr="77BEE3D0" w14:paraId="0FF759EF" w14:textId="77777777">
        <w:trPr>
          <w:trHeight w:val="398"/>
        </w:trPr>
        <w:tc>
          <w:tcPr>
            <w:tcW w:w="2410" w:type="dxa"/>
          </w:tcPr>
          <w:p w:rsidRPr="00721BF0" w:rsidR="00AF56F9" w:rsidP="00E525C7" w:rsidRDefault="00AF56F9" w14:paraId="27F579C2" w14:textId="77777777">
            <w:pPr>
              <w:pStyle w:val="BodyText"/>
              <w:rPr>
                <w:rFonts w:cs="Arial" w:asciiTheme="minorHAnsi" w:hAnsiTheme="minorHAnsi"/>
                <w:b/>
                <w:bCs/>
                <w:szCs w:val="24"/>
              </w:rPr>
            </w:pPr>
            <w:r w:rsidRPr="00721BF0">
              <w:rPr>
                <w:rFonts w:cs="Arial" w:asciiTheme="minorHAnsi" w:hAnsiTheme="minorHAnsi"/>
                <w:b/>
                <w:bCs/>
                <w:szCs w:val="24"/>
              </w:rPr>
              <w:t xml:space="preserve">Route                               </w:t>
            </w:r>
          </w:p>
        </w:tc>
        <w:tc>
          <w:tcPr>
            <w:tcW w:w="7967" w:type="dxa"/>
          </w:tcPr>
          <w:p w:rsidRPr="00721BF0" w:rsidR="00AF56F9" w:rsidP="00E525C7" w:rsidRDefault="00AF56F9" w14:paraId="0F4CCA3E" w14:textId="77777777">
            <w:pPr>
              <w:pStyle w:val="BodyText"/>
              <w:rPr>
                <w:rFonts w:cs="Arial" w:asciiTheme="minorHAnsi" w:hAnsiTheme="minorHAnsi"/>
                <w:sz w:val="20"/>
              </w:rPr>
            </w:pPr>
            <w:r>
              <w:rPr>
                <w:rFonts w:cs="Arial" w:asciiTheme="minorHAnsi" w:hAnsiTheme="minorHAnsi"/>
                <w:sz w:val="20"/>
              </w:rPr>
              <w:t>IM</w:t>
            </w:r>
          </w:p>
        </w:tc>
      </w:tr>
      <w:tr w:rsidRPr="00721BF0" w:rsidR="00273A16" w:rsidTr="77BEE3D0" w14:paraId="7DDCBB2C" w14:textId="77777777">
        <w:trPr>
          <w:trHeight w:val="292"/>
        </w:trPr>
        <w:tc>
          <w:tcPr>
            <w:tcW w:w="2410" w:type="dxa"/>
          </w:tcPr>
          <w:p w:rsidRPr="00721BF0" w:rsidR="00AF56F9" w:rsidP="77BEE3D0" w:rsidRDefault="30EC0C4F" w14:paraId="1F41DC26" w14:textId="677AE58A">
            <w:pPr>
              <w:pStyle w:val="BodyText"/>
              <w:rPr>
                <w:rFonts w:cs="Arial" w:asciiTheme="minorHAnsi" w:hAnsiTheme="minorHAnsi"/>
                <w:b/>
                <w:bCs/>
                <w:highlight w:val="cyan"/>
              </w:rPr>
            </w:pPr>
            <w:r w:rsidRPr="77BEE3D0">
              <w:rPr>
                <w:rFonts w:cs="Arial" w:asciiTheme="minorHAnsi" w:hAnsiTheme="minorHAnsi"/>
                <w:b/>
                <w:bCs/>
              </w:rPr>
              <w:t xml:space="preserve">Preparation/Dilution </w:t>
            </w:r>
          </w:p>
        </w:tc>
        <w:tc>
          <w:tcPr>
            <w:tcW w:w="7967" w:type="dxa"/>
          </w:tcPr>
          <w:p w:rsidRPr="00721BF0" w:rsidR="00AF56F9" w:rsidP="00E525C7" w:rsidRDefault="00AF56F9" w14:paraId="3CA76BBB" w14:textId="77777777">
            <w:pPr>
              <w:pStyle w:val="BodyText"/>
              <w:rPr>
                <w:rFonts w:cs="Arial" w:asciiTheme="minorHAnsi" w:hAnsiTheme="minorHAnsi"/>
                <w:sz w:val="20"/>
              </w:rPr>
            </w:pPr>
            <w:r>
              <w:rPr>
                <w:rFonts w:cs="Arial" w:asciiTheme="minorHAnsi" w:hAnsiTheme="minorHAnsi"/>
                <w:sz w:val="20"/>
              </w:rPr>
              <w:t>See below</w:t>
            </w:r>
          </w:p>
        </w:tc>
      </w:tr>
      <w:tr w:rsidRPr="00721BF0" w:rsidR="00CD0750" w:rsidTr="77BEE3D0" w14:paraId="086A38F7" w14:textId="77777777">
        <w:trPr>
          <w:trHeight w:val="558"/>
        </w:trPr>
        <w:tc>
          <w:tcPr>
            <w:tcW w:w="2410" w:type="dxa"/>
          </w:tcPr>
          <w:p w:rsidRPr="00721BF0" w:rsidR="00AF56F9" w:rsidP="00E525C7" w:rsidRDefault="00AF56F9" w14:paraId="180589D0" w14:textId="77777777">
            <w:pPr>
              <w:pStyle w:val="BodyText"/>
              <w:rPr>
                <w:rFonts w:cs="Arial" w:asciiTheme="minorHAnsi" w:hAnsiTheme="minorHAnsi"/>
                <w:b/>
                <w:bCs/>
                <w:szCs w:val="24"/>
              </w:rPr>
            </w:pPr>
            <w:r w:rsidRPr="00721BF0">
              <w:rPr>
                <w:rFonts w:cs="Arial" w:asciiTheme="minorHAnsi" w:hAnsiTheme="minorHAnsi"/>
                <w:b/>
                <w:bCs/>
                <w:szCs w:val="24"/>
              </w:rPr>
              <w:t xml:space="preserve">Administration                 </w:t>
            </w:r>
          </w:p>
          <w:p w:rsidRPr="00721BF0" w:rsidR="00AF56F9" w:rsidP="00E525C7" w:rsidRDefault="00AF56F9" w14:paraId="2784A9BC" w14:textId="77777777">
            <w:pPr>
              <w:pStyle w:val="BodyText"/>
              <w:rPr>
                <w:rFonts w:cs="Arial" w:asciiTheme="minorHAnsi" w:hAnsiTheme="minorHAnsi"/>
                <w:szCs w:val="24"/>
              </w:rPr>
            </w:pPr>
          </w:p>
        </w:tc>
        <w:tc>
          <w:tcPr>
            <w:tcW w:w="7967" w:type="dxa"/>
            <w:vAlign w:val="center"/>
          </w:tcPr>
          <w:p w:rsidRPr="009A45E0" w:rsidR="00AF56F9" w:rsidP="00E525C7" w:rsidRDefault="00AF56F9" w14:paraId="27705B7A" w14:textId="77777777">
            <w:pPr>
              <w:pStyle w:val="BodyText"/>
              <w:rPr>
                <w:rFonts w:asciiTheme="minorHAnsi" w:hAnsiTheme="minorHAnsi"/>
                <w:sz w:val="20"/>
              </w:rPr>
            </w:pPr>
            <w:r w:rsidRPr="009A45E0">
              <w:rPr>
                <w:rFonts w:asciiTheme="minorHAnsi" w:hAnsiTheme="minorHAnsi"/>
                <w:sz w:val="20"/>
              </w:rPr>
              <w:t>1.</w:t>
            </w:r>
            <w:r>
              <w:rPr>
                <w:rFonts w:asciiTheme="minorHAnsi" w:hAnsiTheme="minorHAnsi"/>
                <w:sz w:val="20"/>
              </w:rPr>
              <w:t xml:space="preserve"> May a</w:t>
            </w:r>
            <w:r w:rsidRPr="009A45E0">
              <w:rPr>
                <w:rFonts w:asciiTheme="minorHAnsi" w:hAnsiTheme="minorHAnsi"/>
                <w:sz w:val="20"/>
              </w:rPr>
              <w:t>dminister oral sucrose 2 minutes prior to injection (</w:t>
            </w:r>
            <w:r>
              <w:rPr>
                <w:rFonts w:asciiTheme="minorHAnsi" w:hAnsiTheme="minorHAnsi"/>
                <w:sz w:val="20"/>
              </w:rPr>
              <w:t>o</w:t>
            </w:r>
            <w:r w:rsidRPr="009A45E0">
              <w:rPr>
                <w:rFonts w:asciiTheme="minorHAnsi" w:hAnsiTheme="minorHAnsi"/>
                <w:sz w:val="20"/>
              </w:rPr>
              <w:t>bserve local pain policy).</w:t>
            </w:r>
          </w:p>
          <w:p w:rsidRPr="009A45E0" w:rsidR="00AF56F9" w:rsidP="00E525C7" w:rsidRDefault="00AF56F9" w14:paraId="1C722A6B" w14:textId="77777777">
            <w:pPr>
              <w:pStyle w:val="BodyText"/>
              <w:rPr>
                <w:rFonts w:asciiTheme="minorHAnsi" w:hAnsiTheme="minorHAnsi"/>
                <w:sz w:val="20"/>
              </w:rPr>
            </w:pPr>
            <w:r w:rsidRPr="009A45E0">
              <w:rPr>
                <w:rFonts w:asciiTheme="minorHAnsi" w:hAnsiTheme="minorHAnsi"/>
                <w:sz w:val="20"/>
              </w:rPr>
              <w:t>2.</w:t>
            </w:r>
            <w:r>
              <w:rPr>
                <w:rFonts w:asciiTheme="minorHAnsi" w:hAnsiTheme="minorHAnsi"/>
                <w:sz w:val="20"/>
              </w:rPr>
              <w:t xml:space="preserve"> </w:t>
            </w:r>
            <w:r w:rsidRPr="009A45E0">
              <w:rPr>
                <w:rFonts w:asciiTheme="minorHAnsi" w:hAnsiTheme="minorHAnsi"/>
                <w:sz w:val="20"/>
              </w:rPr>
              <w:t>Shake well the pr</w:t>
            </w:r>
            <w:r>
              <w:rPr>
                <w:rFonts w:asciiTheme="minorHAnsi" w:hAnsiTheme="minorHAnsi"/>
                <w:sz w:val="20"/>
              </w:rPr>
              <w:t>e-</w:t>
            </w:r>
            <w:r w:rsidRPr="009A45E0">
              <w:rPr>
                <w:rFonts w:asciiTheme="minorHAnsi" w:hAnsiTheme="minorHAnsi"/>
                <w:sz w:val="20"/>
              </w:rPr>
              <w:t xml:space="preserve">filled syringe. </w:t>
            </w:r>
          </w:p>
          <w:p w:rsidRPr="009A45E0" w:rsidR="00AF56F9" w:rsidP="00E525C7" w:rsidRDefault="00AF56F9" w14:paraId="62D20F34" w14:textId="77777777">
            <w:pPr>
              <w:pStyle w:val="BodyText"/>
              <w:rPr>
                <w:rFonts w:asciiTheme="minorHAnsi" w:hAnsiTheme="minorHAnsi"/>
                <w:sz w:val="20"/>
              </w:rPr>
            </w:pPr>
            <w:r w:rsidRPr="009A45E0">
              <w:rPr>
                <w:rFonts w:asciiTheme="minorHAnsi" w:hAnsiTheme="minorHAnsi"/>
                <w:sz w:val="20"/>
              </w:rPr>
              <w:t>3.</w:t>
            </w:r>
            <w:r>
              <w:rPr>
                <w:rFonts w:asciiTheme="minorHAnsi" w:hAnsiTheme="minorHAnsi"/>
                <w:sz w:val="20"/>
              </w:rPr>
              <w:t xml:space="preserve"> </w:t>
            </w:r>
            <w:r w:rsidRPr="009A45E0">
              <w:rPr>
                <w:rFonts w:asciiTheme="minorHAnsi" w:hAnsiTheme="minorHAnsi"/>
                <w:sz w:val="20"/>
              </w:rPr>
              <w:t xml:space="preserve">Add its contents to the vial of Hib pellet and shake until pellet is completely dissolved. </w:t>
            </w:r>
          </w:p>
          <w:p w:rsidRPr="009A45E0" w:rsidR="00AF56F9" w:rsidP="00E525C7" w:rsidRDefault="00AF56F9" w14:paraId="2F9E30E8" w14:textId="77777777">
            <w:pPr>
              <w:pStyle w:val="BodyText"/>
              <w:rPr>
                <w:rFonts w:asciiTheme="minorHAnsi" w:hAnsiTheme="minorHAnsi"/>
                <w:sz w:val="20"/>
              </w:rPr>
            </w:pPr>
            <w:r w:rsidRPr="009A45E0">
              <w:rPr>
                <w:rFonts w:asciiTheme="minorHAnsi" w:hAnsiTheme="minorHAnsi"/>
                <w:sz w:val="20"/>
              </w:rPr>
              <w:t>4.</w:t>
            </w:r>
            <w:r>
              <w:rPr>
                <w:rFonts w:asciiTheme="minorHAnsi" w:hAnsiTheme="minorHAnsi"/>
                <w:sz w:val="20"/>
              </w:rPr>
              <w:t xml:space="preserve"> </w:t>
            </w:r>
            <w:r w:rsidRPr="009A45E0">
              <w:rPr>
                <w:rFonts w:asciiTheme="minorHAnsi" w:hAnsiTheme="minorHAnsi"/>
                <w:sz w:val="20"/>
              </w:rPr>
              <w:t xml:space="preserve">Administer 0.5 ml of reconstituted suspension by </w:t>
            </w:r>
            <w:r>
              <w:rPr>
                <w:rFonts w:asciiTheme="minorHAnsi" w:hAnsiTheme="minorHAnsi"/>
                <w:sz w:val="20"/>
              </w:rPr>
              <w:t>intramuscular</w:t>
            </w:r>
            <w:r w:rsidRPr="009A45E0">
              <w:rPr>
                <w:rFonts w:asciiTheme="minorHAnsi" w:hAnsiTheme="minorHAnsi"/>
                <w:sz w:val="20"/>
              </w:rPr>
              <w:t xml:space="preserve"> injection (IMI) to the </w:t>
            </w:r>
            <w:r>
              <w:rPr>
                <w:rFonts w:asciiTheme="minorHAnsi" w:hAnsiTheme="minorHAnsi"/>
                <w:sz w:val="20"/>
              </w:rPr>
              <w:t>a</w:t>
            </w:r>
            <w:r w:rsidRPr="009A45E0">
              <w:rPr>
                <w:rFonts w:asciiTheme="minorHAnsi" w:hAnsiTheme="minorHAnsi"/>
                <w:sz w:val="20"/>
              </w:rPr>
              <w:t xml:space="preserve">nterolateral aspect of the thigh </w:t>
            </w:r>
            <w:r>
              <w:rPr>
                <w:rFonts w:asciiTheme="minorHAnsi" w:hAnsiTheme="minorHAnsi"/>
                <w:sz w:val="20"/>
              </w:rPr>
              <w:t>(</w:t>
            </w:r>
            <w:r w:rsidRPr="009A45E0">
              <w:rPr>
                <w:rFonts w:asciiTheme="minorHAnsi" w:hAnsiTheme="minorHAnsi"/>
                <w:sz w:val="20"/>
              </w:rPr>
              <w:t>slowly to reduce pain</w:t>
            </w:r>
            <w:r>
              <w:rPr>
                <w:rFonts w:asciiTheme="minorHAnsi" w:hAnsiTheme="minorHAnsi"/>
                <w:sz w:val="20"/>
              </w:rPr>
              <w:t>)</w:t>
            </w:r>
            <w:r w:rsidRPr="009A45E0">
              <w:rPr>
                <w:rFonts w:asciiTheme="minorHAnsi" w:hAnsiTheme="minorHAnsi"/>
                <w:sz w:val="20"/>
              </w:rPr>
              <w:t xml:space="preserve">. </w:t>
            </w:r>
          </w:p>
          <w:p w:rsidRPr="00721BF0" w:rsidR="00AF56F9" w:rsidP="00E525C7" w:rsidRDefault="00AF56F9" w14:paraId="62C70726" w14:textId="77777777">
            <w:pPr>
              <w:pStyle w:val="BodyText"/>
              <w:rPr>
                <w:rFonts w:cs="Arial" w:asciiTheme="minorHAnsi" w:hAnsiTheme="minorHAnsi"/>
                <w:sz w:val="20"/>
              </w:rPr>
            </w:pPr>
            <w:r>
              <w:rPr>
                <w:rFonts w:asciiTheme="minorHAnsi" w:hAnsiTheme="minorHAnsi"/>
                <w:sz w:val="20"/>
              </w:rPr>
              <w:t xml:space="preserve">5. </w:t>
            </w:r>
            <w:r w:rsidRPr="009A45E0">
              <w:rPr>
                <w:rFonts w:asciiTheme="minorHAnsi" w:hAnsiTheme="minorHAnsi"/>
                <w:sz w:val="20"/>
              </w:rPr>
              <w:t>Administer on the opposite limb from other concurrently administered vaccines (</w:t>
            </w:r>
            <w:r>
              <w:rPr>
                <w:rFonts w:asciiTheme="minorHAnsi" w:hAnsiTheme="minorHAnsi"/>
                <w:sz w:val="20"/>
              </w:rPr>
              <w:t xml:space="preserve">e.g. </w:t>
            </w:r>
            <w:r w:rsidRPr="00FD35C1">
              <w:rPr>
                <w:rFonts w:asciiTheme="minorHAnsi" w:hAnsiTheme="minorHAnsi"/>
                <w:sz w:val="20"/>
              </w:rPr>
              <w:t>Prevenar 13</w:t>
            </w:r>
            <w:r w:rsidRPr="009A45E0">
              <w:rPr>
                <w:rFonts w:asciiTheme="minorHAnsi" w:hAnsiTheme="minorHAnsi"/>
                <w:sz w:val="20"/>
              </w:rPr>
              <w:t>).</w:t>
            </w:r>
          </w:p>
        </w:tc>
      </w:tr>
      <w:tr w:rsidRPr="00721BF0" w:rsidR="00273A16" w:rsidTr="77BEE3D0" w14:paraId="57CD2A17" w14:textId="77777777">
        <w:trPr>
          <w:trHeight w:val="221"/>
        </w:trPr>
        <w:tc>
          <w:tcPr>
            <w:tcW w:w="2410" w:type="dxa"/>
          </w:tcPr>
          <w:p w:rsidRPr="00721BF0" w:rsidR="00AF56F9" w:rsidP="00E525C7" w:rsidRDefault="00AF56F9" w14:paraId="6E180E61" w14:textId="77777777">
            <w:pPr>
              <w:pStyle w:val="BodyText"/>
              <w:rPr>
                <w:rFonts w:cs="Arial" w:asciiTheme="minorHAnsi" w:hAnsiTheme="minorHAnsi"/>
                <w:b/>
                <w:bCs/>
                <w:szCs w:val="24"/>
              </w:rPr>
            </w:pPr>
            <w:r w:rsidRPr="00721BF0">
              <w:rPr>
                <w:rFonts w:cs="Arial" w:asciiTheme="minorHAnsi" w:hAnsiTheme="minorHAnsi"/>
                <w:b/>
                <w:bCs/>
                <w:szCs w:val="24"/>
              </w:rPr>
              <w:t xml:space="preserve">Monitoring                              </w:t>
            </w:r>
          </w:p>
          <w:p w:rsidRPr="00721BF0" w:rsidR="00AF56F9" w:rsidP="00E525C7" w:rsidRDefault="00AF56F9" w14:paraId="2BEC975A" w14:textId="77777777">
            <w:pPr>
              <w:pStyle w:val="BodyText"/>
              <w:rPr>
                <w:rFonts w:cs="Arial" w:asciiTheme="minorHAnsi" w:hAnsiTheme="minorHAnsi"/>
                <w:szCs w:val="24"/>
              </w:rPr>
            </w:pPr>
          </w:p>
        </w:tc>
        <w:tc>
          <w:tcPr>
            <w:tcW w:w="7967" w:type="dxa"/>
          </w:tcPr>
          <w:p w:rsidRPr="009A45E0" w:rsidR="00AF56F9" w:rsidP="00E525C7" w:rsidRDefault="00AF56F9" w14:paraId="2E7711C4" w14:textId="77777777">
            <w:pPr>
              <w:pStyle w:val="Default"/>
              <w:rPr>
                <w:rFonts w:asciiTheme="minorHAnsi" w:hAnsiTheme="minorHAnsi"/>
                <w:sz w:val="20"/>
                <w:szCs w:val="20"/>
              </w:rPr>
            </w:pPr>
            <w:r w:rsidRPr="009A45E0">
              <w:rPr>
                <w:rFonts w:asciiTheme="minorHAnsi" w:hAnsiTheme="minorHAnsi"/>
                <w:sz w:val="20"/>
                <w:szCs w:val="20"/>
              </w:rPr>
              <w:t xml:space="preserve">Observe for 15 minutes after vaccination for </w:t>
            </w:r>
            <w:r>
              <w:rPr>
                <w:rFonts w:asciiTheme="minorHAnsi" w:hAnsiTheme="minorHAnsi"/>
                <w:sz w:val="20"/>
                <w:szCs w:val="20"/>
              </w:rPr>
              <w:t xml:space="preserve">any </w:t>
            </w:r>
            <w:r w:rsidRPr="009A45E0">
              <w:rPr>
                <w:rFonts w:asciiTheme="minorHAnsi" w:hAnsiTheme="minorHAnsi"/>
                <w:sz w:val="20"/>
                <w:szCs w:val="20"/>
              </w:rPr>
              <w:t>Adverse Event Following Immunisation (AEFI).</w:t>
            </w:r>
          </w:p>
          <w:p w:rsidRPr="009A45E0" w:rsidR="00AF56F9" w:rsidP="00E525C7" w:rsidRDefault="00AF56F9" w14:paraId="28F15D47" w14:textId="77777777">
            <w:pPr>
              <w:pStyle w:val="Default"/>
              <w:rPr>
                <w:rFonts w:asciiTheme="minorHAnsi" w:hAnsiTheme="minorHAnsi"/>
                <w:sz w:val="20"/>
                <w:szCs w:val="20"/>
              </w:rPr>
            </w:pPr>
            <w:r w:rsidRPr="009A45E0">
              <w:rPr>
                <w:rFonts w:asciiTheme="minorHAnsi" w:hAnsiTheme="minorHAnsi"/>
                <w:sz w:val="20"/>
                <w:szCs w:val="20"/>
              </w:rPr>
              <w:t>Pain</w:t>
            </w:r>
            <w:r>
              <w:rPr>
                <w:rFonts w:asciiTheme="minorHAnsi" w:hAnsiTheme="minorHAnsi"/>
                <w:sz w:val="20"/>
                <w:szCs w:val="20"/>
              </w:rPr>
              <w:t>:</w:t>
            </w:r>
            <w:r w:rsidRPr="009A45E0">
              <w:rPr>
                <w:rFonts w:asciiTheme="minorHAnsi" w:hAnsiTheme="minorHAnsi"/>
                <w:sz w:val="20"/>
                <w:szCs w:val="20"/>
              </w:rPr>
              <w:t xml:space="preserve"> Refer to local pain relief policy.</w:t>
            </w:r>
          </w:p>
          <w:p w:rsidRPr="009A45E0" w:rsidR="00AF56F9" w:rsidP="00E525C7" w:rsidRDefault="00AF56F9" w14:paraId="4E9434CC" w14:textId="77777777">
            <w:pPr>
              <w:pStyle w:val="Default"/>
              <w:rPr>
                <w:rFonts w:asciiTheme="minorHAnsi" w:hAnsiTheme="minorHAnsi"/>
                <w:sz w:val="20"/>
                <w:szCs w:val="20"/>
              </w:rPr>
            </w:pPr>
            <w:r w:rsidRPr="009A45E0">
              <w:rPr>
                <w:rFonts w:asciiTheme="minorHAnsi" w:hAnsiTheme="minorHAnsi"/>
                <w:sz w:val="20"/>
                <w:szCs w:val="20"/>
              </w:rPr>
              <w:t>Apnoea and bradycardia in premature infants for up to 48 hours.</w:t>
            </w:r>
          </w:p>
          <w:p w:rsidRPr="00721BF0" w:rsidR="00AF56F9" w:rsidP="00E525C7" w:rsidRDefault="00AF56F9" w14:paraId="26BA654E" w14:textId="77777777">
            <w:pPr>
              <w:pStyle w:val="BodyText"/>
              <w:rPr>
                <w:rFonts w:cs="Arial" w:asciiTheme="minorHAnsi" w:hAnsiTheme="minorHAnsi"/>
                <w:sz w:val="20"/>
              </w:rPr>
            </w:pPr>
            <w:r>
              <w:rPr>
                <w:rFonts w:asciiTheme="minorHAnsi" w:hAnsiTheme="minorHAnsi"/>
                <w:sz w:val="20"/>
              </w:rPr>
              <w:t>Infants</w:t>
            </w:r>
            <w:r w:rsidRPr="009A45E0">
              <w:rPr>
                <w:rFonts w:asciiTheme="minorHAnsi" w:hAnsiTheme="minorHAnsi"/>
                <w:sz w:val="20"/>
              </w:rPr>
              <w:t xml:space="preserve"> with a history of febrile convulsions should be closely followed up as such adverse events may occur within 2 to 3 days post-vaccination.</w:t>
            </w:r>
          </w:p>
        </w:tc>
      </w:tr>
      <w:tr w:rsidRPr="00721BF0" w:rsidR="00273A16" w:rsidTr="77BEE3D0" w14:paraId="76999CE2" w14:textId="77777777">
        <w:trPr>
          <w:trHeight w:val="342"/>
        </w:trPr>
        <w:tc>
          <w:tcPr>
            <w:tcW w:w="2410" w:type="dxa"/>
          </w:tcPr>
          <w:p w:rsidRPr="00721BF0" w:rsidR="00AF56F9" w:rsidP="00E525C7" w:rsidRDefault="00AF56F9" w14:paraId="74D49C81" w14:textId="77777777">
            <w:pPr>
              <w:pStyle w:val="BodyText"/>
              <w:rPr>
                <w:rFonts w:cs="Arial" w:asciiTheme="minorHAnsi" w:hAnsiTheme="minorHAnsi"/>
                <w:b/>
                <w:bCs/>
                <w:szCs w:val="24"/>
              </w:rPr>
            </w:pPr>
            <w:r w:rsidRPr="00721BF0">
              <w:rPr>
                <w:rFonts w:cs="Arial" w:asciiTheme="minorHAnsi" w:hAnsiTheme="minorHAnsi"/>
                <w:b/>
                <w:bCs/>
                <w:szCs w:val="24"/>
              </w:rPr>
              <w:t xml:space="preserve">Contraindications                        </w:t>
            </w:r>
          </w:p>
          <w:p w:rsidRPr="00721BF0" w:rsidR="00AF56F9" w:rsidP="00E525C7" w:rsidRDefault="00AF56F9" w14:paraId="1B84ED23" w14:textId="77777777">
            <w:pPr>
              <w:pStyle w:val="BodyText"/>
              <w:rPr>
                <w:rFonts w:cs="Arial" w:asciiTheme="minorHAnsi" w:hAnsiTheme="minorHAnsi"/>
                <w:szCs w:val="24"/>
              </w:rPr>
            </w:pPr>
          </w:p>
        </w:tc>
        <w:tc>
          <w:tcPr>
            <w:tcW w:w="7967" w:type="dxa"/>
          </w:tcPr>
          <w:p w:rsidRPr="009A45E0" w:rsidR="00AF56F9" w:rsidP="00E525C7" w:rsidRDefault="00AF56F9" w14:paraId="558A1D52" w14:textId="77777777">
            <w:pPr>
              <w:pStyle w:val="Default"/>
              <w:rPr>
                <w:rFonts w:asciiTheme="minorHAnsi" w:hAnsiTheme="minorHAnsi"/>
                <w:sz w:val="20"/>
                <w:szCs w:val="20"/>
              </w:rPr>
            </w:pPr>
            <w:r w:rsidRPr="009A45E0">
              <w:rPr>
                <w:rFonts w:asciiTheme="minorHAnsi" w:hAnsiTheme="minorHAnsi"/>
                <w:sz w:val="20"/>
                <w:szCs w:val="20"/>
              </w:rPr>
              <w:t>Anaphylaxis following a previous dose of any DTPa vaccine.</w:t>
            </w:r>
          </w:p>
          <w:p w:rsidRPr="00721BF0" w:rsidR="00AF56F9" w:rsidP="00E525C7" w:rsidRDefault="00AF56F9" w14:paraId="2E93C92D" w14:textId="77777777">
            <w:pPr>
              <w:pStyle w:val="BodyText"/>
              <w:rPr>
                <w:rFonts w:cs="Arial" w:asciiTheme="minorHAnsi" w:hAnsiTheme="minorHAnsi"/>
                <w:sz w:val="20"/>
              </w:rPr>
            </w:pPr>
            <w:r w:rsidRPr="009A45E0">
              <w:rPr>
                <w:rFonts w:asciiTheme="minorHAnsi" w:hAnsiTheme="minorHAnsi"/>
                <w:sz w:val="20"/>
              </w:rPr>
              <w:t>Hypersensitivity to any vaccine component.</w:t>
            </w:r>
          </w:p>
        </w:tc>
      </w:tr>
      <w:tr w:rsidRPr="00721BF0" w:rsidR="00273A16" w:rsidTr="77BEE3D0" w14:paraId="3EB0B4F3" w14:textId="77777777">
        <w:tc>
          <w:tcPr>
            <w:tcW w:w="2410" w:type="dxa"/>
          </w:tcPr>
          <w:p w:rsidRPr="00721BF0" w:rsidR="00AF56F9" w:rsidP="00E525C7" w:rsidRDefault="00AF56F9" w14:paraId="7E248CA0" w14:textId="77777777">
            <w:pPr>
              <w:pStyle w:val="BodyText"/>
              <w:rPr>
                <w:rFonts w:cs="Arial" w:asciiTheme="minorHAnsi" w:hAnsiTheme="minorHAnsi"/>
                <w:b/>
                <w:bCs/>
                <w:szCs w:val="24"/>
              </w:rPr>
            </w:pPr>
            <w:r w:rsidRPr="00721BF0">
              <w:rPr>
                <w:rFonts w:asciiTheme="minorHAnsi" w:hAnsiTheme="minorHAnsi"/>
                <w:szCs w:val="24"/>
              </w:rPr>
              <w:br w:type="page"/>
            </w:r>
            <w:r w:rsidRPr="00721BF0">
              <w:rPr>
                <w:rFonts w:cs="Arial" w:asciiTheme="minorHAnsi" w:hAnsiTheme="minorHAnsi"/>
                <w:b/>
                <w:bCs/>
                <w:szCs w:val="24"/>
              </w:rPr>
              <w:t>Precautions</w:t>
            </w:r>
          </w:p>
        </w:tc>
        <w:tc>
          <w:tcPr>
            <w:tcW w:w="7967" w:type="dxa"/>
          </w:tcPr>
          <w:p w:rsidRPr="009A45E0" w:rsidR="00AF56F9" w:rsidP="00E525C7" w:rsidRDefault="00AF56F9" w14:paraId="5B33C026" w14:textId="77777777">
            <w:pPr>
              <w:pStyle w:val="Default"/>
              <w:rPr>
                <w:rFonts w:asciiTheme="minorHAnsi" w:hAnsiTheme="minorHAnsi"/>
                <w:sz w:val="20"/>
                <w:szCs w:val="20"/>
              </w:rPr>
            </w:pPr>
            <w:r w:rsidRPr="009A45E0">
              <w:rPr>
                <w:rFonts w:asciiTheme="minorHAnsi" w:hAnsiTheme="minorHAnsi"/>
                <w:sz w:val="20"/>
                <w:szCs w:val="20"/>
              </w:rPr>
              <w:t>Significant acute illness or temperature greater than 38</w:t>
            </w:r>
            <w:r>
              <w:rPr>
                <w:rFonts w:asciiTheme="minorHAnsi" w:hAnsiTheme="minorHAnsi"/>
                <w:sz w:val="20"/>
                <w:szCs w:val="20"/>
              </w:rPr>
              <w:t>.</w:t>
            </w:r>
            <w:r w:rsidRPr="009A45E0">
              <w:rPr>
                <w:rFonts w:asciiTheme="minorHAnsi" w:hAnsiTheme="minorHAnsi"/>
                <w:sz w:val="20"/>
                <w:szCs w:val="20"/>
              </w:rPr>
              <w:t xml:space="preserve">5°C </w:t>
            </w:r>
            <w:r>
              <w:rPr>
                <w:rFonts w:asciiTheme="minorHAnsi" w:hAnsiTheme="minorHAnsi"/>
                <w:sz w:val="20"/>
                <w:szCs w:val="20"/>
              </w:rPr>
              <w:t xml:space="preserve">– </w:t>
            </w:r>
            <w:r w:rsidRPr="009A45E0">
              <w:rPr>
                <w:rFonts w:asciiTheme="minorHAnsi" w:hAnsiTheme="minorHAnsi"/>
                <w:sz w:val="20"/>
                <w:szCs w:val="20"/>
              </w:rPr>
              <w:t xml:space="preserve">postpone vaccine until neonatologist approves. </w:t>
            </w:r>
          </w:p>
          <w:p w:rsidR="00AF56F9" w:rsidP="00E525C7" w:rsidRDefault="00AF56F9" w14:paraId="6B5F4C8A" w14:textId="77777777">
            <w:pPr>
              <w:pStyle w:val="Default"/>
              <w:rPr>
                <w:rFonts w:asciiTheme="minorHAnsi" w:hAnsiTheme="minorHAnsi"/>
                <w:sz w:val="20"/>
                <w:szCs w:val="20"/>
              </w:rPr>
            </w:pPr>
            <w:r w:rsidRPr="009A45E0">
              <w:rPr>
                <w:rFonts w:asciiTheme="minorHAnsi" w:hAnsiTheme="minorHAnsi"/>
                <w:sz w:val="20"/>
                <w:szCs w:val="20"/>
              </w:rPr>
              <w:t xml:space="preserve">If the infant has experienced an encephalopathy of unknown </w:t>
            </w:r>
            <w:r>
              <w:rPr>
                <w:rFonts w:asciiTheme="minorHAnsi" w:hAnsiTheme="minorHAnsi"/>
                <w:sz w:val="20"/>
                <w:szCs w:val="20"/>
              </w:rPr>
              <w:t>a</w:t>
            </w:r>
            <w:r w:rsidRPr="009A45E0">
              <w:rPr>
                <w:rFonts w:asciiTheme="minorHAnsi" w:hAnsiTheme="minorHAnsi"/>
                <w:sz w:val="20"/>
                <w:szCs w:val="20"/>
              </w:rPr>
              <w:t xml:space="preserve">etiology occurring within 7 days </w:t>
            </w:r>
            <w:r>
              <w:rPr>
                <w:rFonts w:asciiTheme="minorHAnsi" w:hAnsiTheme="minorHAnsi"/>
                <w:sz w:val="20"/>
                <w:szCs w:val="20"/>
              </w:rPr>
              <w:t>after</w:t>
            </w:r>
            <w:r w:rsidRPr="009A45E0">
              <w:rPr>
                <w:rFonts w:asciiTheme="minorHAnsi" w:hAnsiTheme="minorHAnsi"/>
                <w:sz w:val="20"/>
                <w:szCs w:val="20"/>
              </w:rPr>
              <w:t xml:space="preserve"> previous vaccination with a pertussis containing vaccine. </w:t>
            </w:r>
          </w:p>
          <w:p w:rsidRPr="009A45E0" w:rsidR="00AF56F9" w:rsidP="00E525C7" w:rsidRDefault="00AF56F9" w14:paraId="42084910" w14:textId="77777777">
            <w:pPr>
              <w:pStyle w:val="Default"/>
              <w:rPr>
                <w:rFonts w:asciiTheme="minorHAnsi" w:hAnsiTheme="minorHAnsi"/>
                <w:sz w:val="20"/>
                <w:szCs w:val="20"/>
              </w:rPr>
            </w:pPr>
            <w:r w:rsidRPr="009A45E0">
              <w:rPr>
                <w:rFonts w:asciiTheme="minorHAnsi" w:hAnsiTheme="minorHAnsi"/>
                <w:sz w:val="20"/>
                <w:szCs w:val="20"/>
              </w:rPr>
              <w:t xml:space="preserve">The following reactions to a previous dose may preclude further doses: </w:t>
            </w:r>
          </w:p>
          <w:p w:rsidRPr="009A45E0" w:rsidR="00AF56F9" w:rsidP="00E525C7" w:rsidRDefault="00AF56F9" w14:paraId="52E7B943" w14:textId="77777777">
            <w:pPr>
              <w:pStyle w:val="Default"/>
              <w:ind w:left="720"/>
              <w:rPr>
                <w:rFonts w:asciiTheme="minorHAnsi" w:hAnsiTheme="minorHAnsi"/>
                <w:sz w:val="20"/>
                <w:szCs w:val="20"/>
              </w:rPr>
            </w:pPr>
            <w:r>
              <w:rPr>
                <w:rFonts w:asciiTheme="minorHAnsi" w:hAnsiTheme="minorHAnsi"/>
                <w:sz w:val="20"/>
                <w:szCs w:val="20"/>
              </w:rPr>
              <w:t xml:space="preserve">- </w:t>
            </w:r>
            <w:r w:rsidRPr="009A45E0">
              <w:rPr>
                <w:rFonts w:asciiTheme="minorHAnsi" w:hAnsiTheme="minorHAnsi"/>
                <w:sz w:val="20"/>
                <w:szCs w:val="20"/>
              </w:rPr>
              <w:t>Convulsions within 3 days.</w:t>
            </w:r>
          </w:p>
          <w:p w:rsidRPr="009A45E0" w:rsidR="00AF56F9" w:rsidP="00E525C7" w:rsidRDefault="00AF56F9" w14:paraId="1EBB2000" w14:textId="77777777">
            <w:pPr>
              <w:pStyle w:val="Default"/>
              <w:ind w:left="720"/>
              <w:rPr>
                <w:rFonts w:asciiTheme="minorHAnsi" w:hAnsiTheme="minorHAnsi"/>
                <w:sz w:val="20"/>
                <w:szCs w:val="20"/>
              </w:rPr>
            </w:pPr>
            <w:r>
              <w:rPr>
                <w:rFonts w:asciiTheme="minorHAnsi" w:hAnsiTheme="minorHAnsi"/>
                <w:sz w:val="20"/>
                <w:szCs w:val="20"/>
              </w:rPr>
              <w:t xml:space="preserve">- </w:t>
            </w:r>
            <w:r w:rsidRPr="009A45E0">
              <w:rPr>
                <w:rFonts w:asciiTheme="minorHAnsi" w:hAnsiTheme="minorHAnsi"/>
                <w:sz w:val="20"/>
                <w:szCs w:val="20"/>
              </w:rPr>
              <w:t>Persistent, severe, inconsolable screaming or crying for three or more hours within 48 hours.</w:t>
            </w:r>
          </w:p>
          <w:p w:rsidRPr="009A45E0" w:rsidR="00AF56F9" w:rsidP="00E525C7" w:rsidRDefault="00AF56F9" w14:paraId="0BC75F9E" w14:textId="77777777">
            <w:pPr>
              <w:pStyle w:val="Default"/>
              <w:ind w:left="720"/>
              <w:rPr>
                <w:rFonts w:asciiTheme="minorHAnsi" w:hAnsiTheme="minorHAnsi"/>
                <w:sz w:val="20"/>
                <w:szCs w:val="20"/>
              </w:rPr>
            </w:pPr>
            <w:r>
              <w:rPr>
                <w:rFonts w:asciiTheme="minorHAnsi" w:hAnsiTheme="minorHAnsi"/>
                <w:sz w:val="20"/>
                <w:szCs w:val="20"/>
              </w:rPr>
              <w:t xml:space="preserve">- </w:t>
            </w:r>
            <w:r w:rsidRPr="009A45E0">
              <w:rPr>
                <w:rFonts w:asciiTheme="minorHAnsi" w:hAnsiTheme="minorHAnsi"/>
                <w:sz w:val="20"/>
                <w:szCs w:val="20"/>
              </w:rPr>
              <w:t xml:space="preserve">Unexplained temperature &gt; 40.5°C within 48 hours. </w:t>
            </w:r>
          </w:p>
          <w:p w:rsidRPr="009A45E0" w:rsidR="00AF56F9" w:rsidP="00E525C7" w:rsidRDefault="00AF56F9" w14:paraId="7AABEC0A" w14:textId="77777777">
            <w:pPr>
              <w:pStyle w:val="Default"/>
              <w:rPr>
                <w:rFonts w:asciiTheme="minorHAnsi" w:hAnsiTheme="minorHAnsi"/>
                <w:sz w:val="20"/>
                <w:szCs w:val="20"/>
              </w:rPr>
            </w:pPr>
            <w:r w:rsidRPr="009A45E0">
              <w:rPr>
                <w:rFonts w:asciiTheme="minorHAnsi" w:hAnsiTheme="minorHAnsi"/>
                <w:sz w:val="20"/>
                <w:szCs w:val="20"/>
              </w:rPr>
              <w:lastRenderedPageBreak/>
              <w:t xml:space="preserve">Immunosuppressed patients </w:t>
            </w:r>
          </w:p>
          <w:p w:rsidRPr="009A45E0" w:rsidR="00AF56F9" w:rsidP="00E525C7" w:rsidRDefault="00AF56F9" w14:paraId="308B2BF4" w14:textId="77777777">
            <w:pPr>
              <w:pStyle w:val="Default"/>
              <w:rPr>
                <w:rFonts w:asciiTheme="minorHAnsi" w:hAnsiTheme="minorHAnsi"/>
                <w:sz w:val="20"/>
                <w:szCs w:val="20"/>
              </w:rPr>
            </w:pPr>
            <w:r w:rsidRPr="009A45E0">
              <w:rPr>
                <w:rFonts w:asciiTheme="minorHAnsi" w:hAnsiTheme="minorHAnsi"/>
                <w:sz w:val="20"/>
                <w:szCs w:val="20"/>
              </w:rPr>
              <w:t>Thrombocytopenia or bleeding disorders.</w:t>
            </w:r>
          </w:p>
          <w:p w:rsidRPr="004E56C8" w:rsidR="00AF56F9" w:rsidP="00E525C7" w:rsidRDefault="00AF56F9" w14:paraId="6621EDE7" w14:textId="77777777">
            <w:pPr>
              <w:pStyle w:val="BodyText"/>
              <w:rPr>
                <w:rFonts w:asciiTheme="minorHAnsi" w:hAnsiTheme="minorHAnsi"/>
                <w:sz w:val="20"/>
              </w:rPr>
            </w:pPr>
            <w:r w:rsidRPr="009A45E0">
              <w:rPr>
                <w:rFonts w:asciiTheme="minorHAnsi" w:hAnsiTheme="minorHAnsi"/>
                <w:sz w:val="20"/>
              </w:rPr>
              <w:t xml:space="preserve">Children who have had a hypotonic/hyporesponsive episode (HHE) within 48 hours of vaccination with a DTPa containing vaccine should receive further doses as </w:t>
            </w:r>
            <w:r>
              <w:rPr>
                <w:rFonts w:asciiTheme="minorHAnsi" w:hAnsiTheme="minorHAnsi"/>
                <w:sz w:val="20"/>
              </w:rPr>
              <w:t>advised by the</w:t>
            </w:r>
            <w:r w:rsidRPr="009A45E0">
              <w:rPr>
                <w:rFonts w:asciiTheme="minorHAnsi" w:hAnsiTheme="minorHAnsi"/>
                <w:sz w:val="20"/>
              </w:rPr>
              <w:t xml:space="preserve"> Adverse Events after Immunisation Clinics.</w:t>
            </w:r>
          </w:p>
        </w:tc>
      </w:tr>
      <w:tr w:rsidRPr="00721BF0" w:rsidR="00273A16" w:rsidTr="77BEE3D0" w14:paraId="4FECAC6B" w14:textId="77777777">
        <w:trPr>
          <w:trHeight w:val="276"/>
        </w:trPr>
        <w:tc>
          <w:tcPr>
            <w:tcW w:w="2410" w:type="dxa"/>
          </w:tcPr>
          <w:p w:rsidRPr="00721BF0" w:rsidR="00AF56F9" w:rsidP="00E525C7" w:rsidRDefault="00AF56F9" w14:paraId="1C1A95B0" w14:textId="77777777">
            <w:pPr>
              <w:pStyle w:val="BodyText"/>
              <w:rPr>
                <w:rFonts w:cs="Arial" w:asciiTheme="minorHAnsi" w:hAnsiTheme="minorHAnsi"/>
                <w:b/>
                <w:bCs/>
                <w:szCs w:val="24"/>
              </w:rPr>
            </w:pPr>
            <w:r w:rsidRPr="00721BF0">
              <w:rPr>
                <w:rFonts w:cs="Arial" w:asciiTheme="minorHAnsi" w:hAnsiTheme="minorHAnsi"/>
                <w:b/>
                <w:bCs/>
                <w:szCs w:val="24"/>
              </w:rPr>
              <w:lastRenderedPageBreak/>
              <w:t>Drug Interactions</w:t>
            </w:r>
          </w:p>
        </w:tc>
        <w:tc>
          <w:tcPr>
            <w:tcW w:w="7967" w:type="dxa"/>
          </w:tcPr>
          <w:p w:rsidRPr="009A45E0" w:rsidR="00AF56F9" w:rsidP="00E525C7" w:rsidRDefault="00AF56F9" w14:paraId="42ED3862" w14:textId="77777777">
            <w:pPr>
              <w:pStyle w:val="Default"/>
              <w:rPr>
                <w:rFonts w:asciiTheme="minorHAnsi" w:hAnsiTheme="minorHAnsi"/>
                <w:sz w:val="20"/>
                <w:szCs w:val="20"/>
              </w:rPr>
            </w:pPr>
            <w:r w:rsidRPr="009A45E0">
              <w:rPr>
                <w:rFonts w:asciiTheme="minorHAnsi" w:hAnsiTheme="minorHAnsi"/>
                <w:sz w:val="20"/>
                <w:szCs w:val="20"/>
              </w:rPr>
              <w:t>Tetanus Immune Globulin or Diphtheria Antitoxin, if used, should be given at a separate site, with a separate needle and syringe.</w:t>
            </w:r>
          </w:p>
          <w:p w:rsidRPr="009A45E0" w:rsidR="00AF56F9" w:rsidP="00E525C7" w:rsidRDefault="00AF56F9" w14:paraId="2198F154" w14:textId="77777777">
            <w:pPr>
              <w:pStyle w:val="Default"/>
              <w:rPr>
                <w:rFonts w:asciiTheme="minorHAnsi" w:hAnsiTheme="minorHAnsi"/>
                <w:sz w:val="20"/>
                <w:szCs w:val="20"/>
              </w:rPr>
            </w:pPr>
            <w:r w:rsidRPr="009A45E0">
              <w:rPr>
                <w:rFonts w:asciiTheme="minorHAnsi" w:hAnsiTheme="minorHAnsi"/>
                <w:sz w:val="20"/>
                <w:szCs w:val="20"/>
              </w:rPr>
              <w:t>Should not be given to infants or children on anticoagulant therapy unless the potential benefit clearly outweighs the risk of administration.</w:t>
            </w:r>
          </w:p>
          <w:p w:rsidRPr="00721BF0" w:rsidR="00AF56F9" w:rsidP="00E525C7" w:rsidRDefault="00AF56F9" w14:paraId="036EE24F" w14:textId="77777777">
            <w:pPr>
              <w:pStyle w:val="BodyText"/>
              <w:rPr>
                <w:rFonts w:cs="Arial" w:asciiTheme="minorHAnsi" w:hAnsiTheme="minorHAnsi"/>
                <w:sz w:val="20"/>
              </w:rPr>
            </w:pPr>
            <w:r w:rsidRPr="009A45E0">
              <w:rPr>
                <w:rFonts w:asciiTheme="minorHAnsi" w:hAnsiTheme="minorHAnsi"/>
                <w:sz w:val="20"/>
              </w:rPr>
              <w:t>Immunosuppressive therapies, including irradiation, antimetabolites, alkylating agents, cytotoxic drugs and corticosteroids (used in greater than physiologic doses), may reduce the immune response to vaccines.</w:t>
            </w:r>
          </w:p>
        </w:tc>
      </w:tr>
      <w:tr w:rsidRPr="00721BF0" w:rsidR="00273A16" w:rsidTr="77BEE3D0" w14:paraId="7B3FD5A3" w14:textId="77777777">
        <w:trPr>
          <w:trHeight w:val="416"/>
        </w:trPr>
        <w:tc>
          <w:tcPr>
            <w:tcW w:w="2410" w:type="dxa"/>
          </w:tcPr>
          <w:p w:rsidRPr="00721BF0" w:rsidR="00AF56F9" w:rsidP="00E525C7" w:rsidRDefault="00AF56F9" w14:paraId="459F55CB" w14:textId="77777777">
            <w:pPr>
              <w:pStyle w:val="BodyText"/>
              <w:rPr>
                <w:rFonts w:cs="Arial" w:asciiTheme="minorHAnsi" w:hAnsiTheme="minorHAnsi"/>
                <w:b/>
                <w:bCs/>
                <w:szCs w:val="24"/>
              </w:rPr>
            </w:pPr>
            <w:r w:rsidRPr="00721BF0">
              <w:rPr>
                <w:rFonts w:cs="Arial" w:asciiTheme="minorHAnsi" w:hAnsiTheme="minorHAnsi"/>
                <w:b/>
                <w:bCs/>
                <w:szCs w:val="24"/>
              </w:rPr>
              <w:t xml:space="preserve">Adverse Reactions         </w:t>
            </w:r>
          </w:p>
          <w:p w:rsidRPr="00721BF0" w:rsidR="00AF56F9" w:rsidP="00E525C7" w:rsidRDefault="00AF56F9" w14:paraId="0CAB2D2F" w14:textId="77777777">
            <w:pPr>
              <w:pStyle w:val="BodyText"/>
              <w:rPr>
                <w:rFonts w:cs="Arial" w:asciiTheme="minorHAnsi" w:hAnsiTheme="minorHAnsi"/>
                <w:b/>
                <w:bCs/>
                <w:szCs w:val="24"/>
              </w:rPr>
            </w:pPr>
          </w:p>
        </w:tc>
        <w:tc>
          <w:tcPr>
            <w:tcW w:w="7967" w:type="dxa"/>
          </w:tcPr>
          <w:p w:rsidRPr="009A45E0" w:rsidR="00AF56F9" w:rsidP="00E525C7" w:rsidRDefault="00AF56F9" w14:paraId="1DF10EC9" w14:textId="77777777">
            <w:pPr>
              <w:pStyle w:val="Default"/>
              <w:rPr>
                <w:rFonts w:asciiTheme="minorHAnsi" w:hAnsiTheme="minorHAnsi"/>
                <w:sz w:val="20"/>
                <w:szCs w:val="20"/>
              </w:rPr>
            </w:pPr>
            <w:r w:rsidRPr="009A45E0">
              <w:rPr>
                <w:rFonts w:asciiTheme="minorHAnsi" w:hAnsiTheme="minorHAnsi"/>
                <w:sz w:val="20"/>
                <w:szCs w:val="20"/>
              </w:rPr>
              <w:t xml:space="preserve">Common: </w:t>
            </w:r>
            <w:r>
              <w:rPr>
                <w:rFonts w:asciiTheme="minorHAnsi" w:hAnsiTheme="minorHAnsi"/>
                <w:sz w:val="20"/>
                <w:szCs w:val="20"/>
              </w:rPr>
              <w:t>P</w:t>
            </w:r>
            <w:r w:rsidRPr="009A45E0">
              <w:rPr>
                <w:rFonts w:asciiTheme="minorHAnsi" w:hAnsiTheme="minorHAnsi"/>
                <w:sz w:val="20"/>
                <w:szCs w:val="20"/>
              </w:rPr>
              <w:t xml:space="preserve">ain, inflammation, redness, injection site mass persisting for up to a few days. </w:t>
            </w:r>
          </w:p>
          <w:p w:rsidRPr="009A45E0" w:rsidR="00AF56F9" w:rsidP="00E525C7" w:rsidRDefault="00AF56F9" w14:paraId="43D0FD07" w14:textId="77777777">
            <w:pPr>
              <w:pStyle w:val="Default"/>
              <w:rPr>
                <w:rFonts w:asciiTheme="minorHAnsi" w:hAnsiTheme="minorHAnsi"/>
                <w:sz w:val="20"/>
                <w:szCs w:val="20"/>
              </w:rPr>
            </w:pPr>
            <w:r w:rsidRPr="009A45E0">
              <w:rPr>
                <w:rFonts w:asciiTheme="minorHAnsi" w:hAnsiTheme="minorHAnsi"/>
                <w:sz w:val="20"/>
                <w:szCs w:val="20"/>
              </w:rPr>
              <w:t xml:space="preserve">Uncommon: </w:t>
            </w:r>
            <w:r>
              <w:rPr>
                <w:rFonts w:asciiTheme="minorHAnsi" w:hAnsiTheme="minorHAnsi"/>
                <w:sz w:val="20"/>
                <w:szCs w:val="20"/>
              </w:rPr>
              <w:t>H</w:t>
            </w:r>
            <w:r w:rsidRPr="009A45E0">
              <w:rPr>
                <w:rFonts w:asciiTheme="minorHAnsi" w:hAnsiTheme="minorHAnsi"/>
                <w:sz w:val="20"/>
                <w:szCs w:val="20"/>
              </w:rPr>
              <w:t xml:space="preserve">eadache, fever, lethargy, malaise, myalgia. </w:t>
            </w:r>
          </w:p>
          <w:p w:rsidR="00AF56F9" w:rsidP="00E525C7" w:rsidRDefault="00AF56F9" w14:paraId="4387BE60" w14:textId="77777777">
            <w:pPr>
              <w:pStyle w:val="BodyText"/>
              <w:rPr>
                <w:rFonts w:asciiTheme="minorHAnsi" w:hAnsiTheme="minorHAnsi"/>
                <w:sz w:val="20"/>
              </w:rPr>
            </w:pPr>
            <w:r w:rsidRPr="009A45E0">
              <w:rPr>
                <w:rFonts w:asciiTheme="minorHAnsi" w:hAnsiTheme="minorHAnsi"/>
                <w:sz w:val="20"/>
              </w:rPr>
              <w:t xml:space="preserve">Rare: </w:t>
            </w:r>
            <w:r>
              <w:rPr>
                <w:rFonts w:asciiTheme="minorHAnsi" w:hAnsiTheme="minorHAnsi"/>
                <w:sz w:val="20"/>
              </w:rPr>
              <w:t>A</w:t>
            </w:r>
            <w:r w:rsidRPr="009A45E0">
              <w:rPr>
                <w:rFonts w:asciiTheme="minorHAnsi" w:hAnsiTheme="minorHAnsi"/>
                <w:sz w:val="20"/>
              </w:rPr>
              <w:t>naphylaxis, urticaria and peripheral neuropathy.</w:t>
            </w:r>
          </w:p>
          <w:p w:rsidRPr="00721BF0" w:rsidR="00AF56F9" w:rsidP="00E525C7" w:rsidRDefault="00AF56F9" w14:paraId="499F31A1" w14:textId="77777777">
            <w:pPr>
              <w:pStyle w:val="BodyText"/>
              <w:rPr>
                <w:rFonts w:cs="Arial" w:asciiTheme="minorHAnsi" w:hAnsiTheme="minorHAnsi"/>
                <w:sz w:val="20"/>
              </w:rPr>
            </w:pPr>
            <w:r w:rsidRPr="00D77099">
              <w:rPr>
                <w:rFonts w:cs="Arial" w:asciiTheme="minorHAnsi" w:hAnsiTheme="minorHAnsi"/>
                <w:sz w:val="20"/>
              </w:rPr>
              <w:t xml:space="preserve">Any serious or unexpected adverse event following immunisation should be reported promptly. Providers should use clinical judgment in deciding which adverse events to report and parents/carers should be encouraged to notify the immunisation service provider or health authorities of any untoward medical occurrence that follows immunisation. Each </w:t>
            </w:r>
            <w:r>
              <w:rPr>
                <w:rFonts w:cs="Arial" w:asciiTheme="minorHAnsi" w:hAnsiTheme="minorHAnsi"/>
                <w:sz w:val="20"/>
              </w:rPr>
              <w:t>S</w:t>
            </w:r>
            <w:r w:rsidRPr="00D77099">
              <w:rPr>
                <w:rFonts w:cs="Arial" w:asciiTheme="minorHAnsi" w:hAnsiTheme="minorHAnsi"/>
                <w:sz w:val="20"/>
              </w:rPr>
              <w:t xml:space="preserve">tate/Territory has </w:t>
            </w:r>
            <w:r>
              <w:rPr>
                <w:rFonts w:cs="Arial" w:asciiTheme="minorHAnsi" w:hAnsiTheme="minorHAnsi"/>
                <w:sz w:val="20"/>
              </w:rPr>
              <w:t>its</w:t>
            </w:r>
            <w:r w:rsidRPr="00D77099">
              <w:rPr>
                <w:rFonts w:cs="Arial" w:asciiTheme="minorHAnsi" w:hAnsiTheme="minorHAnsi"/>
                <w:sz w:val="20"/>
              </w:rPr>
              <w:t xml:space="preserve"> own contact details for notification. Contact </w:t>
            </w:r>
            <w:r>
              <w:rPr>
                <w:rFonts w:cs="Arial" w:asciiTheme="minorHAnsi" w:hAnsiTheme="minorHAnsi"/>
                <w:sz w:val="20"/>
              </w:rPr>
              <w:t>telephone number</w:t>
            </w:r>
            <w:r w:rsidRPr="00D77099">
              <w:rPr>
                <w:rFonts w:cs="Arial" w:asciiTheme="minorHAnsi" w:hAnsiTheme="minorHAnsi"/>
                <w:sz w:val="20"/>
              </w:rPr>
              <w:t xml:space="preserve"> for NSW Public Health Unit </w:t>
            </w:r>
            <w:r>
              <w:rPr>
                <w:rFonts w:cs="Arial" w:asciiTheme="minorHAnsi" w:hAnsiTheme="minorHAnsi"/>
                <w:sz w:val="20"/>
              </w:rPr>
              <w:t xml:space="preserve">is </w:t>
            </w:r>
            <w:r w:rsidRPr="00D77099">
              <w:rPr>
                <w:rFonts w:cs="Arial" w:asciiTheme="minorHAnsi" w:hAnsiTheme="minorHAnsi"/>
                <w:sz w:val="20"/>
              </w:rPr>
              <w:t>1300 066 055.</w:t>
            </w:r>
          </w:p>
        </w:tc>
      </w:tr>
      <w:tr w:rsidRPr="00721BF0" w:rsidR="00273A16" w:rsidTr="77BEE3D0" w14:paraId="425476D7" w14:textId="77777777">
        <w:trPr>
          <w:trHeight w:val="270"/>
        </w:trPr>
        <w:tc>
          <w:tcPr>
            <w:tcW w:w="2410" w:type="dxa"/>
          </w:tcPr>
          <w:p w:rsidRPr="00721BF0" w:rsidR="00AF56F9" w:rsidP="00E525C7" w:rsidRDefault="00AF56F9" w14:paraId="5AF3BA7C" w14:textId="77777777">
            <w:pPr>
              <w:pStyle w:val="BodyText"/>
              <w:rPr>
                <w:rFonts w:cs="Arial" w:asciiTheme="minorHAnsi" w:hAnsiTheme="minorHAnsi"/>
                <w:b/>
                <w:bCs/>
                <w:szCs w:val="24"/>
              </w:rPr>
            </w:pPr>
            <w:r w:rsidRPr="00721BF0">
              <w:rPr>
                <w:rFonts w:cs="Arial" w:asciiTheme="minorHAnsi" w:hAnsiTheme="minorHAnsi"/>
                <w:b/>
                <w:bCs/>
                <w:szCs w:val="24"/>
              </w:rPr>
              <w:t>Compatibility</w:t>
            </w:r>
          </w:p>
        </w:tc>
        <w:tc>
          <w:tcPr>
            <w:tcW w:w="7967" w:type="dxa"/>
          </w:tcPr>
          <w:p w:rsidRPr="00721BF0" w:rsidR="00AF56F9" w:rsidP="00E525C7" w:rsidRDefault="00AF56F9" w14:paraId="53461305" w14:textId="77777777">
            <w:pPr>
              <w:pStyle w:val="Default"/>
              <w:rPr>
                <w:rFonts w:asciiTheme="minorHAnsi" w:hAnsiTheme="minorHAnsi"/>
                <w:sz w:val="20"/>
              </w:rPr>
            </w:pPr>
          </w:p>
        </w:tc>
      </w:tr>
      <w:tr w:rsidRPr="00721BF0" w:rsidR="00273A16" w:rsidTr="77BEE3D0" w14:paraId="60C1F451" w14:textId="77777777">
        <w:trPr>
          <w:trHeight w:val="206"/>
        </w:trPr>
        <w:tc>
          <w:tcPr>
            <w:tcW w:w="2410" w:type="dxa"/>
          </w:tcPr>
          <w:p w:rsidRPr="00721BF0" w:rsidR="00AF56F9" w:rsidP="00E525C7" w:rsidRDefault="00AF56F9" w14:paraId="3D5FEFA5" w14:textId="77777777">
            <w:pPr>
              <w:pStyle w:val="BodyText"/>
              <w:rPr>
                <w:rFonts w:cs="Arial" w:asciiTheme="minorHAnsi" w:hAnsiTheme="minorHAnsi"/>
                <w:b/>
                <w:bCs/>
                <w:szCs w:val="24"/>
              </w:rPr>
            </w:pPr>
            <w:r w:rsidRPr="00721BF0">
              <w:rPr>
                <w:rFonts w:cs="Arial" w:asciiTheme="minorHAnsi" w:hAnsiTheme="minorHAnsi"/>
                <w:b/>
                <w:bCs/>
                <w:szCs w:val="24"/>
              </w:rPr>
              <w:t xml:space="preserve">Incompatibility </w:t>
            </w:r>
          </w:p>
        </w:tc>
        <w:tc>
          <w:tcPr>
            <w:tcW w:w="7967" w:type="dxa"/>
          </w:tcPr>
          <w:p w:rsidRPr="00721BF0" w:rsidR="00AF56F9" w:rsidP="00E525C7" w:rsidRDefault="00AF56F9" w14:paraId="2479691B" w14:textId="77777777">
            <w:pPr>
              <w:pStyle w:val="BodyText"/>
              <w:rPr>
                <w:rFonts w:cs="Arial" w:asciiTheme="minorHAnsi" w:hAnsiTheme="minorHAnsi"/>
                <w:sz w:val="20"/>
              </w:rPr>
            </w:pPr>
            <w:r w:rsidRPr="009A45E0">
              <w:rPr>
                <w:rFonts w:cs="Arial" w:asciiTheme="minorHAnsi" w:hAnsiTheme="minorHAnsi"/>
                <w:sz w:val="20"/>
              </w:rPr>
              <w:t>Do not mix with any other vaccines in the same syringe.</w:t>
            </w:r>
          </w:p>
        </w:tc>
      </w:tr>
      <w:tr w:rsidRPr="00721BF0" w:rsidR="00273A16" w:rsidTr="77BEE3D0" w14:paraId="318D1643" w14:textId="77777777">
        <w:trPr>
          <w:trHeight w:val="510"/>
        </w:trPr>
        <w:tc>
          <w:tcPr>
            <w:tcW w:w="2410" w:type="dxa"/>
          </w:tcPr>
          <w:p w:rsidRPr="00721BF0" w:rsidR="00AF56F9" w:rsidP="00E525C7" w:rsidRDefault="00AF56F9" w14:paraId="0BC6BA85" w14:textId="77777777">
            <w:pPr>
              <w:pStyle w:val="BodyText"/>
              <w:rPr>
                <w:rFonts w:cs="Arial" w:asciiTheme="minorHAnsi" w:hAnsiTheme="minorHAnsi"/>
                <w:b/>
                <w:bCs/>
                <w:szCs w:val="24"/>
              </w:rPr>
            </w:pPr>
            <w:r w:rsidRPr="00721BF0">
              <w:rPr>
                <w:rFonts w:cs="Arial" w:asciiTheme="minorHAnsi" w:hAnsiTheme="minorHAnsi"/>
                <w:b/>
                <w:bCs/>
                <w:szCs w:val="24"/>
              </w:rPr>
              <w:t xml:space="preserve">Stability                  </w:t>
            </w:r>
          </w:p>
        </w:tc>
        <w:tc>
          <w:tcPr>
            <w:tcW w:w="7967" w:type="dxa"/>
          </w:tcPr>
          <w:p w:rsidRPr="009A45E0" w:rsidR="00AF56F9" w:rsidP="00E525C7" w:rsidRDefault="00AF56F9" w14:paraId="61EE33CA" w14:textId="77777777">
            <w:pPr>
              <w:pStyle w:val="BodyText"/>
              <w:rPr>
                <w:rFonts w:cs="Arial" w:asciiTheme="minorHAnsi" w:hAnsiTheme="minorHAnsi"/>
                <w:sz w:val="20"/>
              </w:rPr>
            </w:pPr>
            <w:r w:rsidRPr="009A45E0">
              <w:rPr>
                <w:rFonts w:cs="Arial" w:asciiTheme="minorHAnsi" w:hAnsiTheme="minorHAnsi"/>
                <w:sz w:val="20"/>
              </w:rPr>
              <w:t xml:space="preserve">After reconstitution, the vaccine should be injected promptly. </w:t>
            </w:r>
          </w:p>
          <w:p w:rsidRPr="00721BF0" w:rsidR="00AF56F9" w:rsidP="00E525C7" w:rsidRDefault="00AF56F9" w14:paraId="0A45C46C" w14:textId="77777777">
            <w:pPr>
              <w:pStyle w:val="BodyText"/>
              <w:rPr>
                <w:rFonts w:cs="Arial" w:asciiTheme="minorHAnsi" w:hAnsiTheme="minorHAnsi"/>
                <w:sz w:val="20"/>
              </w:rPr>
            </w:pPr>
            <w:r w:rsidRPr="009A45E0">
              <w:rPr>
                <w:rFonts w:cs="Arial" w:asciiTheme="minorHAnsi" w:hAnsiTheme="minorHAnsi"/>
                <w:sz w:val="20"/>
              </w:rPr>
              <w:t xml:space="preserve">However, the vaccine </w:t>
            </w:r>
            <w:r>
              <w:rPr>
                <w:rFonts w:cs="Arial" w:asciiTheme="minorHAnsi" w:hAnsiTheme="minorHAnsi"/>
                <w:sz w:val="20"/>
              </w:rPr>
              <w:t xml:space="preserve">is </w:t>
            </w:r>
            <w:r w:rsidRPr="009A45E0">
              <w:rPr>
                <w:rFonts w:cs="Arial" w:asciiTheme="minorHAnsi" w:hAnsiTheme="minorHAnsi"/>
                <w:sz w:val="20"/>
              </w:rPr>
              <w:t>stable for up to eight hours at room temperature.</w:t>
            </w:r>
          </w:p>
        </w:tc>
      </w:tr>
      <w:tr w:rsidRPr="00721BF0" w:rsidR="00273A16" w:rsidTr="77BEE3D0" w14:paraId="72A20711" w14:textId="77777777">
        <w:trPr>
          <w:trHeight w:val="371"/>
        </w:trPr>
        <w:tc>
          <w:tcPr>
            <w:tcW w:w="2410" w:type="dxa"/>
          </w:tcPr>
          <w:p w:rsidRPr="00721BF0" w:rsidR="00AF56F9" w:rsidP="00E525C7" w:rsidRDefault="00AF56F9" w14:paraId="0C9BD692" w14:textId="77777777">
            <w:pPr>
              <w:pStyle w:val="BodyText"/>
              <w:rPr>
                <w:rFonts w:cs="Arial" w:asciiTheme="minorHAnsi" w:hAnsiTheme="minorHAnsi"/>
                <w:b/>
                <w:bCs/>
                <w:szCs w:val="24"/>
              </w:rPr>
            </w:pPr>
            <w:r w:rsidRPr="00721BF0">
              <w:rPr>
                <w:rFonts w:cs="Arial" w:asciiTheme="minorHAnsi" w:hAnsiTheme="minorHAnsi"/>
                <w:b/>
                <w:bCs/>
                <w:szCs w:val="24"/>
              </w:rPr>
              <w:t xml:space="preserve">Storage             </w:t>
            </w:r>
          </w:p>
        </w:tc>
        <w:tc>
          <w:tcPr>
            <w:tcW w:w="7967" w:type="dxa"/>
          </w:tcPr>
          <w:p w:rsidRPr="009A45E0" w:rsidR="00AF56F9" w:rsidP="00E525C7" w:rsidRDefault="00AF56F9" w14:paraId="5183446D" w14:textId="77777777">
            <w:pPr>
              <w:pStyle w:val="BodyText"/>
              <w:rPr>
                <w:rFonts w:cs="Arial" w:asciiTheme="minorHAnsi" w:hAnsiTheme="minorHAnsi"/>
                <w:sz w:val="20"/>
              </w:rPr>
            </w:pPr>
            <w:r w:rsidRPr="009A45E0">
              <w:rPr>
                <w:rFonts w:cs="Arial" w:asciiTheme="minorHAnsi" w:hAnsiTheme="minorHAnsi"/>
                <w:sz w:val="20"/>
              </w:rPr>
              <w:t>Store between 2</w:t>
            </w:r>
            <w:r>
              <w:rPr>
                <w:rFonts w:cs="Arial" w:asciiTheme="minorHAnsi" w:hAnsiTheme="minorHAnsi"/>
                <w:sz w:val="20"/>
              </w:rPr>
              <w:t xml:space="preserve"> and </w:t>
            </w:r>
            <w:r w:rsidRPr="009A45E0">
              <w:rPr>
                <w:rFonts w:cs="Arial" w:asciiTheme="minorHAnsi" w:hAnsiTheme="minorHAnsi"/>
                <w:sz w:val="20"/>
              </w:rPr>
              <w:t>8°C. Do NOT freeze. Discard if the vaccine has been frozen.</w:t>
            </w:r>
          </w:p>
          <w:p w:rsidRPr="00721BF0" w:rsidR="00AF56F9" w:rsidP="00E525C7" w:rsidRDefault="00AF56F9" w14:paraId="33E4FBF0" w14:textId="77777777">
            <w:pPr>
              <w:pStyle w:val="BodyText"/>
              <w:rPr>
                <w:rFonts w:cs="Arial" w:asciiTheme="minorHAnsi" w:hAnsiTheme="minorHAnsi"/>
                <w:sz w:val="20"/>
              </w:rPr>
            </w:pPr>
            <w:r w:rsidRPr="009A45E0">
              <w:rPr>
                <w:rFonts w:cs="Arial" w:asciiTheme="minorHAnsi" w:hAnsiTheme="minorHAnsi"/>
                <w:sz w:val="20"/>
              </w:rPr>
              <w:t>Protect from light.</w:t>
            </w:r>
          </w:p>
        </w:tc>
      </w:tr>
      <w:tr w:rsidRPr="00721BF0" w:rsidR="00273A16" w:rsidTr="77BEE3D0" w14:paraId="4EE1C88A" w14:textId="77777777">
        <w:trPr>
          <w:trHeight w:val="395"/>
        </w:trPr>
        <w:tc>
          <w:tcPr>
            <w:tcW w:w="2410" w:type="dxa"/>
          </w:tcPr>
          <w:p w:rsidRPr="00721BF0" w:rsidR="00AF56F9" w:rsidP="00E525C7" w:rsidRDefault="00AF56F9" w14:paraId="4CF6120F" w14:textId="77777777">
            <w:pPr>
              <w:pStyle w:val="BodyText"/>
              <w:rPr>
                <w:rFonts w:cs="Arial" w:asciiTheme="minorHAnsi" w:hAnsiTheme="minorHAnsi"/>
                <w:b/>
                <w:bCs/>
                <w:szCs w:val="24"/>
              </w:rPr>
            </w:pPr>
            <w:r w:rsidRPr="00721BF0">
              <w:rPr>
                <w:rFonts w:cs="Arial" w:asciiTheme="minorHAnsi" w:hAnsiTheme="minorHAnsi"/>
                <w:b/>
                <w:bCs/>
                <w:szCs w:val="24"/>
              </w:rPr>
              <w:t xml:space="preserve">Special Comments       </w:t>
            </w:r>
          </w:p>
          <w:p w:rsidRPr="00721BF0" w:rsidR="00AF56F9" w:rsidP="00E525C7" w:rsidRDefault="00AF56F9" w14:paraId="171F9F18" w14:textId="77777777">
            <w:pPr>
              <w:pStyle w:val="BodyText"/>
              <w:rPr>
                <w:rFonts w:cs="Arial" w:asciiTheme="minorHAnsi" w:hAnsiTheme="minorHAnsi"/>
                <w:b/>
                <w:bCs/>
                <w:szCs w:val="24"/>
              </w:rPr>
            </w:pPr>
          </w:p>
        </w:tc>
        <w:tc>
          <w:tcPr>
            <w:tcW w:w="7967" w:type="dxa"/>
          </w:tcPr>
          <w:p w:rsidRPr="009A45E0" w:rsidR="00AF56F9" w:rsidP="001B0E05" w:rsidRDefault="00AF56F9" w14:paraId="332726CC"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Do not give INFANRIX hexa at birth.</w:t>
            </w:r>
          </w:p>
          <w:p w:rsidR="00AF56F9" w:rsidP="001B0E05" w:rsidRDefault="00AF56F9" w14:paraId="00083A1A" w14:textId="77777777">
            <w:pPr>
              <w:pStyle w:val="Default"/>
              <w:numPr>
                <w:ilvl w:val="0"/>
                <w:numId w:val="72"/>
              </w:numPr>
              <w:rPr>
                <w:rFonts w:asciiTheme="minorHAnsi" w:hAnsiTheme="minorHAnsi"/>
                <w:sz w:val="20"/>
                <w:szCs w:val="20"/>
              </w:rPr>
            </w:pPr>
            <w:r>
              <w:rPr>
                <w:rFonts w:asciiTheme="minorHAnsi" w:hAnsiTheme="minorHAnsi"/>
                <w:sz w:val="20"/>
                <w:szCs w:val="20"/>
              </w:rPr>
              <w:t>P</w:t>
            </w:r>
            <w:r w:rsidRPr="009A45E0">
              <w:rPr>
                <w:rFonts w:asciiTheme="minorHAnsi" w:hAnsiTheme="minorHAnsi"/>
                <w:sz w:val="20"/>
                <w:szCs w:val="20"/>
              </w:rPr>
              <w:t>reterm infants should be vaccinated according to their chronological age from birth.</w:t>
            </w:r>
          </w:p>
          <w:p w:rsidR="00AF56F9" w:rsidP="001B0E05" w:rsidRDefault="00AF56F9" w14:paraId="56A9B0B1"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Immune response to some Hib conjugate vaccines has been reduced in infants born prematurely.</w:t>
            </w:r>
            <w:r>
              <w:rPr>
                <w:rFonts w:asciiTheme="minorHAnsi" w:hAnsiTheme="minorHAnsi"/>
                <w:sz w:val="20"/>
                <w:szCs w:val="20"/>
              </w:rPr>
              <w:t xml:space="preserve"> </w:t>
            </w:r>
          </w:p>
          <w:p w:rsidR="00AF56F9" w:rsidP="001B0E05" w:rsidRDefault="00AF56F9" w14:paraId="46EC4773"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The first dose of INFANRIX hexa</w:t>
            </w:r>
            <w:r>
              <w:rPr>
                <w:rFonts w:asciiTheme="minorHAnsi" w:hAnsiTheme="minorHAnsi"/>
                <w:sz w:val="20"/>
                <w:szCs w:val="20"/>
              </w:rPr>
              <w:t xml:space="preserve"> </w:t>
            </w:r>
            <w:r w:rsidRPr="009A45E0">
              <w:rPr>
                <w:rFonts w:asciiTheme="minorHAnsi" w:hAnsiTheme="minorHAnsi"/>
                <w:sz w:val="20"/>
                <w:szCs w:val="20"/>
              </w:rPr>
              <w:t>can be given at 6 weeks of age due to the high morbidity and occasional mortality associated with pertussis in very young infants. If the first dose is given at 6 weeks of age, the next scheduled doses should still be at 4 and 6 months.</w:t>
            </w:r>
            <w:r w:rsidRPr="009A45E0">
              <w:rPr>
                <w:rFonts w:asciiTheme="minorHAnsi" w:hAnsiTheme="minorHAnsi"/>
                <w:sz w:val="20"/>
                <w:szCs w:val="20"/>
              </w:rPr>
              <w:tab/>
            </w:r>
          </w:p>
          <w:p w:rsidR="00AF56F9" w:rsidP="001B0E05" w:rsidRDefault="00AF56F9" w14:paraId="717DE363" w14:textId="77777777">
            <w:pPr>
              <w:pStyle w:val="Default"/>
              <w:numPr>
                <w:ilvl w:val="0"/>
                <w:numId w:val="72"/>
              </w:numPr>
              <w:rPr>
                <w:rFonts w:asciiTheme="minorHAnsi" w:hAnsiTheme="minorHAnsi"/>
                <w:sz w:val="20"/>
                <w:szCs w:val="20"/>
              </w:rPr>
            </w:pPr>
            <w:r>
              <w:rPr>
                <w:rFonts w:asciiTheme="minorHAnsi" w:hAnsiTheme="minorHAnsi"/>
                <w:sz w:val="20"/>
                <w:szCs w:val="20"/>
              </w:rPr>
              <w:t>P</w:t>
            </w:r>
            <w:r w:rsidRPr="009A45E0">
              <w:rPr>
                <w:rFonts w:asciiTheme="minorHAnsi" w:hAnsiTheme="minorHAnsi"/>
                <w:sz w:val="20"/>
                <w:szCs w:val="20"/>
              </w:rPr>
              <w:t>aracetamol may be prescribed (15</w:t>
            </w:r>
            <w:r>
              <w:rPr>
                <w:rFonts w:asciiTheme="minorHAnsi" w:hAnsiTheme="minorHAnsi"/>
                <w:sz w:val="20"/>
                <w:szCs w:val="20"/>
              </w:rPr>
              <w:t xml:space="preserve"> </w:t>
            </w:r>
            <w:r w:rsidRPr="009A45E0">
              <w:rPr>
                <w:rFonts w:asciiTheme="minorHAnsi" w:hAnsiTheme="minorHAnsi"/>
                <w:sz w:val="20"/>
                <w:szCs w:val="20"/>
              </w:rPr>
              <w:t>mg/kg/dose) for administration at 4 hourly intervals after immunisation (maximum of 4 doses in a 24 hour period)</w:t>
            </w:r>
            <w:r>
              <w:rPr>
                <w:rFonts w:asciiTheme="minorHAnsi" w:hAnsiTheme="minorHAnsi"/>
                <w:sz w:val="20"/>
                <w:szCs w:val="20"/>
              </w:rPr>
              <w:t xml:space="preserve"> for a fever &gt; 38.5</w:t>
            </w:r>
            <w:r>
              <w:rPr>
                <w:rFonts w:asciiTheme="minorHAnsi" w:hAnsiTheme="minorHAnsi" w:cstheme="minorHAnsi"/>
                <w:sz w:val="20"/>
                <w:szCs w:val="20"/>
              </w:rPr>
              <w:t>°</w:t>
            </w:r>
            <w:r>
              <w:rPr>
                <w:rFonts w:asciiTheme="minorHAnsi" w:hAnsiTheme="minorHAnsi"/>
                <w:sz w:val="20"/>
                <w:szCs w:val="20"/>
              </w:rPr>
              <w:t>C or significant pain if the child is miserable</w:t>
            </w:r>
            <w:r w:rsidRPr="009A45E0">
              <w:rPr>
                <w:rFonts w:asciiTheme="minorHAnsi" w:hAnsiTheme="minorHAnsi"/>
                <w:sz w:val="20"/>
                <w:szCs w:val="20"/>
              </w:rPr>
              <w:t>. Prophylactic administration of paracetamol at the time of, or immediately after, vaccination to reduce the risk of fever is not routinely recommended, with the exception of children &lt;</w:t>
            </w:r>
            <w:r>
              <w:rPr>
                <w:rFonts w:asciiTheme="minorHAnsi" w:hAnsiTheme="minorHAnsi"/>
                <w:sz w:val="20"/>
                <w:szCs w:val="20"/>
              </w:rPr>
              <w:t xml:space="preserve"> </w:t>
            </w:r>
            <w:r w:rsidRPr="009A45E0">
              <w:rPr>
                <w:rFonts w:asciiTheme="minorHAnsi" w:hAnsiTheme="minorHAnsi"/>
                <w:sz w:val="20"/>
                <w:szCs w:val="20"/>
              </w:rPr>
              <w:t>2 years of age receiving meningococcal B vaccine and whole cell pertussis (DTPa).</w:t>
            </w:r>
            <w:r>
              <w:rPr>
                <w:rFonts w:asciiTheme="minorHAnsi" w:hAnsiTheme="minorHAnsi"/>
                <w:sz w:val="20"/>
                <w:szCs w:val="20"/>
              </w:rPr>
              <w:t xml:space="preserve"> </w:t>
            </w:r>
          </w:p>
          <w:p w:rsidR="00AF56F9" w:rsidP="001B0E05" w:rsidRDefault="00AF56F9" w14:paraId="05893A4A"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The vastus lateralis muscle in the anterolateral thigh is the recommended site for IM vaccination in infants &lt;</w:t>
            </w:r>
            <w:r>
              <w:rPr>
                <w:rFonts w:asciiTheme="minorHAnsi" w:hAnsiTheme="minorHAnsi"/>
                <w:sz w:val="20"/>
                <w:szCs w:val="20"/>
              </w:rPr>
              <w:t xml:space="preserve"> </w:t>
            </w:r>
            <w:r w:rsidRPr="009A45E0">
              <w:rPr>
                <w:rFonts w:asciiTheme="minorHAnsi" w:hAnsiTheme="minorHAnsi"/>
                <w:sz w:val="20"/>
                <w:szCs w:val="20"/>
              </w:rPr>
              <w:t xml:space="preserve">12 months of age. The deltoid muscle or ventrogluteal area is the recommended site for IM vaccination in </w:t>
            </w:r>
            <w:r>
              <w:rPr>
                <w:rFonts w:asciiTheme="minorHAnsi" w:hAnsiTheme="minorHAnsi"/>
                <w:sz w:val="20"/>
                <w:szCs w:val="20"/>
              </w:rPr>
              <w:t>children</w:t>
            </w:r>
            <w:r w:rsidRPr="009A45E0">
              <w:rPr>
                <w:rFonts w:asciiTheme="minorHAnsi" w:hAnsiTheme="minorHAnsi"/>
                <w:sz w:val="20"/>
                <w:szCs w:val="20"/>
              </w:rPr>
              <w:t xml:space="preserve"> &gt; 12 months of age.</w:t>
            </w:r>
            <w:r>
              <w:rPr>
                <w:rFonts w:asciiTheme="minorHAnsi" w:hAnsiTheme="minorHAnsi"/>
                <w:sz w:val="20"/>
                <w:szCs w:val="20"/>
              </w:rPr>
              <w:t xml:space="preserve"> </w:t>
            </w:r>
          </w:p>
          <w:p w:rsidR="00AF56F9" w:rsidP="001B0E05" w:rsidRDefault="00AF56F9" w14:paraId="7C8DDCF4"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 xml:space="preserve">Children with congenital limb malformation(s) should receive their vaccines in an unaffected limb where possible. The ventrogluteal area can also be considered. </w:t>
            </w:r>
          </w:p>
          <w:p w:rsidR="00AF56F9" w:rsidP="001B0E05" w:rsidRDefault="00AF56F9" w14:paraId="6962860F"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NSW Health has provided free antenatal pertussis vaccinations for every woman during every pregnancy.</w:t>
            </w:r>
            <w:r>
              <w:rPr>
                <w:rFonts w:asciiTheme="minorHAnsi" w:hAnsiTheme="minorHAnsi"/>
                <w:sz w:val="20"/>
                <w:szCs w:val="20"/>
              </w:rPr>
              <w:t xml:space="preserve"> </w:t>
            </w:r>
          </w:p>
          <w:p w:rsidR="00AF56F9" w:rsidP="001B0E05" w:rsidRDefault="00AF56F9" w14:paraId="03BDCC63"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 xml:space="preserve">There is currently no evidence to suggest infants require an extra DTPa vaccine at 18 months of age if their mother received antenatal pertussis vaccine. </w:t>
            </w:r>
          </w:p>
          <w:p w:rsidRPr="004E56C8" w:rsidR="00AF56F9" w:rsidP="001B0E05" w:rsidRDefault="00AF56F9" w14:paraId="2356AAC3" w14:textId="77777777">
            <w:pPr>
              <w:pStyle w:val="Default"/>
              <w:numPr>
                <w:ilvl w:val="0"/>
                <w:numId w:val="72"/>
              </w:numPr>
              <w:rPr>
                <w:rFonts w:asciiTheme="minorHAnsi" w:hAnsiTheme="minorHAnsi"/>
                <w:sz w:val="20"/>
                <w:szCs w:val="20"/>
              </w:rPr>
            </w:pPr>
            <w:r w:rsidRPr="009A45E0">
              <w:rPr>
                <w:rFonts w:asciiTheme="minorHAnsi" w:hAnsiTheme="minorHAnsi"/>
                <w:sz w:val="20"/>
                <w:szCs w:val="20"/>
              </w:rPr>
              <w:t>Interruption of the recommended schedule with a delay between doses should not interfere with the final immunity achieved with Infanrix hexa. Refer to The Australian Immunisation Handbook for catch-up schedule.</w:t>
            </w:r>
          </w:p>
        </w:tc>
      </w:tr>
      <w:tr w:rsidRPr="00721BF0" w:rsidR="00273A16" w:rsidTr="77BEE3D0" w14:paraId="567936F9" w14:textId="77777777">
        <w:trPr>
          <w:trHeight w:val="1071"/>
        </w:trPr>
        <w:tc>
          <w:tcPr>
            <w:tcW w:w="2410" w:type="dxa"/>
          </w:tcPr>
          <w:p w:rsidRPr="00721BF0" w:rsidR="00AF56F9" w:rsidP="00E525C7" w:rsidRDefault="00AF56F9" w14:paraId="46D73DD5" w14:textId="77777777">
            <w:pPr>
              <w:pStyle w:val="BodyText"/>
              <w:rPr>
                <w:rFonts w:cs="Arial" w:asciiTheme="minorHAnsi" w:hAnsiTheme="minorHAnsi"/>
                <w:b/>
                <w:bCs/>
                <w:szCs w:val="24"/>
              </w:rPr>
            </w:pPr>
            <w:r w:rsidRPr="00721BF0">
              <w:rPr>
                <w:rFonts w:cs="Arial" w:asciiTheme="minorHAnsi" w:hAnsiTheme="minorHAnsi"/>
                <w:b/>
                <w:bCs/>
                <w:szCs w:val="24"/>
              </w:rPr>
              <w:lastRenderedPageBreak/>
              <w:t>Evidence summary</w:t>
            </w:r>
          </w:p>
        </w:tc>
        <w:tc>
          <w:tcPr>
            <w:tcW w:w="7967" w:type="dxa"/>
          </w:tcPr>
          <w:p w:rsidRPr="00D91A40" w:rsidR="00AF56F9" w:rsidP="00E525C7" w:rsidRDefault="00AF56F9" w14:paraId="4A6BFD34" w14:textId="77777777">
            <w:pPr>
              <w:pStyle w:val="BodyText"/>
              <w:tabs>
                <w:tab w:val="left" w:pos="1168"/>
              </w:tabs>
              <w:rPr>
                <w:rFonts w:cs="Arial" w:asciiTheme="minorHAnsi" w:hAnsiTheme="minorHAnsi"/>
                <w:b/>
                <w:sz w:val="16"/>
                <w:szCs w:val="16"/>
              </w:rPr>
            </w:pPr>
            <w:r w:rsidRPr="00D91A40">
              <w:rPr>
                <w:rFonts w:cs="Arial" w:asciiTheme="minorHAnsi" w:hAnsiTheme="minorHAnsi"/>
                <w:b/>
                <w:sz w:val="16"/>
                <w:szCs w:val="16"/>
              </w:rPr>
              <w:t>Efficacy</w:t>
            </w:r>
          </w:p>
          <w:p w:rsidRPr="00D91A40" w:rsidR="00A97D94" w:rsidP="00A97D94" w:rsidRDefault="00A97D94" w14:paraId="51B90A0C" w14:textId="77777777">
            <w:pPr>
              <w:pStyle w:val="BodyText"/>
              <w:tabs>
                <w:tab w:val="left" w:pos="1168"/>
              </w:tabs>
              <w:rPr>
                <w:rFonts w:cs="Arial" w:asciiTheme="minorHAnsi" w:hAnsiTheme="minorHAnsi"/>
                <w:sz w:val="16"/>
                <w:szCs w:val="16"/>
                <w:vertAlign w:val="superscript"/>
              </w:rPr>
            </w:pPr>
            <w:r w:rsidRPr="00D91A40">
              <w:rPr>
                <w:rFonts w:cs="Arial" w:asciiTheme="minorHAnsi" w:hAnsiTheme="minorHAnsi"/>
                <w:sz w:val="16"/>
                <w:szCs w:val="16"/>
              </w:rPr>
              <w:t>Infanrix hexa was highly immunogenic for the vaccine antigens diphtheria and tetanus toxoids, poliovirus type 1, 2 and 3 antigens, pertussis antigens (PT, FHA and PRN), HBsAg and the Hib antigen (polyribosylribitol phosphate [PRP]) both as primary and booster vaccination in healthy infants aged &lt; 2 years, with antibodies against these antigens persisting in the long term.</w:t>
            </w:r>
            <w:r w:rsidRPr="00D91A40">
              <w:rPr>
                <w:rFonts w:cs="Arial" w:asciiTheme="minorHAnsi" w:hAnsiTheme="minorHAnsi"/>
                <w:sz w:val="16"/>
                <w:szCs w:val="16"/>
                <w:vertAlign w:val="superscript"/>
              </w:rPr>
              <w:t>6</w:t>
            </w:r>
          </w:p>
          <w:p w:rsidR="004703CE" w:rsidP="00FF62D5" w:rsidRDefault="004703CE" w14:paraId="12913045" w14:textId="77777777">
            <w:pPr>
              <w:pStyle w:val="BodyText"/>
              <w:tabs>
                <w:tab w:val="left" w:pos="1168"/>
              </w:tabs>
              <w:rPr>
                <w:rFonts w:cs="Arial" w:asciiTheme="minorHAnsi" w:hAnsiTheme="minorHAnsi"/>
                <w:sz w:val="16"/>
                <w:szCs w:val="16"/>
              </w:rPr>
            </w:pPr>
          </w:p>
          <w:p w:rsidRPr="00FF62D5" w:rsidR="00FF62D5" w:rsidP="00FF62D5" w:rsidRDefault="00FF62D5" w14:paraId="58BA4604" w14:textId="4021974E">
            <w:pPr>
              <w:pStyle w:val="BodyText"/>
              <w:tabs>
                <w:tab w:val="left" w:pos="1168"/>
              </w:tabs>
              <w:rPr>
                <w:rFonts w:cs="Arial" w:asciiTheme="minorHAnsi" w:hAnsiTheme="minorHAnsi"/>
                <w:sz w:val="16"/>
                <w:szCs w:val="16"/>
              </w:rPr>
            </w:pPr>
            <w:r w:rsidRPr="00FF62D5">
              <w:rPr>
                <w:rFonts w:cs="Arial" w:asciiTheme="minorHAnsi" w:hAnsiTheme="minorHAnsi"/>
                <w:sz w:val="16"/>
                <w:szCs w:val="16"/>
              </w:rPr>
              <w:t>Omenaca et al</w:t>
            </w:r>
            <w:r w:rsidR="00167250">
              <w:rPr>
                <w:rFonts w:cs="Arial" w:asciiTheme="minorHAnsi" w:hAnsiTheme="minorHAnsi"/>
                <w:sz w:val="16"/>
                <w:szCs w:val="16"/>
              </w:rPr>
              <w:t xml:space="preserve"> </w:t>
            </w:r>
            <w:r w:rsidRPr="00FF62D5">
              <w:rPr>
                <w:rFonts w:cs="Arial" w:asciiTheme="minorHAnsi" w:hAnsiTheme="minorHAnsi"/>
                <w:sz w:val="16"/>
                <w:szCs w:val="16"/>
              </w:rPr>
              <w:t>reviewed outcomes</w:t>
            </w:r>
            <w:r w:rsidR="004703CE">
              <w:rPr>
                <w:rFonts w:cs="Arial" w:asciiTheme="minorHAnsi" w:hAnsiTheme="minorHAnsi"/>
                <w:sz w:val="16"/>
                <w:szCs w:val="16"/>
              </w:rPr>
              <w:t xml:space="preserve"> </w:t>
            </w:r>
            <w:r w:rsidRPr="00FF62D5">
              <w:rPr>
                <w:rFonts w:cs="Arial" w:asciiTheme="minorHAnsi" w:hAnsiTheme="minorHAnsi"/>
                <w:sz w:val="16"/>
                <w:szCs w:val="16"/>
              </w:rPr>
              <w:t>of GSK's hexavalent vaccine Infanrix hexa (DTPa-HBV-IPV/Hib) in 10 clinical studies in preterm</w:t>
            </w:r>
            <w:r w:rsidR="004703CE">
              <w:rPr>
                <w:rFonts w:cs="Arial" w:asciiTheme="minorHAnsi" w:hAnsiTheme="minorHAnsi"/>
                <w:sz w:val="16"/>
                <w:szCs w:val="16"/>
              </w:rPr>
              <w:t xml:space="preserve"> </w:t>
            </w:r>
            <w:r w:rsidRPr="00FF62D5">
              <w:rPr>
                <w:rFonts w:cs="Arial" w:asciiTheme="minorHAnsi" w:hAnsiTheme="minorHAnsi"/>
                <w:sz w:val="16"/>
                <w:szCs w:val="16"/>
              </w:rPr>
              <w:t>infants up to 24 weeks gestation. They showed that up to 92.5% of these infants were seropositive to all</w:t>
            </w:r>
            <w:r w:rsidR="004703CE">
              <w:rPr>
                <w:rFonts w:cs="Arial" w:asciiTheme="minorHAnsi" w:hAnsiTheme="minorHAnsi"/>
                <w:sz w:val="16"/>
                <w:szCs w:val="16"/>
              </w:rPr>
              <w:t xml:space="preserve"> </w:t>
            </w:r>
            <w:r w:rsidRPr="00FF62D5">
              <w:rPr>
                <w:rFonts w:cs="Arial" w:asciiTheme="minorHAnsi" w:hAnsiTheme="minorHAnsi"/>
                <w:sz w:val="16"/>
                <w:szCs w:val="16"/>
              </w:rPr>
              <w:t>vaccine antigens after 3-dose primary vaccination (98.7% for diphtheria and tetanus; 100% for polio serotypes</w:t>
            </w:r>
          </w:p>
          <w:p w:rsidR="004703CE" w:rsidP="00FF62D5" w:rsidRDefault="00FF62D5" w14:paraId="50289E42" w14:textId="42F4F5DF">
            <w:pPr>
              <w:pStyle w:val="BodyText"/>
              <w:tabs>
                <w:tab w:val="left" w:pos="1168"/>
              </w:tabs>
              <w:rPr>
                <w:rFonts w:cs="Arial" w:asciiTheme="minorHAnsi" w:hAnsiTheme="minorHAnsi"/>
                <w:sz w:val="16"/>
                <w:szCs w:val="16"/>
              </w:rPr>
            </w:pPr>
            <w:r w:rsidRPr="00FF62D5">
              <w:rPr>
                <w:rFonts w:cs="Arial" w:asciiTheme="minorHAnsi" w:hAnsiTheme="minorHAnsi"/>
                <w:sz w:val="16"/>
                <w:szCs w:val="16"/>
              </w:rPr>
              <w:t>1 and 2, 90.9% for type 3 and 92.4% for pertussis, 92.5% for Hib).</w:t>
            </w:r>
            <w:r w:rsidR="00F8418A">
              <w:rPr>
                <w:rFonts w:cs="Arial" w:asciiTheme="minorHAnsi" w:hAnsiTheme="minorHAnsi"/>
                <w:sz w:val="16"/>
                <w:szCs w:val="16"/>
                <w:vertAlign w:val="superscript"/>
              </w:rPr>
              <w:t>7</w:t>
            </w:r>
          </w:p>
          <w:p w:rsidR="004703CE" w:rsidP="00FF62D5" w:rsidRDefault="004703CE" w14:paraId="243735DF" w14:textId="77777777">
            <w:pPr>
              <w:pStyle w:val="BodyText"/>
              <w:tabs>
                <w:tab w:val="left" w:pos="1168"/>
              </w:tabs>
              <w:rPr>
                <w:rFonts w:cs="Arial" w:asciiTheme="minorHAnsi" w:hAnsiTheme="minorHAnsi"/>
                <w:sz w:val="16"/>
                <w:szCs w:val="16"/>
              </w:rPr>
            </w:pPr>
          </w:p>
          <w:p w:rsidRPr="00FF62D5" w:rsidR="00FF62D5" w:rsidP="00FF62D5" w:rsidRDefault="00FF62D5" w14:paraId="697490DD" w14:textId="79D1570E">
            <w:pPr>
              <w:pStyle w:val="BodyText"/>
              <w:tabs>
                <w:tab w:val="left" w:pos="1168"/>
              </w:tabs>
              <w:rPr>
                <w:rFonts w:cs="Arial" w:asciiTheme="minorHAnsi" w:hAnsiTheme="minorHAnsi"/>
                <w:sz w:val="16"/>
                <w:szCs w:val="16"/>
              </w:rPr>
            </w:pPr>
            <w:r w:rsidRPr="00FF62D5">
              <w:rPr>
                <w:rFonts w:cs="Arial" w:asciiTheme="minorHAnsi" w:hAnsiTheme="minorHAnsi"/>
                <w:sz w:val="16"/>
                <w:szCs w:val="16"/>
              </w:rPr>
              <w:t>Several studies on response to</w:t>
            </w:r>
            <w:r w:rsidR="004703CE">
              <w:rPr>
                <w:rFonts w:cs="Arial" w:asciiTheme="minorHAnsi" w:hAnsiTheme="minorHAnsi"/>
                <w:sz w:val="16"/>
                <w:szCs w:val="16"/>
              </w:rPr>
              <w:t xml:space="preserve"> </w:t>
            </w:r>
            <w:r w:rsidRPr="00FF62D5">
              <w:rPr>
                <w:rFonts w:cs="Arial" w:asciiTheme="minorHAnsi" w:hAnsiTheme="minorHAnsi"/>
                <w:sz w:val="16"/>
                <w:szCs w:val="16"/>
              </w:rPr>
              <w:t>pertussis and Hib</w:t>
            </w:r>
            <w:r w:rsidR="00982F8C">
              <w:rPr>
                <w:rFonts w:cs="Arial" w:asciiTheme="minorHAnsi" w:hAnsiTheme="minorHAnsi"/>
                <w:sz w:val="16"/>
                <w:szCs w:val="16"/>
              </w:rPr>
              <w:t xml:space="preserve"> </w:t>
            </w:r>
            <w:r w:rsidRPr="00FF62D5">
              <w:rPr>
                <w:rFonts w:cs="Arial" w:asciiTheme="minorHAnsi" w:hAnsiTheme="minorHAnsi"/>
                <w:sz w:val="16"/>
                <w:szCs w:val="16"/>
              </w:rPr>
              <w:t>vaccine in preterm</w:t>
            </w:r>
            <w:r w:rsidR="0096272F">
              <w:rPr>
                <w:rFonts w:cs="Arial" w:asciiTheme="minorHAnsi" w:hAnsiTheme="minorHAnsi"/>
                <w:sz w:val="16"/>
                <w:szCs w:val="16"/>
              </w:rPr>
              <w:t xml:space="preserve"> </w:t>
            </w:r>
            <w:r w:rsidRPr="00FF62D5">
              <w:rPr>
                <w:rFonts w:cs="Arial" w:asciiTheme="minorHAnsi" w:hAnsiTheme="minorHAnsi"/>
                <w:sz w:val="16"/>
                <w:szCs w:val="16"/>
              </w:rPr>
              <w:t>infants have shown</w:t>
            </w:r>
            <w:r w:rsidR="00A73BC2">
              <w:rPr>
                <w:rFonts w:cs="Arial" w:asciiTheme="minorHAnsi" w:hAnsiTheme="minorHAnsi"/>
                <w:sz w:val="16"/>
                <w:szCs w:val="16"/>
              </w:rPr>
              <w:t xml:space="preserve"> </w:t>
            </w:r>
            <w:r w:rsidRPr="00FF62D5">
              <w:rPr>
                <w:rFonts w:cs="Arial" w:asciiTheme="minorHAnsi" w:hAnsiTheme="minorHAnsi"/>
                <w:sz w:val="16"/>
                <w:szCs w:val="16"/>
              </w:rPr>
              <w:t>decreased</w:t>
            </w:r>
            <w:r w:rsidR="00A73BC2">
              <w:rPr>
                <w:rFonts w:cs="Arial" w:asciiTheme="minorHAnsi" w:hAnsiTheme="minorHAnsi"/>
                <w:sz w:val="16"/>
                <w:szCs w:val="16"/>
              </w:rPr>
              <w:t xml:space="preserve"> </w:t>
            </w:r>
            <w:r w:rsidRPr="00FF62D5">
              <w:rPr>
                <w:rFonts w:cs="Arial" w:asciiTheme="minorHAnsi" w:hAnsiTheme="minorHAnsi"/>
                <w:sz w:val="16"/>
                <w:szCs w:val="16"/>
              </w:rPr>
              <w:t>immunogenicity as</w:t>
            </w:r>
            <w:r w:rsidR="004703CE">
              <w:rPr>
                <w:rFonts w:cs="Arial" w:asciiTheme="minorHAnsi" w:hAnsiTheme="minorHAnsi"/>
                <w:sz w:val="16"/>
                <w:szCs w:val="16"/>
              </w:rPr>
              <w:t xml:space="preserve"> </w:t>
            </w:r>
            <w:r w:rsidRPr="00FF62D5">
              <w:rPr>
                <w:rFonts w:cs="Arial" w:asciiTheme="minorHAnsi" w:hAnsiTheme="minorHAnsi"/>
                <w:sz w:val="16"/>
                <w:szCs w:val="16"/>
              </w:rPr>
              <w:t>compared to term</w:t>
            </w:r>
            <w:r w:rsidR="004703CE">
              <w:rPr>
                <w:rFonts w:cs="Arial" w:asciiTheme="minorHAnsi" w:hAnsiTheme="minorHAnsi"/>
                <w:sz w:val="16"/>
                <w:szCs w:val="16"/>
              </w:rPr>
              <w:t xml:space="preserve"> </w:t>
            </w:r>
            <w:r w:rsidRPr="00FF62D5">
              <w:rPr>
                <w:rFonts w:cs="Arial" w:asciiTheme="minorHAnsi" w:hAnsiTheme="minorHAnsi"/>
                <w:sz w:val="16"/>
                <w:szCs w:val="16"/>
              </w:rPr>
              <w:t>infants. However, despite the difference, the antibody levels against the different antigens were still</w:t>
            </w:r>
          </w:p>
          <w:p w:rsidR="00136558" w:rsidP="00FF62D5" w:rsidRDefault="00FF62D5" w14:paraId="4CFC8C70" w14:textId="7FACAF3C">
            <w:pPr>
              <w:pStyle w:val="BodyText"/>
              <w:tabs>
                <w:tab w:val="left" w:pos="1168"/>
              </w:tabs>
              <w:rPr>
                <w:rFonts w:cs="Arial" w:asciiTheme="minorHAnsi" w:hAnsiTheme="minorHAnsi"/>
                <w:sz w:val="16"/>
                <w:szCs w:val="16"/>
              </w:rPr>
            </w:pPr>
            <w:r w:rsidRPr="00FF62D5">
              <w:rPr>
                <w:rFonts w:cs="Arial" w:asciiTheme="minorHAnsi" w:hAnsiTheme="minorHAnsi"/>
                <w:sz w:val="16"/>
                <w:szCs w:val="16"/>
              </w:rPr>
              <w:t>higher than what is considered as a protective level</w:t>
            </w:r>
            <w:r w:rsidR="003C52C5">
              <w:rPr>
                <w:rFonts w:cs="Arial" w:asciiTheme="minorHAnsi" w:hAnsiTheme="minorHAnsi"/>
                <w:sz w:val="16"/>
                <w:szCs w:val="16"/>
              </w:rPr>
              <w:t>.</w:t>
            </w:r>
            <w:r w:rsidR="008E06F2">
              <w:rPr>
                <w:rFonts w:cs="Arial" w:asciiTheme="minorHAnsi" w:hAnsiTheme="minorHAnsi"/>
                <w:sz w:val="16"/>
                <w:szCs w:val="16"/>
                <w:vertAlign w:val="superscript"/>
              </w:rPr>
              <w:t>8</w:t>
            </w:r>
          </w:p>
          <w:p w:rsidR="00136558" w:rsidP="00FF62D5" w:rsidRDefault="00136558" w14:paraId="32D38705" w14:textId="77777777">
            <w:pPr>
              <w:pStyle w:val="BodyText"/>
              <w:tabs>
                <w:tab w:val="left" w:pos="1168"/>
              </w:tabs>
              <w:rPr>
                <w:rFonts w:cs="Arial" w:asciiTheme="minorHAnsi" w:hAnsiTheme="minorHAnsi"/>
                <w:sz w:val="16"/>
                <w:szCs w:val="16"/>
              </w:rPr>
            </w:pPr>
          </w:p>
          <w:p w:rsidR="00FF62D5" w:rsidP="00FF62D5" w:rsidRDefault="00FF62D5" w14:paraId="6817681E" w14:textId="232341F3">
            <w:pPr>
              <w:pStyle w:val="BodyText"/>
              <w:tabs>
                <w:tab w:val="left" w:pos="1168"/>
              </w:tabs>
              <w:rPr>
                <w:rFonts w:cs="Arial" w:asciiTheme="minorHAnsi" w:hAnsiTheme="minorHAnsi"/>
                <w:sz w:val="16"/>
                <w:szCs w:val="16"/>
              </w:rPr>
            </w:pPr>
            <w:r w:rsidRPr="00FF62D5">
              <w:rPr>
                <w:rFonts w:cs="Arial" w:asciiTheme="minorHAnsi" w:hAnsiTheme="minorHAnsi"/>
                <w:sz w:val="16"/>
                <w:szCs w:val="16"/>
              </w:rPr>
              <w:t>With regard to hepatitis B vaccine, studies in</w:t>
            </w:r>
            <w:r w:rsidR="003C52C5">
              <w:rPr>
                <w:rFonts w:cs="Arial" w:asciiTheme="minorHAnsi" w:hAnsiTheme="minorHAnsi"/>
                <w:sz w:val="16"/>
                <w:szCs w:val="16"/>
              </w:rPr>
              <w:t xml:space="preserve"> </w:t>
            </w:r>
            <w:r w:rsidRPr="00FF62D5">
              <w:rPr>
                <w:rFonts w:cs="Arial" w:asciiTheme="minorHAnsi" w:hAnsiTheme="minorHAnsi"/>
                <w:sz w:val="16"/>
                <w:szCs w:val="16"/>
              </w:rPr>
              <w:t>preterm</w:t>
            </w:r>
            <w:r w:rsidR="00136558">
              <w:rPr>
                <w:rFonts w:cs="Arial" w:asciiTheme="minorHAnsi" w:hAnsiTheme="minorHAnsi"/>
                <w:sz w:val="16"/>
                <w:szCs w:val="16"/>
              </w:rPr>
              <w:t xml:space="preserve"> </w:t>
            </w:r>
            <w:r w:rsidRPr="00FF62D5">
              <w:rPr>
                <w:rFonts w:cs="Arial" w:asciiTheme="minorHAnsi" w:hAnsiTheme="minorHAnsi"/>
                <w:sz w:val="16"/>
                <w:szCs w:val="16"/>
              </w:rPr>
              <w:t>babies have shown</w:t>
            </w:r>
            <w:r w:rsidR="00136558">
              <w:rPr>
                <w:rFonts w:cs="Arial" w:asciiTheme="minorHAnsi" w:hAnsiTheme="minorHAnsi"/>
                <w:sz w:val="16"/>
                <w:szCs w:val="16"/>
              </w:rPr>
              <w:t xml:space="preserve"> </w:t>
            </w:r>
            <w:r w:rsidRPr="00FF62D5">
              <w:rPr>
                <w:rFonts w:cs="Arial" w:asciiTheme="minorHAnsi" w:hAnsiTheme="minorHAnsi"/>
                <w:sz w:val="16"/>
                <w:szCs w:val="16"/>
              </w:rPr>
              <w:t>variable effects,where</w:t>
            </w:r>
            <w:r w:rsidR="00982F8C">
              <w:rPr>
                <w:rFonts w:cs="Arial" w:asciiTheme="minorHAnsi" w:hAnsiTheme="minorHAnsi"/>
                <w:sz w:val="16"/>
                <w:szCs w:val="16"/>
              </w:rPr>
              <w:t xml:space="preserve"> </w:t>
            </w:r>
            <w:r w:rsidRPr="00FF62D5">
              <w:rPr>
                <w:rFonts w:cs="Arial" w:asciiTheme="minorHAnsi" w:hAnsiTheme="minorHAnsi"/>
                <w:sz w:val="16"/>
                <w:szCs w:val="16"/>
              </w:rPr>
              <w:t>some trials showing reduced seroconversion in babies</w:t>
            </w:r>
            <w:r w:rsidR="003C52C5">
              <w:rPr>
                <w:rFonts w:cs="Arial" w:asciiTheme="minorHAnsi" w:hAnsiTheme="minorHAnsi"/>
                <w:sz w:val="16"/>
                <w:szCs w:val="16"/>
              </w:rPr>
              <w:t xml:space="preserve"> </w:t>
            </w:r>
            <w:r w:rsidRPr="00FF62D5">
              <w:rPr>
                <w:rFonts w:cs="Arial" w:asciiTheme="minorHAnsi" w:hAnsiTheme="minorHAnsi"/>
                <w:sz w:val="16"/>
                <w:szCs w:val="16"/>
              </w:rPr>
              <w:t>&lt;2000 g</w:t>
            </w:r>
            <w:r w:rsidR="00063F60">
              <w:rPr>
                <w:rFonts w:cs="Arial" w:asciiTheme="minorHAnsi" w:hAnsiTheme="minorHAnsi"/>
                <w:sz w:val="16"/>
                <w:szCs w:val="16"/>
              </w:rPr>
              <w:t xml:space="preserve"> </w:t>
            </w:r>
            <w:r w:rsidR="00063F60">
              <w:rPr>
                <w:rFonts w:cs="Arial" w:asciiTheme="minorHAnsi" w:hAnsiTheme="minorHAnsi"/>
                <w:sz w:val="16"/>
                <w:szCs w:val="16"/>
                <w:vertAlign w:val="superscript"/>
              </w:rPr>
              <w:t>9</w:t>
            </w:r>
            <w:r w:rsidRPr="00FF62D5">
              <w:rPr>
                <w:rFonts w:cs="Arial" w:asciiTheme="minorHAnsi" w:hAnsiTheme="minorHAnsi"/>
                <w:sz w:val="16"/>
                <w:szCs w:val="16"/>
              </w:rPr>
              <w:t>, while others showing adequate seroconversion by 30 days of age</w:t>
            </w:r>
            <w:r w:rsidR="0096272F">
              <w:rPr>
                <w:rFonts w:cs="Arial" w:asciiTheme="minorHAnsi" w:hAnsiTheme="minorHAnsi"/>
                <w:sz w:val="16"/>
                <w:szCs w:val="16"/>
              </w:rPr>
              <w:t xml:space="preserve"> r</w:t>
            </w:r>
            <w:r w:rsidRPr="00FF62D5">
              <w:rPr>
                <w:rFonts w:cs="Arial" w:asciiTheme="minorHAnsi" w:hAnsiTheme="minorHAnsi"/>
                <w:sz w:val="16"/>
                <w:szCs w:val="16"/>
              </w:rPr>
              <w:t>egardless of birth</w:t>
            </w:r>
            <w:r w:rsidR="00136558">
              <w:rPr>
                <w:rFonts w:cs="Arial" w:asciiTheme="minorHAnsi" w:hAnsiTheme="minorHAnsi"/>
                <w:sz w:val="16"/>
                <w:szCs w:val="16"/>
              </w:rPr>
              <w:t xml:space="preserve"> </w:t>
            </w:r>
            <w:r w:rsidRPr="00FF62D5">
              <w:rPr>
                <w:rFonts w:cs="Arial" w:asciiTheme="minorHAnsi" w:hAnsiTheme="minorHAnsi"/>
                <w:sz w:val="16"/>
                <w:szCs w:val="16"/>
              </w:rPr>
              <w:t>weight</w:t>
            </w:r>
            <w:r w:rsidR="0096272F">
              <w:rPr>
                <w:rFonts w:cs="Arial" w:asciiTheme="minorHAnsi" w:hAnsiTheme="minorHAnsi"/>
                <w:sz w:val="16"/>
                <w:szCs w:val="16"/>
              </w:rPr>
              <w:t>.</w:t>
            </w:r>
            <w:r w:rsidR="00063F60">
              <w:rPr>
                <w:rFonts w:cs="Arial" w:asciiTheme="minorHAnsi" w:hAnsiTheme="minorHAnsi"/>
                <w:sz w:val="16"/>
                <w:szCs w:val="16"/>
                <w:vertAlign w:val="superscript"/>
              </w:rPr>
              <w:t>10</w:t>
            </w:r>
            <w:r w:rsidRPr="00FF62D5">
              <w:rPr>
                <w:rFonts w:cs="Arial" w:asciiTheme="minorHAnsi" w:hAnsiTheme="minorHAnsi"/>
                <w:sz w:val="16"/>
                <w:szCs w:val="16"/>
              </w:rPr>
              <w:t xml:space="preserve"> Given the variable results, preterm babies &lt;32 weeks are recommended</w:t>
            </w:r>
            <w:r w:rsidR="0096272F">
              <w:rPr>
                <w:rFonts w:cs="Arial" w:asciiTheme="minorHAnsi" w:hAnsiTheme="minorHAnsi"/>
                <w:sz w:val="16"/>
                <w:szCs w:val="16"/>
              </w:rPr>
              <w:t xml:space="preserve"> </w:t>
            </w:r>
            <w:r w:rsidRPr="00FF62D5">
              <w:rPr>
                <w:rFonts w:cs="Arial" w:asciiTheme="minorHAnsi" w:hAnsiTheme="minorHAnsi"/>
                <w:sz w:val="16"/>
                <w:szCs w:val="16"/>
              </w:rPr>
              <w:t>to have a booster</w:t>
            </w:r>
            <w:r w:rsidR="0096272F">
              <w:rPr>
                <w:rFonts w:cs="Arial" w:asciiTheme="minorHAnsi" w:hAnsiTheme="minorHAnsi"/>
                <w:sz w:val="16"/>
                <w:szCs w:val="16"/>
              </w:rPr>
              <w:t xml:space="preserve"> </w:t>
            </w:r>
            <w:r w:rsidRPr="00FF62D5">
              <w:rPr>
                <w:rFonts w:cs="Arial" w:asciiTheme="minorHAnsi" w:hAnsiTheme="minorHAnsi"/>
                <w:sz w:val="16"/>
                <w:szCs w:val="16"/>
              </w:rPr>
              <w:t>hepatitis</w:t>
            </w:r>
            <w:r w:rsidR="001B2386">
              <w:rPr>
                <w:rFonts w:cs="Arial" w:asciiTheme="minorHAnsi" w:hAnsiTheme="minorHAnsi"/>
                <w:sz w:val="16"/>
                <w:szCs w:val="16"/>
              </w:rPr>
              <w:t xml:space="preserve"> </w:t>
            </w:r>
            <w:r w:rsidRPr="00FF62D5">
              <w:rPr>
                <w:rFonts w:cs="Arial" w:asciiTheme="minorHAnsi" w:hAnsiTheme="minorHAnsi"/>
                <w:sz w:val="16"/>
                <w:szCs w:val="16"/>
              </w:rPr>
              <w:t>B</w:t>
            </w:r>
            <w:r w:rsidR="0096272F">
              <w:rPr>
                <w:rFonts w:cs="Arial" w:asciiTheme="minorHAnsi" w:hAnsiTheme="minorHAnsi"/>
                <w:sz w:val="16"/>
                <w:szCs w:val="16"/>
              </w:rPr>
              <w:t xml:space="preserve"> </w:t>
            </w:r>
            <w:r w:rsidRPr="00FF62D5">
              <w:rPr>
                <w:rFonts w:cs="Arial" w:asciiTheme="minorHAnsi" w:hAnsiTheme="minorHAnsi"/>
                <w:sz w:val="16"/>
                <w:szCs w:val="16"/>
              </w:rPr>
              <w:t>vaccine dose at</w:t>
            </w:r>
            <w:r w:rsidR="0096272F">
              <w:rPr>
                <w:rFonts w:cs="Arial" w:asciiTheme="minorHAnsi" w:hAnsiTheme="minorHAnsi"/>
                <w:sz w:val="16"/>
                <w:szCs w:val="16"/>
              </w:rPr>
              <w:t xml:space="preserve"> </w:t>
            </w:r>
            <w:r w:rsidRPr="00FF62D5">
              <w:rPr>
                <w:rFonts w:cs="Arial" w:asciiTheme="minorHAnsi" w:hAnsiTheme="minorHAnsi"/>
                <w:sz w:val="16"/>
                <w:szCs w:val="16"/>
              </w:rPr>
              <w:t>12months of age in</w:t>
            </w:r>
            <w:r w:rsidR="001B2386">
              <w:rPr>
                <w:rFonts w:cs="Arial" w:asciiTheme="minorHAnsi" w:hAnsiTheme="minorHAnsi"/>
                <w:sz w:val="16"/>
                <w:szCs w:val="16"/>
              </w:rPr>
              <w:t xml:space="preserve"> </w:t>
            </w:r>
            <w:r w:rsidRPr="00FF62D5">
              <w:rPr>
                <w:rFonts w:cs="Arial" w:asciiTheme="minorHAnsi" w:hAnsiTheme="minorHAnsi"/>
                <w:sz w:val="16"/>
                <w:szCs w:val="16"/>
              </w:rPr>
              <w:t>babies with</w:t>
            </w:r>
            <w:r w:rsidR="001B2386">
              <w:rPr>
                <w:rFonts w:cs="Arial" w:asciiTheme="minorHAnsi" w:hAnsiTheme="minorHAnsi"/>
                <w:sz w:val="16"/>
                <w:szCs w:val="16"/>
              </w:rPr>
              <w:t xml:space="preserve"> </w:t>
            </w:r>
            <w:r w:rsidRPr="00FF62D5">
              <w:rPr>
                <w:rFonts w:cs="Arial" w:asciiTheme="minorHAnsi" w:hAnsiTheme="minorHAnsi"/>
                <w:sz w:val="16"/>
                <w:szCs w:val="16"/>
              </w:rPr>
              <w:t>anti-Hbs</w:t>
            </w:r>
            <w:r w:rsidR="001B2386">
              <w:rPr>
                <w:rFonts w:cs="Arial" w:asciiTheme="minorHAnsi" w:hAnsiTheme="minorHAnsi"/>
                <w:sz w:val="16"/>
                <w:szCs w:val="16"/>
              </w:rPr>
              <w:t xml:space="preserve"> </w:t>
            </w:r>
            <w:r w:rsidRPr="00FF62D5">
              <w:rPr>
                <w:rFonts w:cs="Arial" w:asciiTheme="minorHAnsi" w:hAnsiTheme="minorHAnsi"/>
                <w:sz w:val="16"/>
                <w:szCs w:val="16"/>
              </w:rPr>
              <w:t>titres</w:t>
            </w:r>
            <w:r w:rsidR="001B2386">
              <w:rPr>
                <w:rFonts w:cs="Arial" w:asciiTheme="minorHAnsi" w:hAnsiTheme="minorHAnsi"/>
                <w:sz w:val="16"/>
                <w:szCs w:val="16"/>
              </w:rPr>
              <w:t xml:space="preserve"> </w:t>
            </w:r>
            <w:r w:rsidRPr="00FF62D5">
              <w:rPr>
                <w:rFonts w:cs="Arial" w:asciiTheme="minorHAnsi" w:hAnsiTheme="minorHAnsi"/>
                <w:sz w:val="16"/>
                <w:szCs w:val="16"/>
              </w:rPr>
              <w:t>&lt;10 mIU/mL or</w:t>
            </w:r>
            <w:r w:rsidR="0096272F">
              <w:rPr>
                <w:rFonts w:cs="Arial" w:asciiTheme="minorHAnsi" w:hAnsiTheme="minorHAnsi"/>
                <w:sz w:val="16"/>
                <w:szCs w:val="16"/>
              </w:rPr>
              <w:t xml:space="preserve"> </w:t>
            </w:r>
            <w:r w:rsidRPr="00FF62D5">
              <w:rPr>
                <w:rFonts w:cs="Arial" w:asciiTheme="minorHAnsi" w:hAnsiTheme="minorHAnsi"/>
                <w:sz w:val="16"/>
                <w:szCs w:val="16"/>
              </w:rPr>
              <w:t>unknown.</w:t>
            </w:r>
          </w:p>
          <w:p w:rsidR="0096272F" w:rsidP="00FF62D5" w:rsidRDefault="0096272F" w14:paraId="1D89A694" w14:textId="77777777">
            <w:pPr>
              <w:pStyle w:val="BodyText"/>
              <w:tabs>
                <w:tab w:val="left" w:pos="1168"/>
              </w:tabs>
              <w:rPr>
                <w:rFonts w:cs="Arial" w:asciiTheme="minorHAnsi" w:hAnsiTheme="minorHAnsi"/>
                <w:sz w:val="16"/>
                <w:szCs w:val="16"/>
              </w:rPr>
            </w:pPr>
          </w:p>
          <w:p w:rsidRPr="00D91A40" w:rsidR="00AF56F9" w:rsidP="00E525C7" w:rsidRDefault="00AF56F9" w14:paraId="7B8D189E" w14:textId="77777777">
            <w:pPr>
              <w:pStyle w:val="BodyText"/>
              <w:tabs>
                <w:tab w:val="left" w:pos="1168"/>
              </w:tabs>
              <w:rPr>
                <w:rFonts w:cs="Arial" w:asciiTheme="minorHAnsi" w:hAnsiTheme="minorHAnsi"/>
                <w:sz w:val="16"/>
                <w:szCs w:val="16"/>
              </w:rPr>
            </w:pPr>
            <w:r w:rsidRPr="00D91A40">
              <w:rPr>
                <w:rFonts w:cs="Arial" w:asciiTheme="minorHAnsi" w:hAnsiTheme="minorHAnsi"/>
                <w:sz w:val="16"/>
                <w:szCs w:val="16"/>
              </w:rPr>
              <w:t>Infanrix hexa was administered concomitantly with a rotavirus vaccine (Rotarix) in a randomised, double-blind, placebo-controlled trial and with a 13-valent-pneumococcal vaccine (Prevenar-13) in several studies. Limited data from these studies suggest that co-administration of these vaccines with Infanrix hexa does not affect the immunogenicity of either co-administered vaccine.</w:t>
            </w:r>
            <w:r w:rsidRPr="00D91A40">
              <w:rPr>
                <w:rFonts w:cs="Arial" w:asciiTheme="minorHAnsi" w:hAnsiTheme="minorHAnsi"/>
                <w:sz w:val="16"/>
                <w:szCs w:val="16"/>
                <w:vertAlign w:val="superscript"/>
              </w:rPr>
              <w:t>6</w:t>
            </w:r>
          </w:p>
          <w:p w:rsidR="00FE7701" w:rsidP="00E525C7" w:rsidRDefault="00FE7701" w14:paraId="0002F55E" w14:textId="77777777">
            <w:pPr>
              <w:pStyle w:val="BodyText"/>
              <w:tabs>
                <w:tab w:val="left" w:pos="1168"/>
              </w:tabs>
              <w:rPr>
                <w:rFonts w:cs="Arial" w:asciiTheme="minorHAnsi" w:hAnsiTheme="minorHAnsi"/>
                <w:sz w:val="16"/>
                <w:szCs w:val="16"/>
              </w:rPr>
            </w:pPr>
          </w:p>
          <w:p w:rsidRPr="00D91A40" w:rsidR="00AF56F9" w:rsidP="00E525C7" w:rsidRDefault="00AF56F9" w14:paraId="6EF65D35" w14:textId="63F104A6">
            <w:pPr>
              <w:pStyle w:val="BodyText"/>
              <w:tabs>
                <w:tab w:val="left" w:pos="1168"/>
              </w:tabs>
              <w:rPr>
                <w:rFonts w:cs="Arial" w:asciiTheme="minorHAnsi" w:hAnsiTheme="minorHAnsi"/>
                <w:sz w:val="16"/>
                <w:szCs w:val="16"/>
              </w:rPr>
            </w:pPr>
            <w:r w:rsidRPr="00D91A40">
              <w:rPr>
                <w:rFonts w:cs="Arial" w:asciiTheme="minorHAnsi" w:hAnsiTheme="minorHAnsi"/>
                <w:sz w:val="16"/>
                <w:szCs w:val="16"/>
              </w:rPr>
              <w:t>Infanrix hexa can be co-administered with other live or inactivated vaccines without interference on the immune response.</w:t>
            </w:r>
            <w:r w:rsidR="00986661">
              <w:rPr>
                <w:rFonts w:cs="Arial" w:asciiTheme="minorHAnsi" w:hAnsiTheme="minorHAnsi"/>
                <w:sz w:val="16"/>
                <w:szCs w:val="16"/>
                <w:vertAlign w:val="superscript"/>
              </w:rPr>
              <w:t>11</w:t>
            </w:r>
          </w:p>
          <w:p w:rsidRPr="00D91A40" w:rsidR="00AF56F9" w:rsidP="00E525C7" w:rsidRDefault="00AF56F9" w14:paraId="7C62A52C" w14:textId="77777777">
            <w:pPr>
              <w:pStyle w:val="BodyText"/>
              <w:tabs>
                <w:tab w:val="left" w:pos="1168"/>
              </w:tabs>
              <w:rPr>
                <w:rFonts w:cs="Arial" w:asciiTheme="minorHAnsi" w:hAnsiTheme="minorHAnsi"/>
                <w:sz w:val="16"/>
                <w:szCs w:val="16"/>
              </w:rPr>
            </w:pPr>
          </w:p>
          <w:p w:rsidRPr="00D91A40" w:rsidR="00AF56F9" w:rsidP="00E525C7" w:rsidRDefault="00AF56F9" w14:paraId="6F6790FA" w14:textId="77777777">
            <w:pPr>
              <w:pStyle w:val="BodyText"/>
              <w:tabs>
                <w:tab w:val="left" w:pos="1168"/>
              </w:tabs>
              <w:rPr>
                <w:rFonts w:cs="Arial" w:asciiTheme="minorHAnsi" w:hAnsiTheme="minorHAnsi"/>
                <w:b/>
                <w:sz w:val="16"/>
                <w:szCs w:val="16"/>
              </w:rPr>
            </w:pPr>
            <w:r w:rsidRPr="00D91A40">
              <w:rPr>
                <w:rFonts w:cs="Arial" w:asciiTheme="minorHAnsi" w:hAnsiTheme="minorHAnsi"/>
                <w:b/>
                <w:sz w:val="16"/>
                <w:szCs w:val="16"/>
              </w:rPr>
              <w:t>Safety</w:t>
            </w:r>
          </w:p>
          <w:p w:rsidRPr="00D91A40" w:rsidR="00AF56F9" w:rsidP="00E525C7" w:rsidRDefault="00AF56F9" w14:paraId="7331BABB" w14:textId="177160A4">
            <w:pPr>
              <w:pStyle w:val="BodyText"/>
              <w:tabs>
                <w:tab w:val="left" w:pos="1168"/>
              </w:tabs>
              <w:rPr>
                <w:rFonts w:cs="Arial" w:asciiTheme="minorHAnsi" w:hAnsiTheme="minorHAnsi"/>
                <w:sz w:val="16"/>
                <w:szCs w:val="16"/>
              </w:rPr>
            </w:pPr>
            <w:r w:rsidRPr="00D91A40">
              <w:rPr>
                <w:rFonts w:cs="Arial" w:asciiTheme="minorHAnsi" w:hAnsiTheme="minorHAnsi"/>
                <w:sz w:val="16"/>
                <w:szCs w:val="16"/>
              </w:rPr>
              <w:t>In 2007 the Committee for Medicinal Products for Human Use reviewed cases of apnoea in preterm infants following vaccination and concluded that the apnoea occurred due to immaturity of the immune system. Hence, their recommendation to monitor very preterm infants for up to 48–72 hours after vaccination.</w:t>
            </w:r>
            <w:r w:rsidR="007A4DEB">
              <w:rPr>
                <w:rFonts w:cs="Arial" w:asciiTheme="minorHAnsi" w:hAnsiTheme="minorHAnsi"/>
                <w:sz w:val="16"/>
                <w:szCs w:val="16"/>
                <w:vertAlign w:val="superscript"/>
              </w:rPr>
              <w:t>11</w:t>
            </w:r>
            <w:r w:rsidRPr="00D91A40">
              <w:rPr>
                <w:rFonts w:cs="Arial" w:asciiTheme="minorHAnsi" w:hAnsiTheme="minorHAnsi"/>
                <w:sz w:val="16"/>
                <w:szCs w:val="16"/>
              </w:rPr>
              <w:t xml:space="preserve"> </w:t>
            </w:r>
          </w:p>
          <w:p w:rsidRPr="00D91A40" w:rsidR="00AF56F9" w:rsidP="00E525C7" w:rsidRDefault="00AF56F9" w14:paraId="55D59823" w14:textId="77777777">
            <w:pPr>
              <w:pStyle w:val="BodyText"/>
              <w:tabs>
                <w:tab w:val="left" w:pos="1168"/>
              </w:tabs>
              <w:rPr>
                <w:rFonts w:cs="Arial" w:asciiTheme="minorHAnsi" w:hAnsiTheme="minorHAnsi"/>
                <w:sz w:val="16"/>
                <w:szCs w:val="16"/>
              </w:rPr>
            </w:pPr>
          </w:p>
          <w:p w:rsidRPr="00D91A40" w:rsidR="00AF56F9" w:rsidP="00E525C7" w:rsidRDefault="00AF56F9" w14:paraId="7E3A4875" w14:textId="77777777">
            <w:pPr>
              <w:pStyle w:val="BodyText"/>
              <w:tabs>
                <w:tab w:val="left" w:pos="1168"/>
              </w:tabs>
              <w:rPr>
                <w:rFonts w:cs="Arial" w:asciiTheme="minorHAnsi" w:hAnsiTheme="minorHAnsi"/>
                <w:sz w:val="16"/>
                <w:szCs w:val="16"/>
                <w:vertAlign w:val="superscript"/>
              </w:rPr>
            </w:pPr>
            <w:r w:rsidRPr="00D91A40">
              <w:rPr>
                <w:rFonts w:cs="Arial" w:asciiTheme="minorHAnsi" w:hAnsiTheme="minorHAnsi"/>
                <w:sz w:val="16"/>
                <w:szCs w:val="16"/>
              </w:rPr>
              <w:t>Historical concerns about potential temporal association between sudden unexpected death (SUD) and hexavalent vaccines has been extensively investigated and in 2003 the European Medicines Agency concluded absence of a cause-effect relationship and no change in the benefit-risk profile of then available hexavalent vaccines.</w:t>
            </w:r>
            <w:r w:rsidRPr="00D91A40">
              <w:rPr>
                <w:rFonts w:cs="Arial" w:asciiTheme="minorHAnsi" w:hAnsiTheme="minorHAnsi"/>
                <w:sz w:val="16"/>
                <w:szCs w:val="16"/>
                <w:vertAlign w:val="superscript"/>
              </w:rPr>
              <w:t>7</w:t>
            </w:r>
          </w:p>
          <w:p w:rsidRPr="00D91A40" w:rsidR="00AF56F9" w:rsidP="00E525C7" w:rsidRDefault="00AF56F9" w14:paraId="1CFAB73A" w14:textId="77777777">
            <w:pPr>
              <w:pStyle w:val="BodyText"/>
              <w:tabs>
                <w:tab w:val="left" w:pos="1168"/>
              </w:tabs>
              <w:rPr>
                <w:rFonts w:cs="Arial" w:asciiTheme="minorHAnsi" w:hAnsiTheme="minorHAnsi"/>
                <w:sz w:val="16"/>
                <w:szCs w:val="16"/>
              </w:rPr>
            </w:pPr>
          </w:p>
          <w:p w:rsidRPr="00D91A40" w:rsidR="00AF56F9" w:rsidP="00E525C7" w:rsidRDefault="00AF56F9" w14:paraId="5953F653" w14:textId="77777777">
            <w:pPr>
              <w:pStyle w:val="BodyText"/>
              <w:tabs>
                <w:tab w:val="left" w:pos="1168"/>
              </w:tabs>
              <w:rPr>
                <w:rFonts w:cs="Arial" w:asciiTheme="minorHAnsi" w:hAnsiTheme="minorHAnsi"/>
                <w:sz w:val="16"/>
                <w:szCs w:val="16"/>
                <w:vertAlign w:val="superscript"/>
              </w:rPr>
            </w:pPr>
            <w:r w:rsidRPr="00D91A40">
              <w:rPr>
                <w:rFonts w:cs="Arial" w:asciiTheme="minorHAnsi" w:hAnsiTheme="minorHAnsi"/>
                <w:sz w:val="16"/>
                <w:szCs w:val="16"/>
              </w:rPr>
              <w:t>Available clinical data from more than 10 years’ experience with the vaccine suggest that Infanrix hexa as primary and booster vaccination is a safe and useful option for providing protection against the common childhood diseases of diphtheria, tetanus, poliomyelitis, pertussis, hepatitis B and invasive Hib disease.</w:t>
            </w:r>
            <w:r w:rsidRPr="00D91A40">
              <w:rPr>
                <w:rFonts w:cs="Arial" w:asciiTheme="minorHAnsi" w:hAnsiTheme="minorHAnsi"/>
                <w:sz w:val="16"/>
                <w:szCs w:val="16"/>
                <w:vertAlign w:val="superscript"/>
              </w:rPr>
              <w:t>6</w:t>
            </w:r>
          </w:p>
          <w:p w:rsidRPr="00D91A40" w:rsidR="00AF56F9" w:rsidP="00E525C7" w:rsidRDefault="00AF56F9" w14:paraId="051DA838" w14:textId="77777777">
            <w:pPr>
              <w:pStyle w:val="BodyText"/>
              <w:tabs>
                <w:tab w:val="left" w:pos="1168"/>
              </w:tabs>
              <w:rPr>
                <w:rFonts w:cs="Arial" w:asciiTheme="minorHAnsi" w:hAnsiTheme="minorHAnsi"/>
                <w:sz w:val="16"/>
                <w:szCs w:val="16"/>
              </w:rPr>
            </w:pPr>
          </w:p>
          <w:p w:rsidRPr="00D91A40" w:rsidR="00AF56F9" w:rsidP="00E525C7" w:rsidRDefault="00AF56F9" w14:paraId="5DCB2C8E" w14:textId="542EE34C">
            <w:pPr>
              <w:pStyle w:val="BodyText"/>
              <w:tabs>
                <w:tab w:val="left" w:pos="1168"/>
              </w:tabs>
              <w:rPr>
                <w:rFonts w:cs="Arial" w:asciiTheme="minorHAnsi" w:hAnsiTheme="minorHAnsi"/>
                <w:sz w:val="16"/>
                <w:szCs w:val="16"/>
              </w:rPr>
            </w:pPr>
            <w:r w:rsidRPr="00D91A40">
              <w:rPr>
                <w:rFonts w:cs="Arial" w:asciiTheme="minorHAnsi" w:hAnsiTheme="minorHAnsi"/>
                <w:sz w:val="16"/>
                <w:szCs w:val="16"/>
              </w:rPr>
              <w:t>Infanrix hexa was generally well tolerated as primary and booster vaccination in infants aged &lt; 2 years, with most adverse local and general symptoms being mild to moderate in intensity.</w:t>
            </w:r>
            <w:r w:rsidR="00B719B2">
              <w:rPr>
                <w:rFonts w:cs="Arial" w:asciiTheme="minorHAnsi" w:hAnsiTheme="minorHAnsi"/>
                <w:sz w:val="16"/>
                <w:szCs w:val="16"/>
                <w:vertAlign w:val="superscript"/>
              </w:rPr>
              <w:t>12</w:t>
            </w:r>
          </w:p>
        </w:tc>
      </w:tr>
      <w:tr w:rsidRPr="00721BF0" w:rsidR="00273A16" w:rsidTr="77BEE3D0" w14:paraId="0BAE2335" w14:textId="77777777">
        <w:trPr>
          <w:trHeight w:val="361"/>
        </w:trPr>
        <w:tc>
          <w:tcPr>
            <w:tcW w:w="2410" w:type="dxa"/>
          </w:tcPr>
          <w:p w:rsidRPr="00721BF0" w:rsidR="00AF56F9" w:rsidP="00E525C7" w:rsidRDefault="00AF56F9" w14:paraId="033EE42C" w14:textId="77777777">
            <w:pPr>
              <w:pStyle w:val="BodyText"/>
              <w:rPr>
                <w:rFonts w:cs="Arial" w:asciiTheme="minorHAnsi" w:hAnsiTheme="minorHAnsi"/>
                <w:b/>
                <w:bCs/>
                <w:szCs w:val="24"/>
              </w:rPr>
            </w:pPr>
            <w:r w:rsidRPr="00721BF0">
              <w:rPr>
                <w:rFonts w:asciiTheme="minorHAnsi" w:hAnsiTheme="minorHAnsi"/>
                <w:b/>
                <w:szCs w:val="24"/>
              </w:rPr>
              <w:t>References</w:t>
            </w:r>
          </w:p>
        </w:tc>
        <w:tc>
          <w:tcPr>
            <w:tcW w:w="7967" w:type="dxa"/>
          </w:tcPr>
          <w:p w:rsidRPr="00D91A40" w:rsidR="00AF56F9" w:rsidP="00E525C7" w:rsidRDefault="00AF56F9" w14:paraId="1EC42D2D" w14:textId="77777777">
            <w:pPr>
              <w:shd w:val="clear" w:color="auto" w:fill="FFFFFF"/>
              <w:rPr>
                <w:rFonts w:asciiTheme="minorHAnsi" w:hAnsiTheme="minorHAnsi"/>
                <w:sz w:val="16"/>
                <w:szCs w:val="16"/>
              </w:rPr>
            </w:pPr>
            <w:r w:rsidRPr="00D91A40">
              <w:rPr>
                <w:rFonts w:asciiTheme="minorHAnsi" w:hAnsiTheme="minorHAnsi"/>
                <w:sz w:val="16"/>
                <w:szCs w:val="16"/>
              </w:rPr>
              <w:t xml:space="preserve">1. Australian Government Department of Health. The Australian Immunisation Handbook, 10th Edition 2013 (Updated June 2015) www.immunise.health.gov.au </w:t>
            </w:r>
          </w:p>
          <w:p w:rsidRPr="00D91A40" w:rsidR="00AF56F9" w:rsidP="00E525C7" w:rsidRDefault="00AF56F9" w14:paraId="6705CBDF" w14:textId="77777777">
            <w:pPr>
              <w:shd w:val="clear" w:color="auto" w:fill="FFFFFF"/>
              <w:rPr>
                <w:rFonts w:asciiTheme="minorHAnsi" w:hAnsiTheme="minorHAnsi"/>
                <w:sz w:val="16"/>
                <w:szCs w:val="16"/>
              </w:rPr>
            </w:pPr>
            <w:r w:rsidRPr="00D91A40">
              <w:rPr>
                <w:rFonts w:asciiTheme="minorHAnsi" w:hAnsiTheme="minorHAnsi"/>
                <w:sz w:val="16"/>
                <w:szCs w:val="16"/>
              </w:rPr>
              <w:t>2. NSW Health. Antenatal Pertussis Vaccination: NSW Public Hospital Antenatal Clinic Guidelines. August 2015.</w:t>
            </w:r>
          </w:p>
          <w:p w:rsidRPr="00D91A40" w:rsidR="00AF56F9" w:rsidP="00E525C7" w:rsidRDefault="00AF56F9" w14:paraId="646B2784" w14:textId="77777777">
            <w:pPr>
              <w:shd w:val="clear" w:color="auto" w:fill="FFFFFF"/>
              <w:rPr>
                <w:rFonts w:asciiTheme="minorHAnsi" w:hAnsiTheme="minorHAnsi"/>
                <w:sz w:val="16"/>
                <w:szCs w:val="16"/>
              </w:rPr>
            </w:pPr>
            <w:r w:rsidRPr="00D91A40">
              <w:rPr>
                <w:rFonts w:asciiTheme="minorHAnsi" w:hAnsiTheme="minorHAnsi"/>
                <w:sz w:val="16"/>
                <w:szCs w:val="16"/>
              </w:rPr>
              <w:t xml:space="preserve">3. Australian Government Department of Health and Aging. National Vaccine Storage Guideline-Strive for Five. 2nd Edition. 2013. </w:t>
            </w:r>
          </w:p>
          <w:p w:rsidRPr="00D91A40" w:rsidR="00AF56F9" w:rsidP="00E525C7" w:rsidRDefault="00AF56F9" w14:paraId="7DD7D64E" w14:textId="77777777">
            <w:pPr>
              <w:shd w:val="clear" w:color="auto" w:fill="FFFFFF"/>
              <w:rPr>
                <w:rFonts w:asciiTheme="minorHAnsi" w:hAnsiTheme="minorHAnsi"/>
                <w:sz w:val="16"/>
                <w:szCs w:val="16"/>
              </w:rPr>
            </w:pPr>
            <w:r w:rsidRPr="00D91A40">
              <w:rPr>
                <w:rFonts w:asciiTheme="minorHAnsi" w:hAnsiTheme="minorHAnsi"/>
                <w:sz w:val="16"/>
                <w:szCs w:val="16"/>
              </w:rPr>
              <w:t>4. MIMS online available via CIAP. Accessed 9/3/16</w:t>
            </w:r>
          </w:p>
          <w:p w:rsidRPr="00D91A40" w:rsidR="00E3035E" w:rsidP="00E525C7" w:rsidRDefault="00AF56F9" w14:paraId="1ECDEE56" w14:textId="2A32BA27">
            <w:pPr>
              <w:shd w:val="clear" w:color="auto" w:fill="FFFFFF"/>
              <w:rPr>
                <w:rFonts w:asciiTheme="minorHAnsi" w:hAnsiTheme="minorHAnsi"/>
                <w:sz w:val="16"/>
                <w:szCs w:val="16"/>
              </w:rPr>
            </w:pPr>
            <w:r w:rsidRPr="00D91A40">
              <w:rPr>
                <w:rFonts w:asciiTheme="minorHAnsi" w:hAnsiTheme="minorHAnsi"/>
                <w:sz w:val="16"/>
                <w:szCs w:val="16"/>
              </w:rPr>
              <w:t>5. Product Monograph: INFANRIX® hexa. ©2015 GlaxoSmithKline Inc., All Rights Reserved</w:t>
            </w:r>
          </w:p>
          <w:p w:rsidR="00AF56F9" w:rsidP="00E525C7" w:rsidRDefault="00AF56F9" w14:paraId="6DD9BF72" w14:textId="77777777">
            <w:pPr>
              <w:shd w:val="clear" w:color="auto" w:fill="FFFFFF"/>
              <w:rPr>
                <w:rFonts w:asciiTheme="minorHAnsi" w:hAnsiTheme="minorHAnsi"/>
                <w:sz w:val="16"/>
                <w:szCs w:val="16"/>
              </w:rPr>
            </w:pPr>
            <w:r w:rsidRPr="00D91A40">
              <w:rPr>
                <w:rFonts w:asciiTheme="minorHAnsi" w:hAnsiTheme="minorHAnsi"/>
                <w:sz w:val="16"/>
                <w:szCs w:val="16"/>
              </w:rPr>
              <w:t xml:space="preserve">6. Dhillon S. DTPa-HBV-IPV/Hib Vaccine (Infanrix hexa): A Review of its Use as Primary and Booster Vaccination. Drugs 2010; 70(8): 1021-58. </w:t>
            </w:r>
          </w:p>
          <w:p w:rsidRPr="00D91A40" w:rsidR="00A97D94" w:rsidP="00E525C7" w:rsidRDefault="00A97D94" w14:paraId="20A0FFAA" w14:textId="483D9BF1">
            <w:pPr>
              <w:shd w:val="clear" w:color="auto" w:fill="FFFFFF"/>
              <w:rPr>
                <w:rFonts w:asciiTheme="minorHAnsi" w:hAnsiTheme="minorHAnsi"/>
                <w:sz w:val="16"/>
                <w:szCs w:val="16"/>
              </w:rPr>
            </w:pPr>
            <w:r>
              <w:rPr>
                <w:rFonts w:asciiTheme="minorHAnsi" w:hAnsiTheme="minorHAnsi"/>
                <w:sz w:val="16"/>
                <w:szCs w:val="16"/>
              </w:rPr>
              <w:t xml:space="preserve">7. </w:t>
            </w:r>
            <w:r w:rsidRPr="00367B30">
              <w:rPr>
                <w:rFonts w:asciiTheme="minorHAnsi" w:hAnsiTheme="minorHAnsi"/>
                <w:sz w:val="16"/>
                <w:szCs w:val="16"/>
              </w:rPr>
              <w:t>Ome~naca F, Vazquez L, Garcia-Corbeira P, et al. Immunization of preterm infants with GSK's hexavalent combined</w:t>
            </w:r>
            <w:r>
              <w:rPr>
                <w:rFonts w:asciiTheme="minorHAnsi" w:hAnsiTheme="minorHAnsi"/>
                <w:sz w:val="16"/>
                <w:szCs w:val="16"/>
              </w:rPr>
              <w:t xml:space="preserve"> </w:t>
            </w:r>
            <w:r w:rsidRPr="00367B30">
              <w:rPr>
                <w:rFonts w:asciiTheme="minorHAnsi" w:hAnsiTheme="minorHAnsi"/>
                <w:sz w:val="16"/>
                <w:szCs w:val="16"/>
              </w:rPr>
              <w:t>diphtheria-tetanus-acellular pertussis-hepatitis B-inactivated poliovirus-Haemophilus influenzae type b conjugate vaccine:</w:t>
            </w:r>
            <w:r>
              <w:rPr>
                <w:rFonts w:asciiTheme="minorHAnsi" w:hAnsiTheme="minorHAnsi"/>
                <w:sz w:val="16"/>
                <w:szCs w:val="16"/>
              </w:rPr>
              <w:t xml:space="preserve"> </w:t>
            </w:r>
            <w:r w:rsidRPr="00367B30">
              <w:rPr>
                <w:rFonts w:asciiTheme="minorHAnsi" w:hAnsiTheme="minorHAnsi"/>
                <w:sz w:val="16"/>
                <w:szCs w:val="16"/>
              </w:rPr>
              <w:t xml:space="preserve">a review of safety and immunogenicity. Vaccine 2018;36(7):986e96. </w:t>
            </w:r>
            <w:hyperlink w:history="1" r:id="rId44">
              <w:r w:rsidRPr="007C0E2E">
                <w:rPr>
                  <w:rStyle w:val="Hyperlink"/>
                  <w:rFonts w:asciiTheme="minorHAnsi" w:hAnsiTheme="minorHAnsi"/>
                  <w:sz w:val="16"/>
                  <w:szCs w:val="16"/>
                </w:rPr>
                <w:t>https://doi.org/10.1016/j.vaccine.2018.01.005</w:t>
              </w:r>
            </w:hyperlink>
            <w:r w:rsidRPr="00367B30">
              <w:rPr>
                <w:rFonts w:asciiTheme="minorHAnsi" w:hAnsiTheme="minorHAnsi"/>
                <w:sz w:val="16"/>
                <w:szCs w:val="16"/>
              </w:rPr>
              <w:t>.</w:t>
            </w:r>
          </w:p>
          <w:p w:rsidR="004079B1" w:rsidP="004079B1" w:rsidRDefault="008F0F4F" w14:paraId="0BCD3F1E" w14:textId="239A2A4D">
            <w:pPr>
              <w:shd w:val="clear" w:color="auto" w:fill="FFFFFF"/>
              <w:rPr>
                <w:rFonts w:asciiTheme="minorHAnsi" w:hAnsiTheme="minorHAnsi"/>
                <w:sz w:val="16"/>
                <w:szCs w:val="16"/>
              </w:rPr>
            </w:pPr>
            <w:r>
              <w:rPr>
                <w:rFonts w:asciiTheme="minorHAnsi" w:hAnsiTheme="minorHAnsi"/>
                <w:sz w:val="16"/>
                <w:szCs w:val="16"/>
              </w:rPr>
              <w:t>8</w:t>
            </w:r>
            <w:r w:rsidR="004079B1">
              <w:rPr>
                <w:rFonts w:asciiTheme="minorHAnsi" w:hAnsiTheme="minorHAnsi"/>
                <w:sz w:val="16"/>
                <w:szCs w:val="16"/>
              </w:rPr>
              <w:t xml:space="preserve">. </w:t>
            </w:r>
            <w:r w:rsidRPr="00F210E9" w:rsidR="004079B1">
              <w:rPr>
                <w:rFonts w:asciiTheme="minorHAnsi" w:hAnsiTheme="minorHAnsi"/>
                <w:sz w:val="16"/>
                <w:szCs w:val="16"/>
              </w:rPr>
              <w:t>Esposito S, Faldella G, Giammanco A, Bosis S, Friscia O, Clerici M, et al. Long-term pertussis-specific immune responses to</w:t>
            </w:r>
            <w:r w:rsidR="004079B1">
              <w:rPr>
                <w:rFonts w:asciiTheme="minorHAnsi" w:hAnsiTheme="minorHAnsi"/>
                <w:sz w:val="16"/>
                <w:szCs w:val="16"/>
              </w:rPr>
              <w:t xml:space="preserve"> </w:t>
            </w:r>
            <w:r w:rsidRPr="00F210E9" w:rsidR="004079B1">
              <w:rPr>
                <w:rFonts w:asciiTheme="minorHAnsi" w:hAnsiTheme="minorHAnsi"/>
                <w:sz w:val="16"/>
                <w:szCs w:val="16"/>
              </w:rPr>
              <w:t>a combined diphtheria, tetanus, tricomponent acellular pertussis and hepatitis B vaccine in pre-term infants. Vaccine</w:t>
            </w:r>
            <w:r w:rsidR="004079B1">
              <w:rPr>
                <w:rFonts w:asciiTheme="minorHAnsi" w:hAnsiTheme="minorHAnsi"/>
                <w:sz w:val="16"/>
                <w:szCs w:val="16"/>
              </w:rPr>
              <w:t xml:space="preserve"> </w:t>
            </w:r>
            <w:r w:rsidRPr="00F210E9" w:rsidR="004079B1">
              <w:rPr>
                <w:rFonts w:asciiTheme="minorHAnsi" w:hAnsiTheme="minorHAnsi"/>
                <w:sz w:val="16"/>
                <w:szCs w:val="16"/>
              </w:rPr>
              <w:t>2002;20:2928e32. https://doi.org/10.1016/S0264-410X(02)00230-X. PMID:12126904</w:t>
            </w:r>
          </w:p>
          <w:p w:rsidRPr="00266AF9" w:rsidR="004079B1" w:rsidP="004079B1" w:rsidRDefault="008E06F2" w14:paraId="5BFB2AE1" w14:textId="01EE25AE">
            <w:pPr>
              <w:shd w:val="clear" w:color="auto" w:fill="FFFFFF"/>
              <w:rPr>
                <w:rFonts w:asciiTheme="minorHAnsi" w:hAnsiTheme="minorHAnsi"/>
                <w:sz w:val="16"/>
                <w:szCs w:val="16"/>
              </w:rPr>
            </w:pPr>
            <w:r>
              <w:rPr>
                <w:rFonts w:asciiTheme="minorHAnsi" w:hAnsiTheme="minorHAnsi"/>
                <w:sz w:val="16"/>
                <w:szCs w:val="16"/>
              </w:rPr>
              <w:t>9</w:t>
            </w:r>
            <w:r w:rsidR="004079B1">
              <w:rPr>
                <w:rFonts w:asciiTheme="minorHAnsi" w:hAnsiTheme="minorHAnsi"/>
                <w:sz w:val="16"/>
                <w:szCs w:val="16"/>
              </w:rPr>
              <w:t>.</w:t>
            </w:r>
            <w:r w:rsidRPr="00266AF9" w:rsidR="004079B1">
              <w:rPr>
                <w:rFonts w:asciiTheme="minorHAnsi" w:hAnsiTheme="minorHAnsi"/>
                <w:sz w:val="16"/>
                <w:szCs w:val="16"/>
              </w:rPr>
              <w:t>Freitas da Motta MS, Mussi-Pinhata MM, Jorge SM, Tachibana Yoshida CF, Sandoval de Souza CB. Immunogenicity of</w:t>
            </w:r>
            <w:r w:rsidR="004079B1">
              <w:rPr>
                <w:rFonts w:asciiTheme="minorHAnsi" w:hAnsiTheme="minorHAnsi"/>
                <w:sz w:val="16"/>
                <w:szCs w:val="16"/>
              </w:rPr>
              <w:t xml:space="preserve"> </w:t>
            </w:r>
            <w:r w:rsidRPr="00266AF9" w:rsidR="004079B1">
              <w:rPr>
                <w:rFonts w:asciiTheme="minorHAnsi" w:hAnsiTheme="minorHAnsi"/>
                <w:sz w:val="16"/>
                <w:szCs w:val="16"/>
              </w:rPr>
              <w:t>hepatitis vaccine in preterm and full term infants vaccinated within the first week of life. Vaccine 2002;20(11e12):</w:t>
            </w:r>
          </w:p>
          <w:p w:rsidRPr="00266AF9" w:rsidR="004079B1" w:rsidP="004079B1" w:rsidRDefault="004079B1" w14:paraId="4DA8D06E" w14:textId="77777777">
            <w:pPr>
              <w:shd w:val="clear" w:color="auto" w:fill="FFFFFF"/>
              <w:rPr>
                <w:rFonts w:asciiTheme="minorHAnsi" w:hAnsiTheme="minorHAnsi"/>
                <w:sz w:val="16"/>
                <w:szCs w:val="16"/>
              </w:rPr>
            </w:pPr>
            <w:r w:rsidRPr="00266AF9">
              <w:rPr>
                <w:rFonts w:asciiTheme="minorHAnsi" w:hAnsiTheme="minorHAnsi"/>
                <w:sz w:val="16"/>
                <w:szCs w:val="16"/>
              </w:rPr>
              <w:t>1557e62. https://doi.org/10.1016/S0264-410X(01)00493-5.</w:t>
            </w:r>
          </w:p>
          <w:p w:rsidRPr="00661A70" w:rsidR="00AF56F9" w:rsidP="00661A70" w:rsidRDefault="00661A70" w14:paraId="55927D30" w14:textId="5837C5F3">
            <w:pPr>
              <w:shd w:val="clear" w:color="auto" w:fill="FFFFFF"/>
              <w:rPr>
                <w:rFonts w:asciiTheme="minorHAnsi" w:hAnsiTheme="minorHAnsi"/>
                <w:sz w:val="16"/>
                <w:szCs w:val="16"/>
              </w:rPr>
            </w:pPr>
            <w:r w:rsidRPr="00661A70">
              <w:rPr>
                <w:rFonts w:asciiTheme="minorHAnsi" w:hAnsiTheme="minorHAnsi"/>
                <w:sz w:val="16"/>
                <w:szCs w:val="16"/>
              </w:rPr>
              <w:t>10.</w:t>
            </w:r>
            <w:r>
              <w:rPr>
                <w:rFonts w:asciiTheme="minorHAnsi" w:hAnsiTheme="minorHAnsi"/>
                <w:sz w:val="16"/>
                <w:szCs w:val="16"/>
              </w:rPr>
              <w:t xml:space="preserve"> </w:t>
            </w:r>
            <w:r w:rsidRPr="00661A70" w:rsidR="004079B1">
              <w:rPr>
                <w:rFonts w:asciiTheme="minorHAnsi" w:hAnsiTheme="minorHAnsi"/>
                <w:sz w:val="16"/>
                <w:szCs w:val="16"/>
              </w:rPr>
              <w:t>Blondheim O, Bader D, Abend M, Peniakov M, Reich D, Potesman I, et al. Immunogenicity of hepatitis B vaccine in preterm infants. Arch Dis Child Fetal Neonatal 1998;79:F206.</w:t>
            </w:r>
          </w:p>
          <w:p w:rsidRPr="00986661" w:rsidR="00986661" w:rsidP="00E525C7" w:rsidRDefault="00986661" w14:paraId="526AC853" w14:textId="2976D651">
            <w:pPr>
              <w:shd w:val="clear" w:color="auto" w:fill="FFFFFF"/>
              <w:rPr>
                <w:sz w:val="16"/>
                <w:szCs w:val="16"/>
              </w:rPr>
            </w:pPr>
            <w:r>
              <w:rPr>
                <w:sz w:val="16"/>
                <w:szCs w:val="16"/>
              </w:rPr>
              <w:t xml:space="preserve">11. </w:t>
            </w:r>
            <w:r w:rsidRPr="00986661">
              <w:rPr>
                <w:sz w:val="16"/>
                <w:szCs w:val="16"/>
              </w:rPr>
              <w:t>Baldo V, Bonnani P, Castro M &amp; et al. Combined hexavalent diphtheria-tetanus-acellular pertussis-hepatitis B-inactivated poliovirus-Haemophilus influenzae type b vaccine – Infanrix hexa. Human Vaccines &amp; Immunotherapeutics 2014; 10 (1): 129-137.</w:t>
            </w:r>
          </w:p>
          <w:p w:rsidRPr="00D91A40" w:rsidR="00416547" w:rsidP="00E659A3" w:rsidRDefault="00B719B2" w14:paraId="038B2243" w14:textId="27E50CDF">
            <w:pPr>
              <w:shd w:val="clear" w:color="auto" w:fill="FFFFFF"/>
              <w:rPr>
                <w:rFonts w:asciiTheme="minorHAnsi" w:hAnsiTheme="minorHAnsi"/>
                <w:sz w:val="16"/>
                <w:szCs w:val="16"/>
              </w:rPr>
            </w:pPr>
            <w:r>
              <w:rPr>
                <w:rFonts w:asciiTheme="minorHAnsi" w:hAnsiTheme="minorHAnsi"/>
                <w:sz w:val="16"/>
                <w:szCs w:val="16"/>
              </w:rPr>
              <w:lastRenderedPageBreak/>
              <w:t>12</w:t>
            </w:r>
            <w:r w:rsidRPr="00D91A40" w:rsidR="00AF56F9">
              <w:rPr>
                <w:rFonts w:asciiTheme="minorHAnsi" w:hAnsiTheme="minorHAnsi"/>
                <w:sz w:val="16"/>
                <w:szCs w:val="16"/>
              </w:rPr>
              <w:t>. European Medicines Agency. Infanrix hexa: summary of product characteristics [online].</w:t>
            </w:r>
          </w:p>
        </w:tc>
      </w:tr>
    </w:tbl>
    <w:p w:rsidRPr="00721BF0" w:rsidR="00AF56F9" w:rsidP="00AF56F9" w:rsidRDefault="00AF56F9" w14:paraId="32896AF1" w14:textId="77777777">
      <w:pPr>
        <w:rPr>
          <w:rFonts w:cs="Arial" w:asciiTheme="minorHAnsi" w:hAnsiTheme="minorHAnsi"/>
          <w:b/>
          <w:bCs/>
        </w:rPr>
      </w:pPr>
    </w:p>
    <w:tbl>
      <w:tblPr>
        <w:tblW w:w="1063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5386"/>
        <w:gridCol w:w="5246"/>
      </w:tblGrid>
      <w:tr w:rsidRPr="00721BF0" w:rsidR="00CD0750" w:rsidTr="00A65F20" w14:paraId="1F2AB76B" w14:textId="77777777">
        <w:tc>
          <w:tcPr>
            <w:tcW w:w="5386" w:type="dxa"/>
            <w:vAlign w:val="center"/>
          </w:tcPr>
          <w:p w:rsidRPr="00721BF0" w:rsidR="00AF56F9" w:rsidP="00E525C7" w:rsidRDefault="00AF56F9" w14:paraId="5CD86C5A" w14:textId="77777777">
            <w:pPr>
              <w:pStyle w:val="Title"/>
              <w:jc w:val="left"/>
              <w:rPr>
                <w:rFonts w:asciiTheme="minorHAnsi" w:hAnsiTheme="minorHAnsi"/>
                <w:sz w:val="20"/>
              </w:rPr>
            </w:pPr>
            <w:r w:rsidRPr="00721BF0">
              <w:rPr>
                <w:rFonts w:asciiTheme="minorHAnsi" w:hAnsiTheme="minorHAnsi"/>
                <w:sz w:val="20"/>
              </w:rPr>
              <w:t xml:space="preserve">Original version Date: </w:t>
            </w:r>
            <w:r>
              <w:rPr>
                <w:rFonts w:asciiTheme="minorHAnsi" w:hAnsiTheme="minorHAnsi"/>
                <w:b w:val="0"/>
                <w:sz w:val="20"/>
              </w:rPr>
              <w:t>15/11</w:t>
            </w:r>
            <w:r w:rsidRPr="00FD128F">
              <w:rPr>
                <w:rFonts w:asciiTheme="minorHAnsi" w:hAnsiTheme="minorHAnsi"/>
                <w:b w:val="0"/>
                <w:sz w:val="20"/>
              </w:rPr>
              <w:t>/2016</w:t>
            </w:r>
          </w:p>
        </w:tc>
        <w:tc>
          <w:tcPr>
            <w:tcW w:w="5246" w:type="dxa"/>
            <w:vAlign w:val="center"/>
          </w:tcPr>
          <w:p w:rsidRPr="00721BF0" w:rsidR="00AF56F9" w:rsidP="00E525C7" w:rsidRDefault="00AF56F9" w14:paraId="75C19980" w14:textId="77777777">
            <w:pPr>
              <w:pStyle w:val="Title"/>
              <w:jc w:val="left"/>
              <w:rPr>
                <w:rFonts w:asciiTheme="minorHAnsi" w:hAnsiTheme="minorHAnsi"/>
                <w:sz w:val="20"/>
              </w:rPr>
            </w:pPr>
            <w:r w:rsidRPr="00721BF0">
              <w:rPr>
                <w:rFonts w:asciiTheme="minorHAnsi" w:hAnsiTheme="minorHAnsi"/>
                <w:sz w:val="20"/>
              </w:rPr>
              <w:t>Author: Neo</w:t>
            </w:r>
            <w:r>
              <w:rPr>
                <w:rFonts w:asciiTheme="minorHAnsi" w:hAnsiTheme="minorHAnsi"/>
                <w:sz w:val="20"/>
              </w:rPr>
              <w:t xml:space="preserve">natal Medicines Formulary </w:t>
            </w:r>
            <w:r w:rsidRPr="00721BF0">
              <w:rPr>
                <w:rFonts w:asciiTheme="minorHAnsi" w:hAnsiTheme="minorHAnsi"/>
                <w:sz w:val="20"/>
              </w:rPr>
              <w:t>Consensus Group</w:t>
            </w:r>
          </w:p>
        </w:tc>
      </w:tr>
      <w:tr w:rsidRPr="00721BF0" w:rsidR="00CD0750" w:rsidTr="00A65F20" w14:paraId="69A6B6C0" w14:textId="77777777">
        <w:tc>
          <w:tcPr>
            <w:tcW w:w="5386" w:type="dxa"/>
            <w:vAlign w:val="center"/>
          </w:tcPr>
          <w:p w:rsidRPr="00721BF0" w:rsidR="00AF56F9" w:rsidP="00E525C7" w:rsidRDefault="00AF56F9" w14:paraId="44CB3759" w14:textId="38736C21">
            <w:pPr>
              <w:pStyle w:val="Title"/>
              <w:jc w:val="left"/>
              <w:rPr>
                <w:rFonts w:asciiTheme="minorHAnsi" w:hAnsiTheme="minorHAnsi"/>
                <w:b w:val="0"/>
                <w:bCs/>
                <w:sz w:val="20"/>
              </w:rPr>
            </w:pPr>
            <w:r w:rsidRPr="00721BF0">
              <w:rPr>
                <w:rFonts w:asciiTheme="minorHAnsi" w:hAnsiTheme="minorHAnsi"/>
                <w:sz w:val="20"/>
              </w:rPr>
              <w:t xml:space="preserve">Current Version number:  </w:t>
            </w:r>
            <w:r w:rsidR="00E659A3">
              <w:rPr>
                <w:rFonts w:asciiTheme="minorHAnsi" w:hAnsiTheme="minorHAnsi"/>
                <w:sz w:val="20"/>
              </w:rPr>
              <w:t>2</w:t>
            </w:r>
          </w:p>
        </w:tc>
        <w:tc>
          <w:tcPr>
            <w:tcW w:w="5246" w:type="dxa"/>
            <w:vAlign w:val="center"/>
          </w:tcPr>
          <w:p w:rsidRPr="00721BF0" w:rsidR="00AF56F9" w:rsidP="00E525C7" w:rsidRDefault="00AF56F9" w14:paraId="43172301" w14:textId="0B1EA580">
            <w:pPr>
              <w:pStyle w:val="Title"/>
              <w:jc w:val="left"/>
              <w:rPr>
                <w:rFonts w:asciiTheme="minorHAnsi" w:hAnsiTheme="minorHAnsi"/>
                <w:b w:val="0"/>
                <w:sz w:val="20"/>
              </w:rPr>
            </w:pPr>
            <w:r w:rsidRPr="00721BF0">
              <w:rPr>
                <w:rFonts w:asciiTheme="minorHAnsi" w:hAnsiTheme="minorHAnsi"/>
                <w:sz w:val="20"/>
              </w:rPr>
              <w:t xml:space="preserve">Current Version Date:  </w:t>
            </w:r>
            <w:r w:rsidR="00E659A3">
              <w:rPr>
                <w:rFonts w:asciiTheme="minorHAnsi" w:hAnsiTheme="minorHAnsi"/>
                <w:b w:val="0"/>
                <w:sz w:val="20"/>
              </w:rPr>
              <w:t>23</w:t>
            </w:r>
            <w:r>
              <w:rPr>
                <w:rFonts w:asciiTheme="minorHAnsi" w:hAnsiTheme="minorHAnsi"/>
                <w:b w:val="0"/>
                <w:sz w:val="20"/>
              </w:rPr>
              <w:t>/1</w:t>
            </w:r>
            <w:r w:rsidR="00E659A3">
              <w:rPr>
                <w:rFonts w:asciiTheme="minorHAnsi" w:hAnsiTheme="minorHAnsi"/>
                <w:b w:val="0"/>
                <w:sz w:val="20"/>
              </w:rPr>
              <w:t>2</w:t>
            </w:r>
            <w:r w:rsidRPr="00FD128F">
              <w:rPr>
                <w:rFonts w:asciiTheme="minorHAnsi" w:hAnsiTheme="minorHAnsi"/>
                <w:b w:val="0"/>
                <w:sz w:val="20"/>
              </w:rPr>
              <w:t>/20</w:t>
            </w:r>
            <w:r w:rsidR="00E659A3">
              <w:rPr>
                <w:rFonts w:asciiTheme="minorHAnsi" w:hAnsiTheme="minorHAnsi"/>
                <w:b w:val="0"/>
                <w:sz w:val="20"/>
              </w:rPr>
              <w:t>20</w:t>
            </w:r>
          </w:p>
        </w:tc>
      </w:tr>
      <w:tr w:rsidRPr="00721BF0" w:rsidR="00CD0750" w:rsidTr="00A65F20" w14:paraId="01A18E67" w14:textId="77777777">
        <w:tc>
          <w:tcPr>
            <w:tcW w:w="5386" w:type="dxa"/>
            <w:vAlign w:val="center"/>
          </w:tcPr>
          <w:p w:rsidRPr="00721BF0" w:rsidR="00AF56F9" w:rsidP="00E525C7" w:rsidRDefault="00AF56F9" w14:paraId="3BBDD857" w14:textId="077D6DB9">
            <w:pPr>
              <w:pStyle w:val="Title"/>
              <w:jc w:val="left"/>
              <w:rPr>
                <w:rFonts w:asciiTheme="minorHAnsi" w:hAnsiTheme="minorHAnsi"/>
                <w:b w:val="0"/>
                <w:sz w:val="20"/>
              </w:rPr>
            </w:pPr>
            <w:r w:rsidRPr="00721BF0">
              <w:rPr>
                <w:rFonts w:asciiTheme="minorHAnsi" w:hAnsiTheme="minorHAnsi"/>
                <w:sz w:val="20"/>
              </w:rPr>
              <w:t xml:space="preserve">Risk Rating: </w:t>
            </w:r>
            <w:r w:rsidR="00097A20">
              <w:rPr>
                <w:rFonts w:asciiTheme="minorHAnsi" w:hAnsiTheme="minorHAnsi"/>
                <w:sz w:val="20"/>
              </w:rPr>
              <w:t>Low</w:t>
            </w:r>
          </w:p>
        </w:tc>
        <w:tc>
          <w:tcPr>
            <w:tcW w:w="5246" w:type="dxa"/>
            <w:vAlign w:val="center"/>
          </w:tcPr>
          <w:p w:rsidRPr="00721BF0" w:rsidR="00AF56F9" w:rsidP="00E525C7" w:rsidRDefault="00AF56F9" w14:paraId="7D214D5B" w14:textId="71D3E4B2">
            <w:pPr>
              <w:pStyle w:val="Title"/>
              <w:jc w:val="left"/>
              <w:rPr>
                <w:rFonts w:asciiTheme="minorHAnsi" w:hAnsiTheme="minorHAnsi"/>
                <w:b w:val="0"/>
                <w:sz w:val="20"/>
              </w:rPr>
            </w:pPr>
            <w:r w:rsidRPr="00721BF0">
              <w:rPr>
                <w:rFonts w:asciiTheme="minorHAnsi" w:hAnsiTheme="minorHAnsi"/>
                <w:sz w:val="20"/>
              </w:rPr>
              <w:t>Due for Review:</w:t>
            </w:r>
            <w:r w:rsidRPr="00721BF0">
              <w:rPr>
                <w:rFonts w:asciiTheme="minorHAnsi" w:hAnsiTheme="minorHAnsi"/>
                <w:b w:val="0"/>
                <w:sz w:val="20"/>
              </w:rPr>
              <w:t xml:space="preserve">  </w:t>
            </w:r>
            <w:r w:rsidR="00E659A3">
              <w:rPr>
                <w:rFonts w:asciiTheme="minorHAnsi" w:hAnsiTheme="minorHAnsi"/>
                <w:b w:val="0"/>
                <w:sz w:val="20"/>
              </w:rPr>
              <w:t>23/12/2025</w:t>
            </w:r>
          </w:p>
        </w:tc>
      </w:tr>
      <w:tr w:rsidRPr="00721BF0" w:rsidR="00CD0750" w:rsidTr="00A65F20" w14:paraId="0A098AAF" w14:textId="77777777">
        <w:trPr>
          <w:trHeight w:val="344"/>
        </w:trPr>
        <w:tc>
          <w:tcPr>
            <w:tcW w:w="5386" w:type="dxa"/>
            <w:tcBorders>
              <w:bottom w:val="single" w:color="auto" w:sz="4" w:space="0"/>
            </w:tcBorders>
            <w:vAlign w:val="center"/>
          </w:tcPr>
          <w:p w:rsidRPr="00721BF0" w:rsidR="00AF56F9" w:rsidP="00E525C7" w:rsidRDefault="00AF56F9" w14:paraId="2DE0C017" w14:textId="6B9BEDD6">
            <w:pPr>
              <w:rPr>
                <w:rFonts w:asciiTheme="minorHAnsi" w:hAnsiTheme="minorHAnsi"/>
                <w:b/>
                <w:sz w:val="20"/>
              </w:rPr>
            </w:pPr>
            <w:r w:rsidRPr="00721BF0">
              <w:rPr>
                <w:rFonts w:asciiTheme="minorHAnsi" w:hAnsiTheme="minorHAnsi"/>
                <w:b/>
                <w:sz w:val="20"/>
              </w:rPr>
              <w:t xml:space="preserve">Approval by: </w:t>
            </w:r>
            <w:r w:rsidR="00E659A3">
              <w:rPr>
                <w:rFonts w:asciiTheme="minorHAnsi" w:hAnsiTheme="minorHAnsi"/>
                <w:b/>
                <w:sz w:val="20"/>
              </w:rPr>
              <w:t>DTC</w:t>
            </w:r>
          </w:p>
        </w:tc>
        <w:tc>
          <w:tcPr>
            <w:tcW w:w="5246" w:type="dxa"/>
            <w:tcBorders>
              <w:bottom w:val="single" w:color="auto" w:sz="4" w:space="0"/>
            </w:tcBorders>
            <w:vAlign w:val="center"/>
          </w:tcPr>
          <w:p w:rsidRPr="00721BF0" w:rsidR="00AF56F9" w:rsidP="00E525C7" w:rsidRDefault="00AF56F9" w14:paraId="2235EE74" w14:textId="3E652546">
            <w:pPr>
              <w:pStyle w:val="Title"/>
              <w:jc w:val="left"/>
              <w:rPr>
                <w:rFonts w:asciiTheme="minorHAnsi" w:hAnsiTheme="minorHAnsi"/>
                <w:sz w:val="20"/>
              </w:rPr>
            </w:pPr>
            <w:r w:rsidRPr="00721BF0">
              <w:rPr>
                <w:rFonts w:asciiTheme="minorHAnsi" w:hAnsiTheme="minorHAnsi"/>
                <w:sz w:val="20"/>
              </w:rPr>
              <w:t>Approval Date:</w:t>
            </w:r>
            <w:r w:rsidR="00260BC8">
              <w:rPr>
                <w:rFonts w:asciiTheme="minorHAnsi" w:hAnsiTheme="minorHAnsi"/>
                <w:sz w:val="20"/>
              </w:rPr>
              <w:t>APRIL 2021</w:t>
            </w:r>
          </w:p>
        </w:tc>
      </w:tr>
    </w:tbl>
    <w:p w:rsidRPr="00721BF0" w:rsidR="00AF56F9" w:rsidP="00AF56F9" w:rsidRDefault="00AF56F9" w14:paraId="2B1A0FB0" w14:textId="77777777">
      <w:pPr>
        <w:rPr>
          <w:rFonts w:cs="Arial" w:asciiTheme="minorHAnsi" w:hAnsiTheme="minorHAnsi"/>
        </w:rPr>
      </w:pPr>
    </w:p>
    <w:p w:rsidRPr="00E25790" w:rsidR="00115F48" w:rsidP="006F0321" w:rsidRDefault="00115F48" w14:paraId="34E369E6" w14:textId="77777777"/>
    <w:p w:rsidRPr="00E25790" w:rsidR="00115F48" w:rsidP="006F0321" w:rsidRDefault="00115F48" w14:paraId="136263BD" w14:textId="77777777"/>
    <w:p w:rsidRPr="00E25790" w:rsidR="00D33FE0" w:rsidP="006F0321" w:rsidRDefault="00115F48" w14:paraId="40991291"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403C02" w:rsidTr="00A26E96" w14:paraId="3F9D711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403C02" w:rsidP="009469DB" w:rsidRDefault="00403C02" w14:paraId="4B6A1466" w14:textId="77777777">
            <w:pPr>
              <w:pStyle w:val="Heading1"/>
            </w:pPr>
            <w:bookmarkStart w:name="_Toc474506218" w:id="334"/>
            <w:bookmarkStart w:name="_Toc38106867" w:id="335"/>
            <w:bookmarkStart w:name="_Toc75339993" w:id="336"/>
            <w:r w:rsidRPr="00E25790">
              <w:lastRenderedPageBreak/>
              <w:t>Infloran</w:t>
            </w:r>
            <w:r w:rsidRPr="00E25790">
              <w:rPr>
                <w:rFonts w:cs="Arial"/>
              </w:rPr>
              <w:t>®</w:t>
            </w:r>
            <w:bookmarkEnd w:id="334"/>
            <w:bookmarkEnd w:id="335"/>
            <w:bookmarkEnd w:id="336"/>
            <w:r w:rsidRPr="00E25790">
              <w:fldChar w:fldCharType="begin"/>
            </w:r>
            <w:r w:rsidRPr="00E25790">
              <w:instrText>tc "Suxamethonium_Chloride_(Scoline)" \l 0</w:instrText>
            </w:r>
            <w:r w:rsidRPr="00E25790">
              <w:fldChar w:fldCharType="end"/>
            </w:r>
          </w:p>
        </w:tc>
      </w:tr>
      <w:tr w:rsidRPr="00E25790" w:rsidR="00403C02" w:rsidTr="00A26E96" w14:paraId="57ECC1A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403C02" w:rsidP="006F0321" w:rsidRDefault="00403C02" w14:paraId="16081F47" w14:textId="3FCBF284">
            <w:r w:rsidRPr="00E25790">
              <w:t>Revision Date</w:t>
            </w:r>
            <w:r w:rsidRPr="00E25790">
              <w:rPr>
                <w:b/>
              </w:rPr>
              <w:t xml:space="preserve"> : </w:t>
            </w:r>
            <w:r w:rsidR="00DF1BA2">
              <w:rPr>
                <w:b/>
              </w:rPr>
              <w:t>16-5-2019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403C02" w:rsidP="006F0321" w:rsidRDefault="00403C02" w14:paraId="50A4A8CE" w14:textId="77777777">
            <w:r w:rsidRPr="00E25790">
              <w:t>Approved: TC/KOH</w:t>
            </w:r>
          </w:p>
        </w:tc>
      </w:tr>
    </w:tbl>
    <w:p w:rsidR="00403C02" w:rsidP="006F0321" w:rsidRDefault="00403C02" w14:paraId="30CDDCD7" w14:textId="77777777"/>
    <w:tbl>
      <w:tblPr>
        <w:tblW w:w="52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7514"/>
      </w:tblGrid>
      <w:tr w:rsidRPr="00E00280" w:rsidR="00043BF0" w:rsidTr="0059793A" w14:paraId="7145ED3A" w14:textId="77777777">
        <w:trPr>
          <w:trHeight w:val="70"/>
        </w:trPr>
        <w:tc>
          <w:tcPr>
            <w:tcW w:w="1043" w:type="pct"/>
          </w:tcPr>
          <w:p w:rsidRPr="00E00280" w:rsidR="00043BF0" w:rsidP="0059793A" w:rsidRDefault="00043BF0" w14:paraId="643704A9" w14:textId="77777777">
            <w:pPr>
              <w:pStyle w:val="BodyText"/>
              <w:tabs>
                <w:tab w:val="center" w:pos="1476"/>
              </w:tabs>
              <w:rPr>
                <w:rFonts w:cs="Arial" w:asciiTheme="minorHAnsi" w:hAnsiTheme="minorHAnsi"/>
                <w:b/>
                <w:sz w:val="20"/>
                <w:lang w:val="en-AU"/>
              </w:rPr>
            </w:pPr>
            <w:r>
              <w:rPr>
                <w:rFonts w:cs="Arial" w:asciiTheme="minorHAnsi" w:hAnsiTheme="minorHAnsi"/>
                <w:b/>
                <w:sz w:val="20"/>
                <w:lang w:val="en-AU"/>
              </w:rPr>
              <w:t>Alert</w:t>
            </w:r>
            <w:r w:rsidRPr="00E00280">
              <w:rPr>
                <w:rFonts w:cs="Arial" w:asciiTheme="minorHAnsi" w:hAnsiTheme="minorHAnsi"/>
                <w:b/>
                <w:sz w:val="20"/>
                <w:lang w:val="en-AU"/>
              </w:rPr>
              <w:t xml:space="preserve"> </w:t>
            </w:r>
          </w:p>
        </w:tc>
        <w:tc>
          <w:tcPr>
            <w:tcW w:w="3957" w:type="pct"/>
          </w:tcPr>
          <w:p w:rsidRPr="00E00280" w:rsidR="00043BF0" w:rsidP="0059793A" w:rsidRDefault="00043BF0" w14:paraId="2DBAC5E0" w14:textId="77777777">
            <w:pPr>
              <w:pStyle w:val="BodyText"/>
              <w:rPr>
                <w:rFonts w:cs="Arial" w:asciiTheme="minorHAnsi" w:hAnsiTheme="minorHAnsi"/>
                <w:sz w:val="20"/>
                <w:lang w:val="en-AU"/>
              </w:rPr>
            </w:pPr>
          </w:p>
        </w:tc>
      </w:tr>
      <w:tr w:rsidRPr="00E00280" w:rsidR="00043BF0" w:rsidTr="0059793A" w14:paraId="5A33E976" w14:textId="77777777">
        <w:trPr>
          <w:trHeight w:val="553"/>
        </w:trPr>
        <w:tc>
          <w:tcPr>
            <w:tcW w:w="1043" w:type="pct"/>
          </w:tcPr>
          <w:p w:rsidRPr="00E00280" w:rsidR="00043BF0" w:rsidP="0059793A" w:rsidRDefault="00043BF0" w14:paraId="22AAB585"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Indication                         </w:t>
            </w:r>
          </w:p>
          <w:p w:rsidRPr="00E00280" w:rsidR="00043BF0" w:rsidP="0059793A" w:rsidRDefault="00043BF0" w14:paraId="0A027514" w14:textId="77777777">
            <w:pPr>
              <w:pStyle w:val="BodyText"/>
              <w:rPr>
                <w:rFonts w:cs="Arial" w:asciiTheme="minorHAnsi" w:hAnsiTheme="minorHAnsi"/>
                <w:sz w:val="20"/>
                <w:lang w:val="en-AU"/>
              </w:rPr>
            </w:pPr>
          </w:p>
        </w:tc>
        <w:tc>
          <w:tcPr>
            <w:tcW w:w="3957" w:type="pct"/>
          </w:tcPr>
          <w:p w:rsidRPr="00E00280" w:rsidR="00043BF0" w:rsidP="0059793A" w:rsidRDefault="00043BF0" w14:paraId="1B5237DD" w14:textId="33EAFFBE">
            <w:pPr>
              <w:rPr>
                <w:rFonts w:asciiTheme="minorHAnsi" w:hAnsiTheme="minorHAnsi"/>
                <w:sz w:val="20"/>
              </w:rPr>
            </w:pPr>
            <w:r w:rsidRPr="00E00280">
              <w:rPr>
                <w:rFonts w:asciiTheme="minorHAnsi" w:hAnsiTheme="minorHAnsi"/>
                <w:sz w:val="20"/>
              </w:rPr>
              <w:t xml:space="preserve">1) </w:t>
            </w:r>
            <w:r w:rsidRPr="00043BF0">
              <w:rPr>
                <w:rFonts w:asciiTheme="minorHAnsi" w:hAnsiTheme="minorHAnsi"/>
                <w:color w:val="1F4E79" w:themeColor="accent5" w:themeShade="80"/>
                <w:sz w:val="20"/>
              </w:rPr>
              <w:t>Preterm neonates &lt; 34 weeks gestation or &lt; 1800 g birth weight</w:t>
            </w:r>
            <w:r>
              <w:rPr>
                <w:rFonts w:asciiTheme="minorHAnsi" w:hAnsiTheme="minorHAnsi"/>
                <w:sz w:val="20"/>
              </w:rPr>
              <w:t>: For prevention of necrotising e</w:t>
            </w:r>
            <w:r w:rsidRPr="00E00280">
              <w:rPr>
                <w:rFonts w:asciiTheme="minorHAnsi" w:hAnsiTheme="minorHAnsi"/>
                <w:sz w:val="20"/>
              </w:rPr>
              <w:t>nterocolitis (NEC), late</w:t>
            </w:r>
            <w:r>
              <w:rPr>
                <w:rFonts w:asciiTheme="minorHAnsi" w:hAnsiTheme="minorHAnsi"/>
                <w:sz w:val="20"/>
              </w:rPr>
              <w:t>-</w:t>
            </w:r>
            <w:r w:rsidRPr="00E00280">
              <w:rPr>
                <w:rFonts w:asciiTheme="minorHAnsi" w:hAnsiTheme="minorHAnsi"/>
                <w:sz w:val="20"/>
              </w:rPr>
              <w:t>onset sepsis, mortality and reduction in time to reach full feeds.</w:t>
            </w:r>
            <w:r w:rsidRPr="00E00280">
              <w:rPr>
                <w:rFonts w:asciiTheme="minorHAnsi" w:hAnsiTheme="minorHAnsi"/>
                <w:noProof/>
                <w:sz w:val="20"/>
              </w:rPr>
              <w:t>[1-3]</w:t>
            </w:r>
            <w:r w:rsidRPr="00E00280">
              <w:rPr>
                <w:rFonts w:asciiTheme="minorHAnsi" w:hAnsiTheme="minorHAnsi"/>
                <w:sz w:val="20"/>
              </w:rPr>
              <w:t xml:space="preserve"> </w:t>
            </w:r>
          </w:p>
          <w:p w:rsidRPr="00E00280" w:rsidR="00043BF0" w:rsidP="0059793A" w:rsidRDefault="00043BF0" w14:paraId="3C35EA95" w14:textId="77777777">
            <w:pPr>
              <w:rPr>
                <w:rFonts w:asciiTheme="minorHAnsi" w:hAnsiTheme="minorHAnsi"/>
                <w:sz w:val="20"/>
              </w:rPr>
            </w:pPr>
            <w:r w:rsidRPr="00E00280">
              <w:rPr>
                <w:rFonts w:asciiTheme="minorHAnsi" w:hAnsiTheme="minorHAnsi"/>
                <w:sz w:val="20"/>
              </w:rPr>
              <w:t>2) Small for gestational age</w:t>
            </w:r>
            <w:r>
              <w:rPr>
                <w:rFonts w:asciiTheme="minorHAnsi" w:hAnsiTheme="minorHAnsi"/>
                <w:sz w:val="20"/>
              </w:rPr>
              <w:t>,</w:t>
            </w:r>
            <w:r w:rsidRPr="00E00280">
              <w:rPr>
                <w:rFonts w:asciiTheme="minorHAnsi" w:hAnsiTheme="minorHAnsi"/>
                <w:sz w:val="20"/>
              </w:rPr>
              <w:t xml:space="preserve"> preterm neonates with abnormal umbilical artery Doppler</w:t>
            </w:r>
            <w:r>
              <w:rPr>
                <w:rFonts w:asciiTheme="minorHAnsi" w:hAnsiTheme="minorHAnsi"/>
                <w:sz w:val="20"/>
              </w:rPr>
              <w:t xml:space="preserve"> for </w:t>
            </w:r>
            <w:r w:rsidRPr="00E00280">
              <w:rPr>
                <w:rFonts w:asciiTheme="minorHAnsi" w:hAnsiTheme="minorHAnsi"/>
                <w:sz w:val="20"/>
              </w:rPr>
              <w:t xml:space="preserve">prevention of NEC and reduction in time to reach full feeds. </w:t>
            </w:r>
            <w:r w:rsidRPr="00E00280">
              <w:rPr>
                <w:rFonts w:asciiTheme="minorHAnsi" w:hAnsiTheme="minorHAnsi"/>
                <w:noProof/>
                <w:sz w:val="20"/>
              </w:rPr>
              <w:t>[1, 4]</w:t>
            </w:r>
          </w:p>
          <w:p w:rsidRPr="00E00280" w:rsidR="00043BF0" w:rsidP="0059793A" w:rsidRDefault="00043BF0" w14:paraId="7B753309" w14:textId="77777777">
            <w:pPr>
              <w:rPr>
                <w:rFonts w:asciiTheme="minorHAnsi" w:hAnsiTheme="minorHAnsi"/>
                <w:sz w:val="20"/>
              </w:rPr>
            </w:pPr>
            <w:r w:rsidRPr="00E00280">
              <w:rPr>
                <w:rFonts w:asciiTheme="minorHAnsi" w:hAnsiTheme="minorHAnsi"/>
                <w:sz w:val="20"/>
              </w:rPr>
              <w:t xml:space="preserve">3) The safety and efficacy for other populations of infants at risk of </w:t>
            </w:r>
            <w:r>
              <w:rPr>
                <w:rFonts w:asciiTheme="minorHAnsi" w:hAnsiTheme="minorHAnsi"/>
                <w:sz w:val="20"/>
              </w:rPr>
              <w:t>NEC</w:t>
            </w:r>
            <w:r w:rsidRPr="00E00280">
              <w:rPr>
                <w:rFonts w:asciiTheme="minorHAnsi" w:hAnsiTheme="minorHAnsi"/>
                <w:sz w:val="20"/>
              </w:rPr>
              <w:t>, sepsis or feed intolerance including infants with asphyxia, undergoing exchange transfusion, abdominal surgical conditions and congenital heart disease has not been assessed in clinical studies.</w:t>
            </w:r>
          </w:p>
        </w:tc>
      </w:tr>
      <w:tr w:rsidRPr="00E00280" w:rsidR="00043BF0" w:rsidTr="0059793A" w14:paraId="4A562830" w14:textId="77777777">
        <w:trPr>
          <w:trHeight w:val="472"/>
        </w:trPr>
        <w:tc>
          <w:tcPr>
            <w:tcW w:w="1043" w:type="pct"/>
          </w:tcPr>
          <w:p w:rsidRPr="00E00280" w:rsidR="00043BF0" w:rsidP="0059793A" w:rsidRDefault="00043BF0" w14:paraId="14904430"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Action</w:t>
            </w:r>
          </w:p>
        </w:tc>
        <w:tc>
          <w:tcPr>
            <w:tcW w:w="3957" w:type="pct"/>
          </w:tcPr>
          <w:p w:rsidRPr="00E00280" w:rsidR="00043BF0" w:rsidP="0059793A" w:rsidRDefault="00043BF0" w14:paraId="7D94A3A0" w14:textId="77777777">
            <w:pPr>
              <w:rPr>
                <w:rFonts w:cs="Arial" w:asciiTheme="minorHAnsi" w:hAnsiTheme="minorHAnsi"/>
                <w:sz w:val="20"/>
              </w:rPr>
            </w:pPr>
            <w:r w:rsidRPr="00E00280">
              <w:rPr>
                <w:rFonts w:cs="Arial" w:asciiTheme="minorHAnsi" w:hAnsiTheme="minorHAnsi"/>
                <w:sz w:val="20"/>
              </w:rPr>
              <w:t xml:space="preserve">Probiotics promote colonisation of the gut with beneficial organisms, preventing colonisation by pathogens, improving the maturity and function of gut mucosal barrier, and modulating the immune system (e.g. TLR4 receptor, nuclear factor-kB and inflammatory cytokines) to the advantage of the host. </w:t>
            </w:r>
            <w:r w:rsidRPr="00E00280">
              <w:rPr>
                <w:rFonts w:cs="Arial" w:asciiTheme="minorHAnsi" w:hAnsiTheme="minorHAnsi"/>
                <w:noProof/>
                <w:sz w:val="20"/>
              </w:rPr>
              <w:t>[5]</w:t>
            </w:r>
          </w:p>
        </w:tc>
      </w:tr>
      <w:tr w:rsidRPr="00E00280" w:rsidR="00043BF0" w:rsidTr="0059793A" w14:paraId="148A0366" w14:textId="77777777">
        <w:trPr>
          <w:trHeight w:val="266"/>
        </w:trPr>
        <w:tc>
          <w:tcPr>
            <w:tcW w:w="1043" w:type="pct"/>
          </w:tcPr>
          <w:p w:rsidRPr="00E00280" w:rsidR="00043BF0" w:rsidP="0059793A" w:rsidRDefault="00043BF0" w14:paraId="6650850A" w14:textId="77777777">
            <w:pPr>
              <w:pStyle w:val="BodyText"/>
              <w:rPr>
                <w:rFonts w:cs="Arial" w:asciiTheme="minorHAnsi" w:hAnsiTheme="minorHAnsi"/>
                <w:sz w:val="20"/>
                <w:lang w:val="en-AU"/>
              </w:rPr>
            </w:pPr>
            <w:r w:rsidRPr="00E00280">
              <w:rPr>
                <w:rFonts w:cs="Arial" w:asciiTheme="minorHAnsi" w:hAnsiTheme="minorHAnsi"/>
                <w:b/>
                <w:bCs/>
                <w:sz w:val="20"/>
                <w:lang w:val="en-AU"/>
              </w:rPr>
              <w:t xml:space="preserve">Drug Type                                   </w:t>
            </w:r>
          </w:p>
        </w:tc>
        <w:tc>
          <w:tcPr>
            <w:tcW w:w="3957" w:type="pct"/>
          </w:tcPr>
          <w:p w:rsidRPr="00E00280" w:rsidR="00043BF0" w:rsidP="0059793A" w:rsidRDefault="00043BF0" w14:paraId="3A0CB50A" w14:textId="77777777">
            <w:pPr>
              <w:pStyle w:val="BodyText"/>
              <w:rPr>
                <w:rFonts w:cs="Arial" w:asciiTheme="minorHAnsi" w:hAnsiTheme="minorHAnsi"/>
                <w:sz w:val="20"/>
                <w:lang w:val="en-AU"/>
              </w:rPr>
            </w:pPr>
            <w:r w:rsidRPr="00E00280">
              <w:rPr>
                <w:rFonts w:cs="Arial" w:asciiTheme="minorHAnsi" w:hAnsiTheme="minorHAnsi"/>
                <w:sz w:val="20"/>
                <w:lang w:val="en-AU"/>
              </w:rPr>
              <w:t>Probiotic bacteria</w:t>
            </w:r>
          </w:p>
        </w:tc>
      </w:tr>
      <w:tr w:rsidRPr="00E00280" w:rsidR="00043BF0" w:rsidTr="0059793A" w14:paraId="2778C983" w14:textId="77777777">
        <w:trPr>
          <w:trHeight w:val="193"/>
        </w:trPr>
        <w:tc>
          <w:tcPr>
            <w:tcW w:w="1043" w:type="pct"/>
          </w:tcPr>
          <w:p w:rsidRPr="00E00280" w:rsidR="00043BF0" w:rsidP="0059793A" w:rsidRDefault="00043BF0" w14:paraId="0DB10D77"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Trade Name              </w:t>
            </w:r>
          </w:p>
        </w:tc>
        <w:tc>
          <w:tcPr>
            <w:tcW w:w="3957" w:type="pct"/>
          </w:tcPr>
          <w:p w:rsidRPr="00E00280" w:rsidR="00043BF0" w:rsidP="0059793A" w:rsidRDefault="00043BF0" w14:paraId="5C5E448D" w14:textId="77777777">
            <w:pPr>
              <w:pStyle w:val="BodyText"/>
              <w:rPr>
                <w:rFonts w:cs="Arial" w:asciiTheme="minorHAnsi" w:hAnsiTheme="minorHAnsi"/>
                <w:sz w:val="20"/>
                <w:lang w:val="en-AU"/>
              </w:rPr>
            </w:pPr>
            <w:r w:rsidRPr="00E00280">
              <w:rPr>
                <w:rFonts w:cs="Arial" w:asciiTheme="minorHAnsi" w:hAnsiTheme="minorHAnsi"/>
                <w:sz w:val="20"/>
                <w:lang w:val="en-AU"/>
              </w:rPr>
              <w:t>Infloran</w:t>
            </w:r>
          </w:p>
        </w:tc>
      </w:tr>
      <w:tr w:rsidRPr="00E00280" w:rsidR="00043BF0" w:rsidTr="0059793A" w14:paraId="7AB7BE7C" w14:textId="77777777">
        <w:trPr>
          <w:trHeight w:val="403"/>
        </w:trPr>
        <w:tc>
          <w:tcPr>
            <w:tcW w:w="1043" w:type="pct"/>
          </w:tcPr>
          <w:p w:rsidRPr="00E00280" w:rsidR="00043BF0" w:rsidP="0059793A" w:rsidRDefault="00043BF0" w14:paraId="5FD77CD5"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Presentation </w:t>
            </w:r>
          </w:p>
        </w:tc>
        <w:tc>
          <w:tcPr>
            <w:tcW w:w="3957" w:type="pct"/>
          </w:tcPr>
          <w:p w:rsidRPr="00E00280" w:rsidR="00043BF0" w:rsidP="0059793A" w:rsidRDefault="00043BF0" w14:paraId="68DCD3D7" w14:textId="77777777">
            <w:pPr>
              <w:pStyle w:val="BodyText"/>
              <w:rPr>
                <w:rFonts w:cs="Arial" w:asciiTheme="minorHAnsi" w:hAnsiTheme="minorHAnsi"/>
                <w:sz w:val="20"/>
                <w:lang w:val="en-AU"/>
              </w:rPr>
            </w:pPr>
            <w:r w:rsidRPr="00E00280">
              <w:rPr>
                <w:rFonts w:cs="Arial" w:asciiTheme="minorHAnsi" w:hAnsiTheme="minorHAnsi"/>
                <w:sz w:val="20"/>
                <w:lang w:val="en-AU"/>
              </w:rPr>
              <w:t xml:space="preserve">250 mg </w:t>
            </w:r>
            <w:r>
              <w:rPr>
                <w:rFonts w:cs="Arial" w:asciiTheme="minorHAnsi" w:hAnsiTheme="minorHAnsi"/>
                <w:sz w:val="20"/>
                <w:lang w:val="en-AU"/>
              </w:rPr>
              <w:t>c</w:t>
            </w:r>
            <w:r w:rsidRPr="00E00280">
              <w:rPr>
                <w:rFonts w:cs="Arial" w:asciiTheme="minorHAnsi" w:hAnsiTheme="minorHAnsi"/>
                <w:sz w:val="20"/>
                <w:lang w:val="en-AU"/>
              </w:rPr>
              <w:t xml:space="preserve">apsule containing </w:t>
            </w:r>
            <w:r w:rsidRPr="00F450C3">
              <w:rPr>
                <w:rFonts w:cs="Arial" w:asciiTheme="minorHAnsi" w:hAnsiTheme="minorHAnsi"/>
                <w:i/>
                <w:sz w:val="20"/>
                <w:lang w:val="en-AU"/>
              </w:rPr>
              <w:t>Lactobacillus</w:t>
            </w:r>
            <w:r w:rsidRPr="00E00280">
              <w:rPr>
                <w:rFonts w:cs="Arial" w:asciiTheme="minorHAnsi" w:hAnsiTheme="minorHAnsi"/>
                <w:i/>
                <w:sz w:val="20"/>
                <w:lang w:val="en-AU"/>
              </w:rPr>
              <w:t xml:space="preserve"> acidophilus</w:t>
            </w:r>
            <w:r w:rsidRPr="00E00280">
              <w:rPr>
                <w:rFonts w:cs="Arial" w:asciiTheme="minorHAnsi" w:hAnsiTheme="minorHAnsi"/>
                <w:sz w:val="20"/>
                <w:lang w:val="en-AU"/>
              </w:rPr>
              <w:t xml:space="preserve"> [10</w:t>
            </w:r>
            <w:r w:rsidRPr="00E00280">
              <w:rPr>
                <w:rFonts w:cs="Arial" w:asciiTheme="minorHAnsi" w:hAnsiTheme="minorHAnsi"/>
                <w:sz w:val="20"/>
                <w:vertAlign w:val="superscript"/>
                <w:lang w:val="en-AU"/>
              </w:rPr>
              <w:t>9</w:t>
            </w:r>
            <w:r w:rsidRPr="00E00280">
              <w:rPr>
                <w:rFonts w:cs="Arial" w:asciiTheme="minorHAnsi" w:hAnsiTheme="minorHAnsi"/>
                <w:sz w:val="20"/>
                <w:lang w:val="en-AU"/>
              </w:rPr>
              <w:t xml:space="preserve"> colony-forming units, NCDO 1748; National Collection of Dairy Organisms] and </w:t>
            </w:r>
            <w:r w:rsidRPr="00F450C3">
              <w:rPr>
                <w:rFonts w:cs="Arial" w:asciiTheme="minorHAnsi" w:hAnsiTheme="minorHAnsi"/>
                <w:i/>
                <w:sz w:val="20"/>
                <w:lang w:val="en-AU"/>
              </w:rPr>
              <w:t>Bifidobacterium bifidum</w:t>
            </w:r>
            <w:r w:rsidRPr="00E00280">
              <w:rPr>
                <w:rFonts w:cs="Arial" w:asciiTheme="minorHAnsi" w:hAnsiTheme="minorHAnsi"/>
                <w:sz w:val="20"/>
                <w:lang w:val="en-AU"/>
              </w:rPr>
              <w:t xml:space="preserve"> [10</w:t>
            </w:r>
            <w:r w:rsidRPr="00E00280">
              <w:rPr>
                <w:rFonts w:cs="Arial" w:asciiTheme="minorHAnsi" w:hAnsiTheme="minorHAnsi"/>
                <w:sz w:val="20"/>
                <w:vertAlign w:val="superscript"/>
                <w:lang w:val="en-AU"/>
              </w:rPr>
              <w:t>9</w:t>
            </w:r>
            <w:r w:rsidRPr="00E00280">
              <w:rPr>
                <w:rFonts w:cs="Arial" w:asciiTheme="minorHAnsi" w:hAnsiTheme="minorHAnsi"/>
                <w:sz w:val="20"/>
                <w:lang w:val="en-AU"/>
              </w:rPr>
              <w:t xml:space="preserve"> colony-forming units, NCDO 1453; National Collection of Dairy Organisms, Reading, United Kingdom]; Laboratorio Farmaceutico, Italy. </w:t>
            </w:r>
            <w:r w:rsidRPr="00E00280">
              <w:rPr>
                <w:rFonts w:cs="Arial" w:asciiTheme="minorHAnsi" w:hAnsiTheme="minorHAnsi"/>
                <w:noProof/>
                <w:sz w:val="20"/>
                <w:lang w:val="en-AU"/>
              </w:rPr>
              <w:t>[6, 7]</w:t>
            </w:r>
          </w:p>
        </w:tc>
      </w:tr>
      <w:tr w:rsidRPr="00E00280" w:rsidR="00043BF0" w:rsidTr="0059793A" w14:paraId="01E3FF04" w14:textId="77777777">
        <w:trPr>
          <w:trHeight w:val="780"/>
        </w:trPr>
        <w:tc>
          <w:tcPr>
            <w:tcW w:w="1043" w:type="pct"/>
          </w:tcPr>
          <w:p w:rsidRPr="00E00280" w:rsidR="00043BF0" w:rsidP="0059793A" w:rsidRDefault="00043BF0" w14:paraId="7613A403"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Dosage/Interval                           </w:t>
            </w:r>
          </w:p>
          <w:p w:rsidRPr="00E00280" w:rsidR="00043BF0" w:rsidP="0059793A" w:rsidRDefault="00043BF0" w14:paraId="6A8808CA" w14:textId="77777777">
            <w:pPr>
              <w:pStyle w:val="BodyText"/>
              <w:rPr>
                <w:rFonts w:cs="Arial" w:asciiTheme="minorHAnsi" w:hAnsiTheme="minorHAnsi"/>
                <w:sz w:val="20"/>
                <w:lang w:val="en-AU"/>
              </w:rPr>
            </w:pPr>
          </w:p>
        </w:tc>
        <w:tc>
          <w:tcPr>
            <w:tcW w:w="3957" w:type="pct"/>
          </w:tcPr>
          <w:p w:rsidRPr="00E00280" w:rsidR="00043BF0" w:rsidP="0059793A" w:rsidRDefault="00043BF0" w14:paraId="7FC61767" w14:textId="77777777">
            <w:pPr>
              <w:pStyle w:val="BodyText"/>
              <w:rPr>
                <w:rFonts w:asciiTheme="minorHAnsi" w:hAnsiTheme="minorHAnsi"/>
                <w:sz w:val="20"/>
                <w:lang w:val="en-AU"/>
              </w:rPr>
            </w:pPr>
            <w:r w:rsidRPr="00E00280">
              <w:rPr>
                <w:rFonts w:asciiTheme="minorHAnsi" w:hAnsiTheme="minorHAnsi"/>
                <w:sz w:val="20"/>
                <w:lang w:val="en-AU"/>
              </w:rPr>
              <w:t xml:space="preserve">Commence the dose soon after birth irrespective of the feeds. </w:t>
            </w:r>
          </w:p>
          <w:p w:rsidRPr="00E00280" w:rsidR="00043BF0" w:rsidP="0059793A" w:rsidRDefault="00043BF0" w14:paraId="6D7CCB71" w14:textId="77777777">
            <w:pPr>
              <w:pStyle w:val="BodyText"/>
              <w:rPr>
                <w:rFonts w:asciiTheme="minorHAnsi" w:hAnsiTheme="minorHAnsi"/>
                <w:sz w:val="20"/>
                <w:lang w:val="en-AU"/>
              </w:rPr>
            </w:pPr>
          </w:p>
          <w:p w:rsidRPr="00E00280" w:rsidR="00043BF0" w:rsidP="0059793A" w:rsidRDefault="00043BF0" w14:paraId="6795A629" w14:textId="77777777">
            <w:pPr>
              <w:pStyle w:val="BodyText"/>
              <w:rPr>
                <w:rFonts w:asciiTheme="minorHAnsi" w:hAnsiTheme="minorHAnsi"/>
                <w:sz w:val="20"/>
                <w:lang w:val="en-AU"/>
              </w:rPr>
            </w:pPr>
            <w:r w:rsidRPr="00E00280">
              <w:rPr>
                <w:rFonts w:asciiTheme="minorHAnsi" w:hAnsiTheme="minorHAnsi"/>
                <w:sz w:val="20"/>
                <w:lang w:val="en-AU"/>
              </w:rPr>
              <w:t>Birthweight &lt;</w:t>
            </w:r>
            <w:r>
              <w:rPr>
                <w:rFonts w:asciiTheme="minorHAnsi" w:hAnsiTheme="minorHAnsi"/>
                <w:sz w:val="20"/>
                <w:lang w:val="en-AU"/>
              </w:rPr>
              <w:t xml:space="preserve"> </w:t>
            </w:r>
            <w:r w:rsidRPr="00E00280">
              <w:rPr>
                <w:rFonts w:asciiTheme="minorHAnsi" w:hAnsiTheme="minorHAnsi"/>
                <w:sz w:val="20"/>
                <w:lang w:val="en-AU"/>
              </w:rPr>
              <w:t>1 kg: Commence with ½ capsule (125 mg) daily until neonate is on 40</w:t>
            </w:r>
            <w:r>
              <w:rPr>
                <w:rFonts w:asciiTheme="minorHAnsi" w:hAnsiTheme="minorHAnsi"/>
                <w:sz w:val="20"/>
                <w:lang w:val="en-AU"/>
              </w:rPr>
              <w:t> mL</w:t>
            </w:r>
            <w:r w:rsidRPr="00E00280">
              <w:rPr>
                <w:rFonts w:asciiTheme="minorHAnsi" w:hAnsiTheme="minorHAnsi"/>
                <w:sz w:val="20"/>
                <w:lang w:val="en-AU"/>
              </w:rPr>
              <w:t>/kg/day  of oral feeds and then change to 1 capsule daily until 34</w:t>
            </w:r>
            <w:r>
              <w:rPr>
                <w:rFonts w:asciiTheme="minorHAnsi" w:hAnsiTheme="minorHAnsi"/>
                <w:sz w:val="20"/>
                <w:lang w:val="en-AU"/>
              </w:rPr>
              <w:t>–</w:t>
            </w:r>
            <w:r w:rsidRPr="00E00280">
              <w:rPr>
                <w:rFonts w:asciiTheme="minorHAnsi" w:hAnsiTheme="minorHAnsi"/>
                <w:sz w:val="20"/>
                <w:lang w:val="en-AU"/>
              </w:rPr>
              <w:t>36 weeks or considered no longer at risk of NEC.</w:t>
            </w:r>
          </w:p>
          <w:p w:rsidRPr="00E00280" w:rsidR="00043BF0" w:rsidP="0059793A" w:rsidRDefault="00043BF0" w14:paraId="73145353" w14:textId="77777777">
            <w:pPr>
              <w:pStyle w:val="BodyText"/>
              <w:rPr>
                <w:rFonts w:asciiTheme="minorHAnsi" w:hAnsiTheme="minorHAnsi"/>
                <w:sz w:val="20"/>
                <w:lang w:val="en-AU"/>
              </w:rPr>
            </w:pPr>
          </w:p>
          <w:p w:rsidRPr="00E00280" w:rsidR="00043BF0" w:rsidP="0059793A" w:rsidRDefault="00043BF0" w14:paraId="6DCD8E96" w14:textId="77777777">
            <w:pPr>
              <w:pStyle w:val="BodyText"/>
              <w:rPr>
                <w:rFonts w:asciiTheme="minorHAnsi" w:hAnsiTheme="minorHAnsi"/>
                <w:sz w:val="20"/>
                <w:lang w:val="en-AU"/>
              </w:rPr>
            </w:pPr>
            <w:r w:rsidRPr="00E00280">
              <w:rPr>
                <w:rFonts w:asciiTheme="minorHAnsi" w:hAnsiTheme="minorHAnsi"/>
                <w:sz w:val="20"/>
                <w:lang w:val="en-AU"/>
              </w:rPr>
              <w:t>Birthweight ≥</w:t>
            </w:r>
            <w:r>
              <w:rPr>
                <w:rFonts w:asciiTheme="minorHAnsi" w:hAnsiTheme="minorHAnsi"/>
                <w:sz w:val="20"/>
                <w:lang w:val="en-AU"/>
              </w:rPr>
              <w:t xml:space="preserve"> </w:t>
            </w:r>
            <w:r w:rsidRPr="00E00280">
              <w:rPr>
                <w:rFonts w:asciiTheme="minorHAnsi" w:hAnsiTheme="minorHAnsi"/>
                <w:sz w:val="20"/>
                <w:lang w:val="en-AU"/>
              </w:rPr>
              <w:t>1 kg: Commence 1 capsule (250 mg) daily and continue until 34</w:t>
            </w:r>
            <w:r>
              <w:rPr>
                <w:rFonts w:asciiTheme="minorHAnsi" w:hAnsiTheme="minorHAnsi"/>
                <w:sz w:val="20"/>
                <w:lang w:val="en-AU"/>
              </w:rPr>
              <w:t>–</w:t>
            </w:r>
            <w:r w:rsidRPr="00E00280">
              <w:rPr>
                <w:rFonts w:asciiTheme="minorHAnsi" w:hAnsiTheme="minorHAnsi"/>
                <w:sz w:val="20"/>
                <w:lang w:val="en-AU"/>
              </w:rPr>
              <w:t xml:space="preserve">36 weeks or considered no longer at risk of NEC. </w:t>
            </w:r>
          </w:p>
        </w:tc>
      </w:tr>
      <w:tr w:rsidRPr="00E00280" w:rsidR="00043BF0" w:rsidTr="0059793A" w14:paraId="0B4F301F" w14:textId="77777777">
        <w:trPr>
          <w:trHeight w:val="151"/>
        </w:trPr>
        <w:tc>
          <w:tcPr>
            <w:tcW w:w="1043" w:type="pct"/>
          </w:tcPr>
          <w:p w:rsidRPr="00E00280" w:rsidR="00043BF0" w:rsidP="0059793A" w:rsidRDefault="00043BF0" w14:paraId="22BAECEF" w14:textId="77777777">
            <w:pPr>
              <w:pStyle w:val="BodyText"/>
              <w:rPr>
                <w:rFonts w:asciiTheme="minorHAnsi" w:hAnsiTheme="minorHAnsi"/>
                <w:b/>
                <w:sz w:val="20"/>
                <w:lang w:val="en-AU"/>
              </w:rPr>
            </w:pPr>
            <w:r w:rsidRPr="00E00280">
              <w:rPr>
                <w:rFonts w:asciiTheme="minorHAnsi" w:hAnsiTheme="minorHAnsi"/>
                <w:b/>
                <w:sz w:val="20"/>
                <w:lang w:val="en-AU"/>
              </w:rPr>
              <w:t>Maximum daily dose</w:t>
            </w:r>
          </w:p>
        </w:tc>
        <w:tc>
          <w:tcPr>
            <w:tcW w:w="3957" w:type="pct"/>
          </w:tcPr>
          <w:p w:rsidRPr="00E00280" w:rsidR="00043BF0" w:rsidP="0059793A" w:rsidRDefault="00043BF0" w14:paraId="7820544E" w14:textId="77777777">
            <w:pPr>
              <w:pStyle w:val="BodyText"/>
              <w:rPr>
                <w:rFonts w:asciiTheme="minorHAnsi" w:hAnsiTheme="minorHAnsi"/>
                <w:sz w:val="20"/>
                <w:lang w:val="en-AU"/>
              </w:rPr>
            </w:pPr>
            <w:r w:rsidRPr="00E00280">
              <w:rPr>
                <w:rFonts w:asciiTheme="minorHAnsi" w:hAnsiTheme="minorHAnsi"/>
                <w:sz w:val="20"/>
                <w:lang w:val="en-AU"/>
              </w:rPr>
              <w:t>2 capsules (500 mg) daily</w:t>
            </w:r>
          </w:p>
        </w:tc>
      </w:tr>
      <w:tr w:rsidRPr="00E00280" w:rsidR="00043BF0" w:rsidTr="0059793A" w14:paraId="72EC967B" w14:textId="77777777">
        <w:trPr>
          <w:trHeight w:val="145"/>
        </w:trPr>
        <w:tc>
          <w:tcPr>
            <w:tcW w:w="1043" w:type="pct"/>
          </w:tcPr>
          <w:p w:rsidRPr="00E00280" w:rsidR="00043BF0" w:rsidP="0059793A" w:rsidRDefault="00043BF0" w14:paraId="77F5CB6F"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Route      </w:t>
            </w:r>
          </w:p>
        </w:tc>
        <w:tc>
          <w:tcPr>
            <w:tcW w:w="3957" w:type="pct"/>
          </w:tcPr>
          <w:p w:rsidRPr="00E00280" w:rsidR="00043BF0" w:rsidP="0059793A" w:rsidRDefault="00043BF0" w14:paraId="2B8A47AE" w14:textId="77777777">
            <w:pPr>
              <w:pStyle w:val="BodyText"/>
              <w:rPr>
                <w:rFonts w:cs="Arial" w:asciiTheme="minorHAnsi" w:hAnsiTheme="minorHAnsi"/>
                <w:sz w:val="20"/>
                <w:lang w:val="en-AU"/>
              </w:rPr>
            </w:pPr>
            <w:r w:rsidRPr="00E00280">
              <w:rPr>
                <w:rFonts w:cs="Arial" w:asciiTheme="minorHAnsi" w:hAnsiTheme="minorHAnsi"/>
                <w:sz w:val="20"/>
                <w:lang w:val="en-AU"/>
              </w:rPr>
              <w:t>Oral/Orogastric</w:t>
            </w:r>
          </w:p>
        </w:tc>
      </w:tr>
      <w:tr w:rsidRPr="00E00280" w:rsidR="00043BF0" w:rsidTr="0059793A" w14:paraId="34DA9ABB" w14:textId="77777777">
        <w:trPr>
          <w:trHeight w:val="292"/>
        </w:trPr>
        <w:tc>
          <w:tcPr>
            <w:tcW w:w="1043" w:type="pct"/>
          </w:tcPr>
          <w:p w:rsidRPr="00E00280" w:rsidR="00043BF0" w:rsidP="0059793A" w:rsidRDefault="00043BF0" w14:paraId="7955D654" w14:textId="77777777">
            <w:pPr>
              <w:pStyle w:val="BodyText"/>
              <w:rPr>
                <w:rFonts w:cs="Arial" w:asciiTheme="minorHAnsi" w:hAnsiTheme="minorHAnsi"/>
                <w:b/>
                <w:bCs/>
                <w:sz w:val="20"/>
                <w:highlight w:val="cyan"/>
                <w:lang w:val="en-AU"/>
              </w:rPr>
            </w:pPr>
            <w:r w:rsidRPr="00E00280">
              <w:rPr>
                <w:rFonts w:cs="Arial" w:asciiTheme="minorHAnsi" w:hAnsiTheme="minorHAnsi"/>
                <w:b/>
                <w:bCs/>
                <w:sz w:val="20"/>
                <w:lang w:val="en-AU"/>
              </w:rPr>
              <w:t xml:space="preserve">Preparation/Dilution </w:t>
            </w:r>
            <w:r w:rsidRPr="00E00280">
              <w:rPr>
                <w:rFonts w:cs="Arial" w:asciiTheme="minorHAnsi" w:hAnsiTheme="minorHAnsi"/>
                <w:b/>
                <w:bCs/>
                <w:sz w:val="20"/>
                <w:highlight w:val="cyan"/>
                <w:lang w:val="en-AU"/>
              </w:rPr>
              <w:t xml:space="preserve">                </w:t>
            </w:r>
          </w:p>
          <w:p w:rsidRPr="00E00280" w:rsidR="00043BF0" w:rsidP="0059793A" w:rsidRDefault="00043BF0" w14:paraId="6D0C5936" w14:textId="77777777">
            <w:pPr>
              <w:pStyle w:val="BodyText"/>
              <w:rPr>
                <w:rFonts w:cs="Arial" w:asciiTheme="minorHAnsi" w:hAnsiTheme="minorHAnsi"/>
                <w:sz w:val="20"/>
                <w:highlight w:val="cyan"/>
                <w:lang w:val="en-AU"/>
              </w:rPr>
            </w:pPr>
            <w:r w:rsidRPr="00E00280">
              <w:rPr>
                <w:rFonts w:cs="Arial" w:asciiTheme="minorHAnsi" w:hAnsiTheme="minorHAnsi"/>
                <w:b/>
                <w:bCs/>
                <w:sz w:val="20"/>
                <w:highlight w:val="cyan"/>
                <w:lang w:val="en-AU"/>
              </w:rPr>
              <w:t xml:space="preserve">           </w:t>
            </w:r>
          </w:p>
        </w:tc>
        <w:tc>
          <w:tcPr>
            <w:tcW w:w="3957" w:type="pct"/>
          </w:tcPr>
          <w:p w:rsidRPr="00E00280" w:rsidR="00043BF0" w:rsidP="0059793A" w:rsidRDefault="00043BF0" w14:paraId="0DC760D6" w14:textId="77777777">
            <w:pPr>
              <w:pStyle w:val="BodyText"/>
              <w:rPr>
                <w:rFonts w:cs="Arial" w:asciiTheme="minorHAnsi" w:hAnsiTheme="minorHAnsi"/>
                <w:sz w:val="20"/>
                <w:lang w:val="en-AU"/>
              </w:rPr>
            </w:pPr>
            <w:r w:rsidRPr="00E00280">
              <w:rPr>
                <w:rFonts w:cs="Arial" w:asciiTheme="minorHAnsi" w:hAnsiTheme="minorHAnsi"/>
                <w:sz w:val="20"/>
                <w:lang w:val="en-AU"/>
              </w:rPr>
              <w:t>The contents of ONE capsule should be dissolved in 2</w:t>
            </w:r>
            <w:r>
              <w:rPr>
                <w:rFonts w:cs="Arial" w:asciiTheme="minorHAnsi" w:hAnsiTheme="minorHAnsi"/>
                <w:sz w:val="20"/>
                <w:lang w:val="en-AU"/>
              </w:rPr>
              <w:t xml:space="preserve"> </w:t>
            </w:r>
            <w:r w:rsidRPr="00E00280">
              <w:rPr>
                <w:rFonts w:cs="Arial" w:asciiTheme="minorHAnsi" w:hAnsiTheme="minorHAnsi"/>
                <w:sz w:val="20"/>
                <w:lang w:val="en-AU"/>
              </w:rPr>
              <w:t>mL of mother’s EBM</w:t>
            </w:r>
            <w:r>
              <w:rPr>
                <w:rFonts w:cs="Arial" w:asciiTheme="minorHAnsi" w:hAnsiTheme="minorHAnsi"/>
                <w:sz w:val="20"/>
                <w:lang w:val="en-AU"/>
              </w:rPr>
              <w:t xml:space="preserve">/donor human milk/water for injection/formula. </w:t>
            </w:r>
            <w:r w:rsidRPr="00E00280">
              <w:rPr>
                <w:rFonts w:cs="Arial" w:asciiTheme="minorHAnsi" w:hAnsiTheme="minorHAnsi"/>
                <w:sz w:val="20"/>
                <w:lang w:val="en-AU"/>
              </w:rPr>
              <w:t xml:space="preserve">Draw up required volume (1 mL for </w:t>
            </w:r>
            <w:r>
              <w:rPr>
                <w:rFonts w:cs="Arial" w:asciiTheme="minorHAnsi" w:hAnsiTheme="minorHAnsi"/>
                <w:sz w:val="20"/>
                <w:lang w:val="en-AU"/>
              </w:rPr>
              <w:t>125 mg</w:t>
            </w:r>
            <w:r w:rsidRPr="00E00280">
              <w:rPr>
                <w:rFonts w:cs="Arial" w:asciiTheme="minorHAnsi" w:hAnsiTheme="minorHAnsi"/>
                <w:sz w:val="20"/>
                <w:lang w:val="en-AU"/>
              </w:rPr>
              <w:t xml:space="preserve"> and 2 mL for </w:t>
            </w:r>
            <w:r>
              <w:rPr>
                <w:rFonts w:cs="Arial" w:asciiTheme="minorHAnsi" w:hAnsiTheme="minorHAnsi"/>
                <w:sz w:val="20"/>
                <w:lang w:val="en-AU"/>
              </w:rPr>
              <w:t>250 mg</w:t>
            </w:r>
            <w:r w:rsidRPr="00E00280">
              <w:rPr>
                <w:rFonts w:cs="Arial" w:asciiTheme="minorHAnsi" w:hAnsiTheme="minorHAnsi"/>
                <w:sz w:val="20"/>
                <w:lang w:val="en-AU"/>
              </w:rPr>
              <w:t>)</w:t>
            </w:r>
          </w:p>
        </w:tc>
      </w:tr>
      <w:tr w:rsidRPr="00E00280" w:rsidR="00043BF0" w:rsidTr="0059793A" w14:paraId="2EF2594F" w14:textId="77777777">
        <w:trPr>
          <w:trHeight w:val="123"/>
        </w:trPr>
        <w:tc>
          <w:tcPr>
            <w:tcW w:w="1043" w:type="pct"/>
          </w:tcPr>
          <w:p w:rsidRPr="00E00280" w:rsidR="00043BF0" w:rsidP="0059793A" w:rsidRDefault="00043BF0" w14:paraId="416EB91F" w14:textId="77777777">
            <w:pPr>
              <w:pStyle w:val="BodyText"/>
              <w:rPr>
                <w:rFonts w:cs="Arial" w:asciiTheme="minorHAnsi" w:hAnsiTheme="minorHAnsi"/>
                <w:sz w:val="20"/>
                <w:lang w:val="en-AU"/>
              </w:rPr>
            </w:pPr>
            <w:r w:rsidRPr="00E00280">
              <w:rPr>
                <w:rFonts w:cs="Arial" w:asciiTheme="minorHAnsi" w:hAnsiTheme="minorHAnsi"/>
                <w:b/>
                <w:bCs/>
                <w:sz w:val="20"/>
                <w:lang w:val="en-AU"/>
              </w:rPr>
              <w:t xml:space="preserve">Administration                 </w:t>
            </w:r>
          </w:p>
        </w:tc>
        <w:tc>
          <w:tcPr>
            <w:tcW w:w="3957" w:type="pct"/>
          </w:tcPr>
          <w:p w:rsidRPr="00E00280" w:rsidR="00043BF0" w:rsidP="0059793A" w:rsidRDefault="00043BF0" w14:paraId="4FC0B526" w14:textId="77777777">
            <w:pPr>
              <w:pStyle w:val="BodyText"/>
              <w:rPr>
                <w:rFonts w:cs="Arial" w:asciiTheme="minorHAnsi" w:hAnsiTheme="minorHAnsi"/>
                <w:sz w:val="20"/>
                <w:lang w:val="en-AU"/>
              </w:rPr>
            </w:pPr>
            <w:r w:rsidRPr="00E00280">
              <w:rPr>
                <w:rFonts w:asciiTheme="minorHAnsi" w:hAnsiTheme="minorHAnsi"/>
                <w:sz w:val="20"/>
                <w:lang w:val="en-AU"/>
              </w:rPr>
              <w:t xml:space="preserve">Oral: </w:t>
            </w:r>
            <w:r>
              <w:rPr>
                <w:rFonts w:asciiTheme="minorHAnsi" w:hAnsiTheme="minorHAnsi"/>
                <w:sz w:val="20"/>
                <w:lang w:val="en-AU"/>
              </w:rPr>
              <w:t>A</w:t>
            </w:r>
            <w:r w:rsidRPr="00E00280">
              <w:rPr>
                <w:rFonts w:asciiTheme="minorHAnsi" w:hAnsiTheme="minorHAnsi"/>
                <w:sz w:val="20"/>
                <w:lang w:val="en-AU"/>
              </w:rPr>
              <w:t>dminister with feeds if possible.</w:t>
            </w:r>
          </w:p>
        </w:tc>
      </w:tr>
      <w:tr w:rsidRPr="00E00280" w:rsidR="00043BF0" w:rsidTr="0059793A" w14:paraId="22299518" w14:textId="77777777">
        <w:trPr>
          <w:trHeight w:val="221"/>
        </w:trPr>
        <w:tc>
          <w:tcPr>
            <w:tcW w:w="1043" w:type="pct"/>
          </w:tcPr>
          <w:p w:rsidRPr="00E00280" w:rsidR="00043BF0" w:rsidP="0059793A" w:rsidRDefault="00043BF0" w14:paraId="2258F1C2"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Monitoring                              </w:t>
            </w:r>
          </w:p>
        </w:tc>
        <w:tc>
          <w:tcPr>
            <w:tcW w:w="3957" w:type="pct"/>
          </w:tcPr>
          <w:p w:rsidRPr="00E00280" w:rsidR="00043BF0" w:rsidP="0059793A" w:rsidRDefault="00043BF0" w14:paraId="493F72F2" w14:textId="77777777">
            <w:pPr>
              <w:pStyle w:val="BodyText"/>
              <w:rPr>
                <w:rFonts w:cs="Arial" w:asciiTheme="minorHAnsi" w:hAnsiTheme="minorHAnsi"/>
                <w:sz w:val="20"/>
                <w:lang w:val="en-AU"/>
              </w:rPr>
            </w:pPr>
          </w:p>
        </w:tc>
      </w:tr>
      <w:tr w:rsidRPr="00E00280" w:rsidR="00043BF0" w:rsidTr="0059793A" w14:paraId="2E2E6E77" w14:textId="77777777">
        <w:trPr>
          <w:trHeight w:val="201"/>
        </w:trPr>
        <w:tc>
          <w:tcPr>
            <w:tcW w:w="1043" w:type="pct"/>
          </w:tcPr>
          <w:p w:rsidRPr="00E00280" w:rsidR="00043BF0" w:rsidP="0059793A" w:rsidRDefault="00043BF0" w14:paraId="304971C4"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Contraindications                        </w:t>
            </w:r>
          </w:p>
        </w:tc>
        <w:tc>
          <w:tcPr>
            <w:tcW w:w="3957" w:type="pct"/>
          </w:tcPr>
          <w:p w:rsidRPr="00E00280" w:rsidR="00043BF0" w:rsidP="0059793A" w:rsidRDefault="00043BF0" w14:paraId="0C9E40F3" w14:textId="77777777">
            <w:pPr>
              <w:pStyle w:val="BodyText"/>
              <w:rPr>
                <w:rFonts w:cs="Arial" w:asciiTheme="minorHAnsi" w:hAnsiTheme="minorHAnsi"/>
                <w:sz w:val="20"/>
                <w:lang w:val="en-AU"/>
              </w:rPr>
            </w:pPr>
            <w:r w:rsidRPr="00E00280">
              <w:rPr>
                <w:rFonts w:asciiTheme="minorHAnsi" w:hAnsiTheme="minorHAnsi"/>
                <w:sz w:val="20"/>
                <w:lang w:val="en-AU"/>
              </w:rPr>
              <w:t>No known contraindications.</w:t>
            </w:r>
          </w:p>
        </w:tc>
      </w:tr>
      <w:tr w:rsidRPr="00E00280" w:rsidR="00043BF0" w:rsidTr="0059793A" w14:paraId="27E0B597" w14:textId="77777777">
        <w:tc>
          <w:tcPr>
            <w:tcW w:w="1043" w:type="pct"/>
          </w:tcPr>
          <w:p w:rsidRPr="00E00280" w:rsidR="00043BF0" w:rsidP="0059793A" w:rsidRDefault="00043BF0" w14:paraId="465089F2" w14:textId="77777777">
            <w:pPr>
              <w:pStyle w:val="BodyText"/>
              <w:rPr>
                <w:rFonts w:cs="Arial" w:asciiTheme="minorHAnsi" w:hAnsiTheme="minorHAnsi"/>
                <w:b/>
                <w:bCs/>
                <w:sz w:val="20"/>
                <w:lang w:val="en-AU"/>
              </w:rPr>
            </w:pPr>
            <w:r w:rsidRPr="00E00280">
              <w:rPr>
                <w:rFonts w:asciiTheme="minorHAnsi" w:hAnsiTheme="minorHAnsi"/>
                <w:sz w:val="20"/>
                <w:lang w:val="en-AU"/>
              </w:rPr>
              <w:br w:type="page"/>
            </w:r>
            <w:r w:rsidRPr="00E00280">
              <w:rPr>
                <w:rFonts w:cs="Arial" w:asciiTheme="minorHAnsi" w:hAnsiTheme="minorHAnsi"/>
                <w:b/>
                <w:bCs/>
                <w:sz w:val="20"/>
                <w:lang w:val="en-AU"/>
              </w:rPr>
              <w:t>Precautions</w:t>
            </w:r>
          </w:p>
        </w:tc>
        <w:tc>
          <w:tcPr>
            <w:tcW w:w="3957" w:type="pct"/>
          </w:tcPr>
          <w:p w:rsidRPr="00E00280" w:rsidR="00043BF0" w:rsidP="0059793A" w:rsidRDefault="00043BF0" w14:paraId="1AC8E408" w14:textId="77777777">
            <w:pPr>
              <w:pStyle w:val="BodyText"/>
              <w:rPr>
                <w:rFonts w:cs="Arial" w:asciiTheme="minorHAnsi" w:hAnsiTheme="minorHAnsi"/>
                <w:sz w:val="20"/>
                <w:lang w:val="en-AU"/>
              </w:rPr>
            </w:pPr>
            <w:r w:rsidRPr="00E00280">
              <w:rPr>
                <w:rFonts w:cs="Arial" w:asciiTheme="minorHAnsi" w:hAnsiTheme="minorHAnsi"/>
                <w:sz w:val="20"/>
              </w:rPr>
              <w:t>Administration of the probiotic</w:t>
            </w:r>
            <w:r w:rsidRPr="00E00280">
              <w:rPr>
                <w:rFonts w:cs="Arial" w:asciiTheme="minorHAnsi" w:hAnsiTheme="minorHAnsi"/>
                <w:sz w:val="20"/>
                <w:lang w:val="en-AU"/>
              </w:rPr>
              <w:t>s</w:t>
            </w:r>
            <w:r w:rsidRPr="00E00280">
              <w:rPr>
                <w:rFonts w:cs="Arial" w:asciiTheme="minorHAnsi" w:hAnsiTheme="minorHAnsi"/>
                <w:sz w:val="20"/>
              </w:rPr>
              <w:t xml:space="preserve"> may be discontinued </w:t>
            </w:r>
            <w:r w:rsidRPr="00E00280">
              <w:rPr>
                <w:rFonts w:cs="Arial" w:asciiTheme="minorHAnsi" w:hAnsiTheme="minorHAnsi"/>
                <w:sz w:val="20"/>
                <w:lang w:val="en-AU"/>
              </w:rPr>
              <w:t>during periods when the integrity of the gut mucosa is considered compromised</w:t>
            </w:r>
            <w:r w:rsidRPr="00E00280">
              <w:rPr>
                <w:rFonts w:cs="Arial" w:asciiTheme="minorHAnsi" w:hAnsiTheme="minorHAnsi"/>
                <w:sz w:val="20"/>
              </w:rPr>
              <w:t xml:space="preserve">. The common </w:t>
            </w:r>
            <w:r w:rsidRPr="00E00280">
              <w:rPr>
                <w:rFonts w:cs="Arial" w:asciiTheme="minorHAnsi" w:hAnsiTheme="minorHAnsi"/>
                <w:sz w:val="20"/>
                <w:lang w:val="en-AU"/>
              </w:rPr>
              <w:t>scenarios</w:t>
            </w:r>
            <w:r w:rsidRPr="00E00280">
              <w:rPr>
                <w:rFonts w:cs="Arial" w:asciiTheme="minorHAnsi" w:hAnsiTheme="minorHAnsi"/>
                <w:sz w:val="20"/>
              </w:rPr>
              <w:t xml:space="preserve"> include </w:t>
            </w:r>
            <w:r w:rsidRPr="00E00280">
              <w:rPr>
                <w:rFonts w:cs="Arial" w:asciiTheme="minorHAnsi" w:hAnsiTheme="minorHAnsi"/>
                <w:sz w:val="20"/>
                <w:lang w:val="en-AU"/>
              </w:rPr>
              <w:t xml:space="preserve">intestinal perforation, </w:t>
            </w:r>
            <w:r w:rsidRPr="00E00280">
              <w:rPr>
                <w:rFonts w:cs="Arial" w:asciiTheme="minorHAnsi" w:hAnsiTheme="minorHAnsi"/>
                <w:sz w:val="20"/>
              </w:rPr>
              <w:t>severe sepsis, critical illness, bile aspirates</w:t>
            </w:r>
            <w:r w:rsidRPr="00E00280">
              <w:rPr>
                <w:rFonts w:cs="Arial" w:asciiTheme="minorHAnsi" w:hAnsiTheme="minorHAnsi"/>
                <w:sz w:val="20"/>
                <w:lang w:val="en-AU"/>
              </w:rPr>
              <w:t>,</w:t>
            </w:r>
            <w:r w:rsidRPr="00E00280">
              <w:rPr>
                <w:rFonts w:cs="Arial" w:asciiTheme="minorHAnsi" w:hAnsiTheme="minorHAnsi"/>
                <w:sz w:val="20"/>
              </w:rPr>
              <w:t xml:space="preserve"> NEC</w:t>
            </w:r>
            <w:r w:rsidRPr="00E00280">
              <w:rPr>
                <w:rFonts w:cs="Arial" w:asciiTheme="minorHAnsi" w:hAnsiTheme="minorHAnsi"/>
                <w:sz w:val="20"/>
                <w:lang w:val="en-AU"/>
              </w:rPr>
              <w:t xml:space="preserve"> and surgical gut anomalies</w:t>
            </w:r>
            <w:r w:rsidRPr="00E00280">
              <w:rPr>
                <w:rFonts w:cs="Arial" w:asciiTheme="minorHAnsi" w:hAnsiTheme="minorHAnsi"/>
                <w:sz w:val="20"/>
              </w:rPr>
              <w:t>.</w:t>
            </w:r>
            <w:r w:rsidRPr="00E00280">
              <w:rPr>
                <w:rFonts w:cs="Arial" w:asciiTheme="minorHAnsi" w:hAnsiTheme="minorHAnsi"/>
                <w:noProof/>
                <w:sz w:val="20"/>
              </w:rPr>
              <w:t>[8]</w:t>
            </w:r>
            <w:r w:rsidRPr="00E00280">
              <w:rPr>
                <w:rFonts w:cs="Arial" w:asciiTheme="minorHAnsi" w:hAnsiTheme="minorHAnsi"/>
                <w:sz w:val="20"/>
              </w:rPr>
              <w:t xml:space="preserve"> </w:t>
            </w:r>
            <w:r w:rsidRPr="00E00280">
              <w:rPr>
                <w:rFonts w:cs="Arial" w:asciiTheme="minorHAnsi" w:hAnsiTheme="minorHAnsi"/>
                <w:sz w:val="20"/>
                <w:lang w:val="en-AU"/>
              </w:rPr>
              <w:t>No efficacy or safety data available on use of probiotics in infants after definite NEC.</w:t>
            </w:r>
          </w:p>
        </w:tc>
      </w:tr>
      <w:tr w:rsidRPr="00E00280" w:rsidR="00043BF0" w:rsidTr="0059793A" w14:paraId="12DF629D" w14:textId="77777777">
        <w:trPr>
          <w:trHeight w:val="276"/>
        </w:trPr>
        <w:tc>
          <w:tcPr>
            <w:tcW w:w="1043" w:type="pct"/>
          </w:tcPr>
          <w:p w:rsidRPr="00E00280" w:rsidR="00043BF0" w:rsidP="0059793A" w:rsidRDefault="00043BF0" w14:paraId="72A31B8C"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Drug Interactions</w:t>
            </w:r>
          </w:p>
        </w:tc>
        <w:tc>
          <w:tcPr>
            <w:tcW w:w="3957" w:type="pct"/>
          </w:tcPr>
          <w:p w:rsidRPr="00E00280" w:rsidR="00043BF0" w:rsidP="0059793A" w:rsidRDefault="00043BF0" w14:paraId="7664C4D0" w14:textId="77777777">
            <w:pPr>
              <w:pStyle w:val="BodyText"/>
              <w:rPr>
                <w:rFonts w:cs="Arial" w:asciiTheme="minorHAnsi" w:hAnsiTheme="minorHAnsi"/>
                <w:sz w:val="20"/>
                <w:lang w:val="en-AU"/>
              </w:rPr>
            </w:pPr>
            <w:r w:rsidRPr="00E00280">
              <w:rPr>
                <w:rFonts w:asciiTheme="minorHAnsi" w:hAnsiTheme="minorHAnsi"/>
                <w:sz w:val="20"/>
                <w:lang w:val="en-AU"/>
              </w:rPr>
              <w:t xml:space="preserve">None reported. </w:t>
            </w:r>
          </w:p>
        </w:tc>
      </w:tr>
      <w:tr w:rsidRPr="00E00280" w:rsidR="00043BF0" w:rsidTr="0059793A" w14:paraId="01825347" w14:textId="77777777">
        <w:trPr>
          <w:trHeight w:val="416"/>
        </w:trPr>
        <w:tc>
          <w:tcPr>
            <w:tcW w:w="1043" w:type="pct"/>
          </w:tcPr>
          <w:p w:rsidRPr="00E00280" w:rsidR="00043BF0" w:rsidP="0059793A" w:rsidRDefault="00043BF0" w14:paraId="1ED6EF0A"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Adverse Reactions         </w:t>
            </w:r>
          </w:p>
          <w:p w:rsidRPr="00E00280" w:rsidR="00043BF0" w:rsidP="0059793A" w:rsidRDefault="00043BF0" w14:paraId="369D097B" w14:textId="77777777">
            <w:pPr>
              <w:pStyle w:val="BodyText"/>
              <w:rPr>
                <w:rFonts w:cs="Arial" w:asciiTheme="minorHAnsi" w:hAnsiTheme="minorHAnsi"/>
                <w:b/>
                <w:bCs/>
                <w:sz w:val="20"/>
                <w:lang w:val="en-AU"/>
              </w:rPr>
            </w:pPr>
          </w:p>
        </w:tc>
        <w:tc>
          <w:tcPr>
            <w:tcW w:w="3957" w:type="pct"/>
          </w:tcPr>
          <w:p w:rsidRPr="00E00280" w:rsidR="00043BF0" w:rsidP="0059793A" w:rsidRDefault="00043BF0" w14:paraId="41818C06" w14:textId="77777777">
            <w:pPr>
              <w:pStyle w:val="BodyText"/>
              <w:rPr>
                <w:rFonts w:cs="Arial" w:asciiTheme="minorHAnsi" w:hAnsiTheme="minorHAnsi"/>
                <w:sz w:val="20"/>
                <w:lang w:val="en-AU"/>
              </w:rPr>
            </w:pPr>
            <w:r w:rsidRPr="00E00280">
              <w:rPr>
                <w:rFonts w:cs="Arial" w:asciiTheme="minorHAnsi" w:hAnsiTheme="minorHAnsi"/>
                <w:sz w:val="20"/>
                <w:lang w:val="en-AU"/>
              </w:rPr>
              <w:t>Rare.</w:t>
            </w:r>
          </w:p>
          <w:p w:rsidRPr="00E00280" w:rsidR="00043BF0" w:rsidP="0059793A" w:rsidRDefault="00043BF0" w14:paraId="21E5A1F1" w14:textId="77777777">
            <w:pPr>
              <w:pStyle w:val="BodyText"/>
              <w:rPr>
                <w:rFonts w:cs="Arial" w:asciiTheme="minorHAnsi" w:hAnsiTheme="minorHAnsi"/>
                <w:sz w:val="20"/>
                <w:lang w:val="en-AU"/>
              </w:rPr>
            </w:pPr>
            <w:r w:rsidRPr="00E00280">
              <w:rPr>
                <w:rFonts w:cs="Arial" w:asciiTheme="minorHAnsi" w:hAnsiTheme="minorHAnsi"/>
                <w:sz w:val="20"/>
                <w:lang w:val="en-AU"/>
              </w:rPr>
              <w:t xml:space="preserve">Probiotic sepsis has been reported in preterm neonates with surgical conditions, immune suppression and when gut barrier is compromised. </w:t>
            </w:r>
            <w:r w:rsidRPr="00E00280">
              <w:rPr>
                <w:rFonts w:cs="Arial" w:asciiTheme="minorHAnsi" w:hAnsiTheme="minorHAnsi"/>
                <w:noProof/>
                <w:sz w:val="20"/>
                <w:lang w:val="en-AU"/>
              </w:rPr>
              <w:t>[8]</w:t>
            </w:r>
          </w:p>
        </w:tc>
      </w:tr>
      <w:tr w:rsidRPr="00E00280" w:rsidR="00043BF0" w:rsidTr="0059793A" w14:paraId="3551338C" w14:textId="77777777">
        <w:trPr>
          <w:trHeight w:val="385"/>
        </w:trPr>
        <w:tc>
          <w:tcPr>
            <w:tcW w:w="1043" w:type="pct"/>
          </w:tcPr>
          <w:p w:rsidRPr="00E00280" w:rsidR="00043BF0" w:rsidP="0059793A" w:rsidRDefault="00043BF0" w14:paraId="7FC16B29"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Stability                  </w:t>
            </w:r>
          </w:p>
        </w:tc>
        <w:tc>
          <w:tcPr>
            <w:tcW w:w="3957" w:type="pct"/>
          </w:tcPr>
          <w:p w:rsidRPr="00E00280" w:rsidR="00043BF0" w:rsidP="0059793A" w:rsidRDefault="00043BF0" w14:paraId="3A38EFB8" w14:textId="77777777">
            <w:pPr>
              <w:pStyle w:val="BodyText"/>
              <w:rPr>
                <w:rFonts w:cs="Arial" w:asciiTheme="minorHAnsi" w:hAnsiTheme="minorHAnsi"/>
                <w:sz w:val="20"/>
                <w:lang w:val="en-AU"/>
              </w:rPr>
            </w:pPr>
            <w:r w:rsidRPr="00E00280">
              <w:rPr>
                <w:rFonts w:cs="Arial" w:asciiTheme="minorHAnsi" w:hAnsiTheme="minorHAnsi"/>
                <w:i/>
                <w:sz w:val="20"/>
                <w:lang w:val="en-AU"/>
              </w:rPr>
              <w:t xml:space="preserve">Bifidobacterium </w:t>
            </w:r>
            <w:r>
              <w:rPr>
                <w:rFonts w:cs="Arial" w:asciiTheme="minorHAnsi" w:hAnsiTheme="minorHAnsi"/>
                <w:i/>
                <w:sz w:val="20"/>
                <w:lang w:val="en-AU"/>
              </w:rPr>
              <w:t>b</w:t>
            </w:r>
            <w:r w:rsidRPr="00E00280">
              <w:rPr>
                <w:rFonts w:cs="Arial" w:asciiTheme="minorHAnsi" w:hAnsiTheme="minorHAnsi"/>
                <w:i/>
                <w:sz w:val="20"/>
                <w:lang w:val="en-AU"/>
              </w:rPr>
              <w:t>ifidum</w:t>
            </w:r>
            <w:r w:rsidRPr="00E00280">
              <w:rPr>
                <w:rFonts w:cs="Arial" w:asciiTheme="minorHAnsi" w:hAnsiTheme="minorHAnsi"/>
                <w:sz w:val="20"/>
                <w:lang w:val="en-AU"/>
              </w:rPr>
              <w:t xml:space="preserve"> is particularly heat sensitive, so once the capsule is open it should be used immediately.</w:t>
            </w:r>
          </w:p>
        </w:tc>
      </w:tr>
      <w:tr w:rsidRPr="00E00280" w:rsidR="00043BF0" w:rsidTr="0059793A" w14:paraId="7576712B" w14:textId="77777777">
        <w:trPr>
          <w:trHeight w:val="70"/>
        </w:trPr>
        <w:tc>
          <w:tcPr>
            <w:tcW w:w="1043" w:type="pct"/>
          </w:tcPr>
          <w:p w:rsidRPr="00E00280" w:rsidR="00043BF0" w:rsidP="0059793A" w:rsidRDefault="00043BF0" w14:paraId="07334333"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 xml:space="preserve">Storage             </w:t>
            </w:r>
          </w:p>
        </w:tc>
        <w:tc>
          <w:tcPr>
            <w:tcW w:w="3957" w:type="pct"/>
          </w:tcPr>
          <w:p w:rsidRPr="00E00280" w:rsidR="00043BF0" w:rsidP="0059793A" w:rsidRDefault="00043BF0" w14:paraId="54A5BDFD" w14:textId="77777777">
            <w:pPr>
              <w:pStyle w:val="BodyText"/>
              <w:rPr>
                <w:rFonts w:cs="Arial" w:asciiTheme="minorHAnsi" w:hAnsiTheme="minorHAnsi"/>
                <w:sz w:val="20"/>
                <w:lang w:val="en-AU"/>
              </w:rPr>
            </w:pPr>
            <w:r w:rsidRPr="00E00280">
              <w:rPr>
                <w:rFonts w:asciiTheme="minorHAnsi" w:hAnsiTheme="minorHAnsi"/>
                <w:sz w:val="20"/>
                <w:lang w:val="en-AU"/>
              </w:rPr>
              <w:t>Store at 2−8°C.</w:t>
            </w:r>
          </w:p>
        </w:tc>
      </w:tr>
      <w:tr w:rsidRPr="00E00280" w:rsidR="00043BF0" w:rsidTr="0059793A" w14:paraId="45A394B6" w14:textId="77777777">
        <w:trPr>
          <w:trHeight w:val="390"/>
        </w:trPr>
        <w:tc>
          <w:tcPr>
            <w:tcW w:w="1043" w:type="pct"/>
          </w:tcPr>
          <w:p w:rsidRPr="00E00280" w:rsidR="00043BF0" w:rsidP="0059793A" w:rsidRDefault="00043BF0" w14:paraId="5BE06BCA"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lastRenderedPageBreak/>
              <w:t xml:space="preserve">Special Comments       </w:t>
            </w:r>
          </w:p>
          <w:p w:rsidRPr="00E00280" w:rsidR="00043BF0" w:rsidP="0059793A" w:rsidRDefault="00043BF0" w14:paraId="4B94173F" w14:textId="77777777">
            <w:pPr>
              <w:pStyle w:val="BodyText"/>
              <w:rPr>
                <w:rFonts w:cs="Arial" w:asciiTheme="minorHAnsi" w:hAnsiTheme="minorHAnsi"/>
                <w:b/>
                <w:bCs/>
                <w:sz w:val="20"/>
                <w:lang w:val="en-AU"/>
              </w:rPr>
            </w:pPr>
          </w:p>
        </w:tc>
        <w:tc>
          <w:tcPr>
            <w:tcW w:w="3957" w:type="pct"/>
          </w:tcPr>
          <w:p w:rsidRPr="006D2811" w:rsidR="00043BF0" w:rsidP="0059793A" w:rsidRDefault="00043BF0" w14:paraId="0B4CB730" w14:textId="77777777">
            <w:pPr>
              <w:pStyle w:val="BodyText"/>
              <w:rPr>
                <w:rFonts w:cs="Arial" w:asciiTheme="minorHAnsi" w:hAnsiTheme="minorHAnsi"/>
                <w:sz w:val="20"/>
                <w:lang w:val="en-AU"/>
              </w:rPr>
            </w:pPr>
            <w:r w:rsidRPr="006D2811">
              <w:rPr>
                <w:rFonts w:cs="Arial" w:asciiTheme="minorHAnsi" w:hAnsiTheme="minorHAnsi"/>
                <w:sz w:val="20"/>
                <w:lang w:val="en-AU"/>
              </w:rPr>
              <w:t xml:space="preserve">Please note: There are 2 Infloran preparations. (1) Infloran and (2) Infloran infantis. </w:t>
            </w:r>
          </w:p>
          <w:p w:rsidRPr="006D2811" w:rsidR="00043BF0" w:rsidP="0059793A" w:rsidRDefault="00043BF0" w14:paraId="191C641D" w14:textId="77777777">
            <w:pPr>
              <w:pStyle w:val="BodyText"/>
              <w:rPr>
                <w:rFonts w:cs="Arial" w:asciiTheme="minorHAnsi" w:hAnsiTheme="minorHAnsi"/>
                <w:sz w:val="20"/>
                <w:lang w:val="en-AU"/>
              </w:rPr>
            </w:pPr>
            <w:r w:rsidRPr="006D2811">
              <w:rPr>
                <w:rFonts w:cs="Arial" w:asciiTheme="minorHAnsi" w:hAnsiTheme="minorHAnsi"/>
                <w:sz w:val="20"/>
                <w:lang w:val="en-AU"/>
              </w:rPr>
              <w:t xml:space="preserve">Infloran infantis is not available in Australia. </w:t>
            </w:r>
          </w:p>
          <w:p w:rsidRPr="006D2811" w:rsidR="00043BF0" w:rsidP="0059793A" w:rsidRDefault="00043BF0" w14:paraId="71395E6F" w14:textId="77777777">
            <w:pPr>
              <w:pStyle w:val="BodyText"/>
              <w:rPr>
                <w:rFonts w:cs="Arial" w:asciiTheme="minorHAnsi" w:hAnsiTheme="minorHAnsi"/>
                <w:sz w:val="20"/>
                <w:lang w:val="en-AU"/>
              </w:rPr>
            </w:pPr>
            <w:r w:rsidRPr="006D2811">
              <w:rPr>
                <w:rFonts w:cs="Arial" w:asciiTheme="minorHAnsi" w:hAnsiTheme="minorHAnsi"/>
                <w:sz w:val="20"/>
                <w:lang w:val="en-AU"/>
              </w:rPr>
              <w:t xml:space="preserve">Infloran contains Bifidobacterium bifidum and Lactobacillus acidophilus. </w:t>
            </w:r>
          </w:p>
          <w:p w:rsidR="00043BF0" w:rsidP="0059793A" w:rsidRDefault="00043BF0" w14:paraId="40E8C77A" w14:textId="77777777">
            <w:pPr>
              <w:pStyle w:val="BodyText"/>
              <w:rPr>
                <w:rFonts w:cs="Arial" w:asciiTheme="minorHAnsi" w:hAnsiTheme="minorHAnsi"/>
                <w:sz w:val="20"/>
                <w:lang w:val="en-AU"/>
              </w:rPr>
            </w:pPr>
            <w:r w:rsidRPr="006D2811">
              <w:rPr>
                <w:rFonts w:cs="Arial" w:asciiTheme="minorHAnsi" w:hAnsiTheme="minorHAnsi"/>
                <w:sz w:val="20"/>
                <w:lang w:val="en-AU"/>
              </w:rPr>
              <w:t>Infloran infantis contains Bifidobacterium infantis and Lactobacillus acidophilus.</w:t>
            </w:r>
          </w:p>
          <w:p w:rsidR="00043BF0" w:rsidP="0059793A" w:rsidRDefault="00043BF0" w14:paraId="3D39769A" w14:textId="77777777">
            <w:pPr>
              <w:pStyle w:val="BodyText"/>
              <w:rPr>
                <w:rFonts w:cs="Arial" w:asciiTheme="minorHAnsi" w:hAnsiTheme="minorHAnsi"/>
                <w:sz w:val="20"/>
                <w:lang w:val="en-AU"/>
              </w:rPr>
            </w:pPr>
          </w:p>
          <w:p w:rsidRPr="00E00280" w:rsidR="00043BF0" w:rsidP="0059793A" w:rsidRDefault="00043BF0" w14:paraId="6087BF45" w14:textId="77777777">
            <w:pPr>
              <w:pStyle w:val="BodyText"/>
              <w:rPr>
                <w:rFonts w:cs="Arial" w:asciiTheme="minorHAnsi" w:hAnsiTheme="minorHAnsi"/>
                <w:sz w:val="20"/>
                <w:lang w:val="en-AU"/>
              </w:rPr>
            </w:pPr>
            <w:r w:rsidRPr="00E00280">
              <w:rPr>
                <w:rFonts w:cs="Arial" w:asciiTheme="minorHAnsi" w:hAnsiTheme="minorHAnsi"/>
                <w:sz w:val="20"/>
                <w:lang w:val="en-AU"/>
              </w:rPr>
              <w:t xml:space="preserve">Median 2 to 3 </w:t>
            </w:r>
            <w:r>
              <w:rPr>
                <w:rFonts w:cs="Arial" w:asciiTheme="minorHAnsi" w:hAnsiTheme="minorHAnsi"/>
                <w:sz w:val="20"/>
                <w:lang w:val="en-AU"/>
              </w:rPr>
              <w:t>x</w:t>
            </w:r>
            <w:r w:rsidRPr="00E00280">
              <w:rPr>
                <w:rFonts w:cs="Arial" w:asciiTheme="minorHAnsi" w:hAnsiTheme="minorHAnsi"/>
                <w:sz w:val="20"/>
                <w:lang w:val="en-AU"/>
              </w:rPr>
              <w:t xml:space="preserve"> 10</w:t>
            </w:r>
            <w:r w:rsidRPr="00E00280">
              <w:rPr>
                <w:rFonts w:cs="Arial" w:asciiTheme="minorHAnsi" w:hAnsiTheme="minorHAnsi"/>
                <w:sz w:val="20"/>
                <w:vertAlign w:val="superscript"/>
                <w:lang w:val="en-AU"/>
              </w:rPr>
              <w:t>9</w:t>
            </w:r>
            <w:r w:rsidRPr="00E00280">
              <w:rPr>
                <w:rFonts w:cs="Arial" w:asciiTheme="minorHAnsi" w:hAnsiTheme="minorHAnsi"/>
                <w:sz w:val="20"/>
                <w:lang w:val="en-AU"/>
              </w:rPr>
              <w:t xml:space="preserve"> CFU dose has been shown to prevent NEC.</w:t>
            </w:r>
            <w:r w:rsidRPr="00E00280">
              <w:rPr>
                <w:rFonts w:cs="Arial" w:asciiTheme="minorHAnsi" w:hAnsiTheme="minorHAnsi"/>
                <w:noProof/>
                <w:sz w:val="20"/>
                <w:lang w:val="en-AU"/>
              </w:rPr>
              <w:t>[7]</w:t>
            </w:r>
            <w:r w:rsidRPr="00E00280">
              <w:rPr>
                <w:rFonts w:cs="Arial" w:asciiTheme="minorHAnsi" w:hAnsiTheme="minorHAnsi"/>
                <w:sz w:val="20"/>
                <w:lang w:val="en-AU"/>
              </w:rPr>
              <w:t xml:space="preserve"> There is no known benefit in terms of prevention of NEC with doses higher than 3 x 10</w:t>
            </w:r>
            <w:r w:rsidRPr="00E00280">
              <w:rPr>
                <w:rFonts w:cs="Arial" w:asciiTheme="minorHAnsi" w:hAnsiTheme="minorHAnsi"/>
                <w:sz w:val="20"/>
                <w:vertAlign w:val="superscript"/>
                <w:lang w:val="en-AU"/>
              </w:rPr>
              <w:t>9</w:t>
            </w:r>
            <w:r w:rsidRPr="00E00280">
              <w:rPr>
                <w:rFonts w:cs="Arial" w:asciiTheme="minorHAnsi" w:hAnsiTheme="minorHAnsi"/>
                <w:sz w:val="20"/>
                <w:lang w:val="en-AU"/>
              </w:rPr>
              <w:t xml:space="preserve"> CFU. One capsule of Infloran should provide minimum of 2 </w:t>
            </w:r>
            <w:r>
              <w:rPr>
                <w:rFonts w:cs="Arial" w:asciiTheme="minorHAnsi" w:hAnsiTheme="minorHAnsi"/>
                <w:sz w:val="20"/>
                <w:lang w:val="en-AU"/>
              </w:rPr>
              <w:t>x</w:t>
            </w:r>
            <w:r w:rsidRPr="00E00280">
              <w:rPr>
                <w:rFonts w:cs="Arial" w:asciiTheme="minorHAnsi" w:hAnsiTheme="minorHAnsi"/>
                <w:sz w:val="20"/>
                <w:lang w:val="en-AU"/>
              </w:rPr>
              <w:t xml:space="preserve"> 10</w:t>
            </w:r>
            <w:r w:rsidRPr="00E00280">
              <w:rPr>
                <w:rFonts w:cs="Arial" w:asciiTheme="minorHAnsi" w:hAnsiTheme="minorHAnsi"/>
                <w:sz w:val="20"/>
                <w:vertAlign w:val="superscript"/>
                <w:lang w:val="en-AU"/>
              </w:rPr>
              <w:t xml:space="preserve">9 </w:t>
            </w:r>
            <w:r w:rsidRPr="00E00280">
              <w:rPr>
                <w:rFonts w:cs="Arial" w:asciiTheme="minorHAnsi" w:hAnsiTheme="minorHAnsi"/>
                <w:sz w:val="20"/>
                <w:lang w:val="en-AU"/>
              </w:rPr>
              <w:t>CFU. Studies have shown that up to 2 capsules/day dose is well tolerated by older premature neonates (&gt;</w:t>
            </w:r>
            <w:r>
              <w:rPr>
                <w:rFonts w:cs="Arial" w:asciiTheme="minorHAnsi" w:hAnsiTheme="minorHAnsi"/>
                <w:sz w:val="20"/>
                <w:lang w:val="en-AU"/>
              </w:rPr>
              <w:t xml:space="preserve"> </w:t>
            </w:r>
            <w:r w:rsidRPr="00E00280">
              <w:rPr>
                <w:rFonts w:cs="Arial" w:asciiTheme="minorHAnsi" w:hAnsiTheme="minorHAnsi"/>
                <w:sz w:val="20"/>
                <w:lang w:val="en-AU"/>
              </w:rPr>
              <w:t>1500</w:t>
            </w:r>
            <w:r>
              <w:rPr>
                <w:rFonts w:cs="Arial" w:asciiTheme="minorHAnsi" w:hAnsiTheme="minorHAnsi"/>
                <w:sz w:val="20"/>
                <w:lang w:val="en-AU"/>
              </w:rPr>
              <w:t xml:space="preserve"> </w:t>
            </w:r>
            <w:r w:rsidRPr="00E00280">
              <w:rPr>
                <w:rFonts w:cs="Arial" w:asciiTheme="minorHAnsi" w:hAnsiTheme="minorHAnsi"/>
                <w:sz w:val="20"/>
                <w:lang w:val="en-AU"/>
              </w:rPr>
              <w:t>g).</w:t>
            </w:r>
            <w:r w:rsidRPr="00E00280">
              <w:rPr>
                <w:rFonts w:cs="Arial" w:asciiTheme="minorHAnsi" w:hAnsiTheme="minorHAnsi"/>
                <w:noProof/>
                <w:sz w:val="20"/>
                <w:lang w:val="en-AU"/>
              </w:rPr>
              <w:t>[8]</w:t>
            </w:r>
          </w:p>
          <w:p w:rsidR="00043BF0" w:rsidP="0059793A" w:rsidRDefault="00043BF0" w14:paraId="52C1A54A" w14:textId="77777777">
            <w:pPr>
              <w:rPr>
                <w:rFonts w:eastAsia="Calibri" w:asciiTheme="minorHAnsi" w:hAnsiTheme="minorHAnsi"/>
                <w:sz w:val="20"/>
              </w:rPr>
            </w:pPr>
          </w:p>
          <w:p w:rsidR="00043BF0" w:rsidP="0059793A" w:rsidRDefault="00043BF0" w14:paraId="69EEDEF2" w14:textId="77777777">
            <w:pPr>
              <w:rPr>
                <w:rFonts w:eastAsia="Calibri" w:asciiTheme="minorHAnsi" w:hAnsiTheme="minorHAnsi"/>
                <w:noProof/>
                <w:sz w:val="20"/>
              </w:rPr>
            </w:pPr>
            <w:r w:rsidRPr="00E00280">
              <w:rPr>
                <w:rFonts w:eastAsia="Calibri" w:asciiTheme="minorHAnsi" w:hAnsiTheme="minorHAnsi"/>
                <w:sz w:val="20"/>
              </w:rPr>
              <w:t>All probiotic preparations given to newborn infants should have undergone quality testing in an Australian TGA equivalent regulated system including batch to batch testing for colony count to rule out contamination.</w:t>
            </w:r>
            <w:r w:rsidRPr="00E00280">
              <w:rPr>
                <w:rFonts w:eastAsia="Calibri" w:asciiTheme="minorHAnsi" w:hAnsiTheme="minorHAnsi"/>
                <w:noProof/>
                <w:sz w:val="20"/>
              </w:rPr>
              <w:t>[8]</w:t>
            </w:r>
          </w:p>
          <w:p w:rsidRPr="00E00280" w:rsidR="00043BF0" w:rsidP="0059793A" w:rsidRDefault="00043BF0" w14:paraId="0BEBECAB" w14:textId="77777777">
            <w:pPr>
              <w:rPr>
                <w:rFonts w:cs="Arial" w:asciiTheme="minorHAnsi" w:hAnsiTheme="minorHAnsi"/>
                <w:sz w:val="20"/>
              </w:rPr>
            </w:pPr>
          </w:p>
          <w:p w:rsidRPr="00E00280" w:rsidR="00043BF0" w:rsidP="0059793A" w:rsidRDefault="00043BF0" w14:paraId="74E30E2C" w14:textId="77777777">
            <w:pPr>
              <w:rPr>
                <w:rFonts w:cs="Arial" w:asciiTheme="minorHAnsi" w:hAnsiTheme="minorHAnsi"/>
                <w:sz w:val="20"/>
              </w:rPr>
            </w:pPr>
            <w:r w:rsidRPr="00E00280">
              <w:rPr>
                <w:rFonts w:cs="Arial" w:asciiTheme="minorHAnsi" w:hAnsiTheme="minorHAnsi"/>
                <w:sz w:val="20"/>
              </w:rPr>
              <w:t>The intestinal barrier could be compromised during severe sepsis and critical illness. Probiotics may be discontinued in the initial stages of severe late onset sepsis, suspected NEC, or critical illness.</w:t>
            </w:r>
            <w:r w:rsidRPr="00E00280">
              <w:rPr>
                <w:rFonts w:cs="Arial" w:asciiTheme="minorHAnsi" w:hAnsiTheme="minorHAnsi"/>
                <w:noProof/>
                <w:sz w:val="20"/>
              </w:rPr>
              <w:t>[8]</w:t>
            </w:r>
          </w:p>
        </w:tc>
      </w:tr>
      <w:tr w:rsidRPr="00E00280" w:rsidR="00043BF0" w:rsidTr="0059793A" w14:paraId="25615DCB" w14:textId="77777777">
        <w:trPr>
          <w:trHeight w:val="1071"/>
        </w:trPr>
        <w:tc>
          <w:tcPr>
            <w:tcW w:w="1043" w:type="pct"/>
          </w:tcPr>
          <w:p w:rsidRPr="00E00280" w:rsidR="00043BF0" w:rsidP="0059793A" w:rsidRDefault="00043BF0" w14:paraId="2F8CE528" w14:textId="77777777">
            <w:pPr>
              <w:pStyle w:val="BodyText"/>
              <w:rPr>
                <w:rFonts w:cs="Arial" w:asciiTheme="minorHAnsi" w:hAnsiTheme="minorHAnsi"/>
                <w:b/>
                <w:bCs/>
                <w:sz w:val="20"/>
                <w:lang w:val="en-AU"/>
              </w:rPr>
            </w:pPr>
            <w:r w:rsidRPr="00E00280">
              <w:rPr>
                <w:rFonts w:cs="Arial" w:asciiTheme="minorHAnsi" w:hAnsiTheme="minorHAnsi"/>
                <w:b/>
                <w:bCs/>
                <w:sz w:val="20"/>
                <w:lang w:val="en-AU"/>
              </w:rPr>
              <w:t>Evidence summary</w:t>
            </w:r>
          </w:p>
        </w:tc>
        <w:tc>
          <w:tcPr>
            <w:tcW w:w="3957" w:type="pct"/>
          </w:tcPr>
          <w:p w:rsidRPr="00E00280" w:rsidR="00043BF0" w:rsidP="0059793A" w:rsidRDefault="00043BF0" w14:paraId="4B3FFD9B" w14:textId="77777777">
            <w:pPr>
              <w:pStyle w:val="BodyText"/>
              <w:tabs>
                <w:tab w:val="left" w:pos="1168"/>
              </w:tabs>
              <w:rPr>
                <w:rFonts w:asciiTheme="minorHAnsi" w:hAnsiTheme="minorHAnsi"/>
                <w:sz w:val="20"/>
                <w:lang w:val="en-AU"/>
              </w:rPr>
            </w:pPr>
            <w:r w:rsidRPr="00E00280">
              <w:rPr>
                <w:rFonts w:asciiTheme="minorHAnsi" w:hAnsiTheme="minorHAnsi"/>
                <w:sz w:val="20"/>
                <w:lang w:val="en-AU"/>
              </w:rPr>
              <w:t>Several systematic reviews and randomised controlled trials have shown that enteral probiotics significantly reduce the risk of NEC (≥</w:t>
            </w:r>
            <w:r>
              <w:rPr>
                <w:rFonts w:asciiTheme="minorHAnsi" w:hAnsiTheme="minorHAnsi"/>
                <w:sz w:val="20"/>
                <w:lang w:val="en-AU"/>
              </w:rPr>
              <w:t xml:space="preserve"> </w:t>
            </w:r>
            <w:r w:rsidRPr="00E00280">
              <w:rPr>
                <w:rFonts w:asciiTheme="minorHAnsi" w:hAnsiTheme="minorHAnsi"/>
                <w:sz w:val="20"/>
                <w:lang w:val="en-AU"/>
              </w:rPr>
              <w:t xml:space="preserve">stage II), late onset sepsis, all-cause mortality and time to full enteral feeds. </w:t>
            </w:r>
            <w:r w:rsidRPr="00E00280">
              <w:rPr>
                <w:rFonts w:asciiTheme="minorHAnsi" w:hAnsiTheme="minorHAnsi"/>
                <w:noProof/>
                <w:sz w:val="20"/>
                <w:lang w:val="en-AU"/>
              </w:rPr>
              <w:t>[1-3]</w:t>
            </w:r>
            <w:r w:rsidRPr="00E00280">
              <w:rPr>
                <w:rFonts w:asciiTheme="minorHAnsi" w:hAnsiTheme="minorHAnsi"/>
                <w:sz w:val="20"/>
                <w:lang w:val="en-AU"/>
              </w:rPr>
              <w:t xml:space="preserve"> (LOE 1, GOR A) Multiple strains of probiotics may be more effective in preventing NEC and mortality than single strains. </w:t>
            </w:r>
            <w:r w:rsidRPr="00E00280">
              <w:rPr>
                <w:rFonts w:asciiTheme="minorHAnsi" w:hAnsiTheme="minorHAnsi"/>
                <w:noProof/>
                <w:sz w:val="20"/>
                <w:lang w:val="en-AU"/>
              </w:rPr>
              <w:t>[9]</w:t>
            </w:r>
            <w:r w:rsidRPr="00E00280">
              <w:rPr>
                <w:rFonts w:asciiTheme="minorHAnsi" w:hAnsiTheme="minorHAnsi"/>
                <w:sz w:val="20"/>
                <w:lang w:val="en-AU"/>
              </w:rPr>
              <w:t xml:space="preserve"> (LOE I, GOR B)</w:t>
            </w:r>
          </w:p>
          <w:p w:rsidRPr="00E00280" w:rsidR="00043BF0" w:rsidP="0059793A" w:rsidRDefault="00043BF0" w14:paraId="70F1077C" w14:textId="77777777">
            <w:pPr>
              <w:pStyle w:val="BodyText"/>
              <w:tabs>
                <w:tab w:val="left" w:pos="1168"/>
              </w:tabs>
              <w:rPr>
                <w:rFonts w:cs="Arial" w:asciiTheme="minorHAnsi" w:hAnsiTheme="minorHAnsi"/>
                <w:sz w:val="20"/>
              </w:rPr>
            </w:pPr>
            <w:r w:rsidRPr="00E00280">
              <w:rPr>
                <w:rFonts w:cs="Arial" w:asciiTheme="minorHAnsi" w:hAnsiTheme="minorHAnsi"/>
                <w:b/>
                <w:sz w:val="20"/>
              </w:rPr>
              <w:t xml:space="preserve">Probiotics for prevention of </w:t>
            </w:r>
            <w:r w:rsidRPr="00E00280">
              <w:rPr>
                <w:rFonts w:cs="Arial" w:asciiTheme="minorHAnsi" w:hAnsiTheme="minorHAnsi"/>
                <w:b/>
                <w:sz w:val="20"/>
                <w:lang w:val="en-AU"/>
              </w:rPr>
              <w:t>NEC</w:t>
            </w:r>
            <w:r w:rsidRPr="00E00280">
              <w:rPr>
                <w:rFonts w:cs="Arial" w:asciiTheme="minorHAnsi" w:hAnsiTheme="minorHAnsi"/>
                <w:b/>
                <w:sz w:val="20"/>
              </w:rPr>
              <w:t xml:space="preserve"> in preterm infants: </w:t>
            </w:r>
            <w:r w:rsidRPr="00E00280">
              <w:rPr>
                <w:rFonts w:cs="Arial" w:asciiTheme="minorHAnsi" w:hAnsiTheme="minorHAnsi"/>
                <w:sz w:val="20"/>
              </w:rPr>
              <w:t>Enteral probiotic</w:t>
            </w:r>
            <w:r>
              <w:rPr>
                <w:rFonts w:cs="Arial" w:asciiTheme="minorHAnsi" w:hAnsiTheme="minorHAnsi"/>
                <w:sz w:val="20"/>
                <w:lang w:val="en-AU"/>
              </w:rPr>
              <w:t xml:space="preserve"> </w:t>
            </w:r>
            <w:r w:rsidRPr="00E00280">
              <w:rPr>
                <w:rFonts w:cs="Arial" w:asciiTheme="minorHAnsi" w:hAnsiTheme="minorHAnsi"/>
                <w:sz w:val="20"/>
              </w:rPr>
              <w:t>supplementation significantly reduced the incidence of severe NEC (RR 0.43, 95% CI 0.33 to 0.56; 20 studies, 5529 infants) and mortality (typical RR</w:t>
            </w:r>
            <w:r w:rsidRPr="00E00280">
              <w:rPr>
                <w:rFonts w:cs="Arial" w:asciiTheme="minorHAnsi" w:hAnsiTheme="minorHAnsi"/>
                <w:sz w:val="20"/>
                <w:lang w:val="en-AU"/>
              </w:rPr>
              <w:t xml:space="preserve"> </w:t>
            </w:r>
            <w:r w:rsidRPr="00E00280">
              <w:rPr>
                <w:rFonts w:cs="Arial" w:asciiTheme="minorHAnsi" w:hAnsiTheme="minorHAnsi"/>
                <w:sz w:val="20"/>
              </w:rPr>
              <w:t xml:space="preserve">0.65, 95% CI 0.52 to 0.81; 17 studies, 5112 infants). The included trials reported no systemic infection with the supplemental probiotics organism. Probiotics preparations containing either </w:t>
            </w:r>
            <w:r w:rsidRPr="00B72A07">
              <w:rPr>
                <w:rFonts w:cs="Arial" w:asciiTheme="minorHAnsi" w:hAnsiTheme="minorHAnsi"/>
                <w:i/>
                <w:sz w:val="20"/>
                <w:lang w:val="en-AU"/>
              </w:rPr>
              <w:t>L</w:t>
            </w:r>
            <w:r w:rsidRPr="00B72A07">
              <w:rPr>
                <w:rFonts w:cs="Arial" w:asciiTheme="minorHAnsi" w:hAnsiTheme="minorHAnsi"/>
                <w:i/>
                <w:sz w:val="20"/>
              </w:rPr>
              <w:t>actobacillus</w:t>
            </w:r>
            <w:r w:rsidRPr="00E00280">
              <w:rPr>
                <w:rFonts w:cs="Arial" w:asciiTheme="minorHAnsi" w:hAnsiTheme="minorHAnsi"/>
                <w:sz w:val="20"/>
              </w:rPr>
              <w:t xml:space="preserve"> alone or in combination with </w:t>
            </w:r>
            <w:r w:rsidRPr="00B72A07">
              <w:rPr>
                <w:rFonts w:cs="Arial" w:asciiTheme="minorHAnsi" w:hAnsiTheme="minorHAnsi"/>
                <w:i/>
                <w:sz w:val="20"/>
              </w:rPr>
              <w:t>Bifidobacterium</w:t>
            </w:r>
            <w:r w:rsidRPr="00E00280">
              <w:rPr>
                <w:rFonts w:cs="Arial" w:asciiTheme="minorHAnsi" w:hAnsiTheme="minorHAnsi"/>
                <w:sz w:val="20"/>
              </w:rPr>
              <w:t xml:space="preserve"> were found to be effective. Conclusions: Enteral supplementation of probiotics prevents severe NEC and all-cause mortality in preterm infants.</w:t>
            </w:r>
            <w:r w:rsidRPr="00E00280">
              <w:rPr>
                <w:rFonts w:cs="Arial" w:asciiTheme="minorHAnsi" w:hAnsiTheme="minorHAnsi"/>
                <w:noProof/>
                <w:sz w:val="20"/>
                <w:lang w:val="en-AU"/>
              </w:rPr>
              <w:t xml:space="preserve"> [1, 2, 9]</w:t>
            </w:r>
            <w:r w:rsidRPr="00E00280">
              <w:rPr>
                <w:rFonts w:cs="Arial" w:asciiTheme="minorHAnsi" w:hAnsiTheme="minorHAnsi"/>
                <w:sz w:val="20"/>
              </w:rPr>
              <w:t xml:space="preserve"> (LOE I GOR A)</w:t>
            </w:r>
            <w:r w:rsidRPr="00E00280">
              <w:rPr>
                <w:rFonts w:cs="Arial" w:asciiTheme="minorHAnsi" w:hAnsiTheme="minorHAnsi"/>
                <w:sz w:val="20"/>
                <w:lang w:val="en-AU"/>
              </w:rPr>
              <w:t xml:space="preserve"> Infloran containing </w:t>
            </w:r>
            <w:r w:rsidRPr="00B72A07">
              <w:rPr>
                <w:rFonts w:cs="Arial" w:asciiTheme="minorHAnsi" w:hAnsiTheme="minorHAnsi"/>
                <w:i/>
                <w:sz w:val="20"/>
                <w:lang w:val="en-AU"/>
              </w:rPr>
              <w:t>Bifidobacterium bifidum</w:t>
            </w:r>
            <w:r w:rsidRPr="00E00280">
              <w:rPr>
                <w:rFonts w:cs="Arial" w:asciiTheme="minorHAnsi" w:hAnsiTheme="minorHAnsi"/>
                <w:sz w:val="20"/>
                <w:lang w:val="en-AU"/>
              </w:rPr>
              <w:t xml:space="preserve"> and </w:t>
            </w:r>
            <w:r w:rsidRPr="00B72A07">
              <w:rPr>
                <w:rFonts w:cs="Arial" w:asciiTheme="minorHAnsi" w:hAnsiTheme="minorHAnsi"/>
                <w:i/>
                <w:sz w:val="20"/>
                <w:lang w:val="en-AU"/>
              </w:rPr>
              <w:t>Lactobacillus acidophilus</w:t>
            </w:r>
            <w:r w:rsidRPr="00E00280">
              <w:rPr>
                <w:rFonts w:cs="Arial" w:asciiTheme="minorHAnsi" w:hAnsiTheme="minorHAnsi"/>
                <w:sz w:val="20"/>
                <w:lang w:val="en-AU"/>
              </w:rPr>
              <w:t xml:space="preserve"> has been shown in a RCT to reduce the incidence of death and NEC. </w:t>
            </w:r>
            <w:r w:rsidRPr="00E00280">
              <w:rPr>
                <w:rFonts w:cs="Arial" w:asciiTheme="minorHAnsi" w:hAnsiTheme="minorHAnsi"/>
                <w:noProof/>
                <w:sz w:val="20"/>
                <w:lang w:val="en-AU"/>
              </w:rPr>
              <w:t>[7]</w:t>
            </w:r>
            <w:r w:rsidRPr="00E00280">
              <w:rPr>
                <w:rFonts w:cs="Arial" w:asciiTheme="minorHAnsi" w:hAnsiTheme="minorHAnsi"/>
                <w:sz w:val="20"/>
                <w:lang w:val="en-AU"/>
              </w:rPr>
              <w:t xml:space="preserve"> </w:t>
            </w:r>
            <w:r w:rsidRPr="00B72A07">
              <w:rPr>
                <w:rFonts w:cs="Arial" w:asciiTheme="minorHAnsi" w:hAnsiTheme="minorHAnsi"/>
                <w:sz w:val="20"/>
                <w:lang w:val="en-AU"/>
              </w:rPr>
              <w:t>Prospective observational studies of routine use of Infloran (</w:t>
            </w:r>
            <w:r w:rsidRPr="00B72A07">
              <w:rPr>
                <w:rFonts w:cs="Arial" w:asciiTheme="minorHAnsi" w:hAnsiTheme="minorHAnsi"/>
                <w:i/>
                <w:sz w:val="20"/>
                <w:lang w:val="en-AU"/>
              </w:rPr>
              <w:t>B. bifidum</w:t>
            </w:r>
            <w:r w:rsidRPr="00B72A07">
              <w:rPr>
                <w:rFonts w:cs="Arial" w:asciiTheme="minorHAnsi" w:hAnsiTheme="minorHAnsi"/>
                <w:sz w:val="20"/>
                <w:lang w:val="en-AU"/>
              </w:rPr>
              <w:t xml:space="preserve"> and </w:t>
            </w:r>
            <w:r w:rsidRPr="00B72A07">
              <w:rPr>
                <w:rFonts w:cs="Arial" w:asciiTheme="minorHAnsi" w:hAnsiTheme="minorHAnsi"/>
                <w:i/>
                <w:sz w:val="20"/>
                <w:lang w:val="en-AU"/>
              </w:rPr>
              <w:t>L. acidophilus</w:t>
            </w:r>
            <w:r w:rsidRPr="00B72A07">
              <w:rPr>
                <w:rFonts w:cs="Arial" w:asciiTheme="minorHAnsi" w:hAnsiTheme="minorHAnsi"/>
                <w:sz w:val="20"/>
                <w:lang w:val="en-AU"/>
              </w:rPr>
              <w:t>) in preterm neonates, gestation &lt; 32 weeks and &lt; 1500 g, have documented its safety and potential efficacy. [10, 11]</w:t>
            </w:r>
          </w:p>
          <w:p w:rsidRPr="00E00280" w:rsidR="00043BF0" w:rsidP="0059793A" w:rsidRDefault="00043BF0" w14:paraId="69B91AA1" w14:textId="77777777">
            <w:pPr>
              <w:pStyle w:val="BodyText"/>
              <w:tabs>
                <w:tab w:val="left" w:pos="1168"/>
              </w:tabs>
              <w:rPr>
                <w:rFonts w:asciiTheme="minorHAnsi" w:hAnsiTheme="minorHAnsi"/>
                <w:sz w:val="20"/>
                <w:lang w:val="en-AU"/>
              </w:rPr>
            </w:pPr>
            <w:r w:rsidRPr="00E00280">
              <w:rPr>
                <w:rFonts w:cs="Arial" w:asciiTheme="minorHAnsi" w:hAnsiTheme="minorHAnsi"/>
                <w:b/>
                <w:sz w:val="20"/>
              </w:rPr>
              <w:t xml:space="preserve">Probiotics for prevention of late onset sepsis (LOS) in preterm infants: </w:t>
            </w:r>
            <w:r w:rsidRPr="00E00280">
              <w:rPr>
                <w:rFonts w:cs="Arial" w:asciiTheme="minorHAnsi" w:hAnsiTheme="minorHAnsi"/>
                <w:sz w:val="20"/>
              </w:rPr>
              <w:t>Enteral probiotics supplementation significantly reduced the incidence of LOS (37 RCTs, 9416 infants; 13.9% vs 16.3%; RR 0.86; 95% CI 0.78–0.94; P = .0007; NNT 44).</w:t>
            </w:r>
            <w:r w:rsidRPr="00E00280">
              <w:rPr>
                <w:rFonts w:cs="Arial" w:asciiTheme="minorHAnsi" w:hAnsiTheme="minorHAnsi"/>
                <w:sz w:val="20"/>
                <w:lang w:val="en-AU"/>
              </w:rPr>
              <w:t xml:space="preserve"> </w:t>
            </w:r>
            <w:r w:rsidRPr="00E00280">
              <w:rPr>
                <w:rFonts w:cs="Arial" w:asciiTheme="minorHAnsi" w:hAnsiTheme="minorHAnsi"/>
                <w:noProof/>
                <w:sz w:val="20"/>
                <w:lang w:val="en-AU"/>
              </w:rPr>
              <w:t>[2, 3]</w:t>
            </w:r>
            <w:r w:rsidRPr="00E00280">
              <w:rPr>
                <w:rFonts w:cs="Arial" w:asciiTheme="minorHAnsi" w:hAnsiTheme="minorHAnsi"/>
                <w:sz w:val="20"/>
                <w:lang w:val="en-AU"/>
              </w:rPr>
              <w:t xml:space="preserve"> </w:t>
            </w:r>
            <w:r w:rsidRPr="00E00280">
              <w:rPr>
                <w:rFonts w:cs="Arial" w:asciiTheme="minorHAnsi" w:hAnsiTheme="minorHAnsi"/>
                <w:sz w:val="20"/>
              </w:rPr>
              <w:t>(LOE I GOR A)</w:t>
            </w:r>
            <w:r w:rsidRPr="00E00280">
              <w:rPr>
                <w:rFonts w:cs="Arial" w:asciiTheme="minorHAnsi" w:hAnsiTheme="minorHAnsi"/>
                <w:sz w:val="20"/>
                <w:lang w:val="en-AU"/>
              </w:rPr>
              <w:t xml:space="preserve"> </w:t>
            </w:r>
          </w:p>
          <w:p w:rsidRPr="00E00280" w:rsidR="00043BF0" w:rsidP="0059793A" w:rsidRDefault="00043BF0" w14:paraId="7D3F729E" w14:textId="77777777">
            <w:pPr>
              <w:pStyle w:val="BodyText"/>
              <w:tabs>
                <w:tab w:val="left" w:pos="1168"/>
              </w:tabs>
              <w:rPr>
                <w:rFonts w:cs="Arial" w:asciiTheme="minorHAnsi" w:hAnsiTheme="minorHAnsi"/>
                <w:sz w:val="20"/>
                <w:lang w:val="en-AU"/>
              </w:rPr>
            </w:pPr>
            <w:r w:rsidRPr="00E00280">
              <w:rPr>
                <w:rFonts w:cs="Arial" w:asciiTheme="minorHAnsi" w:hAnsiTheme="minorHAnsi"/>
                <w:b/>
                <w:sz w:val="20"/>
              </w:rPr>
              <w:t xml:space="preserve">Safety: </w:t>
            </w:r>
            <w:r w:rsidRPr="00E00280">
              <w:rPr>
                <w:rFonts w:asciiTheme="minorHAnsi" w:hAnsiTheme="minorHAnsi"/>
                <w:sz w:val="20"/>
                <w:lang w:val="en-AU"/>
              </w:rPr>
              <w:t>None of the included trials have reported probiotic</w:t>
            </w:r>
            <w:r>
              <w:rPr>
                <w:rFonts w:asciiTheme="minorHAnsi" w:hAnsiTheme="minorHAnsi"/>
                <w:sz w:val="20"/>
                <w:lang w:val="en-AU"/>
              </w:rPr>
              <w:t>-</w:t>
            </w:r>
            <w:r w:rsidRPr="00E00280">
              <w:rPr>
                <w:rFonts w:asciiTheme="minorHAnsi" w:hAnsiTheme="minorHAnsi"/>
                <w:sz w:val="20"/>
                <w:lang w:val="en-AU"/>
              </w:rPr>
              <w:t>induced sepsis.</w:t>
            </w:r>
            <w:r w:rsidRPr="00E00280">
              <w:rPr>
                <w:rFonts w:asciiTheme="minorHAnsi" w:hAnsiTheme="minorHAnsi"/>
                <w:noProof/>
                <w:sz w:val="20"/>
                <w:lang w:val="en-AU"/>
              </w:rPr>
              <w:t>[1-3, 9]</w:t>
            </w:r>
            <w:r w:rsidRPr="00E00280">
              <w:rPr>
                <w:rFonts w:asciiTheme="minorHAnsi" w:hAnsiTheme="minorHAnsi"/>
                <w:sz w:val="20"/>
                <w:lang w:val="en-AU"/>
              </w:rPr>
              <w:t xml:space="preserve"> </w:t>
            </w:r>
            <w:r w:rsidRPr="00E00280">
              <w:rPr>
                <w:rFonts w:cs="Arial" w:asciiTheme="minorHAnsi" w:hAnsiTheme="minorHAnsi"/>
                <w:sz w:val="20"/>
              </w:rPr>
              <w:t>Case reports of systemic infections caused by probiotic organisms are found in the literature.</w:t>
            </w:r>
            <w:r w:rsidRPr="00E00280">
              <w:rPr>
                <w:rFonts w:cs="Arial" w:asciiTheme="minorHAnsi" w:hAnsiTheme="minorHAnsi"/>
                <w:sz w:val="20"/>
                <w:lang w:val="en-AU"/>
              </w:rPr>
              <w:t xml:space="preserve"> </w:t>
            </w:r>
            <w:r w:rsidRPr="00E00280">
              <w:rPr>
                <w:rFonts w:cs="Arial" w:asciiTheme="minorHAnsi" w:hAnsiTheme="minorHAnsi"/>
                <w:noProof/>
                <w:sz w:val="20"/>
                <w:lang w:val="en-AU"/>
              </w:rPr>
              <w:t>[8]</w:t>
            </w:r>
            <w:r w:rsidRPr="00E00280">
              <w:rPr>
                <w:rFonts w:cs="Arial" w:asciiTheme="minorHAnsi" w:hAnsiTheme="minorHAnsi"/>
                <w:sz w:val="20"/>
              </w:rPr>
              <w:t xml:space="preserve"> Most adverse events and serious adverse events were considered unrelated to the study product and there were no major safety concerns.</w:t>
            </w:r>
            <w:r w:rsidRPr="00E00280">
              <w:rPr>
                <w:rFonts w:cs="Arial" w:asciiTheme="minorHAnsi" w:hAnsiTheme="minorHAnsi"/>
                <w:noProof/>
                <w:sz w:val="20"/>
              </w:rPr>
              <w:t>[8]</w:t>
            </w:r>
            <w:r w:rsidRPr="00E00280">
              <w:rPr>
                <w:rFonts w:cs="Arial" w:asciiTheme="minorHAnsi" w:hAnsiTheme="minorHAnsi"/>
                <w:sz w:val="20"/>
                <w:lang w:val="en-AU"/>
              </w:rPr>
              <w:t xml:space="preserve"> </w:t>
            </w:r>
          </w:p>
          <w:p w:rsidRPr="00E00280" w:rsidR="00043BF0" w:rsidP="0059793A" w:rsidRDefault="00043BF0" w14:paraId="061D1954" w14:textId="77777777">
            <w:pPr>
              <w:pStyle w:val="BodyText"/>
              <w:tabs>
                <w:tab w:val="left" w:pos="1168"/>
              </w:tabs>
              <w:rPr>
                <w:rFonts w:asciiTheme="minorHAnsi" w:hAnsiTheme="minorHAnsi"/>
                <w:sz w:val="20"/>
                <w:lang w:val="en-AU"/>
              </w:rPr>
            </w:pPr>
            <w:r w:rsidRPr="00E00280">
              <w:rPr>
                <w:rFonts w:asciiTheme="minorHAnsi" w:hAnsiTheme="minorHAnsi"/>
                <w:sz w:val="20"/>
                <w:lang w:val="en-AU"/>
              </w:rPr>
              <w:t>Issues related to quality of probiotic products have been reported</w:t>
            </w:r>
            <w:r>
              <w:rPr>
                <w:rFonts w:asciiTheme="minorHAnsi" w:hAnsiTheme="minorHAnsi"/>
                <w:sz w:val="20"/>
                <w:lang w:val="en-AU"/>
              </w:rPr>
              <w:t>,</w:t>
            </w:r>
            <w:r w:rsidRPr="00E00280">
              <w:rPr>
                <w:rFonts w:asciiTheme="minorHAnsi" w:hAnsiTheme="minorHAnsi"/>
                <w:sz w:val="20"/>
                <w:lang w:val="en-AU"/>
              </w:rPr>
              <w:t xml:space="preserve"> including viability and contamination.</w:t>
            </w:r>
            <w:r>
              <w:rPr>
                <w:rFonts w:asciiTheme="minorHAnsi" w:hAnsiTheme="minorHAnsi"/>
                <w:noProof/>
                <w:sz w:val="20"/>
                <w:lang w:val="en-AU"/>
              </w:rPr>
              <w:t>[12, 13</w:t>
            </w:r>
            <w:r w:rsidRPr="00E00280">
              <w:rPr>
                <w:rFonts w:asciiTheme="minorHAnsi" w:hAnsiTheme="minorHAnsi"/>
                <w:noProof/>
                <w:sz w:val="20"/>
                <w:lang w:val="en-AU"/>
              </w:rPr>
              <w:t>]</w:t>
            </w:r>
            <w:r w:rsidRPr="00E00280">
              <w:rPr>
                <w:rFonts w:asciiTheme="minorHAnsi" w:hAnsiTheme="minorHAnsi"/>
                <w:sz w:val="20"/>
                <w:lang w:val="en-AU"/>
              </w:rPr>
              <w:t xml:space="preserve"> Food and Drug Administration (FDA) USA issued an alert when a neonate died due to fungal sepsis from contaminated probiotic product.</w:t>
            </w:r>
            <w:r>
              <w:rPr>
                <w:rFonts w:asciiTheme="minorHAnsi" w:hAnsiTheme="minorHAnsi"/>
                <w:noProof/>
                <w:sz w:val="20"/>
                <w:lang w:val="en-AU"/>
              </w:rPr>
              <w:t>[13</w:t>
            </w:r>
            <w:r w:rsidRPr="00E00280">
              <w:rPr>
                <w:rFonts w:asciiTheme="minorHAnsi" w:hAnsiTheme="minorHAnsi"/>
                <w:noProof/>
                <w:sz w:val="20"/>
                <w:lang w:val="en-AU"/>
              </w:rPr>
              <w:t>]</w:t>
            </w:r>
            <w:r w:rsidRPr="00E00280">
              <w:rPr>
                <w:rFonts w:asciiTheme="minorHAnsi" w:hAnsiTheme="minorHAnsi"/>
                <w:sz w:val="20"/>
                <w:lang w:val="en-AU"/>
              </w:rPr>
              <w:t xml:space="preserve"> Viability and contamination testing should be performed on every batch of probiotic product.</w:t>
            </w:r>
            <w:r w:rsidRPr="00E00280">
              <w:rPr>
                <w:rFonts w:asciiTheme="minorHAnsi" w:hAnsiTheme="minorHAnsi"/>
                <w:noProof/>
                <w:sz w:val="20"/>
                <w:lang w:val="en-AU"/>
              </w:rPr>
              <w:t>[8]</w:t>
            </w:r>
            <w:r w:rsidRPr="00E00280">
              <w:rPr>
                <w:rFonts w:asciiTheme="minorHAnsi" w:hAnsiTheme="minorHAnsi"/>
                <w:sz w:val="20"/>
                <w:lang w:val="en-AU"/>
              </w:rPr>
              <w:t xml:space="preserve"> </w:t>
            </w:r>
          </w:p>
        </w:tc>
      </w:tr>
      <w:tr w:rsidRPr="00E00280" w:rsidR="00043BF0" w:rsidTr="0059793A" w14:paraId="38E6BB15" w14:textId="77777777">
        <w:trPr>
          <w:trHeight w:val="361"/>
        </w:trPr>
        <w:tc>
          <w:tcPr>
            <w:tcW w:w="1043" w:type="pct"/>
          </w:tcPr>
          <w:p w:rsidRPr="00E00280" w:rsidR="00043BF0" w:rsidP="0059793A" w:rsidRDefault="00043BF0" w14:paraId="23580A04" w14:textId="77777777">
            <w:pPr>
              <w:pStyle w:val="BodyText"/>
              <w:rPr>
                <w:rFonts w:cs="Arial" w:asciiTheme="minorHAnsi" w:hAnsiTheme="minorHAnsi"/>
                <w:b/>
                <w:bCs/>
                <w:sz w:val="20"/>
                <w:lang w:val="en-AU"/>
              </w:rPr>
            </w:pPr>
            <w:r w:rsidRPr="00E00280">
              <w:rPr>
                <w:rFonts w:asciiTheme="minorHAnsi" w:hAnsiTheme="minorHAnsi"/>
                <w:b/>
                <w:sz w:val="20"/>
                <w:lang w:val="en-AU"/>
              </w:rPr>
              <w:t>References</w:t>
            </w:r>
          </w:p>
        </w:tc>
        <w:tc>
          <w:tcPr>
            <w:tcW w:w="3957" w:type="pct"/>
          </w:tcPr>
          <w:p w:rsidRPr="00E00280" w:rsidR="00043BF0" w:rsidP="0059793A" w:rsidRDefault="00043BF0" w14:paraId="03850A0F" w14:textId="77777777">
            <w:pPr>
              <w:pStyle w:val="EndNoteBibliography"/>
              <w:rPr>
                <w:rFonts w:asciiTheme="minorHAnsi" w:hAnsiTheme="minorHAnsi"/>
                <w:sz w:val="20"/>
                <w:szCs w:val="20"/>
              </w:rPr>
            </w:pPr>
            <w:r w:rsidRPr="00E00280">
              <w:rPr>
                <w:rFonts w:asciiTheme="minorHAnsi" w:hAnsiTheme="minorHAnsi"/>
                <w:sz w:val="20"/>
                <w:szCs w:val="20"/>
              </w:rPr>
              <w:t>1.</w:t>
            </w:r>
            <w:r>
              <w:rPr>
                <w:rFonts w:asciiTheme="minorHAnsi" w:hAnsiTheme="minorHAnsi"/>
                <w:sz w:val="20"/>
                <w:szCs w:val="20"/>
              </w:rPr>
              <w:t xml:space="preserve"> </w:t>
            </w:r>
            <w:r w:rsidRPr="00E00280">
              <w:rPr>
                <w:rFonts w:asciiTheme="minorHAnsi" w:hAnsiTheme="minorHAnsi"/>
                <w:sz w:val="20"/>
                <w:szCs w:val="20"/>
              </w:rPr>
              <w:t>Alfaleh K, Anabrees J, Bassler D, Al-Kharfi T. Probiotics for prevention of necrotizing enterocolitis in preterm infants. Cochrane Database Syst Rev. 2011:CD005496.</w:t>
            </w:r>
          </w:p>
          <w:p w:rsidRPr="00E00280" w:rsidR="00043BF0" w:rsidP="0059793A" w:rsidRDefault="00043BF0" w14:paraId="21DF8352" w14:textId="77777777">
            <w:pPr>
              <w:pStyle w:val="EndNoteBibliography"/>
              <w:rPr>
                <w:rFonts w:asciiTheme="minorHAnsi" w:hAnsiTheme="minorHAnsi"/>
                <w:sz w:val="20"/>
                <w:szCs w:val="20"/>
              </w:rPr>
            </w:pPr>
            <w:r w:rsidRPr="00E00280">
              <w:rPr>
                <w:rFonts w:asciiTheme="minorHAnsi" w:hAnsiTheme="minorHAnsi"/>
                <w:sz w:val="20"/>
                <w:szCs w:val="20"/>
              </w:rPr>
              <w:t>2.</w:t>
            </w:r>
            <w:r>
              <w:rPr>
                <w:rFonts w:asciiTheme="minorHAnsi" w:hAnsiTheme="minorHAnsi"/>
                <w:sz w:val="20"/>
                <w:szCs w:val="20"/>
              </w:rPr>
              <w:t xml:space="preserve"> </w:t>
            </w:r>
            <w:r w:rsidRPr="00E00280">
              <w:rPr>
                <w:rFonts w:asciiTheme="minorHAnsi" w:hAnsiTheme="minorHAnsi"/>
                <w:sz w:val="20"/>
                <w:szCs w:val="20"/>
              </w:rPr>
              <w:t>Dermyshi E, Wang Y, Yan C, Hong W, Qiu G, Gong X, Zhang T. The "Golden Age" of Probiotics: A Systematic Review and Meta-Analysis of Randomized and Observational Studies in Preterm Infants. Neonatology. 2017;112:9-23.</w:t>
            </w:r>
          </w:p>
          <w:p w:rsidRPr="00E00280" w:rsidR="00043BF0" w:rsidP="0059793A" w:rsidRDefault="00043BF0" w14:paraId="16BD982A" w14:textId="77777777">
            <w:pPr>
              <w:pStyle w:val="EndNoteBibliography"/>
              <w:rPr>
                <w:rFonts w:asciiTheme="minorHAnsi" w:hAnsiTheme="minorHAnsi"/>
                <w:sz w:val="20"/>
                <w:szCs w:val="20"/>
              </w:rPr>
            </w:pPr>
            <w:r w:rsidRPr="00E00280">
              <w:rPr>
                <w:rFonts w:asciiTheme="minorHAnsi" w:hAnsiTheme="minorHAnsi"/>
                <w:sz w:val="20"/>
                <w:szCs w:val="20"/>
              </w:rPr>
              <w:t>3.</w:t>
            </w:r>
            <w:r>
              <w:rPr>
                <w:rFonts w:asciiTheme="minorHAnsi" w:hAnsiTheme="minorHAnsi"/>
                <w:sz w:val="20"/>
                <w:szCs w:val="20"/>
              </w:rPr>
              <w:t xml:space="preserve"> </w:t>
            </w:r>
            <w:r w:rsidRPr="00E00280">
              <w:rPr>
                <w:rFonts w:asciiTheme="minorHAnsi" w:hAnsiTheme="minorHAnsi"/>
                <w:sz w:val="20"/>
                <w:szCs w:val="20"/>
              </w:rPr>
              <w:t>Rao SC, Athalye-Jape GK, Deshpande GC, Simmer KN, Patole SK. Probiotic Supplementation and Late-Onset Sepsis in Preterm Infants: A Meta-analysis. Pediatrics. 2016;137:e20153684.</w:t>
            </w:r>
          </w:p>
          <w:p w:rsidRPr="00E00280" w:rsidR="00043BF0" w:rsidP="0059793A" w:rsidRDefault="00043BF0" w14:paraId="02833FA7" w14:textId="77777777">
            <w:pPr>
              <w:pStyle w:val="EndNoteBibliography"/>
              <w:rPr>
                <w:rFonts w:asciiTheme="minorHAnsi" w:hAnsiTheme="minorHAnsi"/>
                <w:sz w:val="20"/>
                <w:szCs w:val="20"/>
              </w:rPr>
            </w:pPr>
            <w:r w:rsidRPr="00E00280">
              <w:rPr>
                <w:rFonts w:asciiTheme="minorHAnsi" w:hAnsiTheme="minorHAnsi"/>
                <w:sz w:val="20"/>
                <w:szCs w:val="20"/>
              </w:rPr>
              <w:lastRenderedPageBreak/>
              <w:t>4.</w:t>
            </w:r>
            <w:r>
              <w:rPr>
                <w:rFonts w:asciiTheme="minorHAnsi" w:hAnsiTheme="minorHAnsi"/>
                <w:sz w:val="20"/>
                <w:szCs w:val="20"/>
              </w:rPr>
              <w:t xml:space="preserve"> </w:t>
            </w:r>
            <w:r w:rsidRPr="00E00280">
              <w:rPr>
                <w:rFonts w:asciiTheme="minorHAnsi" w:hAnsiTheme="minorHAnsi"/>
                <w:sz w:val="20"/>
                <w:szCs w:val="20"/>
              </w:rPr>
              <w:t>Deshpande G, Rao S, Patole S, Bulsara M. Updated meta-analysis of probiotics for preventing necrotizing enterocolitis in preterm neonates. Pediatrics. 2010;125:921-30.</w:t>
            </w:r>
          </w:p>
          <w:p w:rsidRPr="00E00280" w:rsidR="00043BF0" w:rsidP="0059793A" w:rsidRDefault="00043BF0" w14:paraId="002DAC95" w14:textId="77777777">
            <w:pPr>
              <w:pStyle w:val="EndNoteBibliography"/>
              <w:rPr>
                <w:rFonts w:asciiTheme="minorHAnsi" w:hAnsiTheme="minorHAnsi"/>
                <w:sz w:val="20"/>
                <w:szCs w:val="20"/>
              </w:rPr>
            </w:pPr>
            <w:r w:rsidRPr="00E00280">
              <w:rPr>
                <w:rFonts w:asciiTheme="minorHAnsi" w:hAnsiTheme="minorHAnsi"/>
                <w:sz w:val="20"/>
                <w:szCs w:val="20"/>
              </w:rPr>
              <w:t>5.</w:t>
            </w:r>
            <w:r>
              <w:rPr>
                <w:rFonts w:asciiTheme="minorHAnsi" w:hAnsiTheme="minorHAnsi"/>
                <w:sz w:val="20"/>
                <w:szCs w:val="20"/>
              </w:rPr>
              <w:t xml:space="preserve"> </w:t>
            </w:r>
            <w:r w:rsidRPr="00E00280">
              <w:rPr>
                <w:rFonts w:asciiTheme="minorHAnsi" w:hAnsiTheme="minorHAnsi"/>
                <w:sz w:val="20"/>
                <w:szCs w:val="20"/>
              </w:rPr>
              <w:t>Martin CR, Walker WA. Probiotics: role in pathophysiology and prevention in necrotizing enterocolitis. Semin Perinatol. 2008;32:127-37.</w:t>
            </w:r>
          </w:p>
          <w:p w:rsidRPr="00E00280" w:rsidR="00043BF0" w:rsidP="0059793A" w:rsidRDefault="00043BF0" w14:paraId="73428B79" w14:textId="77777777">
            <w:pPr>
              <w:pStyle w:val="EndNoteBibliography"/>
              <w:rPr>
                <w:rFonts w:asciiTheme="minorHAnsi" w:hAnsiTheme="minorHAnsi"/>
                <w:sz w:val="20"/>
                <w:szCs w:val="20"/>
              </w:rPr>
            </w:pPr>
            <w:r w:rsidRPr="00E00280">
              <w:rPr>
                <w:rFonts w:asciiTheme="minorHAnsi" w:hAnsiTheme="minorHAnsi"/>
                <w:sz w:val="20"/>
                <w:szCs w:val="20"/>
              </w:rPr>
              <w:t>6.</w:t>
            </w:r>
            <w:r>
              <w:rPr>
                <w:rFonts w:asciiTheme="minorHAnsi" w:hAnsiTheme="minorHAnsi"/>
                <w:sz w:val="20"/>
                <w:szCs w:val="20"/>
              </w:rPr>
              <w:t xml:space="preserve"> </w:t>
            </w:r>
            <w:r w:rsidRPr="00E00280">
              <w:rPr>
                <w:rFonts w:asciiTheme="minorHAnsi" w:hAnsiTheme="minorHAnsi"/>
                <w:sz w:val="20"/>
                <w:szCs w:val="20"/>
              </w:rPr>
              <w:t>Infloran. Product information. Laboratorio Farmaceutico, Italy. 2002.</w:t>
            </w:r>
          </w:p>
          <w:p w:rsidRPr="00E00280" w:rsidR="00043BF0" w:rsidP="0059793A" w:rsidRDefault="00043BF0" w14:paraId="5AED8C66" w14:textId="77777777">
            <w:pPr>
              <w:pStyle w:val="EndNoteBibliography"/>
              <w:rPr>
                <w:rFonts w:asciiTheme="minorHAnsi" w:hAnsiTheme="minorHAnsi"/>
                <w:sz w:val="20"/>
                <w:szCs w:val="20"/>
              </w:rPr>
            </w:pPr>
            <w:r w:rsidRPr="00E00280">
              <w:rPr>
                <w:rFonts w:asciiTheme="minorHAnsi" w:hAnsiTheme="minorHAnsi"/>
                <w:sz w:val="20"/>
                <w:szCs w:val="20"/>
              </w:rPr>
              <w:t>7.</w:t>
            </w:r>
            <w:r>
              <w:rPr>
                <w:rFonts w:asciiTheme="minorHAnsi" w:hAnsiTheme="minorHAnsi"/>
                <w:sz w:val="20"/>
                <w:szCs w:val="20"/>
              </w:rPr>
              <w:t xml:space="preserve"> </w:t>
            </w:r>
            <w:r w:rsidRPr="00E00280">
              <w:rPr>
                <w:rFonts w:asciiTheme="minorHAnsi" w:hAnsiTheme="minorHAnsi"/>
                <w:sz w:val="20"/>
                <w:szCs w:val="20"/>
              </w:rPr>
              <w:t>Lin HC, Hsu CH, Chen HL, Chung MY, Hsu JF, Lien RI, Tsao LY, Chen CH, Su BH. Oral probiotics prevent necrotizing enterocolitis in very low birth weight preterm infants: a multicenter, randomized, controlled trial. Pediatrics. 2008;122:693-700.</w:t>
            </w:r>
          </w:p>
          <w:p w:rsidRPr="00E00280" w:rsidR="00043BF0" w:rsidP="0059793A" w:rsidRDefault="00043BF0" w14:paraId="663000D7" w14:textId="77777777">
            <w:pPr>
              <w:pStyle w:val="EndNoteBibliography"/>
              <w:rPr>
                <w:rFonts w:asciiTheme="minorHAnsi" w:hAnsiTheme="minorHAnsi"/>
                <w:sz w:val="20"/>
                <w:szCs w:val="20"/>
              </w:rPr>
            </w:pPr>
            <w:r w:rsidRPr="00E00280">
              <w:rPr>
                <w:rFonts w:asciiTheme="minorHAnsi" w:hAnsiTheme="minorHAnsi"/>
                <w:sz w:val="20"/>
                <w:szCs w:val="20"/>
              </w:rPr>
              <w:t>8.</w:t>
            </w:r>
            <w:r>
              <w:rPr>
                <w:rFonts w:asciiTheme="minorHAnsi" w:hAnsiTheme="minorHAnsi"/>
                <w:sz w:val="20"/>
                <w:szCs w:val="20"/>
              </w:rPr>
              <w:t xml:space="preserve"> </w:t>
            </w:r>
            <w:r w:rsidRPr="00E00280">
              <w:rPr>
                <w:rFonts w:asciiTheme="minorHAnsi" w:hAnsiTheme="minorHAnsi"/>
                <w:sz w:val="20"/>
                <w:szCs w:val="20"/>
              </w:rPr>
              <w:t>Deshpande GC, Rao SC, Keil AD, Patole SK. Evidence-based guidelines for use of probiotics in preterm neonates. BMC medicine. 2011;9:92.</w:t>
            </w:r>
          </w:p>
          <w:p w:rsidR="00043BF0" w:rsidP="0059793A" w:rsidRDefault="00043BF0" w14:paraId="5A9D2580" w14:textId="77777777">
            <w:pPr>
              <w:pStyle w:val="EndNoteBibliography"/>
              <w:rPr>
                <w:rFonts w:asciiTheme="minorHAnsi" w:hAnsiTheme="minorHAnsi"/>
                <w:sz w:val="20"/>
                <w:szCs w:val="20"/>
              </w:rPr>
            </w:pPr>
            <w:r w:rsidRPr="00E00280">
              <w:rPr>
                <w:rFonts w:asciiTheme="minorHAnsi" w:hAnsiTheme="minorHAnsi"/>
                <w:sz w:val="20"/>
                <w:szCs w:val="20"/>
              </w:rPr>
              <w:t>9.</w:t>
            </w:r>
            <w:r>
              <w:rPr>
                <w:rFonts w:asciiTheme="minorHAnsi" w:hAnsiTheme="minorHAnsi"/>
                <w:sz w:val="20"/>
                <w:szCs w:val="20"/>
              </w:rPr>
              <w:t xml:space="preserve"> </w:t>
            </w:r>
            <w:r w:rsidRPr="00E00280">
              <w:rPr>
                <w:rFonts w:asciiTheme="minorHAnsi" w:hAnsiTheme="minorHAnsi"/>
                <w:sz w:val="20"/>
                <w:szCs w:val="20"/>
              </w:rPr>
              <w:t>Chang HY, Chen JH, Chang JH, Lin HC, Lin CY, Peng CC. Multiple strains probiotics appear to be the most effective probiotics in the prevention of necrotizing enterocolitis and mortality: An updated meta-analysis. PLoS One. 2017;12:e0171579.</w:t>
            </w:r>
          </w:p>
          <w:p w:rsidRPr="00B72A07" w:rsidR="00043BF0" w:rsidP="0059793A" w:rsidRDefault="00043BF0" w14:paraId="59B480D5" w14:textId="77777777">
            <w:pPr>
              <w:pStyle w:val="EndNoteBibliography"/>
              <w:rPr>
                <w:rFonts w:asciiTheme="minorHAnsi" w:hAnsiTheme="minorHAnsi"/>
                <w:sz w:val="20"/>
                <w:szCs w:val="20"/>
              </w:rPr>
            </w:pPr>
            <w:r w:rsidRPr="00B72A07">
              <w:rPr>
                <w:rFonts w:asciiTheme="minorHAnsi" w:hAnsiTheme="minorHAnsi"/>
                <w:sz w:val="20"/>
                <w:szCs w:val="20"/>
              </w:rPr>
              <w:t>10. Deshpande G, Shingde V, Downe L, Leroi M, Xiao J. Routine probiotics for preterm neonates: experience in a tertiary australian neonatal intensive care unit. J Paediatr Child Health. 2013;49:50.</w:t>
            </w:r>
          </w:p>
          <w:p w:rsidRPr="00E00280" w:rsidR="00043BF0" w:rsidP="0059793A" w:rsidRDefault="00043BF0" w14:paraId="7CBF4357" w14:textId="77777777">
            <w:pPr>
              <w:pStyle w:val="EndNoteBibliography"/>
              <w:rPr>
                <w:rFonts w:asciiTheme="minorHAnsi" w:hAnsiTheme="minorHAnsi"/>
                <w:sz w:val="20"/>
                <w:szCs w:val="20"/>
              </w:rPr>
            </w:pPr>
            <w:r w:rsidRPr="00B72A07">
              <w:rPr>
                <w:rFonts w:asciiTheme="minorHAnsi" w:hAnsiTheme="minorHAnsi"/>
                <w:sz w:val="20"/>
                <w:szCs w:val="20"/>
              </w:rPr>
              <w:t>11. Samuels N, Van De Graaf R, Been JV, De Jonge RCJ, Hanff LM, Wijnen RMH, Kornelisse RF, Reiss IKM, Vermeulen MJ. Necrotising enterocolitis and mortality in preterm infants after introduction of routine probiotics in a NICU setting. Eur J Pediatr. 2016;175 (11):1733-4.</w:t>
            </w:r>
          </w:p>
          <w:p w:rsidRPr="00E00280" w:rsidR="00043BF0" w:rsidP="0059793A" w:rsidRDefault="00043BF0" w14:paraId="50876A40" w14:textId="77777777">
            <w:pPr>
              <w:pStyle w:val="EndNoteBibliography"/>
              <w:rPr>
                <w:rFonts w:asciiTheme="minorHAnsi" w:hAnsiTheme="minorHAnsi"/>
                <w:sz w:val="20"/>
                <w:szCs w:val="20"/>
              </w:rPr>
            </w:pPr>
            <w:r>
              <w:rPr>
                <w:rFonts w:asciiTheme="minorHAnsi" w:hAnsiTheme="minorHAnsi"/>
                <w:sz w:val="20"/>
                <w:szCs w:val="20"/>
              </w:rPr>
              <w:t>12</w:t>
            </w:r>
            <w:r w:rsidRPr="00E00280">
              <w:rPr>
                <w:rFonts w:asciiTheme="minorHAnsi" w:hAnsiTheme="minorHAnsi"/>
                <w:sz w:val="20"/>
                <w:szCs w:val="20"/>
              </w:rPr>
              <w:t>.</w:t>
            </w:r>
            <w:r>
              <w:rPr>
                <w:rFonts w:asciiTheme="minorHAnsi" w:hAnsiTheme="minorHAnsi"/>
                <w:sz w:val="20"/>
                <w:szCs w:val="20"/>
              </w:rPr>
              <w:t xml:space="preserve"> </w:t>
            </w:r>
            <w:r w:rsidRPr="00E00280">
              <w:rPr>
                <w:rFonts w:asciiTheme="minorHAnsi" w:hAnsiTheme="minorHAnsi"/>
                <w:sz w:val="20"/>
                <w:szCs w:val="20"/>
              </w:rPr>
              <w:t>Canganella F, Paganani S, Ovidi M, Vettraino AM, Bevilacqua L, Massa S, Trovatelli LD. A microbiological investigation on probiotic pharmaceutical products used for human health. Microbiological research. 1997;152:171-9.</w:t>
            </w:r>
          </w:p>
          <w:p w:rsidRPr="00E00280" w:rsidR="00043BF0" w:rsidP="0059793A" w:rsidRDefault="00043BF0" w14:paraId="7603E6A6" w14:textId="77777777">
            <w:pPr>
              <w:pStyle w:val="EndNoteBibliography"/>
              <w:rPr>
                <w:rFonts w:asciiTheme="minorHAnsi" w:hAnsiTheme="minorHAnsi"/>
                <w:sz w:val="20"/>
                <w:szCs w:val="20"/>
              </w:rPr>
            </w:pPr>
            <w:r>
              <w:rPr>
                <w:rFonts w:asciiTheme="minorHAnsi" w:hAnsiTheme="minorHAnsi"/>
                <w:sz w:val="20"/>
                <w:szCs w:val="20"/>
              </w:rPr>
              <w:t>13</w:t>
            </w:r>
            <w:r w:rsidRPr="00E00280">
              <w:rPr>
                <w:rFonts w:asciiTheme="minorHAnsi" w:hAnsiTheme="minorHAnsi"/>
                <w:sz w:val="20"/>
                <w:szCs w:val="20"/>
              </w:rPr>
              <w:t>.</w:t>
            </w:r>
            <w:r>
              <w:rPr>
                <w:rFonts w:asciiTheme="minorHAnsi" w:hAnsiTheme="minorHAnsi"/>
                <w:sz w:val="20"/>
                <w:szCs w:val="20"/>
              </w:rPr>
              <w:t xml:space="preserve"> </w:t>
            </w:r>
            <w:r w:rsidRPr="00E00280">
              <w:rPr>
                <w:rFonts w:asciiTheme="minorHAnsi" w:hAnsiTheme="minorHAnsi"/>
                <w:sz w:val="20"/>
                <w:szCs w:val="20"/>
              </w:rPr>
              <w:t>Drago L, Rodighiero V, Celeste T, Rovetto L, De Vecchi E. Microbiological evaluation of commercial probiotic products available in the USA in 2009. J Chemother. 2010;22:373-7.</w:t>
            </w:r>
          </w:p>
          <w:p w:rsidRPr="00E00280" w:rsidR="00043BF0" w:rsidP="0059793A" w:rsidRDefault="00043BF0" w14:paraId="0EB46080" w14:textId="77777777">
            <w:pPr>
              <w:pStyle w:val="EndNoteBibliography"/>
              <w:rPr>
                <w:rFonts w:asciiTheme="minorHAnsi" w:hAnsiTheme="minorHAnsi"/>
                <w:sz w:val="20"/>
                <w:szCs w:val="20"/>
              </w:rPr>
            </w:pPr>
            <w:r>
              <w:rPr>
                <w:rFonts w:asciiTheme="minorHAnsi" w:hAnsiTheme="minorHAnsi"/>
                <w:sz w:val="20"/>
                <w:szCs w:val="20"/>
              </w:rPr>
              <w:t>12. h</w:t>
            </w:r>
            <w:r w:rsidRPr="00E00280">
              <w:rPr>
                <w:rFonts w:asciiTheme="minorHAnsi" w:hAnsiTheme="minorHAnsi"/>
                <w:sz w:val="20"/>
                <w:szCs w:val="20"/>
              </w:rPr>
              <w:t>ttps://www.fda.gov/food/recallsoutbreaksemergencies/outbreaks/ucm423830.htm.</w:t>
            </w:r>
          </w:p>
        </w:tc>
      </w:tr>
    </w:tbl>
    <w:p w:rsidRPr="00E25790" w:rsidR="00273A16" w:rsidP="006F0321" w:rsidRDefault="00273A16" w14:paraId="26F4EFE6" w14:textId="77777777"/>
    <w:p w:rsidRPr="00E25790" w:rsidR="00403C02" w:rsidP="006F0321" w:rsidRDefault="00403C02" w14:paraId="251BD2F2" w14:textId="77777777"/>
    <w:tbl>
      <w:tblPr>
        <w:tblW w:w="87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365"/>
      </w:tblGrid>
      <w:tr w:rsidRPr="00E25790" w:rsidR="00403C02" w:rsidTr="00A26E96" w14:paraId="6516B60C" w14:textId="77777777">
        <w:tc>
          <w:tcPr>
            <w:tcW w:w="4395" w:type="dxa"/>
            <w:vAlign w:val="center"/>
          </w:tcPr>
          <w:p w:rsidRPr="00E25790" w:rsidR="00403C02" w:rsidP="00A26E96" w:rsidRDefault="00403C02" w14:paraId="377845BD" w14:textId="77777777">
            <w:r w:rsidRPr="00E25790">
              <w:t>Original version Date: 6/06/2017</w:t>
            </w:r>
          </w:p>
        </w:tc>
        <w:tc>
          <w:tcPr>
            <w:tcW w:w="4365" w:type="dxa"/>
            <w:vAlign w:val="center"/>
          </w:tcPr>
          <w:p w:rsidRPr="00E25790" w:rsidR="00403C02" w:rsidP="00A26E96" w:rsidRDefault="00403C02" w14:paraId="1C182380" w14:textId="59038E62">
            <w:r w:rsidRPr="00E25790">
              <w:t xml:space="preserve">Author: </w:t>
            </w:r>
            <w:r w:rsidR="00DF1BA2">
              <w:t>Neomed Consensus Group</w:t>
            </w:r>
          </w:p>
        </w:tc>
      </w:tr>
      <w:tr w:rsidRPr="00E25790" w:rsidR="00403C02" w:rsidTr="00A26E96" w14:paraId="44D91728" w14:textId="77777777">
        <w:tc>
          <w:tcPr>
            <w:tcW w:w="4395" w:type="dxa"/>
            <w:vAlign w:val="center"/>
          </w:tcPr>
          <w:p w:rsidRPr="00E25790" w:rsidR="00403C02" w:rsidP="00A26E96" w:rsidRDefault="00403C02" w14:paraId="3352CE51" w14:textId="0D2CB3F7">
            <w:pPr>
              <w:rPr>
                <w:bCs/>
              </w:rPr>
            </w:pPr>
            <w:r w:rsidRPr="00E25790">
              <w:t xml:space="preserve">Current Version number:  </w:t>
            </w:r>
            <w:r w:rsidR="004C5D97">
              <w:t>2</w:t>
            </w:r>
          </w:p>
        </w:tc>
        <w:tc>
          <w:tcPr>
            <w:tcW w:w="4365" w:type="dxa"/>
            <w:vAlign w:val="center"/>
          </w:tcPr>
          <w:p w:rsidRPr="00E25790" w:rsidR="00403C02" w:rsidP="00A26E96" w:rsidRDefault="00403C02" w14:paraId="0AC1B8BE" w14:textId="41185A62">
            <w:r w:rsidRPr="00E25790">
              <w:t xml:space="preserve">Current Version Date:  </w:t>
            </w:r>
            <w:r w:rsidR="004C5D97">
              <w:t>16/5/2019</w:t>
            </w:r>
          </w:p>
        </w:tc>
      </w:tr>
      <w:tr w:rsidRPr="00E25790" w:rsidR="00403C02" w:rsidTr="00A26E96" w14:paraId="24A85497" w14:textId="77777777">
        <w:tc>
          <w:tcPr>
            <w:tcW w:w="4395" w:type="dxa"/>
            <w:vAlign w:val="center"/>
          </w:tcPr>
          <w:p w:rsidRPr="00E25790" w:rsidR="00403C02" w:rsidP="00A26E96" w:rsidRDefault="00403C02" w14:paraId="575A33F8" w14:textId="4B82B80A">
            <w:r w:rsidRPr="00E25790">
              <w:t xml:space="preserve">Risk Rating: </w:t>
            </w:r>
            <w:r w:rsidR="004C5D97">
              <w:t>Low</w:t>
            </w:r>
          </w:p>
        </w:tc>
        <w:tc>
          <w:tcPr>
            <w:tcW w:w="4365" w:type="dxa"/>
            <w:vAlign w:val="center"/>
          </w:tcPr>
          <w:p w:rsidRPr="00E25790" w:rsidR="00403C02" w:rsidP="00A26E96" w:rsidRDefault="00403C02" w14:paraId="3A889426" w14:textId="28E2B05D">
            <w:r w:rsidRPr="00E25790">
              <w:t xml:space="preserve">Due for Review: </w:t>
            </w:r>
            <w:r w:rsidR="004C5D97">
              <w:t>16/5/2024</w:t>
            </w:r>
          </w:p>
        </w:tc>
      </w:tr>
      <w:tr w:rsidRPr="00E25790" w:rsidR="00403C02" w:rsidTr="00A26E96" w14:paraId="465B5F35" w14:textId="77777777">
        <w:trPr>
          <w:trHeight w:val="344"/>
        </w:trPr>
        <w:tc>
          <w:tcPr>
            <w:tcW w:w="4395" w:type="dxa"/>
            <w:tcBorders>
              <w:bottom w:val="single" w:color="auto" w:sz="4" w:space="0"/>
            </w:tcBorders>
            <w:vAlign w:val="center"/>
          </w:tcPr>
          <w:p w:rsidRPr="00E25790" w:rsidR="00403C02" w:rsidP="00A26E96" w:rsidRDefault="00754671" w14:paraId="68C1F613" w14:textId="77777777">
            <w:r w:rsidRPr="00E25790">
              <w:t xml:space="preserve">Approval by: DTC </w:t>
            </w:r>
          </w:p>
        </w:tc>
        <w:tc>
          <w:tcPr>
            <w:tcW w:w="4365" w:type="dxa"/>
            <w:tcBorders>
              <w:bottom w:val="single" w:color="auto" w:sz="4" w:space="0"/>
            </w:tcBorders>
            <w:vAlign w:val="center"/>
          </w:tcPr>
          <w:p w:rsidRPr="00E25790" w:rsidR="00403C02" w:rsidP="00A26E96" w:rsidRDefault="00403C02" w14:paraId="740A3335" w14:textId="2B42D2C1">
            <w:r w:rsidRPr="00E25790">
              <w:t>Approval Date:</w:t>
            </w:r>
            <w:r w:rsidRPr="00E25790" w:rsidR="00754671">
              <w:t xml:space="preserve"> </w:t>
            </w:r>
            <w:r w:rsidR="00260BC8">
              <w:t>APRIL 2021</w:t>
            </w:r>
          </w:p>
        </w:tc>
      </w:tr>
    </w:tbl>
    <w:p w:rsidR="00A95DCE" w:rsidP="006F0321" w:rsidRDefault="00A95DCE" w14:paraId="3A603DE9" w14:textId="77777777"/>
    <w:p w:rsidR="00273A16" w:rsidP="006F0321" w:rsidRDefault="00273A16" w14:paraId="511CAD0D" w14:textId="77777777"/>
    <w:p w:rsidR="00273A16" w:rsidP="006F0321" w:rsidRDefault="00273A16" w14:paraId="112F69AB" w14:textId="77777777"/>
    <w:p w:rsidR="00043BF0" w:rsidP="006F0321" w:rsidRDefault="00043BF0" w14:paraId="3D91353A" w14:textId="77777777"/>
    <w:p w:rsidR="00043BF0" w:rsidP="006F0321" w:rsidRDefault="00043BF0" w14:paraId="38DF2F9F" w14:textId="77777777"/>
    <w:p w:rsidR="00043BF0" w:rsidP="006F0321" w:rsidRDefault="00043BF0" w14:paraId="663C0F51" w14:textId="77777777"/>
    <w:p w:rsidR="00043BF0" w:rsidP="006F0321" w:rsidRDefault="00043BF0" w14:paraId="7635CF66" w14:textId="77777777"/>
    <w:p w:rsidR="00043BF0" w:rsidP="006F0321" w:rsidRDefault="00043BF0" w14:paraId="1F7FC198" w14:textId="77777777"/>
    <w:p w:rsidR="00043BF0" w:rsidP="006F0321" w:rsidRDefault="00043BF0" w14:paraId="49F1D6CE" w14:textId="77777777"/>
    <w:p w:rsidR="00043BF0" w:rsidP="006F0321" w:rsidRDefault="00043BF0" w14:paraId="3CFAFF38" w14:textId="77777777"/>
    <w:p w:rsidR="00043BF0" w:rsidP="006F0321" w:rsidRDefault="00043BF0" w14:paraId="08ADE140" w14:textId="77777777"/>
    <w:p w:rsidR="00043BF0" w:rsidP="006F0321" w:rsidRDefault="00043BF0" w14:paraId="51222DC2" w14:textId="77777777"/>
    <w:p w:rsidR="00043BF0" w:rsidP="006F0321" w:rsidRDefault="00043BF0" w14:paraId="342AC8F2" w14:textId="77777777"/>
    <w:p w:rsidR="00043BF0" w:rsidP="006F0321" w:rsidRDefault="00043BF0" w14:paraId="05D3F9BA" w14:textId="77777777"/>
    <w:p w:rsidR="00043BF0" w:rsidP="006F0321" w:rsidRDefault="00043BF0" w14:paraId="55E1DD0D" w14:textId="77777777"/>
    <w:p w:rsidR="00273A16" w:rsidP="006F0321" w:rsidRDefault="00273A16" w14:paraId="1CAAE6D5" w14:textId="77777777"/>
    <w:tbl>
      <w:tblPr>
        <w:tblW w:w="9049" w:type="dxa"/>
        <w:tblLayout w:type="fixed"/>
        <w:tblLook w:val="0000" w:firstRow="0" w:lastRow="0" w:firstColumn="0" w:lastColumn="0" w:noHBand="0" w:noVBand="0"/>
      </w:tblPr>
      <w:tblGrid>
        <w:gridCol w:w="4153"/>
        <w:gridCol w:w="4896"/>
      </w:tblGrid>
      <w:tr w:rsidRPr="00E25790" w:rsidR="00115F48" w:rsidTr="00A26E96" w14:paraId="75983D55"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1933DC54" w14:textId="77777777">
            <w:pPr>
              <w:pStyle w:val="Heading1"/>
            </w:pPr>
            <w:bookmarkStart w:name="_Toc495481127" w:id="337"/>
            <w:bookmarkStart w:name="_Toc495481253" w:id="338"/>
            <w:bookmarkStart w:name="_Toc495481378" w:id="339"/>
            <w:bookmarkStart w:name="_Toc495501559" w:id="340"/>
            <w:bookmarkStart w:name="_Toc38106868" w:id="341"/>
            <w:bookmarkStart w:name="_Toc75339994" w:id="342"/>
            <w:r w:rsidRPr="00E25790">
              <w:lastRenderedPageBreak/>
              <w:t>Insulin (</w:t>
            </w:r>
            <w:r w:rsidRPr="00E25790" w:rsidR="006371F3">
              <w:t>Actrapid – for hyperglycaemia</w:t>
            </w:r>
            <w:r w:rsidRPr="00E25790">
              <w:t>)</w:t>
            </w:r>
            <w:bookmarkEnd w:id="337"/>
            <w:bookmarkEnd w:id="338"/>
            <w:bookmarkEnd w:id="339"/>
            <w:bookmarkEnd w:id="340"/>
            <w:bookmarkEnd w:id="341"/>
            <w:bookmarkEnd w:id="342"/>
            <w:r w:rsidRPr="00E25790">
              <w:t xml:space="preserve"> </w:t>
            </w:r>
            <w:r w:rsidRPr="00E25790">
              <w:fldChar w:fldCharType="begin"/>
            </w:r>
            <w:r w:rsidRPr="00E25790">
              <w:instrText>tc "Insulin Hyperglycaemia" \l 0</w:instrText>
            </w:r>
            <w:r w:rsidRPr="00E25790">
              <w:fldChar w:fldCharType="end"/>
            </w:r>
          </w:p>
        </w:tc>
      </w:tr>
      <w:tr w:rsidRPr="00E25790" w:rsidR="00115F48" w:rsidTr="00A26E96" w14:paraId="37E56D8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6C75D645" w14:textId="5F665173">
            <w:r w:rsidRPr="00E25790">
              <w:t>Revision Date</w:t>
            </w:r>
            <w:r w:rsidRPr="00E25790">
              <w:rPr>
                <w:b/>
              </w:rPr>
              <w:t xml:space="preserve"> : </w:t>
            </w:r>
            <w:r w:rsidR="00916819">
              <w:rPr>
                <w:b/>
              </w:rPr>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7FAA0096" w14:textId="77777777">
            <w:r w:rsidRPr="00E25790">
              <w:t xml:space="preserve">Approved: </w:t>
            </w:r>
            <w:r w:rsidRPr="00E25790" w:rsidR="00F21365">
              <w:t>TC, KOH</w:t>
            </w:r>
          </w:p>
        </w:tc>
      </w:tr>
    </w:tbl>
    <w:p w:rsidR="00115F48" w:rsidP="006F0321" w:rsidRDefault="00115F48" w14:paraId="77A6E72B" w14:textId="423EF9A9"/>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8F0C25" w:rsidR="008F32C2" w:rsidTr="008F32C2" w14:paraId="5468E6B7" w14:textId="77777777">
        <w:trPr>
          <w:trHeight w:val="70"/>
        </w:trPr>
        <w:tc>
          <w:tcPr>
            <w:tcW w:w="1730" w:type="dxa"/>
          </w:tcPr>
          <w:p w:rsidRPr="00B53E9B" w:rsidR="008F32C2" w:rsidP="00131848" w:rsidRDefault="008F32C2" w14:paraId="5C3E8240"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7513" w:type="dxa"/>
          </w:tcPr>
          <w:p w:rsidR="008F32C2" w:rsidP="00131848" w:rsidRDefault="008F32C2" w14:paraId="6517B7C1" w14:textId="77777777">
            <w:pPr>
              <w:pStyle w:val="Default"/>
              <w:rPr>
                <w:rFonts w:ascii="Calibri" w:hAnsi="Calibri"/>
                <w:bCs/>
                <w:sz w:val="20"/>
                <w:szCs w:val="20"/>
              </w:rPr>
            </w:pPr>
            <w:r w:rsidRPr="00B72417">
              <w:rPr>
                <w:rFonts w:ascii="Calibri" w:hAnsi="Calibri"/>
                <w:bCs/>
                <w:sz w:val="20"/>
                <w:szCs w:val="20"/>
              </w:rPr>
              <w:t xml:space="preserve">High risk medication in A PINCH Medicines list under New South Wales Clinical Excellence Commission. </w:t>
            </w:r>
          </w:p>
          <w:p w:rsidR="008F32C2" w:rsidP="00131848" w:rsidRDefault="008F32C2" w14:paraId="59F1442C" w14:textId="77777777">
            <w:pPr>
              <w:pStyle w:val="Default"/>
              <w:rPr>
                <w:rFonts w:ascii="Calibri" w:hAnsi="Calibri"/>
                <w:bCs/>
                <w:sz w:val="20"/>
                <w:szCs w:val="20"/>
              </w:rPr>
            </w:pPr>
            <w:r>
              <w:rPr>
                <w:rFonts w:ascii="Calibri" w:hAnsi="Calibri"/>
                <w:bCs/>
                <w:sz w:val="20"/>
                <w:szCs w:val="20"/>
              </w:rPr>
              <w:t>Different brands of insulin are not bioequivalent. Do not substitute between brands.[13]</w:t>
            </w:r>
          </w:p>
          <w:p w:rsidR="008F32C2" w:rsidP="00131848" w:rsidRDefault="008F32C2" w14:paraId="17D13CC1" w14:textId="77777777">
            <w:pPr>
              <w:pStyle w:val="Default"/>
              <w:rPr>
                <w:rFonts w:ascii="Calibri" w:hAnsi="Calibri"/>
                <w:bCs/>
                <w:sz w:val="20"/>
                <w:szCs w:val="20"/>
              </w:rPr>
            </w:pPr>
            <w:r>
              <w:rPr>
                <w:rFonts w:ascii="Calibri" w:hAnsi="Calibri"/>
                <w:bCs/>
                <w:sz w:val="20"/>
                <w:szCs w:val="20"/>
              </w:rPr>
              <w:t xml:space="preserve">Actrapid is the ANMF group’s recommended short-acting insulin for IV infusion in neonates. </w:t>
            </w:r>
          </w:p>
          <w:p w:rsidR="008F32C2" w:rsidP="00131848" w:rsidRDefault="008F32C2" w14:paraId="511479C0" w14:textId="77777777">
            <w:pPr>
              <w:pStyle w:val="Default"/>
              <w:rPr>
                <w:rFonts w:ascii="Calibri" w:hAnsi="Calibri"/>
                <w:bCs/>
                <w:sz w:val="20"/>
                <w:szCs w:val="20"/>
              </w:rPr>
            </w:pPr>
            <w:r>
              <w:rPr>
                <w:rFonts w:ascii="Calibri" w:hAnsi="Calibri"/>
                <w:bCs/>
                <w:sz w:val="20"/>
                <w:szCs w:val="20"/>
              </w:rPr>
              <w:t xml:space="preserve">International units are </w:t>
            </w:r>
            <w:r w:rsidRPr="00B72417">
              <w:rPr>
                <w:rFonts w:ascii="Calibri" w:hAnsi="Calibri"/>
                <w:bCs/>
                <w:sz w:val="20"/>
                <w:szCs w:val="20"/>
              </w:rPr>
              <w:t>hereafter referred to as “units”</w:t>
            </w:r>
            <w:r>
              <w:rPr>
                <w:rFonts w:ascii="Calibri" w:hAnsi="Calibri"/>
                <w:bCs/>
                <w:sz w:val="20"/>
                <w:szCs w:val="20"/>
              </w:rPr>
              <w:t>.</w:t>
            </w:r>
          </w:p>
          <w:p w:rsidRPr="008F0C25" w:rsidR="008F32C2" w:rsidP="00131848" w:rsidRDefault="008F32C2" w14:paraId="198F9916" w14:textId="77777777">
            <w:pPr>
              <w:pStyle w:val="Default"/>
              <w:rPr>
                <w:rFonts w:ascii="Calibri" w:hAnsi="Calibri"/>
                <w:bCs/>
                <w:sz w:val="20"/>
                <w:szCs w:val="20"/>
              </w:rPr>
            </w:pPr>
            <w:r w:rsidRPr="008F0C25">
              <w:rPr>
                <w:rFonts w:ascii="Calibri" w:hAnsi="Calibri"/>
                <w:bCs/>
                <w:sz w:val="20"/>
                <w:szCs w:val="20"/>
              </w:rPr>
              <w:t>High risk of hypoglycaemia.</w:t>
            </w:r>
          </w:p>
          <w:p w:rsidRPr="008F0C25" w:rsidR="008F32C2" w:rsidP="00131848" w:rsidRDefault="008F32C2" w14:paraId="34F0AEC5" w14:textId="77777777">
            <w:pPr>
              <w:pStyle w:val="Default"/>
              <w:rPr>
                <w:rFonts w:ascii="Calibri" w:hAnsi="Calibri"/>
                <w:color w:val="auto"/>
                <w:sz w:val="20"/>
                <w:szCs w:val="20"/>
              </w:rPr>
            </w:pPr>
            <w:r>
              <w:rPr>
                <w:rFonts w:ascii="Calibri" w:hAnsi="Calibri"/>
                <w:color w:val="auto"/>
                <w:sz w:val="20"/>
                <w:szCs w:val="20"/>
              </w:rPr>
              <w:t xml:space="preserve">Insulin binds to the plastic of giving sets. </w:t>
            </w:r>
            <w:r w:rsidRPr="008F0C25">
              <w:rPr>
                <w:rFonts w:ascii="Calibri" w:hAnsi="Calibri"/>
                <w:color w:val="auto"/>
                <w:sz w:val="20"/>
                <w:szCs w:val="20"/>
              </w:rPr>
              <w:t xml:space="preserve">Flush the plastic tubing with 20 mL of prepared insulin solution into a receptacle prior to connecting to the infant. This is to saturate </w:t>
            </w:r>
            <w:r>
              <w:rPr>
                <w:rFonts w:ascii="Calibri" w:hAnsi="Calibri"/>
                <w:color w:val="auto"/>
                <w:sz w:val="20"/>
                <w:szCs w:val="20"/>
              </w:rPr>
              <w:t>the</w:t>
            </w:r>
            <w:r w:rsidRPr="008F0C25">
              <w:rPr>
                <w:rFonts w:ascii="Calibri" w:hAnsi="Calibri"/>
                <w:color w:val="auto"/>
                <w:sz w:val="20"/>
                <w:szCs w:val="20"/>
              </w:rPr>
              <w:t xml:space="preserve"> binding. </w:t>
            </w:r>
          </w:p>
          <w:p w:rsidRPr="008F0C25" w:rsidR="008F32C2" w:rsidP="00131848" w:rsidRDefault="008F32C2" w14:paraId="106D83E0" w14:textId="77777777">
            <w:pPr>
              <w:pStyle w:val="Default"/>
              <w:rPr>
                <w:rFonts w:ascii="Calibri" w:hAnsi="Calibri"/>
                <w:color w:val="auto"/>
                <w:sz w:val="20"/>
                <w:szCs w:val="20"/>
              </w:rPr>
            </w:pPr>
            <w:r w:rsidRPr="008F0C25">
              <w:rPr>
                <w:rFonts w:ascii="Calibri" w:hAnsi="Calibri"/>
                <w:color w:val="auto"/>
                <w:sz w:val="20"/>
                <w:szCs w:val="20"/>
              </w:rPr>
              <w:t xml:space="preserve">Insulin concentrations ≤ </w:t>
            </w:r>
            <w:r w:rsidRPr="00D26D38">
              <w:rPr>
                <w:rFonts w:ascii="Calibri" w:hAnsi="Calibri"/>
                <w:color w:val="auto"/>
                <w:sz w:val="20"/>
                <w:szCs w:val="20"/>
              </w:rPr>
              <w:t>0.05 Unit/mL are not reliably delivered even after preconditioning and flushing</w:t>
            </w:r>
            <w:r w:rsidRPr="007F0949">
              <w:rPr>
                <w:rFonts w:ascii="Calibri" w:hAnsi="Calibri"/>
                <w:color w:val="auto"/>
                <w:sz w:val="20"/>
                <w:szCs w:val="20"/>
              </w:rPr>
              <w:t>.</w:t>
            </w:r>
          </w:p>
        </w:tc>
      </w:tr>
      <w:tr w:rsidRPr="008F0C25" w:rsidR="008F32C2" w:rsidTr="008F32C2" w14:paraId="53BE7E2E" w14:textId="77777777">
        <w:trPr>
          <w:trHeight w:val="72"/>
        </w:trPr>
        <w:tc>
          <w:tcPr>
            <w:tcW w:w="1730" w:type="dxa"/>
          </w:tcPr>
          <w:p w:rsidRPr="00B53E9B" w:rsidR="008F32C2" w:rsidP="00131848" w:rsidRDefault="008F32C2" w14:paraId="5767D91D" w14:textId="77777777">
            <w:pPr>
              <w:pStyle w:val="BodyText"/>
              <w:rPr>
                <w:rFonts w:cs="Arial"/>
                <w:sz w:val="20"/>
                <w:lang w:val="en-AU"/>
              </w:rPr>
            </w:pPr>
            <w:r w:rsidRPr="00B53E9B">
              <w:rPr>
                <w:rFonts w:cs="Arial"/>
                <w:b/>
                <w:bCs/>
                <w:sz w:val="20"/>
                <w:lang w:val="en-AU"/>
              </w:rPr>
              <w:t>Indication</w:t>
            </w:r>
          </w:p>
        </w:tc>
        <w:tc>
          <w:tcPr>
            <w:tcW w:w="7513" w:type="dxa"/>
          </w:tcPr>
          <w:p w:rsidRPr="008F0C25" w:rsidR="008F32C2" w:rsidP="00131848" w:rsidRDefault="008F32C2" w14:paraId="4601172F" w14:textId="77777777">
            <w:pPr>
              <w:rPr>
                <w:sz w:val="20"/>
              </w:rPr>
            </w:pPr>
            <w:r w:rsidRPr="008F0C25">
              <w:rPr>
                <w:sz w:val="20"/>
              </w:rPr>
              <w:t xml:space="preserve">Treatment of persistent hyperglycaemia. </w:t>
            </w:r>
          </w:p>
          <w:p w:rsidRPr="008F0C25" w:rsidR="008F32C2" w:rsidP="00131848" w:rsidRDefault="008F32C2" w14:paraId="32E34443" w14:textId="77777777">
            <w:pPr>
              <w:rPr>
                <w:sz w:val="20"/>
              </w:rPr>
            </w:pPr>
            <w:r w:rsidRPr="008F0C25">
              <w:rPr>
                <w:rFonts w:cs="Arial"/>
                <w:sz w:val="20"/>
                <w:lang w:eastAsia="zh-CN"/>
              </w:rPr>
              <w:t xml:space="preserve">[For treatment of hyperkalaemia, see Insulin – hyperkalaemia]. </w:t>
            </w:r>
          </w:p>
        </w:tc>
      </w:tr>
      <w:tr w:rsidRPr="008F0C25" w:rsidR="008F32C2" w:rsidTr="008F32C2" w14:paraId="7D436E23" w14:textId="77777777">
        <w:trPr>
          <w:trHeight w:val="70"/>
        </w:trPr>
        <w:tc>
          <w:tcPr>
            <w:tcW w:w="1730" w:type="dxa"/>
          </w:tcPr>
          <w:p w:rsidRPr="00B53E9B" w:rsidR="008F32C2" w:rsidP="00131848" w:rsidRDefault="008F32C2" w14:paraId="4DFB7B42" w14:textId="77777777">
            <w:pPr>
              <w:pStyle w:val="BodyText"/>
              <w:rPr>
                <w:rFonts w:cs="Arial"/>
                <w:b/>
                <w:bCs/>
                <w:sz w:val="20"/>
                <w:lang w:val="en-AU"/>
              </w:rPr>
            </w:pPr>
            <w:r w:rsidRPr="00B53E9B">
              <w:rPr>
                <w:rFonts w:cs="Arial"/>
                <w:b/>
                <w:bCs/>
                <w:sz w:val="20"/>
                <w:lang w:val="en-AU"/>
              </w:rPr>
              <w:t>Action</w:t>
            </w:r>
          </w:p>
        </w:tc>
        <w:tc>
          <w:tcPr>
            <w:tcW w:w="7513" w:type="dxa"/>
          </w:tcPr>
          <w:p w:rsidRPr="008F0C25" w:rsidR="008F32C2" w:rsidP="00131848" w:rsidRDefault="008F32C2" w14:paraId="43B476EE" w14:textId="77777777">
            <w:pPr>
              <w:pStyle w:val="Default"/>
              <w:jc w:val="both"/>
              <w:rPr>
                <w:rFonts w:ascii="Calibri" w:hAnsi="Calibri"/>
                <w:color w:val="auto"/>
                <w:sz w:val="20"/>
                <w:szCs w:val="20"/>
              </w:rPr>
            </w:pPr>
            <w:r w:rsidRPr="008F0C25">
              <w:rPr>
                <w:rFonts w:ascii="Calibri" w:hAnsi="Calibri"/>
                <w:color w:val="auto"/>
                <w:sz w:val="20"/>
                <w:szCs w:val="20"/>
              </w:rPr>
              <w:t xml:space="preserve">Insulin is a polypeptide hormone that acts on cells throughout the body to stimulate uptake, utilisation and storage of glucose resulting in a lowering of blood glucose. Insulin stimulates the liver to store glucose in the form of glycogen and facilitates the entry of glucose into muscle and adipose tissue. </w:t>
            </w:r>
            <w:r w:rsidRPr="008F0C25">
              <w:rPr>
                <w:rFonts w:ascii="Calibri" w:hAnsi="Calibri"/>
                <w:color w:val="222222"/>
                <w:sz w:val="20"/>
                <w:szCs w:val="20"/>
                <w:shd w:val="clear" w:color="auto" w:fill="FFFFFF"/>
              </w:rPr>
              <w:t>It inhibits lipolysis, proteolysis and gluconeogenesis, enhances protein synthesis and conversion of excess glucose into fat.</w:t>
            </w:r>
          </w:p>
        </w:tc>
      </w:tr>
      <w:tr w:rsidRPr="008F0C25" w:rsidR="008F32C2" w:rsidTr="008F32C2" w14:paraId="17DACF25" w14:textId="77777777">
        <w:trPr>
          <w:trHeight w:val="266"/>
        </w:trPr>
        <w:tc>
          <w:tcPr>
            <w:tcW w:w="1730" w:type="dxa"/>
          </w:tcPr>
          <w:p w:rsidRPr="00B53E9B" w:rsidR="008F32C2" w:rsidP="00131848" w:rsidRDefault="008F32C2" w14:paraId="1EE52137"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7513" w:type="dxa"/>
          </w:tcPr>
          <w:p w:rsidRPr="008F0C25" w:rsidR="008F32C2" w:rsidP="00131848" w:rsidRDefault="008F32C2" w14:paraId="5737EF0E" w14:textId="77777777">
            <w:pPr>
              <w:pStyle w:val="BodyText"/>
              <w:rPr>
                <w:rFonts w:cs="Arial"/>
                <w:sz w:val="20"/>
              </w:rPr>
            </w:pPr>
            <w:r w:rsidRPr="008F0C25">
              <w:rPr>
                <w:sz w:val="20"/>
              </w:rPr>
              <w:t>Polypeptide hormone – lowers blood glucose.</w:t>
            </w:r>
          </w:p>
        </w:tc>
      </w:tr>
      <w:tr w:rsidRPr="008F0C25" w:rsidR="008F32C2" w:rsidTr="008F32C2" w14:paraId="0C15CA2C" w14:textId="77777777">
        <w:trPr>
          <w:trHeight w:val="292"/>
        </w:trPr>
        <w:tc>
          <w:tcPr>
            <w:tcW w:w="1730" w:type="dxa"/>
          </w:tcPr>
          <w:p w:rsidRPr="00B53E9B" w:rsidR="008F32C2" w:rsidP="00131848" w:rsidRDefault="008F32C2" w14:paraId="404976DD"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ame</w:t>
            </w:r>
          </w:p>
        </w:tc>
        <w:tc>
          <w:tcPr>
            <w:tcW w:w="7513" w:type="dxa"/>
          </w:tcPr>
          <w:p w:rsidRPr="008F0C25" w:rsidR="008F32C2" w:rsidP="00131848" w:rsidRDefault="008F32C2" w14:paraId="5D61CD82" w14:textId="77777777">
            <w:pPr>
              <w:pStyle w:val="BodyText"/>
              <w:rPr>
                <w:rFonts w:cs="Arial"/>
                <w:sz w:val="20"/>
              </w:rPr>
            </w:pPr>
            <w:r w:rsidRPr="008F0C25">
              <w:rPr>
                <w:sz w:val="20"/>
              </w:rPr>
              <w:t xml:space="preserve">Actrapid </w:t>
            </w:r>
            <w:r>
              <w:rPr>
                <w:sz w:val="20"/>
              </w:rPr>
              <w:t>[Novo Nordisk]</w:t>
            </w:r>
            <w:r>
              <w:rPr>
                <w:sz w:val="20"/>
                <w:lang w:val="en-AU"/>
              </w:rPr>
              <w:t xml:space="preserve"> </w:t>
            </w:r>
          </w:p>
        </w:tc>
      </w:tr>
      <w:tr w:rsidRPr="008F0C25" w:rsidR="008F32C2" w:rsidTr="008F32C2" w14:paraId="141A3F64" w14:textId="77777777">
        <w:trPr>
          <w:trHeight w:val="70"/>
        </w:trPr>
        <w:tc>
          <w:tcPr>
            <w:tcW w:w="1730" w:type="dxa"/>
          </w:tcPr>
          <w:p w:rsidRPr="00B53E9B" w:rsidR="008F32C2" w:rsidP="00131848" w:rsidRDefault="008F32C2" w14:paraId="3AF9BA93" w14:textId="77777777">
            <w:pPr>
              <w:pStyle w:val="BodyText"/>
              <w:rPr>
                <w:rFonts w:cs="Arial"/>
                <w:b/>
                <w:bCs/>
                <w:sz w:val="20"/>
                <w:lang w:val="en-AU"/>
              </w:rPr>
            </w:pPr>
            <w:r w:rsidRPr="00B53E9B">
              <w:rPr>
                <w:rFonts w:cs="Arial"/>
                <w:b/>
                <w:bCs/>
                <w:sz w:val="20"/>
                <w:lang w:val="en-AU"/>
              </w:rPr>
              <w:t xml:space="preserve">Presentation </w:t>
            </w:r>
          </w:p>
        </w:tc>
        <w:tc>
          <w:tcPr>
            <w:tcW w:w="7513" w:type="dxa"/>
          </w:tcPr>
          <w:p w:rsidRPr="008F0C25" w:rsidR="008F32C2" w:rsidP="00131848" w:rsidRDefault="008F32C2" w14:paraId="197762E9" w14:textId="77777777">
            <w:pPr>
              <w:pStyle w:val="BodyText"/>
              <w:rPr>
                <w:rFonts w:cs="Arial"/>
                <w:sz w:val="20"/>
              </w:rPr>
            </w:pPr>
            <w:r w:rsidRPr="008F0C25">
              <w:rPr>
                <w:sz w:val="20"/>
              </w:rPr>
              <w:t>100 units/mL in a 10</w:t>
            </w:r>
            <w:r>
              <w:rPr>
                <w:sz w:val="20"/>
              </w:rPr>
              <w:t xml:space="preserve"> </w:t>
            </w:r>
            <w:r w:rsidRPr="008F0C25">
              <w:rPr>
                <w:sz w:val="20"/>
              </w:rPr>
              <w:t>mL vial</w:t>
            </w:r>
            <w:r>
              <w:rPr>
                <w:sz w:val="20"/>
              </w:rPr>
              <w:t xml:space="preserve"> and 3 mL Penfill.</w:t>
            </w:r>
          </w:p>
        </w:tc>
      </w:tr>
      <w:tr w:rsidRPr="00D26D38" w:rsidR="008F32C2" w:rsidTr="008F32C2" w14:paraId="0ED8DE7E" w14:textId="77777777">
        <w:trPr>
          <w:trHeight w:val="70"/>
        </w:trPr>
        <w:tc>
          <w:tcPr>
            <w:tcW w:w="1730" w:type="dxa"/>
          </w:tcPr>
          <w:p w:rsidRPr="00B53E9B" w:rsidR="008F32C2" w:rsidP="00131848" w:rsidRDefault="008F32C2" w14:paraId="4DFEA263"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7513" w:type="dxa"/>
          </w:tcPr>
          <w:p w:rsidRPr="008F0C25" w:rsidR="008F32C2" w:rsidP="00131848" w:rsidRDefault="008F32C2" w14:paraId="3CA89F9C" w14:textId="77777777">
            <w:pPr>
              <w:autoSpaceDE w:val="0"/>
              <w:autoSpaceDN w:val="0"/>
              <w:adjustRightInd w:val="0"/>
              <w:rPr>
                <w:b/>
                <w:sz w:val="20"/>
              </w:rPr>
            </w:pPr>
            <w:r w:rsidRPr="008F0C25">
              <w:rPr>
                <w:b/>
                <w:sz w:val="20"/>
              </w:rPr>
              <w:t xml:space="preserve">Treatment of hyperglycaemia: </w:t>
            </w:r>
          </w:p>
          <w:p w:rsidRPr="008F0C25" w:rsidR="008F32C2" w:rsidP="00131848" w:rsidRDefault="008F32C2" w14:paraId="2BFFEFE0" w14:textId="77777777">
            <w:pPr>
              <w:autoSpaceDE w:val="0"/>
              <w:autoSpaceDN w:val="0"/>
              <w:adjustRightInd w:val="0"/>
              <w:rPr>
                <w:rFonts w:cs="Arial"/>
                <w:sz w:val="20"/>
                <w:u w:val="single"/>
              </w:rPr>
            </w:pPr>
            <w:r w:rsidRPr="008F0C25">
              <w:rPr>
                <w:rFonts w:cs="Arial"/>
                <w:sz w:val="20"/>
                <w:u w:val="single"/>
              </w:rPr>
              <w:t>Intravenous:</w:t>
            </w:r>
          </w:p>
          <w:p w:rsidRPr="008F0C25" w:rsidR="008F32C2" w:rsidP="00131848" w:rsidRDefault="008F32C2" w14:paraId="14A233CD" w14:textId="77777777">
            <w:pPr>
              <w:autoSpaceDE w:val="0"/>
              <w:autoSpaceDN w:val="0"/>
              <w:adjustRightInd w:val="0"/>
              <w:rPr>
                <w:rFonts w:cs="Arial"/>
                <w:sz w:val="20"/>
              </w:rPr>
            </w:pPr>
            <w:r w:rsidRPr="008F0C25">
              <w:rPr>
                <w:rFonts w:cs="Arial"/>
                <w:sz w:val="20"/>
              </w:rPr>
              <w:t>Starting dose: 0.05 unit/kg/hour.</w:t>
            </w:r>
          </w:p>
          <w:p w:rsidRPr="008F0C25" w:rsidR="008F32C2" w:rsidP="00131848" w:rsidRDefault="008F32C2" w14:paraId="2DAA07A1" w14:textId="77777777">
            <w:pPr>
              <w:autoSpaceDE w:val="0"/>
              <w:autoSpaceDN w:val="0"/>
              <w:adjustRightInd w:val="0"/>
              <w:rPr>
                <w:sz w:val="20"/>
              </w:rPr>
            </w:pPr>
            <w:r w:rsidRPr="008F0C25">
              <w:rPr>
                <w:sz w:val="20"/>
              </w:rPr>
              <w:t xml:space="preserve">Dose range: 0.01 to 0.1 unit/kg/hour. </w:t>
            </w:r>
          </w:p>
          <w:p w:rsidRPr="00D26D38" w:rsidR="008F32C2" w:rsidP="00131848" w:rsidRDefault="008F32C2" w14:paraId="6EF38241" w14:textId="77777777">
            <w:pPr>
              <w:autoSpaceDE w:val="0"/>
              <w:autoSpaceDN w:val="0"/>
              <w:adjustRightInd w:val="0"/>
              <w:rPr>
                <w:rFonts w:cs="Arial"/>
                <w:sz w:val="20"/>
              </w:rPr>
            </w:pPr>
            <w:r w:rsidRPr="008F0C25">
              <w:rPr>
                <w:rFonts w:cs="Arial"/>
                <w:sz w:val="20"/>
              </w:rPr>
              <w:t xml:space="preserve">Titrate in small increments to blood glucose: </w:t>
            </w:r>
            <w:r>
              <w:rPr>
                <w:rFonts w:cs="Arial"/>
                <w:sz w:val="20"/>
              </w:rPr>
              <w:t>T</w:t>
            </w:r>
            <w:r w:rsidRPr="00B40EC5">
              <w:rPr>
                <w:rFonts w:cs="Arial"/>
                <w:sz w:val="20"/>
              </w:rPr>
              <w:t>arget blood glucose</w:t>
            </w:r>
            <w:r>
              <w:rPr>
                <w:rFonts w:cs="Arial"/>
                <w:sz w:val="20"/>
              </w:rPr>
              <w:t xml:space="preserve"> level</w:t>
            </w:r>
            <w:r w:rsidRPr="00B40EC5">
              <w:rPr>
                <w:rFonts w:cs="Arial"/>
                <w:sz w:val="20"/>
              </w:rPr>
              <w:t xml:space="preserve"> </w:t>
            </w:r>
            <w:r>
              <w:rPr>
                <w:rFonts w:cs="Arial"/>
                <w:sz w:val="20"/>
              </w:rPr>
              <w:t xml:space="preserve">(BGL) </w:t>
            </w:r>
            <w:r w:rsidRPr="00B40EC5">
              <w:rPr>
                <w:rFonts w:cs="Arial"/>
                <w:sz w:val="20"/>
              </w:rPr>
              <w:t xml:space="preserve">8 to 10 mmol/L </w:t>
            </w:r>
            <w:r w:rsidRPr="00B40EC5">
              <w:rPr>
                <w:rFonts w:cs="Arial"/>
                <w:noProof/>
                <w:sz w:val="20"/>
              </w:rPr>
              <w:t>[1, 2]</w:t>
            </w:r>
            <w:r w:rsidRPr="00D26D38">
              <w:rPr>
                <w:rFonts w:cs="Arial"/>
                <w:sz w:val="20"/>
              </w:rPr>
              <w:t>.</w:t>
            </w:r>
          </w:p>
        </w:tc>
      </w:tr>
      <w:tr w:rsidRPr="00392F77" w:rsidR="008F32C2" w:rsidTr="008F32C2" w14:paraId="481870B2" w14:textId="77777777">
        <w:trPr>
          <w:trHeight w:val="407"/>
        </w:trPr>
        <w:tc>
          <w:tcPr>
            <w:tcW w:w="1730" w:type="dxa"/>
          </w:tcPr>
          <w:p w:rsidRPr="00B53E9B" w:rsidR="008F32C2" w:rsidP="00131848" w:rsidRDefault="008F32C2" w14:paraId="30DC4A63" w14:textId="77777777">
            <w:pPr>
              <w:pStyle w:val="BodyText"/>
              <w:rPr>
                <w:b/>
                <w:sz w:val="20"/>
                <w:lang w:val="en-AU"/>
              </w:rPr>
            </w:pPr>
            <w:r w:rsidRPr="00B53E9B">
              <w:rPr>
                <w:b/>
                <w:sz w:val="20"/>
                <w:lang w:val="en-AU"/>
              </w:rPr>
              <w:t>Dose adjustment</w:t>
            </w:r>
          </w:p>
          <w:p w:rsidRPr="00B53E9B" w:rsidR="008F32C2" w:rsidP="00131848" w:rsidRDefault="008F32C2" w14:paraId="0E1E7DCD" w14:textId="77777777">
            <w:pPr>
              <w:pStyle w:val="BodyText"/>
              <w:rPr>
                <w:b/>
                <w:sz w:val="20"/>
                <w:lang w:val="en-AU"/>
              </w:rPr>
            </w:pPr>
          </w:p>
        </w:tc>
        <w:tc>
          <w:tcPr>
            <w:tcW w:w="7513" w:type="dxa"/>
          </w:tcPr>
          <w:p w:rsidRPr="00392F77" w:rsidR="008F32C2" w:rsidP="00131848" w:rsidRDefault="008F32C2" w14:paraId="42CCE00A" w14:textId="77777777">
            <w:pPr>
              <w:pStyle w:val="BodyText"/>
              <w:rPr>
                <w:sz w:val="20"/>
                <w:lang w:val="en-AU"/>
              </w:rPr>
            </w:pPr>
            <w:r w:rsidRPr="00392F77">
              <w:rPr>
                <w:sz w:val="20"/>
                <w:lang w:val="en-AU"/>
              </w:rPr>
              <w:t xml:space="preserve">Therapeutic hypothermia: Limited evidence in neonates. Higher dose may be required to maintain euglycemia [3]. </w:t>
            </w:r>
          </w:p>
          <w:p w:rsidRPr="00392F77" w:rsidR="008F32C2" w:rsidP="00131848" w:rsidRDefault="008F32C2" w14:paraId="48BBACCF" w14:textId="77777777">
            <w:pPr>
              <w:pStyle w:val="BodyText"/>
              <w:rPr>
                <w:sz w:val="20"/>
                <w:lang w:val="en-AU"/>
              </w:rPr>
            </w:pPr>
            <w:r w:rsidRPr="00392F77">
              <w:rPr>
                <w:sz w:val="20"/>
                <w:lang w:val="en-AU"/>
              </w:rPr>
              <w:t xml:space="preserve">ECMO: Data limited in pre term neonates to make recommendation. </w:t>
            </w:r>
          </w:p>
          <w:p w:rsidRPr="00392F77" w:rsidR="008F32C2" w:rsidP="00131848" w:rsidRDefault="008F32C2" w14:paraId="62E15E7C" w14:textId="77777777">
            <w:pPr>
              <w:pStyle w:val="BodyText"/>
              <w:rPr>
                <w:sz w:val="20"/>
                <w:lang w:val="en-AU"/>
              </w:rPr>
            </w:pPr>
            <w:r w:rsidRPr="00392F77">
              <w:rPr>
                <w:sz w:val="20"/>
                <w:lang w:val="en-AU"/>
              </w:rPr>
              <w:t xml:space="preserve">Renal impairment: Limited data in neonates. Lower doses may be required in severe renal failure. </w:t>
            </w:r>
          </w:p>
          <w:p w:rsidRPr="00392F77" w:rsidR="008F32C2" w:rsidP="00131848" w:rsidRDefault="008F32C2" w14:paraId="7AF29A5A" w14:textId="77777777">
            <w:pPr>
              <w:pStyle w:val="BodyText"/>
              <w:rPr>
                <w:sz w:val="20"/>
                <w:lang w:val="en-AU"/>
              </w:rPr>
            </w:pPr>
            <w:r w:rsidRPr="00392F77">
              <w:rPr>
                <w:sz w:val="20"/>
                <w:lang w:val="en-AU"/>
              </w:rPr>
              <w:t xml:space="preserve">Hepatic impairment: Limited data in neonates. Close monitoring of BGL advised due to lability of BGL [4]. </w:t>
            </w:r>
          </w:p>
        </w:tc>
      </w:tr>
      <w:tr w:rsidRPr="00392F77" w:rsidR="008F32C2" w:rsidTr="008F32C2" w14:paraId="424B0500" w14:textId="77777777">
        <w:trPr>
          <w:trHeight w:val="113"/>
        </w:trPr>
        <w:tc>
          <w:tcPr>
            <w:tcW w:w="1730" w:type="dxa"/>
          </w:tcPr>
          <w:p w:rsidRPr="00B53E9B" w:rsidR="008F32C2" w:rsidP="00131848" w:rsidRDefault="008F32C2" w14:paraId="6CA83C32" w14:textId="77777777">
            <w:pPr>
              <w:pStyle w:val="BodyText"/>
              <w:rPr>
                <w:b/>
                <w:sz w:val="20"/>
                <w:lang w:val="en-AU"/>
              </w:rPr>
            </w:pPr>
            <w:r w:rsidRPr="00B53E9B">
              <w:rPr>
                <w:b/>
                <w:sz w:val="20"/>
                <w:lang w:val="en-AU"/>
              </w:rPr>
              <w:t>Maximum dose</w:t>
            </w:r>
          </w:p>
        </w:tc>
        <w:tc>
          <w:tcPr>
            <w:tcW w:w="7513" w:type="dxa"/>
          </w:tcPr>
          <w:p w:rsidRPr="00392F77" w:rsidR="008F32C2" w:rsidP="00131848" w:rsidRDefault="008F32C2" w14:paraId="0D1A3AB6" w14:textId="77777777">
            <w:pPr>
              <w:pStyle w:val="BodyText"/>
              <w:rPr>
                <w:sz w:val="20"/>
                <w:lang w:val="en-AU"/>
              </w:rPr>
            </w:pPr>
          </w:p>
        </w:tc>
      </w:tr>
      <w:tr w:rsidRPr="004B334F" w:rsidR="008F32C2" w:rsidTr="008F32C2" w14:paraId="4EBFA3BA" w14:textId="77777777">
        <w:trPr>
          <w:trHeight w:val="144"/>
        </w:trPr>
        <w:tc>
          <w:tcPr>
            <w:tcW w:w="1730" w:type="dxa"/>
          </w:tcPr>
          <w:p w:rsidRPr="00B53E9B" w:rsidR="008F32C2" w:rsidP="00131848" w:rsidRDefault="008F32C2" w14:paraId="530BA345" w14:textId="77777777">
            <w:pPr>
              <w:pStyle w:val="BodyText"/>
              <w:rPr>
                <w:rFonts w:cs="Arial"/>
                <w:b/>
                <w:bCs/>
                <w:sz w:val="20"/>
                <w:lang w:val="en-AU"/>
              </w:rPr>
            </w:pPr>
            <w:r w:rsidRPr="00B53E9B">
              <w:rPr>
                <w:b/>
                <w:sz w:val="20"/>
                <w:lang w:val="en-AU"/>
              </w:rPr>
              <w:t>Total cumulative dose</w:t>
            </w:r>
          </w:p>
        </w:tc>
        <w:tc>
          <w:tcPr>
            <w:tcW w:w="7513" w:type="dxa"/>
          </w:tcPr>
          <w:p w:rsidRPr="004B334F" w:rsidR="008F32C2" w:rsidP="00131848" w:rsidRDefault="008F32C2" w14:paraId="008378D8" w14:textId="77777777">
            <w:pPr>
              <w:pStyle w:val="BodyText"/>
              <w:rPr>
                <w:rFonts w:cs="Arial"/>
                <w:sz w:val="20"/>
                <w:lang w:val="en-AU"/>
              </w:rPr>
            </w:pPr>
          </w:p>
        </w:tc>
      </w:tr>
      <w:tr w:rsidRPr="00026F20" w:rsidR="008F32C2" w:rsidTr="008F32C2" w14:paraId="772068B5" w14:textId="77777777">
        <w:trPr>
          <w:trHeight w:val="294"/>
        </w:trPr>
        <w:tc>
          <w:tcPr>
            <w:tcW w:w="1730" w:type="dxa"/>
          </w:tcPr>
          <w:p w:rsidRPr="00B53E9B" w:rsidR="008F32C2" w:rsidP="00131848" w:rsidRDefault="008F32C2" w14:paraId="28F8E553" w14:textId="77777777">
            <w:pPr>
              <w:pStyle w:val="BodyText"/>
              <w:rPr>
                <w:rFonts w:cs="Arial"/>
                <w:sz w:val="20"/>
                <w:lang w:val="en-AU"/>
              </w:rPr>
            </w:pPr>
            <w:r w:rsidRPr="00B53E9B">
              <w:rPr>
                <w:rFonts w:cs="Arial"/>
                <w:b/>
                <w:bCs/>
                <w:sz w:val="20"/>
                <w:lang w:val="en-AU"/>
              </w:rPr>
              <w:t xml:space="preserve">Route                                </w:t>
            </w:r>
          </w:p>
        </w:tc>
        <w:tc>
          <w:tcPr>
            <w:tcW w:w="7513" w:type="dxa"/>
          </w:tcPr>
          <w:p w:rsidRPr="00026F20" w:rsidR="008F32C2" w:rsidP="00131848" w:rsidRDefault="008F32C2" w14:paraId="6F825C6B" w14:textId="77777777">
            <w:pPr>
              <w:pStyle w:val="BodyText"/>
              <w:rPr>
                <w:rFonts w:cs="Arial"/>
                <w:sz w:val="20"/>
                <w:lang w:val="en-AU"/>
              </w:rPr>
            </w:pPr>
            <w:r>
              <w:rPr>
                <w:rFonts w:cs="Arial"/>
                <w:sz w:val="20"/>
                <w:lang w:val="en-AU"/>
              </w:rPr>
              <w:t>IV</w:t>
            </w:r>
          </w:p>
        </w:tc>
      </w:tr>
      <w:tr w:rsidRPr="00026F20" w:rsidR="008F32C2" w:rsidTr="008F32C2" w14:paraId="7458B01E" w14:textId="77777777">
        <w:trPr>
          <w:trHeight w:val="93"/>
        </w:trPr>
        <w:tc>
          <w:tcPr>
            <w:tcW w:w="1730" w:type="dxa"/>
          </w:tcPr>
          <w:p w:rsidRPr="00B53E9B" w:rsidR="008F32C2" w:rsidP="00131848" w:rsidRDefault="008F32C2" w14:paraId="315DE110" w14:textId="77777777">
            <w:pPr>
              <w:pStyle w:val="BodyText"/>
              <w:rPr>
                <w:rFonts w:cs="Arial"/>
                <w:b/>
                <w:bCs/>
                <w:sz w:val="20"/>
                <w:highlight w:val="cyan"/>
                <w:lang w:val="en-AU"/>
              </w:rPr>
            </w:pPr>
            <w:r w:rsidRPr="00B53E9B">
              <w:rPr>
                <w:rFonts w:cs="Arial"/>
                <w:b/>
                <w:bCs/>
                <w:sz w:val="20"/>
                <w:lang w:val="en-AU"/>
              </w:rPr>
              <w:t>Preparation</w:t>
            </w:r>
            <w:r w:rsidRPr="00B53E9B">
              <w:rPr>
                <w:rFonts w:cs="Arial"/>
                <w:b/>
                <w:bCs/>
                <w:sz w:val="20"/>
                <w:highlight w:val="cyan"/>
                <w:lang w:val="en-AU"/>
              </w:rPr>
              <w:t xml:space="preserve">                </w:t>
            </w:r>
          </w:p>
        </w:tc>
        <w:tc>
          <w:tcPr>
            <w:tcW w:w="7513" w:type="dxa"/>
          </w:tcPr>
          <w:p w:rsidRPr="00A465CA" w:rsidR="008F32C2" w:rsidP="00131848" w:rsidRDefault="008F32C2" w14:paraId="798FFFA5" w14:textId="77777777">
            <w:pPr>
              <w:pStyle w:val="BodyText"/>
              <w:rPr>
                <w:rFonts w:cs="Arial"/>
                <w:b/>
                <w:sz w:val="20"/>
              </w:rPr>
            </w:pPr>
            <w:r w:rsidRPr="00A465CA">
              <w:rPr>
                <w:rFonts w:cs="Arial"/>
                <w:b/>
                <w:sz w:val="20"/>
              </w:rPr>
              <w:t>SINGLE STRENGTH INFUSION (suitable if weight &gt; 1 kg)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2"/>
              <w:gridCol w:w="3402"/>
            </w:tblGrid>
            <w:tr w:rsidRPr="00A465CA" w:rsidR="008F32C2" w:rsidTr="008F32C2" w14:paraId="48F6EAB7" w14:textId="77777777">
              <w:tc>
                <w:tcPr>
                  <w:tcW w:w="3712" w:type="dxa"/>
                  <w:shd w:val="clear" w:color="auto" w:fill="auto"/>
                </w:tcPr>
                <w:p w:rsidRPr="00A465CA" w:rsidR="008F32C2" w:rsidP="00131848" w:rsidRDefault="008F32C2" w14:paraId="244F5F2B" w14:textId="77777777">
                  <w:pPr>
                    <w:pStyle w:val="BodyText"/>
                    <w:rPr>
                      <w:rFonts w:cs="Arial"/>
                      <w:b/>
                      <w:sz w:val="20"/>
                    </w:rPr>
                  </w:pPr>
                  <w:r w:rsidRPr="00A465CA">
                    <w:rPr>
                      <w:rFonts w:cs="Arial"/>
                      <w:b/>
                      <w:sz w:val="20"/>
                    </w:rPr>
                    <w:t>Infusion strength</w:t>
                  </w:r>
                </w:p>
              </w:tc>
              <w:tc>
                <w:tcPr>
                  <w:tcW w:w="3402" w:type="dxa"/>
                  <w:shd w:val="clear" w:color="auto" w:fill="auto"/>
                </w:tcPr>
                <w:p w:rsidRPr="00A465CA" w:rsidR="008F32C2" w:rsidP="00131848" w:rsidRDefault="008F32C2" w14:paraId="1402C2C6" w14:textId="77777777">
                  <w:pPr>
                    <w:pStyle w:val="BodyText"/>
                    <w:rPr>
                      <w:rFonts w:cs="Arial"/>
                      <w:b/>
                      <w:sz w:val="20"/>
                    </w:rPr>
                  </w:pPr>
                  <w:r w:rsidRPr="00A465CA">
                    <w:rPr>
                      <w:rFonts w:cs="Arial"/>
                      <w:b/>
                      <w:sz w:val="20"/>
                    </w:rPr>
                    <w:t>Prescribed amount</w:t>
                  </w:r>
                </w:p>
              </w:tc>
            </w:tr>
            <w:tr w:rsidRPr="00A465CA" w:rsidR="008F32C2" w:rsidTr="008F32C2" w14:paraId="276D1979" w14:textId="77777777">
              <w:tc>
                <w:tcPr>
                  <w:tcW w:w="3712" w:type="dxa"/>
                  <w:shd w:val="clear" w:color="auto" w:fill="auto"/>
                </w:tcPr>
                <w:p w:rsidRPr="00A465CA" w:rsidR="008F32C2" w:rsidP="00131848" w:rsidRDefault="008F32C2" w14:paraId="43973E94" w14:textId="77777777">
                  <w:pPr>
                    <w:pStyle w:val="BodyText"/>
                    <w:rPr>
                      <w:rFonts w:cs="Arial"/>
                      <w:sz w:val="20"/>
                    </w:rPr>
                  </w:pPr>
                  <w:r w:rsidRPr="00A465CA">
                    <w:rPr>
                      <w:rFonts w:cs="Arial"/>
                      <w:sz w:val="20"/>
                    </w:rPr>
                    <w:t>1 mL/hour = 0.1 unit/kg/hour</w:t>
                  </w:r>
                </w:p>
              </w:tc>
              <w:tc>
                <w:tcPr>
                  <w:tcW w:w="3402" w:type="dxa"/>
                  <w:shd w:val="clear" w:color="auto" w:fill="auto"/>
                </w:tcPr>
                <w:p w:rsidRPr="00A465CA" w:rsidR="008F32C2" w:rsidP="00131848" w:rsidRDefault="008F32C2" w14:paraId="1C489447" w14:textId="77777777">
                  <w:pPr>
                    <w:pStyle w:val="BodyText"/>
                    <w:rPr>
                      <w:rFonts w:cs="Arial"/>
                      <w:sz w:val="20"/>
                    </w:rPr>
                  </w:pPr>
                  <w:r w:rsidRPr="00A465CA">
                    <w:rPr>
                      <w:rFonts w:cs="Arial"/>
                      <w:sz w:val="20"/>
                    </w:rPr>
                    <w:t>5 unit/kg insulin and make up to 50 mL</w:t>
                  </w:r>
                </w:p>
              </w:tc>
            </w:tr>
          </w:tbl>
          <w:p w:rsidRPr="00A465CA" w:rsidR="008F32C2" w:rsidP="00131848" w:rsidRDefault="008F32C2" w14:paraId="1F76FAD8" w14:textId="77777777">
            <w:pPr>
              <w:pStyle w:val="BodyText"/>
              <w:rPr>
                <w:rFonts w:cs="Arial"/>
                <w:sz w:val="20"/>
              </w:rPr>
            </w:pPr>
            <w:r w:rsidRPr="00A465CA">
              <w:rPr>
                <w:rFonts w:cs="Arial"/>
                <w:sz w:val="20"/>
              </w:rPr>
              <w:t>Draw up 0.6 mL (60 units of insulin) and add 29.4 mL glucose 5%, glucose 10% or sodium chloride 0.9% to make a final volume of 30 mL with a concentration of 2 unit/mL.</w:t>
            </w:r>
          </w:p>
          <w:p w:rsidRPr="00A465CA" w:rsidR="008F32C2" w:rsidP="00131848" w:rsidRDefault="008F32C2" w14:paraId="3281F9AD" w14:textId="77777777">
            <w:pPr>
              <w:pStyle w:val="BodyText"/>
              <w:rPr>
                <w:rFonts w:cs="Arial"/>
                <w:sz w:val="20"/>
              </w:rPr>
            </w:pPr>
            <w:r w:rsidRPr="00A465CA">
              <w:rPr>
                <w:rFonts w:cs="Arial"/>
                <w:b/>
                <w:sz w:val="20"/>
              </w:rPr>
              <w:lastRenderedPageBreak/>
              <w:t>FURTHER DILUTE</w:t>
            </w:r>
            <w:r w:rsidRPr="00A465CA">
              <w:rPr>
                <w:rFonts w:cs="Arial"/>
                <w:sz w:val="20"/>
              </w:rPr>
              <w:t>: 2.5 mL/kg (5 units/kg) of the above solution and dilute with glucose 5%, glucose 10% or sodium chloride 0.9% to a final volume of 50 mL with a concentration of 0.1 unit/kg in each mL.</w:t>
            </w:r>
          </w:p>
          <w:p w:rsidRPr="00A465CA" w:rsidR="008F32C2" w:rsidP="00131848" w:rsidRDefault="008F32C2" w14:paraId="3F542715" w14:textId="77777777">
            <w:pPr>
              <w:pStyle w:val="BodyText"/>
              <w:rPr>
                <w:rFonts w:cs="Arial"/>
                <w:b/>
                <w:sz w:val="20"/>
              </w:rPr>
            </w:pPr>
            <w:r w:rsidRPr="00A465CA">
              <w:rPr>
                <w:rFonts w:cs="Arial"/>
                <w:sz w:val="20"/>
              </w:rPr>
              <w:t xml:space="preserve">Infusion at </w:t>
            </w:r>
            <w:r w:rsidRPr="00A465CA">
              <w:rPr>
                <w:rFonts w:cs="Arial"/>
                <w:b/>
                <w:sz w:val="20"/>
              </w:rPr>
              <w:t>1 mL/h</w:t>
            </w:r>
            <w:r>
              <w:rPr>
                <w:rFonts w:cs="Arial"/>
                <w:b/>
                <w:sz w:val="20"/>
              </w:rPr>
              <w:t>our</w:t>
            </w:r>
            <w:r w:rsidRPr="00A465CA">
              <w:rPr>
                <w:rFonts w:cs="Arial"/>
                <w:b/>
                <w:sz w:val="20"/>
              </w:rPr>
              <w:t xml:space="preserve"> = 0.1 unit/kg/hour</w:t>
            </w:r>
          </w:p>
          <w:p w:rsidRPr="00A465CA" w:rsidR="008F32C2" w:rsidP="00131848" w:rsidRDefault="008F32C2" w14:paraId="1A6C242D" w14:textId="77777777">
            <w:pPr>
              <w:pStyle w:val="BodyText"/>
              <w:rPr>
                <w:rFonts w:cs="Arial"/>
                <w:sz w:val="20"/>
              </w:rPr>
            </w:pPr>
          </w:p>
          <w:p w:rsidRPr="00A465CA" w:rsidR="008F32C2" w:rsidP="00131848" w:rsidRDefault="008F32C2" w14:paraId="41B49A21" w14:textId="77777777">
            <w:pPr>
              <w:pStyle w:val="BodyText"/>
              <w:rPr>
                <w:rFonts w:cs="Arial"/>
                <w:b/>
                <w:sz w:val="20"/>
              </w:rPr>
            </w:pPr>
            <w:r w:rsidRPr="00A465CA">
              <w:rPr>
                <w:rFonts w:cs="Arial"/>
                <w:b/>
                <w:sz w:val="20"/>
              </w:rPr>
              <w:t>DOUBLE STRENGTH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2"/>
              <w:gridCol w:w="3402"/>
            </w:tblGrid>
            <w:tr w:rsidRPr="00A465CA" w:rsidR="008F32C2" w:rsidTr="008F32C2" w14:paraId="55F297AB" w14:textId="77777777">
              <w:tc>
                <w:tcPr>
                  <w:tcW w:w="3712" w:type="dxa"/>
                  <w:shd w:val="clear" w:color="auto" w:fill="auto"/>
                </w:tcPr>
                <w:p w:rsidRPr="00A465CA" w:rsidR="008F32C2" w:rsidP="00131848" w:rsidRDefault="008F32C2" w14:paraId="4889BE47" w14:textId="77777777">
                  <w:pPr>
                    <w:pStyle w:val="BodyText"/>
                    <w:rPr>
                      <w:rFonts w:cs="Arial"/>
                      <w:b/>
                      <w:sz w:val="20"/>
                    </w:rPr>
                  </w:pPr>
                  <w:r w:rsidRPr="00A465CA">
                    <w:rPr>
                      <w:rFonts w:cs="Arial"/>
                      <w:b/>
                      <w:sz w:val="20"/>
                    </w:rPr>
                    <w:t>Infusion strength</w:t>
                  </w:r>
                </w:p>
              </w:tc>
              <w:tc>
                <w:tcPr>
                  <w:tcW w:w="3402" w:type="dxa"/>
                  <w:shd w:val="clear" w:color="auto" w:fill="auto"/>
                </w:tcPr>
                <w:p w:rsidRPr="00A465CA" w:rsidR="008F32C2" w:rsidP="00131848" w:rsidRDefault="008F32C2" w14:paraId="67557EE9" w14:textId="77777777">
                  <w:pPr>
                    <w:pStyle w:val="BodyText"/>
                    <w:rPr>
                      <w:rFonts w:cs="Arial"/>
                      <w:b/>
                      <w:sz w:val="20"/>
                    </w:rPr>
                  </w:pPr>
                  <w:r w:rsidRPr="00A465CA">
                    <w:rPr>
                      <w:rFonts w:cs="Arial"/>
                      <w:b/>
                      <w:sz w:val="20"/>
                    </w:rPr>
                    <w:t>Prescribed amount</w:t>
                  </w:r>
                </w:p>
              </w:tc>
            </w:tr>
            <w:tr w:rsidRPr="00A465CA" w:rsidR="008F32C2" w:rsidTr="008F32C2" w14:paraId="38C5F3B6" w14:textId="77777777">
              <w:tc>
                <w:tcPr>
                  <w:tcW w:w="3712" w:type="dxa"/>
                  <w:shd w:val="clear" w:color="auto" w:fill="auto"/>
                </w:tcPr>
                <w:p w:rsidRPr="00A465CA" w:rsidR="008F32C2" w:rsidP="00131848" w:rsidRDefault="008F32C2" w14:paraId="56B171F5" w14:textId="77777777">
                  <w:pPr>
                    <w:pStyle w:val="BodyText"/>
                    <w:rPr>
                      <w:rFonts w:cs="Arial"/>
                      <w:sz w:val="20"/>
                    </w:rPr>
                  </w:pPr>
                  <w:r w:rsidRPr="00A465CA">
                    <w:rPr>
                      <w:rFonts w:cs="Arial"/>
                      <w:sz w:val="20"/>
                    </w:rPr>
                    <w:t>1 mL/hour = 0.2 unit/kg/hour</w:t>
                  </w:r>
                </w:p>
              </w:tc>
              <w:tc>
                <w:tcPr>
                  <w:tcW w:w="3402" w:type="dxa"/>
                  <w:shd w:val="clear" w:color="auto" w:fill="auto"/>
                </w:tcPr>
                <w:p w:rsidRPr="00A465CA" w:rsidR="008F32C2" w:rsidP="00131848" w:rsidRDefault="008F32C2" w14:paraId="706DA0FD" w14:textId="77777777">
                  <w:pPr>
                    <w:pStyle w:val="BodyText"/>
                    <w:rPr>
                      <w:rFonts w:cs="Arial"/>
                      <w:sz w:val="20"/>
                    </w:rPr>
                  </w:pPr>
                  <w:r w:rsidRPr="00A465CA">
                    <w:rPr>
                      <w:rFonts w:cs="Arial"/>
                      <w:sz w:val="20"/>
                    </w:rPr>
                    <w:t>10 unit/kg insulin and make up to 50 mL</w:t>
                  </w:r>
                </w:p>
              </w:tc>
            </w:tr>
          </w:tbl>
          <w:p w:rsidRPr="00A465CA" w:rsidR="008F32C2" w:rsidP="00131848" w:rsidRDefault="008F32C2" w14:paraId="1D2352E1" w14:textId="77777777">
            <w:pPr>
              <w:pStyle w:val="BodyText"/>
              <w:rPr>
                <w:rFonts w:cs="Arial"/>
                <w:sz w:val="20"/>
              </w:rPr>
            </w:pPr>
            <w:r w:rsidRPr="00A465CA">
              <w:rPr>
                <w:rFonts w:cs="Arial"/>
                <w:sz w:val="20"/>
              </w:rPr>
              <w:t>Draw up 0.6 mL (60 units of insulin) and add 29.4 mL glucose 5%, glucose 10% or sodium chloride 0.9% to make a final volume of 30 mL with a concentration of 2 unit/mL.</w:t>
            </w:r>
          </w:p>
          <w:p w:rsidRPr="00A465CA" w:rsidR="008F32C2" w:rsidP="00131848" w:rsidRDefault="008F32C2" w14:paraId="6F2F3955" w14:textId="77777777">
            <w:pPr>
              <w:pStyle w:val="BodyText"/>
              <w:rPr>
                <w:rFonts w:cs="Arial"/>
                <w:sz w:val="20"/>
              </w:rPr>
            </w:pPr>
            <w:r w:rsidRPr="00A465CA">
              <w:rPr>
                <w:rFonts w:cs="Arial"/>
                <w:b/>
                <w:sz w:val="20"/>
              </w:rPr>
              <w:t>FURTHER DILUTE</w:t>
            </w:r>
            <w:r w:rsidRPr="00A465CA">
              <w:rPr>
                <w:rFonts w:cs="Arial"/>
                <w:sz w:val="20"/>
              </w:rPr>
              <w:t>: 5 mL/kg (10 unit/kg) of the above solution and dilute with glucose 5%, glucose 10% or sodium chloride 0.9% to a final volume of 50 mL with a concentration of 0.2 unit/kg in each mL.</w:t>
            </w:r>
          </w:p>
          <w:p w:rsidRPr="00026F20" w:rsidR="008F32C2" w:rsidP="00131848" w:rsidRDefault="008F32C2" w14:paraId="01B7698B" w14:textId="77777777">
            <w:pPr>
              <w:pStyle w:val="BodyText"/>
              <w:rPr>
                <w:rFonts w:cs="Arial"/>
                <w:sz w:val="20"/>
                <w:lang w:val="en-AU"/>
              </w:rPr>
            </w:pPr>
            <w:r w:rsidRPr="00A465CA">
              <w:rPr>
                <w:rFonts w:cs="Arial"/>
                <w:sz w:val="20"/>
                <w:lang w:val="en-AU"/>
              </w:rPr>
              <w:t xml:space="preserve">Infusion at </w:t>
            </w:r>
            <w:r w:rsidRPr="00A465CA">
              <w:rPr>
                <w:rFonts w:cs="Arial"/>
                <w:b/>
                <w:sz w:val="20"/>
                <w:lang w:val="en-AU"/>
              </w:rPr>
              <w:t>1mL/h</w:t>
            </w:r>
            <w:r>
              <w:rPr>
                <w:rFonts w:cs="Arial"/>
                <w:b/>
                <w:sz w:val="20"/>
                <w:lang w:val="en-AU"/>
              </w:rPr>
              <w:t>our</w:t>
            </w:r>
            <w:r w:rsidRPr="00A465CA">
              <w:rPr>
                <w:rFonts w:cs="Arial"/>
                <w:b/>
                <w:sz w:val="20"/>
                <w:lang w:val="en-AU"/>
              </w:rPr>
              <w:t xml:space="preserve"> = 0.2 unit/kg/hour</w:t>
            </w:r>
          </w:p>
        </w:tc>
      </w:tr>
      <w:tr w:rsidRPr="00026F20" w:rsidR="008F32C2" w:rsidTr="008F32C2" w14:paraId="094DE0B4" w14:textId="77777777">
        <w:trPr>
          <w:trHeight w:val="224"/>
        </w:trPr>
        <w:tc>
          <w:tcPr>
            <w:tcW w:w="1730" w:type="dxa"/>
          </w:tcPr>
          <w:p w:rsidRPr="00B53E9B" w:rsidR="008F32C2" w:rsidP="00131848" w:rsidRDefault="008F32C2" w14:paraId="096958B4" w14:textId="77777777">
            <w:pPr>
              <w:pStyle w:val="BodyText"/>
              <w:rPr>
                <w:rFonts w:cs="Arial"/>
                <w:b/>
                <w:bCs/>
                <w:sz w:val="20"/>
                <w:lang w:val="en-AU"/>
              </w:rPr>
            </w:pPr>
            <w:r w:rsidRPr="00B53E9B">
              <w:rPr>
                <w:rFonts w:cs="Arial"/>
                <w:b/>
                <w:bCs/>
                <w:sz w:val="20"/>
                <w:lang w:val="en-AU"/>
              </w:rPr>
              <w:lastRenderedPageBreak/>
              <w:t xml:space="preserve">Administration                </w:t>
            </w:r>
          </w:p>
        </w:tc>
        <w:tc>
          <w:tcPr>
            <w:tcW w:w="7513" w:type="dxa"/>
            <w:vAlign w:val="center"/>
          </w:tcPr>
          <w:p w:rsidRPr="00A465CA" w:rsidR="008F32C2" w:rsidP="00131848" w:rsidRDefault="008F32C2" w14:paraId="297CA7DD" w14:textId="77777777">
            <w:pPr>
              <w:pStyle w:val="BodyText"/>
              <w:rPr>
                <w:rFonts w:cs="Arial"/>
                <w:b/>
                <w:sz w:val="20"/>
              </w:rPr>
            </w:pPr>
            <w:r w:rsidRPr="00A465CA">
              <w:rPr>
                <w:rFonts w:cs="Arial"/>
                <w:sz w:val="20"/>
              </w:rPr>
              <w:t xml:space="preserve">Intravenous: </w:t>
            </w:r>
            <w:r w:rsidRPr="00A465CA">
              <w:rPr>
                <w:rFonts w:cs="Arial"/>
                <w:b/>
                <w:sz w:val="20"/>
              </w:rPr>
              <w:t xml:space="preserve">Insulin binds to the plastic of giving sets. Flush the plastic tubing with 20 mL of prepared insulin solution into a receptacle prior to connecting to the infant. This is to saturate the binding. </w:t>
            </w:r>
          </w:p>
          <w:p w:rsidRPr="00A465CA" w:rsidR="008F32C2" w:rsidP="00131848" w:rsidRDefault="008F32C2" w14:paraId="2E40A526" w14:textId="77777777">
            <w:pPr>
              <w:pStyle w:val="BodyText"/>
              <w:rPr>
                <w:rFonts w:cs="Arial"/>
                <w:sz w:val="20"/>
              </w:rPr>
            </w:pPr>
            <w:r w:rsidRPr="00A465CA">
              <w:rPr>
                <w:rFonts w:cs="Arial"/>
                <w:sz w:val="20"/>
              </w:rPr>
              <w:t xml:space="preserve">Do not filter infusion. Insulin also binds to the filter. </w:t>
            </w:r>
          </w:p>
          <w:p w:rsidRPr="00A465CA" w:rsidR="008F32C2" w:rsidP="00131848" w:rsidRDefault="008F32C2" w14:paraId="010C70CF" w14:textId="77777777">
            <w:pPr>
              <w:pStyle w:val="BodyText"/>
              <w:rPr>
                <w:rFonts w:cs="Arial"/>
                <w:sz w:val="20"/>
              </w:rPr>
            </w:pPr>
            <w:r w:rsidRPr="00A465CA">
              <w:rPr>
                <w:rFonts w:cs="Arial"/>
                <w:sz w:val="20"/>
              </w:rPr>
              <w:t xml:space="preserve">Can be infused with maintenance fluids. Recommend attaching insulin infusion after the filter. </w:t>
            </w:r>
          </w:p>
          <w:p w:rsidRPr="00026F20" w:rsidR="008F32C2" w:rsidP="00131848" w:rsidRDefault="008F32C2" w14:paraId="55506C0C" w14:textId="77777777">
            <w:pPr>
              <w:pStyle w:val="BodyText"/>
              <w:rPr>
                <w:rFonts w:cs="Arial"/>
                <w:sz w:val="20"/>
                <w:lang w:val="en-AU"/>
              </w:rPr>
            </w:pPr>
            <w:r w:rsidRPr="00A465CA">
              <w:rPr>
                <w:rFonts w:cs="Arial"/>
                <w:sz w:val="20"/>
                <w:lang w:val="en-AU"/>
              </w:rPr>
              <w:t>Do not bolus other drugs through this line.</w:t>
            </w:r>
          </w:p>
        </w:tc>
      </w:tr>
      <w:tr w:rsidRPr="00026F20" w:rsidR="008F32C2" w:rsidTr="008F32C2" w14:paraId="44B873C7" w14:textId="77777777">
        <w:trPr>
          <w:trHeight w:val="215"/>
        </w:trPr>
        <w:tc>
          <w:tcPr>
            <w:tcW w:w="1730" w:type="dxa"/>
          </w:tcPr>
          <w:p w:rsidRPr="00B53E9B" w:rsidR="008F32C2" w:rsidP="00131848" w:rsidRDefault="008F32C2" w14:paraId="0BB21E41" w14:textId="77777777">
            <w:pPr>
              <w:pStyle w:val="BodyText"/>
              <w:rPr>
                <w:rFonts w:cs="Arial"/>
                <w:b/>
                <w:bCs/>
                <w:sz w:val="20"/>
                <w:lang w:val="en-AU"/>
              </w:rPr>
            </w:pPr>
            <w:r w:rsidRPr="00B53E9B">
              <w:rPr>
                <w:rFonts w:cs="Arial"/>
                <w:b/>
                <w:bCs/>
                <w:sz w:val="20"/>
                <w:lang w:val="en-AU"/>
              </w:rPr>
              <w:t xml:space="preserve">Monitoring                              </w:t>
            </w:r>
          </w:p>
        </w:tc>
        <w:tc>
          <w:tcPr>
            <w:tcW w:w="7513" w:type="dxa"/>
          </w:tcPr>
          <w:p w:rsidRPr="00C50655" w:rsidR="008F32C2" w:rsidP="00131848" w:rsidRDefault="008F32C2" w14:paraId="4B3F5451" w14:textId="77777777">
            <w:pPr>
              <w:pStyle w:val="BodyText"/>
              <w:rPr>
                <w:rFonts w:cs="Arial"/>
                <w:sz w:val="20"/>
                <w:lang w:val="en-AU"/>
              </w:rPr>
            </w:pPr>
            <w:r w:rsidRPr="00A465CA">
              <w:rPr>
                <w:rFonts w:cs="Arial"/>
                <w:sz w:val="20"/>
              </w:rPr>
              <w:t xml:space="preserve">Blood glucose </w:t>
            </w:r>
            <w:r>
              <w:rPr>
                <w:rFonts w:cs="Arial"/>
                <w:sz w:val="20"/>
                <w:lang w:val="en-AU"/>
              </w:rPr>
              <w:t>level (BGL)</w:t>
            </w:r>
          </w:p>
          <w:p w:rsidRPr="00A465CA" w:rsidR="008F32C2" w:rsidP="00131848" w:rsidRDefault="008F32C2" w14:paraId="579283D0" w14:textId="77777777">
            <w:pPr>
              <w:pStyle w:val="BodyText"/>
              <w:rPr>
                <w:rFonts w:cs="Arial"/>
                <w:sz w:val="20"/>
              </w:rPr>
            </w:pPr>
            <w:r w:rsidRPr="00A465CA">
              <w:rPr>
                <w:rFonts w:cs="Arial"/>
                <w:sz w:val="20"/>
              </w:rPr>
              <w:t xml:space="preserve">Initiation: Every 30 minutes until stabilised. </w:t>
            </w:r>
          </w:p>
          <w:p w:rsidRPr="00392F77" w:rsidR="008F32C2" w:rsidP="00131848" w:rsidRDefault="008F32C2" w14:paraId="2AD79AFB" w14:textId="77777777">
            <w:pPr>
              <w:pStyle w:val="BodyText"/>
              <w:rPr>
                <w:rFonts w:cs="Arial"/>
                <w:sz w:val="20"/>
              </w:rPr>
            </w:pPr>
            <w:r w:rsidRPr="00392F77">
              <w:rPr>
                <w:rFonts w:cs="Arial"/>
                <w:sz w:val="20"/>
              </w:rPr>
              <w:t>Stabilisation: 4–6 hourly.</w:t>
            </w:r>
          </w:p>
          <w:p w:rsidRPr="00392F77" w:rsidR="008F32C2" w:rsidP="00131848" w:rsidRDefault="008F32C2" w14:paraId="2C614F8C" w14:textId="77777777">
            <w:pPr>
              <w:pStyle w:val="BodyText"/>
              <w:rPr>
                <w:rFonts w:cs="Arial"/>
                <w:sz w:val="20"/>
              </w:rPr>
            </w:pPr>
            <w:r w:rsidRPr="00392F77">
              <w:rPr>
                <w:rFonts w:cs="Arial"/>
                <w:sz w:val="20"/>
              </w:rPr>
              <w:t>After cessation of infusion: At 1 hour.</w:t>
            </w:r>
          </w:p>
          <w:p w:rsidRPr="00A465CA" w:rsidR="008F32C2" w:rsidP="00131848" w:rsidRDefault="008F32C2" w14:paraId="2C3588D3" w14:textId="77777777">
            <w:pPr>
              <w:pStyle w:val="BodyText"/>
              <w:rPr>
                <w:rFonts w:cs="Arial"/>
                <w:sz w:val="20"/>
              </w:rPr>
            </w:pPr>
            <w:r w:rsidRPr="00392F77">
              <w:rPr>
                <w:rFonts w:cs="Arial"/>
                <w:sz w:val="20"/>
              </w:rPr>
              <w:t>Alteration of infusion: Within 1 hour.</w:t>
            </w:r>
          </w:p>
          <w:p w:rsidRPr="00026F20" w:rsidR="008F32C2" w:rsidP="00131848" w:rsidRDefault="008F32C2" w14:paraId="1CCECDC3" w14:textId="77777777">
            <w:pPr>
              <w:pStyle w:val="BodyText"/>
              <w:rPr>
                <w:rFonts w:cs="Arial"/>
                <w:sz w:val="20"/>
                <w:lang w:val="en-AU"/>
              </w:rPr>
            </w:pPr>
            <w:r w:rsidRPr="00A465CA">
              <w:rPr>
                <w:rFonts w:cs="Arial"/>
                <w:sz w:val="20"/>
                <w:lang w:val="en-AU"/>
              </w:rPr>
              <w:t>Serum potassium concentration.</w:t>
            </w:r>
          </w:p>
        </w:tc>
      </w:tr>
      <w:tr w:rsidRPr="008F0C25" w:rsidR="008F32C2" w:rsidTr="008F32C2" w14:paraId="558ABAC9" w14:textId="77777777">
        <w:trPr>
          <w:trHeight w:val="342"/>
        </w:trPr>
        <w:tc>
          <w:tcPr>
            <w:tcW w:w="1730" w:type="dxa"/>
          </w:tcPr>
          <w:p w:rsidRPr="00B53E9B" w:rsidR="008F32C2" w:rsidP="00131848" w:rsidRDefault="008F32C2" w14:paraId="733E6D23" w14:textId="77777777">
            <w:pPr>
              <w:pStyle w:val="BodyText"/>
              <w:rPr>
                <w:rFonts w:cs="Arial"/>
                <w:b/>
                <w:bCs/>
                <w:sz w:val="20"/>
                <w:lang w:val="en-AU"/>
              </w:rPr>
            </w:pPr>
            <w:r w:rsidRPr="00B53E9B">
              <w:rPr>
                <w:rFonts w:cs="Arial"/>
                <w:b/>
                <w:bCs/>
                <w:sz w:val="20"/>
                <w:lang w:val="en-AU"/>
              </w:rPr>
              <w:t xml:space="preserve">Contraindications                        </w:t>
            </w:r>
          </w:p>
        </w:tc>
        <w:tc>
          <w:tcPr>
            <w:tcW w:w="7513" w:type="dxa"/>
          </w:tcPr>
          <w:p w:rsidRPr="008F0C25" w:rsidR="008F32C2" w:rsidP="00131848" w:rsidRDefault="008F32C2" w14:paraId="3CEDBB5F" w14:textId="77777777">
            <w:pPr>
              <w:pStyle w:val="BodyText"/>
              <w:rPr>
                <w:rFonts w:cs="Arial"/>
                <w:sz w:val="20"/>
              </w:rPr>
            </w:pPr>
            <w:r w:rsidRPr="008F0C25">
              <w:rPr>
                <w:rFonts w:cs="Arial"/>
                <w:sz w:val="20"/>
              </w:rPr>
              <w:t>Hypersensitivity to regular insulin or any of its components.</w:t>
            </w:r>
          </w:p>
          <w:p w:rsidRPr="008F0C25" w:rsidR="008F32C2" w:rsidP="00131848" w:rsidRDefault="008F32C2" w14:paraId="0739F578" w14:textId="77777777">
            <w:pPr>
              <w:pStyle w:val="BodyText"/>
              <w:rPr>
                <w:rFonts w:cs="Arial"/>
                <w:sz w:val="20"/>
              </w:rPr>
            </w:pPr>
            <w:r w:rsidRPr="008F0C25">
              <w:rPr>
                <w:sz w:val="20"/>
              </w:rPr>
              <w:t>During episodes of hypoglycaemia.</w:t>
            </w:r>
          </w:p>
        </w:tc>
      </w:tr>
      <w:tr w:rsidRPr="007F0949" w:rsidR="008F32C2" w:rsidTr="008F32C2" w14:paraId="475E3017" w14:textId="77777777">
        <w:tc>
          <w:tcPr>
            <w:tcW w:w="1730" w:type="dxa"/>
          </w:tcPr>
          <w:p w:rsidRPr="00B53E9B" w:rsidR="008F32C2" w:rsidP="00131848" w:rsidRDefault="008F32C2" w14:paraId="462C81B8"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7513" w:type="dxa"/>
          </w:tcPr>
          <w:p w:rsidRPr="00AC2C21" w:rsidR="008F32C2" w:rsidP="00131848" w:rsidRDefault="008F32C2" w14:paraId="34793B5F" w14:textId="77777777">
            <w:pPr>
              <w:pStyle w:val="BodyText"/>
              <w:rPr>
                <w:sz w:val="20"/>
              </w:rPr>
            </w:pPr>
            <w:r w:rsidRPr="008F0C25">
              <w:rPr>
                <w:sz w:val="20"/>
              </w:rPr>
              <w:t xml:space="preserve">Hypoglycaemia is a common adverse effect. Blood glucose must be monitored closely to </w:t>
            </w:r>
            <w:r>
              <w:rPr>
                <w:sz w:val="20"/>
              </w:rPr>
              <w:t>detect</w:t>
            </w:r>
            <w:r w:rsidRPr="00AC2C21">
              <w:rPr>
                <w:sz w:val="20"/>
              </w:rPr>
              <w:t xml:space="preserve"> hypoglycaemia.</w:t>
            </w:r>
          </w:p>
          <w:p w:rsidRPr="008F0C25" w:rsidR="008F32C2" w:rsidP="00131848" w:rsidRDefault="008F32C2" w14:paraId="29E788F3" w14:textId="77777777">
            <w:pPr>
              <w:pStyle w:val="BodyText"/>
              <w:rPr>
                <w:sz w:val="20"/>
              </w:rPr>
            </w:pPr>
            <w:r w:rsidRPr="003D24B6">
              <w:rPr>
                <w:sz w:val="20"/>
              </w:rPr>
              <w:t xml:space="preserve">Do not adjust the rate of the maintenance solution or other infusions when insulin is commenced or the insulin infusion rate is altered. For example, if insulin is commenced or the rate of the insulin infusion is increased, do not turn down the maintenance solution to compensate for the total volume delivered. The amount of glucose being delivered to the infant will then be reduced as the insulin is commenced or dose is increased, possibly causing hypoglycaemia in an already unstable infant. </w:t>
            </w:r>
          </w:p>
          <w:p w:rsidRPr="00D26D38" w:rsidR="008F32C2" w:rsidP="00131848" w:rsidRDefault="008F32C2" w14:paraId="327D9929" w14:textId="77777777">
            <w:pPr>
              <w:pStyle w:val="BodyText"/>
              <w:rPr>
                <w:sz w:val="20"/>
              </w:rPr>
            </w:pPr>
            <w:r w:rsidRPr="00D26D38">
              <w:rPr>
                <w:sz w:val="20"/>
              </w:rPr>
              <w:t>If ceasing insulin or changing the strength, be careful to remove and replace the previous line and T-piece to avoid flushing through insulin remaining in the tubing.</w:t>
            </w:r>
          </w:p>
          <w:p w:rsidRPr="007F0949" w:rsidR="008F32C2" w:rsidP="00131848" w:rsidRDefault="008F32C2" w14:paraId="17698D4B" w14:textId="77777777">
            <w:pPr>
              <w:pStyle w:val="BodyText"/>
              <w:rPr>
                <w:sz w:val="20"/>
              </w:rPr>
            </w:pPr>
            <w:r w:rsidRPr="007F0949">
              <w:rPr>
                <w:sz w:val="20"/>
              </w:rPr>
              <w:t>Administer IV bolus medication via separate IV access to avoid insulin bolus administration.</w:t>
            </w:r>
          </w:p>
        </w:tc>
      </w:tr>
      <w:tr w:rsidRPr="00D26D38" w:rsidR="008F32C2" w:rsidTr="008F32C2" w14:paraId="1CEC3871" w14:textId="77777777">
        <w:trPr>
          <w:trHeight w:val="70"/>
        </w:trPr>
        <w:tc>
          <w:tcPr>
            <w:tcW w:w="1730" w:type="dxa"/>
          </w:tcPr>
          <w:p w:rsidRPr="00B53E9B" w:rsidR="008F32C2" w:rsidP="00131848" w:rsidRDefault="008F32C2" w14:paraId="0367C4E4"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7513" w:type="dxa"/>
          </w:tcPr>
          <w:p w:rsidRPr="00D26D38" w:rsidR="008F32C2" w:rsidP="00131848" w:rsidRDefault="008F32C2" w14:paraId="3EF90CD6" w14:textId="77777777">
            <w:pPr>
              <w:pStyle w:val="Default"/>
              <w:rPr>
                <w:rFonts w:ascii="Calibri" w:hAnsi="Calibri"/>
                <w:color w:val="auto"/>
                <w:sz w:val="20"/>
                <w:szCs w:val="20"/>
              </w:rPr>
            </w:pPr>
            <w:r w:rsidRPr="008F0C25">
              <w:rPr>
                <w:rFonts w:ascii="Calibri" w:hAnsi="Calibri"/>
                <w:color w:val="auto"/>
                <w:sz w:val="20"/>
                <w:szCs w:val="20"/>
              </w:rPr>
              <w:t xml:space="preserve">The following may reduce insulin requirements: </w:t>
            </w:r>
            <w:r>
              <w:rPr>
                <w:rFonts w:ascii="Calibri" w:hAnsi="Calibri"/>
                <w:color w:val="auto"/>
                <w:sz w:val="20"/>
                <w:szCs w:val="20"/>
              </w:rPr>
              <w:t>O</w:t>
            </w:r>
            <w:r w:rsidRPr="00AC2C21">
              <w:rPr>
                <w:rFonts w:ascii="Calibri" w:hAnsi="Calibri"/>
                <w:color w:val="auto"/>
                <w:sz w:val="20"/>
                <w:szCs w:val="20"/>
              </w:rPr>
              <w:t xml:space="preserve">ctreotide, beta-adrenergic blocking </w:t>
            </w:r>
            <w:r w:rsidRPr="00D26D38">
              <w:rPr>
                <w:rFonts w:ascii="Calibri" w:hAnsi="Calibri"/>
                <w:color w:val="auto"/>
                <w:sz w:val="20"/>
                <w:szCs w:val="20"/>
              </w:rPr>
              <w:t>agents, angiotensin converting enzyme inhibitors, salicylates, anabolic steroids, alpha-adrenergic blocking agents, quinine, quinidine and sulfonamides.</w:t>
            </w:r>
          </w:p>
          <w:p w:rsidR="008F32C2" w:rsidP="00131848" w:rsidRDefault="008F32C2" w14:paraId="736E3572" w14:textId="77777777">
            <w:pPr>
              <w:pStyle w:val="Default"/>
              <w:rPr>
                <w:rFonts w:ascii="Calibri" w:hAnsi="Calibri"/>
                <w:color w:val="auto"/>
                <w:sz w:val="20"/>
                <w:szCs w:val="20"/>
              </w:rPr>
            </w:pPr>
            <w:r w:rsidRPr="007F0949">
              <w:rPr>
                <w:rFonts w:ascii="Calibri" w:hAnsi="Calibri"/>
                <w:color w:val="auto"/>
                <w:sz w:val="20"/>
                <w:szCs w:val="20"/>
              </w:rPr>
              <w:t xml:space="preserve">The following may increase insulin requirements: </w:t>
            </w:r>
            <w:r>
              <w:rPr>
                <w:rFonts w:ascii="Calibri" w:hAnsi="Calibri"/>
                <w:color w:val="auto"/>
                <w:sz w:val="20"/>
                <w:szCs w:val="20"/>
              </w:rPr>
              <w:t>T</w:t>
            </w:r>
            <w:r w:rsidRPr="00AC2C21">
              <w:rPr>
                <w:rFonts w:ascii="Calibri" w:hAnsi="Calibri"/>
                <w:color w:val="auto"/>
                <w:sz w:val="20"/>
                <w:szCs w:val="20"/>
              </w:rPr>
              <w:t>hiazides, f</w:t>
            </w:r>
            <w:r>
              <w:rPr>
                <w:rFonts w:ascii="Calibri" w:hAnsi="Calibri"/>
                <w:color w:val="auto"/>
                <w:sz w:val="20"/>
                <w:szCs w:val="20"/>
              </w:rPr>
              <w:t>uros</w:t>
            </w:r>
            <w:r w:rsidRPr="00AC2C21">
              <w:rPr>
                <w:rFonts w:ascii="Calibri" w:hAnsi="Calibri"/>
                <w:color w:val="auto"/>
                <w:sz w:val="20"/>
                <w:szCs w:val="20"/>
              </w:rPr>
              <w:t>emide, ethacrynic acid, glucocorticoids, thyroid hormones, sympathomimetics,</w:t>
            </w:r>
            <w:r>
              <w:rPr>
                <w:rFonts w:ascii="Calibri" w:hAnsi="Calibri"/>
                <w:color w:val="auto"/>
                <w:sz w:val="20"/>
                <w:szCs w:val="20"/>
              </w:rPr>
              <w:t xml:space="preserve"> octreotide,</w:t>
            </w:r>
            <w:r w:rsidRPr="00AC2C21">
              <w:rPr>
                <w:rFonts w:ascii="Calibri" w:hAnsi="Calibri"/>
                <w:color w:val="auto"/>
                <w:sz w:val="20"/>
                <w:szCs w:val="20"/>
              </w:rPr>
              <w:t xml:space="preserve"> growth hormone, and diazoxide.</w:t>
            </w:r>
          </w:p>
          <w:p w:rsidR="008F32C2" w:rsidP="00131848" w:rsidRDefault="008F32C2" w14:paraId="66055018" w14:textId="77777777">
            <w:pPr>
              <w:pStyle w:val="Default"/>
              <w:rPr>
                <w:rFonts w:ascii="Calibri" w:hAnsi="Calibri"/>
                <w:color w:val="auto"/>
                <w:sz w:val="20"/>
                <w:szCs w:val="20"/>
              </w:rPr>
            </w:pPr>
            <w:r>
              <w:rPr>
                <w:rFonts w:ascii="Calibri" w:hAnsi="Calibri"/>
                <w:color w:val="auto"/>
                <w:sz w:val="20"/>
                <w:szCs w:val="20"/>
              </w:rPr>
              <w:t>Beta blocking agents may mask the symptoms of hypoglycaemia and delay recovery from hypoglycaemia.</w:t>
            </w:r>
          </w:p>
          <w:p w:rsidRPr="00D26D38" w:rsidR="008F32C2" w:rsidP="00131848" w:rsidRDefault="008F32C2" w14:paraId="74DEA852" w14:textId="77777777">
            <w:pPr>
              <w:pStyle w:val="Default"/>
              <w:rPr>
                <w:rFonts w:ascii="Calibri" w:hAnsi="Calibri"/>
                <w:color w:val="auto"/>
                <w:sz w:val="20"/>
                <w:szCs w:val="20"/>
              </w:rPr>
            </w:pPr>
            <w:r>
              <w:rPr>
                <w:rFonts w:ascii="Calibri" w:hAnsi="Calibri"/>
                <w:color w:val="auto"/>
                <w:sz w:val="20"/>
                <w:szCs w:val="20"/>
              </w:rPr>
              <w:t>Hypoglycaemia in the presence of concomitant use of a beta-adrenergic blocking agent may precipitate a hypertensive crisis.</w:t>
            </w:r>
          </w:p>
        </w:tc>
      </w:tr>
      <w:tr w:rsidRPr="008F0C25" w:rsidR="008F32C2" w:rsidTr="008F32C2" w14:paraId="0608F4CC" w14:textId="77777777">
        <w:trPr>
          <w:trHeight w:val="332"/>
        </w:trPr>
        <w:tc>
          <w:tcPr>
            <w:tcW w:w="1730" w:type="dxa"/>
          </w:tcPr>
          <w:p w:rsidRPr="00B53E9B" w:rsidR="008F32C2" w:rsidP="00131848" w:rsidRDefault="008F32C2" w14:paraId="2D3E1B32"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7513" w:type="dxa"/>
          </w:tcPr>
          <w:p w:rsidRPr="008F0C25" w:rsidR="008F32C2" w:rsidP="00131848" w:rsidRDefault="008F32C2" w14:paraId="42A62654" w14:textId="77777777">
            <w:pPr>
              <w:pStyle w:val="Default"/>
              <w:rPr>
                <w:rFonts w:ascii="Calibri" w:hAnsi="Calibri"/>
                <w:sz w:val="20"/>
                <w:szCs w:val="20"/>
              </w:rPr>
            </w:pPr>
            <w:r w:rsidRPr="008F0C25">
              <w:rPr>
                <w:rFonts w:ascii="Calibri" w:hAnsi="Calibri"/>
                <w:sz w:val="20"/>
                <w:szCs w:val="20"/>
              </w:rPr>
              <w:t xml:space="preserve">Hypoglycaemia; hypokalaemia; and hyponatraemia. </w:t>
            </w:r>
          </w:p>
          <w:p w:rsidRPr="008F0C25" w:rsidR="008F32C2" w:rsidP="00131848" w:rsidRDefault="008F32C2" w14:paraId="7B194432" w14:textId="77777777">
            <w:pPr>
              <w:pStyle w:val="Default"/>
              <w:rPr>
                <w:rFonts w:ascii="Calibri" w:hAnsi="Calibri"/>
                <w:sz w:val="20"/>
                <w:szCs w:val="20"/>
              </w:rPr>
            </w:pPr>
            <w:r w:rsidRPr="008F0C25">
              <w:rPr>
                <w:rFonts w:ascii="Calibri" w:hAnsi="Calibri"/>
                <w:sz w:val="20"/>
                <w:szCs w:val="20"/>
              </w:rPr>
              <w:t>Urticaria and anaphylaxis (extremely rare)</w:t>
            </w:r>
            <w:r>
              <w:rPr>
                <w:rFonts w:ascii="Calibri" w:hAnsi="Calibri"/>
                <w:sz w:val="20"/>
                <w:szCs w:val="20"/>
              </w:rPr>
              <w:t>.</w:t>
            </w:r>
          </w:p>
          <w:p w:rsidRPr="008F0C25" w:rsidR="008F32C2" w:rsidP="00131848" w:rsidRDefault="008F32C2" w14:paraId="135A30A5" w14:textId="77777777">
            <w:pPr>
              <w:pStyle w:val="Default"/>
              <w:rPr>
                <w:rFonts w:ascii="Calibri" w:hAnsi="Calibri"/>
                <w:sz w:val="20"/>
                <w:szCs w:val="20"/>
              </w:rPr>
            </w:pPr>
            <w:r w:rsidRPr="008F0C25">
              <w:rPr>
                <w:rFonts w:ascii="Calibri" w:hAnsi="Calibri"/>
                <w:sz w:val="20"/>
                <w:szCs w:val="20"/>
              </w:rPr>
              <w:t>Insulin resistance may develop resulting in a larger dose requirement.</w:t>
            </w:r>
          </w:p>
        </w:tc>
      </w:tr>
      <w:tr w:rsidRPr="008F0C25" w:rsidR="008F32C2" w:rsidTr="008F32C2" w14:paraId="4478C7E3" w14:textId="77777777">
        <w:trPr>
          <w:trHeight w:val="180"/>
        </w:trPr>
        <w:tc>
          <w:tcPr>
            <w:tcW w:w="1730" w:type="dxa"/>
          </w:tcPr>
          <w:p w:rsidRPr="00B53E9B" w:rsidR="008F32C2" w:rsidP="00131848" w:rsidRDefault="008F32C2" w14:paraId="20A3FB32" w14:textId="77777777">
            <w:pPr>
              <w:pStyle w:val="BodyText"/>
              <w:rPr>
                <w:rFonts w:cs="Arial"/>
                <w:b/>
                <w:bCs/>
                <w:sz w:val="20"/>
                <w:lang w:val="en-AU"/>
              </w:rPr>
            </w:pPr>
            <w:r w:rsidRPr="00B53E9B">
              <w:rPr>
                <w:rFonts w:cs="Arial"/>
                <w:b/>
                <w:bCs/>
                <w:sz w:val="20"/>
                <w:lang w:val="en-AU"/>
              </w:rPr>
              <w:lastRenderedPageBreak/>
              <w:t>Compatibility</w:t>
            </w:r>
            <w:r>
              <w:rPr>
                <w:rFonts w:cs="Arial"/>
                <w:b/>
                <w:bCs/>
                <w:sz w:val="20"/>
                <w:lang w:val="en-AU"/>
              </w:rPr>
              <w:t xml:space="preserve"> </w:t>
            </w:r>
          </w:p>
        </w:tc>
        <w:tc>
          <w:tcPr>
            <w:tcW w:w="7513" w:type="dxa"/>
          </w:tcPr>
          <w:p w:rsidRPr="00D26D38" w:rsidR="008F32C2" w:rsidP="00131848" w:rsidRDefault="008F32C2" w14:paraId="4DE872C6" w14:textId="77777777">
            <w:pPr>
              <w:pStyle w:val="Default"/>
              <w:rPr>
                <w:rFonts w:ascii="Calibri" w:hAnsi="Calibri"/>
                <w:color w:val="auto"/>
                <w:sz w:val="20"/>
                <w:szCs w:val="20"/>
              </w:rPr>
            </w:pPr>
            <w:r w:rsidRPr="00C50655">
              <w:rPr>
                <w:rFonts w:ascii="Calibri" w:hAnsi="Calibri"/>
                <w:b/>
                <w:color w:val="auto"/>
                <w:sz w:val="20"/>
                <w:szCs w:val="20"/>
              </w:rPr>
              <w:t>Fluids:</w:t>
            </w:r>
            <w:r w:rsidRPr="00D26D38">
              <w:rPr>
                <w:rFonts w:ascii="Calibri" w:hAnsi="Calibri"/>
                <w:color w:val="auto"/>
                <w:sz w:val="20"/>
                <w:szCs w:val="20"/>
              </w:rPr>
              <w:t xml:space="preserve"> </w:t>
            </w:r>
            <w:r>
              <w:rPr>
                <w:rFonts w:ascii="Calibri" w:hAnsi="Calibri"/>
                <w:color w:val="auto"/>
                <w:sz w:val="20"/>
                <w:szCs w:val="20"/>
              </w:rPr>
              <w:t>glucose</w:t>
            </w:r>
            <w:r w:rsidRPr="00D26D38">
              <w:rPr>
                <w:rFonts w:ascii="Calibri" w:hAnsi="Calibri"/>
                <w:color w:val="auto"/>
                <w:sz w:val="20"/>
                <w:szCs w:val="20"/>
              </w:rPr>
              <w:t xml:space="preserve"> 5%, </w:t>
            </w:r>
            <w:r>
              <w:rPr>
                <w:rFonts w:ascii="Calibri" w:hAnsi="Calibri"/>
                <w:color w:val="auto"/>
                <w:sz w:val="20"/>
                <w:szCs w:val="20"/>
              </w:rPr>
              <w:t>glucose</w:t>
            </w:r>
            <w:r w:rsidRPr="00D26D38">
              <w:rPr>
                <w:rFonts w:ascii="Calibri" w:hAnsi="Calibri"/>
                <w:color w:val="auto"/>
                <w:sz w:val="20"/>
                <w:szCs w:val="20"/>
              </w:rPr>
              <w:t xml:space="preserve"> 10%, glucose 50%, sodium chloride 0.9%.</w:t>
            </w:r>
          </w:p>
          <w:p w:rsidRPr="00D26D38" w:rsidR="008F32C2" w:rsidP="00131848" w:rsidRDefault="008F32C2" w14:paraId="6987E5F3" w14:textId="77777777">
            <w:pPr>
              <w:pStyle w:val="Default"/>
              <w:rPr>
                <w:rFonts w:ascii="Calibri" w:hAnsi="Calibri"/>
                <w:color w:val="auto"/>
                <w:sz w:val="20"/>
                <w:szCs w:val="20"/>
              </w:rPr>
            </w:pPr>
          </w:p>
          <w:p w:rsidR="008F32C2" w:rsidP="00131848" w:rsidRDefault="008F32C2" w14:paraId="1D8D9B2F" w14:textId="77777777">
            <w:pPr>
              <w:pStyle w:val="Default"/>
              <w:rPr>
                <w:rFonts w:ascii="Calibri" w:hAnsi="Calibri"/>
                <w:color w:val="auto"/>
                <w:sz w:val="20"/>
                <w:szCs w:val="20"/>
              </w:rPr>
            </w:pPr>
            <w:r w:rsidRPr="00C50655">
              <w:rPr>
                <w:rFonts w:ascii="Calibri" w:hAnsi="Calibri"/>
                <w:b/>
                <w:color w:val="auto"/>
                <w:sz w:val="20"/>
                <w:szCs w:val="20"/>
              </w:rPr>
              <w:t>Y-site:</w:t>
            </w:r>
            <w:r w:rsidRPr="00C50655">
              <w:rPr>
                <w:rFonts w:ascii="Calibri" w:hAnsi="Calibri"/>
                <w:color w:val="auto"/>
                <w:sz w:val="20"/>
                <w:szCs w:val="20"/>
              </w:rPr>
              <w:t>[12,13]</w:t>
            </w:r>
            <w:r w:rsidRPr="00D26D38">
              <w:rPr>
                <w:rFonts w:ascii="Calibri" w:hAnsi="Calibri"/>
                <w:color w:val="auto"/>
                <w:sz w:val="20"/>
                <w:szCs w:val="20"/>
              </w:rPr>
              <w:t xml:space="preserve"> </w:t>
            </w:r>
            <w:r>
              <w:rPr>
                <w:rFonts w:ascii="Calibri" w:hAnsi="Calibri"/>
                <w:color w:val="auto"/>
                <w:sz w:val="20"/>
                <w:szCs w:val="20"/>
              </w:rPr>
              <w:t xml:space="preserve">Aciclovir, aminophylline, amphoteiricin B lipid complex, atenolol, atropine, azathioprine, </w:t>
            </w:r>
            <w:r w:rsidRPr="00D26D38">
              <w:rPr>
                <w:rFonts w:ascii="Calibri" w:hAnsi="Calibri"/>
                <w:color w:val="auto"/>
                <w:sz w:val="20"/>
                <w:szCs w:val="20"/>
              </w:rPr>
              <w:t>aztreonam</w:t>
            </w:r>
            <w:r>
              <w:rPr>
                <w:rFonts w:ascii="Calibri" w:hAnsi="Calibri"/>
                <w:color w:val="auto"/>
                <w:sz w:val="20"/>
                <w:szCs w:val="20"/>
              </w:rPr>
              <w:t xml:space="preserve">, </w:t>
            </w:r>
            <w:r w:rsidRPr="00D26D38">
              <w:rPr>
                <w:rFonts w:ascii="Calibri" w:hAnsi="Calibri"/>
                <w:color w:val="auto"/>
                <w:sz w:val="20"/>
                <w:szCs w:val="20"/>
              </w:rPr>
              <w:t>calcium chloride</w:t>
            </w:r>
            <w:r>
              <w:rPr>
                <w:rFonts w:ascii="Calibri" w:hAnsi="Calibri"/>
                <w:color w:val="auto"/>
                <w:sz w:val="20"/>
                <w:szCs w:val="20"/>
              </w:rPr>
              <w:t>,</w:t>
            </w:r>
            <w:r w:rsidRPr="00D26D38">
              <w:rPr>
                <w:rFonts w:ascii="Calibri" w:hAnsi="Calibri"/>
                <w:color w:val="auto"/>
                <w:sz w:val="20"/>
                <w:szCs w:val="20"/>
              </w:rPr>
              <w:t xml:space="preserve"> calcium gluconate</w:t>
            </w:r>
            <w:r>
              <w:rPr>
                <w:rFonts w:ascii="Calibri" w:hAnsi="Calibri"/>
                <w:color w:val="auto"/>
                <w:sz w:val="20"/>
                <w:szCs w:val="20"/>
              </w:rPr>
              <w:t>,</w:t>
            </w:r>
            <w:r w:rsidRPr="00D26D38">
              <w:rPr>
                <w:rFonts w:ascii="Calibri" w:hAnsi="Calibri"/>
                <w:color w:val="auto"/>
                <w:sz w:val="20"/>
                <w:szCs w:val="20"/>
              </w:rPr>
              <w:t xml:space="preserve"> caspofungin</w:t>
            </w:r>
            <w:r>
              <w:rPr>
                <w:rFonts w:ascii="Calibri" w:hAnsi="Calibri"/>
                <w:color w:val="auto"/>
                <w:sz w:val="20"/>
                <w:szCs w:val="20"/>
              </w:rPr>
              <w:t xml:space="preserve">, </w:t>
            </w:r>
            <w:r w:rsidRPr="00D26D38">
              <w:rPr>
                <w:rFonts w:ascii="Calibri" w:hAnsi="Calibri"/>
                <w:color w:val="auto"/>
                <w:sz w:val="20"/>
                <w:szCs w:val="20"/>
              </w:rPr>
              <w:t xml:space="preserve"> cefazolin</w:t>
            </w:r>
            <w:r>
              <w:rPr>
                <w:rFonts w:ascii="Calibri" w:hAnsi="Calibri"/>
                <w:color w:val="auto"/>
                <w:sz w:val="20"/>
                <w:szCs w:val="20"/>
              </w:rPr>
              <w:t>,</w:t>
            </w:r>
            <w:r w:rsidRPr="00D26D38">
              <w:rPr>
                <w:rFonts w:ascii="Calibri" w:hAnsi="Calibri"/>
                <w:color w:val="auto"/>
                <w:sz w:val="20"/>
                <w:szCs w:val="20"/>
              </w:rPr>
              <w:t xml:space="preserve"> cefepime</w:t>
            </w:r>
            <w:r>
              <w:rPr>
                <w:rFonts w:ascii="Calibri" w:hAnsi="Calibri"/>
                <w:color w:val="auto"/>
                <w:sz w:val="20"/>
                <w:szCs w:val="20"/>
              </w:rPr>
              <w:t>,</w:t>
            </w:r>
            <w:r w:rsidRPr="00D26D38">
              <w:rPr>
                <w:rFonts w:ascii="Calibri" w:hAnsi="Calibri"/>
                <w:color w:val="auto"/>
                <w:sz w:val="20"/>
                <w:szCs w:val="20"/>
              </w:rPr>
              <w:t xml:space="preserve"> cefotaxime</w:t>
            </w:r>
            <w:r>
              <w:rPr>
                <w:rFonts w:ascii="Calibri" w:hAnsi="Calibri"/>
                <w:color w:val="auto"/>
                <w:sz w:val="20"/>
                <w:szCs w:val="20"/>
              </w:rPr>
              <w:t>,</w:t>
            </w:r>
            <w:r w:rsidRPr="00D26D38">
              <w:rPr>
                <w:rFonts w:ascii="Calibri" w:hAnsi="Calibri"/>
                <w:color w:val="auto"/>
                <w:sz w:val="20"/>
                <w:szCs w:val="20"/>
              </w:rPr>
              <w:t xml:space="preserve"> ceftazidime</w:t>
            </w:r>
            <w:r>
              <w:rPr>
                <w:rFonts w:ascii="Calibri" w:hAnsi="Calibri"/>
                <w:color w:val="auto"/>
                <w:sz w:val="20"/>
                <w:szCs w:val="20"/>
              </w:rPr>
              <w:t>,</w:t>
            </w:r>
            <w:r w:rsidRPr="00D26D38">
              <w:rPr>
                <w:rFonts w:ascii="Calibri" w:hAnsi="Calibri"/>
                <w:color w:val="auto"/>
                <w:sz w:val="20"/>
                <w:szCs w:val="20"/>
              </w:rPr>
              <w:t xml:space="preserve"> ceftriaxone</w:t>
            </w:r>
            <w:r>
              <w:rPr>
                <w:rFonts w:ascii="Calibri" w:hAnsi="Calibri"/>
                <w:color w:val="auto"/>
                <w:sz w:val="20"/>
                <w:szCs w:val="20"/>
              </w:rPr>
              <w:t xml:space="preserve">, </w:t>
            </w:r>
            <w:r w:rsidRPr="00D26D38">
              <w:rPr>
                <w:rFonts w:ascii="Calibri" w:hAnsi="Calibri"/>
                <w:color w:val="auto"/>
                <w:sz w:val="20"/>
                <w:szCs w:val="20"/>
              </w:rPr>
              <w:t>cefuroxime</w:t>
            </w:r>
            <w:r>
              <w:rPr>
                <w:rFonts w:ascii="Calibri" w:hAnsi="Calibri"/>
                <w:color w:val="auto"/>
                <w:sz w:val="20"/>
                <w:szCs w:val="20"/>
              </w:rPr>
              <w:t>,</w:t>
            </w:r>
            <w:r w:rsidRPr="00D26D38">
              <w:rPr>
                <w:rFonts w:ascii="Calibri" w:hAnsi="Calibri"/>
                <w:color w:val="auto"/>
                <w:sz w:val="20"/>
                <w:szCs w:val="20"/>
              </w:rPr>
              <w:t xml:space="preserve"> chloramphenicol</w:t>
            </w:r>
            <w:r>
              <w:rPr>
                <w:rFonts w:ascii="Calibri" w:hAnsi="Calibri"/>
                <w:color w:val="auto"/>
                <w:sz w:val="20"/>
                <w:szCs w:val="20"/>
              </w:rPr>
              <w:t>,</w:t>
            </w:r>
            <w:r w:rsidRPr="00D26D38">
              <w:rPr>
                <w:rFonts w:ascii="Calibri" w:hAnsi="Calibri"/>
                <w:color w:val="auto"/>
                <w:sz w:val="20"/>
                <w:szCs w:val="20"/>
              </w:rPr>
              <w:t xml:space="preserve"> clindamycin</w:t>
            </w:r>
            <w:r>
              <w:rPr>
                <w:rFonts w:ascii="Calibri" w:hAnsi="Calibri"/>
                <w:color w:val="auto"/>
                <w:sz w:val="20"/>
                <w:szCs w:val="20"/>
              </w:rPr>
              <w:t xml:space="preserve">, cloxacillin, </w:t>
            </w:r>
            <w:r w:rsidRPr="00D26D38">
              <w:rPr>
                <w:rFonts w:ascii="Calibri" w:hAnsi="Calibri"/>
                <w:color w:val="auto"/>
                <w:sz w:val="20"/>
                <w:szCs w:val="20"/>
              </w:rPr>
              <w:t xml:space="preserve"> dexamethasone</w:t>
            </w:r>
            <w:r>
              <w:rPr>
                <w:rFonts w:ascii="Calibri" w:hAnsi="Calibri"/>
                <w:color w:val="auto"/>
                <w:sz w:val="20"/>
                <w:szCs w:val="20"/>
              </w:rPr>
              <w:t>,</w:t>
            </w:r>
            <w:r w:rsidRPr="00D26D38">
              <w:rPr>
                <w:rFonts w:ascii="Calibri" w:hAnsi="Calibri"/>
                <w:color w:val="auto"/>
                <w:sz w:val="20"/>
                <w:szCs w:val="20"/>
              </w:rPr>
              <w:t xml:space="preserve"> enalaprilat</w:t>
            </w:r>
            <w:r>
              <w:rPr>
                <w:rFonts w:ascii="Calibri" w:hAnsi="Calibri"/>
                <w:color w:val="auto"/>
                <w:sz w:val="20"/>
                <w:szCs w:val="20"/>
              </w:rPr>
              <w:t>,</w:t>
            </w:r>
            <w:r w:rsidRPr="00D26D38">
              <w:rPr>
                <w:rFonts w:ascii="Calibri" w:hAnsi="Calibri"/>
                <w:color w:val="auto"/>
                <w:sz w:val="20"/>
                <w:szCs w:val="20"/>
              </w:rPr>
              <w:t xml:space="preserve"> epoetin alfa</w:t>
            </w:r>
            <w:r>
              <w:rPr>
                <w:rFonts w:ascii="Calibri" w:hAnsi="Calibri"/>
                <w:color w:val="auto"/>
                <w:sz w:val="20"/>
                <w:szCs w:val="20"/>
              </w:rPr>
              <w:t>,</w:t>
            </w:r>
            <w:r w:rsidRPr="00D26D38">
              <w:rPr>
                <w:rFonts w:ascii="Calibri" w:hAnsi="Calibri"/>
                <w:color w:val="auto"/>
                <w:sz w:val="20"/>
                <w:szCs w:val="20"/>
              </w:rPr>
              <w:t xml:space="preserve"> erythromycin lactobionate</w:t>
            </w:r>
            <w:r>
              <w:rPr>
                <w:rFonts w:ascii="Calibri" w:hAnsi="Calibri"/>
                <w:color w:val="auto"/>
                <w:sz w:val="20"/>
                <w:szCs w:val="20"/>
              </w:rPr>
              <w:t>,</w:t>
            </w:r>
            <w:r w:rsidRPr="00D26D38">
              <w:rPr>
                <w:rFonts w:ascii="Calibri" w:hAnsi="Calibri"/>
                <w:color w:val="auto"/>
                <w:sz w:val="20"/>
                <w:szCs w:val="20"/>
              </w:rPr>
              <w:t xml:space="preserve"> fentanyl</w:t>
            </w:r>
            <w:r>
              <w:rPr>
                <w:rFonts w:ascii="Calibri" w:hAnsi="Calibri"/>
                <w:color w:val="auto"/>
                <w:sz w:val="20"/>
                <w:szCs w:val="20"/>
              </w:rPr>
              <w:t>,</w:t>
            </w:r>
            <w:r w:rsidRPr="00D26D38">
              <w:rPr>
                <w:rFonts w:ascii="Calibri" w:hAnsi="Calibri"/>
                <w:color w:val="auto"/>
                <w:sz w:val="20"/>
                <w:szCs w:val="20"/>
              </w:rPr>
              <w:t xml:space="preserve"> fluconazole</w:t>
            </w:r>
            <w:r>
              <w:rPr>
                <w:rFonts w:ascii="Calibri" w:hAnsi="Calibri"/>
                <w:color w:val="auto"/>
                <w:sz w:val="20"/>
                <w:szCs w:val="20"/>
              </w:rPr>
              <w:t>,</w:t>
            </w:r>
            <w:r w:rsidRPr="00D26D38">
              <w:rPr>
                <w:rFonts w:ascii="Calibri" w:hAnsi="Calibri"/>
                <w:color w:val="auto"/>
                <w:sz w:val="20"/>
                <w:szCs w:val="20"/>
              </w:rPr>
              <w:t xml:space="preserve"> folic acid</w:t>
            </w:r>
            <w:r>
              <w:rPr>
                <w:rFonts w:ascii="Calibri" w:hAnsi="Calibri"/>
                <w:color w:val="auto"/>
                <w:sz w:val="20"/>
                <w:szCs w:val="20"/>
              </w:rPr>
              <w:t xml:space="preserve">, </w:t>
            </w:r>
            <w:r w:rsidRPr="00D26D38">
              <w:rPr>
                <w:rFonts w:ascii="Calibri" w:hAnsi="Calibri"/>
                <w:color w:val="auto"/>
                <w:sz w:val="20"/>
                <w:szCs w:val="20"/>
              </w:rPr>
              <w:t>fosphenytoin</w:t>
            </w:r>
            <w:r>
              <w:rPr>
                <w:rFonts w:ascii="Calibri" w:hAnsi="Calibri"/>
                <w:color w:val="auto"/>
                <w:sz w:val="20"/>
                <w:szCs w:val="20"/>
              </w:rPr>
              <w:t>,</w:t>
            </w:r>
            <w:r w:rsidRPr="00D26D38">
              <w:rPr>
                <w:rFonts w:ascii="Calibri" w:hAnsi="Calibri"/>
                <w:color w:val="auto"/>
                <w:sz w:val="20"/>
                <w:szCs w:val="20"/>
              </w:rPr>
              <w:t xml:space="preserve"> ganciclovir</w:t>
            </w:r>
            <w:r>
              <w:rPr>
                <w:rFonts w:ascii="Calibri" w:hAnsi="Calibri"/>
                <w:color w:val="auto"/>
                <w:sz w:val="20"/>
                <w:szCs w:val="20"/>
              </w:rPr>
              <w:t>,</w:t>
            </w:r>
            <w:r w:rsidRPr="00D26D38">
              <w:rPr>
                <w:rFonts w:ascii="Calibri" w:hAnsi="Calibri"/>
                <w:color w:val="auto"/>
                <w:sz w:val="20"/>
                <w:szCs w:val="20"/>
              </w:rPr>
              <w:t xml:space="preserve"> hydrocortisone</w:t>
            </w:r>
            <w:r>
              <w:rPr>
                <w:rFonts w:ascii="Calibri" w:hAnsi="Calibri"/>
                <w:color w:val="auto"/>
                <w:sz w:val="20"/>
                <w:szCs w:val="20"/>
              </w:rPr>
              <w:t>,</w:t>
            </w:r>
            <w:r w:rsidRPr="00D26D38">
              <w:rPr>
                <w:rFonts w:ascii="Calibri" w:hAnsi="Calibri"/>
                <w:color w:val="auto"/>
                <w:sz w:val="20"/>
                <w:szCs w:val="20"/>
              </w:rPr>
              <w:t xml:space="preserve"> ibuprofen</w:t>
            </w:r>
            <w:r>
              <w:rPr>
                <w:rFonts w:ascii="Calibri" w:hAnsi="Calibri"/>
                <w:color w:val="auto"/>
                <w:sz w:val="20"/>
                <w:szCs w:val="20"/>
              </w:rPr>
              <w:t>,</w:t>
            </w:r>
            <w:r w:rsidRPr="00D26D38">
              <w:rPr>
                <w:rFonts w:ascii="Calibri" w:hAnsi="Calibri"/>
                <w:color w:val="auto"/>
                <w:sz w:val="20"/>
                <w:szCs w:val="20"/>
              </w:rPr>
              <w:t xml:space="preserve"> imipenem-cilastatin</w:t>
            </w:r>
            <w:r>
              <w:rPr>
                <w:rFonts w:ascii="Calibri" w:hAnsi="Calibri"/>
                <w:color w:val="auto"/>
                <w:sz w:val="20"/>
                <w:szCs w:val="20"/>
              </w:rPr>
              <w:t>,</w:t>
            </w:r>
            <w:r w:rsidRPr="00D26D38">
              <w:rPr>
                <w:rFonts w:ascii="Calibri" w:hAnsi="Calibri"/>
                <w:color w:val="auto"/>
                <w:sz w:val="20"/>
                <w:szCs w:val="20"/>
              </w:rPr>
              <w:t xml:space="preserve"> </w:t>
            </w:r>
            <w:r>
              <w:rPr>
                <w:rFonts w:ascii="Calibri" w:hAnsi="Calibri"/>
                <w:color w:val="auto"/>
                <w:sz w:val="20"/>
                <w:szCs w:val="20"/>
              </w:rPr>
              <w:t xml:space="preserve">indomethacin, </w:t>
            </w:r>
            <w:r w:rsidRPr="00D26D38">
              <w:rPr>
                <w:rFonts w:ascii="Calibri" w:hAnsi="Calibri"/>
                <w:color w:val="auto"/>
                <w:sz w:val="20"/>
                <w:szCs w:val="20"/>
              </w:rPr>
              <w:t xml:space="preserve"> lidocaine </w:t>
            </w:r>
            <w:r>
              <w:rPr>
                <w:rFonts w:ascii="Calibri" w:hAnsi="Calibri"/>
                <w:color w:val="auto"/>
                <w:sz w:val="20"/>
                <w:szCs w:val="20"/>
              </w:rPr>
              <w:t>,</w:t>
            </w:r>
            <w:r w:rsidRPr="00D26D38">
              <w:rPr>
                <w:rFonts w:ascii="Calibri" w:hAnsi="Calibri"/>
                <w:color w:val="auto"/>
                <w:sz w:val="20"/>
                <w:szCs w:val="20"/>
              </w:rPr>
              <w:t xml:space="preserve"> </w:t>
            </w:r>
            <w:r>
              <w:rPr>
                <w:rFonts w:ascii="Calibri" w:hAnsi="Calibri"/>
                <w:color w:val="auto"/>
                <w:sz w:val="20"/>
                <w:szCs w:val="20"/>
              </w:rPr>
              <w:t xml:space="preserve">linezolid, </w:t>
            </w:r>
            <w:r w:rsidRPr="00D26D38">
              <w:rPr>
                <w:rFonts w:ascii="Calibri" w:hAnsi="Calibri"/>
                <w:color w:val="auto"/>
                <w:sz w:val="20"/>
                <w:szCs w:val="20"/>
              </w:rPr>
              <w:t>magnesium sulfate</w:t>
            </w:r>
            <w:r>
              <w:rPr>
                <w:rFonts w:ascii="Calibri" w:hAnsi="Calibri"/>
                <w:color w:val="auto"/>
                <w:sz w:val="20"/>
                <w:szCs w:val="20"/>
              </w:rPr>
              <w:t>,</w:t>
            </w:r>
            <w:r w:rsidRPr="00D26D38">
              <w:rPr>
                <w:rFonts w:ascii="Calibri" w:hAnsi="Calibri"/>
                <w:color w:val="auto"/>
                <w:sz w:val="20"/>
                <w:szCs w:val="20"/>
              </w:rPr>
              <w:t xml:space="preserve"> </w:t>
            </w:r>
            <w:r>
              <w:rPr>
                <w:rFonts w:ascii="Calibri" w:hAnsi="Calibri"/>
                <w:color w:val="auto"/>
                <w:sz w:val="20"/>
                <w:szCs w:val="20"/>
              </w:rPr>
              <w:t>Meropenem,</w:t>
            </w:r>
            <w:r w:rsidRPr="00D26D38">
              <w:rPr>
                <w:rFonts w:ascii="Calibri" w:hAnsi="Calibri"/>
                <w:color w:val="auto"/>
                <w:sz w:val="20"/>
                <w:szCs w:val="20"/>
              </w:rPr>
              <w:t xml:space="preserve"> methadone</w:t>
            </w:r>
            <w:r>
              <w:rPr>
                <w:rFonts w:ascii="Calibri" w:hAnsi="Calibri"/>
                <w:color w:val="auto"/>
                <w:sz w:val="20"/>
                <w:szCs w:val="20"/>
              </w:rPr>
              <w:t>,</w:t>
            </w:r>
            <w:r w:rsidRPr="00D26D38">
              <w:rPr>
                <w:rFonts w:ascii="Calibri" w:hAnsi="Calibri"/>
                <w:color w:val="auto"/>
                <w:sz w:val="20"/>
                <w:szCs w:val="20"/>
              </w:rPr>
              <w:t xml:space="preserve"> methylprednisolone</w:t>
            </w:r>
            <w:r>
              <w:rPr>
                <w:rFonts w:ascii="Calibri" w:hAnsi="Calibri"/>
                <w:color w:val="auto"/>
                <w:sz w:val="20"/>
                <w:szCs w:val="20"/>
              </w:rPr>
              <w:t>,</w:t>
            </w:r>
            <w:r w:rsidRPr="00D26D38">
              <w:rPr>
                <w:rFonts w:ascii="Calibri" w:hAnsi="Calibri"/>
                <w:color w:val="auto"/>
                <w:sz w:val="20"/>
                <w:szCs w:val="20"/>
              </w:rPr>
              <w:t xml:space="preserve"> metoclopramide</w:t>
            </w:r>
            <w:r>
              <w:rPr>
                <w:rFonts w:ascii="Calibri" w:hAnsi="Calibri"/>
                <w:color w:val="auto"/>
                <w:sz w:val="20"/>
                <w:szCs w:val="20"/>
              </w:rPr>
              <w:t xml:space="preserve">, </w:t>
            </w:r>
            <w:r w:rsidRPr="00D26D38">
              <w:rPr>
                <w:rFonts w:ascii="Calibri" w:hAnsi="Calibri"/>
                <w:color w:val="auto"/>
                <w:sz w:val="20"/>
                <w:szCs w:val="20"/>
              </w:rPr>
              <w:t xml:space="preserve"> metoprolol</w:t>
            </w:r>
            <w:r>
              <w:rPr>
                <w:rFonts w:ascii="Calibri" w:hAnsi="Calibri"/>
                <w:color w:val="auto"/>
                <w:sz w:val="20"/>
                <w:szCs w:val="20"/>
              </w:rPr>
              <w:t>,</w:t>
            </w:r>
            <w:r w:rsidRPr="00D26D38">
              <w:rPr>
                <w:rFonts w:ascii="Calibri" w:hAnsi="Calibri"/>
                <w:color w:val="auto"/>
                <w:sz w:val="20"/>
                <w:szCs w:val="20"/>
              </w:rPr>
              <w:t xml:space="preserve"> metronidazole</w:t>
            </w:r>
            <w:r>
              <w:rPr>
                <w:rFonts w:ascii="Calibri" w:hAnsi="Calibri"/>
                <w:color w:val="auto"/>
                <w:sz w:val="20"/>
                <w:szCs w:val="20"/>
              </w:rPr>
              <w:t>, milrinone,</w:t>
            </w:r>
            <w:r w:rsidRPr="00D26D38">
              <w:rPr>
                <w:rFonts w:ascii="Calibri" w:hAnsi="Calibri"/>
                <w:color w:val="auto"/>
                <w:sz w:val="20"/>
                <w:szCs w:val="20"/>
              </w:rPr>
              <w:t xml:space="preserve"> naloxone</w:t>
            </w:r>
            <w:r>
              <w:rPr>
                <w:rFonts w:ascii="Calibri" w:hAnsi="Calibri"/>
                <w:color w:val="auto"/>
                <w:sz w:val="20"/>
                <w:szCs w:val="20"/>
              </w:rPr>
              <w:t>,</w:t>
            </w:r>
            <w:r w:rsidRPr="00D26D38">
              <w:rPr>
                <w:rFonts w:ascii="Calibri" w:hAnsi="Calibri"/>
                <w:color w:val="auto"/>
                <w:sz w:val="20"/>
                <w:szCs w:val="20"/>
              </w:rPr>
              <w:t xml:space="preserve"> nitroglycerin</w:t>
            </w:r>
            <w:r>
              <w:rPr>
                <w:rFonts w:ascii="Calibri" w:hAnsi="Calibri"/>
                <w:color w:val="auto"/>
                <w:sz w:val="20"/>
                <w:szCs w:val="20"/>
              </w:rPr>
              <w:t>,</w:t>
            </w:r>
            <w:r w:rsidRPr="00D26D38">
              <w:rPr>
                <w:rFonts w:ascii="Calibri" w:hAnsi="Calibri"/>
                <w:color w:val="auto"/>
                <w:sz w:val="20"/>
                <w:szCs w:val="20"/>
              </w:rPr>
              <w:t xml:space="preserve"> nitroprusside</w:t>
            </w:r>
            <w:r>
              <w:rPr>
                <w:rFonts w:ascii="Calibri" w:hAnsi="Calibri"/>
                <w:color w:val="auto"/>
                <w:sz w:val="20"/>
                <w:szCs w:val="20"/>
              </w:rPr>
              <w:t>,</w:t>
            </w:r>
            <w:r w:rsidRPr="00D26D38">
              <w:rPr>
                <w:rFonts w:ascii="Calibri" w:hAnsi="Calibri"/>
                <w:color w:val="auto"/>
                <w:sz w:val="20"/>
                <w:szCs w:val="20"/>
              </w:rPr>
              <w:t xml:space="preserve"> octreotide</w:t>
            </w:r>
            <w:r>
              <w:rPr>
                <w:rFonts w:ascii="Calibri" w:hAnsi="Calibri"/>
                <w:color w:val="auto"/>
                <w:sz w:val="20"/>
                <w:szCs w:val="20"/>
              </w:rPr>
              <w:t xml:space="preserve">, pamidronate, </w:t>
            </w:r>
            <w:r w:rsidRPr="00D26D38">
              <w:rPr>
                <w:rFonts w:ascii="Calibri" w:hAnsi="Calibri"/>
                <w:color w:val="auto"/>
                <w:sz w:val="20"/>
                <w:szCs w:val="20"/>
              </w:rPr>
              <w:t>pancuronium</w:t>
            </w:r>
            <w:r>
              <w:rPr>
                <w:rFonts w:ascii="Calibri" w:hAnsi="Calibri"/>
                <w:color w:val="auto"/>
                <w:sz w:val="20"/>
                <w:szCs w:val="20"/>
              </w:rPr>
              <w:t>,</w:t>
            </w:r>
            <w:r w:rsidRPr="00D26D38">
              <w:rPr>
                <w:rFonts w:ascii="Calibri" w:hAnsi="Calibri"/>
                <w:color w:val="auto"/>
                <w:sz w:val="20"/>
                <w:szCs w:val="20"/>
              </w:rPr>
              <w:t xml:space="preserve"> penicillin </w:t>
            </w:r>
            <w:r>
              <w:rPr>
                <w:rFonts w:ascii="Calibri" w:hAnsi="Calibri"/>
                <w:color w:val="auto"/>
                <w:sz w:val="20"/>
                <w:szCs w:val="20"/>
              </w:rPr>
              <w:t xml:space="preserve">G, pentobarbital, pentoxifylline, </w:t>
            </w:r>
            <w:r w:rsidRPr="00D26D38">
              <w:rPr>
                <w:rFonts w:ascii="Calibri" w:hAnsi="Calibri"/>
                <w:color w:val="auto"/>
                <w:sz w:val="20"/>
                <w:szCs w:val="20"/>
              </w:rPr>
              <w:t>phenobarbital</w:t>
            </w:r>
            <w:r>
              <w:rPr>
                <w:rFonts w:ascii="Calibri" w:hAnsi="Calibri"/>
                <w:color w:val="auto"/>
                <w:sz w:val="20"/>
                <w:szCs w:val="20"/>
              </w:rPr>
              <w:t>,</w:t>
            </w:r>
            <w:r w:rsidRPr="00D26D38">
              <w:rPr>
                <w:rFonts w:ascii="Calibri" w:hAnsi="Calibri"/>
                <w:color w:val="auto"/>
                <w:sz w:val="20"/>
                <w:szCs w:val="20"/>
              </w:rPr>
              <w:t xml:space="preserve"> potassium acetate</w:t>
            </w:r>
            <w:r>
              <w:rPr>
                <w:rFonts w:ascii="Calibri" w:hAnsi="Calibri"/>
                <w:color w:val="auto"/>
                <w:sz w:val="20"/>
                <w:szCs w:val="20"/>
              </w:rPr>
              <w:t>,</w:t>
            </w:r>
            <w:r w:rsidRPr="00D26D38">
              <w:rPr>
                <w:rFonts w:ascii="Calibri" w:hAnsi="Calibri"/>
                <w:color w:val="auto"/>
                <w:sz w:val="20"/>
                <w:szCs w:val="20"/>
              </w:rPr>
              <w:t xml:space="preserve"> potassium chloride</w:t>
            </w:r>
            <w:r>
              <w:rPr>
                <w:rFonts w:ascii="Calibri" w:hAnsi="Calibri"/>
                <w:color w:val="auto"/>
                <w:sz w:val="20"/>
                <w:szCs w:val="20"/>
              </w:rPr>
              <w:t>,</w:t>
            </w:r>
            <w:r w:rsidRPr="00D26D38">
              <w:rPr>
                <w:rFonts w:ascii="Calibri" w:hAnsi="Calibri"/>
                <w:color w:val="auto"/>
                <w:sz w:val="20"/>
                <w:szCs w:val="20"/>
              </w:rPr>
              <w:t xml:space="preserve"> propofol</w:t>
            </w:r>
            <w:r>
              <w:rPr>
                <w:rFonts w:ascii="Calibri" w:hAnsi="Calibri"/>
                <w:color w:val="auto"/>
                <w:sz w:val="20"/>
                <w:szCs w:val="20"/>
              </w:rPr>
              <w:t>,</w:t>
            </w:r>
            <w:r w:rsidRPr="00D26D38">
              <w:rPr>
                <w:rFonts w:ascii="Calibri" w:hAnsi="Calibri"/>
                <w:color w:val="auto"/>
                <w:sz w:val="20"/>
                <w:szCs w:val="20"/>
              </w:rPr>
              <w:t xml:space="preserve"> pyridoxine</w:t>
            </w:r>
            <w:r>
              <w:rPr>
                <w:rFonts w:ascii="Calibri" w:hAnsi="Calibri"/>
                <w:color w:val="auto"/>
                <w:sz w:val="20"/>
                <w:szCs w:val="20"/>
              </w:rPr>
              <w:t xml:space="preserve">, </w:t>
            </w:r>
            <w:r w:rsidRPr="00D26D38">
              <w:rPr>
                <w:rFonts w:ascii="Calibri" w:hAnsi="Calibri"/>
                <w:color w:val="auto"/>
                <w:sz w:val="20"/>
                <w:szCs w:val="20"/>
              </w:rPr>
              <w:t>remifentanil</w:t>
            </w:r>
            <w:r>
              <w:rPr>
                <w:rFonts w:ascii="Calibri" w:hAnsi="Calibri"/>
                <w:color w:val="auto"/>
                <w:sz w:val="20"/>
                <w:szCs w:val="20"/>
              </w:rPr>
              <w:t xml:space="preserve">, </w:t>
            </w:r>
            <w:r w:rsidRPr="00D26D38">
              <w:rPr>
                <w:rFonts w:ascii="Calibri" w:hAnsi="Calibri"/>
                <w:color w:val="auto"/>
                <w:sz w:val="20"/>
                <w:szCs w:val="20"/>
              </w:rPr>
              <w:t>sodium bicarbonate</w:t>
            </w:r>
            <w:r>
              <w:rPr>
                <w:rFonts w:ascii="Calibri" w:hAnsi="Calibri"/>
                <w:color w:val="auto"/>
                <w:sz w:val="20"/>
                <w:szCs w:val="20"/>
              </w:rPr>
              <w:t>,</w:t>
            </w:r>
            <w:r w:rsidRPr="00D26D38">
              <w:rPr>
                <w:rFonts w:ascii="Calibri" w:hAnsi="Calibri"/>
                <w:color w:val="auto"/>
                <w:sz w:val="20"/>
                <w:szCs w:val="20"/>
              </w:rPr>
              <w:t xml:space="preserve"> streptokinase</w:t>
            </w:r>
            <w:r>
              <w:rPr>
                <w:rFonts w:ascii="Calibri" w:hAnsi="Calibri"/>
                <w:color w:val="auto"/>
                <w:sz w:val="20"/>
                <w:szCs w:val="20"/>
              </w:rPr>
              <w:t>,</w:t>
            </w:r>
            <w:r w:rsidRPr="00D26D38">
              <w:rPr>
                <w:rFonts w:ascii="Calibri" w:hAnsi="Calibri"/>
                <w:color w:val="auto"/>
                <w:sz w:val="20"/>
                <w:szCs w:val="20"/>
              </w:rPr>
              <w:t xml:space="preserve"> </w:t>
            </w:r>
            <w:r w:rsidRPr="007F0949">
              <w:rPr>
                <w:rFonts w:ascii="Calibri" w:hAnsi="Calibri"/>
                <w:color w:val="auto"/>
                <w:sz w:val="20"/>
                <w:szCs w:val="20"/>
              </w:rPr>
              <w:t>thiamine</w:t>
            </w:r>
            <w:r>
              <w:rPr>
                <w:rFonts w:ascii="Calibri" w:hAnsi="Calibri"/>
                <w:color w:val="auto"/>
                <w:sz w:val="20"/>
                <w:szCs w:val="20"/>
              </w:rPr>
              <w:t>,</w:t>
            </w:r>
            <w:r w:rsidRPr="007F0949">
              <w:rPr>
                <w:rFonts w:ascii="Calibri" w:hAnsi="Calibri"/>
                <w:color w:val="auto"/>
                <w:sz w:val="20"/>
                <w:szCs w:val="20"/>
              </w:rPr>
              <w:t xml:space="preserve"> ticarcillin </w:t>
            </w:r>
            <w:r>
              <w:rPr>
                <w:rFonts w:ascii="Calibri" w:hAnsi="Calibri"/>
                <w:color w:val="auto"/>
                <w:sz w:val="20"/>
                <w:szCs w:val="20"/>
              </w:rPr>
              <w:t>–</w:t>
            </w:r>
            <w:r w:rsidRPr="007F0949">
              <w:rPr>
                <w:rFonts w:ascii="Calibri" w:hAnsi="Calibri"/>
                <w:color w:val="auto"/>
                <w:sz w:val="20"/>
                <w:szCs w:val="20"/>
              </w:rPr>
              <w:t>clavulanate</w:t>
            </w:r>
            <w:r>
              <w:rPr>
                <w:rFonts w:ascii="Calibri" w:hAnsi="Calibri"/>
                <w:color w:val="auto"/>
                <w:sz w:val="20"/>
                <w:szCs w:val="20"/>
              </w:rPr>
              <w:t>,</w:t>
            </w:r>
            <w:r w:rsidRPr="007F0949">
              <w:rPr>
                <w:rFonts w:ascii="Calibri" w:hAnsi="Calibri"/>
                <w:color w:val="auto"/>
                <w:sz w:val="20"/>
                <w:szCs w:val="20"/>
              </w:rPr>
              <w:t xml:space="preserve"> urokinase</w:t>
            </w:r>
            <w:r>
              <w:rPr>
                <w:rFonts w:ascii="Calibri" w:hAnsi="Calibri"/>
                <w:color w:val="auto"/>
                <w:sz w:val="20"/>
                <w:szCs w:val="20"/>
              </w:rPr>
              <w:t>,</w:t>
            </w:r>
            <w:r w:rsidRPr="007F0949">
              <w:rPr>
                <w:rFonts w:ascii="Calibri" w:hAnsi="Calibri"/>
                <w:color w:val="auto"/>
                <w:sz w:val="20"/>
                <w:szCs w:val="20"/>
              </w:rPr>
              <w:t xml:space="preserve"> vancomycin</w:t>
            </w:r>
            <w:r>
              <w:rPr>
                <w:rFonts w:ascii="Calibri" w:hAnsi="Calibri"/>
                <w:color w:val="auto"/>
                <w:sz w:val="20"/>
                <w:szCs w:val="20"/>
              </w:rPr>
              <w:t>,</w:t>
            </w:r>
            <w:r w:rsidRPr="007F0949">
              <w:rPr>
                <w:rFonts w:ascii="Calibri" w:hAnsi="Calibri"/>
                <w:color w:val="auto"/>
                <w:sz w:val="20"/>
                <w:szCs w:val="20"/>
              </w:rPr>
              <w:t xml:space="preserve"> vecuronium</w:t>
            </w:r>
            <w:r>
              <w:rPr>
                <w:rFonts w:ascii="Calibri" w:hAnsi="Calibri"/>
                <w:color w:val="auto"/>
                <w:sz w:val="20"/>
                <w:szCs w:val="20"/>
              </w:rPr>
              <w:t>,</w:t>
            </w:r>
            <w:r w:rsidRPr="007F0949">
              <w:rPr>
                <w:rFonts w:ascii="Calibri" w:hAnsi="Calibri"/>
                <w:color w:val="auto"/>
                <w:sz w:val="20"/>
                <w:szCs w:val="20"/>
              </w:rPr>
              <w:t xml:space="preserve"> verapamil</w:t>
            </w:r>
            <w:r>
              <w:rPr>
                <w:rFonts w:ascii="Calibri" w:hAnsi="Calibri"/>
                <w:color w:val="auto"/>
                <w:sz w:val="20"/>
                <w:szCs w:val="20"/>
              </w:rPr>
              <w:t>,</w:t>
            </w:r>
            <w:r w:rsidRPr="007F0949">
              <w:rPr>
                <w:rFonts w:ascii="Calibri" w:hAnsi="Calibri"/>
                <w:color w:val="auto"/>
                <w:sz w:val="20"/>
                <w:szCs w:val="20"/>
              </w:rPr>
              <w:t xml:space="preserve"> </w:t>
            </w:r>
            <w:r>
              <w:rPr>
                <w:rFonts w:ascii="Calibri" w:hAnsi="Calibri"/>
                <w:color w:val="auto"/>
                <w:sz w:val="20"/>
                <w:szCs w:val="20"/>
              </w:rPr>
              <w:t xml:space="preserve">vitamin B complex with C. </w:t>
            </w:r>
          </w:p>
          <w:p w:rsidRPr="008F0C25" w:rsidR="008F32C2" w:rsidP="00131848" w:rsidRDefault="008F32C2" w14:paraId="5C870FDF" w14:textId="77777777">
            <w:pPr>
              <w:pStyle w:val="Default"/>
              <w:rPr>
                <w:rFonts w:ascii="Calibri" w:hAnsi="Calibri"/>
                <w:color w:val="auto"/>
                <w:sz w:val="20"/>
                <w:szCs w:val="20"/>
              </w:rPr>
            </w:pPr>
            <w:r w:rsidRPr="00C50655">
              <w:rPr>
                <w:rFonts w:ascii="Calibri" w:hAnsi="Calibri"/>
                <w:b/>
                <w:color w:val="auto"/>
                <w:sz w:val="20"/>
                <w:szCs w:val="20"/>
              </w:rPr>
              <w:t>Variable compatibility:</w:t>
            </w:r>
            <w:r>
              <w:rPr>
                <w:rFonts w:ascii="Calibri" w:hAnsi="Calibri"/>
                <w:color w:val="auto"/>
                <w:sz w:val="20"/>
                <w:szCs w:val="20"/>
              </w:rPr>
              <w:t>[12] amikacin, amiodarone, amphotericin B conventional, ampicillin, cyclosporine, digoxin, dobutamine, dopamine, epinephrine, furosemide, gentamicin, heparin, hydralazine, midazolam, morphine sulfate, multiple vitamin injection, norepinephrine, ondansetron, pantoprazole, tobramycin, vasopressin.</w:t>
            </w:r>
          </w:p>
        </w:tc>
      </w:tr>
      <w:tr w:rsidRPr="007F0949" w:rsidR="008F32C2" w:rsidTr="008F32C2" w14:paraId="7EA42E3F" w14:textId="77777777">
        <w:trPr>
          <w:trHeight w:val="230"/>
        </w:trPr>
        <w:tc>
          <w:tcPr>
            <w:tcW w:w="1730" w:type="dxa"/>
          </w:tcPr>
          <w:p w:rsidRPr="00B53E9B" w:rsidR="008F32C2" w:rsidP="00131848" w:rsidRDefault="008F32C2" w14:paraId="68991C30" w14:textId="77777777">
            <w:pPr>
              <w:pStyle w:val="BodyText"/>
              <w:rPr>
                <w:rFonts w:cs="Arial"/>
                <w:b/>
                <w:bCs/>
                <w:sz w:val="20"/>
                <w:lang w:val="en-AU"/>
              </w:rPr>
            </w:pPr>
            <w:r w:rsidRPr="00B53E9B">
              <w:rPr>
                <w:rFonts w:cs="Arial"/>
                <w:b/>
                <w:bCs/>
                <w:sz w:val="20"/>
                <w:lang w:val="en-AU"/>
              </w:rPr>
              <w:t>Incompatibility</w:t>
            </w:r>
          </w:p>
        </w:tc>
        <w:tc>
          <w:tcPr>
            <w:tcW w:w="7513" w:type="dxa"/>
          </w:tcPr>
          <w:p w:rsidRPr="007F0949" w:rsidR="008F32C2" w:rsidP="00131848" w:rsidRDefault="008F32C2" w14:paraId="54DB5DA4" w14:textId="77777777">
            <w:pPr>
              <w:pStyle w:val="BodyText"/>
              <w:rPr>
                <w:sz w:val="20"/>
              </w:rPr>
            </w:pPr>
            <w:r w:rsidRPr="008F0C25">
              <w:rPr>
                <w:b/>
                <w:sz w:val="20"/>
              </w:rPr>
              <w:t>Y-site administration:</w:t>
            </w:r>
            <w:r>
              <w:rPr>
                <w:sz w:val="20"/>
                <w:lang w:val="en-AU"/>
              </w:rPr>
              <w:t>[12,13]</w:t>
            </w:r>
            <w:r w:rsidRPr="008F0C25">
              <w:rPr>
                <w:sz w:val="20"/>
              </w:rPr>
              <w:t xml:space="preserve"> Cefoxitin</w:t>
            </w:r>
            <w:r>
              <w:rPr>
                <w:sz w:val="20"/>
                <w:lang w:val="en-AU"/>
              </w:rPr>
              <w:t>,</w:t>
            </w:r>
            <w:r w:rsidRPr="008F0C25">
              <w:rPr>
                <w:sz w:val="20"/>
              </w:rPr>
              <w:t xml:space="preserve"> diazepam</w:t>
            </w:r>
            <w:r>
              <w:rPr>
                <w:sz w:val="20"/>
                <w:lang w:val="en-AU"/>
              </w:rPr>
              <w:t>,</w:t>
            </w:r>
            <w:r w:rsidRPr="008F0C25">
              <w:rPr>
                <w:sz w:val="20"/>
              </w:rPr>
              <w:t xml:space="preserve"> diazoxide</w:t>
            </w:r>
            <w:r>
              <w:rPr>
                <w:sz w:val="20"/>
                <w:lang w:val="en-AU"/>
              </w:rPr>
              <w:t>,</w:t>
            </w:r>
            <w:r w:rsidRPr="008F0C25">
              <w:rPr>
                <w:sz w:val="20"/>
              </w:rPr>
              <w:t xml:space="preserve"> </w:t>
            </w:r>
            <w:r w:rsidRPr="007F0949">
              <w:rPr>
                <w:sz w:val="20"/>
              </w:rPr>
              <w:t>glycopyrrolate</w:t>
            </w:r>
            <w:r>
              <w:rPr>
                <w:sz w:val="20"/>
                <w:lang w:val="en-AU"/>
              </w:rPr>
              <w:t>,</w:t>
            </w:r>
            <w:r w:rsidRPr="007F0949">
              <w:rPr>
                <w:sz w:val="20"/>
              </w:rPr>
              <w:t xml:space="preserve">  ketamine</w:t>
            </w:r>
            <w:r>
              <w:rPr>
                <w:sz w:val="20"/>
                <w:lang w:val="en-AU"/>
              </w:rPr>
              <w:t>,</w:t>
            </w:r>
            <w:r w:rsidRPr="007F0949">
              <w:rPr>
                <w:sz w:val="20"/>
              </w:rPr>
              <w:t xml:space="preserve"> labetalol</w:t>
            </w:r>
            <w:r>
              <w:rPr>
                <w:sz w:val="20"/>
                <w:lang w:val="en-AU"/>
              </w:rPr>
              <w:t>,</w:t>
            </w:r>
            <w:r w:rsidRPr="007F0949">
              <w:rPr>
                <w:sz w:val="20"/>
              </w:rPr>
              <w:t xml:space="preserve"> phenytoin</w:t>
            </w:r>
            <w:r>
              <w:rPr>
                <w:sz w:val="20"/>
                <w:lang w:val="en-AU"/>
              </w:rPr>
              <w:t>,</w:t>
            </w:r>
            <w:r w:rsidRPr="007F0949">
              <w:rPr>
                <w:sz w:val="20"/>
              </w:rPr>
              <w:t xml:space="preserve"> piperacillin </w:t>
            </w:r>
            <w:r>
              <w:rPr>
                <w:sz w:val="20"/>
                <w:lang w:val="en-AU"/>
              </w:rPr>
              <w:t>-</w:t>
            </w:r>
            <w:r w:rsidRPr="007F0949">
              <w:rPr>
                <w:sz w:val="20"/>
              </w:rPr>
              <w:t>tazobactam</w:t>
            </w:r>
            <w:r>
              <w:rPr>
                <w:sz w:val="20"/>
                <w:lang w:val="en-AU"/>
              </w:rPr>
              <w:t>,</w:t>
            </w:r>
            <w:r w:rsidRPr="007F0949">
              <w:rPr>
                <w:sz w:val="20"/>
              </w:rPr>
              <w:t xml:space="preserve"> propranolol</w:t>
            </w:r>
            <w:r>
              <w:rPr>
                <w:sz w:val="20"/>
                <w:lang w:val="en-AU"/>
              </w:rPr>
              <w:t>,</w:t>
            </w:r>
            <w:r w:rsidRPr="007F0949">
              <w:rPr>
                <w:sz w:val="20"/>
              </w:rPr>
              <w:t xml:space="preserve"> protamine</w:t>
            </w:r>
            <w:r>
              <w:rPr>
                <w:sz w:val="20"/>
                <w:lang w:val="en-AU"/>
              </w:rPr>
              <w:t>,</w:t>
            </w:r>
            <w:r w:rsidRPr="007F0949">
              <w:rPr>
                <w:sz w:val="20"/>
              </w:rPr>
              <w:t>rocuronium</w:t>
            </w:r>
            <w:r>
              <w:rPr>
                <w:sz w:val="20"/>
                <w:lang w:val="en-AU"/>
              </w:rPr>
              <w:t>,</w:t>
            </w:r>
            <w:r w:rsidRPr="007F0949">
              <w:rPr>
                <w:sz w:val="20"/>
              </w:rPr>
              <w:t xml:space="preserve"> sulfamethoxazole-trimethoprim </w:t>
            </w:r>
          </w:p>
        </w:tc>
      </w:tr>
      <w:tr w:rsidRPr="007F0949" w:rsidR="008F32C2" w:rsidTr="008F32C2" w14:paraId="109B9D8A" w14:textId="77777777">
        <w:trPr>
          <w:trHeight w:val="79"/>
        </w:trPr>
        <w:tc>
          <w:tcPr>
            <w:tcW w:w="1730" w:type="dxa"/>
          </w:tcPr>
          <w:p w:rsidRPr="00B53E9B" w:rsidR="008F32C2" w:rsidP="00131848" w:rsidRDefault="008F32C2" w14:paraId="7B8F26A3" w14:textId="77777777">
            <w:pPr>
              <w:pStyle w:val="BodyText"/>
              <w:rPr>
                <w:rFonts w:cs="Arial"/>
                <w:b/>
                <w:bCs/>
                <w:sz w:val="20"/>
                <w:lang w:val="en-AU"/>
              </w:rPr>
            </w:pPr>
            <w:r w:rsidRPr="00B53E9B">
              <w:rPr>
                <w:rFonts w:cs="Arial"/>
                <w:b/>
                <w:bCs/>
                <w:sz w:val="20"/>
                <w:lang w:val="en-AU"/>
              </w:rPr>
              <w:t xml:space="preserve">Stability   </w:t>
            </w:r>
          </w:p>
        </w:tc>
        <w:tc>
          <w:tcPr>
            <w:tcW w:w="7513" w:type="dxa"/>
          </w:tcPr>
          <w:p w:rsidRPr="007F0949" w:rsidR="008F32C2" w:rsidP="00131848" w:rsidRDefault="008F32C2" w14:paraId="3DCA2FE1" w14:textId="77777777">
            <w:pPr>
              <w:pStyle w:val="BodyText"/>
              <w:rPr>
                <w:sz w:val="20"/>
              </w:rPr>
            </w:pPr>
            <w:r w:rsidRPr="007F0949">
              <w:rPr>
                <w:sz w:val="20"/>
              </w:rPr>
              <w:t>Actrapid: Prepared solutions are stable at room temperature (&lt;</w:t>
            </w:r>
            <w:r>
              <w:rPr>
                <w:sz w:val="20"/>
              </w:rPr>
              <w:t xml:space="preserve"> </w:t>
            </w:r>
            <w:r w:rsidRPr="007F0949">
              <w:rPr>
                <w:sz w:val="20"/>
              </w:rPr>
              <w:t xml:space="preserve">25°C) for 24 hours. </w:t>
            </w:r>
            <w:r>
              <w:rPr>
                <w:sz w:val="20"/>
                <w:lang w:val="en-AU"/>
              </w:rPr>
              <w:t>(extrapolated from Insulin Human Regular) [12]</w:t>
            </w:r>
          </w:p>
        </w:tc>
      </w:tr>
      <w:tr w:rsidRPr="00026F20" w:rsidR="008F32C2" w:rsidTr="008F32C2" w14:paraId="1C0E22FE" w14:textId="77777777">
        <w:trPr>
          <w:trHeight w:val="70"/>
        </w:trPr>
        <w:tc>
          <w:tcPr>
            <w:tcW w:w="1730" w:type="dxa"/>
          </w:tcPr>
          <w:p w:rsidRPr="00B53E9B" w:rsidR="008F32C2" w:rsidP="00131848" w:rsidRDefault="008F32C2" w14:paraId="3CF75F98" w14:textId="77777777">
            <w:pPr>
              <w:pStyle w:val="BodyText"/>
              <w:rPr>
                <w:rFonts w:cs="Arial"/>
                <w:b/>
                <w:bCs/>
                <w:sz w:val="20"/>
                <w:lang w:val="en-AU"/>
              </w:rPr>
            </w:pPr>
            <w:r w:rsidRPr="00B53E9B">
              <w:rPr>
                <w:rFonts w:cs="Arial"/>
                <w:b/>
                <w:bCs/>
                <w:sz w:val="20"/>
                <w:lang w:val="en-AU"/>
              </w:rPr>
              <w:t xml:space="preserve">Storage             </w:t>
            </w:r>
          </w:p>
        </w:tc>
        <w:tc>
          <w:tcPr>
            <w:tcW w:w="7513" w:type="dxa"/>
          </w:tcPr>
          <w:p w:rsidR="008F32C2" w:rsidP="00131848" w:rsidRDefault="008F32C2" w14:paraId="791B275A" w14:textId="77777777">
            <w:pPr>
              <w:pStyle w:val="BodyText"/>
              <w:rPr>
                <w:rFonts w:cs="Arial"/>
                <w:sz w:val="20"/>
                <w:lang w:val="en-AU"/>
              </w:rPr>
            </w:pPr>
            <w:r w:rsidRPr="00680905">
              <w:rPr>
                <w:rFonts w:cs="Arial"/>
                <w:sz w:val="20"/>
                <w:lang w:val="en-AU"/>
              </w:rPr>
              <w:t xml:space="preserve">Store human insulin between 2 and 8°C. Do not freeze. </w:t>
            </w:r>
          </w:p>
          <w:p w:rsidRPr="00026F20" w:rsidR="008F32C2" w:rsidP="00131848" w:rsidRDefault="008F32C2" w14:paraId="21C19F6F" w14:textId="77777777">
            <w:pPr>
              <w:pStyle w:val="BodyText"/>
              <w:rPr>
                <w:rFonts w:cs="Arial"/>
                <w:sz w:val="20"/>
                <w:lang w:val="en-AU"/>
              </w:rPr>
            </w:pPr>
            <w:r w:rsidRPr="00680905">
              <w:rPr>
                <w:rFonts w:cs="Arial"/>
                <w:sz w:val="20"/>
                <w:lang w:val="en-AU"/>
              </w:rPr>
              <w:t>Protect from excessive heat and light. Should appear clear and colourless.</w:t>
            </w:r>
          </w:p>
        </w:tc>
      </w:tr>
      <w:tr w:rsidRPr="00392F77" w:rsidR="008F32C2" w:rsidTr="008F32C2" w14:paraId="33557B2E" w14:textId="77777777">
        <w:trPr>
          <w:trHeight w:val="70"/>
        </w:trPr>
        <w:tc>
          <w:tcPr>
            <w:tcW w:w="1730" w:type="dxa"/>
          </w:tcPr>
          <w:p w:rsidRPr="00B53E9B" w:rsidR="008F32C2" w:rsidP="00131848" w:rsidRDefault="008F32C2" w14:paraId="6561308E" w14:textId="77777777">
            <w:pPr>
              <w:pStyle w:val="BodyText"/>
              <w:rPr>
                <w:rFonts w:cs="Arial"/>
                <w:b/>
                <w:bCs/>
                <w:sz w:val="20"/>
                <w:lang w:val="en-AU"/>
              </w:rPr>
            </w:pPr>
            <w:r w:rsidRPr="00B53E9B">
              <w:rPr>
                <w:rFonts w:cs="Arial"/>
                <w:b/>
                <w:bCs/>
                <w:sz w:val="20"/>
                <w:lang w:val="en-AU"/>
              </w:rPr>
              <w:t>Excipients</w:t>
            </w:r>
          </w:p>
        </w:tc>
        <w:tc>
          <w:tcPr>
            <w:tcW w:w="7513" w:type="dxa"/>
          </w:tcPr>
          <w:p w:rsidRPr="00392F77" w:rsidR="008F32C2" w:rsidP="00131848" w:rsidRDefault="008F32C2" w14:paraId="5C909FF6" w14:textId="77777777">
            <w:pPr>
              <w:rPr>
                <w:rFonts w:ascii="Arial" w:hAnsi="Arial" w:cs="Arial"/>
                <w:sz w:val="22"/>
                <w:szCs w:val="22"/>
                <w:lang w:eastAsia="en-GB"/>
              </w:rPr>
            </w:pPr>
            <w:r>
              <w:rPr>
                <w:rFonts w:cs="Calibri"/>
                <w:sz w:val="20"/>
              </w:rPr>
              <w:t>G</w:t>
            </w:r>
            <w:r w:rsidRPr="00392F77">
              <w:rPr>
                <w:rFonts w:cs="Calibri"/>
                <w:sz w:val="20"/>
              </w:rPr>
              <w:t>lycerol, metacresol, zinc chloride, water for injections. Hydrochloric acid and sodium hydroxide are used to adjust the pH. Contains less than 1 mmol sodium (23 mg) per dose, i.e.</w:t>
            </w:r>
            <w:r>
              <w:rPr>
                <w:rFonts w:cs="Calibri"/>
                <w:sz w:val="20"/>
              </w:rPr>
              <w:t xml:space="preserve"> </w:t>
            </w:r>
            <w:r w:rsidRPr="00392F77">
              <w:rPr>
                <w:rFonts w:cs="Calibri"/>
                <w:sz w:val="20"/>
              </w:rPr>
              <w:t>is essentially 'sodium-free'.</w:t>
            </w:r>
          </w:p>
        </w:tc>
      </w:tr>
      <w:tr w:rsidRPr="00026F20" w:rsidR="008F32C2" w:rsidTr="008F32C2" w14:paraId="1C991682" w14:textId="77777777">
        <w:trPr>
          <w:trHeight w:val="270"/>
        </w:trPr>
        <w:tc>
          <w:tcPr>
            <w:tcW w:w="1730" w:type="dxa"/>
          </w:tcPr>
          <w:p w:rsidRPr="00B53E9B" w:rsidR="008F32C2" w:rsidP="00131848" w:rsidRDefault="008F32C2" w14:paraId="7163733E"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7513" w:type="dxa"/>
          </w:tcPr>
          <w:p w:rsidRPr="00680905" w:rsidR="008F32C2" w:rsidP="00131848" w:rsidRDefault="008F32C2" w14:paraId="0F490212" w14:textId="77777777">
            <w:pPr>
              <w:pStyle w:val="BodyText"/>
              <w:rPr>
                <w:rFonts w:cs="Arial"/>
                <w:sz w:val="20"/>
              </w:rPr>
            </w:pPr>
            <w:r w:rsidRPr="00680905">
              <w:rPr>
                <w:rFonts w:cs="Arial"/>
                <w:sz w:val="20"/>
              </w:rPr>
              <w:t>Insulin is adsorbed to the plastic of intravenous bags, syringes, and tubing which re</w:t>
            </w:r>
            <w:r>
              <w:rPr>
                <w:rFonts w:cs="Arial"/>
                <w:sz w:val="20"/>
              </w:rPr>
              <w:t>duces the delivery of insulin [5-7</w:t>
            </w:r>
            <w:r w:rsidRPr="00680905">
              <w:rPr>
                <w:rFonts w:cs="Arial"/>
                <w:sz w:val="20"/>
              </w:rPr>
              <w:t xml:space="preserve">]. </w:t>
            </w:r>
          </w:p>
          <w:p w:rsidRPr="00026F20" w:rsidR="008F32C2" w:rsidP="00131848" w:rsidRDefault="008F32C2" w14:paraId="7EE1196B" w14:textId="77777777">
            <w:pPr>
              <w:pStyle w:val="BodyText"/>
              <w:rPr>
                <w:rFonts w:cs="Arial"/>
                <w:sz w:val="20"/>
                <w:lang w:val="en-AU"/>
              </w:rPr>
            </w:pPr>
            <w:r w:rsidRPr="00680905">
              <w:rPr>
                <w:rFonts w:cs="Arial"/>
                <w:sz w:val="20"/>
                <w:lang w:val="en-AU"/>
              </w:rPr>
              <w:t xml:space="preserve">Twenty mL of insulin priming solution at concentrations of 0.1 </w:t>
            </w:r>
            <w:r>
              <w:rPr>
                <w:rFonts w:cs="Arial"/>
                <w:sz w:val="20"/>
                <w:lang w:val="en-AU"/>
              </w:rPr>
              <w:t>u</w:t>
            </w:r>
            <w:r w:rsidRPr="00680905">
              <w:rPr>
                <w:rFonts w:cs="Arial"/>
                <w:sz w:val="20"/>
                <w:lang w:val="en-AU"/>
              </w:rPr>
              <w:t xml:space="preserve">nit/mL and 0.05 </w:t>
            </w:r>
            <w:r>
              <w:rPr>
                <w:rFonts w:cs="Arial"/>
                <w:sz w:val="20"/>
                <w:lang w:val="en-AU"/>
              </w:rPr>
              <w:t>u</w:t>
            </w:r>
            <w:r w:rsidRPr="00680905">
              <w:rPr>
                <w:rFonts w:cs="Arial"/>
                <w:sz w:val="20"/>
                <w:lang w:val="en-AU"/>
              </w:rPr>
              <w:t xml:space="preserve">nit/mL were found to deliver 80% and 26.5% of the expected insulin. Insulin concentrations ≤ 0.05 </w:t>
            </w:r>
            <w:r>
              <w:rPr>
                <w:rFonts w:cs="Arial"/>
                <w:sz w:val="20"/>
                <w:lang w:val="en-AU"/>
              </w:rPr>
              <w:t>u</w:t>
            </w:r>
            <w:r w:rsidRPr="00680905">
              <w:rPr>
                <w:rFonts w:cs="Arial"/>
                <w:sz w:val="20"/>
                <w:lang w:val="en-AU"/>
              </w:rPr>
              <w:t>nit/mL are not reliably delivered even after</w:t>
            </w:r>
            <w:r>
              <w:rPr>
                <w:rFonts w:cs="Arial"/>
                <w:sz w:val="20"/>
                <w:lang w:val="en-AU"/>
              </w:rPr>
              <w:t xml:space="preserve"> preconditioning and flushing [5, 6</w:t>
            </w:r>
            <w:r w:rsidRPr="00680905">
              <w:rPr>
                <w:rFonts w:cs="Arial"/>
                <w:sz w:val="20"/>
                <w:lang w:val="en-AU"/>
              </w:rPr>
              <w:t>].</w:t>
            </w:r>
          </w:p>
        </w:tc>
      </w:tr>
      <w:tr w:rsidRPr="00026F20" w:rsidR="008F32C2" w:rsidTr="008F32C2" w14:paraId="2CFD814E" w14:textId="77777777">
        <w:trPr>
          <w:trHeight w:val="280"/>
        </w:trPr>
        <w:tc>
          <w:tcPr>
            <w:tcW w:w="1730" w:type="dxa"/>
          </w:tcPr>
          <w:p w:rsidRPr="00B53E9B" w:rsidR="008F32C2" w:rsidP="00131848" w:rsidRDefault="008F32C2" w14:paraId="38013DC9" w14:textId="77777777">
            <w:pPr>
              <w:pStyle w:val="BodyText"/>
              <w:rPr>
                <w:rFonts w:cs="Arial"/>
                <w:b/>
                <w:bCs/>
                <w:sz w:val="20"/>
                <w:lang w:val="en-AU"/>
              </w:rPr>
            </w:pPr>
            <w:r w:rsidRPr="00B53E9B">
              <w:rPr>
                <w:rFonts w:cs="Arial"/>
                <w:b/>
                <w:bCs/>
                <w:sz w:val="20"/>
                <w:lang w:val="en-AU"/>
              </w:rPr>
              <w:t xml:space="preserve">Evidence </w:t>
            </w:r>
          </w:p>
        </w:tc>
        <w:tc>
          <w:tcPr>
            <w:tcW w:w="7513" w:type="dxa"/>
          </w:tcPr>
          <w:p w:rsidRPr="008F32C2" w:rsidR="008F32C2" w:rsidP="00131848" w:rsidRDefault="008F32C2" w14:paraId="22AC2994" w14:textId="77777777">
            <w:pPr>
              <w:pStyle w:val="BodyText"/>
              <w:tabs>
                <w:tab w:val="left" w:pos="1168"/>
              </w:tabs>
              <w:rPr>
                <w:rFonts w:cs="Arial"/>
                <w:b/>
                <w:sz w:val="16"/>
                <w:szCs w:val="16"/>
                <w:lang w:val="en-AU"/>
              </w:rPr>
            </w:pPr>
            <w:r w:rsidRPr="008F32C2">
              <w:rPr>
                <w:rFonts w:cs="Arial"/>
                <w:b/>
                <w:sz w:val="16"/>
                <w:szCs w:val="16"/>
                <w:lang w:val="en-AU"/>
              </w:rPr>
              <w:t>Efficacy</w:t>
            </w:r>
          </w:p>
          <w:p w:rsidRPr="008F32C2" w:rsidR="008F32C2" w:rsidP="00131848" w:rsidRDefault="008F32C2" w14:paraId="41C3D946" w14:textId="77777777">
            <w:pPr>
              <w:pStyle w:val="BodyText"/>
              <w:tabs>
                <w:tab w:val="left" w:pos="1168"/>
              </w:tabs>
              <w:rPr>
                <w:rFonts w:cs="Arial"/>
                <w:sz w:val="16"/>
                <w:szCs w:val="16"/>
                <w:lang w:val="en-AU"/>
              </w:rPr>
            </w:pPr>
            <w:r w:rsidRPr="008F32C2">
              <w:rPr>
                <w:rFonts w:cs="Arial"/>
                <w:b/>
                <w:sz w:val="16"/>
                <w:szCs w:val="16"/>
                <w:lang w:val="en-AU"/>
              </w:rPr>
              <w:t>Treatment of hyperglycaemia in very low birth weight infants:</w:t>
            </w:r>
            <w:r w:rsidRPr="008F32C2">
              <w:rPr>
                <w:rFonts w:cs="Arial"/>
                <w:sz w:val="16"/>
                <w:szCs w:val="16"/>
                <w:lang w:val="en-AU"/>
              </w:rPr>
              <w:t xml:space="preserve"> Systematic review [2] of trials of</w:t>
            </w:r>
          </w:p>
          <w:p w:rsidRPr="008F32C2" w:rsidR="008F32C2" w:rsidP="00131848" w:rsidRDefault="008F32C2" w14:paraId="1173295A" w14:textId="77777777">
            <w:pPr>
              <w:pStyle w:val="BodyText"/>
              <w:tabs>
                <w:tab w:val="left" w:pos="1168"/>
              </w:tabs>
              <w:rPr>
                <w:rFonts w:cs="Arial"/>
                <w:sz w:val="16"/>
                <w:szCs w:val="16"/>
                <w:lang w:val="en-AU"/>
              </w:rPr>
            </w:pPr>
            <w:r w:rsidRPr="008F32C2">
              <w:rPr>
                <w:rFonts w:cs="Arial"/>
                <w:sz w:val="16"/>
                <w:szCs w:val="16"/>
                <w:lang w:val="en-AU"/>
              </w:rPr>
              <w:t>insulin infusion for treatment of neonatal hyperglycaemia found that use of an insulin infusion</w:t>
            </w:r>
          </w:p>
          <w:p w:rsidRPr="008F32C2" w:rsidR="008F32C2" w:rsidP="00131848" w:rsidRDefault="008F32C2" w14:paraId="0A0609C9" w14:textId="77777777">
            <w:pPr>
              <w:pStyle w:val="BodyText"/>
              <w:tabs>
                <w:tab w:val="left" w:pos="1168"/>
              </w:tabs>
              <w:rPr>
                <w:rFonts w:cs="Arial"/>
                <w:sz w:val="16"/>
                <w:szCs w:val="16"/>
                <w:lang w:val="en-AU"/>
              </w:rPr>
            </w:pPr>
            <w:r w:rsidRPr="008F32C2">
              <w:rPr>
                <w:rFonts w:cs="Arial"/>
                <w:sz w:val="16"/>
                <w:szCs w:val="16"/>
                <w:lang w:val="en-AU"/>
              </w:rPr>
              <w:t>obviates the need to decrease the concentration of glucose prescribed and optimised the</w:t>
            </w:r>
          </w:p>
          <w:p w:rsidRPr="008F32C2" w:rsidR="008F32C2" w:rsidP="00131848" w:rsidRDefault="008F32C2" w14:paraId="24B21E51" w14:textId="77777777">
            <w:pPr>
              <w:pStyle w:val="BodyText"/>
              <w:tabs>
                <w:tab w:val="left" w:pos="1168"/>
              </w:tabs>
              <w:rPr>
                <w:rFonts w:cs="Arial"/>
                <w:sz w:val="16"/>
                <w:szCs w:val="16"/>
                <w:lang w:val="en-AU"/>
              </w:rPr>
            </w:pPr>
            <w:r w:rsidRPr="008F32C2">
              <w:rPr>
                <w:rFonts w:cs="Arial"/>
                <w:sz w:val="16"/>
                <w:szCs w:val="16"/>
                <w:lang w:val="en-AU"/>
              </w:rPr>
              <w:t>utilisation of calories by the infant resulting in significant increases in non-protein energy intake,</w:t>
            </w:r>
          </w:p>
          <w:p w:rsidRPr="008F32C2" w:rsidR="008F32C2" w:rsidP="00131848" w:rsidRDefault="008F32C2" w14:paraId="6041C90A" w14:textId="77777777">
            <w:pPr>
              <w:pStyle w:val="BodyText"/>
              <w:tabs>
                <w:tab w:val="left" w:pos="1168"/>
              </w:tabs>
              <w:rPr>
                <w:rFonts w:cs="Arial"/>
                <w:sz w:val="16"/>
                <w:szCs w:val="16"/>
                <w:lang w:val="en-AU"/>
              </w:rPr>
            </w:pPr>
            <w:r w:rsidRPr="008F32C2">
              <w:rPr>
                <w:rFonts w:cs="Arial"/>
                <w:sz w:val="16"/>
                <w:szCs w:val="16"/>
                <w:lang w:val="en-AU"/>
              </w:rPr>
              <w:t>glucose intake and short-term weight gain. However, insulin infusion had no significant effect on</w:t>
            </w:r>
          </w:p>
          <w:p w:rsidRPr="008F32C2" w:rsidR="008F32C2" w:rsidP="00131848" w:rsidRDefault="008F32C2" w14:paraId="56CA66A3" w14:textId="77777777">
            <w:pPr>
              <w:pStyle w:val="BodyText"/>
              <w:tabs>
                <w:tab w:val="left" w:pos="1168"/>
              </w:tabs>
              <w:rPr>
                <w:rFonts w:cs="Arial"/>
                <w:sz w:val="16"/>
                <w:szCs w:val="16"/>
                <w:lang w:val="en-AU"/>
              </w:rPr>
            </w:pPr>
            <w:r w:rsidRPr="008F32C2">
              <w:rPr>
                <w:rFonts w:cs="Arial"/>
                <w:sz w:val="16"/>
                <w:szCs w:val="16"/>
                <w:lang w:val="en-AU"/>
              </w:rPr>
              <w:t>death, severe intraventricular haemorrhage, retinopathy of prematurity, bacterial sepsis, fungal</w:t>
            </w:r>
          </w:p>
          <w:p w:rsidRPr="008F32C2" w:rsidR="008F32C2" w:rsidP="00131848" w:rsidRDefault="008F32C2" w14:paraId="2DD06B89" w14:textId="77777777">
            <w:pPr>
              <w:pStyle w:val="BodyText"/>
              <w:tabs>
                <w:tab w:val="left" w:pos="1168"/>
              </w:tabs>
              <w:rPr>
                <w:rFonts w:cs="Arial"/>
                <w:sz w:val="16"/>
                <w:szCs w:val="16"/>
                <w:lang w:val="en-AU"/>
              </w:rPr>
            </w:pPr>
            <w:r w:rsidRPr="008F32C2">
              <w:rPr>
                <w:rFonts w:cs="Arial"/>
                <w:sz w:val="16"/>
                <w:szCs w:val="16"/>
                <w:lang w:val="en-AU"/>
              </w:rPr>
              <w:t>sepsis or necrotising enterocolitis; effects on other major morbidities were not assessed. These</w:t>
            </w:r>
          </w:p>
          <w:p w:rsidRPr="008F32C2" w:rsidR="008F32C2" w:rsidP="00131848" w:rsidRDefault="008F32C2" w14:paraId="2FBA24F6" w14:textId="77777777">
            <w:pPr>
              <w:pStyle w:val="BodyText"/>
              <w:tabs>
                <w:tab w:val="left" w:pos="1168"/>
              </w:tabs>
              <w:rPr>
                <w:rFonts w:cs="Arial"/>
                <w:sz w:val="16"/>
                <w:szCs w:val="16"/>
                <w:lang w:val="en-AU"/>
              </w:rPr>
            </w:pPr>
            <w:r w:rsidRPr="008F32C2">
              <w:rPr>
                <w:rFonts w:cs="Arial"/>
                <w:sz w:val="16"/>
                <w:szCs w:val="16"/>
                <w:lang w:val="en-AU"/>
              </w:rPr>
              <w:t>trials did not report an excess of hypoglycaemia, possibly due to the more liberal target BSLs:</w:t>
            </w:r>
          </w:p>
          <w:p w:rsidRPr="008F32C2" w:rsidR="008F32C2" w:rsidP="00131848" w:rsidRDefault="008F32C2" w14:paraId="1328C211" w14:textId="77777777">
            <w:pPr>
              <w:pStyle w:val="BodyText"/>
              <w:tabs>
                <w:tab w:val="left" w:pos="1168"/>
              </w:tabs>
              <w:rPr>
                <w:rFonts w:cs="Arial"/>
                <w:sz w:val="16"/>
                <w:szCs w:val="16"/>
                <w:lang w:val="en-AU"/>
              </w:rPr>
            </w:pPr>
            <w:r w:rsidRPr="008F32C2">
              <w:rPr>
                <w:rFonts w:cs="Arial"/>
                <w:sz w:val="16"/>
                <w:szCs w:val="16"/>
                <w:lang w:val="en-AU"/>
              </w:rPr>
              <w:t>Collins 1991 [8] 4.4–9.9 mmol/L and Meetze 1998 [9] 5.5–9.9 mmol/L. Conclusion: Evidence</w:t>
            </w:r>
          </w:p>
          <w:p w:rsidRPr="008F32C2" w:rsidR="008F32C2" w:rsidP="00131848" w:rsidRDefault="008F32C2" w14:paraId="1DA9D1B5" w14:textId="77777777">
            <w:pPr>
              <w:pStyle w:val="BodyText"/>
              <w:tabs>
                <w:tab w:val="left" w:pos="1168"/>
              </w:tabs>
              <w:rPr>
                <w:rFonts w:cs="Arial"/>
                <w:sz w:val="16"/>
                <w:szCs w:val="16"/>
                <w:lang w:val="en-AU"/>
              </w:rPr>
            </w:pPr>
            <w:r w:rsidRPr="008F32C2">
              <w:rPr>
                <w:rFonts w:cs="Arial"/>
                <w:sz w:val="16"/>
                <w:szCs w:val="16"/>
                <w:lang w:val="en-AU"/>
              </w:rPr>
              <w:t>from randomised trials in hyperglycaemic VLBW neonates is insufficient to determine the effects</w:t>
            </w:r>
          </w:p>
          <w:p w:rsidRPr="008F32C2" w:rsidR="008F32C2" w:rsidP="00131848" w:rsidRDefault="008F32C2" w14:paraId="16DEC3D4" w14:textId="77777777">
            <w:pPr>
              <w:pStyle w:val="BodyText"/>
              <w:tabs>
                <w:tab w:val="left" w:pos="1168"/>
              </w:tabs>
              <w:rPr>
                <w:rFonts w:cs="Arial"/>
                <w:sz w:val="16"/>
                <w:szCs w:val="16"/>
                <w:lang w:val="en-AU"/>
              </w:rPr>
            </w:pPr>
            <w:r w:rsidRPr="008F32C2">
              <w:rPr>
                <w:rFonts w:cs="Arial"/>
                <w:sz w:val="16"/>
                <w:szCs w:val="16"/>
                <w:lang w:val="en-AU"/>
              </w:rPr>
              <w:t>of treatment on death or major morbidities. [2] [LOE I GOR D]</w:t>
            </w:r>
          </w:p>
          <w:p w:rsidRPr="008F32C2" w:rsidR="008F32C2" w:rsidP="00131848" w:rsidRDefault="008F32C2" w14:paraId="7B0B62E5" w14:textId="77777777">
            <w:pPr>
              <w:pStyle w:val="BodyText"/>
              <w:tabs>
                <w:tab w:val="left" w:pos="1168"/>
              </w:tabs>
              <w:rPr>
                <w:rFonts w:cs="Arial"/>
                <w:sz w:val="16"/>
                <w:szCs w:val="16"/>
                <w:lang w:val="en-AU"/>
              </w:rPr>
            </w:pPr>
            <w:r w:rsidRPr="008F32C2">
              <w:rPr>
                <w:rFonts w:cs="Arial"/>
                <w:b/>
                <w:sz w:val="16"/>
                <w:szCs w:val="16"/>
                <w:lang w:val="en-AU"/>
              </w:rPr>
              <w:t>Prevention of neonatal hyperglycaemia in very low birth weight infants:</w:t>
            </w:r>
            <w:r w:rsidRPr="008F32C2">
              <w:rPr>
                <w:rFonts w:cs="Arial"/>
                <w:sz w:val="16"/>
                <w:szCs w:val="16"/>
                <w:lang w:val="en-AU"/>
              </w:rPr>
              <w:t xml:space="preserve"> Systematic review [10]</w:t>
            </w:r>
          </w:p>
          <w:p w:rsidRPr="008F32C2" w:rsidR="008F32C2" w:rsidP="00131848" w:rsidRDefault="008F32C2" w14:paraId="7EDDE4F2" w14:textId="77777777">
            <w:pPr>
              <w:pStyle w:val="BodyText"/>
              <w:tabs>
                <w:tab w:val="left" w:pos="1168"/>
              </w:tabs>
              <w:rPr>
                <w:rFonts w:cs="Arial"/>
                <w:sz w:val="16"/>
                <w:szCs w:val="16"/>
                <w:lang w:val="en-AU"/>
              </w:rPr>
            </w:pPr>
            <w:r w:rsidRPr="008F32C2">
              <w:rPr>
                <w:rFonts w:cs="Arial"/>
                <w:sz w:val="16"/>
                <w:szCs w:val="16"/>
                <w:lang w:val="en-AU"/>
              </w:rPr>
              <w:t>of trials of early insulin infusion for prevention of neonatal hyperglycaemia found that use of an</w:t>
            </w:r>
          </w:p>
          <w:p w:rsidRPr="008F32C2" w:rsidR="008F32C2" w:rsidP="00131848" w:rsidRDefault="008F32C2" w14:paraId="21A51E90" w14:textId="77777777">
            <w:pPr>
              <w:pStyle w:val="BodyText"/>
              <w:tabs>
                <w:tab w:val="left" w:pos="1168"/>
              </w:tabs>
              <w:rPr>
                <w:rFonts w:cs="Arial"/>
                <w:sz w:val="16"/>
                <w:szCs w:val="16"/>
                <w:lang w:val="en-AU"/>
              </w:rPr>
            </w:pPr>
            <w:r w:rsidRPr="008F32C2">
              <w:rPr>
                <w:rFonts w:cs="Arial"/>
                <w:sz w:val="16"/>
                <w:szCs w:val="16"/>
                <w:lang w:val="en-AU"/>
              </w:rPr>
              <w:t>insulin infusion reduced hyperglycaemia but increased death before 28 days and increased the</w:t>
            </w:r>
          </w:p>
          <w:p w:rsidRPr="008F32C2" w:rsidR="008F32C2" w:rsidP="00131848" w:rsidRDefault="008F32C2" w14:paraId="56923D86" w14:textId="77777777">
            <w:pPr>
              <w:pStyle w:val="BodyText"/>
              <w:tabs>
                <w:tab w:val="left" w:pos="1168"/>
              </w:tabs>
              <w:rPr>
                <w:rFonts w:cs="Arial"/>
                <w:sz w:val="16"/>
                <w:szCs w:val="16"/>
                <w:lang w:val="en-AU"/>
              </w:rPr>
            </w:pPr>
            <w:r w:rsidRPr="008F32C2">
              <w:rPr>
                <w:rFonts w:cs="Arial"/>
                <w:sz w:val="16"/>
                <w:szCs w:val="16"/>
                <w:lang w:val="en-AU"/>
              </w:rPr>
              <w:t>risk of hypoglycaemia. The reduction in hyperglycaemia was not accompanied by significant</w:t>
            </w:r>
          </w:p>
          <w:p w:rsidRPr="008F32C2" w:rsidR="008F32C2" w:rsidP="00131848" w:rsidRDefault="008F32C2" w14:paraId="434F14E5" w14:textId="77777777">
            <w:pPr>
              <w:pStyle w:val="BodyText"/>
              <w:tabs>
                <w:tab w:val="left" w:pos="1168"/>
              </w:tabs>
              <w:rPr>
                <w:rFonts w:cs="Arial"/>
                <w:sz w:val="16"/>
                <w:szCs w:val="16"/>
                <w:lang w:val="en-AU"/>
              </w:rPr>
            </w:pPr>
            <w:r w:rsidRPr="008F32C2">
              <w:rPr>
                <w:rFonts w:cs="Arial"/>
                <w:sz w:val="16"/>
                <w:szCs w:val="16"/>
                <w:lang w:val="en-AU"/>
              </w:rPr>
              <w:t>effects on major morbidities; effects on neurodevelopment are awaited. The evidence does not</w:t>
            </w:r>
          </w:p>
          <w:p w:rsidRPr="008F32C2" w:rsidR="008F32C2" w:rsidP="00131848" w:rsidRDefault="008F32C2" w14:paraId="4BE17F84" w14:textId="77777777">
            <w:pPr>
              <w:pStyle w:val="BodyText"/>
              <w:tabs>
                <w:tab w:val="left" w:pos="1168"/>
              </w:tabs>
              <w:rPr>
                <w:rFonts w:cs="Arial"/>
                <w:sz w:val="16"/>
                <w:szCs w:val="16"/>
                <w:lang w:val="en-AU"/>
              </w:rPr>
            </w:pPr>
            <w:r w:rsidRPr="008F32C2">
              <w:rPr>
                <w:rFonts w:cs="Arial"/>
                <w:sz w:val="16"/>
                <w:szCs w:val="16"/>
                <w:lang w:val="en-AU"/>
              </w:rPr>
              <w:t>support the routine use of insulin infusions to prevent hyperglycaemia in VLBW neonates. [10][LOE I GOR B]</w:t>
            </w:r>
          </w:p>
          <w:p w:rsidRPr="008F32C2" w:rsidR="008F32C2" w:rsidP="00131848" w:rsidRDefault="008F32C2" w14:paraId="24E5BB21" w14:textId="77777777">
            <w:pPr>
              <w:pStyle w:val="BodyText"/>
              <w:tabs>
                <w:tab w:val="left" w:pos="1168"/>
              </w:tabs>
              <w:rPr>
                <w:rFonts w:cs="Arial"/>
                <w:sz w:val="16"/>
                <w:szCs w:val="16"/>
                <w:lang w:val="en-AU"/>
              </w:rPr>
            </w:pPr>
            <w:r w:rsidRPr="008F32C2">
              <w:rPr>
                <w:rFonts w:cs="Arial"/>
                <w:b/>
                <w:sz w:val="16"/>
                <w:szCs w:val="16"/>
                <w:lang w:val="en-AU"/>
              </w:rPr>
              <w:t>Tight glycaemic control with insulin in hyperglycaemic very low birth weight infants:</w:t>
            </w:r>
            <w:r w:rsidRPr="008F32C2">
              <w:rPr>
                <w:rFonts w:cs="Arial"/>
                <w:sz w:val="16"/>
                <w:szCs w:val="16"/>
                <w:lang w:val="en-AU"/>
              </w:rPr>
              <w:t xml:space="preserve"> RCT in</w:t>
            </w:r>
          </w:p>
          <w:p w:rsidRPr="008F32C2" w:rsidR="008F32C2" w:rsidP="00131848" w:rsidRDefault="008F32C2" w14:paraId="1C48A21A" w14:textId="77777777">
            <w:pPr>
              <w:pStyle w:val="BodyText"/>
              <w:tabs>
                <w:tab w:val="left" w:pos="1168"/>
              </w:tabs>
              <w:rPr>
                <w:rFonts w:cs="Arial"/>
                <w:sz w:val="16"/>
                <w:szCs w:val="16"/>
                <w:lang w:val="en-AU"/>
              </w:rPr>
            </w:pPr>
            <w:r w:rsidRPr="008F32C2">
              <w:rPr>
                <w:rFonts w:cs="Arial"/>
                <w:sz w:val="16"/>
                <w:szCs w:val="16"/>
                <w:lang w:val="en-AU"/>
              </w:rPr>
              <w:t>infants born at &lt; 30 weeks' gestation or &lt; 1500 g with hyperglycaemia (2 consecutive BGL &gt; 8.5</w:t>
            </w:r>
          </w:p>
          <w:p w:rsidRPr="008F32C2" w:rsidR="008F32C2" w:rsidP="00131848" w:rsidRDefault="008F32C2" w14:paraId="297F935E" w14:textId="77777777">
            <w:pPr>
              <w:pStyle w:val="BodyText"/>
              <w:tabs>
                <w:tab w:val="left" w:pos="1168"/>
              </w:tabs>
              <w:rPr>
                <w:rFonts w:cs="Arial"/>
                <w:sz w:val="16"/>
                <w:szCs w:val="16"/>
                <w:lang w:val="en-AU"/>
              </w:rPr>
            </w:pPr>
            <w:r w:rsidRPr="008F32C2">
              <w:rPr>
                <w:rFonts w:cs="Arial"/>
                <w:sz w:val="16"/>
                <w:szCs w:val="16"/>
                <w:lang w:val="en-AU"/>
              </w:rPr>
              <w:t>mmol/L 4 hours apart) randomly assigned to tight glycaemic control with insulin (target BGL 4–6</w:t>
            </w:r>
          </w:p>
          <w:p w:rsidRPr="008F32C2" w:rsidR="008F32C2" w:rsidP="00131848" w:rsidRDefault="008F32C2" w14:paraId="1E454169" w14:textId="77777777">
            <w:pPr>
              <w:pStyle w:val="BodyText"/>
              <w:tabs>
                <w:tab w:val="left" w:pos="1168"/>
              </w:tabs>
              <w:rPr>
                <w:rFonts w:cs="Arial"/>
                <w:sz w:val="16"/>
                <w:szCs w:val="16"/>
                <w:lang w:val="en-AU"/>
              </w:rPr>
            </w:pPr>
            <w:r w:rsidRPr="008F32C2">
              <w:rPr>
                <w:rFonts w:cs="Arial"/>
                <w:sz w:val="16"/>
                <w:szCs w:val="16"/>
                <w:lang w:val="en-AU"/>
              </w:rPr>
              <w:t>mmol/L) or restrictive guidelines for starting insulin (target BGL 8–10 mmol/L). Infants in the</w:t>
            </w:r>
          </w:p>
          <w:p w:rsidRPr="008F32C2" w:rsidR="008F32C2" w:rsidP="00131848" w:rsidRDefault="008F32C2" w14:paraId="61EB1ED3" w14:textId="77777777">
            <w:pPr>
              <w:pStyle w:val="BodyText"/>
              <w:tabs>
                <w:tab w:val="left" w:pos="1168"/>
              </w:tabs>
              <w:rPr>
                <w:rFonts w:cs="Arial"/>
                <w:sz w:val="16"/>
                <w:szCs w:val="16"/>
                <w:lang w:val="en-AU"/>
              </w:rPr>
            </w:pPr>
            <w:r w:rsidRPr="008F32C2">
              <w:rPr>
                <w:rFonts w:cs="Arial"/>
                <w:sz w:val="16"/>
                <w:szCs w:val="16"/>
                <w:lang w:val="en-AU"/>
              </w:rPr>
              <w:t>tight group had a lesser lower leg growth rate (P &lt; 0.05), but greater head circumference growth</w:t>
            </w:r>
          </w:p>
          <w:p w:rsidRPr="008F32C2" w:rsidR="008F32C2" w:rsidP="00131848" w:rsidRDefault="008F32C2" w14:paraId="140A8203" w14:textId="77777777">
            <w:pPr>
              <w:pStyle w:val="BodyText"/>
              <w:tabs>
                <w:tab w:val="left" w:pos="1168"/>
              </w:tabs>
              <w:rPr>
                <w:rFonts w:cs="Arial"/>
                <w:sz w:val="16"/>
                <w:szCs w:val="16"/>
                <w:lang w:val="en-AU"/>
              </w:rPr>
            </w:pPr>
            <w:r w:rsidRPr="008F32C2">
              <w:rPr>
                <w:rFonts w:cs="Arial"/>
                <w:sz w:val="16"/>
                <w:szCs w:val="16"/>
                <w:lang w:val="en-AU"/>
              </w:rPr>
              <w:t>(P &lt; 0.0005) and greater weight gain (P &lt; 0.001) to 36 weeks' postmenstrual age than control</w:t>
            </w:r>
          </w:p>
          <w:p w:rsidRPr="008F32C2" w:rsidR="008F32C2" w:rsidP="00131848" w:rsidRDefault="008F32C2" w14:paraId="722A5C24" w14:textId="77777777">
            <w:pPr>
              <w:pStyle w:val="BodyText"/>
              <w:tabs>
                <w:tab w:val="left" w:pos="1168"/>
              </w:tabs>
              <w:rPr>
                <w:rFonts w:cs="Arial"/>
                <w:sz w:val="16"/>
                <w:szCs w:val="16"/>
                <w:lang w:val="en-AU"/>
              </w:rPr>
            </w:pPr>
            <w:r w:rsidRPr="008F32C2">
              <w:rPr>
                <w:rFonts w:cs="Arial"/>
                <w:sz w:val="16"/>
                <w:szCs w:val="16"/>
                <w:lang w:val="en-AU"/>
              </w:rPr>
              <w:t>infants. Tight group infants had lower daily BGL and greater incidence of hypoglycaemia (BGL &lt;</w:t>
            </w:r>
          </w:p>
          <w:p w:rsidRPr="008F32C2" w:rsidR="008F32C2" w:rsidP="00131848" w:rsidRDefault="008F32C2" w14:paraId="5E1DD3FA" w14:textId="77777777">
            <w:pPr>
              <w:pStyle w:val="BodyText"/>
              <w:tabs>
                <w:tab w:val="left" w:pos="1168"/>
              </w:tabs>
              <w:rPr>
                <w:rFonts w:cs="Arial"/>
                <w:sz w:val="16"/>
                <w:szCs w:val="16"/>
                <w:lang w:val="en-AU"/>
              </w:rPr>
            </w:pPr>
            <w:r w:rsidRPr="008F32C2">
              <w:rPr>
                <w:rFonts w:cs="Arial"/>
                <w:sz w:val="16"/>
                <w:szCs w:val="16"/>
                <w:lang w:val="en-AU"/>
              </w:rPr>
              <w:t>2.6 mmol/L) (25/43 vs 12/45; P &lt; 0.01) than controls. There were no significant differences in</w:t>
            </w:r>
          </w:p>
          <w:p w:rsidRPr="008F32C2" w:rsidR="008F32C2" w:rsidP="00131848" w:rsidRDefault="008F32C2" w14:paraId="395A043F" w14:textId="77777777">
            <w:pPr>
              <w:pStyle w:val="BodyText"/>
              <w:tabs>
                <w:tab w:val="left" w:pos="1168"/>
              </w:tabs>
              <w:rPr>
                <w:rFonts w:cs="Arial"/>
                <w:sz w:val="16"/>
                <w:szCs w:val="16"/>
                <w:lang w:val="en-AU"/>
              </w:rPr>
            </w:pPr>
            <w:r w:rsidRPr="008F32C2">
              <w:rPr>
                <w:rFonts w:cs="Arial"/>
                <w:sz w:val="16"/>
                <w:szCs w:val="16"/>
                <w:lang w:val="en-AU"/>
              </w:rPr>
              <w:lastRenderedPageBreak/>
              <w:t>nutritional intake or in the incidences of mortality or morbidity. The balance of risks and benefits</w:t>
            </w:r>
          </w:p>
          <w:p w:rsidRPr="008F32C2" w:rsidR="008F32C2" w:rsidP="00131848" w:rsidRDefault="008F32C2" w14:paraId="4D61CA57" w14:textId="77777777">
            <w:pPr>
              <w:pStyle w:val="BodyText"/>
              <w:tabs>
                <w:tab w:val="left" w:pos="1168"/>
              </w:tabs>
              <w:rPr>
                <w:rFonts w:cs="Arial"/>
                <w:sz w:val="16"/>
                <w:szCs w:val="16"/>
                <w:lang w:val="en-AU"/>
              </w:rPr>
            </w:pPr>
            <w:r w:rsidRPr="008F32C2">
              <w:rPr>
                <w:rFonts w:cs="Arial"/>
                <w:sz w:val="16"/>
                <w:szCs w:val="16"/>
                <w:lang w:val="en-AU"/>
              </w:rPr>
              <w:t>of insulin treatment in hyperglycaemic pre-term neonates remains uncertain. [1] [LOE II GOR D]</w:t>
            </w:r>
          </w:p>
          <w:p w:rsidRPr="008F32C2" w:rsidR="008F32C2" w:rsidP="00131848" w:rsidRDefault="008F32C2" w14:paraId="3B9C4332" w14:textId="77777777">
            <w:pPr>
              <w:pStyle w:val="BodyText"/>
              <w:tabs>
                <w:tab w:val="left" w:pos="1168"/>
              </w:tabs>
              <w:rPr>
                <w:rFonts w:cs="Arial"/>
                <w:sz w:val="16"/>
                <w:szCs w:val="16"/>
                <w:lang w:val="en-AU"/>
              </w:rPr>
            </w:pPr>
            <w:r w:rsidRPr="008F32C2">
              <w:rPr>
                <w:rFonts w:cs="Arial"/>
                <w:sz w:val="16"/>
                <w:szCs w:val="16"/>
                <w:lang w:val="en-AU"/>
              </w:rPr>
              <w:t>Guidelines: ESPGHAN 2005 recommended the use of insulin should be restricted to conditions</w:t>
            </w:r>
          </w:p>
          <w:p w:rsidRPr="008F32C2" w:rsidR="008F32C2" w:rsidP="00131848" w:rsidRDefault="008F32C2" w14:paraId="74CABBF6" w14:textId="77777777">
            <w:pPr>
              <w:pStyle w:val="BodyText"/>
              <w:tabs>
                <w:tab w:val="left" w:pos="1168"/>
              </w:tabs>
              <w:rPr>
                <w:rFonts w:cs="Arial"/>
                <w:sz w:val="16"/>
                <w:szCs w:val="16"/>
                <w:lang w:val="en-AU"/>
              </w:rPr>
            </w:pPr>
            <w:r w:rsidRPr="008F32C2">
              <w:rPr>
                <w:rFonts w:cs="Arial"/>
                <w:sz w:val="16"/>
                <w:szCs w:val="16"/>
                <w:lang w:val="en-AU"/>
              </w:rPr>
              <w:t>where reasonable changes in glucose infusion rate do not control marked hyperglycaemia. [11]</w:t>
            </w:r>
          </w:p>
          <w:p w:rsidRPr="008F32C2" w:rsidR="008F32C2" w:rsidP="00131848" w:rsidRDefault="008F32C2" w14:paraId="2099D4AA" w14:textId="77777777">
            <w:pPr>
              <w:pStyle w:val="BodyText"/>
              <w:tabs>
                <w:tab w:val="left" w:pos="1168"/>
              </w:tabs>
              <w:rPr>
                <w:rFonts w:cs="Arial"/>
                <w:sz w:val="16"/>
                <w:szCs w:val="16"/>
                <w:lang w:val="en-AU"/>
              </w:rPr>
            </w:pPr>
            <w:r w:rsidRPr="008F32C2">
              <w:rPr>
                <w:rFonts w:cs="Arial"/>
                <w:sz w:val="16"/>
                <w:szCs w:val="16"/>
                <w:lang w:val="en-AU"/>
              </w:rPr>
              <w:t>Although this recommendation is now out of date, current evidence is consistent with this</w:t>
            </w:r>
          </w:p>
          <w:p w:rsidRPr="008F32C2" w:rsidR="008F32C2" w:rsidP="00131848" w:rsidRDefault="008F32C2" w14:paraId="488040D2" w14:textId="77777777">
            <w:pPr>
              <w:pStyle w:val="BodyText"/>
              <w:tabs>
                <w:tab w:val="left" w:pos="1168"/>
              </w:tabs>
              <w:rPr>
                <w:rFonts w:cs="Arial"/>
                <w:sz w:val="16"/>
                <w:szCs w:val="16"/>
                <w:lang w:val="en-AU"/>
              </w:rPr>
            </w:pPr>
            <w:r w:rsidRPr="008F32C2">
              <w:rPr>
                <w:rFonts w:cs="Arial"/>
                <w:sz w:val="16"/>
                <w:szCs w:val="16"/>
                <w:lang w:val="en-AU"/>
              </w:rPr>
              <w:t>recommendation.</w:t>
            </w:r>
          </w:p>
          <w:p w:rsidRPr="008F32C2" w:rsidR="008F32C2" w:rsidP="00131848" w:rsidRDefault="008F32C2" w14:paraId="7B438191" w14:textId="77777777">
            <w:pPr>
              <w:pStyle w:val="BodyText"/>
              <w:tabs>
                <w:tab w:val="left" w:pos="1168"/>
              </w:tabs>
              <w:rPr>
                <w:rFonts w:cs="Arial"/>
                <w:b/>
                <w:sz w:val="16"/>
                <w:szCs w:val="16"/>
                <w:lang w:val="en-AU"/>
              </w:rPr>
            </w:pPr>
            <w:r w:rsidRPr="008F32C2">
              <w:rPr>
                <w:rFonts w:cs="Arial"/>
                <w:b/>
                <w:sz w:val="16"/>
                <w:szCs w:val="16"/>
                <w:lang w:val="en-AU"/>
              </w:rPr>
              <w:t>Pharmacokinetics</w:t>
            </w:r>
          </w:p>
          <w:p w:rsidRPr="008F32C2" w:rsidR="008F32C2" w:rsidP="00131848" w:rsidRDefault="008F32C2" w14:paraId="67CE8A3D" w14:textId="77777777">
            <w:pPr>
              <w:pStyle w:val="BodyText"/>
              <w:tabs>
                <w:tab w:val="left" w:pos="1168"/>
              </w:tabs>
              <w:rPr>
                <w:rFonts w:cs="Arial"/>
                <w:sz w:val="16"/>
                <w:szCs w:val="16"/>
                <w:lang w:val="en-AU"/>
              </w:rPr>
            </w:pPr>
            <w:r w:rsidRPr="008F32C2">
              <w:rPr>
                <w:rFonts w:cs="Arial"/>
                <w:sz w:val="16"/>
                <w:szCs w:val="16"/>
                <w:lang w:val="en-AU"/>
              </w:rPr>
              <w:t>Following IV administration, the observed half-life of insulin ranges from 5 to 15 minutes.</w:t>
            </w:r>
          </w:p>
          <w:p w:rsidRPr="008F32C2" w:rsidR="008F32C2" w:rsidP="00131848" w:rsidRDefault="008F32C2" w14:paraId="799A3C05" w14:textId="77777777">
            <w:pPr>
              <w:pStyle w:val="BodyText"/>
              <w:tabs>
                <w:tab w:val="left" w:pos="1168"/>
              </w:tabs>
              <w:rPr>
                <w:rFonts w:cs="Arial"/>
                <w:sz w:val="16"/>
                <w:szCs w:val="16"/>
                <w:lang w:val="en-AU"/>
              </w:rPr>
            </w:pPr>
            <w:r w:rsidRPr="008F32C2">
              <w:rPr>
                <w:rFonts w:cs="Arial"/>
                <w:sz w:val="16"/>
                <w:szCs w:val="16"/>
                <w:lang w:val="en-AU"/>
              </w:rPr>
              <w:t>[12]</w:t>
            </w:r>
          </w:p>
        </w:tc>
      </w:tr>
      <w:tr w:rsidRPr="00026F20" w:rsidR="008F32C2" w:rsidTr="008F32C2" w14:paraId="190312B4" w14:textId="77777777">
        <w:trPr>
          <w:trHeight w:val="108"/>
        </w:trPr>
        <w:tc>
          <w:tcPr>
            <w:tcW w:w="1730" w:type="dxa"/>
          </w:tcPr>
          <w:p w:rsidRPr="00B53E9B" w:rsidR="008F32C2" w:rsidP="00131848" w:rsidRDefault="008F32C2" w14:paraId="14565FFC" w14:textId="77777777">
            <w:pPr>
              <w:pStyle w:val="BodyText"/>
              <w:rPr>
                <w:rFonts w:cs="Arial"/>
                <w:b/>
                <w:bCs/>
                <w:sz w:val="20"/>
                <w:lang w:val="en-AU"/>
              </w:rPr>
            </w:pPr>
            <w:r w:rsidRPr="00B53E9B">
              <w:rPr>
                <w:rFonts w:cs="Arial"/>
                <w:b/>
                <w:bCs/>
                <w:sz w:val="20"/>
                <w:lang w:val="en-AU"/>
              </w:rPr>
              <w:lastRenderedPageBreak/>
              <w:t>Practice points</w:t>
            </w:r>
          </w:p>
        </w:tc>
        <w:tc>
          <w:tcPr>
            <w:tcW w:w="7513" w:type="dxa"/>
          </w:tcPr>
          <w:p w:rsidRPr="00026F20" w:rsidR="008F32C2" w:rsidP="00131848" w:rsidRDefault="008F32C2" w14:paraId="50AD076F" w14:textId="77777777">
            <w:pPr>
              <w:pStyle w:val="BodyText"/>
              <w:tabs>
                <w:tab w:val="left" w:pos="1168"/>
              </w:tabs>
              <w:rPr>
                <w:rFonts w:cs="Arial"/>
                <w:sz w:val="20"/>
                <w:lang w:val="en-AU"/>
              </w:rPr>
            </w:pPr>
          </w:p>
        </w:tc>
      </w:tr>
      <w:tr w:rsidRPr="00A4414D" w:rsidR="008F32C2" w:rsidTr="008F32C2" w14:paraId="05132B31" w14:textId="77777777">
        <w:trPr>
          <w:trHeight w:val="70"/>
        </w:trPr>
        <w:tc>
          <w:tcPr>
            <w:tcW w:w="1730" w:type="dxa"/>
          </w:tcPr>
          <w:p w:rsidRPr="00B53E9B" w:rsidR="008F32C2" w:rsidP="00131848" w:rsidRDefault="008F32C2" w14:paraId="25F15404" w14:textId="77777777">
            <w:pPr>
              <w:pStyle w:val="BodyText"/>
              <w:rPr>
                <w:rFonts w:cs="Arial"/>
                <w:b/>
                <w:bCs/>
                <w:sz w:val="20"/>
                <w:lang w:val="en-AU"/>
              </w:rPr>
            </w:pPr>
            <w:r w:rsidRPr="00B53E9B">
              <w:rPr>
                <w:b/>
                <w:sz w:val="20"/>
                <w:lang w:val="en-AU"/>
              </w:rPr>
              <w:t>References</w:t>
            </w:r>
          </w:p>
        </w:tc>
        <w:tc>
          <w:tcPr>
            <w:tcW w:w="7513" w:type="dxa"/>
          </w:tcPr>
          <w:p w:rsidRPr="008F32C2" w:rsidR="008F32C2" w:rsidP="00131848" w:rsidRDefault="008F32C2" w14:paraId="3630E203" w14:textId="77777777">
            <w:pPr>
              <w:rPr>
                <w:sz w:val="16"/>
                <w:szCs w:val="16"/>
              </w:rPr>
            </w:pPr>
            <w:r w:rsidRPr="008F32C2">
              <w:rPr>
                <w:sz w:val="16"/>
                <w:szCs w:val="16"/>
              </w:rPr>
              <w:t>1. Alsweiler JM, Harding JE, Bloomfield FH. Tight glycemic control with insulin in hyperglycemic</w:t>
            </w:r>
          </w:p>
          <w:p w:rsidRPr="008F32C2" w:rsidR="008F32C2" w:rsidP="00131848" w:rsidRDefault="008F32C2" w14:paraId="0C5B6EA6" w14:textId="77777777">
            <w:pPr>
              <w:rPr>
                <w:sz w:val="16"/>
                <w:szCs w:val="16"/>
              </w:rPr>
            </w:pPr>
            <w:r w:rsidRPr="008F32C2">
              <w:rPr>
                <w:sz w:val="16"/>
                <w:szCs w:val="16"/>
              </w:rPr>
              <w:t>preterm babies: a randomized controlled trial. Pediatrics. 2012;129:639-47.</w:t>
            </w:r>
          </w:p>
          <w:p w:rsidRPr="008F32C2" w:rsidR="008F32C2" w:rsidP="00131848" w:rsidRDefault="008F32C2" w14:paraId="2AB09CD0" w14:textId="77777777">
            <w:pPr>
              <w:rPr>
                <w:sz w:val="16"/>
                <w:szCs w:val="16"/>
              </w:rPr>
            </w:pPr>
            <w:r w:rsidRPr="008F32C2">
              <w:rPr>
                <w:sz w:val="16"/>
                <w:szCs w:val="16"/>
              </w:rPr>
              <w:t>2. Bottino M, Cowett RM, Sinclair JC. Interventions for treatment of neonatal hyperglycemia in</w:t>
            </w:r>
          </w:p>
          <w:p w:rsidRPr="008F32C2" w:rsidR="008F32C2" w:rsidP="00131848" w:rsidRDefault="008F32C2" w14:paraId="547CAE7A" w14:textId="77777777">
            <w:pPr>
              <w:rPr>
                <w:sz w:val="16"/>
                <w:szCs w:val="16"/>
              </w:rPr>
            </w:pPr>
            <w:r w:rsidRPr="008F32C2">
              <w:rPr>
                <w:sz w:val="16"/>
                <w:szCs w:val="16"/>
              </w:rPr>
              <w:t>very low birth weight infants. Cochrane Database Syst Rev. 2011:CD007453.</w:t>
            </w:r>
          </w:p>
          <w:p w:rsidRPr="008F32C2" w:rsidR="008F32C2" w:rsidP="00131848" w:rsidRDefault="008F32C2" w14:paraId="4E3E7322" w14:textId="77777777">
            <w:pPr>
              <w:rPr>
                <w:sz w:val="16"/>
                <w:szCs w:val="16"/>
              </w:rPr>
            </w:pPr>
            <w:r w:rsidRPr="008F32C2">
              <w:rPr>
                <w:sz w:val="16"/>
                <w:szCs w:val="16"/>
              </w:rPr>
              <w:t>3. Cueni-Villoz N, Devigili A, et al. Increased blood glucose variability during therapeutic hypothermia and outcome after cardiac arrest. Crit Care Med. 2011 Oct; 39(10):2225-31.</w:t>
            </w:r>
          </w:p>
          <w:p w:rsidRPr="008F32C2" w:rsidR="008F32C2" w:rsidP="00131848" w:rsidRDefault="008F32C2" w14:paraId="4CD3C002" w14:textId="77777777">
            <w:pPr>
              <w:rPr>
                <w:sz w:val="16"/>
                <w:szCs w:val="16"/>
              </w:rPr>
            </w:pPr>
            <w:r w:rsidRPr="008F32C2">
              <w:rPr>
                <w:sz w:val="16"/>
                <w:szCs w:val="16"/>
              </w:rPr>
              <w:t>4. Scheen AJ. Pharmacokinetic and toxicological considerations for the treatment of diabetes in patients with liver disease. Expert Opin Drug Metab Toxicol. 2014; 10:839-857.</w:t>
            </w:r>
          </w:p>
          <w:p w:rsidRPr="008F32C2" w:rsidR="008F32C2" w:rsidP="00131848" w:rsidRDefault="008F32C2" w14:paraId="7279F2B4" w14:textId="77777777">
            <w:pPr>
              <w:rPr>
                <w:sz w:val="16"/>
                <w:szCs w:val="16"/>
              </w:rPr>
            </w:pPr>
            <w:r w:rsidRPr="008F32C2">
              <w:rPr>
                <w:sz w:val="16"/>
                <w:szCs w:val="16"/>
              </w:rPr>
              <w:t>5. Hewson M, Nawadra V, Oliver J, Odgers C, Plummer J, Simmer K. Insulin infusions in the</w:t>
            </w:r>
          </w:p>
          <w:p w:rsidRPr="008F32C2" w:rsidR="008F32C2" w:rsidP="00131848" w:rsidRDefault="008F32C2" w14:paraId="4B60C565" w14:textId="77777777">
            <w:pPr>
              <w:rPr>
                <w:sz w:val="16"/>
                <w:szCs w:val="16"/>
              </w:rPr>
            </w:pPr>
            <w:r w:rsidRPr="008F32C2">
              <w:rPr>
                <w:sz w:val="16"/>
                <w:szCs w:val="16"/>
              </w:rPr>
              <w:t>neonatal unit: delivery variation due to adsorption. J Paediatr Child Health. 2000; 36:216-20.</w:t>
            </w:r>
          </w:p>
          <w:p w:rsidRPr="008F32C2" w:rsidR="008F32C2" w:rsidP="00131848" w:rsidRDefault="008F32C2" w14:paraId="5A81A402" w14:textId="77777777">
            <w:pPr>
              <w:rPr>
                <w:sz w:val="16"/>
                <w:szCs w:val="16"/>
              </w:rPr>
            </w:pPr>
            <w:r w:rsidRPr="008F32C2">
              <w:rPr>
                <w:sz w:val="16"/>
                <w:szCs w:val="16"/>
              </w:rPr>
              <w:t>6. Thompson CD, Vital-Carona J, Faustino EV. The effect of tubing dwell time on insulin</w:t>
            </w:r>
          </w:p>
          <w:p w:rsidRPr="008F32C2" w:rsidR="008F32C2" w:rsidP="00131848" w:rsidRDefault="008F32C2" w14:paraId="3A7DC548" w14:textId="77777777">
            <w:pPr>
              <w:rPr>
                <w:sz w:val="16"/>
                <w:szCs w:val="16"/>
              </w:rPr>
            </w:pPr>
            <w:r w:rsidRPr="008F32C2">
              <w:rPr>
                <w:sz w:val="16"/>
                <w:szCs w:val="16"/>
              </w:rPr>
              <w:t>adsorption during intravenous insulin infusions. Diabetes Technol Ther. 2012;14:912-6.</w:t>
            </w:r>
          </w:p>
          <w:p w:rsidRPr="008F32C2" w:rsidR="008F32C2" w:rsidP="00131848" w:rsidRDefault="008F32C2" w14:paraId="06062BDC" w14:textId="77777777">
            <w:pPr>
              <w:rPr>
                <w:sz w:val="16"/>
                <w:szCs w:val="16"/>
              </w:rPr>
            </w:pPr>
            <w:r w:rsidRPr="008F32C2">
              <w:rPr>
                <w:sz w:val="16"/>
                <w:szCs w:val="16"/>
              </w:rPr>
              <w:t xml:space="preserve">7. Simeon PS, Geffner ME, Levin SR, et al. Continuous insulin infusions in neonates: pharmacologic availability of insulin in intravenous solutions. Journal of Pediatrics. 1994; 124:818-20. </w:t>
            </w:r>
          </w:p>
          <w:p w:rsidRPr="008F32C2" w:rsidR="008F32C2" w:rsidP="00131848" w:rsidRDefault="008F32C2" w14:paraId="35CD3C16" w14:textId="77777777">
            <w:pPr>
              <w:rPr>
                <w:sz w:val="16"/>
                <w:szCs w:val="16"/>
              </w:rPr>
            </w:pPr>
            <w:r w:rsidRPr="008F32C2">
              <w:rPr>
                <w:sz w:val="16"/>
                <w:szCs w:val="16"/>
              </w:rPr>
              <w:t xml:space="preserve">8. Collins JW, Jr., Hoppe M, Brown K, Edidin DV, Padbury J, Ogata ES. A controlled trial of insulin infusion and parenteral nutrition in extremely low birth weight infants with glucose intolerance. J Pediatr. 1991; 118:921-7. </w:t>
            </w:r>
          </w:p>
          <w:p w:rsidRPr="008F32C2" w:rsidR="008F32C2" w:rsidP="00131848" w:rsidRDefault="008F32C2" w14:paraId="1D86F56E" w14:textId="77777777">
            <w:pPr>
              <w:rPr>
                <w:sz w:val="16"/>
                <w:szCs w:val="16"/>
              </w:rPr>
            </w:pPr>
            <w:r w:rsidRPr="008F32C2">
              <w:rPr>
                <w:sz w:val="16"/>
                <w:szCs w:val="16"/>
              </w:rPr>
              <w:t xml:space="preserve">9. Meetze W, Bowsher R, Compton J, Moorehead H. Hyperglycemia in extremely- low-birthweight infants. Biol Neonate. 1998;74:214-21. </w:t>
            </w:r>
          </w:p>
          <w:p w:rsidRPr="008F32C2" w:rsidR="008F32C2" w:rsidP="00131848" w:rsidRDefault="008F32C2" w14:paraId="5D8243D7" w14:textId="77777777">
            <w:pPr>
              <w:rPr>
                <w:sz w:val="16"/>
                <w:szCs w:val="16"/>
              </w:rPr>
            </w:pPr>
            <w:r w:rsidRPr="008F32C2">
              <w:rPr>
                <w:sz w:val="16"/>
                <w:szCs w:val="16"/>
              </w:rPr>
              <w:t xml:space="preserve">10. Sinclair JC, Bottino M, Cowett RM. Interventions for prevention of neonatal hyperglycemia in very low birth weight infants. Cochrane Database Syst Rev. 2011:CD007615. </w:t>
            </w:r>
          </w:p>
          <w:p w:rsidRPr="008F32C2" w:rsidR="008F32C2" w:rsidP="00131848" w:rsidRDefault="008F32C2" w14:paraId="697188DD" w14:textId="77777777">
            <w:pPr>
              <w:rPr>
                <w:sz w:val="16"/>
                <w:szCs w:val="16"/>
              </w:rPr>
            </w:pPr>
            <w:r w:rsidRPr="008F32C2">
              <w:rPr>
                <w:sz w:val="16"/>
                <w:szCs w:val="16"/>
              </w:rPr>
              <w:t xml:space="preserve">11. Koletzko B, Goulet O, Hunt J, Krohn K, Shamir. Guidelines on Paediatric Parenteral Nutrition of the European Society of Paediatric Gastroenterology, Hepatology and Nutrition (ESPGHAN) and the European Society for Clinical Nutrition and Metabolism (ESPEN), Supported by the European Society of Paediatric Research (ESPR). J Pediatr Gastroenterol Nutr. 2005; 41 Suppl 2:S1-87. </w:t>
            </w:r>
          </w:p>
          <w:p w:rsidRPr="008F32C2" w:rsidR="008F32C2" w:rsidP="00131848" w:rsidRDefault="008F32C2" w14:paraId="439C667E" w14:textId="77777777">
            <w:pPr>
              <w:rPr>
                <w:sz w:val="16"/>
                <w:szCs w:val="16"/>
              </w:rPr>
            </w:pPr>
            <w:r w:rsidRPr="008F32C2">
              <w:rPr>
                <w:sz w:val="16"/>
                <w:szCs w:val="16"/>
              </w:rPr>
              <w:t>12. Micromedex.  Insulin Human Regular. Accessed on 9 March 2021.</w:t>
            </w:r>
          </w:p>
          <w:p w:rsidRPr="008F32C2" w:rsidR="008F32C2" w:rsidP="00131848" w:rsidRDefault="008F32C2" w14:paraId="6214D24D" w14:textId="77777777">
            <w:pPr>
              <w:rPr>
                <w:sz w:val="16"/>
                <w:szCs w:val="16"/>
              </w:rPr>
            </w:pPr>
            <w:r w:rsidRPr="008F32C2">
              <w:rPr>
                <w:sz w:val="16"/>
                <w:szCs w:val="16"/>
              </w:rPr>
              <w:t>13. Australian Injectable Drugs Handbook, 8</w:t>
            </w:r>
            <w:r w:rsidRPr="008F32C2">
              <w:rPr>
                <w:sz w:val="16"/>
                <w:szCs w:val="16"/>
                <w:vertAlign w:val="superscript"/>
              </w:rPr>
              <w:t>th</w:t>
            </w:r>
            <w:r w:rsidRPr="008F32C2">
              <w:rPr>
                <w:sz w:val="16"/>
                <w:szCs w:val="16"/>
              </w:rPr>
              <w:t xml:space="preserve"> Edition. Accessed on 28</w:t>
            </w:r>
            <w:r w:rsidRPr="008F32C2">
              <w:rPr>
                <w:sz w:val="16"/>
                <w:szCs w:val="16"/>
                <w:vertAlign w:val="superscript"/>
              </w:rPr>
              <w:t xml:space="preserve"> </w:t>
            </w:r>
            <w:r w:rsidRPr="008F32C2">
              <w:rPr>
                <w:sz w:val="16"/>
                <w:szCs w:val="16"/>
              </w:rPr>
              <w:t xml:space="preserve">October 2020. </w:t>
            </w:r>
            <w:hyperlink w:history="1" r:id="rId45">
              <w:r w:rsidRPr="008F32C2">
                <w:rPr>
                  <w:rStyle w:val="Hyperlink"/>
                  <w:sz w:val="16"/>
                  <w:szCs w:val="16"/>
                </w:rPr>
                <w:t>https://aidh.hcn.com.au/browse/i/insulin_for_subcutaneous_or_iv_use</w:t>
              </w:r>
            </w:hyperlink>
          </w:p>
          <w:p w:rsidRPr="008F32C2" w:rsidR="008F32C2" w:rsidP="00131848" w:rsidRDefault="008F32C2" w14:paraId="53D4CEB4" w14:textId="77777777">
            <w:pPr>
              <w:rPr>
                <w:sz w:val="16"/>
                <w:szCs w:val="16"/>
              </w:rPr>
            </w:pPr>
            <w:r w:rsidRPr="008F32C2">
              <w:rPr>
                <w:sz w:val="16"/>
                <w:szCs w:val="16"/>
              </w:rPr>
              <w:t>14. Human Insulin (rys). Product Information. Accessed on 28 October 2020.</w:t>
            </w:r>
          </w:p>
          <w:p w:rsidRPr="008F32C2" w:rsidR="008F32C2" w:rsidP="00131848" w:rsidRDefault="008F32C2" w14:paraId="260ABD76" w14:textId="77777777">
            <w:pPr>
              <w:rPr>
                <w:sz w:val="16"/>
                <w:szCs w:val="16"/>
              </w:rPr>
            </w:pPr>
            <w:r w:rsidRPr="008F32C2">
              <w:rPr>
                <w:sz w:val="16"/>
                <w:szCs w:val="16"/>
              </w:rPr>
              <w:t>15. Humulin Preparations. Product Information. Accessed on 28 October 2020.</w:t>
            </w:r>
          </w:p>
        </w:tc>
      </w:tr>
    </w:tbl>
    <w:p w:rsidRPr="00E25790" w:rsidR="00916819" w:rsidP="006F0321" w:rsidRDefault="00916819" w14:paraId="04FCAD7A" w14:textId="77777777"/>
    <w:p w:rsidRPr="00E25790" w:rsidR="00F21365" w:rsidP="006F0321" w:rsidRDefault="00F21365" w14:paraId="20ED3C3D" w14:textId="77777777"/>
    <w:tbl>
      <w:tblPr>
        <w:tblW w:w="85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970"/>
        <w:gridCol w:w="4536"/>
      </w:tblGrid>
      <w:tr w:rsidRPr="008F0C25" w:rsidR="00F21365" w:rsidTr="00A26E96" w14:paraId="4085969E" w14:textId="77777777">
        <w:tc>
          <w:tcPr>
            <w:tcW w:w="3970" w:type="dxa"/>
            <w:vAlign w:val="center"/>
          </w:tcPr>
          <w:p w:rsidRPr="008F0C25" w:rsidR="00F21365" w:rsidP="00A26E96" w:rsidRDefault="00F21365" w14:paraId="482CBF36" w14:textId="77777777">
            <w:r w:rsidRPr="008F0C25">
              <w:t xml:space="preserve">Original version Date: </w:t>
            </w:r>
            <w:r>
              <w:t>3/05</w:t>
            </w:r>
            <w:r w:rsidRPr="008F0C25">
              <w:t>/2017</w:t>
            </w:r>
          </w:p>
        </w:tc>
        <w:tc>
          <w:tcPr>
            <w:tcW w:w="4536" w:type="dxa"/>
            <w:vAlign w:val="center"/>
          </w:tcPr>
          <w:p w:rsidRPr="008F0C25" w:rsidR="00F21365" w:rsidP="00A26E96" w:rsidRDefault="00F21365" w14:paraId="77B0464B" w14:textId="77777777">
            <w:r w:rsidRPr="008F0C25">
              <w:t>Author: Neonatal Medicines Formulary Consensus Group</w:t>
            </w:r>
          </w:p>
        </w:tc>
      </w:tr>
      <w:tr w:rsidRPr="008F0C25" w:rsidR="00F21365" w:rsidTr="00A26E96" w14:paraId="13EBBE5F" w14:textId="77777777">
        <w:tc>
          <w:tcPr>
            <w:tcW w:w="3970" w:type="dxa"/>
            <w:vAlign w:val="center"/>
          </w:tcPr>
          <w:p w:rsidRPr="008F0C25" w:rsidR="00F21365" w:rsidP="00A26E96" w:rsidRDefault="00F21365" w14:paraId="5FF0107A" w14:textId="332163E3">
            <w:pPr>
              <w:rPr>
                <w:bCs/>
              </w:rPr>
            </w:pPr>
            <w:r w:rsidRPr="008F0C25">
              <w:t xml:space="preserve">Current Version number:  </w:t>
            </w:r>
            <w:r w:rsidR="009553CD">
              <w:t>2</w:t>
            </w:r>
          </w:p>
        </w:tc>
        <w:tc>
          <w:tcPr>
            <w:tcW w:w="4536" w:type="dxa"/>
            <w:vAlign w:val="center"/>
          </w:tcPr>
          <w:p w:rsidRPr="008F0C25" w:rsidR="00F21365" w:rsidP="00A26E96" w:rsidRDefault="00F21365" w14:paraId="17B4F370" w14:textId="5C768F81">
            <w:r w:rsidRPr="008F0C25">
              <w:t xml:space="preserve">Current Version Date:  </w:t>
            </w:r>
            <w:r w:rsidR="00916819">
              <w:t>18-6-2021</w:t>
            </w:r>
          </w:p>
        </w:tc>
      </w:tr>
      <w:tr w:rsidRPr="008F0C25" w:rsidR="00F21365" w:rsidTr="00A26E96" w14:paraId="6ACACE71" w14:textId="77777777">
        <w:tc>
          <w:tcPr>
            <w:tcW w:w="3970" w:type="dxa"/>
            <w:vAlign w:val="center"/>
          </w:tcPr>
          <w:p w:rsidRPr="008F0C25" w:rsidR="00F21365" w:rsidP="00A26E96" w:rsidRDefault="00F21365" w14:paraId="55F2FC35" w14:textId="69717FC1">
            <w:r w:rsidRPr="008F0C25">
              <w:t xml:space="preserve">Risk Rating: </w:t>
            </w:r>
            <w:r w:rsidR="00916819">
              <w:t>Low</w:t>
            </w:r>
          </w:p>
        </w:tc>
        <w:tc>
          <w:tcPr>
            <w:tcW w:w="4536" w:type="dxa"/>
            <w:vAlign w:val="center"/>
          </w:tcPr>
          <w:p w:rsidRPr="008F0C25" w:rsidR="009553CD" w:rsidP="00A26E96" w:rsidRDefault="00F21365" w14:paraId="65C251D9" w14:textId="49147661">
            <w:r w:rsidRPr="008F0C25">
              <w:t>Due for Review:</w:t>
            </w:r>
            <w:r>
              <w:t xml:space="preserve"> </w:t>
            </w:r>
            <w:r w:rsidR="00916819">
              <w:t>18-6-2026</w:t>
            </w:r>
          </w:p>
        </w:tc>
      </w:tr>
      <w:tr w:rsidRPr="008F0C25" w:rsidR="00F21365" w:rsidTr="00A26E96" w14:paraId="44100D55" w14:textId="77777777">
        <w:trPr>
          <w:trHeight w:val="344"/>
        </w:trPr>
        <w:tc>
          <w:tcPr>
            <w:tcW w:w="3970" w:type="dxa"/>
            <w:tcBorders>
              <w:bottom w:val="single" w:color="auto" w:sz="4" w:space="0"/>
            </w:tcBorders>
            <w:vAlign w:val="center"/>
          </w:tcPr>
          <w:p w:rsidRPr="008F0C25" w:rsidR="00F21365" w:rsidP="00A26E96" w:rsidRDefault="00F21365" w14:paraId="015EB260" w14:textId="77777777">
            <w:r w:rsidRPr="008F0C25">
              <w:t xml:space="preserve">Approval by: </w:t>
            </w:r>
            <w:r>
              <w:t>DTC</w:t>
            </w:r>
          </w:p>
        </w:tc>
        <w:tc>
          <w:tcPr>
            <w:tcW w:w="4536" w:type="dxa"/>
            <w:tcBorders>
              <w:bottom w:val="single" w:color="auto" w:sz="4" w:space="0"/>
            </w:tcBorders>
            <w:vAlign w:val="center"/>
          </w:tcPr>
          <w:p w:rsidRPr="008F0C25" w:rsidR="00F21365" w:rsidP="00A26E96" w:rsidRDefault="00F21365" w14:paraId="28EDC0F4" w14:textId="22BEA79F">
            <w:r w:rsidRPr="008F0C25">
              <w:t>Approval Date:</w:t>
            </w:r>
            <w:r>
              <w:t xml:space="preserve"> </w:t>
            </w:r>
            <w:r w:rsidR="00260BC8">
              <w:t>APRIL 2021</w:t>
            </w:r>
          </w:p>
        </w:tc>
      </w:tr>
    </w:tbl>
    <w:p w:rsidRPr="00E25790" w:rsidR="00F21365" w:rsidP="006F0321" w:rsidRDefault="00F21365" w14:paraId="36DC602A" w14:textId="77777777"/>
    <w:p w:rsidR="00F21365" w:rsidP="006F0321" w:rsidRDefault="00F21365" w14:paraId="3F620B2B" w14:textId="77777777"/>
    <w:p w:rsidR="00A95DCE" w:rsidP="006F0321" w:rsidRDefault="00A95DCE" w14:paraId="2F533748" w14:textId="77777777"/>
    <w:p w:rsidRPr="00E25790" w:rsidR="00115F48" w:rsidP="006F0321" w:rsidRDefault="00115F48" w14:paraId="267C83A6" w14:textId="77777777"/>
    <w:p w:rsidR="00A26E96" w:rsidRDefault="00A26E96" w14:paraId="11D33D84" w14:textId="77777777">
      <w:bookmarkStart w:name="_Toc38106869" w:id="343"/>
      <w:r>
        <w:rPr>
          <w:b/>
        </w:rPr>
        <w:br w:type="page"/>
      </w:r>
    </w:p>
    <w:tbl>
      <w:tblPr>
        <w:tblW w:w="9049" w:type="dxa"/>
        <w:tblLayout w:type="fixed"/>
        <w:tblLook w:val="0000" w:firstRow="0" w:lastRow="0" w:firstColumn="0" w:lastColumn="0" w:noHBand="0" w:noVBand="0"/>
      </w:tblPr>
      <w:tblGrid>
        <w:gridCol w:w="4153"/>
        <w:gridCol w:w="4896"/>
      </w:tblGrid>
      <w:tr w:rsidRPr="00F21365" w:rsidR="00F21365" w:rsidTr="00A26E96" w14:paraId="3F323492"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F21365" w:rsidR="00F21365" w:rsidP="009469DB" w:rsidRDefault="00F21365" w14:paraId="6FEBABFE" w14:textId="77777777">
            <w:pPr>
              <w:pStyle w:val="Heading1"/>
            </w:pPr>
            <w:bookmarkStart w:name="_Toc75339995" w:id="344"/>
            <w:r w:rsidRPr="00F21365">
              <w:lastRenderedPageBreak/>
              <w:t>Insulin (Actrapid – for hyper</w:t>
            </w:r>
            <w:r>
              <w:t>kalemia</w:t>
            </w:r>
            <w:r w:rsidRPr="00F21365">
              <w:t>)</w:t>
            </w:r>
            <w:bookmarkEnd w:id="343"/>
            <w:bookmarkEnd w:id="344"/>
            <w:r w:rsidRPr="00F21365">
              <w:t xml:space="preserve"> </w:t>
            </w:r>
            <w:r w:rsidRPr="00F21365">
              <w:fldChar w:fldCharType="begin"/>
            </w:r>
            <w:r w:rsidRPr="00F21365">
              <w:instrText>tc "Insulin Hyperglycaemia" \l 0</w:instrText>
            </w:r>
            <w:r w:rsidRPr="00F21365">
              <w:fldChar w:fldCharType="end"/>
            </w:r>
          </w:p>
        </w:tc>
      </w:tr>
      <w:tr w:rsidRPr="00F21365" w:rsidR="00F21365" w:rsidTr="00A26E96" w14:paraId="6F5930A9"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F21365" w:rsidR="00F21365" w:rsidP="006F0321" w:rsidRDefault="00F21365" w14:paraId="0417A447" w14:textId="77777777">
            <w:r w:rsidRPr="00F21365">
              <w:t>Revision Date</w:t>
            </w:r>
            <w:r w:rsidRPr="00F21365">
              <w:rPr>
                <w:b/>
              </w:rPr>
              <w:t xml:space="preserve"> : </w:t>
            </w:r>
            <w:r>
              <w:rPr>
                <w:b/>
              </w:rPr>
              <w:t>12-8-2019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F21365" w:rsidR="00F21365" w:rsidP="006F0321" w:rsidRDefault="00F21365" w14:paraId="1A05E61A" w14:textId="77777777">
            <w:r w:rsidRPr="00F21365">
              <w:t>Approved: TC, KOH</w:t>
            </w:r>
          </w:p>
        </w:tc>
      </w:tr>
    </w:tbl>
    <w:p w:rsidRPr="00E25790" w:rsidR="00F21365" w:rsidP="006F0321" w:rsidRDefault="00F21365" w14:paraId="4BACAC98" w14:textId="77777777"/>
    <w:tbl>
      <w:tblPr>
        <w:tblW w:w="9776" w:type="dxa"/>
        <w:tblLayout w:type="fixed"/>
        <w:tblLook w:val="0000" w:firstRow="0" w:lastRow="0" w:firstColumn="0" w:lastColumn="0" w:noHBand="0" w:noVBand="0"/>
      </w:tblPr>
      <w:tblGrid>
        <w:gridCol w:w="2438"/>
        <w:gridCol w:w="7338"/>
      </w:tblGrid>
      <w:tr w:rsidRPr="00C34156" w:rsidR="00F21365" w:rsidTr="009553CD" w14:paraId="4450093E" w14:textId="77777777">
        <w:trPr>
          <w:trHeight w:val="90"/>
        </w:trPr>
        <w:tc>
          <w:tcPr>
            <w:tcW w:w="2438" w:type="dxa"/>
            <w:tcBorders>
              <w:top w:val="single" w:color="000000" w:sz="4" w:space="0"/>
              <w:left w:val="single" w:color="000000" w:sz="4" w:space="0"/>
              <w:bottom w:val="single" w:color="000000" w:sz="4" w:space="0"/>
            </w:tcBorders>
          </w:tcPr>
          <w:p w:rsidRPr="00C34156" w:rsidR="00F21365" w:rsidP="006F0321" w:rsidRDefault="00F21365" w14:paraId="3A661DF5" w14:textId="77777777">
            <w:pPr>
              <w:pStyle w:val="BodyText"/>
              <w:rPr>
                <w:bCs/>
                <w:color w:val="000000"/>
                <w:lang w:val="en-AU"/>
              </w:rPr>
            </w:pPr>
            <w:r w:rsidRPr="00C34156">
              <w:rPr>
                <w:lang w:val="en-AU"/>
              </w:rPr>
              <w:t>Alert</w:t>
            </w:r>
            <w:r w:rsidRPr="00C34156">
              <w:rPr>
                <w:lang w:val="en-AU"/>
              </w:rPr>
              <w:tab/>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7A981891" w14:textId="77777777">
            <w:pPr>
              <w:pStyle w:val="Default"/>
              <w:rPr>
                <w:rFonts w:ascii="Calibri" w:hAnsi="Calibri"/>
                <w:bCs/>
              </w:rPr>
            </w:pPr>
            <w:r w:rsidRPr="00C34156">
              <w:rPr>
                <w:rFonts w:ascii="Calibri" w:hAnsi="Calibri"/>
                <w:bCs/>
              </w:rPr>
              <w:t>High risk of hyperglycaemia and hypoglycaemia.</w:t>
            </w:r>
          </w:p>
          <w:p w:rsidRPr="00C34156" w:rsidR="00F21365" w:rsidP="00A26E96" w:rsidRDefault="00F21365" w14:paraId="37F36757" w14:textId="77777777">
            <w:pPr>
              <w:pStyle w:val="Default"/>
              <w:rPr>
                <w:rFonts w:ascii="Calibri" w:hAnsi="Calibri"/>
                <w:color w:val="auto"/>
              </w:rPr>
            </w:pPr>
            <w:r w:rsidRPr="00C34156">
              <w:rPr>
                <w:rFonts w:ascii="Calibri" w:hAnsi="Calibri"/>
                <w:color w:val="auto"/>
              </w:rPr>
              <w:t xml:space="preserve">Insulin binds to the plastic of giving sets. Flush the plastic tubing with 20 mL of prepared insulin solution into a receptacle prior to connecting to the infant. This is to saturate the binding. </w:t>
            </w:r>
          </w:p>
          <w:p w:rsidRPr="00C34156" w:rsidR="00F21365" w:rsidP="00A26E96" w:rsidRDefault="00F21365" w14:paraId="0FD04768" w14:textId="77777777">
            <w:pPr>
              <w:pStyle w:val="Default"/>
              <w:rPr>
                <w:rFonts w:ascii="Calibri" w:hAnsi="Calibri"/>
              </w:rPr>
            </w:pPr>
            <w:r w:rsidRPr="00C34156">
              <w:rPr>
                <w:rFonts w:ascii="Calibri" w:hAnsi="Calibri"/>
                <w:color w:val="auto"/>
              </w:rPr>
              <w:t xml:space="preserve">Insulin concentrations ≤ 0.05 </w:t>
            </w:r>
            <w:r>
              <w:rPr>
                <w:rFonts w:ascii="Calibri" w:hAnsi="Calibri"/>
                <w:color w:val="auto"/>
              </w:rPr>
              <w:t>u</w:t>
            </w:r>
            <w:r w:rsidRPr="00C34156">
              <w:rPr>
                <w:rFonts w:ascii="Calibri" w:hAnsi="Calibri"/>
                <w:color w:val="auto"/>
              </w:rPr>
              <w:t>nit</w:t>
            </w:r>
            <w:r>
              <w:rPr>
                <w:rFonts w:ascii="Calibri" w:hAnsi="Calibri"/>
                <w:color w:val="auto"/>
              </w:rPr>
              <w:t>s</w:t>
            </w:r>
            <w:r w:rsidRPr="00C34156">
              <w:rPr>
                <w:rFonts w:ascii="Calibri" w:hAnsi="Calibri"/>
                <w:color w:val="auto"/>
              </w:rPr>
              <w:t>/mL are not reliably delivered even after preconditioning and flushing.</w:t>
            </w:r>
          </w:p>
        </w:tc>
      </w:tr>
      <w:tr w:rsidRPr="00C34156" w:rsidR="00F21365" w:rsidTr="009553CD" w14:paraId="43C1E920" w14:textId="77777777">
        <w:trPr>
          <w:trHeight w:val="553"/>
        </w:trPr>
        <w:tc>
          <w:tcPr>
            <w:tcW w:w="2438" w:type="dxa"/>
            <w:tcBorders>
              <w:top w:val="single" w:color="000000" w:sz="4" w:space="0"/>
              <w:left w:val="single" w:color="000000" w:sz="4" w:space="0"/>
              <w:bottom w:val="single" w:color="000000" w:sz="4" w:space="0"/>
            </w:tcBorders>
          </w:tcPr>
          <w:p w:rsidRPr="00C34156" w:rsidR="00F21365" w:rsidP="006F0321" w:rsidRDefault="00F21365" w14:paraId="4D7F6CA9" w14:textId="77777777">
            <w:pPr>
              <w:pStyle w:val="BodyText"/>
              <w:rPr>
                <w:lang w:val="en-AU"/>
              </w:rPr>
            </w:pPr>
            <w:r w:rsidRPr="00C34156">
              <w:rPr>
                <w:lang w:val="en-AU"/>
              </w:rPr>
              <w:t xml:space="preserve">Indication                         </w:t>
            </w:r>
          </w:p>
          <w:p w:rsidRPr="00C34156" w:rsidR="00F21365" w:rsidP="006F0321" w:rsidRDefault="00F21365" w14:paraId="2C7860C5"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21252316" w14:textId="77777777">
            <w:pPr>
              <w:rPr>
                <w:lang w:val="en-AU" w:eastAsia="zh-CN"/>
              </w:rPr>
            </w:pPr>
            <w:r w:rsidRPr="00C34156">
              <w:rPr>
                <w:lang w:val="en-AU" w:eastAsia="zh-CN"/>
              </w:rPr>
              <w:t>Treatment of hyperkalaemia:</w:t>
            </w:r>
          </w:p>
          <w:p w:rsidRPr="006F0321" w:rsidR="00F21365" w:rsidP="001B0E05" w:rsidRDefault="00F21365" w14:paraId="28BFBB57" w14:textId="77777777">
            <w:pPr>
              <w:pStyle w:val="ListParagraph"/>
              <w:numPr>
                <w:ilvl w:val="0"/>
                <w:numId w:val="34"/>
              </w:numPr>
              <w:rPr>
                <w:lang w:val="en-AU"/>
              </w:rPr>
            </w:pPr>
            <w:r w:rsidRPr="006F0321">
              <w:rPr>
                <w:lang w:val="en-AU" w:eastAsia="zh-CN"/>
              </w:rPr>
              <w:t>Infants with serum potassium (K</w:t>
            </w:r>
            <w:r w:rsidRPr="006F0321">
              <w:rPr>
                <w:vertAlign w:val="superscript"/>
                <w:lang w:val="en-AU" w:eastAsia="zh-CN"/>
              </w:rPr>
              <w:t>+</w:t>
            </w:r>
            <w:r w:rsidRPr="006F0321">
              <w:rPr>
                <w:lang w:val="en-AU" w:eastAsia="zh-CN"/>
              </w:rPr>
              <w:t xml:space="preserve">) </w:t>
            </w:r>
            <w:r w:rsidRPr="006F0321">
              <w:rPr>
                <w:rFonts w:ascii="Cambria Math" w:hAnsi="Cambria Math" w:cs="Cambria Math"/>
                <w:lang w:val="en-AU" w:eastAsia="zh-CN"/>
              </w:rPr>
              <w:t>≧</w:t>
            </w:r>
            <w:r w:rsidRPr="006F0321">
              <w:rPr>
                <w:lang w:val="en-AU" w:eastAsia="zh-CN"/>
              </w:rPr>
              <w:t xml:space="preserve"> 7.0 mmol/L</w:t>
            </w:r>
          </w:p>
          <w:p w:rsidRPr="006F0321" w:rsidR="00F21365" w:rsidP="001B0E05" w:rsidRDefault="00F21365" w14:paraId="5E82C2DC" w14:textId="77777777">
            <w:pPr>
              <w:pStyle w:val="ListParagraph"/>
              <w:numPr>
                <w:ilvl w:val="0"/>
                <w:numId w:val="34"/>
              </w:numPr>
              <w:rPr>
                <w:lang w:val="en-AU"/>
              </w:rPr>
            </w:pPr>
            <w:r w:rsidRPr="006F0321">
              <w:rPr>
                <w:lang w:val="en-AU" w:eastAsia="zh-CN"/>
              </w:rPr>
              <w:t>Infants with hyperkalaemia and abnormal ECG</w:t>
            </w:r>
          </w:p>
          <w:p w:rsidRPr="006F0321" w:rsidR="00F21365" w:rsidP="001B0E05" w:rsidRDefault="00F21365" w14:paraId="597A4BFC" w14:textId="77777777">
            <w:pPr>
              <w:pStyle w:val="ListParagraph"/>
              <w:numPr>
                <w:ilvl w:val="0"/>
                <w:numId w:val="34"/>
              </w:numPr>
              <w:rPr>
                <w:lang w:val="en-AU"/>
              </w:rPr>
            </w:pPr>
            <w:r w:rsidRPr="006F0321">
              <w:rPr>
                <w:lang w:val="en-AU"/>
              </w:rPr>
              <w:t>Management of severe cardiotoxicity or cardiac arrest due to hyperkalaemia</w:t>
            </w:r>
          </w:p>
        </w:tc>
      </w:tr>
      <w:tr w:rsidRPr="00C34156" w:rsidR="00F21365" w:rsidTr="009553CD" w14:paraId="176A2402" w14:textId="77777777">
        <w:trPr>
          <w:trHeight w:val="372"/>
        </w:trPr>
        <w:tc>
          <w:tcPr>
            <w:tcW w:w="2438" w:type="dxa"/>
            <w:tcBorders>
              <w:top w:val="single" w:color="000000" w:sz="4" w:space="0"/>
              <w:left w:val="single" w:color="000000" w:sz="4" w:space="0"/>
              <w:bottom w:val="single" w:color="000000" w:sz="4" w:space="0"/>
            </w:tcBorders>
          </w:tcPr>
          <w:p w:rsidRPr="00C34156" w:rsidR="00F21365" w:rsidP="006F0321" w:rsidRDefault="00F21365" w14:paraId="01193DA8" w14:textId="77777777">
            <w:pPr>
              <w:pStyle w:val="BodyText"/>
              <w:rPr>
                <w:lang w:val="en-AU"/>
              </w:rPr>
            </w:pPr>
            <w:r w:rsidRPr="00C34156">
              <w:rPr>
                <w:lang w:val="en-AU"/>
              </w:rPr>
              <w:t>Action</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405EFF04" w14:textId="77777777">
            <w:pPr>
              <w:pStyle w:val="Default"/>
              <w:rPr>
                <w:rFonts w:ascii="Calibri" w:hAnsi="Calibri"/>
                <w:color w:val="auto"/>
              </w:rPr>
            </w:pPr>
            <w:r w:rsidRPr="00C34156">
              <w:rPr>
                <w:rFonts w:ascii="Calibri" w:hAnsi="Calibri"/>
                <w:color w:val="auto"/>
              </w:rPr>
              <w:t>Insulin and glucose activate cellular sodium-potassium ATPase resulting in a potassium shift into the intracellular space.</w:t>
            </w:r>
          </w:p>
        </w:tc>
      </w:tr>
      <w:tr w:rsidRPr="00C34156" w:rsidR="00F21365" w:rsidTr="009553CD" w14:paraId="541DE171" w14:textId="77777777">
        <w:trPr>
          <w:trHeight w:val="90"/>
        </w:trPr>
        <w:tc>
          <w:tcPr>
            <w:tcW w:w="2438" w:type="dxa"/>
            <w:tcBorders>
              <w:top w:val="single" w:color="000000" w:sz="4" w:space="0"/>
              <w:left w:val="single" w:color="000000" w:sz="4" w:space="0"/>
              <w:bottom w:val="single" w:color="000000" w:sz="4" w:space="0"/>
            </w:tcBorders>
          </w:tcPr>
          <w:p w:rsidRPr="00C34156" w:rsidR="00F21365" w:rsidP="006F0321" w:rsidRDefault="00F21365" w14:paraId="5DF420B7" w14:textId="77777777">
            <w:pPr>
              <w:pStyle w:val="BodyText"/>
              <w:rPr>
                <w:color w:val="0000FF"/>
                <w:lang w:val="en-AU"/>
              </w:rPr>
            </w:pPr>
            <w:r w:rsidRPr="00C34156">
              <w:rPr>
                <w:lang w:val="en-AU"/>
              </w:rPr>
              <w:t xml:space="preserve">Drug Type                                   </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7997EAF6" w14:textId="77777777">
            <w:pPr>
              <w:pStyle w:val="BodyText"/>
              <w:jc w:val="left"/>
              <w:rPr>
                <w:lang w:val="en-AU"/>
              </w:rPr>
            </w:pPr>
            <w:r w:rsidRPr="00C34156">
              <w:rPr>
                <w:lang w:val="en-AU"/>
              </w:rPr>
              <w:t>Polypeptide hormone – lowers blood glucose and K</w:t>
            </w:r>
            <w:r w:rsidRPr="00C34156">
              <w:rPr>
                <w:vertAlign w:val="superscript"/>
                <w:lang w:val="en-AU"/>
              </w:rPr>
              <w:t>+</w:t>
            </w:r>
            <w:r w:rsidRPr="00C34156">
              <w:rPr>
                <w:lang w:val="en-AU"/>
              </w:rPr>
              <w:t>.</w:t>
            </w:r>
          </w:p>
        </w:tc>
      </w:tr>
      <w:tr w:rsidRPr="00C34156" w:rsidR="00F21365" w:rsidTr="009553CD" w14:paraId="466BAFD4" w14:textId="77777777">
        <w:trPr>
          <w:trHeight w:val="329"/>
        </w:trPr>
        <w:tc>
          <w:tcPr>
            <w:tcW w:w="2438" w:type="dxa"/>
            <w:tcBorders>
              <w:top w:val="single" w:color="000000" w:sz="4" w:space="0"/>
              <w:left w:val="single" w:color="000000" w:sz="4" w:space="0"/>
              <w:bottom w:val="single" w:color="000000" w:sz="4" w:space="0"/>
            </w:tcBorders>
          </w:tcPr>
          <w:p w:rsidRPr="00C34156" w:rsidR="00F21365" w:rsidP="006F0321" w:rsidRDefault="00F21365" w14:paraId="195E927B" w14:textId="77777777">
            <w:pPr>
              <w:pStyle w:val="BodyText"/>
              <w:rPr>
                <w:lang w:val="en-AU"/>
              </w:rPr>
            </w:pPr>
            <w:r w:rsidRPr="00C34156">
              <w:rPr>
                <w:lang w:val="en-AU"/>
              </w:rPr>
              <w:t xml:space="preserve">Trade Name                  </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5C2637C6" w14:textId="77777777">
            <w:pPr>
              <w:pStyle w:val="BodyText"/>
              <w:jc w:val="left"/>
              <w:rPr>
                <w:lang w:val="en-AU"/>
              </w:rPr>
            </w:pPr>
            <w:r w:rsidRPr="00C34156">
              <w:rPr>
                <w:lang w:val="en-AU"/>
              </w:rPr>
              <w:t xml:space="preserve">Actrapid </w:t>
            </w:r>
            <w:r>
              <w:t>[Novo Nordisk]</w:t>
            </w:r>
          </w:p>
          <w:p w:rsidR="00F21365" w:rsidP="00A26E96" w:rsidRDefault="00F21365" w14:paraId="41367E85" w14:textId="77777777">
            <w:pPr>
              <w:pStyle w:val="BodyText"/>
              <w:jc w:val="left"/>
            </w:pPr>
            <w:r w:rsidRPr="00C34156">
              <w:rPr>
                <w:lang w:val="en-AU"/>
              </w:rPr>
              <w:t>Humulin R</w:t>
            </w:r>
            <w:r>
              <w:rPr>
                <w:lang w:val="en-AU"/>
              </w:rPr>
              <w:t xml:space="preserve"> </w:t>
            </w:r>
            <w:r>
              <w:t>[Eli Lilly]</w:t>
            </w:r>
          </w:p>
          <w:p w:rsidRPr="00C34156" w:rsidR="00F21365" w:rsidP="00A26E96" w:rsidRDefault="00F21365" w14:paraId="62A09B1E" w14:textId="77777777">
            <w:pPr>
              <w:pStyle w:val="BodyText"/>
              <w:jc w:val="left"/>
              <w:rPr>
                <w:lang w:val="en-AU"/>
              </w:rPr>
            </w:pPr>
            <w:r w:rsidRPr="008F0C25">
              <w:t>Hypurin Neutral Injection</w:t>
            </w:r>
            <w:r>
              <w:t xml:space="preserve"> </w:t>
            </w:r>
            <w:r w:rsidRPr="008F0C25">
              <w:t>[Aspen]</w:t>
            </w:r>
          </w:p>
        </w:tc>
      </w:tr>
      <w:tr w:rsidRPr="00C34156" w:rsidR="00F21365" w:rsidTr="009553CD" w14:paraId="524C0031" w14:textId="77777777">
        <w:trPr>
          <w:trHeight w:val="153"/>
        </w:trPr>
        <w:tc>
          <w:tcPr>
            <w:tcW w:w="2438" w:type="dxa"/>
            <w:tcBorders>
              <w:top w:val="single" w:color="000000" w:sz="4" w:space="0"/>
              <w:left w:val="single" w:color="000000" w:sz="4" w:space="0"/>
              <w:bottom w:val="single" w:color="000000" w:sz="4" w:space="0"/>
            </w:tcBorders>
          </w:tcPr>
          <w:p w:rsidRPr="00C34156" w:rsidR="00F21365" w:rsidP="006F0321" w:rsidRDefault="00F21365" w14:paraId="2C45415E" w14:textId="77777777">
            <w:pPr>
              <w:pStyle w:val="BodyText"/>
              <w:rPr>
                <w:lang w:val="en-AU"/>
              </w:rPr>
            </w:pPr>
            <w:r w:rsidRPr="00C34156">
              <w:rPr>
                <w:lang w:val="en-AU"/>
              </w:rPr>
              <w:t xml:space="preserve">Presentation </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77E97575" w14:textId="77777777">
            <w:pPr>
              <w:pStyle w:val="BodyText"/>
              <w:jc w:val="left"/>
              <w:rPr>
                <w:lang w:val="en-AU"/>
              </w:rPr>
            </w:pPr>
            <w:r w:rsidRPr="00C34156">
              <w:rPr>
                <w:lang w:val="en-AU"/>
              </w:rPr>
              <w:t xml:space="preserve">Vial: 100 </w:t>
            </w:r>
            <w:r w:rsidRPr="00EA4643">
              <w:t>units</w:t>
            </w:r>
            <w:r w:rsidRPr="00C34156">
              <w:rPr>
                <w:lang w:val="en-AU"/>
              </w:rPr>
              <w:t>/mL in a 10</w:t>
            </w:r>
            <w:r>
              <w:rPr>
                <w:lang w:val="en-AU"/>
              </w:rPr>
              <w:t xml:space="preserve"> </w:t>
            </w:r>
            <w:r w:rsidRPr="00C34156">
              <w:rPr>
                <w:lang w:val="en-AU"/>
              </w:rPr>
              <w:t>mL vial.</w:t>
            </w:r>
          </w:p>
        </w:tc>
      </w:tr>
      <w:tr w:rsidRPr="00C34156" w:rsidR="00F21365" w:rsidTr="009553CD" w14:paraId="74B05228" w14:textId="77777777">
        <w:trPr>
          <w:trHeight w:val="2340"/>
        </w:trPr>
        <w:tc>
          <w:tcPr>
            <w:tcW w:w="2438" w:type="dxa"/>
            <w:tcBorders>
              <w:top w:val="single" w:color="000000" w:sz="4" w:space="0"/>
              <w:left w:val="single" w:color="000000" w:sz="4" w:space="0"/>
              <w:bottom w:val="single" w:color="000000" w:sz="4" w:space="0"/>
            </w:tcBorders>
          </w:tcPr>
          <w:p w:rsidRPr="00C34156" w:rsidR="00F21365" w:rsidP="006F0321" w:rsidRDefault="00F21365" w14:paraId="48B026DA" w14:textId="77777777">
            <w:pPr>
              <w:pStyle w:val="BodyText"/>
              <w:rPr>
                <w:lang w:val="en-AU"/>
              </w:rPr>
            </w:pPr>
            <w:r w:rsidRPr="00C34156">
              <w:rPr>
                <w:lang w:val="en-AU"/>
              </w:rPr>
              <w:t xml:space="preserve">Dosage/Interval                           </w:t>
            </w:r>
          </w:p>
          <w:p w:rsidRPr="00C34156" w:rsidR="00F21365" w:rsidP="006F0321" w:rsidRDefault="00F21365" w14:paraId="28CF44E0"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32920A63" w14:textId="77777777">
            <w:pPr>
              <w:pStyle w:val="Default"/>
              <w:rPr>
                <w:rFonts w:ascii="Calibri" w:hAnsi="Calibri" w:cs="Arial"/>
                <w:b/>
              </w:rPr>
            </w:pPr>
            <w:r w:rsidRPr="00C34156">
              <w:rPr>
                <w:rFonts w:ascii="Calibri" w:hAnsi="Calibri" w:cs="Arial"/>
                <w:b/>
                <w:u w:val="single"/>
              </w:rPr>
              <w:t xml:space="preserve">Treatment of hyperkalaemia with </w:t>
            </w:r>
            <w:r>
              <w:rPr>
                <w:rFonts w:ascii="Calibri" w:hAnsi="Calibri" w:cs="Arial"/>
                <w:b/>
                <w:u w:val="single"/>
              </w:rPr>
              <w:t>i</w:t>
            </w:r>
            <w:r w:rsidRPr="00C34156">
              <w:rPr>
                <w:rFonts w:ascii="Calibri" w:hAnsi="Calibri" w:cs="Arial"/>
                <w:b/>
                <w:u w:val="single"/>
              </w:rPr>
              <w:t>nsulin</w:t>
            </w:r>
            <w:r>
              <w:rPr>
                <w:rFonts w:ascii="Calibri" w:hAnsi="Calibri" w:cs="Arial"/>
                <w:b/>
                <w:u w:val="single"/>
              </w:rPr>
              <w:t>—g</w:t>
            </w:r>
            <w:r w:rsidRPr="00C34156">
              <w:rPr>
                <w:rFonts w:ascii="Calibri" w:hAnsi="Calibri" w:cs="Arial"/>
                <w:b/>
                <w:u w:val="single"/>
              </w:rPr>
              <w:t xml:space="preserve">lucose </w:t>
            </w:r>
            <w:r w:rsidRPr="00C57A9E">
              <w:rPr>
                <w:rFonts w:ascii="Calibri" w:hAnsi="Calibri" w:cs="Arial"/>
                <w:b/>
                <w:u w:val="single"/>
              </w:rPr>
              <w:t xml:space="preserve">25% </w:t>
            </w:r>
            <w:r w:rsidRPr="00C34156">
              <w:rPr>
                <w:rFonts w:ascii="Calibri" w:hAnsi="Calibri" w:cs="Arial"/>
                <w:b/>
                <w:u w:val="single"/>
              </w:rPr>
              <w:t>infusion</w:t>
            </w:r>
          </w:p>
          <w:p w:rsidRPr="00C34156" w:rsidR="00F21365" w:rsidP="00A26E96" w:rsidRDefault="00F21365" w14:paraId="27A5369B" w14:textId="77777777">
            <w:pPr>
              <w:pStyle w:val="Default"/>
              <w:rPr>
                <w:rFonts w:ascii="Calibri" w:hAnsi="Calibri"/>
                <w:bCs/>
                <w:color w:val="auto"/>
              </w:rPr>
            </w:pPr>
            <w:r w:rsidRPr="00C34156">
              <w:rPr>
                <w:rFonts w:ascii="Calibri" w:hAnsi="Calibri"/>
                <w:bCs/>
                <w:color w:val="auto"/>
              </w:rPr>
              <w:t>Starting dose: 0.1 unit/kg/hour.</w:t>
            </w:r>
          </w:p>
          <w:p w:rsidRPr="00C34156" w:rsidR="00F21365" w:rsidP="00A26E96" w:rsidRDefault="00F21365" w14:paraId="082CAC75" w14:textId="77777777">
            <w:pPr>
              <w:pStyle w:val="Default"/>
              <w:rPr>
                <w:rFonts w:ascii="Calibri" w:hAnsi="Calibri"/>
                <w:bCs/>
                <w:color w:val="auto"/>
              </w:rPr>
            </w:pPr>
            <w:r w:rsidRPr="00C34156">
              <w:rPr>
                <w:rFonts w:ascii="Calibri" w:hAnsi="Calibri"/>
                <w:bCs/>
                <w:color w:val="auto"/>
              </w:rPr>
              <w:t xml:space="preserve">Dose range: 0.05 to 0.2 unit/kg/hour. </w:t>
            </w:r>
          </w:p>
          <w:p w:rsidRPr="00C34156" w:rsidR="00F21365" w:rsidP="00A26E96" w:rsidRDefault="00F21365" w14:paraId="34E0B74E" w14:textId="77777777">
            <w:pPr>
              <w:pStyle w:val="Default"/>
              <w:rPr>
                <w:rFonts w:ascii="Calibri" w:hAnsi="Calibri"/>
                <w:bCs/>
                <w:color w:val="auto"/>
              </w:rPr>
            </w:pPr>
            <w:r w:rsidRPr="00C34156">
              <w:rPr>
                <w:rFonts w:ascii="Calibri" w:hAnsi="Calibri"/>
                <w:bCs/>
                <w:color w:val="auto"/>
              </w:rPr>
              <w:t xml:space="preserve">Titrate infusion rate to serial serum potassium and blood glucose </w:t>
            </w:r>
            <w:r>
              <w:rPr>
                <w:rFonts w:ascii="Calibri" w:hAnsi="Calibri"/>
                <w:bCs/>
                <w:color w:val="auto"/>
              </w:rPr>
              <w:t>concentrations</w:t>
            </w:r>
            <w:r w:rsidRPr="00C34156">
              <w:rPr>
                <w:rFonts w:ascii="Calibri" w:hAnsi="Calibri"/>
                <w:bCs/>
                <w:color w:val="auto"/>
              </w:rPr>
              <w:t>.</w:t>
            </w:r>
          </w:p>
          <w:p w:rsidRPr="00C34156" w:rsidR="00F21365" w:rsidP="00A26E96" w:rsidRDefault="00F21365" w14:paraId="2BE50B05" w14:textId="77777777">
            <w:pPr>
              <w:pStyle w:val="Default"/>
              <w:rPr>
                <w:rFonts w:ascii="Calibri" w:hAnsi="Calibri" w:cs="Arial"/>
                <w:b/>
              </w:rPr>
            </w:pPr>
            <w:r w:rsidRPr="00C34156">
              <w:rPr>
                <w:rFonts w:ascii="Calibri" w:hAnsi="Calibri" w:cs="Arial"/>
                <w:b/>
                <w:u w:val="single"/>
              </w:rPr>
              <w:t xml:space="preserve">Treatment of hyperkalaemia with </w:t>
            </w:r>
            <w:r>
              <w:rPr>
                <w:rFonts w:ascii="Calibri" w:hAnsi="Calibri" w:cs="Arial"/>
                <w:b/>
                <w:u w:val="single"/>
              </w:rPr>
              <w:t>i</w:t>
            </w:r>
            <w:r w:rsidRPr="00C34156">
              <w:rPr>
                <w:rFonts w:ascii="Calibri" w:hAnsi="Calibri" w:cs="Arial"/>
                <w:b/>
                <w:u w:val="single"/>
              </w:rPr>
              <w:t>nsulin</w:t>
            </w:r>
            <w:r>
              <w:rPr>
                <w:rFonts w:ascii="Calibri" w:hAnsi="Calibri" w:cs="Arial"/>
                <w:b/>
                <w:u w:val="single"/>
              </w:rPr>
              <w:t>-</w:t>
            </w:r>
            <w:r w:rsidRPr="00C34156">
              <w:rPr>
                <w:rFonts w:ascii="Calibri" w:hAnsi="Calibri" w:cs="Arial"/>
                <w:b/>
                <w:u w:val="single"/>
              </w:rPr>
              <w:t>only infusion</w:t>
            </w:r>
          </w:p>
          <w:p w:rsidRPr="00C34156" w:rsidR="00F21365" w:rsidP="00A26E96" w:rsidRDefault="00F21365" w14:paraId="0CE496EF" w14:textId="77777777">
            <w:pPr>
              <w:pStyle w:val="Default"/>
              <w:rPr>
                <w:rFonts w:ascii="Calibri" w:hAnsi="Calibri"/>
                <w:bCs/>
                <w:color w:val="auto"/>
              </w:rPr>
            </w:pPr>
            <w:r w:rsidRPr="00C34156">
              <w:rPr>
                <w:rFonts w:ascii="Calibri" w:hAnsi="Calibri"/>
                <w:bCs/>
                <w:color w:val="auto"/>
              </w:rPr>
              <w:t>Starting dose: 0.1 unit/kg/hour.</w:t>
            </w:r>
          </w:p>
          <w:p w:rsidRPr="00C34156" w:rsidR="00F21365" w:rsidP="00A26E96" w:rsidRDefault="00F21365" w14:paraId="387F19AE" w14:textId="77777777">
            <w:pPr>
              <w:pStyle w:val="Default"/>
              <w:rPr>
                <w:rFonts w:ascii="Calibri" w:hAnsi="Calibri"/>
                <w:bCs/>
                <w:color w:val="auto"/>
              </w:rPr>
            </w:pPr>
            <w:r w:rsidRPr="00C34156">
              <w:rPr>
                <w:rFonts w:ascii="Calibri" w:hAnsi="Calibri"/>
                <w:bCs/>
                <w:color w:val="auto"/>
              </w:rPr>
              <w:t xml:space="preserve">Dose range: 0.05 to 0.2 unit/kg/hour. </w:t>
            </w:r>
          </w:p>
          <w:p w:rsidRPr="00C34156" w:rsidR="00F21365" w:rsidP="00A26E96" w:rsidRDefault="00F21365" w14:paraId="7F08ED4B" w14:textId="77777777">
            <w:pPr>
              <w:pStyle w:val="Default"/>
              <w:rPr>
                <w:rFonts w:ascii="Calibri" w:hAnsi="Calibri"/>
                <w:bCs/>
                <w:color w:val="auto"/>
              </w:rPr>
            </w:pPr>
            <w:r w:rsidRPr="00C34156">
              <w:rPr>
                <w:rFonts w:ascii="Calibri" w:hAnsi="Calibri"/>
                <w:bCs/>
                <w:color w:val="auto"/>
              </w:rPr>
              <w:t xml:space="preserve">Titrate infusion rate to serial serum potassium and blood glucose </w:t>
            </w:r>
            <w:r>
              <w:rPr>
                <w:rFonts w:ascii="Calibri" w:hAnsi="Calibri"/>
                <w:bCs/>
                <w:color w:val="auto"/>
              </w:rPr>
              <w:t>concentrations</w:t>
            </w:r>
            <w:r w:rsidRPr="00C34156">
              <w:rPr>
                <w:rFonts w:ascii="Calibri" w:hAnsi="Calibri"/>
                <w:bCs/>
                <w:color w:val="auto"/>
              </w:rPr>
              <w:t>.</w:t>
            </w:r>
          </w:p>
          <w:p w:rsidRPr="00C34156" w:rsidR="00F21365" w:rsidP="00A26E96" w:rsidRDefault="00F21365" w14:paraId="14844239" w14:textId="77777777">
            <w:pPr>
              <w:pStyle w:val="Default"/>
              <w:rPr>
                <w:rFonts w:ascii="Calibri" w:hAnsi="Calibri"/>
                <w:b/>
                <w:u w:val="single"/>
              </w:rPr>
            </w:pPr>
            <w:r w:rsidRPr="00C34156">
              <w:rPr>
                <w:rFonts w:ascii="Calibri" w:hAnsi="Calibri"/>
                <w:b/>
                <w:bCs/>
                <w:color w:val="auto"/>
              </w:rPr>
              <w:t>Must have adequate maintenance fluids to prevent hypoglycaemia.</w:t>
            </w:r>
          </w:p>
          <w:p w:rsidRPr="00C34156" w:rsidR="00F21365" w:rsidP="00A26E96" w:rsidRDefault="00F21365" w14:paraId="30ED2E71" w14:textId="77777777">
            <w:pPr>
              <w:pStyle w:val="Default"/>
              <w:rPr>
                <w:rFonts w:ascii="Calibri" w:hAnsi="Calibri"/>
              </w:rPr>
            </w:pPr>
            <w:r w:rsidRPr="00C34156">
              <w:rPr>
                <w:rFonts w:ascii="Calibri" w:hAnsi="Calibri"/>
                <w:b/>
                <w:u w:val="single"/>
              </w:rPr>
              <w:t>Management of severe cardiotoxicity or cardiac arrest due to hyperkalaemia</w:t>
            </w:r>
          </w:p>
          <w:p w:rsidRPr="00C34156" w:rsidR="00F21365" w:rsidP="00A26E96" w:rsidRDefault="00F21365" w14:paraId="161B8590" w14:textId="77777777">
            <w:pPr>
              <w:pStyle w:val="Default"/>
              <w:rPr>
                <w:rFonts w:ascii="Calibri" w:hAnsi="Calibri"/>
              </w:rPr>
            </w:pPr>
            <w:r w:rsidRPr="00C34156">
              <w:rPr>
                <w:rFonts w:ascii="Calibri" w:hAnsi="Calibri"/>
              </w:rPr>
              <w:t xml:space="preserve">0.2 units/kg of insulin in </w:t>
            </w:r>
            <w:r>
              <w:rPr>
                <w:rFonts w:ascii="Calibri" w:hAnsi="Calibri"/>
              </w:rPr>
              <w:t>g</w:t>
            </w:r>
            <w:r w:rsidRPr="00C34156">
              <w:rPr>
                <w:rFonts w:ascii="Calibri" w:hAnsi="Calibri"/>
              </w:rPr>
              <w:t xml:space="preserve">lucose </w:t>
            </w:r>
            <w:r w:rsidRPr="00C57A9E">
              <w:rPr>
                <w:rFonts w:ascii="Calibri" w:hAnsi="Calibri"/>
              </w:rPr>
              <w:t xml:space="preserve">50% </w:t>
            </w:r>
            <w:r w:rsidRPr="00C34156">
              <w:rPr>
                <w:rFonts w:ascii="Calibri" w:hAnsi="Calibri"/>
              </w:rPr>
              <w:t xml:space="preserve">IV over 15 to 30 minutes. </w:t>
            </w:r>
          </w:p>
          <w:p w:rsidRPr="00C34156" w:rsidR="00F21365" w:rsidP="00A26E96" w:rsidRDefault="00F21365" w14:paraId="38DF96FE" w14:textId="77777777">
            <w:pPr>
              <w:pStyle w:val="Default"/>
              <w:rPr>
                <w:rFonts w:ascii="Calibri" w:hAnsi="Calibri"/>
                <w:b/>
                <w:bCs/>
                <w:color w:val="auto"/>
              </w:rPr>
            </w:pPr>
            <w:r w:rsidRPr="00C34156">
              <w:rPr>
                <w:rFonts w:ascii="Calibri" w:hAnsi="Calibri"/>
                <w:b/>
              </w:rPr>
              <w:t>[Use this preparation if insufficient time to prepare insulin</w:t>
            </w:r>
            <w:r>
              <w:rPr>
                <w:rFonts w:ascii="Calibri" w:hAnsi="Calibri"/>
                <w:b/>
              </w:rPr>
              <w:t>—</w:t>
            </w:r>
            <w:r w:rsidRPr="00C34156">
              <w:rPr>
                <w:rFonts w:ascii="Calibri" w:hAnsi="Calibri"/>
                <w:b/>
              </w:rPr>
              <w:t xml:space="preserve">glucose </w:t>
            </w:r>
            <w:r w:rsidRPr="00C57A9E">
              <w:rPr>
                <w:rFonts w:ascii="Calibri" w:hAnsi="Calibri"/>
                <w:b/>
              </w:rPr>
              <w:t xml:space="preserve">25% </w:t>
            </w:r>
            <w:r w:rsidRPr="00C34156">
              <w:rPr>
                <w:rFonts w:ascii="Calibri" w:hAnsi="Calibri"/>
                <w:b/>
              </w:rPr>
              <w:t>infusion].</w:t>
            </w:r>
          </w:p>
        </w:tc>
      </w:tr>
      <w:tr w:rsidRPr="00C34156" w:rsidR="00F21365" w:rsidTr="009553CD" w14:paraId="548800A0" w14:textId="77777777">
        <w:trPr>
          <w:trHeight w:val="398"/>
        </w:trPr>
        <w:tc>
          <w:tcPr>
            <w:tcW w:w="2438" w:type="dxa"/>
            <w:tcBorders>
              <w:top w:val="single" w:color="000000" w:sz="4" w:space="0"/>
              <w:left w:val="single" w:color="000000" w:sz="4" w:space="0"/>
              <w:bottom w:val="single" w:color="000000" w:sz="4" w:space="0"/>
            </w:tcBorders>
          </w:tcPr>
          <w:p w:rsidRPr="00C34156" w:rsidR="00F21365" w:rsidP="006F0321" w:rsidRDefault="00F21365" w14:paraId="2B4CB81A" w14:textId="77777777">
            <w:pPr>
              <w:pStyle w:val="BodyText"/>
              <w:rPr>
                <w:lang w:val="en-AU"/>
              </w:rPr>
            </w:pPr>
            <w:r w:rsidRPr="00C34156">
              <w:rPr>
                <w:lang w:val="en-AU"/>
              </w:rPr>
              <w:t xml:space="preserve">Route                               </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393F82C1" w14:textId="77777777">
            <w:pPr>
              <w:pStyle w:val="BodyText"/>
              <w:jc w:val="left"/>
              <w:rPr>
                <w:lang w:val="en-AU"/>
              </w:rPr>
            </w:pPr>
            <w:r w:rsidRPr="00C34156">
              <w:rPr>
                <w:lang w:val="en-AU"/>
              </w:rPr>
              <w:t>Intravenous</w:t>
            </w:r>
          </w:p>
        </w:tc>
      </w:tr>
      <w:tr w:rsidRPr="00C34156" w:rsidR="00F21365" w:rsidTr="009553CD" w14:paraId="483B2062" w14:textId="77777777">
        <w:trPr>
          <w:trHeight w:val="296"/>
        </w:trPr>
        <w:tc>
          <w:tcPr>
            <w:tcW w:w="2438" w:type="dxa"/>
            <w:tcBorders>
              <w:top w:val="single" w:color="000000" w:sz="4" w:space="0"/>
              <w:left w:val="single" w:color="000000" w:sz="4" w:space="0"/>
              <w:bottom w:val="single" w:color="000000" w:sz="4" w:space="0"/>
            </w:tcBorders>
          </w:tcPr>
          <w:p w:rsidRPr="00C34156" w:rsidR="00F21365" w:rsidP="006F0321" w:rsidRDefault="00F21365" w14:paraId="008CE427" w14:textId="77777777">
            <w:pPr>
              <w:pStyle w:val="BodyText"/>
              <w:rPr>
                <w:rFonts w:eastAsia="Helvetica"/>
                <w:lang w:val="en-AU"/>
              </w:rPr>
            </w:pPr>
            <w:r w:rsidRPr="00C34156">
              <w:rPr>
                <w:lang w:val="en-AU"/>
              </w:rPr>
              <w:t>Preparation/Dilution</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38196078" w14:textId="77777777">
            <w:pPr>
              <w:rPr>
                <w:lang w:val="en-AU"/>
              </w:rPr>
            </w:pPr>
            <w:r w:rsidRPr="00C34156">
              <w:rPr>
                <w:lang w:val="en-AU"/>
              </w:rPr>
              <w:t>Treatment of hyperkalaemia</w:t>
            </w:r>
          </w:p>
          <w:p w:rsidRPr="00C34156" w:rsidR="00F21365" w:rsidP="00A26E96" w:rsidRDefault="00F21365" w14:paraId="4096AD31" w14:textId="77777777">
            <w:pPr>
              <w:rPr>
                <w:lang w:val="en-AU"/>
              </w:rPr>
            </w:pPr>
          </w:p>
          <w:p w:rsidRPr="00C34156" w:rsidR="00F21365" w:rsidP="00A26E96" w:rsidRDefault="00F21365" w14:paraId="6F7F0EAF" w14:textId="77777777">
            <w:pPr>
              <w:rPr>
                <w:lang w:val="en-AU"/>
              </w:rPr>
            </w:pPr>
            <w:r w:rsidRPr="00C34156">
              <w:rPr>
                <w:lang w:val="en-AU"/>
              </w:rPr>
              <w:t>INSULIN</w:t>
            </w:r>
            <w:r>
              <w:rPr>
                <w:lang w:val="en-AU"/>
              </w:rPr>
              <w:t>—</w:t>
            </w:r>
            <w:r w:rsidRPr="00C34156">
              <w:rPr>
                <w:lang w:val="en-AU"/>
              </w:rPr>
              <w:t xml:space="preserve">GLUCOSE </w:t>
            </w:r>
            <w:r w:rsidRPr="00C57A9E">
              <w:rPr>
                <w:lang w:val="en-AU"/>
              </w:rPr>
              <w:t xml:space="preserve">25% </w:t>
            </w:r>
            <w:r w:rsidRPr="00C34156">
              <w:rPr>
                <w:lang w:val="en-AU"/>
              </w:rPr>
              <w:t xml:space="preserve">INFUSION – Run via </w:t>
            </w:r>
            <w:r>
              <w:rPr>
                <w:lang w:val="en-AU"/>
              </w:rPr>
              <w:t>c</w:t>
            </w:r>
            <w:r w:rsidRPr="00C34156">
              <w:rPr>
                <w:lang w:val="en-AU"/>
              </w:rPr>
              <w:t>entral line</w:t>
            </w:r>
          </w:p>
          <w:tbl>
            <w:tblPr>
              <w:tblW w:w="69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544"/>
              <w:gridCol w:w="3402"/>
            </w:tblGrid>
            <w:tr w:rsidRPr="00C34156" w:rsidR="00F21365" w:rsidTr="00F24E14" w14:paraId="6B3D7BD3" w14:textId="77777777">
              <w:tc>
                <w:tcPr>
                  <w:tcW w:w="3544" w:type="dxa"/>
                  <w:shd w:val="clear" w:color="auto" w:fill="auto"/>
                </w:tcPr>
                <w:p w:rsidRPr="00C34156" w:rsidR="00F21365" w:rsidP="00A26E96" w:rsidRDefault="00F21365" w14:paraId="78634043" w14:textId="77777777">
                  <w:pPr>
                    <w:pStyle w:val="BodyText"/>
                    <w:jc w:val="left"/>
                    <w:rPr>
                      <w:lang w:val="en-AU"/>
                    </w:rPr>
                  </w:pPr>
                  <w:r w:rsidRPr="00C34156">
                    <w:rPr>
                      <w:lang w:val="en-AU"/>
                    </w:rPr>
                    <w:lastRenderedPageBreak/>
                    <w:t>Infusion strength</w:t>
                  </w:r>
                </w:p>
              </w:tc>
              <w:tc>
                <w:tcPr>
                  <w:tcW w:w="3402" w:type="dxa"/>
                  <w:shd w:val="clear" w:color="auto" w:fill="auto"/>
                </w:tcPr>
                <w:p w:rsidRPr="00C34156" w:rsidR="00F21365" w:rsidP="00A26E96" w:rsidRDefault="00F21365" w14:paraId="12A551BD" w14:textId="77777777">
                  <w:pPr>
                    <w:pStyle w:val="BodyText"/>
                    <w:jc w:val="left"/>
                    <w:rPr>
                      <w:lang w:val="en-AU"/>
                    </w:rPr>
                  </w:pPr>
                  <w:r w:rsidRPr="00C34156">
                    <w:rPr>
                      <w:lang w:val="en-AU"/>
                    </w:rPr>
                    <w:t>Prescribed amount</w:t>
                  </w:r>
                </w:p>
              </w:tc>
            </w:tr>
            <w:tr w:rsidRPr="00C34156" w:rsidR="00F21365" w:rsidTr="00F24E14" w14:paraId="78C6EA8B" w14:textId="77777777">
              <w:tc>
                <w:tcPr>
                  <w:tcW w:w="3544" w:type="dxa"/>
                  <w:shd w:val="clear" w:color="auto" w:fill="auto"/>
                </w:tcPr>
                <w:p w:rsidRPr="00C34156" w:rsidR="00F21365" w:rsidP="00A26E96" w:rsidRDefault="00F21365" w14:paraId="30C44863" w14:textId="77777777">
                  <w:pPr>
                    <w:pStyle w:val="BodyText"/>
                    <w:jc w:val="left"/>
                    <w:rPr>
                      <w:lang w:val="en-AU"/>
                    </w:rPr>
                  </w:pPr>
                  <w:r w:rsidRPr="00C34156">
                    <w:rPr>
                      <w:lang w:val="en-AU"/>
                    </w:rPr>
                    <w:t>1 mL/kg/hour = 0.1 unit/kg/hour</w:t>
                  </w:r>
                </w:p>
              </w:tc>
              <w:tc>
                <w:tcPr>
                  <w:tcW w:w="3402" w:type="dxa"/>
                  <w:shd w:val="clear" w:color="auto" w:fill="auto"/>
                </w:tcPr>
                <w:p w:rsidRPr="00C34156" w:rsidR="00F21365" w:rsidP="00A26E96" w:rsidRDefault="00F21365" w14:paraId="7519C5D1" w14:textId="77777777">
                  <w:pPr>
                    <w:pStyle w:val="BodyText"/>
                    <w:jc w:val="left"/>
                    <w:rPr>
                      <w:lang w:val="en-AU"/>
                    </w:rPr>
                  </w:pPr>
                  <w:r w:rsidRPr="00C34156">
                    <w:rPr>
                      <w:lang w:val="en-AU"/>
                    </w:rPr>
                    <w:t>5 units insulin and make up to 50 mL</w:t>
                  </w:r>
                </w:p>
              </w:tc>
            </w:tr>
          </w:tbl>
          <w:p w:rsidRPr="00C34156" w:rsidR="00F21365" w:rsidP="00A26E96" w:rsidRDefault="00F21365" w14:paraId="0220CE03" w14:textId="77777777">
            <w:pPr>
              <w:rPr>
                <w:lang w:val="en-AU"/>
              </w:rPr>
            </w:pPr>
            <w:r w:rsidRPr="00C34156">
              <w:rPr>
                <w:lang w:val="en-AU"/>
              </w:rPr>
              <w:t xml:space="preserve">Draw up 0.5 mL (50 units of </w:t>
            </w:r>
            <w:r>
              <w:rPr>
                <w:lang w:val="en-AU"/>
              </w:rPr>
              <w:t>insulin</w:t>
            </w:r>
            <w:r w:rsidRPr="00C34156">
              <w:rPr>
                <w:lang w:val="en-AU"/>
              </w:rPr>
              <w:t>) and add 9.5</w:t>
            </w:r>
            <w:r>
              <w:rPr>
                <w:lang w:val="en-AU"/>
              </w:rPr>
              <w:t xml:space="preserve"> </w:t>
            </w:r>
            <w:r w:rsidRPr="00C34156">
              <w:rPr>
                <w:lang w:val="en-AU"/>
              </w:rPr>
              <w:t>mL sodium chloride 0.9%, glucose 5% or glucose 10% to make a final volume of 10 mL with a concentration of 5 units/mL.</w:t>
            </w:r>
          </w:p>
          <w:p w:rsidRPr="00C34156" w:rsidR="00F21365" w:rsidP="00A26E96" w:rsidRDefault="00F21365" w14:paraId="3F8BF1C7" w14:textId="77777777">
            <w:pPr>
              <w:rPr>
                <w:b/>
                <w:lang w:val="en-AU"/>
              </w:rPr>
            </w:pPr>
            <w:r w:rsidRPr="00C34156">
              <w:rPr>
                <w:rFonts w:cs="Arial"/>
                <w:b/>
                <w:lang w:val="en-AU"/>
              </w:rPr>
              <w:t>FURTHER DILUTE</w:t>
            </w:r>
            <w:r w:rsidRPr="00C34156">
              <w:rPr>
                <w:rFonts w:cs="Arial"/>
                <w:lang w:val="en-AU"/>
              </w:rPr>
              <w:t xml:space="preserve">: </w:t>
            </w:r>
            <w:r w:rsidRPr="00C34156">
              <w:rPr>
                <w:lang w:val="en-AU"/>
              </w:rPr>
              <w:t xml:space="preserve">Draw up 1 mL (5 units of </w:t>
            </w:r>
            <w:r>
              <w:rPr>
                <w:lang w:val="en-AU"/>
              </w:rPr>
              <w:t>insulin</w:t>
            </w:r>
            <w:r w:rsidRPr="00C34156">
              <w:rPr>
                <w:lang w:val="en-AU"/>
              </w:rPr>
              <w:t xml:space="preserve">) of solution and dilute with glucose 25% [25 mL </w:t>
            </w:r>
            <w:r>
              <w:rPr>
                <w:lang w:val="en-AU"/>
              </w:rPr>
              <w:t>g</w:t>
            </w:r>
            <w:r w:rsidRPr="00C34156">
              <w:rPr>
                <w:lang w:val="en-AU"/>
              </w:rPr>
              <w:t xml:space="preserve">lucose </w:t>
            </w:r>
            <w:r w:rsidRPr="00C57A9E">
              <w:rPr>
                <w:lang w:val="en-AU"/>
              </w:rPr>
              <w:t xml:space="preserve">50% </w:t>
            </w:r>
            <w:r w:rsidRPr="00C34156">
              <w:rPr>
                <w:lang w:val="en-AU"/>
              </w:rPr>
              <w:t>plus 24 mL water for injection] to make a final volume of 50 mL with a concentration</w:t>
            </w:r>
            <w:r>
              <w:rPr>
                <w:lang w:val="en-AU"/>
              </w:rPr>
              <w:t>/dose rate</w:t>
            </w:r>
            <w:r w:rsidRPr="00C34156">
              <w:rPr>
                <w:lang w:val="en-AU"/>
              </w:rPr>
              <w:t xml:space="preserve"> of </w:t>
            </w:r>
            <w:r w:rsidRPr="00C34156">
              <w:rPr>
                <w:b/>
                <w:lang w:val="en-AU"/>
              </w:rPr>
              <w:t>1 mL/kg/hour = 0.1 units/kg/hour.</w:t>
            </w:r>
          </w:p>
          <w:p w:rsidRPr="00C34156" w:rsidR="00F21365" w:rsidP="00A26E96" w:rsidRDefault="00F21365" w14:paraId="76C72AF8" w14:textId="77777777">
            <w:pPr>
              <w:rPr>
                <w:lang w:val="en-AU"/>
              </w:rPr>
            </w:pPr>
          </w:p>
          <w:p w:rsidRPr="00C34156" w:rsidR="00F21365" w:rsidP="00A26E96" w:rsidRDefault="00F21365" w14:paraId="51C86E78" w14:textId="77777777">
            <w:pPr>
              <w:pStyle w:val="Default"/>
              <w:rPr>
                <w:rFonts w:ascii="Calibri" w:hAnsi="Calibri"/>
                <w:b/>
                <w:bCs/>
                <w:color w:val="auto"/>
              </w:rPr>
            </w:pPr>
            <w:r w:rsidRPr="00C34156">
              <w:rPr>
                <w:rFonts w:ascii="Calibri" w:hAnsi="Calibri"/>
                <w:b/>
                <w:bCs/>
                <w:u w:val="single"/>
              </w:rPr>
              <w:t>INSULIN ONLY INFUSION</w:t>
            </w:r>
            <w:r>
              <w:rPr>
                <w:rFonts w:ascii="Calibri" w:hAnsi="Calibri"/>
                <w:b/>
                <w:bCs/>
                <w:u w:val="single"/>
              </w:rPr>
              <w:t xml:space="preserve"> </w:t>
            </w:r>
            <w:r w:rsidRPr="00C34156">
              <w:rPr>
                <w:rFonts w:ascii="Calibri" w:hAnsi="Calibri"/>
                <w:b/>
                <w:bCs/>
                <w:u w:val="single"/>
              </w:rPr>
              <w:t>– Can be infused peripherally</w:t>
            </w:r>
            <w:r w:rsidRPr="00C34156">
              <w:rPr>
                <w:rFonts w:ascii="Calibri" w:hAnsi="Calibri"/>
                <w:b/>
                <w:bCs/>
                <w:color w:val="auto"/>
              </w:rPr>
              <w:t xml:space="preserve"> </w:t>
            </w:r>
          </w:p>
          <w:p w:rsidRPr="00C34156" w:rsidR="00F21365" w:rsidP="00A26E96" w:rsidRDefault="00F21365" w14:paraId="1142CD89" w14:textId="77777777">
            <w:pPr>
              <w:pStyle w:val="Default"/>
              <w:rPr>
                <w:rFonts w:ascii="Calibri" w:hAnsi="Calibri"/>
                <w:b/>
                <w:bCs/>
                <w:color w:val="auto"/>
              </w:rPr>
            </w:pPr>
            <w:r w:rsidRPr="00C34156">
              <w:rPr>
                <w:rFonts w:ascii="Calibri" w:hAnsi="Calibri"/>
                <w:b/>
                <w:bCs/>
                <w:color w:val="auto"/>
              </w:rPr>
              <w:t>Must have adequate maintenance fluids to prevent hypoglycaemia.</w:t>
            </w:r>
          </w:p>
          <w:tbl>
            <w:tblPr>
              <w:tblW w:w="69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02"/>
              <w:gridCol w:w="3544"/>
            </w:tblGrid>
            <w:tr w:rsidRPr="00C34156" w:rsidR="00F21365" w:rsidTr="00623531" w14:paraId="183FB273" w14:textId="77777777">
              <w:tc>
                <w:tcPr>
                  <w:tcW w:w="3402" w:type="dxa"/>
                  <w:shd w:val="clear" w:color="auto" w:fill="auto"/>
                </w:tcPr>
                <w:p w:rsidRPr="00C34156" w:rsidR="00F21365" w:rsidP="00A26E96" w:rsidRDefault="00F21365" w14:paraId="4AD3AF60" w14:textId="77777777">
                  <w:pPr>
                    <w:pStyle w:val="BodyText"/>
                    <w:jc w:val="left"/>
                    <w:rPr>
                      <w:lang w:val="en-AU"/>
                    </w:rPr>
                  </w:pPr>
                  <w:r w:rsidRPr="00C34156">
                    <w:rPr>
                      <w:lang w:val="en-AU"/>
                    </w:rPr>
                    <w:t>Infusion strength</w:t>
                  </w:r>
                </w:p>
              </w:tc>
              <w:tc>
                <w:tcPr>
                  <w:tcW w:w="3544" w:type="dxa"/>
                  <w:shd w:val="clear" w:color="auto" w:fill="auto"/>
                </w:tcPr>
                <w:p w:rsidRPr="00C34156" w:rsidR="00F21365" w:rsidP="00A26E96" w:rsidRDefault="00F21365" w14:paraId="35FBCEF7" w14:textId="77777777">
                  <w:pPr>
                    <w:pStyle w:val="BodyText"/>
                    <w:jc w:val="left"/>
                    <w:rPr>
                      <w:lang w:val="en-AU"/>
                    </w:rPr>
                  </w:pPr>
                  <w:r w:rsidRPr="00C34156">
                    <w:rPr>
                      <w:lang w:val="en-AU"/>
                    </w:rPr>
                    <w:t>Prescribed amount</w:t>
                  </w:r>
                </w:p>
              </w:tc>
            </w:tr>
            <w:tr w:rsidRPr="00C34156" w:rsidR="00F21365" w:rsidTr="00623531" w14:paraId="3B931A69" w14:textId="77777777">
              <w:tc>
                <w:tcPr>
                  <w:tcW w:w="3402" w:type="dxa"/>
                  <w:shd w:val="clear" w:color="auto" w:fill="auto"/>
                </w:tcPr>
                <w:p w:rsidRPr="00C34156" w:rsidR="00F21365" w:rsidP="00A26E96" w:rsidRDefault="00F21365" w14:paraId="5EAD9BA6" w14:textId="77777777">
                  <w:pPr>
                    <w:pStyle w:val="BodyText"/>
                    <w:jc w:val="left"/>
                    <w:rPr>
                      <w:lang w:val="en-AU"/>
                    </w:rPr>
                  </w:pPr>
                  <w:r w:rsidRPr="00C34156">
                    <w:rPr>
                      <w:lang w:val="en-AU"/>
                    </w:rPr>
                    <w:t>1 mL/kg/hour = 0.2 unit/kg/hour</w:t>
                  </w:r>
                </w:p>
              </w:tc>
              <w:tc>
                <w:tcPr>
                  <w:tcW w:w="3544" w:type="dxa"/>
                  <w:shd w:val="clear" w:color="auto" w:fill="auto"/>
                </w:tcPr>
                <w:p w:rsidRPr="00C34156" w:rsidR="00F21365" w:rsidP="00A26E96" w:rsidRDefault="00F21365" w14:paraId="45392026" w14:textId="77777777">
                  <w:pPr>
                    <w:pStyle w:val="BodyText"/>
                    <w:jc w:val="left"/>
                    <w:rPr>
                      <w:lang w:val="en-AU"/>
                    </w:rPr>
                  </w:pPr>
                  <w:r w:rsidRPr="00C34156">
                    <w:rPr>
                      <w:lang w:val="en-AU"/>
                    </w:rPr>
                    <w:t>10 units insulin and make up to 50 mL</w:t>
                  </w:r>
                </w:p>
              </w:tc>
            </w:tr>
          </w:tbl>
          <w:p w:rsidRPr="00C34156" w:rsidR="00F21365" w:rsidP="00A26E96" w:rsidRDefault="00F21365" w14:paraId="1569085C" w14:textId="77777777">
            <w:pPr>
              <w:rPr>
                <w:lang w:val="en-AU"/>
              </w:rPr>
            </w:pPr>
            <w:r w:rsidRPr="00C34156">
              <w:rPr>
                <w:lang w:val="en-AU"/>
              </w:rPr>
              <w:t xml:space="preserve">Draw up 0.5 mL (50 units of </w:t>
            </w:r>
            <w:r>
              <w:rPr>
                <w:lang w:val="en-AU"/>
              </w:rPr>
              <w:t>insulin</w:t>
            </w:r>
            <w:r w:rsidRPr="00C34156">
              <w:rPr>
                <w:lang w:val="en-AU"/>
              </w:rPr>
              <w:t>) and add 9.5</w:t>
            </w:r>
            <w:r>
              <w:rPr>
                <w:lang w:val="en-AU"/>
              </w:rPr>
              <w:t xml:space="preserve"> </w:t>
            </w:r>
            <w:r w:rsidRPr="00C34156">
              <w:rPr>
                <w:lang w:val="en-AU"/>
              </w:rPr>
              <w:t>mL sodium chloride 0.9%, glucose 5% or glucose 10% to make a final volume of 10 mL with a concentration of 5 units/mL.</w:t>
            </w:r>
          </w:p>
          <w:p w:rsidRPr="00C34156" w:rsidR="00F21365" w:rsidP="00A26E96" w:rsidRDefault="00F21365" w14:paraId="79727F92" w14:textId="77777777">
            <w:pPr>
              <w:rPr>
                <w:b/>
                <w:lang w:val="en-AU"/>
              </w:rPr>
            </w:pPr>
            <w:r w:rsidRPr="00C34156">
              <w:rPr>
                <w:rFonts w:cs="Arial"/>
                <w:b/>
                <w:lang w:val="en-AU"/>
              </w:rPr>
              <w:t>FURTHER DILUTE</w:t>
            </w:r>
            <w:r w:rsidRPr="00C34156">
              <w:rPr>
                <w:rFonts w:cs="Arial"/>
                <w:lang w:val="en-AU"/>
              </w:rPr>
              <w:t xml:space="preserve">: </w:t>
            </w:r>
            <w:r w:rsidRPr="00C34156">
              <w:rPr>
                <w:lang w:val="en-AU"/>
              </w:rPr>
              <w:t xml:space="preserve">Draw up 2 mL (10 units of </w:t>
            </w:r>
            <w:r>
              <w:rPr>
                <w:lang w:val="en-AU"/>
              </w:rPr>
              <w:t>insulin</w:t>
            </w:r>
            <w:r w:rsidRPr="00C34156">
              <w:rPr>
                <w:lang w:val="en-AU"/>
              </w:rPr>
              <w:t xml:space="preserve">) of solution and dilute with </w:t>
            </w:r>
            <w:r w:rsidRPr="00C34156">
              <w:rPr>
                <w:rFonts w:cs="Arial"/>
                <w:lang w:val="en-AU"/>
              </w:rPr>
              <w:t>glucose 5%, glucose 10% or sodium chloride 0.9%</w:t>
            </w:r>
            <w:r w:rsidRPr="00C34156">
              <w:rPr>
                <w:lang w:val="en-AU"/>
              </w:rPr>
              <w:t xml:space="preserve"> to make a final volume of 50 mL with a concentration</w:t>
            </w:r>
            <w:r>
              <w:rPr>
                <w:lang w:val="en-AU"/>
              </w:rPr>
              <w:t>/dose rate</w:t>
            </w:r>
            <w:r w:rsidRPr="00C34156">
              <w:rPr>
                <w:lang w:val="en-AU"/>
              </w:rPr>
              <w:t xml:space="preserve"> of </w:t>
            </w:r>
            <w:r w:rsidRPr="00C34156">
              <w:rPr>
                <w:b/>
                <w:lang w:val="en-AU"/>
              </w:rPr>
              <w:t>1 mL/kg/hour = 0.2 units/kg/hour.</w:t>
            </w:r>
          </w:p>
          <w:p w:rsidRPr="00C34156" w:rsidR="00F21365" w:rsidP="00A26E96" w:rsidRDefault="00F21365" w14:paraId="3894EF30" w14:textId="77777777">
            <w:pPr>
              <w:rPr>
                <w:lang w:val="en-AU"/>
              </w:rPr>
            </w:pPr>
          </w:p>
          <w:p w:rsidRPr="00C34156" w:rsidR="00F21365" w:rsidP="00A26E96" w:rsidRDefault="00F21365" w14:paraId="44A8D4B0" w14:textId="77777777">
            <w:pPr>
              <w:rPr>
                <w:lang w:val="en-AU"/>
              </w:rPr>
            </w:pPr>
            <w:r w:rsidRPr="00C34156">
              <w:rPr>
                <w:lang w:val="en-AU"/>
              </w:rPr>
              <w:t>Cardiac arrest due to hyperkalaemia</w:t>
            </w:r>
          </w:p>
          <w:tbl>
            <w:tblPr>
              <w:tblW w:w="7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47"/>
              <w:gridCol w:w="4844"/>
            </w:tblGrid>
            <w:tr w:rsidRPr="00C34156" w:rsidR="00F21365" w:rsidTr="003C75EC" w14:paraId="7D7DF108" w14:textId="77777777">
              <w:tc>
                <w:tcPr>
                  <w:tcW w:w="3147" w:type="dxa"/>
                  <w:shd w:val="clear" w:color="auto" w:fill="auto"/>
                </w:tcPr>
                <w:p w:rsidRPr="00C34156" w:rsidR="00F21365" w:rsidP="00A26E96" w:rsidRDefault="00F21365" w14:paraId="1BF42C05" w14:textId="77777777">
                  <w:pPr>
                    <w:pStyle w:val="BodyText"/>
                    <w:jc w:val="left"/>
                    <w:rPr>
                      <w:lang w:val="en-AU"/>
                    </w:rPr>
                  </w:pPr>
                  <w:r w:rsidRPr="00C34156">
                    <w:rPr>
                      <w:lang w:val="en-AU"/>
                    </w:rPr>
                    <w:t>Infusion strength</w:t>
                  </w:r>
                </w:p>
              </w:tc>
              <w:tc>
                <w:tcPr>
                  <w:tcW w:w="4844" w:type="dxa"/>
                  <w:shd w:val="clear" w:color="auto" w:fill="auto"/>
                </w:tcPr>
                <w:p w:rsidRPr="00C34156" w:rsidR="00F21365" w:rsidP="00A26E96" w:rsidRDefault="00F21365" w14:paraId="01498B9F" w14:textId="77777777">
                  <w:pPr>
                    <w:pStyle w:val="BodyText"/>
                    <w:jc w:val="left"/>
                    <w:rPr>
                      <w:lang w:val="en-AU"/>
                    </w:rPr>
                  </w:pPr>
                  <w:r w:rsidRPr="00C34156">
                    <w:rPr>
                      <w:lang w:val="en-AU"/>
                    </w:rPr>
                    <w:t>Prescribed amount</w:t>
                  </w:r>
                </w:p>
              </w:tc>
            </w:tr>
            <w:tr w:rsidRPr="00C34156" w:rsidR="00F21365" w:rsidTr="003C75EC" w14:paraId="1B2AE55E" w14:textId="77777777">
              <w:tc>
                <w:tcPr>
                  <w:tcW w:w="3147" w:type="dxa"/>
                  <w:shd w:val="clear" w:color="auto" w:fill="auto"/>
                </w:tcPr>
                <w:p w:rsidRPr="00C34156" w:rsidR="00F21365" w:rsidP="00A26E96" w:rsidRDefault="00F21365" w14:paraId="6394A86E" w14:textId="77777777">
                  <w:pPr>
                    <w:pStyle w:val="BodyText"/>
                    <w:jc w:val="left"/>
                    <w:rPr>
                      <w:lang w:val="en-AU"/>
                    </w:rPr>
                  </w:pPr>
                  <w:r w:rsidRPr="00C34156">
                    <w:rPr>
                      <w:lang w:val="en-AU"/>
                    </w:rPr>
                    <w:t>1 mL/kg/hour = 0.2 units/kg</w:t>
                  </w:r>
                  <w:r>
                    <w:rPr>
                      <w:lang w:val="en-AU"/>
                    </w:rPr>
                    <w:t>/hour</w:t>
                  </w:r>
                </w:p>
              </w:tc>
              <w:tc>
                <w:tcPr>
                  <w:tcW w:w="4844" w:type="dxa"/>
                  <w:shd w:val="clear" w:color="auto" w:fill="auto"/>
                </w:tcPr>
                <w:p w:rsidRPr="00C34156" w:rsidR="00F21365" w:rsidP="00A26E96" w:rsidRDefault="00F21365" w14:paraId="590E7853" w14:textId="77777777">
                  <w:pPr>
                    <w:pStyle w:val="BodyText"/>
                    <w:jc w:val="left"/>
                    <w:rPr>
                      <w:lang w:val="en-AU"/>
                    </w:rPr>
                  </w:pPr>
                  <w:r w:rsidRPr="00C34156">
                    <w:rPr>
                      <w:lang w:val="en-AU"/>
                    </w:rPr>
                    <w:t xml:space="preserve">10 units insulin and make up to 50 mL </w:t>
                  </w:r>
                </w:p>
              </w:tc>
            </w:tr>
          </w:tbl>
          <w:p w:rsidRPr="00C34156" w:rsidR="00F21365" w:rsidP="00A26E96" w:rsidRDefault="00F21365" w14:paraId="57ADF920" w14:textId="77777777">
            <w:pPr>
              <w:rPr>
                <w:lang w:val="en-AU"/>
              </w:rPr>
            </w:pPr>
            <w:r w:rsidRPr="00C34156">
              <w:rPr>
                <w:lang w:val="en-AU"/>
              </w:rPr>
              <w:t>Mix 25</w:t>
            </w:r>
            <w:r>
              <w:rPr>
                <w:lang w:val="en-AU"/>
              </w:rPr>
              <w:t xml:space="preserve"> </w:t>
            </w:r>
            <w:r w:rsidRPr="00C34156">
              <w:rPr>
                <w:lang w:val="en-AU"/>
              </w:rPr>
              <w:t>g (50</w:t>
            </w:r>
            <w:r>
              <w:rPr>
                <w:lang w:val="en-AU"/>
              </w:rPr>
              <w:t xml:space="preserve"> </w:t>
            </w:r>
            <w:r w:rsidRPr="00C34156">
              <w:rPr>
                <w:lang w:val="en-AU"/>
              </w:rPr>
              <w:t xml:space="preserve">mL of </w:t>
            </w:r>
            <w:r>
              <w:rPr>
                <w:lang w:val="en-AU"/>
              </w:rPr>
              <w:t>g</w:t>
            </w:r>
            <w:r w:rsidRPr="00C34156">
              <w:rPr>
                <w:lang w:val="en-AU"/>
              </w:rPr>
              <w:t>lucose</w:t>
            </w:r>
            <w:r w:rsidRPr="00C57A9E">
              <w:rPr>
                <w:lang w:val="en-AU"/>
              </w:rPr>
              <w:t xml:space="preserve"> 50%</w:t>
            </w:r>
            <w:r w:rsidRPr="00C34156">
              <w:rPr>
                <w:lang w:val="en-AU"/>
              </w:rPr>
              <w:t>) glucose and 10</w:t>
            </w:r>
            <w:r>
              <w:rPr>
                <w:lang w:val="en-AU"/>
              </w:rPr>
              <w:t xml:space="preserve"> units</w:t>
            </w:r>
            <w:r w:rsidRPr="00C34156">
              <w:rPr>
                <w:lang w:val="en-AU"/>
              </w:rPr>
              <w:t xml:space="preserve"> regular insulin and give 1 mL/kg (0.2 units/kg of insulin) IV over 15 to 30 minutes.  Glucose:insulin ratio = 2.5 g:1</w:t>
            </w:r>
            <w:r>
              <w:rPr>
                <w:lang w:val="en-AU"/>
              </w:rPr>
              <w:t xml:space="preserve"> unit</w:t>
            </w:r>
            <w:r w:rsidRPr="00C34156">
              <w:rPr>
                <w:lang w:val="en-AU"/>
              </w:rPr>
              <w:t>.</w:t>
            </w:r>
          </w:p>
        </w:tc>
      </w:tr>
      <w:tr w:rsidRPr="00C34156" w:rsidR="00F21365" w:rsidTr="009553CD" w14:paraId="5A94BB4B" w14:textId="77777777">
        <w:trPr>
          <w:trHeight w:val="581"/>
        </w:trPr>
        <w:tc>
          <w:tcPr>
            <w:tcW w:w="2438" w:type="dxa"/>
            <w:tcBorders>
              <w:top w:val="single" w:color="000000" w:sz="4" w:space="0"/>
              <w:left w:val="single" w:color="000000" w:sz="4" w:space="0"/>
              <w:bottom w:val="single" w:color="000000" w:sz="4" w:space="0"/>
            </w:tcBorders>
          </w:tcPr>
          <w:p w:rsidRPr="00C34156" w:rsidR="00F21365" w:rsidP="006F0321" w:rsidRDefault="00F21365" w14:paraId="1F562EB0" w14:textId="77777777">
            <w:pPr>
              <w:pStyle w:val="BodyText"/>
              <w:rPr>
                <w:lang w:val="en-AU"/>
              </w:rPr>
            </w:pPr>
            <w:r w:rsidRPr="00C34156">
              <w:rPr>
                <w:lang w:val="en-AU"/>
              </w:rPr>
              <w:lastRenderedPageBreak/>
              <w:t xml:space="preserve">Administration                 </w:t>
            </w:r>
          </w:p>
          <w:p w:rsidRPr="00C34156" w:rsidR="00F21365" w:rsidP="006F0321" w:rsidRDefault="00F21365" w14:paraId="4849DCAB"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54A377F1" w14:textId="77777777">
            <w:pPr>
              <w:rPr>
                <w:lang w:val="en-AU"/>
              </w:rPr>
            </w:pPr>
            <w:r w:rsidRPr="00C34156">
              <w:rPr>
                <w:lang w:val="en-AU"/>
              </w:rPr>
              <w:t xml:space="preserve">Intravenous: </w:t>
            </w:r>
          </w:p>
          <w:p w:rsidRPr="00C34156" w:rsidR="00F21365" w:rsidP="00A26E96" w:rsidRDefault="00F21365" w14:paraId="1E3D4101" w14:textId="77777777">
            <w:pPr>
              <w:rPr>
                <w:lang w:val="en-AU"/>
              </w:rPr>
            </w:pPr>
            <w:r w:rsidRPr="00C34156">
              <w:rPr>
                <w:lang w:val="en-AU"/>
              </w:rPr>
              <w:t>Insulin is adsorbed to the plastic of intravenous bags, syringes and tubing which reduces the delivery of insulin.</w:t>
            </w:r>
            <w:r w:rsidRPr="00C34156">
              <w:rPr>
                <w:noProof/>
                <w:lang w:val="en-AU"/>
              </w:rPr>
              <w:t>[1, 2]</w:t>
            </w:r>
            <w:r w:rsidRPr="00C34156">
              <w:rPr>
                <w:lang w:val="en-AU"/>
              </w:rPr>
              <w:t xml:space="preserve"> To saturate binding</w:t>
            </w:r>
            <w:r>
              <w:rPr>
                <w:lang w:val="en-AU"/>
              </w:rPr>
              <w:t xml:space="preserve"> to </w:t>
            </w:r>
            <w:r w:rsidRPr="00C57A9E">
              <w:rPr>
                <w:lang w:val="en-AU"/>
              </w:rPr>
              <w:t>plastic</w:t>
            </w:r>
            <w:r w:rsidRPr="00C34156">
              <w:rPr>
                <w:lang w:val="en-AU"/>
              </w:rPr>
              <w:t>, infuse 20 mL of insulin solution through plastic tubing prior to infusion. Insulin concentrations ≤</w:t>
            </w:r>
            <w:r>
              <w:rPr>
                <w:lang w:val="en-AU"/>
              </w:rPr>
              <w:t xml:space="preserve"> </w:t>
            </w:r>
            <w:r w:rsidRPr="00C34156">
              <w:rPr>
                <w:lang w:val="en-AU"/>
              </w:rPr>
              <w:t xml:space="preserve">0.05 </w:t>
            </w:r>
            <w:r>
              <w:rPr>
                <w:lang w:val="en-AU"/>
              </w:rPr>
              <w:t>units</w:t>
            </w:r>
            <w:r w:rsidRPr="00C34156">
              <w:rPr>
                <w:lang w:val="en-AU"/>
              </w:rPr>
              <w:t xml:space="preserve">/mL are not reliably delivered even after preconditioning and flushing </w:t>
            </w:r>
            <w:r w:rsidRPr="00C34156">
              <w:rPr>
                <w:noProof/>
                <w:lang w:val="en-AU"/>
              </w:rPr>
              <w:t>[2]</w:t>
            </w:r>
            <w:r w:rsidRPr="00C34156">
              <w:rPr>
                <w:lang w:val="en-AU"/>
              </w:rPr>
              <w:t xml:space="preserve">.  </w:t>
            </w:r>
          </w:p>
          <w:p w:rsidRPr="00C34156" w:rsidR="00F21365" w:rsidP="00A26E96" w:rsidRDefault="00F21365" w14:paraId="2EF37EC8" w14:textId="77777777">
            <w:pPr>
              <w:rPr>
                <w:lang w:val="en-AU"/>
              </w:rPr>
            </w:pPr>
            <w:r w:rsidRPr="00C34156">
              <w:rPr>
                <w:lang w:val="en-AU"/>
              </w:rPr>
              <w:t xml:space="preserve">Infuse with maintenance fluids. </w:t>
            </w:r>
          </w:p>
          <w:p w:rsidRPr="00C34156" w:rsidR="00F21365" w:rsidP="00A26E96" w:rsidRDefault="00F21365" w14:paraId="4E539A11" w14:textId="77777777">
            <w:pPr>
              <w:rPr>
                <w:lang w:val="en-AU"/>
              </w:rPr>
            </w:pPr>
            <w:r w:rsidRPr="00C34156">
              <w:rPr>
                <w:lang w:val="en-AU"/>
              </w:rPr>
              <w:t xml:space="preserve">Do not include in maintenance fluid requirements. </w:t>
            </w:r>
          </w:p>
          <w:p w:rsidRPr="00C34156" w:rsidR="00F21365" w:rsidP="00A26E96" w:rsidRDefault="00F21365" w14:paraId="784A6F17" w14:textId="77777777">
            <w:pPr>
              <w:rPr>
                <w:lang w:val="en-AU"/>
              </w:rPr>
            </w:pPr>
            <w:r w:rsidRPr="00C34156">
              <w:rPr>
                <w:lang w:val="en-AU"/>
              </w:rPr>
              <w:t>Insulin binds to the filter. Do not filter infusion.</w:t>
            </w:r>
          </w:p>
        </w:tc>
      </w:tr>
      <w:tr w:rsidRPr="00C34156" w:rsidR="00F21365" w:rsidTr="009553CD" w14:paraId="1D247DA0" w14:textId="77777777">
        <w:trPr>
          <w:trHeight w:val="221"/>
        </w:trPr>
        <w:tc>
          <w:tcPr>
            <w:tcW w:w="2438" w:type="dxa"/>
            <w:tcBorders>
              <w:top w:val="single" w:color="000000" w:sz="4" w:space="0"/>
              <w:left w:val="single" w:color="000000" w:sz="4" w:space="0"/>
              <w:bottom w:val="single" w:color="000000" w:sz="4" w:space="0"/>
            </w:tcBorders>
          </w:tcPr>
          <w:p w:rsidRPr="00C34156" w:rsidR="00F21365" w:rsidP="006F0321" w:rsidRDefault="00F21365" w14:paraId="16E2027E" w14:textId="77777777">
            <w:pPr>
              <w:pStyle w:val="BodyText"/>
              <w:rPr>
                <w:lang w:val="en-AU"/>
              </w:rPr>
            </w:pPr>
            <w:r w:rsidRPr="00C34156">
              <w:rPr>
                <w:lang w:val="en-AU"/>
              </w:rPr>
              <w:t xml:space="preserve">Monitoring                              </w:t>
            </w:r>
          </w:p>
          <w:p w:rsidRPr="00C34156" w:rsidR="00F21365" w:rsidP="006F0321" w:rsidRDefault="00F21365" w14:paraId="778651DE"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76FFB764" w14:textId="77777777">
            <w:pPr>
              <w:pStyle w:val="BodyText"/>
              <w:jc w:val="left"/>
              <w:rPr>
                <w:lang w:val="en-AU"/>
              </w:rPr>
            </w:pPr>
            <w:r w:rsidRPr="00C34156">
              <w:rPr>
                <w:lang w:val="en-AU"/>
              </w:rPr>
              <w:t xml:space="preserve">Blood glucose must be closely monitored to </w:t>
            </w:r>
            <w:r>
              <w:rPr>
                <w:lang w:val="en-AU"/>
              </w:rPr>
              <w:t>detect</w:t>
            </w:r>
            <w:r w:rsidRPr="00C34156">
              <w:rPr>
                <w:lang w:val="en-AU"/>
              </w:rPr>
              <w:t xml:space="preserve"> </w:t>
            </w:r>
            <w:r w:rsidRPr="00596B8F">
              <w:t>either hypo/hyperglycaemia</w:t>
            </w:r>
            <w:r w:rsidRPr="00C34156">
              <w:rPr>
                <w:lang w:val="en-AU"/>
              </w:rPr>
              <w:t>.</w:t>
            </w:r>
          </w:p>
          <w:p w:rsidRPr="00C34156" w:rsidR="00F21365" w:rsidP="00A26E96" w:rsidRDefault="00F21365" w14:paraId="4B2B805F" w14:textId="77777777">
            <w:pPr>
              <w:pStyle w:val="BodyText"/>
              <w:jc w:val="left"/>
              <w:rPr>
                <w:lang w:val="en-AU"/>
              </w:rPr>
            </w:pPr>
            <w:r w:rsidRPr="00C34156">
              <w:rPr>
                <w:lang w:val="en-AU"/>
              </w:rPr>
              <w:lastRenderedPageBreak/>
              <w:t>Recommend blood glucose every 20 minutes for the first hour, every 30 minutes for the second hour and every 2 to 4 hours thereafter. Increase frequency of monitoring during weaning.</w:t>
            </w:r>
          </w:p>
          <w:p w:rsidRPr="00C34156" w:rsidR="00F21365" w:rsidP="00A26E96" w:rsidRDefault="00F21365" w14:paraId="5EE89EE4" w14:textId="77777777">
            <w:pPr>
              <w:pStyle w:val="BodyText"/>
              <w:jc w:val="left"/>
              <w:rPr>
                <w:lang w:val="en-AU"/>
              </w:rPr>
            </w:pPr>
            <w:r w:rsidRPr="00C34156">
              <w:rPr>
                <w:lang w:val="en-AU"/>
              </w:rPr>
              <w:t>Recommend check potassium within 30</w:t>
            </w:r>
            <w:r>
              <w:rPr>
                <w:lang w:val="en-AU"/>
              </w:rPr>
              <w:t>–</w:t>
            </w:r>
            <w:r w:rsidRPr="00C34156">
              <w:rPr>
                <w:lang w:val="en-AU"/>
              </w:rPr>
              <w:t xml:space="preserve">60 minutes of commencing glucose/insulin infusion. Serum potassium should be closely monitored to monitor response to treatment and avoid hypokalaemia. </w:t>
            </w:r>
          </w:p>
        </w:tc>
      </w:tr>
      <w:tr w:rsidRPr="00C34156" w:rsidR="00F21365" w:rsidTr="009553CD" w14:paraId="0EB27FA4" w14:textId="77777777">
        <w:trPr>
          <w:trHeight w:val="342"/>
        </w:trPr>
        <w:tc>
          <w:tcPr>
            <w:tcW w:w="2438" w:type="dxa"/>
            <w:tcBorders>
              <w:top w:val="single" w:color="000000" w:sz="4" w:space="0"/>
              <w:left w:val="single" w:color="000000" w:sz="4" w:space="0"/>
              <w:bottom w:val="single" w:color="000000" w:sz="4" w:space="0"/>
            </w:tcBorders>
          </w:tcPr>
          <w:p w:rsidRPr="00C34156" w:rsidR="00F21365" w:rsidP="006F0321" w:rsidRDefault="00F21365" w14:paraId="1BF43313" w14:textId="77777777">
            <w:pPr>
              <w:pStyle w:val="BodyText"/>
              <w:rPr>
                <w:lang w:val="en-AU"/>
              </w:rPr>
            </w:pPr>
            <w:r w:rsidRPr="00C34156">
              <w:rPr>
                <w:lang w:val="en-AU"/>
              </w:rPr>
              <w:lastRenderedPageBreak/>
              <w:t xml:space="preserve">Contraindications                        </w:t>
            </w:r>
          </w:p>
          <w:p w:rsidRPr="00C34156" w:rsidR="00F21365" w:rsidP="006F0321" w:rsidRDefault="00F21365" w14:paraId="0258327A"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0C952C3E" w14:textId="77777777">
            <w:pPr>
              <w:pStyle w:val="Default"/>
              <w:rPr>
                <w:rFonts w:ascii="Calibri" w:hAnsi="Calibri"/>
                <w:color w:val="auto"/>
              </w:rPr>
            </w:pPr>
            <w:r w:rsidRPr="00C34156">
              <w:rPr>
                <w:rFonts w:ascii="Calibri" w:hAnsi="Calibri"/>
                <w:color w:val="auto"/>
              </w:rPr>
              <w:t>Hypersensitivity to human insulin or any component of the formulation.</w:t>
            </w:r>
          </w:p>
          <w:p w:rsidRPr="00C34156" w:rsidR="00F21365" w:rsidP="00A26E96" w:rsidRDefault="00F21365" w14:paraId="51CF09A9" w14:textId="77777777">
            <w:pPr>
              <w:pStyle w:val="BodyText"/>
              <w:jc w:val="left"/>
              <w:rPr>
                <w:lang w:val="en-AU"/>
              </w:rPr>
            </w:pPr>
            <w:r w:rsidRPr="00C34156">
              <w:rPr>
                <w:lang w:val="en-AU"/>
              </w:rPr>
              <w:t xml:space="preserve">During episodes of hypoglycaemia. </w:t>
            </w:r>
          </w:p>
        </w:tc>
      </w:tr>
      <w:tr w:rsidRPr="00C34156" w:rsidR="00F21365" w:rsidTr="009553CD" w14:paraId="41DF93BC" w14:textId="77777777">
        <w:tc>
          <w:tcPr>
            <w:tcW w:w="2438" w:type="dxa"/>
            <w:tcBorders>
              <w:top w:val="single" w:color="000000" w:sz="4" w:space="0"/>
              <w:left w:val="single" w:color="000000" w:sz="4" w:space="0"/>
              <w:bottom w:val="single" w:color="000000" w:sz="4" w:space="0"/>
            </w:tcBorders>
          </w:tcPr>
          <w:p w:rsidRPr="00C34156" w:rsidR="00F21365" w:rsidP="006F0321" w:rsidRDefault="00F21365" w14:paraId="70D7664E" w14:textId="77777777">
            <w:pPr>
              <w:pStyle w:val="BodyText"/>
              <w:rPr>
                <w:lang w:val="en-AU"/>
              </w:rPr>
            </w:pPr>
            <w:r w:rsidRPr="00C34156">
              <w:rPr>
                <w:lang w:val="en-AU"/>
              </w:rPr>
              <w:t>Precautions</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127CB33A" w14:textId="77777777">
            <w:pPr>
              <w:pStyle w:val="BodyText"/>
              <w:jc w:val="left"/>
              <w:rPr>
                <w:lang w:val="en-AU"/>
              </w:rPr>
            </w:pPr>
            <w:r w:rsidRPr="00C34156">
              <w:rPr>
                <w:lang w:val="en-AU"/>
              </w:rPr>
              <w:t xml:space="preserve">Possible adverse effects include hypersensitivity, hypoglycaemia, </w:t>
            </w:r>
            <w:r>
              <w:rPr>
                <w:lang w:val="en-AU"/>
              </w:rPr>
              <w:t xml:space="preserve">hyperglycaemia </w:t>
            </w:r>
            <w:r w:rsidRPr="00C34156">
              <w:rPr>
                <w:lang w:val="en-AU"/>
              </w:rPr>
              <w:t xml:space="preserve">and hypokalaemia. </w:t>
            </w:r>
          </w:p>
          <w:p w:rsidRPr="00C34156" w:rsidR="00F21365" w:rsidP="00A26E96" w:rsidRDefault="00F21365" w14:paraId="54F47955" w14:textId="77777777">
            <w:pPr>
              <w:pStyle w:val="BodyText"/>
              <w:jc w:val="left"/>
              <w:rPr>
                <w:lang w:val="en-AU"/>
              </w:rPr>
            </w:pPr>
            <w:r w:rsidRPr="00C34156">
              <w:rPr>
                <w:lang w:val="en-AU"/>
              </w:rPr>
              <w:t>Use with caution in cardiac disease, hepatic impairment, renal impairment.</w:t>
            </w:r>
          </w:p>
        </w:tc>
      </w:tr>
      <w:tr w:rsidRPr="00C34156" w:rsidR="00F21365" w:rsidTr="009553CD" w14:paraId="75B9657C" w14:textId="77777777">
        <w:trPr>
          <w:trHeight w:val="276"/>
        </w:trPr>
        <w:tc>
          <w:tcPr>
            <w:tcW w:w="2438" w:type="dxa"/>
            <w:tcBorders>
              <w:top w:val="single" w:color="000000" w:sz="4" w:space="0"/>
              <w:left w:val="single" w:color="000000" w:sz="4" w:space="0"/>
              <w:bottom w:val="single" w:color="000000" w:sz="4" w:space="0"/>
            </w:tcBorders>
          </w:tcPr>
          <w:p w:rsidRPr="00C34156" w:rsidR="00F21365" w:rsidP="006F0321" w:rsidRDefault="00F21365" w14:paraId="393375AE" w14:textId="77777777">
            <w:pPr>
              <w:pStyle w:val="BodyText"/>
              <w:rPr>
                <w:lang w:val="en-AU"/>
              </w:rPr>
            </w:pPr>
            <w:r w:rsidRPr="00C34156">
              <w:rPr>
                <w:lang w:val="en-AU"/>
              </w:rPr>
              <w:t>Drug Interactions</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06365AA6" w14:textId="77777777">
            <w:pPr>
              <w:pStyle w:val="Default"/>
              <w:rPr>
                <w:rFonts w:ascii="Calibri" w:hAnsi="Calibri"/>
                <w:color w:val="auto"/>
              </w:rPr>
            </w:pPr>
            <w:r w:rsidRPr="00C34156">
              <w:rPr>
                <w:rFonts w:ascii="Calibri" w:hAnsi="Calibri"/>
                <w:color w:val="auto"/>
              </w:rPr>
              <w:t xml:space="preserve">The following may reduce insulin requirements: </w:t>
            </w:r>
            <w:r>
              <w:rPr>
                <w:rFonts w:ascii="Calibri" w:hAnsi="Calibri"/>
                <w:color w:val="auto"/>
              </w:rPr>
              <w:t>O</w:t>
            </w:r>
            <w:r w:rsidRPr="00C34156">
              <w:rPr>
                <w:rFonts w:ascii="Calibri" w:hAnsi="Calibri"/>
                <w:color w:val="auto"/>
              </w:rPr>
              <w:t>ctreotide, beta-adrenergic blocking agents, angiotensin converting enzyme inhibitors, salicylates, anabolic steroids, alpha-adrenergic blocking agents, quinine, quinidine and sulfonamides.</w:t>
            </w:r>
          </w:p>
          <w:p w:rsidRPr="00C34156" w:rsidR="00F21365" w:rsidP="00A26E96" w:rsidRDefault="00F21365" w14:paraId="6E403BE3" w14:textId="77777777">
            <w:pPr>
              <w:pStyle w:val="Default"/>
              <w:rPr>
                <w:rFonts w:ascii="Calibri" w:hAnsi="Calibri"/>
                <w:color w:val="auto"/>
              </w:rPr>
            </w:pPr>
            <w:r w:rsidRPr="00C34156">
              <w:rPr>
                <w:rFonts w:ascii="Calibri" w:hAnsi="Calibri"/>
                <w:color w:val="auto"/>
              </w:rPr>
              <w:t xml:space="preserve">The following may increase insulin requirements: </w:t>
            </w:r>
            <w:r>
              <w:rPr>
                <w:rFonts w:ascii="Calibri" w:hAnsi="Calibri"/>
                <w:color w:val="auto"/>
              </w:rPr>
              <w:t>T</w:t>
            </w:r>
            <w:r w:rsidRPr="00C34156">
              <w:rPr>
                <w:rFonts w:ascii="Calibri" w:hAnsi="Calibri"/>
                <w:color w:val="auto"/>
              </w:rPr>
              <w:t>hiazides, f</w:t>
            </w:r>
            <w:r>
              <w:rPr>
                <w:rFonts w:ascii="Calibri" w:hAnsi="Calibri"/>
                <w:color w:val="auto"/>
              </w:rPr>
              <w:t>uro</w:t>
            </w:r>
            <w:r w:rsidRPr="00C34156">
              <w:rPr>
                <w:rFonts w:ascii="Calibri" w:hAnsi="Calibri"/>
                <w:color w:val="auto"/>
              </w:rPr>
              <w:t>semide, ethacrynic acid, glucocorticoids, thyroid hormones, sympathomimetics, growth hormone, diazoxide.</w:t>
            </w:r>
          </w:p>
          <w:p w:rsidRPr="00C34156" w:rsidR="00F21365" w:rsidP="00A26E96" w:rsidRDefault="00F21365" w14:paraId="31466C66" w14:textId="77777777">
            <w:pPr>
              <w:pStyle w:val="Default"/>
              <w:rPr>
                <w:rFonts w:ascii="Calibri" w:hAnsi="Calibri"/>
                <w:color w:val="auto"/>
              </w:rPr>
            </w:pPr>
            <w:r w:rsidRPr="00C34156">
              <w:rPr>
                <w:rFonts w:ascii="Calibri" w:hAnsi="Calibri"/>
                <w:color w:val="auto"/>
              </w:rPr>
              <w:t xml:space="preserve">Sympathomimetics have a potassium lowering effect. </w:t>
            </w:r>
          </w:p>
        </w:tc>
      </w:tr>
      <w:tr w:rsidRPr="00C34156" w:rsidR="00F21365" w:rsidTr="009553CD" w14:paraId="6D6418F0" w14:textId="77777777">
        <w:trPr>
          <w:trHeight w:val="416"/>
        </w:trPr>
        <w:tc>
          <w:tcPr>
            <w:tcW w:w="2438" w:type="dxa"/>
            <w:tcBorders>
              <w:top w:val="single" w:color="000000" w:sz="4" w:space="0"/>
              <w:left w:val="single" w:color="000000" w:sz="4" w:space="0"/>
              <w:bottom w:val="single" w:color="000000" w:sz="4" w:space="0"/>
            </w:tcBorders>
          </w:tcPr>
          <w:p w:rsidRPr="00C34156" w:rsidR="00F21365" w:rsidP="006F0321" w:rsidRDefault="00F21365" w14:paraId="64773D7B" w14:textId="77777777">
            <w:pPr>
              <w:pStyle w:val="BodyText"/>
              <w:rPr>
                <w:lang w:val="en-AU"/>
              </w:rPr>
            </w:pPr>
            <w:r w:rsidRPr="00C34156">
              <w:rPr>
                <w:lang w:val="en-AU"/>
              </w:rPr>
              <w:t xml:space="preserve">Adverse Reactions         </w:t>
            </w:r>
          </w:p>
          <w:p w:rsidRPr="00C34156" w:rsidR="00F21365" w:rsidP="006F0321" w:rsidRDefault="00F21365" w14:paraId="4D7E8634"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09EF4FA9" w14:textId="77777777">
            <w:pPr>
              <w:pStyle w:val="BodyText"/>
              <w:jc w:val="left"/>
              <w:rPr>
                <w:lang w:val="en-AU"/>
              </w:rPr>
            </w:pPr>
            <w:r w:rsidRPr="00C34156">
              <w:rPr>
                <w:lang w:val="en-AU"/>
              </w:rPr>
              <w:t>Insulin/glucose infusion is associated with a high rate of hyperglycaemia and hypoglycaemia during infusion and hypoglycaemia during weaning (insulin has a longer half-life</w:t>
            </w:r>
            <w:r>
              <w:rPr>
                <w:lang w:val="en-AU"/>
              </w:rPr>
              <w:t xml:space="preserve"> than glucose</w:t>
            </w:r>
            <w:r w:rsidRPr="00C34156">
              <w:rPr>
                <w:lang w:val="en-AU"/>
              </w:rPr>
              <w:t>).</w:t>
            </w:r>
          </w:p>
          <w:p w:rsidRPr="00C34156" w:rsidR="00F21365" w:rsidP="00A26E96" w:rsidRDefault="00F21365" w14:paraId="3CCFC6E9" w14:textId="77777777">
            <w:pPr>
              <w:pStyle w:val="BodyText"/>
              <w:jc w:val="left"/>
              <w:rPr>
                <w:lang w:val="en-AU"/>
              </w:rPr>
            </w:pPr>
            <w:r w:rsidRPr="00C34156">
              <w:rPr>
                <w:lang w:val="en-AU"/>
              </w:rPr>
              <w:t xml:space="preserve">Hypokalaemia if infusion continued. </w:t>
            </w:r>
          </w:p>
          <w:p w:rsidRPr="00C34156" w:rsidR="00F21365" w:rsidP="00A26E96" w:rsidRDefault="00F21365" w14:paraId="0A0E9B2F" w14:textId="77777777">
            <w:pPr>
              <w:pStyle w:val="BodyText"/>
              <w:jc w:val="left"/>
              <w:rPr>
                <w:lang w:val="en-AU"/>
              </w:rPr>
            </w:pPr>
            <w:r w:rsidRPr="00C34156">
              <w:rPr>
                <w:lang w:val="en-AU"/>
              </w:rPr>
              <w:t xml:space="preserve">Hypertonic solution – potential for extravasation. </w:t>
            </w:r>
          </w:p>
        </w:tc>
      </w:tr>
      <w:tr w:rsidRPr="00C34156" w:rsidR="00F21365" w:rsidTr="009553CD" w14:paraId="231C2678" w14:textId="77777777">
        <w:trPr>
          <w:trHeight w:val="270"/>
        </w:trPr>
        <w:tc>
          <w:tcPr>
            <w:tcW w:w="2438" w:type="dxa"/>
            <w:tcBorders>
              <w:top w:val="single" w:color="000000" w:sz="4" w:space="0"/>
              <w:left w:val="single" w:color="000000" w:sz="4" w:space="0"/>
              <w:bottom w:val="single" w:color="000000" w:sz="4" w:space="0"/>
            </w:tcBorders>
          </w:tcPr>
          <w:p w:rsidRPr="00C34156" w:rsidR="00F21365" w:rsidP="006F0321" w:rsidRDefault="00F21365" w14:paraId="341D983D" w14:textId="77777777">
            <w:pPr>
              <w:pStyle w:val="BodyText"/>
              <w:rPr>
                <w:lang w:val="en-AU"/>
              </w:rPr>
            </w:pPr>
            <w:r w:rsidRPr="00C34156">
              <w:rPr>
                <w:lang w:val="en-AU"/>
              </w:rPr>
              <w:t xml:space="preserve">Compatibility </w:t>
            </w:r>
          </w:p>
        </w:tc>
        <w:tc>
          <w:tcPr>
            <w:tcW w:w="7338" w:type="dxa"/>
            <w:tcBorders>
              <w:top w:val="single" w:color="000000" w:sz="4" w:space="0"/>
              <w:left w:val="single" w:color="000000" w:sz="4" w:space="0"/>
              <w:bottom w:val="single" w:color="000000" w:sz="4" w:space="0"/>
              <w:right w:val="single" w:color="000000" w:sz="4" w:space="0"/>
            </w:tcBorders>
          </w:tcPr>
          <w:p w:rsidRPr="009553CD" w:rsidR="00F21365" w:rsidP="00A26E96" w:rsidRDefault="00F21365" w14:paraId="6E66291C" w14:textId="77777777">
            <w:pPr>
              <w:pStyle w:val="Default"/>
              <w:rPr>
                <w:rFonts w:ascii="Calibri" w:hAnsi="Calibri"/>
                <w:color w:val="auto"/>
                <w:sz w:val="16"/>
                <w:szCs w:val="16"/>
              </w:rPr>
            </w:pPr>
            <w:r w:rsidRPr="009553CD">
              <w:rPr>
                <w:rFonts w:ascii="Calibri" w:hAnsi="Calibri"/>
                <w:color w:val="auto"/>
                <w:sz w:val="16"/>
                <w:szCs w:val="16"/>
              </w:rPr>
              <w:t>Glucose 5%, glucose 10%, glucose 50%, sodium chloride 0.9%, lactated Ringer's injection</w:t>
            </w:r>
          </w:p>
          <w:p w:rsidRPr="009553CD" w:rsidR="00F21365" w:rsidP="00A26E96" w:rsidRDefault="00F21365" w14:paraId="604405EA" w14:textId="77777777">
            <w:pPr>
              <w:pStyle w:val="Default"/>
              <w:rPr>
                <w:rFonts w:ascii="Calibri" w:hAnsi="Calibri"/>
                <w:color w:val="auto"/>
                <w:sz w:val="16"/>
                <w:szCs w:val="16"/>
              </w:rPr>
            </w:pPr>
            <w:r w:rsidRPr="009553CD">
              <w:rPr>
                <w:rFonts w:ascii="Calibri" w:hAnsi="Calibri"/>
                <w:b/>
                <w:color w:val="auto"/>
                <w:sz w:val="16"/>
                <w:szCs w:val="16"/>
              </w:rPr>
              <w:t>Y-site administration:</w:t>
            </w:r>
            <w:r w:rsidRPr="009553CD">
              <w:rPr>
                <w:rFonts w:ascii="Calibri" w:hAnsi="Calibri"/>
                <w:color w:val="auto"/>
                <w:sz w:val="16"/>
                <w:szCs w:val="16"/>
              </w:rPr>
              <w:t xml:space="preserve"> Azathioprine sodium; aztreonam; bretylium tosylate; bumetanide; buprenorphine hydrochloride; calcium chloride dihydrate; calcium gluconate</w:t>
            </w:r>
            <w:r w:rsidRPr="009553CD">
              <w:rPr>
                <w:sz w:val="16"/>
                <w:szCs w:val="16"/>
              </w:rPr>
              <w:t xml:space="preserve"> </w:t>
            </w:r>
            <w:r w:rsidRPr="009553CD">
              <w:rPr>
                <w:rFonts w:ascii="Calibri" w:hAnsi="Calibri"/>
                <w:color w:val="auto"/>
                <w:sz w:val="16"/>
                <w:szCs w:val="16"/>
              </w:rPr>
              <w:t>monohydrate; caspofungin acetate; cefamandole nafate; cefazolin sodium; cefepime hydrochloride; cefotaxime; ceftazidime; ceftizoxime; ceftriaxone sodium; cefuroxime; chloramphenicol sodium succinate; cimetidine hydrochloride; clarithromycin; clindamycin phosphate; cyanocobalamin; dexamethasone sodium phosphate; doxapram hydrochloride; enalaprilat; epirubicin hydrochloride; epoetin alfa; erythromycin lactobionate; fentanyl citrate; fluconazole; folic acid (as sodium salt); foscarnet sodium; fosphenytoin sodium; ganciclovir sodium; hydrocortisone sodium succinate; ibuprofen lysine; imipenem-cilastatin sodium; indometacin sodium trihydrate; lidocaine hydrochloride; magnesium sulfate; mannitol; meropenem; methadone hydrochloride; methylprednisolone sodium succinate; metoclopramide hydrochloride; metoprolol tartrate; metronidazole; milrinone lactate; naloxone hydrochloride; netilmicin sulfate ; nitroglycerin; nitroprusside sodium; octreotide acetate; oxacillin sodium; pancuronium bromide; benzylpenicillin; phenobarbital sodium; phytomenadione; piperacillin sodium; potassium acetate; potassium chloride; procainamide hydrochloride; promethazine hydrochloride; propofol; pyridoxine hydrochloride; remifentanil hydrochloride; ritodrine hydrochloride; sodium bicarbonate; streptokinase; sufentanil citrate; tacrolimus; terbutaline sulfate; theophylline; thiamine hydrochloride; ticarcillin disodium; ticarcillin disodium-clavulanate potassium; urokinase; vancomycin hydrochloride; vecuronium bromide; verapamil hydrochloride; voriconazole</w:t>
            </w:r>
          </w:p>
          <w:p w:rsidRPr="009553CD" w:rsidR="00F21365" w:rsidP="00A26E96" w:rsidRDefault="00F21365" w14:paraId="2CA3CDD5" w14:textId="77777777">
            <w:pPr>
              <w:pStyle w:val="Default"/>
              <w:rPr>
                <w:rFonts w:ascii="Calibri" w:hAnsi="Calibri"/>
                <w:color w:val="auto"/>
                <w:sz w:val="16"/>
                <w:szCs w:val="16"/>
              </w:rPr>
            </w:pPr>
            <w:r w:rsidRPr="009553CD">
              <w:rPr>
                <w:rFonts w:ascii="Calibri" w:hAnsi="Calibri"/>
                <w:b/>
                <w:color w:val="auto"/>
                <w:sz w:val="16"/>
                <w:szCs w:val="16"/>
              </w:rPr>
              <w:t>In syringe:</w:t>
            </w:r>
            <w:r w:rsidRPr="009553CD">
              <w:rPr>
                <w:rFonts w:ascii="Calibri" w:hAnsi="Calibri"/>
                <w:color w:val="auto"/>
                <w:sz w:val="16"/>
                <w:szCs w:val="16"/>
              </w:rPr>
              <w:t xml:space="preserve"> Insulin NPH.</w:t>
            </w:r>
          </w:p>
        </w:tc>
      </w:tr>
      <w:tr w:rsidRPr="00C34156" w:rsidR="00F21365" w:rsidTr="009553CD" w14:paraId="68FEE26A" w14:textId="77777777">
        <w:trPr>
          <w:trHeight w:val="206"/>
        </w:trPr>
        <w:tc>
          <w:tcPr>
            <w:tcW w:w="2438" w:type="dxa"/>
            <w:tcBorders>
              <w:top w:val="single" w:color="000000" w:sz="4" w:space="0"/>
              <w:left w:val="single" w:color="000000" w:sz="4" w:space="0"/>
              <w:bottom w:val="single" w:color="000000" w:sz="4" w:space="0"/>
            </w:tcBorders>
          </w:tcPr>
          <w:p w:rsidRPr="00C34156" w:rsidR="00F21365" w:rsidP="006F0321" w:rsidRDefault="00F21365" w14:paraId="09FC8504" w14:textId="77777777">
            <w:pPr>
              <w:pStyle w:val="BodyText"/>
              <w:rPr>
                <w:u w:val="single"/>
                <w:lang w:val="en-AU"/>
              </w:rPr>
            </w:pPr>
            <w:r w:rsidRPr="00C34156">
              <w:rPr>
                <w:lang w:val="en-AU"/>
              </w:rPr>
              <w:t xml:space="preserve">Incompatibility  </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37879F81" w14:textId="77777777">
            <w:pPr>
              <w:pStyle w:val="Default"/>
              <w:rPr>
                <w:rFonts w:ascii="Calibri" w:hAnsi="Calibri"/>
                <w:color w:val="0000FF"/>
              </w:rPr>
            </w:pPr>
            <w:r w:rsidRPr="00C34156">
              <w:rPr>
                <w:rFonts w:ascii="Calibri" w:hAnsi="Calibri"/>
                <w:b/>
              </w:rPr>
              <w:t>Y-site administration:</w:t>
            </w:r>
            <w:r w:rsidRPr="00C34156">
              <w:rPr>
                <w:rFonts w:ascii="Calibri" w:hAnsi="Calibri"/>
              </w:rPr>
              <w:t xml:space="preserve"> Cefoxi</w:t>
            </w:r>
            <w:r w:rsidRPr="00802260">
              <w:rPr>
                <w:rFonts w:ascii="Calibri" w:hAnsi="Calibri"/>
              </w:rPr>
              <w:t xml:space="preserve">tin; chlorpromazine; diazepam; diazoxide; glycopyrronium bromide (glycopyrrolate); </w:t>
            </w:r>
            <w:r>
              <w:rPr>
                <w:rFonts w:ascii="Calibri" w:hAnsi="Calibri"/>
              </w:rPr>
              <w:t>isoprenaline</w:t>
            </w:r>
            <w:r w:rsidRPr="00802260">
              <w:rPr>
                <w:rFonts w:ascii="Calibri" w:hAnsi="Calibri"/>
              </w:rPr>
              <w:t xml:space="preserve">; ketamine; labetalol; micafungin; </w:t>
            </w:r>
            <w:r w:rsidRPr="007F0949">
              <w:rPr>
                <w:rFonts w:ascii="Calibri" w:hAnsi="Calibri"/>
              </w:rPr>
              <w:t>noradrenaline</w:t>
            </w:r>
            <w:r>
              <w:rPr>
                <w:rFonts w:ascii="Calibri" w:hAnsi="Calibri"/>
              </w:rPr>
              <w:t xml:space="preserve"> (norepinephrine); </w:t>
            </w:r>
            <w:r w:rsidRPr="00802260">
              <w:rPr>
                <w:rFonts w:ascii="Calibri" w:hAnsi="Calibri"/>
              </w:rPr>
              <w:t>phentolamine; phenylephrine; phenytoin; piperacillin sodium-tazobactam sodium; polymyxin; propranolol; protamine; quinidine; rocuronium; sulfamethoxazole-trime</w:t>
            </w:r>
            <w:r w:rsidRPr="00C34156">
              <w:rPr>
                <w:rFonts w:ascii="Calibri" w:hAnsi="Calibri"/>
              </w:rPr>
              <w:t>thoprim;</w:t>
            </w:r>
          </w:p>
        </w:tc>
      </w:tr>
      <w:tr w:rsidRPr="00C34156" w:rsidR="00F21365" w:rsidTr="009553CD" w14:paraId="00F2C0DD" w14:textId="77777777">
        <w:trPr>
          <w:trHeight w:val="510"/>
        </w:trPr>
        <w:tc>
          <w:tcPr>
            <w:tcW w:w="2438" w:type="dxa"/>
            <w:tcBorders>
              <w:top w:val="single" w:color="000000" w:sz="4" w:space="0"/>
              <w:left w:val="single" w:color="000000" w:sz="4" w:space="0"/>
              <w:bottom w:val="single" w:color="000000" w:sz="4" w:space="0"/>
            </w:tcBorders>
          </w:tcPr>
          <w:p w:rsidRPr="00C34156" w:rsidR="00F21365" w:rsidP="006F0321" w:rsidRDefault="00F21365" w14:paraId="1540F273" w14:textId="77777777">
            <w:pPr>
              <w:pStyle w:val="BodyText"/>
              <w:rPr>
                <w:lang w:val="en-AU"/>
              </w:rPr>
            </w:pPr>
            <w:r w:rsidRPr="00C34156">
              <w:rPr>
                <w:lang w:val="en-AU"/>
              </w:rPr>
              <w:lastRenderedPageBreak/>
              <w:t xml:space="preserve">Stability                  </w:t>
            </w:r>
          </w:p>
        </w:tc>
        <w:tc>
          <w:tcPr>
            <w:tcW w:w="7338" w:type="dxa"/>
            <w:tcBorders>
              <w:top w:val="single" w:color="000000" w:sz="4" w:space="0"/>
              <w:left w:val="single" w:color="000000" w:sz="4" w:space="0"/>
              <w:bottom w:val="single" w:color="000000" w:sz="4" w:space="0"/>
              <w:right w:val="single" w:color="000000" w:sz="4" w:space="0"/>
            </w:tcBorders>
          </w:tcPr>
          <w:p w:rsidRPr="007F0949" w:rsidR="00F21365" w:rsidP="00A26E96" w:rsidRDefault="00F21365" w14:paraId="77A1D581" w14:textId="77777777">
            <w:pPr>
              <w:pStyle w:val="BodyText"/>
              <w:jc w:val="left"/>
            </w:pPr>
            <w:r w:rsidRPr="007F0949">
              <w:t>Actrapid: Prepared solutions are stable at room temperature (&lt;</w:t>
            </w:r>
            <w:r>
              <w:t xml:space="preserve"> </w:t>
            </w:r>
            <w:r w:rsidRPr="007F0949">
              <w:t xml:space="preserve">25°C) for 24 hours. </w:t>
            </w:r>
          </w:p>
          <w:p w:rsidRPr="00C34156" w:rsidR="00F21365" w:rsidP="00A26E96" w:rsidRDefault="00F21365" w14:paraId="1688AAC1" w14:textId="77777777">
            <w:pPr>
              <w:pStyle w:val="BodyText"/>
              <w:jc w:val="left"/>
              <w:rPr>
                <w:lang w:val="en-AU"/>
              </w:rPr>
            </w:pPr>
            <w:r w:rsidRPr="00C57A9E">
              <w:rPr>
                <w:lang w:val="en-AU"/>
              </w:rPr>
              <w:t>Humulin R</w:t>
            </w:r>
            <w:r>
              <w:rPr>
                <w:lang w:val="en-AU"/>
              </w:rPr>
              <w:t xml:space="preserve">: </w:t>
            </w:r>
            <w:r w:rsidRPr="00C34156">
              <w:rPr>
                <w:lang w:val="en-AU"/>
              </w:rPr>
              <w:t>Prepared infusions can be stored refrigerated for 48 hours and may be used at room temperature for an additional 48 hours</w:t>
            </w:r>
            <w:r>
              <w:rPr>
                <w:lang w:val="en-AU"/>
              </w:rPr>
              <w:t>.</w:t>
            </w:r>
            <w:r w:rsidRPr="00C34156">
              <w:rPr>
                <w:lang w:val="en-AU"/>
              </w:rPr>
              <w:t xml:space="preserve"> </w:t>
            </w:r>
          </w:p>
          <w:p w:rsidRPr="00C34156" w:rsidR="00F21365" w:rsidP="00A26E96" w:rsidRDefault="00F21365" w14:paraId="140B6F61" w14:textId="77777777">
            <w:pPr>
              <w:pStyle w:val="BodyText"/>
              <w:jc w:val="left"/>
              <w:rPr>
                <w:lang w:val="en-AU"/>
              </w:rPr>
            </w:pPr>
          </w:p>
          <w:p w:rsidRPr="00C34156" w:rsidR="00F21365" w:rsidP="00A26E96" w:rsidRDefault="00F21365" w14:paraId="15BC97BC" w14:textId="77777777">
            <w:pPr>
              <w:pStyle w:val="BodyText"/>
              <w:jc w:val="left"/>
              <w:rPr>
                <w:lang w:val="en-AU"/>
              </w:rPr>
            </w:pPr>
            <w:r w:rsidRPr="00C34156">
              <w:rPr>
                <w:lang w:val="en-AU"/>
              </w:rPr>
              <w:t>A 20</w:t>
            </w:r>
            <w:r>
              <w:rPr>
                <w:lang w:val="en-AU"/>
              </w:rPr>
              <w:t xml:space="preserve"> </w:t>
            </w:r>
            <w:r w:rsidRPr="00C34156">
              <w:rPr>
                <w:lang w:val="en-AU"/>
              </w:rPr>
              <w:t>mL insulin priming solution at a concentration of 0.1</w:t>
            </w:r>
            <w:r>
              <w:rPr>
                <w:lang w:val="en-AU"/>
              </w:rPr>
              <w:t xml:space="preserve"> units</w:t>
            </w:r>
            <w:r w:rsidRPr="00C34156">
              <w:rPr>
                <w:lang w:val="en-AU"/>
              </w:rPr>
              <w:t xml:space="preserve"> per mL was found to deliver 80% of the expected insulin </w:t>
            </w:r>
            <w:r w:rsidRPr="00C34156">
              <w:rPr>
                <w:noProof/>
                <w:lang w:val="en-AU"/>
              </w:rPr>
              <w:t>[1]</w:t>
            </w:r>
            <w:r w:rsidRPr="00C34156">
              <w:rPr>
                <w:lang w:val="en-AU"/>
              </w:rPr>
              <w:t>.</w:t>
            </w:r>
          </w:p>
          <w:p w:rsidRPr="00C34156" w:rsidR="00F21365" w:rsidP="00A26E96" w:rsidRDefault="00F21365" w14:paraId="7F15C350" w14:textId="77777777">
            <w:pPr>
              <w:pStyle w:val="BodyText"/>
              <w:jc w:val="left"/>
              <w:rPr>
                <w:lang w:val="en-AU"/>
              </w:rPr>
            </w:pPr>
            <w:r w:rsidRPr="00C34156">
              <w:rPr>
                <w:lang w:val="en-AU"/>
              </w:rPr>
              <w:t>A 20</w:t>
            </w:r>
            <w:r>
              <w:rPr>
                <w:lang w:val="en-AU"/>
              </w:rPr>
              <w:t xml:space="preserve"> </w:t>
            </w:r>
            <w:r w:rsidRPr="00C34156">
              <w:rPr>
                <w:lang w:val="en-AU"/>
              </w:rPr>
              <w:t>mL insulin priming solution with additional preconditioning for 1 hour at a concentration of 0.05</w:t>
            </w:r>
            <w:r>
              <w:rPr>
                <w:lang w:val="en-AU"/>
              </w:rPr>
              <w:t xml:space="preserve"> units</w:t>
            </w:r>
            <w:r w:rsidRPr="00C34156">
              <w:rPr>
                <w:lang w:val="en-AU"/>
              </w:rPr>
              <w:t xml:space="preserve"> per mL was found to deliver 26.5% of the expected insulin </w:t>
            </w:r>
            <w:r w:rsidRPr="00C34156">
              <w:rPr>
                <w:noProof/>
                <w:lang w:val="en-AU"/>
              </w:rPr>
              <w:t>[2]</w:t>
            </w:r>
            <w:r w:rsidRPr="00C34156">
              <w:rPr>
                <w:lang w:val="en-AU"/>
              </w:rPr>
              <w:t>.</w:t>
            </w:r>
          </w:p>
        </w:tc>
      </w:tr>
      <w:tr w:rsidRPr="00C34156" w:rsidR="00F21365" w:rsidTr="009553CD" w14:paraId="5E9767F3" w14:textId="77777777">
        <w:trPr>
          <w:trHeight w:val="371"/>
        </w:trPr>
        <w:tc>
          <w:tcPr>
            <w:tcW w:w="2438" w:type="dxa"/>
            <w:tcBorders>
              <w:top w:val="single" w:color="000000" w:sz="4" w:space="0"/>
              <w:left w:val="single" w:color="000000" w:sz="4" w:space="0"/>
              <w:bottom w:val="single" w:color="000000" w:sz="4" w:space="0"/>
            </w:tcBorders>
          </w:tcPr>
          <w:p w:rsidRPr="00C34156" w:rsidR="00F21365" w:rsidP="006F0321" w:rsidRDefault="00F21365" w14:paraId="7BDD87DE" w14:textId="77777777">
            <w:pPr>
              <w:pStyle w:val="BodyText"/>
              <w:rPr>
                <w:u w:val="single"/>
                <w:lang w:val="en-AU"/>
              </w:rPr>
            </w:pPr>
            <w:r w:rsidRPr="00C34156">
              <w:rPr>
                <w:lang w:val="en-AU"/>
              </w:rPr>
              <w:t xml:space="preserve">Storage             </w:t>
            </w: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7CB24895" w14:textId="77777777">
            <w:pPr>
              <w:pStyle w:val="BodyText"/>
              <w:jc w:val="left"/>
              <w:rPr>
                <w:color w:val="0000FF"/>
                <w:lang w:val="en-AU"/>
              </w:rPr>
            </w:pPr>
            <w:r w:rsidRPr="00C34156">
              <w:rPr>
                <w:lang w:val="en-AU"/>
              </w:rPr>
              <w:t>Store human insulin preparations between 2 and 8</w:t>
            </w:r>
            <w:r>
              <w:rPr>
                <w:rFonts w:cs="Calibri"/>
                <w:lang w:val="en-AU"/>
              </w:rPr>
              <w:t>°</w:t>
            </w:r>
            <w:r w:rsidRPr="00C34156">
              <w:rPr>
                <w:lang w:val="en-AU"/>
              </w:rPr>
              <w:t>C. The shelf life is 30 months when stored between 2 and 8</w:t>
            </w:r>
            <w:r>
              <w:rPr>
                <w:rFonts w:cs="Calibri"/>
                <w:lang w:val="en-AU"/>
              </w:rPr>
              <w:t>°</w:t>
            </w:r>
            <w:r w:rsidRPr="00C34156">
              <w:rPr>
                <w:lang w:val="en-AU"/>
              </w:rPr>
              <w:t>C. Do not freeze. Human insulin preparations which have been frozen must not be used. Protect from excessive heat and light. Should appear clear and colourless. After first use, the vials may be kept at room temperature (below 25</w:t>
            </w:r>
            <w:r>
              <w:rPr>
                <w:rFonts w:cs="Calibri"/>
                <w:lang w:val="en-AU"/>
              </w:rPr>
              <w:t>°</w:t>
            </w:r>
            <w:r w:rsidRPr="00C34156">
              <w:rPr>
                <w:lang w:val="en-AU"/>
              </w:rPr>
              <w:t>C) for 4 weeks.</w:t>
            </w:r>
          </w:p>
        </w:tc>
      </w:tr>
      <w:tr w:rsidRPr="00C34156" w:rsidR="00F21365" w:rsidTr="009553CD" w14:paraId="477A02D7" w14:textId="77777777">
        <w:trPr>
          <w:trHeight w:val="395"/>
        </w:trPr>
        <w:tc>
          <w:tcPr>
            <w:tcW w:w="2438" w:type="dxa"/>
            <w:tcBorders>
              <w:top w:val="single" w:color="000000" w:sz="4" w:space="0"/>
              <w:left w:val="single" w:color="000000" w:sz="4" w:space="0"/>
              <w:bottom w:val="single" w:color="000000" w:sz="4" w:space="0"/>
            </w:tcBorders>
          </w:tcPr>
          <w:p w:rsidRPr="00C34156" w:rsidR="00F21365" w:rsidP="006F0321" w:rsidRDefault="00F21365" w14:paraId="717BBDCD" w14:textId="77777777">
            <w:pPr>
              <w:pStyle w:val="BodyText"/>
              <w:rPr>
                <w:lang w:val="en-AU"/>
              </w:rPr>
            </w:pPr>
            <w:r w:rsidRPr="00C34156">
              <w:rPr>
                <w:lang w:val="en-AU"/>
              </w:rPr>
              <w:t xml:space="preserve">Special Comments       </w:t>
            </w:r>
          </w:p>
          <w:p w:rsidRPr="00C34156" w:rsidR="00F21365" w:rsidP="006F0321" w:rsidRDefault="00F21365" w14:paraId="332D4A39" w14:textId="77777777">
            <w:pPr>
              <w:pStyle w:val="BodyText"/>
              <w:rPr>
                <w:lang w:val="en-AU"/>
              </w:rPr>
            </w:pPr>
          </w:p>
        </w:tc>
        <w:tc>
          <w:tcPr>
            <w:tcW w:w="7338"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6B854425" w14:textId="77777777">
            <w:pPr>
              <w:rPr>
                <w:rFonts w:eastAsia="Helvetica"/>
                <w:lang w:val="en-AU"/>
              </w:rPr>
            </w:pPr>
            <w:r w:rsidRPr="00C34156">
              <w:rPr>
                <w:rFonts w:eastAsia="Helvetica"/>
                <w:lang w:val="en-AU"/>
              </w:rPr>
              <w:t xml:space="preserve">Recommend administer insulin/glucose in same line as intravenous fluids. </w:t>
            </w:r>
          </w:p>
          <w:p w:rsidRPr="00C34156" w:rsidR="00F21365" w:rsidP="00A26E96" w:rsidRDefault="00F21365" w14:paraId="72943EAB" w14:textId="77777777">
            <w:pPr>
              <w:rPr>
                <w:rFonts w:eastAsia="Helvetica-Bold"/>
                <w:b/>
                <w:lang w:val="en-AU"/>
              </w:rPr>
            </w:pPr>
            <w:r w:rsidRPr="00C34156">
              <w:rPr>
                <w:rFonts w:eastAsia="Helvetica"/>
                <w:lang w:val="en-AU"/>
              </w:rPr>
              <w:t xml:space="preserve">Recommend intravenous fluids and/or an additional glucose </w:t>
            </w:r>
            <w:r w:rsidRPr="00C57A9E">
              <w:rPr>
                <w:rFonts w:eastAsia="Helvetica"/>
                <w:lang w:val="en-AU"/>
              </w:rPr>
              <w:t xml:space="preserve">25% </w:t>
            </w:r>
            <w:r w:rsidRPr="00C34156">
              <w:rPr>
                <w:rFonts w:eastAsia="Helvetica"/>
                <w:lang w:val="en-AU"/>
              </w:rPr>
              <w:t xml:space="preserve">syringe placed proximally for rapid treatment of hypoglycaemia if needed. </w:t>
            </w:r>
          </w:p>
          <w:p w:rsidRPr="00C34156" w:rsidR="00F21365" w:rsidP="00A26E96" w:rsidRDefault="00F21365" w14:paraId="3C351072" w14:textId="77777777">
            <w:pPr>
              <w:rPr>
                <w:rFonts w:eastAsia="Helvetica"/>
                <w:lang w:val="en-AU"/>
              </w:rPr>
            </w:pPr>
            <w:r w:rsidRPr="00C34156">
              <w:rPr>
                <w:rFonts w:eastAsia="Helvetica-Bold"/>
                <w:b/>
                <w:lang w:val="en-AU"/>
              </w:rPr>
              <w:t xml:space="preserve">Do not </w:t>
            </w:r>
            <w:r w:rsidRPr="00C34156">
              <w:rPr>
                <w:rFonts w:eastAsia="Helvetica"/>
                <w:lang w:val="en-AU"/>
              </w:rPr>
              <w:t>include insulin in the total daily fluid intake.</w:t>
            </w:r>
          </w:p>
          <w:p w:rsidRPr="00C34156" w:rsidR="00F21365" w:rsidP="00A26E96" w:rsidRDefault="00F21365" w14:paraId="5AC4B5A9" w14:textId="77777777">
            <w:pPr>
              <w:rPr>
                <w:lang w:val="en-AU"/>
              </w:rPr>
            </w:pPr>
            <w:r w:rsidRPr="00C34156">
              <w:rPr>
                <w:rFonts w:eastAsia="Helvetica"/>
                <w:lang w:val="en-AU"/>
              </w:rPr>
              <w:t xml:space="preserve">Frequent blood glucose </w:t>
            </w:r>
            <w:r>
              <w:rPr>
                <w:rFonts w:eastAsia="Helvetica"/>
                <w:lang w:val="en-AU"/>
              </w:rPr>
              <w:t xml:space="preserve">and potassium </w:t>
            </w:r>
            <w:r w:rsidRPr="00C34156">
              <w:rPr>
                <w:rFonts w:eastAsia="Helvetica"/>
                <w:lang w:val="en-AU"/>
              </w:rPr>
              <w:t>estimations</w:t>
            </w:r>
            <w:r>
              <w:rPr>
                <w:rFonts w:eastAsia="Helvetica"/>
                <w:lang w:val="en-AU"/>
              </w:rPr>
              <w:t>,</w:t>
            </w:r>
            <w:r w:rsidRPr="00C34156">
              <w:rPr>
                <w:rFonts w:eastAsia="Helvetica"/>
                <w:lang w:val="en-AU"/>
              </w:rPr>
              <w:t xml:space="preserve"> especially after commencement and during weaning of infusion are needed for titration and safety. </w:t>
            </w:r>
          </w:p>
        </w:tc>
      </w:tr>
      <w:tr w:rsidRPr="00C34156" w:rsidR="00F21365" w:rsidTr="009553CD" w14:paraId="0563298F" w14:textId="77777777">
        <w:trPr>
          <w:trHeight w:val="802"/>
        </w:trPr>
        <w:tc>
          <w:tcPr>
            <w:tcW w:w="2438" w:type="dxa"/>
            <w:tcBorders>
              <w:top w:val="single" w:color="000000" w:sz="4" w:space="0"/>
              <w:left w:val="single" w:color="000000" w:sz="4" w:space="0"/>
              <w:bottom w:val="single" w:color="000000" w:sz="4" w:space="0"/>
            </w:tcBorders>
          </w:tcPr>
          <w:p w:rsidRPr="00C34156" w:rsidR="00F21365" w:rsidP="006F0321" w:rsidRDefault="00F21365" w14:paraId="2ECBC1E8" w14:textId="77777777">
            <w:pPr>
              <w:pStyle w:val="BodyText"/>
              <w:rPr>
                <w:lang w:val="en-AU"/>
              </w:rPr>
            </w:pPr>
            <w:r w:rsidRPr="00C34156">
              <w:rPr>
                <w:lang w:val="en-AU"/>
              </w:rPr>
              <w:t>Evidence summary</w:t>
            </w:r>
          </w:p>
        </w:tc>
        <w:tc>
          <w:tcPr>
            <w:tcW w:w="7338" w:type="dxa"/>
            <w:tcBorders>
              <w:top w:val="single" w:color="000000" w:sz="4" w:space="0"/>
              <w:left w:val="single" w:color="000000" w:sz="4" w:space="0"/>
              <w:bottom w:val="single" w:color="000000" w:sz="4" w:space="0"/>
              <w:right w:val="single" w:color="000000" w:sz="4" w:space="0"/>
            </w:tcBorders>
          </w:tcPr>
          <w:p w:rsidRPr="009553CD" w:rsidR="00F21365" w:rsidP="00A26E96" w:rsidRDefault="00F21365" w14:paraId="59DAA5EA" w14:textId="77777777">
            <w:pPr>
              <w:rPr>
                <w:sz w:val="16"/>
                <w:szCs w:val="16"/>
                <w:lang w:val="en-AU"/>
              </w:rPr>
            </w:pPr>
            <w:r w:rsidRPr="009553CD">
              <w:rPr>
                <w:sz w:val="16"/>
                <w:szCs w:val="16"/>
                <w:lang w:val="en-AU"/>
              </w:rPr>
              <w:t>Efficacy</w:t>
            </w:r>
          </w:p>
          <w:p w:rsidRPr="009553CD" w:rsidR="00F21365" w:rsidP="00A26E96" w:rsidRDefault="00F21365" w14:paraId="341BEA89" w14:textId="77777777">
            <w:pPr>
              <w:rPr>
                <w:sz w:val="16"/>
                <w:szCs w:val="16"/>
                <w:lang w:val="en-AU"/>
              </w:rPr>
            </w:pPr>
            <w:r w:rsidRPr="009553CD">
              <w:rPr>
                <w:b/>
                <w:sz w:val="16"/>
                <w:szCs w:val="16"/>
                <w:lang w:val="en-AU"/>
              </w:rPr>
              <w:t xml:space="preserve">Treatment of hyperkalaemia: </w:t>
            </w:r>
            <w:r w:rsidRPr="009553CD">
              <w:rPr>
                <w:sz w:val="16"/>
                <w:szCs w:val="16"/>
                <w:lang w:val="en-AU"/>
              </w:rPr>
              <w:t xml:space="preserve">A systematic review </w:t>
            </w:r>
            <w:r w:rsidRPr="009553CD">
              <w:rPr>
                <w:noProof/>
                <w:sz w:val="16"/>
                <w:szCs w:val="16"/>
                <w:lang w:val="en-AU"/>
              </w:rPr>
              <w:t>[3]</w:t>
            </w:r>
            <w:r w:rsidRPr="009553CD">
              <w:rPr>
                <w:sz w:val="16"/>
                <w:szCs w:val="16"/>
                <w:lang w:val="en-AU"/>
              </w:rPr>
              <w:t xml:space="preserve"> of interventions for neonatal hyperkalaemia found 2 studies </w:t>
            </w:r>
            <w:r w:rsidRPr="009553CD">
              <w:rPr>
                <w:noProof/>
                <w:sz w:val="16"/>
                <w:szCs w:val="16"/>
                <w:lang w:val="en-AU"/>
              </w:rPr>
              <w:t>[4, 5]</w:t>
            </w:r>
            <w:r w:rsidRPr="009553CD">
              <w:rPr>
                <w:sz w:val="16"/>
                <w:szCs w:val="16"/>
                <w:lang w:val="en-AU"/>
              </w:rPr>
              <w:t xml:space="preserve"> comparing insulin/glucose infusion versus rectal cation-resin. Meta-analysis of 2 studies (52 infants) found no difference in cardiac arrhythmias [RR 0.29; 95% CI 0.05, 1.65]; or all-cause mortality [RR 0.18; 0.03, 1.15]. Malone 1991, using an insulin infusion 0.05 to 0.2 units/kg/hour in albumin 5%, reported reduced treatment failure (rise in K</w:t>
            </w:r>
            <w:r w:rsidRPr="009553CD">
              <w:rPr>
                <w:sz w:val="16"/>
                <w:szCs w:val="16"/>
                <w:vertAlign w:val="superscript"/>
                <w:lang w:val="en-AU"/>
              </w:rPr>
              <w:t>+</w:t>
            </w:r>
            <w:r w:rsidRPr="009553CD">
              <w:rPr>
                <w:sz w:val="16"/>
                <w:szCs w:val="16"/>
                <w:lang w:val="en-AU"/>
              </w:rPr>
              <w:t xml:space="preserve"> concentration &gt; 0.5 mmol/L or K</w:t>
            </w:r>
            <w:r w:rsidRPr="009553CD">
              <w:rPr>
                <w:sz w:val="16"/>
                <w:szCs w:val="16"/>
                <w:vertAlign w:val="superscript"/>
                <w:lang w:val="en-AU"/>
              </w:rPr>
              <w:t>+</w:t>
            </w:r>
            <w:r w:rsidRPr="009553CD">
              <w:rPr>
                <w:sz w:val="16"/>
                <w:szCs w:val="16"/>
                <w:lang w:val="en-AU"/>
              </w:rPr>
              <w:t xml:space="preserve"> &gt; 7 mmol/L) of borderline statistical significance [RR 0.07; 0.00 to 1.01; RD -1.00; -1.28 to -0.72] compared to resin </w:t>
            </w:r>
            <w:r w:rsidRPr="009553CD">
              <w:rPr>
                <w:noProof/>
                <w:sz w:val="16"/>
                <w:szCs w:val="16"/>
                <w:lang w:val="en-AU"/>
              </w:rPr>
              <w:t>[5]</w:t>
            </w:r>
            <w:r w:rsidRPr="009553CD">
              <w:rPr>
                <w:sz w:val="16"/>
                <w:szCs w:val="16"/>
                <w:lang w:val="en-AU"/>
              </w:rPr>
              <w:t>. Hu 1999, using a glucose/insulin infusion with glucose 10–15 g:insulin 1 unit, reported a reduction in duration of hyperkalaemia [MD -12.20 hours; -20.95, -3.45]; no difference in peak serum K</w:t>
            </w:r>
            <w:r w:rsidRPr="009553CD">
              <w:rPr>
                <w:sz w:val="16"/>
                <w:szCs w:val="16"/>
                <w:vertAlign w:val="superscript"/>
                <w:lang w:val="en-AU"/>
              </w:rPr>
              <w:t>+</w:t>
            </w:r>
            <w:r w:rsidRPr="009553CD">
              <w:rPr>
                <w:sz w:val="16"/>
                <w:szCs w:val="16"/>
                <w:lang w:val="en-AU"/>
              </w:rPr>
              <w:t xml:space="preserve"> [MD -0.10 mmol/L; -0.57, 0.37]; a reduction in IVH [RR 0.3; 0.10, 0.93] and IVH grades ≥ 2 [RR 0.3; 0.10, 0.93] compared to resin; and no infant with hypoglycaemia in either group </w:t>
            </w:r>
            <w:r w:rsidRPr="009553CD">
              <w:rPr>
                <w:noProof/>
                <w:sz w:val="16"/>
                <w:szCs w:val="16"/>
                <w:lang w:val="en-AU"/>
              </w:rPr>
              <w:t>[4]</w:t>
            </w:r>
            <w:r w:rsidRPr="009553CD">
              <w:rPr>
                <w:sz w:val="16"/>
                <w:szCs w:val="16"/>
                <w:lang w:val="en-AU"/>
              </w:rPr>
              <w:t xml:space="preserve">. No study compared insulin-glucose with a beta-agonist. </w:t>
            </w:r>
            <w:r w:rsidRPr="009553CD">
              <w:rPr>
                <w:b/>
                <w:sz w:val="16"/>
                <w:szCs w:val="16"/>
                <w:lang w:val="en-AU"/>
              </w:rPr>
              <w:t>Conclusion:</w:t>
            </w:r>
            <w:r w:rsidRPr="009553CD">
              <w:rPr>
                <w:sz w:val="16"/>
                <w:szCs w:val="16"/>
                <w:lang w:val="en-AU"/>
              </w:rPr>
              <w:t xml:space="preserve"> The combination of insulin and glucose is preferred over treatment with rectal cation-resin for hyperkalaemia in preterm infants </w:t>
            </w:r>
            <w:r w:rsidRPr="009553CD">
              <w:rPr>
                <w:noProof/>
                <w:sz w:val="16"/>
                <w:szCs w:val="16"/>
                <w:lang w:val="en-AU"/>
              </w:rPr>
              <w:t>[3]</w:t>
            </w:r>
            <w:r w:rsidRPr="009553CD">
              <w:rPr>
                <w:sz w:val="16"/>
                <w:szCs w:val="16"/>
                <w:lang w:val="en-AU"/>
              </w:rPr>
              <w:t>. (LOE I GOR C)</w:t>
            </w:r>
          </w:p>
          <w:p w:rsidRPr="009553CD" w:rsidR="00F21365" w:rsidP="00A26E96" w:rsidRDefault="00F21365" w14:paraId="2E014C28" w14:textId="77777777">
            <w:pPr>
              <w:rPr>
                <w:sz w:val="16"/>
                <w:szCs w:val="16"/>
                <w:lang w:val="en-AU"/>
              </w:rPr>
            </w:pPr>
            <w:r w:rsidRPr="009553CD">
              <w:rPr>
                <w:b/>
                <w:sz w:val="16"/>
                <w:szCs w:val="16"/>
                <w:lang w:val="en-AU"/>
              </w:rPr>
              <w:t xml:space="preserve">Glucose:insulin ratio: </w:t>
            </w:r>
            <w:r w:rsidRPr="009553CD">
              <w:rPr>
                <w:sz w:val="16"/>
                <w:szCs w:val="16"/>
                <w:lang w:val="en-AU"/>
              </w:rPr>
              <w:t xml:space="preserve">A historical control study compared infusions with lower glucose:insulin ratio 3.3 g:1 unit [glucose 20%] versus a higher glucose:insulin ratio 5 g:1 unit [glucose 30%] for treatment of hyperkalaemia and reported reduced rates of moderate hyperglycaemia [77% to 21.7% (p = 0.001)] with a single infant in the lower arm having hypoglycaemia </w:t>
            </w:r>
            <w:r w:rsidRPr="009553CD">
              <w:rPr>
                <w:noProof/>
                <w:sz w:val="16"/>
                <w:szCs w:val="16"/>
                <w:lang w:val="en-AU"/>
              </w:rPr>
              <w:t>[6]</w:t>
            </w:r>
            <w:r w:rsidRPr="009553CD">
              <w:rPr>
                <w:sz w:val="16"/>
                <w:szCs w:val="16"/>
                <w:lang w:val="en-AU"/>
              </w:rPr>
              <w:t xml:space="preserve">. (LOE III-3, GOR C). </w:t>
            </w:r>
          </w:p>
          <w:p w:rsidRPr="009553CD" w:rsidR="00F21365" w:rsidP="00A26E96" w:rsidRDefault="00F21365" w14:paraId="02D371D4" w14:textId="77777777">
            <w:pPr>
              <w:rPr>
                <w:sz w:val="16"/>
                <w:szCs w:val="16"/>
                <w:lang w:val="en-AU"/>
              </w:rPr>
            </w:pPr>
            <w:r w:rsidRPr="009553CD">
              <w:rPr>
                <w:b/>
                <w:sz w:val="16"/>
                <w:szCs w:val="16"/>
                <w:lang w:val="en-AU"/>
              </w:rPr>
              <w:t>Management of severe cardiotoxicity or cardiac arrest due to hyperkalaemia:</w:t>
            </w:r>
            <w:r w:rsidRPr="009553CD">
              <w:rPr>
                <w:sz w:val="16"/>
                <w:szCs w:val="16"/>
                <w:lang w:val="en-AU"/>
              </w:rPr>
              <w:t xml:space="preserve"> The Pediatric Advanced Life Support guidelines </w:t>
            </w:r>
            <w:r w:rsidRPr="009553CD">
              <w:rPr>
                <w:noProof/>
                <w:sz w:val="16"/>
                <w:szCs w:val="16"/>
                <w:lang w:val="en-AU"/>
              </w:rPr>
              <w:t>[7]</w:t>
            </w:r>
            <w:r w:rsidRPr="009553CD">
              <w:rPr>
                <w:sz w:val="16"/>
                <w:szCs w:val="16"/>
                <w:lang w:val="en-AU"/>
              </w:rPr>
              <w:t xml:space="preserve">, Advanced Cardiac Life Support guidelines </w:t>
            </w:r>
            <w:r w:rsidRPr="009553CD">
              <w:rPr>
                <w:noProof/>
                <w:sz w:val="16"/>
                <w:szCs w:val="16"/>
                <w:lang w:val="en-AU"/>
              </w:rPr>
              <w:t>[8]</w:t>
            </w:r>
            <w:r w:rsidRPr="009553CD">
              <w:rPr>
                <w:sz w:val="16"/>
                <w:szCs w:val="16"/>
                <w:lang w:val="en-AU"/>
              </w:rPr>
              <w:t xml:space="preserve"> and a simulation trial of medication preparation and delivery </w:t>
            </w:r>
            <w:r w:rsidRPr="009553CD">
              <w:rPr>
                <w:noProof/>
                <w:sz w:val="16"/>
                <w:szCs w:val="16"/>
                <w:lang w:val="en-AU"/>
              </w:rPr>
              <w:t>[9]</w:t>
            </w:r>
            <w:r w:rsidRPr="009553CD">
              <w:rPr>
                <w:sz w:val="16"/>
                <w:szCs w:val="16"/>
                <w:lang w:val="en-AU"/>
              </w:rPr>
              <w:t xml:space="preserve"> support the following sequence of medications to treat hyperkalaemia during paediatric cardiac: First, calcium; second, sodium bicarbonate; and third, insulin with glucose. </w:t>
            </w:r>
            <w:r w:rsidRPr="009553CD">
              <w:rPr>
                <w:b/>
                <w:sz w:val="16"/>
                <w:szCs w:val="16"/>
                <w:lang w:val="en-AU"/>
              </w:rPr>
              <w:t xml:space="preserve">Recommended dose [adult guideline]: </w:t>
            </w:r>
            <w:r w:rsidRPr="009553CD">
              <w:rPr>
                <w:sz w:val="16"/>
                <w:szCs w:val="16"/>
                <w:lang w:val="en-AU"/>
              </w:rPr>
              <w:t>Glucose plus insulin: mix 25 g (50 mL of glucose 50%) glucose and 10 units regular insulin and give IV over 15 to 30 minutes. Glucose:insulin ratio = 2.5 g:1 unit.</w:t>
            </w:r>
          </w:p>
          <w:p w:rsidRPr="009553CD" w:rsidR="00F21365" w:rsidP="00A26E96" w:rsidRDefault="00F21365" w14:paraId="04C27696" w14:textId="77777777">
            <w:pPr>
              <w:rPr>
                <w:sz w:val="16"/>
                <w:szCs w:val="16"/>
                <w:lang w:val="en-AU"/>
              </w:rPr>
            </w:pPr>
            <w:r w:rsidRPr="009553CD">
              <w:rPr>
                <w:sz w:val="16"/>
                <w:szCs w:val="16"/>
                <w:lang w:val="en-AU"/>
              </w:rPr>
              <w:t>Pharmacokinetics</w:t>
            </w:r>
          </w:p>
          <w:p w:rsidRPr="009553CD" w:rsidR="00F21365" w:rsidP="00A26E96" w:rsidRDefault="00F21365" w14:paraId="334BFE2F" w14:textId="77777777">
            <w:pPr>
              <w:rPr>
                <w:sz w:val="16"/>
                <w:szCs w:val="16"/>
                <w:lang w:val="en-AU"/>
              </w:rPr>
            </w:pPr>
            <w:r w:rsidRPr="009553CD">
              <w:rPr>
                <w:sz w:val="16"/>
                <w:szCs w:val="16"/>
                <w:lang w:val="en-AU"/>
              </w:rPr>
              <w:t>Following IV administration, the observed half-life of insulin ranges from 5 to 15 minutes [Micromedex].</w:t>
            </w:r>
          </w:p>
        </w:tc>
      </w:tr>
      <w:tr w:rsidRPr="00C34156" w:rsidR="00F21365" w:rsidTr="009553CD" w14:paraId="5ADD399E" w14:textId="77777777">
        <w:trPr>
          <w:trHeight w:val="361"/>
        </w:trPr>
        <w:tc>
          <w:tcPr>
            <w:tcW w:w="2438" w:type="dxa"/>
            <w:tcBorders>
              <w:top w:val="single" w:color="000000" w:sz="4" w:space="0"/>
              <w:left w:val="single" w:color="000000" w:sz="4" w:space="0"/>
              <w:bottom w:val="single" w:color="000000" w:sz="4" w:space="0"/>
            </w:tcBorders>
          </w:tcPr>
          <w:p w:rsidRPr="00C34156" w:rsidR="00F21365" w:rsidP="006F0321" w:rsidRDefault="00F21365" w14:paraId="483E0B08" w14:textId="77777777">
            <w:pPr>
              <w:pStyle w:val="BodyText"/>
              <w:rPr>
                <w:rFonts w:eastAsia="AGaramond-Regular"/>
                <w:lang w:val="en-AU"/>
              </w:rPr>
            </w:pPr>
            <w:r w:rsidRPr="00C34156">
              <w:rPr>
                <w:lang w:val="en-AU"/>
              </w:rPr>
              <w:t>References</w:t>
            </w:r>
          </w:p>
        </w:tc>
        <w:tc>
          <w:tcPr>
            <w:tcW w:w="7338" w:type="dxa"/>
            <w:tcBorders>
              <w:top w:val="single" w:color="000000" w:sz="4" w:space="0"/>
              <w:left w:val="single" w:color="000000" w:sz="4" w:space="0"/>
              <w:bottom w:val="single" w:color="000000" w:sz="4" w:space="0"/>
              <w:right w:val="single" w:color="000000" w:sz="4" w:space="0"/>
            </w:tcBorders>
          </w:tcPr>
          <w:p w:rsidRPr="009553CD" w:rsidR="00F21365" w:rsidP="00A26E96" w:rsidRDefault="00F21365" w14:paraId="0F3A1D52" w14:textId="77777777">
            <w:pPr>
              <w:pStyle w:val="EndNoteBibliography"/>
              <w:rPr>
                <w:sz w:val="16"/>
                <w:szCs w:val="16"/>
              </w:rPr>
            </w:pPr>
            <w:r w:rsidRPr="009553CD">
              <w:rPr>
                <w:sz w:val="16"/>
                <w:szCs w:val="16"/>
              </w:rPr>
              <w:t>1. Thompson CD, Vital-Carona J, Faustino EV. The effect of tubing dwell time on insulin adsorption during intravenous insulin infusions. Diabetes Technol Ther. 2012;14:912-6.</w:t>
            </w:r>
          </w:p>
          <w:p w:rsidRPr="009553CD" w:rsidR="00F21365" w:rsidP="00A26E96" w:rsidRDefault="00F21365" w14:paraId="438381B2" w14:textId="77777777">
            <w:pPr>
              <w:pStyle w:val="EndNoteBibliography"/>
              <w:rPr>
                <w:sz w:val="16"/>
                <w:szCs w:val="16"/>
              </w:rPr>
            </w:pPr>
            <w:r w:rsidRPr="009553CD">
              <w:rPr>
                <w:sz w:val="16"/>
                <w:szCs w:val="16"/>
              </w:rPr>
              <w:t>2. Hewson M, Nawadra V, Oliver J, Odgers C, Plummer J, Simmer K. Insulin infusions in the neonatal unit: delivery variation due to adsorption. J Paediatr Child Health. 2000;36:216-20.</w:t>
            </w:r>
          </w:p>
          <w:p w:rsidRPr="009553CD" w:rsidR="00F21365" w:rsidP="00A26E96" w:rsidRDefault="00F21365" w14:paraId="27135844" w14:textId="77777777">
            <w:pPr>
              <w:pStyle w:val="EndNoteBibliography"/>
              <w:rPr>
                <w:sz w:val="16"/>
                <w:szCs w:val="16"/>
              </w:rPr>
            </w:pPr>
            <w:r w:rsidRPr="009553CD">
              <w:rPr>
                <w:sz w:val="16"/>
                <w:szCs w:val="16"/>
              </w:rPr>
              <w:t>3. Vemgal P, Ohlsson A. Interventions for non-oliguric hyperkalaemia in preterm neonates. Cochrane Database Syst Rev. 2012:CD005257.</w:t>
            </w:r>
          </w:p>
          <w:p w:rsidRPr="009553CD" w:rsidR="00F21365" w:rsidP="00A26E96" w:rsidRDefault="00F21365" w14:paraId="2C2DF0EF" w14:textId="77777777">
            <w:pPr>
              <w:pStyle w:val="EndNoteBibliography"/>
              <w:rPr>
                <w:sz w:val="16"/>
                <w:szCs w:val="16"/>
              </w:rPr>
            </w:pPr>
            <w:r w:rsidRPr="009553CD">
              <w:rPr>
                <w:sz w:val="16"/>
                <w:szCs w:val="16"/>
              </w:rPr>
              <w:lastRenderedPageBreak/>
              <w:t>4. Hu PS, Su BH, Peng CT, Tsai CH. Glucose and insulin infusion versus kayexalate for the early treatment of non-oliguric hyperkalemia in very-low-birth-weight infants. Acta Paediatr Taiwan. 1999;40:314-8.</w:t>
            </w:r>
          </w:p>
          <w:p w:rsidRPr="009553CD" w:rsidR="00F21365" w:rsidP="00A26E96" w:rsidRDefault="00F21365" w14:paraId="7980DE8E" w14:textId="77777777">
            <w:pPr>
              <w:pStyle w:val="EndNoteBibliography"/>
              <w:rPr>
                <w:sz w:val="16"/>
                <w:szCs w:val="16"/>
              </w:rPr>
            </w:pPr>
            <w:r w:rsidRPr="009553CD">
              <w:rPr>
                <w:sz w:val="16"/>
                <w:szCs w:val="16"/>
              </w:rPr>
              <w:t>5. Malone TA. Glucose and insulin versus cation-exchange resin for the treatment of hyperkalemia in very low birth weight infants. J Pediatr. 1991;118:121-3.</w:t>
            </w:r>
          </w:p>
          <w:p w:rsidRPr="009553CD" w:rsidR="00F21365" w:rsidP="00A26E96" w:rsidRDefault="00F21365" w14:paraId="5FE6F6B4" w14:textId="77777777">
            <w:pPr>
              <w:pStyle w:val="EndNoteBibliography"/>
              <w:rPr>
                <w:sz w:val="16"/>
                <w:szCs w:val="16"/>
              </w:rPr>
            </w:pPr>
            <w:r w:rsidRPr="009553CD">
              <w:rPr>
                <w:sz w:val="16"/>
                <w:szCs w:val="16"/>
              </w:rPr>
              <w:t>6. Oschman A, Gansen A, Kilbride H, Sandritter T. Safety and efficacy of two potassium cocktail formulations for treatment of neonatal hyperkalemia. Ann Pharmacother. 2011;45:1371-7.</w:t>
            </w:r>
          </w:p>
          <w:p w:rsidRPr="009553CD" w:rsidR="00F21365" w:rsidP="00A26E96" w:rsidRDefault="00F21365" w14:paraId="3A9340D1" w14:textId="77777777">
            <w:pPr>
              <w:pStyle w:val="EndNoteBibliography"/>
              <w:rPr>
                <w:sz w:val="16"/>
                <w:szCs w:val="16"/>
              </w:rPr>
            </w:pPr>
            <w:r w:rsidRPr="009553CD">
              <w:rPr>
                <w:sz w:val="16"/>
                <w:szCs w:val="16"/>
              </w:rPr>
              <w:t>7. American Heart Association. Web-based Integrated Guidelines for Cardiopulmonary Resuscitation and Emergency Cardiovascular Care – Part 12: Pediatric Advanced Life Support. ECCguidelines.heart.org.</w:t>
            </w:r>
          </w:p>
          <w:p w:rsidRPr="009553CD" w:rsidR="00F21365" w:rsidP="00A26E96" w:rsidRDefault="00F21365" w14:paraId="3E2A5B35" w14:textId="77777777">
            <w:pPr>
              <w:pStyle w:val="EndNoteBibliography"/>
              <w:rPr>
                <w:sz w:val="16"/>
                <w:szCs w:val="16"/>
              </w:rPr>
            </w:pPr>
            <w:r w:rsidRPr="009553CD">
              <w:rPr>
                <w:sz w:val="16"/>
                <w:szCs w:val="16"/>
              </w:rPr>
              <w:t>8. American Heart Association. Web-based Integrated Guidelines for Cardiopulmonary Resuscitation and Emergency Cardiovascular Care – Part 10: Special Circumstances of Resuscitation. ECCguidelines.heart.org.</w:t>
            </w:r>
          </w:p>
          <w:p w:rsidRPr="009553CD" w:rsidR="00F21365" w:rsidP="00A26E96" w:rsidRDefault="00F21365" w14:paraId="79F9CC74" w14:textId="77777777">
            <w:pPr>
              <w:pStyle w:val="EndNoteBibliography"/>
              <w:rPr>
                <w:sz w:val="16"/>
                <w:szCs w:val="16"/>
              </w:rPr>
            </w:pPr>
            <w:r w:rsidRPr="009553CD">
              <w:rPr>
                <w:sz w:val="16"/>
                <w:szCs w:val="16"/>
              </w:rPr>
              <w:t>9. Arnholt AM, Duval-Arnould JM, McNamara LM, Rosen MA, Singh K, Hunt EA. Comparatively Evaluating Medication Preparation Sequences for Treatment of Hyperkalemia in Pediatric Cardiac Arrest: A Prospective, Randomized, Simulation-Based Study. Pediatr Crit Care Med. 2015;16:e224-30.</w:t>
            </w:r>
          </w:p>
          <w:p w:rsidRPr="009553CD" w:rsidR="00F21365" w:rsidP="00A26E96" w:rsidRDefault="00F21365" w14:paraId="7F2573ED" w14:textId="77777777">
            <w:pPr>
              <w:rPr>
                <w:rFonts w:eastAsia="AGaramond-Regular"/>
                <w:sz w:val="16"/>
                <w:szCs w:val="16"/>
                <w:lang w:val="en-AU"/>
              </w:rPr>
            </w:pPr>
            <w:r w:rsidRPr="009553CD">
              <w:rPr>
                <w:rFonts w:eastAsia="AGaramond-Regular"/>
                <w:sz w:val="16"/>
                <w:szCs w:val="16"/>
                <w:lang w:val="en-AU"/>
              </w:rPr>
              <w:t>10.</w:t>
            </w:r>
            <w:r w:rsidRPr="009553CD">
              <w:rPr>
                <w:noProof/>
                <w:sz w:val="16"/>
                <w:szCs w:val="16"/>
                <w:lang w:val="en-AU"/>
              </w:rPr>
              <w:t xml:space="preserve"> </w:t>
            </w:r>
            <w:r w:rsidRPr="009553CD">
              <w:rPr>
                <w:rFonts w:eastAsia="AGaramond-Regular"/>
                <w:sz w:val="16"/>
                <w:szCs w:val="16"/>
                <w:lang w:val="en-AU"/>
              </w:rPr>
              <w:t>Micromedex accessed 27</w:t>
            </w:r>
            <w:r w:rsidRPr="009553CD">
              <w:rPr>
                <w:rFonts w:eastAsia="AGaramond-Regular"/>
                <w:sz w:val="16"/>
                <w:szCs w:val="16"/>
                <w:vertAlign w:val="superscript"/>
                <w:lang w:val="en-AU"/>
              </w:rPr>
              <w:t>th</w:t>
            </w:r>
            <w:r w:rsidRPr="009553CD">
              <w:rPr>
                <w:rFonts w:eastAsia="AGaramond-Regular"/>
                <w:sz w:val="16"/>
                <w:szCs w:val="16"/>
                <w:lang w:val="en-AU"/>
              </w:rPr>
              <w:t xml:space="preserve"> July 2019.</w:t>
            </w:r>
          </w:p>
        </w:tc>
      </w:tr>
    </w:tbl>
    <w:p w:rsidRPr="00E25790" w:rsidR="00F21365" w:rsidP="006F0321" w:rsidRDefault="00F21365" w14:paraId="73F8393D" w14:textId="77777777"/>
    <w:tbl>
      <w:tblPr>
        <w:tblW w:w="9186" w:type="dxa"/>
        <w:tblLayout w:type="fixed"/>
        <w:tblLook w:val="0000" w:firstRow="0" w:lastRow="0" w:firstColumn="0" w:lastColumn="0" w:noHBand="0" w:noVBand="0"/>
      </w:tblPr>
      <w:tblGrid>
        <w:gridCol w:w="3545"/>
        <w:gridCol w:w="5641"/>
      </w:tblGrid>
      <w:tr w:rsidRPr="00C34156" w:rsidR="00F21365" w:rsidTr="00A26E96" w14:paraId="0776486D" w14:textId="77777777">
        <w:tc>
          <w:tcPr>
            <w:tcW w:w="3545" w:type="dxa"/>
            <w:tcBorders>
              <w:top w:val="single" w:color="000000" w:sz="4" w:space="0"/>
              <w:left w:val="single" w:color="000000" w:sz="4" w:space="0"/>
              <w:bottom w:val="single" w:color="000000" w:sz="4" w:space="0"/>
            </w:tcBorders>
          </w:tcPr>
          <w:p w:rsidRPr="00C34156" w:rsidR="00F21365" w:rsidP="00A26E96" w:rsidRDefault="00F21365" w14:paraId="14B8C702" w14:textId="77777777">
            <w:r w:rsidRPr="00C34156">
              <w:t xml:space="preserve">Original version Date: </w:t>
            </w:r>
            <w:r>
              <w:t>29/05/2017</w:t>
            </w:r>
          </w:p>
        </w:tc>
        <w:tc>
          <w:tcPr>
            <w:tcW w:w="5641"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0FB7564C" w14:textId="77777777">
            <w:r w:rsidRPr="00C34156">
              <w:t>Author: Neonatal Medicines Formulary Consensus Group</w:t>
            </w:r>
          </w:p>
        </w:tc>
      </w:tr>
      <w:tr w:rsidRPr="00C34156" w:rsidR="00F21365" w:rsidTr="00A26E96" w14:paraId="69B722C3" w14:textId="77777777">
        <w:tc>
          <w:tcPr>
            <w:tcW w:w="3545" w:type="dxa"/>
            <w:tcBorders>
              <w:top w:val="single" w:color="000000" w:sz="4" w:space="0"/>
              <w:left w:val="single" w:color="000000" w:sz="4" w:space="0"/>
              <w:bottom w:val="single" w:color="000000" w:sz="4" w:space="0"/>
            </w:tcBorders>
          </w:tcPr>
          <w:p w:rsidRPr="00C34156" w:rsidR="00F21365" w:rsidP="00A26E96" w:rsidRDefault="00F21365" w14:paraId="5FC53485" w14:textId="77777777">
            <w:r w:rsidRPr="00C34156">
              <w:t>Current Version number:  1</w:t>
            </w:r>
            <w:r>
              <w:t>.1</w:t>
            </w:r>
          </w:p>
        </w:tc>
        <w:tc>
          <w:tcPr>
            <w:tcW w:w="5641"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2B7CB1A0" w14:textId="77777777">
            <w:r w:rsidRPr="00C34156">
              <w:t xml:space="preserve">Current Version Date:  </w:t>
            </w:r>
            <w:r>
              <w:t>12/08/2019</w:t>
            </w:r>
          </w:p>
        </w:tc>
      </w:tr>
      <w:tr w:rsidRPr="00C34156" w:rsidR="00F21365" w:rsidTr="00A26E96" w14:paraId="073E5D4B" w14:textId="77777777">
        <w:tc>
          <w:tcPr>
            <w:tcW w:w="3545" w:type="dxa"/>
            <w:tcBorders>
              <w:top w:val="single" w:color="000000" w:sz="4" w:space="0"/>
              <w:left w:val="single" w:color="000000" w:sz="4" w:space="0"/>
              <w:bottom w:val="single" w:color="000000" w:sz="4" w:space="0"/>
            </w:tcBorders>
          </w:tcPr>
          <w:p w:rsidRPr="00C34156" w:rsidR="00F21365" w:rsidP="00A26E96" w:rsidRDefault="00F21365" w14:paraId="31BD724D" w14:textId="77777777">
            <w:r w:rsidRPr="00C34156">
              <w:t xml:space="preserve">Risk Rating: </w:t>
            </w:r>
            <w:r>
              <w:t>Low</w:t>
            </w:r>
          </w:p>
        </w:tc>
        <w:tc>
          <w:tcPr>
            <w:tcW w:w="5641"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4BD6B72F" w14:textId="77777777">
            <w:r w:rsidRPr="00C34156">
              <w:t>Due for Review:</w:t>
            </w:r>
            <w:r>
              <w:t xml:space="preserve"> 12/08/2024</w:t>
            </w:r>
          </w:p>
        </w:tc>
      </w:tr>
      <w:tr w:rsidRPr="00C34156" w:rsidR="00F21365" w:rsidTr="00A26E96" w14:paraId="47C2F439" w14:textId="77777777">
        <w:tc>
          <w:tcPr>
            <w:tcW w:w="3545" w:type="dxa"/>
            <w:tcBorders>
              <w:top w:val="single" w:color="000000" w:sz="4" w:space="0"/>
              <w:left w:val="single" w:color="000000" w:sz="4" w:space="0"/>
              <w:bottom w:val="single" w:color="000000" w:sz="4" w:space="0"/>
            </w:tcBorders>
          </w:tcPr>
          <w:p w:rsidRPr="00C34156" w:rsidR="00F21365" w:rsidP="00A26E96" w:rsidRDefault="00F21365" w14:paraId="7E8DCA34" w14:textId="77777777">
            <w:r>
              <w:t>Approved by: DTC</w:t>
            </w:r>
          </w:p>
        </w:tc>
        <w:tc>
          <w:tcPr>
            <w:tcW w:w="5641" w:type="dxa"/>
            <w:tcBorders>
              <w:top w:val="single" w:color="000000" w:sz="4" w:space="0"/>
              <w:left w:val="single" w:color="000000" w:sz="4" w:space="0"/>
              <w:bottom w:val="single" w:color="000000" w:sz="4" w:space="0"/>
              <w:right w:val="single" w:color="000000" w:sz="4" w:space="0"/>
            </w:tcBorders>
          </w:tcPr>
          <w:p w:rsidRPr="00C34156" w:rsidR="00F21365" w:rsidP="00A26E96" w:rsidRDefault="00F21365" w14:paraId="2093236E" w14:textId="77777777">
            <w:r>
              <w:t>Approval date: September 2019</w:t>
            </w:r>
          </w:p>
        </w:tc>
      </w:tr>
    </w:tbl>
    <w:p w:rsidR="00A26E96" w:rsidRDefault="00A26E96" w14:paraId="1D201091" w14:textId="77777777"/>
    <w:p w:rsidR="009553CD" w:rsidRDefault="009553CD" w14:paraId="1A4EED31" w14:textId="77777777"/>
    <w:p w:rsidR="009553CD" w:rsidRDefault="009553CD" w14:paraId="2ABBEBEC" w14:textId="77777777"/>
    <w:p w:rsidR="009553CD" w:rsidRDefault="009553CD" w14:paraId="4C22B783" w14:textId="77777777"/>
    <w:p w:rsidR="009553CD" w:rsidRDefault="009553CD" w14:paraId="51EFE62E" w14:textId="77777777"/>
    <w:p w:rsidR="009553CD" w:rsidRDefault="009553CD" w14:paraId="6B5FD614" w14:textId="77777777"/>
    <w:p w:rsidR="009553CD" w:rsidRDefault="009553CD" w14:paraId="0678FB91" w14:textId="77777777"/>
    <w:p w:rsidR="009553CD" w:rsidRDefault="009553CD" w14:paraId="5AD5C7C6" w14:textId="77777777"/>
    <w:p w:rsidR="009553CD" w:rsidRDefault="009553CD" w14:paraId="4A04D8E8" w14:textId="77777777"/>
    <w:p w:rsidR="009553CD" w:rsidRDefault="009553CD" w14:paraId="735EA577" w14:textId="77777777"/>
    <w:p w:rsidR="009553CD" w:rsidRDefault="009553CD" w14:paraId="3FCD8E6D" w14:textId="77777777"/>
    <w:p w:rsidR="009553CD" w:rsidRDefault="009553CD" w14:paraId="20FAD048" w14:textId="77777777"/>
    <w:p w:rsidR="009553CD" w:rsidRDefault="009553CD" w14:paraId="1F42F522" w14:textId="77777777"/>
    <w:p w:rsidR="009553CD" w:rsidRDefault="009553CD" w14:paraId="33A6AA53" w14:textId="77777777"/>
    <w:p w:rsidR="009553CD" w:rsidRDefault="009553CD" w14:paraId="35B2AC56" w14:textId="77777777"/>
    <w:p w:rsidR="009553CD" w:rsidRDefault="009553CD" w14:paraId="7EAE40F8" w14:textId="77777777"/>
    <w:p w:rsidR="009553CD" w:rsidRDefault="009553CD" w14:paraId="5F998772" w14:textId="77777777"/>
    <w:p w:rsidR="009553CD" w:rsidRDefault="009553CD" w14:paraId="3394FF2A" w14:textId="77777777"/>
    <w:p w:rsidR="009553CD" w:rsidRDefault="009553CD" w14:paraId="4DDC18A9" w14:textId="77777777"/>
    <w:p w:rsidR="009553CD" w:rsidRDefault="009553CD" w14:paraId="051D2FB1" w14:textId="77777777"/>
    <w:p w:rsidR="009553CD" w:rsidRDefault="009553CD" w14:paraId="4DDC3BB6" w14:textId="77777777"/>
    <w:p w:rsidR="009553CD" w:rsidRDefault="009553CD" w14:paraId="343F78E0" w14:textId="77777777"/>
    <w:p w:rsidR="009553CD" w:rsidRDefault="009553CD" w14:paraId="3ED8F2EF" w14:textId="77777777"/>
    <w:p w:rsidR="009553CD" w:rsidRDefault="009553CD" w14:paraId="6E614B45" w14:textId="77777777"/>
    <w:p w:rsidR="009553CD" w:rsidRDefault="009553CD" w14:paraId="12F514D5" w14:textId="77777777"/>
    <w:p w:rsidR="009553CD" w:rsidRDefault="009553CD" w14:paraId="3703C45E" w14:textId="77777777"/>
    <w:p w:rsidR="009553CD" w:rsidRDefault="009553CD" w14:paraId="08ABE06E" w14:textId="77777777"/>
    <w:p w:rsidR="009553CD" w:rsidRDefault="009553CD" w14:paraId="6B10D354" w14:textId="77777777"/>
    <w:p w:rsidRPr="00E25790" w:rsidR="00115F48" w:rsidP="006F0321" w:rsidRDefault="00115F48" w14:paraId="7D4DEE71" w14:textId="77777777"/>
    <w:p w:rsidRPr="00E25790" w:rsidR="00115F48" w:rsidP="006F0321" w:rsidRDefault="00115F48" w14:paraId="31C15BAA" w14:textId="77777777"/>
    <w:tbl>
      <w:tblPr>
        <w:tblW w:w="9049" w:type="dxa"/>
        <w:tblLayout w:type="fixed"/>
        <w:tblLook w:val="0000" w:firstRow="0" w:lastRow="0" w:firstColumn="0" w:lastColumn="0" w:noHBand="0" w:noVBand="0"/>
      </w:tblPr>
      <w:tblGrid>
        <w:gridCol w:w="4153"/>
        <w:gridCol w:w="4896"/>
      </w:tblGrid>
      <w:tr w:rsidRPr="00E25790" w:rsidR="00115F48" w:rsidTr="00A26E96" w14:paraId="44F4CDC7"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0E53EE97" w14:textId="77777777">
            <w:pPr>
              <w:pStyle w:val="Heading1"/>
            </w:pPr>
            <w:bookmarkStart w:name="_Toc495481130" w:id="345"/>
            <w:bookmarkStart w:name="_Toc495481256" w:id="346"/>
            <w:bookmarkStart w:name="_Toc495481381" w:id="347"/>
            <w:bookmarkStart w:name="_Toc495501562" w:id="348"/>
            <w:bookmarkStart w:name="_Toc38106871" w:id="349"/>
            <w:bookmarkStart w:name="_Toc75339996" w:id="350"/>
            <w:r w:rsidRPr="00E25790">
              <w:t>Isoprenaline</w:t>
            </w:r>
            <w:bookmarkEnd w:id="345"/>
            <w:bookmarkEnd w:id="346"/>
            <w:bookmarkEnd w:id="347"/>
            <w:bookmarkEnd w:id="348"/>
            <w:bookmarkEnd w:id="349"/>
            <w:bookmarkEnd w:id="350"/>
            <w:r w:rsidRPr="00E25790">
              <w:fldChar w:fldCharType="begin"/>
            </w:r>
            <w:r w:rsidRPr="00E25790">
              <w:instrText>tc "Isoprenaline" \l 0</w:instrText>
            </w:r>
            <w:r w:rsidRPr="00E25790">
              <w:fldChar w:fldCharType="end"/>
            </w:r>
          </w:p>
        </w:tc>
      </w:tr>
      <w:tr w:rsidRPr="00E25790" w:rsidR="00115F48" w:rsidTr="00A26E96" w14:paraId="44CD00A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7E872A99" w14:textId="77777777">
            <w:r w:rsidRPr="00E25790">
              <w:t xml:space="preserve">Revision Date : </w:t>
            </w:r>
            <w:r w:rsidRPr="00E25790" w:rsidR="00623531">
              <w:t>December 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227A3196" w14:textId="77777777">
            <w:r w:rsidRPr="00E25790">
              <w:t xml:space="preserve">Approved: </w:t>
            </w:r>
            <w:r w:rsidRPr="00E25790" w:rsidR="00623531">
              <w:t>TC, KOH</w:t>
            </w:r>
          </w:p>
        </w:tc>
      </w:tr>
    </w:tbl>
    <w:p w:rsidRPr="00E25790" w:rsidR="00115F48" w:rsidP="006F0321" w:rsidRDefault="00115F48" w14:paraId="079F43F1"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3A7895" w:rsidR="00B73A36" w:rsidTr="00B73A36" w14:paraId="0E77FE54" w14:textId="77777777">
        <w:trPr>
          <w:trHeight w:val="70"/>
        </w:trPr>
        <w:tc>
          <w:tcPr>
            <w:tcW w:w="1730" w:type="dxa"/>
          </w:tcPr>
          <w:p w:rsidRPr="00B53E9B" w:rsidR="00B73A36" w:rsidP="00131848" w:rsidRDefault="00B73A36" w14:paraId="58A041C0" w14:textId="77777777">
            <w:pPr>
              <w:pStyle w:val="BodyText"/>
              <w:tabs>
                <w:tab w:val="center" w:pos="1476"/>
              </w:tabs>
              <w:rPr>
                <w:rFonts w:cs="Arial"/>
                <w:b/>
                <w:sz w:val="20"/>
              </w:rPr>
            </w:pPr>
            <w:r w:rsidRPr="00B53E9B">
              <w:rPr>
                <w:rFonts w:cs="Arial"/>
                <w:b/>
                <w:sz w:val="20"/>
              </w:rPr>
              <w:t>Alert</w:t>
            </w:r>
            <w:r w:rsidRPr="00B53E9B">
              <w:rPr>
                <w:rFonts w:cs="Arial"/>
                <w:b/>
                <w:sz w:val="20"/>
              </w:rPr>
              <w:tab/>
            </w:r>
          </w:p>
        </w:tc>
        <w:tc>
          <w:tcPr>
            <w:tcW w:w="7513" w:type="dxa"/>
          </w:tcPr>
          <w:p w:rsidRPr="004B71FD" w:rsidR="00B73A36" w:rsidP="00131848" w:rsidRDefault="00B73A36" w14:paraId="17074F40" w14:textId="77777777">
            <w:pPr>
              <w:pStyle w:val="BodyText"/>
              <w:rPr>
                <w:rFonts w:asciiTheme="minorHAnsi" w:hAnsiTheme="minorHAnsi" w:cstheme="minorHAnsi"/>
                <w:sz w:val="20"/>
              </w:rPr>
            </w:pPr>
            <w:r w:rsidRPr="004B71FD">
              <w:rPr>
                <w:rFonts w:asciiTheme="minorHAnsi" w:hAnsiTheme="minorHAnsi" w:cstheme="minorHAnsi"/>
                <w:sz w:val="20"/>
              </w:rPr>
              <w:t>Also known as Isoproterenol.</w:t>
            </w:r>
          </w:p>
        </w:tc>
      </w:tr>
      <w:tr w:rsidRPr="003A7895" w:rsidR="00B73A36" w:rsidTr="00B73A36" w14:paraId="70A70480" w14:textId="77777777">
        <w:trPr>
          <w:trHeight w:val="72"/>
        </w:trPr>
        <w:tc>
          <w:tcPr>
            <w:tcW w:w="1730" w:type="dxa"/>
          </w:tcPr>
          <w:p w:rsidRPr="00B53E9B" w:rsidR="00B73A36" w:rsidP="00131848" w:rsidRDefault="00B73A36" w14:paraId="2C649936" w14:textId="77777777">
            <w:pPr>
              <w:pStyle w:val="BodyText"/>
              <w:rPr>
                <w:rFonts w:cs="Arial"/>
                <w:sz w:val="20"/>
              </w:rPr>
            </w:pPr>
            <w:r w:rsidRPr="00B53E9B">
              <w:rPr>
                <w:rFonts w:cs="Arial"/>
                <w:b/>
                <w:bCs/>
                <w:sz w:val="20"/>
              </w:rPr>
              <w:t>Indication</w:t>
            </w:r>
          </w:p>
        </w:tc>
        <w:tc>
          <w:tcPr>
            <w:tcW w:w="7513" w:type="dxa"/>
          </w:tcPr>
          <w:p w:rsidRPr="004B71FD" w:rsidR="00B73A36" w:rsidP="00131848" w:rsidRDefault="00B73A36" w14:paraId="2A56650A" w14:textId="77777777">
            <w:pPr>
              <w:rPr>
                <w:rFonts w:asciiTheme="minorHAnsi" w:hAnsiTheme="minorHAnsi" w:cstheme="minorHAnsi"/>
                <w:sz w:val="20"/>
              </w:rPr>
            </w:pPr>
            <w:r w:rsidRPr="004B71FD">
              <w:rPr>
                <w:rFonts w:asciiTheme="minorHAnsi" w:hAnsiTheme="minorHAnsi" w:cstheme="minorHAnsi"/>
                <w:sz w:val="20"/>
              </w:rPr>
              <w:t xml:space="preserve">Temporary treatment of symptomatic bradyarrhythmia or heart block especially if caused by beta blocker overdose. </w:t>
            </w:r>
          </w:p>
          <w:p w:rsidRPr="004B71FD" w:rsidR="00B73A36" w:rsidP="00131848" w:rsidRDefault="00B73A36" w14:paraId="4F6F01DB" w14:textId="77777777">
            <w:pPr>
              <w:rPr>
                <w:rFonts w:asciiTheme="minorHAnsi" w:hAnsiTheme="minorHAnsi" w:cstheme="minorHAnsi"/>
                <w:sz w:val="20"/>
              </w:rPr>
            </w:pPr>
            <w:r w:rsidRPr="004B71FD">
              <w:rPr>
                <w:rFonts w:asciiTheme="minorHAnsi" w:hAnsiTheme="minorHAnsi" w:cstheme="minorHAnsi"/>
                <w:sz w:val="20"/>
              </w:rPr>
              <w:t xml:space="preserve">Bronchospasm. </w:t>
            </w:r>
          </w:p>
        </w:tc>
      </w:tr>
      <w:tr w:rsidRPr="003A7895" w:rsidR="00B73A36" w:rsidTr="00B73A36" w14:paraId="10978ACB" w14:textId="77777777">
        <w:trPr>
          <w:trHeight w:val="70"/>
        </w:trPr>
        <w:tc>
          <w:tcPr>
            <w:tcW w:w="1730" w:type="dxa"/>
          </w:tcPr>
          <w:p w:rsidRPr="00B53E9B" w:rsidR="00B73A36" w:rsidP="00131848" w:rsidRDefault="00B73A36" w14:paraId="52648973" w14:textId="77777777">
            <w:pPr>
              <w:pStyle w:val="BodyText"/>
              <w:rPr>
                <w:rFonts w:cs="Arial"/>
                <w:b/>
                <w:bCs/>
                <w:sz w:val="20"/>
              </w:rPr>
            </w:pPr>
            <w:r w:rsidRPr="00B53E9B">
              <w:rPr>
                <w:rFonts w:cs="Arial"/>
                <w:b/>
                <w:bCs/>
                <w:sz w:val="20"/>
              </w:rPr>
              <w:t>Action</w:t>
            </w:r>
          </w:p>
        </w:tc>
        <w:tc>
          <w:tcPr>
            <w:tcW w:w="7513" w:type="dxa"/>
          </w:tcPr>
          <w:p w:rsidRPr="004B71FD" w:rsidR="00B73A36" w:rsidP="00131848" w:rsidRDefault="00B73A36" w14:paraId="75F9F0CB" w14:textId="77777777">
            <w:pPr>
              <w:rPr>
                <w:rFonts w:asciiTheme="minorHAnsi" w:hAnsiTheme="minorHAnsi" w:cstheme="minorHAnsi"/>
                <w:sz w:val="20"/>
              </w:rPr>
            </w:pPr>
            <w:r w:rsidRPr="004B71FD">
              <w:rPr>
                <w:rFonts w:asciiTheme="minorHAnsi" w:hAnsiTheme="minorHAnsi" w:cstheme="minorHAnsi"/>
                <w:sz w:val="20"/>
              </w:rPr>
              <w:t>β</w:t>
            </w:r>
            <w:r w:rsidRPr="004B71FD">
              <w:rPr>
                <w:rFonts w:asciiTheme="minorHAnsi" w:hAnsiTheme="minorHAnsi" w:cstheme="minorHAnsi"/>
                <w:sz w:val="20"/>
                <w:vertAlign w:val="subscript"/>
              </w:rPr>
              <w:t>1</w:t>
            </w:r>
            <w:r w:rsidRPr="004B71FD">
              <w:rPr>
                <w:rFonts w:asciiTheme="minorHAnsi" w:hAnsiTheme="minorHAnsi" w:cstheme="minorHAnsi"/>
                <w:sz w:val="20"/>
              </w:rPr>
              <w:t>- and β</w:t>
            </w:r>
            <w:r w:rsidRPr="004B71FD">
              <w:rPr>
                <w:rFonts w:asciiTheme="minorHAnsi" w:hAnsiTheme="minorHAnsi" w:cstheme="minorHAnsi"/>
                <w:sz w:val="20"/>
                <w:vertAlign w:val="subscript"/>
              </w:rPr>
              <w:t>2</w:t>
            </w:r>
            <w:r w:rsidRPr="004B71FD">
              <w:rPr>
                <w:rFonts w:asciiTheme="minorHAnsi" w:hAnsiTheme="minorHAnsi" w:cstheme="minorHAnsi"/>
                <w:sz w:val="20"/>
              </w:rPr>
              <w:t>-adrenoceptor agonist. Its action on cardiac β</w:t>
            </w:r>
            <w:r w:rsidRPr="004B71FD">
              <w:rPr>
                <w:rFonts w:asciiTheme="minorHAnsi" w:hAnsiTheme="minorHAnsi" w:cstheme="minorHAnsi"/>
                <w:sz w:val="20"/>
                <w:vertAlign w:val="subscript"/>
              </w:rPr>
              <w:t>1</w:t>
            </w:r>
            <w:r w:rsidRPr="004B71FD">
              <w:rPr>
                <w:rFonts w:asciiTheme="minorHAnsi" w:hAnsiTheme="minorHAnsi" w:cstheme="minorHAnsi"/>
                <w:sz w:val="20"/>
              </w:rPr>
              <w:t>-adrenoceptors results in positive inotropic and chronotropic effects on the heart elevating blood pressure. Its action on arteriolar β</w:t>
            </w:r>
            <w:r w:rsidRPr="004B71FD">
              <w:rPr>
                <w:rFonts w:asciiTheme="minorHAnsi" w:hAnsiTheme="minorHAnsi" w:cstheme="minorHAnsi"/>
                <w:sz w:val="20"/>
                <w:vertAlign w:val="subscript"/>
              </w:rPr>
              <w:t>2</w:t>
            </w:r>
            <w:r w:rsidRPr="004B71FD">
              <w:rPr>
                <w:rFonts w:asciiTheme="minorHAnsi" w:hAnsiTheme="minorHAnsi" w:cstheme="minorHAnsi"/>
                <w:sz w:val="20"/>
              </w:rPr>
              <w:t>-adrenoceptors results in vasodilation and lowering of diastolic blood pressure. The overall effect is to decrease mean arterial pressure due to the β</w:t>
            </w:r>
            <w:r w:rsidRPr="004B71FD">
              <w:rPr>
                <w:rFonts w:asciiTheme="minorHAnsi" w:hAnsiTheme="minorHAnsi" w:cstheme="minorHAnsi"/>
                <w:sz w:val="20"/>
                <w:vertAlign w:val="subscript"/>
              </w:rPr>
              <w:t>2</w:t>
            </w:r>
            <w:r w:rsidRPr="004B71FD">
              <w:rPr>
                <w:rFonts w:asciiTheme="minorHAnsi" w:hAnsiTheme="minorHAnsi" w:cstheme="minorHAnsi"/>
                <w:sz w:val="20"/>
              </w:rPr>
              <w:t>-adrenoceptor mediated vasodilation. [1]</w:t>
            </w:r>
          </w:p>
        </w:tc>
      </w:tr>
      <w:tr w:rsidRPr="003A7895" w:rsidR="00B73A36" w:rsidTr="00B73A36" w14:paraId="718B34B1" w14:textId="77777777">
        <w:trPr>
          <w:trHeight w:val="266"/>
        </w:trPr>
        <w:tc>
          <w:tcPr>
            <w:tcW w:w="1730" w:type="dxa"/>
          </w:tcPr>
          <w:p w:rsidRPr="00B53E9B" w:rsidR="00B73A36" w:rsidP="00131848" w:rsidRDefault="00B73A36" w14:paraId="20B448B8" w14:textId="77777777">
            <w:pPr>
              <w:pStyle w:val="BodyText"/>
              <w:rPr>
                <w:rFonts w:cs="Arial"/>
                <w:sz w:val="20"/>
              </w:rPr>
            </w:pPr>
            <w:r>
              <w:rPr>
                <w:rFonts w:cs="Arial"/>
                <w:b/>
                <w:bCs/>
                <w:sz w:val="20"/>
              </w:rPr>
              <w:t>Drug t</w:t>
            </w:r>
            <w:r w:rsidRPr="00B53E9B">
              <w:rPr>
                <w:rFonts w:cs="Arial"/>
                <w:b/>
                <w:bCs/>
                <w:sz w:val="20"/>
              </w:rPr>
              <w:t xml:space="preserve">ype                                   </w:t>
            </w:r>
          </w:p>
        </w:tc>
        <w:tc>
          <w:tcPr>
            <w:tcW w:w="7513" w:type="dxa"/>
          </w:tcPr>
          <w:p w:rsidRPr="004B71FD" w:rsidR="00B73A36" w:rsidP="00131848" w:rsidRDefault="00B73A36" w14:paraId="3F566C72" w14:textId="77777777">
            <w:pPr>
              <w:pStyle w:val="BodyText"/>
              <w:rPr>
                <w:rFonts w:asciiTheme="minorHAnsi" w:hAnsiTheme="minorHAnsi" w:cstheme="minorHAnsi"/>
                <w:sz w:val="20"/>
              </w:rPr>
            </w:pPr>
            <w:r w:rsidRPr="004B71FD">
              <w:rPr>
                <w:rFonts w:asciiTheme="minorHAnsi" w:hAnsiTheme="minorHAnsi" w:cstheme="minorHAnsi"/>
                <w:sz w:val="20"/>
              </w:rPr>
              <w:t>Catecholamine, β-adrenoceptor agonist drug</w:t>
            </w:r>
          </w:p>
        </w:tc>
      </w:tr>
      <w:tr w:rsidRPr="003A7895" w:rsidR="00B73A36" w:rsidTr="00B73A36" w14:paraId="3523C642" w14:textId="77777777">
        <w:trPr>
          <w:trHeight w:val="114"/>
        </w:trPr>
        <w:tc>
          <w:tcPr>
            <w:tcW w:w="1730" w:type="dxa"/>
          </w:tcPr>
          <w:p w:rsidRPr="00B53E9B" w:rsidR="00B73A36" w:rsidP="00131848" w:rsidRDefault="00B73A36" w14:paraId="04715DFE"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13" w:type="dxa"/>
          </w:tcPr>
          <w:p w:rsidRPr="004B71FD" w:rsidR="00B73A36" w:rsidP="00131848" w:rsidRDefault="00B73A36" w14:paraId="0C2F9E23" w14:textId="77777777">
            <w:pPr>
              <w:pStyle w:val="BodyText"/>
              <w:rPr>
                <w:rFonts w:asciiTheme="minorHAnsi" w:hAnsiTheme="minorHAnsi" w:cstheme="minorHAnsi"/>
                <w:sz w:val="20"/>
              </w:rPr>
            </w:pPr>
            <w:r w:rsidRPr="004B71FD">
              <w:rPr>
                <w:rFonts w:asciiTheme="minorHAnsi" w:hAnsiTheme="minorHAnsi" w:cstheme="minorHAnsi"/>
                <w:sz w:val="20"/>
              </w:rPr>
              <w:t>Isuprel</w:t>
            </w:r>
          </w:p>
          <w:p w:rsidRPr="004B71FD" w:rsidR="00B73A36" w:rsidP="00131848" w:rsidRDefault="00B73A36" w14:paraId="19D2556C" w14:textId="77777777">
            <w:pPr>
              <w:pStyle w:val="BodyText"/>
              <w:rPr>
                <w:rFonts w:asciiTheme="minorHAnsi" w:hAnsiTheme="minorHAnsi" w:cstheme="minorHAnsi"/>
                <w:sz w:val="20"/>
              </w:rPr>
            </w:pPr>
            <w:r w:rsidRPr="004B71FD">
              <w:rPr>
                <w:rFonts w:asciiTheme="minorHAnsi" w:hAnsiTheme="minorHAnsi" w:cstheme="minorHAnsi"/>
                <w:sz w:val="20"/>
              </w:rPr>
              <w:t>Monico - Isoprenaline Hydrochloride 0.2mg/mL (SAS product)</w:t>
            </w:r>
          </w:p>
        </w:tc>
      </w:tr>
      <w:tr w:rsidRPr="003A7895" w:rsidR="00B73A36" w:rsidTr="00B73A36" w14:paraId="17EAE50D" w14:textId="77777777">
        <w:trPr>
          <w:trHeight w:val="70"/>
        </w:trPr>
        <w:tc>
          <w:tcPr>
            <w:tcW w:w="1730" w:type="dxa"/>
          </w:tcPr>
          <w:p w:rsidRPr="00B53E9B" w:rsidR="00B73A36" w:rsidP="00131848" w:rsidRDefault="00B73A36" w14:paraId="3879AA65" w14:textId="77777777">
            <w:pPr>
              <w:pStyle w:val="BodyText"/>
              <w:rPr>
                <w:rFonts w:cs="Arial"/>
                <w:b/>
                <w:bCs/>
                <w:sz w:val="20"/>
              </w:rPr>
            </w:pPr>
            <w:r w:rsidRPr="00B53E9B">
              <w:rPr>
                <w:rFonts w:cs="Arial"/>
                <w:b/>
                <w:bCs/>
                <w:sz w:val="20"/>
              </w:rPr>
              <w:t xml:space="preserve">Presentation </w:t>
            </w:r>
          </w:p>
        </w:tc>
        <w:tc>
          <w:tcPr>
            <w:tcW w:w="7513" w:type="dxa"/>
          </w:tcPr>
          <w:p w:rsidRPr="004B71FD" w:rsidR="00B73A36" w:rsidP="00131848" w:rsidRDefault="00B73A36" w14:paraId="2E8AA50E" w14:textId="77777777">
            <w:pPr>
              <w:pStyle w:val="BodyText"/>
              <w:rPr>
                <w:rFonts w:asciiTheme="minorHAnsi" w:hAnsiTheme="minorHAnsi" w:cstheme="minorHAnsi"/>
                <w:sz w:val="20"/>
              </w:rPr>
            </w:pPr>
            <w:r w:rsidRPr="004B71FD">
              <w:rPr>
                <w:rFonts w:asciiTheme="minorHAnsi" w:hAnsiTheme="minorHAnsi" w:cstheme="minorHAnsi"/>
                <w:sz w:val="20"/>
              </w:rPr>
              <w:t>1 mg/5 mL ampoule = 200 microgram/1 mL.</w:t>
            </w:r>
          </w:p>
        </w:tc>
      </w:tr>
      <w:tr w:rsidRPr="000E2236" w:rsidR="00B73A36" w:rsidTr="00B73A36" w14:paraId="38595CB9" w14:textId="77777777">
        <w:trPr>
          <w:trHeight w:val="70"/>
        </w:trPr>
        <w:tc>
          <w:tcPr>
            <w:tcW w:w="1730" w:type="dxa"/>
          </w:tcPr>
          <w:p w:rsidRPr="00B53E9B" w:rsidR="00B73A36" w:rsidP="00131848" w:rsidRDefault="00B73A36" w14:paraId="2961EAD5" w14:textId="77777777">
            <w:pPr>
              <w:pStyle w:val="BodyText"/>
              <w:rPr>
                <w:rFonts w:cs="Arial"/>
                <w:b/>
                <w:bCs/>
                <w:sz w:val="20"/>
              </w:rPr>
            </w:pPr>
            <w:r>
              <w:rPr>
                <w:rFonts w:cs="Arial"/>
                <w:b/>
                <w:bCs/>
                <w:sz w:val="20"/>
              </w:rPr>
              <w:t>Dose</w:t>
            </w:r>
            <w:r w:rsidRPr="00B53E9B">
              <w:rPr>
                <w:rFonts w:cs="Arial"/>
                <w:b/>
                <w:bCs/>
                <w:sz w:val="20"/>
              </w:rPr>
              <w:t xml:space="preserve">                          </w:t>
            </w:r>
          </w:p>
        </w:tc>
        <w:tc>
          <w:tcPr>
            <w:tcW w:w="7513" w:type="dxa"/>
          </w:tcPr>
          <w:p w:rsidRPr="004B71FD" w:rsidR="00B73A36" w:rsidP="00131848" w:rsidRDefault="00B73A36" w14:paraId="2C7AAF51" w14:textId="77777777">
            <w:pPr>
              <w:pStyle w:val="BodyText"/>
              <w:rPr>
                <w:rFonts w:asciiTheme="minorHAnsi" w:hAnsiTheme="minorHAnsi" w:cstheme="minorHAnsi"/>
                <w:sz w:val="20"/>
              </w:rPr>
            </w:pPr>
            <w:r w:rsidRPr="004B71FD">
              <w:rPr>
                <w:rFonts w:asciiTheme="minorHAnsi" w:hAnsiTheme="minorHAnsi" w:cstheme="minorHAnsi"/>
                <w:sz w:val="20"/>
              </w:rPr>
              <w:t xml:space="preserve">0.05–1 microgram/kg/minute. </w:t>
            </w:r>
          </w:p>
          <w:p w:rsidRPr="004B71FD" w:rsidR="00B73A36" w:rsidP="00131848" w:rsidRDefault="00B73A36" w14:paraId="79A48A44" w14:textId="77777777">
            <w:pPr>
              <w:pStyle w:val="BodyText"/>
              <w:rPr>
                <w:rFonts w:asciiTheme="minorHAnsi" w:hAnsiTheme="minorHAnsi" w:cstheme="minorHAnsi"/>
                <w:sz w:val="20"/>
              </w:rPr>
            </w:pPr>
            <w:r w:rsidRPr="004B71FD">
              <w:rPr>
                <w:rFonts w:asciiTheme="minorHAnsi" w:hAnsiTheme="minorHAnsi" w:cstheme="minorHAnsi"/>
                <w:sz w:val="20"/>
              </w:rPr>
              <w:t>Doses may need to be many times higher in the management of beta blocker overdose. Consult with a clinical toxicologist (Poisons Information Centre 131126).</w:t>
            </w:r>
          </w:p>
        </w:tc>
      </w:tr>
      <w:tr w:rsidRPr="003A7895" w:rsidR="00B73A36" w:rsidTr="00B73A36" w14:paraId="7A82F879" w14:textId="77777777">
        <w:trPr>
          <w:trHeight w:val="251"/>
        </w:trPr>
        <w:tc>
          <w:tcPr>
            <w:tcW w:w="1730" w:type="dxa"/>
          </w:tcPr>
          <w:p w:rsidRPr="00B53E9B" w:rsidR="00B73A36" w:rsidP="00131848" w:rsidRDefault="00B73A36" w14:paraId="5746EF29" w14:textId="77777777">
            <w:pPr>
              <w:pStyle w:val="BodyText"/>
              <w:rPr>
                <w:b/>
                <w:sz w:val="20"/>
              </w:rPr>
            </w:pPr>
            <w:r w:rsidRPr="00B53E9B">
              <w:rPr>
                <w:b/>
                <w:sz w:val="20"/>
              </w:rPr>
              <w:t>Dose adjustment</w:t>
            </w:r>
          </w:p>
        </w:tc>
        <w:tc>
          <w:tcPr>
            <w:tcW w:w="7513" w:type="dxa"/>
          </w:tcPr>
          <w:p w:rsidRPr="004B71FD" w:rsidR="00B73A36" w:rsidP="00131848" w:rsidRDefault="00B73A36" w14:paraId="5751DC72" w14:textId="77777777">
            <w:pPr>
              <w:pStyle w:val="BodyText"/>
              <w:rPr>
                <w:rFonts w:asciiTheme="minorHAnsi" w:hAnsiTheme="minorHAnsi" w:cstheme="minorHAnsi"/>
                <w:sz w:val="20"/>
              </w:rPr>
            </w:pPr>
          </w:p>
        </w:tc>
      </w:tr>
      <w:tr w:rsidRPr="003A7895" w:rsidR="00B73A36" w:rsidTr="00B73A36" w14:paraId="05088FD4" w14:textId="77777777">
        <w:trPr>
          <w:trHeight w:val="113"/>
        </w:trPr>
        <w:tc>
          <w:tcPr>
            <w:tcW w:w="1730" w:type="dxa"/>
          </w:tcPr>
          <w:p w:rsidRPr="00B53E9B" w:rsidR="00B73A36" w:rsidP="00131848" w:rsidRDefault="00B73A36" w14:paraId="0D832BDA" w14:textId="77777777">
            <w:pPr>
              <w:pStyle w:val="BodyText"/>
              <w:rPr>
                <w:b/>
                <w:sz w:val="20"/>
              </w:rPr>
            </w:pPr>
            <w:r w:rsidRPr="00B53E9B">
              <w:rPr>
                <w:b/>
                <w:sz w:val="20"/>
              </w:rPr>
              <w:t>Maximum dose</w:t>
            </w:r>
          </w:p>
        </w:tc>
        <w:tc>
          <w:tcPr>
            <w:tcW w:w="7513" w:type="dxa"/>
          </w:tcPr>
          <w:p w:rsidRPr="004B71FD" w:rsidR="00B73A36" w:rsidP="00131848" w:rsidRDefault="00B73A36" w14:paraId="7C360144" w14:textId="77777777">
            <w:pPr>
              <w:pStyle w:val="BodyText"/>
              <w:rPr>
                <w:rFonts w:asciiTheme="minorHAnsi" w:hAnsiTheme="minorHAnsi" w:cstheme="minorHAnsi"/>
                <w:sz w:val="20"/>
              </w:rPr>
            </w:pPr>
            <w:r w:rsidRPr="004B71FD">
              <w:rPr>
                <w:rFonts w:asciiTheme="minorHAnsi" w:hAnsiTheme="minorHAnsi" w:cstheme="minorHAnsi"/>
                <w:sz w:val="20"/>
              </w:rPr>
              <w:t xml:space="preserve">2 microgram/kg/minute. </w:t>
            </w:r>
          </w:p>
          <w:p w:rsidRPr="004B71FD" w:rsidR="00B73A36" w:rsidP="00131848" w:rsidRDefault="00B73A36" w14:paraId="3EDB7AF3" w14:textId="77777777">
            <w:pPr>
              <w:pStyle w:val="BodyText"/>
              <w:rPr>
                <w:rFonts w:asciiTheme="minorHAnsi" w:hAnsiTheme="minorHAnsi" w:cstheme="minorHAnsi"/>
                <w:sz w:val="20"/>
              </w:rPr>
            </w:pPr>
            <w:r w:rsidRPr="004B71FD">
              <w:rPr>
                <w:rFonts w:asciiTheme="minorHAnsi" w:hAnsiTheme="minorHAnsi" w:cstheme="minorHAnsi"/>
                <w:sz w:val="20"/>
              </w:rPr>
              <w:t>Higher doses may be needed for management of B-blocker overdose. Consult with a clinical toxicologist (Poisons Information Centre 131126).</w:t>
            </w:r>
          </w:p>
        </w:tc>
      </w:tr>
      <w:tr w:rsidRPr="003A7895" w:rsidR="00B73A36" w:rsidTr="00B73A36" w14:paraId="324F4928" w14:textId="77777777">
        <w:trPr>
          <w:trHeight w:val="144"/>
        </w:trPr>
        <w:tc>
          <w:tcPr>
            <w:tcW w:w="1730" w:type="dxa"/>
          </w:tcPr>
          <w:p w:rsidRPr="00B53E9B" w:rsidR="00B73A36" w:rsidP="00131848" w:rsidRDefault="00B73A36" w14:paraId="3482596F" w14:textId="77777777">
            <w:pPr>
              <w:pStyle w:val="BodyText"/>
              <w:rPr>
                <w:rFonts w:cs="Arial"/>
                <w:b/>
                <w:bCs/>
                <w:sz w:val="20"/>
              </w:rPr>
            </w:pPr>
            <w:r w:rsidRPr="00B53E9B">
              <w:rPr>
                <w:b/>
                <w:sz w:val="20"/>
              </w:rPr>
              <w:t>Total cumulative dose</w:t>
            </w:r>
          </w:p>
        </w:tc>
        <w:tc>
          <w:tcPr>
            <w:tcW w:w="7513" w:type="dxa"/>
          </w:tcPr>
          <w:p w:rsidRPr="004B71FD" w:rsidR="00B73A36" w:rsidP="00131848" w:rsidRDefault="00B73A36" w14:paraId="07ADD19E" w14:textId="77777777">
            <w:pPr>
              <w:pStyle w:val="BodyText"/>
              <w:rPr>
                <w:rFonts w:asciiTheme="minorHAnsi" w:hAnsiTheme="minorHAnsi" w:cstheme="minorHAnsi"/>
                <w:sz w:val="20"/>
              </w:rPr>
            </w:pPr>
          </w:p>
        </w:tc>
      </w:tr>
      <w:tr w:rsidRPr="003A7895" w:rsidR="00B73A36" w:rsidTr="00B73A36" w14:paraId="26690434" w14:textId="77777777">
        <w:trPr>
          <w:trHeight w:val="294"/>
        </w:trPr>
        <w:tc>
          <w:tcPr>
            <w:tcW w:w="1730" w:type="dxa"/>
          </w:tcPr>
          <w:p w:rsidRPr="00B53E9B" w:rsidR="00B73A36" w:rsidP="00131848" w:rsidRDefault="00B73A36" w14:paraId="26B64432" w14:textId="77777777">
            <w:pPr>
              <w:pStyle w:val="BodyText"/>
              <w:rPr>
                <w:rFonts w:cs="Arial"/>
                <w:sz w:val="20"/>
              </w:rPr>
            </w:pPr>
            <w:r w:rsidRPr="00B53E9B">
              <w:rPr>
                <w:rFonts w:cs="Arial"/>
                <w:b/>
                <w:bCs/>
                <w:sz w:val="20"/>
              </w:rPr>
              <w:t xml:space="preserve">Route                                </w:t>
            </w:r>
          </w:p>
        </w:tc>
        <w:tc>
          <w:tcPr>
            <w:tcW w:w="7513" w:type="dxa"/>
          </w:tcPr>
          <w:p w:rsidRPr="004B71FD" w:rsidR="00B73A36" w:rsidP="00131848" w:rsidRDefault="00B73A36" w14:paraId="396302A3" w14:textId="77777777">
            <w:pPr>
              <w:pStyle w:val="BodyText"/>
              <w:rPr>
                <w:rFonts w:asciiTheme="minorHAnsi" w:hAnsiTheme="minorHAnsi" w:cstheme="minorHAnsi"/>
                <w:sz w:val="20"/>
              </w:rPr>
            </w:pPr>
            <w:r w:rsidRPr="004B71FD">
              <w:rPr>
                <w:rFonts w:asciiTheme="minorHAnsi" w:hAnsiTheme="minorHAnsi" w:cstheme="minorHAnsi"/>
                <w:sz w:val="20"/>
              </w:rPr>
              <w:t>IV infusion.</w:t>
            </w:r>
          </w:p>
        </w:tc>
      </w:tr>
      <w:tr w:rsidRPr="003A7895" w:rsidR="00B73A36" w:rsidTr="00B73A36" w14:paraId="4686EB6D" w14:textId="77777777">
        <w:trPr>
          <w:trHeight w:val="93"/>
        </w:trPr>
        <w:tc>
          <w:tcPr>
            <w:tcW w:w="1730" w:type="dxa"/>
          </w:tcPr>
          <w:p w:rsidRPr="00B53E9B" w:rsidR="00B73A36" w:rsidP="00131848" w:rsidRDefault="00B73A36" w14:paraId="25D30254"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13" w:type="dxa"/>
          </w:tcPr>
          <w:p w:rsidRPr="004B71FD" w:rsidR="00B73A36" w:rsidP="00131848" w:rsidRDefault="00B73A36" w14:paraId="2B0D1647" w14:textId="77777777">
            <w:pPr>
              <w:overflowPunct w:val="0"/>
              <w:autoSpaceDE w:val="0"/>
              <w:autoSpaceDN w:val="0"/>
              <w:adjustRightInd w:val="0"/>
              <w:jc w:val="both"/>
              <w:textAlignment w:val="baseline"/>
              <w:rPr>
                <w:rFonts w:asciiTheme="minorHAnsi" w:hAnsiTheme="minorHAnsi" w:cstheme="minorHAnsi"/>
                <w:b/>
                <w:sz w:val="20"/>
              </w:rPr>
            </w:pPr>
            <w:r w:rsidRPr="004B71FD">
              <w:rPr>
                <w:rFonts w:asciiTheme="minorHAnsi" w:hAnsiTheme="minorHAnsi" w:cstheme="minorHAnsi"/>
                <w:b/>
                <w:sz w:val="20"/>
              </w:rPr>
              <w:t>LOW concentration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602"/>
              <w:gridCol w:w="4932"/>
            </w:tblGrid>
            <w:tr w:rsidRPr="004B71FD" w:rsidR="00B73A36" w:rsidTr="00131848" w14:paraId="2FA3310A" w14:textId="77777777">
              <w:tc>
                <w:tcPr>
                  <w:tcW w:w="3602" w:type="dxa"/>
                  <w:shd w:val="clear" w:color="auto" w:fill="auto"/>
                </w:tcPr>
                <w:p w:rsidRPr="004B71FD" w:rsidR="00B73A36" w:rsidP="00131848" w:rsidRDefault="00B73A36" w14:paraId="301C5964" w14:textId="77777777">
                  <w:pPr>
                    <w:overflowPunct w:val="0"/>
                    <w:autoSpaceDE w:val="0"/>
                    <w:autoSpaceDN w:val="0"/>
                    <w:adjustRightInd w:val="0"/>
                    <w:jc w:val="center"/>
                    <w:textAlignment w:val="baseline"/>
                    <w:rPr>
                      <w:rFonts w:asciiTheme="minorHAnsi" w:hAnsiTheme="minorHAnsi" w:cstheme="minorHAnsi"/>
                      <w:b/>
                      <w:sz w:val="20"/>
                    </w:rPr>
                  </w:pPr>
                  <w:r w:rsidRPr="004B71FD">
                    <w:rPr>
                      <w:rFonts w:asciiTheme="minorHAnsi" w:hAnsiTheme="minorHAnsi" w:cstheme="minorHAnsi"/>
                      <w:b/>
                      <w:sz w:val="20"/>
                    </w:rPr>
                    <w:t>Infusion strength</w:t>
                  </w:r>
                </w:p>
              </w:tc>
              <w:tc>
                <w:tcPr>
                  <w:tcW w:w="4932" w:type="dxa"/>
                  <w:shd w:val="clear" w:color="auto" w:fill="auto"/>
                </w:tcPr>
                <w:p w:rsidRPr="004B71FD" w:rsidR="00B73A36" w:rsidP="00131848" w:rsidRDefault="00B73A36" w14:paraId="4A9E22A0" w14:textId="77777777">
                  <w:pPr>
                    <w:overflowPunct w:val="0"/>
                    <w:autoSpaceDE w:val="0"/>
                    <w:autoSpaceDN w:val="0"/>
                    <w:adjustRightInd w:val="0"/>
                    <w:jc w:val="center"/>
                    <w:textAlignment w:val="baseline"/>
                    <w:rPr>
                      <w:rFonts w:asciiTheme="minorHAnsi" w:hAnsiTheme="minorHAnsi" w:cstheme="minorHAnsi"/>
                      <w:b/>
                      <w:sz w:val="20"/>
                    </w:rPr>
                  </w:pPr>
                  <w:r w:rsidRPr="004B71FD">
                    <w:rPr>
                      <w:rFonts w:asciiTheme="minorHAnsi" w:hAnsiTheme="minorHAnsi" w:cstheme="minorHAnsi"/>
                      <w:b/>
                      <w:sz w:val="20"/>
                    </w:rPr>
                    <w:t>Prescribed amount</w:t>
                  </w:r>
                </w:p>
              </w:tc>
            </w:tr>
            <w:tr w:rsidRPr="004B71FD" w:rsidR="00B73A36" w:rsidTr="00131848" w14:paraId="3E13F1BD" w14:textId="77777777">
              <w:tc>
                <w:tcPr>
                  <w:tcW w:w="3602" w:type="dxa"/>
                  <w:shd w:val="clear" w:color="auto" w:fill="auto"/>
                </w:tcPr>
                <w:p w:rsidRPr="004B71FD" w:rsidR="00B73A36" w:rsidP="00131848" w:rsidRDefault="00B73A36" w14:paraId="229D091A" w14:textId="77777777">
                  <w:pPr>
                    <w:overflowPunct w:val="0"/>
                    <w:autoSpaceDE w:val="0"/>
                    <w:autoSpaceDN w:val="0"/>
                    <w:adjustRightInd w:val="0"/>
                    <w:textAlignment w:val="baseline"/>
                    <w:rPr>
                      <w:rFonts w:asciiTheme="minorHAnsi" w:hAnsiTheme="minorHAnsi" w:cstheme="minorHAnsi"/>
                      <w:sz w:val="20"/>
                    </w:rPr>
                  </w:pPr>
                  <w:r w:rsidRPr="004B71FD">
                    <w:rPr>
                      <w:rFonts w:asciiTheme="minorHAnsi" w:hAnsiTheme="minorHAnsi" w:cstheme="minorHAnsi"/>
                      <w:sz w:val="20"/>
                    </w:rPr>
                    <w:t>1 mL/hour = 0.05 microgram/kg/minute</w:t>
                  </w:r>
                </w:p>
              </w:tc>
              <w:tc>
                <w:tcPr>
                  <w:tcW w:w="4932" w:type="dxa"/>
                  <w:shd w:val="clear" w:color="auto" w:fill="auto"/>
                </w:tcPr>
                <w:p w:rsidRPr="004B71FD" w:rsidR="00B73A36" w:rsidP="00131848" w:rsidRDefault="00B73A36" w14:paraId="7D72F452" w14:textId="77777777">
                  <w:pPr>
                    <w:overflowPunct w:val="0"/>
                    <w:autoSpaceDE w:val="0"/>
                    <w:autoSpaceDN w:val="0"/>
                    <w:adjustRightInd w:val="0"/>
                    <w:textAlignment w:val="baseline"/>
                    <w:rPr>
                      <w:rFonts w:asciiTheme="minorHAnsi" w:hAnsiTheme="minorHAnsi" w:cstheme="minorHAnsi"/>
                      <w:sz w:val="20"/>
                    </w:rPr>
                  </w:pPr>
                  <w:r w:rsidRPr="004B71FD">
                    <w:rPr>
                      <w:rFonts w:asciiTheme="minorHAnsi" w:hAnsiTheme="minorHAnsi" w:cstheme="minorHAnsi"/>
                      <w:sz w:val="20"/>
                    </w:rPr>
                    <w:t>150 microgram/kg isoprenaline and make up to 50 mL</w:t>
                  </w:r>
                </w:p>
              </w:tc>
            </w:tr>
          </w:tbl>
          <w:p w:rsidRPr="004B71FD" w:rsidR="00B73A36" w:rsidP="00131848" w:rsidRDefault="00B73A36" w14:paraId="1E2DB48E" w14:textId="77777777">
            <w:pPr>
              <w:overflowPunct w:val="0"/>
              <w:autoSpaceDE w:val="0"/>
              <w:autoSpaceDN w:val="0"/>
              <w:adjustRightInd w:val="0"/>
              <w:textAlignment w:val="baseline"/>
              <w:rPr>
                <w:rFonts w:asciiTheme="minorHAnsi" w:hAnsiTheme="minorHAnsi" w:cstheme="minorHAnsi"/>
                <w:sz w:val="20"/>
              </w:rPr>
            </w:pPr>
            <w:r w:rsidRPr="004B71FD">
              <w:rPr>
                <w:rFonts w:asciiTheme="minorHAnsi" w:hAnsiTheme="minorHAnsi" w:cstheme="minorHAnsi"/>
                <w:sz w:val="20"/>
              </w:rPr>
              <w:t xml:space="preserve">Draw up 150 microgram/kg (0.75 mL/kg) isoprenaline and add glucose 5% or sodium chloride 0.9% to make a final volume of 50 mL. Infusing at a rate of </w:t>
            </w:r>
            <w:r w:rsidRPr="004B71FD">
              <w:rPr>
                <w:rFonts w:asciiTheme="minorHAnsi" w:hAnsiTheme="minorHAnsi" w:cstheme="minorHAnsi"/>
                <w:b/>
                <w:sz w:val="20"/>
              </w:rPr>
              <w:t>1 mL/hour = 0.05 microgram/kg/minute.</w:t>
            </w:r>
          </w:p>
          <w:p w:rsidRPr="004B71FD" w:rsidR="00B73A36" w:rsidP="00131848" w:rsidRDefault="00B73A36" w14:paraId="5A747DB5" w14:textId="77777777">
            <w:pPr>
              <w:overflowPunct w:val="0"/>
              <w:autoSpaceDE w:val="0"/>
              <w:autoSpaceDN w:val="0"/>
              <w:adjustRightInd w:val="0"/>
              <w:textAlignment w:val="baseline"/>
              <w:rPr>
                <w:rFonts w:asciiTheme="minorHAnsi" w:hAnsiTheme="minorHAnsi" w:cstheme="minorHAnsi"/>
                <w:sz w:val="20"/>
              </w:rPr>
            </w:pPr>
          </w:p>
          <w:p w:rsidRPr="004B71FD" w:rsidR="00B73A36" w:rsidP="00131848" w:rsidRDefault="00B73A36" w14:paraId="42076597" w14:textId="77777777">
            <w:pPr>
              <w:overflowPunct w:val="0"/>
              <w:autoSpaceDE w:val="0"/>
              <w:autoSpaceDN w:val="0"/>
              <w:adjustRightInd w:val="0"/>
              <w:jc w:val="both"/>
              <w:textAlignment w:val="baseline"/>
              <w:rPr>
                <w:rFonts w:asciiTheme="minorHAnsi" w:hAnsiTheme="minorHAnsi" w:cstheme="minorHAnsi"/>
                <w:b/>
                <w:sz w:val="20"/>
              </w:rPr>
            </w:pPr>
            <w:r w:rsidRPr="004B71FD">
              <w:rPr>
                <w:rFonts w:asciiTheme="minorHAnsi" w:hAnsiTheme="minorHAnsi" w:cstheme="minorHAnsi"/>
                <w:b/>
                <w:sz w:val="20"/>
              </w:rPr>
              <w:t>HIGH concentration IV infusion (can be used for infants up to 2.1 kg)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819"/>
            </w:tblGrid>
            <w:tr w:rsidRPr="004B71FD" w:rsidR="00B73A36" w:rsidTr="00131848" w14:paraId="4C8D70AE" w14:textId="77777777">
              <w:tc>
                <w:tcPr>
                  <w:tcW w:w="3715" w:type="dxa"/>
                  <w:shd w:val="clear" w:color="auto" w:fill="auto"/>
                </w:tcPr>
                <w:p w:rsidRPr="004B71FD" w:rsidR="00B73A36" w:rsidP="00131848" w:rsidRDefault="00B73A36" w14:paraId="30D12DB8" w14:textId="77777777">
                  <w:pPr>
                    <w:overflowPunct w:val="0"/>
                    <w:autoSpaceDE w:val="0"/>
                    <w:autoSpaceDN w:val="0"/>
                    <w:adjustRightInd w:val="0"/>
                    <w:jc w:val="center"/>
                    <w:textAlignment w:val="baseline"/>
                    <w:rPr>
                      <w:rFonts w:asciiTheme="minorHAnsi" w:hAnsiTheme="minorHAnsi" w:cstheme="minorHAnsi"/>
                      <w:b/>
                      <w:sz w:val="20"/>
                    </w:rPr>
                  </w:pPr>
                  <w:r w:rsidRPr="004B71FD">
                    <w:rPr>
                      <w:rFonts w:asciiTheme="minorHAnsi" w:hAnsiTheme="minorHAnsi" w:cstheme="minorHAnsi"/>
                      <w:b/>
                      <w:sz w:val="20"/>
                    </w:rPr>
                    <w:t>Infusion strength</w:t>
                  </w:r>
                </w:p>
              </w:tc>
              <w:tc>
                <w:tcPr>
                  <w:tcW w:w="4819" w:type="dxa"/>
                  <w:shd w:val="clear" w:color="auto" w:fill="auto"/>
                </w:tcPr>
                <w:p w:rsidRPr="004B71FD" w:rsidR="00B73A36" w:rsidP="00131848" w:rsidRDefault="00B73A36" w14:paraId="63D3B9D8" w14:textId="77777777">
                  <w:pPr>
                    <w:overflowPunct w:val="0"/>
                    <w:autoSpaceDE w:val="0"/>
                    <w:autoSpaceDN w:val="0"/>
                    <w:adjustRightInd w:val="0"/>
                    <w:jc w:val="center"/>
                    <w:textAlignment w:val="baseline"/>
                    <w:rPr>
                      <w:rFonts w:asciiTheme="minorHAnsi" w:hAnsiTheme="minorHAnsi" w:cstheme="minorHAnsi"/>
                      <w:b/>
                      <w:sz w:val="20"/>
                    </w:rPr>
                  </w:pPr>
                  <w:r w:rsidRPr="004B71FD">
                    <w:rPr>
                      <w:rFonts w:asciiTheme="minorHAnsi" w:hAnsiTheme="minorHAnsi" w:cstheme="minorHAnsi"/>
                      <w:b/>
                      <w:sz w:val="20"/>
                    </w:rPr>
                    <w:t>Prescribed amount</w:t>
                  </w:r>
                </w:p>
              </w:tc>
            </w:tr>
            <w:tr w:rsidRPr="004B71FD" w:rsidR="00B73A36" w:rsidTr="00131848" w14:paraId="32DD2F45" w14:textId="77777777">
              <w:tc>
                <w:tcPr>
                  <w:tcW w:w="3715" w:type="dxa"/>
                  <w:shd w:val="clear" w:color="auto" w:fill="auto"/>
                </w:tcPr>
                <w:p w:rsidRPr="004B71FD" w:rsidR="00B73A36" w:rsidP="00131848" w:rsidRDefault="00B73A36" w14:paraId="69289B8D" w14:textId="77777777">
                  <w:pPr>
                    <w:overflowPunct w:val="0"/>
                    <w:autoSpaceDE w:val="0"/>
                    <w:autoSpaceDN w:val="0"/>
                    <w:adjustRightInd w:val="0"/>
                    <w:jc w:val="both"/>
                    <w:textAlignment w:val="baseline"/>
                    <w:rPr>
                      <w:rFonts w:asciiTheme="minorHAnsi" w:hAnsiTheme="minorHAnsi" w:cstheme="minorHAnsi"/>
                      <w:sz w:val="20"/>
                    </w:rPr>
                  </w:pPr>
                  <w:r w:rsidRPr="004B71FD">
                    <w:rPr>
                      <w:rFonts w:asciiTheme="minorHAnsi" w:hAnsiTheme="minorHAnsi" w:cstheme="minorHAnsi"/>
                      <w:sz w:val="20"/>
                    </w:rPr>
                    <w:t>1 mL/hour = 0.5 microgram/kg/minute</w:t>
                  </w:r>
                </w:p>
              </w:tc>
              <w:tc>
                <w:tcPr>
                  <w:tcW w:w="4819" w:type="dxa"/>
                  <w:shd w:val="clear" w:color="auto" w:fill="auto"/>
                </w:tcPr>
                <w:p w:rsidRPr="004B71FD" w:rsidR="00B73A36" w:rsidP="00131848" w:rsidRDefault="00B73A36" w14:paraId="55E44FFB" w14:textId="77777777">
                  <w:pPr>
                    <w:overflowPunct w:val="0"/>
                    <w:autoSpaceDE w:val="0"/>
                    <w:autoSpaceDN w:val="0"/>
                    <w:adjustRightInd w:val="0"/>
                    <w:textAlignment w:val="baseline"/>
                    <w:rPr>
                      <w:rFonts w:asciiTheme="minorHAnsi" w:hAnsiTheme="minorHAnsi" w:cstheme="minorHAnsi"/>
                      <w:sz w:val="20"/>
                    </w:rPr>
                  </w:pPr>
                  <w:r w:rsidRPr="004B71FD">
                    <w:rPr>
                      <w:rFonts w:asciiTheme="minorHAnsi" w:hAnsiTheme="minorHAnsi" w:cstheme="minorHAnsi"/>
                      <w:sz w:val="20"/>
                    </w:rPr>
                    <w:t>1500 microgram/kg isoprenaline and make up to 50 mL</w:t>
                  </w:r>
                </w:p>
              </w:tc>
            </w:tr>
          </w:tbl>
          <w:p w:rsidRPr="004B71FD" w:rsidR="00B73A36" w:rsidP="00131848" w:rsidRDefault="00B73A36" w14:paraId="6A6B30CC" w14:textId="77777777">
            <w:pPr>
              <w:overflowPunct w:val="0"/>
              <w:autoSpaceDE w:val="0"/>
              <w:autoSpaceDN w:val="0"/>
              <w:adjustRightInd w:val="0"/>
              <w:textAlignment w:val="baseline"/>
              <w:rPr>
                <w:rFonts w:asciiTheme="minorHAnsi" w:hAnsiTheme="minorHAnsi" w:cstheme="minorHAnsi"/>
                <w:b/>
                <w:sz w:val="20"/>
              </w:rPr>
            </w:pPr>
            <w:r w:rsidRPr="004B71FD">
              <w:rPr>
                <w:rFonts w:asciiTheme="minorHAnsi" w:hAnsiTheme="minorHAnsi" w:cstheme="minorHAnsi"/>
                <w:sz w:val="20"/>
              </w:rPr>
              <w:t xml:space="preserve">Draw up 1500 microgram/kg (7.5 mL/kg) of isoprenaline and add glucose 5% or sodium chloride 0.9% to make a final volume of 50 mL. Infusing at a rate of </w:t>
            </w:r>
            <w:r w:rsidRPr="004B71FD">
              <w:rPr>
                <w:rFonts w:asciiTheme="minorHAnsi" w:hAnsiTheme="minorHAnsi" w:cstheme="minorHAnsi"/>
                <w:b/>
                <w:sz w:val="20"/>
              </w:rPr>
              <w:t>1 mL/hour = 0.5 microgram/kg/minute.</w:t>
            </w:r>
          </w:p>
          <w:p w:rsidRPr="004B71FD" w:rsidR="00B73A36" w:rsidP="00131848" w:rsidRDefault="00B73A36" w14:paraId="2D3BEDEF" w14:textId="77777777">
            <w:pPr>
              <w:overflowPunct w:val="0"/>
              <w:autoSpaceDE w:val="0"/>
              <w:autoSpaceDN w:val="0"/>
              <w:adjustRightInd w:val="0"/>
              <w:jc w:val="both"/>
              <w:textAlignment w:val="baseline"/>
              <w:rPr>
                <w:rFonts w:asciiTheme="minorHAnsi" w:hAnsiTheme="minorHAnsi" w:cstheme="minorHAnsi"/>
                <w:b/>
                <w:sz w:val="20"/>
              </w:rPr>
            </w:pPr>
          </w:p>
          <w:p w:rsidRPr="004B71FD" w:rsidR="00B73A36" w:rsidP="00131848" w:rsidRDefault="00B73A36" w14:paraId="6F23ABE9" w14:textId="77777777">
            <w:pPr>
              <w:pStyle w:val="BodyText"/>
              <w:rPr>
                <w:rFonts w:asciiTheme="minorHAnsi" w:hAnsiTheme="minorHAnsi" w:cstheme="minorHAnsi"/>
                <w:sz w:val="20"/>
              </w:rPr>
            </w:pPr>
            <w:r w:rsidRPr="004B71FD">
              <w:rPr>
                <w:rFonts w:asciiTheme="minorHAnsi" w:hAnsiTheme="minorHAnsi" w:cstheme="minorHAnsi"/>
                <w:b/>
                <w:sz w:val="20"/>
              </w:rPr>
              <w:t>*Maximum reported concentration of the infusion preparation is 64 microgram/mL.(12)</w:t>
            </w:r>
          </w:p>
        </w:tc>
      </w:tr>
      <w:tr w:rsidRPr="003A7895" w:rsidR="00B73A36" w:rsidTr="00B73A36" w14:paraId="09606841" w14:textId="77777777">
        <w:trPr>
          <w:trHeight w:val="224"/>
        </w:trPr>
        <w:tc>
          <w:tcPr>
            <w:tcW w:w="1730" w:type="dxa"/>
          </w:tcPr>
          <w:p w:rsidRPr="00B53E9B" w:rsidR="00B73A36" w:rsidP="00131848" w:rsidRDefault="00B73A36" w14:paraId="41029016" w14:textId="77777777">
            <w:pPr>
              <w:pStyle w:val="BodyText"/>
              <w:rPr>
                <w:rFonts w:cs="Arial"/>
                <w:b/>
                <w:bCs/>
                <w:sz w:val="20"/>
              </w:rPr>
            </w:pPr>
            <w:r w:rsidRPr="00B53E9B">
              <w:rPr>
                <w:rFonts w:cs="Arial"/>
                <w:b/>
                <w:bCs/>
                <w:sz w:val="20"/>
              </w:rPr>
              <w:t xml:space="preserve">Administration                </w:t>
            </w:r>
          </w:p>
        </w:tc>
        <w:tc>
          <w:tcPr>
            <w:tcW w:w="7513" w:type="dxa"/>
            <w:vAlign w:val="center"/>
          </w:tcPr>
          <w:p w:rsidRPr="004B71FD" w:rsidR="00B73A36" w:rsidP="00131848" w:rsidRDefault="00B73A36" w14:paraId="1A5E6D84" w14:textId="77777777">
            <w:pPr>
              <w:pStyle w:val="BodyText"/>
              <w:rPr>
                <w:rFonts w:asciiTheme="minorHAnsi" w:hAnsiTheme="minorHAnsi" w:cstheme="minorHAnsi"/>
                <w:sz w:val="20"/>
              </w:rPr>
            </w:pPr>
            <w:r w:rsidRPr="004B71FD">
              <w:rPr>
                <w:rFonts w:asciiTheme="minorHAnsi" w:hAnsiTheme="minorHAnsi" w:cstheme="minorHAnsi"/>
                <w:sz w:val="20"/>
              </w:rPr>
              <w:t>Continuous IV infusion preferably via central line.</w:t>
            </w:r>
          </w:p>
          <w:p w:rsidRPr="004B71FD" w:rsidR="00B73A36" w:rsidP="00131848" w:rsidRDefault="00B73A36" w14:paraId="339C2C68" w14:textId="77777777">
            <w:pPr>
              <w:pStyle w:val="BodyText"/>
              <w:rPr>
                <w:rFonts w:asciiTheme="minorHAnsi" w:hAnsiTheme="minorHAnsi" w:cstheme="minorHAnsi"/>
                <w:sz w:val="20"/>
              </w:rPr>
            </w:pPr>
            <w:r w:rsidRPr="004B71FD">
              <w:rPr>
                <w:rFonts w:asciiTheme="minorHAnsi" w:hAnsiTheme="minorHAnsi" w:cstheme="minorHAnsi"/>
                <w:sz w:val="20"/>
              </w:rPr>
              <w:t>Change infusion every 24 hours.</w:t>
            </w:r>
          </w:p>
        </w:tc>
      </w:tr>
      <w:tr w:rsidRPr="003A7895" w:rsidR="00B73A36" w:rsidTr="00B73A36" w14:paraId="25C09891" w14:textId="77777777">
        <w:trPr>
          <w:trHeight w:val="215"/>
        </w:trPr>
        <w:tc>
          <w:tcPr>
            <w:tcW w:w="1730" w:type="dxa"/>
          </w:tcPr>
          <w:p w:rsidRPr="00B53E9B" w:rsidR="00B73A36" w:rsidP="00131848" w:rsidRDefault="00B73A36" w14:paraId="528C2A41" w14:textId="77777777">
            <w:pPr>
              <w:pStyle w:val="BodyText"/>
              <w:rPr>
                <w:rFonts w:cs="Arial"/>
                <w:b/>
                <w:bCs/>
                <w:sz w:val="20"/>
              </w:rPr>
            </w:pPr>
            <w:r w:rsidRPr="00B53E9B">
              <w:rPr>
                <w:rFonts w:cs="Arial"/>
                <w:b/>
                <w:bCs/>
                <w:sz w:val="20"/>
              </w:rPr>
              <w:t xml:space="preserve">Monitoring                              </w:t>
            </w:r>
          </w:p>
        </w:tc>
        <w:tc>
          <w:tcPr>
            <w:tcW w:w="7513" w:type="dxa"/>
          </w:tcPr>
          <w:p w:rsidRPr="004B71FD" w:rsidR="00B73A36" w:rsidP="00131848" w:rsidRDefault="00B73A36" w14:paraId="663DD2A2" w14:textId="77777777">
            <w:pPr>
              <w:pStyle w:val="BodyText"/>
              <w:rPr>
                <w:rFonts w:asciiTheme="minorHAnsi" w:hAnsiTheme="minorHAnsi" w:cstheme="minorHAnsi"/>
                <w:sz w:val="20"/>
              </w:rPr>
            </w:pPr>
            <w:r w:rsidRPr="004B71FD">
              <w:rPr>
                <w:rFonts w:asciiTheme="minorHAnsi" w:hAnsiTheme="minorHAnsi" w:cstheme="minorHAnsi"/>
                <w:sz w:val="20"/>
              </w:rPr>
              <w:t xml:space="preserve">Continuous heart rate, ECG and blood pressure monitoring preferable. </w:t>
            </w:r>
          </w:p>
          <w:p w:rsidRPr="004B71FD" w:rsidR="00B73A36" w:rsidP="00131848" w:rsidRDefault="00B73A36" w14:paraId="6CC67494" w14:textId="77777777">
            <w:pPr>
              <w:pStyle w:val="BodyText"/>
              <w:rPr>
                <w:rFonts w:asciiTheme="minorHAnsi" w:hAnsiTheme="minorHAnsi" w:cstheme="minorHAnsi"/>
                <w:sz w:val="20"/>
              </w:rPr>
            </w:pPr>
            <w:r w:rsidRPr="004B71FD">
              <w:rPr>
                <w:rFonts w:asciiTheme="minorHAnsi" w:hAnsiTheme="minorHAnsi" w:cstheme="minorHAnsi"/>
                <w:sz w:val="20"/>
              </w:rPr>
              <w:t xml:space="preserve">Assess urine output and peripheral perfusion frequently. </w:t>
            </w:r>
          </w:p>
          <w:p w:rsidRPr="004B71FD" w:rsidR="00B73A36" w:rsidP="00131848" w:rsidRDefault="00B73A36" w14:paraId="147348E8" w14:textId="77777777">
            <w:pPr>
              <w:pStyle w:val="BodyText"/>
              <w:rPr>
                <w:rFonts w:asciiTheme="minorHAnsi" w:hAnsiTheme="minorHAnsi" w:cstheme="minorHAnsi"/>
                <w:sz w:val="20"/>
              </w:rPr>
            </w:pPr>
            <w:r w:rsidRPr="004B71FD">
              <w:rPr>
                <w:rFonts w:asciiTheme="minorHAnsi" w:hAnsiTheme="minorHAnsi" w:cstheme="minorHAnsi"/>
                <w:sz w:val="20"/>
              </w:rPr>
              <w:t>Blood glucose.</w:t>
            </w:r>
          </w:p>
        </w:tc>
      </w:tr>
      <w:tr w:rsidRPr="003A7895" w:rsidR="00B73A36" w:rsidTr="00B73A36" w14:paraId="7FCD06A7" w14:textId="77777777">
        <w:trPr>
          <w:trHeight w:val="342"/>
        </w:trPr>
        <w:tc>
          <w:tcPr>
            <w:tcW w:w="1730" w:type="dxa"/>
          </w:tcPr>
          <w:p w:rsidRPr="00B53E9B" w:rsidR="00B73A36" w:rsidP="00131848" w:rsidRDefault="00B73A36" w14:paraId="68A9B390" w14:textId="77777777">
            <w:pPr>
              <w:pStyle w:val="BodyText"/>
              <w:rPr>
                <w:rFonts w:cs="Arial"/>
                <w:b/>
                <w:bCs/>
                <w:sz w:val="20"/>
              </w:rPr>
            </w:pPr>
            <w:r w:rsidRPr="00B53E9B">
              <w:rPr>
                <w:rFonts w:cs="Arial"/>
                <w:b/>
                <w:bCs/>
                <w:sz w:val="20"/>
              </w:rPr>
              <w:lastRenderedPageBreak/>
              <w:t xml:space="preserve">Contraindications                        </w:t>
            </w:r>
          </w:p>
        </w:tc>
        <w:tc>
          <w:tcPr>
            <w:tcW w:w="7513" w:type="dxa"/>
          </w:tcPr>
          <w:p w:rsidRPr="004B71FD" w:rsidR="00B73A36" w:rsidP="00131848" w:rsidRDefault="00B73A36" w14:paraId="515A80B1" w14:textId="77777777">
            <w:pPr>
              <w:pStyle w:val="BodyText"/>
              <w:rPr>
                <w:rFonts w:asciiTheme="minorHAnsi" w:hAnsiTheme="minorHAnsi" w:cstheme="minorHAnsi"/>
                <w:sz w:val="20"/>
              </w:rPr>
            </w:pPr>
            <w:r w:rsidRPr="004B71FD">
              <w:rPr>
                <w:rFonts w:asciiTheme="minorHAnsi" w:hAnsiTheme="minorHAnsi" w:cstheme="minorHAnsi"/>
                <w:sz w:val="20"/>
              </w:rPr>
              <w:t>Tachyarrhythmias; tachycardia or heart block caused by digitalis intoxication; ventricular arrhythmias which require inotropic therapy; coronary insufficiency; hypersensitivity to isoprenaline.</w:t>
            </w:r>
          </w:p>
          <w:p w:rsidRPr="004B71FD" w:rsidR="00B73A36" w:rsidP="00131848" w:rsidRDefault="00B73A36" w14:paraId="1807D6ED" w14:textId="77777777">
            <w:pPr>
              <w:pStyle w:val="BodyText"/>
              <w:rPr>
                <w:rFonts w:asciiTheme="minorHAnsi" w:hAnsiTheme="minorHAnsi" w:cstheme="minorHAnsi"/>
                <w:sz w:val="20"/>
              </w:rPr>
            </w:pPr>
            <w:r w:rsidRPr="004B71FD">
              <w:rPr>
                <w:rFonts w:asciiTheme="minorHAnsi" w:hAnsiTheme="minorHAnsi" w:cstheme="minorHAnsi"/>
                <w:sz w:val="20"/>
              </w:rPr>
              <w:t>Isoprenaline should not be given simultaneously with adrenaline because their combined effects may induce serious arrhythmia.</w:t>
            </w:r>
          </w:p>
        </w:tc>
      </w:tr>
      <w:tr w:rsidRPr="003A7895" w:rsidR="00B73A36" w:rsidTr="00B73A36" w14:paraId="5B6EEEFC" w14:textId="77777777">
        <w:tc>
          <w:tcPr>
            <w:tcW w:w="1730" w:type="dxa"/>
          </w:tcPr>
          <w:p w:rsidRPr="00B53E9B" w:rsidR="00B73A36" w:rsidP="00131848" w:rsidRDefault="00B73A36" w14:paraId="77853C96" w14:textId="77777777">
            <w:pPr>
              <w:pStyle w:val="BodyText"/>
              <w:rPr>
                <w:rFonts w:cs="Arial"/>
                <w:b/>
                <w:bCs/>
                <w:sz w:val="20"/>
              </w:rPr>
            </w:pPr>
            <w:r w:rsidRPr="00B53E9B">
              <w:rPr>
                <w:sz w:val="20"/>
              </w:rPr>
              <w:br w:type="page"/>
            </w:r>
            <w:r w:rsidRPr="00B53E9B">
              <w:rPr>
                <w:rFonts w:cs="Arial"/>
                <w:b/>
                <w:bCs/>
                <w:sz w:val="20"/>
              </w:rPr>
              <w:t>Precautions</w:t>
            </w:r>
          </w:p>
        </w:tc>
        <w:tc>
          <w:tcPr>
            <w:tcW w:w="7513" w:type="dxa"/>
          </w:tcPr>
          <w:p w:rsidRPr="004B71FD" w:rsidR="00B73A36" w:rsidP="00131848" w:rsidRDefault="00B73A36" w14:paraId="4D723383" w14:textId="77777777">
            <w:pPr>
              <w:pStyle w:val="BodyText"/>
              <w:rPr>
                <w:rFonts w:asciiTheme="minorHAnsi" w:hAnsiTheme="minorHAnsi" w:cstheme="minorHAnsi"/>
                <w:sz w:val="20"/>
              </w:rPr>
            </w:pPr>
            <w:r w:rsidRPr="004B71FD">
              <w:rPr>
                <w:rFonts w:asciiTheme="minorHAnsi" w:hAnsiTheme="minorHAnsi" w:cstheme="minorHAnsi"/>
                <w:sz w:val="20"/>
              </w:rPr>
              <w:t>Isoprenaline infusion may produce an increase in myocardial work and oxygen consumption.</w:t>
            </w:r>
          </w:p>
          <w:p w:rsidRPr="004B71FD" w:rsidR="00B73A36" w:rsidP="00131848" w:rsidRDefault="00B73A36" w14:paraId="312F0D85" w14:textId="77777777">
            <w:pPr>
              <w:pStyle w:val="BodyText"/>
              <w:rPr>
                <w:rFonts w:asciiTheme="minorHAnsi" w:hAnsiTheme="minorHAnsi" w:cstheme="minorHAnsi"/>
                <w:sz w:val="20"/>
              </w:rPr>
            </w:pPr>
            <w:r w:rsidRPr="004B71FD">
              <w:rPr>
                <w:rFonts w:asciiTheme="minorHAnsi" w:hAnsiTheme="minorHAnsi" w:cstheme="minorHAnsi"/>
                <w:sz w:val="20"/>
              </w:rPr>
              <w:t xml:space="preserve">Titrate drug dose to heart rate. </w:t>
            </w:r>
          </w:p>
          <w:p w:rsidRPr="004B71FD" w:rsidR="00B73A36" w:rsidP="00131848" w:rsidRDefault="00B73A36" w14:paraId="7526747D" w14:textId="77777777">
            <w:pPr>
              <w:pStyle w:val="BodyText"/>
              <w:rPr>
                <w:rFonts w:asciiTheme="minorHAnsi" w:hAnsiTheme="minorHAnsi" w:cstheme="minorHAnsi"/>
                <w:sz w:val="20"/>
              </w:rPr>
            </w:pPr>
            <w:r w:rsidRPr="004B71FD">
              <w:rPr>
                <w:rFonts w:asciiTheme="minorHAnsi" w:hAnsiTheme="minorHAnsi" w:cstheme="minorHAnsi"/>
                <w:sz w:val="20"/>
              </w:rPr>
              <w:t xml:space="preserve">Correct acidosis prior to commencement. </w:t>
            </w:r>
          </w:p>
          <w:p w:rsidRPr="004B71FD" w:rsidR="00B73A36" w:rsidP="00131848" w:rsidRDefault="00B73A36" w14:paraId="5F4FE30F" w14:textId="77777777">
            <w:pPr>
              <w:pStyle w:val="BodyText"/>
              <w:rPr>
                <w:rFonts w:asciiTheme="minorHAnsi" w:hAnsiTheme="minorHAnsi" w:cstheme="minorHAnsi"/>
                <w:sz w:val="20"/>
              </w:rPr>
            </w:pPr>
            <w:r w:rsidRPr="004B71FD">
              <w:rPr>
                <w:rFonts w:asciiTheme="minorHAnsi" w:hAnsiTheme="minorHAnsi" w:cstheme="minorHAnsi"/>
                <w:sz w:val="20"/>
              </w:rPr>
              <w:t xml:space="preserve">Ensure adequate circulating blood volume prior to commencement. As isoprenaline is a vasodilator, additional volume expansion may be required during infusion. </w:t>
            </w:r>
          </w:p>
          <w:p w:rsidRPr="004B71FD" w:rsidR="00B73A36" w:rsidP="00131848" w:rsidRDefault="00B73A36" w14:paraId="16C695D6" w14:textId="77777777">
            <w:pPr>
              <w:pStyle w:val="BodyText"/>
              <w:rPr>
                <w:rFonts w:asciiTheme="minorHAnsi" w:hAnsiTheme="minorHAnsi" w:cstheme="minorHAnsi"/>
                <w:sz w:val="20"/>
              </w:rPr>
            </w:pPr>
            <w:r w:rsidRPr="004B71FD">
              <w:rPr>
                <w:rFonts w:asciiTheme="minorHAnsi" w:hAnsiTheme="minorHAnsi" w:cstheme="minorHAnsi"/>
                <w:sz w:val="20"/>
              </w:rPr>
              <w:t>Stimulates insulin secretion.</w:t>
            </w:r>
          </w:p>
        </w:tc>
      </w:tr>
      <w:tr w:rsidRPr="003A7895" w:rsidR="00B73A36" w:rsidTr="00B73A36" w14:paraId="0F013898" w14:textId="77777777">
        <w:trPr>
          <w:trHeight w:val="70"/>
        </w:trPr>
        <w:tc>
          <w:tcPr>
            <w:tcW w:w="1730" w:type="dxa"/>
          </w:tcPr>
          <w:p w:rsidRPr="00B53E9B" w:rsidR="00B73A36" w:rsidP="00131848" w:rsidRDefault="00B73A36" w14:paraId="49D314E2"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13" w:type="dxa"/>
          </w:tcPr>
          <w:p w:rsidRPr="004B71FD" w:rsidR="00B73A36" w:rsidP="00131848" w:rsidRDefault="00B73A36" w14:paraId="41D50C0D" w14:textId="77777777">
            <w:pPr>
              <w:pStyle w:val="BodyText"/>
              <w:rPr>
                <w:rFonts w:asciiTheme="minorHAnsi" w:hAnsiTheme="minorHAnsi" w:cstheme="minorHAnsi"/>
                <w:sz w:val="20"/>
              </w:rPr>
            </w:pPr>
            <w:r w:rsidRPr="004B71FD">
              <w:rPr>
                <w:rFonts w:asciiTheme="minorHAnsi" w:hAnsiTheme="minorHAnsi" w:cstheme="minorHAnsi"/>
                <w:sz w:val="20"/>
              </w:rPr>
              <w:t>Inhalational anaesthetics can increase the effects of isoprenaline.</w:t>
            </w:r>
          </w:p>
          <w:p w:rsidRPr="004B71FD" w:rsidR="00B73A36" w:rsidP="00131848" w:rsidRDefault="00B73A36" w14:paraId="253C226B" w14:textId="77777777">
            <w:pPr>
              <w:pStyle w:val="BodyText"/>
              <w:rPr>
                <w:rFonts w:asciiTheme="minorHAnsi" w:hAnsiTheme="minorHAnsi" w:cstheme="minorHAnsi"/>
                <w:sz w:val="20"/>
              </w:rPr>
            </w:pPr>
            <w:r w:rsidRPr="004B71FD">
              <w:rPr>
                <w:rFonts w:asciiTheme="minorHAnsi" w:hAnsiTheme="minorHAnsi" w:cstheme="minorHAnsi"/>
                <w:sz w:val="20"/>
              </w:rPr>
              <w:t>Use of isoprenaline hydrochloride in conjunction with aminophylline and corticosteroids may be additive in cardiotoxic properties.</w:t>
            </w:r>
          </w:p>
        </w:tc>
      </w:tr>
      <w:tr w:rsidRPr="003A7895" w:rsidR="00B73A36" w:rsidTr="00B73A36" w14:paraId="576B0B6F" w14:textId="77777777">
        <w:trPr>
          <w:trHeight w:val="332"/>
        </w:trPr>
        <w:tc>
          <w:tcPr>
            <w:tcW w:w="1730" w:type="dxa"/>
          </w:tcPr>
          <w:p w:rsidRPr="00B53E9B" w:rsidR="00B73A36" w:rsidP="00131848" w:rsidRDefault="00B73A36" w14:paraId="3CE4CAE7"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13" w:type="dxa"/>
          </w:tcPr>
          <w:p w:rsidRPr="004B71FD" w:rsidR="00B73A36" w:rsidP="00131848" w:rsidRDefault="00B73A36" w14:paraId="3048D5C9" w14:textId="77777777">
            <w:pPr>
              <w:pStyle w:val="BodyText"/>
              <w:rPr>
                <w:rFonts w:asciiTheme="minorHAnsi" w:hAnsiTheme="minorHAnsi" w:cstheme="minorHAnsi"/>
                <w:sz w:val="20"/>
              </w:rPr>
            </w:pPr>
            <w:r w:rsidRPr="004B71FD">
              <w:rPr>
                <w:rFonts w:asciiTheme="minorHAnsi" w:hAnsiTheme="minorHAnsi" w:cstheme="minorHAnsi"/>
                <w:sz w:val="20"/>
              </w:rPr>
              <w:t xml:space="preserve">Tachycardia. </w:t>
            </w:r>
          </w:p>
          <w:p w:rsidRPr="004B71FD" w:rsidR="00B73A36" w:rsidP="00131848" w:rsidRDefault="00B73A36" w14:paraId="753E6000" w14:textId="77777777">
            <w:pPr>
              <w:pStyle w:val="BodyText"/>
              <w:rPr>
                <w:rFonts w:asciiTheme="minorHAnsi" w:hAnsiTheme="minorHAnsi" w:cstheme="minorHAnsi"/>
                <w:sz w:val="20"/>
              </w:rPr>
            </w:pPr>
            <w:r w:rsidRPr="004B71FD">
              <w:rPr>
                <w:rFonts w:asciiTheme="minorHAnsi" w:hAnsiTheme="minorHAnsi" w:cstheme="minorHAnsi"/>
                <w:sz w:val="20"/>
              </w:rPr>
              <w:t xml:space="preserve">Cardiac arrhythmias. </w:t>
            </w:r>
          </w:p>
          <w:p w:rsidRPr="004B71FD" w:rsidR="00B73A36" w:rsidP="00131848" w:rsidRDefault="00B73A36" w14:paraId="74F5D3FC" w14:textId="77777777">
            <w:pPr>
              <w:pStyle w:val="BodyText"/>
              <w:rPr>
                <w:rFonts w:asciiTheme="minorHAnsi" w:hAnsiTheme="minorHAnsi" w:cstheme="minorHAnsi"/>
                <w:sz w:val="20"/>
              </w:rPr>
            </w:pPr>
            <w:r w:rsidRPr="004B71FD">
              <w:rPr>
                <w:rFonts w:asciiTheme="minorHAnsi" w:hAnsiTheme="minorHAnsi" w:cstheme="minorHAnsi"/>
                <w:sz w:val="20"/>
              </w:rPr>
              <w:t xml:space="preserve">Systemic vasodilation and hypotension. </w:t>
            </w:r>
          </w:p>
          <w:p w:rsidRPr="004B71FD" w:rsidR="00B73A36" w:rsidP="00131848" w:rsidRDefault="00B73A36" w14:paraId="15D271A5" w14:textId="77777777">
            <w:pPr>
              <w:pStyle w:val="BodyText"/>
              <w:rPr>
                <w:rFonts w:asciiTheme="minorHAnsi" w:hAnsiTheme="minorHAnsi" w:cstheme="minorHAnsi"/>
                <w:sz w:val="20"/>
              </w:rPr>
            </w:pPr>
            <w:r w:rsidRPr="004B71FD">
              <w:rPr>
                <w:rFonts w:asciiTheme="minorHAnsi" w:hAnsiTheme="minorHAnsi" w:cstheme="minorHAnsi"/>
                <w:sz w:val="20"/>
              </w:rPr>
              <w:t>Hypoglycaemia.</w:t>
            </w:r>
          </w:p>
          <w:p w:rsidRPr="004B71FD" w:rsidR="00B73A36" w:rsidP="00131848" w:rsidRDefault="00B73A36" w14:paraId="455E8D99" w14:textId="77777777">
            <w:pPr>
              <w:pStyle w:val="BodyText"/>
              <w:rPr>
                <w:rFonts w:asciiTheme="minorHAnsi" w:hAnsiTheme="minorHAnsi" w:cstheme="minorHAnsi"/>
                <w:sz w:val="20"/>
              </w:rPr>
            </w:pPr>
            <w:r w:rsidRPr="004B71FD">
              <w:rPr>
                <w:rFonts w:asciiTheme="minorHAnsi" w:hAnsiTheme="minorHAnsi" w:cstheme="minorHAnsi"/>
                <w:sz w:val="20"/>
              </w:rPr>
              <w:t>Extravasation (12)</w:t>
            </w:r>
          </w:p>
        </w:tc>
      </w:tr>
      <w:tr w:rsidRPr="003A7895" w:rsidR="00B73A36" w:rsidTr="00B73A36" w14:paraId="3DB6C61D" w14:textId="77777777">
        <w:trPr>
          <w:trHeight w:val="180"/>
        </w:trPr>
        <w:tc>
          <w:tcPr>
            <w:tcW w:w="1730" w:type="dxa"/>
          </w:tcPr>
          <w:p w:rsidRPr="00B53E9B" w:rsidR="00B73A36" w:rsidP="00131848" w:rsidRDefault="00B73A36" w14:paraId="40A28DE5" w14:textId="77777777">
            <w:pPr>
              <w:pStyle w:val="BodyText"/>
              <w:rPr>
                <w:rFonts w:cs="Arial"/>
                <w:b/>
                <w:bCs/>
                <w:sz w:val="20"/>
              </w:rPr>
            </w:pPr>
            <w:r w:rsidRPr="00B53E9B">
              <w:rPr>
                <w:rFonts w:cs="Arial"/>
                <w:b/>
                <w:bCs/>
                <w:sz w:val="20"/>
              </w:rPr>
              <w:t>Compatibility</w:t>
            </w:r>
          </w:p>
        </w:tc>
        <w:tc>
          <w:tcPr>
            <w:tcW w:w="7513" w:type="dxa"/>
          </w:tcPr>
          <w:p w:rsidRPr="004B71FD" w:rsidR="00B73A36" w:rsidP="00131848" w:rsidRDefault="00B73A36" w14:paraId="372A6B99" w14:textId="77777777">
            <w:pPr>
              <w:pStyle w:val="BodyText"/>
              <w:rPr>
                <w:rFonts w:asciiTheme="minorHAnsi" w:hAnsiTheme="minorHAnsi" w:cstheme="minorHAnsi"/>
                <w:sz w:val="20"/>
              </w:rPr>
            </w:pPr>
            <w:r w:rsidRPr="004B71FD">
              <w:rPr>
                <w:rFonts w:asciiTheme="minorHAnsi" w:hAnsiTheme="minorHAnsi" w:cstheme="minorHAnsi"/>
                <w:sz w:val="20"/>
              </w:rPr>
              <w:t>Fluids (14): Glucose 5%; sodium chloride 0.9%.</w:t>
            </w:r>
          </w:p>
          <w:p w:rsidRPr="004B71FD" w:rsidR="00B73A36" w:rsidP="00131848" w:rsidRDefault="00B73A36" w14:paraId="716EAB83" w14:textId="77777777">
            <w:pPr>
              <w:pStyle w:val="BodyText"/>
              <w:rPr>
                <w:rFonts w:asciiTheme="minorHAnsi" w:hAnsiTheme="minorHAnsi" w:cstheme="minorHAnsi"/>
                <w:sz w:val="20"/>
              </w:rPr>
            </w:pPr>
            <w:r w:rsidRPr="004B71FD">
              <w:rPr>
                <w:rFonts w:asciiTheme="minorHAnsi" w:hAnsiTheme="minorHAnsi" w:cstheme="minorHAnsi"/>
                <w:sz w:val="20"/>
              </w:rPr>
              <w:t>Y-site (12,14): Aciclovir, adrenaline (epinephrine), amikacin, amiodarone, amphotericin B liposomal, atracurium, atropine, azithromycin, aztreonam, benzylpenicillin, caffeine citrate, calcium chloride, calcium gluconate, cefazolin, cefotaxime, ceftazidime, ceftriaxone, chloramphenicol, clindamycin, dexamethasone, digoxin, dobutamine, dopamine, erythromycin, fentanyl, fluconazole, gentamicin, heparin, hydrocortisone, lidocaine (lignocaine), linezolid, magnesium sulfate, metronidazole, milrinone, morphine, nitroprusside, nitroglycerin, noradrenaline (norepinephrine), pamidronate, pancuronium, penicillin, piperacillin-tazobactam, potassium chloride, propofol, ranitidine, remifentanil, ticarcillin, vancomycin, vasopressin, vitamin K.</w:t>
            </w:r>
          </w:p>
        </w:tc>
      </w:tr>
      <w:tr w:rsidRPr="003A7895" w:rsidR="00B73A36" w:rsidTr="00B73A36" w14:paraId="0365A9BF" w14:textId="77777777">
        <w:trPr>
          <w:trHeight w:val="230"/>
        </w:trPr>
        <w:tc>
          <w:tcPr>
            <w:tcW w:w="1730" w:type="dxa"/>
          </w:tcPr>
          <w:p w:rsidRPr="00B53E9B" w:rsidR="00B73A36" w:rsidP="00131848" w:rsidRDefault="00B73A36" w14:paraId="27DB1463" w14:textId="77777777">
            <w:pPr>
              <w:pStyle w:val="BodyText"/>
              <w:rPr>
                <w:rFonts w:cs="Arial"/>
                <w:b/>
                <w:bCs/>
                <w:sz w:val="20"/>
              </w:rPr>
            </w:pPr>
            <w:r w:rsidRPr="00B53E9B">
              <w:rPr>
                <w:rFonts w:cs="Arial"/>
                <w:b/>
                <w:bCs/>
                <w:sz w:val="20"/>
              </w:rPr>
              <w:t>Incompatibility</w:t>
            </w:r>
          </w:p>
        </w:tc>
        <w:tc>
          <w:tcPr>
            <w:tcW w:w="7513" w:type="dxa"/>
          </w:tcPr>
          <w:p w:rsidRPr="004B71FD" w:rsidR="00B73A36" w:rsidP="00131848" w:rsidRDefault="00B73A36" w14:paraId="1AA9E93E" w14:textId="77777777">
            <w:pPr>
              <w:pStyle w:val="BodyText"/>
              <w:rPr>
                <w:rFonts w:asciiTheme="minorHAnsi" w:hAnsiTheme="minorHAnsi" w:cstheme="minorHAnsi"/>
                <w:sz w:val="20"/>
              </w:rPr>
            </w:pPr>
            <w:r w:rsidRPr="004B71FD">
              <w:rPr>
                <w:rFonts w:asciiTheme="minorHAnsi" w:hAnsiTheme="minorHAnsi" w:cstheme="minorHAnsi"/>
                <w:sz w:val="20"/>
              </w:rPr>
              <w:t>Aminophylline, ampicillin sodium, amphotericin B conventional colloidal, amphotericin B lipid complex, diazepam, diazoxide, furosemide, ganciclovir, hydralazine, ibuprofen, indomethacin, insulin, pantoprazole, phenobarbitone (phenobarbital), phenytoin, sodium bicarbonate, sulfamethoxazole-trimethoprim.</w:t>
            </w:r>
          </w:p>
        </w:tc>
      </w:tr>
      <w:tr w:rsidRPr="003A7895" w:rsidR="00B73A36" w:rsidTr="00B73A36" w14:paraId="50559CEC" w14:textId="77777777">
        <w:trPr>
          <w:trHeight w:val="79"/>
        </w:trPr>
        <w:tc>
          <w:tcPr>
            <w:tcW w:w="1730" w:type="dxa"/>
          </w:tcPr>
          <w:p w:rsidRPr="00B53E9B" w:rsidR="00B73A36" w:rsidP="00131848" w:rsidRDefault="00B73A36" w14:paraId="6E2DBD08" w14:textId="77777777">
            <w:pPr>
              <w:pStyle w:val="BodyText"/>
              <w:rPr>
                <w:rFonts w:cs="Arial"/>
                <w:b/>
                <w:bCs/>
                <w:sz w:val="20"/>
              </w:rPr>
            </w:pPr>
            <w:r w:rsidRPr="00B53E9B">
              <w:rPr>
                <w:rFonts w:cs="Arial"/>
                <w:b/>
                <w:bCs/>
                <w:sz w:val="20"/>
              </w:rPr>
              <w:t xml:space="preserve">Stability   </w:t>
            </w:r>
          </w:p>
        </w:tc>
        <w:tc>
          <w:tcPr>
            <w:tcW w:w="7513" w:type="dxa"/>
          </w:tcPr>
          <w:p w:rsidRPr="004B71FD" w:rsidR="00B73A36" w:rsidP="00131848" w:rsidRDefault="00B73A36" w14:paraId="6BB9C208" w14:textId="77777777">
            <w:pPr>
              <w:pStyle w:val="BodyText"/>
              <w:rPr>
                <w:rFonts w:asciiTheme="minorHAnsi" w:hAnsiTheme="minorHAnsi" w:cstheme="minorHAnsi"/>
                <w:sz w:val="20"/>
              </w:rPr>
            </w:pPr>
            <w:r w:rsidRPr="004B71FD">
              <w:rPr>
                <w:rFonts w:asciiTheme="minorHAnsi" w:hAnsiTheme="minorHAnsi" w:cstheme="minorHAnsi"/>
                <w:sz w:val="20"/>
              </w:rPr>
              <w:t>Do not administer if the solution is pinkish or darker than slightly yellow or if a precipitate is present. Change the infusion every 24 hours.</w:t>
            </w:r>
          </w:p>
        </w:tc>
      </w:tr>
      <w:tr w:rsidRPr="003A7895" w:rsidR="00B73A36" w:rsidTr="00B73A36" w14:paraId="7B0E3B63" w14:textId="77777777">
        <w:trPr>
          <w:trHeight w:val="70"/>
        </w:trPr>
        <w:tc>
          <w:tcPr>
            <w:tcW w:w="1730" w:type="dxa"/>
          </w:tcPr>
          <w:p w:rsidRPr="00B53E9B" w:rsidR="00B73A36" w:rsidP="00131848" w:rsidRDefault="00B73A36" w14:paraId="7F71F8D9" w14:textId="77777777">
            <w:pPr>
              <w:pStyle w:val="BodyText"/>
              <w:rPr>
                <w:rFonts w:cs="Arial"/>
                <w:b/>
                <w:bCs/>
                <w:sz w:val="20"/>
              </w:rPr>
            </w:pPr>
            <w:r w:rsidRPr="00B53E9B">
              <w:rPr>
                <w:rFonts w:cs="Arial"/>
                <w:b/>
                <w:bCs/>
                <w:sz w:val="20"/>
              </w:rPr>
              <w:t xml:space="preserve">Storage             </w:t>
            </w:r>
          </w:p>
        </w:tc>
        <w:tc>
          <w:tcPr>
            <w:tcW w:w="7513" w:type="dxa"/>
          </w:tcPr>
          <w:p w:rsidRPr="004B71FD" w:rsidR="00B73A36" w:rsidP="00131848" w:rsidRDefault="00B73A36" w14:paraId="5264AB58" w14:textId="77777777">
            <w:pPr>
              <w:pStyle w:val="BodyText"/>
              <w:rPr>
                <w:rFonts w:asciiTheme="minorHAnsi" w:hAnsiTheme="minorHAnsi" w:cstheme="minorHAnsi"/>
                <w:sz w:val="20"/>
              </w:rPr>
            </w:pPr>
            <w:r w:rsidRPr="004B71FD">
              <w:rPr>
                <w:rFonts w:asciiTheme="minorHAnsi" w:hAnsiTheme="minorHAnsi" w:cstheme="minorHAnsi"/>
                <w:sz w:val="20"/>
              </w:rPr>
              <w:t>Store below 25°C. Protect from light.</w:t>
            </w:r>
          </w:p>
        </w:tc>
      </w:tr>
      <w:tr w:rsidRPr="003A7895" w:rsidR="00B73A36" w:rsidTr="00B73A36" w14:paraId="7B0F3FDB" w14:textId="77777777">
        <w:trPr>
          <w:trHeight w:val="70"/>
        </w:trPr>
        <w:tc>
          <w:tcPr>
            <w:tcW w:w="1730" w:type="dxa"/>
          </w:tcPr>
          <w:p w:rsidRPr="00B53E9B" w:rsidR="00B73A36" w:rsidP="00131848" w:rsidRDefault="00B73A36" w14:paraId="6C093ECC" w14:textId="77777777">
            <w:pPr>
              <w:pStyle w:val="BodyText"/>
              <w:rPr>
                <w:rFonts w:cs="Arial"/>
                <w:b/>
                <w:bCs/>
                <w:sz w:val="20"/>
              </w:rPr>
            </w:pPr>
            <w:r w:rsidRPr="00B53E9B">
              <w:rPr>
                <w:rFonts w:cs="Arial"/>
                <w:b/>
                <w:bCs/>
                <w:sz w:val="20"/>
              </w:rPr>
              <w:t>Excipients</w:t>
            </w:r>
          </w:p>
        </w:tc>
        <w:tc>
          <w:tcPr>
            <w:tcW w:w="7513" w:type="dxa"/>
          </w:tcPr>
          <w:p w:rsidRPr="004B71FD" w:rsidR="00B73A36" w:rsidP="00131848" w:rsidRDefault="00B73A36" w14:paraId="39BAFF70" w14:textId="77777777">
            <w:pPr>
              <w:spacing w:before="100" w:beforeAutospacing="1" w:after="100" w:afterAutospacing="1"/>
              <w:ind w:left="34"/>
              <w:rPr>
                <w:rFonts w:asciiTheme="minorHAnsi" w:hAnsiTheme="minorHAnsi" w:cstheme="minorHAnsi"/>
                <w:color w:val="333333"/>
                <w:sz w:val="20"/>
              </w:rPr>
            </w:pPr>
            <w:r w:rsidRPr="004B71FD">
              <w:rPr>
                <w:rFonts w:asciiTheme="minorHAnsi" w:hAnsiTheme="minorHAnsi" w:cstheme="minorHAnsi"/>
                <w:color w:val="333333"/>
                <w:sz w:val="20"/>
              </w:rPr>
              <w:t>Disodium edetate, sodium citrate dihydrate, citric acid, sodium chloride, hydrochloride acid or sodium hydroxide.</w:t>
            </w:r>
          </w:p>
          <w:p w:rsidRPr="004B71FD" w:rsidR="00B73A36" w:rsidP="00131848" w:rsidRDefault="00B73A36" w14:paraId="55E631BF" w14:textId="77777777">
            <w:pPr>
              <w:spacing w:before="100" w:beforeAutospacing="1" w:after="100" w:afterAutospacing="1"/>
              <w:ind w:left="34"/>
              <w:rPr>
                <w:rFonts w:asciiTheme="minorHAnsi" w:hAnsiTheme="minorHAnsi" w:cstheme="minorHAnsi"/>
                <w:color w:val="333333"/>
                <w:sz w:val="20"/>
              </w:rPr>
            </w:pPr>
            <w:r w:rsidRPr="004B71FD">
              <w:rPr>
                <w:rFonts w:asciiTheme="minorHAnsi" w:hAnsiTheme="minorHAnsi" w:cstheme="minorHAnsi"/>
                <w:color w:val="333333"/>
                <w:sz w:val="20"/>
              </w:rPr>
              <w:t>Monico -  Isoprenaline Hydrochloridesodium metabisulphite and water for injections.</w:t>
            </w:r>
          </w:p>
        </w:tc>
      </w:tr>
      <w:tr w:rsidRPr="003A7895" w:rsidR="00B73A36" w:rsidTr="00B73A36" w14:paraId="2DD1295F" w14:textId="77777777">
        <w:trPr>
          <w:trHeight w:val="270"/>
        </w:trPr>
        <w:tc>
          <w:tcPr>
            <w:tcW w:w="1730" w:type="dxa"/>
          </w:tcPr>
          <w:p w:rsidRPr="00B53E9B" w:rsidR="00B73A36" w:rsidP="00131848" w:rsidRDefault="00B73A36" w14:paraId="13119BBD"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13" w:type="dxa"/>
          </w:tcPr>
          <w:p w:rsidRPr="004B71FD" w:rsidR="00B73A36" w:rsidP="00131848" w:rsidRDefault="00B73A36" w14:paraId="259059C9" w14:textId="77777777">
            <w:pPr>
              <w:pStyle w:val="BodyText"/>
              <w:rPr>
                <w:rFonts w:asciiTheme="minorHAnsi" w:hAnsiTheme="minorHAnsi" w:cstheme="minorHAnsi"/>
                <w:sz w:val="20"/>
              </w:rPr>
            </w:pPr>
          </w:p>
        </w:tc>
      </w:tr>
      <w:tr w:rsidRPr="003A7895" w:rsidR="00B73A36" w:rsidTr="00B73A36" w14:paraId="3E474318" w14:textId="77777777">
        <w:trPr>
          <w:trHeight w:val="280"/>
        </w:trPr>
        <w:tc>
          <w:tcPr>
            <w:tcW w:w="1730" w:type="dxa"/>
          </w:tcPr>
          <w:p w:rsidRPr="00B53E9B" w:rsidR="00B73A36" w:rsidP="00131848" w:rsidRDefault="00B73A36" w14:paraId="4C2CE193" w14:textId="77777777">
            <w:pPr>
              <w:pStyle w:val="BodyText"/>
              <w:rPr>
                <w:rFonts w:cs="Arial"/>
                <w:b/>
                <w:bCs/>
                <w:sz w:val="20"/>
              </w:rPr>
            </w:pPr>
            <w:r w:rsidRPr="00B53E9B">
              <w:rPr>
                <w:rFonts w:cs="Arial"/>
                <w:b/>
                <w:bCs/>
                <w:sz w:val="20"/>
              </w:rPr>
              <w:t xml:space="preserve">Evidence </w:t>
            </w:r>
          </w:p>
        </w:tc>
        <w:tc>
          <w:tcPr>
            <w:tcW w:w="7513" w:type="dxa"/>
          </w:tcPr>
          <w:p w:rsidRPr="00B73A36" w:rsidR="00B73A36" w:rsidP="00131848" w:rsidRDefault="00B73A36" w14:paraId="70D6A9DA" w14:textId="77777777">
            <w:pPr>
              <w:pStyle w:val="BodyText"/>
              <w:tabs>
                <w:tab w:val="left" w:pos="1168"/>
              </w:tabs>
              <w:rPr>
                <w:rFonts w:asciiTheme="minorHAnsi" w:hAnsiTheme="minorHAnsi" w:cstheme="minorHAnsi"/>
                <w:b/>
                <w:sz w:val="16"/>
                <w:szCs w:val="16"/>
              </w:rPr>
            </w:pPr>
            <w:r w:rsidRPr="00B73A36">
              <w:rPr>
                <w:rFonts w:asciiTheme="minorHAnsi" w:hAnsiTheme="minorHAnsi" w:cstheme="minorHAnsi"/>
                <w:b/>
                <w:sz w:val="16"/>
                <w:szCs w:val="16"/>
              </w:rPr>
              <w:t xml:space="preserve">Efficacy: </w:t>
            </w:r>
          </w:p>
          <w:p w:rsidRPr="00B73A36" w:rsidR="00B73A36" w:rsidP="00131848" w:rsidRDefault="00B73A36" w14:paraId="763F0E26"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sz w:val="16"/>
                <w:szCs w:val="16"/>
              </w:rPr>
              <w:t xml:space="preserve">The efficacy and dosing of isoprenaline in newborns has only been assessed in case reports. </w:t>
            </w:r>
          </w:p>
          <w:p w:rsidRPr="00B73A36" w:rsidR="00B73A36" w:rsidP="00131848" w:rsidRDefault="00B73A36" w14:paraId="6C0EAEAE"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b/>
                <w:sz w:val="16"/>
                <w:szCs w:val="16"/>
              </w:rPr>
              <w:t>Infants with congenital complete heart block</w:t>
            </w:r>
            <w:r w:rsidRPr="00B73A36">
              <w:rPr>
                <w:rFonts w:asciiTheme="minorHAnsi" w:hAnsiTheme="minorHAnsi" w:cstheme="minorHAnsi"/>
                <w:sz w:val="16"/>
                <w:szCs w:val="16"/>
              </w:rPr>
              <w:t xml:space="preserve">: Case reports of response to isoprenaline infusion in newborns with congenital heart block.[2-4] (LOE IV, GOR D) </w:t>
            </w:r>
          </w:p>
          <w:p w:rsidRPr="00B73A36" w:rsidR="00B73A36" w:rsidP="00131848" w:rsidRDefault="00B73A36" w14:paraId="0A503230"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b/>
                <w:sz w:val="16"/>
                <w:szCs w:val="16"/>
              </w:rPr>
              <w:t>Children with asthma</w:t>
            </w:r>
            <w:r w:rsidRPr="00B73A36">
              <w:rPr>
                <w:rFonts w:asciiTheme="minorHAnsi" w:hAnsiTheme="minorHAnsi" w:cstheme="minorHAnsi"/>
                <w:sz w:val="16"/>
                <w:szCs w:val="16"/>
              </w:rPr>
              <w:t>: Case series report response to isoprenaline infusion in infants and children with asthma. [5, 6] (LOE IV, GOR D)</w:t>
            </w:r>
          </w:p>
          <w:p w:rsidRPr="00B73A36" w:rsidR="00B73A36" w:rsidP="00131848" w:rsidRDefault="00B73A36" w14:paraId="41A22159"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sz w:val="16"/>
                <w:szCs w:val="16"/>
              </w:rPr>
              <w:t>The European Society of Cardiology Guidelines recommend for patients with bradyarrhythmia, positive chronotropic drug infusion (e.g. isoprenaline, adrenaline (epinephrine), etc.) may be preferred for a limited time, unless there is a contra-indication, compared to use of a temporary pacemaker. [7]</w:t>
            </w:r>
          </w:p>
          <w:p w:rsidRPr="00B73A36" w:rsidR="00B73A36" w:rsidP="00131848" w:rsidRDefault="00B73A36" w14:paraId="03E618DF"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sz w:val="16"/>
                <w:szCs w:val="16"/>
              </w:rPr>
              <w:t xml:space="preserve">There are insufficient data reported to determine its safety or efficacy in newborns with pulmonary hypertension. </w:t>
            </w:r>
          </w:p>
          <w:p w:rsidRPr="00B73A36" w:rsidR="00B73A36" w:rsidP="00131848" w:rsidRDefault="00B73A36" w14:paraId="2D54C5B4" w14:textId="77777777">
            <w:pPr>
              <w:pStyle w:val="BodyText"/>
              <w:tabs>
                <w:tab w:val="left" w:pos="1168"/>
              </w:tabs>
              <w:rPr>
                <w:rFonts w:asciiTheme="minorHAnsi" w:hAnsiTheme="minorHAnsi" w:cstheme="minorHAnsi"/>
                <w:b/>
                <w:sz w:val="16"/>
                <w:szCs w:val="16"/>
              </w:rPr>
            </w:pPr>
            <w:r w:rsidRPr="00B73A36">
              <w:rPr>
                <w:rFonts w:asciiTheme="minorHAnsi" w:hAnsiTheme="minorHAnsi" w:cstheme="minorHAnsi"/>
                <w:b/>
                <w:sz w:val="16"/>
                <w:szCs w:val="16"/>
              </w:rPr>
              <w:t xml:space="preserve">Safety: </w:t>
            </w:r>
          </w:p>
          <w:p w:rsidRPr="00B73A36" w:rsidR="00B73A36" w:rsidP="00131848" w:rsidRDefault="00B73A36" w14:paraId="2831680E"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sz w:val="16"/>
                <w:szCs w:val="16"/>
              </w:rPr>
              <w:lastRenderedPageBreak/>
              <w:t>Case reports of arrhythmia/tachycardia [8] [6], elevated serum CPK-MB levels [9] and hypotension.[10] In animal studies, use of isoprenaline hydrochloride in conjunction with aminophylline and corticosteroids have been shown to be additive in cardiotoxic properties and can lead to myocardial necrosis and death.[13]</w:t>
            </w:r>
          </w:p>
          <w:p w:rsidRPr="00B73A36" w:rsidR="00B73A36" w:rsidP="00131848" w:rsidRDefault="00B73A36" w14:paraId="0A719683" w14:textId="77777777">
            <w:pPr>
              <w:pStyle w:val="BodyText"/>
              <w:tabs>
                <w:tab w:val="left" w:pos="1168"/>
              </w:tabs>
              <w:rPr>
                <w:rFonts w:asciiTheme="minorHAnsi" w:hAnsiTheme="minorHAnsi" w:cstheme="minorHAnsi"/>
                <w:b/>
                <w:sz w:val="16"/>
                <w:szCs w:val="16"/>
              </w:rPr>
            </w:pPr>
            <w:r w:rsidRPr="00B73A36">
              <w:rPr>
                <w:rFonts w:asciiTheme="minorHAnsi" w:hAnsiTheme="minorHAnsi" w:cstheme="minorHAnsi"/>
                <w:b/>
                <w:sz w:val="16"/>
                <w:szCs w:val="16"/>
              </w:rPr>
              <w:t xml:space="preserve">Pharmacokinetics: </w:t>
            </w:r>
          </w:p>
          <w:p w:rsidRPr="00B73A36" w:rsidR="00B73A36" w:rsidP="00131848" w:rsidRDefault="00B73A36" w14:paraId="42A7E69F" w14:textId="77777777">
            <w:pPr>
              <w:pStyle w:val="BodyText"/>
              <w:tabs>
                <w:tab w:val="left" w:pos="1168"/>
              </w:tabs>
              <w:rPr>
                <w:rFonts w:asciiTheme="minorHAnsi" w:hAnsiTheme="minorHAnsi" w:cstheme="minorHAnsi"/>
                <w:sz w:val="16"/>
                <w:szCs w:val="16"/>
              </w:rPr>
            </w:pPr>
            <w:r w:rsidRPr="00B73A36">
              <w:rPr>
                <w:rFonts w:asciiTheme="minorHAnsi" w:hAnsiTheme="minorHAnsi" w:cstheme="minorHAnsi"/>
                <w:sz w:val="16"/>
                <w:szCs w:val="16"/>
              </w:rPr>
              <w:t>In children age 2 days to 14 years, average plasma half-life 4.2 ± 1.5 minutes, with linear relationship between steady state concentration and dosing rate.[11]</w:t>
            </w:r>
          </w:p>
        </w:tc>
      </w:tr>
      <w:tr w:rsidRPr="003A7895" w:rsidR="00B73A36" w:rsidTr="00B73A36" w14:paraId="55DF09E2" w14:textId="77777777">
        <w:trPr>
          <w:trHeight w:val="108"/>
        </w:trPr>
        <w:tc>
          <w:tcPr>
            <w:tcW w:w="1730" w:type="dxa"/>
          </w:tcPr>
          <w:p w:rsidRPr="00B53E9B" w:rsidR="00B73A36" w:rsidP="00131848" w:rsidRDefault="00B73A36" w14:paraId="4EE5C7AF" w14:textId="77777777">
            <w:pPr>
              <w:pStyle w:val="BodyText"/>
              <w:rPr>
                <w:rFonts w:cs="Arial"/>
                <w:b/>
                <w:bCs/>
                <w:sz w:val="20"/>
              </w:rPr>
            </w:pPr>
            <w:r w:rsidRPr="00B53E9B">
              <w:rPr>
                <w:rFonts w:cs="Arial"/>
                <w:b/>
                <w:bCs/>
                <w:sz w:val="20"/>
              </w:rPr>
              <w:lastRenderedPageBreak/>
              <w:t>Practice points</w:t>
            </w:r>
          </w:p>
        </w:tc>
        <w:tc>
          <w:tcPr>
            <w:tcW w:w="7513" w:type="dxa"/>
          </w:tcPr>
          <w:p w:rsidRPr="00B73A36" w:rsidR="00B73A36" w:rsidP="00131848" w:rsidRDefault="00B73A36" w14:paraId="602A67DA" w14:textId="77777777">
            <w:pPr>
              <w:pStyle w:val="BodyText"/>
              <w:tabs>
                <w:tab w:val="left" w:pos="1168"/>
              </w:tabs>
              <w:rPr>
                <w:rFonts w:asciiTheme="minorHAnsi" w:hAnsiTheme="minorHAnsi" w:cstheme="minorHAnsi"/>
                <w:sz w:val="16"/>
                <w:szCs w:val="16"/>
              </w:rPr>
            </w:pPr>
          </w:p>
        </w:tc>
      </w:tr>
      <w:tr w:rsidRPr="003A7895" w:rsidR="00B73A36" w:rsidTr="00B73A36" w14:paraId="4C68493A" w14:textId="77777777">
        <w:trPr>
          <w:trHeight w:val="70"/>
        </w:trPr>
        <w:tc>
          <w:tcPr>
            <w:tcW w:w="1730" w:type="dxa"/>
          </w:tcPr>
          <w:p w:rsidRPr="00B53E9B" w:rsidR="00B73A36" w:rsidP="00131848" w:rsidRDefault="00B73A36" w14:paraId="688B0E52" w14:textId="77777777">
            <w:pPr>
              <w:pStyle w:val="BodyText"/>
              <w:rPr>
                <w:rFonts w:cs="Arial"/>
                <w:b/>
                <w:bCs/>
                <w:sz w:val="20"/>
              </w:rPr>
            </w:pPr>
            <w:r w:rsidRPr="00B53E9B">
              <w:rPr>
                <w:b/>
                <w:sz w:val="20"/>
              </w:rPr>
              <w:t>References</w:t>
            </w:r>
          </w:p>
        </w:tc>
        <w:tc>
          <w:tcPr>
            <w:tcW w:w="7513" w:type="dxa"/>
          </w:tcPr>
          <w:p w:rsidRPr="00B73A36" w:rsidR="00B73A36" w:rsidP="00131848" w:rsidRDefault="00B73A36" w14:paraId="39B15D38" w14:textId="77777777">
            <w:pPr>
              <w:rPr>
                <w:rFonts w:asciiTheme="minorHAnsi" w:hAnsiTheme="minorHAnsi" w:cstheme="minorHAnsi"/>
                <w:sz w:val="16"/>
                <w:szCs w:val="16"/>
              </w:rPr>
            </w:pPr>
            <w:r w:rsidRPr="00B73A36">
              <w:rPr>
                <w:rFonts w:asciiTheme="minorHAnsi" w:hAnsiTheme="minorHAnsi" w:cstheme="minorHAnsi"/>
                <w:sz w:val="16"/>
                <w:szCs w:val="16"/>
              </w:rPr>
              <w:t>1. Noori S, Seri I. Neonatal blood pressure support: the use of inotropes, lusitropes, and other vasopressor agents. Clinics in perinatology. 2012;39:221-38.</w:t>
            </w:r>
          </w:p>
          <w:p w:rsidRPr="00B73A36" w:rsidR="00B73A36" w:rsidP="00131848" w:rsidRDefault="00B73A36" w14:paraId="645209BA" w14:textId="77777777">
            <w:pPr>
              <w:rPr>
                <w:rFonts w:asciiTheme="minorHAnsi" w:hAnsiTheme="minorHAnsi" w:cstheme="minorHAnsi"/>
                <w:sz w:val="16"/>
                <w:szCs w:val="16"/>
              </w:rPr>
            </w:pPr>
            <w:r w:rsidRPr="00B73A36">
              <w:rPr>
                <w:rFonts w:asciiTheme="minorHAnsi" w:hAnsiTheme="minorHAnsi" w:cstheme="minorHAnsi"/>
                <w:sz w:val="16"/>
                <w:szCs w:val="16"/>
              </w:rPr>
              <w:t>2. Deloof E, Devlieger H, Van Hoestenberghe R, Van den berghe K, Daenen W, Gewillig M. Management with a staged approach of the premature hydropic fetus due to complete congenital heart block. European Journal of Pediatrics. 1997;156:521-3.</w:t>
            </w:r>
          </w:p>
          <w:p w:rsidRPr="00B73A36" w:rsidR="00B73A36" w:rsidP="00131848" w:rsidRDefault="00B73A36" w14:paraId="3A4C235A" w14:textId="77777777">
            <w:pPr>
              <w:rPr>
                <w:rFonts w:asciiTheme="minorHAnsi" w:hAnsiTheme="minorHAnsi" w:cstheme="minorHAnsi"/>
                <w:sz w:val="16"/>
                <w:szCs w:val="16"/>
              </w:rPr>
            </w:pPr>
            <w:r w:rsidRPr="00B73A36">
              <w:rPr>
                <w:rFonts w:asciiTheme="minorHAnsi" w:hAnsiTheme="minorHAnsi" w:cstheme="minorHAnsi"/>
                <w:sz w:val="16"/>
                <w:szCs w:val="16"/>
              </w:rPr>
              <w:t>3. Glatz AC, Gaynor JW, Rhodes LA, Rychik J, Tanel RE, Vetter VL, Kaltman JR, Nicolson SC, Montenegro L, Shah MJ. Outcome of high-risk neonates with congenital complete heart block paced in the first 24 hours after birth. The Journal of thoracic and cardiovascular surgery. 2008;136:767-73.</w:t>
            </w:r>
          </w:p>
          <w:p w:rsidRPr="00B73A36" w:rsidR="00B73A36" w:rsidP="00131848" w:rsidRDefault="00B73A36" w14:paraId="15F4F410" w14:textId="77777777">
            <w:pPr>
              <w:rPr>
                <w:rFonts w:asciiTheme="minorHAnsi" w:hAnsiTheme="minorHAnsi" w:cstheme="minorHAnsi"/>
                <w:sz w:val="16"/>
                <w:szCs w:val="16"/>
              </w:rPr>
            </w:pPr>
            <w:r w:rsidRPr="00B73A36">
              <w:rPr>
                <w:rFonts w:asciiTheme="minorHAnsi" w:hAnsiTheme="minorHAnsi" w:cstheme="minorHAnsi"/>
                <w:sz w:val="16"/>
                <w:szCs w:val="16"/>
              </w:rPr>
              <w:t>4. Quek SC, Low KT, Sim EK, Joseph R. A case report on the perinatal management of a 30-week preterm baby with congenital complete heart block. Annals of the Academy of Medicine, Singapore. 2000;29:510-3.</w:t>
            </w:r>
          </w:p>
          <w:p w:rsidRPr="00B73A36" w:rsidR="00B73A36" w:rsidP="00131848" w:rsidRDefault="00B73A36" w14:paraId="7143BE69" w14:textId="77777777">
            <w:pPr>
              <w:rPr>
                <w:rFonts w:asciiTheme="minorHAnsi" w:hAnsiTheme="minorHAnsi" w:cstheme="minorHAnsi"/>
                <w:sz w:val="16"/>
                <w:szCs w:val="16"/>
              </w:rPr>
            </w:pPr>
            <w:r w:rsidRPr="00B73A36">
              <w:rPr>
                <w:rFonts w:asciiTheme="minorHAnsi" w:hAnsiTheme="minorHAnsi" w:cstheme="minorHAnsi"/>
                <w:sz w:val="16"/>
                <w:szCs w:val="16"/>
              </w:rPr>
              <w:t>5. Bohn D, Kalloghlian A, Jenkins J, Edmonds J, Barker G. Intravenous salbutamol in the treatment of status asthmaticus in children. Critical care medicine. 1984;12:892-6.</w:t>
            </w:r>
          </w:p>
          <w:p w:rsidRPr="00B73A36" w:rsidR="00B73A36" w:rsidP="00131848" w:rsidRDefault="00B73A36" w14:paraId="4EECAF9D" w14:textId="77777777">
            <w:pPr>
              <w:rPr>
                <w:rFonts w:asciiTheme="minorHAnsi" w:hAnsiTheme="minorHAnsi" w:cstheme="minorHAnsi"/>
                <w:sz w:val="16"/>
                <w:szCs w:val="16"/>
              </w:rPr>
            </w:pPr>
            <w:r w:rsidRPr="00B73A36">
              <w:rPr>
                <w:rFonts w:asciiTheme="minorHAnsi" w:hAnsiTheme="minorHAnsi" w:cstheme="minorHAnsi"/>
                <w:sz w:val="16"/>
                <w:szCs w:val="16"/>
              </w:rPr>
              <w:t>6. Herman JJ, Noah ZL, Moody RR. Use of intravenous isoproterenol for status asthmaticus in children. Critical care medicine. 1983;11:716-20.</w:t>
            </w:r>
          </w:p>
          <w:p w:rsidRPr="00B73A36" w:rsidR="00B73A36" w:rsidP="00131848" w:rsidRDefault="00B73A36" w14:paraId="691A0268" w14:textId="77777777">
            <w:pPr>
              <w:rPr>
                <w:rFonts w:asciiTheme="minorHAnsi" w:hAnsiTheme="minorHAnsi" w:cstheme="minorHAnsi"/>
                <w:sz w:val="16"/>
                <w:szCs w:val="16"/>
              </w:rPr>
            </w:pPr>
            <w:r w:rsidRPr="00B73A36">
              <w:rPr>
                <w:rFonts w:asciiTheme="minorHAnsi" w:hAnsiTheme="minorHAnsi" w:cstheme="minorHAnsi"/>
                <w:sz w:val="16"/>
                <w:szCs w:val="16"/>
              </w:rPr>
              <w:t>7. Brignole M, Auricchio A, Baron-Esquivias G, Bordachar P, Boriani G, Breithardt OA, et al. 2013 ESC Guidelines on cardiac pacing and cardiac resynchronization therapy: the Task Force on cardiac pacing and resynchronization therapy of the European Society of Cardiology (ESC). Developed in collaboration with the European Heart Rhythm Association (EHRA). European heart journal. 2013;34:2281-329.</w:t>
            </w:r>
          </w:p>
          <w:p w:rsidRPr="00B73A36" w:rsidR="00B73A36" w:rsidP="00131848" w:rsidRDefault="00B73A36" w14:paraId="25DB50F6" w14:textId="77777777">
            <w:pPr>
              <w:rPr>
                <w:rFonts w:asciiTheme="minorHAnsi" w:hAnsiTheme="minorHAnsi" w:cstheme="minorHAnsi"/>
                <w:sz w:val="16"/>
                <w:szCs w:val="16"/>
              </w:rPr>
            </w:pPr>
            <w:r w:rsidRPr="00B73A36">
              <w:rPr>
                <w:rFonts w:asciiTheme="minorHAnsi" w:hAnsiTheme="minorHAnsi" w:cstheme="minorHAnsi"/>
                <w:sz w:val="16"/>
                <w:szCs w:val="16"/>
              </w:rPr>
              <w:t>8. Steiner P, Rao M, Ehrlich R, Padre R. The use of intravenous isoproterenol in the treatment of status asthmaticus. The Journal of asthma research. 1975;12:215-9.</w:t>
            </w:r>
          </w:p>
          <w:p w:rsidRPr="00B73A36" w:rsidR="00B73A36" w:rsidP="00131848" w:rsidRDefault="00B73A36" w14:paraId="69BDA689" w14:textId="77777777">
            <w:pPr>
              <w:rPr>
                <w:rFonts w:asciiTheme="minorHAnsi" w:hAnsiTheme="minorHAnsi" w:cstheme="minorHAnsi"/>
                <w:sz w:val="16"/>
                <w:szCs w:val="16"/>
              </w:rPr>
            </w:pPr>
            <w:r w:rsidRPr="00B73A36">
              <w:rPr>
                <w:rFonts w:asciiTheme="minorHAnsi" w:hAnsiTheme="minorHAnsi" w:cstheme="minorHAnsi"/>
                <w:sz w:val="16"/>
                <w:szCs w:val="16"/>
              </w:rPr>
              <w:t>9. Maguire JF, Geha RS, Umetsu DT. Myocardial specific creatine phosphokinase isoenzyme elevation in children with asthma treated with intravenous isoproterenol. The Journal of allergy and clinical immunology. 1986;78:631-6.</w:t>
            </w:r>
          </w:p>
          <w:p w:rsidRPr="00B73A36" w:rsidR="00B73A36" w:rsidP="00131848" w:rsidRDefault="00B73A36" w14:paraId="2BAAC650" w14:textId="77777777">
            <w:pPr>
              <w:rPr>
                <w:rFonts w:asciiTheme="minorHAnsi" w:hAnsiTheme="minorHAnsi" w:cstheme="minorHAnsi"/>
                <w:sz w:val="16"/>
                <w:szCs w:val="16"/>
              </w:rPr>
            </w:pPr>
            <w:r w:rsidRPr="00B73A36">
              <w:rPr>
                <w:rFonts w:asciiTheme="minorHAnsi" w:hAnsiTheme="minorHAnsi" w:cstheme="minorHAnsi"/>
                <w:sz w:val="16"/>
                <w:szCs w:val="16"/>
              </w:rPr>
              <w:t>10. Kussman BD, Madril DR, Thiagarajan RR, Walsh EP, Laussen PC. Anesthetic management of the neonate with congenital complete heart block: a 16-year review. Paediatric anaesthesia. 2005;15:1059-66.</w:t>
            </w:r>
          </w:p>
          <w:p w:rsidRPr="00B73A36" w:rsidR="00B73A36" w:rsidP="00131848" w:rsidRDefault="00B73A36" w14:paraId="5186BE28" w14:textId="77777777">
            <w:pPr>
              <w:rPr>
                <w:rFonts w:asciiTheme="minorHAnsi" w:hAnsiTheme="minorHAnsi" w:cstheme="minorHAnsi"/>
                <w:sz w:val="16"/>
                <w:szCs w:val="16"/>
              </w:rPr>
            </w:pPr>
            <w:r w:rsidRPr="00B73A36">
              <w:rPr>
                <w:rFonts w:asciiTheme="minorHAnsi" w:hAnsiTheme="minorHAnsi" w:cstheme="minorHAnsi"/>
                <w:sz w:val="16"/>
                <w:szCs w:val="16"/>
              </w:rPr>
              <w:t>11. Reyes G, Schwartz PH, Newth CJ, Eldadah MK. The pharmacokinetics of isoproterenol in critically ill pediatric patients. Journal of clinical pharmacology. 1993;33:29-34.</w:t>
            </w:r>
          </w:p>
          <w:p w:rsidRPr="00B73A36" w:rsidR="00B73A36" w:rsidP="00131848" w:rsidRDefault="00B73A36" w14:paraId="3939EF3B" w14:textId="77777777">
            <w:pPr>
              <w:rPr>
                <w:rFonts w:asciiTheme="minorHAnsi" w:hAnsiTheme="minorHAnsi" w:cstheme="minorHAnsi"/>
                <w:sz w:val="16"/>
                <w:szCs w:val="16"/>
              </w:rPr>
            </w:pPr>
            <w:r w:rsidRPr="00B73A36">
              <w:rPr>
                <w:rFonts w:asciiTheme="minorHAnsi" w:hAnsiTheme="minorHAnsi" w:cstheme="minorHAnsi"/>
                <w:sz w:val="16"/>
                <w:szCs w:val="16"/>
              </w:rPr>
              <w:t>12. Australian Injectable Drugs Handbook. Accessed online on 17</w:t>
            </w:r>
            <w:r w:rsidRPr="00B73A36">
              <w:rPr>
                <w:rFonts w:asciiTheme="minorHAnsi" w:hAnsiTheme="minorHAnsi" w:cstheme="minorHAnsi"/>
                <w:sz w:val="16"/>
                <w:szCs w:val="16"/>
                <w:vertAlign w:val="superscript"/>
              </w:rPr>
              <w:t>th</w:t>
            </w:r>
            <w:r w:rsidRPr="00B73A36">
              <w:rPr>
                <w:rFonts w:asciiTheme="minorHAnsi" w:hAnsiTheme="minorHAnsi" w:cstheme="minorHAnsi"/>
                <w:sz w:val="16"/>
                <w:szCs w:val="16"/>
              </w:rPr>
              <w:t xml:space="preserve"> May 2021. http://aidh.hcn.com.au/browse/i/isoprenaline_hydrochloride  Accessed on 8 August 2016.</w:t>
            </w:r>
          </w:p>
          <w:p w:rsidRPr="00B73A36" w:rsidR="00B73A36" w:rsidP="00131848" w:rsidRDefault="00B73A36" w14:paraId="7E9B7715" w14:textId="77777777">
            <w:pPr>
              <w:rPr>
                <w:rFonts w:asciiTheme="minorHAnsi" w:hAnsiTheme="minorHAnsi" w:cstheme="minorHAnsi"/>
                <w:sz w:val="16"/>
                <w:szCs w:val="16"/>
              </w:rPr>
            </w:pPr>
            <w:r w:rsidRPr="00B73A36">
              <w:rPr>
                <w:rFonts w:asciiTheme="minorHAnsi" w:hAnsiTheme="minorHAnsi" w:cstheme="minorHAnsi"/>
                <w:sz w:val="16"/>
                <w:szCs w:val="16"/>
              </w:rPr>
              <w:t xml:space="preserve">13. Vick J, Joseph X, Whitehurst V, Herman E, Balazs T. Cardiotoxic effects of the combined use of caffeine and isoproterenol in the minipig. J Toxicol Environ Health. 1989;26(4):425-35. </w:t>
            </w:r>
          </w:p>
          <w:p w:rsidRPr="00B73A36" w:rsidR="00B73A36" w:rsidP="00131848" w:rsidRDefault="00B73A36" w14:paraId="2D3459DD" w14:textId="77777777">
            <w:pPr>
              <w:rPr>
                <w:rFonts w:asciiTheme="minorHAnsi" w:hAnsiTheme="minorHAnsi" w:cstheme="minorHAnsi"/>
                <w:sz w:val="16"/>
                <w:szCs w:val="16"/>
              </w:rPr>
            </w:pPr>
            <w:r w:rsidRPr="00B73A36">
              <w:rPr>
                <w:rFonts w:asciiTheme="minorHAnsi" w:hAnsiTheme="minorHAnsi" w:cstheme="minorHAnsi"/>
                <w:sz w:val="16"/>
                <w:szCs w:val="16"/>
              </w:rPr>
              <w:t xml:space="preserve">14. Micromedex.com. Accessed on 17 May 2021.  </w:t>
            </w:r>
          </w:p>
        </w:tc>
      </w:tr>
    </w:tbl>
    <w:p w:rsidR="00115F48" w:rsidP="006F0321" w:rsidRDefault="00115F48" w14:paraId="489A85F5" w14:textId="7ACCC42F"/>
    <w:p w:rsidRPr="00E25790" w:rsidR="0012067D" w:rsidP="006F0321" w:rsidRDefault="0012067D" w14:paraId="1C8F49C5" w14:textId="77777777"/>
    <w:tbl>
      <w:tblPr>
        <w:tblW w:w="921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7"/>
        <w:gridCol w:w="4677"/>
      </w:tblGrid>
      <w:tr w:rsidRPr="00332ACC" w:rsidR="0020431B" w:rsidTr="001571DC" w14:paraId="1F5E5C40" w14:textId="77777777">
        <w:tc>
          <w:tcPr>
            <w:tcW w:w="4537" w:type="dxa"/>
            <w:vAlign w:val="center"/>
          </w:tcPr>
          <w:p w:rsidRPr="00623531" w:rsidR="00623531" w:rsidP="00A26E96" w:rsidRDefault="00623531" w14:paraId="6B11E9A2" w14:textId="77777777">
            <w:r w:rsidRPr="00623531">
              <w:t>Original version Date: 6/10/2016</w:t>
            </w:r>
          </w:p>
        </w:tc>
        <w:tc>
          <w:tcPr>
            <w:tcW w:w="4677" w:type="dxa"/>
            <w:vAlign w:val="center"/>
          </w:tcPr>
          <w:p w:rsidRPr="00623531" w:rsidR="00623531" w:rsidP="00A26E96" w:rsidRDefault="00623531" w14:paraId="293CDFB1" w14:textId="77777777">
            <w:r w:rsidRPr="00623531">
              <w:t>Author: NMF Consensus Group</w:t>
            </w:r>
          </w:p>
        </w:tc>
      </w:tr>
      <w:tr w:rsidRPr="00332ACC" w:rsidR="0020431B" w:rsidTr="001571DC" w14:paraId="67B878A6" w14:textId="77777777">
        <w:tc>
          <w:tcPr>
            <w:tcW w:w="4537" w:type="dxa"/>
            <w:vAlign w:val="center"/>
          </w:tcPr>
          <w:p w:rsidRPr="00623531" w:rsidR="00623531" w:rsidP="00A26E96" w:rsidRDefault="00623531" w14:paraId="0205B9A7" w14:textId="4BFCD21F">
            <w:pPr>
              <w:rPr>
                <w:bCs/>
              </w:rPr>
            </w:pPr>
            <w:r w:rsidRPr="00623531">
              <w:t xml:space="preserve">Current Version number:  </w:t>
            </w:r>
            <w:r w:rsidR="00B73A36">
              <w:t>2</w:t>
            </w:r>
          </w:p>
        </w:tc>
        <w:tc>
          <w:tcPr>
            <w:tcW w:w="4677" w:type="dxa"/>
            <w:vAlign w:val="center"/>
          </w:tcPr>
          <w:p w:rsidRPr="00623531" w:rsidR="00623531" w:rsidP="00A26E96" w:rsidRDefault="00623531" w14:paraId="30AFEA33" w14:textId="1BAA4192">
            <w:r w:rsidRPr="00623531">
              <w:t xml:space="preserve">Current Version Date: </w:t>
            </w:r>
            <w:r w:rsidR="00B73A36">
              <w:t>9-6-2021</w:t>
            </w:r>
          </w:p>
        </w:tc>
      </w:tr>
      <w:tr w:rsidRPr="00332ACC" w:rsidR="0020431B" w:rsidTr="001571DC" w14:paraId="2147E4FD" w14:textId="77777777">
        <w:tc>
          <w:tcPr>
            <w:tcW w:w="4537" w:type="dxa"/>
            <w:vAlign w:val="center"/>
          </w:tcPr>
          <w:p w:rsidRPr="00623531" w:rsidR="00623531" w:rsidP="00A26E96" w:rsidRDefault="00623531" w14:paraId="2AF96C25" w14:textId="08623694">
            <w:r w:rsidRPr="00623531">
              <w:t xml:space="preserve">Risk Rating: </w:t>
            </w:r>
            <w:r w:rsidR="00B73A36">
              <w:t>Low</w:t>
            </w:r>
          </w:p>
        </w:tc>
        <w:tc>
          <w:tcPr>
            <w:tcW w:w="4677" w:type="dxa"/>
            <w:vAlign w:val="center"/>
          </w:tcPr>
          <w:p w:rsidRPr="00623531" w:rsidR="00623531" w:rsidP="00A26E96" w:rsidRDefault="00623531" w14:paraId="3DB69A3D" w14:textId="49BDAE79">
            <w:r w:rsidRPr="00623531">
              <w:t xml:space="preserve">Due for Review:  </w:t>
            </w:r>
            <w:r w:rsidR="00B73A36">
              <w:t>9-6-2026</w:t>
            </w:r>
          </w:p>
        </w:tc>
      </w:tr>
      <w:tr w:rsidRPr="00332ACC" w:rsidR="0020431B" w:rsidTr="001571DC" w14:paraId="1B42DDCC" w14:textId="77777777">
        <w:trPr>
          <w:trHeight w:val="344"/>
        </w:trPr>
        <w:tc>
          <w:tcPr>
            <w:tcW w:w="4537" w:type="dxa"/>
            <w:tcBorders>
              <w:bottom w:val="single" w:color="auto" w:sz="4" w:space="0"/>
            </w:tcBorders>
            <w:vAlign w:val="center"/>
          </w:tcPr>
          <w:p w:rsidRPr="00623531" w:rsidR="00623531" w:rsidP="00A26E96" w:rsidRDefault="00623531" w14:paraId="5E2874AE" w14:textId="77777777">
            <w:r w:rsidRPr="00623531">
              <w:t>Approval by: DTC</w:t>
            </w:r>
          </w:p>
        </w:tc>
        <w:tc>
          <w:tcPr>
            <w:tcW w:w="4677" w:type="dxa"/>
            <w:tcBorders>
              <w:bottom w:val="single" w:color="auto" w:sz="4" w:space="0"/>
            </w:tcBorders>
            <w:vAlign w:val="center"/>
          </w:tcPr>
          <w:p w:rsidRPr="00623531" w:rsidR="00623531" w:rsidP="00A26E96" w:rsidRDefault="00623531" w14:paraId="51112EF2" w14:textId="14C4A02F">
            <w:r w:rsidRPr="00623531">
              <w:t xml:space="preserve">Approval Date: </w:t>
            </w:r>
            <w:r w:rsidR="008D36FD">
              <w:t>June 2021</w:t>
            </w:r>
          </w:p>
        </w:tc>
      </w:tr>
    </w:tbl>
    <w:p w:rsidRPr="00E25790" w:rsidR="00115F48" w:rsidP="006F0321" w:rsidRDefault="00115F48" w14:paraId="6F439374" w14:textId="77777777"/>
    <w:p w:rsidRPr="00E25790" w:rsidR="004D1DC1" w:rsidP="006F0321" w:rsidRDefault="004D1DC1" w14:paraId="0E7CB9C3"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4D1DC1" w:rsidTr="00A26E96" w14:paraId="2DE97195"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4D1DC1" w:rsidP="009469DB" w:rsidRDefault="004D1DC1" w14:paraId="61EF219D" w14:textId="77777777">
            <w:pPr>
              <w:pStyle w:val="Heading1"/>
            </w:pPr>
            <w:bookmarkStart w:name="_Toc38106872" w:id="351"/>
            <w:bookmarkStart w:name="_Toc75339997" w:id="352"/>
            <w:r w:rsidRPr="00E25790">
              <w:lastRenderedPageBreak/>
              <w:t>Isovue</w:t>
            </w:r>
            <w:bookmarkEnd w:id="351"/>
            <w:bookmarkEnd w:id="352"/>
            <w:r w:rsidRPr="00E25790">
              <w:fldChar w:fldCharType="begin"/>
            </w:r>
            <w:r w:rsidRPr="00E25790">
              <w:instrText>tc "Labetalol" \l 0</w:instrText>
            </w:r>
            <w:r w:rsidRPr="00E25790">
              <w:fldChar w:fldCharType="end"/>
            </w:r>
          </w:p>
        </w:tc>
      </w:tr>
      <w:tr w:rsidRPr="00E25790" w:rsidR="004D1DC1" w:rsidTr="00A26E96" w14:paraId="5019764D"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0079C" w:rsidP="006F0321" w:rsidRDefault="004D1DC1" w14:paraId="6FB72A08" w14:textId="34267960">
            <w:pPr>
              <w:rPr>
                <w:noProof/>
              </w:rPr>
            </w:pPr>
            <w:r w:rsidRPr="00E25790">
              <w:t xml:space="preserve">Revision Date : </w:t>
            </w:r>
            <w:r w:rsidR="0010079C">
              <w:rPr>
                <w:noProof/>
              </w:rPr>
              <w:t>10</w:t>
            </w:r>
            <w:r w:rsidR="002F5F63">
              <w:rPr>
                <w:noProof/>
              </w:rPr>
              <w:t>-</w:t>
            </w:r>
            <w:r w:rsidR="0010079C">
              <w:rPr>
                <w:noProof/>
              </w:rPr>
              <w:t>12</w:t>
            </w:r>
            <w:r w:rsidR="002F5F63">
              <w:rPr>
                <w:noProof/>
              </w:rPr>
              <w:t>-</w:t>
            </w:r>
            <w:r w:rsidR="0010079C">
              <w:rPr>
                <w:noProof/>
              </w:rPr>
              <w:t xml:space="preserve">2020 </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4D1DC1" w:rsidP="006F0321" w:rsidRDefault="004D1DC1" w14:paraId="60D46AFE" w14:textId="6296C37D">
            <w:r w:rsidRPr="00E25790">
              <w:t xml:space="preserve">Approved: </w:t>
            </w:r>
            <w:r w:rsidR="002F5F63">
              <w:t>NK, TC, KOH</w:t>
            </w:r>
          </w:p>
        </w:tc>
      </w:tr>
    </w:tbl>
    <w:p w:rsidRPr="00E25790" w:rsidR="004D1DC1" w:rsidP="006F0321" w:rsidRDefault="004D1DC1" w14:paraId="7BDC549E" w14:textId="77777777"/>
    <w:tbl>
      <w:tblPr>
        <w:tblW w:w="9064" w:type="dxa"/>
        <w:tblLayout w:type="fixed"/>
        <w:tblLook w:val="0000" w:firstRow="0" w:lastRow="0" w:firstColumn="0" w:lastColumn="0" w:noHBand="0" w:noVBand="0"/>
      </w:tblPr>
      <w:tblGrid>
        <w:gridCol w:w="2443"/>
        <w:gridCol w:w="6621"/>
      </w:tblGrid>
      <w:tr w:rsidRPr="00E25790" w:rsidR="00CE3B8B" w:rsidTr="006E2EED" w14:paraId="0F2A876E" w14:textId="77777777">
        <w:trPr>
          <w:cantSplit/>
          <w:trHeight w:val="655"/>
        </w:trPr>
        <w:tc>
          <w:tcPr>
            <w:tcW w:w="2443" w:type="dxa"/>
            <w:tcBorders>
              <w:top w:val="single" w:color="auto" w:sz="6" w:space="0"/>
              <w:left w:val="single" w:color="auto" w:sz="6" w:space="0"/>
              <w:bottom w:val="single" w:color="auto" w:sz="6" w:space="0"/>
            </w:tcBorders>
          </w:tcPr>
          <w:p w:rsidRPr="00E25790" w:rsidR="00CE3B8B" w:rsidP="006F0321" w:rsidRDefault="00CE3B8B" w14:paraId="4EA719C6" w14:textId="77777777">
            <w:r w:rsidRPr="00E25790">
              <w:t>Indication :</w:t>
            </w:r>
          </w:p>
        </w:tc>
        <w:tc>
          <w:tcPr>
            <w:tcW w:w="6621" w:type="dxa"/>
            <w:tcBorders>
              <w:top w:val="single" w:color="auto" w:sz="6" w:space="0"/>
              <w:bottom w:val="single" w:color="auto" w:sz="6" w:space="0"/>
              <w:right w:val="single" w:color="auto" w:sz="6" w:space="0"/>
            </w:tcBorders>
          </w:tcPr>
          <w:p w:rsidRPr="00E25790" w:rsidR="00CE3B8B" w:rsidP="006F0321" w:rsidRDefault="00CE3B8B" w14:paraId="7B949BD0" w14:textId="77777777">
            <w:r w:rsidRPr="00E25790">
              <w:t xml:space="preserve">Checking placement of central catheters (i.e. {PICC lines, etc) </w:t>
            </w:r>
          </w:p>
        </w:tc>
      </w:tr>
      <w:tr w:rsidRPr="00E25790" w:rsidR="00CE3B8B" w:rsidTr="006E2EED" w14:paraId="5ED7B3D8" w14:textId="77777777">
        <w:trPr>
          <w:cantSplit/>
          <w:trHeight w:val="480"/>
        </w:trPr>
        <w:tc>
          <w:tcPr>
            <w:tcW w:w="2443" w:type="dxa"/>
            <w:tcBorders>
              <w:top w:val="single" w:color="auto" w:sz="6" w:space="0"/>
              <w:left w:val="single" w:color="auto" w:sz="6" w:space="0"/>
              <w:bottom w:val="single" w:color="auto" w:sz="6" w:space="0"/>
            </w:tcBorders>
          </w:tcPr>
          <w:p w:rsidRPr="00E25790" w:rsidR="00CE3B8B" w:rsidP="006F0321" w:rsidRDefault="00CE3B8B" w14:paraId="6D9A4D04" w14:textId="77777777">
            <w:r w:rsidRPr="00E25790">
              <w:t>Dose :</w:t>
            </w:r>
          </w:p>
        </w:tc>
        <w:tc>
          <w:tcPr>
            <w:tcW w:w="6621" w:type="dxa"/>
            <w:tcBorders>
              <w:top w:val="single" w:color="auto" w:sz="6" w:space="0"/>
              <w:bottom w:val="single" w:color="auto" w:sz="6" w:space="0"/>
              <w:right w:val="single" w:color="auto" w:sz="6" w:space="0"/>
            </w:tcBorders>
          </w:tcPr>
          <w:p w:rsidRPr="00E25790" w:rsidR="00CE3B8B" w:rsidP="006F0321" w:rsidRDefault="00CE3B8B" w14:paraId="53898C49" w14:textId="77777777">
            <w:r w:rsidRPr="00E25790">
              <w:t>0.5ml</w:t>
            </w:r>
          </w:p>
        </w:tc>
      </w:tr>
      <w:tr w:rsidRPr="00E25790" w:rsidR="00CE3B8B" w:rsidTr="006E2EED" w14:paraId="69D7BFE5" w14:textId="77777777">
        <w:trPr>
          <w:cantSplit/>
          <w:trHeight w:val="480"/>
        </w:trPr>
        <w:tc>
          <w:tcPr>
            <w:tcW w:w="2443" w:type="dxa"/>
            <w:tcBorders>
              <w:top w:val="single" w:color="auto" w:sz="6" w:space="0"/>
              <w:left w:val="single" w:color="auto" w:sz="6" w:space="0"/>
              <w:bottom w:val="single" w:color="auto" w:sz="6" w:space="0"/>
            </w:tcBorders>
          </w:tcPr>
          <w:p w:rsidRPr="00E25790" w:rsidR="00CE3B8B" w:rsidP="006F0321" w:rsidRDefault="00CE3B8B" w14:paraId="141B51D1" w14:textId="77777777">
            <w:r w:rsidRPr="00E25790">
              <w:t>Interval :</w:t>
            </w:r>
          </w:p>
        </w:tc>
        <w:tc>
          <w:tcPr>
            <w:tcW w:w="6621" w:type="dxa"/>
            <w:tcBorders>
              <w:top w:val="single" w:color="auto" w:sz="6" w:space="0"/>
              <w:bottom w:val="single" w:color="auto" w:sz="6" w:space="0"/>
              <w:right w:val="single" w:color="auto" w:sz="6" w:space="0"/>
            </w:tcBorders>
          </w:tcPr>
          <w:p w:rsidRPr="00E25790" w:rsidR="00CE3B8B" w:rsidP="006F0321" w:rsidRDefault="00CE3B8B" w14:paraId="771E8B6D" w14:textId="77777777">
            <w:r w:rsidRPr="00E25790">
              <w:t>Once only</w:t>
            </w:r>
          </w:p>
        </w:tc>
      </w:tr>
      <w:tr w:rsidRPr="00E25790" w:rsidR="00CE3B8B" w:rsidTr="006E2EED" w14:paraId="6E702308" w14:textId="77777777">
        <w:trPr>
          <w:cantSplit/>
          <w:trHeight w:val="480"/>
        </w:trPr>
        <w:tc>
          <w:tcPr>
            <w:tcW w:w="2443" w:type="dxa"/>
            <w:tcBorders>
              <w:top w:val="single" w:color="auto" w:sz="6" w:space="0"/>
              <w:left w:val="single" w:color="auto" w:sz="6" w:space="0"/>
              <w:bottom w:val="single" w:color="auto" w:sz="6" w:space="0"/>
            </w:tcBorders>
          </w:tcPr>
          <w:p w:rsidRPr="00E25790" w:rsidR="00CE3B8B" w:rsidP="006F0321" w:rsidRDefault="00CE3B8B" w14:paraId="14E9923B" w14:textId="77777777">
            <w:r w:rsidRPr="00E25790">
              <w:t>Route :</w:t>
            </w:r>
          </w:p>
        </w:tc>
        <w:tc>
          <w:tcPr>
            <w:tcW w:w="6621" w:type="dxa"/>
            <w:tcBorders>
              <w:top w:val="single" w:color="auto" w:sz="6" w:space="0"/>
              <w:bottom w:val="single" w:color="auto" w:sz="6" w:space="0"/>
              <w:right w:val="single" w:color="auto" w:sz="6" w:space="0"/>
            </w:tcBorders>
          </w:tcPr>
          <w:p w:rsidRPr="00E25790" w:rsidR="00CE3B8B" w:rsidP="006F0321" w:rsidRDefault="00CE3B8B" w14:paraId="5F9B9356" w14:textId="77777777">
            <w:r w:rsidRPr="00E25790">
              <w:t>Intravenously instilled into the  central line</w:t>
            </w:r>
          </w:p>
        </w:tc>
      </w:tr>
      <w:tr w:rsidRPr="00E25790" w:rsidR="00CE3B8B" w:rsidTr="006E2EED" w14:paraId="25B0F52C" w14:textId="77777777">
        <w:trPr>
          <w:cantSplit/>
          <w:trHeight w:val="366"/>
        </w:trPr>
        <w:tc>
          <w:tcPr>
            <w:tcW w:w="2443" w:type="dxa"/>
            <w:tcBorders>
              <w:top w:val="single" w:color="auto" w:sz="6" w:space="0"/>
              <w:left w:val="single" w:color="auto" w:sz="6" w:space="0"/>
              <w:bottom w:val="single" w:color="auto" w:sz="6" w:space="0"/>
            </w:tcBorders>
          </w:tcPr>
          <w:p w:rsidRPr="00E25790" w:rsidR="00CE3B8B" w:rsidP="006F0321" w:rsidRDefault="00CE3B8B" w14:paraId="5EFCCD1C" w14:textId="77777777">
            <w:r w:rsidRPr="00E25790">
              <w:t>Total Daily Dose :</w:t>
            </w:r>
          </w:p>
        </w:tc>
        <w:tc>
          <w:tcPr>
            <w:tcW w:w="6621" w:type="dxa"/>
            <w:tcBorders>
              <w:top w:val="single" w:color="auto" w:sz="6" w:space="0"/>
              <w:bottom w:val="single" w:color="auto" w:sz="6" w:space="0"/>
              <w:right w:val="single" w:color="auto" w:sz="6" w:space="0"/>
            </w:tcBorders>
          </w:tcPr>
          <w:p w:rsidRPr="00642ECE" w:rsidR="00FD0A8F" w:rsidP="006F0321" w:rsidRDefault="00FD0A8F" w14:paraId="235597E5" w14:textId="6515C7DF">
            <w:pPr>
              <w:rPr>
                <w:vertAlign w:val="superscript"/>
              </w:rPr>
            </w:pPr>
            <w:r>
              <w:t>1.5ml</w:t>
            </w:r>
          </w:p>
        </w:tc>
      </w:tr>
      <w:tr w:rsidRPr="00E25790" w:rsidR="00CE3B8B" w:rsidTr="006E2EED" w14:paraId="423B9C76" w14:textId="77777777">
        <w:trPr>
          <w:cantSplit/>
          <w:trHeight w:val="965"/>
        </w:trPr>
        <w:tc>
          <w:tcPr>
            <w:tcW w:w="2443" w:type="dxa"/>
            <w:tcBorders>
              <w:top w:val="single" w:color="auto" w:sz="6" w:space="0"/>
              <w:left w:val="single" w:color="auto" w:sz="6" w:space="0"/>
              <w:bottom w:val="single" w:color="auto" w:sz="6" w:space="0"/>
            </w:tcBorders>
          </w:tcPr>
          <w:p w:rsidRPr="00E25790" w:rsidR="00CE3B8B" w:rsidP="006F0321" w:rsidRDefault="00CE3B8B" w14:paraId="10BA6FAE" w14:textId="77777777">
            <w:r w:rsidRPr="00E25790">
              <w:t>Comments :</w:t>
            </w:r>
          </w:p>
        </w:tc>
        <w:tc>
          <w:tcPr>
            <w:tcW w:w="6621" w:type="dxa"/>
            <w:tcBorders>
              <w:top w:val="single" w:color="auto" w:sz="6" w:space="0"/>
              <w:bottom w:val="single" w:color="auto" w:sz="6" w:space="0"/>
              <w:right w:val="single" w:color="auto" w:sz="6" w:space="0"/>
            </w:tcBorders>
          </w:tcPr>
          <w:p w:rsidRPr="00642ECE" w:rsidR="006A3270" w:rsidP="006F0321" w:rsidRDefault="006A3270" w14:paraId="1C01F419" w14:textId="5AA25C31">
            <w:pPr>
              <w:rPr>
                <w:vertAlign w:val="superscript"/>
              </w:rPr>
            </w:pPr>
            <w:r>
              <w:t>Isovue is a non ionic radioopa</w:t>
            </w:r>
            <w:r w:rsidR="007B46B8">
              <w:t>q</w:t>
            </w:r>
            <w:r>
              <w:t>ue contrast medium for intravascular injection</w:t>
            </w:r>
            <w:r w:rsidRPr="00642ECE">
              <w:rPr>
                <w:vertAlign w:val="superscript"/>
              </w:rPr>
              <w:t>1</w:t>
            </w:r>
          </w:p>
          <w:p w:rsidR="006A3270" w:rsidP="006F0321" w:rsidRDefault="006A3270" w14:paraId="6E0DF5F5" w14:textId="77777777">
            <w:r w:rsidRPr="00642ECE">
              <w:rPr>
                <w:b/>
                <w:bCs/>
              </w:rPr>
              <w:t>The patient must be well hydrated prior to the procedure</w:t>
            </w:r>
            <w:r>
              <w:t>.</w:t>
            </w:r>
          </w:p>
          <w:p w:rsidRPr="00642ECE" w:rsidR="006A3270" w:rsidP="006F0321" w:rsidRDefault="006A3270" w14:paraId="3FA468B6" w14:textId="797B464E">
            <w:pPr>
              <w:rPr>
                <w:b/>
                <w:bCs/>
              </w:rPr>
            </w:pPr>
            <w:r w:rsidRPr="00642ECE">
              <w:rPr>
                <w:b/>
                <w:bCs/>
              </w:rPr>
              <w:t>The contrast chouild be warmed to body temperature.</w:t>
            </w:r>
          </w:p>
          <w:p w:rsidRPr="00642ECE" w:rsidR="00CE3B8B" w:rsidP="006F0321" w:rsidRDefault="00CE3B8B" w14:paraId="5B5B1FC1" w14:textId="37C8ACAC">
            <w:pPr>
              <w:rPr>
                <w:b/>
              </w:rPr>
            </w:pPr>
            <w:r w:rsidRPr="00642ECE">
              <w:rPr>
                <w:b/>
                <w:bCs/>
              </w:rPr>
              <w:t>Sterile gloving and gowning by Neonatal Registrar required. X-Ray plate needs to be in place before procedure begins. Registrar injects 0.5 ml of Isovue, and as the last 0.1ml is being injected the x-ray should be taken.</w:t>
            </w:r>
            <w:r w:rsidRPr="00642ECE" w:rsidR="00A80155">
              <w:rPr>
                <w:b/>
                <w:bCs/>
              </w:rPr>
              <w:t xml:space="preserve"> Use a 1 mL syringe</w:t>
            </w:r>
            <w:r w:rsidRPr="00E25790" w:rsidR="00A80155">
              <w:t>.</w:t>
            </w:r>
            <w:r w:rsidRPr="00E25790">
              <w:t xml:space="preserve"> </w:t>
            </w:r>
            <w:r w:rsidRPr="00E25790">
              <w:rPr>
                <w:b/>
              </w:rPr>
              <w:t>Following the x-ray, flush with 1 ml of Normal Saline</w:t>
            </w:r>
            <w:r w:rsidR="001A40D1">
              <w:rPr>
                <w:b/>
              </w:rPr>
              <w:t xml:space="preserve"> to prevent thromboembolic events .</w:t>
            </w:r>
          </w:p>
          <w:p w:rsidRPr="00E25790" w:rsidR="00CE3B8B" w:rsidP="006F0321" w:rsidRDefault="00CE3B8B" w14:paraId="51DE1C22" w14:textId="77777777">
            <w:r w:rsidRPr="00E25790">
              <w:t>The position of the line must be confirmed before commencing maintenance infusions.</w:t>
            </w:r>
          </w:p>
          <w:p w:rsidRPr="00E25790" w:rsidR="00CE3B8B" w:rsidP="006F0321" w:rsidRDefault="00CE3B8B" w14:paraId="50EA2934" w14:textId="3BEC9C00">
            <w:r w:rsidRPr="00E25790">
              <w:t xml:space="preserve">. </w:t>
            </w:r>
            <w:r w:rsidRPr="00642ECE">
              <w:rPr>
                <w:b/>
                <w:bCs/>
              </w:rPr>
              <w:t>Fatal reactions have been associated with the administration of water soluble contrast media, most of which have been attributed to chemical, allergic or idiosyncratic effects.</w:t>
            </w:r>
            <w:r w:rsidRPr="00E25790">
              <w:t xml:space="preserve"> It is of utmost importance that a course of action be carefully planned in advance for the immediate treatment of serious reactions, and that adequate and appropriate facilities and personnel be readily available in case of a severe reaction. </w:t>
            </w:r>
          </w:p>
        </w:tc>
      </w:tr>
      <w:tr w:rsidRPr="00E25790" w:rsidR="001A40D1" w:rsidTr="006E2EED" w14:paraId="091B11EF" w14:textId="77777777">
        <w:trPr>
          <w:cantSplit/>
          <w:trHeight w:val="965"/>
        </w:trPr>
        <w:tc>
          <w:tcPr>
            <w:tcW w:w="2443" w:type="dxa"/>
            <w:tcBorders>
              <w:top w:val="single" w:color="auto" w:sz="6" w:space="0"/>
              <w:left w:val="single" w:color="auto" w:sz="6" w:space="0"/>
              <w:bottom w:val="single" w:color="auto" w:sz="6" w:space="0"/>
            </w:tcBorders>
          </w:tcPr>
          <w:p w:rsidRPr="00E25790" w:rsidR="001A40D1" w:rsidP="006F0321" w:rsidRDefault="001A40D1" w14:paraId="49E972A7" w14:textId="64E9A803">
            <w:r>
              <w:t>Comments</w:t>
            </w:r>
          </w:p>
        </w:tc>
        <w:tc>
          <w:tcPr>
            <w:tcW w:w="6621" w:type="dxa"/>
            <w:tcBorders>
              <w:top w:val="single" w:color="auto" w:sz="6" w:space="0"/>
              <w:bottom w:val="single" w:color="auto" w:sz="6" w:space="0"/>
              <w:right w:val="single" w:color="auto" w:sz="6" w:space="0"/>
            </w:tcBorders>
          </w:tcPr>
          <w:p w:rsidR="001A40D1" w:rsidP="006F0321" w:rsidRDefault="001A40D1" w14:paraId="78EC0E44" w14:textId="77777777">
            <w:r>
              <w:t>Iopamidol can induce clotting iff broughtinto contact with blood in a syringe or catheter.</w:t>
            </w:r>
          </w:p>
          <w:p w:rsidR="001A40D1" w:rsidP="006F0321" w:rsidRDefault="001A40D1" w14:paraId="21FF1A5B" w14:textId="77777777">
            <w:r w:rsidRPr="00E25790">
              <w:t>Contraindicated in known hypersensitivity to iopamidol and thyrotoxicosis.</w:t>
            </w:r>
          </w:p>
          <w:p w:rsidR="00D825F0" w:rsidP="006F0321" w:rsidRDefault="00D825F0" w14:paraId="53EEF7CD" w14:textId="77777777">
            <w:r w:rsidRPr="00E25790">
              <w:t xml:space="preserve">Caution in patients with reduced renal or hepatic function. </w:t>
            </w:r>
            <w:r w:rsidRPr="00E25790">
              <w:rPr>
                <w:rStyle w:val="simplehighlight"/>
                <w:sz w:val="20"/>
              </w:rPr>
              <w:t>Isovue</w:t>
            </w:r>
            <w:r w:rsidRPr="00E25790">
              <w:t xml:space="preserve"> is excreted primarily by the kidneys.</w:t>
            </w:r>
          </w:p>
          <w:p w:rsidR="00D825F0" w:rsidP="006F0321" w:rsidRDefault="00D825F0" w14:paraId="6C8B3F1A" w14:textId="77777777">
            <w:r>
              <w:t>In phaechromocytoma uncontrollable hypertensive crisis can be induced.</w:t>
            </w:r>
          </w:p>
          <w:p w:rsidR="00D825F0" w:rsidP="006F0321" w:rsidRDefault="00D825F0" w14:paraId="1BE05B4B" w14:textId="15C858F0">
            <w:r>
              <w:t>Can induce sickling in patients who are homozygous for sickle cell disease.</w:t>
            </w:r>
          </w:p>
        </w:tc>
      </w:tr>
      <w:tr w:rsidRPr="00E25790" w:rsidR="00CE3B8B" w:rsidTr="006E2EED" w14:paraId="269856F2" w14:textId="77777777">
        <w:trPr>
          <w:cantSplit/>
          <w:trHeight w:val="480"/>
        </w:trPr>
        <w:tc>
          <w:tcPr>
            <w:tcW w:w="2443" w:type="dxa"/>
            <w:tcBorders>
              <w:top w:val="single" w:color="auto" w:sz="6" w:space="0"/>
              <w:left w:val="single" w:color="auto" w:sz="6" w:space="0"/>
              <w:bottom w:val="single" w:color="auto" w:sz="6" w:space="0"/>
            </w:tcBorders>
          </w:tcPr>
          <w:p w:rsidRPr="00E25790" w:rsidR="00CE3B8B" w:rsidP="006F0321" w:rsidRDefault="00CE3B8B" w14:paraId="03EE3C47" w14:textId="77777777">
            <w:r w:rsidRPr="00E25790">
              <w:lastRenderedPageBreak/>
              <w:t>Supplied as :</w:t>
            </w:r>
          </w:p>
        </w:tc>
        <w:tc>
          <w:tcPr>
            <w:tcW w:w="6621" w:type="dxa"/>
            <w:tcBorders>
              <w:top w:val="single" w:color="auto" w:sz="6" w:space="0"/>
              <w:bottom w:val="single" w:color="auto" w:sz="6" w:space="0"/>
              <w:right w:val="single" w:color="auto" w:sz="6" w:space="0"/>
            </w:tcBorders>
          </w:tcPr>
          <w:p w:rsidRPr="00E25790" w:rsidR="00CE3B8B" w:rsidP="006F0321" w:rsidRDefault="00CE3B8B" w14:paraId="658B285D" w14:textId="77777777">
            <w:r w:rsidRPr="00E25790">
              <w:rPr>
                <w:rStyle w:val="simplehighlight"/>
                <w:sz w:val="20"/>
              </w:rPr>
              <w:t>Isovue</w:t>
            </w:r>
            <w:r w:rsidRPr="00E25790">
              <w:t>-300 (iopamidol injection 61%) provides iopamidol 612 mg with trometamol 1 mg and sodium calcium edetate 0.39 mg, and contains approximately 0.037 mg (0.002 mEq) sodium and organically bound iodine 300 mg/mL</w:t>
            </w:r>
          </w:p>
        </w:tc>
      </w:tr>
      <w:tr w:rsidRPr="00E25790" w:rsidR="00CE3B8B" w:rsidTr="00A26E96" w14:paraId="47F6121F" w14:textId="77777777">
        <w:trPr>
          <w:cantSplit/>
          <w:trHeight w:val="283"/>
        </w:trPr>
        <w:tc>
          <w:tcPr>
            <w:tcW w:w="2443" w:type="dxa"/>
            <w:tcBorders>
              <w:top w:val="single" w:color="auto" w:sz="6" w:space="0"/>
              <w:left w:val="single" w:color="auto" w:sz="6" w:space="0"/>
              <w:bottom w:val="single" w:color="auto" w:sz="6" w:space="0"/>
            </w:tcBorders>
          </w:tcPr>
          <w:p w:rsidRPr="00E25790" w:rsidR="00CE3B8B" w:rsidP="006F0321" w:rsidRDefault="00CE3B8B" w14:paraId="3D4C4F9D" w14:textId="77777777">
            <w:r w:rsidRPr="00E25790">
              <w:t>Dilution :</w:t>
            </w:r>
          </w:p>
        </w:tc>
        <w:tc>
          <w:tcPr>
            <w:tcW w:w="6621" w:type="dxa"/>
            <w:tcBorders>
              <w:top w:val="single" w:color="auto" w:sz="6" w:space="0"/>
              <w:bottom w:val="single" w:color="auto" w:sz="6" w:space="0"/>
              <w:right w:val="single" w:color="auto" w:sz="6" w:space="0"/>
            </w:tcBorders>
          </w:tcPr>
          <w:p w:rsidRPr="00E25790" w:rsidR="00CE3B8B" w:rsidP="006F0321" w:rsidRDefault="00CE3B8B" w14:paraId="339721BD" w14:textId="77777777">
            <w:r w:rsidRPr="00E25790">
              <w:t xml:space="preserve">None required.  </w:t>
            </w:r>
          </w:p>
        </w:tc>
      </w:tr>
      <w:tr w:rsidRPr="00E25790" w:rsidR="00CE3B8B" w:rsidTr="00A26E96" w14:paraId="3DE64BD6" w14:textId="77777777">
        <w:trPr>
          <w:cantSplit/>
          <w:trHeight w:val="283"/>
        </w:trPr>
        <w:tc>
          <w:tcPr>
            <w:tcW w:w="2443" w:type="dxa"/>
            <w:tcBorders>
              <w:top w:val="single" w:color="auto" w:sz="6" w:space="0"/>
              <w:left w:val="single" w:color="auto" w:sz="6" w:space="0"/>
              <w:bottom w:val="single" w:color="auto" w:sz="6" w:space="0"/>
            </w:tcBorders>
          </w:tcPr>
          <w:p w:rsidRPr="00E25790" w:rsidR="00CE3B8B" w:rsidP="006F0321" w:rsidRDefault="00CE3B8B" w14:paraId="46220D85" w14:textId="77777777">
            <w:r w:rsidRPr="00E25790">
              <w:t>Stability :</w:t>
            </w:r>
          </w:p>
        </w:tc>
        <w:tc>
          <w:tcPr>
            <w:tcW w:w="6621" w:type="dxa"/>
            <w:tcBorders>
              <w:top w:val="single" w:color="auto" w:sz="6" w:space="0"/>
              <w:bottom w:val="single" w:color="auto" w:sz="6" w:space="0"/>
              <w:right w:val="single" w:color="auto" w:sz="6" w:space="0"/>
            </w:tcBorders>
          </w:tcPr>
          <w:p w:rsidRPr="00E25790" w:rsidR="00CE3B8B" w:rsidP="006F0321" w:rsidRDefault="00CE3B8B" w14:paraId="236D947D" w14:textId="77777777"/>
        </w:tc>
      </w:tr>
      <w:tr w:rsidRPr="00E25790" w:rsidR="00CE3B8B" w:rsidTr="00A26E96" w14:paraId="42CAE58E" w14:textId="77777777">
        <w:trPr>
          <w:cantSplit/>
          <w:trHeight w:val="283"/>
        </w:trPr>
        <w:tc>
          <w:tcPr>
            <w:tcW w:w="2443" w:type="dxa"/>
            <w:tcBorders>
              <w:top w:val="single" w:color="auto" w:sz="6" w:space="0"/>
              <w:left w:val="single" w:color="auto" w:sz="6" w:space="0"/>
              <w:bottom w:val="single" w:color="auto" w:sz="6" w:space="0"/>
            </w:tcBorders>
          </w:tcPr>
          <w:p w:rsidRPr="00E25790" w:rsidR="00CE3B8B" w:rsidP="006F0321" w:rsidRDefault="00CE3B8B" w14:paraId="46F83512" w14:textId="77777777">
            <w:r w:rsidRPr="00E25790">
              <w:t>Storage :</w:t>
            </w:r>
          </w:p>
        </w:tc>
        <w:tc>
          <w:tcPr>
            <w:tcW w:w="6621" w:type="dxa"/>
            <w:tcBorders>
              <w:top w:val="single" w:color="auto" w:sz="6" w:space="0"/>
              <w:bottom w:val="single" w:color="auto" w:sz="6" w:space="0"/>
              <w:right w:val="single" w:color="auto" w:sz="6" w:space="0"/>
            </w:tcBorders>
          </w:tcPr>
          <w:p w:rsidRPr="00E25790" w:rsidR="00CE3B8B" w:rsidP="006F0321" w:rsidRDefault="00CE3B8B" w14:paraId="3B18D5B2" w14:textId="77777777">
            <w:r w:rsidRPr="00E25790">
              <w:t>Store below 30 degrees C. Protect from light</w:t>
            </w:r>
          </w:p>
        </w:tc>
      </w:tr>
      <w:tr w:rsidRPr="00E25790" w:rsidR="00CE3B8B" w:rsidTr="00A26E96" w14:paraId="2E9363ED" w14:textId="77777777">
        <w:trPr>
          <w:cantSplit/>
          <w:trHeight w:val="283"/>
        </w:trPr>
        <w:tc>
          <w:tcPr>
            <w:tcW w:w="2443" w:type="dxa"/>
            <w:tcBorders>
              <w:top w:val="single" w:color="auto" w:sz="6" w:space="0"/>
              <w:left w:val="single" w:color="auto" w:sz="6" w:space="0"/>
              <w:bottom w:val="single" w:color="auto" w:sz="6" w:space="0"/>
            </w:tcBorders>
          </w:tcPr>
          <w:p w:rsidRPr="00E25790" w:rsidR="00CE3B8B" w:rsidP="006F0321" w:rsidRDefault="00CE3B8B" w14:paraId="7CD554E5" w14:textId="77777777">
            <w:r w:rsidRPr="00E25790">
              <w:t>Incompatibility :</w:t>
            </w:r>
          </w:p>
        </w:tc>
        <w:tc>
          <w:tcPr>
            <w:tcW w:w="6621" w:type="dxa"/>
            <w:tcBorders>
              <w:top w:val="single" w:color="auto" w:sz="6" w:space="0"/>
              <w:bottom w:val="single" w:color="auto" w:sz="6" w:space="0"/>
              <w:right w:val="single" w:color="auto" w:sz="6" w:space="0"/>
            </w:tcBorders>
          </w:tcPr>
          <w:p w:rsidRPr="00E25790" w:rsidR="00CE3B8B" w:rsidP="006F0321" w:rsidRDefault="00CE3B8B" w14:paraId="1F26CD01" w14:textId="77777777">
            <w:r w:rsidRPr="00E25790">
              <w:t>Do not mix with any other iv fluids.</w:t>
            </w:r>
          </w:p>
        </w:tc>
      </w:tr>
      <w:tr w:rsidRPr="00E25790" w:rsidR="00CE3B8B" w:rsidTr="00A26E96" w14:paraId="22F24008" w14:textId="77777777">
        <w:trPr>
          <w:cantSplit/>
          <w:trHeight w:val="283"/>
        </w:trPr>
        <w:tc>
          <w:tcPr>
            <w:tcW w:w="2443" w:type="dxa"/>
            <w:tcBorders>
              <w:top w:val="single" w:color="auto" w:sz="6" w:space="0"/>
              <w:left w:val="single" w:color="auto" w:sz="6" w:space="0"/>
              <w:bottom w:val="single" w:color="auto" w:sz="6" w:space="0"/>
            </w:tcBorders>
          </w:tcPr>
          <w:p w:rsidRPr="00E25790" w:rsidR="00CE3B8B" w:rsidP="006F0321" w:rsidRDefault="00CE3B8B" w14:paraId="676D364A" w14:textId="77777777">
            <w:r w:rsidRPr="00E25790">
              <w:t>Serum Levels :</w:t>
            </w:r>
          </w:p>
        </w:tc>
        <w:tc>
          <w:tcPr>
            <w:tcW w:w="6621" w:type="dxa"/>
            <w:tcBorders>
              <w:top w:val="single" w:color="auto" w:sz="6" w:space="0"/>
              <w:bottom w:val="single" w:color="auto" w:sz="6" w:space="0"/>
              <w:right w:val="single" w:color="auto" w:sz="6" w:space="0"/>
            </w:tcBorders>
          </w:tcPr>
          <w:p w:rsidRPr="00E25790" w:rsidR="00CE3B8B" w:rsidP="006F0321" w:rsidRDefault="00CE3B8B" w14:paraId="63C8A1C0" w14:textId="77777777"/>
        </w:tc>
      </w:tr>
      <w:tr w:rsidRPr="00E25790" w:rsidR="00FD0A8F" w:rsidTr="002F5F63" w14:paraId="0380CEBE" w14:textId="77777777">
        <w:trPr>
          <w:cantSplit/>
          <w:trHeight w:val="2372"/>
        </w:trPr>
        <w:tc>
          <w:tcPr>
            <w:tcW w:w="2443" w:type="dxa"/>
            <w:tcBorders>
              <w:top w:val="single" w:color="auto" w:sz="6" w:space="0"/>
              <w:left w:val="single" w:color="auto" w:sz="6" w:space="0"/>
              <w:bottom w:val="single" w:color="auto" w:sz="6" w:space="0"/>
            </w:tcBorders>
          </w:tcPr>
          <w:p w:rsidR="00FD0A8F" w:rsidP="006F0321" w:rsidRDefault="00FD0A8F" w14:paraId="40200E08" w14:textId="77777777">
            <w:r>
              <w:t>References:</w:t>
            </w:r>
          </w:p>
          <w:p w:rsidRPr="00E25790" w:rsidR="00FD0A8F" w:rsidP="00642ECE" w:rsidRDefault="00FD0A8F" w14:paraId="7F0868A1" w14:textId="09E16CB5">
            <w:pPr>
              <w:pStyle w:val="ListParagraph"/>
            </w:pPr>
          </w:p>
        </w:tc>
        <w:tc>
          <w:tcPr>
            <w:tcW w:w="6621" w:type="dxa"/>
            <w:tcBorders>
              <w:top w:val="single" w:color="auto" w:sz="6" w:space="0"/>
              <w:bottom w:val="single" w:color="auto" w:sz="6" w:space="0"/>
              <w:right w:val="single" w:color="auto" w:sz="6" w:space="0"/>
            </w:tcBorders>
          </w:tcPr>
          <w:p w:rsidR="00FD0A8F" w:rsidP="001B0E05" w:rsidRDefault="006B3E26" w14:paraId="79F1A8E9" w14:textId="7CBB0614">
            <w:pPr>
              <w:pStyle w:val="ListParagraph"/>
              <w:numPr>
                <w:ilvl w:val="0"/>
                <w:numId w:val="50"/>
              </w:numPr>
            </w:pPr>
            <w:hyperlink w:history="1" r:id="rId46">
              <w:r w:rsidRPr="00D825F0" w:rsidR="00FD0A8F">
                <w:rPr>
                  <w:rStyle w:val="Hyperlink"/>
                </w:rPr>
                <w:t>https://www.ema.europa.eu/documents/scientific-guideline/draft-guideline-guideline-core-summary-product-characteristics-smpc-package-leaflet-iopamidol-370_en.pdf</w:t>
              </w:r>
            </w:hyperlink>
          </w:p>
          <w:p w:rsidR="00D825F0" w:rsidP="001B0E05" w:rsidRDefault="00D825F0" w14:paraId="2DE5315E" w14:textId="0A43E1CF">
            <w:pPr>
              <w:pStyle w:val="ListParagraph"/>
              <w:numPr>
                <w:ilvl w:val="0"/>
                <w:numId w:val="50"/>
              </w:numPr>
            </w:pPr>
            <w:r>
              <w:t>Ahmet A, et al Hypothyroidsm in Neonates post-iodinated contrast media: a systematic review</w:t>
            </w:r>
          </w:p>
          <w:p w:rsidR="00D825F0" w:rsidP="001B0E05" w:rsidRDefault="00D825F0" w14:paraId="693A68A3" w14:textId="0EE5ADDF">
            <w:pPr>
              <w:pStyle w:val="ListParagraph"/>
              <w:numPr>
                <w:ilvl w:val="0"/>
                <w:numId w:val="50"/>
              </w:numPr>
            </w:pPr>
            <w:r w:rsidRPr="00D825F0">
              <w:t>https://www.medicines.org.uk/emc/product/3898/smpc#gref</w:t>
            </w:r>
          </w:p>
          <w:p w:rsidR="00FD0A8F" w:rsidP="006F0321" w:rsidRDefault="00FD0A8F" w14:paraId="61EEEE34" w14:textId="77777777"/>
          <w:p w:rsidRPr="00E25790" w:rsidR="00FD0A8F" w:rsidP="006F0321" w:rsidRDefault="00FD0A8F" w14:paraId="00A2E03A" w14:textId="4DF598AC"/>
        </w:tc>
      </w:tr>
    </w:tbl>
    <w:p w:rsidR="00A26E96" w:rsidRDefault="00A26E96" w14:paraId="428F415B"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F5F63" w:rsidTr="0059793A" w14:paraId="641B0D05" w14:textId="77777777">
        <w:tc>
          <w:tcPr>
            <w:tcW w:w="4535" w:type="dxa"/>
            <w:vAlign w:val="center"/>
          </w:tcPr>
          <w:p w:rsidRPr="00E25790" w:rsidR="002F5F63" w:rsidP="0059793A" w:rsidRDefault="002F5F63" w14:paraId="5D51B555" w14:textId="77777777">
            <w:r w:rsidRPr="00E25790">
              <w:t xml:space="preserve">Original version Date: </w:t>
            </w:r>
            <w:r>
              <w:t>9/1/2014</w:t>
            </w:r>
          </w:p>
        </w:tc>
        <w:tc>
          <w:tcPr>
            <w:tcW w:w="4535" w:type="dxa"/>
            <w:vAlign w:val="center"/>
          </w:tcPr>
          <w:p w:rsidRPr="00E25790" w:rsidR="002F5F63" w:rsidP="0059793A" w:rsidRDefault="002F5F63" w14:paraId="22A6626F" w14:textId="77777777">
            <w:r w:rsidRPr="00E25790">
              <w:t xml:space="preserve">Author: </w:t>
            </w:r>
            <w:r>
              <w:t>AK, JD</w:t>
            </w:r>
          </w:p>
        </w:tc>
      </w:tr>
      <w:tr w:rsidRPr="00E25790" w:rsidR="002F5F63" w:rsidTr="0059793A" w14:paraId="1E4541C3" w14:textId="77777777">
        <w:tc>
          <w:tcPr>
            <w:tcW w:w="4535" w:type="dxa"/>
            <w:vAlign w:val="center"/>
          </w:tcPr>
          <w:p w:rsidRPr="00E25790" w:rsidR="002F5F63" w:rsidP="0059793A" w:rsidRDefault="002F5F63" w14:paraId="7CCF6AB4" w14:textId="77777777">
            <w:pPr>
              <w:rPr>
                <w:bCs/>
              </w:rPr>
            </w:pPr>
            <w:r w:rsidRPr="00E25790">
              <w:t xml:space="preserve">Current Version number:  </w:t>
            </w:r>
            <w:r>
              <w:t>2</w:t>
            </w:r>
          </w:p>
        </w:tc>
        <w:tc>
          <w:tcPr>
            <w:tcW w:w="4535" w:type="dxa"/>
            <w:vAlign w:val="center"/>
          </w:tcPr>
          <w:p w:rsidRPr="00E25790" w:rsidR="002F5F63" w:rsidP="0059793A" w:rsidRDefault="002F5F63" w14:paraId="3C3D7F31" w14:textId="77777777">
            <w:r w:rsidRPr="00E25790">
              <w:t xml:space="preserve">Version Date:  </w:t>
            </w:r>
            <w:r>
              <w:t>7/12/2020</w:t>
            </w:r>
          </w:p>
        </w:tc>
      </w:tr>
      <w:tr w:rsidRPr="00E25790" w:rsidR="002F5F63" w:rsidTr="0059793A" w14:paraId="4BB50FB5" w14:textId="77777777">
        <w:tc>
          <w:tcPr>
            <w:tcW w:w="4535" w:type="dxa"/>
            <w:vAlign w:val="center"/>
          </w:tcPr>
          <w:p w:rsidRPr="00E25790" w:rsidR="002F5F63" w:rsidP="0059793A" w:rsidRDefault="002F5F63" w14:paraId="61F889D7" w14:textId="21AF8AAB">
            <w:r w:rsidRPr="00E25790">
              <w:t xml:space="preserve">Risk Rating: </w:t>
            </w:r>
            <w:r>
              <w:t>Low</w:t>
            </w:r>
          </w:p>
        </w:tc>
        <w:tc>
          <w:tcPr>
            <w:tcW w:w="4535" w:type="dxa"/>
            <w:vAlign w:val="center"/>
          </w:tcPr>
          <w:p w:rsidRPr="00E25790" w:rsidR="002F5F63" w:rsidP="0059793A" w:rsidRDefault="002F5F63" w14:paraId="16CCD932" w14:textId="77777777">
            <w:r w:rsidRPr="00E25790">
              <w:t xml:space="preserve">Due for Review:  </w:t>
            </w:r>
            <w:r>
              <w:t>7/12/2025</w:t>
            </w:r>
          </w:p>
        </w:tc>
      </w:tr>
      <w:tr w:rsidRPr="00E25790" w:rsidR="002F5F63" w:rsidTr="0059793A" w14:paraId="7624657C" w14:textId="77777777">
        <w:trPr>
          <w:trHeight w:val="344"/>
        </w:trPr>
        <w:tc>
          <w:tcPr>
            <w:tcW w:w="4535" w:type="dxa"/>
            <w:tcBorders>
              <w:bottom w:val="single" w:color="auto" w:sz="4" w:space="0"/>
            </w:tcBorders>
            <w:vAlign w:val="center"/>
          </w:tcPr>
          <w:p w:rsidRPr="00E25790" w:rsidR="002F5F63" w:rsidP="0059793A" w:rsidRDefault="002F5F63" w14:paraId="7C286399" w14:textId="77777777">
            <w:r w:rsidRPr="00E25790">
              <w:t>Approved by: DTC</w:t>
            </w:r>
          </w:p>
        </w:tc>
        <w:tc>
          <w:tcPr>
            <w:tcW w:w="4535" w:type="dxa"/>
            <w:tcBorders>
              <w:bottom w:val="single" w:color="auto" w:sz="4" w:space="0"/>
            </w:tcBorders>
            <w:vAlign w:val="center"/>
          </w:tcPr>
          <w:p w:rsidRPr="00E25790" w:rsidR="002F5F63" w:rsidP="0059793A" w:rsidRDefault="002F5F63" w14:paraId="3481E469" w14:textId="09D64C7E">
            <w:r w:rsidRPr="00E25790">
              <w:t xml:space="preserve">Approval Date: </w:t>
            </w:r>
            <w:r w:rsidR="00260BC8">
              <w:t>APRIL 2021</w:t>
            </w:r>
          </w:p>
        </w:tc>
      </w:tr>
    </w:tbl>
    <w:p w:rsidR="002F5F63" w:rsidRDefault="002F5F63" w14:paraId="5B792899" w14:textId="77777777"/>
    <w:p w:rsidR="002F5F63" w:rsidRDefault="002F5F63" w14:paraId="65F7F541" w14:textId="77777777"/>
    <w:p w:rsidR="002F5F63" w:rsidRDefault="002F5F63" w14:paraId="695A9CAF" w14:textId="77777777"/>
    <w:p w:rsidR="002F5F63" w:rsidRDefault="002F5F63" w14:paraId="1C2ECBFE" w14:textId="77777777"/>
    <w:p w:rsidR="002F5F63" w:rsidRDefault="002F5F63" w14:paraId="1C12D993" w14:textId="77777777"/>
    <w:p w:rsidR="002F5F63" w:rsidRDefault="002F5F63" w14:paraId="1C1E3115" w14:textId="77777777"/>
    <w:p w:rsidR="002F5F63" w:rsidRDefault="002F5F63" w14:paraId="33E48A0E" w14:textId="77777777"/>
    <w:p w:rsidR="002F5F63" w:rsidRDefault="002F5F63" w14:paraId="214AD78D" w14:textId="77777777"/>
    <w:p w:rsidR="002F5F63" w:rsidRDefault="002F5F63" w14:paraId="238D21B1" w14:textId="77777777"/>
    <w:p w:rsidR="002F5F63" w:rsidRDefault="002F5F63" w14:paraId="4733BA3E" w14:textId="77777777"/>
    <w:p w:rsidR="002F5F63" w:rsidRDefault="002F5F63" w14:paraId="69AE6E96" w14:textId="77777777"/>
    <w:p w:rsidR="002F5F63" w:rsidRDefault="002F5F63" w14:paraId="5C2659BB" w14:textId="77777777"/>
    <w:p w:rsidR="002F5F63" w:rsidRDefault="002F5F63" w14:paraId="7C48564D" w14:textId="77777777"/>
    <w:p w:rsidR="002F5F63" w:rsidRDefault="002F5F63" w14:paraId="13B35A56" w14:textId="77777777"/>
    <w:p w:rsidR="002F5F63" w:rsidRDefault="002F5F63" w14:paraId="7D86BB78" w14:textId="77777777"/>
    <w:p w:rsidR="002F5F63" w:rsidRDefault="002F5F63" w14:paraId="0EADE2B4" w14:textId="77777777"/>
    <w:p w:rsidR="002F5F63" w:rsidRDefault="002F5F63" w14:paraId="39A201D4" w14:textId="77777777"/>
    <w:p w:rsidR="002F5F63" w:rsidRDefault="002F5F63" w14:paraId="396B8F02" w14:textId="77777777"/>
    <w:p w:rsidR="002F5F63" w:rsidRDefault="002F5F63" w14:paraId="46928477" w14:textId="77777777"/>
    <w:p w:rsidR="002F5F63" w:rsidRDefault="002F5F63" w14:paraId="43F93EF8" w14:textId="77777777"/>
    <w:tbl>
      <w:tblPr>
        <w:tblW w:w="9049" w:type="dxa"/>
        <w:tblLayout w:type="fixed"/>
        <w:tblLook w:val="0000" w:firstRow="0" w:lastRow="0" w:firstColumn="0" w:lastColumn="0" w:noHBand="0" w:noVBand="0"/>
      </w:tblPr>
      <w:tblGrid>
        <w:gridCol w:w="4153"/>
        <w:gridCol w:w="4896"/>
      </w:tblGrid>
      <w:tr w:rsidRPr="00E25790" w:rsidR="00115F48" w:rsidTr="00A26E96" w14:paraId="67B2F275"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115F48" w:rsidP="009469DB" w:rsidRDefault="00115F48" w14:paraId="0CCB20B8" w14:textId="77777777">
            <w:pPr>
              <w:pStyle w:val="Heading1"/>
            </w:pPr>
            <w:bookmarkStart w:name="_Toc38106873" w:id="353"/>
            <w:bookmarkStart w:name="_Toc75339998" w:id="354"/>
            <w:r w:rsidRPr="00E25790">
              <w:lastRenderedPageBreak/>
              <w:t>Labetalol</w:t>
            </w:r>
            <w:bookmarkEnd w:id="353"/>
            <w:bookmarkEnd w:id="354"/>
            <w:r w:rsidRPr="00E25790">
              <w:fldChar w:fldCharType="begin"/>
            </w:r>
            <w:r w:rsidRPr="00E25790">
              <w:instrText>tc "Labetalol" \l 0</w:instrText>
            </w:r>
            <w:r w:rsidRPr="00E25790">
              <w:fldChar w:fldCharType="end"/>
            </w:r>
          </w:p>
        </w:tc>
      </w:tr>
      <w:tr w:rsidRPr="00E25790" w:rsidR="00115F48" w:rsidTr="00A26E96" w14:paraId="647C8C0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570C5482" w14:textId="7F29810A">
            <w:r w:rsidRPr="00E25790">
              <w:t xml:space="preserve">Revision Date : </w:t>
            </w:r>
            <w:r w:rsidR="00AE474E">
              <w:t>07</w:t>
            </w:r>
            <w:r w:rsidR="003F0C5A">
              <w:t>/12/2020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F12EF8C" w14:textId="7648630D">
            <w:r w:rsidRPr="00E25790">
              <w:t xml:space="preserve">Approved: </w:t>
            </w:r>
            <w:r w:rsidR="003F0C5A">
              <w:t xml:space="preserve">NS </w:t>
            </w:r>
            <w:r w:rsidR="00C83600">
              <w:t>, KOH</w:t>
            </w:r>
          </w:p>
        </w:tc>
      </w:tr>
    </w:tbl>
    <w:p w:rsidRPr="00E25790" w:rsidR="00115F48" w:rsidP="006F0321" w:rsidRDefault="00115F48" w14:paraId="19159F6C" w14:textId="77777777"/>
    <w:tbl>
      <w:tblPr>
        <w:tblW w:w="9064" w:type="dxa"/>
        <w:tblLayout w:type="fixed"/>
        <w:tblLook w:val="0000" w:firstRow="0" w:lastRow="0" w:firstColumn="0" w:lastColumn="0" w:noHBand="0" w:noVBand="0"/>
      </w:tblPr>
      <w:tblGrid>
        <w:gridCol w:w="2443"/>
        <w:gridCol w:w="6621"/>
      </w:tblGrid>
      <w:tr w:rsidRPr="00E25790" w:rsidR="00115F48" w:rsidTr="00A26E96" w14:paraId="5B9BCDC0" w14:textId="77777777">
        <w:trPr>
          <w:cantSplit/>
          <w:trHeight w:val="1065"/>
        </w:trPr>
        <w:tc>
          <w:tcPr>
            <w:tcW w:w="2443" w:type="dxa"/>
            <w:tcBorders>
              <w:top w:val="single" w:color="auto" w:sz="6" w:space="0"/>
              <w:left w:val="single" w:color="auto" w:sz="6" w:space="0"/>
              <w:bottom w:val="single" w:color="auto" w:sz="6" w:space="0"/>
            </w:tcBorders>
          </w:tcPr>
          <w:p w:rsidRPr="00E25790" w:rsidR="00115F48" w:rsidP="006F0321" w:rsidRDefault="00115F48" w14:paraId="6D91BDC2" w14:textId="520CE4D4">
            <w:r w:rsidRPr="00E25790">
              <w:t>Indication:</w:t>
            </w:r>
          </w:p>
        </w:tc>
        <w:tc>
          <w:tcPr>
            <w:tcW w:w="6621" w:type="dxa"/>
            <w:tcBorders>
              <w:top w:val="single" w:color="auto" w:sz="6" w:space="0"/>
              <w:bottom w:val="single" w:color="auto" w:sz="6" w:space="0"/>
              <w:right w:val="single" w:color="auto" w:sz="6" w:space="0"/>
            </w:tcBorders>
          </w:tcPr>
          <w:p w:rsidR="00115F48" w:rsidP="006F0321" w:rsidRDefault="003F0C5A" w14:paraId="20B5BBA6" w14:textId="77777777">
            <w:r>
              <w:t>1)</w:t>
            </w:r>
            <w:r w:rsidRPr="00E25790" w:rsidR="00115F48">
              <w:t>Hypertension.</w:t>
            </w:r>
          </w:p>
          <w:p w:rsidR="004865F0" w:rsidP="006F0321" w:rsidRDefault="004865F0" w14:paraId="6A79034B" w14:textId="77777777"/>
          <w:p w:rsidRPr="004865F0" w:rsidR="004865F0" w:rsidP="004865F0" w:rsidRDefault="004865F0" w14:paraId="3F80332E" w14:textId="77777777">
            <w:r w:rsidRPr="004865F0">
              <w:t>2) and 3) Hypertensive emergency/urgency</w:t>
            </w:r>
          </w:p>
          <w:p w:rsidRPr="00E25790" w:rsidR="004865F0" w:rsidP="006F0321" w:rsidRDefault="004865F0" w14:paraId="0B29BF47" w14:textId="76EC8360"/>
        </w:tc>
      </w:tr>
      <w:tr w:rsidRPr="00E25790" w:rsidR="00115F48" w:rsidTr="00A26E96" w14:paraId="661E3BAB"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0331191E" w14:textId="53B383A3">
            <w:r w:rsidRPr="00E25790">
              <w:t>Dose:</w:t>
            </w:r>
          </w:p>
        </w:tc>
        <w:tc>
          <w:tcPr>
            <w:tcW w:w="6621" w:type="dxa"/>
            <w:tcBorders>
              <w:top w:val="single" w:color="auto" w:sz="6" w:space="0"/>
              <w:bottom w:val="single" w:color="auto" w:sz="6" w:space="0"/>
              <w:right w:val="single" w:color="auto" w:sz="6" w:space="0"/>
            </w:tcBorders>
          </w:tcPr>
          <w:p w:rsidR="00115F48" w:rsidP="006F0321" w:rsidRDefault="00115F48" w14:paraId="2CE03A62" w14:textId="46A7A325"/>
          <w:p w:rsidRPr="00282182" w:rsidR="00282182" w:rsidP="00282182" w:rsidRDefault="00282182" w14:paraId="469A7E89" w14:textId="77777777">
            <w:r w:rsidRPr="00282182">
              <w:t xml:space="preserve">1)Oral dose: </w:t>
            </w:r>
          </w:p>
          <w:p w:rsidRPr="00282182" w:rsidR="00282182" w:rsidP="00282182" w:rsidRDefault="00282182" w14:paraId="2FF535EC" w14:textId="77777777">
            <w:r w:rsidRPr="00282182">
              <w:t>Initial dose is 1-3 mg/kg/day</w:t>
            </w:r>
          </w:p>
          <w:p w:rsidRPr="00282182" w:rsidR="00282182" w:rsidP="00282182" w:rsidRDefault="00282182" w14:paraId="6D2264A4" w14:textId="77777777">
            <w:r w:rsidRPr="00282182">
              <w:t xml:space="preserve">Maximum oral dose is 10 mg/kg/day </w:t>
            </w:r>
          </w:p>
          <w:p w:rsidRPr="00282182" w:rsidR="00282182" w:rsidP="00282182" w:rsidRDefault="00282182" w14:paraId="5B7BD379" w14:textId="77777777"/>
          <w:p w:rsidRPr="00282182" w:rsidR="00282182" w:rsidP="00282182" w:rsidRDefault="00282182" w14:paraId="386CB860" w14:textId="77777777">
            <w:r w:rsidRPr="00282182">
              <w:t xml:space="preserve">2)Intravenous bolus dose: </w:t>
            </w:r>
          </w:p>
          <w:p w:rsidRPr="00282182" w:rsidR="00282182" w:rsidP="00282182" w:rsidRDefault="00282182" w14:paraId="3DEA1889" w14:textId="77777777">
            <w:r w:rsidRPr="00282182">
              <w:t xml:space="preserve">0.2-1 mg/kg/dose over 2 minutes (maximum 10 mg/minute), can be repeated in 10 minutes if required. </w:t>
            </w:r>
          </w:p>
          <w:p w:rsidRPr="00282182" w:rsidR="00282182" w:rsidP="00282182" w:rsidRDefault="00282182" w14:paraId="58BC1B8E" w14:textId="77777777"/>
          <w:p w:rsidR="004865F0" w:rsidP="006F0321" w:rsidRDefault="00282182" w14:paraId="17F5087C" w14:textId="6E051BFA">
            <w:r w:rsidRPr="00282182">
              <w:t>3) Continuous Intravenous Infusion: 0.25 to 3 mg/kg/hour. Initiate at lower dose and titrate up slowly</w:t>
            </w:r>
          </w:p>
          <w:p w:rsidRPr="00E25790" w:rsidR="004865F0" w:rsidP="006F0321" w:rsidRDefault="004865F0" w14:paraId="0D9D49A0" w14:textId="312C9FA3"/>
        </w:tc>
      </w:tr>
      <w:tr w:rsidRPr="00E25790" w:rsidR="00115F48" w:rsidTr="00A26E96" w14:paraId="26BD6D94"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30E3F6F9" w14:textId="282AA8DF">
            <w:r w:rsidRPr="00E25790">
              <w:t>Interval:</w:t>
            </w:r>
          </w:p>
        </w:tc>
        <w:tc>
          <w:tcPr>
            <w:tcW w:w="6621" w:type="dxa"/>
            <w:tcBorders>
              <w:top w:val="single" w:color="auto" w:sz="6" w:space="0"/>
              <w:bottom w:val="single" w:color="auto" w:sz="6" w:space="0"/>
              <w:right w:val="single" w:color="auto" w:sz="6" w:space="0"/>
            </w:tcBorders>
          </w:tcPr>
          <w:p w:rsidR="00115F48" w:rsidP="006F0321" w:rsidRDefault="00115F48" w14:paraId="4EAEA09F" w14:textId="3497E70A"/>
          <w:p w:rsidRPr="00AB5AAC" w:rsidR="00AB5AAC" w:rsidP="00AB5AAC" w:rsidRDefault="00AB5AAC" w14:paraId="1C54C357" w14:textId="77777777">
            <w:r w:rsidRPr="00AB5AAC">
              <w:t>1)Oral dose: 12 hourly (it can be prescribed 6 hourly if dose needs to be increased).</w:t>
            </w:r>
          </w:p>
          <w:p w:rsidRPr="00AB5AAC" w:rsidR="00AB5AAC" w:rsidP="00AB5AAC" w:rsidRDefault="00AB5AAC" w14:paraId="7AD69055" w14:textId="77777777"/>
          <w:p w:rsidRPr="00AB5AAC" w:rsidR="00AB5AAC" w:rsidP="00AB5AAC" w:rsidRDefault="00AB5AAC" w14:paraId="146C01C5" w14:textId="77777777">
            <w:r w:rsidRPr="00AB5AAC">
              <w:t>2)Intravenous bolus can be repeated in 10 minutes if required.</w:t>
            </w:r>
          </w:p>
          <w:p w:rsidRPr="00AB5AAC" w:rsidR="00AB5AAC" w:rsidP="00AB5AAC" w:rsidRDefault="00AB5AAC" w14:paraId="0E8CA3D5" w14:textId="77777777"/>
          <w:p w:rsidRPr="00AB5AAC" w:rsidR="00AB5AAC" w:rsidP="00AB5AAC" w:rsidRDefault="00AB5AAC" w14:paraId="4475DDDF" w14:textId="77777777">
            <w:r w:rsidRPr="00AB5AAC">
              <w:t>3)Intravenous infusion: Initiate at lower end of range and titrate up slowly.</w:t>
            </w:r>
          </w:p>
          <w:p w:rsidRPr="00E25790" w:rsidR="00AB5AAC" w:rsidP="006F0321" w:rsidRDefault="00AB5AAC" w14:paraId="34867EDB" w14:textId="479F8B45"/>
        </w:tc>
      </w:tr>
      <w:tr w:rsidRPr="00E25790" w:rsidR="00115F48" w:rsidTr="00A26E96" w14:paraId="2F562841"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4C218E52" w14:textId="42872B12">
            <w:r w:rsidRPr="00E25790">
              <w:t>Route:</w:t>
            </w:r>
          </w:p>
        </w:tc>
        <w:tc>
          <w:tcPr>
            <w:tcW w:w="6621" w:type="dxa"/>
            <w:tcBorders>
              <w:top w:val="single" w:color="auto" w:sz="6" w:space="0"/>
              <w:bottom w:val="single" w:color="auto" w:sz="6" w:space="0"/>
              <w:right w:val="single" w:color="auto" w:sz="6" w:space="0"/>
            </w:tcBorders>
          </w:tcPr>
          <w:p w:rsidR="00115F48" w:rsidP="006F0321" w:rsidRDefault="00526A9A" w14:paraId="332B35C7" w14:textId="77777777">
            <w:r>
              <w:t>1)</w:t>
            </w:r>
            <w:r w:rsidRPr="00E25790" w:rsidR="00115F48">
              <w:t>Oral</w:t>
            </w:r>
          </w:p>
          <w:p w:rsidR="004A6603" w:rsidP="006F0321" w:rsidRDefault="004A6603" w14:paraId="4F684FF2" w14:textId="77777777">
            <w:r>
              <w:t>2) and 3) Intravenous</w:t>
            </w:r>
          </w:p>
          <w:p w:rsidRPr="00E25790" w:rsidR="00D95D8A" w:rsidP="006F0321" w:rsidRDefault="00D95D8A" w14:paraId="3E5DCB89" w14:textId="58FBD006"/>
        </w:tc>
      </w:tr>
      <w:tr w:rsidRPr="00E25790" w:rsidR="00115F48" w:rsidTr="00A26E96" w14:paraId="0D51B355" w14:textId="77777777">
        <w:trPr>
          <w:cantSplit/>
          <w:trHeight w:val="366"/>
        </w:trPr>
        <w:tc>
          <w:tcPr>
            <w:tcW w:w="2443" w:type="dxa"/>
            <w:tcBorders>
              <w:top w:val="single" w:color="auto" w:sz="6" w:space="0"/>
              <w:left w:val="single" w:color="auto" w:sz="6" w:space="0"/>
              <w:bottom w:val="single" w:color="auto" w:sz="6" w:space="0"/>
            </w:tcBorders>
          </w:tcPr>
          <w:p w:rsidRPr="00E25790" w:rsidR="00115F48" w:rsidP="006F0321" w:rsidRDefault="00115F48" w14:paraId="17530528" w14:textId="568C3378">
            <w:r w:rsidRPr="00E25790">
              <w:t>Total Daily Dose:</w:t>
            </w:r>
          </w:p>
        </w:tc>
        <w:tc>
          <w:tcPr>
            <w:tcW w:w="6621" w:type="dxa"/>
            <w:tcBorders>
              <w:top w:val="single" w:color="auto" w:sz="6" w:space="0"/>
              <w:bottom w:val="single" w:color="auto" w:sz="6" w:space="0"/>
              <w:right w:val="single" w:color="auto" w:sz="6" w:space="0"/>
            </w:tcBorders>
          </w:tcPr>
          <w:p w:rsidR="00115F48" w:rsidP="006F0321" w:rsidRDefault="00115F48" w14:paraId="71E6EBFF" w14:textId="2EB29BBE"/>
          <w:p w:rsidRPr="008066AB" w:rsidR="008066AB" w:rsidP="008066AB" w:rsidRDefault="008066AB" w14:paraId="42F89B02" w14:textId="77777777">
            <w:r w:rsidRPr="008066AB">
              <w:t>1)Oral dose: up to 10 mg/kg/day (maximum 1200mg/day)</w:t>
            </w:r>
          </w:p>
          <w:p w:rsidR="008066AB" w:rsidP="008066AB" w:rsidRDefault="008066AB" w14:paraId="0238D2CE" w14:textId="77777777">
            <w:r w:rsidRPr="008066AB">
              <w:t xml:space="preserve">2)IV bolus: </w:t>
            </w:r>
            <w:r>
              <w:t xml:space="preserve">maximum </w:t>
            </w:r>
            <w:r w:rsidRPr="008066AB">
              <w:t>40 mg/dose</w:t>
            </w:r>
          </w:p>
          <w:p w:rsidRPr="00E25790" w:rsidR="00D95D8A" w:rsidP="008066AB" w:rsidRDefault="00D95D8A" w14:paraId="66F98434" w14:textId="70E0FC38"/>
        </w:tc>
      </w:tr>
      <w:tr w:rsidRPr="00E25790" w:rsidR="00115F48" w:rsidTr="00A26E96" w14:paraId="110B873D" w14:textId="77777777">
        <w:trPr>
          <w:cantSplit/>
          <w:trHeight w:val="965"/>
        </w:trPr>
        <w:tc>
          <w:tcPr>
            <w:tcW w:w="2443" w:type="dxa"/>
            <w:tcBorders>
              <w:top w:val="single" w:color="auto" w:sz="6" w:space="0"/>
              <w:left w:val="single" w:color="auto" w:sz="6" w:space="0"/>
              <w:bottom w:val="single" w:color="auto" w:sz="6" w:space="0"/>
            </w:tcBorders>
          </w:tcPr>
          <w:p w:rsidRPr="00E25790" w:rsidR="00115F48" w:rsidP="006F0321" w:rsidRDefault="00115F48" w14:paraId="125981B3" w14:textId="150D93B4">
            <w:r w:rsidRPr="00E25790">
              <w:lastRenderedPageBreak/>
              <w:t>Comments:</w:t>
            </w:r>
          </w:p>
        </w:tc>
        <w:tc>
          <w:tcPr>
            <w:tcW w:w="6621" w:type="dxa"/>
            <w:tcBorders>
              <w:top w:val="single" w:color="auto" w:sz="6" w:space="0"/>
              <w:bottom w:val="single" w:color="auto" w:sz="6" w:space="0"/>
              <w:right w:val="single" w:color="auto" w:sz="6" w:space="0"/>
            </w:tcBorders>
          </w:tcPr>
          <w:p w:rsidR="008066AB" w:rsidP="006F0321" w:rsidRDefault="00115F48" w14:paraId="2DBEF1FD" w14:textId="77777777">
            <w:r w:rsidRPr="00E25790">
              <w:t xml:space="preserve">Alpha-beta blocking agent. </w:t>
            </w:r>
          </w:p>
          <w:p w:rsidR="008066AB" w:rsidP="006F0321" w:rsidRDefault="00115F48" w14:paraId="329EFE63" w14:textId="2412AB0D">
            <w:r w:rsidRPr="00E25790">
              <w:t xml:space="preserve">Contraindicated in asthma. </w:t>
            </w:r>
          </w:p>
          <w:p w:rsidR="00CD7B2C" w:rsidP="006F0321" w:rsidRDefault="00CD7B2C" w14:paraId="7B38E244" w14:textId="38EA4105">
            <w:r>
              <w:t>Contraindicated in uncompensated cardiac failure.</w:t>
            </w:r>
          </w:p>
          <w:p w:rsidRPr="007600DE" w:rsidR="007600DE" w:rsidP="007600DE" w:rsidRDefault="00115F48" w14:paraId="26562B59" w14:textId="44E82566">
            <w:r w:rsidRPr="00E25790">
              <w:t>Use with caution, if at all, in patients with cardiac failure and conduction disorders</w:t>
            </w:r>
            <w:r w:rsidRPr="007600DE" w:rsidR="007600DE">
              <w:t xml:space="preserve">(heart block greater than first degree). </w:t>
            </w:r>
          </w:p>
          <w:p w:rsidRPr="007600DE" w:rsidR="007600DE" w:rsidP="007600DE" w:rsidRDefault="007600DE" w14:paraId="52C9C594" w14:textId="77777777"/>
          <w:p w:rsidR="00115F48" w:rsidP="007600DE" w:rsidRDefault="007600DE" w14:paraId="34A674F0" w14:textId="77777777">
            <w:r w:rsidRPr="007600DE">
              <w:t>ECG monitoring and BP monitoring recommended during IV administration. Patient should remain supine up to 3 hours post dose.</w:t>
            </w:r>
          </w:p>
          <w:p w:rsidRPr="00E25790" w:rsidR="00D95D8A" w:rsidP="007600DE" w:rsidRDefault="00D95D8A" w14:paraId="0ED15DE3" w14:textId="2F74F34C"/>
        </w:tc>
      </w:tr>
      <w:tr w:rsidRPr="00DC036E" w:rsidR="004206FC" w:rsidTr="006A3270" w14:paraId="1629B568" w14:textId="77777777">
        <w:trPr>
          <w:cantSplit/>
          <w:trHeight w:val="965"/>
        </w:trPr>
        <w:tc>
          <w:tcPr>
            <w:tcW w:w="2443" w:type="dxa"/>
            <w:tcBorders>
              <w:top w:val="single" w:color="auto" w:sz="6" w:space="0"/>
              <w:left w:val="single" w:color="auto" w:sz="6" w:space="0"/>
              <w:bottom w:val="single" w:color="auto" w:sz="6" w:space="0"/>
            </w:tcBorders>
          </w:tcPr>
          <w:p w:rsidRPr="00DC036E" w:rsidR="004206FC" w:rsidP="006A3270" w:rsidRDefault="00D95D8A" w14:paraId="561F73C6" w14:textId="335E2826">
            <w:r>
              <w:t>Side effects</w:t>
            </w:r>
            <w:r w:rsidR="004206FC">
              <w:t>:</w:t>
            </w:r>
          </w:p>
        </w:tc>
        <w:tc>
          <w:tcPr>
            <w:tcW w:w="6621" w:type="dxa"/>
            <w:tcBorders>
              <w:top w:val="single" w:color="auto" w:sz="6" w:space="0"/>
              <w:bottom w:val="single" w:color="auto" w:sz="6" w:space="0"/>
              <w:right w:val="single" w:color="auto" w:sz="6" w:space="0"/>
            </w:tcBorders>
          </w:tcPr>
          <w:p w:rsidR="004206FC" w:rsidP="006A3270" w:rsidRDefault="004206FC" w14:paraId="0FA95F34" w14:textId="45335A47">
            <w:r>
              <w:t>Hypotension (&gt;10%)</w:t>
            </w:r>
          </w:p>
          <w:p w:rsidR="004206FC" w:rsidP="006A3270" w:rsidRDefault="004206FC" w14:paraId="5E1B4236" w14:textId="77777777"/>
          <w:p w:rsidR="004206FC" w:rsidP="006A3270" w:rsidRDefault="004206FC" w14:paraId="6FB6136C" w14:textId="56C80B73">
            <w:r>
              <w:t>Rare (1% to 10%): arrythmia, oedema, skin rush, vomits, feeding intolerance, increased serum transaminases, increased levels of serum creatinine and urea, wheezing.</w:t>
            </w:r>
          </w:p>
          <w:p w:rsidR="004206FC" w:rsidP="006A3270" w:rsidRDefault="004206FC" w14:paraId="536C21F4" w14:textId="77777777"/>
          <w:p w:rsidR="004206FC" w:rsidP="006A3270" w:rsidRDefault="004206FC" w14:paraId="3E61227D" w14:textId="77777777">
            <w:r>
              <w:t>Very rare (&lt;1%): bradycardia, bronchospasm, cardiac failure, angioedema, anaphylactoid reaction, fever, jaundice, hepatitis, 2 cases of myopathy have been described in children.</w:t>
            </w:r>
          </w:p>
          <w:p w:rsidRPr="00DC036E" w:rsidR="00D95D8A" w:rsidP="006A3270" w:rsidRDefault="00D95D8A" w14:paraId="371405A7" w14:textId="21FB3D08"/>
        </w:tc>
      </w:tr>
      <w:tr w:rsidRPr="00E25790" w:rsidR="00115F48" w:rsidTr="00A26E96" w14:paraId="4FD05957"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024FE45D" w14:textId="18EF9F10">
            <w:r w:rsidRPr="00E25790">
              <w:t>Supplied as:</w:t>
            </w:r>
          </w:p>
        </w:tc>
        <w:tc>
          <w:tcPr>
            <w:tcW w:w="6621" w:type="dxa"/>
            <w:tcBorders>
              <w:top w:val="single" w:color="auto" w:sz="6" w:space="0"/>
              <w:bottom w:val="single" w:color="auto" w:sz="6" w:space="0"/>
              <w:right w:val="single" w:color="auto" w:sz="6" w:space="0"/>
            </w:tcBorders>
          </w:tcPr>
          <w:p w:rsidR="00BC5AD1" w:rsidP="00BC5AD1" w:rsidRDefault="00BC5AD1" w14:paraId="33E8E973" w14:textId="3BB5D698"/>
          <w:p w:rsidRPr="00BC5AD1" w:rsidR="00BC5AD1" w:rsidP="00BC5AD1" w:rsidRDefault="00BC5AD1" w14:paraId="7939F895" w14:textId="4F776EF7">
            <w:r w:rsidRPr="00BC5AD1">
              <w:t>1)Oral tablets: 100 mg and 200 mg.</w:t>
            </w:r>
          </w:p>
          <w:p w:rsidRPr="00E25790" w:rsidR="00BC5AD1" w:rsidP="00BC5AD1" w:rsidRDefault="00BC5AD1" w14:paraId="4DF875E9" w14:textId="40026C42">
            <w:r w:rsidRPr="00BC5AD1">
              <w:t>2)Intravenous solution: ampoule contains 5mg/ml</w:t>
            </w:r>
          </w:p>
        </w:tc>
      </w:tr>
      <w:tr w:rsidRPr="00E25790" w:rsidR="00115F48" w:rsidTr="00A26E96" w14:paraId="592B7930" w14:textId="77777777">
        <w:trPr>
          <w:cantSplit/>
          <w:trHeight w:val="417"/>
        </w:trPr>
        <w:tc>
          <w:tcPr>
            <w:tcW w:w="2443" w:type="dxa"/>
            <w:tcBorders>
              <w:top w:val="single" w:color="auto" w:sz="6" w:space="0"/>
              <w:left w:val="single" w:color="auto" w:sz="6" w:space="0"/>
              <w:bottom w:val="single" w:color="auto" w:sz="6" w:space="0"/>
            </w:tcBorders>
          </w:tcPr>
          <w:p w:rsidRPr="00E25790" w:rsidR="00115F48" w:rsidP="006F0321" w:rsidRDefault="00115F48" w14:paraId="07004C74" w14:textId="49F65E62">
            <w:r w:rsidRPr="00E25790">
              <w:t>Dilution:</w:t>
            </w:r>
          </w:p>
        </w:tc>
        <w:tc>
          <w:tcPr>
            <w:tcW w:w="6621" w:type="dxa"/>
            <w:tcBorders>
              <w:top w:val="single" w:color="auto" w:sz="6" w:space="0"/>
              <w:bottom w:val="single" w:color="auto" w:sz="6" w:space="0"/>
              <w:right w:val="single" w:color="auto" w:sz="6" w:space="0"/>
            </w:tcBorders>
          </w:tcPr>
          <w:p w:rsidR="00115F48" w:rsidP="006F0321" w:rsidRDefault="00115F48" w14:paraId="36ACC584" w14:textId="0B8FB54A"/>
          <w:p w:rsidRPr="00AF4B73" w:rsidR="00AF4B73" w:rsidP="00AF4B73" w:rsidRDefault="00AF4B73" w14:paraId="3E02D316" w14:textId="77777777">
            <w:r w:rsidRPr="00AF4B73">
              <w:t>1)Oral: Pharmacy will prepare oral doses.</w:t>
            </w:r>
          </w:p>
          <w:p w:rsidRPr="00AF4B73" w:rsidR="00AF4B73" w:rsidP="00AF4B73" w:rsidRDefault="00AF4B73" w14:paraId="0D68DA79" w14:textId="77777777"/>
          <w:p w:rsidRPr="00AF4B73" w:rsidR="00AF4B73" w:rsidP="00AF4B73" w:rsidRDefault="00AF4B73" w14:paraId="0A920184" w14:textId="77777777">
            <w:r w:rsidRPr="00AF4B73">
              <w:t xml:space="preserve">2)Infusion: </w:t>
            </w:r>
          </w:p>
          <w:p w:rsidR="00AF4B73" w:rsidP="00AF4B73" w:rsidRDefault="00AF4B73" w14:paraId="2A97F0BD" w14:textId="652E0BE7">
            <w:bookmarkStart w:name="_Hlk58230514" w:id="355"/>
            <w:r w:rsidRPr="00AF4B73">
              <w:t xml:space="preserve">Draw up </w:t>
            </w:r>
            <w:r w:rsidR="0042706A">
              <w:t>25</w:t>
            </w:r>
            <w:r w:rsidRPr="00AF4B73">
              <w:t xml:space="preserve"> mg/Kg (</w:t>
            </w:r>
            <w:r w:rsidR="0042706A">
              <w:t xml:space="preserve">5 </w:t>
            </w:r>
            <w:r w:rsidRPr="00AF4B73">
              <w:t>ml/kg of the 5mg/ml solution) with Dextrose 5% or Normal Saline to make a 50ml solution. Infusion at a rate of 1ml/hour is equivalent to 0.</w:t>
            </w:r>
            <w:r w:rsidR="0042706A">
              <w:t>5</w:t>
            </w:r>
            <w:r w:rsidRPr="00AF4B73">
              <w:t xml:space="preserve"> mg/kg/hr).</w:t>
            </w:r>
            <w:bookmarkEnd w:id="355"/>
          </w:p>
          <w:p w:rsidRPr="00E25790" w:rsidR="00D95D8A" w:rsidP="00AF4B73" w:rsidRDefault="00D95D8A" w14:paraId="3181BC8F" w14:textId="6D13C5CB"/>
        </w:tc>
      </w:tr>
      <w:tr w:rsidRPr="00E25790" w:rsidR="00115F48" w:rsidTr="00A26E96" w14:paraId="5427B6B6" w14:textId="77777777">
        <w:trPr>
          <w:cantSplit/>
          <w:trHeight w:val="395"/>
        </w:trPr>
        <w:tc>
          <w:tcPr>
            <w:tcW w:w="2443" w:type="dxa"/>
            <w:tcBorders>
              <w:top w:val="single" w:color="auto" w:sz="6" w:space="0"/>
              <w:left w:val="single" w:color="auto" w:sz="6" w:space="0"/>
              <w:bottom w:val="single" w:color="auto" w:sz="6" w:space="0"/>
            </w:tcBorders>
          </w:tcPr>
          <w:p w:rsidRPr="00E25790" w:rsidR="00115F48" w:rsidP="006F0321" w:rsidRDefault="00115F48" w14:paraId="73D50BF6" w14:textId="3D6E8654"/>
        </w:tc>
        <w:tc>
          <w:tcPr>
            <w:tcW w:w="6621" w:type="dxa"/>
            <w:tcBorders>
              <w:top w:val="single" w:color="auto" w:sz="6" w:space="0"/>
              <w:bottom w:val="single" w:color="auto" w:sz="6" w:space="0"/>
              <w:right w:val="single" w:color="auto" w:sz="6" w:space="0"/>
            </w:tcBorders>
          </w:tcPr>
          <w:p w:rsidRPr="00E25790" w:rsidR="00115F48" w:rsidP="006F0321" w:rsidRDefault="00115F48" w14:paraId="4F38E14A" w14:textId="77777777"/>
        </w:tc>
      </w:tr>
      <w:tr w:rsidRPr="00E25790" w:rsidR="00115F48" w:rsidTr="00A26E96" w14:paraId="61ECC08B" w14:textId="77777777">
        <w:trPr>
          <w:cantSplit/>
          <w:trHeight w:val="345"/>
        </w:trPr>
        <w:tc>
          <w:tcPr>
            <w:tcW w:w="2443" w:type="dxa"/>
            <w:tcBorders>
              <w:top w:val="single" w:color="auto" w:sz="6" w:space="0"/>
              <w:left w:val="single" w:color="auto" w:sz="6" w:space="0"/>
              <w:bottom w:val="single" w:color="auto" w:sz="6" w:space="0"/>
            </w:tcBorders>
          </w:tcPr>
          <w:p w:rsidRPr="00E25790" w:rsidR="00115F48" w:rsidP="006F0321" w:rsidRDefault="00115F48" w14:paraId="1299545D" w14:textId="542420AD">
            <w:r w:rsidRPr="00E25790">
              <w:t>Storage</w:t>
            </w:r>
            <w:r w:rsidR="00AF4B73">
              <w:t>/Stability</w:t>
            </w:r>
            <w:r w:rsidRPr="00E25790">
              <w:t>:</w:t>
            </w:r>
          </w:p>
        </w:tc>
        <w:tc>
          <w:tcPr>
            <w:tcW w:w="6621" w:type="dxa"/>
            <w:tcBorders>
              <w:top w:val="single" w:color="auto" w:sz="6" w:space="0"/>
              <w:bottom w:val="single" w:color="auto" w:sz="6" w:space="0"/>
              <w:right w:val="single" w:color="auto" w:sz="6" w:space="0"/>
            </w:tcBorders>
          </w:tcPr>
          <w:p w:rsidR="00921B33" w:rsidP="00921B33" w:rsidRDefault="00921B33" w14:paraId="36B0A8B2" w14:textId="090676BA"/>
          <w:p w:rsidRPr="00921B33" w:rsidR="00921B33" w:rsidP="00921B33" w:rsidRDefault="00921B33" w14:paraId="7BBA1949" w14:textId="7070E93C">
            <w:r w:rsidRPr="00921B33">
              <w:t>1)Tablets: store between 2</w:t>
            </w:r>
            <w:r w:rsidRPr="00921B33">
              <w:rPr>
                <w:rFonts w:cs="Calibri"/>
              </w:rPr>
              <w:t>°</w:t>
            </w:r>
            <w:r w:rsidRPr="00921B33">
              <w:t>C and 30</w:t>
            </w:r>
            <w:r w:rsidRPr="00921B33">
              <w:rPr>
                <w:rFonts w:cs="Calibri"/>
              </w:rPr>
              <w:t>°</w:t>
            </w:r>
            <w:r w:rsidRPr="00921B33">
              <w:t xml:space="preserve">C. Protect from light and moisture. </w:t>
            </w:r>
          </w:p>
          <w:p w:rsidR="00921B33" w:rsidP="00921B33" w:rsidRDefault="00921B33" w14:paraId="60CE8010" w14:textId="77777777">
            <w:r w:rsidRPr="00921B33">
              <w:t>2)Injectable: Store between 20</w:t>
            </w:r>
            <w:r w:rsidRPr="00921B33">
              <w:rPr>
                <w:rFonts w:cs="Calibri"/>
              </w:rPr>
              <w:t>°</w:t>
            </w:r>
            <w:r w:rsidRPr="00921B33">
              <w:t>C and 25</w:t>
            </w:r>
            <w:r w:rsidRPr="00921B33">
              <w:rPr>
                <w:rFonts w:cs="Calibri"/>
              </w:rPr>
              <w:t>°</w:t>
            </w:r>
            <w:r w:rsidRPr="00921B33">
              <w:t>C. Do not freeze. Protect from light.</w:t>
            </w:r>
          </w:p>
          <w:p w:rsidRPr="00E25790" w:rsidR="00D95D8A" w:rsidP="00921B33" w:rsidRDefault="00D95D8A" w14:paraId="1F462B02" w14:textId="3E370BDA"/>
        </w:tc>
      </w:tr>
      <w:tr w:rsidRPr="00E25790" w:rsidR="00115F48" w:rsidTr="00A26E96" w14:paraId="7FB061D8" w14:textId="77777777">
        <w:trPr>
          <w:cantSplit/>
          <w:trHeight w:val="266"/>
        </w:trPr>
        <w:tc>
          <w:tcPr>
            <w:tcW w:w="2443" w:type="dxa"/>
            <w:tcBorders>
              <w:top w:val="single" w:color="auto" w:sz="6" w:space="0"/>
              <w:left w:val="single" w:color="auto" w:sz="6" w:space="0"/>
              <w:bottom w:val="single" w:color="auto" w:sz="6" w:space="0"/>
            </w:tcBorders>
          </w:tcPr>
          <w:p w:rsidRPr="00E25790" w:rsidR="00115F48" w:rsidP="006F0321" w:rsidRDefault="00115F48" w14:paraId="52A38603" w14:textId="580563EF">
            <w:r w:rsidRPr="00E25790">
              <w:t>Incompatibility</w:t>
            </w:r>
            <w:r w:rsidR="00921B33">
              <w:t xml:space="preserve"> (IV solution)</w:t>
            </w:r>
            <w:r w:rsidRPr="00E25790">
              <w:t>:</w:t>
            </w:r>
          </w:p>
        </w:tc>
        <w:tc>
          <w:tcPr>
            <w:tcW w:w="6621" w:type="dxa"/>
            <w:tcBorders>
              <w:top w:val="single" w:color="auto" w:sz="6" w:space="0"/>
              <w:bottom w:val="single" w:color="auto" w:sz="6" w:space="0"/>
              <w:right w:val="single" w:color="auto" w:sz="6" w:space="0"/>
            </w:tcBorders>
          </w:tcPr>
          <w:p w:rsidRPr="00E25790" w:rsidR="00115F48" w:rsidP="006F0321" w:rsidRDefault="004C23C2" w14:paraId="6659020C" w14:textId="2582D734">
            <w:r>
              <w:t>Sodium Bicarbonate, Albumin, Aciclovir, Benzylpenicillin, Cefotaxime, Ceftriaxone, Dexamethasone, Furosemide, Heparin Sodium, Hydrocortisone, Ibuprofen, Insulin (Actrapid), Piperacillin-Tazobactam.</w:t>
            </w:r>
          </w:p>
        </w:tc>
      </w:tr>
      <w:tr w:rsidRPr="00E25790" w:rsidR="004C23C2" w:rsidTr="00A26E96" w14:paraId="425A6FA9" w14:textId="77777777">
        <w:trPr>
          <w:cantSplit/>
          <w:trHeight w:val="266"/>
        </w:trPr>
        <w:tc>
          <w:tcPr>
            <w:tcW w:w="2443" w:type="dxa"/>
            <w:tcBorders>
              <w:top w:val="single" w:color="auto" w:sz="6" w:space="0"/>
              <w:left w:val="single" w:color="auto" w:sz="6" w:space="0"/>
              <w:bottom w:val="single" w:color="auto" w:sz="6" w:space="0"/>
            </w:tcBorders>
          </w:tcPr>
          <w:p w:rsidRPr="00E25790" w:rsidR="004C23C2" w:rsidP="006F0321" w:rsidRDefault="005C7600" w14:paraId="3F2621CB" w14:textId="77FD7D3C">
            <w:r>
              <w:lastRenderedPageBreak/>
              <w:t>Compability (IV solution)</w:t>
            </w:r>
          </w:p>
        </w:tc>
        <w:tc>
          <w:tcPr>
            <w:tcW w:w="6621" w:type="dxa"/>
            <w:tcBorders>
              <w:top w:val="single" w:color="auto" w:sz="6" w:space="0"/>
              <w:bottom w:val="single" w:color="auto" w:sz="6" w:space="0"/>
              <w:right w:val="single" w:color="auto" w:sz="6" w:space="0"/>
            </w:tcBorders>
          </w:tcPr>
          <w:p w:rsidR="004C23C2" w:rsidP="006F0321" w:rsidRDefault="005C7600" w14:paraId="34EB4FA0" w14:textId="3D0BD40E">
            <w:r>
              <w:t>Glucose 5%, Normal Saline, Amikacin, Ampicillin, Calcium chloride/gluconate, Ceftazidime, Dexmedetomidine, Dobutamine, Dopamine, Fentanyl, Ganciclovir, Gentamicin, Insulin (Novorapid), Magnesium Sulfate, Metronidazole, Midazolam, Morphine, Noradrenaline, Potassium Chloride, Ranitidine, Trimethprim-sulfamethoxazole, Vancomycin</w:t>
            </w:r>
          </w:p>
        </w:tc>
      </w:tr>
      <w:tr w:rsidRPr="00E25790" w:rsidR="00115F48" w:rsidTr="00A26E96" w14:paraId="165ED90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CA6935B" w14:textId="77777777">
            <w:r w:rsidRPr="00E25790">
              <w:t>Serum Levels :</w:t>
            </w:r>
          </w:p>
        </w:tc>
        <w:tc>
          <w:tcPr>
            <w:tcW w:w="6621" w:type="dxa"/>
            <w:tcBorders>
              <w:top w:val="single" w:color="auto" w:sz="6" w:space="0"/>
              <w:bottom w:val="single" w:color="auto" w:sz="6" w:space="0"/>
              <w:right w:val="single" w:color="auto" w:sz="6" w:space="0"/>
            </w:tcBorders>
          </w:tcPr>
          <w:p w:rsidRPr="00E25790" w:rsidR="00115F48" w:rsidP="006F0321" w:rsidRDefault="00115F48" w14:paraId="0D6FD584" w14:textId="77777777"/>
        </w:tc>
      </w:tr>
      <w:tr w:rsidRPr="00E25790" w:rsidR="005C7600" w:rsidTr="00A26E96" w14:paraId="138A2D9E" w14:textId="77777777">
        <w:trPr>
          <w:cantSplit/>
          <w:trHeight w:val="480"/>
        </w:trPr>
        <w:tc>
          <w:tcPr>
            <w:tcW w:w="2443" w:type="dxa"/>
            <w:tcBorders>
              <w:top w:val="single" w:color="auto" w:sz="6" w:space="0"/>
              <w:left w:val="single" w:color="auto" w:sz="6" w:space="0"/>
              <w:bottom w:val="single" w:color="auto" w:sz="6" w:space="0"/>
            </w:tcBorders>
          </w:tcPr>
          <w:p w:rsidRPr="00E25790" w:rsidR="005C7600" w:rsidP="006F0321" w:rsidRDefault="00FA033A" w14:paraId="769C2414" w14:textId="03F32DAA">
            <w:r>
              <w:t>References:</w:t>
            </w:r>
          </w:p>
        </w:tc>
        <w:tc>
          <w:tcPr>
            <w:tcW w:w="6621" w:type="dxa"/>
            <w:tcBorders>
              <w:top w:val="single" w:color="auto" w:sz="6" w:space="0"/>
              <w:bottom w:val="single" w:color="auto" w:sz="6" w:space="0"/>
              <w:right w:val="single" w:color="auto" w:sz="6" w:space="0"/>
            </w:tcBorders>
          </w:tcPr>
          <w:p w:rsidRPr="00FA033A" w:rsidR="00FA033A" w:rsidP="00FA033A" w:rsidRDefault="00FA033A" w14:paraId="6FE19780" w14:textId="77777777">
            <w:r w:rsidRPr="00FA033A">
              <w:t>Uptodate 2020.</w:t>
            </w:r>
          </w:p>
          <w:p w:rsidRPr="00FA033A" w:rsidR="00FA033A" w:rsidP="00FA033A" w:rsidRDefault="00FA033A" w14:paraId="3C7DFDA4" w14:textId="77777777">
            <w:r w:rsidRPr="00FA033A">
              <w:t>Drug Doses. Frank Shann, 17</w:t>
            </w:r>
            <w:r w:rsidRPr="00FA033A">
              <w:rPr>
                <w:vertAlign w:val="superscript"/>
              </w:rPr>
              <w:t>th</w:t>
            </w:r>
            <w:r w:rsidRPr="00FA033A">
              <w:t xml:space="preserve"> Edition, 2017.</w:t>
            </w:r>
          </w:p>
          <w:p w:rsidRPr="00FA033A" w:rsidR="00FA033A" w:rsidP="00FA033A" w:rsidRDefault="00FA033A" w14:paraId="48785BF6" w14:textId="77777777">
            <w:r w:rsidRPr="00FA033A">
              <w:t>Australian Injectable Drugs Handbook, 8th Edition.</w:t>
            </w:r>
          </w:p>
          <w:p w:rsidRPr="00FA033A" w:rsidR="00FA033A" w:rsidP="00FA033A" w:rsidRDefault="00FA033A" w14:paraId="4C6CCEF9" w14:textId="77777777">
            <w:r w:rsidRPr="00FA033A">
              <w:t>Therapy of Acute Hypertension in Hospitalized Children and Adolescents. Curr Hypertens Rep. 2014 Ap; 16 (4): 425</w:t>
            </w:r>
          </w:p>
          <w:p w:rsidRPr="00FA033A" w:rsidR="00FA033A" w:rsidP="00FA033A" w:rsidRDefault="00FA033A" w14:paraId="054D01CC" w14:textId="77777777">
            <w:r w:rsidRPr="00FA033A">
              <w:t>Management of Severe Hypertension in the Newborn. Arch Dis Child 2017; 102: 1176-1179.</w:t>
            </w:r>
          </w:p>
          <w:p w:rsidRPr="00FA033A" w:rsidR="00FA033A" w:rsidP="00FA033A" w:rsidRDefault="00FA033A" w14:paraId="764AB2B1" w14:textId="77777777">
            <w:r w:rsidRPr="00FA033A">
              <w:t>Neonatal Hypertension. Neoreviews; Vol 18; Number 6; June 2017.</w:t>
            </w:r>
          </w:p>
          <w:p w:rsidRPr="00E25790" w:rsidR="005C7600" w:rsidP="006F0321" w:rsidRDefault="005C7600" w14:paraId="5F21175D" w14:textId="77777777"/>
        </w:tc>
      </w:tr>
    </w:tbl>
    <w:p w:rsidR="00115F48" w:rsidP="006F0321" w:rsidRDefault="00115F48" w14:paraId="4FB9DF74"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0431B" w:rsidTr="00F028F7" w14:paraId="03594F05" w14:textId="77777777">
        <w:tc>
          <w:tcPr>
            <w:tcW w:w="4535" w:type="dxa"/>
            <w:vAlign w:val="center"/>
          </w:tcPr>
          <w:p w:rsidRPr="00E25790" w:rsidR="00C83600" w:rsidP="009E664B" w:rsidRDefault="00C83600" w14:paraId="53778028" w14:textId="5954EEEC">
            <w:r w:rsidRPr="00E25790">
              <w:t xml:space="preserve">Original version Date: </w:t>
            </w:r>
            <w:r>
              <w:t>9/1/2014</w:t>
            </w:r>
          </w:p>
        </w:tc>
        <w:tc>
          <w:tcPr>
            <w:tcW w:w="4535" w:type="dxa"/>
            <w:vAlign w:val="center"/>
          </w:tcPr>
          <w:p w:rsidRPr="00E25790" w:rsidR="00C83600" w:rsidP="009E664B" w:rsidRDefault="00C83600" w14:paraId="2A7C7320" w14:textId="6AFEBA2F">
            <w:r w:rsidRPr="00E25790">
              <w:t xml:space="preserve">Author: </w:t>
            </w:r>
            <w:r>
              <w:t>AK, JD</w:t>
            </w:r>
          </w:p>
        </w:tc>
      </w:tr>
      <w:tr w:rsidRPr="00E25790" w:rsidR="0020431B" w:rsidTr="00F028F7" w14:paraId="2D97323D" w14:textId="77777777">
        <w:tc>
          <w:tcPr>
            <w:tcW w:w="4535" w:type="dxa"/>
            <w:vAlign w:val="center"/>
          </w:tcPr>
          <w:p w:rsidRPr="00E25790" w:rsidR="00C83600" w:rsidP="009E664B" w:rsidRDefault="00C83600" w14:paraId="143935BB" w14:textId="42593E48">
            <w:pPr>
              <w:rPr>
                <w:bCs/>
              </w:rPr>
            </w:pPr>
            <w:r w:rsidRPr="00E25790">
              <w:t xml:space="preserve">Current Version number:  </w:t>
            </w:r>
            <w:r>
              <w:t>2</w:t>
            </w:r>
          </w:p>
        </w:tc>
        <w:tc>
          <w:tcPr>
            <w:tcW w:w="4535" w:type="dxa"/>
            <w:vAlign w:val="center"/>
          </w:tcPr>
          <w:p w:rsidRPr="00E25790" w:rsidR="00C83600" w:rsidP="009E664B" w:rsidRDefault="00C83600" w14:paraId="71CF0246" w14:textId="19A3638C">
            <w:r w:rsidRPr="00E25790">
              <w:t xml:space="preserve">Version Date:  </w:t>
            </w:r>
            <w:r>
              <w:t>7/12/2020</w:t>
            </w:r>
          </w:p>
        </w:tc>
      </w:tr>
      <w:tr w:rsidRPr="00E25790" w:rsidR="0020431B" w:rsidTr="00F028F7" w14:paraId="50EDBD0E" w14:textId="77777777">
        <w:tc>
          <w:tcPr>
            <w:tcW w:w="4535" w:type="dxa"/>
            <w:vAlign w:val="center"/>
          </w:tcPr>
          <w:p w:rsidRPr="00E25790" w:rsidR="00C83600" w:rsidP="009E664B" w:rsidRDefault="00C83600" w14:paraId="1C6F1CEA" w14:textId="41C1671C">
            <w:r w:rsidRPr="00E25790">
              <w:t xml:space="preserve">Risk Rating: </w:t>
            </w:r>
            <w:r w:rsidR="002F5F63">
              <w:t>Low</w:t>
            </w:r>
          </w:p>
        </w:tc>
        <w:tc>
          <w:tcPr>
            <w:tcW w:w="4535" w:type="dxa"/>
            <w:vAlign w:val="center"/>
          </w:tcPr>
          <w:p w:rsidRPr="00E25790" w:rsidR="00C83600" w:rsidP="009E664B" w:rsidRDefault="00C83600" w14:paraId="6DB4ECCF" w14:textId="6610A1DB">
            <w:r w:rsidRPr="00E25790">
              <w:t xml:space="preserve">Due for Review:  </w:t>
            </w:r>
            <w:r>
              <w:t>7/12/2025</w:t>
            </w:r>
          </w:p>
        </w:tc>
      </w:tr>
      <w:tr w:rsidRPr="00E25790" w:rsidR="0020431B" w:rsidTr="00F028F7" w14:paraId="14CBB8BF" w14:textId="77777777">
        <w:trPr>
          <w:trHeight w:val="344"/>
        </w:trPr>
        <w:tc>
          <w:tcPr>
            <w:tcW w:w="4535" w:type="dxa"/>
            <w:tcBorders>
              <w:bottom w:val="single" w:color="auto" w:sz="4" w:space="0"/>
            </w:tcBorders>
            <w:vAlign w:val="center"/>
          </w:tcPr>
          <w:p w:rsidRPr="00E25790" w:rsidR="00C83600" w:rsidP="009E664B" w:rsidRDefault="00C83600" w14:paraId="4B7AA5AA" w14:textId="77777777">
            <w:r w:rsidRPr="00E25790">
              <w:t>Approved by: DTC</w:t>
            </w:r>
          </w:p>
        </w:tc>
        <w:tc>
          <w:tcPr>
            <w:tcW w:w="4535" w:type="dxa"/>
            <w:tcBorders>
              <w:bottom w:val="single" w:color="auto" w:sz="4" w:space="0"/>
            </w:tcBorders>
            <w:vAlign w:val="center"/>
          </w:tcPr>
          <w:p w:rsidRPr="00E25790" w:rsidR="00C83600" w:rsidP="009E664B" w:rsidRDefault="00C83600" w14:paraId="3B3253F5" w14:textId="4B023F4A">
            <w:r w:rsidRPr="00E25790">
              <w:t xml:space="preserve">Approval Date: </w:t>
            </w:r>
            <w:r w:rsidR="00260BC8">
              <w:t>APRIL 2021</w:t>
            </w:r>
          </w:p>
        </w:tc>
      </w:tr>
    </w:tbl>
    <w:p w:rsidR="00A95DCE" w:rsidP="006F0321" w:rsidRDefault="00A95DCE" w14:paraId="28BE382A" w14:textId="77777777"/>
    <w:p w:rsidR="00A95DCE" w:rsidP="006F0321" w:rsidRDefault="00A95DCE" w14:paraId="247D60A0" w14:textId="77777777"/>
    <w:p w:rsidR="00A95DCE" w:rsidP="006F0321" w:rsidRDefault="00A95DCE" w14:paraId="78F0AAE5" w14:textId="77777777"/>
    <w:p w:rsidR="00A95DCE" w:rsidP="006F0321" w:rsidRDefault="00A95DCE" w14:paraId="43D90C0D" w14:textId="77777777"/>
    <w:p w:rsidR="00A95DCE" w:rsidP="006F0321" w:rsidRDefault="00A95DCE" w14:paraId="78B0281C" w14:textId="77777777"/>
    <w:p w:rsidR="00A95DCE" w:rsidP="006F0321" w:rsidRDefault="00A95DCE" w14:paraId="18FFAEC3" w14:textId="77777777"/>
    <w:p w:rsidR="00A95DCE" w:rsidP="006F0321" w:rsidRDefault="00A95DCE" w14:paraId="23E03A98" w14:textId="77777777"/>
    <w:p w:rsidR="00A95DCE" w:rsidP="006F0321" w:rsidRDefault="00A95DCE" w14:paraId="6C34A532" w14:textId="77777777"/>
    <w:p w:rsidR="00A95DCE" w:rsidP="006F0321" w:rsidRDefault="00A95DCE" w14:paraId="3AB2500C" w14:textId="77777777"/>
    <w:p w:rsidR="00A95DCE" w:rsidP="006F0321" w:rsidRDefault="00A95DCE" w14:paraId="65B5B0F4" w14:textId="77777777"/>
    <w:p w:rsidR="00A95DCE" w:rsidP="006F0321" w:rsidRDefault="00A95DCE" w14:paraId="06525D41" w14:textId="77777777"/>
    <w:p w:rsidR="00A95DCE" w:rsidP="006F0321" w:rsidRDefault="00A95DCE" w14:paraId="20D04D93" w14:textId="77777777"/>
    <w:p w:rsidR="00A95DCE" w:rsidP="006F0321" w:rsidRDefault="00A95DCE" w14:paraId="723CB466" w14:textId="77777777"/>
    <w:p w:rsidR="00A95DCE" w:rsidP="006F0321" w:rsidRDefault="00A95DCE" w14:paraId="1DE1AF82" w14:textId="77777777"/>
    <w:p w:rsidR="00A95DCE" w:rsidP="006F0321" w:rsidRDefault="00A95DCE" w14:paraId="7616CAD7" w14:textId="77777777"/>
    <w:p w:rsidR="00C83600" w:rsidP="006F0321" w:rsidRDefault="00C83600" w14:paraId="0F775953" w14:textId="77777777"/>
    <w:p w:rsidR="00C83600" w:rsidP="006F0321" w:rsidRDefault="00C83600" w14:paraId="558F596B" w14:textId="77777777"/>
    <w:p w:rsidR="00C83600" w:rsidP="006F0321" w:rsidRDefault="00C83600" w14:paraId="2B4566D2" w14:textId="77777777"/>
    <w:p w:rsidR="00C83600" w:rsidP="006F0321" w:rsidRDefault="00C83600" w14:paraId="5B14C6D6" w14:textId="77777777"/>
    <w:p w:rsidR="00C83600" w:rsidP="006F0321" w:rsidRDefault="00C83600" w14:paraId="3A04AD18" w14:textId="77777777"/>
    <w:p w:rsidR="00C83600" w:rsidP="006F0321" w:rsidRDefault="00C83600" w14:paraId="73221900" w14:textId="77777777"/>
    <w:p w:rsidR="00C83600" w:rsidP="006F0321" w:rsidRDefault="00C83600" w14:paraId="1578841B" w14:textId="77777777"/>
    <w:tbl>
      <w:tblPr>
        <w:tblW w:w="9049" w:type="dxa"/>
        <w:tblLayout w:type="fixed"/>
        <w:tblLook w:val="0000" w:firstRow="0" w:lastRow="0" w:firstColumn="0" w:lastColumn="0" w:noHBand="0" w:noVBand="0"/>
      </w:tblPr>
      <w:tblGrid>
        <w:gridCol w:w="4153"/>
        <w:gridCol w:w="4896"/>
      </w:tblGrid>
      <w:tr w:rsidRPr="00E25790" w:rsidR="000938B2" w:rsidTr="00A26E96" w14:paraId="644B683E"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0938B2" w:rsidP="009469DB" w:rsidRDefault="000938B2" w14:paraId="4FA411CB" w14:textId="77777777">
            <w:pPr>
              <w:pStyle w:val="Heading1"/>
            </w:pPr>
            <w:bookmarkStart w:name="_Toc38106875" w:id="356"/>
            <w:bookmarkStart w:name="_Toc75339999" w:id="357"/>
            <w:r w:rsidRPr="00E25790">
              <w:lastRenderedPageBreak/>
              <w:t>Levetiracetam (Keppra)</w:t>
            </w:r>
            <w:bookmarkEnd w:id="356"/>
            <w:bookmarkEnd w:id="357"/>
            <w:r w:rsidRPr="00E25790">
              <w:fldChar w:fldCharType="begin"/>
            </w:r>
            <w:r w:rsidRPr="00E25790">
              <w:instrText>tc "Surfactant" \l 0</w:instrText>
            </w:r>
            <w:r w:rsidRPr="00E25790">
              <w:fldChar w:fldCharType="end"/>
            </w:r>
          </w:p>
        </w:tc>
      </w:tr>
      <w:tr w:rsidRPr="00E25790" w:rsidR="000938B2" w:rsidTr="00A26E96" w14:paraId="6FAA6C8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0938B2" w:rsidP="006F0321" w:rsidRDefault="000938B2" w14:paraId="3BEB0803" w14:textId="3B2A5A11">
            <w:r w:rsidRPr="00E25790">
              <w:t>Revision Date</w:t>
            </w:r>
            <w:r w:rsidRPr="00E25790">
              <w:rPr>
                <w:b/>
              </w:rPr>
              <w:t xml:space="preserve"> : </w:t>
            </w:r>
            <w:r w:rsidR="00584E42">
              <w:rPr>
                <w:b/>
              </w:rPr>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0938B2" w:rsidP="006F0321" w:rsidRDefault="000938B2" w14:paraId="429F2DBC" w14:textId="77777777">
            <w:r w:rsidRPr="00E25790">
              <w:t xml:space="preserve">Approved: </w:t>
            </w:r>
            <w:r w:rsidRPr="00E25790" w:rsidR="001571DC">
              <w:t>TC, KOH</w:t>
            </w:r>
          </w:p>
        </w:tc>
      </w:tr>
    </w:tbl>
    <w:p w:rsidRPr="00E25790" w:rsidR="000938B2" w:rsidP="006F0321" w:rsidRDefault="000938B2" w14:paraId="78131C3C" w14:textId="77777777"/>
    <w:tbl>
      <w:tblPr>
        <w:tblW w:w="10632"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930"/>
      </w:tblGrid>
      <w:tr w:rsidRPr="00026F20" w:rsidR="00642615" w:rsidTr="008074AA" w14:paraId="4BF1B961" w14:textId="77777777">
        <w:trPr>
          <w:trHeight w:val="70"/>
        </w:trPr>
        <w:tc>
          <w:tcPr>
            <w:tcW w:w="1702" w:type="dxa"/>
          </w:tcPr>
          <w:p w:rsidRPr="00B53E9B" w:rsidR="00642615" w:rsidP="00131848" w:rsidRDefault="00642615" w14:paraId="26066A50"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8930" w:type="dxa"/>
          </w:tcPr>
          <w:p w:rsidRPr="00026F20" w:rsidR="00642615" w:rsidP="00131848" w:rsidRDefault="00642615" w14:paraId="5F293C0D" w14:textId="77777777">
            <w:pPr>
              <w:pStyle w:val="BodyText"/>
              <w:rPr>
                <w:rFonts w:cs="Arial"/>
                <w:sz w:val="20"/>
                <w:lang w:val="en-AU"/>
              </w:rPr>
            </w:pPr>
          </w:p>
        </w:tc>
      </w:tr>
      <w:tr w:rsidRPr="009E29E6" w:rsidR="00642615" w:rsidTr="008074AA" w14:paraId="3456EF3A" w14:textId="77777777">
        <w:trPr>
          <w:trHeight w:val="72"/>
        </w:trPr>
        <w:tc>
          <w:tcPr>
            <w:tcW w:w="1702" w:type="dxa"/>
          </w:tcPr>
          <w:p w:rsidRPr="00B53E9B" w:rsidR="00642615" w:rsidP="00131848" w:rsidRDefault="00642615" w14:paraId="1361A558" w14:textId="77777777">
            <w:pPr>
              <w:pStyle w:val="BodyText"/>
              <w:rPr>
                <w:rFonts w:cs="Arial"/>
                <w:sz w:val="20"/>
                <w:lang w:val="en-AU"/>
              </w:rPr>
            </w:pPr>
            <w:r w:rsidRPr="00B53E9B">
              <w:rPr>
                <w:rFonts w:cs="Arial"/>
                <w:b/>
                <w:bCs/>
                <w:sz w:val="20"/>
                <w:lang w:val="en-AU"/>
              </w:rPr>
              <w:t>Indication</w:t>
            </w:r>
          </w:p>
        </w:tc>
        <w:tc>
          <w:tcPr>
            <w:tcW w:w="8930" w:type="dxa"/>
          </w:tcPr>
          <w:p w:rsidRPr="009E29E6" w:rsidR="00642615" w:rsidP="00131848" w:rsidRDefault="00642615" w14:paraId="2410D20C" w14:textId="77777777">
            <w:pPr>
              <w:rPr>
                <w:rFonts w:asciiTheme="minorHAnsi" w:hAnsiTheme="minorHAnsi"/>
                <w:sz w:val="20"/>
              </w:rPr>
            </w:pPr>
            <w:r>
              <w:rPr>
                <w:rFonts w:asciiTheme="minorHAnsi" w:hAnsiTheme="minorHAnsi"/>
                <w:sz w:val="20"/>
              </w:rPr>
              <w:t>Treatment of n</w:t>
            </w:r>
            <w:r w:rsidRPr="00F12CE6">
              <w:rPr>
                <w:rFonts w:asciiTheme="minorHAnsi" w:hAnsiTheme="minorHAnsi"/>
                <w:sz w:val="20"/>
              </w:rPr>
              <w:t>eonatal seizures</w:t>
            </w:r>
          </w:p>
        </w:tc>
      </w:tr>
      <w:tr w:rsidRPr="00A4414D" w:rsidR="00642615" w:rsidTr="008074AA" w14:paraId="7AB0B1F5" w14:textId="77777777">
        <w:trPr>
          <w:trHeight w:val="70"/>
        </w:trPr>
        <w:tc>
          <w:tcPr>
            <w:tcW w:w="1702" w:type="dxa"/>
          </w:tcPr>
          <w:p w:rsidRPr="00B53E9B" w:rsidR="00642615" w:rsidP="00131848" w:rsidRDefault="00642615" w14:paraId="062447E2" w14:textId="77777777">
            <w:pPr>
              <w:pStyle w:val="BodyText"/>
              <w:rPr>
                <w:rFonts w:cs="Arial"/>
                <w:b/>
                <w:bCs/>
                <w:sz w:val="20"/>
                <w:lang w:val="en-AU"/>
              </w:rPr>
            </w:pPr>
            <w:r w:rsidRPr="00B53E9B">
              <w:rPr>
                <w:rFonts w:cs="Arial"/>
                <w:b/>
                <w:bCs/>
                <w:sz w:val="20"/>
                <w:lang w:val="en-AU"/>
              </w:rPr>
              <w:t>Action</w:t>
            </w:r>
          </w:p>
        </w:tc>
        <w:tc>
          <w:tcPr>
            <w:tcW w:w="8930" w:type="dxa"/>
          </w:tcPr>
          <w:p w:rsidRPr="00A4414D" w:rsidR="00642615" w:rsidP="00131848" w:rsidRDefault="00642615" w14:paraId="38E66B57" w14:textId="77777777">
            <w:pPr>
              <w:rPr>
                <w:rFonts w:cs="Arial"/>
                <w:sz w:val="20"/>
              </w:rPr>
            </w:pPr>
            <w:r w:rsidRPr="00263985">
              <w:rPr>
                <w:rFonts w:asciiTheme="minorHAnsi" w:hAnsiTheme="minorHAnsi"/>
                <w:sz w:val="20"/>
              </w:rPr>
              <w:t xml:space="preserve">The exact mechanism of action is unclear. </w:t>
            </w:r>
            <w:r>
              <w:rPr>
                <w:rFonts w:asciiTheme="minorHAnsi" w:hAnsiTheme="minorHAnsi"/>
                <w:sz w:val="20"/>
              </w:rPr>
              <w:t xml:space="preserve">It </w:t>
            </w:r>
            <w:r w:rsidRPr="00263985">
              <w:rPr>
                <w:rFonts w:asciiTheme="minorHAnsi" w:hAnsiTheme="minorHAnsi"/>
                <w:sz w:val="20"/>
              </w:rPr>
              <w:t xml:space="preserve">appears to act by modulation of synaptic neurotransmitter release (GABA, </w:t>
            </w:r>
            <w:r w:rsidRPr="00F12CE6">
              <w:rPr>
                <w:rFonts w:asciiTheme="minorHAnsi" w:hAnsiTheme="minorHAnsi"/>
                <w:sz w:val="20"/>
              </w:rPr>
              <w:t>glutamic acid) through binding to the synaptic vesicle glycoprotein 2A and by effects on calcium entry and release pathways in the brain.</w:t>
            </w:r>
          </w:p>
        </w:tc>
      </w:tr>
      <w:tr w:rsidRPr="00026F20" w:rsidR="00642615" w:rsidTr="008074AA" w14:paraId="19F0EAF6" w14:textId="77777777">
        <w:trPr>
          <w:trHeight w:val="266"/>
        </w:trPr>
        <w:tc>
          <w:tcPr>
            <w:tcW w:w="1702" w:type="dxa"/>
          </w:tcPr>
          <w:p w:rsidRPr="00B53E9B" w:rsidR="00642615" w:rsidP="00131848" w:rsidRDefault="00642615" w14:paraId="67A7FD89"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8930" w:type="dxa"/>
          </w:tcPr>
          <w:p w:rsidRPr="00026F20" w:rsidR="00642615" w:rsidP="00131848" w:rsidRDefault="00642615" w14:paraId="32B66296" w14:textId="77777777">
            <w:pPr>
              <w:pStyle w:val="BodyText"/>
              <w:rPr>
                <w:rFonts w:cs="Arial"/>
                <w:sz w:val="20"/>
                <w:lang w:val="en-AU"/>
              </w:rPr>
            </w:pPr>
            <w:r w:rsidRPr="00F12CE6">
              <w:rPr>
                <w:rFonts w:asciiTheme="minorHAnsi" w:hAnsiTheme="minorHAnsi"/>
                <w:sz w:val="20"/>
              </w:rPr>
              <w:t>Anticonvulsant</w:t>
            </w:r>
          </w:p>
        </w:tc>
      </w:tr>
      <w:tr w:rsidRPr="005A1499" w:rsidR="00642615" w:rsidTr="008074AA" w14:paraId="00C5397E" w14:textId="77777777">
        <w:trPr>
          <w:trHeight w:val="114"/>
        </w:trPr>
        <w:tc>
          <w:tcPr>
            <w:tcW w:w="1702" w:type="dxa"/>
          </w:tcPr>
          <w:p w:rsidRPr="00B53E9B" w:rsidR="00642615" w:rsidP="00131848" w:rsidRDefault="00642615" w14:paraId="4A72AA5F"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8930" w:type="dxa"/>
          </w:tcPr>
          <w:p w:rsidRPr="00C113CD" w:rsidR="00642615" w:rsidP="00131848" w:rsidRDefault="00642615" w14:paraId="2BFED189" w14:textId="77777777">
            <w:pPr>
              <w:pStyle w:val="BodyText"/>
              <w:rPr>
                <w:rFonts w:cs="Arial" w:asciiTheme="minorHAnsi" w:hAnsiTheme="minorHAnsi"/>
                <w:sz w:val="20"/>
              </w:rPr>
            </w:pPr>
            <w:r w:rsidRPr="001F170E">
              <w:rPr>
                <w:rFonts w:cs="Arial" w:asciiTheme="minorHAnsi" w:hAnsiTheme="minorHAnsi"/>
                <w:sz w:val="20"/>
              </w:rPr>
              <w:t xml:space="preserve">IV: </w:t>
            </w:r>
            <w:r w:rsidRPr="00C113CD">
              <w:rPr>
                <w:rFonts w:cs="Arial" w:asciiTheme="minorHAnsi" w:hAnsiTheme="minorHAnsi"/>
                <w:sz w:val="20"/>
              </w:rPr>
              <w:t>Hospira Levetiracetam, Levetiracetam</w:t>
            </w:r>
            <w:r>
              <w:rPr>
                <w:rFonts w:cs="Arial" w:asciiTheme="minorHAnsi" w:hAnsiTheme="minorHAnsi"/>
                <w:sz w:val="20"/>
                <w:lang w:val="en-US"/>
              </w:rPr>
              <w:t xml:space="preserve"> </w:t>
            </w:r>
            <w:r w:rsidRPr="00C113CD">
              <w:rPr>
                <w:rFonts w:cs="Arial" w:asciiTheme="minorHAnsi" w:hAnsiTheme="minorHAnsi"/>
                <w:sz w:val="20"/>
              </w:rPr>
              <w:t>APOTEX, Levetiracetam Sandoz, Levetiracetam-AFT</w:t>
            </w:r>
          </w:p>
          <w:p w:rsidRPr="005A1499" w:rsidR="00642615" w:rsidP="00131848" w:rsidRDefault="00642615" w14:paraId="69B93222" w14:textId="77777777">
            <w:pPr>
              <w:pStyle w:val="BodyText"/>
              <w:rPr>
                <w:rFonts w:cs="Arial" w:asciiTheme="minorHAnsi" w:hAnsiTheme="minorHAnsi"/>
                <w:sz w:val="20"/>
                <w:lang w:val="en-US"/>
              </w:rPr>
            </w:pPr>
            <w:r w:rsidRPr="00C113CD">
              <w:rPr>
                <w:rFonts w:cs="Arial" w:asciiTheme="minorHAnsi" w:hAnsiTheme="minorHAnsi"/>
                <w:sz w:val="20"/>
              </w:rPr>
              <w:t>Oral: Keppra, Kerron, Levetiracetam-AFT, APO-Levetiracetam</w:t>
            </w:r>
            <w:r>
              <w:rPr>
                <w:rFonts w:cs="Arial" w:asciiTheme="minorHAnsi" w:hAnsiTheme="minorHAnsi"/>
                <w:sz w:val="20"/>
                <w:lang w:val="en-US"/>
              </w:rPr>
              <w:t>, Levetiracetam GH</w:t>
            </w:r>
          </w:p>
        </w:tc>
      </w:tr>
      <w:tr w:rsidRPr="00026F20" w:rsidR="00642615" w:rsidTr="008074AA" w14:paraId="679A372A" w14:textId="77777777">
        <w:trPr>
          <w:trHeight w:val="70"/>
        </w:trPr>
        <w:tc>
          <w:tcPr>
            <w:tcW w:w="1702" w:type="dxa"/>
          </w:tcPr>
          <w:p w:rsidRPr="00B53E9B" w:rsidR="00642615" w:rsidP="00131848" w:rsidRDefault="00642615" w14:paraId="293B42E8" w14:textId="77777777">
            <w:pPr>
              <w:pStyle w:val="BodyText"/>
              <w:rPr>
                <w:rFonts w:cs="Arial"/>
                <w:b/>
                <w:bCs/>
                <w:sz w:val="20"/>
                <w:lang w:val="en-AU"/>
              </w:rPr>
            </w:pPr>
            <w:r w:rsidRPr="00B53E9B">
              <w:rPr>
                <w:rFonts w:cs="Arial"/>
                <w:b/>
                <w:bCs/>
                <w:sz w:val="20"/>
                <w:lang w:val="en-AU"/>
              </w:rPr>
              <w:t xml:space="preserve">Presentation </w:t>
            </w:r>
          </w:p>
        </w:tc>
        <w:tc>
          <w:tcPr>
            <w:tcW w:w="8930" w:type="dxa"/>
          </w:tcPr>
          <w:p w:rsidRPr="00F12CE6" w:rsidR="00642615" w:rsidP="00131848" w:rsidRDefault="00642615" w14:paraId="61829798" w14:textId="77777777">
            <w:pPr>
              <w:pStyle w:val="BodyText"/>
              <w:ind w:left="34"/>
              <w:rPr>
                <w:rFonts w:cs="Arial" w:asciiTheme="minorHAnsi" w:hAnsiTheme="minorHAnsi"/>
                <w:sz w:val="20"/>
              </w:rPr>
            </w:pPr>
            <w:r w:rsidRPr="00F12CE6">
              <w:rPr>
                <w:rFonts w:cs="Arial" w:asciiTheme="minorHAnsi" w:hAnsiTheme="minorHAnsi"/>
                <w:sz w:val="20"/>
              </w:rPr>
              <w:t>500 mg/5 mL vial</w:t>
            </w:r>
          </w:p>
          <w:p w:rsidRPr="00026F20" w:rsidR="00642615" w:rsidP="00131848" w:rsidRDefault="00642615" w14:paraId="69FE9B57" w14:textId="77777777">
            <w:pPr>
              <w:pStyle w:val="BodyText"/>
              <w:rPr>
                <w:rFonts w:cs="Arial"/>
                <w:sz w:val="20"/>
                <w:lang w:val="en-AU"/>
              </w:rPr>
            </w:pPr>
            <w:r w:rsidRPr="00F12CE6">
              <w:rPr>
                <w:rFonts w:cs="Arial" w:asciiTheme="minorHAnsi" w:hAnsiTheme="minorHAnsi"/>
                <w:sz w:val="20"/>
              </w:rPr>
              <w:t>100 mg/mL oral solution</w:t>
            </w:r>
          </w:p>
        </w:tc>
      </w:tr>
      <w:tr w:rsidRPr="00026F20" w:rsidR="00642615" w:rsidTr="008074AA" w14:paraId="212636D1" w14:textId="77777777">
        <w:trPr>
          <w:trHeight w:val="70"/>
        </w:trPr>
        <w:tc>
          <w:tcPr>
            <w:tcW w:w="1702" w:type="dxa"/>
          </w:tcPr>
          <w:p w:rsidRPr="00B53E9B" w:rsidR="00642615" w:rsidP="00131848" w:rsidRDefault="00642615" w14:paraId="224328F1"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8930" w:type="dxa"/>
          </w:tcPr>
          <w:p w:rsidRPr="00C40358" w:rsidR="00642615" w:rsidP="00131848" w:rsidRDefault="00642615" w14:paraId="0586617F" w14:textId="77777777">
            <w:pPr>
              <w:pStyle w:val="BodyText"/>
              <w:rPr>
                <w:rFonts w:cs="Arial" w:asciiTheme="minorHAnsi" w:hAnsiTheme="minorHAnsi"/>
                <w:b/>
                <w:sz w:val="20"/>
                <w:lang w:val="en-AU"/>
              </w:rPr>
            </w:pPr>
            <w:r>
              <w:rPr>
                <w:rFonts w:cs="Arial" w:asciiTheme="minorHAnsi" w:hAnsiTheme="minorHAnsi"/>
                <w:b/>
                <w:sz w:val="20"/>
              </w:rPr>
              <w:t>Acute onset seizures</w:t>
            </w:r>
            <w:r>
              <w:rPr>
                <w:rFonts w:cs="Arial" w:asciiTheme="minorHAnsi" w:hAnsiTheme="minorHAnsi"/>
                <w:b/>
                <w:sz w:val="20"/>
                <w:lang w:val="en-AU"/>
              </w:rPr>
              <w:t xml:space="preserve"> (e.g. hypoxic ischaemic encephalopathy)</w:t>
            </w:r>
          </w:p>
          <w:p w:rsidRPr="00183BB5" w:rsidR="00642615" w:rsidP="00131848" w:rsidRDefault="00642615" w14:paraId="0F57049B" w14:textId="77777777">
            <w:pPr>
              <w:pStyle w:val="BodyText"/>
              <w:ind w:left="720"/>
              <w:rPr>
                <w:rFonts w:cs="Arial" w:asciiTheme="minorHAnsi" w:hAnsiTheme="minorHAnsi"/>
                <w:sz w:val="20"/>
              </w:rPr>
            </w:pPr>
            <w:r w:rsidRPr="00F12CE6">
              <w:rPr>
                <w:rFonts w:cs="Arial" w:asciiTheme="minorHAnsi" w:hAnsiTheme="minorHAnsi"/>
                <w:b/>
                <w:sz w:val="20"/>
              </w:rPr>
              <w:t xml:space="preserve">Loading Dose – </w:t>
            </w:r>
            <w:r w:rsidRPr="00183BB5">
              <w:rPr>
                <w:rFonts w:cs="Arial" w:asciiTheme="minorHAnsi" w:hAnsiTheme="minorHAnsi"/>
                <w:sz w:val="20"/>
              </w:rPr>
              <w:t xml:space="preserve">40 mg/kg </w:t>
            </w:r>
            <w:r w:rsidRPr="00183BB5">
              <w:rPr>
                <w:rFonts w:cs="Arial" w:asciiTheme="minorHAnsi" w:hAnsiTheme="minorHAnsi"/>
                <w:sz w:val="20"/>
                <w:lang w:val="en-AU"/>
              </w:rPr>
              <w:t xml:space="preserve">followed by </w:t>
            </w:r>
            <w:r w:rsidRPr="00183BB5">
              <w:rPr>
                <w:rFonts w:asciiTheme="minorHAnsi" w:hAnsiTheme="minorHAnsi"/>
                <w:sz w:val="20"/>
                <w:lang w:val="en-AU"/>
              </w:rPr>
              <w:t>an additional 20mg/kg after 30 minutes if required.</w:t>
            </w:r>
            <w:r w:rsidRPr="00183BB5">
              <w:rPr>
                <w:rFonts w:asciiTheme="minorHAnsi" w:hAnsiTheme="minorHAnsi"/>
                <w:noProof/>
                <w:sz w:val="20"/>
                <w:lang w:val="en-AU"/>
              </w:rPr>
              <w:t>(1)</w:t>
            </w:r>
            <w:r w:rsidRPr="00183BB5">
              <w:t xml:space="preserve">  </w:t>
            </w:r>
          </w:p>
          <w:p w:rsidR="00642615" w:rsidP="00131848" w:rsidRDefault="00642615" w14:paraId="18585C05" w14:textId="77777777">
            <w:pPr>
              <w:pStyle w:val="BodyText"/>
              <w:ind w:left="720"/>
              <w:rPr>
                <w:rFonts w:cs="Arial" w:asciiTheme="minorHAnsi" w:hAnsiTheme="minorHAnsi"/>
                <w:b/>
                <w:sz w:val="20"/>
                <w:lang w:val="en-AU"/>
              </w:rPr>
            </w:pPr>
          </w:p>
          <w:p w:rsidR="00642615" w:rsidP="00131848" w:rsidRDefault="00642615" w14:paraId="10CED7A7" w14:textId="77777777">
            <w:pPr>
              <w:pStyle w:val="BodyText"/>
              <w:ind w:left="720"/>
              <w:rPr>
                <w:rFonts w:cs="Arial" w:asciiTheme="minorHAnsi" w:hAnsiTheme="minorHAnsi"/>
                <w:sz w:val="20"/>
                <w:lang w:val="en-AU"/>
              </w:rPr>
            </w:pPr>
            <w:r>
              <w:rPr>
                <w:rFonts w:cs="Arial" w:asciiTheme="minorHAnsi" w:hAnsiTheme="minorHAnsi"/>
                <w:b/>
                <w:sz w:val="20"/>
                <w:lang w:val="en-AU"/>
              </w:rPr>
              <w:t xml:space="preserve">Maintenance dose –10 mg/kg/dose 8 hourly.(2) </w:t>
            </w:r>
            <w:r w:rsidRPr="00183BB5">
              <w:rPr>
                <w:rFonts w:cs="Arial" w:asciiTheme="minorHAnsi" w:hAnsiTheme="minorHAnsi"/>
                <w:sz w:val="20"/>
                <w:lang w:val="en-AU"/>
              </w:rPr>
              <w:t>To commence 12 hours after loading dose.</w:t>
            </w:r>
            <w:r>
              <w:rPr>
                <w:rFonts w:cs="Arial" w:asciiTheme="minorHAnsi" w:hAnsiTheme="minorHAnsi"/>
                <w:noProof/>
                <w:sz w:val="20"/>
                <w:lang w:val="en-AU"/>
              </w:rPr>
              <w:t xml:space="preserve"> </w:t>
            </w:r>
          </w:p>
          <w:p w:rsidRPr="00C40358" w:rsidR="00642615" w:rsidP="00131848" w:rsidRDefault="00642615" w14:paraId="6A33DF1B" w14:textId="77777777">
            <w:pPr>
              <w:pStyle w:val="BodyText"/>
              <w:ind w:left="1440"/>
              <w:rPr>
                <w:rFonts w:cs="Arial" w:asciiTheme="minorHAnsi" w:hAnsiTheme="minorHAnsi"/>
                <w:sz w:val="20"/>
                <w:lang w:val="en-AU"/>
              </w:rPr>
            </w:pPr>
            <w:r w:rsidRPr="009A47F3">
              <w:rPr>
                <w:rFonts w:cs="Arial" w:asciiTheme="minorHAnsi" w:hAnsiTheme="minorHAnsi"/>
                <w:sz w:val="20"/>
                <w:lang w:val="en-AU"/>
              </w:rPr>
              <w:t>Dose can be increased to 30 mg/kg/dose (maximum 60 mg/kg/day)</w:t>
            </w:r>
            <w:r>
              <w:rPr>
                <w:rFonts w:cs="Arial" w:asciiTheme="minorHAnsi" w:hAnsiTheme="minorHAnsi"/>
                <w:sz w:val="20"/>
                <w:lang w:val="en-AU"/>
              </w:rPr>
              <w:t>.</w:t>
            </w:r>
          </w:p>
          <w:p w:rsidR="00642615" w:rsidP="00131848" w:rsidRDefault="00642615" w14:paraId="63030CE9" w14:textId="77777777">
            <w:pPr>
              <w:pStyle w:val="BodyText"/>
              <w:rPr>
                <w:rFonts w:cs="Arial" w:asciiTheme="minorHAnsi" w:hAnsiTheme="minorHAnsi"/>
                <w:b/>
                <w:sz w:val="20"/>
                <w:lang w:val="en-AU"/>
              </w:rPr>
            </w:pPr>
          </w:p>
          <w:p w:rsidR="00642615" w:rsidP="00131848" w:rsidRDefault="00642615" w14:paraId="07133B63" w14:textId="77777777">
            <w:pPr>
              <w:pStyle w:val="BodyText"/>
              <w:rPr>
                <w:rFonts w:cs="Arial" w:asciiTheme="minorHAnsi" w:hAnsiTheme="minorHAnsi"/>
                <w:b/>
                <w:sz w:val="20"/>
                <w:lang w:val="en-AU"/>
              </w:rPr>
            </w:pPr>
            <w:r>
              <w:rPr>
                <w:rFonts w:cs="Arial" w:asciiTheme="minorHAnsi" w:hAnsiTheme="minorHAnsi"/>
                <w:b/>
                <w:sz w:val="20"/>
                <w:lang w:val="en-AU"/>
              </w:rPr>
              <w:t xml:space="preserve">Add-on/Maintenance </w:t>
            </w:r>
            <w:r w:rsidRPr="00F12CE6">
              <w:rPr>
                <w:rFonts w:cs="Arial" w:asciiTheme="minorHAnsi" w:hAnsiTheme="minorHAnsi"/>
                <w:b/>
                <w:sz w:val="20"/>
              </w:rPr>
              <w:t>therapy</w:t>
            </w:r>
            <w:r>
              <w:rPr>
                <w:rFonts w:cs="Arial" w:asciiTheme="minorHAnsi" w:hAnsiTheme="minorHAnsi"/>
                <w:b/>
                <w:sz w:val="20"/>
                <w:lang w:val="en-AU"/>
              </w:rPr>
              <w:t xml:space="preserve"> </w:t>
            </w:r>
            <w:r w:rsidRPr="00F12CE6">
              <w:rPr>
                <w:rFonts w:cs="Arial" w:asciiTheme="minorHAnsi" w:hAnsiTheme="minorHAnsi"/>
                <w:b/>
                <w:sz w:val="20"/>
              </w:rPr>
              <w:t>for recurrent seizures</w:t>
            </w:r>
            <w:r>
              <w:rPr>
                <w:rFonts w:cs="Arial" w:asciiTheme="minorHAnsi" w:hAnsiTheme="minorHAnsi"/>
                <w:b/>
                <w:sz w:val="20"/>
                <w:lang w:val="en-AU"/>
              </w:rPr>
              <w:t xml:space="preserve"> </w:t>
            </w:r>
          </w:p>
          <w:p w:rsidR="00642615" w:rsidP="00131848" w:rsidRDefault="00642615" w14:paraId="07D9F84B" w14:textId="77777777">
            <w:pPr>
              <w:pStyle w:val="BodyText"/>
              <w:ind w:left="1440"/>
              <w:rPr>
                <w:rFonts w:cs="Arial" w:asciiTheme="minorHAnsi" w:hAnsiTheme="minorHAnsi"/>
                <w:noProof/>
                <w:sz w:val="20"/>
                <w:lang w:val="en-AU"/>
              </w:rPr>
            </w:pPr>
            <w:r w:rsidRPr="00183BB5">
              <w:rPr>
                <w:rFonts w:cs="Arial" w:asciiTheme="minorHAnsi" w:hAnsiTheme="minorHAnsi"/>
                <w:sz w:val="20"/>
                <w:lang w:val="en-AU"/>
              </w:rPr>
              <w:t>10 mg/kg/dose 8 hour</w:t>
            </w:r>
            <w:r>
              <w:rPr>
                <w:rFonts w:cs="Arial" w:asciiTheme="minorHAnsi" w:hAnsiTheme="minorHAnsi"/>
                <w:sz w:val="20"/>
                <w:lang w:val="en-AU"/>
              </w:rPr>
              <w:t xml:space="preserve">ly. </w:t>
            </w:r>
            <w:r>
              <w:rPr>
                <w:rFonts w:cs="Arial" w:asciiTheme="minorHAnsi" w:hAnsiTheme="minorHAnsi"/>
                <w:noProof/>
                <w:sz w:val="20"/>
                <w:lang w:val="en-AU"/>
              </w:rPr>
              <w:t>(1,</w:t>
            </w:r>
            <w:r w:rsidRPr="00183BB5">
              <w:rPr>
                <w:rFonts w:cs="Arial" w:asciiTheme="minorHAnsi" w:hAnsiTheme="minorHAnsi"/>
                <w:noProof/>
                <w:sz w:val="20"/>
                <w:lang w:val="en-AU"/>
              </w:rPr>
              <w:t xml:space="preserve"> 2)</w:t>
            </w:r>
          </w:p>
          <w:p w:rsidRPr="00026F20" w:rsidR="00642615" w:rsidP="00131848" w:rsidRDefault="00642615" w14:paraId="501718FB" w14:textId="77777777">
            <w:pPr>
              <w:pStyle w:val="BodyText"/>
              <w:ind w:left="1440"/>
              <w:rPr>
                <w:sz w:val="20"/>
                <w:lang w:val="en-AU"/>
              </w:rPr>
            </w:pPr>
            <w:r w:rsidRPr="009A47F3">
              <w:rPr>
                <w:sz w:val="20"/>
                <w:lang w:val="en-AU"/>
              </w:rPr>
              <w:t>Dose can be increased to 30 mg/kg/dose (maximum 60 mg/kg/day)</w:t>
            </w:r>
            <w:r>
              <w:rPr>
                <w:sz w:val="20"/>
                <w:lang w:val="en-AU"/>
              </w:rPr>
              <w:t>.</w:t>
            </w:r>
          </w:p>
        </w:tc>
      </w:tr>
      <w:tr w:rsidRPr="00026F20" w:rsidR="00642615" w:rsidTr="008074AA" w14:paraId="51F322FA" w14:textId="77777777">
        <w:trPr>
          <w:trHeight w:val="407"/>
        </w:trPr>
        <w:tc>
          <w:tcPr>
            <w:tcW w:w="1702" w:type="dxa"/>
          </w:tcPr>
          <w:p w:rsidRPr="00B53E9B" w:rsidR="00642615" w:rsidP="00131848" w:rsidRDefault="00642615" w14:paraId="5211BD67" w14:textId="77777777">
            <w:pPr>
              <w:pStyle w:val="BodyText"/>
              <w:rPr>
                <w:b/>
                <w:sz w:val="20"/>
                <w:lang w:val="en-AU"/>
              </w:rPr>
            </w:pPr>
            <w:r w:rsidRPr="00B53E9B">
              <w:rPr>
                <w:b/>
                <w:sz w:val="20"/>
                <w:lang w:val="en-AU"/>
              </w:rPr>
              <w:t>Dose adjustment</w:t>
            </w:r>
          </w:p>
          <w:p w:rsidRPr="00B53E9B" w:rsidR="00642615" w:rsidP="00131848" w:rsidRDefault="00642615" w14:paraId="0D9BEB38" w14:textId="77777777">
            <w:pPr>
              <w:pStyle w:val="BodyText"/>
              <w:rPr>
                <w:b/>
                <w:sz w:val="20"/>
                <w:lang w:val="en-AU"/>
              </w:rPr>
            </w:pPr>
          </w:p>
        </w:tc>
        <w:tc>
          <w:tcPr>
            <w:tcW w:w="8930" w:type="dxa"/>
          </w:tcPr>
          <w:p w:rsidRPr="00B53E9B" w:rsidR="00642615" w:rsidP="00131848" w:rsidRDefault="00642615" w14:paraId="319B6BCE" w14:textId="77777777">
            <w:pPr>
              <w:pStyle w:val="BodyText"/>
              <w:rPr>
                <w:sz w:val="20"/>
              </w:rPr>
            </w:pPr>
            <w:r w:rsidRPr="00B53E9B">
              <w:rPr>
                <w:sz w:val="20"/>
              </w:rPr>
              <w:t>Therapeutic hypothermia</w:t>
            </w:r>
            <w:r>
              <w:rPr>
                <w:sz w:val="20"/>
              </w:rPr>
              <w:t xml:space="preserve"> </w:t>
            </w:r>
            <w:r w:rsidRPr="00616BD6">
              <w:rPr>
                <w:rFonts w:asciiTheme="minorHAnsi" w:hAnsiTheme="minorHAnsi"/>
                <w:sz w:val="20"/>
                <w:lang w:val="en-AU"/>
              </w:rPr>
              <w:t xml:space="preserve">– </w:t>
            </w:r>
            <w:r>
              <w:rPr>
                <w:rFonts w:asciiTheme="minorHAnsi" w:hAnsiTheme="minorHAnsi"/>
                <w:sz w:val="20"/>
                <w:lang w:val="en-AU"/>
              </w:rPr>
              <w:t>No dose adjustment required.</w:t>
            </w:r>
            <w:r>
              <w:rPr>
                <w:rFonts w:asciiTheme="minorHAnsi" w:hAnsiTheme="minorHAnsi"/>
                <w:noProof/>
                <w:sz w:val="20"/>
                <w:lang w:val="en-AU"/>
              </w:rPr>
              <w:t>(2)</w:t>
            </w:r>
          </w:p>
          <w:p w:rsidRPr="00B53E9B" w:rsidR="00642615" w:rsidP="00131848" w:rsidRDefault="00642615" w14:paraId="32839AF9" w14:textId="77777777">
            <w:pPr>
              <w:pStyle w:val="BodyText"/>
              <w:rPr>
                <w:sz w:val="20"/>
              </w:rPr>
            </w:pPr>
            <w:r w:rsidRPr="00B53E9B">
              <w:rPr>
                <w:sz w:val="20"/>
              </w:rPr>
              <w:t>ECMO</w:t>
            </w:r>
            <w:r>
              <w:rPr>
                <w:sz w:val="20"/>
              </w:rPr>
              <w:t xml:space="preserve"> – N</w:t>
            </w:r>
            <w:r>
              <w:rPr>
                <w:sz w:val="20"/>
                <w:lang w:val="en-AU"/>
              </w:rPr>
              <w:t>o</w:t>
            </w:r>
            <w:r>
              <w:rPr>
                <w:sz w:val="20"/>
              </w:rPr>
              <w:t xml:space="preserve"> information.</w:t>
            </w:r>
          </w:p>
          <w:p w:rsidRPr="00111B41" w:rsidR="00642615" w:rsidP="00131848" w:rsidRDefault="00642615" w14:paraId="7DDD13D3" w14:textId="77777777">
            <w:pPr>
              <w:pStyle w:val="BodyText"/>
              <w:rPr>
                <w:sz w:val="20"/>
                <w:lang w:val="en-AU"/>
              </w:rPr>
            </w:pPr>
            <w:r w:rsidRPr="00B53E9B">
              <w:rPr>
                <w:sz w:val="20"/>
              </w:rPr>
              <w:t>Renal</w:t>
            </w:r>
            <w:r>
              <w:rPr>
                <w:sz w:val="20"/>
              </w:rPr>
              <w:t xml:space="preserve"> impairment – </w:t>
            </w:r>
            <w:r>
              <w:rPr>
                <w:sz w:val="20"/>
                <w:lang w:val="en-AU"/>
              </w:rPr>
              <w:t xml:space="preserve">dosage adjustment may be necessary. Discuss with paediatric neurologist. </w:t>
            </w:r>
          </w:p>
          <w:p w:rsidRPr="00026F20" w:rsidR="00642615" w:rsidP="00131848" w:rsidRDefault="00642615" w14:paraId="254E8FE6" w14:textId="77777777">
            <w:pPr>
              <w:pStyle w:val="BodyText"/>
              <w:rPr>
                <w:sz w:val="20"/>
                <w:lang w:val="en-AU"/>
              </w:rPr>
            </w:pPr>
            <w:r w:rsidRPr="00B53E9B">
              <w:rPr>
                <w:sz w:val="20"/>
              </w:rPr>
              <w:t>Hepatic</w:t>
            </w:r>
            <w:r>
              <w:rPr>
                <w:sz w:val="20"/>
              </w:rPr>
              <w:t xml:space="preserve"> impairment – No </w:t>
            </w:r>
            <w:r>
              <w:rPr>
                <w:sz w:val="20"/>
                <w:lang w:val="en-AU"/>
              </w:rPr>
              <w:t>dose adjustment is required.</w:t>
            </w:r>
          </w:p>
        </w:tc>
      </w:tr>
      <w:tr w:rsidRPr="00026F20" w:rsidR="00642615" w:rsidTr="008074AA" w14:paraId="135F7175" w14:textId="77777777">
        <w:trPr>
          <w:trHeight w:val="113"/>
        </w:trPr>
        <w:tc>
          <w:tcPr>
            <w:tcW w:w="1702" w:type="dxa"/>
          </w:tcPr>
          <w:p w:rsidRPr="00B53E9B" w:rsidR="00642615" w:rsidP="00131848" w:rsidRDefault="00642615" w14:paraId="7791A20A" w14:textId="77777777">
            <w:pPr>
              <w:pStyle w:val="BodyText"/>
              <w:rPr>
                <w:b/>
                <w:sz w:val="20"/>
                <w:lang w:val="en-AU"/>
              </w:rPr>
            </w:pPr>
            <w:r w:rsidRPr="00B53E9B">
              <w:rPr>
                <w:b/>
                <w:sz w:val="20"/>
                <w:lang w:val="en-AU"/>
              </w:rPr>
              <w:t>Maximum dose</w:t>
            </w:r>
          </w:p>
        </w:tc>
        <w:tc>
          <w:tcPr>
            <w:tcW w:w="8930" w:type="dxa"/>
          </w:tcPr>
          <w:p w:rsidR="00642615" w:rsidP="00131848" w:rsidRDefault="00642615" w14:paraId="290255F1" w14:textId="77777777">
            <w:pPr>
              <w:pStyle w:val="BodyText"/>
              <w:rPr>
                <w:sz w:val="20"/>
                <w:lang w:val="en-AU"/>
              </w:rPr>
            </w:pPr>
            <w:r>
              <w:rPr>
                <w:sz w:val="20"/>
                <w:lang w:val="en-AU"/>
              </w:rPr>
              <w:t>Loading: 60 mg/kg/dose.</w:t>
            </w:r>
          </w:p>
          <w:p w:rsidRPr="00026F20" w:rsidR="00642615" w:rsidP="00131848" w:rsidRDefault="00642615" w14:paraId="59A7BF36" w14:textId="77777777">
            <w:pPr>
              <w:pStyle w:val="BodyText"/>
              <w:rPr>
                <w:sz w:val="20"/>
                <w:lang w:val="en-AU"/>
              </w:rPr>
            </w:pPr>
            <w:r>
              <w:rPr>
                <w:sz w:val="20"/>
                <w:lang w:val="en-AU"/>
              </w:rPr>
              <w:t>Maintenance: 60 mg/kg/day</w:t>
            </w:r>
            <w:r w:rsidRPr="004759BF">
              <w:rPr>
                <w:sz w:val="20"/>
                <w:lang w:val="en-AU"/>
              </w:rPr>
              <w:t>.</w:t>
            </w:r>
            <w:r>
              <w:rPr>
                <w:noProof/>
                <w:sz w:val="20"/>
                <w:lang w:val="en-AU"/>
              </w:rPr>
              <w:t>(3)</w:t>
            </w:r>
          </w:p>
        </w:tc>
      </w:tr>
      <w:tr w:rsidRPr="00026F20" w:rsidR="00642615" w:rsidTr="008074AA" w14:paraId="45D1885B" w14:textId="77777777">
        <w:trPr>
          <w:trHeight w:val="144"/>
        </w:trPr>
        <w:tc>
          <w:tcPr>
            <w:tcW w:w="1702" w:type="dxa"/>
          </w:tcPr>
          <w:p w:rsidRPr="00B53E9B" w:rsidR="00642615" w:rsidP="00131848" w:rsidRDefault="00642615" w14:paraId="4F904C20" w14:textId="77777777">
            <w:pPr>
              <w:pStyle w:val="BodyText"/>
              <w:rPr>
                <w:rFonts w:cs="Arial"/>
                <w:b/>
                <w:bCs/>
                <w:sz w:val="20"/>
                <w:lang w:val="en-AU"/>
              </w:rPr>
            </w:pPr>
            <w:r w:rsidRPr="00B53E9B">
              <w:rPr>
                <w:b/>
                <w:sz w:val="20"/>
                <w:lang w:val="en-AU"/>
              </w:rPr>
              <w:t>Total cumulative dose</w:t>
            </w:r>
          </w:p>
        </w:tc>
        <w:tc>
          <w:tcPr>
            <w:tcW w:w="8930" w:type="dxa"/>
          </w:tcPr>
          <w:p w:rsidRPr="00026F20" w:rsidR="00642615" w:rsidP="00131848" w:rsidRDefault="00642615" w14:paraId="6DC5516C" w14:textId="77777777">
            <w:pPr>
              <w:pStyle w:val="BodyText"/>
              <w:rPr>
                <w:rFonts w:cs="Arial"/>
                <w:b/>
                <w:sz w:val="20"/>
                <w:lang w:val="en-AU"/>
              </w:rPr>
            </w:pPr>
          </w:p>
        </w:tc>
      </w:tr>
      <w:tr w:rsidRPr="00026F20" w:rsidR="00642615" w:rsidTr="008074AA" w14:paraId="202F3D57" w14:textId="77777777">
        <w:trPr>
          <w:trHeight w:val="294"/>
        </w:trPr>
        <w:tc>
          <w:tcPr>
            <w:tcW w:w="1702" w:type="dxa"/>
          </w:tcPr>
          <w:p w:rsidRPr="00B53E9B" w:rsidR="00642615" w:rsidP="00131848" w:rsidRDefault="00642615" w14:paraId="1268E919" w14:textId="77777777">
            <w:pPr>
              <w:pStyle w:val="BodyText"/>
              <w:rPr>
                <w:rFonts w:cs="Arial"/>
                <w:sz w:val="20"/>
                <w:lang w:val="en-AU"/>
              </w:rPr>
            </w:pPr>
            <w:r w:rsidRPr="00B53E9B">
              <w:rPr>
                <w:rFonts w:cs="Arial"/>
                <w:b/>
                <w:bCs/>
                <w:sz w:val="20"/>
                <w:lang w:val="en-AU"/>
              </w:rPr>
              <w:t xml:space="preserve">Route                                </w:t>
            </w:r>
          </w:p>
        </w:tc>
        <w:tc>
          <w:tcPr>
            <w:tcW w:w="8930" w:type="dxa"/>
          </w:tcPr>
          <w:p w:rsidRPr="00026F20" w:rsidR="00642615" w:rsidP="00131848" w:rsidRDefault="00642615" w14:paraId="5DC315FC" w14:textId="77777777">
            <w:pPr>
              <w:pStyle w:val="BodyText"/>
              <w:rPr>
                <w:rFonts w:cs="Arial"/>
                <w:sz w:val="20"/>
                <w:lang w:val="en-AU"/>
              </w:rPr>
            </w:pPr>
            <w:r w:rsidRPr="00F12CE6">
              <w:rPr>
                <w:rFonts w:cs="Arial" w:asciiTheme="minorHAnsi" w:hAnsiTheme="minorHAnsi"/>
                <w:sz w:val="20"/>
              </w:rPr>
              <w:t xml:space="preserve">IV </w:t>
            </w:r>
            <w:r>
              <w:rPr>
                <w:rFonts w:cs="Arial" w:asciiTheme="minorHAnsi" w:hAnsiTheme="minorHAnsi"/>
                <w:sz w:val="20"/>
                <w:lang w:val="en-AU"/>
              </w:rPr>
              <w:t>or Oral.</w:t>
            </w:r>
          </w:p>
        </w:tc>
      </w:tr>
      <w:tr w:rsidRPr="00026F20" w:rsidR="00642615" w:rsidTr="008074AA" w14:paraId="0A4E0416" w14:textId="77777777">
        <w:trPr>
          <w:trHeight w:val="93"/>
        </w:trPr>
        <w:tc>
          <w:tcPr>
            <w:tcW w:w="1702" w:type="dxa"/>
          </w:tcPr>
          <w:p w:rsidRPr="00B53E9B" w:rsidR="00642615" w:rsidP="00131848" w:rsidRDefault="00642615" w14:paraId="4F50EF72" w14:textId="77777777">
            <w:pPr>
              <w:pStyle w:val="BodyText"/>
              <w:rPr>
                <w:rFonts w:cs="Arial"/>
                <w:b/>
                <w:bCs/>
                <w:sz w:val="20"/>
                <w:highlight w:val="cyan"/>
                <w:lang w:val="en-AU"/>
              </w:rPr>
            </w:pPr>
            <w:r w:rsidRPr="00B53E9B">
              <w:rPr>
                <w:rFonts w:cs="Arial"/>
                <w:b/>
                <w:bCs/>
                <w:sz w:val="20"/>
                <w:lang w:val="en-AU"/>
              </w:rPr>
              <w:t>Preparation</w:t>
            </w:r>
            <w:r w:rsidRPr="00B53E9B">
              <w:rPr>
                <w:rFonts w:cs="Arial"/>
                <w:b/>
                <w:bCs/>
                <w:sz w:val="20"/>
                <w:highlight w:val="cyan"/>
                <w:lang w:val="en-AU"/>
              </w:rPr>
              <w:t xml:space="preserve">                </w:t>
            </w:r>
          </w:p>
        </w:tc>
        <w:tc>
          <w:tcPr>
            <w:tcW w:w="8930" w:type="dxa"/>
          </w:tcPr>
          <w:p w:rsidRPr="00913227" w:rsidR="00642615" w:rsidP="00131848" w:rsidRDefault="00642615" w14:paraId="6EFED522" w14:textId="77777777">
            <w:pPr>
              <w:widowControl w:val="0"/>
              <w:autoSpaceDE w:val="0"/>
              <w:autoSpaceDN w:val="0"/>
              <w:adjustRightInd w:val="0"/>
              <w:rPr>
                <w:rFonts w:asciiTheme="minorHAnsi" w:hAnsiTheme="minorHAnsi"/>
                <w:b/>
                <w:sz w:val="20"/>
              </w:rPr>
            </w:pPr>
            <w:r w:rsidRPr="00913227">
              <w:rPr>
                <w:rFonts w:asciiTheme="minorHAnsi" w:hAnsiTheme="minorHAnsi"/>
                <w:b/>
                <w:sz w:val="20"/>
              </w:rPr>
              <w:t>IV</w:t>
            </w:r>
          </w:p>
          <w:p w:rsidRPr="00913227" w:rsidR="00642615" w:rsidP="00131848" w:rsidRDefault="00642615" w14:paraId="414368B2" w14:textId="77777777">
            <w:pPr>
              <w:widowControl w:val="0"/>
              <w:autoSpaceDE w:val="0"/>
              <w:autoSpaceDN w:val="0"/>
              <w:adjustRightInd w:val="0"/>
              <w:rPr>
                <w:rFonts w:asciiTheme="minorHAnsi" w:hAnsiTheme="minorHAnsi"/>
                <w:sz w:val="20"/>
              </w:rPr>
            </w:pPr>
            <w:r w:rsidRPr="00913227">
              <w:rPr>
                <w:rFonts w:asciiTheme="minorHAnsi" w:hAnsiTheme="minorHAnsi"/>
                <w:sz w:val="20"/>
              </w:rPr>
              <w:t>Draw up 3 mL (300 mg) and add 17 mL of sodium chloride 0.9% or glucose 5% to make a final volume of 20 mL wi</w:t>
            </w:r>
            <w:r>
              <w:rPr>
                <w:rFonts w:asciiTheme="minorHAnsi" w:hAnsiTheme="minorHAnsi"/>
                <w:sz w:val="20"/>
              </w:rPr>
              <w:t>th a concentration of 15 mg/mL.(17,18)</w:t>
            </w:r>
          </w:p>
          <w:p w:rsidRPr="00913227" w:rsidR="00642615" w:rsidP="00131848" w:rsidRDefault="00642615" w14:paraId="52144B81" w14:textId="77777777">
            <w:pPr>
              <w:widowControl w:val="0"/>
              <w:autoSpaceDE w:val="0"/>
              <w:autoSpaceDN w:val="0"/>
              <w:adjustRightInd w:val="0"/>
              <w:rPr>
                <w:rFonts w:asciiTheme="minorHAnsi" w:hAnsiTheme="minorHAnsi"/>
                <w:sz w:val="20"/>
              </w:rPr>
            </w:pPr>
          </w:p>
          <w:p w:rsidRPr="00913227" w:rsidR="00642615" w:rsidP="00131848" w:rsidRDefault="00642615" w14:paraId="6FA181B5" w14:textId="77777777">
            <w:pPr>
              <w:widowControl w:val="0"/>
              <w:autoSpaceDE w:val="0"/>
              <w:autoSpaceDN w:val="0"/>
              <w:adjustRightInd w:val="0"/>
              <w:rPr>
                <w:rFonts w:asciiTheme="minorHAnsi" w:hAnsiTheme="minorHAnsi"/>
                <w:b/>
                <w:sz w:val="20"/>
              </w:rPr>
            </w:pPr>
            <w:r w:rsidRPr="00913227">
              <w:rPr>
                <w:rFonts w:asciiTheme="minorHAnsi" w:hAnsiTheme="minorHAnsi"/>
                <w:b/>
                <w:sz w:val="20"/>
              </w:rPr>
              <w:t>Oral</w:t>
            </w:r>
          </w:p>
          <w:p w:rsidRPr="00026F20" w:rsidR="00642615" w:rsidP="00131848" w:rsidRDefault="00642615" w14:paraId="21F9E189" w14:textId="77777777">
            <w:pPr>
              <w:pStyle w:val="BodyText"/>
              <w:rPr>
                <w:rFonts w:cs="Arial"/>
                <w:sz w:val="20"/>
                <w:lang w:val="en-AU"/>
              </w:rPr>
            </w:pPr>
            <w:r w:rsidRPr="00913227">
              <w:rPr>
                <w:rFonts w:asciiTheme="minorHAnsi" w:hAnsiTheme="minorHAnsi"/>
                <w:sz w:val="20"/>
              </w:rPr>
              <w:t>Give undiluted. If volume is too small, take 1 mL (100 mg) and add 9 mL of water for injection to make a final volume of 10 mL with a concentration of 10 mg/mL.</w:t>
            </w:r>
          </w:p>
        </w:tc>
      </w:tr>
      <w:tr w:rsidRPr="00026F20" w:rsidR="00642615" w:rsidTr="008074AA" w14:paraId="0111A050" w14:textId="77777777">
        <w:trPr>
          <w:trHeight w:val="224"/>
        </w:trPr>
        <w:tc>
          <w:tcPr>
            <w:tcW w:w="1702" w:type="dxa"/>
          </w:tcPr>
          <w:p w:rsidRPr="00B53E9B" w:rsidR="00642615" w:rsidP="00131848" w:rsidRDefault="00642615" w14:paraId="6DFF861F" w14:textId="77777777">
            <w:pPr>
              <w:pStyle w:val="BodyText"/>
              <w:rPr>
                <w:rFonts w:cs="Arial"/>
                <w:b/>
                <w:bCs/>
                <w:sz w:val="20"/>
                <w:lang w:val="en-AU"/>
              </w:rPr>
            </w:pPr>
            <w:r w:rsidRPr="00B53E9B">
              <w:rPr>
                <w:rFonts w:cs="Arial"/>
                <w:b/>
                <w:bCs/>
                <w:sz w:val="20"/>
                <w:lang w:val="en-AU"/>
              </w:rPr>
              <w:t xml:space="preserve">Administration                </w:t>
            </w:r>
          </w:p>
        </w:tc>
        <w:tc>
          <w:tcPr>
            <w:tcW w:w="8930" w:type="dxa"/>
            <w:vAlign w:val="center"/>
          </w:tcPr>
          <w:p w:rsidRPr="004759BF" w:rsidR="00642615" w:rsidP="00131848" w:rsidRDefault="00642615" w14:paraId="7EC9540F" w14:textId="77777777">
            <w:pPr>
              <w:pStyle w:val="BodyText"/>
              <w:rPr>
                <w:rFonts w:asciiTheme="minorHAnsi" w:hAnsiTheme="minorHAnsi"/>
                <w:sz w:val="20"/>
                <w:lang w:val="en-AU"/>
              </w:rPr>
            </w:pPr>
            <w:r w:rsidRPr="00F12CE6">
              <w:rPr>
                <w:rFonts w:cs="Arial" w:asciiTheme="minorHAnsi" w:hAnsiTheme="minorHAnsi"/>
                <w:sz w:val="20"/>
              </w:rPr>
              <w:t xml:space="preserve">IV infusion: </w:t>
            </w:r>
            <w:r w:rsidRPr="00F12CE6">
              <w:rPr>
                <w:rFonts w:asciiTheme="minorHAnsi" w:hAnsiTheme="minorHAnsi"/>
                <w:sz w:val="20"/>
              </w:rPr>
              <w:t>Infuse over 15 minutes.</w:t>
            </w:r>
            <w:r>
              <w:rPr>
                <w:rFonts w:asciiTheme="minorHAnsi" w:hAnsiTheme="minorHAnsi"/>
                <w:sz w:val="20"/>
                <w:lang w:val="en-AU"/>
              </w:rPr>
              <w:t xml:space="preserve">(1,2) </w:t>
            </w:r>
          </w:p>
          <w:p w:rsidRPr="00F12CE6" w:rsidR="00642615" w:rsidP="00131848" w:rsidRDefault="00642615" w14:paraId="0CAACCF2" w14:textId="77777777">
            <w:pPr>
              <w:pStyle w:val="BodyText"/>
              <w:rPr>
                <w:rFonts w:asciiTheme="minorHAnsi" w:hAnsiTheme="minorHAnsi"/>
                <w:sz w:val="20"/>
              </w:rPr>
            </w:pPr>
          </w:p>
          <w:p w:rsidRPr="00026F20" w:rsidR="00642615" w:rsidP="00131848" w:rsidRDefault="00642615" w14:paraId="0F851F62" w14:textId="77777777">
            <w:pPr>
              <w:pStyle w:val="BodyText"/>
              <w:rPr>
                <w:rFonts w:cs="Arial"/>
                <w:sz w:val="20"/>
                <w:lang w:val="en-AU"/>
              </w:rPr>
            </w:pPr>
            <w:r w:rsidRPr="00F12CE6">
              <w:rPr>
                <w:rFonts w:asciiTheme="minorHAnsi" w:hAnsiTheme="minorHAnsi"/>
                <w:sz w:val="20"/>
              </w:rPr>
              <w:t>Oral: May be given with or without feed (although feed delays the absorption of levetiracetam</w:t>
            </w:r>
            <w:r>
              <w:rPr>
                <w:rFonts w:asciiTheme="minorHAnsi" w:hAnsiTheme="minorHAnsi"/>
                <w:sz w:val="20"/>
                <w:lang w:val="en-US"/>
              </w:rPr>
              <w:t xml:space="preserve"> </w:t>
            </w:r>
            <w:r>
              <w:rPr>
                <w:rFonts w:asciiTheme="minorHAnsi" w:hAnsiTheme="minorHAnsi"/>
                <w:sz w:val="20"/>
              </w:rPr>
              <w:t>–</w:t>
            </w:r>
            <w:r w:rsidRPr="00F12CE6">
              <w:rPr>
                <w:rFonts w:asciiTheme="minorHAnsi" w:hAnsiTheme="minorHAnsi"/>
                <w:sz w:val="20"/>
              </w:rPr>
              <w:t xml:space="preserve"> this is not a problem if the infant is on maintenance </w:t>
            </w:r>
            <w:r w:rsidRPr="00913227">
              <w:rPr>
                <w:rFonts w:asciiTheme="minorHAnsi" w:hAnsiTheme="minorHAnsi"/>
                <w:sz w:val="20"/>
              </w:rPr>
              <w:t>doses). May be given at the same time as other medications.</w:t>
            </w:r>
          </w:p>
        </w:tc>
      </w:tr>
      <w:tr w:rsidRPr="00660064" w:rsidR="00642615" w:rsidTr="008074AA" w14:paraId="420DC01E" w14:textId="77777777">
        <w:trPr>
          <w:trHeight w:val="215"/>
        </w:trPr>
        <w:tc>
          <w:tcPr>
            <w:tcW w:w="1702" w:type="dxa"/>
          </w:tcPr>
          <w:p w:rsidRPr="00B53E9B" w:rsidR="00642615" w:rsidP="00131848" w:rsidRDefault="00642615" w14:paraId="1C3FC8E6" w14:textId="77777777">
            <w:pPr>
              <w:pStyle w:val="BodyText"/>
              <w:rPr>
                <w:rFonts w:cs="Arial"/>
                <w:b/>
                <w:bCs/>
                <w:sz w:val="20"/>
                <w:lang w:val="en-AU"/>
              </w:rPr>
            </w:pPr>
            <w:r w:rsidRPr="00B53E9B">
              <w:rPr>
                <w:rFonts w:cs="Arial"/>
                <w:b/>
                <w:bCs/>
                <w:sz w:val="20"/>
                <w:lang w:val="en-AU"/>
              </w:rPr>
              <w:t xml:space="preserve">Monitoring                              </w:t>
            </w:r>
          </w:p>
        </w:tc>
        <w:tc>
          <w:tcPr>
            <w:tcW w:w="8930" w:type="dxa"/>
          </w:tcPr>
          <w:p w:rsidR="00642615" w:rsidP="00131848" w:rsidRDefault="00642615" w14:paraId="560ADCFF" w14:textId="77777777">
            <w:pPr>
              <w:pStyle w:val="BodyText"/>
              <w:rPr>
                <w:rFonts w:asciiTheme="minorHAnsi" w:hAnsiTheme="minorHAnsi"/>
                <w:sz w:val="20"/>
                <w:lang w:val="en-AU"/>
              </w:rPr>
            </w:pPr>
            <w:r>
              <w:rPr>
                <w:rFonts w:asciiTheme="minorHAnsi" w:hAnsiTheme="minorHAnsi"/>
                <w:sz w:val="20"/>
                <w:lang w:val="en-AU"/>
              </w:rPr>
              <w:t>Seizure frequency, duration and severity.</w:t>
            </w:r>
          </w:p>
          <w:p w:rsidR="00642615" w:rsidP="00131848" w:rsidRDefault="00642615" w14:paraId="79CD05E0" w14:textId="77777777">
            <w:pPr>
              <w:pStyle w:val="BodyText"/>
              <w:rPr>
                <w:rFonts w:asciiTheme="minorHAnsi" w:hAnsiTheme="minorHAnsi"/>
                <w:sz w:val="20"/>
                <w:lang w:val="en-AU"/>
              </w:rPr>
            </w:pPr>
            <w:r>
              <w:rPr>
                <w:rFonts w:asciiTheme="minorHAnsi" w:hAnsiTheme="minorHAnsi"/>
                <w:sz w:val="20"/>
                <w:lang w:val="en-AU"/>
              </w:rPr>
              <w:t>Watch for hypotension, respiratory suppression, sedation.</w:t>
            </w:r>
          </w:p>
          <w:p w:rsidR="00642615" w:rsidP="00131848" w:rsidRDefault="00642615" w14:paraId="496765CD" w14:textId="77777777">
            <w:pPr>
              <w:pStyle w:val="BodyText"/>
              <w:rPr>
                <w:rFonts w:asciiTheme="minorHAnsi" w:hAnsiTheme="minorHAnsi"/>
                <w:sz w:val="20"/>
                <w:lang w:val="en-AU"/>
              </w:rPr>
            </w:pPr>
            <w:r>
              <w:rPr>
                <w:rFonts w:asciiTheme="minorHAnsi" w:hAnsiTheme="minorHAnsi"/>
                <w:sz w:val="20"/>
                <w:lang w:val="en-AU"/>
              </w:rPr>
              <w:t>Renal function.</w:t>
            </w:r>
          </w:p>
          <w:p w:rsidRPr="00660064" w:rsidR="00642615" w:rsidP="00131848" w:rsidRDefault="00642615" w14:paraId="1EB93407" w14:textId="77777777">
            <w:pPr>
              <w:pStyle w:val="BodyText"/>
              <w:rPr>
                <w:rFonts w:asciiTheme="minorHAnsi" w:hAnsiTheme="minorHAnsi"/>
                <w:sz w:val="20"/>
                <w:lang w:val="en-AU"/>
              </w:rPr>
            </w:pPr>
            <w:r>
              <w:rPr>
                <w:rFonts w:asciiTheme="minorHAnsi" w:hAnsiTheme="minorHAnsi"/>
                <w:sz w:val="20"/>
                <w:lang w:val="en-AU"/>
              </w:rPr>
              <w:t>Therapeutic drug monitoring – Routine m</w:t>
            </w:r>
            <w:r w:rsidRPr="00183BB5">
              <w:rPr>
                <w:rFonts w:asciiTheme="minorHAnsi" w:hAnsiTheme="minorHAnsi"/>
                <w:sz w:val="20"/>
                <w:lang w:val="en-AU"/>
              </w:rPr>
              <w:t xml:space="preserve">onitoring of </w:t>
            </w:r>
            <w:r w:rsidRPr="009741FF">
              <w:rPr>
                <w:rFonts w:asciiTheme="minorHAnsi" w:hAnsiTheme="minorHAnsi"/>
                <w:b/>
                <w:sz w:val="20"/>
                <w:lang w:val="en-AU"/>
              </w:rPr>
              <w:t>trough</w:t>
            </w:r>
            <w:r>
              <w:rPr>
                <w:rFonts w:asciiTheme="minorHAnsi" w:hAnsiTheme="minorHAnsi"/>
                <w:sz w:val="20"/>
                <w:lang w:val="en-AU"/>
              </w:rPr>
              <w:t xml:space="preserve"> </w:t>
            </w:r>
            <w:r w:rsidRPr="00183BB5">
              <w:rPr>
                <w:rFonts w:asciiTheme="minorHAnsi" w:hAnsiTheme="minorHAnsi"/>
                <w:sz w:val="20"/>
                <w:lang w:val="en-AU"/>
              </w:rPr>
              <w:t xml:space="preserve">serum concentrations is not </w:t>
            </w:r>
            <w:r>
              <w:rPr>
                <w:rFonts w:asciiTheme="minorHAnsi" w:hAnsiTheme="minorHAnsi"/>
                <w:sz w:val="20"/>
                <w:lang w:val="en-AU"/>
              </w:rPr>
              <w:t>necessary.</w:t>
            </w:r>
            <w:r w:rsidRPr="00183BB5">
              <w:rPr>
                <w:rFonts w:asciiTheme="minorHAnsi" w:hAnsiTheme="minorHAnsi"/>
                <w:sz w:val="20"/>
                <w:lang w:val="en-AU"/>
              </w:rPr>
              <w:t xml:space="preserve"> </w:t>
            </w:r>
            <w:r>
              <w:rPr>
                <w:rFonts w:asciiTheme="minorHAnsi" w:hAnsiTheme="minorHAnsi"/>
                <w:sz w:val="20"/>
                <w:lang w:val="en-AU"/>
              </w:rPr>
              <w:t>M</w:t>
            </w:r>
            <w:r w:rsidRPr="00183BB5">
              <w:rPr>
                <w:rFonts w:asciiTheme="minorHAnsi" w:hAnsiTheme="minorHAnsi"/>
                <w:sz w:val="20"/>
                <w:lang w:val="en-AU"/>
              </w:rPr>
              <w:t xml:space="preserve">onitoring may be considered in </w:t>
            </w:r>
            <w:r>
              <w:rPr>
                <w:rFonts w:asciiTheme="minorHAnsi" w:hAnsiTheme="minorHAnsi"/>
                <w:sz w:val="20"/>
                <w:lang w:val="en-AU"/>
              </w:rPr>
              <w:t>neonates</w:t>
            </w:r>
            <w:r w:rsidRPr="00183BB5">
              <w:rPr>
                <w:rFonts w:asciiTheme="minorHAnsi" w:hAnsiTheme="minorHAnsi"/>
                <w:sz w:val="20"/>
                <w:lang w:val="en-AU"/>
              </w:rPr>
              <w:t xml:space="preserve"> with seizures resistant to high </w:t>
            </w:r>
            <w:r>
              <w:rPr>
                <w:rFonts w:asciiTheme="minorHAnsi" w:hAnsiTheme="minorHAnsi"/>
                <w:sz w:val="20"/>
                <w:lang w:val="en-AU"/>
              </w:rPr>
              <w:t>dose therapy</w:t>
            </w:r>
            <w:r w:rsidRPr="00183BB5">
              <w:rPr>
                <w:rFonts w:asciiTheme="minorHAnsi" w:hAnsiTheme="minorHAnsi"/>
                <w:sz w:val="20"/>
                <w:lang w:val="en-AU"/>
              </w:rPr>
              <w:t xml:space="preserve"> or exhibiting adverse reactions. The reference range for serum </w:t>
            </w:r>
            <w:r w:rsidRPr="001F170E">
              <w:rPr>
                <w:rFonts w:asciiTheme="minorHAnsi" w:hAnsiTheme="minorHAnsi"/>
                <w:sz w:val="20"/>
                <w:lang w:val="en-AU"/>
              </w:rPr>
              <w:t>levetiracetam</w:t>
            </w:r>
            <w:r w:rsidRPr="00183BB5">
              <w:rPr>
                <w:rFonts w:asciiTheme="minorHAnsi" w:hAnsiTheme="minorHAnsi"/>
                <w:sz w:val="20"/>
                <w:lang w:val="en-AU"/>
              </w:rPr>
              <w:t xml:space="preserve"> concentrations has not been well established and may vary from </w:t>
            </w:r>
            <w:r>
              <w:rPr>
                <w:rFonts w:asciiTheme="minorHAnsi" w:hAnsiTheme="minorHAnsi"/>
                <w:sz w:val="20"/>
                <w:lang w:val="en-AU"/>
              </w:rPr>
              <w:t>6-20</w:t>
            </w:r>
            <w:r w:rsidRPr="00183BB5">
              <w:rPr>
                <w:rFonts w:asciiTheme="minorHAnsi" w:hAnsiTheme="minorHAnsi"/>
                <w:sz w:val="20"/>
                <w:lang w:val="en-AU"/>
              </w:rPr>
              <w:t xml:space="preserve"> m</w:t>
            </w:r>
            <w:r>
              <w:rPr>
                <w:rFonts w:asciiTheme="minorHAnsi" w:hAnsiTheme="minorHAnsi"/>
                <w:sz w:val="20"/>
                <w:lang w:val="en-AU"/>
              </w:rPr>
              <w:t>i</w:t>
            </w:r>
            <w:r w:rsidRPr="00183BB5">
              <w:rPr>
                <w:rFonts w:asciiTheme="minorHAnsi" w:hAnsiTheme="minorHAnsi"/>
                <w:sz w:val="20"/>
                <w:lang w:val="en-AU"/>
              </w:rPr>
              <w:t>c</w:t>
            </w:r>
            <w:r>
              <w:rPr>
                <w:rFonts w:asciiTheme="minorHAnsi" w:hAnsiTheme="minorHAnsi"/>
                <w:sz w:val="20"/>
                <w:lang w:val="en-AU"/>
              </w:rPr>
              <w:t>ro</w:t>
            </w:r>
            <w:r w:rsidRPr="00183BB5">
              <w:rPr>
                <w:rFonts w:asciiTheme="minorHAnsi" w:hAnsiTheme="minorHAnsi"/>
                <w:sz w:val="20"/>
                <w:lang w:val="en-AU"/>
              </w:rPr>
              <w:t>g</w:t>
            </w:r>
            <w:r>
              <w:rPr>
                <w:rFonts w:asciiTheme="minorHAnsi" w:hAnsiTheme="minorHAnsi"/>
                <w:sz w:val="20"/>
                <w:lang w:val="en-AU"/>
              </w:rPr>
              <w:t>ram</w:t>
            </w:r>
            <w:r w:rsidRPr="00183BB5">
              <w:rPr>
                <w:rFonts w:asciiTheme="minorHAnsi" w:hAnsiTheme="minorHAnsi"/>
                <w:sz w:val="20"/>
                <w:lang w:val="en-AU"/>
              </w:rPr>
              <w:t>/mL.</w:t>
            </w:r>
            <w:r>
              <w:rPr>
                <w:rFonts w:asciiTheme="minorHAnsi" w:hAnsiTheme="minorHAnsi"/>
                <w:noProof/>
                <w:sz w:val="20"/>
                <w:lang w:val="en-AU"/>
              </w:rPr>
              <w:t>(2)</w:t>
            </w:r>
          </w:p>
        </w:tc>
      </w:tr>
      <w:tr w:rsidRPr="00026F20" w:rsidR="00642615" w:rsidTr="008074AA" w14:paraId="097DD3BD" w14:textId="77777777">
        <w:trPr>
          <w:trHeight w:val="342"/>
        </w:trPr>
        <w:tc>
          <w:tcPr>
            <w:tcW w:w="1702" w:type="dxa"/>
          </w:tcPr>
          <w:p w:rsidRPr="00B53E9B" w:rsidR="00642615" w:rsidP="00131848" w:rsidRDefault="00642615" w14:paraId="249014FE" w14:textId="77777777">
            <w:pPr>
              <w:pStyle w:val="BodyText"/>
              <w:rPr>
                <w:rFonts w:cs="Arial"/>
                <w:b/>
                <w:bCs/>
                <w:sz w:val="20"/>
                <w:lang w:val="en-AU"/>
              </w:rPr>
            </w:pPr>
            <w:r w:rsidRPr="00B53E9B">
              <w:rPr>
                <w:rFonts w:cs="Arial"/>
                <w:b/>
                <w:bCs/>
                <w:sz w:val="20"/>
                <w:lang w:val="en-AU"/>
              </w:rPr>
              <w:lastRenderedPageBreak/>
              <w:t xml:space="preserve">Contraindications                        </w:t>
            </w:r>
          </w:p>
        </w:tc>
        <w:tc>
          <w:tcPr>
            <w:tcW w:w="8930" w:type="dxa"/>
          </w:tcPr>
          <w:p w:rsidRPr="00026F20" w:rsidR="00642615" w:rsidP="00131848" w:rsidRDefault="00642615" w14:paraId="468222CC" w14:textId="77777777">
            <w:pPr>
              <w:pStyle w:val="BodyText"/>
              <w:rPr>
                <w:rFonts w:cs="Arial"/>
                <w:sz w:val="20"/>
                <w:lang w:val="en-AU"/>
              </w:rPr>
            </w:pPr>
            <w:r w:rsidRPr="00913227">
              <w:rPr>
                <w:rFonts w:cs="Arial" w:asciiTheme="minorHAnsi" w:hAnsiTheme="minorHAnsi"/>
                <w:sz w:val="20"/>
              </w:rPr>
              <w:t>Hypersensitivity to levetiracetam or any of the ingredients.</w:t>
            </w:r>
          </w:p>
        </w:tc>
      </w:tr>
      <w:tr w:rsidRPr="00026F20" w:rsidR="00642615" w:rsidTr="008074AA" w14:paraId="4BD4C1C1" w14:textId="77777777">
        <w:tc>
          <w:tcPr>
            <w:tcW w:w="1702" w:type="dxa"/>
          </w:tcPr>
          <w:p w:rsidRPr="00B53E9B" w:rsidR="00642615" w:rsidP="00131848" w:rsidRDefault="00642615" w14:paraId="3B30B527"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8930" w:type="dxa"/>
          </w:tcPr>
          <w:p w:rsidR="00642615" w:rsidP="00131848" w:rsidRDefault="00642615" w14:paraId="56A27B8C" w14:textId="77777777">
            <w:pPr>
              <w:pStyle w:val="BodyText"/>
              <w:rPr>
                <w:rFonts w:cs="Arial" w:asciiTheme="minorHAnsi" w:hAnsiTheme="minorHAnsi"/>
                <w:sz w:val="20"/>
              </w:rPr>
            </w:pPr>
            <w:r w:rsidRPr="00F12CE6">
              <w:rPr>
                <w:rFonts w:cs="Arial" w:asciiTheme="minorHAnsi" w:hAnsiTheme="minorHAnsi"/>
                <w:sz w:val="20"/>
              </w:rPr>
              <w:t>Do not stop levetiracetam therapy abruptly in infants on prolonged therapy</w:t>
            </w:r>
            <w:r>
              <w:rPr>
                <w:rFonts w:cs="Arial" w:asciiTheme="minorHAnsi" w:hAnsiTheme="minorHAnsi"/>
                <w:sz w:val="20"/>
                <w:lang w:val="en-AU"/>
              </w:rPr>
              <w:t>.</w:t>
            </w:r>
            <w:r w:rsidRPr="00F12CE6">
              <w:rPr>
                <w:rFonts w:cs="Arial" w:asciiTheme="minorHAnsi" w:hAnsiTheme="minorHAnsi"/>
                <w:sz w:val="20"/>
              </w:rPr>
              <w:t xml:space="preserve"> </w:t>
            </w:r>
          </w:p>
          <w:p w:rsidRPr="00F12CE6" w:rsidR="00642615" w:rsidP="00131848" w:rsidRDefault="00642615" w14:paraId="326A96A8" w14:textId="77777777">
            <w:pPr>
              <w:pStyle w:val="BodyText"/>
              <w:rPr>
                <w:rFonts w:cs="Arial" w:asciiTheme="minorHAnsi" w:hAnsiTheme="minorHAnsi"/>
                <w:sz w:val="20"/>
              </w:rPr>
            </w:pPr>
            <w:r w:rsidRPr="00F12CE6">
              <w:rPr>
                <w:rFonts w:cs="Arial" w:asciiTheme="minorHAnsi" w:hAnsiTheme="minorHAnsi"/>
                <w:sz w:val="20"/>
              </w:rPr>
              <w:t xml:space="preserve">Use with caution in renal impairment. </w:t>
            </w:r>
          </w:p>
          <w:p w:rsidRPr="00026F20" w:rsidR="00642615" w:rsidP="00131848" w:rsidRDefault="00642615" w14:paraId="3E227AFB" w14:textId="77777777">
            <w:pPr>
              <w:pStyle w:val="BodyText"/>
              <w:rPr>
                <w:rFonts w:cs="Arial"/>
                <w:sz w:val="20"/>
                <w:lang w:val="en-AU"/>
              </w:rPr>
            </w:pPr>
            <w:r>
              <w:rPr>
                <w:rFonts w:cs="Arial" w:asciiTheme="minorHAnsi" w:hAnsiTheme="minorHAnsi"/>
                <w:sz w:val="20"/>
                <w:lang w:val="en-AU"/>
              </w:rPr>
              <w:t xml:space="preserve">Preterm neonates - </w:t>
            </w:r>
            <w:r w:rsidRPr="00F12CE6">
              <w:rPr>
                <w:rFonts w:cs="Arial" w:asciiTheme="minorHAnsi" w:hAnsiTheme="minorHAnsi"/>
                <w:sz w:val="20"/>
              </w:rPr>
              <w:t>Although similar dosing has been used</w:t>
            </w:r>
            <w:r>
              <w:rPr>
                <w:rFonts w:cs="Arial" w:asciiTheme="minorHAnsi" w:hAnsiTheme="minorHAnsi"/>
                <w:sz w:val="20"/>
                <w:lang w:val="en-AU"/>
              </w:rPr>
              <w:t xml:space="preserve">, </w:t>
            </w:r>
            <w:r w:rsidRPr="00F12CE6">
              <w:rPr>
                <w:rFonts w:cs="Arial" w:asciiTheme="minorHAnsi" w:hAnsiTheme="minorHAnsi"/>
                <w:sz w:val="20"/>
              </w:rPr>
              <w:t>there are minimal pharmacokinetic data in this population.</w:t>
            </w:r>
          </w:p>
        </w:tc>
      </w:tr>
      <w:tr w:rsidRPr="00026F20" w:rsidR="00642615" w:rsidTr="008074AA" w14:paraId="4669750D" w14:textId="77777777">
        <w:trPr>
          <w:trHeight w:val="70"/>
        </w:trPr>
        <w:tc>
          <w:tcPr>
            <w:tcW w:w="1702" w:type="dxa"/>
          </w:tcPr>
          <w:p w:rsidRPr="00B53E9B" w:rsidR="00642615" w:rsidP="00131848" w:rsidRDefault="00642615" w14:paraId="3C19E966"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8930" w:type="dxa"/>
          </w:tcPr>
          <w:p w:rsidRPr="00026F20" w:rsidR="00642615" w:rsidP="00131848" w:rsidRDefault="00642615" w14:paraId="491BB131" w14:textId="77777777">
            <w:pPr>
              <w:pStyle w:val="BodyText"/>
              <w:rPr>
                <w:rFonts w:cs="Arial"/>
                <w:sz w:val="20"/>
                <w:lang w:val="en-AU"/>
              </w:rPr>
            </w:pPr>
            <w:r>
              <w:rPr>
                <w:rFonts w:asciiTheme="minorHAnsi" w:hAnsiTheme="minorHAnsi"/>
                <w:sz w:val="20"/>
                <w:lang w:val="en-AU"/>
              </w:rPr>
              <w:t xml:space="preserve">Increased clearance by </w:t>
            </w:r>
            <w:r w:rsidRPr="00913227">
              <w:rPr>
                <w:rFonts w:asciiTheme="minorHAnsi" w:hAnsiTheme="minorHAnsi"/>
                <w:sz w:val="20"/>
              </w:rPr>
              <w:t xml:space="preserve">30% </w:t>
            </w:r>
            <w:r>
              <w:rPr>
                <w:rFonts w:asciiTheme="minorHAnsi" w:hAnsiTheme="minorHAnsi"/>
                <w:sz w:val="20"/>
                <w:lang w:val="en-AU"/>
              </w:rPr>
              <w:t xml:space="preserve">was suggested </w:t>
            </w:r>
            <w:r w:rsidRPr="00913227">
              <w:rPr>
                <w:rFonts w:asciiTheme="minorHAnsi" w:hAnsiTheme="minorHAnsi"/>
                <w:sz w:val="20"/>
              </w:rPr>
              <w:t>with co-administration o</w:t>
            </w:r>
            <w:r>
              <w:rPr>
                <w:rFonts w:asciiTheme="minorHAnsi" w:hAnsiTheme="minorHAnsi"/>
                <w:sz w:val="20"/>
              </w:rPr>
              <w:t xml:space="preserve">f phenobarbital </w:t>
            </w:r>
            <w:r w:rsidRPr="00913227">
              <w:rPr>
                <w:rFonts w:asciiTheme="minorHAnsi" w:hAnsiTheme="minorHAnsi"/>
                <w:sz w:val="20"/>
              </w:rPr>
              <w:t>and phenytoin</w:t>
            </w:r>
            <w:r>
              <w:rPr>
                <w:rFonts w:asciiTheme="minorHAnsi" w:hAnsiTheme="minorHAnsi"/>
                <w:sz w:val="20"/>
                <w:lang w:val="en-AU"/>
              </w:rPr>
              <w:t xml:space="preserve"> in children and adults and similar association may explain increased clearance in neonates.</w:t>
            </w:r>
            <w:r>
              <w:rPr>
                <w:rFonts w:asciiTheme="minorHAnsi" w:hAnsiTheme="minorHAnsi"/>
                <w:noProof/>
                <w:sz w:val="20"/>
              </w:rPr>
              <w:t>(2, 4)</w:t>
            </w:r>
          </w:p>
        </w:tc>
      </w:tr>
      <w:tr w:rsidRPr="00AE42FC" w:rsidR="00642615" w:rsidTr="008074AA" w14:paraId="0A5D2ED0" w14:textId="77777777">
        <w:trPr>
          <w:trHeight w:val="332"/>
        </w:trPr>
        <w:tc>
          <w:tcPr>
            <w:tcW w:w="1702" w:type="dxa"/>
          </w:tcPr>
          <w:p w:rsidRPr="00B53E9B" w:rsidR="00642615" w:rsidP="00131848" w:rsidRDefault="00642615" w14:paraId="56BC3BCD"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8930" w:type="dxa"/>
          </w:tcPr>
          <w:p w:rsidRPr="009741FF" w:rsidR="00642615" w:rsidP="00131848" w:rsidRDefault="00642615" w14:paraId="0E4F1DA3" w14:textId="77777777">
            <w:pPr>
              <w:pStyle w:val="BodyText"/>
              <w:rPr>
                <w:rFonts w:cs="Arial" w:asciiTheme="minorHAnsi" w:hAnsiTheme="minorHAnsi"/>
                <w:sz w:val="20"/>
                <w:lang w:val="en-AU"/>
              </w:rPr>
            </w:pPr>
            <w:r w:rsidRPr="009741FF">
              <w:rPr>
                <w:rFonts w:cs="Arial" w:asciiTheme="minorHAnsi" w:hAnsiTheme="minorHAnsi"/>
                <w:sz w:val="20"/>
                <w:lang w:val="en-AU"/>
              </w:rPr>
              <w:t>Well tolerated drug.</w:t>
            </w:r>
          </w:p>
          <w:p w:rsidRPr="009741FF" w:rsidR="00642615" w:rsidP="00131848" w:rsidRDefault="00642615" w14:paraId="0C30BADA" w14:textId="77777777">
            <w:pPr>
              <w:pStyle w:val="BodyText"/>
              <w:rPr>
                <w:rFonts w:cs="Arial" w:asciiTheme="minorHAnsi" w:hAnsiTheme="minorHAnsi"/>
                <w:sz w:val="20"/>
                <w:lang w:val="en-AU"/>
              </w:rPr>
            </w:pPr>
            <w:r w:rsidRPr="009741FF">
              <w:rPr>
                <w:rFonts w:cs="Arial" w:asciiTheme="minorHAnsi" w:hAnsiTheme="minorHAnsi"/>
                <w:sz w:val="20"/>
              </w:rPr>
              <w:t>Sedation and irritability</w:t>
            </w:r>
            <w:r w:rsidRPr="009741FF">
              <w:rPr>
                <w:rFonts w:cs="Arial" w:asciiTheme="minorHAnsi" w:hAnsiTheme="minorHAnsi"/>
                <w:sz w:val="20"/>
                <w:lang w:val="en-AU"/>
              </w:rPr>
              <w:t>.</w:t>
            </w:r>
          </w:p>
          <w:p w:rsidRPr="00AE42FC" w:rsidR="00642615" w:rsidP="00131848" w:rsidRDefault="00642615" w14:paraId="447CFF5B" w14:textId="77777777">
            <w:pPr>
              <w:pStyle w:val="BodyText"/>
              <w:rPr>
                <w:rFonts w:cs="Arial"/>
                <w:sz w:val="20"/>
                <w:highlight w:val="yellow"/>
                <w:lang w:val="en-AU"/>
              </w:rPr>
            </w:pPr>
            <w:r w:rsidRPr="009741FF">
              <w:rPr>
                <w:rFonts w:cs="Arial" w:asciiTheme="minorHAnsi" w:hAnsiTheme="minorHAnsi"/>
                <w:sz w:val="20"/>
                <w:lang w:val="en-AU"/>
              </w:rPr>
              <w:t>R</w:t>
            </w:r>
            <w:r w:rsidRPr="009741FF">
              <w:rPr>
                <w:rFonts w:cs="Arial" w:asciiTheme="minorHAnsi" w:hAnsiTheme="minorHAnsi"/>
                <w:sz w:val="20"/>
              </w:rPr>
              <w:t>are</w:t>
            </w:r>
            <w:r w:rsidRPr="009741FF">
              <w:rPr>
                <w:rFonts w:cs="Arial" w:asciiTheme="minorHAnsi" w:hAnsiTheme="minorHAnsi"/>
                <w:sz w:val="20"/>
                <w:lang w:val="en-AU"/>
              </w:rPr>
              <w:t xml:space="preserve"> (noted in </w:t>
            </w:r>
            <w:r w:rsidRPr="009741FF">
              <w:rPr>
                <w:rFonts w:cs="Arial" w:asciiTheme="minorHAnsi" w:hAnsiTheme="minorHAnsi"/>
                <w:sz w:val="20"/>
              </w:rPr>
              <w:t>children and adults</w:t>
            </w:r>
            <w:r w:rsidRPr="009741FF">
              <w:rPr>
                <w:rFonts w:cs="Arial" w:asciiTheme="minorHAnsi" w:hAnsiTheme="minorHAnsi"/>
                <w:sz w:val="20"/>
                <w:lang w:val="en-AU"/>
              </w:rPr>
              <w:t>, not in neonates so far):</w:t>
            </w:r>
            <w:r w:rsidRPr="009741FF">
              <w:rPr>
                <w:rFonts w:cs="Arial" w:asciiTheme="minorHAnsi" w:hAnsiTheme="minorHAnsi"/>
                <w:sz w:val="20"/>
              </w:rPr>
              <w:t xml:space="preserve"> thrombocytopenia, leukopenia, neutropenia, toxic epidermal necrolysis, Stevens-Johnson syndrome, erythema multiforme, hepatitis, hepatic failure, weight loss, pancreatitis.</w:t>
            </w:r>
          </w:p>
        </w:tc>
      </w:tr>
      <w:tr w:rsidRPr="00026F20" w:rsidR="00642615" w:rsidTr="008074AA" w14:paraId="34D16778" w14:textId="77777777">
        <w:trPr>
          <w:trHeight w:val="180"/>
        </w:trPr>
        <w:tc>
          <w:tcPr>
            <w:tcW w:w="1702" w:type="dxa"/>
          </w:tcPr>
          <w:p w:rsidRPr="00B53E9B" w:rsidR="00642615" w:rsidP="00131848" w:rsidRDefault="00642615" w14:paraId="33D9927E" w14:textId="77777777">
            <w:pPr>
              <w:pStyle w:val="BodyText"/>
              <w:rPr>
                <w:rFonts w:cs="Arial"/>
                <w:b/>
                <w:bCs/>
                <w:sz w:val="20"/>
                <w:lang w:val="en-AU"/>
              </w:rPr>
            </w:pPr>
            <w:r w:rsidRPr="00B53E9B">
              <w:rPr>
                <w:rFonts w:cs="Arial"/>
                <w:b/>
                <w:bCs/>
                <w:sz w:val="20"/>
                <w:lang w:val="en-AU"/>
              </w:rPr>
              <w:t>Compatibility</w:t>
            </w:r>
          </w:p>
        </w:tc>
        <w:tc>
          <w:tcPr>
            <w:tcW w:w="8930" w:type="dxa"/>
          </w:tcPr>
          <w:p w:rsidRPr="00F12CE6" w:rsidR="00642615" w:rsidP="00131848" w:rsidRDefault="00642615" w14:paraId="3CD5B6B4" w14:textId="77777777">
            <w:pPr>
              <w:pStyle w:val="BodyText"/>
              <w:rPr>
                <w:rFonts w:cs="Arial" w:asciiTheme="minorHAnsi" w:hAnsiTheme="minorHAnsi"/>
                <w:sz w:val="20"/>
              </w:rPr>
            </w:pPr>
            <w:r w:rsidRPr="00F12CE6">
              <w:rPr>
                <w:rFonts w:cs="Arial" w:asciiTheme="minorHAnsi" w:hAnsiTheme="minorHAnsi"/>
                <w:sz w:val="20"/>
              </w:rPr>
              <w:t>Fluids</w:t>
            </w:r>
            <w:r>
              <w:rPr>
                <w:rFonts w:cs="Arial" w:asciiTheme="minorHAnsi" w:hAnsiTheme="minorHAnsi"/>
                <w:sz w:val="20"/>
                <w:lang w:val="en-AU"/>
              </w:rPr>
              <w:t xml:space="preserve"> (15)</w:t>
            </w:r>
            <w:r w:rsidRPr="00F12CE6">
              <w:rPr>
                <w:rFonts w:cs="Arial" w:asciiTheme="minorHAnsi" w:hAnsiTheme="minorHAnsi"/>
                <w:sz w:val="20"/>
              </w:rPr>
              <w:t xml:space="preserve">: Glucose 5% (10% not tested), sodium chloride 0.9%. </w:t>
            </w:r>
          </w:p>
          <w:p w:rsidRPr="00F12CE6" w:rsidR="00642615" w:rsidP="00131848" w:rsidRDefault="00642615" w14:paraId="6DCEE371" w14:textId="77777777">
            <w:pPr>
              <w:pStyle w:val="BodyText"/>
              <w:rPr>
                <w:rFonts w:cs="Arial" w:asciiTheme="minorHAnsi" w:hAnsiTheme="minorHAnsi"/>
                <w:sz w:val="20"/>
              </w:rPr>
            </w:pPr>
          </w:p>
          <w:p w:rsidRPr="00026F20" w:rsidR="00642615" w:rsidP="00131848" w:rsidRDefault="00642615" w14:paraId="34F84DE7" w14:textId="77777777">
            <w:pPr>
              <w:pStyle w:val="BodyText"/>
              <w:rPr>
                <w:sz w:val="20"/>
                <w:lang w:val="en-AU"/>
              </w:rPr>
            </w:pPr>
            <w:r w:rsidRPr="00F12CE6">
              <w:rPr>
                <w:rFonts w:cs="Arial" w:asciiTheme="minorHAnsi" w:hAnsiTheme="minorHAnsi"/>
                <w:sz w:val="20"/>
              </w:rPr>
              <w:t>Y-site</w:t>
            </w:r>
            <w:r>
              <w:rPr>
                <w:rFonts w:cs="Arial" w:asciiTheme="minorHAnsi" w:hAnsiTheme="minorHAnsi"/>
                <w:sz w:val="20"/>
                <w:lang w:val="en-AU"/>
              </w:rPr>
              <w:t xml:space="preserve"> (15,16)</w:t>
            </w:r>
            <w:r w:rsidRPr="00F12CE6">
              <w:rPr>
                <w:rFonts w:cs="Arial" w:asciiTheme="minorHAnsi" w:hAnsiTheme="minorHAnsi"/>
                <w:sz w:val="20"/>
              </w:rPr>
              <w:t>: No information available.</w:t>
            </w:r>
          </w:p>
        </w:tc>
      </w:tr>
      <w:tr w:rsidRPr="00026F20" w:rsidR="00642615" w:rsidTr="008074AA" w14:paraId="66636848" w14:textId="77777777">
        <w:trPr>
          <w:trHeight w:val="230"/>
        </w:trPr>
        <w:tc>
          <w:tcPr>
            <w:tcW w:w="1702" w:type="dxa"/>
          </w:tcPr>
          <w:p w:rsidRPr="00B53E9B" w:rsidR="00642615" w:rsidP="00131848" w:rsidRDefault="00642615" w14:paraId="607B242F" w14:textId="77777777">
            <w:pPr>
              <w:pStyle w:val="BodyText"/>
              <w:rPr>
                <w:rFonts w:cs="Arial"/>
                <w:b/>
                <w:bCs/>
                <w:sz w:val="20"/>
                <w:lang w:val="en-AU"/>
              </w:rPr>
            </w:pPr>
            <w:r w:rsidRPr="00B53E9B">
              <w:rPr>
                <w:rFonts w:cs="Arial"/>
                <w:b/>
                <w:bCs/>
                <w:sz w:val="20"/>
                <w:lang w:val="en-AU"/>
              </w:rPr>
              <w:t>Incompatibility</w:t>
            </w:r>
          </w:p>
        </w:tc>
        <w:tc>
          <w:tcPr>
            <w:tcW w:w="8930" w:type="dxa"/>
          </w:tcPr>
          <w:p w:rsidRPr="00F12CE6" w:rsidR="00642615" w:rsidP="00131848" w:rsidRDefault="00642615" w14:paraId="6F2804C0" w14:textId="77777777">
            <w:pPr>
              <w:pStyle w:val="BodyText"/>
              <w:rPr>
                <w:rFonts w:cs="Arial" w:asciiTheme="minorHAnsi" w:hAnsiTheme="minorHAnsi"/>
                <w:sz w:val="20"/>
              </w:rPr>
            </w:pPr>
            <w:r>
              <w:rPr>
                <w:rFonts w:cs="Arial" w:asciiTheme="minorHAnsi" w:hAnsiTheme="minorHAnsi"/>
                <w:sz w:val="20"/>
              </w:rPr>
              <w:t>Fluids: No information</w:t>
            </w:r>
            <w:r w:rsidRPr="00F12CE6">
              <w:rPr>
                <w:rFonts w:cs="Arial" w:asciiTheme="minorHAnsi" w:hAnsiTheme="minorHAnsi"/>
                <w:sz w:val="20"/>
              </w:rPr>
              <w:t>.</w:t>
            </w:r>
          </w:p>
          <w:p w:rsidRPr="00F12CE6" w:rsidR="00642615" w:rsidP="00131848" w:rsidRDefault="00642615" w14:paraId="6D4B263E" w14:textId="77777777">
            <w:pPr>
              <w:pStyle w:val="BodyText"/>
              <w:rPr>
                <w:rFonts w:cs="Arial" w:asciiTheme="minorHAnsi" w:hAnsiTheme="minorHAnsi"/>
                <w:color w:val="FF0000"/>
                <w:sz w:val="20"/>
              </w:rPr>
            </w:pPr>
          </w:p>
          <w:p w:rsidRPr="00026F20" w:rsidR="00642615" w:rsidP="00131848" w:rsidRDefault="00642615" w14:paraId="77071952" w14:textId="77777777">
            <w:pPr>
              <w:pStyle w:val="BodyText"/>
              <w:rPr>
                <w:rFonts w:cs="Arial"/>
                <w:sz w:val="20"/>
                <w:lang w:val="en-AU"/>
              </w:rPr>
            </w:pPr>
            <w:r w:rsidRPr="00F12CE6">
              <w:rPr>
                <w:rFonts w:cs="Arial" w:asciiTheme="minorHAnsi" w:hAnsiTheme="minorHAnsi"/>
                <w:sz w:val="20"/>
              </w:rPr>
              <w:t>Y-site</w:t>
            </w:r>
            <w:r>
              <w:rPr>
                <w:rFonts w:cs="Arial" w:asciiTheme="minorHAnsi" w:hAnsiTheme="minorHAnsi"/>
                <w:sz w:val="20"/>
                <w:lang w:val="en-AU"/>
              </w:rPr>
              <w:t xml:space="preserve"> (15,16)</w:t>
            </w:r>
            <w:r w:rsidRPr="00F12CE6">
              <w:rPr>
                <w:rFonts w:cs="Arial" w:asciiTheme="minorHAnsi" w:hAnsiTheme="minorHAnsi"/>
                <w:sz w:val="20"/>
              </w:rPr>
              <w:t xml:space="preserve">: </w:t>
            </w:r>
            <w:r>
              <w:rPr>
                <w:rFonts w:cs="Arial" w:asciiTheme="minorHAnsi" w:hAnsiTheme="minorHAnsi"/>
                <w:sz w:val="20"/>
                <w:lang w:val="en-AU"/>
              </w:rPr>
              <w:t>No information</w:t>
            </w:r>
            <w:r w:rsidRPr="00F12CE6">
              <w:rPr>
                <w:rFonts w:cs="Arial" w:asciiTheme="minorHAnsi" w:hAnsiTheme="minorHAnsi"/>
                <w:sz w:val="20"/>
              </w:rPr>
              <w:t>.</w:t>
            </w:r>
          </w:p>
        </w:tc>
      </w:tr>
      <w:tr w:rsidRPr="00026F20" w:rsidR="00642615" w:rsidTr="008074AA" w14:paraId="1AA1B007" w14:textId="77777777">
        <w:trPr>
          <w:trHeight w:val="79"/>
        </w:trPr>
        <w:tc>
          <w:tcPr>
            <w:tcW w:w="1702" w:type="dxa"/>
          </w:tcPr>
          <w:p w:rsidRPr="00B53E9B" w:rsidR="00642615" w:rsidP="00131848" w:rsidRDefault="00642615" w14:paraId="0EA477FD" w14:textId="77777777">
            <w:pPr>
              <w:pStyle w:val="BodyText"/>
              <w:rPr>
                <w:rFonts w:cs="Arial"/>
                <w:b/>
                <w:bCs/>
                <w:sz w:val="20"/>
                <w:lang w:val="en-AU"/>
              </w:rPr>
            </w:pPr>
            <w:r w:rsidRPr="00B53E9B">
              <w:rPr>
                <w:rFonts w:cs="Arial"/>
                <w:b/>
                <w:bCs/>
                <w:sz w:val="20"/>
                <w:lang w:val="en-AU"/>
              </w:rPr>
              <w:t xml:space="preserve">Stability   </w:t>
            </w:r>
          </w:p>
        </w:tc>
        <w:tc>
          <w:tcPr>
            <w:tcW w:w="8930" w:type="dxa"/>
          </w:tcPr>
          <w:p w:rsidRPr="001F170E" w:rsidR="00642615" w:rsidP="00131848" w:rsidRDefault="00642615" w14:paraId="569BD29E" w14:textId="77777777">
            <w:pPr>
              <w:pStyle w:val="BodyText"/>
              <w:rPr>
                <w:rFonts w:cs="Arial" w:asciiTheme="minorHAnsi" w:hAnsiTheme="minorHAnsi"/>
                <w:sz w:val="20"/>
              </w:rPr>
            </w:pPr>
            <w:r w:rsidRPr="001F170E">
              <w:rPr>
                <w:rFonts w:cs="Arial" w:asciiTheme="minorHAnsi" w:hAnsiTheme="minorHAnsi"/>
                <w:sz w:val="20"/>
              </w:rPr>
              <w:t xml:space="preserve">IV diluted solution </w:t>
            </w:r>
            <w:r>
              <w:rPr>
                <w:rFonts w:cs="Arial" w:asciiTheme="minorHAnsi" w:hAnsiTheme="minorHAnsi"/>
                <w:sz w:val="20"/>
              </w:rPr>
              <w:t>–</w:t>
            </w:r>
            <w:r w:rsidRPr="001F170E">
              <w:rPr>
                <w:rFonts w:cs="Arial" w:asciiTheme="minorHAnsi" w:hAnsiTheme="minorHAnsi"/>
                <w:sz w:val="20"/>
              </w:rPr>
              <w:t xml:space="preserve"> Sandoz</w:t>
            </w:r>
            <w:r>
              <w:rPr>
                <w:rFonts w:cs="Arial" w:asciiTheme="minorHAnsi" w:hAnsiTheme="minorHAnsi"/>
                <w:sz w:val="20"/>
                <w:lang w:val="en-US"/>
              </w:rPr>
              <w:t>, AFT</w:t>
            </w:r>
            <w:r w:rsidRPr="001F170E">
              <w:rPr>
                <w:rFonts w:cs="Arial" w:asciiTheme="minorHAnsi" w:hAnsiTheme="minorHAnsi"/>
                <w:sz w:val="20"/>
              </w:rPr>
              <w:t xml:space="preserve">: </w:t>
            </w:r>
            <w:r>
              <w:rPr>
                <w:rFonts w:cs="Arial" w:asciiTheme="minorHAnsi" w:hAnsiTheme="minorHAnsi"/>
                <w:sz w:val="20"/>
                <w:lang w:val="en-US"/>
              </w:rPr>
              <w:t xml:space="preserve">stable for 24 hours at </w:t>
            </w:r>
            <w:r w:rsidRPr="001F170E">
              <w:rPr>
                <w:rFonts w:cs="Arial" w:asciiTheme="minorHAnsi" w:hAnsiTheme="minorHAnsi"/>
                <w:sz w:val="20"/>
              </w:rPr>
              <w:t>2−8°C</w:t>
            </w:r>
            <w:r>
              <w:rPr>
                <w:rFonts w:cs="Arial" w:asciiTheme="minorHAnsi" w:hAnsiTheme="minorHAnsi"/>
                <w:sz w:val="20"/>
                <w:lang w:val="en-US"/>
              </w:rPr>
              <w:t xml:space="preserve"> or</w:t>
            </w:r>
            <w:r w:rsidRPr="001F170E">
              <w:rPr>
                <w:rFonts w:cs="Arial" w:asciiTheme="minorHAnsi" w:hAnsiTheme="minorHAnsi"/>
                <w:sz w:val="20"/>
              </w:rPr>
              <w:t xml:space="preserve"> for 6 hours at 25°C.</w:t>
            </w:r>
            <w:r>
              <w:rPr>
                <w:rFonts w:cs="Arial" w:asciiTheme="minorHAnsi" w:hAnsiTheme="minorHAnsi"/>
                <w:sz w:val="20"/>
                <w:lang w:val="en-US"/>
              </w:rPr>
              <w:t xml:space="preserve"> Hospira, Apotex</w:t>
            </w:r>
            <w:r w:rsidRPr="001F170E">
              <w:rPr>
                <w:rFonts w:cs="Arial" w:asciiTheme="minorHAnsi" w:hAnsiTheme="minorHAnsi"/>
                <w:sz w:val="20"/>
              </w:rPr>
              <w:t xml:space="preserve">: stable for 24 hours at 2−8°C. </w:t>
            </w:r>
          </w:p>
          <w:p w:rsidRPr="00026F20" w:rsidR="00642615" w:rsidP="00131848" w:rsidRDefault="00642615" w14:paraId="32EBC999" w14:textId="77777777">
            <w:pPr>
              <w:pStyle w:val="BodyText"/>
              <w:rPr>
                <w:rFonts w:cs="Arial"/>
                <w:sz w:val="20"/>
                <w:lang w:val="en-AU"/>
              </w:rPr>
            </w:pPr>
            <w:r>
              <w:rPr>
                <w:rFonts w:cs="Arial" w:asciiTheme="minorHAnsi" w:hAnsiTheme="minorHAnsi"/>
                <w:sz w:val="20"/>
                <w:lang w:val="en-US"/>
              </w:rPr>
              <w:t>O</w:t>
            </w:r>
            <w:r w:rsidRPr="001F170E">
              <w:rPr>
                <w:rFonts w:cs="Arial" w:asciiTheme="minorHAnsi" w:hAnsiTheme="minorHAnsi"/>
                <w:sz w:val="20"/>
              </w:rPr>
              <w:t>ral solution: Once opened, discard after 7 months.</w:t>
            </w:r>
          </w:p>
        </w:tc>
      </w:tr>
      <w:tr w:rsidRPr="00026F20" w:rsidR="00642615" w:rsidTr="008074AA" w14:paraId="6E13DCDC" w14:textId="77777777">
        <w:trPr>
          <w:trHeight w:val="70"/>
        </w:trPr>
        <w:tc>
          <w:tcPr>
            <w:tcW w:w="1702" w:type="dxa"/>
          </w:tcPr>
          <w:p w:rsidRPr="00B53E9B" w:rsidR="00642615" w:rsidP="00131848" w:rsidRDefault="00642615" w14:paraId="47EAADEC" w14:textId="77777777">
            <w:pPr>
              <w:pStyle w:val="BodyText"/>
              <w:rPr>
                <w:rFonts w:cs="Arial"/>
                <w:b/>
                <w:bCs/>
                <w:sz w:val="20"/>
                <w:lang w:val="en-AU"/>
              </w:rPr>
            </w:pPr>
            <w:r w:rsidRPr="00B53E9B">
              <w:rPr>
                <w:rFonts w:cs="Arial"/>
                <w:b/>
                <w:bCs/>
                <w:sz w:val="20"/>
                <w:lang w:val="en-AU"/>
              </w:rPr>
              <w:t xml:space="preserve">Storage             </w:t>
            </w:r>
          </w:p>
        </w:tc>
        <w:tc>
          <w:tcPr>
            <w:tcW w:w="8930" w:type="dxa"/>
          </w:tcPr>
          <w:p w:rsidRPr="00026F20" w:rsidR="00642615" w:rsidP="00131848" w:rsidRDefault="00642615" w14:paraId="111F051D" w14:textId="77777777">
            <w:pPr>
              <w:pStyle w:val="BodyText"/>
              <w:rPr>
                <w:rFonts w:cs="Arial"/>
                <w:sz w:val="20"/>
                <w:lang w:val="en-AU"/>
              </w:rPr>
            </w:pPr>
            <w:r>
              <w:rPr>
                <w:rFonts w:cs="Arial" w:asciiTheme="minorHAnsi" w:hAnsiTheme="minorHAnsi"/>
                <w:sz w:val="20"/>
                <w:lang w:val="en-AU"/>
              </w:rPr>
              <w:t xml:space="preserve">IV and Oral: </w:t>
            </w:r>
            <w:r w:rsidRPr="00F12CE6">
              <w:rPr>
                <w:rFonts w:cs="Arial" w:asciiTheme="minorHAnsi" w:hAnsiTheme="minorHAnsi"/>
                <w:sz w:val="20"/>
              </w:rPr>
              <w:t xml:space="preserve">Store below 25°C. </w:t>
            </w:r>
          </w:p>
        </w:tc>
      </w:tr>
      <w:tr w:rsidRPr="00026F20" w:rsidR="00642615" w:rsidTr="008074AA" w14:paraId="59164468" w14:textId="77777777">
        <w:trPr>
          <w:trHeight w:val="70"/>
        </w:trPr>
        <w:tc>
          <w:tcPr>
            <w:tcW w:w="1702" w:type="dxa"/>
          </w:tcPr>
          <w:p w:rsidRPr="00B53E9B" w:rsidR="00642615" w:rsidP="00131848" w:rsidRDefault="00642615" w14:paraId="0B0CCE06" w14:textId="77777777">
            <w:pPr>
              <w:pStyle w:val="BodyText"/>
              <w:rPr>
                <w:rFonts w:cs="Arial"/>
                <w:b/>
                <w:bCs/>
                <w:sz w:val="20"/>
                <w:lang w:val="en-AU"/>
              </w:rPr>
            </w:pPr>
            <w:r w:rsidRPr="00B53E9B">
              <w:rPr>
                <w:rFonts w:cs="Arial"/>
                <w:b/>
                <w:bCs/>
                <w:sz w:val="20"/>
                <w:lang w:val="en-AU"/>
              </w:rPr>
              <w:t>Excipients</w:t>
            </w:r>
          </w:p>
        </w:tc>
        <w:tc>
          <w:tcPr>
            <w:tcW w:w="8930" w:type="dxa"/>
          </w:tcPr>
          <w:p w:rsidRPr="001F170E" w:rsidR="00642615" w:rsidP="00131848" w:rsidRDefault="00642615" w14:paraId="05487774" w14:textId="77777777">
            <w:pPr>
              <w:pStyle w:val="BodyText"/>
              <w:rPr>
                <w:rFonts w:cs="Arial"/>
                <w:sz w:val="20"/>
                <w:lang w:val="en-AU"/>
              </w:rPr>
            </w:pPr>
            <w:r w:rsidRPr="001F170E">
              <w:rPr>
                <w:rFonts w:cs="Arial"/>
                <w:sz w:val="20"/>
                <w:lang w:val="en-AU"/>
              </w:rPr>
              <w:t xml:space="preserve">Oral: </w:t>
            </w:r>
            <w:r>
              <w:rPr>
                <w:rFonts w:cs="Arial"/>
                <w:sz w:val="20"/>
                <w:lang w:val="en-AU"/>
              </w:rPr>
              <w:t>s</w:t>
            </w:r>
            <w:r w:rsidRPr="001F170E">
              <w:rPr>
                <w:rFonts w:cs="Arial"/>
                <w:sz w:val="20"/>
                <w:lang w:val="en-AU"/>
              </w:rPr>
              <w:t>odium citrate</w:t>
            </w:r>
            <w:r>
              <w:rPr>
                <w:rFonts w:cs="Arial"/>
                <w:sz w:val="20"/>
                <w:lang w:val="en-AU"/>
              </w:rPr>
              <w:t xml:space="preserve"> or sodium citrate</w:t>
            </w:r>
            <w:r w:rsidRPr="001F170E">
              <w:rPr>
                <w:rFonts w:cs="Arial"/>
                <w:sz w:val="20"/>
                <w:lang w:val="en-AU"/>
              </w:rPr>
              <w:t xml:space="preserve"> dihydrate, citric acid monohydrate, methyl hydroxybenzoate, propyl hydroxybenzoate, ammonium glycyrrhizate, glycerol, maltitol solution, acesulfame potassium, grape </w:t>
            </w:r>
            <w:r>
              <w:rPr>
                <w:rFonts w:cs="Arial"/>
                <w:sz w:val="20"/>
                <w:lang w:val="en-AU"/>
              </w:rPr>
              <w:t xml:space="preserve">or grapefruit </w:t>
            </w:r>
            <w:r w:rsidRPr="001F170E">
              <w:rPr>
                <w:rFonts w:cs="Arial"/>
                <w:sz w:val="20"/>
                <w:lang w:val="en-AU"/>
              </w:rPr>
              <w:t>flavour and purified water.</w:t>
            </w:r>
            <w:r>
              <w:rPr>
                <w:rFonts w:cs="Arial"/>
                <w:sz w:val="20"/>
                <w:lang w:val="en-AU"/>
              </w:rPr>
              <w:t xml:space="preserve"> Kerron: does not contain ammonium glycyrrhizate but also contains propylene glycol and mafco magnasweet 110.</w:t>
            </w:r>
          </w:p>
          <w:p w:rsidRPr="00026F20" w:rsidR="00642615" w:rsidP="00131848" w:rsidRDefault="00642615" w14:paraId="481B4441" w14:textId="77777777">
            <w:pPr>
              <w:pStyle w:val="BodyText"/>
              <w:rPr>
                <w:rFonts w:cs="Arial"/>
                <w:sz w:val="20"/>
                <w:lang w:val="en-AU"/>
              </w:rPr>
            </w:pPr>
            <w:r w:rsidRPr="001F170E">
              <w:rPr>
                <w:rFonts w:cs="Arial"/>
                <w:sz w:val="20"/>
                <w:lang w:val="en-AU"/>
              </w:rPr>
              <w:t>IV: Apotex, Sandoz</w:t>
            </w:r>
            <w:r>
              <w:rPr>
                <w:rFonts w:cs="Arial"/>
                <w:sz w:val="20"/>
                <w:lang w:val="en-AU"/>
              </w:rPr>
              <w:t>, AFT:</w:t>
            </w:r>
            <w:r w:rsidRPr="001F170E">
              <w:rPr>
                <w:rFonts w:cs="Arial"/>
                <w:sz w:val="20"/>
                <w:lang w:val="en-AU"/>
              </w:rPr>
              <w:t xml:space="preserve"> sodium acetate trihydrate, sodium chloride, glacial acetic acid and water for injection. Hospira: sodium acetate trihydrate, sodium chloride, glacial acetic acid, water for injection and nitrogen.</w:t>
            </w:r>
          </w:p>
        </w:tc>
      </w:tr>
      <w:tr w:rsidRPr="00026F20" w:rsidR="00642615" w:rsidTr="008074AA" w14:paraId="6925E1CE" w14:textId="77777777">
        <w:trPr>
          <w:trHeight w:val="270"/>
        </w:trPr>
        <w:tc>
          <w:tcPr>
            <w:tcW w:w="1702" w:type="dxa"/>
          </w:tcPr>
          <w:p w:rsidRPr="00B53E9B" w:rsidR="00642615" w:rsidP="00131848" w:rsidRDefault="00642615" w14:paraId="464B3EF8"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8930" w:type="dxa"/>
          </w:tcPr>
          <w:p w:rsidRPr="00026F20" w:rsidR="00642615" w:rsidP="00131848" w:rsidRDefault="00642615" w14:paraId="4FBB8D3B" w14:textId="77777777">
            <w:pPr>
              <w:pStyle w:val="BodyText"/>
              <w:rPr>
                <w:rFonts w:cs="Arial"/>
                <w:sz w:val="20"/>
                <w:lang w:val="en-AU"/>
              </w:rPr>
            </w:pPr>
            <w:r w:rsidRPr="00F12CE6">
              <w:rPr>
                <w:rFonts w:cs="Arial" w:asciiTheme="minorHAnsi" w:hAnsiTheme="minorHAnsi"/>
                <w:sz w:val="20"/>
              </w:rPr>
              <w:t xml:space="preserve">In children, oral bioavailability is 100% and no dose adjustment necessary when changing from </w:t>
            </w:r>
            <w:r>
              <w:rPr>
                <w:rFonts w:cs="Arial" w:asciiTheme="minorHAnsi" w:hAnsiTheme="minorHAnsi"/>
                <w:sz w:val="20"/>
              </w:rPr>
              <w:t>IV</w:t>
            </w:r>
            <w:r w:rsidRPr="00F12CE6">
              <w:rPr>
                <w:rFonts w:cs="Arial" w:asciiTheme="minorHAnsi" w:hAnsiTheme="minorHAnsi"/>
                <w:sz w:val="20"/>
              </w:rPr>
              <w:t xml:space="preserve"> to oral or vice versa. If therapy is to be stopped, levetiracetam should be withdrawn slowly in consultation with a paediatric neurologist. A general weaning regim</w:t>
            </w:r>
            <w:r>
              <w:rPr>
                <w:rFonts w:cs="Arial" w:asciiTheme="minorHAnsi" w:hAnsiTheme="minorHAnsi"/>
                <w:sz w:val="20"/>
              </w:rPr>
              <w:t>en</w:t>
            </w:r>
            <w:r w:rsidRPr="00F12CE6">
              <w:rPr>
                <w:rFonts w:cs="Arial" w:asciiTheme="minorHAnsi" w:hAnsiTheme="minorHAnsi"/>
                <w:sz w:val="20"/>
              </w:rPr>
              <w:t xml:space="preserve"> is 20</w:t>
            </w:r>
            <w:r>
              <w:rPr>
                <w:rFonts w:cs="Arial" w:asciiTheme="minorHAnsi" w:hAnsiTheme="minorHAnsi"/>
                <w:sz w:val="20"/>
              </w:rPr>
              <w:t>–</w:t>
            </w:r>
            <w:r w:rsidRPr="00F12CE6">
              <w:rPr>
                <w:rFonts w:cs="Arial" w:asciiTheme="minorHAnsi" w:hAnsiTheme="minorHAnsi"/>
                <w:sz w:val="20"/>
              </w:rPr>
              <w:t xml:space="preserve">25% reduction </w:t>
            </w:r>
            <w:r>
              <w:rPr>
                <w:rFonts w:cs="Arial" w:asciiTheme="minorHAnsi" w:hAnsiTheme="minorHAnsi"/>
                <w:sz w:val="20"/>
              </w:rPr>
              <w:t>per</w:t>
            </w:r>
            <w:r w:rsidRPr="00F12CE6">
              <w:rPr>
                <w:rFonts w:cs="Arial" w:asciiTheme="minorHAnsi" w:hAnsiTheme="minorHAnsi"/>
                <w:sz w:val="20"/>
              </w:rPr>
              <w:t xml:space="preserve"> week over 4</w:t>
            </w:r>
            <w:r>
              <w:rPr>
                <w:rFonts w:cs="Arial" w:asciiTheme="minorHAnsi" w:hAnsiTheme="minorHAnsi"/>
                <w:sz w:val="20"/>
              </w:rPr>
              <w:t>–</w:t>
            </w:r>
            <w:r w:rsidRPr="00F12CE6">
              <w:rPr>
                <w:rFonts w:cs="Arial" w:asciiTheme="minorHAnsi" w:hAnsiTheme="minorHAnsi"/>
                <w:sz w:val="20"/>
              </w:rPr>
              <w:t>5 weeks.</w:t>
            </w:r>
            <w:r>
              <w:rPr>
                <w:rFonts w:cs="Arial" w:asciiTheme="minorHAnsi" w:hAnsiTheme="minorHAnsi"/>
                <w:noProof/>
                <w:sz w:val="20"/>
              </w:rPr>
              <w:t>(5)</w:t>
            </w:r>
          </w:p>
        </w:tc>
      </w:tr>
      <w:tr w:rsidRPr="00026F20" w:rsidR="00642615" w:rsidTr="008074AA" w14:paraId="3C7446B7" w14:textId="77777777">
        <w:trPr>
          <w:trHeight w:val="280"/>
        </w:trPr>
        <w:tc>
          <w:tcPr>
            <w:tcW w:w="1702" w:type="dxa"/>
          </w:tcPr>
          <w:p w:rsidRPr="00B53E9B" w:rsidR="00642615" w:rsidP="00131848" w:rsidRDefault="00642615" w14:paraId="6D547FB7" w14:textId="77777777">
            <w:pPr>
              <w:pStyle w:val="BodyText"/>
              <w:rPr>
                <w:rFonts w:cs="Arial"/>
                <w:b/>
                <w:bCs/>
                <w:sz w:val="20"/>
                <w:lang w:val="en-AU"/>
              </w:rPr>
            </w:pPr>
            <w:r w:rsidRPr="00B53E9B">
              <w:rPr>
                <w:rFonts w:cs="Arial"/>
                <w:b/>
                <w:bCs/>
                <w:sz w:val="20"/>
                <w:lang w:val="en-AU"/>
              </w:rPr>
              <w:t xml:space="preserve">Evidence </w:t>
            </w:r>
          </w:p>
        </w:tc>
        <w:tc>
          <w:tcPr>
            <w:tcW w:w="8930" w:type="dxa"/>
          </w:tcPr>
          <w:p w:rsidRPr="00584E42" w:rsidR="00642615" w:rsidP="00131848" w:rsidRDefault="00642615" w14:paraId="5DB46E30" w14:textId="77777777">
            <w:pPr>
              <w:rPr>
                <w:rFonts w:asciiTheme="minorHAnsi" w:hAnsiTheme="minorHAnsi"/>
                <w:b/>
                <w:sz w:val="16"/>
                <w:szCs w:val="16"/>
              </w:rPr>
            </w:pPr>
            <w:r w:rsidRPr="00584E42">
              <w:rPr>
                <w:rFonts w:asciiTheme="minorHAnsi" w:hAnsiTheme="minorHAnsi"/>
                <w:b/>
                <w:sz w:val="16"/>
                <w:szCs w:val="16"/>
              </w:rPr>
              <w:t>Efficacy</w:t>
            </w:r>
          </w:p>
          <w:p w:rsidRPr="00584E42" w:rsidR="00642615" w:rsidP="00131848" w:rsidRDefault="00642615" w14:paraId="6DF4180D" w14:textId="77777777">
            <w:pPr>
              <w:rPr>
                <w:rFonts w:asciiTheme="minorHAnsi" w:hAnsiTheme="minorHAnsi"/>
                <w:b/>
                <w:sz w:val="16"/>
                <w:szCs w:val="16"/>
              </w:rPr>
            </w:pPr>
            <w:r w:rsidRPr="00584E42">
              <w:rPr>
                <w:rFonts w:asciiTheme="minorHAnsi" w:hAnsiTheme="minorHAnsi"/>
                <w:b/>
                <w:sz w:val="16"/>
                <w:szCs w:val="16"/>
              </w:rPr>
              <w:t xml:space="preserve">Treatment of seizures in term infants: </w:t>
            </w:r>
          </w:p>
          <w:p w:rsidRPr="00584E42" w:rsidR="00642615" w:rsidP="00131848" w:rsidRDefault="00642615" w14:paraId="484BAB26" w14:textId="77777777">
            <w:pPr>
              <w:rPr>
                <w:rFonts w:asciiTheme="minorHAnsi" w:hAnsiTheme="minorHAnsi" w:cstheme="minorHAnsi"/>
                <w:noProof/>
                <w:sz w:val="16"/>
                <w:szCs w:val="16"/>
              </w:rPr>
            </w:pPr>
            <w:r w:rsidRPr="00584E42">
              <w:rPr>
                <w:rFonts w:asciiTheme="minorHAnsi" w:hAnsiTheme="minorHAnsi"/>
                <w:b/>
                <w:sz w:val="16"/>
                <w:szCs w:val="16"/>
              </w:rPr>
              <w:t>Levetiracetam (LEV) versus phenobarbital as first line therapy:</w:t>
            </w:r>
            <w:r w:rsidRPr="00584E42">
              <w:rPr>
                <w:rFonts w:asciiTheme="minorHAnsi" w:hAnsiTheme="minorHAnsi"/>
                <w:sz w:val="16"/>
                <w:szCs w:val="16"/>
              </w:rPr>
              <w:t xml:space="preserve"> A multicentre blinded phase IIb RCT (NEOLEV2 study) investigating the efficacy and safety of levetiracetam compared with phenobarbital as a first line treatment for EEG-confirmed neonatal seizures of any cause found that</w:t>
            </w:r>
            <w:r w:rsidRPr="00584E42">
              <w:rPr>
                <w:sz w:val="16"/>
                <w:szCs w:val="16"/>
              </w:rPr>
              <w:t xml:space="preserve"> </w:t>
            </w:r>
            <w:r w:rsidRPr="00584E42">
              <w:rPr>
                <w:rFonts w:asciiTheme="minorHAnsi" w:hAnsiTheme="minorHAnsi"/>
                <w:sz w:val="16"/>
                <w:szCs w:val="16"/>
              </w:rPr>
              <w:t>80% of neonates in phenobarbital group (20 mg/kg loading followed by additional loading 20 mg/kg if required) remained seizure free for 24 hours, compared with 28% of neonates in levetiracetam (40 mg/kg loading followed by additional 20 mg/kg).</w:t>
            </w:r>
            <w:r w:rsidRPr="00584E42">
              <w:rPr>
                <w:rFonts w:asciiTheme="minorHAnsi" w:hAnsiTheme="minorHAnsi"/>
                <w:noProof/>
                <w:sz w:val="16"/>
                <w:szCs w:val="16"/>
              </w:rPr>
              <w:t>(1)</w:t>
            </w:r>
            <w:r w:rsidRPr="00584E42">
              <w:rPr>
                <w:rFonts w:asciiTheme="minorHAnsi" w:hAnsiTheme="minorHAnsi"/>
                <w:sz w:val="16"/>
                <w:szCs w:val="16"/>
              </w:rPr>
              <w:t xml:space="preserve"> NEOLEV2 study is a well-designed trial with consistent dosages administered for each drug and well-defined escalation protocols. In this study, all neonates had seizures confirmed by continuous electroencephalography and validated by two independent neurophysiologists. Seizure cessation was defined clinically and electrographically and thus captured and monitored the full burden of seizures. Gowda et al, in a single centre, open labelled RCT of clinically detected neonatal seizures, Levetiracetam (20 mg/kg followed by 20 mg/kg) achieved better control than phenobarbitone (20 mg/kg followed by 10 mg/kg) for neonatal seizures when used as first-line antiepileptic drug. Seizure diagnosis in Gowda’s trial was clinical, all neonates were outborn and intervention was an open label.</w:t>
            </w:r>
            <w:r w:rsidRPr="00584E42">
              <w:rPr>
                <w:rFonts w:asciiTheme="minorHAnsi" w:hAnsiTheme="minorHAnsi"/>
                <w:noProof/>
                <w:sz w:val="16"/>
                <w:szCs w:val="16"/>
              </w:rPr>
              <w:t>(6)</w:t>
            </w:r>
            <w:r w:rsidRPr="00584E42">
              <w:rPr>
                <w:rFonts w:asciiTheme="minorHAnsi" w:hAnsiTheme="minorHAnsi"/>
                <w:sz w:val="16"/>
                <w:szCs w:val="16"/>
              </w:rPr>
              <w:t xml:space="preserve"> </w:t>
            </w:r>
            <w:r w:rsidRPr="00584E42">
              <w:rPr>
                <w:rFonts w:asciiTheme="minorHAnsi" w:hAnsiTheme="minorHAnsi" w:cstheme="minorHAnsi"/>
                <w:sz w:val="16"/>
                <w:szCs w:val="16"/>
              </w:rPr>
              <w:t>There are other retrospective and cohort studies with varied outcomes.</w:t>
            </w:r>
            <w:r w:rsidRPr="00584E42">
              <w:rPr>
                <w:rFonts w:asciiTheme="minorHAnsi" w:hAnsiTheme="minorHAnsi" w:cstheme="minorHAnsi"/>
                <w:noProof/>
                <w:sz w:val="16"/>
                <w:szCs w:val="16"/>
              </w:rPr>
              <w:t>(7)</w:t>
            </w:r>
          </w:p>
          <w:p w:rsidRPr="00584E42" w:rsidR="00642615" w:rsidP="00131848" w:rsidRDefault="00642615" w14:paraId="19F1B789" w14:textId="77777777">
            <w:pPr>
              <w:rPr>
                <w:rFonts w:asciiTheme="minorHAnsi" w:hAnsiTheme="minorHAnsi" w:cstheme="minorHAnsi"/>
                <w:sz w:val="16"/>
                <w:szCs w:val="16"/>
                <w:lang w:eastAsia="en-AU"/>
              </w:rPr>
            </w:pPr>
            <w:r w:rsidRPr="00584E42">
              <w:rPr>
                <w:rFonts w:asciiTheme="minorHAnsi" w:hAnsiTheme="minorHAnsi" w:cstheme="minorHAnsi"/>
                <w:b/>
                <w:noProof/>
                <w:sz w:val="16"/>
                <w:szCs w:val="16"/>
              </w:rPr>
              <w:t xml:space="preserve">Dose regimen for acute neonatal seizures: </w:t>
            </w:r>
            <w:r w:rsidRPr="00584E42">
              <w:rPr>
                <w:rFonts w:asciiTheme="minorHAnsi" w:hAnsiTheme="minorHAnsi" w:cstheme="minorHAnsi"/>
                <w:b/>
                <w:sz w:val="16"/>
                <w:szCs w:val="16"/>
              </w:rPr>
              <w:t xml:space="preserve"> </w:t>
            </w:r>
            <w:r w:rsidRPr="00584E42">
              <w:rPr>
                <w:rFonts w:asciiTheme="minorHAnsi" w:hAnsiTheme="minorHAnsi" w:cstheme="minorHAnsi"/>
                <w:sz w:val="16"/>
                <w:szCs w:val="16"/>
              </w:rPr>
              <w:t>Sharpe C.M. et al (2) proposed a maintenance dosing regimen of 10 mg/kg/dose 8 hourly following loading dose of 40 mg/kg to maintain trough levels above 20 mg/L during the first 3 days of treatment when seizures occur more frequently. Although the LEV dose proposed (10 mg/kg/dose 8 hourly) by Sharpe et al is higher than those indicated for the neonatal population, the risk of significant adverse effects is minimal for LEV because of its wide therapeutic index.</w:t>
            </w:r>
            <w:r w:rsidRPr="00584E42">
              <w:rPr>
                <w:sz w:val="16"/>
                <w:szCs w:val="16"/>
              </w:rPr>
              <w:t xml:space="preserve"> </w:t>
            </w:r>
            <w:r w:rsidRPr="00584E42">
              <w:rPr>
                <w:rFonts w:asciiTheme="minorHAnsi" w:hAnsiTheme="minorHAnsi" w:cstheme="minorHAnsi"/>
                <w:sz w:val="16"/>
                <w:szCs w:val="16"/>
              </w:rPr>
              <w:t xml:space="preserve">This study included term infants during the first few days of life with relatively normal renal function for age. Given the dynamic nature of LEV clearance (CL) in our study population, preterm and older term infants or those with some renal dysfunction are likely to have different LEV CL and possibly altered dosing requirements. However, LEV has a wide safety margin. </w:t>
            </w:r>
          </w:p>
          <w:p w:rsidRPr="00584E42" w:rsidR="00642615" w:rsidP="00131848" w:rsidRDefault="00642615" w14:paraId="691AB75E" w14:textId="77777777">
            <w:pPr>
              <w:rPr>
                <w:rFonts w:ascii="AdvTT08640291" w:hAnsi="AdvTT08640291" w:cs="AdvTT08640291"/>
                <w:sz w:val="16"/>
                <w:szCs w:val="16"/>
                <w:lang w:eastAsia="en-AU"/>
              </w:rPr>
            </w:pPr>
          </w:p>
          <w:p w:rsidRPr="00584E42" w:rsidR="00642615" w:rsidP="00131848" w:rsidRDefault="00642615" w14:paraId="40F97E9E" w14:textId="77777777">
            <w:pPr>
              <w:rPr>
                <w:rFonts w:asciiTheme="minorHAnsi" w:hAnsiTheme="minorHAnsi"/>
                <w:sz w:val="16"/>
                <w:szCs w:val="16"/>
              </w:rPr>
            </w:pPr>
            <w:r w:rsidRPr="00584E42">
              <w:rPr>
                <w:rFonts w:asciiTheme="minorHAnsi" w:hAnsiTheme="minorHAnsi"/>
                <w:b/>
                <w:sz w:val="16"/>
                <w:szCs w:val="16"/>
              </w:rPr>
              <w:t xml:space="preserve">Treatment of seizures in preterm infants: </w:t>
            </w:r>
            <w:r w:rsidRPr="00584E42">
              <w:rPr>
                <w:rFonts w:asciiTheme="minorHAnsi" w:hAnsiTheme="minorHAnsi"/>
                <w:sz w:val="16"/>
                <w:szCs w:val="16"/>
              </w:rPr>
              <w:t>Studies reported varied response rates to levetiracetam when used either first line or for seizures refractory to other anti-epileptic drugs. Loading doses ranged from 10–60 mg/kg/day and maintenance dose 10-30 mg/kg/day were used.</w:t>
            </w:r>
            <w:r w:rsidRPr="00584E42">
              <w:rPr>
                <w:rFonts w:asciiTheme="minorHAnsi" w:hAnsiTheme="minorHAnsi"/>
                <w:noProof/>
                <w:sz w:val="16"/>
                <w:szCs w:val="16"/>
              </w:rPr>
              <w:t>(8-11)</w:t>
            </w:r>
            <w:r w:rsidRPr="00584E42">
              <w:rPr>
                <w:rFonts w:asciiTheme="minorHAnsi" w:hAnsiTheme="minorHAnsi"/>
                <w:sz w:val="16"/>
                <w:szCs w:val="16"/>
              </w:rPr>
              <w:t xml:space="preserve"> (LOE IV)</w:t>
            </w:r>
          </w:p>
          <w:p w:rsidRPr="00584E42" w:rsidR="00642615" w:rsidP="00131848" w:rsidRDefault="00642615" w14:paraId="3E7B5BB3" w14:textId="77777777">
            <w:pPr>
              <w:rPr>
                <w:rFonts w:asciiTheme="minorHAnsi" w:hAnsiTheme="minorHAnsi"/>
                <w:sz w:val="16"/>
                <w:szCs w:val="16"/>
              </w:rPr>
            </w:pPr>
            <w:r w:rsidRPr="00584E42">
              <w:rPr>
                <w:rFonts w:asciiTheme="minorHAnsi" w:hAnsiTheme="minorHAnsi"/>
                <w:b/>
                <w:sz w:val="16"/>
                <w:szCs w:val="16"/>
              </w:rPr>
              <w:lastRenderedPageBreak/>
              <w:t xml:space="preserve">Therapeutic hypothermia (TH): </w:t>
            </w:r>
            <w:r w:rsidRPr="00584E42">
              <w:rPr>
                <w:rFonts w:asciiTheme="minorHAnsi" w:hAnsiTheme="minorHAnsi"/>
                <w:sz w:val="16"/>
                <w:szCs w:val="16"/>
              </w:rPr>
              <w:t>Sharpe et al. published population pharmacokinetic analysis of 18 neonates that showed that clearance increased by 90% on day 7 of life compared with day 1. Five of these infants were treated with TH. In the analysis, TH was not a significant covariate on levetiracetam clearance.</w:t>
            </w:r>
            <w:r w:rsidRPr="00584E42">
              <w:rPr>
                <w:rFonts w:asciiTheme="minorHAnsi" w:hAnsiTheme="minorHAnsi"/>
                <w:noProof/>
                <w:sz w:val="16"/>
                <w:szCs w:val="16"/>
              </w:rPr>
              <w:t>(2)</w:t>
            </w:r>
            <w:r w:rsidRPr="00584E42">
              <w:rPr>
                <w:rFonts w:asciiTheme="minorHAnsi" w:hAnsiTheme="minorHAnsi"/>
                <w:sz w:val="16"/>
                <w:szCs w:val="16"/>
              </w:rPr>
              <w:t xml:space="preserve"> </w:t>
            </w:r>
          </w:p>
          <w:p w:rsidRPr="00584E42" w:rsidR="00642615" w:rsidP="00131848" w:rsidRDefault="00642615" w14:paraId="1D79B5E0" w14:textId="77777777">
            <w:pPr>
              <w:rPr>
                <w:rFonts w:asciiTheme="minorHAnsi" w:hAnsiTheme="minorHAnsi"/>
                <w:b/>
                <w:sz w:val="16"/>
                <w:szCs w:val="16"/>
              </w:rPr>
            </w:pPr>
            <w:r w:rsidRPr="00584E42">
              <w:rPr>
                <w:rFonts w:asciiTheme="minorHAnsi" w:hAnsiTheme="minorHAnsi"/>
                <w:b/>
                <w:sz w:val="16"/>
                <w:szCs w:val="16"/>
              </w:rPr>
              <w:t xml:space="preserve">Renal impairment: </w:t>
            </w:r>
            <w:r w:rsidRPr="00584E42">
              <w:rPr>
                <w:rFonts w:asciiTheme="minorHAnsi" w:hAnsiTheme="minorHAnsi"/>
                <w:sz w:val="16"/>
                <w:szCs w:val="16"/>
              </w:rPr>
              <w:t>The majority of the administered LEV dose is excreted unchanged by kidneys.</w:t>
            </w:r>
            <w:r w:rsidRPr="00584E42">
              <w:rPr>
                <w:rFonts w:asciiTheme="minorHAnsi" w:hAnsiTheme="minorHAnsi"/>
                <w:b/>
                <w:sz w:val="16"/>
                <w:szCs w:val="16"/>
              </w:rPr>
              <w:t xml:space="preserve"> </w:t>
            </w:r>
            <w:r w:rsidRPr="00584E42">
              <w:rPr>
                <w:rFonts w:asciiTheme="minorHAnsi" w:hAnsiTheme="minorHAnsi"/>
                <w:sz w:val="16"/>
                <w:szCs w:val="16"/>
              </w:rPr>
              <w:t>Adult data suggests that renal impairment will decrease the clearance of LEV and, therefore, increase the half-life.</w:t>
            </w:r>
            <w:r w:rsidRPr="00584E42">
              <w:rPr>
                <w:rFonts w:asciiTheme="minorHAnsi" w:hAnsiTheme="minorHAnsi"/>
                <w:noProof/>
                <w:sz w:val="16"/>
                <w:szCs w:val="16"/>
              </w:rPr>
              <w:t>(12)</w:t>
            </w:r>
          </w:p>
          <w:p w:rsidRPr="00584E42" w:rsidR="00642615" w:rsidP="00131848" w:rsidRDefault="00642615" w14:paraId="61430FAA" w14:textId="77777777">
            <w:pPr>
              <w:rPr>
                <w:rFonts w:asciiTheme="minorHAnsi" w:hAnsiTheme="minorHAnsi"/>
                <w:sz w:val="16"/>
                <w:szCs w:val="16"/>
              </w:rPr>
            </w:pPr>
            <w:r w:rsidRPr="00584E42">
              <w:rPr>
                <w:rFonts w:asciiTheme="minorHAnsi" w:hAnsiTheme="minorHAnsi"/>
                <w:b/>
                <w:sz w:val="16"/>
                <w:szCs w:val="16"/>
              </w:rPr>
              <w:t xml:space="preserve">Safety: </w:t>
            </w:r>
            <w:r w:rsidRPr="00584E42">
              <w:rPr>
                <w:rFonts w:asciiTheme="minorHAnsi" w:hAnsiTheme="minorHAnsi"/>
                <w:sz w:val="16"/>
                <w:szCs w:val="16"/>
              </w:rPr>
              <w:t>Levetiracetam use in neonates appears to be safe and well tolerated even in extreme preterm neonates.</w:t>
            </w:r>
            <w:r w:rsidRPr="00584E42">
              <w:rPr>
                <w:rFonts w:asciiTheme="minorHAnsi" w:hAnsiTheme="minorHAnsi"/>
                <w:noProof/>
                <w:sz w:val="16"/>
                <w:szCs w:val="16"/>
              </w:rPr>
              <w:t>(1-3, 8-12)</w:t>
            </w:r>
            <w:r w:rsidRPr="00584E42">
              <w:rPr>
                <w:rFonts w:asciiTheme="minorHAnsi" w:hAnsiTheme="minorHAnsi"/>
                <w:sz w:val="16"/>
                <w:szCs w:val="16"/>
              </w:rPr>
              <w:t xml:space="preserve"> </w:t>
            </w:r>
          </w:p>
          <w:p w:rsidRPr="00584E42" w:rsidR="00642615" w:rsidP="00131848" w:rsidRDefault="00642615" w14:paraId="64BCDCEC" w14:textId="77777777">
            <w:pPr>
              <w:pStyle w:val="BodyText"/>
              <w:tabs>
                <w:tab w:val="left" w:pos="1168"/>
              </w:tabs>
              <w:rPr>
                <w:rFonts w:cs="Arial"/>
                <w:sz w:val="16"/>
                <w:szCs w:val="16"/>
                <w:lang w:val="en-AU"/>
              </w:rPr>
            </w:pPr>
            <w:r w:rsidRPr="00584E42">
              <w:rPr>
                <w:rFonts w:asciiTheme="minorHAnsi" w:hAnsiTheme="minorHAnsi"/>
                <w:b/>
                <w:sz w:val="16"/>
                <w:szCs w:val="16"/>
              </w:rPr>
              <w:t xml:space="preserve">Pharmacokinetics: </w:t>
            </w:r>
            <w:r w:rsidRPr="00584E42">
              <w:rPr>
                <w:rFonts w:asciiTheme="minorHAnsi" w:hAnsiTheme="minorHAnsi"/>
                <w:sz w:val="16"/>
                <w:szCs w:val="16"/>
              </w:rPr>
              <w:t>The half-life in neonates is longer compared to older children.</w:t>
            </w:r>
            <w:r w:rsidRPr="00584E42">
              <w:rPr>
                <w:rFonts w:asciiTheme="minorHAnsi" w:hAnsiTheme="minorHAnsi"/>
                <w:noProof/>
                <w:sz w:val="16"/>
                <w:szCs w:val="16"/>
              </w:rPr>
              <w:t>(13)</w:t>
            </w:r>
            <w:r w:rsidRPr="00584E42">
              <w:rPr>
                <w:rFonts w:asciiTheme="minorHAnsi" w:hAnsiTheme="minorHAnsi"/>
                <w:sz w:val="16"/>
                <w:szCs w:val="16"/>
              </w:rPr>
              <w:t xml:space="preserve"> </w:t>
            </w:r>
            <w:r w:rsidRPr="00584E42">
              <w:rPr>
                <w:rFonts w:cs="Arial" w:asciiTheme="minorHAnsi" w:hAnsiTheme="minorHAnsi"/>
                <w:sz w:val="16"/>
                <w:szCs w:val="16"/>
              </w:rPr>
              <w:t xml:space="preserve">Peak plasma concentrations are achieved at 1.4 hours after an oral dose. Median half-life was reported to be 18.5 ± 7.1 hours on day 1 and averaged approximately 9 hours (range 3–13 hours) when assessed day 7–30. </w:t>
            </w:r>
            <w:r w:rsidRPr="00584E42">
              <w:rPr>
                <w:rFonts w:asciiTheme="minorHAnsi" w:hAnsiTheme="minorHAnsi"/>
                <w:sz w:val="16"/>
                <w:szCs w:val="16"/>
              </w:rPr>
              <w:t>Over the first week, the CL increases into the range of older children.</w:t>
            </w:r>
            <w:r w:rsidRPr="00584E42">
              <w:rPr>
                <w:rFonts w:asciiTheme="minorHAnsi" w:hAnsiTheme="minorHAnsi"/>
                <w:noProof/>
                <w:sz w:val="16"/>
                <w:szCs w:val="16"/>
              </w:rPr>
              <w:t>(13)</w:t>
            </w:r>
            <w:r w:rsidRPr="00584E42">
              <w:rPr>
                <w:rFonts w:asciiTheme="minorHAnsi" w:hAnsiTheme="minorHAnsi"/>
                <w:sz w:val="16"/>
                <w:szCs w:val="16"/>
              </w:rPr>
              <w:t xml:space="preserve"> The CL is lower in neonates and infants with renal impairment requiring monitoring of trough concentrations and dose adjustment.</w:t>
            </w:r>
            <w:r w:rsidRPr="00584E42">
              <w:rPr>
                <w:rFonts w:asciiTheme="minorHAnsi" w:hAnsiTheme="minorHAnsi"/>
                <w:noProof/>
                <w:sz w:val="16"/>
                <w:szCs w:val="16"/>
              </w:rPr>
              <w:t>(13, 14)</w:t>
            </w:r>
            <w:r w:rsidRPr="00584E42">
              <w:rPr>
                <w:rFonts w:asciiTheme="minorHAnsi" w:hAnsiTheme="minorHAnsi"/>
                <w:sz w:val="16"/>
                <w:szCs w:val="16"/>
              </w:rPr>
              <w:t xml:space="preserve"> In children, the clearance was reported to be increased by 30% with co-administration of phenobarbital (phenobarbitone), carbamazepine and phenytoin.</w:t>
            </w:r>
            <w:r w:rsidRPr="00584E42">
              <w:rPr>
                <w:rFonts w:asciiTheme="minorHAnsi" w:hAnsiTheme="minorHAnsi"/>
                <w:noProof/>
                <w:sz w:val="16"/>
                <w:szCs w:val="16"/>
                <w:lang w:val="en-US"/>
              </w:rPr>
              <w:t>(</w:t>
            </w:r>
            <w:r w:rsidRPr="00584E42">
              <w:rPr>
                <w:rFonts w:asciiTheme="minorHAnsi" w:hAnsiTheme="minorHAnsi"/>
                <w:noProof/>
                <w:sz w:val="16"/>
                <w:szCs w:val="16"/>
              </w:rPr>
              <w:t>11</w:t>
            </w:r>
            <w:r w:rsidRPr="00584E42">
              <w:rPr>
                <w:rFonts w:asciiTheme="minorHAnsi" w:hAnsiTheme="minorHAnsi"/>
                <w:noProof/>
                <w:sz w:val="16"/>
                <w:szCs w:val="16"/>
                <w:lang w:val="en-US"/>
              </w:rPr>
              <w:t>)</w:t>
            </w:r>
          </w:p>
        </w:tc>
      </w:tr>
      <w:tr w:rsidRPr="00026F20" w:rsidR="00642615" w:rsidTr="008074AA" w14:paraId="5E000ED8" w14:textId="77777777">
        <w:trPr>
          <w:trHeight w:val="108"/>
        </w:trPr>
        <w:tc>
          <w:tcPr>
            <w:tcW w:w="1702" w:type="dxa"/>
          </w:tcPr>
          <w:p w:rsidRPr="00B53E9B" w:rsidR="00642615" w:rsidP="00131848" w:rsidRDefault="00642615" w14:paraId="53C9B36B" w14:textId="77777777">
            <w:pPr>
              <w:pStyle w:val="BodyText"/>
              <w:rPr>
                <w:rFonts w:cs="Arial"/>
                <w:b/>
                <w:bCs/>
                <w:sz w:val="20"/>
                <w:lang w:val="en-AU"/>
              </w:rPr>
            </w:pPr>
            <w:r w:rsidRPr="00B53E9B">
              <w:rPr>
                <w:rFonts w:cs="Arial"/>
                <w:b/>
                <w:bCs/>
                <w:sz w:val="20"/>
                <w:lang w:val="en-AU"/>
              </w:rPr>
              <w:lastRenderedPageBreak/>
              <w:t>Practice points</w:t>
            </w:r>
          </w:p>
        </w:tc>
        <w:tc>
          <w:tcPr>
            <w:tcW w:w="8930" w:type="dxa"/>
          </w:tcPr>
          <w:p w:rsidR="00642615" w:rsidP="00131848" w:rsidRDefault="00642615" w14:paraId="7BF50102" w14:textId="77777777">
            <w:pPr>
              <w:pStyle w:val="BodyText"/>
              <w:tabs>
                <w:tab w:val="left" w:pos="1168"/>
              </w:tabs>
              <w:rPr>
                <w:rFonts w:cs="Arial"/>
                <w:sz w:val="20"/>
                <w:lang w:val="en-AU"/>
              </w:rPr>
            </w:pPr>
            <w:r>
              <w:rPr>
                <w:rFonts w:cs="Arial"/>
                <w:sz w:val="20"/>
                <w:lang w:val="en-AU"/>
              </w:rPr>
              <w:t xml:space="preserve">Phenobarbital loading dose is superior to </w:t>
            </w:r>
            <w:r w:rsidRPr="00DB3860">
              <w:rPr>
                <w:rFonts w:cs="Arial"/>
                <w:sz w:val="20"/>
                <w:lang w:val="en-AU"/>
              </w:rPr>
              <w:t xml:space="preserve">levetiracetam </w:t>
            </w:r>
            <w:r>
              <w:rPr>
                <w:rFonts w:cs="Arial"/>
                <w:sz w:val="20"/>
                <w:lang w:val="en-AU"/>
              </w:rPr>
              <w:t>loading dose as the first line therapy for treatment of acute neonatal seizures.</w:t>
            </w:r>
            <w:r>
              <w:rPr>
                <w:rFonts w:cs="Arial"/>
                <w:noProof/>
                <w:sz w:val="20"/>
                <w:lang w:val="en-AU"/>
              </w:rPr>
              <w:t>(1, 7)</w:t>
            </w:r>
            <w:r>
              <w:rPr>
                <w:rFonts w:cs="Arial"/>
                <w:sz w:val="20"/>
                <w:lang w:val="en-AU"/>
              </w:rPr>
              <w:t xml:space="preserve"> (LOEII, GOR B)</w:t>
            </w:r>
          </w:p>
          <w:p w:rsidRPr="00026F20" w:rsidR="00642615" w:rsidP="00131848" w:rsidRDefault="00642615" w14:paraId="0134B493" w14:textId="77777777">
            <w:pPr>
              <w:pStyle w:val="BodyText"/>
              <w:tabs>
                <w:tab w:val="left" w:pos="1168"/>
              </w:tabs>
              <w:rPr>
                <w:rFonts w:cs="Arial"/>
                <w:sz w:val="20"/>
                <w:lang w:val="en-AU"/>
              </w:rPr>
            </w:pPr>
            <w:r>
              <w:rPr>
                <w:rFonts w:cs="Arial"/>
                <w:sz w:val="20"/>
                <w:lang w:val="en-AU"/>
              </w:rPr>
              <w:t>ANMF group consensus is to adapt the dose regimen used in studies by Sharpe et al.</w:t>
            </w:r>
            <w:r>
              <w:rPr>
                <w:rFonts w:cs="Arial"/>
                <w:noProof/>
                <w:sz w:val="20"/>
                <w:lang w:val="en-AU"/>
              </w:rPr>
              <w:t>(1, 2)</w:t>
            </w:r>
          </w:p>
        </w:tc>
      </w:tr>
      <w:tr w:rsidRPr="005E1112" w:rsidR="00642615" w:rsidTr="008074AA" w14:paraId="5AF433B9" w14:textId="77777777">
        <w:trPr>
          <w:trHeight w:val="70"/>
        </w:trPr>
        <w:tc>
          <w:tcPr>
            <w:tcW w:w="1702" w:type="dxa"/>
          </w:tcPr>
          <w:p w:rsidRPr="00B53E9B" w:rsidR="00642615" w:rsidP="00131848" w:rsidRDefault="00642615" w14:paraId="43464B16" w14:textId="77777777">
            <w:pPr>
              <w:pStyle w:val="BodyText"/>
              <w:rPr>
                <w:rFonts w:cs="Arial"/>
                <w:b/>
                <w:bCs/>
                <w:sz w:val="20"/>
                <w:lang w:val="en-AU"/>
              </w:rPr>
            </w:pPr>
            <w:r w:rsidRPr="00B53E9B">
              <w:rPr>
                <w:b/>
                <w:sz w:val="20"/>
                <w:lang w:val="en-AU"/>
              </w:rPr>
              <w:t>References</w:t>
            </w:r>
          </w:p>
        </w:tc>
        <w:tc>
          <w:tcPr>
            <w:tcW w:w="8930" w:type="dxa"/>
          </w:tcPr>
          <w:p w:rsidRPr="00584E42" w:rsidR="00642615" w:rsidP="00642615" w:rsidRDefault="00642615" w14:paraId="7ABB6F65" w14:textId="77777777">
            <w:pPr>
              <w:pStyle w:val="ListParagraph"/>
              <w:numPr>
                <w:ilvl w:val="0"/>
                <w:numId w:val="158"/>
              </w:numPr>
              <w:spacing w:after="160" w:line="259" w:lineRule="auto"/>
              <w:rPr>
                <w:sz w:val="16"/>
                <w:szCs w:val="16"/>
              </w:rPr>
            </w:pPr>
            <w:r w:rsidRPr="00584E42">
              <w:rPr>
                <w:sz w:val="16"/>
                <w:szCs w:val="16"/>
              </w:rPr>
              <w:t>Sharpe C, Reiner GE, Davis SL, Nespeca M, Gold JJ, Rasmussen M, et al. Levetiracetam versus phenobarbital for neonatal seizures: a randomized controlled trial. Pediatrics. 2020;145(6).</w:t>
            </w:r>
          </w:p>
          <w:p w:rsidRPr="00584E42" w:rsidR="00642615" w:rsidP="00642615" w:rsidRDefault="00642615" w14:paraId="03AD5ED2" w14:textId="77777777">
            <w:pPr>
              <w:pStyle w:val="ListParagraph"/>
              <w:numPr>
                <w:ilvl w:val="0"/>
                <w:numId w:val="158"/>
              </w:numPr>
              <w:spacing w:after="160" w:line="259" w:lineRule="auto"/>
              <w:rPr>
                <w:sz w:val="16"/>
                <w:szCs w:val="16"/>
              </w:rPr>
            </w:pPr>
            <w:r w:rsidRPr="00584E42">
              <w:rPr>
                <w:sz w:val="16"/>
                <w:szCs w:val="16"/>
              </w:rPr>
              <w:t>Sharpe CM, Capparelli EV, Mower A, Farrell MJ, Soldin SJ, Haas RH. A seven-day study of the pharmacokinetics of intravenous levetiracetam in neonates: marked changes in pharmacokinetics occur during the first week of life. Pediatric research. 2012;72(1):43-9.</w:t>
            </w:r>
          </w:p>
          <w:p w:rsidRPr="00584E42" w:rsidR="00642615" w:rsidP="00642615" w:rsidRDefault="00642615" w14:paraId="2D1B4BC6" w14:textId="77777777">
            <w:pPr>
              <w:pStyle w:val="ListParagraph"/>
              <w:numPr>
                <w:ilvl w:val="0"/>
                <w:numId w:val="158"/>
              </w:numPr>
              <w:spacing w:after="160" w:line="259" w:lineRule="auto"/>
              <w:rPr>
                <w:sz w:val="16"/>
                <w:szCs w:val="16"/>
              </w:rPr>
            </w:pPr>
            <w:r w:rsidRPr="00584E42">
              <w:rPr>
                <w:sz w:val="16"/>
                <w:szCs w:val="16"/>
              </w:rPr>
              <w:t>Mruk AL, Garlitz KL, Leung NR. Levetiracetam in neonatal seizures: a review. The Journal of Pediatric Pharmacology and Therapeutics. 2015;20(2):76-89.</w:t>
            </w:r>
          </w:p>
          <w:p w:rsidRPr="00584E42" w:rsidR="00642615" w:rsidP="00642615" w:rsidRDefault="00642615" w14:paraId="0B36A839" w14:textId="77777777">
            <w:pPr>
              <w:pStyle w:val="ListParagraph"/>
              <w:numPr>
                <w:ilvl w:val="0"/>
                <w:numId w:val="158"/>
              </w:numPr>
              <w:spacing w:after="160" w:line="259" w:lineRule="auto"/>
              <w:rPr>
                <w:sz w:val="16"/>
                <w:szCs w:val="16"/>
              </w:rPr>
            </w:pPr>
            <w:r w:rsidRPr="00584E42">
              <w:rPr>
                <w:sz w:val="16"/>
                <w:szCs w:val="16"/>
              </w:rPr>
              <w:t>Dahlin MG, Wide K, Ohman I. Age and comedications influence levetiracetam pharmacokinetics in children. Pediatric neurology. 2010;43(4):231-5.</w:t>
            </w:r>
          </w:p>
          <w:p w:rsidRPr="00584E42" w:rsidR="00642615" w:rsidP="00642615" w:rsidRDefault="00642615" w14:paraId="4AE05C83" w14:textId="77777777">
            <w:pPr>
              <w:pStyle w:val="ListParagraph"/>
              <w:numPr>
                <w:ilvl w:val="0"/>
                <w:numId w:val="158"/>
              </w:numPr>
              <w:spacing w:after="160" w:line="259" w:lineRule="auto"/>
              <w:rPr>
                <w:sz w:val="16"/>
                <w:szCs w:val="16"/>
              </w:rPr>
            </w:pPr>
            <w:r w:rsidRPr="00584E42">
              <w:rPr>
                <w:sz w:val="16"/>
                <w:szCs w:val="16"/>
              </w:rPr>
              <w:t>Louis EKS, Gidal BE, Henry TR, Kaydanova Y, Krumholz A, McCabe PH, et al. Conversions between monotherapies in epilepsy: expert consensus. Epilepsy &amp; Behavior. 2007;11(2):222-34.</w:t>
            </w:r>
          </w:p>
          <w:p w:rsidRPr="00584E42" w:rsidR="00642615" w:rsidP="00642615" w:rsidRDefault="00642615" w14:paraId="1C49E436" w14:textId="77777777">
            <w:pPr>
              <w:pStyle w:val="ListParagraph"/>
              <w:numPr>
                <w:ilvl w:val="0"/>
                <w:numId w:val="158"/>
              </w:numPr>
              <w:spacing w:after="160" w:line="259" w:lineRule="auto"/>
              <w:rPr>
                <w:sz w:val="16"/>
                <w:szCs w:val="16"/>
              </w:rPr>
            </w:pPr>
            <w:r w:rsidRPr="00584E42">
              <w:rPr>
                <w:sz w:val="16"/>
                <w:szCs w:val="16"/>
              </w:rPr>
              <w:t>Gowda VK, Romana A, Shivanna NH, Benakappa N, Benakappa A. Levetiracetam versus phenobarbitone in neonatal seizures—A randomized controlled trial. Indian pediatrics. 2019;56(8):643-6.</w:t>
            </w:r>
          </w:p>
          <w:p w:rsidRPr="00584E42" w:rsidR="00642615" w:rsidP="00642615" w:rsidRDefault="00642615" w14:paraId="59C49E31" w14:textId="77777777">
            <w:pPr>
              <w:pStyle w:val="ListParagraph"/>
              <w:numPr>
                <w:ilvl w:val="0"/>
                <w:numId w:val="158"/>
              </w:numPr>
              <w:spacing w:after="160" w:line="259" w:lineRule="auto"/>
              <w:rPr>
                <w:sz w:val="16"/>
                <w:szCs w:val="16"/>
              </w:rPr>
            </w:pPr>
            <w:r w:rsidRPr="00584E42">
              <w:rPr>
                <w:sz w:val="16"/>
                <w:szCs w:val="16"/>
              </w:rPr>
              <w:t>Giva S, Boyle MA, Gorman KM. Should levetiracetam rather than phenobarbitone be the first-line treatment for neonatal seizures? Archives of Disease in Childhood. 2021;106(3):301-3.</w:t>
            </w:r>
          </w:p>
          <w:p w:rsidRPr="00584E42" w:rsidR="00642615" w:rsidP="00642615" w:rsidRDefault="00642615" w14:paraId="66F5AEF1" w14:textId="77777777">
            <w:pPr>
              <w:pStyle w:val="ListParagraph"/>
              <w:numPr>
                <w:ilvl w:val="0"/>
                <w:numId w:val="158"/>
              </w:numPr>
              <w:spacing w:after="160" w:line="259" w:lineRule="auto"/>
              <w:rPr>
                <w:sz w:val="16"/>
                <w:szCs w:val="16"/>
              </w:rPr>
            </w:pPr>
            <w:r w:rsidRPr="00584E42">
              <w:rPr>
                <w:sz w:val="16"/>
                <w:szCs w:val="16"/>
              </w:rPr>
              <w:t>Han JY, Moon CJ, Youn YA, Sung IK, Lee IG. Efficacy of levetiracetam for neonatal seizures in preterm infants. BMC pediatrics. 2018;18(1):131.</w:t>
            </w:r>
          </w:p>
          <w:p w:rsidRPr="00584E42" w:rsidR="00642615" w:rsidP="00642615" w:rsidRDefault="00642615" w14:paraId="7A453807" w14:textId="77777777">
            <w:pPr>
              <w:pStyle w:val="ListParagraph"/>
              <w:numPr>
                <w:ilvl w:val="0"/>
                <w:numId w:val="158"/>
              </w:numPr>
              <w:spacing w:after="160" w:line="259" w:lineRule="auto"/>
              <w:rPr>
                <w:sz w:val="16"/>
                <w:szCs w:val="16"/>
              </w:rPr>
            </w:pPr>
            <w:r w:rsidRPr="00584E42">
              <w:rPr>
                <w:sz w:val="16"/>
                <w:szCs w:val="16"/>
              </w:rPr>
              <w:t>Khan O, Cipriani C, Wright C, Crisp E, Kirmani B. Role of intravenous levetiracetam for acute seizure management in preterm neonates. Pediatric neurology. 2013;49(5):340-3.</w:t>
            </w:r>
          </w:p>
          <w:p w:rsidRPr="00584E42" w:rsidR="00642615" w:rsidP="00642615" w:rsidRDefault="00642615" w14:paraId="4C8354A3" w14:textId="77777777">
            <w:pPr>
              <w:pStyle w:val="ListParagraph"/>
              <w:numPr>
                <w:ilvl w:val="0"/>
                <w:numId w:val="158"/>
              </w:numPr>
              <w:spacing w:after="160" w:line="259" w:lineRule="auto"/>
              <w:rPr>
                <w:sz w:val="16"/>
                <w:szCs w:val="16"/>
              </w:rPr>
            </w:pPr>
            <w:r w:rsidRPr="00584E42">
              <w:rPr>
                <w:sz w:val="16"/>
                <w:szCs w:val="16"/>
              </w:rPr>
              <w:t>Ramantani G, Ikonomidou C, Walter B, Rating D, Dinger J. Levetiracetam: safety and efficacy in neonatal seizures. european journal of paediatric neurology. 2011;15(1):1-7.</w:t>
            </w:r>
          </w:p>
          <w:p w:rsidRPr="00584E42" w:rsidR="00642615" w:rsidP="00642615" w:rsidRDefault="00642615" w14:paraId="6552C0DD" w14:textId="77777777">
            <w:pPr>
              <w:pStyle w:val="ListParagraph"/>
              <w:numPr>
                <w:ilvl w:val="0"/>
                <w:numId w:val="158"/>
              </w:numPr>
              <w:spacing w:after="160" w:line="259" w:lineRule="auto"/>
              <w:rPr>
                <w:sz w:val="16"/>
                <w:szCs w:val="16"/>
              </w:rPr>
            </w:pPr>
            <w:r w:rsidRPr="00584E42">
              <w:rPr>
                <w:sz w:val="16"/>
                <w:szCs w:val="16"/>
              </w:rPr>
              <w:t>Kurtom W, Courchia B, Pensirikul A, Sosenko I, Del-Moral T. Lack of response to treatment with levetiracetam in extreme preterm infants with seizures. Journal of Perinatology. 2019;39(11):1480-4.</w:t>
            </w:r>
          </w:p>
          <w:p w:rsidRPr="00584E42" w:rsidR="00642615" w:rsidP="00642615" w:rsidRDefault="00642615" w14:paraId="32BDBB59" w14:textId="77777777">
            <w:pPr>
              <w:pStyle w:val="ListParagraph"/>
              <w:numPr>
                <w:ilvl w:val="0"/>
                <w:numId w:val="158"/>
              </w:numPr>
              <w:spacing w:after="160" w:line="259" w:lineRule="auto"/>
              <w:rPr>
                <w:sz w:val="16"/>
                <w:szCs w:val="16"/>
              </w:rPr>
            </w:pPr>
            <w:r w:rsidRPr="00584E42">
              <w:rPr>
                <w:sz w:val="16"/>
                <w:szCs w:val="16"/>
              </w:rPr>
              <w:t>Patsalos P. Pharmacokinetic profile of levetiracetam: toward ideal characteristics. Pharmacology &amp; therapeutics. 2000;85(2):77-85.</w:t>
            </w:r>
          </w:p>
          <w:p w:rsidRPr="00584E42" w:rsidR="00642615" w:rsidP="00642615" w:rsidRDefault="00642615" w14:paraId="33C90FBD" w14:textId="77777777">
            <w:pPr>
              <w:pStyle w:val="ListParagraph"/>
              <w:numPr>
                <w:ilvl w:val="0"/>
                <w:numId w:val="158"/>
              </w:numPr>
              <w:spacing w:after="160" w:line="259" w:lineRule="auto"/>
              <w:rPr>
                <w:sz w:val="16"/>
                <w:szCs w:val="16"/>
              </w:rPr>
            </w:pPr>
            <w:r w:rsidRPr="00584E42">
              <w:rPr>
                <w:sz w:val="16"/>
                <w:szCs w:val="16"/>
              </w:rPr>
              <w:t>Loiacono G, Masci M, Zaccara G, Verrotti A. The treatment of neonatal seizures: focus on Levetiracetam. The Journal of Maternal-Fetal &amp; Neonatal Medicine. 2016;29(1):69-74.</w:t>
            </w:r>
          </w:p>
          <w:p w:rsidRPr="00584E42" w:rsidR="00642615" w:rsidP="00642615" w:rsidRDefault="00642615" w14:paraId="436D874C" w14:textId="77777777">
            <w:pPr>
              <w:pStyle w:val="ListParagraph"/>
              <w:numPr>
                <w:ilvl w:val="0"/>
                <w:numId w:val="158"/>
              </w:numPr>
              <w:spacing w:after="160" w:line="259" w:lineRule="auto"/>
              <w:rPr>
                <w:sz w:val="16"/>
                <w:szCs w:val="16"/>
              </w:rPr>
            </w:pPr>
            <w:r w:rsidRPr="00584E42">
              <w:rPr>
                <w:sz w:val="16"/>
                <w:szCs w:val="16"/>
              </w:rPr>
              <w:t>Egunsola O, Choonara I, Sammons HM. Safety of levetiracetam in paediatrics: a systematic review. PloS one. 2016;11(3):e0149686.</w:t>
            </w:r>
          </w:p>
          <w:p w:rsidRPr="00584E42" w:rsidR="00642615" w:rsidP="00642615" w:rsidRDefault="00642615" w14:paraId="5BEC4CF1" w14:textId="77777777">
            <w:pPr>
              <w:pStyle w:val="ListParagraph"/>
              <w:numPr>
                <w:ilvl w:val="0"/>
                <w:numId w:val="158"/>
              </w:numPr>
              <w:spacing w:after="160" w:line="259" w:lineRule="auto"/>
              <w:rPr>
                <w:sz w:val="16"/>
                <w:szCs w:val="16"/>
              </w:rPr>
            </w:pPr>
            <w:r w:rsidRPr="00584E42">
              <w:rPr>
                <w:sz w:val="16"/>
                <w:szCs w:val="16"/>
              </w:rPr>
              <w:t>Australian Injectable drugs handbook. Levetiracetam. Accessed on 20 April 2021.</w:t>
            </w:r>
          </w:p>
          <w:p w:rsidRPr="00584E42" w:rsidR="00642615" w:rsidP="00642615" w:rsidRDefault="00642615" w14:paraId="1350ADB1" w14:textId="77777777">
            <w:pPr>
              <w:pStyle w:val="ListParagraph"/>
              <w:numPr>
                <w:ilvl w:val="0"/>
                <w:numId w:val="158"/>
              </w:numPr>
              <w:spacing w:after="160" w:line="259" w:lineRule="auto"/>
              <w:rPr>
                <w:sz w:val="16"/>
                <w:szCs w:val="16"/>
              </w:rPr>
            </w:pPr>
            <w:r w:rsidRPr="00584E42">
              <w:rPr>
                <w:sz w:val="16"/>
                <w:szCs w:val="16"/>
              </w:rPr>
              <w:t>Micromedex. Levetiracetam. Accessed on 20 April 2021.</w:t>
            </w:r>
          </w:p>
          <w:p w:rsidRPr="00584E42" w:rsidR="00642615" w:rsidP="00642615" w:rsidRDefault="00642615" w14:paraId="1924279C" w14:textId="77777777">
            <w:pPr>
              <w:pStyle w:val="ListParagraph"/>
              <w:numPr>
                <w:ilvl w:val="0"/>
                <w:numId w:val="158"/>
              </w:numPr>
              <w:spacing w:after="160" w:line="259" w:lineRule="auto"/>
              <w:rPr>
                <w:sz w:val="16"/>
                <w:szCs w:val="16"/>
              </w:rPr>
            </w:pPr>
            <w:r w:rsidRPr="00584E42">
              <w:rPr>
                <w:rFonts w:cstheme="minorHAnsi"/>
                <w:sz w:val="16"/>
                <w:szCs w:val="16"/>
                <w:lang w:val="en"/>
              </w:rPr>
              <w:t>Phelps SJ, Hagemann TM, Lee KR and Thompson AJ. </w:t>
            </w:r>
            <w:r w:rsidRPr="00584E42">
              <w:rPr>
                <w:rStyle w:val="Strong"/>
                <w:rFonts w:cstheme="minorHAnsi"/>
                <w:sz w:val="16"/>
                <w:szCs w:val="16"/>
                <w:lang w:val="en"/>
              </w:rPr>
              <w:t>Paediatric Injectable Drugs</w:t>
            </w:r>
            <w:r w:rsidRPr="00584E42">
              <w:rPr>
                <w:rFonts w:cstheme="minorHAnsi"/>
                <w:sz w:val="16"/>
                <w:szCs w:val="16"/>
                <w:lang w:val="en"/>
              </w:rPr>
              <w:t>. The Teddy Bear Book. 11th. ed. Bethesda, Maryland: American Society of Health-System Pharmacists; 2018.</w:t>
            </w:r>
          </w:p>
          <w:p w:rsidRPr="00584E42" w:rsidR="00642615" w:rsidP="00642615" w:rsidRDefault="00642615" w14:paraId="1B104A04" w14:textId="77777777">
            <w:pPr>
              <w:pStyle w:val="ListParagraph"/>
              <w:numPr>
                <w:ilvl w:val="0"/>
                <w:numId w:val="158"/>
              </w:numPr>
              <w:spacing w:after="160" w:line="259" w:lineRule="auto"/>
              <w:rPr>
                <w:sz w:val="16"/>
                <w:szCs w:val="16"/>
              </w:rPr>
            </w:pPr>
            <w:r w:rsidRPr="00584E42">
              <w:rPr>
                <w:sz w:val="16"/>
                <w:szCs w:val="16"/>
              </w:rPr>
              <w:t>Wheless JW, Clarke D, Hovinga CA, Ellis M, Durmeier M, McGregor A, Perkins F. Rapid infusion of a loading dose of intravenous levetiracetam with minimal dilution: a safety study. J Child Neurol. 2009; 24(9): 946-51.</w:t>
            </w:r>
          </w:p>
        </w:tc>
      </w:tr>
    </w:tbl>
    <w:p w:rsidR="000938B2" w:rsidP="006F0321" w:rsidRDefault="000938B2" w14:paraId="19FFEF59" w14:textId="03A3D1B6"/>
    <w:p w:rsidRPr="00E25790" w:rsidR="00642615" w:rsidP="006F0321" w:rsidRDefault="00642615" w14:paraId="3EB0F727"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F12CE6" w:rsidR="001571DC" w:rsidTr="00A26E96" w14:paraId="37D0C426" w14:textId="77777777">
        <w:tc>
          <w:tcPr>
            <w:tcW w:w="4535" w:type="dxa"/>
            <w:vAlign w:val="center"/>
          </w:tcPr>
          <w:p w:rsidRPr="001571DC" w:rsidR="001571DC" w:rsidP="00A26E96" w:rsidRDefault="001571DC" w14:paraId="0A8DF2EA" w14:textId="77777777">
            <w:r w:rsidRPr="001571DC">
              <w:t>Original version Date: 17/02/2016</w:t>
            </w:r>
          </w:p>
        </w:tc>
        <w:tc>
          <w:tcPr>
            <w:tcW w:w="4535" w:type="dxa"/>
            <w:vAlign w:val="center"/>
          </w:tcPr>
          <w:p w:rsidRPr="001571DC" w:rsidR="001571DC" w:rsidP="00A26E96" w:rsidRDefault="001571DC" w14:paraId="02ACBCB9" w14:textId="77777777">
            <w:r w:rsidRPr="001571DC">
              <w:t>Author: Neonatal Medicines Formulary Consensus Group</w:t>
            </w:r>
          </w:p>
        </w:tc>
      </w:tr>
      <w:tr w:rsidRPr="00F12CE6" w:rsidR="001571DC" w:rsidTr="00A26E96" w14:paraId="65D4F656" w14:textId="77777777">
        <w:tc>
          <w:tcPr>
            <w:tcW w:w="4535" w:type="dxa"/>
            <w:vAlign w:val="center"/>
          </w:tcPr>
          <w:p w:rsidRPr="001571DC" w:rsidR="001571DC" w:rsidP="00A26E96" w:rsidRDefault="001571DC" w14:paraId="5F01AF76" w14:textId="4CD83DC7">
            <w:pPr>
              <w:rPr>
                <w:bCs/>
              </w:rPr>
            </w:pPr>
            <w:r w:rsidRPr="001571DC">
              <w:t xml:space="preserve">Current Version number:  </w:t>
            </w:r>
            <w:r w:rsidR="001267C8">
              <w:t>2</w:t>
            </w:r>
          </w:p>
        </w:tc>
        <w:tc>
          <w:tcPr>
            <w:tcW w:w="4535" w:type="dxa"/>
            <w:vAlign w:val="center"/>
          </w:tcPr>
          <w:p w:rsidRPr="001571DC" w:rsidR="001571DC" w:rsidP="00A26E96" w:rsidRDefault="001571DC" w14:paraId="5EB5218D" w14:textId="0C7D2AF7">
            <w:r w:rsidRPr="001571DC">
              <w:t xml:space="preserve">Version Date:  </w:t>
            </w:r>
            <w:r w:rsidR="001267C8">
              <w:t>18</w:t>
            </w:r>
            <w:r w:rsidRPr="001571DC">
              <w:t>/</w:t>
            </w:r>
            <w:r w:rsidR="001267C8">
              <w:t>6</w:t>
            </w:r>
            <w:r w:rsidRPr="001571DC">
              <w:t>/20</w:t>
            </w:r>
            <w:r w:rsidR="001267C8">
              <w:t>21</w:t>
            </w:r>
          </w:p>
        </w:tc>
      </w:tr>
      <w:tr w:rsidRPr="00F12CE6" w:rsidR="001571DC" w:rsidTr="00A26E96" w14:paraId="1E775F40" w14:textId="77777777">
        <w:tc>
          <w:tcPr>
            <w:tcW w:w="4535" w:type="dxa"/>
            <w:vAlign w:val="center"/>
          </w:tcPr>
          <w:p w:rsidRPr="001571DC" w:rsidR="001571DC" w:rsidP="00A26E96" w:rsidRDefault="001571DC" w14:paraId="35FB3276" w14:textId="362179AD">
            <w:r w:rsidRPr="001571DC">
              <w:t xml:space="preserve">Risk Rating: </w:t>
            </w:r>
            <w:r w:rsidR="00B31AA0">
              <w:t>Low</w:t>
            </w:r>
          </w:p>
        </w:tc>
        <w:tc>
          <w:tcPr>
            <w:tcW w:w="4535" w:type="dxa"/>
            <w:vAlign w:val="center"/>
          </w:tcPr>
          <w:p w:rsidRPr="001571DC" w:rsidR="001571DC" w:rsidP="00A26E96" w:rsidRDefault="001571DC" w14:paraId="00CB9DF5" w14:textId="35315EFA">
            <w:r w:rsidRPr="001571DC">
              <w:t xml:space="preserve">Due for Review:  </w:t>
            </w:r>
            <w:r w:rsidR="001267C8">
              <w:t>18</w:t>
            </w:r>
            <w:r w:rsidRPr="001571DC">
              <w:t>/</w:t>
            </w:r>
            <w:r w:rsidR="001267C8">
              <w:t>6</w:t>
            </w:r>
            <w:r w:rsidRPr="001571DC">
              <w:t>/202</w:t>
            </w:r>
            <w:r w:rsidR="001267C8">
              <w:t>6</w:t>
            </w:r>
          </w:p>
        </w:tc>
      </w:tr>
      <w:tr w:rsidRPr="00F12CE6" w:rsidR="001571DC" w:rsidTr="00A26E96" w14:paraId="3A583A71" w14:textId="77777777">
        <w:trPr>
          <w:trHeight w:val="344"/>
        </w:trPr>
        <w:tc>
          <w:tcPr>
            <w:tcW w:w="4535" w:type="dxa"/>
            <w:tcBorders>
              <w:bottom w:val="single" w:color="auto" w:sz="4" w:space="0"/>
            </w:tcBorders>
            <w:vAlign w:val="center"/>
          </w:tcPr>
          <w:p w:rsidRPr="001571DC" w:rsidR="001571DC" w:rsidP="00A26E96" w:rsidRDefault="001571DC" w14:paraId="648DEA46" w14:textId="77777777">
            <w:r w:rsidRPr="001571DC">
              <w:t>Approved by: DTC</w:t>
            </w:r>
          </w:p>
        </w:tc>
        <w:tc>
          <w:tcPr>
            <w:tcW w:w="4535" w:type="dxa"/>
            <w:tcBorders>
              <w:bottom w:val="single" w:color="auto" w:sz="4" w:space="0"/>
            </w:tcBorders>
            <w:vAlign w:val="center"/>
          </w:tcPr>
          <w:p w:rsidRPr="001571DC" w:rsidR="001571DC" w:rsidP="00A26E96" w:rsidRDefault="001571DC" w14:paraId="33616479" w14:textId="0FDAE535">
            <w:r w:rsidRPr="001571DC">
              <w:t xml:space="preserve">Approval Date: </w:t>
            </w:r>
            <w:r w:rsidR="00260BC8">
              <w:t>APRIL 2021</w:t>
            </w:r>
          </w:p>
        </w:tc>
      </w:tr>
    </w:tbl>
    <w:p w:rsidRPr="00E25790" w:rsidR="005A22C6" w:rsidP="006F0321" w:rsidRDefault="00115F48" w14:paraId="65C6DBA3"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5A22C6" w:rsidTr="00A26E96" w14:paraId="216CE0CC"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5A22C6" w:rsidP="009469DB" w:rsidRDefault="005A22C6" w14:paraId="18E4ED36" w14:textId="77777777">
            <w:pPr>
              <w:pStyle w:val="Heading1"/>
            </w:pPr>
            <w:bookmarkStart w:name="_Toc38106876" w:id="358"/>
            <w:bookmarkStart w:name="_Toc75340000" w:id="359"/>
            <w:r w:rsidRPr="00E25790">
              <w:lastRenderedPageBreak/>
              <w:t>Lignocaine for seizures</w:t>
            </w:r>
            <w:bookmarkEnd w:id="358"/>
            <w:bookmarkEnd w:id="359"/>
            <w:r w:rsidRPr="00E25790">
              <w:fldChar w:fldCharType="begin"/>
            </w:r>
            <w:r w:rsidRPr="00E25790">
              <w:instrText>tc "CAP Trial" \l 0</w:instrText>
            </w:r>
            <w:r w:rsidRPr="00E25790">
              <w:fldChar w:fldCharType="end"/>
            </w:r>
          </w:p>
        </w:tc>
      </w:tr>
      <w:tr w:rsidRPr="00E25790" w:rsidR="005A22C6" w:rsidTr="00A26E96" w14:paraId="1E2AA72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5A22C6" w:rsidP="006F0321" w:rsidRDefault="005A22C6" w14:paraId="68F8C414" w14:textId="77777777">
            <w:r w:rsidRPr="00E25790">
              <w:t>Revision Date</w:t>
            </w:r>
            <w:r w:rsidRPr="00E25790">
              <w:rPr>
                <w:b/>
              </w:rPr>
              <w:t xml:space="preserve"> : </w:t>
            </w:r>
            <w:r w:rsidRPr="00E25790" w:rsidR="008D1C2B">
              <w:rPr>
                <w:b/>
              </w:rPr>
              <w:t>27/02/2018</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5A22C6" w:rsidP="006F0321" w:rsidRDefault="005A22C6" w14:paraId="2A872888" w14:textId="77777777">
            <w:r w:rsidRPr="00E25790">
              <w:t xml:space="preserve">Approved: </w:t>
            </w:r>
            <w:r w:rsidRPr="00E25790" w:rsidR="008D1C2B">
              <w:t>TC, KOH</w:t>
            </w:r>
          </w:p>
        </w:tc>
      </w:tr>
    </w:tbl>
    <w:p w:rsidRPr="00E25790" w:rsidR="005A22C6" w:rsidP="006F0321" w:rsidRDefault="005A22C6" w14:paraId="655B2A0E" w14:textId="77777777"/>
    <w:tbl>
      <w:tblPr>
        <w:tblW w:w="9064" w:type="dxa"/>
        <w:tblLayout w:type="fixed"/>
        <w:tblLook w:val="0000" w:firstRow="0" w:lastRow="0" w:firstColumn="0" w:lastColumn="0" w:noHBand="0" w:noVBand="0"/>
      </w:tblPr>
      <w:tblGrid>
        <w:gridCol w:w="2093"/>
        <w:gridCol w:w="6971"/>
      </w:tblGrid>
      <w:tr w:rsidRPr="00E25790" w:rsidR="008D1C2B" w:rsidTr="00A26E96" w14:paraId="585DD848" w14:textId="77777777">
        <w:trPr>
          <w:cantSplit/>
          <w:trHeight w:val="433"/>
        </w:trPr>
        <w:tc>
          <w:tcPr>
            <w:tcW w:w="2093" w:type="dxa"/>
            <w:tcBorders>
              <w:top w:val="single" w:color="auto" w:sz="6" w:space="0"/>
              <w:left w:val="single" w:color="auto" w:sz="6" w:space="0"/>
              <w:bottom w:val="single" w:color="auto" w:sz="6" w:space="0"/>
            </w:tcBorders>
          </w:tcPr>
          <w:p w:rsidRPr="00E25790" w:rsidR="008D1C2B" w:rsidP="00A26E96" w:rsidRDefault="008D1C2B" w14:paraId="75693F56" w14:textId="77777777">
            <w:r w:rsidRPr="00E25790">
              <w:t xml:space="preserve">Indication :  </w:t>
            </w:r>
          </w:p>
          <w:p w:rsidRPr="00E25790" w:rsidR="008D1C2B" w:rsidP="00A26E96" w:rsidRDefault="008D1C2B" w14:paraId="61AFC7CB" w14:textId="77777777"/>
        </w:tc>
        <w:tc>
          <w:tcPr>
            <w:tcW w:w="6971" w:type="dxa"/>
            <w:tcBorders>
              <w:top w:val="single" w:color="auto" w:sz="6" w:space="0"/>
              <w:bottom w:val="single" w:color="auto" w:sz="6" w:space="0"/>
              <w:right w:val="single" w:color="auto" w:sz="6" w:space="0"/>
            </w:tcBorders>
          </w:tcPr>
          <w:p w:rsidRPr="00E25790" w:rsidR="008D1C2B" w:rsidP="00A26E96" w:rsidRDefault="008D1C2B" w14:paraId="2F9092D6" w14:textId="77777777">
            <w:r w:rsidRPr="00E25790">
              <w:t xml:space="preserve">Persistent clinical and/or electrical seizure activity </w:t>
            </w:r>
          </w:p>
        </w:tc>
      </w:tr>
      <w:tr w:rsidRPr="00E25790" w:rsidR="008D1C2B" w:rsidTr="00A26E96" w14:paraId="7A409766"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233F395F" w14:textId="77777777">
            <w:r w:rsidRPr="00E25790">
              <w:t>Dose :</w:t>
            </w:r>
          </w:p>
        </w:tc>
        <w:tc>
          <w:tcPr>
            <w:tcW w:w="6971" w:type="dxa"/>
            <w:tcBorders>
              <w:top w:val="single" w:color="auto" w:sz="6" w:space="0"/>
              <w:bottom w:val="single" w:color="auto" w:sz="6" w:space="0"/>
              <w:right w:val="single" w:color="auto" w:sz="6" w:space="0"/>
            </w:tcBorders>
          </w:tcPr>
          <w:p w:rsidRPr="00E25790" w:rsidR="008D1C2B" w:rsidP="00A26E96" w:rsidRDefault="008D1C2B" w14:paraId="4B88A49D" w14:textId="77777777">
            <w:r w:rsidRPr="00E25790">
              <w:t>Loading dose – 2 mg/kg over 10 minutes</w:t>
            </w:r>
          </w:p>
          <w:p w:rsidRPr="00E25790" w:rsidR="008D1C2B" w:rsidP="00A26E96" w:rsidRDefault="008D1C2B" w14:paraId="541FF03A" w14:textId="77777777">
            <w:r w:rsidRPr="00E25790">
              <w:t>6 mg/kg/hour for 6-12 hours depending on seizure response</w:t>
            </w:r>
          </w:p>
          <w:p w:rsidRPr="00E25790" w:rsidR="008D1C2B" w:rsidP="00A26E96" w:rsidRDefault="008D1C2B" w14:paraId="684FCF10" w14:textId="77777777">
            <w:r w:rsidRPr="00E25790">
              <w:t>4 mg/kg/hour for 12 hours</w:t>
            </w:r>
          </w:p>
          <w:p w:rsidRPr="00E25790" w:rsidR="008D1C2B" w:rsidP="00A26E96" w:rsidRDefault="008D1C2B" w14:paraId="58C78B87" w14:textId="77777777">
            <w:r w:rsidRPr="00E25790">
              <w:t>2 mg/kg/hour for 12 hours</w:t>
            </w:r>
          </w:p>
        </w:tc>
      </w:tr>
      <w:tr w:rsidRPr="00E25790" w:rsidR="008D1C2B" w:rsidTr="00A26E96" w14:paraId="4344486A" w14:textId="77777777">
        <w:trPr>
          <w:cantSplit/>
          <w:trHeight w:val="306"/>
        </w:trPr>
        <w:tc>
          <w:tcPr>
            <w:tcW w:w="2093" w:type="dxa"/>
            <w:tcBorders>
              <w:top w:val="single" w:color="auto" w:sz="6" w:space="0"/>
              <w:left w:val="single" w:color="auto" w:sz="6" w:space="0"/>
              <w:bottom w:val="single" w:color="auto" w:sz="6" w:space="0"/>
            </w:tcBorders>
          </w:tcPr>
          <w:p w:rsidRPr="00E25790" w:rsidR="008D1C2B" w:rsidP="00A26E96" w:rsidRDefault="008D1C2B" w14:paraId="1AFD30B3" w14:textId="77777777">
            <w:r w:rsidRPr="00E25790">
              <w:t>Interval :</w:t>
            </w:r>
          </w:p>
        </w:tc>
        <w:tc>
          <w:tcPr>
            <w:tcW w:w="6971" w:type="dxa"/>
            <w:tcBorders>
              <w:top w:val="single" w:color="auto" w:sz="6" w:space="0"/>
              <w:bottom w:val="single" w:color="auto" w:sz="6" w:space="0"/>
              <w:right w:val="single" w:color="auto" w:sz="6" w:space="0"/>
            </w:tcBorders>
          </w:tcPr>
          <w:p w:rsidRPr="00E25790" w:rsidR="008D1C2B" w:rsidP="00A26E96" w:rsidRDefault="008D1C2B" w14:paraId="7E41F440" w14:textId="77777777">
            <w:r w:rsidRPr="00E25790">
              <w:t>Infusion</w:t>
            </w:r>
          </w:p>
        </w:tc>
      </w:tr>
      <w:tr w:rsidRPr="00E25790" w:rsidR="008D1C2B" w:rsidTr="00A26E96" w14:paraId="202337F2" w14:textId="77777777">
        <w:trPr>
          <w:cantSplit/>
          <w:trHeight w:val="358"/>
        </w:trPr>
        <w:tc>
          <w:tcPr>
            <w:tcW w:w="2093" w:type="dxa"/>
            <w:tcBorders>
              <w:top w:val="single" w:color="auto" w:sz="6" w:space="0"/>
              <w:left w:val="single" w:color="auto" w:sz="6" w:space="0"/>
              <w:bottom w:val="single" w:color="auto" w:sz="6" w:space="0"/>
            </w:tcBorders>
          </w:tcPr>
          <w:p w:rsidRPr="00E25790" w:rsidR="008D1C2B" w:rsidP="00A26E96" w:rsidRDefault="008D1C2B" w14:paraId="2D9AEC71" w14:textId="77777777">
            <w:r w:rsidRPr="00E25790">
              <w:t>Route :</w:t>
            </w:r>
          </w:p>
        </w:tc>
        <w:tc>
          <w:tcPr>
            <w:tcW w:w="6971" w:type="dxa"/>
            <w:tcBorders>
              <w:top w:val="single" w:color="auto" w:sz="6" w:space="0"/>
              <w:bottom w:val="single" w:color="auto" w:sz="6" w:space="0"/>
              <w:right w:val="single" w:color="auto" w:sz="6" w:space="0"/>
            </w:tcBorders>
          </w:tcPr>
          <w:p w:rsidRPr="00E25790" w:rsidR="008D1C2B" w:rsidP="00A26E96" w:rsidRDefault="008D1C2B" w14:paraId="2B6D6E0A" w14:textId="77777777">
            <w:r w:rsidRPr="00E25790">
              <w:t>IV</w:t>
            </w:r>
          </w:p>
        </w:tc>
      </w:tr>
      <w:tr w:rsidRPr="00E25790" w:rsidR="008D1C2B" w:rsidTr="00A26E96" w14:paraId="2E14F14C"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02260F3E" w14:textId="77777777">
            <w:r w:rsidRPr="00E25790">
              <w:t>Total Daily Dose :</w:t>
            </w:r>
          </w:p>
        </w:tc>
        <w:tc>
          <w:tcPr>
            <w:tcW w:w="6971" w:type="dxa"/>
            <w:tcBorders>
              <w:top w:val="single" w:color="auto" w:sz="6" w:space="0"/>
              <w:bottom w:val="single" w:color="auto" w:sz="6" w:space="0"/>
              <w:right w:val="single" w:color="auto" w:sz="6" w:space="0"/>
            </w:tcBorders>
          </w:tcPr>
          <w:p w:rsidRPr="00E25790" w:rsidR="008D1C2B" w:rsidP="00A26E96" w:rsidRDefault="008D1C2B" w14:paraId="09236637" w14:textId="77777777">
            <w:r w:rsidRPr="00E25790">
              <w:t>Note - levels above 9mg/L are less often encountered when 6mg/kg/hour is used for 6 hours rather than 12 hours.</w:t>
            </w:r>
          </w:p>
        </w:tc>
      </w:tr>
      <w:tr w:rsidRPr="00E25790" w:rsidR="008D1C2B" w:rsidTr="00A26E96" w14:paraId="6EE9F5C7" w14:textId="77777777">
        <w:trPr>
          <w:cantSplit/>
          <w:trHeight w:val="1200"/>
        </w:trPr>
        <w:tc>
          <w:tcPr>
            <w:tcW w:w="2093" w:type="dxa"/>
            <w:tcBorders>
              <w:top w:val="single" w:color="auto" w:sz="6" w:space="0"/>
              <w:left w:val="single" w:color="auto" w:sz="6" w:space="0"/>
              <w:bottom w:val="single" w:color="auto" w:sz="6" w:space="0"/>
            </w:tcBorders>
          </w:tcPr>
          <w:p w:rsidRPr="00E25790" w:rsidR="008D1C2B" w:rsidP="00A26E96" w:rsidRDefault="008D1C2B" w14:paraId="7479CC9C" w14:textId="77777777">
            <w:r w:rsidRPr="00E25790">
              <w:t>Comments :</w:t>
            </w:r>
          </w:p>
        </w:tc>
        <w:tc>
          <w:tcPr>
            <w:tcW w:w="6971" w:type="dxa"/>
            <w:tcBorders>
              <w:top w:val="single" w:color="auto" w:sz="6" w:space="0"/>
              <w:bottom w:val="single" w:color="auto" w:sz="6" w:space="0"/>
              <w:right w:val="single" w:color="auto" w:sz="6" w:space="0"/>
            </w:tcBorders>
          </w:tcPr>
          <w:p w:rsidRPr="00E25790" w:rsidR="008D1C2B" w:rsidP="00A26E96" w:rsidRDefault="008D1C2B" w14:paraId="7FAB6FB9" w14:textId="77777777">
            <w:bookmarkStart w:name="an-Precautions718" w:id="360"/>
            <w:r w:rsidRPr="00E25790">
              <w:t xml:space="preserve">Lignocaine </w:t>
            </w:r>
            <w:bookmarkStart w:name="an-Actions718" w:id="361"/>
            <w:r w:rsidRPr="00E25790">
              <w:t>stabilises all potentially excitable membranes and prevents the initiation and transmission of nerve impulses.</w:t>
            </w:r>
            <w:bookmarkEnd w:id="361"/>
            <w:r w:rsidRPr="00E25790">
              <w:rPr>
                <w:rStyle w:val="simplehighlight"/>
                <w:sz w:val="20"/>
              </w:rPr>
              <w:t xml:space="preserve"> Lignocaine</w:t>
            </w:r>
            <w:r w:rsidRPr="00E25790">
              <w:t xml:space="preserve"> is metabolised in the liver. Metabolites (which may be possess activity) are renally excreted. Phenytoin, phenobarbitone, primidone and carbamazepine appear to enhance the metabolism of </w:t>
            </w:r>
            <w:r w:rsidRPr="00E25790">
              <w:rPr>
                <w:rStyle w:val="simplehighlight"/>
                <w:sz w:val="20"/>
              </w:rPr>
              <w:t>lignocaine</w:t>
            </w:r>
            <w:r w:rsidRPr="00E25790">
              <w:t xml:space="preserve"> possibly due to an induction of microsomal enzymes, but the significance is unknown. Phenytoin and </w:t>
            </w:r>
            <w:r w:rsidRPr="00E25790">
              <w:rPr>
                <w:rStyle w:val="simplehighlight"/>
                <w:sz w:val="20"/>
              </w:rPr>
              <w:t>lignocaine</w:t>
            </w:r>
            <w:r w:rsidRPr="00E25790">
              <w:t xml:space="preserve"> have additive cardiac depressant effects. Constant ECG monitoring is essential during intravenous administration of </w:t>
            </w:r>
            <w:r w:rsidRPr="00E25790">
              <w:rPr>
                <w:rStyle w:val="simplehighlight"/>
                <w:sz w:val="20"/>
              </w:rPr>
              <w:t>lignocaine</w:t>
            </w:r>
            <w:r w:rsidRPr="00E25790">
              <w:t xml:space="preserve">. If signs of excessive depression of cardiac conductivity (e.g. prolongation of the PR interval or QRS complex), aggravation of arrhythmias or other severe reactions occur, </w:t>
            </w:r>
            <w:r w:rsidRPr="00E25790">
              <w:rPr>
                <w:rStyle w:val="simplehighlight"/>
                <w:sz w:val="20"/>
              </w:rPr>
              <w:t>lignocaine</w:t>
            </w:r>
            <w:r w:rsidRPr="00E25790">
              <w:t xml:space="preserve"> should be promptly discontinued.</w:t>
            </w:r>
            <w:bookmarkEnd w:id="360"/>
            <w:r w:rsidRPr="00E25790">
              <w:t xml:space="preserve"> Patients with reduced hepatic blood flow or function, and those on prolonged infusions of </w:t>
            </w:r>
            <w:r w:rsidRPr="00E25790">
              <w:rPr>
                <w:rStyle w:val="simplehighlight"/>
                <w:sz w:val="20"/>
              </w:rPr>
              <w:t>lignocaine</w:t>
            </w:r>
            <w:r w:rsidRPr="00E25790">
              <w:t xml:space="preserve"> will have a longer half-life and a lower clearance. During congestive cardiac failure, clearance will be reduced and in renal failure, accumulation of </w:t>
            </w:r>
            <w:r w:rsidRPr="00E25790">
              <w:rPr>
                <w:rStyle w:val="simplehighlight"/>
                <w:sz w:val="20"/>
              </w:rPr>
              <w:t>lignocaine</w:t>
            </w:r>
            <w:r w:rsidRPr="00E25790">
              <w:t xml:space="preserve"> may occur. Such instances will require a reduction in dosage. </w:t>
            </w:r>
            <w:r w:rsidRPr="00E25790">
              <w:rPr>
                <w:rStyle w:val="simplehighlight"/>
                <w:sz w:val="20"/>
              </w:rPr>
              <w:t>Lignocaine</w:t>
            </w:r>
            <w:r w:rsidRPr="00E25790">
              <w:t xml:space="preserve"> may increase ventricular rate when it is administered to patients with atrial fibrillation. Ischaemia or necrosis may occur in patients with hypertensive vascular disease or with an exaggerated vasoconstrictor response.</w:t>
            </w:r>
            <w:bookmarkStart w:name="an-Interactions718" w:id="362"/>
            <w:r w:rsidRPr="00E25790">
              <w:t xml:space="preserve"> </w:t>
            </w:r>
            <w:bookmarkStart w:name="an-Contraindications718" w:id="363"/>
            <w:bookmarkEnd w:id="362"/>
            <w:r w:rsidRPr="00E25790">
              <w:t>Contraindications: Known hypersensitivity to local anaesthetics of the amide type.</w:t>
            </w:r>
            <w:bookmarkEnd w:id="363"/>
            <w:r w:rsidRPr="00E25790">
              <w:t xml:space="preserve"> Use with caution in hepatic disease, renal disease, congestive cardiac failure, marked hypoxia, severe respiratory depression, severe shock or hypovolaemia. Hypokalaemia, hypoxia and disorders of acid/ base balance should be corrected before treatment with </w:t>
            </w:r>
            <w:r w:rsidRPr="00E25790">
              <w:rPr>
                <w:rStyle w:val="simplehighlight"/>
                <w:sz w:val="20"/>
              </w:rPr>
              <w:t>lignocaine.</w:t>
            </w:r>
          </w:p>
        </w:tc>
      </w:tr>
      <w:tr w:rsidRPr="00E25790" w:rsidR="008D1C2B" w:rsidTr="00A26E96" w14:paraId="0B3F2E2E"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2086D0F3" w14:textId="77777777">
            <w:r w:rsidRPr="00E25790">
              <w:t>Supplied as :</w:t>
            </w:r>
          </w:p>
        </w:tc>
        <w:tc>
          <w:tcPr>
            <w:tcW w:w="6971" w:type="dxa"/>
            <w:tcBorders>
              <w:top w:val="single" w:color="auto" w:sz="6" w:space="0"/>
              <w:bottom w:val="single" w:color="auto" w:sz="6" w:space="0"/>
              <w:right w:val="single" w:color="auto" w:sz="6" w:space="0"/>
            </w:tcBorders>
          </w:tcPr>
          <w:p w:rsidRPr="00E25790" w:rsidR="008D1C2B" w:rsidP="00A26E96" w:rsidRDefault="008D1C2B" w14:paraId="6F0AC547" w14:textId="77777777">
            <w:r w:rsidRPr="00E25790">
              <w:t xml:space="preserve">Lignocaine Injection 100 mg/mL Steriamps (clear, colourless, sterile) </w:t>
            </w:r>
          </w:p>
        </w:tc>
      </w:tr>
      <w:tr w:rsidRPr="00E25790" w:rsidR="008D1C2B" w:rsidTr="00A26E96" w14:paraId="69749D4D" w14:textId="77777777">
        <w:trPr>
          <w:cantSplit/>
          <w:trHeight w:val="707"/>
        </w:trPr>
        <w:tc>
          <w:tcPr>
            <w:tcW w:w="2093" w:type="dxa"/>
            <w:tcBorders>
              <w:top w:val="single" w:color="auto" w:sz="6" w:space="0"/>
              <w:left w:val="single" w:color="auto" w:sz="6" w:space="0"/>
              <w:bottom w:val="single" w:color="auto" w:sz="6" w:space="0"/>
            </w:tcBorders>
          </w:tcPr>
          <w:p w:rsidRPr="00E25790" w:rsidR="008D1C2B" w:rsidP="00A26E96" w:rsidRDefault="008D1C2B" w14:paraId="11DB5815" w14:textId="77777777">
            <w:r w:rsidRPr="00E25790">
              <w:lastRenderedPageBreak/>
              <w:t>Dilution :</w:t>
            </w:r>
          </w:p>
        </w:tc>
        <w:tc>
          <w:tcPr>
            <w:tcW w:w="6971" w:type="dxa"/>
            <w:tcBorders>
              <w:top w:val="single" w:color="auto" w:sz="6" w:space="0"/>
              <w:bottom w:val="single" w:color="auto" w:sz="6" w:space="0"/>
              <w:right w:val="single" w:color="auto" w:sz="6" w:space="0"/>
            </w:tcBorders>
          </w:tcPr>
          <w:p w:rsidRPr="00E25790" w:rsidR="008D1C2B" w:rsidP="00A26E96" w:rsidRDefault="008D1C2B" w14:paraId="26CEC80A" w14:textId="77777777">
            <w:pPr>
              <w:rPr>
                <w:lang w:val="en-AU" w:eastAsia="en-AU"/>
              </w:rPr>
            </w:pPr>
            <w:r w:rsidRPr="00E25790">
              <w:rPr>
                <w:lang w:val="en-AU" w:eastAsia="en-AU"/>
              </w:rPr>
              <w:t xml:space="preserve">Bolus solution: dilute 2mL of 100mg/mL solution to 25mL to give an 8mg/mL solution. Take 1mL of this dilution and dilute with 7mL 0.9% sodium chloride to give a 1mg/mL solution. Give over 10 minutes. </w:t>
            </w:r>
          </w:p>
          <w:p w:rsidRPr="00E25790" w:rsidR="008D1C2B" w:rsidP="00A26E96" w:rsidRDefault="008D1C2B" w14:paraId="65DCFA20" w14:textId="77777777">
            <w:pPr>
              <w:rPr>
                <w:lang w:val="en-AU" w:eastAsia="en-AU"/>
              </w:rPr>
            </w:pPr>
            <w:r w:rsidRPr="00E25790">
              <w:rPr>
                <w:lang w:val="en-AU" w:eastAsia="en-AU"/>
              </w:rPr>
              <w:t>Infusion syringes: prepared in pharmacy containing 8mg/mL solution. If prepared after hours in the unit dilute 2mL of lignocaine 100mg/mL to 25mL with 0.9% sodium chloride to give an 8mg/mL solution.</w:t>
            </w:r>
          </w:p>
        </w:tc>
      </w:tr>
      <w:tr w:rsidRPr="00E25790" w:rsidR="008D1C2B" w:rsidTr="00A26E96" w14:paraId="6F67BF52"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39C38098" w14:textId="77777777">
            <w:r w:rsidRPr="00E25790">
              <w:t>Stability :</w:t>
            </w:r>
          </w:p>
        </w:tc>
        <w:tc>
          <w:tcPr>
            <w:tcW w:w="6971" w:type="dxa"/>
            <w:tcBorders>
              <w:top w:val="single" w:color="auto" w:sz="6" w:space="0"/>
              <w:bottom w:val="single" w:color="auto" w:sz="6" w:space="0"/>
              <w:right w:val="single" w:color="auto" w:sz="6" w:space="0"/>
            </w:tcBorders>
          </w:tcPr>
          <w:p w:rsidRPr="00E25790" w:rsidR="008D1C2B" w:rsidP="00A26E96" w:rsidRDefault="008D1C2B" w14:paraId="1C291718" w14:textId="77777777">
            <w:bookmarkStart w:name="an-Storage718" w:id="364"/>
            <w:r w:rsidRPr="00E25790">
              <w:t xml:space="preserve">Steriamps for </w:t>
            </w:r>
            <w:r w:rsidRPr="00E25790">
              <w:rPr>
                <w:rStyle w:val="simplehighlight"/>
                <w:sz w:val="20"/>
              </w:rPr>
              <w:t>single</w:t>
            </w:r>
            <w:r w:rsidRPr="00E25790">
              <w:t xml:space="preserve"> use only. Discard unused portion</w:t>
            </w:r>
            <w:bookmarkEnd w:id="364"/>
            <w:r w:rsidRPr="00E25790">
              <w:t>. Infusion syringes are stable for 48 hours once prepared, but may only be used on patient for 24 hours.</w:t>
            </w:r>
          </w:p>
        </w:tc>
      </w:tr>
      <w:tr w:rsidRPr="00E25790" w:rsidR="008D1C2B" w:rsidTr="00A26E96" w14:paraId="4A0570F1"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7A239131" w14:textId="77777777">
            <w:r w:rsidRPr="00E25790">
              <w:t>Storage :</w:t>
            </w:r>
          </w:p>
        </w:tc>
        <w:tc>
          <w:tcPr>
            <w:tcW w:w="6971" w:type="dxa"/>
            <w:tcBorders>
              <w:top w:val="single" w:color="auto" w:sz="6" w:space="0"/>
              <w:bottom w:val="single" w:color="auto" w:sz="6" w:space="0"/>
              <w:right w:val="single" w:color="auto" w:sz="6" w:space="0"/>
            </w:tcBorders>
          </w:tcPr>
          <w:p w:rsidRPr="00E25790" w:rsidR="008D1C2B" w:rsidP="00A26E96" w:rsidRDefault="008D1C2B" w14:paraId="4185EDED" w14:textId="77777777">
            <w:r w:rsidRPr="00E25790">
              <w:t>Steriamps: store below 25 deg. C. Infusion syringes: store in refrigerator until required for use, maximum of 24 hours at room temperature.</w:t>
            </w:r>
          </w:p>
        </w:tc>
      </w:tr>
      <w:tr w:rsidRPr="00E25790" w:rsidR="008D1C2B" w:rsidTr="00A26E96" w14:paraId="4D2AFE11"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4DCAB134" w14:textId="77777777">
            <w:r w:rsidRPr="00E25790">
              <w:t>Compatibility :</w:t>
            </w:r>
          </w:p>
        </w:tc>
        <w:tc>
          <w:tcPr>
            <w:tcW w:w="6971" w:type="dxa"/>
            <w:tcBorders>
              <w:top w:val="single" w:color="auto" w:sz="6" w:space="0"/>
              <w:bottom w:val="single" w:color="auto" w:sz="6" w:space="0"/>
              <w:right w:val="single" w:color="auto" w:sz="6" w:space="0"/>
            </w:tcBorders>
          </w:tcPr>
          <w:p w:rsidRPr="00E25790" w:rsidR="008D1C2B" w:rsidP="00A26E96" w:rsidRDefault="008D1C2B" w14:paraId="73FD080E" w14:textId="77777777">
            <w:r w:rsidRPr="00E25790">
              <w:t xml:space="preserve">0.9% sodium chloride, 5% Dextrose,10% Dextrose </w:t>
            </w:r>
            <w:r w:rsidRPr="00E25790">
              <w:rPr>
                <w:b/>
              </w:rPr>
              <w:t>Compatible at the Y site only:</w:t>
            </w:r>
            <w:r w:rsidRPr="00E25790">
              <w:t xml:space="preserve"> amiodarone, ampicillin, caffeine citrate, calcium chloride, calcium gluconate, cefazolin, cefoxitin, cimetidine, dexamethasone, digoxin, dobutamine, dopamine, fentanyl, flumazenil, furosemide, heparin, hydrocortisone succinate, insulin, linezolid, morphine, nitroglycerin, penicillin G, potassium chloride, ranitidine, sodium bicarbonate, and sodium nitroprusside.</w:t>
            </w:r>
          </w:p>
        </w:tc>
      </w:tr>
      <w:tr w:rsidRPr="00E25790" w:rsidR="008D1C2B" w:rsidTr="00A26E96" w14:paraId="6B329953"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0561AB1F" w14:textId="77777777">
            <w:r w:rsidRPr="00E25790">
              <w:t>Incompatibility :</w:t>
            </w:r>
          </w:p>
        </w:tc>
        <w:tc>
          <w:tcPr>
            <w:tcW w:w="6971" w:type="dxa"/>
            <w:tcBorders>
              <w:top w:val="single" w:color="auto" w:sz="6" w:space="0"/>
              <w:bottom w:val="single" w:color="auto" w:sz="6" w:space="0"/>
              <w:right w:val="single" w:color="auto" w:sz="6" w:space="0"/>
            </w:tcBorders>
          </w:tcPr>
          <w:p w:rsidRPr="00E25790" w:rsidR="008D1C2B" w:rsidP="00A26E96" w:rsidRDefault="008D1C2B" w14:paraId="0EEE68AE" w14:textId="77777777">
            <w:r w:rsidRPr="00E25790">
              <w:t xml:space="preserve">Milrinone, Phenobarbitone, Phenytoin, </w:t>
            </w:r>
          </w:p>
        </w:tc>
      </w:tr>
      <w:tr w:rsidRPr="00E25790" w:rsidR="008D1C2B" w:rsidTr="00A26E96" w14:paraId="1D0801D5" w14:textId="77777777">
        <w:trPr>
          <w:cantSplit/>
          <w:trHeight w:val="480"/>
        </w:trPr>
        <w:tc>
          <w:tcPr>
            <w:tcW w:w="2093" w:type="dxa"/>
            <w:tcBorders>
              <w:top w:val="single" w:color="auto" w:sz="6" w:space="0"/>
              <w:left w:val="single" w:color="auto" w:sz="6" w:space="0"/>
              <w:bottom w:val="single" w:color="auto" w:sz="6" w:space="0"/>
            </w:tcBorders>
          </w:tcPr>
          <w:p w:rsidRPr="00E25790" w:rsidR="008D1C2B" w:rsidP="00A26E96" w:rsidRDefault="008D1C2B" w14:paraId="0F30F540" w14:textId="77777777">
            <w:r w:rsidRPr="00E25790">
              <w:t>Serum Levels :</w:t>
            </w:r>
          </w:p>
        </w:tc>
        <w:tc>
          <w:tcPr>
            <w:tcW w:w="6971" w:type="dxa"/>
            <w:tcBorders>
              <w:top w:val="single" w:color="auto" w:sz="6" w:space="0"/>
              <w:bottom w:val="single" w:color="auto" w:sz="6" w:space="0"/>
              <w:right w:val="single" w:color="auto" w:sz="6" w:space="0"/>
            </w:tcBorders>
          </w:tcPr>
          <w:p w:rsidRPr="00E25790" w:rsidR="008D1C2B" w:rsidP="00A26E96" w:rsidRDefault="008D1C2B" w14:paraId="643D4189" w14:textId="77777777">
            <w:r w:rsidRPr="00E25790">
              <w:t>Lignocaine levels are not performed at TCH. If required they can be sent away to RNS, ring specimen referrals on 42845. Levels above 9mg/L are associated with cardiac toxicity in adults, but there is little information regarding levels in neonates.</w:t>
            </w:r>
          </w:p>
        </w:tc>
      </w:tr>
    </w:tbl>
    <w:p w:rsidRPr="00E25790" w:rsidR="005A22C6" w:rsidP="006F0321" w:rsidRDefault="005A22C6" w14:paraId="573B12C8" w14:textId="77777777"/>
    <w:p w:rsidRPr="00E25790" w:rsidR="008D1C2B" w:rsidP="006F0321" w:rsidRDefault="008D1C2B" w14:paraId="104C6AA9" w14:textId="77777777">
      <w:r w:rsidRPr="00E25790">
        <w:t xml:space="preserve">References: </w:t>
      </w:r>
    </w:p>
    <w:p w:rsidRPr="00E25790" w:rsidR="008D1C2B" w:rsidP="006F0321" w:rsidRDefault="008D1C2B" w14:paraId="5EA48D5D" w14:textId="77777777">
      <w:r w:rsidRPr="00E25790">
        <w:t xml:space="preserve">Lignocaine. In: NeoFax® System (electronic version). Truven Health Analytics, Greenwood Village, Colorado, USA. Available at: http://www.micromedexsolutions.com/ (cited: </w:t>
      </w:r>
      <w:r w:rsidRPr="00E25790">
        <w:rPr>
          <w:i/>
          <w:iCs/>
        </w:rPr>
        <w:t>06/03/2018</w:t>
      </w:r>
      <w:r w:rsidRPr="00E25790">
        <w:t>).</w:t>
      </w:r>
    </w:p>
    <w:p w:rsidRPr="00E25790" w:rsidR="008D1C2B" w:rsidP="006F0321" w:rsidRDefault="008D1C2B" w14:paraId="69D01CEC" w14:textId="77777777"/>
    <w:p w:rsidRPr="00E25790" w:rsidR="008D1C2B" w:rsidP="006F0321" w:rsidRDefault="008D1C2B" w14:paraId="6FF27867" w14:textId="77777777">
      <w:r w:rsidRPr="00E25790">
        <w:t>Lilley L, Legge D. Paediatric Injectable Guidelines.5</w:t>
      </w:r>
      <w:r w:rsidRPr="00E25790">
        <w:rPr>
          <w:vertAlign w:val="superscript"/>
        </w:rPr>
        <w:t>th</w:t>
      </w:r>
      <w:r w:rsidRPr="00E25790">
        <w:t xml:space="preserve"> ed. Flemington, Vic: The Royal Children’s Hospital;2016</w:t>
      </w:r>
    </w:p>
    <w:p w:rsidRPr="00E25790" w:rsidR="008D1C2B" w:rsidP="006F0321" w:rsidRDefault="008D1C2B" w14:paraId="4401EC1F" w14:textId="77777777"/>
    <w:p w:rsidRPr="00E25790" w:rsidR="008D1C2B" w:rsidP="006F0321" w:rsidRDefault="008D1C2B" w14:paraId="18CC3FE6" w14:textId="77777777">
      <w:r w:rsidRPr="00E25790">
        <w:t>Taketomo CK, Hodding JH, Kraus DM. Lexicomp® Pediatric &amp; neonatal Dosage Handbook with International Trade Names Index. 24</w:t>
      </w:r>
      <w:r w:rsidRPr="00E25790">
        <w:rPr>
          <w:vertAlign w:val="superscript"/>
        </w:rPr>
        <w:t>th</w:t>
      </w:r>
      <w:r w:rsidRPr="00E25790">
        <w:t xml:space="preserve"> ed. USA: Wolters Kluwer;2017</w:t>
      </w:r>
    </w:p>
    <w:p w:rsidRPr="00E25790" w:rsidR="008D1C2B" w:rsidP="006F0321" w:rsidRDefault="008D1C2B" w14:paraId="6EBC1DD6"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F12CE6" w:rsidR="00B31AA0" w:rsidTr="0059793A" w14:paraId="31C21178" w14:textId="77777777">
        <w:tc>
          <w:tcPr>
            <w:tcW w:w="4535" w:type="dxa"/>
            <w:vAlign w:val="center"/>
          </w:tcPr>
          <w:p w:rsidRPr="001571DC" w:rsidR="00B31AA0" w:rsidP="0059793A" w:rsidRDefault="00B31AA0" w14:paraId="5344AF1F" w14:textId="31DE4ADD">
            <w:r w:rsidRPr="001571DC">
              <w:t xml:space="preserve">Original version Date: </w:t>
            </w:r>
            <w:r>
              <w:t>2014</w:t>
            </w:r>
          </w:p>
        </w:tc>
        <w:tc>
          <w:tcPr>
            <w:tcW w:w="4535" w:type="dxa"/>
            <w:vAlign w:val="center"/>
          </w:tcPr>
          <w:p w:rsidRPr="001571DC" w:rsidR="00B31AA0" w:rsidP="0059793A" w:rsidRDefault="00B31AA0" w14:paraId="0CFF1B2C" w14:textId="77777777">
            <w:r w:rsidRPr="001571DC">
              <w:t>Author: Neonatal Medicines Formulary Consensus Group</w:t>
            </w:r>
          </w:p>
        </w:tc>
      </w:tr>
      <w:tr w:rsidRPr="00F12CE6" w:rsidR="00B31AA0" w:rsidTr="0059793A" w14:paraId="3F2057A6" w14:textId="77777777">
        <w:tc>
          <w:tcPr>
            <w:tcW w:w="4535" w:type="dxa"/>
            <w:vAlign w:val="center"/>
          </w:tcPr>
          <w:p w:rsidRPr="001571DC" w:rsidR="00B31AA0" w:rsidP="0059793A" w:rsidRDefault="00B31AA0" w14:paraId="7D25020E" w14:textId="43272431">
            <w:pPr>
              <w:rPr>
                <w:bCs/>
              </w:rPr>
            </w:pPr>
            <w:r w:rsidRPr="001571DC">
              <w:t xml:space="preserve">Current Version number:  </w:t>
            </w:r>
            <w:r>
              <w:t>2</w:t>
            </w:r>
          </w:p>
        </w:tc>
        <w:tc>
          <w:tcPr>
            <w:tcW w:w="4535" w:type="dxa"/>
            <w:vAlign w:val="center"/>
          </w:tcPr>
          <w:p w:rsidRPr="001571DC" w:rsidR="00B31AA0" w:rsidP="0059793A" w:rsidRDefault="00B31AA0" w14:paraId="0FCCCEA5" w14:textId="77777777">
            <w:r w:rsidRPr="001571DC">
              <w:t>Version Date:  24/11/2017</w:t>
            </w:r>
          </w:p>
        </w:tc>
      </w:tr>
      <w:tr w:rsidRPr="00F12CE6" w:rsidR="00B31AA0" w:rsidTr="0059793A" w14:paraId="5627BB70" w14:textId="77777777">
        <w:tc>
          <w:tcPr>
            <w:tcW w:w="4535" w:type="dxa"/>
            <w:vAlign w:val="center"/>
          </w:tcPr>
          <w:p w:rsidRPr="001571DC" w:rsidR="00B31AA0" w:rsidP="0059793A" w:rsidRDefault="00B31AA0" w14:paraId="56CF4EA0" w14:textId="77777777">
            <w:r w:rsidRPr="001571DC">
              <w:t xml:space="preserve">Risk Rating: </w:t>
            </w:r>
            <w:r>
              <w:t>Low</w:t>
            </w:r>
          </w:p>
        </w:tc>
        <w:tc>
          <w:tcPr>
            <w:tcW w:w="4535" w:type="dxa"/>
            <w:vAlign w:val="center"/>
          </w:tcPr>
          <w:p w:rsidRPr="001571DC" w:rsidR="00B31AA0" w:rsidP="0059793A" w:rsidRDefault="00B31AA0" w14:paraId="6A08295D" w14:textId="77777777">
            <w:r w:rsidRPr="001571DC">
              <w:t>Due for Review:  24/11/202</w:t>
            </w:r>
            <w:r>
              <w:t>2</w:t>
            </w:r>
          </w:p>
        </w:tc>
      </w:tr>
      <w:tr w:rsidRPr="00F12CE6" w:rsidR="00B31AA0" w:rsidTr="0059793A" w14:paraId="273A3766" w14:textId="77777777">
        <w:trPr>
          <w:trHeight w:val="344"/>
        </w:trPr>
        <w:tc>
          <w:tcPr>
            <w:tcW w:w="4535" w:type="dxa"/>
            <w:tcBorders>
              <w:bottom w:val="single" w:color="auto" w:sz="4" w:space="0"/>
            </w:tcBorders>
            <w:vAlign w:val="center"/>
          </w:tcPr>
          <w:p w:rsidRPr="001571DC" w:rsidR="00B31AA0" w:rsidP="0059793A" w:rsidRDefault="00B31AA0" w14:paraId="4D4E8BAE" w14:textId="77777777">
            <w:r w:rsidRPr="001571DC">
              <w:t>Approved by: DTC</w:t>
            </w:r>
          </w:p>
        </w:tc>
        <w:tc>
          <w:tcPr>
            <w:tcW w:w="4535" w:type="dxa"/>
            <w:tcBorders>
              <w:bottom w:val="single" w:color="auto" w:sz="4" w:space="0"/>
            </w:tcBorders>
            <w:vAlign w:val="center"/>
          </w:tcPr>
          <w:p w:rsidRPr="001571DC" w:rsidR="00B31AA0" w:rsidP="0059793A" w:rsidRDefault="00B31AA0" w14:paraId="595183CD" w14:textId="6D959A15">
            <w:r w:rsidRPr="001571DC">
              <w:t xml:space="preserve">Approval Date: </w:t>
            </w:r>
            <w:r w:rsidR="00260BC8">
              <w:t>APRIL 2021</w:t>
            </w:r>
          </w:p>
        </w:tc>
      </w:tr>
    </w:tbl>
    <w:p w:rsidRPr="00E25790" w:rsidR="008D1C2B" w:rsidP="006F0321" w:rsidRDefault="008D1C2B" w14:paraId="1B58E7FB" w14:textId="77777777"/>
    <w:tbl>
      <w:tblPr>
        <w:tblW w:w="9049" w:type="dxa"/>
        <w:tblLayout w:type="fixed"/>
        <w:tblLook w:val="0000" w:firstRow="0" w:lastRow="0" w:firstColumn="0" w:lastColumn="0" w:noHBand="0" w:noVBand="0"/>
      </w:tblPr>
      <w:tblGrid>
        <w:gridCol w:w="4153"/>
        <w:gridCol w:w="4896"/>
      </w:tblGrid>
      <w:tr w:rsidRPr="00E25790" w:rsidR="008C7B04" w:rsidTr="00A26E96" w14:paraId="6A0395BE"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8C7B04" w:rsidP="009469DB" w:rsidRDefault="008C7B04" w14:paraId="6A7A1EFC" w14:textId="77777777">
            <w:pPr>
              <w:pStyle w:val="Heading1"/>
            </w:pPr>
            <w:bookmarkStart w:name="_Toc38106877" w:id="365"/>
            <w:bookmarkStart w:name="_Toc75340001" w:id="366"/>
            <w:r w:rsidRPr="00E25790">
              <w:lastRenderedPageBreak/>
              <w:t>Lignocaine for local anaesthetic, cardiac arrhythmia</w:t>
            </w:r>
            <w:bookmarkEnd w:id="365"/>
            <w:bookmarkEnd w:id="366"/>
            <w:r w:rsidRPr="00E25790">
              <w:fldChar w:fldCharType="begin"/>
            </w:r>
            <w:r w:rsidRPr="00E25790">
              <w:instrText>tc "Lignocaine" \l 0</w:instrText>
            </w:r>
            <w:r w:rsidRPr="00E25790">
              <w:fldChar w:fldCharType="end"/>
            </w:r>
          </w:p>
        </w:tc>
      </w:tr>
      <w:tr w:rsidRPr="00E25790" w:rsidR="008C7B04" w:rsidTr="00A26E96" w14:paraId="3D85E63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8C7B04" w:rsidP="006F0321" w:rsidRDefault="008C7B04" w14:paraId="26947EF4" w14:textId="4EAFA325">
            <w:r w:rsidRPr="00E25790">
              <w:t xml:space="preserve">Revision Date : </w:t>
            </w:r>
            <w:r w:rsidR="00646EE0">
              <w:t>01/03/2021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8C7B04" w:rsidP="006F0321" w:rsidRDefault="008C7B04" w14:paraId="29D723D2" w14:textId="24230B7C">
            <w:r w:rsidRPr="00E25790">
              <w:t xml:space="preserve">Approved: </w:t>
            </w:r>
            <w:r w:rsidR="00646EE0">
              <w:t>DT, TC, KOH</w:t>
            </w:r>
          </w:p>
        </w:tc>
      </w:tr>
    </w:tbl>
    <w:p w:rsidRPr="00E25790" w:rsidR="008C7B04" w:rsidP="006F0321" w:rsidRDefault="008C7B04" w14:paraId="54DD84ED" w14:textId="77777777"/>
    <w:tbl>
      <w:tblPr>
        <w:tblW w:w="9064" w:type="dxa"/>
        <w:tblLayout w:type="fixed"/>
        <w:tblLook w:val="0000" w:firstRow="0" w:lastRow="0" w:firstColumn="0" w:lastColumn="0" w:noHBand="0" w:noVBand="0"/>
      </w:tblPr>
      <w:tblGrid>
        <w:gridCol w:w="2443"/>
        <w:gridCol w:w="6621"/>
      </w:tblGrid>
      <w:tr w:rsidRPr="00E25790" w:rsidR="008C7B04" w:rsidTr="00A26E96" w14:paraId="13B3F47F" w14:textId="77777777">
        <w:trPr>
          <w:cantSplit/>
          <w:trHeight w:val="1065"/>
        </w:trPr>
        <w:tc>
          <w:tcPr>
            <w:tcW w:w="2443" w:type="dxa"/>
            <w:tcBorders>
              <w:top w:val="single" w:color="auto" w:sz="6" w:space="0"/>
              <w:left w:val="single" w:color="auto" w:sz="6" w:space="0"/>
              <w:bottom w:val="single" w:color="auto" w:sz="6" w:space="0"/>
            </w:tcBorders>
          </w:tcPr>
          <w:p w:rsidRPr="00E25790" w:rsidR="008C7B04" w:rsidP="006F0321" w:rsidRDefault="008C7B04" w14:paraId="514153BC" w14:textId="77777777">
            <w:r w:rsidRPr="00E25790">
              <w:t>Indication :</w:t>
            </w:r>
          </w:p>
        </w:tc>
        <w:tc>
          <w:tcPr>
            <w:tcW w:w="6621" w:type="dxa"/>
            <w:tcBorders>
              <w:top w:val="single" w:color="auto" w:sz="6" w:space="0"/>
              <w:bottom w:val="single" w:color="auto" w:sz="6" w:space="0"/>
              <w:right w:val="single" w:color="auto" w:sz="6" w:space="0"/>
            </w:tcBorders>
          </w:tcPr>
          <w:p w:rsidRPr="00E25790" w:rsidR="008C7B04" w:rsidP="001B0E05" w:rsidRDefault="008C7B04" w14:paraId="523632C1" w14:textId="77777777">
            <w:pPr>
              <w:pStyle w:val="ListParagraph"/>
              <w:numPr>
                <w:ilvl w:val="0"/>
                <w:numId w:val="14"/>
              </w:numPr>
            </w:pPr>
            <w:r w:rsidRPr="00E25790">
              <w:t>Ventricular arrythmias</w:t>
            </w:r>
          </w:p>
          <w:p w:rsidRPr="00E25790" w:rsidR="008C7B04" w:rsidP="001B0E05" w:rsidRDefault="008C7B04" w14:paraId="0445FFB1" w14:textId="77777777">
            <w:pPr>
              <w:pStyle w:val="ListParagraph"/>
              <w:numPr>
                <w:ilvl w:val="0"/>
                <w:numId w:val="14"/>
              </w:numPr>
            </w:pPr>
            <w:r w:rsidRPr="00E25790">
              <w:t>Local anaesthesia</w:t>
            </w:r>
          </w:p>
          <w:p w:rsidRPr="00E25790" w:rsidR="008C7B04" w:rsidP="001B0E05" w:rsidRDefault="008C7B04" w14:paraId="0C6EDA28" w14:textId="77777777">
            <w:pPr>
              <w:pStyle w:val="ListParagraph"/>
              <w:numPr>
                <w:ilvl w:val="0"/>
                <w:numId w:val="14"/>
              </w:numPr>
            </w:pPr>
            <w:r w:rsidRPr="00E25790">
              <w:t>Topical anaesthesia</w:t>
            </w:r>
          </w:p>
        </w:tc>
      </w:tr>
      <w:tr w:rsidRPr="00E25790" w:rsidR="008C7B04" w:rsidTr="00A26E96" w14:paraId="57DB6C2A"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79B755F2" w14:textId="77777777">
            <w:r w:rsidRPr="00E25790">
              <w:t>Dose :</w:t>
            </w:r>
          </w:p>
        </w:tc>
        <w:tc>
          <w:tcPr>
            <w:tcW w:w="6621" w:type="dxa"/>
            <w:tcBorders>
              <w:top w:val="single" w:color="auto" w:sz="6" w:space="0"/>
              <w:bottom w:val="single" w:color="auto" w:sz="6" w:space="0"/>
              <w:right w:val="single" w:color="auto" w:sz="6" w:space="0"/>
            </w:tcBorders>
          </w:tcPr>
          <w:p w:rsidR="00D75B5F" w:rsidP="001B0E05" w:rsidRDefault="00D75B5F" w14:paraId="3F633EA3" w14:textId="77777777">
            <w:pPr>
              <w:pStyle w:val="ListParagraph"/>
              <w:numPr>
                <w:ilvl w:val="0"/>
                <w:numId w:val="15"/>
              </w:numPr>
            </w:pPr>
            <w:r w:rsidRPr="0022483E">
              <w:rPr>
                <w:b/>
                <w:bCs/>
              </w:rPr>
              <w:t>Ventricular arrythmias:</w:t>
            </w:r>
            <w:r w:rsidRPr="00D75B5F">
              <w:t xml:space="preserve"> 1 mg/kg (0.1 ml/kg of 1%) loading dose. Follow within 15 minutes with an infusion of 10-50 microg/kg/min otherwise repeat loading dose if infusion delayed &gt;15 minutes. </w:t>
            </w:r>
          </w:p>
          <w:p w:rsidR="00AE1761" w:rsidP="001B0E05" w:rsidRDefault="00AE1761" w14:paraId="0904EEC9" w14:textId="057090F9">
            <w:pPr>
              <w:pStyle w:val="ListParagraph"/>
              <w:numPr>
                <w:ilvl w:val="0"/>
                <w:numId w:val="15"/>
              </w:numPr>
            </w:pPr>
            <w:r w:rsidRPr="0022483E">
              <w:rPr>
                <w:b/>
                <w:bCs/>
              </w:rPr>
              <w:t>Local anaesthesia:</w:t>
            </w:r>
            <w:r w:rsidRPr="00AE1761">
              <w:t xml:space="preserve"> maximum dose without adrenaline 5 mg/kg </w:t>
            </w:r>
          </w:p>
          <w:p w:rsidRPr="00E25790" w:rsidR="008C7B04" w:rsidP="001B0E05" w:rsidRDefault="0022483E" w14:paraId="7A6A3761" w14:textId="70837D59">
            <w:pPr>
              <w:pStyle w:val="ListParagraph"/>
              <w:numPr>
                <w:ilvl w:val="0"/>
                <w:numId w:val="15"/>
              </w:numPr>
            </w:pPr>
            <w:r w:rsidRPr="0022483E">
              <w:rPr>
                <w:b/>
                <w:bCs/>
              </w:rPr>
              <w:t>Surface (Topical) anaesthesia:</w:t>
            </w:r>
            <w:r w:rsidRPr="0022483E">
              <w:t xml:space="preserve"> of mouth, throat and upper GI tract: mixture up to 3 mg (0.15 ml)/kg/dose</w:t>
            </w:r>
          </w:p>
        </w:tc>
      </w:tr>
      <w:tr w:rsidRPr="00E25790" w:rsidR="008C7B04" w:rsidTr="00A26E96" w14:paraId="2B30A29A"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17D15EB4" w14:textId="77777777">
            <w:r w:rsidRPr="00E25790">
              <w:t>Interval :</w:t>
            </w:r>
          </w:p>
        </w:tc>
        <w:tc>
          <w:tcPr>
            <w:tcW w:w="6621" w:type="dxa"/>
            <w:tcBorders>
              <w:top w:val="single" w:color="auto" w:sz="6" w:space="0"/>
              <w:bottom w:val="single" w:color="auto" w:sz="6" w:space="0"/>
              <w:right w:val="single" w:color="auto" w:sz="6" w:space="0"/>
            </w:tcBorders>
          </w:tcPr>
          <w:p w:rsidR="00D14DCA" w:rsidP="001B0E05" w:rsidRDefault="00D14DCA" w14:paraId="302344A9" w14:textId="47121B92">
            <w:pPr>
              <w:pStyle w:val="ListParagraph"/>
              <w:numPr>
                <w:ilvl w:val="0"/>
                <w:numId w:val="16"/>
              </w:numPr>
            </w:pPr>
            <w:r w:rsidRPr="00D14DCA">
              <w:t>Loading dose can be repeated within 15 minutes if infusion not started</w:t>
            </w:r>
          </w:p>
          <w:p w:rsidR="00D0681F" w:rsidP="001B0E05" w:rsidRDefault="00D0681F" w14:paraId="18808561" w14:textId="47121B92">
            <w:pPr>
              <w:pStyle w:val="ListParagraph"/>
              <w:numPr>
                <w:ilvl w:val="0"/>
                <w:numId w:val="16"/>
              </w:numPr>
            </w:pPr>
            <w:r w:rsidRPr="00D0681F">
              <w:t xml:space="preserve">Local anaesthesia: do not repeat </w:t>
            </w:r>
          </w:p>
          <w:p w:rsidRPr="00E25790" w:rsidR="008C7B04" w:rsidP="001B0E05" w:rsidRDefault="00766ADF" w14:paraId="43C30200" w14:textId="403EC8AD">
            <w:pPr>
              <w:pStyle w:val="ListParagraph"/>
              <w:numPr>
                <w:ilvl w:val="0"/>
                <w:numId w:val="16"/>
              </w:numPr>
            </w:pPr>
            <w:r w:rsidRPr="00766ADF">
              <w:t>Topical: do not repeat within 2 hours</w:t>
            </w:r>
          </w:p>
        </w:tc>
      </w:tr>
      <w:tr w:rsidRPr="00E25790" w:rsidR="008C7B04" w:rsidTr="00A26E96" w14:paraId="4FBD137D"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03DAB74E" w14:textId="77777777">
            <w:r w:rsidRPr="00E25790">
              <w:t>Route :</w:t>
            </w:r>
          </w:p>
        </w:tc>
        <w:tc>
          <w:tcPr>
            <w:tcW w:w="6621" w:type="dxa"/>
            <w:tcBorders>
              <w:top w:val="single" w:color="auto" w:sz="6" w:space="0"/>
              <w:bottom w:val="single" w:color="auto" w:sz="6" w:space="0"/>
              <w:right w:val="single" w:color="auto" w:sz="6" w:space="0"/>
            </w:tcBorders>
          </w:tcPr>
          <w:p w:rsidRPr="00E25790" w:rsidR="008C7B04" w:rsidP="001B0E05" w:rsidRDefault="008C7B04" w14:paraId="78B6D824" w14:textId="77777777">
            <w:pPr>
              <w:pStyle w:val="ListParagraph"/>
              <w:numPr>
                <w:ilvl w:val="0"/>
                <w:numId w:val="17"/>
              </w:numPr>
            </w:pPr>
            <w:r w:rsidRPr="00E25790">
              <w:t>IV over 2 minutes</w:t>
            </w:r>
          </w:p>
          <w:p w:rsidRPr="00E25790" w:rsidR="008C7B04" w:rsidP="001B0E05" w:rsidRDefault="008C7B04" w14:paraId="198ECEBF" w14:textId="77777777">
            <w:pPr>
              <w:pStyle w:val="ListParagraph"/>
              <w:numPr>
                <w:ilvl w:val="0"/>
                <w:numId w:val="17"/>
              </w:numPr>
            </w:pPr>
            <w:r w:rsidRPr="00E25790">
              <w:t>Local infiltration</w:t>
            </w:r>
          </w:p>
          <w:p w:rsidRPr="00E25790" w:rsidR="008C7B04" w:rsidP="001B0E05" w:rsidRDefault="008C7B04" w14:paraId="169E3DFF" w14:textId="77777777">
            <w:pPr>
              <w:pStyle w:val="ListParagraph"/>
              <w:numPr>
                <w:ilvl w:val="0"/>
                <w:numId w:val="17"/>
              </w:numPr>
            </w:pPr>
            <w:r w:rsidRPr="00E25790">
              <w:t>Topical, can dab onto severe mouth ulcers before feeds</w:t>
            </w:r>
          </w:p>
        </w:tc>
      </w:tr>
      <w:tr w:rsidRPr="00E25790" w:rsidR="008C7B04" w:rsidTr="00A26E96" w14:paraId="4931D42E"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23A17090" w14:textId="77777777">
            <w:r w:rsidRPr="00E25790">
              <w:t>Total Daily Dose :</w:t>
            </w:r>
          </w:p>
        </w:tc>
        <w:tc>
          <w:tcPr>
            <w:tcW w:w="6621" w:type="dxa"/>
            <w:tcBorders>
              <w:top w:val="single" w:color="auto" w:sz="6" w:space="0"/>
              <w:bottom w:val="single" w:color="auto" w:sz="6" w:space="0"/>
              <w:right w:val="single" w:color="auto" w:sz="6" w:space="0"/>
            </w:tcBorders>
          </w:tcPr>
          <w:p w:rsidR="006A0C93" w:rsidP="006F0321" w:rsidRDefault="006A0C93" w14:paraId="4036D104" w14:textId="3220991F">
            <w:r w:rsidRPr="006A0C93">
              <w:t>1) As per requirements for Arrhythmias</w:t>
            </w:r>
          </w:p>
          <w:p w:rsidRPr="00E25790" w:rsidR="008C7B04" w:rsidP="006F0321" w:rsidRDefault="006A0C93" w14:paraId="0368091A" w14:textId="3220991F">
            <w:r w:rsidRPr="006A0C93">
              <w:t>2 and 3) As per interval above</w:t>
            </w:r>
          </w:p>
        </w:tc>
      </w:tr>
      <w:tr w:rsidRPr="00E25790" w:rsidR="008C7B04" w:rsidTr="00A26E96" w14:paraId="064A36DB" w14:textId="77777777">
        <w:trPr>
          <w:cantSplit/>
          <w:trHeight w:val="868"/>
        </w:trPr>
        <w:tc>
          <w:tcPr>
            <w:tcW w:w="2443" w:type="dxa"/>
            <w:tcBorders>
              <w:top w:val="single" w:color="auto" w:sz="6" w:space="0"/>
              <w:left w:val="single" w:color="auto" w:sz="6" w:space="0"/>
              <w:bottom w:val="single" w:color="auto" w:sz="6" w:space="0"/>
            </w:tcBorders>
          </w:tcPr>
          <w:p w:rsidRPr="00E25790" w:rsidR="008C7B04" w:rsidP="006F0321" w:rsidRDefault="008C7B04" w14:paraId="17A5C939" w14:textId="77777777">
            <w:r w:rsidRPr="00E25790">
              <w:t>Comments :</w:t>
            </w:r>
          </w:p>
        </w:tc>
        <w:tc>
          <w:tcPr>
            <w:tcW w:w="6621" w:type="dxa"/>
            <w:tcBorders>
              <w:top w:val="single" w:color="auto" w:sz="6" w:space="0"/>
              <w:bottom w:val="single" w:color="auto" w:sz="6" w:space="0"/>
              <w:right w:val="single" w:color="auto" w:sz="6" w:space="0"/>
            </w:tcBorders>
          </w:tcPr>
          <w:p w:rsidRPr="00E25790" w:rsidR="008C7B04" w:rsidP="006F0321" w:rsidRDefault="008C7B04" w14:paraId="4E254162" w14:textId="77777777">
            <w:r w:rsidRPr="00E25790">
              <w:t>Can give 1% undiluted or dilute with NS. Excessive topical use in mouth can paralyse gag reflex.</w:t>
            </w:r>
          </w:p>
        </w:tc>
      </w:tr>
      <w:tr w:rsidRPr="00E25790" w:rsidR="008C7B04" w:rsidTr="00A26E96" w14:paraId="6585C420"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68271266" w14:textId="77777777">
            <w:r w:rsidRPr="00E25790">
              <w:t>Supplied as :</w:t>
            </w:r>
          </w:p>
        </w:tc>
        <w:tc>
          <w:tcPr>
            <w:tcW w:w="6621" w:type="dxa"/>
            <w:tcBorders>
              <w:top w:val="single" w:color="auto" w:sz="6" w:space="0"/>
              <w:bottom w:val="single" w:color="auto" w:sz="6" w:space="0"/>
              <w:right w:val="single" w:color="auto" w:sz="6" w:space="0"/>
            </w:tcBorders>
          </w:tcPr>
          <w:p w:rsidRPr="00E25790" w:rsidR="008C7B04" w:rsidP="006F0321" w:rsidRDefault="008C7B04" w14:paraId="3DF9BEA7" w14:textId="77777777">
            <w:pPr>
              <w:rPr>
                <w:lang w:val="fr-FR"/>
              </w:rPr>
            </w:pPr>
            <w:r w:rsidRPr="00E25790">
              <w:rPr>
                <w:lang w:val="fr-FR"/>
              </w:rPr>
              <w:t>1% ampoules (10mg/ml)</w:t>
            </w:r>
          </w:p>
          <w:p w:rsidRPr="00E25790" w:rsidR="008C7B04" w:rsidP="006F0321" w:rsidRDefault="008C7B04" w14:paraId="3113E037" w14:textId="77777777">
            <w:pPr>
              <w:rPr>
                <w:lang w:val="fr-FR"/>
              </w:rPr>
            </w:pPr>
            <w:r w:rsidRPr="00E25790">
              <w:rPr>
                <w:lang w:val="fr-FR"/>
              </w:rPr>
              <w:t>Mixture: 2% Xylocaine Viscous</w:t>
            </w:r>
          </w:p>
          <w:p w:rsidRPr="00E25790" w:rsidR="008C7B04" w:rsidP="006F0321" w:rsidRDefault="008C7B04" w14:paraId="628D65C3" w14:textId="77777777">
            <w:r w:rsidRPr="00E25790">
              <w:t>Gel: 2%</w:t>
            </w:r>
          </w:p>
        </w:tc>
      </w:tr>
      <w:tr w:rsidRPr="00E25790" w:rsidR="008C7B04" w:rsidTr="00A26E96" w14:paraId="56DDDF37" w14:textId="77777777">
        <w:trPr>
          <w:cantSplit/>
          <w:trHeight w:val="960"/>
        </w:trPr>
        <w:tc>
          <w:tcPr>
            <w:tcW w:w="2443" w:type="dxa"/>
            <w:tcBorders>
              <w:top w:val="single" w:color="auto" w:sz="6" w:space="0"/>
              <w:left w:val="single" w:color="auto" w:sz="6" w:space="0"/>
              <w:bottom w:val="single" w:color="auto" w:sz="6" w:space="0"/>
            </w:tcBorders>
          </w:tcPr>
          <w:p w:rsidRPr="00E25790" w:rsidR="008C7B04" w:rsidP="006F0321" w:rsidRDefault="008C7B04" w14:paraId="57C1FB1B" w14:textId="77777777">
            <w:r w:rsidRPr="00E25790">
              <w:t>Dilution :</w:t>
            </w:r>
          </w:p>
        </w:tc>
        <w:tc>
          <w:tcPr>
            <w:tcW w:w="6621" w:type="dxa"/>
            <w:tcBorders>
              <w:top w:val="single" w:color="auto" w:sz="6" w:space="0"/>
              <w:bottom w:val="single" w:color="auto" w:sz="6" w:space="0"/>
              <w:right w:val="single" w:color="auto" w:sz="6" w:space="0"/>
            </w:tcBorders>
          </w:tcPr>
          <w:p w:rsidRPr="00E25790" w:rsidR="008C7B04" w:rsidP="006F0321" w:rsidRDefault="008C7B04" w14:paraId="47CB21D6" w14:textId="77777777">
            <w:r w:rsidRPr="00E25790">
              <w:t xml:space="preserve">For IV infusion using 1% lignocaine solution (10mg/ml) take 3 ml multiplied by weight of the patient in kg and make up to 50 ml with NS. 1 ml/hr = 10 microg/kg/min. </w:t>
            </w:r>
            <w:r w:rsidRPr="00E25790">
              <w:rPr>
                <w:b/>
                <w:color w:val="FF0000"/>
              </w:rPr>
              <w:t>DO NOT USE THIS DILUTION FOR SEIZURE PROTOCOL</w:t>
            </w:r>
          </w:p>
        </w:tc>
      </w:tr>
      <w:tr w:rsidRPr="00E25790" w:rsidR="008C7B04" w:rsidTr="00A26E96" w14:paraId="78C30529"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18C91DF8" w14:textId="77777777">
            <w:r w:rsidRPr="00E25790">
              <w:t>Stability :</w:t>
            </w:r>
          </w:p>
        </w:tc>
        <w:tc>
          <w:tcPr>
            <w:tcW w:w="6621" w:type="dxa"/>
            <w:tcBorders>
              <w:top w:val="single" w:color="auto" w:sz="6" w:space="0"/>
              <w:bottom w:val="single" w:color="auto" w:sz="6" w:space="0"/>
              <w:right w:val="single" w:color="auto" w:sz="6" w:space="0"/>
            </w:tcBorders>
          </w:tcPr>
          <w:p w:rsidRPr="00E25790" w:rsidR="008C7B04" w:rsidP="006F0321" w:rsidRDefault="008C7B04" w14:paraId="768F7687" w14:textId="77777777">
            <w:r w:rsidRPr="00E25790">
              <w:t>Discard any remaining solution from ampoules – intended for single use only.</w:t>
            </w:r>
          </w:p>
        </w:tc>
      </w:tr>
      <w:tr w:rsidRPr="00E25790" w:rsidR="008C7B04" w:rsidTr="00A26E96" w14:paraId="5B084553"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6CA9FA4A" w14:textId="77777777">
            <w:r w:rsidRPr="00E25790">
              <w:t>Storage :</w:t>
            </w:r>
          </w:p>
        </w:tc>
        <w:tc>
          <w:tcPr>
            <w:tcW w:w="6621" w:type="dxa"/>
            <w:tcBorders>
              <w:top w:val="single" w:color="auto" w:sz="6" w:space="0"/>
              <w:bottom w:val="single" w:color="auto" w:sz="6" w:space="0"/>
              <w:right w:val="single" w:color="auto" w:sz="6" w:space="0"/>
            </w:tcBorders>
          </w:tcPr>
          <w:p w:rsidRPr="00E25790" w:rsidR="008C7B04" w:rsidP="006F0321" w:rsidRDefault="008C7B04" w14:paraId="4FF3E796" w14:textId="77777777">
            <w:r w:rsidRPr="00E25790">
              <w:t>Room temperature.</w:t>
            </w:r>
          </w:p>
        </w:tc>
      </w:tr>
      <w:tr w:rsidRPr="00E25790" w:rsidR="008C7B04" w:rsidTr="00A26E96" w14:paraId="45B8F07B"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67586734" w14:textId="77777777">
            <w:r w:rsidRPr="00E25790">
              <w:t>Incompatibility :</w:t>
            </w:r>
          </w:p>
        </w:tc>
        <w:tc>
          <w:tcPr>
            <w:tcW w:w="6621" w:type="dxa"/>
            <w:tcBorders>
              <w:top w:val="single" w:color="auto" w:sz="6" w:space="0"/>
              <w:bottom w:val="single" w:color="auto" w:sz="6" w:space="0"/>
              <w:right w:val="single" w:color="auto" w:sz="6" w:space="0"/>
            </w:tcBorders>
          </w:tcPr>
          <w:p w:rsidRPr="00E25790" w:rsidR="008C7B04" w:rsidP="006F0321" w:rsidRDefault="004F500C" w14:paraId="457C1EDD" w14:textId="650B93D6">
            <w:r w:rsidRPr="004F500C">
              <w:t>Thiopentone, Phenytoin, Ampicillin, Acyclovir, Phenobarbitone</w:t>
            </w:r>
          </w:p>
        </w:tc>
      </w:tr>
      <w:tr w:rsidRPr="00E25790" w:rsidR="008C7B04" w:rsidTr="00A26E96" w14:paraId="5CBB53E7"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62EE839C" w14:textId="77777777">
            <w:r w:rsidRPr="00E25790">
              <w:t>Compatibility:</w:t>
            </w:r>
          </w:p>
        </w:tc>
        <w:tc>
          <w:tcPr>
            <w:tcW w:w="6621" w:type="dxa"/>
            <w:tcBorders>
              <w:top w:val="single" w:color="auto" w:sz="6" w:space="0"/>
              <w:bottom w:val="single" w:color="auto" w:sz="6" w:space="0"/>
              <w:right w:val="single" w:color="auto" w:sz="6" w:space="0"/>
            </w:tcBorders>
          </w:tcPr>
          <w:p w:rsidRPr="00E25790" w:rsidR="008C7B04" w:rsidP="006F0321" w:rsidRDefault="008C7B04" w14:paraId="733BEB35" w14:textId="244E7AE5">
            <w:r w:rsidRPr="00E25790">
              <w:t>5%</w:t>
            </w:r>
            <w:r w:rsidR="003F61AD">
              <w:t xml:space="preserve"> </w:t>
            </w:r>
            <w:r w:rsidRPr="00E25790">
              <w:t>D</w:t>
            </w:r>
            <w:r w:rsidR="003F61AD">
              <w:t>extrose</w:t>
            </w:r>
            <w:r w:rsidRPr="00E25790">
              <w:t>, N/2 Saline, NS, aminophylline, calcium gluconate, digoxin, dobutamine, dopamine, adrenaline, frusemide, heparin, hydrocortisone, insulin, nitroglycerine, KCl, ranitidine.</w:t>
            </w:r>
          </w:p>
        </w:tc>
      </w:tr>
      <w:tr w:rsidRPr="00E25790" w:rsidR="008C7B04" w:rsidTr="00A26E96" w14:paraId="4F1D091A" w14:textId="77777777">
        <w:trPr>
          <w:cantSplit/>
          <w:trHeight w:val="480"/>
        </w:trPr>
        <w:tc>
          <w:tcPr>
            <w:tcW w:w="2443" w:type="dxa"/>
            <w:tcBorders>
              <w:top w:val="single" w:color="auto" w:sz="6" w:space="0"/>
              <w:left w:val="single" w:color="auto" w:sz="6" w:space="0"/>
              <w:bottom w:val="single" w:color="auto" w:sz="6" w:space="0"/>
            </w:tcBorders>
          </w:tcPr>
          <w:p w:rsidRPr="00E25790" w:rsidR="008C7B04" w:rsidP="006F0321" w:rsidRDefault="008C7B04" w14:paraId="198EA44E" w14:textId="77777777">
            <w:r w:rsidRPr="00E25790">
              <w:lastRenderedPageBreak/>
              <w:t>Serum Levels :</w:t>
            </w:r>
          </w:p>
        </w:tc>
        <w:tc>
          <w:tcPr>
            <w:tcW w:w="6621" w:type="dxa"/>
            <w:tcBorders>
              <w:top w:val="single" w:color="auto" w:sz="6" w:space="0"/>
              <w:bottom w:val="single" w:color="auto" w:sz="6" w:space="0"/>
              <w:right w:val="single" w:color="auto" w:sz="6" w:space="0"/>
            </w:tcBorders>
          </w:tcPr>
          <w:p w:rsidRPr="00E25790" w:rsidR="008C7B04" w:rsidP="006F0321" w:rsidRDefault="000137B5" w14:paraId="10420095" w14:textId="40474661">
            <w:r w:rsidRPr="000137B5">
              <w:t>Lignocaine levels are not performed at TCH. If required they can be sent away to RNS, ring specimen referrals on 42845. Levels above 9mg/L are associated with cardiac toxicity in adults, but there is little information regarding levels in neonates.</w:t>
            </w:r>
          </w:p>
        </w:tc>
      </w:tr>
    </w:tbl>
    <w:p w:rsidR="00D753E2" w:rsidP="540593E1" w:rsidRDefault="00D753E2" w14:paraId="18151AB0" w14:textId="490F9619">
      <w:pPr>
        <w:rPr>
          <w:b/>
          <w:bCs/>
        </w:rPr>
      </w:pPr>
      <w:bookmarkStart w:name="_Toc495481131" w:id="367"/>
      <w:bookmarkStart w:name="_Toc495481257" w:id="368"/>
      <w:bookmarkStart w:name="_Toc495481382" w:id="369"/>
      <w:bookmarkStart w:name="_Toc495501563" w:id="370"/>
      <w:bookmarkStart w:name="_Toc422827048" w:id="371"/>
      <w:bookmarkStart w:name="_Toc38106878" w:id="372"/>
    </w:p>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F12CE6" w:rsidR="00D753E2" w:rsidTr="0059793A" w14:paraId="5C2030F0" w14:textId="77777777">
        <w:tc>
          <w:tcPr>
            <w:tcW w:w="4535" w:type="dxa"/>
            <w:vAlign w:val="center"/>
          </w:tcPr>
          <w:p w:rsidRPr="001571DC" w:rsidR="00D753E2" w:rsidP="0059793A" w:rsidRDefault="00D753E2" w14:paraId="7CAD8017" w14:textId="11D2B5DF">
            <w:r w:rsidRPr="001571DC">
              <w:t xml:space="preserve">Original version Date: </w:t>
            </w:r>
            <w:r>
              <w:t>2014</w:t>
            </w:r>
          </w:p>
        </w:tc>
        <w:tc>
          <w:tcPr>
            <w:tcW w:w="4535" w:type="dxa"/>
            <w:vAlign w:val="center"/>
          </w:tcPr>
          <w:p w:rsidRPr="001571DC" w:rsidR="00D753E2" w:rsidP="0059793A" w:rsidRDefault="00D753E2" w14:paraId="2717EE5D" w14:textId="69FC4755">
            <w:r w:rsidRPr="001571DC">
              <w:t xml:space="preserve">Author: </w:t>
            </w:r>
            <w:r>
              <w:t>DT</w:t>
            </w:r>
          </w:p>
        </w:tc>
      </w:tr>
      <w:tr w:rsidRPr="00F12CE6" w:rsidR="00D753E2" w:rsidTr="0059793A" w14:paraId="3EF611FC" w14:textId="77777777">
        <w:tc>
          <w:tcPr>
            <w:tcW w:w="4535" w:type="dxa"/>
            <w:vAlign w:val="center"/>
          </w:tcPr>
          <w:p w:rsidRPr="001571DC" w:rsidR="00D753E2" w:rsidP="0059793A" w:rsidRDefault="00D753E2" w14:paraId="5A024825" w14:textId="6B883A0A">
            <w:pPr>
              <w:rPr>
                <w:bCs/>
              </w:rPr>
            </w:pPr>
            <w:r w:rsidRPr="001571DC">
              <w:t xml:space="preserve">Current Version number:  </w:t>
            </w:r>
            <w:r>
              <w:t>2</w:t>
            </w:r>
          </w:p>
        </w:tc>
        <w:tc>
          <w:tcPr>
            <w:tcW w:w="4535" w:type="dxa"/>
            <w:vAlign w:val="center"/>
          </w:tcPr>
          <w:p w:rsidRPr="001571DC" w:rsidR="00D753E2" w:rsidP="0059793A" w:rsidRDefault="00D753E2" w14:paraId="24968EEE" w14:textId="2BEFF4C6">
            <w:r w:rsidRPr="001571DC">
              <w:t xml:space="preserve">Version Date:  </w:t>
            </w:r>
            <w:r>
              <w:t>1-3-2021</w:t>
            </w:r>
          </w:p>
        </w:tc>
      </w:tr>
      <w:tr w:rsidRPr="00F12CE6" w:rsidR="00D753E2" w:rsidTr="0059793A" w14:paraId="30E82099" w14:textId="77777777">
        <w:tc>
          <w:tcPr>
            <w:tcW w:w="4535" w:type="dxa"/>
            <w:vAlign w:val="center"/>
          </w:tcPr>
          <w:p w:rsidRPr="001571DC" w:rsidR="00D753E2" w:rsidP="0059793A" w:rsidRDefault="00D753E2" w14:paraId="011CBC01" w14:textId="6D70FF42">
            <w:r w:rsidRPr="001571DC">
              <w:t xml:space="preserve">Risk Rating: </w:t>
            </w:r>
            <w:r>
              <w:t>Low</w:t>
            </w:r>
          </w:p>
        </w:tc>
        <w:tc>
          <w:tcPr>
            <w:tcW w:w="4535" w:type="dxa"/>
            <w:vAlign w:val="center"/>
          </w:tcPr>
          <w:p w:rsidRPr="001571DC" w:rsidR="00D753E2" w:rsidP="0059793A" w:rsidRDefault="00D753E2" w14:paraId="46652278" w14:textId="2A40E7C1">
            <w:r w:rsidRPr="001571DC">
              <w:t xml:space="preserve">Due for Review:  </w:t>
            </w:r>
            <w:r>
              <w:t>1-3-2025</w:t>
            </w:r>
          </w:p>
        </w:tc>
      </w:tr>
      <w:tr w:rsidRPr="00F12CE6" w:rsidR="00D753E2" w:rsidTr="0059793A" w14:paraId="575121E4" w14:textId="77777777">
        <w:trPr>
          <w:trHeight w:val="344"/>
        </w:trPr>
        <w:tc>
          <w:tcPr>
            <w:tcW w:w="4535" w:type="dxa"/>
            <w:tcBorders>
              <w:bottom w:val="single" w:color="auto" w:sz="4" w:space="0"/>
            </w:tcBorders>
            <w:vAlign w:val="center"/>
          </w:tcPr>
          <w:p w:rsidRPr="001571DC" w:rsidR="00D753E2" w:rsidP="0059793A" w:rsidRDefault="00D753E2" w14:paraId="54376C11" w14:textId="77777777">
            <w:r w:rsidRPr="001571DC">
              <w:t>Approved by: DTC</w:t>
            </w:r>
          </w:p>
        </w:tc>
        <w:tc>
          <w:tcPr>
            <w:tcW w:w="4535" w:type="dxa"/>
            <w:tcBorders>
              <w:bottom w:val="single" w:color="auto" w:sz="4" w:space="0"/>
            </w:tcBorders>
            <w:vAlign w:val="center"/>
          </w:tcPr>
          <w:p w:rsidRPr="001571DC" w:rsidR="00D753E2" w:rsidP="0059793A" w:rsidRDefault="00D753E2" w14:paraId="6D39A3E3" w14:textId="3699702E">
            <w:r w:rsidRPr="001571DC">
              <w:t xml:space="preserve">Approval Date: </w:t>
            </w:r>
            <w:r w:rsidR="00260BC8">
              <w:t>APRIL 2021</w:t>
            </w:r>
          </w:p>
        </w:tc>
      </w:tr>
    </w:tbl>
    <w:p w:rsidR="00A26E96" w:rsidP="540593E1" w:rsidRDefault="00A26E96" w14:paraId="39B71AC0" w14:textId="06F24A32">
      <w:pPr>
        <w:rPr>
          <w:b/>
          <w:bCs/>
        </w:rPr>
      </w:pPr>
      <w:r w:rsidRPr="540593E1">
        <w:rPr>
          <w:b/>
          <w:bCs/>
        </w:rPr>
        <w:br w:type="page"/>
      </w:r>
    </w:p>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540593E1" w:rsidTr="540593E1" w14:paraId="59325C5C" w14:textId="77777777">
        <w:trPr>
          <w:trHeight w:val="720"/>
        </w:trPr>
        <w:tc>
          <w:tcPr>
            <w:tcW w:w="8980" w:type="dxa"/>
            <w:gridSpan w:val="2"/>
            <w:shd w:val="clear" w:color="auto" w:fill="FFFF00"/>
          </w:tcPr>
          <w:p w:rsidR="6119773B" w:rsidP="540593E1" w:rsidRDefault="6119773B" w14:paraId="0210EE4B" w14:textId="28758BDA">
            <w:pPr>
              <w:pStyle w:val="Heading1"/>
            </w:pPr>
            <w:bookmarkStart w:name="_Toc75340002" w:id="373"/>
            <w:r>
              <w:lastRenderedPageBreak/>
              <w:t>Magnesium</w:t>
            </w:r>
            <w:bookmarkEnd w:id="373"/>
            <w:r>
              <w:fldChar w:fldCharType="begin"/>
            </w:r>
            <w:r>
              <w:instrText>tc "Ampicillin" \l 0</w:instrText>
            </w:r>
            <w:r>
              <w:fldChar w:fldCharType="end"/>
            </w:r>
          </w:p>
        </w:tc>
      </w:tr>
      <w:tr w:rsidR="540593E1" w:rsidTr="540593E1" w14:paraId="52B3A1B3" w14:textId="77777777">
        <w:trPr>
          <w:trHeight w:val="480"/>
        </w:trPr>
        <w:tc>
          <w:tcPr>
            <w:tcW w:w="4122" w:type="dxa"/>
            <w:shd w:val="clear" w:color="auto" w:fill="FFFF00"/>
          </w:tcPr>
          <w:p w:rsidR="540593E1" w:rsidRDefault="540593E1" w14:paraId="152B2B4A" w14:textId="53C46F0A">
            <w:r>
              <w:t xml:space="preserve">Revision Date : </w:t>
            </w:r>
            <w:r w:rsidR="003E06F6">
              <w:t>15-6-2018</w:t>
            </w:r>
          </w:p>
        </w:tc>
        <w:tc>
          <w:tcPr>
            <w:tcW w:w="4858" w:type="dxa"/>
            <w:shd w:val="clear" w:color="auto" w:fill="FFFF00"/>
          </w:tcPr>
          <w:p w:rsidR="540593E1" w:rsidRDefault="540593E1" w14:paraId="79AAB29A" w14:textId="77777777">
            <w:r>
              <w:t>Approved : TC, KOH</w:t>
            </w:r>
          </w:p>
        </w:tc>
      </w:tr>
    </w:tbl>
    <w:p w:rsidR="00A26E96" w:rsidRDefault="00A26E96" w14:paraId="5B87A16D" w14:textId="77777777"/>
    <w:tbl>
      <w:tblPr>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02"/>
        <w:gridCol w:w="1988"/>
        <w:gridCol w:w="5491"/>
      </w:tblGrid>
      <w:tr w:rsidR="00043BF0" w:rsidTr="003E06F6" w14:paraId="31734FD8" w14:textId="77777777">
        <w:trPr>
          <w:trHeight w:val="1085"/>
        </w:trPr>
        <w:tc>
          <w:tcPr>
            <w:tcW w:w="2302" w:type="dxa"/>
          </w:tcPr>
          <w:p w:rsidR="0FB48E92" w:rsidP="540593E1" w:rsidRDefault="0FB48E92" w14:paraId="56EAB13A" w14:textId="5E5CB578">
            <w:pPr>
              <w:rPr>
                <w:b/>
                <w:bCs/>
                <w:lang w:val="en-AU"/>
              </w:rPr>
            </w:pPr>
            <w:r w:rsidRPr="540593E1">
              <w:rPr>
                <w:b/>
                <w:bCs/>
                <w:lang w:val="en-AU"/>
              </w:rPr>
              <w:t>Alert</w:t>
            </w:r>
          </w:p>
        </w:tc>
        <w:tc>
          <w:tcPr>
            <w:tcW w:w="7479" w:type="dxa"/>
            <w:gridSpan w:val="2"/>
          </w:tcPr>
          <w:p w:rsidR="0FB48E92" w:rsidP="4D12DBC7" w:rsidRDefault="0FB48E92" w14:paraId="4C0D315B" w14:textId="69AF4105">
            <w:pPr>
              <w:rPr>
                <w:sz w:val="20"/>
                <w:lang w:val="en-AU"/>
              </w:rPr>
            </w:pPr>
            <w:r w:rsidRPr="4D12DBC7">
              <w:rPr>
                <w:sz w:val="20"/>
                <w:lang w:val="en-AU"/>
              </w:rPr>
              <w:t xml:space="preserve">1000 mg magnesium </w:t>
            </w:r>
            <w:r w:rsidRPr="4D12DBC7">
              <w:rPr>
                <w:b/>
                <w:bCs/>
                <w:sz w:val="20"/>
                <w:lang w:val="en-AU"/>
              </w:rPr>
              <w:t>sulfate</w:t>
            </w:r>
            <w:r w:rsidRPr="4D12DBC7">
              <w:rPr>
                <w:sz w:val="20"/>
                <w:lang w:val="en-AU"/>
              </w:rPr>
              <w:t xml:space="preserve"> = 98 mg elemental Mg = 4.1 mmol (8 mEq) of elemental Mg. </w:t>
            </w:r>
          </w:p>
          <w:p w:rsidR="0FB48E92" w:rsidP="0E5A404D" w:rsidRDefault="0FB48E92" w14:paraId="425FFCAD" w14:textId="5528BA0E">
            <w:pPr>
              <w:rPr>
                <w:sz w:val="20"/>
                <w:lang w:val="en-AU"/>
              </w:rPr>
            </w:pPr>
            <w:r w:rsidRPr="2517AB48">
              <w:rPr>
                <w:sz w:val="20"/>
                <w:lang w:val="en-AU"/>
              </w:rPr>
              <w:t xml:space="preserve">500 mg magnesium </w:t>
            </w:r>
            <w:r w:rsidRPr="2517AB48">
              <w:rPr>
                <w:b/>
                <w:bCs/>
                <w:sz w:val="20"/>
                <w:lang w:val="en-AU"/>
              </w:rPr>
              <w:t>aspartate</w:t>
            </w:r>
            <w:r w:rsidRPr="2517AB48">
              <w:rPr>
                <w:sz w:val="20"/>
                <w:lang w:val="en-AU"/>
              </w:rPr>
              <w:t xml:space="preserve"> = 37.4 mg elemental Mg = 1.5 mmol (3 mEq) of elemental Mg.</w:t>
            </w:r>
          </w:p>
          <w:p w:rsidR="0FB48E92" w:rsidP="4D12DBC7" w:rsidRDefault="0FB48E92" w14:paraId="4FF541BD" w14:textId="2A9E79E6">
            <w:pPr>
              <w:rPr>
                <w:sz w:val="20"/>
                <w:lang w:val="en-AU"/>
              </w:rPr>
            </w:pPr>
            <w:r w:rsidRPr="2517AB48">
              <w:rPr>
                <w:sz w:val="20"/>
                <w:lang w:val="en-AU"/>
              </w:rPr>
              <w:t>Intravenous doses should be diluted to a concentration of Mg 20% or less. Calcium chloride/calcium gluconate should be available to reverse adverse effects.</w:t>
            </w:r>
          </w:p>
          <w:p w:rsidR="540593E1" w:rsidP="540593E1" w:rsidRDefault="540593E1" w14:paraId="12B0904A" w14:textId="2D05B1ED">
            <w:pPr>
              <w:rPr>
                <w:lang w:val="en-AU"/>
              </w:rPr>
            </w:pPr>
          </w:p>
        </w:tc>
      </w:tr>
      <w:tr w:rsidR="00043BF0" w:rsidTr="003E06F6" w14:paraId="7D67C41C" w14:textId="77777777">
        <w:trPr>
          <w:trHeight w:val="1085"/>
        </w:trPr>
        <w:tc>
          <w:tcPr>
            <w:tcW w:w="2302" w:type="dxa"/>
          </w:tcPr>
          <w:p w:rsidR="540593E1" w:rsidP="540593E1" w:rsidRDefault="540593E1" w14:paraId="1EF0C884" w14:textId="77777777">
            <w:pPr>
              <w:rPr>
                <w:lang w:val="en-AU"/>
              </w:rPr>
            </w:pPr>
            <w:r w:rsidRPr="540593E1">
              <w:rPr>
                <w:b/>
                <w:bCs/>
                <w:lang w:val="en-AU"/>
              </w:rPr>
              <w:t xml:space="preserve">Indication </w:t>
            </w:r>
            <w:r w:rsidRPr="540593E1">
              <w:rPr>
                <w:lang w:val="en-AU"/>
              </w:rPr>
              <w:t xml:space="preserve">                        </w:t>
            </w:r>
          </w:p>
          <w:p w:rsidR="540593E1" w:rsidP="540593E1" w:rsidRDefault="540593E1" w14:paraId="656B997E" w14:textId="77777777">
            <w:pPr>
              <w:rPr>
                <w:lang w:val="en-AU"/>
              </w:rPr>
            </w:pPr>
          </w:p>
        </w:tc>
        <w:tc>
          <w:tcPr>
            <w:tcW w:w="7479" w:type="dxa"/>
            <w:gridSpan w:val="2"/>
          </w:tcPr>
          <w:p w:rsidR="2D989BBE" w:rsidP="540593E1" w:rsidRDefault="2D989BBE" w14:paraId="5701C3AD" w14:textId="44C75AD0">
            <w:pPr>
              <w:rPr>
                <w:sz w:val="20"/>
                <w:lang w:val="en-AU"/>
              </w:rPr>
            </w:pPr>
            <w:r w:rsidRPr="540593E1">
              <w:rPr>
                <w:sz w:val="20"/>
                <w:lang w:val="en-AU"/>
              </w:rPr>
              <w:t>Hypomagnesaemia (acute and chronic).</w:t>
            </w:r>
          </w:p>
          <w:p w:rsidR="2D989BBE" w:rsidP="540593E1" w:rsidRDefault="2D989BBE" w14:paraId="3105E919" w14:textId="76E5F89F">
            <w:pPr>
              <w:rPr>
                <w:sz w:val="20"/>
                <w:lang w:val="en-AU"/>
              </w:rPr>
            </w:pPr>
            <w:r w:rsidRPr="540593E1">
              <w:rPr>
                <w:sz w:val="20"/>
                <w:lang w:val="en-AU"/>
              </w:rPr>
              <w:t>Pulmonary hypertension when inhaled nitric oxide is not available.</w:t>
            </w:r>
          </w:p>
          <w:p w:rsidR="2D989BBE" w:rsidP="540593E1" w:rsidRDefault="2D989BBE" w14:paraId="40950775" w14:textId="4E8D559D">
            <w:pPr>
              <w:rPr>
                <w:sz w:val="20"/>
                <w:lang w:val="en-AU"/>
              </w:rPr>
            </w:pPr>
            <w:r w:rsidRPr="540593E1">
              <w:rPr>
                <w:sz w:val="20"/>
                <w:lang w:val="en-AU"/>
              </w:rPr>
              <w:t>Perinatal asphyxia.</w:t>
            </w:r>
          </w:p>
          <w:p w:rsidR="2D989BBE" w:rsidP="540593E1" w:rsidRDefault="2D989BBE" w14:paraId="3AA5053D" w14:textId="080D23CF">
            <w:pPr>
              <w:rPr>
                <w:sz w:val="20"/>
                <w:lang w:val="en-AU"/>
              </w:rPr>
            </w:pPr>
            <w:r w:rsidRPr="540593E1">
              <w:rPr>
                <w:sz w:val="20"/>
                <w:lang w:val="en-AU"/>
              </w:rPr>
              <w:t>Resuscitation of torsades de pointes.</w:t>
            </w:r>
          </w:p>
          <w:p w:rsidR="2D989BBE" w:rsidP="540593E1" w:rsidRDefault="2D989BBE" w14:paraId="711EB4E5" w14:textId="748EB5B2">
            <w:pPr>
              <w:rPr>
                <w:sz w:val="20"/>
                <w:lang w:val="en-AU"/>
              </w:rPr>
            </w:pPr>
            <w:r w:rsidRPr="540593E1">
              <w:rPr>
                <w:sz w:val="20"/>
                <w:lang w:val="en-AU"/>
              </w:rPr>
              <w:t xml:space="preserve">Neonatal tetany, </w:t>
            </w:r>
          </w:p>
          <w:p w:rsidR="2D989BBE" w:rsidP="540593E1" w:rsidRDefault="2D989BBE" w14:paraId="408D3DBC" w14:textId="519062B8">
            <w:pPr>
              <w:rPr>
                <w:sz w:val="20"/>
                <w:lang w:val="en-AU"/>
              </w:rPr>
            </w:pPr>
            <w:r w:rsidRPr="540593E1">
              <w:rPr>
                <w:sz w:val="20"/>
                <w:lang w:val="en-AU"/>
              </w:rPr>
              <w:t>Daily maintenance in parenteral nutrition (beyond scope of this guideline).</w:t>
            </w:r>
          </w:p>
          <w:p w:rsidR="540593E1" w:rsidP="540593E1" w:rsidRDefault="540593E1" w14:paraId="7574F9DD" w14:textId="72A70437">
            <w:pPr>
              <w:rPr>
                <w:lang w:val="en-AU"/>
              </w:rPr>
            </w:pPr>
          </w:p>
        </w:tc>
      </w:tr>
      <w:tr w:rsidR="00043BF0" w:rsidTr="003E06F6" w14:paraId="1531EE49" w14:textId="77777777">
        <w:trPr>
          <w:trHeight w:val="472"/>
        </w:trPr>
        <w:tc>
          <w:tcPr>
            <w:tcW w:w="2302" w:type="dxa"/>
          </w:tcPr>
          <w:p w:rsidR="540593E1" w:rsidP="540593E1" w:rsidRDefault="540593E1" w14:paraId="5C2A5C69" w14:textId="77777777">
            <w:pPr>
              <w:rPr>
                <w:b/>
                <w:bCs/>
                <w:lang w:val="en-AU"/>
              </w:rPr>
            </w:pPr>
            <w:r w:rsidRPr="540593E1">
              <w:rPr>
                <w:b/>
                <w:bCs/>
                <w:lang w:val="en-AU"/>
              </w:rPr>
              <w:t>Action</w:t>
            </w:r>
          </w:p>
        </w:tc>
        <w:tc>
          <w:tcPr>
            <w:tcW w:w="7479" w:type="dxa"/>
            <w:gridSpan w:val="2"/>
          </w:tcPr>
          <w:p w:rsidR="121DFCF6" w:rsidP="2517AB48" w:rsidRDefault="121DFCF6" w14:paraId="122B5FA8" w14:textId="3C03539C">
            <w:pPr>
              <w:rPr>
                <w:sz w:val="20"/>
                <w:lang w:val="en-AU"/>
              </w:rPr>
            </w:pPr>
            <w:r w:rsidRPr="2517AB48">
              <w:rPr>
                <w:sz w:val="20"/>
                <w:lang w:val="en-AU"/>
              </w:rPr>
              <w:t>Magnesium is an intracellular cation. Calcium and NMDA receptor antagonist. Magnesium is, necessary for several steps in glycolysis, the Krebs cycle and in protein and nucleic acid, synthesis. It is vital for normal energy storage and transfer. Magnesium plays an important, role in neurochemical transmission, and is essential for proper neurochemical functioning.</w:t>
            </w:r>
          </w:p>
          <w:p w:rsidR="121DFCF6" w:rsidP="2517AB48" w:rsidRDefault="121DFCF6" w14:paraId="0C016120" w14:textId="672CD85F">
            <w:pPr>
              <w:rPr>
                <w:sz w:val="20"/>
                <w:lang w:val="en-AU"/>
              </w:rPr>
            </w:pPr>
            <w:r w:rsidRPr="2517AB48">
              <w:rPr>
                <w:sz w:val="20"/>
                <w:lang w:val="en-AU"/>
              </w:rPr>
              <w:t>Magnesium has an anticonvulsant effect.</w:t>
            </w:r>
          </w:p>
        </w:tc>
      </w:tr>
      <w:tr w:rsidR="00043BF0" w:rsidTr="003E06F6" w14:paraId="765C4995" w14:textId="77777777">
        <w:trPr>
          <w:trHeight w:val="765"/>
        </w:trPr>
        <w:tc>
          <w:tcPr>
            <w:tcW w:w="2302" w:type="dxa"/>
          </w:tcPr>
          <w:p w:rsidR="540593E1" w:rsidP="540593E1" w:rsidRDefault="540593E1" w14:paraId="1A2AE95F" w14:textId="77777777">
            <w:pPr>
              <w:rPr>
                <w:lang w:val="en-AU"/>
              </w:rPr>
            </w:pPr>
            <w:r w:rsidRPr="540593E1">
              <w:rPr>
                <w:b/>
                <w:bCs/>
                <w:lang w:val="en-AU"/>
              </w:rPr>
              <w:t>Drug Type</w:t>
            </w:r>
            <w:r w:rsidRPr="540593E1">
              <w:rPr>
                <w:lang w:val="en-AU"/>
              </w:rPr>
              <w:t xml:space="preserve">                                   </w:t>
            </w:r>
          </w:p>
        </w:tc>
        <w:tc>
          <w:tcPr>
            <w:tcW w:w="7479" w:type="dxa"/>
            <w:gridSpan w:val="2"/>
          </w:tcPr>
          <w:p w:rsidR="51207F0D" w:rsidP="540593E1" w:rsidRDefault="51207F0D" w14:paraId="68B57F26" w14:textId="7333C4C0">
            <w:pPr>
              <w:rPr>
                <w:sz w:val="20"/>
                <w:lang w:val="en-AU"/>
              </w:rPr>
            </w:pPr>
            <w:r w:rsidRPr="540593E1">
              <w:rPr>
                <w:sz w:val="20"/>
                <w:lang w:val="en-AU"/>
              </w:rPr>
              <w:t>Electrolyte</w:t>
            </w:r>
          </w:p>
        </w:tc>
      </w:tr>
      <w:tr w:rsidR="00043BF0" w:rsidTr="003E06F6" w14:paraId="74E02758" w14:textId="77777777">
        <w:trPr>
          <w:trHeight w:val="384"/>
        </w:trPr>
        <w:tc>
          <w:tcPr>
            <w:tcW w:w="2302" w:type="dxa"/>
          </w:tcPr>
          <w:p w:rsidR="540593E1" w:rsidP="540593E1" w:rsidRDefault="540593E1" w14:paraId="43C05278" w14:textId="77777777">
            <w:pPr>
              <w:rPr>
                <w:lang w:val="en-AU"/>
              </w:rPr>
            </w:pPr>
            <w:r w:rsidRPr="540593E1">
              <w:rPr>
                <w:b/>
                <w:bCs/>
                <w:lang w:val="en-AU"/>
              </w:rPr>
              <w:t xml:space="preserve">Trade Name </w:t>
            </w:r>
            <w:r w:rsidRPr="540593E1">
              <w:rPr>
                <w:lang w:val="en-AU"/>
              </w:rPr>
              <w:t xml:space="preserve">                 </w:t>
            </w:r>
          </w:p>
        </w:tc>
        <w:tc>
          <w:tcPr>
            <w:tcW w:w="7479" w:type="dxa"/>
            <w:gridSpan w:val="2"/>
          </w:tcPr>
          <w:p w:rsidR="1B341652" w:rsidP="540593E1" w:rsidRDefault="1B341652" w14:paraId="0367AD39" w14:textId="13F505E2">
            <w:pPr>
              <w:rPr>
                <w:sz w:val="20"/>
                <w:lang w:val="en-AU"/>
              </w:rPr>
            </w:pPr>
            <w:r w:rsidRPr="540593E1">
              <w:rPr>
                <w:sz w:val="20"/>
                <w:lang w:val="en-AU"/>
              </w:rPr>
              <w:t xml:space="preserve">DBL Magnesium Sulfate Concentrated Injection (Hospira), </w:t>
            </w:r>
          </w:p>
          <w:p w:rsidR="1B341652" w:rsidP="540593E1" w:rsidRDefault="1B341652" w14:paraId="0616D808" w14:textId="08652055">
            <w:pPr>
              <w:rPr>
                <w:sz w:val="20"/>
                <w:lang w:val="en-AU"/>
              </w:rPr>
            </w:pPr>
            <w:r w:rsidRPr="540593E1">
              <w:rPr>
                <w:sz w:val="20"/>
                <w:lang w:val="en-AU"/>
              </w:rPr>
              <w:t xml:space="preserve">MagMin Tablets (Blackmores),  </w:t>
            </w:r>
          </w:p>
          <w:p w:rsidR="1B341652" w:rsidP="540593E1" w:rsidRDefault="1B341652" w14:paraId="3704B294" w14:textId="03768DC2">
            <w:pPr>
              <w:rPr>
                <w:sz w:val="20"/>
                <w:lang w:val="en-AU"/>
              </w:rPr>
            </w:pPr>
            <w:r w:rsidRPr="540593E1">
              <w:rPr>
                <w:sz w:val="20"/>
                <w:lang w:val="en-AU"/>
              </w:rPr>
              <w:t>Mag-Sup Tablets (Petrus)</w:t>
            </w:r>
          </w:p>
          <w:p w:rsidR="540593E1" w:rsidP="540593E1" w:rsidRDefault="540593E1" w14:paraId="7BF01A38" w14:textId="07ED54CA">
            <w:pPr>
              <w:rPr>
                <w:lang w:val="en-AU"/>
              </w:rPr>
            </w:pPr>
          </w:p>
        </w:tc>
      </w:tr>
      <w:tr w:rsidR="00043BF0" w:rsidTr="003E06F6" w14:paraId="797917BA" w14:textId="77777777">
        <w:trPr>
          <w:trHeight w:val="564"/>
        </w:trPr>
        <w:tc>
          <w:tcPr>
            <w:tcW w:w="2302" w:type="dxa"/>
          </w:tcPr>
          <w:p w:rsidR="540593E1" w:rsidP="540593E1" w:rsidRDefault="540593E1" w14:paraId="6F18D41E" w14:textId="77777777">
            <w:pPr>
              <w:rPr>
                <w:lang w:val="en-AU"/>
              </w:rPr>
            </w:pPr>
            <w:r w:rsidRPr="540593E1">
              <w:rPr>
                <w:b/>
                <w:bCs/>
                <w:lang w:val="en-AU"/>
              </w:rPr>
              <w:t>Presentation</w:t>
            </w:r>
            <w:r w:rsidRPr="540593E1">
              <w:rPr>
                <w:lang w:val="en-AU"/>
              </w:rPr>
              <w:t xml:space="preserve"> </w:t>
            </w:r>
          </w:p>
        </w:tc>
        <w:tc>
          <w:tcPr>
            <w:tcW w:w="7479" w:type="dxa"/>
            <w:gridSpan w:val="2"/>
          </w:tcPr>
          <w:p w:rsidR="70E13299" w:rsidP="540593E1" w:rsidRDefault="70E13299" w14:paraId="6B3AC532" w14:textId="4B1A8D4C">
            <w:pPr>
              <w:rPr>
                <w:b/>
                <w:bCs/>
                <w:sz w:val="20"/>
                <w:u w:val="single"/>
                <w:lang w:val="en-AU"/>
              </w:rPr>
            </w:pPr>
            <w:r w:rsidRPr="540593E1">
              <w:rPr>
                <w:b/>
                <w:bCs/>
                <w:sz w:val="20"/>
                <w:u w:val="single"/>
                <w:lang w:val="en-AU"/>
              </w:rPr>
              <w:t>IV/IM:</w:t>
            </w:r>
            <w:r w:rsidRPr="540593E1">
              <w:rPr>
                <w:b/>
                <w:bCs/>
                <w:sz w:val="20"/>
                <w:lang w:val="en-AU"/>
              </w:rPr>
              <w:t xml:space="preserve"> </w:t>
            </w:r>
          </w:p>
          <w:p w:rsidR="70E13299" w:rsidP="540593E1" w:rsidRDefault="70E13299" w14:paraId="0E9590A3" w14:textId="613DD44F">
            <w:pPr>
              <w:rPr>
                <w:sz w:val="20"/>
                <w:lang w:val="en-AU"/>
              </w:rPr>
            </w:pPr>
            <w:r w:rsidRPr="540593E1">
              <w:rPr>
                <w:sz w:val="20"/>
                <w:lang w:val="en-AU"/>
              </w:rPr>
              <w:t xml:space="preserve">  </w:t>
            </w:r>
          </w:p>
          <w:p w:rsidR="70E13299" w:rsidP="540593E1" w:rsidRDefault="70E13299" w14:paraId="08171805" w14:textId="1EF6B956">
            <w:pPr>
              <w:rPr>
                <w:sz w:val="20"/>
                <w:lang w:val="en-AU"/>
              </w:rPr>
            </w:pPr>
            <w:r w:rsidRPr="540593E1">
              <w:rPr>
                <w:sz w:val="20"/>
                <w:lang w:val="en-AU"/>
              </w:rPr>
              <w:t xml:space="preserve">IV: 4.93 g magnesium </w:t>
            </w:r>
            <w:r w:rsidRPr="540593E1">
              <w:rPr>
                <w:b/>
                <w:bCs/>
                <w:sz w:val="20"/>
                <w:lang w:val="en-AU"/>
              </w:rPr>
              <w:t>sulfate</w:t>
            </w:r>
            <w:r w:rsidRPr="540593E1">
              <w:rPr>
                <w:sz w:val="20"/>
                <w:lang w:val="en-AU"/>
              </w:rPr>
              <w:t xml:space="preserve"> /10 mL ampoule (49.3% solution) OR, </w:t>
            </w:r>
          </w:p>
          <w:p w:rsidR="70E13299" w:rsidP="540593E1" w:rsidRDefault="70E13299" w14:paraId="5F8C5FB1" w14:textId="64958A5A">
            <w:pPr>
              <w:ind w:left="720"/>
              <w:rPr>
                <w:sz w:val="20"/>
                <w:lang w:val="en-AU"/>
              </w:rPr>
            </w:pPr>
            <w:r w:rsidRPr="540593E1">
              <w:rPr>
                <w:sz w:val="20"/>
                <w:lang w:val="en-AU"/>
              </w:rPr>
              <w:t>2.465 g magnesium</w:t>
            </w:r>
            <w:r w:rsidRPr="540593E1">
              <w:rPr>
                <w:b/>
                <w:bCs/>
                <w:sz w:val="20"/>
                <w:lang w:val="en-AU"/>
              </w:rPr>
              <w:t xml:space="preserve"> sulfate</w:t>
            </w:r>
            <w:r w:rsidRPr="540593E1">
              <w:rPr>
                <w:sz w:val="20"/>
                <w:lang w:val="en-AU"/>
              </w:rPr>
              <w:t xml:space="preserve"> /5 mL. </w:t>
            </w:r>
          </w:p>
          <w:p w:rsidR="2651A8FE" w:rsidP="540593E1" w:rsidRDefault="2651A8FE" w14:paraId="11A853E1" w14:textId="0D325ADA">
            <w:pPr>
              <w:ind w:left="720"/>
              <w:rPr>
                <w:sz w:val="20"/>
                <w:lang w:val="en-AU"/>
              </w:rPr>
            </w:pPr>
            <w:r w:rsidRPr="540593E1">
              <w:rPr>
                <w:sz w:val="20"/>
                <w:lang w:val="en-AU"/>
              </w:rPr>
              <w:t>B</w:t>
            </w:r>
            <w:r w:rsidRPr="540593E1" w:rsidR="70E13299">
              <w:rPr>
                <w:sz w:val="20"/>
                <w:lang w:val="en-AU"/>
              </w:rPr>
              <w:t>oth preparations provide 10 mmol</w:t>
            </w:r>
            <w:r w:rsidRPr="540593E1" w:rsidR="7903D630">
              <w:rPr>
                <w:sz w:val="20"/>
                <w:lang w:val="en-AU"/>
              </w:rPr>
              <w:t xml:space="preserve"> </w:t>
            </w:r>
            <w:r w:rsidRPr="540593E1" w:rsidR="70E13299">
              <w:rPr>
                <w:sz w:val="20"/>
                <w:lang w:val="en-AU"/>
              </w:rPr>
              <w:t xml:space="preserve">magnesium/5mL, </w:t>
            </w:r>
          </w:p>
          <w:p w:rsidR="540593E1" w:rsidP="540593E1" w:rsidRDefault="540593E1" w14:paraId="40CA3B36" w14:textId="016EF014">
            <w:pPr>
              <w:rPr>
                <w:sz w:val="20"/>
                <w:lang w:val="en-AU"/>
              </w:rPr>
            </w:pPr>
          </w:p>
          <w:p w:rsidR="70E13299" w:rsidP="540593E1" w:rsidRDefault="70E13299" w14:paraId="276D3992" w14:textId="72DE1610">
            <w:pPr>
              <w:rPr>
                <w:b/>
                <w:bCs/>
                <w:sz w:val="20"/>
                <w:u w:val="single"/>
                <w:lang w:val="en-AU"/>
              </w:rPr>
            </w:pPr>
            <w:r w:rsidRPr="540593E1">
              <w:rPr>
                <w:b/>
                <w:bCs/>
                <w:sz w:val="20"/>
                <w:u w:val="single"/>
                <w:lang w:val="en-AU"/>
              </w:rPr>
              <w:t>PO</w:t>
            </w:r>
            <w:r w:rsidRPr="540593E1" w:rsidR="3A4663A8">
              <w:rPr>
                <w:b/>
                <w:bCs/>
                <w:sz w:val="20"/>
                <w:u w:val="single"/>
                <w:lang w:val="en-AU"/>
              </w:rPr>
              <w:t>:</w:t>
            </w:r>
          </w:p>
          <w:p w:rsidR="70E13299" w:rsidP="001B0E05" w:rsidRDefault="70E13299" w14:paraId="21BFF777" w14:textId="3E45DE2E">
            <w:pPr>
              <w:pStyle w:val="ListParagraph"/>
              <w:numPr>
                <w:ilvl w:val="0"/>
                <w:numId w:val="11"/>
              </w:numPr>
              <w:rPr>
                <w:rFonts w:eastAsia="Calibri" w:cs="Calibri"/>
                <w:sz w:val="20"/>
                <w:lang w:val="en-AU"/>
              </w:rPr>
            </w:pPr>
            <w:r w:rsidRPr="540593E1">
              <w:rPr>
                <w:sz w:val="20"/>
                <w:lang w:val="en-AU"/>
              </w:rPr>
              <w:t xml:space="preserve">MagMin 500 mg magnesium </w:t>
            </w:r>
            <w:r w:rsidRPr="540593E1">
              <w:rPr>
                <w:b/>
                <w:bCs/>
                <w:sz w:val="20"/>
                <w:lang w:val="en-AU"/>
              </w:rPr>
              <w:t>aspartate</w:t>
            </w:r>
            <w:r w:rsidRPr="540593E1">
              <w:rPr>
                <w:sz w:val="20"/>
                <w:lang w:val="en-AU"/>
              </w:rPr>
              <w:t xml:space="preserve"> tablets. </w:t>
            </w:r>
          </w:p>
          <w:p w:rsidR="70E13299" w:rsidP="001B0E05" w:rsidRDefault="70E13299" w14:paraId="3963EA38" w14:textId="56C48E53">
            <w:pPr>
              <w:pStyle w:val="ListParagraph"/>
              <w:numPr>
                <w:ilvl w:val="0"/>
                <w:numId w:val="11"/>
              </w:numPr>
              <w:rPr>
                <w:rFonts w:eastAsia="Calibri" w:cs="Calibri"/>
                <w:sz w:val="20"/>
                <w:lang w:val="en-AU"/>
              </w:rPr>
            </w:pPr>
            <w:r w:rsidRPr="540593E1">
              <w:rPr>
                <w:sz w:val="20"/>
                <w:lang w:val="en-AU"/>
              </w:rPr>
              <w:t xml:space="preserve">Mag-Sup 500 mg magnesium </w:t>
            </w:r>
            <w:r w:rsidRPr="540593E1">
              <w:rPr>
                <w:b/>
                <w:bCs/>
                <w:sz w:val="20"/>
                <w:lang w:val="en-AU"/>
              </w:rPr>
              <w:t>aspartate</w:t>
            </w:r>
            <w:r w:rsidRPr="540593E1">
              <w:rPr>
                <w:sz w:val="20"/>
                <w:lang w:val="en-AU"/>
              </w:rPr>
              <w:t xml:space="preserve"> tablets.</w:t>
            </w:r>
          </w:p>
          <w:p w:rsidR="70E13299" w:rsidP="540593E1" w:rsidRDefault="70E13299" w14:paraId="4923680D" w14:textId="216D7B65">
            <w:pPr>
              <w:rPr>
                <w:sz w:val="20"/>
                <w:lang w:val="en-AU"/>
              </w:rPr>
            </w:pPr>
            <w:r w:rsidRPr="540593E1">
              <w:rPr>
                <w:sz w:val="20"/>
                <w:lang w:val="en-AU"/>
              </w:rPr>
              <w:t>500 mg magnesium aspartate tablet contains 37.4 mg (1.5 mmol) of elemental Mg.</w:t>
            </w:r>
          </w:p>
          <w:p w:rsidR="540593E1" w:rsidP="540593E1" w:rsidRDefault="540593E1" w14:paraId="1B4D0A26" w14:textId="21DDE223">
            <w:pPr>
              <w:rPr>
                <w:lang w:val="en-AU"/>
              </w:rPr>
            </w:pPr>
          </w:p>
        </w:tc>
      </w:tr>
      <w:tr w:rsidR="00D82076" w:rsidTr="003E06F6" w14:paraId="264F7307" w14:textId="77777777">
        <w:trPr>
          <w:trHeight w:val="4306"/>
        </w:trPr>
        <w:tc>
          <w:tcPr>
            <w:tcW w:w="2302" w:type="dxa"/>
          </w:tcPr>
          <w:p w:rsidR="00D82076" w:rsidP="00D82076" w:rsidRDefault="00D82076" w14:paraId="62AAA9FD" w14:textId="77777777">
            <w:pPr>
              <w:rPr>
                <w:lang w:val="en-AU"/>
              </w:rPr>
            </w:pPr>
            <w:r w:rsidRPr="540593E1">
              <w:rPr>
                <w:b/>
                <w:bCs/>
                <w:lang w:val="en-AU"/>
              </w:rPr>
              <w:lastRenderedPageBreak/>
              <w:t>Dosage / Interval</w:t>
            </w:r>
            <w:r w:rsidRPr="540593E1">
              <w:rPr>
                <w:lang w:val="en-AU"/>
              </w:rPr>
              <w:t xml:space="preserve">                           </w:t>
            </w:r>
          </w:p>
          <w:p w:rsidR="00D82076" w:rsidP="00D82076" w:rsidRDefault="00D82076" w14:paraId="4D478D96" w14:textId="77777777">
            <w:pPr>
              <w:rPr>
                <w:lang w:val="en-AU"/>
              </w:rPr>
            </w:pPr>
          </w:p>
        </w:tc>
        <w:tc>
          <w:tcPr>
            <w:tcW w:w="7479" w:type="dxa"/>
            <w:gridSpan w:val="2"/>
          </w:tcPr>
          <w:p w:rsidRPr="00A95F40" w:rsidR="00D82076" w:rsidP="00D82076" w:rsidRDefault="00D82076" w14:paraId="53F699B1" w14:textId="77777777">
            <w:pPr>
              <w:pStyle w:val="BodyText"/>
              <w:rPr>
                <w:rFonts w:asciiTheme="minorHAnsi" w:hAnsiTheme="minorHAnsi"/>
                <w:b/>
                <w:sz w:val="20"/>
              </w:rPr>
            </w:pPr>
            <w:r w:rsidRPr="00A95F40">
              <w:rPr>
                <w:rFonts w:asciiTheme="minorHAnsi" w:hAnsiTheme="minorHAnsi"/>
                <w:b/>
                <w:sz w:val="20"/>
              </w:rPr>
              <w:t>Hypomagnesaemia</w:t>
            </w:r>
          </w:p>
          <w:p w:rsidRPr="00A95F40" w:rsidR="00D82076" w:rsidP="00D82076" w:rsidRDefault="00D82076" w14:paraId="36730A0C" w14:textId="77777777">
            <w:pPr>
              <w:pStyle w:val="BodyText"/>
              <w:rPr>
                <w:rFonts w:asciiTheme="minorHAnsi" w:hAnsiTheme="minorHAnsi"/>
                <w:b/>
                <w:sz w:val="20"/>
              </w:rPr>
            </w:pPr>
            <w:r w:rsidRPr="00A95F40">
              <w:rPr>
                <w:rFonts w:asciiTheme="minorHAnsi" w:hAnsiTheme="minorHAnsi"/>
                <w:sz w:val="20"/>
              </w:rPr>
              <w:t>25–50 mg magnesium sulfate/kg IV infusion over 30–60 minutes. Repeat if necessary.</w:t>
            </w:r>
            <w:r w:rsidRPr="00A95F40">
              <w:rPr>
                <w:rFonts w:asciiTheme="minorHAnsi" w:hAnsiTheme="minorHAnsi"/>
                <w:sz w:val="20"/>
              </w:rPr>
              <w:br/>
            </w:r>
            <w:r w:rsidRPr="00A95F40">
              <w:rPr>
                <w:rFonts w:asciiTheme="minorHAnsi" w:hAnsiTheme="minorHAnsi"/>
                <w:b/>
                <w:sz w:val="20"/>
              </w:rPr>
              <w:t>Chronic hypomagnesaemia</w:t>
            </w:r>
          </w:p>
          <w:p w:rsidR="00D82076" w:rsidP="00D82076" w:rsidRDefault="00D82076" w14:paraId="765533AA" w14:textId="77777777">
            <w:pPr>
              <w:autoSpaceDE w:val="0"/>
              <w:autoSpaceDN w:val="0"/>
              <w:adjustRightInd w:val="0"/>
              <w:rPr>
                <w:rFonts w:asciiTheme="minorHAnsi" w:hAnsiTheme="minorHAnsi"/>
                <w:sz w:val="20"/>
              </w:rPr>
            </w:pPr>
            <w:r w:rsidRPr="00A95F40">
              <w:rPr>
                <w:rFonts w:asciiTheme="minorHAnsi" w:hAnsiTheme="minorHAnsi"/>
                <w:sz w:val="20"/>
              </w:rPr>
              <w:t>PO: 187 mg of elemental magnesium per m</w:t>
            </w:r>
            <w:r w:rsidRPr="00A95F40">
              <w:rPr>
                <w:rFonts w:asciiTheme="minorHAnsi" w:hAnsiTheme="minorHAnsi"/>
                <w:sz w:val="20"/>
                <w:vertAlign w:val="superscript"/>
              </w:rPr>
              <w:t>2</w:t>
            </w:r>
            <w:r w:rsidRPr="00A95F40">
              <w:rPr>
                <w:rFonts w:asciiTheme="minorHAnsi" w:hAnsiTheme="minorHAnsi"/>
                <w:sz w:val="20"/>
              </w:rPr>
              <w:t>/day in divided doses. (Endocrine team, personal email communication)</w:t>
            </w:r>
            <w:r>
              <w:rPr>
                <w:rFonts w:asciiTheme="minorHAnsi" w:hAnsiTheme="minorHAnsi"/>
                <w:sz w:val="20"/>
              </w:rPr>
              <w:t xml:space="preserve"> (=2500 mg magnesium aspartate per </w:t>
            </w:r>
            <w:r w:rsidRPr="00F96EC1">
              <w:rPr>
                <w:rFonts w:asciiTheme="minorHAnsi" w:hAnsiTheme="minorHAnsi"/>
                <w:sz w:val="20"/>
              </w:rPr>
              <w:t>m</w:t>
            </w:r>
            <w:r w:rsidRPr="00F96EC1">
              <w:rPr>
                <w:rFonts w:asciiTheme="minorHAnsi" w:hAnsiTheme="minorHAnsi"/>
                <w:sz w:val="20"/>
                <w:vertAlign w:val="superscript"/>
              </w:rPr>
              <w:t>2</w:t>
            </w:r>
            <w:r w:rsidRPr="00F96EC1">
              <w:rPr>
                <w:rFonts w:asciiTheme="minorHAnsi" w:hAnsiTheme="minorHAnsi"/>
                <w:sz w:val="20"/>
              </w:rPr>
              <w:t>/day</w:t>
            </w:r>
            <w:r>
              <w:rPr>
                <w:rFonts w:asciiTheme="minorHAnsi" w:hAnsiTheme="minorHAnsi"/>
                <w:sz w:val="20"/>
              </w:rPr>
              <w:t>)</w:t>
            </w:r>
          </w:p>
          <w:p w:rsidRPr="00A95F40" w:rsidR="00D82076" w:rsidP="00D82076" w:rsidRDefault="00D82076" w14:paraId="3DAC01A3" w14:textId="77777777">
            <w:pPr>
              <w:autoSpaceDE w:val="0"/>
              <w:autoSpaceDN w:val="0"/>
              <w:adjustRightInd w:val="0"/>
              <w:rPr>
                <w:rFonts w:asciiTheme="minorHAnsi" w:hAnsiTheme="minorHAnsi"/>
                <w:sz w:val="20"/>
              </w:rPr>
            </w:pPr>
          </w:p>
          <w:p w:rsidRPr="00A95F40" w:rsidR="00D82076" w:rsidP="00D82076" w:rsidRDefault="00D82076" w14:paraId="0AC78DE1" w14:textId="77777777">
            <w:pPr>
              <w:autoSpaceDE w:val="0"/>
              <w:autoSpaceDN w:val="0"/>
              <w:adjustRightInd w:val="0"/>
              <w:ind w:left="1440"/>
              <w:rPr>
                <w:rFonts w:cs="Arial" w:asciiTheme="minorHAnsi" w:hAnsiTheme="minorHAnsi"/>
                <w:b/>
                <w:sz w:val="20"/>
              </w:rPr>
            </w:pPr>
            <w:r w:rsidRPr="00A95F40">
              <w:rPr>
                <w:rFonts w:cs="Arial" w:asciiTheme="minorHAnsi" w:hAnsiTheme="minorHAnsi"/>
                <w:b/>
                <w:sz w:val="20"/>
              </w:rPr>
              <w:t>Body Surface Area (BSA) calculation:</w:t>
            </w:r>
          </w:p>
          <w:p w:rsidRPr="00A95F40" w:rsidR="00D82076" w:rsidP="00D82076" w:rsidRDefault="00D82076" w14:paraId="249AA50A" w14:textId="77777777">
            <w:pPr>
              <w:ind w:left="1440"/>
              <w:rPr>
                <w:rFonts w:asciiTheme="minorHAnsi" w:hAnsiTheme="minorHAnsi"/>
                <w:sz w:val="20"/>
              </w:rPr>
            </w:pPr>
            <m:oMathPara>
              <m:oMath>
                <m:r>
                  <w:rPr>
                    <w:rFonts w:ascii="Cambria Math" w:hAnsi="Cambria Math"/>
                    <w:sz w:val="20"/>
                  </w:rPr>
                  <m:t>BSA (</m:t>
                </m:r>
                <m:sSup>
                  <m:sSupPr>
                    <m:ctrlPr>
                      <w:rPr>
                        <w:rFonts w:ascii="Cambria Math" w:hAnsi="Cambria Math"/>
                        <w:i/>
                        <w:sz w:val="20"/>
                      </w:rPr>
                    </m:ctrlPr>
                  </m:sSupPr>
                  <m:e>
                    <m:r>
                      <w:rPr>
                        <w:rFonts w:ascii="Cambria Math" w:hAnsi="Cambria Math"/>
                        <w:sz w:val="20"/>
                      </w:rPr>
                      <m:t>m</m:t>
                    </m:r>
                  </m:e>
                  <m:sup>
                    <m:r>
                      <w:rPr>
                        <w:rFonts w:ascii="Cambria Math" w:hAnsi="Cambria Math"/>
                        <w:sz w:val="20"/>
                      </w:rPr>
                      <m:t>2</m:t>
                    </m:r>
                  </m:sup>
                </m:sSup>
                <m:r>
                  <w:rPr>
                    <w:rFonts w:ascii="Cambria Math" w:hAnsi="Cambria Math"/>
                    <w:sz w:val="20"/>
                  </w:rPr>
                  <m:t xml:space="preserve">)= </m:t>
                </m:r>
                <m:rad>
                  <m:radPr>
                    <m:degHide m:val="1"/>
                    <m:ctrlPr>
                      <w:rPr>
                        <w:rFonts w:ascii="Cambria Math" w:hAnsi="Cambria Math"/>
                        <w:i/>
                        <w:sz w:val="20"/>
                      </w:rPr>
                    </m:ctrlPr>
                  </m:radPr>
                  <m:deg/>
                  <m:e>
                    <m:f>
                      <m:fPr>
                        <m:ctrlPr>
                          <w:rPr>
                            <w:rFonts w:ascii="Cambria Math" w:hAnsi="Cambria Math"/>
                            <w:i/>
                            <w:sz w:val="20"/>
                          </w:rPr>
                        </m:ctrlPr>
                      </m:fPr>
                      <m:num>
                        <m:r>
                          <w:rPr>
                            <w:rFonts w:ascii="Cambria Math" w:hAnsi="Cambria Math"/>
                            <w:sz w:val="20"/>
                          </w:rPr>
                          <m:t xml:space="preserve">height </m:t>
                        </m:r>
                        <m:d>
                          <m:dPr>
                            <m:ctrlPr>
                              <w:rPr>
                                <w:rFonts w:ascii="Cambria Math" w:hAnsi="Cambria Math"/>
                                <w:i/>
                                <w:sz w:val="20"/>
                              </w:rPr>
                            </m:ctrlPr>
                          </m:dPr>
                          <m:e>
                            <m:r>
                              <w:rPr>
                                <w:rFonts w:ascii="Cambria Math" w:hAnsi="Cambria Math"/>
                                <w:sz w:val="20"/>
                              </w:rPr>
                              <m:t>cm</m:t>
                            </m:r>
                          </m:e>
                        </m:d>
                        <m:r>
                          <w:rPr>
                            <w:rFonts w:ascii="Cambria Math" w:hAnsi="Cambria Math"/>
                            <w:sz w:val="20"/>
                          </w:rPr>
                          <m:t>×weight (kg)</m:t>
                        </m:r>
                      </m:num>
                      <m:den>
                        <m:r>
                          <w:rPr>
                            <w:rFonts w:ascii="Cambria Math" w:hAnsi="Cambria Math"/>
                            <w:sz w:val="20"/>
                          </w:rPr>
                          <m:t>3600</m:t>
                        </m:r>
                      </m:den>
                    </m:f>
                  </m:e>
                </m:rad>
              </m:oMath>
            </m:oMathPara>
          </w:p>
          <w:p w:rsidRPr="00A95F40" w:rsidR="00D82076" w:rsidP="00D82076" w:rsidRDefault="00D82076" w14:paraId="5BBA423A" w14:textId="77777777">
            <w:pPr>
              <w:pStyle w:val="BodyText"/>
              <w:rPr>
                <w:rFonts w:asciiTheme="minorHAnsi" w:hAnsiTheme="minorHAnsi"/>
                <w:sz w:val="20"/>
              </w:rPr>
            </w:pPr>
            <w:r w:rsidRPr="00A95F40">
              <w:rPr>
                <w:rFonts w:asciiTheme="minorHAnsi" w:hAnsiTheme="minorHAnsi"/>
                <w:b/>
                <w:sz w:val="20"/>
              </w:rPr>
              <w:t>Pulmonary hypertension:</w:t>
            </w:r>
            <w:r w:rsidRPr="00A95F40">
              <w:rPr>
                <w:rFonts w:asciiTheme="minorHAnsi" w:hAnsiTheme="minorHAnsi"/>
                <w:sz w:val="20"/>
              </w:rPr>
              <w:t xml:space="preserve"> </w:t>
            </w:r>
          </w:p>
          <w:p w:rsidRPr="00A95F40" w:rsidR="00D82076" w:rsidP="00D82076" w:rsidRDefault="00D82076" w14:paraId="138BA3DC" w14:textId="77777777">
            <w:pPr>
              <w:pStyle w:val="BodyText"/>
              <w:rPr>
                <w:rFonts w:cs="Arial" w:asciiTheme="minorHAnsi" w:hAnsiTheme="minorHAnsi"/>
                <w:sz w:val="20"/>
              </w:rPr>
            </w:pPr>
            <w:r w:rsidRPr="00A95F40">
              <w:rPr>
                <w:rFonts w:asciiTheme="minorHAnsi" w:hAnsiTheme="minorHAnsi"/>
                <w:sz w:val="20"/>
              </w:rPr>
              <w:t xml:space="preserve">Loading dose of 200 mg magnesium sulfate/kg  </w:t>
            </w:r>
            <w:r>
              <w:rPr>
                <w:rFonts w:asciiTheme="minorHAnsi" w:hAnsiTheme="minorHAnsi"/>
                <w:sz w:val="20"/>
              </w:rPr>
              <w:t xml:space="preserve">IV </w:t>
            </w:r>
            <w:r w:rsidRPr="00A95F40">
              <w:rPr>
                <w:rFonts w:asciiTheme="minorHAnsi" w:hAnsiTheme="minorHAnsi"/>
                <w:sz w:val="20"/>
              </w:rPr>
              <w:t>over 60 minutes followed by continuous IV infusion 20–50 mg/kg/hour (target serum magnesium between 3.5 and 5.5 mmol/L)</w:t>
            </w:r>
          </w:p>
          <w:p w:rsidRPr="00A95F40" w:rsidR="00D82076" w:rsidP="00D82076" w:rsidRDefault="00D82076" w14:paraId="6F19DAE7" w14:textId="77777777">
            <w:pPr>
              <w:pStyle w:val="BodyText"/>
              <w:rPr>
                <w:rFonts w:cs="Arial" w:asciiTheme="minorHAnsi" w:hAnsiTheme="minorHAnsi"/>
                <w:b/>
                <w:sz w:val="20"/>
              </w:rPr>
            </w:pPr>
            <w:r w:rsidRPr="00A95F40">
              <w:rPr>
                <w:rFonts w:cs="Arial" w:asciiTheme="minorHAnsi" w:hAnsiTheme="minorHAnsi"/>
                <w:b/>
                <w:sz w:val="20"/>
              </w:rPr>
              <w:t>Perinatal asphyxia</w:t>
            </w:r>
          </w:p>
          <w:p w:rsidRPr="00A95F40" w:rsidR="00D82076" w:rsidP="00D82076" w:rsidRDefault="00D82076" w14:paraId="4DEFC1A9" w14:textId="77777777">
            <w:pPr>
              <w:pStyle w:val="BodyText"/>
              <w:rPr>
                <w:rFonts w:cs="Arial" w:asciiTheme="minorHAnsi" w:hAnsiTheme="minorHAnsi"/>
                <w:sz w:val="20"/>
              </w:rPr>
            </w:pPr>
            <w:r w:rsidRPr="00A95F40">
              <w:rPr>
                <w:rFonts w:cs="Arial" w:asciiTheme="minorHAnsi" w:hAnsiTheme="minorHAnsi"/>
                <w:sz w:val="20"/>
              </w:rPr>
              <w:t xml:space="preserve">250 mg magnesium sulfate/kg/dose of over 1 hour to be commenced within 6 hours of birth. Total 3 doses at 24 hour intervals. </w:t>
            </w:r>
          </w:p>
          <w:p w:rsidRPr="00A95F40" w:rsidR="00D82076" w:rsidP="00D82076" w:rsidRDefault="00D82076" w14:paraId="01E5400C" w14:textId="77777777">
            <w:pPr>
              <w:pStyle w:val="BodyText"/>
              <w:rPr>
                <w:rFonts w:asciiTheme="minorHAnsi" w:hAnsiTheme="minorHAnsi"/>
                <w:b/>
                <w:sz w:val="20"/>
              </w:rPr>
            </w:pPr>
            <w:r w:rsidRPr="00A95F40">
              <w:rPr>
                <w:rFonts w:asciiTheme="minorHAnsi" w:hAnsiTheme="minorHAnsi"/>
                <w:b/>
                <w:sz w:val="20"/>
              </w:rPr>
              <w:t>Torsades de pointes with pulse</w:t>
            </w:r>
          </w:p>
          <w:p w:rsidRPr="00A95F40" w:rsidR="00D82076" w:rsidP="00D82076" w:rsidRDefault="00D82076" w14:paraId="52D6C30E" w14:textId="77777777">
            <w:pPr>
              <w:pStyle w:val="BodyText"/>
              <w:rPr>
                <w:rFonts w:asciiTheme="minorHAnsi" w:hAnsiTheme="minorHAnsi"/>
                <w:sz w:val="20"/>
              </w:rPr>
            </w:pPr>
            <w:r w:rsidRPr="00A95F40">
              <w:rPr>
                <w:rFonts w:asciiTheme="minorHAnsi" w:hAnsiTheme="minorHAnsi"/>
                <w:sz w:val="20"/>
              </w:rPr>
              <w:t>25-50 mg</w:t>
            </w:r>
            <w:r>
              <w:rPr>
                <w:rFonts w:asciiTheme="minorHAnsi" w:hAnsiTheme="minorHAnsi"/>
                <w:sz w:val="20"/>
              </w:rPr>
              <w:t xml:space="preserve"> magnesium sulfate</w:t>
            </w:r>
            <w:r w:rsidRPr="00A95F40">
              <w:rPr>
                <w:rFonts w:asciiTheme="minorHAnsi" w:hAnsiTheme="minorHAnsi"/>
                <w:sz w:val="20"/>
              </w:rPr>
              <w:t>/kg IV over 15–20 minutes.</w:t>
            </w:r>
          </w:p>
          <w:p w:rsidRPr="00A95F40" w:rsidR="00D82076" w:rsidP="00D82076" w:rsidRDefault="00D82076" w14:paraId="1405E0DC" w14:textId="77777777">
            <w:pPr>
              <w:pStyle w:val="BodyText"/>
              <w:rPr>
                <w:rFonts w:asciiTheme="minorHAnsi" w:hAnsiTheme="minorHAnsi"/>
                <w:b/>
                <w:sz w:val="20"/>
              </w:rPr>
            </w:pPr>
            <w:r w:rsidRPr="00A95F40">
              <w:rPr>
                <w:rFonts w:asciiTheme="minorHAnsi" w:hAnsiTheme="minorHAnsi"/>
                <w:b/>
                <w:sz w:val="20"/>
              </w:rPr>
              <w:t>Pulseless torsades de pointes</w:t>
            </w:r>
          </w:p>
          <w:p w:rsidRPr="00A95F40" w:rsidR="00D82076" w:rsidP="00D82076" w:rsidRDefault="00D82076" w14:paraId="40900A33" w14:textId="77777777">
            <w:pPr>
              <w:pStyle w:val="BodyText"/>
              <w:rPr>
                <w:rFonts w:asciiTheme="minorHAnsi" w:hAnsiTheme="minorHAnsi"/>
                <w:sz w:val="20"/>
              </w:rPr>
            </w:pPr>
            <w:r w:rsidRPr="00A95F40">
              <w:rPr>
                <w:rFonts w:asciiTheme="minorHAnsi" w:hAnsiTheme="minorHAnsi"/>
                <w:sz w:val="20"/>
              </w:rPr>
              <w:t>25–50 mg</w:t>
            </w:r>
            <w:r>
              <w:rPr>
                <w:rFonts w:asciiTheme="minorHAnsi" w:hAnsiTheme="minorHAnsi"/>
                <w:sz w:val="20"/>
              </w:rPr>
              <w:t xml:space="preserve"> magnesium sulfate</w:t>
            </w:r>
            <w:r w:rsidRPr="00A95F40">
              <w:rPr>
                <w:rFonts w:asciiTheme="minorHAnsi" w:hAnsiTheme="minorHAnsi"/>
                <w:sz w:val="20"/>
              </w:rPr>
              <w:t>/kg IV/I</w:t>
            </w:r>
            <w:r>
              <w:rPr>
                <w:rFonts w:asciiTheme="minorHAnsi" w:hAnsiTheme="minorHAnsi"/>
                <w:sz w:val="20"/>
              </w:rPr>
              <w:t>ntraosseous (I</w:t>
            </w:r>
            <w:r w:rsidRPr="00A95F40">
              <w:rPr>
                <w:rFonts w:asciiTheme="minorHAnsi" w:hAnsiTheme="minorHAnsi"/>
                <w:sz w:val="20"/>
              </w:rPr>
              <w:t>O</w:t>
            </w:r>
            <w:r>
              <w:rPr>
                <w:rFonts w:asciiTheme="minorHAnsi" w:hAnsiTheme="minorHAnsi"/>
                <w:sz w:val="20"/>
              </w:rPr>
              <w:t>)</w:t>
            </w:r>
            <w:r w:rsidRPr="00A95F40">
              <w:rPr>
                <w:rFonts w:asciiTheme="minorHAnsi" w:hAnsiTheme="minorHAnsi"/>
                <w:sz w:val="20"/>
              </w:rPr>
              <w:t xml:space="preserve"> over several minutes.</w:t>
            </w:r>
          </w:p>
          <w:p w:rsidRPr="00A95F40" w:rsidR="00D82076" w:rsidP="00D82076" w:rsidRDefault="00D82076" w14:paraId="70E41BCB" w14:textId="77777777">
            <w:pPr>
              <w:pStyle w:val="BodyText"/>
              <w:rPr>
                <w:rFonts w:asciiTheme="minorHAnsi" w:hAnsiTheme="minorHAnsi"/>
                <w:b/>
                <w:sz w:val="20"/>
              </w:rPr>
            </w:pPr>
            <w:r>
              <w:rPr>
                <w:rFonts w:asciiTheme="minorHAnsi" w:hAnsiTheme="minorHAnsi"/>
                <w:b/>
                <w:sz w:val="20"/>
              </w:rPr>
              <w:t xml:space="preserve">Intramuscular Route (Emergency management of </w:t>
            </w:r>
            <w:r w:rsidRPr="00A95F40">
              <w:rPr>
                <w:rFonts w:asciiTheme="minorHAnsi" w:hAnsiTheme="minorHAnsi"/>
                <w:b/>
                <w:sz w:val="20"/>
              </w:rPr>
              <w:t>Neonatal tetany/convulsions/Hypocalcaemic convulsion</w:t>
            </w:r>
            <w:r>
              <w:rPr>
                <w:rFonts w:asciiTheme="minorHAnsi" w:hAnsiTheme="minorHAnsi"/>
                <w:b/>
                <w:sz w:val="20"/>
              </w:rPr>
              <w:t xml:space="preserve"> when no IV access)</w:t>
            </w:r>
          </w:p>
          <w:p w:rsidR="00D82076" w:rsidP="00D82076" w:rsidRDefault="00D82076" w14:paraId="1844602A" w14:textId="7A0B2FB5">
            <w:pPr>
              <w:rPr>
                <w:lang w:val="en-AU"/>
              </w:rPr>
            </w:pPr>
            <w:r w:rsidRPr="00A95F40">
              <w:rPr>
                <w:rFonts w:asciiTheme="minorHAnsi" w:hAnsiTheme="minorHAnsi"/>
                <w:sz w:val="20"/>
              </w:rPr>
              <w:t>IM: 100 mg</w:t>
            </w:r>
            <w:r>
              <w:rPr>
                <w:rFonts w:asciiTheme="minorHAnsi" w:hAnsiTheme="minorHAnsi"/>
                <w:sz w:val="20"/>
              </w:rPr>
              <w:t xml:space="preserve"> magnesium sulfate</w:t>
            </w:r>
            <w:r w:rsidRPr="00A95F40">
              <w:rPr>
                <w:rFonts w:asciiTheme="minorHAnsi" w:hAnsiTheme="minorHAnsi"/>
                <w:sz w:val="20"/>
              </w:rPr>
              <w:t xml:space="preserve">/kg (0.2 mL/kg of 50% magnesium sulfate). Can be repeated 12 hourly. </w:t>
            </w:r>
          </w:p>
        </w:tc>
      </w:tr>
      <w:tr w:rsidR="00043BF0" w:rsidTr="003E06F6" w14:paraId="515B10A6" w14:textId="77777777">
        <w:trPr>
          <w:trHeight w:val="300"/>
        </w:trPr>
        <w:tc>
          <w:tcPr>
            <w:tcW w:w="2302" w:type="dxa"/>
          </w:tcPr>
          <w:p w:rsidR="540593E1" w:rsidP="540593E1" w:rsidRDefault="540593E1" w14:paraId="57BA67A9" w14:textId="77777777">
            <w:pPr>
              <w:rPr>
                <w:lang w:val="en-AU"/>
              </w:rPr>
            </w:pPr>
            <w:r w:rsidRPr="540593E1">
              <w:rPr>
                <w:b/>
                <w:bCs/>
                <w:lang w:val="en-AU"/>
              </w:rPr>
              <w:t xml:space="preserve">Route  </w:t>
            </w:r>
            <w:r w:rsidRPr="540593E1">
              <w:rPr>
                <w:lang w:val="en-AU"/>
              </w:rPr>
              <w:t xml:space="preserve">                              </w:t>
            </w:r>
          </w:p>
          <w:p w:rsidR="540593E1" w:rsidP="540593E1" w:rsidRDefault="540593E1" w14:paraId="6622493C" w14:textId="77777777">
            <w:pPr>
              <w:rPr>
                <w:lang w:val="en-AU"/>
              </w:rPr>
            </w:pPr>
            <w:r w:rsidRPr="540593E1">
              <w:rPr>
                <w:lang w:val="en-AU"/>
              </w:rPr>
              <w:t xml:space="preserve">           </w:t>
            </w:r>
          </w:p>
        </w:tc>
        <w:tc>
          <w:tcPr>
            <w:tcW w:w="7479" w:type="dxa"/>
            <w:gridSpan w:val="2"/>
          </w:tcPr>
          <w:p w:rsidR="46BDF7B8" w:rsidP="540593E1" w:rsidRDefault="46BDF7B8" w14:paraId="0F45212E" w14:textId="66445C6B">
            <w:pPr>
              <w:rPr>
                <w:sz w:val="20"/>
                <w:lang w:val="en-AU"/>
              </w:rPr>
            </w:pPr>
            <w:r w:rsidRPr="540593E1">
              <w:rPr>
                <w:sz w:val="20"/>
                <w:lang w:val="en-AU"/>
              </w:rPr>
              <w:t>IV, IM, oral, Intraosseous.</w:t>
            </w:r>
          </w:p>
        </w:tc>
      </w:tr>
      <w:tr w:rsidR="00043BF0" w:rsidTr="003E06F6" w14:paraId="7AD1C67F" w14:textId="77777777">
        <w:trPr>
          <w:trHeight w:val="2959"/>
        </w:trPr>
        <w:tc>
          <w:tcPr>
            <w:tcW w:w="2302" w:type="dxa"/>
          </w:tcPr>
          <w:p w:rsidR="540593E1" w:rsidP="540593E1" w:rsidRDefault="540593E1" w14:paraId="1222ABC5" w14:textId="5A30D915">
            <w:pPr>
              <w:rPr>
                <w:highlight w:val="cyan"/>
                <w:lang w:val="en-AU"/>
              </w:rPr>
            </w:pPr>
            <w:r w:rsidRPr="74D9459A">
              <w:rPr>
                <w:b/>
                <w:bCs/>
                <w:lang w:val="en-AU"/>
              </w:rPr>
              <w:t>Preparation/Dilution</w:t>
            </w:r>
            <w:r w:rsidRPr="74D9459A">
              <w:rPr>
                <w:lang w:val="en-AU"/>
              </w:rPr>
              <w:t xml:space="preserve"> </w:t>
            </w:r>
          </w:p>
        </w:tc>
        <w:tc>
          <w:tcPr>
            <w:tcW w:w="7479" w:type="dxa"/>
            <w:gridSpan w:val="2"/>
          </w:tcPr>
          <w:p w:rsidR="06169041" w:rsidP="540593E1" w:rsidRDefault="06169041" w14:paraId="47374923" w14:textId="2A62AC32">
            <w:pPr>
              <w:rPr>
                <w:rFonts w:asciiTheme="minorHAnsi" w:hAnsiTheme="minorHAnsi" w:eastAsiaTheme="minorEastAsia" w:cstheme="minorBidi"/>
                <w:sz w:val="20"/>
                <w:lang w:val="en-AU"/>
              </w:rPr>
            </w:pPr>
            <w:r w:rsidRPr="540593E1">
              <w:rPr>
                <w:rFonts w:asciiTheme="minorHAnsi" w:hAnsiTheme="minorHAnsi" w:eastAsiaTheme="minorEastAsia" w:cstheme="minorBidi"/>
                <w:b/>
                <w:bCs/>
                <w:sz w:val="20"/>
                <w:lang w:val="en-AU"/>
              </w:rPr>
              <w:t>Hypomagnesaemia/Torsades de pointes</w:t>
            </w:r>
            <w:r w:rsidRPr="540593E1">
              <w:rPr>
                <w:rFonts w:asciiTheme="minorHAnsi" w:hAnsiTheme="minorHAnsi" w:eastAsiaTheme="minorEastAsia" w:cstheme="minorBidi"/>
                <w:sz w:val="20"/>
                <w:lang w:val="en-AU"/>
              </w:rPr>
              <w:t xml:space="preserve">, </w:t>
            </w:r>
          </w:p>
          <w:p w:rsidR="06169041" w:rsidP="540593E1" w:rsidRDefault="06169041" w14:paraId="4E85B594" w14:textId="2D49C939">
            <w:pPr>
              <w:rPr>
                <w:rFonts w:asciiTheme="minorHAnsi" w:hAnsiTheme="minorHAnsi" w:eastAsiaTheme="minorEastAsia" w:cstheme="minorBidi"/>
                <w:sz w:val="20"/>
                <w:lang w:val="en-AU"/>
              </w:rPr>
            </w:pPr>
            <w:r w:rsidRPr="540593E1">
              <w:rPr>
                <w:rFonts w:asciiTheme="minorHAnsi" w:hAnsiTheme="minorHAnsi" w:eastAsiaTheme="minorEastAsia" w:cstheme="minorBidi"/>
                <w:sz w:val="20"/>
                <w:lang w:val="en-AU"/>
              </w:rPr>
              <w:t>Draw up 0.4 mL (200 mg of magnesium sulfate) of 50% solution and add 7.6 mL sodium chloride 0.9% or glucose 5% to make a final volume of 8 mL with a concentration of 25</w:t>
            </w:r>
            <w:r w:rsidRPr="540593E1" w:rsidR="2EB9D9DD">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 xml:space="preserve">mg/mL., </w:t>
            </w:r>
          </w:p>
          <w:p w:rsidR="06169041" w:rsidP="540593E1" w:rsidRDefault="06169041" w14:paraId="0EF69136" w14:textId="687E21E1">
            <w:pPr>
              <w:rPr>
                <w:rFonts w:asciiTheme="minorHAnsi" w:hAnsiTheme="minorHAnsi" w:eastAsiaTheme="minorEastAsia" w:cstheme="minorBidi"/>
                <w:sz w:val="20"/>
                <w:lang w:val="en-AU"/>
              </w:rPr>
            </w:pPr>
            <w:r w:rsidRPr="540593E1">
              <w:rPr>
                <w:rFonts w:asciiTheme="minorHAnsi" w:hAnsiTheme="minorHAnsi" w:eastAsiaTheme="minorEastAsia" w:cstheme="minorBidi"/>
                <w:b/>
                <w:bCs/>
                <w:sz w:val="20"/>
                <w:lang w:val="en-AU"/>
              </w:rPr>
              <w:t>Pulmonary hypertension IV infusion</w:t>
            </w:r>
            <w:r w:rsidRPr="540593E1">
              <w:rPr>
                <w:rFonts w:asciiTheme="minorHAnsi" w:hAnsiTheme="minorHAnsi" w:eastAsiaTheme="minorEastAsia" w:cstheme="minorBidi"/>
                <w:sz w:val="20"/>
                <w:lang w:val="en-AU"/>
              </w:rPr>
              <w:t xml:space="preserve">, </w:t>
            </w:r>
          </w:p>
          <w:p w:rsidR="06169041" w:rsidP="540593E1" w:rsidRDefault="06169041" w14:paraId="735398AF" w14:textId="2C464AB4">
            <w:pPr>
              <w:rPr>
                <w:rFonts w:asciiTheme="minorHAnsi" w:hAnsiTheme="minorHAnsi" w:eastAsiaTheme="minorEastAsia" w:cstheme="minorBidi"/>
                <w:sz w:val="20"/>
                <w:lang w:val="en-AU"/>
              </w:rPr>
            </w:pPr>
            <w:r w:rsidRPr="540593E1">
              <w:rPr>
                <w:rFonts w:asciiTheme="minorHAnsi" w:hAnsiTheme="minorHAnsi" w:eastAsiaTheme="minorEastAsia" w:cstheme="minorBidi"/>
                <w:sz w:val="20"/>
                <w:lang w:val="en-AU"/>
              </w:rPr>
              <w:t>Loading dose: Draw up 2 mL (1000 mg of magnesium sulfate) of the 50% solution and add</w:t>
            </w:r>
            <w:r w:rsidRPr="540593E1" w:rsidR="66356869">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8mL of sodium chloride 0.9% or glucose 5% to give a final volume of 10mL with a</w:t>
            </w:r>
            <w:r w:rsidRPr="540593E1" w:rsidR="17746B6F">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concentration of 100mg/mL.</w:t>
            </w:r>
          </w:p>
          <w:p w:rsidR="06169041" w:rsidP="540593E1" w:rsidRDefault="06169041" w14:paraId="611A22B2" w14:textId="71B4D461">
            <w:pPr>
              <w:rPr>
                <w:rFonts w:asciiTheme="minorHAnsi" w:hAnsiTheme="minorHAnsi" w:eastAsiaTheme="minorEastAsia" w:cstheme="minorBidi"/>
                <w:sz w:val="20"/>
                <w:lang w:val="en-AU"/>
              </w:rPr>
            </w:pPr>
            <w:r w:rsidRPr="540593E1">
              <w:rPr>
                <w:rFonts w:asciiTheme="minorHAnsi" w:hAnsiTheme="minorHAnsi" w:eastAsiaTheme="minorEastAsia" w:cstheme="minorBidi"/>
                <w:sz w:val="20"/>
                <w:lang w:val="en-AU"/>
              </w:rPr>
              <w:t>Maintenance infusion: Draw up 2 mL/kg (1000 mg/kg of magnesium sulfate) of 50% solution</w:t>
            </w:r>
            <w:r w:rsidRPr="540593E1" w:rsidR="4570312D">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and add  glucose 5% or sodium chloride 0.9% to make a final volume of 50mL. Infusing at a</w:t>
            </w:r>
            <w:r w:rsidRPr="540593E1" w:rsidR="0F2DB90A">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 xml:space="preserve">rate of 1 mL/hour = 20 mg/kg/hour., </w:t>
            </w:r>
          </w:p>
          <w:p w:rsidR="06169041" w:rsidP="540593E1" w:rsidRDefault="06169041" w14:paraId="7A26F58F" w14:textId="68FC3191">
            <w:pPr>
              <w:rPr>
                <w:rFonts w:asciiTheme="minorHAnsi" w:hAnsiTheme="minorHAnsi" w:eastAsiaTheme="minorEastAsia" w:cstheme="minorBidi"/>
                <w:sz w:val="20"/>
                <w:lang w:val="en-AU"/>
              </w:rPr>
            </w:pPr>
            <w:r w:rsidRPr="540593E1">
              <w:rPr>
                <w:rFonts w:asciiTheme="minorHAnsi" w:hAnsiTheme="minorHAnsi" w:eastAsiaTheme="minorEastAsia" w:cstheme="minorBidi"/>
                <w:b/>
                <w:bCs/>
                <w:sz w:val="20"/>
                <w:lang w:val="en-AU"/>
              </w:rPr>
              <w:t>Perinatal asphyxia</w:t>
            </w:r>
            <w:r w:rsidRPr="540593E1">
              <w:rPr>
                <w:rFonts w:asciiTheme="minorHAnsi" w:hAnsiTheme="minorHAnsi" w:eastAsiaTheme="minorEastAsia" w:cstheme="minorBidi"/>
                <w:sz w:val="20"/>
                <w:lang w:val="en-AU"/>
              </w:rPr>
              <w:t xml:space="preserve">, </w:t>
            </w:r>
          </w:p>
          <w:p w:rsidR="06169041" w:rsidP="540593E1" w:rsidRDefault="06169041" w14:paraId="0307EB51" w14:textId="27010636">
            <w:pPr>
              <w:rPr>
                <w:rFonts w:asciiTheme="minorHAnsi" w:hAnsiTheme="minorHAnsi" w:eastAsiaTheme="minorEastAsia" w:cstheme="minorBidi"/>
                <w:sz w:val="20"/>
                <w:lang w:val="en-AU"/>
              </w:rPr>
            </w:pPr>
            <w:r w:rsidRPr="540593E1">
              <w:rPr>
                <w:rFonts w:asciiTheme="minorHAnsi" w:hAnsiTheme="minorHAnsi" w:eastAsiaTheme="minorEastAsia" w:cstheme="minorBidi"/>
                <w:sz w:val="20"/>
                <w:lang w:val="en-AU"/>
              </w:rPr>
              <w:t>Draw up 2 mL (1000 mg of magnesium sulfate) of the 50% solution and add 8mL of sodium</w:t>
            </w:r>
            <w:r w:rsidRPr="540593E1" w:rsidR="7CFBAE59">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chloride 0.9% or glucose 5% to give a final volume of 10mL with a concentration of</w:t>
            </w:r>
            <w:r w:rsidRPr="540593E1" w:rsidR="5D68FE4E">
              <w:rPr>
                <w:rFonts w:asciiTheme="minorHAnsi" w:hAnsiTheme="minorHAnsi" w:eastAsiaTheme="minorEastAsia" w:cstheme="minorBidi"/>
                <w:sz w:val="20"/>
                <w:lang w:val="en-AU"/>
              </w:rPr>
              <w:t xml:space="preserve"> </w:t>
            </w:r>
            <w:r w:rsidRPr="540593E1">
              <w:rPr>
                <w:rFonts w:asciiTheme="minorHAnsi" w:hAnsiTheme="minorHAnsi" w:eastAsiaTheme="minorEastAsia" w:cstheme="minorBidi"/>
                <w:sz w:val="20"/>
                <w:lang w:val="en-AU"/>
              </w:rPr>
              <w:t>100mg/mL</w:t>
            </w:r>
            <w:r w:rsidRPr="540593E1" w:rsidR="14D18F2D">
              <w:rPr>
                <w:rFonts w:asciiTheme="minorHAnsi" w:hAnsiTheme="minorHAnsi" w:eastAsiaTheme="minorEastAsia" w:cstheme="minorBidi"/>
                <w:sz w:val="20"/>
                <w:lang w:val="en-AU"/>
              </w:rPr>
              <w:t>.</w:t>
            </w:r>
          </w:p>
          <w:p w:rsidR="540593E1" w:rsidP="540593E1" w:rsidRDefault="540593E1" w14:paraId="2BB01726" w14:textId="55D2C404">
            <w:pPr>
              <w:rPr>
                <w:rFonts w:cs="Arial"/>
                <w:lang w:val="en-AU"/>
              </w:rPr>
            </w:pPr>
          </w:p>
        </w:tc>
      </w:tr>
      <w:tr w:rsidR="0020431B" w:rsidTr="003E06F6" w14:paraId="64429767" w14:textId="77777777">
        <w:trPr>
          <w:trHeight w:val="558"/>
        </w:trPr>
        <w:tc>
          <w:tcPr>
            <w:tcW w:w="2302" w:type="dxa"/>
          </w:tcPr>
          <w:p w:rsidR="540593E1" w:rsidP="540593E1" w:rsidRDefault="540593E1" w14:paraId="24BA091A" w14:textId="77777777">
            <w:pPr>
              <w:rPr>
                <w:lang w:val="en-AU"/>
              </w:rPr>
            </w:pPr>
            <w:r w:rsidRPr="540593E1">
              <w:rPr>
                <w:b/>
                <w:bCs/>
                <w:lang w:val="en-AU"/>
              </w:rPr>
              <w:t xml:space="preserve">Administration  </w:t>
            </w:r>
            <w:r w:rsidRPr="540593E1">
              <w:rPr>
                <w:lang w:val="en-AU"/>
              </w:rPr>
              <w:t xml:space="preserve">               </w:t>
            </w:r>
          </w:p>
          <w:p w:rsidR="540593E1" w:rsidP="540593E1" w:rsidRDefault="540593E1" w14:paraId="5E927738" w14:textId="77777777">
            <w:pPr>
              <w:rPr>
                <w:lang w:val="en-AU"/>
              </w:rPr>
            </w:pPr>
          </w:p>
        </w:tc>
        <w:tc>
          <w:tcPr>
            <w:tcW w:w="7479" w:type="dxa"/>
            <w:gridSpan w:val="2"/>
            <w:vAlign w:val="center"/>
          </w:tcPr>
          <w:p w:rsidR="0C845703" w:rsidP="540593E1" w:rsidRDefault="0C845703" w14:paraId="19AA1AA5" w14:textId="48A6B863">
            <w:pPr>
              <w:rPr>
                <w:sz w:val="20"/>
                <w:lang w:val="en-AU"/>
              </w:rPr>
            </w:pPr>
            <w:r w:rsidRPr="540593E1">
              <w:rPr>
                <w:sz w:val="20"/>
                <w:lang w:val="en-AU"/>
              </w:rPr>
              <w:t>IV bolus for hypomagnesaemia: Infused over 30–60 minutes.</w:t>
            </w:r>
          </w:p>
          <w:p w:rsidR="0C845703" w:rsidP="540593E1" w:rsidRDefault="0C845703" w14:paraId="79E1386E" w14:textId="0FCD0F61">
            <w:pPr>
              <w:rPr>
                <w:sz w:val="20"/>
                <w:lang w:val="en-AU"/>
              </w:rPr>
            </w:pPr>
            <w:r w:rsidRPr="540593E1">
              <w:rPr>
                <w:sz w:val="20"/>
                <w:lang w:val="en-AU"/>
              </w:rPr>
              <w:t>Loading dose for pulmonary hypertension: Administer over 60 minutes.</w:t>
            </w:r>
          </w:p>
          <w:p w:rsidR="0C845703" w:rsidP="540593E1" w:rsidRDefault="0C845703" w14:paraId="634EFCBB" w14:textId="13E0E010">
            <w:pPr>
              <w:rPr>
                <w:sz w:val="20"/>
                <w:lang w:val="en-AU"/>
              </w:rPr>
            </w:pPr>
            <w:r w:rsidRPr="540593E1">
              <w:rPr>
                <w:sz w:val="20"/>
                <w:lang w:val="en-AU"/>
              </w:rPr>
              <w:t>IV dose for perinatal asphyxia: Administer over 60 minutes.</w:t>
            </w:r>
          </w:p>
          <w:p w:rsidR="0C845703" w:rsidP="540593E1" w:rsidRDefault="0C845703" w14:paraId="576E1AF7" w14:textId="68CA0C92">
            <w:pPr>
              <w:rPr>
                <w:sz w:val="20"/>
                <w:lang w:val="en-AU"/>
              </w:rPr>
            </w:pPr>
            <w:r w:rsidRPr="540593E1">
              <w:rPr>
                <w:sz w:val="20"/>
                <w:lang w:val="en-AU"/>
              </w:rPr>
              <w:t>Torsades de pointes: Administer the preparation over several minutes to 20 minutes.</w:t>
            </w:r>
          </w:p>
          <w:p w:rsidR="540593E1" w:rsidP="540593E1" w:rsidRDefault="540593E1" w14:paraId="74384920" w14:textId="45567DC8">
            <w:pPr>
              <w:rPr>
                <w:lang w:val="en-AU"/>
              </w:rPr>
            </w:pPr>
          </w:p>
        </w:tc>
      </w:tr>
      <w:tr w:rsidR="00043BF0" w:rsidTr="003E06F6" w14:paraId="2145F5D4" w14:textId="77777777">
        <w:trPr>
          <w:trHeight w:val="407"/>
        </w:trPr>
        <w:tc>
          <w:tcPr>
            <w:tcW w:w="2302" w:type="dxa"/>
          </w:tcPr>
          <w:p w:rsidR="540593E1" w:rsidP="540593E1" w:rsidRDefault="540593E1" w14:paraId="5234371F" w14:textId="77777777">
            <w:pPr>
              <w:rPr>
                <w:lang w:val="en-AU"/>
              </w:rPr>
            </w:pPr>
            <w:r w:rsidRPr="540593E1">
              <w:rPr>
                <w:b/>
                <w:bCs/>
                <w:lang w:val="en-AU"/>
              </w:rPr>
              <w:t xml:space="preserve">Monitoring   </w:t>
            </w:r>
            <w:r w:rsidRPr="540593E1">
              <w:rPr>
                <w:lang w:val="en-AU"/>
              </w:rPr>
              <w:t xml:space="preserve">                           </w:t>
            </w:r>
          </w:p>
          <w:p w:rsidR="540593E1" w:rsidP="540593E1" w:rsidRDefault="540593E1" w14:paraId="7D83AC94" w14:textId="77777777">
            <w:pPr>
              <w:rPr>
                <w:lang w:val="en-AU"/>
              </w:rPr>
            </w:pPr>
          </w:p>
        </w:tc>
        <w:tc>
          <w:tcPr>
            <w:tcW w:w="7479" w:type="dxa"/>
            <w:gridSpan w:val="2"/>
          </w:tcPr>
          <w:p w:rsidR="31BF1D2F" w:rsidP="2517AB48" w:rsidRDefault="31BF1D2F" w14:paraId="68E7FF33" w14:textId="15AE2622">
            <w:pPr>
              <w:rPr>
                <w:sz w:val="20"/>
                <w:lang w:val="en-AU"/>
              </w:rPr>
            </w:pPr>
            <w:r w:rsidRPr="2517AB48">
              <w:rPr>
                <w:sz w:val="20"/>
                <w:lang w:val="en-AU"/>
              </w:rPr>
              <w:t>ECG and continuous or frequent blood pressure. Monitor magnesium concentrations.</w:t>
            </w:r>
          </w:p>
          <w:p w:rsidR="540593E1" w:rsidP="540593E1" w:rsidRDefault="540593E1" w14:paraId="005C3EB8" w14:textId="07A9E460">
            <w:pPr>
              <w:rPr>
                <w:lang w:val="en-AU"/>
              </w:rPr>
            </w:pPr>
          </w:p>
        </w:tc>
      </w:tr>
      <w:tr w:rsidR="00043BF0" w:rsidTr="003E06F6" w14:paraId="11147479" w14:textId="77777777">
        <w:trPr>
          <w:trHeight w:val="627"/>
        </w:trPr>
        <w:tc>
          <w:tcPr>
            <w:tcW w:w="2302" w:type="dxa"/>
          </w:tcPr>
          <w:p w:rsidR="540593E1" w:rsidP="540593E1" w:rsidRDefault="540593E1" w14:paraId="7DA27061" w14:textId="77777777">
            <w:pPr>
              <w:rPr>
                <w:lang w:val="en-AU"/>
              </w:rPr>
            </w:pPr>
            <w:r w:rsidRPr="540593E1">
              <w:rPr>
                <w:b/>
                <w:bCs/>
                <w:lang w:val="en-AU"/>
              </w:rPr>
              <w:t xml:space="preserve">Contraindications </w:t>
            </w:r>
            <w:r w:rsidRPr="540593E1">
              <w:rPr>
                <w:lang w:val="en-AU"/>
              </w:rPr>
              <w:t xml:space="preserve">                          </w:t>
            </w:r>
          </w:p>
          <w:p w:rsidR="540593E1" w:rsidP="540593E1" w:rsidRDefault="540593E1" w14:paraId="28EAE3EF" w14:textId="77777777">
            <w:pPr>
              <w:rPr>
                <w:lang w:val="en-AU"/>
              </w:rPr>
            </w:pPr>
          </w:p>
        </w:tc>
        <w:tc>
          <w:tcPr>
            <w:tcW w:w="7479" w:type="dxa"/>
            <w:gridSpan w:val="2"/>
          </w:tcPr>
          <w:p w:rsidR="3B7AEC65" w:rsidP="540593E1" w:rsidRDefault="3B7AEC65" w14:paraId="3E91440D" w14:textId="22C220F3">
            <w:pPr>
              <w:rPr>
                <w:sz w:val="20"/>
                <w:lang w:val="en-AU"/>
              </w:rPr>
            </w:pPr>
            <w:r w:rsidRPr="540593E1">
              <w:rPr>
                <w:sz w:val="20"/>
                <w:lang w:val="en-AU"/>
              </w:rPr>
              <w:t>Heart block or myocardial damage.</w:t>
            </w:r>
          </w:p>
        </w:tc>
      </w:tr>
      <w:tr w:rsidR="00043BF0" w:rsidTr="003E06F6" w14:paraId="47648E10" w14:textId="77777777">
        <w:tc>
          <w:tcPr>
            <w:tcW w:w="2302" w:type="dxa"/>
          </w:tcPr>
          <w:p w:rsidR="540593E1" w:rsidP="540593E1" w:rsidRDefault="540593E1" w14:paraId="4D196573" w14:textId="6BC6AA05">
            <w:pPr>
              <w:rPr>
                <w:b/>
                <w:bCs/>
                <w:lang w:val="en-AU"/>
              </w:rPr>
            </w:pPr>
            <w:r w:rsidRPr="540593E1">
              <w:rPr>
                <w:b/>
                <w:bCs/>
                <w:lang w:val="en-AU"/>
              </w:rPr>
              <w:t>Precautions</w:t>
            </w:r>
          </w:p>
        </w:tc>
        <w:tc>
          <w:tcPr>
            <w:tcW w:w="7479" w:type="dxa"/>
            <w:gridSpan w:val="2"/>
          </w:tcPr>
          <w:p w:rsidR="4356E6F4" w:rsidP="2517AB48" w:rsidRDefault="4356E6F4" w14:paraId="7F5DE277" w14:textId="2D0FDAC7">
            <w:pPr>
              <w:rPr>
                <w:sz w:val="20"/>
                <w:lang w:val="en-AU"/>
              </w:rPr>
            </w:pPr>
            <w:r w:rsidRPr="2517AB48">
              <w:rPr>
                <w:sz w:val="20"/>
                <w:lang w:val="en-AU"/>
              </w:rPr>
              <w:t>Use with caution in renal impairment.</w:t>
            </w:r>
          </w:p>
        </w:tc>
      </w:tr>
      <w:tr w:rsidR="00043BF0" w:rsidTr="003E06F6" w14:paraId="4F9C68CD" w14:textId="77777777">
        <w:trPr>
          <w:trHeight w:val="440"/>
        </w:trPr>
        <w:tc>
          <w:tcPr>
            <w:tcW w:w="2302" w:type="dxa"/>
          </w:tcPr>
          <w:p w:rsidR="540593E1" w:rsidP="540593E1" w:rsidRDefault="540593E1" w14:paraId="3E400E1C" w14:textId="77777777">
            <w:pPr>
              <w:rPr>
                <w:b/>
                <w:bCs/>
                <w:lang w:val="en-AU"/>
              </w:rPr>
            </w:pPr>
            <w:r w:rsidRPr="540593E1">
              <w:rPr>
                <w:b/>
                <w:bCs/>
                <w:lang w:val="en-AU"/>
              </w:rPr>
              <w:lastRenderedPageBreak/>
              <w:t>Drug Interactions</w:t>
            </w:r>
          </w:p>
        </w:tc>
        <w:tc>
          <w:tcPr>
            <w:tcW w:w="7479" w:type="dxa"/>
            <w:gridSpan w:val="2"/>
          </w:tcPr>
          <w:p w:rsidR="0BB54256" w:rsidP="2517AB48" w:rsidRDefault="0BB54256" w14:paraId="372FB1D1" w14:textId="2B170385">
            <w:pPr>
              <w:rPr>
                <w:sz w:val="20"/>
                <w:lang w:val="en-AU"/>
              </w:rPr>
            </w:pPr>
            <w:r w:rsidRPr="2517AB48">
              <w:rPr>
                <w:sz w:val="20"/>
                <w:lang w:val="en-AU"/>
              </w:rPr>
              <w:t>Concurrent use with paralysing agents may enhance neuromuscular blockade (e.g.</w:t>
            </w:r>
            <w:r w:rsidRPr="2517AB48" w:rsidR="22056C76">
              <w:rPr>
                <w:sz w:val="20"/>
                <w:lang w:val="en-AU"/>
              </w:rPr>
              <w:t xml:space="preserve"> </w:t>
            </w:r>
            <w:r w:rsidRPr="2517AB48">
              <w:rPr>
                <w:sz w:val="20"/>
                <w:lang w:val="en-AU"/>
              </w:rPr>
              <w:t>succinylcholine, vecuronium, rocuronium, etc)</w:t>
            </w:r>
          </w:p>
          <w:p w:rsidR="0BB54256" w:rsidP="48F57877" w:rsidRDefault="62CE1131" w14:paraId="2B746C6C" w14:textId="5095C16D">
            <w:pPr>
              <w:rPr>
                <w:sz w:val="20"/>
                <w:lang w:val="en-AU"/>
              </w:rPr>
            </w:pPr>
            <w:r w:rsidRPr="48F57877">
              <w:rPr>
                <w:sz w:val="20"/>
                <w:lang w:val="en-AU"/>
              </w:rPr>
              <w:t>Concomitant use with aminoglycosides may cause neuromuscular weakness (respirator</w:t>
            </w:r>
            <w:r w:rsidRPr="48F57877" w:rsidR="2CC44F75">
              <w:rPr>
                <w:sz w:val="20"/>
                <w:lang w:val="en-AU"/>
              </w:rPr>
              <w:t xml:space="preserve"> </w:t>
            </w:r>
            <w:r w:rsidRPr="48F57877">
              <w:rPr>
                <w:sz w:val="20"/>
                <w:lang w:val="en-AU"/>
              </w:rPr>
              <w:t>arrest).</w:t>
            </w:r>
          </w:p>
          <w:p w:rsidR="540593E1" w:rsidP="2517AB48" w:rsidRDefault="540593E1" w14:paraId="01FD13D5" w14:textId="2375AB18">
            <w:pPr>
              <w:rPr>
                <w:sz w:val="20"/>
                <w:lang w:val="en-AU"/>
              </w:rPr>
            </w:pPr>
          </w:p>
        </w:tc>
      </w:tr>
      <w:tr w:rsidR="00043BF0" w:rsidTr="003E06F6" w14:paraId="2C204E96" w14:textId="77777777">
        <w:trPr>
          <w:trHeight w:val="645"/>
        </w:trPr>
        <w:tc>
          <w:tcPr>
            <w:tcW w:w="2302" w:type="dxa"/>
          </w:tcPr>
          <w:p w:rsidR="540593E1" w:rsidP="540593E1" w:rsidRDefault="540593E1" w14:paraId="27EFD61B" w14:textId="77777777">
            <w:pPr>
              <w:rPr>
                <w:lang w:val="en-AU"/>
              </w:rPr>
            </w:pPr>
            <w:r w:rsidRPr="540593E1">
              <w:rPr>
                <w:b/>
                <w:bCs/>
                <w:lang w:val="en-AU"/>
              </w:rPr>
              <w:t xml:space="preserve">Adverse Reactions  </w:t>
            </w:r>
            <w:r w:rsidRPr="540593E1">
              <w:rPr>
                <w:lang w:val="en-AU"/>
              </w:rPr>
              <w:t xml:space="preserve">       </w:t>
            </w:r>
          </w:p>
          <w:p w:rsidR="540593E1" w:rsidP="540593E1" w:rsidRDefault="540593E1" w14:paraId="041E95C7" w14:textId="77777777">
            <w:pPr>
              <w:rPr>
                <w:lang w:val="en-AU"/>
              </w:rPr>
            </w:pPr>
          </w:p>
        </w:tc>
        <w:tc>
          <w:tcPr>
            <w:tcW w:w="7479" w:type="dxa"/>
            <w:gridSpan w:val="2"/>
          </w:tcPr>
          <w:p w:rsidR="5E2777B4" w:rsidP="2517AB48" w:rsidRDefault="5E2777B4" w14:paraId="6865A953" w14:textId="1E374563">
            <w:pPr>
              <w:rPr>
                <w:sz w:val="20"/>
                <w:lang w:val="en-AU"/>
              </w:rPr>
            </w:pPr>
            <w:r w:rsidRPr="2517AB48">
              <w:rPr>
                <w:sz w:val="20"/>
                <w:lang w:val="en-AU"/>
              </w:rPr>
              <w:t>Hypotension, bradycardia and circulatory collapse with rapid infusion.</w:t>
            </w:r>
          </w:p>
          <w:p w:rsidR="5E2777B4" w:rsidP="540593E1" w:rsidRDefault="5E2777B4" w14:paraId="44A3D866" w14:textId="4FF3D1B6">
            <w:r w:rsidRPr="2517AB48">
              <w:rPr>
                <w:sz w:val="20"/>
                <w:lang w:val="en-AU"/>
              </w:rPr>
              <w:t>ECG changes (prolonged AV conduction time, sino-atrial block, AV block). Calcium</w:t>
            </w:r>
            <w:r w:rsidRPr="2517AB48" w:rsidR="5A4B90FE">
              <w:rPr>
                <w:sz w:val="20"/>
                <w:lang w:val="en-AU"/>
              </w:rPr>
              <w:t xml:space="preserve"> </w:t>
            </w:r>
            <w:r w:rsidRPr="2517AB48">
              <w:rPr>
                <w:sz w:val="20"/>
                <w:lang w:val="en-AU"/>
              </w:rPr>
              <w:t>chloride/calcium gluconate should be available to reverse adverse effects.</w:t>
            </w:r>
            <w:r w:rsidRPr="2517AB48" w:rsidR="24871BFB">
              <w:rPr>
                <w:sz w:val="20"/>
                <w:lang w:val="en-AU"/>
              </w:rPr>
              <w:t xml:space="preserve"> </w:t>
            </w:r>
            <w:r w:rsidRPr="2517AB48">
              <w:rPr>
                <w:sz w:val="20"/>
                <w:lang w:val="en-AU"/>
              </w:rPr>
              <w:t>Flushing, sweating, respiratory depression (particularly with higher plasma concentrations)</w:t>
            </w:r>
            <w:r w:rsidRPr="2517AB48" w:rsidR="6A585C08">
              <w:rPr>
                <w:sz w:val="20"/>
                <w:lang w:val="en-AU"/>
              </w:rPr>
              <w:t xml:space="preserve"> </w:t>
            </w:r>
            <w:r w:rsidRPr="2517AB48">
              <w:rPr>
                <w:sz w:val="20"/>
                <w:lang w:val="en-AU"/>
              </w:rPr>
              <w:t xml:space="preserve">abdominal distension, diarrhoea, urinary retention, CNS depression, muscle relaxation, </w:t>
            </w:r>
          </w:p>
          <w:p w:rsidR="5E2777B4" w:rsidP="540593E1" w:rsidRDefault="5E2777B4" w14:paraId="2F354668" w14:textId="1195BC9F">
            <w:r w:rsidRPr="2517AB48">
              <w:rPr>
                <w:sz w:val="20"/>
                <w:lang w:val="en-AU"/>
              </w:rPr>
              <w:t>hyporeflexia.</w:t>
            </w:r>
          </w:p>
          <w:p w:rsidR="540593E1" w:rsidP="540593E1" w:rsidRDefault="540593E1" w14:paraId="4379E1D0" w14:textId="1660568E">
            <w:pPr>
              <w:rPr>
                <w:sz w:val="20"/>
                <w:lang w:val="en-AU"/>
              </w:rPr>
            </w:pPr>
          </w:p>
        </w:tc>
      </w:tr>
      <w:tr w:rsidR="00043BF0" w:rsidTr="003E06F6" w14:paraId="7EE95501" w14:textId="77777777">
        <w:trPr>
          <w:trHeight w:val="1060"/>
        </w:trPr>
        <w:tc>
          <w:tcPr>
            <w:tcW w:w="2302" w:type="dxa"/>
          </w:tcPr>
          <w:p w:rsidR="540593E1" w:rsidP="540593E1" w:rsidRDefault="540593E1" w14:paraId="4E115325" w14:textId="77777777">
            <w:pPr>
              <w:rPr>
                <w:b/>
                <w:bCs/>
                <w:lang w:val="en-AU"/>
              </w:rPr>
            </w:pPr>
            <w:r w:rsidRPr="540593E1">
              <w:rPr>
                <w:b/>
                <w:bCs/>
                <w:lang w:val="en-AU"/>
              </w:rPr>
              <w:t>Compatibility</w:t>
            </w:r>
          </w:p>
          <w:p w:rsidR="540593E1" w:rsidP="540593E1" w:rsidRDefault="540593E1" w14:paraId="5D059EAC" w14:textId="77777777">
            <w:pPr>
              <w:rPr>
                <w:lang w:val="en-AU"/>
              </w:rPr>
            </w:pPr>
          </w:p>
        </w:tc>
        <w:tc>
          <w:tcPr>
            <w:tcW w:w="7479" w:type="dxa"/>
            <w:gridSpan w:val="2"/>
          </w:tcPr>
          <w:p w:rsidR="73F2B51B" w:rsidP="2517AB48" w:rsidRDefault="73F2B51B" w14:paraId="76650607" w14:textId="6BE49A86">
            <w:pPr>
              <w:rPr>
                <w:sz w:val="20"/>
                <w:lang w:val="en-AU"/>
              </w:rPr>
            </w:pPr>
            <w:r w:rsidRPr="2517AB48">
              <w:rPr>
                <w:sz w:val="20"/>
                <w:lang w:val="en-AU"/>
              </w:rPr>
              <w:t>Sodium chloride 0.9%, sodium chloride 0.45%/glucose 4%, glucose 5%, parenteral nutrition,</w:t>
            </w:r>
            <w:r w:rsidRPr="2517AB48" w:rsidR="6A577DB3">
              <w:rPr>
                <w:sz w:val="20"/>
                <w:lang w:val="en-AU"/>
              </w:rPr>
              <w:t xml:space="preserve"> </w:t>
            </w:r>
            <w:r w:rsidRPr="2517AB48">
              <w:rPr>
                <w:sz w:val="20"/>
                <w:lang w:val="en-AU"/>
              </w:rPr>
              <w:t xml:space="preserve">glucose amino acid solution.  </w:t>
            </w:r>
          </w:p>
          <w:p w:rsidR="73F2B51B" w:rsidP="2517AB48" w:rsidRDefault="73F2B51B" w14:paraId="7574839B" w14:textId="6A7B0A00">
            <w:pPr>
              <w:rPr>
                <w:sz w:val="20"/>
                <w:lang w:val="en-AU"/>
              </w:rPr>
            </w:pPr>
            <w:r w:rsidRPr="2517AB48">
              <w:rPr>
                <w:sz w:val="20"/>
                <w:lang w:val="en-AU"/>
              </w:rPr>
              <w:t>Y site: Aciclovir, amifostine, amikacin, ampicillin, aztreonam, bivalirudin, caspofungin,</w:t>
            </w:r>
            <w:r w:rsidRPr="2517AB48" w:rsidR="5B3F76CD">
              <w:rPr>
                <w:sz w:val="20"/>
                <w:lang w:val="en-AU"/>
              </w:rPr>
              <w:t xml:space="preserve"> </w:t>
            </w:r>
            <w:r w:rsidRPr="2517AB48">
              <w:rPr>
                <w:sz w:val="20"/>
                <w:lang w:val="en-AU"/>
              </w:rPr>
              <w:t>cefotaxime, cefoxitin, cefazolin, chloramphenicol, cisatracurium, dexmedetomidine, doripenem, esmolol, gentamicin, granisetron, heparin sodium, hydrocortisone sodium, succinate, labetalol, linezolid, metronidazole, milrinone, morphine sulfate, piperacillin-tazobactam (EDTA-free), potassium chloride, remifentanil, sodium nitroprusside</w:t>
            </w:r>
            <w:r w:rsidRPr="2517AB48" w:rsidR="0EACB196">
              <w:rPr>
                <w:sz w:val="20"/>
                <w:lang w:val="en-AU"/>
              </w:rPr>
              <w:t>,</w:t>
            </w:r>
            <w:r w:rsidRPr="2517AB48">
              <w:rPr>
                <w:sz w:val="20"/>
                <w:lang w:val="en-AU"/>
              </w:rPr>
              <w:t xml:space="preserve"> trimethoprim-sulfamethoxazole, vancomycin.</w:t>
            </w:r>
          </w:p>
          <w:p w:rsidR="540593E1" w:rsidP="540593E1" w:rsidRDefault="540593E1" w14:paraId="5011F739" w14:textId="1FB157D4">
            <w:pPr>
              <w:rPr>
                <w:sz w:val="20"/>
                <w:lang w:val="en-AU"/>
              </w:rPr>
            </w:pPr>
          </w:p>
        </w:tc>
      </w:tr>
      <w:tr w:rsidR="00043BF0" w:rsidTr="003E06F6" w14:paraId="228F6189" w14:textId="77777777">
        <w:tc>
          <w:tcPr>
            <w:tcW w:w="2302" w:type="dxa"/>
          </w:tcPr>
          <w:p w:rsidR="540593E1" w:rsidP="540593E1" w:rsidRDefault="540593E1" w14:paraId="1236120C" w14:textId="77777777">
            <w:pPr>
              <w:rPr>
                <w:lang w:val="en-AU"/>
              </w:rPr>
            </w:pPr>
            <w:r w:rsidRPr="540593E1">
              <w:rPr>
                <w:b/>
                <w:bCs/>
                <w:lang w:val="en-AU"/>
              </w:rPr>
              <w:t>Incompatibility</w:t>
            </w:r>
            <w:r w:rsidRPr="540593E1">
              <w:rPr>
                <w:lang w:val="en-AU"/>
              </w:rPr>
              <w:t xml:space="preserve">      </w:t>
            </w:r>
          </w:p>
          <w:p w:rsidR="540593E1" w:rsidP="540593E1" w:rsidRDefault="540593E1" w14:paraId="2BAE236B" w14:textId="77777777">
            <w:pPr>
              <w:rPr>
                <w:lang w:val="en-AU"/>
              </w:rPr>
            </w:pPr>
            <w:r w:rsidRPr="540593E1">
              <w:rPr>
                <w:lang w:val="en-AU"/>
              </w:rPr>
              <w:t xml:space="preserve">               </w:t>
            </w:r>
          </w:p>
        </w:tc>
        <w:tc>
          <w:tcPr>
            <w:tcW w:w="7479" w:type="dxa"/>
            <w:gridSpan w:val="2"/>
          </w:tcPr>
          <w:p w:rsidR="6A1B6B56" w:rsidP="2517AB48" w:rsidRDefault="6A1B6B56" w14:paraId="5F654B48" w14:textId="7E66101E">
            <w:pPr>
              <w:rPr>
                <w:sz w:val="20"/>
                <w:lang w:val="en-AU"/>
              </w:rPr>
            </w:pPr>
            <w:r w:rsidRPr="2517AB48">
              <w:rPr>
                <w:sz w:val="20"/>
                <w:lang w:val="en-AU"/>
              </w:rPr>
              <w:t xml:space="preserve">Fat emulsion. Incompatible with soluble phosphates and with alkaline carbonates and, bicarbonates. </w:t>
            </w:r>
          </w:p>
          <w:p w:rsidR="6A1B6B56" w:rsidP="540593E1" w:rsidRDefault="6A1B6B56" w14:paraId="2FC68940" w14:textId="5F3B0062">
            <w:r w:rsidRPr="2517AB48">
              <w:rPr>
                <w:sz w:val="20"/>
                <w:lang w:val="en-AU"/>
              </w:rPr>
              <w:t xml:space="preserve">Y site: Aminophylline, amiodarone, anidulafungin, azathioprine, calcium chloride, calcium, salts, cefepime, ceftriaxone, ciprofloxacin, clindamycin, cyclosporin, dexamethasone, ganciclovir, haloperidol lactate, indometacin, methylprednisolone sodium succinate, </w:t>
            </w:r>
          </w:p>
          <w:p w:rsidR="6A1B6B56" w:rsidP="540593E1" w:rsidRDefault="6A1B6B56" w14:paraId="1D692F55" w14:textId="62133537">
            <w:r w:rsidRPr="2517AB48">
              <w:rPr>
                <w:sz w:val="20"/>
                <w:lang w:val="en-AU"/>
              </w:rPr>
              <w:t>pentamidine, phosphate salts, sodium bicarbonate.</w:t>
            </w:r>
          </w:p>
          <w:p w:rsidR="540593E1" w:rsidP="540593E1" w:rsidRDefault="540593E1" w14:paraId="2F6F4D1C" w14:textId="435CDADF">
            <w:pPr>
              <w:rPr>
                <w:sz w:val="20"/>
                <w:lang w:val="en-AU"/>
              </w:rPr>
            </w:pPr>
          </w:p>
        </w:tc>
      </w:tr>
      <w:tr w:rsidR="00043BF0" w:rsidTr="003E06F6" w14:paraId="38ED7C20" w14:textId="77777777">
        <w:trPr>
          <w:trHeight w:val="483"/>
        </w:trPr>
        <w:tc>
          <w:tcPr>
            <w:tcW w:w="2302" w:type="dxa"/>
          </w:tcPr>
          <w:p w:rsidR="540593E1" w:rsidP="540593E1" w:rsidRDefault="540593E1" w14:paraId="642D0FF3" w14:textId="77777777">
            <w:pPr>
              <w:rPr>
                <w:lang w:val="en-AU"/>
              </w:rPr>
            </w:pPr>
            <w:r w:rsidRPr="540593E1">
              <w:rPr>
                <w:b/>
                <w:bCs/>
                <w:lang w:val="en-AU"/>
              </w:rPr>
              <w:t>Stability</w:t>
            </w:r>
            <w:r w:rsidRPr="540593E1">
              <w:rPr>
                <w:lang w:val="en-AU"/>
              </w:rPr>
              <w:t xml:space="preserve">                  </w:t>
            </w:r>
          </w:p>
        </w:tc>
        <w:tc>
          <w:tcPr>
            <w:tcW w:w="7479" w:type="dxa"/>
            <w:gridSpan w:val="2"/>
          </w:tcPr>
          <w:p w:rsidR="7018A0AB" w:rsidP="540593E1" w:rsidRDefault="7018A0AB" w14:paraId="545F87C5" w14:textId="4FFA5EC4">
            <w:pPr>
              <w:rPr>
                <w:sz w:val="20"/>
                <w:lang w:val="en-AU"/>
              </w:rPr>
            </w:pPr>
            <w:r w:rsidRPr="540593E1">
              <w:rPr>
                <w:sz w:val="20"/>
                <w:lang w:val="en-AU"/>
              </w:rPr>
              <w:t xml:space="preserve">Change the IV preparation every 24 hours.,  </w:t>
            </w:r>
          </w:p>
          <w:p w:rsidR="540593E1" w:rsidP="540593E1" w:rsidRDefault="540593E1" w14:paraId="619F1B65" w14:textId="12B97EB6">
            <w:pPr>
              <w:rPr>
                <w:sz w:val="20"/>
                <w:lang w:val="en-AU"/>
              </w:rPr>
            </w:pPr>
          </w:p>
        </w:tc>
      </w:tr>
      <w:tr w:rsidR="00043BF0" w:rsidTr="003E06F6" w14:paraId="5A13A74F" w14:textId="77777777">
        <w:trPr>
          <w:trHeight w:val="371"/>
        </w:trPr>
        <w:tc>
          <w:tcPr>
            <w:tcW w:w="2302" w:type="dxa"/>
          </w:tcPr>
          <w:p w:rsidR="540593E1" w:rsidP="540593E1" w:rsidRDefault="540593E1" w14:paraId="7800DAAE" w14:textId="77777777">
            <w:pPr>
              <w:rPr>
                <w:lang w:val="en-AU"/>
              </w:rPr>
            </w:pPr>
            <w:r w:rsidRPr="540593E1">
              <w:rPr>
                <w:b/>
                <w:bCs/>
                <w:lang w:val="en-AU"/>
              </w:rPr>
              <w:t xml:space="preserve">Storage </w:t>
            </w:r>
            <w:r w:rsidRPr="540593E1">
              <w:rPr>
                <w:lang w:val="en-AU"/>
              </w:rPr>
              <w:t xml:space="preserve">            </w:t>
            </w:r>
          </w:p>
        </w:tc>
        <w:tc>
          <w:tcPr>
            <w:tcW w:w="7479" w:type="dxa"/>
            <w:gridSpan w:val="2"/>
          </w:tcPr>
          <w:p w:rsidR="12A962D6" w:rsidP="540593E1" w:rsidRDefault="12A962D6" w14:paraId="6C1783B7" w14:textId="3898FC22">
            <w:pPr>
              <w:rPr>
                <w:sz w:val="20"/>
                <w:lang w:val="en-AU"/>
              </w:rPr>
            </w:pPr>
            <w:r w:rsidRPr="540593E1">
              <w:rPr>
                <w:sz w:val="20"/>
                <w:lang w:val="en-AU"/>
              </w:rPr>
              <w:t>Store at room temperature and protect from light.</w:t>
            </w:r>
          </w:p>
        </w:tc>
      </w:tr>
      <w:tr w:rsidR="00043BF0" w:rsidTr="003E06F6" w14:paraId="264CECEC" w14:textId="77777777">
        <w:trPr>
          <w:trHeight w:val="673"/>
        </w:trPr>
        <w:tc>
          <w:tcPr>
            <w:tcW w:w="2302" w:type="dxa"/>
          </w:tcPr>
          <w:p w:rsidR="540593E1" w:rsidP="540593E1" w:rsidRDefault="540593E1" w14:paraId="5AFFA757" w14:textId="77777777">
            <w:pPr>
              <w:rPr>
                <w:lang w:val="en-AU"/>
              </w:rPr>
            </w:pPr>
            <w:r w:rsidRPr="540593E1">
              <w:rPr>
                <w:b/>
                <w:bCs/>
                <w:lang w:val="en-AU"/>
              </w:rPr>
              <w:t>Special Comments</w:t>
            </w:r>
            <w:r w:rsidRPr="540593E1">
              <w:rPr>
                <w:lang w:val="en-AU"/>
              </w:rPr>
              <w:t xml:space="preserve">       </w:t>
            </w:r>
          </w:p>
          <w:p w:rsidR="540593E1" w:rsidP="540593E1" w:rsidRDefault="540593E1" w14:paraId="2E7221A3" w14:textId="77777777">
            <w:pPr>
              <w:rPr>
                <w:lang w:val="en-AU"/>
              </w:rPr>
            </w:pPr>
          </w:p>
        </w:tc>
        <w:tc>
          <w:tcPr>
            <w:tcW w:w="7479" w:type="dxa"/>
            <w:gridSpan w:val="2"/>
          </w:tcPr>
          <w:p w:rsidR="3DECF0AB" w:rsidP="540593E1" w:rsidRDefault="3DECF0AB" w14:paraId="43222346" w14:textId="0A678F39">
            <w:pPr>
              <w:rPr>
                <w:sz w:val="20"/>
                <w:lang w:val="en-AU"/>
              </w:rPr>
            </w:pPr>
            <w:r w:rsidRPr="540593E1">
              <w:rPr>
                <w:sz w:val="20"/>
                <w:lang w:val="en-AU"/>
              </w:rPr>
              <w:t>Serum Mg concentrations do not reflect with whole body stores.</w:t>
            </w:r>
            <w:r w:rsidRPr="540593E1" w:rsidR="1A85FF60">
              <w:rPr>
                <w:sz w:val="20"/>
                <w:lang w:val="en-AU"/>
              </w:rPr>
              <w:t xml:space="preserve"> </w:t>
            </w:r>
            <w:r w:rsidRPr="540593E1">
              <w:rPr>
                <w:sz w:val="20"/>
                <w:lang w:val="en-AU"/>
              </w:rPr>
              <w:t>Renally excreted.</w:t>
            </w:r>
          </w:p>
          <w:p w:rsidR="540593E1" w:rsidP="540593E1" w:rsidRDefault="540593E1" w14:paraId="44C80F21" w14:textId="1393C3FE">
            <w:pPr>
              <w:rPr>
                <w:lang w:val="en-AU"/>
              </w:rPr>
            </w:pPr>
          </w:p>
        </w:tc>
      </w:tr>
      <w:tr w:rsidR="00043BF0" w:rsidTr="003E06F6" w14:paraId="67527B59" w14:textId="77777777">
        <w:trPr>
          <w:trHeight w:val="388"/>
        </w:trPr>
        <w:tc>
          <w:tcPr>
            <w:tcW w:w="2302" w:type="dxa"/>
          </w:tcPr>
          <w:p w:rsidR="540593E1" w:rsidP="540593E1" w:rsidRDefault="540593E1" w14:paraId="5C58BA9E" w14:textId="77777777">
            <w:pPr>
              <w:rPr>
                <w:b/>
                <w:bCs/>
                <w:lang w:val="en-AU"/>
              </w:rPr>
            </w:pPr>
            <w:r w:rsidRPr="540593E1">
              <w:rPr>
                <w:b/>
                <w:bCs/>
                <w:lang w:val="en-AU"/>
              </w:rPr>
              <w:t>Evidence summary</w:t>
            </w:r>
          </w:p>
        </w:tc>
        <w:tc>
          <w:tcPr>
            <w:tcW w:w="7479" w:type="dxa"/>
            <w:gridSpan w:val="2"/>
          </w:tcPr>
          <w:p w:rsidR="540593E1" w:rsidP="74D9459A" w:rsidRDefault="540593E1" w14:paraId="36307A48" w14:textId="577FFD7C">
            <w:pPr>
              <w:rPr>
                <w:b/>
                <w:bCs/>
                <w:sz w:val="16"/>
                <w:szCs w:val="16"/>
                <w:lang w:val="en-AU"/>
              </w:rPr>
            </w:pPr>
            <w:r w:rsidRPr="74D9459A">
              <w:rPr>
                <w:b/>
                <w:bCs/>
                <w:sz w:val="16"/>
                <w:szCs w:val="16"/>
                <w:lang w:val="en-AU"/>
              </w:rPr>
              <w:t xml:space="preserve"> </w:t>
            </w:r>
            <w:r w:rsidRPr="74D9459A" w:rsidR="338822DA">
              <w:rPr>
                <w:b/>
                <w:bCs/>
                <w:sz w:val="16"/>
                <w:szCs w:val="16"/>
                <w:lang w:val="en-AU"/>
              </w:rPr>
              <w:t xml:space="preserve">Persistent pulmonary hypertension of the newborn (PPHN), </w:t>
            </w:r>
          </w:p>
          <w:p w:rsidR="338822DA" w:rsidP="540593E1" w:rsidRDefault="338822DA" w14:paraId="586BF4B5" w14:textId="7B233B43">
            <w:pPr>
              <w:rPr>
                <w:sz w:val="16"/>
                <w:szCs w:val="16"/>
                <w:lang w:val="en-AU"/>
              </w:rPr>
            </w:pPr>
            <w:r w:rsidRPr="540593E1">
              <w:rPr>
                <w:sz w:val="16"/>
                <w:szCs w:val="16"/>
                <w:lang w:val="en-AU"/>
              </w:rPr>
              <w:t>A single RCT enrolling infants with severe respiratory distress, an oxygen index ≥25 despite HFOV support, and echocardiographic evidence of PPHN assessed the effect of MgSO4 group 200 mg/kg infused over half an hour with maintenance 50-150 mg/kg/hour to attain a serum magnesium level of 5.0-7.0 mmol versus iNO group at initial concentration of 20 ppm with crossover if no response. There was no difference in the proportion of infants who responded primarily to either vasodilator (MgSO4 23.3% versus iNO 33.3%, p=1.0). Of the non-responders, 9 of 10 in the HFOV + IV MgSO4 group versus 8 / 12 HFOV + iNO group responded. There was a significant difference in mortality, with 8 of 13 (62%) HFOV + IV MgSO4 group versus 2 of 12 (17%) HFOV + iNO group alive at discharge (p=0.004). Infants who were administered iNO following failed MgSO4 therapy were associated with a better outcome than those who were administered MgSO4 following failed iNO therapy. Several small case series have reported that 37 of 42 infants with severe PPHN treated with MgSO4 responded and survived to discharge.[1-4] Conclusion: The role of MgSO4 in the management of PPHN is unclear. Further trials are required. (LOE II, GOR D)</w:t>
            </w:r>
          </w:p>
          <w:p w:rsidR="338822DA" w:rsidP="540593E1" w:rsidRDefault="338822DA" w14:paraId="1A265626" w14:textId="7C191321">
            <w:r w:rsidRPr="540593E1">
              <w:rPr>
                <w:sz w:val="16"/>
                <w:szCs w:val="16"/>
                <w:lang w:val="en-AU"/>
              </w:rPr>
              <w:t xml:space="preserve"> </w:t>
            </w:r>
          </w:p>
          <w:p w:rsidR="338822DA" w:rsidP="74D9459A" w:rsidRDefault="338822DA" w14:paraId="6ACC6FDA" w14:textId="5D5F3103">
            <w:pPr>
              <w:rPr>
                <w:b/>
                <w:bCs/>
                <w:sz w:val="16"/>
                <w:szCs w:val="16"/>
                <w:lang w:val="en-AU"/>
              </w:rPr>
            </w:pPr>
            <w:r w:rsidRPr="74D9459A">
              <w:rPr>
                <w:b/>
                <w:bCs/>
                <w:sz w:val="16"/>
                <w:szCs w:val="16"/>
                <w:lang w:val="en-AU"/>
              </w:rPr>
              <w:t>Perinatal asphyxia</w:t>
            </w:r>
          </w:p>
          <w:p w:rsidR="338822DA" w:rsidP="540593E1" w:rsidRDefault="338822DA" w14:paraId="69CA4654" w14:textId="116F3694">
            <w:r w:rsidRPr="540593E1">
              <w:rPr>
                <w:sz w:val="16"/>
                <w:szCs w:val="16"/>
                <w:lang w:val="en-AU"/>
              </w:rPr>
              <w:t xml:space="preserve"> </w:t>
            </w:r>
          </w:p>
          <w:p w:rsidR="338822DA" w:rsidP="540593E1" w:rsidRDefault="338822DA" w14:paraId="4F00B3B8" w14:textId="5FF9FBD3">
            <w:r w:rsidRPr="540593E1">
              <w:rPr>
                <w:sz w:val="16"/>
                <w:szCs w:val="16"/>
                <w:lang w:val="en-AU"/>
              </w:rPr>
              <w:t xml:space="preserve">A systematic review [5] of RCTs that compared magnesium to control in newborns with HIE included 5 studies.[6-10] All used magnesium sulfate given within 24 hours of birth. The dose varied: 250mg/kg every 24 hours for three doses in two studies, 250mg/kg followed by two doses of 125mg/kg every 24 hours for two doses in another two studies and a single dose of 250mg/kg in one study. Magnesium was administered over 30 min in one study, over 1 hour in three studies. There was no difference in the death or moderate-to-severe neurodevelopmental disability at 18 months between the magnesium and the control groups (RR 0.81, 95% CI </w:t>
            </w:r>
            <w:r w:rsidRPr="540593E1">
              <w:rPr>
                <w:sz w:val="16"/>
                <w:szCs w:val="16"/>
                <w:lang w:val="en-AU"/>
              </w:rPr>
              <w:lastRenderedPageBreak/>
              <w:t>0.36 to 1.84). There was significant reduction in the unfavourable short-term composite outcome (survival with abnormalities in any of the following: neurodevelopmental exam, neuroimaging or neurophysiologic studies), (RR 0.48, 95% CI 0.30 to 0.77) but no difference in mortality (RR 1.39, 95% CI 0.85 to 2.27), seizures (RR 0.84, 95% CI 0.59 to 1.19) or hypotension (RR 1.28, 95% CI 0.69 to 2.38) between the magnesium and the control groups. Conclusion: There is insufficient evidence to determine if magnesium therapy given shortly after birth to newborns with HIE reduces death or moderate-to-severe disability. The improvement in short-term outcomes without significant increase in adverse effects supports the need for further adequately powered trials to determine if there are long-term benefits of magnesium and to confirm its safety. (LOE I GOR D) The publication of 3 additional small trials is unlikely to change this conclusion. [11-14]</w:t>
            </w:r>
          </w:p>
          <w:p w:rsidR="338822DA" w:rsidP="540593E1" w:rsidRDefault="338822DA" w14:paraId="7E93CF60" w14:textId="7E52D81F">
            <w:r w:rsidRPr="540593E1">
              <w:rPr>
                <w:sz w:val="16"/>
                <w:szCs w:val="16"/>
                <w:lang w:val="en-AU"/>
              </w:rPr>
              <w:t xml:space="preserve"> </w:t>
            </w:r>
          </w:p>
          <w:p w:rsidR="338822DA" w:rsidP="74D9459A" w:rsidRDefault="338822DA" w14:paraId="350369B7" w14:textId="3F732EFC">
            <w:pPr>
              <w:rPr>
                <w:b/>
                <w:bCs/>
                <w:sz w:val="16"/>
                <w:szCs w:val="16"/>
                <w:lang w:val="en-AU"/>
              </w:rPr>
            </w:pPr>
            <w:r w:rsidRPr="74D9459A">
              <w:rPr>
                <w:b/>
                <w:bCs/>
                <w:sz w:val="16"/>
                <w:szCs w:val="16"/>
                <w:lang w:val="en-AU"/>
              </w:rPr>
              <w:t>Refractory ventricular fibrillation (VF)/pulseless VF (pVF)/ polymorphic ventricular tachycardia (Torsade de pointes)</w:t>
            </w:r>
          </w:p>
          <w:p w:rsidR="338822DA" w:rsidP="540593E1" w:rsidRDefault="338822DA" w14:paraId="2E7BC687" w14:textId="505FC8B0">
            <w:r w:rsidRPr="540593E1">
              <w:rPr>
                <w:sz w:val="16"/>
                <w:szCs w:val="16"/>
                <w:lang w:val="en-AU"/>
              </w:rPr>
              <w:t xml:space="preserve"> </w:t>
            </w:r>
          </w:p>
          <w:p w:rsidR="338822DA" w:rsidP="540593E1" w:rsidRDefault="338822DA" w14:paraId="44BAFE4C" w14:textId="38CBA4B5">
            <w:r w:rsidRPr="540593E1">
              <w:rPr>
                <w:sz w:val="16"/>
                <w:szCs w:val="16"/>
                <w:lang w:val="en-AU"/>
              </w:rPr>
              <w:t>The ANZCOR Guideline on Medications and Fluids in Paediatric Advanced Life Support reported hypomagnesaemia may cause life-threatening ventricular tachyarrhythmia, particularly when associated with hypokalaemia. Magnesium is the preferred antiarrhythmic treatment for polymorphic ventricular tachycardia (Torsade de pointes – “Twisting of peaks”) due to acquired or congenital prolonged QT interval syndromes [LOE IV]. Neither increased return of spontaneous circulation (ROSC) nor survival in adults has been demonstrated in treatment of VF with magnesium [LOE IV]. The intravenous or intraosseous bolus dose of magnesium sulphate is 0.1-0.2 mmol/kg followed by an infusion of 0.3mmol/kg over 4 hours. [15]</w:t>
            </w:r>
          </w:p>
          <w:p w:rsidR="338822DA" w:rsidP="540593E1" w:rsidRDefault="338822DA" w14:paraId="270833F8" w14:textId="22E7C091">
            <w:r w:rsidRPr="540593E1">
              <w:rPr>
                <w:sz w:val="16"/>
                <w:szCs w:val="16"/>
                <w:lang w:val="en-AU"/>
              </w:rPr>
              <w:t xml:space="preserve"> </w:t>
            </w:r>
          </w:p>
          <w:p w:rsidR="338822DA" w:rsidP="74D9459A" w:rsidRDefault="338822DA" w14:paraId="5E0C9B83" w14:textId="0CF30172">
            <w:pPr>
              <w:rPr>
                <w:b/>
                <w:bCs/>
                <w:sz w:val="16"/>
                <w:szCs w:val="16"/>
                <w:lang w:val="en-AU"/>
              </w:rPr>
            </w:pPr>
            <w:r w:rsidRPr="74D9459A">
              <w:rPr>
                <w:b/>
                <w:bCs/>
                <w:sz w:val="16"/>
                <w:szCs w:val="16"/>
                <w:lang w:val="en-AU"/>
              </w:rPr>
              <w:t>Neonatal tetany/convulsions</w:t>
            </w:r>
          </w:p>
          <w:p w:rsidR="338822DA" w:rsidP="540593E1" w:rsidRDefault="338822DA" w14:paraId="297DEDA6" w14:textId="17453F7C">
            <w:r w:rsidRPr="540593E1">
              <w:rPr>
                <w:sz w:val="16"/>
                <w:szCs w:val="16"/>
                <w:lang w:val="en-AU"/>
              </w:rPr>
              <w:t xml:space="preserve"> </w:t>
            </w:r>
          </w:p>
          <w:p w:rsidR="338822DA" w:rsidP="540593E1" w:rsidRDefault="338822DA" w14:paraId="72609083" w14:textId="34D6E360">
            <w:r w:rsidRPr="540593E1">
              <w:rPr>
                <w:sz w:val="16"/>
                <w:szCs w:val="16"/>
                <w:lang w:val="en-AU"/>
              </w:rPr>
              <w:t>An RCT of oral calcium gluconate versus oral phenobarbitone versus MgSO4 0.2 mL/kg (100 mg/kg) of 50% magnesium sulfate IMI in infants with hypocalcaemic convulsions secondary to feeding with full-cream evaporated milk reported infants treated with magnesium sulphate had higher plasma-calcium concentrations after 48 hours’ treatment and fewer convulsions during and after the treatment period. (LOE II GOR C/D) Magnesium levels increased from 0.59 +/- 0.17 mmol/L pretreatment to 0.87 +/- 0.2 mmol/L post treatment.</w:t>
            </w:r>
          </w:p>
          <w:p w:rsidR="338822DA" w:rsidP="540593E1" w:rsidRDefault="338822DA" w14:paraId="3387CFD9" w14:textId="39C00726">
            <w:r w:rsidRPr="540593E1">
              <w:rPr>
                <w:sz w:val="16"/>
                <w:szCs w:val="16"/>
                <w:lang w:val="en-AU"/>
              </w:rPr>
              <w:t xml:space="preserve"> </w:t>
            </w:r>
          </w:p>
          <w:p w:rsidR="338822DA" w:rsidP="540593E1" w:rsidRDefault="338822DA" w14:paraId="3522BE85" w14:textId="7D088D90">
            <w:r w:rsidRPr="540593E1">
              <w:rPr>
                <w:sz w:val="16"/>
                <w:szCs w:val="16"/>
                <w:lang w:val="en-AU"/>
              </w:rPr>
              <w:t>[16]</w:t>
            </w:r>
          </w:p>
          <w:p w:rsidR="540593E1" w:rsidP="540593E1" w:rsidRDefault="540593E1" w14:paraId="58DEDAC5" w14:textId="6C062EB9">
            <w:pPr>
              <w:rPr>
                <w:sz w:val="16"/>
                <w:szCs w:val="16"/>
                <w:lang w:val="en-AU"/>
              </w:rPr>
            </w:pPr>
          </w:p>
          <w:p w:rsidR="338822DA" w:rsidP="2517AB48" w:rsidRDefault="338822DA" w14:paraId="0A18F939" w14:textId="09B7EF75">
            <w:pPr>
              <w:rPr>
                <w:sz w:val="16"/>
                <w:szCs w:val="16"/>
                <w:lang w:val="en-AU"/>
              </w:rPr>
            </w:pPr>
          </w:p>
          <w:p w:rsidR="540593E1" w:rsidP="540593E1" w:rsidRDefault="540593E1" w14:paraId="7CE846EB" w14:textId="5253FB10">
            <w:pPr>
              <w:rPr>
                <w:sz w:val="16"/>
                <w:szCs w:val="16"/>
                <w:lang w:val="en-AU"/>
              </w:rPr>
            </w:pPr>
          </w:p>
        </w:tc>
      </w:tr>
      <w:tr w:rsidR="00043BF0" w:rsidTr="003E06F6" w14:paraId="640701FD" w14:textId="77777777">
        <w:trPr>
          <w:trHeight w:val="361"/>
        </w:trPr>
        <w:tc>
          <w:tcPr>
            <w:tcW w:w="2302" w:type="dxa"/>
          </w:tcPr>
          <w:p w:rsidR="540593E1" w:rsidP="540593E1" w:rsidRDefault="540593E1" w14:paraId="54C97745" w14:textId="77777777">
            <w:pPr>
              <w:rPr>
                <w:rFonts w:cs="Arial"/>
                <w:b/>
                <w:bCs/>
                <w:lang w:val="en-AU"/>
              </w:rPr>
            </w:pPr>
            <w:r w:rsidRPr="540593E1">
              <w:rPr>
                <w:b/>
                <w:bCs/>
                <w:lang w:val="en-AU"/>
              </w:rPr>
              <w:lastRenderedPageBreak/>
              <w:t>References</w:t>
            </w:r>
          </w:p>
        </w:tc>
        <w:tc>
          <w:tcPr>
            <w:tcW w:w="7479" w:type="dxa"/>
            <w:gridSpan w:val="2"/>
          </w:tcPr>
          <w:p w:rsidR="7C9A6BBE" w:rsidP="0083246D" w:rsidRDefault="498AFAE3" w14:paraId="6F8ABB15" w14:textId="4576C10E">
            <w:pPr>
              <w:pStyle w:val="ListParagraph"/>
              <w:numPr>
                <w:ilvl w:val="0"/>
                <w:numId w:val="7"/>
              </w:numPr>
              <w:rPr>
                <w:rFonts w:eastAsia="Calibri" w:cs="Calibri"/>
                <w:sz w:val="16"/>
                <w:szCs w:val="16"/>
                <w:lang w:val="en-AU"/>
              </w:rPr>
            </w:pPr>
            <w:r w:rsidRPr="77BEE3D0">
              <w:rPr>
                <w:sz w:val="16"/>
                <w:szCs w:val="16"/>
                <w:lang w:val="en-AU"/>
              </w:rPr>
              <w:t xml:space="preserve"> Chandran S, Haqueb ME, Wickramasinghe HT, Wint Z. Use of magnesium sulphate in severe persistent pulmonary hypertension of the newborn. J Trop Pediatr. 2004;50:219-23.</w:t>
            </w:r>
          </w:p>
          <w:p w:rsidR="7C9A6BBE" w:rsidP="540593E1" w:rsidRDefault="7C9A6BBE" w14:paraId="0C109557" w14:textId="64FE4BF0">
            <w:r w:rsidRPr="540593E1">
              <w:rPr>
                <w:sz w:val="16"/>
                <w:szCs w:val="16"/>
                <w:lang w:val="en-AU"/>
              </w:rPr>
              <w:t xml:space="preserve"> </w:t>
            </w:r>
          </w:p>
          <w:p w:rsidR="7C9A6BBE" w:rsidP="0083246D" w:rsidRDefault="498AFAE3" w14:paraId="50E9F518" w14:textId="09938630">
            <w:pPr>
              <w:pStyle w:val="ListParagraph"/>
              <w:numPr>
                <w:ilvl w:val="0"/>
                <w:numId w:val="7"/>
              </w:numPr>
              <w:rPr>
                <w:rFonts w:eastAsia="Calibri" w:cs="Calibri"/>
                <w:sz w:val="16"/>
                <w:szCs w:val="16"/>
              </w:rPr>
            </w:pPr>
            <w:r w:rsidRPr="77BEE3D0">
              <w:rPr>
                <w:sz w:val="16"/>
                <w:szCs w:val="16"/>
                <w:lang w:val="en-AU"/>
              </w:rPr>
              <w:t>Daffa SH, Milaat WA. Role of magnesium sulphate in treatment of severe persistent pulmonary hypertension of the neoborn. Saudi Medical Journal. 2002;23:1266-9.</w:t>
            </w:r>
          </w:p>
          <w:p w:rsidR="7C9A6BBE" w:rsidP="540593E1" w:rsidRDefault="7C9A6BBE" w14:paraId="7ABCDC97" w14:textId="013A6D29">
            <w:r w:rsidRPr="540593E1">
              <w:rPr>
                <w:sz w:val="16"/>
                <w:szCs w:val="16"/>
                <w:lang w:val="en-AU"/>
              </w:rPr>
              <w:t xml:space="preserve"> </w:t>
            </w:r>
          </w:p>
          <w:p w:rsidR="7C9A6BBE" w:rsidP="0083246D" w:rsidRDefault="498AFAE3" w14:paraId="6EEF909F" w14:textId="28AECD9A">
            <w:pPr>
              <w:pStyle w:val="ListParagraph"/>
              <w:numPr>
                <w:ilvl w:val="0"/>
                <w:numId w:val="7"/>
              </w:numPr>
              <w:rPr>
                <w:rFonts w:eastAsia="Calibri" w:cs="Calibri"/>
                <w:sz w:val="16"/>
                <w:szCs w:val="16"/>
              </w:rPr>
            </w:pPr>
            <w:r w:rsidRPr="77BEE3D0">
              <w:rPr>
                <w:sz w:val="16"/>
                <w:szCs w:val="16"/>
                <w:lang w:val="en-AU"/>
              </w:rPr>
              <w:t>Dehdashtian M, Tebatebae K. Magnesium sulphate as a safe treatment for persistent pulmonary hypertension of newborn resistant to mechanical hyperventilation. Pakistan Journal of Medical Sciences. 2007;23:693-7.</w:t>
            </w:r>
          </w:p>
          <w:p w:rsidR="7C9A6BBE" w:rsidP="540593E1" w:rsidRDefault="7C9A6BBE" w14:paraId="02969786" w14:textId="70DD0F06">
            <w:r w:rsidRPr="540593E1">
              <w:rPr>
                <w:sz w:val="16"/>
                <w:szCs w:val="16"/>
                <w:lang w:val="en-AU"/>
              </w:rPr>
              <w:t xml:space="preserve"> </w:t>
            </w:r>
          </w:p>
          <w:p w:rsidR="7C9A6BBE" w:rsidP="0083246D" w:rsidRDefault="498AFAE3" w14:paraId="52F88547" w14:textId="02CCD128">
            <w:pPr>
              <w:pStyle w:val="ListParagraph"/>
              <w:numPr>
                <w:ilvl w:val="0"/>
                <w:numId w:val="7"/>
              </w:numPr>
              <w:rPr>
                <w:rFonts w:eastAsia="Calibri" w:cs="Calibri"/>
                <w:sz w:val="16"/>
                <w:szCs w:val="16"/>
              </w:rPr>
            </w:pPr>
            <w:r w:rsidRPr="77BEE3D0">
              <w:rPr>
                <w:sz w:val="16"/>
                <w:szCs w:val="16"/>
                <w:lang w:val="en-AU"/>
              </w:rPr>
              <w:t>Tolsa JF, Cotting J, Sekarski N, Payot M, Micheli JL, Calame A. Magnesium sulphate as an alternative and safe treatment for severe persistent pulmonary hypertension of the newborn. Archives of Disease in Childhood. 1995;72:F184-F7.</w:t>
            </w:r>
          </w:p>
          <w:p w:rsidR="7C9A6BBE" w:rsidP="540593E1" w:rsidRDefault="7C9A6BBE" w14:paraId="199DC488" w14:textId="0DF951C5">
            <w:r w:rsidRPr="540593E1">
              <w:rPr>
                <w:sz w:val="16"/>
                <w:szCs w:val="16"/>
                <w:lang w:val="en-AU"/>
              </w:rPr>
              <w:t xml:space="preserve"> </w:t>
            </w:r>
          </w:p>
          <w:p w:rsidR="7C9A6BBE" w:rsidP="0083246D" w:rsidRDefault="498AFAE3" w14:paraId="6B7BD7B4" w14:textId="0ACE548A">
            <w:pPr>
              <w:pStyle w:val="ListParagraph"/>
              <w:numPr>
                <w:ilvl w:val="0"/>
                <w:numId w:val="7"/>
              </w:numPr>
              <w:rPr>
                <w:rFonts w:eastAsia="Calibri" w:cs="Calibri"/>
                <w:sz w:val="16"/>
                <w:szCs w:val="16"/>
              </w:rPr>
            </w:pPr>
            <w:r w:rsidRPr="77BEE3D0">
              <w:rPr>
                <w:sz w:val="16"/>
                <w:szCs w:val="16"/>
                <w:lang w:val="en-AU"/>
              </w:rPr>
              <w:t>Tagin M, Shah PS, Lee KS. Magnesium for newborns with hypoxic-ischemic encephalopathy: A systematic review and meta-analysis. Journal of Perinatology. 2013;33:663-9.</w:t>
            </w:r>
          </w:p>
          <w:p w:rsidR="7C9A6BBE" w:rsidP="540593E1" w:rsidRDefault="7C9A6BBE" w14:paraId="10BAA94F" w14:textId="73D5C49F">
            <w:r w:rsidRPr="540593E1">
              <w:rPr>
                <w:sz w:val="16"/>
                <w:szCs w:val="16"/>
                <w:lang w:val="en-AU"/>
              </w:rPr>
              <w:t xml:space="preserve"> </w:t>
            </w:r>
          </w:p>
          <w:p w:rsidR="7C9A6BBE" w:rsidP="0083246D" w:rsidRDefault="498AFAE3" w14:paraId="19AAE48E" w14:textId="6B622302">
            <w:pPr>
              <w:pStyle w:val="ListParagraph"/>
              <w:numPr>
                <w:ilvl w:val="0"/>
                <w:numId w:val="7"/>
              </w:numPr>
              <w:rPr>
                <w:rFonts w:eastAsia="Calibri" w:cs="Calibri"/>
                <w:sz w:val="16"/>
                <w:szCs w:val="16"/>
              </w:rPr>
            </w:pPr>
            <w:r w:rsidRPr="77BEE3D0">
              <w:rPr>
                <w:sz w:val="16"/>
                <w:szCs w:val="16"/>
                <w:lang w:val="en-AU"/>
              </w:rPr>
              <w:t>Bhat MA, Charoo BA, Bhat JI, Ahmad SM, Ali SW, Mufti MU. Magnesium sulfate in severe perinatal asphyxia: a randomized, placebo-controlled trial. Pediatrics. 2009;123:e764-9.</w:t>
            </w:r>
          </w:p>
          <w:p w:rsidR="7C9A6BBE" w:rsidP="540593E1" w:rsidRDefault="7C9A6BBE" w14:paraId="2737C1A1" w14:textId="0054FCE5">
            <w:r w:rsidRPr="540593E1">
              <w:rPr>
                <w:sz w:val="16"/>
                <w:szCs w:val="16"/>
                <w:lang w:val="en-AU"/>
              </w:rPr>
              <w:t xml:space="preserve"> </w:t>
            </w:r>
          </w:p>
          <w:p w:rsidR="7C9A6BBE" w:rsidP="0083246D" w:rsidRDefault="498AFAE3" w14:paraId="46D9C992" w14:textId="32FC9F47">
            <w:pPr>
              <w:pStyle w:val="ListParagraph"/>
              <w:numPr>
                <w:ilvl w:val="0"/>
                <w:numId w:val="7"/>
              </w:numPr>
              <w:rPr>
                <w:rFonts w:eastAsia="Calibri" w:cs="Calibri"/>
                <w:sz w:val="16"/>
                <w:szCs w:val="16"/>
              </w:rPr>
            </w:pPr>
            <w:r w:rsidRPr="77BEE3D0">
              <w:rPr>
                <w:sz w:val="16"/>
                <w:szCs w:val="16"/>
                <w:lang w:val="en-AU"/>
              </w:rPr>
              <w:t>Gathwala G, Khera A, Singh J, Balhara B. Magnesium for neuroprotection in birth asphyxia. Journal of Pediatric Neurosciences. 2010;5:102-4.</w:t>
            </w:r>
          </w:p>
          <w:p w:rsidR="7C9A6BBE" w:rsidP="540593E1" w:rsidRDefault="7C9A6BBE" w14:paraId="7D454DDC" w14:textId="4569DD7D">
            <w:r w:rsidRPr="540593E1">
              <w:rPr>
                <w:sz w:val="16"/>
                <w:szCs w:val="16"/>
                <w:lang w:val="en-AU"/>
              </w:rPr>
              <w:t xml:space="preserve"> </w:t>
            </w:r>
          </w:p>
          <w:p w:rsidR="7C9A6BBE" w:rsidP="0083246D" w:rsidRDefault="498AFAE3" w14:paraId="323F089D" w14:textId="2CD32E8B">
            <w:pPr>
              <w:pStyle w:val="ListParagraph"/>
              <w:numPr>
                <w:ilvl w:val="0"/>
                <w:numId w:val="7"/>
              </w:numPr>
              <w:rPr>
                <w:rFonts w:eastAsia="Calibri" w:cs="Calibri"/>
                <w:sz w:val="16"/>
                <w:szCs w:val="16"/>
              </w:rPr>
            </w:pPr>
            <w:r w:rsidRPr="77BEE3D0">
              <w:rPr>
                <w:sz w:val="16"/>
                <w:szCs w:val="16"/>
                <w:lang w:val="en-AU"/>
              </w:rPr>
              <w:t>Groenendaal F, Rademaker CM, Toet MC, de Vries LS. Effects of magnesium sulphate on amplitude-integrated continuous EEG in asphyxiated term neonates. Acta Paediatr. 2002;91:1073-7.</w:t>
            </w:r>
          </w:p>
          <w:p w:rsidR="7C9A6BBE" w:rsidP="540593E1" w:rsidRDefault="7C9A6BBE" w14:paraId="23503799" w14:textId="3F2023F9">
            <w:r w:rsidRPr="540593E1">
              <w:rPr>
                <w:sz w:val="16"/>
                <w:szCs w:val="16"/>
                <w:lang w:val="en-AU"/>
              </w:rPr>
              <w:t xml:space="preserve"> </w:t>
            </w:r>
          </w:p>
          <w:p w:rsidR="7C9A6BBE" w:rsidP="0083246D" w:rsidRDefault="498AFAE3" w14:paraId="14111996" w14:textId="0FC89BAF">
            <w:pPr>
              <w:pStyle w:val="ListParagraph"/>
              <w:numPr>
                <w:ilvl w:val="0"/>
                <w:numId w:val="7"/>
              </w:numPr>
              <w:rPr>
                <w:rFonts w:eastAsia="Calibri" w:cs="Calibri"/>
                <w:sz w:val="16"/>
                <w:szCs w:val="16"/>
              </w:rPr>
            </w:pPr>
            <w:r w:rsidRPr="77BEE3D0">
              <w:rPr>
                <w:sz w:val="16"/>
                <w:szCs w:val="16"/>
                <w:lang w:val="en-AU"/>
              </w:rPr>
              <w:lastRenderedPageBreak/>
              <w:t>Ichiba H, Tamai H, Negishi H, Ueda T, Kim TJ, Sumida Y, Takahashi Y, Fujinaga H, Minami H. Randomized controlled trial of magnesium sulfate infusion for severe birth asphyxia. Pediatrics International. 2002;44:505-9.</w:t>
            </w:r>
          </w:p>
          <w:p w:rsidR="7C9A6BBE" w:rsidP="540593E1" w:rsidRDefault="7C9A6BBE" w14:paraId="7FB3DEF3" w14:textId="50AC11A3">
            <w:r w:rsidRPr="540593E1">
              <w:rPr>
                <w:sz w:val="16"/>
                <w:szCs w:val="16"/>
                <w:lang w:val="en-AU"/>
              </w:rPr>
              <w:t xml:space="preserve"> </w:t>
            </w:r>
          </w:p>
          <w:p w:rsidR="7C9A6BBE" w:rsidP="0083246D" w:rsidRDefault="498AFAE3" w14:paraId="4F9CCFED" w14:textId="3CC0CD2E">
            <w:pPr>
              <w:pStyle w:val="ListParagraph"/>
              <w:numPr>
                <w:ilvl w:val="0"/>
                <w:numId w:val="7"/>
              </w:numPr>
              <w:rPr>
                <w:rFonts w:eastAsia="Calibri" w:cs="Calibri"/>
                <w:sz w:val="16"/>
                <w:szCs w:val="16"/>
              </w:rPr>
            </w:pPr>
            <w:r w:rsidRPr="77BEE3D0">
              <w:rPr>
                <w:sz w:val="16"/>
                <w:szCs w:val="16"/>
                <w:lang w:val="en-AU"/>
              </w:rPr>
              <w:t>Khashaba MT, Shouman BO, Shaltout AA, Al-Marsafawy HM, Abdel-Aziz MM, Patel K, Aly H. Excitatory amino acids and magnesium sulfate in neonatal asphyxia. Brain Dev. 2006;28:375-9.</w:t>
            </w:r>
          </w:p>
          <w:p w:rsidR="7C9A6BBE" w:rsidP="540593E1" w:rsidRDefault="7C9A6BBE" w14:paraId="31E5A57E" w14:textId="6E0512FE">
            <w:r w:rsidRPr="540593E1">
              <w:rPr>
                <w:sz w:val="16"/>
                <w:szCs w:val="16"/>
                <w:lang w:val="en-AU"/>
              </w:rPr>
              <w:t xml:space="preserve"> </w:t>
            </w:r>
          </w:p>
          <w:p w:rsidR="7C9A6BBE" w:rsidP="0083246D" w:rsidRDefault="498AFAE3" w14:paraId="668310EE" w14:textId="5CB9A20C">
            <w:pPr>
              <w:pStyle w:val="ListParagraph"/>
              <w:numPr>
                <w:ilvl w:val="0"/>
                <w:numId w:val="7"/>
              </w:numPr>
              <w:rPr>
                <w:rFonts w:eastAsia="Calibri" w:cs="Calibri"/>
                <w:sz w:val="16"/>
                <w:szCs w:val="16"/>
              </w:rPr>
            </w:pPr>
            <w:r w:rsidRPr="77BEE3D0">
              <w:rPr>
                <w:sz w:val="16"/>
                <w:szCs w:val="16"/>
                <w:lang w:val="en-AU"/>
              </w:rPr>
              <w:t>Gulczynska E, Gadzinowski J, Walas W, Maczka A, Talar T, Kesiak M, Caputa J, Sobolewska B. Therapeutic hypothermia enhanced by MGSO4 for hypoxic-ischemic encephalopathy in the neonates and its influence on biomarkers of asphyxia and course of hospitalization. Journal of Maternal-Fetal and Neonatal Medicine. 2014;27:221.</w:t>
            </w:r>
          </w:p>
          <w:p w:rsidR="7C9A6BBE" w:rsidP="540593E1" w:rsidRDefault="7C9A6BBE" w14:paraId="3773C9B9" w14:textId="10845592">
            <w:r w:rsidRPr="540593E1">
              <w:rPr>
                <w:sz w:val="16"/>
                <w:szCs w:val="16"/>
                <w:lang w:val="en-AU"/>
              </w:rPr>
              <w:t xml:space="preserve"> </w:t>
            </w:r>
          </w:p>
          <w:p w:rsidR="7C9A6BBE" w:rsidP="0083246D" w:rsidRDefault="498AFAE3" w14:paraId="75B3A263" w14:textId="24333DE3">
            <w:pPr>
              <w:pStyle w:val="ListParagraph"/>
              <w:numPr>
                <w:ilvl w:val="0"/>
                <w:numId w:val="7"/>
              </w:numPr>
              <w:rPr>
                <w:rFonts w:eastAsia="Calibri" w:cs="Calibri"/>
                <w:sz w:val="16"/>
                <w:szCs w:val="16"/>
              </w:rPr>
            </w:pPr>
            <w:r w:rsidRPr="77BEE3D0">
              <w:rPr>
                <w:sz w:val="16"/>
                <w:szCs w:val="16"/>
                <w:lang w:val="en-AU"/>
              </w:rPr>
              <w:t>Gulczynska EMA, Gadzinowski J, Talar T, Nowiczewski M, Cyranowicz B. Therapeutic hypothermia enhanced by magnesium sulphate for hypoxic-ischemic encephalopathy in the neonates - and their influence on protein S-100B and ceruloplasmin serum concentration. Journal of Maternal-Fetal and Neonatal Medicine. 2012;25:32.</w:t>
            </w:r>
          </w:p>
          <w:p w:rsidR="7C9A6BBE" w:rsidP="540593E1" w:rsidRDefault="7C9A6BBE" w14:paraId="632FB296" w14:textId="6CEA4702">
            <w:r w:rsidRPr="540593E1">
              <w:rPr>
                <w:sz w:val="16"/>
                <w:szCs w:val="16"/>
                <w:lang w:val="en-AU"/>
              </w:rPr>
              <w:t xml:space="preserve"> </w:t>
            </w:r>
          </w:p>
          <w:p w:rsidR="7C9A6BBE" w:rsidP="0083246D" w:rsidRDefault="498AFAE3" w14:paraId="023AE006" w14:textId="6354BDFA">
            <w:pPr>
              <w:pStyle w:val="ListParagraph"/>
              <w:numPr>
                <w:ilvl w:val="0"/>
                <w:numId w:val="7"/>
              </w:numPr>
              <w:rPr>
                <w:rFonts w:eastAsia="Calibri" w:cs="Calibri"/>
                <w:sz w:val="16"/>
                <w:szCs w:val="16"/>
              </w:rPr>
            </w:pPr>
            <w:r w:rsidRPr="77BEE3D0">
              <w:rPr>
                <w:sz w:val="16"/>
                <w:szCs w:val="16"/>
                <w:lang w:val="en-AU"/>
              </w:rPr>
              <w:t>Hossain MM, Mannan MA, Yeasmin F, Shaha CK, Rahman MH, Shahidullah M. Short-term outcome of magnesium sulfate infusion in perinatal asphyxia. Mymensingh medical journal : MMJ. 2013;22:727-35.</w:t>
            </w:r>
          </w:p>
          <w:p w:rsidR="7C9A6BBE" w:rsidP="540593E1" w:rsidRDefault="7C9A6BBE" w14:paraId="0E4AEC55" w14:textId="5D6DDD1C">
            <w:r w:rsidRPr="540593E1">
              <w:rPr>
                <w:sz w:val="16"/>
                <w:szCs w:val="16"/>
                <w:lang w:val="en-AU"/>
              </w:rPr>
              <w:t xml:space="preserve"> </w:t>
            </w:r>
          </w:p>
          <w:p w:rsidR="7C9A6BBE" w:rsidP="0083246D" w:rsidRDefault="498AFAE3" w14:paraId="0D417A55" w14:textId="62857F92">
            <w:pPr>
              <w:pStyle w:val="ListParagraph"/>
              <w:numPr>
                <w:ilvl w:val="0"/>
                <w:numId w:val="7"/>
              </w:numPr>
              <w:rPr>
                <w:rFonts w:eastAsia="Calibri" w:cs="Calibri"/>
                <w:sz w:val="16"/>
                <w:szCs w:val="16"/>
              </w:rPr>
            </w:pPr>
            <w:r w:rsidRPr="77BEE3D0">
              <w:rPr>
                <w:sz w:val="16"/>
                <w:szCs w:val="16"/>
                <w:lang w:val="en-AU"/>
              </w:rPr>
              <w:t>Rahman SU, Canpolat FE, Oncel MY, Evli A, Dilmen U, Parappil H, Anabrees J, Hassan K, Khashaba M, Noor IA, Lum LCS, Siham A, Akar M, Tuzun H, Rahmani A, Rahman M, Haboub L, Rijims M, Jaafar R, Key LY, Tagin M. Multicenter randomized controlled trial of therapeutic hypothermia plus magnesium sulfate versus therapeutic hypothermia plus placebo in the management of term and near-term infants with hypoxic ischemic encephalopathy (The Mag Cool study): A pilot study. Journal of Clinical Neonatology. 2015;4:158-63.</w:t>
            </w:r>
          </w:p>
          <w:p w:rsidR="7C9A6BBE" w:rsidP="540593E1" w:rsidRDefault="7C9A6BBE" w14:paraId="1B6F87F1" w14:textId="2830C8B1">
            <w:r w:rsidRPr="540593E1">
              <w:rPr>
                <w:sz w:val="16"/>
                <w:szCs w:val="16"/>
                <w:lang w:val="en-AU"/>
              </w:rPr>
              <w:t xml:space="preserve"> </w:t>
            </w:r>
          </w:p>
          <w:p w:rsidR="7C9A6BBE" w:rsidP="0083246D" w:rsidRDefault="498AFAE3" w14:paraId="3FFD9982" w14:textId="2A5D4CD7">
            <w:pPr>
              <w:pStyle w:val="ListParagraph"/>
              <w:numPr>
                <w:ilvl w:val="0"/>
                <w:numId w:val="7"/>
              </w:numPr>
              <w:rPr>
                <w:rFonts w:eastAsia="Calibri" w:cs="Calibri"/>
                <w:sz w:val="16"/>
                <w:szCs w:val="16"/>
              </w:rPr>
            </w:pPr>
            <w:r w:rsidRPr="77BEE3D0">
              <w:rPr>
                <w:sz w:val="16"/>
                <w:szCs w:val="16"/>
                <w:lang w:val="en-AU"/>
              </w:rPr>
              <w:t>ANZCOR Guideline 12.4 – Medications and Fluids in Paediatric Advanced Life Support. https://resus.org.au/wpfb-file/anzcor-guideline-12-4-medications-and-fluids-aug16-pdf/; downloaded 19/04/2018. 2016.</w:t>
            </w:r>
          </w:p>
          <w:p w:rsidR="7C9A6BBE" w:rsidP="540593E1" w:rsidRDefault="7C9A6BBE" w14:paraId="7D988244" w14:textId="2E0E782D">
            <w:r w:rsidRPr="540593E1">
              <w:rPr>
                <w:sz w:val="16"/>
                <w:szCs w:val="16"/>
                <w:lang w:val="en-AU"/>
              </w:rPr>
              <w:t xml:space="preserve"> </w:t>
            </w:r>
          </w:p>
          <w:p w:rsidR="7C9A6BBE" w:rsidP="0083246D" w:rsidRDefault="498AFAE3" w14:paraId="6352761C" w14:textId="080C3139">
            <w:pPr>
              <w:pStyle w:val="ListParagraph"/>
              <w:numPr>
                <w:ilvl w:val="0"/>
                <w:numId w:val="7"/>
              </w:numPr>
              <w:rPr>
                <w:rFonts w:eastAsia="Calibri" w:cs="Calibri"/>
                <w:sz w:val="16"/>
                <w:szCs w:val="16"/>
              </w:rPr>
            </w:pPr>
            <w:r w:rsidRPr="77BEE3D0">
              <w:rPr>
                <w:sz w:val="16"/>
                <w:szCs w:val="16"/>
                <w:lang w:val="en-AU"/>
              </w:rPr>
              <w:t>Turner TL, Cockburn F, Forfar JO. Magnesium therapy in neonatal tetany. Lancet. 1977;1:283-4.</w:t>
            </w:r>
          </w:p>
          <w:p w:rsidR="7C9A6BBE" w:rsidP="540593E1" w:rsidRDefault="7C9A6BBE" w14:paraId="3B0DC0AC" w14:textId="323C40AB">
            <w:r w:rsidRPr="540593E1">
              <w:rPr>
                <w:sz w:val="16"/>
                <w:szCs w:val="16"/>
                <w:lang w:val="en-AU"/>
              </w:rPr>
              <w:t xml:space="preserve"> </w:t>
            </w:r>
          </w:p>
          <w:p w:rsidR="7C9A6BBE" w:rsidP="0083246D" w:rsidRDefault="498AFAE3" w14:paraId="61357BFA" w14:textId="3C5373EB">
            <w:pPr>
              <w:pStyle w:val="ListParagraph"/>
              <w:numPr>
                <w:ilvl w:val="0"/>
                <w:numId w:val="7"/>
              </w:numPr>
              <w:rPr>
                <w:rFonts w:eastAsia="Calibri" w:cs="Calibri"/>
                <w:sz w:val="16"/>
                <w:szCs w:val="16"/>
              </w:rPr>
            </w:pPr>
            <w:r w:rsidRPr="77BEE3D0">
              <w:rPr>
                <w:sz w:val="16"/>
                <w:szCs w:val="16"/>
                <w:lang w:val="en-AU"/>
              </w:rPr>
              <w:t>Micromedex online. Accessed on 22 March 2016.</w:t>
            </w:r>
          </w:p>
          <w:p w:rsidR="540593E1" w:rsidP="540593E1" w:rsidRDefault="540593E1" w14:paraId="5891DF66" w14:textId="177B8B13">
            <w:pPr>
              <w:rPr>
                <w:sz w:val="16"/>
                <w:szCs w:val="16"/>
                <w:lang w:val="en-AU"/>
              </w:rPr>
            </w:pPr>
          </w:p>
        </w:tc>
      </w:tr>
      <w:tr w:rsidR="0020431B" w:rsidTr="00064B1E" w14:paraId="2729D34B" w14:textId="77777777">
        <w:tc>
          <w:tcPr>
            <w:tcW w:w="4290" w:type="dxa"/>
            <w:gridSpan w:val="2"/>
            <w:vAlign w:val="center"/>
          </w:tcPr>
          <w:p w:rsidR="540593E1" w:rsidP="540593E1" w:rsidRDefault="540593E1" w14:paraId="7D2BD8FA" w14:textId="01B644FB">
            <w:pPr>
              <w:rPr>
                <w:b/>
                <w:bCs/>
                <w:lang w:val="en-AU"/>
              </w:rPr>
            </w:pPr>
            <w:r w:rsidRPr="540593E1">
              <w:rPr>
                <w:b/>
                <w:bCs/>
                <w:lang w:val="en-AU"/>
              </w:rPr>
              <w:lastRenderedPageBreak/>
              <w:t>Original version Date:</w:t>
            </w:r>
            <w:r w:rsidRPr="540593E1" w:rsidR="70927C6A">
              <w:rPr>
                <w:b/>
                <w:bCs/>
                <w:lang w:val="en-AU"/>
              </w:rPr>
              <w:t>24/08/2016</w:t>
            </w:r>
          </w:p>
        </w:tc>
        <w:tc>
          <w:tcPr>
            <w:tcW w:w="5491" w:type="dxa"/>
            <w:vAlign w:val="center"/>
          </w:tcPr>
          <w:p w:rsidR="540593E1" w:rsidP="540593E1" w:rsidRDefault="540593E1" w14:paraId="580929BE" w14:textId="77777777">
            <w:pPr>
              <w:rPr>
                <w:b/>
                <w:bCs/>
                <w:lang w:val="en-AU"/>
              </w:rPr>
            </w:pPr>
            <w:r w:rsidRPr="540593E1">
              <w:rPr>
                <w:b/>
                <w:bCs/>
                <w:lang w:val="en-AU"/>
              </w:rPr>
              <w:t>Author: NMF Consensus Group/TC</w:t>
            </w:r>
          </w:p>
        </w:tc>
      </w:tr>
      <w:tr w:rsidR="0020431B" w:rsidTr="00064B1E" w14:paraId="796CD9EB" w14:textId="77777777">
        <w:tc>
          <w:tcPr>
            <w:tcW w:w="4290" w:type="dxa"/>
            <w:gridSpan w:val="2"/>
            <w:vAlign w:val="center"/>
          </w:tcPr>
          <w:p w:rsidR="540593E1" w:rsidP="540593E1" w:rsidRDefault="540593E1" w14:paraId="58E5461A" w14:textId="2DEF40FC">
            <w:pPr>
              <w:rPr>
                <w:lang w:val="en-AU"/>
              </w:rPr>
            </w:pPr>
            <w:r w:rsidRPr="540593E1">
              <w:rPr>
                <w:b/>
                <w:bCs/>
                <w:lang w:val="en-AU"/>
              </w:rPr>
              <w:t xml:space="preserve">Current Version number:  </w:t>
            </w:r>
            <w:r w:rsidR="00064B1E">
              <w:rPr>
                <w:b/>
                <w:bCs/>
                <w:lang w:val="en-AU"/>
              </w:rPr>
              <w:t>2</w:t>
            </w:r>
          </w:p>
        </w:tc>
        <w:tc>
          <w:tcPr>
            <w:tcW w:w="5491" w:type="dxa"/>
            <w:vAlign w:val="center"/>
          </w:tcPr>
          <w:p w:rsidR="540593E1" w:rsidP="540593E1" w:rsidRDefault="540593E1" w14:paraId="01A301B5" w14:textId="409996BE">
            <w:pPr>
              <w:rPr>
                <w:lang w:val="en-AU"/>
              </w:rPr>
            </w:pPr>
            <w:r w:rsidRPr="540593E1">
              <w:rPr>
                <w:b/>
                <w:bCs/>
                <w:lang w:val="en-AU"/>
              </w:rPr>
              <w:t>Current Version Date:</w:t>
            </w:r>
            <w:r w:rsidRPr="540593E1">
              <w:rPr>
                <w:lang w:val="en-AU"/>
              </w:rPr>
              <w:t xml:space="preserve">  </w:t>
            </w:r>
            <w:r w:rsidRPr="540593E1" w:rsidR="38CA6BEA">
              <w:rPr>
                <w:lang w:val="en-AU"/>
              </w:rPr>
              <w:t>19/04/2018</w:t>
            </w:r>
          </w:p>
        </w:tc>
      </w:tr>
      <w:tr w:rsidR="0020431B" w:rsidTr="00064B1E" w14:paraId="4D951268" w14:textId="77777777">
        <w:tc>
          <w:tcPr>
            <w:tcW w:w="4290" w:type="dxa"/>
            <w:gridSpan w:val="2"/>
            <w:vAlign w:val="center"/>
          </w:tcPr>
          <w:p w:rsidR="540593E1" w:rsidP="540593E1" w:rsidRDefault="540593E1" w14:paraId="4B03E7A5" w14:textId="5CB7099A">
            <w:pPr>
              <w:rPr>
                <w:lang w:val="en-AU"/>
              </w:rPr>
            </w:pPr>
            <w:r w:rsidRPr="540593E1">
              <w:rPr>
                <w:b/>
                <w:bCs/>
                <w:lang w:val="en-AU"/>
              </w:rPr>
              <w:t xml:space="preserve">Risk Rating: </w:t>
            </w:r>
            <w:r w:rsidR="00064B1E">
              <w:rPr>
                <w:lang w:val="en-AU"/>
              </w:rPr>
              <w:t>Low</w:t>
            </w:r>
          </w:p>
        </w:tc>
        <w:tc>
          <w:tcPr>
            <w:tcW w:w="5491" w:type="dxa"/>
            <w:vAlign w:val="center"/>
          </w:tcPr>
          <w:p w:rsidR="540593E1" w:rsidP="540593E1" w:rsidRDefault="540593E1" w14:paraId="221F9697" w14:textId="71959FC4">
            <w:pPr>
              <w:rPr>
                <w:lang w:val="en-AU"/>
              </w:rPr>
            </w:pPr>
            <w:r w:rsidRPr="2517AB48">
              <w:rPr>
                <w:b/>
                <w:bCs/>
                <w:lang w:val="en-AU"/>
              </w:rPr>
              <w:t>Due for Review</w:t>
            </w:r>
            <w:r w:rsidRPr="2517AB48" w:rsidR="240BC598">
              <w:rPr>
                <w:b/>
                <w:bCs/>
                <w:lang w:val="en-AU"/>
              </w:rPr>
              <w:t xml:space="preserve">: </w:t>
            </w:r>
            <w:r w:rsidRPr="2517AB48" w:rsidR="73C17AFD">
              <w:rPr>
                <w:b/>
                <w:bCs/>
                <w:lang w:val="en-AU"/>
              </w:rPr>
              <w:t>19/04/2</w:t>
            </w:r>
            <w:r w:rsidR="00064B1E">
              <w:rPr>
                <w:b/>
                <w:bCs/>
                <w:lang w:val="en-AU"/>
              </w:rPr>
              <w:t>3</w:t>
            </w:r>
          </w:p>
        </w:tc>
      </w:tr>
      <w:tr w:rsidR="0020431B" w:rsidTr="00064B1E" w14:paraId="7819CEEC" w14:textId="77777777">
        <w:trPr>
          <w:trHeight w:val="344"/>
        </w:trPr>
        <w:tc>
          <w:tcPr>
            <w:tcW w:w="4290" w:type="dxa"/>
            <w:gridSpan w:val="2"/>
            <w:tcBorders>
              <w:bottom w:val="single" w:color="auto" w:sz="4" w:space="0"/>
            </w:tcBorders>
            <w:vAlign w:val="center"/>
          </w:tcPr>
          <w:p w:rsidR="540593E1" w:rsidP="540593E1" w:rsidRDefault="540593E1" w14:paraId="30A60AA6" w14:textId="77777777">
            <w:pPr>
              <w:rPr>
                <w:b/>
                <w:bCs/>
                <w:lang w:val="en-AU"/>
              </w:rPr>
            </w:pPr>
            <w:r w:rsidRPr="540593E1">
              <w:rPr>
                <w:b/>
                <w:bCs/>
                <w:lang w:val="en-AU"/>
              </w:rPr>
              <w:t>Approval by: DTC</w:t>
            </w:r>
          </w:p>
        </w:tc>
        <w:tc>
          <w:tcPr>
            <w:tcW w:w="5491" w:type="dxa"/>
            <w:tcBorders>
              <w:bottom w:val="single" w:color="auto" w:sz="4" w:space="0"/>
            </w:tcBorders>
            <w:vAlign w:val="center"/>
          </w:tcPr>
          <w:p w:rsidR="540593E1" w:rsidP="540593E1" w:rsidRDefault="540593E1" w14:paraId="60603696" w14:textId="79DC33B4">
            <w:pPr>
              <w:rPr>
                <w:b/>
                <w:bCs/>
                <w:lang w:val="en-AU"/>
              </w:rPr>
            </w:pPr>
            <w:r w:rsidRPr="540593E1">
              <w:rPr>
                <w:b/>
                <w:bCs/>
                <w:lang w:val="en-AU"/>
              </w:rPr>
              <w:t xml:space="preserve">Approval Date: </w:t>
            </w:r>
          </w:p>
        </w:tc>
      </w:tr>
    </w:tbl>
    <w:p w:rsidR="00A26E96" w:rsidRDefault="00A26E96" w14:paraId="22B7DE25" w14:textId="330C96D5"/>
    <w:p w:rsidR="00A26E96" w:rsidP="540593E1" w:rsidRDefault="00A26E96" w14:paraId="27F31465" w14:textId="77F3FCFD">
      <w:pPr>
        <w:rPr>
          <w:b/>
          <w:bCs/>
        </w:rPr>
      </w:pPr>
    </w:p>
    <w:bookmarkEnd w:id="367"/>
    <w:bookmarkEnd w:id="368"/>
    <w:bookmarkEnd w:id="369"/>
    <w:bookmarkEnd w:id="370"/>
    <w:bookmarkEnd w:id="371"/>
    <w:bookmarkEnd w:id="372"/>
    <w:p w:rsidRPr="00E25790" w:rsidR="006A6FD5" w:rsidP="006F0321" w:rsidRDefault="006A6FD5" w14:paraId="4A642495" w14:textId="77777777"/>
    <w:p w:rsidRPr="00E25790" w:rsidR="006A6FD5" w:rsidP="006F0321" w:rsidRDefault="006A6FD5" w14:paraId="64622876" w14:textId="01F7B429"/>
    <w:p w:rsidRPr="00E25790" w:rsidR="006A6FD5" w:rsidP="006F0321" w:rsidRDefault="006A6FD5" w14:paraId="02DC05CC" w14:textId="77777777"/>
    <w:p w:rsidRPr="00E25790" w:rsidR="006A6FD5" w:rsidP="006F0321" w:rsidRDefault="006A6FD5" w14:paraId="492256D0" w14:textId="77777777">
      <w:pPr>
        <w:rPr>
          <w:lang w:val="en"/>
        </w:rPr>
      </w:pPr>
    </w:p>
    <w:p w:rsidRPr="00E25790" w:rsidR="006A6FD5" w:rsidP="006F0321" w:rsidRDefault="006A6FD5" w14:paraId="4569449A" w14:textId="77777777"/>
    <w:p w:rsidRPr="00E25790" w:rsidR="00115F48" w:rsidP="006F0321" w:rsidRDefault="00115F48" w14:paraId="72799605" w14:textId="77777777"/>
    <w:p w:rsidRPr="00E25790" w:rsidR="00115F48" w:rsidP="006F0321" w:rsidRDefault="00115F48" w14:paraId="3D7D21FF" w14:textId="77777777">
      <w:r w:rsidRPr="00E25790">
        <w:br w:type="page"/>
      </w:r>
    </w:p>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0000"/>
        <w:tblLayout w:type="fixed"/>
        <w:tblLook w:val="0000" w:firstRow="0" w:lastRow="0" w:firstColumn="0" w:lastColumn="0" w:noHBand="0" w:noVBand="0"/>
      </w:tblPr>
      <w:tblGrid>
        <w:gridCol w:w="4153"/>
        <w:gridCol w:w="4896"/>
      </w:tblGrid>
      <w:tr w:rsidRPr="00E25790" w:rsidR="00115F48" w:rsidTr="00A26E96" w14:paraId="57D31C90" w14:textId="77777777">
        <w:trPr>
          <w:cantSplit/>
          <w:trHeight w:val="720"/>
        </w:trPr>
        <w:tc>
          <w:tcPr>
            <w:tcW w:w="9049" w:type="dxa"/>
            <w:gridSpan w:val="2"/>
            <w:shd w:val="clear" w:color="auto" w:fill="FF0000"/>
          </w:tcPr>
          <w:p w:rsidRPr="00E25790" w:rsidR="00115F48" w:rsidP="009469DB" w:rsidRDefault="00115F48" w14:paraId="048E07EF" w14:textId="77777777">
            <w:pPr>
              <w:pStyle w:val="Heading1"/>
            </w:pPr>
            <w:bookmarkStart w:name="_Toc495415475" w:id="374"/>
            <w:bookmarkStart w:name="_Toc495481132" w:id="375"/>
            <w:bookmarkStart w:name="_Toc495481258" w:id="376"/>
            <w:bookmarkStart w:name="_Toc495481383" w:id="377"/>
            <w:bookmarkStart w:name="_Toc495501564" w:id="378"/>
            <w:bookmarkStart w:name="_Toc38106880" w:id="379"/>
            <w:bookmarkStart w:name="_Toc75340003" w:id="380"/>
            <w:r w:rsidRPr="00E25790">
              <w:lastRenderedPageBreak/>
              <w:t>Meropenem</w:t>
            </w:r>
            <w:bookmarkEnd w:id="374"/>
            <w:bookmarkEnd w:id="375"/>
            <w:bookmarkEnd w:id="376"/>
            <w:bookmarkEnd w:id="377"/>
            <w:bookmarkEnd w:id="378"/>
            <w:bookmarkEnd w:id="379"/>
            <w:bookmarkEnd w:id="380"/>
            <w:r w:rsidRPr="00E25790">
              <w:fldChar w:fldCharType="begin"/>
            </w:r>
            <w:r w:rsidRPr="00E25790">
              <w:instrText>tc "Meropenem" \l 0</w:instrText>
            </w:r>
            <w:r w:rsidRPr="00E25790">
              <w:fldChar w:fldCharType="end"/>
            </w:r>
          </w:p>
        </w:tc>
      </w:tr>
      <w:tr w:rsidRPr="00E25790" w:rsidR="00115F48" w:rsidTr="00A26E96" w14:paraId="717B23FE" w14:textId="77777777">
        <w:trPr>
          <w:cantSplit/>
          <w:trHeight w:val="480"/>
        </w:trPr>
        <w:tc>
          <w:tcPr>
            <w:tcW w:w="4153" w:type="dxa"/>
            <w:shd w:val="clear" w:color="auto" w:fill="FF0000"/>
          </w:tcPr>
          <w:p w:rsidRPr="00E25790" w:rsidR="00115F48" w:rsidP="006F0321" w:rsidRDefault="00115F48" w14:paraId="58FB97C1" w14:textId="462C133C">
            <w:r w:rsidRPr="00E25790">
              <w:t xml:space="preserve">Revision Date : </w:t>
            </w:r>
            <w:r w:rsidR="00FB494C">
              <w:t>1</w:t>
            </w:r>
            <w:r w:rsidR="002C21F4">
              <w:t>8</w:t>
            </w:r>
            <w:r w:rsidR="00FB494C">
              <w:t>-</w:t>
            </w:r>
            <w:r w:rsidR="002C21F4">
              <w:t>6</w:t>
            </w:r>
            <w:r w:rsidR="00FB494C">
              <w:t>-2020</w:t>
            </w:r>
          </w:p>
        </w:tc>
        <w:tc>
          <w:tcPr>
            <w:tcW w:w="4896" w:type="dxa"/>
            <w:shd w:val="clear" w:color="auto" w:fill="FF0000"/>
          </w:tcPr>
          <w:p w:rsidRPr="00E25790" w:rsidR="00115F48" w:rsidP="006F0321" w:rsidRDefault="00115F48" w14:paraId="46F99FFA" w14:textId="77777777">
            <w:r w:rsidRPr="00E25790">
              <w:t xml:space="preserve">Approve : </w:t>
            </w:r>
            <w:r w:rsidRPr="00E25790" w:rsidR="006F7201">
              <w:t>TC, KOH</w:t>
            </w:r>
          </w:p>
        </w:tc>
      </w:tr>
    </w:tbl>
    <w:p w:rsidRPr="00E25790" w:rsidR="00115F48" w:rsidP="006F0321" w:rsidRDefault="00115F48" w14:paraId="1C20AFE0" w14:textId="77777777"/>
    <w:tbl>
      <w:tblPr>
        <w:tblW w:w="350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03"/>
        <w:gridCol w:w="7413"/>
      </w:tblGrid>
      <w:tr w:rsidRPr="00E10ADD" w:rsidR="002C21F4" w:rsidTr="00D032D3" w14:paraId="7051A2D2" w14:textId="77777777">
        <w:trPr>
          <w:trHeight w:val="263"/>
        </w:trPr>
        <w:tc>
          <w:tcPr>
            <w:tcW w:w="1253" w:type="pct"/>
          </w:tcPr>
          <w:p w:rsidRPr="00E10ADD" w:rsidR="002C21F4" w:rsidP="00131848" w:rsidRDefault="002C21F4" w14:paraId="6A70988F" w14:textId="77777777">
            <w:pPr>
              <w:pStyle w:val="BodyText"/>
              <w:tabs>
                <w:tab w:val="center" w:pos="1476"/>
              </w:tabs>
              <w:rPr>
                <w:rFonts w:asciiTheme="minorHAnsi" w:hAnsiTheme="minorHAnsi" w:cstheme="minorHAnsi"/>
                <w:b/>
                <w:sz w:val="20"/>
              </w:rPr>
            </w:pPr>
            <w:r w:rsidRPr="00E10ADD">
              <w:rPr>
                <w:rFonts w:asciiTheme="minorHAnsi" w:hAnsiTheme="minorHAnsi" w:cstheme="minorHAnsi"/>
                <w:b/>
                <w:sz w:val="20"/>
              </w:rPr>
              <w:t>Alert</w:t>
            </w:r>
          </w:p>
        </w:tc>
        <w:tc>
          <w:tcPr>
            <w:tcW w:w="3747" w:type="pct"/>
          </w:tcPr>
          <w:p w:rsidRPr="00E10ADD" w:rsidR="002C21F4" w:rsidP="00131848" w:rsidRDefault="002C21F4" w14:paraId="7C999178" w14:textId="77777777">
            <w:pPr>
              <w:pStyle w:val="BodyText"/>
              <w:rPr>
                <w:rFonts w:asciiTheme="minorHAnsi" w:hAnsiTheme="minorHAnsi" w:cstheme="minorHAnsi"/>
                <w:sz w:val="20"/>
              </w:rPr>
            </w:pPr>
            <w:r w:rsidRPr="00E10ADD">
              <w:rPr>
                <w:rFonts w:asciiTheme="minorHAnsi" w:hAnsiTheme="minorHAnsi" w:cstheme="minorHAnsi"/>
                <w:sz w:val="20"/>
              </w:rPr>
              <w:t xml:space="preserve">The Antimicrobial Stewardship Team recommends this drug is listed under the following category: Restricted. </w:t>
            </w:r>
          </w:p>
          <w:p w:rsidRPr="00E10ADD" w:rsidR="002C21F4" w:rsidP="00131848" w:rsidRDefault="002C21F4" w14:paraId="2A6E9B89" w14:textId="77777777">
            <w:pPr>
              <w:pStyle w:val="BodyText"/>
              <w:rPr>
                <w:rFonts w:asciiTheme="minorHAnsi" w:hAnsiTheme="minorHAnsi" w:cstheme="minorHAnsi"/>
                <w:sz w:val="20"/>
              </w:rPr>
            </w:pPr>
            <w:r w:rsidRPr="00E10ADD">
              <w:rPr>
                <w:rFonts w:asciiTheme="minorHAnsi" w:hAnsiTheme="minorHAnsi" w:cstheme="minorHAnsi"/>
                <w:sz w:val="20"/>
              </w:rPr>
              <w:t>Widespread use of carbapenems has been linked with increasing prevalence of infections caused by methicillin-resistant Staphylococcus aureus (MRSA), vancomycin-resistant enterococci (VRE), multi-resistant Gram-negative organisms and Clostridium difficile.</w:t>
            </w:r>
          </w:p>
        </w:tc>
      </w:tr>
      <w:tr w:rsidRPr="00E10ADD" w:rsidR="002C21F4" w:rsidTr="00D032D3" w14:paraId="4B8649F1" w14:textId="77777777">
        <w:trPr>
          <w:trHeight w:val="263"/>
        </w:trPr>
        <w:tc>
          <w:tcPr>
            <w:tcW w:w="1253" w:type="pct"/>
          </w:tcPr>
          <w:p w:rsidRPr="00E10ADD" w:rsidR="002C21F4" w:rsidP="00131848" w:rsidRDefault="002C21F4" w14:paraId="06E03A25" w14:textId="77777777">
            <w:pPr>
              <w:pStyle w:val="BodyText"/>
              <w:rPr>
                <w:rFonts w:asciiTheme="minorHAnsi" w:hAnsiTheme="minorHAnsi" w:cstheme="minorHAnsi"/>
                <w:sz w:val="20"/>
              </w:rPr>
            </w:pPr>
            <w:r w:rsidRPr="00E10ADD">
              <w:rPr>
                <w:rFonts w:asciiTheme="minorHAnsi" w:hAnsiTheme="minorHAnsi" w:cstheme="minorHAnsi"/>
                <w:b/>
                <w:bCs/>
                <w:sz w:val="20"/>
              </w:rPr>
              <w:t>Indication</w:t>
            </w:r>
          </w:p>
        </w:tc>
        <w:tc>
          <w:tcPr>
            <w:tcW w:w="3747" w:type="pct"/>
          </w:tcPr>
          <w:p w:rsidRPr="00E10ADD" w:rsidR="002C21F4" w:rsidP="00131848" w:rsidRDefault="002C21F4" w14:paraId="632347A0" w14:textId="77777777">
            <w:pPr>
              <w:rPr>
                <w:rFonts w:asciiTheme="minorHAnsi" w:hAnsiTheme="minorHAnsi" w:cstheme="minorHAnsi"/>
                <w:sz w:val="20"/>
              </w:rPr>
            </w:pPr>
            <w:r w:rsidRPr="00E10ADD">
              <w:rPr>
                <w:rFonts w:asciiTheme="minorHAnsi" w:hAnsiTheme="minorHAnsi" w:cstheme="minorHAnsi"/>
                <w:sz w:val="20"/>
              </w:rPr>
              <w:t>Severe infections (e.g., sepsis or meningitis) caused by Gram-negative organisms resistant to other conventional antibiotics but susceptible to meropenem e.g., Extended Spectrum Beta Lactamase (ESBL)-producing organisms.</w:t>
            </w:r>
          </w:p>
          <w:p w:rsidRPr="00E10ADD" w:rsidR="002C21F4" w:rsidP="00131848" w:rsidRDefault="002C21F4" w14:paraId="5B7FA914" w14:textId="77777777">
            <w:pPr>
              <w:rPr>
                <w:rFonts w:asciiTheme="minorHAnsi" w:hAnsiTheme="minorHAnsi" w:cstheme="minorHAnsi"/>
                <w:sz w:val="20"/>
              </w:rPr>
            </w:pPr>
            <w:r w:rsidRPr="00E10ADD">
              <w:rPr>
                <w:rFonts w:asciiTheme="minorHAnsi" w:hAnsiTheme="minorHAnsi" w:cstheme="minorHAnsi"/>
                <w:sz w:val="20"/>
              </w:rPr>
              <w:t>Note: Meropenem is NOT active against many resistant Gram-positive organisms, such as MRSA and most Staphylococcus epidermidis. Vancomycin is first-line therapy for these. Meropenem does have activity against penicillin-susceptible Gram-positive organisms and most anaerobic organisms. For individual advice, discuss therapy with a microbiologist or infectious diseases physician.</w:t>
            </w:r>
          </w:p>
        </w:tc>
      </w:tr>
      <w:tr w:rsidRPr="00E10ADD" w:rsidR="002C21F4" w:rsidTr="00D032D3" w14:paraId="0CFCFD1D" w14:textId="77777777">
        <w:trPr>
          <w:trHeight w:val="263"/>
        </w:trPr>
        <w:tc>
          <w:tcPr>
            <w:tcW w:w="1253" w:type="pct"/>
          </w:tcPr>
          <w:p w:rsidRPr="00E10ADD" w:rsidR="002C21F4" w:rsidP="00131848" w:rsidRDefault="002C21F4" w14:paraId="79CF8F0B" w14:textId="77777777">
            <w:pPr>
              <w:pStyle w:val="BodyText"/>
              <w:rPr>
                <w:rFonts w:asciiTheme="minorHAnsi" w:hAnsiTheme="minorHAnsi" w:cstheme="minorHAnsi"/>
                <w:b/>
                <w:bCs/>
                <w:sz w:val="20"/>
              </w:rPr>
            </w:pPr>
            <w:r w:rsidRPr="00E10ADD">
              <w:rPr>
                <w:rFonts w:asciiTheme="minorHAnsi" w:hAnsiTheme="minorHAnsi" w:cstheme="minorHAnsi"/>
                <w:b/>
                <w:bCs/>
                <w:sz w:val="20"/>
              </w:rPr>
              <w:t>Action</w:t>
            </w:r>
          </w:p>
        </w:tc>
        <w:tc>
          <w:tcPr>
            <w:tcW w:w="3747" w:type="pct"/>
          </w:tcPr>
          <w:p w:rsidRPr="00E10ADD" w:rsidR="002C21F4" w:rsidP="00131848" w:rsidRDefault="002C21F4" w14:paraId="2AAF99CD" w14:textId="77777777">
            <w:pPr>
              <w:rPr>
                <w:rFonts w:asciiTheme="minorHAnsi" w:hAnsiTheme="minorHAnsi" w:cstheme="minorHAnsi"/>
                <w:sz w:val="20"/>
              </w:rPr>
            </w:pPr>
            <w:r w:rsidRPr="00E10ADD">
              <w:rPr>
                <w:rFonts w:asciiTheme="minorHAnsi" w:hAnsiTheme="minorHAnsi" w:cstheme="minorHAnsi"/>
                <w:sz w:val="20"/>
              </w:rPr>
              <w:t xml:space="preserve">Meropenem is a carbapenem. It inhibits cell wall synthesis. (1) </w:t>
            </w:r>
          </w:p>
          <w:p w:rsidRPr="00E10ADD" w:rsidR="002C21F4" w:rsidP="00131848" w:rsidRDefault="002C21F4" w14:paraId="2DAC0A3E" w14:textId="77777777">
            <w:pPr>
              <w:rPr>
                <w:rFonts w:asciiTheme="minorHAnsi" w:hAnsiTheme="minorHAnsi" w:cstheme="minorHAnsi"/>
                <w:sz w:val="20"/>
              </w:rPr>
            </w:pPr>
          </w:p>
          <w:p w:rsidRPr="00E10ADD" w:rsidR="002C21F4" w:rsidP="00131848" w:rsidRDefault="002C21F4" w14:paraId="3C11ABEA" w14:textId="77777777">
            <w:pPr>
              <w:rPr>
                <w:rFonts w:asciiTheme="minorHAnsi" w:hAnsiTheme="minorHAnsi" w:cstheme="minorHAnsi"/>
                <w:sz w:val="20"/>
              </w:rPr>
            </w:pPr>
            <w:r w:rsidRPr="00E10ADD">
              <w:rPr>
                <w:rFonts w:asciiTheme="minorHAnsi" w:hAnsiTheme="minorHAnsi" w:cstheme="minorHAnsi"/>
                <w:sz w:val="20"/>
              </w:rPr>
              <w:t>Meropenem is a better choice than imipenem for central nervous system infections. Meropenem attains a higher concentration in the cerebrospinal fluid particularly with inflamed meninges and has a lower incidence of seizures than imipenem.</w:t>
            </w:r>
          </w:p>
        </w:tc>
      </w:tr>
      <w:tr w:rsidRPr="00E10ADD" w:rsidR="002C21F4" w:rsidTr="00D032D3" w14:paraId="5FFDB25E" w14:textId="77777777">
        <w:trPr>
          <w:trHeight w:val="263"/>
        </w:trPr>
        <w:tc>
          <w:tcPr>
            <w:tcW w:w="1253" w:type="pct"/>
          </w:tcPr>
          <w:p w:rsidRPr="00E10ADD" w:rsidR="002C21F4" w:rsidP="00131848" w:rsidRDefault="002C21F4" w14:paraId="6086F17D" w14:textId="77777777">
            <w:pPr>
              <w:pStyle w:val="BodyText"/>
              <w:rPr>
                <w:rFonts w:asciiTheme="minorHAnsi" w:hAnsiTheme="minorHAnsi" w:cstheme="minorHAnsi"/>
                <w:sz w:val="20"/>
              </w:rPr>
            </w:pPr>
            <w:r w:rsidRPr="00E10ADD">
              <w:rPr>
                <w:rFonts w:asciiTheme="minorHAnsi" w:hAnsiTheme="minorHAnsi" w:cstheme="minorHAnsi"/>
                <w:b/>
                <w:bCs/>
                <w:sz w:val="20"/>
              </w:rPr>
              <w:t>Drug type</w:t>
            </w:r>
          </w:p>
        </w:tc>
        <w:tc>
          <w:tcPr>
            <w:tcW w:w="3747" w:type="pct"/>
          </w:tcPr>
          <w:p w:rsidRPr="00E10ADD" w:rsidR="002C21F4" w:rsidP="00131848" w:rsidRDefault="002C21F4" w14:paraId="33EB2BD7" w14:textId="77777777">
            <w:pPr>
              <w:pStyle w:val="BodyText"/>
              <w:rPr>
                <w:rFonts w:asciiTheme="minorHAnsi" w:hAnsiTheme="minorHAnsi" w:cstheme="minorHAnsi"/>
                <w:sz w:val="20"/>
              </w:rPr>
            </w:pPr>
            <w:r w:rsidRPr="00E10ADD">
              <w:rPr>
                <w:rFonts w:asciiTheme="minorHAnsi" w:hAnsiTheme="minorHAnsi" w:cstheme="minorHAnsi"/>
                <w:sz w:val="20"/>
              </w:rPr>
              <w:t>Carbapenem antibiotic.</w:t>
            </w:r>
          </w:p>
        </w:tc>
      </w:tr>
      <w:tr w:rsidRPr="00E10ADD" w:rsidR="002C21F4" w:rsidTr="00D032D3" w14:paraId="567EB42E" w14:textId="77777777">
        <w:trPr>
          <w:trHeight w:val="263"/>
        </w:trPr>
        <w:tc>
          <w:tcPr>
            <w:tcW w:w="1253" w:type="pct"/>
          </w:tcPr>
          <w:p w:rsidRPr="00E10ADD" w:rsidR="002C21F4" w:rsidP="00131848" w:rsidRDefault="002C21F4" w14:paraId="22B0A321" w14:textId="77777777">
            <w:pPr>
              <w:pStyle w:val="BodyText"/>
              <w:rPr>
                <w:rFonts w:asciiTheme="minorHAnsi" w:hAnsiTheme="minorHAnsi" w:cstheme="minorHAnsi"/>
                <w:b/>
                <w:bCs/>
                <w:sz w:val="20"/>
              </w:rPr>
            </w:pPr>
            <w:r w:rsidRPr="00E10ADD">
              <w:rPr>
                <w:rFonts w:asciiTheme="minorHAnsi" w:hAnsiTheme="minorHAnsi" w:cstheme="minorHAnsi"/>
                <w:b/>
                <w:bCs/>
                <w:sz w:val="20"/>
              </w:rPr>
              <w:t>Trade name</w:t>
            </w:r>
          </w:p>
        </w:tc>
        <w:tc>
          <w:tcPr>
            <w:tcW w:w="3747" w:type="pct"/>
          </w:tcPr>
          <w:p w:rsidRPr="00E10ADD" w:rsidR="002C21F4" w:rsidP="00131848" w:rsidRDefault="002C21F4" w14:paraId="6D6F00CD" w14:textId="77777777">
            <w:pPr>
              <w:pStyle w:val="BodyText"/>
              <w:rPr>
                <w:rFonts w:asciiTheme="minorHAnsi" w:hAnsiTheme="minorHAnsi" w:cstheme="minorHAnsi"/>
                <w:sz w:val="20"/>
              </w:rPr>
            </w:pPr>
            <w:r w:rsidRPr="00E10ADD">
              <w:rPr>
                <w:rFonts w:asciiTheme="minorHAnsi" w:hAnsiTheme="minorHAnsi" w:cstheme="minorHAnsi"/>
                <w:color w:val="333333"/>
                <w:sz w:val="20"/>
              </w:rPr>
              <w:t xml:space="preserve">Meropenem APOTEX, Meropenem DBL, Meropenem GH, Meropenem Juno, Meropenem Kabi,  Meropenem Sandoz, Merrem </w:t>
            </w:r>
          </w:p>
        </w:tc>
      </w:tr>
      <w:tr w:rsidRPr="00E10ADD" w:rsidR="002C21F4" w:rsidTr="00D032D3" w14:paraId="53D08500" w14:textId="77777777">
        <w:trPr>
          <w:trHeight w:val="263"/>
        </w:trPr>
        <w:tc>
          <w:tcPr>
            <w:tcW w:w="1253" w:type="pct"/>
          </w:tcPr>
          <w:p w:rsidRPr="00E10ADD" w:rsidR="002C21F4" w:rsidP="00131848" w:rsidRDefault="002C21F4" w14:paraId="55D31E5A" w14:textId="77777777">
            <w:pPr>
              <w:pStyle w:val="BodyText"/>
              <w:rPr>
                <w:rFonts w:asciiTheme="minorHAnsi" w:hAnsiTheme="minorHAnsi" w:cstheme="minorHAnsi"/>
                <w:b/>
                <w:bCs/>
                <w:sz w:val="20"/>
              </w:rPr>
            </w:pPr>
            <w:r w:rsidRPr="00E10ADD">
              <w:rPr>
                <w:rFonts w:asciiTheme="minorHAnsi" w:hAnsiTheme="minorHAnsi" w:cstheme="minorHAnsi"/>
                <w:b/>
                <w:bCs/>
                <w:sz w:val="20"/>
              </w:rPr>
              <w:t xml:space="preserve">Presentation </w:t>
            </w:r>
          </w:p>
        </w:tc>
        <w:tc>
          <w:tcPr>
            <w:tcW w:w="3747" w:type="pct"/>
          </w:tcPr>
          <w:p w:rsidRPr="00E10ADD" w:rsidR="002C21F4" w:rsidP="00131848" w:rsidRDefault="002C21F4" w14:paraId="1F405424" w14:textId="77777777">
            <w:pPr>
              <w:pStyle w:val="BodyText"/>
              <w:ind w:left="34"/>
              <w:rPr>
                <w:rFonts w:asciiTheme="minorHAnsi" w:hAnsiTheme="minorHAnsi" w:cstheme="minorHAnsi"/>
                <w:sz w:val="20"/>
              </w:rPr>
            </w:pPr>
            <w:r w:rsidRPr="00E10ADD">
              <w:rPr>
                <w:rFonts w:asciiTheme="minorHAnsi" w:hAnsiTheme="minorHAnsi" w:cstheme="minorHAnsi"/>
                <w:sz w:val="20"/>
              </w:rPr>
              <w:t>500 mg vial</w:t>
            </w:r>
          </w:p>
          <w:p w:rsidRPr="00E10ADD" w:rsidR="002C21F4" w:rsidP="00131848" w:rsidRDefault="002C21F4" w14:paraId="01E89CB5" w14:textId="77777777">
            <w:pPr>
              <w:pStyle w:val="BodyText"/>
              <w:rPr>
                <w:rFonts w:asciiTheme="minorHAnsi" w:hAnsiTheme="minorHAnsi" w:cstheme="minorHAnsi"/>
                <w:sz w:val="20"/>
              </w:rPr>
            </w:pPr>
            <w:r w:rsidRPr="00E10ADD">
              <w:rPr>
                <w:rFonts w:asciiTheme="minorHAnsi" w:hAnsiTheme="minorHAnsi" w:cstheme="minorHAnsi"/>
                <w:sz w:val="20"/>
              </w:rPr>
              <w:t>1000 mg vial</w:t>
            </w:r>
          </w:p>
        </w:tc>
      </w:tr>
      <w:tr w:rsidRPr="00E10ADD" w:rsidR="002C21F4" w:rsidTr="00D032D3" w14:paraId="3D61C972" w14:textId="77777777">
        <w:trPr>
          <w:trHeight w:val="263"/>
        </w:trPr>
        <w:tc>
          <w:tcPr>
            <w:tcW w:w="1253" w:type="pct"/>
          </w:tcPr>
          <w:p w:rsidRPr="00E10ADD" w:rsidR="002C21F4" w:rsidP="00131848" w:rsidRDefault="002C21F4" w14:paraId="018B2227" w14:textId="77777777">
            <w:pPr>
              <w:pStyle w:val="BodyText"/>
              <w:rPr>
                <w:rFonts w:asciiTheme="minorHAnsi" w:hAnsiTheme="minorHAnsi" w:cstheme="minorHAnsi"/>
                <w:b/>
                <w:bCs/>
                <w:sz w:val="20"/>
              </w:rPr>
            </w:pPr>
            <w:r w:rsidRPr="00E10ADD">
              <w:rPr>
                <w:rFonts w:asciiTheme="minorHAnsi" w:hAnsiTheme="minorHAnsi" w:cstheme="minorHAnsi"/>
                <w:b/>
                <w:bCs/>
                <w:sz w:val="20"/>
              </w:rPr>
              <w:t>Dose</w:t>
            </w:r>
          </w:p>
        </w:tc>
        <w:tc>
          <w:tcPr>
            <w:tcW w:w="3747" w:type="pct"/>
          </w:tcPr>
          <w:p w:rsidRPr="00E10ADD" w:rsidR="002C21F4" w:rsidP="00131848" w:rsidRDefault="002C21F4" w14:paraId="51A9F1C8" w14:textId="77777777">
            <w:pPr>
              <w:pStyle w:val="BodyText"/>
              <w:rPr>
                <w:rFonts w:asciiTheme="minorHAnsi" w:hAnsiTheme="minorHAnsi" w:cstheme="minorHAnsi"/>
                <w:b/>
                <w:sz w:val="20"/>
              </w:rPr>
            </w:pPr>
            <w:r w:rsidRPr="00E10ADD">
              <w:rPr>
                <w:rFonts w:asciiTheme="minorHAnsi" w:hAnsiTheme="minorHAnsi" w:cstheme="minorHAnsi"/>
                <w:b/>
                <w:sz w:val="20"/>
              </w:rPr>
              <w:t>Non-CNS and Non-Pseudomonas Sepsis</w:t>
            </w:r>
          </w:p>
          <w:tbl>
            <w:tblPr>
              <w:tblW w:w="7229"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9"/>
              <w:gridCol w:w="1560"/>
              <w:gridCol w:w="1650"/>
              <w:gridCol w:w="1610"/>
            </w:tblGrid>
            <w:tr w:rsidRPr="00E10ADD" w:rsidR="002C21F4" w:rsidTr="00131848" w14:paraId="00C300A1" w14:textId="77777777">
              <w:trPr>
                <w:trHeight w:val="247"/>
              </w:trPr>
              <w:tc>
                <w:tcPr>
                  <w:tcW w:w="2409" w:type="dxa"/>
                  <w:vAlign w:val="center"/>
                </w:tcPr>
                <w:p w:rsidRPr="00E10ADD" w:rsidR="002C21F4" w:rsidP="00131848" w:rsidRDefault="002C21F4" w14:paraId="7FAD67A9" w14:textId="77777777">
                  <w:pPr>
                    <w:pStyle w:val="BodyText"/>
                    <w:jc w:val="center"/>
                    <w:rPr>
                      <w:rFonts w:asciiTheme="minorHAnsi" w:hAnsiTheme="minorHAnsi" w:cstheme="minorHAnsi"/>
                      <w:b/>
                      <w:sz w:val="20"/>
                    </w:rPr>
                  </w:pPr>
                  <w:r w:rsidRPr="00E10ADD">
                    <w:rPr>
                      <w:rFonts w:asciiTheme="minorHAnsi" w:hAnsiTheme="minorHAnsi" w:cstheme="minorHAnsi"/>
                      <w:b/>
                      <w:sz w:val="20"/>
                    </w:rPr>
                    <w:t>Gestational Age at birth</w:t>
                  </w:r>
                </w:p>
              </w:tc>
              <w:tc>
                <w:tcPr>
                  <w:tcW w:w="1560" w:type="dxa"/>
                  <w:vAlign w:val="center"/>
                </w:tcPr>
                <w:p w:rsidRPr="00E10ADD" w:rsidR="002C21F4" w:rsidP="00131848" w:rsidRDefault="002C21F4" w14:paraId="3A6EBA2D" w14:textId="77777777">
                  <w:pPr>
                    <w:pStyle w:val="BodyText"/>
                    <w:jc w:val="center"/>
                    <w:rPr>
                      <w:rFonts w:asciiTheme="minorHAnsi" w:hAnsiTheme="minorHAnsi" w:cstheme="minorHAnsi"/>
                      <w:b/>
                      <w:sz w:val="20"/>
                    </w:rPr>
                  </w:pPr>
                  <w:r w:rsidRPr="00E10ADD">
                    <w:rPr>
                      <w:rFonts w:asciiTheme="minorHAnsi" w:hAnsiTheme="minorHAnsi" w:cstheme="minorHAnsi"/>
                      <w:b/>
                      <w:sz w:val="20"/>
                    </w:rPr>
                    <w:t xml:space="preserve">Postnatal Age </w:t>
                  </w:r>
                </w:p>
              </w:tc>
              <w:tc>
                <w:tcPr>
                  <w:tcW w:w="1650" w:type="dxa"/>
                  <w:vAlign w:val="center"/>
                </w:tcPr>
                <w:p w:rsidRPr="00E10ADD" w:rsidR="002C21F4" w:rsidP="00131848" w:rsidRDefault="002C21F4" w14:paraId="44E92CE2" w14:textId="77777777">
                  <w:pPr>
                    <w:pStyle w:val="BodyText"/>
                    <w:jc w:val="center"/>
                    <w:rPr>
                      <w:rFonts w:asciiTheme="minorHAnsi" w:hAnsiTheme="minorHAnsi" w:cstheme="minorHAnsi"/>
                      <w:b/>
                      <w:sz w:val="20"/>
                    </w:rPr>
                  </w:pPr>
                  <w:r w:rsidRPr="00E10ADD">
                    <w:rPr>
                      <w:rFonts w:asciiTheme="minorHAnsi" w:hAnsiTheme="minorHAnsi" w:cstheme="minorHAnsi"/>
                      <w:b/>
                      <w:sz w:val="20"/>
                    </w:rPr>
                    <w:t>Dose</w:t>
                  </w:r>
                </w:p>
              </w:tc>
              <w:tc>
                <w:tcPr>
                  <w:tcW w:w="1610" w:type="dxa"/>
                  <w:vAlign w:val="center"/>
                </w:tcPr>
                <w:p w:rsidRPr="00E10ADD" w:rsidR="002C21F4" w:rsidP="00131848" w:rsidRDefault="002C21F4" w14:paraId="406BC074" w14:textId="77777777">
                  <w:pPr>
                    <w:pStyle w:val="BodyText"/>
                    <w:jc w:val="center"/>
                    <w:rPr>
                      <w:rFonts w:asciiTheme="minorHAnsi" w:hAnsiTheme="minorHAnsi" w:cstheme="minorHAnsi"/>
                      <w:b/>
                      <w:sz w:val="20"/>
                    </w:rPr>
                  </w:pPr>
                  <w:r w:rsidRPr="00E10ADD">
                    <w:rPr>
                      <w:rFonts w:asciiTheme="minorHAnsi" w:hAnsiTheme="minorHAnsi" w:cstheme="minorHAnsi"/>
                      <w:b/>
                      <w:sz w:val="20"/>
                    </w:rPr>
                    <w:t>Interval</w:t>
                  </w:r>
                </w:p>
              </w:tc>
            </w:tr>
            <w:tr w:rsidRPr="00E10ADD" w:rsidR="002C21F4" w:rsidTr="00131848" w14:paraId="3361EDCB" w14:textId="77777777">
              <w:tc>
                <w:tcPr>
                  <w:tcW w:w="2409" w:type="dxa"/>
                </w:tcPr>
                <w:p w:rsidRPr="00E10ADD" w:rsidR="002C21F4" w:rsidP="00131848" w:rsidRDefault="002C21F4" w14:paraId="53FBD5D6" w14:textId="77777777">
                  <w:pPr>
                    <w:pStyle w:val="BodyText"/>
                    <w:rPr>
                      <w:rFonts w:asciiTheme="minorHAnsi" w:hAnsiTheme="minorHAnsi" w:cstheme="minorHAnsi"/>
                      <w:sz w:val="20"/>
                    </w:rPr>
                  </w:pPr>
                  <w:r w:rsidRPr="00E10ADD">
                    <w:rPr>
                      <w:rFonts w:asciiTheme="minorHAnsi" w:hAnsiTheme="minorHAnsi" w:cstheme="minorHAnsi"/>
                      <w:sz w:val="20"/>
                    </w:rPr>
                    <w:t>&lt; 32</w:t>
                  </w:r>
                  <w:r w:rsidRPr="00E10ADD">
                    <w:rPr>
                      <w:rFonts w:asciiTheme="minorHAnsi" w:hAnsiTheme="minorHAnsi" w:cstheme="minorHAnsi"/>
                      <w:sz w:val="20"/>
                      <w:vertAlign w:val="superscript"/>
                    </w:rPr>
                    <w:t>+0</w:t>
                  </w:r>
                  <w:r w:rsidRPr="00E10ADD">
                    <w:rPr>
                      <w:rFonts w:asciiTheme="minorHAnsi" w:hAnsiTheme="minorHAnsi" w:cstheme="minorHAnsi"/>
                      <w:sz w:val="20"/>
                    </w:rPr>
                    <w:t xml:space="preserve"> weeks  </w:t>
                  </w:r>
                </w:p>
              </w:tc>
              <w:tc>
                <w:tcPr>
                  <w:tcW w:w="1560" w:type="dxa"/>
                </w:tcPr>
                <w:p w:rsidRPr="00E10ADD" w:rsidR="002C21F4" w:rsidP="00131848" w:rsidRDefault="002C21F4" w14:paraId="7F47592B" w14:textId="77777777">
                  <w:pPr>
                    <w:pStyle w:val="BodyText"/>
                    <w:rPr>
                      <w:rFonts w:asciiTheme="minorHAnsi" w:hAnsiTheme="minorHAnsi" w:cstheme="minorHAnsi"/>
                      <w:sz w:val="20"/>
                    </w:rPr>
                  </w:pPr>
                  <w:r w:rsidRPr="00E10ADD">
                    <w:rPr>
                      <w:rFonts w:asciiTheme="minorHAnsi" w:hAnsiTheme="minorHAnsi" w:cstheme="minorHAnsi"/>
                      <w:sz w:val="20"/>
                    </w:rPr>
                    <w:t>0–13 days</w:t>
                  </w:r>
                </w:p>
              </w:tc>
              <w:tc>
                <w:tcPr>
                  <w:tcW w:w="1650" w:type="dxa"/>
                </w:tcPr>
                <w:p w:rsidRPr="00E10ADD" w:rsidR="002C21F4" w:rsidP="00131848" w:rsidRDefault="002C21F4" w14:paraId="6F34B789" w14:textId="77777777">
                  <w:pPr>
                    <w:pStyle w:val="BodyText"/>
                    <w:rPr>
                      <w:rFonts w:asciiTheme="minorHAnsi" w:hAnsiTheme="minorHAnsi" w:cstheme="minorHAnsi"/>
                      <w:sz w:val="20"/>
                    </w:rPr>
                  </w:pPr>
                  <w:r w:rsidRPr="00E10ADD">
                    <w:rPr>
                      <w:rFonts w:asciiTheme="minorHAnsi" w:hAnsiTheme="minorHAnsi" w:cstheme="minorHAnsi"/>
                      <w:sz w:val="20"/>
                    </w:rPr>
                    <w:t>20 mg/kg</w:t>
                  </w:r>
                </w:p>
              </w:tc>
              <w:tc>
                <w:tcPr>
                  <w:tcW w:w="1610" w:type="dxa"/>
                </w:tcPr>
                <w:p w:rsidRPr="00E10ADD" w:rsidR="002C21F4" w:rsidP="00131848" w:rsidRDefault="002C21F4" w14:paraId="5471F8C8" w14:textId="77777777">
                  <w:pPr>
                    <w:pStyle w:val="BodyText"/>
                    <w:rPr>
                      <w:rFonts w:asciiTheme="minorHAnsi" w:hAnsiTheme="minorHAnsi" w:cstheme="minorHAnsi"/>
                      <w:sz w:val="20"/>
                    </w:rPr>
                  </w:pPr>
                  <w:r w:rsidRPr="00E10ADD">
                    <w:rPr>
                      <w:rFonts w:asciiTheme="minorHAnsi" w:hAnsiTheme="minorHAnsi" w:cstheme="minorHAnsi"/>
                      <w:sz w:val="20"/>
                    </w:rPr>
                    <w:t>12 hourly</w:t>
                  </w:r>
                </w:p>
              </w:tc>
            </w:tr>
            <w:tr w:rsidRPr="00E10ADD" w:rsidR="002C21F4" w:rsidTr="00131848" w14:paraId="6A1CD076" w14:textId="77777777">
              <w:tc>
                <w:tcPr>
                  <w:tcW w:w="2409" w:type="dxa"/>
                </w:tcPr>
                <w:p w:rsidRPr="00E10ADD" w:rsidR="002C21F4" w:rsidP="00131848" w:rsidRDefault="002C21F4" w14:paraId="4EEC561E" w14:textId="77777777">
                  <w:pPr>
                    <w:pStyle w:val="BodyText"/>
                    <w:rPr>
                      <w:rFonts w:asciiTheme="minorHAnsi" w:hAnsiTheme="minorHAnsi" w:cstheme="minorHAnsi"/>
                      <w:sz w:val="20"/>
                    </w:rPr>
                  </w:pPr>
                  <w:r w:rsidRPr="00E10ADD">
                    <w:rPr>
                      <w:rFonts w:asciiTheme="minorHAnsi" w:hAnsiTheme="minorHAnsi" w:cstheme="minorHAnsi"/>
                      <w:sz w:val="20"/>
                    </w:rPr>
                    <w:t>&lt; 32</w:t>
                  </w:r>
                  <w:r w:rsidRPr="00E10ADD">
                    <w:rPr>
                      <w:rFonts w:asciiTheme="minorHAnsi" w:hAnsiTheme="minorHAnsi" w:cstheme="minorHAnsi"/>
                      <w:sz w:val="20"/>
                      <w:vertAlign w:val="superscript"/>
                    </w:rPr>
                    <w:t>+0</w:t>
                  </w:r>
                  <w:r w:rsidRPr="00E10ADD">
                    <w:rPr>
                      <w:rFonts w:asciiTheme="minorHAnsi" w:hAnsiTheme="minorHAnsi" w:cstheme="minorHAnsi"/>
                      <w:sz w:val="20"/>
                    </w:rPr>
                    <w:t xml:space="preserve"> weeks  </w:t>
                  </w:r>
                </w:p>
              </w:tc>
              <w:tc>
                <w:tcPr>
                  <w:tcW w:w="1560" w:type="dxa"/>
                </w:tcPr>
                <w:p w:rsidRPr="00E10ADD" w:rsidR="002C21F4" w:rsidP="00131848" w:rsidRDefault="002C21F4" w14:paraId="5BB0A0C7" w14:textId="77777777">
                  <w:pPr>
                    <w:pStyle w:val="BodyText"/>
                    <w:rPr>
                      <w:rFonts w:asciiTheme="minorHAnsi" w:hAnsiTheme="minorHAnsi" w:cstheme="minorHAnsi"/>
                      <w:sz w:val="20"/>
                    </w:rPr>
                  </w:pPr>
                  <w:r w:rsidRPr="00E10ADD">
                    <w:rPr>
                      <w:rFonts w:asciiTheme="minorHAnsi" w:hAnsiTheme="minorHAnsi" w:cstheme="minorHAnsi"/>
                      <w:sz w:val="20"/>
                    </w:rPr>
                    <w:t>14+ days</w:t>
                  </w:r>
                </w:p>
              </w:tc>
              <w:tc>
                <w:tcPr>
                  <w:tcW w:w="1650" w:type="dxa"/>
                </w:tcPr>
                <w:p w:rsidRPr="00E10ADD" w:rsidR="002C21F4" w:rsidP="00131848" w:rsidRDefault="002C21F4" w14:paraId="2214D101" w14:textId="77777777">
                  <w:pPr>
                    <w:pStyle w:val="BodyText"/>
                    <w:rPr>
                      <w:rFonts w:asciiTheme="minorHAnsi" w:hAnsiTheme="minorHAnsi" w:cstheme="minorHAnsi"/>
                      <w:sz w:val="20"/>
                    </w:rPr>
                  </w:pPr>
                  <w:r w:rsidRPr="00E10ADD">
                    <w:rPr>
                      <w:rFonts w:asciiTheme="minorHAnsi" w:hAnsiTheme="minorHAnsi" w:cstheme="minorHAnsi"/>
                      <w:sz w:val="20"/>
                    </w:rPr>
                    <w:t>20 mg/kg</w:t>
                  </w:r>
                </w:p>
              </w:tc>
              <w:tc>
                <w:tcPr>
                  <w:tcW w:w="1610" w:type="dxa"/>
                </w:tcPr>
                <w:p w:rsidRPr="00E10ADD" w:rsidR="002C21F4" w:rsidP="00131848" w:rsidRDefault="002C21F4" w14:paraId="13A2DD9F" w14:textId="77777777">
                  <w:pPr>
                    <w:pStyle w:val="BodyText"/>
                    <w:rPr>
                      <w:rFonts w:asciiTheme="minorHAnsi" w:hAnsiTheme="minorHAnsi" w:cstheme="minorHAnsi"/>
                      <w:sz w:val="20"/>
                    </w:rPr>
                  </w:pPr>
                  <w:r w:rsidRPr="00E10ADD">
                    <w:rPr>
                      <w:rFonts w:asciiTheme="minorHAnsi" w:hAnsiTheme="minorHAnsi" w:cstheme="minorHAnsi"/>
                      <w:sz w:val="20"/>
                    </w:rPr>
                    <w:t>8 hourly</w:t>
                  </w:r>
                </w:p>
              </w:tc>
            </w:tr>
            <w:tr w:rsidRPr="00E10ADD" w:rsidR="002C21F4" w:rsidTr="00131848" w14:paraId="229E5259" w14:textId="77777777">
              <w:tc>
                <w:tcPr>
                  <w:tcW w:w="2409" w:type="dxa"/>
                </w:tcPr>
                <w:p w:rsidRPr="00E10ADD" w:rsidR="002C21F4" w:rsidP="00131848" w:rsidRDefault="002C21F4" w14:paraId="6E762571" w14:textId="77777777">
                  <w:pPr>
                    <w:pStyle w:val="BodyText"/>
                    <w:rPr>
                      <w:rFonts w:asciiTheme="minorHAnsi" w:hAnsiTheme="minorHAnsi" w:cstheme="minorHAnsi"/>
                      <w:sz w:val="20"/>
                    </w:rPr>
                  </w:pPr>
                  <w:r w:rsidRPr="00E10ADD">
                    <w:rPr>
                      <w:rFonts w:asciiTheme="minorHAnsi" w:hAnsiTheme="minorHAnsi" w:cstheme="minorHAnsi"/>
                      <w:sz w:val="20"/>
                    </w:rPr>
                    <w:t>≥ 32</w:t>
                  </w:r>
                  <w:r w:rsidRPr="00E10ADD">
                    <w:rPr>
                      <w:rFonts w:asciiTheme="minorHAnsi" w:hAnsiTheme="minorHAnsi" w:cstheme="minorHAnsi"/>
                      <w:sz w:val="20"/>
                      <w:vertAlign w:val="superscript"/>
                    </w:rPr>
                    <w:t>+0</w:t>
                  </w:r>
                  <w:r w:rsidRPr="00E10ADD">
                    <w:rPr>
                      <w:rFonts w:asciiTheme="minorHAnsi" w:hAnsiTheme="minorHAnsi" w:cstheme="minorHAnsi"/>
                      <w:sz w:val="20"/>
                    </w:rPr>
                    <w:t xml:space="preserve"> weeks</w:t>
                  </w:r>
                </w:p>
              </w:tc>
              <w:tc>
                <w:tcPr>
                  <w:tcW w:w="1560" w:type="dxa"/>
                </w:tcPr>
                <w:p w:rsidRPr="00E10ADD" w:rsidR="002C21F4" w:rsidP="00131848" w:rsidRDefault="002C21F4" w14:paraId="45875371" w14:textId="77777777">
                  <w:pPr>
                    <w:pStyle w:val="BodyText"/>
                    <w:rPr>
                      <w:rFonts w:asciiTheme="minorHAnsi" w:hAnsiTheme="minorHAnsi" w:cstheme="minorHAnsi"/>
                      <w:sz w:val="20"/>
                    </w:rPr>
                  </w:pPr>
                  <w:r w:rsidRPr="00E10ADD">
                    <w:rPr>
                      <w:rFonts w:asciiTheme="minorHAnsi" w:hAnsiTheme="minorHAnsi" w:cstheme="minorHAnsi"/>
                      <w:sz w:val="20"/>
                    </w:rPr>
                    <w:t>0–13 days</w:t>
                  </w:r>
                </w:p>
              </w:tc>
              <w:tc>
                <w:tcPr>
                  <w:tcW w:w="1650" w:type="dxa"/>
                </w:tcPr>
                <w:p w:rsidRPr="00E10ADD" w:rsidR="002C21F4" w:rsidP="00131848" w:rsidRDefault="002C21F4" w14:paraId="7398E566" w14:textId="77777777">
                  <w:pPr>
                    <w:rPr>
                      <w:rFonts w:asciiTheme="minorHAnsi" w:hAnsiTheme="minorHAnsi" w:cstheme="minorHAnsi"/>
                      <w:sz w:val="20"/>
                    </w:rPr>
                  </w:pPr>
                  <w:r w:rsidRPr="00E10ADD">
                    <w:rPr>
                      <w:rFonts w:asciiTheme="minorHAnsi" w:hAnsiTheme="minorHAnsi" w:cstheme="minorHAnsi"/>
                      <w:sz w:val="20"/>
                    </w:rPr>
                    <w:t>20 mg/kg</w:t>
                  </w:r>
                </w:p>
              </w:tc>
              <w:tc>
                <w:tcPr>
                  <w:tcW w:w="1610" w:type="dxa"/>
                </w:tcPr>
                <w:p w:rsidRPr="00E10ADD" w:rsidR="002C21F4" w:rsidP="00131848" w:rsidRDefault="002C21F4" w14:paraId="4BA5619B" w14:textId="77777777">
                  <w:pPr>
                    <w:rPr>
                      <w:rFonts w:asciiTheme="minorHAnsi" w:hAnsiTheme="minorHAnsi" w:cstheme="minorHAnsi"/>
                      <w:sz w:val="20"/>
                    </w:rPr>
                  </w:pPr>
                  <w:r w:rsidRPr="00E10ADD">
                    <w:rPr>
                      <w:rFonts w:asciiTheme="minorHAnsi" w:hAnsiTheme="minorHAnsi" w:cstheme="minorHAnsi"/>
                      <w:sz w:val="20"/>
                    </w:rPr>
                    <w:t>8 hourly</w:t>
                  </w:r>
                </w:p>
              </w:tc>
            </w:tr>
            <w:tr w:rsidRPr="00E10ADD" w:rsidR="002C21F4" w:rsidTr="00131848" w14:paraId="01BD2BB1" w14:textId="77777777">
              <w:tc>
                <w:tcPr>
                  <w:tcW w:w="2409" w:type="dxa"/>
                </w:tcPr>
                <w:p w:rsidRPr="00E10ADD" w:rsidR="002C21F4" w:rsidP="00131848" w:rsidRDefault="002C21F4" w14:paraId="2EC9EE69" w14:textId="77777777">
                  <w:pPr>
                    <w:pStyle w:val="BodyText"/>
                    <w:rPr>
                      <w:rFonts w:asciiTheme="minorHAnsi" w:hAnsiTheme="minorHAnsi" w:cstheme="minorHAnsi"/>
                      <w:sz w:val="20"/>
                    </w:rPr>
                  </w:pPr>
                  <w:r w:rsidRPr="00E10ADD">
                    <w:rPr>
                      <w:rFonts w:asciiTheme="minorHAnsi" w:hAnsiTheme="minorHAnsi" w:cstheme="minorHAnsi"/>
                      <w:sz w:val="20"/>
                    </w:rPr>
                    <w:t>≥ 32</w:t>
                  </w:r>
                  <w:r w:rsidRPr="00E10ADD">
                    <w:rPr>
                      <w:rFonts w:asciiTheme="minorHAnsi" w:hAnsiTheme="minorHAnsi" w:cstheme="minorHAnsi"/>
                      <w:sz w:val="20"/>
                      <w:vertAlign w:val="superscript"/>
                    </w:rPr>
                    <w:t>+0</w:t>
                  </w:r>
                  <w:r w:rsidRPr="00E10ADD">
                    <w:rPr>
                      <w:rFonts w:asciiTheme="minorHAnsi" w:hAnsiTheme="minorHAnsi" w:cstheme="minorHAnsi"/>
                      <w:sz w:val="20"/>
                    </w:rPr>
                    <w:t xml:space="preserve"> weeks </w:t>
                  </w:r>
                </w:p>
              </w:tc>
              <w:tc>
                <w:tcPr>
                  <w:tcW w:w="1560" w:type="dxa"/>
                </w:tcPr>
                <w:p w:rsidRPr="00E10ADD" w:rsidR="002C21F4" w:rsidP="00131848" w:rsidRDefault="002C21F4" w14:paraId="13CBEFF7" w14:textId="77777777">
                  <w:pPr>
                    <w:pStyle w:val="BodyText"/>
                    <w:rPr>
                      <w:rFonts w:asciiTheme="minorHAnsi" w:hAnsiTheme="minorHAnsi" w:cstheme="minorHAnsi"/>
                      <w:sz w:val="20"/>
                    </w:rPr>
                  </w:pPr>
                  <w:r w:rsidRPr="00E10ADD">
                    <w:rPr>
                      <w:rFonts w:asciiTheme="minorHAnsi" w:hAnsiTheme="minorHAnsi" w:cstheme="minorHAnsi"/>
                      <w:sz w:val="20"/>
                    </w:rPr>
                    <w:t>14+ days</w:t>
                  </w:r>
                </w:p>
              </w:tc>
              <w:tc>
                <w:tcPr>
                  <w:tcW w:w="1650" w:type="dxa"/>
                </w:tcPr>
                <w:p w:rsidRPr="00E10ADD" w:rsidR="002C21F4" w:rsidP="00131848" w:rsidRDefault="002C21F4" w14:paraId="11C18497" w14:textId="77777777">
                  <w:pPr>
                    <w:pStyle w:val="BodyText"/>
                    <w:rPr>
                      <w:rFonts w:asciiTheme="minorHAnsi" w:hAnsiTheme="minorHAnsi" w:cstheme="minorHAnsi"/>
                      <w:sz w:val="20"/>
                    </w:rPr>
                  </w:pPr>
                  <w:r w:rsidRPr="00E10ADD">
                    <w:rPr>
                      <w:rFonts w:asciiTheme="minorHAnsi" w:hAnsiTheme="minorHAnsi" w:cstheme="minorHAnsi"/>
                      <w:sz w:val="20"/>
                    </w:rPr>
                    <w:t>30 mg/kg</w:t>
                  </w:r>
                </w:p>
              </w:tc>
              <w:tc>
                <w:tcPr>
                  <w:tcW w:w="1610" w:type="dxa"/>
                </w:tcPr>
                <w:p w:rsidRPr="00E10ADD" w:rsidR="002C21F4" w:rsidP="00131848" w:rsidRDefault="002C21F4" w14:paraId="48084EA0" w14:textId="77777777">
                  <w:pPr>
                    <w:pStyle w:val="BodyText"/>
                    <w:rPr>
                      <w:rFonts w:asciiTheme="minorHAnsi" w:hAnsiTheme="minorHAnsi" w:cstheme="minorHAnsi"/>
                      <w:sz w:val="20"/>
                    </w:rPr>
                  </w:pPr>
                  <w:r w:rsidRPr="00E10ADD">
                    <w:rPr>
                      <w:rFonts w:asciiTheme="minorHAnsi" w:hAnsiTheme="minorHAnsi" w:cstheme="minorHAnsi"/>
                      <w:sz w:val="20"/>
                    </w:rPr>
                    <w:t>8 hourly</w:t>
                  </w:r>
                </w:p>
              </w:tc>
            </w:tr>
          </w:tbl>
          <w:p w:rsidRPr="00E10ADD" w:rsidR="002C21F4" w:rsidP="00131848" w:rsidRDefault="002C21F4" w14:paraId="5141D76D" w14:textId="77777777">
            <w:pPr>
              <w:pStyle w:val="BodyText"/>
              <w:rPr>
                <w:rFonts w:asciiTheme="minorHAnsi" w:hAnsiTheme="minorHAnsi" w:cstheme="minorHAnsi"/>
                <w:sz w:val="20"/>
              </w:rPr>
            </w:pPr>
          </w:p>
          <w:p w:rsidRPr="00E10ADD" w:rsidR="002C21F4" w:rsidP="00131848" w:rsidRDefault="002C21F4" w14:paraId="65F25E4B" w14:textId="77777777">
            <w:pPr>
              <w:pStyle w:val="BodyText"/>
              <w:rPr>
                <w:rFonts w:asciiTheme="minorHAnsi" w:hAnsiTheme="minorHAnsi" w:cstheme="minorHAnsi"/>
                <w:b/>
                <w:sz w:val="20"/>
              </w:rPr>
            </w:pPr>
            <w:r w:rsidRPr="00E10ADD">
              <w:rPr>
                <w:rFonts w:asciiTheme="minorHAnsi" w:hAnsiTheme="minorHAnsi" w:cstheme="minorHAnsi"/>
                <w:b/>
                <w:sz w:val="20"/>
              </w:rPr>
              <w:t>Meningitis and Pseudomonas Sepsis</w:t>
            </w:r>
          </w:p>
          <w:tbl>
            <w:tblPr>
              <w:tblW w:w="7229"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09"/>
              <w:gridCol w:w="1560"/>
              <w:gridCol w:w="1650"/>
              <w:gridCol w:w="1610"/>
            </w:tblGrid>
            <w:tr w:rsidRPr="00E10ADD" w:rsidR="002C21F4" w:rsidTr="00131848" w14:paraId="1A32A72F" w14:textId="77777777">
              <w:trPr>
                <w:trHeight w:val="247"/>
              </w:trPr>
              <w:tc>
                <w:tcPr>
                  <w:tcW w:w="2409" w:type="dxa"/>
                  <w:vAlign w:val="center"/>
                </w:tcPr>
                <w:p w:rsidRPr="00E10ADD" w:rsidR="002C21F4" w:rsidP="00131848" w:rsidRDefault="002C21F4" w14:paraId="1E185118" w14:textId="77777777">
                  <w:pPr>
                    <w:pStyle w:val="BodyText"/>
                    <w:jc w:val="center"/>
                    <w:rPr>
                      <w:rFonts w:asciiTheme="minorHAnsi" w:hAnsiTheme="minorHAnsi" w:cstheme="minorHAnsi"/>
                      <w:b/>
                      <w:sz w:val="20"/>
                    </w:rPr>
                  </w:pPr>
                  <w:r w:rsidRPr="00E10ADD">
                    <w:rPr>
                      <w:rFonts w:asciiTheme="minorHAnsi" w:hAnsiTheme="minorHAnsi" w:cstheme="minorHAnsi"/>
                      <w:b/>
                      <w:sz w:val="20"/>
                    </w:rPr>
                    <w:t>Gestational Age at birth</w:t>
                  </w:r>
                </w:p>
              </w:tc>
              <w:tc>
                <w:tcPr>
                  <w:tcW w:w="1560" w:type="dxa"/>
                  <w:vAlign w:val="center"/>
                </w:tcPr>
                <w:p w:rsidRPr="00E10ADD" w:rsidR="002C21F4" w:rsidP="00131848" w:rsidRDefault="002C21F4" w14:paraId="25EBC423" w14:textId="77777777">
                  <w:pPr>
                    <w:pStyle w:val="BodyText"/>
                    <w:jc w:val="center"/>
                    <w:rPr>
                      <w:rFonts w:asciiTheme="minorHAnsi" w:hAnsiTheme="minorHAnsi" w:cstheme="minorHAnsi"/>
                      <w:b/>
                      <w:sz w:val="20"/>
                    </w:rPr>
                  </w:pPr>
                  <w:r w:rsidRPr="00E10ADD">
                    <w:rPr>
                      <w:rFonts w:asciiTheme="minorHAnsi" w:hAnsiTheme="minorHAnsi" w:cstheme="minorHAnsi"/>
                      <w:b/>
                      <w:sz w:val="20"/>
                    </w:rPr>
                    <w:t xml:space="preserve">Postnatal Age </w:t>
                  </w:r>
                </w:p>
              </w:tc>
              <w:tc>
                <w:tcPr>
                  <w:tcW w:w="1650" w:type="dxa"/>
                  <w:vAlign w:val="center"/>
                </w:tcPr>
                <w:p w:rsidRPr="00E10ADD" w:rsidR="002C21F4" w:rsidP="00131848" w:rsidRDefault="002C21F4" w14:paraId="60D031F4" w14:textId="77777777">
                  <w:pPr>
                    <w:pStyle w:val="BodyText"/>
                    <w:jc w:val="center"/>
                    <w:rPr>
                      <w:rFonts w:asciiTheme="minorHAnsi" w:hAnsiTheme="minorHAnsi" w:cstheme="minorHAnsi"/>
                      <w:b/>
                      <w:sz w:val="20"/>
                    </w:rPr>
                  </w:pPr>
                  <w:r w:rsidRPr="00E10ADD">
                    <w:rPr>
                      <w:rFonts w:asciiTheme="minorHAnsi" w:hAnsiTheme="minorHAnsi" w:cstheme="minorHAnsi"/>
                      <w:b/>
                      <w:sz w:val="20"/>
                    </w:rPr>
                    <w:t>Dose</w:t>
                  </w:r>
                </w:p>
              </w:tc>
              <w:tc>
                <w:tcPr>
                  <w:tcW w:w="1610" w:type="dxa"/>
                  <w:vAlign w:val="center"/>
                </w:tcPr>
                <w:p w:rsidRPr="00E10ADD" w:rsidR="002C21F4" w:rsidP="00131848" w:rsidRDefault="002C21F4" w14:paraId="2E19432B" w14:textId="77777777">
                  <w:pPr>
                    <w:pStyle w:val="BodyText"/>
                    <w:jc w:val="center"/>
                    <w:rPr>
                      <w:rFonts w:asciiTheme="minorHAnsi" w:hAnsiTheme="minorHAnsi" w:cstheme="minorHAnsi"/>
                      <w:b/>
                      <w:sz w:val="20"/>
                    </w:rPr>
                  </w:pPr>
                  <w:r w:rsidRPr="00E10ADD">
                    <w:rPr>
                      <w:rFonts w:asciiTheme="minorHAnsi" w:hAnsiTheme="minorHAnsi" w:cstheme="minorHAnsi"/>
                      <w:b/>
                      <w:sz w:val="20"/>
                    </w:rPr>
                    <w:t>Interval</w:t>
                  </w:r>
                </w:p>
              </w:tc>
            </w:tr>
            <w:tr w:rsidRPr="00E10ADD" w:rsidR="002C21F4" w:rsidTr="00131848" w14:paraId="00EC5B3A" w14:textId="77777777">
              <w:tc>
                <w:tcPr>
                  <w:tcW w:w="2409" w:type="dxa"/>
                </w:tcPr>
                <w:p w:rsidRPr="00E10ADD" w:rsidR="002C21F4" w:rsidP="00131848" w:rsidRDefault="002C21F4" w14:paraId="24447265" w14:textId="77777777">
                  <w:pPr>
                    <w:pStyle w:val="BodyText"/>
                    <w:rPr>
                      <w:rFonts w:asciiTheme="minorHAnsi" w:hAnsiTheme="minorHAnsi" w:cstheme="minorHAnsi"/>
                      <w:sz w:val="20"/>
                    </w:rPr>
                  </w:pPr>
                  <w:r w:rsidRPr="00E10ADD">
                    <w:rPr>
                      <w:rFonts w:asciiTheme="minorHAnsi" w:hAnsiTheme="minorHAnsi" w:cstheme="minorHAnsi"/>
                      <w:sz w:val="20"/>
                    </w:rPr>
                    <w:t>Any</w:t>
                  </w:r>
                </w:p>
              </w:tc>
              <w:tc>
                <w:tcPr>
                  <w:tcW w:w="1560" w:type="dxa"/>
                </w:tcPr>
                <w:p w:rsidRPr="00E10ADD" w:rsidR="002C21F4" w:rsidP="00131848" w:rsidRDefault="002C21F4" w14:paraId="70E548A2" w14:textId="77777777">
                  <w:pPr>
                    <w:pStyle w:val="BodyText"/>
                    <w:rPr>
                      <w:rFonts w:asciiTheme="minorHAnsi" w:hAnsiTheme="minorHAnsi" w:cstheme="minorHAnsi"/>
                      <w:sz w:val="20"/>
                    </w:rPr>
                  </w:pPr>
                  <w:r w:rsidRPr="00E10ADD">
                    <w:rPr>
                      <w:rFonts w:asciiTheme="minorHAnsi" w:hAnsiTheme="minorHAnsi" w:cstheme="minorHAnsi"/>
                      <w:sz w:val="20"/>
                    </w:rPr>
                    <w:t>Any</w:t>
                  </w:r>
                </w:p>
              </w:tc>
              <w:tc>
                <w:tcPr>
                  <w:tcW w:w="1650" w:type="dxa"/>
                </w:tcPr>
                <w:p w:rsidRPr="00E10ADD" w:rsidR="002C21F4" w:rsidP="00131848" w:rsidRDefault="002C21F4" w14:paraId="272054AE" w14:textId="77777777">
                  <w:pPr>
                    <w:pStyle w:val="BodyText"/>
                    <w:rPr>
                      <w:rFonts w:asciiTheme="minorHAnsi" w:hAnsiTheme="minorHAnsi" w:cstheme="minorHAnsi"/>
                      <w:sz w:val="20"/>
                    </w:rPr>
                  </w:pPr>
                  <w:r w:rsidRPr="00E10ADD">
                    <w:rPr>
                      <w:rFonts w:asciiTheme="minorHAnsi" w:hAnsiTheme="minorHAnsi" w:cstheme="minorHAnsi"/>
                      <w:sz w:val="20"/>
                    </w:rPr>
                    <w:t>40 mg/kg</w:t>
                  </w:r>
                </w:p>
              </w:tc>
              <w:tc>
                <w:tcPr>
                  <w:tcW w:w="1610" w:type="dxa"/>
                </w:tcPr>
                <w:p w:rsidRPr="00E10ADD" w:rsidR="002C21F4" w:rsidP="00131848" w:rsidRDefault="002C21F4" w14:paraId="1E5D6B5C" w14:textId="77777777">
                  <w:pPr>
                    <w:pStyle w:val="BodyText"/>
                    <w:rPr>
                      <w:rFonts w:asciiTheme="minorHAnsi" w:hAnsiTheme="minorHAnsi" w:cstheme="minorHAnsi"/>
                      <w:sz w:val="20"/>
                    </w:rPr>
                  </w:pPr>
                  <w:r w:rsidRPr="00E10ADD">
                    <w:rPr>
                      <w:rFonts w:asciiTheme="minorHAnsi" w:hAnsiTheme="minorHAnsi" w:cstheme="minorHAnsi"/>
                      <w:sz w:val="20"/>
                    </w:rPr>
                    <w:t>8 hourly</w:t>
                  </w:r>
                </w:p>
              </w:tc>
            </w:tr>
          </w:tbl>
          <w:p w:rsidRPr="00E10ADD" w:rsidR="002C21F4" w:rsidP="00131848" w:rsidRDefault="002C21F4" w14:paraId="06747965" w14:textId="77777777">
            <w:pPr>
              <w:pStyle w:val="BodyText"/>
              <w:ind w:left="720" w:hanging="720"/>
              <w:rPr>
                <w:rFonts w:asciiTheme="minorHAnsi" w:hAnsiTheme="minorHAnsi" w:cstheme="minorHAnsi"/>
                <w:sz w:val="20"/>
              </w:rPr>
            </w:pPr>
          </w:p>
        </w:tc>
      </w:tr>
      <w:tr w:rsidRPr="00E10ADD" w:rsidR="002C21F4" w:rsidTr="00D032D3" w14:paraId="34BA9456" w14:textId="77777777">
        <w:trPr>
          <w:trHeight w:val="263"/>
        </w:trPr>
        <w:tc>
          <w:tcPr>
            <w:tcW w:w="1253" w:type="pct"/>
          </w:tcPr>
          <w:p w:rsidRPr="00E10ADD" w:rsidR="002C21F4" w:rsidP="00131848" w:rsidRDefault="002C21F4" w14:paraId="6B79F0C3" w14:textId="77777777">
            <w:pPr>
              <w:pStyle w:val="BodyText"/>
              <w:rPr>
                <w:rFonts w:asciiTheme="minorHAnsi" w:hAnsiTheme="minorHAnsi" w:cstheme="minorHAnsi"/>
                <w:b/>
                <w:sz w:val="20"/>
              </w:rPr>
            </w:pPr>
            <w:r w:rsidRPr="00E10ADD">
              <w:rPr>
                <w:rFonts w:asciiTheme="minorHAnsi" w:hAnsiTheme="minorHAnsi" w:cstheme="minorHAnsi"/>
                <w:b/>
                <w:sz w:val="20"/>
              </w:rPr>
              <w:t>Dose adjustment</w:t>
            </w:r>
          </w:p>
        </w:tc>
        <w:tc>
          <w:tcPr>
            <w:tcW w:w="3747" w:type="pct"/>
          </w:tcPr>
          <w:p w:rsidRPr="00E10ADD" w:rsidR="002C21F4" w:rsidP="00131848" w:rsidRDefault="002C21F4" w14:paraId="40165B55" w14:textId="77777777">
            <w:pPr>
              <w:pStyle w:val="BodyText"/>
              <w:rPr>
                <w:rFonts w:asciiTheme="minorHAnsi" w:hAnsiTheme="minorHAnsi" w:cstheme="minorHAnsi"/>
                <w:sz w:val="20"/>
              </w:rPr>
            </w:pPr>
            <w:r w:rsidRPr="00E10ADD">
              <w:rPr>
                <w:rFonts w:asciiTheme="minorHAnsi" w:hAnsiTheme="minorHAnsi" w:cstheme="minorHAnsi"/>
                <w:sz w:val="20"/>
              </w:rPr>
              <w:t>Assess for renal impairment prior to using higher doses as meropenem is primarily excreted via  kidneys.</w:t>
            </w:r>
          </w:p>
        </w:tc>
      </w:tr>
      <w:tr w:rsidRPr="00E10ADD" w:rsidR="002C21F4" w:rsidTr="00D032D3" w14:paraId="68C9893A" w14:textId="77777777">
        <w:trPr>
          <w:trHeight w:val="263"/>
        </w:trPr>
        <w:tc>
          <w:tcPr>
            <w:tcW w:w="1253" w:type="pct"/>
          </w:tcPr>
          <w:p w:rsidRPr="00E10ADD" w:rsidR="002C21F4" w:rsidP="00131848" w:rsidRDefault="002C21F4" w14:paraId="74D97384" w14:textId="77777777">
            <w:pPr>
              <w:pStyle w:val="BodyText"/>
              <w:rPr>
                <w:rFonts w:asciiTheme="minorHAnsi" w:hAnsiTheme="minorHAnsi" w:cstheme="minorHAnsi"/>
                <w:b/>
                <w:sz w:val="20"/>
              </w:rPr>
            </w:pPr>
            <w:r w:rsidRPr="00E10ADD">
              <w:rPr>
                <w:rFonts w:asciiTheme="minorHAnsi" w:hAnsiTheme="minorHAnsi" w:cstheme="minorHAnsi"/>
                <w:b/>
                <w:sz w:val="20"/>
              </w:rPr>
              <w:t>Maximum dose</w:t>
            </w:r>
          </w:p>
        </w:tc>
        <w:tc>
          <w:tcPr>
            <w:tcW w:w="3747" w:type="pct"/>
          </w:tcPr>
          <w:p w:rsidRPr="00E10ADD" w:rsidR="002C21F4" w:rsidP="00131848" w:rsidRDefault="002C21F4" w14:paraId="55318BB5" w14:textId="77777777">
            <w:pPr>
              <w:pStyle w:val="BodyText"/>
              <w:rPr>
                <w:rFonts w:asciiTheme="minorHAnsi" w:hAnsiTheme="minorHAnsi" w:cstheme="minorHAnsi"/>
                <w:sz w:val="20"/>
              </w:rPr>
            </w:pPr>
          </w:p>
        </w:tc>
      </w:tr>
      <w:tr w:rsidRPr="00E10ADD" w:rsidR="002C21F4" w:rsidTr="00D032D3" w14:paraId="29C8E396" w14:textId="77777777">
        <w:trPr>
          <w:trHeight w:val="263"/>
        </w:trPr>
        <w:tc>
          <w:tcPr>
            <w:tcW w:w="1253" w:type="pct"/>
          </w:tcPr>
          <w:p w:rsidRPr="00E10ADD" w:rsidR="002C21F4" w:rsidP="00131848" w:rsidRDefault="002C21F4" w14:paraId="16A2542F" w14:textId="77777777">
            <w:pPr>
              <w:pStyle w:val="BodyText"/>
              <w:rPr>
                <w:rFonts w:asciiTheme="minorHAnsi" w:hAnsiTheme="minorHAnsi" w:cstheme="minorHAnsi"/>
                <w:b/>
                <w:bCs/>
                <w:sz w:val="20"/>
              </w:rPr>
            </w:pPr>
            <w:r w:rsidRPr="00E10ADD">
              <w:rPr>
                <w:rFonts w:asciiTheme="minorHAnsi" w:hAnsiTheme="minorHAnsi" w:cstheme="minorHAnsi"/>
                <w:b/>
                <w:sz w:val="20"/>
              </w:rPr>
              <w:t>Total cumulative dose</w:t>
            </w:r>
          </w:p>
        </w:tc>
        <w:tc>
          <w:tcPr>
            <w:tcW w:w="3747" w:type="pct"/>
          </w:tcPr>
          <w:p w:rsidRPr="00E10ADD" w:rsidR="002C21F4" w:rsidP="00131848" w:rsidRDefault="002C21F4" w14:paraId="6C8447F1" w14:textId="77777777">
            <w:pPr>
              <w:pStyle w:val="BodyText"/>
              <w:rPr>
                <w:rFonts w:asciiTheme="minorHAnsi" w:hAnsiTheme="minorHAnsi" w:cstheme="minorHAnsi"/>
                <w:b/>
                <w:sz w:val="20"/>
              </w:rPr>
            </w:pPr>
          </w:p>
        </w:tc>
      </w:tr>
      <w:tr w:rsidRPr="00E10ADD" w:rsidR="002C21F4" w:rsidTr="00D032D3" w14:paraId="78FEC528" w14:textId="77777777">
        <w:trPr>
          <w:trHeight w:val="263"/>
        </w:trPr>
        <w:tc>
          <w:tcPr>
            <w:tcW w:w="1253" w:type="pct"/>
          </w:tcPr>
          <w:p w:rsidRPr="00E10ADD" w:rsidR="002C21F4" w:rsidP="00131848" w:rsidRDefault="002C21F4" w14:paraId="1ACFAEDC" w14:textId="77777777">
            <w:pPr>
              <w:pStyle w:val="BodyText"/>
              <w:rPr>
                <w:rFonts w:asciiTheme="minorHAnsi" w:hAnsiTheme="minorHAnsi" w:cstheme="minorHAnsi"/>
                <w:sz w:val="20"/>
              </w:rPr>
            </w:pPr>
            <w:r w:rsidRPr="00E10ADD">
              <w:rPr>
                <w:rFonts w:asciiTheme="minorHAnsi" w:hAnsiTheme="minorHAnsi" w:cstheme="minorHAnsi"/>
                <w:b/>
                <w:bCs/>
                <w:sz w:val="20"/>
              </w:rPr>
              <w:t>Route</w:t>
            </w:r>
          </w:p>
        </w:tc>
        <w:tc>
          <w:tcPr>
            <w:tcW w:w="3747" w:type="pct"/>
          </w:tcPr>
          <w:p w:rsidRPr="00E10ADD" w:rsidR="002C21F4" w:rsidP="00131848" w:rsidRDefault="002C21F4" w14:paraId="2C73FEB2" w14:textId="77777777">
            <w:pPr>
              <w:pStyle w:val="BodyText"/>
              <w:rPr>
                <w:rFonts w:asciiTheme="minorHAnsi" w:hAnsiTheme="minorHAnsi" w:cstheme="minorHAnsi"/>
                <w:sz w:val="20"/>
              </w:rPr>
            </w:pPr>
            <w:r w:rsidRPr="00E10ADD">
              <w:rPr>
                <w:rFonts w:asciiTheme="minorHAnsi" w:hAnsiTheme="minorHAnsi" w:cstheme="minorHAnsi"/>
                <w:sz w:val="20"/>
              </w:rPr>
              <w:t>IV infusion.</w:t>
            </w:r>
          </w:p>
        </w:tc>
      </w:tr>
      <w:tr w:rsidRPr="00E10ADD" w:rsidR="002C21F4" w:rsidTr="00D032D3" w14:paraId="5A92F664" w14:textId="77777777">
        <w:trPr>
          <w:trHeight w:val="263"/>
        </w:trPr>
        <w:tc>
          <w:tcPr>
            <w:tcW w:w="1253" w:type="pct"/>
          </w:tcPr>
          <w:p w:rsidRPr="00E10ADD" w:rsidR="002C21F4" w:rsidP="00131848" w:rsidRDefault="002C21F4" w14:paraId="60DE8F35" w14:textId="77777777">
            <w:pPr>
              <w:pStyle w:val="BodyText"/>
              <w:rPr>
                <w:rFonts w:asciiTheme="minorHAnsi" w:hAnsiTheme="minorHAnsi" w:cstheme="minorHAnsi"/>
                <w:b/>
                <w:bCs/>
                <w:sz w:val="20"/>
                <w:highlight w:val="cyan"/>
              </w:rPr>
            </w:pPr>
            <w:r w:rsidRPr="00E10ADD">
              <w:rPr>
                <w:rFonts w:asciiTheme="minorHAnsi" w:hAnsiTheme="minorHAnsi" w:cstheme="minorHAnsi"/>
                <w:b/>
                <w:bCs/>
                <w:sz w:val="20"/>
              </w:rPr>
              <w:t>Preparation</w:t>
            </w:r>
          </w:p>
        </w:tc>
        <w:tc>
          <w:tcPr>
            <w:tcW w:w="3747" w:type="pct"/>
          </w:tcPr>
          <w:p w:rsidRPr="00E10ADD" w:rsidR="002C21F4" w:rsidP="00131848" w:rsidRDefault="002C21F4" w14:paraId="5528D1DF" w14:textId="77777777">
            <w:pPr>
              <w:pStyle w:val="BodyText"/>
              <w:rPr>
                <w:rFonts w:asciiTheme="minorHAnsi" w:hAnsiTheme="minorHAnsi" w:cstheme="minorHAnsi"/>
                <w:b/>
                <w:sz w:val="20"/>
                <w:u w:val="single"/>
              </w:rPr>
            </w:pPr>
            <w:r w:rsidRPr="00E10ADD">
              <w:rPr>
                <w:rFonts w:asciiTheme="minorHAnsi" w:hAnsiTheme="minorHAnsi" w:cstheme="minorHAnsi"/>
                <w:b/>
                <w:sz w:val="20"/>
                <w:u w:val="single"/>
              </w:rPr>
              <w:t xml:space="preserve">Infants </w:t>
            </w:r>
            <w:r>
              <w:rPr>
                <w:rFonts w:asciiTheme="minorHAnsi" w:hAnsiTheme="minorHAnsi" w:cstheme="minorHAnsi"/>
                <w:b/>
                <w:sz w:val="20"/>
                <w:u w:val="single"/>
              </w:rPr>
              <w:t>&lt;</w:t>
            </w:r>
            <w:r w:rsidRPr="00E10ADD">
              <w:rPr>
                <w:rFonts w:asciiTheme="minorHAnsi" w:hAnsiTheme="minorHAnsi" w:cstheme="minorHAnsi"/>
                <w:b/>
                <w:sz w:val="20"/>
                <w:u w:val="single"/>
              </w:rPr>
              <w:t>1</w:t>
            </w:r>
            <w:r>
              <w:rPr>
                <w:rFonts w:asciiTheme="minorHAnsi" w:hAnsiTheme="minorHAnsi" w:cstheme="minorHAnsi"/>
                <w:b/>
                <w:sz w:val="20"/>
                <w:u w:val="single"/>
              </w:rPr>
              <w:t xml:space="preserve"> </w:t>
            </w:r>
            <w:r w:rsidRPr="00E10ADD">
              <w:rPr>
                <w:rFonts w:asciiTheme="minorHAnsi" w:hAnsiTheme="minorHAnsi" w:cstheme="minorHAnsi"/>
                <w:b/>
                <w:sz w:val="20"/>
                <w:u w:val="single"/>
              </w:rPr>
              <w:t>kg</w:t>
            </w:r>
          </w:p>
          <w:p w:rsidRPr="00E10ADD" w:rsidR="002C21F4" w:rsidP="00131848" w:rsidRDefault="002C21F4" w14:paraId="1A084E40" w14:textId="77777777">
            <w:pPr>
              <w:pStyle w:val="BodyText"/>
              <w:rPr>
                <w:rFonts w:asciiTheme="minorHAnsi" w:hAnsiTheme="minorHAnsi" w:cstheme="minorHAnsi"/>
                <w:sz w:val="20"/>
              </w:rPr>
            </w:pPr>
            <w:r w:rsidRPr="00E10ADD">
              <w:rPr>
                <w:rFonts w:asciiTheme="minorHAnsi" w:hAnsiTheme="minorHAnsi" w:cstheme="minorHAnsi"/>
                <w:sz w:val="20"/>
              </w:rPr>
              <w:t>Add 9.6 mL of water for injection to 500 mg vial to make a 50 mg/mL solution OR</w:t>
            </w:r>
          </w:p>
          <w:p w:rsidRPr="00E10ADD" w:rsidR="002C21F4" w:rsidP="00131848" w:rsidRDefault="002C21F4" w14:paraId="4BAEB8DA" w14:textId="77777777">
            <w:pPr>
              <w:pStyle w:val="BodyText"/>
              <w:rPr>
                <w:rFonts w:asciiTheme="minorHAnsi" w:hAnsiTheme="minorHAnsi" w:cstheme="minorHAnsi"/>
                <w:sz w:val="20"/>
              </w:rPr>
            </w:pPr>
            <w:r w:rsidRPr="00E10ADD">
              <w:rPr>
                <w:rFonts w:asciiTheme="minorHAnsi" w:hAnsiTheme="minorHAnsi" w:cstheme="minorHAnsi"/>
                <w:sz w:val="20"/>
              </w:rPr>
              <w:t>Add 19.1 mL of water for injection to 1g vial to make a 50 mg/mL solution.</w:t>
            </w:r>
          </w:p>
          <w:p w:rsidRPr="00E10ADD" w:rsidR="002C21F4" w:rsidP="00131848" w:rsidRDefault="002C21F4" w14:paraId="08F6679A" w14:textId="77777777">
            <w:pPr>
              <w:pStyle w:val="BodyText"/>
              <w:rPr>
                <w:rFonts w:asciiTheme="minorHAnsi" w:hAnsiTheme="minorHAnsi" w:cstheme="minorHAnsi"/>
                <w:b/>
                <w:sz w:val="20"/>
              </w:rPr>
            </w:pPr>
            <w:r w:rsidRPr="00E10ADD">
              <w:rPr>
                <w:rFonts w:asciiTheme="minorHAnsi" w:hAnsiTheme="minorHAnsi" w:cstheme="minorHAnsi"/>
                <w:b/>
                <w:sz w:val="20"/>
              </w:rPr>
              <w:t>FURTHER DILUTE</w:t>
            </w:r>
          </w:p>
          <w:p w:rsidRPr="00E10ADD" w:rsidR="002C21F4" w:rsidP="00131848" w:rsidRDefault="002C21F4" w14:paraId="6FF141B4" w14:textId="77777777">
            <w:pPr>
              <w:pStyle w:val="BodyText"/>
              <w:rPr>
                <w:rFonts w:asciiTheme="minorHAnsi" w:hAnsiTheme="minorHAnsi" w:cstheme="minorHAnsi"/>
                <w:sz w:val="20"/>
              </w:rPr>
            </w:pPr>
            <w:r w:rsidRPr="00E10ADD">
              <w:rPr>
                <w:rFonts w:asciiTheme="minorHAnsi" w:hAnsiTheme="minorHAnsi" w:cstheme="minorHAnsi"/>
                <w:sz w:val="20"/>
              </w:rPr>
              <w:t xml:space="preserve">Draw up 2 mL (100 mg of meropenem) of the above solution and add 8 mL sodium chloride 0.9% to make a final volume of 10 mL with a final concentration of 10 mg/mL. </w:t>
            </w:r>
          </w:p>
          <w:p w:rsidRPr="00E10ADD" w:rsidR="002C21F4" w:rsidP="00131848" w:rsidRDefault="002C21F4" w14:paraId="15729087" w14:textId="77777777">
            <w:pPr>
              <w:pStyle w:val="BodyText"/>
              <w:rPr>
                <w:rFonts w:asciiTheme="minorHAnsi" w:hAnsiTheme="minorHAnsi" w:cstheme="minorHAnsi"/>
                <w:sz w:val="20"/>
              </w:rPr>
            </w:pPr>
          </w:p>
          <w:p w:rsidRPr="00E10ADD" w:rsidR="002C21F4" w:rsidP="00131848" w:rsidRDefault="002C21F4" w14:paraId="671F4184" w14:textId="77777777">
            <w:pPr>
              <w:pStyle w:val="BodyText"/>
              <w:rPr>
                <w:rFonts w:asciiTheme="minorHAnsi" w:hAnsiTheme="minorHAnsi" w:cstheme="minorHAnsi"/>
                <w:sz w:val="20"/>
              </w:rPr>
            </w:pPr>
            <w:r w:rsidRPr="00E10ADD">
              <w:rPr>
                <w:rFonts w:asciiTheme="minorHAnsi" w:hAnsiTheme="minorHAnsi" w:cstheme="minorHAnsi"/>
                <w:b/>
                <w:sz w:val="20"/>
                <w:u w:val="single"/>
              </w:rPr>
              <w:lastRenderedPageBreak/>
              <w:t>Infants</w:t>
            </w:r>
            <w:r>
              <w:rPr>
                <w:rFonts w:asciiTheme="minorHAnsi" w:hAnsiTheme="minorHAnsi" w:cstheme="minorHAnsi"/>
                <w:b/>
                <w:sz w:val="20"/>
                <w:u w:val="single"/>
              </w:rPr>
              <w:t>≥</w:t>
            </w:r>
            <w:r w:rsidRPr="00E10ADD">
              <w:rPr>
                <w:rFonts w:asciiTheme="minorHAnsi" w:hAnsiTheme="minorHAnsi" w:cstheme="minorHAnsi"/>
                <w:b/>
                <w:sz w:val="20"/>
                <w:u w:val="single"/>
              </w:rPr>
              <w:t>1</w:t>
            </w:r>
            <w:r>
              <w:rPr>
                <w:rFonts w:asciiTheme="minorHAnsi" w:hAnsiTheme="minorHAnsi" w:cstheme="minorHAnsi"/>
                <w:b/>
                <w:sz w:val="20"/>
                <w:u w:val="single"/>
              </w:rPr>
              <w:t xml:space="preserve"> </w:t>
            </w:r>
            <w:r w:rsidRPr="00E10ADD">
              <w:rPr>
                <w:rFonts w:asciiTheme="minorHAnsi" w:hAnsiTheme="minorHAnsi" w:cstheme="minorHAnsi"/>
                <w:b/>
                <w:sz w:val="20"/>
                <w:u w:val="single"/>
              </w:rPr>
              <w:t>kg or fluid restricted</w:t>
            </w:r>
            <w:r w:rsidRPr="00E10ADD">
              <w:rPr>
                <w:rFonts w:asciiTheme="minorHAnsi" w:hAnsiTheme="minorHAnsi" w:cstheme="minorHAnsi"/>
                <w:sz w:val="20"/>
              </w:rPr>
              <w:t>.</w:t>
            </w:r>
          </w:p>
          <w:p w:rsidR="002C21F4" w:rsidP="00131848" w:rsidRDefault="002C21F4" w14:paraId="352140D1" w14:textId="77777777">
            <w:pPr>
              <w:pStyle w:val="BodyText"/>
              <w:rPr>
                <w:rFonts w:asciiTheme="minorHAnsi" w:hAnsiTheme="minorHAnsi" w:cstheme="minorHAnsi"/>
                <w:sz w:val="20"/>
              </w:rPr>
            </w:pPr>
            <w:r w:rsidRPr="00E10ADD">
              <w:rPr>
                <w:rFonts w:asciiTheme="minorHAnsi" w:hAnsiTheme="minorHAnsi" w:cstheme="minorHAnsi"/>
                <w:sz w:val="20"/>
              </w:rPr>
              <w:t>Add 9.6 mL of water for injection to 500 mg v</w:t>
            </w:r>
            <w:r>
              <w:rPr>
                <w:rFonts w:asciiTheme="minorHAnsi" w:hAnsiTheme="minorHAnsi" w:cstheme="minorHAnsi"/>
                <w:sz w:val="20"/>
              </w:rPr>
              <w:t>ial to make a 50 mg/mL solution OR</w:t>
            </w:r>
          </w:p>
          <w:p w:rsidRPr="00E10ADD" w:rsidR="002C21F4" w:rsidP="00131848" w:rsidRDefault="002C21F4" w14:paraId="57C05FED" w14:textId="77777777">
            <w:pPr>
              <w:pStyle w:val="BodyText"/>
              <w:rPr>
                <w:rFonts w:asciiTheme="minorHAnsi" w:hAnsiTheme="minorHAnsi" w:cstheme="minorHAnsi"/>
                <w:sz w:val="20"/>
              </w:rPr>
            </w:pPr>
            <w:r w:rsidRPr="00F9341D">
              <w:rPr>
                <w:rFonts w:asciiTheme="minorHAnsi" w:hAnsiTheme="minorHAnsi" w:cstheme="minorHAnsi"/>
                <w:sz w:val="20"/>
              </w:rPr>
              <w:t>Add 19.1 mL of water for injection to 1g vial to make a 50 mg/mL solution.</w:t>
            </w:r>
          </w:p>
          <w:p w:rsidRPr="00E10ADD" w:rsidR="002C21F4" w:rsidP="00131848" w:rsidRDefault="002C21F4" w14:paraId="0A2CE450" w14:textId="77777777">
            <w:pPr>
              <w:pStyle w:val="BodyText"/>
              <w:rPr>
                <w:rFonts w:asciiTheme="minorHAnsi" w:hAnsiTheme="minorHAnsi" w:cstheme="minorHAnsi"/>
                <w:b/>
                <w:sz w:val="20"/>
              </w:rPr>
            </w:pPr>
            <w:r w:rsidRPr="00E10ADD">
              <w:rPr>
                <w:rFonts w:asciiTheme="minorHAnsi" w:hAnsiTheme="minorHAnsi" w:cstheme="minorHAnsi"/>
                <w:b/>
                <w:sz w:val="20"/>
              </w:rPr>
              <w:t>FURTHER DILUTE</w:t>
            </w:r>
          </w:p>
          <w:p w:rsidRPr="00E10ADD" w:rsidR="002C21F4" w:rsidP="00131848" w:rsidRDefault="002C21F4" w14:paraId="773F8309" w14:textId="77777777">
            <w:pPr>
              <w:pStyle w:val="BodyText"/>
              <w:rPr>
                <w:rFonts w:asciiTheme="minorHAnsi" w:hAnsiTheme="minorHAnsi" w:cstheme="minorHAnsi"/>
                <w:sz w:val="20"/>
              </w:rPr>
            </w:pPr>
            <w:r w:rsidRPr="00E10ADD">
              <w:rPr>
                <w:rFonts w:asciiTheme="minorHAnsi" w:hAnsiTheme="minorHAnsi" w:cstheme="minorHAnsi"/>
                <w:sz w:val="20"/>
              </w:rPr>
              <w:t xml:space="preserve">Draw up 4 mL (200 mg of meropenem) of the above solution and add 6 mL sodium chloride 0.9% to make a final volume of 10 mL with a concentration of 20 mg/mL. </w:t>
            </w:r>
          </w:p>
        </w:tc>
      </w:tr>
      <w:tr w:rsidRPr="00E10ADD" w:rsidR="002C21F4" w:rsidTr="00D032D3" w14:paraId="66E6670A" w14:textId="77777777">
        <w:trPr>
          <w:trHeight w:val="263"/>
        </w:trPr>
        <w:tc>
          <w:tcPr>
            <w:tcW w:w="1253" w:type="pct"/>
          </w:tcPr>
          <w:p w:rsidRPr="00E10ADD" w:rsidR="002C21F4" w:rsidP="00131848" w:rsidRDefault="002C21F4" w14:paraId="53033990" w14:textId="77777777">
            <w:pPr>
              <w:pStyle w:val="BodyText"/>
              <w:rPr>
                <w:rFonts w:asciiTheme="minorHAnsi" w:hAnsiTheme="minorHAnsi" w:cstheme="minorHAnsi"/>
                <w:b/>
                <w:bCs/>
                <w:sz w:val="20"/>
              </w:rPr>
            </w:pPr>
            <w:r w:rsidRPr="00E10ADD">
              <w:rPr>
                <w:rFonts w:asciiTheme="minorHAnsi" w:hAnsiTheme="minorHAnsi" w:cstheme="minorHAnsi"/>
                <w:b/>
                <w:bCs/>
                <w:sz w:val="20"/>
              </w:rPr>
              <w:lastRenderedPageBreak/>
              <w:t>Administration</w:t>
            </w:r>
          </w:p>
        </w:tc>
        <w:tc>
          <w:tcPr>
            <w:tcW w:w="3747" w:type="pct"/>
          </w:tcPr>
          <w:p w:rsidRPr="00E10ADD" w:rsidR="002C21F4" w:rsidP="00131848" w:rsidRDefault="002C21F4" w14:paraId="3DC41DFB" w14:textId="77777777">
            <w:pPr>
              <w:pStyle w:val="BodyText"/>
              <w:rPr>
                <w:rFonts w:asciiTheme="minorHAnsi" w:hAnsiTheme="minorHAnsi" w:cstheme="minorHAnsi"/>
                <w:sz w:val="20"/>
              </w:rPr>
            </w:pPr>
            <w:r w:rsidRPr="00E10ADD">
              <w:rPr>
                <w:rFonts w:asciiTheme="minorHAnsi" w:hAnsiTheme="minorHAnsi" w:cstheme="minorHAnsi"/>
                <w:sz w:val="20"/>
              </w:rPr>
              <w:t xml:space="preserve">IV infusion over 4 hours. (5) </w:t>
            </w:r>
          </w:p>
          <w:p w:rsidRPr="00E10ADD" w:rsidR="002C21F4" w:rsidP="00131848" w:rsidRDefault="002C21F4" w14:paraId="27BF09C4" w14:textId="77777777">
            <w:pPr>
              <w:pStyle w:val="BodyText"/>
              <w:rPr>
                <w:rFonts w:asciiTheme="minorHAnsi" w:hAnsiTheme="minorHAnsi" w:cstheme="minorHAnsi"/>
                <w:sz w:val="20"/>
              </w:rPr>
            </w:pPr>
            <w:r w:rsidRPr="00E10ADD">
              <w:rPr>
                <w:rFonts w:asciiTheme="minorHAnsi" w:hAnsiTheme="minorHAnsi" w:cstheme="minorHAnsi"/>
                <w:sz w:val="20"/>
              </w:rPr>
              <w:t>May be given over 15 to 30 minutes if longer infusion time is not feasible.</w:t>
            </w:r>
          </w:p>
        </w:tc>
      </w:tr>
      <w:tr w:rsidRPr="00E10ADD" w:rsidR="002C21F4" w:rsidTr="00D032D3" w14:paraId="09267CEA" w14:textId="77777777">
        <w:trPr>
          <w:trHeight w:val="263"/>
        </w:trPr>
        <w:tc>
          <w:tcPr>
            <w:tcW w:w="1253" w:type="pct"/>
          </w:tcPr>
          <w:p w:rsidRPr="00E10ADD" w:rsidR="002C21F4" w:rsidP="00131848" w:rsidRDefault="002C21F4" w14:paraId="300BC55F" w14:textId="77777777">
            <w:pPr>
              <w:pStyle w:val="BodyText"/>
              <w:rPr>
                <w:rFonts w:asciiTheme="minorHAnsi" w:hAnsiTheme="minorHAnsi" w:cstheme="minorHAnsi"/>
                <w:b/>
                <w:bCs/>
                <w:sz w:val="20"/>
              </w:rPr>
            </w:pPr>
            <w:r w:rsidRPr="00E10ADD">
              <w:rPr>
                <w:rFonts w:asciiTheme="minorHAnsi" w:hAnsiTheme="minorHAnsi" w:cstheme="minorHAnsi"/>
                <w:b/>
                <w:bCs/>
                <w:sz w:val="20"/>
              </w:rPr>
              <w:t>Monitoring</w:t>
            </w:r>
          </w:p>
        </w:tc>
        <w:tc>
          <w:tcPr>
            <w:tcW w:w="3747" w:type="pct"/>
          </w:tcPr>
          <w:p w:rsidRPr="00E10ADD" w:rsidR="002C21F4" w:rsidP="00131848" w:rsidRDefault="002C21F4" w14:paraId="4E9FA614" w14:textId="77777777">
            <w:pPr>
              <w:pStyle w:val="BodyText"/>
              <w:rPr>
                <w:rFonts w:asciiTheme="minorHAnsi" w:hAnsiTheme="minorHAnsi" w:cstheme="minorHAnsi"/>
                <w:sz w:val="20"/>
              </w:rPr>
            </w:pPr>
            <w:r w:rsidRPr="00E10ADD">
              <w:rPr>
                <w:rFonts w:asciiTheme="minorHAnsi" w:hAnsiTheme="minorHAnsi" w:cstheme="minorHAnsi"/>
                <w:sz w:val="20"/>
              </w:rPr>
              <w:t>Renal function.</w:t>
            </w:r>
          </w:p>
          <w:p w:rsidRPr="00E10ADD" w:rsidR="002C21F4" w:rsidP="00131848" w:rsidRDefault="002C21F4" w14:paraId="5DB31B90" w14:textId="77777777">
            <w:pPr>
              <w:pStyle w:val="BodyText"/>
              <w:rPr>
                <w:rFonts w:asciiTheme="minorHAnsi" w:hAnsiTheme="minorHAnsi" w:cstheme="minorHAnsi"/>
                <w:sz w:val="20"/>
              </w:rPr>
            </w:pPr>
            <w:r w:rsidRPr="00E10ADD">
              <w:rPr>
                <w:rFonts w:asciiTheme="minorHAnsi" w:hAnsiTheme="minorHAnsi" w:cstheme="minorHAnsi"/>
                <w:sz w:val="20"/>
              </w:rPr>
              <w:t>Liver function.</w:t>
            </w:r>
          </w:p>
          <w:p w:rsidRPr="00E10ADD" w:rsidR="002C21F4" w:rsidP="00131848" w:rsidRDefault="002C21F4" w14:paraId="3B355C66" w14:textId="77777777">
            <w:pPr>
              <w:pStyle w:val="BodyText"/>
              <w:rPr>
                <w:rFonts w:asciiTheme="minorHAnsi" w:hAnsiTheme="minorHAnsi" w:cstheme="minorHAnsi"/>
                <w:sz w:val="20"/>
              </w:rPr>
            </w:pPr>
            <w:r w:rsidRPr="00E10ADD">
              <w:rPr>
                <w:rFonts w:asciiTheme="minorHAnsi" w:hAnsiTheme="minorHAnsi" w:cstheme="minorHAnsi"/>
                <w:sz w:val="20"/>
              </w:rPr>
              <w:t>Electrolytes</w:t>
            </w:r>
          </w:p>
        </w:tc>
      </w:tr>
      <w:tr w:rsidRPr="00E10ADD" w:rsidR="002C21F4" w:rsidTr="00D032D3" w14:paraId="0EC4BD6A" w14:textId="77777777">
        <w:trPr>
          <w:trHeight w:val="263"/>
        </w:trPr>
        <w:tc>
          <w:tcPr>
            <w:tcW w:w="1253" w:type="pct"/>
          </w:tcPr>
          <w:p w:rsidRPr="00E10ADD" w:rsidR="002C21F4" w:rsidP="00131848" w:rsidRDefault="002C21F4" w14:paraId="2492D7E7" w14:textId="77777777">
            <w:pPr>
              <w:pStyle w:val="BodyText"/>
              <w:rPr>
                <w:rFonts w:asciiTheme="minorHAnsi" w:hAnsiTheme="minorHAnsi" w:cstheme="minorHAnsi"/>
                <w:b/>
                <w:bCs/>
                <w:sz w:val="20"/>
              </w:rPr>
            </w:pPr>
            <w:r w:rsidRPr="00E10ADD">
              <w:rPr>
                <w:rFonts w:asciiTheme="minorHAnsi" w:hAnsiTheme="minorHAnsi" w:cstheme="minorHAnsi"/>
                <w:b/>
                <w:bCs/>
                <w:sz w:val="20"/>
              </w:rPr>
              <w:t>Contraindications</w:t>
            </w:r>
          </w:p>
        </w:tc>
        <w:tc>
          <w:tcPr>
            <w:tcW w:w="3747" w:type="pct"/>
          </w:tcPr>
          <w:p w:rsidRPr="00E10ADD" w:rsidR="002C21F4" w:rsidP="00131848" w:rsidRDefault="002C21F4" w14:paraId="307189EB" w14:textId="77777777">
            <w:pPr>
              <w:pStyle w:val="BodyText"/>
              <w:rPr>
                <w:rFonts w:asciiTheme="minorHAnsi" w:hAnsiTheme="minorHAnsi" w:cstheme="minorHAnsi"/>
                <w:sz w:val="20"/>
              </w:rPr>
            </w:pPr>
            <w:r w:rsidRPr="00E10ADD">
              <w:rPr>
                <w:rFonts w:asciiTheme="minorHAnsi" w:hAnsiTheme="minorHAnsi" w:cstheme="minorHAnsi"/>
                <w:sz w:val="20"/>
              </w:rPr>
              <w:t>Hypersensitivity to penicillins, cephalosporins and carbapenems.</w:t>
            </w:r>
          </w:p>
        </w:tc>
      </w:tr>
      <w:tr w:rsidRPr="00E10ADD" w:rsidR="002C21F4" w:rsidTr="00D032D3" w14:paraId="410073A5" w14:textId="77777777">
        <w:trPr>
          <w:trHeight w:val="263"/>
        </w:trPr>
        <w:tc>
          <w:tcPr>
            <w:tcW w:w="1253" w:type="pct"/>
          </w:tcPr>
          <w:p w:rsidRPr="00E10ADD" w:rsidR="002C21F4" w:rsidP="00131848" w:rsidRDefault="002C21F4" w14:paraId="2CA33219" w14:textId="77777777">
            <w:pPr>
              <w:pStyle w:val="BodyText"/>
              <w:rPr>
                <w:rFonts w:asciiTheme="minorHAnsi" w:hAnsiTheme="minorHAnsi" w:cstheme="minorHAnsi"/>
                <w:b/>
                <w:bCs/>
                <w:sz w:val="20"/>
              </w:rPr>
            </w:pPr>
            <w:r w:rsidRPr="00E10ADD">
              <w:rPr>
                <w:rFonts w:asciiTheme="minorHAnsi" w:hAnsiTheme="minorHAnsi" w:cstheme="minorHAnsi"/>
                <w:sz w:val="20"/>
              </w:rPr>
              <w:br w:type="page"/>
            </w:r>
            <w:r w:rsidRPr="00E10ADD">
              <w:rPr>
                <w:rFonts w:asciiTheme="minorHAnsi" w:hAnsiTheme="minorHAnsi" w:cstheme="minorHAnsi"/>
                <w:b/>
                <w:bCs/>
                <w:sz w:val="20"/>
              </w:rPr>
              <w:t>Precautions</w:t>
            </w:r>
          </w:p>
        </w:tc>
        <w:tc>
          <w:tcPr>
            <w:tcW w:w="3747" w:type="pct"/>
          </w:tcPr>
          <w:p w:rsidRPr="00E10ADD" w:rsidR="002C21F4" w:rsidP="00131848" w:rsidRDefault="002C21F4" w14:paraId="0BC5B177" w14:textId="77777777">
            <w:pPr>
              <w:pStyle w:val="BodyText"/>
              <w:rPr>
                <w:rFonts w:asciiTheme="minorHAnsi" w:hAnsiTheme="minorHAnsi" w:cstheme="minorHAnsi"/>
                <w:sz w:val="20"/>
              </w:rPr>
            </w:pPr>
            <w:r w:rsidRPr="00E10ADD">
              <w:rPr>
                <w:rFonts w:asciiTheme="minorHAnsi" w:hAnsiTheme="minorHAnsi" w:cstheme="minorHAnsi"/>
                <w:sz w:val="20"/>
              </w:rPr>
              <w:t xml:space="preserve">Colitis−due to risk of pseudomembranous colitis.  </w:t>
            </w:r>
          </w:p>
          <w:p w:rsidRPr="00E10ADD" w:rsidR="002C21F4" w:rsidP="00131848" w:rsidRDefault="002C21F4" w14:paraId="3A35E78A" w14:textId="77777777">
            <w:pPr>
              <w:pStyle w:val="BodyText"/>
              <w:rPr>
                <w:rFonts w:asciiTheme="minorHAnsi" w:hAnsiTheme="minorHAnsi" w:cstheme="minorHAnsi"/>
                <w:sz w:val="20"/>
              </w:rPr>
            </w:pPr>
            <w:r w:rsidRPr="00E10ADD">
              <w:rPr>
                <w:rFonts w:asciiTheme="minorHAnsi" w:hAnsiTheme="minorHAnsi" w:cstheme="minorHAnsi"/>
                <w:sz w:val="20"/>
              </w:rPr>
              <w:t>Renal impairment.</w:t>
            </w:r>
          </w:p>
        </w:tc>
      </w:tr>
      <w:tr w:rsidRPr="00E10ADD" w:rsidR="002C21F4" w:rsidTr="00D032D3" w14:paraId="01EBD44B" w14:textId="77777777">
        <w:trPr>
          <w:trHeight w:val="263"/>
        </w:trPr>
        <w:tc>
          <w:tcPr>
            <w:tcW w:w="1253" w:type="pct"/>
          </w:tcPr>
          <w:p w:rsidRPr="00E10ADD" w:rsidR="002C21F4" w:rsidP="00131848" w:rsidRDefault="002C21F4" w14:paraId="49616AF7" w14:textId="77777777">
            <w:pPr>
              <w:pStyle w:val="BodyText"/>
              <w:rPr>
                <w:rFonts w:asciiTheme="minorHAnsi" w:hAnsiTheme="minorHAnsi" w:cstheme="minorHAnsi"/>
                <w:b/>
                <w:bCs/>
                <w:sz w:val="20"/>
              </w:rPr>
            </w:pPr>
            <w:r w:rsidRPr="00E10ADD">
              <w:rPr>
                <w:rFonts w:asciiTheme="minorHAnsi" w:hAnsiTheme="minorHAnsi" w:cstheme="minorHAnsi"/>
                <w:b/>
                <w:bCs/>
                <w:sz w:val="20"/>
              </w:rPr>
              <w:t>Drug interactions</w:t>
            </w:r>
          </w:p>
        </w:tc>
        <w:tc>
          <w:tcPr>
            <w:tcW w:w="3747" w:type="pct"/>
          </w:tcPr>
          <w:p w:rsidRPr="00E10ADD" w:rsidR="002C21F4" w:rsidP="00131848" w:rsidRDefault="002C21F4" w14:paraId="39516065" w14:textId="77777777">
            <w:pPr>
              <w:pStyle w:val="BodyText"/>
              <w:rPr>
                <w:rFonts w:asciiTheme="minorHAnsi" w:hAnsiTheme="minorHAnsi" w:cstheme="minorHAnsi"/>
                <w:sz w:val="20"/>
              </w:rPr>
            </w:pPr>
            <w:r w:rsidRPr="00E10ADD">
              <w:rPr>
                <w:rFonts w:asciiTheme="minorHAnsi" w:hAnsiTheme="minorHAnsi" w:cstheme="minorHAnsi"/>
                <w:sz w:val="20"/>
              </w:rPr>
              <w:t xml:space="preserve">Sodium valproate− meropenem may result in clinically significant reduction in concentration of sodium valproate, which may cause seizures. </w:t>
            </w:r>
          </w:p>
        </w:tc>
      </w:tr>
      <w:tr w:rsidRPr="00E10ADD" w:rsidR="002C21F4" w:rsidTr="00D032D3" w14:paraId="5D606AF4" w14:textId="77777777">
        <w:trPr>
          <w:trHeight w:val="263"/>
        </w:trPr>
        <w:tc>
          <w:tcPr>
            <w:tcW w:w="1253" w:type="pct"/>
          </w:tcPr>
          <w:p w:rsidRPr="00E10ADD" w:rsidR="002C21F4" w:rsidP="00131848" w:rsidRDefault="002C21F4" w14:paraId="4F3BED4E" w14:textId="77777777">
            <w:pPr>
              <w:pStyle w:val="BodyText"/>
              <w:rPr>
                <w:rFonts w:asciiTheme="minorHAnsi" w:hAnsiTheme="minorHAnsi" w:cstheme="minorHAnsi"/>
                <w:b/>
                <w:bCs/>
                <w:sz w:val="20"/>
              </w:rPr>
            </w:pPr>
            <w:r w:rsidRPr="00E10ADD">
              <w:rPr>
                <w:rFonts w:asciiTheme="minorHAnsi" w:hAnsiTheme="minorHAnsi" w:cstheme="minorHAnsi"/>
                <w:b/>
                <w:bCs/>
                <w:sz w:val="20"/>
              </w:rPr>
              <w:t xml:space="preserve">Adverse reactions </w:t>
            </w:r>
          </w:p>
        </w:tc>
        <w:tc>
          <w:tcPr>
            <w:tcW w:w="3747" w:type="pct"/>
          </w:tcPr>
          <w:p w:rsidRPr="00E10ADD" w:rsidR="002C21F4" w:rsidP="00131848" w:rsidRDefault="002C21F4" w14:paraId="490B9BAF" w14:textId="77777777">
            <w:pPr>
              <w:pStyle w:val="BodyText"/>
              <w:rPr>
                <w:rFonts w:asciiTheme="minorHAnsi" w:hAnsiTheme="minorHAnsi" w:cstheme="minorHAnsi"/>
                <w:sz w:val="20"/>
              </w:rPr>
            </w:pPr>
            <w:r w:rsidRPr="00E10ADD">
              <w:rPr>
                <w:rFonts w:asciiTheme="minorHAnsi" w:hAnsiTheme="minorHAnsi" w:cstheme="minorHAnsi"/>
                <w:sz w:val="20"/>
              </w:rPr>
              <w:t>Phlebitis, diarrhoea (up to 6% in children), anaemia and eosinophilia.</w:t>
            </w:r>
          </w:p>
        </w:tc>
      </w:tr>
      <w:tr w:rsidRPr="00E10ADD" w:rsidR="002C21F4" w:rsidTr="00D032D3" w14:paraId="097D354E" w14:textId="77777777">
        <w:trPr>
          <w:trHeight w:val="263"/>
        </w:trPr>
        <w:tc>
          <w:tcPr>
            <w:tcW w:w="1253" w:type="pct"/>
          </w:tcPr>
          <w:p w:rsidRPr="00E10ADD" w:rsidR="002C21F4" w:rsidP="00131848" w:rsidRDefault="002C21F4" w14:paraId="56F3FF6F" w14:textId="77777777">
            <w:pPr>
              <w:pStyle w:val="BodyText"/>
              <w:rPr>
                <w:rFonts w:asciiTheme="minorHAnsi" w:hAnsiTheme="minorHAnsi" w:cstheme="minorHAnsi"/>
                <w:b/>
                <w:bCs/>
                <w:sz w:val="20"/>
              </w:rPr>
            </w:pPr>
            <w:r w:rsidRPr="00E10ADD">
              <w:rPr>
                <w:rFonts w:asciiTheme="minorHAnsi" w:hAnsiTheme="minorHAnsi" w:cstheme="minorHAnsi"/>
                <w:b/>
                <w:bCs/>
                <w:sz w:val="20"/>
              </w:rPr>
              <w:t>Compatibility</w:t>
            </w:r>
          </w:p>
        </w:tc>
        <w:tc>
          <w:tcPr>
            <w:tcW w:w="3747" w:type="pct"/>
          </w:tcPr>
          <w:p w:rsidRPr="00E10ADD" w:rsidR="002C21F4" w:rsidP="00131848" w:rsidRDefault="002C21F4" w14:paraId="699B3BA2" w14:textId="77777777">
            <w:pPr>
              <w:pStyle w:val="BodyText"/>
              <w:rPr>
                <w:rFonts w:asciiTheme="minorHAnsi" w:hAnsiTheme="minorHAnsi" w:cstheme="minorHAnsi"/>
                <w:color w:val="333333"/>
                <w:sz w:val="20"/>
              </w:rPr>
            </w:pPr>
            <w:r w:rsidRPr="00E10ADD">
              <w:rPr>
                <w:rFonts w:asciiTheme="minorHAnsi" w:hAnsiTheme="minorHAnsi" w:cstheme="minorHAnsi"/>
                <w:sz w:val="20"/>
              </w:rPr>
              <w:t xml:space="preserve">Fluids: </w:t>
            </w:r>
            <w:r w:rsidRPr="00E10ADD">
              <w:rPr>
                <w:rFonts w:asciiTheme="minorHAnsi" w:hAnsiTheme="minorHAnsi" w:cstheme="minorHAnsi"/>
                <w:color w:val="333333"/>
                <w:sz w:val="20"/>
              </w:rPr>
              <w:t xml:space="preserve">sodium chloride 0.9% (preferred for stability), glucose 5%, glucose 10%, </w:t>
            </w:r>
          </w:p>
          <w:p w:rsidRPr="00E10ADD" w:rsidR="002C21F4" w:rsidP="00131848" w:rsidRDefault="002C21F4" w14:paraId="034BAECA" w14:textId="77777777">
            <w:pPr>
              <w:pStyle w:val="BodyText"/>
              <w:rPr>
                <w:rFonts w:asciiTheme="minorHAnsi" w:hAnsiTheme="minorHAnsi" w:cstheme="minorHAnsi"/>
                <w:sz w:val="20"/>
              </w:rPr>
            </w:pPr>
            <w:r w:rsidRPr="00E10ADD">
              <w:rPr>
                <w:rFonts w:asciiTheme="minorHAnsi" w:hAnsiTheme="minorHAnsi" w:cstheme="minorHAnsi"/>
                <w:color w:val="333333"/>
                <w:sz w:val="20"/>
              </w:rPr>
              <w:t xml:space="preserve">Y-site: Amino acid solutions, anidulafungin, caspofungin, linezolid, atropine, dexamethasone sodium, gentamicin, heparin sodium, metronidazole. </w:t>
            </w:r>
          </w:p>
        </w:tc>
      </w:tr>
      <w:tr w:rsidRPr="00E10ADD" w:rsidR="002C21F4" w:rsidTr="00D032D3" w14:paraId="4E6FE90E" w14:textId="77777777">
        <w:trPr>
          <w:trHeight w:val="263"/>
        </w:trPr>
        <w:tc>
          <w:tcPr>
            <w:tcW w:w="1253" w:type="pct"/>
          </w:tcPr>
          <w:p w:rsidRPr="00E10ADD" w:rsidR="002C21F4" w:rsidP="00131848" w:rsidRDefault="002C21F4" w14:paraId="2372B47A" w14:textId="77777777">
            <w:pPr>
              <w:pStyle w:val="BodyText"/>
              <w:rPr>
                <w:rFonts w:asciiTheme="minorHAnsi" w:hAnsiTheme="minorHAnsi" w:cstheme="minorHAnsi"/>
                <w:b/>
                <w:bCs/>
                <w:sz w:val="20"/>
              </w:rPr>
            </w:pPr>
            <w:r w:rsidRPr="00E10ADD">
              <w:rPr>
                <w:rFonts w:asciiTheme="minorHAnsi" w:hAnsiTheme="minorHAnsi" w:cstheme="minorHAnsi"/>
                <w:b/>
                <w:bCs/>
                <w:sz w:val="20"/>
              </w:rPr>
              <w:t>Incompatibility</w:t>
            </w:r>
          </w:p>
        </w:tc>
        <w:tc>
          <w:tcPr>
            <w:tcW w:w="3747" w:type="pct"/>
          </w:tcPr>
          <w:p w:rsidRPr="00E10ADD" w:rsidR="002C21F4" w:rsidP="00131848" w:rsidRDefault="002C21F4" w14:paraId="02826D34" w14:textId="77777777">
            <w:pPr>
              <w:pStyle w:val="BodyText"/>
              <w:rPr>
                <w:rFonts w:asciiTheme="minorHAnsi" w:hAnsiTheme="minorHAnsi" w:cstheme="minorHAnsi"/>
                <w:sz w:val="20"/>
              </w:rPr>
            </w:pPr>
            <w:r w:rsidRPr="00E10ADD">
              <w:rPr>
                <w:rFonts w:asciiTheme="minorHAnsi" w:hAnsiTheme="minorHAnsi" w:cstheme="minorHAnsi"/>
                <w:sz w:val="20"/>
              </w:rPr>
              <w:t>Fluids: Mannitol 10%</w:t>
            </w:r>
          </w:p>
          <w:p w:rsidRPr="00E10ADD" w:rsidR="002C21F4" w:rsidP="00131848" w:rsidRDefault="002C21F4" w14:paraId="60A413A8" w14:textId="77777777">
            <w:pPr>
              <w:pStyle w:val="BodyText"/>
              <w:rPr>
                <w:rFonts w:asciiTheme="minorHAnsi" w:hAnsiTheme="minorHAnsi" w:cstheme="minorHAnsi"/>
                <w:sz w:val="20"/>
              </w:rPr>
            </w:pPr>
          </w:p>
          <w:p w:rsidRPr="00E10ADD" w:rsidR="002C21F4" w:rsidP="00131848" w:rsidRDefault="002C21F4" w14:paraId="1192F93A" w14:textId="77777777">
            <w:pPr>
              <w:pStyle w:val="BodyText"/>
              <w:rPr>
                <w:rFonts w:asciiTheme="minorHAnsi" w:hAnsiTheme="minorHAnsi" w:cstheme="minorHAnsi"/>
                <w:sz w:val="20"/>
              </w:rPr>
            </w:pPr>
            <w:r w:rsidRPr="00E10ADD">
              <w:rPr>
                <w:rFonts w:asciiTheme="minorHAnsi" w:hAnsiTheme="minorHAnsi" w:cstheme="minorHAnsi"/>
                <w:sz w:val="20"/>
              </w:rPr>
              <w:t xml:space="preserve">Y-site: </w:t>
            </w:r>
            <w:r w:rsidRPr="00E10ADD">
              <w:rPr>
                <w:rFonts w:asciiTheme="minorHAnsi" w:hAnsiTheme="minorHAnsi" w:cstheme="minorHAnsi"/>
                <w:color w:val="333333"/>
                <w:sz w:val="20"/>
              </w:rPr>
              <w:t>Dolasetron, ketamine, zidovudine.</w:t>
            </w:r>
          </w:p>
        </w:tc>
      </w:tr>
      <w:tr w:rsidRPr="00E10ADD" w:rsidR="002C21F4" w:rsidTr="00D032D3" w14:paraId="1DBA6361" w14:textId="77777777">
        <w:trPr>
          <w:trHeight w:val="263"/>
        </w:trPr>
        <w:tc>
          <w:tcPr>
            <w:tcW w:w="1253" w:type="pct"/>
          </w:tcPr>
          <w:p w:rsidRPr="00E10ADD" w:rsidR="002C21F4" w:rsidP="00131848" w:rsidRDefault="002C21F4" w14:paraId="364CA6C3" w14:textId="77777777">
            <w:pPr>
              <w:pStyle w:val="BodyText"/>
              <w:rPr>
                <w:rFonts w:asciiTheme="minorHAnsi" w:hAnsiTheme="minorHAnsi" w:cstheme="minorHAnsi"/>
                <w:b/>
                <w:bCs/>
                <w:sz w:val="20"/>
              </w:rPr>
            </w:pPr>
            <w:r w:rsidRPr="00E10ADD">
              <w:rPr>
                <w:rFonts w:asciiTheme="minorHAnsi" w:hAnsiTheme="minorHAnsi" w:cstheme="minorHAnsi"/>
                <w:b/>
                <w:bCs/>
                <w:sz w:val="20"/>
              </w:rPr>
              <w:t>Stability</w:t>
            </w:r>
          </w:p>
        </w:tc>
        <w:tc>
          <w:tcPr>
            <w:tcW w:w="3747" w:type="pct"/>
          </w:tcPr>
          <w:p w:rsidRPr="00E10ADD" w:rsidR="002C21F4" w:rsidP="00131848" w:rsidRDefault="002C21F4" w14:paraId="35A6572A" w14:textId="77777777">
            <w:pPr>
              <w:pStyle w:val="BodyText"/>
              <w:rPr>
                <w:rFonts w:asciiTheme="minorHAnsi" w:hAnsiTheme="minorHAnsi" w:cstheme="minorHAnsi"/>
                <w:sz w:val="20"/>
              </w:rPr>
            </w:pPr>
            <w:r w:rsidRPr="00E10ADD">
              <w:rPr>
                <w:rFonts w:asciiTheme="minorHAnsi" w:hAnsiTheme="minorHAnsi" w:cstheme="minorHAnsi"/>
                <w:sz w:val="20"/>
              </w:rPr>
              <w:t xml:space="preserve">Use immediately after preparation. </w:t>
            </w:r>
          </w:p>
          <w:p w:rsidRPr="00E10ADD" w:rsidR="002C21F4" w:rsidP="00131848" w:rsidRDefault="002C21F4" w14:paraId="496AB54F" w14:textId="77777777">
            <w:pPr>
              <w:pStyle w:val="BodyText"/>
              <w:rPr>
                <w:rFonts w:asciiTheme="minorHAnsi" w:hAnsiTheme="minorHAnsi" w:cstheme="minorHAnsi"/>
                <w:sz w:val="20"/>
              </w:rPr>
            </w:pPr>
            <w:r w:rsidRPr="00E10ADD">
              <w:rPr>
                <w:rFonts w:asciiTheme="minorHAnsi" w:hAnsiTheme="minorHAnsi" w:cstheme="minorHAnsi"/>
                <w:sz w:val="20"/>
              </w:rPr>
              <w:t>Diluted solutions are potentially unstable, particularly glucose containing solutions and should be discarded if not used immediately.</w:t>
            </w:r>
          </w:p>
        </w:tc>
      </w:tr>
      <w:tr w:rsidRPr="00E10ADD" w:rsidR="002C21F4" w:rsidTr="00D032D3" w14:paraId="30EC0CF9" w14:textId="77777777">
        <w:trPr>
          <w:trHeight w:val="237"/>
        </w:trPr>
        <w:tc>
          <w:tcPr>
            <w:tcW w:w="1253" w:type="pct"/>
          </w:tcPr>
          <w:p w:rsidRPr="00E10ADD" w:rsidR="002C21F4" w:rsidP="00131848" w:rsidRDefault="002C21F4" w14:paraId="12834540" w14:textId="77777777">
            <w:pPr>
              <w:pStyle w:val="BodyText"/>
              <w:rPr>
                <w:rFonts w:asciiTheme="minorHAnsi" w:hAnsiTheme="minorHAnsi" w:cstheme="minorHAnsi"/>
                <w:b/>
                <w:bCs/>
                <w:sz w:val="20"/>
              </w:rPr>
            </w:pPr>
            <w:r w:rsidRPr="00E10ADD">
              <w:rPr>
                <w:rFonts w:asciiTheme="minorHAnsi" w:hAnsiTheme="minorHAnsi" w:cstheme="minorHAnsi"/>
                <w:b/>
                <w:bCs/>
                <w:sz w:val="20"/>
              </w:rPr>
              <w:t>Storage</w:t>
            </w:r>
          </w:p>
        </w:tc>
        <w:tc>
          <w:tcPr>
            <w:tcW w:w="3747" w:type="pct"/>
          </w:tcPr>
          <w:p w:rsidRPr="00E10ADD" w:rsidR="002C21F4" w:rsidP="00131848" w:rsidRDefault="002C21F4" w14:paraId="510466E4" w14:textId="77777777">
            <w:pPr>
              <w:pStyle w:val="BodyText"/>
              <w:rPr>
                <w:rFonts w:asciiTheme="minorHAnsi" w:hAnsiTheme="minorHAnsi" w:cstheme="minorHAnsi"/>
                <w:sz w:val="20"/>
              </w:rPr>
            </w:pPr>
            <w:r w:rsidRPr="00E10ADD">
              <w:rPr>
                <w:rFonts w:asciiTheme="minorHAnsi" w:hAnsiTheme="minorHAnsi" w:cstheme="minorHAnsi"/>
                <w:sz w:val="20"/>
              </w:rPr>
              <w:t>Vial: Store at room temperature.</w:t>
            </w:r>
          </w:p>
        </w:tc>
      </w:tr>
      <w:tr w:rsidRPr="00E10ADD" w:rsidR="002C21F4" w:rsidTr="00D032D3" w14:paraId="25A86188" w14:textId="77777777">
        <w:trPr>
          <w:trHeight w:val="263"/>
        </w:trPr>
        <w:tc>
          <w:tcPr>
            <w:tcW w:w="1253" w:type="pct"/>
          </w:tcPr>
          <w:p w:rsidRPr="00E10ADD" w:rsidR="002C21F4" w:rsidP="00131848" w:rsidRDefault="002C21F4" w14:paraId="6ABA859F" w14:textId="77777777">
            <w:pPr>
              <w:pStyle w:val="BodyText"/>
              <w:rPr>
                <w:rFonts w:asciiTheme="minorHAnsi" w:hAnsiTheme="minorHAnsi" w:cstheme="minorHAnsi"/>
                <w:b/>
                <w:bCs/>
                <w:sz w:val="20"/>
              </w:rPr>
            </w:pPr>
            <w:r w:rsidRPr="00E10ADD">
              <w:rPr>
                <w:rFonts w:asciiTheme="minorHAnsi" w:hAnsiTheme="minorHAnsi" w:cstheme="minorHAnsi"/>
                <w:b/>
                <w:bCs/>
                <w:sz w:val="20"/>
              </w:rPr>
              <w:t>Excipients</w:t>
            </w:r>
          </w:p>
        </w:tc>
        <w:tc>
          <w:tcPr>
            <w:tcW w:w="3747" w:type="pct"/>
          </w:tcPr>
          <w:p w:rsidRPr="00E10ADD" w:rsidR="002C21F4" w:rsidP="00131848" w:rsidRDefault="002C21F4" w14:paraId="10A50473" w14:textId="77777777">
            <w:pPr>
              <w:pStyle w:val="BodyText"/>
              <w:rPr>
                <w:rFonts w:asciiTheme="minorHAnsi" w:hAnsiTheme="minorHAnsi" w:cstheme="minorHAnsi"/>
                <w:sz w:val="20"/>
              </w:rPr>
            </w:pPr>
            <w:r w:rsidRPr="00E10ADD">
              <w:rPr>
                <w:rFonts w:asciiTheme="minorHAnsi" w:hAnsiTheme="minorHAnsi" w:cstheme="minorHAnsi"/>
                <w:sz w:val="20"/>
              </w:rPr>
              <w:t>Sodium carbonate</w:t>
            </w:r>
          </w:p>
        </w:tc>
      </w:tr>
      <w:tr w:rsidRPr="00E10ADD" w:rsidR="002C21F4" w:rsidTr="00D032D3" w14:paraId="2EB9BF35" w14:textId="77777777">
        <w:trPr>
          <w:trHeight w:val="263"/>
        </w:trPr>
        <w:tc>
          <w:tcPr>
            <w:tcW w:w="1253" w:type="pct"/>
          </w:tcPr>
          <w:p w:rsidRPr="00E10ADD" w:rsidR="002C21F4" w:rsidP="00131848" w:rsidRDefault="002C21F4" w14:paraId="47B26942" w14:textId="77777777">
            <w:pPr>
              <w:pStyle w:val="BodyText"/>
              <w:rPr>
                <w:rFonts w:asciiTheme="minorHAnsi" w:hAnsiTheme="minorHAnsi" w:cstheme="minorHAnsi"/>
                <w:b/>
                <w:bCs/>
                <w:sz w:val="20"/>
              </w:rPr>
            </w:pPr>
            <w:r w:rsidRPr="00E10ADD">
              <w:rPr>
                <w:rFonts w:asciiTheme="minorHAnsi" w:hAnsiTheme="minorHAnsi" w:cstheme="minorHAnsi"/>
                <w:b/>
                <w:bCs/>
                <w:sz w:val="20"/>
              </w:rPr>
              <w:t xml:space="preserve">Special comments </w:t>
            </w:r>
          </w:p>
        </w:tc>
        <w:tc>
          <w:tcPr>
            <w:tcW w:w="3747" w:type="pct"/>
          </w:tcPr>
          <w:p w:rsidRPr="00E10ADD" w:rsidR="002C21F4" w:rsidP="00131848" w:rsidRDefault="002C21F4" w14:paraId="227CF46D" w14:textId="77777777">
            <w:pPr>
              <w:pStyle w:val="BodyText"/>
              <w:rPr>
                <w:rFonts w:asciiTheme="minorHAnsi" w:hAnsiTheme="minorHAnsi" w:cstheme="minorHAnsi"/>
                <w:sz w:val="20"/>
              </w:rPr>
            </w:pPr>
            <w:r w:rsidRPr="00E10ADD">
              <w:rPr>
                <w:rFonts w:asciiTheme="minorHAnsi" w:hAnsiTheme="minorHAnsi" w:cstheme="minorHAnsi"/>
                <w:sz w:val="20"/>
              </w:rPr>
              <w:t xml:space="preserve">Meropenem 1 g vial contains 3.92 mmol of sodium. </w:t>
            </w:r>
          </w:p>
        </w:tc>
      </w:tr>
      <w:tr w:rsidRPr="00E10ADD" w:rsidR="002C21F4" w:rsidTr="00D032D3" w14:paraId="60F06307" w14:textId="77777777">
        <w:trPr>
          <w:trHeight w:val="263"/>
        </w:trPr>
        <w:tc>
          <w:tcPr>
            <w:tcW w:w="1253" w:type="pct"/>
          </w:tcPr>
          <w:p w:rsidRPr="00E10ADD" w:rsidR="002C21F4" w:rsidP="00131848" w:rsidRDefault="002C21F4" w14:paraId="26E92447" w14:textId="77777777">
            <w:pPr>
              <w:pStyle w:val="BodyText"/>
              <w:rPr>
                <w:rFonts w:asciiTheme="minorHAnsi" w:hAnsiTheme="minorHAnsi" w:cstheme="minorHAnsi"/>
                <w:b/>
                <w:bCs/>
                <w:sz w:val="20"/>
              </w:rPr>
            </w:pPr>
            <w:r w:rsidRPr="00E10ADD">
              <w:rPr>
                <w:rFonts w:asciiTheme="minorHAnsi" w:hAnsiTheme="minorHAnsi" w:cstheme="minorHAnsi"/>
                <w:b/>
                <w:bCs/>
                <w:sz w:val="20"/>
              </w:rPr>
              <w:t xml:space="preserve">Evidence </w:t>
            </w:r>
          </w:p>
        </w:tc>
        <w:tc>
          <w:tcPr>
            <w:tcW w:w="3747" w:type="pct"/>
          </w:tcPr>
          <w:p w:rsidRPr="00D032D3" w:rsidR="002C21F4" w:rsidP="00131848" w:rsidRDefault="002C21F4" w14:paraId="59219155" w14:textId="77777777">
            <w:pPr>
              <w:pStyle w:val="BodyText"/>
              <w:rPr>
                <w:rFonts w:asciiTheme="minorHAnsi" w:hAnsiTheme="minorHAnsi" w:cstheme="minorHAnsi"/>
                <w:sz w:val="16"/>
                <w:szCs w:val="16"/>
              </w:rPr>
            </w:pPr>
            <w:r w:rsidRPr="00D032D3">
              <w:rPr>
                <w:rFonts w:asciiTheme="minorHAnsi" w:hAnsiTheme="minorHAnsi" w:cstheme="minorHAnsi"/>
                <w:b/>
                <w:sz w:val="16"/>
                <w:szCs w:val="16"/>
              </w:rPr>
              <w:t>Efficacy:</w:t>
            </w:r>
            <w:r w:rsidRPr="00D032D3">
              <w:rPr>
                <w:rFonts w:asciiTheme="minorHAnsi" w:hAnsiTheme="minorHAnsi" w:cstheme="minorHAnsi"/>
                <w:sz w:val="16"/>
                <w:szCs w:val="16"/>
              </w:rPr>
              <w:br/>
            </w:r>
            <w:r w:rsidRPr="00D032D3">
              <w:rPr>
                <w:rFonts w:asciiTheme="minorHAnsi" w:hAnsiTheme="minorHAnsi" w:cstheme="minorHAnsi"/>
                <w:sz w:val="16"/>
                <w:szCs w:val="16"/>
              </w:rPr>
              <w:t xml:space="preserve">Carbapenems may be considered the treatment of choice for empirical treatment of patients with ESBL-producing </w:t>
            </w:r>
            <w:r w:rsidRPr="00D032D3">
              <w:rPr>
                <w:rFonts w:asciiTheme="minorHAnsi" w:hAnsiTheme="minorHAnsi" w:cstheme="minorHAnsi"/>
                <w:i/>
                <w:sz w:val="16"/>
                <w:szCs w:val="16"/>
              </w:rPr>
              <w:t>Enterobacteriaceae</w:t>
            </w:r>
            <w:r w:rsidRPr="00D032D3">
              <w:rPr>
                <w:rFonts w:asciiTheme="minorHAnsi" w:hAnsiTheme="minorHAnsi" w:cstheme="minorHAnsi"/>
                <w:sz w:val="16"/>
                <w:szCs w:val="16"/>
              </w:rPr>
              <w:t xml:space="preserve"> bacteraemia. A systematic review of carbapenems for the treatment of patients with extended-spectrum β-lactamase (ESBL)-positive </w:t>
            </w:r>
            <w:r w:rsidRPr="00D032D3">
              <w:rPr>
                <w:rFonts w:asciiTheme="minorHAnsi" w:hAnsiTheme="minorHAnsi" w:cstheme="minorHAnsi"/>
                <w:i/>
                <w:sz w:val="16"/>
                <w:szCs w:val="16"/>
              </w:rPr>
              <w:t>Enterobacteriaceae</w:t>
            </w:r>
            <w:r w:rsidRPr="00D032D3">
              <w:rPr>
                <w:rFonts w:asciiTheme="minorHAnsi" w:hAnsiTheme="minorHAnsi" w:cstheme="minorHAnsi"/>
                <w:sz w:val="16"/>
                <w:szCs w:val="16"/>
              </w:rPr>
              <w:t xml:space="preserve"> bacteraemia involving 1584 patients, mostly adults showed lower mortality than non-Beta-lactam/Beta-Lactam Inhibitor combination antibiotics for definitive [risk ratio (RR) 0.65, 95% CI 0.47–0.91] and empirical (RR 0.50, 95% CI 0.33–0.77) treatment. No statistically significant differences in mortality were found between carbapenems and BL/BLIs administered as definitive (RR 0.52, 95% 0.23–1.13) or empirical (RR 0.91, 95% CI 0.66–1.25) treatment (LOE 1, GOR C).</w:t>
            </w:r>
            <w:r w:rsidRPr="00D032D3">
              <w:rPr>
                <w:rFonts w:asciiTheme="minorHAnsi" w:hAnsiTheme="minorHAnsi" w:cstheme="minorHAnsi"/>
                <w:sz w:val="16"/>
                <w:szCs w:val="16"/>
                <w:vertAlign w:val="superscript"/>
              </w:rPr>
              <w:t>2</w:t>
            </w:r>
            <w:r w:rsidRPr="00D032D3">
              <w:rPr>
                <w:rFonts w:asciiTheme="minorHAnsi" w:hAnsiTheme="minorHAnsi" w:cstheme="minorHAnsi"/>
                <w:sz w:val="16"/>
                <w:szCs w:val="16"/>
              </w:rPr>
              <w:t xml:space="preserve"> </w:t>
            </w:r>
            <w:r w:rsidRPr="00D032D3">
              <w:rPr>
                <w:rFonts w:asciiTheme="minorHAnsi" w:hAnsiTheme="minorHAnsi" w:cstheme="minorHAnsi"/>
                <w:sz w:val="16"/>
                <w:szCs w:val="16"/>
              </w:rPr>
              <w:br/>
            </w:r>
            <w:r w:rsidRPr="00D032D3">
              <w:rPr>
                <w:rFonts w:asciiTheme="minorHAnsi" w:hAnsiTheme="minorHAnsi" w:cstheme="minorHAnsi"/>
                <w:sz w:val="16"/>
                <w:szCs w:val="16"/>
              </w:rPr>
              <w:br/>
            </w:r>
            <w:r w:rsidRPr="00D032D3">
              <w:rPr>
                <w:rFonts w:asciiTheme="minorHAnsi" w:hAnsiTheme="minorHAnsi" w:cstheme="minorHAnsi"/>
                <w:sz w:val="16"/>
                <w:szCs w:val="16"/>
              </w:rPr>
              <w:t xml:space="preserve">A retrospective case series of 100 neonates infected by extended-spectrum beta-lactamase-producing </w:t>
            </w:r>
            <w:r w:rsidRPr="00D032D3">
              <w:rPr>
                <w:rFonts w:asciiTheme="minorHAnsi" w:hAnsiTheme="minorHAnsi" w:cstheme="minorHAnsi"/>
                <w:i/>
                <w:sz w:val="16"/>
                <w:szCs w:val="16"/>
              </w:rPr>
              <w:t>Klebsiella</w:t>
            </w:r>
            <w:r w:rsidRPr="00D032D3">
              <w:rPr>
                <w:rFonts w:asciiTheme="minorHAnsi" w:hAnsiTheme="minorHAnsi" w:cstheme="minorHAnsi"/>
                <w:sz w:val="16"/>
                <w:szCs w:val="16"/>
              </w:rPr>
              <w:t xml:space="preserve"> species showed higher mortality in those neonates not started on empirical meropenem or Piperacillin + tazobactam and amikacin (OR – 17.01, 95% CI 2.41–120.23) (LOE IV, GOR C).</w:t>
            </w:r>
            <w:r w:rsidRPr="00D032D3">
              <w:rPr>
                <w:rFonts w:asciiTheme="minorHAnsi" w:hAnsiTheme="minorHAnsi" w:cstheme="minorHAnsi"/>
                <w:sz w:val="16"/>
                <w:szCs w:val="16"/>
                <w:vertAlign w:val="superscript"/>
              </w:rPr>
              <w:t>3</w:t>
            </w:r>
            <w:r w:rsidRPr="00D032D3">
              <w:rPr>
                <w:rFonts w:asciiTheme="minorHAnsi" w:hAnsiTheme="minorHAnsi" w:cstheme="minorHAnsi"/>
                <w:sz w:val="16"/>
                <w:szCs w:val="16"/>
              </w:rPr>
              <w:br/>
            </w:r>
          </w:p>
          <w:p w:rsidRPr="00D032D3" w:rsidR="002C21F4" w:rsidP="00131848" w:rsidRDefault="002C21F4" w14:paraId="77D1460A" w14:textId="77777777">
            <w:pPr>
              <w:pStyle w:val="BodyText"/>
              <w:rPr>
                <w:rFonts w:asciiTheme="minorHAnsi" w:hAnsiTheme="minorHAnsi" w:cstheme="minorHAnsi"/>
                <w:sz w:val="16"/>
                <w:szCs w:val="16"/>
              </w:rPr>
            </w:pPr>
            <w:r w:rsidRPr="00D032D3">
              <w:rPr>
                <w:rFonts w:asciiTheme="minorHAnsi" w:hAnsiTheme="minorHAnsi" w:cstheme="minorHAnsi"/>
                <w:sz w:val="16"/>
                <w:szCs w:val="16"/>
              </w:rPr>
              <w:t>A RCT reported a prolonged infusion (4 hours) of meropenem (20 mg/kg/dose every 8 hours and 40 mg/kg/dose every 8 hours in meningitis and Pseudomonas infection) in 102 neonates with gram-negative late onset infection is associated with higher rate of clinical improvement, microbiologic eradication, less neonatal mortality (14% versus 31%; p=0.03), shorter duration of respiratory support and less acute kidney injury compared with the conventional strategy (30 minute infusion) [LOE II GOR B].</w:t>
            </w:r>
            <w:r w:rsidRPr="00D032D3">
              <w:rPr>
                <w:rFonts w:asciiTheme="minorHAnsi" w:hAnsiTheme="minorHAnsi" w:cstheme="minorHAnsi"/>
                <w:sz w:val="16"/>
                <w:szCs w:val="16"/>
                <w:vertAlign w:val="superscript"/>
              </w:rPr>
              <w:t>5</w:t>
            </w:r>
          </w:p>
          <w:p w:rsidRPr="00D032D3" w:rsidR="002C21F4" w:rsidP="00131848" w:rsidRDefault="002C21F4" w14:paraId="3278D782" w14:textId="77777777">
            <w:pPr>
              <w:pStyle w:val="BodyText"/>
              <w:tabs>
                <w:tab w:val="left" w:pos="1168"/>
              </w:tabs>
              <w:rPr>
                <w:rFonts w:asciiTheme="minorHAnsi" w:hAnsiTheme="minorHAnsi" w:cstheme="minorHAnsi"/>
                <w:sz w:val="16"/>
                <w:szCs w:val="16"/>
              </w:rPr>
            </w:pPr>
            <w:r w:rsidRPr="00D032D3">
              <w:rPr>
                <w:rFonts w:asciiTheme="minorHAnsi" w:hAnsiTheme="minorHAnsi" w:cstheme="minorHAnsi"/>
                <w:sz w:val="16"/>
                <w:szCs w:val="16"/>
              </w:rPr>
              <w:br/>
            </w:r>
            <w:r w:rsidRPr="00D032D3">
              <w:rPr>
                <w:rFonts w:asciiTheme="minorHAnsi" w:hAnsiTheme="minorHAnsi" w:cstheme="minorHAnsi"/>
                <w:b/>
                <w:sz w:val="16"/>
                <w:szCs w:val="16"/>
              </w:rPr>
              <w:t>Pharmacokinetics:</w:t>
            </w:r>
            <w:r w:rsidRPr="00D032D3">
              <w:rPr>
                <w:rFonts w:asciiTheme="minorHAnsi" w:hAnsiTheme="minorHAnsi" w:cstheme="minorHAnsi"/>
                <w:b/>
                <w:sz w:val="16"/>
                <w:szCs w:val="16"/>
              </w:rPr>
              <w:br/>
            </w:r>
            <w:r w:rsidRPr="00D032D3">
              <w:rPr>
                <w:rFonts w:asciiTheme="minorHAnsi" w:hAnsiTheme="minorHAnsi" w:cstheme="minorHAnsi"/>
                <w:sz w:val="16"/>
                <w:szCs w:val="16"/>
              </w:rPr>
              <w:t xml:space="preserve">Meropenem is primarily excreted via the kidneys. </w:t>
            </w:r>
            <w:r w:rsidRPr="00D032D3">
              <w:rPr>
                <w:rFonts w:asciiTheme="minorHAnsi" w:hAnsiTheme="minorHAnsi" w:cstheme="minorHAnsi"/>
                <w:sz w:val="16"/>
                <w:szCs w:val="16"/>
              </w:rPr>
              <w:br/>
            </w:r>
            <w:r w:rsidRPr="00D032D3">
              <w:rPr>
                <w:rFonts w:asciiTheme="minorHAnsi" w:hAnsiTheme="minorHAnsi" w:cstheme="minorHAnsi"/>
                <w:sz w:val="16"/>
                <w:szCs w:val="16"/>
              </w:rPr>
              <w:t>Meropenem clearance is influenced by serum creatinine and postmenstrual age in neonates.</w:t>
            </w:r>
            <w:r w:rsidRPr="00D032D3">
              <w:rPr>
                <w:rFonts w:asciiTheme="minorHAnsi" w:hAnsiTheme="minorHAnsi" w:cstheme="minorHAnsi"/>
                <w:sz w:val="16"/>
                <w:szCs w:val="16"/>
                <w:vertAlign w:val="superscript"/>
              </w:rPr>
              <w:t>2</w:t>
            </w:r>
            <w:r w:rsidRPr="00D032D3">
              <w:rPr>
                <w:rFonts w:asciiTheme="minorHAnsi" w:hAnsiTheme="minorHAnsi" w:cstheme="minorHAnsi"/>
                <w:sz w:val="16"/>
                <w:szCs w:val="16"/>
              </w:rPr>
              <w:t xml:space="preserve"> </w:t>
            </w:r>
            <w:r w:rsidRPr="00D032D3">
              <w:rPr>
                <w:rFonts w:asciiTheme="minorHAnsi" w:hAnsiTheme="minorHAnsi" w:cstheme="minorHAnsi"/>
                <w:sz w:val="16"/>
                <w:szCs w:val="16"/>
              </w:rPr>
              <w:br/>
            </w:r>
            <w:r w:rsidRPr="00D032D3">
              <w:rPr>
                <w:rFonts w:asciiTheme="minorHAnsi" w:hAnsiTheme="minorHAnsi" w:cstheme="minorHAnsi"/>
                <w:sz w:val="16"/>
                <w:szCs w:val="16"/>
              </w:rPr>
              <w:t>A comparative pharmacokinetic study of short (30 minute) versus long (4 hour) infusion in neonates showed short infusion resulted in a higher mean drug concentration in serum (C(max)) than a prolonged infusion.</w:t>
            </w:r>
            <w:r w:rsidRPr="00D032D3">
              <w:rPr>
                <w:rFonts w:asciiTheme="minorHAnsi" w:hAnsiTheme="minorHAnsi" w:cstheme="minorHAnsi"/>
                <w:sz w:val="16"/>
                <w:szCs w:val="16"/>
                <w:vertAlign w:val="superscript"/>
              </w:rPr>
              <w:t>6</w:t>
            </w:r>
            <w:r w:rsidRPr="00D032D3">
              <w:rPr>
                <w:rFonts w:asciiTheme="minorHAnsi" w:hAnsiTheme="minorHAnsi" w:cstheme="minorHAnsi"/>
                <w:sz w:val="16"/>
                <w:szCs w:val="16"/>
              </w:rPr>
              <w:t xml:space="preserve"> However, a longer infusion may have greater efficacy.</w:t>
            </w:r>
            <w:r w:rsidRPr="00D032D3">
              <w:rPr>
                <w:rFonts w:asciiTheme="minorHAnsi" w:hAnsiTheme="minorHAnsi" w:cstheme="minorHAnsi"/>
                <w:sz w:val="16"/>
                <w:szCs w:val="16"/>
                <w:vertAlign w:val="superscript"/>
              </w:rPr>
              <w:t>5</w:t>
            </w:r>
            <w:r w:rsidRPr="00D032D3">
              <w:rPr>
                <w:rFonts w:asciiTheme="minorHAnsi" w:hAnsiTheme="minorHAnsi" w:cstheme="minorHAnsi"/>
                <w:sz w:val="16"/>
                <w:szCs w:val="16"/>
              </w:rPr>
              <w:br/>
            </w:r>
            <w:r w:rsidRPr="00D032D3">
              <w:rPr>
                <w:rFonts w:asciiTheme="minorHAnsi" w:hAnsiTheme="minorHAnsi" w:cstheme="minorHAnsi"/>
                <w:sz w:val="16"/>
                <w:szCs w:val="16"/>
              </w:rPr>
              <w:t>There is a knowledge gap in pharmacokinetic (PK) studies of neonates with renal impairment.</w:t>
            </w:r>
            <w:r w:rsidRPr="00D032D3">
              <w:rPr>
                <w:rFonts w:asciiTheme="minorHAnsi" w:hAnsiTheme="minorHAnsi" w:cstheme="minorHAnsi"/>
                <w:sz w:val="16"/>
                <w:szCs w:val="16"/>
                <w:vertAlign w:val="superscript"/>
              </w:rPr>
              <w:t>2,3</w:t>
            </w:r>
            <w:r w:rsidRPr="00D032D3">
              <w:rPr>
                <w:rFonts w:asciiTheme="minorHAnsi" w:hAnsiTheme="minorHAnsi" w:cstheme="minorHAnsi"/>
                <w:sz w:val="16"/>
                <w:szCs w:val="16"/>
              </w:rPr>
              <w:t xml:space="preserve"> </w:t>
            </w:r>
            <w:r w:rsidRPr="00D032D3">
              <w:rPr>
                <w:rFonts w:asciiTheme="minorHAnsi" w:hAnsiTheme="minorHAnsi" w:cstheme="minorHAnsi"/>
                <w:sz w:val="16"/>
                <w:szCs w:val="16"/>
              </w:rPr>
              <w:br/>
            </w:r>
            <w:r w:rsidRPr="00D032D3">
              <w:rPr>
                <w:rFonts w:asciiTheme="minorHAnsi" w:hAnsiTheme="minorHAnsi" w:cstheme="minorHAnsi"/>
                <w:sz w:val="16"/>
                <w:szCs w:val="16"/>
              </w:rPr>
              <w:t xml:space="preserve">However, dose adjustment for renal failure may not be appropriate in cases where severe sepsis is probably </w:t>
            </w:r>
            <w:r w:rsidRPr="00D032D3">
              <w:rPr>
                <w:rFonts w:asciiTheme="minorHAnsi" w:hAnsiTheme="minorHAnsi" w:cstheme="minorHAnsi"/>
                <w:sz w:val="16"/>
                <w:szCs w:val="16"/>
              </w:rPr>
              <w:lastRenderedPageBreak/>
              <w:t>responsible for acute renal failure [expert opinion].</w:t>
            </w:r>
            <w:r w:rsidRPr="00D032D3">
              <w:rPr>
                <w:rFonts w:asciiTheme="minorHAnsi" w:hAnsiTheme="minorHAnsi" w:cstheme="minorHAnsi"/>
                <w:sz w:val="16"/>
                <w:szCs w:val="16"/>
              </w:rPr>
              <w:br/>
            </w:r>
            <w:r w:rsidRPr="00D032D3">
              <w:rPr>
                <w:rFonts w:asciiTheme="minorHAnsi" w:hAnsiTheme="minorHAnsi" w:cstheme="minorHAnsi"/>
                <w:sz w:val="16"/>
                <w:szCs w:val="16"/>
              </w:rPr>
              <w:br/>
            </w:r>
            <w:r w:rsidRPr="00D032D3">
              <w:rPr>
                <w:rFonts w:asciiTheme="minorHAnsi" w:hAnsiTheme="minorHAnsi" w:cstheme="minorHAnsi"/>
                <w:b/>
                <w:sz w:val="16"/>
                <w:szCs w:val="16"/>
              </w:rPr>
              <w:t>Dose:</w:t>
            </w:r>
            <w:r w:rsidRPr="00D032D3">
              <w:rPr>
                <w:rFonts w:asciiTheme="minorHAnsi" w:hAnsiTheme="minorHAnsi" w:cstheme="minorHAnsi"/>
                <w:sz w:val="16"/>
                <w:szCs w:val="16"/>
              </w:rPr>
              <w:br/>
            </w:r>
            <w:r w:rsidRPr="00D032D3">
              <w:rPr>
                <w:rFonts w:asciiTheme="minorHAnsi" w:hAnsiTheme="minorHAnsi" w:cstheme="minorHAnsi"/>
                <w:sz w:val="16"/>
                <w:szCs w:val="16"/>
              </w:rPr>
              <w:t>Multicentre, prospective PK study conducted in USA suggested a dosing strategy of 20 mg/kg every 12 hours in infants &lt; 32 weeks GA and PNA &lt; 14 days; 20 mg/kg every 8 hours in infants &lt; 32 weeks GA and PNA ≥ 14 days and in infants ≥ 32 weeks GA and PNA &lt; 14 days; and 30 mg/kg every 8 hours in infants ≥ 32 weeks GA and PNA ≥ 14 days to achieve therapeutic concentrations in infants with suspected intra-abdominal infections.</w:t>
            </w:r>
            <w:r w:rsidRPr="00D032D3">
              <w:rPr>
                <w:rFonts w:asciiTheme="minorHAnsi" w:hAnsiTheme="minorHAnsi" w:cstheme="minorHAnsi"/>
                <w:sz w:val="16"/>
                <w:szCs w:val="16"/>
                <w:vertAlign w:val="superscript"/>
              </w:rPr>
              <w:t>4</w:t>
            </w:r>
            <w:r w:rsidRPr="00D032D3">
              <w:rPr>
                <w:rFonts w:asciiTheme="minorHAnsi" w:hAnsiTheme="minorHAnsi" w:cstheme="minorHAnsi"/>
                <w:sz w:val="16"/>
                <w:szCs w:val="16"/>
              </w:rPr>
              <w:t xml:space="preserve"> </w:t>
            </w:r>
          </w:p>
        </w:tc>
      </w:tr>
      <w:tr w:rsidRPr="00E10ADD" w:rsidR="002C21F4" w:rsidTr="00D032D3" w14:paraId="7E9130A6" w14:textId="77777777">
        <w:trPr>
          <w:trHeight w:val="263"/>
        </w:trPr>
        <w:tc>
          <w:tcPr>
            <w:tcW w:w="1253" w:type="pct"/>
          </w:tcPr>
          <w:p w:rsidRPr="00E10ADD" w:rsidR="002C21F4" w:rsidP="00131848" w:rsidRDefault="002C21F4" w14:paraId="0113E45B" w14:textId="77777777">
            <w:pPr>
              <w:pStyle w:val="BodyText"/>
              <w:rPr>
                <w:rFonts w:asciiTheme="minorHAnsi" w:hAnsiTheme="minorHAnsi" w:cstheme="minorHAnsi"/>
                <w:b/>
                <w:bCs/>
                <w:sz w:val="20"/>
              </w:rPr>
            </w:pPr>
            <w:r w:rsidRPr="00E10ADD">
              <w:rPr>
                <w:rFonts w:asciiTheme="minorHAnsi" w:hAnsiTheme="minorHAnsi" w:cstheme="minorHAnsi"/>
                <w:b/>
                <w:bCs/>
                <w:sz w:val="20"/>
              </w:rPr>
              <w:lastRenderedPageBreak/>
              <w:t>Practice points</w:t>
            </w:r>
          </w:p>
        </w:tc>
        <w:tc>
          <w:tcPr>
            <w:tcW w:w="3747" w:type="pct"/>
          </w:tcPr>
          <w:p w:rsidRPr="00E10ADD" w:rsidR="002C21F4" w:rsidP="00131848" w:rsidRDefault="002C21F4" w14:paraId="732C1E3E" w14:textId="77777777">
            <w:pPr>
              <w:pStyle w:val="BodyText"/>
              <w:tabs>
                <w:tab w:val="left" w:pos="1168"/>
              </w:tabs>
              <w:rPr>
                <w:rFonts w:asciiTheme="minorHAnsi" w:hAnsiTheme="minorHAnsi" w:cstheme="minorHAnsi"/>
                <w:sz w:val="20"/>
              </w:rPr>
            </w:pPr>
          </w:p>
        </w:tc>
      </w:tr>
      <w:tr w:rsidRPr="00E10ADD" w:rsidR="002C21F4" w:rsidTr="00D032D3" w14:paraId="23F5E9DD" w14:textId="77777777">
        <w:trPr>
          <w:trHeight w:val="263"/>
        </w:trPr>
        <w:tc>
          <w:tcPr>
            <w:tcW w:w="1253" w:type="pct"/>
          </w:tcPr>
          <w:p w:rsidRPr="00E10ADD" w:rsidR="002C21F4" w:rsidP="00131848" w:rsidRDefault="002C21F4" w14:paraId="23044CEA" w14:textId="77777777">
            <w:pPr>
              <w:pStyle w:val="BodyText"/>
              <w:rPr>
                <w:rFonts w:asciiTheme="minorHAnsi" w:hAnsiTheme="minorHAnsi" w:cstheme="minorHAnsi"/>
                <w:b/>
                <w:bCs/>
                <w:sz w:val="20"/>
              </w:rPr>
            </w:pPr>
            <w:r w:rsidRPr="00E10ADD">
              <w:rPr>
                <w:rFonts w:asciiTheme="minorHAnsi" w:hAnsiTheme="minorHAnsi" w:cstheme="minorHAnsi"/>
                <w:b/>
                <w:sz w:val="20"/>
              </w:rPr>
              <w:t>References</w:t>
            </w:r>
          </w:p>
        </w:tc>
        <w:tc>
          <w:tcPr>
            <w:tcW w:w="3747" w:type="pct"/>
          </w:tcPr>
          <w:p w:rsidRPr="00D032D3" w:rsidR="002C21F4" w:rsidP="002C21F4" w:rsidRDefault="002C21F4" w14:paraId="7707632E" w14:textId="77777777">
            <w:pPr>
              <w:pStyle w:val="ListParagraph"/>
              <w:numPr>
                <w:ilvl w:val="0"/>
                <w:numId w:val="107"/>
              </w:numPr>
              <w:ind w:left="360"/>
              <w:rPr>
                <w:rFonts w:asciiTheme="minorHAnsi" w:hAnsiTheme="minorHAnsi" w:cstheme="minorHAnsi"/>
                <w:sz w:val="16"/>
                <w:szCs w:val="16"/>
              </w:rPr>
            </w:pPr>
            <w:r w:rsidRPr="00D032D3">
              <w:rPr>
                <w:rFonts w:asciiTheme="minorHAnsi" w:hAnsiTheme="minorHAnsi" w:cstheme="minorHAnsi"/>
                <w:sz w:val="16"/>
                <w:szCs w:val="16"/>
              </w:rPr>
              <w:t>Pacifici GM, Allegaert K. Clinical pharmacology of carbapenems in neonates. J Chemother 2014;26(2):67–73.</w:t>
            </w:r>
          </w:p>
          <w:p w:rsidRPr="00D032D3" w:rsidR="002C21F4" w:rsidP="002C21F4" w:rsidRDefault="002C21F4" w14:paraId="7174C20F" w14:textId="77777777">
            <w:pPr>
              <w:pStyle w:val="ListParagraph"/>
              <w:numPr>
                <w:ilvl w:val="0"/>
                <w:numId w:val="107"/>
              </w:numPr>
              <w:ind w:left="360"/>
              <w:rPr>
                <w:rFonts w:asciiTheme="minorHAnsi" w:hAnsiTheme="minorHAnsi" w:cstheme="minorHAnsi"/>
                <w:sz w:val="16"/>
                <w:szCs w:val="16"/>
              </w:rPr>
            </w:pPr>
            <w:r w:rsidRPr="00D032D3">
              <w:rPr>
                <w:rFonts w:asciiTheme="minorHAnsi" w:hAnsiTheme="minorHAnsi" w:cstheme="minorHAnsi"/>
                <w:sz w:val="16"/>
                <w:szCs w:val="16"/>
              </w:rPr>
              <w:t>Vardakas KZ, Tansarli GS, Rafailidis PI, Falagas ME. Carbapenems versus alternative antibiotics for the treatment of bacteraemia due to Enterobacteriaceae producing extended-spectrum beta-lactamases: a systematic review and meta-analysis. J Antimicrob Chemother 2012;67(12):2793–803.</w:t>
            </w:r>
          </w:p>
          <w:p w:rsidRPr="00D032D3" w:rsidR="002C21F4" w:rsidP="002C21F4" w:rsidRDefault="002C21F4" w14:paraId="2745BE73" w14:textId="77777777">
            <w:pPr>
              <w:pStyle w:val="ListParagraph"/>
              <w:numPr>
                <w:ilvl w:val="0"/>
                <w:numId w:val="107"/>
              </w:numPr>
              <w:ind w:left="360"/>
              <w:rPr>
                <w:rFonts w:asciiTheme="minorHAnsi" w:hAnsiTheme="minorHAnsi" w:cstheme="minorHAnsi"/>
                <w:sz w:val="16"/>
                <w:szCs w:val="16"/>
              </w:rPr>
            </w:pPr>
            <w:r w:rsidRPr="00D032D3">
              <w:rPr>
                <w:rFonts w:asciiTheme="minorHAnsi" w:hAnsiTheme="minorHAnsi" w:cstheme="minorHAnsi"/>
                <w:sz w:val="16"/>
                <w:szCs w:val="16"/>
              </w:rPr>
              <w:t xml:space="preserve">Velaphi S, Wadula J, Nakwa F. Mortality rate in neonates infected with extended-spectrum b-lactamase-producing Klebsiella species and selective empirical use of meropenem. Ann Trop Paediatr 2009;29:101–10. </w:t>
            </w:r>
          </w:p>
          <w:p w:rsidRPr="00D032D3" w:rsidR="002C21F4" w:rsidP="002C21F4" w:rsidRDefault="002C21F4" w14:paraId="39A80523" w14:textId="77777777">
            <w:pPr>
              <w:pStyle w:val="ListParagraph"/>
              <w:numPr>
                <w:ilvl w:val="0"/>
                <w:numId w:val="107"/>
              </w:numPr>
              <w:ind w:left="360"/>
              <w:rPr>
                <w:rFonts w:asciiTheme="minorHAnsi" w:hAnsiTheme="minorHAnsi" w:cstheme="minorHAnsi"/>
                <w:sz w:val="16"/>
                <w:szCs w:val="16"/>
              </w:rPr>
            </w:pPr>
            <w:r w:rsidRPr="00D032D3">
              <w:rPr>
                <w:rFonts w:asciiTheme="minorHAnsi" w:hAnsiTheme="minorHAnsi" w:cstheme="minorHAnsi"/>
                <w:sz w:val="16"/>
                <w:szCs w:val="16"/>
              </w:rPr>
              <w:t>Smith PB, Cohen-Wolkowiez M, Castro LM, Poindexter B, Bidegain M, Weitkamp JH, et al, Meropenem Study Team. Population pharmacokinetics of meropenem in plasma and cerebrospinal fluid of infants with suspected or complicated intra-abdominal infections. Pediatr Infect Dis J 2011;30(10):844–9.</w:t>
            </w:r>
          </w:p>
          <w:p w:rsidRPr="00D032D3" w:rsidR="002C21F4" w:rsidP="002C21F4" w:rsidRDefault="002C21F4" w14:paraId="7DD9F4DD" w14:textId="77777777">
            <w:pPr>
              <w:pStyle w:val="ListParagraph"/>
              <w:numPr>
                <w:ilvl w:val="0"/>
                <w:numId w:val="107"/>
              </w:numPr>
              <w:autoSpaceDE w:val="0"/>
              <w:autoSpaceDN w:val="0"/>
              <w:adjustRightInd w:val="0"/>
              <w:ind w:left="360"/>
              <w:rPr>
                <w:rFonts w:asciiTheme="minorHAnsi" w:hAnsiTheme="minorHAnsi" w:cstheme="minorHAnsi"/>
                <w:sz w:val="16"/>
                <w:szCs w:val="16"/>
                <w:lang w:eastAsia="en-AU"/>
              </w:rPr>
            </w:pPr>
            <w:r w:rsidRPr="00D032D3">
              <w:rPr>
                <w:rFonts w:asciiTheme="minorHAnsi" w:hAnsiTheme="minorHAnsi" w:cstheme="minorHAnsi"/>
                <w:sz w:val="16"/>
                <w:szCs w:val="16"/>
                <w:lang w:eastAsia="en-AU"/>
              </w:rPr>
              <w:t>Shabaan AE, Nour I, Elsayed Eldegla H, Nasef N, Shouman B, Abdel-Hady H. Conventional Versus Prolonged Infusion of Meropenem in Neonates With Gram-negative Late-onset Sepsis: A Randomized Controlled Trial. Pediatric Infectious Disease Journal. 2017;36:358-63.</w:t>
            </w:r>
          </w:p>
          <w:p w:rsidRPr="00D032D3" w:rsidR="002C21F4" w:rsidP="002C21F4" w:rsidRDefault="002C21F4" w14:paraId="2D93CABB" w14:textId="77777777">
            <w:pPr>
              <w:pStyle w:val="ListParagraph"/>
              <w:numPr>
                <w:ilvl w:val="0"/>
                <w:numId w:val="107"/>
              </w:numPr>
              <w:ind w:left="360"/>
              <w:rPr>
                <w:rFonts w:asciiTheme="minorHAnsi" w:hAnsiTheme="minorHAnsi" w:cstheme="minorHAnsi"/>
                <w:sz w:val="16"/>
                <w:szCs w:val="16"/>
              </w:rPr>
            </w:pPr>
            <w:r w:rsidRPr="00D032D3">
              <w:rPr>
                <w:rFonts w:asciiTheme="minorHAnsi" w:hAnsiTheme="minorHAnsi" w:cstheme="minorHAnsi"/>
                <w:sz w:val="16"/>
                <w:szCs w:val="16"/>
              </w:rPr>
              <w:t xml:space="preserve">Padari H, Metsvaht T, Korgvee LT, Germovsek E, Ilmoja ML, Kipper K, Herodes K, Standing JF, Oselin K, Lutsar I. Short versus long infusion of meropenem in very-low-birth-weight neonates. Antimicrob Agents Chemother 2012;56(9):4760–4. </w:t>
            </w:r>
          </w:p>
          <w:p w:rsidRPr="00D032D3" w:rsidR="002C21F4" w:rsidP="002C21F4" w:rsidRDefault="002C21F4" w14:paraId="19D538EF" w14:textId="77777777">
            <w:pPr>
              <w:pStyle w:val="ListParagraph"/>
              <w:numPr>
                <w:ilvl w:val="0"/>
                <w:numId w:val="107"/>
              </w:numPr>
              <w:ind w:left="360"/>
              <w:rPr>
                <w:rFonts w:asciiTheme="minorHAnsi" w:hAnsiTheme="minorHAnsi" w:cstheme="minorHAnsi"/>
                <w:sz w:val="16"/>
                <w:szCs w:val="16"/>
              </w:rPr>
            </w:pPr>
            <w:r w:rsidRPr="00D032D3">
              <w:rPr>
                <w:rFonts w:asciiTheme="minorHAnsi" w:hAnsiTheme="minorHAnsi" w:cstheme="minorHAnsi"/>
                <w:sz w:val="16"/>
                <w:szCs w:val="16"/>
              </w:rPr>
              <w:t>Micromedex online. Accessed on 14</w:t>
            </w:r>
            <w:r w:rsidRPr="00D032D3">
              <w:rPr>
                <w:rFonts w:asciiTheme="minorHAnsi" w:hAnsiTheme="minorHAnsi" w:cstheme="minorHAnsi"/>
                <w:sz w:val="16"/>
                <w:szCs w:val="16"/>
                <w:vertAlign w:val="superscript"/>
              </w:rPr>
              <w:t xml:space="preserve"> </w:t>
            </w:r>
            <w:r w:rsidRPr="00D032D3">
              <w:rPr>
                <w:rFonts w:asciiTheme="minorHAnsi" w:hAnsiTheme="minorHAnsi" w:cstheme="minorHAnsi"/>
                <w:sz w:val="16"/>
                <w:szCs w:val="16"/>
              </w:rPr>
              <w:t>October 2017.</w:t>
            </w:r>
          </w:p>
        </w:tc>
      </w:tr>
    </w:tbl>
    <w:p w:rsidR="006F7201" w:rsidP="006F0321" w:rsidRDefault="006F7201" w14:paraId="66EB83F8" w14:textId="77777777"/>
    <w:p w:rsidRPr="00E25790" w:rsidR="006E3227" w:rsidP="006F0321" w:rsidRDefault="006E3227" w14:paraId="7E0B3CFE"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3C2CBA" w:rsidR="0020431B" w:rsidTr="00A26E96" w14:paraId="73FEDE96" w14:textId="77777777">
        <w:tc>
          <w:tcPr>
            <w:tcW w:w="4535" w:type="dxa"/>
            <w:vAlign w:val="center"/>
          </w:tcPr>
          <w:p w:rsidRPr="007952CE" w:rsidR="006F7201" w:rsidP="00A26E96" w:rsidRDefault="006F7201" w14:paraId="7432A3D9" w14:textId="77777777">
            <w:r w:rsidRPr="007952CE">
              <w:t>Original version Date: 05/12/2015</w:t>
            </w:r>
          </w:p>
        </w:tc>
        <w:tc>
          <w:tcPr>
            <w:tcW w:w="4535" w:type="dxa"/>
            <w:vAlign w:val="center"/>
          </w:tcPr>
          <w:p w:rsidRPr="007952CE" w:rsidR="006F7201" w:rsidP="00A26E96" w:rsidRDefault="006F7201" w14:paraId="55C4A51B" w14:textId="77777777">
            <w:r w:rsidRPr="007952CE">
              <w:t xml:space="preserve">Author: </w:t>
            </w:r>
            <w:r w:rsidRPr="00DB5867">
              <w:t xml:space="preserve">NMF </w:t>
            </w:r>
            <w:r w:rsidRPr="007952CE">
              <w:t>Consensus Group</w:t>
            </w:r>
          </w:p>
        </w:tc>
      </w:tr>
      <w:tr w:rsidRPr="003C2CBA" w:rsidR="0020431B" w:rsidTr="00A26E96" w14:paraId="42445256" w14:textId="77777777">
        <w:tc>
          <w:tcPr>
            <w:tcW w:w="4535" w:type="dxa"/>
            <w:vAlign w:val="center"/>
          </w:tcPr>
          <w:p w:rsidRPr="007952CE" w:rsidR="006F7201" w:rsidP="00A26E96" w:rsidRDefault="006F7201" w14:paraId="13AE2245" w14:textId="46A89BD4">
            <w:pPr>
              <w:rPr>
                <w:bCs/>
              </w:rPr>
            </w:pPr>
            <w:r w:rsidRPr="007952CE">
              <w:t xml:space="preserve">Current Version number:  </w:t>
            </w:r>
            <w:r w:rsidR="00DB41AE">
              <w:t>3</w:t>
            </w:r>
          </w:p>
        </w:tc>
        <w:tc>
          <w:tcPr>
            <w:tcW w:w="4535" w:type="dxa"/>
            <w:vAlign w:val="center"/>
          </w:tcPr>
          <w:p w:rsidRPr="007952CE" w:rsidR="006F7201" w:rsidP="00A26E96" w:rsidRDefault="006F7201" w14:paraId="1A657B9F" w14:textId="1F616031">
            <w:r w:rsidRPr="007952CE">
              <w:t xml:space="preserve">Version Date:  </w:t>
            </w:r>
            <w:r w:rsidR="002C21F4">
              <w:t>18</w:t>
            </w:r>
            <w:r w:rsidR="00DB41AE">
              <w:t>/</w:t>
            </w:r>
            <w:r w:rsidR="002C21F4">
              <w:t>6</w:t>
            </w:r>
            <w:r w:rsidR="00DB41AE">
              <w:t>/202</w:t>
            </w:r>
            <w:r w:rsidR="002C21F4">
              <w:t>1</w:t>
            </w:r>
          </w:p>
        </w:tc>
      </w:tr>
      <w:tr w:rsidRPr="003C2CBA" w:rsidR="0020431B" w:rsidTr="00A26E96" w14:paraId="50F26ED4" w14:textId="77777777">
        <w:tc>
          <w:tcPr>
            <w:tcW w:w="4535" w:type="dxa"/>
            <w:vAlign w:val="center"/>
          </w:tcPr>
          <w:p w:rsidRPr="007952CE" w:rsidR="006F7201" w:rsidP="00A26E96" w:rsidRDefault="006F7201" w14:paraId="52178356" w14:textId="148ED7F6">
            <w:r w:rsidRPr="007952CE">
              <w:t xml:space="preserve">Risk Rating: </w:t>
            </w:r>
            <w:r w:rsidR="00DB41AE">
              <w:t>Low</w:t>
            </w:r>
          </w:p>
        </w:tc>
        <w:tc>
          <w:tcPr>
            <w:tcW w:w="4535" w:type="dxa"/>
            <w:vAlign w:val="center"/>
          </w:tcPr>
          <w:p w:rsidRPr="007952CE" w:rsidR="006F7201" w:rsidP="00A26E96" w:rsidRDefault="006F7201" w14:paraId="6B1648C4" w14:textId="41581028">
            <w:r w:rsidRPr="007952CE">
              <w:t xml:space="preserve">Due for Review:  </w:t>
            </w:r>
            <w:r w:rsidR="002C21F4">
              <w:t>18</w:t>
            </w:r>
            <w:r w:rsidR="00DB41AE">
              <w:t>/</w:t>
            </w:r>
            <w:r w:rsidR="002C21F4">
              <w:t>6</w:t>
            </w:r>
            <w:r w:rsidR="00DB41AE">
              <w:t>/202</w:t>
            </w:r>
            <w:r w:rsidR="002C21F4">
              <w:t>6</w:t>
            </w:r>
          </w:p>
        </w:tc>
      </w:tr>
      <w:tr w:rsidRPr="003C2CBA" w:rsidR="0020431B" w:rsidTr="00A26E96" w14:paraId="13EAC82B" w14:textId="77777777">
        <w:trPr>
          <w:trHeight w:val="344"/>
        </w:trPr>
        <w:tc>
          <w:tcPr>
            <w:tcW w:w="4535" w:type="dxa"/>
            <w:tcBorders>
              <w:bottom w:val="single" w:color="auto" w:sz="4" w:space="0"/>
            </w:tcBorders>
            <w:vAlign w:val="center"/>
          </w:tcPr>
          <w:p w:rsidRPr="003C2CBA" w:rsidR="006F7201" w:rsidP="00A26E96" w:rsidRDefault="006F7201" w14:paraId="7F929CF1" w14:textId="77777777">
            <w:r w:rsidRPr="003C2CBA">
              <w:t xml:space="preserve">Approved by: </w:t>
            </w:r>
            <w:r>
              <w:t>DTC</w:t>
            </w:r>
          </w:p>
        </w:tc>
        <w:tc>
          <w:tcPr>
            <w:tcW w:w="4535" w:type="dxa"/>
            <w:tcBorders>
              <w:bottom w:val="single" w:color="auto" w:sz="4" w:space="0"/>
            </w:tcBorders>
            <w:vAlign w:val="center"/>
          </w:tcPr>
          <w:p w:rsidRPr="007952CE" w:rsidR="006F7201" w:rsidP="00A26E96" w:rsidRDefault="006F7201" w14:paraId="369BD944" w14:textId="55EB1239">
            <w:r w:rsidRPr="007952CE">
              <w:t xml:space="preserve">Approval Date: </w:t>
            </w:r>
            <w:r w:rsidR="00260BC8">
              <w:t>APRIL 2021</w:t>
            </w:r>
          </w:p>
        </w:tc>
      </w:tr>
    </w:tbl>
    <w:p w:rsidRPr="00E25790" w:rsidR="00115F48" w:rsidP="006F0321" w:rsidRDefault="00115F48" w14:paraId="310DD185"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A26E96" w14:paraId="76F7720D"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7A2BA21F" w14:textId="77777777">
            <w:pPr>
              <w:pStyle w:val="Heading1"/>
            </w:pPr>
            <w:bookmarkStart w:name="_Toc495481134" w:id="381"/>
            <w:bookmarkStart w:name="_Toc495481260" w:id="382"/>
            <w:bookmarkStart w:name="_Toc495481385" w:id="383"/>
            <w:bookmarkStart w:name="_Toc495501566" w:id="384"/>
            <w:bookmarkStart w:name="_Toc38106881" w:id="385"/>
            <w:bookmarkStart w:name="_Toc75340004" w:id="386"/>
            <w:r w:rsidRPr="00E25790">
              <w:lastRenderedPageBreak/>
              <w:t>Metoclopramide</w:t>
            </w:r>
            <w:bookmarkEnd w:id="381"/>
            <w:bookmarkEnd w:id="382"/>
            <w:bookmarkEnd w:id="383"/>
            <w:bookmarkEnd w:id="384"/>
            <w:bookmarkEnd w:id="385"/>
            <w:bookmarkEnd w:id="386"/>
            <w:r w:rsidRPr="00E25790">
              <w:fldChar w:fldCharType="begin"/>
            </w:r>
            <w:r w:rsidRPr="00E25790">
              <w:instrText>tc "Metoclopramide" \l 0</w:instrText>
            </w:r>
            <w:r w:rsidRPr="00E25790">
              <w:fldChar w:fldCharType="end"/>
            </w:r>
          </w:p>
        </w:tc>
      </w:tr>
      <w:tr w:rsidRPr="00E25790" w:rsidR="00115F48" w:rsidTr="00A26E96" w14:paraId="59537C8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AD2370" w:rsidP="006F0321" w:rsidRDefault="00115F48" w14:paraId="0DDF410E" w14:textId="5625CDDE">
            <w:r w:rsidRPr="00E25790">
              <w:t>Revision Date :</w:t>
            </w:r>
            <w:r w:rsidR="00AD2370">
              <w:t>23-12-2020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8CF71F4" w14:textId="577EE039">
            <w:r w:rsidRPr="00E25790">
              <w:t xml:space="preserve">Approved: </w:t>
            </w:r>
            <w:r w:rsidR="00647934">
              <w:t>TC, KOH</w:t>
            </w:r>
          </w:p>
        </w:tc>
      </w:tr>
    </w:tbl>
    <w:p w:rsidRPr="00E25790" w:rsidR="00115F48" w:rsidP="006F0321" w:rsidRDefault="00115F48" w14:paraId="72DC12B0" w14:textId="77777777"/>
    <w:tbl>
      <w:tblPr>
        <w:tblW w:w="9064" w:type="dxa"/>
        <w:tblLayout w:type="fixed"/>
        <w:tblLook w:val="0000" w:firstRow="0" w:lastRow="0" w:firstColumn="0" w:lastColumn="0" w:noHBand="0" w:noVBand="0"/>
      </w:tblPr>
      <w:tblGrid>
        <w:gridCol w:w="2443"/>
        <w:gridCol w:w="6621"/>
      </w:tblGrid>
      <w:tr w:rsidRPr="00E25790" w:rsidR="00115F48" w:rsidTr="00A26E96" w14:paraId="1383B4EB"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7FC5E21E" w14:textId="77777777">
            <w:r w:rsidRPr="00E25790">
              <w:t>Indication :</w:t>
            </w:r>
          </w:p>
        </w:tc>
        <w:tc>
          <w:tcPr>
            <w:tcW w:w="6621" w:type="dxa"/>
            <w:tcBorders>
              <w:top w:val="single" w:color="auto" w:sz="6" w:space="0"/>
              <w:bottom w:val="single" w:color="auto" w:sz="6" w:space="0"/>
              <w:right w:val="single" w:color="auto" w:sz="6" w:space="0"/>
            </w:tcBorders>
          </w:tcPr>
          <w:p w:rsidR="00307863" w:rsidP="00307863" w:rsidRDefault="00307863" w14:paraId="2060A449" w14:textId="77777777">
            <w:r>
              <w:t>To facilitate gastric emptying and gastrointestinal motility. May improve feeding intolerance. Use in gastroesophageal reflux patients is controversial.</w:t>
            </w:r>
          </w:p>
          <w:p w:rsidRPr="00E25790" w:rsidR="00115F48" w:rsidP="006F0321" w:rsidRDefault="00307863" w14:paraId="6580A696" w14:textId="4492528F">
            <w:r>
              <w:t>(Also used to enhance lactation--10 mg every 8 hours.)</w:t>
            </w:r>
          </w:p>
        </w:tc>
      </w:tr>
      <w:tr w:rsidRPr="00E25790" w:rsidR="00115F48" w:rsidTr="00A26E96" w14:paraId="088E818D"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3EC0487A" w14:textId="77777777">
            <w:r w:rsidRPr="00E25790">
              <w:t>Dose :</w:t>
            </w:r>
          </w:p>
        </w:tc>
        <w:tc>
          <w:tcPr>
            <w:tcW w:w="6621" w:type="dxa"/>
            <w:tcBorders>
              <w:top w:val="single" w:color="auto" w:sz="6" w:space="0"/>
              <w:bottom w:val="single" w:color="auto" w:sz="6" w:space="0"/>
              <w:right w:val="single" w:color="auto" w:sz="6" w:space="0"/>
            </w:tcBorders>
          </w:tcPr>
          <w:p w:rsidRPr="00E25790" w:rsidR="00115F48" w:rsidP="006F0321" w:rsidRDefault="00BC776A" w14:paraId="71A9577E" w14:textId="5B7F50E2">
            <w:r w:rsidRPr="00BC776A">
              <w:t xml:space="preserve">0.033 to 0.1 mg/kg/dose </w:t>
            </w:r>
          </w:p>
        </w:tc>
      </w:tr>
      <w:tr w:rsidRPr="00E25790" w:rsidR="00115F48" w:rsidTr="00A26E96" w14:paraId="55D618DA"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E0CAC9A" w14:textId="77777777">
            <w:r w:rsidRPr="00E25790">
              <w:t>Interval :</w:t>
            </w:r>
          </w:p>
        </w:tc>
        <w:tc>
          <w:tcPr>
            <w:tcW w:w="6621" w:type="dxa"/>
            <w:tcBorders>
              <w:top w:val="single" w:color="auto" w:sz="6" w:space="0"/>
              <w:bottom w:val="single" w:color="auto" w:sz="6" w:space="0"/>
              <w:right w:val="single" w:color="auto" w:sz="6" w:space="0"/>
            </w:tcBorders>
          </w:tcPr>
          <w:p w:rsidRPr="00E25790" w:rsidR="00115F48" w:rsidP="006F0321" w:rsidRDefault="00115F48" w14:paraId="27467A7F" w14:textId="3E4ECAA3">
            <w:r w:rsidRPr="00E25790">
              <w:t>8 hourly.</w:t>
            </w:r>
          </w:p>
        </w:tc>
      </w:tr>
      <w:tr w:rsidRPr="00E25790" w:rsidR="00115F48" w:rsidTr="00A26E96" w14:paraId="6FEDC838"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1843E50" w14:textId="77777777">
            <w:r w:rsidRPr="00E25790">
              <w:t>Route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195731BF" w14:textId="77777777">
            <w:r w:rsidRPr="00E25790">
              <w:t>Oral</w:t>
            </w:r>
          </w:p>
          <w:p w:rsidRPr="00E25790" w:rsidR="00115F48" w:rsidP="006F0321" w:rsidRDefault="00115F48" w14:paraId="411C2615" w14:textId="77777777">
            <w:r w:rsidRPr="00E25790">
              <w:t>I.V.</w:t>
            </w:r>
          </w:p>
        </w:tc>
      </w:tr>
      <w:tr w:rsidRPr="00E25790" w:rsidR="00115F48" w:rsidTr="00A26E96" w14:paraId="616210C0"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0270F52" w14:textId="77777777">
            <w:r w:rsidRPr="00E25790">
              <w:t>Total Daily Dose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458383BF" w14:textId="77777777">
            <w:r w:rsidRPr="00E25790">
              <w:t>Do not exceed 0.3 mg/kg/day.</w:t>
            </w:r>
          </w:p>
        </w:tc>
      </w:tr>
      <w:tr w:rsidRPr="00E25790" w:rsidR="00115F48" w:rsidTr="00582DFB" w14:paraId="08A90E28" w14:textId="77777777">
        <w:trPr>
          <w:cantSplit/>
          <w:trHeight w:val="1059"/>
        </w:trPr>
        <w:tc>
          <w:tcPr>
            <w:tcW w:w="2443" w:type="dxa"/>
            <w:tcBorders>
              <w:top w:val="single" w:color="auto" w:sz="6" w:space="0"/>
              <w:left w:val="single" w:color="auto" w:sz="6" w:space="0"/>
              <w:bottom w:val="single" w:color="auto" w:sz="6" w:space="0"/>
            </w:tcBorders>
          </w:tcPr>
          <w:p w:rsidRPr="00E25790" w:rsidR="00115F48" w:rsidP="006F0321" w:rsidRDefault="00115F48" w14:paraId="0A2971D7" w14:textId="77777777">
            <w:r w:rsidRPr="00E25790">
              <w:t>Comments :</w:t>
            </w:r>
          </w:p>
        </w:tc>
        <w:tc>
          <w:tcPr>
            <w:tcW w:w="6621" w:type="dxa"/>
            <w:tcBorders>
              <w:top w:val="single" w:color="auto" w:sz="6" w:space="0"/>
              <w:bottom w:val="single" w:color="auto" w:sz="6" w:space="0"/>
              <w:right w:val="single" w:color="auto" w:sz="6" w:space="0"/>
            </w:tcBorders>
          </w:tcPr>
          <w:p w:rsidR="00115F48" w:rsidP="006F0321" w:rsidRDefault="00115F48" w14:paraId="20E88857" w14:textId="77777777">
            <w:r w:rsidRPr="00E25790">
              <w:t xml:space="preserve">Toxicity causes extrapyramidal side effects </w:t>
            </w:r>
            <w:r w:rsidR="006A3B6B">
              <w:t>–</w:t>
            </w:r>
            <w:r w:rsidRPr="00E25790">
              <w:t xml:space="preserve"> </w:t>
            </w:r>
            <w:r w:rsidR="006A3B6B">
              <w:t xml:space="preserve">dystonia, </w:t>
            </w:r>
            <w:r w:rsidRPr="00E25790">
              <w:t xml:space="preserve">oculogyric crises, torticollis, </w:t>
            </w:r>
            <w:r w:rsidR="00382F0B">
              <w:t>stridor, dyspnoea</w:t>
            </w:r>
            <w:r w:rsidRPr="00E25790">
              <w:t>.  Effects can be reversed with diphenhydramine.</w:t>
            </w:r>
          </w:p>
          <w:p w:rsidRPr="00E25790" w:rsidR="00CA4ED8" w:rsidP="006F0321" w:rsidRDefault="00CA4ED8" w14:paraId="730101A5" w14:textId="471790D9">
            <w:r>
              <w:t>Contraindicated i</w:t>
            </w:r>
            <w:r w:rsidRPr="00CA4ED8">
              <w:t>n patients when stimulation of gastrointestinal motility may be harmful (eg, presence of gastrointestinal hemorrhage, mechanical obstruction, or perforation)</w:t>
            </w:r>
          </w:p>
        </w:tc>
      </w:tr>
      <w:tr w:rsidRPr="00E25790" w:rsidR="00115F48" w:rsidTr="00A26E96" w14:paraId="11B772D5"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890C7B5" w14:textId="77777777">
            <w:r w:rsidRPr="00E25790">
              <w:t>Supplied as :</w:t>
            </w:r>
          </w:p>
        </w:tc>
        <w:tc>
          <w:tcPr>
            <w:tcW w:w="6621" w:type="dxa"/>
            <w:tcBorders>
              <w:top w:val="single" w:color="auto" w:sz="6" w:space="0"/>
              <w:bottom w:val="single" w:color="auto" w:sz="6" w:space="0"/>
              <w:right w:val="single" w:color="auto" w:sz="6" w:space="0"/>
            </w:tcBorders>
          </w:tcPr>
          <w:p w:rsidRPr="00E25790" w:rsidR="00115F48" w:rsidP="006F0321" w:rsidRDefault="00115F48" w14:paraId="454A46EA" w14:textId="77777777">
            <w:r w:rsidRPr="00E25790">
              <w:t>Syrup 1 mg/ml.</w:t>
            </w:r>
          </w:p>
          <w:p w:rsidRPr="00E25790" w:rsidR="00115F48" w:rsidP="006F0321" w:rsidRDefault="00115F48" w14:paraId="4D8F68E2" w14:textId="77777777">
            <w:r w:rsidRPr="00E25790">
              <w:t>I.V. solution 5 mg/ml.</w:t>
            </w:r>
          </w:p>
        </w:tc>
      </w:tr>
      <w:tr w:rsidRPr="00E25790" w:rsidR="00115F48" w:rsidTr="009A76DB" w14:paraId="724A7FE0" w14:textId="77777777">
        <w:trPr>
          <w:cantSplit/>
          <w:trHeight w:val="809"/>
        </w:trPr>
        <w:tc>
          <w:tcPr>
            <w:tcW w:w="2443" w:type="dxa"/>
            <w:tcBorders>
              <w:top w:val="single" w:color="auto" w:sz="6" w:space="0"/>
              <w:left w:val="single" w:color="auto" w:sz="6" w:space="0"/>
              <w:bottom w:val="single" w:color="auto" w:sz="6" w:space="0"/>
            </w:tcBorders>
          </w:tcPr>
          <w:p w:rsidRPr="00E25790" w:rsidR="00115F48" w:rsidP="006F0321" w:rsidRDefault="00115F48" w14:paraId="45BD08DB" w14:textId="77777777">
            <w:r w:rsidRPr="00E25790">
              <w:t>Dilution :</w:t>
            </w:r>
          </w:p>
        </w:tc>
        <w:tc>
          <w:tcPr>
            <w:tcW w:w="6621" w:type="dxa"/>
            <w:tcBorders>
              <w:top w:val="single" w:color="auto" w:sz="6" w:space="0"/>
              <w:bottom w:val="single" w:color="auto" w:sz="6" w:space="0"/>
              <w:right w:val="single" w:color="auto" w:sz="6" w:space="0"/>
            </w:tcBorders>
          </w:tcPr>
          <w:p w:rsidRPr="00E25790" w:rsidR="00115F48" w:rsidP="006F0321" w:rsidRDefault="00115F48" w14:paraId="00098B3C" w14:textId="77777777">
            <w:r w:rsidRPr="00E25790">
              <w:t>Use syrup as supplied.</w:t>
            </w:r>
          </w:p>
          <w:p w:rsidRPr="00E25790" w:rsidR="00115F48" w:rsidP="006F0321" w:rsidRDefault="00115F48" w14:paraId="092F2FD4" w14:textId="77777777">
            <w:r w:rsidRPr="00E25790">
              <w:t>I.V. - dilute 1 ml IV solution with 4 ml NS = 1 mg/ml.</w:t>
            </w:r>
          </w:p>
        </w:tc>
      </w:tr>
      <w:tr w:rsidRPr="00E25790" w:rsidR="00115F48" w:rsidTr="00A26E96" w14:paraId="31E7BFFB"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F18B426" w14:textId="77777777">
            <w:r w:rsidRPr="00E25790">
              <w:t>Stability :</w:t>
            </w:r>
          </w:p>
        </w:tc>
        <w:tc>
          <w:tcPr>
            <w:tcW w:w="6621" w:type="dxa"/>
            <w:tcBorders>
              <w:top w:val="single" w:color="auto" w:sz="6" w:space="0"/>
              <w:bottom w:val="single" w:color="auto" w:sz="6" w:space="0"/>
              <w:right w:val="single" w:color="auto" w:sz="6" w:space="0"/>
            </w:tcBorders>
          </w:tcPr>
          <w:p w:rsidRPr="00E25790" w:rsidR="00115F48" w:rsidP="006F0321" w:rsidRDefault="00115F48" w14:paraId="61C3DC4F" w14:textId="77777777">
            <w:r w:rsidRPr="00E25790">
              <w:t>Discard ampoule once opened.</w:t>
            </w:r>
          </w:p>
        </w:tc>
      </w:tr>
      <w:tr w:rsidRPr="00E25790" w:rsidR="00115F48" w:rsidTr="00A26E96" w14:paraId="57BD4A34"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2BCCEA3" w14:textId="77777777">
            <w:r w:rsidRPr="00E25790">
              <w:t>Storage :</w:t>
            </w:r>
          </w:p>
        </w:tc>
        <w:tc>
          <w:tcPr>
            <w:tcW w:w="6621" w:type="dxa"/>
            <w:tcBorders>
              <w:top w:val="single" w:color="auto" w:sz="6" w:space="0"/>
              <w:bottom w:val="single" w:color="auto" w:sz="6" w:space="0"/>
              <w:right w:val="single" w:color="auto" w:sz="6" w:space="0"/>
            </w:tcBorders>
          </w:tcPr>
          <w:p w:rsidR="00B95503" w:rsidP="006F0321" w:rsidRDefault="00B95503" w14:paraId="41DD6B91" w14:textId="72742F55">
            <w:r>
              <w:t>IV-</w:t>
            </w:r>
            <w:r w:rsidRPr="00DB33B1" w:rsidR="00DB33B1">
              <w:t>A dilution made with preservative-free NS is stable for 24 hours at room temperature under normal light or for 48 hours if protected from light</w:t>
            </w:r>
          </w:p>
          <w:p w:rsidRPr="00E25790" w:rsidR="00115F48" w:rsidP="006F0321" w:rsidRDefault="009A37CF" w14:paraId="404FFD82" w14:textId="6700F4CA">
            <w:r>
              <w:t>Oral preparation-</w:t>
            </w:r>
            <w:r w:rsidRPr="009A37CF">
              <w:t>Stable for 4 weeks at room temperature</w:t>
            </w:r>
            <w:r w:rsidRPr="00E25790" w:rsidR="00115F48">
              <w:t>.</w:t>
            </w:r>
          </w:p>
        </w:tc>
      </w:tr>
      <w:tr w:rsidRPr="00E25790" w:rsidR="00115F48" w:rsidTr="00A26E96" w14:paraId="6FAA7AC7"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3D48EE6" w14:textId="77777777">
            <w:r w:rsidRPr="00E25790">
              <w:t>Compatibility:</w:t>
            </w:r>
          </w:p>
        </w:tc>
        <w:tc>
          <w:tcPr>
            <w:tcW w:w="6621" w:type="dxa"/>
            <w:tcBorders>
              <w:top w:val="single" w:color="auto" w:sz="6" w:space="0"/>
              <w:bottom w:val="single" w:color="auto" w:sz="6" w:space="0"/>
              <w:right w:val="single" w:color="auto" w:sz="6" w:space="0"/>
            </w:tcBorders>
          </w:tcPr>
          <w:p w:rsidRPr="00E25790" w:rsidR="00115F48" w:rsidP="006F0321" w:rsidRDefault="002F4E86" w14:paraId="5C7AD782" w14:textId="62064217">
            <w:r w:rsidRPr="002F4E86">
              <w:t xml:space="preserve">Acyclovir, aminophylline, atropine, caffeine citrate, clindamycin, dexamethasone, </w:t>
            </w:r>
            <w:r w:rsidRPr="00E25790" w:rsidR="00357023">
              <w:t>5% Dextrose</w:t>
            </w:r>
            <w:r w:rsidR="00357023">
              <w:t xml:space="preserve">, </w:t>
            </w:r>
            <w:r w:rsidRPr="002F4E86">
              <w:t xml:space="preserve">fentanyl, fluconazole, heparin, hydrocortisone, </w:t>
            </w:r>
            <w:r w:rsidR="00357023">
              <w:t xml:space="preserve">insulin, </w:t>
            </w:r>
            <w:r w:rsidRPr="002F4E86">
              <w:t xml:space="preserve">lidocaine, linezolid, meropenem, midazolam, morphine, multivitamins, </w:t>
            </w:r>
            <w:r w:rsidR="00357023">
              <w:t xml:space="preserve">normal saline, </w:t>
            </w:r>
            <w:r w:rsidRPr="002F4E86">
              <w:t xml:space="preserve">piperacillin/tazobactam, potassium chloride, potassium phosphate, prostaglandin E1, ranitidine, remifentanil, </w:t>
            </w:r>
            <w:r w:rsidR="00357023">
              <w:t xml:space="preserve">TPN, </w:t>
            </w:r>
            <w:r w:rsidRPr="002F4E86">
              <w:t>and zidovudine</w:t>
            </w:r>
          </w:p>
        </w:tc>
      </w:tr>
      <w:tr w:rsidRPr="00E25790" w:rsidR="00115F48" w:rsidTr="00A26E96" w14:paraId="2DB560E0"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A351B5A" w14:textId="77777777">
            <w:r w:rsidRPr="00E25790">
              <w:t>Incompatibility :</w:t>
            </w:r>
          </w:p>
        </w:tc>
        <w:tc>
          <w:tcPr>
            <w:tcW w:w="6621" w:type="dxa"/>
            <w:tcBorders>
              <w:top w:val="single" w:color="auto" w:sz="6" w:space="0"/>
              <w:bottom w:val="single" w:color="auto" w:sz="6" w:space="0"/>
              <w:right w:val="single" w:color="auto" w:sz="6" w:space="0"/>
            </w:tcBorders>
          </w:tcPr>
          <w:p w:rsidRPr="00E25790" w:rsidR="00115F48" w:rsidP="006F0321" w:rsidRDefault="00CF742A" w14:paraId="62673DA9" w14:textId="63EEE0D1">
            <w:pPr>
              <w:rPr>
                <w:lang w:val="it-IT"/>
              </w:rPr>
            </w:pPr>
            <w:r>
              <w:rPr>
                <w:lang w:val="it-IT"/>
              </w:rPr>
              <w:t>Ampicillin, c</w:t>
            </w:r>
            <w:r w:rsidRPr="00E25790" w:rsidR="00115F48">
              <w:rPr>
                <w:lang w:val="it-IT"/>
              </w:rPr>
              <w:t xml:space="preserve">alcium gluconate, cephalothin, chloramphenicol, </w:t>
            </w:r>
            <w:r>
              <w:rPr>
                <w:lang w:val="it-IT"/>
              </w:rPr>
              <w:t xml:space="preserve">erythromycin, </w:t>
            </w:r>
            <w:r w:rsidRPr="00E25790" w:rsidR="00115F48">
              <w:rPr>
                <w:lang w:val="it-IT"/>
              </w:rPr>
              <w:t xml:space="preserve">frusemide, penicillin, </w:t>
            </w:r>
            <w:r>
              <w:rPr>
                <w:lang w:val="it-IT"/>
              </w:rPr>
              <w:t xml:space="preserve">propofol, </w:t>
            </w:r>
            <w:r w:rsidRPr="00E25790" w:rsidR="00115F48">
              <w:rPr>
                <w:lang w:val="it-IT"/>
              </w:rPr>
              <w:t xml:space="preserve">sodium bicarbonate.  </w:t>
            </w:r>
          </w:p>
        </w:tc>
      </w:tr>
      <w:tr w:rsidRPr="00E25790" w:rsidR="00115F48" w:rsidTr="00A26E96" w14:paraId="1DDF4791"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2523B1B" w14:textId="77777777">
            <w:r w:rsidRPr="00E25790">
              <w:lastRenderedPageBreak/>
              <w:t>Serum Levels :</w:t>
            </w:r>
          </w:p>
        </w:tc>
        <w:tc>
          <w:tcPr>
            <w:tcW w:w="6621" w:type="dxa"/>
            <w:tcBorders>
              <w:top w:val="single" w:color="auto" w:sz="6" w:space="0"/>
              <w:bottom w:val="single" w:color="auto" w:sz="6" w:space="0"/>
              <w:right w:val="single" w:color="auto" w:sz="6" w:space="0"/>
            </w:tcBorders>
          </w:tcPr>
          <w:p w:rsidRPr="00E25790" w:rsidR="00115F48" w:rsidP="006F0321" w:rsidRDefault="00115F48" w14:paraId="47B24A75" w14:textId="77777777"/>
        </w:tc>
      </w:tr>
    </w:tbl>
    <w:p w:rsidRPr="00E25790" w:rsidR="00115F48" w:rsidP="006F0321" w:rsidRDefault="00115F48" w14:paraId="19C95015" w14:textId="77777777"/>
    <w:p w:rsidRPr="00E25790" w:rsidR="00115F48" w:rsidP="006F0321" w:rsidRDefault="00115F48" w14:paraId="5B11F744" w14:textId="77777777"/>
    <w:p w:rsidR="0091774D" w:rsidP="006F0321" w:rsidRDefault="0091774D" w14:paraId="6F58A7BC" w14:textId="0B867DA7">
      <w:r>
        <w:t>References</w:t>
      </w:r>
    </w:p>
    <w:p w:rsidR="0091774D" w:rsidP="001B0E05" w:rsidRDefault="006C00FE" w14:paraId="6E93B79B" w14:textId="364EA93A">
      <w:pPr>
        <w:pStyle w:val="ListParagraph"/>
        <w:numPr>
          <w:ilvl w:val="0"/>
          <w:numId w:val="85"/>
        </w:numPr>
      </w:pPr>
      <w:r>
        <w:t xml:space="preserve">Metoclopramide. </w:t>
      </w:r>
      <w:r w:rsidRPr="00E25790">
        <w:t xml:space="preserve">In: NeoFax® System (electronic version). Truven Health Analytics, Greenwood Village, Colorado, USA. Available at: http://www.micromedexsolutions.com/ (cited: </w:t>
      </w:r>
      <w:r>
        <w:rPr>
          <w:i/>
          <w:iCs/>
        </w:rPr>
        <w:t>23-12-2020</w:t>
      </w:r>
      <w:r w:rsidRPr="00E25790">
        <w:t>)</w:t>
      </w:r>
    </w:p>
    <w:p w:rsidR="00EA7666" w:rsidP="001B0E05" w:rsidRDefault="0091774D" w14:paraId="3ACCBDD9" w14:textId="77777777">
      <w:pPr>
        <w:pStyle w:val="ListParagraph"/>
        <w:numPr>
          <w:ilvl w:val="0"/>
          <w:numId w:val="85"/>
        </w:numPr>
      </w:pPr>
      <w:r w:rsidRPr="0091774D">
        <w:t xml:space="preserve">Product Information: Metoclopramide hydrochloride intravenous, intramuscular injection, metoclopramide hydrochloride intravenous, intramuscular injection. Fresenius Kabi (per DailyMed), Lake Zurich, IL, 2016 </w:t>
      </w:r>
    </w:p>
    <w:p w:rsidR="00EA7666" w:rsidP="00EA7666" w:rsidRDefault="00EA7666" w14:paraId="49673EF0" w14:textId="77777777">
      <w:pPr>
        <w:pStyle w:val="ListParagraph"/>
      </w:pPr>
    </w:p>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3C2CBA" w:rsidR="008F7567" w:rsidTr="0059793A" w14:paraId="51B5FBBC" w14:textId="77777777">
        <w:tc>
          <w:tcPr>
            <w:tcW w:w="4535" w:type="dxa"/>
            <w:vAlign w:val="center"/>
          </w:tcPr>
          <w:p w:rsidRPr="007952CE" w:rsidR="008F7567" w:rsidP="0059793A" w:rsidRDefault="008F7567" w14:paraId="141B0971" w14:textId="53A308E5">
            <w:r w:rsidRPr="007952CE">
              <w:t xml:space="preserve">Original version Date: </w:t>
            </w:r>
            <w:r w:rsidR="006D57FB">
              <w:t>9/1/2014</w:t>
            </w:r>
          </w:p>
        </w:tc>
        <w:tc>
          <w:tcPr>
            <w:tcW w:w="4535" w:type="dxa"/>
            <w:vAlign w:val="center"/>
          </w:tcPr>
          <w:p w:rsidRPr="007952CE" w:rsidR="008F7567" w:rsidP="0059793A" w:rsidRDefault="008F7567" w14:paraId="6C45ED85" w14:textId="77777777">
            <w:r w:rsidRPr="007952CE">
              <w:t xml:space="preserve">Author: </w:t>
            </w:r>
            <w:r w:rsidRPr="00DB5867">
              <w:t xml:space="preserve">NMF </w:t>
            </w:r>
            <w:r w:rsidRPr="007952CE">
              <w:t>Consensus Group</w:t>
            </w:r>
          </w:p>
        </w:tc>
      </w:tr>
      <w:tr w:rsidRPr="003C2CBA" w:rsidR="008F7567" w:rsidTr="0059793A" w14:paraId="767209AC" w14:textId="77777777">
        <w:tc>
          <w:tcPr>
            <w:tcW w:w="4535" w:type="dxa"/>
            <w:vAlign w:val="center"/>
          </w:tcPr>
          <w:p w:rsidRPr="007952CE" w:rsidR="008F7567" w:rsidP="0059793A" w:rsidRDefault="008F7567" w14:paraId="4D87476B" w14:textId="7DAF523A">
            <w:pPr>
              <w:rPr>
                <w:bCs/>
              </w:rPr>
            </w:pPr>
            <w:r w:rsidRPr="007952CE">
              <w:t xml:space="preserve">Current Version number:  </w:t>
            </w:r>
            <w:r w:rsidR="006D57FB">
              <w:t>2</w:t>
            </w:r>
          </w:p>
        </w:tc>
        <w:tc>
          <w:tcPr>
            <w:tcW w:w="4535" w:type="dxa"/>
            <w:vAlign w:val="center"/>
          </w:tcPr>
          <w:p w:rsidRPr="007952CE" w:rsidR="008F7567" w:rsidP="0059793A" w:rsidRDefault="008F7567" w14:paraId="59CBB1D4" w14:textId="1C1CD46D">
            <w:r w:rsidRPr="007952CE">
              <w:t xml:space="preserve">Version Date:  </w:t>
            </w:r>
            <w:r w:rsidR="006D57FB">
              <w:t>23</w:t>
            </w:r>
            <w:r>
              <w:t>/12/2020</w:t>
            </w:r>
          </w:p>
        </w:tc>
      </w:tr>
      <w:tr w:rsidRPr="003C2CBA" w:rsidR="008F7567" w:rsidTr="0059793A" w14:paraId="70CF9F93" w14:textId="77777777">
        <w:tc>
          <w:tcPr>
            <w:tcW w:w="4535" w:type="dxa"/>
            <w:vAlign w:val="center"/>
          </w:tcPr>
          <w:p w:rsidRPr="007952CE" w:rsidR="008F7567" w:rsidP="0059793A" w:rsidRDefault="008F7567" w14:paraId="0FEA0EC3" w14:textId="77777777">
            <w:r w:rsidRPr="007952CE">
              <w:t xml:space="preserve">Risk Rating: </w:t>
            </w:r>
            <w:r>
              <w:t>Low</w:t>
            </w:r>
          </w:p>
        </w:tc>
        <w:tc>
          <w:tcPr>
            <w:tcW w:w="4535" w:type="dxa"/>
            <w:vAlign w:val="center"/>
          </w:tcPr>
          <w:p w:rsidRPr="007952CE" w:rsidR="008F7567" w:rsidP="0059793A" w:rsidRDefault="008F7567" w14:paraId="21450B4F" w14:textId="5DFF715C">
            <w:r w:rsidRPr="007952CE">
              <w:t xml:space="preserve">Due for Review:  </w:t>
            </w:r>
            <w:r w:rsidR="006D57FB">
              <w:t>23</w:t>
            </w:r>
            <w:r>
              <w:t>/12/2025</w:t>
            </w:r>
          </w:p>
        </w:tc>
      </w:tr>
      <w:tr w:rsidRPr="003C2CBA" w:rsidR="008F7567" w:rsidTr="0059793A" w14:paraId="33A19DFA" w14:textId="77777777">
        <w:trPr>
          <w:trHeight w:val="344"/>
        </w:trPr>
        <w:tc>
          <w:tcPr>
            <w:tcW w:w="4535" w:type="dxa"/>
            <w:tcBorders>
              <w:bottom w:val="single" w:color="auto" w:sz="4" w:space="0"/>
            </w:tcBorders>
            <w:vAlign w:val="center"/>
          </w:tcPr>
          <w:p w:rsidRPr="003C2CBA" w:rsidR="008F7567" w:rsidP="0059793A" w:rsidRDefault="008F7567" w14:paraId="6829CE59" w14:textId="77777777">
            <w:r w:rsidRPr="003C2CBA">
              <w:t xml:space="preserve">Approved by: </w:t>
            </w:r>
            <w:r>
              <w:t>DTC</w:t>
            </w:r>
          </w:p>
        </w:tc>
        <w:tc>
          <w:tcPr>
            <w:tcW w:w="4535" w:type="dxa"/>
            <w:tcBorders>
              <w:bottom w:val="single" w:color="auto" w:sz="4" w:space="0"/>
            </w:tcBorders>
            <w:vAlign w:val="center"/>
          </w:tcPr>
          <w:p w:rsidRPr="007952CE" w:rsidR="008F7567" w:rsidP="0059793A" w:rsidRDefault="008F7567" w14:paraId="26DE2797" w14:textId="10382FE9">
            <w:r w:rsidRPr="007952CE">
              <w:t xml:space="preserve">Approval Date: </w:t>
            </w:r>
            <w:r w:rsidR="00260BC8">
              <w:t>APRIL 2021</w:t>
            </w:r>
          </w:p>
        </w:tc>
      </w:tr>
    </w:tbl>
    <w:p w:rsidRPr="00E25790" w:rsidR="00115F48" w:rsidP="00EA7666" w:rsidRDefault="00115F48" w14:paraId="5B47CA09" w14:textId="7BA9C3E2">
      <w:r w:rsidRPr="00E25790">
        <w:br w:type="page"/>
      </w:r>
    </w:p>
    <w:p w:rsidRPr="00E25790" w:rsidR="00115F48" w:rsidP="006F0321" w:rsidRDefault="00115F48" w14:paraId="15FD062F" w14:textId="77777777"/>
    <w:tbl>
      <w:tblPr>
        <w:tblpPr w:leftFromText="180" w:rightFromText="180" w:vertAnchor="text" w:tblpY="1"/>
        <w:tblOverlap w:val="never"/>
        <w:tblW w:w="9049" w:type="dxa"/>
        <w:tblLayout w:type="fixed"/>
        <w:tblLook w:val="0000" w:firstRow="0" w:lastRow="0" w:firstColumn="0" w:lastColumn="0" w:noHBand="0" w:noVBand="0"/>
      </w:tblPr>
      <w:tblGrid>
        <w:gridCol w:w="4153"/>
        <w:gridCol w:w="4896"/>
      </w:tblGrid>
      <w:tr w:rsidRPr="00E25790" w:rsidR="00115F48" w:rsidTr="00B42E78" w14:paraId="24C9DFE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B42E78" w:rsidRDefault="00115F48" w14:paraId="4D50834C" w14:textId="77777777">
            <w:pPr>
              <w:pStyle w:val="Heading1"/>
            </w:pPr>
            <w:bookmarkStart w:name="_Toc495481135" w:id="387"/>
            <w:bookmarkStart w:name="_Toc495481261" w:id="388"/>
            <w:bookmarkStart w:name="_Toc495481386" w:id="389"/>
            <w:bookmarkStart w:name="_Toc495501567" w:id="390"/>
            <w:bookmarkStart w:name="_Toc38106883" w:id="391"/>
            <w:bookmarkStart w:name="_Toc75340005" w:id="392"/>
            <w:r w:rsidRPr="00E25790">
              <w:t>Metronidazole</w:t>
            </w:r>
            <w:bookmarkEnd w:id="387"/>
            <w:bookmarkEnd w:id="388"/>
            <w:bookmarkEnd w:id="389"/>
            <w:bookmarkEnd w:id="390"/>
            <w:bookmarkEnd w:id="391"/>
            <w:bookmarkEnd w:id="392"/>
            <w:r w:rsidRPr="00E25790">
              <w:fldChar w:fldCharType="begin"/>
            </w:r>
            <w:r w:rsidRPr="00E25790">
              <w:instrText>tc "Metronidazole" \l 0</w:instrText>
            </w:r>
            <w:r w:rsidRPr="00E25790">
              <w:fldChar w:fldCharType="end"/>
            </w:r>
          </w:p>
        </w:tc>
      </w:tr>
      <w:tr w:rsidRPr="00E25790" w:rsidR="00115F48" w:rsidTr="00B42E78" w14:paraId="337D290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B42E78" w:rsidRDefault="00115F48" w14:paraId="6F9FDDA9" w14:textId="343662FE">
            <w:r w:rsidRPr="00E25790">
              <w:t xml:space="preserve">Revision Date : </w:t>
            </w:r>
            <w:r w:rsidR="00E8149A">
              <w:t>18</w:t>
            </w:r>
            <w:r w:rsidR="00650F62">
              <w:t>-</w:t>
            </w:r>
            <w:r w:rsidR="00E8149A">
              <w:t>6</w:t>
            </w:r>
            <w:r w:rsidR="00650F62">
              <w:t>-202</w:t>
            </w:r>
            <w:r w:rsidR="00E8149A">
              <w:t>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B42E78" w:rsidRDefault="00DF3C58" w14:paraId="63078B70" w14:textId="77777777">
            <w:r w:rsidRPr="00E25790">
              <w:t>Approved</w:t>
            </w:r>
            <w:r w:rsidRPr="00E25790" w:rsidR="00115F48">
              <w:t xml:space="preserve">: </w:t>
            </w:r>
            <w:r w:rsidRPr="00E25790" w:rsidR="00FD7763">
              <w:t>TC, KOH</w:t>
            </w:r>
          </w:p>
        </w:tc>
      </w:tr>
    </w:tbl>
    <w:p w:rsidR="00B42E78" w:rsidP="006F0321" w:rsidRDefault="00B42E78" w14:paraId="19C9F3FF" w14:textId="77777777"/>
    <w:p w:rsidRPr="00E25790" w:rsidR="00115F48" w:rsidP="00B42E78" w:rsidRDefault="00B42E78" w14:paraId="639B7CC8" w14:textId="73A24F15">
      <w:pPr>
        <w:tabs>
          <w:tab w:val="left" w:pos="3072"/>
        </w:tabs>
      </w:pPr>
      <w:r>
        <w:tab/>
      </w:r>
      <w:r>
        <w:br w:type="textWrapping" w:clear="all"/>
      </w:r>
    </w:p>
    <w:tbl>
      <w:tblPr>
        <w:tblW w:w="52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7809"/>
      </w:tblGrid>
      <w:tr w:rsidRPr="00910A7D" w:rsidR="00B42E78" w:rsidTr="008074AA" w14:paraId="449AF231" w14:textId="77777777">
        <w:trPr>
          <w:trHeight w:val="263"/>
        </w:trPr>
        <w:tc>
          <w:tcPr>
            <w:tcW w:w="887" w:type="pct"/>
          </w:tcPr>
          <w:p w:rsidRPr="00910A7D" w:rsidR="00B42E78" w:rsidP="00131848" w:rsidRDefault="00B42E78" w14:paraId="6DAD8D84" w14:textId="77777777">
            <w:pPr>
              <w:pStyle w:val="BodyText"/>
              <w:tabs>
                <w:tab w:val="center" w:pos="1476"/>
              </w:tabs>
              <w:rPr>
                <w:rFonts w:asciiTheme="minorHAnsi" w:hAnsiTheme="minorHAnsi" w:cstheme="minorHAnsi"/>
                <w:b/>
                <w:sz w:val="20"/>
              </w:rPr>
            </w:pPr>
            <w:r w:rsidRPr="00910A7D">
              <w:rPr>
                <w:rFonts w:asciiTheme="minorHAnsi" w:hAnsiTheme="minorHAnsi" w:cstheme="minorHAnsi"/>
                <w:b/>
                <w:sz w:val="20"/>
              </w:rPr>
              <w:t>Alert</w:t>
            </w:r>
          </w:p>
        </w:tc>
        <w:tc>
          <w:tcPr>
            <w:tcW w:w="4113" w:type="pct"/>
          </w:tcPr>
          <w:p w:rsidRPr="00910A7D" w:rsidR="00B42E78" w:rsidP="00131848" w:rsidRDefault="00B42E78" w14:paraId="361AFE4F" w14:textId="77777777">
            <w:pPr>
              <w:pStyle w:val="BodyText"/>
              <w:rPr>
                <w:rFonts w:asciiTheme="minorHAnsi" w:hAnsiTheme="minorHAnsi" w:cstheme="minorHAnsi"/>
                <w:sz w:val="20"/>
              </w:rPr>
            </w:pPr>
            <w:r w:rsidRPr="00910A7D">
              <w:rPr>
                <w:rFonts w:asciiTheme="minorHAnsi" w:hAnsiTheme="minorHAnsi" w:cstheme="minorHAnsi"/>
                <w:sz w:val="20"/>
              </w:rPr>
              <w:t>High risk medicine. There are few data from prospective trials on the safety and efficacy of metronidazole in newborn infants.</w:t>
            </w:r>
          </w:p>
        </w:tc>
      </w:tr>
      <w:tr w:rsidRPr="00910A7D" w:rsidR="00B42E78" w:rsidTr="008074AA" w14:paraId="01D84FF7" w14:textId="77777777">
        <w:trPr>
          <w:trHeight w:val="263"/>
        </w:trPr>
        <w:tc>
          <w:tcPr>
            <w:tcW w:w="887" w:type="pct"/>
          </w:tcPr>
          <w:p w:rsidRPr="00910A7D" w:rsidR="00B42E78" w:rsidP="00131848" w:rsidRDefault="00B42E78" w14:paraId="074A254F" w14:textId="77777777">
            <w:pPr>
              <w:pStyle w:val="BodyText"/>
              <w:rPr>
                <w:rFonts w:asciiTheme="minorHAnsi" w:hAnsiTheme="minorHAnsi" w:cstheme="minorHAnsi"/>
                <w:sz w:val="20"/>
              </w:rPr>
            </w:pPr>
            <w:r w:rsidRPr="00910A7D">
              <w:rPr>
                <w:rFonts w:asciiTheme="minorHAnsi" w:hAnsiTheme="minorHAnsi" w:cstheme="minorHAnsi"/>
                <w:b/>
                <w:bCs/>
                <w:sz w:val="20"/>
              </w:rPr>
              <w:t>Indication</w:t>
            </w:r>
          </w:p>
        </w:tc>
        <w:tc>
          <w:tcPr>
            <w:tcW w:w="4113" w:type="pct"/>
          </w:tcPr>
          <w:p w:rsidRPr="00910A7D" w:rsidR="00B42E78" w:rsidP="00131848" w:rsidRDefault="00B42E78" w14:paraId="42860391" w14:textId="77777777">
            <w:pPr>
              <w:rPr>
                <w:rFonts w:asciiTheme="minorHAnsi" w:hAnsiTheme="minorHAnsi" w:cstheme="minorHAnsi"/>
                <w:sz w:val="20"/>
              </w:rPr>
            </w:pPr>
            <w:r w:rsidRPr="00910A7D">
              <w:rPr>
                <w:rFonts w:asciiTheme="minorHAnsi" w:hAnsiTheme="minorHAnsi" w:cstheme="minorHAnsi"/>
                <w:sz w:val="20"/>
              </w:rPr>
              <w:t xml:space="preserve">Anaerobic bacterial and protozoal infections including meningitis. </w:t>
            </w:r>
          </w:p>
          <w:p w:rsidRPr="00910A7D" w:rsidR="00B42E78" w:rsidP="00131848" w:rsidRDefault="00B42E78" w14:paraId="2A43B089" w14:textId="77777777">
            <w:pPr>
              <w:rPr>
                <w:rFonts w:asciiTheme="minorHAnsi" w:hAnsiTheme="minorHAnsi" w:cstheme="minorHAnsi"/>
                <w:sz w:val="20"/>
              </w:rPr>
            </w:pPr>
            <w:r w:rsidRPr="00910A7D">
              <w:rPr>
                <w:rFonts w:asciiTheme="minorHAnsi" w:hAnsiTheme="minorHAnsi" w:cstheme="minorHAnsi"/>
                <w:sz w:val="20"/>
              </w:rPr>
              <w:t>Necrotising enterocolitis.</w:t>
            </w:r>
          </w:p>
        </w:tc>
      </w:tr>
      <w:tr w:rsidRPr="00910A7D" w:rsidR="00B42E78" w:rsidTr="008074AA" w14:paraId="2A2DE631" w14:textId="77777777">
        <w:trPr>
          <w:trHeight w:val="263"/>
        </w:trPr>
        <w:tc>
          <w:tcPr>
            <w:tcW w:w="887" w:type="pct"/>
          </w:tcPr>
          <w:p w:rsidRPr="00910A7D" w:rsidR="00B42E78" w:rsidP="00131848" w:rsidRDefault="00B42E78" w14:paraId="62806230" w14:textId="77777777">
            <w:pPr>
              <w:pStyle w:val="BodyText"/>
              <w:rPr>
                <w:rFonts w:asciiTheme="minorHAnsi" w:hAnsiTheme="minorHAnsi" w:cstheme="minorHAnsi"/>
                <w:b/>
                <w:bCs/>
                <w:sz w:val="20"/>
              </w:rPr>
            </w:pPr>
            <w:r w:rsidRPr="00910A7D">
              <w:rPr>
                <w:rFonts w:asciiTheme="minorHAnsi" w:hAnsiTheme="minorHAnsi" w:cstheme="minorHAnsi"/>
                <w:b/>
                <w:bCs/>
                <w:sz w:val="20"/>
              </w:rPr>
              <w:t>Action</w:t>
            </w:r>
          </w:p>
        </w:tc>
        <w:tc>
          <w:tcPr>
            <w:tcW w:w="4113" w:type="pct"/>
          </w:tcPr>
          <w:p w:rsidRPr="00910A7D" w:rsidR="00B42E78" w:rsidP="00131848" w:rsidRDefault="00B42E78" w14:paraId="7243B2C3" w14:textId="77777777">
            <w:pPr>
              <w:rPr>
                <w:rFonts w:asciiTheme="minorHAnsi" w:hAnsiTheme="minorHAnsi" w:cstheme="minorHAnsi"/>
                <w:sz w:val="20"/>
              </w:rPr>
            </w:pPr>
            <w:r w:rsidRPr="00910A7D">
              <w:rPr>
                <w:rFonts w:asciiTheme="minorHAnsi" w:hAnsiTheme="minorHAnsi" w:cstheme="minorHAnsi"/>
                <w:sz w:val="20"/>
              </w:rPr>
              <w:t>Bactericidal against anaerobic bacteria and an antiprotozoal agent.</w:t>
            </w:r>
          </w:p>
        </w:tc>
      </w:tr>
      <w:tr w:rsidRPr="00910A7D" w:rsidR="00B42E78" w:rsidTr="008074AA" w14:paraId="214FD539" w14:textId="77777777">
        <w:trPr>
          <w:trHeight w:val="263"/>
        </w:trPr>
        <w:tc>
          <w:tcPr>
            <w:tcW w:w="887" w:type="pct"/>
          </w:tcPr>
          <w:p w:rsidRPr="00910A7D" w:rsidR="00B42E78" w:rsidP="00131848" w:rsidRDefault="00B42E78" w14:paraId="3DE4A950" w14:textId="77777777">
            <w:pPr>
              <w:pStyle w:val="BodyText"/>
              <w:rPr>
                <w:rFonts w:asciiTheme="minorHAnsi" w:hAnsiTheme="minorHAnsi" w:cstheme="minorHAnsi"/>
                <w:sz w:val="20"/>
              </w:rPr>
            </w:pPr>
            <w:r w:rsidRPr="00910A7D">
              <w:rPr>
                <w:rFonts w:asciiTheme="minorHAnsi" w:hAnsiTheme="minorHAnsi" w:cstheme="minorHAnsi"/>
                <w:b/>
                <w:bCs/>
                <w:sz w:val="20"/>
              </w:rPr>
              <w:t>Drug type</w:t>
            </w:r>
          </w:p>
        </w:tc>
        <w:tc>
          <w:tcPr>
            <w:tcW w:w="4113" w:type="pct"/>
          </w:tcPr>
          <w:p w:rsidRPr="00910A7D" w:rsidR="00B42E78" w:rsidP="00131848" w:rsidRDefault="00B42E78" w14:paraId="08402ECB" w14:textId="77777777">
            <w:pPr>
              <w:pStyle w:val="BodyText"/>
              <w:rPr>
                <w:rFonts w:asciiTheme="minorHAnsi" w:hAnsiTheme="minorHAnsi" w:cstheme="minorHAnsi"/>
                <w:sz w:val="20"/>
              </w:rPr>
            </w:pPr>
            <w:r w:rsidRPr="00910A7D">
              <w:rPr>
                <w:rFonts w:asciiTheme="minorHAnsi" w:hAnsiTheme="minorHAnsi" w:cstheme="minorHAnsi"/>
                <w:sz w:val="20"/>
              </w:rPr>
              <w:t>Antibacterial — nitromethylimidazole</w:t>
            </w:r>
          </w:p>
        </w:tc>
      </w:tr>
      <w:tr w:rsidRPr="00910A7D" w:rsidR="00B42E78" w:rsidTr="008074AA" w14:paraId="0CEB513D" w14:textId="77777777">
        <w:trPr>
          <w:trHeight w:val="263"/>
        </w:trPr>
        <w:tc>
          <w:tcPr>
            <w:tcW w:w="887" w:type="pct"/>
          </w:tcPr>
          <w:p w:rsidRPr="00910A7D" w:rsidR="00B42E78" w:rsidP="00131848" w:rsidRDefault="00B42E78" w14:paraId="0EB3BD62" w14:textId="77777777">
            <w:pPr>
              <w:pStyle w:val="BodyText"/>
              <w:rPr>
                <w:rFonts w:asciiTheme="minorHAnsi" w:hAnsiTheme="minorHAnsi" w:cstheme="minorHAnsi"/>
                <w:b/>
                <w:bCs/>
                <w:sz w:val="20"/>
              </w:rPr>
            </w:pPr>
            <w:r w:rsidRPr="00910A7D">
              <w:rPr>
                <w:rFonts w:asciiTheme="minorHAnsi" w:hAnsiTheme="minorHAnsi" w:cstheme="minorHAnsi"/>
                <w:b/>
                <w:bCs/>
                <w:sz w:val="20"/>
              </w:rPr>
              <w:t>Trade name</w:t>
            </w:r>
          </w:p>
        </w:tc>
        <w:tc>
          <w:tcPr>
            <w:tcW w:w="4113" w:type="pct"/>
          </w:tcPr>
          <w:p w:rsidRPr="00910A7D" w:rsidR="00B42E78" w:rsidP="00131848" w:rsidRDefault="00B42E78" w14:paraId="20750BA1" w14:textId="77777777">
            <w:pPr>
              <w:pStyle w:val="BodyText"/>
              <w:rPr>
                <w:rFonts w:asciiTheme="minorHAnsi" w:hAnsiTheme="minorHAnsi" w:cstheme="minorHAnsi"/>
                <w:sz w:val="20"/>
              </w:rPr>
            </w:pPr>
            <w:r w:rsidRPr="00910A7D">
              <w:rPr>
                <w:rFonts w:asciiTheme="minorHAnsi" w:hAnsiTheme="minorHAnsi" w:cstheme="minorHAnsi"/>
                <w:sz w:val="20"/>
              </w:rPr>
              <w:t>Metronidazole Sandoz IV Solution for infusion, DBL Metronidazole Intravenous Infusion, Metronidazole Intravenous Infusion (Baxter) Solution for infusion, Metronidazole-Claris Solution for infusion, Metronidazole Kabi solution fort Infusion.</w:t>
            </w:r>
          </w:p>
          <w:p w:rsidRPr="00910A7D" w:rsidR="00B42E78" w:rsidP="00131848" w:rsidRDefault="00B42E78" w14:paraId="454BEDB7" w14:textId="77777777">
            <w:pPr>
              <w:pStyle w:val="BodyText"/>
              <w:rPr>
                <w:rFonts w:asciiTheme="minorHAnsi" w:hAnsiTheme="minorHAnsi" w:cstheme="minorHAnsi"/>
                <w:sz w:val="20"/>
              </w:rPr>
            </w:pPr>
            <w:r w:rsidRPr="00910A7D">
              <w:rPr>
                <w:rFonts w:asciiTheme="minorHAnsi" w:hAnsiTheme="minorHAnsi" w:cstheme="minorHAnsi"/>
                <w:sz w:val="20"/>
              </w:rPr>
              <w:cr/>
              <w:t>Flagyl S oral Suspension</w:t>
            </w:r>
          </w:p>
        </w:tc>
      </w:tr>
      <w:tr w:rsidRPr="00910A7D" w:rsidR="00B42E78" w:rsidTr="008074AA" w14:paraId="44F8F546" w14:textId="77777777">
        <w:trPr>
          <w:trHeight w:val="263"/>
        </w:trPr>
        <w:tc>
          <w:tcPr>
            <w:tcW w:w="887" w:type="pct"/>
          </w:tcPr>
          <w:p w:rsidRPr="00910A7D" w:rsidR="00B42E78" w:rsidP="00131848" w:rsidRDefault="00B42E78" w14:paraId="3A9836C6" w14:textId="77777777">
            <w:pPr>
              <w:pStyle w:val="BodyText"/>
              <w:rPr>
                <w:rFonts w:asciiTheme="minorHAnsi" w:hAnsiTheme="minorHAnsi" w:cstheme="minorHAnsi"/>
                <w:b/>
                <w:bCs/>
                <w:sz w:val="20"/>
              </w:rPr>
            </w:pPr>
            <w:r w:rsidRPr="00910A7D">
              <w:rPr>
                <w:rFonts w:asciiTheme="minorHAnsi" w:hAnsiTheme="minorHAnsi" w:cstheme="minorHAnsi"/>
                <w:b/>
                <w:bCs/>
                <w:sz w:val="20"/>
              </w:rPr>
              <w:t xml:space="preserve">Presentation </w:t>
            </w:r>
          </w:p>
        </w:tc>
        <w:tc>
          <w:tcPr>
            <w:tcW w:w="4113" w:type="pct"/>
          </w:tcPr>
          <w:p w:rsidRPr="00910A7D" w:rsidR="00B42E78" w:rsidP="00131848" w:rsidRDefault="00B42E78" w14:paraId="7C7A2ACF" w14:textId="77777777">
            <w:pPr>
              <w:pStyle w:val="BodyText"/>
              <w:rPr>
                <w:rFonts w:asciiTheme="minorHAnsi" w:hAnsiTheme="minorHAnsi" w:cstheme="minorHAnsi"/>
                <w:sz w:val="20"/>
              </w:rPr>
            </w:pPr>
            <w:r w:rsidRPr="00910A7D">
              <w:rPr>
                <w:rFonts w:asciiTheme="minorHAnsi" w:hAnsiTheme="minorHAnsi" w:cstheme="minorHAnsi"/>
                <w:sz w:val="20"/>
              </w:rPr>
              <w:t>500 mg/100 mL IV solution</w:t>
            </w:r>
          </w:p>
          <w:p w:rsidRPr="00910A7D" w:rsidR="00B42E78" w:rsidP="00131848" w:rsidRDefault="00B42E78" w14:paraId="75C94214" w14:textId="77777777">
            <w:pPr>
              <w:pStyle w:val="BodyText"/>
              <w:rPr>
                <w:rFonts w:asciiTheme="minorHAnsi" w:hAnsiTheme="minorHAnsi" w:cstheme="minorHAnsi"/>
                <w:sz w:val="20"/>
              </w:rPr>
            </w:pPr>
            <w:r w:rsidRPr="00910A7D">
              <w:rPr>
                <w:rFonts w:asciiTheme="minorHAnsi" w:hAnsiTheme="minorHAnsi" w:cstheme="minorHAnsi"/>
                <w:sz w:val="20"/>
              </w:rPr>
              <w:t>200 mg/5 mL Oral Suspension</w:t>
            </w:r>
          </w:p>
        </w:tc>
      </w:tr>
      <w:tr w:rsidRPr="00910A7D" w:rsidR="00B42E78" w:rsidTr="008074AA" w14:paraId="7CAF54B2" w14:textId="77777777">
        <w:trPr>
          <w:trHeight w:val="263"/>
        </w:trPr>
        <w:tc>
          <w:tcPr>
            <w:tcW w:w="887" w:type="pct"/>
          </w:tcPr>
          <w:p w:rsidRPr="00910A7D" w:rsidR="00B42E78" w:rsidP="00131848" w:rsidRDefault="00B42E78" w14:paraId="1DE64996" w14:textId="77777777">
            <w:pPr>
              <w:pStyle w:val="BodyText"/>
              <w:rPr>
                <w:rFonts w:asciiTheme="minorHAnsi" w:hAnsiTheme="minorHAnsi" w:cstheme="minorHAnsi"/>
                <w:b/>
                <w:bCs/>
                <w:sz w:val="20"/>
              </w:rPr>
            </w:pPr>
            <w:r w:rsidRPr="00910A7D">
              <w:rPr>
                <w:rFonts w:asciiTheme="minorHAnsi" w:hAnsiTheme="minorHAnsi" w:cstheme="minorHAnsi"/>
                <w:b/>
                <w:bCs/>
                <w:sz w:val="20"/>
              </w:rPr>
              <w:t>Dose</w:t>
            </w:r>
          </w:p>
        </w:tc>
        <w:tc>
          <w:tcPr>
            <w:tcW w:w="4113" w:type="pct"/>
          </w:tcPr>
          <w:p w:rsidRPr="00910A7D" w:rsidR="00B42E78" w:rsidP="00131848" w:rsidRDefault="00B42E78" w14:paraId="26A1BA17" w14:textId="77777777">
            <w:pPr>
              <w:pStyle w:val="BodyText"/>
              <w:rPr>
                <w:rFonts w:asciiTheme="minorHAnsi" w:hAnsiTheme="minorHAnsi" w:cstheme="minorHAnsi"/>
                <w:sz w:val="20"/>
              </w:rPr>
            </w:pPr>
            <w:r w:rsidRPr="00910A7D">
              <w:rPr>
                <w:rFonts w:asciiTheme="minorHAnsi" w:hAnsiTheme="minorHAnsi" w:cstheme="minorHAnsi"/>
                <w:sz w:val="20"/>
              </w:rPr>
              <w:t>IV or Oral</w:t>
            </w:r>
          </w:p>
          <w:p w:rsidRPr="00910A7D" w:rsidR="00B42E78" w:rsidP="00131848" w:rsidRDefault="00B42E78" w14:paraId="256CB97B" w14:textId="77777777">
            <w:pPr>
              <w:pStyle w:val="BodyText"/>
              <w:rPr>
                <w:rFonts w:asciiTheme="minorHAnsi" w:hAnsiTheme="minorHAnsi" w:cstheme="minorHAnsi"/>
                <w:sz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60"/>
              <w:gridCol w:w="1119"/>
              <w:gridCol w:w="2102"/>
              <w:gridCol w:w="2102"/>
            </w:tblGrid>
            <w:tr w:rsidRPr="00910A7D" w:rsidR="00B42E78" w:rsidTr="00131848" w14:paraId="1A925124" w14:textId="77777777">
              <w:tc>
                <w:tcPr>
                  <w:tcW w:w="2301" w:type="dxa"/>
                  <w:shd w:val="clear" w:color="auto" w:fill="auto"/>
                </w:tcPr>
                <w:p w:rsidRPr="00910A7D" w:rsidR="00B42E78" w:rsidP="00131848" w:rsidRDefault="00B42E78" w14:paraId="57147534" w14:textId="77777777">
                  <w:pPr>
                    <w:pStyle w:val="BodyText"/>
                    <w:rPr>
                      <w:rFonts w:asciiTheme="minorHAnsi" w:hAnsiTheme="minorHAnsi" w:cstheme="minorHAnsi"/>
                      <w:sz w:val="20"/>
                    </w:rPr>
                  </w:pPr>
                  <w:r w:rsidRPr="00910A7D">
                    <w:rPr>
                      <w:rFonts w:asciiTheme="minorHAnsi" w:hAnsiTheme="minorHAnsi" w:cstheme="minorHAnsi"/>
                      <w:sz w:val="20"/>
                    </w:rPr>
                    <w:t>Postmenstrual age/Corrected age</w:t>
                  </w:r>
                  <w:r>
                    <w:rPr>
                      <w:rFonts w:asciiTheme="minorHAnsi" w:hAnsiTheme="minorHAnsi" w:cstheme="minorHAnsi"/>
                      <w:sz w:val="20"/>
                    </w:rPr>
                    <w:t>*</w:t>
                  </w:r>
                </w:p>
              </w:tc>
              <w:tc>
                <w:tcPr>
                  <w:tcW w:w="1131" w:type="dxa"/>
                  <w:shd w:val="clear" w:color="auto" w:fill="auto"/>
                </w:tcPr>
                <w:p w:rsidRPr="00910A7D" w:rsidR="00B42E78" w:rsidP="00131848" w:rsidRDefault="00B42E78" w14:paraId="46E13DB5" w14:textId="77777777">
                  <w:pPr>
                    <w:pStyle w:val="BodyText"/>
                    <w:rPr>
                      <w:rFonts w:asciiTheme="minorHAnsi" w:hAnsiTheme="minorHAnsi" w:cstheme="minorHAnsi"/>
                      <w:sz w:val="20"/>
                    </w:rPr>
                  </w:pPr>
                  <w:r w:rsidRPr="00910A7D">
                    <w:rPr>
                      <w:rFonts w:asciiTheme="minorHAnsi" w:hAnsiTheme="minorHAnsi" w:cstheme="minorHAnsi"/>
                      <w:sz w:val="20"/>
                    </w:rPr>
                    <w:t>Loading dose</w:t>
                  </w:r>
                </w:p>
              </w:tc>
              <w:tc>
                <w:tcPr>
                  <w:tcW w:w="2140" w:type="dxa"/>
                </w:tcPr>
                <w:p w:rsidRPr="00910A7D" w:rsidR="00B42E78" w:rsidP="00131848" w:rsidRDefault="00B42E78" w14:paraId="4A091F39" w14:textId="77777777">
                  <w:pPr>
                    <w:pStyle w:val="BodyText"/>
                    <w:rPr>
                      <w:rFonts w:asciiTheme="minorHAnsi" w:hAnsiTheme="minorHAnsi" w:cstheme="minorHAnsi"/>
                      <w:sz w:val="20"/>
                    </w:rPr>
                  </w:pPr>
                  <w:r>
                    <w:rPr>
                      <w:rFonts w:asciiTheme="minorHAnsi" w:hAnsiTheme="minorHAnsi" w:cstheme="minorHAnsi"/>
                      <w:sz w:val="20"/>
                    </w:rPr>
                    <w:t>Maintenance dose to commence</w:t>
                  </w:r>
                </w:p>
              </w:tc>
              <w:tc>
                <w:tcPr>
                  <w:tcW w:w="2140" w:type="dxa"/>
                </w:tcPr>
                <w:p w:rsidRPr="00910A7D" w:rsidR="00B42E78" w:rsidP="00131848" w:rsidRDefault="00B42E78" w14:paraId="5AFF98B5" w14:textId="77777777">
                  <w:pPr>
                    <w:pStyle w:val="BodyText"/>
                    <w:rPr>
                      <w:rFonts w:asciiTheme="minorHAnsi" w:hAnsiTheme="minorHAnsi" w:cstheme="minorHAnsi"/>
                      <w:sz w:val="20"/>
                    </w:rPr>
                  </w:pPr>
                  <w:r w:rsidRPr="00910A7D">
                    <w:rPr>
                      <w:rFonts w:asciiTheme="minorHAnsi" w:hAnsiTheme="minorHAnsi" w:cstheme="minorHAnsi"/>
                      <w:sz w:val="20"/>
                    </w:rPr>
                    <w:t>Maintenance</w:t>
                  </w:r>
                </w:p>
              </w:tc>
            </w:tr>
            <w:tr w:rsidRPr="00910A7D" w:rsidR="00B42E78" w:rsidTr="00131848" w14:paraId="0D2B3A11" w14:textId="77777777">
              <w:tc>
                <w:tcPr>
                  <w:tcW w:w="2301" w:type="dxa"/>
                  <w:shd w:val="clear" w:color="auto" w:fill="auto"/>
                </w:tcPr>
                <w:p w:rsidRPr="00910A7D" w:rsidR="00B42E78" w:rsidP="00131848" w:rsidRDefault="00B42E78" w14:paraId="7A3F8F71" w14:textId="77777777">
                  <w:pPr>
                    <w:pStyle w:val="BodyText"/>
                    <w:rPr>
                      <w:rFonts w:asciiTheme="minorHAnsi" w:hAnsiTheme="minorHAnsi" w:cstheme="minorHAnsi"/>
                      <w:sz w:val="20"/>
                    </w:rPr>
                  </w:pPr>
                  <w:r w:rsidRPr="00910A7D">
                    <w:rPr>
                      <w:rFonts w:asciiTheme="minorHAnsi" w:hAnsiTheme="minorHAnsi" w:cstheme="minorHAnsi"/>
                      <w:sz w:val="20"/>
                    </w:rPr>
                    <w:t>&lt; 27 weeks</w:t>
                  </w:r>
                </w:p>
              </w:tc>
              <w:tc>
                <w:tcPr>
                  <w:tcW w:w="1131" w:type="dxa"/>
                  <w:shd w:val="clear" w:color="auto" w:fill="auto"/>
                </w:tcPr>
                <w:p w:rsidRPr="00910A7D" w:rsidR="00B42E78" w:rsidP="00131848" w:rsidRDefault="00B42E78" w14:paraId="736ED92F" w14:textId="77777777">
                  <w:pPr>
                    <w:pStyle w:val="BodyText"/>
                    <w:rPr>
                      <w:rFonts w:asciiTheme="minorHAnsi" w:hAnsiTheme="minorHAnsi" w:cstheme="minorHAnsi"/>
                      <w:sz w:val="20"/>
                    </w:rPr>
                  </w:pPr>
                  <w:r w:rsidRPr="00910A7D">
                    <w:rPr>
                      <w:rFonts w:asciiTheme="minorHAnsi" w:hAnsiTheme="minorHAnsi" w:cstheme="minorHAnsi"/>
                      <w:sz w:val="20"/>
                    </w:rPr>
                    <w:t>15 mg/kg</w:t>
                  </w:r>
                </w:p>
              </w:tc>
              <w:tc>
                <w:tcPr>
                  <w:tcW w:w="2140" w:type="dxa"/>
                </w:tcPr>
                <w:p w:rsidRPr="00910A7D" w:rsidR="00B42E78" w:rsidP="00131848" w:rsidRDefault="00B42E78" w14:paraId="7E8ED914" w14:textId="77777777">
                  <w:pPr>
                    <w:pStyle w:val="BodyText"/>
                    <w:rPr>
                      <w:rFonts w:asciiTheme="minorHAnsi" w:hAnsiTheme="minorHAnsi" w:cstheme="minorHAnsi"/>
                      <w:sz w:val="20"/>
                    </w:rPr>
                  </w:pPr>
                  <w:r>
                    <w:rPr>
                      <w:rFonts w:asciiTheme="minorHAnsi" w:hAnsiTheme="minorHAnsi" w:cstheme="minorHAnsi"/>
                      <w:sz w:val="20"/>
                    </w:rPr>
                    <w:t>24 hours after loading</w:t>
                  </w:r>
                </w:p>
              </w:tc>
              <w:tc>
                <w:tcPr>
                  <w:tcW w:w="2140" w:type="dxa"/>
                </w:tcPr>
                <w:p w:rsidRPr="00910A7D" w:rsidR="00B42E78" w:rsidP="00131848" w:rsidRDefault="00B42E78" w14:paraId="492AE1F4" w14:textId="77777777">
                  <w:pPr>
                    <w:pStyle w:val="BodyText"/>
                    <w:rPr>
                      <w:rFonts w:asciiTheme="minorHAnsi" w:hAnsiTheme="minorHAnsi" w:cstheme="minorHAnsi"/>
                      <w:sz w:val="20"/>
                    </w:rPr>
                  </w:pPr>
                  <w:r w:rsidRPr="00910A7D">
                    <w:rPr>
                      <w:rFonts w:asciiTheme="minorHAnsi" w:hAnsiTheme="minorHAnsi" w:cstheme="minorHAnsi"/>
                      <w:sz w:val="20"/>
                    </w:rPr>
                    <w:t>7.5 mg/kg 24 hourly</w:t>
                  </w:r>
                </w:p>
              </w:tc>
            </w:tr>
            <w:tr w:rsidRPr="00910A7D" w:rsidR="00B42E78" w:rsidTr="00131848" w14:paraId="72F8A6AC" w14:textId="77777777">
              <w:tc>
                <w:tcPr>
                  <w:tcW w:w="2301" w:type="dxa"/>
                  <w:shd w:val="clear" w:color="auto" w:fill="auto"/>
                </w:tcPr>
                <w:p w:rsidRPr="00910A7D" w:rsidR="00B42E78" w:rsidP="00131848" w:rsidRDefault="00B42E78" w14:paraId="4E5F4B48" w14:textId="77777777">
                  <w:pPr>
                    <w:pStyle w:val="BodyText"/>
                    <w:rPr>
                      <w:rFonts w:asciiTheme="minorHAnsi" w:hAnsiTheme="minorHAnsi" w:cstheme="minorHAnsi"/>
                      <w:sz w:val="20"/>
                    </w:rPr>
                  </w:pPr>
                  <w:r w:rsidRPr="00910A7D">
                    <w:rPr>
                      <w:rFonts w:asciiTheme="minorHAnsi" w:hAnsiTheme="minorHAnsi" w:cstheme="minorHAnsi"/>
                      <w:sz w:val="20"/>
                    </w:rPr>
                    <w:t>27</w:t>
                  </w:r>
                  <w:r w:rsidRPr="00910A7D">
                    <w:rPr>
                      <w:rFonts w:asciiTheme="minorHAnsi" w:hAnsiTheme="minorHAnsi" w:cstheme="minorHAnsi"/>
                      <w:sz w:val="20"/>
                      <w:vertAlign w:val="superscript"/>
                    </w:rPr>
                    <w:t>+0</w:t>
                  </w:r>
                  <w:r w:rsidRPr="00910A7D">
                    <w:rPr>
                      <w:rFonts w:asciiTheme="minorHAnsi" w:hAnsiTheme="minorHAnsi" w:cstheme="minorHAnsi"/>
                      <w:sz w:val="20"/>
                    </w:rPr>
                    <w:t>–33</w:t>
                  </w:r>
                  <w:r w:rsidRPr="00910A7D">
                    <w:rPr>
                      <w:rFonts w:asciiTheme="minorHAnsi" w:hAnsiTheme="minorHAnsi" w:cstheme="minorHAnsi"/>
                      <w:sz w:val="20"/>
                      <w:vertAlign w:val="superscript"/>
                    </w:rPr>
                    <w:t>+6</w:t>
                  </w:r>
                  <w:r w:rsidRPr="00910A7D">
                    <w:rPr>
                      <w:rFonts w:asciiTheme="minorHAnsi" w:hAnsiTheme="minorHAnsi" w:cstheme="minorHAnsi"/>
                      <w:sz w:val="20"/>
                    </w:rPr>
                    <w:t xml:space="preserve"> weeks</w:t>
                  </w:r>
                </w:p>
              </w:tc>
              <w:tc>
                <w:tcPr>
                  <w:tcW w:w="1131" w:type="dxa"/>
                  <w:shd w:val="clear" w:color="auto" w:fill="auto"/>
                </w:tcPr>
                <w:p w:rsidRPr="00910A7D" w:rsidR="00B42E78" w:rsidP="00131848" w:rsidRDefault="00B42E78" w14:paraId="38D7F055" w14:textId="77777777">
                  <w:pPr>
                    <w:pStyle w:val="BodyText"/>
                    <w:rPr>
                      <w:rFonts w:asciiTheme="minorHAnsi" w:hAnsiTheme="minorHAnsi" w:cstheme="minorHAnsi"/>
                      <w:sz w:val="20"/>
                    </w:rPr>
                  </w:pPr>
                  <w:r w:rsidRPr="00910A7D">
                    <w:rPr>
                      <w:rFonts w:asciiTheme="minorHAnsi" w:hAnsiTheme="minorHAnsi" w:cstheme="minorHAnsi"/>
                      <w:sz w:val="20"/>
                    </w:rPr>
                    <w:t>15 mg/kg</w:t>
                  </w:r>
                </w:p>
              </w:tc>
              <w:tc>
                <w:tcPr>
                  <w:tcW w:w="2140" w:type="dxa"/>
                </w:tcPr>
                <w:p w:rsidRPr="00910A7D" w:rsidR="00B42E78" w:rsidP="00131848" w:rsidRDefault="00B42E78" w14:paraId="4F2BCB4A" w14:textId="77777777">
                  <w:pPr>
                    <w:pStyle w:val="BodyText"/>
                    <w:rPr>
                      <w:rFonts w:asciiTheme="minorHAnsi" w:hAnsiTheme="minorHAnsi" w:cstheme="minorHAnsi"/>
                      <w:sz w:val="20"/>
                    </w:rPr>
                  </w:pPr>
                  <w:r>
                    <w:rPr>
                      <w:rFonts w:asciiTheme="minorHAnsi" w:hAnsiTheme="minorHAnsi" w:cstheme="minorHAnsi"/>
                      <w:sz w:val="20"/>
                    </w:rPr>
                    <w:t>12 hours after loading</w:t>
                  </w:r>
                </w:p>
              </w:tc>
              <w:tc>
                <w:tcPr>
                  <w:tcW w:w="2140" w:type="dxa"/>
                </w:tcPr>
                <w:p w:rsidRPr="00910A7D" w:rsidR="00B42E78" w:rsidP="00131848" w:rsidRDefault="00B42E78" w14:paraId="5E22AAA0" w14:textId="77777777">
                  <w:pPr>
                    <w:pStyle w:val="BodyText"/>
                    <w:rPr>
                      <w:rFonts w:asciiTheme="minorHAnsi" w:hAnsiTheme="minorHAnsi" w:cstheme="minorHAnsi"/>
                      <w:sz w:val="20"/>
                    </w:rPr>
                  </w:pPr>
                  <w:r w:rsidRPr="00910A7D">
                    <w:rPr>
                      <w:rFonts w:asciiTheme="minorHAnsi" w:hAnsiTheme="minorHAnsi" w:cstheme="minorHAnsi"/>
                      <w:sz w:val="20"/>
                    </w:rPr>
                    <w:t xml:space="preserve">7.5 mg/kg 12 hourly </w:t>
                  </w:r>
                </w:p>
              </w:tc>
            </w:tr>
            <w:tr w:rsidRPr="00910A7D" w:rsidR="00B42E78" w:rsidTr="00131848" w14:paraId="14E2C704" w14:textId="77777777">
              <w:tc>
                <w:tcPr>
                  <w:tcW w:w="2301" w:type="dxa"/>
                  <w:shd w:val="clear" w:color="auto" w:fill="auto"/>
                </w:tcPr>
                <w:p w:rsidRPr="00910A7D" w:rsidR="00B42E78" w:rsidP="00131848" w:rsidRDefault="00B42E78" w14:paraId="481EF990" w14:textId="77777777">
                  <w:pPr>
                    <w:pStyle w:val="BodyText"/>
                    <w:rPr>
                      <w:rFonts w:asciiTheme="minorHAnsi" w:hAnsiTheme="minorHAnsi" w:cstheme="minorHAnsi"/>
                      <w:sz w:val="20"/>
                    </w:rPr>
                  </w:pPr>
                  <w:r w:rsidRPr="00910A7D">
                    <w:rPr>
                      <w:rFonts w:asciiTheme="minorHAnsi" w:hAnsiTheme="minorHAnsi" w:cstheme="minorHAnsi"/>
                      <w:sz w:val="20"/>
                    </w:rPr>
                    <w:t>34</w:t>
                  </w:r>
                  <w:r w:rsidRPr="00910A7D">
                    <w:rPr>
                      <w:rFonts w:asciiTheme="minorHAnsi" w:hAnsiTheme="minorHAnsi" w:cstheme="minorHAnsi"/>
                      <w:sz w:val="20"/>
                      <w:vertAlign w:val="superscript"/>
                    </w:rPr>
                    <w:t>+0</w:t>
                  </w:r>
                  <w:r w:rsidRPr="00910A7D">
                    <w:rPr>
                      <w:rFonts w:asciiTheme="minorHAnsi" w:hAnsiTheme="minorHAnsi" w:cstheme="minorHAnsi"/>
                      <w:sz w:val="20"/>
                    </w:rPr>
                    <w:t>–40</w:t>
                  </w:r>
                  <w:r w:rsidRPr="00910A7D">
                    <w:rPr>
                      <w:rFonts w:asciiTheme="minorHAnsi" w:hAnsiTheme="minorHAnsi" w:cstheme="minorHAnsi"/>
                      <w:sz w:val="20"/>
                      <w:vertAlign w:val="superscript"/>
                    </w:rPr>
                    <w:t>+6</w:t>
                  </w:r>
                  <w:r w:rsidRPr="00910A7D">
                    <w:rPr>
                      <w:rFonts w:asciiTheme="minorHAnsi" w:hAnsiTheme="minorHAnsi" w:cstheme="minorHAnsi"/>
                      <w:sz w:val="20"/>
                    </w:rPr>
                    <w:t xml:space="preserve"> weeks</w:t>
                  </w:r>
                </w:p>
              </w:tc>
              <w:tc>
                <w:tcPr>
                  <w:tcW w:w="1131" w:type="dxa"/>
                  <w:shd w:val="clear" w:color="auto" w:fill="auto"/>
                </w:tcPr>
                <w:p w:rsidRPr="00910A7D" w:rsidR="00B42E78" w:rsidP="00131848" w:rsidRDefault="00B42E78" w14:paraId="6758E480" w14:textId="77777777">
                  <w:pPr>
                    <w:pStyle w:val="BodyText"/>
                    <w:rPr>
                      <w:rFonts w:asciiTheme="minorHAnsi" w:hAnsiTheme="minorHAnsi" w:cstheme="minorHAnsi"/>
                      <w:sz w:val="20"/>
                    </w:rPr>
                  </w:pPr>
                  <w:r w:rsidRPr="00910A7D">
                    <w:rPr>
                      <w:rFonts w:asciiTheme="minorHAnsi" w:hAnsiTheme="minorHAnsi" w:cstheme="minorHAnsi"/>
                      <w:sz w:val="20"/>
                    </w:rPr>
                    <w:t>15 mg/kg</w:t>
                  </w:r>
                </w:p>
              </w:tc>
              <w:tc>
                <w:tcPr>
                  <w:tcW w:w="2140" w:type="dxa"/>
                </w:tcPr>
                <w:p w:rsidRPr="00910A7D" w:rsidR="00B42E78" w:rsidP="00131848" w:rsidRDefault="00B42E78" w14:paraId="5842DE83" w14:textId="77777777">
                  <w:pPr>
                    <w:pStyle w:val="BodyText"/>
                    <w:rPr>
                      <w:rFonts w:asciiTheme="minorHAnsi" w:hAnsiTheme="minorHAnsi" w:cstheme="minorHAnsi"/>
                      <w:sz w:val="20"/>
                    </w:rPr>
                  </w:pPr>
                  <w:r>
                    <w:rPr>
                      <w:rFonts w:asciiTheme="minorHAnsi" w:hAnsiTheme="minorHAnsi" w:cstheme="minorHAnsi"/>
                      <w:sz w:val="20"/>
                    </w:rPr>
                    <w:t>8 hours after loading</w:t>
                  </w:r>
                </w:p>
              </w:tc>
              <w:tc>
                <w:tcPr>
                  <w:tcW w:w="2140" w:type="dxa"/>
                </w:tcPr>
                <w:p w:rsidRPr="00910A7D" w:rsidR="00B42E78" w:rsidP="00131848" w:rsidRDefault="00B42E78" w14:paraId="185F2388" w14:textId="77777777">
                  <w:pPr>
                    <w:pStyle w:val="BodyText"/>
                    <w:rPr>
                      <w:rFonts w:asciiTheme="minorHAnsi" w:hAnsiTheme="minorHAnsi" w:cstheme="minorHAnsi"/>
                      <w:sz w:val="20"/>
                    </w:rPr>
                  </w:pPr>
                  <w:r w:rsidRPr="00910A7D">
                    <w:rPr>
                      <w:rFonts w:asciiTheme="minorHAnsi" w:hAnsiTheme="minorHAnsi" w:cstheme="minorHAnsi"/>
                      <w:sz w:val="20"/>
                    </w:rPr>
                    <w:t>7.5 mg/kg 8 hourly</w:t>
                  </w:r>
                </w:p>
              </w:tc>
            </w:tr>
            <w:tr w:rsidRPr="00910A7D" w:rsidR="00B42E78" w:rsidTr="00131848" w14:paraId="54B1B050" w14:textId="77777777">
              <w:tc>
                <w:tcPr>
                  <w:tcW w:w="2301" w:type="dxa"/>
                  <w:shd w:val="clear" w:color="auto" w:fill="auto"/>
                </w:tcPr>
                <w:p w:rsidRPr="00910A7D" w:rsidR="00B42E78" w:rsidP="00131848" w:rsidRDefault="00B42E78" w14:paraId="5AF9972E" w14:textId="77777777">
                  <w:pPr>
                    <w:pStyle w:val="BodyText"/>
                    <w:rPr>
                      <w:rFonts w:asciiTheme="minorHAnsi" w:hAnsiTheme="minorHAnsi" w:cstheme="minorHAnsi"/>
                      <w:sz w:val="20"/>
                    </w:rPr>
                  </w:pPr>
                  <w:r w:rsidRPr="00910A7D">
                    <w:rPr>
                      <w:rFonts w:asciiTheme="minorHAnsi" w:hAnsiTheme="minorHAnsi" w:cstheme="minorHAnsi"/>
                      <w:sz w:val="20"/>
                    </w:rPr>
                    <w:t>≥ 41</w:t>
                  </w:r>
                  <w:r w:rsidRPr="00910A7D">
                    <w:rPr>
                      <w:rFonts w:asciiTheme="minorHAnsi" w:hAnsiTheme="minorHAnsi" w:cstheme="minorHAnsi"/>
                      <w:sz w:val="20"/>
                      <w:vertAlign w:val="superscript"/>
                    </w:rPr>
                    <w:t>+0</w:t>
                  </w:r>
                  <w:r w:rsidRPr="00910A7D">
                    <w:rPr>
                      <w:rFonts w:asciiTheme="minorHAnsi" w:hAnsiTheme="minorHAnsi" w:cstheme="minorHAnsi"/>
                      <w:sz w:val="20"/>
                    </w:rPr>
                    <w:t xml:space="preserve"> weeks</w:t>
                  </w:r>
                </w:p>
              </w:tc>
              <w:tc>
                <w:tcPr>
                  <w:tcW w:w="1131" w:type="dxa"/>
                  <w:shd w:val="clear" w:color="auto" w:fill="auto"/>
                </w:tcPr>
                <w:p w:rsidRPr="00910A7D" w:rsidR="00B42E78" w:rsidP="00131848" w:rsidRDefault="00B42E78" w14:paraId="3429986D" w14:textId="77777777">
                  <w:pPr>
                    <w:pStyle w:val="BodyText"/>
                    <w:rPr>
                      <w:rFonts w:asciiTheme="minorHAnsi" w:hAnsiTheme="minorHAnsi" w:cstheme="minorHAnsi"/>
                      <w:sz w:val="20"/>
                    </w:rPr>
                  </w:pPr>
                  <w:r w:rsidRPr="00910A7D">
                    <w:rPr>
                      <w:rFonts w:asciiTheme="minorHAnsi" w:hAnsiTheme="minorHAnsi" w:cstheme="minorHAnsi"/>
                      <w:sz w:val="20"/>
                    </w:rPr>
                    <w:t>15 mg/kg</w:t>
                  </w:r>
                </w:p>
              </w:tc>
              <w:tc>
                <w:tcPr>
                  <w:tcW w:w="2140" w:type="dxa"/>
                </w:tcPr>
                <w:p w:rsidRPr="00910A7D" w:rsidR="00B42E78" w:rsidP="00131848" w:rsidRDefault="00B42E78" w14:paraId="3AC969D6" w14:textId="77777777">
                  <w:pPr>
                    <w:pStyle w:val="BodyText"/>
                    <w:rPr>
                      <w:rFonts w:asciiTheme="minorHAnsi" w:hAnsiTheme="minorHAnsi" w:cstheme="minorHAnsi"/>
                      <w:sz w:val="20"/>
                    </w:rPr>
                  </w:pPr>
                  <w:r>
                    <w:rPr>
                      <w:rFonts w:asciiTheme="minorHAnsi" w:hAnsiTheme="minorHAnsi" w:cstheme="minorHAnsi"/>
                      <w:sz w:val="20"/>
                    </w:rPr>
                    <w:t>6 hours after loading</w:t>
                  </w:r>
                </w:p>
              </w:tc>
              <w:tc>
                <w:tcPr>
                  <w:tcW w:w="2140" w:type="dxa"/>
                </w:tcPr>
                <w:p w:rsidRPr="00910A7D" w:rsidR="00B42E78" w:rsidP="00131848" w:rsidRDefault="00B42E78" w14:paraId="5BEE0138" w14:textId="77777777">
                  <w:pPr>
                    <w:pStyle w:val="BodyText"/>
                    <w:rPr>
                      <w:rFonts w:asciiTheme="minorHAnsi" w:hAnsiTheme="minorHAnsi" w:cstheme="minorHAnsi"/>
                      <w:sz w:val="20"/>
                    </w:rPr>
                  </w:pPr>
                  <w:r w:rsidRPr="00910A7D">
                    <w:rPr>
                      <w:rFonts w:asciiTheme="minorHAnsi" w:hAnsiTheme="minorHAnsi" w:cstheme="minorHAnsi"/>
                      <w:sz w:val="20"/>
                    </w:rPr>
                    <w:t>7.5 mg/kg 6 hourly</w:t>
                  </w:r>
                </w:p>
              </w:tc>
            </w:tr>
          </w:tbl>
          <w:p w:rsidR="00B42E78" w:rsidP="00131848" w:rsidRDefault="00B42E78" w14:paraId="3FC5C747" w14:textId="77777777">
            <w:pPr>
              <w:pStyle w:val="BodyText"/>
              <w:ind w:left="720" w:hanging="720"/>
              <w:rPr>
                <w:rFonts w:asciiTheme="minorHAnsi" w:hAnsiTheme="minorHAnsi" w:cstheme="minorHAnsi"/>
                <w:sz w:val="20"/>
              </w:rPr>
            </w:pPr>
            <w:r>
              <w:rPr>
                <w:rFonts w:asciiTheme="minorHAnsi" w:hAnsiTheme="minorHAnsi" w:cstheme="minorHAnsi"/>
                <w:sz w:val="20"/>
              </w:rPr>
              <w:t>*</w:t>
            </w:r>
            <w:r>
              <w:t xml:space="preserve"> </w:t>
            </w:r>
            <w:r w:rsidRPr="002F12E8">
              <w:rPr>
                <w:rFonts w:asciiTheme="minorHAnsi" w:hAnsiTheme="minorHAnsi" w:cstheme="minorHAnsi"/>
                <w:sz w:val="20"/>
              </w:rPr>
              <w:t>Also referred to as “current gestational age”</w:t>
            </w:r>
          </w:p>
          <w:p w:rsidRPr="00910A7D" w:rsidR="00B42E78" w:rsidP="00131848" w:rsidRDefault="00B42E78" w14:paraId="217ABCF2" w14:textId="77777777">
            <w:pPr>
              <w:pStyle w:val="BodyText"/>
              <w:ind w:left="720" w:hanging="720"/>
              <w:rPr>
                <w:rFonts w:asciiTheme="minorHAnsi" w:hAnsiTheme="minorHAnsi" w:cstheme="minorHAnsi"/>
                <w:sz w:val="20"/>
              </w:rPr>
            </w:pPr>
          </w:p>
        </w:tc>
      </w:tr>
      <w:tr w:rsidRPr="00910A7D" w:rsidR="00B42E78" w:rsidTr="008074AA" w14:paraId="678AEB56" w14:textId="77777777">
        <w:trPr>
          <w:trHeight w:val="263"/>
        </w:trPr>
        <w:tc>
          <w:tcPr>
            <w:tcW w:w="887" w:type="pct"/>
          </w:tcPr>
          <w:p w:rsidRPr="00910A7D" w:rsidR="00B42E78" w:rsidP="00131848" w:rsidRDefault="00B42E78" w14:paraId="6D512720" w14:textId="77777777">
            <w:pPr>
              <w:pStyle w:val="BodyText"/>
              <w:rPr>
                <w:rFonts w:asciiTheme="minorHAnsi" w:hAnsiTheme="minorHAnsi" w:cstheme="minorHAnsi"/>
                <w:b/>
                <w:sz w:val="20"/>
              </w:rPr>
            </w:pPr>
            <w:r w:rsidRPr="00910A7D">
              <w:rPr>
                <w:rFonts w:asciiTheme="minorHAnsi" w:hAnsiTheme="minorHAnsi" w:cstheme="minorHAnsi"/>
                <w:b/>
                <w:sz w:val="20"/>
              </w:rPr>
              <w:t>Dose adjustment</w:t>
            </w:r>
          </w:p>
        </w:tc>
        <w:tc>
          <w:tcPr>
            <w:tcW w:w="4113" w:type="pct"/>
          </w:tcPr>
          <w:p w:rsidRPr="00910A7D" w:rsidR="00B42E78" w:rsidP="00131848" w:rsidRDefault="00B42E78" w14:paraId="5D56D735" w14:textId="77777777">
            <w:pPr>
              <w:pStyle w:val="BodyText"/>
              <w:rPr>
                <w:rFonts w:asciiTheme="minorHAnsi" w:hAnsiTheme="minorHAnsi" w:cstheme="minorHAnsi"/>
                <w:sz w:val="20"/>
              </w:rPr>
            </w:pPr>
          </w:p>
        </w:tc>
      </w:tr>
      <w:tr w:rsidRPr="00910A7D" w:rsidR="00B42E78" w:rsidTr="008074AA" w14:paraId="0C4C6844" w14:textId="77777777">
        <w:trPr>
          <w:trHeight w:val="263"/>
        </w:trPr>
        <w:tc>
          <w:tcPr>
            <w:tcW w:w="887" w:type="pct"/>
          </w:tcPr>
          <w:p w:rsidRPr="00910A7D" w:rsidR="00B42E78" w:rsidP="00131848" w:rsidRDefault="00B42E78" w14:paraId="57732F56" w14:textId="77777777">
            <w:pPr>
              <w:pStyle w:val="BodyText"/>
              <w:rPr>
                <w:rFonts w:asciiTheme="minorHAnsi" w:hAnsiTheme="minorHAnsi" w:cstheme="minorHAnsi"/>
                <w:b/>
                <w:sz w:val="20"/>
              </w:rPr>
            </w:pPr>
            <w:r w:rsidRPr="00910A7D">
              <w:rPr>
                <w:rFonts w:asciiTheme="minorHAnsi" w:hAnsiTheme="minorHAnsi" w:cstheme="minorHAnsi"/>
                <w:b/>
                <w:sz w:val="20"/>
              </w:rPr>
              <w:t>Maximum dose</w:t>
            </w:r>
          </w:p>
        </w:tc>
        <w:tc>
          <w:tcPr>
            <w:tcW w:w="4113" w:type="pct"/>
          </w:tcPr>
          <w:p w:rsidRPr="00910A7D" w:rsidR="00B42E78" w:rsidP="00131848" w:rsidRDefault="00B42E78" w14:paraId="78EBE210" w14:textId="77777777">
            <w:pPr>
              <w:pStyle w:val="BodyText"/>
              <w:rPr>
                <w:rFonts w:asciiTheme="minorHAnsi" w:hAnsiTheme="minorHAnsi" w:cstheme="minorHAnsi"/>
                <w:sz w:val="20"/>
              </w:rPr>
            </w:pPr>
          </w:p>
        </w:tc>
      </w:tr>
      <w:tr w:rsidRPr="00910A7D" w:rsidR="00B42E78" w:rsidTr="008074AA" w14:paraId="52085F2F" w14:textId="77777777">
        <w:trPr>
          <w:trHeight w:val="263"/>
        </w:trPr>
        <w:tc>
          <w:tcPr>
            <w:tcW w:w="887" w:type="pct"/>
          </w:tcPr>
          <w:p w:rsidRPr="00910A7D" w:rsidR="00B42E78" w:rsidP="00131848" w:rsidRDefault="00B42E78" w14:paraId="6A48B445" w14:textId="77777777">
            <w:pPr>
              <w:pStyle w:val="BodyText"/>
              <w:rPr>
                <w:rFonts w:asciiTheme="minorHAnsi" w:hAnsiTheme="minorHAnsi" w:cstheme="minorHAnsi"/>
                <w:b/>
                <w:bCs/>
                <w:sz w:val="20"/>
              </w:rPr>
            </w:pPr>
            <w:r w:rsidRPr="00910A7D">
              <w:rPr>
                <w:rFonts w:asciiTheme="minorHAnsi" w:hAnsiTheme="minorHAnsi" w:cstheme="minorHAnsi"/>
                <w:b/>
                <w:sz w:val="20"/>
              </w:rPr>
              <w:t>Total cumulative dose</w:t>
            </w:r>
          </w:p>
        </w:tc>
        <w:tc>
          <w:tcPr>
            <w:tcW w:w="4113" w:type="pct"/>
          </w:tcPr>
          <w:p w:rsidRPr="00910A7D" w:rsidR="00B42E78" w:rsidP="00131848" w:rsidRDefault="00B42E78" w14:paraId="0238A46B" w14:textId="77777777">
            <w:pPr>
              <w:pStyle w:val="BodyText"/>
              <w:rPr>
                <w:rFonts w:asciiTheme="minorHAnsi" w:hAnsiTheme="minorHAnsi" w:cstheme="minorHAnsi"/>
                <w:b/>
                <w:sz w:val="20"/>
              </w:rPr>
            </w:pPr>
          </w:p>
        </w:tc>
      </w:tr>
      <w:tr w:rsidRPr="00910A7D" w:rsidR="00B42E78" w:rsidTr="008074AA" w14:paraId="64EFD5C8" w14:textId="77777777">
        <w:trPr>
          <w:trHeight w:val="263"/>
        </w:trPr>
        <w:tc>
          <w:tcPr>
            <w:tcW w:w="887" w:type="pct"/>
          </w:tcPr>
          <w:p w:rsidRPr="00910A7D" w:rsidR="00B42E78" w:rsidP="00131848" w:rsidRDefault="00B42E78" w14:paraId="26385E67" w14:textId="77777777">
            <w:pPr>
              <w:pStyle w:val="BodyText"/>
              <w:rPr>
                <w:rFonts w:asciiTheme="minorHAnsi" w:hAnsiTheme="minorHAnsi" w:cstheme="minorHAnsi"/>
                <w:sz w:val="20"/>
              </w:rPr>
            </w:pPr>
            <w:r w:rsidRPr="00910A7D">
              <w:rPr>
                <w:rFonts w:asciiTheme="minorHAnsi" w:hAnsiTheme="minorHAnsi" w:cstheme="minorHAnsi"/>
                <w:b/>
                <w:bCs/>
                <w:sz w:val="20"/>
              </w:rPr>
              <w:t>Route</w:t>
            </w:r>
          </w:p>
        </w:tc>
        <w:tc>
          <w:tcPr>
            <w:tcW w:w="4113" w:type="pct"/>
          </w:tcPr>
          <w:p w:rsidRPr="00910A7D" w:rsidR="00B42E78" w:rsidP="00131848" w:rsidRDefault="00B42E78" w14:paraId="5B8A551B" w14:textId="77777777">
            <w:pPr>
              <w:pStyle w:val="BodyText"/>
              <w:rPr>
                <w:rFonts w:asciiTheme="minorHAnsi" w:hAnsiTheme="minorHAnsi" w:cstheme="minorHAnsi"/>
                <w:sz w:val="20"/>
              </w:rPr>
            </w:pPr>
            <w:r w:rsidRPr="00910A7D">
              <w:rPr>
                <w:rFonts w:asciiTheme="minorHAnsi" w:hAnsiTheme="minorHAnsi" w:cstheme="minorHAnsi"/>
                <w:sz w:val="20"/>
              </w:rPr>
              <w:t>IV, oral</w:t>
            </w:r>
          </w:p>
        </w:tc>
      </w:tr>
      <w:tr w:rsidRPr="00910A7D" w:rsidR="00B42E78" w:rsidTr="008074AA" w14:paraId="3F1715CD" w14:textId="77777777">
        <w:trPr>
          <w:trHeight w:val="263"/>
        </w:trPr>
        <w:tc>
          <w:tcPr>
            <w:tcW w:w="887" w:type="pct"/>
          </w:tcPr>
          <w:p w:rsidRPr="00910A7D" w:rsidR="00B42E78" w:rsidP="00131848" w:rsidRDefault="00B42E78" w14:paraId="5FE945DA" w14:textId="77777777">
            <w:pPr>
              <w:pStyle w:val="BodyText"/>
              <w:rPr>
                <w:rFonts w:asciiTheme="minorHAnsi" w:hAnsiTheme="minorHAnsi" w:cstheme="minorHAnsi"/>
                <w:b/>
                <w:bCs/>
                <w:sz w:val="20"/>
                <w:highlight w:val="cyan"/>
              </w:rPr>
            </w:pPr>
            <w:r w:rsidRPr="00910A7D">
              <w:rPr>
                <w:rFonts w:asciiTheme="minorHAnsi" w:hAnsiTheme="minorHAnsi" w:cstheme="minorHAnsi"/>
                <w:b/>
                <w:bCs/>
                <w:sz w:val="20"/>
              </w:rPr>
              <w:t>Preparation</w:t>
            </w:r>
          </w:p>
        </w:tc>
        <w:tc>
          <w:tcPr>
            <w:tcW w:w="4113" w:type="pct"/>
          </w:tcPr>
          <w:p w:rsidRPr="00910A7D" w:rsidR="00B42E78" w:rsidP="00131848" w:rsidRDefault="00B42E78" w14:paraId="1329A120" w14:textId="77777777">
            <w:pPr>
              <w:pStyle w:val="BodyText"/>
              <w:rPr>
                <w:rFonts w:asciiTheme="minorHAnsi" w:hAnsiTheme="minorHAnsi" w:cstheme="minorHAnsi"/>
                <w:sz w:val="20"/>
              </w:rPr>
            </w:pPr>
            <w:r w:rsidRPr="00910A7D">
              <w:rPr>
                <w:rFonts w:asciiTheme="minorHAnsi" w:hAnsiTheme="minorHAnsi" w:cstheme="minorHAnsi"/>
                <w:sz w:val="20"/>
              </w:rPr>
              <w:t>Use undiluted.</w:t>
            </w:r>
          </w:p>
        </w:tc>
      </w:tr>
      <w:tr w:rsidRPr="00910A7D" w:rsidR="00B42E78" w:rsidTr="008074AA" w14:paraId="4347257D" w14:textId="77777777">
        <w:trPr>
          <w:trHeight w:val="263"/>
        </w:trPr>
        <w:tc>
          <w:tcPr>
            <w:tcW w:w="887" w:type="pct"/>
          </w:tcPr>
          <w:p w:rsidRPr="00910A7D" w:rsidR="00B42E78" w:rsidP="00131848" w:rsidRDefault="00B42E78" w14:paraId="73AC36C1" w14:textId="77777777">
            <w:pPr>
              <w:pStyle w:val="BodyText"/>
              <w:rPr>
                <w:rFonts w:asciiTheme="minorHAnsi" w:hAnsiTheme="minorHAnsi" w:cstheme="minorHAnsi"/>
                <w:b/>
                <w:bCs/>
                <w:sz w:val="20"/>
              </w:rPr>
            </w:pPr>
            <w:r w:rsidRPr="00910A7D">
              <w:rPr>
                <w:rFonts w:asciiTheme="minorHAnsi" w:hAnsiTheme="minorHAnsi" w:cstheme="minorHAnsi"/>
                <w:b/>
                <w:bCs/>
                <w:sz w:val="20"/>
              </w:rPr>
              <w:t>Administration</w:t>
            </w:r>
          </w:p>
        </w:tc>
        <w:tc>
          <w:tcPr>
            <w:tcW w:w="4113" w:type="pct"/>
            <w:vAlign w:val="center"/>
          </w:tcPr>
          <w:p w:rsidRPr="00910A7D" w:rsidR="00B42E78" w:rsidP="00131848" w:rsidRDefault="00B42E78" w14:paraId="30BD8FC9" w14:textId="77777777">
            <w:pPr>
              <w:pStyle w:val="BodyText"/>
              <w:rPr>
                <w:rFonts w:asciiTheme="minorHAnsi" w:hAnsiTheme="minorHAnsi" w:cstheme="minorHAnsi"/>
                <w:sz w:val="20"/>
              </w:rPr>
            </w:pPr>
            <w:r w:rsidRPr="00910A7D">
              <w:rPr>
                <w:rFonts w:asciiTheme="minorHAnsi" w:hAnsiTheme="minorHAnsi" w:cstheme="minorHAnsi"/>
                <w:sz w:val="20"/>
              </w:rPr>
              <w:t>IV Infusion over 30 minutes.</w:t>
            </w:r>
          </w:p>
          <w:p w:rsidRPr="00910A7D" w:rsidR="00B42E78" w:rsidP="00131848" w:rsidRDefault="00B42E78" w14:paraId="7341EDA7" w14:textId="77777777">
            <w:pPr>
              <w:pStyle w:val="BodyText"/>
              <w:rPr>
                <w:rFonts w:asciiTheme="minorHAnsi" w:hAnsiTheme="minorHAnsi" w:cstheme="minorHAnsi"/>
                <w:sz w:val="20"/>
              </w:rPr>
            </w:pPr>
            <w:r w:rsidRPr="00910A7D">
              <w:rPr>
                <w:rFonts w:asciiTheme="minorHAnsi" w:hAnsiTheme="minorHAnsi" w:cstheme="minorHAnsi"/>
                <w:sz w:val="20"/>
              </w:rPr>
              <w:t xml:space="preserve">Oral: Give </w:t>
            </w:r>
            <w:r w:rsidRPr="00910A7D">
              <w:rPr>
                <w:rFonts w:asciiTheme="minorHAnsi" w:hAnsiTheme="minorHAnsi" w:cstheme="minorHAnsi"/>
                <w:b/>
                <w:sz w:val="20"/>
              </w:rPr>
              <w:t>1 hour before feeds.</w:t>
            </w:r>
            <w:r w:rsidRPr="00910A7D">
              <w:rPr>
                <w:rFonts w:asciiTheme="minorHAnsi" w:hAnsiTheme="minorHAnsi" w:cstheme="minorHAnsi"/>
                <w:sz w:val="20"/>
              </w:rPr>
              <w:t xml:space="preserve"> </w:t>
            </w:r>
          </w:p>
        </w:tc>
      </w:tr>
      <w:tr w:rsidRPr="00910A7D" w:rsidR="00B42E78" w:rsidTr="008074AA" w14:paraId="764FC5D5" w14:textId="77777777">
        <w:trPr>
          <w:trHeight w:val="263"/>
        </w:trPr>
        <w:tc>
          <w:tcPr>
            <w:tcW w:w="887" w:type="pct"/>
          </w:tcPr>
          <w:p w:rsidRPr="00910A7D" w:rsidR="00B42E78" w:rsidP="00131848" w:rsidRDefault="00B42E78" w14:paraId="1B761623" w14:textId="77777777">
            <w:pPr>
              <w:pStyle w:val="BodyText"/>
              <w:rPr>
                <w:rFonts w:asciiTheme="minorHAnsi" w:hAnsiTheme="minorHAnsi" w:cstheme="minorHAnsi"/>
                <w:b/>
                <w:bCs/>
                <w:sz w:val="20"/>
              </w:rPr>
            </w:pPr>
            <w:r w:rsidRPr="00910A7D">
              <w:rPr>
                <w:rFonts w:asciiTheme="minorHAnsi" w:hAnsiTheme="minorHAnsi" w:cstheme="minorHAnsi"/>
                <w:b/>
                <w:bCs/>
                <w:sz w:val="20"/>
              </w:rPr>
              <w:t>Monitoring</w:t>
            </w:r>
          </w:p>
        </w:tc>
        <w:tc>
          <w:tcPr>
            <w:tcW w:w="4113" w:type="pct"/>
          </w:tcPr>
          <w:p w:rsidRPr="00910A7D" w:rsidR="00B42E78" w:rsidP="00131848" w:rsidRDefault="00B42E78" w14:paraId="1C3BFB82" w14:textId="77777777">
            <w:pPr>
              <w:pStyle w:val="BodyText"/>
              <w:rPr>
                <w:rFonts w:asciiTheme="minorHAnsi" w:hAnsiTheme="minorHAnsi" w:cstheme="minorHAnsi"/>
                <w:sz w:val="20"/>
              </w:rPr>
            </w:pPr>
            <w:r w:rsidRPr="00910A7D">
              <w:rPr>
                <w:rFonts w:asciiTheme="minorHAnsi" w:hAnsiTheme="minorHAnsi" w:cstheme="minorHAnsi"/>
                <w:sz w:val="20"/>
              </w:rPr>
              <w:t xml:space="preserve">Full blood count if patient is on therapy &gt; 1 week. </w:t>
            </w:r>
          </w:p>
          <w:p w:rsidRPr="00910A7D" w:rsidR="00B42E78" w:rsidP="00131848" w:rsidRDefault="00B42E78" w14:paraId="442C65F2" w14:textId="77777777">
            <w:pPr>
              <w:pStyle w:val="BodyText"/>
              <w:rPr>
                <w:rFonts w:asciiTheme="minorHAnsi" w:hAnsiTheme="minorHAnsi" w:cstheme="minorHAnsi"/>
                <w:sz w:val="20"/>
              </w:rPr>
            </w:pPr>
            <w:r w:rsidRPr="00910A7D">
              <w:rPr>
                <w:rFonts w:asciiTheme="minorHAnsi" w:hAnsiTheme="minorHAnsi" w:cstheme="minorHAnsi"/>
                <w:sz w:val="20"/>
              </w:rPr>
              <w:t>Liver and renal function tests.</w:t>
            </w:r>
          </w:p>
        </w:tc>
      </w:tr>
      <w:tr w:rsidRPr="00910A7D" w:rsidR="00B42E78" w:rsidTr="008074AA" w14:paraId="6BDFA52F" w14:textId="77777777">
        <w:trPr>
          <w:trHeight w:val="263"/>
        </w:trPr>
        <w:tc>
          <w:tcPr>
            <w:tcW w:w="887" w:type="pct"/>
          </w:tcPr>
          <w:p w:rsidRPr="00910A7D" w:rsidR="00B42E78" w:rsidP="00131848" w:rsidRDefault="00B42E78" w14:paraId="6D65832C" w14:textId="77777777">
            <w:pPr>
              <w:pStyle w:val="BodyText"/>
              <w:rPr>
                <w:rFonts w:asciiTheme="minorHAnsi" w:hAnsiTheme="minorHAnsi" w:cstheme="minorHAnsi"/>
                <w:b/>
                <w:bCs/>
                <w:sz w:val="20"/>
              </w:rPr>
            </w:pPr>
            <w:r w:rsidRPr="00910A7D">
              <w:rPr>
                <w:rFonts w:asciiTheme="minorHAnsi" w:hAnsiTheme="minorHAnsi" w:cstheme="minorHAnsi"/>
                <w:b/>
                <w:bCs/>
                <w:sz w:val="20"/>
              </w:rPr>
              <w:t>Contraindications</w:t>
            </w:r>
          </w:p>
        </w:tc>
        <w:tc>
          <w:tcPr>
            <w:tcW w:w="4113" w:type="pct"/>
          </w:tcPr>
          <w:p w:rsidRPr="00910A7D" w:rsidR="00B42E78" w:rsidP="00131848" w:rsidRDefault="00B42E78" w14:paraId="6A66267E" w14:textId="77777777">
            <w:pPr>
              <w:pStyle w:val="BodyText"/>
              <w:rPr>
                <w:rFonts w:asciiTheme="minorHAnsi" w:hAnsiTheme="minorHAnsi" w:cstheme="minorHAnsi"/>
                <w:sz w:val="20"/>
              </w:rPr>
            </w:pPr>
            <w:r w:rsidRPr="00910A7D">
              <w:rPr>
                <w:rFonts w:asciiTheme="minorHAnsi" w:hAnsiTheme="minorHAnsi" w:cstheme="minorHAnsi"/>
                <w:sz w:val="20"/>
              </w:rPr>
              <w:t xml:space="preserve">Hypersensitivity to metronidazole or other nitroimidazoles. </w:t>
            </w:r>
          </w:p>
        </w:tc>
      </w:tr>
      <w:tr w:rsidRPr="00910A7D" w:rsidR="00B42E78" w:rsidTr="008074AA" w14:paraId="1B2D9E1A" w14:textId="77777777">
        <w:trPr>
          <w:trHeight w:val="263"/>
        </w:trPr>
        <w:tc>
          <w:tcPr>
            <w:tcW w:w="887" w:type="pct"/>
          </w:tcPr>
          <w:p w:rsidRPr="00910A7D" w:rsidR="00B42E78" w:rsidP="00131848" w:rsidRDefault="00B42E78" w14:paraId="7DD0EE1D" w14:textId="77777777">
            <w:pPr>
              <w:pStyle w:val="BodyText"/>
              <w:rPr>
                <w:rFonts w:asciiTheme="minorHAnsi" w:hAnsiTheme="minorHAnsi" w:cstheme="minorHAnsi"/>
                <w:b/>
                <w:bCs/>
                <w:sz w:val="20"/>
              </w:rPr>
            </w:pPr>
            <w:r w:rsidRPr="00910A7D">
              <w:rPr>
                <w:rFonts w:asciiTheme="minorHAnsi" w:hAnsiTheme="minorHAnsi" w:cstheme="minorHAnsi"/>
                <w:sz w:val="20"/>
              </w:rPr>
              <w:br w:type="page"/>
            </w:r>
            <w:r w:rsidRPr="00910A7D">
              <w:rPr>
                <w:rFonts w:asciiTheme="minorHAnsi" w:hAnsiTheme="minorHAnsi" w:cstheme="minorHAnsi"/>
                <w:b/>
                <w:bCs/>
                <w:sz w:val="20"/>
              </w:rPr>
              <w:t>Precautions</w:t>
            </w:r>
          </w:p>
        </w:tc>
        <w:tc>
          <w:tcPr>
            <w:tcW w:w="4113" w:type="pct"/>
          </w:tcPr>
          <w:p w:rsidRPr="00910A7D" w:rsidR="00B42E78" w:rsidP="00131848" w:rsidRDefault="00B42E78" w14:paraId="534BBA0E" w14:textId="77777777">
            <w:pPr>
              <w:pStyle w:val="BodyText"/>
              <w:rPr>
                <w:rFonts w:asciiTheme="minorHAnsi" w:hAnsiTheme="minorHAnsi" w:cstheme="minorHAnsi"/>
                <w:sz w:val="20"/>
              </w:rPr>
            </w:pPr>
            <w:r w:rsidRPr="00910A7D">
              <w:rPr>
                <w:rFonts w:asciiTheme="minorHAnsi" w:hAnsiTheme="minorHAnsi" w:cstheme="minorHAnsi"/>
                <w:sz w:val="20"/>
              </w:rPr>
              <w:t>Patients with seizures or peripheral neuropathy, blood dyscrasias, renal or hepatic impairment – dose reduction may be required.</w:t>
            </w:r>
          </w:p>
        </w:tc>
      </w:tr>
      <w:tr w:rsidRPr="00910A7D" w:rsidR="00B42E78" w:rsidTr="008074AA" w14:paraId="2033DB2C" w14:textId="77777777">
        <w:trPr>
          <w:trHeight w:val="263"/>
        </w:trPr>
        <w:tc>
          <w:tcPr>
            <w:tcW w:w="887" w:type="pct"/>
          </w:tcPr>
          <w:p w:rsidRPr="00910A7D" w:rsidR="00B42E78" w:rsidP="00131848" w:rsidRDefault="00B42E78" w14:paraId="40171E51" w14:textId="77777777">
            <w:pPr>
              <w:pStyle w:val="BodyText"/>
              <w:rPr>
                <w:rFonts w:asciiTheme="minorHAnsi" w:hAnsiTheme="minorHAnsi" w:cstheme="minorHAnsi"/>
                <w:b/>
                <w:bCs/>
                <w:sz w:val="20"/>
              </w:rPr>
            </w:pPr>
            <w:r w:rsidRPr="00910A7D">
              <w:rPr>
                <w:rFonts w:asciiTheme="minorHAnsi" w:hAnsiTheme="minorHAnsi" w:cstheme="minorHAnsi"/>
                <w:b/>
                <w:bCs/>
                <w:sz w:val="20"/>
              </w:rPr>
              <w:t>Drug interactions</w:t>
            </w:r>
          </w:p>
        </w:tc>
        <w:tc>
          <w:tcPr>
            <w:tcW w:w="4113" w:type="pct"/>
          </w:tcPr>
          <w:p w:rsidRPr="00910A7D" w:rsidR="00B42E78" w:rsidP="00131848" w:rsidRDefault="00B42E78" w14:paraId="51F2DF38" w14:textId="77777777">
            <w:pPr>
              <w:pStyle w:val="BodyText"/>
              <w:rPr>
                <w:rFonts w:asciiTheme="minorHAnsi" w:hAnsiTheme="minorHAnsi" w:cstheme="minorHAnsi"/>
                <w:sz w:val="20"/>
              </w:rPr>
            </w:pPr>
            <w:r w:rsidRPr="00910A7D">
              <w:rPr>
                <w:rFonts w:asciiTheme="minorHAnsi" w:hAnsiTheme="minorHAnsi" w:cstheme="minorHAnsi"/>
                <w:sz w:val="20"/>
              </w:rPr>
              <w:t>Co-administration with phenobarbital (phenobarbitone) and phenytoin may reduce metronidazole concentrations and increase phenytoin concentrations. Monitor anticonvulsant concentrations.</w:t>
            </w:r>
          </w:p>
          <w:p w:rsidRPr="00910A7D" w:rsidR="00B42E78" w:rsidP="00131848" w:rsidRDefault="00B42E78" w14:paraId="6D6A405B" w14:textId="77777777">
            <w:pPr>
              <w:pStyle w:val="BodyText"/>
              <w:rPr>
                <w:rFonts w:asciiTheme="minorHAnsi" w:hAnsiTheme="minorHAnsi" w:cstheme="minorHAnsi"/>
                <w:sz w:val="20"/>
              </w:rPr>
            </w:pPr>
            <w:r w:rsidRPr="00910A7D">
              <w:rPr>
                <w:rFonts w:asciiTheme="minorHAnsi" w:hAnsiTheme="minorHAnsi" w:cstheme="minorHAnsi"/>
                <w:sz w:val="20"/>
              </w:rPr>
              <w:t xml:space="preserve">Concurrent use with QT-prolonging drugs may result in increase of QT interval resulting in arrhythmias (torsades de pointes). </w:t>
            </w:r>
          </w:p>
        </w:tc>
      </w:tr>
      <w:tr w:rsidRPr="00910A7D" w:rsidR="00B42E78" w:rsidTr="008074AA" w14:paraId="54724D36" w14:textId="77777777">
        <w:trPr>
          <w:trHeight w:val="263"/>
        </w:trPr>
        <w:tc>
          <w:tcPr>
            <w:tcW w:w="887" w:type="pct"/>
          </w:tcPr>
          <w:p w:rsidRPr="00910A7D" w:rsidR="00B42E78" w:rsidP="00131848" w:rsidRDefault="00B42E78" w14:paraId="006BE10F" w14:textId="77777777">
            <w:pPr>
              <w:pStyle w:val="BodyText"/>
              <w:rPr>
                <w:rFonts w:asciiTheme="minorHAnsi" w:hAnsiTheme="minorHAnsi" w:cstheme="minorHAnsi"/>
                <w:b/>
                <w:bCs/>
                <w:sz w:val="20"/>
              </w:rPr>
            </w:pPr>
            <w:r w:rsidRPr="00910A7D">
              <w:rPr>
                <w:rFonts w:asciiTheme="minorHAnsi" w:hAnsiTheme="minorHAnsi" w:cstheme="minorHAnsi"/>
                <w:b/>
                <w:bCs/>
                <w:sz w:val="20"/>
              </w:rPr>
              <w:t xml:space="preserve">Adverse reactions </w:t>
            </w:r>
          </w:p>
        </w:tc>
        <w:tc>
          <w:tcPr>
            <w:tcW w:w="4113" w:type="pct"/>
          </w:tcPr>
          <w:p w:rsidRPr="00910A7D" w:rsidR="00B42E78" w:rsidP="00131848" w:rsidRDefault="00B42E78" w14:paraId="45A5A729" w14:textId="77777777">
            <w:pPr>
              <w:pStyle w:val="BodyText"/>
              <w:rPr>
                <w:rFonts w:asciiTheme="minorHAnsi" w:hAnsiTheme="minorHAnsi" w:cstheme="minorHAnsi"/>
                <w:sz w:val="20"/>
              </w:rPr>
            </w:pPr>
            <w:r w:rsidRPr="00910A7D">
              <w:rPr>
                <w:rFonts w:asciiTheme="minorHAnsi" w:hAnsiTheme="minorHAnsi" w:cstheme="minorHAnsi"/>
                <w:sz w:val="20"/>
              </w:rPr>
              <w:t xml:space="preserve">More common: GI upset, stomatitis and candida overgrowth. Drug metabolite may cause brownish discolouration of urine. </w:t>
            </w:r>
          </w:p>
          <w:p w:rsidRPr="00910A7D" w:rsidR="00B42E78" w:rsidP="00131848" w:rsidRDefault="00B42E78" w14:paraId="7F0A97E6" w14:textId="77777777">
            <w:pPr>
              <w:pStyle w:val="BodyText"/>
              <w:rPr>
                <w:rFonts w:asciiTheme="minorHAnsi" w:hAnsiTheme="minorHAnsi" w:cstheme="minorHAnsi"/>
                <w:sz w:val="20"/>
              </w:rPr>
            </w:pPr>
            <w:r w:rsidRPr="00910A7D">
              <w:rPr>
                <w:rFonts w:asciiTheme="minorHAnsi" w:hAnsiTheme="minorHAnsi" w:cstheme="minorHAnsi"/>
                <w:sz w:val="20"/>
              </w:rPr>
              <w:lastRenderedPageBreak/>
              <w:t>Rare: Convulsive seizures and peripheral neuropathy characterised mainly by numbness or paraesthesia of an extremity have been reported in adults. May cause reversible leucopenia and/or thrombocytopenia.</w:t>
            </w:r>
          </w:p>
        </w:tc>
      </w:tr>
      <w:tr w:rsidRPr="00910A7D" w:rsidR="00B42E78" w:rsidTr="008074AA" w14:paraId="1303FBFB" w14:textId="77777777">
        <w:trPr>
          <w:trHeight w:val="263"/>
        </w:trPr>
        <w:tc>
          <w:tcPr>
            <w:tcW w:w="887" w:type="pct"/>
          </w:tcPr>
          <w:p w:rsidRPr="00910A7D" w:rsidR="00B42E78" w:rsidP="00131848" w:rsidRDefault="00B42E78" w14:paraId="4008F7CB" w14:textId="77777777">
            <w:pPr>
              <w:pStyle w:val="BodyText"/>
              <w:rPr>
                <w:rFonts w:asciiTheme="minorHAnsi" w:hAnsiTheme="minorHAnsi" w:cstheme="minorHAnsi"/>
                <w:b/>
                <w:bCs/>
                <w:sz w:val="20"/>
              </w:rPr>
            </w:pPr>
            <w:r w:rsidRPr="00910A7D">
              <w:rPr>
                <w:rFonts w:asciiTheme="minorHAnsi" w:hAnsiTheme="minorHAnsi" w:cstheme="minorHAnsi"/>
                <w:b/>
                <w:bCs/>
                <w:sz w:val="20"/>
              </w:rPr>
              <w:lastRenderedPageBreak/>
              <w:t>Compatibility</w:t>
            </w:r>
          </w:p>
        </w:tc>
        <w:tc>
          <w:tcPr>
            <w:tcW w:w="4113" w:type="pct"/>
          </w:tcPr>
          <w:p w:rsidRPr="00910A7D" w:rsidR="00B42E78" w:rsidP="00131848" w:rsidRDefault="00B42E78" w14:paraId="33170528" w14:textId="77777777">
            <w:pPr>
              <w:pStyle w:val="BodyText"/>
              <w:rPr>
                <w:rFonts w:asciiTheme="minorHAnsi" w:hAnsiTheme="minorHAnsi" w:cstheme="minorHAnsi"/>
                <w:sz w:val="20"/>
              </w:rPr>
            </w:pPr>
            <w:r w:rsidRPr="00910A7D">
              <w:rPr>
                <w:rFonts w:asciiTheme="minorHAnsi" w:hAnsiTheme="minorHAnsi" w:cstheme="minorHAnsi"/>
                <w:sz w:val="20"/>
              </w:rPr>
              <w:t xml:space="preserve">Fluids: Glucose 5%, glucose 10% (not recommended due to high osmolarity of the resulting solution), sodium chloride 0.9%, glucose/sodium chloride fluids. </w:t>
            </w:r>
          </w:p>
          <w:p w:rsidRPr="00910A7D" w:rsidR="00B42E78" w:rsidP="00131848" w:rsidRDefault="00B42E78" w14:paraId="152DA447" w14:textId="77777777">
            <w:pPr>
              <w:pStyle w:val="BodyText"/>
              <w:rPr>
                <w:rFonts w:asciiTheme="minorHAnsi" w:hAnsiTheme="minorHAnsi" w:cstheme="minorHAnsi"/>
                <w:sz w:val="20"/>
              </w:rPr>
            </w:pPr>
            <w:r w:rsidRPr="00910A7D">
              <w:rPr>
                <w:rFonts w:asciiTheme="minorHAnsi" w:hAnsiTheme="minorHAnsi" w:cstheme="minorHAnsi"/>
                <w:sz w:val="20"/>
              </w:rPr>
              <w:t>Y-site: Amino acid solution, aciclovir, dopamine, esmolol, fluconazole, labetalol, lipid emulsion, magnesium sulfate, methylprednisolone sodium succinate, midazolam, morphine sulfate, piperacillin-tazobactam (EDTA-free), remifentanil.</w:t>
            </w:r>
          </w:p>
        </w:tc>
      </w:tr>
      <w:tr w:rsidRPr="00910A7D" w:rsidR="00B42E78" w:rsidTr="008074AA" w14:paraId="4A67992A" w14:textId="77777777">
        <w:trPr>
          <w:trHeight w:val="263"/>
        </w:trPr>
        <w:tc>
          <w:tcPr>
            <w:tcW w:w="887" w:type="pct"/>
          </w:tcPr>
          <w:p w:rsidRPr="00910A7D" w:rsidR="00B42E78" w:rsidP="00131848" w:rsidRDefault="00B42E78" w14:paraId="1AE68AE7" w14:textId="77777777">
            <w:pPr>
              <w:pStyle w:val="BodyText"/>
              <w:rPr>
                <w:rFonts w:asciiTheme="minorHAnsi" w:hAnsiTheme="minorHAnsi" w:cstheme="minorHAnsi"/>
                <w:b/>
                <w:bCs/>
                <w:sz w:val="20"/>
              </w:rPr>
            </w:pPr>
            <w:r w:rsidRPr="00910A7D">
              <w:rPr>
                <w:rFonts w:asciiTheme="minorHAnsi" w:hAnsiTheme="minorHAnsi" w:cstheme="minorHAnsi"/>
                <w:b/>
                <w:bCs/>
                <w:sz w:val="20"/>
              </w:rPr>
              <w:t>Incompatibility</w:t>
            </w:r>
          </w:p>
        </w:tc>
        <w:tc>
          <w:tcPr>
            <w:tcW w:w="4113" w:type="pct"/>
          </w:tcPr>
          <w:p w:rsidRPr="00910A7D" w:rsidR="00B42E78" w:rsidP="00131848" w:rsidRDefault="00B42E78" w14:paraId="196B74AC" w14:textId="77777777">
            <w:pPr>
              <w:pStyle w:val="BodyText"/>
              <w:rPr>
                <w:rFonts w:asciiTheme="minorHAnsi" w:hAnsiTheme="minorHAnsi" w:cstheme="minorHAnsi"/>
                <w:sz w:val="20"/>
              </w:rPr>
            </w:pPr>
            <w:r w:rsidRPr="00910A7D">
              <w:rPr>
                <w:rFonts w:asciiTheme="minorHAnsi" w:hAnsiTheme="minorHAnsi" w:cstheme="minorHAnsi"/>
                <w:sz w:val="20"/>
              </w:rPr>
              <w:t>Amphotericin, aztreonam, cefepime, ganciclovir</w:t>
            </w:r>
          </w:p>
        </w:tc>
      </w:tr>
      <w:tr w:rsidRPr="00910A7D" w:rsidR="00B42E78" w:rsidTr="008074AA" w14:paraId="2449746E" w14:textId="77777777">
        <w:trPr>
          <w:trHeight w:val="263"/>
        </w:trPr>
        <w:tc>
          <w:tcPr>
            <w:tcW w:w="887" w:type="pct"/>
          </w:tcPr>
          <w:p w:rsidRPr="00910A7D" w:rsidR="00B42E78" w:rsidP="00131848" w:rsidRDefault="00B42E78" w14:paraId="036BC052" w14:textId="77777777">
            <w:pPr>
              <w:pStyle w:val="BodyText"/>
              <w:rPr>
                <w:rFonts w:asciiTheme="minorHAnsi" w:hAnsiTheme="minorHAnsi" w:cstheme="minorHAnsi"/>
                <w:b/>
                <w:bCs/>
                <w:sz w:val="20"/>
              </w:rPr>
            </w:pPr>
            <w:r w:rsidRPr="00910A7D">
              <w:rPr>
                <w:rFonts w:asciiTheme="minorHAnsi" w:hAnsiTheme="minorHAnsi" w:cstheme="minorHAnsi"/>
                <w:b/>
                <w:bCs/>
                <w:sz w:val="20"/>
              </w:rPr>
              <w:t>Stability</w:t>
            </w:r>
          </w:p>
        </w:tc>
        <w:tc>
          <w:tcPr>
            <w:tcW w:w="4113" w:type="pct"/>
          </w:tcPr>
          <w:p w:rsidRPr="00910A7D" w:rsidR="00B42E78" w:rsidP="00131848" w:rsidRDefault="00B42E78" w14:paraId="57BDB805" w14:textId="77777777">
            <w:pPr>
              <w:pStyle w:val="BodyText"/>
              <w:rPr>
                <w:rFonts w:asciiTheme="minorHAnsi" w:hAnsiTheme="minorHAnsi" w:cstheme="minorHAnsi"/>
                <w:sz w:val="20"/>
              </w:rPr>
            </w:pPr>
            <w:r w:rsidRPr="00910A7D">
              <w:rPr>
                <w:rFonts w:asciiTheme="minorHAnsi" w:hAnsiTheme="minorHAnsi" w:cstheme="minorHAnsi"/>
                <w:sz w:val="20"/>
              </w:rPr>
              <w:t>Once removed from original container, use as soon as practicable.</w:t>
            </w:r>
          </w:p>
        </w:tc>
      </w:tr>
      <w:tr w:rsidRPr="00910A7D" w:rsidR="00B42E78" w:rsidTr="008074AA" w14:paraId="0B43D183" w14:textId="77777777">
        <w:trPr>
          <w:trHeight w:val="263"/>
        </w:trPr>
        <w:tc>
          <w:tcPr>
            <w:tcW w:w="887" w:type="pct"/>
          </w:tcPr>
          <w:p w:rsidRPr="00910A7D" w:rsidR="00B42E78" w:rsidP="00131848" w:rsidRDefault="00B42E78" w14:paraId="310466EB" w14:textId="77777777">
            <w:pPr>
              <w:pStyle w:val="BodyText"/>
              <w:rPr>
                <w:rFonts w:asciiTheme="minorHAnsi" w:hAnsiTheme="minorHAnsi" w:cstheme="minorHAnsi"/>
                <w:b/>
                <w:bCs/>
                <w:sz w:val="20"/>
              </w:rPr>
            </w:pPr>
            <w:r w:rsidRPr="00910A7D">
              <w:rPr>
                <w:rFonts w:asciiTheme="minorHAnsi" w:hAnsiTheme="minorHAnsi" w:cstheme="minorHAnsi"/>
                <w:b/>
                <w:bCs/>
                <w:sz w:val="20"/>
              </w:rPr>
              <w:t>Storage</w:t>
            </w:r>
          </w:p>
        </w:tc>
        <w:tc>
          <w:tcPr>
            <w:tcW w:w="4113" w:type="pct"/>
          </w:tcPr>
          <w:p w:rsidRPr="00910A7D" w:rsidR="00B42E78" w:rsidP="00131848" w:rsidRDefault="00B42E78" w14:paraId="10ED1FBD" w14:textId="77777777">
            <w:pPr>
              <w:pStyle w:val="BodyText"/>
              <w:rPr>
                <w:rFonts w:asciiTheme="minorHAnsi" w:hAnsiTheme="minorHAnsi" w:cstheme="minorHAnsi"/>
                <w:sz w:val="20"/>
              </w:rPr>
            </w:pPr>
            <w:r w:rsidRPr="00910A7D">
              <w:rPr>
                <w:rFonts w:asciiTheme="minorHAnsi" w:hAnsiTheme="minorHAnsi" w:cstheme="minorHAnsi"/>
                <w:sz w:val="20"/>
              </w:rPr>
              <w:t xml:space="preserve">IV: Store below 25°C. Do NOT refrigerate. </w:t>
            </w:r>
          </w:p>
          <w:p w:rsidRPr="00910A7D" w:rsidR="00B42E78" w:rsidP="00131848" w:rsidRDefault="00B42E78" w14:paraId="73E74B62" w14:textId="77777777">
            <w:pPr>
              <w:pStyle w:val="BodyText"/>
              <w:rPr>
                <w:rFonts w:asciiTheme="minorHAnsi" w:hAnsiTheme="minorHAnsi" w:cstheme="minorHAnsi"/>
                <w:sz w:val="20"/>
              </w:rPr>
            </w:pPr>
            <w:r w:rsidRPr="00910A7D">
              <w:rPr>
                <w:rFonts w:asciiTheme="minorHAnsi" w:hAnsiTheme="minorHAnsi" w:cstheme="minorHAnsi"/>
                <w:sz w:val="20"/>
              </w:rPr>
              <w:t>Oral suspension: Store below 25°C. Protect from light.</w:t>
            </w:r>
          </w:p>
        </w:tc>
      </w:tr>
      <w:tr w:rsidRPr="00910A7D" w:rsidR="00B42E78" w:rsidTr="008074AA" w14:paraId="18F6359A" w14:textId="77777777">
        <w:trPr>
          <w:trHeight w:val="263"/>
        </w:trPr>
        <w:tc>
          <w:tcPr>
            <w:tcW w:w="887" w:type="pct"/>
          </w:tcPr>
          <w:p w:rsidRPr="00910A7D" w:rsidR="00B42E78" w:rsidP="00131848" w:rsidRDefault="00B42E78" w14:paraId="43C93913" w14:textId="77777777">
            <w:pPr>
              <w:pStyle w:val="BodyText"/>
              <w:rPr>
                <w:rFonts w:asciiTheme="minorHAnsi" w:hAnsiTheme="minorHAnsi" w:cstheme="minorHAnsi"/>
                <w:b/>
                <w:bCs/>
                <w:sz w:val="20"/>
              </w:rPr>
            </w:pPr>
            <w:r w:rsidRPr="00910A7D">
              <w:rPr>
                <w:rFonts w:asciiTheme="minorHAnsi" w:hAnsiTheme="minorHAnsi" w:cstheme="minorHAnsi"/>
                <w:b/>
                <w:bCs/>
                <w:sz w:val="20"/>
              </w:rPr>
              <w:t>Excipients</w:t>
            </w:r>
          </w:p>
        </w:tc>
        <w:tc>
          <w:tcPr>
            <w:tcW w:w="4113" w:type="pct"/>
          </w:tcPr>
          <w:p w:rsidRPr="00910A7D" w:rsidR="00B42E78" w:rsidP="00131848" w:rsidRDefault="00B42E78" w14:paraId="199F675F" w14:textId="77777777">
            <w:pPr>
              <w:pStyle w:val="BodyText"/>
              <w:rPr>
                <w:rFonts w:asciiTheme="minorHAnsi" w:hAnsiTheme="minorHAnsi" w:cstheme="minorHAnsi"/>
                <w:sz w:val="20"/>
              </w:rPr>
            </w:pPr>
            <w:r w:rsidRPr="00910A7D">
              <w:rPr>
                <w:rFonts w:asciiTheme="minorHAnsi" w:hAnsiTheme="minorHAnsi" w:cstheme="minorHAnsi"/>
                <w:sz w:val="20"/>
              </w:rPr>
              <w:t>Injection: Citric acid, dibasic sodium phosphate, sodium chloride.</w:t>
            </w:r>
          </w:p>
          <w:p w:rsidRPr="00910A7D" w:rsidR="00B42E78" w:rsidP="00131848" w:rsidRDefault="00B42E78" w14:paraId="134D5658" w14:textId="77777777">
            <w:pPr>
              <w:pStyle w:val="BodyText"/>
              <w:rPr>
                <w:rFonts w:asciiTheme="minorHAnsi" w:hAnsiTheme="minorHAnsi" w:cstheme="minorHAnsi"/>
                <w:sz w:val="20"/>
              </w:rPr>
            </w:pPr>
            <w:r w:rsidRPr="00910A7D">
              <w:rPr>
                <w:rFonts w:asciiTheme="minorHAnsi" w:hAnsiTheme="minorHAnsi" w:cstheme="minorHAnsi"/>
                <w:sz w:val="20"/>
              </w:rPr>
              <w:t xml:space="preserve">Suspension:  </w:t>
            </w:r>
            <w:bookmarkStart w:name="Incompatibilities1231" w:id="393"/>
            <w:bookmarkEnd w:id="393"/>
            <w:r w:rsidRPr="00910A7D">
              <w:rPr>
                <w:rFonts w:asciiTheme="minorHAnsi" w:hAnsiTheme="minorHAnsi" w:cstheme="minorHAnsi"/>
                <w:sz w:val="20"/>
              </w:rPr>
              <w:t>Aluminium magnesium silicate, ethanol, methyl hydroxybenzoate, monobasic sodium phosphate, natural soluble lemon flavour, orange oil terpeneless, propyl hydroxybenzoate, sucrose.</w:t>
            </w:r>
          </w:p>
        </w:tc>
      </w:tr>
      <w:tr w:rsidRPr="00910A7D" w:rsidR="00B42E78" w:rsidTr="008074AA" w14:paraId="7D43395E" w14:textId="77777777">
        <w:trPr>
          <w:trHeight w:val="263"/>
        </w:trPr>
        <w:tc>
          <w:tcPr>
            <w:tcW w:w="887" w:type="pct"/>
          </w:tcPr>
          <w:p w:rsidRPr="00910A7D" w:rsidR="00B42E78" w:rsidP="00131848" w:rsidRDefault="00B42E78" w14:paraId="3873214C" w14:textId="77777777">
            <w:pPr>
              <w:pStyle w:val="BodyText"/>
              <w:rPr>
                <w:rFonts w:asciiTheme="minorHAnsi" w:hAnsiTheme="minorHAnsi" w:cstheme="minorHAnsi"/>
                <w:b/>
                <w:bCs/>
                <w:sz w:val="20"/>
              </w:rPr>
            </w:pPr>
            <w:r w:rsidRPr="00910A7D">
              <w:rPr>
                <w:rFonts w:asciiTheme="minorHAnsi" w:hAnsiTheme="minorHAnsi" w:cstheme="minorHAnsi"/>
                <w:b/>
                <w:bCs/>
                <w:sz w:val="20"/>
              </w:rPr>
              <w:t xml:space="preserve">Special comments </w:t>
            </w:r>
          </w:p>
        </w:tc>
        <w:tc>
          <w:tcPr>
            <w:tcW w:w="4113" w:type="pct"/>
          </w:tcPr>
          <w:p w:rsidRPr="00910A7D" w:rsidR="00B42E78" w:rsidP="00131848" w:rsidRDefault="00B42E78" w14:paraId="33D13DF9" w14:textId="77777777">
            <w:pPr>
              <w:pStyle w:val="BodyText"/>
              <w:rPr>
                <w:rFonts w:asciiTheme="minorHAnsi" w:hAnsiTheme="minorHAnsi" w:cstheme="minorHAnsi"/>
                <w:sz w:val="20"/>
              </w:rPr>
            </w:pPr>
            <w:r w:rsidRPr="00910A7D">
              <w:rPr>
                <w:rFonts w:asciiTheme="minorHAnsi" w:hAnsiTheme="minorHAnsi" w:cstheme="minorHAnsi"/>
                <w:sz w:val="20"/>
              </w:rPr>
              <w:t>Metronidazole oral suspension is best absorbed on an empty stomach.</w:t>
            </w:r>
          </w:p>
        </w:tc>
      </w:tr>
      <w:tr w:rsidRPr="00910A7D" w:rsidR="00B42E78" w:rsidTr="008074AA" w14:paraId="4C935FA7" w14:textId="77777777">
        <w:trPr>
          <w:trHeight w:val="263"/>
        </w:trPr>
        <w:tc>
          <w:tcPr>
            <w:tcW w:w="887" w:type="pct"/>
          </w:tcPr>
          <w:p w:rsidRPr="00910A7D" w:rsidR="00B42E78" w:rsidP="00131848" w:rsidRDefault="00B42E78" w14:paraId="16FCC908" w14:textId="77777777">
            <w:pPr>
              <w:pStyle w:val="BodyText"/>
              <w:rPr>
                <w:rFonts w:asciiTheme="minorHAnsi" w:hAnsiTheme="minorHAnsi" w:cstheme="minorHAnsi"/>
                <w:b/>
                <w:bCs/>
                <w:sz w:val="20"/>
              </w:rPr>
            </w:pPr>
            <w:r w:rsidRPr="00910A7D">
              <w:rPr>
                <w:rFonts w:asciiTheme="minorHAnsi" w:hAnsiTheme="minorHAnsi" w:cstheme="minorHAnsi"/>
                <w:b/>
                <w:bCs/>
                <w:sz w:val="20"/>
              </w:rPr>
              <w:t xml:space="preserve">Evidence </w:t>
            </w:r>
          </w:p>
        </w:tc>
        <w:tc>
          <w:tcPr>
            <w:tcW w:w="4113" w:type="pct"/>
          </w:tcPr>
          <w:p w:rsidRPr="00E8149A" w:rsidR="00B42E78" w:rsidP="00131848" w:rsidRDefault="00B42E78" w14:paraId="7AB8F15F" w14:textId="77777777">
            <w:pPr>
              <w:pStyle w:val="BodyText"/>
              <w:tabs>
                <w:tab w:val="left" w:pos="1168"/>
              </w:tabs>
              <w:rPr>
                <w:rFonts w:asciiTheme="minorHAnsi" w:hAnsiTheme="minorHAnsi" w:cstheme="minorHAnsi"/>
                <w:b/>
                <w:sz w:val="16"/>
                <w:szCs w:val="16"/>
              </w:rPr>
            </w:pPr>
            <w:r w:rsidRPr="00E8149A">
              <w:rPr>
                <w:rFonts w:asciiTheme="minorHAnsi" w:hAnsiTheme="minorHAnsi" w:cstheme="minorHAnsi"/>
                <w:b/>
                <w:sz w:val="16"/>
                <w:szCs w:val="16"/>
              </w:rPr>
              <w:t>Efficacy and Safety</w:t>
            </w:r>
          </w:p>
          <w:p w:rsidRPr="00E8149A" w:rsidR="00B42E78" w:rsidP="00131848" w:rsidRDefault="00B42E78" w14:paraId="2410D5EE" w14:textId="77777777">
            <w:pPr>
              <w:rPr>
                <w:rFonts w:asciiTheme="minorHAnsi" w:hAnsiTheme="minorHAnsi" w:cstheme="minorHAnsi"/>
                <w:sz w:val="16"/>
                <w:szCs w:val="16"/>
              </w:rPr>
            </w:pPr>
            <w:r w:rsidRPr="00E8149A">
              <w:rPr>
                <w:rFonts w:asciiTheme="minorHAnsi" w:hAnsiTheme="minorHAnsi" w:cstheme="minorHAnsi"/>
                <w:sz w:val="16"/>
                <w:szCs w:val="16"/>
              </w:rPr>
              <w:t>There is a lack of data from prospective trials on the safety and efficacy of metronidazole in newborn infants. A retrospective study reported broad-spectrum antibiotics plus metronidazole may not prevent the deterioration of NEC in full-term and near-term infants. (1) (LOE III-3 GOR D)</w:t>
            </w:r>
          </w:p>
          <w:p w:rsidRPr="00E8149A" w:rsidR="00B42E78" w:rsidP="00131848" w:rsidRDefault="00B42E78" w14:paraId="34EBCE39" w14:textId="77777777">
            <w:pPr>
              <w:pStyle w:val="BodyText"/>
              <w:tabs>
                <w:tab w:val="left" w:pos="1168"/>
              </w:tabs>
              <w:rPr>
                <w:rFonts w:asciiTheme="minorHAnsi" w:hAnsiTheme="minorHAnsi" w:cstheme="minorHAnsi"/>
                <w:sz w:val="16"/>
                <w:szCs w:val="16"/>
              </w:rPr>
            </w:pPr>
          </w:p>
          <w:p w:rsidRPr="00E8149A" w:rsidR="00B42E78" w:rsidP="00131848" w:rsidRDefault="00B42E78" w14:paraId="5553347A" w14:textId="77777777">
            <w:pPr>
              <w:pStyle w:val="BodyText"/>
              <w:tabs>
                <w:tab w:val="left" w:pos="1168"/>
              </w:tabs>
              <w:rPr>
                <w:rFonts w:asciiTheme="minorHAnsi" w:hAnsiTheme="minorHAnsi" w:cstheme="minorHAnsi"/>
                <w:b/>
                <w:sz w:val="16"/>
                <w:szCs w:val="16"/>
              </w:rPr>
            </w:pPr>
            <w:r w:rsidRPr="00E8149A">
              <w:rPr>
                <w:rFonts w:asciiTheme="minorHAnsi" w:hAnsiTheme="minorHAnsi" w:cstheme="minorHAnsi"/>
                <w:b/>
                <w:sz w:val="16"/>
                <w:szCs w:val="16"/>
              </w:rPr>
              <w:t>Pharmacokinetics</w:t>
            </w:r>
          </w:p>
          <w:p w:rsidRPr="00E8149A" w:rsidR="00B42E78" w:rsidP="00131848" w:rsidRDefault="00B42E78" w14:paraId="74110901" w14:textId="77777777">
            <w:pPr>
              <w:pStyle w:val="BodyText"/>
              <w:tabs>
                <w:tab w:val="left" w:pos="1168"/>
              </w:tabs>
              <w:rPr>
                <w:rFonts w:asciiTheme="minorHAnsi" w:hAnsiTheme="minorHAnsi" w:cstheme="minorHAnsi"/>
                <w:sz w:val="16"/>
                <w:szCs w:val="16"/>
              </w:rPr>
            </w:pPr>
            <w:r w:rsidRPr="00E8149A">
              <w:rPr>
                <w:rFonts w:asciiTheme="minorHAnsi" w:hAnsiTheme="minorHAnsi" w:cstheme="minorHAnsi"/>
                <w:sz w:val="16"/>
                <w:szCs w:val="16"/>
              </w:rPr>
              <w:t>Metronidazole principally undergoes hepatic metabolism with clearance increasing with weight and post-menstrual age (PMA). Cohen-Wolkowiez et al evaluated the pharmacokinetics of metronidazole in 32 infants born at ≤ 32 weeks’ gestation and less than 120 days old. The study correlated metronidazole clearance with PMA and developed a PK model using nonlinear mixed-effect modeling (NONMEM). Monte Carlo simulations were performed and the study gives dosing recommendations based on PMA separated into &lt; 34 weeks, 34 weeks to 40 weeks, and &gt; 40 weeks. (2,3) Suyagh et al evaluated the pharmacokinetics of 32 infants born at ≤ 37 weeks gestation and less than 55 days old. A 1-compartment model was developed using NONMEM. Monte Carlo simulations were performed and dose recommendations are given based on PMA separated into &lt; 26 weeks, 26–27 weeks, 28–33 weeks, and ≥ 34 weeks. (4) (LOE IV GOR C)</w:t>
            </w:r>
          </w:p>
        </w:tc>
      </w:tr>
      <w:tr w:rsidRPr="00910A7D" w:rsidR="00B42E78" w:rsidTr="008074AA" w14:paraId="6934CD31" w14:textId="77777777">
        <w:trPr>
          <w:trHeight w:val="263"/>
        </w:trPr>
        <w:tc>
          <w:tcPr>
            <w:tcW w:w="887" w:type="pct"/>
          </w:tcPr>
          <w:p w:rsidRPr="00910A7D" w:rsidR="00B42E78" w:rsidP="00131848" w:rsidRDefault="00B42E78" w14:paraId="4CC95FE9" w14:textId="77777777">
            <w:pPr>
              <w:pStyle w:val="BodyText"/>
              <w:rPr>
                <w:rFonts w:asciiTheme="minorHAnsi" w:hAnsiTheme="minorHAnsi" w:cstheme="minorHAnsi"/>
                <w:b/>
                <w:bCs/>
                <w:sz w:val="20"/>
              </w:rPr>
            </w:pPr>
            <w:r w:rsidRPr="00910A7D">
              <w:rPr>
                <w:rFonts w:asciiTheme="minorHAnsi" w:hAnsiTheme="minorHAnsi" w:cstheme="minorHAnsi"/>
                <w:b/>
                <w:bCs/>
                <w:sz w:val="20"/>
              </w:rPr>
              <w:t>Practice points</w:t>
            </w:r>
          </w:p>
        </w:tc>
        <w:tc>
          <w:tcPr>
            <w:tcW w:w="4113" w:type="pct"/>
          </w:tcPr>
          <w:p w:rsidRPr="00910A7D" w:rsidR="00B42E78" w:rsidP="00131848" w:rsidRDefault="00B42E78" w14:paraId="64714A1B" w14:textId="77777777">
            <w:pPr>
              <w:pStyle w:val="BodyText"/>
              <w:tabs>
                <w:tab w:val="left" w:pos="1168"/>
              </w:tabs>
              <w:rPr>
                <w:rFonts w:asciiTheme="minorHAnsi" w:hAnsiTheme="minorHAnsi" w:cstheme="minorHAnsi"/>
                <w:sz w:val="20"/>
              </w:rPr>
            </w:pPr>
          </w:p>
        </w:tc>
      </w:tr>
      <w:tr w:rsidRPr="00910A7D" w:rsidR="00B42E78" w:rsidTr="008074AA" w14:paraId="10E128F0" w14:textId="77777777">
        <w:trPr>
          <w:trHeight w:val="263"/>
        </w:trPr>
        <w:tc>
          <w:tcPr>
            <w:tcW w:w="887" w:type="pct"/>
          </w:tcPr>
          <w:p w:rsidRPr="00910A7D" w:rsidR="00B42E78" w:rsidP="00131848" w:rsidRDefault="00B42E78" w14:paraId="29B0B368" w14:textId="77777777">
            <w:pPr>
              <w:pStyle w:val="BodyText"/>
              <w:rPr>
                <w:rFonts w:asciiTheme="minorHAnsi" w:hAnsiTheme="minorHAnsi" w:cstheme="minorHAnsi"/>
                <w:b/>
                <w:bCs/>
                <w:sz w:val="20"/>
              </w:rPr>
            </w:pPr>
            <w:r w:rsidRPr="00910A7D">
              <w:rPr>
                <w:rFonts w:asciiTheme="minorHAnsi" w:hAnsiTheme="minorHAnsi" w:cstheme="minorHAnsi"/>
                <w:b/>
                <w:sz w:val="20"/>
              </w:rPr>
              <w:t>References</w:t>
            </w:r>
          </w:p>
        </w:tc>
        <w:tc>
          <w:tcPr>
            <w:tcW w:w="4113" w:type="pct"/>
          </w:tcPr>
          <w:p w:rsidRPr="00E8149A" w:rsidR="00B42E78" w:rsidP="001B0E05" w:rsidRDefault="00B42E78" w14:paraId="7ADF781E"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Luo LJ, Li X, Yang KD, Lu JY, Li LQ. Broad-spectrum antibiotic plus metronidazole may not prevent the deterioration of necrotizing enterocolitis from stage II to III in full-term and near-term infants: A propensity score-matched cohort study. Medicine. 2015;94(42).</w:t>
            </w:r>
          </w:p>
          <w:p w:rsidRPr="00E8149A" w:rsidR="00B42E78" w:rsidP="001B0E05" w:rsidRDefault="00B42E78" w14:paraId="6A1000D8"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Cohen-Wolkowiez M, Ouellet D, Smith PB, et al. Population pharmacokinetics of metronidazole evaluated using scavenged samples from preterm infants. Antimicrob Agents Chemother 2012;56:1828–37.</w:t>
            </w:r>
          </w:p>
          <w:p w:rsidRPr="00E8149A" w:rsidR="00B42E78" w:rsidP="001B0E05" w:rsidRDefault="00B42E78" w14:paraId="02FD58AE"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 xml:space="preserve">Cohen-Wolkowiez M, Sampson M, Bloom BT, et al. Determining population and developmental pharmacokinetics of metronidazole using plasma and dried blood spot samples from premature infants. Pediatr Infect Dis J 2013;32:956–61. </w:t>
            </w:r>
          </w:p>
          <w:p w:rsidRPr="00E8149A" w:rsidR="00B42E78" w:rsidP="001B0E05" w:rsidRDefault="00B42E78" w14:paraId="4C3FC880"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 xml:space="preserve">Suyagh M, Collier PS, Millership JS, Iheagwaram G, Millar M, Halliday HL, McElnay JC. Metronidazole population pharmacokinetics in preterm neonates using dried blood-spot sampling. Pediatrics. 2011 Feb 1;127(2):e367-74.1.  </w:t>
            </w:r>
          </w:p>
          <w:p w:rsidRPr="00E8149A" w:rsidR="00B42E78" w:rsidP="001B0E05" w:rsidRDefault="00B42E78" w14:paraId="45FBC6AC"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MIMS Product Information (2014) DBL Metronidazole Intravenous Infusion, Hospira</w:t>
            </w:r>
          </w:p>
          <w:p w:rsidRPr="00E8149A" w:rsidR="00B42E78" w:rsidP="001B0E05" w:rsidRDefault="00B42E78" w14:paraId="67017BBD"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Australian Injectable Drugs Handbook, 6th Edition 2016.</w:t>
            </w:r>
          </w:p>
          <w:p w:rsidRPr="00E8149A" w:rsidR="00B42E78" w:rsidP="001B0E05" w:rsidRDefault="00B42E78" w14:paraId="3EF4F7E6" w14:textId="77777777">
            <w:pPr>
              <w:numPr>
                <w:ilvl w:val="0"/>
                <w:numId w:val="35"/>
              </w:numPr>
              <w:rPr>
                <w:rFonts w:asciiTheme="minorHAnsi" w:hAnsiTheme="minorHAnsi" w:cstheme="minorHAnsi"/>
                <w:sz w:val="16"/>
                <w:szCs w:val="16"/>
              </w:rPr>
            </w:pPr>
            <w:r w:rsidRPr="00E8149A">
              <w:rPr>
                <w:rFonts w:asciiTheme="minorHAnsi" w:hAnsiTheme="minorHAnsi" w:cstheme="minorHAnsi"/>
                <w:sz w:val="16"/>
                <w:szCs w:val="16"/>
              </w:rPr>
              <w:t>Micromedex. Metronidazole monograph, accessed on 10/10/2016</w:t>
            </w:r>
          </w:p>
          <w:p w:rsidRPr="00E8149A" w:rsidR="00B42E78" w:rsidP="001B0E05" w:rsidRDefault="00B42E78" w14:paraId="56D6FE28" w14:textId="77777777">
            <w:pPr>
              <w:numPr>
                <w:ilvl w:val="0"/>
                <w:numId w:val="35"/>
              </w:numPr>
              <w:rPr>
                <w:rFonts w:asciiTheme="minorHAnsi" w:hAnsiTheme="minorHAnsi" w:eastAsiaTheme="minorHAnsi" w:cstheme="minorHAnsi"/>
                <w:sz w:val="16"/>
                <w:szCs w:val="16"/>
              </w:rPr>
            </w:pPr>
            <w:r w:rsidRPr="00E8149A">
              <w:rPr>
                <w:rFonts w:asciiTheme="minorHAnsi" w:hAnsiTheme="minorHAnsi" w:cstheme="minorHAnsi"/>
                <w:sz w:val="16"/>
                <w:szCs w:val="16"/>
              </w:rPr>
              <w:t>MIMS Product Information (2016) Flagyl S Suspension, Sanofi-Aventis</w:t>
            </w:r>
          </w:p>
        </w:tc>
      </w:tr>
    </w:tbl>
    <w:p w:rsidR="00115F48" w:rsidP="006F0321" w:rsidRDefault="00115F48" w14:paraId="67FC88AB" w14:textId="77777777"/>
    <w:p w:rsidRPr="00E25790" w:rsidR="00DE40A3" w:rsidP="006F0321" w:rsidRDefault="00DE40A3" w14:paraId="39CB44F6"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3A7895" w:rsidR="0020431B" w:rsidTr="002069E4" w14:paraId="60AC4821" w14:textId="77777777">
        <w:tc>
          <w:tcPr>
            <w:tcW w:w="4535" w:type="dxa"/>
            <w:vAlign w:val="center"/>
          </w:tcPr>
          <w:p w:rsidRPr="003A7895" w:rsidR="00FD7763" w:rsidP="002069E4" w:rsidRDefault="00FD7763" w14:paraId="5E13FDFB" w14:textId="77777777">
            <w:r>
              <w:t>Original version Date: 29/12/2016</w:t>
            </w:r>
          </w:p>
        </w:tc>
        <w:tc>
          <w:tcPr>
            <w:tcW w:w="4535" w:type="dxa"/>
            <w:vAlign w:val="center"/>
          </w:tcPr>
          <w:p w:rsidRPr="003A7895" w:rsidR="00FD7763" w:rsidP="002069E4" w:rsidRDefault="00FD7763" w14:paraId="40037BAC" w14:textId="77777777">
            <w:r>
              <w:t>Author: NMF Consensus Group</w:t>
            </w:r>
          </w:p>
        </w:tc>
      </w:tr>
      <w:tr w:rsidRPr="003A7895" w:rsidR="0020431B" w:rsidTr="002069E4" w14:paraId="604E8CC1" w14:textId="77777777">
        <w:tc>
          <w:tcPr>
            <w:tcW w:w="4535" w:type="dxa"/>
            <w:vAlign w:val="center"/>
          </w:tcPr>
          <w:p w:rsidRPr="003A7895" w:rsidR="00FD7763" w:rsidP="002069E4" w:rsidRDefault="00FD7763" w14:paraId="4C58013D" w14:textId="501FA8CE">
            <w:pPr>
              <w:rPr>
                <w:bCs/>
              </w:rPr>
            </w:pPr>
            <w:r w:rsidRPr="003A7895">
              <w:t xml:space="preserve">Current Version number:  </w:t>
            </w:r>
            <w:r w:rsidR="00401C3F">
              <w:t>2</w:t>
            </w:r>
          </w:p>
        </w:tc>
        <w:tc>
          <w:tcPr>
            <w:tcW w:w="4535" w:type="dxa"/>
            <w:vAlign w:val="center"/>
          </w:tcPr>
          <w:p w:rsidRPr="003A7895" w:rsidR="00FD7763" w:rsidP="002069E4" w:rsidRDefault="00FD7763" w14:paraId="67346689" w14:textId="71AFF89F">
            <w:r>
              <w:t xml:space="preserve">Current </w:t>
            </w:r>
            <w:r w:rsidRPr="003A7895">
              <w:t>Version Date</w:t>
            </w:r>
            <w:r w:rsidRPr="00CE7642">
              <w:t xml:space="preserve">:  </w:t>
            </w:r>
            <w:r w:rsidR="00E8149A">
              <w:t>18</w:t>
            </w:r>
            <w:r w:rsidR="00401C3F">
              <w:t>-</w:t>
            </w:r>
            <w:r w:rsidR="00E8149A">
              <w:t>6</w:t>
            </w:r>
            <w:r w:rsidR="00401C3F">
              <w:t>-202</w:t>
            </w:r>
            <w:r w:rsidR="00E8149A">
              <w:t>1</w:t>
            </w:r>
          </w:p>
        </w:tc>
      </w:tr>
      <w:tr w:rsidRPr="003A7895" w:rsidR="0020431B" w:rsidTr="002069E4" w14:paraId="4F712886" w14:textId="77777777">
        <w:tc>
          <w:tcPr>
            <w:tcW w:w="4535" w:type="dxa"/>
            <w:vAlign w:val="center"/>
          </w:tcPr>
          <w:p w:rsidRPr="003A7895" w:rsidR="00FD7763" w:rsidP="002069E4" w:rsidRDefault="00FD7763" w14:paraId="407AB309" w14:textId="0D0A0183">
            <w:r>
              <w:t xml:space="preserve">Risk Rating: </w:t>
            </w:r>
            <w:r w:rsidR="00401C3F">
              <w:t>Low</w:t>
            </w:r>
          </w:p>
        </w:tc>
        <w:tc>
          <w:tcPr>
            <w:tcW w:w="4535" w:type="dxa"/>
            <w:vAlign w:val="center"/>
          </w:tcPr>
          <w:p w:rsidRPr="003A7895" w:rsidR="00FD7763" w:rsidP="002069E4" w:rsidRDefault="00FD7763" w14:paraId="3E3341D4" w14:textId="40643250">
            <w:r w:rsidRPr="003A7895">
              <w:t xml:space="preserve">Due for Review:  </w:t>
            </w:r>
            <w:r w:rsidR="00401C3F">
              <w:t>1</w:t>
            </w:r>
            <w:r w:rsidR="00E862FB">
              <w:t>8</w:t>
            </w:r>
            <w:r w:rsidR="00401C3F">
              <w:t>-</w:t>
            </w:r>
            <w:r w:rsidR="00E862FB">
              <w:t>6</w:t>
            </w:r>
            <w:r w:rsidR="00401C3F">
              <w:t>-202</w:t>
            </w:r>
            <w:r w:rsidR="00E862FB">
              <w:t>6</w:t>
            </w:r>
          </w:p>
        </w:tc>
      </w:tr>
      <w:tr w:rsidRPr="003A7895" w:rsidR="0020431B" w:rsidTr="002069E4" w14:paraId="20BEAA91" w14:textId="77777777">
        <w:trPr>
          <w:trHeight w:val="344"/>
        </w:trPr>
        <w:tc>
          <w:tcPr>
            <w:tcW w:w="4535" w:type="dxa"/>
            <w:tcBorders>
              <w:bottom w:val="single" w:color="auto" w:sz="4" w:space="0"/>
            </w:tcBorders>
            <w:vAlign w:val="center"/>
          </w:tcPr>
          <w:p w:rsidRPr="003A7895" w:rsidR="00FD7763" w:rsidP="002069E4" w:rsidRDefault="00FD7763" w14:paraId="432C7399" w14:textId="77777777">
            <w:r w:rsidRPr="003A7895">
              <w:t>Approv</w:t>
            </w:r>
            <w:r>
              <w:t xml:space="preserve">al </w:t>
            </w:r>
            <w:r w:rsidRPr="003A7895">
              <w:t>by</w:t>
            </w:r>
            <w:r>
              <w:t xml:space="preserve">: DTC </w:t>
            </w:r>
          </w:p>
        </w:tc>
        <w:tc>
          <w:tcPr>
            <w:tcW w:w="4535" w:type="dxa"/>
            <w:tcBorders>
              <w:bottom w:val="single" w:color="auto" w:sz="4" w:space="0"/>
            </w:tcBorders>
            <w:vAlign w:val="center"/>
          </w:tcPr>
          <w:p w:rsidRPr="003A7895" w:rsidR="00FD7763" w:rsidP="002069E4" w:rsidRDefault="00FD7763" w14:paraId="1B5B8309" w14:textId="579E6188">
            <w:r w:rsidRPr="003A7895">
              <w:t>Approval Date:</w:t>
            </w:r>
            <w:r>
              <w:t xml:space="preserve"> </w:t>
            </w:r>
            <w:r w:rsidR="00260BC8">
              <w:t>APRIL 2021</w:t>
            </w:r>
          </w:p>
        </w:tc>
      </w:tr>
    </w:tbl>
    <w:p w:rsidRPr="00E25790" w:rsidR="00115F48" w:rsidP="006F0321" w:rsidRDefault="00115F48" w14:paraId="4DA23C4A"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2069E4" w14:paraId="006128C9"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63EFC4E3" w14:textId="77777777">
            <w:pPr>
              <w:pStyle w:val="Heading1"/>
            </w:pPr>
            <w:bookmarkStart w:name="_Toc38106884" w:id="394"/>
            <w:bookmarkStart w:name="_Toc75340006" w:id="395"/>
            <w:bookmarkStart w:name="_Toc495481136" w:id="396"/>
            <w:bookmarkStart w:name="_Toc495481262" w:id="397"/>
            <w:bookmarkStart w:name="_Toc495481387" w:id="398"/>
            <w:bookmarkStart w:name="_Toc495501568" w:id="399"/>
            <w:r w:rsidRPr="00E25790">
              <w:lastRenderedPageBreak/>
              <w:t>Miconazole</w:t>
            </w:r>
            <w:bookmarkEnd w:id="394"/>
            <w:bookmarkEnd w:id="395"/>
            <w:r w:rsidRPr="00E25790">
              <w:t xml:space="preserve"> </w:t>
            </w:r>
            <w:bookmarkEnd w:id="396"/>
            <w:bookmarkEnd w:id="397"/>
            <w:bookmarkEnd w:id="398"/>
            <w:bookmarkEnd w:id="399"/>
            <w:r w:rsidRPr="00E25790">
              <w:fldChar w:fldCharType="begin"/>
            </w:r>
            <w:r w:rsidRPr="00E25790">
              <w:instrText>tc "Miconazole Gel" \l 0</w:instrText>
            </w:r>
            <w:r w:rsidRPr="00E25790">
              <w:fldChar w:fldCharType="end"/>
            </w:r>
          </w:p>
        </w:tc>
      </w:tr>
      <w:tr w:rsidRPr="00E25790" w:rsidR="00115F48" w:rsidTr="002069E4" w14:paraId="4A179257"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A666536" w14:textId="77777777">
            <w:r w:rsidRPr="00E25790">
              <w:t>Revision Date</w:t>
            </w:r>
            <w:r w:rsidRPr="00E25790">
              <w:rPr>
                <w:b/>
              </w:rPr>
              <w:t xml:space="preserve"> : </w:t>
            </w:r>
            <w:r w:rsidRPr="00E25790" w:rsidR="0053166D">
              <w:rPr>
                <w:b/>
              </w:rPr>
              <w:t>02-03-2020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5459951" w14:textId="77777777">
            <w:r w:rsidRPr="00E25790">
              <w:t xml:space="preserve">Approved: </w:t>
            </w:r>
            <w:r w:rsidRPr="00E25790" w:rsidR="0053166D">
              <w:t>TC, KOH</w:t>
            </w:r>
          </w:p>
        </w:tc>
      </w:tr>
    </w:tbl>
    <w:p w:rsidRPr="00E25790" w:rsidR="00115F48" w:rsidP="006F0321" w:rsidRDefault="00115F48" w14:paraId="0555EC40" w14:textId="77777777"/>
    <w:tbl>
      <w:tblPr>
        <w:tblW w:w="9064" w:type="dxa"/>
        <w:tblLayout w:type="fixed"/>
        <w:tblLook w:val="0000" w:firstRow="0" w:lastRow="0" w:firstColumn="0" w:lastColumn="0" w:noHBand="0" w:noVBand="0"/>
      </w:tblPr>
      <w:tblGrid>
        <w:gridCol w:w="2443"/>
        <w:gridCol w:w="6621"/>
      </w:tblGrid>
      <w:tr w:rsidRPr="00E25790" w:rsidR="0053166D" w:rsidTr="002069E4" w14:paraId="3760510B" w14:textId="77777777">
        <w:trPr>
          <w:cantSplit/>
          <w:trHeight w:val="1200"/>
        </w:trPr>
        <w:tc>
          <w:tcPr>
            <w:tcW w:w="2443" w:type="dxa"/>
            <w:tcBorders>
              <w:top w:val="single" w:color="auto" w:sz="6" w:space="0"/>
              <w:left w:val="single" w:color="auto" w:sz="6" w:space="0"/>
              <w:bottom w:val="single" w:color="auto" w:sz="6" w:space="0"/>
            </w:tcBorders>
          </w:tcPr>
          <w:p w:rsidRPr="00E25790" w:rsidR="0053166D" w:rsidP="006F0321" w:rsidRDefault="0053166D" w14:paraId="4C550228" w14:textId="77777777">
            <w:r w:rsidRPr="00E25790">
              <w:t>Indication :</w:t>
            </w:r>
          </w:p>
        </w:tc>
        <w:tc>
          <w:tcPr>
            <w:tcW w:w="6621" w:type="dxa"/>
            <w:tcBorders>
              <w:top w:val="single" w:color="auto" w:sz="6" w:space="0"/>
              <w:bottom w:val="single" w:color="auto" w:sz="6" w:space="0"/>
              <w:right w:val="single" w:color="auto" w:sz="6" w:space="0"/>
            </w:tcBorders>
          </w:tcPr>
          <w:p w:rsidRPr="00E25790" w:rsidR="0053166D" w:rsidP="006F0321" w:rsidRDefault="0053166D" w14:paraId="74408721" w14:textId="77777777">
            <w:r w:rsidRPr="00E25790">
              <w:t>1. Oral thrush (gel)</w:t>
            </w:r>
          </w:p>
          <w:p w:rsidRPr="00E25790" w:rsidR="0053166D" w:rsidP="006F0321" w:rsidRDefault="0053166D" w14:paraId="6A8CEB95" w14:textId="77777777">
            <w:r w:rsidRPr="00E25790">
              <w:t>2. Superficial candida infections (cream)</w:t>
            </w:r>
          </w:p>
          <w:p w:rsidRPr="00E25790" w:rsidR="0053166D" w:rsidP="006F0321" w:rsidRDefault="0053166D" w14:paraId="3B3690DD" w14:textId="77777777">
            <w:r w:rsidRPr="00E25790">
              <w:t>3. Antifungal prophylaxis</w:t>
            </w:r>
          </w:p>
        </w:tc>
      </w:tr>
      <w:tr w:rsidRPr="00E25790" w:rsidR="0053166D" w:rsidTr="002069E4" w14:paraId="23BF5480"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0511D5E9" w14:textId="77777777">
            <w:r w:rsidRPr="00E25790">
              <w:t>Dose :</w:t>
            </w:r>
          </w:p>
        </w:tc>
        <w:tc>
          <w:tcPr>
            <w:tcW w:w="6621" w:type="dxa"/>
            <w:tcBorders>
              <w:top w:val="single" w:color="auto" w:sz="6" w:space="0"/>
              <w:bottom w:val="single" w:color="auto" w:sz="6" w:space="0"/>
              <w:right w:val="single" w:color="auto" w:sz="6" w:space="0"/>
            </w:tcBorders>
          </w:tcPr>
          <w:p w:rsidRPr="00E25790" w:rsidR="0053166D" w:rsidP="006F0321" w:rsidRDefault="0053166D" w14:paraId="184806FE" w14:textId="77777777">
            <w:r w:rsidRPr="00E25790">
              <w:t>1. 25 mg (1.25 mL of gel 4 times a day).</w:t>
            </w:r>
          </w:p>
          <w:p w:rsidRPr="00E25790" w:rsidR="0053166D" w:rsidP="006F0321" w:rsidRDefault="0053166D" w14:paraId="1E40EC5B" w14:textId="77777777">
            <w:r w:rsidRPr="00E25790">
              <w:t>2. Apply cream TWICE a day after nappy changes</w:t>
            </w:r>
          </w:p>
          <w:p w:rsidRPr="00E25790" w:rsidR="0053166D" w:rsidP="006F0321" w:rsidRDefault="0053166D" w14:paraId="3BB82DBC" w14:textId="77777777">
            <w:r w:rsidRPr="00E25790">
              <w:t>3. 25 mg (approximately 1 cm of gel 4 times a day).</w:t>
            </w:r>
          </w:p>
        </w:tc>
      </w:tr>
      <w:tr w:rsidRPr="00E25790" w:rsidR="0053166D" w:rsidTr="002069E4" w14:paraId="5F8378BE"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7E1965BF" w14:textId="77777777">
            <w:r w:rsidRPr="00E25790">
              <w:t>Interval :</w:t>
            </w:r>
          </w:p>
        </w:tc>
        <w:tc>
          <w:tcPr>
            <w:tcW w:w="6621" w:type="dxa"/>
            <w:tcBorders>
              <w:top w:val="single" w:color="auto" w:sz="6" w:space="0"/>
              <w:bottom w:val="single" w:color="auto" w:sz="6" w:space="0"/>
              <w:right w:val="single" w:color="auto" w:sz="6" w:space="0"/>
            </w:tcBorders>
          </w:tcPr>
          <w:p w:rsidRPr="00E25790" w:rsidR="0053166D" w:rsidP="006F0321" w:rsidRDefault="0053166D" w14:paraId="2F6159E2" w14:textId="77777777">
            <w:r w:rsidRPr="00E25790">
              <w:t>1 and 3. 6 hourly.</w:t>
            </w:r>
          </w:p>
          <w:p w:rsidRPr="00E25790" w:rsidR="0053166D" w:rsidP="006F0321" w:rsidRDefault="0053166D" w14:paraId="44C1F291" w14:textId="77777777">
            <w:r w:rsidRPr="00E25790">
              <w:t>2. 12 hourly</w:t>
            </w:r>
          </w:p>
        </w:tc>
      </w:tr>
      <w:tr w:rsidRPr="00E25790" w:rsidR="0053166D" w:rsidTr="002069E4" w14:paraId="676DB490"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51BC0995" w14:textId="77777777">
            <w:r w:rsidRPr="00E25790">
              <w:t>Route :</w:t>
            </w:r>
          </w:p>
        </w:tc>
        <w:tc>
          <w:tcPr>
            <w:tcW w:w="6621" w:type="dxa"/>
            <w:tcBorders>
              <w:top w:val="single" w:color="auto" w:sz="6" w:space="0"/>
              <w:bottom w:val="single" w:color="auto" w:sz="6" w:space="0"/>
              <w:right w:val="single" w:color="auto" w:sz="6" w:space="0"/>
            </w:tcBorders>
          </w:tcPr>
          <w:p w:rsidRPr="00E25790" w:rsidR="0053166D" w:rsidP="006F0321" w:rsidRDefault="0053166D" w14:paraId="35C87CEF" w14:textId="77777777">
            <w:r w:rsidRPr="00E25790">
              <w:t>Oral, topical</w:t>
            </w:r>
          </w:p>
        </w:tc>
      </w:tr>
      <w:tr w:rsidRPr="00E25790" w:rsidR="0053166D" w:rsidTr="002069E4" w14:paraId="3BCBD752"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76B4ED0C" w14:textId="77777777">
            <w:r w:rsidRPr="00E25790">
              <w:t>Total Daily Dose :</w:t>
            </w:r>
          </w:p>
        </w:tc>
        <w:tc>
          <w:tcPr>
            <w:tcW w:w="6621" w:type="dxa"/>
            <w:tcBorders>
              <w:top w:val="single" w:color="auto" w:sz="6" w:space="0"/>
              <w:bottom w:val="single" w:color="auto" w:sz="6" w:space="0"/>
              <w:right w:val="single" w:color="auto" w:sz="6" w:space="0"/>
            </w:tcBorders>
          </w:tcPr>
          <w:p w:rsidRPr="00E25790" w:rsidR="0053166D" w:rsidP="006F0321" w:rsidRDefault="0053166D" w14:paraId="15F6E56A" w14:textId="77777777">
            <w:r w:rsidRPr="00E25790">
              <w:t>Up to 100 mg/day.</w:t>
            </w:r>
          </w:p>
        </w:tc>
      </w:tr>
      <w:tr w:rsidRPr="00E25790" w:rsidR="0053166D" w:rsidTr="002069E4" w14:paraId="69688550" w14:textId="77777777">
        <w:trPr>
          <w:cantSplit/>
          <w:trHeight w:val="1200"/>
        </w:trPr>
        <w:tc>
          <w:tcPr>
            <w:tcW w:w="2443" w:type="dxa"/>
            <w:tcBorders>
              <w:top w:val="single" w:color="auto" w:sz="6" w:space="0"/>
              <w:left w:val="single" w:color="auto" w:sz="6" w:space="0"/>
              <w:bottom w:val="single" w:color="auto" w:sz="6" w:space="0"/>
            </w:tcBorders>
          </w:tcPr>
          <w:p w:rsidRPr="00E25790" w:rsidR="0053166D" w:rsidP="006F0321" w:rsidRDefault="0053166D" w14:paraId="16102707" w14:textId="77777777">
            <w:r w:rsidRPr="00E25790">
              <w:t>Comments :</w:t>
            </w:r>
          </w:p>
        </w:tc>
        <w:tc>
          <w:tcPr>
            <w:tcW w:w="6621" w:type="dxa"/>
            <w:tcBorders>
              <w:top w:val="single" w:color="auto" w:sz="6" w:space="0"/>
              <w:bottom w:val="single" w:color="auto" w:sz="6" w:space="0"/>
              <w:right w:val="single" w:color="auto" w:sz="6" w:space="0"/>
            </w:tcBorders>
          </w:tcPr>
          <w:p w:rsidRPr="00E25790" w:rsidR="0053166D" w:rsidP="006F0321" w:rsidRDefault="0053166D" w14:paraId="04B600E7" w14:textId="77777777">
            <w:r w:rsidRPr="00E25790">
              <w:t xml:space="preserve">-Fungostatic activity without significant G.I. absorption.  </w:t>
            </w:r>
          </w:p>
          <w:p w:rsidRPr="00E25790" w:rsidR="0053166D" w:rsidP="006F0321" w:rsidRDefault="0053166D" w14:paraId="554D4AB9" w14:textId="77777777">
            <w:r w:rsidRPr="00E25790">
              <w:rPr>
                <w:b/>
              </w:rPr>
              <w:t xml:space="preserve">-Oral Gel: </w:t>
            </w:r>
            <w:r w:rsidRPr="00E25790">
              <w:t xml:space="preserve">Gel can be drawn up in a syringe. Rub around gums and inside of mouth using a cotton bud or finger. Ensure any excess gel is removed from the mouth. </w:t>
            </w:r>
            <w:r w:rsidRPr="00E25790">
              <w:rPr>
                <w:b/>
              </w:rPr>
              <w:t>Note:</w:t>
            </w:r>
            <w:r w:rsidRPr="00E25790">
              <w:t xml:space="preserve"> Do not use a spoon to administer gel.  </w:t>
            </w:r>
          </w:p>
          <w:p w:rsidRPr="00E25790" w:rsidR="0053166D" w:rsidP="006F0321" w:rsidRDefault="0053166D" w14:paraId="11388CE0" w14:textId="77777777">
            <w:r w:rsidRPr="00E25790">
              <w:t>-Administer after a feed</w:t>
            </w:r>
          </w:p>
          <w:p w:rsidRPr="00E25790" w:rsidR="0053166D" w:rsidP="006F0321" w:rsidRDefault="0053166D" w14:paraId="418135E8" w14:textId="77777777">
            <w:r w:rsidRPr="00E25790">
              <w:t>-Caution in infants with poor swallowing (potential for airway obstruction)</w:t>
            </w:r>
          </w:p>
          <w:p w:rsidRPr="00E25790" w:rsidR="0053166D" w:rsidP="006F0321" w:rsidRDefault="0053166D" w14:paraId="14FDD888" w14:textId="77777777">
            <w:r w:rsidRPr="00E25790">
              <w:t>-Treatment should be reviewed at 5 days. If there has been a clinical success, treatment should be discontinued. Otherwise, treatment should be continued for up to a total of 12 days. If treatment has been unsuccessful at this point, an alternative treatment should be considered.</w:t>
            </w:r>
          </w:p>
        </w:tc>
      </w:tr>
      <w:tr w:rsidRPr="00E25790" w:rsidR="0053166D" w:rsidTr="002069E4" w14:paraId="5F2948EF"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69CF38D5" w14:textId="77777777">
            <w:r w:rsidRPr="00E25790">
              <w:t>Supplied as :</w:t>
            </w:r>
          </w:p>
        </w:tc>
        <w:tc>
          <w:tcPr>
            <w:tcW w:w="6621" w:type="dxa"/>
            <w:tcBorders>
              <w:top w:val="single" w:color="auto" w:sz="6" w:space="0"/>
              <w:bottom w:val="single" w:color="auto" w:sz="6" w:space="0"/>
              <w:right w:val="single" w:color="auto" w:sz="6" w:space="0"/>
            </w:tcBorders>
          </w:tcPr>
          <w:p w:rsidRPr="00E25790" w:rsidR="0053166D" w:rsidP="006F0321" w:rsidRDefault="0053166D" w14:paraId="4DC43D5D" w14:textId="77777777">
            <w:r w:rsidRPr="00E25790">
              <w:t>Daktarin 2% Gel 20 g tube.</w:t>
            </w:r>
          </w:p>
          <w:p w:rsidRPr="00E25790" w:rsidR="0053166D" w:rsidP="006F0321" w:rsidRDefault="0053166D" w14:paraId="7C72E788" w14:textId="77777777">
            <w:r w:rsidRPr="00E25790">
              <w:t>Cream: 2% (20mg/g)</w:t>
            </w:r>
          </w:p>
        </w:tc>
      </w:tr>
      <w:tr w:rsidRPr="00E25790" w:rsidR="0053166D" w:rsidTr="002069E4" w14:paraId="255B147F" w14:textId="77777777">
        <w:trPr>
          <w:cantSplit/>
          <w:trHeight w:val="577"/>
        </w:trPr>
        <w:tc>
          <w:tcPr>
            <w:tcW w:w="2443" w:type="dxa"/>
            <w:tcBorders>
              <w:top w:val="single" w:color="auto" w:sz="6" w:space="0"/>
              <w:left w:val="single" w:color="auto" w:sz="6" w:space="0"/>
              <w:bottom w:val="single" w:color="auto" w:sz="6" w:space="0"/>
            </w:tcBorders>
          </w:tcPr>
          <w:p w:rsidRPr="00E25790" w:rsidR="0053166D" w:rsidP="006F0321" w:rsidRDefault="0053166D" w14:paraId="4DDFF4D4" w14:textId="77777777">
            <w:r w:rsidRPr="00E25790">
              <w:t>Dilution :</w:t>
            </w:r>
          </w:p>
        </w:tc>
        <w:tc>
          <w:tcPr>
            <w:tcW w:w="6621" w:type="dxa"/>
            <w:tcBorders>
              <w:top w:val="single" w:color="auto" w:sz="6" w:space="0"/>
              <w:bottom w:val="single" w:color="auto" w:sz="6" w:space="0"/>
              <w:right w:val="single" w:color="auto" w:sz="6" w:space="0"/>
            </w:tcBorders>
          </w:tcPr>
          <w:p w:rsidRPr="00E25790" w:rsidR="0053166D" w:rsidP="006F0321" w:rsidRDefault="0053166D" w14:paraId="23C05A76" w14:textId="77777777"/>
        </w:tc>
      </w:tr>
      <w:tr w:rsidRPr="00E25790" w:rsidR="0053166D" w:rsidTr="002069E4" w14:paraId="23FA01BA"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322E0562" w14:textId="77777777">
            <w:r w:rsidRPr="00E25790">
              <w:t>Stability :</w:t>
            </w:r>
          </w:p>
        </w:tc>
        <w:tc>
          <w:tcPr>
            <w:tcW w:w="6621" w:type="dxa"/>
            <w:tcBorders>
              <w:top w:val="single" w:color="auto" w:sz="6" w:space="0"/>
              <w:bottom w:val="single" w:color="auto" w:sz="6" w:space="0"/>
              <w:right w:val="single" w:color="auto" w:sz="6" w:space="0"/>
            </w:tcBorders>
          </w:tcPr>
          <w:p w:rsidRPr="00E25790" w:rsidR="0053166D" w:rsidP="006F0321" w:rsidRDefault="0053166D" w14:paraId="2A9151C0" w14:textId="77777777">
            <w:r w:rsidRPr="00E25790">
              <w:t>Stable at room temperature.</w:t>
            </w:r>
          </w:p>
        </w:tc>
      </w:tr>
      <w:tr w:rsidRPr="00E25790" w:rsidR="0053166D" w:rsidTr="002069E4" w14:paraId="7A210525"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49210148" w14:textId="77777777">
            <w:r w:rsidRPr="00E25790">
              <w:t>Storage :</w:t>
            </w:r>
          </w:p>
        </w:tc>
        <w:tc>
          <w:tcPr>
            <w:tcW w:w="6621" w:type="dxa"/>
            <w:tcBorders>
              <w:top w:val="single" w:color="auto" w:sz="6" w:space="0"/>
              <w:bottom w:val="single" w:color="auto" w:sz="6" w:space="0"/>
              <w:right w:val="single" w:color="auto" w:sz="6" w:space="0"/>
            </w:tcBorders>
          </w:tcPr>
          <w:p w:rsidRPr="00E25790" w:rsidR="0053166D" w:rsidP="006F0321" w:rsidRDefault="0053166D" w14:paraId="123AF04A" w14:textId="77777777">
            <w:r w:rsidRPr="00E25790">
              <w:t>Room temperature.</w:t>
            </w:r>
          </w:p>
        </w:tc>
      </w:tr>
      <w:tr w:rsidRPr="00E25790" w:rsidR="0053166D" w:rsidTr="002069E4" w14:paraId="0130DC57"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5FCF5A78" w14:textId="77777777">
            <w:r w:rsidRPr="00E25790">
              <w:t>Compatibility:</w:t>
            </w:r>
          </w:p>
        </w:tc>
        <w:tc>
          <w:tcPr>
            <w:tcW w:w="6621" w:type="dxa"/>
            <w:tcBorders>
              <w:top w:val="single" w:color="auto" w:sz="6" w:space="0"/>
              <w:bottom w:val="single" w:color="auto" w:sz="6" w:space="0"/>
              <w:right w:val="single" w:color="auto" w:sz="6" w:space="0"/>
            </w:tcBorders>
          </w:tcPr>
          <w:p w:rsidRPr="00E25790" w:rsidR="0053166D" w:rsidP="006F0321" w:rsidRDefault="0053166D" w14:paraId="30CE9B84" w14:textId="77777777">
            <w:r w:rsidRPr="00E25790">
              <w:t>Not Applicable.</w:t>
            </w:r>
          </w:p>
        </w:tc>
      </w:tr>
      <w:tr w:rsidRPr="00E25790" w:rsidR="0053166D" w:rsidTr="002069E4" w14:paraId="0F300BAD" w14:textId="77777777">
        <w:trPr>
          <w:cantSplit/>
          <w:trHeight w:val="480"/>
        </w:trPr>
        <w:tc>
          <w:tcPr>
            <w:tcW w:w="2443" w:type="dxa"/>
            <w:tcBorders>
              <w:top w:val="single" w:color="auto" w:sz="6" w:space="0"/>
              <w:left w:val="single" w:color="auto" w:sz="6" w:space="0"/>
              <w:bottom w:val="single" w:color="auto" w:sz="6" w:space="0"/>
            </w:tcBorders>
          </w:tcPr>
          <w:p w:rsidRPr="00E25790" w:rsidR="0053166D" w:rsidP="006F0321" w:rsidRDefault="0053166D" w14:paraId="4A81B0B9" w14:textId="77777777">
            <w:r w:rsidRPr="00E25790">
              <w:t>Incompatibility :</w:t>
            </w:r>
          </w:p>
        </w:tc>
        <w:tc>
          <w:tcPr>
            <w:tcW w:w="6621" w:type="dxa"/>
            <w:tcBorders>
              <w:top w:val="single" w:color="auto" w:sz="6" w:space="0"/>
              <w:bottom w:val="single" w:color="auto" w:sz="6" w:space="0"/>
              <w:right w:val="single" w:color="auto" w:sz="6" w:space="0"/>
            </w:tcBorders>
          </w:tcPr>
          <w:p w:rsidRPr="00E25790" w:rsidR="0053166D" w:rsidP="006F0321" w:rsidRDefault="0053166D" w14:paraId="6C658F1C" w14:textId="77777777">
            <w:r w:rsidRPr="00E25790">
              <w:t>Nil.</w:t>
            </w:r>
          </w:p>
        </w:tc>
      </w:tr>
      <w:tr w:rsidRPr="00E25790" w:rsidR="0053166D" w:rsidTr="002069E4" w14:paraId="223180EE" w14:textId="77777777">
        <w:trPr>
          <w:cantSplit/>
          <w:trHeight w:val="264"/>
        </w:trPr>
        <w:tc>
          <w:tcPr>
            <w:tcW w:w="2443" w:type="dxa"/>
            <w:tcBorders>
              <w:top w:val="single" w:color="auto" w:sz="6" w:space="0"/>
              <w:left w:val="single" w:color="auto" w:sz="6" w:space="0"/>
              <w:bottom w:val="single" w:color="auto" w:sz="6" w:space="0"/>
            </w:tcBorders>
          </w:tcPr>
          <w:p w:rsidRPr="00E25790" w:rsidR="0053166D" w:rsidP="006F0321" w:rsidRDefault="0053166D" w14:paraId="413CB1E8" w14:textId="77777777">
            <w:r w:rsidRPr="00E25790">
              <w:t>Serum Levels :</w:t>
            </w:r>
          </w:p>
        </w:tc>
        <w:tc>
          <w:tcPr>
            <w:tcW w:w="6621" w:type="dxa"/>
            <w:tcBorders>
              <w:top w:val="single" w:color="auto" w:sz="6" w:space="0"/>
              <w:bottom w:val="single" w:color="auto" w:sz="6" w:space="0"/>
              <w:right w:val="single" w:color="auto" w:sz="6" w:space="0"/>
            </w:tcBorders>
          </w:tcPr>
          <w:p w:rsidRPr="00E25790" w:rsidR="0053166D" w:rsidP="006F0321" w:rsidRDefault="0053166D" w14:paraId="5081E4C0" w14:textId="77777777"/>
        </w:tc>
      </w:tr>
    </w:tbl>
    <w:p w:rsidRPr="00E25790" w:rsidR="00115F48" w:rsidP="006F0321" w:rsidRDefault="00115F48" w14:paraId="602BE281" w14:textId="77777777"/>
    <w:p w:rsidR="002069E4" w:rsidP="006F0321" w:rsidRDefault="002069E4" w14:paraId="0E9D69F9" w14:textId="77777777"/>
    <w:p w:rsidRPr="00E25790" w:rsidR="0053166D" w:rsidP="006F0321" w:rsidRDefault="0053166D" w14:paraId="47F739A4" w14:textId="77777777">
      <w:r w:rsidRPr="00E25790">
        <w:lastRenderedPageBreak/>
        <w:t>References:</w:t>
      </w:r>
    </w:p>
    <w:p w:rsidRPr="00E25790" w:rsidR="0053166D" w:rsidP="006F0321" w:rsidRDefault="0053166D" w14:paraId="726B2DA7" w14:textId="77777777">
      <w:r w:rsidRPr="00E25790">
        <w:t xml:space="preserve">1. Australian Medicines Handbook. Miconazole. In: Australian Medicines Handbook [Internet]. Adelaide (South Australia): Australian Medicines Handbook; 2019. Available from: https://amhonline.amh.net.au/ </w:t>
      </w:r>
    </w:p>
    <w:p w:rsidRPr="00E25790" w:rsidR="0053166D" w:rsidP="006F0321" w:rsidRDefault="0053166D" w14:paraId="14C36126" w14:textId="77777777">
      <w:r w:rsidRPr="00E25790">
        <w:t xml:space="preserve">2. MIMS Australia. Daktarin, Daktozin. In: MIMS Online [Internet]. St Leonards (New South Wales): MIMS Australia; 2019. Available from: </w:t>
      </w:r>
      <w:hyperlink w:history="1" r:id="rId47">
        <w:r w:rsidRPr="00E25790">
          <w:rPr>
            <w:rStyle w:val="Hyperlink"/>
            <w:sz w:val="16"/>
            <w:szCs w:val="16"/>
          </w:rPr>
          <w:t>https://www.mimsonline.com.au</w:t>
        </w:r>
      </w:hyperlink>
    </w:p>
    <w:p w:rsidRPr="00E25790" w:rsidR="0053166D" w:rsidP="006F0321" w:rsidRDefault="0053166D" w14:paraId="26729D7D" w14:textId="77777777">
      <w:r w:rsidRPr="00E25790">
        <w:t xml:space="preserve">3. Auckland newborn services drug protocol. Available from: </w:t>
      </w:r>
      <w:hyperlink w:history="1" w:anchor="5" r:id="rId48">
        <w:r w:rsidRPr="00E25790">
          <w:rPr>
            <w:rStyle w:val="Hyperlink"/>
            <w:sz w:val="16"/>
            <w:szCs w:val="16"/>
          </w:rPr>
          <w:t>http://www.adhb.govt.nz/newborn/DrugProtocols/MiconazoleAdministration.htm#5</w:t>
        </w:r>
      </w:hyperlink>
    </w:p>
    <w:p w:rsidRPr="00E25790" w:rsidR="0053166D" w:rsidP="006F0321" w:rsidRDefault="0053166D" w14:paraId="16107E1C" w14:textId="77777777">
      <w:r w:rsidRPr="00E25790">
        <w:t xml:space="preserve">4. King Edward Memorial Hospital &amp; Perth Children’s Hospital medication manual. Available from: </w:t>
      </w:r>
      <w:hyperlink w:history="1" r:id="rId49">
        <w:r w:rsidRPr="00E25790">
          <w:rPr>
            <w:rStyle w:val="Hyperlink"/>
            <w:sz w:val="16"/>
            <w:szCs w:val="16"/>
          </w:rPr>
          <w:t>https://www.kemh.health.wa.gov.au/~/media/Files/Hospitals/WNHS/For%20health%20professionals/Clinical%20guidelines/NCCU/Drug%20Protocols/Miconazole.pdf</w:t>
        </w:r>
      </w:hyperlink>
    </w:p>
    <w:p w:rsidRPr="00E25790" w:rsidR="00115F48" w:rsidP="006F0321" w:rsidRDefault="00115F48" w14:paraId="11C2A668"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3A7895" w:rsidR="00411A9F" w:rsidTr="0059793A" w14:paraId="642C74F5" w14:textId="77777777">
        <w:tc>
          <w:tcPr>
            <w:tcW w:w="4535" w:type="dxa"/>
            <w:vAlign w:val="center"/>
          </w:tcPr>
          <w:p w:rsidRPr="003A7895" w:rsidR="00411A9F" w:rsidP="0059793A" w:rsidRDefault="00411A9F" w14:paraId="46926D63" w14:textId="3A3E4211">
            <w:bookmarkStart w:name="_Toc495481137" w:id="400"/>
            <w:bookmarkStart w:name="_Toc495481263" w:id="401"/>
            <w:bookmarkStart w:name="_Toc495481388" w:id="402"/>
            <w:bookmarkStart w:name="_Toc495501569" w:id="403"/>
            <w:bookmarkStart w:name="_Toc38106885" w:id="404"/>
            <w:r>
              <w:t xml:space="preserve">Original version Date: </w:t>
            </w:r>
            <w:r w:rsidR="0042364D">
              <w:t>2014</w:t>
            </w:r>
          </w:p>
        </w:tc>
        <w:tc>
          <w:tcPr>
            <w:tcW w:w="4535" w:type="dxa"/>
            <w:vAlign w:val="center"/>
          </w:tcPr>
          <w:p w:rsidRPr="003A7895" w:rsidR="00411A9F" w:rsidP="0059793A" w:rsidRDefault="00411A9F" w14:paraId="7A7B3851" w14:textId="6FEA8C8E">
            <w:r>
              <w:t xml:space="preserve">Author: </w:t>
            </w:r>
            <w:r w:rsidR="0042364D">
              <w:t>AK/JD</w:t>
            </w:r>
          </w:p>
        </w:tc>
      </w:tr>
      <w:tr w:rsidRPr="003A7895" w:rsidR="00411A9F" w:rsidTr="0059793A" w14:paraId="34595F7B" w14:textId="77777777">
        <w:tc>
          <w:tcPr>
            <w:tcW w:w="4535" w:type="dxa"/>
            <w:vAlign w:val="center"/>
          </w:tcPr>
          <w:p w:rsidRPr="003A7895" w:rsidR="00411A9F" w:rsidP="0059793A" w:rsidRDefault="00411A9F" w14:paraId="188FCCD3" w14:textId="77777777">
            <w:pPr>
              <w:rPr>
                <w:bCs/>
              </w:rPr>
            </w:pPr>
            <w:r w:rsidRPr="003A7895">
              <w:t xml:space="preserve">Current Version number:  </w:t>
            </w:r>
            <w:r>
              <w:t>2</w:t>
            </w:r>
          </w:p>
        </w:tc>
        <w:tc>
          <w:tcPr>
            <w:tcW w:w="4535" w:type="dxa"/>
            <w:vAlign w:val="center"/>
          </w:tcPr>
          <w:p w:rsidRPr="003A7895" w:rsidR="00411A9F" w:rsidP="0059793A" w:rsidRDefault="00411A9F" w14:paraId="5FB16AC1" w14:textId="6531515E">
            <w:r>
              <w:t xml:space="preserve">Current </w:t>
            </w:r>
            <w:r w:rsidRPr="003A7895">
              <w:t>Version Date</w:t>
            </w:r>
            <w:r w:rsidRPr="00CE7642">
              <w:t xml:space="preserve">:  </w:t>
            </w:r>
            <w:r w:rsidR="0042364D">
              <w:t>2/3/2020</w:t>
            </w:r>
          </w:p>
        </w:tc>
      </w:tr>
      <w:tr w:rsidRPr="003A7895" w:rsidR="00411A9F" w:rsidTr="0059793A" w14:paraId="65D8A308" w14:textId="77777777">
        <w:tc>
          <w:tcPr>
            <w:tcW w:w="4535" w:type="dxa"/>
            <w:vAlign w:val="center"/>
          </w:tcPr>
          <w:p w:rsidRPr="003A7895" w:rsidR="00411A9F" w:rsidP="0059793A" w:rsidRDefault="00411A9F" w14:paraId="63B0C4B4" w14:textId="77777777">
            <w:r>
              <w:t>Risk Rating: Low</w:t>
            </w:r>
          </w:p>
        </w:tc>
        <w:tc>
          <w:tcPr>
            <w:tcW w:w="4535" w:type="dxa"/>
            <w:vAlign w:val="center"/>
          </w:tcPr>
          <w:p w:rsidRPr="003A7895" w:rsidR="00411A9F" w:rsidP="0059793A" w:rsidRDefault="00411A9F" w14:paraId="0F771120" w14:textId="01217F53">
            <w:r w:rsidRPr="003A7895">
              <w:t xml:space="preserve">Due for Review:  </w:t>
            </w:r>
            <w:r w:rsidR="0042364D">
              <w:t>2/3/2025</w:t>
            </w:r>
          </w:p>
        </w:tc>
      </w:tr>
      <w:tr w:rsidRPr="003A7895" w:rsidR="00411A9F" w:rsidTr="0059793A" w14:paraId="1C38FF93" w14:textId="77777777">
        <w:trPr>
          <w:trHeight w:val="344"/>
        </w:trPr>
        <w:tc>
          <w:tcPr>
            <w:tcW w:w="4535" w:type="dxa"/>
            <w:tcBorders>
              <w:bottom w:val="single" w:color="auto" w:sz="4" w:space="0"/>
            </w:tcBorders>
            <w:vAlign w:val="center"/>
          </w:tcPr>
          <w:p w:rsidRPr="003A7895" w:rsidR="00411A9F" w:rsidP="0059793A" w:rsidRDefault="00411A9F" w14:paraId="42F362C4" w14:textId="77777777">
            <w:r w:rsidRPr="003A7895">
              <w:t>Approv</w:t>
            </w:r>
            <w:r>
              <w:t xml:space="preserve">al </w:t>
            </w:r>
            <w:r w:rsidRPr="003A7895">
              <w:t>by</w:t>
            </w:r>
            <w:r>
              <w:t xml:space="preserve">: DTC </w:t>
            </w:r>
          </w:p>
        </w:tc>
        <w:tc>
          <w:tcPr>
            <w:tcW w:w="4535" w:type="dxa"/>
            <w:tcBorders>
              <w:bottom w:val="single" w:color="auto" w:sz="4" w:space="0"/>
            </w:tcBorders>
            <w:vAlign w:val="center"/>
          </w:tcPr>
          <w:p w:rsidRPr="003A7895" w:rsidR="00411A9F" w:rsidP="0059793A" w:rsidRDefault="00411A9F" w14:paraId="0E20D285" w14:textId="7F433F23">
            <w:r w:rsidRPr="003A7895">
              <w:t>Approval Date:</w:t>
            </w:r>
            <w:r>
              <w:t xml:space="preserve"> </w:t>
            </w:r>
            <w:r w:rsidR="00260BC8">
              <w:t>APRIL 2021</w:t>
            </w:r>
          </w:p>
        </w:tc>
      </w:tr>
    </w:tbl>
    <w:p w:rsidR="002069E4" w:rsidRDefault="002069E4" w14:paraId="73769A07" w14:textId="77777777">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2069E4" w14:paraId="200857B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53166D" w14:paraId="27FFEBDD" w14:textId="77777777">
            <w:pPr>
              <w:pStyle w:val="Heading1"/>
            </w:pPr>
            <w:bookmarkStart w:name="_Toc75340007" w:id="405"/>
            <w:r w:rsidRPr="00E25790">
              <w:lastRenderedPageBreak/>
              <w:t>M</w:t>
            </w:r>
            <w:r w:rsidRPr="00E25790" w:rsidR="00115F48">
              <w:t>idazolam</w:t>
            </w:r>
            <w:bookmarkEnd w:id="400"/>
            <w:bookmarkEnd w:id="401"/>
            <w:bookmarkEnd w:id="402"/>
            <w:bookmarkEnd w:id="403"/>
            <w:bookmarkEnd w:id="404"/>
            <w:bookmarkEnd w:id="405"/>
            <w:r w:rsidRPr="00E25790" w:rsidR="00115F48">
              <w:fldChar w:fldCharType="begin"/>
            </w:r>
            <w:r w:rsidRPr="00E25790" w:rsidR="00115F48">
              <w:instrText>tc "Midazolam" \l 0</w:instrText>
            </w:r>
            <w:r w:rsidRPr="00E25790" w:rsidR="00115F48">
              <w:fldChar w:fldCharType="end"/>
            </w:r>
          </w:p>
        </w:tc>
      </w:tr>
      <w:tr w:rsidRPr="00E25790" w:rsidR="00115F48" w:rsidTr="002069E4" w14:paraId="642A70E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7B1A3742" w14:textId="4E94EADE">
            <w:r w:rsidRPr="00E25790">
              <w:t>Revision Date</w:t>
            </w:r>
            <w:r w:rsidRPr="00E25790">
              <w:rPr>
                <w:b/>
              </w:rPr>
              <w:t xml:space="preserve"> : </w:t>
            </w:r>
            <w:r w:rsidR="009846CC">
              <w:rPr>
                <w:b/>
              </w:rPr>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7C6E420" w14:textId="77777777">
            <w:r w:rsidRPr="00E25790">
              <w:t xml:space="preserve">Approved: </w:t>
            </w:r>
            <w:r w:rsidRPr="00E25790" w:rsidR="0053166D">
              <w:t>TC, KOH</w:t>
            </w:r>
          </w:p>
        </w:tc>
      </w:tr>
    </w:tbl>
    <w:p w:rsidRPr="00E25790" w:rsidR="00115F48" w:rsidP="006F0321" w:rsidRDefault="00115F48" w14:paraId="4B3AEAA5" w14:textId="77777777"/>
    <w:tbl>
      <w:tblPr>
        <w:tblW w:w="55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6"/>
        <w:gridCol w:w="8232"/>
      </w:tblGrid>
      <w:tr w:rsidRPr="00A0540A" w:rsidR="00293B63" w:rsidTr="008074AA" w14:paraId="4AC3666B" w14:textId="77777777">
        <w:trPr>
          <w:trHeight w:val="263"/>
        </w:trPr>
        <w:tc>
          <w:tcPr>
            <w:tcW w:w="850" w:type="pct"/>
          </w:tcPr>
          <w:p w:rsidRPr="00A0540A" w:rsidR="00293B63" w:rsidP="00131848" w:rsidRDefault="00293B63" w14:paraId="3900C0DA" w14:textId="77777777">
            <w:pPr>
              <w:pStyle w:val="BodyText"/>
              <w:tabs>
                <w:tab w:val="center" w:pos="1476"/>
              </w:tabs>
              <w:rPr>
                <w:rFonts w:asciiTheme="minorHAnsi" w:hAnsiTheme="minorHAnsi" w:cstheme="minorHAnsi"/>
                <w:b/>
                <w:sz w:val="20"/>
              </w:rPr>
            </w:pPr>
            <w:r w:rsidRPr="00A0540A">
              <w:rPr>
                <w:rFonts w:asciiTheme="minorHAnsi" w:hAnsiTheme="minorHAnsi" w:cstheme="minorHAnsi"/>
                <w:b/>
                <w:sz w:val="20"/>
              </w:rPr>
              <w:t>Alert</w:t>
            </w:r>
          </w:p>
        </w:tc>
        <w:tc>
          <w:tcPr>
            <w:tcW w:w="4150" w:type="pct"/>
          </w:tcPr>
          <w:p w:rsidRPr="00A0540A" w:rsidR="00293B63" w:rsidP="00131848" w:rsidRDefault="00293B63" w14:paraId="6CF33EF6" w14:textId="77777777">
            <w:pPr>
              <w:pStyle w:val="BodyText"/>
              <w:rPr>
                <w:rFonts w:asciiTheme="minorHAnsi" w:hAnsiTheme="minorHAnsi" w:cstheme="minorHAnsi"/>
                <w:sz w:val="20"/>
              </w:rPr>
            </w:pPr>
            <w:r w:rsidRPr="00A0540A">
              <w:rPr>
                <w:sz w:val="20"/>
              </w:rPr>
              <w:t>S4D – High risk medication causing significant patient harm when used in error.</w:t>
            </w:r>
          </w:p>
        </w:tc>
      </w:tr>
      <w:tr w:rsidRPr="00A0540A" w:rsidR="00293B63" w:rsidTr="008074AA" w14:paraId="31549F1E" w14:textId="77777777">
        <w:trPr>
          <w:trHeight w:val="263"/>
        </w:trPr>
        <w:tc>
          <w:tcPr>
            <w:tcW w:w="850" w:type="pct"/>
          </w:tcPr>
          <w:p w:rsidRPr="00A0540A" w:rsidR="00293B63" w:rsidP="00131848" w:rsidRDefault="00293B63" w14:paraId="453CE4DF" w14:textId="77777777">
            <w:pPr>
              <w:pStyle w:val="BodyText"/>
              <w:rPr>
                <w:rFonts w:asciiTheme="minorHAnsi" w:hAnsiTheme="minorHAnsi" w:cstheme="minorHAnsi"/>
                <w:sz w:val="20"/>
              </w:rPr>
            </w:pPr>
            <w:r w:rsidRPr="00A0540A">
              <w:rPr>
                <w:rFonts w:asciiTheme="minorHAnsi" w:hAnsiTheme="minorHAnsi" w:cstheme="minorHAnsi"/>
                <w:b/>
                <w:bCs/>
                <w:sz w:val="20"/>
              </w:rPr>
              <w:t>Indication</w:t>
            </w:r>
          </w:p>
        </w:tc>
        <w:tc>
          <w:tcPr>
            <w:tcW w:w="4150" w:type="pct"/>
          </w:tcPr>
          <w:p w:rsidRPr="00A0540A" w:rsidR="00293B63" w:rsidP="00131848" w:rsidRDefault="00293B63" w14:paraId="4C251C39" w14:textId="77777777">
            <w:pPr>
              <w:rPr>
                <w:sz w:val="20"/>
              </w:rPr>
            </w:pPr>
            <w:r w:rsidRPr="00A0540A">
              <w:rPr>
                <w:sz w:val="20"/>
              </w:rPr>
              <w:t>Sedation during ventilation or procedure.</w:t>
            </w:r>
          </w:p>
          <w:p w:rsidRPr="00A0540A" w:rsidR="00293B63" w:rsidP="00131848" w:rsidRDefault="00293B63" w14:paraId="46B88F0C" w14:textId="77777777">
            <w:pPr>
              <w:rPr>
                <w:rFonts w:asciiTheme="minorHAnsi" w:hAnsiTheme="minorHAnsi" w:cstheme="minorHAnsi"/>
                <w:sz w:val="20"/>
              </w:rPr>
            </w:pPr>
            <w:r w:rsidRPr="00A0540A">
              <w:rPr>
                <w:sz w:val="20"/>
              </w:rPr>
              <w:t>Treatment of refractory seizure.</w:t>
            </w:r>
          </w:p>
        </w:tc>
      </w:tr>
      <w:tr w:rsidRPr="00A0540A" w:rsidR="00293B63" w:rsidTr="008074AA" w14:paraId="1219D19E" w14:textId="77777777">
        <w:trPr>
          <w:trHeight w:val="263"/>
        </w:trPr>
        <w:tc>
          <w:tcPr>
            <w:tcW w:w="850" w:type="pct"/>
          </w:tcPr>
          <w:p w:rsidRPr="00A0540A" w:rsidR="00293B63" w:rsidP="00131848" w:rsidRDefault="00293B63" w14:paraId="166920FC" w14:textId="77777777">
            <w:pPr>
              <w:pStyle w:val="BodyText"/>
              <w:rPr>
                <w:rFonts w:asciiTheme="minorHAnsi" w:hAnsiTheme="minorHAnsi" w:cstheme="minorHAnsi"/>
                <w:b/>
                <w:bCs/>
                <w:sz w:val="20"/>
              </w:rPr>
            </w:pPr>
            <w:r w:rsidRPr="00A0540A">
              <w:rPr>
                <w:rFonts w:asciiTheme="minorHAnsi" w:hAnsiTheme="minorHAnsi" w:cstheme="minorHAnsi"/>
                <w:b/>
                <w:bCs/>
                <w:sz w:val="20"/>
              </w:rPr>
              <w:t>Action</w:t>
            </w:r>
          </w:p>
        </w:tc>
        <w:tc>
          <w:tcPr>
            <w:tcW w:w="4150" w:type="pct"/>
          </w:tcPr>
          <w:p w:rsidRPr="00A0540A" w:rsidR="00293B63" w:rsidP="00131848" w:rsidRDefault="00293B63" w14:paraId="5A232A47" w14:textId="77777777">
            <w:pPr>
              <w:rPr>
                <w:rFonts w:asciiTheme="minorHAnsi" w:hAnsiTheme="minorHAnsi" w:cstheme="minorHAnsi"/>
                <w:sz w:val="20"/>
              </w:rPr>
            </w:pPr>
            <w:r w:rsidRPr="00A0540A">
              <w:rPr>
                <w:rFonts w:cs="Arial" w:asciiTheme="minorHAnsi" w:hAnsiTheme="minorHAnsi"/>
                <w:sz w:val="20"/>
              </w:rPr>
              <w:t>Intensify the physiological inhibitory mechanisms mediated by gamma-aminobutyric acid (GABA)</w:t>
            </w:r>
            <w:r w:rsidRPr="00A0540A">
              <w:rPr>
                <w:rFonts w:asciiTheme="minorHAnsi" w:hAnsiTheme="minorHAnsi"/>
                <w:sz w:val="20"/>
              </w:rPr>
              <w:t xml:space="preserve"> by accumulation and occupation of benzodiazepine receptors. Anti-anxiety properties are related to increasing the glycine inhibitory neurotransmitter.</w:t>
            </w:r>
            <w:r w:rsidRPr="00A0540A">
              <w:rPr>
                <w:rFonts w:cs="Arial" w:asciiTheme="minorHAnsi" w:hAnsiTheme="minorHAnsi"/>
                <w:sz w:val="20"/>
              </w:rPr>
              <w:t xml:space="preserve"> </w:t>
            </w:r>
          </w:p>
        </w:tc>
      </w:tr>
      <w:tr w:rsidRPr="00A0540A" w:rsidR="00293B63" w:rsidTr="008074AA" w14:paraId="7075BA6D" w14:textId="77777777">
        <w:trPr>
          <w:trHeight w:val="263"/>
        </w:trPr>
        <w:tc>
          <w:tcPr>
            <w:tcW w:w="850" w:type="pct"/>
          </w:tcPr>
          <w:p w:rsidRPr="00A0540A" w:rsidR="00293B63" w:rsidP="00131848" w:rsidRDefault="00293B63" w14:paraId="038B5C7D" w14:textId="77777777">
            <w:pPr>
              <w:pStyle w:val="BodyText"/>
              <w:rPr>
                <w:rFonts w:asciiTheme="minorHAnsi" w:hAnsiTheme="minorHAnsi" w:cstheme="minorHAnsi"/>
                <w:sz w:val="20"/>
              </w:rPr>
            </w:pPr>
            <w:r w:rsidRPr="00A0540A">
              <w:rPr>
                <w:rFonts w:asciiTheme="minorHAnsi" w:hAnsiTheme="minorHAnsi" w:cstheme="minorHAnsi"/>
                <w:b/>
                <w:bCs/>
                <w:sz w:val="20"/>
              </w:rPr>
              <w:t>Drug type</w:t>
            </w:r>
          </w:p>
        </w:tc>
        <w:tc>
          <w:tcPr>
            <w:tcW w:w="4150" w:type="pct"/>
          </w:tcPr>
          <w:p w:rsidRPr="00A0540A" w:rsidR="00293B63" w:rsidP="00131848" w:rsidRDefault="00293B63" w14:paraId="1467E2D5" w14:textId="77777777">
            <w:pPr>
              <w:pStyle w:val="BodyText"/>
              <w:rPr>
                <w:rFonts w:asciiTheme="minorHAnsi" w:hAnsiTheme="minorHAnsi" w:cstheme="minorHAnsi"/>
                <w:sz w:val="20"/>
              </w:rPr>
            </w:pPr>
            <w:r w:rsidRPr="00A0540A">
              <w:rPr>
                <w:sz w:val="20"/>
              </w:rPr>
              <w:t>Short acting benzodiazepine.</w:t>
            </w:r>
          </w:p>
        </w:tc>
      </w:tr>
      <w:tr w:rsidRPr="00A0540A" w:rsidR="00293B63" w:rsidTr="008074AA" w14:paraId="66AB6414" w14:textId="77777777">
        <w:trPr>
          <w:trHeight w:val="263"/>
        </w:trPr>
        <w:tc>
          <w:tcPr>
            <w:tcW w:w="850" w:type="pct"/>
          </w:tcPr>
          <w:p w:rsidRPr="00A0540A" w:rsidR="00293B63" w:rsidP="00131848" w:rsidRDefault="00293B63" w14:paraId="6F7DD883" w14:textId="77777777">
            <w:pPr>
              <w:pStyle w:val="BodyText"/>
              <w:rPr>
                <w:rFonts w:asciiTheme="minorHAnsi" w:hAnsiTheme="minorHAnsi" w:cstheme="minorHAnsi"/>
                <w:b/>
                <w:bCs/>
                <w:sz w:val="20"/>
              </w:rPr>
            </w:pPr>
            <w:r w:rsidRPr="00A0540A">
              <w:rPr>
                <w:rFonts w:asciiTheme="minorHAnsi" w:hAnsiTheme="minorHAnsi" w:cstheme="minorHAnsi"/>
                <w:b/>
                <w:bCs/>
                <w:sz w:val="20"/>
              </w:rPr>
              <w:t>Trade name</w:t>
            </w:r>
          </w:p>
        </w:tc>
        <w:tc>
          <w:tcPr>
            <w:tcW w:w="4150" w:type="pct"/>
          </w:tcPr>
          <w:p w:rsidRPr="00A0540A" w:rsidR="00293B63" w:rsidP="00131848" w:rsidRDefault="00293B63" w14:paraId="49E80F9A" w14:textId="77777777">
            <w:pPr>
              <w:pStyle w:val="BodyText"/>
              <w:rPr>
                <w:rFonts w:asciiTheme="minorHAnsi" w:hAnsiTheme="minorHAnsi" w:cstheme="minorHAnsi"/>
                <w:sz w:val="20"/>
              </w:rPr>
            </w:pPr>
            <w:r w:rsidRPr="00A0540A">
              <w:rPr>
                <w:rFonts w:cs="Arial"/>
                <w:sz w:val="20"/>
              </w:rPr>
              <w:t>Hypnovel, Midazolam Alphapharm, Midazolam Pfizer, Midazolam-Baxter, B.Braun Midazolam, Midazolam Accord, Midazolam Apotex.</w:t>
            </w:r>
          </w:p>
        </w:tc>
      </w:tr>
      <w:tr w:rsidRPr="00A0540A" w:rsidR="00293B63" w:rsidTr="008074AA" w14:paraId="7DEBF072" w14:textId="77777777">
        <w:trPr>
          <w:trHeight w:val="263"/>
        </w:trPr>
        <w:tc>
          <w:tcPr>
            <w:tcW w:w="850" w:type="pct"/>
          </w:tcPr>
          <w:p w:rsidRPr="00A0540A" w:rsidR="00293B63" w:rsidP="00131848" w:rsidRDefault="00293B63" w14:paraId="582B4B00" w14:textId="77777777">
            <w:pPr>
              <w:pStyle w:val="BodyText"/>
              <w:rPr>
                <w:rFonts w:asciiTheme="minorHAnsi" w:hAnsiTheme="minorHAnsi" w:cstheme="minorHAnsi"/>
                <w:b/>
                <w:bCs/>
                <w:sz w:val="20"/>
              </w:rPr>
            </w:pPr>
            <w:r w:rsidRPr="00A0540A">
              <w:rPr>
                <w:rFonts w:asciiTheme="minorHAnsi" w:hAnsiTheme="minorHAnsi" w:cstheme="minorHAnsi"/>
                <w:b/>
                <w:bCs/>
                <w:sz w:val="20"/>
              </w:rPr>
              <w:t xml:space="preserve">Presentation </w:t>
            </w:r>
          </w:p>
        </w:tc>
        <w:tc>
          <w:tcPr>
            <w:tcW w:w="4150" w:type="pct"/>
          </w:tcPr>
          <w:p w:rsidRPr="00A0540A" w:rsidR="00293B63" w:rsidP="00131848" w:rsidRDefault="00293B63" w14:paraId="0FE922E2" w14:textId="77777777">
            <w:pPr>
              <w:pStyle w:val="BodyText"/>
              <w:ind w:left="34"/>
              <w:rPr>
                <w:rFonts w:asciiTheme="minorHAnsi" w:hAnsiTheme="minorHAnsi" w:cstheme="minorHAnsi"/>
                <w:sz w:val="20"/>
              </w:rPr>
            </w:pPr>
            <w:r w:rsidRPr="00A0540A">
              <w:rPr>
                <w:rFonts w:cs="Arial"/>
                <w:sz w:val="20"/>
              </w:rPr>
              <w:t>5mg/mL, 5mg/5mL, 150mg/10mL and 15mg/3mL ampoules for IV and oral use</w:t>
            </w:r>
          </w:p>
        </w:tc>
      </w:tr>
      <w:tr w:rsidRPr="00A0540A" w:rsidR="00293B63" w:rsidTr="008074AA" w14:paraId="5A5FBAEB" w14:textId="77777777">
        <w:trPr>
          <w:trHeight w:val="263"/>
        </w:trPr>
        <w:tc>
          <w:tcPr>
            <w:tcW w:w="850" w:type="pct"/>
          </w:tcPr>
          <w:p w:rsidRPr="00A0540A" w:rsidR="00293B63" w:rsidP="00131848" w:rsidRDefault="00293B63" w14:paraId="5F743608" w14:textId="77777777">
            <w:pPr>
              <w:pStyle w:val="BodyText"/>
              <w:rPr>
                <w:rFonts w:asciiTheme="minorHAnsi" w:hAnsiTheme="minorHAnsi" w:cstheme="minorHAnsi"/>
                <w:b/>
                <w:bCs/>
                <w:sz w:val="20"/>
              </w:rPr>
            </w:pPr>
            <w:r w:rsidRPr="00A0540A">
              <w:rPr>
                <w:rFonts w:asciiTheme="minorHAnsi" w:hAnsiTheme="minorHAnsi" w:cstheme="minorHAnsi"/>
                <w:b/>
                <w:bCs/>
                <w:sz w:val="20"/>
              </w:rPr>
              <w:t>Dose</w:t>
            </w:r>
          </w:p>
        </w:tc>
        <w:tc>
          <w:tcPr>
            <w:tcW w:w="4150" w:type="pct"/>
          </w:tcPr>
          <w:tbl>
            <w:tblPr>
              <w:tblpPr w:leftFromText="180" w:rightFromText="180" w:vertAnchor="page" w:horzAnchor="margin" w:tblpY="208"/>
              <w:tblOverlap w:val="never"/>
              <w:tblW w:w="69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2"/>
              <w:gridCol w:w="4819"/>
            </w:tblGrid>
            <w:tr w:rsidRPr="00A0540A" w:rsidR="00293B63" w:rsidTr="00293B63" w14:paraId="13554768" w14:textId="77777777">
              <w:trPr>
                <w:trHeight w:val="235"/>
              </w:trPr>
              <w:tc>
                <w:tcPr>
                  <w:tcW w:w="2122" w:type="dxa"/>
                  <w:tcBorders>
                    <w:top w:val="single" w:color="auto" w:sz="4" w:space="0"/>
                    <w:left w:val="single" w:color="auto" w:sz="4" w:space="0"/>
                    <w:bottom w:val="single" w:color="auto" w:sz="4" w:space="0"/>
                    <w:right w:val="single" w:color="auto" w:sz="4" w:space="0"/>
                  </w:tcBorders>
                  <w:vAlign w:val="center"/>
                </w:tcPr>
                <w:p w:rsidRPr="00A0540A" w:rsidR="00293B63" w:rsidP="00131848" w:rsidRDefault="00293B63" w14:paraId="0849AB0C" w14:textId="77777777">
                  <w:pPr>
                    <w:rPr>
                      <w:b/>
                      <w:sz w:val="20"/>
                    </w:rPr>
                  </w:pPr>
                  <w:r w:rsidRPr="00A0540A">
                    <w:rPr>
                      <w:b/>
                      <w:sz w:val="20"/>
                    </w:rPr>
                    <w:t>Method</w:t>
                  </w:r>
                </w:p>
              </w:tc>
              <w:tc>
                <w:tcPr>
                  <w:tcW w:w="4819" w:type="dxa"/>
                  <w:tcBorders>
                    <w:top w:val="single" w:color="auto" w:sz="4" w:space="0"/>
                    <w:left w:val="single" w:color="auto" w:sz="4" w:space="0"/>
                    <w:bottom w:val="single" w:color="auto" w:sz="4" w:space="0"/>
                    <w:right w:val="single" w:color="auto" w:sz="4" w:space="0"/>
                  </w:tcBorders>
                  <w:vAlign w:val="center"/>
                </w:tcPr>
                <w:p w:rsidRPr="00A0540A" w:rsidR="00293B63" w:rsidP="00131848" w:rsidRDefault="00293B63" w14:paraId="0D33B28B" w14:textId="77777777">
                  <w:pPr>
                    <w:rPr>
                      <w:b/>
                      <w:sz w:val="20"/>
                    </w:rPr>
                  </w:pPr>
                  <w:r w:rsidRPr="00A0540A">
                    <w:rPr>
                      <w:b/>
                      <w:sz w:val="20"/>
                    </w:rPr>
                    <w:t>Dose</w:t>
                  </w:r>
                </w:p>
              </w:tc>
            </w:tr>
            <w:tr w:rsidRPr="00A0540A" w:rsidR="00293B63" w:rsidTr="00293B63" w14:paraId="2B4DE584" w14:textId="77777777">
              <w:trPr>
                <w:trHeight w:val="214"/>
              </w:trPr>
              <w:tc>
                <w:tcPr>
                  <w:tcW w:w="2122" w:type="dxa"/>
                  <w:tcBorders>
                    <w:top w:val="single" w:color="auto" w:sz="4" w:space="0"/>
                    <w:left w:val="single" w:color="auto" w:sz="4" w:space="0"/>
                    <w:right w:val="single" w:color="auto" w:sz="4" w:space="0"/>
                  </w:tcBorders>
                  <w:vAlign w:val="center"/>
                </w:tcPr>
                <w:p w:rsidRPr="00A0540A" w:rsidR="00293B63" w:rsidP="00131848" w:rsidRDefault="00293B63" w14:paraId="49A10A24" w14:textId="77777777">
                  <w:pPr>
                    <w:rPr>
                      <w:sz w:val="20"/>
                    </w:rPr>
                  </w:pPr>
                  <w:r w:rsidRPr="00A0540A">
                    <w:rPr>
                      <w:sz w:val="20"/>
                    </w:rPr>
                    <w:t>IV infusion for sedation</w:t>
                  </w:r>
                </w:p>
              </w:tc>
              <w:tc>
                <w:tcPr>
                  <w:tcW w:w="4819" w:type="dxa"/>
                  <w:tcBorders>
                    <w:top w:val="single" w:color="auto" w:sz="4" w:space="0"/>
                    <w:left w:val="single" w:color="auto" w:sz="4" w:space="0"/>
                    <w:right w:val="single" w:color="auto" w:sz="4" w:space="0"/>
                  </w:tcBorders>
                  <w:vAlign w:val="center"/>
                </w:tcPr>
                <w:p w:rsidRPr="00A0540A" w:rsidR="00293B63" w:rsidP="00131848" w:rsidRDefault="00293B63" w14:paraId="420EEB1C" w14:textId="77777777">
                  <w:pPr>
                    <w:rPr>
                      <w:sz w:val="20"/>
                    </w:rPr>
                  </w:pPr>
                  <w:r w:rsidRPr="00A0540A">
                    <w:rPr>
                      <w:sz w:val="20"/>
                    </w:rPr>
                    <w:t>0.2–1 microgram/kg/minute</w:t>
                  </w:r>
                </w:p>
                <w:p w:rsidRPr="00A0540A" w:rsidR="00293B63" w:rsidP="00131848" w:rsidRDefault="00293B63" w14:paraId="515E5774" w14:textId="77777777">
                  <w:pPr>
                    <w:rPr>
                      <w:sz w:val="20"/>
                    </w:rPr>
                  </w:pPr>
                </w:p>
              </w:tc>
            </w:tr>
            <w:tr w:rsidRPr="00A0540A" w:rsidR="00293B63" w:rsidTr="00293B63" w14:paraId="37230434" w14:textId="77777777">
              <w:trPr>
                <w:trHeight w:val="214"/>
              </w:trPr>
              <w:tc>
                <w:tcPr>
                  <w:tcW w:w="2122" w:type="dxa"/>
                  <w:tcBorders>
                    <w:top w:val="single" w:color="auto" w:sz="4" w:space="0"/>
                    <w:left w:val="single" w:color="auto" w:sz="4" w:space="0"/>
                    <w:right w:val="single" w:color="auto" w:sz="4" w:space="0"/>
                  </w:tcBorders>
                  <w:vAlign w:val="center"/>
                </w:tcPr>
                <w:p w:rsidRPr="00A0540A" w:rsidR="00293B63" w:rsidP="00131848" w:rsidRDefault="00293B63" w14:paraId="666AD3C4" w14:textId="77777777">
                  <w:pPr>
                    <w:rPr>
                      <w:sz w:val="20"/>
                    </w:rPr>
                  </w:pPr>
                  <w:r w:rsidRPr="00A0540A">
                    <w:rPr>
                      <w:sz w:val="20"/>
                    </w:rPr>
                    <w:t>IV infusion for seizures</w:t>
                  </w:r>
                </w:p>
              </w:tc>
              <w:tc>
                <w:tcPr>
                  <w:tcW w:w="4819" w:type="dxa"/>
                  <w:tcBorders>
                    <w:top w:val="single" w:color="auto" w:sz="4" w:space="0"/>
                    <w:left w:val="single" w:color="auto" w:sz="4" w:space="0"/>
                    <w:right w:val="single" w:color="auto" w:sz="4" w:space="0"/>
                  </w:tcBorders>
                  <w:vAlign w:val="center"/>
                </w:tcPr>
                <w:p w:rsidRPr="00A0540A" w:rsidR="00293B63" w:rsidP="00131848" w:rsidRDefault="00293B63" w14:paraId="2B4AE5BD" w14:textId="77777777">
                  <w:pPr>
                    <w:rPr>
                      <w:sz w:val="20"/>
                    </w:rPr>
                  </w:pPr>
                  <w:r w:rsidRPr="00A0540A">
                    <w:rPr>
                      <w:sz w:val="20"/>
                    </w:rPr>
                    <w:t>Loading dose: 150–200 microgram/kg over 3−5 minutes</w:t>
                  </w:r>
                </w:p>
                <w:p w:rsidRPr="00A0540A" w:rsidR="00293B63" w:rsidP="00131848" w:rsidRDefault="00293B63" w14:paraId="735C4DD6" w14:textId="77777777">
                  <w:pPr>
                    <w:rPr>
                      <w:sz w:val="20"/>
                    </w:rPr>
                  </w:pPr>
                  <w:r w:rsidRPr="00A0540A">
                    <w:rPr>
                      <w:sz w:val="20"/>
                    </w:rPr>
                    <w:t xml:space="preserve">Maintenance dose: 1–7 microgram/kg/minute </w:t>
                  </w:r>
                </w:p>
              </w:tc>
            </w:tr>
            <w:tr w:rsidRPr="00A0540A" w:rsidR="00293B63" w:rsidTr="00293B63" w14:paraId="73583542" w14:textId="77777777">
              <w:trPr>
                <w:trHeight w:val="232"/>
              </w:trPr>
              <w:tc>
                <w:tcPr>
                  <w:tcW w:w="2122" w:type="dxa"/>
                  <w:tcBorders>
                    <w:left w:val="single" w:color="auto" w:sz="4" w:space="0"/>
                    <w:bottom w:val="single" w:color="auto" w:sz="4" w:space="0"/>
                    <w:right w:val="single" w:color="auto" w:sz="4" w:space="0"/>
                  </w:tcBorders>
                  <w:vAlign w:val="center"/>
                </w:tcPr>
                <w:p w:rsidRPr="00A0540A" w:rsidR="00293B63" w:rsidP="00131848" w:rsidRDefault="00293B63" w14:paraId="5565034D" w14:textId="77777777">
                  <w:pPr>
                    <w:rPr>
                      <w:sz w:val="20"/>
                    </w:rPr>
                  </w:pPr>
                  <w:r w:rsidRPr="00A0540A">
                    <w:rPr>
                      <w:sz w:val="20"/>
                    </w:rPr>
                    <w:t>IV bolus</w:t>
                  </w:r>
                </w:p>
              </w:tc>
              <w:tc>
                <w:tcPr>
                  <w:tcW w:w="4819" w:type="dxa"/>
                  <w:tcBorders>
                    <w:left w:val="single" w:color="auto" w:sz="4" w:space="0"/>
                    <w:bottom w:val="single" w:color="auto" w:sz="4" w:space="0"/>
                    <w:right w:val="single" w:color="auto" w:sz="4" w:space="0"/>
                  </w:tcBorders>
                  <w:vAlign w:val="center"/>
                </w:tcPr>
                <w:p w:rsidRPr="00A0540A" w:rsidR="00293B63" w:rsidP="00131848" w:rsidRDefault="00293B63" w14:paraId="1F3C7498" w14:textId="77777777">
                  <w:pPr>
                    <w:rPr>
                      <w:sz w:val="20"/>
                    </w:rPr>
                  </w:pPr>
                  <w:r w:rsidRPr="00A0540A">
                    <w:rPr>
                      <w:sz w:val="20"/>
                    </w:rPr>
                    <w:t>50 microgram/kg/dose every 2 hours when required</w:t>
                  </w:r>
                </w:p>
                <w:p w:rsidRPr="00A0540A" w:rsidR="00293B63" w:rsidP="00131848" w:rsidRDefault="00293B63" w14:paraId="6D51B9F7" w14:textId="77777777">
                  <w:pPr>
                    <w:rPr>
                      <w:sz w:val="20"/>
                    </w:rPr>
                  </w:pPr>
                  <w:r w:rsidRPr="00A0540A">
                    <w:rPr>
                      <w:sz w:val="20"/>
                    </w:rPr>
                    <w:t xml:space="preserve">(Dose range: 50–150 microgram/kg/dose) </w:t>
                  </w:r>
                </w:p>
              </w:tc>
            </w:tr>
            <w:tr w:rsidRPr="00A0540A" w:rsidR="00293B63" w:rsidTr="00293B63" w14:paraId="77B8C408" w14:textId="77777777">
              <w:trPr>
                <w:trHeight w:val="214"/>
              </w:trPr>
              <w:tc>
                <w:tcPr>
                  <w:tcW w:w="2122" w:type="dxa"/>
                  <w:tcBorders>
                    <w:top w:val="single" w:color="auto" w:sz="4" w:space="0"/>
                    <w:left w:val="single" w:color="auto" w:sz="4" w:space="0"/>
                    <w:right w:val="single" w:color="auto" w:sz="4" w:space="0"/>
                  </w:tcBorders>
                  <w:vAlign w:val="center"/>
                </w:tcPr>
                <w:p w:rsidRPr="00A0540A" w:rsidR="00293B63" w:rsidP="00131848" w:rsidRDefault="00293B63" w14:paraId="1A0020FC" w14:textId="77777777">
                  <w:pPr>
                    <w:rPr>
                      <w:sz w:val="20"/>
                    </w:rPr>
                  </w:pPr>
                  <w:r w:rsidRPr="00A0540A">
                    <w:rPr>
                      <w:sz w:val="20"/>
                    </w:rPr>
                    <w:t>IM injection</w:t>
                  </w:r>
                </w:p>
              </w:tc>
              <w:tc>
                <w:tcPr>
                  <w:tcW w:w="4819" w:type="dxa"/>
                  <w:tcBorders>
                    <w:top w:val="single" w:color="auto" w:sz="4" w:space="0"/>
                    <w:left w:val="single" w:color="auto" w:sz="4" w:space="0"/>
                    <w:bottom w:val="single" w:color="auto" w:sz="4" w:space="0"/>
                    <w:right w:val="single" w:color="auto" w:sz="4" w:space="0"/>
                  </w:tcBorders>
                  <w:vAlign w:val="center"/>
                </w:tcPr>
                <w:p w:rsidRPr="00A0540A" w:rsidR="00293B63" w:rsidP="00131848" w:rsidRDefault="00293B63" w14:paraId="11FE2EB4" w14:textId="77777777">
                  <w:pPr>
                    <w:rPr>
                      <w:sz w:val="20"/>
                    </w:rPr>
                  </w:pPr>
                  <w:r w:rsidRPr="00A0540A">
                    <w:rPr>
                      <w:sz w:val="20"/>
                    </w:rPr>
                    <w:t>50 microgram/kg/dose every 4 hours when required</w:t>
                  </w:r>
                </w:p>
                <w:p w:rsidRPr="00A0540A" w:rsidR="00293B63" w:rsidP="00131848" w:rsidRDefault="00293B63" w14:paraId="5F5269FC" w14:textId="77777777">
                  <w:pPr>
                    <w:rPr>
                      <w:sz w:val="20"/>
                    </w:rPr>
                  </w:pPr>
                  <w:r w:rsidRPr="00A0540A">
                    <w:rPr>
                      <w:sz w:val="20"/>
                    </w:rPr>
                    <w:t>(Dose range: 50–150 microgram/kg/dose)</w:t>
                  </w:r>
                </w:p>
              </w:tc>
            </w:tr>
            <w:tr w:rsidRPr="00A0540A" w:rsidR="00293B63" w:rsidTr="00293B63" w14:paraId="28CE43FF" w14:textId="77777777">
              <w:trPr>
                <w:trHeight w:val="232"/>
              </w:trPr>
              <w:tc>
                <w:tcPr>
                  <w:tcW w:w="2122" w:type="dxa"/>
                  <w:tcBorders>
                    <w:left w:val="single" w:color="auto" w:sz="4" w:space="0"/>
                    <w:right w:val="single" w:color="auto" w:sz="4" w:space="0"/>
                  </w:tcBorders>
                  <w:vAlign w:val="center"/>
                </w:tcPr>
                <w:p w:rsidRPr="00A0540A" w:rsidR="00293B63" w:rsidP="00131848" w:rsidRDefault="00293B63" w14:paraId="06455ECC" w14:textId="77777777">
                  <w:pPr>
                    <w:rPr>
                      <w:sz w:val="20"/>
                    </w:rPr>
                  </w:pPr>
                  <w:r w:rsidRPr="00A0540A">
                    <w:rPr>
                      <w:sz w:val="20"/>
                    </w:rPr>
                    <w:t>Oral</w:t>
                  </w:r>
                </w:p>
              </w:tc>
              <w:tc>
                <w:tcPr>
                  <w:tcW w:w="4819" w:type="dxa"/>
                  <w:tcBorders>
                    <w:top w:val="single" w:color="auto" w:sz="4" w:space="0"/>
                    <w:left w:val="single" w:color="auto" w:sz="4" w:space="0"/>
                    <w:bottom w:val="single" w:color="auto" w:sz="4" w:space="0"/>
                    <w:right w:val="single" w:color="auto" w:sz="4" w:space="0"/>
                  </w:tcBorders>
                  <w:vAlign w:val="center"/>
                </w:tcPr>
                <w:p w:rsidRPr="00A0540A" w:rsidR="00293B63" w:rsidP="00131848" w:rsidRDefault="00293B63" w14:paraId="2E525D33" w14:textId="77777777">
                  <w:pPr>
                    <w:rPr>
                      <w:sz w:val="20"/>
                    </w:rPr>
                  </w:pPr>
                  <w:r w:rsidRPr="00A0540A">
                    <w:rPr>
                      <w:sz w:val="20"/>
                    </w:rPr>
                    <w:t>250 microgram/kg as a single dose</w:t>
                  </w:r>
                </w:p>
              </w:tc>
            </w:tr>
            <w:tr w:rsidRPr="00A0540A" w:rsidR="00293B63" w:rsidTr="00293B63" w14:paraId="7005F74F" w14:textId="77777777">
              <w:trPr>
                <w:trHeight w:val="232"/>
              </w:trPr>
              <w:tc>
                <w:tcPr>
                  <w:tcW w:w="2122" w:type="dxa"/>
                  <w:tcBorders>
                    <w:left w:val="single" w:color="auto" w:sz="4" w:space="0"/>
                    <w:right w:val="single" w:color="auto" w:sz="4" w:space="0"/>
                  </w:tcBorders>
                  <w:vAlign w:val="center"/>
                </w:tcPr>
                <w:p w:rsidRPr="00A0540A" w:rsidR="00293B63" w:rsidP="00131848" w:rsidRDefault="00293B63" w14:paraId="0C1358A5" w14:textId="77777777">
                  <w:pPr>
                    <w:rPr>
                      <w:sz w:val="20"/>
                    </w:rPr>
                  </w:pPr>
                  <w:r w:rsidRPr="00A0540A">
                    <w:rPr>
                      <w:sz w:val="20"/>
                    </w:rPr>
                    <w:t>Sublingual</w:t>
                  </w:r>
                </w:p>
              </w:tc>
              <w:tc>
                <w:tcPr>
                  <w:tcW w:w="4819" w:type="dxa"/>
                  <w:tcBorders>
                    <w:top w:val="single" w:color="auto" w:sz="4" w:space="0"/>
                    <w:left w:val="single" w:color="auto" w:sz="4" w:space="0"/>
                    <w:bottom w:val="single" w:color="auto" w:sz="4" w:space="0"/>
                    <w:right w:val="single" w:color="auto" w:sz="4" w:space="0"/>
                  </w:tcBorders>
                  <w:vAlign w:val="center"/>
                </w:tcPr>
                <w:p w:rsidRPr="00A0540A" w:rsidR="00293B63" w:rsidP="00131848" w:rsidRDefault="00293B63" w14:paraId="5D3C5E99" w14:textId="77777777">
                  <w:pPr>
                    <w:rPr>
                      <w:sz w:val="20"/>
                    </w:rPr>
                  </w:pPr>
                  <w:r w:rsidRPr="00A0540A">
                    <w:rPr>
                      <w:sz w:val="20"/>
                    </w:rPr>
                    <w:t>200 microgram/kg as a single dose</w:t>
                  </w:r>
                </w:p>
              </w:tc>
            </w:tr>
            <w:tr w:rsidRPr="00A0540A" w:rsidR="00293B63" w:rsidTr="00293B63" w14:paraId="42AD785C" w14:textId="77777777">
              <w:trPr>
                <w:trHeight w:val="232"/>
              </w:trPr>
              <w:tc>
                <w:tcPr>
                  <w:tcW w:w="2122" w:type="dxa"/>
                  <w:tcBorders>
                    <w:left w:val="single" w:color="auto" w:sz="4" w:space="0"/>
                    <w:right w:val="single" w:color="auto" w:sz="4" w:space="0"/>
                  </w:tcBorders>
                  <w:vAlign w:val="center"/>
                </w:tcPr>
                <w:p w:rsidRPr="00A0540A" w:rsidR="00293B63" w:rsidP="00131848" w:rsidRDefault="00293B63" w14:paraId="2FED88D6" w14:textId="77777777">
                  <w:pPr>
                    <w:rPr>
                      <w:sz w:val="20"/>
                    </w:rPr>
                  </w:pPr>
                  <w:r w:rsidRPr="00A0540A">
                    <w:rPr>
                      <w:sz w:val="20"/>
                    </w:rPr>
                    <w:t>Intranasal</w:t>
                  </w:r>
                </w:p>
              </w:tc>
              <w:tc>
                <w:tcPr>
                  <w:tcW w:w="4819" w:type="dxa"/>
                  <w:tcBorders>
                    <w:top w:val="single" w:color="auto" w:sz="4" w:space="0"/>
                    <w:left w:val="single" w:color="auto" w:sz="4" w:space="0"/>
                    <w:bottom w:val="single" w:color="auto" w:sz="4" w:space="0"/>
                    <w:right w:val="single" w:color="auto" w:sz="4" w:space="0"/>
                  </w:tcBorders>
                  <w:vAlign w:val="center"/>
                </w:tcPr>
                <w:p w:rsidRPr="00A0540A" w:rsidR="00293B63" w:rsidP="00131848" w:rsidRDefault="00293B63" w14:paraId="46A74C63" w14:textId="77777777">
                  <w:pPr>
                    <w:rPr>
                      <w:sz w:val="20"/>
                    </w:rPr>
                  </w:pPr>
                  <w:r w:rsidRPr="00A0540A">
                    <w:rPr>
                      <w:sz w:val="20"/>
                    </w:rPr>
                    <w:t>200 microgram/kg per dose as a single dose</w:t>
                  </w:r>
                </w:p>
                <w:p w:rsidRPr="00A0540A" w:rsidR="00293B63" w:rsidP="00131848" w:rsidRDefault="00293B63" w14:paraId="1B2A5938" w14:textId="77777777">
                  <w:pPr>
                    <w:rPr>
                      <w:sz w:val="20"/>
                    </w:rPr>
                  </w:pPr>
                  <w:r w:rsidRPr="00A0540A">
                    <w:rPr>
                      <w:sz w:val="20"/>
                    </w:rPr>
                    <w:t xml:space="preserve">(Dose range: 200–300 microgram/kg/dose)  </w:t>
                  </w:r>
                </w:p>
              </w:tc>
            </w:tr>
          </w:tbl>
          <w:p w:rsidRPr="00A0540A" w:rsidR="00293B63" w:rsidP="00131848" w:rsidRDefault="00293B63" w14:paraId="13EF320C" w14:textId="77777777">
            <w:pPr>
              <w:pStyle w:val="BodyText"/>
              <w:ind w:left="720" w:hanging="720"/>
              <w:rPr>
                <w:rFonts w:asciiTheme="minorHAnsi" w:hAnsiTheme="minorHAnsi" w:cstheme="minorHAnsi"/>
                <w:sz w:val="20"/>
              </w:rPr>
            </w:pPr>
          </w:p>
        </w:tc>
      </w:tr>
      <w:tr w:rsidRPr="00A0540A" w:rsidR="00293B63" w:rsidTr="008074AA" w14:paraId="1BD1A15D" w14:textId="77777777">
        <w:trPr>
          <w:trHeight w:val="263"/>
        </w:trPr>
        <w:tc>
          <w:tcPr>
            <w:tcW w:w="850" w:type="pct"/>
          </w:tcPr>
          <w:p w:rsidRPr="00A0540A" w:rsidR="00293B63" w:rsidP="00131848" w:rsidRDefault="00293B63" w14:paraId="2592AAEE" w14:textId="77777777">
            <w:pPr>
              <w:pStyle w:val="BodyText"/>
              <w:rPr>
                <w:rFonts w:asciiTheme="minorHAnsi" w:hAnsiTheme="minorHAnsi" w:cstheme="minorHAnsi"/>
                <w:b/>
                <w:sz w:val="20"/>
              </w:rPr>
            </w:pPr>
            <w:r w:rsidRPr="00A0540A">
              <w:rPr>
                <w:rFonts w:asciiTheme="minorHAnsi" w:hAnsiTheme="minorHAnsi" w:cstheme="minorHAnsi"/>
                <w:b/>
                <w:sz w:val="20"/>
              </w:rPr>
              <w:t>Dose adjustment</w:t>
            </w:r>
          </w:p>
        </w:tc>
        <w:tc>
          <w:tcPr>
            <w:tcW w:w="4150" w:type="pct"/>
          </w:tcPr>
          <w:p w:rsidRPr="00A0540A" w:rsidR="00293B63" w:rsidP="00131848" w:rsidRDefault="00293B63" w14:paraId="06B432F9" w14:textId="77777777">
            <w:pPr>
              <w:pStyle w:val="BodyText"/>
              <w:rPr>
                <w:rFonts w:asciiTheme="minorHAnsi" w:hAnsiTheme="minorHAnsi" w:cstheme="minorHAnsi"/>
                <w:sz w:val="20"/>
              </w:rPr>
            </w:pPr>
            <w:r w:rsidRPr="00A0540A">
              <w:rPr>
                <w:rFonts w:asciiTheme="minorHAnsi" w:hAnsiTheme="minorHAnsi" w:cstheme="minorHAnsi"/>
                <w:sz w:val="20"/>
              </w:rPr>
              <w:t>Therapeutic hypothermia – No dose adjustment is required.(17)</w:t>
            </w:r>
          </w:p>
          <w:p w:rsidRPr="00A0540A" w:rsidR="00293B63" w:rsidP="00131848" w:rsidRDefault="00293B63" w14:paraId="4A142B03" w14:textId="77777777">
            <w:pPr>
              <w:pStyle w:val="BodyText"/>
              <w:rPr>
                <w:rFonts w:asciiTheme="minorHAnsi" w:hAnsiTheme="minorHAnsi" w:cstheme="minorHAnsi"/>
                <w:sz w:val="20"/>
              </w:rPr>
            </w:pPr>
            <w:r w:rsidRPr="00A0540A">
              <w:rPr>
                <w:rFonts w:asciiTheme="minorHAnsi" w:hAnsiTheme="minorHAnsi" w:cstheme="minorHAnsi"/>
                <w:sz w:val="20"/>
              </w:rPr>
              <w:t>ECMO – Increased volume of distribution but reduced renal clearance and accumulation of active metabolites over time. Higher dose may be required in early stages of ECMO. Close monitoring is recommended.(16)</w:t>
            </w:r>
          </w:p>
          <w:p w:rsidRPr="00A0540A" w:rsidR="00293B63" w:rsidP="00131848" w:rsidRDefault="00293B63" w14:paraId="02C2E08B" w14:textId="77777777">
            <w:pPr>
              <w:pStyle w:val="BodyText"/>
              <w:rPr>
                <w:rFonts w:asciiTheme="minorHAnsi" w:hAnsiTheme="minorHAnsi" w:cstheme="minorHAnsi"/>
                <w:sz w:val="20"/>
              </w:rPr>
            </w:pPr>
            <w:r w:rsidRPr="00A0540A">
              <w:rPr>
                <w:rFonts w:asciiTheme="minorHAnsi" w:hAnsiTheme="minorHAnsi" w:cstheme="minorHAnsi"/>
                <w:sz w:val="20"/>
              </w:rPr>
              <w:t>Renal impairment – Limited data to recommend any dose adjustment.</w:t>
            </w:r>
          </w:p>
          <w:p w:rsidRPr="00A0540A" w:rsidR="00293B63" w:rsidP="00131848" w:rsidRDefault="00293B63" w14:paraId="092CEECB" w14:textId="77777777">
            <w:pPr>
              <w:pStyle w:val="BodyText"/>
              <w:rPr>
                <w:rFonts w:asciiTheme="minorHAnsi" w:hAnsiTheme="minorHAnsi" w:cstheme="minorHAnsi"/>
                <w:sz w:val="20"/>
              </w:rPr>
            </w:pPr>
            <w:r w:rsidRPr="00A0540A">
              <w:rPr>
                <w:rFonts w:asciiTheme="minorHAnsi" w:hAnsiTheme="minorHAnsi" w:cstheme="minorHAnsi"/>
                <w:sz w:val="20"/>
              </w:rPr>
              <w:t>Hepatic impairment – For repeated doses and IV infusion, reduction in dosage may be required.</w:t>
            </w:r>
          </w:p>
        </w:tc>
      </w:tr>
      <w:tr w:rsidRPr="00A0540A" w:rsidR="00293B63" w:rsidTr="008074AA" w14:paraId="0EC7F9C9" w14:textId="77777777">
        <w:trPr>
          <w:trHeight w:val="263"/>
        </w:trPr>
        <w:tc>
          <w:tcPr>
            <w:tcW w:w="850" w:type="pct"/>
          </w:tcPr>
          <w:p w:rsidRPr="00A0540A" w:rsidR="00293B63" w:rsidP="00131848" w:rsidRDefault="00293B63" w14:paraId="54283F6C" w14:textId="77777777">
            <w:pPr>
              <w:pStyle w:val="BodyText"/>
              <w:rPr>
                <w:rFonts w:asciiTheme="minorHAnsi" w:hAnsiTheme="minorHAnsi" w:cstheme="minorHAnsi"/>
                <w:b/>
                <w:sz w:val="20"/>
              </w:rPr>
            </w:pPr>
            <w:r w:rsidRPr="00A0540A">
              <w:rPr>
                <w:rFonts w:asciiTheme="minorHAnsi" w:hAnsiTheme="minorHAnsi" w:cstheme="minorHAnsi"/>
                <w:b/>
                <w:sz w:val="20"/>
              </w:rPr>
              <w:t>Maximum dose</w:t>
            </w:r>
          </w:p>
        </w:tc>
        <w:tc>
          <w:tcPr>
            <w:tcW w:w="4150" w:type="pct"/>
          </w:tcPr>
          <w:p w:rsidRPr="00A0540A" w:rsidR="00293B63" w:rsidP="00131848" w:rsidRDefault="00293B63" w14:paraId="2715EA3D" w14:textId="77777777">
            <w:pPr>
              <w:pStyle w:val="BodyText"/>
              <w:rPr>
                <w:rFonts w:asciiTheme="minorHAnsi" w:hAnsiTheme="minorHAnsi" w:cstheme="minorHAnsi"/>
                <w:sz w:val="20"/>
              </w:rPr>
            </w:pPr>
          </w:p>
        </w:tc>
      </w:tr>
      <w:tr w:rsidRPr="00A0540A" w:rsidR="00293B63" w:rsidTr="008074AA" w14:paraId="4E573AC5" w14:textId="77777777">
        <w:trPr>
          <w:trHeight w:val="263"/>
        </w:trPr>
        <w:tc>
          <w:tcPr>
            <w:tcW w:w="850" w:type="pct"/>
          </w:tcPr>
          <w:p w:rsidRPr="00A0540A" w:rsidR="00293B63" w:rsidP="00131848" w:rsidRDefault="00293B63" w14:paraId="28C63C68" w14:textId="77777777">
            <w:pPr>
              <w:pStyle w:val="BodyText"/>
              <w:rPr>
                <w:rFonts w:asciiTheme="minorHAnsi" w:hAnsiTheme="minorHAnsi" w:cstheme="minorHAnsi"/>
                <w:b/>
                <w:bCs/>
                <w:sz w:val="20"/>
              </w:rPr>
            </w:pPr>
            <w:r w:rsidRPr="00A0540A">
              <w:rPr>
                <w:rFonts w:asciiTheme="minorHAnsi" w:hAnsiTheme="minorHAnsi" w:cstheme="minorHAnsi"/>
                <w:b/>
                <w:sz w:val="20"/>
              </w:rPr>
              <w:t>Total cumulative dose</w:t>
            </w:r>
          </w:p>
        </w:tc>
        <w:tc>
          <w:tcPr>
            <w:tcW w:w="4150" w:type="pct"/>
          </w:tcPr>
          <w:p w:rsidRPr="00A0540A" w:rsidR="00293B63" w:rsidP="00131848" w:rsidRDefault="00293B63" w14:paraId="580837F3" w14:textId="77777777">
            <w:pPr>
              <w:pStyle w:val="BodyText"/>
              <w:rPr>
                <w:rFonts w:asciiTheme="minorHAnsi" w:hAnsiTheme="minorHAnsi" w:cstheme="minorHAnsi"/>
                <w:b/>
                <w:sz w:val="20"/>
              </w:rPr>
            </w:pPr>
          </w:p>
        </w:tc>
      </w:tr>
      <w:tr w:rsidRPr="00A0540A" w:rsidR="00293B63" w:rsidTr="008074AA" w14:paraId="72431CEF" w14:textId="77777777">
        <w:trPr>
          <w:trHeight w:val="263"/>
        </w:trPr>
        <w:tc>
          <w:tcPr>
            <w:tcW w:w="850" w:type="pct"/>
          </w:tcPr>
          <w:p w:rsidRPr="00A0540A" w:rsidR="00293B63" w:rsidP="00131848" w:rsidRDefault="00293B63" w14:paraId="03767B13" w14:textId="77777777">
            <w:pPr>
              <w:pStyle w:val="BodyText"/>
              <w:rPr>
                <w:rFonts w:asciiTheme="minorHAnsi" w:hAnsiTheme="minorHAnsi" w:cstheme="minorHAnsi"/>
                <w:sz w:val="20"/>
              </w:rPr>
            </w:pPr>
            <w:r w:rsidRPr="00A0540A">
              <w:rPr>
                <w:rFonts w:asciiTheme="minorHAnsi" w:hAnsiTheme="minorHAnsi" w:cstheme="minorHAnsi"/>
                <w:b/>
                <w:bCs/>
                <w:sz w:val="20"/>
              </w:rPr>
              <w:t>Route</w:t>
            </w:r>
          </w:p>
        </w:tc>
        <w:tc>
          <w:tcPr>
            <w:tcW w:w="4150" w:type="pct"/>
          </w:tcPr>
          <w:p w:rsidRPr="00A0540A" w:rsidR="00293B63" w:rsidP="00131848" w:rsidRDefault="00293B63" w14:paraId="735C43C4" w14:textId="77777777">
            <w:pPr>
              <w:pStyle w:val="BodyText"/>
              <w:rPr>
                <w:rFonts w:cs="Arial"/>
                <w:sz w:val="20"/>
              </w:rPr>
            </w:pPr>
            <w:r w:rsidRPr="00A0540A">
              <w:rPr>
                <w:rFonts w:cs="Arial"/>
                <w:sz w:val="20"/>
              </w:rPr>
              <w:t xml:space="preserve">IV, IM, Oral, Sublingual. </w:t>
            </w:r>
          </w:p>
          <w:p w:rsidRPr="00A0540A" w:rsidR="00293B63" w:rsidP="00131848" w:rsidRDefault="00293B63" w14:paraId="35A0BB6D" w14:textId="77777777">
            <w:pPr>
              <w:pStyle w:val="BodyText"/>
              <w:rPr>
                <w:rFonts w:asciiTheme="minorHAnsi" w:hAnsiTheme="minorHAnsi" w:cstheme="minorHAnsi"/>
                <w:sz w:val="20"/>
              </w:rPr>
            </w:pPr>
            <w:r w:rsidRPr="00A0540A">
              <w:rPr>
                <w:rFonts w:cs="Arial"/>
                <w:sz w:val="20"/>
              </w:rPr>
              <w:t>Intranasal (not recommended due to nasal irritation; only under exceptional circumstances, e.g. acute refractory seizures with no alternate routes feasible).</w:t>
            </w:r>
          </w:p>
        </w:tc>
      </w:tr>
      <w:tr w:rsidRPr="00A0540A" w:rsidR="00293B63" w:rsidTr="008074AA" w14:paraId="6F687705" w14:textId="77777777">
        <w:trPr>
          <w:trHeight w:val="263"/>
        </w:trPr>
        <w:tc>
          <w:tcPr>
            <w:tcW w:w="850" w:type="pct"/>
          </w:tcPr>
          <w:p w:rsidRPr="00A0540A" w:rsidR="00293B63" w:rsidP="00131848" w:rsidRDefault="00293B63" w14:paraId="13BA02F3" w14:textId="77777777">
            <w:pPr>
              <w:pStyle w:val="BodyText"/>
              <w:rPr>
                <w:rFonts w:asciiTheme="minorHAnsi" w:hAnsiTheme="minorHAnsi" w:cstheme="minorHAnsi"/>
                <w:b/>
                <w:bCs/>
                <w:sz w:val="20"/>
              </w:rPr>
            </w:pPr>
            <w:r w:rsidRPr="00A0540A">
              <w:rPr>
                <w:rFonts w:asciiTheme="minorHAnsi" w:hAnsiTheme="minorHAnsi" w:cstheme="minorHAnsi"/>
                <w:b/>
                <w:bCs/>
                <w:sz w:val="20"/>
              </w:rPr>
              <w:t>Preparation</w:t>
            </w:r>
          </w:p>
          <w:p w:rsidRPr="00A0540A" w:rsidR="00293B63" w:rsidP="00131848" w:rsidRDefault="00293B63" w14:paraId="620FDD25" w14:textId="77777777"/>
          <w:p w:rsidRPr="00A0540A" w:rsidR="00293B63" w:rsidP="00131848" w:rsidRDefault="00293B63" w14:paraId="15A3CF7A" w14:textId="77777777"/>
          <w:p w:rsidRPr="00A0540A" w:rsidR="00293B63" w:rsidP="00131848" w:rsidRDefault="00293B63" w14:paraId="485B3889" w14:textId="77777777"/>
          <w:p w:rsidRPr="00A0540A" w:rsidR="00293B63" w:rsidP="00131848" w:rsidRDefault="00293B63" w14:paraId="6E94C8F7" w14:textId="77777777"/>
          <w:p w:rsidRPr="00A0540A" w:rsidR="00293B63" w:rsidP="00131848" w:rsidRDefault="00293B63" w14:paraId="5CEEACD5" w14:textId="77777777"/>
          <w:p w:rsidRPr="00A0540A" w:rsidR="00293B63" w:rsidP="00131848" w:rsidRDefault="00293B63" w14:paraId="4B694005" w14:textId="77777777"/>
          <w:p w:rsidRPr="00A0540A" w:rsidR="00293B63" w:rsidP="00131848" w:rsidRDefault="00293B63" w14:paraId="1FC9D516" w14:textId="77777777"/>
          <w:p w:rsidRPr="00A0540A" w:rsidR="00293B63" w:rsidP="00131848" w:rsidRDefault="00293B63" w14:paraId="1D007B98" w14:textId="77777777"/>
          <w:p w:rsidRPr="00A0540A" w:rsidR="00293B63" w:rsidP="00131848" w:rsidRDefault="00293B63" w14:paraId="36923E73" w14:textId="77777777"/>
          <w:p w:rsidRPr="00A0540A" w:rsidR="00293B63" w:rsidP="00131848" w:rsidRDefault="00293B63" w14:paraId="23729F84" w14:textId="77777777"/>
          <w:p w:rsidRPr="00A0540A" w:rsidR="00293B63" w:rsidP="00131848" w:rsidRDefault="00293B63" w14:paraId="7F5E4757" w14:textId="77777777"/>
          <w:p w:rsidRPr="00A0540A" w:rsidR="00293B63" w:rsidP="00131848" w:rsidRDefault="00293B63" w14:paraId="5EE3E43E" w14:textId="77777777"/>
          <w:p w:rsidRPr="00A0540A" w:rsidR="00293B63" w:rsidP="00131848" w:rsidRDefault="00293B63" w14:paraId="67B8004E" w14:textId="77777777"/>
          <w:p w:rsidRPr="00A0540A" w:rsidR="00293B63" w:rsidP="00131848" w:rsidRDefault="00293B63" w14:paraId="18F08BC0" w14:textId="77777777"/>
          <w:p w:rsidRPr="00A0540A" w:rsidR="00293B63" w:rsidP="00131848" w:rsidRDefault="00293B63" w14:paraId="5F2E0F4D" w14:textId="77777777"/>
          <w:p w:rsidRPr="00A0540A" w:rsidR="00293B63" w:rsidP="00131848" w:rsidRDefault="00293B63" w14:paraId="050DF2EA" w14:textId="77777777"/>
          <w:p w:rsidRPr="00A0540A" w:rsidR="00293B63" w:rsidP="00131848" w:rsidRDefault="00293B63" w14:paraId="032CAABE" w14:textId="77777777"/>
          <w:p w:rsidRPr="00A0540A" w:rsidR="00293B63" w:rsidP="00131848" w:rsidRDefault="00293B63" w14:paraId="639EE32F" w14:textId="77777777"/>
          <w:p w:rsidRPr="00A0540A" w:rsidR="00293B63" w:rsidP="00131848" w:rsidRDefault="00293B63" w14:paraId="617E69B3" w14:textId="77777777"/>
          <w:p w:rsidRPr="00A0540A" w:rsidR="00293B63" w:rsidP="00131848" w:rsidRDefault="00293B63" w14:paraId="49A9F0E3" w14:textId="77777777">
            <w:pPr>
              <w:rPr>
                <w:rFonts w:asciiTheme="minorHAnsi" w:hAnsiTheme="minorHAnsi" w:cstheme="minorHAnsi"/>
                <w:b/>
                <w:bCs/>
                <w:sz w:val="20"/>
              </w:rPr>
            </w:pPr>
          </w:p>
          <w:p w:rsidRPr="00A0540A" w:rsidR="00293B63" w:rsidP="00131848" w:rsidRDefault="00293B63" w14:paraId="178B0DC8" w14:textId="77777777">
            <w:pPr>
              <w:jc w:val="center"/>
              <w:rPr>
                <w:highlight w:val="cyan"/>
              </w:rPr>
            </w:pPr>
          </w:p>
        </w:tc>
        <w:tc>
          <w:tcPr>
            <w:tcW w:w="4150" w:type="pct"/>
          </w:tcPr>
          <w:p w:rsidRPr="00A0540A" w:rsidR="00293B63" w:rsidP="00131848" w:rsidRDefault="00293B63" w14:paraId="4C9C78EA" w14:textId="77777777">
            <w:pPr>
              <w:widowControl w:val="0"/>
              <w:autoSpaceDE w:val="0"/>
              <w:autoSpaceDN w:val="0"/>
              <w:adjustRightInd w:val="0"/>
              <w:rPr>
                <w:b/>
                <w:sz w:val="20"/>
                <w:lang w:val="en-US"/>
              </w:rPr>
            </w:pPr>
            <w:r w:rsidRPr="00A0540A">
              <w:rPr>
                <w:b/>
                <w:sz w:val="20"/>
                <w:lang w:val="en-US"/>
              </w:rPr>
              <w:lastRenderedPageBreak/>
              <w:t xml:space="preserve">IV  </w:t>
            </w:r>
          </w:p>
          <w:p w:rsidRPr="00A0540A" w:rsidR="00293B63" w:rsidP="00131848" w:rsidRDefault="00293B63" w14:paraId="29D778E2" w14:textId="77777777">
            <w:pPr>
              <w:widowControl w:val="0"/>
              <w:autoSpaceDE w:val="0"/>
              <w:autoSpaceDN w:val="0"/>
              <w:adjustRightInd w:val="0"/>
              <w:rPr>
                <w:sz w:val="20"/>
                <w:u w:val="single"/>
                <w:lang w:val="en-US"/>
              </w:rPr>
            </w:pPr>
            <w:r w:rsidRPr="00A0540A">
              <w:rPr>
                <w:b/>
                <w:sz w:val="20"/>
                <w:lang w:val="en-US"/>
              </w:rPr>
              <w:t>Sedation</w:t>
            </w:r>
            <w:r w:rsidRPr="00A0540A">
              <w:rPr>
                <w:sz w:val="20"/>
                <w:u w:val="single"/>
                <w:lang w:val="en-US"/>
              </w:rPr>
              <w:t xml:space="preserve"> using </w:t>
            </w:r>
            <w:r w:rsidRPr="00A0540A">
              <w:rPr>
                <w:b/>
                <w:sz w:val="20"/>
                <w:u w:val="single"/>
                <w:lang w:val="en-US"/>
              </w:rPr>
              <w:t>5 mg/1 mL</w:t>
            </w:r>
            <w:r w:rsidRPr="00A0540A">
              <w:rPr>
                <w:sz w:val="20"/>
                <w:u w:val="single"/>
                <w:lang w:val="en-US"/>
              </w:rPr>
              <w:t xml:space="preserve"> strength</w:t>
            </w:r>
          </w:p>
          <w:p w:rsidRPr="00A0540A" w:rsidR="00293B63" w:rsidP="00131848" w:rsidRDefault="00293B63" w14:paraId="4A4541B4" w14:textId="77777777">
            <w:pPr>
              <w:widowControl w:val="0"/>
              <w:autoSpaceDE w:val="0"/>
              <w:autoSpaceDN w:val="0"/>
              <w:adjustRightInd w:val="0"/>
              <w:rPr>
                <w:sz w:val="20"/>
                <w:u w:val="single"/>
                <w:lang w:val="en-US"/>
              </w:rPr>
            </w:pPr>
          </w:p>
          <w:tbl>
            <w:tblPr>
              <w:tblStyle w:val="TableGrid"/>
              <w:tblW w:w="0" w:type="auto"/>
              <w:tblLook w:val="04A0" w:firstRow="1" w:lastRow="0" w:firstColumn="1" w:lastColumn="0" w:noHBand="0" w:noVBand="1"/>
            </w:tblPr>
            <w:tblGrid>
              <w:gridCol w:w="3715"/>
              <w:gridCol w:w="3827"/>
            </w:tblGrid>
            <w:tr w:rsidRPr="00A0540A" w:rsidR="00293B63" w:rsidTr="00293B63" w14:paraId="2CFB8CC8" w14:textId="77777777">
              <w:tc>
                <w:tcPr>
                  <w:tcW w:w="3715" w:type="dxa"/>
                  <w:vAlign w:val="center"/>
                </w:tcPr>
                <w:p w:rsidRPr="00A0540A" w:rsidR="00293B63" w:rsidP="00131848" w:rsidRDefault="00293B63" w14:paraId="5DF67ACB" w14:textId="77777777">
                  <w:pPr>
                    <w:widowControl w:val="0"/>
                    <w:autoSpaceDE w:val="0"/>
                    <w:autoSpaceDN w:val="0"/>
                    <w:adjustRightInd w:val="0"/>
                    <w:jc w:val="center"/>
                    <w:rPr>
                      <w:sz w:val="20"/>
                      <w:u w:val="single"/>
                      <w:lang w:val="en-US"/>
                    </w:rPr>
                  </w:pPr>
                  <w:r w:rsidRPr="00A0540A">
                    <w:rPr>
                      <w:sz w:val="20"/>
                      <w:u w:val="single"/>
                      <w:lang w:val="en-US"/>
                    </w:rPr>
                    <w:t>Infusion strength</w:t>
                  </w:r>
                </w:p>
              </w:tc>
              <w:tc>
                <w:tcPr>
                  <w:tcW w:w="3827" w:type="dxa"/>
                  <w:vAlign w:val="center"/>
                </w:tcPr>
                <w:p w:rsidRPr="00A0540A" w:rsidR="00293B63" w:rsidP="00131848" w:rsidRDefault="00293B63" w14:paraId="53D1A6DF" w14:textId="77777777">
                  <w:pPr>
                    <w:widowControl w:val="0"/>
                    <w:autoSpaceDE w:val="0"/>
                    <w:autoSpaceDN w:val="0"/>
                    <w:adjustRightInd w:val="0"/>
                    <w:jc w:val="center"/>
                    <w:rPr>
                      <w:sz w:val="20"/>
                      <w:u w:val="single"/>
                      <w:lang w:val="en-US"/>
                    </w:rPr>
                  </w:pPr>
                  <w:r w:rsidRPr="00A0540A">
                    <w:rPr>
                      <w:sz w:val="20"/>
                      <w:u w:val="single"/>
                      <w:lang w:val="en-US"/>
                    </w:rPr>
                    <w:t>Prescribed amount</w:t>
                  </w:r>
                </w:p>
              </w:tc>
            </w:tr>
            <w:tr w:rsidRPr="00A0540A" w:rsidR="00293B63" w:rsidTr="00293B63" w14:paraId="785A096E" w14:textId="77777777">
              <w:trPr>
                <w:trHeight w:val="115"/>
              </w:trPr>
              <w:tc>
                <w:tcPr>
                  <w:tcW w:w="3715" w:type="dxa"/>
                </w:tcPr>
                <w:p w:rsidRPr="00A0540A" w:rsidR="00293B63" w:rsidP="00131848" w:rsidRDefault="00293B63" w14:paraId="4954B158" w14:textId="77777777">
                  <w:pPr>
                    <w:widowControl w:val="0"/>
                    <w:autoSpaceDE w:val="0"/>
                    <w:autoSpaceDN w:val="0"/>
                    <w:adjustRightInd w:val="0"/>
                    <w:rPr>
                      <w:sz w:val="20"/>
                      <w:u w:val="single"/>
                      <w:lang w:val="en-US"/>
                    </w:rPr>
                  </w:pPr>
                  <w:r w:rsidRPr="00A0540A">
                    <w:rPr>
                      <w:sz w:val="20"/>
                      <w:u w:val="single"/>
                      <w:lang w:val="en-US"/>
                    </w:rPr>
                    <w:t>1 mL/hour = 1 microgram/kg/minute</w:t>
                  </w:r>
                </w:p>
              </w:tc>
              <w:tc>
                <w:tcPr>
                  <w:tcW w:w="3827" w:type="dxa"/>
                </w:tcPr>
                <w:p w:rsidRPr="00A0540A" w:rsidR="00293B63" w:rsidP="00131848" w:rsidRDefault="00293B63" w14:paraId="51244AE5" w14:textId="77777777">
                  <w:pPr>
                    <w:widowControl w:val="0"/>
                    <w:autoSpaceDE w:val="0"/>
                    <w:autoSpaceDN w:val="0"/>
                    <w:adjustRightInd w:val="0"/>
                    <w:rPr>
                      <w:sz w:val="20"/>
                      <w:u w:val="single"/>
                      <w:lang w:val="en-US"/>
                    </w:rPr>
                  </w:pPr>
                  <w:r w:rsidRPr="00A0540A">
                    <w:rPr>
                      <w:sz w:val="20"/>
                      <w:u w:val="single"/>
                      <w:lang w:val="en-US"/>
                    </w:rPr>
                    <w:t>3 mg/kg midazolam and make up to 50 mL</w:t>
                  </w:r>
                </w:p>
              </w:tc>
            </w:tr>
          </w:tbl>
          <w:p w:rsidRPr="00A0540A" w:rsidR="00293B63" w:rsidP="00131848" w:rsidRDefault="00293B63" w14:paraId="3128C3C9" w14:textId="77777777">
            <w:pPr>
              <w:widowControl w:val="0"/>
              <w:autoSpaceDE w:val="0"/>
              <w:autoSpaceDN w:val="0"/>
              <w:adjustRightInd w:val="0"/>
              <w:rPr>
                <w:b/>
                <w:sz w:val="20"/>
                <w:lang w:val="en-US"/>
              </w:rPr>
            </w:pPr>
            <w:r w:rsidRPr="00A0540A">
              <w:rPr>
                <w:sz w:val="20"/>
                <w:lang w:val="en-US"/>
              </w:rPr>
              <w:t xml:space="preserve">Draw up 0.6 mL/kg (3 mg/kg of midazolam) and add glucose 5%, glucose 10% or sodium chloride 0.9% to make final volume 50 mL. </w:t>
            </w:r>
            <w:r w:rsidRPr="00A0540A">
              <w:rPr>
                <w:b/>
                <w:sz w:val="20"/>
                <w:lang w:val="en-US"/>
              </w:rPr>
              <w:t>Infuse at a rate of 1 mL/ hour = 1 microgram/kg/minute.</w:t>
            </w:r>
          </w:p>
          <w:p w:rsidRPr="00A0540A" w:rsidR="00293B63" w:rsidP="00131848" w:rsidRDefault="00293B63" w14:paraId="03EBD58F" w14:textId="77777777">
            <w:pPr>
              <w:widowControl w:val="0"/>
              <w:autoSpaceDE w:val="0"/>
              <w:autoSpaceDN w:val="0"/>
              <w:adjustRightInd w:val="0"/>
              <w:rPr>
                <w:sz w:val="20"/>
                <w:u w:val="single"/>
                <w:lang w:val="en-US"/>
              </w:rPr>
            </w:pPr>
          </w:p>
          <w:p w:rsidRPr="00A0540A" w:rsidR="00293B63" w:rsidP="00131848" w:rsidRDefault="00293B63" w14:paraId="096C72C5" w14:textId="77777777">
            <w:pPr>
              <w:widowControl w:val="0"/>
              <w:autoSpaceDE w:val="0"/>
              <w:autoSpaceDN w:val="0"/>
              <w:adjustRightInd w:val="0"/>
              <w:rPr>
                <w:sz w:val="20"/>
                <w:u w:val="single"/>
                <w:lang w:val="en-US"/>
              </w:rPr>
            </w:pPr>
            <w:r w:rsidRPr="00A0540A">
              <w:rPr>
                <w:b/>
                <w:sz w:val="20"/>
                <w:u w:val="single"/>
                <w:lang w:val="en-US"/>
              </w:rPr>
              <w:t>Sedation</w:t>
            </w:r>
            <w:r w:rsidRPr="00A0540A">
              <w:rPr>
                <w:sz w:val="20"/>
                <w:u w:val="single"/>
                <w:lang w:val="en-US"/>
              </w:rPr>
              <w:t xml:space="preserve"> using </w:t>
            </w:r>
            <w:r w:rsidRPr="00A0540A">
              <w:rPr>
                <w:b/>
                <w:sz w:val="20"/>
                <w:u w:val="single"/>
                <w:lang w:val="en-US"/>
              </w:rPr>
              <w:t>5mg/5 mL</w:t>
            </w:r>
            <w:r w:rsidRPr="00A0540A">
              <w:rPr>
                <w:sz w:val="20"/>
                <w:u w:val="single"/>
                <w:lang w:val="en-US"/>
              </w:rPr>
              <w:t xml:space="preserve"> strength</w:t>
            </w:r>
          </w:p>
          <w:p w:rsidRPr="00A0540A" w:rsidR="00293B63" w:rsidP="00131848" w:rsidRDefault="00293B63" w14:paraId="207B9C4D" w14:textId="77777777">
            <w:pPr>
              <w:widowControl w:val="0"/>
              <w:autoSpaceDE w:val="0"/>
              <w:autoSpaceDN w:val="0"/>
              <w:adjustRightInd w:val="0"/>
              <w:rPr>
                <w:sz w:val="20"/>
                <w:u w:val="single"/>
                <w:lang w:val="en-US"/>
              </w:rPr>
            </w:pPr>
          </w:p>
          <w:tbl>
            <w:tblPr>
              <w:tblStyle w:val="TableGrid"/>
              <w:tblW w:w="0" w:type="auto"/>
              <w:tblLook w:val="04A0" w:firstRow="1" w:lastRow="0" w:firstColumn="1" w:lastColumn="0" w:noHBand="0" w:noVBand="1"/>
            </w:tblPr>
            <w:tblGrid>
              <w:gridCol w:w="3715"/>
              <w:gridCol w:w="3827"/>
            </w:tblGrid>
            <w:tr w:rsidRPr="00A0540A" w:rsidR="00293B63" w:rsidTr="00293B63" w14:paraId="4D34D091" w14:textId="77777777">
              <w:tc>
                <w:tcPr>
                  <w:tcW w:w="3715" w:type="dxa"/>
                  <w:vAlign w:val="center"/>
                </w:tcPr>
                <w:p w:rsidRPr="00A0540A" w:rsidR="00293B63" w:rsidP="00131848" w:rsidRDefault="00293B63" w14:paraId="4127FA4F" w14:textId="77777777">
                  <w:pPr>
                    <w:widowControl w:val="0"/>
                    <w:autoSpaceDE w:val="0"/>
                    <w:autoSpaceDN w:val="0"/>
                    <w:adjustRightInd w:val="0"/>
                    <w:jc w:val="center"/>
                    <w:rPr>
                      <w:sz w:val="20"/>
                      <w:u w:val="single"/>
                      <w:lang w:val="en-US"/>
                    </w:rPr>
                  </w:pPr>
                  <w:r w:rsidRPr="00A0540A">
                    <w:rPr>
                      <w:sz w:val="20"/>
                      <w:u w:val="single"/>
                      <w:lang w:val="en-US"/>
                    </w:rPr>
                    <w:lastRenderedPageBreak/>
                    <w:t>Infusion strength</w:t>
                  </w:r>
                </w:p>
              </w:tc>
              <w:tc>
                <w:tcPr>
                  <w:tcW w:w="3827" w:type="dxa"/>
                  <w:vAlign w:val="center"/>
                </w:tcPr>
                <w:p w:rsidRPr="00A0540A" w:rsidR="00293B63" w:rsidP="00131848" w:rsidRDefault="00293B63" w14:paraId="35BA755A" w14:textId="77777777">
                  <w:pPr>
                    <w:widowControl w:val="0"/>
                    <w:autoSpaceDE w:val="0"/>
                    <w:autoSpaceDN w:val="0"/>
                    <w:adjustRightInd w:val="0"/>
                    <w:jc w:val="center"/>
                    <w:rPr>
                      <w:sz w:val="20"/>
                      <w:u w:val="single"/>
                      <w:lang w:val="en-US"/>
                    </w:rPr>
                  </w:pPr>
                  <w:r w:rsidRPr="00A0540A">
                    <w:rPr>
                      <w:sz w:val="20"/>
                      <w:u w:val="single"/>
                      <w:lang w:val="en-US"/>
                    </w:rPr>
                    <w:t>Prescribed amount</w:t>
                  </w:r>
                </w:p>
              </w:tc>
            </w:tr>
            <w:tr w:rsidRPr="00A0540A" w:rsidR="00293B63" w:rsidTr="00293B63" w14:paraId="7FCA566A" w14:textId="77777777">
              <w:tc>
                <w:tcPr>
                  <w:tcW w:w="3715" w:type="dxa"/>
                </w:tcPr>
                <w:p w:rsidRPr="00A0540A" w:rsidR="00293B63" w:rsidP="00131848" w:rsidRDefault="00293B63" w14:paraId="7E322077" w14:textId="77777777">
                  <w:pPr>
                    <w:widowControl w:val="0"/>
                    <w:autoSpaceDE w:val="0"/>
                    <w:autoSpaceDN w:val="0"/>
                    <w:adjustRightInd w:val="0"/>
                    <w:rPr>
                      <w:sz w:val="20"/>
                      <w:u w:val="single"/>
                      <w:lang w:val="en-US"/>
                    </w:rPr>
                  </w:pPr>
                  <w:r w:rsidRPr="00A0540A">
                    <w:rPr>
                      <w:sz w:val="20"/>
                      <w:u w:val="single"/>
                      <w:lang w:val="en-US"/>
                    </w:rPr>
                    <w:t>1 mL/hour = 1 microgram/kg/minute</w:t>
                  </w:r>
                </w:p>
              </w:tc>
              <w:tc>
                <w:tcPr>
                  <w:tcW w:w="3827" w:type="dxa"/>
                </w:tcPr>
                <w:p w:rsidRPr="00A0540A" w:rsidR="00293B63" w:rsidP="00131848" w:rsidRDefault="00293B63" w14:paraId="6414749B" w14:textId="77777777">
                  <w:pPr>
                    <w:widowControl w:val="0"/>
                    <w:autoSpaceDE w:val="0"/>
                    <w:autoSpaceDN w:val="0"/>
                    <w:adjustRightInd w:val="0"/>
                    <w:rPr>
                      <w:sz w:val="20"/>
                      <w:u w:val="single"/>
                      <w:lang w:val="en-US"/>
                    </w:rPr>
                  </w:pPr>
                  <w:r w:rsidRPr="00A0540A">
                    <w:rPr>
                      <w:sz w:val="20"/>
                      <w:u w:val="single"/>
                      <w:lang w:val="en-US"/>
                    </w:rPr>
                    <w:t>3 mg/kg midazolam and make up to 50 mL</w:t>
                  </w:r>
                </w:p>
              </w:tc>
            </w:tr>
          </w:tbl>
          <w:p w:rsidRPr="00A0540A" w:rsidR="00293B63" w:rsidP="00131848" w:rsidRDefault="00293B63" w14:paraId="1062273B" w14:textId="77777777">
            <w:pPr>
              <w:widowControl w:val="0"/>
              <w:autoSpaceDE w:val="0"/>
              <w:autoSpaceDN w:val="0"/>
              <w:adjustRightInd w:val="0"/>
              <w:rPr>
                <w:b/>
                <w:sz w:val="20"/>
                <w:lang w:val="en-US"/>
              </w:rPr>
            </w:pPr>
            <w:r w:rsidRPr="00A0540A">
              <w:rPr>
                <w:sz w:val="20"/>
                <w:u w:val="single"/>
                <w:lang w:val="en-US"/>
              </w:rPr>
              <w:t>D</w:t>
            </w:r>
            <w:r w:rsidRPr="00A0540A">
              <w:rPr>
                <w:sz w:val="20"/>
                <w:lang w:val="en-US"/>
              </w:rPr>
              <w:t xml:space="preserve">raw up 3 mL/kg (3 mg/kg of midazolam) and add glucose 5%, glucose 10% or sodium chloride 0.9% to make final volume 50 mL. </w:t>
            </w:r>
            <w:r w:rsidRPr="00A0540A">
              <w:rPr>
                <w:b/>
                <w:sz w:val="20"/>
                <w:lang w:val="en-US"/>
              </w:rPr>
              <w:t>Infuse at a rate of 1 mL/ hour = 1 microgram/kg/minute.</w:t>
            </w:r>
          </w:p>
          <w:p w:rsidRPr="00A0540A" w:rsidR="00293B63" w:rsidP="00131848" w:rsidRDefault="00293B63" w14:paraId="2087CCB1" w14:textId="77777777">
            <w:pPr>
              <w:widowControl w:val="0"/>
              <w:autoSpaceDE w:val="0"/>
              <w:autoSpaceDN w:val="0"/>
              <w:adjustRightInd w:val="0"/>
              <w:rPr>
                <w:b/>
                <w:sz w:val="20"/>
                <w:lang w:val="en-US"/>
              </w:rPr>
            </w:pPr>
          </w:p>
          <w:p w:rsidRPr="00A0540A" w:rsidR="00293B63" w:rsidP="00131848" w:rsidRDefault="00293B63" w14:paraId="14C45601" w14:textId="77777777">
            <w:pPr>
              <w:widowControl w:val="0"/>
              <w:autoSpaceDE w:val="0"/>
              <w:autoSpaceDN w:val="0"/>
              <w:adjustRightInd w:val="0"/>
              <w:rPr>
                <w:b/>
                <w:sz w:val="20"/>
                <w:lang w:val="en-US"/>
              </w:rPr>
            </w:pPr>
            <w:r w:rsidRPr="00A0540A">
              <w:rPr>
                <w:b/>
                <w:sz w:val="20"/>
                <w:lang w:val="en-US"/>
              </w:rPr>
              <w:t>Seizures</w:t>
            </w:r>
            <w:r w:rsidRPr="00A0540A">
              <w:rPr>
                <w:sz w:val="20"/>
                <w:u w:val="single"/>
                <w:lang w:val="en-US"/>
              </w:rPr>
              <w:t xml:space="preserve"> using </w:t>
            </w:r>
            <w:r w:rsidRPr="00A0540A">
              <w:rPr>
                <w:b/>
                <w:sz w:val="20"/>
                <w:u w:val="single"/>
                <w:lang w:val="en-US"/>
              </w:rPr>
              <w:t>5 mg/1 mL</w:t>
            </w:r>
            <w:r w:rsidRPr="00A0540A">
              <w:rPr>
                <w:sz w:val="20"/>
                <w:u w:val="single"/>
                <w:lang w:val="en-US"/>
              </w:rPr>
              <w:t xml:space="preserve"> strength</w:t>
            </w:r>
          </w:p>
          <w:p w:rsidRPr="00A0540A" w:rsidR="00293B63" w:rsidP="00131848" w:rsidRDefault="00293B63" w14:paraId="4B242494" w14:textId="77777777">
            <w:pPr>
              <w:widowControl w:val="0"/>
              <w:autoSpaceDE w:val="0"/>
              <w:autoSpaceDN w:val="0"/>
              <w:adjustRightInd w:val="0"/>
              <w:rPr>
                <w:b/>
                <w:sz w:val="20"/>
                <w:lang w:val="en-US"/>
              </w:rPr>
            </w:pPr>
          </w:p>
          <w:tbl>
            <w:tblPr>
              <w:tblStyle w:val="TableGrid"/>
              <w:tblW w:w="0" w:type="auto"/>
              <w:tblLook w:val="04A0" w:firstRow="1" w:lastRow="0" w:firstColumn="1" w:lastColumn="0" w:noHBand="0" w:noVBand="1"/>
            </w:tblPr>
            <w:tblGrid>
              <w:gridCol w:w="3715"/>
              <w:gridCol w:w="3827"/>
            </w:tblGrid>
            <w:tr w:rsidRPr="00A0540A" w:rsidR="00293B63" w:rsidTr="00293B63" w14:paraId="6B63ED44" w14:textId="77777777">
              <w:tc>
                <w:tcPr>
                  <w:tcW w:w="3715" w:type="dxa"/>
                  <w:vAlign w:val="center"/>
                </w:tcPr>
                <w:p w:rsidRPr="00A0540A" w:rsidR="00293B63" w:rsidP="00131848" w:rsidRDefault="00293B63" w14:paraId="449C0ECB" w14:textId="77777777">
                  <w:pPr>
                    <w:widowControl w:val="0"/>
                    <w:autoSpaceDE w:val="0"/>
                    <w:autoSpaceDN w:val="0"/>
                    <w:adjustRightInd w:val="0"/>
                    <w:jc w:val="center"/>
                    <w:rPr>
                      <w:sz w:val="20"/>
                      <w:u w:val="single"/>
                      <w:lang w:val="en-US"/>
                    </w:rPr>
                  </w:pPr>
                  <w:r w:rsidRPr="00A0540A">
                    <w:rPr>
                      <w:sz w:val="20"/>
                      <w:u w:val="single"/>
                      <w:lang w:val="en-US"/>
                    </w:rPr>
                    <w:t>Infusion strength</w:t>
                  </w:r>
                </w:p>
              </w:tc>
              <w:tc>
                <w:tcPr>
                  <w:tcW w:w="3827" w:type="dxa"/>
                  <w:vAlign w:val="center"/>
                </w:tcPr>
                <w:p w:rsidRPr="00A0540A" w:rsidR="00293B63" w:rsidP="00131848" w:rsidRDefault="00293B63" w14:paraId="31F05119" w14:textId="77777777">
                  <w:pPr>
                    <w:widowControl w:val="0"/>
                    <w:autoSpaceDE w:val="0"/>
                    <w:autoSpaceDN w:val="0"/>
                    <w:adjustRightInd w:val="0"/>
                    <w:jc w:val="center"/>
                    <w:rPr>
                      <w:sz w:val="20"/>
                      <w:u w:val="single"/>
                      <w:lang w:val="en-US"/>
                    </w:rPr>
                  </w:pPr>
                  <w:r w:rsidRPr="00A0540A">
                    <w:rPr>
                      <w:sz w:val="20"/>
                      <w:u w:val="single"/>
                      <w:lang w:val="en-US"/>
                    </w:rPr>
                    <w:t>Prescribed amount</w:t>
                  </w:r>
                </w:p>
              </w:tc>
            </w:tr>
            <w:tr w:rsidRPr="00A0540A" w:rsidR="00293B63" w:rsidTr="00293B63" w14:paraId="48358672" w14:textId="77777777">
              <w:tc>
                <w:tcPr>
                  <w:tcW w:w="3715" w:type="dxa"/>
                </w:tcPr>
                <w:p w:rsidRPr="00A0540A" w:rsidR="00293B63" w:rsidP="00131848" w:rsidRDefault="00293B63" w14:paraId="73924AF4" w14:textId="77777777">
                  <w:pPr>
                    <w:widowControl w:val="0"/>
                    <w:autoSpaceDE w:val="0"/>
                    <w:autoSpaceDN w:val="0"/>
                    <w:adjustRightInd w:val="0"/>
                    <w:rPr>
                      <w:sz w:val="20"/>
                      <w:u w:val="single"/>
                      <w:lang w:val="en-US"/>
                    </w:rPr>
                  </w:pPr>
                  <w:r w:rsidRPr="00A0540A">
                    <w:rPr>
                      <w:sz w:val="20"/>
                      <w:u w:val="single"/>
                      <w:lang w:val="en-US"/>
                    </w:rPr>
                    <w:t>1 mL/hour = 5 microgram/kg/minute</w:t>
                  </w:r>
                </w:p>
              </w:tc>
              <w:tc>
                <w:tcPr>
                  <w:tcW w:w="3827" w:type="dxa"/>
                </w:tcPr>
                <w:p w:rsidRPr="00A0540A" w:rsidR="00293B63" w:rsidP="00131848" w:rsidRDefault="00293B63" w14:paraId="4E525938" w14:textId="77777777">
                  <w:pPr>
                    <w:widowControl w:val="0"/>
                    <w:autoSpaceDE w:val="0"/>
                    <w:autoSpaceDN w:val="0"/>
                    <w:adjustRightInd w:val="0"/>
                    <w:rPr>
                      <w:sz w:val="20"/>
                      <w:u w:val="single"/>
                      <w:lang w:val="en-US"/>
                    </w:rPr>
                  </w:pPr>
                  <w:r w:rsidRPr="00A0540A">
                    <w:rPr>
                      <w:sz w:val="20"/>
                      <w:u w:val="single"/>
                      <w:lang w:val="en-US"/>
                    </w:rPr>
                    <w:t>15 mg/kg midazolam and make up to 50mL</w:t>
                  </w:r>
                </w:p>
              </w:tc>
            </w:tr>
          </w:tbl>
          <w:p w:rsidRPr="00A0540A" w:rsidR="00293B63" w:rsidP="00131848" w:rsidRDefault="00293B63" w14:paraId="487399BB" w14:textId="77777777">
            <w:pPr>
              <w:widowControl w:val="0"/>
              <w:autoSpaceDE w:val="0"/>
              <w:autoSpaceDN w:val="0"/>
              <w:adjustRightInd w:val="0"/>
              <w:rPr>
                <w:b/>
                <w:sz w:val="20"/>
                <w:lang w:val="en-US"/>
              </w:rPr>
            </w:pPr>
            <w:r w:rsidRPr="00A0540A">
              <w:rPr>
                <w:sz w:val="20"/>
                <w:lang w:val="en-US"/>
              </w:rPr>
              <w:t xml:space="preserve">Draw up 3 mL/kg (15 mg/kg of midazolam) and add glucose 5%, glucose 10% or sodium chloride 0.9% to make final volume 50 mL. </w:t>
            </w:r>
            <w:r w:rsidRPr="00A0540A">
              <w:rPr>
                <w:b/>
                <w:sz w:val="20"/>
                <w:lang w:val="en-US"/>
              </w:rPr>
              <w:t xml:space="preserve">Infuse at a rate of 1 mL/hour = 5 microgram/kg/minute. </w:t>
            </w:r>
          </w:p>
          <w:p w:rsidRPr="00A0540A" w:rsidR="00293B63" w:rsidP="00131848" w:rsidRDefault="00293B63" w14:paraId="15DD7E5E" w14:textId="77777777">
            <w:pPr>
              <w:widowControl w:val="0"/>
              <w:autoSpaceDE w:val="0"/>
              <w:autoSpaceDN w:val="0"/>
              <w:adjustRightInd w:val="0"/>
              <w:rPr>
                <w:b/>
                <w:sz w:val="20"/>
                <w:lang w:val="en-US"/>
              </w:rPr>
            </w:pPr>
          </w:p>
          <w:p w:rsidRPr="00A0540A" w:rsidR="00293B63" w:rsidP="00131848" w:rsidRDefault="00293B63" w14:paraId="6D45910C" w14:textId="77777777">
            <w:pPr>
              <w:widowControl w:val="0"/>
              <w:autoSpaceDE w:val="0"/>
              <w:autoSpaceDN w:val="0"/>
              <w:adjustRightInd w:val="0"/>
              <w:rPr>
                <w:b/>
                <w:sz w:val="20"/>
                <w:u w:val="single"/>
                <w:lang w:val="en-US"/>
              </w:rPr>
            </w:pPr>
            <w:r w:rsidRPr="00A0540A">
              <w:rPr>
                <w:b/>
                <w:sz w:val="20"/>
                <w:lang w:val="en-US"/>
              </w:rPr>
              <w:t>Seizures</w:t>
            </w:r>
            <w:r w:rsidRPr="00A0540A">
              <w:rPr>
                <w:sz w:val="20"/>
                <w:u w:val="single"/>
                <w:lang w:val="en-US"/>
              </w:rPr>
              <w:t xml:space="preserve"> using </w:t>
            </w:r>
            <w:r w:rsidRPr="00A0540A">
              <w:rPr>
                <w:b/>
                <w:sz w:val="20"/>
                <w:u w:val="single"/>
                <w:lang w:val="en-US"/>
              </w:rPr>
              <w:t>5 mg/5 mL strength (not to be used for babies over 3.3 Kg)</w:t>
            </w:r>
          </w:p>
          <w:p w:rsidRPr="00A0540A" w:rsidR="00293B63" w:rsidP="00131848" w:rsidRDefault="00293B63" w14:paraId="20DA5C58" w14:textId="77777777">
            <w:pPr>
              <w:widowControl w:val="0"/>
              <w:autoSpaceDE w:val="0"/>
              <w:autoSpaceDN w:val="0"/>
              <w:adjustRightInd w:val="0"/>
              <w:rPr>
                <w:b/>
                <w:sz w:val="20"/>
                <w:lang w:val="en-US"/>
              </w:rPr>
            </w:pPr>
          </w:p>
          <w:tbl>
            <w:tblPr>
              <w:tblStyle w:val="TableGrid"/>
              <w:tblW w:w="0" w:type="auto"/>
              <w:tblLook w:val="04A0" w:firstRow="1" w:lastRow="0" w:firstColumn="1" w:lastColumn="0" w:noHBand="0" w:noVBand="1"/>
            </w:tblPr>
            <w:tblGrid>
              <w:gridCol w:w="3715"/>
              <w:gridCol w:w="3827"/>
            </w:tblGrid>
            <w:tr w:rsidRPr="00A0540A" w:rsidR="00293B63" w:rsidTr="00293B63" w14:paraId="031E563A" w14:textId="77777777">
              <w:tc>
                <w:tcPr>
                  <w:tcW w:w="3715" w:type="dxa"/>
                  <w:vAlign w:val="center"/>
                </w:tcPr>
                <w:p w:rsidRPr="00A0540A" w:rsidR="00293B63" w:rsidP="00131848" w:rsidRDefault="00293B63" w14:paraId="74154D7E" w14:textId="77777777">
                  <w:pPr>
                    <w:widowControl w:val="0"/>
                    <w:autoSpaceDE w:val="0"/>
                    <w:autoSpaceDN w:val="0"/>
                    <w:adjustRightInd w:val="0"/>
                    <w:jc w:val="center"/>
                    <w:rPr>
                      <w:sz w:val="20"/>
                      <w:u w:val="single"/>
                      <w:lang w:val="en-US"/>
                    </w:rPr>
                  </w:pPr>
                  <w:r w:rsidRPr="00A0540A">
                    <w:rPr>
                      <w:sz w:val="20"/>
                      <w:u w:val="single"/>
                      <w:lang w:val="en-US"/>
                    </w:rPr>
                    <w:t>Infusion strength</w:t>
                  </w:r>
                </w:p>
              </w:tc>
              <w:tc>
                <w:tcPr>
                  <w:tcW w:w="3827" w:type="dxa"/>
                  <w:vAlign w:val="center"/>
                </w:tcPr>
                <w:p w:rsidRPr="00A0540A" w:rsidR="00293B63" w:rsidP="00131848" w:rsidRDefault="00293B63" w14:paraId="704ADD72" w14:textId="77777777">
                  <w:pPr>
                    <w:widowControl w:val="0"/>
                    <w:autoSpaceDE w:val="0"/>
                    <w:autoSpaceDN w:val="0"/>
                    <w:adjustRightInd w:val="0"/>
                    <w:jc w:val="center"/>
                    <w:rPr>
                      <w:sz w:val="20"/>
                      <w:u w:val="single"/>
                      <w:lang w:val="en-US"/>
                    </w:rPr>
                  </w:pPr>
                  <w:r w:rsidRPr="00A0540A">
                    <w:rPr>
                      <w:sz w:val="20"/>
                      <w:u w:val="single"/>
                      <w:lang w:val="en-US"/>
                    </w:rPr>
                    <w:t>Prescribed amount</w:t>
                  </w:r>
                </w:p>
              </w:tc>
            </w:tr>
            <w:tr w:rsidRPr="00A0540A" w:rsidR="00293B63" w:rsidTr="00293B63" w14:paraId="00CDEEE0" w14:textId="77777777">
              <w:tc>
                <w:tcPr>
                  <w:tcW w:w="3715" w:type="dxa"/>
                </w:tcPr>
                <w:p w:rsidRPr="00A0540A" w:rsidR="00293B63" w:rsidP="00131848" w:rsidRDefault="00293B63" w14:paraId="3DDEB3A1" w14:textId="77777777">
                  <w:pPr>
                    <w:widowControl w:val="0"/>
                    <w:autoSpaceDE w:val="0"/>
                    <w:autoSpaceDN w:val="0"/>
                    <w:adjustRightInd w:val="0"/>
                    <w:rPr>
                      <w:sz w:val="20"/>
                      <w:u w:val="single"/>
                      <w:lang w:val="en-US"/>
                    </w:rPr>
                  </w:pPr>
                  <w:r w:rsidRPr="00A0540A">
                    <w:rPr>
                      <w:sz w:val="20"/>
                      <w:u w:val="single"/>
                      <w:lang w:val="en-US"/>
                    </w:rPr>
                    <w:t>1 mL/hour = 5 microgram/kg/minute</w:t>
                  </w:r>
                </w:p>
              </w:tc>
              <w:tc>
                <w:tcPr>
                  <w:tcW w:w="3827" w:type="dxa"/>
                </w:tcPr>
                <w:p w:rsidRPr="00A0540A" w:rsidR="00293B63" w:rsidP="00131848" w:rsidRDefault="00293B63" w14:paraId="239E090D" w14:textId="77777777">
                  <w:pPr>
                    <w:widowControl w:val="0"/>
                    <w:autoSpaceDE w:val="0"/>
                    <w:autoSpaceDN w:val="0"/>
                    <w:adjustRightInd w:val="0"/>
                    <w:rPr>
                      <w:sz w:val="20"/>
                      <w:u w:val="single"/>
                      <w:lang w:val="en-US"/>
                    </w:rPr>
                  </w:pPr>
                  <w:r w:rsidRPr="00A0540A">
                    <w:rPr>
                      <w:sz w:val="20"/>
                      <w:u w:val="single"/>
                      <w:lang w:val="en-US"/>
                    </w:rPr>
                    <w:t>15 mg/kg midazolam and make up to 50mL</w:t>
                  </w:r>
                </w:p>
              </w:tc>
            </w:tr>
          </w:tbl>
          <w:p w:rsidRPr="00A0540A" w:rsidR="00293B63" w:rsidP="00131848" w:rsidRDefault="00293B63" w14:paraId="7751AEDC" w14:textId="77777777">
            <w:pPr>
              <w:widowControl w:val="0"/>
              <w:autoSpaceDE w:val="0"/>
              <w:autoSpaceDN w:val="0"/>
              <w:adjustRightInd w:val="0"/>
              <w:rPr>
                <w:b/>
                <w:sz w:val="20"/>
                <w:lang w:val="en-US"/>
              </w:rPr>
            </w:pPr>
            <w:r w:rsidRPr="00A0540A">
              <w:rPr>
                <w:sz w:val="20"/>
                <w:lang w:val="en-US"/>
              </w:rPr>
              <w:t xml:space="preserve">Draw up 15 mL/kg (15 mg/kg of midazolam) and add glucose 5%, glucose 10% or sodium chloride 0.9% to make final volume 50 mL. </w:t>
            </w:r>
            <w:r w:rsidRPr="00A0540A">
              <w:rPr>
                <w:b/>
                <w:sz w:val="20"/>
                <w:lang w:val="en-US"/>
              </w:rPr>
              <w:t>Infuse at a rate of 1 mL/hour = 5 microgram/kg/minute.</w:t>
            </w:r>
          </w:p>
          <w:p w:rsidRPr="00A0540A" w:rsidR="00293B63" w:rsidP="00131848" w:rsidRDefault="00293B63" w14:paraId="13AE2390" w14:textId="77777777">
            <w:pPr>
              <w:widowControl w:val="0"/>
              <w:autoSpaceDE w:val="0"/>
              <w:autoSpaceDN w:val="0"/>
              <w:adjustRightInd w:val="0"/>
              <w:rPr>
                <w:sz w:val="20"/>
                <w:lang w:val="en-US"/>
              </w:rPr>
            </w:pPr>
          </w:p>
          <w:p w:rsidRPr="00A0540A" w:rsidR="00293B63" w:rsidP="00131848" w:rsidRDefault="00293B63" w14:paraId="1A971113" w14:textId="77777777">
            <w:pPr>
              <w:widowControl w:val="0"/>
              <w:autoSpaceDE w:val="0"/>
              <w:autoSpaceDN w:val="0"/>
              <w:adjustRightInd w:val="0"/>
              <w:rPr>
                <w:sz w:val="20"/>
                <w:lang w:val="en-US"/>
              </w:rPr>
            </w:pPr>
            <w:r w:rsidRPr="00A0540A">
              <w:rPr>
                <w:b/>
                <w:sz w:val="20"/>
                <w:lang w:val="en-US"/>
              </w:rPr>
              <w:t>IV bolus, IM, oral, sublingual and intranasal</w:t>
            </w:r>
          </w:p>
          <w:p w:rsidRPr="00A0540A" w:rsidR="00293B63" w:rsidP="00131848" w:rsidRDefault="00293B63" w14:paraId="3076BD80" w14:textId="77777777">
            <w:pPr>
              <w:widowControl w:val="0"/>
              <w:autoSpaceDE w:val="0"/>
              <w:autoSpaceDN w:val="0"/>
              <w:adjustRightInd w:val="0"/>
              <w:rPr>
                <w:sz w:val="20"/>
                <w:lang w:val="en-US"/>
              </w:rPr>
            </w:pPr>
            <w:r w:rsidRPr="00A0540A">
              <w:rPr>
                <w:sz w:val="20"/>
                <w:u w:val="single"/>
                <w:lang w:val="en-US"/>
              </w:rPr>
              <w:t>Using 5 mg/mL ampoule,</w:t>
            </w:r>
            <w:r w:rsidRPr="00A0540A">
              <w:rPr>
                <w:sz w:val="20"/>
                <w:lang w:val="en-US"/>
              </w:rPr>
              <w:t xml:space="preserve"> draw up 0.4 mL (2000 microgram of midazolam) and add 9.6 mL of sodium chloride 0.9% to make final volume of 10 mL with a concentration of 200 microgram/mL. </w:t>
            </w:r>
          </w:p>
          <w:p w:rsidRPr="00A0540A" w:rsidR="00293B63" w:rsidP="00131848" w:rsidRDefault="00293B63" w14:paraId="5650A8CC" w14:textId="77777777">
            <w:pPr>
              <w:pStyle w:val="BodyText"/>
              <w:rPr>
                <w:rFonts w:asciiTheme="minorHAnsi" w:hAnsiTheme="minorHAnsi" w:cstheme="minorHAnsi"/>
                <w:sz w:val="20"/>
              </w:rPr>
            </w:pPr>
            <w:r w:rsidRPr="00A0540A">
              <w:rPr>
                <w:sz w:val="20"/>
                <w:u w:val="single"/>
                <w:lang w:val="en-US"/>
              </w:rPr>
              <w:t>Using 5 mg/5mL ampoule</w:t>
            </w:r>
            <w:r w:rsidRPr="00A0540A">
              <w:rPr>
                <w:sz w:val="20"/>
                <w:lang w:val="en-US"/>
              </w:rPr>
              <w:t>, draw up 1 mL (1000 microgram of midazolam) and add 4 mL of sodium chloride 0.9% to make final volume of 5 mL with a concentration of 200 microgram/mL.</w:t>
            </w:r>
          </w:p>
        </w:tc>
      </w:tr>
      <w:tr w:rsidRPr="00A0540A" w:rsidR="00293B63" w:rsidTr="008074AA" w14:paraId="6BB2A217" w14:textId="77777777">
        <w:trPr>
          <w:trHeight w:val="263"/>
        </w:trPr>
        <w:tc>
          <w:tcPr>
            <w:tcW w:w="850" w:type="pct"/>
          </w:tcPr>
          <w:p w:rsidRPr="00A0540A" w:rsidR="00293B63" w:rsidP="00131848" w:rsidRDefault="00293B63" w14:paraId="15AADDA6" w14:textId="77777777">
            <w:pPr>
              <w:pStyle w:val="BodyText"/>
              <w:rPr>
                <w:rFonts w:asciiTheme="minorHAnsi" w:hAnsiTheme="minorHAnsi" w:cstheme="minorHAnsi"/>
                <w:b/>
                <w:bCs/>
                <w:sz w:val="20"/>
              </w:rPr>
            </w:pPr>
            <w:r w:rsidRPr="00A0540A">
              <w:rPr>
                <w:rFonts w:asciiTheme="minorHAnsi" w:hAnsiTheme="minorHAnsi" w:cstheme="minorHAnsi"/>
                <w:b/>
                <w:bCs/>
                <w:sz w:val="20"/>
              </w:rPr>
              <w:lastRenderedPageBreak/>
              <w:t>Administration</w:t>
            </w:r>
          </w:p>
        </w:tc>
        <w:tc>
          <w:tcPr>
            <w:tcW w:w="4150" w:type="pct"/>
          </w:tcPr>
          <w:p w:rsidRPr="00A0540A" w:rsidR="00293B63" w:rsidP="00131848" w:rsidRDefault="00293B63" w14:paraId="5705F342" w14:textId="77777777">
            <w:pPr>
              <w:pStyle w:val="BodyText"/>
              <w:rPr>
                <w:rFonts w:cs="Arial"/>
                <w:sz w:val="20"/>
              </w:rPr>
            </w:pPr>
            <w:r w:rsidRPr="00A0540A">
              <w:rPr>
                <w:rFonts w:cs="Arial"/>
                <w:sz w:val="20"/>
              </w:rPr>
              <w:t>IV infusion: continuous infusion via a syringe pump. Change solution every 24 hours.</w:t>
            </w:r>
          </w:p>
          <w:p w:rsidRPr="00A0540A" w:rsidR="00293B63" w:rsidP="00131848" w:rsidRDefault="00293B63" w14:paraId="1A520F88" w14:textId="77777777">
            <w:pPr>
              <w:pStyle w:val="BodyText"/>
              <w:rPr>
                <w:rFonts w:cs="Arial"/>
                <w:sz w:val="20"/>
              </w:rPr>
            </w:pPr>
            <w:r w:rsidRPr="00A0540A">
              <w:rPr>
                <w:rFonts w:cs="Arial"/>
                <w:sz w:val="20"/>
              </w:rPr>
              <w:t>IV bolus: slow push over 10 minutes.</w:t>
            </w:r>
            <w:r w:rsidRPr="00A0540A">
              <w:rPr>
                <w:rFonts w:cs="Arial"/>
                <w:sz w:val="20"/>
                <w:vertAlign w:val="superscript"/>
              </w:rPr>
              <w:t>9</w:t>
            </w:r>
          </w:p>
          <w:p w:rsidRPr="00A0540A" w:rsidR="00293B63" w:rsidP="00131848" w:rsidRDefault="00293B63" w14:paraId="592AA51A" w14:textId="77777777">
            <w:pPr>
              <w:pStyle w:val="BodyText"/>
              <w:rPr>
                <w:rFonts w:cs="Arial"/>
                <w:sz w:val="20"/>
              </w:rPr>
            </w:pPr>
            <w:r w:rsidRPr="00A0540A">
              <w:rPr>
                <w:rFonts w:cs="Arial"/>
                <w:sz w:val="20"/>
              </w:rPr>
              <w:t xml:space="preserve">Oral, sublingual: Plastic IV ampoules may be used for oral or sublingual administration. </w:t>
            </w:r>
          </w:p>
          <w:p w:rsidRPr="00A0540A" w:rsidR="00293B63" w:rsidP="00131848" w:rsidRDefault="00293B63" w14:paraId="540CC856" w14:textId="77777777">
            <w:pPr>
              <w:pStyle w:val="BodyText"/>
              <w:rPr>
                <w:rFonts w:cs="Arial"/>
                <w:sz w:val="20"/>
              </w:rPr>
            </w:pPr>
            <w:r w:rsidRPr="00A0540A">
              <w:rPr>
                <w:rFonts w:cs="Arial"/>
                <w:sz w:val="20"/>
              </w:rPr>
              <w:t>Intranasal: IV ampoules may be used for intranasal administration. Drop dose into alternating nostrils over 15 seconds. Absorption is rapid; maximum effect in 10 minutes and duration up to 2 hours. May be irritating to nasal mucosa.</w:t>
            </w:r>
          </w:p>
          <w:p w:rsidRPr="00A0540A" w:rsidR="00293B63" w:rsidP="00131848" w:rsidRDefault="00293B63" w14:paraId="096E68AE" w14:textId="77777777">
            <w:pPr>
              <w:pStyle w:val="BodyText"/>
              <w:rPr>
                <w:rFonts w:asciiTheme="minorHAnsi" w:hAnsiTheme="minorHAnsi" w:cstheme="minorHAnsi"/>
                <w:sz w:val="20"/>
              </w:rPr>
            </w:pPr>
            <w:r w:rsidRPr="00A0540A">
              <w:rPr>
                <w:rFonts w:cs="Helvetica"/>
                <w:sz w:val="20"/>
              </w:rPr>
              <w:t>IM: Inject deep into a large muscle.</w:t>
            </w:r>
          </w:p>
        </w:tc>
      </w:tr>
      <w:tr w:rsidRPr="00A0540A" w:rsidR="00293B63" w:rsidTr="008074AA" w14:paraId="20D54EEA" w14:textId="77777777">
        <w:trPr>
          <w:trHeight w:val="263"/>
        </w:trPr>
        <w:tc>
          <w:tcPr>
            <w:tcW w:w="850" w:type="pct"/>
          </w:tcPr>
          <w:p w:rsidRPr="00A0540A" w:rsidR="00293B63" w:rsidP="00131848" w:rsidRDefault="00293B63" w14:paraId="3F01461D" w14:textId="77777777">
            <w:pPr>
              <w:pStyle w:val="BodyText"/>
              <w:rPr>
                <w:rFonts w:asciiTheme="minorHAnsi" w:hAnsiTheme="minorHAnsi" w:cstheme="minorHAnsi"/>
                <w:b/>
                <w:bCs/>
                <w:sz w:val="20"/>
              </w:rPr>
            </w:pPr>
            <w:r w:rsidRPr="00A0540A">
              <w:rPr>
                <w:rFonts w:asciiTheme="minorHAnsi" w:hAnsiTheme="minorHAnsi" w:cstheme="minorHAnsi"/>
                <w:b/>
                <w:bCs/>
                <w:sz w:val="20"/>
              </w:rPr>
              <w:t>Monitoring</w:t>
            </w:r>
          </w:p>
        </w:tc>
        <w:tc>
          <w:tcPr>
            <w:tcW w:w="4150" w:type="pct"/>
          </w:tcPr>
          <w:p w:rsidRPr="00A0540A" w:rsidR="00293B63" w:rsidP="00131848" w:rsidRDefault="00293B63" w14:paraId="2EEBA6D2" w14:textId="77777777">
            <w:pPr>
              <w:pStyle w:val="BodyText"/>
              <w:rPr>
                <w:rFonts w:cs="Arial"/>
                <w:sz w:val="20"/>
              </w:rPr>
            </w:pPr>
            <w:r w:rsidRPr="00A0540A">
              <w:rPr>
                <w:rFonts w:cs="Arial"/>
                <w:sz w:val="20"/>
              </w:rPr>
              <w:t xml:space="preserve">Apnoea, respiratory depression. </w:t>
            </w:r>
          </w:p>
          <w:p w:rsidRPr="00A0540A" w:rsidR="00293B63" w:rsidP="00131848" w:rsidRDefault="00293B63" w14:paraId="216B896D" w14:textId="77777777">
            <w:pPr>
              <w:pStyle w:val="BodyText"/>
              <w:rPr>
                <w:rFonts w:cs="Arial"/>
                <w:sz w:val="20"/>
              </w:rPr>
            </w:pPr>
            <w:r w:rsidRPr="00A0540A">
              <w:rPr>
                <w:rFonts w:cs="Arial"/>
                <w:sz w:val="20"/>
              </w:rPr>
              <w:t>Blood pressure.</w:t>
            </w:r>
          </w:p>
          <w:p w:rsidRPr="00A0540A" w:rsidR="00293B63" w:rsidP="00131848" w:rsidRDefault="00293B63" w14:paraId="3583EAD9" w14:textId="77777777">
            <w:pPr>
              <w:pStyle w:val="BodyText"/>
              <w:rPr>
                <w:rFonts w:asciiTheme="minorHAnsi" w:hAnsiTheme="minorHAnsi" w:cstheme="minorHAnsi"/>
                <w:sz w:val="20"/>
              </w:rPr>
            </w:pPr>
            <w:r w:rsidRPr="00A0540A">
              <w:rPr>
                <w:rFonts w:cs="Arial"/>
                <w:sz w:val="20"/>
              </w:rPr>
              <w:t>Level of sedation.</w:t>
            </w:r>
          </w:p>
        </w:tc>
      </w:tr>
      <w:tr w:rsidRPr="00A0540A" w:rsidR="00293B63" w:rsidTr="008074AA" w14:paraId="5DFC3EE7" w14:textId="77777777">
        <w:trPr>
          <w:trHeight w:val="263"/>
        </w:trPr>
        <w:tc>
          <w:tcPr>
            <w:tcW w:w="850" w:type="pct"/>
          </w:tcPr>
          <w:p w:rsidRPr="00A0540A" w:rsidR="00293B63" w:rsidP="00131848" w:rsidRDefault="00293B63" w14:paraId="324136CF" w14:textId="77777777">
            <w:pPr>
              <w:pStyle w:val="BodyText"/>
              <w:rPr>
                <w:rFonts w:asciiTheme="minorHAnsi" w:hAnsiTheme="minorHAnsi" w:cstheme="minorHAnsi"/>
                <w:b/>
                <w:bCs/>
                <w:sz w:val="20"/>
              </w:rPr>
            </w:pPr>
            <w:r w:rsidRPr="00A0540A">
              <w:rPr>
                <w:rFonts w:asciiTheme="minorHAnsi" w:hAnsiTheme="minorHAnsi" w:cstheme="minorHAnsi"/>
                <w:b/>
                <w:bCs/>
                <w:sz w:val="20"/>
              </w:rPr>
              <w:t>Contraindications</w:t>
            </w:r>
          </w:p>
        </w:tc>
        <w:tc>
          <w:tcPr>
            <w:tcW w:w="4150" w:type="pct"/>
          </w:tcPr>
          <w:p w:rsidRPr="00A0540A" w:rsidR="00293B63" w:rsidP="00131848" w:rsidRDefault="00293B63" w14:paraId="0AE067D6" w14:textId="77777777">
            <w:pPr>
              <w:pStyle w:val="BodyText"/>
              <w:rPr>
                <w:rFonts w:asciiTheme="minorHAnsi" w:hAnsiTheme="minorHAnsi" w:cstheme="minorHAnsi"/>
                <w:sz w:val="20"/>
              </w:rPr>
            </w:pPr>
            <w:r w:rsidRPr="00A0540A">
              <w:rPr>
                <w:rFonts w:cs="Arial"/>
                <w:sz w:val="20"/>
                <w:lang w:val="en-US"/>
              </w:rPr>
              <w:t>Known hypersensitivity to midazolam.</w:t>
            </w:r>
          </w:p>
        </w:tc>
      </w:tr>
      <w:tr w:rsidRPr="00A0540A" w:rsidR="00293B63" w:rsidTr="008074AA" w14:paraId="299C5BFD" w14:textId="77777777">
        <w:trPr>
          <w:trHeight w:val="263"/>
        </w:trPr>
        <w:tc>
          <w:tcPr>
            <w:tcW w:w="850" w:type="pct"/>
          </w:tcPr>
          <w:p w:rsidRPr="00A0540A" w:rsidR="00293B63" w:rsidP="00131848" w:rsidRDefault="00293B63" w14:paraId="31060CAB" w14:textId="77777777">
            <w:pPr>
              <w:pStyle w:val="BodyText"/>
              <w:rPr>
                <w:rFonts w:asciiTheme="minorHAnsi" w:hAnsiTheme="minorHAnsi" w:cstheme="minorHAnsi"/>
                <w:b/>
                <w:bCs/>
                <w:sz w:val="20"/>
              </w:rPr>
            </w:pPr>
            <w:r w:rsidRPr="00A0540A">
              <w:rPr>
                <w:rFonts w:asciiTheme="minorHAnsi" w:hAnsiTheme="minorHAnsi" w:cstheme="minorHAnsi"/>
                <w:sz w:val="20"/>
              </w:rPr>
              <w:br w:type="page"/>
            </w:r>
            <w:r w:rsidRPr="00A0540A">
              <w:rPr>
                <w:rFonts w:asciiTheme="minorHAnsi" w:hAnsiTheme="minorHAnsi" w:cstheme="minorHAnsi"/>
                <w:b/>
                <w:bCs/>
                <w:sz w:val="20"/>
              </w:rPr>
              <w:t>Precautions</w:t>
            </w:r>
          </w:p>
        </w:tc>
        <w:tc>
          <w:tcPr>
            <w:tcW w:w="4150" w:type="pct"/>
          </w:tcPr>
          <w:p w:rsidRPr="00A0540A" w:rsidR="00293B63" w:rsidP="00131848" w:rsidRDefault="00293B63" w14:paraId="5020D369" w14:textId="77777777">
            <w:pPr>
              <w:pStyle w:val="BodyText"/>
              <w:rPr>
                <w:rFonts w:cs="Arial"/>
                <w:sz w:val="20"/>
              </w:rPr>
            </w:pPr>
            <w:r w:rsidRPr="00A0540A">
              <w:rPr>
                <w:rFonts w:cs="Arial"/>
                <w:sz w:val="20"/>
              </w:rPr>
              <w:t xml:space="preserve">In preterm infants, especially in extreme preterm, midazolam half-life is increased from 4−6 hours in term neonates up to 22 hours in premature infants. It is longer with impaired liver function. </w:t>
            </w:r>
          </w:p>
          <w:p w:rsidRPr="00A0540A" w:rsidR="00293B63" w:rsidP="00131848" w:rsidRDefault="00293B63" w14:paraId="165B5470" w14:textId="77777777">
            <w:pPr>
              <w:pStyle w:val="BodyText"/>
              <w:rPr>
                <w:rFonts w:cs="Arial"/>
                <w:sz w:val="20"/>
              </w:rPr>
            </w:pPr>
            <w:r w:rsidRPr="00A0540A">
              <w:rPr>
                <w:rFonts w:cs="Arial"/>
                <w:sz w:val="20"/>
              </w:rPr>
              <w:t>Caution when concurrently used with opioids − midazolam interacts with other central nervous system depressants and may increase the risk of drowsiness, respiratory depression and hypotension. Withdraw slowly after chronic administration as abrupt discontinuation may precipitate withdrawal seizures.</w:t>
            </w:r>
          </w:p>
          <w:p w:rsidRPr="00A0540A" w:rsidR="00293B63" w:rsidP="00131848" w:rsidRDefault="00293B63" w14:paraId="48C318BD" w14:textId="77777777">
            <w:pPr>
              <w:pStyle w:val="BodyText"/>
              <w:rPr>
                <w:rFonts w:cs="Arial"/>
                <w:sz w:val="20"/>
              </w:rPr>
            </w:pPr>
            <w:r w:rsidRPr="00A0540A">
              <w:rPr>
                <w:rFonts w:cs="Arial"/>
                <w:sz w:val="20"/>
              </w:rPr>
              <w:t xml:space="preserve">Caution in neonates with renal and hepatic impairment − increased sensitivity to central nervous system (CNS) effects; use doses at lower end of the range. </w:t>
            </w:r>
          </w:p>
          <w:p w:rsidRPr="00A0540A" w:rsidR="00293B63" w:rsidP="00131848" w:rsidRDefault="00293B63" w14:paraId="7F98F282" w14:textId="77777777">
            <w:pPr>
              <w:pStyle w:val="BodyText"/>
              <w:rPr>
                <w:rFonts w:asciiTheme="minorHAnsi" w:hAnsiTheme="minorHAnsi" w:cstheme="minorHAnsi"/>
                <w:sz w:val="20"/>
              </w:rPr>
            </w:pPr>
            <w:r w:rsidRPr="00A0540A">
              <w:rPr>
                <w:rFonts w:cs="Arial"/>
                <w:sz w:val="20"/>
              </w:rPr>
              <w:t>Rapid IV infusion may result in hypotension, respiratory depression or seizure.</w:t>
            </w:r>
          </w:p>
        </w:tc>
      </w:tr>
      <w:tr w:rsidRPr="00A0540A" w:rsidR="00293B63" w:rsidTr="008074AA" w14:paraId="7AB4AF35" w14:textId="77777777">
        <w:trPr>
          <w:trHeight w:val="263"/>
        </w:trPr>
        <w:tc>
          <w:tcPr>
            <w:tcW w:w="850" w:type="pct"/>
          </w:tcPr>
          <w:p w:rsidRPr="00A0540A" w:rsidR="00293B63" w:rsidP="00131848" w:rsidRDefault="00293B63" w14:paraId="6E81CF00" w14:textId="77777777">
            <w:pPr>
              <w:pStyle w:val="BodyText"/>
              <w:rPr>
                <w:rFonts w:asciiTheme="minorHAnsi" w:hAnsiTheme="minorHAnsi" w:cstheme="minorHAnsi"/>
                <w:b/>
                <w:bCs/>
                <w:sz w:val="20"/>
              </w:rPr>
            </w:pPr>
            <w:r w:rsidRPr="00A0540A">
              <w:rPr>
                <w:rFonts w:asciiTheme="minorHAnsi" w:hAnsiTheme="minorHAnsi" w:cstheme="minorHAnsi"/>
                <w:b/>
                <w:bCs/>
                <w:sz w:val="20"/>
              </w:rPr>
              <w:t>Drug interactions</w:t>
            </w:r>
          </w:p>
        </w:tc>
        <w:tc>
          <w:tcPr>
            <w:tcW w:w="4150" w:type="pct"/>
          </w:tcPr>
          <w:p w:rsidRPr="00A0540A" w:rsidR="00293B63" w:rsidP="00131848" w:rsidRDefault="00293B63" w14:paraId="04EF27E4" w14:textId="77777777">
            <w:pPr>
              <w:rPr>
                <w:rFonts w:cs="Arial"/>
                <w:sz w:val="20"/>
              </w:rPr>
            </w:pPr>
            <w:r w:rsidRPr="00A0540A">
              <w:rPr>
                <w:rFonts w:cs="Arial"/>
                <w:sz w:val="20"/>
              </w:rPr>
              <w:t>Concurrent administration with erythromycin promotes accumulation.</w:t>
            </w:r>
          </w:p>
          <w:p w:rsidRPr="00A0540A" w:rsidR="00293B63" w:rsidP="00131848" w:rsidRDefault="00293B63" w14:paraId="65DA1717" w14:textId="77777777">
            <w:pPr>
              <w:pStyle w:val="BodyText"/>
              <w:rPr>
                <w:rFonts w:asciiTheme="minorHAnsi" w:hAnsiTheme="minorHAnsi" w:cstheme="minorHAnsi"/>
                <w:sz w:val="20"/>
              </w:rPr>
            </w:pPr>
            <w:r w:rsidRPr="00A0540A">
              <w:rPr>
                <w:rFonts w:cs="Arial"/>
                <w:sz w:val="20"/>
              </w:rPr>
              <w:t>Xanthines may decrease the anaesthetic/sedative effect of benzodiazepines. Care needs to be taken with adding or withdrawing caffeine or aminophylline.</w:t>
            </w:r>
          </w:p>
        </w:tc>
      </w:tr>
      <w:tr w:rsidRPr="00A0540A" w:rsidR="00293B63" w:rsidTr="008074AA" w14:paraId="65E9CB35" w14:textId="77777777">
        <w:trPr>
          <w:trHeight w:val="263"/>
        </w:trPr>
        <w:tc>
          <w:tcPr>
            <w:tcW w:w="850" w:type="pct"/>
          </w:tcPr>
          <w:p w:rsidRPr="00A0540A" w:rsidR="00293B63" w:rsidP="00131848" w:rsidRDefault="00293B63" w14:paraId="00B28D01" w14:textId="77777777">
            <w:pPr>
              <w:pStyle w:val="BodyText"/>
              <w:rPr>
                <w:rFonts w:asciiTheme="minorHAnsi" w:hAnsiTheme="minorHAnsi" w:cstheme="minorHAnsi"/>
                <w:b/>
                <w:bCs/>
                <w:sz w:val="20"/>
              </w:rPr>
            </w:pPr>
            <w:r w:rsidRPr="00A0540A">
              <w:rPr>
                <w:rFonts w:asciiTheme="minorHAnsi" w:hAnsiTheme="minorHAnsi" w:cstheme="minorHAnsi"/>
                <w:b/>
                <w:bCs/>
                <w:sz w:val="20"/>
              </w:rPr>
              <w:t xml:space="preserve">Adverse reactions </w:t>
            </w:r>
          </w:p>
        </w:tc>
        <w:tc>
          <w:tcPr>
            <w:tcW w:w="4150" w:type="pct"/>
          </w:tcPr>
          <w:p w:rsidRPr="00A0540A" w:rsidR="00293B63" w:rsidP="00131848" w:rsidRDefault="00293B63" w14:paraId="5CD7FF82" w14:textId="77777777">
            <w:pPr>
              <w:pStyle w:val="BodyText"/>
              <w:rPr>
                <w:rFonts w:cs="Arial"/>
                <w:sz w:val="20"/>
              </w:rPr>
            </w:pPr>
            <w:r w:rsidRPr="00A0540A">
              <w:rPr>
                <w:rFonts w:cs="Arial"/>
                <w:sz w:val="20"/>
              </w:rPr>
              <w:t xml:space="preserve">Hypotension and reduced cardiac output, particularly when used in combination with fentanyl. </w:t>
            </w:r>
          </w:p>
          <w:p w:rsidRPr="00A0540A" w:rsidR="00293B63" w:rsidP="00131848" w:rsidRDefault="00293B63" w14:paraId="6571F525" w14:textId="77777777">
            <w:pPr>
              <w:pStyle w:val="BodyText"/>
              <w:rPr>
                <w:rFonts w:cs="Arial"/>
                <w:sz w:val="20"/>
              </w:rPr>
            </w:pPr>
            <w:r w:rsidRPr="00A0540A">
              <w:rPr>
                <w:rFonts w:cs="Arial"/>
                <w:sz w:val="20"/>
              </w:rPr>
              <w:t>Respiratory depression and apnoea.</w:t>
            </w:r>
          </w:p>
          <w:p w:rsidRPr="00A0540A" w:rsidR="00293B63" w:rsidP="00131848" w:rsidRDefault="00293B63" w14:paraId="5FD6665B" w14:textId="77777777">
            <w:pPr>
              <w:pStyle w:val="BodyText"/>
              <w:rPr>
                <w:rFonts w:cs="Arial"/>
                <w:sz w:val="20"/>
              </w:rPr>
            </w:pPr>
            <w:r w:rsidRPr="00A0540A">
              <w:rPr>
                <w:rFonts w:cs="Arial"/>
                <w:sz w:val="20"/>
              </w:rPr>
              <w:t xml:space="preserve">Hypersalivation. </w:t>
            </w:r>
          </w:p>
          <w:p w:rsidRPr="00A0540A" w:rsidR="00293B63" w:rsidP="00131848" w:rsidRDefault="00293B63" w14:paraId="3F2189B3" w14:textId="77777777">
            <w:pPr>
              <w:pStyle w:val="BodyText"/>
              <w:rPr>
                <w:rFonts w:cs="Arial"/>
                <w:sz w:val="20"/>
              </w:rPr>
            </w:pPr>
            <w:r w:rsidRPr="00A0540A">
              <w:rPr>
                <w:rFonts w:cs="Arial"/>
                <w:sz w:val="20"/>
              </w:rPr>
              <w:t xml:space="preserve">Nasal discomfort (with intranasal route). </w:t>
            </w:r>
          </w:p>
          <w:p w:rsidRPr="00A0540A" w:rsidR="00293B63" w:rsidP="00131848" w:rsidRDefault="00293B63" w14:paraId="04AC6D4D" w14:textId="77777777">
            <w:pPr>
              <w:pStyle w:val="BodyText"/>
              <w:rPr>
                <w:rFonts w:asciiTheme="minorHAnsi" w:hAnsiTheme="minorHAnsi" w:cstheme="minorHAnsi"/>
                <w:sz w:val="20"/>
              </w:rPr>
            </w:pPr>
            <w:r w:rsidRPr="00A0540A">
              <w:rPr>
                <w:rFonts w:cs="Arial"/>
                <w:sz w:val="20"/>
              </w:rPr>
              <w:t>Seizure-like myoclonus (more common in premature neonates receiving via intravenous route).</w:t>
            </w:r>
          </w:p>
        </w:tc>
      </w:tr>
      <w:tr w:rsidRPr="00A0540A" w:rsidR="00293B63" w:rsidTr="008074AA" w14:paraId="0D7CD250" w14:textId="77777777">
        <w:trPr>
          <w:trHeight w:val="263"/>
        </w:trPr>
        <w:tc>
          <w:tcPr>
            <w:tcW w:w="850" w:type="pct"/>
          </w:tcPr>
          <w:p w:rsidRPr="00A0540A" w:rsidR="00293B63" w:rsidP="00131848" w:rsidRDefault="00293B63" w14:paraId="55259ED9" w14:textId="77777777">
            <w:pPr>
              <w:pStyle w:val="BodyText"/>
              <w:rPr>
                <w:rFonts w:asciiTheme="minorHAnsi" w:hAnsiTheme="minorHAnsi" w:cstheme="minorHAnsi"/>
                <w:b/>
                <w:bCs/>
                <w:sz w:val="20"/>
              </w:rPr>
            </w:pPr>
            <w:r w:rsidRPr="00A0540A">
              <w:rPr>
                <w:rFonts w:asciiTheme="minorHAnsi" w:hAnsiTheme="minorHAnsi" w:cstheme="minorHAnsi"/>
                <w:b/>
                <w:bCs/>
                <w:sz w:val="20"/>
              </w:rPr>
              <w:t>Compatibility</w:t>
            </w:r>
          </w:p>
        </w:tc>
        <w:tc>
          <w:tcPr>
            <w:tcW w:w="4150" w:type="pct"/>
          </w:tcPr>
          <w:p w:rsidRPr="00A0540A" w:rsidR="00293B63" w:rsidP="00131848" w:rsidRDefault="00293B63" w14:paraId="1F4BC892" w14:textId="77777777">
            <w:pPr>
              <w:pStyle w:val="BodyText"/>
              <w:rPr>
                <w:rFonts w:cs="Arial"/>
                <w:sz w:val="20"/>
              </w:rPr>
            </w:pPr>
            <w:r w:rsidRPr="00A0540A">
              <w:rPr>
                <w:rFonts w:cs="Arial"/>
                <w:sz w:val="20"/>
              </w:rPr>
              <w:t>Fluids: Glucose 5%, glucose 10%, sodium chloride 0.9%, sodium chloride 0.45%.</w:t>
            </w:r>
          </w:p>
          <w:p w:rsidRPr="00A0540A" w:rsidR="00293B63" w:rsidP="00131848" w:rsidRDefault="00293B63" w14:paraId="395A456F" w14:textId="77777777">
            <w:pPr>
              <w:pStyle w:val="BodyText"/>
              <w:rPr>
                <w:rFonts w:cs="Arial"/>
                <w:sz w:val="20"/>
              </w:rPr>
            </w:pPr>
          </w:p>
          <w:p w:rsidRPr="00A0540A" w:rsidR="00293B63" w:rsidP="00131848" w:rsidRDefault="00293B63" w14:paraId="5726763C" w14:textId="77777777">
            <w:pPr>
              <w:pStyle w:val="BodyText"/>
              <w:rPr>
                <w:rFonts w:cs="Arial"/>
                <w:sz w:val="20"/>
              </w:rPr>
            </w:pPr>
            <w:r w:rsidRPr="00A0540A">
              <w:rPr>
                <w:rFonts w:cs="Arial"/>
                <w:sz w:val="20"/>
              </w:rPr>
              <w:t>Y-site (10,11): Amino acid solutions. Acetaminophen, amikacin, amiodarone, atracurium, atropine, aztreonam, calcium chloride, calcium gluconate, caspofungin, cefazolin, cefotaxime, cefoxitin, ceftriaxone, ciprofloxacin, dexmedetomidine, digoxin, diltiazem, dopamine, doxycycline, enalaprilat, epinephrine, erythromycin lactobionate, fentanyl, fluconazole, folic acid (as sodium salt), gentamicin, glycopyrrolate, heparin, isoproterenol, ketamine, labetolol, lidocaine, linezolid, lorazepam, magnesium sulfate, metronidazole, milrinone, morphine hydrochloride, morphine sulfate, multiple vitamin injection, naloxone, nitroglycerin, nitroprusside sodium, norepinephrine, octreotide, oxacillin, pamidronate, pancuronium, papaverine, penicillin G potassium, penicillin G sodium, pentoxyfylline, piperacillin, potassium chloride, procainamide, propranolol, protamine sulfate, pyridoxine, ranitidine, remifentanil, rocuronium, streptokinase, theophylline, ticarcillin, ticarcillin-clavulanate, tobramycin, urokinase, vancomycin, vasopressin, vecuronium, verapamil.</w:t>
            </w:r>
          </w:p>
          <w:p w:rsidRPr="00A0540A" w:rsidR="00293B63" w:rsidP="00131848" w:rsidRDefault="00293B63" w14:paraId="7992BD80" w14:textId="77777777">
            <w:pPr>
              <w:pStyle w:val="BodyText"/>
              <w:rPr>
                <w:rFonts w:asciiTheme="minorHAnsi" w:hAnsiTheme="minorHAnsi" w:cstheme="minorHAnsi"/>
                <w:sz w:val="20"/>
              </w:rPr>
            </w:pPr>
            <w:r w:rsidRPr="00A0540A">
              <w:rPr>
                <w:rFonts w:cs="Arial"/>
                <w:b/>
                <w:sz w:val="20"/>
              </w:rPr>
              <w:t>Variable compatibility (10,11):</w:t>
            </w:r>
            <w:r w:rsidRPr="00A0540A">
              <w:rPr>
                <w:rFonts w:cs="Arial"/>
                <w:sz w:val="20"/>
              </w:rPr>
              <w:t xml:space="preserve"> amoxicillin-clavulanate, clindamycin, clonidine, dobutamine, furosemide, hydralazine, imipenem-cilastatin, insulin, regular, methylprednisolone sodium succinate, pantoprazole, propofol, sodium acetate.</w:t>
            </w:r>
          </w:p>
        </w:tc>
      </w:tr>
      <w:tr w:rsidRPr="00A0540A" w:rsidR="00293B63" w:rsidTr="008074AA" w14:paraId="028DDCC1" w14:textId="77777777">
        <w:trPr>
          <w:trHeight w:val="263"/>
        </w:trPr>
        <w:tc>
          <w:tcPr>
            <w:tcW w:w="850" w:type="pct"/>
          </w:tcPr>
          <w:p w:rsidRPr="00A0540A" w:rsidR="00293B63" w:rsidP="00131848" w:rsidRDefault="00293B63" w14:paraId="089CEF74" w14:textId="77777777">
            <w:pPr>
              <w:pStyle w:val="BodyText"/>
              <w:rPr>
                <w:rFonts w:asciiTheme="minorHAnsi" w:hAnsiTheme="minorHAnsi" w:cstheme="minorHAnsi"/>
                <w:b/>
                <w:bCs/>
                <w:sz w:val="20"/>
              </w:rPr>
            </w:pPr>
            <w:r w:rsidRPr="00A0540A">
              <w:rPr>
                <w:rFonts w:asciiTheme="minorHAnsi" w:hAnsiTheme="minorHAnsi" w:cstheme="minorHAnsi"/>
                <w:b/>
                <w:bCs/>
                <w:sz w:val="20"/>
              </w:rPr>
              <w:lastRenderedPageBreak/>
              <w:t>Incompatibility</w:t>
            </w:r>
          </w:p>
        </w:tc>
        <w:tc>
          <w:tcPr>
            <w:tcW w:w="4150" w:type="pct"/>
          </w:tcPr>
          <w:p w:rsidRPr="00A0540A" w:rsidR="00293B63" w:rsidP="00131848" w:rsidRDefault="00293B63" w14:paraId="079AE4F3" w14:textId="77777777">
            <w:pPr>
              <w:pStyle w:val="BodyText"/>
              <w:rPr>
                <w:rFonts w:cs="Arial"/>
                <w:sz w:val="20"/>
              </w:rPr>
            </w:pPr>
            <w:r w:rsidRPr="00A0540A">
              <w:rPr>
                <w:rFonts w:cs="Arial"/>
                <w:sz w:val="20"/>
              </w:rPr>
              <w:t xml:space="preserve">Fluids: No information. </w:t>
            </w:r>
          </w:p>
          <w:p w:rsidRPr="00A0540A" w:rsidR="00293B63" w:rsidP="00131848" w:rsidRDefault="00293B63" w14:paraId="5C4DED68" w14:textId="77777777">
            <w:pPr>
              <w:pStyle w:val="BodyText"/>
              <w:rPr>
                <w:rFonts w:cs="Arial"/>
                <w:sz w:val="20"/>
              </w:rPr>
            </w:pPr>
          </w:p>
          <w:p w:rsidRPr="00A0540A" w:rsidR="00293B63" w:rsidP="00131848" w:rsidRDefault="00293B63" w14:paraId="34999249" w14:textId="77777777">
            <w:pPr>
              <w:pStyle w:val="BodyText"/>
              <w:rPr>
                <w:rFonts w:asciiTheme="minorHAnsi" w:hAnsiTheme="minorHAnsi" w:cstheme="minorHAnsi"/>
                <w:sz w:val="20"/>
              </w:rPr>
            </w:pPr>
            <w:r w:rsidRPr="00A0540A">
              <w:rPr>
                <w:rFonts w:cs="Arial"/>
                <w:sz w:val="20"/>
              </w:rPr>
              <w:t>Y-site (10,11): Fat emulsion. Aciclovir, albumin, aminophylline, amoxicillin, amphotericin B cholesteryl sulfate complex, amphotericin B conventional colloidal, amphotericin B lipid complex, amphotericin B liposome, ampicillin, atenolol, azathioprine, azithromycin, cefepime, ceftazidime, chloramphenicol, cloxacillin,  dexamethasone, diazepam, diazoxide, epoetin alfa, esomeprazole, flucloxacillin, fluorouracil, ganciclovir, hydrocortisone sodium succinate, ibuprofen lysine, indomethacin, omeprazole, phenobarbital (phenobarbitone), phenytoin, piperacillin-tazobactam, potassium acetate, sodium bicarbonate, sulfamethoxazole-trimethoprim, thiopental.</w:t>
            </w:r>
          </w:p>
        </w:tc>
      </w:tr>
      <w:tr w:rsidRPr="00A0540A" w:rsidR="00293B63" w:rsidTr="008074AA" w14:paraId="7A116F1B" w14:textId="77777777">
        <w:trPr>
          <w:trHeight w:val="263"/>
        </w:trPr>
        <w:tc>
          <w:tcPr>
            <w:tcW w:w="850" w:type="pct"/>
          </w:tcPr>
          <w:p w:rsidRPr="00A0540A" w:rsidR="00293B63" w:rsidP="00131848" w:rsidRDefault="00293B63" w14:paraId="175A909D" w14:textId="77777777">
            <w:pPr>
              <w:pStyle w:val="BodyText"/>
              <w:rPr>
                <w:rFonts w:asciiTheme="minorHAnsi" w:hAnsiTheme="minorHAnsi" w:cstheme="minorHAnsi"/>
                <w:b/>
                <w:bCs/>
                <w:sz w:val="20"/>
              </w:rPr>
            </w:pPr>
            <w:r w:rsidRPr="00A0540A">
              <w:rPr>
                <w:rFonts w:asciiTheme="minorHAnsi" w:hAnsiTheme="minorHAnsi" w:cstheme="minorHAnsi"/>
                <w:b/>
                <w:bCs/>
                <w:sz w:val="20"/>
              </w:rPr>
              <w:t>Stability</w:t>
            </w:r>
          </w:p>
        </w:tc>
        <w:tc>
          <w:tcPr>
            <w:tcW w:w="4150" w:type="pct"/>
          </w:tcPr>
          <w:p w:rsidRPr="00A0540A" w:rsidR="00293B63" w:rsidP="00131848" w:rsidRDefault="00293B63" w14:paraId="086A88DE" w14:textId="77777777">
            <w:pPr>
              <w:pStyle w:val="BodyText"/>
              <w:rPr>
                <w:rFonts w:asciiTheme="minorHAnsi" w:hAnsiTheme="minorHAnsi" w:cstheme="minorHAnsi"/>
                <w:sz w:val="20"/>
              </w:rPr>
            </w:pPr>
            <w:r w:rsidRPr="00A0540A">
              <w:rPr>
                <w:rFonts w:cs="Arial"/>
                <w:sz w:val="20"/>
                <w:lang w:val="en-US"/>
              </w:rPr>
              <w:t>Diluted solution: Store at 2−8</w:t>
            </w:r>
            <w:r w:rsidRPr="00A0540A">
              <w:rPr>
                <w:rFonts w:cs="Arial"/>
                <w:sz w:val="20"/>
              </w:rPr>
              <w:t xml:space="preserve">°C and use within 24 hours. </w:t>
            </w:r>
          </w:p>
        </w:tc>
      </w:tr>
      <w:tr w:rsidRPr="00A0540A" w:rsidR="00293B63" w:rsidTr="008074AA" w14:paraId="5DDE6838" w14:textId="77777777">
        <w:trPr>
          <w:trHeight w:val="263"/>
        </w:trPr>
        <w:tc>
          <w:tcPr>
            <w:tcW w:w="850" w:type="pct"/>
          </w:tcPr>
          <w:p w:rsidRPr="00A0540A" w:rsidR="00293B63" w:rsidP="00131848" w:rsidRDefault="00293B63" w14:paraId="09E0636F" w14:textId="77777777">
            <w:pPr>
              <w:pStyle w:val="BodyText"/>
              <w:rPr>
                <w:rFonts w:asciiTheme="minorHAnsi" w:hAnsiTheme="minorHAnsi" w:cstheme="minorHAnsi"/>
                <w:b/>
                <w:bCs/>
                <w:sz w:val="20"/>
              </w:rPr>
            </w:pPr>
            <w:r w:rsidRPr="00A0540A">
              <w:rPr>
                <w:rFonts w:asciiTheme="minorHAnsi" w:hAnsiTheme="minorHAnsi" w:cstheme="minorHAnsi"/>
                <w:b/>
                <w:bCs/>
                <w:sz w:val="20"/>
              </w:rPr>
              <w:t>Storage</w:t>
            </w:r>
          </w:p>
        </w:tc>
        <w:tc>
          <w:tcPr>
            <w:tcW w:w="4150" w:type="pct"/>
          </w:tcPr>
          <w:p w:rsidRPr="00A0540A" w:rsidR="00293B63" w:rsidP="00131848" w:rsidRDefault="00293B63" w14:paraId="00536049" w14:textId="77777777">
            <w:pPr>
              <w:pStyle w:val="BodyText"/>
              <w:rPr>
                <w:rFonts w:asciiTheme="minorHAnsi" w:hAnsiTheme="minorHAnsi" w:cstheme="minorHAnsi"/>
                <w:sz w:val="20"/>
              </w:rPr>
            </w:pPr>
            <w:r w:rsidRPr="00A0540A">
              <w:rPr>
                <w:rFonts w:asciiTheme="minorHAnsi" w:hAnsiTheme="minorHAnsi" w:cstheme="minorHAnsi"/>
                <w:sz w:val="20"/>
              </w:rPr>
              <w:t>Midazolam Apotex, Midazolam-Baxter: Store below 30°C. Protect from light.</w:t>
            </w:r>
          </w:p>
          <w:p w:rsidRPr="00A0540A" w:rsidR="00293B63" w:rsidP="00131848" w:rsidRDefault="00293B63" w14:paraId="19A18486" w14:textId="77777777">
            <w:pPr>
              <w:pStyle w:val="BodyText"/>
              <w:rPr>
                <w:rFonts w:asciiTheme="minorHAnsi" w:hAnsiTheme="minorHAnsi" w:cstheme="minorHAnsi"/>
                <w:sz w:val="20"/>
              </w:rPr>
            </w:pPr>
            <w:r w:rsidRPr="00A0540A">
              <w:rPr>
                <w:rFonts w:asciiTheme="minorHAnsi" w:hAnsiTheme="minorHAnsi" w:cstheme="minorHAnsi"/>
                <w:sz w:val="20"/>
              </w:rPr>
              <w:t>B. Braun Midazolam, Hypnovel, Midazolam Alphapharm: Store below 25°C. Protect from light.</w:t>
            </w:r>
          </w:p>
          <w:p w:rsidRPr="00A0540A" w:rsidR="00293B63" w:rsidP="00131848" w:rsidRDefault="00293B63" w14:paraId="6465BE67" w14:textId="77777777">
            <w:pPr>
              <w:rPr>
                <w:rFonts w:asciiTheme="minorHAnsi" w:hAnsiTheme="minorHAnsi" w:cstheme="minorHAnsi"/>
                <w:sz w:val="20"/>
              </w:rPr>
            </w:pPr>
            <w:r w:rsidRPr="00A0540A">
              <w:rPr>
                <w:rFonts w:asciiTheme="minorHAnsi" w:hAnsiTheme="minorHAnsi" w:cstheme="minorHAnsi"/>
                <w:sz w:val="20"/>
              </w:rPr>
              <w:t>Midazolam Pfizer: Store below 25°C. Protect from light. Unopened ampoules will be suitable for use for up to 8 months after the foil sachet has been opened, if protected from light.</w:t>
            </w:r>
          </w:p>
          <w:p w:rsidRPr="00A0540A" w:rsidR="00293B63" w:rsidP="00131848" w:rsidRDefault="00293B63" w14:paraId="2E4666B1" w14:textId="77777777">
            <w:pPr>
              <w:pStyle w:val="BodyText"/>
              <w:rPr>
                <w:rFonts w:asciiTheme="minorHAnsi" w:hAnsiTheme="minorHAnsi" w:cstheme="minorHAnsi"/>
                <w:sz w:val="20"/>
              </w:rPr>
            </w:pPr>
            <w:r w:rsidRPr="00A0540A">
              <w:rPr>
                <w:rFonts w:cs="Arial"/>
                <w:sz w:val="20"/>
              </w:rPr>
              <w:t>Schedule 4D (S4D) medication. Store in dangerous drug safe and record use in S4D register.</w:t>
            </w:r>
          </w:p>
        </w:tc>
      </w:tr>
      <w:tr w:rsidRPr="00A0540A" w:rsidR="00293B63" w:rsidTr="008074AA" w14:paraId="64B0C248" w14:textId="77777777">
        <w:trPr>
          <w:trHeight w:val="263"/>
        </w:trPr>
        <w:tc>
          <w:tcPr>
            <w:tcW w:w="850" w:type="pct"/>
          </w:tcPr>
          <w:p w:rsidRPr="00A0540A" w:rsidR="00293B63" w:rsidP="00131848" w:rsidRDefault="00293B63" w14:paraId="385116F8" w14:textId="77777777">
            <w:pPr>
              <w:pStyle w:val="BodyText"/>
              <w:rPr>
                <w:rFonts w:asciiTheme="minorHAnsi" w:hAnsiTheme="minorHAnsi" w:cstheme="minorHAnsi"/>
                <w:b/>
                <w:bCs/>
                <w:sz w:val="20"/>
              </w:rPr>
            </w:pPr>
            <w:r w:rsidRPr="00A0540A">
              <w:rPr>
                <w:rFonts w:asciiTheme="minorHAnsi" w:hAnsiTheme="minorHAnsi" w:cstheme="minorHAnsi"/>
                <w:b/>
                <w:bCs/>
                <w:sz w:val="20"/>
              </w:rPr>
              <w:t>Excipients</w:t>
            </w:r>
          </w:p>
        </w:tc>
        <w:tc>
          <w:tcPr>
            <w:tcW w:w="4150" w:type="pct"/>
          </w:tcPr>
          <w:p w:rsidRPr="00A0540A" w:rsidR="00293B63" w:rsidP="00131848" w:rsidRDefault="00293B63" w14:paraId="19EAEDC8" w14:textId="77777777">
            <w:pPr>
              <w:pStyle w:val="BodyText"/>
              <w:rPr>
                <w:rFonts w:asciiTheme="minorHAnsi" w:hAnsiTheme="minorHAnsi" w:cstheme="minorHAnsi"/>
                <w:sz w:val="20"/>
              </w:rPr>
            </w:pPr>
            <w:r w:rsidRPr="00A0540A">
              <w:rPr>
                <w:rFonts w:asciiTheme="minorHAnsi" w:hAnsiTheme="minorHAnsi" w:cstheme="minorHAnsi"/>
                <w:sz w:val="20"/>
              </w:rPr>
              <w:t>Sodium chloride, hydrochloric acid, sodium hydroxide, water for injections.</w:t>
            </w:r>
          </w:p>
        </w:tc>
      </w:tr>
      <w:tr w:rsidRPr="00A0540A" w:rsidR="00293B63" w:rsidTr="008074AA" w14:paraId="5D58D54E" w14:textId="77777777">
        <w:trPr>
          <w:trHeight w:val="263"/>
        </w:trPr>
        <w:tc>
          <w:tcPr>
            <w:tcW w:w="850" w:type="pct"/>
          </w:tcPr>
          <w:p w:rsidRPr="00A0540A" w:rsidR="00293B63" w:rsidP="00131848" w:rsidRDefault="00293B63" w14:paraId="6C1A3FEF" w14:textId="77777777">
            <w:pPr>
              <w:pStyle w:val="BodyText"/>
              <w:rPr>
                <w:rFonts w:asciiTheme="minorHAnsi" w:hAnsiTheme="minorHAnsi" w:cstheme="minorHAnsi"/>
                <w:b/>
                <w:bCs/>
                <w:sz w:val="20"/>
              </w:rPr>
            </w:pPr>
            <w:r w:rsidRPr="00A0540A">
              <w:rPr>
                <w:rFonts w:asciiTheme="minorHAnsi" w:hAnsiTheme="minorHAnsi" w:cstheme="minorHAnsi"/>
                <w:b/>
                <w:bCs/>
                <w:sz w:val="20"/>
              </w:rPr>
              <w:t xml:space="preserve">Special comments </w:t>
            </w:r>
          </w:p>
        </w:tc>
        <w:tc>
          <w:tcPr>
            <w:tcW w:w="4150" w:type="pct"/>
          </w:tcPr>
          <w:p w:rsidRPr="00A0540A" w:rsidR="00293B63" w:rsidP="00131848" w:rsidRDefault="00293B63" w14:paraId="4613B6B9" w14:textId="77777777">
            <w:pPr>
              <w:pStyle w:val="BodyText"/>
              <w:rPr>
                <w:rFonts w:cs="Arial"/>
                <w:sz w:val="20"/>
              </w:rPr>
            </w:pPr>
            <w:r w:rsidRPr="00A0540A">
              <w:rPr>
                <w:rFonts w:cs="Arial"/>
                <w:sz w:val="20"/>
              </w:rPr>
              <w:t xml:space="preserve">Flumazenil is a specific benzodiazepine antagonist and may be used (very limited experience in the neonate) to rapidly reverse respiratory depression − 10 microgram/kg/dose IV push. </w:t>
            </w:r>
          </w:p>
          <w:p w:rsidRPr="00A0540A" w:rsidR="00293B63" w:rsidP="00131848" w:rsidRDefault="00293B63" w14:paraId="7D55BDA1" w14:textId="77777777">
            <w:pPr>
              <w:pStyle w:val="BodyText"/>
              <w:rPr>
                <w:rFonts w:asciiTheme="minorHAnsi" w:hAnsiTheme="minorHAnsi" w:cstheme="minorHAnsi"/>
                <w:sz w:val="20"/>
              </w:rPr>
            </w:pPr>
            <w:r w:rsidRPr="00A0540A">
              <w:rPr>
                <w:rFonts w:cs="Arial"/>
                <w:sz w:val="20"/>
              </w:rPr>
              <w:t>May repeat every minute for up to 4 more doses.</w:t>
            </w:r>
          </w:p>
        </w:tc>
      </w:tr>
      <w:tr w:rsidRPr="00A0540A" w:rsidR="00293B63" w:rsidTr="008074AA" w14:paraId="0C52EA6B" w14:textId="77777777">
        <w:trPr>
          <w:trHeight w:val="263"/>
        </w:trPr>
        <w:tc>
          <w:tcPr>
            <w:tcW w:w="850" w:type="pct"/>
          </w:tcPr>
          <w:p w:rsidRPr="00A0540A" w:rsidR="00293B63" w:rsidP="00131848" w:rsidRDefault="00293B63" w14:paraId="33FBE914" w14:textId="77777777">
            <w:pPr>
              <w:pStyle w:val="BodyText"/>
              <w:rPr>
                <w:rFonts w:asciiTheme="minorHAnsi" w:hAnsiTheme="minorHAnsi" w:cstheme="minorHAnsi"/>
                <w:b/>
                <w:bCs/>
                <w:sz w:val="20"/>
              </w:rPr>
            </w:pPr>
            <w:r w:rsidRPr="00A0540A">
              <w:rPr>
                <w:rFonts w:asciiTheme="minorHAnsi" w:hAnsiTheme="minorHAnsi" w:cstheme="minorHAnsi"/>
                <w:b/>
                <w:bCs/>
                <w:sz w:val="20"/>
              </w:rPr>
              <w:t xml:space="preserve">Evidence </w:t>
            </w:r>
          </w:p>
        </w:tc>
        <w:tc>
          <w:tcPr>
            <w:tcW w:w="4150" w:type="pct"/>
          </w:tcPr>
          <w:p w:rsidRPr="00293B63" w:rsidR="00293B63" w:rsidP="00131848" w:rsidRDefault="00293B63" w14:paraId="622972A4" w14:textId="77777777">
            <w:pPr>
              <w:rPr>
                <w:b/>
                <w:sz w:val="16"/>
                <w:szCs w:val="16"/>
                <w:lang w:val="en-US"/>
              </w:rPr>
            </w:pPr>
            <w:r w:rsidRPr="00293B63">
              <w:rPr>
                <w:b/>
                <w:sz w:val="16"/>
                <w:szCs w:val="16"/>
                <w:lang w:val="en-US"/>
              </w:rPr>
              <w:t>Efficacy</w:t>
            </w:r>
          </w:p>
          <w:p w:rsidRPr="00293B63" w:rsidR="00293B63" w:rsidP="00131848" w:rsidRDefault="00293B63" w14:paraId="6B1FD744" w14:textId="77777777">
            <w:pPr>
              <w:rPr>
                <w:sz w:val="16"/>
                <w:szCs w:val="16"/>
                <w:lang w:val="en-US"/>
              </w:rPr>
            </w:pPr>
            <w:r w:rsidRPr="00293B63">
              <w:rPr>
                <w:sz w:val="16"/>
                <w:szCs w:val="16"/>
                <w:lang w:val="en-US"/>
              </w:rPr>
              <w:t xml:space="preserve">There are insufficient data to promote the use of intravenous midazolam infusion as a sedative for neonates undergoing intensive care. Although all studies included in the review reported better sedation, none of the scales used had been validated in preterm infants and thus the effectiveness could not be evaluated [1] (Level 1, Grade B). </w:t>
            </w:r>
          </w:p>
          <w:p w:rsidRPr="00293B63" w:rsidR="00293B63" w:rsidP="00131848" w:rsidRDefault="00293B63" w14:paraId="3F9235CD" w14:textId="77777777">
            <w:pPr>
              <w:rPr>
                <w:sz w:val="16"/>
                <w:szCs w:val="16"/>
                <w:lang w:val="en-US"/>
              </w:rPr>
            </w:pPr>
          </w:p>
          <w:p w:rsidRPr="00293B63" w:rsidR="00293B63" w:rsidP="00131848" w:rsidRDefault="00293B63" w14:paraId="6726DB1A" w14:textId="77777777">
            <w:pPr>
              <w:rPr>
                <w:sz w:val="16"/>
                <w:szCs w:val="16"/>
                <w:lang w:val="en-US"/>
              </w:rPr>
            </w:pPr>
            <w:r w:rsidRPr="00293B63">
              <w:rPr>
                <w:sz w:val="16"/>
                <w:szCs w:val="16"/>
                <w:lang w:val="en-US"/>
              </w:rPr>
              <w:t>Midazolam was effective in neonates with refractory seizures that did not respond to phenobarbital (phenobarbitone), phenytoin or pentobarbital (pentobarbitone) [2] (Level IV, Grade D).</w:t>
            </w:r>
          </w:p>
          <w:p w:rsidRPr="00293B63" w:rsidR="00293B63" w:rsidP="00131848" w:rsidRDefault="00293B63" w14:paraId="58B06849" w14:textId="77777777">
            <w:pPr>
              <w:rPr>
                <w:sz w:val="16"/>
                <w:szCs w:val="16"/>
                <w:lang w:val="en-US"/>
              </w:rPr>
            </w:pPr>
          </w:p>
          <w:p w:rsidRPr="00293B63" w:rsidR="00293B63" w:rsidP="00131848" w:rsidRDefault="00293B63" w14:paraId="029D8B52" w14:textId="77777777">
            <w:pPr>
              <w:rPr>
                <w:sz w:val="16"/>
                <w:szCs w:val="16"/>
                <w:lang w:val="en-US"/>
              </w:rPr>
            </w:pPr>
            <w:r w:rsidRPr="00293B63">
              <w:rPr>
                <w:sz w:val="16"/>
                <w:szCs w:val="16"/>
                <w:lang w:val="en-US"/>
              </w:rPr>
              <w:t xml:space="preserve">Intranasal midazolam for sedation: In a randomised control trial Milesi et al administered intranasal midazolam to 27 neonates of mean gestational age 27 weeks in the delivery room prior to intubation. The neonates allocated to the nasal midazolam arm received 0.1mg/kg (0.1 ml/kg) of midazolam in each nostril. Nasal midazolam was more efficient than nasal Ketamine (89% vs 58%; p&lt;0.01) for sedation. The haemodynamic and respiratory effects of both drugs were comparable (12). Ku et al described a retrospective cohort of 18 infants receiving 20 intranasal doses of Midazolam. The median gestational age of infants at birth was 27 weeks and postnatal age was 34 days. The median dose was 0.1 mg/kg (0.1 -0.2). All the infants tolerated the medication well and none developed hypotension, bradycardia or died (13). </w:t>
            </w:r>
          </w:p>
          <w:p w:rsidRPr="00293B63" w:rsidR="00293B63" w:rsidP="00131848" w:rsidRDefault="00293B63" w14:paraId="70F6713F" w14:textId="77777777">
            <w:pPr>
              <w:rPr>
                <w:sz w:val="16"/>
                <w:szCs w:val="16"/>
                <w:lang w:val="en-US"/>
              </w:rPr>
            </w:pPr>
          </w:p>
          <w:p w:rsidRPr="00293B63" w:rsidR="00293B63" w:rsidP="00131848" w:rsidRDefault="00293B63" w14:paraId="39638164" w14:textId="77777777">
            <w:pPr>
              <w:rPr>
                <w:sz w:val="16"/>
                <w:szCs w:val="16"/>
                <w:lang w:val="en-US"/>
              </w:rPr>
            </w:pPr>
            <w:r w:rsidRPr="00293B63">
              <w:rPr>
                <w:sz w:val="16"/>
                <w:szCs w:val="16"/>
                <w:lang w:val="en-US"/>
              </w:rPr>
              <w:t xml:space="preserve">Intranasal midazolam for seizures: In a randomised study, Fisgin et al administered 0.2 mg/kg Midazolam intranasally to 16 participants aged 0-24 months over 30 seconds using an injector. The age of youngest participants was 1 month but the number of participants of age 1 month was not clear. In 87% of the participants in the nasal Midazolam group the seizures were terminated compared to 60% in the rectal Diazepam group. Authors reported no major adverse events following intranasal Midazolam (14,15). </w:t>
            </w:r>
          </w:p>
          <w:p w:rsidRPr="00293B63" w:rsidR="00293B63" w:rsidP="00131848" w:rsidRDefault="00293B63" w14:paraId="39679B57" w14:textId="77777777">
            <w:pPr>
              <w:rPr>
                <w:sz w:val="16"/>
                <w:szCs w:val="16"/>
                <w:lang w:val="en-US"/>
              </w:rPr>
            </w:pPr>
          </w:p>
          <w:p w:rsidRPr="00293B63" w:rsidR="00293B63" w:rsidP="00131848" w:rsidRDefault="00293B63" w14:paraId="56BF336B" w14:textId="77777777">
            <w:pPr>
              <w:rPr>
                <w:b/>
                <w:sz w:val="16"/>
                <w:szCs w:val="16"/>
                <w:lang w:val="en-US"/>
              </w:rPr>
            </w:pPr>
            <w:r w:rsidRPr="00293B63">
              <w:rPr>
                <w:b/>
                <w:sz w:val="16"/>
                <w:szCs w:val="16"/>
                <w:lang w:val="en-US"/>
              </w:rPr>
              <w:t>Safety</w:t>
            </w:r>
          </w:p>
          <w:p w:rsidRPr="00293B63" w:rsidR="00293B63" w:rsidP="00131848" w:rsidRDefault="00293B63" w14:paraId="00246F69" w14:textId="77777777">
            <w:pPr>
              <w:rPr>
                <w:sz w:val="16"/>
                <w:szCs w:val="16"/>
                <w:lang w:val="en-US"/>
              </w:rPr>
            </w:pPr>
            <w:r w:rsidRPr="00293B63">
              <w:rPr>
                <w:sz w:val="16"/>
                <w:szCs w:val="16"/>
                <w:lang w:val="en-US"/>
              </w:rPr>
              <w:lastRenderedPageBreak/>
              <w:t>One study showed a statistically significant higher incidence of adverse neurological events (death, grade III or IV IVH, PVL) and meta-analysis of data from two studies showed a statistically significant longer duration of NICU stay in the midazolam group compared to the placebo group [1] (Level1, Grade B).</w:t>
            </w:r>
          </w:p>
          <w:p w:rsidRPr="00293B63" w:rsidR="00293B63" w:rsidP="00131848" w:rsidRDefault="00293B63" w14:paraId="10D2B2F7" w14:textId="77777777">
            <w:pPr>
              <w:rPr>
                <w:sz w:val="16"/>
                <w:szCs w:val="16"/>
                <w:lang w:val="en-US"/>
              </w:rPr>
            </w:pPr>
            <w:r w:rsidRPr="00293B63">
              <w:rPr>
                <w:sz w:val="16"/>
                <w:szCs w:val="16"/>
                <w:lang w:val="en-US"/>
              </w:rPr>
              <w:t>Administration of midazolam in ventilated premature infants causes significant changes in cerebral oxygenation and hemodynamics, which might be harmful [3] (Level III, Grade C).</w:t>
            </w:r>
          </w:p>
          <w:p w:rsidRPr="00293B63" w:rsidR="00293B63" w:rsidP="00131848" w:rsidRDefault="00293B63" w14:paraId="7E285A76" w14:textId="77777777">
            <w:pPr>
              <w:rPr>
                <w:sz w:val="16"/>
                <w:szCs w:val="16"/>
                <w:lang w:val="en-US"/>
              </w:rPr>
            </w:pPr>
            <w:r w:rsidRPr="00293B63">
              <w:rPr>
                <w:sz w:val="16"/>
                <w:szCs w:val="16"/>
                <w:lang w:val="en-US"/>
              </w:rPr>
              <w:t>Intravenous bolus doses of midazolam in association with fentanyl should be used with great caution in the newborn, especially if very premature or with unstable blood pressure [4] (Level IV, Grade D).</w:t>
            </w:r>
          </w:p>
          <w:p w:rsidRPr="00293B63" w:rsidR="00293B63" w:rsidP="00131848" w:rsidRDefault="00293B63" w14:paraId="6D2359EE" w14:textId="77777777">
            <w:pPr>
              <w:rPr>
                <w:sz w:val="16"/>
                <w:szCs w:val="16"/>
                <w:lang w:val="en-US"/>
              </w:rPr>
            </w:pPr>
            <w:r w:rsidRPr="00293B63">
              <w:rPr>
                <w:sz w:val="16"/>
                <w:szCs w:val="16"/>
                <w:lang w:val="en-US"/>
              </w:rPr>
              <w:t>Sedation with midazolam has a transient effect on the background aEEG activity [5] (Level III, Grade C).</w:t>
            </w:r>
          </w:p>
          <w:p w:rsidRPr="00293B63" w:rsidR="00293B63" w:rsidP="00131848" w:rsidRDefault="00293B63" w14:paraId="003DF5A1" w14:textId="77777777">
            <w:pPr>
              <w:rPr>
                <w:sz w:val="16"/>
                <w:szCs w:val="16"/>
                <w:lang w:val="en-US"/>
              </w:rPr>
            </w:pPr>
          </w:p>
          <w:p w:rsidRPr="00293B63" w:rsidR="00293B63" w:rsidP="00131848" w:rsidRDefault="00293B63" w14:paraId="6404BFD5" w14:textId="77777777">
            <w:pPr>
              <w:rPr>
                <w:b/>
                <w:sz w:val="16"/>
                <w:szCs w:val="16"/>
                <w:lang w:val="en-US"/>
              </w:rPr>
            </w:pPr>
            <w:r w:rsidRPr="00293B63">
              <w:rPr>
                <w:b/>
                <w:sz w:val="16"/>
                <w:szCs w:val="16"/>
                <w:lang w:val="en-US"/>
              </w:rPr>
              <w:t>Pharmacokinetics</w:t>
            </w:r>
          </w:p>
          <w:p w:rsidRPr="00293B63" w:rsidR="00293B63" w:rsidP="00131848" w:rsidRDefault="00293B63" w14:paraId="25403DE0" w14:textId="77777777">
            <w:pPr>
              <w:rPr>
                <w:sz w:val="16"/>
                <w:szCs w:val="16"/>
                <w:lang w:val="en-US"/>
              </w:rPr>
            </w:pPr>
            <w:r w:rsidRPr="00293B63">
              <w:rPr>
                <w:sz w:val="16"/>
                <w:szCs w:val="16"/>
                <w:lang w:val="en-US"/>
              </w:rPr>
              <w:t>Midazolam is highly protein bound with an elimination half-life of 4−6 hours in term neonates and a variable half-life (up to 22 hours) in premature neonates and those with impaired hepatic function.</w:t>
            </w:r>
          </w:p>
          <w:p w:rsidRPr="00293B63" w:rsidR="00293B63" w:rsidP="00131848" w:rsidRDefault="00293B63" w14:paraId="2C928707" w14:textId="77777777">
            <w:pPr>
              <w:pStyle w:val="BodyText"/>
              <w:tabs>
                <w:tab w:val="left" w:pos="1168"/>
              </w:tabs>
              <w:rPr>
                <w:rFonts w:asciiTheme="minorHAnsi" w:hAnsiTheme="minorHAnsi" w:cstheme="minorHAnsi"/>
                <w:sz w:val="16"/>
                <w:szCs w:val="16"/>
              </w:rPr>
            </w:pPr>
            <w:r w:rsidRPr="00293B63">
              <w:rPr>
                <w:sz w:val="16"/>
                <w:szCs w:val="16"/>
                <w:lang w:val="en-US"/>
              </w:rPr>
              <w:t>Bioavailability is approximately 36% with oral administration and 50% with sublingual and intranasal administration [6] (Level III, Grade C).</w:t>
            </w:r>
          </w:p>
        </w:tc>
      </w:tr>
      <w:tr w:rsidRPr="00A0540A" w:rsidR="00293B63" w:rsidTr="008074AA" w14:paraId="396D5FA8" w14:textId="77777777">
        <w:trPr>
          <w:trHeight w:val="263"/>
        </w:trPr>
        <w:tc>
          <w:tcPr>
            <w:tcW w:w="850" w:type="pct"/>
          </w:tcPr>
          <w:p w:rsidRPr="00A0540A" w:rsidR="00293B63" w:rsidP="00131848" w:rsidRDefault="00293B63" w14:paraId="63F7BA4D" w14:textId="77777777">
            <w:pPr>
              <w:pStyle w:val="BodyText"/>
              <w:rPr>
                <w:rFonts w:asciiTheme="minorHAnsi" w:hAnsiTheme="minorHAnsi" w:cstheme="minorHAnsi"/>
                <w:b/>
                <w:bCs/>
                <w:sz w:val="20"/>
              </w:rPr>
            </w:pPr>
            <w:r w:rsidRPr="00A0540A">
              <w:rPr>
                <w:rFonts w:asciiTheme="minorHAnsi" w:hAnsiTheme="minorHAnsi" w:cstheme="minorHAnsi"/>
                <w:b/>
                <w:bCs/>
                <w:sz w:val="20"/>
              </w:rPr>
              <w:lastRenderedPageBreak/>
              <w:t>Practice points</w:t>
            </w:r>
          </w:p>
        </w:tc>
        <w:tc>
          <w:tcPr>
            <w:tcW w:w="4150" w:type="pct"/>
          </w:tcPr>
          <w:p w:rsidRPr="00A0540A" w:rsidR="00293B63" w:rsidP="00131848" w:rsidRDefault="00293B63" w14:paraId="31B2F4FD" w14:textId="77777777">
            <w:pPr>
              <w:pStyle w:val="BodyText"/>
              <w:tabs>
                <w:tab w:val="left" w:pos="1168"/>
              </w:tabs>
              <w:rPr>
                <w:rFonts w:asciiTheme="minorHAnsi" w:hAnsiTheme="minorHAnsi" w:cstheme="minorHAnsi"/>
                <w:sz w:val="20"/>
              </w:rPr>
            </w:pPr>
          </w:p>
        </w:tc>
      </w:tr>
      <w:tr w:rsidRPr="00A0540A" w:rsidR="00293B63" w:rsidTr="008074AA" w14:paraId="21991D51" w14:textId="77777777">
        <w:trPr>
          <w:trHeight w:val="263"/>
        </w:trPr>
        <w:tc>
          <w:tcPr>
            <w:tcW w:w="850" w:type="pct"/>
          </w:tcPr>
          <w:p w:rsidRPr="00A0540A" w:rsidR="00293B63" w:rsidP="00131848" w:rsidRDefault="00293B63" w14:paraId="33FB9064" w14:textId="77777777">
            <w:pPr>
              <w:pStyle w:val="BodyText"/>
              <w:rPr>
                <w:rFonts w:asciiTheme="minorHAnsi" w:hAnsiTheme="minorHAnsi" w:cstheme="minorHAnsi"/>
                <w:b/>
                <w:bCs/>
                <w:sz w:val="20"/>
              </w:rPr>
            </w:pPr>
            <w:r w:rsidRPr="00A0540A">
              <w:rPr>
                <w:rFonts w:asciiTheme="minorHAnsi" w:hAnsiTheme="minorHAnsi" w:cstheme="minorHAnsi"/>
                <w:b/>
                <w:sz w:val="20"/>
              </w:rPr>
              <w:t>References</w:t>
            </w:r>
          </w:p>
        </w:tc>
        <w:tc>
          <w:tcPr>
            <w:tcW w:w="4150" w:type="pct"/>
          </w:tcPr>
          <w:p w:rsidRPr="00293B63" w:rsidR="00293B63" w:rsidP="00293B63" w:rsidRDefault="00293B63" w14:paraId="54DF166E"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Ng E, Taddio A, Ohlsson A. Intravenous midazolam infusion for sedation of infants in the neonatal intensive care unit. The Cochrane database of systematic reviews. 2012;6:CD002052.</w:t>
            </w:r>
          </w:p>
          <w:p w:rsidRPr="00293B63" w:rsidR="00293B63" w:rsidP="00293B63" w:rsidRDefault="00293B63" w14:paraId="0D6C6C74"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Castro Conde JR, Hernandez Borges AA, Domenech Martinez E, Gonzalez Campo C, Perera Soler R. Midazolam in neonatal seizures with no response to phenobarbital. Neurology. Mar 8 2005;64(5):876–879.</w:t>
            </w:r>
          </w:p>
          <w:p w:rsidRPr="00293B63" w:rsidR="00293B63" w:rsidP="00293B63" w:rsidRDefault="00293B63" w14:paraId="13896699"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Van Alfen-van der Velden AA, Hopman JC, Klaessens JH, Feuth T, Sengers RC, Liem KD. Effects of midazolam and morphine on cerebral oxygenation and hemodynamics in ventilated premature infants. Biology of the Neonate. 2006;90(3):197–202.</w:t>
            </w:r>
          </w:p>
          <w:p w:rsidRPr="00293B63" w:rsidR="00293B63" w:rsidP="00293B63" w:rsidRDefault="00293B63" w14:paraId="1931C7DD"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Burtin P, Daoud P, Jacqz-Aigrain E, Mussat P, Moriette G. Hypotension with midazolam and fentanyl in the newborn. Lancet. Jun 22 1991;337(8756):1545–1546</w:t>
            </w:r>
          </w:p>
          <w:p w:rsidRPr="00293B63" w:rsidR="00293B63" w:rsidP="00293B63" w:rsidRDefault="00293B63" w14:paraId="25CD1951"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Bernet V, Latal B, Natalucci G, Doell C, Ziegler A, Wohlrab G. Effect of sedation and analgesia on postoperative amplitude-integrated EEG in newborn cardiac patients. Pediatr Res. Jun 2010;67(6):650–655.</w:t>
            </w:r>
          </w:p>
          <w:p w:rsidRPr="00293B63" w:rsidR="00293B63" w:rsidP="00293B63" w:rsidRDefault="00293B63" w14:paraId="4850FC76"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De Wildt SN, Kearns GL, Hop WC, Murry DJ, Abdel-Rahman SM, van den Anker JN. Pharmacokinetics and metabolism of intravenous midazolam in preterm infants. Clin Pharmacol Ther. 2001 Dec;70(6):525–31.</w:t>
            </w:r>
          </w:p>
          <w:p w:rsidRPr="00293B63" w:rsidR="00293B63" w:rsidP="00293B63" w:rsidRDefault="00293B63" w14:paraId="65F21202"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Taketomo CK, Hodding JH, Kraus DM, American Pharmacists Association. Pediatric and neonatal dosage handbook. Hudson, Ohio: Lexi-Comp: American Pharmacists Association; 2015.</w:t>
            </w:r>
          </w:p>
          <w:p w:rsidRPr="00293B63" w:rsidR="00293B63" w:rsidP="00293B63" w:rsidRDefault="00293B63" w14:paraId="12A9BA16"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Australian Injectable Drugs Handbook, 6th Edition, Society of Hospital Pharmacists of Australia 2014.</w:t>
            </w:r>
          </w:p>
          <w:p w:rsidRPr="00293B63" w:rsidR="00293B63" w:rsidP="00293B63" w:rsidRDefault="00293B63" w14:paraId="14548BED"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Van Den Broek MP, Van Straaten HL, Huitema AD, Egberts T, Toet MC, De Vries LS, Rademaker K, Groenendaal F. Anticonvulsant effectiveness and hemodynamic safety of midazolam in full-term infants treated with hypothermia. Neonatology. 2015 Jan 8;107(2):150-6.</w:t>
            </w:r>
          </w:p>
          <w:p w:rsidRPr="00293B63" w:rsidR="00293B63" w:rsidP="00293B63" w:rsidRDefault="00293B63" w14:paraId="0A88C3D7"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Micromedex online. Midazolam. Accessed on 21 April 2021.</w:t>
            </w:r>
          </w:p>
          <w:p w:rsidRPr="00293B63" w:rsidR="00293B63" w:rsidP="00293B63" w:rsidRDefault="00293B63" w14:paraId="3BCDC02F"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Australian injectable drugs handbook. Midazolam. Accessed on 22 April 2021.</w:t>
            </w:r>
          </w:p>
          <w:p w:rsidRPr="00293B63" w:rsidR="00293B63" w:rsidP="00293B63" w:rsidRDefault="00293B63" w14:paraId="5F52A3F0"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val="en-US"/>
              </w:rPr>
              <w:t>Milési C, Baleine J, Mura T, et al. Nasal midazolam vs ketamine for neonatal intubation in the delivery room: a randomised trial Arch Dis Child Fetal Neonatal Ed 2018; 103:F221–F226.</w:t>
            </w:r>
          </w:p>
          <w:p w:rsidRPr="00293B63" w:rsidR="00293B63" w:rsidP="00293B63" w:rsidRDefault="00293B63" w14:paraId="0068185D"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val="en-US"/>
              </w:rPr>
              <w:t>Lawrence C. Ku, Catherine Simmons, Brian Smith, et al. Pediatrics Jan 2018, 141 (1 Meeting Abstract) 532; DOI: 10.1542/peds.141.1_MeetingAbstract.532.</w:t>
            </w:r>
          </w:p>
          <w:p w:rsidRPr="00293B63" w:rsidR="00293B63" w:rsidP="00293B63" w:rsidRDefault="00293B63" w14:paraId="347B6A06"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 xml:space="preserve">Fişgin T, Gürer Y, Senbil N, et al. Nasal midazolam effects on childhood acute seizures. J Child Neurol. 2000 Dec; 15(12):833-5. </w:t>
            </w:r>
          </w:p>
          <w:p w:rsidRPr="00293B63" w:rsidR="00293B63" w:rsidP="00293B63" w:rsidRDefault="00293B63" w14:paraId="7D9F3188"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Humphries LK, Eiland LS. Treatment of acute seizures: is intranasal midazolam a viable option? J Pediatr Pharmacol Ther. 2013 Apr;18(2):79-87.</w:t>
            </w:r>
          </w:p>
          <w:p w:rsidRPr="00293B63" w:rsidR="00293B63" w:rsidP="00293B63" w:rsidRDefault="00293B63" w14:paraId="5F3C3653"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Raffaeli G, Pokorna P, Allegaert K, et al. Drug Disposition and Pharmacotherapy in Neonatal ECMO: From Fragmented Data to Integrated Knowledge. Front Pediatr. 2019; 7:360. Published 2019 Sep 3. doi:10.3389/fped.2019.00360.</w:t>
            </w:r>
          </w:p>
          <w:p w:rsidRPr="00293B63" w:rsidR="00293B63" w:rsidP="00293B63" w:rsidRDefault="00293B63" w14:paraId="23FCFB2D" w14:textId="77777777">
            <w:pPr>
              <w:pStyle w:val="ListParagraph"/>
              <w:numPr>
                <w:ilvl w:val="0"/>
                <w:numId w:val="108"/>
              </w:numPr>
              <w:autoSpaceDE w:val="0"/>
              <w:autoSpaceDN w:val="0"/>
              <w:adjustRightInd w:val="0"/>
              <w:ind w:left="360"/>
              <w:rPr>
                <w:sz w:val="16"/>
                <w:szCs w:val="16"/>
                <w:lang w:eastAsia="en-AU"/>
              </w:rPr>
            </w:pPr>
            <w:r w:rsidRPr="00293B63">
              <w:rPr>
                <w:sz w:val="16"/>
                <w:szCs w:val="16"/>
                <w:lang w:eastAsia="en-AU"/>
              </w:rPr>
              <w:t>Favié, Laurent M A et al. “Phenobarbital, Midazolam Pharmacokinetics, Effectiveness, and Drug-Drug Interaction in Asphyxiated Neonates Undergoing Therapeutic Hypothermia.” Neonatology vol. 116, 2 (2019): 154-162.</w:t>
            </w:r>
          </w:p>
          <w:p w:rsidRPr="00293B63" w:rsidR="00293B63" w:rsidP="00293B63" w:rsidRDefault="00293B63" w14:paraId="3B3CABD7" w14:textId="77777777">
            <w:pPr>
              <w:pStyle w:val="ListParagraph"/>
              <w:numPr>
                <w:ilvl w:val="0"/>
                <w:numId w:val="108"/>
              </w:numPr>
              <w:autoSpaceDE w:val="0"/>
              <w:autoSpaceDN w:val="0"/>
              <w:adjustRightInd w:val="0"/>
              <w:ind w:left="360"/>
              <w:rPr>
                <w:sz w:val="16"/>
                <w:szCs w:val="16"/>
                <w:lang w:eastAsia="en-AU"/>
              </w:rPr>
            </w:pPr>
          </w:p>
        </w:tc>
      </w:tr>
    </w:tbl>
    <w:p w:rsidRPr="00E25790" w:rsidR="0042364D" w:rsidP="006F0321" w:rsidRDefault="0042364D" w14:paraId="7B9BB8B1" w14:textId="77777777"/>
    <w:tbl>
      <w:tblPr>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395"/>
        <w:gridCol w:w="4536"/>
      </w:tblGrid>
      <w:tr w:rsidRPr="003C2CBA" w:rsidR="0020431B" w:rsidTr="0053166D" w14:paraId="3CA6ED4B" w14:textId="77777777">
        <w:tc>
          <w:tcPr>
            <w:tcW w:w="4395" w:type="dxa"/>
            <w:vAlign w:val="center"/>
          </w:tcPr>
          <w:p w:rsidRPr="003C2CBA" w:rsidR="0053166D" w:rsidP="002069E4" w:rsidRDefault="0053166D" w14:paraId="5F050552" w14:textId="77777777">
            <w:r>
              <w:t>Original version Date: 23/03/2016</w:t>
            </w:r>
          </w:p>
        </w:tc>
        <w:tc>
          <w:tcPr>
            <w:tcW w:w="4536" w:type="dxa"/>
            <w:vAlign w:val="center"/>
          </w:tcPr>
          <w:p w:rsidRPr="003C2CBA" w:rsidR="0053166D" w:rsidP="002069E4" w:rsidRDefault="0053166D" w14:paraId="5EAA0C4E" w14:textId="77777777">
            <w:r w:rsidRPr="003C2CBA">
              <w:t xml:space="preserve">Author: </w:t>
            </w:r>
            <w:r>
              <w:t>NMF</w:t>
            </w:r>
            <w:r w:rsidRPr="003C2CBA">
              <w:t xml:space="preserve"> Consensus Group</w:t>
            </w:r>
          </w:p>
        </w:tc>
      </w:tr>
      <w:tr w:rsidRPr="003C2CBA" w:rsidR="0020431B" w:rsidTr="0053166D" w14:paraId="75ABA5BD" w14:textId="77777777">
        <w:tc>
          <w:tcPr>
            <w:tcW w:w="4395" w:type="dxa"/>
            <w:vAlign w:val="center"/>
          </w:tcPr>
          <w:p w:rsidRPr="003C2CBA" w:rsidR="0053166D" w:rsidP="002069E4" w:rsidRDefault="0053166D" w14:paraId="6AEA31BB" w14:textId="653E0013">
            <w:pPr>
              <w:rPr>
                <w:bCs/>
              </w:rPr>
            </w:pPr>
            <w:r w:rsidRPr="003C2CBA">
              <w:t xml:space="preserve">Current Version number:  </w:t>
            </w:r>
            <w:r w:rsidR="00E228C5">
              <w:t>2</w:t>
            </w:r>
          </w:p>
        </w:tc>
        <w:tc>
          <w:tcPr>
            <w:tcW w:w="4536" w:type="dxa"/>
            <w:vAlign w:val="center"/>
          </w:tcPr>
          <w:p w:rsidRPr="003C2CBA" w:rsidR="0053166D" w:rsidP="002069E4" w:rsidRDefault="0053166D" w14:paraId="3582CAD2" w14:textId="23570763">
            <w:r w:rsidRPr="003C2CBA">
              <w:t xml:space="preserve">Version Date:  </w:t>
            </w:r>
            <w:r w:rsidR="00FE16CB">
              <w:t>18-6-2021</w:t>
            </w:r>
          </w:p>
        </w:tc>
      </w:tr>
      <w:tr w:rsidRPr="003C2CBA" w:rsidR="0020431B" w:rsidTr="0053166D" w14:paraId="513E210E" w14:textId="77777777">
        <w:tc>
          <w:tcPr>
            <w:tcW w:w="4395" w:type="dxa"/>
            <w:vAlign w:val="center"/>
          </w:tcPr>
          <w:p w:rsidRPr="003C2CBA" w:rsidR="0053166D" w:rsidP="002069E4" w:rsidRDefault="0053166D" w14:paraId="5502407D" w14:textId="66850DBB">
            <w:r w:rsidRPr="003C2CBA">
              <w:t xml:space="preserve">Risk Rating: </w:t>
            </w:r>
            <w:r w:rsidR="00E228C5">
              <w:t>Low</w:t>
            </w:r>
          </w:p>
        </w:tc>
        <w:tc>
          <w:tcPr>
            <w:tcW w:w="4536" w:type="dxa"/>
            <w:vAlign w:val="center"/>
          </w:tcPr>
          <w:p w:rsidRPr="003C2CBA" w:rsidR="0053166D" w:rsidP="002069E4" w:rsidRDefault="0053166D" w14:paraId="5270ECED" w14:textId="105840D7">
            <w:r w:rsidRPr="003C2CBA">
              <w:t xml:space="preserve">Due for Review: </w:t>
            </w:r>
            <w:r w:rsidR="00FE16CB">
              <w:t>18-6-2026</w:t>
            </w:r>
          </w:p>
        </w:tc>
      </w:tr>
      <w:tr w:rsidRPr="003C2CBA" w:rsidR="0020431B" w:rsidTr="0053166D" w14:paraId="4AC9008D" w14:textId="77777777">
        <w:trPr>
          <w:trHeight w:val="344"/>
        </w:trPr>
        <w:tc>
          <w:tcPr>
            <w:tcW w:w="4395" w:type="dxa"/>
            <w:tcBorders>
              <w:bottom w:val="single" w:color="auto" w:sz="4" w:space="0"/>
            </w:tcBorders>
            <w:vAlign w:val="center"/>
          </w:tcPr>
          <w:p w:rsidRPr="003C2CBA" w:rsidR="0053166D" w:rsidP="002069E4" w:rsidRDefault="0053166D" w14:paraId="5786F193" w14:textId="77777777">
            <w:r w:rsidRPr="003C2CBA">
              <w:t xml:space="preserve">Approved by: </w:t>
            </w:r>
            <w:r>
              <w:t>DTC</w:t>
            </w:r>
          </w:p>
        </w:tc>
        <w:tc>
          <w:tcPr>
            <w:tcW w:w="4536" w:type="dxa"/>
            <w:tcBorders>
              <w:bottom w:val="single" w:color="auto" w:sz="4" w:space="0"/>
            </w:tcBorders>
            <w:vAlign w:val="center"/>
          </w:tcPr>
          <w:p w:rsidRPr="003C2CBA" w:rsidR="0053166D" w:rsidP="002069E4" w:rsidRDefault="0053166D" w14:paraId="6EEE65EC" w14:textId="414E0C74">
            <w:r w:rsidRPr="003C2CBA">
              <w:t xml:space="preserve">Approval Date: </w:t>
            </w:r>
            <w:r w:rsidR="00260BC8">
              <w:t>APRIL 2021</w:t>
            </w:r>
          </w:p>
        </w:tc>
      </w:tr>
    </w:tbl>
    <w:p w:rsidRPr="00E25790" w:rsidR="0053166D" w:rsidP="006F0321" w:rsidRDefault="0053166D" w14:paraId="1C26F7C4" w14:textId="77777777"/>
    <w:p w:rsidRPr="00E25790" w:rsidR="0053166D" w:rsidP="006F0321" w:rsidRDefault="0053166D" w14:paraId="1DFBEC2D" w14:textId="77777777"/>
    <w:p w:rsidRPr="00E25790" w:rsidR="0053166D" w:rsidP="006F0321" w:rsidRDefault="0053166D" w14:paraId="64A0493F" w14:textId="77777777"/>
    <w:p w:rsidR="0053166D" w:rsidP="006F0321" w:rsidRDefault="0053166D" w14:paraId="7426D9FD" w14:textId="77777777"/>
    <w:p w:rsidR="0042364D" w:rsidP="006F0321" w:rsidRDefault="0042364D" w14:paraId="237B2107" w14:textId="77777777"/>
    <w:p w:rsidR="0042364D" w:rsidP="006F0321" w:rsidRDefault="0042364D" w14:paraId="5E0BBE2A" w14:textId="77777777"/>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2517AB48" w:rsidTr="74D9459A" w14:paraId="0BE83BE2" w14:textId="77777777">
        <w:trPr>
          <w:trHeight w:val="720"/>
        </w:trPr>
        <w:tc>
          <w:tcPr>
            <w:tcW w:w="8980" w:type="dxa"/>
            <w:gridSpan w:val="2"/>
            <w:shd w:val="clear" w:color="auto" w:fill="FFFF00"/>
          </w:tcPr>
          <w:p w:rsidR="2517AB48" w:rsidP="2517AB48" w:rsidRDefault="28B74DC9" w14:paraId="413FE65A" w14:textId="358CE773">
            <w:pPr>
              <w:pStyle w:val="Heading1"/>
            </w:pPr>
            <w:bookmarkStart w:name="_Toc75340008" w:id="406"/>
            <w:r>
              <w:lastRenderedPageBreak/>
              <w:t>M</w:t>
            </w:r>
            <w:r w:rsidR="1A165882">
              <w:t>ilrinone</w:t>
            </w:r>
            <w:bookmarkEnd w:id="406"/>
            <w:r w:rsidR="2517AB48">
              <w:fldChar w:fldCharType="begin"/>
            </w:r>
            <w:r w:rsidR="2517AB48">
              <w:instrText>tc "Ampicillin" \l 0</w:instrText>
            </w:r>
            <w:r w:rsidR="2517AB48">
              <w:fldChar w:fldCharType="end"/>
            </w:r>
          </w:p>
        </w:tc>
      </w:tr>
      <w:tr w:rsidR="2517AB48" w:rsidTr="74D9459A" w14:paraId="08E4EBB5" w14:textId="77777777">
        <w:trPr>
          <w:trHeight w:val="480"/>
        </w:trPr>
        <w:tc>
          <w:tcPr>
            <w:tcW w:w="4122" w:type="dxa"/>
            <w:shd w:val="clear" w:color="auto" w:fill="FFFF00"/>
          </w:tcPr>
          <w:p w:rsidR="2517AB48" w:rsidRDefault="2517AB48" w14:paraId="68D2DB20" w14:textId="632EF78D">
            <w:r>
              <w:t xml:space="preserve">Revision Date : </w:t>
            </w:r>
            <w:r w:rsidR="00C70005">
              <w:t>18-2-2021</w:t>
            </w:r>
          </w:p>
        </w:tc>
        <w:tc>
          <w:tcPr>
            <w:tcW w:w="4858" w:type="dxa"/>
            <w:shd w:val="clear" w:color="auto" w:fill="FFFF00"/>
          </w:tcPr>
          <w:p w:rsidR="2517AB48" w:rsidRDefault="2517AB48" w14:paraId="578ABBF2" w14:textId="77777777">
            <w:r>
              <w:t>Approved : TC, KOH</w:t>
            </w:r>
          </w:p>
        </w:tc>
      </w:tr>
    </w:tbl>
    <w:p w:rsidRPr="00E25790" w:rsidR="0053166D" w:rsidP="006F0321" w:rsidRDefault="0053166D" w14:paraId="1DE709B8" w14:textId="77777777"/>
    <w:tbl>
      <w:tblPr>
        <w:tblW w:w="542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8090"/>
      </w:tblGrid>
      <w:tr w:rsidRPr="003B78EA" w:rsidR="00831AAA" w:rsidTr="008074AA" w14:paraId="42B96C14" w14:textId="77777777">
        <w:trPr>
          <w:trHeight w:val="263"/>
        </w:trPr>
        <w:tc>
          <w:tcPr>
            <w:tcW w:w="862" w:type="pct"/>
          </w:tcPr>
          <w:p w:rsidRPr="003B78EA" w:rsidR="00831AAA" w:rsidP="00131848" w:rsidRDefault="00831AAA" w14:paraId="2CC1A49E"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138" w:type="pct"/>
          </w:tcPr>
          <w:p w:rsidRPr="00050ECC" w:rsidR="00831AAA" w:rsidP="00131848" w:rsidRDefault="00831AAA" w14:paraId="1BD4F973" w14:textId="77777777">
            <w:pPr>
              <w:pStyle w:val="BodyText"/>
              <w:rPr>
                <w:color w:val="000000"/>
                <w:sz w:val="20"/>
              </w:rPr>
            </w:pPr>
            <w:r w:rsidRPr="00050ECC">
              <w:rPr>
                <w:color w:val="000000"/>
                <w:sz w:val="20"/>
              </w:rPr>
              <w:t xml:space="preserve">May cause hypotension. Caution advised when using loading dose. </w:t>
            </w:r>
          </w:p>
          <w:p w:rsidRPr="003B78EA" w:rsidR="00831AAA" w:rsidP="00131848" w:rsidRDefault="00831AAA" w14:paraId="54725F28" w14:textId="77777777">
            <w:pPr>
              <w:pStyle w:val="BodyText"/>
              <w:rPr>
                <w:rFonts w:asciiTheme="minorHAnsi" w:hAnsiTheme="minorHAnsi" w:cstheme="minorHAnsi"/>
                <w:sz w:val="20"/>
              </w:rPr>
            </w:pPr>
            <w:r w:rsidRPr="00050ECC">
              <w:rPr>
                <w:color w:val="000000"/>
                <w:sz w:val="20"/>
              </w:rPr>
              <w:t xml:space="preserve">Reduce infusion rate </w:t>
            </w:r>
            <w:r>
              <w:rPr>
                <w:color w:val="000000"/>
                <w:sz w:val="20"/>
              </w:rPr>
              <w:t>for</w:t>
            </w:r>
            <w:r w:rsidRPr="00050ECC">
              <w:rPr>
                <w:color w:val="000000"/>
                <w:sz w:val="20"/>
              </w:rPr>
              <w:t xml:space="preserve"> infants with renal impairment and prematurity. </w:t>
            </w:r>
          </w:p>
        </w:tc>
      </w:tr>
      <w:tr w:rsidRPr="005E645D" w:rsidR="00831AAA" w:rsidTr="008074AA" w14:paraId="76E6BB8A" w14:textId="77777777">
        <w:trPr>
          <w:trHeight w:val="263"/>
        </w:trPr>
        <w:tc>
          <w:tcPr>
            <w:tcW w:w="862" w:type="pct"/>
          </w:tcPr>
          <w:p w:rsidRPr="003B78EA" w:rsidR="00831AAA" w:rsidP="00131848" w:rsidRDefault="00831AAA" w14:paraId="5E742058"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138" w:type="pct"/>
          </w:tcPr>
          <w:p w:rsidR="00831AAA" w:rsidP="00131848" w:rsidRDefault="00831AAA" w14:paraId="2809AB15" w14:textId="77777777">
            <w:pPr>
              <w:ind w:left="174" w:hanging="141"/>
              <w:rPr>
                <w:color w:val="000000"/>
                <w:sz w:val="20"/>
              </w:rPr>
            </w:pPr>
            <w:r w:rsidRPr="005E645D">
              <w:rPr>
                <w:color w:val="000000"/>
                <w:sz w:val="20"/>
              </w:rPr>
              <w:t>Inotrope and vasodilator for:</w:t>
            </w:r>
            <w:r w:rsidRPr="005E645D">
              <w:rPr>
                <w:color w:val="000000"/>
                <w:sz w:val="20"/>
              </w:rPr>
              <w:br/>
            </w:r>
            <w:r>
              <w:rPr>
                <w:color w:val="000000"/>
                <w:sz w:val="20"/>
              </w:rPr>
              <w:t xml:space="preserve">1. </w:t>
            </w:r>
            <w:r w:rsidRPr="005E645D">
              <w:rPr>
                <w:color w:val="000000"/>
                <w:sz w:val="20"/>
              </w:rPr>
              <w:t xml:space="preserve">Treatment of low cardiac output and as an adjunct to inhaled nitric oxide in neonates with persistent pulmonary hypertension of the neonate </w:t>
            </w:r>
            <w:r w:rsidRPr="005E645D">
              <w:rPr>
                <w:noProof/>
                <w:color w:val="000000"/>
                <w:sz w:val="20"/>
                <w:vertAlign w:val="superscript"/>
              </w:rPr>
              <w:t>1</w:t>
            </w:r>
            <w:r w:rsidRPr="005E645D">
              <w:rPr>
                <w:color w:val="000000"/>
                <w:sz w:val="20"/>
              </w:rPr>
              <w:t>.</w:t>
            </w:r>
          </w:p>
          <w:p w:rsidRPr="005E645D" w:rsidR="00831AAA" w:rsidP="00131848" w:rsidRDefault="00831AAA" w14:paraId="15F519AD" w14:textId="77777777">
            <w:pPr>
              <w:ind w:left="174"/>
              <w:rPr>
                <w:rFonts w:asciiTheme="minorHAnsi" w:hAnsiTheme="minorHAnsi" w:cstheme="minorHAnsi"/>
                <w:sz w:val="20"/>
              </w:rPr>
            </w:pPr>
            <w:r>
              <w:rPr>
                <w:color w:val="000000"/>
                <w:sz w:val="20"/>
              </w:rPr>
              <w:t xml:space="preserve">2. </w:t>
            </w:r>
            <w:r w:rsidRPr="005E645D">
              <w:rPr>
                <w:color w:val="000000"/>
                <w:sz w:val="20"/>
              </w:rPr>
              <w:t>Prevention of low cardiac output syndrome (LCOS) post cardiac surgery</w:t>
            </w:r>
            <w:r w:rsidRPr="005E645D">
              <w:rPr>
                <w:noProof/>
                <w:color w:val="000000"/>
                <w:sz w:val="20"/>
                <w:vertAlign w:val="superscript"/>
              </w:rPr>
              <w:t>2, 3</w:t>
            </w:r>
            <w:r w:rsidRPr="005E645D">
              <w:rPr>
                <w:color w:val="000000"/>
                <w:sz w:val="20"/>
              </w:rPr>
              <w:t>.</w:t>
            </w:r>
            <w:r w:rsidRPr="006D4BA6">
              <w:rPr>
                <w:rStyle w:val="apple-converted-space"/>
                <w:color w:val="000000"/>
                <w:sz w:val="20"/>
              </w:rPr>
              <w:t> </w:t>
            </w:r>
            <w:r w:rsidRPr="005E645D">
              <w:rPr>
                <w:color w:val="000000"/>
                <w:sz w:val="20"/>
              </w:rPr>
              <w:br/>
            </w:r>
            <w:r>
              <w:rPr>
                <w:color w:val="000000"/>
                <w:sz w:val="20"/>
              </w:rPr>
              <w:t xml:space="preserve">3. </w:t>
            </w:r>
            <w:r w:rsidRPr="005E645D">
              <w:rPr>
                <w:color w:val="000000"/>
                <w:sz w:val="20"/>
              </w:rPr>
              <w:t xml:space="preserve">Treatment of myocardial dysfunction in neonates and children with shock particularly in context of enteroviral 71 infection </w:t>
            </w:r>
            <w:r w:rsidRPr="005E645D">
              <w:rPr>
                <w:noProof/>
                <w:color w:val="000000"/>
                <w:sz w:val="20"/>
                <w:vertAlign w:val="superscript"/>
              </w:rPr>
              <w:t>4</w:t>
            </w:r>
            <w:r w:rsidRPr="005E645D">
              <w:rPr>
                <w:color w:val="000000"/>
                <w:sz w:val="20"/>
              </w:rPr>
              <w:t>.</w:t>
            </w:r>
          </w:p>
        </w:tc>
      </w:tr>
      <w:tr w:rsidRPr="003B78EA" w:rsidR="00831AAA" w:rsidTr="008074AA" w14:paraId="4F817EEC" w14:textId="77777777">
        <w:trPr>
          <w:trHeight w:val="263"/>
        </w:trPr>
        <w:tc>
          <w:tcPr>
            <w:tcW w:w="862" w:type="pct"/>
          </w:tcPr>
          <w:p w:rsidRPr="003B78EA" w:rsidR="00831AAA" w:rsidP="00131848" w:rsidRDefault="00831AAA" w14:paraId="0CB59818"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138" w:type="pct"/>
          </w:tcPr>
          <w:p w:rsidRPr="003B78EA" w:rsidR="00831AAA" w:rsidP="00131848" w:rsidRDefault="00831AAA" w14:paraId="2D98870B" w14:textId="77777777">
            <w:pPr>
              <w:rPr>
                <w:rFonts w:asciiTheme="minorHAnsi" w:hAnsiTheme="minorHAnsi" w:cstheme="minorHAnsi"/>
                <w:sz w:val="20"/>
              </w:rPr>
            </w:pPr>
            <w:r w:rsidRPr="00050ECC">
              <w:rPr>
                <w:color w:val="000000"/>
                <w:sz w:val="20"/>
              </w:rPr>
              <w:t>Selective inhibitor of type 3 cAMP phosphodiesterase in cardiac and vascular muscle.</w:t>
            </w:r>
          </w:p>
        </w:tc>
      </w:tr>
      <w:tr w:rsidRPr="003B78EA" w:rsidR="00831AAA" w:rsidTr="008074AA" w14:paraId="0228518B" w14:textId="77777777">
        <w:trPr>
          <w:trHeight w:val="263"/>
        </w:trPr>
        <w:tc>
          <w:tcPr>
            <w:tcW w:w="862" w:type="pct"/>
          </w:tcPr>
          <w:p w:rsidRPr="003B78EA" w:rsidR="00831AAA" w:rsidP="00131848" w:rsidRDefault="00831AAA" w14:paraId="35EEF9FA"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138" w:type="pct"/>
          </w:tcPr>
          <w:p w:rsidRPr="003B78EA" w:rsidR="00831AAA" w:rsidP="00131848" w:rsidRDefault="00831AAA" w14:paraId="2BF8C849" w14:textId="77777777">
            <w:pPr>
              <w:pStyle w:val="BodyText"/>
              <w:rPr>
                <w:rFonts w:asciiTheme="minorHAnsi" w:hAnsiTheme="minorHAnsi" w:cstheme="minorHAnsi"/>
                <w:sz w:val="20"/>
              </w:rPr>
            </w:pPr>
            <w:r w:rsidRPr="00050ECC">
              <w:rPr>
                <w:color w:val="000000"/>
                <w:sz w:val="20"/>
              </w:rPr>
              <w:t>Inotrope and vasodilator.</w:t>
            </w:r>
          </w:p>
        </w:tc>
      </w:tr>
      <w:tr w:rsidRPr="003B78EA" w:rsidR="00831AAA" w:rsidTr="008074AA" w14:paraId="67923596" w14:textId="77777777">
        <w:trPr>
          <w:trHeight w:val="263"/>
        </w:trPr>
        <w:tc>
          <w:tcPr>
            <w:tcW w:w="862" w:type="pct"/>
          </w:tcPr>
          <w:p w:rsidRPr="003B78EA" w:rsidR="00831AAA" w:rsidP="00131848" w:rsidRDefault="00831AAA" w14:paraId="5FCCFDBD"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138" w:type="pct"/>
          </w:tcPr>
          <w:p w:rsidRPr="003B78EA" w:rsidR="00831AAA" w:rsidP="00131848" w:rsidRDefault="00831AAA" w14:paraId="562F1700" w14:textId="77777777">
            <w:pPr>
              <w:pStyle w:val="BodyText"/>
              <w:rPr>
                <w:rFonts w:asciiTheme="minorHAnsi" w:hAnsiTheme="minorHAnsi" w:cstheme="minorHAnsi"/>
                <w:sz w:val="20"/>
              </w:rPr>
            </w:pPr>
            <w:r w:rsidRPr="00050ECC">
              <w:rPr>
                <w:color w:val="000000"/>
                <w:sz w:val="20"/>
              </w:rPr>
              <w:t>Primacor, Milrinone GH</w:t>
            </w:r>
            <w:r>
              <w:rPr>
                <w:color w:val="000000"/>
                <w:sz w:val="20"/>
              </w:rPr>
              <w:t>, Milrinone-Baxter</w:t>
            </w:r>
          </w:p>
        </w:tc>
      </w:tr>
      <w:tr w:rsidRPr="003B78EA" w:rsidR="00831AAA" w:rsidTr="008074AA" w14:paraId="57805DE7" w14:textId="77777777">
        <w:trPr>
          <w:trHeight w:val="263"/>
        </w:trPr>
        <w:tc>
          <w:tcPr>
            <w:tcW w:w="862" w:type="pct"/>
          </w:tcPr>
          <w:p w:rsidRPr="003B78EA" w:rsidR="00831AAA" w:rsidP="00131848" w:rsidRDefault="00831AAA" w14:paraId="6F1EAC7B"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138" w:type="pct"/>
          </w:tcPr>
          <w:p w:rsidRPr="003B78EA" w:rsidR="00831AAA" w:rsidP="00131848" w:rsidRDefault="00831AAA" w14:paraId="06CBE798" w14:textId="77777777">
            <w:pPr>
              <w:pStyle w:val="BodyText"/>
              <w:rPr>
                <w:rFonts w:asciiTheme="minorHAnsi" w:hAnsiTheme="minorHAnsi" w:cstheme="minorHAnsi"/>
                <w:sz w:val="20"/>
              </w:rPr>
            </w:pPr>
            <w:r>
              <w:rPr>
                <w:rFonts w:cs="Arial"/>
                <w:sz w:val="20"/>
              </w:rPr>
              <w:t>10</w:t>
            </w:r>
            <w:r w:rsidRPr="00050ECC">
              <w:rPr>
                <w:rFonts w:cs="Arial"/>
                <w:sz w:val="20"/>
              </w:rPr>
              <w:t>mg/</w:t>
            </w:r>
            <w:r>
              <w:rPr>
                <w:rFonts w:cs="Arial"/>
                <w:sz w:val="20"/>
              </w:rPr>
              <w:t>10</w:t>
            </w:r>
            <w:r w:rsidRPr="00050ECC">
              <w:rPr>
                <w:rFonts w:cs="Arial"/>
                <w:sz w:val="20"/>
              </w:rPr>
              <w:t>mL (1000 microgram/mL) vial.</w:t>
            </w:r>
          </w:p>
        </w:tc>
      </w:tr>
      <w:tr w:rsidR="00831AAA" w:rsidTr="008074AA" w14:paraId="0E93FF97" w14:textId="77777777">
        <w:trPr>
          <w:trHeight w:val="3062"/>
        </w:trPr>
        <w:tc>
          <w:tcPr>
            <w:tcW w:w="862" w:type="pct"/>
          </w:tcPr>
          <w:p w:rsidR="00831AAA" w:rsidP="00131848" w:rsidRDefault="00831AAA" w14:paraId="729F3CC8"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p w:rsidR="00831AAA" w:rsidP="00131848" w:rsidRDefault="00831AAA" w14:paraId="61EBCB00" w14:textId="77777777">
            <w:pPr>
              <w:pStyle w:val="BodyText"/>
              <w:rPr>
                <w:rFonts w:asciiTheme="minorHAnsi" w:hAnsiTheme="minorHAnsi" w:cstheme="minorHAnsi"/>
                <w:b/>
                <w:bCs/>
                <w:sz w:val="20"/>
              </w:rPr>
            </w:pPr>
          </w:p>
          <w:p w:rsidR="00831AAA" w:rsidP="00131848" w:rsidRDefault="00831AAA" w14:paraId="2DD7B311" w14:textId="77777777">
            <w:pPr>
              <w:pStyle w:val="BodyText"/>
              <w:rPr>
                <w:rFonts w:asciiTheme="minorHAnsi" w:hAnsiTheme="minorHAnsi" w:cstheme="minorHAnsi"/>
                <w:b/>
                <w:bCs/>
                <w:sz w:val="20"/>
              </w:rPr>
            </w:pPr>
          </w:p>
          <w:p w:rsidR="00831AAA" w:rsidP="00131848" w:rsidRDefault="00831AAA" w14:paraId="46FD5483" w14:textId="77777777">
            <w:pPr>
              <w:pStyle w:val="BodyText"/>
              <w:rPr>
                <w:rFonts w:asciiTheme="minorHAnsi" w:hAnsiTheme="minorHAnsi" w:cstheme="minorHAnsi"/>
                <w:b/>
                <w:bCs/>
                <w:sz w:val="20"/>
              </w:rPr>
            </w:pPr>
          </w:p>
          <w:p w:rsidR="00831AAA" w:rsidP="00131848" w:rsidRDefault="00831AAA" w14:paraId="7FA00E69" w14:textId="77777777">
            <w:pPr>
              <w:pStyle w:val="BodyText"/>
              <w:rPr>
                <w:rFonts w:asciiTheme="minorHAnsi" w:hAnsiTheme="minorHAnsi" w:cstheme="minorHAnsi"/>
                <w:b/>
                <w:bCs/>
                <w:sz w:val="20"/>
              </w:rPr>
            </w:pPr>
          </w:p>
          <w:p w:rsidR="00831AAA" w:rsidP="00131848" w:rsidRDefault="00831AAA" w14:paraId="3A55D6C5" w14:textId="77777777">
            <w:pPr>
              <w:pStyle w:val="BodyText"/>
              <w:rPr>
                <w:rFonts w:asciiTheme="minorHAnsi" w:hAnsiTheme="minorHAnsi" w:cstheme="minorHAnsi"/>
                <w:b/>
                <w:bCs/>
                <w:sz w:val="20"/>
              </w:rPr>
            </w:pPr>
          </w:p>
          <w:p w:rsidR="00831AAA" w:rsidP="00131848" w:rsidRDefault="00831AAA" w14:paraId="0A1D0A87" w14:textId="77777777">
            <w:pPr>
              <w:pStyle w:val="BodyText"/>
              <w:rPr>
                <w:rFonts w:asciiTheme="minorHAnsi" w:hAnsiTheme="minorHAnsi" w:cstheme="minorHAnsi"/>
                <w:b/>
                <w:bCs/>
                <w:sz w:val="20"/>
              </w:rPr>
            </w:pPr>
          </w:p>
          <w:p w:rsidR="00831AAA" w:rsidP="00131848" w:rsidRDefault="00831AAA" w14:paraId="1729910C" w14:textId="77777777">
            <w:pPr>
              <w:pStyle w:val="BodyText"/>
              <w:rPr>
                <w:rFonts w:asciiTheme="minorHAnsi" w:hAnsiTheme="minorHAnsi" w:cstheme="minorHAnsi"/>
                <w:b/>
                <w:bCs/>
                <w:sz w:val="20"/>
              </w:rPr>
            </w:pPr>
          </w:p>
          <w:p w:rsidR="00831AAA" w:rsidP="00131848" w:rsidRDefault="00831AAA" w14:paraId="30AE2F16" w14:textId="77777777">
            <w:pPr>
              <w:pStyle w:val="BodyText"/>
              <w:rPr>
                <w:rFonts w:asciiTheme="minorHAnsi" w:hAnsiTheme="minorHAnsi" w:cstheme="minorHAnsi"/>
                <w:b/>
                <w:bCs/>
                <w:sz w:val="20"/>
              </w:rPr>
            </w:pPr>
          </w:p>
          <w:p w:rsidR="00831AAA" w:rsidP="00131848" w:rsidRDefault="00831AAA" w14:paraId="25511B89" w14:textId="77777777">
            <w:pPr>
              <w:pStyle w:val="BodyText"/>
              <w:rPr>
                <w:rFonts w:asciiTheme="minorHAnsi" w:hAnsiTheme="minorHAnsi" w:cstheme="minorHAnsi"/>
                <w:b/>
                <w:bCs/>
                <w:sz w:val="20"/>
              </w:rPr>
            </w:pPr>
          </w:p>
          <w:p w:rsidR="00831AAA" w:rsidP="00131848" w:rsidRDefault="00831AAA" w14:paraId="339A279E" w14:textId="77777777">
            <w:pPr>
              <w:pStyle w:val="BodyText"/>
              <w:rPr>
                <w:rFonts w:asciiTheme="minorHAnsi" w:hAnsiTheme="minorHAnsi" w:cstheme="minorHAnsi"/>
                <w:b/>
                <w:bCs/>
                <w:sz w:val="20"/>
              </w:rPr>
            </w:pPr>
          </w:p>
          <w:p w:rsidR="00831AAA" w:rsidP="00131848" w:rsidRDefault="00831AAA" w14:paraId="3BEEB1DD" w14:textId="77777777">
            <w:pPr>
              <w:pStyle w:val="BodyText"/>
              <w:rPr>
                <w:rFonts w:asciiTheme="minorHAnsi" w:hAnsiTheme="minorHAnsi" w:cstheme="minorHAnsi"/>
                <w:b/>
                <w:bCs/>
                <w:sz w:val="20"/>
              </w:rPr>
            </w:pPr>
          </w:p>
          <w:p w:rsidR="00831AAA" w:rsidP="00131848" w:rsidRDefault="00831AAA" w14:paraId="4F2A407A" w14:textId="77777777">
            <w:pPr>
              <w:pStyle w:val="BodyText"/>
              <w:rPr>
                <w:rFonts w:asciiTheme="minorHAnsi" w:hAnsiTheme="minorHAnsi" w:cstheme="minorHAnsi"/>
                <w:b/>
                <w:bCs/>
                <w:sz w:val="20"/>
              </w:rPr>
            </w:pPr>
          </w:p>
          <w:p w:rsidRPr="003B78EA" w:rsidR="00831AAA" w:rsidP="00131848" w:rsidRDefault="00831AAA" w14:paraId="22F87651" w14:textId="77777777">
            <w:pPr>
              <w:pStyle w:val="BodyText"/>
              <w:rPr>
                <w:rFonts w:asciiTheme="minorHAnsi" w:hAnsiTheme="minorHAnsi" w:cstheme="minorHAnsi"/>
                <w:b/>
                <w:bCs/>
                <w:sz w:val="20"/>
              </w:rPr>
            </w:pPr>
          </w:p>
        </w:tc>
        <w:tc>
          <w:tcPr>
            <w:tcW w:w="4138" w:type="pct"/>
          </w:tcPr>
          <w:p w:rsidR="00831AAA" w:rsidP="00131848" w:rsidRDefault="00831AAA" w14:paraId="30DFCDC7" w14:textId="77777777">
            <w:pPr>
              <w:pStyle w:val="BodyText"/>
              <w:rPr>
                <w:rFonts w:cs="Arial"/>
                <w:b/>
                <w:bCs/>
                <w:sz w:val="20"/>
              </w:rPr>
            </w:pPr>
            <w:r>
              <w:rPr>
                <w:rFonts w:cs="Arial"/>
                <w:b/>
                <w:bCs/>
                <w:sz w:val="20"/>
              </w:rPr>
              <w:t>STANDARD Regimen – with NO loading dose</w:t>
            </w:r>
          </w:p>
          <w:tbl>
            <w:tblPr>
              <w:tblStyle w:val="TableGrid"/>
              <w:tblW w:w="6649" w:type="dxa"/>
              <w:tblLook w:val="04A0" w:firstRow="1" w:lastRow="0" w:firstColumn="1" w:lastColumn="0" w:noHBand="0" w:noVBand="1"/>
            </w:tblPr>
            <w:tblGrid>
              <w:gridCol w:w="1687"/>
              <w:gridCol w:w="2268"/>
              <w:gridCol w:w="2694"/>
            </w:tblGrid>
            <w:tr w:rsidR="00831AAA" w:rsidTr="00C70005" w14:paraId="59B73ECB" w14:textId="77777777">
              <w:tc>
                <w:tcPr>
                  <w:tcW w:w="1687" w:type="dxa"/>
                </w:tcPr>
                <w:p w:rsidR="00831AAA" w:rsidP="00131848" w:rsidRDefault="00831AAA" w14:paraId="14E628A8" w14:textId="77777777">
                  <w:pPr>
                    <w:pStyle w:val="BodyText"/>
                    <w:rPr>
                      <w:rFonts w:cs="Arial"/>
                      <w:b/>
                      <w:bCs/>
                      <w:sz w:val="20"/>
                    </w:rPr>
                  </w:pPr>
                </w:p>
              </w:tc>
              <w:tc>
                <w:tcPr>
                  <w:tcW w:w="2268" w:type="dxa"/>
                </w:tcPr>
                <w:p w:rsidR="00831AAA" w:rsidP="00131848" w:rsidRDefault="00831AAA" w14:paraId="5CB274F2" w14:textId="77777777">
                  <w:pPr>
                    <w:pStyle w:val="BodyText"/>
                    <w:rPr>
                      <w:rFonts w:cs="Arial"/>
                      <w:b/>
                      <w:bCs/>
                      <w:sz w:val="20"/>
                    </w:rPr>
                  </w:pPr>
                  <w:r>
                    <w:rPr>
                      <w:rFonts w:cs="Arial"/>
                      <w:b/>
                      <w:bCs/>
                      <w:sz w:val="20"/>
                    </w:rPr>
                    <w:t>Term infant</w:t>
                  </w:r>
                </w:p>
              </w:tc>
              <w:tc>
                <w:tcPr>
                  <w:tcW w:w="2694" w:type="dxa"/>
                </w:tcPr>
                <w:p w:rsidR="00831AAA" w:rsidP="00131848" w:rsidRDefault="00831AAA" w14:paraId="453D3F6E" w14:textId="77777777">
                  <w:pPr>
                    <w:pStyle w:val="BodyText"/>
                    <w:rPr>
                      <w:rFonts w:cs="Arial"/>
                      <w:b/>
                      <w:bCs/>
                      <w:sz w:val="20"/>
                    </w:rPr>
                  </w:pPr>
                  <w:r>
                    <w:rPr>
                      <w:rFonts w:cs="Arial"/>
                      <w:b/>
                      <w:bCs/>
                      <w:sz w:val="20"/>
                    </w:rPr>
                    <w:t>Preterm infant</w:t>
                  </w:r>
                </w:p>
              </w:tc>
            </w:tr>
            <w:tr w:rsidR="00831AAA" w:rsidTr="00C70005" w14:paraId="61277694" w14:textId="77777777">
              <w:tc>
                <w:tcPr>
                  <w:tcW w:w="1687" w:type="dxa"/>
                </w:tcPr>
                <w:p w:rsidR="00831AAA" w:rsidP="00131848" w:rsidRDefault="00831AAA" w14:paraId="65F0D7CC" w14:textId="77777777">
                  <w:pPr>
                    <w:pStyle w:val="BodyText"/>
                    <w:rPr>
                      <w:rFonts w:cs="Arial"/>
                      <w:b/>
                      <w:bCs/>
                      <w:sz w:val="20"/>
                    </w:rPr>
                  </w:pPr>
                  <w:r>
                    <w:rPr>
                      <w:rFonts w:cs="Arial"/>
                      <w:b/>
                      <w:bCs/>
                      <w:sz w:val="20"/>
                    </w:rPr>
                    <w:t>Maintenance NO loading dose</w:t>
                  </w:r>
                </w:p>
              </w:tc>
              <w:tc>
                <w:tcPr>
                  <w:tcW w:w="2268" w:type="dxa"/>
                </w:tcPr>
                <w:p w:rsidR="00831AAA" w:rsidP="00131848" w:rsidRDefault="00831AAA" w14:paraId="63939615" w14:textId="77777777">
                  <w:pPr>
                    <w:pStyle w:val="BodyText"/>
                    <w:rPr>
                      <w:rFonts w:cs="Arial"/>
                      <w:b/>
                      <w:bCs/>
                      <w:sz w:val="20"/>
                    </w:rPr>
                  </w:pPr>
                  <w:r w:rsidRPr="00050ECC">
                    <w:rPr>
                      <w:rFonts w:cs="Arial"/>
                      <w:sz w:val="20"/>
                    </w:rPr>
                    <w:t xml:space="preserve">0.33 </w:t>
                  </w:r>
                  <w:r>
                    <w:rPr>
                      <w:rFonts w:cs="Arial"/>
                      <w:sz w:val="20"/>
                    </w:rPr>
                    <w:t>−</w:t>
                  </w:r>
                  <w:r w:rsidRPr="00050ECC">
                    <w:rPr>
                      <w:rFonts w:cs="Arial"/>
                      <w:sz w:val="20"/>
                    </w:rPr>
                    <w:t xml:space="preserve"> 0.75 microgram/kg/minute</w:t>
                  </w:r>
                </w:p>
              </w:tc>
              <w:tc>
                <w:tcPr>
                  <w:tcW w:w="2694" w:type="dxa"/>
                </w:tcPr>
                <w:p w:rsidR="00831AAA" w:rsidP="00131848" w:rsidRDefault="00831AAA" w14:paraId="2FF18FD4" w14:textId="77777777">
                  <w:pPr>
                    <w:pStyle w:val="BodyText"/>
                    <w:rPr>
                      <w:rFonts w:cs="Arial"/>
                      <w:b/>
                      <w:bCs/>
                      <w:sz w:val="20"/>
                    </w:rPr>
                  </w:pPr>
                  <w:r w:rsidRPr="00050ECC">
                    <w:rPr>
                      <w:rFonts w:cs="Arial"/>
                      <w:sz w:val="20"/>
                    </w:rPr>
                    <w:t>0.2 microgram/kg/minute</w:t>
                  </w:r>
                </w:p>
              </w:tc>
            </w:tr>
          </w:tbl>
          <w:p w:rsidR="00831AAA" w:rsidP="00131848" w:rsidRDefault="00831AAA" w14:paraId="41FCFF4E" w14:textId="77777777">
            <w:pPr>
              <w:pStyle w:val="BodyText"/>
              <w:rPr>
                <w:rFonts w:cs="Arial"/>
                <w:b/>
                <w:bCs/>
                <w:sz w:val="20"/>
              </w:rPr>
            </w:pPr>
          </w:p>
          <w:p w:rsidR="00831AAA" w:rsidP="00131848" w:rsidRDefault="00831AAA" w14:paraId="21DB30A0" w14:textId="77777777">
            <w:pPr>
              <w:pStyle w:val="BodyText"/>
              <w:rPr>
                <w:rFonts w:cs="Arial"/>
                <w:b/>
                <w:bCs/>
                <w:sz w:val="20"/>
              </w:rPr>
            </w:pPr>
            <w:r>
              <w:rPr>
                <w:rFonts w:cs="Arial"/>
                <w:b/>
                <w:bCs/>
                <w:sz w:val="20"/>
              </w:rPr>
              <w:t>OPTIONAL Regimen – with loading dose</w:t>
            </w:r>
          </w:p>
          <w:p w:rsidR="00831AAA" w:rsidP="00131848" w:rsidRDefault="00831AAA" w14:paraId="70E52311" w14:textId="77777777">
            <w:pPr>
              <w:pStyle w:val="BodyText"/>
              <w:rPr>
                <w:rFonts w:cs="Arial"/>
                <w:b/>
                <w:bCs/>
                <w:sz w:val="20"/>
              </w:rPr>
            </w:pPr>
            <w:r>
              <w:rPr>
                <w:rFonts w:cs="Arial"/>
                <w:b/>
                <w:bCs/>
                <w:sz w:val="20"/>
              </w:rPr>
              <w:t>Caution: Risk of hypotension with loading dose!</w:t>
            </w:r>
          </w:p>
          <w:tbl>
            <w:tblPr>
              <w:tblStyle w:val="TableGrid"/>
              <w:tblW w:w="6649" w:type="dxa"/>
              <w:tblLook w:val="04A0" w:firstRow="1" w:lastRow="0" w:firstColumn="1" w:lastColumn="0" w:noHBand="0" w:noVBand="1"/>
            </w:tblPr>
            <w:tblGrid>
              <w:gridCol w:w="1687"/>
              <w:gridCol w:w="2410"/>
              <w:gridCol w:w="2552"/>
            </w:tblGrid>
            <w:tr w:rsidR="00831AAA" w:rsidTr="00C70005" w14:paraId="3CAE4341" w14:textId="77777777">
              <w:tc>
                <w:tcPr>
                  <w:tcW w:w="1687" w:type="dxa"/>
                </w:tcPr>
                <w:p w:rsidR="00831AAA" w:rsidP="00131848" w:rsidRDefault="00831AAA" w14:paraId="217F452E" w14:textId="77777777">
                  <w:pPr>
                    <w:pStyle w:val="BodyText"/>
                    <w:rPr>
                      <w:rFonts w:cs="Arial"/>
                      <w:b/>
                      <w:bCs/>
                      <w:sz w:val="20"/>
                    </w:rPr>
                  </w:pPr>
                </w:p>
              </w:tc>
              <w:tc>
                <w:tcPr>
                  <w:tcW w:w="2410" w:type="dxa"/>
                </w:tcPr>
                <w:p w:rsidRPr="0002035A" w:rsidR="00831AAA" w:rsidP="00131848" w:rsidRDefault="00831AAA" w14:paraId="2A8DAEE2" w14:textId="77777777">
                  <w:pPr>
                    <w:pStyle w:val="BodyText"/>
                    <w:rPr>
                      <w:rFonts w:cs="Arial"/>
                      <w:b/>
                      <w:bCs/>
                      <w:sz w:val="20"/>
                    </w:rPr>
                  </w:pPr>
                  <w:r w:rsidRPr="0002035A">
                    <w:rPr>
                      <w:rFonts w:cs="Arial"/>
                      <w:b/>
                      <w:bCs/>
                      <w:sz w:val="20"/>
                    </w:rPr>
                    <w:t>Term infant</w:t>
                  </w:r>
                </w:p>
              </w:tc>
              <w:tc>
                <w:tcPr>
                  <w:tcW w:w="2552" w:type="dxa"/>
                </w:tcPr>
                <w:p w:rsidRPr="0002035A" w:rsidR="00831AAA" w:rsidP="00131848" w:rsidRDefault="00831AAA" w14:paraId="187ADE49" w14:textId="77777777">
                  <w:pPr>
                    <w:pStyle w:val="BodyText"/>
                    <w:rPr>
                      <w:rFonts w:cs="Arial"/>
                      <w:b/>
                      <w:bCs/>
                      <w:sz w:val="20"/>
                    </w:rPr>
                  </w:pPr>
                  <w:r w:rsidRPr="0002035A">
                    <w:rPr>
                      <w:rFonts w:cs="Arial"/>
                      <w:b/>
                      <w:bCs/>
                      <w:sz w:val="20"/>
                    </w:rPr>
                    <w:t>Preterm infant</w:t>
                  </w:r>
                </w:p>
              </w:tc>
            </w:tr>
            <w:tr w:rsidR="00831AAA" w:rsidTr="00C70005" w14:paraId="1F6C3494" w14:textId="77777777">
              <w:tc>
                <w:tcPr>
                  <w:tcW w:w="1687" w:type="dxa"/>
                  <w:vMerge w:val="restart"/>
                </w:tcPr>
                <w:p w:rsidR="00831AAA" w:rsidP="00131848" w:rsidRDefault="00831AAA" w14:paraId="0456D8F4" w14:textId="77777777">
                  <w:pPr>
                    <w:pStyle w:val="BodyText"/>
                    <w:rPr>
                      <w:rFonts w:cs="Arial"/>
                      <w:b/>
                      <w:bCs/>
                      <w:sz w:val="20"/>
                    </w:rPr>
                  </w:pPr>
                  <w:r>
                    <w:rPr>
                      <w:rFonts w:cs="Arial"/>
                      <w:b/>
                      <w:bCs/>
                      <w:sz w:val="20"/>
                    </w:rPr>
                    <w:t>OPTIONAL Loading dose</w:t>
                  </w:r>
                </w:p>
                <w:p w:rsidR="00831AAA" w:rsidP="00131848" w:rsidRDefault="00831AAA" w14:paraId="12CDAEEF" w14:textId="77777777">
                  <w:pPr>
                    <w:pStyle w:val="BodyText"/>
                    <w:rPr>
                      <w:rFonts w:cs="Arial"/>
                      <w:b/>
                      <w:bCs/>
                      <w:sz w:val="20"/>
                    </w:rPr>
                  </w:pPr>
                  <w:r>
                    <w:rPr>
                      <w:rFonts w:cs="Arial"/>
                      <w:b/>
                      <w:bCs/>
                      <w:sz w:val="20"/>
                    </w:rPr>
                    <w:t>Followed by maintenance dose</w:t>
                  </w:r>
                </w:p>
              </w:tc>
              <w:tc>
                <w:tcPr>
                  <w:tcW w:w="2410" w:type="dxa"/>
                </w:tcPr>
                <w:p w:rsidR="00831AAA" w:rsidP="00131848" w:rsidRDefault="00831AAA" w14:paraId="77BCB354" w14:textId="77777777">
                  <w:pPr>
                    <w:pStyle w:val="BodyText"/>
                    <w:rPr>
                      <w:rFonts w:cs="Arial"/>
                      <w:b/>
                      <w:bCs/>
                      <w:sz w:val="20"/>
                    </w:rPr>
                  </w:pPr>
                  <w:r>
                    <w:rPr>
                      <w:rFonts w:cs="Arial"/>
                      <w:sz w:val="20"/>
                    </w:rPr>
                    <w:t xml:space="preserve">Loading: </w:t>
                  </w:r>
                  <w:r w:rsidRPr="00050ECC">
                    <w:rPr>
                      <w:rFonts w:cs="Arial"/>
                      <w:sz w:val="20"/>
                    </w:rPr>
                    <w:t>75 microgram/kg</w:t>
                  </w:r>
                  <w:r>
                    <w:rPr>
                      <w:rFonts w:cs="Arial"/>
                      <w:sz w:val="20"/>
                    </w:rPr>
                    <w:t xml:space="preserve"> over 1 hour</w:t>
                  </w:r>
                </w:p>
              </w:tc>
              <w:tc>
                <w:tcPr>
                  <w:tcW w:w="2552" w:type="dxa"/>
                </w:tcPr>
                <w:p w:rsidR="00831AAA" w:rsidP="00131848" w:rsidRDefault="00831AAA" w14:paraId="1D3899AD" w14:textId="77777777">
                  <w:pPr>
                    <w:pStyle w:val="BodyText"/>
                    <w:rPr>
                      <w:rFonts w:cs="Arial"/>
                      <w:b/>
                      <w:bCs/>
                      <w:sz w:val="20"/>
                    </w:rPr>
                  </w:pPr>
                  <w:r>
                    <w:rPr>
                      <w:rFonts w:cs="Arial"/>
                      <w:sz w:val="20"/>
                    </w:rPr>
                    <w:t>Loading: 45</w:t>
                  </w:r>
                  <w:r w:rsidRPr="00050ECC">
                    <w:rPr>
                      <w:rFonts w:cs="Arial"/>
                      <w:sz w:val="20"/>
                    </w:rPr>
                    <w:t xml:space="preserve"> microgram/kg </w:t>
                  </w:r>
                  <w:r>
                    <w:rPr>
                      <w:rFonts w:cs="Arial"/>
                      <w:sz w:val="20"/>
                    </w:rPr>
                    <w:t>over 1 hour</w:t>
                  </w:r>
                </w:p>
              </w:tc>
            </w:tr>
            <w:tr w:rsidR="00831AAA" w:rsidTr="00C70005" w14:paraId="2AB7D2EC" w14:textId="77777777">
              <w:tc>
                <w:tcPr>
                  <w:tcW w:w="1687" w:type="dxa"/>
                  <w:vMerge/>
                </w:tcPr>
                <w:p w:rsidR="00831AAA" w:rsidP="00131848" w:rsidRDefault="00831AAA" w14:paraId="1529C41F" w14:textId="77777777">
                  <w:pPr>
                    <w:pStyle w:val="BodyText"/>
                    <w:rPr>
                      <w:rFonts w:cs="Arial"/>
                      <w:b/>
                      <w:bCs/>
                      <w:sz w:val="20"/>
                    </w:rPr>
                  </w:pPr>
                </w:p>
              </w:tc>
              <w:tc>
                <w:tcPr>
                  <w:tcW w:w="2410" w:type="dxa"/>
                </w:tcPr>
                <w:p w:rsidR="00831AAA" w:rsidP="00131848" w:rsidRDefault="00831AAA" w14:paraId="7E558F22" w14:textId="77777777">
                  <w:pPr>
                    <w:pStyle w:val="BodyText"/>
                    <w:rPr>
                      <w:rFonts w:cs="Arial"/>
                      <w:b/>
                      <w:bCs/>
                      <w:sz w:val="20"/>
                    </w:rPr>
                  </w:pPr>
                  <w:r w:rsidRPr="00050ECC">
                    <w:rPr>
                      <w:rFonts w:cs="Arial"/>
                      <w:sz w:val="20"/>
                    </w:rPr>
                    <w:t>0.33 − 0.75 microgram/kg/minute</w:t>
                  </w:r>
                </w:p>
              </w:tc>
              <w:tc>
                <w:tcPr>
                  <w:tcW w:w="2552" w:type="dxa"/>
                </w:tcPr>
                <w:p w:rsidR="00831AAA" w:rsidP="00131848" w:rsidRDefault="00831AAA" w14:paraId="3360FC32" w14:textId="77777777">
                  <w:pPr>
                    <w:pStyle w:val="BodyText"/>
                    <w:rPr>
                      <w:rFonts w:cs="Arial"/>
                      <w:b/>
                      <w:bCs/>
                      <w:sz w:val="20"/>
                    </w:rPr>
                  </w:pPr>
                  <w:r w:rsidRPr="00050ECC">
                    <w:rPr>
                      <w:rFonts w:cs="Arial"/>
                      <w:sz w:val="20"/>
                    </w:rPr>
                    <w:t>0.2 microgram/kg/minute</w:t>
                  </w:r>
                </w:p>
              </w:tc>
            </w:tr>
          </w:tbl>
          <w:p w:rsidR="00831AAA" w:rsidP="00131848" w:rsidRDefault="00831AAA" w14:paraId="69236985" w14:textId="77777777">
            <w:pPr>
              <w:pStyle w:val="BodyText"/>
              <w:rPr>
                <w:rFonts w:asciiTheme="minorHAnsi" w:hAnsiTheme="minorHAnsi" w:cstheme="minorHAnsi"/>
                <w:sz w:val="20"/>
              </w:rPr>
            </w:pPr>
          </w:p>
        </w:tc>
      </w:tr>
      <w:tr w:rsidRPr="003B78EA" w:rsidR="00831AAA" w:rsidTr="008074AA" w14:paraId="6312F920" w14:textId="77777777">
        <w:trPr>
          <w:trHeight w:val="263"/>
        </w:trPr>
        <w:tc>
          <w:tcPr>
            <w:tcW w:w="862" w:type="pct"/>
          </w:tcPr>
          <w:p w:rsidRPr="003B78EA" w:rsidR="00831AAA" w:rsidP="00131848" w:rsidRDefault="00831AAA" w14:paraId="5EC10963"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138" w:type="pct"/>
          </w:tcPr>
          <w:p w:rsidRPr="00050ECC" w:rsidR="00831AAA" w:rsidP="00131848" w:rsidRDefault="00831AAA" w14:paraId="2E920A62" w14:textId="77777777">
            <w:pPr>
              <w:pStyle w:val="BodyText"/>
              <w:rPr>
                <w:rFonts w:cs="Arial"/>
                <w:b/>
                <w:bCs/>
                <w:sz w:val="20"/>
              </w:rPr>
            </w:pPr>
            <w:r w:rsidRPr="00050ECC">
              <w:rPr>
                <w:rFonts w:cs="Arial"/>
                <w:b/>
                <w:bCs/>
                <w:sz w:val="20"/>
              </w:rPr>
              <w:t>Renal impairment (including hypoplastic left heart syndrome undergoing surgery)</w:t>
            </w:r>
          </w:p>
          <w:p w:rsidRPr="003B78EA" w:rsidR="00831AAA" w:rsidP="00131848" w:rsidRDefault="00831AAA" w14:paraId="33A52F43" w14:textId="77777777">
            <w:pPr>
              <w:pStyle w:val="BodyText"/>
              <w:rPr>
                <w:rFonts w:asciiTheme="minorHAnsi" w:hAnsiTheme="minorHAnsi" w:cstheme="minorHAnsi"/>
                <w:sz w:val="20"/>
              </w:rPr>
            </w:pPr>
            <w:r w:rsidRPr="00050ECC">
              <w:rPr>
                <w:rFonts w:cs="Arial"/>
                <w:sz w:val="20"/>
              </w:rPr>
              <w:t xml:space="preserve">0.2 </w:t>
            </w:r>
            <w:r>
              <w:rPr>
                <w:rFonts w:cs="Arial"/>
                <w:sz w:val="20"/>
              </w:rPr>
              <w:t>−</w:t>
            </w:r>
            <w:r w:rsidRPr="00050ECC">
              <w:rPr>
                <w:rFonts w:cs="Arial"/>
                <w:sz w:val="20"/>
              </w:rPr>
              <w:t>0.33 microgram/kg/minute</w:t>
            </w:r>
            <w:r>
              <w:rPr>
                <w:rFonts w:cs="Arial"/>
                <w:sz w:val="20"/>
              </w:rPr>
              <w:t xml:space="preserve"> IV infusion</w:t>
            </w:r>
          </w:p>
        </w:tc>
      </w:tr>
      <w:tr w:rsidRPr="003B78EA" w:rsidR="00831AAA" w:rsidTr="008074AA" w14:paraId="4F5224C5" w14:textId="77777777">
        <w:trPr>
          <w:trHeight w:val="263"/>
        </w:trPr>
        <w:tc>
          <w:tcPr>
            <w:tcW w:w="862" w:type="pct"/>
          </w:tcPr>
          <w:p w:rsidRPr="003B78EA" w:rsidR="00831AAA" w:rsidP="00131848" w:rsidRDefault="00831AAA" w14:paraId="69EC2E05"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138" w:type="pct"/>
          </w:tcPr>
          <w:p w:rsidRPr="003B78EA" w:rsidR="00831AAA" w:rsidP="00131848" w:rsidRDefault="00831AAA" w14:paraId="24AE5726" w14:textId="77777777">
            <w:pPr>
              <w:pStyle w:val="BodyText"/>
              <w:rPr>
                <w:rFonts w:asciiTheme="minorHAnsi" w:hAnsiTheme="minorHAnsi" w:cstheme="minorHAnsi"/>
                <w:sz w:val="20"/>
              </w:rPr>
            </w:pPr>
            <w:r w:rsidRPr="00050ECC">
              <w:rPr>
                <w:color w:val="000000"/>
                <w:sz w:val="20"/>
              </w:rPr>
              <w:t>Maximum IV Infusion</w:t>
            </w:r>
            <w:r>
              <w:rPr>
                <w:color w:val="000000"/>
                <w:sz w:val="20"/>
              </w:rPr>
              <w:t xml:space="preserve"> </w:t>
            </w:r>
            <w:r w:rsidRPr="008A6918">
              <w:rPr>
                <w:color w:val="000000"/>
                <w:sz w:val="20"/>
              </w:rPr>
              <w:t>rate for the maintenance dose is</w:t>
            </w:r>
            <w:r>
              <w:rPr>
                <w:color w:val="000000"/>
                <w:sz w:val="20"/>
              </w:rPr>
              <w:t xml:space="preserve"> </w:t>
            </w:r>
            <w:r w:rsidRPr="00050ECC">
              <w:rPr>
                <w:color w:val="000000"/>
                <w:sz w:val="20"/>
              </w:rPr>
              <w:t xml:space="preserve">1 microgram/kg/minute </w:t>
            </w:r>
            <w:r>
              <w:rPr>
                <w:color w:val="000000"/>
                <w:sz w:val="20"/>
              </w:rPr>
              <w:t xml:space="preserve">and 0.5 microgram/kg/minute for term and preterm infants respectively </w:t>
            </w:r>
            <w:r w:rsidRPr="00050ECC">
              <w:rPr>
                <w:color w:val="000000"/>
                <w:sz w:val="20"/>
              </w:rPr>
              <w:t>– caution as risk of drug accumulation over time.</w:t>
            </w:r>
          </w:p>
        </w:tc>
      </w:tr>
      <w:tr w:rsidRPr="003B78EA" w:rsidR="00831AAA" w:rsidTr="008074AA" w14:paraId="54840FC1" w14:textId="77777777">
        <w:trPr>
          <w:trHeight w:val="263"/>
        </w:trPr>
        <w:tc>
          <w:tcPr>
            <w:tcW w:w="862" w:type="pct"/>
          </w:tcPr>
          <w:p w:rsidRPr="003B78EA" w:rsidR="00831AAA" w:rsidP="00131848" w:rsidRDefault="00831AAA" w14:paraId="1D597CD9"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138" w:type="pct"/>
          </w:tcPr>
          <w:p w:rsidRPr="003B78EA" w:rsidR="00831AAA" w:rsidP="00131848" w:rsidRDefault="00831AAA" w14:paraId="0D175E29" w14:textId="77777777">
            <w:pPr>
              <w:pStyle w:val="BodyText"/>
              <w:rPr>
                <w:rFonts w:asciiTheme="minorHAnsi" w:hAnsiTheme="minorHAnsi" w:cstheme="minorHAnsi"/>
                <w:b/>
                <w:sz w:val="20"/>
              </w:rPr>
            </w:pPr>
          </w:p>
        </w:tc>
      </w:tr>
      <w:tr w:rsidRPr="003B78EA" w:rsidR="00831AAA" w:rsidTr="008074AA" w14:paraId="34F11A80" w14:textId="77777777">
        <w:trPr>
          <w:trHeight w:val="263"/>
        </w:trPr>
        <w:tc>
          <w:tcPr>
            <w:tcW w:w="862" w:type="pct"/>
          </w:tcPr>
          <w:p w:rsidRPr="003B78EA" w:rsidR="00831AAA" w:rsidP="00131848" w:rsidRDefault="00831AAA" w14:paraId="695D362E"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138" w:type="pct"/>
          </w:tcPr>
          <w:p w:rsidRPr="003B78EA" w:rsidR="00831AAA" w:rsidP="00131848" w:rsidRDefault="00831AAA" w14:paraId="37F45F19" w14:textId="77777777">
            <w:pPr>
              <w:pStyle w:val="BodyText"/>
              <w:rPr>
                <w:rFonts w:asciiTheme="minorHAnsi" w:hAnsiTheme="minorHAnsi" w:cstheme="minorHAnsi"/>
                <w:sz w:val="20"/>
              </w:rPr>
            </w:pPr>
            <w:r w:rsidRPr="00050ECC">
              <w:rPr>
                <w:rFonts w:cs="Arial"/>
                <w:sz w:val="20"/>
              </w:rPr>
              <w:t>IV infusion.</w:t>
            </w:r>
          </w:p>
        </w:tc>
      </w:tr>
      <w:tr w:rsidRPr="003B78EA" w:rsidR="00831AAA" w:rsidTr="008074AA" w14:paraId="108F090A" w14:textId="77777777">
        <w:trPr>
          <w:trHeight w:val="263"/>
        </w:trPr>
        <w:tc>
          <w:tcPr>
            <w:tcW w:w="862" w:type="pct"/>
          </w:tcPr>
          <w:p w:rsidRPr="003B78EA" w:rsidR="00831AAA" w:rsidP="00131848" w:rsidRDefault="00831AAA" w14:paraId="209260DE"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138" w:type="pct"/>
          </w:tcPr>
          <w:p w:rsidRPr="00050ECC" w:rsidR="00831AAA" w:rsidP="00131848" w:rsidRDefault="00831AAA" w14:paraId="2A9AD940" w14:textId="77777777">
            <w:pPr>
              <w:pStyle w:val="BodyText"/>
              <w:rPr>
                <w:rFonts w:cs="Arial"/>
                <w:b/>
                <w:sz w:val="20"/>
                <w:u w:val="single"/>
              </w:rPr>
            </w:pPr>
            <w:r w:rsidRPr="00050ECC">
              <w:rPr>
                <w:rFonts w:cs="Arial"/>
                <w:b/>
                <w:sz w:val="20"/>
                <w:u w:val="single"/>
              </w:rPr>
              <w:t>Term infant</w:t>
            </w:r>
          </w:p>
          <w:p w:rsidR="00831AAA" w:rsidP="00131848" w:rsidRDefault="00831AAA" w14:paraId="118D335C" w14:textId="77777777">
            <w:pPr>
              <w:pStyle w:val="BodyText"/>
              <w:rPr>
                <w:rFonts w:cs="Arial"/>
                <w:b/>
                <w:sz w:val="20"/>
                <w:u w:val="single"/>
              </w:rPr>
            </w:pPr>
            <w:r>
              <w:rPr>
                <w:rFonts w:cs="Arial"/>
                <w:b/>
                <w:sz w:val="20"/>
                <w:u w:val="single"/>
              </w:rPr>
              <w:t>Standard Regimen – with NO loading dose</w:t>
            </w:r>
          </w:p>
          <w:p w:rsidR="00831AAA" w:rsidP="00131848" w:rsidRDefault="00831AAA" w14:paraId="70F8125B" w14:textId="77777777">
            <w:pPr>
              <w:pStyle w:val="BodyText"/>
              <w:rPr>
                <w:rFonts w:cs="Arial"/>
                <w:b/>
                <w:sz w:val="20"/>
                <w:u w:val="single"/>
              </w:rPr>
            </w:pPr>
          </w:p>
          <w:tbl>
            <w:tblPr>
              <w:tblStyle w:val="TableGrid"/>
              <w:tblW w:w="0" w:type="auto"/>
              <w:tblLook w:val="04A0" w:firstRow="1" w:lastRow="0" w:firstColumn="1" w:lastColumn="0" w:noHBand="0" w:noVBand="1"/>
            </w:tblPr>
            <w:tblGrid>
              <w:gridCol w:w="3979"/>
              <w:gridCol w:w="3885"/>
            </w:tblGrid>
            <w:tr w:rsidR="00831AAA" w:rsidTr="00131848" w14:paraId="492E562C" w14:textId="77777777">
              <w:tc>
                <w:tcPr>
                  <w:tcW w:w="4178" w:type="dxa"/>
                  <w:vAlign w:val="center"/>
                </w:tcPr>
                <w:p w:rsidR="00831AAA" w:rsidP="00131848" w:rsidRDefault="00831AAA" w14:paraId="77E52743" w14:textId="77777777">
                  <w:pPr>
                    <w:pStyle w:val="BodyText"/>
                    <w:jc w:val="center"/>
                    <w:rPr>
                      <w:rFonts w:cs="Arial"/>
                      <w:b/>
                      <w:sz w:val="20"/>
                      <w:u w:val="single"/>
                    </w:rPr>
                  </w:pPr>
                  <w:r>
                    <w:rPr>
                      <w:rFonts w:cs="Arial"/>
                      <w:b/>
                      <w:sz w:val="20"/>
                      <w:u w:val="single"/>
                    </w:rPr>
                    <w:t>Infusion strength</w:t>
                  </w:r>
                </w:p>
              </w:tc>
              <w:tc>
                <w:tcPr>
                  <w:tcW w:w="4178" w:type="dxa"/>
                  <w:vAlign w:val="center"/>
                </w:tcPr>
                <w:p w:rsidR="00831AAA" w:rsidP="00131848" w:rsidRDefault="00831AAA" w14:paraId="2D203F6F" w14:textId="77777777">
                  <w:pPr>
                    <w:pStyle w:val="BodyText"/>
                    <w:jc w:val="center"/>
                    <w:rPr>
                      <w:rFonts w:cs="Arial"/>
                      <w:b/>
                      <w:sz w:val="20"/>
                      <w:u w:val="single"/>
                    </w:rPr>
                  </w:pPr>
                  <w:r>
                    <w:rPr>
                      <w:rFonts w:cs="Arial"/>
                      <w:b/>
                      <w:sz w:val="20"/>
                      <w:u w:val="single"/>
                    </w:rPr>
                    <w:t>Prescribed amount</w:t>
                  </w:r>
                </w:p>
              </w:tc>
            </w:tr>
            <w:tr w:rsidR="00831AAA" w:rsidTr="00131848" w14:paraId="5A464F16" w14:textId="77777777">
              <w:tc>
                <w:tcPr>
                  <w:tcW w:w="4178" w:type="dxa"/>
                </w:tcPr>
                <w:p w:rsidR="00831AAA" w:rsidP="00131848" w:rsidRDefault="00831AAA" w14:paraId="11ACAF74" w14:textId="77777777">
                  <w:pPr>
                    <w:pStyle w:val="BodyText"/>
                    <w:rPr>
                      <w:rFonts w:cs="Arial"/>
                      <w:b/>
                      <w:sz w:val="20"/>
                      <w:u w:val="single"/>
                    </w:rPr>
                  </w:pPr>
                  <w:r w:rsidRPr="00050ECC">
                    <w:rPr>
                      <w:rFonts w:cs="Arial"/>
                      <w:b/>
                      <w:sz w:val="20"/>
                    </w:rPr>
                    <w:t>1 mL/hour = 0.33 microgram/kg/minu</w:t>
                  </w:r>
                  <w:r>
                    <w:rPr>
                      <w:rFonts w:cs="Arial"/>
                      <w:b/>
                      <w:sz w:val="20"/>
                    </w:rPr>
                    <w:t>te</w:t>
                  </w:r>
                </w:p>
              </w:tc>
              <w:tc>
                <w:tcPr>
                  <w:tcW w:w="4178" w:type="dxa"/>
                </w:tcPr>
                <w:p w:rsidR="00831AAA" w:rsidP="00131848" w:rsidRDefault="00831AAA" w14:paraId="28D3A3F9" w14:textId="77777777">
                  <w:pPr>
                    <w:pStyle w:val="BodyText"/>
                    <w:rPr>
                      <w:rFonts w:cs="Arial"/>
                      <w:b/>
                      <w:sz w:val="20"/>
                      <w:u w:val="single"/>
                    </w:rPr>
                  </w:pPr>
                  <w:r w:rsidRPr="00050ECC">
                    <w:rPr>
                      <w:rFonts w:cs="Arial"/>
                      <w:sz w:val="20"/>
                    </w:rPr>
                    <w:t>1 mL/kg</w:t>
                  </w:r>
                  <w:r>
                    <w:rPr>
                      <w:rFonts w:cs="Arial"/>
                      <w:sz w:val="20"/>
                    </w:rPr>
                    <w:t xml:space="preserve"> milrinone and make up to 50mL</w:t>
                  </w:r>
                </w:p>
              </w:tc>
            </w:tr>
          </w:tbl>
          <w:p w:rsidR="00831AAA" w:rsidP="00131848" w:rsidRDefault="00831AAA" w14:paraId="5654F1B5" w14:textId="77777777">
            <w:pPr>
              <w:pStyle w:val="BodyText"/>
              <w:rPr>
                <w:rFonts w:cs="Arial"/>
                <w:b/>
                <w:sz w:val="20"/>
                <w:u w:val="single"/>
              </w:rPr>
            </w:pPr>
          </w:p>
          <w:p w:rsidR="00831AAA" w:rsidP="00131848" w:rsidRDefault="00831AAA" w14:paraId="13C98A1E" w14:textId="77777777">
            <w:pPr>
              <w:pStyle w:val="BodyText"/>
              <w:rPr>
                <w:rFonts w:cs="Arial"/>
                <w:sz w:val="20"/>
              </w:rPr>
            </w:pPr>
            <w:r w:rsidRPr="00050ECC">
              <w:rPr>
                <w:rFonts w:cs="Arial"/>
                <w:sz w:val="20"/>
              </w:rPr>
              <w:t xml:space="preserve">Draw up </w:t>
            </w:r>
            <w:r>
              <w:rPr>
                <w:rFonts w:cs="Arial"/>
                <w:sz w:val="20"/>
              </w:rPr>
              <w:t xml:space="preserve">1mL/kg </w:t>
            </w:r>
            <w:r w:rsidRPr="00050ECC">
              <w:rPr>
                <w:rFonts w:cs="Arial"/>
                <w:sz w:val="20"/>
              </w:rPr>
              <w:t xml:space="preserve">(1000 microgram/kg of milrinone) and </w:t>
            </w:r>
            <w:r>
              <w:rPr>
                <w:rFonts w:cs="Arial"/>
                <w:sz w:val="20"/>
              </w:rPr>
              <w:t xml:space="preserve">add </w:t>
            </w:r>
            <w:r w:rsidRPr="00050ECC">
              <w:rPr>
                <w:rFonts w:cs="Arial"/>
                <w:sz w:val="20"/>
              </w:rPr>
              <w:t>sodium chloride 0.9%</w:t>
            </w:r>
            <w:r>
              <w:rPr>
                <w:rFonts w:cs="Arial"/>
                <w:sz w:val="20"/>
              </w:rPr>
              <w:t xml:space="preserve"> or glucose 5% to make a final volume of 50mL. Infusing at a rate of 1mL/hour = 0.33 microgram/kg/minute.</w:t>
            </w:r>
          </w:p>
          <w:p w:rsidR="00831AAA" w:rsidP="00131848" w:rsidRDefault="00831AAA" w14:paraId="35C460D0" w14:textId="77777777">
            <w:pPr>
              <w:pStyle w:val="BodyText"/>
              <w:rPr>
                <w:rFonts w:cs="Arial"/>
                <w:sz w:val="20"/>
              </w:rPr>
            </w:pPr>
          </w:p>
          <w:p w:rsidR="00831AAA" w:rsidP="00131848" w:rsidRDefault="00831AAA" w14:paraId="49C2E314" w14:textId="77777777">
            <w:pPr>
              <w:pStyle w:val="BodyText"/>
              <w:rPr>
                <w:rFonts w:cs="Arial"/>
                <w:sz w:val="20"/>
              </w:rPr>
            </w:pPr>
            <w:r w:rsidRPr="00050ECC">
              <w:rPr>
                <w:color w:val="000000"/>
                <w:sz w:val="20"/>
              </w:rPr>
              <w:t xml:space="preserve">For term infants ─ if loading is not given, higher maintenance infusion may be required to reach the steady </w:t>
            </w:r>
            <w:r>
              <w:rPr>
                <w:color w:val="000000"/>
                <w:sz w:val="20"/>
              </w:rPr>
              <w:t>drug</w:t>
            </w:r>
            <w:r w:rsidRPr="00050ECC">
              <w:rPr>
                <w:color w:val="000000"/>
                <w:sz w:val="20"/>
              </w:rPr>
              <w:t xml:space="preserve"> range </w:t>
            </w:r>
            <w:r>
              <w:rPr>
                <w:color w:val="000000"/>
                <w:sz w:val="20"/>
              </w:rPr>
              <w:t xml:space="preserve">of </w:t>
            </w:r>
            <w:r w:rsidRPr="00050ECC">
              <w:rPr>
                <w:color w:val="000000"/>
                <w:sz w:val="20"/>
              </w:rPr>
              <w:t>0.5</w:t>
            </w:r>
            <w:r>
              <w:rPr>
                <w:color w:val="000000"/>
                <w:sz w:val="20"/>
              </w:rPr>
              <w:t>−</w:t>
            </w:r>
            <w:r w:rsidRPr="00050ECC">
              <w:rPr>
                <w:color w:val="000000"/>
                <w:sz w:val="20"/>
              </w:rPr>
              <w:t>0.75 microgram/kg/minute.</w:t>
            </w:r>
          </w:p>
          <w:p w:rsidRPr="00050ECC" w:rsidR="00831AAA" w:rsidP="00131848" w:rsidRDefault="00831AAA" w14:paraId="548E5619" w14:textId="77777777">
            <w:pPr>
              <w:pStyle w:val="BodyText"/>
              <w:rPr>
                <w:rFonts w:cs="Arial"/>
                <w:sz w:val="20"/>
              </w:rPr>
            </w:pPr>
          </w:p>
          <w:p w:rsidR="00831AAA" w:rsidP="00131848" w:rsidRDefault="00831AAA" w14:paraId="7389E322" w14:textId="77777777">
            <w:pPr>
              <w:pStyle w:val="BodyText"/>
              <w:rPr>
                <w:rFonts w:cs="Arial"/>
                <w:b/>
                <w:sz w:val="20"/>
                <w:u w:val="single"/>
              </w:rPr>
            </w:pPr>
            <w:r w:rsidRPr="00050ECC">
              <w:rPr>
                <w:rFonts w:cs="Arial"/>
                <w:b/>
                <w:sz w:val="20"/>
                <w:u w:val="single"/>
              </w:rPr>
              <w:lastRenderedPageBreak/>
              <w:t>Preterm infant and renal impairment</w:t>
            </w:r>
          </w:p>
          <w:p w:rsidR="00831AAA" w:rsidP="00131848" w:rsidRDefault="00831AAA" w14:paraId="0BDB7854" w14:textId="77777777">
            <w:pPr>
              <w:pStyle w:val="BodyText"/>
              <w:rPr>
                <w:rFonts w:cs="Arial"/>
                <w:b/>
                <w:sz w:val="20"/>
                <w:u w:val="single"/>
              </w:rPr>
            </w:pPr>
            <w:r>
              <w:rPr>
                <w:rFonts w:cs="Arial"/>
                <w:b/>
                <w:sz w:val="20"/>
                <w:u w:val="single"/>
              </w:rPr>
              <w:t>Standard Regimen – with NO loading dose</w:t>
            </w:r>
          </w:p>
          <w:p w:rsidR="00831AAA" w:rsidP="00131848" w:rsidRDefault="00831AAA" w14:paraId="7DA3F46C" w14:textId="77777777">
            <w:pPr>
              <w:pStyle w:val="BodyText"/>
              <w:rPr>
                <w:rFonts w:cs="Arial"/>
                <w:b/>
                <w:sz w:val="20"/>
                <w:u w:val="single"/>
              </w:rPr>
            </w:pPr>
          </w:p>
          <w:tbl>
            <w:tblPr>
              <w:tblStyle w:val="TableGrid"/>
              <w:tblW w:w="0" w:type="auto"/>
              <w:tblLook w:val="04A0" w:firstRow="1" w:lastRow="0" w:firstColumn="1" w:lastColumn="0" w:noHBand="0" w:noVBand="1"/>
            </w:tblPr>
            <w:tblGrid>
              <w:gridCol w:w="3978"/>
              <w:gridCol w:w="3886"/>
            </w:tblGrid>
            <w:tr w:rsidR="00831AAA" w:rsidTr="00131848" w14:paraId="2A9E2771" w14:textId="77777777">
              <w:tc>
                <w:tcPr>
                  <w:tcW w:w="4178" w:type="dxa"/>
                  <w:vAlign w:val="center"/>
                </w:tcPr>
                <w:p w:rsidR="00831AAA" w:rsidP="00131848" w:rsidRDefault="00831AAA" w14:paraId="15E4BF22" w14:textId="77777777">
                  <w:pPr>
                    <w:pStyle w:val="BodyText"/>
                    <w:jc w:val="center"/>
                    <w:rPr>
                      <w:rFonts w:cs="Arial"/>
                      <w:b/>
                      <w:sz w:val="20"/>
                      <w:u w:val="single"/>
                    </w:rPr>
                  </w:pPr>
                  <w:r>
                    <w:rPr>
                      <w:rFonts w:cs="Arial"/>
                      <w:b/>
                      <w:sz w:val="20"/>
                      <w:u w:val="single"/>
                    </w:rPr>
                    <w:t>Infusion strength</w:t>
                  </w:r>
                </w:p>
              </w:tc>
              <w:tc>
                <w:tcPr>
                  <w:tcW w:w="4179" w:type="dxa"/>
                  <w:vAlign w:val="center"/>
                </w:tcPr>
                <w:p w:rsidR="00831AAA" w:rsidP="00131848" w:rsidRDefault="00831AAA" w14:paraId="03854469" w14:textId="77777777">
                  <w:pPr>
                    <w:pStyle w:val="BodyText"/>
                    <w:jc w:val="center"/>
                    <w:rPr>
                      <w:rFonts w:cs="Arial"/>
                      <w:b/>
                      <w:sz w:val="20"/>
                      <w:u w:val="single"/>
                    </w:rPr>
                  </w:pPr>
                  <w:r>
                    <w:rPr>
                      <w:rFonts w:cs="Arial"/>
                      <w:b/>
                      <w:sz w:val="20"/>
                      <w:u w:val="single"/>
                    </w:rPr>
                    <w:t>Prescribed amount</w:t>
                  </w:r>
                </w:p>
              </w:tc>
            </w:tr>
            <w:tr w:rsidR="00831AAA" w:rsidTr="00131848" w14:paraId="2F59200C" w14:textId="77777777">
              <w:tc>
                <w:tcPr>
                  <w:tcW w:w="4178" w:type="dxa"/>
                </w:tcPr>
                <w:p w:rsidR="00831AAA" w:rsidP="00131848" w:rsidRDefault="00831AAA" w14:paraId="105BF5D7" w14:textId="77777777">
                  <w:pPr>
                    <w:pStyle w:val="BodyText"/>
                    <w:rPr>
                      <w:rFonts w:cs="Arial"/>
                      <w:b/>
                      <w:sz w:val="20"/>
                      <w:u w:val="single"/>
                    </w:rPr>
                  </w:pPr>
                  <w:r w:rsidRPr="00050ECC">
                    <w:rPr>
                      <w:rFonts w:cs="Arial"/>
                      <w:b/>
                      <w:sz w:val="20"/>
                    </w:rPr>
                    <w:t>1 mL/hour = 0.</w:t>
                  </w:r>
                  <w:r>
                    <w:rPr>
                      <w:rFonts w:cs="Arial"/>
                      <w:b/>
                      <w:sz w:val="20"/>
                    </w:rPr>
                    <w:t>2</w:t>
                  </w:r>
                  <w:r w:rsidRPr="00050ECC">
                    <w:rPr>
                      <w:rFonts w:cs="Arial"/>
                      <w:b/>
                      <w:sz w:val="20"/>
                    </w:rPr>
                    <w:t xml:space="preserve"> microgram/kg/minute</w:t>
                  </w:r>
                </w:p>
              </w:tc>
              <w:tc>
                <w:tcPr>
                  <w:tcW w:w="4179" w:type="dxa"/>
                </w:tcPr>
                <w:p w:rsidR="00831AAA" w:rsidP="00131848" w:rsidRDefault="00831AAA" w14:paraId="32F30023" w14:textId="77777777">
                  <w:pPr>
                    <w:pStyle w:val="BodyText"/>
                    <w:rPr>
                      <w:rFonts w:cs="Arial"/>
                      <w:b/>
                      <w:sz w:val="20"/>
                      <w:u w:val="single"/>
                    </w:rPr>
                  </w:pPr>
                  <w:r w:rsidRPr="00050ECC">
                    <w:rPr>
                      <w:rFonts w:cs="Arial"/>
                      <w:sz w:val="20"/>
                    </w:rPr>
                    <w:t>0.6 mL/kg</w:t>
                  </w:r>
                  <w:r>
                    <w:rPr>
                      <w:rFonts w:cs="Arial"/>
                      <w:sz w:val="20"/>
                    </w:rPr>
                    <w:t xml:space="preserve"> milrinone and make up to 50mL</w:t>
                  </w:r>
                </w:p>
              </w:tc>
            </w:tr>
          </w:tbl>
          <w:p w:rsidRPr="00050ECC" w:rsidR="00831AAA" w:rsidP="00131848" w:rsidRDefault="00831AAA" w14:paraId="092F4454" w14:textId="77777777">
            <w:pPr>
              <w:pStyle w:val="BodyText"/>
              <w:rPr>
                <w:rFonts w:cs="Arial"/>
                <w:b/>
                <w:sz w:val="20"/>
                <w:u w:val="single"/>
              </w:rPr>
            </w:pPr>
          </w:p>
          <w:p w:rsidRPr="00050ECC" w:rsidR="00831AAA" w:rsidP="00131848" w:rsidRDefault="00831AAA" w14:paraId="755D076E" w14:textId="77777777">
            <w:pPr>
              <w:pStyle w:val="BodyText"/>
              <w:rPr>
                <w:rFonts w:cs="Arial"/>
                <w:sz w:val="20"/>
              </w:rPr>
            </w:pPr>
            <w:r w:rsidRPr="00050ECC">
              <w:rPr>
                <w:rFonts w:cs="Arial"/>
                <w:sz w:val="20"/>
              </w:rPr>
              <w:t xml:space="preserve">Draw up </w:t>
            </w:r>
            <w:r>
              <w:rPr>
                <w:rFonts w:cs="Arial"/>
                <w:sz w:val="20"/>
              </w:rPr>
              <w:t xml:space="preserve">0.6mL/kg </w:t>
            </w:r>
            <w:r w:rsidRPr="00050ECC">
              <w:rPr>
                <w:rFonts w:cs="Arial"/>
                <w:sz w:val="20"/>
              </w:rPr>
              <w:t xml:space="preserve">(600 microgram/kg of milrinone) and </w:t>
            </w:r>
            <w:r>
              <w:rPr>
                <w:rFonts w:cs="Arial"/>
                <w:sz w:val="20"/>
              </w:rPr>
              <w:t xml:space="preserve">add </w:t>
            </w:r>
            <w:r w:rsidRPr="00050ECC">
              <w:rPr>
                <w:rFonts w:cs="Arial"/>
                <w:sz w:val="20"/>
              </w:rPr>
              <w:t>sodium chloride 0.9%</w:t>
            </w:r>
            <w:r>
              <w:rPr>
                <w:rFonts w:cs="Arial"/>
                <w:sz w:val="20"/>
              </w:rPr>
              <w:t xml:space="preserve"> or glucose 5% to make a final volume of 50mL. Infusing 1mL/hour = 0.2microgram/kg/minute.</w:t>
            </w:r>
            <w:r w:rsidRPr="00050ECC">
              <w:rPr>
                <w:rFonts w:cs="Arial"/>
                <w:sz w:val="20"/>
              </w:rPr>
              <w:t xml:space="preserve"> </w:t>
            </w:r>
          </w:p>
          <w:p w:rsidR="00831AAA" w:rsidP="00131848" w:rsidRDefault="00831AAA" w14:paraId="0CF2FAA7" w14:textId="77777777">
            <w:pPr>
              <w:pStyle w:val="BodyText"/>
              <w:rPr>
                <w:rFonts w:cs="Arial"/>
                <w:sz w:val="20"/>
              </w:rPr>
            </w:pPr>
          </w:p>
          <w:p w:rsidRPr="00050ECC" w:rsidR="00831AAA" w:rsidP="00131848" w:rsidRDefault="00831AAA" w14:paraId="60869D87" w14:textId="77777777">
            <w:pPr>
              <w:pStyle w:val="BodyText"/>
              <w:rPr>
                <w:rFonts w:cs="Arial"/>
                <w:sz w:val="20"/>
              </w:rPr>
            </w:pPr>
            <w:r w:rsidRPr="00050ECC">
              <w:rPr>
                <w:color w:val="000000"/>
                <w:sz w:val="20"/>
              </w:rPr>
              <w:t>For preterm infants ─ if loading dose is not given, titrate the maximal infusion rate to 0.5</w:t>
            </w:r>
            <w:r>
              <w:rPr>
                <w:color w:val="000000"/>
                <w:sz w:val="20"/>
              </w:rPr>
              <w:t xml:space="preserve"> </w:t>
            </w:r>
            <w:r w:rsidRPr="00050ECC">
              <w:rPr>
                <w:color w:val="000000"/>
                <w:sz w:val="20"/>
              </w:rPr>
              <w:t>microgram/kg/minute if required. Avoid prolonged infusion &gt; 0.2 microgram/kg/minute in very preterm infants.</w:t>
            </w:r>
          </w:p>
          <w:p w:rsidR="00831AAA" w:rsidP="00131848" w:rsidRDefault="00831AAA" w14:paraId="27561B1D" w14:textId="77777777">
            <w:pPr>
              <w:pStyle w:val="BodyText"/>
              <w:rPr>
                <w:rFonts w:cs="Arial"/>
                <w:sz w:val="20"/>
              </w:rPr>
            </w:pPr>
          </w:p>
          <w:p w:rsidRPr="000227E1" w:rsidR="00831AAA" w:rsidP="00131848" w:rsidRDefault="00831AAA" w14:paraId="2D5ADD8F" w14:textId="77777777">
            <w:pPr>
              <w:pStyle w:val="BodyText"/>
              <w:rPr>
                <w:rFonts w:cs="Arial"/>
                <w:b/>
                <w:bCs/>
                <w:sz w:val="20"/>
              </w:rPr>
            </w:pPr>
            <w:r w:rsidRPr="000227E1">
              <w:rPr>
                <w:rFonts w:cs="Arial"/>
                <w:b/>
                <w:bCs/>
                <w:sz w:val="20"/>
              </w:rPr>
              <w:t>Term infant</w:t>
            </w:r>
          </w:p>
          <w:p w:rsidRPr="000227E1" w:rsidR="00831AAA" w:rsidP="00131848" w:rsidRDefault="00831AAA" w14:paraId="11F28F5E" w14:textId="77777777">
            <w:pPr>
              <w:pStyle w:val="BodyText"/>
              <w:rPr>
                <w:rFonts w:cs="Arial"/>
                <w:b/>
                <w:bCs/>
                <w:sz w:val="20"/>
              </w:rPr>
            </w:pPr>
            <w:r w:rsidRPr="000227E1">
              <w:rPr>
                <w:rFonts w:cs="Arial"/>
                <w:b/>
                <w:bCs/>
                <w:sz w:val="20"/>
              </w:rPr>
              <w:t xml:space="preserve">Optional Regimen – with loading dose </w:t>
            </w:r>
          </w:p>
          <w:p w:rsidR="00831AAA" w:rsidP="00131848" w:rsidRDefault="00831AAA" w14:paraId="2172C984" w14:textId="77777777">
            <w:pPr>
              <w:pStyle w:val="BodyText"/>
              <w:rPr>
                <w:rFonts w:cs="Arial"/>
                <w:sz w:val="20"/>
              </w:rPr>
            </w:pPr>
            <w:r w:rsidRPr="00050ECC">
              <w:rPr>
                <w:rFonts w:cs="Arial"/>
                <w:sz w:val="20"/>
              </w:rPr>
              <w:t xml:space="preserve">Give a loading dose of 3.75 mL (75 microgram/kg) over </w:t>
            </w:r>
            <w:r>
              <w:rPr>
                <w:rFonts w:cs="Arial"/>
                <w:sz w:val="20"/>
              </w:rPr>
              <w:t>1 hour</w:t>
            </w:r>
            <w:r w:rsidRPr="00050ECC">
              <w:rPr>
                <w:rFonts w:cs="Arial"/>
                <w:sz w:val="20"/>
              </w:rPr>
              <w:t xml:space="preserve"> (Note: risk of hypotension with loading dose).</w:t>
            </w:r>
          </w:p>
          <w:p w:rsidR="00831AAA" w:rsidP="00131848" w:rsidRDefault="00831AAA" w14:paraId="4BA9818D" w14:textId="77777777">
            <w:pPr>
              <w:pStyle w:val="BodyText"/>
              <w:rPr>
                <w:rFonts w:cs="Arial"/>
                <w:sz w:val="20"/>
              </w:rPr>
            </w:pPr>
          </w:p>
          <w:p w:rsidR="00831AAA" w:rsidP="00131848" w:rsidRDefault="00831AAA" w14:paraId="40DBEBB1" w14:textId="77777777">
            <w:pPr>
              <w:pStyle w:val="BodyText"/>
              <w:rPr>
                <w:rFonts w:cs="Arial"/>
                <w:b/>
                <w:bCs/>
                <w:sz w:val="20"/>
              </w:rPr>
            </w:pPr>
            <w:r w:rsidRPr="0002035A">
              <w:rPr>
                <w:rFonts w:cs="Arial"/>
                <w:b/>
                <w:bCs/>
                <w:sz w:val="20"/>
              </w:rPr>
              <w:t>Preterm infant</w:t>
            </w:r>
          </w:p>
          <w:p w:rsidRPr="0002035A" w:rsidR="00831AAA" w:rsidP="00131848" w:rsidRDefault="00831AAA" w14:paraId="4FEDCD9A" w14:textId="77777777">
            <w:pPr>
              <w:pStyle w:val="BodyText"/>
              <w:rPr>
                <w:rFonts w:cs="Arial"/>
                <w:b/>
                <w:bCs/>
                <w:sz w:val="20"/>
              </w:rPr>
            </w:pPr>
            <w:r>
              <w:rPr>
                <w:rFonts w:cs="Arial"/>
                <w:b/>
                <w:bCs/>
                <w:sz w:val="20"/>
              </w:rPr>
              <w:t>Optional Regimen – with loading dose</w:t>
            </w:r>
          </w:p>
          <w:p w:rsidRPr="003B78EA" w:rsidR="00831AAA" w:rsidP="00131848" w:rsidRDefault="00831AAA" w14:paraId="70F560CA" w14:textId="77777777">
            <w:pPr>
              <w:pStyle w:val="BodyText"/>
              <w:rPr>
                <w:rFonts w:asciiTheme="minorHAnsi" w:hAnsiTheme="minorHAnsi" w:cstheme="minorHAnsi"/>
                <w:sz w:val="20"/>
              </w:rPr>
            </w:pPr>
            <w:r w:rsidRPr="00050ECC">
              <w:rPr>
                <w:rFonts w:cs="Arial"/>
                <w:sz w:val="20"/>
              </w:rPr>
              <w:t xml:space="preserve">Give a loading dose of </w:t>
            </w:r>
            <w:r>
              <w:rPr>
                <w:rFonts w:cs="Arial"/>
                <w:sz w:val="20"/>
              </w:rPr>
              <w:t>3.75</w:t>
            </w:r>
            <w:r w:rsidRPr="00050ECC">
              <w:rPr>
                <w:rFonts w:cs="Arial"/>
                <w:sz w:val="20"/>
              </w:rPr>
              <w:t xml:space="preserve"> mL (</w:t>
            </w:r>
            <w:r>
              <w:rPr>
                <w:rFonts w:cs="Arial"/>
                <w:sz w:val="20"/>
              </w:rPr>
              <w:t>45</w:t>
            </w:r>
            <w:r w:rsidRPr="00050ECC">
              <w:rPr>
                <w:rFonts w:cs="Arial"/>
                <w:sz w:val="20"/>
              </w:rPr>
              <w:t xml:space="preserve"> microgram/kg) over </w:t>
            </w:r>
            <w:r>
              <w:rPr>
                <w:rFonts w:cs="Arial"/>
                <w:sz w:val="20"/>
              </w:rPr>
              <w:t>1</w:t>
            </w:r>
            <w:r w:rsidRPr="00050ECC">
              <w:rPr>
                <w:rFonts w:cs="Arial"/>
                <w:sz w:val="20"/>
              </w:rPr>
              <w:t xml:space="preserve"> hour (Note: risk of hypotension with loading dose).</w:t>
            </w:r>
          </w:p>
        </w:tc>
      </w:tr>
      <w:tr w:rsidRPr="005E645D" w:rsidR="00831AAA" w:rsidTr="008074AA" w14:paraId="744970F9" w14:textId="77777777">
        <w:trPr>
          <w:trHeight w:val="263"/>
        </w:trPr>
        <w:tc>
          <w:tcPr>
            <w:tcW w:w="862" w:type="pct"/>
          </w:tcPr>
          <w:p w:rsidRPr="003B78EA" w:rsidR="00831AAA" w:rsidP="00131848" w:rsidRDefault="00831AAA" w14:paraId="5A5A8E96"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Administration</w:t>
            </w:r>
          </w:p>
        </w:tc>
        <w:tc>
          <w:tcPr>
            <w:tcW w:w="4138" w:type="pct"/>
            <w:vAlign w:val="center"/>
          </w:tcPr>
          <w:p w:rsidR="00831AAA" w:rsidP="00131848" w:rsidRDefault="00831AAA" w14:paraId="5F1CF50B" w14:textId="77777777">
            <w:pPr>
              <w:pStyle w:val="BodyText"/>
              <w:rPr>
                <w:color w:val="000000"/>
                <w:sz w:val="20"/>
              </w:rPr>
            </w:pPr>
            <w:r>
              <w:rPr>
                <w:color w:val="000000"/>
                <w:sz w:val="20"/>
              </w:rPr>
              <w:t xml:space="preserve">Continuous </w:t>
            </w:r>
            <w:r w:rsidRPr="00050ECC">
              <w:rPr>
                <w:color w:val="000000"/>
                <w:sz w:val="20"/>
              </w:rPr>
              <w:t>IV infusion preferably via central line.</w:t>
            </w:r>
            <w:r>
              <w:rPr>
                <w:color w:val="000000"/>
                <w:sz w:val="20"/>
              </w:rPr>
              <w:t xml:space="preserve"> Change solution every 24 hours.</w:t>
            </w:r>
            <w:r w:rsidRPr="00050ECC">
              <w:rPr>
                <w:color w:val="000000"/>
                <w:sz w:val="20"/>
              </w:rPr>
              <w:br/>
            </w:r>
            <w:r w:rsidRPr="00050ECC">
              <w:rPr>
                <w:color w:val="000000"/>
                <w:sz w:val="20"/>
              </w:rPr>
              <w:t>Adjust infusion rate based on haemodynamic and clinical response.</w:t>
            </w:r>
          </w:p>
          <w:p w:rsidRPr="005E645D" w:rsidR="00831AAA" w:rsidP="00131848" w:rsidRDefault="00831AAA" w14:paraId="74F19E0E" w14:textId="77777777">
            <w:pPr>
              <w:pStyle w:val="BodyText"/>
              <w:rPr>
                <w:color w:val="000000"/>
                <w:sz w:val="20"/>
              </w:rPr>
            </w:pPr>
            <w:r>
              <w:rPr>
                <w:color w:val="000000"/>
                <w:sz w:val="20"/>
              </w:rPr>
              <w:t>For Loading dose: IV infusion over ONE hour</w:t>
            </w:r>
          </w:p>
        </w:tc>
      </w:tr>
      <w:tr w:rsidRPr="007F4B77" w:rsidR="00831AAA" w:rsidTr="008074AA" w14:paraId="0A06F037" w14:textId="77777777">
        <w:trPr>
          <w:trHeight w:val="263"/>
        </w:trPr>
        <w:tc>
          <w:tcPr>
            <w:tcW w:w="862" w:type="pct"/>
          </w:tcPr>
          <w:p w:rsidRPr="003B78EA" w:rsidR="00831AAA" w:rsidP="00131848" w:rsidRDefault="00831AAA" w14:paraId="40800442"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138" w:type="pct"/>
          </w:tcPr>
          <w:p w:rsidR="00831AAA" w:rsidP="00131848" w:rsidRDefault="00831AAA" w14:paraId="0A301EF0" w14:textId="77777777">
            <w:pPr>
              <w:pStyle w:val="BodyText"/>
              <w:rPr>
                <w:color w:val="000000"/>
                <w:sz w:val="20"/>
              </w:rPr>
            </w:pPr>
            <w:r>
              <w:rPr>
                <w:color w:val="000000"/>
                <w:sz w:val="20"/>
              </w:rPr>
              <w:t>H</w:t>
            </w:r>
            <w:r w:rsidRPr="00050ECC">
              <w:rPr>
                <w:color w:val="000000"/>
                <w:sz w:val="20"/>
              </w:rPr>
              <w:t xml:space="preserve">eart rate, ECG and blood pressure </w:t>
            </w:r>
          </w:p>
          <w:p w:rsidR="00831AAA" w:rsidP="00131848" w:rsidRDefault="00831AAA" w14:paraId="731F912F" w14:textId="77777777">
            <w:pPr>
              <w:pStyle w:val="BodyText"/>
              <w:rPr>
                <w:color w:val="000000"/>
                <w:sz w:val="20"/>
              </w:rPr>
            </w:pPr>
            <w:r>
              <w:rPr>
                <w:color w:val="000000"/>
                <w:sz w:val="20"/>
              </w:rPr>
              <w:t>U</w:t>
            </w:r>
            <w:r w:rsidRPr="00050ECC">
              <w:rPr>
                <w:color w:val="000000"/>
                <w:sz w:val="20"/>
              </w:rPr>
              <w:t>rine output and peripheral perfusion frequently.</w:t>
            </w:r>
            <w:r w:rsidRPr="00050ECC">
              <w:rPr>
                <w:color w:val="000000"/>
                <w:sz w:val="20"/>
              </w:rPr>
              <w:br/>
            </w:r>
            <w:r>
              <w:rPr>
                <w:color w:val="000000"/>
                <w:sz w:val="20"/>
              </w:rPr>
              <w:t>F</w:t>
            </w:r>
            <w:r w:rsidRPr="00050ECC">
              <w:rPr>
                <w:color w:val="000000"/>
                <w:sz w:val="20"/>
              </w:rPr>
              <w:t>luid and electrolytes.</w:t>
            </w:r>
          </w:p>
          <w:p w:rsidR="00831AAA" w:rsidP="00131848" w:rsidRDefault="00831AAA" w14:paraId="1D11BA87" w14:textId="77777777">
            <w:pPr>
              <w:pStyle w:val="BodyText"/>
              <w:rPr>
                <w:rFonts w:cstheme="minorHAnsi"/>
                <w:color w:val="000000"/>
                <w:sz w:val="20"/>
              </w:rPr>
            </w:pPr>
            <w:r>
              <w:rPr>
                <w:rFonts w:cstheme="minorHAnsi"/>
                <w:color w:val="000000"/>
                <w:sz w:val="20"/>
              </w:rPr>
              <w:t>Liver function.</w:t>
            </w:r>
          </w:p>
          <w:p w:rsidRPr="007F4B77" w:rsidR="00831AAA" w:rsidP="00131848" w:rsidRDefault="00831AAA" w14:paraId="4C2D89A9" w14:textId="77777777">
            <w:pPr>
              <w:pStyle w:val="BodyText"/>
              <w:rPr>
                <w:rFonts w:asciiTheme="minorHAnsi" w:hAnsiTheme="minorHAnsi" w:cstheme="minorHAnsi"/>
                <w:sz w:val="20"/>
              </w:rPr>
            </w:pPr>
            <w:r>
              <w:rPr>
                <w:rFonts w:cstheme="minorHAnsi"/>
                <w:color w:val="000000"/>
                <w:sz w:val="20"/>
              </w:rPr>
              <w:t>Platelets</w:t>
            </w:r>
          </w:p>
        </w:tc>
      </w:tr>
      <w:tr w:rsidRPr="003B78EA" w:rsidR="00831AAA" w:rsidTr="008074AA" w14:paraId="13F6614D" w14:textId="77777777">
        <w:trPr>
          <w:trHeight w:val="263"/>
        </w:trPr>
        <w:tc>
          <w:tcPr>
            <w:tcW w:w="862" w:type="pct"/>
          </w:tcPr>
          <w:p w:rsidRPr="003B78EA" w:rsidR="00831AAA" w:rsidP="00131848" w:rsidRDefault="00831AAA" w14:paraId="473A1CF6"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138" w:type="pct"/>
          </w:tcPr>
          <w:p w:rsidRPr="003B78EA" w:rsidR="00831AAA" w:rsidP="00131848" w:rsidRDefault="00831AAA" w14:paraId="1B75DEF0" w14:textId="77777777">
            <w:pPr>
              <w:pStyle w:val="BodyText"/>
              <w:rPr>
                <w:rFonts w:asciiTheme="minorHAnsi" w:hAnsiTheme="minorHAnsi" w:cstheme="minorHAnsi"/>
                <w:sz w:val="20"/>
              </w:rPr>
            </w:pPr>
            <w:r w:rsidRPr="00050ECC">
              <w:rPr>
                <w:color w:val="000000"/>
                <w:sz w:val="20"/>
              </w:rPr>
              <w:t>Severe obstructive aortic or pulmonary valvular disease or hypertrophic subaortic stenosis.</w:t>
            </w:r>
            <w:r w:rsidRPr="00050ECC">
              <w:rPr>
                <w:color w:val="000000"/>
                <w:sz w:val="20"/>
              </w:rPr>
              <w:br/>
            </w:r>
            <w:r w:rsidRPr="00050ECC">
              <w:rPr>
                <w:color w:val="000000"/>
                <w:sz w:val="20"/>
              </w:rPr>
              <w:t>Hypersensitivity to milrinone, other 3,4'-bipyridines</w:t>
            </w:r>
            <w:r w:rsidRPr="00050ECC" w:rsidDel="008E0E72">
              <w:rPr>
                <w:color w:val="000000"/>
                <w:sz w:val="20"/>
              </w:rPr>
              <w:t xml:space="preserve"> </w:t>
            </w:r>
            <w:r w:rsidRPr="00050ECC">
              <w:rPr>
                <w:color w:val="000000"/>
                <w:sz w:val="20"/>
              </w:rPr>
              <w:t>(inamrinone) or any other ingredient of the formulation.</w:t>
            </w:r>
          </w:p>
        </w:tc>
      </w:tr>
      <w:tr w:rsidRPr="003B78EA" w:rsidR="00831AAA" w:rsidTr="008074AA" w14:paraId="4E51451A" w14:textId="77777777">
        <w:trPr>
          <w:trHeight w:val="263"/>
        </w:trPr>
        <w:tc>
          <w:tcPr>
            <w:tcW w:w="862" w:type="pct"/>
          </w:tcPr>
          <w:p w:rsidRPr="003B78EA" w:rsidR="00831AAA" w:rsidP="00131848" w:rsidRDefault="00831AAA" w14:paraId="6DFF7EB8"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138" w:type="pct"/>
          </w:tcPr>
          <w:p w:rsidRPr="00050ECC" w:rsidR="00831AAA" w:rsidP="00131848" w:rsidRDefault="00831AAA" w14:paraId="7DAD3813" w14:textId="77777777">
            <w:pPr>
              <w:pStyle w:val="BodyText"/>
              <w:rPr>
                <w:rStyle w:val="apple-converted-space"/>
                <w:color w:val="000000"/>
                <w:sz w:val="20"/>
              </w:rPr>
            </w:pPr>
            <w:r w:rsidRPr="00050ECC">
              <w:rPr>
                <w:color w:val="000000"/>
                <w:sz w:val="20"/>
              </w:rPr>
              <w:t>Ensure adequate circulating blood volume prior to commencement.</w:t>
            </w:r>
            <w:r w:rsidRPr="00050ECC">
              <w:rPr>
                <w:color w:val="000000"/>
                <w:sz w:val="20"/>
              </w:rPr>
              <w:br/>
            </w:r>
            <w:r w:rsidRPr="00050ECC">
              <w:rPr>
                <w:b/>
                <w:color w:val="000000"/>
                <w:sz w:val="20"/>
              </w:rPr>
              <w:t xml:space="preserve">Loading dose: </w:t>
            </w:r>
            <w:r w:rsidRPr="00050ECC">
              <w:rPr>
                <w:color w:val="000000"/>
                <w:sz w:val="20"/>
              </w:rPr>
              <w:t>Considered optional depending on clinical circumstances. May cause hypotension.</w:t>
            </w:r>
            <w:r>
              <w:rPr>
                <w:rStyle w:val="apple-converted-space"/>
                <w:color w:val="000000"/>
                <w:sz w:val="20"/>
              </w:rPr>
              <w:t xml:space="preserve"> </w:t>
            </w:r>
            <w:r w:rsidRPr="00050ECC">
              <w:rPr>
                <w:rStyle w:val="apple-converted-space"/>
                <w:color w:val="000000"/>
                <w:sz w:val="20"/>
              </w:rPr>
              <w:t>Monitor BP and heart rate closely and ensure adequate volume replacement.</w:t>
            </w:r>
          </w:p>
          <w:p w:rsidRPr="00050ECC" w:rsidR="00831AAA" w:rsidP="00131848" w:rsidRDefault="00831AAA" w14:paraId="794D2C02" w14:textId="77777777">
            <w:pPr>
              <w:pStyle w:val="BodyText"/>
              <w:rPr>
                <w:b/>
                <w:color w:val="000000"/>
                <w:sz w:val="20"/>
              </w:rPr>
            </w:pPr>
            <w:r w:rsidRPr="00050ECC">
              <w:rPr>
                <w:rStyle w:val="apple-converted-space"/>
                <w:b/>
                <w:color w:val="000000"/>
                <w:sz w:val="20"/>
              </w:rPr>
              <w:t xml:space="preserve">Prematurity: </w:t>
            </w:r>
            <w:r w:rsidRPr="00050ECC">
              <w:rPr>
                <w:rStyle w:val="apple-converted-space"/>
                <w:color w:val="000000"/>
                <w:sz w:val="20"/>
              </w:rPr>
              <w:t>Long half-life reported (10 hours) in very preterm infants.</w:t>
            </w:r>
            <w:r w:rsidRPr="00050ECC">
              <w:rPr>
                <w:rStyle w:val="apple-converted-space"/>
                <w:noProof/>
                <w:color w:val="000000"/>
                <w:sz w:val="20"/>
                <w:vertAlign w:val="superscript"/>
              </w:rPr>
              <w:t>5</w:t>
            </w:r>
            <w:r w:rsidRPr="00050ECC">
              <w:rPr>
                <w:rStyle w:val="apple-converted-space"/>
                <w:color w:val="000000"/>
                <w:sz w:val="20"/>
              </w:rPr>
              <w:t xml:space="preserve"> Avoid prolonged higher rate infusion</w:t>
            </w:r>
            <w:r>
              <w:rPr>
                <w:rStyle w:val="apple-converted-space"/>
                <w:color w:val="000000"/>
                <w:sz w:val="20"/>
              </w:rPr>
              <w:t xml:space="preserve"> </w:t>
            </w:r>
            <w:r w:rsidRPr="00050ECC">
              <w:rPr>
                <w:rStyle w:val="apple-converted-space"/>
                <w:color w:val="000000"/>
                <w:sz w:val="20"/>
              </w:rPr>
              <w:t>≥0.2 microgram/kg/minute.</w:t>
            </w:r>
          </w:p>
          <w:p w:rsidRPr="00050ECC" w:rsidR="00831AAA" w:rsidP="00131848" w:rsidRDefault="00831AAA" w14:paraId="209E335A" w14:textId="77777777">
            <w:pPr>
              <w:pStyle w:val="BodyText"/>
              <w:rPr>
                <w:color w:val="000000"/>
                <w:sz w:val="20"/>
              </w:rPr>
            </w:pPr>
            <w:r w:rsidRPr="00050ECC">
              <w:rPr>
                <w:b/>
                <w:color w:val="000000"/>
                <w:sz w:val="20"/>
              </w:rPr>
              <w:t>Renal impairment:</w:t>
            </w:r>
            <w:r w:rsidRPr="00050ECC">
              <w:rPr>
                <w:color w:val="000000"/>
                <w:sz w:val="20"/>
              </w:rPr>
              <w:t xml:space="preserve"> Significantly increases half-life of milrinone. A reduction in the infusion rate in patients with renal impairment to prevent drug accumulation is advised. </w:t>
            </w:r>
          </w:p>
          <w:p w:rsidRPr="003B78EA" w:rsidR="00831AAA" w:rsidP="00131848" w:rsidRDefault="00831AAA" w14:paraId="7024C973" w14:textId="77777777">
            <w:pPr>
              <w:pStyle w:val="BodyText"/>
              <w:rPr>
                <w:rFonts w:asciiTheme="minorHAnsi" w:hAnsiTheme="minorHAnsi" w:cstheme="minorHAnsi"/>
                <w:sz w:val="20"/>
              </w:rPr>
            </w:pPr>
            <w:r w:rsidRPr="00050ECC">
              <w:rPr>
                <w:b/>
                <w:color w:val="000000"/>
                <w:sz w:val="20"/>
              </w:rPr>
              <w:t xml:space="preserve">Patient recovery: </w:t>
            </w:r>
            <w:r w:rsidRPr="00050ECC">
              <w:rPr>
                <w:color w:val="000000"/>
                <w:sz w:val="20"/>
              </w:rPr>
              <w:t>Improvement in cardiac output with resultant diuresis may necessitate a reduction in the dose of diuretic. Potassium loss due to excessive diuresis may predispose digitalised patients to arrhythmias.</w:t>
            </w:r>
          </w:p>
        </w:tc>
      </w:tr>
      <w:tr w:rsidRPr="003B78EA" w:rsidR="00831AAA" w:rsidTr="008074AA" w14:paraId="3D5AA770" w14:textId="77777777">
        <w:trPr>
          <w:trHeight w:val="263"/>
        </w:trPr>
        <w:tc>
          <w:tcPr>
            <w:tcW w:w="862" w:type="pct"/>
          </w:tcPr>
          <w:p w:rsidRPr="003B78EA" w:rsidR="00831AAA" w:rsidP="00131848" w:rsidRDefault="00831AAA" w14:paraId="1ED4C7E5"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138" w:type="pct"/>
          </w:tcPr>
          <w:p w:rsidRPr="003B78EA" w:rsidR="00831AAA" w:rsidP="00131848" w:rsidRDefault="00831AAA" w14:paraId="640560AD" w14:textId="77777777">
            <w:pPr>
              <w:pStyle w:val="BodyText"/>
              <w:rPr>
                <w:rFonts w:asciiTheme="minorHAnsi" w:hAnsiTheme="minorHAnsi" w:cstheme="minorHAnsi"/>
                <w:sz w:val="20"/>
              </w:rPr>
            </w:pPr>
            <w:r w:rsidRPr="00050ECC">
              <w:rPr>
                <w:rFonts w:cs="Arial"/>
                <w:sz w:val="20"/>
              </w:rPr>
              <w:t>None known.</w:t>
            </w:r>
          </w:p>
        </w:tc>
      </w:tr>
      <w:tr w:rsidRPr="003B78EA" w:rsidR="00831AAA" w:rsidTr="008074AA" w14:paraId="1F371F11" w14:textId="77777777">
        <w:trPr>
          <w:trHeight w:val="263"/>
        </w:trPr>
        <w:tc>
          <w:tcPr>
            <w:tcW w:w="862" w:type="pct"/>
          </w:tcPr>
          <w:p w:rsidRPr="003B78EA" w:rsidR="00831AAA" w:rsidP="00131848" w:rsidRDefault="00831AAA" w14:paraId="59D63E51"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138" w:type="pct"/>
          </w:tcPr>
          <w:p w:rsidRPr="003B78EA" w:rsidR="00831AAA" w:rsidP="00131848" w:rsidRDefault="00831AAA" w14:paraId="0B217FF9" w14:textId="77777777">
            <w:pPr>
              <w:pStyle w:val="BodyText"/>
              <w:rPr>
                <w:rFonts w:asciiTheme="minorHAnsi" w:hAnsiTheme="minorHAnsi" w:cstheme="minorHAnsi"/>
                <w:sz w:val="20"/>
              </w:rPr>
            </w:pPr>
            <w:r w:rsidRPr="00050ECC">
              <w:rPr>
                <w:color w:val="000000"/>
                <w:sz w:val="20"/>
              </w:rPr>
              <w:t>Ventricular arrhythmias in cardiac patients.</w:t>
            </w:r>
            <w:r w:rsidRPr="00050ECC">
              <w:rPr>
                <w:color w:val="000000"/>
                <w:sz w:val="20"/>
              </w:rPr>
              <w:br/>
            </w:r>
            <w:r w:rsidRPr="00050ECC">
              <w:rPr>
                <w:color w:val="000000"/>
                <w:sz w:val="20"/>
              </w:rPr>
              <w:t>Patent ductus arteriosus.</w:t>
            </w:r>
            <w:r w:rsidRPr="00050ECC">
              <w:rPr>
                <w:color w:val="000000"/>
                <w:sz w:val="20"/>
              </w:rPr>
              <w:br/>
            </w:r>
            <w:r w:rsidRPr="00050ECC">
              <w:rPr>
                <w:color w:val="000000"/>
                <w:sz w:val="20"/>
              </w:rPr>
              <w:t>May cause hypotension.</w:t>
            </w:r>
          </w:p>
        </w:tc>
      </w:tr>
      <w:tr w:rsidRPr="003B78EA" w:rsidR="00831AAA" w:rsidTr="008074AA" w14:paraId="795BD0F9" w14:textId="77777777">
        <w:trPr>
          <w:trHeight w:val="263"/>
        </w:trPr>
        <w:tc>
          <w:tcPr>
            <w:tcW w:w="862" w:type="pct"/>
          </w:tcPr>
          <w:p w:rsidRPr="003B78EA" w:rsidR="00831AAA" w:rsidP="00131848" w:rsidRDefault="00831AAA" w14:paraId="20AF9E14"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138" w:type="pct"/>
          </w:tcPr>
          <w:p w:rsidRPr="003B78EA" w:rsidR="00831AAA" w:rsidP="00131848" w:rsidRDefault="00831AAA" w14:paraId="0C502303" w14:textId="77777777">
            <w:pPr>
              <w:pStyle w:val="BodyText"/>
              <w:rPr>
                <w:rFonts w:asciiTheme="minorHAnsi" w:hAnsiTheme="minorHAnsi" w:cstheme="minorHAnsi"/>
                <w:sz w:val="20"/>
              </w:rPr>
            </w:pPr>
            <w:r w:rsidRPr="00050ECC">
              <w:rPr>
                <w:color w:val="000000"/>
                <w:sz w:val="20"/>
              </w:rPr>
              <w:t>Fluids: Glucose 5%, sodium chloride 0.9%.</w:t>
            </w:r>
            <w:r w:rsidRPr="00050ECC">
              <w:rPr>
                <w:rStyle w:val="apple-converted-space"/>
                <w:color w:val="000000"/>
                <w:sz w:val="20"/>
              </w:rPr>
              <w:t> </w:t>
            </w:r>
            <w:r w:rsidRPr="00050ECC">
              <w:rPr>
                <w:color w:val="000000"/>
                <w:sz w:val="20"/>
              </w:rPr>
              <w:br/>
            </w:r>
            <w:r w:rsidRPr="00050ECC">
              <w:rPr>
                <w:color w:val="000000"/>
                <w:sz w:val="20"/>
              </w:rPr>
              <w:br/>
            </w:r>
            <w:r w:rsidRPr="00050ECC">
              <w:rPr>
                <w:color w:val="000000"/>
                <w:sz w:val="20"/>
              </w:rPr>
              <w:t xml:space="preserve">Y-site: Amino acid solutions, </w:t>
            </w:r>
            <w:r>
              <w:rPr>
                <w:color w:val="000000"/>
                <w:sz w:val="20"/>
              </w:rPr>
              <w:t xml:space="preserve">aciclovir, </w:t>
            </w:r>
            <w:r w:rsidRPr="00050ECC">
              <w:rPr>
                <w:color w:val="000000"/>
                <w:sz w:val="20"/>
              </w:rPr>
              <w:t xml:space="preserve">adrenaline (epinephrine) hydrochloride, </w:t>
            </w:r>
            <w:r>
              <w:rPr>
                <w:color w:val="000000"/>
                <w:sz w:val="20"/>
              </w:rPr>
              <w:t xml:space="preserve">amikacin, </w:t>
            </w:r>
            <w:r w:rsidRPr="00050ECC">
              <w:rPr>
                <w:color w:val="000000"/>
                <w:sz w:val="20"/>
              </w:rPr>
              <w:t xml:space="preserve">amiodarone, atracurium, bivalirudin, </w:t>
            </w:r>
            <w:r>
              <w:rPr>
                <w:color w:val="000000"/>
                <w:sz w:val="20"/>
              </w:rPr>
              <w:t xml:space="preserve">calcium chloride, </w:t>
            </w:r>
            <w:r w:rsidRPr="00050ECC">
              <w:rPr>
                <w:color w:val="000000"/>
                <w:sz w:val="20"/>
              </w:rPr>
              <w:t xml:space="preserve">calcium gluconate, caspofungin, </w:t>
            </w:r>
            <w:r>
              <w:rPr>
                <w:color w:val="000000"/>
                <w:sz w:val="20"/>
              </w:rPr>
              <w:t xml:space="preserve">cefazolin, cefepime, cefotaxime, </w:t>
            </w:r>
            <w:r w:rsidRPr="00050ECC">
              <w:rPr>
                <w:color w:val="000000"/>
                <w:sz w:val="20"/>
              </w:rPr>
              <w:t xml:space="preserve">dexmedetomidine, digoxin, dobutamine, dopamine, doripenem, fentanyl, glyceryl trinitrate, heparin sodium, insulin (short-acting), magnesium sulfate heptahydrate, </w:t>
            </w:r>
            <w:r>
              <w:rPr>
                <w:color w:val="000000"/>
                <w:sz w:val="20"/>
              </w:rPr>
              <w:lastRenderedPageBreak/>
              <w:t xml:space="preserve">meropenem, </w:t>
            </w:r>
            <w:r w:rsidRPr="00050ECC">
              <w:rPr>
                <w:color w:val="000000"/>
                <w:sz w:val="20"/>
              </w:rPr>
              <w:t xml:space="preserve">metoprolol, midazolam, morphine sulfate pentahydrate, noradrenaline (norepinephrine), pancuronium, potassium chloride, ranitidine, rocuronium, sodium nitroprusside, </w:t>
            </w:r>
            <w:r>
              <w:rPr>
                <w:color w:val="000000"/>
                <w:sz w:val="20"/>
              </w:rPr>
              <w:t xml:space="preserve">vancomycin, </w:t>
            </w:r>
            <w:r w:rsidRPr="00050ECC">
              <w:rPr>
                <w:color w:val="000000"/>
                <w:sz w:val="20"/>
              </w:rPr>
              <w:t>vecuronium, verapamil.</w:t>
            </w:r>
          </w:p>
        </w:tc>
      </w:tr>
      <w:tr w:rsidRPr="003B78EA" w:rsidR="00831AAA" w:rsidTr="008074AA" w14:paraId="1B29485E" w14:textId="77777777">
        <w:trPr>
          <w:trHeight w:val="263"/>
        </w:trPr>
        <w:tc>
          <w:tcPr>
            <w:tcW w:w="862" w:type="pct"/>
          </w:tcPr>
          <w:p w:rsidRPr="003B78EA" w:rsidR="00831AAA" w:rsidP="00131848" w:rsidRDefault="00831AAA" w14:paraId="526CEB13"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Incompatibility</w:t>
            </w:r>
          </w:p>
        </w:tc>
        <w:tc>
          <w:tcPr>
            <w:tcW w:w="4138" w:type="pct"/>
          </w:tcPr>
          <w:p w:rsidRPr="00050ECC" w:rsidR="00831AAA" w:rsidP="00131848" w:rsidRDefault="00831AAA" w14:paraId="3783133E" w14:textId="77777777">
            <w:pPr>
              <w:pStyle w:val="BodyText"/>
              <w:rPr>
                <w:color w:val="000000"/>
                <w:sz w:val="20"/>
              </w:rPr>
            </w:pPr>
            <w:r w:rsidRPr="00050ECC">
              <w:rPr>
                <w:color w:val="000000"/>
                <w:sz w:val="20"/>
              </w:rPr>
              <w:t xml:space="preserve">Fluids: Sodium bicarbonate. </w:t>
            </w:r>
          </w:p>
          <w:p w:rsidRPr="00050ECC" w:rsidR="00831AAA" w:rsidP="00131848" w:rsidRDefault="00831AAA" w14:paraId="3A85F51C" w14:textId="77777777">
            <w:pPr>
              <w:pStyle w:val="BodyText"/>
              <w:rPr>
                <w:color w:val="000000"/>
                <w:sz w:val="20"/>
              </w:rPr>
            </w:pPr>
          </w:p>
          <w:p w:rsidRPr="003B78EA" w:rsidR="00831AAA" w:rsidP="00131848" w:rsidRDefault="00831AAA" w14:paraId="401906DE" w14:textId="77777777">
            <w:pPr>
              <w:pStyle w:val="BodyText"/>
              <w:rPr>
                <w:rFonts w:asciiTheme="minorHAnsi" w:hAnsiTheme="minorHAnsi" w:cstheme="minorHAnsi"/>
                <w:sz w:val="20"/>
              </w:rPr>
            </w:pPr>
            <w:r w:rsidRPr="00050ECC">
              <w:rPr>
                <w:color w:val="000000"/>
                <w:sz w:val="20"/>
              </w:rPr>
              <w:t>Y-site: Bumetanide, esmolol, furosemide (frusemide), imipenem + cilastatin, ondansetron.</w:t>
            </w:r>
          </w:p>
        </w:tc>
      </w:tr>
      <w:tr w:rsidRPr="002F35E8" w:rsidR="00831AAA" w:rsidTr="008074AA" w14:paraId="02C410BF" w14:textId="77777777">
        <w:trPr>
          <w:trHeight w:val="263"/>
        </w:trPr>
        <w:tc>
          <w:tcPr>
            <w:tcW w:w="862" w:type="pct"/>
          </w:tcPr>
          <w:p w:rsidRPr="003B78EA" w:rsidR="00831AAA" w:rsidP="00131848" w:rsidRDefault="00831AAA" w14:paraId="19CA1033"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138" w:type="pct"/>
          </w:tcPr>
          <w:p w:rsidRPr="005E645D" w:rsidR="00831AAA" w:rsidP="00131848" w:rsidRDefault="00831AAA" w14:paraId="77DC2407" w14:textId="77777777">
            <w:pPr>
              <w:pStyle w:val="BodyText"/>
              <w:rPr>
                <w:rFonts w:asciiTheme="minorHAnsi" w:hAnsiTheme="minorHAnsi" w:cstheme="minorHAnsi"/>
                <w:color w:val="000000"/>
                <w:sz w:val="20"/>
              </w:rPr>
            </w:pPr>
            <w:r w:rsidRPr="005E645D">
              <w:rPr>
                <w:rFonts w:asciiTheme="minorHAnsi" w:hAnsiTheme="minorHAnsi" w:cstheme="minorHAnsi"/>
                <w:color w:val="000000"/>
                <w:sz w:val="20"/>
              </w:rPr>
              <w:t xml:space="preserve">Primacore: </w:t>
            </w:r>
            <w:r>
              <w:rPr>
                <w:rFonts w:asciiTheme="minorHAnsi" w:hAnsiTheme="minorHAnsi" w:cstheme="minorHAnsi"/>
                <w:color w:val="000000"/>
                <w:sz w:val="20"/>
              </w:rPr>
              <w:t>If storage is necessary, d</w:t>
            </w:r>
            <w:r w:rsidRPr="005E645D">
              <w:rPr>
                <w:rFonts w:asciiTheme="minorHAnsi" w:hAnsiTheme="minorHAnsi" w:cstheme="minorHAnsi"/>
                <w:color w:val="000000"/>
                <w:sz w:val="20"/>
              </w:rPr>
              <w:t xml:space="preserve">iluted solution </w:t>
            </w:r>
            <w:r>
              <w:rPr>
                <w:rFonts w:asciiTheme="minorHAnsi" w:hAnsiTheme="minorHAnsi" w:cstheme="minorHAnsi"/>
                <w:color w:val="000000"/>
                <w:sz w:val="20"/>
              </w:rPr>
              <w:t>may be s</w:t>
            </w:r>
            <w:r w:rsidRPr="005E645D">
              <w:rPr>
                <w:rFonts w:asciiTheme="minorHAnsi" w:hAnsiTheme="minorHAnsi" w:cstheme="minorHAnsi"/>
                <w:color w:val="000000"/>
                <w:sz w:val="20"/>
              </w:rPr>
              <w:t>tore</w:t>
            </w:r>
            <w:r>
              <w:rPr>
                <w:rFonts w:asciiTheme="minorHAnsi" w:hAnsiTheme="minorHAnsi" w:cstheme="minorHAnsi"/>
                <w:color w:val="000000"/>
                <w:sz w:val="20"/>
              </w:rPr>
              <w:t>d</w:t>
            </w:r>
            <w:r w:rsidRPr="005E645D">
              <w:rPr>
                <w:rFonts w:asciiTheme="minorHAnsi" w:hAnsiTheme="minorHAnsi" w:cstheme="minorHAnsi"/>
                <w:color w:val="000000"/>
                <w:sz w:val="20"/>
              </w:rPr>
              <w:t xml:space="preserve"> below 30°C</w:t>
            </w:r>
            <w:r>
              <w:rPr>
                <w:rFonts w:asciiTheme="minorHAnsi" w:hAnsiTheme="minorHAnsi" w:cstheme="minorHAnsi"/>
                <w:color w:val="000000"/>
                <w:sz w:val="20"/>
              </w:rPr>
              <w:t xml:space="preserve"> and u</w:t>
            </w:r>
            <w:r w:rsidRPr="005E645D">
              <w:rPr>
                <w:rFonts w:asciiTheme="minorHAnsi" w:hAnsiTheme="minorHAnsi" w:cstheme="minorHAnsi"/>
                <w:color w:val="000000"/>
                <w:sz w:val="20"/>
              </w:rPr>
              <w:t>se within 24 hours.</w:t>
            </w:r>
          </w:p>
          <w:p w:rsidRPr="005E645D" w:rsidR="00831AAA" w:rsidP="00131848" w:rsidRDefault="00831AAA" w14:paraId="535F26E3" w14:textId="77777777">
            <w:pPr>
              <w:pStyle w:val="BodyText"/>
              <w:rPr>
                <w:rFonts w:asciiTheme="minorHAnsi" w:hAnsiTheme="minorHAnsi" w:cstheme="minorHAnsi"/>
                <w:sz w:val="20"/>
              </w:rPr>
            </w:pPr>
            <w:r w:rsidRPr="005E645D">
              <w:rPr>
                <w:rFonts w:asciiTheme="minorHAnsi" w:hAnsiTheme="minorHAnsi" w:cstheme="minorHAnsi"/>
                <w:color w:val="000000"/>
                <w:sz w:val="20"/>
              </w:rPr>
              <w:t xml:space="preserve">Milrinone GH: </w:t>
            </w:r>
            <w:r>
              <w:rPr>
                <w:rFonts w:asciiTheme="minorHAnsi" w:hAnsiTheme="minorHAnsi" w:cstheme="minorHAnsi"/>
                <w:color w:val="000000"/>
                <w:sz w:val="20"/>
              </w:rPr>
              <w:t>If storage is necessary, d</w:t>
            </w:r>
            <w:r w:rsidRPr="006752EF">
              <w:rPr>
                <w:rFonts w:asciiTheme="minorHAnsi" w:hAnsiTheme="minorHAnsi" w:cstheme="minorHAnsi"/>
                <w:color w:val="000000"/>
                <w:sz w:val="20"/>
              </w:rPr>
              <w:t xml:space="preserve">iluted solution </w:t>
            </w:r>
            <w:r>
              <w:rPr>
                <w:rFonts w:asciiTheme="minorHAnsi" w:hAnsiTheme="minorHAnsi" w:cstheme="minorHAnsi"/>
                <w:color w:val="000000"/>
                <w:sz w:val="20"/>
              </w:rPr>
              <w:t>may be</w:t>
            </w:r>
            <w:r w:rsidRPr="005E645D">
              <w:rPr>
                <w:rFonts w:asciiTheme="minorHAnsi" w:hAnsiTheme="minorHAnsi" w:cstheme="minorHAnsi"/>
                <w:color w:val="000000"/>
                <w:sz w:val="20"/>
              </w:rPr>
              <w:t xml:space="preserve"> </w:t>
            </w:r>
            <w:r>
              <w:rPr>
                <w:rFonts w:asciiTheme="minorHAnsi" w:hAnsiTheme="minorHAnsi" w:cstheme="minorHAnsi"/>
                <w:color w:val="000000"/>
                <w:sz w:val="20"/>
              </w:rPr>
              <w:t>s</w:t>
            </w:r>
            <w:r w:rsidRPr="005E645D">
              <w:rPr>
                <w:rFonts w:asciiTheme="minorHAnsi" w:hAnsiTheme="minorHAnsi" w:cstheme="minorHAnsi"/>
                <w:color w:val="000000"/>
                <w:sz w:val="20"/>
              </w:rPr>
              <w:t>tore</w:t>
            </w:r>
            <w:r>
              <w:rPr>
                <w:rFonts w:asciiTheme="minorHAnsi" w:hAnsiTheme="minorHAnsi" w:cstheme="minorHAnsi"/>
                <w:color w:val="000000"/>
                <w:sz w:val="20"/>
              </w:rPr>
              <w:t>d</w:t>
            </w:r>
            <w:r w:rsidRPr="005E645D">
              <w:rPr>
                <w:rFonts w:asciiTheme="minorHAnsi" w:hAnsiTheme="minorHAnsi" w:cstheme="minorHAnsi"/>
                <w:sz w:val="20"/>
              </w:rPr>
              <w:t xml:space="preserve"> at 2-8°C</w:t>
            </w:r>
            <w:r>
              <w:rPr>
                <w:rFonts w:asciiTheme="minorHAnsi" w:hAnsiTheme="minorHAnsi" w:cstheme="minorHAnsi"/>
                <w:sz w:val="20"/>
              </w:rPr>
              <w:t xml:space="preserve"> and u</w:t>
            </w:r>
            <w:r w:rsidRPr="005E645D">
              <w:rPr>
                <w:rFonts w:asciiTheme="minorHAnsi" w:hAnsiTheme="minorHAnsi" w:cstheme="minorHAnsi"/>
                <w:sz w:val="20"/>
              </w:rPr>
              <w:t>se within 24 hours.</w:t>
            </w:r>
          </w:p>
          <w:p w:rsidRPr="002F35E8" w:rsidR="00831AAA" w:rsidP="00131848" w:rsidRDefault="00831AAA" w14:paraId="0463C688" w14:textId="77777777">
            <w:pPr>
              <w:pStyle w:val="BodyText"/>
              <w:rPr>
                <w:rFonts w:asciiTheme="minorHAnsi" w:hAnsiTheme="minorHAnsi" w:cstheme="minorHAnsi"/>
                <w:sz w:val="20"/>
              </w:rPr>
            </w:pPr>
            <w:r w:rsidRPr="005E645D">
              <w:rPr>
                <w:rFonts w:asciiTheme="minorHAnsi" w:hAnsiTheme="minorHAnsi" w:cstheme="minorHAnsi"/>
                <w:sz w:val="20"/>
              </w:rPr>
              <w:t>Milrinone-Baxter: Diluted solution should be used immediately or as soon as practical</w:t>
            </w:r>
            <w:r>
              <w:rPr>
                <w:rFonts w:asciiTheme="minorHAnsi" w:hAnsiTheme="minorHAnsi" w:cstheme="minorHAnsi"/>
                <w:sz w:val="20"/>
              </w:rPr>
              <w:t xml:space="preserve"> to reduce microbiological hazard</w:t>
            </w:r>
            <w:r w:rsidRPr="005E645D">
              <w:rPr>
                <w:rFonts w:asciiTheme="minorHAnsi" w:hAnsiTheme="minorHAnsi" w:cstheme="minorHAnsi"/>
                <w:sz w:val="20"/>
              </w:rPr>
              <w:t xml:space="preserve">. </w:t>
            </w:r>
          </w:p>
        </w:tc>
      </w:tr>
      <w:tr w:rsidRPr="005E645D" w:rsidR="00831AAA" w:rsidTr="008074AA" w14:paraId="0A71B2C5" w14:textId="77777777">
        <w:trPr>
          <w:trHeight w:val="263"/>
        </w:trPr>
        <w:tc>
          <w:tcPr>
            <w:tcW w:w="862" w:type="pct"/>
          </w:tcPr>
          <w:p w:rsidRPr="003B78EA" w:rsidR="00831AAA" w:rsidP="00131848" w:rsidRDefault="00831AAA" w14:paraId="36C331D9"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138" w:type="pct"/>
          </w:tcPr>
          <w:p w:rsidRPr="005E645D" w:rsidR="00831AAA" w:rsidP="00131848" w:rsidRDefault="00831AAA" w14:paraId="795C3017" w14:textId="77777777">
            <w:pPr>
              <w:pStyle w:val="BodyText"/>
              <w:rPr>
                <w:rFonts w:asciiTheme="minorHAnsi" w:hAnsiTheme="minorHAnsi" w:cstheme="minorHAnsi"/>
                <w:color w:val="000000"/>
                <w:sz w:val="20"/>
              </w:rPr>
            </w:pPr>
            <w:r w:rsidRPr="00F161B5">
              <w:rPr>
                <w:rFonts w:asciiTheme="minorHAnsi" w:hAnsiTheme="minorHAnsi" w:cstheme="minorHAnsi"/>
                <w:color w:val="000000"/>
                <w:sz w:val="20"/>
              </w:rPr>
              <w:t>Primacor</w:t>
            </w:r>
            <w:r w:rsidRPr="005E645D">
              <w:rPr>
                <w:rFonts w:asciiTheme="minorHAnsi" w:hAnsiTheme="minorHAnsi" w:cstheme="minorHAnsi"/>
                <w:color w:val="000000"/>
                <w:sz w:val="20"/>
              </w:rPr>
              <w:t xml:space="preserve"> and Milrinone Baxter: </w:t>
            </w:r>
            <w:r w:rsidRPr="005E645D">
              <w:rPr>
                <w:rFonts w:asciiTheme="minorHAnsi" w:hAnsiTheme="minorHAnsi" w:cstheme="minorHAnsi"/>
                <w:sz w:val="20"/>
              </w:rPr>
              <w:t>Store below 30°C. Do not freeze</w:t>
            </w:r>
            <w:r w:rsidRPr="005E645D">
              <w:rPr>
                <w:rFonts w:asciiTheme="minorHAnsi" w:hAnsiTheme="minorHAnsi" w:cstheme="minorHAnsi"/>
                <w:color w:val="000000"/>
                <w:sz w:val="20"/>
              </w:rPr>
              <w:t>.</w:t>
            </w:r>
          </w:p>
          <w:p w:rsidRPr="005E645D" w:rsidR="00831AAA" w:rsidP="00131848" w:rsidRDefault="00831AAA" w14:paraId="60ADE687" w14:textId="77777777">
            <w:pPr>
              <w:pStyle w:val="BodyText"/>
              <w:rPr>
                <w:rFonts w:asciiTheme="minorHAnsi" w:hAnsiTheme="minorHAnsi" w:cstheme="minorHAnsi"/>
                <w:color w:val="000000"/>
                <w:sz w:val="20"/>
              </w:rPr>
            </w:pPr>
            <w:r w:rsidRPr="005E645D">
              <w:rPr>
                <w:rFonts w:asciiTheme="minorHAnsi" w:hAnsiTheme="minorHAnsi" w:cstheme="minorHAnsi"/>
                <w:color w:val="000000"/>
                <w:sz w:val="20"/>
              </w:rPr>
              <w:t xml:space="preserve">Milrinone GH: </w:t>
            </w:r>
            <w:r w:rsidRPr="005E645D">
              <w:rPr>
                <w:rFonts w:asciiTheme="minorHAnsi" w:hAnsiTheme="minorHAnsi" w:cstheme="minorHAnsi"/>
                <w:sz w:val="20"/>
              </w:rPr>
              <w:t xml:space="preserve">Store below 25°C. Do not freeze. Protect from light. </w:t>
            </w:r>
          </w:p>
        </w:tc>
      </w:tr>
      <w:tr w:rsidRPr="00503E8A" w:rsidR="00831AAA" w:rsidTr="008074AA" w14:paraId="651E6500" w14:textId="77777777">
        <w:trPr>
          <w:trHeight w:val="263"/>
        </w:trPr>
        <w:tc>
          <w:tcPr>
            <w:tcW w:w="862" w:type="pct"/>
          </w:tcPr>
          <w:p w:rsidRPr="003B78EA" w:rsidR="00831AAA" w:rsidP="00131848" w:rsidRDefault="00831AAA" w14:paraId="46E3EE5B"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138" w:type="pct"/>
          </w:tcPr>
          <w:p w:rsidRPr="00503E8A" w:rsidR="00831AAA" w:rsidP="00131848" w:rsidRDefault="00831AAA" w14:paraId="313BFB24" w14:textId="77777777">
            <w:pPr>
              <w:pStyle w:val="BodyText"/>
              <w:rPr>
                <w:rFonts w:asciiTheme="minorHAnsi" w:hAnsiTheme="minorHAnsi" w:cstheme="minorHAnsi"/>
                <w:sz w:val="20"/>
              </w:rPr>
            </w:pPr>
            <w:r w:rsidRPr="00E84EA7">
              <w:rPr>
                <w:rFonts w:asciiTheme="minorHAnsi" w:hAnsiTheme="minorHAnsi" w:cstheme="minorHAnsi"/>
                <w:sz w:val="20"/>
              </w:rPr>
              <w:t>Primacore</w:t>
            </w:r>
            <w:r w:rsidRPr="00503E8A">
              <w:rPr>
                <w:rFonts w:asciiTheme="minorHAnsi" w:hAnsiTheme="minorHAnsi" w:cstheme="minorHAnsi"/>
                <w:sz w:val="20"/>
              </w:rPr>
              <w:t xml:space="preserve">, Milrinone GH, Milrinone-Baxter: </w:t>
            </w:r>
            <w:r w:rsidRPr="005E645D">
              <w:rPr>
                <w:rFonts w:asciiTheme="minorHAnsi" w:hAnsiTheme="minorHAnsi" w:cstheme="minorHAnsi"/>
                <w:sz w:val="20"/>
              </w:rPr>
              <w:t>Glucose</w:t>
            </w:r>
            <w:r>
              <w:rPr>
                <w:rFonts w:asciiTheme="minorHAnsi" w:hAnsiTheme="minorHAnsi" w:cstheme="minorHAnsi"/>
                <w:sz w:val="20"/>
              </w:rPr>
              <w:t xml:space="preserve"> (monohydrate or anhydrous)</w:t>
            </w:r>
            <w:r w:rsidRPr="005E645D">
              <w:rPr>
                <w:rFonts w:asciiTheme="minorHAnsi" w:hAnsiTheme="minorHAnsi" w:cstheme="minorHAnsi"/>
                <w:sz w:val="20"/>
              </w:rPr>
              <w:t>, lactic acid or sodium hydroxide (for pH adjus</w:t>
            </w:r>
            <w:r w:rsidRPr="00503E8A">
              <w:rPr>
                <w:rFonts w:asciiTheme="minorHAnsi" w:hAnsiTheme="minorHAnsi" w:cstheme="minorHAnsi"/>
                <w:sz w:val="20"/>
              </w:rPr>
              <w:t>tment), and water for injection</w:t>
            </w:r>
            <w:r>
              <w:rPr>
                <w:rFonts w:asciiTheme="minorHAnsi" w:hAnsiTheme="minorHAnsi" w:cstheme="minorHAnsi"/>
                <w:sz w:val="20"/>
              </w:rPr>
              <w:t>s</w:t>
            </w:r>
            <w:r w:rsidRPr="005E645D">
              <w:rPr>
                <w:rFonts w:asciiTheme="minorHAnsi" w:hAnsiTheme="minorHAnsi" w:cstheme="minorHAnsi"/>
                <w:sz w:val="20"/>
              </w:rPr>
              <w:t>.</w:t>
            </w:r>
            <w:r w:rsidRPr="00E84EA7">
              <w:rPr>
                <w:rFonts w:asciiTheme="minorHAnsi" w:hAnsiTheme="minorHAnsi" w:cstheme="minorHAnsi"/>
                <w:sz w:val="20"/>
              </w:rPr>
              <w:t xml:space="preserve"> </w:t>
            </w:r>
          </w:p>
        </w:tc>
      </w:tr>
      <w:tr w:rsidRPr="003B78EA" w:rsidR="00831AAA" w:rsidTr="008074AA" w14:paraId="29DCB110" w14:textId="77777777">
        <w:trPr>
          <w:trHeight w:val="263"/>
        </w:trPr>
        <w:tc>
          <w:tcPr>
            <w:tcW w:w="862" w:type="pct"/>
          </w:tcPr>
          <w:p w:rsidRPr="003B78EA" w:rsidR="00831AAA" w:rsidP="00131848" w:rsidRDefault="00831AAA" w14:paraId="5A15916E"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138" w:type="pct"/>
          </w:tcPr>
          <w:p w:rsidRPr="003B78EA" w:rsidR="00831AAA" w:rsidP="00131848" w:rsidRDefault="00831AAA" w14:paraId="08792066" w14:textId="77777777">
            <w:pPr>
              <w:pStyle w:val="BodyText"/>
              <w:rPr>
                <w:rFonts w:asciiTheme="minorHAnsi" w:hAnsiTheme="minorHAnsi" w:cstheme="minorHAnsi"/>
                <w:sz w:val="20"/>
              </w:rPr>
            </w:pPr>
            <w:r w:rsidRPr="00050ECC">
              <w:rPr>
                <w:color w:val="000000"/>
                <w:sz w:val="20"/>
              </w:rPr>
              <w:t>Discard mixtures exhibiting colour change.</w:t>
            </w:r>
          </w:p>
        </w:tc>
      </w:tr>
      <w:tr w:rsidRPr="003B78EA" w:rsidR="00831AAA" w:rsidTr="008074AA" w14:paraId="706D5BB7" w14:textId="77777777">
        <w:trPr>
          <w:trHeight w:val="263"/>
        </w:trPr>
        <w:tc>
          <w:tcPr>
            <w:tcW w:w="862" w:type="pct"/>
          </w:tcPr>
          <w:p w:rsidRPr="003B78EA" w:rsidR="00831AAA" w:rsidP="00131848" w:rsidRDefault="00831AAA" w14:paraId="12817BA5"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138" w:type="pct"/>
          </w:tcPr>
          <w:p w:rsidRPr="00C70005" w:rsidR="00831AAA" w:rsidP="00131848" w:rsidRDefault="00831AAA" w14:paraId="0C7131B3" w14:textId="77777777">
            <w:pPr>
              <w:pStyle w:val="BodyText"/>
              <w:rPr>
                <w:color w:val="000000"/>
                <w:sz w:val="16"/>
                <w:szCs w:val="16"/>
              </w:rPr>
            </w:pPr>
            <w:r w:rsidRPr="00C70005">
              <w:rPr>
                <w:b/>
                <w:color w:val="000000"/>
                <w:sz w:val="16"/>
                <w:szCs w:val="16"/>
              </w:rPr>
              <w:t>Efficacy</w:t>
            </w:r>
            <w:r w:rsidRPr="00C70005">
              <w:rPr>
                <w:color w:val="000000"/>
                <w:sz w:val="16"/>
                <w:szCs w:val="16"/>
              </w:rPr>
              <w:br/>
            </w:r>
            <w:r w:rsidRPr="00C70005">
              <w:rPr>
                <w:color w:val="000000"/>
                <w:sz w:val="16"/>
                <w:szCs w:val="16"/>
              </w:rPr>
              <w:t xml:space="preserve">Treatment of pulmonary hypertension in near term infants: Case series report improvements in pulmonary and systemic haemodynamics and oxygenation in infants with pulmonary hypertension treated with nitric oxide. </w:t>
            </w:r>
            <w:r w:rsidRPr="00C70005">
              <w:rPr>
                <w:noProof/>
                <w:color w:val="000000"/>
                <w:sz w:val="16"/>
                <w:szCs w:val="16"/>
                <w:vertAlign w:val="superscript"/>
              </w:rPr>
              <w:t>1, 6, 7</w:t>
            </w:r>
            <w:r w:rsidRPr="00C70005">
              <w:rPr>
                <w:color w:val="000000"/>
                <w:sz w:val="16"/>
                <w:szCs w:val="16"/>
              </w:rPr>
              <w:t xml:space="preserve"> (LOE IV GOR C)</w:t>
            </w:r>
            <w:r w:rsidRPr="00C70005">
              <w:rPr>
                <w:color w:val="000000"/>
                <w:sz w:val="16"/>
                <w:szCs w:val="16"/>
              </w:rPr>
              <w:br/>
            </w:r>
            <w:r w:rsidRPr="00C70005">
              <w:rPr>
                <w:color w:val="000000"/>
                <w:sz w:val="16"/>
                <w:szCs w:val="16"/>
              </w:rPr>
              <w:t xml:space="preserve">Treatment of very pre-term infants: An RCT found no difference in measures of systemic blood flow when used preventatively in extremely premature infants. </w:t>
            </w:r>
            <w:r w:rsidRPr="00C70005">
              <w:rPr>
                <w:noProof/>
                <w:color w:val="000000"/>
                <w:sz w:val="16"/>
                <w:szCs w:val="16"/>
                <w:vertAlign w:val="superscript"/>
              </w:rPr>
              <w:t>8</w:t>
            </w:r>
            <w:r w:rsidRPr="00C70005">
              <w:rPr>
                <w:color w:val="000000"/>
                <w:sz w:val="16"/>
                <w:szCs w:val="16"/>
              </w:rPr>
              <w:t xml:space="preserve"> Case series reported improvement in oxygenation and a fall in blood pressure in pre-term infants with pulmonary hypertension treated with nitric oxide. </w:t>
            </w:r>
            <w:r w:rsidRPr="00C70005">
              <w:rPr>
                <w:noProof/>
                <w:color w:val="000000"/>
                <w:sz w:val="16"/>
                <w:szCs w:val="16"/>
                <w:vertAlign w:val="superscript"/>
              </w:rPr>
              <w:t>9</w:t>
            </w:r>
            <w:r w:rsidRPr="00C70005">
              <w:rPr>
                <w:color w:val="000000"/>
                <w:sz w:val="16"/>
                <w:szCs w:val="16"/>
              </w:rPr>
              <w:t xml:space="preserve"> There are insufficient data to determine the efficacy and safety of milrinone in pre-term infants with pulmonary hypertension and/or myocardial dysfunction.</w:t>
            </w:r>
            <w:r w:rsidRPr="00C70005">
              <w:rPr>
                <w:noProof/>
                <w:color w:val="000000"/>
                <w:sz w:val="16"/>
                <w:szCs w:val="16"/>
                <w:vertAlign w:val="superscript"/>
              </w:rPr>
              <w:t>10</w:t>
            </w:r>
            <w:r w:rsidRPr="00C70005">
              <w:rPr>
                <w:rStyle w:val="apple-converted-space"/>
                <w:color w:val="000000"/>
                <w:sz w:val="16"/>
                <w:szCs w:val="16"/>
              </w:rPr>
              <w:t xml:space="preserve"> (LOE II </w:t>
            </w:r>
            <w:r w:rsidRPr="00C70005">
              <w:rPr>
                <w:rStyle w:val="apple-converted-space"/>
                <w:noProof/>
                <w:color w:val="000000"/>
                <w:sz w:val="16"/>
                <w:szCs w:val="16"/>
                <w:vertAlign w:val="superscript"/>
              </w:rPr>
              <w:t>8</w:t>
            </w:r>
            <w:r w:rsidRPr="00C70005">
              <w:rPr>
                <w:rStyle w:val="apple-converted-space"/>
                <w:color w:val="000000"/>
                <w:sz w:val="16"/>
                <w:szCs w:val="16"/>
              </w:rPr>
              <w:t>, GOR C)</w:t>
            </w:r>
            <w:r w:rsidRPr="00C70005">
              <w:rPr>
                <w:color w:val="000000"/>
                <w:sz w:val="16"/>
                <w:szCs w:val="16"/>
              </w:rPr>
              <w:br/>
            </w:r>
            <w:r w:rsidRPr="00C70005">
              <w:rPr>
                <w:color w:val="000000"/>
                <w:sz w:val="16"/>
                <w:szCs w:val="16"/>
              </w:rPr>
              <w:t xml:space="preserve">Neonates and infants undergoing cardiac surgery: A single RCT found high dose milrinone reduced the risk of LCOS post cardiac surgery. </w:t>
            </w:r>
            <w:r w:rsidRPr="00C70005">
              <w:rPr>
                <w:noProof/>
                <w:color w:val="000000"/>
                <w:sz w:val="16"/>
                <w:szCs w:val="16"/>
                <w:vertAlign w:val="superscript"/>
              </w:rPr>
              <w:t>2, 3</w:t>
            </w:r>
            <w:r w:rsidRPr="00C70005">
              <w:rPr>
                <w:color w:val="000000"/>
                <w:sz w:val="16"/>
                <w:szCs w:val="16"/>
              </w:rPr>
              <w:t xml:space="preserve"> (LOE II, GOR B) An historical control study reported use of milrinone post ductal ligation improved ventilation and reduced inotrope use </w:t>
            </w:r>
            <w:r w:rsidRPr="00C70005">
              <w:rPr>
                <w:noProof/>
                <w:color w:val="000000"/>
                <w:sz w:val="16"/>
                <w:szCs w:val="16"/>
                <w:vertAlign w:val="superscript"/>
              </w:rPr>
              <w:t>11</w:t>
            </w:r>
            <w:r w:rsidRPr="00C70005">
              <w:rPr>
                <w:color w:val="000000"/>
                <w:sz w:val="16"/>
                <w:szCs w:val="16"/>
              </w:rPr>
              <w:t xml:space="preserve"> (LOE IV, GOR C).</w:t>
            </w:r>
            <w:r w:rsidRPr="00C70005">
              <w:rPr>
                <w:rStyle w:val="apple-converted-space"/>
                <w:color w:val="000000"/>
                <w:sz w:val="16"/>
                <w:szCs w:val="16"/>
              </w:rPr>
              <w:t> </w:t>
            </w:r>
            <w:r w:rsidRPr="00C70005">
              <w:rPr>
                <w:color w:val="000000"/>
                <w:sz w:val="16"/>
                <w:szCs w:val="16"/>
              </w:rPr>
              <w:br/>
            </w:r>
            <w:r w:rsidRPr="00C70005">
              <w:rPr>
                <w:color w:val="000000"/>
                <w:sz w:val="16"/>
                <w:szCs w:val="16"/>
              </w:rPr>
              <w:t xml:space="preserve">Infants and children with shock associated with myocardial dysfunction: An RCT found milrinone 0.5 microgram/kg/min reduced mortality in children with enterovirus 71-induced pulmonary oedema and/or shock. A loading dose was not used. </w:t>
            </w:r>
            <w:r w:rsidRPr="00C70005">
              <w:rPr>
                <w:noProof/>
                <w:color w:val="000000"/>
                <w:sz w:val="16"/>
                <w:szCs w:val="16"/>
                <w:vertAlign w:val="superscript"/>
              </w:rPr>
              <w:t>4</w:t>
            </w:r>
            <w:r w:rsidRPr="00C70005">
              <w:rPr>
                <w:color w:val="000000"/>
                <w:sz w:val="16"/>
                <w:szCs w:val="16"/>
              </w:rPr>
              <w:t xml:space="preserve"> (LOE II, GOR B)</w:t>
            </w:r>
            <w:r w:rsidRPr="00C70005">
              <w:rPr>
                <w:color w:val="000000"/>
                <w:sz w:val="16"/>
                <w:szCs w:val="16"/>
              </w:rPr>
              <w:br/>
            </w:r>
            <w:r w:rsidRPr="00C70005">
              <w:rPr>
                <w:color w:val="000000"/>
                <w:sz w:val="16"/>
                <w:szCs w:val="16"/>
              </w:rPr>
              <w:br/>
            </w:r>
            <w:r w:rsidRPr="00C70005">
              <w:rPr>
                <w:b/>
                <w:color w:val="000000"/>
                <w:sz w:val="16"/>
                <w:szCs w:val="16"/>
              </w:rPr>
              <w:t>Safety</w:t>
            </w:r>
          </w:p>
          <w:p w:rsidRPr="00C70005" w:rsidR="00831AAA" w:rsidP="00131848" w:rsidRDefault="00831AAA" w14:paraId="6D8C61D0" w14:textId="77777777">
            <w:pPr>
              <w:pStyle w:val="BodyText"/>
              <w:rPr>
                <w:color w:val="000000"/>
                <w:sz w:val="16"/>
                <w:szCs w:val="16"/>
              </w:rPr>
            </w:pPr>
            <w:r w:rsidRPr="00C70005">
              <w:rPr>
                <w:color w:val="000000"/>
                <w:sz w:val="16"/>
                <w:szCs w:val="16"/>
              </w:rPr>
              <w:t xml:space="preserve">Reports of arrhythmias, tachycardia, hypotension and hypokalaemia, bronchospasm, headaches, thrombocytopenia, anaemia and elevated serum liver enzymes. In neonates treated with milrinone, hypotension and intraventricular haemorrhage have been observed. </w:t>
            </w:r>
            <w:r w:rsidRPr="00C70005">
              <w:rPr>
                <w:noProof/>
                <w:color w:val="000000"/>
                <w:sz w:val="16"/>
                <w:szCs w:val="16"/>
                <w:vertAlign w:val="superscript"/>
              </w:rPr>
              <w:t>2, 6</w:t>
            </w:r>
            <w:r w:rsidRPr="00C70005">
              <w:rPr>
                <w:color w:val="000000"/>
                <w:sz w:val="16"/>
                <w:szCs w:val="16"/>
              </w:rPr>
              <w:t xml:space="preserve"> (LOE IV)</w:t>
            </w:r>
            <w:r w:rsidRPr="00C70005">
              <w:rPr>
                <w:color w:val="000000"/>
                <w:sz w:val="16"/>
                <w:szCs w:val="16"/>
              </w:rPr>
              <w:br/>
            </w:r>
            <w:r w:rsidRPr="00C70005">
              <w:rPr>
                <w:color w:val="000000"/>
                <w:sz w:val="16"/>
                <w:szCs w:val="16"/>
              </w:rPr>
              <w:br/>
            </w:r>
            <w:r w:rsidRPr="00C70005">
              <w:rPr>
                <w:b/>
                <w:color w:val="000000"/>
                <w:sz w:val="16"/>
                <w:szCs w:val="16"/>
              </w:rPr>
              <w:t>Pharmacokinetics</w:t>
            </w:r>
            <w:r w:rsidRPr="00C70005">
              <w:rPr>
                <w:rStyle w:val="apple-converted-space"/>
                <w:color w:val="000000"/>
                <w:sz w:val="16"/>
                <w:szCs w:val="16"/>
              </w:rPr>
              <w:t> </w:t>
            </w:r>
            <w:r w:rsidRPr="00C70005">
              <w:rPr>
                <w:color w:val="000000"/>
                <w:sz w:val="16"/>
                <w:szCs w:val="16"/>
              </w:rPr>
              <w:br/>
            </w:r>
            <w:r w:rsidRPr="00C70005">
              <w:rPr>
                <w:color w:val="000000"/>
                <w:sz w:val="16"/>
                <w:szCs w:val="16"/>
              </w:rPr>
              <w:t>Extremely pre-term infants for prevention of low systemic blood flow: T</w:t>
            </w:r>
            <w:r w:rsidRPr="00C70005">
              <w:rPr>
                <w:color w:val="000000"/>
                <w:sz w:val="16"/>
                <w:szCs w:val="16"/>
                <w:vertAlign w:val="subscript"/>
              </w:rPr>
              <w:t>½</w:t>
            </w:r>
            <w:r w:rsidRPr="00C70005">
              <w:rPr>
                <w:color w:val="000000"/>
                <w:sz w:val="16"/>
                <w:szCs w:val="16"/>
              </w:rPr>
              <w:t xml:space="preserve"> averaged 10 hours. Milrinone loading infusion 0.75 microgram/kg/min for 3 hours followed by maintenance infusion 0.2 microgram/kg/min achieved target (180–300 nanogram/mL).</w:t>
            </w:r>
            <w:r w:rsidRPr="00C70005">
              <w:rPr>
                <w:noProof/>
                <w:color w:val="000000"/>
                <w:sz w:val="16"/>
                <w:szCs w:val="16"/>
                <w:vertAlign w:val="superscript"/>
              </w:rPr>
              <w:t>5</w:t>
            </w:r>
            <w:r w:rsidRPr="00C70005">
              <w:rPr>
                <w:color w:val="000000"/>
                <w:sz w:val="16"/>
                <w:szCs w:val="16"/>
              </w:rPr>
              <w:t xml:space="preserve"> (LOE IV GOR C)</w:t>
            </w:r>
            <w:r w:rsidRPr="00C70005">
              <w:rPr>
                <w:color w:val="000000"/>
                <w:sz w:val="16"/>
                <w:szCs w:val="16"/>
              </w:rPr>
              <w:br/>
            </w:r>
            <w:r w:rsidRPr="00C70005">
              <w:rPr>
                <w:color w:val="000000"/>
                <w:sz w:val="16"/>
                <w:szCs w:val="16"/>
              </w:rPr>
              <w:t>Term infants with pulmonary hypertension: Half-life (t</w:t>
            </w:r>
            <w:r w:rsidRPr="00C70005">
              <w:rPr>
                <w:color w:val="000000"/>
                <w:sz w:val="16"/>
                <w:szCs w:val="16"/>
                <w:vertAlign w:val="subscript"/>
              </w:rPr>
              <w:t>½</w:t>
            </w:r>
            <w:r w:rsidRPr="00C70005">
              <w:rPr>
                <w:color w:val="000000"/>
                <w:sz w:val="16"/>
                <w:szCs w:val="16"/>
              </w:rPr>
              <w:t>) averaged 4 hours. Loading dose 50 microgram/kg resulted in sub-therapeutic concentrations. Maintenance infusion 0.33–0.99 microgram/kg/min resulted in concentrations above target range (180–300 nanogram/mL).</w:t>
            </w:r>
            <w:r w:rsidRPr="00C70005">
              <w:rPr>
                <w:noProof/>
                <w:color w:val="000000"/>
                <w:sz w:val="16"/>
                <w:szCs w:val="16"/>
                <w:vertAlign w:val="superscript"/>
              </w:rPr>
              <w:t>1</w:t>
            </w:r>
            <w:r w:rsidRPr="00C70005">
              <w:rPr>
                <w:color w:val="000000"/>
                <w:sz w:val="16"/>
                <w:szCs w:val="16"/>
                <w:vertAlign w:val="superscript"/>
              </w:rPr>
              <w:t xml:space="preserve"> </w:t>
            </w:r>
            <w:r w:rsidRPr="00C70005">
              <w:rPr>
                <w:color w:val="000000"/>
                <w:sz w:val="16"/>
                <w:szCs w:val="16"/>
              </w:rPr>
              <w:t>(LOE IV GOR C)</w:t>
            </w:r>
            <w:r w:rsidRPr="00C70005">
              <w:rPr>
                <w:color w:val="000000"/>
                <w:sz w:val="16"/>
                <w:szCs w:val="16"/>
              </w:rPr>
              <w:br/>
            </w:r>
            <w:r w:rsidRPr="00C70005">
              <w:rPr>
                <w:color w:val="000000"/>
                <w:sz w:val="16"/>
                <w:szCs w:val="16"/>
              </w:rPr>
              <w:t>Term newborns with hypoplastic left heart undergoing surgery: Neonates received an initial dose of either a 100 or 250 microgram/kg of milrinone into the cardiopulmonary bypass circuit. A constant infusion of 0.5 microgram/kg/min resulted in drug accumulation during the initial 12 h of drug administration. Postoperatively, milrinone clearance was significantly impaired. Initial loading dose of 100 microgram/kg on cardiopulmonary bypass resulted in plasma concentrations similar to those observed in other therapeutic settings. In the postoperative setting of markedly impaired renal function, an infusion rate of 0.2 microgram/kg/min should be considered.</w:t>
            </w:r>
            <w:r w:rsidRPr="00C70005">
              <w:rPr>
                <w:noProof/>
                <w:color w:val="000000"/>
                <w:sz w:val="16"/>
                <w:szCs w:val="16"/>
                <w:vertAlign w:val="superscript"/>
              </w:rPr>
              <w:t>12</w:t>
            </w:r>
          </w:p>
          <w:p w:rsidRPr="00C70005" w:rsidR="00831AAA" w:rsidP="00131848" w:rsidRDefault="00831AAA" w14:paraId="3D9154D6" w14:textId="77777777">
            <w:pPr>
              <w:pStyle w:val="BodyText"/>
              <w:rPr>
                <w:rStyle w:val="apple-converted-space"/>
                <w:color w:val="000000"/>
                <w:sz w:val="16"/>
                <w:szCs w:val="16"/>
              </w:rPr>
            </w:pPr>
            <w:r w:rsidRPr="00C70005">
              <w:rPr>
                <w:color w:val="000000"/>
                <w:sz w:val="16"/>
                <w:szCs w:val="16"/>
              </w:rPr>
              <w:t>Paediatric patients with septic shock: T</w:t>
            </w:r>
            <w:r w:rsidRPr="00C70005">
              <w:rPr>
                <w:color w:val="000000"/>
                <w:sz w:val="16"/>
                <w:szCs w:val="16"/>
                <w:vertAlign w:val="subscript"/>
              </w:rPr>
              <w:t>½</w:t>
            </w:r>
            <w:r w:rsidRPr="00C70005">
              <w:rPr>
                <w:color w:val="000000"/>
                <w:sz w:val="16"/>
                <w:szCs w:val="16"/>
              </w:rPr>
              <w:t xml:space="preserve"> averaged 1.47 hours (range, 0.62 to 10.85 hours). Loading dose 75 microgram/kg and starting infusion rates 0.75–1.0 microgram/kg/min for patients with normal renal function recommended.</w:t>
            </w:r>
            <w:r w:rsidRPr="00C70005">
              <w:rPr>
                <w:noProof/>
                <w:color w:val="000000"/>
                <w:sz w:val="16"/>
                <w:szCs w:val="16"/>
                <w:vertAlign w:val="superscript"/>
              </w:rPr>
              <w:t>13</w:t>
            </w:r>
            <w:r w:rsidRPr="00C70005">
              <w:rPr>
                <w:rStyle w:val="apple-converted-space"/>
                <w:color w:val="000000"/>
                <w:sz w:val="16"/>
                <w:szCs w:val="16"/>
              </w:rPr>
              <w:t> </w:t>
            </w:r>
          </w:p>
          <w:p w:rsidRPr="00C70005" w:rsidR="00831AAA" w:rsidP="00131848" w:rsidRDefault="00831AAA" w14:paraId="0B705B5B" w14:textId="77777777">
            <w:pPr>
              <w:pStyle w:val="BodyText"/>
              <w:tabs>
                <w:tab w:val="left" w:pos="1168"/>
              </w:tabs>
              <w:rPr>
                <w:rFonts w:asciiTheme="minorHAnsi" w:hAnsiTheme="minorHAnsi" w:cstheme="minorHAnsi"/>
                <w:sz w:val="16"/>
                <w:szCs w:val="16"/>
              </w:rPr>
            </w:pPr>
            <w:r w:rsidRPr="00C70005">
              <w:rPr>
                <w:color w:val="000000"/>
                <w:sz w:val="16"/>
                <w:szCs w:val="16"/>
              </w:rPr>
              <w:t>Prevention of low cardiac output syndrome post cardiac surgery in infants: Loading dose 50 microgram/kg then infusion 3 microgram/kg/min for 30 minutes and then a maintenance infusion 0.5 microgram/kg/min, with adjustment for age.</w:t>
            </w:r>
            <w:r w:rsidRPr="00C70005">
              <w:rPr>
                <w:noProof/>
                <w:color w:val="000000"/>
                <w:sz w:val="16"/>
                <w:szCs w:val="16"/>
                <w:vertAlign w:val="superscript"/>
              </w:rPr>
              <w:t>14</w:t>
            </w:r>
            <w:r w:rsidRPr="00C70005">
              <w:rPr>
                <w:color w:val="000000"/>
                <w:sz w:val="16"/>
                <w:szCs w:val="16"/>
              </w:rPr>
              <w:t xml:space="preserve"> (LOE IV GOR C).</w:t>
            </w:r>
          </w:p>
        </w:tc>
      </w:tr>
      <w:tr w:rsidRPr="003B78EA" w:rsidR="00831AAA" w:rsidTr="008074AA" w14:paraId="6B841495" w14:textId="77777777">
        <w:trPr>
          <w:trHeight w:val="263"/>
        </w:trPr>
        <w:tc>
          <w:tcPr>
            <w:tcW w:w="862" w:type="pct"/>
          </w:tcPr>
          <w:p w:rsidRPr="003B78EA" w:rsidR="00831AAA" w:rsidP="00131848" w:rsidRDefault="00831AAA" w14:paraId="2E647B62"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4138" w:type="pct"/>
          </w:tcPr>
          <w:p w:rsidRPr="003B78EA" w:rsidR="00831AAA" w:rsidP="00131848" w:rsidRDefault="00831AAA" w14:paraId="5FDE3AD6" w14:textId="77777777">
            <w:pPr>
              <w:pStyle w:val="BodyText"/>
              <w:tabs>
                <w:tab w:val="left" w:pos="1168"/>
              </w:tabs>
              <w:rPr>
                <w:rFonts w:asciiTheme="minorHAnsi" w:hAnsiTheme="minorHAnsi" w:cstheme="minorHAnsi"/>
                <w:sz w:val="20"/>
              </w:rPr>
            </w:pPr>
          </w:p>
        </w:tc>
      </w:tr>
      <w:tr w:rsidRPr="00300BD7" w:rsidR="00831AAA" w:rsidTr="008074AA" w14:paraId="0F2082C8" w14:textId="77777777">
        <w:trPr>
          <w:trHeight w:val="263"/>
        </w:trPr>
        <w:tc>
          <w:tcPr>
            <w:tcW w:w="862" w:type="pct"/>
          </w:tcPr>
          <w:p w:rsidRPr="003B78EA" w:rsidR="00831AAA" w:rsidP="00131848" w:rsidRDefault="00831AAA" w14:paraId="45168719"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138" w:type="pct"/>
          </w:tcPr>
          <w:p w:rsidRPr="00C70005" w:rsidR="00831AAA" w:rsidP="00131848" w:rsidRDefault="00831AAA" w14:paraId="0C49A460" w14:textId="77777777">
            <w:pPr>
              <w:rPr>
                <w:noProof/>
                <w:sz w:val="16"/>
                <w:szCs w:val="16"/>
              </w:rPr>
            </w:pPr>
            <w:r w:rsidRPr="00C70005">
              <w:rPr>
                <w:rFonts w:cs="Arial"/>
                <w:sz w:val="16"/>
                <w:szCs w:val="16"/>
              </w:rPr>
              <w:t xml:space="preserve">1. </w:t>
            </w:r>
            <w:r w:rsidRPr="00C70005">
              <w:rPr>
                <w:noProof/>
                <w:sz w:val="16"/>
                <w:szCs w:val="16"/>
              </w:rPr>
              <w:t>McNamara PJ, Shivananda SP, Sahni M, Freeman D, Taddio A. Pharmacology of milrinone in neonates with persistent pulmonary hypertension of the newborn and suboptimal response to inhaled nitric oxide. Pediatric critical care medicine : a journal of the Society of Critical Care Medicine and the World Federation of Pediatric Intensive and Critical Care Societies. 2013;14:74-84.</w:t>
            </w:r>
          </w:p>
          <w:p w:rsidRPr="00C70005" w:rsidR="00831AAA" w:rsidP="00131848" w:rsidRDefault="00831AAA" w14:paraId="0033A5A2" w14:textId="77777777">
            <w:pPr>
              <w:pStyle w:val="EndNoteBibliography"/>
              <w:rPr>
                <w:sz w:val="16"/>
                <w:szCs w:val="16"/>
              </w:rPr>
            </w:pPr>
            <w:r w:rsidRPr="00C70005">
              <w:rPr>
                <w:sz w:val="16"/>
                <w:szCs w:val="16"/>
              </w:rPr>
              <w:lastRenderedPageBreak/>
              <w:t>2. Burkhardt BE, Rucker G, Stiller B. Prophylactic milrinone for the prevention of low cardiac output syndrome and mortality in children undergoing surgery for congenital heart disease. The Cochrane database of systematic reviews. 2015;3:CD009515.</w:t>
            </w:r>
          </w:p>
          <w:p w:rsidRPr="00C70005" w:rsidR="00831AAA" w:rsidP="00131848" w:rsidRDefault="00831AAA" w14:paraId="5865F883" w14:textId="77777777">
            <w:pPr>
              <w:pStyle w:val="EndNoteBibliography"/>
              <w:rPr>
                <w:sz w:val="16"/>
                <w:szCs w:val="16"/>
              </w:rPr>
            </w:pPr>
            <w:r w:rsidRPr="00C70005">
              <w:rPr>
                <w:sz w:val="16"/>
                <w:szCs w:val="16"/>
              </w:rPr>
              <w:t>3. Hoffman TM, Wernovsky G, Atz AM, Kulik TJ, Nelson DP, Chang AC, Bailey JM, Akbary A, Kocsis JF, Kaczmarek R, Spray TL, Wessel DL. Efficacy and safety of milrinone in preventing low cardiac output syndrome in infants and children after corrective surgery for congenital heart disease. Circulation. 2003;107:996-1002.</w:t>
            </w:r>
          </w:p>
          <w:p w:rsidRPr="00C70005" w:rsidR="00831AAA" w:rsidP="00131848" w:rsidRDefault="00831AAA" w14:paraId="5AFBB06D" w14:textId="77777777">
            <w:pPr>
              <w:pStyle w:val="EndNoteBibliography"/>
              <w:rPr>
                <w:sz w:val="16"/>
                <w:szCs w:val="16"/>
              </w:rPr>
            </w:pPr>
            <w:r w:rsidRPr="00C70005">
              <w:rPr>
                <w:sz w:val="16"/>
                <w:szCs w:val="16"/>
              </w:rPr>
              <w:t>4. Chi CY, Khanh TH, Thoa le PK, Tseng FC, Wang SM, Thinh le Q, Lin CC, Wu HC, Wang JR, Hung NT, Thuong TC, Chang CM, Su IJ, Liu CC. Milrinone therapy for enterovirus 71-induced pulmonary edema and/or neurogenic shock in children: a randomized controlled trial. Critical care medicine. 2013;41:1754-60.</w:t>
            </w:r>
          </w:p>
          <w:p w:rsidRPr="00C70005" w:rsidR="00831AAA" w:rsidP="00131848" w:rsidRDefault="00831AAA" w14:paraId="04AC30F9" w14:textId="77777777">
            <w:pPr>
              <w:pStyle w:val="EndNoteBibliography"/>
              <w:rPr>
                <w:sz w:val="16"/>
                <w:szCs w:val="16"/>
              </w:rPr>
            </w:pPr>
            <w:r w:rsidRPr="00C70005">
              <w:rPr>
                <w:sz w:val="16"/>
                <w:szCs w:val="16"/>
              </w:rPr>
              <w:t>5. Paradisis M, Jiang X, McLachlan AJ, Evans N, Kluckow M, Osborn D. Population pharmacokinetics and dosing regimen design of milrinone in preterm infants. Archives of disease in childhood Fetal and neonatal edition. 2007;92:F204-9.</w:t>
            </w:r>
          </w:p>
          <w:p w:rsidRPr="00C70005" w:rsidR="00831AAA" w:rsidP="00131848" w:rsidRDefault="00831AAA" w14:paraId="5CDF7F18" w14:textId="77777777">
            <w:pPr>
              <w:pStyle w:val="EndNoteBibliography"/>
              <w:rPr>
                <w:sz w:val="16"/>
                <w:szCs w:val="16"/>
              </w:rPr>
            </w:pPr>
            <w:r w:rsidRPr="00C70005">
              <w:rPr>
                <w:sz w:val="16"/>
                <w:szCs w:val="16"/>
              </w:rPr>
              <w:t>6. James AT, Corcoran JD, McNamara PJ, Franklin O, El-Khuffash AF. The effect of milrinone on right and left ventricular function when used as a rescue therapy for term infants with pulmonary hypertension. Cardiology in the young. 2015:1-10.</w:t>
            </w:r>
          </w:p>
          <w:p w:rsidRPr="00C70005" w:rsidR="00831AAA" w:rsidP="00131848" w:rsidRDefault="00831AAA" w14:paraId="051BB63B" w14:textId="77777777">
            <w:pPr>
              <w:pStyle w:val="EndNoteBibliography"/>
              <w:rPr>
                <w:sz w:val="16"/>
                <w:szCs w:val="16"/>
              </w:rPr>
            </w:pPr>
            <w:r w:rsidRPr="00C70005">
              <w:rPr>
                <w:sz w:val="16"/>
                <w:szCs w:val="16"/>
              </w:rPr>
              <w:t>7. McNamara PJ, Laique F, Muang-In S, Whyte HE. Milrinone improves oxygenation in neonates with severe persistent pulmonary hypertension of the newborn. Journal of critical care. 2006;21:217-22.</w:t>
            </w:r>
          </w:p>
          <w:p w:rsidRPr="00C70005" w:rsidR="00831AAA" w:rsidP="00131848" w:rsidRDefault="00831AAA" w14:paraId="132AA83D" w14:textId="77777777">
            <w:pPr>
              <w:pStyle w:val="EndNoteBibliography"/>
              <w:rPr>
                <w:sz w:val="16"/>
                <w:szCs w:val="16"/>
              </w:rPr>
            </w:pPr>
            <w:r w:rsidRPr="00C70005">
              <w:rPr>
                <w:sz w:val="16"/>
                <w:szCs w:val="16"/>
              </w:rPr>
              <w:t>8. Paradisis M, Evans N, Kluckow M, Osborn D. Randomized trial of milrinone versus placebo for prevention of low systemic blood flow in very preterm infants. The Journal of pediatrics. 2009;154:189-95.</w:t>
            </w:r>
          </w:p>
          <w:p w:rsidRPr="00C70005" w:rsidR="00831AAA" w:rsidP="00131848" w:rsidRDefault="00831AAA" w14:paraId="6684E57A" w14:textId="77777777">
            <w:pPr>
              <w:pStyle w:val="EndNoteBibliography"/>
              <w:rPr>
                <w:sz w:val="16"/>
                <w:szCs w:val="16"/>
              </w:rPr>
            </w:pPr>
            <w:r w:rsidRPr="00C70005">
              <w:rPr>
                <w:sz w:val="16"/>
                <w:szCs w:val="16"/>
              </w:rPr>
              <w:t>9. James AT, Bee C, Corcoran JD, McNamara PJ, Franklin O, El-Khuffash AF. Treatment of premature infants with pulmonary hypertension and right ventricular dysfunction with milrinone: a case series. Journal of perinatology : official journal of the California Perinatal Association. 2015;35:268-73.</w:t>
            </w:r>
          </w:p>
          <w:p w:rsidRPr="00C70005" w:rsidR="00831AAA" w:rsidP="00131848" w:rsidRDefault="00831AAA" w14:paraId="136477CD" w14:textId="77777777">
            <w:pPr>
              <w:pStyle w:val="EndNoteBibliography"/>
              <w:rPr>
                <w:sz w:val="16"/>
                <w:szCs w:val="16"/>
              </w:rPr>
            </w:pPr>
            <w:r w:rsidRPr="00C70005">
              <w:rPr>
                <w:sz w:val="16"/>
                <w:szCs w:val="16"/>
              </w:rPr>
              <w:t>10. Bassler D, Kreutzer K, McNamara P, Kirpalani H. Milrinone for persistent pulmonary hypertension of the newborn. The Cochrane database of systematic reviews. 2010:CD007802.</w:t>
            </w:r>
          </w:p>
          <w:p w:rsidRPr="00C70005" w:rsidR="00831AAA" w:rsidP="00131848" w:rsidRDefault="00831AAA" w14:paraId="1054BE54" w14:textId="77777777">
            <w:pPr>
              <w:pStyle w:val="EndNoteBibliography"/>
              <w:rPr>
                <w:sz w:val="16"/>
                <w:szCs w:val="16"/>
              </w:rPr>
            </w:pPr>
            <w:r w:rsidRPr="00C70005">
              <w:rPr>
                <w:sz w:val="16"/>
                <w:szCs w:val="16"/>
              </w:rPr>
              <w:t>11. Jain A, Sahni M, El-Khuffash A, Khadawardi E, Sehgal A, McNamara PJ. Use of targeted neonatal echocardiography to prevent postoperative cardiorespiratory instability after patent ductus arteriosus ligation. The Journal of pediatrics. 2012;160:584-9 e1.</w:t>
            </w:r>
          </w:p>
          <w:p w:rsidRPr="00C70005" w:rsidR="00831AAA" w:rsidP="00131848" w:rsidRDefault="00831AAA" w14:paraId="1E16619A" w14:textId="77777777">
            <w:pPr>
              <w:pStyle w:val="EndNoteBibliography"/>
              <w:rPr>
                <w:sz w:val="16"/>
                <w:szCs w:val="16"/>
              </w:rPr>
            </w:pPr>
            <w:r w:rsidRPr="00C70005">
              <w:rPr>
                <w:sz w:val="16"/>
                <w:szCs w:val="16"/>
              </w:rPr>
              <w:t>12. Zuppa AF, Nicolson SC, Adamson PC, Wernovsky G, Mondick JT, Burnham N, Hoffman TM, Gaynor JW, Davis LA, Greeley WJ, Spray TL, Barrett JS. Population pharmacokinetics of milrinone in neonates with hypoplastic left heart syndrome undergoing stage I reconstruction. Anesthesia and analgesia. 2006;102:1062-9.</w:t>
            </w:r>
          </w:p>
          <w:p w:rsidRPr="00C70005" w:rsidR="00831AAA" w:rsidP="00131848" w:rsidRDefault="00831AAA" w14:paraId="5BAB168D" w14:textId="77777777">
            <w:pPr>
              <w:pStyle w:val="EndNoteBibliography"/>
              <w:rPr>
                <w:sz w:val="16"/>
                <w:szCs w:val="16"/>
              </w:rPr>
            </w:pPr>
            <w:r w:rsidRPr="00C70005">
              <w:rPr>
                <w:sz w:val="16"/>
                <w:szCs w:val="16"/>
              </w:rPr>
              <w:t>13. Lindsay CA, Barton P, Lawless S, Kitchen L, Zorka A, Garcia J, Kouatli A, Giroir B. Pharmacokinetics and pharmacodynamics of milrinone lactate in pediatric patients with septic shock. The Journal of pediatrics. 1998;132:329-34.</w:t>
            </w:r>
          </w:p>
          <w:p w:rsidRPr="00C70005" w:rsidR="00831AAA" w:rsidP="00131848" w:rsidRDefault="00831AAA" w14:paraId="4D8D159C" w14:textId="77777777">
            <w:pPr>
              <w:pStyle w:val="EndNoteBibliography"/>
              <w:rPr>
                <w:sz w:val="16"/>
                <w:szCs w:val="16"/>
              </w:rPr>
            </w:pPr>
            <w:r w:rsidRPr="00C70005">
              <w:rPr>
                <w:sz w:val="16"/>
                <w:szCs w:val="16"/>
              </w:rPr>
              <w:t>14. Bailey JM, Miller BE, Lu W, Tosone SR, Kanter KR, Tam VK. The pharmacokinetics of milrinone in pediatric patients after cardiac surgery. Anesthesiology. 1999;90:1012-8.</w:t>
            </w:r>
          </w:p>
          <w:p w:rsidRPr="00C70005" w:rsidR="00831AAA" w:rsidP="00131848" w:rsidRDefault="00831AAA" w14:paraId="3882DB36" w14:textId="77777777">
            <w:pPr>
              <w:spacing w:after="160" w:line="259" w:lineRule="auto"/>
              <w:ind w:left="33" w:hanging="33"/>
              <w:contextualSpacing/>
              <w:rPr>
                <w:rFonts w:asciiTheme="minorHAnsi" w:hAnsiTheme="minorHAnsi" w:eastAsiaTheme="minorHAnsi" w:cstheme="minorHAnsi"/>
                <w:sz w:val="16"/>
                <w:szCs w:val="16"/>
              </w:rPr>
            </w:pPr>
            <w:r w:rsidRPr="00C70005">
              <w:rPr>
                <w:color w:val="000000"/>
                <w:sz w:val="16"/>
                <w:szCs w:val="16"/>
              </w:rPr>
              <w:t>15. MIMS accessed via CIAP on 4th November 2015</w:t>
            </w:r>
            <w:r w:rsidRPr="00C70005">
              <w:rPr>
                <w:color w:val="000000"/>
                <w:sz w:val="16"/>
                <w:szCs w:val="16"/>
              </w:rPr>
              <w:br/>
            </w:r>
            <w:r w:rsidRPr="00C70005">
              <w:rPr>
                <w:color w:val="000000"/>
                <w:sz w:val="16"/>
                <w:szCs w:val="16"/>
              </w:rPr>
              <w:t>16. Australian Injectable Drugs Handbook, 6th Edition, Society of Hospital Pharmacists of Australia 2015.</w:t>
            </w:r>
            <w:r w:rsidRPr="00C70005">
              <w:rPr>
                <w:color w:val="000000"/>
                <w:sz w:val="16"/>
                <w:szCs w:val="16"/>
              </w:rPr>
              <w:br/>
            </w:r>
            <w:r w:rsidRPr="00C70005">
              <w:rPr>
                <w:color w:val="000000"/>
                <w:sz w:val="16"/>
                <w:szCs w:val="16"/>
              </w:rPr>
              <w:t>17. Micromedex 2.0 accessed via CIAP on 4th November 2015</w:t>
            </w:r>
          </w:p>
        </w:tc>
      </w:tr>
    </w:tbl>
    <w:p w:rsidRPr="00E25790" w:rsidR="0053166D" w:rsidP="006F0321" w:rsidRDefault="0009B8B5" w14:paraId="1185B287" w14:textId="4CA1A58F">
      <w:r>
        <w:lastRenderedPageBreak/>
        <w:t xml:space="preserve"> </w:t>
      </w:r>
    </w:p>
    <w:p w:rsidRPr="00E25790" w:rsidR="0053166D" w:rsidP="006F0321" w:rsidRDefault="0053166D" w14:paraId="511EA302"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22537E" w:rsidR="00C70005" w:rsidTr="00131848" w14:paraId="0AA0726E" w14:textId="77777777">
        <w:tc>
          <w:tcPr>
            <w:tcW w:w="4535" w:type="dxa"/>
            <w:vAlign w:val="center"/>
          </w:tcPr>
          <w:p w:rsidRPr="00723C65" w:rsidR="00C70005" w:rsidP="00131848" w:rsidRDefault="00C70005" w14:paraId="0307FA13" w14:textId="2CCD4286">
            <w:r w:rsidRPr="00723C65">
              <w:t xml:space="preserve">Original version Date: </w:t>
            </w:r>
            <w:r>
              <w:t>5</w:t>
            </w:r>
            <w:r w:rsidRPr="00723C65">
              <w:t>/</w:t>
            </w:r>
            <w:r>
              <w:t>12</w:t>
            </w:r>
            <w:r w:rsidRPr="00723C65">
              <w:t>/2015</w:t>
            </w:r>
          </w:p>
        </w:tc>
        <w:tc>
          <w:tcPr>
            <w:tcW w:w="4535" w:type="dxa"/>
            <w:vAlign w:val="center"/>
          </w:tcPr>
          <w:p w:rsidRPr="00723C65" w:rsidR="00C70005" w:rsidP="00131848" w:rsidRDefault="00C70005" w14:paraId="641166C5" w14:textId="77777777">
            <w:r w:rsidRPr="00723C65">
              <w:t>Author: Neonatal Medicines Formulary Consensus Group</w:t>
            </w:r>
          </w:p>
        </w:tc>
      </w:tr>
      <w:tr w:rsidRPr="0022537E" w:rsidR="00C70005" w:rsidTr="00131848" w14:paraId="08EA98A7" w14:textId="77777777">
        <w:tc>
          <w:tcPr>
            <w:tcW w:w="4535" w:type="dxa"/>
            <w:vAlign w:val="center"/>
          </w:tcPr>
          <w:p w:rsidRPr="00723C65" w:rsidR="00C70005" w:rsidP="00131848" w:rsidRDefault="00C70005" w14:paraId="4852AECB" w14:textId="4DE3ACC6">
            <w:pPr>
              <w:rPr>
                <w:bCs/>
              </w:rPr>
            </w:pPr>
            <w:r w:rsidRPr="00723C65">
              <w:t xml:space="preserve">Current Version number:  </w:t>
            </w:r>
            <w:r>
              <w:t>3</w:t>
            </w:r>
          </w:p>
        </w:tc>
        <w:tc>
          <w:tcPr>
            <w:tcW w:w="4535" w:type="dxa"/>
            <w:vAlign w:val="center"/>
          </w:tcPr>
          <w:p w:rsidRPr="00723C65" w:rsidR="00C70005" w:rsidP="00131848" w:rsidRDefault="00C70005" w14:paraId="27086A81" w14:textId="5B2A00C1">
            <w:r w:rsidRPr="00723C65">
              <w:t xml:space="preserve">Current Version Date:  </w:t>
            </w:r>
            <w:r>
              <w:t>18-2-2021</w:t>
            </w:r>
          </w:p>
        </w:tc>
      </w:tr>
      <w:tr w:rsidRPr="0022537E" w:rsidR="00C70005" w:rsidTr="00131848" w14:paraId="4E7ABE07" w14:textId="77777777">
        <w:tc>
          <w:tcPr>
            <w:tcW w:w="4535" w:type="dxa"/>
            <w:vAlign w:val="center"/>
          </w:tcPr>
          <w:p w:rsidRPr="00723C65" w:rsidR="00C70005" w:rsidP="00131848" w:rsidRDefault="00C70005" w14:paraId="2AEF0494" w14:textId="064C3899">
            <w:r w:rsidRPr="00723C65">
              <w:t>Risk Rating:</w:t>
            </w:r>
            <w:r>
              <w:t>Low</w:t>
            </w:r>
          </w:p>
        </w:tc>
        <w:tc>
          <w:tcPr>
            <w:tcW w:w="4535" w:type="dxa"/>
            <w:vAlign w:val="center"/>
          </w:tcPr>
          <w:p w:rsidRPr="00723C65" w:rsidR="00C70005" w:rsidP="00131848" w:rsidRDefault="00C70005" w14:paraId="2E8F674D" w14:textId="03D7F212">
            <w:r w:rsidRPr="00723C65">
              <w:t xml:space="preserve">Due for Review:  </w:t>
            </w:r>
            <w:r>
              <w:t>18-2-2026</w:t>
            </w:r>
          </w:p>
        </w:tc>
      </w:tr>
      <w:tr w:rsidRPr="0022537E" w:rsidR="00C70005" w:rsidTr="00131848" w14:paraId="22CF983F" w14:textId="77777777">
        <w:trPr>
          <w:trHeight w:val="344"/>
        </w:trPr>
        <w:tc>
          <w:tcPr>
            <w:tcW w:w="4535" w:type="dxa"/>
            <w:tcBorders>
              <w:bottom w:val="single" w:color="auto" w:sz="4" w:space="0"/>
            </w:tcBorders>
            <w:vAlign w:val="center"/>
          </w:tcPr>
          <w:p w:rsidRPr="00723C65" w:rsidR="00C70005" w:rsidP="00131848" w:rsidRDefault="00C70005" w14:paraId="55D8F034" w14:textId="77777777">
            <w:r w:rsidRPr="00723C65">
              <w:t>Approval by: DTC</w:t>
            </w:r>
          </w:p>
        </w:tc>
        <w:tc>
          <w:tcPr>
            <w:tcW w:w="4535" w:type="dxa"/>
            <w:tcBorders>
              <w:bottom w:val="single" w:color="auto" w:sz="4" w:space="0"/>
            </w:tcBorders>
            <w:vAlign w:val="center"/>
          </w:tcPr>
          <w:p w:rsidRPr="00723C65" w:rsidR="00C70005" w:rsidP="00131848" w:rsidRDefault="00C70005" w14:paraId="7E83D6AD" w14:textId="251CFC13">
            <w:r w:rsidRPr="00723C65">
              <w:t xml:space="preserve">Approval Date: </w:t>
            </w:r>
            <w:r>
              <w:t>April 2021</w:t>
            </w:r>
          </w:p>
        </w:tc>
      </w:tr>
    </w:tbl>
    <w:p w:rsidRPr="00E25790" w:rsidR="0053166D" w:rsidP="006F0321" w:rsidRDefault="0053166D" w14:paraId="1F6065E3" w14:textId="77777777"/>
    <w:p w:rsidRPr="00E25790" w:rsidR="00115F48" w:rsidP="006F0321" w:rsidRDefault="00115F48" w14:paraId="503166FE" w14:textId="77777777"/>
    <w:p w:rsidRPr="00E25790" w:rsidR="00361703" w:rsidP="006F0321" w:rsidRDefault="00361703" w14:paraId="1248FA97" w14:textId="77777777"/>
    <w:p w:rsidR="006E2EED" w:rsidRDefault="006E2EED" w14:paraId="14C21DF1" w14:textId="77777777">
      <w:bookmarkStart w:name="_Toc38106886" w:id="407"/>
      <w:r w:rsidRPr="40346C46">
        <w:rPr>
          <w:b/>
          <w:bCs/>
        </w:rPr>
        <w:br w:type="page"/>
      </w:r>
      <w:bookmarkEnd w:id="407"/>
    </w:p>
    <w:p w:rsidRPr="00E25790" w:rsidR="00115F48" w:rsidP="006F0321" w:rsidRDefault="00115F48" w14:paraId="29407A12" w14:textId="664F79F1"/>
    <w:tbl>
      <w:tblPr>
        <w:tblW w:w="9049" w:type="dxa"/>
        <w:tblLayout w:type="fixed"/>
        <w:tblLook w:val="0000" w:firstRow="0" w:lastRow="0" w:firstColumn="0" w:lastColumn="0" w:noHBand="0" w:noVBand="0"/>
      </w:tblPr>
      <w:tblGrid>
        <w:gridCol w:w="4153"/>
        <w:gridCol w:w="4896"/>
      </w:tblGrid>
      <w:tr w:rsidRPr="00E25790" w:rsidR="00127DC6" w:rsidTr="002069E4" w14:paraId="40BF91F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A95DCE" w:rsidR="00127DC6" w:rsidP="009469DB" w:rsidRDefault="00127DC6" w14:paraId="2997D47D" w14:textId="77777777">
            <w:pPr>
              <w:pStyle w:val="Heading1"/>
            </w:pPr>
            <w:bookmarkStart w:name="_Toc495481138" w:id="408"/>
            <w:bookmarkStart w:name="_Toc495481264" w:id="409"/>
            <w:bookmarkStart w:name="_Toc495481389" w:id="410"/>
            <w:bookmarkStart w:name="_Toc495501570" w:id="411"/>
            <w:bookmarkStart w:name="_Toc38106887" w:id="412"/>
            <w:bookmarkStart w:name="_Toc75340009" w:id="413"/>
            <w:r w:rsidRPr="00A95DCE">
              <w:t>Morphine</w:t>
            </w:r>
            <w:bookmarkEnd w:id="408"/>
            <w:bookmarkEnd w:id="409"/>
            <w:bookmarkEnd w:id="410"/>
            <w:bookmarkEnd w:id="411"/>
            <w:r w:rsidRPr="00A95DCE">
              <w:t xml:space="preserve"> IV</w:t>
            </w:r>
            <w:bookmarkEnd w:id="412"/>
            <w:bookmarkEnd w:id="413"/>
            <w:r w:rsidRPr="00A95DCE">
              <w:fldChar w:fldCharType="begin"/>
            </w:r>
            <w:r w:rsidRPr="00A95DCE">
              <w:instrText>tc "Morphine" \l 0</w:instrText>
            </w:r>
            <w:r w:rsidRPr="00A95DCE">
              <w:fldChar w:fldCharType="end"/>
            </w:r>
          </w:p>
        </w:tc>
      </w:tr>
      <w:tr w:rsidRPr="00E25790" w:rsidR="00127DC6" w:rsidTr="002069E4" w14:paraId="597AD62E"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27DC6" w:rsidP="006F0321" w:rsidRDefault="00127DC6" w14:paraId="10502A78" w14:textId="77777777">
            <w:r w:rsidRPr="00E25790">
              <w:t xml:space="preserve">Revision Date : </w:t>
            </w:r>
            <w:r w:rsidRPr="00E25790" w:rsidR="00723C65">
              <w:t>September 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27DC6" w:rsidP="006F0321" w:rsidRDefault="00127DC6" w14:paraId="6E7A00BA" w14:textId="77777777">
            <w:r w:rsidRPr="00E25790">
              <w:t xml:space="preserve">Approved: TC, </w:t>
            </w:r>
            <w:r w:rsidRPr="00E25790" w:rsidR="00723C65">
              <w:t>KOH</w:t>
            </w:r>
          </w:p>
        </w:tc>
      </w:tr>
    </w:tbl>
    <w:p w:rsidRPr="00E25790" w:rsidR="00127DC6" w:rsidP="006F0321" w:rsidRDefault="00127DC6" w14:paraId="5877913B" w14:textId="77777777"/>
    <w:tbl>
      <w:tblPr>
        <w:tblW w:w="981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27"/>
        <w:gridCol w:w="7683"/>
      </w:tblGrid>
      <w:tr w:rsidRPr="0022537E" w:rsidR="00043BF0" w:rsidTr="00156EED" w14:paraId="3C4E4A65" w14:textId="77777777">
        <w:trPr>
          <w:trHeight w:val="248"/>
        </w:trPr>
        <w:tc>
          <w:tcPr>
            <w:tcW w:w="2127" w:type="dxa"/>
          </w:tcPr>
          <w:p w:rsidRPr="00723C65" w:rsidR="00723C65" w:rsidP="002069E4" w:rsidRDefault="00723C65" w14:paraId="7E0B5B32" w14:textId="77777777">
            <w:pPr>
              <w:pStyle w:val="BodyText"/>
              <w:jc w:val="left"/>
            </w:pPr>
            <w:r w:rsidRPr="00723C65">
              <w:t>Alert</w:t>
            </w:r>
            <w:r w:rsidRPr="00723C65">
              <w:tab/>
            </w:r>
          </w:p>
        </w:tc>
        <w:tc>
          <w:tcPr>
            <w:tcW w:w="7683" w:type="dxa"/>
          </w:tcPr>
          <w:p w:rsidRPr="00723C65" w:rsidR="00723C65" w:rsidP="002069E4" w:rsidRDefault="00723C65" w14:paraId="14B69A68" w14:textId="77777777">
            <w:pPr>
              <w:pStyle w:val="BodyText"/>
              <w:jc w:val="left"/>
            </w:pPr>
            <w:r w:rsidRPr="00723C65">
              <w:t>S8 - High risk medication- may cause significant patient harm when used in error.</w:t>
            </w:r>
          </w:p>
        </w:tc>
      </w:tr>
      <w:tr w:rsidRPr="0022537E" w:rsidR="00043BF0" w:rsidTr="00156EED" w14:paraId="3BBEBAD5" w14:textId="77777777">
        <w:trPr>
          <w:trHeight w:val="837"/>
        </w:trPr>
        <w:tc>
          <w:tcPr>
            <w:tcW w:w="2127" w:type="dxa"/>
          </w:tcPr>
          <w:p w:rsidRPr="00723C65" w:rsidR="00723C65" w:rsidP="002069E4" w:rsidRDefault="00723C65" w14:paraId="2288CA87" w14:textId="77777777">
            <w:pPr>
              <w:pStyle w:val="BodyText"/>
              <w:jc w:val="left"/>
            </w:pPr>
            <w:r w:rsidRPr="00723C65">
              <w:t xml:space="preserve">Indication                         </w:t>
            </w:r>
          </w:p>
          <w:p w:rsidRPr="00723C65" w:rsidR="00723C65" w:rsidP="002069E4" w:rsidRDefault="00723C65" w14:paraId="74CE5B9B" w14:textId="77777777">
            <w:pPr>
              <w:pStyle w:val="BodyText"/>
              <w:jc w:val="left"/>
            </w:pPr>
          </w:p>
        </w:tc>
        <w:tc>
          <w:tcPr>
            <w:tcW w:w="7683" w:type="dxa"/>
          </w:tcPr>
          <w:p w:rsidRPr="00723C65" w:rsidR="00723C65" w:rsidP="002069E4" w:rsidRDefault="00723C65" w14:paraId="2B9D3CD9" w14:textId="77777777">
            <w:r w:rsidRPr="00723C65">
              <w:t xml:space="preserve">Analgesia / sedation: </w:t>
            </w:r>
          </w:p>
          <w:p w:rsidRPr="00723C65" w:rsidR="00723C65" w:rsidP="001B0E05" w:rsidRDefault="00723C65" w14:paraId="4A342E44" w14:textId="77777777">
            <w:pPr>
              <w:pStyle w:val="ListParagraph"/>
              <w:numPr>
                <w:ilvl w:val="0"/>
                <w:numId w:val="36"/>
              </w:numPr>
            </w:pPr>
            <w:r w:rsidRPr="00723C65">
              <w:t xml:space="preserve">Pre-medication prior to intubation or other procedure </w:t>
            </w:r>
          </w:p>
          <w:p w:rsidRPr="00723C65" w:rsidR="00723C65" w:rsidP="001B0E05" w:rsidRDefault="00723C65" w14:paraId="4EDFD3F3" w14:textId="77777777">
            <w:pPr>
              <w:pStyle w:val="ListParagraph"/>
              <w:numPr>
                <w:ilvl w:val="0"/>
                <w:numId w:val="36"/>
              </w:numPr>
            </w:pPr>
            <w:r w:rsidRPr="00723C65">
              <w:t>During assisted ventilation</w:t>
            </w:r>
          </w:p>
          <w:p w:rsidRPr="00723C65" w:rsidR="00723C65" w:rsidP="001B0E05" w:rsidRDefault="00723C65" w14:paraId="7BD2E4AB" w14:textId="77777777">
            <w:pPr>
              <w:pStyle w:val="ListParagraph"/>
              <w:numPr>
                <w:ilvl w:val="0"/>
                <w:numId w:val="36"/>
              </w:numPr>
            </w:pPr>
            <w:r w:rsidRPr="00723C65">
              <w:t xml:space="preserve">Procedures and post-surgery </w:t>
            </w:r>
          </w:p>
          <w:p w:rsidRPr="00723C65" w:rsidR="00723C65" w:rsidP="001B0E05" w:rsidRDefault="00723C65" w14:paraId="649B7AB1" w14:textId="77777777">
            <w:pPr>
              <w:pStyle w:val="ListParagraph"/>
              <w:numPr>
                <w:ilvl w:val="0"/>
                <w:numId w:val="36"/>
              </w:numPr>
            </w:pPr>
            <w:r w:rsidRPr="00723C65">
              <w:t>Neonatal abstinence syndrome secondary to opioid withdrawal</w:t>
            </w:r>
          </w:p>
        </w:tc>
      </w:tr>
      <w:tr w:rsidRPr="0022537E" w:rsidR="00043BF0" w:rsidTr="00156EED" w14:paraId="7E532DD2" w14:textId="77777777">
        <w:trPr>
          <w:trHeight w:val="253"/>
        </w:trPr>
        <w:tc>
          <w:tcPr>
            <w:tcW w:w="2127" w:type="dxa"/>
          </w:tcPr>
          <w:p w:rsidRPr="00723C65" w:rsidR="00723C65" w:rsidP="002069E4" w:rsidRDefault="00723C65" w14:paraId="1F1251C0" w14:textId="77777777">
            <w:pPr>
              <w:pStyle w:val="BodyText"/>
              <w:jc w:val="left"/>
            </w:pPr>
            <w:r w:rsidRPr="00723C65">
              <w:t>Action</w:t>
            </w:r>
          </w:p>
        </w:tc>
        <w:tc>
          <w:tcPr>
            <w:tcW w:w="7683" w:type="dxa"/>
          </w:tcPr>
          <w:p w:rsidRPr="00723C65" w:rsidR="00723C65" w:rsidP="002069E4" w:rsidRDefault="00723C65" w14:paraId="1CD6FA75" w14:textId="77777777">
            <w:pPr>
              <w:rPr>
                <w:rFonts w:cs="Arial"/>
              </w:rPr>
            </w:pPr>
            <w:r w:rsidRPr="00723C65">
              <w:t>mu-opioid analgesic − stimulates brain opioid receptors.</w:t>
            </w:r>
          </w:p>
        </w:tc>
      </w:tr>
      <w:tr w:rsidRPr="0022537E" w:rsidR="00043BF0" w:rsidTr="00156EED" w14:paraId="744D9F8C" w14:textId="77777777">
        <w:trPr>
          <w:trHeight w:val="266"/>
        </w:trPr>
        <w:tc>
          <w:tcPr>
            <w:tcW w:w="2127" w:type="dxa"/>
          </w:tcPr>
          <w:p w:rsidRPr="00723C65" w:rsidR="00723C65" w:rsidP="002069E4" w:rsidRDefault="00723C65" w14:paraId="5811D0E4" w14:textId="77777777">
            <w:pPr>
              <w:pStyle w:val="BodyText"/>
              <w:jc w:val="left"/>
            </w:pPr>
            <w:r w:rsidRPr="00723C65">
              <w:t xml:space="preserve">Drug Type                                   </w:t>
            </w:r>
          </w:p>
        </w:tc>
        <w:tc>
          <w:tcPr>
            <w:tcW w:w="7683" w:type="dxa"/>
          </w:tcPr>
          <w:p w:rsidRPr="00723C65" w:rsidR="00723C65" w:rsidP="002069E4" w:rsidRDefault="00723C65" w14:paraId="3E87A18E" w14:textId="77777777">
            <w:pPr>
              <w:pStyle w:val="BodyText"/>
              <w:jc w:val="left"/>
              <w:rPr>
                <w:rFonts w:cs="Arial"/>
              </w:rPr>
            </w:pPr>
            <w:r w:rsidRPr="00723C65">
              <w:rPr>
                <w:lang w:eastAsia="en-AU"/>
              </w:rPr>
              <w:t>mu-opioid analgesic</w:t>
            </w:r>
            <w:r w:rsidRPr="00723C65">
              <w:t>.</w:t>
            </w:r>
          </w:p>
        </w:tc>
      </w:tr>
      <w:tr w:rsidRPr="0022537E" w:rsidR="00043BF0" w:rsidTr="00156EED" w14:paraId="20C90EA5" w14:textId="77777777">
        <w:trPr>
          <w:trHeight w:val="204"/>
        </w:trPr>
        <w:tc>
          <w:tcPr>
            <w:tcW w:w="2127" w:type="dxa"/>
          </w:tcPr>
          <w:p w:rsidRPr="00723C65" w:rsidR="00723C65" w:rsidP="002069E4" w:rsidRDefault="00723C65" w14:paraId="60EEAB54" w14:textId="77777777">
            <w:pPr>
              <w:pStyle w:val="BodyText"/>
              <w:jc w:val="left"/>
            </w:pPr>
            <w:r w:rsidRPr="00723C65">
              <w:t xml:space="preserve">Trade Name                  </w:t>
            </w:r>
          </w:p>
        </w:tc>
        <w:tc>
          <w:tcPr>
            <w:tcW w:w="7683" w:type="dxa"/>
          </w:tcPr>
          <w:p w:rsidRPr="00723C65" w:rsidR="00723C65" w:rsidP="002069E4" w:rsidRDefault="00723C65" w14:paraId="3F2F9DE4" w14:textId="77777777">
            <w:pPr>
              <w:pStyle w:val="BodyText"/>
              <w:jc w:val="left"/>
              <w:rPr>
                <w:rFonts w:cs="Arial"/>
              </w:rPr>
            </w:pPr>
            <w:r w:rsidRPr="00723C65">
              <w:t xml:space="preserve">DBL Morphine Sulfate </w:t>
            </w:r>
          </w:p>
        </w:tc>
      </w:tr>
      <w:tr w:rsidRPr="0022537E" w:rsidR="00043BF0" w:rsidTr="00156EED" w14:paraId="7F992A93" w14:textId="77777777">
        <w:trPr>
          <w:trHeight w:val="239"/>
        </w:trPr>
        <w:tc>
          <w:tcPr>
            <w:tcW w:w="2127" w:type="dxa"/>
          </w:tcPr>
          <w:p w:rsidRPr="00723C65" w:rsidR="00723C65" w:rsidP="002069E4" w:rsidRDefault="00723C65" w14:paraId="5C43891C" w14:textId="77777777">
            <w:pPr>
              <w:pStyle w:val="BodyText"/>
              <w:jc w:val="left"/>
            </w:pPr>
            <w:r w:rsidRPr="00723C65">
              <w:t xml:space="preserve">Presentation </w:t>
            </w:r>
          </w:p>
        </w:tc>
        <w:tc>
          <w:tcPr>
            <w:tcW w:w="7683" w:type="dxa"/>
          </w:tcPr>
          <w:p w:rsidRPr="00723C65" w:rsidR="00723C65" w:rsidP="002069E4" w:rsidRDefault="00723C65" w14:paraId="25EFE7B7" w14:textId="77777777">
            <w:pPr>
              <w:pStyle w:val="BodyText"/>
              <w:jc w:val="left"/>
            </w:pPr>
            <w:r w:rsidRPr="00723C65">
              <w:t>Morphine 10 mg/mL (10,000 microgram/mL) vial</w:t>
            </w:r>
          </w:p>
        </w:tc>
      </w:tr>
      <w:tr w:rsidRPr="0022537E" w:rsidR="00043BF0" w:rsidTr="00156EED" w14:paraId="43C89C58" w14:textId="77777777">
        <w:trPr>
          <w:trHeight w:val="1906"/>
        </w:trPr>
        <w:tc>
          <w:tcPr>
            <w:tcW w:w="2127" w:type="dxa"/>
          </w:tcPr>
          <w:p w:rsidRPr="00723C65" w:rsidR="00723C65" w:rsidP="002069E4" w:rsidRDefault="00723C65" w14:paraId="3203341A" w14:textId="77777777">
            <w:pPr>
              <w:pStyle w:val="BodyText"/>
              <w:jc w:val="left"/>
            </w:pPr>
            <w:r w:rsidRPr="00723C65">
              <w:t xml:space="preserve">Dosage/Interval                           </w:t>
            </w:r>
          </w:p>
          <w:p w:rsidRPr="00723C65" w:rsidR="00723C65" w:rsidP="002069E4" w:rsidRDefault="00723C65" w14:paraId="3FF29619" w14:textId="77777777">
            <w:pPr>
              <w:pStyle w:val="BodyText"/>
              <w:jc w:val="left"/>
            </w:pPr>
          </w:p>
        </w:tc>
        <w:tc>
          <w:tcPr>
            <w:tcW w:w="7683" w:type="dxa"/>
          </w:tcPr>
          <w:p w:rsidRPr="00723C65" w:rsidR="00723C65" w:rsidP="002069E4" w:rsidRDefault="00723C65" w14:paraId="58750FF4" w14:textId="77777777">
            <w:pPr>
              <w:pStyle w:val="BodyText"/>
              <w:jc w:val="left"/>
            </w:pPr>
            <w:r w:rsidRPr="00723C65">
              <w:t>ANALGESIA</w:t>
            </w:r>
          </w:p>
          <w:p w:rsidRPr="00723C65" w:rsidR="00723C65" w:rsidP="002069E4" w:rsidRDefault="00723C65" w14:paraId="1DF1D970" w14:textId="77777777">
            <w:pPr>
              <w:pStyle w:val="BodyText"/>
              <w:jc w:val="left"/>
            </w:pPr>
            <w:r w:rsidRPr="00723C65">
              <w:t>CONTINUOUS IV INFUSION</w:t>
            </w:r>
          </w:p>
          <w:p w:rsidRPr="00723C65" w:rsidR="00723C65" w:rsidP="002069E4" w:rsidRDefault="00723C65" w14:paraId="622F5056" w14:textId="77777777">
            <w:pPr>
              <w:pStyle w:val="BodyText"/>
              <w:jc w:val="left"/>
            </w:pPr>
            <w:r w:rsidRPr="00723C65">
              <w:t>Range: 5─40 microgram/kg/hour:</w:t>
            </w:r>
          </w:p>
          <w:p w:rsidRPr="00723C65" w:rsidR="00723C65" w:rsidP="002069E4" w:rsidRDefault="00723C65" w14:paraId="4C29EB5A" w14:textId="77777777">
            <w:pPr>
              <w:pStyle w:val="BodyText"/>
              <w:jc w:val="left"/>
            </w:pPr>
            <w:r w:rsidRPr="00723C65">
              <w:t>Ventilated infants or after surgery*[1,2,3]</w:t>
            </w:r>
          </w:p>
          <w:tbl>
            <w:tblPr>
              <w:tblW w:w="59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77"/>
              <w:gridCol w:w="2126"/>
              <w:gridCol w:w="2268"/>
            </w:tblGrid>
            <w:tr w:rsidR="00723C65" w:rsidTr="002069E4" w14:paraId="3AEEF0DD" w14:textId="77777777">
              <w:trPr>
                <w:trHeight w:val="241"/>
              </w:trPr>
              <w:tc>
                <w:tcPr>
                  <w:tcW w:w="1577" w:type="dxa"/>
                  <w:shd w:val="clear" w:color="auto" w:fill="auto"/>
                </w:tcPr>
                <w:p w:rsidRPr="00E25790" w:rsidR="00723C65" w:rsidP="002069E4" w:rsidRDefault="00723C65" w14:paraId="7F36BC0D" w14:textId="77777777">
                  <w:pPr>
                    <w:pStyle w:val="BodyText"/>
                    <w:jc w:val="left"/>
                  </w:pPr>
                  <w:r w:rsidRPr="00E25790">
                    <w:t>Postnatal age</w:t>
                  </w:r>
                  <w:r w:rsidRPr="00E25790">
                    <w:rPr>
                      <w:vertAlign w:val="superscript"/>
                    </w:rPr>
                    <w:t>#</w:t>
                  </w:r>
                </w:p>
              </w:tc>
              <w:tc>
                <w:tcPr>
                  <w:tcW w:w="2126" w:type="dxa"/>
                  <w:shd w:val="clear" w:color="auto" w:fill="auto"/>
                </w:tcPr>
                <w:p w:rsidRPr="00E25790" w:rsidR="00723C65" w:rsidP="002069E4" w:rsidRDefault="00723C65" w14:paraId="71D92F30" w14:textId="77777777">
                  <w:pPr>
                    <w:pStyle w:val="BodyText"/>
                    <w:jc w:val="left"/>
                  </w:pPr>
                  <w:r w:rsidRPr="00E25790">
                    <w:t>Starting dose</w:t>
                  </w:r>
                </w:p>
              </w:tc>
              <w:tc>
                <w:tcPr>
                  <w:tcW w:w="2268" w:type="dxa"/>
                  <w:shd w:val="clear" w:color="auto" w:fill="auto"/>
                </w:tcPr>
                <w:p w:rsidRPr="00E25790" w:rsidR="00723C65" w:rsidP="002069E4" w:rsidRDefault="00723C65" w14:paraId="33F43701" w14:textId="77777777">
                  <w:pPr>
                    <w:pStyle w:val="BodyText"/>
                    <w:jc w:val="left"/>
                  </w:pPr>
                  <w:r w:rsidRPr="00E25790">
                    <w:t>Range</w:t>
                  </w:r>
                </w:p>
              </w:tc>
            </w:tr>
            <w:tr w:rsidR="00723C65" w:rsidTr="002069E4" w14:paraId="3250171A" w14:textId="77777777">
              <w:trPr>
                <w:trHeight w:val="257"/>
              </w:trPr>
              <w:tc>
                <w:tcPr>
                  <w:tcW w:w="1577" w:type="dxa"/>
                  <w:shd w:val="clear" w:color="auto" w:fill="auto"/>
                </w:tcPr>
                <w:p w:rsidRPr="00E25790" w:rsidR="00723C65" w:rsidP="002069E4" w:rsidRDefault="00723C65" w14:paraId="7B9B1D68" w14:textId="77777777">
                  <w:pPr>
                    <w:pStyle w:val="BodyText"/>
                    <w:jc w:val="left"/>
                  </w:pPr>
                  <w:r w:rsidRPr="00E25790">
                    <w:t>0-7 days</w:t>
                  </w:r>
                </w:p>
              </w:tc>
              <w:tc>
                <w:tcPr>
                  <w:tcW w:w="2126" w:type="dxa"/>
                  <w:shd w:val="clear" w:color="auto" w:fill="auto"/>
                </w:tcPr>
                <w:p w:rsidRPr="00E25790" w:rsidR="00723C65" w:rsidP="002069E4" w:rsidRDefault="00723C65" w14:paraId="08C417CB" w14:textId="77777777">
                  <w:pPr>
                    <w:pStyle w:val="BodyText"/>
                    <w:jc w:val="left"/>
                  </w:pPr>
                  <w:r w:rsidRPr="00E25790">
                    <w:t>10 microgram/kg/hour</w:t>
                  </w:r>
                </w:p>
              </w:tc>
              <w:tc>
                <w:tcPr>
                  <w:tcW w:w="2268" w:type="dxa"/>
                  <w:shd w:val="clear" w:color="auto" w:fill="auto"/>
                </w:tcPr>
                <w:p w:rsidRPr="00E25790" w:rsidR="00723C65" w:rsidP="002069E4" w:rsidRDefault="00723C65" w14:paraId="65D187B5" w14:textId="77777777">
                  <w:pPr>
                    <w:pStyle w:val="BodyText"/>
                    <w:jc w:val="left"/>
                  </w:pPr>
                  <w:r w:rsidRPr="00E25790">
                    <w:t>5-40 microgram/kg/hour</w:t>
                  </w:r>
                </w:p>
              </w:tc>
            </w:tr>
            <w:tr w:rsidR="00723C65" w:rsidTr="002069E4" w14:paraId="69B102EE" w14:textId="77777777">
              <w:trPr>
                <w:trHeight w:val="257"/>
              </w:trPr>
              <w:tc>
                <w:tcPr>
                  <w:tcW w:w="1577" w:type="dxa"/>
                  <w:shd w:val="clear" w:color="auto" w:fill="auto"/>
                </w:tcPr>
                <w:p w:rsidRPr="00E25790" w:rsidR="00723C65" w:rsidP="002069E4" w:rsidRDefault="00723C65" w14:paraId="45930CF2" w14:textId="77777777">
                  <w:pPr>
                    <w:pStyle w:val="BodyText"/>
                    <w:jc w:val="left"/>
                  </w:pPr>
                  <w:r w:rsidRPr="00E25790">
                    <w:t>8-30 days</w:t>
                  </w:r>
                </w:p>
              </w:tc>
              <w:tc>
                <w:tcPr>
                  <w:tcW w:w="2126" w:type="dxa"/>
                  <w:shd w:val="clear" w:color="auto" w:fill="auto"/>
                </w:tcPr>
                <w:p w:rsidRPr="00E25790" w:rsidR="00723C65" w:rsidP="002069E4" w:rsidRDefault="00723C65" w14:paraId="35648B36" w14:textId="77777777">
                  <w:pPr>
                    <w:pStyle w:val="BodyText"/>
                    <w:jc w:val="left"/>
                  </w:pPr>
                  <w:r w:rsidRPr="00E25790">
                    <w:t>15 microgram/kg/hour</w:t>
                  </w:r>
                </w:p>
              </w:tc>
              <w:tc>
                <w:tcPr>
                  <w:tcW w:w="2268" w:type="dxa"/>
                  <w:shd w:val="clear" w:color="auto" w:fill="auto"/>
                </w:tcPr>
                <w:p w:rsidRPr="00E25790" w:rsidR="00723C65" w:rsidP="002069E4" w:rsidRDefault="00723C65" w14:paraId="6D3D74A6" w14:textId="77777777">
                  <w:pPr>
                    <w:pStyle w:val="BodyText"/>
                    <w:jc w:val="left"/>
                  </w:pPr>
                  <w:r w:rsidRPr="00E25790">
                    <w:t>5-40 microgram/kg/hour</w:t>
                  </w:r>
                </w:p>
              </w:tc>
            </w:tr>
            <w:tr w:rsidR="00723C65" w:rsidTr="002069E4" w14:paraId="1F50407D" w14:textId="77777777">
              <w:trPr>
                <w:trHeight w:val="273"/>
              </w:trPr>
              <w:tc>
                <w:tcPr>
                  <w:tcW w:w="1577" w:type="dxa"/>
                  <w:shd w:val="clear" w:color="auto" w:fill="auto"/>
                </w:tcPr>
                <w:p w:rsidRPr="00E25790" w:rsidR="00723C65" w:rsidP="002069E4" w:rsidRDefault="00723C65" w14:paraId="46CA63C4" w14:textId="77777777">
                  <w:pPr>
                    <w:pStyle w:val="BodyText"/>
                    <w:jc w:val="left"/>
                  </w:pPr>
                  <w:r w:rsidRPr="00E25790">
                    <w:t>31-90 days</w:t>
                  </w:r>
                </w:p>
              </w:tc>
              <w:tc>
                <w:tcPr>
                  <w:tcW w:w="2126" w:type="dxa"/>
                  <w:shd w:val="clear" w:color="auto" w:fill="auto"/>
                </w:tcPr>
                <w:p w:rsidRPr="00E25790" w:rsidR="00723C65" w:rsidP="002069E4" w:rsidRDefault="00723C65" w14:paraId="5D6220FB" w14:textId="77777777">
                  <w:pPr>
                    <w:pStyle w:val="BodyText"/>
                    <w:jc w:val="left"/>
                  </w:pPr>
                  <w:r w:rsidRPr="00E25790">
                    <w:t>20 microgram/kg/hour</w:t>
                  </w:r>
                </w:p>
              </w:tc>
              <w:tc>
                <w:tcPr>
                  <w:tcW w:w="2268" w:type="dxa"/>
                  <w:shd w:val="clear" w:color="auto" w:fill="auto"/>
                </w:tcPr>
                <w:p w:rsidRPr="00E25790" w:rsidR="00723C65" w:rsidP="002069E4" w:rsidRDefault="00723C65" w14:paraId="189821AA" w14:textId="77777777">
                  <w:pPr>
                    <w:pStyle w:val="BodyText"/>
                    <w:jc w:val="left"/>
                  </w:pPr>
                  <w:r w:rsidRPr="00E25790">
                    <w:t>5-40 microgram/kg/hour</w:t>
                  </w:r>
                </w:p>
              </w:tc>
            </w:tr>
          </w:tbl>
          <w:p w:rsidRPr="00723C65" w:rsidR="00723C65" w:rsidP="002069E4" w:rsidRDefault="00723C65" w14:paraId="64C6CB0F" w14:textId="77777777">
            <w:pPr>
              <w:pStyle w:val="BodyText"/>
              <w:jc w:val="left"/>
            </w:pPr>
            <w:r w:rsidRPr="00723C65">
              <w:t xml:space="preserve">*Infants after cardiovascular surgery may need lower starting dose and titrated to clinical response.[2] </w:t>
            </w:r>
          </w:p>
          <w:p w:rsidRPr="00723C65" w:rsidR="00723C65" w:rsidP="002069E4" w:rsidRDefault="00723C65" w14:paraId="3968DB83" w14:textId="77777777">
            <w:pPr>
              <w:pStyle w:val="BodyText"/>
              <w:jc w:val="left"/>
            </w:pPr>
            <w:r w:rsidRPr="00723C65">
              <w:rPr>
                <w:vertAlign w:val="superscript"/>
              </w:rPr>
              <w:t>#</w:t>
            </w:r>
            <w:r w:rsidRPr="00723C65">
              <w:t>Irrespective of gestational age.</w:t>
            </w:r>
          </w:p>
          <w:p w:rsidRPr="00723C65" w:rsidR="00723C65" w:rsidP="002069E4" w:rsidRDefault="00723C65" w14:paraId="06B9FAFF" w14:textId="77777777">
            <w:pPr>
              <w:pStyle w:val="BodyText"/>
              <w:jc w:val="left"/>
            </w:pPr>
          </w:p>
          <w:p w:rsidRPr="00723C65" w:rsidR="00723C65" w:rsidP="002069E4" w:rsidRDefault="00723C65" w14:paraId="27DECA47" w14:textId="77777777">
            <w:pPr>
              <w:pStyle w:val="BodyText"/>
              <w:jc w:val="left"/>
            </w:pPr>
            <w:r w:rsidRPr="00723C65">
              <w:t>IV BOLUS FOR ANALGESIA</w:t>
            </w:r>
          </w:p>
          <w:p w:rsidRPr="00723C65" w:rsidR="00723C65" w:rsidP="002069E4" w:rsidRDefault="00723C65" w14:paraId="2902BDC4" w14:textId="77777777">
            <w:pPr>
              <w:pStyle w:val="BodyText"/>
              <w:jc w:val="left"/>
            </w:pPr>
            <w:r w:rsidRPr="00723C65">
              <w:t>50 microgram/kg (maximum recommended 100 microgram/kg) every 4 hours.[4]</w:t>
            </w:r>
          </w:p>
          <w:p w:rsidRPr="00723C65" w:rsidR="00723C65" w:rsidP="002069E4" w:rsidRDefault="00723C65" w14:paraId="6936D5FA" w14:textId="77777777">
            <w:pPr>
              <w:pStyle w:val="BodyText"/>
              <w:jc w:val="left"/>
            </w:pPr>
          </w:p>
          <w:p w:rsidRPr="00723C65" w:rsidR="00723C65" w:rsidP="002069E4" w:rsidRDefault="00723C65" w14:paraId="77BBC67C" w14:textId="77777777">
            <w:pPr>
              <w:pStyle w:val="BodyText"/>
              <w:jc w:val="left"/>
            </w:pPr>
            <w:r w:rsidRPr="00723C65">
              <w:t>PRE-MEDICATION FOR INTUBATION</w:t>
            </w:r>
          </w:p>
          <w:p w:rsidRPr="00723C65" w:rsidR="00723C65" w:rsidP="002069E4" w:rsidRDefault="00723C65" w14:paraId="79BA8E1C" w14:textId="77777777">
            <w:pPr>
              <w:pStyle w:val="BodyText"/>
              <w:jc w:val="left"/>
              <w:rPr>
                <w:b/>
              </w:rPr>
            </w:pPr>
            <w:r w:rsidRPr="00723C65">
              <w:t>100 microgram/kg/dose (up to 200 microgram/kg) [5]</w:t>
            </w:r>
          </w:p>
          <w:p w:rsidRPr="00723C65" w:rsidR="00723C65" w:rsidP="002069E4" w:rsidRDefault="00723C65" w14:paraId="04EACD2C" w14:textId="77777777">
            <w:pPr>
              <w:pStyle w:val="BodyText"/>
              <w:jc w:val="left"/>
            </w:pPr>
          </w:p>
          <w:p w:rsidRPr="00723C65" w:rsidR="00723C65" w:rsidP="002069E4" w:rsidRDefault="00723C65" w14:paraId="3ECDD458" w14:textId="77777777">
            <w:pPr>
              <w:pStyle w:val="BodyText"/>
              <w:jc w:val="left"/>
            </w:pPr>
            <w:r w:rsidRPr="00723C65">
              <w:t>NEONATAL ABSTINENCE SYNDROME –INITIAL TREATMENT</w:t>
            </w:r>
          </w:p>
          <w:p w:rsidRPr="00723C65" w:rsidR="00723C65" w:rsidP="002069E4" w:rsidRDefault="00723C65" w14:paraId="7958191E" w14:textId="77777777">
            <w:pPr>
              <w:pStyle w:val="BodyText"/>
              <w:jc w:val="left"/>
            </w:pPr>
            <w:r w:rsidRPr="00723C65">
              <w:lastRenderedPageBreak/>
              <w:t xml:space="preserve">10 microgram/kg/hour titrated to Neonatal Abstinence Syndrome scores. </w:t>
            </w:r>
          </w:p>
        </w:tc>
      </w:tr>
      <w:tr w:rsidRPr="0022537E" w:rsidR="00043BF0" w:rsidTr="00156EED" w14:paraId="7F4B504D" w14:textId="77777777">
        <w:trPr>
          <w:trHeight w:val="407"/>
        </w:trPr>
        <w:tc>
          <w:tcPr>
            <w:tcW w:w="2127" w:type="dxa"/>
          </w:tcPr>
          <w:p w:rsidRPr="00723C65" w:rsidR="00723C65" w:rsidP="002069E4" w:rsidRDefault="00723C65" w14:paraId="0222ACF8" w14:textId="77777777">
            <w:pPr>
              <w:pStyle w:val="BodyText"/>
              <w:jc w:val="left"/>
              <w:rPr>
                <w:rFonts w:cs="Arial"/>
                <w:bCs/>
              </w:rPr>
            </w:pPr>
            <w:r w:rsidRPr="00723C65">
              <w:lastRenderedPageBreak/>
              <w:t>Maximum Daily Dose</w:t>
            </w:r>
          </w:p>
        </w:tc>
        <w:tc>
          <w:tcPr>
            <w:tcW w:w="7683" w:type="dxa"/>
          </w:tcPr>
          <w:p w:rsidRPr="00723C65" w:rsidR="00723C65" w:rsidP="002069E4" w:rsidRDefault="00723C65" w14:paraId="07526723" w14:textId="77777777">
            <w:pPr>
              <w:pStyle w:val="BodyText"/>
              <w:jc w:val="left"/>
              <w:rPr>
                <w:rFonts w:cs="Arial"/>
                <w:b/>
              </w:rPr>
            </w:pPr>
            <w:r w:rsidRPr="00723C65">
              <w:t>Doses up to 100 microgram/kg/hour have been used in newborns; however this was associated with an increase in the duration of mechanical ventilation.</w:t>
            </w:r>
          </w:p>
        </w:tc>
      </w:tr>
      <w:tr w:rsidRPr="0022537E" w:rsidR="00043BF0" w:rsidTr="00156EED" w14:paraId="483B6DCC" w14:textId="77777777">
        <w:trPr>
          <w:trHeight w:val="200"/>
        </w:trPr>
        <w:tc>
          <w:tcPr>
            <w:tcW w:w="2127" w:type="dxa"/>
          </w:tcPr>
          <w:p w:rsidRPr="00723C65" w:rsidR="00723C65" w:rsidP="002069E4" w:rsidRDefault="00723C65" w14:paraId="07549FB7" w14:textId="77777777">
            <w:pPr>
              <w:pStyle w:val="BodyText"/>
              <w:jc w:val="left"/>
            </w:pPr>
            <w:r w:rsidRPr="00723C65">
              <w:t xml:space="preserve">Route       </w:t>
            </w:r>
          </w:p>
        </w:tc>
        <w:tc>
          <w:tcPr>
            <w:tcW w:w="7683" w:type="dxa"/>
          </w:tcPr>
          <w:p w:rsidRPr="00723C65" w:rsidR="00723C65" w:rsidP="002069E4" w:rsidRDefault="00723C65" w14:paraId="547FDC83" w14:textId="77777777">
            <w:pPr>
              <w:pStyle w:val="BodyText"/>
              <w:jc w:val="left"/>
            </w:pPr>
            <w:r w:rsidRPr="00723C65">
              <w:t>IV</w:t>
            </w:r>
          </w:p>
        </w:tc>
      </w:tr>
      <w:tr w:rsidRPr="0022537E" w:rsidR="00043BF0" w:rsidTr="00156EED" w14:paraId="3168BACC" w14:textId="77777777">
        <w:trPr>
          <w:trHeight w:val="660"/>
        </w:trPr>
        <w:tc>
          <w:tcPr>
            <w:tcW w:w="2127" w:type="dxa"/>
          </w:tcPr>
          <w:p w:rsidRPr="00723C65" w:rsidR="00723C65" w:rsidP="002069E4" w:rsidRDefault="00723C65" w14:paraId="564820F2" w14:textId="131CE25D">
            <w:pPr>
              <w:pStyle w:val="BodyText"/>
              <w:jc w:val="left"/>
              <w:rPr>
                <w:highlight w:val="cyan"/>
              </w:rPr>
            </w:pPr>
            <w:r>
              <w:t xml:space="preserve">Preparation/Dilution </w:t>
            </w:r>
          </w:p>
        </w:tc>
        <w:tc>
          <w:tcPr>
            <w:tcW w:w="7683" w:type="dxa"/>
          </w:tcPr>
          <w:p w:rsidRPr="00723C65" w:rsidR="00723C65" w:rsidP="002069E4" w:rsidRDefault="00723C65" w14:paraId="2824D1FC" w14:textId="77777777">
            <w:pPr>
              <w:pStyle w:val="BodyText"/>
              <w:jc w:val="left"/>
            </w:pPr>
            <w:r w:rsidRPr="00723C65">
              <w:t>SINGLE STRENGTH continuous IV infusion</w:t>
            </w:r>
          </w:p>
          <w:tbl>
            <w:tblPr>
              <w:tblW w:w="7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47"/>
              <w:gridCol w:w="4844"/>
            </w:tblGrid>
            <w:tr w:rsidRPr="0022537E" w:rsidR="00723C65" w:rsidTr="00723C65" w14:paraId="3FB34F1E" w14:textId="77777777">
              <w:tc>
                <w:tcPr>
                  <w:tcW w:w="3147" w:type="dxa"/>
                  <w:shd w:val="clear" w:color="auto" w:fill="auto"/>
                </w:tcPr>
                <w:p w:rsidRPr="00723C65" w:rsidR="00723C65" w:rsidP="002069E4" w:rsidRDefault="00723C65" w14:paraId="279883DE" w14:textId="77777777">
                  <w:pPr>
                    <w:pStyle w:val="BodyText"/>
                    <w:jc w:val="left"/>
                  </w:pPr>
                  <w:r w:rsidRPr="00723C65">
                    <w:t>Infusion rate</w:t>
                  </w:r>
                </w:p>
              </w:tc>
              <w:tc>
                <w:tcPr>
                  <w:tcW w:w="4844" w:type="dxa"/>
                  <w:shd w:val="clear" w:color="auto" w:fill="auto"/>
                </w:tcPr>
                <w:p w:rsidRPr="00723C65" w:rsidR="00723C65" w:rsidP="002069E4" w:rsidRDefault="00723C65" w14:paraId="2107B4E4" w14:textId="77777777">
                  <w:pPr>
                    <w:pStyle w:val="BodyText"/>
                    <w:jc w:val="left"/>
                  </w:pPr>
                  <w:r w:rsidRPr="00723C65">
                    <w:t>Prescribed amount</w:t>
                  </w:r>
                </w:p>
              </w:tc>
            </w:tr>
            <w:tr w:rsidRPr="0022537E" w:rsidR="00723C65" w:rsidTr="00723C65" w14:paraId="22BE09CC" w14:textId="77777777">
              <w:tc>
                <w:tcPr>
                  <w:tcW w:w="3147" w:type="dxa"/>
                  <w:shd w:val="clear" w:color="auto" w:fill="auto"/>
                </w:tcPr>
                <w:p w:rsidRPr="00723C65" w:rsidR="00723C65" w:rsidP="002069E4" w:rsidRDefault="00723C65" w14:paraId="5CEF05E4" w14:textId="77777777">
                  <w:pPr>
                    <w:pStyle w:val="BodyText"/>
                    <w:jc w:val="left"/>
                  </w:pPr>
                  <w:r w:rsidRPr="00723C65">
                    <w:t>1 mL/hour = 20 microgram/kg/hour</w:t>
                  </w:r>
                </w:p>
              </w:tc>
              <w:tc>
                <w:tcPr>
                  <w:tcW w:w="4844" w:type="dxa"/>
                  <w:shd w:val="clear" w:color="auto" w:fill="auto"/>
                </w:tcPr>
                <w:p w:rsidRPr="00723C65" w:rsidR="00723C65" w:rsidP="002069E4" w:rsidRDefault="00723C65" w14:paraId="58C1ED6B" w14:textId="77777777">
                  <w:pPr>
                    <w:pStyle w:val="BodyText"/>
                    <w:jc w:val="left"/>
                  </w:pPr>
                  <w:r w:rsidRPr="00723C65">
                    <w:t>1 mg/kg morphine and make up to 50 mL</w:t>
                  </w:r>
                </w:p>
              </w:tc>
            </w:tr>
          </w:tbl>
          <w:p w:rsidRPr="00723C65" w:rsidR="00723C65" w:rsidP="002069E4" w:rsidRDefault="00723C65" w14:paraId="6F8AAE79" w14:textId="77777777">
            <w:pPr>
              <w:pStyle w:val="BodyText"/>
              <w:jc w:val="left"/>
            </w:pPr>
            <w:r w:rsidRPr="00723C65">
              <w:t>Draw up 1 mL (10 mg morphine sulfate) and add 9 mL sodium chloride 0.9% to make a volume of 10 mL with a concentration of 1 mg/mL.</w:t>
            </w:r>
          </w:p>
          <w:p w:rsidRPr="00723C65" w:rsidR="00723C65" w:rsidP="002069E4" w:rsidRDefault="00723C65" w14:paraId="36545038" w14:textId="77777777">
            <w:pPr>
              <w:pStyle w:val="BodyText"/>
              <w:jc w:val="left"/>
              <w:rPr>
                <w:b/>
              </w:rPr>
            </w:pPr>
            <w:r w:rsidRPr="00723C65">
              <w:rPr>
                <w:b/>
                <w:bCs/>
              </w:rPr>
              <w:t xml:space="preserve">FURTHER DILUTE </w:t>
            </w:r>
            <w:r w:rsidRPr="00723C65">
              <w:t xml:space="preserve">1 mg/kg (1 mL/kg) of the above solution with glucose 5% or glucose 10% to make a final volume of 50 mL with a concentration of </w:t>
            </w:r>
            <w:r w:rsidRPr="00723C65">
              <w:rPr>
                <w:b/>
              </w:rPr>
              <w:t>1 mL/hour = 20 microgram/kg/hour.</w:t>
            </w:r>
          </w:p>
          <w:p w:rsidRPr="00723C65" w:rsidR="00723C65" w:rsidP="002069E4" w:rsidRDefault="00723C65" w14:paraId="5B963C59" w14:textId="77777777">
            <w:pPr>
              <w:pStyle w:val="BodyText"/>
              <w:jc w:val="left"/>
              <w:rPr>
                <w:rFonts w:cs="Arial"/>
              </w:rPr>
            </w:pPr>
            <w:r w:rsidRPr="00723C65">
              <w:t>IV bolus dose from single strength solution: 2.5 mL (50 microgram/kg).</w:t>
            </w:r>
          </w:p>
          <w:p w:rsidRPr="00723C65" w:rsidR="00723C65" w:rsidP="002069E4" w:rsidRDefault="00723C65" w14:paraId="2D961187" w14:textId="77777777">
            <w:pPr>
              <w:pStyle w:val="BodyText"/>
              <w:jc w:val="left"/>
            </w:pPr>
          </w:p>
          <w:p w:rsidRPr="00723C65" w:rsidR="00723C65" w:rsidP="002069E4" w:rsidRDefault="00723C65" w14:paraId="712B30CC" w14:textId="77777777">
            <w:pPr>
              <w:pStyle w:val="BodyText"/>
              <w:jc w:val="left"/>
            </w:pPr>
            <w:r w:rsidRPr="00723C65">
              <w:t>DOUBLE STRENGTH continuous IV infusion</w:t>
            </w:r>
          </w:p>
          <w:tbl>
            <w:tblPr>
              <w:tblW w:w="159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47"/>
              <w:gridCol w:w="4843"/>
              <w:gridCol w:w="3995"/>
              <w:gridCol w:w="3996"/>
            </w:tblGrid>
            <w:tr w:rsidRPr="0022537E" w:rsidR="00723C65" w:rsidTr="00723C65" w14:paraId="1BF0B4B6" w14:textId="77777777">
              <w:tc>
                <w:tcPr>
                  <w:tcW w:w="3147" w:type="dxa"/>
                  <w:shd w:val="clear" w:color="auto" w:fill="auto"/>
                </w:tcPr>
                <w:p w:rsidRPr="00723C65" w:rsidR="00723C65" w:rsidP="002069E4" w:rsidRDefault="00723C65" w14:paraId="20FBEA43" w14:textId="77777777">
                  <w:pPr>
                    <w:pStyle w:val="BodyText"/>
                    <w:jc w:val="left"/>
                  </w:pPr>
                  <w:r w:rsidRPr="00723C65">
                    <w:t>Infusion rate</w:t>
                  </w:r>
                </w:p>
              </w:tc>
              <w:tc>
                <w:tcPr>
                  <w:tcW w:w="4843" w:type="dxa"/>
                  <w:shd w:val="clear" w:color="auto" w:fill="auto"/>
                </w:tcPr>
                <w:p w:rsidRPr="00723C65" w:rsidR="00723C65" w:rsidP="002069E4" w:rsidRDefault="00723C65" w14:paraId="7B56D265" w14:textId="77777777">
                  <w:pPr>
                    <w:pStyle w:val="BodyText"/>
                    <w:jc w:val="left"/>
                  </w:pPr>
                  <w:r w:rsidRPr="00723C65">
                    <w:t>Prescribed amount</w:t>
                  </w:r>
                </w:p>
              </w:tc>
              <w:tc>
                <w:tcPr>
                  <w:tcW w:w="3995" w:type="dxa"/>
                  <w:shd w:val="clear" w:color="auto" w:fill="auto"/>
                </w:tcPr>
                <w:p w:rsidRPr="00723C65" w:rsidR="00723C65" w:rsidP="002069E4" w:rsidRDefault="00723C65" w14:paraId="4CD26686" w14:textId="77777777">
                  <w:pPr>
                    <w:pStyle w:val="BodyText"/>
                    <w:jc w:val="left"/>
                  </w:pPr>
                </w:p>
              </w:tc>
              <w:tc>
                <w:tcPr>
                  <w:tcW w:w="3996" w:type="dxa"/>
                  <w:shd w:val="clear" w:color="auto" w:fill="auto"/>
                </w:tcPr>
                <w:p w:rsidRPr="00723C65" w:rsidR="00723C65" w:rsidP="002069E4" w:rsidRDefault="00723C65" w14:paraId="3EB40A02" w14:textId="77777777">
                  <w:pPr>
                    <w:pStyle w:val="BodyText"/>
                    <w:jc w:val="left"/>
                  </w:pPr>
                </w:p>
              </w:tc>
            </w:tr>
            <w:tr w:rsidRPr="0022537E" w:rsidR="00723C65" w:rsidTr="00723C65" w14:paraId="4042DD09" w14:textId="77777777">
              <w:tc>
                <w:tcPr>
                  <w:tcW w:w="3147" w:type="dxa"/>
                  <w:shd w:val="clear" w:color="auto" w:fill="auto"/>
                </w:tcPr>
                <w:p w:rsidRPr="00723C65" w:rsidR="00723C65" w:rsidP="002069E4" w:rsidRDefault="00723C65" w14:paraId="7C51769E" w14:textId="77777777">
                  <w:pPr>
                    <w:pStyle w:val="BodyText"/>
                    <w:jc w:val="left"/>
                  </w:pPr>
                  <w:r w:rsidRPr="00723C65">
                    <w:t>1 mL/hour = 40 microgram/kg/hour</w:t>
                  </w:r>
                </w:p>
              </w:tc>
              <w:tc>
                <w:tcPr>
                  <w:tcW w:w="4843" w:type="dxa"/>
                  <w:shd w:val="clear" w:color="auto" w:fill="auto"/>
                </w:tcPr>
                <w:p w:rsidRPr="00723C65" w:rsidR="00723C65" w:rsidP="002069E4" w:rsidRDefault="00723C65" w14:paraId="5C4076B2" w14:textId="77777777">
                  <w:pPr>
                    <w:pStyle w:val="BodyText"/>
                    <w:jc w:val="left"/>
                  </w:pPr>
                  <w:r w:rsidRPr="00723C65">
                    <w:t>2 mg/kg morphine and make up to 50 mL</w:t>
                  </w:r>
                </w:p>
              </w:tc>
              <w:tc>
                <w:tcPr>
                  <w:tcW w:w="3995" w:type="dxa"/>
                  <w:shd w:val="clear" w:color="auto" w:fill="auto"/>
                </w:tcPr>
                <w:p w:rsidRPr="00723C65" w:rsidR="00723C65" w:rsidP="002069E4" w:rsidRDefault="00723C65" w14:paraId="301668B3" w14:textId="77777777">
                  <w:pPr>
                    <w:pStyle w:val="BodyText"/>
                    <w:jc w:val="left"/>
                  </w:pPr>
                </w:p>
              </w:tc>
              <w:tc>
                <w:tcPr>
                  <w:tcW w:w="3996" w:type="dxa"/>
                  <w:shd w:val="clear" w:color="auto" w:fill="auto"/>
                </w:tcPr>
                <w:p w:rsidRPr="00723C65" w:rsidR="00723C65" w:rsidP="002069E4" w:rsidRDefault="00723C65" w14:paraId="66BB734A" w14:textId="77777777">
                  <w:pPr>
                    <w:pStyle w:val="BodyText"/>
                    <w:jc w:val="left"/>
                  </w:pPr>
                </w:p>
              </w:tc>
            </w:tr>
          </w:tbl>
          <w:p w:rsidRPr="00723C65" w:rsidR="00723C65" w:rsidP="002069E4" w:rsidRDefault="00723C65" w14:paraId="60268579" w14:textId="77777777">
            <w:pPr>
              <w:pStyle w:val="BodyText"/>
              <w:jc w:val="left"/>
            </w:pPr>
            <w:r w:rsidRPr="00723C65">
              <w:t>Draw up 1 mL (10 mg morphine sulfate) and add 9 mL sodium chloride 0.9% to make a volume of 10 mL with a concentration of 1 mg/mL.</w:t>
            </w:r>
          </w:p>
          <w:p w:rsidRPr="00723C65" w:rsidR="00723C65" w:rsidP="002069E4" w:rsidRDefault="00723C65" w14:paraId="40DB5FAE" w14:textId="77777777">
            <w:pPr>
              <w:pStyle w:val="BodyText"/>
              <w:jc w:val="left"/>
              <w:rPr>
                <w:rFonts w:cs="Arial"/>
                <w:b/>
              </w:rPr>
            </w:pPr>
            <w:r w:rsidRPr="00723C65">
              <w:rPr>
                <w:b/>
                <w:bCs/>
              </w:rPr>
              <w:t xml:space="preserve">FURTHER DILUTE </w:t>
            </w:r>
            <w:r w:rsidRPr="00723C65">
              <w:t xml:space="preserve">2 mg/kg (2 mL/kg) of the above solution with glucose 5% or glucose 10% to make a final volume of 50 mL with a concentration of </w:t>
            </w:r>
            <w:r w:rsidRPr="00723C65">
              <w:rPr>
                <w:b/>
              </w:rPr>
              <w:t>1 mL/hour = 40 microgram/kg/hour.</w:t>
            </w:r>
          </w:p>
          <w:p w:rsidRPr="00723C65" w:rsidR="00723C65" w:rsidP="002069E4" w:rsidRDefault="00723C65" w14:paraId="3AF25F31" w14:textId="77777777">
            <w:pPr>
              <w:pStyle w:val="BodyText"/>
              <w:jc w:val="left"/>
            </w:pPr>
            <w:r w:rsidRPr="00723C65">
              <w:t>IV bolus dose from double strength solution: 1.25 mL (50 microgram/kg).</w:t>
            </w:r>
          </w:p>
          <w:p w:rsidRPr="00723C65" w:rsidR="00723C65" w:rsidP="002069E4" w:rsidRDefault="00723C65" w14:paraId="7F3AB17D" w14:textId="77777777">
            <w:pPr>
              <w:pStyle w:val="BodyText"/>
              <w:jc w:val="left"/>
            </w:pPr>
          </w:p>
          <w:p w:rsidRPr="00723C65" w:rsidR="00723C65" w:rsidP="002069E4" w:rsidRDefault="00723C65" w14:paraId="09B80EAF" w14:textId="77777777">
            <w:pPr>
              <w:pStyle w:val="BodyText"/>
              <w:jc w:val="left"/>
            </w:pPr>
            <w:r w:rsidRPr="00723C65">
              <w:t>IV BOLUS</w:t>
            </w:r>
          </w:p>
          <w:p w:rsidRPr="00723C65" w:rsidR="00723C65" w:rsidP="002069E4" w:rsidRDefault="00723C65" w14:paraId="7518163B" w14:textId="77777777">
            <w:pPr>
              <w:pStyle w:val="BodyText"/>
              <w:jc w:val="left"/>
            </w:pPr>
            <w:r w:rsidRPr="00723C65">
              <w:t>2 kg and over: Draw up 1 mL (10 mg morphine sulfate) and add 9 mL sodium chloride 0.9% to make a final volume of 10 mL with a concentration of 1 mg/mL.</w:t>
            </w:r>
          </w:p>
          <w:p w:rsidRPr="00723C65" w:rsidR="00723C65" w:rsidP="002069E4" w:rsidRDefault="00723C65" w14:paraId="3819BA4A" w14:textId="77777777">
            <w:pPr>
              <w:pStyle w:val="BodyText"/>
              <w:jc w:val="left"/>
            </w:pPr>
          </w:p>
          <w:p w:rsidRPr="00723C65" w:rsidR="00723C65" w:rsidP="002069E4" w:rsidRDefault="00723C65" w14:paraId="4E0C6F3D" w14:textId="77777777">
            <w:pPr>
              <w:pStyle w:val="BodyText"/>
              <w:jc w:val="left"/>
            </w:pPr>
            <w:r w:rsidRPr="00723C65">
              <w:t>&lt;2 kg: Draw up 0.25 mL (2.5 mg morphine sulfate) and add sodium chloride 0.9% to make a final volume of 10 mL with a concentration of 0.25 mg/mL.</w:t>
            </w:r>
          </w:p>
          <w:p w:rsidRPr="00723C65" w:rsidR="00723C65" w:rsidP="002069E4" w:rsidRDefault="00723C65" w14:paraId="4E146681" w14:textId="77777777">
            <w:pPr>
              <w:pStyle w:val="BodyText"/>
              <w:jc w:val="left"/>
            </w:pPr>
          </w:p>
          <w:p w:rsidRPr="00723C65" w:rsidR="00723C65" w:rsidP="002069E4" w:rsidRDefault="00723C65" w14:paraId="7FAD398D" w14:textId="77777777">
            <w:pPr>
              <w:pStyle w:val="BodyText"/>
              <w:jc w:val="left"/>
            </w:pPr>
            <w:r w:rsidRPr="00723C65">
              <w:t>PRE-MEDICATION FOR INTUBATION</w:t>
            </w:r>
          </w:p>
          <w:p w:rsidRPr="00723C65" w:rsidR="00723C65" w:rsidP="002069E4" w:rsidRDefault="00723C65" w14:paraId="3385DC7F" w14:textId="77777777">
            <w:pPr>
              <w:pStyle w:val="BodyText"/>
              <w:jc w:val="left"/>
              <w:rPr>
                <w:rFonts w:cs="Arial"/>
              </w:rPr>
            </w:pPr>
            <w:r w:rsidRPr="00B7585D">
              <w:t>Draw up 1 mL (10 mg morphine sulfate) and add 9 mL sodium chloride 0.9% to make a final volume of 10 mL with a concentration of 1 mg/mL.</w:t>
            </w:r>
          </w:p>
        </w:tc>
      </w:tr>
      <w:tr w:rsidRPr="0022537E" w:rsidR="00043BF0" w:rsidTr="00156EED" w14:paraId="4C8C1E1E" w14:textId="77777777">
        <w:trPr>
          <w:trHeight w:val="558"/>
        </w:trPr>
        <w:tc>
          <w:tcPr>
            <w:tcW w:w="2127" w:type="dxa"/>
          </w:tcPr>
          <w:p w:rsidRPr="00723C65" w:rsidR="00723C65" w:rsidP="002069E4" w:rsidRDefault="00723C65" w14:paraId="19D2E29A" w14:textId="77777777">
            <w:pPr>
              <w:pStyle w:val="BodyText"/>
              <w:jc w:val="left"/>
            </w:pPr>
            <w:r w:rsidRPr="00723C65">
              <w:lastRenderedPageBreak/>
              <w:t xml:space="preserve">Administration                 </w:t>
            </w:r>
          </w:p>
          <w:p w:rsidRPr="00723C65" w:rsidR="00723C65" w:rsidP="002069E4" w:rsidRDefault="00723C65" w14:paraId="4A4BF427" w14:textId="77777777">
            <w:pPr>
              <w:pStyle w:val="BodyText"/>
              <w:jc w:val="left"/>
            </w:pPr>
          </w:p>
        </w:tc>
        <w:tc>
          <w:tcPr>
            <w:tcW w:w="7683" w:type="dxa"/>
          </w:tcPr>
          <w:p w:rsidRPr="00723C65" w:rsidR="00723C65" w:rsidP="002069E4" w:rsidRDefault="00723C65" w14:paraId="5EE25D93" w14:textId="77777777">
            <w:pPr>
              <w:pStyle w:val="BodyText"/>
              <w:jc w:val="left"/>
            </w:pPr>
            <w:r w:rsidRPr="00723C65">
              <w:rPr>
                <w:b/>
              </w:rPr>
              <w:t>CONTINUOUS IV INFUSION</w:t>
            </w:r>
            <w:r w:rsidRPr="00723C65">
              <w:t>: Via syringe driver.</w:t>
            </w:r>
            <w:r w:rsidRPr="00723C65">
              <w:br/>
            </w:r>
            <w:r w:rsidRPr="00723C65">
              <w:br/>
            </w:r>
            <w:r w:rsidRPr="00723C65">
              <w:rPr>
                <w:b/>
              </w:rPr>
              <w:t>IV BOLUS</w:t>
            </w:r>
            <w:r w:rsidRPr="00723C65">
              <w:t>: Administer over 5 minutes. Flush with 1 mL sodium chloride 0.9% before and after injection. Rapid IV administration may increase adverse effects.</w:t>
            </w:r>
          </w:p>
          <w:p w:rsidRPr="00723C65" w:rsidR="00723C65" w:rsidP="002069E4" w:rsidRDefault="00723C65" w14:paraId="2D2CAF57" w14:textId="77777777">
            <w:pPr>
              <w:pStyle w:val="BodyText"/>
              <w:jc w:val="left"/>
            </w:pPr>
          </w:p>
          <w:p w:rsidRPr="00723C65" w:rsidR="00723C65" w:rsidP="002069E4" w:rsidRDefault="00723C65" w14:paraId="264F5567" w14:textId="77777777">
            <w:pPr>
              <w:pStyle w:val="BodyText"/>
              <w:jc w:val="left"/>
              <w:rPr>
                <w:rFonts w:cs="Arial"/>
              </w:rPr>
            </w:pPr>
            <w:r w:rsidRPr="00723C65">
              <w:rPr>
                <w:rFonts w:cs="Arial"/>
                <w:b/>
              </w:rPr>
              <w:t xml:space="preserve">PRE-MEDICATION FOR INTUBATION: </w:t>
            </w:r>
            <w:r w:rsidRPr="00723C65">
              <w:rPr>
                <w:rFonts w:cs="Arial"/>
              </w:rPr>
              <w:t>As above for IV bolus. W</w:t>
            </w:r>
            <w:r w:rsidRPr="00723C65">
              <w:t>ait a minimum of 5 minutes for onset of action; however for maximum effect wait 15 minutes after giving the dose.</w:t>
            </w:r>
          </w:p>
        </w:tc>
      </w:tr>
      <w:tr w:rsidRPr="0022537E" w:rsidR="00043BF0" w:rsidTr="00156EED" w14:paraId="5452F501" w14:textId="77777777">
        <w:trPr>
          <w:trHeight w:val="407"/>
        </w:trPr>
        <w:tc>
          <w:tcPr>
            <w:tcW w:w="2127" w:type="dxa"/>
          </w:tcPr>
          <w:p w:rsidRPr="00723C65" w:rsidR="00723C65" w:rsidP="002069E4" w:rsidRDefault="00723C65" w14:paraId="366C4C9A" w14:textId="77777777">
            <w:pPr>
              <w:pStyle w:val="BodyText"/>
              <w:jc w:val="left"/>
            </w:pPr>
            <w:r w:rsidRPr="00723C65">
              <w:t xml:space="preserve">Monitoring                              </w:t>
            </w:r>
          </w:p>
          <w:p w:rsidRPr="00723C65" w:rsidR="00723C65" w:rsidP="002069E4" w:rsidRDefault="00723C65" w14:paraId="73C37267" w14:textId="77777777">
            <w:pPr>
              <w:pStyle w:val="BodyText"/>
              <w:jc w:val="left"/>
            </w:pPr>
          </w:p>
        </w:tc>
        <w:tc>
          <w:tcPr>
            <w:tcW w:w="7683" w:type="dxa"/>
          </w:tcPr>
          <w:p w:rsidRPr="00723C65" w:rsidR="00723C65" w:rsidP="002069E4" w:rsidRDefault="00723C65" w14:paraId="2C08DE0B" w14:textId="77777777">
            <w:pPr>
              <w:pStyle w:val="BodyText"/>
              <w:jc w:val="left"/>
            </w:pPr>
            <w:r w:rsidRPr="00723C65">
              <w:t xml:space="preserve">All patients should have cardiorespiratory monitoring and be carefully observed, particularly if they are breathing spontaneously. Respiratory depression/apnoea can be reversed with naloxone. </w:t>
            </w:r>
          </w:p>
          <w:p w:rsidRPr="00723C65" w:rsidR="00723C65" w:rsidP="002069E4" w:rsidRDefault="00723C65" w14:paraId="6B3B12F3" w14:textId="77777777">
            <w:pPr>
              <w:pStyle w:val="BodyText"/>
              <w:jc w:val="left"/>
              <w:rPr>
                <w:rFonts w:cs="Arial"/>
              </w:rPr>
            </w:pPr>
            <w:r w:rsidRPr="00723C65">
              <w:rPr>
                <w:rFonts w:cs="Calibri"/>
              </w:rPr>
              <w:t>Naloxone is contraindicated in opioid dependent infants.</w:t>
            </w:r>
            <w:r w:rsidRPr="00723C65">
              <w:br/>
            </w:r>
            <w:r w:rsidRPr="00723C65">
              <w:t xml:space="preserve">Observe for urinary retention, abdominal distension or delay in passage of stool. </w:t>
            </w:r>
            <w:r w:rsidRPr="00723C65">
              <w:br/>
            </w:r>
            <w:r w:rsidRPr="00723C65">
              <w:t>Withdraw slowly following prolonged use.</w:t>
            </w:r>
          </w:p>
        </w:tc>
      </w:tr>
      <w:tr w:rsidRPr="0022537E" w:rsidR="00043BF0" w:rsidTr="00156EED" w14:paraId="03D01F35" w14:textId="77777777">
        <w:trPr>
          <w:trHeight w:val="70"/>
        </w:trPr>
        <w:tc>
          <w:tcPr>
            <w:tcW w:w="2127" w:type="dxa"/>
          </w:tcPr>
          <w:p w:rsidRPr="00723C65" w:rsidR="00723C65" w:rsidP="002069E4" w:rsidRDefault="00723C65" w14:paraId="0D8E039A" w14:textId="77777777">
            <w:pPr>
              <w:pStyle w:val="BodyText"/>
              <w:jc w:val="left"/>
            </w:pPr>
            <w:r w:rsidRPr="00723C65">
              <w:t xml:space="preserve">Contraindications                           </w:t>
            </w:r>
          </w:p>
        </w:tc>
        <w:tc>
          <w:tcPr>
            <w:tcW w:w="7683" w:type="dxa"/>
          </w:tcPr>
          <w:p w:rsidRPr="00723C65" w:rsidR="00723C65" w:rsidP="002069E4" w:rsidRDefault="00723C65" w14:paraId="1C2CF56D" w14:textId="77777777">
            <w:pPr>
              <w:pStyle w:val="BodyText"/>
              <w:jc w:val="left"/>
              <w:rPr>
                <w:rFonts w:cs="Arial"/>
              </w:rPr>
            </w:pPr>
            <w:r w:rsidRPr="00723C65">
              <w:t>Hypersensitivity to morphine sulfate or any component.</w:t>
            </w:r>
          </w:p>
        </w:tc>
      </w:tr>
      <w:tr w:rsidRPr="0022537E" w:rsidR="00043BF0" w:rsidTr="00156EED" w14:paraId="44D59F27" w14:textId="77777777">
        <w:tc>
          <w:tcPr>
            <w:tcW w:w="2127" w:type="dxa"/>
          </w:tcPr>
          <w:p w:rsidRPr="00723C65" w:rsidR="00723C65" w:rsidP="002069E4" w:rsidRDefault="00723C65" w14:paraId="6249E81A" w14:textId="77777777">
            <w:pPr>
              <w:pStyle w:val="BodyText"/>
              <w:jc w:val="left"/>
            </w:pPr>
            <w:r w:rsidRPr="00723C65">
              <w:br w:type="page"/>
            </w:r>
            <w:r w:rsidRPr="00723C65">
              <w:t>Precautions</w:t>
            </w:r>
          </w:p>
        </w:tc>
        <w:tc>
          <w:tcPr>
            <w:tcW w:w="7683" w:type="dxa"/>
          </w:tcPr>
          <w:p w:rsidRPr="00723C65" w:rsidR="00723C65" w:rsidP="002069E4" w:rsidRDefault="00723C65" w14:paraId="485A21F5" w14:textId="77777777">
            <w:pPr>
              <w:pStyle w:val="BodyText"/>
              <w:jc w:val="left"/>
            </w:pPr>
            <w:r w:rsidRPr="00723C65">
              <w:t xml:space="preserve">Potentially toxic serum concentrations of morphine may occur in infants with hypoxic ischaemic encephalopathy with moderate hypothermia and infusion rates &gt;10 microgram/kg per hour. [3] Use with caution in patients with hypersensitivity reactions to other opioids. </w:t>
            </w:r>
            <w:r w:rsidRPr="00723C65">
              <w:br/>
            </w:r>
            <w:r w:rsidRPr="00723C65">
              <w:t>Hypotension and bradycardia. Respiratory depression.</w:t>
            </w:r>
            <w:r w:rsidRPr="00723C65">
              <w:br/>
            </w:r>
            <w:r w:rsidRPr="00723C65">
              <w:t>Transient hypertonia. Convulsions.</w:t>
            </w:r>
            <w:r w:rsidRPr="00723C65">
              <w:br/>
            </w:r>
            <w:r w:rsidRPr="00723C65">
              <w:t>Ileus and delayed gastric emptying time. Urinary retention. Renal or hepatic impairment.</w:t>
            </w:r>
            <w:r w:rsidRPr="00723C65">
              <w:br/>
            </w:r>
            <w:r w:rsidRPr="00723C65">
              <w:t xml:space="preserve">Tolerance may develop after prolonged use − wean slowly. </w:t>
            </w:r>
          </w:p>
        </w:tc>
      </w:tr>
      <w:tr w:rsidRPr="0022537E" w:rsidR="00043BF0" w:rsidTr="00156EED" w14:paraId="080E1FA9" w14:textId="77777777">
        <w:trPr>
          <w:trHeight w:val="452"/>
        </w:trPr>
        <w:tc>
          <w:tcPr>
            <w:tcW w:w="2127" w:type="dxa"/>
          </w:tcPr>
          <w:p w:rsidRPr="00723C65" w:rsidR="00723C65" w:rsidP="002069E4" w:rsidRDefault="00723C65" w14:paraId="52476B44" w14:textId="77777777">
            <w:pPr>
              <w:pStyle w:val="BodyText"/>
              <w:jc w:val="left"/>
            </w:pPr>
            <w:r w:rsidRPr="00723C65">
              <w:t>Drug Interactions</w:t>
            </w:r>
          </w:p>
        </w:tc>
        <w:tc>
          <w:tcPr>
            <w:tcW w:w="7683" w:type="dxa"/>
          </w:tcPr>
          <w:p w:rsidRPr="00723C65" w:rsidR="00723C65" w:rsidP="002069E4" w:rsidRDefault="00723C65" w14:paraId="18EAF037" w14:textId="77777777">
            <w:pPr>
              <w:pStyle w:val="BodyText"/>
              <w:jc w:val="left"/>
              <w:rPr>
                <w:rFonts w:cs="Arial"/>
              </w:rPr>
            </w:pPr>
            <w:r w:rsidRPr="00723C65">
              <w:t>Concomitant use with other CNS depressants potentiates effects of opioids, increasing risk of respiratory depression, profound sedation or coma.</w:t>
            </w:r>
          </w:p>
        </w:tc>
      </w:tr>
      <w:tr w:rsidRPr="0022537E" w:rsidR="00043BF0" w:rsidTr="00156EED" w14:paraId="255F815D" w14:textId="77777777">
        <w:trPr>
          <w:trHeight w:val="416"/>
        </w:trPr>
        <w:tc>
          <w:tcPr>
            <w:tcW w:w="2127" w:type="dxa"/>
          </w:tcPr>
          <w:p w:rsidRPr="00723C65" w:rsidR="00723C65" w:rsidP="002069E4" w:rsidRDefault="00723C65" w14:paraId="20E15A48" w14:textId="77777777">
            <w:pPr>
              <w:pStyle w:val="BodyText"/>
              <w:jc w:val="left"/>
            </w:pPr>
            <w:r w:rsidRPr="00723C65">
              <w:t xml:space="preserve">Adverse Reactions         </w:t>
            </w:r>
          </w:p>
          <w:p w:rsidRPr="00723C65" w:rsidR="00723C65" w:rsidP="002069E4" w:rsidRDefault="00723C65" w14:paraId="0051455E" w14:textId="77777777">
            <w:pPr>
              <w:pStyle w:val="BodyText"/>
              <w:jc w:val="left"/>
            </w:pPr>
          </w:p>
        </w:tc>
        <w:tc>
          <w:tcPr>
            <w:tcW w:w="7683" w:type="dxa"/>
          </w:tcPr>
          <w:p w:rsidRPr="00723C65" w:rsidR="00723C65" w:rsidP="002069E4" w:rsidRDefault="00723C65" w14:paraId="48DEC605" w14:textId="77777777">
            <w:pPr>
              <w:pStyle w:val="BodyText"/>
              <w:jc w:val="left"/>
              <w:rPr>
                <w:rFonts w:cs="Arial"/>
              </w:rPr>
            </w:pPr>
            <w:r w:rsidRPr="00723C65">
              <w:t xml:space="preserve">Morphine sulfate has been associated with respiratory depression (levels above 20 ng/mL); decreased gastrointestinal motility, hypotension at higher doses, and urinary retention </w:t>
            </w:r>
            <w:r w:rsidRPr="00723C65">
              <w:rPr>
                <w:noProof/>
              </w:rPr>
              <w:t>[4]</w:t>
            </w:r>
            <w:r w:rsidRPr="00723C65">
              <w:t>.</w:t>
            </w:r>
          </w:p>
        </w:tc>
      </w:tr>
      <w:tr w:rsidRPr="0022537E" w:rsidR="00043BF0" w:rsidTr="00156EED" w14:paraId="685C22CA" w14:textId="77777777">
        <w:trPr>
          <w:trHeight w:val="660"/>
        </w:trPr>
        <w:tc>
          <w:tcPr>
            <w:tcW w:w="2127" w:type="dxa"/>
          </w:tcPr>
          <w:p w:rsidRPr="00723C65" w:rsidR="00723C65" w:rsidP="002069E4" w:rsidRDefault="00723C65" w14:paraId="5BF2A2F4" w14:textId="77777777">
            <w:pPr>
              <w:pStyle w:val="BodyText"/>
              <w:jc w:val="left"/>
            </w:pPr>
            <w:r w:rsidRPr="00723C65">
              <w:t>Compatibility</w:t>
            </w:r>
          </w:p>
          <w:p w:rsidRPr="00723C65" w:rsidR="00723C65" w:rsidP="002069E4" w:rsidRDefault="00723C65" w14:paraId="06624023" w14:textId="77777777">
            <w:pPr>
              <w:pStyle w:val="BodyText"/>
              <w:jc w:val="left"/>
            </w:pPr>
          </w:p>
        </w:tc>
        <w:tc>
          <w:tcPr>
            <w:tcW w:w="7683" w:type="dxa"/>
          </w:tcPr>
          <w:p w:rsidRPr="00723C65" w:rsidR="00723C65" w:rsidP="002069E4" w:rsidRDefault="00723C65" w14:paraId="02433BDC" w14:textId="77777777">
            <w:pPr>
              <w:pStyle w:val="BodyText"/>
              <w:jc w:val="left"/>
            </w:pPr>
            <w:r w:rsidRPr="00723C65">
              <w:t>Fluids: Glucose 5% , glucose 10%, Hartmann’s, sodium chloride 0.45% and sodium chloride 0.9%</w:t>
            </w:r>
            <w:r w:rsidRPr="00723C65">
              <w:br/>
            </w:r>
            <w:r w:rsidRPr="00723C65">
              <w:br/>
            </w:r>
            <w:r w:rsidRPr="00723C65">
              <w:t xml:space="preserve">Y site: Amino acid solutions, adrenaline hydrochloride, amifostine, amikacin, amiodarone, ampicillin, anidulafungin, atracurium, atropine, aztreonam, bivalirudin, caspofungin, cefotaxime, cefoxitin, ceftazidime, ceftriaxone, cephazolin, chloramphenicol, cisatracurium, clindamycin, dexamethasone, digoxin, dopamine, eptifibatide, erythromycin, esmolol, filgrastim, fluconazole, foscarnet, gentamicin, granisetron, haloperidol lactate, hydrocortisone sodium succinate, hyoscine hydrobromide, insulin (short-acting), ketorolac, labetalol, levomepromazine, lignocaine, linezolid, magnesium sulfate, methylprednisolone sodium succinate, metoclopramide, metoprolol, metronidazole, midazolam, milrinone, </w:t>
            </w:r>
            <w:r w:rsidRPr="00723C65">
              <w:lastRenderedPageBreak/>
              <w:t>noradrenaline, palonosetron, pancuronium, piperacillin-tazobactam (EDTA-free), potassium chloride, remifentanil, sodium nitroprusside, tacrolimus, tigecycline, tirofiban, tobramycin, trimethoprim-sulfamethoxazole, vancomycin, vecuronium, zidovudine.</w:t>
            </w:r>
          </w:p>
        </w:tc>
      </w:tr>
      <w:tr w:rsidRPr="0022537E" w:rsidR="00043BF0" w:rsidTr="00156EED" w14:paraId="7D38D3C9" w14:textId="77777777">
        <w:tc>
          <w:tcPr>
            <w:tcW w:w="2127" w:type="dxa"/>
          </w:tcPr>
          <w:p w:rsidRPr="00723C65" w:rsidR="00723C65" w:rsidP="002069E4" w:rsidRDefault="00723C65" w14:paraId="31AF7E3F" w14:textId="77777777">
            <w:pPr>
              <w:pStyle w:val="BodyText"/>
              <w:jc w:val="left"/>
            </w:pPr>
            <w:r w:rsidRPr="00723C65">
              <w:lastRenderedPageBreak/>
              <w:t xml:space="preserve">Incompatibility      </w:t>
            </w:r>
          </w:p>
          <w:p w:rsidRPr="00723C65" w:rsidR="00723C65" w:rsidP="002069E4" w:rsidRDefault="00723C65" w14:paraId="348AFFB8" w14:textId="77777777">
            <w:pPr>
              <w:pStyle w:val="BodyText"/>
              <w:jc w:val="left"/>
            </w:pPr>
            <w:r w:rsidRPr="00723C65">
              <w:t xml:space="preserve">               </w:t>
            </w:r>
            <w:r w:rsidRPr="00723C65">
              <w:tab/>
            </w:r>
          </w:p>
        </w:tc>
        <w:tc>
          <w:tcPr>
            <w:tcW w:w="7683" w:type="dxa"/>
          </w:tcPr>
          <w:p w:rsidRPr="00723C65" w:rsidR="00723C65" w:rsidP="002069E4" w:rsidRDefault="00723C65" w14:paraId="5380FE99" w14:textId="77777777">
            <w:pPr>
              <w:pStyle w:val="BodyText"/>
              <w:jc w:val="left"/>
            </w:pPr>
            <w:r w:rsidRPr="00723C65">
              <w:t xml:space="preserve">Fluids: Morphine may precipitate out of solution when the final pH is greater than 6.4. </w:t>
            </w:r>
          </w:p>
          <w:p w:rsidRPr="00723C65" w:rsidR="00723C65" w:rsidP="002069E4" w:rsidRDefault="00723C65" w14:paraId="16B41BBC" w14:textId="77777777">
            <w:pPr>
              <w:pStyle w:val="BodyText"/>
              <w:jc w:val="left"/>
            </w:pPr>
          </w:p>
          <w:p w:rsidRPr="00723C65" w:rsidR="00723C65" w:rsidP="002069E4" w:rsidRDefault="00723C65" w14:paraId="1698C135" w14:textId="77777777">
            <w:pPr>
              <w:pStyle w:val="BodyText"/>
              <w:jc w:val="left"/>
              <w:rPr>
                <w:rFonts w:cs="Arial"/>
              </w:rPr>
            </w:pPr>
            <w:r w:rsidRPr="00723C65">
              <w:t>Y-site: Aminophylline, azathioprine, azithromycin, flucloxacillin, folic acid, ganciclovir, indomethacin, pentamidine, pethidine, promethazine, sodium nitrite, thiopentone.</w:t>
            </w:r>
          </w:p>
        </w:tc>
      </w:tr>
      <w:tr w:rsidRPr="0022537E" w:rsidR="00043BF0" w:rsidTr="00156EED" w14:paraId="2B9E7CFE" w14:textId="77777777">
        <w:trPr>
          <w:trHeight w:val="165"/>
        </w:trPr>
        <w:tc>
          <w:tcPr>
            <w:tcW w:w="2127" w:type="dxa"/>
          </w:tcPr>
          <w:p w:rsidRPr="00723C65" w:rsidR="00723C65" w:rsidP="002069E4" w:rsidRDefault="00723C65" w14:paraId="0821B571" w14:textId="77777777">
            <w:pPr>
              <w:pStyle w:val="BodyText"/>
              <w:jc w:val="left"/>
            </w:pPr>
            <w:r w:rsidRPr="00723C65">
              <w:t xml:space="preserve">Stability                  </w:t>
            </w:r>
          </w:p>
        </w:tc>
        <w:tc>
          <w:tcPr>
            <w:tcW w:w="7683" w:type="dxa"/>
          </w:tcPr>
          <w:p w:rsidRPr="00723C65" w:rsidR="00723C65" w:rsidP="002069E4" w:rsidRDefault="00723C65" w14:paraId="103A676D" w14:textId="77777777">
            <w:pPr>
              <w:pStyle w:val="BodyText"/>
              <w:jc w:val="left"/>
              <w:rPr>
                <w:rFonts w:cs="Arial"/>
              </w:rPr>
            </w:pPr>
            <w:r w:rsidRPr="00723C65">
              <w:t>Diluted solution for continuous IV infusion is stable for 48 hours.</w:t>
            </w:r>
          </w:p>
        </w:tc>
      </w:tr>
      <w:tr w:rsidRPr="0022537E" w:rsidR="00043BF0" w:rsidTr="00156EED" w14:paraId="6608D41E" w14:textId="77777777">
        <w:trPr>
          <w:trHeight w:val="371"/>
        </w:trPr>
        <w:tc>
          <w:tcPr>
            <w:tcW w:w="2127" w:type="dxa"/>
          </w:tcPr>
          <w:p w:rsidRPr="00723C65" w:rsidR="00723C65" w:rsidP="002069E4" w:rsidRDefault="00723C65" w14:paraId="7A2DDF2E" w14:textId="77777777">
            <w:pPr>
              <w:pStyle w:val="BodyText"/>
              <w:jc w:val="left"/>
            </w:pPr>
            <w:r w:rsidRPr="00723C65">
              <w:t xml:space="preserve">Storage             </w:t>
            </w:r>
          </w:p>
        </w:tc>
        <w:tc>
          <w:tcPr>
            <w:tcW w:w="7683" w:type="dxa"/>
          </w:tcPr>
          <w:p w:rsidRPr="00723C65" w:rsidR="00723C65" w:rsidP="002069E4" w:rsidRDefault="00723C65" w14:paraId="4CD7EFC8" w14:textId="77777777">
            <w:pPr>
              <w:pStyle w:val="BodyText"/>
              <w:jc w:val="left"/>
            </w:pPr>
            <w:r w:rsidRPr="00723C65">
              <w:t>Ampoule: Store below 25°C. Protect from light.</w:t>
            </w:r>
          </w:p>
          <w:p w:rsidRPr="00723C65" w:rsidR="00723C65" w:rsidP="002069E4" w:rsidRDefault="00723C65" w14:paraId="1316A01A" w14:textId="77777777">
            <w:pPr>
              <w:pStyle w:val="BodyText"/>
              <w:jc w:val="left"/>
              <w:rPr>
                <w:rFonts w:cs="Arial"/>
              </w:rPr>
            </w:pPr>
            <w:r w:rsidRPr="00723C65">
              <w:t>Discard remainder after use (in line with schedule 8 drug legislation).</w:t>
            </w:r>
            <w:r w:rsidRPr="00723C65">
              <w:br/>
            </w:r>
            <w:r w:rsidRPr="00723C65">
              <w:t>Store in Dangerous Drug (DD) safe and record use in DD register.</w:t>
            </w:r>
          </w:p>
        </w:tc>
      </w:tr>
      <w:tr w:rsidRPr="0022537E" w:rsidR="00043BF0" w:rsidTr="00156EED" w14:paraId="4C8AF1D0" w14:textId="77777777">
        <w:trPr>
          <w:trHeight w:val="248"/>
        </w:trPr>
        <w:tc>
          <w:tcPr>
            <w:tcW w:w="2127" w:type="dxa"/>
          </w:tcPr>
          <w:p w:rsidRPr="00723C65" w:rsidR="00723C65" w:rsidP="002069E4" w:rsidRDefault="00723C65" w14:paraId="7BBE7875" w14:textId="77777777">
            <w:pPr>
              <w:pStyle w:val="BodyText"/>
              <w:jc w:val="left"/>
            </w:pPr>
            <w:r w:rsidRPr="00723C65">
              <w:t xml:space="preserve">Special Comments       </w:t>
            </w:r>
          </w:p>
        </w:tc>
        <w:tc>
          <w:tcPr>
            <w:tcW w:w="7683" w:type="dxa"/>
          </w:tcPr>
          <w:p w:rsidRPr="00723C65" w:rsidR="00723C65" w:rsidP="002069E4" w:rsidRDefault="00723C65" w14:paraId="5520207B" w14:textId="77777777">
            <w:pPr>
              <w:pStyle w:val="BodyText"/>
              <w:jc w:val="left"/>
              <w:rPr>
                <w:rFonts w:cs="Arial"/>
              </w:rPr>
            </w:pPr>
            <w:r w:rsidRPr="00723C65">
              <w:t>Prolonged use (&gt; 5–7 days) may be associated with dependence.</w:t>
            </w:r>
          </w:p>
        </w:tc>
      </w:tr>
      <w:tr w:rsidRPr="0022537E" w:rsidR="00043BF0" w:rsidTr="00156EED" w14:paraId="4495CE74" w14:textId="77777777">
        <w:trPr>
          <w:trHeight w:val="5493"/>
        </w:trPr>
        <w:tc>
          <w:tcPr>
            <w:tcW w:w="2127" w:type="dxa"/>
          </w:tcPr>
          <w:p w:rsidRPr="00723C65" w:rsidR="00723C65" w:rsidP="002069E4" w:rsidRDefault="00723C65" w14:paraId="096B9E52" w14:textId="77777777">
            <w:pPr>
              <w:pStyle w:val="BodyText"/>
              <w:jc w:val="left"/>
            </w:pPr>
            <w:r w:rsidRPr="00723C65">
              <w:t>Evidence summary</w:t>
            </w:r>
          </w:p>
        </w:tc>
        <w:tc>
          <w:tcPr>
            <w:tcW w:w="7683" w:type="dxa"/>
          </w:tcPr>
          <w:p w:rsidRPr="00156EED" w:rsidR="00723C65" w:rsidP="002069E4" w:rsidRDefault="00723C65" w14:paraId="00A55688" w14:textId="77777777">
            <w:pPr>
              <w:pStyle w:val="BodyText"/>
              <w:jc w:val="left"/>
              <w:rPr>
                <w:sz w:val="16"/>
                <w:szCs w:val="16"/>
              </w:rPr>
            </w:pPr>
            <w:r w:rsidRPr="00156EED">
              <w:rPr>
                <w:sz w:val="16"/>
                <w:szCs w:val="16"/>
              </w:rPr>
              <w:t>Efficacy:</w:t>
            </w:r>
          </w:p>
          <w:p w:rsidRPr="00156EED" w:rsidR="00723C65" w:rsidP="002069E4" w:rsidRDefault="00723C65" w14:paraId="61F54F5C" w14:textId="77777777">
            <w:pPr>
              <w:pStyle w:val="BodyText"/>
              <w:jc w:val="left"/>
              <w:rPr>
                <w:sz w:val="16"/>
                <w:szCs w:val="16"/>
              </w:rPr>
            </w:pPr>
            <w:r w:rsidRPr="00156EED">
              <w:rPr>
                <w:b/>
                <w:sz w:val="16"/>
                <w:szCs w:val="16"/>
              </w:rPr>
              <w:t xml:space="preserve">Premedication: </w:t>
            </w:r>
            <w:r w:rsidRPr="00156EED">
              <w:rPr>
                <w:sz w:val="16"/>
                <w:szCs w:val="16"/>
              </w:rPr>
              <w:t>Morphine 0.2 mg/kg bolus did not reduce the occurrence of severe hypoxia with bradycardia during intubation, in comparison with placebo.</w:t>
            </w:r>
            <w:r w:rsidRPr="00156EED">
              <w:rPr>
                <w:noProof/>
                <w:sz w:val="16"/>
                <w:szCs w:val="16"/>
              </w:rPr>
              <w:t>[5]</w:t>
            </w:r>
            <w:r w:rsidRPr="00156EED">
              <w:rPr>
                <w:sz w:val="16"/>
                <w:szCs w:val="16"/>
              </w:rPr>
              <w:t xml:space="preserve"> [LOE II] Morphine 0.1 mg/kg – atropine 10 microgram/kg and suxamethonium 1 mg/kg premedication reduced the total time and number of attempts taken to achieve successful nasotracheal intubation of neonates compared to awake intubation;</w:t>
            </w:r>
            <w:r w:rsidRPr="00156EED">
              <w:rPr>
                <w:noProof/>
                <w:sz w:val="16"/>
                <w:szCs w:val="16"/>
              </w:rPr>
              <w:t>[6]</w:t>
            </w:r>
            <w:r w:rsidRPr="00156EED">
              <w:rPr>
                <w:sz w:val="16"/>
                <w:szCs w:val="16"/>
              </w:rPr>
              <w:t xml:space="preserve"> [LOE II] Morphine 0.1 mg/kg – atropine 10 microgram/kg and suxamethonium 2 mg/kg was less effective than propofol with longer time to intubation, increased oxygen desaturations and nasal trauma and increased time to recovery </w:t>
            </w:r>
            <w:r w:rsidRPr="00156EED">
              <w:rPr>
                <w:noProof/>
                <w:sz w:val="16"/>
                <w:szCs w:val="16"/>
              </w:rPr>
              <w:t>[7]</w:t>
            </w:r>
            <w:r w:rsidRPr="00156EED">
              <w:rPr>
                <w:sz w:val="16"/>
                <w:szCs w:val="16"/>
              </w:rPr>
              <w:t xml:space="preserve">. (LOE II]  No difference in time, number of attempts and duration of intubation has been reported in trials comparing morphine-midazolam versus remifentanil with or without midazolam combination </w:t>
            </w:r>
            <w:r w:rsidRPr="00156EED">
              <w:rPr>
                <w:noProof/>
                <w:sz w:val="16"/>
                <w:szCs w:val="16"/>
              </w:rPr>
              <w:t>[8, 9]</w:t>
            </w:r>
            <w:r w:rsidRPr="00156EED">
              <w:rPr>
                <w:sz w:val="16"/>
                <w:szCs w:val="16"/>
              </w:rPr>
              <w:t xml:space="preserve">. (LOE II) Conclusion: Morphine appears not to reduce the occurrence of severe hypoxia with bradycardia during intubation, in comparison with placebo, probably because of the delayed onset of action. It is likely that fentanyl is more effective because of the more rapid onset of action </w:t>
            </w:r>
            <w:r w:rsidRPr="00156EED">
              <w:rPr>
                <w:noProof/>
                <w:sz w:val="16"/>
                <w:szCs w:val="16"/>
              </w:rPr>
              <w:t>[10]</w:t>
            </w:r>
            <w:r w:rsidRPr="00156EED">
              <w:rPr>
                <w:sz w:val="16"/>
                <w:szCs w:val="16"/>
              </w:rPr>
              <w:t>.</w:t>
            </w:r>
          </w:p>
          <w:p w:rsidRPr="00156EED" w:rsidR="00723C65" w:rsidP="002069E4" w:rsidRDefault="00723C65" w14:paraId="1AF25FDB" w14:textId="77777777">
            <w:pPr>
              <w:pStyle w:val="BodyText"/>
              <w:jc w:val="left"/>
              <w:rPr>
                <w:sz w:val="16"/>
                <w:szCs w:val="16"/>
              </w:rPr>
            </w:pPr>
            <w:r w:rsidRPr="00156EED">
              <w:rPr>
                <w:b/>
                <w:sz w:val="16"/>
                <w:szCs w:val="16"/>
              </w:rPr>
              <w:t xml:space="preserve">Infants on mechanical ventilation: </w:t>
            </w:r>
            <w:r w:rsidRPr="00156EED">
              <w:rPr>
                <w:sz w:val="16"/>
                <w:szCs w:val="16"/>
              </w:rPr>
              <w:t xml:space="preserve">A systematic review of 13 RCTs, 1505 infants, found infants given opioids showed reduced Premature Infant Pain Profile scores (MD -1.71, 95% CI -3.18 to -0.24); had no difference in mortality, incidence of hypotension, duration of mechanical ventilation and long-term and short-term neurodevelopmental outcomes; but a longer duration to reach full enteral feeding </w:t>
            </w:r>
            <w:r w:rsidRPr="00156EED">
              <w:rPr>
                <w:noProof/>
                <w:sz w:val="16"/>
                <w:szCs w:val="16"/>
              </w:rPr>
              <w:t>[11]</w:t>
            </w:r>
            <w:r w:rsidRPr="00156EED">
              <w:rPr>
                <w:sz w:val="16"/>
                <w:szCs w:val="16"/>
              </w:rPr>
              <w:t xml:space="preserve">. One RCT reported an increased incidence of hypotension in ventilated very preterm infants after morphine 100-300 micrograms/kg loading dose and with 10-30 microgram/kg/hour infusion for 24 hours </w:t>
            </w:r>
            <w:r w:rsidRPr="00156EED">
              <w:rPr>
                <w:noProof/>
                <w:sz w:val="16"/>
                <w:szCs w:val="16"/>
              </w:rPr>
              <w:t>[12]</w:t>
            </w:r>
            <w:r w:rsidRPr="00156EED">
              <w:rPr>
                <w:sz w:val="16"/>
                <w:szCs w:val="16"/>
              </w:rPr>
              <w:t xml:space="preserve">. Two other RCTs using morphine 50-100 micrograms/kg loading dose and with or without 10 microgram/kg/hour infusion reported no effect on blood pressure </w:t>
            </w:r>
            <w:r w:rsidRPr="00156EED">
              <w:rPr>
                <w:noProof/>
                <w:sz w:val="16"/>
                <w:szCs w:val="16"/>
              </w:rPr>
              <w:t>[13, 14]</w:t>
            </w:r>
            <w:r w:rsidRPr="00156EED">
              <w:rPr>
                <w:sz w:val="16"/>
                <w:szCs w:val="16"/>
              </w:rPr>
              <w:t xml:space="preserve">. One study that compared morphine with midazolam showed similar pain scores, but fewer adverse effects with morphine </w:t>
            </w:r>
            <w:r w:rsidRPr="00156EED">
              <w:rPr>
                <w:noProof/>
                <w:sz w:val="16"/>
                <w:szCs w:val="16"/>
              </w:rPr>
              <w:t>[15]</w:t>
            </w:r>
            <w:r w:rsidRPr="00156EED">
              <w:rPr>
                <w:sz w:val="16"/>
                <w:szCs w:val="16"/>
              </w:rPr>
              <w:t xml:space="preserve">. Conclusion: There is insufficient evidence to recommend routine use of opioids in mechanically ventilated newborns. Opioids should be used selectively, when indicated by clinical judgment and evaluation of pain indicators. If sedation is required, morphine is safer than midazolam </w:t>
            </w:r>
            <w:r w:rsidRPr="00156EED">
              <w:rPr>
                <w:noProof/>
                <w:sz w:val="16"/>
                <w:szCs w:val="16"/>
              </w:rPr>
              <w:t>[11]</w:t>
            </w:r>
            <w:r w:rsidRPr="00156EED">
              <w:rPr>
                <w:sz w:val="16"/>
                <w:szCs w:val="16"/>
              </w:rPr>
              <w:t>.  (LOE I GOR B)</w:t>
            </w:r>
          </w:p>
          <w:p w:rsidRPr="00156EED" w:rsidR="00723C65" w:rsidP="002069E4" w:rsidRDefault="00723C65" w14:paraId="5F5414EC" w14:textId="77777777">
            <w:pPr>
              <w:rPr>
                <w:sz w:val="16"/>
                <w:szCs w:val="16"/>
              </w:rPr>
            </w:pPr>
            <w:r w:rsidRPr="00156EED">
              <w:rPr>
                <w:b/>
                <w:sz w:val="16"/>
                <w:szCs w:val="16"/>
              </w:rPr>
              <w:t xml:space="preserve">Analgaesia: </w:t>
            </w:r>
            <w:r w:rsidRPr="00156EED">
              <w:rPr>
                <w:sz w:val="16"/>
                <w:szCs w:val="16"/>
              </w:rPr>
              <w:t xml:space="preserve">Recommended procedural analgesic doses for neonates are: </w:t>
            </w:r>
            <w:r w:rsidRPr="00156EED">
              <w:rPr>
                <w:b/>
                <w:i/>
                <w:sz w:val="16"/>
                <w:szCs w:val="16"/>
              </w:rPr>
              <w:t>Intermittent Dose</w:t>
            </w:r>
            <w:r w:rsidRPr="00156EED">
              <w:rPr>
                <w:sz w:val="16"/>
                <w:szCs w:val="16"/>
              </w:rPr>
              <w:t xml:space="preserve"> - Morphine sulfate 0.05-0.1 mg/kg intravenously; </w:t>
            </w:r>
            <w:r w:rsidRPr="00156EED">
              <w:rPr>
                <w:b/>
                <w:i/>
                <w:sz w:val="16"/>
                <w:szCs w:val="16"/>
              </w:rPr>
              <w:t>Infusion Dose -</w:t>
            </w:r>
            <w:r w:rsidRPr="00156EED">
              <w:rPr>
                <w:sz w:val="16"/>
                <w:szCs w:val="16"/>
              </w:rPr>
              <w:t xml:space="preserve"> 0.01-0.03 mg/kg per hour. It is advised that neonatal intensive care units use only 1 opioid analgesic agent to ensure familiarity with its use. The opioid doses are only applicable for opioid-naive patients. All patients should be monitored and carefully observed, particularly if they are breathing spontaneously. </w:t>
            </w:r>
            <w:r w:rsidRPr="00156EED">
              <w:rPr>
                <w:rFonts w:cs="Segoe UI"/>
                <w:sz w:val="16"/>
                <w:szCs w:val="16"/>
              </w:rPr>
              <w:t>Consider slow intravenous opioid infusion (morphine sulfate or fentanyl citrate) for: central venous line placement, endotracheal intubation and suction; chest tube insertion and for ventilated infants.</w:t>
            </w:r>
            <w:r w:rsidRPr="00156EED">
              <w:rPr>
                <w:sz w:val="16"/>
                <w:szCs w:val="16"/>
              </w:rPr>
              <w:t xml:space="preserve"> [Consensus statement for the International Evidence-Based Group for Neonatal Pain] </w:t>
            </w:r>
            <w:r w:rsidRPr="00156EED">
              <w:rPr>
                <w:noProof/>
                <w:sz w:val="16"/>
                <w:szCs w:val="16"/>
              </w:rPr>
              <w:t>[4]</w:t>
            </w:r>
            <w:r w:rsidRPr="00156EED">
              <w:rPr>
                <w:sz w:val="16"/>
                <w:szCs w:val="16"/>
              </w:rPr>
              <w:t xml:space="preserve">. </w:t>
            </w:r>
          </w:p>
          <w:p w:rsidRPr="00156EED" w:rsidR="00723C65" w:rsidP="002069E4" w:rsidRDefault="00723C65" w14:paraId="37B37CB3" w14:textId="77777777">
            <w:pPr>
              <w:pStyle w:val="BodyText"/>
              <w:jc w:val="left"/>
              <w:rPr>
                <w:sz w:val="16"/>
                <w:szCs w:val="16"/>
              </w:rPr>
            </w:pPr>
            <w:r w:rsidRPr="00156EED">
              <w:rPr>
                <w:b/>
                <w:sz w:val="16"/>
                <w:szCs w:val="16"/>
              </w:rPr>
              <w:t>Postoperative pain relief:</w:t>
            </w:r>
            <w:r w:rsidRPr="00156EED">
              <w:rPr>
                <w:sz w:val="16"/>
                <w:szCs w:val="16"/>
              </w:rPr>
              <w:t xml:space="preserve"> Continuous and intermittent morphine infusions have been trialled in postoperative patients. A continuous morphine 10 microgram/kg per hour or intermittent morphine 30 microgram/kg per 3 hours were equally effective and safe in neonates. (LOE II] A morphine continuous infusion to a targeted morphine concentration of 20 ng/ml provided more reliable analgesia than an intermittent bolus doses as needed. The average infusion rate was 20.6 ± 8.7 microgram/kg/hour. </w:t>
            </w:r>
            <w:r w:rsidRPr="00156EED">
              <w:rPr>
                <w:noProof/>
                <w:sz w:val="16"/>
                <w:szCs w:val="16"/>
              </w:rPr>
              <w:t>[16]</w:t>
            </w:r>
            <w:r w:rsidRPr="00156EED">
              <w:rPr>
                <w:sz w:val="16"/>
                <w:szCs w:val="16"/>
              </w:rPr>
              <w:t xml:space="preserve">. [LOE II] Postoperative morphine use can be reduced by paracetamol infusion </w:t>
            </w:r>
            <w:r w:rsidRPr="00156EED">
              <w:rPr>
                <w:noProof/>
                <w:sz w:val="16"/>
                <w:szCs w:val="16"/>
              </w:rPr>
              <w:t>[17]</w:t>
            </w:r>
            <w:r w:rsidRPr="00156EED">
              <w:rPr>
                <w:sz w:val="16"/>
                <w:szCs w:val="16"/>
              </w:rPr>
              <w:t xml:space="preserve">. [LOE II] </w:t>
            </w:r>
            <w:r w:rsidRPr="00156EED">
              <w:rPr>
                <w:sz w:val="16"/>
                <w:szCs w:val="16"/>
              </w:rPr>
              <w:br/>
            </w:r>
            <w:r w:rsidRPr="00156EED">
              <w:rPr>
                <w:b/>
                <w:sz w:val="16"/>
                <w:szCs w:val="16"/>
              </w:rPr>
              <w:t>Neonatal abstinence syndrome secondary to opioids:</w:t>
            </w:r>
            <w:r w:rsidRPr="00156EED">
              <w:rPr>
                <w:sz w:val="16"/>
                <w:szCs w:val="16"/>
              </w:rPr>
              <w:t xml:space="preserve"> There are no trials of intravenous morphine for NAS secondary to opioids although its use has been reported including for seizure control </w:t>
            </w:r>
            <w:r w:rsidRPr="00156EED">
              <w:rPr>
                <w:noProof/>
                <w:sz w:val="16"/>
                <w:szCs w:val="16"/>
              </w:rPr>
              <w:t>[18, 19]</w:t>
            </w:r>
            <w:r w:rsidRPr="00156EED">
              <w:rPr>
                <w:sz w:val="16"/>
                <w:szCs w:val="16"/>
              </w:rPr>
              <w:t xml:space="preserve">. [LOE IV] Recommended oral dose for initial treatment of NAS in opioid dependent infants 0.5 mg/kg/day </w:t>
            </w:r>
            <w:r w:rsidRPr="00156EED">
              <w:rPr>
                <w:noProof/>
                <w:sz w:val="16"/>
                <w:szCs w:val="16"/>
              </w:rPr>
              <w:t>[20]</w:t>
            </w:r>
            <w:r w:rsidRPr="00156EED">
              <w:rPr>
                <w:sz w:val="16"/>
                <w:szCs w:val="16"/>
              </w:rPr>
              <w:t xml:space="preserve">. Estimated oral morphine bioavailability 48.5% in neonates </w:t>
            </w:r>
            <w:r w:rsidRPr="00156EED">
              <w:rPr>
                <w:noProof/>
                <w:sz w:val="16"/>
                <w:szCs w:val="16"/>
              </w:rPr>
              <w:t>[21]</w:t>
            </w:r>
            <w:r w:rsidRPr="00156EED">
              <w:rPr>
                <w:sz w:val="16"/>
                <w:szCs w:val="16"/>
              </w:rPr>
              <w:t>. (LOE IV GOR C)</w:t>
            </w:r>
          </w:p>
          <w:p w:rsidRPr="00156EED" w:rsidR="00723C65" w:rsidP="002069E4" w:rsidRDefault="00723C65" w14:paraId="7BC3A622" w14:textId="77777777">
            <w:pPr>
              <w:pStyle w:val="BodyText"/>
              <w:jc w:val="left"/>
              <w:rPr>
                <w:sz w:val="16"/>
                <w:szCs w:val="16"/>
              </w:rPr>
            </w:pPr>
            <w:r w:rsidRPr="00156EED">
              <w:rPr>
                <w:sz w:val="16"/>
                <w:szCs w:val="16"/>
              </w:rPr>
              <w:t xml:space="preserve">Pharmacodynamics / Pharmacokinetics: </w:t>
            </w:r>
          </w:p>
          <w:p w:rsidRPr="00156EED" w:rsidR="00723C65" w:rsidP="002069E4" w:rsidRDefault="00723C65" w14:paraId="1BC94EA7" w14:textId="77777777">
            <w:pPr>
              <w:pStyle w:val="BodyText"/>
              <w:jc w:val="left"/>
              <w:rPr>
                <w:sz w:val="16"/>
                <w:szCs w:val="16"/>
              </w:rPr>
            </w:pPr>
            <w:r w:rsidRPr="00156EED">
              <w:rPr>
                <w:sz w:val="16"/>
                <w:szCs w:val="16"/>
              </w:rPr>
              <w:t xml:space="preserve">Effective morphine concentrations in the range of 10–20 ng/L have been reported </w:t>
            </w:r>
            <w:r w:rsidRPr="00156EED">
              <w:rPr>
                <w:noProof/>
                <w:sz w:val="16"/>
                <w:szCs w:val="16"/>
              </w:rPr>
              <w:t>[1, 22]</w:t>
            </w:r>
            <w:r w:rsidRPr="00156EED">
              <w:rPr>
                <w:sz w:val="16"/>
                <w:szCs w:val="16"/>
              </w:rPr>
              <w:t xml:space="preserve">.  Concentrations above 20 ng/L have been associated with respiratory depression </w:t>
            </w:r>
            <w:r w:rsidRPr="00156EED">
              <w:rPr>
                <w:noProof/>
                <w:sz w:val="16"/>
                <w:szCs w:val="16"/>
              </w:rPr>
              <w:t>[2]</w:t>
            </w:r>
            <w:r w:rsidRPr="00156EED">
              <w:rPr>
                <w:sz w:val="16"/>
                <w:szCs w:val="16"/>
              </w:rPr>
              <w:t xml:space="preserve">. The mean morphine half-life is age related, reported </w:t>
            </w:r>
            <w:r w:rsidRPr="00156EED">
              <w:rPr>
                <w:sz w:val="16"/>
                <w:szCs w:val="16"/>
              </w:rPr>
              <w:lastRenderedPageBreak/>
              <w:t xml:space="preserve">as around 9 hours in ventilated preterm infants </w:t>
            </w:r>
            <w:r w:rsidRPr="00156EED">
              <w:rPr>
                <w:noProof/>
                <w:sz w:val="16"/>
                <w:szCs w:val="16"/>
              </w:rPr>
              <w:t>[23, 24]</w:t>
            </w:r>
            <w:r w:rsidRPr="00156EED">
              <w:rPr>
                <w:sz w:val="16"/>
                <w:szCs w:val="16"/>
              </w:rPr>
              <w:t xml:space="preserve">, 6 hours in term infants </w:t>
            </w:r>
            <w:r w:rsidRPr="00156EED">
              <w:rPr>
                <w:noProof/>
                <w:sz w:val="16"/>
                <w:szCs w:val="16"/>
              </w:rPr>
              <w:t>[24, 25]</w:t>
            </w:r>
            <w:r w:rsidRPr="00156EED">
              <w:rPr>
                <w:sz w:val="16"/>
                <w:szCs w:val="16"/>
              </w:rPr>
              <w:t xml:space="preserve"> and 2 hours for infants beyond 11 days age </w:t>
            </w:r>
            <w:r w:rsidRPr="00156EED">
              <w:rPr>
                <w:noProof/>
                <w:sz w:val="16"/>
                <w:szCs w:val="16"/>
              </w:rPr>
              <w:t>[24]</w:t>
            </w:r>
            <w:r w:rsidRPr="00156EED">
              <w:rPr>
                <w:sz w:val="16"/>
                <w:szCs w:val="16"/>
              </w:rPr>
              <w:t xml:space="preserve">. </w:t>
            </w:r>
          </w:p>
          <w:p w:rsidRPr="00156EED" w:rsidR="00723C65" w:rsidP="002069E4" w:rsidRDefault="00723C65" w14:paraId="14DB3084" w14:textId="77777777">
            <w:pPr>
              <w:pStyle w:val="BodyText"/>
              <w:jc w:val="left"/>
              <w:rPr>
                <w:sz w:val="16"/>
                <w:szCs w:val="16"/>
              </w:rPr>
            </w:pPr>
            <w:r w:rsidRPr="00156EED">
              <w:rPr>
                <w:sz w:val="16"/>
                <w:szCs w:val="16"/>
              </w:rPr>
              <w:t xml:space="preserve">Pharmacodynamic assessment found median (IQR) average morphine infusion rate for pain relief in was 4.4 (4.0-4.8) microgram/kg/hour in </w:t>
            </w:r>
            <w:r w:rsidRPr="00156EED">
              <w:rPr>
                <w:rFonts w:cs="Segoe UI"/>
                <w:sz w:val="16"/>
                <w:szCs w:val="16"/>
                <w:lang w:eastAsia="en-AU"/>
              </w:rPr>
              <w:t>postoperative term neonates</w:t>
            </w:r>
            <w:r w:rsidRPr="00156EED">
              <w:rPr>
                <w:sz w:val="16"/>
                <w:szCs w:val="16"/>
              </w:rPr>
              <w:t xml:space="preserve"> &lt;10 days versus 14.4 (11.3-23.4) microgram/kg/hour in older infants (p &lt; 0.001) </w:t>
            </w:r>
            <w:r w:rsidRPr="00156EED">
              <w:rPr>
                <w:noProof/>
                <w:sz w:val="16"/>
                <w:szCs w:val="16"/>
              </w:rPr>
              <w:t>[26]</w:t>
            </w:r>
            <w:r w:rsidRPr="00156EED">
              <w:rPr>
                <w:sz w:val="16"/>
                <w:szCs w:val="16"/>
              </w:rPr>
              <w:t xml:space="preserve">. Also in postoperative term infants, morphine concentrations suggested neonates &lt;7 days require significantly less morphine postoperatively than older neonates. The recommended dosage for continuous morphine infusions were 7 microgram/kg/h in full-term neonates; 10 microgram/kg/hour in infants &gt;4 weeks of age </w:t>
            </w:r>
            <w:r w:rsidRPr="00156EED">
              <w:rPr>
                <w:noProof/>
                <w:sz w:val="16"/>
                <w:szCs w:val="16"/>
              </w:rPr>
              <w:t>[27]</w:t>
            </w:r>
            <w:r w:rsidRPr="00156EED">
              <w:rPr>
                <w:sz w:val="16"/>
                <w:szCs w:val="16"/>
              </w:rPr>
              <w:t>. (LOE II GOR B)</w:t>
            </w:r>
          </w:p>
          <w:p w:rsidRPr="00156EED" w:rsidR="00723C65" w:rsidP="002069E4" w:rsidRDefault="00723C65" w14:paraId="37E0F53F" w14:textId="77777777">
            <w:pPr>
              <w:pStyle w:val="BodyText"/>
              <w:jc w:val="left"/>
              <w:rPr>
                <w:sz w:val="16"/>
                <w:szCs w:val="16"/>
              </w:rPr>
            </w:pPr>
            <w:r w:rsidRPr="00156EED">
              <w:rPr>
                <w:sz w:val="16"/>
                <w:szCs w:val="16"/>
              </w:rPr>
              <w:t xml:space="preserve">Lynn et al estimated morphine infusion rates to achieve a steady-state concentration ≤20 ng/mL for non-cardiovascular surgery are: 0-7 days: 10 microgram/kg/hour; 8-30 days: 15 microgram/kg/hour; 31-90 days: 20 microgram/kg/hour </w:t>
            </w:r>
            <w:r w:rsidRPr="00156EED">
              <w:rPr>
                <w:noProof/>
                <w:sz w:val="16"/>
                <w:szCs w:val="16"/>
              </w:rPr>
              <w:t>[1]</w:t>
            </w:r>
            <w:r w:rsidRPr="00156EED">
              <w:rPr>
                <w:sz w:val="16"/>
                <w:szCs w:val="16"/>
              </w:rPr>
              <w:t xml:space="preserve">.  For infants after cardiovascular surgery clearance was reduced with the following modelled rates: 0-7 days: 5 microgram/kg/hour; 8-30 days: 5 microgram/kg/hour; 31-90 days: 10 microgram/kg/hour </w:t>
            </w:r>
            <w:r w:rsidRPr="00156EED">
              <w:rPr>
                <w:noProof/>
                <w:sz w:val="16"/>
                <w:szCs w:val="16"/>
              </w:rPr>
              <w:t>[2]</w:t>
            </w:r>
            <w:r w:rsidRPr="00156EED">
              <w:rPr>
                <w:sz w:val="16"/>
                <w:szCs w:val="16"/>
              </w:rPr>
              <w:t xml:space="preserve">.[LOE II GOR B] </w:t>
            </w:r>
          </w:p>
          <w:p w:rsidRPr="00156EED" w:rsidR="00723C65" w:rsidP="002069E4" w:rsidRDefault="00723C65" w14:paraId="4C2D3BB1" w14:textId="77777777">
            <w:pPr>
              <w:pStyle w:val="BodyText"/>
              <w:jc w:val="left"/>
              <w:rPr>
                <w:sz w:val="16"/>
                <w:szCs w:val="16"/>
              </w:rPr>
            </w:pPr>
            <w:r w:rsidRPr="00156EED">
              <w:rPr>
                <w:sz w:val="16"/>
                <w:szCs w:val="16"/>
              </w:rPr>
              <w:t xml:space="preserve">More restricted dosing recommendations have been suggested in neonates targeting morphine concentrations of ≤10 microgram/L </w:t>
            </w:r>
            <w:r w:rsidRPr="00156EED">
              <w:rPr>
                <w:noProof/>
                <w:sz w:val="16"/>
                <w:szCs w:val="16"/>
              </w:rPr>
              <w:t>[26, 27]</w:t>
            </w:r>
            <w:r w:rsidRPr="00156EED">
              <w:rPr>
                <w:sz w:val="16"/>
                <w:szCs w:val="16"/>
              </w:rPr>
              <w:t xml:space="preserve">. </w:t>
            </w:r>
          </w:p>
          <w:p w:rsidRPr="00156EED" w:rsidR="00723C65" w:rsidP="002069E4" w:rsidRDefault="00723C65" w14:paraId="7E57CBEA" w14:textId="77777777">
            <w:pPr>
              <w:pStyle w:val="BodyText"/>
              <w:jc w:val="left"/>
              <w:rPr>
                <w:sz w:val="16"/>
                <w:szCs w:val="16"/>
              </w:rPr>
            </w:pPr>
            <w:r w:rsidRPr="00156EED">
              <w:rPr>
                <w:sz w:val="16"/>
                <w:szCs w:val="16"/>
              </w:rPr>
              <w:t xml:space="preserve">Infants with hypoxic ischemic encephalopathy have reduced morphine clearance and elevated serum morphine concentrations when morphine infusion rates are based on clinical state. Potentially toxic serum concentrations of morphine may occur with moderate hypothermia and infusion rates &gt;10 microgram/kg per hour </w:t>
            </w:r>
            <w:r w:rsidRPr="00156EED">
              <w:rPr>
                <w:noProof/>
                <w:sz w:val="16"/>
                <w:szCs w:val="16"/>
              </w:rPr>
              <w:t>[3]</w:t>
            </w:r>
            <w:r w:rsidRPr="00156EED">
              <w:rPr>
                <w:sz w:val="16"/>
                <w:szCs w:val="16"/>
              </w:rPr>
              <w:t>.</w:t>
            </w:r>
          </w:p>
          <w:p w:rsidRPr="00156EED" w:rsidR="00723C65" w:rsidP="002069E4" w:rsidRDefault="00723C65" w14:paraId="0936CF51" w14:textId="77777777">
            <w:pPr>
              <w:pStyle w:val="BodyText"/>
              <w:jc w:val="left"/>
              <w:rPr>
                <w:sz w:val="16"/>
                <w:szCs w:val="16"/>
              </w:rPr>
            </w:pPr>
            <w:r w:rsidRPr="00156EED">
              <w:rPr>
                <w:sz w:val="16"/>
                <w:szCs w:val="16"/>
              </w:rPr>
              <w:t>Safety</w:t>
            </w:r>
          </w:p>
          <w:p w:rsidRPr="00156EED" w:rsidR="00723C65" w:rsidP="002069E4" w:rsidRDefault="00723C65" w14:paraId="16BBFAEB" w14:textId="77777777">
            <w:pPr>
              <w:pStyle w:val="BodyText"/>
              <w:jc w:val="left"/>
              <w:rPr>
                <w:sz w:val="16"/>
                <w:szCs w:val="16"/>
              </w:rPr>
            </w:pPr>
            <w:r w:rsidRPr="00156EED">
              <w:rPr>
                <w:sz w:val="16"/>
                <w:szCs w:val="16"/>
              </w:rPr>
              <w:t>There is no compelling evidence to support severe long-term harm, but subtler behavioural changes have been noted. Morphine use should continue to be based on clinical judgment, carefully weighing the benefits of acute interventions against the potential for long-term harm.[28]</w:t>
            </w:r>
          </w:p>
        </w:tc>
      </w:tr>
      <w:tr w:rsidRPr="0022537E" w:rsidR="00043BF0" w:rsidTr="00156EED" w14:paraId="41D28B30" w14:textId="77777777">
        <w:trPr>
          <w:trHeight w:val="361"/>
        </w:trPr>
        <w:tc>
          <w:tcPr>
            <w:tcW w:w="2127" w:type="dxa"/>
          </w:tcPr>
          <w:p w:rsidRPr="00723C65" w:rsidR="00723C65" w:rsidP="002069E4" w:rsidRDefault="00723C65" w14:paraId="421E241D" w14:textId="77777777">
            <w:pPr>
              <w:pStyle w:val="BodyText"/>
              <w:jc w:val="left"/>
              <w:rPr>
                <w:rFonts w:cs="Arial"/>
                <w:bCs/>
              </w:rPr>
            </w:pPr>
            <w:r w:rsidRPr="00723C65">
              <w:lastRenderedPageBreak/>
              <w:t>References</w:t>
            </w:r>
          </w:p>
        </w:tc>
        <w:tc>
          <w:tcPr>
            <w:tcW w:w="7683" w:type="dxa"/>
          </w:tcPr>
          <w:p w:rsidRPr="00156EED" w:rsidR="00723C65" w:rsidP="002069E4" w:rsidRDefault="00723C65" w14:paraId="195C3C90" w14:textId="77777777">
            <w:pPr>
              <w:pStyle w:val="EndNoteBibliography"/>
              <w:rPr>
                <w:sz w:val="16"/>
                <w:szCs w:val="16"/>
              </w:rPr>
            </w:pPr>
            <w:r w:rsidRPr="00156EED">
              <w:rPr>
                <w:sz w:val="16"/>
                <w:szCs w:val="16"/>
              </w:rPr>
              <w:t>1. Lynn A, Nespeca MK, Bratton SL, Strauss SG, Shen DD. Clearance of morphine in postoperative infants during intravenous infusion: the influence of age and surgery. Anesth Analg. 1998;86:958-63.</w:t>
            </w:r>
          </w:p>
          <w:p w:rsidRPr="00156EED" w:rsidR="00723C65" w:rsidP="002069E4" w:rsidRDefault="00723C65" w14:paraId="028C137E" w14:textId="77777777">
            <w:pPr>
              <w:pStyle w:val="EndNoteBibliography"/>
              <w:rPr>
                <w:sz w:val="16"/>
                <w:szCs w:val="16"/>
              </w:rPr>
            </w:pPr>
            <w:r w:rsidRPr="00156EED">
              <w:rPr>
                <w:sz w:val="16"/>
                <w:szCs w:val="16"/>
              </w:rPr>
              <w:t>2. Lynn AM, Nespeca MK, Opheim KE, Slattery JT. Respiratory effects of intravenous morphine infusions in neonates, infants, and children after cardiac surgery. Anesth Analg. 1993;77:695-701.</w:t>
            </w:r>
          </w:p>
          <w:p w:rsidRPr="00156EED" w:rsidR="00723C65" w:rsidP="002069E4" w:rsidRDefault="00723C65" w14:paraId="52D47E92" w14:textId="77777777">
            <w:pPr>
              <w:pStyle w:val="EndNoteBibliography"/>
              <w:rPr>
                <w:sz w:val="16"/>
                <w:szCs w:val="16"/>
              </w:rPr>
            </w:pPr>
            <w:r w:rsidRPr="00156EED">
              <w:rPr>
                <w:sz w:val="16"/>
                <w:szCs w:val="16"/>
              </w:rPr>
              <w:t>3. Roka A, Melinda KT, Vasarhelyi B, Machay T, Azzopardi D, Szabo M. Elevated morphine concentrations in neonates treated with morphine and prolonged hypothermia for hypoxic ischemic encephalopathy. Pediatrics. 2008;121:e844-9.</w:t>
            </w:r>
          </w:p>
          <w:p w:rsidRPr="00156EED" w:rsidR="00723C65" w:rsidP="002069E4" w:rsidRDefault="00723C65" w14:paraId="3D0890EA" w14:textId="77777777">
            <w:pPr>
              <w:pStyle w:val="EndNoteBibliography"/>
              <w:rPr>
                <w:sz w:val="16"/>
                <w:szCs w:val="16"/>
              </w:rPr>
            </w:pPr>
            <w:r w:rsidRPr="00156EED">
              <w:rPr>
                <w:sz w:val="16"/>
                <w:szCs w:val="16"/>
              </w:rPr>
              <w:t>4. Anand KJ, International Evidence-Based Group for Neonatal P. Consensus statement for the prevention and management of pain in the newborn. Arch Pediatr Adolesc Med. 2001;155:173-80.</w:t>
            </w:r>
          </w:p>
          <w:p w:rsidRPr="00156EED" w:rsidR="00723C65" w:rsidP="002069E4" w:rsidRDefault="00723C65" w14:paraId="0CAC44BE" w14:textId="77777777">
            <w:pPr>
              <w:pStyle w:val="EndNoteBibliography"/>
              <w:rPr>
                <w:sz w:val="16"/>
                <w:szCs w:val="16"/>
              </w:rPr>
            </w:pPr>
            <w:r w:rsidRPr="00156EED">
              <w:rPr>
                <w:sz w:val="16"/>
                <w:szCs w:val="16"/>
              </w:rPr>
              <w:t>5. Lemyre B, Doucette J, Kalyn A, Gray S, Marrin ML. Morphine for elective endotracheal intubation in neonates: a randomized trial [ISRCTN43546373]. BMC Pediatr. 2004;4:20.</w:t>
            </w:r>
          </w:p>
          <w:p w:rsidRPr="00156EED" w:rsidR="00723C65" w:rsidP="002069E4" w:rsidRDefault="00723C65" w14:paraId="47D5D76F" w14:textId="77777777">
            <w:pPr>
              <w:pStyle w:val="EndNoteBibliography"/>
              <w:rPr>
                <w:sz w:val="16"/>
                <w:szCs w:val="16"/>
              </w:rPr>
            </w:pPr>
            <w:r w:rsidRPr="00156EED">
              <w:rPr>
                <w:sz w:val="16"/>
                <w:szCs w:val="16"/>
              </w:rPr>
              <w:t>6. Oei J, Hari R, Butha T, Lui K. Facilitation of neonatal nasotracheal intubation with premedication: a randomized controlled trial. J Paediatr Child Health. 2002;38:146-50.</w:t>
            </w:r>
          </w:p>
          <w:p w:rsidRPr="00156EED" w:rsidR="00723C65" w:rsidP="002069E4" w:rsidRDefault="00723C65" w14:paraId="71B68FD1" w14:textId="77777777">
            <w:pPr>
              <w:pStyle w:val="EndNoteBibliography"/>
              <w:rPr>
                <w:sz w:val="16"/>
                <w:szCs w:val="16"/>
              </w:rPr>
            </w:pPr>
            <w:r w:rsidRPr="00156EED">
              <w:rPr>
                <w:sz w:val="16"/>
                <w:szCs w:val="16"/>
              </w:rPr>
              <w:t>7. Ghanta S, Abdel-Latif ME, Lui K, Ravindranathan H, Awad J, Oei J. Propofol compared with the morphine, atropine, and suxamethonium regimen as induction agents for neonatal endotracheal intubation: a randomized, controlled trial. Pediatrics. 2007;119:e1248-55.</w:t>
            </w:r>
          </w:p>
          <w:p w:rsidRPr="00156EED" w:rsidR="00723C65" w:rsidP="002069E4" w:rsidRDefault="00723C65" w14:paraId="03B8449C" w14:textId="77777777">
            <w:pPr>
              <w:pStyle w:val="EndNoteBibliography"/>
              <w:rPr>
                <w:sz w:val="16"/>
                <w:szCs w:val="16"/>
              </w:rPr>
            </w:pPr>
            <w:r w:rsidRPr="00156EED">
              <w:rPr>
                <w:sz w:val="16"/>
                <w:szCs w:val="16"/>
              </w:rPr>
              <w:t>8. Avino D, Zhang WH, De Ville A, Johansson AB. Remifentanil versus morphine-midazolam premedication on the quality of endotracheal intubation in neonates: a noninferiority randomized trial. J Pediatr. 2014;164:1032-7.</w:t>
            </w:r>
          </w:p>
          <w:p w:rsidRPr="00156EED" w:rsidR="00723C65" w:rsidP="002069E4" w:rsidRDefault="00723C65" w14:paraId="4F2CB591" w14:textId="77777777">
            <w:pPr>
              <w:pStyle w:val="EndNoteBibliography"/>
              <w:rPr>
                <w:sz w:val="16"/>
                <w:szCs w:val="16"/>
              </w:rPr>
            </w:pPr>
            <w:r w:rsidRPr="00156EED">
              <w:rPr>
                <w:sz w:val="16"/>
                <w:szCs w:val="16"/>
              </w:rPr>
              <w:t>9. Pereira e Silva Y, Gomez RS, Marcatto Jde O, Maximo TA, Barbosa RF, Simoes e Silva AC. Morphine versus remifentanil for intubating preterm neonates. Arch Dis Child Fetal Neonatal Ed. 2007;92:F293-4.</w:t>
            </w:r>
          </w:p>
          <w:p w:rsidRPr="00156EED" w:rsidR="00723C65" w:rsidP="002069E4" w:rsidRDefault="00723C65" w14:paraId="013E4B8E" w14:textId="77777777">
            <w:pPr>
              <w:pStyle w:val="EndNoteBibliography"/>
              <w:rPr>
                <w:sz w:val="16"/>
                <w:szCs w:val="16"/>
              </w:rPr>
            </w:pPr>
            <w:r w:rsidRPr="00156EED">
              <w:rPr>
                <w:sz w:val="16"/>
                <w:szCs w:val="16"/>
              </w:rPr>
              <w:t>10. Barrington K. Premedication for endotracheal intubation in the newborn infant. Paediatr Child Health. 2011;16:159-71.</w:t>
            </w:r>
          </w:p>
          <w:p w:rsidRPr="00156EED" w:rsidR="00723C65" w:rsidP="002069E4" w:rsidRDefault="00723C65" w14:paraId="4DE52BD3" w14:textId="77777777">
            <w:pPr>
              <w:pStyle w:val="EndNoteBibliography"/>
              <w:rPr>
                <w:sz w:val="16"/>
                <w:szCs w:val="16"/>
              </w:rPr>
            </w:pPr>
            <w:r w:rsidRPr="00156EED">
              <w:rPr>
                <w:sz w:val="16"/>
                <w:szCs w:val="16"/>
              </w:rPr>
              <w:t>11. Bellu R, de Waal K, Zanini R. Opioids for neonates receiving mechanical ventilation: a systematic review and meta-analysis. Arch Dis Child Fetal Neonatal Ed. 2010;95:F241-51.</w:t>
            </w:r>
          </w:p>
          <w:p w:rsidRPr="00156EED" w:rsidR="00723C65" w:rsidP="002069E4" w:rsidRDefault="00723C65" w14:paraId="6BCF220E" w14:textId="77777777">
            <w:pPr>
              <w:pStyle w:val="EndNoteBibliography"/>
              <w:rPr>
                <w:sz w:val="16"/>
                <w:szCs w:val="16"/>
              </w:rPr>
            </w:pPr>
            <w:r w:rsidRPr="00156EED">
              <w:rPr>
                <w:sz w:val="16"/>
                <w:szCs w:val="16"/>
              </w:rPr>
              <w:t>12. Anand KJ, Hall RW, Desai N, Shephard B, Bergqvist LL, Young TE, Boyle EM, Carbajal R, Bhutani VK, Moore MB, Kronsberg SS, Barton BA, Group NTI. Effects of morphine analgesia in ventilated preterm neonates: primary outcomes from the NEOPAIN randomised trial. Lancet. 2004;363:1673-82.</w:t>
            </w:r>
          </w:p>
          <w:p w:rsidRPr="00156EED" w:rsidR="00723C65" w:rsidP="002069E4" w:rsidRDefault="00723C65" w14:paraId="045A67AE" w14:textId="77777777">
            <w:pPr>
              <w:pStyle w:val="EndNoteBibliography"/>
              <w:rPr>
                <w:sz w:val="16"/>
                <w:szCs w:val="16"/>
              </w:rPr>
            </w:pPr>
            <w:r w:rsidRPr="00156EED">
              <w:rPr>
                <w:sz w:val="16"/>
                <w:szCs w:val="16"/>
              </w:rPr>
              <w:t>13. Quinn MW, Otoo F, Rushforth JA, Dean HG, Puntis JW, Wild J, Levene MI. Effect of morphine and pancuronium on the stress response in ventilated preterm infants. Early Hum Dev. 1992;30:241-8.</w:t>
            </w:r>
          </w:p>
          <w:p w:rsidRPr="00156EED" w:rsidR="00723C65" w:rsidP="002069E4" w:rsidRDefault="00723C65" w14:paraId="1B48239A" w14:textId="77777777">
            <w:pPr>
              <w:pStyle w:val="EndNoteBibliography"/>
              <w:rPr>
                <w:sz w:val="16"/>
                <w:szCs w:val="16"/>
              </w:rPr>
            </w:pPr>
            <w:r w:rsidRPr="00156EED">
              <w:rPr>
                <w:sz w:val="16"/>
                <w:szCs w:val="16"/>
              </w:rPr>
              <w:t>14. Simons SH, Roofthooft DW, van Dijk M, van Lingen RA, Duivenvoorden HJ, van den Anker JN, Tibboel D. Morphine in ventilated neonates: its effects on arterial blood pressure. Arch Dis Child Fetal Neonatal Ed. 2006;91:F46-51.</w:t>
            </w:r>
          </w:p>
          <w:p w:rsidRPr="00156EED" w:rsidR="00723C65" w:rsidP="002069E4" w:rsidRDefault="00723C65" w14:paraId="398A96EC" w14:textId="77777777">
            <w:pPr>
              <w:pStyle w:val="EndNoteBibliography"/>
              <w:rPr>
                <w:sz w:val="16"/>
                <w:szCs w:val="16"/>
              </w:rPr>
            </w:pPr>
            <w:r w:rsidRPr="00156EED">
              <w:rPr>
                <w:sz w:val="16"/>
                <w:szCs w:val="16"/>
              </w:rPr>
              <w:t>15. Anand KJ, Barton BA, McIntosh N, Lagercrantz H, Pelausa E, Young TE, Vasa R. Analgesia and sedation in preterm neonates who require ventilatory support: results from the NOPAIN trial. Neonatal Outcome and Prolonged Analgesia in Neonates. Arch Pediatr Adolesc Med. 1999;153:331-8.</w:t>
            </w:r>
          </w:p>
          <w:p w:rsidRPr="00156EED" w:rsidR="00723C65" w:rsidP="002069E4" w:rsidRDefault="00723C65" w14:paraId="14CCBC9F" w14:textId="77777777">
            <w:pPr>
              <w:pStyle w:val="EndNoteBibliography"/>
              <w:rPr>
                <w:sz w:val="16"/>
                <w:szCs w:val="16"/>
              </w:rPr>
            </w:pPr>
            <w:r w:rsidRPr="00156EED">
              <w:rPr>
                <w:sz w:val="16"/>
                <w:szCs w:val="16"/>
              </w:rPr>
              <w:t>16. Lynn AM, Nespeca MK, Bratton SL, Shen DD. Intravenous morphine in postoperative infants: intermittent bolus dosing versus targeted continuous infusions. Pain. 2000;88:89-95.</w:t>
            </w:r>
          </w:p>
          <w:p w:rsidRPr="00156EED" w:rsidR="00723C65" w:rsidP="002069E4" w:rsidRDefault="00723C65" w14:paraId="0D6CCDEC" w14:textId="77777777">
            <w:pPr>
              <w:pStyle w:val="EndNoteBibliography"/>
              <w:rPr>
                <w:sz w:val="16"/>
                <w:szCs w:val="16"/>
              </w:rPr>
            </w:pPr>
            <w:r w:rsidRPr="00156EED">
              <w:rPr>
                <w:sz w:val="16"/>
                <w:szCs w:val="16"/>
              </w:rPr>
              <w:lastRenderedPageBreak/>
              <w:t>17. Ceelie I, de Wildt SN, van Dijk M, van den Berg MM, van den Bosch GE, Duivenvoorden HJ, de Leeuw TG, Mathot R, Knibbe CA, Tibboel D. Effect of intravenous paracetamol on postoperative morphine requirements in neonates and infants undergoing major noncardiac surgery: a randomized controlled trial. Jama. 2013;309:149-54.</w:t>
            </w:r>
          </w:p>
          <w:p w:rsidRPr="00156EED" w:rsidR="00723C65" w:rsidP="002069E4" w:rsidRDefault="00723C65" w14:paraId="22248604" w14:textId="77777777">
            <w:pPr>
              <w:pStyle w:val="EndNoteBibliography"/>
              <w:rPr>
                <w:sz w:val="16"/>
                <w:szCs w:val="16"/>
              </w:rPr>
            </w:pPr>
            <w:r w:rsidRPr="00156EED">
              <w:rPr>
                <w:sz w:val="16"/>
                <w:szCs w:val="16"/>
              </w:rPr>
              <w:t>18. Sarkar S, Donn SM. Management of neonatal abstinence syndrome in neonatal intensive care units: a national survey. Journal of Perinatology. 2006;26:15-7.</w:t>
            </w:r>
          </w:p>
          <w:p w:rsidRPr="00156EED" w:rsidR="00723C65" w:rsidP="002069E4" w:rsidRDefault="00723C65" w14:paraId="6E361287" w14:textId="77777777">
            <w:pPr>
              <w:pStyle w:val="EndNoteBibliography"/>
              <w:rPr>
                <w:sz w:val="16"/>
                <w:szCs w:val="16"/>
              </w:rPr>
            </w:pPr>
            <w:r w:rsidRPr="00156EED">
              <w:rPr>
                <w:sz w:val="16"/>
                <w:szCs w:val="16"/>
              </w:rPr>
              <w:t>19. Kale-Cekinmez E, Mutlu B, Yapicioglu H, Ozlu F, Asker H, Mert K, Narli N, Satar M. Two newborns of heroin-addicted mothers suffering neonatal withdrawal syndrome. Turk J Pediatr. 2012;54:421-4.</w:t>
            </w:r>
          </w:p>
          <w:p w:rsidRPr="00156EED" w:rsidR="00723C65" w:rsidP="002069E4" w:rsidRDefault="00723C65" w14:paraId="2B71C566" w14:textId="77777777">
            <w:pPr>
              <w:pStyle w:val="EndNoteBibliography"/>
              <w:rPr>
                <w:sz w:val="16"/>
                <w:szCs w:val="16"/>
              </w:rPr>
            </w:pPr>
            <w:r w:rsidRPr="00156EED">
              <w:rPr>
                <w:sz w:val="16"/>
                <w:szCs w:val="16"/>
              </w:rPr>
              <w:t>20. National Clinical Guidelines for the Management of Drug Use during Pregnancy, Birth and the Early Development Years of the Newborn. 2006. www.health.nsw.gov.au/pubs/2006/ncg_druguse.html.</w:t>
            </w:r>
          </w:p>
          <w:p w:rsidRPr="00156EED" w:rsidR="00723C65" w:rsidP="002069E4" w:rsidRDefault="00723C65" w14:paraId="46AE9360" w14:textId="77777777">
            <w:pPr>
              <w:pStyle w:val="EndNoteBibliography"/>
              <w:rPr>
                <w:sz w:val="16"/>
                <w:szCs w:val="16"/>
              </w:rPr>
            </w:pPr>
            <w:r w:rsidRPr="00156EED">
              <w:rPr>
                <w:sz w:val="16"/>
                <w:szCs w:val="16"/>
              </w:rPr>
              <w:t>21. Liu T, Lewis T, Gauda E, Gobburu J, Ivaturi V. Mechanistic Population Pharmacokinetics of Morphine in Neonates With Abstinence Syndrome After Oral Administration of Diluted Tincture of Opium. J Clin Pharmacol. 2016;56:1009-18.</w:t>
            </w:r>
          </w:p>
          <w:p w:rsidRPr="00156EED" w:rsidR="00723C65" w:rsidP="002069E4" w:rsidRDefault="00723C65" w14:paraId="3258A1FE" w14:textId="77777777">
            <w:pPr>
              <w:pStyle w:val="EndNoteBibliography"/>
              <w:rPr>
                <w:sz w:val="16"/>
                <w:szCs w:val="16"/>
              </w:rPr>
            </w:pPr>
            <w:r w:rsidRPr="00156EED">
              <w:rPr>
                <w:sz w:val="16"/>
                <w:szCs w:val="16"/>
              </w:rPr>
              <w:t>22. Bouwmeester NJ, van den Anker JN, Hop WC, Anand KJ, Tibboel D. Age- and therapy-related effects on morphine requirements and plasma concentrations of morphine and its metabolites in postoperative infants. Br J Anaesth. 2003;90:642-52.</w:t>
            </w:r>
          </w:p>
          <w:p w:rsidRPr="00156EED" w:rsidR="00723C65" w:rsidP="002069E4" w:rsidRDefault="00723C65" w14:paraId="0D4B5821" w14:textId="77777777">
            <w:pPr>
              <w:pStyle w:val="EndNoteBibliography"/>
              <w:rPr>
                <w:sz w:val="16"/>
                <w:szCs w:val="16"/>
              </w:rPr>
            </w:pPr>
            <w:r w:rsidRPr="00156EED">
              <w:rPr>
                <w:sz w:val="16"/>
                <w:szCs w:val="16"/>
              </w:rPr>
              <w:t>23. Hartley R, Green M, Quinn M, Levene MI. Pharmacokinetics of morphine infusion in premature neonates. Arch Dis Child. 1993;69:55-8.</w:t>
            </w:r>
          </w:p>
          <w:p w:rsidRPr="00156EED" w:rsidR="00723C65" w:rsidP="002069E4" w:rsidRDefault="00723C65" w14:paraId="1E80AF13" w14:textId="77777777">
            <w:pPr>
              <w:pStyle w:val="EndNoteBibliography"/>
              <w:rPr>
                <w:sz w:val="16"/>
                <w:szCs w:val="16"/>
              </w:rPr>
            </w:pPr>
            <w:r w:rsidRPr="00156EED">
              <w:rPr>
                <w:sz w:val="16"/>
                <w:szCs w:val="16"/>
              </w:rPr>
              <w:t>24. Kart T, Christrup LL, Rasmussen M. Recommended use of morphine in neonates, infants and children based on a literature review: Part 1--Pharmacokinetics. Paediatr Anaesth. 1997;7:5-11.</w:t>
            </w:r>
          </w:p>
          <w:p w:rsidRPr="00156EED" w:rsidR="00723C65" w:rsidP="002069E4" w:rsidRDefault="00723C65" w14:paraId="49C93183" w14:textId="77777777">
            <w:pPr>
              <w:pStyle w:val="EndNoteBibliography"/>
              <w:rPr>
                <w:sz w:val="16"/>
                <w:szCs w:val="16"/>
              </w:rPr>
            </w:pPr>
            <w:r w:rsidRPr="00156EED">
              <w:rPr>
                <w:sz w:val="16"/>
                <w:szCs w:val="16"/>
              </w:rPr>
              <w:t>25. Farrington EA, McGuinness GA, Johnson GF, Erenberg A, Leff RD. Continuous intravenous morphine infusion in postoperative newborn infants. Am J Perinatol. 1993;10:84-7.</w:t>
            </w:r>
          </w:p>
          <w:p w:rsidRPr="00156EED" w:rsidR="00723C65" w:rsidP="002069E4" w:rsidRDefault="00723C65" w14:paraId="467D3E9D" w14:textId="77777777">
            <w:pPr>
              <w:pStyle w:val="EndNoteBibliography"/>
              <w:rPr>
                <w:sz w:val="16"/>
                <w:szCs w:val="16"/>
              </w:rPr>
            </w:pPr>
            <w:r w:rsidRPr="00156EED">
              <w:rPr>
                <w:sz w:val="16"/>
                <w:szCs w:val="16"/>
              </w:rPr>
              <w:t>26. Krekels EH, van Hasselt JG, Tibboel D, Danhof M, Knibbe CA. Systematic evaluation of the descriptive and predictive performance of paediatric morphine population models. Pharm Res. 2011;28:797-811.</w:t>
            </w:r>
          </w:p>
          <w:p w:rsidRPr="00156EED" w:rsidR="00723C65" w:rsidP="002069E4" w:rsidRDefault="00723C65" w14:paraId="4DD7E693" w14:textId="77777777">
            <w:pPr>
              <w:pStyle w:val="EndNoteBibliography"/>
              <w:rPr>
                <w:sz w:val="16"/>
                <w:szCs w:val="16"/>
              </w:rPr>
            </w:pPr>
            <w:r w:rsidRPr="00156EED">
              <w:rPr>
                <w:sz w:val="16"/>
                <w:szCs w:val="16"/>
              </w:rPr>
              <w:t>27.Bouwmeester NJ, Hop WC, van Dijk M, Anand KJ, van den Anker JN, Tibboel D. Postoperative pain in the neonate: age-related differences in morphine requirements and metabolism. Intensive Care Med. 2003;29:2009-15.</w:t>
            </w:r>
          </w:p>
          <w:p w:rsidRPr="00156EED" w:rsidR="00723C65" w:rsidP="002069E4" w:rsidRDefault="00723C65" w14:paraId="6EB57190" w14:textId="77777777">
            <w:pPr>
              <w:pStyle w:val="EndNoteBibliography"/>
              <w:rPr>
                <w:sz w:val="16"/>
                <w:szCs w:val="16"/>
              </w:rPr>
            </w:pPr>
            <w:r w:rsidRPr="00156EED">
              <w:rPr>
                <w:sz w:val="16"/>
                <w:szCs w:val="16"/>
              </w:rPr>
              <w:t>28. Attarian S, Tran LC, Moore A, Stanton G, Meyer E, Moore RP. The neurodevelopmental impact of neonatal morphine administration. Brain sciences. 2014 Apr 25;4(2):321-34.</w:t>
            </w:r>
          </w:p>
        </w:tc>
      </w:tr>
    </w:tbl>
    <w:p w:rsidRPr="00E25790" w:rsidR="00115F48" w:rsidP="006F0321" w:rsidRDefault="00115F48" w14:paraId="45327D3D"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22537E" w:rsidR="0020431B" w:rsidTr="002069E4" w14:paraId="3AD7E3B5" w14:textId="77777777">
        <w:tc>
          <w:tcPr>
            <w:tcW w:w="4535" w:type="dxa"/>
            <w:vAlign w:val="center"/>
          </w:tcPr>
          <w:p w:rsidRPr="00723C65" w:rsidR="00723C65" w:rsidP="002069E4" w:rsidRDefault="00723C65" w14:paraId="3CFB6DF8" w14:textId="77777777">
            <w:r w:rsidRPr="00723C65">
              <w:t>Original version Date: 8/08/2015</w:t>
            </w:r>
          </w:p>
        </w:tc>
        <w:tc>
          <w:tcPr>
            <w:tcW w:w="4535" w:type="dxa"/>
            <w:vAlign w:val="center"/>
          </w:tcPr>
          <w:p w:rsidRPr="00723C65" w:rsidR="00723C65" w:rsidP="002069E4" w:rsidRDefault="00723C65" w14:paraId="14B690A6" w14:textId="77777777">
            <w:r w:rsidRPr="00723C65">
              <w:t>Author: Neonatal Medicines Formulary Consensus Group</w:t>
            </w:r>
          </w:p>
        </w:tc>
      </w:tr>
      <w:tr w:rsidRPr="0022537E" w:rsidR="0020431B" w:rsidTr="002069E4" w14:paraId="40E49E4E" w14:textId="77777777">
        <w:tc>
          <w:tcPr>
            <w:tcW w:w="4535" w:type="dxa"/>
            <w:vAlign w:val="center"/>
          </w:tcPr>
          <w:p w:rsidRPr="00723C65" w:rsidR="00723C65" w:rsidP="002069E4" w:rsidRDefault="00723C65" w14:paraId="07476176" w14:textId="77777777">
            <w:pPr>
              <w:rPr>
                <w:bCs/>
              </w:rPr>
            </w:pPr>
            <w:r w:rsidRPr="00723C65">
              <w:t>Current Version number:  2.0</w:t>
            </w:r>
          </w:p>
        </w:tc>
        <w:tc>
          <w:tcPr>
            <w:tcW w:w="4535" w:type="dxa"/>
            <w:vAlign w:val="center"/>
          </w:tcPr>
          <w:p w:rsidRPr="00723C65" w:rsidR="00723C65" w:rsidP="002069E4" w:rsidRDefault="00723C65" w14:paraId="5872A303" w14:textId="77777777">
            <w:r w:rsidRPr="00723C65">
              <w:t>Current Version Date:  Sept 2019</w:t>
            </w:r>
          </w:p>
        </w:tc>
      </w:tr>
      <w:tr w:rsidRPr="0022537E" w:rsidR="0020431B" w:rsidTr="002069E4" w14:paraId="0FCE06A0" w14:textId="77777777">
        <w:tc>
          <w:tcPr>
            <w:tcW w:w="4535" w:type="dxa"/>
            <w:vAlign w:val="center"/>
          </w:tcPr>
          <w:p w:rsidRPr="00723C65" w:rsidR="00723C65" w:rsidP="002069E4" w:rsidRDefault="00723C65" w14:paraId="1D99E59D" w14:textId="77777777">
            <w:r w:rsidRPr="00723C65">
              <w:t>Risk Rating: Medium</w:t>
            </w:r>
          </w:p>
        </w:tc>
        <w:tc>
          <w:tcPr>
            <w:tcW w:w="4535" w:type="dxa"/>
            <w:vAlign w:val="center"/>
          </w:tcPr>
          <w:p w:rsidRPr="00723C65" w:rsidR="00723C65" w:rsidP="002069E4" w:rsidRDefault="00723C65" w14:paraId="340A7241" w14:textId="77777777">
            <w:r w:rsidRPr="00723C65">
              <w:t>Due for Review:  Sept 2022</w:t>
            </w:r>
          </w:p>
        </w:tc>
      </w:tr>
      <w:tr w:rsidRPr="0022537E" w:rsidR="0020431B" w:rsidTr="002069E4" w14:paraId="1C838102" w14:textId="77777777">
        <w:trPr>
          <w:trHeight w:val="344"/>
        </w:trPr>
        <w:tc>
          <w:tcPr>
            <w:tcW w:w="4535" w:type="dxa"/>
            <w:tcBorders>
              <w:bottom w:val="single" w:color="auto" w:sz="4" w:space="0"/>
            </w:tcBorders>
            <w:vAlign w:val="center"/>
          </w:tcPr>
          <w:p w:rsidRPr="00723C65" w:rsidR="00723C65" w:rsidP="002069E4" w:rsidRDefault="00723C65" w14:paraId="6DE0E7E3" w14:textId="77777777">
            <w:r w:rsidRPr="00723C65">
              <w:t>Approval by: DTC</w:t>
            </w:r>
          </w:p>
        </w:tc>
        <w:tc>
          <w:tcPr>
            <w:tcW w:w="4535" w:type="dxa"/>
            <w:tcBorders>
              <w:bottom w:val="single" w:color="auto" w:sz="4" w:space="0"/>
            </w:tcBorders>
            <w:vAlign w:val="center"/>
          </w:tcPr>
          <w:p w:rsidRPr="00723C65" w:rsidR="00723C65" w:rsidP="002069E4" w:rsidRDefault="00723C65" w14:paraId="682CDF68" w14:textId="77777777">
            <w:r w:rsidRPr="00723C65">
              <w:t>Approval Date: Sept 2019</w:t>
            </w:r>
          </w:p>
        </w:tc>
      </w:tr>
    </w:tbl>
    <w:p w:rsidRPr="00E25790" w:rsidR="00723C65" w:rsidP="006F0321" w:rsidRDefault="00723C65" w14:paraId="7BF8F69A" w14:textId="77777777"/>
    <w:p w:rsidR="002069E4" w:rsidP="4CD7DE93" w:rsidRDefault="002069E4" w14:paraId="191959B9" w14:textId="77777777">
      <w:pPr>
        <w:rPr>
          <w:b/>
          <w:bCs/>
        </w:rPr>
      </w:pPr>
      <w:bookmarkStart w:name="_Toc38106888" w:id="414"/>
      <w:r w:rsidRPr="4CD7DE93">
        <w:rPr>
          <w:b/>
          <w:bCs/>
        </w:rPr>
        <w:br w:type="page"/>
      </w:r>
    </w:p>
    <w:p w:rsidR="4CD7DE93" w:rsidP="4CD7DE93" w:rsidRDefault="4CD7DE93" w14:paraId="3CE00926" w14:textId="677FC25E">
      <w:pPr>
        <w:rPr>
          <w:b/>
          <w:bCs/>
        </w:rPr>
      </w:pPr>
    </w:p>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4CD7DE93" w:rsidTr="4CD7DE93" w14:paraId="7888D86B" w14:textId="77777777">
        <w:trPr>
          <w:trHeight w:val="720"/>
        </w:trPr>
        <w:tc>
          <w:tcPr>
            <w:tcW w:w="8980" w:type="dxa"/>
            <w:gridSpan w:val="2"/>
            <w:shd w:val="clear" w:color="auto" w:fill="FFFF00"/>
          </w:tcPr>
          <w:p w:rsidR="4CD7DE93" w:rsidP="4CD7DE93" w:rsidRDefault="4CD7DE93" w14:paraId="12EBF0A7" w14:textId="34E95857">
            <w:pPr>
              <w:pStyle w:val="Heading1"/>
            </w:pPr>
            <w:bookmarkStart w:name="_Toc75340010" w:id="415"/>
            <w:r>
              <w:t>M</w:t>
            </w:r>
            <w:r w:rsidR="1491CB5E">
              <w:t>orphine Oral</w:t>
            </w:r>
            <w:bookmarkEnd w:id="415"/>
            <w:r>
              <w:fldChar w:fldCharType="begin"/>
            </w:r>
            <w:r>
              <w:instrText>tc "Ampicillin" \l 0</w:instrText>
            </w:r>
            <w:r>
              <w:fldChar w:fldCharType="end"/>
            </w:r>
          </w:p>
        </w:tc>
      </w:tr>
      <w:tr w:rsidR="4CD7DE93" w:rsidTr="4CD7DE93" w14:paraId="2B51BD08" w14:textId="77777777">
        <w:trPr>
          <w:trHeight w:val="480"/>
        </w:trPr>
        <w:tc>
          <w:tcPr>
            <w:tcW w:w="4122" w:type="dxa"/>
            <w:shd w:val="clear" w:color="auto" w:fill="FFFF00"/>
          </w:tcPr>
          <w:p w:rsidR="4CD7DE93" w:rsidRDefault="4CD7DE93" w14:paraId="7875C800" w14:textId="057E6751">
            <w:r>
              <w:t xml:space="preserve">Revision Date : </w:t>
            </w:r>
            <w:r w:rsidR="0063380A">
              <w:t>27-6-2019</w:t>
            </w:r>
          </w:p>
        </w:tc>
        <w:tc>
          <w:tcPr>
            <w:tcW w:w="4858" w:type="dxa"/>
            <w:shd w:val="clear" w:color="auto" w:fill="FFFF00"/>
          </w:tcPr>
          <w:p w:rsidR="4CD7DE93" w:rsidRDefault="4CD7DE93" w14:paraId="1EE2B3D8" w14:textId="77777777">
            <w:r>
              <w:t>Approved : TC, KOH</w:t>
            </w:r>
          </w:p>
        </w:tc>
      </w:tr>
    </w:tbl>
    <w:p w:rsidR="4CD7DE93" w:rsidRDefault="4CD7DE93" w14:paraId="08E92981" w14:textId="77777777"/>
    <w:tbl>
      <w:tblPr>
        <w:tblW w:w="992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27"/>
        <w:gridCol w:w="7796"/>
      </w:tblGrid>
      <w:tr w:rsidRPr="00781769" w:rsidR="004F63B3" w:rsidTr="004F63B3" w14:paraId="597C11B7" w14:textId="77777777">
        <w:trPr>
          <w:trHeight w:val="248"/>
        </w:trPr>
        <w:tc>
          <w:tcPr>
            <w:tcW w:w="2127" w:type="dxa"/>
          </w:tcPr>
          <w:p w:rsidRPr="0022537E" w:rsidR="004F63B3" w:rsidP="00FE4186" w:rsidRDefault="004F63B3" w14:paraId="2678A776" w14:textId="77777777">
            <w:pPr>
              <w:pStyle w:val="BodyText"/>
              <w:tabs>
                <w:tab w:val="center" w:pos="1476"/>
              </w:tabs>
              <w:rPr>
                <w:rFonts w:cs="Arial" w:asciiTheme="minorHAnsi" w:hAnsiTheme="minorHAnsi"/>
                <w:b/>
                <w:sz w:val="20"/>
              </w:rPr>
            </w:pPr>
            <w:r w:rsidRPr="0022537E">
              <w:rPr>
                <w:rFonts w:cs="Arial" w:asciiTheme="minorHAnsi" w:hAnsiTheme="minorHAnsi"/>
                <w:b/>
                <w:sz w:val="20"/>
              </w:rPr>
              <w:t>Alert</w:t>
            </w:r>
            <w:r w:rsidRPr="0022537E">
              <w:rPr>
                <w:rFonts w:cs="Arial" w:asciiTheme="minorHAnsi" w:hAnsiTheme="minorHAnsi"/>
                <w:b/>
                <w:sz w:val="20"/>
              </w:rPr>
              <w:tab/>
            </w:r>
          </w:p>
        </w:tc>
        <w:tc>
          <w:tcPr>
            <w:tcW w:w="7796" w:type="dxa"/>
          </w:tcPr>
          <w:p w:rsidRPr="00781769" w:rsidR="004F63B3" w:rsidP="00FE4186" w:rsidRDefault="004F63B3" w14:paraId="7DBD1282" w14:textId="77777777">
            <w:pPr>
              <w:pStyle w:val="BodyText"/>
              <w:rPr>
                <w:rFonts w:asciiTheme="minorHAnsi" w:hAnsiTheme="minorHAnsi"/>
                <w:sz w:val="20"/>
              </w:rPr>
            </w:pPr>
            <w:r w:rsidRPr="00A22B45">
              <w:rPr>
                <w:rFonts w:asciiTheme="minorHAnsi" w:hAnsiTheme="minorHAnsi"/>
                <w:sz w:val="20"/>
              </w:rPr>
              <w:t>S8 – High-risk medication – may cause significant patient harm when used in error.</w:t>
            </w:r>
          </w:p>
        </w:tc>
      </w:tr>
      <w:tr w:rsidRPr="00A22B45" w:rsidR="004F63B3" w:rsidTr="004F63B3" w14:paraId="6EAC094D" w14:textId="77777777">
        <w:trPr>
          <w:trHeight w:val="837"/>
        </w:trPr>
        <w:tc>
          <w:tcPr>
            <w:tcW w:w="2127" w:type="dxa"/>
          </w:tcPr>
          <w:p w:rsidRPr="0022537E" w:rsidR="004F63B3" w:rsidP="00FE4186" w:rsidRDefault="004F63B3" w14:paraId="07C08981" w14:textId="77777777">
            <w:pPr>
              <w:pStyle w:val="BodyText"/>
              <w:rPr>
                <w:rFonts w:cs="Arial" w:asciiTheme="minorHAnsi" w:hAnsiTheme="minorHAnsi"/>
                <w:b/>
                <w:bCs/>
                <w:sz w:val="20"/>
              </w:rPr>
            </w:pPr>
            <w:r w:rsidRPr="0022537E">
              <w:rPr>
                <w:rFonts w:cs="Arial" w:asciiTheme="minorHAnsi" w:hAnsiTheme="minorHAnsi"/>
                <w:b/>
                <w:bCs/>
                <w:sz w:val="20"/>
              </w:rPr>
              <w:t xml:space="preserve">Indication                         </w:t>
            </w:r>
          </w:p>
          <w:p w:rsidRPr="0022537E" w:rsidR="004F63B3" w:rsidP="00FE4186" w:rsidRDefault="004F63B3" w14:paraId="0067BC2F" w14:textId="77777777">
            <w:pPr>
              <w:pStyle w:val="BodyText"/>
              <w:rPr>
                <w:rFonts w:cs="Arial" w:asciiTheme="minorHAnsi" w:hAnsiTheme="minorHAnsi"/>
                <w:sz w:val="20"/>
              </w:rPr>
            </w:pPr>
          </w:p>
        </w:tc>
        <w:tc>
          <w:tcPr>
            <w:tcW w:w="7796" w:type="dxa"/>
          </w:tcPr>
          <w:p w:rsidRPr="00B90EFC" w:rsidR="004F63B3" w:rsidP="00FE4186" w:rsidRDefault="004F63B3" w14:paraId="26AB11E5" w14:textId="77777777">
            <w:pPr>
              <w:rPr>
                <w:rFonts w:asciiTheme="minorHAnsi" w:hAnsiTheme="minorHAnsi"/>
                <w:sz w:val="20"/>
              </w:rPr>
            </w:pPr>
            <w:r w:rsidRPr="00B90EFC">
              <w:rPr>
                <w:rFonts w:asciiTheme="minorHAnsi" w:hAnsiTheme="minorHAnsi"/>
                <w:sz w:val="20"/>
              </w:rPr>
              <w:t xml:space="preserve">Analgesia/sedation: </w:t>
            </w:r>
          </w:p>
          <w:p w:rsidRPr="00B90EFC" w:rsidR="004F63B3" w:rsidP="001B0E05" w:rsidRDefault="004F63B3" w14:paraId="0BDA483A" w14:textId="77777777">
            <w:pPr>
              <w:numPr>
                <w:ilvl w:val="0"/>
                <w:numId w:val="36"/>
              </w:numPr>
              <w:rPr>
                <w:rFonts w:asciiTheme="minorHAnsi" w:hAnsiTheme="minorHAnsi"/>
                <w:sz w:val="20"/>
              </w:rPr>
            </w:pPr>
            <w:r w:rsidRPr="00B90EFC">
              <w:rPr>
                <w:rFonts w:asciiTheme="minorHAnsi" w:hAnsiTheme="minorHAnsi"/>
                <w:sz w:val="20"/>
              </w:rPr>
              <w:t>During assisted ventilation</w:t>
            </w:r>
          </w:p>
          <w:p w:rsidRPr="00B90EFC" w:rsidR="004F63B3" w:rsidP="001B0E05" w:rsidRDefault="004F63B3" w14:paraId="50118640" w14:textId="77777777">
            <w:pPr>
              <w:numPr>
                <w:ilvl w:val="0"/>
                <w:numId w:val="36"/>
              </w:numPr>
              <w:rPr>
                <w:rFonts w:asciiTheme="minorHAnsi" w:hAnsiTheme="minorHAnsi" w:cstheme="minorHAnsi"/>
                <w:sz w:val="20"/>
              </w:rPr>
            </w:pPr>
            <w:r w:rsidRPr="00B90EFC">
              <w:rPr>
                <w:rFonts w:asciiTheme="minorHAnsi" w:hAnsiTheme="minorHAnsi"/>
                <w:sz w:val="20"/>
              </w:rPr>
              <w:t xml:space="preserve">During procedures and post-surgery </w:t>
            </w:r>
          </w:p>
          <w:p w:rsidRPr="00B90EFC" w:rsidR="004F63B3" w:rsidP="001B0E05" w:rsidRDefault="004F63B3" w14:paraId="4B583365" w14:textId="77777777">
            <w:pPr>
              <w:numPr>
                <w:ilvl w:val="0"/>
                <w:numId w:val="36"/>
              </w:numPr>
              <w:rPr>
                <w:rFonts w:asciiTheme="minorHAnsi" w:hAnsiTheme="minorHAnsi" w:cstheme="minorHAnsi"/>
                <w:sz w:val="20"/>
              </w:rPr>
            </w:pPr>
            <w:r w:rsidRPr="00B90EFC">
              <w:rPr>
                <w:rFonts w:asciiTheme="minorHAnsi" w:hAnsiTheme="minorHAnsi"/>
                <w:sz w:val="20"/>
              </w:rPr>
              <w:t>Neonatal abstinence syndrome secondary to opioids</w:t>
            </w:r>
          </w:p>
          <w:p w:rsidRPr="00A22B45" w:rsidR="004F63B3" w:rsidP="001B0E05" w:rsidRDefault="004F63B3" w14:paraId="11B883FC" w14:textId="77777777">
            <w:pPr>
              <w:pStyle w:val="ListParagraph"/>
              <w:numPr>
                <w:ilvl w:val="0"/>
                <w:numId w:val="36"/>
              </w:numPr>
              <w:rPr>
                <w:rFonts w:asciiTheme="minorHAnsi" w:hAnsiTheme="minorHAnsi"/>
                <w:sz w:val="20"/>
              </w:rPr>
            </w:pPr>
            <w:r w:rsidRPr="00A22B45">
              <w:rPr>
                <w:rFonts w:asciiTheme="minorHAnsi" w:hAnsiTheme="minorHAnsi"/>
                <w:sz w:val="20"/>
              </w:rPr>
              <w:t>Analgesia and relief of dyspnoea including in context of palliative care</w:t>
            </w:r>
          </w:p>
        </w:tc>
      </w:tr>
      <w:tr w:rsidRPr="0022537E" w:rsidR="004F63B3" w:rsidTr="004F63B3" w14:paraId="54E1953D" w14:textId="77777777">
        <w:trPr>
          <w:trHeight w:val="253"/>
        </w:trPr>
        <w:tc>
          <w:tcPr>
            <w:tcW w:w="2127" w:type="dxa"/>
          </w:tcPr>
          <w:p w:rsidRPr="0022537E" w:rsidR="004F63B3" w:rsidP="00FE4186" w:rsidRDefault="004F63B3" w14:paraId="58EDB5FF" w14:textId="77777777">
            <w:pPr>
              <w:pStyle w:val="BodyText"/>
              <w:rPr>
                <w:rFonts w:cs="Arial" w:asciiTheme="minorHAnsi" w:hAnsiTheme="minorHAnsi"/>
                <w:b/>
                <w:bCs/>
                <w:sz w:val="20"/>
              </w:rPr>
            </w:pPr>
            <w:r w:rsidRPr="0022537E">
              <w:rPr>
                <w:rFonts w:cs="Arial" w:asciiTheme="minorHAnsi" w:hAnsiTheme="minorHAnsi"/>
                <w:b/>
                <w:bCs/>
                <w:sz w:val="20"/>
              </w:rPr>
              <w:t>Action</w:t>
            </w:r>
          </w:p>
        </w:tc>
        <w:tc>
          <w:tcPr>
            <w:tcW w:w="7796" w:type="dxa"/>
          </w:tcPr>
          <w:p w:rsidRPr="00A22B45" w:rsidR="004F63B3" w:rsidP="00FE4186" w:rsidRDefault="004F63B3" w14:paraId="326BEE8D" w14:textId="77777777">
            <w:pPr>
              <w:rPr>
                <w:rFonts w:asciiTheme="minorHAnsi" w:hAnsiTheme="minorHAnsi"/>
                <w:sz w:val="20"/>
              </w:rPr>
            </w:pPr>
            <w:r w:rsidRPr="00A22B45">
              <w:rPr>
                <w:rFonts w:asciiTheme="minorHAnsi" w:hAnsiTheme="minorHAnsi"/>
                <w:sz w:val="20"/>
              </w:rPr>
              <w:t>Opioid analgesic − stimulates the μ-δ-opioid (Mu-Delta) receptor heteromer in the central nervous system.</w:t>
            </w:r>
          </w:p>
          <w:p w:rsidRPr="0022537E" w:rsidR="004F63B3" w:rsidP="00FE4186" w:rsidRDefault="004F63B3" w14:paraId="71AB54D0" w14:textId="77777777">
            <w:pPr>
              <w:rPr>
                <w:rFonts w:cs="Arial" w:asciiTheme="minorHAnsi" w:hAnsiTheme="minorHAnsi"/>
                <w:sz w:val="20"/>
              </w:rPr>
            </w:pPr>
            <w:r w:rsidRPr="00A22B45">
              <w:rPr>
                <w:rFonts w:asciiTheme="minorHAnsi" w:hAnsiTheme="minorHAnsi"/>
                <w:sz w:val="20"/>
              </w:rPr>
              <w:t>Modulates neurotransmitters.</w:t>
            </w:r>
          </w:p>
        </w:tc>
      </w:tr>
      <w:tr w:rsidRPr="0022537E" w:rsidR="004F63B3" w:rsidTr="004F63B3" w14:paraId="3D324C8A" w14:textId="77777777">
        <w:trPr>
          <w:trHeight w:val="266"/>
        </w:trPr>
        <w:tc>
          <w:tcPr>
            <w:tcW w:w="2127" w:type="dxa"/>
          </w:tcPr>
          <w:p w:rsidRPr="0022537E" w:rsidR="004F63B3" w:rsidP="00FE4186" w:rsidRDefault="004F63B3" w14:paraId="6D2731BB" w14:textId="77777777">
            <w:pPr>
              <w:pStyle w:val="BodyText"/>
              <w:rPr>
                <w:rFonts w:cs="Arial" w:asciiTheme="minorHAnsi" w:hAnsiTheme="minorHAnsi"/>
                <w:sz w:val="20"/>
              </w:rPr>
            </w:pPr>
            <w:r w:rsidRPr="0022537E">
              <w:rPr>
                <w:rFonts w:cs="Arial" w:asciiTheme="minorHAnsi" w:hAnsiTheme="minorHAnsi"/>
                <w:b/>
                <w:bCs/>
                <w:sz w:val="20"/>
              </w:rPr>
              <w:t xml:space="preserve">Drug Type                                   </w:t>
            </w:r>
          </w:p>
        </w:tc>
        <w:tc>
          <w:tcPr>
            <w:tcW w:w="7796" w:type="dxa"/>
          </w:tcPr>
          <w:p w:rsidRPr="0022537E" w:rsidR="004F63B3" w:rsidP="00FE4186" w:rsidRDefault="004F63B3" w14:paraId="13ABB458" w14:textId="77777777">
            <w:pPr>
              <w:pStyle w:val="BodyText"/>
              <w:rPr>
                <w:rFonts w:cs="Arial" w:asciiTheme="minorHAnsi" w:hAnsiTheme="minorHAnsi"/>
                <w:sz w:val="20"/>
              </w:rPr>
            </w:pPr>
            <w:r w:rsidRPr="00A22B45">
              <w:rPr>
                <w:rFonts w:cs="Segoe UI" w:asciiTheme="minorHAnsi" w:hAnsiTheme="minorHAnsi"/>
                <w:sz w:val="20"/>
                <w:lang w:eastAsia="en-AU"/>
              </w:rPr>
              <w:t>Opioid analgesic.</w:t>
            </w:r>
          </w:p>
        </w:tc>
      </w:tr>
      <w:tr w:rsidRPr="0022537E" w:rsidR="004F63B3" w:rsidTr="004F63B3" w14:paraId="6B34FE9D" w14:textId="77777777">
        <w:trPr>
          <w:trHeight w:val="204"/>
        </w:trPr>
        <w:tc>
          <w:tcPr>
            <w:tcW w:w="2127" w:type="dxa"/>
          </w:tcPr>
          <w:p w:rsidRPr="0022537E" w:rsidR="004F63B3" w:rsidP="00FE4186" w:rsidRDefault="004F63B3" w14:paraId="4DAF294B" w14:textId="77777777">
            <w:pPr>
              <w:pStyle w:val="BodyText"/>
              <w:rPr>
                <w:rFonts w:cs="Arial" w:asciiTheme="minorHAnsi" w:hAnsiTheme="minorHAnsi"/>
                <w:b/>
                <w:bCs/>
                <w:sz w:val="20"/>
              </w:rPr>
            </w:pPr>
            <w:r w:rsidRPr="0022537E">
              <w:rPr>
                <w:rFonts w:cs="Arial" w:asciiTheme="minorHAnsi" w:hAnsiTheme="minorHAnsi"/>
                <w:b/>
                <w:bCs/>
                <w:sz w:val="20"/>
              </w:rPr>
              <w:t xml:space="preserve">Trade Name                  </w:t>
            </w:r>
          </w:p>
        </w:tc>
        <w:tc>
          <w:tcPr>
            <w:tcW w:w="7796" w:type="dxa"/>
          </w:tcPr>
          <w:p w:rsidRPr="0022537E" w:rsidR="004F63B3" w:rsidP="00FE4186" w:rsidRDefault="004F63B3" w14:paraId="53CFEFF2" w14:textId="77777777">
            <w:pPr>
              <w:pStyle w:val="BodyText"/>
              <w:rPr>
                <w:rFonts w:cs="Arial" w:asciiTheme="minorHAnsi" w:hAnsiTheme="minorHAnsi"/>
                <w:sz w:val="20"/>
              </w:rPr>
            </w:pPr>
            <w:r w:rsidRPr="00A22B45">
              <w:rPr>
                <w:rFonts w:asciiTheme="minorHAnsi" w:hAnsiTheme="minorHAnsi"/>
                <w:sz w:val="20"/>
              </w:rPr>
              <w:t>Ordine</w:t>
            </w:r>
            <w:r>
              <w:rPr>
                <w:rFonts w:asciiTheme="minorHAnsi" w:hAnsiTheme="minorHAnsi"/>
                <w:sz w:val="20"/>
              </w:rPr>
              <w:t xml:space="preserve"> (Morphine HYDROCHLORIDE)</w:t>
            </w:r>
            <w:r w:rsidRPr="00A22B45">
              <w:rPr>
                <w:rFonts w:asciiTheme="minorHAnsi" w:hAnsiTheme="minorHAnsi"/>
                <w:sz w:val="20"/>
              </w:rPr>
              <w:t>.</w:t>
            </w:r>
          </w:p>
        </w:tc>
      </w:tr>
      <w:tr w:rsidRPr="0022537E" w:rsidR="004F63B3" w:rsidTr="004F63B3" w14:paraId="3C8F704A" w14:textId="77777777">
        <w:trPr>
          <w:trHeight w:val="239"/>
        </w:trPr>
        <w:tc>
          <w:tcPr>
            <w:tcW w:w="2127" w:type="dxa"/>
          </w:tcPr>
          <w:p w:rsidRPr="0022537E" w:rsidR="004F63B3" w:rsidP="00FE4186" w:rsidRDefault="004F63B3" w14:paraId="6B18B5DC" w14:textId="77777777">
            <w:pPr>
              <w:pStyle w:val="BodyText"/>
              <w:rPr>
                <w:rFonts w:cs="Arial" w:asciiTheme="minorHAnsi" w:hAnsiTheme="minorHAnsi"/>
                <w:b/>
                <w:bCs/>
                <w:sz w:val="20"/>
              </w:rPr>
            </w:pPr>
            <w:r w:rsidRPr="0022537E">
              <w:rPr>
                <w:rFonts w:cs="Arial" w:asciiTheme="minorHAnsi" w:hAnsiTheme="minorHAnsi"/>
                <w:b/>
                <w:bCs/>
                <w:sz w:val="20"/>
              </w:rPr>
              <w:t xml:space="preserve">Presentation </w:t>
            </w:r>
          </w:p>
        </w:tc>
        <w:tc>
          <w:tcPr>
            <w:tcW w:w="7796" w:type="dxa"/>
          </w:tcPr>
          <w:p w:rsidRPr="00A22B45" w:rsidR="004F63B3" w:rsidP="00FE4186" w:rsidRDefault="004F63B3" w14:paraId="2E059742" w14:textId="77777777">
            <w:pPr>
              <w:pStyle w:val="BodyText"/>
              <w:ind w:left="34"/>
              <w:rPr>
                <w:rFonts w:cs="Arial" w:asciiTheme="minorHAnsi" w:hAnsiTheme="minorHAnsi"/>
                <w:sz w:val="20"/>
              </w:rPr>
            </w:pPr>
            <w:r w:rsidRPr="00A22B45">
              <w:rPr>
                <w:rFonts w:cs="Arial" w:asciiTheme="minorHAnsi" w:hAnsiTheme="minorHAnsi"/>
                <w:sz w:val="20"/>
              </w:rPr>
              <w:t>1 mg/mL oral solution</w:t>
            </w:r>
            <w:r>
              <w:rPr>
                <w:rFonts w:cs="Arial" w:asciiTheme="minorHAnsi" w:hAnsiTheme="minorHAnsi"/>
                <w:sz w:val="20"/>
              </w:rPr>
              <w:t xml:space="preserve"> of morphine HYDROCHLORIDE</w:t>
            </w:r>
            <w:r w:rsidRPr="00A22B45">
              <w:rPr>
                <w:rFonts w:cs="Arial" w:asciiTheme="minorHAnsi" w:hAnsiTheme="minorHAnsi"/>
                <w:sz w:val="20"/>
              </w:rPr>
              <w:t xml:space="preserve">. </w:t>
            </w:r>
          </w:p>
          <w:p w:rsidRPr="0022537E" w:rsidR="004F63B3" w:rsidP="00FE4186" w:rsidRDefault="004F63B3" w14:paraId="27888CD4" w14:textId="77777777">
            <w:pPr>
              <w:pStyle w:val="BodyText"/>
              <w:ind w:left="34"/>
              <w:rPr>
                <w:rFonts w:cs="Arial" w:asciiTheme="minorHAnsi" w:hAnsiTheme="minorHAnsi"/>
                <w:sz w:val="20"/>
              </w:rPr>
            </w:pPr>
            <w:r w:rsidRPr="00A22B45">
              <w:rPr>
                <w:rFonts w:cs="Arial" w:asciiTheme="minorHAnsi" w:hAnsiTheme="minorHAnsi"/>
                <w:sz w:val="20"/>
              </w:rPr>
              <w:t>Also commercially available as 2 mg/mL, 5 mg/mL and 10 mg/mL oral solution.</w:t>
            </w:r>
          </w:p>
        </w:tc>
      </w:tr>
      <w:tr w:rsidRPr="0022537E" w:rsidR="004F63B3" w:rsidTr="004F63B3" w14:paraId="7D44762D" w14:textId="77777777">
        <w:trPr>
          <w:trHeight w:val="1906"/>
        </w:trPr>
        <w:tc>
          <w:tcPr>
            <w:tcW w:w="2127" w:type="dxa"/>
          </w:tcPr>
          <w:p w:rsidRPr="0022537E" w:rsidR="004F63B3" w:rsidP="00FE4186" w:rsidRDefault="004F63B3" w14:paraId="65D3A777" w14:textId="77777777">
            <w:pPr>
              <w:pStyle w:val="BodyText"/>
              <w:rPr>
                <w:rFonts w:cs="Arial" w:asciiTheme="minorHAnsi" w:hAnsiTheme="minorHAnsi"/>
                <w:b/>
                <w:bCs/>
                <w:sz w:val="20"/>
              </w:rPr>
            </w:pPr>
            <w:r w:rsidRPr="0022537E">
              <w:rPr>
                <w:rFonts w:cs="Arial" w:asciiTheme="minorHAnsi" w:hAnsiTheme="minorHAnsi"/>
                <w:b/>
                <w:bCs/>
                <w:sz w:val="20"/>
              </w:rPr>
              <w:t xml:space="preserve">Dosage/Interval                           </w:t>
            </w:r>
          </w:p>
          <w:p w:rsidRPr="0022537E" w:rsidR="004F63B3" w:rsidP="00FE4186" w:rsidRDefault="004F63B3" w14:paraId="03CC5F3E" w14:textId="77777777">
            <w:pPr>
              <w:pStyle w:val="BodyText"/>
              <w:rPr>
                <w:rFonts w:cs="Arial" w:asciiTheme="minorHAnsi" w:hAnsiTheme="minorHAnsi"/>
                <w:sz w:val="20"/>
              </w:rPr>
            </w:pPr>
          </w:p>
        </w:tc>
        <w:tc>
          <w:tcPr>
            <w:tcW w:w="7796" w:type="dxa"/>
          </w:tcPr>
          <w:p w:rsidRPr="00B90EFC" w:rsidR="004F63B3" w:rsidP="00FE4186" w:rsidRDefault="004F63B3" w14:paraId="526E8D49" w14:textId="77777777">
            <w:pPr>
              <w:pStyle w:val="BodyText"/>
              <w:rPr>
                <w:rFonts w:asciiTheme="minorHAnsi" w:hAnsiTheme="minorHAnsi" w:cstheme="minorHAnsi"/>
                <w:b/>
                <w:sz w:val="20"/>
              </w:rPr>
            </w:pPr>
            <w:r w:rsidRPr="00B90EFC">
              <w:rPr>
                <w:rFonts w:asciiTheme="minorHAnsi" w:hAnsiTheme="minorHAnsi" w:cstheme="minorHAnsi"/>
                <w:b/>
                <w:sz w:val="20"/>
              </w:rPr>
              <w:t>Neonatal abstinence syndrome secondary to maternal opioid dependency:</w:t>
            </w:r>
          </w:p>
          <w:p w:rsidRPr="00B90EFC" w:rsidR="004F63B3" w:rsidP="00FE4186" w:rsidRDefault="004F63B3" w14:paraId="762F1976" w14:textId="77777777">
            <w:pPr>
              <w:pStyle w:val="BodyText"/>
              <w:rPr>
                <w:rFonts w:asciiTheme="minorHAnsi" w:hAnsiTheme="minorHAnsi" w:cstheme="minorHAnsi"/>
                <w:sz w:val="20"/>
              </w:rPr>
            </w:pPr>
            <w:r w:rsidRPr="00B90EFC">
              <w:rPr>
                <w:rFonts w:asciiTheme="minorHAnsi" w:hAnsiTheme="minorHAnsi" w:cstheme="minorHAnsi"/>
                <w:b/>
                <w:sz w:val="20"/>
              </w:rPr>
              <w:t xml:space="preserve">Starting dose: </w:t>
            </w:r>
            <w:r w:rsidRPr="00B90EFC">
              <w:rPr>
                <w:rFonts w:asciiTheme="minorHAnsi" w:hAnsiTheme="minorHAnsi" w:cstheme="minorHAnsi"/>
                <w:sz w:val="20"/>
              </w:rPr>
              <w:t>0.5 mg/kg/day divided into 4–6 equal divided doses.</w:t>
            </w:r>
          </w:p>
          <w:p w:rsidRPr="00B90EFC" w:rsidR="004F63B3" w:rsidP="001B0E05" w:rsidRDefault="004F63B3" w14:paraId="07F0ABF2" w14:textId="77777777">
            <w:pPr>
              <w:pStyle w:val="BodyText"/>
              <w:numPr>
                <w:ilvl w:val="0"/>
                <w:numId w:val="109"/>
              </w:numPr>
              <w:overflowPunct w:val="0"/>
              <w:autoSpaceDE w:val="0"/>
              <w:autoSpaceDN w:val="0"/>
              <w:adjustRightInd w:val="0"/>
              <w:textAlignment w:val="baseline"/>
              <w:rPr>
                <w:rFonts w:asciiTheme="minorHAnsi" w:hAnsiTheme="minorHAnsi" w:cstheme="minorHAnsi"/>
                <w:sz w:val="20"/>
              </w:rPr>
            </w:pPr>
            <w:r w:rsidRPr="00B90EFC">
              <w:rPr>
                <w:rFonts w:asciiTheme="minorHAnsi" w:hAnsiTheme="minorHAnsi" w:cstheme="minorHAnsi"/>
                <w:sz w:val="20"/>
              </w:rPr>
              <w:t>Increase dose by 10−25% titrated to Neonatal Abstinence Syndrome scores (aiming for scores &lt; 8) and clinical condition.</w:t>
            </w:r>
          </w:p>
          <w:p w:rsidRPr="00B90EFC" w:rsidR="004F63B3" w:rsidP="001B0E05" w:rsidRDefault="004F63B3" w14:paraId="370121EE" w14:textId="77777777">
            <w:pPr>
              <w:pStyle w:val="BodyText"/>
              <w:numPr>
                <w:ilvl w:val="0"/>
                <w:numId w:val="109"/>
              </w:numPr>
              <w:overflowPunct w:val="0"/>
              <w:autoSpaceDE w:val="0"/>
              <w:autoSpaceDN w:val="0"/>
              <w:adjustRightInd w:val="0"/>
              <w:textAlignment w:val="baseline"/>
              <w:rPr>
                <w:rFonts w:asciiTheme="minorHAnsi" w:hAnsiTheme="minorHAnsi" w:cstheme="minorHAnsi"/>
                <w:sz w:val="20"/>
              </w:rPr>
            </w:pPr>
            <w:r w:rsidRPr="00B90EFC">
              <w:rPr>
                <w:rFonts w:asciiTheme="minorHAnsi" w:hAnsiTheme="minorHAnsi" w:cstheme="minorHAnsi"/>
                <w:sz w:val="20"/>
              </w:rPr>
              <w:t>Decrease dose by 10–25% every 2–4 days titrated to Neonatal Abstinence Syndrome scores (when scores ≤ 4) and clinical condition.</w:t>
            </w:r>
          </w:p>
          <w:p w:rsidRPr="00B90EFC" w:rsidR="004F63B3" w:rsidP="00FE4186" w:rsidRDefault="004F63B3" w14:paraId="417F7816" w14:textId="77777777">
            <w:pPr>
              <w:pStyle w:val="BodyText"/>
              <w:rPr>
                <w:rFonts w:asciiTheme="minorHAnsi" w:hAnsiTheme="minorHAnsi" w:cstheme="minorHAnsi"/>
                <w:b/>
                <w:sz w:val="20"/>
              </w:rPr>
            </w:pPr>
          </w:p>
          <w:p w:rsidRPr="00B90EFC" w:rsidR="004F63B3" w:rsidP="00FE4186" w:rsidRDefault="004F63B3" w14:paraId="522EA88D" w14:textId="77777777">
            <w:pPr>
              <w:pStyle w:val="BodyText"/>
              <w:rPr>
                <w:rFonts w:asciiTheme="minorHAnsi" w:hAnsiTheme="minorHAnsi" w:cstheme="minorHAnsi"/>
                <w:sz w:val="20"/>
              </w:rPr>
            </w:pPr>
            <w:r w:rsidRPr="00B90EFC">
              <w:rPr>
                <w:rFonts w:asciiTheme="minorHAnsi" w:hAnsiTheme="minorHAnsi" w:cstheme="minorHAnsi"/>
                <w:b/>
                <w:sz w:val="20"/>
              </w:rPr>
              <w:t>Neonatal abstinence syndrome secondary to infant opioid infusion:</w:t>
            </w:r>
          </w:p>
          <w:p w:rsidRPr="00B90EFC" w:rsidR="004F63B3" w:rsidP="001B0E05" w:rsidRDefault="004F63B3" w14:paraId="63050AC7" w14:textId="77777777">
            <w:pPr>
              <w:pStyle w:val="BodyText"/>
              <w:numPr>
                <w:ilvl w:val="0"/>
                <w:numId w:val="110"/>
              </w:numPr>
              <w:overflowPunct w:val="0"/>
              <w:autoSpaceDE w:val="0"/>
              <w:autoSpaceDN w:val="0"/>
              <w:adjustRightInd w:val="0"/>
              <w:textAlignment w:val="baseline"/>
              <w:rPr>
                <w:rFonts w:asciiTheme="minorHAnsi" w:hAnsiTheme="minorHAnsi" w:cstheme="minorHAnsi"/>
                <w:sz w:val="20"/>
              </w:rPr>
            </w:pPr>
            <w:r w:rsidRPr="00B90EFC">
              <w:rPr>
                <w:rFonts w:asciiTheme="minorHAnsi" w:hAnsiTheme="minorHAnsi" w:cstheme="minorHAnsi"/>
                <w:sz w:val="20"/>
              </w:rPr>
              <w:t>If weaning from prolonged intravenous morphine (&gt; 4 days), commence oral morphine using the oral:IV ratio of 2:1 (</w:t>
            </w:r>
            <w:r w:rsidRPr="00B90EFC">
              <w:rPr>
                <w:rFonts w:asciiTheme="minorHAnsi" w:hAnsiTheme="minorHAnsi"/>
                <w:sz w:val="20"/>
              </w:rPr>
              <w:t>estimated oral morphine bioavailability 48.5% in neonates</w:t>
            </w:r>
            <w:r w:rsidRPr="00B90EFC">
              <w:rPr>
                <w:rFonts w:asciiTheme="minorHAnsi" w:hAnsiTheme="minorHAnsi" w:cstheme="minorHAnsi"/>
                <w:sz w:val="20"/>
              </w:rPr>
              <w:t xml:space="preserve">) </w:t>
            </w:r>
            <w:r w:rsidRPr="00B90EFC">
              <w:rPr>
                <w:rFonts w:asciiTheme="minorHAnsi" w:hAnsiTheme="minorHAnsi" w:cstheme="minorHAnsi"/>
                <w:noProof/>
                <w:sz w:val="20"/>
              </w:rPr>
              <w:t>[1]</w:t>
            </w:r>
            <w:r w:rsidRPr="00B90EFC">
              <w:rPr>
                <w:rFonts w:asciiTheme="minorHAnsi" w:hAnsiTheme="minorHAnsi" w:cstheme="minorHAnsi"/>
                <w:sz w:val="20"/>
              </w:rPr>
              <w:t xml:space="preserve">. So the daily oral dose is twice the daily intravenous dose of morphine. </w:t>
            </w:r>
          </w:p>
          <w:p w:rsidRPr="00B90EFC" w:rsidR="004F63B3" w:rsidP="001B0E05" w:rsidRDefault="004F63B3" w14:paraId="537B612A" w14:textId="77777777">
            <w:pPr>
              <w:pStyle w:val="BodyText"/>
              <w:numPr>
                <w:ilvl w:val="0"/>
                <w:numId w:val="110"/>
              </w:numPr>
              <w:overflowPunct w:val="0"/>
              <w:autoSpaceDE w:val="0"/>
              <w:autoSpaceDN w:val="0"/>
              <w:adjustRightInd w:val="0"/>
              <w:jc w:val="left"/>
              <w:textAlignment w:val="baseline"/>
              <w:rPr>
                <w:rFonts w:asciiTheme="minorHAnsi" w:hAnsiTheme="minorHAnsi" w:cstheme="minorHAnsi"/>
                <w:sz w:val="20"/>
              </w:rPr>
            </w:pPr>
            <w:r w:rsidRPr="00B90EFC">
              <w:rPr>
                <w:rFonts w:asciiTheme="minorHAnsi" w:hAnsiTheme="minorHAnsi" w:cstheme="minorHAnsi"/>
                <w:sz w:val="20"/>
              </w:rPr>
              <w:t>If weaning from intravenous fentanyl infusion, we recommend con</w:t>
            </w:r>
            <w:r>
              <w:rPr>
                <w:rFonts w:asciiTheme="minorHAnsi" w:hAnsiTheme="minorHAnsi" w:cstheme="minorHAnsi"/>
                <w:sz w:val="20"/>
              </w:rPr>
              <w:t>v</w:t>
            </w:r>
            <w:r w:rsidRPr="00B90EFC">
              <w:rPr>
                <w:rFonts w:asciiTheme="minorHAnsi" w:hAnsiTheme="minorHAnsi" w:cstheme="minorHAnsi"/>
                <w:sz w:val="20"/>
              </w:rPr>
              <w:t xml:space="preserve">erting the total daily fentanyl dose into the equivalent intravenous morphine dose using the conversion ratio fentanyl:morphine of 1:10 </w:t>
            </w:r>
            <w:r w:rsidRPr="00B90EFC">
              <w:rPr>
                <w:rFonts w:asciiTheme="minorHAnsi" w:hAnsiTheme="minorHAnsi" w:cstheme="minorHAnsi"/>
                <w:noProof/>
                <w:sz w:val="20"/>
                <w:vertAlign w:val="superscript"/>
              </w:rPr>
              <w:t xml:space="preserve"> </w:t>
            </w:r>
            <w:r w:rsidRPr="00B90EFC">
              <w:rPr>
                <w:rFonts w:asciiTheme="minorHAnsi" w:hAnsiTheme="minorHAnsi" w:cstheme="minorHAnsi"/>
                <w:sz w:val="20"/>
              </w:rPr>
              <w:t xml:space="preserve">(1 microgram of IV fentanyl is equivalent to 10 microgram of IV morphine) </w:t>
            </w:r>
            <w:r w:rsidRPr="00B90EFC">
              <w:rPr>
                <w:rFonts w:asciiTheme="minorHAnsi" w:hAnsiTheme="minorHAnsi" w:cstheme="minorHAnsi"/>
                <w:noProof/>
                <w:sz w:val="20"/>
              </w:rPr>
              <w:t>[21]</w:t>
            </w:r>
            <w:r w:rsidRPr="00B90EFC">
              <w:rPr>
                <w:rFonts w:asciiTheme="minorHAnsi" w:hAnsiTheme="minorHAnsi" w:cstheme="minorHAnsi"/>
                <w:sz w:val="20"/>
              </w:rPr>
              <w:t xml:space="preserve">. Convert the intravenous morphine dose to oral morphine dose using the ratio 1:2. That is, oral dose is twice the IV dose. </w:t>
            </w:r>
          </w:p>
          <w:p w:rsidRPr="00B90EFC" w:rsidR="004F63B3" w:rsidP="00FE4186" w:rsidRDefault="004F63B3" w14:paraId="3F4B5F2D" w14:textId="77777777">
            <w:pPr>
              <w:pStyle w:val="BodyText"/>
              <w:rPr>
                <w:rFonts w:asciiTheme="minorHAnsi" w:hAnsiTheme="minorHAnsi" w:cstheme="minorHAnsi"/>
                <w:b/>
                <w:sz w:val="20"/>
              </w:rPr>
            </w:pPr>
          </w:p>
          <w:p w:rsidRPr="00B90EFC" w:rsidR="004F63B3" w:rsidP="00FE4186" w:rsidRDefault="004F63B3" w14:paraId="498F0FCC" w14:textId="77777777">
            <w:pPr>
              <w:pStyle w:val="BodyText"/>
              <w:rPr>
                <w:rFonts w:asciiTheme="minorHAnsi" w:hAnsiTheme="minorHAnsi" w:cstheme="minorHAnsi"/>
                <w:sz w:val="20"/>
              </w:rPr>
            </w:pPr>
            <w:r w:rsidRPr="00B90EFC">
              <w:rPr>
                <w:rFonts w:asciiTheme="minorHAnsi" w:hAnsiTheme="minorHAnsi" w:cstheme="minorHAnsi"/>
                <w:b/>
                <w:sz w:val="20"/>
              </w:rPr>
              <w:t>Analgesia</w:t>
            </w:r>
          </w:p>
          <w:p w:rsidRPr="0022537E" w:rsidR="004F63B3" w:rsidP="00FE4186" w:rsidRDefault="004F63B3" w14:paraId="105DE5C5" w14:textId="77777777">
            <w:pPr>
              <w:pStyle w:val="BodyText"/>
              <w:ind w:left="720"/>
              <w:rPr>
                <w:rFonts w:asciiTheme="minorHAnsi" w:hAnsiTheme="minorHAnsi"/>
                <w:sz w:val="20"/>
              </w:rPr>
            </w:pPr>
            <w:r w:rsidRPr="00B90EFC">
              <w:rPr>
                <w:rFonts w:asciiTheme="minorHAnsi" w:hAnsiTheme="minorHAnsi" w:cstheme="minorHAnsi"/>
                <w:b/>
                <w:sz w:val="20"/>
              </w:rPr>
              <w:t xml:space="preserve">Starting dose: </w:t>
            </w:r>
            <w:r w:rsidRPr="00B90EFC">
              <w:rPr>
                <w:rFonts w:asciiTheme="minorHAnsi" w:hAnsiTheme="minorHAnsi" w:cstheme="minorHAnsi"/>
                <w:sz w:val="20"/>
              </w:rPr>
              <w:t>0.05–0.2 mg/kg every 3–6 hours.</w:t>
            </w:r>
          </w:p>
        </w:tc>
      </w:tr>
      <w:tr w:rsidRPr="0022537E" w:rsidR="004F63B3" w:rsidTr="004F63B3" w14:paraId="3CB7A6AA" w14:textId="77777777">
        <w:trPr>
          <w:trHeight w:val="181"/>
        </w:trPr>
        <w:tc>
          <w:tcPr>
            <w:tcW w:w="2127" w:type="dxa"/>
          </w:tcPr>
          <w:p w:rsidRPr="0022537E" w:rsidR="004F63B3" w:rsidP="00FE4186" w:rsidRDefault="004F63B3" w14:paraId="4676A4B8" w14:textId="77777777">
            <w:pPr>
              <w:pStyle w:val="BodyText"/>
              <w:rPr>
                <w:rFonts w:cs="Arial" w:asciiTheme="minorHAnsi" w:hAnsiTheme="minorHAnsi"/>
                <w:b/>
                <w:bCs/>
                <w:sz w:val="20"/>
              </w:rPr>
            </w:pPr>
            <w:r w:rsidRPr="0022537E">
              <w:rPr>
                <w:rFonts w:asciiTheme="minorHAnsi" w:hAnsiTheme="minorHAnsi"/>
                <w:b/>
                <w:sz w:val="20"/>
              </w:rPr>
              <w:t>Maximum Daily Dose</w:t>
            </w:r>
          </w:p>
        </w:tc>
        <w:tc>
          <w:tcPr>
            <w:tcW w:w="7796" w:type="dxa"/>
          </w:tcPr>
          <w:p w:rsidRPr="0022537E" w:rsidR="004F63B3" w:rsidP="00FE4186" w:rsidRDefault="004F63B3" w14:paraId="5099F0CC" w14:textId="77777777">
            <w:pPr>
              <w:pStyle w:val="BodyText"/>
              <w:rPr>
                <w:rFonts w:cs="Arial" w:asciiTheme="minorHAnsi" w:hAnsiTheme="minorHAnsi"/>
                <w:b/>
                <w:sz w:val="20"/>
              </w:rPr>
            </w:pPr>
            <w:r w:rsidRPr="00B90EFC">
              <w:rPr>
                <w:rFonts w:asciiTheme="minorHAnsi" w:hAnsiTheme="minorHAnsi" w:cstheme="minorHAnsi"/>
                <w:sz w:val="20"/>
              </w:rPr>
              <w:t>1.3 mg/kg/day.</w:t>
            </w:r>
          </w:p>
        </w:tc>
      </w:tr>
      <w:tr w:rsidRPr="0022537E" w:rsidR="004F63B3" w:rsidTr="004F63B3" w14:paraId="3C82EC58" w14:textId="77777777">
        <w:trPr>
          <w:trHeight w:val="200"/>
        </w:trPr>
        <w:tc>
          <w:tcPr>
            <w:tcW w:w="2127" w:type="dxa"/>
          </w:tcPr>
          <w:p w:rsidRPr="0022537E" w:rsidR="004F63B3" w:rsidP="00FE4186" w:rsidRDefault="004F63B3" w14:paraId="6C819874" w14:textId="77777777">
            <w:pPr>
              <w:pStyle w:val="BodyText"/>
              <w:rPr>
                <w:rFonts w:cs="Arial" w:asciiTheme="minorHAnsi" w:hAnsiTheme="minorHAnsi"/>
                <w:sz w:val="20"/>
              </w:rPr>
            </w:pPr>
            <w:r w:rsidRPr="0022537E">
              <w:rPr>
                <w:rFonts w:cs="Arial" w:asciiTheme="minorHAnsi" w:hAnsiTheme="minorHAnsi"/>
                <w:b/>
                <w:bCs/>
                <w:sz w:val="20"/>
              </w:rPr>
              <w:t xml:space="preserve">Route       </w:t>
            </w:r>
          </w:p>
        </w:tc>
        <w:tc>
          <w:tcPr>
            <w:tcW w:w="7796" w:type="dxa"/>
          </w:tcPr>
          <w:p w:rsidRPr="0022537E" w:rsidR="004F63B3" w:rsidP="00FE4186" w:rsidRDefault="004F63B3" w14:paraId="42C28C08" w14:textId="77777777">
            <w:pPr>
              <w:pStyle w:val="BodyText"/>
              <w:rPr>
                <w:rFonts w:cs="Arial" w:asciiTheme="minorHAnsi" w:hAnsiTheme="minorHAnsi"/>
                <w:sz w:val="20"/>
              </w:rPr>
            </w:pPr>
            <w:r w:rsidRPr="00A22B45">
              <w:rPr>
                <w:rFonts w:cs="Arial" w:asciiTheme="minorHAnsi" w:hAnsiTheme="minorHAnsi"/>
                <w:sz w:val="20"/>
              </w:rPr>
              <w:t>Oral or intragastric.</w:t>
            </w:r>
          </w:p>
        </w:tc>
      </w:tr>
      <w:tr w:rsidRPr="0022537E" w:rsidR="004F63B3" w:rsidTr="004F63B3" w14:paraId="50618D58" w14:textId="77777777">
        <w:trPr>
          <w:trHeight w:val="660"/>
        </w:trPr>
        <w:tc>
          <w:tcPr>
            <w:tcW w:w="2127" w:type="dxa"/>
          </w:tcPr>
          <w:p w:rsidRPr="0022537E" w:rsidR="004F63B3" w:rsidP="00FE4186" w:rsidRDefault="004F63B3" w14:paraId="05B1B2DB" w14:textId="77777777">
            <w:pPr>
              <w:pStyle w:val="BodyText"/>
              <w:rPr>
                <w:rFonts w:cs="Arial" w:asciiTheme="minorHAnsi" w:hAnsiTheme="minorHAnsi"/>
                <w:b/>
                <w:bCs/>
                <w:sz w:val="20"/>
                <w:highlight w:val="cyan"/>
              </w:rPr>
            </w:pPr>
            <w:r w:rsidRPr="0022537E">
              <w:rPr>
                <w:rFonts w:cs="Arial" w:asciiTheme="minorHAnsi" w:hAnsiTheme="minorHAnsi"/>
                <w:b/>
                <w:bCs/>
                <w:sz w:val="20"/>
              </w:rPr>
              <w:t xml:space="preserve">Preparation/Dilution </w:t>
            </w:r>
            <w:r w:rsidRPr="0022537E">
              <w:rPr>
                <w:rFonts w:cs="Arial" w:asciiTheme="minorHAnsi" w:hAnsiTheme="minorHAnsi"/>
                <w:b/>
                <w:bCs/>
                <w:sz w:val="20"/>
                <w:highlight w:val="cyan"/>
              </w:rPr>
              <w:t xml:space="preserve">                </w:t>
            </w:r>
          </w:p>
          <w:p w:rsidRPr="0022537E" w:rsidR="004F63B3" w:rsidP="00FE4186" w:rsidRDefault="004F63B3" w14:paraId="0D272898" w14:textId="77777777">
            <w:pPr>
              <w:pStyle w:val="BodyText"/>
              <w:rPr>
                <w:rFonts w:cs="Arial" w:asciiTheme="minorHAnsi" w:hAnsiTheme="minorHAnsi"/>
                <w:sz w:val="20"/>
                <w:highlight w:val="cyan"/>
              </w:rPr>
            </w:pPr>
            <w:r w:rsidRPr="0022537E">
              <w:rPr>
                <w:rFonts w:cs="Arial" w:asciiTheme="minorHAnsi" w:hAnsiTheme="minorHAnsi"/>
                <w:b/>
                <w:bCs/>
                <w:sz w:val="20"/>
                <w:highlight w:val="cyan"/>
              </w:rPr>
              <w:t xml:space="preserve">           </w:t>
            </w:r>
          </w:p>
        </w:tc>
        <w:tc>
          <w:tcPr>
            <w:tcW w:w="7796" w:type="dxa"/>
          </w:tcPr>
          <w:p w:rsidRPr="0022537E" w:rsidR="004F63B3" w:rsidP="00FE4186" w:rsidRDefault="004F63B3" w14:paraId="324D0911" w14:textId="77777777">
            <w:pPr>
              <w:pStyle w:val="BodyText"/>
              <w:rPr>
                <w:rFonts w:cs="Arial" w:asciiTheme="minorHAnsi" w:hAnsiTheme="minorHAnsi"/>
                <w:sz w:val="20"/>
              </w:rPr>
            </w:pPr>
            <w:r w:rsidRPr="00B90EFC">
              <w:rPr>
                <w:rFonts w:asciiTheme="minorHAnsi" w:hAnsiTheme="minorHAnsi" w:cstheme="minorHAnsi"/>
                <w:sz w:val="20"/>
              </w:rPr>
              <w:t>Administer undiluted. However, if required, dilute dose with sterile water to obtain the required volume; ensure adequately mixed, administer immediately and discard any unused portion.</w:t>
            </w:r>
          </w:p>
        </w:tc>
      </w:tr>
      <w:tr w:rsidRPr="0022537E" w:rsidR="004F63B3" w:rsidTr="004F63B3" w14:paraId="3FF0A262" w14:textId="77777777">
        <w:trPr>
          <w:trHeight w:val="199"/>
        </w:trPr>
        <w:tc>
          <w:tcPr>
            <w:tcW w:w="2127" w:type="dxa"/>
          </w:tcPr>
          <w:p w:rsidRPr="00A22B45" w:rsidR="004F63B3" w:rsidP="00FE4186" w:rsidRDefault="004F63B3" w14:paraId="49783D56" w14:textId="77777777">
            <w:pPr>
              <w:pStyle w:val="BodyText"/>
              <w:rPr>
                <w:rFonts w:cs="Arial" w:asciiTheme="minorHAnsi" w:hAnsiTheme="minorHAnsi"/>
                <w:b/>
                <w:bCs/>
                <w:sz w:val="20"/>
              </w:rPr>
            </w:pPr>
            <w:r w:rsidRPr="0022537E">
              <w:rPr>
                <w:rFonts w:cs="Arial" w:asciiTheme="minorHAnsi" w:hAnsiTheme="minorHAnsi"/>
                <w:b/>
                <w:bCs/>
                <w:sz w:val="20"/>
              </w:rPr>
              <w:t xml:space="preserve">Administration                 </w:t>
            </w:r>
          </w:p>
        </w:tc>
        <w:tc>
          <w:tcPr>
            <w:tcW w:w="7796" w:type="dxa"/>
          </w:tcPr>
          <w:p w:rsidRPr="0022537E" w:rsidR="004F63B3" w:rsidP="00FE4186" w:rsidRDefault="004F63B3" w14:paraId="24D5FA50" w14:textId="77777777">
            <w:pPr>
              <w:pStyle w:val="BodyText"/>
              <w:rPr>
                <w:rFonts w:cs="Arial" w:asciiTheme="minorHAnsi" w:hAnsiTheme="minorHAnsi"/>
                <w:sz w:val="20"/>
              </w:rPr>
            </w:pPr>
            <w:r w:rsidRPr="00B90EFC">
              <w:rPr>
                <w:rFonts w:asciiTheme="minorHAnsi" w:hAnsiTheme="minorHAnsi" w:cstheme="minorHAnsi"/>
                <w:sz w:val="20"/>
              </w:rPr>
              <w:t>Oral. Preferably with feeds.</w:t>
            </w:r>
          </w:p>
        </w:tc>
      </w:tr>
      <w:tr w:rsidRPr="0022537E" w:rsidR="004F63B3" w:rsidTr="004F63B3" w14:paraId="1CA4CD5E" w14:textId="77777777">
        <w:trPr>
          <w:trHeight w:val="407"/>
        </w:trPr>
        <w:tc>
          <w:tcPr>
            <w:tcW w:w="2127" w:type="dxa"/>
          </w:tcPr>
          <w:p w:rsidRPr="0022537E" w:rsidR="004F63B3" w:rsidP="00FE4186" w:rsidRDefault="004F63B3" w14:paraId="0D9262D8" w14:textId="77777777">
            <w:pPr>
              <w:pStyle w:val="BodyText"/>
              <w:rPr>
                <w:rFonts w:cs="Arial" w:asciiTheme="minorHAnsi" w:hAnsiTheme="minorHAnsi"/>
                <w:b/>
                <w:bCs/>
                <w:sz w:val="20"/>
              </w:rPr>
            </w:pPr>
            <w:r w:rsidRPr="0022537E">
              <w:rPr>
                <w:rFonts w:cs="Arial" w:asciiTheme="minorHAnsi" w:hAnsiTheme="minorHAnsi"/>
                <w:b/>
                <w:bCs/>
                <w:sz w:val="20"/>
              </w:rPr>
              <w:t xml:space="preserve">Monitoring                              </w:t>
            </w:r>
          </w:p>
          <w:p w:rsidRPr="0022537E" w:rsidR="004F63B3" w:rsidP="00FE4186" w:rsidRDefault="004F63B3" w14:paraId="43E6B8C2" w14:textId="77777777">
            <w:pPr>
              <w:pStyle w:val="BodyText"/>
              <w:rPr>
                <w:rFonts w:cs="Arial" w:asciiTheme="minorHAnsi" w:hAnsiTheme="minorHAnsi"/>
                <w:sz w:val="20"/>
              </w:rPr>
            </w:pPr>
          </w:p>
        </w:tc>
        <w:tc>
          <w:tcPr>
            <w:tcW w:w="7796" w:type="dxa"/>
          </w:tcPr>
          <w:p w:rsidRPr="00B90EFC" w:rsidR="004F63B3" w:rsidP="00FE4186" w:rsidRDefault="004F63B3" w14:paraId="054ABE7A" w14:textId="77777777">
            <w:pPr>
              <w:pStyle w:val="BodyText"/>
              <w:rPr>
                <w:rFonts w:asciiTheme="minorHAnsi" w:hAnsiTheme="minorHAnsi" w:cstheme="minorHAnsi"/>
                <w:sz w:val="20"/>
              </w:rPr>
            </w:pPr>
            <w:r w:rsidRPr="00B90EFC">
              <w:rPr>
                <w:rFonts w:asciiTheme="minorHAnsi" w:hAnsiTheme="minorHAnsi" w:cstheme="minorHAnsi"/>
                <w:b/>
                <w:sz w:val="20"/>
              </w:rPr>
              <w:t>Analgesia:</w:t>
            </w:r>
            <w:r w:rsidRPr="00B90EFC">
              <w:rPr>
                <w:rFonts w:asciiTheme="minorHAnsi" w:hAnsiTheme="minorHAnsi" w:cstheme="minorHAnsi"/>
                <w:sz w:val="20"/>
              </w:rPr>
              <w:t xml:space="preserve"> All patients should have cardiorespiratory monitoring and be carefully observed, particularly if they are breathing spontaneously. Respiratory depression/apnoea can be reversed with naloxone in opioid-naïve patients.</w:t>
            </w:r>
          </w:p>
          <w:p w:rsidRPr="00B90EFC" w:rsidR="004F63B3" w:rsidP="00FE4186" w:rsidRDefault="004F63B3" w14:paraId="1F79F330" w14:textId="77777777">
            <w:pPr>
              <w:pStyle w:val="BodyText"/>
              <w:rPr>
                <w:rFonts w:asciiTheme="minorHAnsi" w:hAnsiTheme="minorHAnsi" w:cstheme="minorHAnsi"/>
                <w:sz w:val="20"/>
              </w:rPr>
            </w:pPr>
            <w:r w:rsidRPr="00B90EFC">
              <w:rPr>
                <w:rFonts w:asciiTheme="minorHAnsi" w:hAnsiTheme="minorHAnsi" w:cstheme="minorHAnsi"/>
                <w:b/>
                <w:sz w:val="20"/>
              </w:rPr>
              <w:t>In infants with NAS secondary to maternal opioid dependency:</w:t>
            </w:r>
            <w:r w:rsidRPr="00B90EFC">
              <w:rPr>
                <w:rFonts w:asciiTheme="minorHAnsi" w:hAnsiTheme="minorHAnsi" w:cstheme="minorHAnsi"/>
                <w:sz w:val="20"/>
              </w:rPr>
              <w:t xml:space="preserve"> Observe for signs of respiratory and cardiac depression. Continuous cardiorespiratory monitoring is recommended if oral morphine dose is &gt; 0.8 mg/kg/day or an additional sedative is used. Naloxone is </w:t>
            </w:r>
            <w:r w:rsidRPr="00B90EFC">
              <w:rPr>
                <w:rFonts w:asciiTheme="minorHAnsi" w:hAnsiTheme="minorHAnsi" w:cstheme="minorHAnsi"/>
                <w:sz w:val="20"/>
                <w:u w:val="single"/>
              </w:rPr>
              <w:t>contraindicated</w:t>
            </w:r>
            <w:r w:rsidRPr="00B90EFC">
              <w:rPr>
                <w:rFonts w:asciiTheme="minorHAnsi" w:hAnsiTheme="minorHAnsi" w:cstheme="minorHAnsi"/>
                <w:sz w:val="20"/>
              </w:rPr>
              <w:t xml:space="preserve"> in opioid-dependent neonates. Respiratory depression/apnoea should be </w:t>
            </w:r>
            <w:r w:rsidRPr="00B90EFC">
              <w:rPr>
                <w:rFonts w:asciiTheme="minorHAnsi" w:hAnsiTheme="minorHAnsi" w:cstheme="minorHAnsi"/>
                <w:sz w:val="20"/>
              </w:rPr>
              <w:lastRenderedPageBreak/>
              <w:t>treated with supportive measures.</w:t>
            </w:r>
            <w:r w:rsidRPr="00B90EFC">
              <w:rPr>
                <w:rFonts w:asciiTheme="minorHAnsi" w:hAnsiTheme="minorHAnsi" w:cstheme="minorHAnsi"/>
                <w:sz w:val="20"/>
              </w:rPr>
              <w:br/>
            </w:r>
            <w:r w:rsidRPr="00B90EFC">
              <w:rPr>
                <w:rFonts w:asciiTheme="minorHAnsi" w:hAnsiTheme="minorHAnsi" w:cstheme="minorHAnsi"/>
                <w:sz w:val="20"/>
              </w:rPr>
              <w:t xml:space="preserve">Observe for urinary retention, abdominal distension or delay in passage of stool. </w:t>
            </w:r>
            <w:r w:rsidRPr="00B90EFC">
              <w:rPr>
                <w:rFonts w:asciiTheme="minorHAnsi" w:hAnsiTheme="minorHAnsi" w:cstheme="minorHAnsi"/>
                <w:sz w:val="20"/>
              </w:rPr>
              <w:br/>
            </w:r>
            <w:r w:rsidRPr="00B90EFC">
              <w:rPr>
                <w:rFonts w:asciiTheme="minorHAnsi" w:hAnsiTheme="minorHAnsi" w:cstheme="minorHAnsi"/>
                <w:sz w:val="20"/>
              </w:rPr>
              <w:t xml:space="preserve">Monitor Neonatal Abstinence Syndrome scores in opioid-dependent infants. Recommendations: </w:t>
            </w:r>
          </w:p>
          <w:p w:rsidRPr="00B90EFC" w:rsidR="004F63B3" w:rsidP="001B0E05" w:rsidRDefault="004F63B3" w14:paraId="24733A00" w14:textId="77777777">
            <w:pPr>
              <w:pStyle w:val="BodyText"/>
              <w:numPr>
                <w:ilvl w:val="0"/>
                <w:numId w:val="111"/>
              </w:numPr>
              <w:overflowPunct w:val="0"/>
              <w:autoSpaceDE w:val="0"/>
              <w:autoSpaceDN w:val="0"/>
              <w:adjustRightInd w:val="0"/>
              <w:jc w:val="left"/>
              <w:textAlignment w:val="baseline"/>
              <w:rPr>
                <w:rFonts w:asciiTheme="minorHAnsi" w:hAnsiTheme="minorHAnsi" w:cstheme="minorHAnsi"/>
                <w:sz w:val="20"/>
              </w:rPr>
            </w:pPr>
            <w:r w:rsidRPr="00B90EFC">
              <w:rPr>
                <w:rFonts w:asciiTheme="minorHAnsi" w:hAnsiTheme="minorHAnsi" w:cstheme="minorHAnsi"/>
                <w:sz w:val="20"/>
              </w:rPr>
              <w:t xml:space="preserve">Commence treatment for infants with 3 scores averaging ≥ 8 or 2 scores averaging ≥ 12. </w:t>
            </w:r>
          </w:p>
          <w:p w:rsidRPr="00B90EFC" w:rsidR="004F63B3" w:rsidP="001B0E05" w:rsidRDefault="004F63B3" w14:paraId="7384E95D" w14:textId="77777777">
            <w:pPr>
              <w:pStyle w:val="BodyText"/>
              <w:numPr>
                <w:ilvl w:val="0"/>
                <w:numId w:val="111"/>
              </w:numPr>
              <w:overflowPunct w:val="0"/>
              <w:autoSpaceDE w:val="0"/>
              <w:autoSpaceDN w:val="0"/>
              <w:adjustRightInd w:val="0"/>
              <w:jc w:val="left"/>
              <w:textAlignment w:val="baseline"/>
              <w:rPr>
                <w:rFonts w:asciiTheme="minorHAnsi" w:hAnsiTheme="minorHAnsi" w:cstheme="minorHAnsi"/>
                <w:sz w:val="20"/>
              </w:rPr>
            </w:pPr>
            <w:r w:rsidRPr="00B90EFC">
              <w:rPr>
                <w:rFonts w:asciiTheme="minorHAnsi" w:hAnsiTheme="minorHAnsi" w:cstheme="minorHAnsi"/>
                <w:sz w:val="20"/>
              </w:rPr>
              <w:t>Increase treatment 10–25% if scores persist</w:t>
            </w:r>
            <w:r>
              <w:rPr>
                <w:rFonts w:asciiTheme="minorHAnsi" w:hAnsiTheme="minorHAnsi" w:cstheme="minorHAnsi"/>
                <w:sz w:val="20"/>
              </w:rPr>
              <w:t>ent</w:t>
            </w:r>
            <w:r w:rsidRPr="00B90EFC">
              <w:rPr>
                <w:rFonts w:asciiTheme="minorHAnsi" w:hAnsiTheme="minorHAnsi" w:cstheme="minorHAnsi"/>
                <w:sz w:val="20"/>
              </w:rPr>
              <w:t>ly ≥ 8</w:t>
            </w:r>
          </w:p>
          <w:p w:rsidRPr="0022537E" w:rsidR="004F63B3" w:rsidP="001B0E05" w:rsidRDefault="004F63B3" w14:paraId="4CF98D0B" w14:textId="77777777">
            <w:pPr>
              <w:pStyle w:val="BodyText"/>
              <w:numPr>
                <w:ilvl w:val="0"/>
                <w:numId w:val="111"/>
              </w:numPr>
              <w:overflowPunct w:val="0"/>
              <w:autoSpaceDE w:val="0"/>
              <w:autoSpaceDN w:val="0"/>
              <w:adjustRightInd w:val="0"/>
              <w:jc w:val="left"/>
              <w:textAlignment w:val="baseline"/>
              <w:rPr>
                <w:rFonts w:cs="Arial" w:asciiTheme="minorHAnsi" w:hAnsiTheme="minorHAnsi"/>
                <w:sz w:val="20"/>
              </w:rPr>
            </w:pPr>
            <w:r w:rsidRPr="00B90EFC">
              <w:rPr>
                <w:rFonts w:asciiTheme="minorHAnsi" w:hAnsiTheme="minorHAnsi" w:cstheme="minorHAnsi"/>
                <w:sz w:val="20"/>
              </w:rPr>
              <w:t>Reduce treatment by 10–25% of the highest dose every 2–4 days if scores ≤ 4.</w:t>
            </w:r>
          </w:p>
        </w:tc>
      </w:tr>
      <w:tr w:rsidRPr="0022537E" w:rsidR="004F63B3" w:rsidTr="004F63B3" w14:paraId="7DDBDF69" w14:textId="77777777">
        <w:trPr>
          <w:trHeight w:val="70"/>
        </w:trPr>
        <w:tc>
          <w:tcPr>
            <w:tcW w:w="2127" w:type="dxa"/>
          </w:tcPr>
          <w:p w:rsidRPr="0022537E" w:rsidR="004F63B3" w:rsidP="00FE4186" w:rsidRDefault="004F63B3" w14:paraId="796757FA" w14:textId="77777777">
            <w:pPr>
              <w:pStyle w:val="BodyText"/>
              <w:rPr>
                <w:rFonts w:cs="Arial" w:asciiTheme="minorHAnsi" w:hAnsiTheme="minorHAnsi"/>
                <w:b/>
                <w:bCs/>
                <w:sz w:val="20"/>
              </w:rPr>
            </w:pPr>
            <w:r w:rsidRPr="0022537E">
              <w:rPr>
                <w:rFonts w:cs="Arial" w:asciiTheme="minorHAnsi" w:hAnsiTheme="minorHAnsi"/>
                <w:b/>
                <w:bCs/>
                <w:sz w:val="20"/>
              </w:rPr>
              <w:lastRenderedPageBreak/>
              <w:t xml:space="preserve">Contraindications                           </w:t>
            </w:r>
          </w:p>
        </w:tc>
        <w:tc>
          <w:tcPr>
            <w:tcW w:w="7796" w:type="dxa"/>
          </w:tcPr>
          <w:p w:rsidRPr="0022537E" w:rsidR="004F63B3" w:rsidP="00FE4186" w:rsidRDefault="004F63B3" w14:paraId="0CA700F1" w14:textId="77777777">
            <w:pPr>
              <w:pStyle w:val="BodyText"/>
              <w:rPr>
                <w:rFonts w:cs="Arial" w:asciiTheme="minorHAnsi" w:hAnsiTheme="minorHAnsi"/>
                <w:sz w:val="20"/>
              </w:rPr>
            </w:pPr>
            <w:r w:rsidRPr="00A22B45">
              <w:rPr>
                <w:rFonts w:asciiTheme="minorHAnsi" w:hAnsiTheme="minorHAnsi"/>
                <w:sz w:val="20"/>
              </w:rPr>
              <w:t>Hypersensitivity to morphine hydrochloride or any component.</w:t>
            </w:r>
          </w:p>
        </w:tc>
      </w:tr>
      <w:tr w:rsidRPr="0022537E" w:rsidR="004F63B3" w:rsidTr="004F63B3" w14:paraId="737500E9" w14:textId="77777777">
        <w:tc>
          <w:tcPr>
            <w:tcW w:w="2127" w:type="dxa"/>
          </w:tcPr>
          <w:p w:rsidRPr="0022537E" w:rsidR="004F63B3" w:rsidP="00FE4186" w:rsidRDefault="004F63B3" w14:paraId="7716B262" w14:textId="77777777">
            <w:pPr>
              <w:pStyle w:val="BodyText"/>
              <w:rPr>
                <w:rFonts w:cs="Arial" w:asciiTheme="minorHAnsi" w:hAnsiTheme="minorHAnsi"/>
                <w:b/>
                <w:bCs/>
                <w:sz w:val="20"/>
              </w:rPr>
            </w:pPr>
            <w:r w:rsidRPr="0022537E">
              <w:rPr>
                <w:rFonts w:asciiTheme="minorHAnsi" w:hAnsiTheme="minorHAnsi"/>
                <w:sz w:val="20"/>
              </w:rPr>
              <w:br w:type="page"/>
            </w:r>
            <w:r w:rsidRPr="0022537E">
              <w:rPr>
                <w:rFonts w:cs="Arial" w:asciiTheme="minorHAnsi" w:hAnsiTheme="minorHAnsi"/>
                <w:b/>
                <w:bCs/>
                <w:sz w:val="20"/>
              </w:rPr>
              <w:t>Precautions</w:t>
            </w:r>
          </w:p>
        </w:tc>
        <w:tc>
          <w:tcPr>
            <w:tcW w:w="7796" w:type="dxa"/>
          </w:tcPr>
          <w:p w:rsidRPr="00B90EFC" w:rsidR="004F63B3" w:rsidP="00FE4186" w:rsidRDefault="004F63B3" w14:paraId="3CC64187" w14:textId="77777777">
            <w:pPr>
              <w:pStyle w:val="BodyText"/>
              <w:rPr>
                <w:rFonts w:asciiTheme="minorHAnsi" w:hAnsiTheme="minorHAnsi" w:cstheme="minorHAnsi"/>
                <w:sz w:val="20"/>
              </w:rPr>
            </w:pPr>
            <w:r w:rsidRPr="00B90EFC">
              <w:rPr>
                <w:rFonts w:asciiTheme="minorHAnsi" w:hAnsiTheme="minorHAnsi" w:cstheme="minorHAnsi"/>
                <w:sz w:val="20"/>
              </w:rPr>
              <w:t>Opioid-naïve infants are at risk of cardiorespiratory depression, particularly if they are breathing spontaneously.</w:t>
            </w:r>
          </w:p>
          <w:p w:rsidRPr="0022537E" w:rsidR="004F63B3" w:rsidP="00FE4186" w:rsidRDefault="004F63B3" w14:paraId="1CCCAF7D" w14:textId="77777777">
            <w:pPr>
              <w:pStyle w:val="BodyText"/>
              <w:rPr>
                <w:rFonts w:cs="Arial" w:asciiTheme="minorHAnsi" w:hAnsiTheme="minorHAnsi"/>
                <w:sz w:val="20"/>
              </w:rPr>
            </w:pPr>
            <w:r w:rsidRPr="00B90EFC">
              <w:rPr>
                <w:rFonts w:asciiTheme="minorHAnsi" w:hAnsiTheme="minorHAnsi" w:cstheme="minorHAnsi"/>
                <w:sz w:val="20"/>
              </w:rPr>
              <w:t xml:space="preserve">Use with caution in patients with hypersensitivity reactions to other opioids. </w:t>
            </w:r>
            <w:r w:rsidRPr="00B90EFC">
              <w:rPr>
                <w:rFonts w:asciiTheme="minorHAnsi" w:hAnsiTheme="minorHAnsi" w:cstheme="minorHAnsi"/>
                <w:sz w:val="20"/>
              </w:rPr>
              <w:br/>
            </w:r>
            <w:r w:rsidRPr="00B90EFC">
              <w:rPr>
                <w:rFonts w:asciiTheme="minorHAnsi" w:hAnsiTheme="minorHAnsi" w:cstheme="minorHAnsi"/>
                <w:sz w:val="20"/>
              </w:rPr>
              <w:t>Hypotension and bradycardia.</w:t>
            </w:r>
            <w:r w:rsidRPr="00B90EFC">
              <w:rPr>
                <w:rFonts w:asciiTheme="minorHAnsi" w:hAnsiTheme="minorHAnsi" w:cstheme="minorHAnsi"/>
                <w:sz w:val="20"/>
              </w:rPr>
              <w:br/>
            </w:r>
            <w:r w:rsidRPr="00B90EFC">
              <w:rPr>
                <w:rFonts w:asciiTheme="minorHAnsi" w:hAnsiTheme="minorHAnsi" w:cstheme="minorHAnsi"/>
                <w:sz w:val="20"/>
              </w:rPr>
              <w:t>Transient hypertonia.</w:t>
            </w:r>
            <w:r w:rsidRPr="00B90EFC">
              <w:rPr>
                <w:rFonts w:asciiTheme="minorHAnsi" w:hAnsiTheme="minorHAnsi" w:cstheme="minorHAnsi"/>
                <w:sz w:val="20"/>
              </w:rPr>
              <w:br/>
            </w:r>
            <w:r w:rsidRPr="00B90EFC">
              <w:rPr>
                <w:rFonts w:asciiTheme="minorHAnsi" w:hAnsiTheme="minorHAnsi" w:cstheme="minorHAnsi"/>
                <w:sz w:val="20"/>
              </w:rPr>
              <w:t>Ileus and delayed gastric emptying time.</w:t>
            </w:r>
            <w:r w:rsidRPr="00B90EFC">
              <w:rPr>
                <w:rFonts w:asciiTheme="minorHAnsi" w:hAnsiTheme="minorHAnsi" w:cstheme="minorHAnsi"/>
                <w:sz w:val="20"/>
              </w:rPr>
              <w:br/>
            </w:r>
            <w:r w:rsidRPr="00B90EFC">
              <w:rPr>
                <w:rFonts w:asciiTheme="minorHAnsi" w:hAnsiTheme="minorHAnsi" w:cstheme="minorHAnsi"/>
                <w:sz w:val="20"/>
              </w:rPr>
              <w:t>Urinary retention.</w:t>
            </w:r>
            <w:r w:rsidRPr="00B90EFC">
              <w:rPr>
                <w:rFonts w:asciiTheme="minorHAnsi" w:hAnsiTheme="minorHAnsi" w:cstheme="minorHAnsi"/>
                <w:sz w:val="20"/>
              </w:rPr>
              <w:br/>
            </w:r>
            <w:r w:rsidRPr="00B90EFC">
              <w:rPr>
                <w:rFonts w:asciiTheme="minorHAnsi" w:hAnsiTheme="minorHAnsi" w:cstheme="minorHAnsi"/>
                <w:sz w:val="20"/>
              </w:rPr>
              <w:t xml:space="preserve">Tolerance may develop after prolonged use − wean slowly. </w:t>
            </w:r>
            <w:r w:rsidRPr="00B90EFC">
              <w:rPr>
                <w:rFonts w:asciiTheme="minorHAnsi" w:hAnsiTheme="minorHAnsi" w:cstheme="minorHAnsi"/>
                <w:sz w:val="20"/>
              </w:rPr>
              <w:br/>
            </w:r>
            <w:r w:rsidRPr="00B90EFC">
              <w:rPr>
                <w:rFonts w:asciiTheme="minorHAnsi" w:hAnsiTheme="minorHAnsi" w:cstheme="minorHAnsi"/>
                <w:sz w:val="20"/>
              </w:rPr>
              <w:t>Convulsions.</w:t>
            </w:r>
            <w:r w:rsidRPr="00B90EFC">
              <w:rPr>
                <w:rFonts w:asciiTheme="minorHAnsi" w:hAnsiTheme="minorHAnsi" w:cstheme="minorHAnsi"/>
                <w:sz w:val="20"/>
              </w:rPr>
              <w:br/>
            </w:r>
            <w:r w:rsidRPr="00B90EFC">
              <w:rPr>
                <w:rFonts w:asciiTheme="minorHAnsi" w:hAnsiTheme="minorHAnsi" w:cstheme="minorHAnsi"/>
                <w:sz w:val="20"/>
              </w:rPr>
              <w:t>Renal or hepatic impairment – affect metabolism and excretion.</w:t>
            </w:r>
          </w:p>
        </w:tc>
      </w:tr>
      <w:tr w:rsidRPr="0022537E" w:rsidR="004F63B3" w:rsidTr="004F63B3" w14:paraId="082B6A46" w14:textId="77777777">
        <w:trPr>
          <w:trHeight w:val="452"/>
        </w:trPr>
        <w:tc>
          <w:tcPr>
            <w:tcW w:w="2127" w:type="dxa"/>
          </w:tcPr>
          <w:p w:rsidRPr="0022537E" w:rsidR="004F63B3" w:rsidP="00FE4186" w:rsidRDefault="004F63B3" w14:paraId="6AB0D4D1" w14:textId="77777777">
            <w:pPr>
              <w:pStyle w:val="BodyText"/>
              <w:rPr>
                <w:rFonts w:cs="Arial" w:asciiTheme="minorHAnsi" w:hAnsiTheme="minorHAnsi"/>
                <w:b/>
                <w:bCs/>
                <w:sz w:val="20"/>
              </w:rPr>
            </w:pPr>
            <w:r w:rsidRPr="0022537E">
              <w:rPr>
                <w:rFonts w:cs="Arial" w:asciiTheme="minorHAnsi" w:hAnsiTheme="minorHAnsi"/>
                <w:b/>
                <w:bCs/>
                <w:sz w:val="20"/>
              </w:rPr>
              <w:t>Drug Interactions</w:t>
            </w:r>
          </w:p>
        </w:tc>
        <w:tc>
          <w:tcPr>
            <w:tcW w:w="7796" w:type="dxa"/>
          </w:tcPr>
          <w:p w:rsidRPr="0022537E" w:rsidR="004F63B3" w:rsidP="00FE4186" w:rsidRDefault="004F63B3" w14:paraId="1CE13E9A" w14:textId="77777777">
            <w:pPr>
              <w:pStyle w:val="BodyText"/>
              <w:rPr>
                <w:rFonts w:cs="Arial" w:asciiTheme="minorHAnsi" w:hAnsiTheme="minorHAnsi"/>
                <w:sz w:val="20"/>
              </w:rPr>
            </w:pPr>
            <w:r w:rsidRPr="00B90EFC">
              <w:rPr>
                <w:rFonts w:asciiTheme="minorHAnsi" w:hAnsiTheme="minorHAnsi" w:cstheme="minorHAnsi"/>
                <w:sz w:val="20"/>
              </w:rPr>
              <w:t>Concomitant use with other CNS depressants potentiates effects of opioids, increasing risk of respiratory depression, profound sedation or coma.</w:t>
            </w:r>
          </w:p>
        </w:tc>
      </w:tr>
      <w:tr w:rsidRPr="0022537E" w:rsidR="004F63B3" w:rsidTr="004F63B3" w14:paraId="294ABCC7" w14:textId="77777777">
        <w:trPr>
          <w:trHeight w:val="164"/>
        </w:trPr>
        <w:tc>
          <w:tcPr>
            <w:tcW w:w="2127" w:type="dxa"/>
          </w:tcPr>
          <w:p w:rsidRPr="0022537E" w:rsidR="004F63B3" w:rsidP="00FE4186" w:rsidRDefault="004F63B3" w14:paraId="0498A81F" w14:textId="77777777">
            <w:pPr>
              <w:pStyle w:val="BodyText"/>
              <w:rPr>
                <w:rFonts w:cs="Arial" w:asciiTheme="minorHAnsi" w:hAnsiTheme="minorHAnsi"/>
                <w:b/>
                <w:bCs/>
                <w:sz w:val="20"/>
              </w:rPr>
            </w:pPr>
            <w:r>
              <w:rPr>
                <w:rFonts w:cs="Arial" w:asciiTheme="minorHAnsi" w:hAnsiTheme="minorHAnsi"/>
                <w:b/>
                <w:bCs/>
                <w:sz w:val="20"/>
              </w:rPr>
              <w:t xml:space="preserve">Adverse Reactions </w:t>
            </w:r>
          </w:p>
        </w:tc>
        <w:tc>
          <w:tcPr>
            <w:tcW w:w="7796" w:type="dxa"/>
          </w:tcPr>
          <w:p w:rsidRPr="0022537E" w:rsidR="004F63B3" w:rsidP="00FE4186" w:rsidRDefault="004F63B3" w14:paraId="6F765293" w14:textId="77777777">
            <w:pPr>
              <w:pStyle w:val="BodyText"/>
              <w:rPr>
                <w:rFonts w:cs="Arial" w:asciiTheme="minorHAnsi" w:hAnsiTheme="minorHAnsi"/>
                <w:sz w:val="20"/>
              </w:rPr>
            </w:pPr>
            <w:r w:rsidRPr="00A22B45">
              <w:rPr>
                <w:rFonts w:asciiTheme="minorHAnsi" w:hAnsiTheme="minorHAnsi"/>
                <w:sz w:val="20"/>
              </w:rPr>
              <w:t>See Precautions.</w:t>
            </w:r>
          </w:p>
        </w:tc>
      </w:tr>
      <w:tr w:rsidRPr="0022537E" w:rsidR="004F63B3" w:rsidTr="004F63B3" w14:paraId="788CBD25" w14:textId="77777777">
        <w:trPr>
          <w:trHeight w:val="70"/>
        </w:trPr>
        <w:tc>
          <w:tcPr>
            <w:tcW w:w="2127" w:type="dxa"/>
          </w:tcPr>
          <w:p w:rsidRPr="0022537E" w:rsidR="004F63B3" w:rsidP="00FE4186" w:rsidRDefault="004F63B3" w14:paraId="3338DD02" w14:textId="77777777">
            <w:pPr>
              <w:pStyle w:val="BodyText"/>
              <w:rPr>
                <w:rFonts w:cs="Arial" w:asciiTheme="minorHAnsi" w:hAnsiTheme="minorHAnsi"/>
                <w:b/>
                <w:bCs/>
                <w:sz w:val="20"/>
              </w:rPr>
            </w:pPr>
            <w:r w:rsidRPr="0022537E">
              <w:rPr>
                <w:rFonts w:cs="Arial" w:asciiTheme="minorHAnsi" w:hAnsiTheme="minorHAnsi"/>
                <w:b/>
                <w:bCs/>
                <w:sz w:val="20"/>
              </w:rPr>
              <w:t>Compatibility</w:t>
            </w:r>
          </w:p>
        </w:tc>
        <w:tc>
          <w:tcPr>
            <w:tcW w:w="7796" w:type="dxa"/>
          </w:tcPr>
          <w:p w:rsidRPr="0022537E" w:rsidR="004F63B3" w:rsidP="00FE4186" w:rsidRDefault="004F63B3" w14:paraId="278370D7" w14:textId="77777777">
            <w:pPr>
              <w:pStyle w:val="BodyText"/>
              <w:rPr>
                <w:rFonts w:asciiTheme="minorHAnsi" w:hAnsiTheme="minorHAnsi"/>
                <w:sz w:val="20"/>
              </w:rPr>
            </w:pPr>
            <w:r>
              <w:rPr>
                <w:rFonts w:asciiTheme="minorHAnsi" w:hAnsiTheme="minorHAnsi"/>
                <w:sz w:val="20"/>
              </w:rPr>
              <w:t>N/A</w:t>
            </w:r>
          </w:p>
        </w:tc>
      </w:tr>
      <w:tr w:rsidRPr="0022537E" w:rsidR="004F63B3" w:rsidTr="004F63B3" w14:paraId="07D9C818" w14:textId="77777777">
        <w:trPr>
          <w:trHeight w:val="228"/>
        </w:trPr>
        <w:tc>
          <w:tcPr>
            <w:tcW w:w="2127" w:type="dxa"/>
          </w:tcPr>
          <w:p w:rsidRPr="0022537E" w:rsidR="004F63B3" w:rsidP="00FE4186" w:rsidRDefault="004F63B3" w14:paraId="4A413ADD" w14:textId="77777777">
            <w:pPr>
              <w:pStyle w:val="BodyText"/>
              <w:rPr>
                <w:rFonts w:cs="Arial" w:asciiTheme="minorHAnsi" w:hAnsiTheme="minorHAnsi"/>
                <w:b/>
                <w:bCs/>
                <w:sz w:val="20"/>
              </w:rPr>
            </w:pPr>
            <w:r>
              <w:rPr>
                <w:rFonts w:cs="Arial" w:asciiTheme="minorHAnsi" w:hAnsiTheme="minorHAnsi"/>
                <w:b/>
                <w:bCs/>
                <w:sz w:val="20"/>
              </w:rPr>
              <w:t xml:space="preserve">Incompatibility </w:t>
            </w:r>
          </w:p>
        </w:tc>
        <w:tc>
          <w:tcPr>
            <w:tcW w:w="7796" w:type="dxa"/>
          </w:tcPr>
          <w:p w:rsidRPr="0022537E" w:rsidR="004F63B3" w:rsidP="00FE4186" w:rsidRDefault="004F63B3" w14:paraId="437C0507" w14:textId="77777777">
            <w:pPr>
              <w:pStyle w:val="BodyText"/>
              <w:rPr>
                <w:rFonts w:cs="Arial" w:asciiTheme="minorHAnsi" w:hAnsiTheme="minorHAnsi"/>
                <w:sz w:val="20"/>
              </w:rPr>
            </w:pPr>
            <w:r>
              <w:rPr>
                <w:rFonts w:asciiTheme="minorHAnsi" w:hAnsiTheme="minorHAnsi"/>
                <w:sz w:val="20"/>
              </w:rPr>
              <w:t>N/A</w:t>
            </w:r>
          </w:p>
        </w:tc>
      </w:tr>
      <w:tr w:rsidRPr="0022537E" w:rsidR="004F63B3" w:rsidTr="004F63B3" w14:paraId="31F23DBB" w14:textId="77777777">
        <w:trPr>
          <w:trHeight w:val="165"/>
        </w:trPr>
        <w:tc>
          <w:tcPr>
            <w:tcW w:w="2127" w:type="dxa"/>
          </w:tcPr>
          <w:p w:rsidRPr="0022537E" w:rsidR="004F63B3" w:rsidP="00FE4186" w:rsidRDefault="004F63B3" w14:paraId="48DDFF6F" w14:textId="77777777">
            <w:pPr>
              <w:pStyle w:val="BodyText"/>
              <w:rPr>
                <w:rFonts w:cs="Arial" w:asciiTheme="minorHAnsi" w:hAnsiTheme="minorHAnsi"/>
                <w:b/>
                <w:bCs/>
                <w:sz w:val="20"/>
              </w:rPr>
            </w:pPr>
            <w:r w:rsidRPr="0022537E">
              <w:rPr>
                <w:rFonts w:cs="Arial" w:asciiTheme="minorHAnsi" w:hAnsiTheme="minorHAnsi"/>
                <w:b/>
                <w:bCs/>
                <w:sz w:val="20"/>
              </w:rPr>
              <w:t xml:space="preserve">Stability                  </w:t>
            </w:r>
          </w:p>
        </w:tc>
        <w:tc>
          <w:tcPr>
            <w:tcW w:w="7796" w:type="dxa"/>
          </w:tcPr>
          <w:p w:rsidRPr="0022537E" w:rsidR="004F63B3" w:rsidP="00FE4186" w:rsidRDefault="004F63B3" w14:paraId="079D2071" w14:textId="77777777">
            <w:pPr>
              <w:pStyle w:val="BodyText"/>
              <w:rPr>
                <w:rFonts w:cs="Arial" w:asciiTheme="minorHAnsi" w:hAnsiTheme="minorHAnsi"/>
                <w:sz w:val="20"/>
              </w:rPr>
            </w:pPr>
            <w:r w:rsidRPr="00A22B45">
              <w:rPr>
                <w:rFonts w:asciiTheme="minorHAnsi" w:hAnsiTheme="minorHAnsi"/>
                <w:sz w:val="20"/>
              </w:rPr>
              <w:t>6 months once bottle opened.</w:t>
            </w:r>
          </w:p>
        </w:tc>
      </w:tr>
      <w:tr w:rsidRPr="0022537E" w:rsidR="004F63B3" w:rsidTr="004F63B3" w14:paraId="740B184B" w14:textId="77777777">
        <w:trPr>
          <w:trHeight w:val="371"/>
        </w:trPr>
        <w:tc>
          <w:tcPr>
            <w:tcW w:w="2127" w:type="dxa"/>
          </w:tcPr>
          <w:p w:rsidRPr="0022537E" w:rsidR="004F63B3" w:rsidP="00FE4186" w:rsidRDefault="004F63B3" w14:paraId="35370EFE" w14:textId="77777777">
            <w:pPr>
              <w:pStyle w:val="BodyText"/>
              <w:rPr>
                <w:rFonts w:cs="Arial" w:asciiTheme="minorHAnsi" w:hAnsiTheme="minorHAnsi"/>
                <w:b/>
                <w:bCs/>
                <w:sz w:val="20"/>
              </w:rPr>
            </w:pPr>
            <w:r w:rsidRPr="0022537E">
              <w:rPr>
                <w:rFonts w:cs="Arial" w:asciiTheme="minorHAnsi" w:hAnsiTheme="minorHAnsi"/>
                <w:b/>
                <w:bCs/>
                <w:sz w:val="20"/>
              </w:rPr>
              <w:t xml:space="preserve">Storage             </w:t>
            </w:r>
          </w:p>
        </w:tc>
        <w:tc>
          <w:tcPr>
            <w:tcW w:w="7796" w:type="dxa"/>
          </w:tcPr>
          <w:p w:rsidRPr="00A22B45" w:rsidR="004F63B3" w:rsidP="00FE4186" w:rsidRDefault="004F63B3" w14:paraId="1C46FADF" w14:textId="77777777">
            <w:pPr>
              <w:pStyle w:val="BodyText"/>
              <w:rPr>
                <w:rFonts w:asciiTheme="minorHAnsi" w:hAnsiTheme="minorHAnsi"/>
                <w:sz w:val="20"/>
              </w:rPr>
            </w:pPr>
            <w:r w:rsidRPr="00A22B45">
              <w:rPr>
                <w:rFonts w:asciiTheme="minorHAnsi" w:hAnsiTheme="minorHAnsi"/>
                <w:sz w:val="20"/>
              </w:rPr>
              <w:t>Protect from light. Cool dry location (temp &lt; 30°C).</w:t>
            </w:r>
          </w:p>
          <w:p w:rsidRPr="0022537E" w:rsidR="004F63B3" w:rsidP="00FE4186" w:rsidRDefault="004F63B3" w14:paraId="6A12F342" w14:textId="77777777">
            <w:pPr>
              <w:pStyle w:val="BodyText"/>
              <w:rPr>
                <w:rFonts w:cs="Arial" w:asciiTheme="minorHAnsi" w:hAnsiTheme="minorHAnsi"/>
                <w:sz w:val="20"/>
              </w:rPr>
            </w:pPr>
            <w:r w:rsidRPr="00A22B45">
              <w:rPr>
                <w:rFonts w:asciiTheme="minorHAnsi" w:hAnsiTheme="minorHAnsi"/>
                <w:sz w:val="20"/>
              </w:rPr>
              <w:t>Store in Dangerous Drug (DD) safe and record use in DD register. Discard any diluted unused potion.</w:t>
            </w:r>
          </w:p>
        </w:tc>
      </w:tr>
      <w:tr w:rsidRPr="0022537E" w:rsidR="004F63B3" w:rsidTr="004F63B3" w14:paraId="53F1D024" w14:textId="77777777">
        <w:trPr>
          <w:trHeight w:val="248"/>
        </w:trPr>
        <w:tc>
          <w:tcPr>
            <w:tcW w:w="2127" w:type="dxa"/>
          </w:tcPr>
          <w:p w:rsidRPr="0022537E" w:rsidR="004F63B3" w:rsidP="00FE4186" w:rsidRDefault="004F63B3" w14:paraId="68AFF5F9" w14:textId="77777777">
            <w:pPr>
              <w:pStyle w:val="BodyText"/>
              <w:rPr>
                <w:rFonts w:cs="Arial" w:asciiTheme="minorHAnsi" w:hAnsiTheme="minorHAnsi"/>
                <w:b/>
                <w:bCs/>
                <w:sz w:val="20"/>
              </w:rPr>
            </w:pPr>
            <w:r w:rsidRPr="0022537E">
              <w:rPr>
                <w:rFonts w:cs="Arial" w:asciiTheme="minorHAnsi" w:hAnsiTheme="minorHAnsi"/>
                <w:b/>
                <w:bCs/>
                <w:sz w:val="20"/>
              </w:rPr>
              <w:t xml:space="preserve">Special Comments       </w:t>
            </w:r>
          </w:p>
        </w:tc>
        <w:tc>
          <w:tcPr>
            <w:tcW w:w="7796" w:type="dxa"/>
          </w:tcPr>
          <w:p w:rsidRPr="0022537E" w:rsidR="004F63B3" w:rsidP="00FE4186" w:rsidRDefault="004F63B3" w14:paraId="417C2DB2" w14:textId="77777777">
            <w:pPr>
              <w:pStyle w:val="BodyText"/>
              <w:rPr>
                <w:rFonts w:cs="Arial" w:asciiTheme="minorHAnsi" w:hAnsiTheme="minorHAnsi"/>
                <w:sz w:val="20"/>
              </w:rPr>
            </w:pPr>
            <w:r w:rsidRPr="00A22B45">
              <w:rPr>
                <w:rFonts w:asciiTheme="minorHAnsi" w:hAnsiTheme="minorHAnsi"/>
                <w:sz w:val="20"/>
              </w:rPr>
              <w:t>Prolonged use (&gt; 5–7 days) may be associated with dependence.</w:t>
            </w:r>
          </w:p>
        </w:tc>
      </w:tr>
      <w:tr w:rsidRPr="0022537E" w:rsidR="004F63B3" w:rsidTr="004F63B3" w14:paraId="30D71702" w14:textId="77777777">
        <w:trPr>
          <w:trHeight w:val="112"/>
        </w:trPr>
        <w:tc>
          <w:tcPr>
            <w:tcW w:w="2127" w:type="dxa"/>
          </w:tcPr>
          <w:p w:rsidRPr="0022537E" w:rsidR="004F63B3" w:rsidP="00FE4186" w:rsidRDefault="004F63B3" w14:paraId="7ECAE40B" w14:textId="77777777">
            <w:pPr>
              <w:pStyle w:val="BodyText"/>
              <w:rPr>
                <w:rFonts w:cs="Arial" w:asciiTheme="minorHAnsi" w:hAnsiTheme="minorHAnsi"/>
                <w:b/>
                <w:bCs/>
                <w:sz w:val="20"/>
              </w:rPr>
            </w:pPr>
            <w:r w:rsidRPr="0022537E">
              <w:rPr>
                <w:rFonts w:cs="Arial" w:asciiTheme="minorHAnsi" w:hAnsiTheme="minorHAnsi"/>
                <w:b/>
                <w:bCs/>
                <w:sz w:val="20"/>
              </w:rPr>
              <w:t>Evidence summary</w:t>
            </w:r>
          </w:p>
        </w:tc>
        <w:tc>
          <w:tcPr>
            <w:tcW w:w="7796" w:type="dxa"/>
          </w:tcPr>
          <w:p w:rsidRPr="004F63B3" w:rsidR="004F63B3" w:rsidP="00FE4186" w:rsidRDefault="004F63B3" w14:paraId="489B7A93" w14:textId="77777777">
            <w:pPr>
              <w:pStyle w:val="BodyText"/>
              <w:rPr>
                <w:rFonts w:asciiTheme="minorHAnsi" w:hAnsiTheme="minorHAnsi" w:cstheme="minorHAnsi"/>
                <w:b/>
                <w:sz w:val="16"/>
                <w:szCs w:val="16"/>
              </w:rPr>
            </w:pPr>
            <w:r w:rsidRPr="004F63B3">
              <w:rPr>
                <w:rFonts w:asciiTheme="minorHAnsi" w:hAnsiTheme="minorHAnsi" w:cstheme="minorHAnsi"/>
                <w:b/>
                <w:sz w:val="16"/>
                <w:szCs w:val="16"/>
              </w:rPr>
              <w:t xml:space="preserve">Efficacy: </w:t>
            </w:r>
          </w:p>
          <w:p w:rsidRPr="004F63B3" w:rsidR="004F63B3" w:rsidP="00FE4186" w:rsidRDefault="004F63B3" w14:paraId="0FBA278E" w14:textId="77777777">
            <w:pPr>
              <w:pStyle w:val="BodyText"/>
              <w:rPr>
                <w:rFonts w:asciiTheme="minorHAnsi" w:hAnsiTheme="minorHAnsi" w:cstheme="minorHAnsi"/>
                <w:sz w:val="16"/>
                <w:szCs w:val="16"/>
              </w:rPr>
            </w:pPr>
            <w:r w:rsidRPr="004F63B3">
              <w:rPr>
                <w:rFonts w:asciiTheme="minorHAnsi" w:hAnsiTheme="minorHAnsi" w:cstheme="minorHAnsi"/>
                <w:b/>
                <w:sz w:val="16"/>
                <w:szCs w:val="16"/>
              </w:rPr>
              <w:t>Analgesia in opioid-naïve infants:</w:t>
            </w:r>
            <w:r w:rsidRPr="004F63B3">
              <w:rPr>
                <w:rFonts w:asciiTheme="minorHAnsi" w:hAnsiTheme="minorHAnsi" w:cstheme="minorHAnsi"/>
                <w:sz w:val="16"/>
                <w:szCs w:val="16"/>
              </w:rPr>
              <w:t xml:space="preserve"> Oral analgesia with morphine for acute or chronic pain has not been systematically evaluated in neonates. </w:t>
            </w:r>
          </w:p>
          <w:p w:rsidRPr="004F63B3" w:rsidR="004F63B3" w:rsidP="00FE4186" w:rsidRDefault="004F63B3" w14:paraId="738C375E"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 xml:space="preserve">Recommended analgesic doses of morphine sulfate for use in neonates are 0.05-0.1 mg/kg intravenously </w:t>
            </w:r>
            <w:r w:rsidRPr="004F63B3">
              <w:rPr>
                <w:rFonts w:asciiTheme="minorHAnsi" w:hAnsiTheme="minorHAnsi" w:cstheme="minorHAnsi"/>
                <w:noProof/>
                <w:sz w:val="16"/>
                <w:szCs w:val="16"/>
              </w:rPr>
              <w:t>[3]</w:t>
            </w:r>
            <w:r w:rsidRPr="004F63B3">
              <w:rPr>
                <w:rFonts w:asciiTheme="minorHAnsi" w:hAnsiTheme="minorHAnsi" w:cstheme="minorHAnsi"/>
                <w:sz w:val="16"/>
                <w:szCs w:val="16"/>
              </w:rPr>
              <w:t xml:space="preserve">. </w:t>
            </w:r>
            <w:r w:rsidRPr="004F63B3">
              <w:rPr>
                <w:rFonts w:asciiTheme="minorHAnsi" w:hAnsiTheme="minorHAnsi"/>
                <w:sz w:val="16"/>
                <w:szCs w:val="16"/>
              </w:rPr>
              <w:t xml:space="preserve">Estimated oral morphine bioavailability 48.5% in neonates </w:t>
            </w:r>
            <w:r w:rsidRPr="004F63B3">
              <w:rPr>
                <w:rFonts w:asciiTheme="minorHAnsi" w:hAnsiTheme="minorHAnsi"/>
                <w:noProof/>
                <w:sz w:val="16"/>
                <w:szCs w:val="16"/>
              </w:rPr>
              <w:t>[1]</w:t>
            </w:r>
            <w:r w:rsidRPr="004F63B3">
              <w:rPr>
                <w:rFonts w:asciiTheme="minorHAnsi" w:hAnsiTheme="minorHAnsi"/>
                <w:sz w:val="16"/>
                <w:szCs w:val="16"/>
              </w:rPr>
              <w:t xml:space="preserve">. (LOE IV GOR C) This equates to an estimated intermittent oral dose 0.1–0.2 mg/kg. Duration of analgesia 4–5 hours </w:t>
            </w:r>
            <w:r w:rsidRPr="004F63B3">
              <w:rPr>
                <w:rFonts w:asciiTheme="minorHAnsi" w:hAnsiTheme="minorHAnsi"/>
                <w:noProof/>
                <w:sz w:val="16"/>
                <w:szCs w:val="16"/>
              </w:rPr>
              <w:t>[4]</w:t>
            </w:r>
            <w:r w:rsidRPr="004F63B3">
              <w:rPr>
                <w:rFonts w:asciiTheme="minorHAnsi" w:hAnsiTheme="minorHAnsi"/>
                <w:sz w:val="16"/>
                <w:szCs w:val="16"/>
              </w:rPr>
              <w:t xml:space="preserve">. </w:t>
            </w:r>
          </w:p>
          <w:p w:rsidRPr="004F63B3" w:rsidR="004F63B3" w:rsidP="00FE4186" w:rsidRDefault="004F63B3" w14:paraId="6535079C"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 xml:space="preserve">Intravenous morphine mean steady-state serum concentration of 15 ng/mL can be achieved in children after non-cardiac surgery in an intensive care unit with a morphine hydrochloride infusion of 7.5 microgram/kg/hour at birth (term neonates), 12.5 microgram/kg/hour at 1 month, 20 microgram/kg/hour at 3 months </w:t>
            </w:r>
            <w:r w:rsidRPr="004F63B3">
              <w:rPr>
                <w:rFonts w:asciiTheme="minorHAnsi" w:hAnsiTheme="minorHAnsi" w:cstheme="minorHAnsi"/>
                <w:noProof/>
                <w:sz w:val="16"/>
                <w:szCs w:val="16"/>
              </w:rPr>
              <w:t>[5, 6]</w:t>
            </w:r>
            <w:r w:rsidRPr="004F63B3">
              <w:rPr>
                <w:rFonts w:asciiTheme="minorHAnsi" w:hAnsiTheme="minorHAnsi" w:cstheme="minorHAnsi"/>
                <w:sz w:val="16"/>
                <w:szCs w:val="16"/>
              </w:rPr>
              <w:t>. [LOE IV] As</w:t>
            </w:r>
            <w:r w:rsidRPr="004F63B3">
              <w:rPr>
                <w:rFonts w:asciiTheme="minorHAnsi" w:hAnsiTheme="minorHAnsi"/>
                <w:sz w:val="16"/>
                <w:szCs w:val="16"/>
              </w:rPr>
              <w:t xml:space="preserve"> </w:t>
            </w:r>
            <w:r w:rsidRPr="004F63B3">
              <w:rPr>
                <w:rFonts w:asciiTheme="minorHAnsi" w:hAnsiTheme="minorHAnsi" w:cstheme="minorHAnsi"/>
                <w:sz w:val="16"/>
                <w:szCs w:val="16"/>
              </w:rPr>
              <w:t xml:space="preserve">oral morphine bioavailability in neonates averaged 48.5% </w:t>
            </w:r>
            <w:r w:rsidRPr="004F63B3">
              <w:rPr>
                <w:rFonts w:asciiTheme="minorHAnsi" w:hAnsiTheme="minorHAnsi" w:cstheme="minorHAnsi"/>
                <w:noProof/>
                <w:sz w:val="16"/>
                <w:szCs w:val="16"/>
              </w:rPr>
              <w:t>[1]</w:t>
            </w:r>
            <w:r w:rsidRPr="004F63B3">
              <w:rPr>
                <w:rFonts w:asciiTheme="minorHAnsi" w:hAnsiTheme="minorHAnsi" w:cstheme="minorHAnsi"/>
                <w:sz w:val="16"/>
                <w:szCs w:val="16"/>
              </w:rPr>
              <w:t xml:space="preserve">, initial </w:t>
            </w:r>
            <w:r w:rsidRPr="004F63B3">
              <w:rPr>
                <w:rFonts w:asciiTheme="minorHAnsi" w:hAnsiTheme="minorHAnsi"/>
                <w:sz w:val="16"/>
                <w:szCs w:val="16"/>
              </w:rPr>
              <w:t>e</w:t>
            </w:r>
            <w:r w:rsidRPr="004F63B3">
              <w:rPr>
                <w:rFonts w:asciiTheme="minorHAnsi" w:hAnsiTheme="minorHAnsi" w:cstheme="minorHAnsi"/>
                <w:sz w:val="16"/>
                <w:szCs w:val="16"/>
              </w:rPr>
              <w:t xml:space="preserve">stimated daily oral morphine dose is 360 microgram/day (term infants); 600 microgram/day (at 1 month); 960 micrograms/day (at 3 months) in 4–6 equally divided doses. </w:t>
            </w:r>
          </w:p>
          <w:p w:rsidRPr="004F63B3" w:rsidR="004F63B3" w:rsidP="00FE4186" w:rsidRDefault="004F63B3" w14:paraId="3E71CC41" w14:textId="77777777">
            <w:pPr>
              <w:pStyle w:val="BodyText"/>
              <w:rPr>
                <w:rFonts w:asciiTheme="minorHAnsi" w:hAnsiTheme="minorHAnsi" w:cstheme="minorHAnsi"/>
                <w:sz w:val="16"/>
                <w:szCs w:val="16"/>
              </w:rPr>
            </w:pPr>
          </w:p>
          <w:p w:rsidRPr="004F63B3" w:rsidR="004F63B3" w:rsidP="00FE4186" w:rsidRDefault="004F63B3" w14:paraId="2EB5B8A0" w14:textId="77777777">
            <w:pPr>
              <w:pStyle w:val="BodyText"/>
              <w:rPr>
                <w:rFonts w:asciiTheme="minorHAnsi" w:hAnsiTheme="minorHAnsi" w:cstheme="minorHAnsi"/>
                <w:sz w:val="16"/>
                <w:szCs w:val="16"/>
              </w:rPr>
            </w:pPr>
            <w:r w:rsidRPr="004F63B3">
              <w:rPr>
                <w:rFonts w:asciiTheme="minorHAnsi" w:hAnsiTheme="minorHAnsi" w:cstheme="minorHAnsi"/>
                <w:b/>
                <w:sz w:val="16"/>
                <w:szCs w:val="16"/>
              </w:rPr>
              <w:t>Neonatal abstinence syndrome secondary to maternal opioid dependency:</w:t>
            </w:r>
            <w:r w:rsidRPr="004F63B3">
              <w:rPr>
                <w:rFonts w:asciiTheme="minorHAnsi" w:hAnsiTheme="minorHAnsi" w:cstheme="minorHAnsi"/>
                <w:sz w:val="16"/>
                <w:szCs w:val="16"/>
              </w:rPr>
              <w:t xml:space="preserve"> Guidelines for the Management of Substance Use During Pregnancy Birth and the Postnatal Period </w:t>
            </w:r>
            <w:r w:rsidRPr="004F63B3">
              <w:rPr>
                <w:rFonts w:asciiTheme="minorHAnsi" w:hAnsiTheme="minorHAnsi" w:cstheme="minorHAnsi"/>
                <w:noProof/>
                <w:sz w:val="16"/>
                <w:szCs w:val="16"/>
              </w:rPr>
              <w:t>[7]</w:t>
            </w:r>
            <w:r w:rsidRPr="004F63B3">
              <w:rPr>
                <w:rFonts w:asciiTheme="minorHAnsi" w:hAnsiTheme="minorHAnsi" w:cstheme="minorHAnsi"/>
                <w:sz w:val="16"/>
                <w:szCs w:val="16"/>
              </w:rPr>
              <w:t>: Pharmacological treatment of infants with NAS due to opioids should be initiated when the Finnegan or modified Finnegan score averages 8 or more on 3 consecutive scores or 12 or more on 2 consecutive scores.</w:t>
            </w:r>
          </w:p>
          <w:p w:rsidRPr="004F63B3" w:rsidR="004F63B3" w:rsidP="00FE4186" w:rsidRDefault="004F63B3" w14:paraId="0C7891E4"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 xml:space="preserve">Use of opioids for infants with NAS due to opioid withdrawal: </w:t>
            </w:r>
          </w:p>
          <w:p w:rsidRPr="004F63B3" w:rsidR="004F63B3" w:rsidP="00FE4186" w:rsidRDefault="004F63B3" w14:paraId="0881A169"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w:t>
            </w:r>
            <w:r w:rsidRPr="004F63B3">
              <w:rPr>
                <w:rFonts w:asciiTheme="minorHAnsi" w:hAnsiTheme="minorHAnsi" w:cstheme="minorHAnsi"/>
                <w:sz w:val="16"/>
                <w:szCs w:val="16"/>
              </w:rPr>
              <w:tab/>
            </w:r>
            <w:r w:rsidRPr="004F63B3">
              <w:rPr>
                <w:rFonts w:asciiTheme="minorHAnsi" w:hAnsiTheme="minorHAnsi" w:cstheme="minorHAnsi"/>
                <w:sz w:val="16"/>
                <w:szCs w:val="16"/>
              </w:rPr>
              <w:t>An opioid (morphine) should be used as initial treatment for infants with NAS due to opioid withdrawal.</w:t>
            </w:r>
          </w:p>
          <w:p w:rsidRPr="004F63B3" w:rsidR="004F63B3" w:rsidP="00FE4186" w:rsidRDefault="004F63B3" w14:paraId="7019FADB"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w:t>
            </w:r>
            <w:r w:rsidRPr="004F63B3">
              <w:rPr>
                <w:rFonts w:asciiTheme="minorHAnsi" w:hAnsiTheme="minorHAnsi" w:cstheme="minorHAnsi"/>
                <w:sz w:val="16"/>
                <w:szCs w:val="16"/>
              </w:rPr>
              <w:tab/>
            </w:r>
            <w:r w:rsidRPr="004F63B3">
              <w:rPr>
                <w:rFonts w:asciiTheme="minorHAnsi" w:hAnsiTheme="minorHAnsi" w:cstheme="minorHAnsi"/>
                <w:sz w:val="16"/>
                <w:szCs w:val="16"/>
              </w:rPr>
              <w:t>Use of phenobarbitone or clonidine may reduce withdrawal severity in infants treated with an opioid.</w:t>
            </w:r>
          </w:p>
          <w:p w:rsidRPr="004F63B3" w:rsidR="004F63B3" w:rsidP="00FE4186" w:rsidRDefault="004F63B3" w14:paraId="2FB988DD"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 xml:space="preserve">A starting dose of morphine 0.5 mg/kg/day in four divided doses (six-hourly) is recommended. Doses should be titrated to NAS scores, that is, to control infant signs of NAS </w:t>
            </w:r>
            <w:r w:rsidRPr="004F63B3">
              <w:rPr>
                <w:rFonts w:asciiTheme="minorHAnsi" w:hAnsiTheme="minorHAnsi" w:cstheme="minorHAnsi"/>
                <w:noProof/>
                <w:sz w:val="16"/>
                <w:szCs w:val="16"/>
              </w:rPr>
              <w:t>[8]</w:t>
            </w:r>
            <w:r w:rsidRPr="004F63B3">
              <w:rPr>
                <w:rFonts w:asciiTheme="minorHAnsi" w:hAnsiTheme="minorHAnsi" w:cstheme="minorHAnsi"/>
                <w:sz w:val="16"/>
                <w:szCs w:val="16"/>
              </w:rPr>
              <w:t xml:space="preserve">. </w:t>
            </w:r>
          </w:p>
          <w:p w:rsidRPr="004F63B3" w:rsidR="004F63B3" w:rsidP="00FE4186" w:rsidRDefault="004F63B3" w14:paraId="7BC44FF0"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 xml:space="preserve">It is unclear from the evidence what the starting dose of opioid should be. Most trials have commenced morphine 0.2–0.5 mg/kg per day in divided doses. Doses were titrated to NAS scores (i.e. control of infant signs) </w:t>
            </w:r>
            <w:r w:rsidRPr="004F63B3">
              <w:rPr>
                <w:rFonts w:asciiTheme="minorHAnsi" w:hAnsiTheme="minorHAnsi" w:cstheme="minorHAnsi"/>
                <w:noProof/>
                <w:sz w:val="16"/>
                <w:szCs w:val="16"/>
              </w:rPr>
              <w:t>[9]</w:t>
            </w:r>
            <w:r w:rsidRPr="004F63B3">
              <w:rPr>
                <w:rFonts w:asciiTheme="minorHAnsi" w:hAnsiTheme="minorHAnsi" w:cstheme="minorHAnsi"/>
                <w:sz w:val="16"/>
                <w:szCs w:val="16"/>
              </w:rPr>
              <w:t>. [LOE I GOR B]</w:t>
            </w:r>
          </w:p>
          <w:p w:rsidRPr="004F63B3" w:rsidR="004F63B3" w:rsidP="00FE4186" w:rsidRDefault="004F63B3" w14:paraId="353B993B" w14:textId="77777777">
            <w:pPr>
              <w:pStyle w:val="BodyText"/>
              <w:rPr>
                <w:rFonts w:asciiTheme="minorHAnsi" w:hAnsiTheme="minorHAnsi" w:cstheme="minorHAnsi"/>
                <w:b/>
                <w:sz w:val="16"/>
                <w:szCs w:val="16"/>
              </w:rPr>
            </w:pPr>
          </w:p>
          <w:p w:rsidRPr="004F63B3" w:rsidR="004F63B3" w:rsidP="00FE4186" w:rsidRDefault="004F63B3" w14:paraId="4A724DC4" w14:textId="77777777">
            <w:pPr>
              <w:pStyle w:val="BodyText"/>
              <w:rPr>
                <w:rFonts w:asciiTheme="minorHAnsi" w:hAnsiTheme="minorHAnsi" w:cstheme="minorHAnsi"/>
                <w:sz w:val="16"/>
                <w:szCs w:val="16"/>
              </w:rPr>
            </w:pPr>
            <w:r w:rsidRPr="004F63B3">
              <w:rPr>
                <w:rFonts w:asciiTheme="minorHAnsi" w:hAnsiTheme="minorHAnsi" w:cstheme="minorHAnsi"/>
                <w:b/>
                <w:sz w:val="16"/>
                <w:szCs w:val="16"/>
              </w:rPr>
              <w:t>Neonatal abstinence syndrome secondary to infant opioid infusion:</w:t>
            </w:r>
          </w:p>
          <w:p w:rsidRPr="004F63B3" w:rsidR="004F63B3" w:rsidP="00FE4186" w:rsidRDefault="004F63B3" w14:paraId="1E1E302C"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In neonates and infants receiving opioid infusions, high dose (fentanyl &gt;</w:t>
            </w:r>
            <w:r w:rsidRPr="004F63B3">
              <w:rPr>
                <w:rFonts w:asciiTheme="minorHAnsi" w:hAnsiTheme="minorHAnsi"/>
                <w:sz w:val="16"/>
                <w:szCs w:val="16"/>
              </w:rPr>
              <w:t xml:space="preserve"> </w:t>
            </w:r>
            <w:r w:rsidRPr="004F63B3">
              <w:rPr>
                <w:rFonts w:asciiTheme="minorHAnsi" w:hAnsiTheme="minorHAnsi" w:cstheme="minorHAnsi"/>
                <w:sz w:val="16"/>
                <w:szCs w:val="16"/>
              </w:rPr>
              <w:t xml:space="preserve">2.5 mg/kg) and duration of infusion (&gt; 9 days) was predictive of withdrawal requiring treatment (NAS scores ≥ 8) </w:t>
            </w:r>
            <w:r w:rsidRPr="004F63B3">
              <w:rPr>
                <w:rFonts w:asciiTheme="minorHAnsi" w:hAnsiTheme="minorHAnsi" w:cstheme="minorHAnsi"/>
                <w:noProof/>
                <w:sz w:val="16"/>
                <w:szCs w:val="16"/>
              </w:rPr>
              <w:t>[10, 11]</w:t>
            </w:r>
            <w:r w:rsidRPr="004F63B3">
              <w:rPr>
                <w:rFonts w:asciiTheme="minorHAnsi" w:hAnsiTheme="minorHAnsi" w:cstheme="minorHAnsi"/>
                <w:sz w:val="16"/>
                <w:szCs w:val="16"/>
              </w:rPr>
              <w:t xml:space="preserve">. (LOE III-2) Infants receiving prolonged fentanyl infusions may be at higher risk of withdrawal symptoms than infants receiving prolonged morphine infusions </w:t>
            </w:r>
            <w:r w:rsidRPr="004F63B3">
              <w:rPr>
                <w:rFonts w:asciiTheme="minorHAnsi" w:hAnsiTheme="minorHAnsi" w:cstheme="minorHAnsi"/>
                <w:noProof/>
                <w:sz w:val="16"/>
                <w:szCs w:val="16"/>
              </w:rPr>
              <w:t>[12]</w:t>
            </w:r>
            <w:r w:rsidRPr="004F63B3">
              <w:rPr>
                <w:rFonts w:asciiTheme="minorHAnsi" w:hAnsiTheme="minorHAnsi" w:cstheme="minorHAnsi"/>
                <w:sz w:val="16"/>
                <w:szCs w:val="16"/>
              </w:rPr>
              <w:t>. (LOE III-2)</w:t>
            </w:r>
          </w:p>
          <w:p w:rsidRPr="004F63B3" w:rsidR="004F63B3" w:rsidP="00FE4186" w:rsidRDefault="004F63B3" w14:paraId="072AC4E8"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lastRenderedPageBreak/>
              <w:t xml:space="preserve">Management of opioid withdrawal includes gradual opioid weaning, environmental and nursing supportive measures and treatment with methadone, clonidine or both </w:t>
            </w:r>
            <w:r w:rsidRPr="004F63B3">
              <w:rPr>
                <w:rFonts w:asciiTheme="minorHAnsi" w:hAnsiTheme="minorHAnsi" w:cstheme="minorHAnsi"/>
                <w:noProof/>
                <w:sz w:val="16"/>
                <w:szCs w:val="16"/>
              </w:rPr>
              <w:t>[4]</w:t>
            </w:r>
            <w:r w:rsidRPr="004F63B3">
              <w:rPr>
                <w:rFonts w:asciiTheme="minorHAnsi" w:hAnsiTheme="minorHAnsi" w:cstheme="minorHAnsi"/>
                <w:sz w:val="16"/>
                <w:szCs w:val="16"/>
              </w:rPr>
              <w:t xml:space="preserve">. </w:t>
            </w:r>
          </w:p>
          <w:p w:rsidRPr="004F63B3" w:rsidR="004F63B3" w:rsidP="00FE4186" w:rsidRDefault="004F63B3" w14:paraId="0ED09F3F" w14:textId="77777777">
            <w:pPr>
              <w:pStyle w:val="BodyText"/>
              <w:rPr>
                <w:rFonts w:asciiTheme="minorHAnsi" w:hAnsiTheme="minorHAnsi" w:cstheme="minorHAnsi"/>
                <w:sz w:val="16"/>
                <w:szCs w:val="16"/>
              </w:rPr>
            </w:pPr>
          </w:p>
          <w:p w:rsidRPr="004F63B3" w:rsidR="004F63B3" w:rsidP="00FE4186" w:rsidRDefault="004F63B3" w14:paraId="7479F8BE" w14:textId="77777777">
            <w:pPr>
              <w:pStyle w:val="BodyText"/>
              <w:rPr>
                <w:rFonts w:asciiTheme="minorHAnsi" w:hAnsiTheme="minorHAnsi" w:cstheme="minorHAnsi"/>
                <w:b/>
                <w:sz w:val="16"/>
                <w:szCs w:val="16"/>
              </w:rPr>
            </w:pPr>
            <w:r w:rsidRPr="004F63B3">
              <w:rPr>
                <w:rFonts w:asciiTheme="minorHAnsi" w:hAnsiTheme="minorHAnsi" w:cstheme="minorHAnsi"/>
                <w:b/>
                <w:sz w:val="16"/>
                <w:szCs w:val="16"/>
              </w:rPr>
              <w:t xml:space="preserve">Pharmacodynamics/Pharmacokinetics: </w:t>
            </w:r>
          </w:p>
          <w:p w:rsidRPr="004F63B3" w:rsidR="004F63B3" w:rsidP="00FE4186" w:rsidRDefault="004F63B3" w14:paraId="06488E75" w14:textId="77777777">
            <w:pPr>
              <w:pStyle w:val="BodyText"/>
              <w:rPr>
                <w:rFonts w:asciiTheme="minorHAnsi" w:hAnsiTheme="minorHAnsi" w:cstheme="minorHAnsi"/>
                <w:sz w:val="16"/>
                <w:szCs w:val="16"/>
              </w:rPr>
            </w:pPr>
            <w:r w:rsidRPr="004F63B3">
              <w:rPr>
                <w:rFonts w:asciiTheme="minorHAnsi" w:hAnsiTheme="minorHAnsi" w:cstheme="minorHAnsi"/>
                <w:sz w:val="16"/>
                <w:szCs w:val="16"/>
              </w:rPr>
              <w:t xml:space="preserve">Relative potency of morphine compared to fentanyl is 1:100 (i.e. fentanyl 0.1 mg equivalent to morphine 10 mg) in adults[2]. There is one randomised, controlled trial comparing the continuous infusion of fentanyl (10.5 microgram/kg for 1 hour followed by 1.5 microgram/kg/hour) versus morphine (140 microgram/kg for 1 hour followed by 20 microgram/kg/hour) in newborn infants undergoing mechanical ventilation which revealed equivalent analgesic effect with fewer side effects for fentanyl (21). The relative potency of fentanyl from this study in newborns compared to morphine is estimated to be 13 to 20:1 [22]. There is no study directly comparing the potency of fentanyl to morphine in newborns. (LOE II GOR B) </w:t>
            </w:r>
          </w:p>
          <w:p w:rsidRPr="004F63B3" w:rsidR="004F63B3" w:rsidP="00FE4186" w:rsidRDefault="004F63B3" w14:paraId="288DD4AE" w14:textId="77777777">
            <w:pPr>
              <w:pStyle w:val="BodyText"/>
              <w:rPr>
                <w:rFonts w:asciiTheme="minorHAnsi" w:hAnsiTheme="minorHAnsi"/>
                <w:sz w:val="16"/>
                <w:szCs w:val="16"/>
              </w:rPr>
            </w:pPr>
            <w:r w:rsidRPr="004F63B3">
              <w:rPr>
                <w:rFonts w:asciiTheme="minorHAnsi" w:hAnsiTheme="minorHAnsi"/>
                <w:sz w:val="16"/>
                <w:szCs w:val="16"/>
              </w:rPr>
              <w:t xml:space="preserve">Estimated oral morphine bioavailability 48.5% in neonates </w:t>
            </w:r>
            <w:r w:rsidRPr="004F63B3">
              <w:rPr>
                <w:rFonts w:asciiTheme="minorHAnsi" w:hAnsiTheme="minorHAnsi"/>
                <w:noProof/>
                <w:sz w:val="16"/>
                <w:szCs w:val="16"/>
              </w:rPr>
              <w:t>[1]</w:t>
            </w:r>
            <w:r w:rsidRPr="004F63B3">
              <w:rPr>
                <w:rFonts w:asciiTheme="minorHAnsi" w:hAnsiTheme="minorHAnsi"/>
                <w:sz w:val="16"/>
                <w:szCs w:val="16"/>
              </w:rPr>
              <w:t>. (LOE IV GOR C)</w:t>
            </w:r>
          </w:p>
          <w:p w:rsidRPr="004F63B3" w:rsidR="004F63B3" w:rsidP="00FE4186" w:rsidRDefault="004F63B3" w14:paraId="6424D733" w14:textId="77777777">
            <w:pPr>
              <w:pStyle w:val="BodyText"/>
              <w:rPr>
                <w:rFonts w:asciiTheme="minorHAnsi" w:hAnsiTheme="minorHAnsi"/>
                <w:sz w:val="16"/>
                <w:szCs w:val="16"/>
              </w:rPr>
            </w:pPr>
            <w:r w:rsidRPr="004F63B3">
              <w:rPr>
                <w:rFonts w:asciiTheme="minorHAnsi" w:hAnsiTheme="minorHAnsi"/>
                <w:sz w:val="16"/>
                <w:szCs w:val="16"/>
              </w:rPr>
              <w:t xml:space="preserve">In adults, morphine’s elimination half-life is similar for the intravenous, intramuscular, subcutaneous and oral routes of administration </w:t>
            </w:r>
            <w:r w:rsidRPr="004F63B3">
              <w:rPr>
                <w:rFonts w:asciiTheme="minorHAnsi" w:hAnsiTheme="minorHAnsi"/>
                <w:noProof/>
                <w:sz w:val="16"/>
                <w:szCs w:val="16"/>
              </w:rPr>
              <w:t>[13]</w:t>
            </w:r>
            <w:r w:rsidRPr="004F63B3">
              <w:rPr>
                <w:rFonts w:asciiTheme="minorHAnsi" w:hAnsiTheme="minorHAnsi"/>
                <w:sz w:val="16"/>
                <w:szCs w:val="16"/>
              </w:rPr>
              <w:t>.</w:t>
            </w:r>
          </w:p>
          <w:p w:rsidRPr="004F63B3" w:rsidR="004F63B3" w:rsidP="00FE4186" w:rsidRDefault="004F63B3" w14:paraId="74609E02" w14:textId="77777777">
            <w:pPr>
              <w:pStyle w:val="BodyText"/>
              <w:rPr>
                <w:rFonts w:cs="Arial" w:asciiTheme="minorHAnsi" w:hAnsiTheme="minorHAnsi"/>
                <w:sz w:val="16"/>
                <w:szCs w:val="16"/>
              </w:rPr>
            </w:pPr>
            <w:r w:rsidRPr="004F63B3">
              <w:rPr>
                <w:rFonts w:cs="Arial" w:asciiTheme="minorHAnsi" w:hAnsiTheme="minorHAnsi"/>
                <w:sz w:val="16"/>
                <w:szCs w:val="16"/>
              </w:rPr>
              <w:t xml:space="preserve">Effective morphine concentrations in the range of 10–20 ng/mL have been reported </w:t>
            </w:r>
            <w:r w:rsidRPr="004F63B3">
              <w:rPr>
                <w:rFonts w:cs="Arial" w:asciiTheme="minorHAnsi" w:hAnsiTheme="minorHAnsi"/>
                <w:noProof/>
                <w:sz w:val="16"/>
                <w:szCs w:val="16"/>
              </w:rPr>
              <w:t>[14, 15]</w:t>
            </w:r>
            <w:r w:rsidRPr="004F63B3">
              <w:rPr>
                <w:rFonts w:cs="Arial" w:asciiTheme="minorHAnsi" w:hAnsiTheme="minorHAnsi"/>
                <w:sz w:val="16"/>
                <w:szCs w:val="16"/>
              </w:rPr>
              <w:t xml:space="preserve">.  Concentrations above 20 nanogram/mL have been associated with respiratory depression </w:t>
            </w:r>
            <w:r w:rsidRPr="004F63B3">
              <w:rPr>
                <w:rFonts w:cs="Arial" w:asciiTheme="minorHAnsi" w:hAnsiTheme="minorHAnsi"/>
                <w:noProof/>
                <w:sz w:val="16"/>
                <w:szCs w:val="16"/>
              </w:rPr>
              <w:t>[16]</w:t>
            </w:r>
            <w:r w:rsidRPr="004F63B3">
              <w:rPr>
                <w:rFonts w:cs="Arial" w:asciiTheme="minorHAnsi" w:hAnsiTheme="minorHAnsi"/>
                <w:sz w:val="16"/>
                <w:szCs w:val="16"/>
              </w:rPr>
              <w:t>.</w:t>
            </w:r>
          </w:p>
          <w:p w:rsidRPr="004F63B3" w:rsidR="004F63B3" w:rsidP="00FE4186" w:rsidRDefault="004F63B3" w14:paraId="399AB4CE" w14:textId="77777777">
            <w:pPr>
              <w:pStyle w:val="BodyText"/>
              <w:rPr>
                <w:rFonts w:asciiTheme="minorHAnsi" w:hAnsiTheme="minorHAnsi"/>
                <w:sz w:val="16"/>
                <w:szCs w:val="16"/>
              </w:rPr>
            </w:pPr>
            <w:r w:rsidRPr="004F63B3">
              <w:rPr>
                <w:rFonts w:cs="Arial" w:asciiTheme="minorHAnsi" w:hAnsiTheme="minorHAnsi"/>
                <w:sz w:val="16"/>
                <w:szCs w:val="16"/>
              </w:rPr>
              <w:t xml:space="preserve">The mean morphine half-life is age related, reported as around 9 hours in ventilated preterm infants </w:t>
            </w:r>
            <w:r w:rsidRPr="004F63B3">
              <w:rPr>
                <w:rFonts w:cs="Arial" w:asciiTheme="minorHAnsi" w:hAnsiTheme="minorHAnsi"/>
                <w:noProof/>
                <w:sz w:val="16"/>
                <w:szCs w:val="16"/>
              </w:rPr>
              <w:t>[17, 18]</w:t>
            </w:r>
            <w:r w:rsidRPr="004F63B3">
              <w:rPr>
                <w:rFonts w:cs="Arial" w:asciiTheme="minorHAnsi" w:hAnsiTheme="minorHAnsi"/>
                <w:sz w:val="16"/>
                <w:szCs w:val="16"/>
              </w:rPr>
              <w:t xml:space="preserve">, 6 hours in term infants </w:t>
            </w:r>
            <w:r w:rsidRPr="004F63B3">
              <w:rPr>
                <w:rFonts w:cs="Arial" w:asciiTheme="minorHAnsi" w:hAnsiTheme="minorHAnsi"/>
                <w:noProof/>
                <w:sz w:val="16"/>
                <w:szCs w:val="16"/>
              </w:rPr>
              <w:t>[18, 19]</w:t>
            </w:r>
            <w:r w:rsidRPr="004F63B3">
              <w:rPr>
                <w:rFonts w:cs="Arial" w:asciiTheme="minorHAnsi" w:hAnsiTheme="minorHAnsi"/>
                <w:sz w:val="16"/>
                <w:szCs w:val="16"/>
              </w:rPr>
              <w:t xml:space="preserve"> and 2 hours for infants beyond 11 days age </w:t>
            </w:r>
            <w:r w:rsidRPr="004F63B3">
              <w:rPr>
                <w:rFonts w:cs="Arial" w:asciiTheme="minorHAnsi" w:hAnsiTheme="minorHAnsi"/>
                <w:noProof/>
                <w:sz w:val="16"/>
                <w:szCs w:val="16"/>
              </w:rPr>
              <w:t>[18]</w:t>
            </w:r>
            <w:r w:rsidRPr="004F63B3">
              <w:rPr>
                <w:rFonts w:cs="Arial" w:asciiTheme="minorHAnsi" w:hAnsiTheme="minorHAnsi"/>
                <w:sz w:val="16"/>
                <w:szCs w:val="16"/>
              </w:rPr>
              <w:t>.</w:t>
            </w:r>
          </w:p>
          <w:p w:rsidRPr="004F63B3" w:rsidR="004F63B3" w:rsidP="00FE4186" w:rsidRDefault="004F63B3" w14:paraId="7F1702E5" w14:textId="77777777">
            <w:pPr>
              <w:pStyle w:val="BodyText"/>
              <w:rPr>
                <w:rFonts w:cs="Arial" w:asciiTheme="minorHAnsi" w:hAnsiTheme="minorHAnsi"/>
                <w:sz w:val="16"/>
                <w:szCs w:val="16"/>
              </w:rPr>
            </w:pPr>
            <w:r w:rsidRPr="004F63B3">
              <w:rPr>
                <w:rFonts w:asciiTheme="minorHAnsi" w:hAnsiTheme="minorHAnsi" w:cstheme="minorHAnsi"/>
                <w:sz w:val="16"/>
                <w:szCs w:val="16"/>
              </w:rPr>
              <w:t xml:space="preserve">Stability: Ethanol-free morphine 2 mg/mL oral solution diluted to 0.4 mg/mL with sterile water and stored in a light protected container at room temperature retained 107% of its original concentration after 60 days </w:t>
            </w:r>
            <w:r w:rsidRPr="004F63B3">
              <w:rPr>
                <w:rFonts w:asciiTheme="minorHAnsi" w:hAnsiTheme="minorHAnsi" w:cstheme="minorHAnsi"/>
                <w:noProof/>
                <w:sz w:val="16"/>
                <w:szCs w:val="16"/>
              </w:rPr>
              <w:t>[20]</w:t>
            </w:r>
            <w:r w:rsidRPr="004F63B3">
              <w:rPr>
                <w:rFonts w:asciiTheme="minorHAnsi" w:hAnsiTheme="minorHAnsi" w:cstheme="minorHAnsi"/>
                <w:sz w:val="16"/>
                <w:szCs w:val="16"/>
              </w:rPr>
              <w:t>.</w:t>
            </w:r>
          </w:p>
        </w:tc>
      </w:tr>
      <w:tr w:rsidRPr="0022537E" w:rsidR="004F63B3" w:rsidTr="004F63B3" w14:paraId="24ED935F" w14:textId="77777777">
        <w:trPr>
          <w:trHeight w:val="9072"/>
        </w:trPr>
        <w:tc>
          <w:tcPr>
            <w:tcW w:w="2127" w:type="dxa"/>
          </w:tcPr>
          <w:p w:rsidRPr="0022537E" w:rsidR="004F63B3" w:rsidP="00FE4186" w:rsidRDefault="004F63B3" w14:paraId="469A7F78" w14:textId="77777777">
            <w:pPr>
              <w:pStyle w:val="BodyText"/>
              <w:rPr>
                <w:rFonts w:cs="Arial" w:asciiTheme="minorHAnsi" w:hAnsiTheme="minorHAnsi"/>
                <w:b/>
                <w:bCs/>
                <w:sz w:val="20"/>
              </w:rPr>
            </w:pPr>
            <w:r w:rsidRPr="0022537E">
              <w:rPr>
                <w:rFonts w:asciiTheme="minorHAnsi" w:hAnsiTheme="minorHAnsi"/>
                <w:b/>
                <w:sz w:val="20"/>
              </w:rPr>
              <w:lastRenderedPageBreak/>
              <w:t>References</w:t>
            </w:r>
          </w:p>
        </w:tc>
        <w:tc>
          <w:tcPr>
            <w:tcW w:w="7796" w:type="dxa"/>
          </w:tcPr>
          <w:p w:rsidRPr="004F63B3" w:rsidR="004F63B3" w:rsidP="00FE4186" w:rsidRDefault="004F63B3" w14:paraId="3018ECF8"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 Liu T, Lewis T, Gauda E, Gobburu J, Ivaturi V. Mechanistic Population Pharmacokinetics of Morphine in Neonates With Abstinence Syndrome After Oral Administration of Diluted Tincture of Opium. J Clin Pharmacol. 2016;56:1009-18.</w:t>
            </w:r>
          </w:p>
          <w:p w:rsidRPr="004F63B3" w:rsidR="004F63B3" w:rsidP="00FE4186" w:rsidRDefault="004F63B3" w14:paraId="4747BFC8"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2. Anand KJ, Ingraham J. Pediatric. Tolerance, dependence, and strategies for compassionate withdrawal of analgesics and anxiolytics in the pediatric ICU. Crit Care Nurse. 1996;16:87-93.</w:t>
            </w:r>
          </w:p>
          <w:p w:rsidRPr="004F63B3" w:rsidR="004F63B3" w:rsidP="00FE4186" w:rsidRDefault="004F63B3" w14:paraId="269545C2"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3. Anand KJ, International Evidence-Based Group for Neonatal P. Consensus statement for the prevention and management of pain in the newborn. Arch Pediatr Adolesc Med. 2001;155:173-80.</w:t>
            </w:r>
          </w:p>
          <w:p w:rsidRPr="004F63B3" w:rsidR="004F63B3" w:rsidP="00FE4186" w:rsidRDefault="004F63B3" w14:paraId="47A1DEBF"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4. Anand KJ, Willson DF, Berger J, Harrison R, Meert KL, Zimmerman J, Carcillo J, Newth CJ, Prodhan P, Dean JM, Nicholson C, Eunice Kennedy Shriver National Institute of Child H, Human Development Collaborative Pediatric Critical Care Research N. Tolerance and withdrawal from prolonged opioid use in critically ill children. Pediatrics. 2010;125:e1208-25.</w:t>
            </w:r>
          </w:p>
          <w:p w:rsidRPr="004F63B3" w:rsidR="004F63B3" w:rsidP="00FE4186" w:rsidRDefault="004F63B3" w14:paraId="27EB12DD"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5. Anderson BJ, Palmer GM. Recent developments in the pharmacological management of pain in children. Curr Opin Anaesthesiol. 2006;19:285-92.</w:t>
            </w:r>
          </w:p>
          <w:p w:rsidRPr="004F63B3" w:rsidR="004F63B3" w:rsidP="00FE4186" w:rsidRDefault="004F63B3" w14:paraId="003F7B16"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6. Bouwmeester NJ, Hop WC, van Dijk M, Anand KJ, van den Anker JN, Tibboel D. Postoperative pain in the neonate: age-related differences in morphine requirements and metabolism. Intensive Care Med. 2003;29:2009-15.</w:t>
            </w:r>
          </w:p>
          <w:p w:rsidRPr="004F63B3" w:rsidR="004F63B3" w:rsidP="00FE4186" w:rsidRDefault="004F63B3" w14:paraId="1E61A375"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7. NSW Health. Guidelines for the Management of Substance Use During Pregnancy Birth and the Postnatal Period. 2014.</w:t>
            </w:r>
          </w:p>
          <w:p w:rsidRPr="004F63B3" w:rsidR="004F63B3" w:rsidP="00FE4186" w:rsidRDefault="004F63B3" w14:paraId="22C87648"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8. National Clinical Guidelines for the Management of Drug Use during Pregnancy, Birth and the Early Development Years of the Newborn. 2006. www.health.nsw.gov.au/pubs/2006/ncg_druguse.html.</w:t>
            </w:r>
          </w:p>
          <w:p w:rsidRPr="004F63B3" w:rsidR="004F63B3" w:rsidP="00FE4186" w:rsidRDefault="004F63B3" w14:paraId="7F6E618C"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9. Osborn DA, Jeffery HE, Cole MJ. Opiate treatment for opiate withdrawal in newborn infants. Cochrane Database Syst Rev. 2010:CD002059.</w:t>
            </w:r>
          </w:p>
          <w:p w:rsidRPr="004F63B3" w:rsidR="004F63B3" w:rsidP="00FE4186" w:rsidRDefault="004F63B3" w14:paraId="48A13D4E"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10. Arnold JH, Truog RD, Orav EJ, Scavone JM, Hershenson MB. Tolerance and dependence in neonates sedated with fentanyl during extracorporeal membrane oxygenation. Anesthesiology. 1990;73:1136-40.</w:t>
            </w:r>
          </w:p>
          <w:p w:rsidRPr="004F63B3" w:rsidR="004F63B3" w:rsidP="00FE4186" w:rsidRDefault="004F63B3" w14:paraId="6CB9C681"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11. Katz R, Kelly HW, Hsi A. Prospective study on the occurrence of withdrawal in critically ill children who receive fentanyl by continuous infusion. Crit Care Med. 1994;22:763-7.</w:t>
            </w:r>
          </w:p>
          <w:p w:rsidRPr="004F63B3" w:rsidR="004F63B3" w:rsidP="00FE4186" w:rsidRDefault="004F63B3" w14:paraId="2E0135A8"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12. Franck LS, Vilardi J, Durand D, Powers R. Opioid withdrawal in neonates after continuous infusions of morphine or fentanyl during extracorporeal membrane oxygenation. Am J Crit Care. 1998;7:364-9.</w:t>
            </w:r>
          </w:p>
          <w:p w:rsidRPr="004F63B3" w:rsidR="004F63B3" w:rsidP="00FE4186" w:rsidRDefault="004F63B3" w14:paraId="7F742BFE"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13. Lugo RA, Kern SE. Clinical pharmacokinetics of morphine. J Pain Palliat Care Pharmacother. 2002;16:5-18.</w:t>
            </w:r>
          </w:p>
          <w:p w:rsidRPr="004F63B3" w:rsidR="004F63B3" w:rsidP="00FE4186" w:rsidRDefault="004F63B3" w14:paraId="26C8B7CB"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14. Lynn A, Nespeca MK, Bratton SL, Strauss SG, Shen DD. Clearance of morphine in postoperative infants during intravenous infusion: the influence of age and surgery. Anesth Analg. 1998;86:958-63.</w:t>
            </w:r>
          </w:p>
          <w:p w:rsidRPr="004F63B3" w:rsidR="004F63B3" w:rsidP="00FE4186" w:rsidRDefault="004F63B3" w14:paraId="7D3FBEC9"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15. Bouwmeester NJ, van den Anker JN, Hop WC, Anand KJ, Tibboel D. Age- and therapy-related effects on morphine requirements and plasma concentrations of morphine and its metabolites in postoperative infants. Br J Anaesth. 2003;90:642-52.</w:t>
            </w:r>
          </w:p>
          <w:p w:rsidRPr="004F63B3" w:rsidR="004F63B3" w:rsidP="00FE4186" w:rsidRDefault="004F63B3" w14:paraId="11870F45"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16. Lynn AM, Nespeca MK, Opheim KE, Slattery JT. Respiratory effects of intravenous morphine infusions in neonates, infants, and children after cardiac surgery. Anesth Analg. 1993;77:695-701.</w:t>
            </w:r>
          </w:p>
          <w:p w:rsidRPr="004F63B3" w:rsidR="004F63B3" w:rsidP="00FE4186" w:rsidRDefault="004F63B3" w14:paraId="0561936D"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17. Hartley R, Green M, Quinn M, Levene MI. Pharmacokinetics of morphine infusion in premature neonates. Arch Dis Child. 1993;69:55-8.</w:t>
            </w:r>
          </w:p>
          <w:p w:rsidRPr="004F63B3" w:rsidR="004F63B3" w:rsidP="00FE4186" w:rsidRDefault="004F63B3" w14:paraId="0B616969"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18. Kart T, Christrup LL, Rasmussen M. Recommended use of morphine in neonates, infants and children based on a literature review: Part 1--Pharmacokinetics. Paediatr Anaesth. 1997;7:5-11.</w:t>
            </w:r>
          </w:p>
          <w:p w:rsidRPr="004F63B3" w:rsidR="004F63B3" w:rsidP="00FE4186" w:rsidRDefault="004F63B3" w14:paraId="33158616"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19. Farrington EA, McGuinness GA, Johnson GF, Erenberg A, Leff RD. Continuous intravenous morphine infusion in postoperative newborn infants. Am J Perinatol. 1993;10:84-7.</w:t>
            </w:r>
          </w:p>
          <w:p w:rsidRPr="004F63B3" w:rsidR="004F63B3" w:rsidP="00FE4186" w:rsidRDefault="004F63B3" w14:paraId="5BC5C285" w14:textId="77777777">
            <w:pPr>
              <w:pStyle w:val="EndNoteBibliography"/>
              <w:rPr>
                <w:rFonts w:asciiTheme="minorHAnsi" w:hAnsiTheme="minorHAnsi"/>
                <w:sz w:val="16"/>
                <w:szCs w:val="16"/>
                <w:lang w:val="en-AU"/>
              </w:rPr>
            </w:pPr>
            <w:r w:rsidRPr="004F63B3">
              <w:rPr>
                <w:rFonts w:asciiTheme="minorHAnsi" w:hAnsiTheme="minorHAnsi"/>
                <w:sz w:val="16"/>
                <w:szCs w:val="16"/>
                <w:lang w:val="en-AU"/>
              </w:rPr>
              <w:t>20. Sauberan J, Rossi S, Kim JH. Stability of dilute oral morphine solution for neonatal abstinence syndrome. J Addict Med. 2013;7:113-5.</w:t>
            </w:r>
          </w:p>
          <w:p w:rsidRPr="004F63B3" w:rsidR="004F63B3" w:rsidP="00FE4186" w:rsidRDefault="004F63B3" w14:paraId="4CC461ED" w14:textId="77777777">
            <w:pPr>
              <w:pStyle w:val="EndNoteBibliography"/>
              <w:rPr>
                <w:rFonts w:asciiTheme="minorHAnsi" w:hAnsiTheme="minorHAnsi"/>
                <w:sz w:val="16"/>
                <w:szCs w:val="16"/>
              </w:rPr>
            </w:pPr>
            <w:r w:rsidRPr="004F63B3">
              <w:rPr>
                <w:rFonts w:asciiTheme="minorHAnsi" w:hAnsiTheme="minorHAnsi"/>
                <w:sz w:val="16"/>
                <w:szCs w:val="16"/>
                <w:lang w:val="en-AU"/>
              </w:rPr>
              <w:t xml:space="preserve">21. Saarenmaa E, Huttunen P, Leppaluoto J, Meretoja O, Fellman V. Advantages of fentanyl over morphine in analgesia for ventilated newborn infants after birth: A randomized trial. </w:t>
            </w:r>
            <w:r w:rsidRPr="004F63B3">
              <w:rPr>
                <w:rFonts w:asciiTheme="minorHAnsi" w:hAnsiTheme="minorHAnsi"/>
                <w:i/>
                <w:iCs/>
                <w:sz w:val="16"/>
                <w:szCs w:val="16"/>
                <w:lang w:val="en-AU"/>
              </w:rPr>
              <w:t xml:space="preserve">J Pediatr. </w:t>
            </w:r>
            <w:r w:rsidRPr="004F63B3">
              <w:rPr>
                <w:rFonts w:asciiTheme="minorHAnsi" w:hAnsiTheme="minorHAnsi"/>
                <w:sz w:val="16"/>
                <w:szCs w:val="16"/>
                <w:lang w:val="en-AU"/>
              </w:rPr>
              <w:t>Feb 1999;134(2):144-150.</w:t>
            </w:r>
          </w:p>
        </w:tc>
      </w:tr>
      <w:bookmarkEnd w:id="414"/>
    </w:tbl>
    <w:p w:rsidRPr="00E25790" w:rsidR="00115F48" w:rsidP="006F0321" w:rsidRDefault="00115F48" w14:paraId="17A6986D" w14:textId="77777777"/>
    <w:p w:rsidRPr="00E25790" w:rsidR="00115F48" w:rsidP="006F0321" w:rsidRDefault="00115F48" w14:paraId="333BF22C" w14:textId="77777777"/>
    <w:p w:rsidRPr="00E25790" w:rsidR="00115F48" w:rsidP="006F0321" w:rsidRDefault="00115F48" w14:paraId="1DC63E4E"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22537E" w:rsidR="0063380A" w:rsidTr="00FE4186" w14:paraId="056A7C0C" w14:textId="77777777">
        <w:tc>
          <w:tcPr>
            <w:tcW w:w="4535" w:type="dxa"/>
            <w:vAlign w:val="center"/>
          </w:tcPr>
          <w:p w:rsidRPr="00723C65" w:rsidR="0063380A" w:rsidP="00FE4186" w:rsidRDefault="0063380A" w14:paraId="6BA933BA" w14:textId="77777777">
            <w:r w:rsidRPr="00723C65">
              <w:t>Original version Date: 8/08/2015</w:t>
            </w:r>
          </w:p>
        </w:tc>
        <w:tc>
          <w:tcPr>
            <w:tcW w:w="4535" w:type="dxa"/>
            <w:vAlign w:val="center"/>
          </w:tcPr>
          <w:p w:rsidRPr="00723C65" w:rsidR="0063380A" w:rsidP="00FE4186" w:rsidRDefault="0063380A" w14:paraId="55324AC0" w14:textId="77777777">
            <w:r w:rsidRPr="00723C65">
              <w:t>Author: Neonatal Medicines Formulary Consensus Group</w:t>
            </w:r>
          </w:p>
        </w:tc>
      </w:tr>
      <w:tr w:rsidRPr="0022537E" w:rsidR="0063380A" w:rsidTr="00FE4186" w14:paraId="15E58C8C" w14:textId="77777777">
        <w:tc>
          <w:tcPr>
            <w:tcW w:w="4535" w:type="dxa"/>
            <w:vAlign w:val="center"/>
          </w:tcPr>
          <w:p w:rsidRPr="00723C65" w:rsidR="0063380A" w:rsidP="00FE4186" w:rsidRDefault="0063380A" w14:paraId="61259919" w14:textId="77777777">
            <w:pPr>
              <w:rPr>
                <w:bCs/>
              </w:rPr>
            </w:pPr>
            <w:r w:rsidRPr="00723C65">
              <w:t>Current Version number:  2.0</w:t>
            </w:r>
          </w:p>
        </w:tc>
        <w:tc>
          <w:tcPr>
            <w:tcW w:w="4535" w:type="dxa"/>
            <w:vAlign w:val="center"/>
          </w:tcPr>
          <w:p w:rsidRPr="00723C65" w:rsidR="0063380A" w:rsidP="00FE4186" w:rsidRDefault="0063380A" w14:paraId="7A6F2B85" w14:textId="4E31CE94">
            <w:r w:rsidRPr="00723C65">
              <w:t xml:space="preserve">Current Version Date:  </w:t>
            </w:r>
            <w:r>
              <w:t>27/6/2019</w:t>
            </w:r>
          </w:p>
        </w:tc>
      </w:tr>
      <w:tr w:rsidRPr="0022537E" w:rsidR="0063380A" w:rsidTr="00FE4186" w14:paraId="2C84A858" w14:textId="77777777">
        <w:tc>
          <w:tcPr>
            <w:tcW w:w="4535" w:type="dxa"/>
            <w:vAlign w:val="center"/>
          </w:tcPr>
          <w:p w:rsidRPr="00723C65" w:rsidR="0063380A" w:rsidP="00FE4186" w:rsidRDefault="0063380A" w14:paraId="224D9AD2" w14:textId="0F031110">
            <w:r w:rsidRPr="00723C65">
              <w:t xml:space="preserve">Risk Rating: </w:t>
            </w:r>
            <w:r>
              <w:t>Low</w:t>
            </w:r>
          </w:p>
        </w:tc>
        <w:tc>
          <w:tcPr>
            <w:tcW w:w="4535" w:type="dxa"/>
            <w:vAlign w:val="center"/>
          </w:tcPr>
          <w:p w:rsidRPr="00723C65" w:rsidR="0063380A" w:rsidP="00FE4186" w:rsidRDefault="0063380A" w14:paraId="16393A77" w14:textId="3D2E7286">
            <w:r w:rsidRPr="00723C65">
              <w:t xml:space="preserve">Due for Review:  </w:t>
            </w:r>
            <w:r>
              <w:t>27/6/2024</w:t>
            </w:r>
          </w:p>
        </w:tc>
      </w:tr>
      <w:tr w:rsidRPr="0022537E" w:rsidR="0063380A" w:rsidTr="00FE4186" w14:paraId="2511AE1E" w14:textId="77777777">
        <w:trPr>
          <w:trHeight w:val="344"/>
        </w:trPr>
        <w:tc>
          <w:tcPr>
            <w:tcW w:w="4535" w:type="dxa"/>
            <w:tcBorders>
              <w:bottom w:val="single" w:color="auto" w:sz="4" w:space="0"/>
            </w:tcBorders>
            <w:vAlign w:val="center"/>
          </w:tcPr>
          <w:p w:rsidRPr="00723C65" w:rsidR="0063380A" w:rsidP="00FE4186" w:rsidRDefault="0063380A" w14:paraId="783B0BE3" w14:textId="77777777">
            <w:r w:rsidRPr="00723C65">
              <w:t>Approval by: DTC</w:t>
            </w:r>
          </w:p>
        </w:tc>
        <w:tc>
          <w:tcPr>
            <w:tcW w:w="4535" w:type="dxa"/>
            <w:tcBorders>
              <w:bottom w:val="single" w:color="auto" w:sz="4" w:space="0"/>
            </w:tcBorders>
            <w:vAlign w:val="center"/>
          </w:tcPr>
          <w:p w:rsidRPr="00723C65" w:rsidR="0063380A" w:rsidP="00FE4186" w:rsidRDefault="0063380A" w14:paraId="0C43EE17" w14:textId="2AA3C778">
            <w:r w:rsidRPr="00723C65">
              <w:t xml:space="preserve">Approval Date: </w:t>
            </w:r>
            <w:r w:rsidR="00260BC8">
              <w:t>APRIL 2021</w:t>
            </w:r>
          </w:p>
        </w:tc>
      </w:tr>
    </w:tbl>
    <w:p w:rsidRPr="00E25790" w:rsidR="00115F48" w:rsidP="006F0321" w:rsidRDefault="00115F48" w14:paraId="2566BC44" w14:textId="06686CEF">
      <w:r>
        <w:br w:type="page"/>
      </w:r>
    </w:p>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06468F0E" w:rsidTr="06468F0E" w14:paraId="3841CD8A" w14:textId="77777777">
        <w:trPr>
          <w:trHeight w:val="720"/>
        </w:trPr>
        <w:tc>
          <w:tcPr>
            <w:tcW w:w="8980" w:type="dxa"/>
            <w:gridSpan w:val="2"/>
            <w:shd w:val="clear" w:color="auto" w:fill="FFFF00"/>
          </w:tcPr>
          <w:p w:rsidR="5E093892" w:rsidP="06468F0E" w:rsidRDefault="5E093892" w14:paraId="68C66972" w14:textId="105A9456">
            <w:pPr>
              <w:pStyle w:val="Heading1"/>
            </w:pPr>
            <w:bookmarkStart w:name="_Toc75340011" w:id="416"/>
            <w:r>
              <w:lastRenderedPageBreak/>
              <w:t>Naloxone</w:t>
            </w:r>
            <w:bookmarkEnd w:id="416"/>
            <w:r>
              <w:fldChar w:fldCharType="begin"/>
            </w:r>
            <w:r>
              <w:instrText>tc "Ampicillin" \l 0</w:instrText>
            </w:r>
            <w:r>
              <w:fldChar w:fldCharType="end"/>
            </w:r>
          </w:p>
        </w:tc>
      </w:tr>
      <w:tr w:rsidR="06468F0E" w:rsidTr="06468F0E" w14:paraId="5B545903" w14:textId="77777777">
        <w:trPr>
          <w:trHeight w:val="480"/>
        </w:trPr>
        <w:tc>
          <w:tcPr>
            <w:tcW w:w="4122" w:type="dxa"/>
            <w:shd w:val="clear" w:color="auto" w:fill="FFFF00"/>
          </w:tcPr>
          <w:p w:rsidR="06468F0E" w:rsidRDefault="06468F0E" w14:paraId="0D7D6CB2" w14:textId="5C8B9A84">
            <w:r>
              <w:t xml:space="preserve">Revision Date : </w:t>
            </w:r>
            <w:r w:rsidR="00611162">
              <w:t>16-10-2018</w:t>
            </w:r>
          </w:p>
        </w:tc>
        <w:tc>
          <w:tcPr>
            <w:tcW w:w="4858" w:type="dxa"/>
            <w:shd w:val="clear" w:color="auto" w:fill="FFFF00"/>
          </w:tcPr>
          <w:p w:rsidR="06468F0E" w:rsidRDefault="06468F0E" w14:paraId="4713C242" w14:textId="77777777">
            <w:r>
              <w:t>Approved : TC, KOH</w:t>
            </w:r>
          </w:p>
        </w:tc>
      </w:tr>
    </w:tbl>
    <w:p w:rsidRPr="00E25790" w:rsidR="00115F48" w:rsidP="006F0321" w:rsidRDefault="00115F48" w14:paraId="4E987E3B" w14:textId="77777777"/>
    <w:tbl>
      <w:tblPr>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
        <w:gridCol w:w="2279"/>
        <w:gridCol w:w="1874"/>
        <w:gridCol w:w="889"/>
        <w:gridCol w:w="3956"/>
        <w:gridCol w:w="51"/>
        <w:gridCol w:w="567"/>
      </w:tblGrid>
      <w:tr w:rsidR="00043BF0" w:rsidTr="008074AA" w14:paraId="08E2C5E2" w14:textId="77777777">
        <w:trPr>
          <w:trHeight w:val="540"/>
        </w:trPr>
        <w:tc>
          <w:tcPr>
            <w:tcW w:w="2302" w:type="dxa"/>
            <w:gridSpan w:val="2"/>
          </w:tcPr>
          <w:p w:rsidR="06468F0E" w:rsidP="06468F0E" w:rsidRDefault="06468F0E" w14:paraId="68AD0960" w14:textId="5E5CB578">
            <w:pPr>
              <w:rPr>
                <w:b/>
                <w:bCs/>
                <w:lang w:val="en-AU"/>
              </w:rPr>
            </w:pPr>
            <w:r w:rsidRPr="06468F0E">
              <w:rPr>
                <w:b/>
                <w:bCs/>
                <w:lang w:val="en-AU"/>
              </w:rPr>
              <w:t>Alert</w:t>
            </w:r>
          </w:p>
        </w:tc>
        <w:tc>
          <w:tcPr>
            <w:tcW w:w="7337" w:type="dxa"/>
            <w:gridSpan w:val="5"/>
          </w:tcPr>
          <w:p w:rsidR="0CDF9547" w:rsidP="06468F0E" w:rsidRDefault="0CDF9547" w14:paraId="0A377FC4" w14:textId="1DC2BEB7">
            <w:pPr>
              <w:rPr>
                <w:sz w:val="20"/>
                <w:lang w:val="en-AU"/>
              </w:rPr>
            </w:pPr>
            <w:r w:rsidRPr="06468F0E">
              <w:rPr>
                <w:sz w:val="20"/>
                <w:lang w:val="en-AU"/>
              </w:rPr>
              <w:t>Naloxone should not be administered to babies whose mothers are known or suspected to be addicted to opioids. In such cases, an abrupt and complete reversal of opioid effects may precipitate an acute withdrawal syndrome and seizures.</w:t>
            </w:r>
          </w:p>
          <w:p w:rsidR="06468F0E" w:rsidP="06468F0E" w:rsidRDefault="06468F0E" w14:paraId="4725189C" w14:textId="14BBDE23">
            <w:pPr>
              <w:rPr>
                <w:sz w:val="20"/>
                <w:lang w:val="en-AU"/>
              </w:rPr>
            </w:pPr>
          </w:p>
        </w:tc>
      </w:tr>
      <w:tr w:rsidR="00043BF0" w:rsidTr="008074AA" w14:paraId="7EBBAD90" w14:textId="77777777">
        <w:trPr>
          <w:trHeight w:val="1860"/>
        </w:trPr>
        <w:tc>
          <w:tcPr>
            <w:tcW w:w="2302" w:type="dxa"/>
            <w:gridSpan w:val="2"/>
          </w:tcPr>
          <w:p w:rsidR="06468F0E" w:rsidP="06468F0E" w:rsidRDefault="06468F0E" w14:paraId="041E1C46" w14:textId="77777777">
            <w:pPr>
              <w:rPr>
                <w:lang w:val="en-AU"/>
              </w:rPr>
            </w:pPr>
            <w:r w:rsidRPr="06468F0E">
              <w:rPr>
                <w:b/>
                <w:bCs/>
                <w:lang w:val="en-AU"/>
              </w:rPr>
              <w:t xml:space="preserve">Indication </w:t>
            </w:r>
            <w:r w:rsidRPr="06468F0E">
              <w:rPr>
                <w:lang w:val="en-AU"/>
              </w:rPr>
              <w:t xml:space="preserve">                        </w:t>
            </w:r>
          </w:p>
          <w:p w:rsidR="06468F0E" w:rsidP="06468F0E" w:rsidRDefault="06468F0E" w14:paraId="0DE1D84D" w14:textId="77777777">
            <w:pPr>
              <w:rPr>
                <w:lang w:val="en-AU"/>
              </w:rPr>
            </w:pPr>
          </w:p>
        </w:tc>
        <w:tc>
          <w:tcPr>
            <w:tcW w:w="7337" w:type="dxa"/>
            <w:gridSpan w:val="5"/>
          </w:tcPr>
          <w:p w:rsidR="29055184" w:rsidP="06468F0E" w:rsidRDefault="29055184" w14:paraId="453D1509" w14:textId="1B320D9C">
            <w:pPr>
              <w:rPr>
                <w:sz w:val="20"/>
                <w:lang w:val="en-AU"/>
              </w:rPr>
            </w:pPr>
            <w:r w:rsidRPr="06468F0E">
              <w:rPr>
                <w:sz w:val="20"/>
                <w:lang w:val="en-AU"/>
              </w:rPr>
              <w:t>1.  At birth – Reversal of respiratory depression secondary to maternal opioid administration.</w:t>
            </w:r>
          </w:p>
          <w:p w:rsidR="29055184" w:rsidP="06468F0E" w:rsidRDefault="29055184" w14:paraId="1E578AAE" w14:textId="1F361B82">
            <w:pPr>
              <w:rPr>
                <w:sz w:val="20"/>
                <w:lang w:val="en-AU"/>
              </w:rPr>
            </w:pPr>
            <w:r w:rsidRPr="06468F0E">
              <w:rPr>
                <w:sz w:val="20"/>
                <w:lang w:val="en-AU"/>
              </w:rPr>
              <w:t>2.  Reversal of opioid effects (to facilitate extubation or avoid intubation, post-operative apnoea)</w:t>
            </w:r>
          </w:p>
          <w:p w:rsidR="06468F0E" w:rsidP="06468F0E" w:rsidRDefault="06468F0E" w14:paraId="62432580" w14:textId="3769B323">
            <w:pPr>
              <w:rPr>
                <w:lang w:val="en-AU"/>
              </w:rPr>
            </w:pPr>
          </w:p>
        </w:tc>
      </w:tr>
      <w:tr w:rsidR="00043BF0" w:rsidTr="008074AA" w14:paraId="188BCB66" w14:textId="77777777">
        <w:trPr>
          <w:trHeight w:val="472"/>
        </w:trPr>
        <w:tc>
          <w:tcPr>
            <w:tcW w:w="2302" w:type="dxa"/>
            <w:gridSpan w:val="2"/>
          </w:tcPr>
          <w:p w:rsidR="06468F0E" w:rsidP="06468F0E" w:rsidRDefault="06468F0E" w14:paraId="03B956DC" w14:textId="77777777">
            <w:pPr>
              <w:rPr>
                <w:b/>
                <w:bCs/>
                <w:lang w:val="en-AU"/>
              </w:rPr>
            </w:pPr>
            <w:r w:rsidRPr="06468F0E">
              <w:rPr>
                <w:b/>
                <w:bCs/>
                <w:lang w:val="en-AU"/>
              </w:rPr>
              <w:t>Action</w:t>
            </w:r>
          </w:p>
        </w:tc>
        <w:tc>
          <w:tcPr>
            <w:tcW w:w="7337" w:type="dxa"/>
            <w:gridSpan w:val="5"/>
          </w:tcPr>
          <w:p w:rsidR="43BC209E" w:rsidP="06468F0E" w:rsidRDefault="43BC209E" w14:paraId="594991B9" w14:textId="3C532E9A">
            <w:pPr>
              <w:rPr>
                <w:sz w:val="20"/>
                <w:lang w:val="en-AU"/>
              </w:rPr>
            </w:pPr>
            <w:r w:rsidRPr="06468F0E">
              <w:rPr>
                <w:sz w:val="20"/>
                <w:lang w:val="en-AU"/>
              </w:rPr>
              <w:t>Opioid antagonist. Little or no agonistic activity.</w:t>
            </w:r>
          </w:p>
        </w:tc>
      </w:tr>
      <w:tr w:rsidR="00043BF0" w:rsidTr="008074AA" w14:paraId="1ABD4A51" w14:textId="77777777">
        <w:trPr>
          <w:trHeight w:val="660"/>
        </w:trPr>
        <w:tc>
          <w:tcPr>
            <w:tcW w:w="2302" w:type="dxa"/>
            <w:gridSpan w:val="2"/>
          </w:tcPr>
          <w:p w:rsidR="06468F0E" w:rsidP="06468F0E" w:rsidRDefault="06468F0E" w14:paraId="594554F4" w14:textId="77777777">
            <w:pPr>
              <w:rPr>
                <w:lang w:val="en-AU"/>
              </w:rPr>
            </w:pPr>
            <w:r w:rsidRPr="06468F0E">
              <w:rPr>
                <w:b/>
                <w:bCs/>
                <w:lang w:val="en-AU"/>
              </w:rPr>
              <w:t>Drug Type</w:t>
            </w:r>
            <w:r w:rsidRPr="06468F0E">
              <w:rPr>
                <w:lang w:val="en-AU"/>
              </w:rPr>
              <w:t xml:space="preserve">                                   </w:t>
            </w:r>
          </w:p>
        </w:tc>
        <w:tc>
          <w:tcPr>
            <w:tcW w:w="7337" w:type="dxa"/>
            <w:gridSpan w:val="5"/>
          </w:tcPr>
          <w:p w:rsidR="2ED24C4E" w:rsidP="06468F0E" w:rsidRDefault="2ED24C4E" w14:paraId="1814E448" w14:textId="059D5E4B">
            <w:pPr>
              <w:rPr>
                <w:sz w:val="20"/>
                <w:lang w:val="en-AU"/>
              </w:rPr>
            </w:pPr>
            <w:r w:rsidRPr="06468F0E">
              <w:rPr>
                <w:sz w:val="20"/>
                <w:lang w:val="en-AU"/>
              </w:rPr>
              <w:t>Semisynthetic opioid antagonist</w:t>
            </w:r>
          </w:p>
        </w:tc>
      </w:tr>
      <w:tr w:rsidR="00043BF0" w:rsidTr="008074AA" w14:paraId="4A64B58D" w14:textId="77777777">
        <w:trPr>
          <w:trHeight w:val="384"/>
        </w:trPr>
        <w:tc>
          <w:tcPr>
            <w:tcW w:w="2302" w:type="dxa"/>
            <w:gridSpan w:val="2"/>
          </w:tcPr>
          <w:p w:rsidR="06468F0E" w:rsidP="06468F0E" w:rsidRDefault="06468F0E" w14:paraId="34A02D7C" w14:textId="77777777">
            <w:pPr>
              <w:rPr>
                <w:lang w:val="en-AU"/>
              </w:rPr>
            </w:pPr>
            <w:r w:rsidRPr="06468F0E">
              <w:rPr>
                <w:b/>
                <w:bCs/>
                <w:lang w:val="en-AU"/>
              </w:rPr>
              <w:t xml:space="preserve">Trade Name </w:t>
            </w:r>
            <w:r w:rsidRPr="06468F0E">
              <w:rPr>
                <w:lang w:val="en-AU"/>
              </w:rPr>
              <w:t xml:space="preserve">                 </w:t>
            </w:r>
          </w:p>
        </w:tc>
        <w:tc>
          <w:tcPr>
            <w:tcW w:w="7337" w:type="dxa"/>
            <w:gridSpan w:val="5"/>
          </w:tcPr>
          <w:p w:rsidR="42D086B4" w:rsidP="06468F0E" w:rsidRDefault="4CA806F9" w14:paraId="16E319B4" w14:textId="08F11205">
            <w:pPr>
              <w:rPr>
                <w:sz w:val="20"/>
                <w:lang w:val="en-AU"/>
              </w:rPr>
            </w:pPr>
            <w:r w:rsidRPr="639A43EE">
              <w:rPr>
                <w:sz w:val="20"/>
                <w:lang w:val="en-AU"/>
              </w:rPr>
              <w:t>DBL Naloxone Hydrochloride Injection; Naloxone Juno Solution for injection; Naloxone Min- I-jet Prefilled syringe; Narcan Solution for injection; Prenoxad Solution for injection.</w:t>
            </w:r>
          </w:p>
          <w:p w:rsidR="06468F0E" w:rsidP="06468F0E" w:rsidRDefault="06468F0E" w14:paraId="2FD6BEB0" w14:textId="7E9F3233">
            <w:pPr>
              <w:rPr>
                <w:sz w:val="20"/>
                <w:lang w:val="en-AU"/>
              </w:rPr>
            </w:pPr>
          </w:p>
        </w:tc>
      </w:tr>
      <w:tr w:rsidR="00043BF0" w:rsidTr="008074AA" w14:paraId="46A8AB6C" w14:textId="77777777">
        <w:trPr>
          <w:trHeight w:val="564"/>
        </w:trPr>
        <w:tc>
          <w:tcPr>
            <w:tcW w:w="2302" w:type="dxa"/>
            <w:gridSpan w:val="2"/>
          </w:tcPr>
          <w:p w:rsidR="06468F0E" w:rsidP="06468F0E" w:rsidRDefault="06468F0E" w14:paraId="6B6FDF3B" w14:textId="77777777">
            <w:pPr>
              <w:rPr>
                <w:lang w:val="en-AU"/>
              </w:rPr>
            </w:pPr>
            <w:r w:rsidRPr="06468F0E">
              <w:rPr>
                <w:b/>
                <w:bCs/>
                <w:lang w:val="en-AU"/>
              </w:rPr>
              <w:t>Presentation</w:t>
            </w:r>
            <w:r w:rsidRPr="06468F0E">
              <w:rPr>
                <w:lang w:val="en-AU"/>
              </w:rPr>
              <w:t xml:space="preserve"> </w:t>
            </w:r>
          </w:p>
        </w:tc>
        <w:tc>
          <w:tcPr>
            <w:tcW w:w="7337" w:type="dxa"/>
            <w:gridSpan w:val="5"/>
          </w:tcPr>
          <w:p w:rsidR="4337EE7C" w:rsidP="06468F0E" w:rsidRDefault="4337EE7C" w14:paraId="6D29E9D2" w14:textId="65FEA8E8">
            <w:pPr>
              <w:rPr>
                <w:sz w:val="20"/>
                <w:lang w:val="en-AU"/>
              </w:rPr>
            </w:pPr>
            <w:r w:rsidRPr="06468F0E">
              <w:rPr>
                <w:sz w:val="20"/>
                <w:lang w:val="en-AU"/>
              </w:rPr>
              <w:t xml:space="preserve">Ampoule and prefilled syringe contain 400 microgram/mL of naloxone hydrochloride. Also contains sodium chloride. </w:t>
            </w:r>
          </w:p>
          <w:p w:rsidR="4337EE7C" w:rsidP="06468F0E" w:rsidRDefault="4337EE7C" w14:paraId="77CAD8CB" w14:textId="14F06B58">
            <w:pPr>
              <w:rPr>
                <w:sz w:val="20"/>
                <w:lang w:val="en-AU"/>
              </w:rPr>
            </w:pPr>
            <w:r w:rsidRPr="06468F0E">
              <w:rPr>
                <w:sz w:val="20"/>
                <w:lang w:val="en-AU"/>
              </w:rPr>
              <w:t>Contains 3.54 mg (0.15 mmol) of sodium. The solution is clear and colourless. pH 3.5</w:t>
            </w:r>
          </w:p>
          <w:p w:rsidR="06468F0E" w:rsidP="06468F0E" w:rsidRDefault="06468F0E" w14:paraId="5564DB0A" w14:textId="047062EE">
            <w:pPr>
              <w:rPr>
                <w:sz w:val="20"/>
                <w:lang w:val="en-AU"/>
              </w:rPr>
            </w:pPr>
          </w:p>
        </w:tc>
      </w:tr>
      <w:tr w:rsidR="00043BF0" w:rsidTr="008074AA" w14:paraId="18FC6FC1" w14:textId="77777777">
        <w:trPr>
          <w:trHeight w:val="2565"/>
        </w:trPr>
        <w:tc>
          <w:tcPr>
            <w:tcW w:w="2302" w:type="dxa"/>
            <w:gridSpan w:val="2"/>
          </w:tcPr>
          <w:p w:rsidR="06468F0E" w:rsidP="06468F0E" w:rsidRDefault="06468F0E" w14:paraId="39A15D3E" w14:textId="77777777">
            <w:pPr>
              <w:rPr>
                <w:lang w:val="en-AU"/>
              </w:rPr>
            </w:pPr>
            <w:r w:rsidRPr="06468F0E">
              <w:rPr>
                <w:b/>
                <w:bCs/>
                <w:lang w:val="en-AU"/>
              </w:rPr>
              <w:t>Dosage / Interval</w:t>
            </w:r>
            <w:r w:rsidRPr="06468F0E">
              <w:rPr>
                <w:lang w:val="en-AU"/>
              </w:rPr>
              <w:t xml:space="preserve">                           </w:t>
            </w:r>
          </w:p>
          <w:p w:rsidR="06468F0E" w:rsidP="06468F0E" w:rsidRDefault="06468F0E" w14:paraId="5677CEA9" w14:textId="77777777">
            <w:pPr>
              <w:rPr>
                <w:lang w:val="en-AU"/>
              </w:rPr>
            </w:pPr>
          </w:p>
        </w:tc>
        <w:tc>
          <w:tcPr>
            <w:tcW w:w="7337" w:type="dxa"/>
            <w:gridSpan w:val="5"/>
          </w:tcPr>
          <w:p w:rsidR="3C0820CF" w:rsidP="06468F0E" w:rsidRDefault="3C0820CF" w14:paraId="40E90D77" w14:textId="1FF64806">
            <w:pPr>
              <w:rPr>
                <w:sz w:val="20"/>
                <w:lang w:val="en-AU"/>
              </w:rPr>
            </w:pPr>
            <w:r w:rsidRPr="06468F0E">
              <w:rPr>
                <w:sz w:val="20"/>
                <w:lang w:val="en-AU"/>
              </w:rPr>
              <w:t xml:space="preserve">1.  At birth – newborn infants with respiratory depression secondary to maternal opioid administration 100 microgram/kg. Repeat dose as required. </w:t>
            </w:r>
          </w:p>
          <w:p w:rsidR="3C0820CF" w:rsidP="06468F0E" w:rsidRDefault="3C0820CF" w14:paraId="56B37D44" w14:textId="2680A160">
            <w:pPr>
              <w:rPr>
                <w:b/>
                <w:bCs/>
                <w:sz w:val="20"/>
                <w:lang w:val="en-AU"/>
              </w:rPr>
            </w:pPr>
            <w:r w:rsidRPr="06468F0E">
              <w:rPr>
                <w:b/>
                <w:bCs/>
                <w:sz w:val="20"/>
                <w:lang w:val="en-AU"/>
              </w:rPr>
              <w:t>DO NOT USE IN INFANTS BORN TO MOTHERS SUSPECTED OR KNOWN TO BE ADDICTED TO OPIOIDS.</w:t>
            </w:r>
          </w:p>
          <w:p w:rsidR="06468F0E" w:rsidP="06468F0E" w:rsidRDefault="06468F0E" w14:paraId="57F1DFE9" w14:textId="04F52D2D">
            <w:pPr>
              <w:rPr>
                <w:b/>
                <w:bCs/>
                <w:sz w:val="20"/>
                <w:lang w:val="en-AU"/>
              </w:rPr>
            </w:pPr>
          </w:p>
          <w:p w:rsidR="3C0820CF" w:rsidP="06468F0E" w:rsidRDefault="3C0820CF" w14:paraId="6CFCE337" w14:textId="7C76538B">
            <w:pPr>
              <w:rPr>
                <w:sz w:val="20"/>
                <w:lang w:val="en-AU"/>
              </w:rPr>
            </w:pPr>
            <w:r w:rsidRPr="06468F0E">
              <w:rPr>
                <w:sz w:val="20"/>
                <w:lang w:val="en-AU"/>
              </w:rPr>
              <w:t>2.  Reversal of opioid-induced respiratory depression</w:t>
            </w:r>
            <w:r w:rsidRPr="06468F0E" w:rsidR="6959177B">
              <w:rPr>
                <w:sz w:val="20"/>
                <w:lang w:val="en-AU"/>
              </w:rPr>
              <w:t xml:space="preserve"> </w:t>
            </w:r>
            <w:r w:rsidRPr="06468F0E">
              <w:rPr>
                <w:sz w:val="20"/>
                <w:lang w:val="en-AU"/>
              </w:rPr>
              <w:t>10–100 microgram/kg. Repeat dose as required.</w:t>
            </w:r>
          </w:p>
          <w:p w:rsidR="3C0820CF" w:rsidP="06468F0E" w:rsidRDefault="3C0820CF" w14:paraId="78453FC4" w14:textId="0CEB2287">
            <w:pPr>
              <w:rPr>
                <w:b/>
                <w:bCs/>
                <w:sz w:val="20"/>
                <w:lang w:val="en-AU"/>
              </w:rPr>
            </w:pPr>
            <w:r w:rsidRPr="06468F0E">
              <w:rPr>
                <w:b/>
                <w:bCs/>
                <w:sz w:val="20"/>
                <w:lang w:val="en-AU"/>
              </w:rPr>
              <w:t>CAUTION: Infants on prolonged opioid infusion may develop acute withdrawal</w:t>
            </w:r>
            <w:r w:rsidRPr="06468F0E" w:rsidR="05943D31">
              <w:rPr>
                <w:b/>
                <w:bCs/>
                <w:sz w:val="20"/>
                <w:lang w:val="en-AU"/>
              </w:rPr>
              <w:t xml:space="preserve"> </w:t>
            </w:r>
            <w:r w:rsidRPr="06468F0E">
              <w:rPr>
                <w:b/>
                <w:bCs/>
                <w:sz w:val="20"/>
                <w:lang w:val="en-AU"/>
              </w:rPr>
              <w:t>following naloxone</w:t>
            </w:r>
          </w:p>
          <w:p w:rsidR="06468F0E" w:rsidP="06468F0E" w:rsidRDefault="06468F0E" w14:paraId="4879F703" w14:textId="09BB7F09">
            <w:pPr>
              <w:rPr>
                <w:b/>
                <w:bCs/>
                <w:sz w:val="20"/>
                <w:lang w:val="en-AU"/>
              </w:rPr>
            </w:pPr>
          </w:p>
        </w:tc>
      </w:tr>
      <w:tr w:rsidR="00043BF0" w:rsidTr="008074AA" w14:paraId="2973DCE5" w14:textId="77777777">
        <w:trPr>
          <w:trHeight w:val="300"/>
        </w:trPr>
        <w:tc>
          <w:tcPr>
            <w:tcW w:w="2302" w:type="dxa"/>
            <w:gridSpan w:val="2"/>
          </w:tcPr>
          <w:p w:rsidR="06468F0E" w:rsidP="06468F0E" w:rsidRDefault="06468F0E" w14:paraId="08E4924C" w14:textId="2F4DF33B">
            <w:pPr>
              <w:rPr>
                <w:b/>
                <w:bCs/>
                <w:lang w:val="en-AU"/>
              </w:rPr>
            </w:pPr>
            <w:r w:rsidRPr="06468F0E">
              <w:rPr>
                <w:b/>
                <w:bCs/>
                <w:lang w:val="en-AU"/>
              </w:rPr>
              <w:t>Maximum dose</w:t>
            </w:r>
          </w:p>
        </w:tc>
        <w:tc>
          <w:tcPr>
            <w:tcW w:w="7337" w:type="dxa"/>
            <w:gridSpan w:val="5"/>
          </w:tcPr>
          <w:p w:rsidR="010C6C07" w:rsidP="06468F0E" w:rsidRDefault="010C6C07" w14:paraId="6023D484" w14:textId="6F5B2BD2">
            <w:pPr>
              <w:rPr>
                <w:sz w:val="20"/>
                <w:lang w:val="en-AU"/>
              </w:rPr>
            </w:pPr>
            <w:r w:rsidRPr="06468F0E">
              <w:rPr>
                <w:sz w:val="20"/>
                <w:lang w:val="en-AU"/>
              </w:rPr>
              <w:t>2mg</w:t>
            </w:r>
          </w:p>
        </w:tc>
      </w:tr>
      <w:tr w:rsidR="00043BF0" w:rsidTr="008074AA" w14:paraId="403B804A" w14:textId="77777777">
        <w:trPr>
          <w:trHeight w:val="525"/>
        </w:trPr>
        <w:tc>
          <w:tcPr>
            <w:tcW w:w="2302" w:type="dxa"/>
            <w:gridSpan w:val="2"/>
          </w:tcPr>
          <w:p w:rsidR="06468F0E" w:rsidP="06468F0E" w:rsidRDefault="06468F0E" w14:paraId="692DF74C" w14:textId="77777777">
            <w:pPr>
              <w:rPr>
                <w:lang w:val="en-AU"/>
              </w:rPr>
            </w:pPr>
            <w:r w:rsidRPr="06468F0E">
              <w:rPr>
                <w:b/>
                <w:bCs/>
                <w:lang w:val="en-AU"/>
              </w:rPr>
              <w:t xml:space="preserve">Route  </w:t>
            </w:r>
            <w:r w:rsidRPr="06468F0E">
              <w:rPr>
                <w:lang w:val="en-AU"/>
              </w:rPr>
              <w:t xml:space="preserve">                              </w:t>
            </w:r>
          </w:p>
          <w:p w:rsidR="06468F0E" w:rsidP="06468F0E" w:rsidRDefault="06468F0E" w14:paraId="38650620" w14:textId="77777777">
            <w:pPr>
              <w:rPr>
                <w:lang w:val="en-AU"/>
              </w:rPr>
            </w:pPr>
            <w:r w:rsidRPr="06468F0E">
              <w:rPr>
                <w:lang w:val="en-AU"/>
              </w:rPr>
              <w:t xml:space="preserve">           </w:t>
            </w:r>
          </w:p>
        </w:tc>
        <w:tc>
          <w:tcPr>
            <w:tcW w:w="7337" w:type="dxa"/>
            <w:gridSpan w:val="5"/>
          </w:tcPr>
          <w:p w:rsidR="585960D5" w:rsidP="06468F0E" w:rsidRDefault="585960D5" w14:paraId="6675978D" w14:textId="5D231A06">
            <w:pPr>
              <w:rPr>
                <w:sz w:val="20"/>
                <w:lang w:val="en-AU"/>
              </w:rPr>
            </w:pPr>
            <w:r w:rsidRPr="06468F0E">
              <w:rPr>
                <w:sz w:val="20"/>
                <w:lang w:val="en-AU"/>
              </w:rPr>
              <w:t>Intravenous (IV) injection preferred. IM suitable if the IV route is not available. Alternate routes: intraosseous and subcutaneous.,</w:t>
            </w:r>
          </w:p>
          <w:p w:rsidR="06468F0E" w:rsidP="06468F0E" w:rsidRDefault="06468F0E" w14:paraId="7929195F" w14:textId="64EB2F94">
            <w:pPr>
              <w:rPr>
                <w:sz w:val="20"/>
                <w:lang w:val="en-AU"/>
              </w:rPr>
            </w:pPr>
          </w:p>
        </w:tc>
      </w:tr>
      <w:tr w:rsidR="00043BF0" w:rsidTr="008074AA" w14:paraId="4FFAA286" w14:textId="77777777">
        <w:trPr>
          <w:trHeight w:val="300"/>
        </w:trPr>
        <w:tc>
          <w:tcPr>
            <w:tcW w:w="2302" w:type="dxa"/>
            <w:gridSpan w:val="2"/>
          </w:tcPr>
          <w:p w:rsidR="06468F0E" w:rsidP="06468F0E" w:rsidRDefault="06468F0E" w14:paraId="74DDBB5C" w14:textId="19D7DF4A">
            <w:pPr>
              <w:rPr>
                <w:highlight w:val="cyan"/>
                <w:lang w:val="en-AU"/>
              </w:rPr>
            </w:pPr>
            <w:r w:rsidRPr="06468F0E">
              <w:rPr>
                <w:b/>
                <w:bCs/>
                <w:lang w:val="en-AU"/>
              </w:rPr>
              <w:t>Preparation/Dilution</w:t>
            </w:r>
            <w:r w:rsidRPr="06468F0E">
              <w:rPr>
                <w:lang w:val="en-AU"/>
              </w:rPr>
              <w:t xml:space="preserve"> </w:t>
            </w:r>
          </w:p>
        </w:tc>
        <w:tc>
          <w:tcPr>
            <w:tcW w:w="7337" w:type="dxa"/>
            <w:gridSpan w:val="5"/>
          </w:tcPr>
          <w:p w:rsidR="4B075112" w:rsidP="06468F0E" w:rsidRDefault="4B075112" w14:paraId="56DF8EC1" w14:textId="4E296084">
            <w:pPr>
              <w:rPr>
                <w:rFonts w:asciiTheme="minorHAnsi" w:hAnsiTheme="minorHAnsi" w:eastAsiaTheme="minorEastAsia" w:cstheme="minorBidi"/>
                <w:sz w:val="20"/>
                <w:lang w:val="en-AU"/>
              </w:rPr>
            </w:pPr>
            <w:r w:rsidRPr="06468F0E">
              <w:rPr>
                <w:rFonts w:asciiTheme="minorHAnsi" w:hAnsiTheme="minorHAnsi" w:eastAsiaTheme="minorEastAsia" w:cstheme="minorBidi"/>
                <w:sz w:val="20"/>
                <w:lang w:val="en-AU"/>
              </w:rPr>
              <w:t>400 microgram/mL</w:t>
            </w:r>
          </w:p>
        </w:tc>
      </w:tr>
      <w:tr w:rsidR="00043BF0" w:rsidTr="008074AA" w14:paraId="1219FB42" w14:textId="77777777">
        <w:trPr>
          <w:trHeight w:val="855"/>
        </w:trPr>
        <w:tc>
          <w:tcPr>
            <w:tcW w:w="2302" w:type="dxa"/>
            <w:gridSpan w:val="2"/>
          </w:tcPr>
          <w:p w:rsidR="236EFB25" w:rsidP="06468F0E" w:rsidRDefault="236EFB25" w14:paraId="1E72B124" w14:textId="23734AD7">
            <w:pPr>
              <w:rPr>
                <w:lang w:val="en-AU"/>
              </w:rPr>
            </w:pPr>
            <w:r w:rsidRPr="06468F0E">
              <w:rPr>
                <w:b/>
                <w:bCs/>
                <w:lang w:val="en-AU"/>
              </w:rPr>
              <w:t>Administration</w:t>
            </w:r>
            <w:r w:rsidRPr="06468F0E" w:rsidR="06468F0E">
              <w:rPr>
                <w:b/>
                <w:bCs/>
                <w:lang w:val="en-AU"/>
              </w:rPr>
              <w:t xml:space="preserve">   </w:t>
            </w:r>
            <w:r w:rsidRPr="06468F0E" w:rsidR="06468F0E">
              <w:rPr>
                <w:lang w:val="en-AU"/>
              </w:rPr>
              <w:t xml:space="preserve">                           </w:t>
            </w:r>
          </w:p>
          <w:p w:rsidR="06468F0E" w:rsidP="06468F0E" w:rsidRDefault="06468F0E" w14:paraId="7B56C0BF" w14:textId="77777777">
            <w:pPr>
              <w:rPr>
                <w:lang w:val="en-AU"/>
              </w:rPr>
            </w:pPr>
          </w:p>
        </w:tc>
        <w:tc>
          <w:tcPr>
            <w:tcW w:w="7337" w:type="dxa"/>
            <w:gridSpan w:val="5"/>
          </w:tcPr>
          <w:p w:rsidR="29548DAE" w:rsidP="06468F0E" w:rsidRDefault="29548DAE" w14:paraId="1D4EA837" w14:textId="3090FCD3">
            <w:pPr>
              <w:rPr>
                <w:sz w:val="20"/>
                <w:lang w:val="en-AU"/>
              </w:rPr>
            </w:pPr>
            <w:r w:rsidRPr="06468F0E">
              <w:rPr>
                <w:sz w:val="20"/>
                <w:lang w:val="en-AU"/>
              </w:rPr>
              <w:t>Use undiluted.</w:t>
            </w:r>
          </w:p>
          <w:p w:rsidR="29548DAE" w:rsidP="06468F0E" w:rsidRDefault="29548DAE" w14:paraId="00AA9278" w14:textId="44DF356D">
            <w:pPr>
              <w:rPr>
                <w:sz w:val="20"/>
                <w:lang w:val="en-AU"/>
              </w:rPr>
            </w:pPr>
            <w:r w:rsidRPr="06468F0E">
              <w:rPr>
                <w:sz w:val="20"/>
                <w:lang w:val="en-AU"/>
              </w:rPr>
              <w:t>Intravenous (IV) bolus at proximal cannula site.</w:t>
            </w:r>
          </w:p>
          <w:p w:rsidR="29548DAE" w:rsidP="06468F0E" w:rsidRDefault="29548DAE" w14:paraId="0B50877B" w14:textId="7A6C9B5F">
            <w:pPr>
              <w:rPr>
                <w:sz w:val="20"/>
                <w:lang w:val="en-AU"/>
              </w:rPr>
            </w:pPr>
            <w:r w:rsidRPr="06468F0E">
              <w:rPr>
                <w:sz w:val="20"/>
                <w:lang w:val="en-AU"/>
              </w:rPr>
              <w:t>Intramuscular (IM).</w:t>
            </w:r>
          </w:p>
          <w:p w:rsidR="06468F0E" w:rsidP="06468F0E" w:rsidRDefault="06468F0E" w14:paraId="73C4C20A" w14:textId="395E792D">
            <w:pPr>
              <w:rPr>
                <w:lang w:val="en-AU"/>
              </w:rPr>
            </w:pPr>
          </w:p>
        </w:tc>
      </w:tr>
      <w:tr w:rsidR="00043BF0" w:rsidTr="008074AA" w14:paraId="62A63DEE" w14:textId="77777777">
        <w:trPr>
          <w:trHeight w:val="570"/>
        </w:trPr>
        <w:tc>
          <w:tcPr>
            <w:tcW w:w="2302" w:type="dxa"/>
            <w:gridSpan w:val="2"/>
          </w:tcPr>
          <w:p w:rsidR="1DB73C93" w:rsidP="06468F0E" w:rsidRDefault="1DB73C93" w14:paraId="5F52126D" w14:textId="393FDBA9">
            <w:pPr>
              <w:rPr>
                <w:b/>
                <w:bCs/>
                <w:lang w:val="en-AU"/>
              </w:rPr>
            </w:pPr>
            <w:r w:rsidRPr="06468F0E">
              <w:rPr>
                <w:b/>
                <w:bCs/>
                <w:lang w:val="en-AU"/>
              </w:rPr>
              <w:t>Monitoring</w:t>
            </w:r>
          </w:p>
        </w:tc>
        <w:tc>
          <w:tcPr>
            <w:tcW w:w="7337" w:type="dxa"/>
            <w:gridSpan w:val="5"/>
          </w:tcPr>
          <w:p w:rsidR="41748C09" w:rsidP="06468F0E" w:rsidRDefault="41748C09" w14:paraId="45D6578C" w14:textId="13ED234A">
            <w:pPr>
              <w:rPr>
                <w:sz w:val="20"/>
                <w:lang w:val="en-AU"/>
              </w:rPr>
            </w:pPr>
            <w:r w:rsidRPr="06468F0E">
              <w:rPr>
                <w:sz w:val="20"/>
                <w:lang w:val="en-AU"/>
              </w:rPr>
              <w:t>Continuous cardiorespiratory monitoring is required.</w:t>
            </w:r>
          </w:p>
          <w:p w:rsidR="41748C09" w:rsidP="06468F0E" w:rsidRDefault="41748C09" w14:paraId="376170DB" w14:textId="49BF3934">
            <w:r w:rsidRPr="06468F0E">
              <w:rPr>
                <w:sz w:val="20"/>
                <w:lang w:val="en-AU"/>
              </w:rPr>
              <w:t>Resuscitation facilities must be readily available.</w:t>
            </w:r>
          </w:p>
          <w:p w:rsidR="06468F0E" w:rsidP="06468F0E" w:rsidRDefault="06468F0E" w14:paraId="30136303" w14:textId="020FE7B6">
            <w:pPr>
              <w:rPr>
                <w:sz w:val="20"/>
                <w:lang w:val="en-AU"/>
              </w:rPr>
            </w:pPr>
          </w:p>
        </w:tc>
      </w:tr>
      <w:tr w:rsidR="00043BF0" w:rsidTr="008074AA" w14:paraId="16D04E0A" w14:textId="77777777">
        <w:trPr>
          <w:trHeight w:val="300"/>
        </w:trPr>
        <w:tc>
          <w:tcPr>
            <w:tcW w:w="2302" w:type="dxa"/>
            <w:gridSpan w:val="2"/>
          </w:tcPr>
          <w:p w:rsidR="06468F0E" w:rsidP="06468F0E" w:rsidRDefault="06468F0E" w14:paraId="6893A54A" w14:textId="77777777">
            <w:pPr>
              <w:rPr>
                <w:lang w:val="en-AU"/>
              </w:rPr>
            </w:pPr>
            <w:r w:rsidRPr="06468F0E">
              <w:rPr>
                <w:b/>
                <w:bCs/>
                <w:lang w:val="en-AU"/>
              </w:rPr>
              <w:lastRenderedPageBreak/>
              <w:t xml:space="preserve">Contraindications </w:t>
            </w:r>
            <w:r w:rsidRPr="06468F0E">
              <w:rPr>
                <w:lang w:val="en-AU"/>
              </w:rPr>
              <w:t xml:space="preserve">                          </w:t>
            </w:r>
          </w:p>
          <w:p w:rsidR="06468F0E" w:rsidP="06468F0E" w:rsidRDefault="06468F0E" w14:paraId="6C32A0E9" w14:textId="77777777">
            <w:pPr>
              <w:rPr>
                <w:lang w:val="en-AU"/>
              </w:rPr>
            </w:pPr>
          </w:p>
        </w:tc>
        <w:tc>
          <w:tcPr>
            <w:tcW w:w="7337" w:type="dxa"/>
            <w:gridSpan w:val="5"/>
          </w:tcPr>
          <w:p w:rsidR="06669529" w:rsidP="48F57877" w:rsidRDefault="2E7AD6D5" w14:paraId="17438868" w14:textId="293E956B">
            <w:pPr>
              <w:rPr>
                <w:sz w:val="20"/>
                <w:lang w:val="en-AU"/>
              </w:rPr>
            </w:pPr>
            <w:r w:rsidRPr="48F57877">
              <w:rPr>
                <w:sz w:val="20"/>
                <w:lang w:val="en-AU"/>
              </w:rPr>
              <w:t>Naloxone is contraindicated in persons known to be hypersensitive to it.</w:t>
            </w:r>
          </w:p>
          <w:p w:rsidR="06468F0E" w:rsidP="06468F0E" w:rsidRDefault="06468F0E" w14:paraId="586D7A41" w14:textId="136665C3">
            <w:pPr>
              <w:rPr>
                <w:sz w:val="20"/>
                <w:lang w:val="en-AU"/>
              </w:rPr>
            </w:pPr>
          </w:p>
        </w:tc>
      </w:tr>
      <w:tr w:rsidR="00043BF0" w:rsidTr="008074AA" w14:paraId="6A3167E4" w14:textId="77777777">
        <w:trPr>
          <w:trHeight w:val="1470"/>
        </w:trPr>
        <w:tc>
          <w:tcPr>
            <w:tcW w:w="2302" w:type="dxa"/>
            <w:gridSpan w:val="2"/>
          </w:tcPr>
          <w:p w:rsidR="06468F0E" w:rsidP="06468F0E" w:rsidRDefault="06468F0E" w14:paraId="3EA33DD1" w14:textId="6BC6AA05">
            <w:pPr>
              <w:rPr>
                <w:b/>
                <w:bCs/>
                <w:lang w:val="en-AU"/>
              </w:rPr>
            </w:pPr>
            <w:r w:rsidRPr="06468F0E">
              <w:rPr>
                <w:b/>
                <w:bCs/>
                <w:lang w:val="en-AU"/>
              </w:rPr>
              <w:t>Precautions</w:t>
            </w:r>
          </w:p>
        </w:tc>
        <w:tc>
          <w:tcPr>
            <w:tcW w:w="7337" w:type="dxa"/>
            <w:gridSpan w:val="5"/>
          </w:tcPr>
          <w:p w:rsidR="6A531B03" w:rsidP="06468F0E" w:rsidRDefault="6A531B03" w14:paraId="2FD6D222" w14:textId="0C5C663A">
            <w:pPr>
              <w:rPr>
                <w:sz w:val="20"/>
                <w:lang w:val="en-AU"/>
              </w:rPr>
            </w:pPr>
            <w:r w:rsidRPr="06468F0E">
              <w:rPr>
                <w:sz w:val="20"/>
                <w:lang w:val="en-AU"/>
              </w:rPr>
              <w:t>Naloxone should not be administered to babies whose mothers are known or suspected to be addicted to opioids.</w:t>
            </w:r>
          </w:p>
          <w:p w:rsidR="6A531B03" w:rsidP="06468F0E" w:rsidRDefault="6A531B03" w14:paraId="0993421C" w14:textId="03ABFFB6">
            <w:pPr>
              <w:rPr>
                <w:sz w:val="20"/>
                <w:lang w:val="en-AU"/>
              </w:rPr>
            </w:pPr>
            <w:r w:rsidRPr="06468F0E">
              <w:rPr>
                <w:sz w:val="20"/>
                <w:lang w:val="en-AU"/>
              </w:rPr>
              <w:t>The duration of action of naloxone is short, particularly after intravenous administration and subsequent observation of the infant should be instituted.</w:t>
            </w:r>
          </w:p>
          <w:p w:rsidR="06468F0E" w:rsidP="06468F0E" w:rsidRDefault="06468F0E" w14:paraId="7DDE3F29" w14:textId="4DFCB9EC">
            <w:pPr>
              <w:rPr>
                <w:sz w:val="20"/>
                <w:lang w:val="en-AU"/>
              </w:rPr>
            </w:pPr>
          </w:p>
        </w:tc>
      </w:tr>
      <w:tr w:rsidR="00043BF0" w:rsidTr="008074AA" w14:paraId="13786E26" w14:textId="77777777">
        <w:trPr>
          <w:trHeight w:val="440"/>
        </w:trPr>
        <w:tc>
          <w:tcPr>
            <w:tcW w:w="2302" w:type="dxa"/>
            <w:gridSpan w:val="2"/>
          </w:tcPr>
          <w:p w:rsidR="06468F0E" w:rsidP="06468F0E" w:rsidRDefault="06468F0E" w14:paraId="1A4494AF" w14:textId="77777777">
            <w:pPr>
              <w:rPr>
                <w:b/>
                <w:bCs/>
                <w:lang w:val="en-AU"/>
              </w:rPr>
            </w:pPr>
            <w:r w:rsidRPr="06468F0E">
              <w:rPr>
                <w:b/>
                <w:bCs/>
                <w:lang w:val="en-AU"/>
              </w:rPr>
              <w:t>Drug Interactions</w:t>
            </w:r>
          </w:p>
        </w:tc>
        <w:tc>
          <w:tcPr>
            <w:tcW w:w="7337" w:type="dxa"/>
            <w:gridSpan w:val="5"/>
          </w:tcPr>
          <w:p w:rsidR="57A389F9" w:rsidP="06468F0E" w:rsidRDefault="57A389F9" w14:paraId="6E43F2E2" w14:textId="2D32CAF2">
            <w:pPr>
              <w:rPr>
                <w:sz w:val="20"/>
                <w:lang w:val="en-AU"/>
              </w:rPr>
            </w:pPr>
            <w:r w:rsidRPr="06468F0E">
              <w:rPr>
                <w:sz w:val="20"/>
                <w:lang w:val="en-AU"/>
              </w:rPr>
              <w:t>Naloxone reverses the analgesic and other effects of opioid agonists.</w:t>
            </w:r>
          </w:p>
        </w:tc>
      </w:tr>
      <w:tr w:rsidR="00043BF0" w:rsidTr="008074AA" w14:paraId="4E83419F" w14:textId="77777777">
        <w:trPr>
          <w:trHeight w:val="1065"/>
        </w:trPr>
        <w:tc>
          <w:tcPr>
            <w:tcW w:w="2302" w:type="dxa"/>
            <w:gridSpan w:val="2"/>
          </w:tcPr>
          <w:p w:rsidR="06468F0E" w:rsidP="06468F0E" w:rsidRDefault="06468F0E" w14:paraId="402C9613" w14:textId="77777777">
            <w:pPr>
              <w:rPr>
                <w:lang w:val="en-AU"/>
              </w:rPr>
            </w:pPr>
            <w:r w:rsidRPr="06468F0E">
              <w:rPr>
                <w:b/>
                <w:bCs/>
                <w:lang w:val="en-AU"/>
              </w:rPr>
              <w:t xml:space="preserve">Adverse Reactions  </w:t>
            </w:r>
            <w:r w:rsidRPr="06468F0E">
              <w:rPr>
                <w:lang w:val="en-AU"/>
              </w:rPr>
              <w:t xml:space="preserve">       </w:t>
            </w:r>
          </w:p>
          <w:p w:rsidR="06468F0E" w:rsidP="06468F0E" w:rsidRDefault="06468F0E" w14:paraId="70DBBC34" w14:textId="77777777">
            <w:pPr>
              <w:rPr>
                <w:lang w:val="en-AU"/>
              </w:rPr>
            </w:pPr>
          </w:p>
        </w:tc>
        <w:tc>
          <w:tcPr>
            <w:tcW w:w="7337" w:type="dxa"/>
            <w:gridSpan w:val="5"/>
          </w:tcPr>
          <w:p w:rsidR="702015CD" w:rsidP="06468F0E" w:rsidRDefault="702015CD" w14:paraId="0B4B1DEE" w14:textId="6432F9C4">
            <w:pPr>
              <w:rPr>
                <w:sz w:val="20"/>
                <w:lang w:val="en-AU"/>
              </w:rPr>
            </w:pPr>
            <w:r w:rsidRPr="06468F0E">
              <w:rPr>
                <w:sz w:val="20"/>
                <w:lang w:val="en-AU"/>
              </w:rPr>
              <w:t>Naloxone administered to babies whose mothers are known or suspected to be addicted to opioids may precipitate an acute withdrawal syndrome (tachycardia, tachypnoea, hypertension, tremors, vomiting and seizures).</w:t>
            </w:r>
          </w:p>
          <w:p w:rsidR="702015CD" w:rsidP="06468F0E" w:rsidRDefault="3DA99953" w14:paraId="4F922D9C" w14:textId="6B91F318">
            <w:r w:rsidRPr="48F57877">
              <w:rPr>
                <w:sz w:val="20"/>
                <w:lang w:val="en-AU"/>
              </w:rPr>
              <w:t>Cardiac arrest – there is a case report of a preterm neonate who developed cardiac arrest.</w:t>
            </w:r>
            <w:r w:rsidRPr="48F57877" w:rsidR="3BA34626">
              <w:rPr>
                <w:sz w:val="20"/>
                <w:lang w:val="en-AU"/>
              </w:rPr>
              <w:t xml:space="preserve"> </w:t>
            </w:r>
            <w:r w:rsidRPr="48F57877">
              <w:rPr>
                <w:sz w:val="20"/>
                <w:lang w:val="en-AU"/>
              </w:rPr>
              <w:t>[18]</w:t>
            </w:r>
          </w:p>
          <w:p w:rsidR="06468F0E" w:rsidP="06468F0E" w:rsidRDefault="06468F0E" w14:paraId="420F4255" w14:textId="769EA00B">
            <w:pPr>
              <w:rPr>
                <w:sz w:val="20"/>
                <w:lang w:val="en-AU"/>
              </w:rPr>
            </w:pPr>
          </w:p>
        </w:tc>
      </w:tr>
      <w:tr w:rsidR="00043BF0" w:rsidTr="008074AA" w14:paraId="7034E148" w14:textId="77777777">
        <w:trPr>
          <w:trHeight w:val="570"/>
        </w:trPr>
        <w:tc>
          <w:tcPr>
            <w:tcW w:w="2302" w:type="dxa"/>
            <w:gridSpan w:val="2"/>
          </w:tcPr>
          <w:p w:rsidR="06468F0E" w:rsidP="06468F0E" w:rsidRDefault="06468F0E" w14:paraId="45A81C43" w14:textId="77777777">
            <w:pPr>
              <w:rPr>
                <w:b/>
                <w:bCs/>
                <w:lang w:val="en-AU"/>
              </w:rPr>
            </w:pPr>
            <w:r w:rsidRPr="06468F0E">
              <w:rPr>
                <w:b/>
                <w:bCs/>
                <w:lang w:val="en-AU"/>
              </w:rPr>
              <w:t>Compatibility</w:t>
            </w:r>
          </w:p>
          <w:p w:rsidR="06468F0E" w:rsidP="06468F0E" w:rsidRDefault="06468F0E" w14:paraId="2753CCBA" w14:textId="77777777">
            <w:pPr>
              <w:rPr>
                <w:lang w:val="en-AU"/>
              </w:rPr>
            </w:pPr>
          </w:p>
        </w:tc>
        <w:tc>
          <w:tcPr>
            <w:tcW w:w="7337" w:type="dxa"/>
            <w:gridSpan w:val="5"/>
          </w:tcPr>
          <w:p w:rsidR="4A7CFDFF" w:rsidP="06468F0E" w:rsidRDefault="4A7CFDFF" w14:paraId="3FC58A87" w14:textId="77A5DE4A">
            <w:pPr>
              <w:rPr>
                <w:sz w:val="20"/>
                <w:lang w:val="en-AU"/>
              </w:rPr>
            </w:pPr>
            <w:r w:rsidRPr="06468F0E">
              <w:rPr>
                <w:sz w:val="20"/>
                <w:lang w:val="en-AU"/>
              </w:rPr>
              <w:t>Fluids: Glucose 5%, sodium chloride 0.9%</w:t>
            </w:r>
          </w:p>
          <w:p w:rsidR="4A7CFDFF" w:rsidP="06468F0E" w:rsidRDefault="4A7CFDFF" w14:paraId="0DDB4AE5" w14:textId="19327537">
            <w:r w:rsidRPr="06468F0E">
              <w:rPr>
                <w:sz w:val="20"/>
                <w:lang w:val="en-AU"/>
              </w:rPr>
              <w:t>Y-site: Defibrotide, linezolid</w:t>
            </w:r>
          </w:p>
          <w:p w:rsidR="06468F0E" w:rsidP="06468F0E" w:rsidRDefault="06468F0E" w14:paraId="62082900" w14:textId="14E583F4">
            <w:pPr>
              <w:rPr>
                <w:sz w:val="20"/>
                <w:lang w:val="en-AU"/>
              </w:rPr>
            </w:pPr>
          </w:p>
        </w:tc>
      </w:tr>
      <w:tr w:rsidR="00043BF0" w:rsidTr="008074AA" w14:paraId="5A334517" w14:textId="77777777">
        <w:tc>
          <w:tcPr>
            <w:tcW w:w="2302" w:type="dxa"/>
            <w:gridSpan w:val="2"/>
          </w:tcPr>
          <w:p w:rsidR="06468F0E" w:rsidP="06468F0E" w:rsidRDefault="06468F0E" w14:paraId="2C398224" w14:textId="77777777">
            <w:pPr>
              <w:rPr>
                <w:lang w:val="en-AU"/>
              </w:rPr>
            </w:pPr>
            <w:r w:rsidRPr="06468F0E">
              <w:rPr>
                <w:b/>
                <w:bCs/>
                <w:lang w:val="en-AU"/>
              </w:rPr>
              <w:t>Incompatibility</w:t>
            </w:r>
            <w:r w:rsidRPr="06468F0E">
              <w:rPr>
                <w:lang w:val="en-AU"/>
              </w:rPr>
              <w:t xml:space="preserve">      </w:t>
            </w:r>
          </w:p>
          <w:p w:rsidR="06468F0E" w:rsidP="06468F0E" w:rsidRDefault="06468F0E" w14:paraId="38ACD82C" w14:textId="77777777">
            <w:pPr>
              <w:rPr>
                <w:lang w:val="en-AU"/>
              </w:rPr>
            </w:pPr>
            <w:r w:rsidRPr="06468F0E">
              <w:rPr>
                <w:lang w:val="en-AU"/>
              </w:rPr>
              <w:t xml:space="preserve">               </w:t>
            </w:r>
          </w:p>
        </w:tc>
        <w:tc>
          <w:tcPr>
            <w:tcW w:w="7337" w:type="dxa"/>
            <w:gridSpan w:val="5"/>
          </w:tcPr>
          <w:p w:rsidR="41DD33C2" w:rsidP="06468F0E" w:rsidRDefault="41DD33C2" w14:paraId="6740D4B6" w14:textId="6DE3DAD1">
            <w:pPr>
              <w:rPr>
                <w:sz w:val="20"/>
                <w:lang w:val="en-AU"/>
              </w:rPr>
            </w:pPr>
            <w:r w:rsidRPr="06468F0E">
              <w:rPr>
                <w:sz w:val="20"/>
                <w:lang w:val="en-AU"/>
              </w:rPr>
              <w:t>Do not mix in an alkaline solution.Fluids: No information</w:t>
            </w:r>
          </w:p>
          <w:p w:rsidR="41DD33C2" w:rsidP="06468F0E" w:rsidRDefault="41DD33C2" w14:paraId="41D1ADAA" w14:textId="674469BF">
            <w:r w:rsidRPr="06468F0E">
              <w:rPr>
                <w:sz w:val="20"/>
                <w:lang w:val="en-AU"/>
              </w:rPr>
              <w:t>Drugs: Solutions that contain bisulfites or sulfites , calcium folinate</w:t>
            </w:r>
          </w:p>
          <w:p w:rsidR="06468F0E" w:rsidP="06468F0E" w:rsidRDefault="06468F0E" w14:paraId="3C857BEB" w14:textId="6DFEB272">
            <w:pPr>
              <w:rPr>
                <w:sz w:val="20"/>
                <w:lang w:val="en-AU"/>
              </w:rPr>
            </w:pPr>
          </w:p>
        </w:tc>
      </w:tr>
      <w:tr w:rsidR="00043BF0" w:rsidTr="008074AA" w14:paraId="19189B0B" w14:textId="77777777">
        <w:trPr>
          <w:trHeight w:val="483"/>
        </w:trPr>
        <w:tc>
          <w:tcPr>
            <w:tcW w:w="2302" w:type="dxa"/>
            <w:gridSpan w:val="2"/>
          </w:tcPr>
          <w:p w:rsidR="06468F0E" w:rsidP="06468F0E" w:rsidRDefault="06468F0E" w14:paraId="24B1C819" w14:textId="77777777">
            <w:pPr>
              <w:rPr>
                <w:lang w:val="en-AU"/>
              </w:rPr>
            </w:pPr>
            <w:r w:rsidRPr="06468F0E">
              <w:rPr>
                <w:b/>
                <w:bCs/>
                <w:lang w:val="en-AU"/>
              </w:rPr>
              <w:t>Stability</w:t>
            </w:r>
            <w:r w:rsidRPr="06468F0E">
              <w:rPr>
                <w:lang w:val="en-AU"/>
              </w:rPr>
              <w:t xml:space="preserve">                  </w:t>
            </w:r>
          </w:p>
        </w:tc>
        <w:tc>
          <w:tcPr>
            <w:tcW w:w="7337" w:type="dxa"/>
            <w:gridSpan w:val="5"/>
          </w:tcPr>
          <w:p w:rsidR="081BF16D" w:rsidP="06468F0E" w:rsidRDefault="081BF16D" w14:paraId="188527AC" w14:textId="495588FB">
            <w:pPr>
              <w:rPr>
                <w:sz w:val="20"/>
                <w:lang w:val="en-AU"/>
              </w:rPr>
            </w:pPr>
            <w:r w:rsidRPr="06468F0E">
              <w:rPr>
                <w:sz w:val="20"/>
                <w:lang w:val="en-AU"/>
              </w:rPr>
              <w:t>Infusion solution: Use within 24 hours.</w:t>
            </w:r>
          </w:p>
        </w:tc>
      </w:tr>
      <w:tr w:rsidR="00043BF0" w:rsidTr="008074AA" w14:paraId="6111CA25" w14:textId="77777777">
        <w:trPr>
          <w:trHeight w:val="371"/>
        </w:trPr>
        <w:tc>
          <w:tcPr>
            <w:tcW w:w="2302" w:type="dxa"/>
            <w:gridSpan w:val="2"/>
          </w:tcPr>
          <w:p w:rsidR="06468F0E" w:rsidP="06468F0E" w:rsidRDefault="06468F0E" w14:paraId="5E8A536D" w14:textId="77777777">
            <w:pPr>
              <w:rPr>
                <w:lang w:val="en-AU"/>
              </w:rPr>
            </w:pPr>
            <w:r w:rsidRPr="06468F0E">
              <w:rPr>
                <w:b/>
                <w:bCs/>
                <w:lang w:val="en-AU"/>
              </w:rPr>
              <w:t xml:space="preserve">Storage </w:t>
            </w:r>
            <w:r w:rsidRPr="06468F0E">
              <w:rPr>
                <w:lang w:val="en-AU"/>
              </w:rPr>
              <w:t xml:space="preserve">            </w:t>
            </w:r>
          </w:p>
        </w:tc>
        <w:tc>
          <w:tcPr>
            <w:tcW w:w="7337" w:type="dxa"/>
            <w:gridSpan w:val="5"/>
          </w:tcPr>
          <w:p w:rsidR="68DBEE15" w:rsidP="06468F0E" w:rsidRDefault="68DBEE15" w14:paraId="07BED4A6" w14:textId="13C5B1A8">
            <w:pPr>
              <w:rPr>
                <w:sz w:val="20"/>
                <w:lang w:val="en-AU"/>
              </w:rPr>
            </w:pPr>
            <w:r w:rsidRPr="06468F0E">
              <w:rPr>
                <w:sz w:val="20"/>
                <w:lang w:val="en-AU"/>
              </w:rPr>
              <w:t>Ampoule and Min-I-Jet syringe: Store below 25°C. Protect from light. Do not freeze.</w:t>
            </w:r>
          </w:p>
        </w:tc>
      </w:tr>
      <w:tr w:rsidR="00043BF0" w:rsidTr="008074AA" w14:paraId="2AE79FA1" w14:textId="77777777">
        <w:trPr>
          <w:trHeight w:val="1485"/>
        </w:trPr>
        <w:tc>
          <w:tcPr>
            <w:tcW w:w="2302" w:type="dxa"/>
            <w:gridSpan w:val="2"/>
          </w:tcPr>
          <w:p w:rsidR="06468F0E" w:rsidP="06468F0E" w:rsidRDefault="06468F0E" w14:paraId="3E789332" w14:textId="77777777">
            <w:pPr>
              <w:rPr>
                <w:lang w:val="en-AU"/>
              </w:rPr>
            </w:pPr>
            <w:r w:rsidRPr="06468F0E">
              <w:rPr>
                <w:b/>
                <w:bCs/>
                <w:lang w:val="en-AU"/>
              </w:rPr>
              <w:t>Special Comments</w:t>
            </w:r>
            <w:r w:rsidRPr="06468F0E">
              <w:rPr>
                <w:lang w:val="en-AU"/>
              </w:rPr>
              <w:t xml:space="preserve">       </w:t>
            </w:r>
          </w:p>
          <w:p w:rsidR="06468F0E" w:rsidP="06468F0E" w:rsidRDefault="06468F0E" w14:paraId="46D4DE0D" w14:textId="77777777">
            <w:pPr>
              <w:rPr>
                <w:lang w:val="en-AU"/>
              </w:rPr>
            </w:pPr>
          </w:p>
        </w:tc>
        <w:tc>
          <w:tcPr>
            <w:tcW w:w="7337" w:type="dxa"/>
            <w:gridSpan w:val="5"/>
          </w:tcPr>
          <w:p w:rsidR="1C23A30F" w:rsidP="06468F0E" w:rsidRDefault="1C23A30F" w14:paraId="6F4DF35F" w14:textId="787D0C79">
            <w:pPr>
              <w:rPr>
                <w:sz w:val="20"/>
                <w:lang w:val="en-AU"/>
              </w:rPr>
            </w:pPr>
            <w:r w:rsidRPr="06468F0E">
              <w:rPr>
                <w:sz w:val="20"/>
                <w:lang w:val="en-AU"/>
              </w:rPr>
              <w:t>Always establish and maintain adequate respiration before administration of naloxone to a newborn infant. The majority of infants born following intrapartum maternal opioid administration do not require administration of an opioid antagonist.</w:t>
            </w:r>
          </w:p>
          <w:p w:rsidR="1C23A30F" w:rsidP="06468F0E" w:rsidRDefault="1C23A30F" w14:paraId="5C7FF11E" w14:textId="3E1402FD">
            <w:r w:rsidRPr="06468F0E">
              <w:rPr>
                <w:sz w:val="20"/>
                <w:lang w:val="en-AU"/>
              </w:rPr>
              <w:t>Opioid antagonists should not be used as a substitute for provision of usual methods of clinical care and resuscitation of the newly born infant.</w:t>
            </w:r>
          </w:p>
          <w:p w:rsidR="06468F0E" w:rsidP="06468F0E" w:rsidRDefault="06468F0E" w14:paraId="7215AF36" w14:textId="1DFE768C">
            <w:pPr>
              <w:rPr>
                <w:sz w:val="20"/>
                <w:lang w:val="en-AU"/>
              </w:rPr>
            </w:pPr>
          </w:p>
          <w:p w:rsidR="06468F0E" w:rsidP="06468F0E" w:rsidRDefault="06468F0E" w14:paraId="7F97C8E5" w14:textId="0A8461EB">
            <w:pPr>
              <w:rPr>
                <w:sz w:val="20"/>
                <w:lang w:val="en-AU"/>
              </w:rPr>
            </w:pPr>
          </w:p>
        </w:tc>
      </w:tr>
      <w:tr w:rsidR="00043BF0" w:rsidTr="008074AA" w14:paraId="64B73D27" w14:textId="77777777">
        <w:trPr>
          <w:trHeight w:val="13950"/>
        </w:trPr>
        <w:tc>
          <w:tcPr>
            <w:tcW w:w="2302" w:type="dxa"/>
            <w:gridSpan w:val="2"/>
          </w:tcPr>
          <w:p w:rsidR="06468F0E" w:rsidP="06468F0E" w:rsidRDefault="06468F0E" w14:paraId="0283C50B" w14:textId="77777777">
            <w:pPr>
              <w:rPr>
                <w:b/>
                <w:bCs/>
                <w:lang w:val="en-AU"/>
              </w:rPr>
            </w:pPr>
            <w:r w:rsidRPr="06468F0E">
              <w:rPr>
                <w:b/>
                <w:bCs/>
                <w:lang w:val="en-AU"/>
              </w:rPr>
              <w:lastRenderedPageBreak/>
              <w:t>Evidence summary</w:t>
            </w:r>
          </w:p>
        </w:tc>
        <w:tc>
          <w:tcPr>
            <w:tcW w:w="7337" w:type="dxa"/>
            <w:gridSpan w:val="5"/>
          </w:tcPr>
          <w:p w:rsidRPr="00ED53EB" w:rsidR="0C551A92" w:rsidP="06468F0E" w:rsidRDefault="0C551A92" w14:paraId="2BA4500A" w14:textId="6A044C44">
            <w:pPr>
              <w:rPr>
                <w:sz w:val="16"/>
                <w:szCs w:val="16"/>
                <w:lang w:val="en-AU"/>
              </w:rPr>
            </w:pPr>
            <w:r w:rsidRPr="00ED53EB">
              <w:rPr>
                <w:b/>
                <w:bCs/>
                <w:sz w:val="16"/>
                <w:szCs w:val="16"/>
                <w:lang w:val="en-AU"/>
              </w:rPr>
              <w:t>Efficacy:</w:t>
            </w:r>
            <w:r w:rsidRPr="00ED53EB">
              <w:rPr>
                <w:sz w:val="16"/>
                <w:szCs w:val="16"/>
                <w:lang w:val="en-AU"/>
              </w:rPr>
              <w:t xml:space="preserve"> Pediatric Advanced Life Support Guidelines [1] and Cardiac arrest in special circumstances Guidelines [2]: Naloxone reverses the respiratory depression of opioid overdose, but in persons with long-term addictions or cardiovascular disease, naloxone may markedly increase heart rate and blood pressure and cause acute pulmonary oedema, cardiac arrhythmias (including asystole) and seizures. Ventilation before administration of naloxone appears to reduce these adverse effects. Intramuscular administration of naloxone may lower the risk by slowing the onset of drug effect. The use of naloxone can prevent the need for intubation. Titrate dose until the patient is breathing adequately and has protective airway reflexes. All patients treated with naloxone must be monitored. </w:t>
            </w:r>
            <w:r w:rsidRPr="00ED53EB">
              <w:rPr>
                <w:b/>
                <w:bCs/>
                <w:sz w:val="16"/>
                <w:szCs w:val="16"/>
                <w:lang w:val="en-AU"/>
              </w:rPr>
              <w:t>Opioid-exposed newborn infants with respiratory maladaptation to birth:</w:t>
            </w:r>
            <w:r w:rsidRPr="00ED53EB">
              <w:rPr>
                <w:sz w:val="16"/>
                <w:szCs w:val="16"/>
                <w:lang w:val="en-AU"/>
              </w:rPr>
              <w:t xml:space="preserve"> Systematic review [3] reported 9 trials (316 infants) that compared the effects of naloxone versus placebo. The dose of naloxone used ranged from 0.01 to 0.07 mg/kg with the exception of one study [4] in which a total dose of 0.2 mg IMI was given. None of these trials specifically recruited infants with cardiorespiratory or neurological depression. The main outcomes reported were measures of respiratory function in the first six hours of life. There is some evidence that naloxone increases alveolar ventilation. The trials did not assess the effect on admission to a neonatal unit and failure to establish breastfeeding. The existing evidence from randomised controlled trials is insufficient to determine whether naloxone confers any important benefits to newborn infants with cardiorespiratory or neurological depression that may be due to intrauterine exposure to opioid. (LOE I GOR D)</w:t>
            </w:r>
          </w:p>
          <w:p w:rsidRPr="00ED53EB" w:rsidR="0C551A92" w:rsidP="06468F0E" w:rsidRDefault="0C551A92" w14:paraId="068F5DE1" w14:textId="12E99CAC">
            <w:pPr>
              <w:rPr>
                <w:sz w:val="16"/>
                <w:szCs w:val="16"/>
                <w:lang w:val="en-AU"/>
              </w:rPr>
            </w:pPr>
            <w:r w:rsidRPr="00ED53EB">
              <w:rPr>
                <w:b/>
                <w:bCs/>
                <w:sz w:val="16"/>
                <w:szCs w:val="16"/>
                <w:lang w:val="en-AU"/>
              </w:rPr>
              <w:t>Reversal of opioid effect to facilitate extubation:</w:t>
            </w:r>
            <w:r w:rsidRPr="00ED53EB">
              <w:rPr>
                <w:sz w:val="16"/>
                <w:szCs w:val="16"/>
                <w:lang w:val="en-AU"/>
              </w:rPr>
              <w:t xml:space="preserve"> A single case series reported the outcomes of 31 infants with a mean birth weight of 1178 grams and mean gestational age 28.4 weeks who were intubated after IV atropine 0.02 mg/kg, fentanyl 3 micrograms/kg and succinylcholine 2 mg/kg for surfactant administration. Infants with an adequate respiratory drive were immediately extubated while those with apnoea or hypopnoeaa received naloxone 0.1 mg/kg/dose, repeated if needed. Twelve of thirteen (92%) infants in the naloxone group were extubated within 30 minutes of surfactant administration while 12/18 (67%) in the non-naloxone group were extubated within the same time frame. No adverse reactions were noted.[4] Conclusion: Naloxone may be effective in reversing the respiratory depression from opioid administration and facilitate extubation in preterm infants intubated for the InSurE procedure. Clinical trials are required to confirm this finding and its safety. (LOE IV GOR D).</w:t>
            </w:r>
          </w:p>
          <w:p w:rsidRPr="00ED53EB" w:rsidR="0C551A92" w:rsidP="06468F0E" w:rsidRDefault="0C551A92" w14:paraId="61F78192" w14:textId="6A483C37">
            <w:pPr>
              <w:rPr>
                <w:sz w:val="16"/>
                <w:szCs w:val="16"/>
                <w:lang w:val="en-AU"/>
              </w:rPr>
            </w:pPr>
            <w:r w:rsidRPr="00ED53EB">
              <w:rPr>
                <w:b/>
                <w:bCs/>
                <w:sz w:val="16"/>
                <w:szCs w:val="16"/>
                <w:lang w:val="en-AU"/>
              </w:rPr>
              <w:t>Reduction of side effects of opioids:</w:t>
            </w:r>
            <w:r w:rsidRPr="00ED53EB">
              <w:rPr>
                <w:sz w:val="16"/>
                <w:szCs w:val="16"/>
                <w:lang w:val="en-AU"/>
              </w:rPr>
              <w:t xml:space="preserve"> There are no trials in newborns specifically for this indication. There are case reports of response to naloxone in newborn infants with morphine-induced muscle rigidity and hypoxaemia during mechanical ventilation. [6, 7] In an RCT, low dose naloxone infusion 0.25 microgram/kg/hour did not decrease fentanyl requirements in critically ill, mechanically ventilated children aged 1 day to 18 years. [8] In 23 children aged 5 months to 18 years in intensive care receiving opioid therapy, enteral naloxone for treating constipation increased stool output but induced withdrawal symptoms. [9] Conclusion: There is no role for naloxone for reducing the side effects of opioids in newborn infants. (GOR B – evidence for harm)</w:t>
            </w:r>
          </w:p>
          <w:p w:rsidRPr="00ED53EB" w:rsidR="0C551A92" w:rsidP="06468F0E" w:rsidRDefault="0C551A92" w14:paraId="2F93F88F" w14:textId="7AF5C5A5">
            <w:pPr>
              <w:rPr>
                <w:sz w:val="16"/>
                <w:szCs w:val="16"/>
                <w:lang w:val="en-AU"/>
              </w:rPr>
            </w:pPr>
            <w:r w:rsidRPr="00ED53EB">
              <w:rPr>
                <w:b/>
                <w:bCs/>
                <w:sz w:val="16"/>
                <w:szCs w:val="16"/>
                <w:lang w:val="en-AU"/>
              </w:rPr>
              <w:t>Post-operative apnoeas in preterm infants:</w:t>
            </w:r>
            <w:r w:rsidRPr="00ED53EB">
              <w:rPr>
                <w:sz w:val="16"/>
                <w:szCs w:val="16"/>
                <w:lang w:val="en-AU"/>
              </w:rPr>
              <w:t xml:space="preserve"> The combined effect of anaesthetics and prematurity, each of which itself results in raised endorphin activity, may result in apnoeas in preterm infants in the perioperative period. Naloxone at a dose of 5–10 microgram/kg has been used to reverse respiratory effects of anaesthetics and narcotics in the post-operative period.[14–16]</w:t>
            </w:r>
          </w:p>
          <w:p w:rsidRPr="00ED53EB" w:rsidR="0C551A92" w:rsidP="06468F0E" w:rsidRDefault="0C551A92" w14:paraId="6931D911" w14:textId="185097C2">
            <w:pPr>
              <w:rPr>
                <w:sz w:val="16"/>
                <w:szCs w:val="16"/>
              </w:rPr>
            </w:pPr>
            <w:r w:rsidRPr="00ED53EB">
              <w:rPr>
                <w:sz w:val="16"/>
                <w:szCs w:val="16"/>
                <w:lang w:val="en-AU"/>
              </w:rPr>
              <w:t xml:space="preserve"> </w:t>
            </w:r>
            <w:r w:rsidRPr="00ED53EB">
              <w:rPr>
                <w:b/>
                <w:bCs/>
                <w:sz w:val="16"/>
                <w:szCs w:val="16"/>
                <w:lang w:val="en-AU"/>
              </w:rPr>
              <w:t>Safety:</w:t>
            </w:r>
            <w:r w:rsidRPr="00ED53EB">
              <w:rPr>
                <w:sz w:val="16"/>
                <w:szCs w:val="16"/>
                <w:lang w:val="en-AU"/>
              </w:rPr>
              <w:t xml:space="preserve"> There are few data regarding adverse effects of naloxone in newborn infants. There is concern regarding precipitating opioid withdrawal in patients with prolonged opioid exposure.[1, 2] Naloxone should not be administered to babies whose mothers are known or suspected to be addicted to opioids. In such cases, an abrupt and complete reversal of opioid effects may precipitate an acute withdrawal syndrome.[3,17] There is a case report of</w:t>
            </w:r>
          </w:p>
          <w:p w:rsidRPr="00ED53EB" w:rsidR="0C551A92" w:rsidP="06468F0E" w:rsidRDefault="0C551A92" w14:paraId="206855A0" w14:textId="1335BC18">
            <w:pPr>
              <w:rPr>
                <w:sz w:val="16"/>
                <w:szCs w:val="16"/>
              </w:rPr>
            </w:pPr>
            <w:r w:rsidRPr="00ED53EB">
              <w:rPr>
                <w:sz w:val="16"/>
                <w:szCs w:val="16"/>
                <w:lang w:val="en-AU"/>
              </w:rPr>
              <w:t xml:space="preserve"> a preterm neonate who developed cardiac arrest following treatment with naloxone (dose 100 mcg/kg) for a ten-fold morphine overdose.[18]</w:t>
            </w:r>
          </w:p>
          <w:p w:rsidRPr="00ED53EB" w:rsidR="0C551A92" w:rsidP="06468F0E" w:rsidRDefault="0C551A92" w14:paraId="34431CEA" w14:textId="67C3AA93">
            <w:pPr>
              <w:rPr>
                <w:sz w:val="16"/>
                <w:szCs w:val="16"/>
                <w:lang w:val="en-AU"/>
              </w:rPr>
            </w:pPr>
            <w:r w:rsidRPr="00ED53EB">
              <w:rPr>
                <w:b/>
                <w:bCs/>
                <w:sz w:val="16"/>
                <w:szCs w:val="16"/>
                <w:lang w:val="en-AU"/>
              </w:rPr>
              <w:t>Pharmacokinetics/pharmacodynamics:</w:t>
            </w:r>
            <w:r w:rsidRPr="00ED53EB">
              <w:rPr>
                <w:sz w:val="16"/>
                <w:szCs w:val="16"/>
                <w:lang w:val="en-AU"/>
              </w:rPr>
              <w:t xml:space="preserve"> In newborns, after intravenous administration of 35 (n = 6) and 70 (n = 6) micrograms of naloxone, peak levels of 4 to 15 ng/mL and 9 to 20 ng/mL respectively were reached in 5 to 40 min and the mean plasma half-life after both doses was 3.1 ± 0.5 hours. Peak levels of 7 to 35 ng/ml were reached 0.5 to 2 hour after intramuscular administration of 200 microgram (n = 17). The fall in concentration after this</w:t>
            </w:r>
          </w:p>
          <w:p w:rsidRPr="00ED53EB" w:rsidR="06468F0E" w:rsidP="00ED53EB" w:rsidRDefault="0C551A92" w14:paraId="29073D9D" w14:textId="1A557420">
            <w:pPr>
              <w:rPr>
                <w:sz w:val="16"/>
                <w:szCs w:val="16"/>
                <w:lang w:val="en-AU"/>
              </w:rPr>
            </w:pPr>
            <w:r w:rsidRPr="00ED53EB">
              <w:rPr>
                <w:sz w:val="16"/>
                <w:szCs w:val="16"/>
                <w:lang w:val="en-AU"/>
              </w:rPr>
              <w:t>was consistently biphasic with the levels declining rapidly between one and four hours and</w:t>
            </w:r>
            <w:r w:rsidRPr="00ED53EB" w:rsidR="6121CD55">
              <w:rPr>
                <w:sz w:val="16"/>
                <w:szCs w:val="16"/>
                <w:lang w:val="en-AU"/>
              </w:rPr>
              <w:t xml:space="preserve"> </w:t>
            </w:r>
            <w:r w:rsidRPr="00ED53EB">
              <w:rPr>
                <w:sz w:val="16"/>
                <w:szCs w:val="16"/>
                <w:lang w:val="en-AU"/>
              </w:rPr>
              <w:t>then slowly from four hours onwards. Plasma concentrations at 24–36 hours after IM</w:t>
            </w:r>
            <w:r w:rsidRPr="00ED53EB" w:rsidR="39FB4447">
              <w:rPr>
                <w:sz w:val="16"/>
                <w:szCs w:val="16"/>
                <w:lang w:val="en-AU"/>
              </w:rPr>
              <w:t xml:space="preserve"> </w:t>
            </w:r>
            <w:r w:rsidRPr="00ED53EB">
              <w:rPr>
                <w:sz w:val="16"/>
                <w:szCs w:val="16"/>
                <w:lang w:val="en-AU"/>
              </w:rPr>
              <w:t>administration were as high as they were 4 hours after IV administration of 35 microgram</w:t>
            </w:r>
            <w:r w:rsidRPr="00ED53EB" w:rsidR="4A63AB09">
              <w:rPr>
                <w:sz w:val="16"/>
                <w:szCs w:val="16"/>
                <w:lang w:val="en-AU"/>
              </w:rPr>
              <w:t xml:space="preserve"> </w:t>
            </w:r>
            <w:r w:rsidRPr="00ED53EB">
              <w:rPr>
                <w:sz w:val="16"/>
                <w:szCs w:val="16"/>
                <w:lang w:val="en-AU"/>
              </w:rPr>
              <w:t>which may account for the prolonged duration of action when this route is used. [10] In 26</w:t>
            </w:r>
            <w:r w:rsidRPr="00ED53EB" w:rsidR="1F83CA24">
              <w:rPr>
                <w:sz w:val="16"/>
                <w:szCs w:val="16"/>
                <w:lang w:val="en-AU"/>
              </w:rPr>
              <w:t xml:space="preserve"> </w:t>
            </w:r>
            <w:r w:rsidRPr="00ED53EB">
              <w:rPr>
                <w:sz w:val="16"/>
                <w:szCs w:val="16"/>
                <w:lang w:val="en-AU"/>
              </w:rPr>
              <w:t>infants born to mothers who received pethidine, naloxone was not observed to have any</w:t>
            </w:r>
            <w:r w:rsidRPr="00ED53EB" w:rsidR="2B1BA2F4">
              <w:rPr>
                <w:sz w:val="16"/>
                <w:szCs w:val="16"/>
                <w:lang w:val="en-AU"/>
              </w:rPr>
              <w:t xml:space="preserve"> </w:t>
            </w:r>
            <w:r w:rsidRPr="00ED53EB">
              <w:rPr>
                <w:sz w:val="16"/>
                <w:szCs w:val="16"/>
                <w:lang w:val="en-AU"/>
              </w:rPr>
              <w:t>agonist activity, but the recommended IV dose (0.01 mg/kg) had only a slight and delayed</w:t>
            </w:r>
            <w:r w:rsidRPr="00ED53EB" w:rsidR="20594466">
              <w:rPr>
                <w:sz w:val="16"/>
                <w:szCs w:val="16"/>
                <w:lang w:val="en-AU"/>
              </w:rPr>
              <w:t xml:space="preserve"> </w:t>
            </w:r>
            <w:r w:rsidRPr="00ED53EB">
              <w:rPr>
                <w:sz w:val="16"/>
                <w:szCs w:val="16"/>
                <w:lang w:val="en-AU"/>
              </w:rPr>
              <w:t>antagonist action as measured by respiratory function tests. A more rapid and improved</w:t>
            </w:r>
            <w:r w:rsidRPr="00ED53EB" w:rsidR="58569AA9">
              <w:rPr>
                <w:sz w:val="16"/>
                <w:szCs w:val="16"/>
                <w:lang w:val="en-AU"/>
              </w:rPr>
              <w:t xml:space="preserve"> </w:t>
            </w:r>
            <w:r w:rsidRPr="00ED53EB">
              <w:rPr>
                <w:sz w:val="16"/>
                <w:szCs w:val="16"/>
                <w:lang w:val="en-AU"/>
              </w:rPr>
              <w:t>antagonism was noted after this dose was doubled (0.02 mg/kg). The plasma elimination-</w:t>
            </w:r>
            <w:r w:rsidRPr="00ED53EB" w:rsidR="2734DBC9">
              <w:rPr>
                <w:sz w:val="16"/>
                <w:szCs w:val="16"/>
                <w:lang w:val="en-AU"/>
              </w:rPr>
              <w:t xml:space="preserve"> </w:t>
            </w:r>
            <w:r w:rsidRPr="00ED53EB">
              <w:rPr>
                <w:sz w:val="16"/>
                <w:szCs w:val="16"/>
                <w:lang w:val="en-AU"/>
              </w:rPr>
              <w:t>phase half-life of naloxone after intravenous cord injection was about 3 hours. [11]</w:t>
            </w:r>
          </w:p>
        </w:tc>
      </w:tr>
      <w:tr w:rsidR="00043BF0" w:rsidTr="008074AA" w14:paraId="16E252D7" w14:textId="77777777">
        <w:trPr>
          <w:trHeight w:val="2130"/>
        </w:trPr>
        <w:tc>
          <w:tcPr>
            <w:tcW w:w="2302" w:type="dxa"/>
            <w:gridSpan w:val="2"/>
          </w:tcPr>
          <w:p w:rsidR="09908439" w:rsidP="06468F0E" w:rsidRDefault="09908439" w14:paraId="127D01A2" w14:textId="1508B9F9">
            <w:pPr>
              <w:rPr>
                <w:b/>
                <w:bCs/>
                <w:lang w:val="en-AU"/>
              </w:rPr>
            </w:pPr>
            <w:r w:rsidRPr="06468F0E">
              <w:rPr>
                <w:b/>
                <w:bCs/>
                <w:lang w:val="en-AU"/>
              </w:rPr>
              <w:lastRenderedPageBreak/>
              <w:t>References</w:t>
            </w:r>
          </w:p>
        </w:tc>
        <w:tc>
          <w:tcPr>
            <w:tcW w:w="7337" w:type="dxa"/>
            <w:gridSpan w:val="5"/>
          </w:tcPr>
          <w:p w:rsidRPr="00ED53EB" w:rsidR="09908439" w:rsidP="0083246D" w:rsidRDefault="651000AF" w14:paraId="7B08400E" w14:textId="2B5FDBE4">
            <w:pPr>
              <w:pStyle w:val="ListParagraph"/>
              <w:numPr>
                <w:ilvl w:val="0"/>
                <w:numId w:val="5"/>
              </w:numPr>
              <w:rPr>
                <w:rFonts w:eastAsia="Calibri" w:cs="Calibri"/>
                <w:sz w:val="16"/>
                <w:szCs w:val="16"/>
                <w:lang w:val="en-AU"/>
              </w:rPr>
            </w:pPr>
            <w:r w:rsidRPr="00ED53EB">
              <w:rPr>
                <w:sz w:val="16"/>
                <w:szCs w:val="16"/>
                <w:lang w:val="en-AU"/>
              </w:rPr>
              <w:t>Part 12: Pediatric Advanced Life Support: Web-based Integrated 2010 &amp; 2015 American Heart Association Guidelines for Cardiopulmonary Resuscitation and Emergency Cardiovascular Care. https://eccguidelines.heart.org/index.php/circulation/cpr-ecc-guidelines-2/part-12-pediatric-advanced-life-support/?strue=1&amp;id=3-6-6-1. 2015.</w:t>
            </w:r>
          </w:p>
          <w:p w:rsidRPr="00ED53EB" w:rsidR="09908439" w:rsidP="06468F0E" w:rsidRDefault="09908439" w14:paraId="40094DB6" w14:textId="6F660D76">
            <w:pPr>
              <w:rPr>
                <w:sz w:val="16"/>
                <w:szCs w:val="16"/>
                <w:lang w:val="en-AU"/>
              </w:rPr>
            </w:pPr>
            <w:r w:rsidRPr="00ED53EB">
              <w:rPr>
                <w:sz w:val="16"/>
                <w:szCs w:val="16"/>
                <w:lang w:val="en-AU"/>
              </w:rPr>
              <w:t xml:space="preserve"> </w:t>
            </w:r>
          </w:p>
          <w:p w:rsidRPr="00ED53EB" w:rsidR="09908439" w:rsidP="0083246D" w:rsidRDefault="651000AF" w14:paraId="5C31B107" w14:textId="244656A9">
            <w:pPr>
              <w:pStyle w:val="ListParagraph"/>
              <w:numPr>
                <w:ilvl w:val="0"/>
                <w:numId w:val="5"/>
              </w:numPr>
              <w:rPr>
                <w:rFonts w:eastAsia="Calibri" w:cs="Calibri"/>
                <w:sz w:val="16"/>
                <w:szCs w:val="16"/>
                <w:lang w:val="en-AU"/>
              </w:rPr>
            </w:pPr>
            <w:r w:rsidRPr="00ED53EB">
              <w:rPr>
                <w:sz w:val="16"/>
                <w:szCs w:val="16"/>
                <w:lang w:val="en-AU"/>
              </w:rPr>
              <w:t>Truhlar A, Deakin CD, Soar J, Khalifa GE, Alfonzo A, Bierens JJ, Brattebo G, Brugger H, Dunning J, Hunyadi-Anticevic S, Koster RW, Lockey DJ, Lott C, Paal P, Perkins GD, Sandroni C, Thies KC, Zideman DA, Nolan JP, Cardiac arrest in special circumstances section C. European Resuscitation Council Guidelines for Resuscitation 2015: Section 4. Cardiac arrest in special circumstances. Resuscitation. 2015;95:148-201.</w:t>
            </w:r>
            <w:r w:rsidRPr="00ED53EB" w:rsidR="09908439">
              <w:rPr>
                <w:sz w:val="16"/>
                <w:szCs w:val="16"/>
              </w:rPr>
              <w:br/>
            </w:r>
          </w:p>
          <w:p w:rsidRPr="00ED53EB" w:rsidR="09908439" w:rsidP="0083246D" w:rsidRDefault="651000AF" w14:paraId="0BD0F9E8" w14:textId="26BCFCD2">
            <w:pPr>
              <w:pStyle w:val="ListParagraph"/>
              <w:numPr>
                <w:ilvl w:val="0"/>
                <w:numId w:val="5"/>
              </w:numPr>
              <w:rPr>
                <w:sz w:val="16"/>
                <w:szCs w:val="16"/>
                <w:lang w:val="en-AU"/>
              </w:rPr>
            </w:pPr>
            <w:r w:rsidRPr="00ED53EB">
              <w:rPr>
                <w:sz w:val="16"/>
                <w:szCs w:val="16"/>
                <w:lang w:val="en-AU"/>
              </w:rPr>
              <w:t>Moe-Byrne T, Brown JV, McGuire W. Naloxone for opiate-exposed newborn infants. Cochrane Database Syst Rev. 2013:CD003483.</w:t>
            </w:r>
            <w:r w:rsidRPr="00ED53EB" w:rsidR="09908439">
              <w:rPr>
                <w:sz w:val="16"/>
                <w:szCs w:val="16"/>
              </w:rPr>
              <w:br/>
            </w:r>
          </w:p>
          <w:p w:rsidRPr="00ED53EB" w:rsidR="09908439" w:rsidP="0083246D" w:rsidRDefault="651000AF" w14:paraId="1937B7B2" w14:textId="04A30E0E">
            <w:pPr>
              <w:pStyle w:val="ListParagraph"/>
              <w:numPr>
                <w:ilvl w:val="0"/>
                <w:numId w:val="5"/>
              </w:numPr>
              <w:rPr>
                <w:sz w:val="16"/>
                <w:szCs w:val="16"/>
                <w:lang w:val="en-AU"/>
              </w:rPr>
            </w:pPr>
            <w:r w:rsidRPr="00ED53EB">
              <w:rPr>
                <w:sz w:val="16"/>
                <w:szCs w:val="16"/>
                <w:lang w:val="en-AU"/>
              </w:rPr>
              <w:t>Elmekkawi A, Abdelgadir D, Van Dyk J, Choudhury J, Dunn M. Use of naloxone to minimize extubation failure after premedication for INSURE procedure in preterm neonates. Journal of Neonatal-Perinatal Medicine. 2016;9:363-70</w:t>
            </w:r>
            <w:r w:rsidRPr="00ED53EB" w:rsidR="09908439">
              <w:rPr>
                <w:sz w:val="16"/>
                <w:szCs w:val="16"/>
              </w:rPr>
              <w:br/>
            </w:r>
          </w:p>
          <w:p w:rsidRPr="00ED53EB" w:rsidR="09908439" w:rsidP="0083246D" w:rsidRDefault="651000AF" w14:paraId="300A1A55" w14:textId="3005EE83">
            <w:pPr>
              <w:pStyle w:val="ListParagraph"/>
              <w:numPr>
                <w:ilvl w:val="0"/>
                <w:numId w:val="5"/>
              </w:numPr>
              <w:rPr>
                <w:sz w:val="16"/>
                <w:szCs w:val="16"/>
                <w:lang w:val="en-AU"/>
              </w:rPr>
            </w:pPr>
            <w:r w:rsidRPr="00ED53EB">
              <w:rPr>
                <w:sz w:val="16"/>
                <w:szCs w:val="16"/>
                <w:lang w:val="en-AU"/>
              </w:rPr>
              <w:t>Wiener PC, Hogg MI, Rosen M. Effects of naloxone on pethidine-induced neonatal depression. Part II--Intramuscular naloxone. Br Med J. 1977;2:229-31.</w:t>
            </w:r>
            <w:r w:rsidRPr="00ED53EB" w:rsidR="09908439">
              <w:rPr>
                <w:sz w:val="16"/>
                <w:szCs w:val="16"/>
              </w:rPr>
              <w:br/>
            </w:r>
          </w:p>
          <w:p w:rsidRPr="00ED53EB" w:rsidR="09908439" w:rsidP="0083246D" w:rsidRDefault="651000AF" w14:paraId="0F9C2C2E" w14:textId="6FF5B29E">
            <w:pPr>
              <w:pStyle w:val="ListParagraph"/>
              <w:numPr>
                <w:ilvl w:val="0"/>
                <w:numId w:val="5"/>
              </w:numPr>
              <w:rPr>
                <w:sz w:val="16"/>
                <w:szCs w:val="16"/>
                <w:lang w:val="en-AU"/>
              </w:rPr>
            </w:pPr>
            <w:r w:rsidRPr="00ED53EB">
              <w:rPr>
                <w:sz w:val="16"/>
                <w:szCs w:val="16"/>
                <w:lang w:val="en-AU"/>
              </w:rPr>
              <w:t>Van Der Lee R, Ceelie I, Tibboel D, De Wildt SN. Muscle rigidity and respiratory compromise in a term neonate during morphine infusion; serious adverse event determined by using the naranjo algorithm. Clinical Pharmacology and Therapeutics. 2009;1):S69-S70.</w:t>
            </w:r>
            <w:r w:rsidRPr="00ED53EB" w:rsidR="09908439">
              <w:rPr>
                <w:sz w:val="16"/>
                <w:szCs w:val="16"/>
              </w:rPr>
              <w:br/>
            </w:r>
          </w:p>
          <w:p w:rsidRPr="00ED53EB" w:rsidR="09908439" w:rsidP="0083246D" w:rsidRDefault="651000AF" w14:paraId="7D5BC38B" w14:textId="43FF9434">
            <w:pPr>
              <w:pStyle w:val="ListParagraph"/>
              <w:numPr>
                <w:ilvl w:val="0"/>
                <w:numId w:val="5"/>
              </w:numPr>
              <w:rPr>
                <w:sz w:val="16"/>
                <w:szCs w:val="16"/>
                <w:lang w:val="en-AU"/>
              </w:rPr>
            </w:pPr>
            <w:r w:rsidRPr="00ED53EB">
              <w:rPr>
                <w:sz w:val="16"/>
                <w:szCs w:val="16"/>
                <w:lang w:val="en-AU"/>
              </w:rPr>
              <w:t>Barr PA. Hypoxaemia during mechanical ventilation for severe hyaline membrane disease following sedation with morphine sulphate. Australian Paediatric Journal. 1981;17:296-7.</w:t>
            </w:r>
            <w:r w:rsidRPr="00ED53EB" w:rsidR="09908439">
              <w:rPr>
                <w:sz w:val="16"/>
                <w:szCs w:val="16"/>
              </w:rPr>
              <w:br/>
            </w:r>
          </w:p>
          <w:p w:rsidRPr="00ED53EB" w:rsidR="09908439" w:rsidP="0083246D" w:rsidRDefault="651000AF" w14:paraId="60D730A5" w14:textId="5E3B7CDF">
            <w:pPr>
              <w:pStyle w:val="ListParagraph"/>
              <w:numPr>
                <w:ilvl w:val="0"/>
                <w:numId w:val="5"/>
              </w:numPr>
              <w:rPr>
                <w:sz w:val="16"/>
                <w:szCs w:val="16"/>
                <w:lang w:val="en-AU"/>
              </w:rPr>
            </w:pPr>
            <w:r w:rsidRPr="00ED53EB">
              <w:rPr>
                <w:sz w:val="16"/>
                <w:szCs w:val="16"/>
                <w:lang w:val="en-AU"/>
              </w:rPr>
              <w:t>Darnell CM, Thompson J, Stromberg D, Roy L, Sheeran P. Effect of low-dose naloxone infusion on fentanyl requirements in critically ill children. Pediatrics. 2008;121:e1363-71.</w:t>
            </w:r>
          </w:p>
          <w:p w:rsidRPr="00ED53EB" w:rsidR="06468F0E" w:rsidP="06468F0E" w:rsidRDefault="06468F0E" w14:paraId="1318D01C" w14:textId="6E94F5A4">
            <w:pPr>
              <w:rPr>
                <w:sz w:val="16"/>
                <w:szCs w:val="16"/>
                <w:lang w:val="en-AU"/>
              </w:rPr>
            </w:pPr>
          </w:p>
          <w:p w:rsidRPr="00ED53EB" w:rsidR="09908439" w:rsidP="0083246D" w:rsidRDefault="651000AF" w14:paraId="48BAA06E" w14:textId="3910E7C5">
            <w:pPr>
              <w:pStyle w:val="ListParagraph"/>
              <w:numPr>
                <w:ilvl w:val="0"/>
                <w:numId w:val="5"/>
              </w:numPr>
              <w:rPr>
                <w:rFonts w:eastAsia="Calibri" w:cs="Calibri"/>
                <w:sz w:val="16"/>
                <w:szCs w:val="16"/>
                <w:lang w:val="en-AU"/>
              </w:rPr>
            </w:pPr>
            <w:r w:rsidRPr="00ED53EB">
              <w:rPr>
                <w:sz w:val="16"/>
                <w:szCs w:val="16"/>
                <w:lang w:val="en-AU"/>
              </w:rPr>
              <w:t>Tofil NM, Benner KW, Faro SJ, Winkler MK. The use of enteral naloxone to treat opioid-induced constipation in a pediatric intensive care unit. Pediatr Crit Care Med. 2006;7:252-4.</w:t>
            </w:r>
            <w:r w:rsidRPr="00ED53EB" w:rsidR="09908439">
              <w:rPr>
                <w:sz w:val="16"/>
                <w:szCs w:val="16"/>
              </w:rPr>
              <w:br/>
            </w:r>
          </w:p>
          <w:p w:rsidRPr="00ED53EB" w:rsidR="09908439" w:rsidP="0083246D" w:rsidRDefault="651000AF" w14:paraId="277ED788" w14:textId="0390980A">
            <w:pPr>
              <w:pStyle w:val="ListParagraph"/>
              <w:numPr>
                <w:ilvl w:val="0"/>
                <w:numId w:val="5"/>
              </w:numPr>
              <w:rPr>
                <w:sz w:val="16"/>
                <w:szCs w:val="16"/>
                <w:lang w:val="en-AU"/>
              </w:rPr>
            </w:pPr>
            <w:r w:rsidRPr="00ED53EB">
              <w:rPr>
                <w:sz w:val="16"/>
                <w:szCs w:val="16"/>
                <w:lang w:val="en-AU"/>
              </w:rPr>
              <w:t>Moreland TA, Brice JE, Walker CH, Parija AC. Naloxone pharmacokinetics in the newborn. Br J Clin Pharmacol. 1980;9:609-12.</w:t>
            </w:r>
            <w:r w:rsidRPr="00ED53EB" w:rsidR="09908439">
              <w:rPr>
                <w:sz w:val="16"/>
                <w:szCs w:val="16"/>
              </w:rPr>
              <w:br/>
            </w:r>
          </w:p>
          <w:p w:rsidRPr="00ED53EB" w:rsidR="09908439" w:rsidP="0083246D" w:rsidRDefault="651000AF" w14:paraId="18D5178A" w14:textId="00916A7B">
            <w:pPr>
              <w:pStyle w:val="ListParagraph"/>
              <w:numPr>
                <w:ilvl w:val="0"/>
                <w:numId w:val="5"/>
              </w:numPr>
              <w:rPr>
                <w:sz w:val="16"/>
                <w:szCs w:val="16"/>
                <w:lang w:val="en-AU"/>
              </w:rPr>
            </w:pPr>
            <w:r w:rsidRPr="00ED53EB">
              <w:rPr>
                <w:sz w:val="16"/>
                <w:szCs w:val="16"/>
                <w:lang w:val="en-AU"/>
              </w:rPr>
              <w:t>Bonta BW, Gagliardi JV, Williams V, Warshaw JB. Naloxone reversal of mild neurobehavioral depression in normal newborn infants after routine obstetric analgesia. Journal of Pediatrics. 1979;94:102-5.</w:t>
            </w:r>
            <w:r w:rsidRPr="00ED53EB" w:rsidR="09908439">
              <w:rPr>
                <w:sz w:val="16"/>
                <w:szCs w:val="16"/>
              </w:rPr>
              <w:br/>
            </w:r>
          </w:p>
          <w:p w:rsidRPr="00ED53EB" w:rsidR="09908439" w:rsidP="0083246D" w:rsidRDefault="651000AF" w14:paraId="7683A105" w14:textId="4031FC83">
            <w:pPr>
              <w:pStyle w:val="ListParagraph"/>
              <w:numPr>
                <w:ilvl w:val="0"/>
                <w:numId w:val="5"/>
              </w:numPr>
              <w:rPr>
                <w:sz w:val="16"/>
                <w:szCs w:val="16"/>
                <w:lang w:val="en-AU"/>
              </w:rPr>
            </w:pPr>
            <w:r w:rsidRPr="00ED53EB">
              <w:rPr>
                <w:sz w:val="16"/>
                <w:szCs w:val="16"/>
                <w:lang w:val="en-AU"/>
              </w:rPr>
              <w:t>Australian Injectable Drugs Handbook, 7th Edition. Accessed 29/08/2018: https://aidh.hcn.com.au/</w:t>
            </w:r>
            <w:r w:rsidRPr="00ED53EB" w:rsidR="09908439">
              <w:rPr>
                <w:sz w:val="16"/>
                <w:szCs w:val="16"/>
              </w:rPr>
              <w:br/>
            </w:r>
          </w:p>
          <w:p w:rsidRPr="00ED53EB" w:rsidR="09908439" w:rsidP="0083246D" w:rsidRDefault="651000AF" w14:paraId="510C285C" w14:textId="5EB7CF23">
            <w:pPr>
              <w:pStyle w:val="ListParagraph"/>
              <w:numPr>
                <w:ilvl w:val="0"/>
                <w:numId w:val="5"/>
              </w:numPr>
              <w:rPr>
                <w:sz w:val="16"/>
                <w:szCs w:val="16"/>
                <w:lang w:val="en-AU"/>
              </w:rPr>
            </w:pPr>
            <w:r w:rsidRPr="00ED53EB">
              <w:rPr>
                <w:sz w:val="16"/>
                <w:szCs w:val="16"/>
                <w:lang w:val="en-AU"/>
              </w:rPr>
              <w:t>MIMSOnline. Accessed 29/08/2018: https://www.mimsonline.com.au.acs.hcn.com.au/</w:t>
            </w:r>
            <w:r w:rsidRPr="00ED53EB" w:rsidR="09908439">
              <w:rPr>
                <w:sz w:val="16"/>
                <w:szCs w:val="16"/>
              </w:rPr>
              <w:br/>
            </w:r>
          </w:p>
          <w:p w:rsidRPr="00ED53EB" w:rsidR="09908439" w:rsidP="0083246D" w:rsidRDefault="651000AF" w14:paraId="51344B88" w14:textId="0573576E">
            <w:pPr>
              <w:pStyle w:val="ListParagraph"/>
              <w:numPr>
                <w:ilvl w:val="0"/>
                <w:numId w:val="5"/>
              </w:numPr>
              <w:rPr>
                <w:sz w:val="16"/>
                <w:szCs w:val="16"/>
                <w:lang w:val="en-AU"/>
              </w:rPr>
            </w:pPr>
            <w:r w:rsidRPr="00ED53EB">
              <w:rPr>
                <w:sz w:val="16"/>
                <w:szCs w:val="16"/>
                <w:lang w:val="en-AU"/>
              </w:rPr>
              <w:t>Fischer CG, Cook DR. The respiratory and narcotic antagonistic effects of naloxone</w:t>
            </w:r>
          </w:p>
          <w:p w:rsidRPr="00ED53EB" w:rsidR="06468F0E" w:rsidP="06468F0E" w:rsidRDefault="06468F0E" w14:paraId="4110A3F3" w14:textId="22C423D5">
            <w:pPr>
              <w:rPr>
                <w:sz w:val="16"/>
                <w:szCs w:val="16"/>
                <w:lang w:val="en-AU"/>
              </w:rPr>
            </w:pPr>
          </w:p>
          <w:p w:rsidRPr="00ED53EB" w:rsidR="09908439" w:rsidP="0083246D" w:rsidRDefault="651000AF" w14:paraId="76044BE3" w14:textId="310DE8D8">
            <w:pPr>
              <w:pStyle w:val="ListParagraph"/>
              <w:numPr>
                <w:ilvl w:val="0"/>
                <w:numId w:val="5"/>
              </w:numPr>
              <w:rPr>
                <w:rFonts w:eastAsia="Calibri" w:cs="Calibri"/>
                <w:sz w:val="16"/>
                <w:szCs w:val="16"/>
                <w:lang w:val="en-AU"/>
              </w:rPr>
            </w:pPr>
            <w:r w:rsidRPr="00ED53EB">
              <w:rPr>
                <w:sz w:val="16"/>
                <w:szCs w:val="16"/>
                <w:lang w:val="en-AU"/>
              </w:rPr>
              <w:t>Gerhardt T, Bancalari E, Cohen H, Rocha LF. Use of naloxone to reverse narcotic respiratory depression in the newborn infant. The Journal of pediatrics. 1977 Jun 1;90(6):1009-12.</w:t>
            </w:r>
            <w:r w:rsidRPr="00ED53EB" w:rsidR="09908439">
              <w:rPr>
                <w:sz w:val="16"/>
                <w:szCs w:val="16"/>
              </w:rPr>
              <w:br/>
            </w:r>
          </w:p>
          <w:p w:rsidRPr="00ED53EB" w:rsidR="09908439" w:rsidP="0083246D" w:rsidRDefault="651000AF" w14:paraId="0DE5DD07" w14:textId="1F9DF198">
            <w:pPr>
              <w:pStyle w:val="ListParagraph"/>
              <w:numPr>
                <w:ilvl w:val="0"/>
                <w:numId w:val="5"/>
              </w:numPr>
              <w:rPr>
                <w:sz w:val="16"/>
                <w:szCs w:val="16"/>
                <w:lang w:val="en-AU"/>
              </w:rPr>
            </w:pPr>
            <w:r w:rsidRPr="00ED53EB">
              <w:rPr>
                <w:sz w:val="16"/>
                <w:szCs w:val="16"/>
                <w:lang w:val="en-AU"/>
              </w:rPr>
              <w:t>Beilin B, Vatashsky E, Aronson HB, Weinstock M. Naloxone reversal of postoperative apnea in a premature infant. Anesthesiology: The Journal of the American Society of Anesthesiologists. 1985 Sep 1;63(3):317-8.</w:t>
            </w:r>
            <w:r w:rsidRPr="00ED53EB" w:rsidR="09908439">
              <w:rPr>
                <w:sz w:val="16"/>
                <w:szCs w:val="16"/>
              </w:rPr>
              <w:br/>
            </w:r>
          </w:p>
          <w:p w:rsidRPr="00ED53EB" w:rsidR="09908439" w:rsidP="0083246D" w:rsidRDefault="651000AF" w14:paraId="03EBECAE" w14:textId="0ACEEBD9">
            <w:pPr>
              <w:pStyle w:val="ListParagraph"/>
              <w:numPr>
                <w:ilvl w:val="0"/>
                <w:numId w:val="5"/>
              </w:numPr>
              <w:rPr>
                <w:sz w:val="16"/>
                <w:szCs w:val="16"/>
                <w:lang w:val="en-AU"/>
              </w:rPr>
            </w:pPr>
            <w:r w:rsidRPr="00ED53EB">
              <w:rPr>
                <w:sz w:val="16"/>
                <w:szCs w:val="16"/>
                <w:lang w:val="en-AU"/>
              </w:rPr>
              <w:t>Gibbs J, Newson T, Williams J, Davidson DC. Naloxone hazard in infant of opioid abuser. The Lancet. 1989 Jul 15;334(8655):159-60.</w:t>
            </w:r>
            <w:r w:rsidRPr="00ED53EB" w:rsidR="09908439">
              <w:rPr>
                <w:sz w:val="16"/>
                <w:szCs w:val="16"/>
              </w:rPr>
              <w:br/>
            </w:r>
          </w:p>
          <w:p w:rsidRPr="00ED53EB" w:rsidR="06468F0E" w:rsidP="0083246D" w:rsidRDefault="651000AF" w14:paraId="2CD0F3C6" w14:textId="0A98FBF2">
            <w:pPr>
              <w:pStyle w:val="ListParagraph"/>
              <w:numPr>
                <w:ilvl w:val="0"/>
                <w:numId w:val="5"/>
              </w:numPr>
              <w:rPr>
                <w:sz w:val="16"/>
                <w:szCs w:val="16"/>
                <w:lang w:val="en-AU"/>
              </w:rPr>
            </w:pPr>
            <w:r w:rsidRPr="00ED53EB">
              <w:rPr>
                <w:sz w:val="16"/>
                <w:szCs w:val="16"/>
                <w:lang w:val="en-AU"/>
              </w:rPr>
              <w:t>Deshpande G, Gill A. Cardiac arrest following naloxone in an extremely preterm neonate. European journal of pediatrics. 2009 Jan 1;168(1):115.</w:t>
            </w:r>
          </w:p>
        </w:tc>
      </w:tr>
      <w:tr w:rsidR="0020431B" w:rsidTr="008074AA" w14:paraId="1D658F2D" w14:textId="77777777">
        <w:trPr>
          <w:gridAfter w:val="2"/>
          <w:wAfter w:w="618" w:type="dxa"/>
        </w:trPr>
        <w:tc>
          <w:tcPr>
            <w:tcW w:w="5065" w:type="dxa"/>
            <w:gridSpan w:val="4"/>
            <w:vAlign w:val="center"/>
          </w:tcPr>
          <w:p w:rsidR="06468F0E" w:rsidP="06468F0E" w:rsidRDefault="00ED53EB" w14:paraId="26737479" w14:textId="58249813">
            <w:pPr>
              <w:rPr>
                <w:b/>
                <w:bCs/>
                <w:lang w:val="en-AU"/>
              </w:rPr>
            </w:pPr>
            <w:r>
              <w:rPr>
                <w:b/>
                <w:bCs/>
                <w:lang w:val="en-AU"/>
              </w:rPr>
              <w:t>O</w:t>
            </w:r>
            <w:r w:rsidRPr="06468F0E" w:rsidR="06468F0E">
              <w:rPr>
                <w:b/>
                <w:bCs/>
                <w:lang w:val="en-AU"/>
              </w:rPr>
              <w:t>riginal version Date:</w:t>
            </w:r>
            <w:r w:rsidRPr="06468F0E" w:rsidR="717B90B0">
              <w:rPr>
                <w:b/>
                <w:bCs/>
                <w:lang w:val="en-AU"/>
              </w:rPr>
              <w:t xml:space="preserve"> 16/10/2018</w:t>
            </w:r>
          </w:p>
        </w:tc>
        <w:tc>
          <w:tcPr>
            <w:tcW w:w="3956" w:type="dxa"/>
            <w:vAlign w:val="center"/>
          </w:tcPr>
          <w:p w:rsidR="06468F0E" w:rsidP="06468F0E" w:rsidRDefault="55FDC34A" w14:paraId="0841455F" w14:textId="6ACD5B15">
            <w:pPr>
              <w:rPr>
                <w:b/>
                <w:bCs/>
                <w:lang w:val="en-AU"/>
              </w:rPr>
            </w:pPr>
            <w:r w:rsidRPr="48F57877">
              <w:rPr>
                <w:b/>
                <w:bCs/>
                <w:lang w:val="en-AU"/>
              </w:rPr>
              <w:t>Author: NMF Consensus Group</w:t>
            </w:r>
          </w:p>
        </w:tc>
      </w:tr>
      <w:tr w:rsidR="0020431B" w:rsidTr="008074AA" w14:paraId="2DA976FA" w14:textId="77777777">
        <w:trPr>
          <w:gridAfter w:val="2"/>
          <w:wAfter w:w="618" w:type="dxa"/>
        </w:trPr>
        <w:tc>
          <w:tcPr>
            <w:tcW w:w="5065" w:type="dxa"/>
            <w:gridSpan w:val="4"/>
            <w:vAlign w:val="center"/>
          </w:tcPr>
          <w:p w:rsidR="06468F0E" w:rsidP="06468F0E" w:rsidRDefault="06468F0E" w14:paraId="0B6B3D20" w14:textId="49906FFC">
            <w:pPr>
              <w:rPr>
                <w:b/>
                <w:bCs/>
                <w:lang w:val="en-AU"/>
              </w:rPr>
            </w:pPr>
            <w:r w:rsidRPr="06468F0E">
              <w:rPr>
                <w:b/>
                <w:bCs/>
                <w:lang w:val="en-AU"/>
              </w:rPr>
              <w:t xml:space="preserve">Current Version number:  </w:t>
            </w:r>
            <w:r w:rsidR="00611162">
              <w:rPr>
                <w:b/>
                <w:bCs/>
                <w:lang w:val="en-AU"/>
              </w:rPr>
              <w:t>2</w:t>
            </w:r>
          </w:p>
        </w:tc>
        <w:tc>
          <w:tcPr>
            <w:tcW w:w="3956" w:type="dxa"/>
            <w:vAlign w:val="center"/>
          </w:tcPr>
          <w:p w:rsidR="06468F0E" w:rsidP="06468F0E" w:rsidRDefault="06468F0E" w14:paraId="759E905B" w14:textId="3B4F7E43">
            <w:pPr>
              <w:rPr>
                <w:lang w:val="en-AU"/>
              </w:rPr>
            </w:pPr>
            <w:r w:rsidRPr="06468F0E">
              <w:rPr>
                <w:b/>
                <w:bCs/>
                <w:lang w:val="en-AU"/>
              </w:rPr>
              <w:t>Current Version Date:</w:t>
            </w:r>
            <w:r w:rsidRPr="06468F0E">
              <w:rPr>
                <w:lang w:val="en-AU"/>
              </w:rPr>
              <w:t xml:space="preserve">  </w:t>
            </w:r>
            <w:r w:rsidRPr="06468F0E" w:rsidR="33457429">
              <w:rPr>
                <w:lang w:val="en-AU"/>
              </w:rPr>
              <w:t>16/10/2018</w:t>
            </w:r>
          </w:p>
        </w:tc>
      </w:tr>
      <w:tr w:rsidR="0020431B" w:rsidTr="008074AA" w14:paraId="421F7CD0" w14:textId="77777777">
        <w:trPr>
          <w:gridAfter w:val="2"/>
          <w:wAfter w:w="618" w:type="dxa"/>
        </w:trPr>
        <w:tc>
          <w:tcPr>
            <w:tcW w:w="5065" w:type="dxa"/>
            <w:gridSpan w:val="4"/>
            <w:vAlign w:val="center"/>
          </w:tcPr>
          <w:p w:rsidR="06468F0E" w:rsidP="06468F0E" w:rsidRDefault="06468F0E" w14:paraId="605A7372" w14:textId="4631F742">
            <w:pPr>
              <w:rPr>
                <w:lang w:val="en-AU"/>
              </w:rPr>
            </w:pPr>
            <w:r w:rsidRPr="06468F0E">
              <w:rPr>
                <w:b/>
                <w:bCs/>
                <w:lang w:val="en-AU"/>
              </w:rPr>
              <w:t xml:space="preserve">Risk Rating: </w:t>
            </w:r>
            <w:r w:rsidR="00611162">
              <w:rPr>
                <w:b/>
                <w:bCs/>
                <w:lang w:val="en-AU"/>
              </w:rPr>
              <w:t>Low</w:t>
            </w:r>
          </w:p>
        </w:tc>
        <w:tc>
          <w:tcPr>
            <w:tcW w:w="3956" w:type="dxa"/>
            <w:vAlign w:val="center"/>
          </w:tcPr>
          <w:p w:rsidR="06468F0E" w:rsidP="06468F0E" w:rsidRDefault="06468F0E" w14:paraId="12D9E3AC" w14:textId="792F3F71">
            <w:pPr>
              <w:rPr>
                <w:b/>
                <w:bCs/>
                <w:lang w:val="en-AU"/>
              </w:rPr>
            </w:pPr>
            <w:r w:rsidRPr="06468F0E">
              <w:rPr>
                <w:b/>
                <w:bCs/>
                <w:lang w:val="en-AU"/>
              </w:rPr>
              <w:t xml:space="preserve">Due for Review: </w:t>
            </w:r>
            <w:r w:rsidR="00611162">
              <w:rPr>
                <w:b/>
                <w:bCs/>
                <w:lang w:val="en-AU"/>
              </w:rPr>
              <w:t>16/10/2023</w:t>
            </w:r>
          </w:p>
        </w:tc>
      </w:tr>
      <w:tr w:rsidR="0020431B" w:rsidTr="008074AA" w14:paraId="05C541BD" w14:textId="77777777">
        <w:trPr>
          <w:gridAfter w:val="2"/>
          <w:wAfter w:w="618" w:type="dxa"/>
          <w:trHeight w:val="344"/>
        </w:trPr>
        <w:tc>
          <w:tcPr>
            <w:tcW w:w="5065" w:type="dxa"/>
            <w:gridSpan w:val="4"/>
            <w:tcBorders>
              <w:bottom w:val="single" w:color="auto" w:sz="4" w:space="0"/>
            </w:tcBorders>
            <w:vAlign w:val="center"/>
          </w:tcPr>
          <w:p w:rsidR="06468F0E" w:rsidP="06468F0E" w:rsidRDefault="55FDC34A" w14:paraId="68E4448D" w14:textId="2D2B7B53">
            <w:pPr>
              <w:rPr>
                <w:b/>
                <w:bCs/>
                <w:lang w:val="en-AU"/>
              </w:rPr>
            </w:pPr>
            <w:r w:rsidRPr="48F57877">
              <w:rPr>
                <w:b/>
                <w:bCs/>
                <w:lang w:val="en-AU"/>
              </w:rPr>
              <w:t xml:space="preserve">Approval by: </w:t>
            </w:r>
            <w:r w:rsidRPr="48F57877" w:rsidR="72AD7CD3">
              <w:rPr>
                <w:b/>
                <w:bCs/>
                <w:lang w:val="en-AU"/>
              </w:rPr>
              <w:t>DTC</w:t>
            </w:r>
          </w:p>
        </w:tc>
        <w:tc>
          <w:tcPr>
            <w:tcW w:w="3956" w:type="dxa"/>
            <w:tcBorders>
              <w:bottom w:val="single" w:color="auto" w:sz="4" w:space="0"/>
            </w:tcBorders>
            <w:vAlign w:val="center"/>
          </w:tcPr>
          <w:p w:rsidR="06468F0E" w:rsidP="06468F0E" w:rsidRDefault="06468F0E" w14:paraId="1FAF988D" w14:textId="61F067DB">
            <w:pPr>
              <w:rPr>
                <w:b/>
                <w:bCs/>
                <w:lang w:val="en-AU"/>
              </w:rPr>
            </w:pPr>
            <w:r w:rsidRPr="06468F0E">
              <w:rPr>
                <w:b/>
                <w:bCs/>
                <w:lang w:val="en-AU"/>
              </w:rPr>
              <w:t>Approval Date:</w:t>
            </w:r>
            <w:r w:rsidR="00611162">
              <w:rPr>
                <w:b/>
                <w:bCs/>
                <w:lang w:val="en-AU"/>
              </w:rPr>
              <w:t xml:space="preserve"> </w:t>
            </w:r>
            <w:r w:rsidR="00260BC8">
              <w:rPr>
                <w:b/>
                <w:bCs/>
                <w:lang w:val="en-AU"/>
              </w:rPr>
              <w:t>APRIL 2021</w:t>
            </w:r>
          </w:p>
        </w:tc>
      </w:tr>
      <w:tr w:rsidRPr="00E25790" w:rsidR="00115F48" w:rsidTr="008074AA" w14:paraId="5B2CBC7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23" w:type="dxa"/>
          <w:wAfter w:w="567" w:type="dxa"/>
          <w:cantSplit/>
          <w:trHeight w:val="720"/>
        </w:trPr>
        <w:tc>
          <w:tcPr>
            <w:tcW w:w="9049" w:type="dxa"/>
            <w:gridSpan w:val="5"/>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77BAFA99" w14:textId="77777777">
            <w:pPr>
              <w:pStyle w:val="Heading1"/>
            </w:pPr>
            <w:bookmarkStart w:name="_Toc495481141" w:id="417"/>
            <w:bookmarkStart w:name="_Toc495481267" w:id="418"/>
            <w:bookmarkStart w:name="_Toc495481392" w:id="419"/>
            <w:bookmarkStart w:name="_Toc495501573" w:id="420"/>
            <w:bookmarkStart w:name="_Toc38106891" w:id="421"/>
            <w:bookmarkStart w:name="_Toc75340012" w:id="422"/>
            <w:r w:rsidRPr="00E25790">
              <w:lastRenderedPageBreak/>
              <w:t>Neostigmine</w:t>
            </w:r>
            <w:bookmarkEnd w:id="417"/>
            <w:bookmarkEnd w:id="418"/>
            <w:bookmarkEnd w:id="419"/>
            <w:bookmarkEnd w:id="420"/>
            <w:bookmarkEnd w:id="421"/>
            <w:bookmarkEnd w:id="422"/>
            <w:r w:rsidRPr="00E25790">
              <w:fldChar w:fldCharType="begin"/>
            </w:r>
            <w:r w:rsidRPr="00E25790">
              <w:instrText>tc "Neostigmine" \l 0</w:instrText>
            </w:r>
            <w:r w:rsidRPr="00E25790">
              <w:fldChar w:fldCharType="end"/>
            </w:r>
          </w:p>
        </w:tc>
      </w:tr>
      <w:tr w:rsidRPr="00E25790" w:rsidR="00115F48" w:rsidTr="008074AA" w14:paraId="6FB5A37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1"/>
          <w:gridAfter w:val="1"/>
          <w:wBefore w:w="23" w:type="dxa"/>
          <w:wAfter w:w="567" w:type="dxa"/>
          <w:cantSplit/>
          <w:trHeight w:val="480"/>
        </w:trPr>
        <w:tc>
          <w:tcPr>
            <w:tcW w:w="4153" w:type="dxa"/>
            <w:gridSpan w:val="2"/>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5E47D975" w14:textId="0969D66F">
            <w:r w:rsidRPr="00E25790">
              <w:t xml:space="preserve">Revision Date : </w:t>
            </w:r>
            <w:r w:rsidR="00220EC3">
              <w:t>24-12-2020</w:t>
            </w:r>
          </w:p>
        </w:tc>
        <w:tc>
          <w:tcPr>
            <w:tcW w:w="4896" w:type="dxa"/>
            <w:gridSpan w:val="3"/>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56E3360" w14:textId="2CB6C865">
            <w:r w:rsidRPr="00E25790">
              <w:t>Approved</w:t>
            </w:r>
            <w:r w:rsidRPr="00E25790" w:rsidR="00DF3C58">
              <w:t>:</w:t>
            </w:r>
            <w:r w:rsidRPr="00E25790">
              <w:t xml:space="preserve"> </w:t>
            </w:r>
            <w:r w:rsidR="00220EC3">
              <w:t>TC, KOH</w:t>
            </w:r>
          </w:p>
        </w:tc>
      </w:tr>
    </w:tbl>
    <w:p w:rsidRPr="00E25790" w:rsidR="00115F48" w:rsidP="006F0321" w:rsidRDefault="00115F48" w14:paraId="264E0CC4" w14:textId="77777777"/>
    <w:tbl>
      <w:tblPr>
        <w:tblW w:w="9490" w:type="dxa"/>
        <w:tblLayout w:type="fixed"/>
        <w:tblLook w:val="0000" w:firstRow="0" w:lastRow="0" w:firstColumn="0" w:lastColumn="0" w:noHBand="0" w:noVBand="0"/>
      </w:tblPr>
      <w:tblGrid>
        <w:gridCol w:w="2443"/>
        <w:gridCol w:w="7047"/>
      </w:tblGrid>
      <w:tr w:rsidRPr="00E25790" w:rsidR="00115F48" w:rsidTr="008074AA" w14:paraId="316A3F7C"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1B4C7593" w14:textId="77777777">
            <w:r w:rsidRPr="00E25790">
              <w:t>Indication :</w:t>
            </w:r>
          </w:p>
        </w:tc>
        <w:tc>
          <w:tcPr>
            <w:tcW w:w="7047" w:type="dxa"/>
            <w:tcBorders>
              <w:top w:val="single" w:color="auto" w:sz="6" w:space="0"/>
              <w:bottom w:val="single" w:color="auto" w:sz="6" w:space="0"/>
              <w:right w:val="single" w:color="auto" w:sz="6" w:space="0"/>
            </w:tcBorders>
          </w:tcPr>
          <w:p w:rsidRPr="00E25790" w:rsidR="00115F48" w:rsidP="006F0321" w:rsidRDefault="00115F48" w14:paraId="5F474EFC" w14:textId="77777777">
            <w:r w:rsidRPr="00E25790">
              <w:t>1]    Myasthenia test.</w:t>
            </w:r>
          </w:p>
          <w:p w:rsidRPr="00E25790" w:rsidR="00115F48" w:rsidP="006F0321" w:rsidRDefault="00115F48" w14:paraId="4DADF76E" w14:textId="77777777">
            <w:r w:rsidRPr="00E25790">
              <w:t>2]    Maintenance, in Neonatal transient myasthenia gravis and Neonatal persistent myasthenia gravis.</w:t>
            </w:r>
          </w:p>
          <w:p w:rsidRPr="00E25790" w:rsidR="00115F48" w:rsidP="006F0321" w:rsidRDefault="00115F48" w14:paraId="25FA27A8" w14:textId="77777777">
            <w:r w:rsidRPr="00E25790">
              <w:t>3]    Reversal of muscle relaxation.</w:t>
            </w:r>
          </w:p>
          <w:p w:rsidRPr="00E25790" w:rsidR="00115F48" w:rsidP="006F0321" w:rsidRDefault="00115F48" w14:paraId="08D012B4" w14:textId="77777777">
            <w:r w:rsidRPr="00E25790">
              <w:t>Anticholinesterase</w:t>
            </w:r>
          </w:p>
        </w:tc>
      </w:tr>
      <w:tr w:rsidRPr="00E25790" w:rsidR="00115F48" w:rsidTr="008074AA" w14:paraId="4BCFD6C5"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4124572" w14:textId="77777777">
            <w:r w:rsidRPr="00E25790">
              <w:t>Dose :</w:t>
            </w:r>
          </w:p>
        </w:tc>
        <w:tc>
          <w:tcPr>
            <w:tcW w:w="7047" w:type="dxa"/>
            <w:tcBorders>
              <w:top w:val="single" w:color="auto" w:sz="6" w:space="0"/>
              <w:bottom w:val="single" w:color="auto" w:sz="6" w:space="0"/>
              <w:right w:val="single" w:color="auto" w:sz="6" w:space="0"/>
            </w:tcBorders>
          </w:tcPr>
          <w:p w:rsidRPr="00A4691B" w:rsidR="006A2CB5" w:rsidP="006A2CB5" w:rsidRDefault="006A2CB5" w14:paraId="5F241EF0" w14:textId="77777777">
            <w:pPr>
              <w:pStyle w:val="BodyText"/>
              <w:rPr>
                <w:b/>
                <w:bCs/>
                <w:lang w:val="nl-NL"/>
              </w:rPr>
            </w:pPr>
            <w:r w:rsidRPr="00A4691B">
              <w:rPr>
                <w:b/>
                <w:bCs/>
                <w:lang w:val="nl-NL"/>
              </w:rPr>
              <w:t>Note: Premedication with atropine (20microgram/kg/dose) is</w:t>
            </w:r>
          </w:p>
          <w:p w:rsidRPr="00A4691B" w:rsidR="006A2CB5" w:rsidP="006F0321" w:rsidRDefault="00A4691B" w14:paraId="28C9C1FF" w14:textId="58EEC7A9">
            <w:pPr>
              <w:pStyle w:val="BodyText"/>
              <w:rPr>
                <w:b/>
                <w:bCs/>
                <w:lang w:val="nl-NL"/>
              </w:rPr>
            </w:pPr>
            <w:r w:rsidRPr="00A4691B">
              <w:rPr>
                <w:b/>
                <w:bCs/>
                <w:lang w:val="nl-NL"/>
              </w:rPr>
              <w:t>R</w:t>
            </w:r>
            <w:r w:rsidRPr="00A4691B" w:rsidR="006A2CB5">
              <w:rPr>
                <w:b/>
                <w:bCs/>
                <w:lang w:val="nl-NL"/>
              </w:rPr>
              <w:t>ecommended</w:t>
            </w:r>
            <w:r w:rsidRPr="00A4691B">
              <w:rPr>
                <w:b/>
                <w:bCs/>
                <w:lang w:val="nl-NL"/>
              </w:rPr>
              <w:t>.</w:t>
            </w:r>
          </w:p>
          <w:p w:rsidR="00115F48" w:rsidP="006F0321" w:rsidRDefault="00115F48" w14:paraId="5BFF189A" w14:textId="106FB6F0">
            <w:pPr>
              <w:pStyle w:val="BodyText"/>
              <w:rPr>
                <w:lang w:val="nl-NL"/>
              </w:rPr>
            </w:pPr>
            <w:r w:rsidRPr="00E25790">
              <w:rPr>
                <w:lang w:val="nl-NL"/>
              </w:rPr>
              <w:t xml:space="preserve">1]    </w:t>
            </w:r>
            <w:r w:rsidR="001A5F1E">
              <w:rPr>
                <w:lang w:val="nl-NL"/>
              </w:rPr>
              <w:t xml:space="preserve">150 microg/kg </w:t>
            </w:r>
            <w:r w:rsidR="00F73696">
              <w:rPr>
                <w:lang w:val="nl-NL"/>
              </w:rPr>
              <w:t xml:space="preserve">given 30 minutes before feeding. </w:t>
            </w:r>
          </w:p>
          <w:p w:rsidR="00264F05" w:rsidP="006F0321" w:rsidRDefault="00115F48" w14:paraId="26D58868" w14:textId="77777777">
            <w:pPr>
              <w:rPr>
                <w:lang w:val="nl-NL"/>
              </w:rPr>
            </w:pPr>
            <w:r w:rsidRPr="00E25790">
              <w:rPr>
                <w:lang w:val="nl-NL"/>
              </w:rPr>
              <w:t xml:space="preserve">2]    </w:t>
            </w:r>
            <w:r w:rsidRPr="00264F05" w:rsidR="00264F05">
              <w:rPr>
                <w:lang w:val="nl-NL"/>
              </w:rPr>
              <w:t xml:space="preserve">150 microg/kg given 30 minutes before feeding. </w:t>
            </w:r>
          </w:p>
          <w:p w:rsidRPr="00E25790" w:rsidR="00115F48" w:rsidP="006F0321" w:rsidRDefault="00115F48" w14:paraId="491F2B60" w14:textId="4DA119AA">
            <w:r w:rsidRPr="00E25790">
              <w:t xml:space="preserve">3]    </w:t>
            </w:r>
            <w:r w:rsidRPr="00096185" w:rsidR="00096185">
              <w:t>30 to 70 microgram/kg/ dose</w:t>
            </w:r>
          </w:p>
        </w:tc>
      </w:tr>
      <w:tr w:rsidRPr="00E25790" w:rsidR="00115F48" w:rsidTr="008074AA" w14:paraId="436FEB7D"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F6F15AF" w14:textId="77777777">
            <w:r w:rsidRPr="00E25790">
              <w:t>Interval :</w:t>
            </w:r>
          </w:p>
        </w:tc>
        <w:tc>
          <w:tcPr>
            <w:tcW w:w="7047" w:type="dxa"/>
            <w:tcBorders>
              <w:top w:val="single" w:color="auto" w:sz="6" w:space="0"/>
              <w:bottom w:val="single" w:color="auto" w:sz="6" w:space="0"/>
              <w:right w:val="single" w:color="auto" w:sz="6" w:space="0"/>
            </w:tcBorders>
          </w:tcPr>
          <w:p w:rsidRPr="00E25790" w:rsidR="00115F48" w:rsidP="006F0321" w:rsidRDefault="006A4844" w14:paraId="639FDDC6" w14:textId="57C4067A">
            <w:r w:rsidRPr="00E25790">
              <w:t xml:space="preserve">1]    </w:t>
            </w:r>
            <w:r w:rsidRPr="00E25790" w:rsidR="00115F48">
              <w:t>Stat</w:t>
            </w:r>
          </w:p>
          <w:p w:rsidRPr="00E25790" w:rsidR="00115F48" w:rsidP="006F0321" w:rsidRDefault="00115F48" w14:paraId="070BD0DF" w14:textId="12B5722D">
            <w:r w:rsidRPr="00E25790">
              <w:t xml:space="preserve">2]    </w:t>
            </w:r>
            <w:r w:rsidR="00A4691B">
              <w:t>every 6 to 8 hours increasing the dose on clinical response.</w:t>
            </w:r>
          </w:p>
          <w:p w:rsidRPr="00E25790" w:rsidR="00115F48" w:rsidP="006F0321" w:rsidRDefault="00115F48" w14:paraId="6B58A99D" w14:textId="77777777">
            <w:r w:rsidRPr="00E25790">
              <w:t>3]    Stat.</w:t>
            </w:r>
          </w:p>
        </w:tc>
      </w:tr>
      <w:tr w:rsidRPr="00E25790" w:rsidR="00115F48" w:rsidTr="008074AA" w14:paraId="777EC8A7"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37A9F333" w14:textId="77777777">
            <w:r w:rsidRPr="00E25790">
              <w:t>Route :</w:t>
            </w:r>
          </w:p>
        </w:tc>
        <w:tc>
          <w:tcPr>
            <w:tcW w:w="7047" w:type="dxa"/>
            <w:tcBorders>
              <w:top w:val="single" w:color="auto" w:sz="6" w:space="0"/>
              <w:bottom w:val="single" w:color="auto" w:sz="6" w:space="0"/>
              <w:right w:val="single" w:color="auto" w:sz="6" w:space="0"/>
            </w:tcBorders>
          </w:tcPr>
          <w:p w:rsidRPr="00E25790" w:rsidR="00C35732" w:rsidP="00C35732" w:rsidRDefault="00C35732" w14:paraId="5FB6F00D" w14:textId="0731C9CB">
            <w:r w:rsidRPr="00E25790">
              <w:t xml:space="preserve">1]    </w:t>
            </w:r>
            <w:r>
              <w:t>IM</w:t>
            </w:r>
          </w:p>
          <w:p w:rsidRPr="00E25790" w:rsidR="00C35732" w:rsidP="00C35732" w:rsidRDefault="00C35732" w14:paraId="08241BBC" w14:textId="4376AAFF">
            <w:r w:rsidRPr="00E25790">
              <w:t xml:space="preserve">2]    </w:t>
            </w:r>
            <w:r>
              <w:t>IM/SC</w:t>
            </w:r>
          </w:p>
          <w:p w:rsidRPr="00E25790" w:rsidR="006A4844" w:rsidP="00C35732" w:rsidRDefault="00C35732" w14:paraId="0DE3CEBC" w14:textId="759CF804">
            <w:r w:rsidRPr="00E25790">
              <w:t xml:space="preserve">3]    </w:t>
            </w:r>
            <w:r>
              <w:t>IV</w:t>
            </w:r>
            <w:r w:rsidR="00B55AA5">
              <w:t xml:space="preserve"> over 1 minute</w:t>
            </w:r>
          </w:p>
        </w:tc>
      </w:tr>
      <w:tr w:rsidRPr="00E25790" w:rsidR="00115F48" w:rsidTr="008074AA" w14:paraId="03002B4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5E49E03" w14:textId="77777777">
            <w:r w:rsidRPr="00E25790">
              <w:t>Total Daily Dose :</w:t>
            </w:r>
          </w:p>
        </w:tc>
        <w:tc>
          <w:tcPr>
            <w:tcW w:w="7047" w:type="dxa"/>
            <w:tcBorders>
              <w:top w:val="single" w:color="auto" w:sz="6" w:space="0"/>
              <w:bottom w:val="single" w:color="auto" w:sz="6" w:space="0"/>
              <w:right w:val="single" w:color="auto" w:sz="6" w:space="0"/>
            </w:tcBorders>
          </w:tcPr>
          <w:p w:rsidRPr="00E366B2" w:rsidR="0000635D" w:rsidP="0000635D" w:rsidRDefault="0000635D" w14:paraId="5E9E669B" w14:textId="77777777">
            <w:pPr>
              <w:rPr>
                <w:b/>
                <w:bCs/>
              </w:rPr>
            </w:pPr>
            <w:r w:rsidRPr="00E366B2">
              <w:rPr>
                <w:b/>
                <w:bCs/>
              </w:rPr>
              <w:t xml:space="preserve">Myasthenia gravis </w:t>
            </w:r>
          </w:p>
          <w:p w:rsidR="0000635D" w:rsidP="0000635D" w:rsidRDefault="0000635D" w14:paraId="1EC09EF2" w14:textId="7DD32717">
            <w:r>
              <w:t>Obtain specialist advice for long term use</w:t>
            </w:r>
          </w:p>
          <w:p w:rsidR="0000635D" w:rsidP="0000635D" w:rsidRDefault="0000635D" w14:paraId="69A80013" w14:textId="77777777">
            <w:pPr>
              <w:rPr>
                <w:b/>
                <w:bCs/>
              </w:rPr>
            </w:pPr>
          </w:p>
          <w:p w:rsidRPr="00E366B2" w:rsidR="00E366B2" w:rsidP="006F0321" w:rsidRDefault="00E366B2" w14:paraId="598CFEF3" w14:textId="440F6C75">
            <w:pPr>
              <w:rPr>
                <w:b/>
                <w:bCs/>
              </w:rPr>
            </w:pPr>
            <w:r w:rsidRPr="00E366B2">
              <w:rPr>
                <w:b/>
                <w:bCs/>
              </w:rPr>
              <w:t>Reversal of neuromuscular blockade agent (NMBA)</w:t>
            </w:r>
          </w:p>
          <w:p w:rsidR="00E366B2" w:rsidP="006F0321" w:rsidRDefault="00E366B2" w14:paraId="2B283F31" w14:textId="5E850A1F">
            <w:r>
              <w:t>70 microg/kg</w:t>
            </w:r>
          </w:p>
          <w:p w:rsidRPr="00E25790" w:rsidR="00115F48" w:rsidP="006F0321" w:rsidRDefault="00E366B2" w14:paraId="3E8EAFEF" w14:textId="7DE7E37F">
            <w:r>
              <w:t xml:space="preserve">The selection of the lower or higher dose range depends on the extent of spontaneous recovery that has occurred at the time of administration, the half-life of the NMBA being reversed, and whether there is a need to rapidly reverse the NMBA. </w:t>
            </w:r>
          </w:p>
        </w:tc>
      </w:tr>
      <w:tr w:rsidRPr="00E25790" w:rsidR="00115F48" w:rsidTr="008074AA" w14:paraId="3870953F"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388A341E" w14:textId="77777777">
            <w:r w:rsidRPr="00E25790">
              <w:t>Comments :</w:t>
            </w:r>
          </w:p>
        </w:tc>
        <w:tc>
          <w:tcPr>
            <w:tcW w:w="7047" w:type="dxa"/>
            <w:tcBorders>
              <w:top w:val="single" w:color="auto" w:sz="6" w:space="0"/>
              <w:bottom w:val="single" w:color="auto" w:sz="6" w:space="0"/>
              <w:right w:val="single" w:color="auto" w:sz="6" w:space="0"/>
            </w:tcBorders>
          </w:tcPr>
          <w:p w:rsidR="00115F48" w:rsidP="006F0321" w:rsidRDefault="00115F48" w14:paraId="49795F4B" w14:textId="77777777">
            <w:r w:rsidRPr="00E25790">
              <w:t>May cause vomiting, increased salivation, diarrhoea, increased bronchial secretions, nystagmus, sweating, hypotension.  Contraindicated in mechanical intestinal or urinary obstruction.  May result in cardiac arrest, central respiratory depression, pulmonary oedema, convulsions.</w:t>
            </w:r>
          </w:p>
          <w:p w:rsidR="003E1D22" w:rsidP="006F0321" w:rsidRDefault="003E1D22" w14:paraId="3491B9AE" w14:textId="77777777"/>
          <w:p w:rsidRPr="00E25790" w:rsidR="003E1D22" w:rsidP="00DF0ED1" w:rsidRDefault="00DF0ED1" w14:paraId="28FE2224" w14:textId="1EC9353F">
            <w:r>
              <w:t>With large doses or intravenous injections, bradycardia may occur, consequently,simultaneous parenteral administration of atropine (in separate syringe) may be advisable. Atropine should always be available to counteract severe cholinergic reactions</w:t>
            </w:r>
          </w:p>
        </w:tc>
      </w:tr>
      <w:tr w:rsidRPr="00E25790" w:rsidR="00115F48" w:rsidTr="008074AA" w14:paraId="53ED7641"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21A6761" w14:textId="77777777">
            <w:r w:rsidRPr="00E25790">
              <w:t>Supplied as :</w:t>
            </w:r>
          </w:p>
        </w:tc>
        <w:tc>
          <w:tcPr>
            <w:tcW w:w="7047" w:type="dxa"/>
            <w:tcBorders>
              <w:top w:val="single" w:color="auto" w:sz="6" w:space="0"/>
              <w:bottom w:val="single" w:color="auto" w:sz="6" w:space="0"/>
              <w:right w:val="single" w:color="auto" w:sz="6" w:space="0"/>
            </w:tcBorders>
          </w:tcPr>
          <w:p w:rsidRPr="00E25790" w:rsidR="00115F48" w:rsidP="006F0321" w:rsidRDefault="00E1488E" w14:paraId="59FCD7BE" w14:textId="628A4F9A">
            <w:r>
              <w:t>500 microg</w:t>
            </w:r>
            <w:r w:rsidRPr="00E25790" w:rsidR="00115F48">
              <w:t>/m</w:t>
            </w:r>
            <w:r w:rsidR="00A92966">
              <w:t>L</w:t>
            </w:r>
            <w:r w:rsidRPr="00E25790" w:rsidR="00115F48">
              <w:t xml:space="preserve"> </w:t>
            </w:r>
            <w:r w:rsidR="00952100">
              <w:t>and 2500 microg/m</w:t>
            </w:r>
            <w:r w:rsidR="00A92966">
              <w:t xml:space="preserve">L </w:t>
            </w:r>
            <w:r w:rsidRPr="00E25790" w:rsidR="00115F48">
              <w:t>ampoules.</w:t>
            </w:r>
          </w:p>
        </w:tc>
      </w:tr>
      <w:tr w:rsidRPr="00E25790" w:rsidR="00115F48" w:rsidTr="008074AA" w14:paraId="62CC3C1F" w14:textId="77777777">
        <w:trPr>
          <w:cantSplit/>
          <w:trHeight w:val="960"/>
        </w:trPr>
        <w:tc>
          <w:tcPr>
            <w:tcW w:w="2443" w:type="dxa"/>
            <w:tcBorders>
              <w:top w:val="single" w:color="auto" w:sz="6" w:space="0"/>
              <w:left w:val="single" w:color="auto" w:sz="6" w:space="0"/>
              <w:bottom w:val="single" w:color="auto" w:sz="6" w:space="0"/>
            </w:tcBorders>
          </w:tcPr>
          <w:p w:rsidRPr="00E25790" w:rsidR="00115F48" w:rsidP="006F0321" w:rsidRDefault="00115F48" w14:paraId="57DE7A79" w14:textId="77777777">
            <w:r w:rsidRPr="00E25790">
              <w:lastRenderedPageBreak/>
              <w:t>Dilution :</w:t>
            </w:r>
          </w:p>
        </w:tc>
        <w:tc>
          <w:tcPr>
            <w:tcW w:w="7047" w:type="dxa"/>
            <w:tcBorders>
              <w:top w:val="single" w:color="auto" w:sz="6" w:space="0"/>
              <w:bottom w:val="single" w:color="auto" w:sz="6" w:space="0"/>
              <w:right w:val="single" w:color="auto" w:sz="6" w:space="0"/>
            </w:tcBorders>
          </w:tcPr>
          <w:p w:rsidRPr="00B20F2E" w:rsidR="00B20F2E" w:rsidP="00B20F2E" w:rsidRDefault="00B20F2E" w14:paraId="42667BBB" w14:textId="77777777">
            <w:pPr>
              <w:rPr>
                <w:b/>
                <w:bCs/>
              </w:rPr>
            </w:pPr>
            <w:r w:rsidRPr="00B20F2E">
              <w:rPr>
                <w:b/>
                <w:bCs/>
              </w:rPr>
              <w:t>IV/IM:</w:t>
            </w:r>
          </w:p>
          <w:p w:rsidR="00B20F2E" w:rsidP="00B20F2E" w:rsidRDefault="00B20F2E" w14:paraId="70A59E35" w14:textId="77777777">
            <w:r>
              <w:t>Use undiluted.</w:t>
            </w:r>
          </w:p>
          <w:p w:rsidR="00B20F2E" w:rsidP="00B20F2E" w:rsidRDefault="00B20F2E" w14:paraId="229D09D0" w14:textId="1CDA0136">
            <w:r>
              <w:t>May dilute contents following the below directions for a more dilute preparation.</w:t>
            </w:r>
          </w:p>
          <w:p w:rsidR="00B20F2E" w:rsidP="00B20F2E" w:rsidRDefault="00B20F2E" w14:paraId="61C1A5B7" w14:textId="77777777"/>
          <w:p w:rsidRPr="00B20F2E" w:rsidR="00B20F2E" w:rsidP="00B20F2E" w:rsidRDefault="00B20F2E" w14:paraId="7D8E3F3C" w14:textId="5CFF4900">
            <w:pPr>
              <w:rPr>
                <w:b/>
                <w:bCs/>
              </w:rPr>
            </w:pPr>
            <w:r w:rsidRPr="00B20F2E">
              <w:rPr>
                <w:b/>
                <w:bCs/>
              </w:rPr>
              <w:t>Dilution:</w:t>
            </w:r>
          </w:p>
          <w:p w:rsidR="00B20F2E" w:rsidP="00B20F2E" w:rsidRDefault="00B20F2E" w14:paraId="4E58611C" w14:textId="1B7901BB">
            <w:r>
              <w:t>Withdraw 1mL (2500microgams) and make up to a final volume of 16.5mL with a compatible fluid.</w:t>
            </w:r>
          </w:p>
          <w:p w:rsidR="00B20F2E" w:rsidP="00B20F2E" w:rsidRDefault="00B20F2E" w14:paraId="2F925946" w14:textId="77777777">
            <w:r>
              <w:t>Concentration is 2500micrograms in 16.5mL</w:t>
            </w:r>
          </w:p>
          <w:p w:rsidRPr="00E25790" w:rsidR="00115F48" w:rsidP="00B20F2E" w:rsidRDefault="00B20F2E" w14:paraId="74DD2473" w14:textId="1C778DB3">
            <w:r>
              <w:t>Final concentration is ≈ 150 microgram/mL</w:t>
            </w:r>
          </w:p>
        </w:tc>
      </w:tr>
      <w:tr w:rsidRPr="00E25790" w:rsidR="00115F48" w:rsidTr="008074AA" w14:paraId="0515B18E"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02B6447" w14:textId="77777777">
            <w:r w:rsidRPr="00E25790">
              <w:t>Stability :</w:t>
            </w:r>
          </w:p>
        </w:tc>
        <w:tc>
          <w:tcPr>
            <w:tcW w:w="7047" w:type="dxa"/>
            <w:tcBorders>
              <w:top w:val="single" w:color="auto" w:sz="6" w:space="0"/>
              <w:bottom w:val="single" w:color="auto" w:sz="6" w:space="0"/>
              <w:right w:val="single" w:color="auto" w:sz="6" w:space="0"/>
            </w:tcBorders>
          </w:tcPr>
          <w:p w:rsidRPr="00E25790" w:rsidR="00115F48" w:rsidP="006F0321" w:rsidRDefault="00115F48" w14:paraId="2BB2CAAA" w14:textId="77777777">
            <w:r w:rsidRPr="00E25790">
              <w:t>Discard unused portion.</w:t>
            </w:r>
          </w:p>
        </w:tc>
      </w:tr>
      <w:tr w:rsidRPr="00E25790" w:rsidR="00115F48" w:rsidTr="008074AA" w14:paraId="0C7B64A4" w14:textId="77777777">
        <w:trPr>
          <w:cantSplit/>
          <w:trHeight w:val="657"/>
        </w:trPr>
        <w:tc>
          <w:tcPr>
            <w:tcW w:w="2443" w:type="dxa"/>
            <w:tcBorders>
              <w:top w:val="single" w:color="auto" w:sz="6" w:space="0"/>
              <w:left w:val="single" w:color="auto" w:sz="6" w:space="0"/>
              <w:bottom w:val="single" w:color="auto" w:sz="6" w:space="0"/>
            </w:tcBorders>
          </w:tcPr>
          <w:p w:rsidRPr="00E25790" w:rsidR="00115F48" w:rsidP="006F0321" w:rsidRDefault="00115F48" w14:paraId="2C49473D" w14:textId="77777777">
            <w:r w:rsidRPr="00E25790">
              <w:t>Storage :</w:t>
            </w:r>
          </w:p>
        </w:tc>
        <w:tc>
          <w:tcPr>
            <w:tcW w:w="7047" w:type="dxa"/>
            <w:tcBorders>
              <w:top w:val="single" w:color="auto" w:sz="6" w:space="0"/>
              <w:bottom w:val="single" w:color="auto" w:sz="6" w:space="0"/>
              <w:right w:val="single" w:color="auto" w:sz="6" w:space="0"/>
            </w:tcBorders>
          </w:tcPr>
          <w:p w:rsidRPr="00E25790" w:rsidR="00115F48" w:rsidP="006F0321" w:rsidRDefault="00115F48" w14:paraId="123EC0E9" w14:textId="77777777">
            <w:r w:rsidRPr="00E25790">
              <w:t>Room temperature, protect from light.</w:t>
            </w:r>
          </w:p>
        </w:tc>
      </w:tr>
      <w:tr w:rsidRPr="00E25790" w:rsidR="00115F48" w:rsidTr="008074AA" w14:paraId="1C9A8BD9"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4D0B1AE" w14:textId="77777777">
            <w:r w:rsidRPr="00E25790">
              <w:t>Compatibility:</w:t>
            </w:r>
          </w:p>
        </w:tc>
        <w:tc>
          <w:tcPr>
            <w:tcW w:w="7047" w:type="dxa"/>
            <w:tcBorders>
              <w:top w:val="single" w:color="auto" w:sz="6" w:space="0"/>
              <w:bottom w:val="single" w:color="auto" w:sz="6" w:space="0"/>
              <w:right w:val="single" w:color="auto" w:sz="6" w:space="0"/>
            </w:tcBorders>
          </w:tcPr>
          <w:p w:rsidRPr="00E25790" w:rsidR="00115F48" w:rsidP="006F0321" w:rsidRDefault="00115F48" w14:paraId="053D52B5" w14:textId="77777777">
            <w:pPr>
              <w:rPr>
                <w:lang w:val="nl-NL"/>
              </w:rPr>
            </w:pPr>
            <w:r w:rsidRPr="00E25790">
              <w:rPr>
                <w:lang w:val="nl-NL"/>
              </w:rPr>
              <w:t>NS, heparin, 5%D, hydrocortisone, KCl.</w:t>
            </w:r>
          </w:p>
        </w:tc>
      </w:tr>
      <w:tr w:rsidRPr="00E25790" w:rsidR="00115F48" w:rsidTr="008074AA" w14:paraId="0E80B6CA"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6FF3D01B" w14:textId="77777777">
            <w:r w:rsidRPr="00E25790">
              <w:t>Incompatibility :</w:t>
            </w:r>
          </w:p>
        </w:tc>
        <w:tc>
          <w:tcPr>
            <w:tcW w:w="7047" w:type="dxa"/>
            <w:tcBorders>
              <w:top w:val="single" w:color="auto" w:sz="6" w:space="0"/>
              <w:bottom w:val="single" w:color="auto" w:sz="6" w:space="0"/>
              <w:right w:val="single" w:color="auto" w:sz="6" w:space="0"/>
            </w:tcBorders>
          </w:tcPr>
          <w:p w:rsidRPr="00E25790" w:rsidR="00115F48" w:rsidP="006F0321" w:rsidRDefault="00115F48" w14:paraId="77839890" w14:textId="77777777">
            <w:r w:rsidRPr="00E25790">
              <w:t>Sodium bicarbonate, suxamethonium.</w:t>
            </w:r>
          </w:p>
        </w:tc>
      </w:tr>
      <w:tr w:rsidRPr="00E25790" w:rsidR="00115F48" w:rsidTr="008074AA" w14:paraId="3117E945"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AF11B33" w14:textId="77777777">
            <w:r w:rsidRPr="00E25790">
              <w:t>Serum Levels :</w:t>
            </w:r>
          </w:p>
        </w:tc>
        <w:tc>
          <w:tcPr>
            <w:tcW w:w="7047" w:type="dxa"/>
            <w:tcBorders>
              <w:top w:val="single" w:color="auto" w:sz="6" w:space="0"/>
              <w:bottom w:val="single" w:color="auto" w:sz="6" w:space="0"/>
              <w:right w:val="single" w:color="auto" w:sz="6" w:space="0"/>
            </w:tcBorders>
          </w:tcPr>
          <w:p w:rsidRPr="00E25790" w:rsidR="00115F48" w:rsidP="006F0321" w:rsidRDefault="00115F48" w14:paraId="0EAD8019" w14:textId="77777777"/>
        </w:tc>
      </w:tr>
    </w:tbl>
    <w:p w:rsidR="00AF6517" w:rsidRDefault="00AF6517" w14:paraId="22A9821E" w14:textId="77777777">
      <w:pPr>
        <w:rPr>
          <w:b/>
        </w:rPr>
      </w:pPr>
      <w:bookmarkStart w:name="_Toc495415476" w:id="423"/>
      <w:bookmarkStart w:name="_Toc495481143" w:id="424"/>
      <w:bookmarkStart w:name="_Toc495481269" w:id="425"/>
      <w:bookmarkStart w:name="_Toc495481394" w:id="426"/>
      <w:bookmarkStart w:name="_Toc495501575" w:id="427"/>
      <w:bookmarkStart w:name="_Toc38106892" w:id="428"/>
    </w:p>
    <w:p w:rsidR="00AF6517" w:rsidRDefault="00AF6517" w14:paraId="5BB82222" w14:textId="77777777">
      <w:pPr>
        <w:rPr>
          <w:b/>
        </w:rPr>
      </w:pPr>
      <w:r>
        <w:rPr>
          <w:b/>
        </w:rPr>
        <w:t>References</w:t>
      </w:r>
    </w:p>
    <w:p w:rsidRPr="008074AA" w:rsidR="000E4432" w:rsidP="001B0E05" w:rsidRDefault="000E4432" w14:paraId="1707F44F" w14:textId="77777777">
      <w:pPr>
        <w:pStyle w:val="ListParagraph"/>
        <w:numPr>
          <w:ilvl w:val="0"/>
          <w:numId w:val="86"/>
        </w:numPr>
        <w:rPr>
          <w:sz w:val="16"/>
          <w:szCs w:val="16"/>
        </w:rPr>
      </w:pPr>
      <w:r w:rsidRPr="008074AA">
        <w:rPr>
          <w:sz w:val="16"/>
          <w:szCs w:val="16"/>
        </w:rPr>
        <w:t>British Medical Association, Royal Pharmaceutical Society. BNF for Children. London: BMJ Group, Pharmaceutical Press; 2019</w:t>
      </w:r>
    </w:p>
    <w:p w:rsidRPr="008074AA" w:rsidR="000E4432" w:rsidP="001B0E05" w:rsidRDefault="000E4432" w14:paraId="17F344FD" w14:textId="77777777">
      <w:pPr>
        <w:pStyle w:val="ListParagraph"/>
        <w:numPr>
          <w:ilvl w:val="0"/>
          <w:numId w:val="86"/>
        </w:numPr>
        <w:rPr>
          <w:sz w:val="16"/>
          <w:szCs w:val="16"/>
        </w:rPr>
      </w:pPr>
      <w:r w:rsidRPr="008074AA">
        <w:rPr>
          <w:sz w:val="16"/>
          <w:szCs w:val="16"/>
        </w:rPr>
        <w:t>Ainsworth SB. Neonatal formulary 7: drug use in pregnancy and the first year of life. Seventh ed. Chichester (West Sussex): John Wiley &amp; Sons Inc.; 2015. 631 p.349</w:t>
      </w:r>
    </w:p>
    <w:p w:rsidRPr="008074AA" w:rsidR="005A12F9" w:rsidP="001B0E05" w:rsidRDefault="000E4432" w14:paraId="6CBADAA9" w14:textId="2E2AF970">
      <w:pPr>
        <w:pStyle w:val="ListParagraph"/>
        <w:numPr>
          <w:ilvl w:val="0"/>
          <w:numId w:val="86"/>
        </w:numPr>
        <w:rPr>
          <w:sz w:val="16"/>
          <w:szCs w:val="16"/>
        </w:rPr>
      </w:pPr>
      <w:r w:rsidRPr="008074AA">
        <w:rPr>
          <w:sz w:val="16"/>
          <w:szCs w:val="16"/>
        </w:rPr>
        <w:t xml:space="preserve">Truven Health Analytics. Neostigmine. In: NeoFax [Internet]. Greenwood Village (CO): Truven Health Analytics; 2020 [cited </w:t>
      </w:r>
      <w:r w:rsidRPr="008074AA" w:rsidR="006A21B4">
        <w:rPr>
          <w:sz w:val="16"/>
          <w:szCs w:val="16"/>
        </w:rPr>
        <w:t>24-12-2020</w:t>
      </w:r>
      <w:r w:rsidRPr="008074AA">
        <w:rPr>
          <w:sz w:val="16"/>
          <w:szCs w:val="16"/>
        </w:rPr>
        <w:t xml:space="preserve">]. Available from: </w:t>
      </w:r>
      <w:hyperlink w:history="1" r:id="rId50">
        <w:r w:rsidRPr="008074AA" w:rsidR="005A12F9">
          <w:rPr>
            <w:rStyle w:val="Hyperlink"/>
            <w:sz w:val="16"/>
            <w:szCs w:val="16"/>
          </w:rPr>
          <w:t>https://neofax.micromedexsolutions.com/</w:t>
        </w:r>
      </w:hyperlink>
    </w:p>
    <w:p w:rsidRPr="008074AA" w:rsidR="00072A38" w:rsidP="001B0E05" w:rsidRDefault="00072A38" w14:paraId="7DCC5A74" w14:textId="48FBC760">
      <w:pPr>
        <w:pStyle w:val="ListParagraph"/>
        <w:numPr>
          <w:ilvl w:val="0"/>
          <w:numId w:val="86"/>
        </w:numPr>
        <w:rPr>
          <w:sz w:val="16"/>
          <w:szCs w:val="16"/>
        </w:rPr>
      </w:pPr>
      <w:r w:rsidRPr="008074AA">
        <w:rPr>
          <w:sz w:val="16"/>
          <w:szCs w:val="16"/>
        </w:rPr>
        <w:t>Women and Newborn Health Service</w:t>
      </w:r>
      <w:r w:rsidRPr="008074AA" w:rsidR="000175F6">
        <w:rPr>
          <w:sz w:val="16"/>
          <w:szCs w:val="16"/>
        </w:rPr>
        <w:t>, Government of Western Australia North metropolitan Health Service</w:t>
      </w:r>
      <w:r w:rsidRPr="008074AA" w:rsidR="002748D1">
        <w:rPr>
          <w:sz w:val="16"/>
          <w:szCs w:val="16"/>
        </w:rPr>
        <w:t xml:space="preserve">. </w:t>
      </w:r>
      <w:r w:rsidRPr="008074AA" w:rsidR="003F28F6">
        <w:rPr>
          <w:sz w:val="16"/>
          <w:szCs w:val="16"/>
        </w:rPr>
        <w:t xml:space="preserve">Neostiogmine. </w:t>
      </w:r>
      <w:r w:rsidRPr="008074AA" w:rsidR="002748D1">
        <w:rPr>
          <w:sz w:val="16"/>
          <w:szCs w:val="16"/>
        </w:rPr>
        <w:t>King Edward Memorial and Perth Childrens Hospital</w:t>
      </w:r>
      <w:r w:rsidRPr="008074AA" w:rsidR="003F28F6">
        <w:rPr>
          <w:sz w:val="16"/>
          <w:szCs w:val="16"/>
        </w:rPr>
        <w:t xml:space="preserve"> Neonatal Medication Monograph. Internet. 20</w:t>
      </w:r>
      <w:r w:rsidRPr="008074AA" w:rsidR="00B9342C">
        <w:rPr>
          <w:sz w:val="16"/>
          <w:szCs w:val="16"/>
        </w:rPr>
        <w:t>08</w:t>
      </w:r>
      <w:r w:rsidRPr="008074AA" w:rsidR="003F28F6">
        <w:rPr>
          <w:sz w:val="16"/>
          <w:szCs w:val="16"/>
        </w:rPr>
        <w:t xml:space="preserve"> [updated 2018 </w:t>
      </w:r>
      <w:r w:rsidRPr="008074AA" w:rsidR="00B9342C">
        <w:rPr>
          <w:sz w:val="16"/>
          <w:szCs w:val="16"/>
        </w:rPr>
        <w:t>Aug</w:t>
      </w:r>
      <w:r w:rsidRPr="008074AA" w:rsidR="003F28F6">
        <w:rPr>
          <w:sz w:val="16"/>
          <w:szCs w:val="16"/>
        </w:rPr>
        <w:t>; cited 24-12-2020].</w:t>
      </w:r>
      <w:r w:rsidRPr="008074AA" w:rsidR="00B9342C">
        <w:rPr>
          <w:sz w:val="16"/>
          <w:szCs w:val="16"/>
        </w:rPr>
        <w:t xml:space="preserve"> Available from:</w:t>
      </w:r>
      <w:r w:rsidRPr="008074AA" w:rsidR="005D4E3E">
        <w:rPr>
          <w:sz w:val="16"/>
          <w:szCs w:val="16"/>
        </w:rPr>
        <w:t xml:space="preserve"> https://www.kemh.health.wa.gov.au/</w:t>
      </w:r>
    </w:p>
    <w:p w:rsidRPr="008074AA" w:rsidR="005A12F9" w:rsidP="001B0E05" w:rsidRDefault="000E4432" w14:paraId="3EC3EC01" w14:textId="574499C7">
      <w:pPr>
        <w:pStyle w:val="ListParagraph"/>
        <w:numPr>
          <w:ilvl w:val="0"/>
          <w:numId w:val="86"/>
        </w:numPr>
        <w:rPr>
          <w:sz w:val="16"/>
          <w:szCs w:val="16"/>
        </w:rPr>
      </w:pPr>
      <w:r w:rsidRPr="008074AA">
        <w:rPr>
          <w:sz w:val="16"/>
          <w:szCs w:val="16"/>
        </w:rPr>
        <w:t>Takemoto CK, Hodding JH, Kraus DM. Pediatric &amp; neonatal dosage handbook with international trade names index : a universal resource for clinicians treating pediatric and neonatal patients. 24th ed. Hudson (Ohio): Lexicomp; 2401. 2, p1116.</w:t>
      </w:r>
    </w:p>
    <w:p w:rsidRPr="008074AA" w:rsidR="006A21B4" w:rsidP="001B0E05" w:rsidRDefault="005A12F9" w14:paraId="34D15A6B" w14:textId="61AEA8C0">
      <w:pPr>
        <w:pStyle w:val="ListParagraph"/>
        <w:numPr>
          <w:ilvl w:val="0"/>
          <w:numId w:val="86"/>
        </w:numPr>
        <w:rPr>
          <w:sz w:val="16"/>
          <w:szCs w:val="16"/>
        </w:rPr>
      </w:pPr>
      <w:r w:rsidRPr="008074AA">
        <w:rPr>
          <w:sz w:val="16"/>
          <w:szCs w:val="16"/>
        </w:rPr>
        <w:t xml:space="preserve">Department for Health and Ageing, Government of South Australia. Neostigmine. South Australian Neonatal Medicine Guidelines [Internet]. 2019 [updated 2018 Jul 5; cited </w:t>
      </w:r>
      <w:r w:rsidRPr="008074AA" w:rsidR="009C6380">
        <w:rPr>
          <w:sz w:val="16"/>
          <w:szCs w:val="16"/>
        </w:rPr>
        <w:t>24-12-2020</w:t>
      </w:r>
      <w:r w:rsidRPr="008074AA">
        <w:rPr>
          <w:sz w:val="16"/>
          <w:szCs w:val="16"/>
        </w:rPr>
        <w:t xml:space="preserve">]. Available from: </w:t>
      </w:r>
      <w:hyperlink w:history="1" r:id="rId51">
        <w:r w:rsidRPr="008074AA" w:rsidR="006A21B4">
          <w:rPr>
            <w:rStyle w:val="Hyperlink"/>
            <w:sz w:val="16"/>
            <w:szCs w:val="16"/>
          </w:rPr>
          <w:t>https://www.sahealth.sa.gov.au/</w:t>
        </w:r>
      </w:hyperlink>
    </w:p>
    <w:p w:rsidRPr="008074AA" w:rsidR="006A21B4" w:rsidP="001B0E05" w:rsidRDefault="005A12F9" w14:paraId="5AAD3EAC" w14:textId="2271D4CF">
      <w:pPr>
        <w:pStyle w:val="ListParagraph"/>
        <w:numPr>
          <w:ilvl w:val="0"/>
          <w:numId w:val="86"/>
        </w:numPr>
        <w:rPr>
          <w:sz w:val="16"/>
          <w:szCs w:val="16"/>
        </w:rPr>
      </w:pPr>
      <w:r w:rsidRPr="008074AA">
        <w:rPr>
          <w:sz w:val="16"/>
          <w:szCs w:val="16"/>
        </w:rPr>
        <w:t xml:space="preserve">Kemp CA, McDowell JM. Paediatric pharmacopeoia. 13th Ed. Melbourne: Royal Children’s Hospital; 2002. Society of Hospital Pharmacists of Australia. Neotigmine methylsulfate. In: Australian Injectable Drugs Handbook [Internet]. [St Leonards, New South Wales]: Health Communication Network; 2020 [cited 2020 Mar 10]. Available from: </w:t>
      </w:r>
      <w:hyperlink w:history="1" r:id="rId52">
        <w:r w:rsidRPr="008074AA" w:rsidR="006A21B4">
          <w:rPr>
            <w:rStyle w:val="Hyperlink"/>
            <w:sz w:val="16"/>
            <w:szCs w:val="16"/>
          </w:rPr>
          <w:t>http://aidh.hcn.com.au</w:t>
        </w:r>
      </w:hyperlink>
    </w:p>
    <w:p w:rsidRPr="008074AA" w:rsidR="00E4119C" w:rsidP="001B0E05" w:rsidRDefault="005A12F9" w14:paraId="0D386230" w14:textId="2B20C2FA">
      <w:pPr>
        <w:pStyle w:val="ListParagraph"/>
        <w:numPr>
          <w:ilvl w:val="0"/>
          <w:numId w:val="86"/>
        </w:numPr>
        <w:rPr>
          <w:sz w:val="16"/>
          <w:szCs w:val="16"/>
        </w:rPr>
      </w:pPr>
      <w:r w:rsidRPr="008074AA">
        <w:rPr>
          <w:sz w:val="16"/>
          <w:szCs w:val="16"/>
        </w:rPr>
        <w:t>King Guide Publications, Inc. Neostigmine methylsulfate. In: King Guide to Parenteral Admixtures [Internet]. Napa, CA; 2019 [cited 2020 Aug 08]. Available from: http://www.kingguide.com.kelibresources.health.wa.gov.au</w:t>
      </w:r>
      <w:r w:rsidRPr="008074AA">
        <w:rPr>
          <w:b/>
          <w:sz w:val="16"/>
          <w:szCs w:val="16"/>
        </w:rPr>
        <w:t xml:space="preserve"> </w:t>
      </w:r>
    </w:p>
    <w:p w:rsidRPr="00E4119C" w:rsidR="00E4119C" w:rsidP="00E4119C" w:rsidRDefault="00E4119C" w14:paraId="22E4C39E" w14:textId="77777777">
      <w:pPr>
        <w:pStyle w:val="ListParagraph"/>
      </w:pPr>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073"/>
        <w:gridCol w:w="3810"/>
      </w:tblGrid>
      <w:tr w:rsidR="00E4119C" w:rsidTr="00FE4186" w14:paraId="2057CC14" w14:textId="77777777">
        <w:tc>
          <w:tcPr>
            <w:tcW w:w="5073" w:type="dxa"/>
            <w:vAlign w:val="center"/>
          </w:tcPr>
          <w:p w:rsidR="00E4119C" w:rsidP="00FE4186" w:rsidRDefault="00E4119C" w14:paraId="6ECDD006" w14:textId="03D1A82A">
            <w:pPr>
              <w:rPr>
                <w:b/>
                <w:bCs/>
                <w:lang w:val="en-AU"/>
              </w:rPr>
            </w:pPr>
            <w:r>
              <w:rPr>
                <w:b/>
                <w:bCs/>
                <w:lang w:val="en-AU"/>
              </w:rPr>
              <w:t>O</w:t>
            </w:r>
            <w:r w:rsidRPr="06468F0E">
              <w:rPr>
                <w:b/>
                <w:bCs/>
                <w:lang w:val="en-AU"/>
              </w:rPr>
              <w:t xml:space="preserve">riginal version Date: </w:t>
            </w:r>
            <w:r w:rsidR="00E16716">
              <w:rPr>
                <w:b/>
                <w:bCs/>
                <w:lang w:val="en-AU"/>
              </w:rPr>
              <w:t>2014</w:t>
            </w:r>
          </w:p>
        </w:tc>
        <w:tc>
          <w:tcPr>
            <w:tcW w:w="3810" w:type="dxa"/>
            <w:vAlign w:val="center"/>
          </w:tcPr>
          <w:p w:rsidR="00E4119C" w:rsidP="00FE4186" w:rsidRDefault="00E4119C" w14:paraId="68B26EF6" w14:textId="2386769A">
            <w:pPr>
              <w:rPr>
                <w:b/>
                <w:bCs/>
                <w:lang w:val="en-AU"/>
              </w:rPr>
            </w:pPr>
            <w:r w:rsidRPr="48F57877">
              <w:rPr>
                <w:b/>
                <w:bCs/>
                <w:lang w:val="en-AU"/>
              </w:rPr>
              <w:t xml:space="preserve">Author: </w:t>
            </w:r>
            <w:r w:rsidR="00691A84">
              <w:rPr>
                <w:b/>
                <w:bCs/>
                <w:lang w:val="en-AU"/>
              </w:rPr>
              <w:t>AK, JD</w:t>
            </w:r>
          </w:p>
        </w:tc>
      </w:tr>
      <w:tr w:rsidR="00E4119C" w:rsidTr="00FE4186" w14:paraId="04B5192E" w14:textId="77777777">
        <w:tc>
          <w:tcPr>
            <w:tcW w:w="5073" w:type="dxa"/>
            <w:vAlign w:val="center"/>
          </w:tcPr>
          <w:p w:rsidR="00E4119C" w:rsidP="00FE4186" w:rsidRDefault="00E4119C" w14:paraId="633CE6A4" w14:textId="77777777">
            <w:pPr>
              <w:rPr>
                <w:b/>
                <w:bCs/>
                <w:lang w:val="en-AU"/>
              </w:rPr>
            </w:pPr>
            <w:r w:rsidRPr="06468F0E">
              <w:rPr>
                <w:b/>
                <w:bCs/>
                <w:lang w:val="en-AU"/>
              </w:rPr>
              <w:t xml:space="preserve">Current Version number:  </w:t>
            </w:r>
            <w:r>
              <w:rPr>
                <w:b/>
                <w:bCs/>
                <w:lang w:val="en-AU"/>
              </w:rPr>
              <w:t>2</w:t>
            </w:r>
          </w:p>
        </w:tc>
        <w:tc>
          <w:tcPr>
            <w:tcW w:w="3810" w:type="dxa"/>
            <w:vAlign w:val="center"/>
          </w:tcPr>
          <w:p w:rsidR="00E4119C" w:rsidP="00FE4186" w:rsidRDefault="00E4119C" w14:paraId="32691771" w14:textId="7D5FCA7A">
            <w:pPr>
              <w:rPr>
                <w:lang w:val="en-AU"/>
              </w:rPr>
            </w:pPr>
            <w:r w:rsidRPr="06468F0E">
              <w:rPr>
                <w:b/>
                <w:bCs/>
                <w:lang w:val="en-AU"/>
              </w:rPr>
              <w:t>Current Version Date:</w:t>
            </w:r>
            <w:r w:rsidRPr="06468F0E">
              <w:rPr>
                <w:lang w:val="en-AU"/>
              </w:rPr>
              <w:t xml:space="preserve">  </w:t>
            </w:r>
            <w:r w:rsidR="00691A84">
              <w:rPr>
                <w:lang w:val="en-AU"/>
              </w:rPr>
              <w:t>24/12/2020</w:t>
            </w:r>
          </w:p>
        </w:tc>
      </w:tr>
      <w:tr w:rsidR="00E4119C" w:rsidTr="00FE4186" w14:paraId="5F0C420E" w14:textId="77777777">
        <w:tc>
          <w:tcPr>
            <w:tcW w:w="5073" w:type="dxa"/>
            <w:vAlign w:val="center"/>
          </w:tcPr>
          <w:p w:rsidR="00E4119C" w:rsidP="00FE4186" w:rsidRDefault="00E4119C" w14:paraId="3293A5FF" w14:textId="77777777">
            <w:pPr>
              <w:rPr>
                <w:lang w:val="en-AU"/>
              </w:rPr>
            </w:pPr>
            <w:r w:rsidRPr="06468F0E">
              <w:rPr>
                <w:b/>
                <w:bCs/>
                <w:lang w:val="en-AU"/>
              </w:rPr>
              <w:t xml:space="preserve">Risk Rating: </w:t>
            </w:r>
            <w:r>
              <w:rPr>
                <w:b/>
                <w:bCs/>
                <w:lang w:val="en-AU"/>
              </w:rPr>
              <w:t>Low</w:t>
            </w:r>
          </w:p>
        </w:tc>
        <w:tc>
          <w:tcPr>
            <w:tcW w:w="3810" w:type="dxa"/>
            <w:vAlign w:val="center"/>
          </w:tcPr>
          <w:p w:rsidR="00E4119C" w:rsidP="00FE4186" w:rsidRDefault="00E4119C" w14:paraId="6553E886" w14:textId="5A641355">
            <w:pPr>
              <w:rPr>
                <w:b/>
                <w:bCs/>
                <w:lang w:val="en-AU"/>
              </w:rPr>
            </w:pPr>
            <w:r w:rsidRPr="06468F0E">
              <w:rPr>
                <w:b/>
                <w:bCs/>
                <w:lang w:val="en-AU"/>
              </w:rPr>
              <w:t xml:space="preserve">Due for Review: </w:t>
            </w:r>
            <w:r w:rsidR="00691A84">
              <w:rPr>
                <w:b/>
                <w:bCs/>
                <w:lang w:val="en-AU"/>
              </w:rPr>
              <w:t>24/12/2025</w:t>
            </w:r>
          </w:p>
        </w:tc>
      </w:tr>
      <w:tr w:rsidR="00E4119C" w:rsidTr="00FE4186" w14:paraId="6389737F" w14:textId="77777777">
        <w:trPr>
          <w:trHeight w:val="344"/>
        </w:trPr>
        <w:tc>
          <w:tcPr>
            <w:tcW w:w="5073" w:type="dxa"/>
            <w:tcBorders>
              <w:bottom w:val="single" w:color="auto" w:sz="4" w:space="0"/>
            </w:tcBorders>
            <w:vAlign w:val="center"/>
          </w:tcPr>
          <w:p w:rsidR="00E4119C" w:rsidP="00FE4186" w:rsidRDefault="00E4119C" w14:paraId="744F0A12" w14:textId="77777777">
            <w:pPr>
              <w:rPr>
                <w:b/>
                <w:bCs/>
                <w:lang w:val="en-AU"/>
              </w:rPr>
            </w:pPr>
            <w:r w:rsidRPr="48F57877">
              <w:rPr>
                <w:b/>
                <w:bCs/>
                <w:lang w:val="en-AU"/>
              </w:rPr>
              <w:t>Approval by: DTC</w:t>
            </w:r>
          </w:p>
        </w:tc>
        <w:tc>
          <w:tcPr>
            <w:tcW w:w="3810" w:type="dxa"/>
            <w:tcBorders>
              <w:bottom w:val="single" w:color="auto" w:sz="4" w:space="0"/>
            </w:tcBorders>
            <w:vAlign w:val="center"/>
          </w:tcPr>
          <w:p w:rsidR="00E4119C" w:rsidP="00FE4186" w:rsidRDefault="00E4119C" w14:paraId="17423F77" w14:textId="7D3FF475">
            <w:pPr>
              <w:rPr>
                <w:b/>
                <w:bCs/>
                <w:lang w:val="en-AU"/>
              </w:rPr>
            </w:pPr>
            <w:r w:rsidRPr="06468F0E">
              <w:rPr>
                <w:b/>
                <w:bCs/>
                <w:lang w:val="en-AU"/>
              </w:rPr>
              <w:t>Approval Date:</w:t>
            </w:r>
            <w:r>
              <w:rPr>
                <w:b/>
                <w:bCs/>
                <w:lang w:val="en-AU"/>
              </w:rPr>
              <w:t xml:space="preserve"> </w:t>
            </w:r>
            <w:r w:rsidR="00260BC8">
              <w:rPr>
                <w:b/>
                <w:bCs/>
                <w:lang w:val="en-AU"/>
              </w:rPr>
              <w:t>APRIL 2021</w:t>
            </w:r>
          </w:p>
        </w:tc>
      </w:tr>
    </w:tbl>
    <w:p w:rsidR="00FB38D0" w:rsidP="00E4119C" w:rsidRDefault="00FB38D0" w14:paraId="7D5CB9A7" w14:textId="6B393879">
      <w:r w:rsidRPr="00E4119C">
        <w:rPr>
          <w:b/>
        </w:rPr>
        <w:br w:type="page"/>
      </w:r>
    </w:p>
    <w:tbl>
      <w:tblPr>
        <w:tblW w:w="9049" w:type="dxa"/>
        <w:tblLayout w:type="fixed"/>
        <w:tblLook w:val="0000" w:firstRow="0" w:lastRow="0" w:firstColumn="0" w:lastColumn="0" w:noHBand="0" w:noVBand="0"/>
      </w:tblPr>
      <w:tblGrid>
        <w:gridCol w:w="4153"/>
        <w:gridCol w:w="4896"/>
      </w:tblGrid>
      <w:tr w:rsidRPr="00E25790" w:rsidR="00115F48" w:rsidTr="00FB38D0" w14:paraId="080AD754"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694B47B5" w14:textId="77777777">
            <w:pPr>
              <w:pStyle w:val="Heading1"/>
            </w:pPr>
            <w:bookmarkStart w:name="_Toc75340013" w:id="429"/>
            <w:r w:rsidRPr="00E25790">
              <w:lastRenderedPageBreak/>
              <w:t>Noradrenaline</w:t>
            </w:r>
            <w:bookmarkEnd w:id="423"/>
            <w:bookmarkEnd w:id="424"/>
            <w:bookmarkEnd w:id="425"/>
            <w:bookmarkEnd w:id="426"/>
            <w:bookmarkEnd w:id="427"/>
            <w:bookmarkEnd w:id="428"/>
            <w:bookmarkEnd w:id="429"/>
            <w:r w:rsidRPr="00E25790">
              <w:fldChar w:fldCharType="begin"/>
            </w:r>
            <w:r w:rsidRPr="00E25790">
              <w:instrText>tc "Noradrenaline" \l 0</w:instrText>
            </w:r>
            <w:r w:rsidRPr="00E25790">
              <w:fldChar w:fldCharType="end"/>
            </w:r>
          </w:p>
        </w:tc>
      </w:tr>
      <w:tr w:rsidRPr="00E25790" w:rsidR="00115F48" w:rsidTr="00FB38D0" w14:paraId="49C8254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2F36C90" w14:textId="12300F6B">
            <w:r w:rsidRPr="00E25790">
              <w:t>Revision Date</w:t>
            </w:r>
            <w:r w:rsidRPr="00E25790">
              <w:rPr>
                <w:b/>
              </w:rPr>
              <w:t xml:space="preserve"> : </w:t>
            </w:r>
            <w:r w:rsidR="00755A1D">
              <w:rPr>
                <w:b/>
              </w:rPr>
              <w:t>24-12-2020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F9888E1" w14:textId="77777777">
            <w:r w:rsidRPr="00E25790">
              <w:t xml:space="preserve">Approved: </w:t>
            </w:r>
            <w:r w:rsidRPr="00E25790" w:rsidR="00A56688">
              <w:t>TC, KOH</w:t>
            </w:r>
          </w:p>
        </w:tc>
      </w:tr>
    </w:tbl>
    <w:p w:rsidRPr="00E25790" w:rsidR="00115F48" w:rsidP="006F0321" w:rsidRDefault="00115F48" w14:paraId="1E4A4931" w14:textId="77777777"/>
    <w:tbl>
      <w:tblPr>
        <w:tblW w:w="10632" w:type="dxa"/>
        <w:tblInd w:w="-7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061"/>
        <w:gridCol w:w="8571"/>
      </w:tblGrid>
      <w:tr w:rsidRPr="00E73714" w:rsidR="008007B1" w:rsidTr="00FE4186" w14:paraId="73D2FD63" w14:textId="77777777">
        <w:trPr>
          <w:trHeight w:val="363"/>
        </w:trPr>
        <w:tc>
          <w:tcPr>
            <w:tcW w:w="2061" w:type="dxa"/>
          </w:tcPr>
          <w:p w:rsidRPr="009C0193" w:rsidR="008007B1" w:rsidP="00FE4186" w:rsidRDefault="008007B1" w14:paraId="32E2E483" w14:textId="77777777">
            <w:pPr>
              <w:pStyle w:val="BodyText"/>
              <w:tabs>
                <w:tab w:val="center" w:pos="1476"/>
              </w:tabs>
              <w:rPr>
                <w:rFonts w:cs="Arial" w:asciiTheme="minorHAnsi" w:hAnsiTheme="minorHAnsi"/>
                <w:b/>
                <w:sz w:val="20"/>
              </w:rPr>
            </w:pPr>
            <w:r w:rsidRPr="009C0193">
              <w:rPr>
                <w:rFonts w:cs="Arial" w:asciiTheme="minorHAnsi" w:hAnsiTheme="minorHAnsi"/>
                <w:b/>
                <w:sz w:val="20"/>
              </w:rPr>
              <w:t>Alert</w:t>
            </w:r>
            <w:r w:rsidRPr="009C0193">
              <w:rPr>
                <w:rFonts w:cs="Arial" w:asciiTheme="minorHAnsi" w:hAnsiTheme="minorHAnsi"/>
                <w:b/>
                <w:sz w:val="20"/>
              </w:rPr>
              <w:tab/>
            </w:r>
          </w:p>
          <w:p w:rsidRPr="009C0193" w:rsidR="008007B1" w:rsidP="00FE4186" w:rsidRDefault="008007B1" w14:paraId="45653E32" w14:textId="77777777">
            <w:pPr>
              <w:pStyle w:val="BodyText"/>
              <w:tabs>
                <w:tab w:val="center" w:pos="1476"/>
              </w:tabs>
              <w:rPr>
                <w:rFonts w:cs="Arial" w:asciiTheme="minorHAnsi" w:hAnsiTheme="minorHAnsi"/>
                <w:b/>
                <w:sz w:val="20"/>
              </w:rPr>
            </w:pPr>
            <w:r w:rsidRPr="009C0193">
              <w:rPr>
                <w:rFonts w:cs="Arial" w:asciiTheme="minorHAnsi" w:hAnsiTheme="minorHAnsi"/>
                <w:b/>
                <w:sz w:val="20"/>
              </w:rPr>
              <w:t xml:space="preserve"> </w:t>
            </w:r>
          </w:p>
        </w:tc>
        <w:tc>
          <w:tcPr>
            <w:tcW w:w="8571" w:type="dxa"/>
          </w:tcPr>
          <w:p w:rsidRPr="00E73714" w:rsidR="008007B1" w:rsidP="00FE4186" w:rsidRDefault="008007B1" w14:paraId="580FDE60" w14:textId="77777777">
            <w:pPr>
              <w:pStyle w:val="BodyText"/>
              <w:rPr>
                <w:rFonts w:cs="Arial" w:asciiTheme="minorHAnsi" w:hAnsiTheme="minorHAnsi"/>
                <w:sz w:val="20"/>
              </w:rPr>
            </w:pPr>
            <w:r w:rsidRPr="005476C8">
              <w:rPr>
                <w:rFonts w:cs="Arial" w:asciiTheme="minorHAnsi" w:hAnsiTheme="minorHAnsi"/>
                <w:b/>
                <w:sz w:val="20"/>
              </w:rPr>
              <w:t>Prescribe as noradrenaline base</w:t>
            </w:r>
            <w:r w:rsidRPr="00E73714">
              <w:rPr>
                <w:rFonts w:cs="Arial" w:asciiTheme="minorHAnsi" w:hAnsiTheme="minorHAnsi"/>
                <w:sz w:val="20"/>
              </w:rPr>
              <w:t>. Noradrenaline acid tartrate 2 mg/mL is equivalent to noradrenaline base 1 mg/mL (1:1,000)</w:t>
            </w:r>
          </w:p>
        </w:tc>
      </w:tr>
      <w:tr w:rsidRPr="00E73714" w:rsidR="008007B1" w:rsidTr="00FE4186" w14:paraId="4DD54BA9" w14:textId="77777777">
        <w:trPr>
          <w:trHeight w:val="553"/>
        </w:trPr>
        <w:tc>
          <w:tcPr>
            <w:tcW w:w="2061" w:type="dxa"/>
          </w:tcPr>
          <w:p w:rsidRPr="00E73714" w:rsidR="008007B1" w:rsidP="00FE4186" w:rsidRDefault="008007B1" w14:paraId="004FAA1E" w14:textId="77777777">
            <w:pPr>
              <w:pStyle w:val="BodyText"/>
              <w:rPr>
                <w:rFonts w:cs="Arial" w:asciiTheme="minorHAnsi" w:hAnsiTheme="minorHAnsi"/>
                <w:b/>
                <w:bCs/>
                <w:sz w:val="20"/>
              </w:rPr>
            </w:pPr>
            <w:r w:rsidRPr="00E73714">
              <w:rPr>
                <w:rFonts w:cs="Arial" w:asciiTheme="minorHAnsi" w:hAnsiTheme="minorHAnsi"/>
                <w:b/>
                <w:bCs/>
                <w:sz w:val="20"/>
              </w:rPr>
              <w:t xml:space="preserve">Indication                         </w:t>
            </w:r>
          </w:p>
          <w:p w:rsidRPr="00E73714" w:rsidR="008007B1" w:rsidP="00FE4186" w:rsidRDefault="008007B1" w14:paraId="0B3DEAC9" w14:textId="77777777">
            <w:pPr>
              <w:pStyle w:val="BodyText"/>
              <w:rPr>
                <w:rFonts w:cs="Arial" w:asciiTheme="minorHAnsi" w:hAnsiTheme="minorHAnsi"/>
                <w:sz w:val="20"/>
              </w:rPr>
            </w:pPr>
          </w:p>
        </w:tc>
        <w:tc>
          <w:tcPr>
            <w:tcW w:w="8571" w:type="dxa"/>
          </w:tcPr>
          <w:p w:rsidRPr="00E73714" w:rsidR="008007B1" w:rsidP="00FE4186" w:rsidRDefault="008007B1" w14:paraId="6164E91A" w14:textId="77777777">
            <w:pPr>
              <w:rPr>
                <w:rFonts w:asciiTheme="minorHAnsi" w:hAnsiTheme="minorHAnsi"/>
                <w:sz w:val="20"/>
              </w:rPr>
            </w:pPr>
            <w:r w:rsidRPr="00E73714">
              <w:rPr>
                <w:rFonts w:asciiTheme="minorHAnsi" w:hAnsiTheme="minorHAnsi"/>
                <w:sz w:val="20"/>
              </w:rPr>
              <w:t xml:space="preserve">Treatment of hyperdynamic shock secondary to sepsis. </w:t>
            </w:r>
            <w:r w:rsidRPr="00E73714">
              <w:rPr>
                <w:rFonts w:asciiTheme="minorHAnsi" w:hAnsiTheme="minorHAnsi"/>
                <w:noProof/>
                <w:sz w:val="20"/>
              </w:rPr>
              <w:t>[1]</w:t>
            </w:r>
          </w:p>
          <w:p w:rsidRPr="00E73714" w:rsidR="008007B1" w:rsidP="00FE4186" w:rsidRDefault="008007B1" w14:paraId="774F689E" w14:textId="77777777">
            <w:pPr>
              <w:rPr>
                <w:rFonts w:asciiTheme="minorHAnsi" w:hAnsiTheme="minorHAnsi"/>
                <w:sz w:val="20"/>
              </w:rPr>
            </w:pPr>
            <w:r w:rsidRPr="00E73714">
              <w:rPr>
                <w:rFonts w:asciiTheme="minorHAnsi" w:hAnsiTheme="minorHAnsi"/>
                <w:sz w:val="20"/>
              </w:rPr>
              <w:t>Second line inotrope for treatment of fluid-refractory hypotensive shock in the setting of low systemic vascular resistance (SVR).</w:t>
            </w:r>
            <w:r w:rsidRPr="00E73714">
              <w:rPr>
                <w:rFonts w:asciiTheme="minorHAnsi" w:hAnsiTheme="minorHAnsi"/>
                <w:noProof/>
                <w:sz w:val="20"/>
              </w:rPr>
              <w:t>[1]</w:t>
            </w:r>
          </w:p>
          <w:p w:rsidRPr="00E73714" w:rsidR="008007B1" w:rsidP="00FE4186" w:rsidRDefault="008007B1" w14:paraId="3C6D72AE" w14:textId="77777777">
            <w:pPr>
              <w:rPr>
                <w:rFonts w:asciiTheme="minorHAnsi" w:hAnsiTheme="minorHAnsi"/>
                <w:sz w:val="20"/>
              </w:rPr>
            </w:pPr>
            <w:r w:rsidRPr="00E73714">
              <w:rPr>
                <w:rFonts w:asciiTheme="minorHAnsi" w:hAnsiTheme="minorHAnsi"/>
                <w:sz w:val="20"/>
              </w:rPr>
              <w:t>Circulatory failure in the setting of pulmonary hypertension refractory to nitric oxide.</w:t>
            </w:r>
            <w:r w:rsidRPr="00E73714">
              <w:rPr>
                <w:rFonts w:asciiTheme="minorHAnsi" w:hAnsiTheme="minorHAnsi"/>
                <w:noProof/>
                <w:sz w:val="20"/>
              </w:rPr>
              <w:t>[2]</w:t>
            </w:r>
          </w:p>
        </w:tc>
      </w:tr>
      <w:tr w:rsidRPr="009C0193" w:rsidR="008007B1" w:rsidTr="00FE4186" w14:paraId="12E95E57" w14:textId="77777777">
        <w:trPr>
          <w:trHeight w:val="472"/>
        </w:trPr>
        <w:tc>
          <w:tcPr>
            <w:tcW w:w="2061" w:type="dxa"/>
          </w:tcPr>
          <w:p w:rsidRPr="00E73714" w:rsidR="008007B1" w:rsidP="00FE4186" w:rsidRDefault="008007B1" w14:paraId="0AC4730E" w14:textId="77777777">
            <w:pPr>
              <w:pStyle w:val="BodyText"/>
              <w:rPr>
                <w:rFonts w:cs="Arial" w:asciiTheme="minorHAnsi" w:hAnsiTheme="minorHAnsi"/>
                <w:b/>
                <w:bCs/>
                <w:sz w:val="20"/>
              </w:rPr>
            </w:pPr>
            <w:r w:rsidRPr="00E73714">
              <w:rPr>
                <w:rFonts w:cs="Arial" w:asciiTheme="minorHAnsi" w:hAnsiTheme="minorHAnsi"/>
                <w:b/>
                <w:bCs/>
                <w:sz w:val="20"/>
              </w:rPr>
              <w:t>Action</w:t>
            </w:r>
          </w:p>
        </w:tc>
        <w:tc>
          <w:tcPr>
            <w:tcW w:w="8571" w:type="dxa"/>
          </w:tcPr>
          <w:p w:rsidRPr="009C0193" w:rsidR="008007B1" w:rsidP="00FE4186" w:rsidRDefault="008007B1" w14:paraId="2D7E9FB4" w14:textId="77777777">
            <w:pPr>
              <w:rPr>
                <w:rFonts w:asciiTheme="minorHAnsi" w:hAnsiTheme="minorHAnsi"/>
                <w:sz w:val="20"/>
              </w:rPr>
            </w:pPr>
            <w:r w:rsidRPr="00E73714">
              <w:rPr>
                <w:rFonts w:asciiTheme="minorHAnsi" w:hAnsiTheme="minorHAnsi"/>
                <w:sz w:val="20"/>
              </w:rPr>
              <w:t xml:space="preserve">Catecholamine with strong vascular alpha and cardiac </w:t>
            </w:r>
            <w:r w:rsidRPr="009C0193">
              <w:rPr>
                <w:rFonts w:asciiTheme="minorHAnsi" w:hAnsiTheme="minorHAnsi"/>
                <w:sz w:val="20"/>
              </w:rPr>
              <w:t>beta-adrenergic action, moderate cardiac alpha-adrenergic actions.</w:t>
            </w:r>
            <w:r w:rsidRPr="009C0193">
              <w:rPr>
                <w:rFonts w:asciiTheme="minorHAnsi" w:hAnsiTheme="minorHAnsi"/>
                <w:noProof/>
                <w:sz w:val="20"/>
              </w:rPr>
              <w:t>[3]</w:t>
            </w:r>
            <w:r w:rsidRPr="009C0193">
              <w:rPr>
                <w:rFonts w:asciiTheme="minorHAnsi" w:hAnsiTheme="minorHAnsi"/>
                <w:sz w:val="20"/>
              </w:rPr>
              <w:t xml:space="preserve"> </w:t>
            </w:r>
          </w:p>
          <w:p w:rsidRPr="009C0193" w:rsidR="008007B1" w:rsidP="00FE4186" w:rsidRDefault="008007B1" w14:paraId="6DC17808" w14:textId="77777777">
            <w:pPr>
              <w:rPr>
                <w:rFonts w:asciiTheme="minorHAnsi" w:hAnsiTheme="minorHAnsi"/>
                <w:sz w:val="20"/>
              </w:rPr>
            </w:pPr>
            <w:r w:rsidRPr="009C0193">
              <w:rPr>
                <w:rFonts w:asciiTheme="minorHAnsi" w:hAnsiTheme="minorHAnsi"/>
                <w:sz w:val="20"/>
              </w:rPr>
              <w:t>Noradrenaline increases blood pressure, urine output and reduces lactate in newborns with septic shock refractory to volume expansion and other inotropes.</w:t>
            </w:r>
            <w:r w:rsidRPr="009C0193">
              <w:rPr>
                <w:rFonts w:asciiTheme="minorHAnsi" w:hAnsiTheme="minorHAnsi"/>
                <w:noProof/>
                <w:sz w:val="20"/>
              </w:rPr>
              <w:t>[4]</w:t>
            </w:r>
          </w:p>
          <w:p w:rsidRPr="009C0193" w:rsidR="008007B1" w:rsidP="00FE4186" w:rsidRDefault="008007B1" w14:paraId="3226BB3A" w14:textId="77777777">
            <w:pPr>
              <w:rPr>
                <w:rFonts w:cs="Arial" w:asciiTheme="minorHAnsi" w:hAnsiTheme="minorHAnsi"/>
                <w:sz w:val="20"/>
                <w:vertAlign w:val="superscript"/>
              </w:rPr>
            </w:pPr>
            <w:r w:rsidRPr="009C0193">
              <w:rPr>
                <w:rFonts w:asciiTheme="minorHAnsi" w:hAnsiTheme="minorHAnsi"/>
                <w:sz w:val="20"/>
              </w:rPr>
              <w:t xml:space="preserve">Noradrenaline increases systemic and pulmonary pressures, increases pulmonary blood flow and improves systemic oxygen saturation in newborn infants with pulmonary hypertension and circulatory failure. </w:t>
            </w:r>
            <w:r w:rsidRPr="009C0193">
              <w:rPr>
                <w:rFonts w:asciiTheme="minorHAnsi" w:hAnsiTheme="minorHAnsi"/>
                <w:noProof/>
                <w:sz w:val="20"/>
              </w:rPr>
              <w:t>[2]</w:t>
            </w:r>
          </w:p>
        </w:tc>
      </w:tr>
      <w:tr w:rsidRPr="009C0193" w:rsidR="008007B1" w:rsidTr="00FE4186" w14:paraId="45525A88" w14:textId="77777777">
        <w:trPr>
          <w:trHeight w:val="266"/>
        </w:trPr>
        <w:tc>
          <w:tcPr>
            <w:tcW w:w="2061" w:type="dxa"/>
          </w:tcPr>
          <w:p w:rsidRPr="009C0193" w:rsidR="008007B1" w:rsidP="00FE4186" w:rsidRDefault="008007B1" w14:paraId="1DD4E0E9" w14:textId="77777777">
            <w:pPr>
              <w:pStyle w:val="BodyText"/>
              <w:rPr>
                <w:rFonts w:cs="Arial" w:asciiTheme="minorHAnsi" w:hAnsiTheme="minorHAnsi"/>
                <w:sz w:val="20"/>
              </w:rPr>
            </w:pPr>
            <w:r w:rsidRPr="009C0193">
              <w:rPr>
                <w:rFonts w:cs="Arial" w:asciiTheme="minorHAnsi" w:hAnsiTheme="minorHAnsi"/>
                <w:b/>
                <w:bCs/>
                <w:sz w:val="20"/>
              </w:rPr>
              <w:t xml:space="preserve">Drug Type                                   </w:t>
            </w:r>
          </w:p>
        </w:tc>
        <w:tc>
          <w:tcPr>
            <w:tcW w:w="8571" w:type="dxa"/>
          </w:tcPr>
          <w:p w:rsidRPr="009C0193" w:rsidR="008007B1" w:rsidP="00FE4186" w:rsidRDefault="008007B1" w14:paraId="0AC5120E" w14:textId="77777777">
            <w:pPr>
              <w:pStyle w:val="BodyText"/>
              <w:rPr>
                <w:rFonts w:cs="Arial" w:asciiTheme="minorHAnsi" w:hAnsiTheme="minorHAnsi"/>
                <w:sz w:val="20"/>
              </w:rPr>
            </w:pPr>
            <w:r w:rsidRPr="009C0193">
              <w:rPr>
                <w:rFonts w:asciiTheme="minorHAnsi" w:hAnsiTheme="minorHAnsi"/>
                <w:sz w:val="20"/>
              </w:rPr>
              <w:t>Inotrope and vasopressor.</w:t>
            </w:r>
          </w:p>
        </w:tc>
      </w:tr>
      <w:tr w:rsidRPr="009C0193" w:rsidR="008007B1" w:rsidTr="00FE4186" w14:paraId="4BE60729" w14:textId="77777777">
        <w:trPr>
          <w:trHeight w:val="384"/>
        </w:trPr>
        <w:tc>
          <w:tcPr>
            <w:tcW w:w="2061" w:type="dxa"/>
          </w:tcPr>
          <w:p w:rsidRPr="009C0193" w:rsidR="008007B1" w:rsidP="00FE4186" w:rsidRDefault="008007B1" w14:paraId="0367FD22" w14:textId="77777777">
            <w:pPr>
              <w:pStyle w:val="BodyText"/>
              <w:rPr>
                <w:rFonts w:cs="Arial" w:asciiTheme="minorHAnsi" w:hAnsiTheme="minorHAnsi"/>
                <w:b/>
                <w:bCs/>
                <w:sz w:val="20"/>
              </w:rPr>
            </w:pPr>
            <w:r w:rsidRPr="009C0193">
              <w:rPr>
                <w:rFonts w:cs="Arial" w:asciiTheme="minorHAnsi" w:hAnsiTheme="minorHAnsi"/>
                <w:b/>
                <w:bCs/>
                <w:sz w:val="20"/>
              </w:rPr>
              <w:t xml:space="preserve">Trade Name                  </w:t>
            </w:r>
          </w:p>
        </w:tc>
        <w:tc>
          <w:tcPr>
            <w:tcW w:w="8571" w:type="dxa"/>
          </w:tcPr>
          <w:p w:rsidRPr="009C0193" w:rsidR="008007B1" w:rsidP="00FE4186" w:rsidRDefault="008007B1" w14:paraId="4766C024" w14:textId="77777777">
            <w:pPr>
              <w:pStyle w:val="BodyText"/>
              <w:rPr>
                <w:rFonts w:cs="Arial" w:asciiTheme="minorHAnsi" w:hAnsiTheme="minorHAnsi"/>
                <w:sz w:val="20"/>
              </w:rPr>
            </w:pPr>
            <w:r w:rsidRPr="009C0193">
              <w:rPr>
                <w:rFonts w:cs="Arial" w:asciiTheme="minorHAnsi" w:hAnsiTheme="minorHAnsi"/>
                <w:sz w:val="20"/>
              </w:rPr>
              <w:t xml:space="preserve">Hospira </w:t>
            </w:r>
            <w:r>
              <w:rPr>
                <w:rFonts w:cs="Arial" w:asciiTheme="minorHAnsi" w:hAnsiTheme="minorHAnsi"/>
                <w:sz w:val="20"/>
              </w:rPr>
              <w:t xml:space="preserve">Levophed </w:t>
            </w:r>
            <w:r w:rsidRPr="009C0193">
              <w:rPr>
                <w:rFonts w:cs="Arial" w:asciiTheme="minorHAnsi" w:hAnsiTheme="minorHAnsi"/>
                <w:sz w:val="20"/>
              </w:rPr>
              <w:t xml:space="preserve">Noradrenaline 1:1,000, Noradrenaline </w:t>
            </w:r>
            <w:r>
              <w:rPr>
                <w:rFonts w:cs="Arial" w:asciiTheme="minorHAnsi" w:hAnsiTheme="minorHAnsi"/>
                <w:sz w:val="20"/>
              </w:rPr>
              <w:t xml:space="preserve">BNM 1:1000, Noradrenaline </w:t>
            </w:r>
            <w:r w:rsidRPr="009C0193">
              <w:rPr>
                <w:rFonts w:cs="Arial" w:asciiTheme="minorHAnsi" w:hAnsiTheme="minorHAnsi"/>
                <w:sz w:val="20"/>
              </w:rPr>
              <w:t>MYX</w:t>
            </w:r>
            <w:r>
              <w:rPr>
                <w:rFonts w:cs="Arial" w:asciiTheme="minorHAnsi" w:hAnsiTheme="minorHAnsi"/>
                <w:sz w:val="20"/>
              </w:rPr>
              <w:t xml:space="preserve"> 1:1000. </w:t>
            </w:r>
            <w:r w:rsidRPr="00A074B9">
              <w:rPr>
                <w:rFonts w:cs="Arial" w:asciiTheme="minorHAnsi" w:hAnsiTheme="minorHAnsi"/>
                <w:b/>
                <w:sz w:val="20"/>
              </w:rPr>
              <w:t>All contain Noradrenaline acid tartrate.</w:t>
            </w:r>
          </w:p>
        </w:tc>
      </w:tr>
      <w:tr w:rsidRPr="009C0193" w:rsidR="008007B1" w:rsidTr="00FE4186" w14:paraId="0B4E447F" w14:textId="77777777">
        <w:trPr>
          <w:trHeight w:val="247"/>
        </w:trPr>
        <w:tc>
          <w:tcPr>
            <w:tcW w:w="2061" w:type="dxa"/>
          </w:tcPr>
          <w:p w:rsidRPr="00E73714" w:rsidR="008007B1" w:rsidP="00FE4186" w:rsidRDefault="008007B1" w14:paraId="52AD80D1" w14:textId="77777777">
            <w:pPr>
              <w:pStyle w:val="BodyText"/>
              <w:rPr>
                <w:rFonts w:cs="Arial" w:asciiTheme="minorHAnsi" w:hAnsiTheme="minorHAnsi"/>
                <w:b/>
                <w:bCs/>
                <w:sz w:val="20"/>
              </w:rPr>
            </w:pPr>
            <w:r w:rsidRPr="009C0193">
              <w:rPr>
                <w:rFonts w:cs="Arial" w:asciiTheme="minorHAnsi" w:hAnsiTheme="minorHAnsi"/>
                <w:b/>
                <w:bCs/>
                <w:sz w:val="20"/>
              </w:rPr>
              <w:t xml:space="preserve">Presentation </w:t>
            </w:r>
          </w:p>
        </w:tc>
        <w:tc>
          <w:tcPr>
            <w:tcW w:w="8571" w:type="dxa"/>
          </w:tcPr>
          <w:p w:rsidRPr="009C0193" w:rsidR="008007B1" w:rsidP="00FE4186" w:rsidRDefault="008007B1" w14:paraId="6533B25B" w14:textId="77777777">
            <w:pPr>
              <w:pStyle w:val="BodyText"/>
              <w:rPr>
                <w:rFonts w:cs="Arial" w:asciiTheme="minorHAnsi" w:hAnsiTheme="minorHAnsi"/>
                <w:sz w:val="20"/>
              </w:rPr>
            </w:pPr>
            <w:r w:rsidRPr="009C0193">
              <w:rPr>
                <w:rFonts w:cs="Arial" w:asciiTheme="minorHAnsi" w:hAnsiTheme="minorHAnsi"/>
                <w:sz w:val="20"/>
              </w:rPr>
              <w:t xml:space="preserve">Noradrenaline acid tartrate 8 mg/4 mL is equivalent to </w:t>
            </w:r>
            <w:r w:rsidRPr="009C0193">
              <w:rPr>
                <w:rFonts w:cs="Arial" w:asciiTheme="minorHAnsi" w:hAnsiTheme="minorHAnsi"/>
                <w:b/>
                <w:sz w:val="20"/>
              </w:rPr>
              <w:t>noradrenaline base 4 mg/4 mL (1:1000)</w:t>
            </w:r>
          </w:p>
        </w:tc>
      </w:tr>
      <w:tr w:rsidRPr="00F9720C" w:rsidR="008007B1" w:rsidTr="00FE4186" w14:paraId="7F8A28E5" w14:textId="77777777">
        <w:trPr>
          <w:trHeight w:val="1630"/>
        </w:trPr>
        <w:tc>
          <w:tcPr>
            <w:tcW w:w="2061" w:type="dxa"/>
          </w:tcPr>
          <w:p w:rsidRPr="009C0193" w:rsidR="008007B1" w:rsidP="00FE4186" w:rsidRDefault="008007B1" w14:paraId="54A68424" w14:textId="77777777">
            <w:pPr>
              <w:pStyle w:val="BodyText"/>
              <w:rPr>
                <w:rFonts w:cs="Arial" w:asciiTheme="minorHAnsi" w:hAnsiTheme="minorHAnsi"/>
                <w:b/>
                <w:bCs/>
                <w:sz w:val="20"/>
              </w:rPr>
            </w:pPr>
            <w:r w:rsidRPr="009C0193">
              <w:rPr>
                <w:rFonts w:cs="Arial" w:asciiTheme="minorHAnsi" w:hAnsiTheme="minorHAnsi"/>
                <w:b/>
                <w:bCs/>
                <w:sz w:val="20"/>
              </w:rPr>
              <w:t xml:space="preserve">Dosage / Interval                           </w:t>
            </w:r>
          </w:p>
          <w:p w:rsidRPr="009C0193" w:rsidR="008007B1" w:rsidP="00FE4186" w:rsidRDefault="008007B1" w14:paraId="13284846" w14:textId="77777777">
            <w:pPr>
              <w:pStyle w:val="BodyText"/>
              <w:rPr>
                <w:rFonts w:cs="Arial" w:asciiTheme="minorHAnsi" w:hAnsiTheme="minorHAnsi"/>
                <w:sz w:val="20"/>
              </w:rPr>
            </w:pPr>
          </w:p>
        </w:tc>
        <w:tc>
          <w:tcPr>
            <w:tcW w:w="8571" w:type="dxa"/>
          </w:tcPr>
          <w:p w:rsidR="008007B1" w:rsidP="00FE4186" w:rsidRDefault="008007B1" w14:paraId="0B696E30" w14:textId="77777777">
            <w:pPr>
              <w:overflowPunct w:val="0"/>
              <w:autoSpaceDE w:val="0"/>
              <w:autoSpaceDN w:val="0"/>
              <w:jc w:val="both"/>
              <w:rPr>
                <w:rFonts w:eastAsia="Calibri"/>
                <w:sz w:val="20"/>
              </w:rPr>
            </w:pPr>
            <w:r w:rsidRPr="00157CFD">
              <w:rPr>
                <w:rFonts w:eastAsia="Calibri"/>
                <w:sz w:val="20"/>
              </w:rPr>
              <w:t>0.05-1.0 microgram/kg/minute</w:t>
            </w:r>
            <w:r>
              <w:rPr>
                <w:rFonts w:eastAsia="Calibri"/>
                <w:sz w:val="20"/>
              </w:rPr>
              <w:t xml:space="preserve"> of </w:t>
            </w:r>
            <w:r w:rsidRPr="00A074B9">
              <w:rPr>
                <w:rFonts w:eastAsia="Calibri"/>
                <w:b/>
                <w:sz w:val="20"/>
              </w:rPr>
              <w:t>noradrenaline Base.</w:t>
            </w:r>
          </w:p>
          <w:p w:rsidRPr="00157CFD" w:rsidR="008007B1" w:rsidP="00FE4186" w:rsidRDefault="008007B1" w14:paraId="66B4E939" w14:textId="77777777">
            <w:pPr>
              <w:overflowPunct w:val="0"/>
              <w:autoSpaceDE w:val="0"/>
              <w:autoSpaceDN w:val="0"/>
              <w:jc w:val="both"/>
              <w:rPr>
                <w:rFonts w:eastAsia="Calibri"/>
                <w:sz w:val="20"/>
              </w:rPr>
            </w:pPr>
          </w:p>
          <w:p w:rsidRPr="005476C8" w:rsidR="008007B1" w:rsidP="001B0E05" w:rsidRDefault="008007B1" w14:paraId="45641BFA" w14:textId="77777777">
            <w:pPr>
              <w:numPr>
                <w:ilvl w:val="0"/>
                <w:numId w:val="112"/>
              </w:numPr>
              <w:overflowPunct w:val="0"/>
              <w:autoSpaceDE w:val="0"/>
              <w:autoSpaceDN w:val="0"/>
              <w:jc w:val="both"/>
              <w:rPr>
                <w:rFonts w:eastAsia="Calibri"/>
                <w:sz w:val="20"/>
              </w:rPr>
            </w:pPr>
            <w:r w:rsidRPr="005476C8">
              <w:rPr>
                <w:rFonts w:eastAsia="Calibri"/>
                <w:sz w:val="20"/>
              </w:rPr>
              <w:t>Suggested starting dose of  0.1 microgram/kg/minute and titrate up to achieve not only normotensive range of blood pressure but also improved tissue perfusion manifested by good urine output, improved FiO2, and reduced lactate. </w:t>
            </w:r>
          </w:p>
          <w:p w:rsidRPr="00F9720C" w:rsidR="008007B1" w:rsidP="001B0E05" w:rsidRDefault="008007B1" w14:paraId="2C9231B8" w14:textId="77777777">
            <w:pPr>
              <w:numPr>
                <w:ilvl w:val="0"/>
                <w:numId w:val="112"/>
              </w:numPr>
              <w:overflowPunct w:val="0"/>
              <w:autoSpaceDE w:val="0"/>
              <w:autoSpaceDN w:val="0"/>
              <w:jc w:val="both"/>
              <w:rPr>
                <w:rFonts w:eastAsia="Calibri"/>
                <w:sz w:val="20"/>
              </w:rPr>
            </w:pPr>
            <w:r w:rsidRPr="005476C8">
              <w:rPr>
                <w:rFonts w:eastAsia="Calibri"/>
                <w:sz w:val="20"/>
              </w:rPr>
              <w:t xml:space="preserve">Consider starting at higher dose particularly in term infants with respiratory failure and hypotension refractory to other treatments. </w:t>
            </w:r>
          </w:p>
        </w:tc>
      </w:tr>
      <w:tr w:rsidRPr="009C0193" w:rsidR="008007B1" w:rsidTr="00FE4186" w14:paraId="2D6DA66B" w14:textId="77777777">
        <w:trPr>
          <w:trHeight w:val="219"/>
        </w:trPr>
        <w:tc>
          <w:tcPr>
            <w:tcW w:w="2061" w:type="dxa"/>
          </w:tcPr>
          <w:p w:rsidRPr="004A0D4E" w:rsidR="008007B1" w:rsidP="00FE4186" w:rsidRDefault="008007B1" w14:paraId="724FDD36" w14:textId="77777777">
            <w:pPr>
              <w:pStyle w:val="BodyText"/>
              <w:rPr>
                <w:rFonts w:cs="Arial" w:asciiTheme="minorHAnsi" w:hAnsiTheme="minorHAnsi"/>
                <w:b/>
                <w:bCs/>
                <w:sz w:val="20"/>
              </w:rPr>
            </w:pPr>
            <w:r w:rsidRPr="009C0193">
              <w:rPr>
                <w:rFonts w:cs="Arial" w:asciiTheme="minorHAnsi" w:hAnsiTheme="minorHAnsi"/>
                <w:b/>
                <w:bCs/>
                <w:sz w:val="20"/>
              </w:rPr>
              <w:t xml:space="preserve">Route                                  </w:t>
            </w:r>
          </w:p>
        </w:tc>
        <w:tc>
          <w:tcPr>
            <w:tcW w:w="8571" w:type="dxa"/>
          </w:tcPr>
          <w:p w:rsidRPr="009C0193" w:rsidR="008007B1" w:rsidP="00FE4186" w:rsidRDefault="008007B1" w14:paraId="7CE662EA" w14:textId="77777777">
            <w:pPr>
              <w:pStyle w:val="BodyText"/>
              <w:rPr>
                <w:rFonts w:cs="Arial" w:asciiTheme="minorHAnsi" w:hAnsiTheme="minorHAnsi"/>
                <w:sz w:val="20"/>
              </w:rPr>
            </w:pPr>
            <w:r w:rsidRPr="009C0193">
              <w:rPr>
                <w:rFonts w:cs="Arial" w:asciiTheme="minorHAnsi" w:hAnsiTheme="minorHAnsi"/>
                <w:sz w:val="20"/>
              </w:rPr>
              <w:t>Continuous IV infusion.</w:t>
            </w:r>
          </w:p>
        </w:tc>
      </w:tr>
      <w:tr w:rsidRPr="009C0193" w:rsidR="008007B1" w:rsidTr="00FE4186" w14:paraId="6C076439" w14:textId="77777777">
        <w:trPr>
          <w:trHeight w:val="4692"/>
        </w:trPr>
        <w:tc>
          <w:tcPr>
            <w:tcW w:w="2061" w:type="dxa"/>
          </w:tcPr>
          <w:p w:rsidRPr="009C0193" w:rsidR="008007B1" w:rsidP="00FE4186" w:rsidRDefault="008007B1" w14:paraId="629610A4" w14:textId="77777777">
            <w:pPr>
              <w:pStyle w:val="BodyText"/>
              <w:rPr>
                <w:rFonts w:cs="Arial" w:asciiTheme="minorHAnsi" w:hAnsiTheme="minorHAnsi"/>
                <w:b/>
                <w:bCs/>
                <w:sz w:val="20"/>
                <w:highlight w:val="cyan"/>
              </w:rPr>
            </w:pPr>
            <w:r w:rsidRPr="009C0193">
              <w:rPr>
                <w:rFonts w:cs="Arial" w:asciiTheme="minorHAnsi" w:hAnsiTheme="minorHAnsi"/>
                <w:b/>
                <w:bCs/>
                <w:sz w:val="20"/>
              </w:rPr>
              <w:t xml:space="preserve">Preparation/Dilution </w:t>
            </w:r>
            <w:r w:rsidRPr="009C0193">
              <w:rPr>
                <w:rFonts w:cs="Arial" w:asciiTheme="minorHAnsi" w:hAnsiTheme="minorHAnsi"/>
                <w:b/>
                <w:bCs/>
                <w:sz w:val="20"/>
                <w:highlight w:val="cyan"/>
              </w:rPr>
              <w:t xml:space="preserve">                </w:t>
            </w:r>
          </w:p>
          <w:p w:rsidRPr="009C0193" w:rsidR="008007B1" w:rsidP="00FE4186" w:rsidRDefault="008007B1" w14:paraId="32093F24" w14:textId="77777777">
            <w:pPr>
              <w:pStyle w:val="BodyText"/>
              <w:rPr>
                <w:rFonts w:cs="Arial" w:asciiTheme="minorHAnsi" w:hAnsiTheme="minorHAnsi"/>
                <w:sz w:val="20"/>
                <w:highlight w:val="cyan"/>
              </w:rPr>
            </w:pPr>
            <w:r w:rsidRPr="009C0193">
              <w:rPr>
                <w:rFonts w:cs="Arial" w:asciiTheme="minorHAnsi" w:hAnsiTheme="minorHAnsi"/>
                <w:b/>
                <w:bCs/>
                <w:sz w:val="20"/>
                <w:highlight w:val="cyan"/>
              </w:rPr>
              <w:t xml:space="preserve">           </w:t>
            </w:r>
          </w:p>
        </w:tc>
        <w:tc>
          <w:tcPr>
            <w:tcW w:w="8571" w:type="dxa"/>
          </w:tcPr>
          <w:p w:rsidRPr="009C0193" w:rsidR="008007B1" w:rsidP="00FE4186" w:rsidRDefault="008007B1" w14:paraId="27C82092" w14:textId="77777777">
            <w:pPr>
              <w:pStyle w:val="BodyText"/>
              <w:rPr>
                <w:rFonts w:cs="Arial" w:asciiTheme="minorHAnsi" w:hAnsiTheme="minorHAnsi"/>
                <w:b/>
                <w:sz w:val="20"/>
              </w:rPr>
            </w:pPr>
            <w:r w:rsidRPr="009C0193">
              <w:rPr>
                <w:rFonts w:cs="Arial" w:asciiTheme="minorHAnsi" w:hAnsiTheme="minorHAnsi"/>
                <w:b/>
                <w:sz w:val="20"/>
              </w:rPr>
              <w:t>LOW CONCENTRATION IV infusion</w:t>
            </w:r>
            <w:r>
              <w:rPr>
                <w:rFonts w:cs="Arial" w:asciiTheme="minorHAnsi" w:hAnsiTheme="minorHAnsi"/>
                <w:b/>
                <w:sz w:val="20"/>
              </w:rPr>
              <w:t xml:space="preserve"> (for =&gt;1kg)</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9C0193" w:rsidR="008007B1" w:rsidTr="00FE4186" w14:paraId="34E8D98B" w14:textId="77777777">
              <w:tc>
                <w:tcPr>
                  <w:tcW w:w="3715" w:type="dxa"/>
                  <w:shd w:val="clear" w:color="auto" w:fill="auto"/>
                </w:tcPr>
                <w:p w:rsidRPr="009C0193" w:rsidR="008007B1" w:rsidP="00FE4186" w:rsidRDefault="008007B1" w14:paraId="4396485F" w14:textId="77777777">
                  <w:pPr>
                    <w:pStyle w:val="BodyText"/>
                    <w:jc w:val="center"/>
                    <w:rPr>
                      <w:rFonts w:cs="Arial" w:asciiTheme="minorHAnsi" w:hAnsiTheme="minorHAnsi"/>
                      <w:b/>
                      <w:sz w:val="20"/>
                    </w:rPr>
                  </w:pPr>
                  <w:r w:rsidRPr="00EF1F75">
                    <w:rPr>
                      <w:rFonts w:cs="Arial" w:asciiTheme="minorHAnsi" w:hAnsiTheme="minorHAnsi"/>
                      <w:b/>
                      <w:sz w:val="20"/>
                    </w:rPr>
                    <w:t>Infusion dose</w:t>
                  </w:r>
                </w:p>
              </w:tc>
              <w:tc>
                <w:tcPr>
                  <w:tcW w:w="4276" w:type="dxa"/>
                  <w:shd w:val="clear" w:color="auto" w:fill="auto"/>
                </w:tcPr>
                <w:p w:rsidRPr="009C0193" w:rsidR="008007B1" w:rsidP="00FE4186" w:rsidRDefault="008007B1" w14:paraId="77633B5A" w14:textId="77777777">
                  <w:pPr>
                    <w:pStyle w:val="BodyText"/>
                    <w:jc w:val="center"/>
                    <w:rPr>
                      <w:rFonts w:cs="Arial" w:asciiTheme="minorHAnsi" w:hAnsiTheme="minorHAnsi"/>
                      <w:b/>
                      <w:sz w:val="20"/>
                    </w:rPr>
                  </w:pPr>
                  <w:r w:rsidRPr="009C0193">
                    <w:rPr>
                      <w:rFonts w:cs="Arial" w:asciiTheme="minorHAnsi" w:hAnsiTheme="minorHAnsi"/>
                      <w:b/>
                      <w:sz w:val="20"/>
                    </w:rPr>
                    <w:t>Prescribed amount</w:t>
                  </w:r>
                </w:p>
              </w:tc>
            </w:tr>
            <w:tr w:rsidRPr="009C0193" w:rsidR="008007B1" w:rsidTr="00FE4186" w14:paraId="421B9932" w14:textId="77777777">
              <w:tc>
                <w:tcPr>
                  <w:tcW w:w="3715" w:type="dxa"/>
                  <w:shd w:val="clear" w:color="auto" w:fill="auto"/>
                </w:tcPr>
                <w:p w:rsidRPr="009C0193" w:rsidR="008007B1" w:rsidP="00FE4186" w:rsidRDefault="008007B1" w14:paraId="63EE680F" w14:textId="77777777">
                  <w:pPr>
                    <w:pStyle w:val="BodyText"/>
                    <w:rPr>
                      <w:rFonts w:cs="Arial" w:asciiTheme="minorHAnsi" w:hAnsiTheme="minorHAnsi"/>
                      <w:sz w:val="20"/>
                    </w:rPr>
                  </w:pPr>
                  <w:r w:rsidRPr="009C0193">
                    <w:rPr>
                      <w:rFonts w:cs="Arial" w:asciiTheme="minorHAnsi" w:hAnsiTheme="minorHAnsi"/>
                      <w:sz w:val="20"/>
                    </w:rPr>
                    <w:t>1 mL/hour = 0.05 microgram/kg/minute</w:t>
                  </w:r>
                </w:p>
              </w:tc>
              <w:tc>
                <w:tcPr>
                  <w:tcW w:w="4276" w:type="dxa"/>
                  <w:shd w:val="clear" w:color="auto" w:fill="auto"/>
                </w:tcPr>
                <w:p w:rsidRPr="009C0193" w:rsidR="008007B1" w:rsidP="00FE4186" w:rsidRDefault="008007B1" w14:paraId="4C1AFAFD" w14:textId="77777777">
                  <w:pPr>
                    <w:pStyle w:val="BodyText"/>
                    <w:rPr>
                      <w:rFonts w:cs="Arial" w:asciiTheme="minorHAnsi" w:hAnsiTheme="minorHAnsi"/>
                      <w:sz w:val="20"/>
                    </w:rPr>
                  </w:pPr>
                  <w:r w:rsidRPr="009C0193">
                    <w:rPr>
                      <w:rFonts w:cs="Arial" w:asciiTheme="minorHAnsi" w:hAnsiTheme="minorHAnsi"/>
                      <w:sz w:val="20"/>
                    </w:rPr>
                    <w:t xml:space="preserve">150 microgram/kg noradrenaline </w:t>
                  </w:r>
                  <w:r w:rsidRPr="005476C8">
                    <w:rPr>
                      <w:rFonts w:cs="Arial" w:asciiTheme="minorHAnsi" w:hAnsiTheme="minorHAnsi"/>
                      <w:b/>
                      <w:sz w:val="20"/>
                    </w:rPr>
                    <w:t>base</w:t>
                  </w:r>
                  <w:r w:rsidRPr="009C0193">
                    <w:rPr>
                      <w:rFonts w:cs="Arial" w:asciiTheme="minorHAnsi" w:hAnsiTheme="minorHAnsi"/>
                      <w:sz w:val="20"/>
                    </w:rPr>
                    <w:t xml:space="preserve"> and make up to 50 mL</w:t>
                  </w:r>
                </w:p>
              </w:tc>
            </w:tr>
          </w:tbl>
          <w:p w:rsidRPr="009C0193" w:rsidR="008007B1" w:rsidP="00FE4186" w:rsidRDefault="008007B1" w14:paraId="37D0F279" w14:textId="77777777">
            <w:pPr>
              <w:pStyle w:val="BodyText"/>
              <w:rPr>
                <w:rFonts w:asciiTheme="minorHAnsi" w:hAnsiTheme="minorHAnsi"/>
                <w:sz w:val="20"/>
              </w:rPr>
            </w:pPr>
            <w:r w:rsidRPr="009C0193">
              <w:rPr>
                <w:rFonts w:asciiTheme="minorHAnsi" w:hAnsiTheme="minorHAnsi"/>
                <w:sz w:val="20"/>
              </w:rPr>
              <w:t>Draw up 150 micrograms/kg (0.15 mL/kg) with 5% glucose or sodium chloride 0.9%</w:t>
            </w:r>
            <w:r w:rsidRPr="001E5D27">
              <w:rPr>
                <w:rFonts w:asciiTheme="minorHAnsi" w:hAnsiTheme="minorHAnsi"/>
                <w:sz w:val="20"/>
                <w:vertAlign w:val="superscript"/>
              </w:rPr>
              <w:t>6</w:t>
            </w:r>
            <w:r w:rsidRPr="009C0193">
              <w:rPr>
                <w:rFonts w:asciiTheme="minorHAnsi" w:hAnsiTheme="minorHAnsi"/>
                <w:sz w:val="20"/>
              </w:rPr>
              <w:t xml:space="preserve"> </w:t>
            </w:r>
            <w:r w:rsidRPr="00E73714">
              <w:rPr>
                <w:rFonts w:asciiTheme="minorHAnsi" w:hAnsiTheme="minorHAnsi"/>
                <w:sz w:val="20"/>
              </w:rPr>
              <w:t>to make a 50</w:t>
            </w:r>
            <w:r w:rsidRPr="00EF1F75">
              <w:rPr>
                <w:rFonts w:asciiTheme="minorHAnsi" w:hAnsiTheme="minorHAnsi"/>
                <w:sz w:val="20"/>
              </w:rPr>
              <w:t> </w:t>
            </w:r>
            <w:r w:rsidRPr="009C0193">
              <w:rPr>
                <w:rFonts w:asciiTheme="minorHAnsi" w:hAnsiTheme="minorHAnsi"/>
                <w:sz w:val="20"/>
              </w:rPr>
              <w:t xml:space="preserve">mL solution [i.e., 3 micrograms/kg/mL]. Infusing at a rate of </w:t>
            </w:r>
            <w:r w:rsidRPr="009C0193">
              <w:rPr>
                <w:rFonts w:asciiTheme="minorHAnsi" w:hAnsiTheme="minorHAnsi"/>
                <w:b/>
                <w:sz w:val="20"/>
              </w:rPr>
              <w:t>1 mL /hour = 0.05 microgram/kg/minute</w:t>
            </w:r>
            <w:r w:rsidRPr="009C0193">
              <w:rPr>
                <w:rFonts w:asciiTheme="minorHAnsi" w:hAnsiTheme="minorHAnsi"/>
                <w:sz w:val="20"/>
              </w:rPr>
              <w:t>.</w:t>
            </w:r>
          </w:p>
          <w:p w:rsidRPr="009C0193" w:rsidR="008007B1" w:rsidP="00FE4186" w:rsidRDefault="008007B1" w14:paraId="65F2E798" w14:textId="77777777">
            <w:pPr>
              <w:pStyle w:val="BodyText"/>
              <w:rPr>
                <w:rFonts w:cs="Arial" w:asciiTheme="minorHAnsi" w:hAnsiTheme="minorHAnsi"/>
                <w:b/>
                <w:sz w:val="20"/>
              </w:rPr>
            </w:pPr>
          </w:p>
          <w:p w:rsidRPr="009C0193" w:rsidR="008007B1" w:rsidP="00FE4186" w:rsidRDefault="008007B1" w14:paraId="32AB91AE" w14:textId="77777777">
            <w:pPr>
              <w:pStyle w:val="BodyText"/>
              <w:rPr>
                <w:rFonts w:cs="Arial" w:asciiTheme="minorHAnsi" w:hAnsiTheme="minorHAnsi"/>
                <w:b/>
                <w:sz w:val="20"/>
              </w:rPr>
            </w:pPr>
            <w:r w:rsidRPr="009C0193">
              <w:rPr>
                <w:rFonts w:cs="Arial" w:asciiTheme="minorHAnsi" w:hAnsiTheme="minorHAnsi"/>
                <w:b/>
                <w:sz w:val="20"/>
              </w:rPr>
              <w:t>HIGH CONCENTRATION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9C0193" w:rsidR="008007B1" w:rsidTr="00FE4186" w14:paraId="74AB2F19" w14:textId="77777777">
              <w:tc>
                <w:tcPr>
                  <w:tcW w:w="3715" w:type="dxa"/>
                  <w:shd w:val="clear" w:color="auto" w:fill="auto"/>
                </w:tcPr>
                <w:p w:rsidRPr="00E73714" w:rsidR="008007B1" w:rsidP="00FE4186" w:rsidRDefault="008007B1" w14:paraId="7B00836B" w14:textId="77777777">
                  <w:pPr>
                    <w:pStyle w:val="BodyText"/>
                    <w:jc w:val="center"/>
                    <w:rPr>
                      <w:rFonts w:cs="Arial" w:asciiTheme="minorHAnsi" w:hAnsiTheme="minorHAnsi"/>
                      <w:b/>
                      <w:sz w:val="20"/>
                    </w:rPr>
                  </w:pPr>
                  <w:r w:rsidRPr="009C0193">
                    <w:rPr>
                      <w:rFonts w:cs="Arial" w:asciiTheme="minorHAnsi" w:hAnsiTheme="minorHAnsi"/>
                      <w:b/>
                      <w:sz w:val="20"/>
                    </w:rPr>
                    <w:t>Infusion dose</w:t>
                  </w:r>
                </w:p>
              </w:tc>
              <w:tc>
                <w:tcPr>
                  <w:tcW w:w="4276" w:type="dxa"/>
                  <w:shd w:val="clear" w:color="auto" w:fill="auto"/>
                </w:tcPr>
                <w:p w:rsidRPr="009C0193" w:rsidR="008007B1" w:rsidP="00FE4186" w:rsidRDefault="008007B1" w14:paraId="5DBE9D73" w14:textId="77777777">
                  <w:pPr>
                    <w:pStyle w:val="BodyText"/>
                    <w:jc w:val="center"/>
                    <w:rPr>
                      <w:rFonts w:cs="Arial" w:asciiTheme="minorHAnsi" w:hAnsiTheme="minorHAnsi"/>
                      <w:b/>
                      <w:sz w:val="20"/>
                    </w:rPr>
                  </w:pPr>
                  <w:r w:rsidRPr="009C0193">
                    <w:rPr>
                      <w:rFonts w:cs="Arial" w:asciiTheme="minorHAnsi" w:hAnsiTheme="minorHAnsi"/>
                      <w:b/>
                      <w:sz w:val="20"/>
                    </w:rPr>
                    <w:t>Prescribed amount</w:t>
                  </w:r>
                </w:p>
              </w:tc>
            </w:tr>
            <w:tr w:rsidRPr="009C0193" w:rsidR="008007B1" w:rsidTr="00FE4186" w14:paraId="4744F109" w14:textId="77777777">
              <w:tc>
                <w:tcPr>
                  <w:tcW w:w="3715" w:type="dxa"/>
                  <w:shd w:val="clear" w:color="auto" w:fill="auto"/>
                </w:tcPr>
                <w:p w:rsidRPr="009C0193" w:rsidR="008007B1" w:rsidP="00FE4186" w:rsidRDefault="008007B1" w14:paraId="663AC89E" w14:textId="77777777">
                  <w:pPr>
                    <w:pStyle w:val="BodyText"/>
                    <w:rPr>
                      <w:rFonts w:cs="Arial" w:asciiTheme="minorHAnsi" w:hAnsiTheme="minorHAnsi"/>
                      <w:sz w:val="20"/>
                    </w:rPr>
                  </w:pPr>
                  <w:r w:rsidRPr="009C0193">
                    <w:rPr>
                      <w:rFonts w:cs="Arial" w:asciiTheme="minorHAnsi" w:hAnsiTheme="minorHAnsi"/>
                      <w:sz w:val="20"/>
                    </w:rPr>
                    <w:t>1 mL/hour = 0.2 microgram/kg/minute</w:t>
                  </w:r>
                </w:p>
              </w:tc>
              <w:tc>
                <w:tcPr>
                  <w:tcW w:w="4276" w:type="dxa"/>
                  <w:shd w:val="clear" w:color="auto" w:fill="auto"/>
                </w:tcPr>
                <w:p w:rsidRPr="009C0193" w:rsidR="008007B1" w:rsidP="00FE4186" w:rsidRDefault="008007B1" w14:paraId="782F3D05" w14:textId="77777777">
                  <w:pPr>
                    <w:pStyle w:val="BodyText"/>
                    <w:rPr>
                      <w:rFonts w:cs="Arial" w:asciiTheme="minorHAnsi" w:hAnsiTheme="minorHAnsi"/>
                      <w:sz w:val="20"/>
                    </w:rPr>
                  </w:pPr>
                  <w:r w:rsidRPr="009C0193">
                    <w:rPr>
                      <w:rFonts w:cs="Arial" w:asciiTheme="minorHAnsi" w:hAnsiTheme="minorHAnsi"/>
                      <w:sz w:val="20"/>
                    </w:rPr>
                    <w:t xml:space="preserve">600 microgram/kg noradrenaline </w:t>
                  </w:r>
                  <w:r w:rsidRPr="005476C8">
                    <w:rPr>
                      <w:rFonts w:cs="Arial" w:asciiTheme="minorHAnsi" w:hAnsiTheme="minorHAnsi"/>
                      <w:b/>
                      <w:sz w:val="20"/>
                    </w:rPr>
                    <w:t>base</w:t>
                  </w:r>
                  <w:r w:rsidRPr="009C0193">
                    <w:rPr>
                      <w:rFonts w:cs="Arial" w:asciiTheme="minorHAnsi" w:hAnsiTheme="minorHAnsi"/>
                      <w:sz w:val="20"/>
                    </w:rPr>
                    <w:t xml:space="preserve"> and make up to 50 mL</w:t>
                  </w:r>
                </w:p>
              </w:tc>
            </w:tr>
          </w:tbl>
          <w:p w:rsidRPr="009C0193" w:rsidR="008007B1" w:rsidP="00FE4186" w:rsidRDefault="008007B1" w14:paraId="3ADFC8CD" w14:textId="77777777">
            <w:pPr>
              <w:pStyle w:val="BodyText"/>
              <w:rPr>
                <w:rFonts w:asciiTheme="minorHAnsi" w:hAnsiTheme="minorHAnsi"/>
                <w:sz w:val="20"/>
              </w:rPr>
            </w:pPr>
            <w:r w:rsidRPr="009C0193">
              <w:rPr>
                <w:rFonts w:asciiTheme="minorHAnsi" w:hAnsiTheme="minorHAnsi"/>
                <w:sz w:val="20"/>
              </w:rPr>
              <w:t xml:space="preserve">Draw up 600 micrograms/kg (0.6 mL/kg) with 5% glucose or </w:t>
            </w:r>
            <w:r w:rsidRPr="00E73714">
              <w:rPr>
                <w:rFonts w:asciiTheme="minorHAnsi" w:hAnsiTheme="minorHAnsi"/>
                <w:sz w:val="20"/>
              </w:rPr>
              <w:t>sodium chloride 0.9%</w:t>
            </w:r>
            <w:r w:rsidRPr="001E5D27">
              <w:rPr>
                <w:rFonts w:asciiTheme="minorHAnsi" w:hAnsiTheme="minorHAnsi"/>
                <w:sz w:val="20"/>
                <w:vertAlign w:val="superscript"/>
              </w:rPr>
              <w:t>6</w:t>
            </w:r>
            <w:r w:rsidRPr="00E73714">
              <w:rPr>
                <w:rFonts w:asciiTheme="minorHAnsi" w:hAnsiTheme="minorHAnsi"/>
                <w:sz w:val="20"/>
              </w:rPr>
              <w:t xml:space="preserve"> </w:t>
            </w:r>
            <w:r w:rsidRPr="00EF1F75">
              <w:rPr>
                <w:rFonts w:asciiTheme="minorHAnsi" w:hAnsiTheme="minorHAnsi"/>
                <w:sz w:val="20"/>
              </w:rPr>
              <w:t xml:space="preserve">to make a </w:t>
            </w:r>
            <w:r w:rsidRPr="009C0193">
              <w:rPr>
                <w:rFonts w:asciiTheme="minorHAnsi" w:hAnsiTheme="minorHAnsi"/>
                <w:sz w:val="20"/>
              </w:rPr>
              <w:t xml:space="preserve">50 mL solution [i.e., 12 micrograms/kg/mL]. Infusing at a rate of </w:t>
            </w:r>
            <w:r w:rsidRPr="009C0193">
              <w:rPr>
                <w:rFonts w:asciiTheme="minorHAnsi" w:hAnsiTheme="minorHAnsi"/>
                <w:b/>
                <w:sz w:val="20"/>
              </w:rPr>
              <w:t>1 mL / hour =0.2 microgram/kg/minute</w:t>
            </w:r>
            <w:r w:rsidRPr="009C0193">
              <w:rPr>
                <w:rFonts w:asciiTheme="minorHAnsi" w:hAnsiTheme="minorHAnsi"/>
                <w:sz w:val="20"/>
              </w:rPr>
              <w:t>.</w:t>
            </w:r>
          </w:p>
          <w:p w:rsidRPr="009C0193" w:rsidR="008007B1" w:rsidP="00FE4186" w:rsidRDefault="008007B1" w14:paraId="362734D8" w14:textId="77777777">
            <w:pPr>
              <w:pStyle w:val="BodyText"/>
              <w:rPr>
                <w:rFonts w:asciiTheme="minorHAnsi" w:hAnsiTheme="minorHAnsi"/>
                <w:sz w:val="20"/>
              </w:rPr>
            </w:pPr>
          </w:p>
          <w:p w:rsidRPr="009C0193" w:rsidR="008007B1" w:rsidP="00FE4186" w:rsidRDefault="008007B1" w14:paraId="19230A2E" w14:textId="77777777">
            <w:pPr>
              <w:pStyle w:val="BodyText"/>
              <w:rPr>
                <w:rFonts w:asciiTheme="minorHAnsi" w:hAnsiTheme="minorHAnsi"/>
                <w:b/>
                <w:sz w:val="20"/>
              </w:rPr>
            </w:pPr>
            <w:r w:rsidRPr="009C0193">
              <w:rPr>
                <w:rFonts w:asciiTheme="minorHAnsi" w:hAnsiTheme="minorHAnsi"/>
                <w:b/>
                <w:sz w:val="20"/>
              </w:rPr>
              <w:t xml:space="preserve">For infants requiring fluid restriction consider: </w:t>
            </w:r>
          </w:p>
          <w:p w:rsidRPr="009C0193" w:rsidR="008007B1" w:rsidP="00FE4186" w:rsidRDefault="008007B1" w14:paraId="704A33AA" w14:textId="77777777">
            <w:pPr>
              <w:pStyle w:val="BodyText"/>
              <w:rPr>
                <w:rFonts w:asciiTheme="minorHAnsi" w:hAnsiTheme="minorHAnsi"/>
                <w:b/>
                <w:sz w:val="20"/>
              </w:rPr>
            </w:pPr>
            <w:r w:rsidRPr="009C0193">
              <w:rPr>
                <w:rFonts w:asciiTheme="minorHAnsi" w:hAnsiTheme="minorHAnsi"/>
                <w:b/>
                <w:sz w:val="20"/>
              </w:rPr>
              <w:t xml:space="preserve">VERY HIGH CONCENTRATION </w:t>
            </w:r>
            <w:r w:rsidRPr="009C0193">
              <w:rPr>
                <w:rFonts w:cs="Arial" w:asciiTheme="minorHAnsi" w:hAnsiTheme="minorHAnsi"/>
                <w:b/>
                <w:sz w:val="20"/>
              </w:rPr>
              <w:t>continuous IV infusion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715"/>
              <w:gridCol w:w="4276"/>
            </w:tblGrid>
            <w:tr w:rsidRPr="009C0193" w:rsidR="008007B1" w:rsidTr="00FE4186" w14:paraId="1BB97CC5" w14:textId="77777777">
              <w:tc>
                <w:tcPr>
                  <w:tcW w:w="3715" w:type="dxa"/>
                  <w:shd w:val="clear" w:color="auto" w:fill="auto"/>
                </w:tcPr>
                <w:p w:rsidRPr="00E73714" w:rsidR="008007B1" w:rsidP="00FE4186" w:rsidRDefault="008007B1" w14:paraId="69AD005C" w14:textId="77777777">
                  <w:pPr>
                    <w:pStyle w:val="BodyText"/>
                    <w:jc w:val="center"/>
                    <w:rPr>
                      <w:rFonts w:cs="Arial" w:asciiTheme="minorHAnsi" w:hAnsiTheme="minorHAnsi"/>
                      <w:b/>
                      <w:sz w:val="20"/>
                    </w:rPr>
                  </w:pPr>
                  <w:r w:rsidRPr="009C0193">
                    <w:rPr>
                      <w:rFonts w:cs="Arial" w:asciiTheme="minorHAnsi" w:hAnsiTheme="minorHAnsi"/>
                      <w:b/>
                      <w:sz w:val="20"/>
                    </w:rPr>
                    <w:t>Infusion dose</w:t>
                  </w:r>
                </w:p>
              </w:tc>
              <w:tc>
                <w:tcPr>
                  <w:tcW w:w="4276" w:type="dxa"/>
                  <w:shd w:val="clear" w:color="auto" w:fill="auto"/>
                </w:tcPr>
                <w:p w:rsidRPr="009C0193" w:rsidR="008007B1" w:rsidP="00FE4186" w:rsidRDefault="008007B1" w14:paraId="2CF3B026" w14:textId="77777777">
                  <w:pPr>
                    <w:pStyle w:val="BodyText"/>
                    <w:jc w:val="center"/>
                    <w:rPr>
                      <w:rFonts w:cs="Arial" w:asciiTheme="minorHAnsi" w:hAnsiTheme="minorHAnsi"/>
                      <w:b/>
                      <w:sz w:val="20"/>
                    </w:rPr>
                  </w:pPr>
                  <w:r w:rsidRPr="009C0193">
                    <w:rPr>
                      <w:rFonts w:cs="Arial" w:asciiTheme="minorHAnsi" w:hAnsiTheme="minorHAnsi"/>
                      <w:b/>
                      <w:sz w:val="20"/>
                    </w:rPr>
                    <w:t>Prescribed amount</w:t>
                  </w:r>
                </w:p>
              </w:tc>
            </w:tr>
            <w:tr w:rsidRPr="009C0193" w:rsidR="008007B1" w:rsidTr="00FE4186" w14:paraId="1FDD40DE" w14:textId="77777777">
              <w:tc>
                <w:tcPr>
                  <w:tcW w:w="3715" w:type="dxa"/>
                  <w:shd w:val="clear" w:color="auto" w:fill="auto"/>
                </w:tcPr>
                <w:p w:rsidRPr="009C0193" w:rsidR="008007B1" w:rsidP="00FE4186" w:rsidRDefault="008007B1" w14:paraId="35F458AD" w14:textId="77777777">
                  <w:pPr>
                    <w:pStyle w:val="BodyText"/>
                    <w:rPr>
                      <w:rFonts w:cs="Arial" w:asciiTheme="minorHAnsi" w:hAnsiTheme="minorHAnsi"/>
                      <w:sz w:val="20"/>
                    </w:rPr>
                  </w:pPr>
                  <w:r w:rsidRPr="009C0193">
                    <w:rPr>
                      <w:rFonts w:cs="Arial" w:asciiTheme="minorHAnsi" w:hAnsiTheme="minorHAnsi"/>
                      <w:sz w:val="20"/>
                    </w:rPr>
                    <w:t>1 mL/hour = 0.4 microgram/kg/minute</w:t>
                  </w:r>
                </w:p>
              </w:tc>
              <w:tc>
                <w:tcPr>
                  <w:tcW w:w="4276" w:type="dxa"/>
                  <w:shd w:val="clear" w:color="auto" w:fill="auto"/>
                </w:tcPr>
                <w:p w:rsidRPr="009C0193" w:rsidR="008007B1" w:rsidP="00FE4186" w:rsidRDefault="008007B1" w14:paraId="79FAA6C8" w14:textId="77777777">
                  <w:pPr>
                    <w:pStyle w:val="BodyText"/>
                    <w:rPr>
                      <w:rFonts w:cs="Arial" w:asciiTheme="minorHAnsi" w:hAnsiTheme="minorHAnsi"/>
                      <w:sz w:val="20"/>
                    </w:rPr>
                  </w:pPr>
                  <w:r w:rsidRPr="009C0193">
                    <w:rPr>
                      <w:rFonts w:cs="Arial" w:asciiTheme="minorHAnsi" w:hAnsiTheme="minorHAnsi"/>
                      <w:sz w:val="20"/>
                    </w:rPr>
                    <w:t xml:space="preserve">1,200 microgram/kg noradrenaline </w:t>
                  </w:r>
                  <w:r w:rsidRPr="005476C8">
                    <w:rPr>
                      <w:rFonts w:cs="Arial" w:asciiTheme="minorHAnsi" w:hAnsiTheme="minorHAnsi"/>
                      <w:b/>
                      <w:sz w:val="20"/>
                    </w:rPr>
                    <w:t>base</w:t>
                  </w:r>
                  <w:r w:rsidRPr="009C0193">
                    <w:rPr>
                      <w:rFonts w:cs="Arial" w:asciiTheme="minorHAnsi" w:hAnsiTheme="minorHAnsi"/>
                      <w:sz w:val="20"/>
                    </w:rPr>
                    <w:t xml:space="preserve"> and make up to 50 mL</w:t>
                  </w:r>
                </w:p>
              </w:tc>
            </w:tr>
          </w:tbl>
          <w:p w:rsidRPr="009C0193" w:rsidR="008007B1" w:rsidP="00FE4186" w:rsidRDefault="008007B1" w14:paraId="060E4205" w14:textId="77777777">
            <w:pPr>
              <w:pStyle w:val="BodyText"/>
              <w:rPr>
                <w:rFonts w:asciiTheme="minorHAnsi" w:hAnsiTheme="minorHAnsi"/>
                <w:sz w:val="20"/>
              </w:rPr>
            </w:pPr>
            <w:r w:rsidRPr="009C0193">
              <w:rPr>
                <w:rFonts w:asciiTheme="minorHAnsi" w:hAnsiTheme="minorHAnsi"/>
                <w:sz w:val="20"/>
              </w:rPr>
              <w:t>Draw up 1,</w:t>
            </w:r>
            <w:r w:rsidRPr="00E73714">
              <w:rPr>
                <w:rFonts w:asciiTheme="minorHAnsi" w:hAnsiTheme="minorHAnsi"/>
                <w:sz w:val="20"/>
              </w:rPr>
              <w:t xml:space="preserve">200 </w:t>
            </w:r>
            <w:r w:rsidRPr="009C0193">
              <w:rPr>
                <w:rFonts w:asciiTheme="minorHAnsi" w:hAnsiTheme="minorHAnsi"/>
                <w:sz w:val="20"/>
              </w:rPr>
              <w:t>microgram/kg (1.2 mL/kg) with 5% glucose or sodium chloride 0.9%</w:t>
            </w:r>
            <w:r w:rsidRPr="001E5D27">
              <w:rPr>
                <w:rFonts w:asciiTheme="minorHAnsi" w:hAnsiTheme="minorHAnsi"/>
                <w:sz w:val="20"/>
                <w:vertAlign w:val="superscript"/>
              </w:rPr>
              <w:t>6</w:t>
            </w:r>
            <w:r w:rsidRPr="009C0193">
              <w:rPr>
                <w:rFonts w:asciiTheme="minorHAnsi" w:hAnsiTheme="minorHAnsi"/>
                <w:sz w:val="20"/>
              </w:rPr>
              <w:t xml:space="preserve"> to make a 50 mL solution [i.e., 24 micrograms/kg/mL]. Infusing at a rate of </w:t>
            </w:r>
            <w:r w:rsidRPr="009C0193">
              <w:rPr>
                <w:rFonts w:asciiTheme="minorHAnsi" w:hAnsiTheme="minorHAnsi"/>
                <w:b/>
                <w:sz w:val="20"/>
              </w:rPr>
              <w:t>1 mL / hour = 0.4 microgram/kg/minute</w:t>
            </w:r>
            <w:r w:rsidRPr="009C0193">
              <w:rPr>
                <w:rFonts w:asciiTheme="minorHAnsi" w:hAnsiTheme="minorHAnsi"/>
                <w:sz w:val="20"/>
              </w:rPr>
              <w:t>.</w:t>
            </w:r>
          </w:p>
        </w:tc>
      </w:tr>
      <w:tr w:rsidRPr="009C0193" w:rsidR="008007B1" w:rsidTr="00FE4186" w14:paraId="61B651DA" w14:textId="77777777">
        <w:trPr>
          <w:trHeight w:val="558"/>
        </w:trPr>
        <w:tc>
          <w:tcPr>
            <w:tcW w:w="2061" w:type="dxa"/>
          </w:tcPr>
          <w:p w:rsidRPr="009C0193" w:rsidR="008007B1" w:rsidP="00FE4186" w:rsidRDefault="008007B1" w14:paraId="729CD790" w14:textId="77777777">
            <w:pPr>
              <w:pStyle w:val="BodyText"/>
              <w:rPr>
                <w:rFonts w:cs="Arial" w:asciiTheme="minorHAnsi" w:hAnsiTheme="minorHAnsi"/>
                <w:b/>
                <w:bCs/>
                <w:sz w:val="20"/>
              </w:rPr>
            </w:pPr>
            <w:r w:rsidRPr="009C0193">
              <w:rPr>
                <w:rFonts w:cs="Arial" w:asciiTheme="minorHAnsi" w:hAnsiTheme="minorHAnsi"/>
                <w:b/>
                <w:bCs/>
                <w:sz w:val="20"/>
              </w:rPr>
              <w:lastRenderedPageBreak/>
              <w:t xml:space="preserve">Administration                 </w:t>
            </w:r>
          </w:p>
          <w:p w:rsidRPr="009C0193" w:rsidR="008007B1" w:rsidP="00FE4186" w:rsidRDefault="008007B1" w14:paraId="0606AF12" w14:textId="77777777">
            <w:pPr>
              <w:pStyle w:val="BodyText"/>
              <w:rPr>
                <w:rFonts w:cs="Arial" w:asciiTheme="minorHAnsi" w:hAnsiTheme="minorHAnsi"/>
                <w:sz w:val="20"/>
              </w:rPr>
            </w:pPr>
          </w:p>
        </w:tc>
        <w:tc>
          <w:tcPr>
            <w:tcW w:w="8571" w:type="dxa"/>
            <w:vAlign w:val="center"/>
          </w:tcPr>
          <w:p w:rsidRPr="009C0193" w:rsidR="008007B1" w:rsidP="00FE4186" w:rsidRDefault="008007B1" w14:paraId="4976ED7A" w14:textId="77777777">
            <w:pPr>
              <w:pStyle w:val="BodyText"/>
              <w:rPr>
                <w:rFonts w:cs="Arial" w:asciiTheme="minorHAnsi" w:hAnsiTheme="minorHAnsi"/>
                <w:sz w:val="20"/>
              </w:rPr>
            </w:pPr>
            <w:r w:rsidRPr="009C0193">
              <w:rPr>
                <w:rFonts w:cs="Arial" w:asciiTheme="minorHAnsi" w:hAnsiTheme="minorHAnsi"/>
                <w:sz w:val="20"/>
              </w:rPr>
              <w:t xml:space="preserve">Noradrenaline should be given via a central venous catheter (UVC or PICC) using a continuous infusion. </w:t>
            </w:r>
          </w:p>
          <w:p w:rsidRPr="009C0193" w:rsidR="008007B1" w:rsidP="00FE4186" w:rsidRDefault="008007B1" w14:paraId="7281340A" w14:textId="77777777">
            <w:pPr>
              <w:pStyle w:val="BodyText"/>
              <w:rPr>
                <w:rFonts w:cs="Arial" w:asciiTheme="minorHAnsi" w:hAnsiTheme="minorHAnsi"/>
                <w:sz w:val="20"/>
              </w:rPr>
            </w:pPr>
            <w:r w:rsidRPr="009C0193">
              <w:rPr>
                <w:rFonts w:cs="Arial" w:asciiTheme="minorHAnsi" w:hAnsiTheme="minorHAnsi"/>
                <w:sz w:val="20"/>
              </w:rPr>
              <w:t xml:space="preserve">Infuse through a dedicated line where possible. </w:t>
            </w:r>
          </w:p>
        </w:tc>
      </w:tr>
      <w:tr w:rsidRPr="009C0193" w:rsidR="008007B1" w:rsidTr="00FE4186" w14:paraId="0AA95222" w14:textId="77777777">
        <w:trPr>
          <w:trHeight w:val="221"/>
        </w:trPr>
        <w:tc>
          <w:tcPr>
            <w:tcW w:w="2061" w:type="dxa"/>
          </w:tcPr>
          <w:p w:rsidRPr="009C0193" w:rsidR="008007B1" w:rsidP="00FE4186" w:rsidRDefault="008007B1" w14:paraId="2A6EF987" w14:textId="77777777">
            <w:pPr>
              <w:pStyle w:val="BodyText"/>
              <w:rPr>
                <w:rFonts w:cs="Arial" w:asciiTheme="minorHAnsi" w:hAnsiTheme="minorHAnsi"/>
                <w:b/>
                <w:bCs/>
                <w:sz w:val="20"/>
              </w:rPr>
            </w:pPr>
            <w:r w:rsidRPr="009C0193">
              <w:rPr>
                <w:rFonts w:cs="Arial" w:asciiTheme="minorHAnsi" w:hAnsiTheme="minorHAnsi"/>
                <w:b/>
                <w:bCs/>
                <w:sz w:val="20"/>
              </w:rPr>
              <w:t xml:space="preserve">Monitoring                              </w:t>
            </w:r>
          </w:p>
          <w:p w:rsidRPr="009C0193" w:rsidR="008007B1" w:rsidP="00FE4186" w:rsidRDefault="008007B1" w14:paraId="7E678801" w14:textId="77777777">
            <w:pPr>
              <w:pStyle w:val="BodyText"/>
              <w:rPr>
                <w:rFonts w:cs="Arial" w:asciiTheme="minorHAnsi" w:hAnsiTheme="minorHAnsi"/>
                <w:sz w:val="20"/>
              </w:rPr>
            </w:pPr>
          </w:p>
        </w:tc>
        <w:tc>
          <w:tcPr>
            <w:tcW w:w="8571" w:type="dxa"/>
          </w:tcPr>
          <w:p w:rsidRPr="009C0193" w:rsidR="008007B1" w:rsidP="00FE4186" w:rsidRDefault="008007B1" w14:paraId="64D99801" w14:textId="77777777">
            <w:pPr>
              <w:pStyle w:val="BodyText"/>
              <w:rPr>
                <w:rFonts w:cs="Arial" w:asciiTheme="minorHAnsi" w:hAnsiTheme="minorHAnsi"/>
                <w:sz w:val="20"/>
              </w:rPr>
            </w:pPr>
            <w:r w:rsidRPr="009C0193">
              <w:rPr>
                <w:rFonts w:asciiTheme="minorHAnsi" w:hAnsiTheme="minorHAnsi"/>
                <w:sz w:val="20"/>
              </w:rPr>
              <w:t xml:space="preserve">Continuous heart rate, ECG and blood pressure. </w:t>
            </w:r>
            <w:r w:rsidRPr="009C0193">
              <w:rPr>
                <w:rFonts w:asciiTheme="minorHAnsi" w:hAnsiTheme="minorHAnsi"/>
                <w:sz w:val="20"/>
              </w:rPr>
              <w:br/>
            </w:r>
            <w:r w:rsidRPr="009C0193">
              <w:rPr>
                <w:rFonts w:asciiTheme="minorHAnsi" w:hAnsiTheme="minorHAnsi"/>
                <w:sz w:val="20"/>
              </w:rPr>
              <w:t xml:space="preserve">Assess urine output and peripheral perfusion frequently. </w:t>
            </w:r>
            <w:r w:rsidRPr="009C0193">
              <w:rPr>
                <w:rFonts w:asciiTheme="minorHAnsi" w:hAnsiTheme="minorHAnsi"/>
                <w:sz w:val="20"/>
              </w:rPr>
              <w:br/>
            </w:r>
            <w:r w:rsidRPr="009C0193">
              <w:rPr>
                <w:rFonts w:asciiTheme="minorHAnsi" w:hAnsiTheme="minorHAnsi"/>
                <w:sz w:val="20"/>
              </w:rPr>
              <w:t xml:space="preserve">Observe IV site closely for blanching and extravasation. </w:t>
            </w:r>
          </w:p>
        </w:tc>
      </w:tr>
      <w:tr w:rsidRPr="009C0193" w:rsidR="008007B1" w:rsidTr="00FE4186" w14:paraId="31165AA3" w14:textId="77777777">
        <w:trPr>
          <w:trHeight w:val="342"/>
        </w:trPr>
        <w:tc>
          <w:tcPr>
            <w:tcW w:w="2061" w:type="dxa"/>
          </w:tcPr>
          <w:p w:rsidRPr="009C0193" w:rsidR="008007B1" w:rsidP="00FE4186" w:rsidRDefault="008007B1" w14:paraId="1CC087D1" w14:textId="77777777">
            <w:pPr>
              <w:pStyle w:val="BodyText"/>
              <w:rPr>
                <w:rFonts w:cs="Arial" w:asciiTheme="minorHAnsi" w:hAnsiTheme="minorHAnsi"/>
                <w:b/>
                <w:bCs/>
                <w:sz w:val="20"/>
              </w:rPr>
            </w:pPr>
            <w:r w:rsidRPr="009C0193">
              <w:rPr>
                <w:rFonts w:cs="Arial" w:asciiTheme="minorHAnsi" w:hAnsiTheme="minorHAnsi"/>
                <w:b/>
                <w:bCs/>
                <w:sz w:val="20"/>
              </w:rPr>
              <w:t xml:space="preserve">Contraindications                        </w:t>
            </w:r>
          </w:p>
          <w:p w:rsidRPr="009C0193" w:rsidR="008007B1" w:rsidP="00FE4186" w:rsidRDefault="008007B1" w14:paraId="21272FE0" w14:textId="77777777">
            <w:pPr>
              <w:pStyle w:val="BodyText"/>
              <w:rPr>
                <w:rFonts w:cs="Arial" w:asciiTheme="minorHAnsi" w:hAnsiTheme="minorHAnsi"/>
                <w:sz w:val="20"/>
              </w:rPr>
            </w:pPr>
          </w:p>
        </w:tc>
        <w:tc>
          <w:tcPr>
            <w:tcW w:w="8571" w:type="dxa"/>
          </w:tcPr>
          <w:p w:rsidRPr="009C0193" w:rsidR="008007B1" w:rsidP="00FE4186" w:rsidRDefault="008007B1" w14:paraId="77645AC5" w14:textId="77777777">
            <w:pPr>
              <w:pStyle w:val="BodyText"/>
              <w:rPr>
                <w:rFonts w:asciiTheme="minorHAnsi" w:hAnsiTheme="minorHAnsi"/>
                <w:sz w:val="20"/>
              </w:rPr>
            </w:pPr>
            <w:r w:rsidRPr="009C0193">
              <w:rPr>
                <w:rFonts w:asciiTheme="minorHAnsi" w:hAnsiTheme="minorHAnsi"/>
                <w:sz w:val="20"/>
              </w:rPr>
              <w:t xml:space="preserve">Infants with hypovolaemia until blood volume replaced - may cause severe peripheral and visceral vasoconstriction. </w:t>
            </w:r>
          </w:p>
          <w:p w:rsidRPr="009C0193" w:rsidR="008007B1" w:rsidP="00FE4186" w:rsidRDefault="008007B1" w14:paraId="5FFB32D2" w14:textId="77777777">
            <w:pPr>
              <w:pStyle w:val="BodyText"/>
              <w:rPr>
                <w:rFonts w:asciiTheme="minorHAnsi" w:hAnsiTheme="minorHAnsi"/>
                <w:sz w:val="20"/>
              </w:rPr>
            </w:pPr>
            <w:r w:rsidRPr="009C0193">
              <w:rPr>
                <w:rFonts w:asciiTheme="minorHAnsi" w:hAnsiTheme="minorHAnsi"/>
                <w:sz w:val="20"/>
              </w:rPr>
              <w:t xml:space="preserve">Infants with mesenteric or peripheral thrombosis. </w:t>
            </w:r>
          </w:p>
          <w:p w:rsidRPr="009C0193" w:rsidR="008007B1" w:rsidP="00FE4186" w:rsidRDefault="008007B1" w14:paraId="42D99AD9" w14:textId="77777777">
            <w:pPr>
              <w:pStyle w:val="BodyText"/>
              <w:rPr>
                <w:rFonts w:cs="Arial" w:asciiTheme="minorHAnsi" w:hAnsiTheme="minorHAnsi"/>
                <w:sz w:val="20"/>
              </w:rPr>
            </w:pPr>
            <w:r w:rsidRPr="009C0193">
              <w:rPr>
                <w:rFonts w:cs="Arial" w:asciiTheme="minorHAnsi" w:hAnsiTheme="minorHAnsi"/>
                <w:sz w:val="20"/>
              </w:rPr>
              <w:t>Known hypersensitivity to sodium metabisulfite.</w:t>
            </w:r>
          </w:p>
        </w:tc>
      </w:tr>
      <w:tr w:rsidRPr="009C0193" w:rsidR="008007B1" w:rsidTr="00FE4186" w14:paraId="293403B6" w14:textId="77777777">
        <w:tc>
          <w:tcPr>
            <w:tcW w:w="2061" w:type="dxa"/>
          </w:tcPr>
          <w:p w:rsidRPr="009C0193" w:rsidR="008007B1" w:rsidP="00FE4186" w:rsidRDefault="008007B1" w14:paraId="419FF6F5" w14:textId="77777777">
            <w:pPr>
              <w:pStyle w:val="BodyText"/>
              <w:rPr>
                <w:rFonts w:cs="Arial" w:asciiTheme="minorHAnsi" w:hAnsiTheme="minorHAnsi"/>
                <w:b/>
                <w:bCs/>
                <w:sz w:val="20"/>
              </w:rPr>
            </w:pPr>
            <w:r w:rsidRPr="009C0193">
              <w:rPr>
                <w:rFonts w:asciiTheme="minorHAnsi" w:hAnsiTheme="minorHAnsi"/>
                <w:sz w:val="20"/>
              </w:rPr>
              <w:br w:type="page"/>
            </w:r>
            <w:r w:rsidRPr="009C0193">
              <w:rPr>
                <w:rFonts w:cs="Arial" w:asciiTheme="minorHAnsi" w:hAnsiTheme="minorHAnsi"/>
                <w:b/>
                <w:bCs/>
                <w:sz w:val="20"/>
              </w:rPr>
              <w:t>Precautions</w:t>
            </w:r>
          </w:p>
        </w:tc>
        <w:tc>
          <w:tcPr>
            <w:tcW w:w="8571" w:type="dxa"/>
          </w:tcPr>
          <w:p w:rsidR="008007B1" w:rsidP="00FE4186" w:rsidRDefault="008007B1" w14:paraId="30D1E361" w14:textId="77777777">
            <w:pPr>
              <w:pStyle w:val="BodyText"/>
              <w:rPr>
                <w:rFonts w:eastAsia="Calibri"/>
                <w:sz w:val="20"/>
              </w:rPr>
            </w:pPr>
            <w:r w:rsidRPr="005476C8">
              <w:rPr>
                <w:rFonts w:eastAsia="Calibri"/>
                <w:sz w:val="20"/>
              </w:rPr>
              <w:t>Use with caution in preterm infants and infants with poor myocardial contractility as a sole inotrope/vasopressor.</w:t>
            </w:r>
          </w:p>
          <w:p w:rsidRPr="009C0193" w:rsidR="008007B1" w:rsidP="00FE4186" w:rsidRDefault="008007B1" w14:paraId="7F0CD9ED" w14:textId="77777777">
            <w:pPr>
              <w:pStyle w:val="BodyText"/>
              <w:rPr>
                <w:rFonts w:asciiTheme="minorHAnsi" w:hAnsiTheme="minorHAnsi"/>
                <w:sz w:val="20"/>
              </w:rPr>
            </w:pPr>
            <w:r w:rsidRPr="009C0193">
              <w:rPr>
                <w:rFonts w:asciiTheme="minorHAnsi" w:hAnsiTheme="minorHAnsi"/>
                <w:sz w:val="20"/>
              </w:rPr>
              <w:t xml:space="preserve">Thyrotoxicosis – may cause severe hypertension. </w:t>
            </w:r>
          </w:p>
          <w:p w:rsidRPr="009C0193" w:rsidR="008007B1" w:rsidP="00FE4186" w:rsidRDefault="008007B1" w14:paraId="2B114333" w14:textId="77777777">
            <w:pPr>
              <w:pStyle w:val="BodyText"/>
              <w:rPr>
                <w:rFonts w:asciiTheme="minorHAnsi" w:hAnsiTheme="minorHAnsi"/>
                <w:sz w:val="20"/>
              </w:rPr>
            </w:pPr>
            <w:r w:rsidRPr="009C0193">
              <w:rPr>
                <w:rFonts w:asciiTheme="minorHAnsi" w:hAnsiTheme="minorHAnsi"/>
                <w:sz w:val="20"/>
              </w:rPr>
              <w:t xml:space="preserve">Ensure adequate circulating blood volume prior to commencement. </w:t>
            </w:r>
            <w:r w:rsidRPr="009C0193">
              <w:rPr>
                <w:rFonts w:asciiTheme="minorHAnsi" w:hAnsiTheme="minorHAnsi"/>
                <w:sz w:val="20"/>
              </w:rPr>
              <w:br/>
            </w:r>
            <w:r w:rsidRPr="009C0193">
              <w:rPr>
                <w:rFonts w:asciiTheme="minorHAnsi" w:hAnsiTheme="minorHAnsi"/>
                <w:sz w:val="20"/>
              </w:rPr>
              <w:t xml:space="preserve">Avoid in hypertension. </w:t>
            </w:r>
          </w:p>
          <w:p w:rsidRPr="009C0193" w:rsidR="008007B1" w:rsidP="00FE4186" w:rsidRDefault="008007B1" w14:paraId="504BB6CC" w14:textId="77777777">
            <w:pPr>
              <w:pStyle w:val="BodyText"/>
              <w:rPr>
                <w:rFonts w:asciiTheme="minorHAnsi" w:hAnsiTheme="minorHAnsi"/>
                <w:sz w:val="20"/>
              </w:rPr>
            </w:pPr>
            <w:r w:rsidRPr="009C0193">
              <w:rPr>
                <w:rFonts w:asciiTheme="minorHAnsi" w:hAnsiTheme="minorHAnsi"/>
                <w:sz w:val="20"/>
              </w:rPr>
              <w:t>Overdosage may result in severe hypertension, reflex bradycardia, marked increase in peripheral resistance and decreased cardiac output.</w:t>
            </w:r>
          </w:p>
          <w:p w:rsidRPr="009C0193" w:rsidR="008007B1" w:rsidP="00FE4186" w:rsidRDefault="008007B1" w14:paraId="03B07D97" w14:textId="77777777">
            <w:pPr>
              <w:pStyle w:val="BodyText"/>
              <w:rPr>
                <w:rFonts w:cs="Arial" w:asciiTheme="minorHAnsi" w:hAnsiTheme="minorHAnsi"/>
                <w:sz w:val="20"/>
              </w:rPr>
            </w:pPr>
            <w:r w:rsidRPr="009C0193">
              <w:rPr>
                <w:rFonts w:cs="Arial" w:asciiTheme="minorHAnsi" w:hAnsiTheme="minorHAnsi"/>
                <w:sz w:val="20"/>
              </w:rPr>
              <w:t>The infusion site should be checked frequently for free flow. Care should be taken to avoid extravasation into the tissues which may cause local necrosis.</w:t>
            </w:r>
          </w:p>
          <w:p w:rsidRPr="009C0193" w:rsidR="008007B1" w:rsidP="00FE4186" w:rsidRDefault="008007B1" w14:paraId="24CEB64A" w14:textId="77777777">
            <w:pPr>
              <w:pStyle w:val="BodyText"/>
              <w:rPr>
                <w:rFonts w:cs="Arial" w:asciiTheme="minorHAnsi" w:hAnsiTheme="minorHAnsi"/>
                <w:sz w:val="20"/>
              </w:rPr>
            </w:pPr>
            <w:r w:rsidRPr="009C0193">
              <w:rPr>
                <w:rFonts w:cs="Arial" w:asciiTheme="minorHAnsi" w:hAnsiTheme="minorHAnsi"/>
                <w:sz w:val="20"/>
              </w:rPr>
              <w:t>Do not cease infusion abruptly.</w:t>
            </w:r>
          </w:p>
        </w:tc>
      </w:tr>
      <w:tr w:rsidRPr="009C0193" w:rsidR="008007B1" w:rsidTr="00FE4186" w14:paraId="395AFF68" w14:textId="77777777">
        <w:trPr>
          <w:trHeight w:val="276"/>
        </w:trPr>
        <w:tc>
          <w:tcPr>
            <w:tcW w:w="2061" w:type="dxa"/>
          </w:tcPr>
          <w:p w:rsidRPr="009C0193" w:rsidR="008007B1" w:rsidP="00FE4186" w:rsidRDefault="008007B1" w14:paraId="4B7F13E4" w14:textId="77777777">
            <w:pPr>
              <w:pStyle w:val="BodyText"/>
              <w:rPr>
                <w:rFonts w:cs="Arial" w:asciiTheme="minorHAnsi" w:hAnsiTheme="minorHAnsi"/>
                <w:b/>
                <w:bCs/>
                <w:sz w:val="20"/>
              </w:rPr>
            </w:pPr>
            <w:r w:rsidRPr="009C0193">
              <w:rPr>
                <w:rFonts w:cs="Arial" w:asciiTheme="minorHAnsi" w:hAnsiTheme="minorHAnsi"/>
                <w:b/>
                <w:bCs/>
                <w:sz w:val="20"/>
              </w:rPr>
              <w:t>Drug Interactions</w:t>
            </w:r>
          </w:p>
        </w:tc>
        <w:tc>
          <w:tcPr>
            <w:tcW w:w="8571" w:type="dxa"/>
          </w:tcPr>
          <w:p w:rsidRPr="009C0193" w:rsidR="008007B1" w:rsidP="00FE4186" w:rsidRDefault="008007B1" w14:paraId="652AE333" w14:textId="77777777">
            <w:pPr>
              <w:pStyle w:val="BodyText"/>
              <w:rPr>
                <w:rFonts w:cs="Arial" w:asciiTheme="minorHAnsi" w:hAnsiTheme="minorHAnsi"/>
                <w:sz w:val="20"/>
              </w:rPr>
            </w:pPr>
            <w:r w:rsidRPr="009C0193">
              <w:rPr>
                <w:rFonts w:cs="Arial" w:asciiTheme="minorHAnsi" w:hAnsiTheme="minorHAnsi"/>
                <w:sz w:val="20"/>
              </w:rPr>
              <w:t>Should be given with close monitoring to patients exposed to monoamine oxidase inhibitors because severe, prolonged hypertension may result.</w:t>
            </w:r>
          </w:p>
        </w:tc>
      </w:tr>
      <w:tr w:rsidRPr="009C0193" w:rsidR="008007B1" w:rsidTr="00FE4186" w14:paraId="77FAF06E" w14:textId="77777777">
        <w:trPr>
          <w:trHeight w:val="416"/>
        </w:trPr>
        <w:tc>
          <w:tcPr>
            <w:tcW w:w="2061" w:type="dxa"/>
          </w:tcPr>
          <w:p w:rsidRPr="009C0193" w:rsidR="008007B1" w:rsidP="00FE4186" w:rsidRDefault="008007B1" w14:paraId="7305177D" w14:textId="77777777">
            <w:pPr>
              <w:pStyle w:val="BodyText"/>
              <w:rPr>
                <w:rFonts w:cs="Arial" w:asciiTheme="minorHAnsi" w:hAnsiTheme="minorHAnsi"/>
                <w:b/>
                <w:bCs/>
                <w:sz w:val="20"/>
              </w:rPr>
            </w:pPr>
            <w:r w:rsidRPr="009C0193">
              <w:rPr>
                <w:rFonts w:cs="Arial" w:asciiTheme="minorHAnsi" w:hAnsiTheme="minorHAnsi"/>
                <w:b/>
                <w:bCs/>
                <w:sz w:val="20"/>
              </w:rPr>
              <w:t xml:space="preserve">Adverse Reactions         </w:t>
            </w:r>
          </w:p>
          <w:p w:rsidRPr="009C0193" w:rsidR="008007B1" w:rsidP="00FE4186" w:rsidRDefault="008007B1" w14:paraId="25630708" w14:textId="77777777">
            <w:pPr>
              <w:pStyle w:val="BodyText"/>
              <w:rPr>
                <w:rFonts w:cs="Arial" w:asciiTheme="minorHAnsi" w:hAnsiTheme="minorHAnsi"/>
                <w:b/>
                <w:bCs/>
                <w:sz w:val="20"/>
              </w:rPr>
            </w:pPr>
          </w:p>
        </w:tc>
        <w:tc>
          <w:tcPr>
            <w:tcW w:w="8571" w:type="dxa"/>
          </w:tcPr>
          <w:p w:rsidRPr="009C0193" w:rsidR="008007B1" w:rsidP="00FE4186" w:rsidRDefault="008007B1" w14:paraId="631171AE" w14:textId="77777777">
            <w:pPr>
              <w:pStyle w:val="BodyText"/>
              <w:rPr>
                <w:rFonts w:asciiTheme="minorHAnsi" w:hAnsiTheme="minorHAnsi"/>
                <w:sz w:val="20"/>
              </w:rPr>
            </w:pPr>
            <w:r w:rsidRPr="009C0193">
              <w:rPr>
                <w:rFonts w:asciiTheme="minorHAnsi" w:hAnsiTheme="minorHAnsi"/>
                <w:sz w:val="20"/>
              </w:rPr>
              <w:t xml:space="preserve">Systemic hypertension especially at higher doses. </w:t>
            </w:r>
          </w:p>
          <w:p w:rsidRPr="009C0193" w:rsidR="008007B1" w:rsidP="00FE4186" w:rsidRDefault="008007B1" w14:paraId="2F430DC2" w14:textId="77777777">
            <w:pPr>
              <w:pStyle w:val="BodyText"/>
              <w:rPr>
                <w:rFonts w:asciiTheme="minorHAnsi" w:hAnsiTheme="minorHAnsi"/>
                <w:sz w:val="20"/>
              </w:rPr>
            </w:pPr>
            <w:r w:rsidRPr="009C0193">
              <w:rPr>
                <w:rFonts w:asciiTheme="minorHAnsi" w:hAnsiTheme="minorHAnsi"/>
                <w:sz w:val="20"/>
              </w:rPr>
              <w:t xml:space="preserve">Reflex bradycardia and arrhythmia. </w:t>
            </w:r>
          </w:p>
          <w:p w:rsidRPr="009C0193" w:rsidR="008007B1" w:rsidP="00FE4186" w:rsidRDefault="008007B1" w14:paraId="3A739462" w14:textId="77777777">
            <w:pPr>
              <w:pStyle w:val="BodyText"/>
              <w:rPr>
                <w:rFonts w:asciiTheme="minorHAnsi" w:hAnsiTheme="minorHAnsi"/>
                <w:sz w:val="20"/>
              </w:rPr>
            </w:pPr>
            <w:r w:rsidRPr="009C0193">
              <w:rPr>
                <w:rFonts w:asciiTheme="minorHAnsi" w:hAnsiTheme="minorHAnsi"/>
                <w:sz w:val="20"/>
              </w:rPr>
              <w:t>Tissue necrosis at infusion site with extravasation. [see special comments]</w:t>
            </w:r>
          </w:p>
          <w:p w:rsidRPr="009C0193" w:rsidR="008007B1" w:rsidP="00FE4186" w:rsidRDefault="008007B1" w14:paraId="7F104352" w14:textId="77777777">
            <w:pPr>
              <w:pStyle w:val="BodyText"/>
              <w:rPr>
                <w:rFonts w:asciiTheme="minorHAnsi" w:hAnsiTheme="minorHAnsi"/>
                <w:sz w:val="20"/>
              </w:rPr>
            </w:pPr>
            <w:r w:rsidRPr="009C0193">
              <w:rPr>
                <w:rFonts w:asciiTheme="minorHAnsi" w:hAnsiTheme="minorHAnsi"/>
                <w:sz w:val="20"/>
              </w:rPr>
              <w:t xml:space="preserve">Renal and digital ischaemia may occur. </w:t>
            </w:r>
          </w:p>
          <w:p w:rsidRPr="009C0193" w:rsidR="008007B1" w:rsidP="00FE4186" w:rsidRDefault="008007B1" w14:paraId="2DF3AB2F" w14:textId="77777777">
            <w:pPr>
              <w:pStyle w:val="BodyText"/>
              <w:rPr>
                <w:rFonts w:asciiTheme="minorHAnsi" w:hAnsiTheme="minorHAnsi"/>
                <w:sz w:val="20"/>
              </w:rPr>
            </w:pPr>
            <w:r w:rsidRPr="009C0193">
              <w:rPr>
                <w:rFonts w:asciiTheme="minorHAnsi" w:hAnsiTheme="minorHAnsi"/>
                <w:sz w:val="20"/>
              </w:rPr>
              <w:t>Prolonged administration of any potent vasopressor may result in plasma volume depletion which should be continuously corrected by appropriate fluid and electrolyte replacement therapy.</w:t>
            </w:r>
          </w:p>
        </w:tc>
      </w:tr>
      <w:tr w:rsidRPr="009C0193" w:rsidR="008007B1" w:rsidTr="00FE4186" w14:paraId="669160E1" w14:textId="77777777">
        <w:trPr>
          <w:trHeight w:val="396"/>
        </w:trPr>
        <w:tc>
          <w:tcPr>
            <w:tcW w:w="2061" w:type="dxa"/>
          </w:tcPr>
          <w:p w:rsidRPr="009C0193" w:rsidR="008007B1" w:rsidP="00FE4186" w:rsidRDefault="008007B1" w14:paraId="70E69B4D" w14:textId="77777777">
            <w:pPr>
              <w:pStyle w:val="BodyText"/>
              <w:rPr>
                <w:rFonts w:cs="Arial" w:asciiTheme="minorHAnsi" w:hAnsiTheme="minorHAnsi"/>
                <w:b/>
                <w:bCs/>
                <w:sz w:val="20"/>
              </w:rPr>
            </w:pPr>
            <w:r w:rsidRPr="009C0193">
              <w:rPr>
                <w:rFonts w:cs="Arial" w:asciiTheme="minorHAnsi" w:hAnsiTheme="minorHAnsi"/>
                <w:b/>
                <w:bCs/>
                <w:sz w:val="20"/>
              </w:rPr>
              <w:t>Compatibility</w:t>
            </w:r>
          </w:p>
          <w:p w:rsidRPr="009C0193" w:rsidR="008007B1" w:rsidP="00FE4186" w:rsidRDefault="008007B1" w14:paraId="59E0D62D" w14:textId="77777777">
            <w:pPr>
              <w:pStyle w:val="BodyText"/>
              <w:rPr>
                <w:rFonts w:cs="Arial" w:asciiTheme="minorHAnsi" w:hAnsiTheme="minorHAnsi"/>
                <w:b/>
                <w:bCs/>
                <w:sz w:val="20"/>
              </w:rPr>
            </w:pPr>
          </w:p>
        </w:tc>
        <w:tc>
          <w:tcPr>
            <w:tcW w:w="8571" w:type="dxa"/>
          </w:tcPr>
          <w:p w:rsidRPr="009C0193" w:rsidR="008007B1" w:rsidP="00FE4186" w:rsidRDefault="008007B1" w14:paraId="21856A45" w14:textId="77777777">
            <w:pPr>
              <w:pStyle w:val="BodyText"/>
              <w:rPr>
                <w:rFonts w:asciiTheme="minorHAnsi" w:hAnsiTheme="minorHAnsi"/>
                <w:sz w:val="20"/>
              </w:rPr>
            </w:pPr>
            <w:r w:rsidRPr="009C0193">
              <w:rPr>
                <w:rFonts w:asciiTheme="minorHAnsi" w:hAnsiTheme="minorHAnsi"/>
                <w:sz w:val="20"/>
              </w:rPr>
              <w:t>Fluids: Glucose 5%, sodium chloride 0.9% with glucose 5%, sodium chloride 0.9%, lactated Ringer’s solution.</w:t>
            </w:r>
          </w:p>
          <w:p w:rsidRPr="009C0193" w:rsidR="008007B1" w:rsidP="00FE4186" w:rsidRDefault="008007B1" w14:paraId="164A9E74" w14:textId="77777777">
            <w:pPr>
              <w:pStyle w:val="BodyText"/>
              <w:rPr>
                <w:rFonts w:asciiTheme="minorHAnsi" w:hAnsiTheme="minorHAnsi"/>
                <w:sz w:val="20"/>
              </w:rPr>
            </w:pPr>
          </w:p>
          <w:p w:rsidRPr="009C0193" w:rsidR="008007B1" w:rsidP="00FE4186" w:rsidRDefault="008007B1" w14:paraId="47AD8342" w14:textId="77777777">
            <w:pPr>
              <w:pStyle w:val="BodyText"/>
              <w:rPr>
                <w:rFonts w:asciiTheme="minorHAnsi" w:hAnsiTheme="minorHAnsi"/>
                <w:sz w:val="20"/>
              </w:rPr>
            </w:pPr>
            <w:r w:rsidRPr="00E73714">
              <w:rPr>
                <w:rFonts w:asciiTheme="minorHAnsi" w:hAnsiTheme="minorHAnsi"/>
                <w:sz w:val="20"/>
              </w:rPr>
              <w:t xml:space="preserve">Y-site: </w:t>
            </w:r>
            <w:r w:rsidRPr="003A02BC">
              <w:rPr>
                <w:rFonts w:asciiTheme="minorHAnsi" w:hAnsiTheme="minorHAnsi"/>
                <w:sz w:val="20"/>
              </w:rPr>
              <w:t>Amiodarone, anidulafungin, bivalirudin, caspofungin, ceftaroline fosamil, cisatracurium</w:t>
            </w:r>
            <w:r>
              <w:rPr>
                <w:rFonts w:asciiTheme="minorHAnsi" w:hAnsiTheme="minorHAnsi"/>
                <w:sz w:val="20"/>
                <w:vertAlign w:val="superscript"/>
              </w:rPr>
              <w:t>,</w:t>
            </w:r>
            <w:r w:rsidRPr="003A02BC">
              <w:rPr>
                <w:rFonts w:asciiTheme="minorHAnsi" w:hAnsiTheme="minorHAnsi"/>
                <w:sz w:val="20"/>
              </w:rPr>
              <w:t xml:space="preserve"> dexmedetomidine, dobutamine, dopamine, doripenem, esmolol, ethanol, haloperidol lactate, heparin sodium, hydrocortisone sodium succinate, labetalol, midazolam, milrinone, morphine sulfate, mycophenolate mofetil, potassium chloride, remifentanil, sodium nitroprusside, tigecycline.</w:t>
            </w:r>
          </w:p>
        </w:tc>
      </w:tr>
      <w:tr w:rsidRPr="009C0193" w:rsidR="008007B1" w:rsidTr="00FE4186" w14:paraId="3DE37F21" w14:textId="77777777">
        <w:trPr>
          <w:trHeight w:val="388"/>
        </w:trPr>
        <w:tc>
          <w:tcPr>
            <w:tcW w:w="2061" w:type="dxa"/>
          </w:tcPr>
          <w:p w:rsidRPr="009C0193" w:rsidR="008007B1" w:rsidP="00FE4186" w:rsidRDefault="008007B1" w14:paraId="723E72C6" w14:textId="77777777">
            <w:pPr>
              <w:pStyle w:val="BodyText"/>
              <w:rPr>
                <w:rFonts w:cs="Arial" w:asciiTheme="minorHAnsi" w:hAnsiTheme="minorHAnsi"/>
                <w:b/>
                <w:bCs/>
                <w:sz w:val="20"/>
              </w:rPr>
            </w:pPr>
            <w:r w:rsidRPr="009C0193">
              <w:rPr>
                <w:rFonts w:cs="Arial" w:asciiTheme="minorHAnsi" w:hAnsiTheme="minorHAnsi"/>
                <w:b/>
                <w:bCs/>
                <w:sz w:val="20"/>
              </w:rPr>
              <w:t xml:space="preserve">Incompatibility      </w:t>
            </w:r>
          </w:p>
          <w:p w:rsidRPr="009C0193" w:rsidR="008007B1" w:rsidP="00FE4186" w:rsidRDefault="008007B1" w14:paraId="60C60A5E" w14:textId="77777777">
            <w:pPr>
              <w:pStyle w:val="BodyText"/>
              <w:rPr>
                <w:rFonts w:cs="Arial" w:asciiTheme="minorHAnsi" w:hAnsiTheme="minorHAnsi"/>
                <w:b/>
                <w:bCs/>
                <w:sz w:val="20"/>
              </w:rPr>
            </w:pPr>
            <w:r w:rsidRPr="009C0193">
              <w:rPr>
                <w:rFonts w:cs="Arial" w:asciiTheme="minorHAnsi" w:hAnsiTheme="minorHAnsi"/>
                <w:b/>
                <w:bCs/>
                <w:sz w:val="20"/>
              </w:rPr>
              <w:t xml:space="preserve">               </w:t>
            </w:r>
            <w:r w:rsidRPr="009C0193">
              <w:rPr>
                <w:rFonts w:cs="Arial" w:asciiTheme="minorHAnsi" w:hAnsiTheme="minorHAnsi"/>
                <w:b/>
                <w:bCs/>
                <w:sz w:val="20"/>
              </w:rPr>
              <w:tab/>
            </w:r>
          </w:p>
        </w:tc>
        <w:tc>
          <w:tcPr>
            <w:tcW w:w="8571" w:type="dxa"/>
          </w:tcPr>
          <w:p w:rsidRPr="009C0193" w:rsidR="008007B1" w:rsidP="00FE4186" w:rsidRDefault="008007B1" w14:paraId="28889C7B" w14:textId="77777777">
            <w:pPr>
              <w:pStyle w:val="BodyText"/>
              <w:rPr>
                <w:rFonts w:asciiTheme="minorHAnsi" w:hAnsiTheme="minorHAnsi"/>
                <w:sz w:val="20"/>
              </w:rPr>
            </w:pPr>
            <w:r w:rsidRPr="009C0193">
              <w:rPr>
                <w:rFonts w:asciiTheme="minorHAnsi" w:hAnsiTheme="minorHAnsi"/>
                <w:sz w:val="20"/>
              </w:rPr>
              <w:t>Fluids: No information.</w:t>
            </w:r>
            <w:r>
              <w:rPr>
                <w:rFonts w:asciiTheme="minorHAnsi" w:hAnsiTheme="minorHAnsi"/>
                <w:sz w:val="20"/>
              </w:rPr>
              <w:t xml:space="preserve"> 10% Dextrose not tested. </w:t>
            </w:r>
          </w:p>
          <w:p w:rsidRPr="009C0193" w:rsidR="008007B1" w:rsidP="00FE4186" w:rsidRDefault="008007B1" w14:paraId="1BE7D67B" w14:textId="77777777">
            <w:pPr>
              <w:pStyle w:val="BodyText"/>
              <w:rPr>
                <w:rFonts w:asciiTheme="minorHAnsi" w:hAnsiTheme="minorHAnsi"/>
                <w:sz w:val="20"/>
              </w:rPr>
            </w:pPr>
          </w:p>
          <w:p w:rsidR="008007B1" w:rsidP="00FE4186" w:rsidRDefault="008007B1" w14:paraId="281BDE37" w14:textId="77777777">
            <w:pPr>
              <w:pStyle w:val="BodyText"/>
              <w:rPr>
                <w:rFonts w:asciiTheme="minorHAnsi" w:hAnsiTheme="minorHAnsi"/>
                <w:sz w:val="20"/>
              </w:rPr>
            </w:pPr>
            <w:r w:rsidRPr="009C0193">
              <w:rPr>
                <w:rFonts w:asciiTheme="minorHAnsi" w:hAnsiTheme="minorHAnsi"/>
                <w:sz w:val="20"/>
              </w:rPr>
              <w:t xml:space="preserve">Y-site: </w:t>
            </w:r>
            <w:r w:rsidRPr="003A02BC">
              <w:rPr>
                <w:rFonts w:asciiTheme="minorHAnsi" w:hAnsiTheme="minorHAnsi"/>
                <w:sz w:val="20"/>
              </w:rPr>
              <w:t>aminophylline, azathioprine, benzylpenicillin, folic acid, foscarnet, ganciclovir, indomethacin, insulin (short-acting), iron salts, phenobarbitone, sodium bicarbonate, thiopentone</w:t>
            </w:r>
            <w:r>
              <w:rPr>
                <w:rFonts w:asciiTheme="minorHAnsi" w:hAnsiTheme="minorHAnsi"/>
                <w:sz w:val="20"/>
              </w:rPr>
              <w:t xml:space="preserve">. </w:t>
            </w:r>
            <w:r w:rsidRPr="003A02BC">
              <w:rPr>
                <w:rFonts w:asciiTheme="minorHAnsi" w:hAnsiTheme="minorHAnsi"/>
                <w:sz w:val="20"/>
              </w:rPr>
              <w:t>Incompatible with alkalis and oxidising agents.</w:t>
            </w:r>
          </w:p>
          <w:p w:rsidR="008007B1" w:rsidP="00FE4186" w:rsidRDefault="008007B1" w14:paraId="502899EE" w14:textId="77777777">
            <w:pPr>
              <w:pStyle w:val="BodyText"/>
              <w:rPr>
                <w:rFonts w:asciiTheme="minorHAnsi" w:hAnsiTheme="minorHAnsi"/>
                <w:sz w:val="20"/>
              </w:rPr>
            </w:pPr>
          </w:p>
          <w:p w:rsidRPr="009C0193" w:rsidR="008007B1" w:rsidP="00FE4186" w:rsidRDefault="008007B1" w14:paraId="40A610E9" w14:textId="77777777">
            <w:pPr>
              <w:pStyle w:val="BodyText"/>
              <w:rPr>
                <w:rFonts w:cs="Arial" w:asciiTheme="minorHAnsi" w:hAnsiTheme="minorHAnsi"/>
                <w:sz w:val="20"/>
              </w:rPr>
            </w:pPr>
            <w:r>
              <w:rPr>
                <w:rFonts w:asciiTheme="minorHAnsi" w:hAnsiTheme="minorHAnsi"/>
                <w:sz w:val="20"/>
              </w:rPr>
              <w:t>No information:</w:t>
            </w:r>
            <w:r>
              <w:t xml:space="preserve"> </w:t>
            </w:r>
            <w:r w:rsidRPr="00B71EB2">
              <w:rPr>
                <w:rFonts w:asciiTheme="minorHAnsi" w:hAnsiTheme="minorHAnsi"/>
                <w:sz w:val="20"/>
              </w:rPr>
              <w:t xml:space="preserve">Adrenaline HCL is compatible with noradrenaline bitartrate but no stability data is available for Adrenaline acid tartrate and noradrenaline </w:t>
            </w:r>
            <w:r>
              <w:rPr>
                <w:rFonts w:asciiTheme="minorHAnsi" w:hAnsiTheme="minorHAnsi"/>
                <w:sz w:val="20"/>
              </w:rPr>
              <w:t xml:space="preserve">acid </w:t>
            </w:r>
            <w:r w:rsidRPr="00B71EB2">
              <w:rPr>
                <w:rFonts w:asciiTheme="minorHAnsi" w:hAnsiTheme="minorHAnsi"/>
                <w:sz w:val="20"/>
              </w:rPr>
              <w:t>tartrate</w:t>
            </w:r>
            <w:r>
              <w:rPr>
                <w:rFonts w:asciiTheme="minorHAnsi" w:hAnsiTheme="minorHAnsi"/>
                <w:sz w:val="20"/>
              </w:rPr>
              <w:t>.</w:t>
            </w:r>
          </w:p>
        </w:tc>
      </w:tr>
      <w:tr w:rsidRPr="009C0193" w:rsidR="008007B1" w:rsidTr="00FE4186" w14:paraId="5DDEB83B" w14:textId="77777777">
        <w:trPr>
          <w:trHeight w:val="189"/>
        </w:trPr>
        <w:tc>
          <w:tcPr>
            <w:tcW w:w="2061" w:type="dxa"/>
          </w:tcPr>
          <w:p w:rsidRPr="009C0193" w:rsidR="008007B1" w:rsidP="00FE4186" w:rsidRDefault="008007B1" w14:paraId="5B90EF93" w14:textId="77777777">
            <w:pPr>
              <w:pStyle w:val="BodyText"/>
              <w:rPr>
                <w:rFonts w:cs="Arial" w:asciiTheme="minorHAnsi" w:hAnsiTheme="minorHAnsi"/>
                <w:b/>
                <w:bCs/>
                <w:sz w:val="20"/>
              </w:rPr>
            </w:pPr>
            <w:r w:rsidRPr="009C0193">
              <w:rPr>
                <w:rFonts w:cs="Arial" w:asciiTheme="minorHAnsi" w:hAnsiTheme="minorHAnsi"/>
                <w:b/>
                <w:bCs/>
                <w:sz w:val="20"/>
              </w:rPr>
              <w:t xml:space="preserve">Stability                  </w:t>
            </w:r>
          </w:p>
        </w:tc>
        <w:tc>
          <w:tcPr>
            <w:tcW w:w="8571" w:type="dxa"/>
          </w:tcPr>
          <w:p w:rsidRPr="009C0193" w:rsidR="008007B1" w:rsidP="00FE4186" w:rsidRDefault="008007B1" w14:paraId="6243CB64" w14:textId="77777777">
            <w:pPr>
              <w:pStyle w:val="BodyText"/>
              <w:rPr>
                <w:rFonts w:asciiTheme="minorHAnsi" w:hAnsiTheme="minorHAnsi"/>
                <w:sz w:val="20"/>
              </w:rPr>
            </w:pPr>
            <w:r w:rsidRPr="009C0193">
              <w:rPr>
                <w:rFonts w:asciiTheme="minorHAnsi" w:hAnsiTheme="minorHAnsi"/>
                <w:sz w:val="20"/>
              </w:rPr>
              <w:t>Diluted solution stable for 24 hours</w:t>
            </w:r>
            <w:r>
              <w:rPr>
                <w:rFonts w:asciiTheme="minorHAnsi" w:hAnsiTheme="minorHAnsi"/>
                <w:sz w:val="20"/>
              </w:rPr>
              <w:t>.</w:t>
            </w:r>
          </w:p>
        </w:tc>
      </w:tr>
      <w:tr w:rsidRPr="009C0193" w:rsidR="008007B1" w:rsidTr="00FE4186" w14:paraId="0E035C57" w14:textId="77777777">
        <w:trPr>
          <w:trHeight w:val="251"/>
        </w:trPr>
        <w:tc>
          <w:tcPr>
            <w:tcW w:w="2061" w:type="dxa"/>
          </w:tcPr>
          <w:p w:rsidRPr="009C0193" w:rsidR="008007B1" w:rsidP="00FE4186" w:rsidRDefault="008007B1" w14:paraId="444EA7C5" w14:textId="77777777">
            <w:pPr>
              <w:pStyle w:val="BodyText"/>
              <w:rPr>
                <w:rFonts w:cs="Arial" w:asciiTheme="minorHAnsi" w:hAnsiTheme="minorHAnsi"/>
                <w:b/>
                <w:bCs/>
                <w:sz w:val="20"/>
              </w:rPr>
            </w:pPr>
            <w:r w:rsidRPr="009C0193">
              <w:rPr>
                <w:rFonts w:cs="Arial" w:asciiTheme="minorHAnsi" w:hAnsiTheme="minorHAnsi"/>
                <w:b/>
                <w:bCs/>
                <w:sz w:val="20"/>
              </w:rPr>
              <w:t xml:space="preserve">Storage             </w:t>
            </w:r>
          </w:p>
        </w:tc>
        <w:tc>
          <w:tcPr>
            <w:tcW w:w="8571" w:type="dxa"/>
          </w:tcPr>
          <w:p w:rsidRPr="009C0193" w:rsidR="008007B1" w:rsidP="00FE4186" w:rsidRDefault="008007B1" w14:paraId="1886FF78" w14:textId="77777777">
            <w:pPr>
              <w:pStyle w:val="BodyText"/>
              <w:rPr>
                <w:rFonts w:asciiTheme="minorHAnsi" w:hAnsiTheme="minorHAnsi"/>
                <w:sz w:val="20"/>
              </w:rPr>
            </w:pPr>
            <w:r w:rsidRPr="009C0193">
              <w:rPr>
                <w:rFonts w:asciiTheme="minorHAnsi" w:hAnsiTheme="minorHAnsi"/>
                <w:sz w:val="20"/>
              </w:rPr>
              <w:t xml:space="preserve">Ampoule: Store below 25°C. Protect from light. </w:t>
            </w:r>
            <w:r>
              <w:rPr>
                <w:rFonts w:asciiTheme="minorHAnsi" w:hAnsiTheme="minorHAnsi"/>
                <w:sz w:val="20"/>
              </w:rPr>
              <w:t xml:space="preserve">Discard unused portion. </w:t>
            </w:r>
            <w:r w:rsidRPr="009C0193">
              <w:rPr>
                <w:rFonts w:asciiTheme="minorHAnsi" w:hAnsiTheme="minorHAnsi"/>
                <w:sz w:val="20"/>
              </w:rPr>
              <w:t>Do not freeze.</w:t>
            </w:r>
          </w:p>
        </w:tc>
      </w:tr>
      <w:tr w:rsidRPr="00E73714" w:rsidR="008007B1" w:rsidTr="00FE4186" w14:paraId="1CEFE138" w14:textId="77777777">
        <w:trPr>
          <w:trHeight w:val="395"/>
        </w:trPr>
        <w:tc>
          <w:tcPr>
            <w:tcW w:w="2061" w:type="dxa"/>
          </w:tcPr>
          <w:p w:rsidRPr="009C0193" w:rsidR="008007B1" w:rsidP="00FE4186" w:rsidRDefault="008007B1" w14:paraId="31FA1C7F" w14:textId="77777777">
            <w:pPr>
              <w:pStyle w:val="BodyText"/>
              <w:rPr>
                <w:rFonts w:cs="Arial" w:asciiTheme="minorHAnsi" w:hAnsiTheme="minorHAnsi"/>
                <w:b/>
                <w:bCs/>
                <w:sz w:val="20"/>
              </w:rPr>
            </w:pPr>
            <w:r w:rsidRPr="009C0193">
              <w:rPr>
                <w:rFonts w:cs="Arial" w:asciiTheme="minorHAnsi" w:hAnsiTheme="minorHAnsi"/>
                <w:b/>
                <w:bCs/>
                <w:sz w:val="20"/>
              </w:rPr>
              <w:t xml:space="preserve">Special Comments       </w:t>
            </w:r>
          </w:p>
          <w:p w:rsidRPr="009C0193" w:rsidR="008007B1" w:rsidP="00FE4186" w:rsidRDefault="008007B1" w14:paraId="6323F207" w14:textId="77777777">
            <w:pPr>
              <w:pStyle w:val="BodyText"/>
              <w:rPr>
                <w:rFonts w:cs="Arial" w:asciiTheme="minorHAnsi" w:hAnsiTheme="minorHAnsi"/>
                <w:b/>
                <w:bCs/>
                <w:sz w:val="20"/>
              </w:rPr>
            </w:pPr>
          </w:p>
        </w:tc>
        <w:tc>
          <w:tcPr>
            <w:tcW w:w="8571" w:type="dxa"/>
          </w:tcPr>
          <w:p w:rsidRPr="009C0193" w:rsidR="008007B1" w:rsidP="00FE4186" w:rsidRDefault="008007B1" w14:paraId="7508D1BA" w14:textId="77777777">
            <w:pPr>
              <w:pStyle w:val="BodyText"/>
              <w:rPr>
                <w:rFonts w:asciiTheme="minorHAnsi" w:hAnsiTheme="minorHAnsi"/>
                <w:sz w:val="20"/>
              </w:rPr>
            </w:pPr>
            <w:r w:rsidRPr="009C0193">
              <w:rPr>
                <w:rFonts w:asciiTheme="minorHAnsi" w:hAnsiTheme="minorHAnsi"/>
                <w:sz w:val="20"/>
              </w:rPr>
              <w:t xml:space="preserve">Do not administer with blood products. </w:t>
            </w:r>
          </w:p>
          <w:p w:rsidRPr="009C0193" w:rsidR="008007B1" w:rsidP="00FE4186" w:rsidRDefault="008007B1" w14:paraId="6E62CEF1" w14:textId="77777777">
            <w:pPr>
              <w:pStyle w:val="BodyText"/>
              <w:rPr>
                <w:rFonts w:asciiTheme="minorHAnsi" w:hAnsiTheme="minorHAnsi"/>
                <w:sz w:val="20"/>
              </w:rPr>
            </w:pPr>
            <w:r w:rsidRPr="009C0193">
              <w:rPr>
                <w:rFonts w:asciiTheme="minorHAnsi" w:hAnsiTheme="minorHAnsi"/>
                <w:sz w:val="20"/>
              </w:rPr>
              <w:t>Glucose solutions (10%, 5%) are protective against the oxidation of noradrenaline.</w:t>
            </w:r>
          </w:p>
          <w:p w:rsidRPr="00E73714" w:rsidR="008007B1" w:rsidP="00FE4186" w:rsidRDefault="008007B1" w14:paraId="5FA9F5D9" w14:textId="77777777">
            <w:pPr>
              <w:pStyle w:val="BodyText"/>
              <w:rPr>
                <w:rFonts w:asciiTheme="minorHAnsi" w:hAnsiTheme="minorHAnsi"/>
                <w:sz w:val="20"/>
              </w:rPr>
            </w:pPr>
            <w:r w:rsidRPr="00E73714">
              <w:rPr>
                <w:rFonts w:asciiTheme="minorHAnsi" w:hAnsiTheme="minorHAnsi"/>
                <w:sz w:val="20"/>
              </w:rPr>
              <w:t xml:space="preserve">Discard if exhibiting colour change (oxidation). </w:t>
            </w:r>
          </w:p>
          <w:p w:rsidRPr="00E73714" w:rsidR="008007B1" w:rsidP="00FE4186" w:rsidRDefault="008007B1" w14:paraId="1649813E" w14:textId="77777777">
            <w:pPr>
              <w:pStyle w:val="BodyText"/>
              <w:rPr>
                <w:rFonts w:cs="Arial" w:asciiTheme="minorHAnsi" w:hAnsiTheme="minorHAnsi"/>
                <w:sz w:val="20"/>
              </w:rPr>
            </w:pPr>
            <w:r w:rsidRPr="00E73714">
              <w:rPr>
                <w:rFonts w:asciiTheme="minorHAnsi" w:hAnsiTheme="minorHAnsi"/>
                <w:sz w:val="20"/>
              </w:rPr>
              <w:t>The antidote for extravasation ischaemia is phentolamine. Phentolamine is only available via the Special Access Scheme.</w:t>
            </w:r>
          </w:p>
        </w:tc>
      </w:tr>
      <w:tr w:rsidRPr="00E73714" w:rsidR="008007B1" w:rsidTr="00FE4186" w14:paraId="0ACA00A6" w14:textId="77777777">
        <w:trPr>
          <w:trHeight w:val="1071"/>
        </w:trPr>
        <w:tc>
          <w:tcPr>
            <w:tcW w:w="2061" w:type="dxa"/>
          </w:tcPr>
          <w:p w:rsidRPr="009C0193" w:rsidR="008007B1" w:rsidP="00FE4186" w:rsidRDefault="008007B1" w14:paraId="399FF5F0" w14:textId="77777777">
            <w:pPr>
              <w:pStyle w:val="BodyText"/>
              <w:rPr>
                <w:rFonts w:cs="Arial" w:asciiTheme="minorHAnsi" w:hAnsiTheme="minorHAnsi"/>
                <w:b/>
                <w:bCs/>
                <w:sz w:val="20"/>
              </w:rPr>
            </w:pPr>
            <w:r w:rsidRPr="009C0193">
              <w:rPr>
                <w:rFonts w:cs="Arial" w:asciiTheme="minorHAnsi" w:hAnsiTheme="minorHAnsi"/>
                <w:b/>
                <w:bCs/>
                <w:sz w:val="20"/>
              </w:rPr>
              <w:t>Evidence summary</w:t>
            </w:r>
          </w:p>
        </w:tc>
        <w:tc>
          <w:tcPr>
            <w:tcW w:w="8571" w:type="dxa"/>
          </w:tcPr>
          <w:p w:rsidRPr="008007B1" w:rsidR="008007B1" w:rsidP="00FE4186" w:rsidRDefault="008007B1" w14:paraId="48AAD4CC" w14:textId="77777777">
            <w:pPr>
              <w:pStyle w:val="BodyText"/>
              <w:tabs>
                <w:tab w:val="left" w:pos="1168"/>
              </w:tabs>
              <w:rPr>
                <w:rFonts w:asciiTheme="minorHAnsi" w:hAnsiTheme="minorHAnsi"/>
                <w:sz w:val="16"/>
                <w:szCs w:val="16"/>
              </w:rPr>
            </w:pPr>
            <w:r w:rsidRPr="008007B1">
              <w:rPr>
                <w:rFonts w:asciiTheme="minorHAnsi" w:hAnsiTheme="minorHAnsi"/>
                <w:b/>
                <w:sz w:val="16"/>
                <w:szCs w:val="16"/>
              </w:rPr>
              <w:t>Efficacy:</w:t>
            </w:r>
            <w:r w:rsidRPr="008007B1">
              <w:rPr>
                <w:rFonts w:asciiTheme="minorHAnsi" w:hAnsiTheme="minorHAnsi"/>
                <w:sz w:val="16"/>
                <w:szCs w:val="16"/>
              </w:rPr>
              <w:t xml:space="preserve"> </w:t>
            </w:r>
          </w:p>
          <w:p w:rsidRPr="008007B1" w:rsidR="008007B1" w:rsidP="00FE4186" w:rsidRDefault="008007B1" w14:paraId="5CB2836E" w14:textId="77777777">
            <w:pPr>
              <w:pStyle w:val="BodyText"/>
              <w:tabs>
                <w:tab w:val="left" w:pos="1168"/>
              </w:tabs>
              <w:rPr>
                <w:rFonts w:asciiTheme="minorHAnsi" w:hAnsiTheme="minorHAnsi"/>
                <w:sz w:val="16"/>
                <w:szCs w:val="16"/>
              </w:rPr>
            </w:pPr>
            <w:r w:rsidRPr="008007B1">
              <w:rPr>
                <w:rFonts w:asciiTheme="minorHAnsi" w:hAnsiTheme="minorHAnsi"/>
                <w:sz w:val="16"/>
                <w:szCs w:val="16"/>
              </w:rPr>
              <w:t>Norepinephrine is the first inotrope of choice in septic shock in adults.</w:t>
            </w:r>
            <w:r w:rsidRPr="008007B1">
              <w:rPr>
                <w:rFonts w:asciiTheme="minorHAnsi" w:hAnsiTheme="minorHAnsi"/>
                <w:sz w:val="16"/>
                <w:szCs w:val="16"/>
                <w:vertAlign w:val="superscript"/>
              </w:rPr>
              <w:t>1</w:t>
            </w:r>
            <w:r w:rsidRPr="008007B1">
              <w:rPr>
                <w:rFonts w:asciiTheme="minorHAnsi" w:hAnsiTheme="minorHAnsi"/>
                <w:sz w:val="16"/>
                <w:szCs w:val="16"/>
              </w:rPr>
              <w:t xml:space="preserve"> Norepinephrine is also recommended as an inotrope in children with septic shock.</w:t>
            </w:r>
            <w:r w:rsidRPr="008007B1">
              <w:rPr>
                <w:rFonts w:asciiTheme="minorHAnsi" w:hAnsiTheme="minorHAnsi"/>
                <w:sz w:val="16"/>
                <w:szCs w:val="16"/>
                <w:vertAlign w:val="superscript"/>
              </w:rPr>
              <w:t>2</w:t>
            </w:r>
            <w:r w:rsidRPr="008007B1">
              <w:rPr>
                <w:rFonts w:asciiTheme="minorHAnsi" w:hAnsiTheme="minorHAnsi"/>
                <w:sz w:val="16"/>
                <w:szCs w:val="16"/>
              </w:rPr>
              <w:t xml:space="preserve"> However, there are no trials comparing noradrenaline to other vasopressors in newborn infants. Noradrenaline was equivalent to other vasopressors in patients with hypotensive shock (newborns excluded), and resulted in less arrhythmia than dopamine.</w:t>
            </w:r>
            <w:r w:rsidRPr="008007B1">
              <w:rPr>
                <w:rFonts w:asciiTheme="minorHAnsi" w:hAnsiTheme="minorHAnsi"/>
                <w:sz w:val="16"/>
                <w:szCs w:val="16"/>
                <w:vertAlign w:val="superscript"/>
              </w:rPr>
              <w:t>3</w:t>
            </w:r>
            <w:r w:rsidRPr="008007B1">
              <w:rPr>
                <w:rFonts w:asciiTheme="minorHAnsi" w:hAnsiTheme="minorHAnsi"/>
                <w:sz w:val="16"/>
                <w:szCs w:val="16"/>
              </w:rPr>
              <w:t xml:space="preserve"> (LOE I, GOR B) </w:t>
            </w:r>
            <w:r w:rsidRPr="008007B1">
              <w:rPr>
                <w:rFonts w:asciiTheme="minorHAnsi" w:hAnsiTheme="minorHAnsi"/>
                <w:sz w:val="16"/>
                <w:szCs w:val="16"/>
              </w:rPr>
              <w:br/>
            </w:r>
            <w:r w:rsidRPr="008007B1">
              <w:rPr>
                <w:rFonts w:asciiTheme="minorHAnsi" w:hAnsiTheme="minorHAnsi"/>
                <w:b/>
                <w:sz w:val="16"/>
                <w:szCs w:val="16"/>
              </w:rPr>
              <w:lastRenderedPageBreak/>
              <w:t>Term newborns with septic shock:</w:t>
            </w:r>
            <w:r w:rsidRPr="008007B1">
              <w:rPr>
                <w:rFonts w:asciiTheme="minorHAnsi" w:hAnsiTheme="minorHAnsi"/>
                <w:sz w:val="16"/>
                <w:szCs w:val="16"/>
              </w:rPr>
              <w:t xml:space="preserve"> Noradrenaline 0.2−0.5 microgram/kg/minute increased blood pressure, urine output and reduced lactate in newborns with septic shock refractory to volume expansion and dopamine/dobutamine.</w:t>
            </w:r>
            <w:r w:rsidRPr="008007B1">
              <w:rPr>
                <w:rFonts w:asciiTheme="minorHAnsi" w:hAnsiTheme="minorHAnsi"/>
                <w:sz w:val="16"/>
                <w:szCs w:val="16"/>
                <w:vertAlign w:val="superscript"/>
              </w:rPr>
              <w:t>4</w:t>
            </w:r>
            <w:r w:rsidRPr="008007B1">
              <w:rPr>
                <w:rFonts w:asciiTheme="minorHAnsi" w:hAnsiTheme="minorHAnsi"/>
                <w:sz w:val="16"/>
                <w:szCs w:val="16"/>
              </w:rPr>
              <w:t xml:space="preserve"> (LOE IV, GOR C)</w:t>
            </w:r>
          </w:p>
          <w:p w:rsidRPr="008007B1" w:rsidR="008007B1" w:rsidP="00FE4186" w:rsidRDefault="008007B1" w14:paraId="4768ED53" w14:textId="77777777">
            <w:pPr>
              <w:pStyle w:val="BodyText"/>
              <w:tabs>
                <w:tab w:val="left" w:pos="1168"/>
              </w:tabs>
              <w:rPr>
                <w:rFonts w:asciiTheme="minorHAnsi" w:hAnsiTheme="minorHAnsi"/>
                <w:sz w:val="16"/>
                <w:szCs w:val="16"/>
              </w:rPr>
            </w:pPr>
            <w:r w:rsidRPr="008007B1">
              <w:rPr>
                <w:rFonts w:asciiTheme="minorHAnsi" w:hAnsiTheme="minorHAnsi"/>
                <w:b/>
                <w:sz w:val="16"/>
                <w:szCs w:val="16"/>
              </w:rPr>
              <w:t>Term newborns with pulmonary hypertension and circulatory failure refractory to fluid resuscitation:</w:t>
            </w:r>
            <w:r w:rsidRPr="008007B1">
              <w:rPr>
                <w:rFonts w:asciiTheme="minorHAnsi" w:hAnsiTheme="minorHAnsi"/>
                <w:sz w:val="16"/>
                <w:szCs w:val="16"/>
              </w:rPr>
              <w:t xml:space="preserve"> Noradrenaline 0.5–1.0 microgram/kg/minute improved lung function in newborn infants with PHN through a decrease in pulmonary/systemic artery pressure ratio and improved cardiac performance.</w:t>
            </w:r>
            <w:r w:rsidRPr="008007B1">
              <w:rPr>
                <w:rFonts w:asciiTheme="minorHAnsi" w:hAnsiTheme="minorHAnsi"/>
                <w:sz w:val="16"/>
                <w:szCs w:val="16"/>
                <w:vertAlign w:val="superscript"/>
              </w:rPr>
              <w:t>5</w:t>
            </w:r>
            <w:r w:rsidRPr="008007B1">
              <w:rPr>
                <w:rFonts w:asciiTheme="minorHAnsi" w:hAnsiTheme="minorHAnsi"/>
                <w:sz w:val="16"/>
                <w:szCs w:val="16"/>
              </w:rPr>
              <w:t xml:space="preserve"> (LOE IV, GOR C).</w:t>
            </w:r>
          </w:p>
          <w:p w:rsidRPr="008007B1" w:rsidR="008007B1" w:rsidP="00FE4186" w:rsidRDefault="008007B1" w14:paraId="1F65653E" w14:textId="77777777">
            <w:pPr>
              <w:pStyle w:val="BodyText"/>
              <w:tabs>
                <w:tab w:val="left" w:pos="1168"/>
              </w:tabs>
              <w:rPr>
                <w:rFonts w:asciiTheme="minorHAnsi" w:hAnsiTheme="minorHAnsi"/>
                <w:b/>
                <w:sz w:val="16"/>
                <w:szCs w:val="16"/>
              </w:rPr>
            </w:pPr>
            <w:r w:rsidRPr="008007B1">
              <w:rPr>
                <w:rFonts w:asciiTheme="minorHAnsi" w:hAnsiTheme="minorHAnsi"/>
                <w:b/>
                <w:sz w:val="16"/>
                <w:szCs w:val="16"/>
              </w:rPr>
              <w:t xml:space="preserve">Preterm newborns with refractory hypotension: </w:t>
            </w:r>
            <w:r w:rsidRPr="008007B1">
              <w:rPr>
                <w:rFonts w:asciiTheme="minorHAnsi" w:hAnsiTheme="minorHAnsi"/>
                <w:sz w:val="16"/>
                <w:szCs w:val="16"/>
              </w:rPr>
              <w:t xml:space="preserve">Two case series report the effects of noradrenaline in preterm infants. </w:t>
            </w:r>
            <w:r w:rsidRPr="008007B1">
              <w:rPr>
                <w:rFonts w:ascii="Segoe UI" w:hAnsi="Segoe UI" w:cs="Segoe UI" w:eastAsiaTheme="minorHAnsi"/>
                <w:sz w:val="16"/>
                <w:szCs w:val="16"/>
              </w:rPr>
              <w:t>Rowcliff et al reported</w:t>
            </w:r>
            <w:r w:rsidRPr="008007B1">
              <w:rPr>
                <w:rFonts w:asciiTheme="minorHAnsi" w:hAnsiTheme="minorHAnsi"/>
                <w:sz w:val="16"/>
                <w:szCs w:val="16"/>
              </w:rPr>
              <w:t xml:space="preserve"> noradrenaline [starting dose 0.4 (0.2–0.5) µg/kg/min maximum dose 0.7 (0.4–1.0) µg/kg/min] in 48 hypotensive infants born ≤32 weeks’ gestation with a primary diagnosis of sepsis (63 %) or pulmonary hypertension (23 %) refractory to other interventions. Normotension was achieved in all but one infant at a median dose of 0.5 µg/kg/min. The increased blood pressure did not lead to immediate improvement of pH, lactate or urine output. Tachycardia was common (31 %). Mortality was 46% and morbidity high.</w:t>
            </w:r>
            <w:r w:rsidRPr="008007B1">
              <w:rPr>
                <w:rFonts w:asciiTheme="minorHAnsi" w:hAnsiTheme="minorHAnsi"/>
                <w:sz w:val="16"/>
                <w:szCs w:val="16"/>
                <w:vertAlign w:val="superscript"/>
              </w:rPr>
              <w:t>6</w:t>
            </w:r>
            <w:r w:rsidRPr="008007B1">
              <w:rPr>
                <w:rFonts w:asciiTheme="minorHAnsi" w:hAnsiTheme="minorHAnsi"/>
                <w:sz w:val="16"/>
                <w:szCs w:val="16"/>
              </w:rPr>
              <w:t xml:space="preserve"> Rizk et al reported noradrenaline [starting dose 0.1 µg/kg/min); maximum dose 0.24 </w:t>
            </w:r>
            <w:r w:rsidRPr="008007B1">
              <w:rPr>
                <w:sz w:val="16"/>
                <w:szCs w:val="16"/>
              </w:rPr>
              <w:t>±</w:t>
            </w:r>
            <w:r w:rsidRPr="008007B1">
              <w:rPr>
                <w:rFonts w:asciiTheme="minorHAnsi" w:hAnsiTheme="minorHAnsi"/>
                <w:sz w:val="16"/>
                <w:szCs w:val="16"/>
              </w:rPr>
              <w:t xml:space="preserve"> 0.15 µg/kg/min] in 30 hypotensive preterm infants with septic shock. Noradrenaline infusion was associated with improvements in blood pressure, urine output and FiO</w:t>
            </w:r>
            <w:r w:rsidRPr="008007B1">
              <w:rPr>
                <w:rFonts w:asciiTheme="minorHAnsi" w:hAnsiTheme="minorHAnsi"/>
                <w:sz w:val="16"/>
                <w:szCs w:val="16"/>
                <w:vertAlign w:val="subscript"/>
              </w:rPr>
              <w:t>2</w:t>
            </w:r>
            <w:r w:rsidRPr="008007B1">
              <w:rPr>
                <w:rFonts w:asciiTheme="minorHAnsi" w:hAnsiTheme="minorHAnsi"/>
                <w:sz w:val="16"/>
                <w:szCs w:val="16"/>
              </w:rPr>
              <w:t>, and reduction in other inotrope support. Mortality was 33.3%, 5 of 16 survivors assessed had cerebral palsy and developmental delay.</w:t>
            </w:r>
            <w:r w:rsidRPr="008007B1">
              <w:rPr>
                <w:rFonts w:asciiTheme="minorHAnsi" w:hAnsiTheme="minorHAnsi"/>
                <w:sz w:val="16"/>
                <w:szCs w:val="16"/>
                <w:vertAlign w:val="superscript"/>
              </w:rPr>
              <w:t>7</w:t>
            </w:r>
            <w:r w:rsidRPr="008007B1">
              <w:rPr>
                <w:rFonts w:asciiTheme="minorHAnsi" w:hAnsiTheme="minorHAnsi"/>
                <w:sz w:val="16"/>
                <w:szCs w:val="16"/>
              </w:rPr>
              <w:t xml:space="preserve"> [LOE IV, no recommendation].</w:t>
            </w:r>
          </w:p>
          <w:p w:rsidRPr="008007B1" w:rsidR="008007B1" w:rsidP="00FE4186" w:rsidRDefault="008007B1" w14:paraId="0FE9B812" w14:textId="77777777">
            <w:pPr>
              <w:pStyle w:val="BodyText"/>
              <w:tabs>
                <w:tab w:val="left" w:pos="1168"/>
              </w:tabs>
              <w:rPr>
                <w:rFonts w:asciiTheme="minorHAnsi" w:hAnsiTheme="minorHAnsi"/>
                <w:sz w:val="16"/>
                <w:szCs w:val="16"/>
              </w:rPr>
            </w:pPr>
            <w:r w:rsidRPr="008007B1">
              <w:rPr>
                <w:rFonts w:asciiTheme="minorHAnsi" w:hAnsiTheme="minorHAnsi"/>
                <w:b/>
                <w:sz w:val="16"/>
                <w:szCs w:val="16"/>
              </w:rPr>
              <w:t>Safety</w:t>
            </w:r>
            <w:r w:rsidRPr="008007B1">
              <w:rPr>
                <w:rFonts w:asciiTheme="minorHAnsi" w:hAnsiTheme="minorHAnsi"/>
                <w:sz w:val="16"/>
                <w:szCs w:val="16"/>
              </w:rPr>
              <w:t>: In non-newborn patients, noradrenaline is associated with less arrhythmia compared to patients treated with dopamine. Overdose may result in severe hypertension, reflex bradycardia, marked increase in peripheral resistance and decreased cardiac output. Cohort studies show that delay in the use of inotropic therapies is associated with major increases in mortality risk. This delay is often related to difficulty in attaining central access. Inotropes can be given peripherally until central venous access can be attained in children who are not responsive to fluid resuscitation.</w:t>
            </w:r>
            <w:r w:rsidRPr="008007B1">
              <w:rPr>
                <w:rFonts w:asciiTheme="minorHAnsi" w:hAnsiTheme="minorHAnsi"/>
                <w:sz w:val="16"/>
                <w:szCs w:val="16"/>
                <w:vertAlign w:val="superscript"/>
              </w:rPr>
              <w:t>1</w:t>
            </w:r>
          </w:p>
          <w:p w:rsidRPr="008007B1" w:rsidR="008007B1" w:rsidP="00FE4186" w:rsidRDefault="008007B1" w14:paraId="14473507" w14:textId="77777777">
            <w:pPr>
              <w:pStyle w:val="BodyText"/>
              <w:tabs>
                <w:tab w:val="left" w:pos="1168"/>
              </w:tabs>
              <w:rPr>
                <w:rFonts w:cs="Arial" w:asciiTheme="minorHAnsi" w:hAnsiTheme="minorHAnsi"/>
                <w:sz w:val="16"/>
                <w:szCs w:val="16"/>
              </w:rPr>
            </w:pPr>
            <w:r w:rsidRPr="008007B1">
              <w:rPr>
                <w:rFonts w:asciiTheme="minorHAnsi" w:hAnsiTheme="minorHAnsi"/>
                <w:b/>
                <w:sz w:val="16"/>
                <w:szCs w:val="16"/>
              </w:rPr>
              <w:t>Pharmacokinetics</w:t>
            </w:r>
            <w:r w:rsidRPr="008007B1">
              <w:rPr>
                <w:rFonts w:asciiTheme="minorHAnsi" w:hAnsiTheme="minorHAnsi"/>
                <w:sz w:val="16"/>
                <w:szCs w:val="16"/>
              </w:rPr>
              <w:t>: The onset of action is rapid after intravenous infusion. The half-life of intravenous noradrenaline has not been reported in sick newborn infants.</w:t>
            </w:r>
            <w:r w:rsidRPr="008007B1">
              <w:rPr>
                <w:rFonts w:asciiTheme="minorHAnsi" w:hAnsiTheme="minorHAnsi"/>
                <w:sz w:val="16"/>
                <w:szCs w:val="16"/>
                <w:vertAlign w:val="superscript"/>
              </w:rPr>
              <w:t>8</w:t>
            </w:r>
            <w:r w:rsidRPr="008007B1">
              <w:rPr>
                <w:rFonts w:asciiTheme="minorHAnsi" w:hAnsiTheme="minorHAnsi"/>
                <w:sz w:val="16"/>
                <w:szCs w:val="16"/>
              </w:rPr>
              <w:t xml:space="preserve"> </w:t>
            </w:r>
          </w:p>
        </w:tc>
      </w:tr>
      <w:tr w:rsidRPr="00157CFD" w:rsidR="008007B1" w:rsidTr="00FE4186" w14:paraId="0C4F2747" w14:textId="77777777">
        <w:trPr>
          <w:trHeight w:val="361"/>
        </w:trPr>
        <w:tc>
          <w:tcPr>
            <w:tcW w:w="2061" w:type="dxa"/>
          </w:tcPr>
          <w:p w:rsidRPr="009C0193" w:rsidR="008007B1" w:rsidP="00FE4186" w:rsidRDefault="008007B1" w14:paraId="02878F24" w14:textId="77777777">
            <w:pPr>
              <w:pStyle w:val="BodyText"/>
              <w:rPr>
                <w:rFonts w:cs="Arial" w:asciiTheme="minorHAnsi" w:hAnsiTheme="minorHAnsi"/>
                <w:b/>
                <w:bCs/>
                <w:sz w:val="20"/>
              </w:rPr>
            </w:pPr>
            <w:r w:rsidRPr="009C0193">
              <w:rPr>
                <w:rFonts w:asciiTheme="minorHAnsi" w:hAnsiTheme="minorHAnsi"/>
                <w:b/>
                <w:sz w:val="20"/>
              </w:rPr>
              <w:lastRenderedPageBreak/>
              <w:t>References</w:t>
            </w:r>
          </w:p>
        </w:tc>
        <w:tc>
          <w:tcPr>
            <w:tcW w:w="8571" w:type="dxa"/>
          </w:tcPr>
          <w:p w:rsidRPr="008007B1" w:rsidR="008007B1" w:rsidP="001B0E05" w:rsidRDefault="008007B1" w14:paraId="258AF959" w14:textId="77777777">
            <w:pPr>
              <w:pStyle w:val="EndNoteBibliography"/>
              <w:numPr>
                <w:ilvl w:val="0"/>
                <w:numId w:val="113"/>
              </w:numPr>
              <w:rPr>
                <w:rFonts w:asciiTheme="minorHAnsi" w:hAnsiTheme="minorHAnsi"/>
                <w:sz w:val="16"/>
                <w:szCs w:val="16"/>
                <w:lang w:val="en-AU"/>
              </w:rPr>
            </w:pPr>
            <w:r w:rsidRPr="008007B1">
              <w:rPr>
                <w:rFonts w:asciiTheme="minorHAnsi" w:hAnsiTheme="minorHAnsi"/>
                <w:sz w:val="16"/>
                <w:szCs w:val="16"/>
                <w:lang w:val="en-AU"/>
              </w:rPr>
              <w:t>Dellinger RP, Levy MM, Rhodes A, Annane D, Gerlach H, Opal SM, Sevransky JE, Sprung CL, Douglas IS, Jaeschke R, Osborn TM. Surviving Sepsis Campaign: international guidelines for management of severe sepsis and septic shock, 2012. Intensive care medicine. 2013 Feb 1;39(2):165-228.</w:t>
            </w:r>
          </w:p>
          <w:p w:rsidRPr="008007B1" w:rsidR="008007B1" w:rsidP="001B0E05" w:rsidRDefault="008007B1" w14:paraId="5F8C97AF" w14:textId="77777777">
            <w:pPr>
              <w:pStyle w:val="EndNoteBibliography"/>
              <w:numPr>
                <w:ilvl w:val="0"/>
                <w:numId w:val="113"/>
              </w:numPr>
              <w:rPr>
                <w:rFonts w:asciiTheme="minorHAnsi" w:hAnsiTheme="minorHAnsi"/>
                <w:sz w:val="16"/>
                <w:szCs w:val="16"/>
                <w:lang w:val="en-AU"/>
              </w:rPr>
            </w:pPr>
            <w:r w:rsidRPr="008007B1">
              <w:rPr>
                <w:rFonts w:asciiTheme="minorHAnsi" w:hAnsiTheme="minorHAnsi"/>
                <w:sz w:val="16"/>
                <w:szCs w:val="16"/>
                <w:lang w:val="en-AU"/>
              </w:rPr>
              <w:t>Brierley J, Carcillo JA, Choong K, Cornell T, Decaen A, Deymann A, Doctor A, Davis A, Duff J, Dugas MA, Duncan A, Evans B, Feldman J, Felmet K, Fisher G, Frankel L, Jeffries H, Greenwald B, Gutierrez J, Hall M, Han YY, Hanson J, Hazelzet J, Hernan L, Kiff J, Kissoon N, Kon A, Irazuzta J, Lin J, Lorts A, Mariscalco M, Mehta R, Nadel S, Nguyen T, Nicholson C, Peters M, Okhuysen-Cawley R, Poulton T, Relves M, Rodriguez A, Rozenfeld R, Schnitzler E, Shanley T, Kache S, Skippen P, Torres A, von Dessauer B, Weingarten J, Yeh T, Zaritsky A, Stojadinovic B, Zimmerman J, Zuckerberg A. Clinical practice parameters for hemodynamic support of pediatric and neonatal septic shock: 2007 update from the American College of Critical Care Medicine. Crit Care Med. 2009;37:666-88.</w:t>
            </w:r>
            <w:r w:rsidRPr="008007B1">
              <w:rPr>
                <w:rFonts w:asciiTheme="minorHAnsi" w:hAnsiTheme="minorHAnsi"/>
                <w:sz w:val="16"/>
                <w:szCs w:val="16"/>
              </w:rPr>
              <w:t xml:space="preserve"> </w:t>
            </w:r>
          </w:p>
          <w:p w:rsidRPr="008007B1" w:rsidR="008007B1" w:rsidP="001B0E05" w:rsidRDefault="008007B1" w14:paraId="2FA408F0" w14:textId="77777777">
            <w:pPr>
              <w:pStyle w:val="EndNoteBibliography"/>
              <w:numPr>
                <w:ilvl w:val="0"/>
                <w:numId w:val="113"/>
              </w:numPr>
              <w:rPr>
                <w:rFonts w:asciiTheme="minorHAnsi" w:hAnsiTheme="minorHAnsi"/>
                <w:sz w:val="16"/>
                <w:szCs w:val="16"/>
                <w:lang w:val="en-AU"/>
              </w:rPr>
            </w:pPr>
            <w:r w:rsidRPr="008007B1">
              <w:rPr>
                <w:rFonts w:asciiTheme="minorHAnsi" w:hAnsiTheme="minorHAnsi"/>
                <w:sz w:val="16"/>
                <w:szCs w:val="16"/>
              </w:rPr>
              <w:t>Havel C, Arrich J, Losert H, Gamper G, Mullner M, Herkner H. Vasopressors for hypotensive shock. The Cochrane database of systematic reviews. 2011:CD003709.</w:t>
            </w:r>
          </w:p>
          <w:p w:rsidRPr="008007B1" w:rsidR="008007B1" w:rsidP="001B0E05" w:rsidRDefault="008007B1" w14:paraId="42F7BC66" w14:textId="77777777">
            <w:pPr>
              <w:pStyle w:val="EndNoteBibliography"/>
              <w:numPr>
                <w:ilvl w:val="0"/>
                <w:numId w:val="113"/>
              </w:numPr>
              <w:rPr>
                <w:rFonts w:asciiTheme="minorHAnsi" w:hAnsiTheme="minorHAnsi"/>
                <w:sz w:val="16"/>
                <w:szCs w:val="16"/>
                <w:lang w:val="en-AU"/>
              </w:rPr>
            </w:pPr>
            <w:r w:rsidRPr="008007B1">
              <w:rPr>
                <w:rFonts w:asciiTheme="minorHAnsi" w:hAnsiTheme="minorHAnsi"/>
                <w:sz w:val="16"/>
                <w:szCs w:val="16"/>
                <w:lang w:val="en-AU"/>
              </w:rPr>
              <w:t>Tourneux P, Rakza T, Abazine A, Krim G, Storme L. Noradrenaline for management of septic shock refractory to fluid loading and dopamine or dobutamine in full-term newborn infants. Acta paediatrica. 2008;97:177-80.</w:t>
            </w:r>
          </w:p>
          <w:p w:rsidRPr="008007B1" w:rsidR="008007B1" w:rsidP="001B0E05" w:rsidRDefault="008007B1" w14:paraId="35036D65" w14:textId="77777777">
            <w:pPr>
              <w:pStyle w:val="EndNoteBibliography"/>
              <w:numPr>
                <w:ilvl w:val="0"/>
                <w:numId w:val="113"/>
              </w:numPr>
              <w:rPr>
                <w:rFonts w:asciiTheme="minorHAnsi" w:hAnsiTheme="minorHAnsi"/>
                <w:sz w:val="16"/>
                <w:szCs w:val="16"/>
                <w:lang w:val="en-AU"/>
              </w:rPr>
            </w:pPr>
            <w:r w:rsidRPr="008007B1">
              <w:rPr>
                <w:rFonts w:asciiTheme="minorHAnsi" w:hAnsiTheme="minorHAnsi"/>
                <w:sz w:val="16"/>
                <w:szCs w:val="16"/>
                <w:lang w:val="en-AU"/>
              </w:rPr>
              <w:t>Tourneux P, Rakza T, Bouissou A, Krim G, Storme L. Pulmonary circulatory effects of norepinephrine in newborn infants with persistent pulmonary hypertension. The Journal of pediatrics. 2008;153:345-9.</w:t>
            </w:r>
            <w:r w:rsidRPr="008007B1">
              <w:rPr>
                <w:rFonts w:ascii="Segoe UI" w:hAnsi="Segoe UI" w:cs="Segoe UI" w:eastAsiaTheme="minorHAnsi"/>
                <w:sz w:val="16"/>
                <w:szCs w:val="16"/>
              </w:rPr>
              <w:t xml:space="preserve"> </w:t>
            </w:r>
          </w:p>
          <w:p w:rsidRPr="008007B1" w:rsidR="008007B1" w:rsidP="001B0E05" w:rsidRDefault="008007B1" w14:paraId="5F889B73" w14:textId="77777777">
            <w:pPr>
              <w:pStyle w:val="EndNoteBibliography"/>
              <w:numPr>
                <w:ilvl w:val="0"/>
                <w:numId w:val="113"/>
              </w:numPr>
              <w:rPr>
                <w:rFonts w:asciiTheme="minorHAnsi" w:hAnsiTheme="minorHAnsi"/>
                <w:sz w:val="16"/>
                <w:szCs w:val="16"/>
                <w:lang w:val="en-AU"/>
              </w:rPr>
            </w:pPr>
            <w:r w:rsidRPr="008007B1">
              <w:rPr>
                <w:rFonts w:ascii="Segoe UI" w:hAnsi="Segoe UI" w:cs="Segoe UI" w:eastAsiaTheme="minorHAnsi"/>
                <w:sz w:val="16"/>
                <w:szCs w:val="16"/>
              </w:rPr>
              <w:t>Rowcliff K, de Waal K, Mohamed AL, Chaudhari T. Noradrenaline in preterm infants with cardiovascular compromise. Eur J Pediatr. 2016;175:1967-73.</w:t>
            </w:r>
            <w:r w:rsidRPr="008007B1">
              <w:rPr>
                <w:rFonts w:asciiTheme="minorHAnsi" w:hAnsiTheme="minorHAnsi"/>
                <w:sz w:val="16"/>
                <w:szCs w:val="16"/>
                <w:lang w:val="en-AU"/>
              </w:rPr>
              <w:t xml:space="preserve"> </w:t>
            </w:r>
          </w:p>
          <w:p w:rsidRPr="008007B1" w:rsidR="008007B1" w:rsidP="001B0E05" w:rsidRDefault="008007B1" w14:paraId="16C069DD" w14:textId="77777777">
            <w:pPr>
              <w:pStyle w:val="EndNoteBibliography"/>
              <w:numPr>
                <w:ilvl w:val="0"/>
                <w:numId w:val="113"/>
              </w:numPr>
              <w:rPr>
                <w:rFonts w:asciiTheme="minorHAnsi" w:hAnsiTheme="minorHAnsi"/>
                <w:sz w:val="16"/>
                <w:szCs w:val="16"/>
                <w:lang w:val="en-AU"/>
              </w:rPr>
            </w:pPr>
            <w:r w:rsidRPr="008007B1">
              <w:rPr>
                <w:rFonts w:asciiTheme="minorHAnsi" w:hAnsiTheme="minorHAnsi"/>
                <w:sz w:val="16"/>
                <w:szCs w:val="16"/>
                <w:lang w:val="en-AU"/>
              </w:rPr>
              <w:t>Rizk MY, Lapointe A, Lefebvre F, Barrington KJ. Norepinephrine infusion improves haemodynamics in the preterm infants during septic shock. Acta paediatrica. 2018;107:408-13.</w:t>
            </w:r>
          </w:p>
          <w:p w:rsidRPr="00157CFD" w:rsidR="008007B1" w:rsidP="001B0E05" w:rsidRDefault="008007B1" w14:paraId="6EAA0A04" w14:textId="77777777">
            <w:pPr>
              <w:pStyle w:val="EndNoteBibliography"/>
              <w:numPr>
                <w:ilvl w:val="0"/>
                <w:numId w:val="113"/>
              </w:numPr>
              <w:rPr>
                <w:rFonts w:asciiTheme="minorHAnsi" w:hAnsiTheme="minorHAnsi"/>
                <w:sz w:val="20"/>
                <w:szCs w:val="20"/>
                <w:lang w:val="en-AU"/>
              </w:rPr>
            </w:pPr>
            <w:r w:rsidRPr="008007B1">
              <w:rPr>
                <w:rFonts w:asciiTheme="minorHAnsi" w:hAnsiTheme="minorHAnsi"/>
                <w:sz w:val="16"/>
                <w:szCs w:val="16"/>
                <w:lang w:val="en-AU"/>
              </w:rPr>
              <w:t>Micromedex online. Accessed on 23 February 2017.</w:t>
            </w:r>
          </w:p>
        </w:tc>
      </w:tr>
    </w:tbl>
    <w:p w:rsidR="00115F48" w:rsidP="006F0321" w:rsidRDefault="00115F48" w14:paraId="0626CCC1" w14:textId="1291B0F2"/>
    <w:p w:rsidRPr="00E25790" w:rsidR="008007B1" w:rsidP="006F0321" w:rsidRDefault="008007B1" w14:paraId="7A3DE0B8" w14:textId="77777777"/>
    <w:tbl>
      <w:tblPr>
        <w:tblW w:w="9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12"/>
        <w:gridCol w:w="5103"/>
      </w:tblGrid>
      <w:tr w:rsidRPr="009C0193" w:rsidR="00A56688" w:rsidTr="00FB38D0" w14:paraId="6B8BD999" w14:textId="77777777">
        <w:tc>
          <w:tcPr>
            <w:tcW w:w="4112" w:type="dxa"/>
            <w:vAlign w:val="center"/>
          </w:tcPr>
          <w:p w:rsidRPr="00A56688" w:rsidR="00A56688" w:rsidP="00FB38D0" w:rsidRDefault="00A56688" w14:paraId="1989B4A0" w14:textId="77777777">
            <w:r w:rsidRPr="00A56688">
              <w:t>Original version Date:  31/03/2016</w:t>
            </w:r>
          </w:p>
        </w:tc>
        <w:tc>
          <w:tcPr>
            <w:tcW w:w="5103" w:type="dxa"/>
            <w:vAlign w:val="center"/>
          </w:tcPr>
          <w:p w:rsidRPr="00A56688" w:rsidR="00A56688" w:rsidP="00FB38D0" w:rsidRDefault="00A56688" w14:paraId="52E30D8E" w14:textId="77777777">
            <w:r w:rsidRPr="00A56688">
              <w:t>Author: NMF Consensus Group</w:t>
            </w:r>
          </w:p>
        </w:tc>
      </w:tr>
      <w:tr w:rsidRPr="009C0193" w:rsidR="00A56688" w:rsidTr="00FB38D0" w14:paraId="32201572" w14:textId="77777777">
        <w:tc>
          <w:tcPr>
            <w:tcW w:w="4112" w:type="dxa"/>
            <w:vAlign w:val="center"/>
          </w:tcPr>
          <w:p w:rsidRPr="00A56688" w:rsidR="00A56688" w:rsidP="00FB38D0" w:rsidRDefault="00A56688" w14:paraId="6F27BAB1" w14:textId="29AE90B6">
            <w:pPr>
              <w:rPr>
                <w:bCs/>
              </w:rPr>
            </w:pPr>
            <w:r w:rsidRPr="00A56688">
              <w:t xml:space="preserve">Current Version number:  </w:t>
            </w:r>
            <w:r w:rsidR="005D4E3E">
              <w:t>2</w:t>
            </w:r>
          </w:p>
        </w:tc>
        <w:tc>
          <w:tcPr>
            <w:tcW w:w="5103" w:type="dxa"/>
            <w:vAlign w:val="center"/>
          </w:tcPr>
          <w:p w:rsidRPr="00A56688" w:rsidR="00A56688" w:rsidP="00FB38D0" w:rsidRDefault="00A56688" w14:paraId="6231F8BB" w14:textId="114CC43A">
            <w:r w:rsidRPr="00A56688">
              <w:t xml:space="preserve">Current Version Date:  </w:t>
            </w:r>
            <w:r w:rsidR="005D4E3E">
              <w:t>24</w:t>
            </w:r>
            <w:r w:rsidRPr="00A56688">
              <w:t>/</w:t>
            </w:r>
            <w:r>
              <w:t>12</w:t>
            </w:r>
            <w:r w:rsidRPr="00A56688">
              <w:t>/20</w:t>
            </w:r>
            <w:r w:rsidR="00113034">
              <w:t>20</w:t>
            </w:r>
          </w:p>
        </w:tc>
      </w:tr>
      <w:tr w:rsidRPr="009C0193" w:rsidR="00A56688" w:rsidTr="00FB38D0" w14:paraId="649DD2C3" w14:textId="77777777">
        <w:tc>
          <w:tcPr>
            <w:tcW w:w="4112" w:type="dxa"/>
            <w:vAlign w:val="center"/>
          </w:tcPr>
          <w:p w:rsidRPr="00A56688" w:rsidR="00A56688" w:rsidP="00FB38D0" w:rsidRDefault="00A56688" w14:paraId="13E38564" w14:textId="77777777">
            <w:r w:rsidRPr="00A56688">
              <w:t>Risk Rating: Medium</w:t>
            </w:r>
          </w:p>
        </w:tc>
        <w:tc>
          <w:tcPr>
            <w:tcW w:w="5103" w:type="dxa"/>
            <w:vAlign w:val="center"/>
          </w:tcPr>
          <w:p w:rsidRPr="00A56688" w:rsidR="00A56688" w:rsidP="00FB38D0" w:rsidRDefault="00A56688" w14:paraId="1A81120A" w14:textId="6C997228">
            <w:r w:rsidRPr="00A56688">
              <w:t xml:space="preserve">Due for Review:  </w:t>
            </w:r>
            <w:r w:rsidR="00755A1D">
              <w:t>24</w:t>
            </w:r>
            <w:r>
              <w:t>/12/202</w:t>
            </w:r>
            <w:r w:rsidR="00113034">
              <w:t>3</w:t>
            </w:r>
          </w:p>
        </w:tc>
      </w:tr>
      <w:tr w:rsidRPr="009C0193" w:rsidR="00A56688" w:rsidTr="00FB38D0" w14:paraId="703A57BE" w14:textId="77777777">
        <w:trPr>
          <w:trHeight w:val="344"/>
        </w:trPr>
        <w:tc>
          <w:tcPr>
            <w:tcW w:w="4112" w:type="dxa"/>
            <w:tcBorders>
              <w:bottom w:val="single" w:color="auto" w:sz="4" w:space="0"/>
            </w:tcBorders>
            <w:vAlign w:val="center"/>
          </w:tcPr>
          <w:p w:rsidRPr="00A56688" w:rsidR="00A56688" w:rsidP="00FB38D0" w:rsidRDefault="00A56688" w14:paraId="15AB6779" w14:textId="77777777">
            <w:r w:rsidRPr="00A56688">
              <w:t xml:space="preserve">Approval by: </w:t>
            </w:r>
            <w:r>
              <w:t>DTC</w:t>
            </w:r>
          </w:p>
        </w:tc>
        <w:tc>
          <w:tcPr>
            <w:tcW w:w="5103" w:type="dxa"/>
            <w:tcBorders>
              <w:bottom w:val="single" w:color="auto" w:sz="4" w:space="0"/>
            </w:tcBorders>
            <w:vAlign w:val="center"/>
          </w:tcPr>
          <w:p w:rsidRPr="00A56688" w:rsidR="00A56688" w:rsidP="00FB38D0" w:rsidRDefault="00A56688" w14:paraId="6BAD3E42" w14:textId="2DF656D8">
            <w:r w:rsidRPr="00A56688">
              <w:t xml:space="preserve">Approval Date: :  </w:t>
            </w:r>
            <w:r w:rsidR="00260BC8">
              <w:t>APRIL 2021</w:t>
            </w:r>
          </w:p>
        </w:tc>
      </w:tr>
    </w:tbl>
    <w:p w:rsidR="00115F48" w:rsidP="006F0321" w:rsidRDefault="00115F48" w14:paraId="09451847" w14:textId="5FF64BF2"/>
    <w:p w:rsidR="00657F8B" w:rsidP="006F0321" w:rsidRDefault="00657F8B" w14:paraId="06CC5BC8" w14:textId="68E9CB77"/>
    <w:p w:rsidR="00657F8B" w:rsidP="006F0321" w:rsidRDefault="00657F8B" w14:paraId="6C2F7CD4" w14:textId="1BAB09D8"/>
    <w:p w:rsidR="00657F8B" w:rsidP="006F0321" w:rsidRDefault="00657F8B" w14:paraId="0BA56EDA" w14:textId="59E2EF02"/>
    <w:p w:rsidR="00657F8B" w:rsidP="006F0321" w:rsidRDefault="00657F8B" w14:paraId="71F806FA" w14:textId="17E0579A"/>
    <w:p w:rsidR="00657F8B" w:rsidP="006F0321" w:rsidRDefault="00657F8B" w14:paraId="148D6605" w14:textId="7F279170"/>
    <w:p w:rsidR="00657F8B" w:rsidP="006F0321" w:rsidRDefault="00657F8B" w14:paraId="2C037E95" w14:textId="2E1F6A77"/>
    <w:p w:rsidR="00657F8B" w:rsidP="006F0321" w:rsidRDefault="00657F8B" w14:paraId="064430D9" w14:textId="7BC95057"/>
    <w:p w:rsidR="00657F8B" w:rsidP="006F0321" w:rsidRDefault="00657F8B" w14:paraId="751C21BF" w14:textId="5962F3E5"/>
    <w:p w:rsidR="00657F8B" w:rsidP="006F0321" w:rsidRDefault="00657F8B" w14:paraId="443390E7" w14:textId="07ADC94D"/>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639A43EE" w:rsidTr="639A43EE" w14:paraId="1373EB2B" w14:textId="77777777">
        <w:trPr>
          <w:trHeight w:val="720"/>
        </w:trPr>
        <w:tc>
          <w:tcPr>
            <w:tcW w:w="8980" w:type="dxa"/>
            <w:gridSpan w:val="2"/>
            <w:shd w:val="clear" w:color="auto" w:fill="FFFF00"/>
          </w:tcPr>
          <w:p w:rsidR="546A3FE2" w:rsidP="639A43EE" w:rsidRDefault="546A3FE2" w14:paraId="72B59380" w14:textId="27AE868E">
            <w:pPr>
              <w:pStyle w:val="Heading1"/>
            </w:pPr>
            <w:bookmarkStart w:name="_Toc75340014" w:id="430"/>
            <w:r>
              <w:lastRenderedPageBreak/>
              <w:t>Nystatin</w:t>
            </w:r>
            <w:bookmarkEnd w:id="430"/>
            <w:r>
              <w:fldChar w:fldCharType="begin"/>
            </w:r>
            <w:r>
              <w:instrText>tc "Ampicillin" \l 0</w:instrText>
            </w:r>
            <w:r>
              <w:fldChar w:fldCharType="end"/>
            </w:r>
          </w:p>
        </w:tc>
      </w:tr>
      <w:tr w:rsidR="639A43EE" w:rsidTr="639A43EE" w14:paraId="6ED20A94" w14:textId="77777777">
        <w:trPr>
          <w:trHeight w:val="480"/>
        </w:trPr>
        <w:tc>
          <w:tcPr>
            <w:tcW w:w="4122" w:type="dxa"/>
            <w:shd w:val="clear" w:color="auto" w:fill="FFFF00"/>
          </w:tcPr>
          <w:p w:rsidR="639A43EE" w:rsidRDefault="639A43EE" w14:paraId="62FF2BAF" w14:textId="5499645B">
            <w:r>
              <w:t xml:space="preserve">Revision Date : </w:t>
            </w:r>
            <w:r w:rsidR="009120C3">
              <w:t>18</w:t>
            </w:r>
            <w:r w:rsidR="00992BB5">
              <w:t>-</w:t>
            </w:r>
            <w:r w:rsidR="009120C3">
              <w:t>06</w:t>
            </w:r>
            <w:r w:rsidR="00992BB5">
              <w:t>-202</w:t>
            </w:r>
            <w:r w:rsidR="009120C3">
              <w:t>1</w:t>
            </w:r>
          </w:p>
        </w:tc>
        <w:tc>
          <w:tcPr>
            <w:tcW w:w="4858" w:type="dxa"/>
            <w:shd w:val="clear" w:color="auto" w:fill="FFFF00"/>
          </w:tcPr>
          <w:p w:rsidR="639A43EE" w:rsidRDefault="639A43EE" w14:paraId="41B73A87" w14:textId="77777777">
            <w:r>
              <w:t>Approved : TC, KOH</w:t>
            </w:r>
          </w:p>
        </w:tc>
      </w:tr>
    </w:tbl>
    <w:p w:rsidR="00FB38D0" w:rsidRDefault="00FB38D0" w14:paraId="17DDC331" w14:textId="3048FA0F"/>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371"/>
      </w:tblGrid>
      <w:tr w:rsidRPr="003A7895" w:rsidR="009120C3" w:rsidTr="009120C3" w14:paraId="7C4510D5" w14:textId="77777777">
        <w:trPr>
          <w:trHeight w:val="70"/>
        </w:trPr>
        <w:tc>
          <w:tcPr>
            <w:tcW w:w="1730" w:type="dxa"/>
          </w:tcPr>
          <w:p w:rsidRPr="00B53E9B" w:rsidR="009120C3" w:rsidP="00131848" w:rsidRDefault="009120C3" w14:paraId="0FD00EB9" w14:textId="77777777">
            <w:pPr>
              <w:pStyle w:val="BodyText"/>
              <w:tabs>
                <w:tab w:val="center" w:pos="1476"/>
              </w:tabs>
              <w:rPr>
                <w:rFonts w:cs="Arial"/>
                <w:b/>
                <w:sz w:val="20"/>
              </w:rPr>
            </w:pPr>
            <w:r w:rsidRPr="00B53E9B">
              <w:rPr>
                <w:rFonts w:cs="Arial"/>
                <w:b/>
                <w:sz w:val="20"/>
              </w:rPr>
              <w:t>Alert</w:t>
            </w:r>
          </w:p>
        </w:tc>
        <w:tc>
          <w:tcPr>
            <w:tcW w:w="7371" w:type="dxa"/>
          </w:tcPr>
          <w:p w:rsidRPr="0087434E" w:rsidR="009120C3" w:rsidP="00131848" w:rsidRDefault="009120C3" w14:paraId="3BD17964" w14:textId="77777777">
            <w:pPr>
              <w:pStyle w:val="BodyText"/>
              <w:rPr>
                <w:sz w:val="20"/>
              </w:rPr>
            </w:pPr>
            <w:r w:rsidRPr="0087434E">
              <w:rPr>
                <w:sz w:val="20"/>
              </w:rPr>
              <w:t>The Antimicrobial Stewardship Team</w:t>
            </w:r>
            <w:r>
              <w:rPr>
                <w:sz w:val="20"/>
              </w:rPr>
              <w:t xml:space="preserve"> recommends this drug is</w:t>
            </w:r>
            <w:r w:rsidRPr="0087434E">
              <w:rPr>
                <w:sz w:val="20"/>
              </w:rPr>
              <w:t xml:space="preserve"> listed </w:t>
            </w:r>
            <w:r>
              <w:rPr>
                <w:sz w:val="20"/>
              </w:rPr>
              <w:t>as u</w:t>
            </w:r>
            <w:r w:rsidRPr="0087434E">
              <w:rPr>
                <w:sz w:val="20"/>
              </w:rPr>
              <w:t>nrestricted.</w:t>
            </w:r>
          </w:p>
          <w:p w:rsidRPr="0087434E" w:rsidR="009120C3" w:rsidP="00131848" w:rsidRDefault="009120C3" w14:paraId="6E2AD548" w14:textId="77777777">
            <w:pPr>
              <w:pStyle w:val="BodyText"/>
              <w:rPr>
                <w:sz w:val="20"/>
              </w:rPr>
            </w:pPr>
            <w:r w:rsidRPr="00F64E85">
              <w:rPr>
                <w:sz w:val="20"/>
              </w:rPr>
              <w:t>Nystatin is not suitable for the treatment of invasive fungal disease</w:t>
            </w:r>
            <w:r>
              <w:rPr>
                <w:sz w:val="20"/>
              </w:rPr>
              <w:t>.</w:t>
            </w:r>
          </w:p>
        </w:tc>
      </w:tr>
      <w:tr w:rsidRPr="003A7895" w:rsidR="009120C3" w:rsidTr="009120C3" w14:paraId="142A55FC" w14:textId="77777777">
        <w:trPr>
          <w:trHeight w:val="72"/>
        </w:trPr>
        <w:tc>
          <w:tcPr>
            <w:tcW w:w="1730" w:type="dxa"/>
          </w:tcPr>
          <w:p w:rsidRPr="00B53E9B" w:rsidR="009120C3" w:rsidP="00131848" w:rsidRDefault="009120C3" w14:paraId="00A3A7F4" w14:textId="77777777">
            <w:pPr>
              <w:pStyle w:val="BodyText"/>
              <w:rPr>
                <w:rFonts w:cs="Arial"/>
                <w:sz w:val="20"/>
              </w:rPr>
            </w:pPr>
            <w:r w:rsidRPr="00B53E9B">
              <w:rPr>
                <w:rFonts w:cs="Arial"/>
                <w:b/>
                <w:bCs/>
                <w:sz w:val="20"/>
              </w:rPr>
              <w:t>Indication</w:t>
            </w:r>
          </w:p>
        </w:tc>
        <w:tc>
          <w:tcPr>
            <w:tcW w:w="7371" w:type="dxa"/>
          </w:tcPr>
          <w:p w:rsidRPr="00D13E71" w:rsidR="009120C3" w:rsidP="001B0E05" w:rsidRDefault="009120C3" w14:paraId="216EF6C3" w14:textId="77777777">
            <w:pPr>
              <w:pStyle w:val="ListParagraph"/>
              <w:numPr>
                <w:ilvl w:val="0"/>
                <w:numId w:val="155"/>
              </w:numPr>
              <w:ind w:left="318" w:hanging="318"/>
              <w:jc w:val="both"/>
              <w:rPr>
                <w:sz w:val="20"/>
              </w:rPr>
            </w:pPr>
            <w:r w:rsidRPr="00D13E71">
              <w:rPr>
                <w:sz w:val="20"/>
              </w:rPr>
              <w:t xml:space="preserve">Prophylaxis </w:t>
            </w:r>
            <w:r>
              <w:rPr>
                <w:sz w:val="20"/>
              </w:rPr>
              <w:t>against</w:t>
            </w:r>
            <w:r w:rsidRPr="00D13E71">
              <w:rPr>
                <w:sz w:val="20"/>
              </w:rPr>
              <w:t xml:space="preserve"> invasive fungal infections. </w:t>
            </w:r>
          </w:p>
          <w:p w:rsidRPr="00D13E71" w:rsidR="009120C3" w:rsidP="001B0E05" w:rsidRDefault="009120C3" w14:paraId="38FD5662" w14:textId="77777777">
            <w:pPr>
              <w:pStyle w:val="ListParagraph"/>
              <w:numPr>
                <w:ilvl w:val="1"/>
                <w:numId w:val="155"/>
              </w:numPr>
              <w:ind w:left="743" w:hanging="284"/>
              <w:jc w:val="both"/>
              <w:rPr>
                <w:sz w:val="20"/>
              </w:rPr>
            </w:pPr>
            <w:r w:rsidRPr="00D13E71">
              <w:rPr>
                <w:sz w:val="20"/>
              </w:rPr>
              <w:t>Criteria for prophylaxis should be determined by local policy.</w:t>
            </w:r>
          </w:p>
          <w:p w:rsidRPr="00D13E71" w:rsidR="009120C3" w:rsidP="001B0E05" w:rsidRDefault="009120C3" w14:paraId="69E7ADC7" w14:textId="6670B09B">
            <w:pPr>
              <w:pStyle w:val="ListParagraph"/>
              <w:numPr>
                <w:ilvl w:val="1"/>
                <w:numId w:val="155"/>
              </w:numPr>
              <w:ind w:left="743" w:hanging="284"/>
              <w:jc w:val="both"/>
              <w:rPr>
                <w:sz w:val="20"/>
              </w:rPr>
            </w:pPr>
            <w:r>
              <w:rPr>
                <w:sz w:val="20"/>
              </w:rPr>
              <w:t xml:space="preserve">Indications may include: </w:t>
            </w:r>
            <w:r w:rsidRPr="00B20CF3">
              <w:rPr>
                <w:color w:val="2F5496" w:themeColor="accent1" w:themeShade="BF"/>
                <w:sz w:val="20"/>
              </w:rPr>
              <w:t xml:space="preserve">Infants ≤ </w:t>
            </w:r>
            <w:r w:rsidRPr="00B20CF3" w:rsidR="00B20CF3">
              <w:rPr>
                <w:color w:val="2F5496" w:themeColor="accent1" w:themeShade="BF"/>
                <w:sz w:val="20"/>
              </w:rPr>
              <w:t>28</w:t>
            </w:r>
            <w:r w:rsidRPr="00B20CF3">
              <w:rPr>
                <w:color w:val="2F5496" w:themeColor="accent1" w:themeShade="BF"/>
                <w:sz w:val="20"/>
              </w:rPr>
              <w:t xml:space="preserve"> weeks gestation at birth or &lt; 1</w:t>
            </w:r>
            <w:r w:rsidRPr="00B20CF3" w:rsidR="00B20CF3">
              <w:rPr>
                <w:color w:val="2F5496" w:themeColor="accent1" w:themeShade="BF"/>
                <w:sz w:val="20"/>
              </w:rPr>
              <w:t>0</w:t>
            </w:r>
            <w:r w:rsidRPr="00B20CF3">
              <w:rPr>
                <w:color w:val="2F5496" w:themeColor="accent1" w:themeShade="BF"/>
                <w:sz w:val="20"/>
              </w:rPr>
              <w:t xml:space="preserve">00 g birth </w:t>
            </w:r>
            <w:r w:rsidRPr="00D13E71">
              <w:rPr>
                <w:sz w:val="20"/>
              </w:rPr>
              <w:t xml:space="preserve">weight or </w:t>
            </w:r>
            <w:r w:rsidRPr="001B0E05">
              <w:rPr>
                <w:color w:val="2F5496" w:themeColor="accent1" w:themeShade="BF"/>
                <w:sz w:val="20"/>
              </w:rPr>
              <w:t xml:space="preserve">infants with risk factors </w:t>
            </w:r>
            <w:r w:rsidRPr="00D13E71">
              <w:rPr>
                <w:sz w:val="20"/>
              </w:rPr>
              <w:t>including use of broad</w:t>
            </w:r>
            <w:r>
              <w:rPr>
                <w:sz w:val="20"/>
              </w:rPr>
              <w:t>-</w:t>
            </w:r>
            <w:r w:rsidRPr="00D13E71">
              <w:rPr>
                <w:sz w:val="20"/>
              </w:rPr>
              <w:t>spectrum antibiotics, central venous access device (PICC/UVC/CVC), parenteral nutrition or inhaled steroids.</w:t>
            </w:r>
          </w:p>
          <w:p w:rsidRPr="00D13E71" w:rsidR="009120C3" w:rsidP="001B0E05" w:rsidRDefault="009120C3" w14:paraId="7802880D" w14:textId="77777777">
            <w:pPr>
              <w:pStyle w:val="ListParagraph"/>
              <w:numPr>
                <w:ilvl w:val="0"/>
                <w:numId w:val="155"/>
              </w:numPr>
              <w:jc w:val="both"/>
              <w:rPr>
                <w:sz w:val="20"/>
              </w:rPr>
            </w:pPr>
            <w:r w:rsidRPr="00D13E71">
              <w:rPr>
                <w:sz w:val="20"/>
              </w:rPr>
              <w:t>Treatment of mucocutaneous candidiasis.</w:t>
            </w:r>
          </w:p>
        </w:tc>
      </w:tr>
      <w:tr w:rsidRPr="003A7895" w:rsidR="009120C3" w:rsidTr="009120C3" w14:paraId="73FAE6BC" w14:textId="77777777">
        <w:trPr>
          <w:trHeight w:val="70"/>
        </w:trPr>
        <w:tc>
          <w:tcPr>
            <w:tcW w:w="1730" w:type="dxa"/>
          </w:tcPr>
          <w:p w:rsidRPr="00B53E9B" w:rsidR="009120C3" w:rsidP="00131848" w:rsidRDefault="009120C3" w14:paraId="37315061" w14:textId="77777777">
            <w:pPr>
              <w:pStyle w:val="BodyText"/>
              <w:rPr>
                <w:rFonts w:cs="Arial"/>
                <w:b/>
                <w:bCs/>
                <w:sz w:val="20"/>
              </w:rPr>
            </w:pPr>
            <w:r w:rsidRPr="00B53E9B">
              <w:rPr>
                <w:rFonts w:cs="Arial"/>
                <w:b/>
                <w:bCs/>
                <w:sz w:val="20"/>
              </w:rPr>
              <w:t>Action</w:t>
            </w:r>
          </w:p>
        </w:tc>
        <w:tc>
          <w:tcPr>
            <w:tcW w:w="7371" w:type="dxa"/>
          </w:tcPr>
          <w:p w:rsidRPr="0087434E" w:rsidR="009120C3" w:rsidP="00131848" w:rsidRDefault="009120C3" w14:paraId="79E57D0A" w14:textId="77777777">
            <w:pPr>
              <w:rPr>
                <w:rFonts w:cs="Arial"/>
                <w:sz w:val="20"/>
              </w:rPr>
            </w:pPr>
            <w:r w:rsidRPr="0087434E">
              <w:rPr>
                <w:sz w:val="20"/>
              </w:rPr>
              <w:t>Fungicidal agent</w:t>
            </w:r>
            <w:r>
              <w:rPr>
                <w:sz w:val="20"/>
              </w:rPr>
              <w:t>. C</w:t>
            </w:r>
            <w:r w:rsidRPr="0087434E">
              <w:rPr>
                <w:sz w:val="20"/>
              </w:rPr>
              <w:t>ombin</w:t>
            </w:r>
            <w:r>
              <w:rPr>
                <w:sz w:val="20"/>
              </w:rPr>
              <w:t>es</w:t>
            </w:r>
            <w:r w:rsidRPr="0087434E">
              <w:rPr>
                <w:sz w:val="20"/>
              </w:rPr>
              <w:t xml:space="preserve"> with the sterol elements of fungal cell membranes causing cell death</w:t>
            </w:r>
            <w:r>
              <w:rPr>
                <w:sz w:val="20"/>
              </w:rPr>
              <w:t>.</w:t>
            </w:r>
          </w:p>
        </w:tc>
      </w:tr>
      <w:tr w:rsidRPr="003A7895" w:rsidR="009120C3" w:rsidTr="009120C3" w14:paraId="224D7BF1" w14:textId="77777777">
        <w:trPr>
          <w:trHeight w:val="266"/>
        </w:trPr>
        <w:tc>
          <w:tcPr>
            <w:tcW w:w="1730" w:type="dxa"/>
          </w:tcPr>
          <w:p w:rsidRPr="00B53E9B" w:rsidR="009120C3" w:rsidP="00131848" w:rsidRDefault="009120C3" w14:paraId="7B72AF1B" w14:textId="77777777">
            <w:pPr>
              <w:pStyle w:val="BodyText"/>
              <w:rPr>
                <w:rFonts w:cs="Arial"/>
                <w:sz w:val="20"/>
              </w:rPr>
            </w:pPr>
            <w:r>
              <w:rPr>
                <w:rFonts w:cs="Arial"/>
                <w:b/>
                <w:bCs/>
                <w:sz w:val="20"/>
              </w:rPr>
              <w:t>Drug t</w:t>
            </w:r>
            <w:r w:rsidRPr="00B53E9B">
              <w:rPr>
                <w:rFonts w:cs="Arial"/>
                <w:b/>
                <w:bCs/>
                <w:sz w:val="20"/>
              </w:rPr>
              <w:t>ype</w:t>
            </w:r>
          </w:p>
        </w:tc>
        <w:tc>
          <w:tcPr>
            <w:tcW w:w="7371" w:type="dxa"/>
          </w:tcPr>
          <w:p w:rsidRPr="0087434E" w:rsidR="009120C3" w:rsidP="00131848" w:rsidRDefault="009120C3" w14:paraId="79B4A5E7" w14:textId="77777777">
            <w:pPr>
              <w:pStyle w:val="BodyText"/>
              <w:rPr>
                <w:rFonts w:cs="Arial"/>
                <w:sz w:val="20"/>
              </w:rPr>
            </w:pPr>
            <w:r w:rsidRPr="0087434E">
              <w:rPr>
                <w:sz w:val="20"/>
              </w:rPr>
              <w:t>Polyene antibiotic</w:t>
            </w:r>
            <w:r>
              <w:rPr>
                <w:sz w:val="20"/>
              </w:rPr>
              <w:t>.</w:t>
            </w:r>
          </w:p>
        </w:tc>
      </w:tr>
      <w:tr w:rsidRPr="003A7895" w:rsidR="009120C3" w:rsidTr="009120C3" w14:paraId="141091C0" w14:textId="77777777">
        <w:trPr>
          <w:trHeight w:val="114"/>
        </w:trPr>
        <w:tc>
          <w:tcPr>
            <w:tcW w:w="1730" w:type="dxa"/>
          </w:tcPr>
          <w:p w:rsidRPr="00B53E9B" w:rsidR="009120C3" w:rsidP="00131848" w:rsidRDefault="009120C3" w14:paraId="11988B1E"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371" w:type="dxa"/>
          </w:tcPr>
          <w:p w:rsidRPr="0087434E" w:rsidR="009120C3" w:rsidP="00131848" w:rsidRDefault="009120C3" w14:paraId="241DCB14" w14:textId="77777777">
            <w:pPr>
              <w:pStyle w:val="BodyText"/>
              <w:rPr>
                <w:sz w:val="20"/>
              </w:rPr>
            </w:pPr>
            <w:r w:rsidRPr="0087434E">
              <w:rPr>
                <w:sz w:val="20"/>
              </w:rPr>
              <w:t>Nilstat oral drops, Mycostatin oral drops</w:t>
            </w:r>
            <w:r>
              <w:rPr>
                <w:sz w:val="20"/>
              </w:rPr>
              <w:t>, Pharmacy Action Nystatin Oral Drops, Trust Nystatin Oral Drops.</w:t>
            </w:r>
          </w:p>
          <w:p w:rsidRPr="0087434E" w:rsidR="009120C3" w:rsidP="00131848" w:rsidRDefault="009120C3" w14:paraId="26047531" w14:textId="77777777">
            <w:pPr>
              <w:pStyle w:val="BodyText"/>
              <w:rPr>
                <w:rFonts w:cs="Arial"/>
                <w:sz w:val="20"/>
              </w:rPr>
            </w:pPr>
            <w:r w:rsidRPr="0087434E">
              <w:rPr>
                <w:sz w:val="20"/>
              </w:rPr>
              <w:t>Mycostatin topical cream</w:t>
            </w:r>
            <w:r>
              <w:rPr>
                <w:sz w:val="20"/>
              </w:rPr>
              <w:t>.</w:t>
            </w:r>
          </w:p>
        </w:tc>
      </w:tr>
      <w:tr w:rsidRPr="003A7895" w:rsidR="009120C3" w:rsidTr="009120C3" w14:paraId="6284CF99" w14:textId="77777777">
        <w:trPr>
          <w:trHeight w:val="70"/>
        </w:trPr>
        <w:tc>
          <w:tcPr>
            <w:tcW w:w="1730" w:type="dxa"/>
          </w:tcPr>
          <w:p w:rsidRPr="00B53E9B" w:rsidR="009120C3" w:rsidP="00131848" w:rsidRDefault="009120C3" w14:paraId="5AB42806" w14:textId="77777777">
            <w:pPr>
              <w:pStyle w:val="BodyText"/>
              <w:rPr>
                <w:rFonts w:cs="Arial"/>
                <w:b/>
                <w:bCs/>
                <w:sz w:val="20"/>
              </w:rPr>
            </w:pPr>
            <w:r w:rsidRPr="00B53E9B">
              <w:rPr>
                <w:rFonts w:cs="Arial"/>
                <w:b/>
                <w:bCs/>
                <w:sz w:val="20"/>
              </w:rPr>
              <w:t xml:space="preserve">Presentation </w:t>
            </w:r>
          </w:p>
        </w:tc>
        <w:tc>
          <w:tcPr>
            <w:tcW w:w="7371" w:type="dxa"/>
          </w:tcPr>
          <w:p w:rsidR="009120C3" w:rsidP="00131848" w:rsidRDefault="009120C3" w14:paraId="4C704DA3" w14:textId="77777777">
            <w:pPr>
              <w:pStyle w:val="BodyText"/>
              <w:ind w:left="34"/>
              <w:rPr>
                <w:rFonts w:cs="Arial"/>
                <w:sz w:val="20"/>
              </w:rPr>
            </w:pPr>
            <w:r w:rsidRPr="0087434E">
              <w:rPr>
                <w:rFonts w:cs="Arial"/>
                <w:sz w:val="20"/>
              </w:rPr>
              <w:t>Oral drops (100,000 units/mL)</w:t>
            </w:r>
          </w:p>
          <w:p w:rsidR="009120C3" w:rsidP="00131848" w:rsidRDefault="009120C3" w14:paraId="0B5F4FCB" w14:textId="77777777">
            <w:pPr>
              <w:pStyle w:val="BodyText"/>
              <w:ind w:left="34"/>
              <w:rPr>
                <w:rFonts w:cs="Arial"/>
                <w:sz w:val="20"/>
              </w:rPr>
            </w:pPr>
            <w:r w:rsidRPr="0087434E">
              <w:rPr>
                <w:rFonts w:cs="Arial"/>
                <w:sz w:val="20"/>
              </w:rPr>
              <w:t>Topical cream (for cutaneous application)</w:t>
            </w:r>
            <w:r>
              <w:rPr>
                <w:rFonts w:cs="Arial"/>
                <w:sz w:val="20"/>
              </w:rPr>
              <w:t xml:space="preserve"> (100,000 units/g)</w:t>
            </w:r>
          </w:p>
        </w:tc>
      </w:tr>
      <w:tr w:rsidRPr="000E2236" w:rsidR="009120C3" w:rsidTr="009120C3" w14:paraId="1D10A75A" w14:textId="77777777">
        <w:trPr>
          <w:trHeight w:val="70"/>
        </w:trPr>
        <w:tc>
          <w:tcPr>
            <w:tcW w:w="1730" w:type="dxa"/>
          </w:tcPr>
          <w:p w:rsidRPr="00B53E9B" w:rsidR="009120C3" w:rsidP="00131848" w:rsidRDefault="009120C3" w14:paraId="1C1D0AE8" w14:textId="77777777">
            <w:pPr>
              <w:pStyle w:val="BodyText"/>
              <w:rPr>
                <w:rFonts w:cs="Arial"/>
                <w:b/>
                <w:bCs/>
                <w:sz w:val="20"/>
              </w:rPr>
            </w:pPr>
            <w:r>
              <w:rPr>
                <w:rFonts w:cs="Arial"/>
                <w:b/>
                <w:bCs/>
                <w:sz w:val="20"/>
              </w:rPr>
              <w:t>Dose</w:t>
            </w:r>
            <w:r w:rsidRPr="00B53E9B">
              <w:rPr>
                <w:rFonts w:cs="Arial"/>
                <w:b/>
                <w:bCs/>
                <w:sz w:val="20"/>
              </w:rPr>
              <w:t xml:space="preserve"> </w:t>
            </w:r>
          </w:p>
        </w:tc>
        <w:tc>
          <w:tcPr>
            <w:tcW w:w="7371" w:type="dxa"/>
          </w:tcPr>
          <w:p w:rsidRPr="0087434E" w:rsidR="009120C3" w:rsidP="001B0E05" w:rsidRDefault="009120C3" w14:paraId="21383675" w14:textId="77777777">
            <w:pPr>
              <w:pStyle w:val="BodyText"/>
              <w:numPr>
                <w:ilvl w:val="0"/>
                <w:numId w:val="153"/>
              </w:numPr>
              <w:overflowPunct w:val="0"/>
              <w:autoSpaceDE w:val="0"/>
              <w:autoSpaceDN w:val="0"/>
              <w:adjustRightInd w:val="0"/>
              <w:jc w:val="left"/>
              <w:textAlignment w:val="baseline"/>
              <w:rPr>
                <w:rFonts w:cs="Arial"/>
                <w:sz w:val="20"/>
              </w:rPr>
            </w:pPr>
            <w:r w:rsidRPr="0087434E">
              <w:rPr>
                <w:rFonts w:cs="Arial"/>
                <w:sz w:val="20"/>
              </w:rPr>
              <w:t xml:space="preserve">Prophylaxis of </w:t>
            </w:r>
            <w:r w:rsidRPr="0087434E">
              <w:rPr>
                <w:sz w:val="20"/>
              </w:rPr>
              <w:t>invasive fungal infection</w:t>
            </w:r>
            <w:r w:rsidRPr="0087434E">
              <w:rPr>
                <w:rFonts w:cs="Arial"/>
                <w:sz w:val="20"/>
              </w:rPr>
              <w:t xml:space="preserve">: </w:t>
            </w:r>
          </w:p>
          <w:p w:rsidRPr="0087434E" w:rsidR="009120C3" w:rsidP="00131848" w:rsidRDefault="009120C3" w14:paraId="048DE79F" w14:textId="77777777">
            <w:pPr>
              <w:pStyle w:val="BodyText"/>
              <w:ind w:left="720"/>
              <w:rPr>
                <w:rFonts w:cs="Arial"/>
                <w:sz w:val="20"/>
              </w:rPr>
            </w:pPr>
            <w:r w:rsidRPr="0087434E">
              <w:rPr>
                <w:rFonts w:cs="Arial"/>
                <w:sz w:val="20"/>
              </w:rPr>
              <w:t>1 mL of oral drops every 8 hours</w:t>
            </w:r>
            <w:r>
              <w:rPr>
                <w:rFonts w:cs="Arial"/>
                <w:sz w:val="20"/>
              </w:rPr>
              <w:t>.</w:t>
            </w:r>
          </w:p>
          <w:p w:rsidRPr="0087434E" w:rsidR="009120C3" w:rsidP="001B0E05" w:rsidRDefault="009120C3" w14:paraId="52FB6C51" w14:textId="77777777">
            <w:pPr>
              <w:pStyle w:val="BodyText"/>
              <w:numPr>
                <w:ilvl w:val="0"/>
                <w:numId w:val="153"/>
              </w:numPr>
              <w:overflowPunct w:val="0"/>
              <w:autoSpaceDE w:val="0"/>
              <w:autoSpaceDN w:val="0"/>
              <w:adjustRightInd w:val="0"/>
              <w:jc w:val="left"/>
              <w:textAlignment w:val="baseline"/>
              <w:rPr>
                <w:rFonts w:cs="Arial"/>
                <w:sz w:val="20"/>
              </w:rPr>
            </w:pPr>
            <w:r w:rsidRPr="0087434E">
              <w:rPr>
                <w:rFonts w:cs="Arial"/>
                <w:sz w:val="20"/>
              </w:rPr>
              <w:t>Treatment of oral candidiasis (thrush):</w:t>
            </w:r>
          </w:p>
          <w:p w:rsidRPr="0087434E" w:rsidR="009120C3" w:rsidP="00131848" w:rsidRDefault="009120C3" w14:paraId="12774A0D" w14:textId="77777777">
            <w:pPr>
              <w:pStyle w:val="BodyText"/>
              <w:ind w:left="720"/>
              <w:rPr>
                <w:rFonts w:cs="Arial"/>
                <w:sz w:val="20"/>
              </w:rPr>
            </w:pPr>
            <w:r w:rsidRPr="0087434E">
              <w:rPr>
                <w:rFonts w:cs="Arial"/>
                <w:sz w:val="20"/>
              </w:rPr>
              <w:t>1 mL of oral drops every 6 hours</w:t>
            </w:r>
            <w:r>
              <w:rPr>
                <w:rFonts w:cs="Arial"/>
                <w:sz w:val="20"/>
              </w:rPr>
              <w:t>. Can be given more frequently in severe/resistant thrush.</w:t>
            </w:r>
          </w:p>
          <w:p w:rsidRPr="0087434E" w:rsidR="009120C3" w:rsidP="001B0E05" w:rsidRDefault="009120C3" w14:paraId="05609A69" w14:textId="77777777">
            <w:pPr>
              <w:pStyle w:val="BodyText"/>
              <w:numPr>
                <w:ilvl w:val="0"/>
                <w:numId w:val="153"/>
              </w:numPr>
              <w:overflowPunct w:val="0"/>
              <w:autoSpaceDE w:val="0"/>
              <w:autoSpaceDN w:val="0"/>
              <w:adjustRightInd w:val="0"/>
              <w:jc w:val="left"/>
              <w:textAlignment w:val="baseline"/>
              <w:rPr>
                <w:rFonts w:cs="Arial"/>
                <w:b/>
                <w:sz w:val="20"/>
              </w:rPr>
            </w:pPr>
            <w:r w:rsidRPr="0087434E">
              <w:rPr>
                <w:rFonts w:cs="Arial"/>
                <w:sz w:val="20"/>
              </w:rPr>
              <w:t>Treatment of candida dermatitis:</w:t>
            </w:r>
          </w:p>
          <w:p w:rsidRPr="0087434E" w:rsidR="009120C3" w:rsidP="00131848" w:rsidRDefault="009120C3" w14:paraId="66105EC5" w14:textId="77777777">
            <w:pPr>
              <w:pStyle w:val="BodyText"/>
              <w:ind w:left="720"/>
              <w:rPr>
                <w:rFonts w:cs="Arial"/>
                <w:b/>
                <w:sz w:val="20"/>
              </w:rPr>
            </w:pPr>
            <w:r w:rsidRPr="0087434E">
              <w:rPr>
                <w:rFonts w:cs="Arial"/>
                <w:sz w:val="20"/>
              </w:rPr>
              <w:t>Local application of cream twice a day</w:t>
            </w:r>
            <w:r>
              <w:rPr>
                <w:rFonts w:cs="Arial"/>
                <w:sz w:val="20"/>
              </w:rPr>
              <w:t xml:space="preserve">. </w:t>
            </w:r>
            <w:r w:rsidRPr="0038507E">
              <w:rPr>
                <w:rFonts w:cs="Arial"/>
                <w:sz w:val="20"/>
              </w:rPr>
              <w:t xml:space="preserve">Can be </w:t>
            </w:r>
            <w:r>
              <w:rPr>
                <w:rFonts w:cs="Arial"/>
                <w:sz w:val="20"/>
              </w:rPr>
              <w:t>applied</w:t>
            </w:r>
            <w:r w:rsidRPr="0038507E">
              <w:rPr>
                <w:rFonts w:cs="Arial"/>
                <w:sz w:val="20"/>
              </w:rPr>
              <w:t xml:space="preserve"> more freq</w:t>
            </w:r>
            <w:r>
              <w:rPr>
                <w:rFonts w:cs="Arial"/>
                <w:sz w:val="20"/>
              </w:rPr>
              <w:t>uently in severe/resistant cases.</w:t>
            </w:r>
          </w:p>
        </w:tc>
      </w:tr>
      <w:tr w:rsidRPr="003A7895" w:rsidR="009120C3" w:rsidTr="009120C3" w14:paraId="7A7B027B" w14:textId="77777777">
        <w:trPr>
          <w:trHeight w:val="154"/>
        </w:trPr>
        <w:tc>
          <w:tcPr>
            <w:tcW w:w="1730" w:type="dxa"/>
          </w:tcPr>
          <w:p w:rsidRPr="00B53E9B" w:rsidR="009120C3" w:rsidP="00131848" w:rsidRDefault="009120C3" w14:paraId="22F0DDDF" w14:textId="77777777">
            <w:pPr>
              <w:pStyle w:val="BodyText"/>
              <w:rPr>
                <w:b/>
                <w:sz w:val="20"/>
              </w:rPr>
            </w:pPr>
            <w:r w:rsidRPr="00B53E9B">
              <w:rPr>
                <w:b/>
                <w:sz w:val="20"/>
              </w:rPr>
              <w:t>Dose adjustment</w:t>
            </w:r>
          </w:p>
        </w:tc>
        <w:tc>
          <w:tcPr>
            <w:tcW w:w="7371" w:type="dxa"/>
          </w:tcPr>
          <w:p w:rsidRPr="00026F20" w:rsidR="009120C3" w:rsidP="00131848" w:rsidRDefault="009120C3" w14:paraId="0D7C7401" w14:textId="77777777">
            <w:pPr>
              <w:pStyle w:val="BodyText"/>
              <w:rPr>
                <w:sz w:val="20"/>
              </w:rPr>
            </w:pPr>
          </w:p>
        </w:tc>
      </w:tr>
      <w:tr w:rsidRPr="003A7895" w:rsidR="009120C3" w:rsidTr="009120C3" w14:paraId="6994955E" w14:textId="77777777">
        <w:trPr>
          <w:trHeight w:val="113"/>
        </w:trPr>
        <w:tc>
          <w:tcPr>
            <w:tcW w:w="1730" w:type="dxa"/>
          </w:tcPr>
          <w:p w:rsidRPr="00B53E9B" w:rsidR="009120C3" w:rsidP="00131848" w:rsidRDefault="009120C3" w14:paraId="5C1B2AC2" w14:textId="77777777">
            <w:pPr>
              <w:pStyle w:val="BodyText"/>
              <w:rPr>
                <w:b/>
                <w:sz w:val="20"/>
              </w:rPr>
            </w:pPr>
            <w:r w:rsidRPr="00B53E9B">
              <w:rPr>
                <w:b/>
                <w:sz w:val="20"/>
              </w:rPr>
              <w:t>Maximum dose</w:t>
            </w:r>
          </w:p>
        </w:tc>
        <w:tc>
          <w:tcPr>
            <w:tcW w:w="7371" w:type="dxa"/>
          </w:tcPr>
          <w:p w:rsidRPr="00026F20" w:rsidR="009120C3" w:rsidP="00131848" w:rsidRDefault="009120C3" w14:paraId="19443AE8" w14:textId="77777777">
            <w:pPr>
              <w:pStyle w:val="BodyText"/>
              <w:rPr>
                <w:sz w:val="20"/>
              </w:rPr>
            </w:pPr>
          </w:p>
        </w:tc>
      </w:tr>
      <w:tr w:rsidRPr="003A7895" w:rsidR="009120C3" w:rsidTr="009120C3" w14:paraId="13CE0BD2" w14:textId="77777777">
        <w:trPr>
          <w:trHeight w:val="144"/>
        </w:trPr>
        <w:tc>
          <w:tcPr>
            <w:tcW w:w="1730" w:type="dxa"/>
          </w:tcPr>
          <w:p w:rsidRPr="00B53E9B" w:rsidR="009120C3" w:rsidP="00131848" w:rsidRDefault="009120C3" w14:paraId="0433351B" w14:textId="77777777">
            <w:pPr>
              <w:pStyle w:val="BodyText"/>
              <w:rPr>
                <w:rFonts w:cs="Arial"/>
                <w:b/>
                <w:bCs/>
                <w:sz w:val="20"/>
              </w:rPr>
            </w:pPr>
            <w:r w:rsidRPr="00B53E9B">
              <w:rPr>
                <w:b/>
                <w:sz w:val="20"/>
              </w:rPr>
              <w:t>Total cumulative dose</w:t>
            </w:r>
          </w:p>
        </w:tc>
        <w:tc>
          <w:tcPr>
            <w:tcW w:w="7371" w:type="dxa"/>
          </w:tcPr>
          <w:p w:rsidRPr="00026F20" w:rsidR="009120C3" w:rsidP="00131848" w:rsidRDefault="009120C3" w14:paraId="3B890D3F" w14:textId="77777777">
            <w:pPr>
              <w:pStyle w:val="BodyText"/>
              <w:rPr>
                <w:rFonts w:cs="Arial"/>
                <w:b/>
                <w:sz w:val="20"/>
              </w:rPr>
            </w:pPr>
          </w:p>
        </w:tc>
      </w:tr>
      <w:tr w:rsidRPr="003A7895" w:rsidR="009120C3" w:rsidTr="009120C3" w14:paraId="3F200B67" w14:textId="77777777">
        <w:trPr>
          <w:trHeight w:val="294"/>
        </w:trPr>
        <w:tc>
          <w:tcPr>
            <w:tcW w:w="1730" w:type="dxa"/>
          </w:tcPr>
          <w:p w:rsidRPr="00B53E9B" w:rsidR="009120C3" w:rsidP="00131848" w:rsidRDefault="009120C3" w14:paraId="62A83A46" w14:textId="77777777">
            <w:pPr>
              <w:pStyle w:val="BodyText"/>
              <w:rPr>
                <w:rFonts w:cs="Arial"/>
                <w:sz w:val="20"/>
              </w:rPr>
            </w:pPr>
            <w:r w:rsidRPr="00B53E9B">
              <w:rPr>
                <w:rFonts w:cs="Arial"/>
                <w:b/>
                <w:bCs/>
                <w:sz w:val="20"/>
              </w:rPr>
              <w:t xml:space="preserve">Route </w:t>
            </w:r>
          </w:p>
        </w:tc>
        <w:tc>
          <w:tcPr>
            <w:tcW w:w="7371" w:type="dxa"/>
          </w:tcPr>
          <w:p w:rsidR="009120C3" w:rsidP="00131848" w:rsidRDefault="009120C3" w14:paraId="6AD0781A" w14:textId="77777777">
            <w:pPr>
              <w:pStyle w:val="BodyText"/>
              <w:rPr>
                <w:rFonts w:cs="Arial"/>
                <w:sz w:val="20"/>
              </w:rPr>
            </w:pPr>
            <w:r w:rsidRPr="0087434E">
              <w:rPr>
                <w:rFonts w:cs="Arial"/>
                <w:sz w:val="20"/>
              </w:rPr>
              <w:t xml:space="preserve">Oral </w:t>
            </w:r>
          </w:p>
          <w:p w:rsidR="009120C3" w:rsidP="00131848" w:rsidRDefault="009120C3" w14:paraId="5A9C7421" w14:textId="77777777">
            <w:pPr>
              <w:pStyle w:val="BodyText"/>
              <w:rPr>
                <w:rFonts w:cs="Arial"/>
                <w:sz w:val="20"/>
              </w:rPr>
            </w:pPr>
            <w:r w:rsidRPr="0087434E">
              <w:rPr>
                <w:rFonts w:cs="Arial"/>
                <w:sz w:val="20"/>
              </w:rPr>
              <w:t>Topical application on the skin</w:t>
            </w:r>
          </w:p>
        </w:tc>
      </w:tr>
      <w:tr w:rsidRPr="003A7895" w:rsidR="009120C3" w:rsidTr="009120C3" w14:paraId="5E99D55B" w14:textId="77777777">
        <w:trPr>
          <w:trHeight w:val="93"/>
        </w:trPr>
        <w:tc>
          <w:tcPr>
            <w:tcW w:w="1730" w:type="dxa"/>
          </w:tcPr>
          <w:p w:rsidRPr="00B53E9B" w:rsidR="009120C3" w:rsidP="00131848" w:rsidRDefault="009120C3" w14:paraId="4B623A18"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371" w:type="dxa"/>
          </w:tcPr>
          <w:p w:rsidRPr="00026F20" w:rsidR="009120C3" w:rsidP="00131848" w:rsidRDefault="009120C3" w14:paraId="125B9618" w14:textId="77777777">
            <w:pPr>
              <w:pStyle w:val="BodyText"/>
              <w:rPr>
                <w:rFonts w:cs="Arial"/>
                <w:sz w:val="20"/>
              </w:rPr>
            </w:pPr>
          </w:p>
        </w:tc>
      </w:tr>
      <w:tr w:rsidRPr="003A7895" w:rsidR="009120C3" w:rsidTr="009120C3" w14:paraId="25B9CE5B" w14:textId="77777777">
        <w:trPr>
          <w:trHeight w:val="224"/>
        </w:trPr>
        <w:tc>
          <w:tcPr>
            <w:tcW w:w="1730" w:type="dxa"/>
          </w:tcPr>
          <w:p w:rsidRPr="00B53E9B" w:rsidR="009120C3" w:rsidP="00131848" w:rsidRDefault="009120C3" w14:paraId="4E9AFE91" w14:textId="77777777">
            <w:pPr>
              <w:pStyle w:val="BodyText"/>
              <w:rPr>
                <w:rFonts w:cs="Arial"/>
                <w:b/>
                <w:bCs/>
                <w:sz w:val="20"/>
              </w:rPr>
            </w:pPr>
            <w:r w:rsidRPr="00B53E9B">
              <w:rPr>
                <w:rFonts w:cs="Arial"/>
                <w:b/>
                <w:bCs/>
                <w:sz w:val="20"/>
              </w:rPr>
              <w:t xml:space="preserve">Administration </w:t>
            </w:r>
          </w:p>
        </w:tc>
        <w:tc>
          <w:tcPr>
            <w:tcW w:w="7371" w:type="dxa"/>
            <w:vAlign w:val="center"/>
          </w:tcPr>
          <w:p w:rsidRPr="0087434E" w:rsidR="009120C3" w:rsidP="001B0E05" w:rsidRDefault="009120C3" w14:paraId="2B24D9D8" w14:textId="77777777">
            <w:pPr>
              <w:pStyle w:val="BodyText"/>
              <w:numPr>
                <w:ilvl w:val="0"/>
                <w:numId w:val="154"/>
              </w:numPr>
              <w:overflowPunct w:val="0"/>
              <w:autoSpaceDE w:val="0"/>
              <w:autoSpaceDN w:val="0"/>
              <w:adjustRightInd w:val="0"/>
              <w:jc w:val="left"/>
              <w:textAlignment w:val="baseline"/>
              <w:rPr>
                <w:rFonts w:cs="Arial"/>
                <w:sz w:val="20"/>
              </w:rPr>
            </w:pPr>
            <w:r w:rsidRPr="0087434E">
              <w:rPr>
                <w:rFonts w:cs="Arial"/>
                <w:sz w:val="20"/>
              </w:rPr>
              <w:t xml:space="preserve">Prophylaxis with oral drops: Shake well before withdrawing the dose. Administer after a feed (if not NBM). </w:t>
            </w:r>
            <w:r>
              <w:rPr>
                <w:rFonts w:cs="Arial"/>
                <w:sz w:val="20"/>
              </w:rPr>
              <w:t xml:space="preserve">Use the whole dose to saturate cotton bud and paint the inside of the mouth. </w:t>
            </w:r>
            <w:r w:rsidRPr="0087434E">
              <w:rPr>
                <w:rFonts w:cs="Arial"/>
                <w:sz w:val="20"/>
              </w:rPr>
              <w:t xml:space="preserve"> </w:t>
            </w:r>
            <w:r>
              <w:rPr>
                <w:rFonts w:cs="Arial"/>
                <w:sz w:val="20"/>
              </w:rPr>
              <w:t xml:space="preserve">Alternatively, </w:t>
            </w:r>
            <w:r w:rsidRPr="0087434E">
              <w:rPr>
                <w:rFonts w:cs="Arial"/>
                <w:sz w:val="20"/>
              </w:rPr>
              <w:t xml:space="preserve">0.5 mL </w:t>
            </w:r>
            <w:r>
              <w:rPr>
                <w:rFonts w:cs="Arial"/>
                <w:sz w:val="20"/>
              </w:rPr>
              <w:t xml:space="preserve">can be given </w:t>
            </w:r>
            <w:r w:rsidRPr="0087434E">
              <w:rPr>
                <w:rFonts w:cs="Arial"/>
                <w:sz w:val="20"/>
              </w:rPr>
              <w:t>through the feeding tube and flus</w:t>
            </w:r>
            <w:r>
              <w:rPr>
                <w:rFonts w:cs="Arial"/>
                <w:sz w:val="20"/>
              </w:rPr>
              <w:t>hed</w:t>
            </w:r>
            <w:r w:rsidRPr="0087434E">
              <w:rPr>
                <w:rFonts w:cs="Arial"/>
                <w:sz w:val="20"/>
              </w:rPr>
              <w:t xml:space="preserve"> with a bolus of air (1 mL for a 5 Fg tube, 2 mL for an 8 Fg tube). Use the other 0.5 mL to saturate a cotton bud and paint the inside of the infant’s mouth.</w:t>
            </w:r>
          </w:p>
          <w:p w:rsidRPr="0087434E" w:rsidR="009120C3" w:rsidP="001B0E05" w:rsidRDefault="009120C3" w14:paraId="3FC5ECCA" w14:textId="77777777">
            <w:pPr>
              <w:pStyle w:val="BodyText"/>
              <w:numPr>
                <w:ilvl w:val="0"/>
                <w:numId w:val="154"/>
              </w:numPr>
              <w:overflowPunct w:val="0"/>
              <w:autoSpaceDE w:val="0"/>
              <w:autoSpaceDN w:val="0"/>
              <w:adjustRightInd w:val="0"/>
              <w:jc w:val="left"/>
              <w:textAlignment w:val="baseline"/>
              <w:rPr>
                <w:rFonts w:cs="Arial"/>
                <w:sz w:val="20"/>
              </w:rPr>
            </w:pPr>
            <w:r w:rsidRPr="0087434E">
              <w:rPr>
                <w:rFonts w:cs="Arial"/>
                <w:sz w:val="20"/>
              </w:rPr>
              <w:t>Treatment of oral thrush with oral drops: Use the entire dose to paint the inside of the infant’s mouth.</w:t>
            </w:r>
          </w:p>
          <w:p w:rsidRPr="0087434E" w:rsidR="009120C3" w:rsidP="001B0E05" w:rsidRDefault="009120C3" w14:paraId="2719D980" w14:textId="77777777">
            <w:pPr>
              <w:pStyle w:val="BodyText"/>
              <w:numPr>
                <w:ilvl w:val="0"/>
                <w:numId w:val="154"/>
              </w:numPr>
              <w:overflowPunct w:val="0"/>
              <w:autoSpaceDE w:val="0"/>
              <w:autoSpaceDN w:val="0"/>
              <w:adjustRightInd w:val="0"/>
              <w:jc w:val="left"/>
              <w:textAlignment w:val="baseline"/>
              <w:rPr>
                <w:rFonts w:cs="Arial"/>
                <w:sz w:val="20"/>
              </w:rPr>
            </w:pPr>
            <w:r w:rsidRPr="0087434E">
              <w:rPr>
                <w:rFonts w:cs="Arial"/>
                <w:sz w:val="20"/>
              </w:rPr>
              <w:t>Treatment of dermatitis: Dry the skin thoroughly and apply the cream</w:t>
            </w:r>
            <w:r>
              <w:rPr>
                <w:rFonts w:cs="Arial"/>
                <w:sz w:val="20"/>
              </w:rPr>
              <w:t xml:space="preserve"> liberally</w:t>
            </w:r>
            <w:r w:rsidRPr="0087434E">
              <w:rPr>
                <w:rFonts w:cs="Arial"/>
                <w:sz w:val="20"/>
              </w:rPr>
              <w:t xml:space="preserve"> to the affected area</w:t>
            </w:r>
            <w:r>
              <w:rPr>
                <w:rFonts w:cs="Arial"/>
                <w:sz w:val="20"/>
              </w:rPr>
              <w:t>(s)</w:t>
            </w:r>
            <w:r w:rsidRPr="0087434E">
              <w:rPr>
                <w:rFonts w:cs="Arial"/>
                <w:sz w:val="20"/>
              </w:rPr>
              <w:t>. Leave the skin exposed if feasible.</w:t>
            </w:r>
            <w:r>
              <w:rPr>
                <w:rFonts w:cs="Arial"/>
                <w:sz w:val="20"/>
              </w:rPr>
              <w:t xml:space="preserve"> May need to be reapplied if the cream is wiped off during skin care.</w:t>
            </w:r>
          </w:p>
        </w:tc>
      </w:tr>
      <w:tr w:rsidRPr="003A7895" w:rsidR="009120C3" w:rsidTr="009120C3" w14:paraId="36D0DDBF" w14:textId="77777777">
        <w:trPr>
          <w:trHeight w:val="215"/>
        </w:trPr>
        <w:tc>
          <w:tcPr>
            <w:tcW w:w="1730" w:type="dxa"/>
          </w:tcPr>
          <w:p w:rsidRPr="00B53E9B" w:rsidR="009120C3" w:rsidP="00131848" w:rsidRDefault="009120C3" w14:paraId="642E3E24" w14:textId="77777777">
            <w:pPr>
              <w:pStyle w:val="BodyText"/>
              <w:rPr>
                <w:rFonts w:cs="Arial"/>
                <w:b/>
                <w:bCs/>
                <w:sz w:val="20"/>
              </w:rPr>
            </w:pPr>
            <w:r w:rsidRPr="00B53E9B">
              <w:rPr>
                <w:rFonts w:cs="Arial"/>
                <w:b/>
                <w:bCs/>
                <w:sz w:val="20"/>
              </w:rPr>
              <w:t>Monitoring</w:t>
            </w:r>
          </w:p>
        </w:tc>
        <w:tc>
          <w:tcPr>
            <w:tcW w:w="7371" w:type="dxa"/>
          </w:tcPr>
          <w:p w:rsidRPr="0087434E" w:rsidR="009120C3" w:rsidP="00131848" w:rsidRDefault="009120C3" w14:paraId="5D12D70C" w14:textId="77777777">
            <w:pPr>
              <w:pStyle w:val="BodyText"/>
              <w:rPr>
                <w:rFonts w:cs="Arial"/>
                <w:sz w:val="20"/>
              </w:rPr>
            </w:pPr>
          </w:p>
        </w:tc>
      </w:tr>
      <w:tr w:rsidRPr="003A7895" w:rsidR="009120C3" w:rsidTr="009120C3" w14:paraId="08CD36DB" w14:textId="77777777">
        <w:trPr>
          <w:trHeight w:val="342"/>
        </w:trPr>
        <w:tc>
          <w:tcPr>
            <w:tcW w:w="1730" w:type="dxa"/>
          </w:tcPr>
          <w:p w:rsidRPr="00B53E9B" w:rsidR="009120C3" w:rsidP="00131848" w:rsidRDefault="009120C3" w14:paraId="05D7C1EE" w14:textId="77777777">
            <w:pPr>
              <w:pStyle w:val="BodyText"/>
              <w:rPr>
                <w:rFonts w:cs="Arial"/>
                <w:b/>
                <w:bCs/>
                <w:sz w:val="20"/>
              </w:rPr>
            </w:pPr>
            <w:r w:rsidRPr="00B53E9B">
              <w:rPr>
                <w:rFonts w:cs="Arial"/>
                <w:b/>
                <w:bCs/>
                <w:sz w:val="20"/>
              </w:rPr>
              <w:t>Contraindications</w:t>
            </w:r>
          </w:p>
        </w:tc>
        <w:tc>
          <w:tcPr>
            <w:tcW w:w="7371" w:type="dxa"/>
          </w:tcPr>
          <w:p w:rsidRPr="0087434E" w:rsidR="009120C3" w:rsidP="00131848" w:rsidRDefault="009120C3" w14:paraId="41377D42" w14:textId="77777777">
            <w:pPr>
              <w:pStyle w:val="BodyText"/>
              <w:rPr>
                <w:rFonts w:cs="Arial"/>
                <w:sz w:val="20"/>
              </w:rPr>
            </w:pPr>
            <w:r w:rsidRPr="0087434E">
              <w:rPr>
                <w:sz w:val="20"/>
              </w:rPr>
              <w:t>Known hypersensitivity to nystatin or any other ingredients</w:t>
            </w:r>
            <w:r>
              <w:rPr>
                <w:sz w:val="20"/>
              </w:rPr>
              <w:t>.</w:t>
            </w:r>
          </w:p>
        </w:tc>
      </w:tr>
      <w:tr w:rsidRPr="003A7895" w:rsidR="009120C3" w:rsidTr="009120C3" w14:paraId="54905113" w14:textId="77777777">
        <w:tc>
          <w:tcPr>
            <w:tcW w:w="1730" w:type="dxa"/>
          </w:tcPr>
          <w:p w:rsidRPr="00B53E9B" w:rsidR="009120C3" w:rsidP="00131848" w:rsidRDefault="009120C3" w14:paraId="43BE15EC" w14:textId="77777777">
            <w:pPr>
              <w:pStyle w:val="BodyText"/>
              <w:rPr>
                <w:rFonts w:cs="Arial"/>
                <w:b/>
                <w:bCs/>
                <w:sz w:val="20"/>
              </w:rPr>
            </w:pPr>
            <w:r w:rsidRPr="00B53E9B">
              <w:rPr>
                <w:sz w:val="20"/>
              </w:rPr>
              <w:br w:type="page"/>
            </w:r>
            <w:r w:rsidRPr="00B53E9B">
              <w:rPr>
                <w:rFonts w:cs="Arial"/>
                <w:b/>
                <w:bCs/>
                <w:sz w:val="20"/>
              </w:rPr>
              <w:t>Precautions</w:t>
            </w:r>
          </w:p>
        </w:tc>
        <w:tc>
          <w:tcPr>
            <w:tcW w:w="7371" w:type="dxa"/>
          </w:tcPr>
          <w:p w:rsidRPr="0087434E" w:rsidR="009120C3" w:rsidP="00131848" w:rsidRDefault="009120C3" w14:paraId="6E5BD892" w14:textId="77777777">
            <w:pPr>
              <w:pStyle w:val="BodyText"/>
              <w:rPr>
                <w:rFonts w:cs="Arial"/>
                <w:sz w:val="20"/>
              </w:rPr>
            </w:pPr>
            <w:r w:rsidRPr="0087434E">
              <w:rPr>
                <w:sz w:val="20"/>
              </w:rPr>
              <w:t>None</w:t>
            </w:r>
            <w:r>
              <w:rPr>
                <w:sz w:val="20"/>
              </w:rPr>
              <w:t>.</w:t>
            </w:r>
          </w:p>
        </w:tc>
      </w:tr>
      <w:tr w:rsidRPr="003A7895" w:rsidR="009120C3" w:rsidTr="009120C3" w14:paraId="2DE0177E" w14:textId="77777777">
        <w:trPr>
          <w:trHeight w:val="70"/>
        </w:trPr>
        <w:tc>
          <w:tcPr>
            <w:tcW w:w="1730" w:type="dxa"/>
          </w:tcPr>
          <w:p w:rsidRPr="00B53E9B" w:rsidR="009120C3" w:rsidP="00131848" w:rsidRDefault="009120C3" w14:paraId="3F831F71"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371" w:type="dxa"/>
          </w:tcPr>
          <w:p w:rsidRPr="0087434E" w:rsidR="009120C3" w:rsidP="00131848" w:rsidRDefault="009120C3" w14:paraId="245A0E37" w14:textId="77777777">
            <w:pPr>
              <w:pStyle w:val="BodyText"/>
              <w:rPr>
                <w:rFonts w:cs="Arial"/>
                <w:sz w:val="20"/>
              </w:rPr>
            </w:pPr>
            <w:r w:rsidRPr="0087434E">
              <w:rPr>
                <w:sz w:val="20"/>
              </w:rPr>
              <w:t>Not applicable</w:t>
            </w:r>
            <w:r>
              <w:rPr>
                <w:sz w:val="20"/>
              </w:rPr>
              <w:t>.</w:t>
            </w:r>
          </w:p>
        </w:tc>
      </w:tr>
      <w:tr w:rsidRPr="003A7895" w:rsidR="009120C3" w:rsidTr="009120C3" w14:paraId="249AD448" w14:textId="77777777">
        <w:trPr>
          <w:trHeight w:val="332"/>
        </w:trPr>
        <w:tc>
          <w:tcPr>
            <w:tcW w:w="1730" w:type="dxa"/>
          </w:tcPr>
          <w:p w:rsidRPr="00B53E9B" w:rsidR="009120C3" w:rsidP="00131848" w:rsidRDefault="009120C3" w14:paraId="08F20981" w14:textId="77777777">
            <w:pPr>
              <w:pStyle w:val="BodyText"/>
              <w:rPr>
                <w:rFonts w:cs="Arial"/>
                <w:b/>
                <w:bCs/>
                <w:sz w:val="20"/>
              </w:rPr>
            </w:pPr>
            <w:r>
              <w:rPr>
                <w:rFonts w:cs="Arial"/>
                <w:b/>
                <w:bCs/>
                <w:sz w:val="20"/>
              </w:rPr>
              <w:lastRenderedPageBreak/>
              <w:t>Adverse r</w:t>
            </w:r>
            <w:r w:rsidRPr="00B53E9B">
              <w:rPr>
                <w:rFonts w:cs="Arial"/>
                <w:b/>
                <w:bCs/>
                <w:sz w:val="20"/>
              </w:rPr>
              <w:t xml:space="preserve">eactions </w:t>
            </w:r>
          </w:p>
        </w:tc>
        <w:tc>
          <w:tcPr>
            <w:tcW w:w="7371" w:type="dxa"/>
          </w:tcPr>
          <w:p w:rsidRPr="0087434E" w:rsidR="009120C3" w:rsidP="00131848" w:rsidRDefault="009120C3" w14:paraId="48634D57" w14:textId="77777777">
            <w:pPr>
              <w:pStyle w:val="BodyText"/>
              <w:rPr>
                <w:rFonts w:cs="Arial"/>
                <w:sz w:val="20"/>
              </w:rPr>
            </w:pPr>
            <w:r w:rsidRPr="0087434E">
              <w:rPr>
                <w:sz w:val="20"/>
              </w:rPr>
              <w:t xml:space="preserve">Generally well tolerated. Large doses may produce </w:t>
            </w:r>
            <w:r>
              <w:rPr>
                <w:sz w:val="20"/>
              </w:rPr>
              <w:t>gastrointestinal</w:t>
            </w:r>
            <w:r w:rsidRPr="0087434E">
              <w:rPr>
                <w:sz w:val="20"/>
              </w:rPr>
              <w:t xml:space="preserve"> upset (vomiting, diarrhoea). Rarely, may lead to rashes e.g. urticaria. Type 4 hypersensitivity reactions have been reported in adults.</w:t>
            </w:r>
          </w:p>
        </w:tc>
      </w:tr>
      <w:tr w:rsidRPr="003A7895" w:rsidR="009120C3" w:rsidTr="009120C3" w14:paraId="2BE473BA" w14:textId="77777777">
        <w:trPr>
          <w:trHeight w:val="180"/>
        </w:trPr>
        <w:tc>
          <w:tcPr>
            <w:tcW w:w="1730" w:type="dxa"/>
          </w:tcPr>
          <w:p w:rsidRPr="00B53E9B" w:rsidR="009120C3" w:rsidP="00131848" w:rsidRDefault="009120C3" w14:paraId="62CE812E" w14:textId="77777777">
            <w:pPr>
              <w:pStyle w:val="BodyText"/>
              <w:rPr>
                <w:rFonts w:cs="Arial"/>
                <w:b/>
                <w:bCs/>
                <w:sz w:val="20"/>
              </w:rPr>
            </w:pPr>
            <w:r w:rsidRPr="00B53E9B">
              <w:rPr>
                <w:rFonts w:cs="Arial"/>
                <w:b/>
                <w:bCs/>
                <w:sz w:val="20"/>
              </w:rPr>
              <w:t>Compatibility</w:t>
            </w:r>
          </w:p>
        </w:tc>
        <w:tc>
          <w:tcPr>
            <w:tcW w:w="7371" w:type="dxa"/>
          </w:tcPr>
          <w:p w:rsidRPr="0087434E" w:rsidR="009120C3" w:rsidP="00131848" w:rsidRDefault="009120C3" w14:paraId="273EB64D" w14:textId="77777777">
            <w:pPr>
              <w:pStyle w:val="BodyText"/>
              <w:rPr>
                <w:rFonts w:cs="Arial"/>
                <w:sz w:val="20"/>
              </w:rPr>
            </w:pPr>
            <w:r w:rsidRPr="0087434E">
              <w:rPr>
                <w:sz w:val="20"/>
              </w:rPr>
              <w:t>No information</w:t>
            </w:r>
            <w:r>
              <w:rPr>
                <w:sz w:val="20"/>
              </w:rPr>
              <w:t>.</w:t>
            </w:r>
          </w:p>
        </w:tc>
      </w:tr>
      <w:tr w:rsidRPr="003A7895" w:rsidR="009120C3" w:rsidTr="009120C3" w14:paraId="09735E9F" w14:textId="77777777">
        <w:trPr>
          <w:trHeight w:val="230"/>
        </w:trPr>
        <w:tc>
          <w:tcPr>
            <w:tcW w:w="1730" w:type="dxa"/>
          </w:tcPr>
          <w:p w:rsidRPr="00B53E9B" w:rsidR="009120C3" w:rsidP="00131848" w:rsidRDefault="009120C3" w14:paraId="7638728B" w14:textId="77777777">
            <w:pPr>
              <w:pStyle w:val="BodyText"/>
              <w:rPr>
                <w:rFonts w:cs="Arial"/>
                <w:b/>
                <w:bCs/>
                <w:sz w:val="20"/>
              </w:rPr>
            </w:pPr>
            <w:r w:rsidRPr="00B53E9B">
              <w:rPr>
                <w:rFonts w:cs="Arial"/>
                <w:b/>
                <w:bCs/>
                <w:sz w:val="20"/>
              </w:rPr>
              <w:t>Incompatibility</w:t>
            </w:r>
          </w:p>
        </w:tc>
        <w:tc>
          <w:tcPr>
            <w:tcW w:w="7371" w:type="dxa"/>
          </w:tcPr>
          <w:p w:rsidRPr="0087434E" w:rsidR="009120C3" w:rsidP="00131848" w:rsidRDefault="009120C3" w14:paraId="6E8F45BD" w14:textId="77777777">
            <w:pPr>
              <w:pStyle w:val="BodyText"/>
              <w:rPr>
                <w:rFonts w:cs="Arial"/>
                <w:sz w:val="20"/>
              </w:rPr>
            </w:pPr>
            <w:r w:rsidRPr="0087434E">
              <w:rPr>
                <w:sz w:val="20"/>
              </w:rPr>
              <w:t>Do not mix in the syringe with any other medication.</w:t>
            </w:r>
          </w:p>
        </w:tc>
      </w:tr>
      <w:tr w:rsidRPr="003A7895" w:rsidR="009120C3" w:rsidTr="009120C3" w14:paraId="5E02529D" w14:textId="77777777">
        <w:trPr>
          <w:trHeight w:val="79"/>
        </w:trPr>
        <w:tc>
          <w:tcPr>
            <w:tcW w:w="1730" w:type="dxa"/>
          </w:tcPr>
          <w:p w:rsidRPr="00B53E9B" w:rsidR="009120C3" w:rsidP="00131848" w:rsidRDefault="009120C3" w14:paraId="2A01B016" w14:textId="77777777">
            <w:pPr>
              <w:pStyle w:val="BodyText"/>
              <w:rPr>
                <w:rFonts w:cs="Arial"/>
                <w:b/>
                <w:bCs/>
                <w:sz w:val="20"/>
              </w:rPr>
            </w:pPr>
            <w:r w:rsidRPr="00B53E9B">
              <w:rPr>
                <w:rFonts w:cs="Arial"/>
                <w:b/>
                <w:bCs/>
                <w:sz w:val="20"/>
              </w:rPr>
              <w:t>Stability</w:t>
            </w:r>
          </w:p>
        </w:tc>
        <w:tc>
          <w:tcPr>
            <w:tcW w:w="7371" w:type="dxa"/>
          </w:tcPr>
          <w:p w:rsidRPr="0087434E" w:rsidR="009120C3" w:rsidP="00131848" w:rsidRDefault="009120C3" w14:paraId="1DCD09EC" w14:textId="77777777">
            <w:pPr>
              <w:pStyle w:val="BodyText"/>
              <w:rPr>
                <w:rFonts w:cs="Arial"/>
                <w:sz w:val="20"/>
              </w:rPr>
            </w:pPr>
            <w:r w:rsidRPr="0087434E">
              <w:rPr>
                <w:sz w:val="20"/>
              </w:rPr>
              <w:t>Stable until expiry date on the bottle/tube.</w:t>
            </w:r>
          </w:p>
        </w:tc>
      </w:tr>
      <w:tr w:rsidRPr="003A7895" w:rsidR="009120C3" w:rsidTr="009120C3" w14:paraId="77C610EB" w14:textId="77777777">
        <w:trPr>
          <w:trHeight w:val="70"/>
        </w:trPr>
        <w:tc>
          <w:tcPr>
            <w:tcW w:w="1730" w:type="dxa"/>
          </w:tcPr>
          <w:p w:rsidRPr="00B53E9B" w:rsidR="009120C3" w:rsidP="00131848" w:rsidRDefault="009120C3" w14:paraId="1A282D80" w14:textId="77777777">
            <w:pPr>
              <w:pStyle w:val="BodyText"/>
              <w:rPr>
                <w:rFonts w:cs="Arial"/>
                <w:b/>
                <w:bCs/>
                <w:sz w:val="20"/>
              </w:rPr>
            </w:pPr>
            <w:r w:rsidRPr="00B53E9B">
              <w:rPr>
                <w:rFonts w:cs="Arial"/>
                <w:b/>
                <w:bCs/>
                <w:sz w:val="20"/>
              </w:rPr>
              <w:t xml:space="preserve">Storage </w:t>
            </w:r>
          </w:p>
        </w:tc>
        <w:tc>
          <w:tcPr>
            <w:tcW w:w="7371" w:type="dxa"/>
          </w:tcPr>
          <w:p w:rsidRPr="0087434E" w:rsidR="009120C3" w:rsidP="00131848" w:rsidRDefault="009120C3" w14:paraId="12664086" w14:textId="77777777">
            <w:pPr>
              <w:pStyle w:val="BodyText"/>
              <w:rPr>
                <w:rFonts w:cs="Arial"/>
                <w:sz w:val="20"/>
              </w:rPr>
            </w:pPr>
            <w:r>
              <w:rPr>
                <w:rFonts w:cs="Arial"/>
                <w:sz w:val="20"/>
              </w:rPr>
              <w:t>Store a</w:t>
            </w:r>
            <w:r w:rsidRPr="0087434E">
              <w:rPr>
                <w:rFonts w:cs="Arial"/>
                <w:sz w:val="20"/>
              </w:rPr>
              <w:t>t room temperature</w:t>
            </w:r>
            <w:r>
              <w:rPr>
                <w:rFonts w:cs="Arial"/>
                <w:sz w:val="20"/>
              </w:rPr>
              <w:t>.</w:t>
            </w:r>
          </w:p>
        </w:tc>
      </w:tr>
      <w:tr w:rsidRPr="003A7895" w:rsidR="009120C3" w:rsidTr="009120C3" w14:paraId="6511E76A" w14:textId="77777777">
        <w:trPr>
          <w:trHeight w:val="70"/>
        </w:trPr>
        <w:tc>
          <w:tcPr>
            <w:tcW w:w="1730" w:type="dxa"/>
          </w:tcPr>
          <w:p w:rsidRPr="00B53E9B" w:rsidR="009120C3" w:rsidP="00131848" w:rsidRDefault="009120C3" w14:paraId="04840913" w14:textId="77777777">
            <w:pPr>
              <w:pStyle w:val="BodyText"/>
              <w:rPr>
                <w:rFonts w:cs="Arial"/>
                <w:b/>
                <w:bCs/>
                <w:sz w:val="20"/>
              </w:rPr>
            </w:pPr>
            <w:r w:rsidRPr="00B53E9B">
              <w:rPr>
                <w:rFonts w:cs="Arial"/>
                <w:b/>
                <w:bCs/>
                <w:sz w:val="20"/>
              </w:rPr>
              <w:t>Excipients</w:t>
            </w:r>
          </w:p>
        </w:tc>
        <w:tc>
          <w:tcPr>
            <w:tcW w:w="7371" w:type="dxa"/>
          </w:tcPr>
          <w:p w:rsidR="009120C3" w:rsidP="00131848" w:rsidRDefault="009120C3" w14:paraId="585CE190" w14:textId="77777777">
            <w:pPr>
              <w:pStyle w:val="BodyText"/>
              <w:rPr>
                <w:rFonts w:cs="Arial"/>
                <w:sz w:val="20"/>
              </w:rPr>
            </w:pPr>
            <w:r>
              <w:rPr>
                <w:rFonts w:cs="Arial"/>
                <w:sz w:val="20"/>
              </w:rPr>
              <w:t xml:space="preserve">Nilstat and Mycostatin oral drops: </w:t>
            </w:r>
            <w:r>
              <w:rPr>
                <w:rFonts w:asciiTheme="minorHAnsi" w:hAnsiTheme="minorHAnsi" w:cstheme="minorHAnsi"/>
                <w:sz w:val="20"/>
              </w:rPr>
              <w:t>b</w:t>
            </w:r>
            <w:r w:rsidRPr="00FF0D0D">
              <w:rPr>
                <w:rFonts w:asciiTheme="minorHAnsi" w:hAnsiTheme="minorHAnsi" w:cstheme="minorHAnsi"/>
                <w:sz w:val="20"/>
              </w:rPr>
              <w:t>entonite, sodium calcium edetate, sucrose, methyl and propyl hydroxybenzoates, polysorbate 80, cherry flavour F-1242, quinoline yellow (104) and purified water.</w:t>
            </w:r>
          </w:p>
          <w:p w:rsidRPr="00561B99" w:rsidR="009120C3" w:rsidP="00131848" w:rsidRDefault="009120C3" w14:paraId="7E462BF9" w14:textId="77777777">
            <w:pPr>
              <w:rPr>
                <w:rFonts w:asciiTheme="minorHAnsi" w:hAnsiTheme="minorHAnsi" w:cstheme="minorHAnsi"/>
                <w:sz w:val="20"/>
                <w:lang w:eastAsia="en-AU"/>
              </w:rPr>
            </w:pPr>
            <w:r>
              <w:rPr>
                <w:rFonts w:cs="Arial"/>
                <w:sz w:val="20"/>
              </w:rPr>
              <w:t xml:space="preserve">Mycostatin topical cream: </w:t>
            </w:r>
            <w:r>
              <w:rPr>
                <w:rFonts w:asciiTheme="minorHAnsi" w:hAnsiTheme="minorHAnsi" w:cstheme="minorHAnsi"/>
                <w:sz w:val="20"/>
              </w:rPr>
              <w:t>a</w:t>
            </w:r>
            <w:r w:rsidRPr="00FF0D0D">
              <w:rPr>
                <w:rFonts w:asciiTheme="minorHAnsi" w:hAnsiTheme="minorHAnsi" w:cstheme="minorHAnsi"/>
                <w:sz w:val="20"/>
              </w:rPr>
              <w:t>luminium hydroxide, soft white paraffin, perfume E, promulgen D, propylene</w:t>
            </w:r>
            <w:r>
              <w:rPr>
                <w:rFonts w:asciiTheme="minorHAnsi" w:hAnsiTheme="minorHAnsi" w:cstheme="minorHAnsi"/>
                <w:sz w:val="20"/>
              </w:rPr>
              <w:t xml:space="preserve"> </w:t>
            </w:r>
            <w:r w:rsidRPr="00FF0D0D">
              <w:rPr>
                <w:rFonts w:asciiTheme="minorHAnsi" w:hAnsiTheme="minorHAnsi" w:cstheme="minorHAnsi"/>
                <w:sz w:val="20"/>
              </w:rPr>
              <w:t>glycol, simethicone, sorbitol solution, titanium dioxide and water (purified).</w:t>
            </w:r>
          </w:p>
        </w:tc>
      </w:tr>
      <w:tr w:rsidRPr="003A7895" w:rsidR="009120C3" w:rsidTr="009120C3" w14:paraId="4A89E57D" w14:textId="77777777">
        <w:trPr>
          <w:trHeight w:val="270"/>
        </w:trPr>
        <w:tc>
          <w:tcPr>
            <w:tcW w:w="1730" w:type="dxa"/>
          </w:tcPr>
          <w:p w:rsidRPr="00B53E9B" w:rsidR="009120C3" w:rsidP="00131848" w:rsidRDefault="009120C3" w14:paraId="7AE7C65D"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371" w:type="dxa"/>
          </w:tcPr>
          <w:p w:rsidRPr="00026F20" w:rsidR="009120C3" w:rsidP="00131848" w:rsidRDefault="009120C3" w14:paraId="28B1DD77" w14:textId="77777777">
            <w:pPr>
              <w:pStyle w:val="BodyText"/>
              <w:rPr>
                <w:rFonts w:cs="Arial"/>
                <w:sz w:val="20"/>
              </w:rPr>
            </w:pPr>
          </w:p>
        </w:tc>
      </w:tr>
      <w:tr w:rsidRPr="003A7895" w:rsidR="009120C3" w:rsidTr="009120C3" w14:paraId="64F99B46" w14:textId="77777777">
        <w:trPr>
          <w:trHeight w:val="280"/>
        </w:trPr>
        <w:tc>
          <w:tcPr>
            <w:tcW w:w="1730" w:type="dxa"/>
          </w:tcPr>
          <w:p w:rsidRPr="00B53E9B" w:rsidR="009120C3" w:rsidP="00131848" w:rsidRDefault="009120C3" w14:paraId="2735BC49" w14:textId="77777777">
            <w:pPr>
              <w:pStyle w:val="BodyText"/>
              <w:rPr>
                <w:rFonts w:cs="Arial"/>
                <w:b/>
                <w:bCs/>
                <w:sz w:val="20"/>
              </w:rPr>
            </w:pPr>
            <w:r w:rsidRPr="00B53E9B">
              <w:rPr>
                <w:rFonts w:cs="Arial"/>
                <w:b/>
                <w:bCs/>
                <w:sz w:val="20"/>
              </w:rPr>
              <w:t>Evidence</w:t>
            </w:r>
          </w:p>
        </w:tc>
        <w:tc>
          <w:tcPr>
            <w:tcW w:w="7371" w:type="dxa"/>
          </w:tcPr>
          <w:p w:rsidRPr="001A06E6" w:rsidR="009120C3" w:rsidP="00131848" w:rsidRDefault="009120C3" w14:paraId="5385081F" w14:textId="77777777">
            <w:pPr>
              <w:pStyle w:val="BodyText"/>
              <w:rPr>
                <w:b/>
                <w:sz w:val="16"/>
                <w:szCs w:val="16"/>
              </w:rPr>
            </w:pPr>
            <w:r w:rsidRPr="001A06E6">
              <w:rPr>
                <w:b/>
                <w:sz w:val="16"/>
                <w:szCs w:val="16"/>
              </w:rPr>
              <w:t>Efficacy</w:t>
            </w:r>
          </w:p>
          <w:p w:rsidRPr="001A06E6" w:rsidR="009120C3" w:rsidP="00131848" w:rsidRDefault="009120C3" w14:paraId="319571AB" w14:textId="77777777">
            <w:pPr>
              <w:pStyle w:val="BodyText"/>
              <w:rPr>
                <w:sz w:val="16"/>
                <w:szCs w:val="16"/>
                <w:u w:val="single"/>
              </w:rPr>
            </w:pPr>
            <w:r w:rsidRPr="001A06E6">
              <w:rPr>
                <w:sz w:val="16"/>
                <w:szCs w:val="16"/>
                <w:u w:val="single"/>
              </w:rPr>
              <w:t>Prevention of invasive fungal infections</w:t>
            </w:r>
          </w:p>
          <w:p w:rsidRPr="001A06E6" w:rsidR="009120C3" w:rsidP="00131848" w:rsidRDefault="009120C3" w14:paraId="4D366FE2" w14:textId="77777777">
            <w:pPr>
              <w:pStyle w:val="BodyText"/>
              <w:rPr>
                <w:sz w:val="16"/>
                <w:szCs w:val="16"/>
              </w:rPr>
            </w:pPr>
            <w:r w:rsidRPr="001A06E6">
              <w:rPr>
                <w:sz w:val="16"/>
                <w:szCs w:val="16"/>
              </w:rPr>
              <w:t>A systematic review of RCTs found oral nystatin to be highly effective in preventing invasive fungal infection in VLBW infants with a relative risk of 0.16 when compared to placebo.</w:t>
            </w:r>
            <w:r w:rsidRPr="001A06E6">
              <w:rPr>
                <w:sz w:val="16"/>
                <w:szCs w:val="16"/>
                <w:vertAlign w:val="superscript"/>
              </w:rPr>
              <w:t>1</w:t>
            </w:r>
            <w:r w:rsidRPr="001A06E6">
              <w:rPr>
                <w:sz w:val="16"/>
                <w:szCs w:val="16"/>
              </w:rPr>
              <w:t xml:space="preserve"> A Cochrane meta-analysis</w:t>
            </w:r>
            <w:r w:rsidRPr="001A06E6">
              <w:rPr>
                <w:sz w:val="16"/>
                <w:szCs w:val="16"/>
                <w:vertAlign w:val="superscript"/>
              </w:rPr>
              <w:t>2</w:t>
            </w:r>
            <w:r w:rsidRPr="001A06E6">
              <w:rPr>
                <w:sz w:val="16"/>
                <w:szCs w:val="16"/>
              </w:rPr>
              <w:t xml:space="preserve"> found a statistically significant reduction in the incidence of invasive fungal infection (typical risk ratio 0.20, 95% CI 0.14-0.27) in very preterm VLBW infants when comparing oral/topical non-absorbed antifungal prophylaxis (nystatin or miconazole) with placebo or no drug. Substantial statistical heterogeneity was present though.</w:t>
            </w:r>
            <w:r w:rsidRPr="001A06E6">
              <w:rPr>
                <w:sz w:val="16"/>
                <w:szCs w:val="16"/>
                <w:vertAlign w:val="superscript"/>
              </w:rPr>
              <w:t>2</w:t>
            </w:r>
            <w:r w:rsidRPr="001A06E6">
              <w:rPr>
                <w:sz w:val="16"/>
                <w:szCs w:val="16"/>
              </w:rPr>
              <w:t xml:space="preserve"> (LOE 1A, GOR A)</w:t>
            </w:r>
          </w:p>
          <w:p w:rsidRPr="001A06E6" w:rsidR="009120C3" w:rsidP="00131848" w:rsidRDefault="009120C3" w14:paraId="3C6F04DF" w14:textId="77777777">
            <w:pPr>
              <w:pStyle w:val="BodyText"/>
              <w:rPr>
                <w:sz w:val="16"/>
                <w:szCs w:val="16"/>
              </w:rPr>
            </w:pPr>
            <w:r w:rsidRPr="001A06E6">
              <w:rPr>
                <w:sz w:val="16"/>
                <w:szCs w:val="16"/>
              </w:rPr>
              <w:t>A study from Australian and New Zealand NICUs reported</w:t>
            </w:r>
            <w:r w:rsidRPr="001A06E6">
              <w:rPr>
                <w:sz w:val="16"/>
                <w:szCs w:val="16"/>
                <w:vertAlign w:val="superscript"/>
              </w:rPr>
              <w:t>3</w:t>
            </w:r>
            <w:r w:rsidRPr="001A06E6">
              <w:rPr>
                <w:sz w:val="16"/>
                <w:szCs w:val="16"/>
              </w:rPr>
              <w:t xml:space="preserve"> that prophylactic oral nystatin is associated with a significantly lower incidence of fungal infection compared with no antifungal prophylaxis.</w:t>
            </w:r>
            <w:r w:rsidRPr="001A06E6">
              <w:rPr>
                <w:sz w:val="16"/>
                <w:szCs w:val="16"/>
                <w:vertAlign w:val="superscript"/>
              </w:rPr>
              <w:t>3</w:t>
            </w:r>
          </w:p>
          <w:p w:rsidRPr="001A06E6" w:rsidR="009120C3" w:rsidP="00131848" w:rsidRDefault="009120C3" w14:paraId="0A1ABBB4" w14:textId="77777777">
            <w:pPr>
              <w:pStyle w:val="BodyText"/>
              <w:rPr>
                <w:sz w:val="16"/>
                <w:szCs w:val="16"/>
              </w:rPr>
            </w:pPr>
          </w:p>
          <w:p w:rsidRPr="001A06E6" w:rsidR="009120C3" w:rsidP="00131848" w:rsidRDefault="009120C3" w14:paraId="3E9F8FF4" w14:textId="77777777">
            <w:pPr>
              <w:pStyle w:val="BodyText"/>
              <w:rPr>
                <w:sz w:val="16"/>
                <w:szCs w:val="16"/>
                <w:u w:val="single"/>
              </w:rPr>
            </w:pPr>
            <w:r w:rsidRPr="001A06E6">
              <w:rPr>
                <w:sz w:val="16"/>
                <w:szCs w:val="16"/>
                <w:u w:val="single"/>
              </w:rPr>
              <w:t>Treatment of mucocutaneous fungal infection</w:t>
            </w:r>
          </w:p>
          <w:p w:rsidRPr="001A06E6" w:rsidR="009120C3" w:rsidP="00131848" w:rsidRDefault="009120C3" w14:paraId="0A6259E3" w14:textId="77777777">
            <w:pPr>
              <w:pStyle w:val="BodyText"/>
              <w:rPr>
                <w:sz w:val="16"/>
                <w:szCs w:val="16"/>
              </w:rPr>
            </w:pPr>
            <w:r w:rsidRPr="001A06E6">
              <w:rPr>
                <w:sz w:val="16"/>
                <w:szCs w:val="16"/>
              </w:rPr>
              <w:t>Boon et al reported a cure rate of 80% after 2 weeks with the dose of 400,000 units/day.</w:t>
            </w:r>
            <w:r w:rsidRPr="001A06E6">
              <w:rPr>
                <w:sz w:val="16"/>
                <w:szCs w:val="16"/>
                <w:vertAlign w:val="superscript"/>
              </w:rPr>
              <w:t>4</w:t>
            </w:r>
            <w:r w:rsidRPr="001A06E6">
              <w:rPr>
                <w:sz w:val="16"/>
                <w:szCs w:val="16"/>
              </w:rPr>
              <w:t xml:space="preserve"> In a randomised trial</w:t>
            </w:r>
            <w:r w:rsidRPr="001A06E6">
              <w:rPr>
                <w:sz w:val="16"/>
                <w:szCs w:val="16"/>
                <w:vertAlign w:val="superscript"/>
              </w:rPr>
              <w:t>5</w:t>
            </w:r>
            <w:r w:rsidRPr="001A06E6">
              <w:rPr>
                <w:sz w:val="16"/>
                <w:szCs w:val="16"/>
              </w:rPr>
              <w:t xml:space="preserve"> comparing nystatin suspension with miconazole gel in immunocompetent infants for treatment of oropharyngeal candidiasis, Hoppe reported miconazole gel to be significantly superior with regard to efficacy, rapidity of achieving cure and oropharyngeal yeast eradication. Relapses and side effects were no different between miconazole and nystatin.</w:t>
            </w:r>
            <w:r w:rsidRPr="001A06E6">
              <w:rPr>
                <w:sz w:val="16"/>
                <w:szCs w:val="16"/>
                <w:vertAlign w:val="superscript"/>
              </w:rPr>
              <w:t>5</w:t>
            </w:r>
          </w:p>
          <w:p w:rsidRPr="001A06E6" w:rsidR="009120C3" w:rsidP="00131848" w:rsidRDefault="009120C3" w14:paraId="7A1F0F8F" w14:textId="77777777">
            <w:pPr>
              <w:pStyle w:val="BodyText"/>
              <w:rPr>
                <w:sz w:val="16"/>
                <w:szCs w:val="16"/>
              </w:rPr>
            </w:pPr>
            <w:r w:rsidRPr="001A06E6">
              <w:rPr>
                <w:sz w:val="16"/>
                <w:szCs w:val="16"/>
              </w:rPr>
              <w:t xml:space="preserve">However, miconazole gel is contraindicated in those under 6 months of age due to risk of airway obstruction from gel. </w:t>
            </w:r>
          </w:p>
          <w:p w:rsidRPr="001A06E6" w:rsidR="009120C3" w:rsidP="00131848" w:rsidRDefault="009120C3" w14:paraId="14A4E6B3" w14:textId="77777777">
            <w:pPr>
              <w:pStyle w:val="BodyText"/>
              <w:rPr>
                <w:b/>
                <w:sz w:val="16"/>
                <w:szCs w:val="16"/>
              </w:rPr>
            </w:pPr>
            <w:r w:rsidRPr="001A06E6">
              <w:rPr>
                <w:b/>
                <w:sz w:val="16"/>
                <w:szCs w:val="16"/>
              </w:rPr>
              <w:t>Safety</w:t>
            </w:r>
          </w:p>
          <w:p w:rsidRPr="001A06E6" w:rsidR="009120C3" w:rsidP="00131848" w:rsidRDefault="009120C3" w14:paraId="15331D59" w14:textId="77777777">
            <w:pPr>
              <w:pStyle w:val="BodyText"/>
              <w:rPr>
                <w:rFonts w:cs="Arial"/>
                <w:sz w:val="16"/>
                <w:szCs w:val="16"/>
              </w:rPr>
            </w:pPr>
            <w:r w:rsidRPr="001A06E6">
              <w:rPr>
                <w:sz w:val="16"/>
                <w:szCs w:val="16"/>
              </w:rPr>
              <w:t>Acute generalised exanthematous pustulosis has been described following oral nystatin therapy.</w:t>
            </w:r>
            <w:r w:rsidRPr="001A06E6">
              <w:rPr>
                <w:sz w:val="16"/>
                <w:szCs w:val="16"/>
                <w:vertAlign w:val="superscript"/>
              </w:rPr>
              <w:t>6</w:t>
            </w:r>
          </w:p>
        </w:tc>
      </w:tr>
      <w:tr w:rsidRPr="003A7895" w:rsidR="009120C3" w:rsidTr="009120C3" w14:paraId="730B388E" w14:textId="77777777">
        <w:trPr>
          <w:trHeight w:val="108"/>
        </w:trPr>
        <w:tc>
          <w:tcPr>
            <w:tcW w:w="1730" w:type="dxa"/>
          </w:tcPr>
          <w:p w:rsidRPr="00B53E9B" w:rsidR="009120C3" w:rsidP="00131848" w:rsidRDefault="009120C3" w14:paraId="56C6B242" w14:textId="77777777">
            <w:pPr>
              <w:pStyle w:val="BodyText"/>
              <w:rPr>
                <w:rFonts w:cs="Arial"/>
                <w:b/>
                <w:bCs/>
                <w:sz w:val="20"/>
              </w:rPr>
            </w:pPr>
            <w:r w:rsidRPr="00B53E9B">
              <w:rPr>
                <w:rFonts w:cs="Arial"/>
                <w:b/>
                <w:bCs/>
                <w:sz w:val="20"/>
              </w:rPr>
              <w:t>Practice points</w:t>
            </w:r>
          </w:p>
        </w:tc>
        <w:tc>
          <w:tcPr>
            <w:tcW w:w="7371" w:type="dxa"/>
          </w:tcPr>
          <w:p w:rsidRPr="00026F20" w:rsidR="009120C3" w:rsidP="00131848" w:rsidRDefault="009120C3" w14:paraId="1FB1620C" w14:textId="77777777">
            <w:pPr>
              <w:pStyle w:val="BodyText"/>
              <w:tabs>
                <w:tab w:val="left" w:pos="1168"/>
              </w:tabs>
              <w:rPr>
                <w:rFonts w:cs="Arial"/>
                <w:sz w:val="20"/>
              </w:rPr>
            </w:pPr>
          </w:p>
        </w:tc>
      </w:tr>
      <w:tr w:rsidRPr="003A7895" w:rsidR="009120C3" w:rsidTr="009120C3" w14:paraId="1D424BDC" w14:textId="77777777">
        <w:trPr>
          <w:trHeight w:val="70"/>
        </w:trPr>
        <w:tc>
          <w:tcPr>
            <w:tcW w:w="1730" w:type="dxa"/>
          </w:tcPr>
          <w:p w:rsidRPr="00B53E9B" w:rsidR="009120C3" w:rsidP="00131848" w:rsidRDefault="009120C3" w14:paraId="10858365" w14:textId="77777777">
            <w:pPr>
              <w:pStyle w:val="BodyText"/>
              <w:rPr>
                <w:rFonts w:cs="Arial"/>
                <w:b/>
                <w:bCs/>
                <w:sz w:val="20"/>
              </w:rPr>
            </w:pPr>
            <w:r w:rsidRPr="00B53E9B">
              <w:rPr>
                <w:b/>
                <w:sz w:val="20"/>
              </w:rPr>
              <w:t>References</w:t>
            </w:r>
          </w:p>
        </w:tc>
        <w:tc>
          <w:tcPr>
            <w:tcW w:w="7371" w:type="dxa"/>
          </w:tcPr>
          <w:p w:rsidRPr="00B20CF3" w:rsidR="009120C3" w:rsidP="001B0E05" w:rsidRDefault="009120C3" w14:paraId="6D0E6B11" w14:textId="77777777">
            <w:pPr>
              <w:numPr>
                <w:ilvl w:val="0"/>
                <w:numId w:val="22"/>
              </w:numPr>
              <w:rPr>
                <w:rFonts w:cs="Arial"/>
                <w:sz w:val="16"/>
                <w:szCs w:val="16"/>
              </w:rPr>
            </w:pPr>
            <w:r w:rsidRPr="00B20CF3">
              <w:rPr>
                <w:rFonts w:cs="Arial"/>
                <w:sz w:val="16"/>
                <w:szCs w:val="16"/>
              </w:rPr>
              <w:t>Blyth CC, Barzi F, Hale K, Isaacs D. Chemoprophylaxis of neonatal fungal infections in very low birthweight infants: efficacy and safety of fluconazole and nystatin. J Paediatr Child Health 2012;48:846-51</w:t>
            </w:r>
          </w:p>
          <w:p w:rsidRPr="00B20CF3" w:rsidR="009120C3" w:rsidP="001B0E05" w:rsidRDefault="009120C3" w14:paraId="5D2E5FEA" w14:textId="77777777">
            <w:pPr>
              <w:numPr>
                <w:ilvl w:val="0"/>
                <w:numId w:val="22"/>
              </w:numPr>
              <w:rPr>
                <w:rFonts w:cs="Arial"/>
                <w:sz w:val="16"/>
                <w:szCs w:val="16"/>
              </w:rPr>
            </w:pPr>
            <w:r w:rsidRPr="00B20CF3">
              <w:rPr>
                <w:rFonts w:cs="Arial"/>
                <w:sz w:val="16"/>
                <w:szCs w:val="16"/>
              </w:rPr>
              <w:t>Austin N, Cleminson J, Darlow BA, McGuire W. Prophylactic oral/topical non-absorbed antifungal agents to prevent invasive fungal infection in very low birth weight infants. Cochrane Database Syst Rev 2015 Oct 24;(10):CD003478</w:t>
            </w:r>
          </w:p>
          <w:p w:rsidRPr="00B20CF3" w:rsidR="009120C3" w:rsidP="001B0E05" w:rsidRDefault="009120C3" w14:paraId="57226DD9" w14:textId="77777777">
            <w:pPr>
              <w:numPr>
                <w:ilvl w:val="0"/>
                <w:numId w:val="22"/>
              </w:numPr>
              <w:rPr>
                <w:rFonts w:cs="Arial"/>
                <w:sz w:val="16"/>
                <w:szCs w:val="16"/>
              </w:rPr>
            </w:pPr>
            <w:r w:rsidRPr="00B20CF3">
              <w:rPr>
                <w:rFonts w:cs="Arial"/>
                <w:sz w:val="16"/>
                <w:szCs w:val="16"/>
              </w:rPr>
              <w:t>Howell A, Isaacs D, Halliday R. The Australasian Study Group for Neonatal Infections. Oral nystatin prophylaxis and neonatal fungal infections. Arch Dis Child Fetal Neonatal Ed 2009;94:F429-F433</w:t>
            </w:r>
          </w:p>
          <w:p w:rsidRPr="00B20CF3" w:rsidR="009120C3" w:rsidP="001B0E05" w:rsidRDefault="009120C3" w14:paraId="5EDCEF81" w14:textId="77777777">
            <w:pPr>
              <w:numPr>
                <w:ilvl w:val="0"/>
                <w:numId w:val="22"/>
              </w:numPr>
              <w:rPr>
                <w:sz w:val="16"/>
                <w:szCs w:val="16"/>
              </w:rPr>
            </w:pPr>
            <w:r w:rsidRPr="00B20CF3">
              <w:rPr>
                <w:rFonts w:asciiTheme="minorHAnsi" w:hAnsiTheme="minorHAnsi"/>
                <w:sz w:val="16"/>
                <w:szCs w:val="16"/>
              </w:rPr>
              <w:t>Boon JM, Lafeber HN, t'Mannetje AH, et al. Comparison of ketoconazole suspension and nystatin in the treatment of newborns and infants with oral candidosis. Mycoses 1989;32:312-5</w:t>
            </w:r>
          </w:p>
          <w:p w:rsidRPr="00B20CF3" w:rsidR="009120C3" w:rsidP="001B0E05" w:rsidRDefault="009120C3" w14:paraId="5CDD0140" w14:textId="77777777">
            <w:pPr>
              <w:numPr>
                <w:ilvl w:val="0"/>
                <w:numId w:val="22"/>
              </w:numPr>
              <w:rPr>
                <w:sz w:val="16"/>
                <w:szCs w:val="16"/>
              </w:rPr>
            </w:pPr>
            <w:r w:rsidRPr="00B20CF3">
              <w:rPr>
                <w:sz w:val="16"/>
                <w:szCs w:val="16"/>
              </w:rPr>
              <w:t>Hoppe JE. Treatment of oropharyngeal candidiasis in immunocompetent infants: a randomized multicenter study of miconazole gel vs. nystatin suspension. The Antifungals Study Group. Pediatr Infect Dis J 1997;16:288-93</w:t>
            </w:r>
          </w:p>
          <w:p w:rsidRPr="00B20CF3" w:rsidR="009120C3" w:rsidP="001B0E05" w:rsidRDefault="009120C3" w14:paraId="2585E8D7" w14:textId="77777777">
            <w:pPr>
              <w:numPr>
                <w:ilvl w:val="0"/>
                <w:numId w:val="22"/>
              </w:numPr>
              <w:rPr>
                <w:rFonts w:asciiTheme="minorHAnsi" w:hAnsiTheme="minorHAnsi"/>
                <w:sz w:val="16"/>
                <w:szCs w:val="16"/>
              </w:rPr>
            </w:pPr>
            <w:r w:rsidRPr="00B20CF3">
              <w:rPr>
                <w:rFonts w:cs="Arial"/>
                <w:sz w:val="16"/>
                <w:szCs w:val="16"/>
              </w:rPr>
              <w:t xml:space="preserve">Kuchler A, Hamm H, Weidenthaler-Barth B, Kampgen E, Brocker EB. Acute generalized exanthematous pustulosis following oral nystatin therapy: a report of three cases. Br J Dermatol 1997;137:808-11. </w:t>
            </w:r>
          </w:p>
        </w:tc>
      </w:tr>
    </w:tbl>
    <w:p w:rsidR="00191A4C" w:rsidP="639A43EE" w:rsidRDefault="00191A4C" w14:paraId="4046C60A" w14:textId="77777777">
      <w:pPr>
        <w:rPr>
          <w:b/>
          <w:bCs/>
        </w:rPr>
      </w:pPr>
      <w:bookmarkStart w:name="_Toc495481144" w:id="431"/>
      <w:bookmarkStart w:name="_Toc495481270" w:id="432"/>
      <w:bookmarkStart w:name="_Toc495481395" w:id="433"/>
      <w:bookmarkStart w:name="_Toc495501576" w:id="434"/>
      <w:bookmarkStart w:name="_Toc38106893" w:id="435"/>
    </w:p>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988"/>
        <w:gridCol w:w="4033"/>
      </w:tblGrid>
      <w:tr w:rsidR="00191A4C" w:rsidTr="00FE4186" w14:paraId="45485289" w14:textId="77777777">
        <w:tc>
          <w:tcPr>
            <w:tcW w:w="5073" w:type="dxa"/>
            <w:vAlign w:val="center"/>
          </w:tcPr>
          <w:p w:rsidR="00191A4C" w:rsidP="00FE4186" w:rsidRDefault="00191A4C" w14:paraId="76285209" w14:textId="77777777">
            <w:pPr>
              <w:rPr>
                <w:b/>
                <w:bCs/>
                <w:lang w:val="en-AU"/>
              </w:rPr>
            </w:pPr>
            <w:r w:rsidRPr="639A43EE">
              <w:rPr>
                <w:b/>
                <w:bCs/>
                <w:lang w:val="en-AU"/>
              </w:rPr>
              <w:t>Original version Date: 05/12/2016</w:t>
            </w:r>
          </w:p>
        </w:tc>
        <w:tc>
          <w:tcPr>
            <w:tcW w:w="4095" w:type="dxa"/>
            <w:vAlign w:val="center"/>
          </w:tcPr>
          <w:p w:rsidR="00191A4C" w:rsidP="00FE4186" w:rsidRDefault="00191A4C" w14:paraId="03E00C66" w14:textId="77777777">
            <w:pPr>
              <w:rPr>
                <w:b/>
                <w:bCs/>
                <w:lang w:val="en-AU"/>
              </w:rPr>
            </w:pPr>
            <w:r w:rsidRPr="48F57877">
              <w:rPr>
                <w:b/>
                <w:bCs/>
                <w:lang w:val="en-AU"/>
              </w:rPr>
              <w:t>Author: NMF Consensus Group</w:t>
            </w:r>
          </w:p>
        </w:tc>
      </w:tr>
      <w:tr w:rsidR="00191A4C" w:rsidTr="00FE4186" w14:paraId="0600260B" w14:textId="77777777">
        <w:tc>
          <w:tcPr>
            <w:tcW w:w="5073" w:type="dxa"/>
            <w:vAlign w:val="center"/>
          </w:tcPr>
          <w:p w:rsidR="00191A4C" w:rsidP="00FE4186" w:rsidRDefault="00191A4C" w14:paraId="0293356E" w14:textId="77777777">
            <w:pPr>
              <w:rPr>
                <w:b/>
                <w:bCs/>
                <w:lang w:val="en-AU"/>
              </w:rPr>
            </w:pPr>
            <w:r w:rsidRPr="639A43EE">
              <w:rPr>
                <w:b/>
                <w:bCs/>
                <w:lang w:val="en-AU"/>
              </w:rPr>
              <w:t>Current Version number:  2.0</w:t>
            </w:r>
          </w:p>
        </w:tc>
        <w:tc>
          <w:tcPr>
            <w:tcW w:w="4095" w:type="dxa"/>
            <w:vAlign w:val="center"/>
          </w:tcPr>
          <w:p w:rsidR="00191A4C" w:rsidP="00FE4186" w:rsidRDefault="00191A4C" w14:paraId="64756066" w14:textId="1A11400C">
            <w:pPr>
              <w:rPr>
                <w:b/>
                <w:bCs/>
                <w:lang w:val="en-AU"/>
              </w:rPr>
            </w:pPr>
            <w:r w:rsidRPr="639A43EE">
              <w:rPr>
                <w:b/>
                <w:bCs/>
                <w:lang w:val="en-AU"/>
              </w:rPr>
              <w:t>Current Version Date:</w:t>
            </w:r>
            <w:r w:rsidRPr="639A43EE">
              <w:rPr>
                <w:lang w:val="en-AU"/>
              </w:rPr>
              <w:t xml:space="preserve">  </w:t>
            </w:r>
            <w:r w:rsidR="001B0E05">
              <w:rPr>
                <w:lang w:val="en-AU"/>
              </w:rPr>
              <w:t>18</w:t>
            </w:r>
            <w:r>
              <w:rPr>
                <w:lang w:val="en-AU"/>
              </w:rPr>
              <w:t>/</w:t>
            </w:r>
            <w:r w:rsidR="001B0E05">
              <w:rPr>
                <w:lang w:val="en-AU"/>
              </w:rPr>
              <w:t>06</w:t>
            </w:r>
            <w:r>
              <w:rPr>
                <w:lang w:val="en-AU"/>
              </w:rPr>
              <w:t>/202</w:t>
            </w:r>
            <w:r w:rsidR="001B0E05">
              <w:rPr>
                <w:lang w:val="en-AU"/>
              </w:rPr>
              <w:t>1</w:t>
            </w:r>
          </w:p>
        </w:tc>
      </w:tr>
      <w:tr w:rsidR="00191A4C" w:rsidTr="00FE4186" w14:paraId="5E6F1D9A" w14:textId="77777777">
        <w:tc>
          <w:tcPr>
            <w:tcW w:w="5073" w:type="dxa"/>
            <w:vAlign w:val="center"/>
          </w:tcPr>
          <w:p w:rsidR="00191A4C" w:rsidP="00FE4186" w:rsidRDefault="00191A4C" w14:paraId="4EC01736" w14:textId="77777777">
            <w:pPr>
              <w:rPr>
                <w:lang w:val="en-AU"/>
              </w:rPr>
            </w:pPr>
            <w:r w:rsidRPr="639A43EE">
              <w:rPr>
                <w:b/>
                <w:bCs/>
                <w:lang w:val="en-AU"/>
              </w:rPr>
              <w:t>Risk Rating: Medium</w:t>
            </w:r>
          </w:p>
        </w:tc>
        <w:tc>
          <w:tcPr>
            <w:tcW w:w="4095" w:type="dxa"/>
            <w:vAlign w:val="center"/>
          </w:tcPr>
          <w:p w:rsidR="00191A4C" w:rsidP="00FE4186" w:rsidRDefault="00191A4C" w14:paraId="3A475AB1" w14:textId="37FFB7A9">
            <w:pPr>
              <w:rPr>
                <w:lang w:val="en-AU"/>
              </w:rPr>
            </w:pPr>
            <w:r w:rsidRPr="639A43EE">
              <w:rPr>
                <w:b/>
                <w:bCs/>
                <w:lang w:val="en-AU"/>
              </w:rPr>
              <w:t xml:space="preserve">Due for Review: </w:t>
            </w:r>
            <w:r w:rsidR="001B0E05">
              <w:rPr>
                <w:b/>
                <w:bCs/>
                <w:lang w:val="en-AU"/>
              </w:rPr>
              <w:t>18</w:t>
            </w:r>
            <w:r w:rsidRPr="639A43EE">
              <w:rPr>
                <w:b/>
                <w:bCs/>
                <w:lang w:val="en-AU"/>
              </w:rPr>
              <w:t>/</w:t>
            </w:r>
            <w:r w:rsidR="001B0E05">
              <w:rPr>
                <w:b/>
                <w:bCs/>
                <w:lang w:val="en-AU"/>
              </w:rPr>
              <w:t>06</w:t>
            </w:r>
            <w:r w:rsidRPr="639A43EE">
              <w:rPr>
                <w:b/>
                <w:bCs/>
                <w:lang w:val="en-AU"/>
              </w:rPr>
              <w:t>/202</w:t>
            </w:r>
            <w:r w:rsidR="001B0E05">
              <w:rPr>
                <w:b/>
                <w:bCs/>
                <w:lang w:val="en-AU"/>
              </w:rPr>
              <w:t>6</w:t>
            </w:r>
          </w:p>
        </w:tc>
      </w:tr>
      <w:tr w:rsidR="00191A4C" w:rsidTr="00FE4186" w14:paraId="10CCA554" w14:textId="77777777">
        <w:trPr>
          <w:trHeight w:val="344"/>
        </w:trPr>
        <w:tc>
          <w:tcPr>
            <w:tcW w:w="5073" w:type="dxa"/>
            <w:tcBorders>
              <w:bottom w:val="single" w:color="auto" w:sz="4" w:space="0"/>
            </w:tcBorders>
            <w:vAlign w:val="center"/>
          </w:tcPr>
          <w:p w:rsidR="00191A4C" w:rsidP="00FE4186" w:rsidRDefault="00191A4C" w14:paraId="67CF8CF6" w14:textId="77777777">
            <w:pPr>
              <w:rPr>
                <w:b/>
                <w:bCs/>
                <w:lang w:val="en-AU"/>
              </w:rPr>
            </w:pPr>
            <w:r w:rsidRPr="48F57877">
              <w:rPr>
                <w:b/>
                <w:bCs/>
                <w:lang w:val="en-AU"/>
              </w:rPr>
              <w:t>Approval by: DTC</w:t>
            </w:r>
          </w:p>
        </w:tc>
        <w:tc>
          <w:tcPr>
            <w:tcW w:w="4095" w:type="dxa"/>
            <w:tcBorders>
              <w:bottom w:val="single" w:color="auto" w:sz="4" w:space="0"/>
            </w:tcBorders>
            <w:vAlign w:val="center"/>
          </w:tcPr>
          <w:p w:rsidR="00191A4C" w:rsidP="00FE4186" w:rsidRDefault="00191A4C" w14:paraId="205FA86A" w14:textId="4F3C00AE">
            <w:pPr>
              <w:rPr>
                <w:b/>
                <w:bCs/>
                <w:lang w:val="en-AU"/>
              </w:rPr>
            </w:pPr>
            <w:r w:rsidRPr="0349FAD4">
              <w:rPr>
                <w:b/>
                <w:bCs/>
                <w:lang w:val="en-AU"/>
              </w:rPr>
              <w:t xml:space="preserve">Approval Date: </w:t>
            </w:r>
            <w:r w:rsidR="00260BC8">
              <w:rPr>
                <w:b/>
                <w:bCs/>
                <w:lang w:val="en-AU"/>
              </w:rPr>
              <w:t>APRIL 2021</w:t>
            </w:r>
          </w:p>
        </w:tc>
      </w:tr>
    </w:tbl>
    <w:p w:rsidR="00FB38D0" w:rsidP="639A43EE" w:rsidRDefault="00FB38D0" w14:paraId="3AC0FFD6" w14:textId="1A1F5D30">
      <w:pPr>
        <w:rPr>
          <w:b/>
          <w:bCs/>
        </w:rPr>
      </w:pPr>
      <w:r w:rsidRPr="639A43EE">
        <w:rPr>
          <w:b/>
          <w:bCs/>
        </w:rPr>
        <w:br w:type="page"/>
      </w:r>
    </w:p>
    <w:tbl>
      <w:tblPr>
        <w:tblW w:w="9049" w:type="dxa"/>
        <w:tblLayout w:type="fixed"/>
        <w:tblLook w:val="0000" w:firstRow="0" w:lastRow="0" w:firstColumn="0" w:lastColumn="0" w:noHBand="0" w:noVBand="0"/>
      </w:tblPr>
      <w:tblGrid>
        <w:gridCol w:w="4153"/>
        <w:gridCol w:w="4896"/>
      </w:tblGrid>
      <w:tr w:rsidRPr="00E25790" w:rsidR="005C4458" w:rsidTr="00FB38D0" w14:paraId="40C1B45D"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5C4458" w:rsidP="009469DB" w:rsidRDefault="00191A4C" w14:paraId="076B7705" w14:textId="42129199">
            <w:pPr>
              <w:pStyle w:val="Heading1"/>
            </w:pPr>
            <w:bookmarkStart w:name="_Toc38106895" w:id="436"/>
            <w:bookmarkStart w:name="_Toc75340015" w:id="437"/>
            <w:bookmarkEnd w:id="431"/>
            <w:bookmarkEnd w:id="432"/>
            <w:bookmarkEnd w:id="433"/>
            <w:bookmarkEnd w:id="434"/>
            <w:bookmarkEnd w:id="435"/>
            <w:r>
              <w:lastRenderedPageBreak/>
              <w:t>O</w:t>
            </w:r>
            <w:r w:rsidRPr="00E25790" w:rsidR="005C4458">
              <w:t>ctreotide</w:t>
            </w:r>
            <w:bookmarkEnd w:id="436"/>
            <w:bookmarkEnd w:id="437"/>
            <w:r w:rsidRPr="00E25790" w:rsidR="005C4458">
              <w:fldChar w:fldCharType="begin"/>
            </w:r>
            <w:r w:rsidRPr="00E25790" w:rsidR="005C4458">
              <w:instrText>tc "CAP Trial" \l 0</w:instrText>
            </w:r>
            <w:r w:rsidRPr="00E25790" w:rsidR="005C4458">
              <w:fldChar w:fldCharType="end"/>
            </w:r>
          </w:p>
        </w:tc>
      </w:tr>
      <w:tr w:rsidRPr="00E25790" w:rsidR="005C4458" w:rsidTr="00FB38D0" w14:paraId="21169B7E"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417AB4" w:rsidP="006F0321" w:rsidRDefault="00576A21" w14:paraId="62311A71" w14:textId="182C2DEA">
            <w:r w:rsidRPr="00E25790">
              <w:t xml:space="preserve">Revision Date: </w:t>
            </w:r>
            <w:r w:rsidR="00417AB4">
              <w:t>24-12-2020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5C4458" w:rsidP="006F0321" w:rsidRDefault="005C4458" w14:paraId="10D045E8" w14:textId="6B17FAB5">
            <w:r w:rsidRPr="00E25790">
              <w:t xml:space="preserve">Approved: </w:t>
            </w:r>
            <w:r w:rsidR="00417AB4">
              <w:t>TC, KOH</w:t>
            </w:r>
          </w:p>
        </w:tc>
      </w:tr>
    </w:tbl>
    <w:p w:rsidRPr="00E25790" w:rsidR="005C4458" w:rsidP="006F0321" w:rsidRDefault="005C4458" w14:paraId="7B57EBD0" w14:textId="77777777"/>
    <w:tbl>
      <w:tblPr>
        <w:tblW w:w="9064" w:type="dxa"/>
        <w:tblLayout w:type="fixed"/>
        <w:tblLook w:val="0000" w:firstRow="0" w:lastRow="0" w:firstColumn="0" w:lastColumn="0" w:noHBand="0" w:noVBand="0"/>
      </w:tblPr>
      <w:tblGrid>
        <w:gridCol w:w="2093"/>
        <w:gridCol w:w="6971"/>
      </w:tblGrid>
      <w:tr w:rsidRPr="00E25790" w:rsidR="005C4458" w:rsidTr="00FB38D0" w14:paraId="63A9A8FA" w14:textId="77777777">
        <w:trPr>
          <w:cantSplit/>
          <w:trHeight w:val="613"/>
        </w:trPr>
        <w:tc>
          <w:tcPr>
            <w:tcW w:w="2093" w:type="dxa"/>
            <w:tcBorders>
              <w:top w:val="single" w:color="auto" w:sz="6" w:space="0"/>
              <w:left w:val="single" w:color="auto" w:sz="6" w:space="0"/>
              <w:bottom w:val="single" w:color="auto" w:sz="6" w:space="0"/>
            </w:tcBorders>
          </w:tcPr>
          <w:p w:rsidRPr="00E25790" w:rsidR="005C4458" w:rsidP="006F0321" w:rsidRDefault="005C4458" w14:paraId="76FE8FDB" w14:textId="77777777">
            <w:r w:rsidRPr="00E25790">
              <w:t xml:space="preserve">Indication :  </w:t>
            </w:r>
          </w:p>
          <w:p w:rsidRPr="00E25790" w:rsidR="005C4458" w:rsidP="006F0321" w:rsidRDefault="005C4458" w14:paraId="1EE1CA28" w14:textId="77777777"/>
        </w:tc>
        <w:tc>
          <w:tcPr>
            <w:tcW w:w="6971" w:type="dxa"/>
            <w:tcBorders>
              <w:top w:val="single" w:color="auto" w:sz="6" w:space="0"/>
              <w:bottom w:val="single" w:color="auto" w:sz="6" w:space="0"/>
              <w:right w:val="single" w:color="auto" w:sz="6" w:space="0"/>
            </w:tcBorders>
          </w:tcPr>
          <w:p w:rsidR="005C4458" w:rsidP="001E2FFE" w:rsidRDefault="001E2FFE" w14:paraId="76423BE7" w14:textId="1E468A3C">
            <w:r>
              <w:t xml:space="preserve">1. </w:t>
            </w:r>
            <w:r w:rsidR="00BF431C">
              <w:t>Congenital or postoperative</w:t>
            </w:r>
            <w:r w:rsidRPr="00E25790" w:rsidR="005C4458">
              <w:t xml:space="preserve"> chylothorax</w:t>
            </w:r>
          </w:p>
          <w:p w:rsidRPr="00E25790" w:rsidR="00BF431C" w:rsidP="006F0321" w:rsidRDefault="00AD3E3A" w14:paraId="57153546" w14:textId="6E6C4D02">
            <w:r>
              <w:t xml:space="preserve">2. </w:t>
            </w:r>
            <w:r w:rsidRPr="001E2FFE" w:rsidR="001E2FFE">
              <w:t>Refractory Hyperinsulinaemic Hypoglycaemia</w:t>
            </w:r>
          </w:p>
        </w:tc>
      </w:tr>
      <w:tr w:rsidRPr="00E25790" w:rsidR="005C4458" w:rsidTr="00D40725" w14:paraId="63CBFA2A" w14:textId="77777777">
        <w:trPr>
          <w:cantSplit/>
          <w:trHeight w:val="1601"/>
        </w:trPr>
        <w:tc>
          <w:tcPr>
            <w:tcW w:w="2093" w:type="dxa"/>
            <w:tcBorders>
              <w:top w:val="single" w:color="auto" w:sz="6" w:space="0"/>
              <w:left w:val="single" w:color="auto" w:sz="6" w:space="0"/>
              <w:bottom w:val="single" w:color="auto" w:sz="6" w:space="0"/>
            </w:tcBorders>
          </w:tcPr>
          <w:p w:rsidRPr="00E25790" w:rsidR="005C4458" w:rsidP="006F0321" w:rsidRDefault="005C4458" w14:paraId="7EC463E5" w14:textId="77777777">
            <w:r w:rsidRPr="00E25790">
              <w:t>Dose :</w:t>
            </w:r>
          </w:p>
        </w:tc>
        <w:tc>
          <w:tcPr>
            <w:tcW w:w="6971" w:type="dxa"/>
            <w:tcBorders>
              <w:top w:val="single" w:color="auto" w:sz="6" w:space="0"/>
              <w:bottom w:val="single" w:color="auto" w:sz="6" w:space="0"/>
              <w:right w:val="single" w:color="auto" w:sz="6" w:space="0"/>
            </w:tcBorders>
          </w:tcPr>
          <w:p w:rsidRPr="00AD3E3A" w:rsidR="005C4458" w:rsidP="00AD3E3A" w:rsidRDefault="00AD3E3A" w14:paraId="2810F90E" w14:textId="4C492803">
            <w:pPr>
              <w:rPr>
                <w:bCs/>
              </w:rPr>
            </w:pPr>
            <w:r w:rsidRPr="00AD3E3A">
              <w:rPr>
                <w:bCs/>
              </w:rPr>
              <w:t>1.</w:t>
            </w:r>
            <w:r>
              <w:rPr>
                <w:bCs/>
              </w:rPr>
              <w:t xml:space="preserve"> </w:t>
            </w:r>
            <w:r w:rsidRPr="00AD3E3A">
              <w:rPr>
                <w:bCs/>
              </w:rPr>
              <w:t>1 microgram/kg/hr, increased daily by 1 microgram/kg/hr up to 10 micrograms/kg/hr, if required. Higher doses of up to 20 microgram/kg/hour have been used in persistent chylothorax</w:t>
            </w:r>
          </w:p>
          <w:p w:rsidRPr="001E2FFE" w:rsidR="001E2FFE" w:rsidP="002A3571" w:rsidRDefault="00AD3E3A" w14:paraId="4F3949AB" w14:textId="463C4001">
            <w:pPr>
              <w:rPr>
                <w:bCs/>
              </w:rPr>
            </w:pPr>
            <w:r>
              <w:t xml:space="preserve">2. </w:t>
            </w:r>
            <w:r w:rsidRPr="000233E2" w:rsidR="000233E2">
              <w:t xml:space="preserve">1 to 5 microgram/ kg/ dose every 6 hours </w:t>
            </w:r>
          </w:p>
        </w:tc>
      </w:tr>
      <w:tr w:rsidRPr="00E25790" w:rsidR="005C4458" w:rsidTr="00FB38D0" w14:paraId="0207596F"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2348FD51" w14:textId="77777777">
            <w:r w:rsidRPr="00E25790">
              <w:t>Interval :</w:t>
            </w:r>
          </w:p>
        </w:tc>
        <w:tc>
          <w:tcPr>
            <w:tcW w:w="6971" w:type="dxa"/>
            <w:tcBorders>
              <w:top w:val="single" w:color="auto" w:sz="6" w:space="0"/>
              <w:bottom w:val="single" w:color="auto" w:sz="6" w:space="0"/>
              <w:right w:val="single" w:color="auto" w:sz="6" w:space="0"/>
            </w:tcBorders>
          </w:tcPr>
          <w:p w:rsidR="005C4458" w:rsidP="006F0321" w:rsidRDefault="000233E2" w14:paraId="03049293" w14:textId="77777777">
            <w:r>
              <w:t xml:space="preserve">1. </w:t>
            </w:r>
            <w:r w:rsidRPr="00E25790" w:rsidR="005C4458">
              <w:t>Continuous infusion</w:t>
            </w:r>
          </w:p>
          <w:p w:rsidRPr="00E25790" w:rsidR="000233E2" w:rsidP="006F0321" w:rsidRDefault="000233E2" w14:paraId="422AE105" w14:textId="6FD22669">
            <w:r>
              <w:t xml:space="preserve">2. </w:t>
            </w:r>
            <w:r w:rsidRPr="000233E2">
              <w:t>Subcut/IV injection</w:t>
            </w:r>
          </w:p>
        </w:tc>
      </w:tr>
      <w:tr w:rsidRPr="00E25790" w:rsidR="005C4458" w:rsidTr="00FB38D0" w14:paraId="6284DB76"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6EFE97EA" w14:textId="77777777">
            <w:r w:rsidRPr="00E25790">
              <w:t>Route :</w:t>
            </w:r>
          </w:p>
        </w:tc>
        <w:tc>
          <w:tcPr>
            <w:tcW w:w="6971" w:type="dxa"/>
            <w:tcBorders>
              <w:top w:val="single" w:color="auto" w:sz="6" w:space="0"/>
              <w:bottom w:val="single" w:color="auto" w:sz="6" w:space="0"/>
              <w:right w:val="single" w:color="auto" w:sz="6" w:space="0"/>
            </w:tcBorders>
          </w:tcPr>
          <w:p w:rsidRPr="00E25790" w:rsidR="005C4458" w:rsidP="006F0321" w:rsidRDefault="00D40725" w14:paraId="3816ECBD" w14:textId="2246A8DA">
            <w:r>
              <w:t>Subcut/</w:t>
            </w:r>
            <w:r w:rsidRPr="00E25790" w:rsidR="005C4458">
              <w:t>IV</w:t>
            </w:r>
          </w:p>
        </w:tc>
      </w:tr>
      <w:tr w:rsidRPr="00E25790" w:rsidR="005C4458" w:rsidTr="00FB38D0" w14:paraId="7C0B42D1"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1DE41EAD" w14:textId="77777777">
            <w:r w:rsidRPr="00E25790">
              <w:t>Total Daily Dose :</w:t>
            </w:r>
          </w:p>
        </w:tc>
        <w:tc>
          <w:tcPr>
            <w:tcW w:w="6971" w:type="dxa"/>
            <w:tcBorders>
              <w:top w:val="single" w:color="auto" w:sz="6" w:space="0"/>
              <w:bottom w:val="single" w:color="auto" w:sz="6" w:space="0"/>
              <w:right w:val="single" w:color="auto" w:sz="6" w:space="0"/>
            </w:tcBorders>
          </w:tcPr>
          <w:p w:rsidR="005C4458" w:rsidP="006F0321" w:rsidRDefault="00D40725" w14:paraId="7E5EFD5B" w14:textId="77777777">
            <w:r>
              <w:t xml:space="preserve">1. </w:t>
            </w:r>
            <w:r w:rsidRPr="00E25790" w:rsidR="00B82B62">
              <w:t>240 microg/kg/day</w:t>
            </w:r>
          </w:p>
          <w:p w:rsidRPr="00E25790" w:rsidR="00D40725" w:rsidP="006F0321" w:rsidRDefault="00D40725" w14:paraId="5379A066" w14:textId="1A04F4D5">
            <w:r>
              <w:t xml:space="preserve">2. </w:t>
            </w:r>
            <w:r w:rsidRPr="000233E2">
              <w:t>10 microgram /kg / dose every 6 hours</w:t>
            </w:r>
          </w:p>
        </w:tc>
      </w:tr>
      <w:tr w:rsidRPr="00E25790" w:rsidR="00C119B9" w:rsidTr="00FB38D0" w14:paraId="26C5538F" w14:textId="77777777">
        <w:trPr>
          <w:cantSplit/>
          <w:trHeight w:val="480"/>
        </w:trPr>
        <w:tc>
          <w:tcPr>
            <w:tcW w:w="2093" w:type="dxa"/>
            <w:tcBorders>
              <w:top w:val="single" w:color="auto" w:sz="6" w:space="0"/>
              <w:left w:val="single" w:color="auto" w:sz="6" w:space="0"/>
              <w:bottom w:val="single" w:color="auto" w:sz="6" w:space="0"/>
            </w:tcBorders>
          </w:tcPr>
          <w:p w:rsidRPr="00E25790" w:rsidR="00C119B9" w:rsidP="006F0321" w:rsidRDefault="00C119B9" w14:paraId="15677E74" w14:textId="749FB949">
            <w:r>
              <w:t>Comments:</w:t>
            </w:r>
          </w:p>
        </w:tc>
        <w:tc>
          <w:tcPr>
            <w:tcW w:w="6971" w:type="dxa"/>
            <w:tcBorders>
              <w:top w:val="single" w:color="auto" w:sz="6" w:space="0"/>
              <w:bottom w:val="single" w:color="auto" w:sz="6" w:space="0"/>
              <w:right w:val="single" w:color="auto" w:sz="6" w:space="0"/>
            </w:tcBorders>
          </w:tcPr>
          <w:p w:rsidR="00C119B9" w:rsidP="00831C1C" w:rsidRDefault="00B004C3" w14:paraId="5A10EFBF" w14:textId="3B9677D1">
            <w:r>
              <w:t>-</w:t>
            </w:r>
            <w:r w:rsidR="00BE0AAC">
              <w:t xml:space="preserve"> </w:t>
            </w:r>
            <w:r w:rsidR="00831C1C">
              <w:t>Titrate according to response in line with above maximum doses</w:t>
            </w:r>
          </w:p>
          <w:p w:rsidR="00EC7630" w:rsidP="00831C1C" w:rsidRDefault="00B004C3" w14:paraId="2B350429" w14:textId="167F7168">
            <w:r>
              <w:t>-</w:t>
            </w:r>
            <w:r w:rsidR="00BE0AAC">
              <w:t xml:space="preserve"> </w:t>
            </w:r>
            <w:r>
              <w:t>Octreotide is a s</w:t>
            </w:r>
            <w:r w:rsidRPr="00B004C3">
              <w:t>omatostatin analogue -</w:t>
            </w:r>
            <w:r>
              <w:t xml:space="preserve"> </w:t>
            </w:r>
            <w:r w:rsidRPr="00B004C3">
              <w:t xml:space="preserve"> </w:t>
            </w:r>
            <w:r w:rsidR="00C304DB">
              <w:t>It i</w:t>
            </w:r>
            <w:r w:rsidRPr="00B004C3">
              <w:t>nhibit</w:t>
            </w:r>
            <w:r w:rsidR="00C304DB">
              <w:t>s</w:t>
            </w:r>
            <w:r w:rsidRPr="00B004C3">
              <w:t xml:space="preserve"> release of growth hormone and of various peptides of the gastroenteropancreatic endocrine system (including insulin)</w:t>
            </w:r>
          </w:p>
          <w:p w:rsidR="007C6B00" w:rsidP="007C6B00" w:rsidRDefault="007C6B00" w14:paraId="30B97FCB" w14:textId="322E6C83">
            <w:r>
              <w:t>-</w:t>
            </w:r>
            <w:r w:rsidR="00BE0AAC">
              <w:t xml:space="preserve"> </w:t>
            </w:r>
            <w:r>
              <w:t xml:space="preserve">Common adverse events include flatulence, vomiting, diarrhoea, abdominal distension, hyperglycaemia, hypoglycaemia, hypothyroidism. </w:t>
            </w:r>
          </w:p>
          <w:p w:rsidR="007C6B00" w:rsidP="007C6B00" w:rsidRDefault="007C6B00" w14:paraId="2541D15F" w14:textId="3A05AD3D">
            <w:r>
              <w:t>-</w:t>
            </w:r>
            <w:r w:rsidR="00BE0AAC">
              <w:t xml:space="preserve"> </w:t>
            </w:r>
            <w:r>
              <w:t>Necrotising enterocolitis has been reported in term neonates administered octreotide.</w:t>
            </w:r>
          </w:p>
          <w:p w:rsidR="007C6B00" w:rsidP="007C6B00" w:rsidRDefault="002F1873" w14:paraId="34DFFADB" w14:textId="06D3DA3A">
            <w:r>
              <w:t>-</w:t>
            </w:r>
            <w:r w:rsidR="00BE0AAC">
              <w:t xml:space="preserve"> </w:t>
            </w:r>
            <w:r w:rsidR="007C6B00">
              <w:t>Rare</w:t>
            </w:r>
            <w:r>
              <w:t>ly octreotide can cause h</w:t>
            </w:r>
            <w:r w:rsidR="007C6B00">
              <w:t>epatic dysfunction, bradycardia, steatorrhea</w:t>
            </w:r>
          </w:p>
          <w:p w:rsidR="002F1873" w:rsidP="007C6B00" w:rsidRDefault="002F1873" w14:paraId="67288ECF" w14:textId="0867871D">
            <w:r>
              <w:t>-</w:t>
            </w:r>
            <w:r w:rsidR="00BE0AAC">
              <w:t xml:space="preserve"> </w:t>
            </w:r>
            <w:r w:rsidR="002E39BB">
              <w:t>Monitor b</w:t>
            </w:r>
            <w:r w:rsidRPr="002E39BB" w:rsidR="002E39BB">
              <w:t>lood glucose, thyroid function, liver function, urea and electrolytes, signs and symptoms of necrotising enterocolitis</w:t>
            </w:r>
          </w:p>
          <w:p w:rsidR="00BE0AAC" w:rsidP="00831C1C" w:rsidRDefault="00BE0AAC" w14:paraId="2A4CB7E3" w14:textId="06B7252D">
            <w:r>
              <w:t xml:space="preserve">- </w:t>
            </w:r>
            <w:r w:rsidRPr="00BE0AAC">
              <w:t>Avoid abrupt withdrawal of octreotide to avoid biliary colic and pancreatitis. Infusion can be gradually decreased over 2 to 7 days</w:t>
            </w:r>
          </w:p>
          <w:p w:rsidR="00831C1C" w:rsidP="00831C1C" w:rsidRDefault="00BE0AAC" w14:paraId="3E6AEAFA" w14:textId="3B19E752">
            <w:r>
              <w:t xml:space="preserve">- </w:t>
            </w:r>
            <w:r w:rsidRPr="00BE0AAC">
              <w:t>In refractory hyperinsulinaemic hypoglycaemia, tachyphylaxis to treatment may occur within several days</w:t>
            </w:r>
          </w:p>
        </w:tc>
      </w:tr>
      <w:tr w:rsidRPr="00E25790" w:rsidR="005C4458" w:rsidTr="00FB38D0" w14:paraId="37CBB7D3" w14:textId="77777777">
        <w:trPr>
          <w:cantSplit/>
          <w:trHeight w:val="489"/>
        </w:trPr>
        <w:tc>
          <w:tcPr>
            <w:tcW w:w="2093" w:type="dxa"/>
            <w:tcBorders>
              <w:top w:val="single" w:color="auto" w:sz="6" w:space="0"/>
              <w:left w:val="single" w:color="auto" w:sz="6" w:space="0"/>
              <w:bottom w:val="single" w:color="auto" w:sz="6" w:space="0"/>
            </w:tcBorders>
          </w:tcPr>
          <w:p w:rsidRPr="00E25790" w:rsidR="005C4458" w:rsidP="006F0321" w:rsidRDefault="005C4458" w14:paraId="1C35A12E" w14:textId="77777777">
            <w:r w:rsidRPr="00E25790">
              <w:t>Supplied as :</w:t>
            </w:r>
          </w:p>
        </w:tc>
        <w:tc>
          <w:tcPr>
            <w:tcW w:w="6971" w:type="dxa"/>
            <w:tcBorders>
              <w:top w:val="single" w:color="auto" w:sz="6" w:space="0"/>
              <w:bottom w:val="single" w:color="auto" w:sz="6" w:space="0"/>
              <w:right w:val="single" w:color="auto" w:sz="6" w:space="0"/>
            </w:tcBorders>
          </w:tcPr>
          <w:p w:rsidR="005C4458" w:rsidP="006F0321" w:rsidRDefault="00B82B62" w14:paraId="04C9E416" w14:textId="678B06B8">
            <w:r w:rsidRPr="00E25790">
              <w:t>50</w:t>
            </w:r>
            <w:r w:rsidR="00EA7D39">
              <w:t xml:space="preserve"> </w:t>
            </w:r>
            <w:r w:rsidRPr="00E25790">
              <w:t>microg/mL</w:t>
            </w:r>
            <w:r w:rsidR="00F4232B">
              <w:t xml:space="preserve">, </w:t>
            </w:r>
            <w:r w:rsidRPr="00E25790">
              <w:t>100</w:t>
            </w:r>
            <w:r w:rsidR="00EA7D39">
              <w:t xml:space="preserve"> </w:t>
            </w:r>
            <w:r w:rsidRPr="00E25790">
              <w:t>microg/mL</w:t>
            </w:r>
            <w:r w:rsidR="00F4232B">
              <w:t xml:space="preserve"> and 500 microg/mL</w:t>
            </w:r>
            <w:r w:rsidRPr="00E25790">
              <w:t xml:space="preserve"> ampoules</w:t>
            </w:r>
          </w:p>
          <w:p w:rsidRPr="00E25790" w:rsidR="003426BD" w:rsidP="006F0321" w:rsidRDefault="003426BD" w14:paraId="50751C4E" w14:textId="0A419AE6">
            <w:r>
              <w:t xml:space="preserve">Use Octreotide short acting </w:t>
            </w:r>
            <w:r w:rsidR="00903F8B">
              <w:t>formulation only</w:t>
            </w:r>
          </w:p>
        </w:tc>
      </w:tr>
      <w:tr w:rsidRPr="00E25790" w:rsidR="005C4458" w:rsidTr="000C7A29" w14:paraId="49E2A68E" w14:textId="77777777">
        <w:trPr>
          <w:cantSplit/>
          <w:trHeight w:val="6657"/>
        </w:trPr>
        <w:tc>
          <w:tcPr>
            <w:tcW w:w="2093" w:type="dxa"/>
            <w:tcBorders>
              <w:top w:val="single" w:color="auto" w:sz="6" w:space="0"/>
              <w:left w:val="single" w:color="auto" w:sz="6" w:space="0"/>
              <w:bottom w:val="single" w:color="auto" w:sz="6" w:space="0"/>
            </w:tcBorders>
          </w:tcPr>
          <w:p w:rsidRPr="00E25790" w:rsidR="005C4458" w:rsidP="006F0321" w:rsidRDefault="005C4458" w14:paraId="1D57EB2D" w14:textId="77777777">
            <w:r w:rsidRPr="00E25790">
              <w:lastRenderedPageBreak/>
              <w:t>Dilution :</w:t>
            </w:r>
          </w:p>
        </w:tc>
        <w:tc>
          <w:tcPr>
            <w:tcW w:w="6971" w:type="dxa"/>
            <w:tcBorders>
              <w:top w:val="single" w:color="auto" w:sz="6" w:space="0"/>
              <w:bottom w:val="single" w:color="auto" w:sz="6" w:space="0"/>
              <w:right w:val="single" w:color="auto" w:sz="6" w:space="0"/>
            </w:tcBorders>
          </w:tcPr>
          <w:p w:rsidRPr="00D2048D" w:rsidR="00FF1BC8" w:rsidP="009062B6" w:rsidRDefault="00B46D56" w14:paraId="4FA9F062" w14:textId="25C16B5E">
            <w:pPr>
              <w:rPr>
                <w:b/>
                <w:bCs/>
                <w:u w:val="single"/>
              </w:rPr>
            </w:pPr>
            <w:r w:rsidRPr="00D2048D">
              <w:rPr>
                <w:b/>
                <w:bCs/>
                <w:u w:val="single"/>
              </w:rPr>
              <w:t>INTRAVENOUS</w:t>
            </w:r>
          </w:p>
          <w:p w:rsidR="00B46D56" w:rsidP="00B46D56" w:rsidRDefault="00B46D56" w14:paraId="030104C8" w14:textId="77777777">
            <w:r w:rsidRPr="00723E0D">
              <w:rPr>
                <w:b/>
                <w:bCs/>
              </w:rPr>
              <w:t>IV infusion</w:t>
            </w:r>
            <w:r w:rsidRPr="00FF1BC8">
              <w:t xml:space="preserve"> </w:t>
            </w:r>
          </w:p>
          <w:p w:rsidR="00B46D56" w:rsidP="00B46D56" w:rsidRDefault="00B46D56" w14:paraId="59212E4B" w14:textId="77777777">
            <w:r w:rsidRPr="00FF1BC8">
              <w:t>Draw up 125 microgram/kg and make up to 25 mL total volume with 0.9% sodium chloride</w:t>
            </w:r>
          </w:p>
          <w:p w:rsidRPr="002A5EBF" w:rsidR="00B46D56" w:rsidP="00B46D56" w:rsidRDefault="00B46D56" w14:paraId="52931138" w14:textId="77777777">
            <w:pPr>
              <w:rPr>
                <w:b/>
                <w:bCs/>
                <w:i/>
                <w:iCs/>
              </w:rPr>
            </w:pPr>
            <w:r w:rsidRPr="002A5EBF">
              <w:rPr>
                <w:i/>
                <w:iCs/>
              </w:rPr>
              <w:t>Concentration now equal to 5 microgram/kg/mL</w:t>
            </w:r>
            <w:r w:rsidRPr="002A5EBF">
              <w:rPr>
                <w:b/>
                <w:bCs/>
                <w:i/>
                <w:iCs/>
              </w:rPr>
              <w:t xml:space="preserve"> </w:t>
            </w:r>
          </w:p>
          <w:p w:rsidR="00B46D56" w:rsidP="00B46D56" w:rsidRDefault="00B46D56" w14:paraId="2FA04BC9" w14:textId="77777777">
            <w:pPr>
              <w:rPr>
                <w:b/>
                <w:bCs/>
              </w:rPr>
            </w:pPr>
          </w:p>
          <w:p w:rsidR="00FF1BC8" w:rsidP="00B46D56" w:rsidRDefault="00FF1BC8" w14:paraId="5DD00FA9" w14:textId="6F0861E4">
            <w:r w:rsidRPr="00FF1BC8">
              <w:rPr>
                <w:b/>
                <w:bCs/>
              </w:rPr>
              <w:t>IV injection dose less than 5 microgram</w:t>
            </w:r>
            <w:r w:rsidRPr="00FF1BC8">
              <w:t xml:space="preserve"> </w:t>
            </w:r>
          </w:p>
          <w:p w:rsidR="00430794" w:rsidP="009062B6" w:rsidRDefault="00FF1BC8" w14:paraId="17A998F1" w14:textId="77777777">
            <w:r w:rsidRPr="00FF1BC8">
              <w:t>Draw up 20 microgram and make up to 1 mL total volume with 0.9% sodium chloride</w:t>
            </w:r>
          </w:p>
          <w:p w:rsidRPr="002A5EBF" w:rsidR="00723E0D" w:rsidP="009062B6" w:rsidRDefault="00FF1BC8" w14:paraId="3414B55F" w14:textId="77777777">
            <w:pPr>
              <w:rPr>
                <w:i/>
                <w:iCs/>
              </w:rPr>
            </w:pPr>
            <w:r w:rsidRPr="002A5EBF">
              <w:rPr>
                <w:i/>
                <w:iCs/>
              </w:rPr>
              <w:t>Concentration now equal to 2 microgram/0.1 mL</w:t>
            </w:r>
          </w:p>
          <w:p w:rsidR="00723E0D" w:rsidP="009062B6" w:rsidRDefault="005647F4" w14:paraId="2FD9833C" w14:textId="7D8C8BF3">
            <w:r>
              <w:t>Infuse over 15-30 minutes</w:t>
            </w:r>
          </w:p>
          <w:p w:rsidR="0070048C" w:rsidP="009062B6" w:rsidRDefault="0070048C" w14:paraId="4C639E09" w14:textId="77777777">
            <w:pPr>
              <w:rPr>
                <w:b/>
                <w:bCs/>
              </w:rPr>
            </w:pPr>
          </w:p>
          <w:p w:rsidR="00723E0D" w:rsidP="009062B6" w:rsidRDefault="00FF1BC8" w14:paraId="541F1360" w14:textId="23A35794">
            <w:r w:rsidRPr="00723E0D">
              <w:rPr>
                <w:b/>
                <w:bCs/>
              </w:rPr>
              <w:t>IV injection dose 5 microgram or more</w:t>
            </w:r>
          </w:p>
          <w:p w:rsidR="00723E0D" w:rsidP="009062B6" w:rsidRDefault="00FF1BC8" w14:paraId="3B912C8A" w14:textId="77777777">
            <w:r w:rsidRPr="00FF1BC8">
              <w:t>Use undiluted</w:t>
            </w:r>
          </w:p>
          <w:p w:rsidR="00723E0D" w:rsidP="009062B6" w:rsidRDefault="0070048C" w14:paraId="36D079E8" w14:textId="4C4F5D3E">
            <w:r>
              <w:t>Infuse over 15-30 minutes</w:t>
            </w:r>
          </w:p>
          <w:p w:rsidR="0070048C" w:rsidP="009062B6" w:rsidRDefault="00817362" w14:paraId="1F8B2510" w14:textId="2012AEF4">
            <w:r>
              <w:t>In emergency situations, inject undiluted over 3 minutes</w:t>
            </w:r>
          </w:p>
          <w:p w:rsidR="00817362" w:rsidP="009062B6" w:rsidRDefault="00817362" w14:paraId="1B659213" w14:textId="77777777"/>
          <w:p w:rsidRPr="00D2048D" w:rsidR="00FF1BC8" w:rsidP="009062B6" w:rsidRDefault="00F74B54" w14:paraId="52D5CC88" w14:textId="77777777">
            <w:pPr>
              <w:rPr>
                <w:b/>
                <w:bCs/>
                <w:u w:val="single"/>
              </w:rPr>
            </w:pPr>
            <w:r w:rsidRPr="00D2048D">
              <w:rPr>
                <w:b/>
                <w:bCs/>
                <w:u w:val="single"/>
              </w:rPr>
              <w:t>SUBCUTANEOUS</w:t>
            </w:r>
          </w:p>
          <w:p w:rsidR="00B813E6" w:rsidP="00B813E6" w:rsidRDefault="00B813E6" w14:paraId="3C1FD9B4" w14:textId="20AC838C">
            <w:r>
              <w:rPr>
                <w:b/>
                <w:bCs/>
              </w:rPr>
              <w:t>D</w:t>
            </w:r>
            <w:r w:rsidRPr="00FF1BC8">
              <w:rPr>
                <w:b/>
                <w:bCs/>
              </w:rPr>
              <w:t>ose less than 5 microgram</w:t>
            </w:r>
            <w:r w:rsidRPr="00FF1BC8">
              <w:t xml:space="preserve"> </w:t>
            </w:r>
          </w:p>
          <w:p w:rsidR="00B813E6" w:rsidP="00B813E6" w:rsidRDefault="00B813E6" w14:paraId="2CEFA5C2" w14:textId="77777777">
            <w:r w:rsidRPr="00FF1BC8">
              <w:t>Draw up 20 microgram and make up to 1 mL total volume with 0.9% sodium chloride</w:t>
            </w:r>
          </w:p>
          <w:p w:rsidRPr="002A5EBF" w:rsidR="00B813E6" w:rsidP="00B813E6" w:rsidRDefault="00B813E6" w14:paraId="00B6D561" w14:textId="77777777">
            <w:pPr>
              <w:rPr>
                <w:i/>
                <w:iCs/>
              </w:rPr>
            </w:pPr>
            <w:r w:rsidRPr="002A5EBF">
              <w:rPr>
                <w:i/>
                <w:iCs/>
              </w:rPr>
              <w:t>Concentration now equal to 2 microgram/0.1 mL</w:t>
            </w:r>
          </w:p>
          <w:p w:rsidR="00B813E6" w:rsidP="00B813E6" w:rsidRDefault="00B813E6" w14:paraId="01248BCF" w14:textId="77777777"/>
          <w:p w:rsidR="00B813E6" w:rsidP="00B813E6" w:rsidRDefault="00B813E6" w14:paraId="7214460F" w14:textId="43455904">
            <w:r>
              <w:rPr>
                <w:b/>
                <w:bCs/>
              </w:rPr>
              <w:t>Dose</w:t>
            </w:r>
            <w:r w:rsidRPr="00723E0D">
              <w:rPr>
                <w:b/>
                <w:bCs/>
              </w:rPr>
              <w:t xml:space="preserve"> 5 microgram or more</w:t>
            </w:r>
          </w:p>
          <w:p w:rsidR="00B813E6" w:rsidP="00B813E6" w:rsidRDefault="00B813E6" w14:paraId="0ED0AC31" w14:textId="77777777">
            <w:r w:rsidRPr="00FF1BC8">
              <w:t>Use undiluted</w:t>
            </w:r>
          </w:p>
          <w:p w:rsidR="005869CC" w:rsidP="009062B6" w:rsidRDefault="005869CC" w14:paraId="78EE91EC" w14:textId="6B965720">
            <w:r w:rsidRPr="005869CC">
              <w:t>Allow solution to reach room temperature before administration (minimises discomfort)</w:t>
            </w:r>
          </w:p>
          <w:p w:rsidR="005869CC" w:rsidP="009062B6" w:rsidRDefault="005869CC" w14:paraId="0DED3900" w14:textId="77777777">
            <w:r w:rsidRPr="005869CC">
              <w:t>Subcutaneous injection into the anterolateral thigh (use a subcutaneous delivery device for longer term administration)</w:t>
            </w:r>
          </w:p>
          <w:p w:rsidRPr="005869CC" w:rsidR="00F74B54" w:rsidP="009062B6" w:rsidRDefault="005869CC" w14:paraId="1F20D6F1" w14:textId="60B06EC5">
            <w:r w:rsidRPr="005869CC">
              <w:t>Rotate injection sites</w:t>
            </w:r>
          </w:p>
        </w:tc>
      </w:tr>
      <w:tr w:rsidRPr="00E25790" w:rsidR="005C4458" w:rsidTr="00FB38D0" w14:paraId="477F0E47"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171C689C" w14:textId="77777777">
            <w:r w:rsidRPr="00E25790">
              <w:t>Stability :</w:t>
            </w:r>
          </w:p>
        </w:tc>
        <w:tc>
          <w:tcPr>
            <w:tcW w:w="6971" w:type="dxa"/>
            <w:tcBorders>
              <w:top w:val="single" w:color="auto" w:sz="6" w:space="0"/>
              <w:bottom w:val="single" w:color="auto" w:sz="6" w:space="0"/>
              <w:right w:val="single" w:color="auto" w:sz="6" w:space="0"/>
            </w:tcBorders>
          </w:tcPr>
          <w:p w:rsidRPr="00E25790" w:rsidR="00B82B62" w:rsidP="006F0321" w:rsidRDefault="00B82B62" w14:paraId="37E5E60A" w14:textId="77777777">
            <w:r w:rsidRPr="00E25790">
              <w:t>Ampoules: until expiry date on label</w:t>
            </w:r>
          </w:p>
          <w:p w:rsidRPr="00E25790" w:rsidR="005C4458" w:rsidP="006F0321" w:rsidRDefault="007B3977" w14:paraId="09B6DE69" w14:textId="40BD8634">
            <w:r w:rsidRPr="007B3977">
              <w:t>Infusion solution is stable for 24 hours at room temperature (25˚C) in sodium chloride 0.9%</w:t>
            </w:r>
          </w:p>
        </w:tc>
      </w:tr>
      <w:tr w:rsidRPr="00E25790" w:rsidR="005C4458" w:rsidTr="00FB38D0" w14:paraId="02985C38"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7053931B" w14:textId="77777777">
            <w:r w:rsidRPr="00E25790">
              <w:t>Storage :</w:t>
            </w:r>
          </w:p>
        </w:tc>
        <w:tc>
          <w:tcPr>
            <w:tcW w:w="6971" w:type="dxa"/>
            <w:tcBorders>
              <w:top w:val="single" w:color="auto" w:sz="6" w:space="0"/>
              <w:bottom w:val="single" w:color="auto" w:sz="6" w:space="0"/>
              <w:right w:val="single" w:color="auto" w:sz="6" w:space="0"/>
            </w:tcBorders>
          </w:tcPr>
          <w:p w:rsidRPr="00E25790" w:rsidR="005C4458" w:rsidP="006F0321" w:rsidRDefault="00B82B62" w14:paraId="07632BEA" w14:textId="0927037F">
            <w:r w:rsidRPr="00E25790">
              <w:t>Ampoules: Refrigerate</w:t>
            </w:r>
            <w:r w:rsidR="001E69CF">
              <w:t xml:space="preserve"> between 2-8 degree celsius</w:t>
            </w:r>
            <w:r w:rsidRPr="00E25790">
              <w:t xml:space="preserve">. Protect from light. </w:t>
            </w:r>
          </w:p>
        </w:tc>
      </w:tr>
      <w:tr w:rsidRPr="00E25790" w:rsidR="005C4458" w:rsidTr="00FB38D0" w14:paraId="0029C05C"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2A168A44" w14:textId="77777777">
            <w:pPr>
              <w:rPr>
                <w:highlight w:val="yellow"/>
              </w:rPr>
            </w:pPr>
            <w:r w:rsidRPr="00E25790">
              <w:t>Compatability:</w:t>
            </w:r>
          </w:p>
        </w:tc>
        <w:tc>
          <w:tcPr>
            <w:tcW w:w="6971" w:type="dxa"/>
            <w:tcBorders>
              <w:top w:val="single" w:color="auto" w:sz="6" w:space="0"/>
              <w:bottom w:val="single" w:color="auto" w:sz="6" w:space="0"/>
              <w:right w:val="single" w:color="auto" w:sz="6" w:space="0"/>
            </w:tcBorders>
          </w:tcPr>
          <w:p w:rsidRPr="00E25790" w:rsidR="005C4458" w:rsidP="006F0321" w:rsidRDefault="00B82B62" w14:paraId="3DC315D7" w14:textId="15B20346">
            <w:pPr>
              <w:rPr>
                <w:highlight w:val="yellow"/>
              </w:rPr>
            </w:pPr>
            <w:r w:rsidRPr="00E25790">
              <w:t>5% Dextrose, 0.9% NaCl</w:t>
            </w:r>
            <w:r w:rsidR="00E92F5A">
              <w:t xml:space="preserve"> (preferred infusion fluid)</w:t>
            </w:r>
            <w:r w:rsidRPr="00E25790">
              <w:t>, Heparin, Potassium and TPN via a Y site.</w:t>
            </w:r>
          </w:p>
        </w:tc>
      </w:tr>
      <w:tr w:rsidRPr="00E25790" w:rsidR="005C4458" w:rsidTr="00FB38D0" w14:paraId="0E9CED03"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5CC5486F" w14:textId="77777777">
            <w:r w:rsidRPr="00E25790">
              <w:t>Incompatibility :</w:t>
            </w:r>
          </w:p>
        </w:tc>
        <w:tc>
          <w:tcPr>
            <w:tcW w:w="6971" w:type="dxa"/>
            <w:tcBorders>
              <w:top w:val="single" w:color="auto" w:sz="6" w:space="0"/>
              <w:bottom w:val="single" w:color="auto" w:sz="6" w:space="0"/>
              <w:right w:val="single" w:color="auto" w:sz="6" w:space="0"/>
            </w:tcBorders>
          </w:tcPr>
          <w:p w:rsidRPr="00E25790" w:rsidR="005C4458" w:rsidP="006F0321" w:rsidRDefault="00B82B62" w14:paraId="1778C151" w14:textId="77777777">
            <w:r w:rsidRPr="00E25790">
              <w:t>Insulin, Pantoprazole</w:t>
            </w:r>
          </w:p>
        </w:tc>
      </w:tr>
      <w:tr w:rsidRPr="00E25790" w:rsidR="005C4458" w:rsidTr="00FB38D0" w14:paraId="69C2A475" w14:textId="77777777">
        <w:trPr>
          <w:cantSplit/>
          <w:trHeight w:val="480"/>
        </w:trPr>
        <w:tc>
          <w:tcPr>
            <w:tcW w:w="2093" w:type="dxa"/>
            <w:tcBorders>
              <w:top w:val="single" w:color="auto" w:sz="6" w:space="0"/>
              <w:left w:val="single" w:color="auto" w:sz="6" w:space="0"/>
              <w:bottom w:val="single" w:color="auto" w:sz="6" w:space="0"/>
            </w:tcBorders>
          </w:tcPr>
          <w:p w:rsidRPr="00E25790" w:rsidR="005C4458" w:rsidP="006F0321" w:rsidRDefault="005C4458" w14:paraId="353D427D" w14:textId="77777777">
            <w:r w:rsidRPr="00E25790">
              <w:t>Serum Levels :</w:t>
            </w:r>
          </w:p>
        </w:tc>
        <w:tc>
          <w:tcPr>
            <w:tcW w:w="6971" w:type="dxa"/>
            <w:tcBorders>
              <w:top w:val="single" w:color="auto" w:sz="6" w:space="0"/>
              <w:bottom w:val="single" w:color="auto" w:sz="6" w:space="0"/>
              <w:right w:val="single" w:color="auto" w:sz="6" w:space="0"/>
            </w:tcBorders>
          </w:tcPr>
          <w:p w:rsidRPr="00E25790" w:rsidR="005C4458" w:rsidP="006F0321" w:rsidRDefault="005C4458" w14:paraId="0A2C8A4F" w14:textId="77777777">
            <w:r w:rsidRPr="00E25790">
              <w:t>Not required</w:t>
            </w:r>
          </w:p>
        </w:tc>
      </w:tr>
    </w:tbl>
    <w:p w:rsidR="005C4458" w:rsidP="006F0321" w:rsidRDefault="005C4458" w14:paraId="6B2BF956" w14:textId="77777777"/>
    <w:p w:rsidR="00061B0F" w:rsidP="006F0321" w:rsidRDefault="00061B0F" w14:paraId="6A1427AF" w14:textId="77777777"/>
    <w:p w:rsidR="00061B0F" w:rsidP="006F0321" w:rsidRDefault="00061B0F" w14:paraId="0CDD2AB8" w14:textId="77777777"/>
    <w:p w:rsidR="00061B0F" w:rsidP="006F0321" w:rsidRDefault="00061B0F" w14:paraId="2E053E16" w14:textId="77777777"/>
    <w:p w:rsidRPr="00061B0F" w:rsidR="00724C22" w:rsidP="006F0321" w:rsidRDefault="00724C22" w14:paraId="31D50232" w14:textId="1BBC9DFA">
      <w:pPr>
        <w:rPr>
          <w:b/>
          <w:bCs/>
        </w:rPr>
      </w:pPr>
      <w:r w:rsidRPr="00061B0F">
        <w:rPr>
          <w:b/>
          <w:bCs/>
        </w:rPr>
        <w:lastRenderedPageBreak/>
        <w:t>References</w:t>
      </w:r>
    </w:p>
    <w:p w:rsidRPr="00E25790" w:rsidR="00061B0F" w:rsidP="006F0321" w:rsidRDefault="00061B0F" w14:paraId="18187FCE" w14:textId="77777777"/>
    <w:p w:rsidR="006B7E96" w:rsidP="006F0321" w:rsidRDefault="00724C22" w14:paraId="4AF95F1B" w14:textId="20CF85D1">
      <w:r w:rsidRPr="00724C22">
        <w:t xml:space="preserve">1. British National Formulary for Children (BNFC) online. Octreotide. [Internet]: Royal Pharmaceutical Society;  [cited </w:t>
      </w:r>
      <w:r w:rsidR="00061B0F">
        <w:t>24-12-2020</w:t>
      </w:r>
      <w:r w:rsidRPr="00724C22">
        <w:t xml:space="preserve">]. Available from: </w:t>
      </w:r>
      <w:hyperlink w:history="1" r:id="rId53">
        <w:r w:rsidRPr="007C0E2E" w:rsidR="006B7E96">
          <w:rPr>
            <w:rStyle w:val="Hyperlink"/>
          </w:rPr>
          <w:t>https://www.medicinescomplete.com</w:t>
        </w:r>
      </w:hyperlink>
      <w:r w:rsidRPr="00724C22">
        <w:t>.</w:t>
      </w:r>
    </w:p>
    <w:p w:rsidR="006B7E96" w:rsidP="006F0321" w:rsidRDefault="00724C22" w14:paraId="1CA1B323" w14:textId="18997C9E">
      <w:r w:rsidRPr="00724C22">
        <w:t xml:space="preserve">2. IBM Micromedex®Neofax®. Octreotide. In: IBM Micromedex® NeoFax®/Pediatrics (electronic version). [Internet]. IBM Watson Health, Greenwood Village, Colorado, USA. J [cited </w:t>
      </w:r>
      <w:r w:rsidR="00061B0F">
        <w:t>24-12-2020</w:t>
      </w:r>
      <w:r w:rsidRPr="00724C22">
        <w:t xml:space="preserve">]. Available from: </w:t>
      </w:r>
      <w:hyperlink w:history="1" r:id="rId54">
        <w:r w:rsidRPr="007C0E2E" w:rsidR="006B7E96">
          <w:rPr>
            <w:rStyle w:val="Hyperlink"/>
          </w:rPr>
          <w:t>http://neofax.micromedexsolutions.com/neofax</w:t>
        </w:r>
      </w:hyperlink>
      <w:r w:rsidRPr="00724C22">
        <w:t>.</w:t>
      </w:r>
    </w:p>
    <w:p w:rsidR="006B7E96" w:rsidP="006F0321" w:rsidRDefault="00724C22" w14:paraId="49CBFC3B" w14:textId="303BA68A">
      <w:r w:rsidRPr="00724C22">
        <w:t xml:space="preserve">3. Australian Medicines Handbook Children's Dosing Companion. Octreotide. [Internet]. Adelaide: Australian Medicines Hanbook Pty Ltd;  [cited </w:t>
      </w:r>
      <w:r w:rsidR="00061B0F">
        <w:t>24-12-2020</w:t>
      </w:r>
      <w:r w:rsidRPr="00724C22">
        <w:t xml:space="preserve">]. Available from: </w:t>
      </w:r>
      <w:hyperlink w:history="1" r:id="rId55">
        <w:r w:rsidRPr="007C0E2E" w:rsidR="006B7E96">
          <w:rPr>
            <w:rStyle w:val="Hyperlink"/>
          </w:rPr>
          <w:t>https://amhonline.amh.net.au</w:t>
        </w:r>
      </w:hyperlink>
      <w:r w:rsidRPr="00724C22">
        <w:t>.</w:t>
      </w:r>
    </w:p>
    <w:p w:rsidR="006B7E96" w:rsidP="006F0321" w:rsidRDefault="00724C22" w14:paraId="502DB1DB" w14:textId="77777777">
      <w:r w:rsidRPr="00724C22">
        <w:t>4. Ainsworth S. Neonatal Forumlary: Drug Use in Pregnancy and the First Year of Life. 7th ed. West Sussex: Wiley Blackwell; 2015.</w:t>
      </w:r>
    </w:p>
    <w:p w:rsidR="006B7E96" w:rsidP="006F0321" w:rsidRDefault="00724C22" w14:paraId="5769F587" w14:textId="45FCE1F7">
      <w:r>
        <w:t xml:space="preserve">5. Australian Injectable Drugs Handbook. Nicolette Burridge, Keli Symons, editors. Octreotide. 7th ed. [Internet]. New South Wales: Society of Hospital Pharmacists of Australia (SHPA);  [cited </w:t>
      </w:r>
      <w:r w:rsidR="00061B0F">
        <w:t>24-12-2020</w:t>
      </w:r>
      <w:r>
        <w:t xml:space="preserve">]. Available from: </w:t>
      </w:r>
      <w:hyperlink r:id="rId56">
        <w:r w:rsidRPr="0349FAD4" w:rsidR="006B7E96">
          <w:rPr>
            <w:rStyle w:val="Hyperlink"/>
          </w:rPr>
          <w:t>https://aidh.hcn.com.au</w:t>
        </w:r>
      </w:hyperlink>
      <w:r>
        <w:t>.</w:t>
      </w:r>
    </w:p>
    <w:p w:rsidR="73C936D9" w:rsidP="0349FAD4" w:rsidRDefault="73C936D9" w14:paraId="74E773FA" w14:textId="375AFF21">
      <w:r>
        <w:t>6. Das A, Shah PS. Octreotide for the treatment of chylothorax in neonates. Cochrane Database of Systematic Reviews. 2010; Issue 9. Art. No.: CD006388 DOI:10.1002/14651858.CD006388.pub2</w:t>
      </w:r>
    </w:p>
    <w:p w:rsidRPr="00E25790" w:rsidR="00115F48" w:rsidP="55C00BCC" w:rsidRDefault="00115F48" w14:paraId="389C7F40" w14:textId="74977DC6"/>
    <w:p w:rsidRPr="00E25790" w:rsidR="00115F48" w:rsidP="006F0321" w:rsidRDefault="00115F48" w14:paraId="5E1BAC3D" w14:textId="3E891FF8"/>
    <w:tbl>
      <w:tblPr>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986"/>
        <w:gridCol w:w="4035"/>
      </w:tblGrid>
      <w:tr w:rsidR="00191A4C" w:rsidTr="00FE4186" w14:paraId="2CC84F81" w14:textId="77777777">
        <w:tc>
          <w:tcPr>
            <w:tcW w:w="5073" w:type="dxa"/>
            <w:vAlign w:val="center"/>
          </w:tcPr>
          <w:p w:rsidR="00191A4C" w:rsidP="00FE4186" w:rsidRDefault="00191A4C" w14:paraId="410C0698" w14:textId="4A2EFD34">
            <w:pPr>
              <w:rPr>
                <w:b/>
                <w:bCs/>
                <w:lang w:val="en-AU"/>
              </w:rPr>
            </w:pPr>
            <w:r w:rsidRPr="639A43EE">
              <w:rPr>
                <w:b/>
                <w:bCs/>
                <w:lang w:val="en-AU"/>
              </w:rPr>
              <w:t xml:space="preserve">Original version Date: </w:t>
            </w:r>
            <w:r w:rsidR="00FF59E4">
              <w:rPr>
                <w:b/>
                <w:bCs/>
                <w:lang w:val="en-AU"/>
              </w:rPr>
              <w:t>2014</w:t>
            </w:r>
          </w:p>
        </w:tc>
        <w:tc>
          <w:tcPr>
            <w:tcW w:w="4095" w:type="dxa"/>
            <w:vAlign w:val="center"/>
          </w:tcPr>
          <w:p w:rsidR="00191A4C" w:rsidP="00FE4186" w:rsidRDefault="00191A4C" w14:paraId="0565C878" w14:textId="223C8B7A">
            <w:pPr>
              <w:rPr>
                <w:b/>
                <w:bCs/>
                <w:lang w:val="en-AU"/>
              </w:rPr>
            </w:pPr>
            <w:r w:rsidRPr="48F57877">
              <w:rPr>
                <w:b/>
                <w:bCs/>
                <w:lang w:val="en-AU"/>
              </w:rPr>
              <w:t xml:space="preserve">Author: </w:t>
            </w:r>
            <w:r w:rsidR="00FF59E4">
              <w:rPr>
                <w:b/>
                <w:bCs/>
                <w:lang w:val="en-AU"/>
              </w:rPr>
              <w:t>AK, JD</w:t>
            </w:r>
          </w:p>
        </w:tc>
      </w:tr>
      <w:tr w:rsidR="00191A4C" w:rsidTr="00FE4186" w14:paraId="08D75A7A" w14:textId="77777777">
        <w:tc>
          <w:tcPr>
            <w:tcW w:w="5073" w:type="dxa"/>
            <w:vAlign w:val="center"/>
          </w:tcPr>
          <w:p w:rsidR="00191A4C" w:rsidP="00FE4186" w:rsidRDefault="00191A4C" w14:paraId="1B9ECC46" w14:textId="77777777">
            <w:pPr>
              <w:rPr>
                <w:b/>
                <w:bCs/>
                <w:lang w:val="en-AU"/>
              </w:rPr>
            </w:pPr>
            <w:r w:rsidRPr="639A43EE">
              <w:rPr>
                <w:b/>
                <w:bCs/>
                <w:lang w:val="en-AU"/>
              </w:rPr>
              <w:t>Current Version number:  2.0</w:t>
            </w:r>
          </w:p>
        </w:tc>
        <w:tc>
          <w:tcPr>
            <w:tcW w:w="4095" w:type="dxa"/>
            <w:vAlign w:val="center"/>
          </w:tcPr>
          <w:p w:rsidR="00191A4C" w:rsidP="00FE4186" w:rsidRDefault="00191A4C" w14:paraId="360F6D0D" w14:textId="040013AC">
            <w:pPr>
              <w:rPr>
                <w:b/>
                <w:bCs/>
                <w:lang w:val="en-AU"/>
              </w:rPr>
            </w:pPr>
            <w:r w:rsidRPr="639A43EE">
              <w:rPr>
                <w:b/>
                <w:bCs/>
                <w:lang w:val="en-AU"/>
              </w:rPr>
              <w:t>Current Version Date:</w:t>
            </w:r>
            <w:r w:rsidRPr="639A43EE">
              <w:rPr>
                <w:lang w:val="en-AU"/>
              </w:rPr>
              <w:t xml:space="preserve">  </w:t>
            </w:r>
            <w:r w:rsidR="00DD6C80">
              <w:rPr>
                <w:lang w:val="en-AU"/>
              </w:rPr>
              <w:t>24</w:t>
            </w:r>
            <w:r w:rsidR="00BD7DD9">
              <w:rPr>
                <w:lang w:val="en-AU"/>
              </w:rPr>
              <w:t>/12/2020</w:t>
            </w:r>
          </w:p>
        </w:tc>
      </w:tr>
      <w:tr w:rsidR="00191A4C" w:rsidTr="00FE4186" w14:paraId="574C5967" w14:textId="77777777">
        <w:tc>
          <w:tcPr>
            <w:tcW w:w="5073" w:type="dxa"/>
            <w:vAlign w:val="center"/>
          </w:tcPr>
          <w:p w:rsidR="00191A4C" w:rsidP="00FE4186" w:rsidRDefault="00191A4C" w14:paraId="48B6AA20" w14:textId="77777777">
            <w:pPr>
              <w:rPr>
                <w:lang w:val="en-AU"/>
              </w:rPr>
            </w:pPr>
            <w:r w:rsidRPr="639A43EE">
              <w:rPr>
                <w:b/>
                <w:bCs/>
                <w:lang w:val="en-AU"/>
              </w:rPr>
              <w:t>Risk Rating: Medium</w:t>
            </w:r>
          </w:p>
        </w:tc>
        <w:tc>
          <w:tcPr>
            <w:tcW w:w="4095" w:type="dxa"/>
            <w:vAlign w:val="center"/>
          </w:tcPr>
          <w:p w:rsidR="00191A4C" w:rsidP="00FE4186" w:rsidRDefault="00191A4C" w14:paraId="22A9631F" w14:textId="4EEF9917">
            <w:pPr>
              <w:rPr>
                <w:lang w:val="en-AU"/>
              </w:rPr>
            </w:pPr>
            <w:r w:rsidRPr="639A43EE">
              <w:rPr>
                <w:b/>
                <w:bCs/>
                <w:lang w:val="en-AU"/>
              </w:rPr>
              <w:t xml:space="preserve">Due for Review: </w:t>
            </w:r>
            <w:r w:rsidR="00BD7DD9">
              <w:rPr>
                <w:b/>
                <w:bCs/>
                <w:lang w:val="en-AU"/>
              </w:rPr>
              <w:t>24/12/2025</w:t>
            </w:r>
          </w:p>
        </w:tc>
      </w:tr>
      <w:tr w:rsidR="00191A4C" w:rsidTr="00FE4186" w14:paraId="6731DC72" w14:textId="77777777">
        <w:trPr>
          <w:trHeight w:val="344"/>
        </w:trPr>
        <w:tc>
          <w:tcPr>
            <w:tcW w:w="5073" w:type="dxa"/>
            <w:tcBorders>
              <w:bottom w:val="single" w:color="auto" w:sz="4" w:space="0"/>
            </w:tcBorders>
            <w:vAlign w:val="center"/>
          </w:tcPr>
          <w:p w:rsidR="00191A4C" w:rsidP="00FE4186" w:rsidRDefault="00191A4C" w14:paraId="270EA6A7" w14:textId="77777777">
            <w:pPr>
              <w:rPr>
                <w:b/>
                <w:bCs/>
                <w:lang w:val="en-AU"/>
              </w:rPr>
            </w:pPr>
            <w:r w:rsidRPr="48F57877">
              <w:rPr>
                <w:b/>
                <w:bCs/>
                <w:lang w:val="en-AU"/>
              </w:rPr>
              <w:t>Approval by: DTC</w:t>
            </w:r>
          </w:p>
        </w:tc>
        <w:tc>
          <w:tcPr>
            <w:tcW w:w="4095" w:type="dxa"/>
            <w:tcBorders>
              <w:bottom w:val="single" w:color="auto" w:sz="4" w:space="0"/>
            </w:tcBorders>
            <w:vAlign w:val="center"/>
          </w:tcPr>
          <w:p w:rsidR="00191A4C" w:rsidP="00FE4186" w:rsidRDefault="00191A4C" w14:paraId="781C0D29" w14:textId="64B3FB80">
            <w:pPr>
              <w:rPr>
                <w:b/>
                <w:bCs/>
                <w:lang w:val="en-AU"/>
              </w:rPr>
            </w:pPr>
            <w:r w:rsidRPr="0349FAD4">
              <w:rPr>
                <w:b/>
                <w:bCs/>
                <w:lang w:val="en-AU"/>
              </w:rPr>
              <w:t xml:space="preserve">Approval Date: </w:t>
            </w:r>
            <w:r w:rsidR="00260BC8">
              <w:rPr>
                <w:b/>
                <w:bCs/>
                <w:lang w:val="en-AU"/>
              </w:rPr>
              <w:t>APRIL 2021</w:t>
            </w:r>
          </w:p>
        </w:tc>
      </w:tr>
    </w:tbl>
    <w:p w:rsidRPr="00E25790" w:rsidR="00115F48" w:rsidP="006F0321" w:rsidRDefault="00724C22" w14:paraId="11095A79" w14:textId="71EA354F">
      <w:r>
        <w:br w:type="page"/>
      </w:r>
    </w:p>
    <w:tbl>
      <w:tblPr>
        <w:tblW w:w="9049" w:type="dxa"/>
        <w:tblLayout w:type="fixed"/>
        <w:tblLook w:val="0000" w:firstRow="0" w:lastRow="0" w:firstColumn="0" w:lastColumn="0" w:noHBand="0" w:noVBand="0"/>
      </w:tblPr>
      <w:tblGrid>
        <w:gridCol w:w="4153"/>
        <w:gridCol w:w="4896"/>
      </w:tblGrid>
      <w:tr w:rsidRPr="00E25790" w:rsidR="00D33FE0" w:rsidTr="00FB38D0" w14:paraId="74F8132B"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D33FE0" w:rsidP="009469DB" w:rsidRDefault="00D33FE0" w14:paraId="2EE07BBF" w14:textId="77777777">
            <w:pPr>
              <w:pStyle w:val="Heading1"/>
            </w:pPr>
            <w:bookmarkStart w:name="_Toc38106896" w:id="438"/>
            <w:bookmarkStart w:name="_Toc75340016" w:id="439"/>
            <w:r w:rsidRPr="00E25790">
              <w:lastRenderedPageBreak/>
              <w:t>Omeprazole</w:t>
            </w:r>
            <w:bookmarkEnd w:id="438"/>
            <w:bookmarkEnd w:id="439"/>
            <w:r w:rsidRPr="00E25790">
              <w:fldChar w:fldCharType="begin"/>
            </w:r>
            <w:r w:rsidRPr="00E25790">
              <w:instrText>tc "Omeprazole" \l 0</w:instrText>
            </w:r>
            <w:r w:rsidRPr="00E25790">
              <w:fldChar w:fldCharType="end"/>
            </w:r>
          </w:p>
        </w:tc>
      </w:tr>
      <w:tr w:rsidRPr="00E25790" w:rsidR="00D33FE0" w:rsidTr="00FB38D0" w14:paraId="3F802BB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D33FE0" w:rsidP="006F0321" w:rsidRDefault="00D33FE0" w14:paraId="6C044F15" w14:textId="377F4BBB">
            <w:r w:rsidRPr="00E25790">
              <w:t>Revision Date :</w:t>
            </w:r>
            <w:r w:rsidR="007C726E">
              <w:t>19/07/2018</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D33FE0" w:rsidP="006F0321" w:rsidRDefault="007C726E" w14:paraId="7C5AB935" w14:textId="6906F5AA">
            <w:r>
              <w:t>Approved: TC, KOH</w:t>
            </w:r>
          </w:p>
        </w:tc>
      </w:tr>
    </w:tbl>
    <w:p w:rsidRPr="00E25790" w:rsidR="00D33FE0" w:rsidP="006F0321" w:rsidRDefault="00D33FE0" w14:paraId="33195F33"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42"/>
        <w:gridCol w:w="7592"/>
      </w:tblGrid>
      <w:tr w:rsidRPr="00176048" w:rsidR="007C726E" w:rsidTr="48F57877" w14:paraId="096E48FE" w14:textId="77777777">
        <w:trPr>
          <w:trHeight w:val="363"/>
        </w:trPr>
        <w:tc>
          <w:tcPr>
            <w:tcW w:w="1060" w:type="pct"/>
          </w:tcPr>
          <w:p w:rsidRPr="00176048" w:rsidR="007C726E" w:rsidP="007C726E" w:rsidRDefault="007C726E" w14:paraId="19F3CE50" w14:textId="77777777">
            <w:pPr>
              <w:pStyle w:val="BodyText"/>
              <w:tabs>
                <w:tab w:val="center" w:pos="1476"/>
              </w:tabs>
              <w:rPr>
                <w:rFonts w:cs="Arial" w:asciiTheme="minorHAnsi" w:hAnsiTheme="minorHAnsi"/>
                <w:b/>
                <w:sz w:val="20"/>
              </w:rPr>
            </w:pPr>
            <w:r w:rsidRPr="00176048">
              <w:rPr>
                <w:rFonts w:cs="Arial" w:asciiTheme="minorHAnsi" w:hAnsiTheme="minorHAnsi"/>
                <w:b/>
                <w:sz w:val="20"/>
              </w:rPr>
              <w:t>Alert</w:t>
            </w:r>
          </w:p>
        </w:tc>
        <w:tc>
          <w:tcPr>
            <w:tcW w:w="3940" w:type="pct"/>
          </w:tcPr>
          <w:p w:rsidR="007C726E" w:rsidP="007C726E" w:rsidRDefault="007C726E" w14:paraId="393EA21D" w14:textId="77777777">
            <w:pPr>
              <w:pStyle w:val="BodyText"/>
              <w:rPr>
                <w:rFonts w:cs="Arial" w:asciiTheme="minorHAnsi" w:hAnsiTheme="minorHAnsi"/>
                <w:sz w:val="20"/>
              </w:rPr>
            </w:pPr>
            <w:r w:rsidRPr="00176048">
              <w:rPr>
                <w:rFonts w:cs="Arial" w:asciiTheme="minorHAnsi" w:hAnsiTheme="minorHAnsi"/>
                <w:sz w:val="20"/>
              </w:rPr>
              <w:t>Shor</w:t>
            </w:r>
            <w:r>
              <w:rPr>
                <w:rFonts w:cs="Arial" w:asciiTheme="minorHAnsi" w:hAnsiTheme="minorHAnsi"/>
                <w:sz w:val="20"/>
              </w:rPr>
              <w:t>t-</w:t>
            </w:r>
            <w:r w:rsidRPr="00176048">
              <w:rPr>
                <w:rFonts w:cs="Arial" w:asciiTheme="minorHAnsi" w:hAnsiTheme="minorHAnsi"/>
                <w:sz w:val="20"/>
              </w:rPr>
              <w:t xml:space="preserve"> and long-term safety data in infants are limited. There have been several safety concerns with long</w:t>
            </w:r>
            <w:r>
              <w:rPr>
                <w:rFonts w:cs="Arial" w:asciiTheme="minorHAnsi" w:hAnsiTheme="minorHAnsi"/>
                <w:sz w:val="20"/>
              </w:rPr>
              <w:t>-</w:t>
            </w:r>
            <w:r w:rsidRPr="00176048">
              <w:rPr>
                <w:rFonts w:cs="Arial" w:asciiTheme="minorHAnsi" w:hAnsiTheme="minorHAnsi"/>
                <w:sz w:val="20"/>
              </w:rPr>
              <w:t xml:space="preserve">term usage in adults. </w:t>
            </w:r>
          </w:p>
          <w:p w:rsidRPr="00176048" w:rsidR="007C726E" w:rsidP="007C726E" w:rsidRDefault="007C726E" w14:paraId="32DDFE37" w14:textId="77777777">
            <w:pPr>
              <w:pStyle w:val="BodyText"/>
              <w:rPr>
                <w:rFonts w:cs="Arial" w:asciiTheme="minorHAnsi" w:hAnsiTheme="minorHAnsi"/>
                <w:sz w:val="20"/>
              </w:rPr>
            </w:pPr>
            <w:r>
              <w:rPr>
                <w:rFonts w:cs="Arial" w:asciiTheme="minorHAnsi" w:hAnsiTheme="minorHAnsi"/>
                <w:sz w:val="20"/>
              </w:rPr>
              <w:t xml:space="preserve">The bioavailability of the in-house pharmacy suspension made from the contents of the capsule may be less (up to 50% less) than that of the capsule itself. Dose may need to be adjusted if no clinical response. </w:t>
            </w:r>
          </w:p>
        </w:tc>
      </w:tr>
      <w:tr w:rsidRPr="00176048" w:rsidR="007C726E" w:rsidTr="48F57877" w14:paraId="1D1E606E" w14:textId="77777777">
        <w:trPr>
          <w:trHeight w:val="553"/>
        </w:trPr>
        <w:tc>
          <w:tcPr>
            <w:tcW w:w="1060" w:type="pct"/>
          </w:tcPr>
          <w:p w:rsidRPr="00176048" w:rsidR="007C726E" w:rsidP="007C726E" w:rsidRDefault="007C726E" w14:paraId="66F2F6E9" w14:textId="77777777">
            <w:pPr>
              <w:pStyle w:val="BodyText"/>
              <w:rPr>
                <w:rFonts w:cs="Arial" w:asciiTheme="minorHAnsi" w:hAnsiTheme="minorHAnsi"/>
                <w:b/>
                <w:bCs/>
                <w:sz w:val="20"/>
              </w:rPr>
            </w:pPr>
            <w:r w:rsidRPr="00176048">
              <w:rPr>
                <w:rFonts w:cs="Arial" w:asciiTheme="minorHAnsi" w:hAnsiTheme="minorHAnsi"/>
                <w:b/>
                <w:bCs/>
                <w:sz w:val="20"/>
              </w:rPr>
              <w:t xml:space="preserve">Indication                         </w:t>
            </w:r>
          </w:p>
          <w:p w:rsidRPr="00176048" w:rsidR="007C726E" w:rsidP="007C726E" w:rsidRDefault="007C726E" w14:paraId="11F74328" w14:textId="77777777">
            <w:pPr>
              <w:pStyle w:val="BodyText"/>
              <w:rPr>
                <w:rFonts w:cs="Arial" w:asciiTheme="minorHAnsi" w:hAnsiTheme="minorHAnsi"/>
                <w:sz w:val="20"/>
              </w:rPr>
            </w:pPr>
          </w:p>
        </w:tc>
        <w:tc>
          <w:tcPr>
            <w:tcW w:w="3940" w:type="pct"/>
          </w:tcPr>
          <w:p w:rsidRPr="00176048" w:rsidR="007C726E" w:rsidP="007C726E" w:rsidRDefault="007C726E" w14:paraId="55D80855" w14:textId="77777777">
            <w:pPr>
              <w:rPr>
                <w:rFonts w:asciiTheme="minorHAnsi" w:hAnsiTheme="minorHAnsi"/>
                <w:sz w:val="20"/>
              </w:rPr>
            </w:pPr>
            <w:r w:rsidRPr="00176048">
              <w:rPr>
                <w:rFonts w:asciiTheme="minorHAnsi" w:hAnsiTheme="minorHAnsi"/>
                <w:sz w:val="20"/>
              </w:rPr>
              <w:t>Treatment of gastroesophageal reflux disease (GORD).</w:t>
            </w:r>
          </w:p>
          <w:p w:rsidRPr="00176048" w:rsidR="007C726E" w:rsidP="007C726E" w:rsidRDefault="007C726E" w14:paraId="5BC48490" w14:textId="77777777">
            <w:pPr>
              <w:rPr>
                <w:rFonts w:asciiTheme="minorHAnsi" w:hAnsiTheme="minorHAnsi"/>
                <w:sz w:val="20"/>
              </w:rPr>
            </w:pPr>
            <w:r w:rsidRPr="00176048">
              <w:rPr>
                <w:rFonts w:asciiTheme="minorHAnsi" w:hAnsiTheme="minorHAnsi"/>
                <w:sz w:val="20"/>
              </w:rPr>
              <w:t>Prophylaxis in congenital tracheoesophageal fistula and oesophageal atresia (role unclear).</w:t>
            </w:r>
          </w:p>
        </w:tc>
      </w:tr>
      <w:tr w:rsidRPr="00176048" w:rsidR="007C726E" w:rsidTr="48F57877" w14:paraId="12BD69B4" w14:textId="77777777">
        <w:trPr>
          <w:trHeight w:val="261"/>
        </w:trPr>
        <w:tc>
          <w:tcPr>
            <w:tcW w:w="1060" w:type="pct"/>
          </w:tcPr>
          <w:p w:rsidRPr="00176048" w:rsidR="007C726E" w:rsidP="007C726E" w:rsidRDefault="007C726E" w14:paraId="316626D1" w14:textId="77777777">
            <w:pPr>
              <w:pStyle w:val="BodyText"/>
              <w:rPr>
                <w:rFonts w:cs="Arial" w:asciiTheme="minorHAnsi" w:hAnsiTheme="minorHAnsi"/>
                <w:b/>
                <w:bCs/>
                <w:sz w:val="20"/>
              </w:rPr>
            </w:pPr>
            <w:r w:rsidRPr="00176048">
              <w:rPr>
                <w:rFonts w:cs="Arial" w:asciiTheme="minorHAnsi" w:hAnsiTheme="minorHAnsi"/>
                <w:b/>
                <w:bCs/>
                <w:sz w:val="20"/>
              </w:rPr>
              <w:t>Action</w:t>
            </w:r>
          </w:p>
        </w:tc>
        <w:tc>
          <w:tcPr>
            <w:tcW w:w="3940" w:type="pct"/>
          </w:tcPr>
          <w:p w:rsidRPr="00176048" w:rsidR="007C726E" w:rsidP="007C726E" w:rsidRDefault="007C726E" w14:paraId="36EBE503" w14:textId="77777777">
            <w:pPr>
              <w:rPr>
                <w:rFonts w:cs="Arial" w:asciiTheme="minorHAnsi" w:hAnsiTheme="minorHAnsi"/>
                <w:sz w:val="20"/>
              </w:rPr>
            </w:pPr>
            <w:r w:rsidRPr="00176048">
              <w:rPr>
                <w:rFonts w:cs="Arial" w:asciiTheme="minorHAnsi" w:hAnsiTheme="minorHAnsi"/>
                <w:sz w:val="20"/>
              </w:rPr>
              <w:t xml:space="preserve">Omeprazole is a proton pump inhibitor (PPI). </w:t>
            </w:r>
          </w:p>
        </w:tc>
      </w:tr>
      <w:tr w:rsidRPr="00176048" w:rsidR="007C726E" w:rsidTr="48F57877" w14:paraId="36F00A81" w14:textId="77777777">
        <w:trPr>
          <w:trHeight w:val="266"/>
        </w:trPr>
        <w:tc>
          <w:tcPr>
            <w:tcW w:w="1060" w:type="pct"/>
          </w:tcPr>
          <w:p w:rsidRPr="00176048" w:rsidR="007C726E" w:rsidP="007C726E" w:rsidRDefault="007C726E" w14:paraId="078CC80E" w14:textId="77777777">
            <w:pPr>
              <w:pStyle w:val="BodyText"/>
              <w:rPr>
                <w:rFonts w:cs="Arial" w:asciiTheme="minorHAnsi" w:hAnsiTheme="minorHAnsi"/>
                <w:sz w:val="20"/>
              </w:rPr>
            </w:pPr>
            <w:r w:rsidRPr="00176048">
              <w:rPr>
                <w:rFonts w:cs="Arial" w:asciiTheme="minorHAnsi" w:hAnsiTheme="minorHAnsi"/>
                <w:b/>
                <w:bCs/>
                <w:sz w:val="20"/>
              </w:rPr>
              <w:t xml:space="preserve">Drug Type                                   </w:t>
            </w:r>
          </w:p>
        </w:tc>
        <w:tc>
          <w:tcPr>
            <w:tcW w:w="3940" w:type="pct"/>
          </w:tcPr>
          <w:p w:rsidRPr="00176048" w:rsidR="007C726E" w:rsidP="007C726E" w:rsidRDefault="007C726E" w14:paraId="3EE37443" w14:textId="77777777">
            <w:pPr>
              <w:pStyle w:val="BodyText"/>
              <w:rPr>
                <w:rFonts w:cs="Arial" w:asciiTheme="minorHAnsi" w:hAnsiTheme="minorHAnsi"/>
                <w:sz w:val="20"/>
              </w:rPr>
            </w:pPr>
            <w:r w:rsidRPr="00176048">
              <w:rPr>
                <w:rFonts w:cs="Arial" w:asciiTheme="minorHAnsi" w:hAnsiTheme="minorHAnsi"/>
                <w:sz w:val="20"/>
              </w:rPr>
              <w:t>Proton Pump Inhibitor.</w:t>
            </w:r>
          </w:p>
        </w:tc>
      </w:tr>
      <w:tr w:rsidRPr="00176048" w:rsidR="007C726E" w:rsidTr="48F57877" w14:paraId="47CF92B1" w14:textId="77777777">
        <w:trPr>
          <w:trHeight w:val="234"/>
        </w:trPr>
        <w:tc>
          <w:tcPr>
            <w:tcW w:w="1060" w:type="pct"/>
          </w:tcPr>
          <w:p w:rsidRPr="00176048" w:rsidR="007C726E" w:rsidP="007C726E" w:rsidRDefault="007C726E" w14:paraId="31CFBA60" w14:textId="77777777">
            <w:pPr>
              <w:pStyle w:val="BodyText"/>
              <w:rPr>
                <w:rFonts w:cs="Arial" w:asciiTheme="minorHAnsi" w:hAnsiTheme="minorHAnsi"/>
                <w:b/>
                <w:bCs/>
                <w:sz w:val="20"/>
              </w:rPr>
            </w:pPr>
            <w:r w:rsidRPr="00176048">
              <w:rPr>
                <w:rFonts w:cs="Arial" w:asciiTheme="minorHAnsi" w:hAnsiTheme="minorHAnsi"/>
                <w:b/>
                <w:bCs/>
                <w:sz w:val="20"/>
              </w:rPr>
              <w:t xml:space="preserve">Trade Name                  </w:t>
            </w:r>
          </w:p>
        </w:tc>
        <w:tc>
          <w:tcPr>
            <w:tcW w:w="3940" w:type="pct"/>
          </w:tcPr>
          <w:p w:rsidRPr="00176048" w:rsidR="007C726E" w:rsidP="007C726E" w:rsidRDefault="007C726E" w14:paraId="092DC19B" w14:textId="77777777">
            <w:pPr>
              <w:pStyle w:val="BodyText"/>
              <w:rPr>
                <w:rFonts w:cs="Arial" w:asciiTheme="minorHAnsi" w:hAnsiTheme="minorHAnsi"/>
                <w:sz w:val="20"/>
              </w:rPr>
            </w:pPr>
            <w:r w:rsidRPr="00176048">
              <w:rPr>
                <w:rFonts w:cs="Arial" w:asciiTheme="minorHAnsi" w:hAnsiTheme="minorHAnsi"/>
                <w:sz w:val="20"/>
              </w:rPr>
              <w:t>APO</w:t>
            </w:r>
            <w:r>
              <w:rPr>
                <w:rFonts w:cs="Arial" w:asciiTheme="minorHAnsi" w:hAnsiTheme="minorHAnsi"/>
                <w:sz w:val="20"/>
              </w:rPr>
              <w:t>-Omeprazole Capsules (Apotex) 20 mg</w:t>
            </w:r>
          </w:p>
          <w:p w:rsidRPr="00176048" w:rsidR="007C726E" w:rsidP="007C726E" w:rsidRDefault="007C726E" w14:paraId="3B690AC9" w14:textId="77777777">
            <w:pPr>
              <w:pStyle w:val="BodyText"/>
              <w:rPr>
                <w:rFonts w:cs="Arial" w:asciiTheme="minorHAnsi" w:hAnsiTheme="minorHAnsi"/>
                <w:sz w:val="20"/>
              </w:rPr>
            </w:pPr>
            <w:r w:rsidRPr="00176048">
              <w:rPr>
                <w:rFonts w:cs="Arial" w:asciiTheme="minorHAnsi" w:hAnsiTheme="minorHAnsi"/>
                <w:sz w:val="20"/>
              </w:rPr>
              <w:t>Omeprazole San</w:t>
            </w:r>
            <w:r>
              <w:rPr>
                <w:rFonts w:cs="Arial" w:asciiTheme="minorHAnsi" w:hAnsiTheme="minorHAnsi"/>
                <w:sz w:val="20"/>
              </w:rPr>
              <w:t>doz IV Powder for injection (</w:t>
            </w:r>
            <w:r w:rsidRPr="00176048">
              <w:rPr>
                <w:rFonts w:cs="Arial" w:asciiTheme="minorHAnsi" w:hAnsiTheme="minorHAnsi"/>
                <w:sz w:val="20"/>
              </w:rPr>
              <w:t>Sandoz]</w:t>
            </w:r>
            <w:r>
              <w:rPr>
                <w:rFonts w:cs="Arial" w:asciiTheme="minorHAnsi" w:hAnsiTheme="minorHAnsi"/>
                <w:sz w:val="20"/>
              </w:rPr>
              <w:t>)</w:t>
            </w:r>
            <w:r w:rsidRPr="00176048">
              <w:rPr>
                <w:rFonts w:cs="Arial" w:asciiTheme="minorHAnsi" w:hAnsiTheme="minorHAnsi"/>
                <w:sz w:val="20"/>
              </w:rPr>
              <w:t xml:space="preserve"> 40</w:t>
            </w:r>
            <w:r>
              <w:rPr>
                <w:rFonts w:cs="Arial" w:asciiTheme="minorHAnsi" w:hAnsiTheme="minorHAnsi"/>
                <w:sz w:val="20"/>
              </w:rPr>
              <w:t xml:space="preserve"> </w:t>
            </w:r>
            <w:r w:rsidRPr="00176048">
              <w:rPr>
                <w:rFonts w:cs="Arial" w:asciiTheme="minorHAnsi" w:hAnsiTheme="minorHAnsi"/>
                <w:sz w:val="20"/>
              </w:rPr>
              <w:t xml:space="preserve">mg. </w:t>
            </w:r>
          </w:p>
        </w:tc>
      </w:tr>
      <w:tr w:rsidRPr="00176048" w:rsidR="007C726E" w:rsidTr="48F57877" w14:paraId="19FD322A" w14:textId="77777777">
        <w:trPr>
          <w:trHeight w:val="267"/>
        </w:trPr>
        <w:tc>
          <w:tcPr>
            <w:tcW w:w="1060" w:type="pct"/>
          </w:tcPr>
          <w:p w:rsidRPr="00176048" w:rsidR="007C726E" w:rsidP="007C726E" w:rsidRDefault="007C726E" w14:paraId="013B69B2" w14:textId="77777777">
            <w:pPr>
              <w:pStyle w:val="BodyText"/>
              <w:rPr>
                <w:rFonts w:cs="Arial" w:asciiTheme="minorHAnsi" w:hAnsiTheme="minorHAnsi"/>
                <w:b/>
                <w:bCs/>
                <w:sz w:val="20"/>
              </w:rPr>
            </w:pPr>
            <w:r w:rsidRPr="00176048">
              <w:rPr>
                <w:rFonts w:cs="Arial" w:asciiTheme="minorHAnsi" w:hAnsiTheme="minorHAnsi"/>
                <w:b/>
                <w:bCs/>
                <w:sz w:val="20"/>
              </w:rPr>
              <w:t xml:space="preserve">Presentation </w:t>
            </w:r>
          </w:p>
        </w:tc>
        <w:tc>
          <w:tcPr>
            <w:tcW w:w="3940" w:type="pct"/>
          </w:tcPr>
          <w:p w:rsidRPr="00176048" w:rsidR="007C726E" w:rsidP="007C726E" w:rsidRDefault="007C726E" w14:paraId="5F527986" w14:textId="77777777">
            <w:pPr>
              <w:pStyle w:val="BodyText"/>
              <w:ind w:left="34"/>
              <w:rPr>
                <w:rFonts w:cs="Arial" w:asciiTheme="minorHAnsi" w:hAnsiTheme="minorHAnsi"/>
                <w:sz w:val="20"/>
              </w:rPr>
            </w:pPr>
            <w:r w:rsidRPr="00176048">
              <w:rPr>
                <w:rFonts w:cs="Arial" w:asciiTheme="minorHAnsi" w:hAnsiTheme="minorHAnsi"/>
                <w:sz w:val="20"/>
              </w:rPr>
              <w:t>20</w:t>
            </w:r>
            <w:r>
              <w:rPr>
                <w:rFonts w:cs="Arial" w:asciiTheme="minorHAnsi" w:hAnsiTheme="minorHAnsi"/>
                <w:sz w:val="20"/>
              </w:rPr>
              <w:t xml:space="preserve"> </w:t>
            </w:r>
            <w:r w:rsidRPr="00176048">
              <w:rPr>
                <w:rFonts w:cs="Arial" w:asciiTheme="minorHAnsi" w:hAnsiTheme="minorHAnsi"/>
                <w:sz w:val="20"/>
              </w:rPr>
              <w:t xml:space="preserve">mg/capsule; 10 mg tablets; 20 mg tablets. </w:t>
            </w:r>
          </w:p>
          <w:p w:rsidRPr="00176048" w:rsidR="007C726E" w:rsidP="007C726E" w:rsidRDefault="007C726E" w14:paraId="7A0CFBCB" w14:textId="77777777">
            <w:pPr>
              <w:pStyle w:val="BodyText"/>
              <w:ind w:left="34"/>
              <w:rPr>
                <w:rFonts w:cs="Arial" w:asciiTheme="minorHAnsi" w:hAnsiTheme="minorHAnsi"/>
                <w:sz w:val="20"/>
              </w:rPr>
            </w:pPr>
            <w:r w:rsidRPr="00176048">
              <w:rPr>
                <w:rFonts w:cs="Arial" w:asciiTheme="minorHAnsi" w:hAnsiTheme="minorHAnsi"/>
                <w:sz w:val="20"/>
              </w:rPr>
              <w:t>Oral suspension of 2 mg/mL prepared in pharmacy.</w:t>
            </w:r>
          </w:p>
          <w:p w:rsidRPr="00176048" w:rsidR="007C726E" w:rsidP="007C726E" w:rsidRDefault="007C726E" w14:paraId="5F24988D" w14:textId="77777777">
            <w:pPr>
              <w:pStyle w:val="BodyText"/>
              <w:ind w:left="34"/>
              <w:rPr>
                <w:rFonts w:cs="Arial" w:asciiTheme="minorHAnsi" w:hAnsiTheme="minorHAnsi"/>
                <w:sz w:val="20"/>
              </w:rPr>
            </w:pPr>
            <w:r w:rsidRPr="00176048">
              <w:rPr>
                <w:rFonts w:cs="Arial" w:asciiTheme="minorHAnsi" w:hAnsiTheme="minorHAnsi"/>
                <w:sz w:val="20"/>
              </w:rPr>
              <w:t>Omeprazole Sandoz IV Powder for injection 40</w:t>
            </w:r>
            <w:r>
              <w:rPr>
                <w:rFonts w:cs="Arial" w:asciiTheme="minorHAnsi" w:hAnsiTheme="minorHAnsi"/>
                <w:sz w:val="20"/>
              </w:rPr>
              <w:t xml:space="preserve"> </w:t>
            </w:r>
            <w:r w:rsidRPr="00176048">
              <w:rPr>
                <w:rFonts w:cs="Arial" w:asciiTheme="minorHAnsi" w:hAnsiTheme="minorHAnsi"/>
                <w:sz w:val="20"/>
              </w:rPr>
              <w:t>mg.</w:t>
            </w:r>
          </w:p>
        </w:tc>
      </w:tr>
      <w:tr w:rsidRPr="00176048" w:rsidR="007C726E" w:rsidTr="48F57877" w14:paraId="520C5655" w14:textId="77777777">
        <w:trPr>
          <w:trHeight w:val="273"/>
        </w:trPr>
        <w:tc>
          <w:tcPr>
            <w:tcW w:w="1060" w:type="pct"/>
          </w:tcPr>
          <w:p w:rsidRPr="00176048" w:rsidR="007C726E" w:rsidP="007C726E" w:rsidRDefault="007C726E" w14:paraId="217A400A" w14:textId="77777777">
            <w:pPr>
              <w:pStyle w:val="BodyText"/>
              <w:rPr>
                <w:rFonts w:cs="Arial" w:asciiTheme="minorHAnsi" w:hAnsiTheme="minorHAnsi"/>
                <w:b/>
                <w:bCs/>
                <w:sz w:val="20"/>
              </w:rPr>
            </w:pPr>
            <w:r w:rsidRPr="00176048">
              <w:rPr>
                <w:rFonts w:cs="Arial" w:asciiTheme="minorHAnsi" w:hAnsiTheme="minorHAnsi"/>
                <w:b/>
                <w:bCs/>
                <w:sz w:val="20"/>
              </w:rPr>
              <w:t xml:space="preserve">Dosage / Interval                           </w:t>
            </w:r>
          </w:p>
        </w:tc>
        <w:tc>
          <w:tcPr>
            <w:tcW w:w="3940" w:type="pct"/>
          </w:tcPr>
          <w:p w:rsidRPr="00176048" w:rsidR="007C726E" w:rsidP="007C726E" w:rsidRDefault="007C726E" w14:paraId="69F77DBF" w14:textId="77777777">
            <w:pPr>
              <w:pStyle w:val="BodyText"/>
              <w:rPr>
                <w:rFonts w:asciiTheme="minorHAnsi" w:hAnsiTheme="minorHAnsi"/>
                <w:sz w:val="20"/>
              </w:rPr>
            </w:pPr>
            <w:r w:rsidRPr="00176048">
              <w:rPr>
                <w:rFonts w:asciiTheme="minorHAnsi" w:hAnsiTheme="minorHAnsi"/>
                <w:sz w:val="20"/>
              </w:rPr>
              <w:t>PO: 0.5</w:t>
            </w:r>
            <w:r>
              <w:rPr>
                <w:rFonts w:asciiTheme="minorHAnsi" w:hAnsiTheme="minorHAnsi"/>
                <w:sz w:val="20"/>
              </w:rPr>
              <w:t>–</w:t>
            </w:r>
            <w:r w:rsidRPr="00176048">
              <w:rPr>
                <w:rFonts w:asciiTheme="minorHAnsi" w:hAnsiTheme="minorHAnsi"/>
                <w:sz w:val="20"/>
              </w:rPr>
              <w:t>1.5 mg/kg/dose daily</w:t>
            </w:r>
          </w:p>
          <w:p w:rsidRPr="00176048" w:rsidR="007C726E" w:rsidP="007C726E" w:rsidRDefault="007C726E" w14:paraId="569FF87A" w14:textId="77777777">
            <w:pPr>
              <w:pStyle w:val="BodyText"/>
              <w:rPr>
                <w:rFonts w:asciiTheme="minorHAnsi" w:hAnsiTheme="minorHAnsi"/>
                <w:sz w:val="20"/>
              </w:rPr>
            </w:pPr>
            <w:r w:rsidRPr="00176048">
              <w:rPr>
                <w:rFonts w:asciiTheme="minorHAnsi" w:hAnsiTheme="minorHAnsi"/>
                <w:sz w:val="20"/>
              </w:rPr>
              <w:t>IV: 0.5 mg/kg/dose daily</w:t>
            </w:r>
          </w:p>
        </w:tc>
      </w:tr>
      <w:tr w:rsidRPr="00176048" w:rsidR="007C726E" w:rsidTr="48F57877" w14:paraId="31BB32A4" w14:textId="77777777">
        <w:trPr>
          <w:trHeight w:val="191"/>
        </w:trPr>
        <w:tc>
          <w:tcPr>
            <w:tcW w:w="1060" w:type="pct"/>
          </w:tcPr>
          <w:p w:rsidRPr="00176048" w:rsidR="007C726E" w:rsidP="007C726E" w:rsidRDefault="007C726E" w14:paraId="3E58D7F1" w14:textId="77777777">
            <w:pPr>
              <w:pStyle w:val="BodyText"/>
              <w:rPr>
                <w:rFonts w:asciiTheme="minorHAnsi" w:hAnsiTheme="minorHAnsi"/>
                <w:b/>
                <w:sz w:val="20"/>
              </w:rPr>
            </w:pPr>
            <w:r w:rsidRPr="00176048">
              <w:rPr>
                <w:rFonts w:asciiTheme="minorHAnsi" w:hAnsiTheme="minorHAnsi"/>
                <w:b/>
                <w:sz w:val="20"/>
              </w:rPr>
              <w:t>Maximum daily dose</w:t>
            </w:r>
          </w:p>
        </w:tc>
        <w:tc>
          <w:tcPr>
            <w:tcW w:w="3940" w:type="pct"/>
          </w:tcPr>
          <w:p w:rsidRPr="00176048" w:rsidR="007C726E" w:rsidP="007C726E" w:rsidRDefault="007C726E" w14:paraId="716102F4" w14:textId="77777777">
            <w:pPr>
              <w:pStyle w:val="BodyText"/>
              <w:rPr>
                <w:rFonts w:asciiTheme="minorHAnsi" w:hAnsiTheme="minorHAnsi"/>
                <w:sz w:val="20"/>
              </w:rPr>
            </w:pPr>
            <w:r w:rsidRPr="00176048">
              <w:rPr>
                <w:rFonts w:asciiTheme="minorHAnsi" w:hAnsiTheme="minorHAnsi"/>
                <w:sz w:val="20"/>
              </w:rPr>
              <w:t>1.5 mg/kg/dose</w:t>
            </w:r>
          </w:p>
        </w:tc>
      </w:tr>
      <w:tr w:rsidRPr="00176048" w:rsidR="007C726E" w:rsidTr="48F57877" w14:paraId="480D407A" w14:textId="77777777">
        <w:trPr>
          <w:trHeight w:val="209"/>
        </w:trPr>
        <w:tc>
          <w:tcPr>
            <w:tcW w:w="1060" w:type="pct"/>
          </w:tcPr>
          <w:p w:rsidRPr="00176048" w:rsidR="007C726E" w:rsidP="007C726E" w:rsidRDefault="007C726E" w14:paraId="75929BE9" w14:textId="77777777">
            <w:pPr>
              <w:pStyle w:val="BodyText"/>
              <w:rPr>
                <w:rFonts w:cs="Arial" w:asciiTheme="minorHAnsi" w:hAnsiTheme="minorHAnsi"/>
                <w:b/>
                <w:bCs/>
                <w:sz w:val="20"/>
              </w:rPr>
            </w:pPr>
            <w:r w:rsidRPr="00176048">
              <w:rPr>
                <w:rFonts w:cs="Arial" w:asciiTheme="minorHAnsi" w:hAnsiTheme="minorHAnsi"/>
                <w:b/>
                <w:bCs/>
                <w:sz w:val="20"/>
              </w:rPr>
              <w:t xml:space="preserve">Route        </w:t>
            </w:r>
          </w:p>
        </w:tc>
        <w:tc>
          <w:tcPr>
            <w:tcW w:w="3940" w:type="pct"/>
          </w:tcPr>
          <w:p w:rsidRPr="00176048" w:rsidR="007C726E" w:rsidP="007C726E" w:rsidRDefault="007C726E" w14:paraId="14742DC9" w14:textId="77777777">
            <w:pPr>
              <w:pStyle w:val="BodyText"/>
              <w:rPr>
                <w:rFonts w:cs="Arial" w:asciiTheme="minorHAnsi" w:hAnsiTheme="minorHAnsi"/>
                <w:sz w:val="20"/>
              </w:rPr>
            </w:pPr>
            <w:r w:rsidRPr="00176048">
              <w:rPr>
                <w:rFonts w:cs="Arial" w:asciiTheme="minorHAnsi" w:hAnsiTheme="minorHAnsi"/>
                <w:sz w:val="20"/>
              </w:rPr>
              <w:t>PO, IV</w:t>
            </w:r>
          </w:p>
        </w:tc>
      </w:tr>
      <w:tr w:rsidRPr="00176048" w:rsidR="007C726E" w:rsidTr="48F57877" w14:paraId="542382C4" w14:textId="77777777">
        <w:trPr>
          <w:trHeight w:val="275"/>
        </w:trPr>
        <w:tc>
          <w:tcPr>
            <w:tcW w:w="1060" w:type="pct"/>
          </w:tcPr>
          <w:p w:rsidRPr="00176048" w:rsidR="007C726E" w:rsidP="77BEE3D0" w:rsidRDefault="007C726E" w14:paraId="3F6F5499" w14:textId="0BA5D1D7">
            <w:pPr>
              <w:pStyle w:val="BodyText"/>
              <w:rPr>
                <w:rFonts w:cs="Arial" w:asciiTheme="minorHAnsi" w:hAnsiTheme="minorHAnsi"/>
                <w:b/>
                <w:bCs/>
                <w:sz w:val="20"/>
                <w:highlight w:val="cyan"/>
              </w:rPr>
            </w:pPr>
            <w:r w:rsidRPr="77BEE3D0">
              <w:rPr>
                <w:rFonts w:cs="Arial" w:asciiTheme="minorHAnsi" w:hAnsiTheme="minorHAnsi"/>
                <w:b/>
                <w:bCs/>
                <w:sz w:val="20"/>
              </w:rPr>
              <w:t>Preparation/Dilution</w:t>
            </w:r>
          </w:p>
        </w:tc>
        <w:tc>
          <w:tcPr>
            <w:tcW w:w="3940" w:type="pct"/>
          </w:tcPr>
          <w:p w:rsidRPr="00176048" w:rsidR="007C726E" w:rsidP="007C726E" w:rsidRDefault="007C726E" w14:paraId="2D0D47FA" w14:textId="77777777">
            <w:pPr>
              <w:pStyle w:val="BodyText"/>
              <w:rPr>
                <w:rFonts w:cs="Arial" w:asciiTheme="minorHAnsi" w:hAnsiTheme="minorHAnsi"/>
                <w:sz w:val="20"/>
              </w:rPr>
            </w:pPr>
            <w:r w:rsidRPr="00176048">
              <w:rPr>
                <w:rFonts w:cs="Arial" w:asciiTheme="minorHAnsi" w:hAnsiTheme="minorHAnsi"/>
                <w:sz w:val="20"/>
              </w:rPr>
              <w:t>PO: In-house pharmacy can prepare a 2 mg/mL suspension using these capsules as follows: Disperse 100</w:t>
            </w:r>
            <w:r>
              <w:rPr>
                <w:rFonts w:cs="Arial" w:asciiTheme="minorHAnsi" w:hAnsiTheme="minorHAnsi"/>
                <w:sz w:val="20"/>
              </w:rPr>
              <w:t xml:space="preserve"> </w:t>
            </w:r>
            <w:r w:rsidRPr="00176048">
              <w:rPr>
                <w:rFonts w:cs="Arial" w:asciiTheme="minorHAnsi" w:hAnsiTheme="minorHAnsi"/>
                <w:sz w:val="20"/>
              </w:rPr>
              <w:t>mg omeprazole in 50</w:t>
            </w:r>
            <w:r>
              <w:rPr>
                <w:rFonts w:cs="Arial" w:asciiTheme="minorHAnsi" w:hAnsiTheme="minorHAnsi"/>
                <w:sz w:val="20"/>
              </w:rPr>
              <w:t xml:space="preserve"> mL</w:t>
            </w:r>
            <w:r w:rsidRPr="00176048">
              <w:rPr>
                <w:rFonts w:cs="Arial" w:asciiTheme="minorHAnsi" w:hAnsiTheme="minorHAnsi"/>
                <w:sz w:val="20"/>
              </w:rPr>
              <w:t xml:space="preserve"> of 8.4%</w:t>
            </w:r>
            <w:r>
              <w:rPr>
                <w:rFonts w:cs="Arial" w:asciiTheme="minorHAnsi" w:hAnsiTheme="minorHAnsi"/>
                <w:sz w:val="20"/>
              </w:rPr>
              <w:t xml:space="preserve"> </w:t>
            </w:r>
            <w:r w:rsidRPr="00176048">
              <w:rPr>
                <w:rFonts w:cs="Arial" w:asciiTheme="minorHAnsi" w:hAnsiTheme="minorHAnsi"/>
                <w:sz w:val="20"/>
              </w:rPr>
              <w:t>sodium bicarbonate solution.</w:t>
            </w:r>
          </w:p>
          <w:p w:rsidRPr="00176048" w:rsidR="007C726E" w:rsidP="007C726E" w:rsidRDefault="007C726E" w14:paraId="718F05DA" w14:textId="77777777">
            <w:pPr>
              <w:pStyle w:val="BodyText"/>
            </w:pPr>
            <w:r w:rsidRPr="00176048">
              <w:rPr>
                <w:rFonts w:cs="Arial" w:asciiTheme="minorHAnsi" w:hAnsiTheme="minorHAnsi"/>
                <w:sz w:val="20"/>
              </w:rPr>
              <w:t>1</w:t>
            </w:r>
            <w:r>
              <w:rPr>
                <w:rFonts w:cs="Arial" w:asciiTheme="minorHAnsi" w:hAnsiTheme="minorHAnsi"/>
                <w:sz w:val="20"/>
              </w:rPr>
              <w:t xml:space="preserve"> mL</w:t>
            </w:r>
            <w:r w:rsidRPr="00176048">
              <w:rPr>
                <w:rFonts w:cs="Arial" w:asciiTheme="minorHAnsi" w:hAnsiTheme="minorHAnsi"/>
                <w:sz w:val="20"/>
              </w:rPr>
              <w:t xml:space="preserve"> of </w:t>
            </w:r>
            <w:r>
              <w:rPr>
                <w:rFonts w:cs="Arial" w:asciiTheme="minorHAnsi" w:hAnsiTheme="minorHAnsi"/>
                <w:sz w:val="20"/>
              </w:rPr>
              <w:t>o</w:t>
            </w:r>
            <w:r w:rsidRPr="00176048">
              <w:rPr>
                <w:rFonts w:cs="Arial" w:asciiTheme="minorHAnsi" w:hAnsiTheme="minorHAnsi"/>
                <w:sz w:val="20"/>
              </w:rPr>
              <w:t>meprazole suspension contains 2</w:t>
            </w:r>
            <w:r>
              <w:rPr>
                <w:rFonts w:cs="Arial" w:asciiTheme="minorHAnsi" w:hAnsiTheme="minorHAnsi"/>
                <w:sz w:val="20"/>
              </w:rPr>
              <w:t xml:space="preserve"> </w:t>
            </w:r>
            <w:r w:rsidRPr="00176048">
              <w:rPr>
                <w:rFonts w:cs="Arial" w:asciiTheme="minorHAnsi" w:hAnsiTheme="minorHAnsi"/>
                <w:sz w:val="20"/>
              </w:rPr>
              <w:t xml:space="preserve">mg </w:t>
            </w:r>
            <w:r>
              <w:rPr>
                <w:rFonts w:cs="Arial" w:asciiTheme="minorHAnsi" w:hAnsiTheme="minorHAnsi"/>
                <w:sz w:val="20"/>
              </w:rPr>
              <w:t>o</w:t>
            </w:r>
            <w:r w:rsidRPr="00176048">
              <w:rPr>
                <w:rFonts w:cs="Arial" w:asciiTheme="minorHAnsi" w:hAnsiTheme="minorHAnsi"/>
                <w:sz w:val="20"/>
              </w:rPr>
              <w:t>meprazole, 1</w:t>
            </w:r>
            <w:r>
              <w:rPr>
                <w:rFonts w:cs="Arial" w:asciiTheme="minorHAnsi" w:hAnsiTheme="minorHAnsi"/>
                <w:sz w:val="20"/>
              </w:rPr>
              <w:t xml:space="preserve"> </w:t>
            </w:r>
            <w:r w:rsidRPr="00176048">
              <w:rPr>
                <w:rFonts w:cs="Arial" w:asciiTheme="minorHAnsi" w:hAnsiTheme="minorHAnsi"/>
                <w:sz w:val="20"/>
              </w:rPr>
              <w:t xml:space="preserve">mmol </w:t>
            </w:r>
            <w:r>
              <w:rPr>
                <w:rFonts w:cs="Arial" w:asciiTheme="minorHAnsi" w:hAnsiTheme="minorHAnsi"/>
                <w:sz w:val="20"/>
              </w:rPr>
              <w:t>s</w:t>
            </w:r>
            <w:r w:rsidRPr="00176048">
              <w:rPr>
                <w:rFonts w:cs="Arial" w:asciiTheme="minorHAnsi" w:hAnsiTheme="minorHAnsi"/>
                <w:sz w:val="20"/>
              </w:rPr>
              <w:t>odium and 1</w:t>
            </w:r>
            <w:r>
              <w:rPr>
                <w:rFonts w:cs="Arial" w:asciiTheme="minorHAnsi" w:hAnsiTheme="minorHAnsi"/>
                <w:sz w:val="20"/>
              </w:rPr>
              <w:t xml:space="preserve"> </w:t>
            </w:r>
            <w:r w:rsidRPr="00176048">
              <w:rPr>
                <w:rFonts w:cs="Arial" w:asciiTheme="minorHAnsi" w:hAnsiTheme="minorHAnsi"/>
                <w:sz w:val="20"/>
              </w:rPr>
              <w:t xml:space="preserve">mmol </w:t>
            </w:r>
            <w:r>
              <w:rPr>
                <w:rFonts w:cs="Arial" w:asciiTheme="minorHAnsi" w:hAnsiTheme="minorHAnsi"/>
                <w:sz w:val="20"/>
              </w:rPr>
              <w:t>b</w:t>
            </w:r>
            <w:r w:rsidRPr="00176048">
              <w:rPr>
                <w:rFonts w:cs="Arial" w:asciiTheme="minorHAnsi" w:hAnsiTheme="minorHAnsi"/>
                <w:sz w:val="20"/>
              </w:rPr>
              <w:t>icarbonate.</w:t>
            </w:r>
            <w:r w:rsidRPr="00176048">
              <w:t xml:space="preserve"> </w:t>
            </w:r>
          </w:p>
          <w:p w:rsidRPr="00176048" w:rsidR="007C726E" w:rsidP="007C726E" w:rsidRDefault="007C726E" w14:paraId="16E079B4" w14:textId="77777777">
            <w:pPr>
              <w:pStyle w:val="BodyText"/>
            </w:pPr>
          </w:p>
          <w:p w:rsidRPr="00176048" w:rsidR="007C726E" w:rsidP="007C726E" w:rsidRDefault="007C726E" w14:paraId="3CA9AB75" w14:textId="77777777">
            <w:pPr>
              <w:pStyle w:val="BodyText"/>
              <w:rPr>
                <w:rFonts w:cs="Arial" w:asciiTheme="minorHAnsi" w:hAnsiTheme="minorHAnsi"/>
                <w:sz w:val="20"/>
              </w:rPr>
            </w:pPr>
            <w:r w:rsidRPr="00176048">
              <w:rPr>
                <w:rFonts w:cs="Arial" w:asciiTheme="minorHAnsi" w:hAnsiTheme="minorHAnsi"/>
                <w:sz w:val="20"/>
              </w:rPr>
              <w:t xml:space="preserve">IV: </w:t>
            </w:r>
            <w:r w:rsidRPr="00A85A62">
              <w:rPr>
                <w:rFonts w:cs="Arial" w:asciiTheme="minorHAnsi" w:hAnsiTheme="minorHAnsi"/>
                <w:sz w:val="20"/>
              </w:rPr>
              <w:t>Add 10 mL of sodium chloride 0.9% to 40 mg powder for reconstitution to make a concentration of 4 mg/mL.</w:t>
            </w:r>
            <w:r>
              <w:rPr>
                <w:rFonts w:cs="Arial" w:asciiTheme="minorHAnsi" w:hAnsiTheme="minorHAnsi"/>
                <w:sz w:val="20"/>
              </w:rPr>
              <w:t xml:space="preserve"> </w:t>
            </w:r>
            <w:r w:rsidRPr="00A85A62">
              <w:rPr>
                <w:rFonts w:cs="Arial" w:asciiTheme="minorHAnsi" w:hAnsiTheme="minorHAnsi"/>
                <w:sz w:val="20"/>
              </w:rPr>
              <w:t>Draw up 1 mL (4 mg) and add 9 mL of sodium chloride 0.9% to make a final volume of 10 mL with a concentration of 0.4 mg/mL.</w:t>
            </w:r>
          </w:p>
        </w:tc>
      </w:tr>
      <w:tr w:rsidRPr="00176048" w:rsidR="007C726E" w:rsidTr="48F57877" w14:paraId="2F4B4B8E" w14:textId="77777777">
        <w:trPr>
          <w:trHeight w:val="163"/>
        </w:trPr>
        <w:tc>
          <w:tcPr>
            <w:tcW w:w="1060" w:type="pct"/>
          </w:tcPr>
          <w:p w:rsidRPr="00176048" w:rsidR="007C726E" w:rsidP="007C726E" w:rsidRDefault="007C726E" w14:paraId="715C7C2E" w14:textId="77777777">
            <w:pPr>
              <w:pStyle w:val="BodyText"/>
              <w:rPr>
                <w:rFonts w:cs="Arial" w:asciiTheme="minorHAnsi" w:hAnsiTheme="minorHAnsi"/>
                <w:b/>
                <w:bCs/>
                <w:sz w:val="20"/>
              </w:rPr>
            </w:pPr>
            <w:r w:rsidRPr="00176048">
              <w:rPr>
                <w:rFonts w:cs="Arial" w:asciiTheme="minorHAnsi" w:hAnsiTheme="minorHAnsi"/>
                <w:b/>
                <w:bCs/>
                <w:sz w:val="20"/>
              </w:rPr>
              <w:t xml:space="preserve">Administration    </w:t>
            </w:r>
          </w:p>
        </w:tc>
        <w:tc>
          <w:tcPr>
            <w:tcW w:w="3940" w:type="pct"/>
          </w:tcPr>
          <w:p w:rsidRPr="00176048" w:rsidR="007C726E" w:rsidP="007C726E" w:rsidRDefault="007C726E" w14:paraId="0414EEE5" w14:textId="77777777">
            <w:pPr>
              <w:pStyle w:val="BodyText"/>
              <w:rPr>
                <w:rFonts w:cs="Arial" w:asciiTheme="minorHAnsi" w:hAnsiTheme="minorHAnsi"/>
                <w:sz w:val="20"/>
              </w:rPr>
            </w:pPr>
            <w:r w:rsidRPr="00176048">
              <w:rPr>
                <w:rFonts w:cs="Arial" w:asciiTheme="minorHAnsi" w:hAnsiTheme="minorHAnsi"/>
                <w:sz w:val="20"/>
              </w:rPr>
              <w:t>PO: Administer prior to meals.</w:t>
            </w:r>
          </w:p>
          <w:p w:rsidRPr="00176048" w:rsidR="007C726E" w:rsidP="007C726E" w:rsidRDefault="007C726E" w14:paraId="321D762C" w14:textId="77777777">
            <w:pPr>
              <w:pStyle w:val="BodyText"/>
              <w:rPr>
                <w:rFonts w:cs="Arial" w:asciiTheme="minorHAnsi" w:hAnsiTheme="minorHAnsi"/>
                <w:sz w:val="20"/>
              </w:rPr>
            </w:pPr>
            <w:r w:rsidRPr="00176048">
              <w:rPr>
                <w:rFonts w:cs="Arial" w:asciiTheme="minorHAnsi" w:hAnsiTheme="minorHAnsi"/>
                <w:sz w:val="20"/>
              </w:rPr>
              <w:t>IV: Infuse over 30 minutes.</w:t>
            </w:r>
          </w:p>
        </w:tc>
      </w:tr>
      <w:tr w:rsidRPr="00176048" w:rsidR="007C726E" w:rsidTr="48F57877" w14:paraId="3BFE6AED" w14:textId="77777777">
        <w:trPr>
          <w:trHeight w:val="221"/>
        </w:trPr>
        <w:tc>
          <w:tcPr>
            <w:tcW w:w="1060" w:type="pct"/>
          </w:tcPr>
          <w:p w:rsidRPr="00176048" w:rsidR="007C726E" w:rsidP="007C726E" w:rsidRDefault="007C726E" w14:paraId="769E4AB1" w14:textId="77777777">
            <w:pPr>
              <w:pStyle w:val="BodyText"/>
              <w:rPr>
                <w:rFonts w:cs="Arial" w:asciiTheme="minorHAnsi" w:hAnsiTheme="minorHAnsi"/>
                <w:b/>
                <w:bCs/>
                <w:sz w:val="20"/>
              </w:rPr>
            </w:pPr>
            <w:r w:rsidRPr="00176048">
              <w:rPr>
                <w:rFonts w:cs="Arial" w:asciiTheme="minorHAnsi" w:hAnsiTheme="minorHAnsi"/>
                <w:b/>
                <w:bCs/>
                <w:sz w:val="20"/>
              </w:rPr>
              <w:t xml:space="preserve">Monitoring                             </w:t>
            </w:r>
          </w:p>
        </w:tc>
        <w:tc>
          <w:tcPr>
            <w:tcW w:w="3940" w:type="pct"/>
          </w:tcPr>
          <w:p w:rsidRPr="00176048" w:rsidR="007C726E" w:rsidP="48F57877" w:rsidRDefault="007C726E" w14:paraId="31A46CC6" w14:textId="2C91B160">
            <w:pPr>
              <w:pStyle w:val="BodyText"/>
              <w:rPr>
                <w:rFonts w:cs="Arial" w:asciiTheme="minorHAnsi" w:hAnsiTheme="minorHAnsi"/>
                <w:sz w:val="20"/>
              </w:rPr>
            </w:pPr>
            <w:r w:rsidRPr="48F57877">
              <w:rPr>
                <w:rFonts w:cs="Arial" w:asciiTheme="minorHAnsi" w:hAnsiTheme="minorHAnsi"/>
                <w:sz w:val="20"/>
              </w:rPr>
              <w:t>Serum magnesium</w:t>
            </w:r>
            <w:r w:rsidRPr="48F57877" w:rsidR="4B2BF592">
              <w:rPr>
                <w:rFonts w:cs="Arial" w:asciiTheme="minorHAnsi" w:hAnsiTheme="minorHAnsi"/>
                <w:sz w:val="20"/>
              </w:rPr>
              <w:t xml:space="preserve"> </w:t>
            </w:r>
            <w:r w:rsidRPr="48F57877">
              <w:rPr>
                <w:rFonts w:cs="Arial" w:asciiTheme="minorHAnsi" w:hAnsiTheme="minorHAnsi"/>
                <w:sz w:val="20"/>
              </w:rPr>
              <w:t>in patients on prolonged therapy or who use digoxin or drugs that may cause hypomagnesaemia (e.g. diuretics) concomitantly.</w:t>
            </w:r>
            <w:r w:rsidRPr="48F57877">
              <w:rPr>
                <w:rFonts w:cs="Arial" w:asciiTheme="minorHAnsi" w:hAnsiTheme="minorHAnsi"/>
                <w:sz w:val="20"/>
                <w:vertAlign w:val="superscript"/>
              </w:rPr>
              <w:t>20-21</w:t>
            </w:r>
          </w:p>
          <w:p w:rsidRPr="00176048" w:rsidR="007C726E" w:rsidP="007C726E" w:rsidRDefault="007C726E" w14:paraId="0BEDC72B" w14:textId="77777777">
            <w:pPr>
              <w:pStyle w:val="BodyText"/>
              <w:rPr>
                <w:rFonts w:cs="Arial" w:asciiTheme="minorHAnsi" w:hAnsiTheme="minorHAnsi"/>
                <w:sz w:val="20"/>
              </w:rPr>
            </w:pPr>
            <w:r w:rsidRPr="00176048">
              <w:rPr>
                <w:rFonts w:cs="Arial" w:asciiTheme="minorHAnsi" w:hAnsiTheme="minorHAnsi"/>
                <w:sz w:val="20"/>
              </w:rPr>
              <w:t>Serum vitamin B</w:t>
            </w:r>
            <w:r w:rsidRPr="00DA6852">
              <w:rPr>
                <w:rFonts w:cs="Arial" w:asciiTheme="minorHAnsi" w:hAnsiTheme="minorHAnsi"/>
                <w:sz w:val="20"/>
                <w:vertAlign w:val="subscript"/>
              </w:rPr>
              <w:t>12</w:t>
            </w:r>
            <w:r w:rsidRPr="00176048">
              <w:rPr>
                <w:rFonts w:cs="Arial" w:asciiTheme="minorHAnsi" w:hAnsiTheme="minorHAnsi"/>
                <w:sz w:val="20"/>
              </w:rPr>
              <w:t xml:space="preserve"> </w:t>
            </w:r>
            <w:r>
              <w:rPr>
                <w:rFonts w:cs="Arial" w:asciiTheme="minorHAnsi" w:hAnsiTheme="minorHAnsi"/>
                <w:sz w:val="20"/>
              </w:rPr>
              <w:t>—</w:t>
            </w:r>
            <w:r w:rsidRPr="00176048">
              <w:rPr>
                <w:rFonts w:cs="Arial" w:asciiTheme="minorHAnsi" w:hAnsiTheme="minorHAnsi"/>
                <w:sz w:val="20"/>
              </w:rPr>
              <w:t xml:space="preserve"> every 1 to 2 years in patients on prolonged therapy.</w:t>
            </w:r>
            <w:r w:rsidRPr="00176048">
              <w:rPr>
                <w:rFonts w:cs="Arial" w:asciiTheme="minorHAnsi" w:hAnsiTheme="minorHAnsi"/>
                <w:sz w:val="20"/>
                <w:vertAlign w:val="superscript"/>
              </w:rPr>
              <w:t>20-21</w:t>
            </w:r>
          </w:p>
        </w:tc>
      </w:tr>
      <w:tr w:rsidRPr="00176048" w:rsidR="007C726E" w:rsidTr="48F57877" w14:paraId="76C25618" w14:textId="77777777">
        <w:trPr>
          <w:trHeight w:val="207"/>
        </w:trPr>
        <w:tc>
          <w:tcPr>
            <w:tcW w:w="1060" w:type="pct"/>
          </w:tcPr>
          <w:p w:rsidRPr="00176048" w:rsidR="007C726E" w:rsidP="007C726E" w:rsidRDefault="007C726E" w14:paraId="2A58E9AE" w14:textId="77777777">
            <w:pPr>
              <w:pStyle w:val="BodyText"/>
              <w:rPr>
                <w:rFonts w:cs="Arial" w:asciiTheme="minorHAnsi" w:hAnsiTheme="minorHAnsi"/>
                <w:b/>
                <w:bCs/>
                <w:sz w:val="20"/>
              </w:rPr>
            </w:pPr>
            <w:r w:rsidRPr="00176048">
              <w:rPr>
                <w:rFonts w:cs="Arial" w:asciiTheme="minorHAnsi" w:hAnsiTheme="minorHAnsi"/>
                <w:b/>
                <w:bCs/>
                <w:sz w:val="20"/>
              </w:rPr>
              <w:t xml:space="preserve">Contraindications                        </w:t>
            </w:r>
          </w:p>
        </w:tc>
        <w:tc>
          <w:tcPr>
            <w:tcW w:w="3940" w:type="pct"/>
          </w:tcPr>
          <w:p w:rsidRPr="00176048" w:rsidR="007C726E" w:rsidP="007C726E" w:rsidRDefault="007C726E" w14:paraId="30097B0C" w14:textId="77777777">
            <w:pPr>
              <w:pStyle w:val="BodyText"/>
              <w:rPr>
                <w:rFonts w:cs="Arial" w:asciiTheme="minorHAnsi" w:hAnsiTheme="minorHAnsi"/>
                <w:sz w:val="20"/>
              </w:rPr>
            </w:pPr>
            <w:r w:rsidRPr="00176048">
              <w:rPr>
                <w:rFonts w:cs="Arial" w:asciiTheme="minorHAnsi" w:hAnsiTheme="minorHAnsi"/>
                <w:sz w:val="20"/>
              </w:rPr>
              <w:t>Hypersensitivity to any component of the product.</w:t>
            </w:r>
          </w:p>
        </w:tc>
      </w:tr>
      <w:tr w:rsidRPr="00176048" w:rsidR="007C726E" w:rsidTr="48F57877" w14:paraId="3F2B3FC5" w14:textId="77777777">
        <w:tc>
          <w:tcPr>
            <w:tcW w:w="1060" w:type="pct"/>
          </w:tcPr>
          <w:p w:rsidRPr="00176048" w:rsidR="007C726E" w:rsidP="007C726E" w:rsidRDefault="007C726E" w14:paraId="186DD5A6" w14:textId="77777777">
            <w:pPr>
              <w:pStyle w:val="BodyText"/>
              <w:rPr>
                <w:rFonts w:cs="Arial" w:asciiTheme="minorHAnsi" w:hAnsiTheme="minorHAnsi"/>
                <w:b/>
                <w:bCs/>
                <w:sz w:val="20"/>
              </w:rPr>
            </w:pPr>
            <w:r w:rsidRPr="00176048">
              <w:rPr>
                <w:rFonts w:asciiTheme="minorHAnsi" w:hAnsiTheme="minorHAnsi"/>
                <w:sz w:val="20"/>
              </w:rPr>
              <w:br w:type="page"/>
            </w:r>
            <w:r w:rsidRPr="00176048">
              <w:rPr>
                <w:rFonts w:cs="Arial" w:asciiTheme="minorHAnsi" w:hAnsiTheme="minorHAnsi"/>
                <w:b/>
                <w:bCs/>
                <w:sz w:val="20"/>
              </w:rPr>
              <w:t>Precautions</w:t>
            </w:r>
          </w:p>
        </w:tc>
        <w:tc>
          <w:tcPr>
            <w:tcW w:w="3940" w:type="pct"/>
          </w:tcPr>
          <w:p w:rsidRPr="00176048" w:rsidR="007C726E" w:rsidP="007C726E" w:rsidRDefault="007C726E" w14:paraId="48AA0FC1" w14:textId="77777777">
            <w:pPr>
              <w:pStyle w:val="BodyText"/>
              <w:rPr>
                <w:rFonts w:cs="Arial" w:asciiTheme="minorHAnsi" w:hAnsiTheme="minorHAnsi"/>
                <w:sz w:val="20"/>
              </w:rPr>
            </w:pPr>
          </w:p>
        </w:tc>
      </w:tr>
      <w:tr w:rsidRPr="00176048" w:rsidR="007C726E" w:rsidTr="48F57877" w14:paraId="7C64A761" w14:textId="77777777">
        <w:trPr>
          <w:trHeight w:val="276"/>
        </w:trPr>
        <w:tc>
          <w:tcPr>
            <w:tcW w:w="1060" w:type="pct"/>
          </w:tcPr>
          <w:p w:rsidRPr="00176048" w:rsidR="007C726E" w:rsidP="007C726E" w:rsidRDefault="007C726E" w14:paraId="793A4E8A" w14:textId="77777777">
            <w:pPr>
              <w:pStyle w:val="BodyText"/>
              <w:rPr>
                <w:rFonts w:cs="Arial" w:asciiTheme="minorHAnsi" w:hAnsiTheme="minorHAnsi"/>
                <w:b/>
                <w:bCs/>
                <w:sz w:val="20"/>
              </w:rPr>
            </w:pPr>
            <w:r w:rsidRPr="00176048">
              <w:rPr>
                <w:rFonts w:cs="Arial" w:asciiTheme="minorHAnsi" w:hAnsiTheme="minorHAnsi"/>
                <w:b/>
                <w:bCs/>
                <w:sz w:val="20"/>
              </w:rPr>
              <w:t>Drug Interactions</w:t>
            </w:r>
          </w:p>
        </w:tc>
        <w:tc>
          <w:tcPr>
            <w:tcW w:w="3940" w:type="pct"/>
          </w:tcPr>
          <w:p w:rsidRPr="00176048" w:rsidR="007C726E" w:rsidP="007C726E" w:rsidRDefault="007C726E" w14:paraId="4CE40C80" w14:textId="77777777">
            <w:pPr>
              <w:pStyle w:val="BodyText"/>
              <w:rPr>
                <w:rFonts w:cs="Arial" w:asciiTheme="minorHAnsi" w:hAnsiTheme="minorHAnsi"/>
                <w:sz w:val="20"/>
              </w:rPr>
            </w:pPr>
            <w:r w:rsidRPr="00176048">
              <w:rPr>
                <w:rFonts w:cs="Arial" w:asciiTheme="minorHAnsi" w:hAnsiTheme="minorHAnsi"/>
                <w:sz w:val="20"/>
              </w:rPr>
              <w:t xml:space="preserve">Concurrent use of </w:t>
            </w:r>
            <w:r>
              <w:rPr>
                <w:rFonts w:cs="Arial" w:asciiTheme="minorHAnsi" w:hAnsiTheme="minorHAnsi"/>
                <w:sz w:val="20"/>
              </w:rPr>
              <w:t>ketoconazole</w:t>
            </w:r>
            <w:r w:rsidRPr="00176048">
              <w:rPr>
                <w:rFonts w:cs="Arial" w:asciiTheme="minorHAnsi" w:hAnsiTheme="minorHAnsi"/>
                <w:sz w:val="20"/>
              </w:rPr>
              <w:t xml:space="preserve"> may result in decreased ketoconazole exposure.</w:t>
            </w:r>
          </w:p>
          <w:p w:rsidRPr="00176048" w:rsidR="007C726E" w:rsidP="007C726E" w:rsidRDefault="007C726E" w14:paraId="63C07AD1" w14:textId="77777777">
            <w:pPr>
              <w:pStyle w:val="BodyText"/>
              <w:rPr>
                <w:rFonts w:cs="Arial" w:asciiTheme="minorHAnsi" w:hAnsiTheme="minorHAnsi"/>
                <w:sz w:val="20"/>
              </w:rPr>
            </w:pPr>
            <w:r w:rsidRPr="00176048">
              <w:rPr>
                <w:rFonts w:cs="Arial" w:asciiTheme="minorHAnsi" w:hAnsiTheme="minorHAnsi"/>
                <w:sz w:val="20"/>
              </w:rPr>
              <w:t xml:space="preserve">Concurrent use of </w:t>
            </w:r>
            <w:r>
              <w:rPr>
                <w:rFonts w:cs="Arial" w:asciiTheme="minorHAnsi" w:hAnsiTheme="minorHAnsi"/>
                <w:sz w:val="20"/>
              </w:rPr>
              <w:t>fluconazole</w:t>
            </w:r>
            <w:r w:rsidRPr="00176048">
              <w:rPr>
                <w:rFonts w:cs="Arial" w:asciiTheme="minorHAnsi" w:hAnsiTheme="minorHAnsi"/>
                <w:sz w:val="20"/>
              </w:rPr>
              <w:t xml:space="preserve"> may result in increased plasma concentrations of omeprazole.</w:t>
            </w:r>
          </w:p>
          <w:p w:rsidRPr="00176048" w:rsidR="007C726E" w:rsidP="007C726E" w:rsidRDefault="007C726E" w14:paraId="6A34887A" w14:textId="77777777">
            <w:pPr>
              <w:pStyle w:val="BodyText"/>
              <w:rPr>
                <w:rFonts w:cs="Arial" w:asciiTheme="minorHAnsi" w:hAnsiTheme="minorHAnsi"/>
                <w:sz w:val="20"/>
              </w:rPr>
            </w:pPr>
            <w:r w:rsidRPr="00176048">
              <w:rPr>
                <w:rFonts w:cs="Arial" w:asciiTheme="minorHAnsi" w:hAnsiTheme="minorHAnsi"/>
                <w:sz w:val="20"/>
              </w:rPr>
              <w:t xml:space="preserve">Concurrent use of </w:t>
            </w:r>
            <w:r>
              <w:rPr>
                <w:rFonts w:cs="Arial" w:asciiTheme="minorHAnsi" w:hAnsiTheme="minorHAnsi"/>
                <w:sz w:val="20"/>
              </w:rPr>
              <w:t>iron</w:t>
            </w:r>
            <w:r w:rsidRPr="00176048">
              <w:rPr>
                <w:rFonts w:cs="Arial" w:asciiTheme="minorHAnsi" w:hAnsiTheme="minorHAnsi"/>
                <w:sz w:val="20"/>
              </w:rPr>
              <w:t xml:space="preserve"> may result in reduced non-heme iron bioavailability.</w:t>
            </w:r>
          </w:p>
        </w:tc>
      </w:tr>
      <w:tr w:rsidRPr="00176048" w:rsidR="007C726E" w:rsidTr="48F57877" w14:paraId="4C7D61F7" w14:textId="77777777">
        <w:trPr>
          <w:trHeight w:val="416"/>
        </w:trPr>
        <w:tc>
          <w:tcPr>
            <w:tcW w:w="1060" w:type="pct"/>
          </w:tcPr>
          <w:p w:rsidRPr="00176048" w:rsidR="007C726E" w:rsidP="007C726E" w:rsidRDefault="007C726E" w14:paraId="3C762621" w14:textId="77777777">
            <w:pPr>
              <w:pStyle w:val="BodyText"/>
              <w:rPr>
                <w:rFonts w:cs="Arial" w:asciiTheme="minorHAnsi" w:hAnsiTheme="minorHAnsi"/>
                <w:b/>
                <w:bCs/>
                <w:sz w:val="20"/>
              </w:rPr>
            </w:pPr>
            <w:r w:rsidRPr="00176048">
              <w:rPr>
                <w:rFonts w:cs="Arial" w:asciiTheme="minorHAnsi" w:hAnsiTheme="minorHAnsi"/>
                <w:b/>
                <w:bCs/>
                <w:sz w:val="20"/>
              </w:rPr>
              <w:t xml:space="preserve">Adverse Reactions         </w:t>
            </w:r>
          </w:p>
          <w:p w:rsidRPr="00176048" w:rsidR="007C726E" w:rsidP="007C726E" w:rsidRDefault="007C726E" w14:paraId="1BA19D6D" w14:textId="77777777">
            <w:pPr>
              <w:pStyle w:val="BodyText"/>
              <w:rPr>
                <w:rFonts w:cs="Arial" w:asciiTheme="minorHAnsi" w:hAnsiTheme="minorHAnsi"/>
                <w:b/>
                <w:bCs/>
                <w:sz w:val="20"/>
              </w:rPr>
            </w:pPr>
          </w:p>
        </w:tc>
        <w:tc>
          <w:tcPr>
            <w:tcW w:w="3940" w:type="pct"/>
          </w:tcPr>
          <w:p w:rsidRPr="00176048" w:rsidR="007C726E" w:rsidP="007C726E" w:rsidRDefault="007C726E" w14:paraId="2221257B" w14:textId="77777777">
            <w:pPr>
              <w:pStyle w:val="BodyText"/>
              <w:rPr>
                <w:rFonts w:cs="Arial" w:asciiTheme="minorHAnsi" w:hAnsiTheme="minorHAnsi"/>
                <w:sz w:val="20"/>
              </w:rPr>
            </w:pPr>
            <w:r w:rsidRPr="00176048">
              <w:rPr>
                <w:rFonts w:cs="Arial" w:asciiTheme="minorHAnsi" w:hAnsiTheme="minorHAnsi"/>
                <w:sz w:val="20"/>
              </w:rPr>
              <w:t>Common</w:t>
            </w:r>
          </w:p>
          <w:p w:rsidRPr="00176048" w:rsidR="007C726E" w:rsidP="007C726E" w:rsidRDefault="007C726E" w14:paraId="6CA7B314" w14:textId="77777777">
            <w:pPr>
              <w:pStyle w:val="BodyText"/>
              <w:rPr>
                <w:rFonts w:cs="Arial" w:asciiTheme="minorHAnsi" w:hAnsiTheme="minorHAnsi"/>
                <w:sz w:val="20"/>
              </w:rPr>
            </w:pPr>
            <w:r w:rsidRPr="00176048">
              <w:rPr>
                <w:rFonts w:cs="Arial" w:asciiTheme="minorHAnsi" w:hAnsiTheme="minorHAnsi"/>
                <w:sz w:val="20"/>
              </w:rPr>
              <w:t>Dermatologic: Rash</w:t>
            </w:r>
          </w:p>
          <w:p w:rsidRPr="00176048" w:rsidR="007C726E" w:rsidP="007C726E" w:rsidRDefault="007C726E" w14:paraId="788DE678" w14:textId="77777777">
            <w:pPr>
              <w:pStyle w:val="BodyText"/>
              <w:rPr>
                <w:rFonts w:cs="Arial" w:asciiTheme="minorHAnsi" w:hAnsiTheme="minorHAnsi"/>
                <w:sz w:val="20"/>
              </w:rPr>
            </w:pPr>
            <w:r w:rsidRPr="00176048">
              <w:rPr>
                <w:rFonts w:cs="Arial" w:asciiTheme="minorHAnsi" w:hAnsiTheme="minorHAnsi"/>
                <w:sz w:val="20"/>
              </w:rPr>
              <w:t xml:space="preserve">Gastrointestinal: Increased risk of </w:t>
            </w:r>
            <w:r w:rsidRPr="00DA6852">
              <w:rPr>
                <w:rFonts w:cs="Arial" w:asciiTheme="minorHAnsi" w:hAnsiTheme="minorHAnsi"/>
                <w:i/>
                <w:sz w:val="20"/>
              </w:rPr>
              <w:t>Clostridium difficile</w:t>
            </w:r>
            <w:r w:rsidRPr="00176048">
              <w:rPr>
                <w:rFonts w:cs="Arial" w:asciiTheme="minorHAnsi" w:hAnsiTheme="minorHAnsi"/>
                <w:sz w:val="20"/>
              </w:rPr>
              <w:t>-associated diarrhea (CDAD), Abdominal pain, constipation, diarrhea, flatulence, vomiting</w:t>
            </w:r>
          </w:p>
          <w:p w:rsidRPr="00176048" w:rsidR="007C726E" w:rsidP="007C726E" w:rsidRDefault="007C726E" w14:paraId="76CF927C" w14:textId="77777777">
            <w:pPr>
              <w:pStyle w:val="BodyText"/>
              <w:rPr>
                <w:rFonts w:cs="Arial" w:asciiTheme="minorHAnsi" w:hAnsiTheme="minorHAnsi"/>
                <w:sz w:val="20"/>
              </w:rPr>
            </w:pPr>
            <w:r w:rsidRPr="00176048">
              <w:rPr>
                <w:rFonts w:cs="Arial" w:asciiTheme="minorHAnsi" w:hAnsiTheme="minorHAnsi"/>
                <w:sz w:val="20"/>
              </w:rPr>
              <w:t>Respiratory: Upper respiratory infection (adults)</w:t>
            </w:r>
          </w:p>
          <w:p w:rsidRPr="00176048" w:rsidR="007C726E" w:rsidP="007C726E" w:rsidRDefault="007C726E" w14:paraId="143399DB" w14:textId="77777777">
            <w:pPr>
              <w:pStyle w:val="BodyText"/>
              <w:rPr>
                <w:rFonts w:cs="Arial" w:asciiTheme="minorHAnsi" w:hAnsiTheme="minorHAnsi"/>
                <w:sz w:val="20"/>
              </w:rPr>
            </w:pPr>
            <w:r w:rsidRPr="00176048">
              <w:rPr>
                <w:rFonts w:cs="Arial" w:asciiTheme="minorHAnsi" w:hAnsiTheme="minorHAnsi"/>
                <w:sz w:val="20"/>
              </w:rPr>
              <w:t>Other: Fever (1 to less than 2 years, 33% )</w:t>
            </w:r>
          </w:p>
          <w:p w:rsidRPr="00176048" w:rsidR="007C726E" w:rsidP="007C726E" w:rsidRDefault="007C726E" w14:paraId="1AA23550" w14:textId="77777777">
            <w:pPr>
              <w:pStyle w:val="BodyText"/>
              <w:rPr>
                <w:rFonts w:cs="Arial" w:asciiTheme="minorHAnsi" w:hAnsiTheme="minorHAnsi"/>
                <w:sz w:val="20"/>
              </w:rPr>
            </w:pPr>
          </w:p>
          <w:p w:rsidRPr="00176048" w:rsidR="007C726E" w:rsidP="007C726E" w:rsidRDefault="007C726E" w14:paraId="5BE3EDDE" w14:textId="77777777">
            <w:pPr>
              <w:pStyle w:val="BodyText"/>
              <w:rPr>
                <w:rFonts w:cs="Arial" w:asciiTheme="minorHAnsi" w:hAnsiTheme="minorHAnsi"/>
                <w:sz w:val="20"/>
              </w:rPr>
            </w:pPr>
            <w:r w:rsidRPr="00176048">
              <w:rPr>
                <w:rFonts w:cs="Arial" w:asciiTheme="minorHAnsi" w:hAnsiTheme="minorHAnsi"/>
                <w:sz w:val="20"/>
              </w:rPr>
              <w:t>Serious</w:t>
            </w:r>
          </w:p>
          <w:p w:rsidRPr="00176048" w:rsidR="007C726E" w:rsidP="007C726E" w:rsidRDefault="007C726E" w14:paraId="52293324" w14:textId="77777777">
            <w:pPr>
              <w:pStyle w:val="BodyText"/>
              <w:rPr>
                <w:rFonts w:cs="Arial" w:asciiTheme="minorHAnsi" w:hAnsiTheme="minorHAnsi"/>
                <w:sz w:val="20"/>
              </w:rPr>
            </w:pPr>
            <w:r w:rsidRPr="00176048">
              <w:rPr>
                <w:rFonts w:cs="Arial" w:asciiTheme="minorHAnsi" w:hAnsiTheme="minorHAnsi"/>
                <w:sz w:val="20"/>
              </w:rPr>
              <w:lastRenderedPageBreak/>
              <w:t xml:space="preserve">Dermatologic: Erythema multiforme, Stevens-Johnson syndrome, </w:t>
            </w:r>
            <w:r>
              <w:rPr>
                <w:rFonts w:cs="Arial" w:asciiTheme="minorHAnsi" w:hAnsiTheme="minorHAnsi"/>
                <w:sz w:val="20"/>
              </w:rPr>
              <w:t>t</w:t>
            </w:r>
            <w:r w:rsidRPr="00176048">
              <w:rPr>
                <w:rFonts w:cs="Arial" w:asciiTheme="minorHAnsi" w:hAnsiTheme="minorHAnsi"/>
                <w:sz w:val="20"/>
              </w:rPr>
              <w:t>oxic epidermal necrolysis</w:t>
            </w:r>
          </w:p>
          <w:p w:rsidRPr="00176048" w:rsidR="007C726E" w:rsidP="007C726E" w:rsidRDefault="007C726E" w14:paraId="119BCF96" w14:textId="77777777">
            <w:pPr>
              <w:pStyle w:val="BodyText"/>
              <w:rPr>
                <w:rFonts w:cs="Arial" w:asciiTheme="minorHAnsi" w:hAnsiTheme="minorHAnsi"/>
                <w:sz w:val="20"/>
              </w:rPr>
            </w:pPr>
            <w:r w:rsidRPr="00176048">
              <w:rPr>
                <w:rFonts w:cs="Arial" w:asciiTheme="minorHAnsi" w:hAnsiTheme="minorHAnsi"/>
                <w:sz w:val="20"/>
              </w:rPr>
              <w:t>Endocrine: Hypomagnes</w:t>
            </w:r>
            <w:r>
              <w:rPr>
                <w:rFonts w:cs="Arial" w:asciiTheme="minorHAnsi" w:hAnsiTheme="minorHAnsi"/>
                <w:sz w:val="20"/>
              </w:rPr>
              <w:t>ae</w:t>
            </w:r>
            <w:r w:rsidRPr="00176048">
              <w:rPr>
                <w:rFonts w:cs="Arial" w:asciiTheme="minorHAnsi" w:hAnsiTheme="minorHAnsi"/>
                <w:sz w:val="20"/>
              </w:rPr>
              <w:t>mia</w:t>
            </w:r>
          </w:p>
          <w:p w:rsidRPr="00176048" w:rsidR="007C726E" w:rsidP="007C726E" w:rsidRDefault="007C726E" w14:paraId="2177695D" w14:textId="77777777">
            <w:pPr>
              <w:pStyle w:val="BodyText"/>
              <w:rPr>
                <w:rFonts w:cs="Arial" w:asciiTheme="minorHAnsi" w:hAnsiTheme="minorHAnsi"/>
                <w:sz w:val="20"/>
              </w:rPr>
            </w:pPr>
            <w:r w:rsidRPr="00176048">
              <w:rPr>
                <w:rFonts w:cs="Arial" w:asciiTheme="minorHAnsi" w:hAnsiTheme="minorHAnsi"/>
                <w:sz w:val="20"/>
              </w:rPr>
              <w:t xml:space="preserve">Gastrointestinal: Atrophic gastritis, </w:t>
            </w:r>
            <w:r w:rsidRPr="00DA6852">
              <w:rPr>
                <w:rFonts w:cs="Arial" w:asciiTheme="minorHAnsi" w:hAnsiTheme="minorHAnsi"/>
                <w:i/>
                <w:sz w:val="20"/>
              </w:rPr>
              <w:t>Clostridium difficile</w:t>
            </w:r>
            <w:r w:rsidRPr="00176048">
              <w:rPr>
                <w:rFonts w:cs="Arial" w:asciiTheme="minorHAnsi" w:hAnsiTheme="minorHAnsi"/>
                <w:sz w:val="20"/>
              </w:rPr>
              <w:t xml:space="preserve"> diarrhea, </w:t>
            </w:r>
            <w:r>
              <w:rPr>
                <w:rFonts w:cs="Arial" w:asciiTheme="minorHAnsi" w:hAnsiTheme="minorHAnsi"/>
                <w:sz w:val="20"/>
              </w:rPr>
              <w:t>p</w:t>
            </w:r>
            <w:r w:rsidRPr="00176048">
              <w:rPr>
                <w:rFonts w:cs="Arial" w:asciiTheme="minorHAnsi" w:hAnsiTheme="minorHAnsi"/>
                <w:sz w:val="20"/>
              </w:rPr>
              <w:t>ancreatitis</w:t>
            </w:r>
          </w:p>
          <w:p w:rsidRPr="00176048" w:rsidR="007C726E" w:rsidP="007C726E" w:rsidRDefault="007C726E" w14:paraId="7D11CD47" w14:textId="77777777">
            <w:pPr>
              <w:pStyle w:val="BodyText"/>
              <w:rPr>
                <w:rFonts w:cs="Arial" w:asciiTheme="minorHAnsi" w:hAnsiTheme="minorHAnsi"/>
                <w:sz w:val="20"/>
              </w:rPr>
            </w:pPr>
            <w:r w:rsidRPr="00176048">
              <w:rPr>
                <w:rFonts w:cs="Arial" w:asciiTheme="minorHAnsi" w:hAnsiTheme="minorHAnsi"/>
                <w:sz w:val="20"/>
              </w:rPr>
              <w:t>H</w:t>
            </w:r>
            <w:r>
              <w:rPr>
                <w:rFonts w:cs="Arial" w:asciiTheme="minorHAnsi" w:hAnsiTheme="minorHAnsi"/>
                <w:sz w:val="20"/>
              </w:rPr>
              <w:t>ae</w:t>
            </w:r>
            <w:r w:rsidRPr="00176048">
              <w:rPr>
                <w:rFonts w:cs="Arial" w:asciiTheme="minorHAnsi" w:hAnsiTheme="minorHAnsi"/>
                <w:sz w:val="20"/>
              </w:rPr>
              <w:t>matological: H</w:t>
            </w:r>
            <w:r>
              <w:rPr>
                <w:rFonts w:cs="Arial" w:asciiTheme="minorHAnsi" w:hAnsiTheme="minorHAnsi"/>
                <w:sz w:val="20"/>
              </w:rPr>
              <w:t>ae</w:t>
            </w:r>
            <w:r w:rsidRPr="00176048">
              <w:rPr>
                <w:rFonts w:cs="Arial" w:asciiTheme="minorHAnsi" w:hAnsiTheme="minorHAnsi"/>
                <w:sz w:val="20"/>
              </w:rPr>
              <w:t>molytic an</w:t>
            </w:r>
            <w:r>
              <w:rPr>
                <w:rFonts w:cs="Arial" w:asciiTheme="minorHAnsi" w:hAnsiTheme="minorHAnsi"/>
                <w:sz w:val="20"/>
              </w:rPr>
              <w:t>ae</w:t>
            </w:r>
            <w:r w:rsidRPr="00176048">
              <w:rPr>
                <w:rFonts w:cs="Arial" w:asciiTheme="minorHAnsi" w:hAnsiTheme="minorHAnsi"/>
                <w:sz w:val="20"/>
              </w:rPr>
              <w:t>mia</w:t>
            </w:r>
          </w:p>
          <w:p w:rsidRPr="00176048" w:rsidR="007C726E" w:rsidP="007C726E" w:rsidRDefault="007C726E" w14:paraId="2EFD1B59" w14:textId="77777777">
            <w:pPr>
              <w:pStyle w:val="BodyText"/>
              <w:rPr>
                <w:rFonts w:cs="Arial" w:asciiTheme="minorHAnsi" w:hAnsiTheme="minorHAnsi"/>
                <w:sz w:val="20"/>
              </w:rPr>
            </w:pPr>
            <w:r w:rsidRPr="00176048">
              <w:rPr>
                <w:rFonts w:cs="Arial" w:asciiTheme="minorHAnsi" w:hAnsiTheme="minorHAnsi"/>
                <w:sz w:val="20"/>
              </w:rPr>
              <w:t xml:space="preserve">Hepatic: Hepatic encephalopathy, </w:t>
            </w:r>
            <w:r>
              <w:rPr>
                <w:rFonts w:cs="Arial" w:asciiTheme="minorHAnsi" w:hAnsiTheme="minorHAnsi"/>
                <w:sz w:val="20"/>
              </w:rPr>
              <w:t>h</w:t>
            </w:r>
            <w:r w:rsidRPr="00176048">
              <w:rPr>
                <w:rFonts w:cs="Arial" w:asciiTheme="minorHAnsi" w:hAnsiTheme="minorHAnsi"/>
                <w:sz w:val="20"/>
              </w:rPr>
              <w:t xml:space="preserve">epatic necrosis, </w:t>
            </w:r>
            <w:r>
              <w:rPr>
                <w:rFonts w:cs="Arial" w:asciiTheme="minorHAnsi" w:hAnsiTheme="minorHAnsi"/>
                <w:sz w:val="20"/>
              </w:rPr>
              <w:t>l</w:t>
            </w:r>
            <w:r w:rsidRPr="00176048">
              <w:rPr>
                <w:rFonts w:cs="Arial" w:asciiTheme="minorHAnsi" w:hAnsiTheme="minorHAnsi"/>
                <w:sz w:val="20"/>
              </w:rPr>
              <w:t>iver failure</w:t>
            </w:r>
          </w:p>
          <w:p w:rsidRPr="00176048" w:rsidR="007C726E" w:rsidP="007C726E" w:rsidRDefault="007C726E" w14:paraId="3F0EF73B" w14:textId="77777777">
            <w:pPr>
              <w:pStyle w:val="BodyText"/>
              <w:rPr>
                <w:rFonts w:cs="Arial" w:asciiTheme="minorHAnsi" w:hAnsiTheme="minorHAnsi"/>
                <w:sz w:val="20"/>
              </w:rPr>
            </w:pPr>
            <w:r w:rsidRPr="00176048">
              <w:rPr>
                <w:rFonts w:cs="Arial" w:asciiTheme="minorHAnsi" w:hAnsiTheme="minorHAnsi"/>
                <w:sz w:val="20"/>
              </w:rPr>
              <w:t>Immunologi</w:t>
            </w:r>
            <w:r>
              <w:rPr>
                <w:rFonts w:cs="Arial" w:asciiTheme="minorHAnsi" w:hAnsiTheme="minorHAnsi"/>
                <w:sz w:val="20"/>
              </w:rPr>
              <w:t>cal</w:t>
            </w:r>
            <w:r w:rsidRPr="00176048">
              <w:rPr>
                <w:rFonts w:cs="Arial" w:asciiTheme="minorHAnsi" w:hAnsiTheme="minorHAnsi"/>
                <w:sz w:val="20"/>
              </w:rPr>
              <w:t>: Anaphylaxis</w:t>
            </w:r>
          </w:p>
          <w:p w:rsidRPr="00176048" w:rsidR="007C726E" w:rsidP="007C726E" w:rsidRDefault="007C726E" w14:paraId="3C2F5A5E" w14:textId="77777777">
            <w:pPr>
              <w:pStyle w:val="BodyText"/>
              <w:rPr>
                <w:rFonts w:cs="Arial" w:asciiTheme="minorHAnsi" w:hAnsiTheme="minorHAnsi"/>
                <w:sz w:val="20"/>
              </w:rPr>
            </w:pPr>
            <w:r w:rsidRPr="00176048">
              <w:rPr>
                <w:rFonts w:cs="Arial" w:asciiTheme="minorHAnsi" w:hAnsiTheme="minorHAnsi"/>
                <w:sz w:val="20"/>
              </w:rPr>
              <w:t xml:space="preserve">Musculoskeletal: Fracture of bone, </w:t>
            </w:r>
            <w:r>
              <w:rPr>
                <w:rFonts w:cs="Arial" w:asciiTheme="minorHAnsi" w:hAnsiTheme="minorHAnsi"/>
                <w:sz w:val="20"/>
              </w:rPr>
              <w:t>h</w:t>
            </w:r>
            <w:r w:rsidRPr="00176048">
              <w:rPr>
                <w:rFonts w:cs="Arial" w:asciiTheme="minorHAnsi" w:hAnsiTheme="minorHAnsi"/>
                <w:sz w:val="20"/>
              </w:rPr>
              <w:t xml:space="preserve">ip fracture, </w:t>
            </w:r>
            <w:r>
              <w:rPr>
                <w:rFonts w:cs="Arial" w:asciiTheme="minorHAnsi" w:hAnsiTheme="minorHAnsi"/>
                <w:sz w:val="20"/>
              </w:rPr>
              <w:t>r</w:t>
            </w:r>
            <w:r w:rsidRPr="00176048">
              <w:rPr>
                <w:rFonts w:cs="Arial" w:asciiTheme="minorHAnsi" w:hAnsiTheme="minorHAnsi"/>
                <w:sz w:val="20"/>
              </w:rPr>
              <w:t>habdomyolysis</w:t>
            </w:r>
          </w:p>
          <w:p w:rsidRPr="00176048" w:rsidR="007C726E" w:rsidP="007C726E" w:rsidRDefault="007C726E" w14:paraId="7FAA8A02" w14:textId="77777777">
            <w:pPr>
              <w:pStyle w:val="BodyText"/>
              <w:rPr>
                <w:rFonts w:cs="Arial" w:asciiTheme="minorHAnsi" w:hAnsiTheme="minorHAnsi"/>
                <w:sz w:val="20"/>
              </w:rPr>
            </w:pPr>
            <w:r w:rsidRPr="00176048">
              <w:rPr>
                <w:rFonts w:cs="Arial" w:asciiTheme="minorHAnsi" w:hAnsiTheme="minorHAnsi"/>
                <w:sz w:val="20"/>
              </w:rPr>
              <w:t>Renal: Acute interstitial nephritis</w:t>
            </w:r>
          </w:p>
        </w:tc>
      </w:tr>
      <w:tr w:rsidRPr="00176048" w:rsidR="007C726E" w:rsidTr="48F57877" w14:paraId="0B6EF6F5" w14:textId="77777777">
        <w:trPr>
          <w:trHeight w:val="280"/>
        </w:trPr>
        <w:tc>
          <w:tcPr>
            <w:tcW w:w="1060" w:type="pct"/>
          </w:tcPr>
          <w:p w:rsidRPr="00176048" w:rsidR="007C726E" w:rsidP="007C726E" w:rsidRDefault="007C726E" w14:paraId="012428A9" w14:textId="77777777">
            <w:pPr>
              <w:pStyle w:val="BodyText"/>
              <w:rPr>
                <w:rFonts w:cs="Arial" w:asciiTheme="minorHAnsi" w:hAnsiTheme="minorHAnsi"/>
                <w:b/>
                <w:bCs/>
                <w:sz w:val="20"/>
              </w:rPr>
            </w:pPr>
            <w:r w:rsidRPr="00176048">
              <w:rPr>
                <w:rFonts w:cs="Arial" w:asciiTheme="minorHAnsi" w:hAnsiTheme="minorHAnsi"/>
                <w:b/>
                <w:bCs/>
                <w:sz w:val="20"/>
              </w:rPr>
              <w:lastRenderedPageBreak/>
              <w:t>Compatibility</w:t>
            </w:r>
          </w:p>
        </w:tc>
        <w:tc>
          <w:tcPr>
            <w:tcW w:w="3940" w:type="pct"/>
          </w:tcPr>
          <w:p w:rsidRPr="00176048" w:rsidR="007C726E" w:rsidP="007C726E" w:rsidRDefault="007C726E" w14:paraId="63388C65" w14:textId="77777777">
            <w:pPr>
              <w:pStyle w:val="BodyText"/>
              <w:rPr>
                <w:rFonts w:asciiTheme="minorHAnsi" w:hAnsiTheme="minorHAnsi"/>
                <w:sz w:val="20"/>
              </w:rPr>
            </w:pPr>
          </w:p>
        </w:tc>
      </w:tr>
      <w:tr w:rsidRPr="00176048" w:rsidR="007C726E" w:rsidTr="48F57877" w14:paraId="1FA34C91" w14:textId="77777777">
        <w:trPr>
          <w:trHeight w:val="215"/>
        </w:trPr>
        <w:tc>
          <w:tcPr>
            <w:tcW w:w="1060" w:type="pct"/>
          </w:tcPr>
          <w:p w:rsidRPr="00176048" w:rsidR="007C726E" w:rsidP="007C726E" w:rsidRDefault="007C726E" w14:paraId="3B04C209" w14:textId="77777777">
            <w:pPr>
              <w:pStyle w:val="BodyText"/>
              <w:rPr>
                <w:rFonts w:cs="Arial" w:asciiTheme="minorHAnsi" w:hAnsiTheme="minorHAnsi"/>
                <w:b/>
                <w:bCs/>
                <w:sz w:val="20"/>
              </w:rPr>
            </w:pPr>
            <w:r w:rsidRPr="00176048">
              <w:rPr>
                <w:rFonts w:cs="Arial" w:asciiTheme="minorHAnsi" w:hAnsiTheme="minorHAnsi"/>
                <w:b/>
                <w:bCs/>
                <w:sz w:val="20"/>
              </w:rPr>
              <w:t>Incompatibility</w:t>
            </w:r>
          </w:p>
        </w:tc>
        <w:tc>
          <w:tcPr>
            <w:tcW w:w="3940" w:type="pct"/>
          </w:tcPr>
          <w:p w:rsidRPr="00176048" w:rsidR="007C726E" w:rsidP="007C726E" w:rsidRDefault="007C726E" w14:paraId="4094B37A" w14:textId="77777777">
            <w:pPr>
              <w:pStyle w:val="BodyText"/>
              <w:rPr>
                <w:rFonts w:cs="Arial" w:asciiTheme="minorHAnsi" w:hAnsiTheme="minorHAnsi"/>
                <w:sz w:val="20"/>
              </w:rPr>
            </w:pPr>
            <w:r w:rsidRPr="00176048">
              <w:rPr>
                <w:rFonts w:cs="Arial" w:asciiTheme="minorHAnsi" w:hAnsiTheme="minorHAnsi"/>
                <w:sz w:val="20"/>
              </w:rPr>
              <w:t>Oral: No information.</w:t>
            </w:r>
          </w:p>
          <w:p w:rsidRPr="00176048" w:rsidR="007C726E" w:rsidP="007C726E" w:rsidRDefault="007C726E" w14:paraId="23B631DA" w14:textId="77777777">
            <w:pPr>
              <w:pStyle w:val="BodyText"/>
              <w:rPr>
                <w:rFonts w:cs="Arial" w:asciiTheme="minorHAnsi" w:hAnsiTheme="minorHAnsi"/>
                <w:sz w:val="20"/>
              </w:rPr>
            </w:pPr>
            <w:r w:rsidRPr="00176048">
              <w:rPr>
                <w:rFonts w:cs="Arial" w:asciiTheme="minorHAnsi" w:hAnsiTheme="minorHAnsi"/>
                <w:sz w:val="20"/>
              </w:rPr>
              <w:t>IV: No information.</w:t>
            </w:r>
          </w:p>
        </w:tc>
      </w:tr>
      <w:tr w:rsidRPr="00176048" w:rsidR="007C726E" w:rsidTr="48F57877" w14:paraId="646E7D1B" w14:textId="77777777">
        <w:trPr>
          <w:trHeight w:val="260"/>
        </w:trPr>
        <w:tc>
          <w:tcPr>
            <w:tcW w:w="1060" w:type="pct"/>
          </w:tcPr>
          <w:p w:rsidRPr="00176048" w:rsidR="007C726E" w:rsidP="007C726E" w:rsidRDefault="007C726E" w14:paraId="56BD1E62" w14:textId="77777777">
            <w:pPr>
              <w:pStyle w:val="BodyText"/>
              <w:rPr>
                <w:rFonts w:cs="Arial" w:asciiTheme="minorHAnsi" w:hAnsiTheme="minorHAnsi"/>
                <w:b/>
                <w:bCs/>
                <w:sz w:val="20"/>
              </w:rPr>
            </w:pPr>
            <w:r w:rsidRPr="00176048">
              <w:rPr>
                <w:rFonts w:cs="Arial" w:asciiTheme="minorHAnsi" w:hAnsiTheme="minorHAnsi"/>
                <w:b/>
                <w:bCs/>
                <w:sz w:val="20"/>
              </w:rPr>
              <w:t xml:space="preserve">Stability </w:t>
            </w:r>
          </w:p>
        </w:tc>
        <w:tc>
          <w:tcPr>
            <w:tcW w:w="3940" w:type="pct"/>
          </w:tcPr>
          <w:p w:rsidRPr="00176048" w:rsidR="007C726E" w:rsidP="007C726E" w:rsidRDefault="007C726E" w14:paraId="304368EC" w14:textId="77777777">
            <w:pPr>
              <w:rPr>
                <w:rFonts w:cs="Arial" w:asciiTheme="minorHAnsi" w:hAnsiTheme="minorHAnsi"/>
                <w:sz w:val="20"/>
              </w:rPr>
            </w:pPr>
            <w:r w:rsidRPr="00176048">
              <w:rPr>
                <w:rFonts w:cs="Arial" w:asciiTheme="minorHAnsi" w:hAnsiTheme="minorHAnsi"/>
                <w:sz w:val="20"/>
              </w:rPr>
              <w:t>Prepared suspension is stable for 30 days. Refrigerate. Protect from light. Shake the bottle well before administration.</w:t>
            </w:r>
          </w:p>
          <w:p w:rsidRPr="00176048" w:rsidR="007C726E" w:rsidP="007C726E" w:rsidRDefault="007C726E" w14:paraId="251CFEFA" w14:textId="77777777">
            <w:pPr>
              <w:rPr>
                <w:rFonts w:cs="Arial" w:asciiTheme="minorHAnsi" w:hAnsiTheme="minorHAnsi"/>
                <w:sz w:val="20"/>
              </w:rPr>
            </w:pPr>
            <w:r w:rsidRPr="00176048">
              <w:rPr>
                <w:rFonts w:cs="Arial" w:asciiTheme="minorHAnsi" w:hAnsiTheme="minorHAnsi"/>
                <w:sz w:val="20"/>
              </w:rPr>
              <w:t>IV reconstituted solution and diluted solution: Stable for 6 hours below 25</w:t>
            </w:r>
            <w:r>
              <w:rPr>
                <w:rFonts w:asciiTheme="minorHAnsi" w:hAnsiTheme="minorHAnsi" w:cstheme="minorHAnsi"/>
                <w:sz w:val="20"/>
              </w:rPr>
              <w:t>°</w:t>
            </w:r>
            <w:r w:rsidRPr="00176048">
              <w:rPr>
                <w:rFonts w:cs="Arial" w:asciiTheme="minorHAnsi" w:hAnsiTheme="minorHAnsi"/>
                <w:sz w:val="20"/>
              </w:rPr>
              <w:t>C. Protect from light.</w:t>
            </w:r>
          </w:p>
        </w:tc>
      </w:tr>
      <w:tr w:rsidRPr="00176048" w:rsidR="007C726E" w:rsidTr="48F57877" w14:paraId="4A9C6CD8" w14:textId="77777777">
        <w:trPr>
          <w:trHeight w:val="265"/>
        </w:trPr>
        <w:tc>
          <w:tcPr>
            <w:tcW w:w="1060" w:type="pct"/>
          </w:tcPr>
          <w:p w:rsidRPr="00176048" w:rsidR="007C726E" w:rsidP="007C726E" w:rsidRDefault="007C726E" w14:paraId="7DC26F2A" w14:textId="77777777">
            <w:pPr>
              <w:pStyle w:val="BodyText"/>
              <w:rPr>
                <w:rFonts w:cs="Arial" w:asciiTheme="minorHAnsi" w:hAnsiTheme="minorHAnsi"/>
                <w:b/>
                <w:bCs/>
                <w:sz w:val="20"/>
              </w:rPr>
            </w:pPr>
            <w:r w:rsidRPr="00176048">
              <w:rPr>
                <w:rFonts w:cs="Arial" w:asciiTheme="minorHAnsi" w:hAnsiTheme="minorHAnsi"/>
                <w:b/>
                <w:bCs/>
                <w:sz w:val="20"/>
              </w:rPr>
              <w:t xml:space="preserve">Storage             </w:t>
            </w:r>
          </w:p>
        </w:tc>
        <w:tc>
          <w:tcPr>
            <w:tcW w:w="3940" w:type="pct"/>
          </w:tcPr>
          <w:p w:rsidRPr="00176048" w:rsidR="007C726E" w:rsidP="007C726E" w:rsidRDefault="007C726E" w14:paraId="272F8FDA" w14:textId="77777777">
            <w:pPr>
              <w:pStyle w:val="BodyText"/>
              <w:rPr>
                <w:rFonts w:cs="Arial" w:asciiTheme="minorHAnsi" w:hAnsiTheme="minorHAnsi"/>
                <w:sz w:val="20"/>
              </w:rPr>
            </w:pPr>
            <w:r w:rsidRPr="00176048">
              <w:rPr>
                <w:rFonts w:cs="Arial" w:asciiTheme="minorHAnsi" w:hAnsiTheme="minorHAnsi"/>
                <w:sz w:val="20"/>
              </w:rPr>
              <w:t>Oral suspension: Refrigerate (2</w:t>
            </w:r>
            <w:r>
              <w:rPr>
                <w:rFonts w:cs="Arial" w:asciiTheme="minorHAnsi" w:hAnsiTheme="minorHAnsi"/>
                <w:sz w:val="20"/>
              </w:rPr>
              <w:t>–</w:t>
            </w:r>
            <w:r w:rsidRPr="00176048">
              <w:rPr>
                <w:rFonts w:cs="Arial" w:asciiTheme="minorHAnsi" w:hAnsiTheme="minorHAnsi"/>
                <w:sz w:val="20"/>
              </w:rPr>
              <w:t>8</w:t>
            </w:r>
            <w:r>
              <w:rPr>
                <w:rFonts w:asciiTheme="minorHAnsi" w:hAnsiTheme="minorHAnsi" w:cstheme="minorHAnsi"/>
                <w:sz w:val="20"/>
              </w:rPr>
              <w:t>°</w:t>
            </w:r>
            <w:r w:rsidRPr="00176048">
              <w:rPr>
                <w:rFonts w:cs="Arial" w:asciiTheme="minorHAnsi" w:hAnsiTheme="minorHAnsi"/>
                <w:sz w:val="20"/>
              </w:rPr>
              <w:t xml:space="preserve">C) the prepared suspension. </w:t>
            </w:r>
          </w:p>
          <w:p w:rsidRPr="00176048" w:rsidR="007C726E" w:rsidP="007C726E" w:rsidRDefault="007C726E" w14:paraId="66AE5FC1" w14:textId="77777777">
            <w:pPr>
              <w:pStyle w:val="BodyText"/>
              <w:rPr>
                <w:rFonts w:cs="Arial" w:asciiTheme="minorHAnsi" w:hAnsiTheme="minorHAnsi"/>
                <w:sz w:val="20"/>
              </w:rPr>
            </w:pPr>
            <w:r w:rsidRPr="00176048">
              <w:rPr>
                <w:rFonts w:cs="Arial" w:asciiTheme="minorHAnsi" w:hAnsiTheme="minorHAnsi"/>
                <w:sz w:val="20"/>
              </w:rPr>
              <w:t>Injection: Store below 25</w:t>
            </w:r>
            <w:r>
              <w:rPr>
                <w:rFonts w:asciiTheme="minorHAnsi" w:hAnsiTheme="minorHAnsi" w:cstheme="minorHAnsi"/>
                <w:sz w:val="20"/>
              </w:rPr>
              <w:t>°</w:t>
            </w:r>
            <w:r w:rsidRPr="00176048">
              <w:rPr>
                <w:rFonts w:cs="Arial" w:asciiTheme="minorHAnsi" w:hAnsiTheme="minorHAnsi"/>
                <w:sz w:val="20"/>
              </w:rPr>
              <w:t>C. Protect from light.</w:t>
            </w:r>
          </w:p>
        </w:tc>
      </w:tr>
      <w:tr w:rsidRPr="00176048" w:rsidR="007C726E" w:rsidTr="48F57877" w14:paraId="211F597E" w14:textId="77777777">
        <w:trPr>
          <w:trHeight w:val="283"/>
        </w:trPr>
        <w:tc>
          <w:tcPr>
            <w:tcW w:w="1060" w:type="pct"/>
          </w:tcPr>
          <w:p w:rsidRPr="00176048" w:rsidR="007C726E" w:rsidP="007C726E" w:rsidRDefault="007C726E" w14:paraId="6E086C5D" w14:textId="77777777">
            <w:pPr>
              <w:pStyle w:val="BodyText"/>
              <w:rPr>
                <w:rFonts w:cs="Arial" w:asciiTheme="minorHAnsi" w:hAnsiTheme="minorHAnsi"/>
                <w:b/>
                <w:bCs/>
                <w:sz w:val="20"/>
              </w:rPr>
            </w:pPr>
            <w:r w:rsidRPr="00176048">
              <w:rPr>
                <w:rFonts w:cs="Arial" w:asciiTheme="minorHAnsi" w:hAnsiTheme="minorHAnsi"/>
                <w:b/>
                <w:bCs/>
                <w:sz w:val="20"/>
              </w:rPr>
              <w:t>Special Comments</w:t>
            </w:r>
          </w:p>
        </w:tc>
        <w:tc>
          <w:tcPr>
            <w:tcW w:w="3940" w:type="pct"/>
          </w:tcPr>
          <w:p w:rsidRPr="00176048" w:rsidR="007C726E" w:rsidP="007C726E" w:rsidRDefault="007C726E" w14:paraId="54321A14" w14:textId="77777777">
            <w:pPr>
              <w:pStyle w:val="BodyText"/>
              <w:rPr>
                <w:rFonts w:cs="Arial" w:asciiTheme="minorHAnsi" w:hAnsiTheme="minorHAnsi"/>
                <w:sz w:val="20"/>
              </w:rPr>
            </w:pPr>
          </w:p>
        </w:tc>
      </w:tr>
      <w:tr w:rsidRPr="00176048" w:rsidR="007C726E" w:rsidTr="48F57877" w14:paraId="245853F4" w14:textId="77777777">
        <w:trPr>
          <w:trHeight w:val="248"/>
        </w:trPr>
        <w:tc>
          <w:tcPr>
            <w:tcW w:w="1060" w:type="pct"/>
          </w:tcPr>
          <w:p w:rsidRPr="00176048" w:rsidR="007C726E" w:rsidP="007C726E" w:rsidRDefault="007C726E" w14:paraId="4AB903A6" w14:textId="77777777">
            <w:pPr>
              <w:pStyle w:val="BodyText"/>
              <w:rPr>
                <w:rFonts w:cs="Arial" w:asciiTheme="minorHAnsi" w:hAnsiTheme="minorHAnsi"/>
                <w:b/>
                <w:bCs/>
                <w:sz w:val="20"/>
              </w:rPr>
            </w:pPr>
            <w:r w:rsidRPr="00176048">
              <w:rPr>
                <w:rFonts w:cs="Arial" w:asciiTheme="minorHAnsi" w:hAnsiTheme="minorHAnsi"/>
                <w:b/>
                <w:bCs/>
                <w:sz w:val="20"/>
              </w:rPr>
              <w:t>Evidence summary</w:t>
            </w:r>
          </w:p>
        </w:tc>
        <w:tc>
          <w:tcPr>
            <w:tcW w:w="3940" w:type="pct"/>
          </w:tcPr>
          <w:p w:rsidRPr="002F740F" w:rsidR="007C726E" w:rsidP="007C726E" w:rsidRDefault="007C726E" w14:paraId="36CDDF15" w14:textId="77777777">
            <w:pPr>
              <w:pStyle w:val="BodyText"/>
              <w:tabs>
                <w:tab w:val="left" w:pos="1168"/>
              </w:tabs>
              <w:rPr>
                <w:rFonts w:cs="Arial" w:asciiTheme="minorHAnsi" w:hAnsiTheme="minorHAnsi"/>
                <w:b/>
                <w:sz w:val="16"/>
                <w:szCs w:val="16"/>
                <w:u w:val="single"/>
              </w:rPr>
            </w:pPr>
            <w:r w:rsidRPr="002F740F">
              <w:rPr>
                <w:rFonts w:cs="Arial" w:asciiTheme="minorHAnsi" w:hAnsiTheme="minorHAnsi"/>
                <w:b/>
                <w:sz w:val="16"/>
                <w:szCs w:val="16"/>
                <w:u w:val="single"/>
              </w:rPr>
              <w:t>Treatment of gastroesophageal reflux disease (GORD)</w:t>
            </w:r>
          </w:p>
          <w:p w:rsidRPr="002F740F" w:rsidR="007C726E" w:rsidP="007C726E" w:rsidRDefault="007C726E" w14:paraId="12F3F210" w14:textId="77777777">
            <w:pPr>
              <w:pStyle w:val="BodyText"/>
              <w:tabs>
                <w:tab w:val="left" w:pos="1168"/>
              </w:tabs>
              <w:rPr>
                <w:rFonts w:cs="Arial" w:asciiTheme="minorHAnsi" w:hAnsiTheme="minorHAnsi"/>
                <w:sz w:val="16"/>
                <w:szCs w:val="16"/>
                <w:u w:val="single"/>
              </w:rPr>
            </w:pPr>
            <w:r w:rsidRPr="002F740F">
              <w:rPr>
                <w:rFonts w:cs="Arial" w:asciiTheme="minorHAnsi" w:hAnsiTheme="minorHAnsi"/>
                <w:sz w:val="16"/>
                <w:szCs w:val="16"/>
                <w:u w:val="single"/>
              </w:rPr>
              <w:t>NICE Guidelines</w:t>
            </w:r>
            <w:r w:rsidRPr="002F740F">
              <w:rPr>
                <w:rFonts w:cs="Arial" w:asciiTheme="minorHAnsi" w:hAnsiTheme="minorHAnsi"/>
                <w:sz w:val="16"/>
                <w:szCs w:val="16"/>
                <w:u w:val="single"/>
                <w:vertAlign w:val="superscript"/>
              </w:rPr>
              <w:t>1</w:t>
            </w:r>
          </w:p>
          <w:p w:rsidRPr="002F740F" w:rsidR="007C726E" w:rsidP="007C726E" w:rsidRDefault="007C726E" w14:paraId="339A0397"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1. Do not offer acid-suppressing drugs, such as proton pump inhibitors (PPIs) or H</w:t>
            </w:r>
            <w:r w:rsidRPr="002F740F">
              <w:rPr>
                <w:rFonts w:cs="Arial" w:asciiTheme="minorHAnsi" w:hAnsiTheme="minorHAnsi"/>
                <w:sz w:val="16"/>
                <w:szCs w:val="16"/>
                <w:vertAlign w:val="subscript"/>
              </w:rPr>
              <w:t>2</w:t>
            </w:r>
            <w:r w:rsidRPr="002F740F">
              <w:rPr>
                <w:rFonts w:cs="Arial" w:asciiTheme="minorHAnsi" w:hAnsiTheme="minorHAnsi"/>
                <w:sz w:val="16"/>
                <w:szCs w:val="16"/>
              </w:rPr>
              <w:t xml:space="preserve"> receptor antagonists (H</w:t>
            </w:r>
            <w:r w:rsidRPr="002F740F">
              <w:rPr>
                <w:rFonts w:cs="Arial" w:asciiTheme="minorHAnsi" w:hAnsiTheme="minorHAnsi"/>
                <w:sz w:val="16"/>
                <w:szCs w:val="16"/>
                <w:vertAlign w:val="subscript"/>
              </w:rPr>
              <w:t>2</w:t>
            </w:r>
            <w:r w:rsidRPr="002F740F">
              <w:rPr>
                <w:rFonts w:cs="Arial" w:asciiTheme="minorHAnsi" w:hAnsiTheme="minorHAnsi"/>
                <w:sz w:val="16"/>
                <w:szCs w:val="16"/>
              </w:rPr>
              <w:t>RAs), to treat overt regurgitation in infants and children occurring as an isolated symptom.</w:t>
            </w:r>
          </w:p>
          <w:p w:rsidRPr="002F740F" w:rsidR="007C726E" w:rsidP="007C726E" w:rsidRDefault="007C726E" w14:paraId="36887F0A"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2. Consider a 4-week trial of a PPI or H</w:t>
            </w:r>
            <w:r w:rsidRPr="002F740F">
              <w:rPr>
                <w:rFonts w:cs="Arial" w:asciiTheme="minorHAnsi" w:hAnsiTheme="minorHAnsi"/>
                <w:sz w:val="16"/>
                <w:szCs w:val="16"/>
                <w:vertAlign w:val="subscript"/>
              </w:rPr>
              <w:t>2</w:t>
            </w:r>
            <w:r w:rsidRPr="002F740F">
              <w:rPr>
                <w:rFonts w:cs="Arial" w:asciiTheme="minorHAnsi" w:hAnsiTheme="minorHAnsi"/>
                <w:sz w:val="16"/>
                <w:szCs w:val="16"/>
              </w:rPr>
              <w:t>RA for those who are unable to tell you about their symptoms (for example, infants and young children, and those with a neurodisability associated with expressive communication difficulties) who have overt regurgitation with 1 or more of the following: Unexplained feeding difficulties (for example, refusing feeds, gagging or choking), distressed behaviour, faltering growth.</w:t>
            </w:r>
          </w:p>
          <w:p w:rsidRPr="002F740F" w:rsidR="007C726E" w:rsidP="007C726E" w:rsidRDefault="007C726E" w14:paraId="2D7E6B8A"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3. Consider a 4-week trial of a PPI or H</w:t>
            </w:r>
            <w:r w:rsidRPr="002F740F">
              <w:rPr>
                <w:rFonts w:cs="Arial" w:asciiTheme="minorHAnsi" w:hAnsiTheme="minorHAnsi"/>
                <w:sz w:val="16"/>
                <w:szCs w:val="16"/>
                <w:vertAlign w:val="subscript"/>
              </w:rPr>
              <w:t>2</w:t>
            </w:r>
            <w:r w:rsidRPr="002F740F">
              <w:rPr>
                <w:rFonts w:cs="Arial" w:asciiTheme="minorHAnsi" w:hAnsiTheme="minorHAnsi"/>
                <w:sz w:val="16"/>
                <w:szCs w:val="16"/>
              </w:rPr>
              <w:t>RA for children and young people with persistent heartburn, retrosternal or epigastric pain.</w:t>
            </w:r>
          </w:p>
          <w:p w:rsidRPr="002F740F" w:rsidR="007C726E" w:rsidP="007C726E" w:rsidRDefault="007C726E" w14:paraId="65F05CDB"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4. Assess the response to the 4-week trial of the PPI or H</w:t>
            </w:r>
            <w:r w:rsidRPr="002F740F">
              <w:rPr>
                <w:rFonts w:cs="Arial" w:asciiTheme="minorHAnsi" w:hAnsiTheme="minorHAnsi"/>
                <w:sz w:val="16"/>
                <w:szCs w:val="16"/>
                <w:vertAlign w:val="subscript"/>
              </w:rPr>
              <w:t>2</w:t>
            </w:r>
            <w:r w:rsidRPr="002F740F">
              <w:rPr>
                <w:rFonts w:cs="Arial" w:asciiTheme="minorHAnsi" w:hAnsiTheme="minorHAnsi"/>
                <w:sz w:val="16"/>
                <w:szCs w:val="16"/>
              </w:rPr>
              <w:t>RA, and consider referral to a specialist for possible endoscopy if the symptoms: do not resolve or recur after stopping the treatment.</w:t>
            </w:r>
          </w:p>
          <w:p w:rsidRPr="002F740F" w:rsidR="007C726E" w:rsidP="007C726E" w:rsidRDefault="007C726E" w14:paraId="51272196"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5. When choosing between PPIs and H</w:t>
            </w:r>
            <w:r w:rsidRPr="002F740F">
              <w:rPr>
                <w:rFonts w:cs="Arial" w:asciiTheme="minorHAnsi" w:hAnsiTheme="minorHAnsi"/>
                <w:sz w:val="16"/>
                <w:szCs w:val="16"/>
                <w:vertAlign w:val="subscript"/>
              </w:rPr>
              <w:t>2</w:t>
            </w:r>
            <w:r w:rsidRPr="002F740F">
              <w:rPr>
                <w:rFonts w:cs="Arial" w:asciiTheme="minorHAnsi" w:hAnsiTheme="minorHAnsi"/>
                <w:sz w:val="16"/>
                <w:szCs w:val="16"/>
              </w:rPr>
              <w:t>RAs, take into account: The availability of age-appropriate preparations, the preference of the parent (or carer), child or young person (as appropriate) and local procurement costs.</w:t>
            </w:r>
          </w:p>
          <w:p w:rsidRPr="002F740F" w:rsidR="007C726E" w:rsidP="007C726E" w:rsidRDefault="007C726E" w14:paraId="65406423"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6. Offer PPI or H</w:t>
            </w:r>
            <w:r w:rsidRPr="002F740F">
              <w:rPr>
                <w:rFonts w:cs="Arial" w:asciiTheme="minorHAnsi" w:hAnsiTheme="minorHAnsi"/>
                <w:sz w:val="16"/>
                <w:szCs w:val="16"/>
                <w:vertAlign w:val="subscript"/>
              </w:rPr>
              <w:t>2</w:t>
            </w:r>
            <w:r w:rsidRPr="002F740F">
              <w:rPr>
                <w:rFonts w:cs="Arial" w:asciiTheme="minorHAnsi" w:hAnsiTheme="minorHAnsi"/>
                <w:sz w:val="16"/>
                <w:szCs w:val="16"/>
              </w:rPr>
              <w:t>RA treatment to infants, children and young people with endoscopy-proven reflux oesophagitis and consider repeat endoscopic examinations as necessary to guide subsequent treatment.</w:t>
            </w:r>
          </w:p>
          <w:p w:rsidRPr="002F740F" w:rsidR="007C726E" w:rsidP="007C726E" w:rsidRDefault="007C726E" w14:paraId="724E7B16"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7. Do not offer metoclopramide, domperidone or erythromycin to treat GOR or GORD without seeking specialist advice and taking into account their potential to cause adverse events.</w:t>
            </w:r>
          </w:p>
          <w:p w:rsidRPr="002F740F" w:rsidR="007C726E" w:rsidP="007C726E" w:rsidRDefault="007C726E" w14:paraId="47D4FC2B" w14:textId="77777777">
            <w:pPr>
              <w:pStyle w:val="BodyText"/>
              <w:tabs>
                <w:tab w:val="left" w:pos="1168"/>
              </w:tabs>
              <w:rPr>
                <w:rFonts w:cs="Arial" w:asciiTheme="minorHAnsi" w:hAnsiTheme="minorHAnsi"/>
                <w:sz w:val="16"/>
                <w:szCs w:val="16"/>
                <w:u w:val="single"/>
              </w:rPr>
            </w:pPr>
            <w:r w:rsidRPr="002F740F">
              <w:rPr>
                <w:rFonts w:cs="Arial" w:asciiTheme="minorHAnsi" w:hAnsiTheme="minorHAnsi"/>
                <w:sz w:val="16"/>
                <w:szCs w:val="16"/>
                <w:u w:val="single"/>
              </w:rPr>
              <w:t>ESPGHAN and NASPGHAN Guidelines</w:t>
            </w:r>
            <w:r w:rsidRPr="002F740F">
              <w:rPr>
                <w:rFonts w:cs="Arial" w:asciiTheme="minorHAnsi" w:hAnsiTheme="minorHAnsi"/>
                <w:sz w:val="16"/>
                <w:szCs w:val="16"/>
                <w:u w:val="single"/>
                <w:vertAlign w:val="superscript"/>
              </w:rPr>
              <w:t>2</w:t>
            </w:r>
          </w:p>
          <w:p w:rsidRPr="002F740F" w:rsidR="007C726E" w:rsidP="007C726E" w:rsidRDefault="007C726E" w14:paraId="50DADD27"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For healing of erosive esophagitis and relief of GERD symptoms, PPIs are superior to H</w:t>
            </w:r>
            <w:r w:rsidRPr="002F740F">
              <w:rPr>
                <w:rFonts w:cs="Arial" w:asciiTheme="minorHAnsi" w:hAnsiTheme="minorHAnsi"/>
                <w:sz w:val="16"/>
                <w:szCs w:val="16"/>
                <w:vertAlign w:val="subscript"/>
              </w:rPr>
              <w:t>2</w:t>
            </w:r>
            <w:r w:rsidRPr="002F740F">
              <w:rPr>
                <w:rFonts w:cs="Arial" w:asciiTheme="minorHAnsi" w:hAnsiTheme="minorHAnsi"/>
                <w:sz w:val="16"/>
                <w:szCs w:val="16"/>
              </w:rPr>
              <w:t>RAs. Both medications are superior to placebo. Administration of long-term acid suppression without a diagnosis is inadvisable. When acid suppression is required, the smallest effective dose should be used. Most patients require only once-daily PPI; routine use of twice-daily dose is not indicated. No PPI has been approved for use in infants &lt; 1 year of age, and there are special concerns pertaining to prescription of PPIs in infants, as described in the Guideline.</w:t>
            </w:r>
          </w:p>
          <w:p w:rsidRPr="002F740F" w:rsidR="007C726E" w:rsidP="007C726E" w:rsidRDefault="007C726E" w14:paraId="776311B5"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H</w:t>
            </w:r>
            <w:r w:rsidRPr="002F740F">
              <w:rPr>
                <w:rFonts w:cs="Arial" w:asciiTheme="minorHAnsi" w:hAnsiTheme="minorHAnsi"/>
                <w:sz w:val="16"/>
                <w:szCs w:val="16"/>
                <w:vertAlign w:val="subscript"/>
              </w:rPr>
              <w:t>2</w:t>
            </w:r>
            <w:r w:rsidRPr="002F740F">
              <w:rPr>
                <w:rFonts w:cs="Arial" w:asciiTheme="minorHAnsi" w:hAnsiTheme="minorHAnsi"/>
                <w:sz w:val="16"/>
                <w:szCs w:val="16"/>
              </w:rPr>
              <w:t>RAs exhibit tachyphylaxis or tolerance but PPIs do not. Tachyphylaxis is a drawback to chronic use. H</w:t>
            </w:r>
            <w:r w:rsidRPr="002F740F">
              <w:rPr>
                <w:rFonts w:cs="Arial" w:asciiTheme="minorHAnsi" w:hAnsiTheme="minorHAnsi"/>
                <w:sz w:val="16"/>
                <w:szCs w:val="16"/>
                <w:vertAlign w:val="subscript"/>
              </w:rPr>
              <w:t>2</w:t>
            </w:r>
            <w:r w:rsidRPr="002F740F">
              <w:rPr>
                <w:rFonts w:cs="Arial" w:asciiTheme="minorHAnsi" w:hAnsiTheme="minorHAnsi"/>
                <w:sz w:val="16"/>
                <w:szCs w:val="16"/>
              </w:rPr>
              <w:t>RAs have a rapid onset of action and, like buffering agents, are useful for on-demand treatment.</w:t>
            </w:r>
          </w:p>
          <w:p w:rsidRPr="002F740F" w:rsidR="007C726E" w:rsidP="007C726E" w:rsidRDefault="007C726E" w14:paraId="2EAB4637" w14:textId="77777777">
            <w:pPr>
              <w:pStyle w:val="BodyText"/>
              <w:tabs>
                <w:tab w:val="left" w:pos="1168"/>
              </w:tabs>
              <w:rPr>
                <w:rFonts w:cs="Arial" w:asciiTheme="minorHAnsi" w:hAnsiTheme="minorHAnsi"/>
                <w:sz w:val="16"/>
                <w:szCs w:val="16"/>
              </w:rPr>
            </w:pPr>
          </w:p>
          <w:p w:rsidRPr="002F740F" w:rsidR="007C726E" w:rsidP="007C726E" w:rsidRDefault="007C726E" w14:paraId="7BB17063" w14:textId="77777777">
            <w:pPr>
              <w:pStyle w:val="BodyText"/>
              <w:tabs>
                <w:tab w:val="left" w:pos="1168"/>
              </w:tabs>
              <w:rPr>
                <w:rFonts w:cs="Arial" w:asciiTheme="minorHAnsi" w:hAnsiTheme="minorHAnsi"/>
                <w:b/>
                <w:sz w:val="16"/>
                <w:szCs w:val="16"/>
                <w:u w:val="single"/>
              </w:rPr>
            </w:pPr>
            <w:r w:rsidRPr="002F740F">
              <w:rPr>
                <w:rFonts w:cs="Arial" w:asciiTheme="minorHAnsi" w:hAnsiTheme="minorHAnsi"/>
                <w:b/>
                <w:sz w:val="16"/>
                <w:szCs w:val="16"/>
                <w:u w:val="single"/>
              </w:rPr>
              <w:t>Prophylaxis in congenital oesophageal atresia and tracheoesophageal fistula</w:t>
            </w:r>
          </w:p>
          <w:p w:rsidRPr="002F740F" w:rsidR="007C726E" w:rsidP="007C726E" w:rsidRDefault="007C726E" w14:paraId="61317FF2"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In a systematic review by Shawyer et al,</w:t>
            </w:r>
            <w:r w:rsidRPr="002F740F">
              <w:rPr>
                <w:rFonts w:cs="Arial" w:asciiTheme="minorHAnsi" w:hAnsiTheme="minorHAnsi"/>
                <w:sz w:val="16"/>
                <w:szCs w:val="16"/>
                <w:vertAlign w:val="superscript"/>
              </w:rPr>
              <w:t>3</w:t>
            </w:r>
            <w:r w:rsidRPr="002F740F">
              <w:rPr>
                <w:rFonts w:cs="Arial" w:asciiTheme="minorHAnsi" w:hAnsiTheme="minorHAnsi"/>
                <w:sz w:val="16"/>
                <w:szCs w:val="16"/>
              </w:rPr>
              <w:t xml:space="preserve"> involving 1,663 patients for analysis, most were single centre studies (92 %) and retrospective (76 %); there were no randomised controlled trials. The quality of literature regarding anti-reflux medication for GER post EA-TEF repair is poor.</w:t>
            </w:r>
          </w:p>
          <w:p w:rsidRPr="002F740F" w:rsidR="007C726E" w:rsidP="007C726E" w:rsidRDefault="007C726E" w14:paraId="43065C07" w14:textId="77777777">
            <w:pPr>
              <w:pStyle w:val="BodyText"/>
              <w:tabs>
                <w:tab w:val="left" w:pos="1168"/>
              </w:tabs>
              <w:rPr>
                <w:rFonts w:cs="Arial" w:asciiTheme="minorHAnsi" w:hAnsiTheme="minorHAnsi"/>
                <w:sz w:val="16"/>
                <w:szCs w:val="16"/>
              </w:rPr>
            </w:pPr>
          </w:p>
          <w:p w:rsidRPr="002F740F" w:rsidR="007C726E" w:rsidP="007C726E" w:rsidRDefault="007C726E" w14:paraId="66054EB5" w14:textId="77777777">
            <w:pPr>
              <w:pStyle w:val="BodyText"/>
              <w:tabs>
                <w:tab w:val="left" w:pos="1168"/>
              </w:tabs>
              <w:rPr>
                <w:rFonts w:cs="Arial" w:asciiTheme="minorHAnsi" w:hAnsiTheme="minorHAnsi"/>
                <w:sz w:val="16"/>
                <w:szCs w:val="16"/>
              </w:rPr>
            </w:pPr>
          </w:p>
          <w:p w:rsidRPr="002F740F" w:rsidR="007C726E" w:rsidP="007C726E" w:rsidRDefault="007C726E" w14:paraId="74A9719C" w14:textId="77777777">
            <w:pPr>
              <w:pStyle w:val="BodyText"/>
              <w:tabs>
                <w:tab w:val="left" w:pos="1168"/>
              </w:tabs>
              <w:rPr>
                <w:rFonts w:cs="Arial" w:asciiTheme="minorHAnsi" w:hAnsiTheme="minorHAnsi"/>
                <w:b/>
                <w:sz w:val="16"/>
                <w:szCs w:val="16"/>
                <w:u w:val="single"/>
              </w:rPr>
            </w:pPr>
            <w:r w:rsidRPr="002F740F">
              <w:rPr>
                <w:rFonts w:cs="Arial" w:asciiTheme="minorHAnsi" w:hAnsiTheme="minorHAnsi"/>
                <w:b/>
                <w:sz w:val="16"/>
                <w:szCs w:val="16"/>
                <w:u w:val="single"/>
              </w:rPr>
              <w:t>Pharmacokinetics</w:t>
            </w:r>
          </w:p>
          <w:p w:rsidRPr="002F740F" w:rsidR="007C726E" w:rsidP="007C726E" w:rsidRDefault="007C726E" w14:paraId="2378512E"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PPIs are metabolised to varying degrees by the hepatic cytochrome P450 (CYP) enzyme system. Despite rapid elimination of omeprazole from plasma (i.e. mean elimination half-life, or t</w:t>
            </w:r>
            <w:r w:rsidRPr="002F740F">
              <w:rPr>
                <w:rFonts w:asciiTheme="minorHAnsi" w:hAnsiTheme="minorHAnsi" w:cstheme="minorHAnsi"/>
                <w:sz w:val="16"/>
                <w:szCs w:val="16"/>
              </w:rPr>
              <w:t>½</w:t>
            </w:r>
            <w:r w:rsidRPr="002F740F">
              <w:rPr>
                <w:rFonts w:cs="Arial" w:asciiTheme="minorHAnsi" w:hAnsiTheme="minorHAnsi"/>
                <w:sz w:val="16"/>
                <w:szCs w:val="16"/>
              </w:rPr>
              <w:t xml:space="preserve">, ≈ 1 hour), the effect can persist for 24 to 72 hours consequent to strong binding of the active form to its target receptor. Oral bioavailability of omeprazole ranges from 35% to 65% and it is 95% protein bound (Kearnes 2003). </w:t>
            </w:r>
          </w:p>
          <w:p w:rsidRPr="002F740F" w:rsidR="007C726E" w:rsidP="007C726E" w:rsidRDefault="007C726E" w14:paraId="59CF0D94"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 xml:space="preserve">A randomised, double blind, placebo-controlled, crossover design trial of omeprazole therapy was performed by Omari et al in 10 preterm infants (34–40 weeks postmenstrual age). Infants were given omeprazole (0.7 mg/kg daily — prepared as 0.7 mg/kg of IV omeprazole in 2 mL/kg of Mylanta through NG tube) for 7 days and then placebo for 7 days in randomised order. Twenty-four-hour esophageal and gastric pH monitoring was performed on days 7 and 14 of the trial. Compared to placebo, omeprazole therapy significantly reduced gastric acidity (% </w:t>
            </w:r>
            <w:r w:rsidRPr="002F740F">
              <w:rPr>
                <w:rFonts w:cs="Arial" w:asciiTheme="minorHAnsi" w:hAnsiTheme="minorHAnsi"/>
                <w:sz w:val="16"/>
                <w:szCs w:val="16"/>
              </w:rPr>
              <w:lastRenderedPageBreak/>
              <w:t>time pH &lt; 4, 54% vs 14%, P &lt; 0.0005), oesophageal acid exposure (% time pH &lt; 4, 19% vs 5%, P &lt; 0.01) and number of acid GER episodes (119 vs 60 episodes, P &lt; 0.05).</w:t>
            </w:r>
          </w:p>
          <w:p w:rsidRPr="002F740F" w:rsidR="007C726E" w:rsidP="007C726E" w:rsidRDefault="007C726E" w14:paraId="7748C59F"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 xml:space="preserve">Kaufman et al studied 22 paediatric patients ranging in age from 0.9 to 108 months (23.8 </w:t>
            </w:r>
            <w:r w:rsidRPr="002F740F">
              <w:rPr>
                <w:rFonts w:asciiTheme="minorHAnsi" w:hAnsiTheme="minorHAnsi" w:cstheme="minorHAnsi"/>
                <w:sz w:val="16"/>
                <w:szCs w:val="16"/>
              </w:rPr>
              <w:t>±</w:t>
            </w:r>
            <w:r w:rsidRPr="002F740F">
              <w:rPr>
                <w:rFonts w:cs="Arial" w:asciiTheme="minorHAnsi" w:hAnsiTheme="minorHAnsi"/>
                <w:sz w:val="16"/>
                <w:szCs w:val="16"/>
              </w:rPr>
              <w:t xml:space="preserve"> 6.5) who underwent isolated liver (n = 10) or intestinal transplantation. Omeprazole was delivered in bicarbonate suspension through a nasogastric tube. Therapy was started after surgery at 0.5 mg/kg every 12 hours. For the entire group, mean gastric pH equalled 6.1 </w:t>
            </w:r>
            <w:r w:rsidRPr="002F740F">
              <w:rPr>
                <w:rFonts w:asciiTheme="minorHAnsi" w:hAnsiTheme="minorHAnsi" w:cstheme="minorHAnsi"/>
                <w:sz w:val="16"/>
                <w:szCs w:val="16"/>
              </w:rPr>
              <w:t>±</w:t>
            </w:r>
            <w:r w:rsidRPr="002F740F">
              <w:rPr>
                <w:rFonts w:cs="Arial" w:asciiTheme="minorHAnsi" w:hAnsiTheme="minorHAnsi"/>
                <w:sz w:val="16"/>
                <w:szCs w:val="16"/>
              </w:rPr>
              <w:t xml:space="preserve"> 0.3, the same in recipients of isolated liver and intestinal allografts. Twelve of the 22 patients demonstrated a discontinuous omeprazole effect, that is, dissipation of acid reduction before the next dose. Five of the 12 patients with discontinuous omeprazole effect had a mean gastric pH of less than 5 (3.9 </w:t>
            </w:r>
            <w:r w:rsidRPr="002F740F">
              <w:rPr>
                <w:rFonts w:asciiTheme="minorHAnsi" w:hAnsiTheme="minorHAnsi" w:cstheme="minorHAnsi"/>
                <w:sz w:val="16"/>
                <w:szCs w:val="16"/>
              </w:rPr>
              <w:t>±</w:t>
            </w:r>
            <w:r w:rsidRPr="002F740F">
              <w:rPr>
                <w:rFonts w:cs="Arial" w:asciiTheme="minorHAnsi" w:hAnsiTheme="minorHAnsi"/>
                <w:sz w:val="16"/>
                <w:szCs w:val="16"/>
              </w:rPr>
              <w:t xml:space="preserve"> 0.4). In 4 of these 5, the omeprazole dosing interval was shortened to every 8 or every 6 hours, resulting in an increase in mean pH to 6.6 </w:t>
            </w:r>
            <w:r w:rsidRPr="002F740F">
              <w:rPr>
                <w:rFonts w:asciiTheme="minorHAnsi" w:hAnsiTheme="minorHAnsi" w:cstheme="minorHAnsi"/>
                <w:sz w:val="16"/>
                <w:szCs w:val="16"/>
              </w:rPr>
              <w:t>±</w:t>
            </w:r>
            <w:r w:rsidRPr="002F740F">
              <w:rPr>
                <w:rFonts w:cs="Arial" w:asciiTheme="minorHAnsi" w:hAnsiTheme="minorHAnsi"/>
                <w:sz w:val="16"/>
                <w:szCs w:val="16"/>
              </w:rPr>
              <w:t xml:space="preserve"> 0.2 ( P &lt; 0.01). In the remaining 10 of 22 patients, acid suppression was uninterrupted until the next dose. No patient experienced bleeding attributable to gastric erosion. In conclusion, a dosage of 0.5 mg/kg every 12 hours is sufficient for most patients, but dosing every 6 to 8 hours is required to assure maximal acid suppression in all.</w:t>
            </w:r>
          </w:p>
          <w:p w:rsidRPr="002F740F" w:rsidR="007C726E" w:rsidP="007C726E" w:rsidRDefault="007C726E" w14:paraId="3DD26351"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 xml:space="preserve">Proper formulation is critical for omeprazole for a good oral bioavailability. </w:t>
            </w:r>
          </w:p>
          <w:p w:rsidRPr="002F740F" w:rsidR="007C726E" w:rsidP="007C726E" w:rsidRDefault="007C726E" w14:paraId="4B38EC52" w14:textId="77777777">
            <w:pPr>
              <w:pStyle w:val="BodyText"/>
              <w:tabs>
                <w:tab w:val="left" w:pos="1168"/>
              </w:tabs>
              <w:rPr>
                <w:rFonts w:cs="Arial" w:asciiTheme="minorHAnsi" w:hAnsiTheme="minorHAnsi"/>
                <w:sz w:val="16"/>
                <w:szCs w:val="16"/>
              </w:rPr>
            </w:pPr>
          </w:p>
          <w:p w:rsidRPr="002F740F" w:rsidR="007C726E" w:rsidP="007C726E" w:rsidRDefault="007C726E" w14:paraId="61CEF415" w14:textId="77777777">
            <w:pPr>
              <w:pStyle w:val="BodyText"/>
              <w:tabs>
                <w:tab w:val="left" w:pos="1168"/>
              </w:tabs>
              <w:rPr>
                <w:rFonts w:cs="Arial" w:asciiTheme="minorHAnsi" w:hAnsiTheme="minorHAnsi"/>
                <w:b/>
                <w:sz w:val="16"/>
                <w:szCs w:val="16"/>
                <w:u w:val="single"/>
              </w:rPr>
            </w:pPr>
            <w:r w:rsidRPr="002F740F">
              <w:rPr>
                <w:rFonts w:cs="Arial" w:asciiTheme="minorHAnsi" w:hAnsiTheme="minorHAnsi"/>
                <w:b/>
                <w:sz w:val="16"/>
                <w:szCs w:val="16"/>
                <w:u w:val="single"/>
              </w:rPr>
              <w:t>Safety</w:t>
            </w:r>
          </w:p>
          <w:p w:rsidRPr="002F740F" w:rsidR="007C726E" w:rsidP="007C726E" w:rsidRDefault="007C726E" w14:paraId="5B76B1DA"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 xml:space="preserve">The FDA reviewed 4 randomised controlled trials evaluating the use of PPIs in infants (ages 1 month to &lt;12 months) for the treatment of symptomatic GERD (Chen LL 2012). These trials used PPIs for a short duration and no serious side effects have been reported. However, it cannot be assumed that PPIs can be used safely for a long time. Among adults, there have been concerns that long-term PPI use may predispose patients to an increased risk of gastric cancer, gastric carcinoid tumors and colorectal cancer. These concerns are based on hypergastrinaemia, alteration of the distribution of gastritis and accelerated development of atrophic gastritis in the presence of </w:t>
            </w:r>
            <w:r w:rsidRPr="002F740F">
              <w:rPr>
                <w:rFonts w:cs="Arial" w:asciiTheme="minorHAnsi" w:hAnsiTheme="minorHAnsi"/>
                <w:i/>
                <w:sz w:val="16"/>
                <w:szCs w:val="16"/>
              </w:rPr>
              <w:t>Helicobacter pylori</w:t>
            </w:r>
            <w:r w:rsidRPr="002F740F">
              <w:rPr>
                <w:rFonts w:cs="Arial" w:asciiTheme="minorHAnsi" w:hAnsiTheme="minorHAnsi"/>
                <w:sz w:val="16"/>
                <w:szCs w:val="16"/>
              </w:rPr>
              <w:t xml:space="preserve"> infection. Suppression of gastric acid secretion may also predispose patients to certain infections (</w:t>
            </w:r>
            <w:r w:rsidRPr="002F740F">
              <w:rPr>
                <w:rFonts w:cs="Arial" w:asciiTheme="minorHAnsi" w:hAnsiTheme="minorHAnsi"/>
                <w:i/>
                <w:sz w:val="16"/>
                <w:szCs w:val="16"/>
              </w:rPr>
              <w:t>Clostridium difficile</w:t>
            </w:r>
            <w:r w:rsidRPr="002F740F">
              <w:rPr>
                <w:rFonts w:cs="Arial" w:asciiTheme="minorHAnsi" w:hAnsiTheme="minorHAnsi"/>
                <w:sz w:val="16"/>
                <w:szCs w:val="16"/>
              </w:rPr>
              <w:t xml:space="preserve"> infections, other enteric infections and respiratory infections, including community-acquired pneumonias). The mechanism for this may be that acid suppression eliminates a defence against pathogens. There have been rare reports of vitamin and electrolyte abnormalities (e.g. vitamin B</w:t>
            </w:r>
            <w:r w:rsidRPr="002F740F">
              <w:rPr>
                <w:rFonts w:cs="Arial" w:asciiTheme="minorHAnsi" w:hAnsiTheme="minorHAnsi"/>
                <w:sz w:val="16"/>
                <w:szCs w:val="16"/>
                <w:vertAlign w:val="subscript"/>
              </w:rPr>
              <w:t>12</w:t>
            </w:r>
            <w:r w:rsidRPr="002F740F">
              <w:rPr>
                <w:rFonts w:cs="Arial" w:asciiTheme="minorHAnsi" w:hAnsiTheme="minorHAnsi"/>
                <w:sz w:val="16"/>
                <w:szCs w:val="16"/>
              </w:rPr>
              <w:t xml:space="preserve"> deficiency and hypomagnesaemia in adults taking PPIs chronically. There have been cases of hypomagnesaemia that required discontinuation of the PPI in addition to magnesium supplementation.  There are reports of calcium deficiency and osteoporosis in adults on chronic PPI therapy and the FDA added these side effects for all PPIs. (Chen LL 2012, Tolia 2008). Additionally, PPIs have been implicated as a cause of acute interstitial nephritis.(Chen LL 2012).</w:t>
            </w:r>
          </w:p>
          <w:p w:rsidRPr="002F740F" w:rsidR="007C726E" w:rsidP="007C726E" w:rsidRDefault="007C726E" w14:paraId="7391EB6F"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Tolia and Boyer reported the outcomes of 32–47 months of treatment with PPIs in 133 paediatric patients ranging in age from 0.1 to 17.6 years at the start of treatment. Most patients were dosed twice a day. Parietal cell hyperplasia was observed in 0–16 % of patients during follow-up but, interestingly, the gastric histology was normal significantly more often when treatment continued for longer than 48 months and when patients were treated with higher doses. Gastrin levels were elevated in 73 % of the children, but vitamin B</w:t>
            </w:r>
            <w:r w:rsidRPr="002F740F">
              <w:rPr>
                <w:rFonts w:cs="Arial" w:asciiTheme="minorHAnsi" w:hAnsiTheme="minorHAnsi"/>
                <w:sz w:val="16"/>
                <w:szCs w:val="16"/>
                <w:vertAlign w:val="subscript"/>
              </w:rPr>
              <w:t>12</w:t>
            </w:r>
            <w:r w:rsidRPr="002F740F">
              <w:rPr>
                <w:rFonts w:cs="Arial" w:asciiTheme="minorHAnsi" w:hAnsiTheme="minorHAnsi"/>
                <w:sz w:val="16"/>
                <w:szCs w:val="16"/>
              </w:rPr>
              <w:t xml:space="preserve"> remained normal.</w:t>
            </w:r>
          </w:p>
          <w:p w:rsidRPr="002F740F" w:rsidR="007C726E" w:rsidP="007C726E" w:rsidRDefault="007C726E" w14:paraId="4001E91A" w14:textId="77777777">
            <w:pPr>
              <w:pStyle w:val="BodyText"/>
              <w:tabs>
                <w:tab w:val="left" w:pos="1168"/>
              </w:tabs>
              <w:rPr>
                <w:rFonts w:cs="Arial" w:asciiTheme="minorHAnsi" w:hAnsiTheme="minorHAnsi"/>
                <w:sz w:val="16"/>
                <w:szCs w:val="16"/>
              </w:rPr>
            </w:pPr>
            <w:r w:rsidRPr="002F740F">
              <w:rPr>
                <w:rFonts w:cs="Arial" w:asciiTheme="minorHAnsi" w:hAnsiTheme="minorHAnsi"/>
                <w:sz w:val="16"/>
                <w:szCs w:val="16"/>
              </w:rPr>
              <w:t>In a recent systematic review (More K et al), a higher incidence of NEC has been reported in preterm VLBW infants in association with the suppression of gastric acidity, induced both by H2-Blockers and PPIs. So far, it is not possible to fit these evidences specifically for PPIs, as data currently available on the occurrence of NEC and infections are jointly concerning both PPIs and H2-blockers.</w:t>
            </w:r>
          </w:p>
        </w:tc>
      </w:tr>
      <w:tr w:rsidRPr="00176048" w:rsidR="007C726E" w:rsidTr="48F57877" w14:paraId="3271F1AB" w14:textId="77777777">
        <w:trPr>
          <w:trHeight w:val="361"/>
        </w:trPr>
        <w:tc>
          <w:tcPr>
            <w:tcW w:w="1060" w:type="pct"/>
          </w:tcPr>
          <w:p w:rsidRPr="00176048" w:rsidR="007C726E" w:rsidP="007C726E" w:rsidRDefault="007C726E" w14:paraId="6B997262" w14:textId="77777777">
            <w:pPr>
              <w:pStyle w:val="BodyText"/>
              <w:rPr>
                <w:rFonts w:cs="Arial" w:asciiTheme="minorHAnsi" w:hAnsiTheme="minorHAnsi"/>
                <w:b/>
                <w:bCs/>
                <w:sz w:val="20"/>
              </w:rPr>
            </w:pPr>
            <w:r w:rsidRPr="00176048">
              <w:rPr>
                <w:rFonts w:asciiTheme="minorHAnsi" w:hAnsiTheme="minorHAnsi"/>
                <w:b/>
                <w:sz w:val="20"/>
              </w:rPr>
              <w:lastRenderedPageBreak/>
              <w:t>References</w:t>
            </w:r>
          </w:p>
        </w:tc>
        <w:tc>
          <w:tcPr>
            <w:tcW w:w="3940" w:type="pct"/>
          </w:tcPr>
          <w:p w:rsidRPr="002F740F" w:rsidR="007C726E" w:rsidP="001B0E05" w:rsidRDefault="007C726E" w14:paraId="78C60306"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NICE Guideline 2015. Gastro-oesophageal reflux disease in children and young people: diagnosis and management. Published: 14 January 2015. nice.org.uk/guidance/ng1.</w:t>
            </w:r>
          </w:p>
          <w:p w:rsidRPr="002F740F" w:rsidR="007C726E" w:rsidP="001B0E05" w:rsidRDefault="007C726E" w14:paraId="5F6EECE5"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Vandenplas Y, Rudolph CD, Di Lorenzo C, Hassall E,Liptak G, Mazur L, Sondheimer J, Staiano,A, et al. Pediatric Gastroesophageal Reflux Clinical Practice Guidelines: Joint Recommendations of the North American Society of Pediatric Gastroenterology, Hepatology, and Nutrition and the European Society of Pediatric Gastroenterology, Hepatology, and Nutrition. JPGN 2009;49:498–547.</w:t>
            </w:r>
          </w:p>
          <w:p w:rsidRPr="002F740F" w:rsidR="007C726E" w:rsidP="001B0E05" w:rsidRDefault="007C726E" w14:paraId="3D8306CD"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 xml:space="preserve">Shawyer AC, D'Souza J, Pemberton J, Flageole H. The management of postoperative reflux in congenital esophageal atresia-tracheoesophageal fistula: a systematic review.   Pediatr Surg Int [Internet]. 2014 [cited 2014 Oct];30(10):987-96. In: Ovid MEDLINE(R) [Internet]. </w:t>
            </w:r>
            <w:hyperlink w:history="1" r:id="rId57">
              <w:r w:rsidRPr="002F740F">
                <w:rPr>
                  <w:rFonts w:asciiTheme="minorHAnsi" w:hAnsiTheme="minorHAnsi" w:eastAsiaTheme="minorHAnsi" w:cstheme="minorBidi"/>
                  <w:color w:val="0563C1" w:themeColor="hyperlink"/>
                  <w:sz w:val="16"/>
                  <w:szCs w:val="16"/>
                  <w:u w:val="single"/>
                </w:rPr>
                <w:t>http://ovidsp.ovid.com/ovidweb.cgi?T=JS&amp;PAGE=reference&amp;D=medl&amp;NEWS=N&amp;AN=25011995</w:t>
              </w:r>
            </w:hyperlink>
            <w:r w:rsidRPr="002F740F">
              <w:rPr>
                <w:rFonts w:asciiTheme="minorHAnsi" w:hAnsiTheme="minorHAnsi" w:eastAsiaTheme="minorHAnsi" w:cstheme="minorBidi"/>
                <w:sz w:val="16"/>
                <w:szCs w:val="16"/>
              </w:rPr>
              <w:t>.</w:t>
            </w:r>
          </w:p>
          <w:p w:rsidRPr="002F740F" w:rsidR="007C726E" w:rsidP="001B0E05" w:rsidRDefault="007C726E" w14:paraId="66A8B8BE"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TigheM, AfzalNA, BevanA,HayenA,MunroA, Beattie RM. Pharmacological treatment of children with gastro-oesophageal reflux. Cochrane Database of Systematic Reviews 2014, Issue 11. Art. No.: CD008550. DOI: 10.1002/14651858.CD008550.pub2.</w:t>
            </w:r>
          </w:p>
          <w:p w:rsidRPr="002F740F" w:rsidR="007C726E" w:rsidP="001B0E05" w:rsidRDefault="007C726E" w14:paraId="71C43BCB" w14:textId="77777777">
            <w:pPr>
              <w:numPr>
                <w:ilvl w:val="0"/>
                <w:numId w:val="68"/>
              </w:numPr>
              <w:contextualSpacing/>
              <w:rPr>
                <w:rFonts w:eastAsia="Arial Unicode MS" w:cs="Arial Unicode MS" w:asciiTheme="minorHAnsi" w:hAnsiTheme="minorHAnsi"/>
                <w:sz w:val="16"/>
                <w:szCs w:val="16"/>
              </w:rPr>
            </w:pPr>
            <w:r w:rsidRPr="002F740F">
              <w:rPr>
                <w:rFonts w:eastAsia="Arial Unicode MS" w:cs="Arial Unicode MS" w:asciiTheme="minorHAnsi" w:hAnsiTheme="minorHAnsi"/>
                <w:sz w:val="16"/>
                <w:szCs w:val="16"/>
              </w:rPr>
              <w:t xml:space="preserve">Freedberg DE, Lamouse-Smith ES, Lightdale JR, Jin Z, Yang YX, Abrams JA. Use of Acid Suppression Medication is Associated With Risk for C. difficile Infection in Infants and Children: A Population-based Study.   Clin Infect Dis [Internet]. 2015 [cited 2015 Sep 15];61(6):912-7. In: Ovid MEDLINE(R) [Internet]. </w:t>
            </w:r>
            <w:hyperlink w:history="1" r:id="rId58">
              <w:r w:rsidRPr="002F740F">
                <w:rPr>
                  <w:rFonts w:eastAsia="Arial Unicode MS" w:cs="Arial Unicode MS" w:asciiTheme="minorHAnsi" w:hAnsiTheme="minorHAnsi"/>
                  <w:color w:val="0000FF"/>
                  <w:sz w:val="16"/>
                  <w:szCs w:val="16"/>
                  <w:u w:val="single"/>
                </w:rPr>
                <w:t>http://ovidsp.ovid.com/ovidweb.cgi?T=JS&amp;PAGE=reference&amp;D=medl&amp;NEWS=N&amp;AN=26060292</w:t>
              </w:r>
            </w:hyperlink>
          </w:p>
          <w:p w:rsidRPr="002F740F" w:rsidR="007C726E" w:rsidP="001B0E05" w:rsidRDefault="007C726E" w14:paraId="1036D4BC" w14:textId="77777777">
            <w:pPr>
              <w:numPr>
                <w:ilvl w:val="0"/>
                <w:numId w:val="68"/>
              </w:numPr>
              <w:contextualSpacing/>
              <w:rPr>
                <w:rFonts w:eastAsia="Arial Unicode MS" w:cs="Arial Unicode MS" w:asciiTheme="minorHAnsi" w:hAnsiTheme="minorHAnsi"/>
                <w:sz w:val="16"/>
                <w:szCs w:val="16"/>
              </w:rPr>
            </w:pPr>
            <w:r w:rsidRPr="002F740F">
              <w:rPr>
                <w:rFonts w:eastAsia="Arial Unicode MS" w:cs="Arial Unicode MS" w:asciiTheme="minorHAnsi" w:hAnsiTheme="minorHAnsi"/>
                <w:sz w:val="16"/>
                <w:szCs w:val="16"/>
              </w:rPr>
              <w:t xml:space="preserve">Jimenez J, Drees M, Loveridge-Lenza B, Eppes S, delRosario F. Exposure to Gastric Acid-Suppression Therapy Is Associated With Health Care- and Community-Associated Clostridium difficile Infection in Children.   J Pediatr Gastroenterol Nutr [Internet]. 2015 [cited 2015 Aug];61(2):208-11. In: Ovid MEDLINE(R) [Internet]. </w:t>
            </w:r>
            <w:hyperlink w:history="1" r:id="rId59">
              <w:r w:rsidRPr="002F740F">
                <w:rPr>
                  <w:rFonts w:eastAsia="Arial Unicode MS" w:cs="Arial Unicode MS" w:asciiTheme="minorHAnsi" w:hAnsiTheme="minorHAnsi"/>
                  <w:color w:val="0000FF"/>
                  <w:sz w:val="16"/>
                  <w:szCs w:val="16"/>
                  <w:u w:val="single"/>
                </w:rPr>
                <w:t>http://ovidsp.ovid.com/ovidweb.cgi?T=JS&amp;PAGE=reference&amp;D=medl&amp;NEWS=N&amp;AN=25806678</w:t>
              </w:r>
            </w:hyperlink>
          </w:p>
          <w:p w:rsidRPr="002F740F" w:rsidR="007C726E" w:rsidP="001B0E05" w:rsidRDefault="007C726E" w14:paraId="228BD8AF" w14:textId="77777777">
            <w:pPr>
              <w:numPr>
                <w:ilvl w:val="0"/>
                <w:numId w:val="68"/>
              </w:numPr>
              <w:contextualSpacing/>
              <w:rPr>
                <w:rFonts w:eastAsia="Arial Unicode MS" w:cs="Arial Unicode MS" w:asciiTheme="minorHAnsi" w:hAnsiTheme="minorHAnsi"/>
                <w:sz w:val="16"/>
                <w:szCs w:val="16"/>
              </w:rPr>
            </w:pPr>
            <w:r w:rsidRPr="002F740F">
              <w:rPr>
                <w:rFonts w:eastAsia="Arial Unicode MS" w:cs="Arial Unicode MS" w:asciiTheme="minorHAnsi" w:hAnsiTheme="minorHAnsi"/>
                <w:sz w:val="16"/>
                <w:szCs w:val="16"/>
              </w:rPr>
              <w:t xml:space="preserve">Cohen S, Bueno de Mesquita M, Mimouni FB. Adverse effects reported in the use of gastroesophageal reflux disease treatments in children: a 10 years literature review.   Br J Clin Pharmacol [Internet]. 2015 [cited 2015 Aug];80(2):200-8. In: Ovid MEDLINE(R) [Internet]. </w:t>
            </w:r>
            <w:hyperlink w:history="1" r:id="rId60">
              <w:r w:rsidRPr="002F740F">
                <w:rPr>
                  <w:rFonts w:eastAsia="Arial Unicode MS" w:cs="Arial Unicode MS" w:asciiTheme="minorHAnsi" w:hAnsiTheme="minorHAnsi"/>
                  <w:color w:val="0000FF"/>
                  <w:sz w:val="16"/>
                  <w:szCs w:val="16"/>
                  <w:u w:val="single"/>
                </w:rPr>
                <w:t>http://ovidsp.ovid.com/ovidweb.cgi?T=JS&amp;PAGE=reference&amp;D=medl&amp;NEWS=N&amp;AN=25752807</w:t>
              </w:r>
            </w:hyperlink>
          </w:p>
          <w:p w:rsidRPr="002F740F" w:rsidR="007C726E" w:rsidP="001B0E05" w:rsidRDefault="007C726E" w14:paraId="6A0487BD"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 xml:space="preserve">Wheatley E, Kennedy KA. Cross-over trial of treatment for bradycardia attributed to gastroesophageal reflux in preterm infants.   J Pediatr [Internet]. 2009 [cited 2009 Oct];155(4):516-21. In: Ovid MEDLINE(R) [Internet]. </w:t>
            </w:r>
            <w:hyperlink w:history="1" r:id="rId61">
              <w:r w:rsidRPr="002F740F">
                <w:rPr>
                  <w:rFonts w:asciiTheme="minorHAnsi" w:hAnsiTheme="minorHAnsi" w:eastAsiaTheme="minorHAnsi" w:cstheme="minorBidi"/>
                  <w:color w:val="0563C1" w:themeColor="hyperlink"/>
                  <w:sz w:val="16"/>
                  <w:szCs w:val="16"/>
                  <w:u w:val="single"/>
                </w:rPr>
                <w:t>http://ovidsp.ovid.com/ovidweb.cgi?T=JS&amp;PAGE=reference&amp;D=med5&amp;NEWS=N&amp;AN=19540518</w:t>
              </w:r>
            </w:hyperlink>
            <w:r w:rsidRPr="002F740F">
              <w:rPr>
                <w:rFonts w:asciiTheme="minorHAnsi" w:hAnsiTheme="minorHAnsi" w:eastAsiaTheme="minorHAnsi" w:cstheme="minorBidi"/>
                <w:sz w:val="16"/>
                <w:szCs w:val="16"/>
              </w:rPr>
              <w:t>.</w:t>
            </w:r>
          </w:p>
          <w:p w:rsidRPr="002F740F" w:rsidR="007C726E" w:rsidP="001B0E05" w:rsidRDefault="007C726E" w14:paraId="4AD85984"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lastRenderedPageBreak/>
              <w:t xml:space="preserve">Canani RB, Cirillo P, Roggero P, Romano C, Malamisura B, Terrin G, Passariello A, Manguso F, Morelli L, Guarino A, Working Group on Intestinal Infections of the Italian Society of Pediatric Gastroenterology, Hepatology and Nutrition (SIGENP). Therapy with gastric acidity inhibitors increases the risk of acute gastroenteritis and community-acquired pneumonia in children.   Pediatrics [Internet]. 2006 [cited 2006 May];117(5):e817-20. In: Ovid MEDLINE(R) [Internet]. </w:t>
            </w:r>
            <w:hyperlink w:history="1" r:id="rId62">
              <w:r w:rsidRPr="002F740F">
                <w:rPr>
                  <w:rFonts w:asciiTheme="minorHAnsi" w:hAnsiTheme="minorHAnsi" w:eastAsiaTheme="minorHAnsi" w:cstheme="minorBidi"/>
                  <w:color w:val="0563C1" w:themeColor="hyperlink"/>
                  <w:sz w:val="16"/>
                  <w:szCs w:val="16"/>
                  <w:u w:val="single"/>
                </w:rPr>
                <w:t>http://ovidsp.ovid.com/ovidweb.cgi?T=JS&amp;PAGE=reference&amp;D=med5&amp;NEWS=N&amp;AN=16651285</w:t>
              </w:r>
            </w:hyperlink>
            <w:r w:rsidRPr="002F740F">
              <w:rPr>
                <w:rFonts w:asciiTheme="minorHAnsi" w:hAnsiTheme="minorHAnsi" w:eastAsiaTheme="minorHAnsi" w:cstheme="minorBidi"/>
                <w:sz w:val="16"/>
                <w:szCs w:val="16"/>
              </w:rPr>
              <w:t>.</w:t>
            </w:r>
          </w:p>
          <w:p w:rsidRPr="002F740F" w:rsidR="007C726E" w:rsidP="001B0E05" w:rsidRDefault="007C726E" w14:paraId="68EF0075"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Saiman L, Ludington E, Dawson JD, et al. Risk factors for Candida species colonization of neonatal intensive care unit patients. Pediatr Infect Dis J 2001;20:1119–24.</w:t>
            </w:r>
          </w:p>
          <w:p w:rsidRPr="002F740F" w:rsidR="007C726E" w:rsidP="001B0E05" w:rsidRDefault="007C726E" w14:paraId="33F16ABC"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More K, Athalye-Jape G, Rao S, Patole S.Association of inhibitors of gastric acid secretion and higher incidence of necrotizing enterocolitis in preterm very low-birth-weight infants. Am J Perinatol. 2013 Nov;30(10):849-56</w:t>
            </w:r>
          </w:p>
          <w:p w:rsidRPr="002F740F" w:rsidR="007C726E" w:rsidP="001B0E05" w:rsidRDefault="007C726E" w14:paraId="4F988D28"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Kearns GL;  Winter HS. Proton pump inhibitors in pediatrics: relevant pharmacokinetics and pharmacodynamics. J Pediatric Gastroenterology &amp; Nutrition 2003; 37 Suppl 1:S52-9.</w:t>
            </w:r>
          </w:p>
          <w:p w:rsidRPr="002F740F" w:rsidR="007C726E" w:rsidP="001B0E05" w:rsidRDefault="007C726E" w14:paraId="2A6C0FB9"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Omari TI;  Haslam RR;  Lundborg P;  Davidson GP. Effect of omeprazole on acid gastroesophageal reflux and gastric acidity in preterm infants with pathological acid reflux. J Pediatric Gastroenterology &amp; Nutrition 2007; 44(1):41-4.</w:t>
            </w:r>
          </w:p>
          <w:p w:rsidRPr="002F740F" w:rsidR="007C726E" w:rsidP="001B0E05" w:rsidRDefault="007C726E" w14:paraId="0EA3FE08"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Hoyo-Vadillo C;  Venturelli CR;  Gonzalez H;  Romero E;  Cervantes R;  Mata N;  Ortiz AC;  Rincon V;  Zarate F;  Sosa C;  Ramirez-Mayans J. Metabolism of omeprazole after two oral doses in children 1 to 9 months old. Proceedings of the Western Pharmacology Society2005; 48:108-9.</w:t>
            </w:r>
          </w:p>
          <w:p w:rsidRPr="002F740F" w:rsidR="007C726E" w:rsidP="001B0E05" w:rsidRDefault="007C726E" w14:paraId="445539DF"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Faure C;  Michaud L;  Shaghaghi EK;  Popon M;  Turck D;  Navarro J;  Jacqz-Aigrain E. Intravenous omeprazole in children: pharmacokinetics and effect on 24-hour intragastric pH. Journal of Pediatric Gastroenterology &amp; Nutrition 2001; 33(2):144-8.</w:t>
            </w:r>
          </w:p>
          <w:p w:rsidRPr="002F740F" w:rsidR="007C726E" w:rsidP="001B0E05" w:rsidRDefault="007C726E" w14:paraId="1499E5FF"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Kaufman SS;  Lyden ER;  Brown CR;  Davis CK;  Andersen DA;  Olsen KM;  Bergman KL;  Horslen SP;  Sudan DL;  Fox IJ;  Shaw Jr BW;  Langnas AN. Omeprozole therapy in pediatric patients after liver and intestinal transplantation. J Pediatric Gastroenterology &amp; Nutrition 2002;34(2):194-8.</w:t>
            </w:r>
          </w:p>
          <w:p w:rsidRPr="002F740F" w:rsidR="007C726E" w:rsidP="001B0E05" w:rsidRDefault="007C726E" w14:paraId="6F193423"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Chen LL, Gao WY, Johnson AP, Niak A, Troiani J, Korvick J, Snow N, Estes K, Taylor A, Griebel D. Proton Pump Inhibitor Use in Infants: FDA Reviewer Experience. JPGN 2012;54(1):8–14.doi: 10.1097/MPG.0b013e31823890b4.</w:t>
            </w:r>
          </w:p>
          <w:p w:rsidRPr="002F740F" w:rsidR="007C726E" w:rsidP="001B0E05" w:rsidRDefault="007C726E" w14:paraId="34F20E03"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Tolia V, Boyer K. Long-term proton pump inhibitor use in children: a retrospective review of safety. Dig Dis Sci. 2008;53(2):385–93.</w:t>
            </w:r>
          </w:p>
          <w:p w:rsidRPr="002F740F" w:rsidR="007C726E" w:rsidP="001B0E05" w:rsidRDefault="006B3E26" w14:paraId="45106720" w14:textId="77777777">
            <w:pPr>
              <w:numPr>
                <w:ilvl w:val="0"/>
                <w:numId w:val="68"/>
              </w:numPr>
              <w:contextualSpacing/>
              <w:rPr>
                <w:rFonts w:asciiTheme="minorHAnsi" w:hAnsiTheme="minorHAnsi" w:eastAsiaTheme="minorHAnsi" w:cstheme="minorBidi"/>
                <w:sz w:val="16"/>
                <w:szCs w:val="16"/>
              </w:rPr>
            </w:pPr>
            <w:hyperlink w:history="1" r:id="rId63">
              <w:r w:rsidRPr="002F740F" w:rsidR="007C726E">
                <w:rPr>
                  <w:rStyle w:val="Hyperlink"/>
                  <w:rFonts w:asciiTheme="minorHAnsi" w:hAnsiTheme="minorHAnsi" w:eastAsiaTheme="minorHAnsi" w:cstheme="minorBidi"/>
                  <w:sz w:val="16"/>
                  <w:szCs w:val="16"/>
                </w:rPr>
                <w:t>http://www.accessdata.fda.gov/drugsatfda_docs/nda/2008/022056s000medr.pdf</w:t>
              </w:r>
            </w:hyperlink>
            <w:r w:rsidRPr="002F740F" w:rsidR="007C726E">
              <w:rPr>
                <w:rFonts w:asciiTheme="minorHAnsi" w:hAnsiTheme="minorHAnsi" w:eastAsiaTheme="minorHAnsi" w:cstheme="minorBidi"/>
                <w:sz w:val="16"/>
                <w:szCs w:val="16"/>
              </w:rPr>
              <w:t>. Accessed on July 22 2016.</w:t>
            </w:r>
          </w:p>
          <w:p w:rsidRPr="002F740F" w:rsidR="007C726E" w:rsidP="001B0E05" w:rsidRDefault="007C726E" w14:paraId="21510EE5"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Micromedex 2.0</w:t>
            </w:r>
          </w:p>
          <w:p w:rsidRPr="002F740F" w:rsidR="007C726E" w:rsidP="001B0E05" w:rsidRDefault="007C726E" w14:paraId="3DB5199E"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Product Information: PRILOSEC oral delayed-release capsules, omeprazole oral delayed-release capsules. AstraZeneca LP (per FDA), Wilmington, DE, 2014.</w:t>
            </w:r>
          </w:p>
          <w:p w:rsidRPr="002F740F" w:rsidR="007C726E" w:rsidP="001B0E05" w:rsidRDefault="007C726E" w14:paraId="67A4A59A" w14:textId="77777777">
            <w:pPr>
              <w:numPr>
                <w:ilvl w:val="0"/>
                <w:numId w:val="68"/>
              </w:numPr>
              <w:contextualSpacing/>
              <w:rPr>
                <w:rFonts w:asciiTheme="minorHAnsi" w:hAnsiTheme="minorHAnsi" w:eastAsiaTheme="minorHAnsi" w:cstheme="minorBidi"/>
                <w:sz w:val="16"/>
                <w:szCs w:val="16"/>
              </w:rPr>
            </w:pPr>
            <w:r w:rsidRPr="002F740F">
              <w:rPr>
                <w:rFonts w:asciiTheme="minorHAnsi" w:hAnsiTheme="minorHAnsi" w:eastAsiaTheme="minorHAnsi" w:cstheme="minorBidi"/>
                <w:sz w:val="16"/>
                <w:szCs w:val="16"/>
              </w:rPr>
              <w:t>The Australian Journal of Hospital Pharmacy 1998:28:174-6.</w:t>
            </w:r>
          </w:p>
        </w:tc>
      </w:tr>
    </w:tbl>
    <w:p w:rsidR="003665C7" w:rsidP="006F0321" w:rsidRDefault="003665C7" w14:paraId="7A50C18F" w14:textId="133D90A0"/>
    <w:tbl>
      <w:tblPr>
        <w:tblW w:w="8925" w:type="dxa"/>
        <w:tblInd w:w="-34" w:type="dxa"/>
        <w:tblCellMar>
          <w:left w:w="0" w:type="dxa"/>
          <w:right w:w="0" w:type="dxa"/>
        </w:tblCellMar>
        <w:tblLook w:val="04A0" w:firstRow="1" w:lastRow="0" w:firstColumn="1" w:lastColumn="0" w:noHBand="0" w:noVBand="1"/>
      </w:tblPr>
      <w:tblGrid>
        <w:gridCol w:w="4109"/>
        <w:gridCol w:w="4816"/>
      </w:tblGrid>
      <w:tr w:rsidR="007C726E" w:rsidTr="48F57877" w14:paraId="316BEC23"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P="0349FAD4" w:rsidRDefault="5134A46D" w14:paraId="257E2C2A" w14:textId="17231565">
            <w:pPr>
              <w:spacing w:line="252" w:lineRule="auto"/>
              <w:rPr>
                <w:lang w:val="en-AU"/>
              </w:rPr>
            </w:pPr>
            <w:r w:rsidRPr="0349FAD4">
              <w:rPr>
                <w:b/>
                <w:bCs/>
              </w:rPr>
              <w:t>Original version Date:</w:t>
            </w:r>
            <w:r w:rsidR="007604EC">
              <w:rPr>
                <w:b/>
                <w:bCs/>
              </w:rPr>
              <w:t>24/8/2016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7C726E" w:rsidP="0349FAD4" w:rsidRDefault="6A671110" w14:paraId="74711628" w14:textId="5A4859F1">
            <w:pPr>
              <w:spacing w:line="252" w:lineRule="auto"/>
              <w:rPr>
                <w:b/>
                <w:bCs/>
              </w:rPr>
            </w:pPr>
            <w:r w:rsidRPr="48F57877">
              <w:rPr>
                <w:b/>
                <w:bCs/>
              </w:rPr>
              <w:t>Author: NMF Consensus Group</w:t>
            </w:r>
          </w:p>
        </w:tc>
      </w:tr>
      <w:tr w:rsidR="007C726E" w:rsidTr="48F57877" w14:paraId="664BDB4D"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5134A46D" w14:paraId="144ED6A8" w14:textId="46551993">
            <w:pPr>
              <w:spacing w:line="252" w:lineRule="auto"/>
            </w:pPr>
            <w:r w:rsidRPr="0349FAD4">
              <w:rPr>
                <w:b/>
                <w:bCs/>
              </w:rPr>
              <w:t xml:space="preserve">Current Version number: </w:t>
            </w:r>
            <w:r w:rsidR="007604EC">
              <w:rPr>
                <w:b/>
                <w:bCs/>
              </w:rPr>
              <w:t>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5134A46D" w14:paraId="2F8D99A3" w14:textId="6F767CDA">
            <w:pPr>
              <w:spacing w:line="252" w:lineRule="auto"/>
            </w:pPr>
            <w:r w:rsidRPr="0349FAD4">
              <w:rPr>
                <w:b/>
                <w:bCs/>
              </w:rPr>
              <w:t xml:space="preserve">Current Version Date: </w:t>
            </w:r>
            <w:r>
              <w:t>19/7/</w:t>
            </w:r>
            <w:r w:rsidR="007604EC">
              <w:t>2018</w:t>
            </w:r>
          </w:p>
        </w:tc>
      </w:tr>
      <w:tr w:rsidR="007C726E" w:rsidTr="48F57877" w14:paraId="002255DA"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5134A46D" w14:paraId="0729180E" w14:textId="6008162B">
            <w:pPr>
              <w:spacing w:line="252" w:lineRule="auto"/>
            </w:pPr>
            <w:r w:rsidRPr="0349FAD4">
              <w:rPr>
                <w:b/>
                <w:bCs/>
              </w:rPr>
              <w:t xml:space="preserve">Risk Rating: </w:t>
            </w:r>
            <w:r w:rsidR="007604EC">
              <w:rPr>
                <w:b/>
                <w:bCs/>
              </w:rPr>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5134A46D" w14:paraId="4E8C86F5" w14:textId="7C7FA6D5">
            <w:pPr>
              <w:spacing w:line="252" w:lineRule="auto"/>
            </w:pPr>
            <w:r w:rsidRPr="0349FAD4">
              <w:rPr>
                <w:b/>
                <w:bCs/>
              </w:rPr>
              <w:t xml:space="preserve">Due for Review: </w:t>
            </w:r>
            <w:r w:rsidR="007604EC">
              <w:t>19/7/2023</w:t>
            </w:r>
          </w:p>
        </w:tc>
      </w:tr>
      <w:tr w:rsidR="007C726E" w:rsidTr="48F57877" w14:paraId="787D7274"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6A671110" w14:paraId="40442E70" w14:textId="3F1D08BF">
            <w:pPr>
              <w:spacing w:line="252" w:lineRule="auto"/>
            </w:pPr>
            <w:r w:rsidRPr="48F57877">
              <w:rPr>
                <w:b/>
                <w:bCs/>
              </w:rPr>
              <w:t xml:space="preserve">Approval by: </w:t>
            </w:r>
            <w:r w:rsidRPr="48F57877" w:rsidR="6AD84F13">
              <w:rPr>
                <w:b/>
                <w:bCs/>
              </w:rPr>
              <w:t>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5134A46D" w14:paraId="12B658E8" w14:textId="71B9262A">
            <w:pPr>
              <w:spacing w:line="252" w:lineRule="auto"/>
            </w:pPr>
            <w:r w:rsidRPr="0349FAD4">
              <w:rPr>
                <w:b/>
                <w:bCs/>
              </w:rPr>
              <w:t>Approval Date:</w:t>
            </w:r>
            <w:r w:rsidR="007604EC">
              <w:rPr>
                <w:b/>
                <w:bCs/>
              </w:rPr>
              <w:t xml:space="preserve"> </w:t>
            </w:r>
            <w:r w:rsidR="00260BC8">
              <w:rPr>
                <w:b/>
                <w:bCs/>
              </w:rPr>
              <w:t>APRIL 2021</w:t>
            </w:r>
          </w:p>
        </w:tc>
      </w:tr>
    </w:tbl>
    <w:p w:rsidRPr="00E25790" w:rsidR="007C726E" w:rsidP="006F0321" w:rsidRDefault="007C726E" w14:paraId="3BE210C8" w14:textId="77777777"/>
    <w:p w:rsidRPr="00E25790" w:rsidR="003665C7" w:rsidP="006F0321" w:rsidRDefault="003665C7" w14:paraId="071E96FE" w14:textId="77777777"/>
    <w:p w:rsidR="007C726E" w:rsidRDefault="007C726E" w14:paraId="3B079EC3" w14:textId="77777777">
      <w:pPr>
        <w:rPr>
          <w:b/>
        </w:rPr>
      </w:pPr>
      <w:bookmarkStart w:name="_Toc495481146" w:id="440"/>
      <w:bookmarkStart w:name="_Toc495481272" w:id="441"/>
      <w:bookmarkStart w:name="_Toc495481397" w:id="442"/>
      <w:bookmarkStart w:name="_Toc495501578" w:id="443"/>
      <w:bookmarkStart w:name="_Toc38106897" w:id="444"/>
      <w:r>
        <w:rPr>
          <w:b/>
        </w:rPr>
        <w:br w:type="page"/>
      </w:r>
    </w:p>
    <w:tbl>
      <w:tblPr>
        <w:tblW w:w="9049" w:type="dxa"/>
        <w:tblLayout w:type="fixed"/>
        <w:tblLook w:val="0000" w:firstRow="0" w:lastRow="0" w:firstColumn="0" w:lastColumn="0" w:noHBand="0" w:noVBand="0"/>
      </w:tblPr>
      <w:tblGrid>
        <w:gridCol w:w="4153"/>
        <w:gridCol w:w="4896"/>
      </w:tblGrid>
      <w:tr w:rsidRPr="00E25790" w:rsidR="007C726E" w:rsidTr="007C726E" w14:paraId="11D3A75C"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7C726E" w:rsidP="007C726E" w:rsidRDefault="007C726E" w14:paraId="2E62729C" w14:textId="1632AF32">
            <w:pPr>
              <w:pStyle w:val="Heading1"/>
            </w:pPr>
            <w:bookmarkStart w:name="_Toc75340017" w:id="445"/>
            <w:r>
              <w:lastRenderedPageBreak/>
              <w:t>Palivizumab</w:t>
            </w:r>
            <w:bookmarkEnd w:id="445"/>
            <w:r w:rsidRPr="00E25790">
              <w:fldChar w:fldCharType="begin"/>
            </w:r>
            <w:r w:rsidRPr="00E25790">
              <w:instrText>tc "Pancreatin" \l 0</w:instrText>
            </w:r>
            <w:r w:rsidRPr="00E25790">
              <w:fldChar w:fldCharType="end"/>
            </w:r>
          </w:p>
        </w:tc>
      </w:tr>
      <w:tr w:rsidRPr="00E25790" w:rsidR="007C726E" w:rsidTr="007C726E" w14:paraId="4122B1F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7C726E" w:rsidP="007C726E" w:rsidRDefault="007C726E" w14:paraId="7FC84258" w14:textId="61D7A1A9">
            <w:r w:rsidRPr="00E25790">
              <w:t xml:space="preserve">Revision Date : </w:t>
            </w:r>
            <w:r>
              <w:t>16/11/2020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7C726E" w:rsidP="007C726E" w:rsidRDefault="007C726E" w14:paraId="40A62693" w14:textId="3A0406C4">
            <w:r w:rsidRPr="00E25790">
              <w:t xml:space="preserve">Approved: </w:t>
            </w:r>
            <w:r>
              <w:t>TC,KOH</w:t>
            </w:r>
          </w:p>
        </w:tc>
      </w:tr>
    </w:tbl>
    <w:p w:rsidR="007C726E" w:rsidRDefault="007C726E" w14:paraId="5696FCD9" w14:textId="77777777">
      <w:pPr>
        <w:rPr>
          <w:b/>
        </w:rPr>
      </w:pPr>
    </w:p>
    <w:tbl>
      <w:tblPr>
        <w:tblW w:w="5421"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586"/>
        <w:gridCol w:w="8189"/>
      </w:tblGrid>
      <w:tr w:rsidRPr="0054466F" w:rsidR="007C726E" w:rsidTr="009A1B4C" w14:paraId="53E896D4" w14:textId="77777777">
        <w:trPr>
          <w:trHeight w:val="70"/>
        </w:trPr>
        <w:tc>
          <w:tcPr>
            <w:tcW w:w="811" w:type="pct"/>
          </w:tcPr>
          <w:p w:rsidRPr="0054466F" w:rsidR="007C726E" w:rsidP="007C726E" w:rsidRDefault="007C726E" w14:paraId="796EF7DB" w14:textId="77777777">
            <w:pPr>
              <w:pStyle w:val="BodyText"/>
              <w:tabs>
                <w:tab w:val="center" w:pos="1476"/>
              </w:tabs>
              <w:rPr>
                <w:rFonts w:asciiTheme="minorHAnsi" w:hAnsiTheme="minorHAnsi" w:cstheme="minorHAnsi"/>
                <w:b/>
                <w:sz w:val="20"/>
              </w:rPr>
            </w:pPr>
            <w:r w:rsidRPr="0054466F">
              <w:rPr>
                <w:rFonts w:asciiTheme="minorHAnsi" w:hAnsiTheme="minorHAnsi" w:cstheme="minorHAnsi"/>
                <w:b/>
                <w:sz w:val="20"/>
              </w:rPr>
              <w:t>Alert</w:t>
            </w:r>
            <w:r w:rsidRPr="0054466F">
              <w:rPr>
                <w:rFonts w:asciiTheme="minorHAnsi" w:hAnsiTheme="minorHAnsi" w:cstheme="minorHAnsi"/>
                <w:b/>
                <w:sz w:val="20"/>
              </w:rPr>
              <w:tab/>
            </w:r>
          </w:p>
        </w:tc>
        <w:tc>
          <w:tcPr>
            <w:tcW w:w="4189" w:type="pct"/>
          </w:tcPr>
          <w:p w:rsidRPr="0054466F" w:rsidR="007C726E" w:rsidP="007C726E" w:rsidRDefault="007C726E" w14:paraId="31278365" w14:textId="77777777">
            <w:pPr>
              <w:pStyle w:val="BodyText"/>
              <w:rPr>
                <w:rFonts w:asciiTheme="minorHAnsi" w:hAnsiTheme="minorHAnsi" w:cstheme="minorHAnsi"/>
                <w:sz w:val="20"/>
              </w:rPr>
            </w:pPr>
            <w:r w:rsidRPr="002F7E65">
              <w:rPr>
                <w:rFonts w:asciiTheme="minorHAnsi" w:hAnsiTheme="minorHAnsi" w:cstheme="minorHAnsi"/>
                <w:sz w:val="20"/>
              </w:rPr>
              <w:t xml:space="preserve">Cost effectiveness is unclear. Use of this drug should be done in conjunction with local hospital guidelines. </w:t>
            </w:r>
            <w:r>
              <w:rPr>
                <w:rFonts w:asciiTheme="minorHAnsi" w:hAnsiTheme="minorHAnsi" w:cstheme="minorHAnsi"/>
                <w:sz w:val="20"/>
              </w:rPr>
              <w:t>C</w:t>
            </w:r>
            <w:r w:rsidRPr="002F7E65">
              <w:rPr>
                <w:rFonts w:asciiTheme="minorHAnsi" w:hAnsiTheme="minorHAnsi" w:cstheme="minorHAnsi"/>
                <w:sz w:val="20"/>
              </w:rPr>
              <w:t>onsider the infant’s susceptibility to severe RSV disease, RSV prevalence and seasonality, risk of exposure including siblings and social factors, and parental preference.</w:t>
            </w:r>
          </w:p>
        </w:tc>
      </w:tr>
      <w:tr w:rsidRPr="0054466F" w:rsidR="007C726E" w:rsidTr="009A1B4C" w14:paraId="3730262E" w14:textId="77777777">
        <w:trPr>
          <w:trHeight w:val="72"/>
        </w:trPr>
        <w:tc>
          <w:tcPr>
            <w:tcW w:w="811" w:type="pct"/>
          </w:tcPr>
          <w:p w:rsidRPr="0054466F" w:rsidR="007C726E" w:rsidP="007C726E" w:rsidRDefault="007C726E" w14:paraId="1CEF1464" w14:textId="77777777">
            <w:pPr>
              <w:pStyle w:val="BodyText"/>
              <w:rPr>
                <w:rFonts w:asciiTheme="minorHAnsi" w:hAnsiTheme="minorHAnsi" w:cstheme="minorHAnsi"/>
                <w:sz w:val="20"/>
              </w:rPr>
            </w:pPr>
            <w:r w:rsidRPr="0054466F">
              <w:rPr>
                <w:rFonts w:asciiTheme="minorHAnsi" w:hAnsiTheme="minorHAnsi" w:cstheme="minorHAnsi"/>
                <w:b/>
                <w:bCs/>
                <w:sz w:val="20"/>
              </w:rPr>
              <w:t>Indication</w:t>
            </w:r>
          </w:p>
        </w:tc>
        <w:tc>
          <w:tcPr>
            <w:tcW w:w="4189" w:type="pct"/>
          </w:tcPr>
          <w:p w:rsidRPr="0054466F" w:rsidR="007C726E" w:rsidP="007C726E" w:rsidRDefault="007C726E" w14:paraId="1AEDFDD9" w14:textId="77777777">
            <w:pPr>
              <w:rPr>
                <w:rFonts w:asciiTheme="minorHAnsi" w:hAnsiTheme="minorHAnsi" w:cstheme="minorHAnsi"/>
                <w:sz w:val="20"/>
              </w:rPr>
            </w:pPr>
            <w:r w:rsidRPr="0054466F">
              <w:rPr>
                <w:rFonts w:asciiTheme="minorHAnsi" w:hAnsiTheme="minorHAnsi" w:cstheme="minorHAnsi"/>
                <w:sz w:val="20"/>
              </w:rPr>
              <w:t>Prophylaxis against RSV infection in at risk infants</w:t>
            </w:r>
            <w:r>
              <w:rPr>
                <w:rFonts w:asciiTheme="minorHAnsi" w:hAnsiTheme="minorHAnsi" w:cstheme="minorHAnsi"/>
                <w:sz w:val="20"/>
              </w:rPr>
              <w:t xml:space="preserve"> </w:t>
            </w:r>
          </w:p>
        </w:tc>
      </w:tr>
      <w:tr w:rsidRPr="0054466F" w:rsidR="007C726E" w:rsidTr="009A1B4C" w14:paraId="02A0F754" w14:textId="77777777">
        <w:trPr>
          <w:trHeight w:val="70"/>
        </w:trPr>
        <w:tc>
          <w:tcPr>
            <w:tcW w:w="811" w:type="pct"/>
          </w:tcPr>
          <w:p w:rsidRPr="0054466F" w:rsidR="007C726E" w:rsidP="007C726E" w:rsidRDefault="007C726E" w14:paraId="4D357CF7" w14:textId="77777777">
            <w:pPr>
              <w:pStyle w:val="BodyText"/>
              <w:rPr>
                <w:rFonts w:asciiTheme="minorHAnsi" w:hAnsiTheme="minorHAnsi" w:cstheme="minorHAnsi"/>
                <w:b/>
                <w:bCs/>
                <w:sz w:val="20"/>
              </w:rPr>
            </w:pPr>
            <w:r w:rsidRPr="0054466F">
              <w:rPr>
                <w:rFonts w:asciiTheme="minorHAnsi" w:hAnsiTheme="minorHAnsi" w:cstheme="minorHAnsi"/>
                <w:b/>
                <w:bCs/>
                <w:sz w:val="20"/>
              </w:rPr>
              <w:t>Action</w:t>
            </w:r>
          </w:p>
        </w:tc>
        <w:tc>
          <w:tcPr>
            <w:tcW w:w="4189" w:type="pct"/>
          </w:tcPr>
          <w:p w:rsidRPr="0054466F" w:rsidR="007C726E" w:rsidP="007C726E" w:rsidRDefault="007C726E" w14:paraId="1807E9CC" w14:textId="77777777">
            <w:pPr>
              <w:pStyle w:val="BodyText"/>
              <w:tabs>
                <w:tab w:val="left" w:pos="1168"/>
              </w:tabs>
              <w:rPr>
                <w:rFonts w:asciiTheme="minorHAnsi" w:hAnsiTheme="minorHAnsi" w:cstheme="minorHAnsi"/>
                <w:sz w:val="20"/>
              </w:rPr>
            </w:pPr>
            <w:r w:rsidRPr="0054466F">
              <w:rPr>
                <w:rFonts w:asciiTheme="minorHAnsi" w:hAnsiTheme="minorHAnsi" w:cstheme="minorHAnsi"/>
                <w:sz w:val="20"/>
              </w:rPr>
              <w:t>Humanised monoclonal antibody that neutralises and inhibits fusion of respiratory syncytial virus (RSV) with the host cell, preventing its replication.</w:t>
            </w:r>
          </w:p>
        </w:tc>
      </w:tr>
      <w:tr w:rsidRPr="0054466F" w:rsidR="007C726E" w:rsidTr="009A1B4C" w14:paraId="2CE65A01" w14:textId="77777777">
        <w:trPr>
          <w:trHeight w:val="266"/>
        </w:trPr>
        <w:tc>
          <w:tcPr>
            <w:tcW w:w="811" w:type="pct"/>
          </w:tcPr>
          <w:p w:rsidRPr="0054466F" w:rsidR="007C726E" w:rsidP="007C726E" w:rsidRDefault="007C726E" w14:paraId="743CF82D" w14:textId="77777777">
            <w:pPr>
              <w:pStyle w:val="BodyText"/>
              <w:rPr>
                <w:rFonts w:asciiTheme="minorHAnsi" w:hAnsiTheme="minorHAnsi" w:cstheme="minorHAnsi"/>
                <w:sz w:val="20"/>
              </w:rPr>
            </w:pPr>
            <w:r w:rsidRPr="0054466F">
              <w:rPr>
                <w:rFonts w:asciiTheme="minorHAnsi" w:hAnsiTheme="minorHAnsi" w:cstheme="minorHAnsi"/>
                <w:b/>
                <w:bCs/>
                <w:sz w:val="20"/>
              </w:rPr>
              <w:t xml:space="preserve">Drug type                                   </w:t>
            </w:r>
          </w:p>
        </w:tc>
        <w:tc>
          <w:tcPr>
            <w:tcW w:w="4189" w:type="pct"/>
          </w:tcPr>
          <w:p w:rsidRPr="0054466F" w:rsidR="007C726E" w:rsidP="007C726E" w:rsidRDefault="007C726E" w14:paraId="6209CC10" w14:textId="77777777">
            <w:pPr>
              <w:pStyle w:val="BodyText"/>
              <w:rPr>
                <w:rFonts w:asciiTheme="minorHAnsi" w:hAnsiTheme="minorHAnsi" w:cstheme="minorHAnsi"/>
                <w:sz w:val="20"/>
              </w:rPr>
            </w:pPr>
            <w:r w:rsidRPr="0054466F">
              <w:rPr>
                <w:rFonts w:asciiTheme="minorHAnsi" w:hAnsiTheme="minorHAnsi" w:cstheme="minorHAnsi"/>
                <w:sz w:val="20"/>
              </w:rPr>
              <w:t>Humanised monoclonal antibody</w:t>
            </w:r>
          </w:p>
        </w:tc>
      </w:tr>
      <w:tr w:rsidRPr="0054466F" w:rsidR="007C726E" w:rsidTr="009A1B4C" w14:paraId="445D9967" w14:textId="77777777">
        <w:trPr>
          <w:trHeight w:val="114"/>
        </w:trPr>
        <w:tc>
          <w:tcPr>
            <w:tcW w:w="811" w:type="pct"/>
          </w:tcPr>
          <w:p w:rsidRPr="0054466F" w:rsidR="007C726E" w:rsidP="007C726E" w:rsidRDefault="007C726E" w14:paraId="1C17AA30"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Trade name                  </w:t>
            </w:r>
          </w:p>
        </w:tc>
        <w:tc>
          <w:tcPr>
            <w:tcW w:w="4189" w:type="pct"/>
          </w:tcPr>
          <w:p w:rsidRPr="0054466F" w:rsidR="007C726E" w:rsidP="007C726E" w:rsidRDefault="007C726E" w14:paraId="52E8B466" w14:textId="77777777">
            <w:pPr>
              <w:pStyle w:val="BodyText"/>
              <w:rPr>
                <w:rFonts w:asciiTheme="minorHAnsi" w:hAnsiTheme="minorHAnsi" w:cstheme="minorHAnsi"/>
                <w:sz w:val="20"/>
              </w:rPr>
            </w:pPr>
            <w:r w:rsidRPr="0054466F">
              <w:rPr>
                <w:rFonts w:asciiTheme="minorHAnsi" w:hAnsiTheme="minorHAnsi" w:cstheme="minorHAnsi"/>
                <w:sz w:val="20"/>
              </w:rPr>
              <w:t>Synagis solution for injection</w:t>
            </w:r>
            <w:r>
              <w:rPr>
                <w:rFonts w:asciiTheme="minorHAnsi" w:hAnsiTheme="minorHAnsi" w:cstheme="minorHAnsi"/>
                <w:sz w:val="20"/>
              </w:rPr>
              <w:t>.</w:t>
            </w:r>
            <w:r w:rsidRPr="0054466F">
              <w:rPr>
                <w:rFonts w:asciiTheme="minorHAnsi" w:hAnsiTheme="minorHAnsi" w:cstheme="minorHAnsi"/>
                <w:sz w:val="20"/>
              </w:rPr>
              <w:t xml:space="preserve"> </w:t>
            </w:r>
            <w:r w:rsidRPr="0054466F">
              <w:rPr>
                <w:rFonts w:asciiTheme="minorHAnsi" w:hAnsiTheme="minorHAnsi" w:cstheme="minorHAnsi"/>
                <w:noProof/>
                <w:sz w:val="20"/>
              </w:rPr>
              <w:t>[1]</w:t>
            </w:r>
          </w:p>
        </w:tc>
      </w:tr>
      <w:tr w:rsidRPr="0054466F" w:rsidR="007C726E" w:rsidTr="009A1B4C" w14:paraId="56C42828" w14:textId="77777777">
        <w:trPr>
          <w:trHeight w:val="70"/>
        </w:trPr>
        <w:tc>
          <w:tcPr>
            <w:tcW w:w="811" w:type="pct"/>
          </w:tcPr>
          <w:p w:rsidRPr="0054466F" w:rsidR="007C726E" w:rsidP="007C726E" w:rsidRDefault="007C726E" w14:paraId="55D2D0EB"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Presentation </w:t>
            </w:r>
          </w:p>
        </w:tc>
        <w:tc>
          <w:tcPr>
            <w:tcW w:w="4189" w:type="pct"/>
          </w:tcPr>
          <w:p w:rsidRPr="0054466F" w:rsidR="007C726E" w:rsidP="007C726E" w:rsidRDefault="007C726E" w14:paraId="13A5B2AC" w14:textId="77777777">
            <w:pPr>
              <w:pStyle w:val="BodyText"/>
              <w:rPr>
                <w:rFonts w:asciiTheme="minorHAnsi" w:hAnsiTheme="minorHAnsi" w:cstheme="minorHAnsi"/>
                <w:sz w:val="20"/>
              </w:rPr>
            </w:pPr>
            <w:r w:rsidRPr="0054466F">
              <w:rPr>
                <w:rFonts w:asciiTheme="minorHAnsi" w:hAnsiTheme="minorHAnsi" w:cstheme="minorHAnsi"/>
                <w:sz w:val="20"/>
              </w:rPr>
              <w:t>100 mg/mL; 0.5 mL (50 mg), 1 mL (100 mg)</w:t>
            </w:r>
            <w:r>
              <w:rPr>
                <w:rFonts w:asciiTheme="minorHAnsi" w:hAnsiTheme="minorHAnsi" w:cstheme="minorHAnsi"/>
                <w:sz w:val="20"/>
              </w:rPr>
              <w:t xml:space="preserve"> vial</w:t>
            </w:r>
          </w:p>
        </w:tc>
      </w:tr>
      <w:tr w:rsidRPr="0054466F" w:rsidR="007C726E" w:rsidTr="009A1B4C" w14:paraId="288DAAC3" w14:textId="77777777">
        <w:trPr>
          <w:trHeight w:val="70"/>
        </w:trPr>
        <w:tc>
          <w:tcPr>
            <w:tcW w:w="811" w:type="pct"/>
          </w:tcPr>
          <w:p w:rsidRPr="0054466F" w:rsidR="007C726E" w:rsidP="007C726E" w:rsidRDefault="007C726E" w14:paraId="3E455ECC"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Dose                          </w:t>
            </w:r>
          </w:p>
        </w:tc>
        <w:tc>
          <w:tcPr>
            <w:tcW w:w="4189" w:type="pct"/>
          </w:tcPr>
          <w:p w:rsidRPr="0054466F" w:rsidR="007C726E" w:rsidP="007C726E" w:rsidRDefault="007C726E" w14:paraId="065290E7" w14:textId="77777777">
            <w:pPr>
              <w:pStyle w:val="BodyText"/>
              <w:rPr>
                <w:rFonts w:asciiTheme="minorHAnsi" w:hAnsiTheme="minorHAnsi" w:cstheme="minorHAnsi"/>
                <w:sz w:val="20"/>
              </w:rPr>
            </w:pPr>
            <w:r>
              <w:rPr>
                <w:rFonts w:asciiTheme="minorHAnsi" w:hAnsiTheme="minorHAnsi" w:cstheme="minorHAnsi"/>
                <w:sz w:val="20"/>
              </w:rPr>
              <w:t>1</w:t>
            </w:r>
            <w:r w:rsidRPr="0054466F">
              <w:rPr>
                <w:rFonts w:asciiTheme="minorHAnsi" w:hAnsiTheme="minorHAnsi" w:cstheme="minorHAnsi"/>
                <w:sz w:val="20"/>
              </w:rPr>
              <w:t>5 mg/kg once per month during periods of RSV risk (e.g. May to August in Southern Australia). Preferably administer first dose before RSV season (e.g. April in southern Australia).</w:t>
            </w:r>
          </w:p>
        </w:tc>
      </w:tr>
      <w:tr w:rsidRPr="0054466F" w:rsidR="007C726E" w:rsidTr="009A1B4C" w14:paraId="6BD05548" w14:textId="77777777">
        <w:trPr>
          <w:trHeight w:val="407"/>
        </w:trPr>
        <w:tc>
          <w:tcPr>
            <w:tcW w:w="811" w:type="pct"/>
          </w:tcPr>
          <w:p w:rsidRPr="0054466F" w:rsidR="007C726E" w:rsidP="007C726E" w:rsidRDefault="007C726E" w14:paraId="5DDCC132" w14:textId="77777777">
            <w:pPr>
              <w:pStyle w:val="BodyText"/>
              <w:rPr>
                <w:rFonts w:asciiTheme="minorHAnsi" w:hAnsiTheme="minorHAnsi" w:cstheme="minorHAnsi"/>
                <w:b/>
                <w:sz w:val="20"/>
              </w:rPr>
            </w:pPr>
            <w:r w:rsidRPr="0054466F">
              <w:rPr>
                <w:rFonts w:asciiTheme="minorHAnsi" w:hAnsiTheme="minorHAnsi" w:cstheme="minorHAnsi"/>
                <w:b/>
                <w:sz w:val="20"/>
              </w:rPr>
              <w:t>Dose adjustment</w:t>
            </w:r>
          </w:p>
          <w:p w:rsidRPr="0054466F" w:rsidR="007C726E" w:rsidP="007C726E" w:rsidRDefault="007C726E" w14:paraId="78EC8A81" w14:textId="77777777">
            <w:pPr>
              <w:pStyle w:val="BodyText"/>
              <w:rPr>
                <w:rFonts w:asciiTheme="minorHAnsi" w:hAnsiTheme="minorHAnsi" w:cstheme="minorHAnsi"/>
                <w:b/>
                <w:sz w:val="20"/>
              </w:rPr>
            </w:pPr>
          </w:p>
        </w:tc>
        <w:tc>
          <w:tcPr>
            <w:tcW w:w="4189" w:type="pct"/>
          </w:tcPr>
          <w:p w:rsidRPr="0054466F" w:rsidR="007C726E" w:rsidP="007C726E" w:rsidRDefault="007C726E" w14:paraId="258A73EC" w14:textId="77777777">
            <w:pPr>
              <w:pStyle w:val="BodyText"/>
              <w:rPr>
                <w:rFonts w:asciiTheme="minorHAnsi" w:hAnsiTheme="minorHAnsi" w:cstheme="minorHAnsi"/>
                <w:sz w:val="20"/>
              </w:rPr>
            </w:pPr>
            <w:r w:rsidRPr="0054466F">
              <w:rPr>
                <w:rFonts w:asciiTheme="minorHAnsi" w:hAnsiTheme="minorHAnsi" w:cstheme="minorHAnsi"/>
                <w:sz w:val="20"/>
              </w:rPr>
              <w:t>Therapeutic hypothermia: not applicable.</w:t>
            </w:r>
          </w:p>
          <w:p w:rsidRPr="0054466F" w:rsidR="007C726E" w:rsidP="007C726E" w:rsidRDefault="007C726E" w14:paraId="4B8DDE5B" w14:textId="77777777">
            <w:pPr>
              <w:pStyle w:val="BodyText"/>
              <w:rPr>
                <w:rFonts w:asciiTheme="minorHAnsi" w:hAnsiTheme="minorHAnsi" w:cstheme="minorHAnsi"/>
                <w:sz w:val="20"/>
              </w:rPr>
            </w:pPr>
            <w:r w:rsidRPr="0054466F">
              <w:rPr>
                <w:rFonts w:asciiTheme="minorHAnsi" w:hAnsiTheme="minorHAnsi" w:cstheme="minorHAnsi"/>
                <w:sz w:val="20"/>
              </w:rPr>
              <w:t>ECMO: after cardiopulmonary bypass surgery, give a dose once child is stable (serum concentration markedly reduced after these procedures).</w:t>
            </w:r>
          </w:p>
          <w:p w:rsidRPr="0054466F" w:rsidR="007C726E" w:rsidP="007C726E" w:rsidRDefault="007C726E" w14:paraId="1C9816B0" w14:textId="77777777">
            <w:pPr>
              <w:pStyle w:val="BodyText"/>
              <w:rPr>
                <w:rFonts w:asciiTheme="minorHAnsi" w:hAnsiTheme="minorHAnsi" w:cstheme="minorHAnsi"/>
                <w:sz w:val="20"/>
              </w:rPr>
            </w:pPr>
            <w:r w:rsidRPr="0054466F">
              <w:rPr>
                <w:rFonts w:asciiTheme="minorHAnsi" w:hAnsiTheme="minorHAnsi" w:cstheme="minorHAnsi"/>
                <w:sz w:val="20"/>
              </w:rPr>
              <w:t>Renal: not applicable.</w:t>
            </w:r>
          </w:p>
          <w:p w:rsidRPr="0054466F" w:rsidR="007C726E" w:rsidP="007C726E" w:rsidRDefault="007C726E" w14:paraId="11AB184F" w14:textId="77777777">
            <w:pPr>
              <w:pStyle w:val="BodyText"/>
              <w:rPr>
                <w:rFonts w:asciiTheme="minorHAnsi" w:hAnsiTheme="minorHAnsi" w:cstheme="minorHAnsi"/>
                <w:sz w:val="20"/>
              </w:rPr>
            </w:pPr>
            <w:r w:rsidRPr="0054466F">
              <w:rPr>
                <w:rFonts w:asciiTheme="minorHAnsi" w:hAnsiTheme="minorHAnsi" w:cstheme="minorHAnsi"/>
                <w:sz w:val="20"/>
              </w:rPr>
              <w:t>Hepatic: not applicable.</w:t>
            </w:r>
          </w:p>
        </w:tc>
      </w:tr>
      <w:tr w:rsidRPr="0054466F" w:rsidR="007C726E" w:rsidTr="009A1B4C" w14:paraId="150F720F" w14:textId="77777777">
        <w:trPr>
          <w:trHeight w:val="113"/>
        </w:trPr>
        <w:tc>
          <w:tcPr>
            <w:tcW w:w="811" w:type="pct"/>
          </w:tcPr>
          <w:p w:rsidRPr="0054466F" w:rsidR="007C726E" w:rsidP="007C726E" w:rsidRDefault="007C726E" w14:paraId="3264890B" w14:textId="77777777">
            <w:pPr>
              <w:pStyle w:val="BodyText"/>
              <w:rPr>
                <w:rFonts w:asciiTheme="minorHAnsi" w:hAnsiTheme="minorHAnsi" w:cstheme="minorHAnsi"/>
                <w:b/>
                <w:sz w:val="20"/>
              </w:rPr>
            </w:pPr>
            <w:r w:rsidRPr="0054466F">
              <w:rPr>
                <w:rFonts w:asciiTheme="minorHAnsi" w:hAnsiTheme="minorHAnsi" w:cstheme="minorHAnsi"/>
                <w:b/>
                <w:sz w:val="20"/>
              </w:rPr>
              <w:t>Maximum dose</w:t>
            </w:r>
          </w:p>
        </w:tc>
        <w:tc>
          <w:tcPr>
            <w:tcW w:w="4189" w:type="pct"/>
          </w:tcPr>
          <w:p w:rsidRPr="0054466F" w:rsidR="007C726E" w:rsidP="007C726E" w:rsidRDefault="007C726E" w14:paraId="55EA3566" w14:textId="77777777">
            <w:pPr>
              <w:pStyle w:val="BodyText"/>
              <w:rPr>
                <w:rFonts w:asciiTheme="minorHAnsi" w:hAnsiTheme="minorHAnsi" w:cstheme="minorHAnsi"/>
                <w:sz w:val="20"/>
              </w:rPr>
            </w:pPr>
            <w:r w:rsidRPr="0054466F">
              <w:rPr>
                <w:rFonts w:asciiTheme="minorHAnsi" w:hAnsiTheme="minorHAnsi" w:cstheme="minorHAnsi"/>
                <w:sz w:val="20"/>
              </w:rPr>
              <w:t xml:space="preserve">Monthly doses of 15 mg/kg to maximum 5 doses. Infants discharged during RSV season may receive fewer doses. </w:t>
            </w:r>
          </w:p>
        </w:tc>
      </w:tr>
      <w:tr w:rsidRPr="0054466F" w:rsidR="007C726E" w:rsidTr="009A1B4C" w14:paraId="469B4D65" w14:textId="77777777">
        <w:trPr>
          <w:trHeight w:val="144"/>
        </w:trPr>
        <w:tc>
          <w:tcPr>
            <w:tcW w:w="811" w:type="pct"/>
          </w:tcPr>
          <w:p w:rsidRPr="0054466F" w:rsidR="007C726E" w:rsidP="007C726E" w:rsidRDefault="007C726E" w14:paraId="0C97616D" w14:textId="77777777">
            <w:pPr>
              <w:pStyle w:val="BodyText"/>
              <w:rPr>
                <w:rFonts w:asciiTheme="minorHAnsi" w:hAnsiTheme="minorHAnsi" w:cstheme="minorHAnsi"/>
                <w:b/>
                <w:bCs/>
                <w:sz w:val="20"/>
              </w:rPr>
            </w:pPr>
            <w:r w:rsidRPr="0054466F">
              <w:rPr>
                <w:rFonts w:asciiTheme="minorHAnsi" w:hAnsiTheme="minorHAnsi" w:cstheme="minorHAnsi"/>
                <w:b/>
                <w:sz w:val="20"/>
              </w:rPr>
              <w:t>Total cumulative dose</w:t>
            </w:r>
          </w:p>
        </w:tc>
        <w:tc>
          <w:tcPr>
            <w:tcW w:w="4189" w:type="pct"/>
          </w:tcPr>
          <w:p w:rsidRPr="0054466F" w:rsidR="007C726E" w:rsidP="007C726E" w:rsidRDefault="007C726E" w14:paraId="26813A03" w14:textId="77777777">
            <w:pPr>
              <w:pStyle w:val="BodyText"/>
              <w:rPr>
                <w:rFonts w:asciiTheme="minorHAnsi" w:hAnsiTheme="minorHAnsi" w:cstheme="minorHAnsi"/>
                <w:b/>
                <w:sz w:val="20"/>
              </w:rPr>
            </w:pPr>
          </w:p>
        </w:tc>
      </w:tr>
      <w:tr w:rsidRPr="0054466F" w:rsidR="007C726E" w:rsidTr="009A1B4C" w14:paraId="7BC8B6CC" w14:textId="77777777">
        <w:trPr>
          <w:trHeight w:val="294"/>
        </w:trPr>
        <w:tc>
          <w:tcPr>
            <w:tcW w:w="811" w:type="pct"/>
          </w:tcPr>
          <w:p w:rsidRPr="0054466F" w:rsidR="007C726E" w:rsidP="007C726E" w:rsidRDefault="007C726E" w14:paraId="4EF50065" w14:textId="77777777">
            <w:pPr>
              <w:pStyle w:val="BodyText"/>
              <w:rPr>
                <w:rFonts w:asciiTheme="minorHAnsi" w:hAnsiTheme="minorHAnsi" w:cstheme="minorHAnsi"/>
                <w:sz w:val="20"/>
              </w:rPr>
            </w:pPr>
            <w:r w:rsidRPr="0054466F">
              <w:rPr>
                <w:rFonts w:asciiTheme="minorHAnsi" w:hAnsiTheme="minorHAnsi" w:cstheme="minorHAnsi"/>
                <w:b/>
                <w:bCs/>
                <w:sz w:val="20"/>
              </w:rPr>
              <w:t xml:space="preserve">Route                                </w:t>
            </w:r>
          </w:p>
        </w:tc>
        <w:tc>
          <w:tcPr>
            <w:tcW w:w="4189" w:type="pct"/>
          </w:tcPr>
          <w:p w:rsidRPr="0054466F" w:rsidR="007C726E" w:rsidP="007C726E" w:rsidRDefault="007C726E" w14:paraId="281D0154" w14:textId="77777777">
            <w:pPr>
              <w:pStyle w:val="BodyText"/>
              <w:rPr>
                <w:rFonts w:asciiTheme="minorHAnsi" w:hAnsiTheme="minorHAnsi" w:cstheme="minorHAnsi"/>
                <w:sz w:val="20"/>
              </w:rPr>
            </w:pPr>
            <w:r w:rsidRPr="0054466F">
              <w:rPr>
                <w:rFonts w:asciiTheme="minorHAnsi" w:hAnsiTheme="minorHAnsi" w:cstheme="minorHAnsi"/>
                <w:sz w:val="20"/>
              </w:rPr>
              <w:t>IM</w:t>
            </w:r>
          </w:p>
        </w:tc>
      </w:tr>
      <w:tr w:rsidRPr="0054466F" w:rsidR="007C726E" w:rsidTr="009A1B4C" w14:paraId="7DECC2CF" w14:textId="77777777">
        <w:trPr>
          <w:trHeight w:val="93"/>
        </w:trPr>
        <w:tc>
          <w:tcPr>
            <w:tcW w:w="811" w:type="pct"/>
          </w:tcPr>
          <w:p w:rsidRPr="0054466F" w:rsidR="007C726E" w:rsidP="77BEE3D0" w:rsidRDefault="007C726E" w14:paraId="5E19B4A8" w14:textId="06168290">
            <w:pPr>
              <w:pStyle w:val="BodyText"/>
              <w:rPr>
                <w:rFonts w:asciiTheme="minorHAnsi" w:hAnsiTheme="minorHAnsi" w:cstheme="minorBidi"/>
                <w:b/>
                <w:bCs/>
                <w:sz w:val="20"/>
                <w:highlight w:val="cyan"/>
              </w:rPr>
            </w:pPr>
            <w:r w:rsidRPr="77BEE3D0">
              <w:rPr>
                <w:rFonts w:asciiTheme="minorHAnsi" w:hAnsiTheme="minorHAnsi" w:cstheme="minorBidi"/>
                <w:b/>
                <w:bCs/>
                <w:sz w:val="20"/>
              </w:rPr>
              <w:t>Preparation</w:t>
            </w:r>
          </w:p>
        </w:tc>
        <w:tc>
          <w:tcPr>
            <w:tcW w:w="4189" w:type="pct"/>
          </w:tcPr>
          <w:p w:rsidRPr="0054466F" w:rsidR="007C726E" w:rsidP="007C726E" w:rsidRDefault="007C726E" w14:paraId="1B347750" w14:textId="77777777">
            <w:pPr>
              <w:pStyle w:val="BodyText"/>
              <w:rPr>
                <w:rFonts w:asciiTheme="minorHAnsi" w:hAnsiTheme="minorHAnsi" w:cstheme="minorHAnsi"/>
                <w:sz w:val="20"/>
              </w:rPr>
            </w:pPr>
            <w:r w:rsidRPr="0054466F">
              <w:rPr>
                <w:rFonts w:asciiTheme="minorHAnsi" w:hAnsiTheme="minorHAnsi" w:cstheme="minorHAnsi"/>
                <w:sz w:val="20"/>
              </w:rPr>
              <w:t>Do not dilute or mix with any other medications</w:t>
            </w:r>
          </w:p>
          <w:p w:rsidRPr="0054466F" w:rsidR="007C726E" w:rsidP="007C726E" w:rsidRDefault="007C726E" w14:paraId="46D1E937" w14:textId="77777777">
            <w:pPr>
              <w:pStyle w:val="BodyText"/>
              <w:rPr>
                <w:rFonts w:asciiTheme="minorHAnsi" w:hAnsiTheme="minorHAnsi" w:cstheme="minorHAnsi"/>
                <w:sz w:val="20"/>
              </w:rPr>
            </w:pPr>
            <w:r w:rsidRPr="0054466F">
              <w:rPr>
                <w:rFonts w:asciiTheme="minorHAnsi" w:hAnsiTheme="minorHAnsi" w:cstheme="minorHAnsi"/>
                <w:sz w:val="20"/>
              </w:rPr>
              <w:t>Do not shake the vial</w:t>
            </w:r>
          </w:p>
        </w:tc>
      </w:tr>
      <w:tr w:rsidRPr="0054466F" w:rsidR="007C726E" w:rsidTr="009A1B4C" w14:paraId="50A5F564" w14:textId="77777777">
        <w:trPr>
          <w:trHeight w:val="781"/>
        </w:trPr>
        <w:tc>
          <w:tcPr>
            <w:tcW w:w="811" w:type="pct"/>
          </w:tcPr>
          <w:p w:rsidRPr="0054466F" w:rsidR="007C726E" w:rsidP="007C726E" w:rsidRDefault="007C726E" w14:paraId="7EFA8B9D"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Administration                </w:t>
            </w:r>
          </w:p>
        </w:tc>
        <w:tc>
          <w:tcPr>
            <w:tcW w:w="4189" w:type="pct"/>
            <w:vAlign w:val="center"/>
          </w:tcPr>
          <w:p w:rsidRPr="0054466F" w:rsidR="007C726E" w:rsidP="007C726E" w:rsidRDefault="007C726E" w14:paraId="6CCAEF28" w14:textId="77777777">
            <w:pPr>
              <w:pStyle w:val="BodyText"/>
              <w:rPr>
                <w:rFonts w:asciiTheme="minorHAnsi" w:hAnsiTheme="minorHAnsi" w:cstheme="minorHAnsi"/>
                <w:sz w:val="20"/>
              </w:rPr>
            </w:pPr>
            <w:r w:rsidRPr="0054466F">
              <w:rPr>
                <w:rFonts w:asciiTheme="minorHAnsi" w:hAnsiTheme="minorHAnsi" w:cstheme="minorHAnsi"/>
                <w:sz w:val="20"/>
              </w:rPr>
              <w:t>IM</w:t>
            </w:r>
            <w:r>
              <w:rPr>
                <w:rFonts w:asciiTheme="minorHAnsi" w:hAnsiTheme="minorHAnsi" w:cstheme="minorHAnsi"/>
                <w:sz w:val="20"/>
              </w:rPr>
              <w:t xml:space="preserve"> injection</w:t>
            </w:r>
            <w:r w:rsidRPr="0054466F">
              <w:rPr>
                <w:rFonts w:asciiTheme="minorHAnsi" w:hAnsiTheme="minorHAnsi" w:cstheme="minorHAnsi"/>
                <w:sz w:val="20"/>
              </w:rPr>
              <w:t xml:space="preserve">. </w:t>
            </w:r>
          </w:p>
          <w:p w:rsidRPr="0054466F" w:rsidR="007C726E" w:rsidP="007C726E" w:rsidRDefault="007C726E" w14:paraId="4045CBBD" w14:textId="77777777">
            <w:pPr>
              <w:pStyle w:val="BodyText"/>
              <w:rPr>
                <w:rFonts w:asciiTheme="minorHAnsi" w:hAnsiTheme="minorHAnsi" w:cstheme="minorHAnsi"/>
                <w:sz w:val="20"/>
              </w:rPr>
            </w:pPr>
            <w:r>
              <w:rPr>
                <w:rFonts w:asciiTheme="minorHAnsi" w:hAnsiTheme="minorHAnsi" w:cstheme="minorHAnsi"/>
                <w:sz w:val="20"/>
              </w:rPr>
              <w:t xml:space="preserve">Draw up required dose and administer </w:t>
            </w:r>
            <w:r w:rsidRPr="0054466F">
              <w:rPr>
                <w:rFonts w:asciiTheme="minorHAnsi" w:hAnsiTheme="minorHAnsi" w:cstheme="minorHAnsi"/>
                <w:sz w:val="20"/>
              </w:rPr>
              <w:t>into anterolateral thigh</w:t>
            </w:r>
            <w:r>
              <w:rPr>
                <w:rFonts w:asciiTheme="minorHAnsi" w:hAnsiTheme="minorHAnsi" w:cstheme="minorHAnsi"/>
                <w:sz w:val="20"/>
              </w:rPr>
              <w:t xml:space="preserve">. </w:t>
            </w:r>
            <w:r w:rsidRPr="0054466F">
              <w:rPr>
                <w:rFonts w:asciiTheme="minorHAnsi" w:hAnsiTheme="minorHAnsi" w:cstheme="minorHAnsi"/>
                <w:sz w:val="20"/>
              </w:rPr>
              <w:t>Give injection volumes &gt;1 mL as divided doses.</w:t>
            </w:r>
          </w:p>
        </w:tc>
      </w:tr>
      <w:tr w:rsidRPr="0054466F" w:rsidR="007C726E" w:rsidTr="009A1B4C" w14:paraId="57402FDD" w14:textId="77777777">
        <w:trPr>
          <w:trHeight w:val="215"/>
        </w:trPr>
        <w:tc>
          <w:tcPr>
            <w:tcW w:w="811" w:type="pct"/>
          </w:tcPr>
          <w:p w:rsidRPr="0054466F" w:rsidR="007C726E" w:rsidP="007C726E" w:rsidRDefault="007C726E" w14:paraId="09C3CE1B"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Monitoring                              </w:t>
            </w:r>
          </w:p>
        </w:tc>
        <w:tc>
          <w:tcPr>
            <w:tcW w:w="4189" w:type="pct"/>
          </w:tcPr>
          <w:p w:rsidRPr="0054466F" w:rsidR="007C726E" w:rsidP="007C726E" w:rsidRDefault="007C726E" w14:paraId="37C68DF1" w14:textId="77777777">
            <w:pPr>
              <w:pStyle w:val="BodyText"/>
              <w:rPr>
                <w:rFonts w:asciiTheme="minorHAnsi" w:hAnsiTheme="minorHAnsi" w:cstheme="minorHAnsi"/>
                <w:sz w:val="20"/>
              </w:rPr>
            </w:pPr>
            <w:r w:rsidRPr="0054466F">
              <w:rPr>
                <w:rFonts w:asciiTheme="minorHAnsi" w:hAnsiTheme="minorHAnsi" w:cstheme="minorHAnsi"/>
                <w:sz w:val="20"/>
              </w:rPr>
              <w:t>Hypersensitivity including anaphylaxis.</w:t>
            </w:r>
          </w:p>
        </w:tc>
      </w:tr>
      <w:tr w:rsidRPr="0054466F" w:rsidR="007C726E" w:rsidTr="009A1B4C" w14:paraId="2B921C23" w14:textId="77777777">
        <w:trPr>
          <w:trHeight w:val="342"/>
        </w:trPr>
        <w:tc>
          <w:tcPr>
            <w:tcW w:w="811" w:type="pct"/>
          </w:tcPr>
          <w:p w:rsidRPr="0054466F" w:rsidR="007C726E" w:rsidP="007C726E" w:rsidRDefault="007C726E" w14:paraId="54791EE8"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Contraindications                        </w:t>
            </w:r>
          </w:p>
        </w:tc>
        <w:tc>
          <w:tcPr>
            <w:tcW w:w="4189" w:type="pct"/>
          </w:tcPr>
          <w:p w:rsidRPr="0054466F" w:rsidR="007C726E" w:rsidP="007C726E" w:rsidRDefault="007C726E" w14:paraId="45A37A28" w14:textId="77777777">
            <w:pPr>
              <w:pStyle w:val="BodyText"/>
              <w:rPr>
                <w:rFonts w:asciiTheme="minorHAnsi" w:hAnsiTheme="minorHAnsi" w:cstheme="minorHAnsi"/>
                <w:sz w:val="20"/>
              </w:rPr>
            </w:pPr>
            <w:r w:rsidRPr="0054466F">
              <w:rPr>
                <w:rFonts w:asciiTheme="minorHAnsi" w:hAnsiTheme="minorHAnsi" w:cstheme="minorHAnsi"/>
                <w:sz w:val="20"/>
              </w:rPr>
              <w:t>Palivizumab is contraindicated in patients with hypersensitivity to the active substance or other humanized monoclonal antibodies.</w:t>
            </w:r>
            <w:r>
              <w:rPr>
                <w:rFonts w:asciiTheme="minorHAnsi" w:hAnsiTheme="minorHAnsi" w:cstheme="minorHAnsi"/>
                <w:sz w:val="20"/>
              </w:rPr>
              <w:t xml:space="preserve"> </w:t>
            </w:r>
            <w:r w:rsidRPr="0054466F">
              <w:rPr>
                <w:rFonts w:asciiTheme="minorHAnsi" w:hAnsiTheme="minorHAnsi" w:cstheme="minorHAnsi"/>
                <w:noProof/>
                <w:sz w:val="20"/>
              </w:rPr>
              <w:t>[1]</w:t>
            </w:r>
            <w:r w:rsidRPr="0054466F">
              <w:rPr>
                <w:rFonts w:asciiTheme="minorHAnsi" w:hAnsiTheme="minorHAnsi" w:cstheme="minorHAnsi"/>
                <w:sz w:val="20"/>
              </w:rPr>
              <w:t xml:space="preserve"> </w:t>
            </w:r>
          </w:p>
        </w:tc>
      </w:tr>
      <w:tr w:rsidRPr="0054466F" w:rsidR="007C726E" w:rsidTr="009A1B4C" w14:paraId="4ECBC0EE" w14:textId="77777777">
        <w:tc>
          <w:tcPr>
            <w:tcW w:w="811" w:type="pct"/>
          </w:tcPr>
          <w:p w:rsidRPr="0054466F" w:rsidR="007C726E" w:rsidP="007C726E" w:rsidRDefault="007C726E" w14:paraId="1F4E28C2" w14:textId="77777777">
            <w:pPr>
              <w:pStyle w:val="BodyText"/>
              <w:rPr>
                <w:rFonts w:asciiTheme="minorHAnsi" w:hAnsiTheme="minorHAnsi" w:cstheme="minorHAnsi"/>
                <w:b/>
                <w:bCs/>
                <w:sz w:val="20"/>
              </w:rPr>
            </w:pPr>
            <w:r w:rsidRPr="0054466F">
              <w:rPr>
                <w:rFonts w:asciiTheme="minorHAnsi" w:hAnsiTheme="minorHAnsi" w:cstheme="minorHAnsi"/>
                <w:sz w:val="20"/>
              </w:rPr>
              <w:br w:type="page"/>
            </w:r>
            <w:r w:rsidRPr="0054466F">
              <w:rPr>
                <w:rFonts w:asciiTheme="minorHAnsi" w:hAnsiTheme="minorHAnsi" w:cstheme="minorHAnsi"/>
                <w:b/>
                <w:bCs/>
                <w:sz w:val="20"/>
              </w:rPr>
              <w:t>Precautions</w:t>
            </w:r>
          </w:p>
        </w:tc>
        <w:tc>
          <w:tcPr>
            <w:tcW w:w="4189" w:type="pct"/>
          </w:tcPr>
          <w:p w:rsidRPr="0054466F" w:rsidR="007C726E" w:rsidP="007C726E" w:rsidRDefault="007C726E" w14:paraId="147E5D3E" w14:textId="77777777">
            <w:pPr>
              <w:pStyle w:val="BodyText"/>
              <w:rPr>
                <w:rFonts w:asciiTheme="minorHAnsi" w:hAnsiTheme="minorHAnsi" w:cstheme="minorHAnsi"/>
                <w:sz w:val="20"/>
              </w:rPr>
            </w:pPr>
            <w:r w:rsidRPr="0054466F">
              <w:rPr>
                <w:rFonts w:asciiTheme="minorHAnsi" w:hAnsiTheme="minorHAnsi" w:cstheme="minorHAnsi"/>
                <w:sz w:val="20"/>
              </w:rPr>
              <w:t>Keep all equipment needed for the treatment of severe hypersensitivity reactions ready before the administration of palivizumab.</w:t>
            </w:r>
          </w:p>
        </w:tc>
      </w:tr>
      <w:tr w:rsidRPr="0054466F" w:rsidR="007C726E" w:rsidTr="009A1B4C" w14:paraId="0D7ABE2E" w14:textId="77777777">
        <w:trPr>
          <w:trHeight w:val="70"/>
        </w:trPr>
        <w:tc>
          <w:tcPr>
            <w:tcW w:w="811" w:type="pct"/>
          </w:tcPr>
          <w:p w:rsidRPr="0054466F" w:rsidR="007C726E" w:rsidP="007C726E" w:rsidRDefault="007C726E" w14:paraId="79B54725" w14:textId="77777777">
            <w:pPr>
              <w:pStyle w:val="BodyText"/>
              <w:rPr>
                <w:rFonts w:asciiTheme="minorHAnsi" w:hAnsiTheme="minorHAnsi" w:cstheme="minorHAnsi"/>
                <w:b/>
                <w:bCs/>
                <w:sz w:val="20"/>
              </w:rPr>
            </w:pPr>
            <w:r w:rsidRPr="0054466F">
              <w:rPr>
                <w:rFonts w:asciiTheme="minorHAnsi" w:hAnsiTheme="minorHAnsi" w:cstheme="minorHAnsi"/>
                <w:b/>
                <w:bCs/>
                <w:sz w:val="20"/>
              </w:rPr>
              <w:t>Drug interactions</w:t>
            </w:r>
          </w:p>
        </w:tc>
        <w:tc>
          <w:tcPr>
            <w:tcW w:w="4189" w:type="pct"/>
          </w:tcPr>
          <w:p w:rsidRPr="0054466F" w:rsidR="007C726E" w:rsidP="007C726E" w:rsidRDefault="007C726E" w14:paraId="3A774ABB" w14:textId="77777777">
            <w:pPr>
              <w:pStyle w:val="BodyText"/>
              <w:rPr>
                <w:rFonts w:asciiTheme="minorHAnsi" w:hAnsiTheme="minorHAnsi" w:cstheme="minorHAnsi"/>
                <w:sz w:val="20"/>
              </w:rPr>
            </w:pPr>
          </w:p>
        </w:tc>
      </w:tr>
      <w:tr w:rsidRPr="0054466F" w:rsidR="007C726E" w:rsidTr="009A1B4C" w14:paraId="65B635CC" w14:textId="77777777">
        <w:trPr>
          <w:trHeight w:val="332"/>
        </w:trPr>
        <w:tc>
          <w:tcPr>
            <w:tcW w:w="811" w:type="pct"/>
          </w:tcPr>
          <w:p w:rsidRPr="0054466F" w:rsidR="007C726E" w:rsidP="007C726E" w:rsidRDefault="007C726E" w14:paraId="38DEA0CF"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Adverse reactions         </w:t>
            </w:r>
          </w:p>
        </w:tc>
        <w:tc>
          <w:tcPr>
            <w:tcW w:w="4189" w:type="pct"/>
          </w:tcPr>
          <w:p w:rsidRPr="0054466F" w:rsidR="007C726E" w:rsidP="007C726E" w:rsidRDefault="007C726E" w14:paraId="4FCC0495" w14:textId="77777777">
            <w:pPr>
              <w:pStyle w:val="BodyText"/>
              <w:rPr>
                <w:rFonts w:asciiTheme="minorHAnsi" w:hAnsiTheme="minorHAnsi" w:cstheme="minorHAnsi"/>
                <w:sz w:val="20"/>
              </w:rPr>
            </w:pPr>
            <w:r w:rsidRPr="0054466F">
              <w:rPr>
                <w:rFonts w:asciiTheme="minorHAnsi" w:hAnsiTheme="minorHAnsi" w:cstheme="minorHAnsi"/>
                <w:sz w:val="20"/>
              </w:rPr>
              <w:t>These did not occur more commonly than in the placebo arm of a trial</w:t>
            </w:r>
            <w:r>
              <w:rPr>
                <w:rFonts w:asciiTheme="minorHAnsi" w:hAnsiTheme="minorHAnsi" w:cstheme="minorHAnsi"/>
                <w:sz w:val="20"/>
              </w:rPr>
              <w:t>.</w:t>
            </w:r>
            <w:r w:rsidRPr="0054466F">
              <w:rPr>
                <w:rFonts w:asciiTheme="minorHAnsi" w:hAnsiTheme="minorHAnsi" w:cstheme="minorHAnsi"/>
                <w:sz w:val="20"/>
              </w:rPr>
              <w:t xml:space="preserve"> </w:t>
            </w:r>
            <w:r w:rsidRPr="0054466F">
              <w:rPr>
                <w:rFonts w:asciiTheme="minorHAnsi" w:hAnsiTheme="minorHAnsi" w:cstheme="minorHAnsi"/>
                <w:noProof/>
                <w:sz w:val="20"/>
              </w:rPr>
              <w:t>[2]</w:t>
            </w:r>
            <w:r>
              <w:rPr>
                <w:rFonts w:asciiTheme="minorHAnsi" w:hAnsiTheme="minorHAnsi" w:cstheme="minorHAnsi"/>
                <w:sz w:val="20"/>
              </w:rPr>
              <w:t>.</w:t>
            </w:r>
          </w:p>
          <w:p w:rsidRPr="0054466F" w:rsidR="007C726E" w:rsidP="007C726E" w:rsidRDefault="007C726E" w14:paraId="60D8AABC" w14:textId="77777777">
            <w:pPr>
              <w:pStyle w:val="BodyText"/>
              <w:rPr>
                <w:rFonts w:asciiTheme="minorHAnsi" w:hAnsiTheme="minorHAnsi" w:cstheme="minorHAnsi"/>
                <w:sz w:val="20"/>
              </w:rPr>
            </w:pPr>
            <w:r w:rsidRPr="0054466F">
              <w:rPr>
                <w:rFonts w:asciiTheme="minorHAnsi" w:hAnsiTheme="minorHAnsi" w:cstheme="minorHAnsi"/>
                <w:sz w:val="20"/>
              </w:rPr>
              <w:t xml:space="preserve">Common (&gt;1%): fever, rash, rhinitis, wheeze, cough, diarrhoea, injection site reaction, cyanosis (in children with congenital heart disease); Infrequent (0.1–1%) anaemia, elevated liver enzymes; </w:t>
            </w:r>
          </w:p>
          <w:p w:rsidRPr="0054466F" w:rsidR="007C726E" w:rsidP="007C726E" w:rsidRDefault="007C726E" w14:paraId="731AC9A2" w14:textId="77777777">
            <w:pPr>
              <w:pStyle w:val="BodyText"/>
              <w:rPr>
                <w:rFonts w:asciiTheme="minorHAnsi" w:hAnsiTheme="minorHAnsi" w:cstheme="minorHAnsi"/>
                <w:sz w:val="20"/>
              </w:rPr>
            </w:pPr>
            <w:r w:rsidRPr="0054466F">
              <w:rPr>
                <w:rFonts w:asciiTheme="minorHAnsi" w:hAnsiTheme="minorHAnsi" w:cstheme="minorHAnsi"/>
                <w:sz w:val="20"/>
              </w:rPr>
              <w:t xml:space="preserve">Rare (&lt;0.1%) hypersensitivity (including anaphylaxis). </w:t>
            </w:r>
            <w:r w:rsidRPr="0054466F">
              <w:rPr>
                <w:rFonts w:asciiTheme="minorHAnsi" w:hAnsiTheme="minorHAnsi" w:cstheme="minorHAnsi"/>
                <w:noProof/>
                <w:sz w:val="20"/>
              </w:rPr>
              <w:t>[3]</w:t>
            </w:r>
          </w:p>
        </w:tc>
      </w:tr>
      <w:tr w:rsidRPr="0054466F" w:rsidR="007C726E" w:rsidTr="009A1B4C" w14:paraId="1EB56F70" w14:textId="77777777">
        <w:trPr>
          <w:trHeight w:val="180"/>
        </w:trPr>
        <w:tc>
          <w:tcPr>
            <w:tcW w:w="811" w:type="pct"/>
          </w:tcPr>
          <w:p w:rsidRPr="0054466F" w:rsidR="007C726E" w:rsidP="007C726E" w:rsidRDefault="007C726E" w14:paraId="1A3ACD52" w14:textId="77777777">
            <w:pPr>
              <w:pStyle w:val="BodyText"/>
              <w:rPr>
                <w:rFonts w:asciiTheme="minorHAnsi" w:hAnsiTheme="minorHAnsi" w:cstheme="minorHAnsi"/>
                <w:b/>
                <w:bCs/>
                <w:sz w:val="20"/>
              </w:rPr>
            </w:pPr>
            <w:r w:rsidRPr="0054466F">
              <w:rPr>
                <w:rFonts w:asciiTheme="minorHAnsi" w:hAnsiTheme="minorHAnsi" w:cstheme="minorHAnsi"/>
                <w:b/>
                <w:bCs/>
                <w:sz w:val="20"/>
              </w:rPr>
              <w:t>Compatibility</w:t>
            </w:r>
          </w:p>
        </w:tc>
        <w:tc>
          <w:tcPr>
            <w:tcW w:w="4189" w:type="pct"/>
          </w:tcPr>
          <w:p w:rsidRPr="0054466F" w:rsidR="007C726E" w:rsidP="007C726E" w:rsidRDefault="007C726E" w14:paraId="5CE38014" w14:textId="77777777">
            <w:pPr>
              <w:pStyle w:val="BodyText"/>
              <w:rPr>
                <w:rFonts w:asciiTheme="minorHAnsi" w:hAnsiTheme="minorHAnsi" w:cstheme="minorHAnsi"/>
                <w:sz w:val="20"/>
              </w:rPr>
            </w:pPr>
            <w:r w:rsidRPr="0054466F">
              <w:rPr>
                <w:rFonts w:asciiTheme="minorHAnsi" w:hAnsiTheme="minorHAnsi" w:cstheme="minorHAnsi"/>
                <w:sz w:val="20"/>
              </w:rPr>
              <w:t>Not applicable. Do not reconstitute palivizumab with any other diluents or medicinal components.</w:t>
            </w:r>
          </w:p>
        </w:tc>
      </w:tr>
      <w:tr w:rsidRPr="0054466F" w:rsidR="007C726E" w:rsidTr="009A1B4C" w14:paraId="296B6D8E" w14:textId="77777777">
        <w:trPr>
          <w:trHeight w:val="230"/>
        </w:trPr>
        <w:tc>
          <w:tcPr>
            <w:tcW w:w="811" w:type="pct"/>
          </w:tcPr>
          <w:p w:rsidRPr="0054466F" w:rsidR="007C726E" w:rsidP="007C726E" w:rsidRDefault="007C726E" w14:paraId="3180CBF1" w14:textId="77777777">
            <w:pPr>
              <w:pStyle w:val="BodyText"/>
              <w:rPr>
                <w:rFonts w:asciiTheme="minorHAnsi" w:hAnsiTheme="minorHAnsi" w:cstheme="minorHAnsi"/>
                <w:b/>
                <w:bCs/>
                <w:sz w:val="20"/>
              </w:rPr>
            </w:pPr>
            <w:r w:rsidRPr="0054466F">
              <w:rPr>
                <w:rFonts w:asciiTheme="minorHAnsi" w:hAnsiTheme="minorHAnsi" w:cstheme="minorHAnsi"/>
                <w:b/>
                <w:bCs/>
                <w:sz w:val="20"/>
              </w:rPr>
              <w:t>Incompatibility</w:t>
            </w:r>
          </w:p>
        </w:tc>
        <w:tc>
          <w:tcPr>
            <w:tcW w:w="4189" w:type="pct"/>
          </w:tcPr>
          <w:p w:rsidRPr="0054466F" w:rsidR="007C726E" w:rsidP="007C726E" w:rsidRDefault="007C726E" w14:paraId="351CB57E" w14:textId="77777777">
            <w:pPr>
              <w:pStyle w:val="BodyText"/>
              <w:rPr>
                <w:rFonts w:asciiTheme="minorHAnsi" w:hAnsiTheme="minorHAnsi" w:cstheme="minorHAnsi"/>
                <w:sz w:val="20"/>
              </w:rPr>
            </w:pPr>
            <w:r w:rsidRPr="0054466F">
              <w:rPr>
                <w:rFonts w:asciiTheme="minorHAnsi" w:hAnsiTheme="minorHAnsi" w:cstheme="minorHAnsi"/>
                <w:sz w:val="20"/>
              </w:rPr>
              <w:t>Do not reconstitute palivizumab with any other diluents or medicinal components.</w:t>
            </w:r>
          </w:p>
        </w:tc>
      </w:tr>
      <w:tr w:rsidRPr="0054466F" w:rsidR="007C726E" w:rsidTr="009A1B4C" w14:paraId="191D59EA" w14:textId="77777777">
        <w:trPr>
          <w:trHeight w:val="79"/>
        </w:trPr>
        <w:tc>
          <w:tcPr>
            <w:tcW w:w="811" w:type="pct"/>
          </w:tcPr>
          <w:p w:rsidRPr="0054466F" w:rsidR="007C726E" w:rsidP="007C726E" w:rsidRDefault="007C726E" w14:paraId="19569EB4"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Stability   </w:t>
            </w:r>
          </w:p>
        </w:tc>
        <w:tc>
          <w:tcPr>
            <w:tcW w:w="4189" w:type="pct"/>
          </w:tcPr>
          <w:p w:rsidRPr="0054466F" w:rsidR="007C726E" w:rsidP="007C726E" w:rsidRDefault="007C726E" w14:paraId="2B13291F" w14:textId="77777777">
            <w:pPr>
              <w:pStyle w:val="BodyText"/>
              <w:rPr>
                <w:rFonts w:asciiTheme="minorHAnsi" w:hAnsiTheme="minorHAnsi" w:cstheme="minorHAnsi"/>
                <w:sz w:val="20"/>
              </w:rPr>
            </w:pPr>
            <w:r w:rsidRPr="0054466F">
              <w:rPr>
                <w:rFonts w:asciiTheme="minorHAnsi" w:hAnsiTheme="minorHAnsi" w:cstheme="minorHAnsi"/>
                <w:sz w:val="20"/>
              </w:rPr>
              <w:t>Administer immediately.</w:t>
            </w:r>
          </w:p>
        </w:tc>
      </w:tr>
      <w:tr w:rsidRPr="0054466F" w:rsidR="007C726E" w:rsidTr="009A1B4C" w14:paraId="42D7E488" w14:textId="77777777">
        <w:trPr>
          <w:trHeight w:val="70"/>
        </w:trPr>
        <w:tc>
          <w:tcPr>
            <w:tcW w:w="811" w:type="pct"/>
          </w:tcPr>
          <w:p w:rsidRPr="0054466F" w:rsidR="007C726E" w:rsidP="007C726E" w:rsidRDefault="007C726E" w14:paraId="160F1CB5"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Storage             </w:t>
            </w:r>
          </w:p>
        </w:tc>
        <w:tc>
          <w:tcPr>
            <w:tcW w:w="4189" w:type="pct"/>
          </w:tcPr>
          <w:p w:rsidRPr="0054466F" w:rsidR="007C726E" w:rsidP="007C726E" w:rsidRDefault="007C726E" w14:paraId="5CCD1628" w14:textId="77777777">
            <w:pPr>
              <w:pStyle w:val="BodyText"/>
              <w:rPr>
                <w:rFonts w:asciiTheme="minorHAnsi" w:hAnsiTheme="minorHAnsi" w:cstheme="minorHAnsi"/>
                <w:sz w:val="20"/>
              </w:rPr>
            </w:pPr>
            <w:r>
              <w:rPr>
                <w:rFonts w:asciiTheme="minorHAnsi" w:hAnsiTheme="minorHAnsi" w:cstheme="minorHAnsi"/>
                <w:sz w:val="20"/>
              </w:rPr>
              <w:t>R</w:t>
            </w:r>
            <w:r w:rsidRPr="0054466F">
              <w:rPr>
                <w:rFonts w:asciiTheme="minorHAnsi" w:hAnsiTheme="minorHAnsi" w:cstheme="minorHAnsi"/>
                <w:sz w:val="20"/>
              </w:rPr>
              <w:t>efrigerat</w:t>
            </w:r>
            <w:r>
              <w:rPr>
                <w:rFonts w:asciiTheme="minorHAnsi" w:hAnsiTheme="minorHAnsi" w:cstheme="minorHAnsi"/>
                <w:sz w:val="20"/>
              </w:rPr>
              <w:t xml:space="preserve">e </w:t>
            </w:r>
            <w:r w:rsidRPr="0054466F">
              <w:rPr>
                <w:rFonts w:asciiTheme="minorHAnsi" w:hAnsiTheme="minorHAnsi" w:cstheme="minorHAnsi"/>
                <w:sz w:val="20"/>
              </w:rPr>
              <w:t>at 2</w:t>
            </w:r>
            <w:r w:rsidRPr="0054466F">
              <w:rPr>
                <w:rFonts w:asciiTheme="minorHAnsi" w:hAnsiTheme="minorHAnsi" w:cstheme="minorHAnsi"/>
                <w:sz w:val="20"/>
                <w:vertAlign w:val="superscript"/>
              </w:rPr>
              <w:t>O</w:t>
            </w:r>
            <w:r w:rsidRPr="0054466F">
              <w:rPr>
                <w:rFonts w:asciiTheme="minorHAnsi" w:hAnsiTheme="minorHAnsi" w:cstheme="minorHAnsi"/>
                <w:sz w:val="20"/>
              </w:rPr>
              <w:t xml:space="preserve"> to 8</w:t>
            </w:r>
            <w:r w:rsidRPr="0054466F">
              <w:rPr>
                <w:rFonts w:asciiTheme="minorHAnsi" w:hAnsiTheme="minorHAnsi" w:cstheme="minorHAnsi"/>
                <w:sz w:val="20"/>
                <w:vertAlign w:val="superscript"/>
              </w:rPr>
              <w:t xml:space="preserve"> O</w:t>
            </w:r>
            <w:r w:rsidRPr="0054466F">
              <w:rPr>
                <w:rFonts w:asciiTheme="minorHAnsi" w:hAnsiTheme="minorHAnsi" w:cstheme="minorHAnsi"/>
                <w:sz w:val="20"/>
              </w:rPr>
              <w:t xml:space="preserve">C. Do not freeze. </w:t>
            </w:r>
            <w:r w:rsidRPr="0054466F">
              <w:rPr>
                <w:rFonts w:asciiTheme="minorHAnsi" w:hAnsiTheme="minorHAnsi" w:cstheme="minorHAnsi"/>
                <w:noProof/>
                <w:sz w:val="20"/>
              </w:rPr>
              <w:t>[1]</w:t>
            </w:r>
          </w:p>
        </w:tc>
      </w:tr>
      <w:tr w:rsidRPr="0054466F" w:rsidR="007C726E" w:rsidTr="009A1B4C" w14:paraId="5782D9ED" w14:textId="77777777">
        <w:trPr>
          <w:trHeight w:val="70"/>
        </w:trPr>
        <w:tc>
          <w:tcPr>
            <w:tcW w:w="811" w:type="pct"/>
          </w:tcPr>
          <w:p w:rsidRPr="0054466F" w:rsidR="007C726E" w:rsidP="007C726E" w:rsidRDefault="007C726E" w14:paraId="6F6713BD" w14:textId="77777777">
            <w:pPr>
              <w:pStyle w:val="BodyText"/>
              <w:rPr>
                <w:rFonts w:asciiTheme="minorHAnsi" w:hAnsiTheme="minorHAnsi" w:cstheme="minorHAnsi"/>
                <w:b/>
                <w:bCs/>
                <w:sz w:val="20"/>
              </w:rPr>
            </w:pPr>
            <w:r w:rsidRPr="0054466F">
              <w:rPr>
                <w:rFonts w:asciiTheme="minorHAnsi" w:hAnsiTheme="minorHAnsi" w:cstheme="minorHAnsi"/>
                <w:b/>
                <w:bCs/>
                <w:sz w:val="20"/>
              </w:rPr>
              <w:t>Excipients</w:t>
            </w:r>
          </w:p>
        </w:tc>
        <w:tc>
          <w:tcPr>
            <w:tcW w:w="4189" w:type="pct"/>
          </w:tcPr>
          <w:p w:rsidRPr="0054466F" w:rsidR="007C726E" w:rsidP="007C726E" w:rsidRDefault="007C726E" w14:paraId="606D2DCC" w14:textId="77777777">
            <w:pPr>
              <w:pStyle w:val="BodyText"/>
              <w:rPr>
                <w:rFonts w:asciiTheme="minorHAnsi" w:hAnsiTheme="minorHAnsi" w:cstheme="minorHAnsi"/>
                <w:sz w:val="20"/>
              </w:rPr>
            </w:pPr>
            <w:r>
              <w:rPr>
                <w:rFonts w:asciiTheme="minorHAnsi" w:hAnsiTheme="minorHAnsi" w:cstheme="minorHAnsi"/>
                <w:sz w:val="20"/>
              </w:rPr>
              <w:t>H</w:t>
            </w:r>
            <w:r w:rsidRPr="0054466F">
              <w:rPr>
                <w:rFonts w:asciiTheme="minorHAnsi" w:hAnsiTheme="minorHAnsi" w:cstheme="minorHAnsi"/>
                <w:sz w:val="20"/>
              </w:rPr>
              <w:t xml:space="preserve">istidine and glycine and the active ingredient, palivizumab, at a concentration of 100 milligrams per mL. </w:t>
            </w:r>
            <w:r w:rsidRPr="0054466F">
              <w:rPr>
                <w:rFonts w:asciiTheme="minorHAnsi" w:hAnsiTheme="minorHAnsi" w:cstheme="minorHAnsi"/>
                <w:noProof/>
                <w:sz w:val="20"/>
              </w:rPr>
              <w:t>[1]</w:t>
            </w:r>
            <w:r w:rsidRPr="0054466F">
              <w:rPr>
                <w:rFonts w:asciiTheme="minorHAnsi" w:hAnsiTheme="minorHAnsi" w:cstheme="minorHAnsi"/>
                <w:sz w:val="20"/>
              </w:rPr>
              <w:t xml:space="preserve"> </w:t>
            </w:r>
          </w:p>
        </w:tc>
      </w:tr>
      <w:tr w:rsidRPr="0054466F" w:rsidR="007C726E" w:rsidTr="009A1B4C" w14:paraId="0959A520" w14:textId="77777777">
        <w:trPr>
          <w:trHeight w:val="270"/>
        </w:trPr>
        <w:tc>
          <w:tcPr>
            <w:tcW w:w="811" w:type="pct"/>
          </w:tcPr>
          <w:p w:rsidRPr="0054466F" w:rsidR="007C726E" w:rsidP="007C726E" w:rsidRDefault="007C726E" w14:paraId="51EF4BBD" w14:textId="77777777">
            <w:pPr>
              <w:pStyle w:val="BodyText"/>
              <w:rPr>
                <w:rFonts w:asciiTheme="minorHAnsi" w:hAnsiTheme="minorHAnsi" w:cstheme="minorHAnsi"/>
                <w:b/>
                <w:bCs/>
                <w:sz w:val="20"/>
              </w:rPr>
            </w:pPr>
            <w:r w:rsidRPr="0054466F">
              <w:rPr>
                <w:rFonts w:asciiTheme="minorHAnsi" w:hAnsiTheme="minorHAnsi" w:cstheme="minorHAnsi"/>
                <w:b/>
                <w:bCs/>
                <w:sz w:val="20"/>
              </w:rPr>
              <w:t xml:space="preserve">Special comments       </w:t>
            </w:r>
          </w:p>
        </w:tc>
        <w:tc>
          <w:tcPr>
            <w:tcW w:w="4189" w:type="pct"/>
          </w:tcPr>
          <w:p w:rsidRPr="0054466F" w:rsidR="007C726E" w:rsidP="007C726E" w:rsidRDefault="007C726E" w14:paraId="6439680D" w14:textId="77777777">
            <w:pPr>
              <w:pStyle w:val="BodyText"/>
              <w:rPr>
                <w:rFonts w:asciiTheme="minorHAnsi" w:hAnsiTheme="minorHAnsi" w:cstheme="minorHAnsi"/>
                <w:sz w:val="20"/>
              </w:rPr>
            </w:pPr>
            <w:r w:rsidRPr="0054466F">
              <w:rPr>
                <w:rFonts w:asciiTheme="minorHAnsi" w:hAnsiTheme="minorHAnsi" w:cstheme="minorHAnsi"/>
                <w:sz w:val="20"/>
              </w:rPr>
              <w:t>Educate the parents regarding adverse effects such as fever, irritability and diarrhoea.</w:t>
            </w:r>
          </w:p>
        </w:tc>
      </w:tr>
      <w:tr w:rsidRPr="0054466F" w:rsidR="007C726E" w:rsidTr="009A1B4C" w14:paraId="383D548E" w14:textId="77777777">
        <w:trPr>
          <w:trHeight w:val="280"/>
        </w:trPr>
        <w:tc>
          <w:tcPr>
            <w:tcW w:w="811" w:type="pct"/>
          </w:tcPr>
          <w:p w:rsidRPr="0054466F" w:rsidR="007C726E" w:rsidP="007C726E" w:rsidRDefault="007C726E" w14:paraId="4F206D67" w14:textId="77777777">
            <w:pPr>
              <w:pStyle w:val="BodyText"/>
              <w:rPr>
                <w:rFonts w:asciiTheme="minorHAnsi" w:hAnsiTheme="minorHAnsi" w:cstheme="minorHAnsi"/>
                <w:b/>
                <w:bCs/>
                <w:sz w:val="20"/>
              </w:rPr>
            </w:pPr>
            <w:r w:rsidRPr="0054466F">
              <w:rPr>
                <w:rFonts w:asciiTheme="minorHAnsi" w:hAnsiTheme="minorHAnsi" w:cstheme="minorHAnsi"/>
                <w:b/>
                <w:bCs/>
                <w:sz w:val="20"/>
              </w:rPr>
              <w:lastRenderedPageBreak/>
              <w:t xml:space="preserve">Evidence </w:t>
            </w:r>
          </w:p>
        </w:tc>
        <w:tc>
          <w:tcPr>
            <w:tcW w:w="4189" w:type="pct"/>
          </w:tcPr>
          <w:p w:rsidRPr="009A1B4C" w:rsidR="007C726E" w:rsidP="007C726E" w:rsidRDefault="007C726E" w14:paraId="2A11EBC6"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sz w:val="16"/>
                <w:szCs w:val="16"/>
              </w:rPr>
              <w:t xml:space="preserve">Palivizumab is a humanised monoclonal antibody (comprised of 95% human and 5% murine amino acid sequences) which exhibits neutralising and fusion-inhibitory activity against RSV. Palivizumab is registered in Australia for prevention of serious lower respiratory tract disease caused by RSV in children at high risk of RSV disease. There is no consensus regarding the use of palivizumab in Australia. </w:t>
            </w:r>
            <w:r w:rsidRPr="009A1B4C">
              <w:rPr>
                <w:rFonts w:asciiTheme="minorHAnsi" w:hAnsiTheme="minorHAnsi" w:cstheme="minorHAnsi"/>
                <w:noProof/>
                <w:sz w:val="16"/>
                <w:szCs w:val="16"/>
              </w:rPr>
              <w:t>[4]</w:t>
            </w:r>
            <w:r w:rsidRPr="009A1B4C">
              <w:rPr>
                <w:rFonts w:asciiTheme="minorHAnsi" w:hAnsiTheme="minorHAnsi" w:cstheme="minorHAnsi"/>
                <w:sz w:val="16"/>
                <w:szCs w:val="16"/>
              </w:rPr>
              <w:t xml:space="preserve"> </w:t>
            </w:r>
          </w:p>
          <w:p w:rsidRPr="009A1B4C" w:rsidR="007C726E" w:rsidP="007C726E" w:rsidRDefault="007C726E" w14:paraId="0C8EDF3A"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b/>
                <w:sz w:val="16"/>
                <w:szCs w:val="16"/>
              </w:rPr>
              <w:t xml:space="preserve">Seasonality of RSV illness: </w:t>
            </w:r>
            <w:r w:rsidRPr="009A1B4C">
              <w:rPr>
                <w:rFonts w:asciiTheme="minorHAnsi" w:hAnsiTheme="minorHAnsi" w:cstheme="minorHAnsi"/>
                <w:sz w:val="16"/>
                <w:szCs w:val="16"/>
              </w:rPr>
              <w:t xml:space="preserve">The peak in RSV-coded hospitalizations in NSW, Australia 2001-2010 was between May and August with 81% of the total RSV-coded hospitalizations recorded between these months. </w:t>
            </w:r>
            <w:r w:rsidRPr="009A1B4C">
              <w:rPr>
                <w:rFonts w:asciiTheme="minorHAnsi" w:hAnsiTheme="minorHAnsi" w:cstheme="minorHAnsi"/>
                <w:noProof/>
                <w:sz w:val="16"/>
                <w:szCs w:val="16"/>
              </w:rPr>
              <w:t>[5]</w:t>
            </w:r>
            <w:r w:rsidRPr="009A1B4C">
              <w:rPr>
                <w:rFonts w:asciiTheme="minorHAnsi" w:hAnsiTheme="minorHAnsi" w:cstheme="minorHAnsi"/>
                <w:sz w:val="16"/>
                <w:szCs w:val="16"/>
              </w:rPr>
              <w:t xml:space="preserve"> </w:t>
            </w:r>
          </w:p>
          <w:p w:rsidRPr="009A1B4C" w:rsidR="007C726E" w:rsidP="007C726E" w:rsidRDefault="007C726E" w14:paraId="601674CF" w14:textId="77777777">
            <w:pPr>
              <w:pStyle w:val="BodyText"/>
              <w:tabs>
                <w:tab w:val="left" w:pos="1168"/>
              </w:tabs>
              <w:rPr>
                <w:rFonts w:asciiTheme="minorHAnsi" w:hAnsiTheme="minorHAnsi" w:cstheme="minorHAnsi"/>
                <w:b/>
                <w:sz w:val="16"/>
                <w:szCs w:val="16"/>
              </w:rPr>
            </w:pPr>
          </w:p>
          <w:p w:rsidRPr="009A1B4C" w:rsidR="007C726E" w:rsidP="007C726E" w:rsidRDefault="007C726E" w14:paraId="588C00A4" w14:textId="77777777">
            <w:pPr>
              <w:pStyle w:val="BodyText"/>
              <w:tabs>
                <w:tab w:val="left" w:pos="1168"/>
              </w:tabs>
              <w:rPr>
                <w:rFonts w:asciiTheme="minorHAnsi" w:hAnsiTheme="minorHAnsi" w:cstheme="minorHAnsi"/>
                <w:b/>
                <w:sz w:val="16"/>
                <w:szCs w:val="16"/>
              </w:rPr>
            </w:pPr>
            <w:r w:rsidRPr="009A1B4C">
              <w:rPr>
                <w:rFonts w:asciiTheme="minorHAnsi" w:hAnsiTheme="minorHAnsi" w:cstheme="minorHAnsi"/>
                <w:b/>
                <w:sz w:val="16"/>
                <w:szCs w:val="16"/>
              </w:rPr>
              <w:t>Efficacy</w:t>
            </w:r>
          </w:p>
          <w:p w:rsidRPr="009A1B4C" w:rsidR="007C726E" w:rsidP="007C726E" w:rsidRDefault="007C726E" w14:paraId="0E016C72"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b/>
                <w:sz w:val="16"/>
                <w:szCs w:val="16"/>
              </w:rPr>
              <w:t xml:space="preserve">Palivizumab for prevention of respiratory syncytial virus infection in children: </w:t>
            </w:r>
            <w:r w:rsidRPr="009A1B4C">
              <w:rPr>
                <w:rFonts w:asciiTheme="minorHAnsi" w:hAnsiTheme="minorHAnsi" w:cstheme="minorHAnsi"/>
                <w:sz w:val="16"/>
                <w:szCs w:val="16"/>
              </w:rPr>
              <w:t xml:space="preserve">Systematic review found 3 RCTs in a total of 2831 patients that compared palivizumab with placebo. </w:t>
            </w:r>
            <w:r w:rsidRPr="009A1B4C">
              <w:rPr>
                <w:rFonts w:asciiTheme="minorHAnsi" w:hAnsiTheme="minorHAnsi" w:cstheme="minorHAnsi"/>
                <w:noProof/>
                <w:sz w:val="16"/>
                <w:szCs w:val="16"/>
              </w:rPr>
              <w:t>[2]</w:t>
            </w:r>
            <w:r w:rsidRPr="009A1B4C">
              <w:rPr>
                <w:rFonts w:asciiTheme="minorHAnsi" w:hAnsiTheme="minorHAnsi" w:cstheme="minorHAnsi"/>
                <w:sz w:val="16"/>
                <w:szCs w:val="16"/>
              </w:rPr>
              <w:t xml:space="preserve"> The doses of palivizumab varied across studies from 3 to 6 doses at 15 mg/kg per dose. Palivizumab reduced hospitalisation for RSV infection [3 trials, 2831 infants; RR 0.49, 95%CI 0.37, 0.64] and admission to ICU [2 trials, 2789 infants; RR 0.50, 95%CI 0.30, 0.81]. There was no difference in mortality [3 trials, 2831 infants; RR 0.69, 95%CI 0.42, 1.15] or use of mechanical ventilation [2 trials, 2789 infants; RR 1.10, 95%CI 0.20, 6.09]. </w:t>
            </w:r>
          </w:p>
          <w:p w:rsidRPr="009A1B4C" w:rsidR="007C726E" w:rsidP="007C726E" w:rsidRDefault="007C726E" w14:paraId="67AA1539"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b/>
                <w:sz w:val="16"/>
                <w:szCs w:val="16"/>
              </w:rPr>
              <w:t xml:space="preserve">Palivizumab versus motavizumab for prevention of respiratory syncytial virus infection in children: </w:t>
            </w:r>
            <w:r w:rsidRPr="009A1B4C">
              <w:rPr>
                <w:rFonts w:asciiTheme="minorHAnsi" w:hAnsiTheme="minorHAnsi" w:cstheme="minorHAnsi"/>
                <w:sz w:val="16"/>
                <w:szCs w:val="16"/>
              </w:rPr>
              <w:t xml:space="preserve">When compared to motavizumab, palivizumab recipients showed no significant difference in risk of RSV hospitalisation [2 trials, 7870 infants; RR 1.36, 95%CI 0.97, 1.90] and all-cause mortality [4 trials, 8265 infants; RR 0.74, 95%CI 0.38, 1.43]. In both cases, the proportion of children with any adverse events (AE) or any AE related to the study drug was similar between the two groups. </w:t>
            </w:r>
            <w:r w:rsidRPr="009A1B4C">
              <w:rPr>
                <w:rFonts w:asciiTheme="minorHAnsi" w:hAnsiTheme="minorHAnsi" w:cstheme="minorHAnsi"/>
                <w:noProof/>
                <w:sz w:val="16"/>
                <w:szCs w:val="16"/>
              </w:rPr>
              <w:t>[2]</w:t>
            </w:r>
            <w:r w:rsidRPr="009A1B4C">
              <w:rPr>
                <w:rFonts w:asciiTheme="minorHAnsi" w:hAnsiTheme="minorHAnsi" w:cstheme="minorHAnsi"/>
                <w:sz w:val="16"/>
                <w:szCs w:val="16"/>
              </w:rPr>
              <w:t xml:space="preserve"> No studies were found for children with immunodeficiency, chronic neuromuscular disease or congenital anomalies. </w:t>
            </w:r>
            <w:r w:rsidRPr="009A1B4C">
              <w:rPr>
                <w:rFonts w:asciiTheme="minorHAnsi" w:hAnsiTheme="minorHAnsi" w:cstheme="minorHAnsi"/>
                <w:noProof/>
                <w:sz w:val="16"/>
                <w:szCs w:val="16"/>
              </w:rPr>
              <w:t>[2]</w:t>
            </w:r>
            <w:r w:rsidRPr="009A1B4C">
              <w:rPr>
                <w:rFonts w:asciiTheme="minorHAnsi" w:hAnsiTheme="minorHAnsi" w:cstheme="minorHAnsi"/>
                <w:sz w:val="16"/>
                <w:szCs w:val="16"/>
              </w:rPr>
              <w:t xml:space="preserve"> </w:t>
            </w:r>
          </w:p>
          <w:p w:rsidRPr="009A1B4C" w:rsidR="007C726E" w:rsidP="007C726E" w:rsidRDefault="007C726E" w14:paraId="02FD1450"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b/>
                <w:sz w:val="16"/>
                <w:szCs w:val="16"/>
              </w:rPr>
              <w:t xml:space="preserve">Immunoglobulin treatment for hospitalised infants and young children with respiratory syncytial virus infection: </w:t>
            </w:r>
            <w:r w:rsidRPr="009A1B4C">
              <w:rPr>
                <w:rFonts w:asciiTheme="minorHAnsi" w:hAnsiTheme="minorHAnsi" w:cstheme="minorHAnsi"/>
                <w:sz w:val="16"/>
                <w:szCs w:val="16"/>
              </w:rPr>
              <w:t xml:space="preserve">Systematic review found no difference in mortality [3 trials, 196 infants; RR 0.87, 95%CI 0.14, 5.27] or days hospitalisation [5 trials, 324 infants; MD -0.70; 95%CI -1.83, 0.42] from use of palivizumab or motavizumab for infants and children under 3 years of age with RSV infection. </w:t>
            </w:r>
            <w:r w:rsidRPr="009A1B4C">
              <w:rPr>
                <w:rFonts w:asciiTheme="minorHAnsi" w:hAnsiTheme="minorHAnsi" w:cstheme="minorHAnsi"/>
                <w:noProof/>
                <w:sz w:val="16"/>
                <w:szCs w:val="16"/>
              </w:rPr>
              <w:t>[6]</w:t>
            </w:r>
            <w:r w:rsidRPr="009A1B4C">
              <w:rPr>
                <w:rFonts w:asciiTheme="minorHAnsi" w:hAnsiTheme="minorHAnsi" w:cstheme="minorHAnsi"/>
                <w:sz w:val="16"/>
                <w:szCs w:val="16"/>
              </w:rPr>
              <w:t xml:space="preserve"> </w:t>
            </w:r>
          </w:p>
          <w:p w:rsidRPr="009A1B4C" w:rsidR="007C726E" w:rsidP="007C726E" w:rsidRDefault="007C726E" w14:paraId="4200E40E"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b/>
                <w:sz w:val="16"/>
                <w:szCs w:val="16"/>
              </w:rPr>
              <w:t>Palivizumab for prophylaxis against respiratory syncytial virus infection in children with cystic fibrosis:</w:t>
            </w:r>
            <w:r w:rsidRPr="009A1B4C">
              <w:rPr>
                <w:rFonts w:asciiTheme="minorHAnsi" w:hAnsiTheme="minorHAnsi" w:cstheme="minorHAnsi"/>
                <w:sz w:val="16"/>
                <w:szCs w:val="16"/>
              </w:rPr>
              <w:t xml:space="preserve"> One RCT with 186 infants with cystic fibrosis. One admission in each arm and the incidence of adverse events was similar in both groups. There is insufficient evidence to determine efficacy of palivizumab for prophylaxis against respiratory syncytial virus infection in children with cystic fibrosis. </w:t>
            </w:r>
            <w:r w:rsidRPr="009A1B4C">
              <w:rPr>
                <w:rFonts w:asciiTheme="minorHAnsi" w:hAnsiTheme="minorHAnsi" w:cstheme="minorHAnsi"/>
                <w:noProof/>
                <w:sz w:val="16"/>
                <w:szCs w:val="16"/>
              </w:rPr>
              <w:t>[7]</w:t>
            </w:r>
            <w:r w:rsidRPr="009A1B4C">
              <w:rPr>
                <w:rFonts w:asciiTheme="minorHAnsi" w:hAnsiTheme="minorHAnsi" w:cstheme="minorHAnsi"/>
                <w:sz w:val="16"/>
                <w:szCs w:val="16"/>
              </w:rPr>
              <w:t xml:space="preserve"> </w:t>
            </w:r>
          </w:p>
          <w:p w:rsidRPr="009A1B4C" w:rsidR="007C726E" w:rsidP="007C726E" w:rsidRDefault="007C726E" w14:paraId="3739C042" w14:textId="77777777">
            <w:pPr>
              <w:pStyle w:val="BodyText"/>
              <w:tabs>
                <w:tab w:val="left" w:pos="1168"/>
              </w:tabs>
              <w:rPr>
                <w:rFonts w:asciiTheme="minorHAnsi" w:hAnsiTheme="minorHAnsi" w:cstheme="minorHAnsi"/>
                <w:sz w:val="16"/>
                <w:szCs w:val="16"/>
              </w:rPr>
            </w:pPr>
          </w:p>
          <w:p w:rsidRPr="009A1B4C" w:rsidR="007C726E" w:rsidP="007C726E" w:rsidRDefault="007C726E" w14:paraId="3D918648" w14:textId="77777777">
            <w:pPr>
              <w:pStyle w:val="BodyText"/>
              <w:tabs>
                <w:tab w:val="left" w:pos="1168"/>
              </w:tabs>
              <w:rPr>
                <w:rFonts w:asciiTheme="minorHAnsi" w:hAnsiTheme="minorHAnsi" w:cstheme="minorHAnsi"/>
                <w:b/>
                <w:sz w:val="16"/>
                <w:szCs w:val="16"/>
              </w:rPr>
            </w:pPr>
            <w:r w:rsidRPr="009A1B4C">
              <w:rPr>
                <w:rFonts w:asciiTheme="minorHAnsi" w:hAnsiTheme="minorHAnsi" w:cstheme="minorHAnsi"/>
                <w:b/>
                <w:sz w:val="16"/>
                <w:szCs w:val="16"/>
              </w:rPr>
              <w:t xml:space="preserve">Safety </w:t>
            </w:r>
          </w:p>
          <w:p w:rsidRPr="009A1B4C" w:rsidR="007C726E" w:rsidP="007C726E" w:rsidRDefault="007C726E" w14:paraId="12D95DFD" w14:textId="77777777">
            <w:pPr>
              <w:pStyle w:val="BodyText"/>
              <w:tabs>
                <w:tab w:val="left" w:pos="1168"/>
              </w:tabs>
              <w:rPr>
                <w:rFonts w:asciiTheme="minorHAnsi" w:hAnsiTheme="minorHAnsi" w:cstheme="minorHAnsi"/>
                <w:b/>
                <w:sz w:val="16"/>
                <w:szCs w:val="16"/>
              </w:rPr>
            </w:pPr>
            <w:r w:rsidRPr="009A1B4C">
              <w:rPr>
                <w:rFonts w:asciiTheme="minorHAnsi" w:hAnsiTheme="minorHAnsi" w:cstheme="minorHAnsi"/>
                <w:sz w:val="16"/>
                <w:szCs w:val="16"/>
              </w:rPr>
              <w:t xml:space="preserve">A single trial </w:t>
            </w:r>
            <w:r w:rsidRPr="009A1B4C">
              <w:rPr>
                <w:rFonts w:asciiTheme="minorHAnsi" w:hAnsiTheme="minorHAnsi" w:cstheme="minorHAnsi"/>
                <w:noProof/>
                <w:sz w:val="16"/>
                <w:szCs w:val="16"/>
              </w:rPr>
              <w:t>[2, 8]</w:t>
            </w:r>
            <w:r w:rsidRPr="009A1B4C">
              <w:rPr>
                <w:rFonts w:asciiTheme="minorHAnsi" w:hAnsiTheme="minorHAnsi" w:cstheme="minorHAnsi"/>
                <w:sz w:val="16"/>
                <w:szCs w:val="16"/>
              </w:rPr>
              <w:t xml:space="preserve"> that included 1287 infants comparing palivizumab with placebo reported no difference in the number of children with an adverse event [RR 0.99, 95%CI 0.97, 1.01], a reduction in the number with a serious adverse event [1 trial, 1287 infants; RR 0.88, 95%CI 0.80, 0.96], and no difference in related serious adverse events [1 trial, 1287 infants; RR 0.14 [0.01, 2.80]. Two cases of anaphylaxis (&lt;1 case per 100,000 patients) have been reported to the FDA. </w:t>
            </w:r>
            <w:r w:rsidRPr="009A1B4C">
              <w:rPr>
                <w:rFonts w:asciiTheme="minorHAnsi" w:hAnsiTheme="minorHAnsi" w:cstheme="minorHAnsi"/>
                <w:noProof/>
                <w:sz w:val="16"/>
                <w:szCs w:val="16"/>
              </w:rPr>
              <w:t>[9]</w:t>
            </w:r>
            <w:r w:rsidRPr="009A1B4C">
              <w:rPr>
                <w:rFonts w:asciiTheme="minorHAnsi" w:hAnsiTheme="minorHAnsi" w:cstheme="minorHAnsi"/>
                <w:b/>
                <w:sz w:val="16"/>
                <w:szCs w:val="16"/>
              </w:rPr>
              <w:t xml:space="preserve"> </w:t>
            </w:r>
          </w:p>
          <w:p w:rsidRPr="009A1B4C" w:rsidR="007C726E" w:rsidP="007C726E" w:rsidRDefault="007C726E" w14:paraId="37F7609E" w14:textId="77777777">
            <w:pPr>
              <w:pStyle w:val="BodyText"/>
              <w:tabs>
                <w:tab w:val="left" w:pos="1168"/>
              </w:tabs>
              <w:rPr>
                <w:rFonts w:asciiTheme="minorHAnsi" w:hAnsiTheme="minorHAnsi" w:cstheme="minorHAnsi"/>
                <w:sz w:val="16"/>
                <w:szCs w:val="16"/>
              </w:rPr>
            </w:pPr>
          </w:p>
          <w:p w:rsidRPr="009A1B4C" w:rsidR="007C726E" w:rsidP="007C726E" w:rsidRDefault="007C726E" w14:paraId="28425F99"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sz w:val="16"/>
                <w:szCs w:val="16"/>
              </w:rPr>
              <w:t xml:space="preserve">Palivizumab does not interfere with the immune response to live or inactivated vaccines. The childhood immunization schedule should be followed for all children, regardless of palivizumab use. </w:t>
            </w:r>
            <w:r w:rsidRPr="009A1B4C">
              <w:rPr>
                <w:rFonts w:asciiTheme="minorHAnsi" w:hAnsiTheme="minorHAnsi" w:cstheme="minorHAnsi"/>
                <w:noProof/>
                <w:sz w:val="16"/>
                <w:szCs w:val="16"/>
              </w:rPr>
              <w:t>[10]</w:t>
            </w:r>
            <w:r w:rsidRPr="009A1B4C">
              <w:rPr>
                <w:rFonts w:asciiTheme="minorHAnsi" w:hAnsiTheme="minorHAnsi" w:cstheme="minorHAnsi"/>
                <w:sz w:val="16"/>
                <w:szCs w:val="16"/>
              </w:rPr>
              <w:t xml:space="preserve"> </w:t>
            </w:r>
          </w:p>
          <w:p w:rsidRPr="009A1B4C" w:rsidR="007C726E" w:rsidP="007C726E" w:rsidRDefault="007C726E" w14:paraId="155A2E07" w14:textId="77777777">
            <w:pPr>
              <w:pStyle w:val="BodyText"/>
              <w:tabs>
                <w:tab w:val="left" w:pos="1168"/>
              </w:tabs>
              <w:rPr>
                <w:rFonts w:asciiTheme="minorHAnsi" w:hAnsiTheme="minorHAnsi" w:cstheme="minorHAnsi"/>
                <w:sz w:val="16"/>
                <w:szCs w:val="16"/>
              </w:rPr>
            </w:pPr>
          </w:p>
          <w:p w:rsidRPr="009A1B4C" w:rsidR="007C726E" w:rsidP="007C726E" w:rsidRDefault="007C726E" w14:paraId="3FA473EC" w14:textId="77777777">
            <w:pPr>
              <w:pStyle w:val="BodyText"/>
              <w:tabs>
                <w:tab w:val="left" w:pos="1168"/>
              </w:tabs>
              <w:rPr>
                <w:rFonts w:asciiTheme="minorHAnsi" w:hAnsiTheme="minorHAnsi" w:cstheme="minorHAnsi"/>
                <w:b/>
                <w:sz w:val="16"/>
                <w:szCs w:val="16"/>
              </w:rPr>
            </w:pPr>
            <w:r w:rsidRPr="009A1B4C">
              <w:rPr>
                <w:rFonts w:asciiTheme="minorHAnsi" w:hAnsiTheme="minorHAnsi" w:cstheme="minorHAnsi"/>
                <w:b/>
                <w:sz w:val="16"/>
                <w:szCs w:val="16"/>
              </w:rPr>
              <w:t>Pharmacokinetics</w:t>
            </w:r>
          </w:p>
          <w:p w:rsidRPr="009A1B4C" w:rsidR="007C726E" w:rsidP="007C726E" w:rsidRDefault="007C726E" w14:paraId="22FFF31D"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sz w:val="16"/>
                <w:szCs w:val="16"/>
              </w:rPr>
              <w:t xml:space="preserve">A modelled pharmacokinetic study </w:t>
            </w:r>
            <w:r w:rsidRPr="009A1B4C">
              <w:rPr>
                <w:rFonts w:asciiTheme="minorHAnsi" w:hAnsiTheme="minorHAnsi" w:cstheme="minorHAnsi"/>
                <w:noProof/>
                <w:sz w:val="16"/>
                <w:szCs w:val="16"/>
              </w:rPr>
              <w:t>[11]</w:t>
            </w:r>
            <w:r w:rsidRPr="009A1B4C">
              <w:rPr>
                <w:rFonts w:asciiTheme="minorHAnsi" w:hAnsiTheme="minorHAnsi" w:cstheme="minorHAnsi"/>
                <w:sz w:val="16"/>
                <w:szCs w:val="16"/>
              </w:rPr>
              <w:t xml:space="preserve"> of palivizumab data from 22 clinical studies reported Palivizumab clearance increased slightly from 10.2 ml/day to 11.9 ml/day as a function of postnatal age ranging from 7 to 18 months. Covariate analysis indicated 20% higher clearance in children with chronic lung disease and in children with antidrug antibody titer values &gt;80. Body weight-based dosing of 15 mg/kg yielded similar palivizumab concentrations in children of different gestational and postnatal ages. There was little difference in palivizumab PK between healthy term and premature infants. Simulations found the 5 monthly palivizumab doses of 15 mg/kg, used in 2 RCTs, provided greater and more prolonged palivizumab exposure than did an abbreviated dosing regimen of 3 monthly doses.</w:t>
            </w:r>
          </w:p>
          <w:p w:rsidRPr="009A1B4C" w:rsidR="007C726E" w:rsidP="007C726E" w:rsidRDefault="007C726E" w14:paraId="501E52DC" w14:textId="77777777">
            <w:pPr>
              <w:pStyle w:val="BodyText"/>
              <w:tabs>
                <w:tab w:val="left" w:pos="1168"/>
              </w:tabs>
              <w:rPr>
                <w:rFonts w:asciiTheme="minorHAnsi" w:hAnsiTheme="minorHAnsi" w:cstheme="minorHAnsi"/>
                <w:sz w:val="16"/>
                <w:szCs w:val="16"/>
              </w:rPr>
            </w:pPr>
          </w:p>
          <w:p w:rsidRPr="009A1B4C" w:rsidR="007C726E" w:rsidP="007C726E" w:rsidRDefault="007C726E" w14:paraId="365DAC05" w14:textId="77777777">
            <w:pPr>
              <w:pStyle w:val="BodyText"/>
              <w:tabs>
                <w:tab w:val="left" w:pos="1168"/>
              </w:tabs>
              <w:rPr>
                <w:rFonts w:asciiTheme="minorHAnsi" w:hAnsiTheme="minorHAnsi" w:cstheme="minorHAnsi"/>
                <w:b/>
                <w:sz w:val="16"/>
                <w:szCs w:val="16"/>
              </w:rPr>
            </w:pPr>
            <w:r w:rsidRPr="009A1B4C">
              <w:rPr>
                <w:rFonts w:asciiTheme="minorHAnsi" w:hAnsiTheme="minorHAnsi" w:cstheme="minorHAnsi"/>
                <w:b/>
                <w:sz w:val="16"/>
                <w:szCs w:val="16"/>
              </w:rPr>
              <w:t>Cost</w:t>
            </w:r>
          </w:p>
          <w:p w:rsidRPr="009A1B4C" w:rsidR="007C726E" w:rsidP="007C726E" w:rsidRDefault="007C726E" w14:paraId="429D1D73" w14:textId="77777777">
            <w:pPr>
              <w:rPr>
                <w:rFonts w:asciiTheme="minorHAnsi" w:hAnsiTheme="minorHAnsi" w:cstheme="minorHAnsi"/>
                <w:sz w:val="16"/>
                <w:szCs w:val="16"/>
              </w:rPr>
            </w:pPr>
            <w:r w:rsidRPr="009A1B4C">
              <w:rPr>
                <w:rFonts w:asciiTheme="minorHAnsi" w:hAnsiTheme="minorHAnsi" w:cstheme="minorHAnsi"/>
                <w:sz w:val="16"/>
                <w:szCs w:val="16"/>
              </w:rPr>
              <w:t xml:space="preserve">Results from economic evaluations of palivizumab prophylaxis are inconsistent across studies, ranging from highly cost-effective to not cost-effective, implying that economic findings must be interpreted with caution. </w:t>
            </w:r>
            <w:r w:rsidRPr="009A1B4C">
              <w:rPr>
                <w:rFonts w:asciiTheme="minorHAnsi" w:hAnsiTheme="minorHAnsi" w:cstheme="minorHAnsi"/>
                <w:noProof/>
                <w:sz w:val="16"/>
                <w:szCs w:val="16"/>
              </w:rPr>
              <w:t>[2]</w:t>
            </w:r>
            <w:r w:rsidRPr="009A1B4C">
              <w:rPr>
                <w:rFonts w:asciiTheme="minorHAnsi" w:hAnsiTheme="minorHAnsi" w:cstheme="minorHAnsi"/>
                <w:sz w:val="16"/>
                <w:szCs w:val="16"/>
              </w:rPr>
              <w:t xml:space="preserve"> </w:t>
            </w:r>
          </w:p>
          <w:p w:rsidR="007C726E" w:rsidP="007C726E" w:rsidRDefault="007C726E" w14:paraId="207F9241" w14:textId="60F70B05">
            <w:pPr>
              <w:rPr>
                <w:rFonts w:asciiTheme="minorHAnsi" w:hAnsiTheme="minorHAnsi" w:cstheme="minorHAnsi"/>
                <w:sz w:val="16"/>
                <w:szCs w:val="16"/>
              </w:rPr>
            </w:pPr>
            <w:r w:rsidRPr="009A1B4C">
              <w:rPr>
                <w:rFonts w:asciiTheme="minorHAnsi" w:hAnsiTheme="minorHAnsi" w:cstheme="minorHAnsi"/>
                <w:sz w:val="16"/>
                <w:szCs w:val="16"/>
              </w:rPr>
              <w:t>The average cost of 5 doses of palivizumab for a full term male infant &lt; 1 year, based on the 50</w:t>
            </w:r>
            <w:r w:rsidRPr="009A1B4C">
              <w:rPr>
                <w:rFonts w:asciiTheme="minorHAnsi" w:hAnsiTheme="minorHAnsi" w:cstheme="minorHAnsi"/>
                <w:sz w:val="16"/>
                <w:szCs w:val="16"/>
                <w:vertAlign w:val="superscript"/>
              </w:rPr>
              <w:t>th</w:t>
            </w:r>
            <w:r w:rsidRPr="009A1B4C">
              <w:rPr>
                <w:rFonts w:asciiTheme="minorHAnsi" w:hAnsiTheme="minorHAnsi" w:cstheme="minorHAnsi"/>
                <w:sz w:val="16"/>
                <w:szCs w:val="16"/>
              </w:rPr>
              <w:t xml:space="preserve"> centile for weight, is likely to be approximately $9,323 (drug cost only, excluding outpatient clinic costs), and $14,560 for a patient between 1-2 years.  For a patient on the 3</w:t>
            </w:r>
            <w:r w:rsidRPr="009A1B4C">
              <w:rPr>
                <w:rFonts w:asciiTheme="minorHAnsi" w:hAnsiTheme="minorHAnsi" w:cstheme="minorHAnsi"/>
                <w:sz w:val="16"/>
                <w:szCs w:val="16"/>
                <w:vertAlign w:val="superscript"/>
              </w:rPr>
              <w:t>rd</w:t>
            </w:r>
            <w:r w:rsidRPr="009A1B4C">
              <w:rPr>
                <w:rFonts w:asciiTheme="minorHAnsi" w:hAnsiTheme="minorHAnsi" w:cstheme="minorHAnsi"/>
                <w:sz w:val="16"/>
                <w:szCs w:val="16"/>
              </w:rPr>
              <w:t xml:space="preserve"> centile, the average estimated cost is $8,385 &lt; 1 year, and $11,806 between 1-2 years. </w:t>
            </w:r>
            <w:r w:rsidRPr="009A1B4C">
              <w:rPr>
                <w:rFonts w:asciiTheme="minorHAnsi" w:hAnsiTheme="minorHAnsi" w:cstheme="minorHAnsi"/>
                <w:noProof/>
                <w:sz w:val="16"/>
                <w:szCs w:val="16"/>
              </w:rPr>
              <w:t>[9]</w:t>
            </w:r>
            <w:r w:rsidRPr="009A1B4C">
              <w:rPr>
                <w:rFonts w:asciiTheme="minorHAnsi" w:hAnsiTheme="minorHAnsi" w:cstheme="minorHAnsi"/>
                <w:sz w:val="16"/>
                <w:szCs w:val="16"/>
              </w:rPr>
              <w:t xml:space="preserve"> Estimated bed saving for infant age &lt;1 year age is 3.4 days and for an infant 1 to 2 years age is 2.5 days. If bed cost is assumed to be a maximum average $3500 per day, then one admission saved results in a $11900 to $8750 hospital cost saving. Estimated pharmaceutical </w:t>
            </w:r>
            <w:r w:rsidRPr="009A1B4C">
              <w:rPr>
                <w:rFonts w:asciiTheme="minorHAnsi" w:hAnsiTheme="minorHAnsi" w:cstheme="minorHAnsi"/>
                <w:sz w:val="16"/>
                <w:szCs w:val="16"/>
                <w:u w:val="single"/>
              </w:rPr>
              <w:t>only</w:t>
            </w:r>
            <w:r w:rsidRPr="009A1B4C">
              <w:rPr>
                <w:rFonts w:asciiTheme="minorHAnsi" w:hAnsiTheme="minorHAnsi" w:cstheme="minorHAnsi"/>
                <w:sz w:val="16"/>
                <w:szCs w:val="16"/>
              </w:rPr>
              <w:t xml:space="preserve"> cost of treatment is below: </w:t>
            </w:r>
          </w:p>
          <w:p w:rsidR="009A1B4C" w:rsidP="007C726E" w:rsidRDefault="009A1B4C" w14:paraId="006EAF4A" w14:textId="56181F9E">
            <w:pPr>
              <w:rPr>
                <w:rFonts w:asciiTheme="minorHAnsi" w:hAnsiTheme="minorHAnsi" w:cstheme="minorHAnsi"/>
                <w:sz w:val="16"/>
                <w:szCs w:val="16"/>
              </w:rPr>
            </w:pPr>
          </w:p>
          <w:p w:rsidR="009A1B4C" w:rsidP="007C726E" w:rsidRDefault="009A1B4C" w14:paraId="7681D570" w14:textId="6DE61488">
            <w:pPr>
              <w:rPr>
                <w:rFonts w:asciiTheme="minorHAnsi" w:hAnsiTheme="minorHAnsi" w:cstheme="minorHAnsi"/>
                <w:sz w:val="16"/>
                <w:szCs w:val="16"/>
              </w:rPr>
            </w:pPr>
          </w:p>
          <w:p w:rsidR="009A1B4C" w:rsidP="007C726E" w:rsidRDefault="009A1B4C" w14:paraId="2EAEA682" w14:textId="7D36A1DD">
            <w:pPr>
              <w:rPr>
                <w:rFonts w:asciiTheme="minorHAnsi" w:hAnsiTheme="minorHAnsi" w:cstheme="minorHAnsi"/>
                <w:sz w:val="16"/>
                <w:szCs w:val="16"/>
              </w:rPr>
            </w:pPr>
          </w:p>
          <w:p w:rsidR="009A1B4C" w:rsidP="007C726E" w:rsidRDefault="009A1B4C" w14:paraId="33EC96EB" w14:textId="16668420">
            <w:pPr>
              <w:rPr>
                <w:rFonts w:asciiTheme="minorHAnsi" w:hAnsiTheme="minorHAnsi" w:cstheme="minorHAnsi"/>
                <w:sz w:val="16"/>
                <w:szCs w:val="16"/>
              </w:rPr>
            </w:pPr>
          </w:p>
          <w:p w:rsidR="009A1B4C" w:rsidP="007C726E" w:rsidRDefault="009A1B4C" w14:paraId="75E76F6D" w14:textId="4AAAA474">
            <w:pPr>
              <w:rPr>
                <w:rFonts w:asciiTheme="minorHAnsi" w:hAnsiTheme="minorHAnsi" w:cstheme="minorHAnsi"/>
                <w:sz w:val="16"/>
                <w:szCs w:val="16"/>
              </w:rPr>
            </w:pPr>
          </w:p>
          <w:p w:rsidR="009A1B4C" w:rsidP="007C726E" w:rsidRDefault="009A1B4C" w14:paraId="0F73D9B9" w14:textId="28D13377">
            <w:pPr>
              <w:rPr>
                <w:rFonts w:asciiTheme="minorHAnsi" w:hAnsiTheme="minorHAnsi" w:cstheme="minorHAnsi"/>
                <w:sz w:val="16"/>
                <w:szCs w:val="16"/>
              </w:rPr>
            </w:pPr>
          </w:p>
          <w:p w:rsidR="009A1B4C" w:rsidP="007C726E" w:rsidRDefault="009A1B4C" w14:paraId="7CB02F19" w14:textId="25FC16F8">
            <w:pPr>
              <w:rPr>
                <w:rFonts w:asciiTheme="minorHAnsi" w:hAnsiTheme="minorHAnsi" w:cstheme="minorHAnsi"/>
                <w:sz w:val="16"/>
                <w:szCs w:val="16"/>
              </w:rPr>
            </w:pPr>
          </w:p>
          <w:p w:rsidR="009A1B4C" w:rsidP="007C726E" w:rsidRDefault="009A1B4C" w14:paraId="5309DDF7" w14:textId="3C953D93">
            <w:pPr>
              <w:rPr>
                <w:rFonts w:asciiTheme="minorHAnsi" w:hAnsiTheme="minorHAnsi" w:cstheme="minorHAnsi"/>
                <w:sz w:val="16"/>
                <w:szCs w:val="16"/>
              </w:rPr>
            </w:pPr>
          </w:p>
          <w:p w:rsidR="009A1B4C" w:rsidP="007C726E" w:rsidRDefault="009A1B4C" w14:paraId="4467F902" w14:textId="63C89BF0">
            <w:pPr>
              <w:rPr>
                <w:rFonts w:asciiTheme="minorHAnsi" w:hAnsiTheme="minorHAnsi" w:cstheme="minorHAnsi"/>
                <w:sz w:val="16"/>
                <w:szCs w:val="16"/>
              </w:rPr>
            </w:pPr>
          </w:p>
          <w:p w:rsidR="009A1B4C" w:rsidP="007C726E" w:rsidRDefault="009A1B4C" w14:paraId="22133AB4" w14:textId="56BFD02C">
            <w:pPr>
              <w:rPr>
                <w:rFonts w:asciiTheme="minorHAnsi" w:hAnsiTheme="minorHAnsi" w:cstheme="minorHAnsi"/>
                <w:sz w:val="16"/>
                <w:szCs w:val="16"/>
              </w:rPr>
            </w:pPr>
          </w:p>
          <w:p w:rsidR="009A1B4C" w:rsidP="007C726E" w:rsidRDefault="009A1B4C" w14:paraId="17A21E73" w14:textId="77777777">
            <w:pPr>
              <w:rPr>
                <w:rFonts w:asciiTheme="minorHAnsi" w:hAnsiTheme="minorHAnsi" w:cstheme="minorHAnsi"/>
                <w:sz w:val="16"/>
                <w:szCs w:val="16"/>
              </w:rPr>
            </w:pPr>
          </w:p>
          <w:p w:rsidR="009A1B4C" w:rsidP="007C726E" w:rsidRDefault="009A1B4C" w14:paraId="0B55EDBD" w14:textId="7A8E1DDC">
            <w:pPr>
              <w:rPr>
                <w:rFonts w:asciiTheme="minorHAnsi" w:hAnsiTheme="minorHAnsi" w:cstheme="minorHAnsi"/>
                <w:sz w:val="16"/>
                <w:szCs w:val="16"/>
              </w:rPr>
            </w:pPr>
          </w:p>
          <w:p w:rsidRPr="009A1B4C" w:rsidR="009A1B4C" w:rsidP="007C726E" w:rsidRDefault="009A1B4C" w14:paraId="391C7596" w14:textId="77777777">
            <w:pPr>
              <w:rPr>
                <w:rFonts w:asciiTheme="minorHAnsi" w:hAnsiTheme="minorHAnsi" w:cstheme="minorHAnsi"/>
                <w:sz w:val="16"/>
                <w:szCs w:val="16"/>
              </w:rPr>
            </w:pPr>
          </w:p>
          <w:tbl>
            <w:tblPr>
              <w:tblStyle w:val="TableGrid"/>
              <w:tblW w:w="0" w:type="auto"/>
              <w:tblLayout w:type="fixed"/>
              <w:tblLook w:val="04A0" w:firstRow="1" w:lastRow="0" w:firstColumn="1" w:lastColumn="0" w:noHBand="0" w:noVBand="1"/>
            </w:tblPr>
            <w:tblGrid>
              <w:gridCol w:w="2049"/>
              <w:gridCol w:w="1418"/>
              <w:gridCol w:w="1249"/>
              <w:gridCol w:w="1572"/>
              <w:gridCol w:w="1573"/>
            </w:tblGrid>
            <w:tr w:rsidRPr="009A1B4C" w:rsidR="007C726E" w:rsidTr="007C726E" w14:paraId="73267614" w14:textId="77777777">
              <w:tc>
                <w:tcPr>
                  <w:tcW w:w="2049" w:type="dxa"/>
                </w:tcPr>
                <w:p w:rsidRPr="009A1B4C" w:rsidR="007C726E" w:rsidP="007C726E" w:rsidRDefault="007C726E" w14:paraId="591A9A68" w14:textId="77777777">
                  <w:pPr>
                    <w:rPr>
                      <w:rFonts w:asciiTheme="minorHAnsi" w:hAnsiTheme="minorHAnsi" w:cstheme="minorHAnsi"/>
                      <w:sz w:val="16"/>
                      <w:szCs w:val="16"/>
                    </w:rPr>
                  </w:pPr>
                  <w:r w:rsidRPr="009A1B4C">
                    <w:rPr>
                      <w:rFonts w:asciiTheme="minorHAnsi" w:hAnsiTheme="minorHAnsi" w:cstheme="minorHAnsi"/>
                      <w:sz w:val="16"/>
                      <w:szCs w:val="16"/>
                    </w:rPr>
                    <w:lastRenderedPageBreak/>
                    <w:t>Population</w:t>
                  </w:r>
                </w:p>
              </w:tc>
              <w:tc>
                <w:tcPr>
                  <w:tcW w:w="1418" w:type="dxa"/>
                </w:tcPr>
                <w:p w:rsidRPr="009A1B4C" w:rsidR="007C726E" w:rsidP="007C726E" w:rsidRDefault="007C726E" w14:paraId="6CA27CF7" w14:textId="77777777">
                  <w:pPr>
                    <w:rPr>
                      <w:rFonts w:asciiTheme="minorHAnsi" w:hAnsiTheme="minorHAnsi" w:cstheme="minorHAnsi"/>
                      <w:sz w:val="16"/>
                      <w:szCs w:val="16"/>
                    </w:rPr>
                  </w:pPr>
                  <w:r w:rsidRPr="009A1B4C">
                    <w:rPr>
                      <w:rFonts w:asciiTheme="minorHAnsi" w:hAnsiTheme="minorHAnsi" w:cstheme="minorHAnsi"/>
                      <w:sz w:val="16"/>
                      <w:szCs w:val="16"/>
                    </w:rPr>
                    <w:t>RSV related admission rate per 100000</w:t>
                  </w:r>
                </w:p>
              </w:tc>
              <w:tc>
                <w:tcPr>
                  <w:tcW w:w="1249" w:type="dxa"/>
                </w:tcPr>
                <w:p w:rsidRPr="009A1B4C" w:rsidR="007C726E" w:rsidP="007C726E" w:rsidRDefault="007C726E" w14:paraId="30A1133B" w14:textId="77777777">
                  <w:pPr>
                    <w:rPr>
                      <w:rFonts w:asciiTheme="minorHAnsi" w:hAnsiTheme="minorHAnsi" w:cstheme="minorHAnsi"/>
                      <w:sz w:val="16"/>
                      <w:szCs w:val="16"/>
                    </w:rPr>
                  </w:pPr>
                  <w:r w:rsidRPr="009A1B4C">
                    <w:rPr>
                      <w:rFonts w:asciiTheme="minorHAnsi" w:hAnsiTheme="minorHAnsi" w:cstheme="minorHAnsi"/>
                      <w:sz w:val="16"/>
                      <w:szCs w:val="16"/>
                    </w:rPr>
                    <w:t>NNT to prevent one RSV related admission</w:t>
                  </w:r>
                </w:p>
              </w:tc>
              <w:tc>
                <w:tcPr>
                  <w:tcW w:w="1572" w:type="dxa"/>
                </w:tcPr>
                <w:p w:rsidRPr="009A1B4C" w:rsidR="007C726E" w:rsidP="007C726E" w:rsidRDefault="007C726E" w14:paraId="2E6B8FE2" w14:textId="77777777">
                  <w:pPr>
                    <w:rPr>
                      <w:rFonts w:asciiTheme="minorHAnsi" w:hAnsiTheme="minorHAnsi" w:cstheme="minorHAnsi"/>
                      <w:sz w:val="16"/>
                      <w:szCs w:val="16"/>
                    </w:rPr>
                  </w:pPr>
                  <w:r w:rsidRPr="009A1B4C">
                    <w:rPr>
                      <w:rFonts w:asciiTheme="minorHAnsi" w:hAnsiTheme="minorHAnsi" w:cstheme="minorHAnsi"/>
                      <w:sz w:val="16"/>
                      <w:szCs w:val="16"/>
                    </w:rPr>
                    <w:t>Cost palivizumab per admission averted 50</w:t>
                  </w:r>
                  <w:r w:rsidRPr="009A1B4C">
                    <w:rPr>
                      <w:rFonts w:asciiTheme="minorHAnsi" w:hAnsiTheme="minorHAnsi" w:cstheme="minorHAnsi"/>
                      <w:sz w:val="16"/>
                      <w:szCs w:val="16"/>
                      <w:vertAlign w:val="superscript"/>
                    </w:rPr>
                    <w:t>th</w:t>
                  </w:r>
                  <w:r w:rsidRPr="009A1B4C">
                    <w:rPr>
                      <w:rFonts w:asciiTheme="minorHAnsi" w:hAnsiTheme="minorHAnsi" w:cstheme="minorHAnsi"/>
                      <w:sz w:val="16"/>
                      <w:szCs w:val="16"/>
                    </w:rPr>
                    <w:t xml:space="preserve"> centile &lt;1 year $9,323; 1-2 years $14,560 </w:t>
                  </w:r>
                  <w:r w:rsidRPr="009A1B4C">
                    <w:rPr>
                      <w:rFonts w:asciiTheme="minorHAnsi" w:hAnsiTheme="minorHAnsi" w:cstheme="minorHAnsi"/>
                      <w:noProof/>
                      <w:sz w:val="16"/>
                      <w:szCs w:val="16"/>
                    </w:rPr>
                    <w:t>[9]</w:t>
                  </w:r>
                </w:p>
              </w:tc>
              <w:tc>
                <w:tcPr>
                  <w:tcW w:w="1573" w:type="dxa"/>
                </w:tcPr>
                <w:p w:rsidRPr="009A1B4C" w:rsidR="007C726E" w:rsidP="007C726E" w:rsidRDefault="007C726E" w14:paraId="6F7B9595" w14:textId="77777777">
                  <w:pPr>
                    <w:rPr>
                      <w:rFonts w:asciiTheme="minorHAnsi" w:hAnsiTheme="minorHAnsi" w:cstheme="minorHAnsi"/>
                      <w:sz w:val="16"/>
                      <w:szCs w:val="16"/>
                    </w:rPr>
                  </w:pPr>
                  <w:r w:rsidRPr="009A1B4C">
                    <w:rPr>
                      <w:rFonts w:asciiTheme="minorHAnsi" w:hAnsiTheme="minorHAnsi" w:cstheme="minorHAnsi"/>
                      <w:sz w:val="16"/>
                      <w:szCs w:val="16"/>
                    </w:rPr>
                    <w:t>Cost palivizumab per admission averted 3</w:t>
                  </w:r>
                  <w:r w:rsidRPr="009A1B4C">
                    <w:rPr>
                      <w:rFonts w:asciiTheme="minorHAnsi" w:hAnsiTheme="minorHAnsi" w:cstheme="minorHAnsi"/>
                      <w:sz w:val="16"/>
                      <w:szCs w:val="16"/>
                      <w:vertAlign w:val="superscript"/>
                    </w:rPr>
                    <w:t>rd</w:t>
                  </w:r>
                  <w:r w:rsidRPr="009A1B4C">
                    <w:rPr>
                      <w:rFonts w:asciiTheme="minorHAnsi" w:hAnsiTheme="minorHAnsi" w:cstheme="minorHAnsi"/>
                      <w:sz w:val="16"/>
                      <w:szCs w:val="16"/>
                    </w:rPr>
                    <w:t xml:space="preserve"> centile &lt;1 year $8,385; 1-2 years$11,806 </w:t>
                  </w:r>
                  <w:r w:rsidRPr="009A1B4C">
                    <w:rPr>
                      <w:rFonts w:asciiTheme="minorHAnsi" w:hAnsiTheme="minorHAnsi" w:cstheme="minorHAnsi"/>
                      <w:noProof/>
                      <w:sz w:val="16"/>
                      <w:szCs w:val="16"/>
                    </w:rPr>
                    <w:t>[9]</w:t>
                  </w:r>
                </w:p>
              </w:tc>
            </w:tr>
            <w:tr w:rsidRPr="009A1B4C" w:rsidR="007C726E" w:rsidTr="007C726E" w14:paraId="78E9295D" w14:textId="77777777">
              <w:tc>
                <w:tcPr>
                  <w:tcW w:w="2049" w:type="dxa"/>
                  <w:shd w:val="clear" w:color="auto" w:fill="92D050"/>
                </w:tcPr>
                <w:p w:rsidRPr="009A1B4C" w:rsidR="007C726E" w:rsidP="007C726E" w:rsidRDefault="007C726E" w14:paraId="258CCE56" w14:textId="77777777">
                  <w:pPr>
                    <w:rPr>
                      <w:rFonts w:asciiTheme="minorHAnsi" w:hAnsiTheme="minorHAnsi" w:cstheme="minorHAnsi"/>
                      <w:sz w:val="16"/>
                      <w:szCs w:val="16"/>
                    </w:rPr>
                  </w:pPr>
                  <w:r w:rsidRPr="009A1B4C">
                    <w:rPr>
                      <w:rFonts w:asciiTheme="minorHAnsi" w:hAnsiTheme="minorHAnsi" w:cstheme="minorHAnsi"/>
                      <w:sz w:val="16"/>
                      <w:szCs w:val="16"/>
                    </w:rPr>
                    <w:t xml:space="preserve">Infants with CLD 0 to &lt;6 months age </w:t>
                  </w:r>
                  <w:r w:rsidRPr="009A1B4C">
                    <w:rPr>
                      <w:rFonts w:asciiTheme="minorHAnsi" w:hAnsiTheme="minorHAnsi" w:cstheme="minorHAnsi"/>
                      <w:noProof/>
                      <w:sz w:val="16"/>
                      <w:szCs w:val="16"/>
                    </w:rPr>
                    <w:t>[9]</w:t>
                  </w:r>
                </w:p>
              </w:tc>
              <w:tc>
                <w:tcPr>
                  <w:tcW w:w="1418" w:type="dxa"/>
                  <w:shd w:val="clear" w:color="auto" w:fill="92D050"/>
                </w:tcPr>
                <w:p w:rsidRPr="009A1B4C" w:rsidR="007C726E" w:rsidP="007C726E" w:rsidRDefault="007C726E" w14:paraId="25D47077" w14:textId="77777777">
                  <w:pPr>
                    <w:rPr>
                      <w:rFonts w:asciiTheme="minorHAnsi" w:hAnsiTheme="minorHAnsi" w:cstheme="minorHAnsi"/>
                      <w:sz w:val="16"/>
                      <w:szCs w:val="16"/>
                    </w:rPr>
                  </w:pPr>
                  <w:r w:rsidRPr="009A1B4C">
                    <w:rPr>
                      <w:rFonts w:asciiTheme="minorHAnsi" w:hAnsiTheme="minorHAnsi" w:cstheme="minorHAnsi"/>
                      <w:sz w:val="16"/>
                      <w:szCs w:val="16"/>
                    </w:rPr>
                    <w:t>56250</w:t>
                  </w:r>
                </w:p>
              </w:tc>
              <w:tc>
                <w:tcPr>
                  <w:tcW w:w="1249" w:type="dxa"/>
                  <w:shd w:val="clear" w:color="auto" w:fill="92D050"/>
                </w:tcPr>
                <w:p w:rsidRPr="009A1B4C" w:rsidR="007C726E" w:rsidP="007C726E" w:rsidRDefault="007C726E" w14:paraId="61EB5A0C" w14:textId="77777777">
                  <w:pPr>
                    <w:rPr>
                      <w:rFonts w:asciiTheme="minorHAnsi" w:hAnsiTheme="minorHAnsi" w:cstheme="minorHAnsi"/>
                      <w:sz w:val="16"/>
                      <w:szCs w:val="16"/>
                    </w:rPr>
                  </w:pPr>
                  <w:r w:rsidRPr="009A1B4C">
                    <w:rPr>
                      <w:rFonts w:asciiTheme="minorHAnsi" w:hAnsiTheme="minorHAnsi" w:cstheme="minorHAnsi"/>
                      <w:sz w:val="16"/>
                      <w:szCs w:val="16"/>
                    </w:rPr>
                    <w:t>4</w:t>
                  </w:r>
                </w:p>
              </w:tc>
              <w:tc>
                <w:tcPr>
                  <w:tcW w:w="1572" w:type="dxa"/>
                  <w:shd w:val="clear" w:color="auto" w:fill="92D050"/>
                </w:tcPr>
                <w:p w:rsidRPr="009A1B4C" w:rsidR="007C726E" w:rsidP="007C726E" w:rsidRDefault="007C726E" w14:paraId="1CEA6FE1" w14:textId="77777777">
                  <w:pPr>
                    <w:rPr>
                      <w:rFonts w:asciiTheme="minorHAnsi" w:hAnsiTheme="minorHAnsi" w:cstheme="minorHAnsi"/>
                      <w:sz w:val="16"/>
                      <w:szCs w:val="16"/>
                    </w:rPr>
                  </w:pPr>
                  <w:r w:rsidRPr="009A1B4C">
                    <w:rPr>
                      <w:rFonts w:asciiTheme="minorHAnsi" w:hAnsiTheme="minorHAnsi" w:cstheme="minorHAnsi"/>
                      <w:sz w:val="16"/>
                      <w:szCs w:val="16"/>
                    </w:rPr>
                    <w:t>37292</w:t>
                  </w:r>
                </w:p>
              </w:tc>
              <w:tc>
                <w:tcPr>
                  <w:tcW w:w="1573" w:type="dxa"/>
                  <w:shd w:val="clear" w:color="auto" w:fill="92D050"/>
                </w:tcPr>
                <w:p w:rsidRPr="009A1B4C" w:rsidR="007C726E" w:rsidP="007C726E" w:rsidRDefault="007C726E" w14:paraId="68D2C554" w14:textId="77777777">
                  <w:pPr>
                    <w:rPr>
                      <w:rFonts w:asciiTheme="minorHAnsi" w:hAnsiTheme="minorHAnsi" w:cstheme="minorHAnsi"/>
                      <w:sz w:val="16"/>
                      <w:szCs w:val="16"/>
                    </w:rPr>
                  </w:pPr>
                  <w:r w:rsidRPr="009A1B4C">
                    <w:rPr>
                      <w:rFonts w:asciiTheme="minorHAnsi" w:hAnsiTheme="minorHAnsi" w:cstheme="minorHAnsi"/>
                      <w:sz w:val="16"/>
                      <w:szCs w:val="16"/>
                    </w:rPr>
                    <w:t>33540</w:t>
                  </w:r>
                </w:p>
              </w:tc>
            </w:tr>
            <w:tr w:rsidRPr="009A1B4C" w:rsidR="007C726E" w:rsidTr="007C726E" w14:paraId="4140CC7C" w14:textId="77777777">
              <w:tc>
                <w:tcPr>
                  <w:tcW w:w="2049" w:type="dxa"/>
                  <w:shd w:val="clear" w:color="auto" w:fill="92D050"/>
                </w:tcPr>
                <w:p w:rsidRPr="009A1B4C" w:rsidR="007C726E" w:rsidP="007C726E" w:rsidRDefault="007C726E" w14:paraId="23E4CCAC" w14:textId="77777777">
                  <w:pPr>
                    <w:rPr>
                      <w:rFonts w:asciiTheme="minorHAnsi" w:hAnsiTheme="minorHAnsi" w:cstheme="minorHAnsi"/>
                      <w:sz w:val="16"/>
                      <w:szCs w:val="16"/>
                    </w:rPr>
                  </w:pPr>
                  <w:r w:rsidRPr="009A1B4C">
                    <w:rPr>
                      <w:rFonts w:asciiTheme="minorHAnsi" w:hAnsiTheme="minorHAnsi" w:cstheme="minorHAnsi"/>
                      <w:sz w:val="16"/>
                      <w:szCs w:val="16"/>
                    </w:rPr>
                    <w:t xml:space="preserve">Infants with CLD 6 to &lt;12 months age </w:t>
                  </w:r>
                  <w:r w:rsidRPr="009A1B4C">
                    <w:rPr>
                      <w:rFonts w:asciiTheme="minorHAnsi" w:hAnsiTheme="minorHAnsi" w:cstheme="minorHAnsi"/>
                      <w:noProof/>
                      <w:sz w:val="16"/>
                      <w:szCs w:val="16"/>
                    </w:rPr>
                    <w:t>[9]</w:t>
                  </w:r>
                </w:p>
              </w:tc>
              <w:tc>
                <w:tcPr>
                  <w:tcW w:w="1418" w:type="dxa"/>
                  <w:shd w:val="clear" w:color="auto" w:fill="92D050"/>
                </w:tcPr>
                <w:p w:rsidRPr="009A1B4C" w:rsidR="007C726E" w:rsidP="007C726E" w:rsidRDefault="007C726E" w14:paraId="1B8CADF1" w14:textId="77777777">
                  <w:pPr>
                    <w:rPr>
                      <w:rFonts w:asciiTheme="minorHAnsi" w:hAnsiTheme="minorHAnsi" w:cstheme="minorHAnsi"/>
                      <w:sz w:val="16"/>
                      <w:szCs w:val="16"/>
                    </w:rPr>
                  </w:pPr>
                  <w:r w:rsidRPr="009A1B4C">
                    <w:rPr>
                      <w:rFonts w:asciiTheme="minorHAnsi" w:hAnsiTheme="minorHAnsi" w:cstheme="minorHAnsi"/>
                      <w:sz w:val="16"/>
                      <w:szCs w:val="16"/>
                    </w:rPr>
                    <w:t>21430</w:t>
                  </w:r>
                </w:p>
              </w:tc>
              <w:tc>
                <w:tcPr>
                  <w:tcW w:w="1249" w:type="dxa"/>
                  <w:shd w:val="clear" w:color="auto" w:fill="92D050"/>
                </w:tcPr>
                <w:p w:rsidRPr="009A1B4C" w:rsidR="007C726E" w:rsidP="007C726E" w:rsidRDefault="007C726E" w14:paraId="7EF9A6A7" w14:textId="77777777">
                  <w:pPr>
                    <w:rPr>
                      <w:rFonts w:asciiTheme="minorHAnsi" w:hAnsiTheme="minorHAnsi" w:cstheme="minorHAnsi"/>
                      <w:sz w:val="16"/>
                      <w:szCs w:val="16"/>
                    </w:rPr>
                  </w:pPr>
                  <w:r w:rsidRPr="009A1B4C">
                    <w:rPr>
                      <w:rFonts w:asciiTheme="minorHAnsi" w:hAnsiTheme="minorHAnsi" w:cstheme="minorHAnsi"/>
                      <w:sz w:val="16"/>
                      <w:szCs w:val="16"/>
                    </w:rPr>
                    <w:t>9</w:t>
                  </w:r>
                </w:p>
              </w:tc>
              <w:tc>
                <w:tcPr>
                  <w:tcW w:w="1572" w:type="dxa"/>
                  <w:shd w:val="clear" w:color="auto" w:fill="92D050"/>
                </w:tcPr>
                <w:p w:rsidRPr="009A1B4C" w:rsidR="007C726E" w:rsidP="007C726E" w:rsidRDefault="007C726E" w14:paraId="4A7B4609" w14:textId="77777777">
                  <w:pPr>
                    <w:rPr>
                      <w:rFonts w:asciiTheme="minorHAnsi" w:hAnsiTheme="minorHAnsi" w:cstheme="minorHAnsi"/>
                      <w:sz w:val="16"/>
                      <w:szCs w:val="16"/>
                    </w:rPr>
                  </w:pPr>
                  <w:r w:rsidRPr="009A1B4C">
                    <w:rPr>
                      <w:rFonts w:asciiTheme="minorHAnsi" w:hAnsiTheme="minorHAnsi" w:cstheme="minorHAnsi"/>
                      <w:sz w:val="16"/>
                      <w:szCs w:val="16"/>
                    </w:rPr>
                    <w:t>83907</w:t>
                  </w:r>
                </w:p>
              </w:tc>
              <w:tc>
                <w:tcPr>
                  <w:tcW w:w="1573" w:type="dxa"/>
                  <w:shd w:val="clear" w:color="auto" w:fill="92D050"/>
                </w:tcPr>
                <w:p w:rsidRPr="009A1B4C" w:rsidR="007C726E" w:rsidP="007C726E" w:rsidRDefault="007C726E" w14:paraId="763A9A5D" w14:textId="77777777">
                  <w:pPr>
                    <w:rPr>
                      <w:rFonts w:asciiTheme="minorHAnsi" w:hAnsiTheme="minorHAnsi" w:cstheme="minorHAnsi"/>
                      <w:sz w:val="16"/>
                      <w:szCs w:val="16"/>
                    </w:rPr>
                  </w:pPr>
                  <w:r w:rsidRPr="009A1B4C">
                    <w:rPr>
                      <w:rFonts w:asciiTheme="minorHAnsi" w:hAnsiTheme="minorHAnsi" w:cstheme="minorHAnsi"/>
                      <w:sz w:val="16"/>
                      <w:szCs w:val="16"/>
                    </w:rPr>
                    <w:t>75465</w:t>
                  </w:r>
                </w:p>
              </w:tc>
            </w:tr>
            <w:tr w:rsidRPr="009A1B4C" w:rsidR="007C726E" w:rsidTr="007C726E" w14:paraId="518CDE07" w14:textId="77777777">
              <w:tc>
                <w:tcPr>
                  <w:tcW w:w="2049" w:type="dxa"/>
                </w:tcPr>
                <w:p w:rsidRPr="009A1B4C" w:rsidR="007C726E" w:rsidP="007C726E" w:rsidRDefault="007C726E" w14:paraId="6DF17DB2" w14:textId="77777777">
                  <w:pPr>
                    <w:rPr>
                      <w:rFonts w:asciiTheme="minorHAnsi" w:hAnsiTheme="minorHAnsi" w:cstheme="minorHAnsi"/>
                      <w:sz w:val="16"/>
                      <w:szCs w:val="16"/>
                    </w:rPr>
                  </w:pPr>
                  <w:r w:rsidRPr="009A1B4C">
                    <w:rPr>
                      <w:rFonts w:asciiTheme="minorHAnsi" w:hAnsiTheme="minorHAnsi" w:cstheme="minorHAnsi"/>
                      <w:sz w:val="16"/>
                      <w:szCs w:val="16"/>
                    </w:rPr>
                    <w:t xml:space="preserve">Infants with CLD 12 to &lt;24 months age </w:t>
                  </w:r>
                  <w:r w:rsidRPr="009A1B4C">
                    <w:rPr>
                      <w:rFonts w:asciiTheme="minorHAnsi" w:hAnsiTheme="minorHAnsi" w:cstheme="minorHAnsi"/>
                      <w:noProof/>
                      <w:sz w:val="16"/>
                      <w:szCs w:val="16"/>
                    </w:rPr>
                    <w:t>[9]</w:t>
                  </w:r>
                </w:p>
              </w:tc>
              <w:tc>
                <w:tcPr>
                  <w:tcW w:w="1418" w:type="dxa"/>
                </w:tcPr>
                <w:p w:rsidRPr="009A1B4C" w:rsidR="007C726E" w:rsidP="007C726E" w:rsidRDefault="007C726E" w14:paraId="64700EE5" w14:textId="77777777">
                  <w:pPr>
                    <w:rPr>
                      <w:rFonts w:asciiTheme="minorHAnsi" w:hAnsiTheme="minorHAnsi" w:cstheme="minorHAnsi"/>
                      <w:sz w:val="16"/>
                      <w:szCs w:val="16"/>
                    </w:rPr>
                  </w:pPr>
                  <w:r w:rsidRPr="009A1B4C">
                    <w:rPr>
                      <w:rFonts w:asciiTheme="minorHAnsi" w:hAnsiTheme="minorHAnsi" w:cstheme="minorHAnsi"/>
                      <w:sz w:val="16"/>
                      <w:szCs w:val="16"/>
                    </w:rPr>
                    <w:t>7340</w:t>
                  </w:r>
                </w:p>
              </w:tc>
              <w:tc>
                <w:tcPr>
                  <w:tcW w:w="1249" w:type="dxa"/>
                </w:tcPr>
                <w:p w:rsidRPr="009A1B4C" w:rsidR="007C726E" w:rsidP="007C726E" w:rsidRDefault="007C726E" w14:paraId="39F86380" w14:textId="77777777">
                  <w:pPr>
                    <w:rPr>
                      <w:rFonts w:asciiTheme="minorHAnsi" w:hAnsiTheme="minorHAnsi" w:cstheme="minorHAnsi"/>
                      <w:sz w:val="16"/>
                      <w:szCs w:val="16"/>
                    </w:rPr>
                  </w:pPr>
                  <w:r w:rsidRPr="009A1B4C">
                    <w:rPr>
                      <w:rFonts w:asciiTheme="minorHAnsi" w:hAnsiTheme="minorHAnsi" w:cstheme="minorHAnsi"/>
                      <w:sz w:val="16"/>
                      <w:szCs w:val="16"/>
                    </w:rPr>
                    <w:t>27</w:t>
                  </w:r>
                </w:p>
              </w:tc>
              <w:tc>
                <w:tcPr>
                  <w:tcW w:w="1572" w:type="dxa"/>
                </w:tcPr>
                <w:p w:rsidRPr="009A1B4C" w:rsidR="007C726E" w:rsidP="007C726E" w:rsidRDefault="007C726E" w14:paraId="090DE618" w14:textId="77777777">
                  <w:pPr>
                    <w:rPr>
                      <w:rFonts w:asciiTheme="minorHAnsi" w:hAnsiTheme="minorHAnsi" w:cstheme="minorHAnsi"/>
                      <w:sz w:val="16"/>
                      <w:szCs w:val="16"/>
                    </w:rPr>
                  </w:pPr>
                  <w:r w:rsidRPr="009A1B4C">
                    <w:rPr>
                      <w:rFonts w:asciiTheme="minorHAnsi" w:hAnsiTheme="minorHAnsi" w:cstheme="minorHAnsi"/>
                      <w:sz w:val="16"/>
                      <w:szCs w:val="16"/>
                    </w:rPr>
                    <w:t>393120</w:t>
                  </w:r>
                </w:p>
              </w:tc>
              <w:tc>
                <w:tcPr>
                  <w:tcW w:w="1573" w:type="dxa"/>
                </w:tcPr>
                <w:p w:rsidRPr="009A1B4C" w:rsidR="007C726E" w:rsidP="007C726E" w:rsidRDefault="007C726E" w14:paraId="7540C9DB" w14:textId="77777777">
                  <w:pPr>
                    <w:rPr>
                      <w:rFonts w:asciiTheme="minorHAnsi" w:hAnsiTheme="minorHAnsi" w:cstheme="minorHAnsi"/>
                      <w:sz w:val="16"/>
                      <w:szCs w:val="16"/>
                    </w:rPr>
                  </w:pPr>
                  <w:r w:rsidRPr="009A1B4C">
                    <w:rPr>
                      <w:rFonts w:asciiTheme="minorHAnsi" w:hAnsiTheme="minorHAnsi" w:cstheme="minorHAnsi"/>
                      <w:sz w:val="16"/>
                      <w:szCs w:val="16"/>
                    </w:rPr>
                    <w:t>318762</w:t>
                  </w:r>
                </w:p>
              </w:tc>
            </w:tr>
            <w:tr w:rsidRPr="009A1B4C" w:rsidR="007C726E" w:rsidTr="007C726E" w14:paraId="2B3E4046" w14:textId="77777777">
              <w:tc>
                <w:tcPr>
                  <w:tcW w:w="2049" w:type="dxa"/>
                  <w:shd w:val="clear" w:color="auto" w:fill="FFC000"/>
                </w:tcPr>
                <w:p w:rsidRPr="009A1B4C" w:rsidR="007C726E" w:rsidP="007C726E" w:rsidRDefault="007C726E" w14:paraId="242E9BF8" w14:textId="77777777">
                  <w:pPr>
                    <w:rPr>
                      <w:rFonts w:asciiTheme="minorHAnsi" w:hAnsiTheme="minorHAnsi" w:cstheme="minorHAnsi"/>
                      <w:sz w:val="16"/>
                      <w:szCs w:val="16"/>
                    </w:rPr>
                  </w:pPr>
                  <w:r w:rsidRPr="009A1B4C">
                    <w:rPr>
                      <w:rFonts w:asciiTheme="minorHAnsi" w:hAnsiTheme="minorHAnsi" w:cstheme="minorHAnsi"/>
                      <w:sz w:val="16"/>
                      <w:szCs w:val="16"/>
                    </w:rPr>
                    <w:t xml:space="preserve">≤26 weeks gestation </w:t>
                  </w:r>
                  <w:r w:rsidRPr="009A1B4C">
                    <w:rPr>
                      <w:rFonts w:asciiTheme="minorHAnsi" w:hAnsiTheme="minorHAnsi" w:cstheme="minorHAnsi"/>
                      <w:noProof/>
                      <w:sz w:val="16"/>
                      <w:szCs w:val="16"/>
                    </w:rPr>
                    <w:t>[9]</w:t>
                  </w:r>
                </w:p>
              </w:tc>
              <w:tc>
                <w:tcPr>
                  <w:tcW w:w="1418" w:type="dxa"/>
                  <w:shd w:val="clear" w:color="auto" w:fill="FFC000"/>
                </w:tcPr>
                <w:p w:rsidRPr="009A1B4C" w:rsidR="007C726E" w:rsidP="007C726E" w:rsidRDefault="007C726E" w14:paraId="2B224260" w14:textId="77777777">
                  <w:pPr>
                    <w:rPr>
                      <w:rFonts w:asciiTheme="minorHAnsi" w:hAnsiTheme="minorHAnsi" w:cstheme="minorHAnsi"/>
                      <w:sz w:val="16"/>
                      <w:szCs w:val="16"/>
                    </w:rPr>
                  </w:pPr>
                  <w:r w:rsidRPr="009A1B4C">
                    <w:rPr>
                      <w:rFonts w:asciiTheme="minorHAnsi" w:hAnsiTheme="minorHAnsi" w:cstheme="minorHAnsi"/>
                      <w:sz w:val="16"/>
                      <w:szCs w:val="16"/>
                    </w:rPr>
                    <w:t>13900</w:t>
                  </w:r>
                </w:p>
              </w:tc>
              <w:tc>
                <w:tcPr>
                  <w:tcW w:w="1249" w:type="dxa"/>
                  <w:shd w:val="clear" w:color="auto" w:fill="FFC000"/>
                </w:tcPr>
                <w:p w:rsidRPr="009A1B4C" w:rsidR="007C726E" w:rsidP="007C726E" w:rsidRDefault="007C726E" w14:paraId="5C592913" w14:textId="77777777">
                  <w:pPr>
                    <w:rPr>
                      <w:rFonts w:asciiTheme="minorHAnsi" w:hAnsiTheme="minorHAnsi" w:cstheme="minorHAnsi"/>
                      <w:sz w:val="16"/>
                      <w:szCs w:val="16"/>
                    </w:rPr>
                  </w:pPr>
                  <w:r w:rsidRPr="009A1B4C">
                    <w:rPr>
                      <w:rFonts w:asciiTheme="minorHAnsi" w:hAnsiTheme="minorHAnsi" w:cstheme="minorHAnsi"/>
                      <w:sz w:val="16"/>
                      <w:szCs w:val="16"/>
                    </w:rPr>
                    <w:t>14</w:t>
                  </w:r>
                </w:p>
              </w:tc>
              <w:tc>
                <w:tcPr>
                  <w:tcW w:w="1572" w:type="dxa"/>
                  <w:shd w:val="clear" w:color="auto" w:fill="FFC000"/>
                </w:tcPr>
                <w:p w:rsidRPr="009A1B4C" w:rsidR="007C726E" w:rsidP="007C726E" w:rsidRDefault="007C726E" w14:paraId="6389B3B0" w14:textId="77777777">
                  <w:pPr>
                    <w:rPr>
                      <w:rFonts w:asciiTheme="minorHAnsi" w:hAnsiTheme="minorHAnsi" w:cstheme="minorHAnsi"/>
                      <w:sz w:val="16"/>
                      <w:szCs w:val="16"/>
                    </w:rPr>
                  </w:pPr>
                  <w:r w:rsidRPr="009A1B4C">
                    <w:rPr>
                      <w:rFonts w:asciiTheme="minorHAnsi" w:hAnsiTheme="minorHAnsi" w:cstheme="minorHAnsi"/>
                      <w:sz w:val="16"/>
                      <w:szCs w:val="16"/>
                    </w:rPr>
                    <w:t>130522</w:t>
                  </w:r>
                </w:p>
              </w:tc>
              <w:tc>
                <w:tcPr>
                  <w:tcW w:w="1573" w:type="dxa"/>
                  <w:shd w:val="clear" w:color="auto" w:fill="FFC000"/>
                </w:tcPr>
                <w:p w:rsidRPr="009A1B4C" w:rsidR="007C726E" w:rsidP="007C726E" w:rsidRDefault="007C726E" w14:paraId="34BF5575" w14:textId="77777777">
                  <w:pPr>
                    <w:rPr>
                      <w:rFonts w:asciiTheme="minorHAnsi" w:hAnsiTheme="minorHAnsi" w:cstheme="minorHAnsi"/>
                      <w:sz w:val="16"/>
                      <w:szCs w:val="16"/>
                    </w:rPr>
                  </w:pPr>
                  <w:r w:rsidRPr="009A1B4C">
                    <w:rPr>
                      <w:rFonts w:asciiTheme="minorHAnsi" w:hAnsiTheme="minorHAnsi" w:cstheme="minorHAnsi"/>
                      <w:sz w:val="16"/>
                      <w:szCs w:val="16"/>
                    </w:rPr>
                    <w:t>117390</w:t>
                  </w:r>
                </w:p>
              </w:tc>
            </w:tr>
            <w:tr w:rsidRPr="009A1B4C" w:rsidR="007C726E" w:rsidTr="007C726E" w14:paraId="620A153F" w14:textId="77777777">
              <w:tc>
                <w:tcPr>
                  <w:tcW w:w="2049" w:type="dxa"/>
                  <w:shd w:val="clear" w:color="auto" w:fill="FFC000"/>
                </w:tcPr>
                <w:p w:rsidRPr="009A1B4C" w:rsidR="007C726E" w:rsidP="007C726E" w:rsidRDefault="007C726E" w14:paraId="0E347DF2" w14:textId="77777777">
                  <w:pPr>
                    <w:rPr>
                      <w:rFonts w:asciiTheme="minorHAnsi" w:hAnsiTheme="minorHAnsi" w:cstheme="minorHAnsi"/>
                      <w:sz w:val="16"/>
                      <w:szCs w:val="16"/>
                    </w:rPr>
                  </w:pPr>
                  <w:r w:rsidRPr="009A1B4C">
                    <w:rPr>
                      <w:rFonts w:asciiTheme="minorHAnsi" w:hAnsiTheme="minorHAnsi" w:cstheme="minorHAnsi"/>
                      <w:sz w:val="16"/>
                      <w:szCs w:val="16"/>
                    </w:rPr>
                    <w:t xml:space="preserve">Infants with CHD 0 to &lt;6 months </w:t>
                  </w:r>
                  <w:r w:rsidRPr="009A1B4C">
                    <w:rPr>
                      <w:rFonts w:asciiTheme="minorHAnsi" w:hAnsiTheme="minorHAnsi" w:cstheme="minorHAnsi"/>
                      <w:noProof/>
                      <w:sz w:val="16"/>
                      <w:szCs w:val="16"/>
                    </w:rPr>
                    <w:t>[9]</w:t>
                  </w:r>
                </w:p>
              </w:tc>
              <w:tc>
                <w:tcPr>
                  <w:tcW w:w="1418" w:type="dxa"/>
                  <w:shd w:val="clear" w:color="auto" w:fill="FFC000"/>
                </w:tcPr>
                <w:p w:rsidRPr="009A1B4C" w:rsidR="007C726E" w:rsidP="007C726E" w:rsidRDefault="007C726E" w14:paraId="0ED06F74" w14:textId="77777777">
                  <w:pPr>
                    <w:rPr>
                      <w:rFonts w:asciiTheme="minorHAnsi" w:hAnsiTheme="minorHAnsi" w:cstheme="minorHAnsi"/>
                      <w:sz w:val="16"/>
                      <w:szCs w:val="16"/>
                    </w:rPr>
                  </w:pPr>
                  <w:r w:rsidRPr="009A1B4C">
                    <w:rPr>
                      <w:rFonts w:asciiTheme="minorHAnsi" w:hAnsiTheme="minorHAnsi" w:cstheme="minorHAnsi"/>
                      <w:sz w:val="16"/>
                      <w:szCs w:val="16"/>
                    </w:rPr>
                    <w:t>12080</w:t>
                  </w:r>
                </w:p>
              </w:tc>
              <w:tc>
                <w:tcPr>
                  <w:tcW w:w="1249" w:type="dxa"/>
                  <w:shd w:val="clear" w:color="auto" w:fill="FFC000"/>
                </w:tcPr>
                <w:p w:rsidRPr="009A1B4C" w:rsidR="007C726E" w:rsidP="007C726E" w:rsidRDefault="007C726E" w14:paraId="6D507401" w14:textId="77777777">
                  <w:pPr>
                    <w:rPr>
                      <w:rFonts w:asciiTheme="minorHAnsi" w:hAnsiTheme="minorHAnsi" w:cstheme="minorHAnsi"/>
                      <w:sz w:val="16"/>
                      <w:szCs w:val="16"/>
                    </w:rPr>
                  </w:pPr>
                  <w:r w:rsidRPr="009A1B4C">
                    <w:rPr>
                      <w:rFonts w:asciiTheme="minorHAnsi" w:hAnsiTheme="minorHAnsi" w:cstheme="minorHAnsi"/>
                      <w:sz w:val="16"/>
                      <w:szCs w:val="16"/>
                    </w:rPr>
                    <w:t>17</w:t>
                  </w:r>
                </w:p>
              </w:tc>
              <w:tc>
                <w:tcPr>
                  <w:tcW w:w="1572" w:type="dxa"/>
                  <w:shd w:val="clear" w:color="auto" w:fill="FFC000"/>
                </w:tcPr>
                <w:p w:rsidRPr="009A1B4C" w:rsidR="007C726E" w:rsidP="007C726E" w:rsidRDefault="007C726E" w14:paraId="427F336A" w14:textId="77777777">
                  <w:pPr>
                    <w:rPr>
                      <w:rFonts w:asciiTheme="minorHAnsi" w:hAnsiTheme="minorHAnsi" w:cstheme="minorHAnsi"/>
                      <w:sz w:val="16"/>
                      <w:szCs w:val="16"/>
                    </w:rPr>
                  </w:pPr>
                  <w:r w:rsidRPr="009A1B4C">
                    <w:rPr>
                      <w:rFonts w:asciiTheme="minorHAnsi" w:hAnsiTheme="minorHAnsi" w:cstheme="minorHAnsi"/>
                      <w:sz w:val="16"/>
                      <w:szCs w:val="16"/>
                    </w:rPr>
                    <w:t>158491</w:t>
                  </w:r>
                </w:p>
              </w:tc>
              <w:tc>
                <w:tcPr>
                  <w:tcW w:w="1573" w:type="dxa"/>
                  <w:shd w:val="clear" w:color="auto" w:fill="FFC000"/>
                </w:tcPr>
                <w:p w:rsidRPr="009A1B4C" w:rsidR="007C726E" w:rsidP="007C726E" w:rsidRDefault="007C726E" w14:paraId="24E43676" w14:textId="77777777">
                  <w:pPr>
                    <w:rPr>
                      <w:rFonts w:asciiTheme="minorHAnsi" w:hAnsiTheme="minorHAnsi" w:cstheme="minorHAnsi"/>
                      <w:sz w:val="16"/>
                      <w:szCs w:val="16"/>
                    </w:rPr>
                  </w:pPr>
                  <w:r w:rsidRPr="009A1B4C">
                    <w:rPr>
                      <w:rFonts w:asciiTheme="minorHAnsi" w:hAnsiTheme="minorHAnsi" w:cstheme="minorHAnsi"/>
                      <w:sz w:val="16"/>
                      <w:szCs w:val="16"/>
                    </w:rPr>
                    <w:t>142545</w:t>
                  </w:r>
                </w:p>
              </w:tc>
            </w:tr>
            <w:tr w:rsidRPr="009A1B4C" w:rsidR="007C726E" w:rsidTr="007C726E" w14:paraId="5069FBEF" w14:textId="77777777">
              <w:tc>
                <w:tcPr>
                  <w:tcW w:w="2049" w:type="dxa"/>
                </w:tcPr>
                <w:p w:rsidRPr="009A1B4C" w:rsidR="007C726E" w:rsidP="007C726E" w:rsidRDefault="007C726E" w14:paraId="37DDFD8F" w14:textId="77777777">
                  <w:pPr>
                    <w:rPr>
                      <w:rFonts w:asciiTheme="minorHAnsi" w:hAnsiTheme="minorHAnsi" w:cstheme="minorHAnsi"/>
                      <w:sz w:val="16"/>
                      <w:szCs w:val="16"/>
                    </w:rPr>
                  </w:pPr>
                  <w:r w:rsidRPr="009A1B4C">
                    <w:rPr>
                      <w:rFonts w:asciiTheme="minorHAnsi" w:hAnsiTheme="minorHAnsi" w:cstheme="minorHAnsi"/>
                      <w:sz w:val="16"/>
                      <w:szCs w:val="16"/>
                    </w:rPr>
                    <w:t xml:space="preserve">Infants with CHD 6 to &lt;12 months </w:t>
                  </w:r>
                  <w:r w:rsidRPr="009A1B4C">
                    <w:rPr>
                      <w:rFonts w:asciiTheme="minorHAnsi" w:hAnsiTheme="minorHAnsi" w:cstheme="minorHAnsi"/>
                      <w:noProof/>
                      <w:sz w:val="16"/>
                      <w:szCs w:val="16"/>
                    </w:rPr>
                    <w:t>[9]</w:t>
                  </w:r>
                </w:p>
              </w:tc>
              <w:tc>
                <w:tcPr>
                  <w:tcW w:w="1418" w:type="dxa"/>
                </w:tcPr>
                <w:p w:rsidRPr="009A1B4C" w:rsidR="007C726E" w:rsidP="007C726E" w:rsidRDefault="007C726E" w14:paraId="5A553176" w14:textId="77777777">
                  <w:pPr>
                    <w:rPr>
                      <w:rFonts w:asciiTheme="minorHAnsi" w:hAnsiTheme="minorHAnsi" w:cstheme="minorHAnsi"/>
                      <w:sz w:val="16"/>
                      <w:szCs w:val="16"/>
                    </w:rPr>
                  </w:pPr>
                  <w:r w:rsidRPr="009A1B4C">
                    <w:rPr>
                      <w:rFonts w:asciiTheme="minorHAnsi" w:hAnsiTheme="minorHAnsi" w:cstheme="minorHAnsi"/>
                      <w:sz w:val="16"/>
                      <w:szCs w:val="16"/>
                    </w:rPr>
                    <w:t>6350</w:t>
                  </w:r>
                </w:p>
              </w:tc>
              <w:tc>
                <w:tcPr>
                  <w:tcW w:w="1249" w:type="dxa"/>
                </w:tcPr>
                <w:p w:rsidRPr="009A1B4C" w:rsidR="007C726E" w:rsidP="007C726E" w:rsidRDefault="007C726E" w14:paraId="115765E5" w14:textId="77777777">
                  <w:pPr>
                    <w:rPr>
                      <w:rFonts w:asciiTheme="minorHAnsi" w:hAnsiTheme="minorHAnsi" w:cstheme="minorHAnsi"/>
                      <w:sz w:val="16"/>
                      <w:szCs w:val="16"/>
                    </w:rPr>
                  </w:pPr>
                  <w:r w:rsidRPr="009A1B4C">
                    <w:rPr>
                      <w:rFonts w:asciiTheme="minorHAnsi" w:hAnsiTheme="minorHAnsi" w:cstheme="minorHAnsi"/>
                      <w:sz w:val="16"/>
                      <w:szCs w:val="16"/>
                    </w:rPr>
                    <w:t>32</w:t>
                  </w:r>
                </w:p>
              </w:tc>
              <w:tc>
                <w:tcPr>
                  <w:tcW w:w="1572" w:type="dxa"/>
                </w:tcPr>
                <w:p w:rsidRPr="009A1B4C" w:rsidR="007C726E" w:rsidP="007C726E" w:rsidRDefault="007C726E" w14:paraId="60ECB67D" w14:textId="77777777">
                  <w:pPr>
                    <w:rPr>
                      <w:rFonts w:asciiTheme="minorHAnsi" w:hAnsiTheme="minorHAnsi" w:cstheme="minorHAnsi"/>
                      <w:sz w:val="16"/>
                      <w:szCs w:val="16"/>
                    </w:rPr>
                  </w:pPr>
                  <w:r w:rsidRPr="009A1B4C">
                    <w:rPr>
                      <w:rFonts w:asciiTheme="minorHAnsi" w:hAnsiTheme="minorHAnsi" w:cstheme="minorHAnsi"/>
                      <w:sz w:val="16"/>
                      <w:szCs w:val="16"/>
                    </w:rPr>
                    <w:t>298336</w:t>
                  </w:r>
                </w:p>
              </w:tc>
              <w:tc>
                <w:tcPr>
                  <w:tcW w:w="1573" w:type="dxa"/>
                </w:tcPr>
                <w:p w:rsidRPr="009A1B4C" w:rsidR="007C726E" w:rsidP="007C726E" w:rsidRDefault="007C726E" w14:paraId="7421D15E" w14:textId="77777777">
                  <w:pPr>
                    <w:rPr>
                      <w:rFonts w:asciiTheme="minorHAnsi" w:hAnsiTheme="minorHAnsi" w:cstheme="minorHAnsi"/>
                      <w:sz w:val="16"/>
                      <w:szCs w:val="16"/>
                    </w:rPr>
                  </w:pPr>
                  <w:r w:rsidRPr="009A1B4C">
                    <w:rPr>
                      <w:rFonts w:asciiTheme="minorHAnsi" w:hAnsiTheme="minorHAnsi" w:cstheme="minorHAnsi"/>
                      <w:sz w:val="16"/>
                      <w:szCs w:val="16"/>
                    </w:rPr>
                    <w:t>268320</w:t>
                  </w:r>
                </w:p>
              </w:tc>
            </w:tr>
            <w:tr w:rsidRPr="009A1B4C" w:rsidR="007C726E" w:rsidTr="007C726E" w14:paraId="05A22CBF" w14:textId="77777777">
              <w:tc>
                <w:tcPr>
                  <w:tcW w:w="2049" w:type="dxa"/>
                  <w:shd w:val="clear" w:color="auto" w:fill="FFC000"/>
                </w:tcPr>
                <w:p w:rsidRPr="009A1B4C" w:rsidR="007C726E" w:rsidP="007C726E" w:rsidRDefault="007C726E" w14:paraId="0CF2D22D" w14:textId="77777777">
                  <w:pPr>
                    <w:rPr>
                      <w:rFonts w:asciiTheme="minorHAnsi" w:hAnsiTheme="minorHAnsi" w:cstheme="minorHAnsi"/>
                      <w:sz w:val="16"/>
                      <w:szCs w:val="16"/>
                    </w:rPr>
                  </w:pPr>
                  <w:r w:rsidRPr="009A1B4C">
                    <w:rPr>
                      <w:rFonts w:asciiTheme="minorHAnsi" w:hAnsiTheme="minorHAnsi" w:cstheme="minorHAnsi"/>
                      <w:sz w:val="16"/>
                      <w:szCs w:val="16"/>
                    </w:rPr>
                    <w:t xml:space="preserve">Other condition* 0 to &lt;6 months </w:t>
                  </w:r>
                  <w:r w:rsidRPr="009A1B4C">
                    <w:rPr>
                      <w:rFonts w:asciiTheme="minorHAnsi" w:hAnsiTheme="minorHAnsi" w:cstheme="minorHAnsi"/>
                      <w:noProof/>
                      <w:sz w:val="16"/>
                      <w:szCs w:val="16"/>
                    </w:rPr>
                    <w:t>[9]</w:t>
                  </w:r>
                </w:p>
              </w:tc>
              <w:tc>
                <w:tcPr>
                  <w:tcW w:w="1418" w:type="dxa"/>
                  <w:shd w:val="clear" w:color="auto" w:fill="FFC000"/>
                </w:tcPr>
                <w:p w:rsidRPr="009A1B4C" w:rsidR="007C726E" w:rsidP="007C726E" w:rsidRDefault="007C726E" w14:paraId="5A75AD5C" w14:textId="77777777">
                  <w:pPr>
                    <w:rPr>
                      <w:rFonts w:asciiTheme="minorHAnsi" w:hAnsiTheme="minorHAnsi" w:cstheme="minorHAnsi"/>
                      <w:sz w:val="16"/>
                      <w:szCs w:val="16"/>
                    </w:rPr>
                  </w:pPr>
                  <w:r w:rsidRPr="009A1B4C">
                    <w:rPr>
                      <w:rFonts w:asciiTheme="minorHAnsi" w:hAnsiTheme="minorHAnsi" w:cstheme="minorHAnsi"/>
                      <w:sz w:val="16"/>
                      <w:szCs w:val="16"/>
                    </w:rPr>
                    <w:t>2230</w:t>
                  </w:r>
                </w:p>
              </w:tc>
              <w:tc>
                <w:tcPr>
                  <w:tcW w:w="1249" w:type="dxa"/>
                  <w:shd w:val="clear" w:color="auto" w:fill="FFC000"/>
                </w:tcPr>
                <w:p w:rsidRPr="009A1B4C" w:rsidR="007C726E" w:rsidP="007C726E" w:rsidRDefault="007C726E" w14:paraId="6F889848" w14:textId="77777777">
                  <w:pPr>
                    <w:rPr>
                      <w:rFonts w:asciiTheme="minorHAnsi" w:hAnsiTheme="minorHAnsi" w:cstheme="minorHAnsi"/>
                      <w:sz w:val="16"/>
                      <w:szCs w:val="16"/>
                    </w:rPr>
                  </w:pPr>
                  <w:r w:rsidRPr="009A1B4C">
                    <w:rPr>
                      <w:rFonts w:asciiTheme="minorHAnsi" w:hAnsiTheme="minorHAnsi" w:cstheme="minorHAnsi"/>
                      <w:sz w:val="16"/>
                      <w:szCs w:val="16"/>
                    </w:rPr>
                    <w:t>16</w:t>
                  </w:r>
                </w:p>
              </w:tc>
              <w:tc>
                <w:tcPr>
                  <w:tcW w:w="1572" w:type="dxa"/>
                  <w:shd w:val="clear" w:color="auto" w:fill="FFC000"/>
                </w:tcPr>
                <w:p w:rsidRPr="009A1B4C" w:rsidR="007C726E" w:rsidP="007C726E" w:rsidRDefault="007C726E" w14:paraId="6646F7A4" w14:textId="77777777">
                  <w:pPr>
                    <w:rPr>
                      <w:rFonts w:asciiTheme="minorHAnsi" w:hAnsiTheme="minorHAnsi" w:cstheme="minorHAnsi"/>
                      <w:sz w:val="16"/>
                      <w:szCs w:val="16"/>
                    </w:rPr>
                  </w:pPr>
                  <w:r w:rsidRPr="009A1B4C">
                    <w:rPr>
                      <w:rFonts w:asciiTheme="minorHAnsi" w:hAnsiTheme="minorHAnsi" w:cstheme="minorHAnsi"/>
                      <w:sz w:val="16"/>
                      <w:szCs w:val="16"/>
                    </w:rPr>
                    <w:t>149168</w:t>
                  </w:r>
                </w:p>
              </w:tc>
              <w:tc>
                <w:tcPr>
                  <w:tcW w:w="1573" w:type="dxa"/>
                  <w:shd w:val="clear" w:color="auto" w:fill="FFC000"/>
                </w:tcPr>
                <w:p w:rsidRPr="009A1B4C" w:rsidR="007C726E" w:rsidP="007C726E" w:rsidRDefault="007C726E" w14:paraId="4B974796" w14:textId="77777777">
                  <w:pPr>
                    <w:rPr>
                      <w:rFonts w:asciiTheme="minorHAnsi" w:hAnsiTheme="minorHAnsi" w:cstheme="minorHAnsi"/>
                      <w:sz w:val="16"/>
                      <w:szCs w:val="16"/>
                    </w:rPr>
                  </w:pPr>
                  <w:r w:rsidRPr="009A1B4C">
                    <w:rPr>
                      <w:rFonts w:asciiTheme="minorHAnsi" w:hAnsiTheme="minorHAnsi" w:cstheme="minorHAnsi"/>
                      <w:sz w:val="16"/>
                      <w:szCs w:val="16"/>
                    </w:rPr>
                    <w:t>134160</w:t>
                  </w:r>
                </w:p>
              </w:tc>
            </w:tr>
          </w:tbl>
          <w:p w:rsidRPr="009A1B4C" w:rsidR="007C726E" w:rsidP="007C726E" w:rsidRDefault="007C726E" w14:paraId="399B5A67" w14:textId="77777777">
            <w:pPr>
              <w:rPr>
                <w:rFonts w:asciiTheme="minorHAnsi" w:hAnsiTheme="minorHAnsi" w:cstheme="minorHAnsi"/>
                <w:sz w:val="16"/>
                <w:szCs w:val="16"/>
              </w:rPr>
            </w:pPr>
            <w:r w:rsidRPr="009A1B4C">
              <w:rPr>
                <w:rFonts w:asciiTheme="minorHAnsi" w:hAnsiTheme="minorHAnsi" w:cstheme="minorHAnsi"/>
                <w:sz w:val="16"/>
                <w:szCs w:val="16"/>
              </w:rPr>
              <w:t xml:space="preserve">Colour coding: </w:t>
            </w:r>
            <w:r w:rsidRPr="009A1B4C">
              <w:rPr>
                <w:rFonts w:asciiTheme="minorHAnsi" w:hAnsiTheme="minorHAnsi" w:cstheme="minorHAnsi"/>
                <w:color w:val="FFC000"/>
                <w:sz w:val="16"/>
                <w:szCs w:val="16"/>
              </w:rPr>
              <w:t>Orange</w:t>
            </w:r>
            <w:r w:rsidRPr="009A1B4C">
              <w:rPr>
                <w:rFonts w:asciiTheme="minorHAnsi" w:hAnsiTheme="minorHAnsi" w:cstheme="minorHAnsi"/>
                <w:sz w:val="16"/>
                <w:szCs w:val="16"/>
              </w:rPr>
              <w:t xml:space="preserve"> &lt;$150000 per treatment course; </w:t>
            </w:r>
            <w:r w:rsidRPr="009A1B4C">
              <w:rPr>
                <w:rFonts w:asciiTheme="minorHAnsi" w:hAnsiTheme="minorHAnsi" w:cstheme="minorHAnsi"/>
                <w:color w:val="00B050"/>
                <w:sz w:val="16"/>
                <w:szCs w:val="16"/>
              </w:rPr>
              <w:t>green</w:t>
            </w:r>
            <w:r w:rsidRPr="009A1B4C">
              <w:rPr>
                <w:rFonts w:asciiTheme="minorHAnsi" w:hAnsiTheme="minorHAnsi" w:cstheme="minorHAnsi"/>
                <w:sz w:val="16"/>
                <w:szCs w:val="16"/>
              </w:rPr>
              <w:t xml:space="preserve"> &lt;$100000 per treatment course</w:t>
            </w:r>
          </w:p>
          <w:p w:rsidRPr="009A1B4C" w:rsidR="007C726E" w:rsidP="007C726E" w:rsidRDefault="007C726E" w14:paraId="17E7F20B" w14:textId="77777777">
            <w:pPr>
              <w:rPr>
                <w:rFonts w:asciiTheme="minorHAnsi" w:hAnsiTheme="minorHAnsi" w:cstheme="minorHAnsi"/>
                <w:sz w:val="16"/>
                <w:szCs w:val="16"/>
              </w:rPr>
            </w:pPr>
            <w:r w:rsidRPr="009A1B4C">
              <w:rPr>
                <w:rFonts w:asciiTheme="minorHAnsi" w:hAnsiTheme="minorHAnsi" w:cstheme="minorHAnsi"/>
                <w:sz w:val="16"/>
                <w:szCs w:val="16"/>
              </w:rPr>
              <w:t>* Asthma, cystic fibrosis, cancer, HIV infection, immunodeficiency, steroid therapy, chronic renal disease, diabetes mellitus, congenital anomalies of the respiratory tract, or respiratory distress syndrome.</w:t>
            </w:r>
          </w:p>
        </w:tc>
      </w:tr>
      <w:tr w:rsidRPr="0054466F" w:rsidR="007C726E" w:rsidTr="009A1B4C" w14:paraId="2D9B84F7" w14:textId="77777777">
        <w:trPr>
          <w:trHeight w:val="108"/>
        </w:trPr>
        <w:tc>
          <w:tcPr>
            <w:tcW w:w="811" w:type="pct"/>
          </w:tcPr>
          <w:p w:rsidRPr="0054466F" w:rsidR="007C726E" w:rsidP="007C726E" w:rsidRDefault="007C726E" w14:paraId="23E1AD25" w14:textId="77777777">
            <w:pPr>
              <w:pStyle w:val="BodyText"/>
              <w:rPr>
                <w:rFonts w:asciiTheme="minorHAnsi" w:hAnsiTheme="minorHAnsi" w:cstheme="minorHAnsi"/>
                <w:b/>
                <w:bCs/>
                <w:sz w:val="20"/>
              </w:rPr>
            </w:pPr>
            <w:r w:rsidRPr="0054466F">
              <w:rPr>
                <w:rFonts w:asciiTheme="minorHAnsi" w:hAnsiTheme="minorHAnsi" w:cstheme="minorHAnsi"/>
                <w:b/>
                <w:bCs/>
                <w:sz w:val="20"/>
              </w:rPr>
              <w:lastRenderedPageBreak/>
              <w:t>Practice points</w:t>
            </w:r>
          </w:p>
        </w:tc>
        <w:tc>
          <w:tcPr>
            <w:tcW w:w="4189" w:type="pct"/>
          </w:tcPr>
          <w:p w:rsidRPr="009A1B4C" w:rsidR="007C726E" w:rsidP="007C726E" w:rsidRDefault="007C726E" w14:paraId="23BC2AF3"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b/>
                <w:sz w:val="16"/>
                <w:szCs w:val="16"/>
              </w:rPr>
              <w:t xml:space="preserve">Palivizumab for prevention of respiratory syncytial virus infection in children: </w:t>
            </w:r>
            <w:r w:rsidRPr="009A1B4C">
              <w:rPr>
                <w:rFonts w:asciiTheme="minorHAnsi" w:hAnsiTheme="minorHAnsi" w:cstheme="minorHAnsi"/>
                <w:sz w:val="16"/>
                <w:szCs w:val="16"/>
              </w:rPr>
              <w:t xml:space="preserve">Palivizumab prophylaxis is effective in reducing the frequency of hospitalisations including admissions to ICU due to RSV infection in children with chronic lung disease, congenital heart disease, or those born preterm. There is insufficient data to determine if Palivizumab prophylaxis reduces need for mechanical ventilation or mortality. </w:t>
            </w:r>
            <w:r w:rsidRPr="009A1B4C">
              <w:rPr>
                <w:rFonts w:asciiTheme="minorHAnsi" w:hAnsiTheme="minorHAnsi" w:cstheme="minorHAnsi"/>
                <w:noProof/>
                <w:sz w:val="16"/>
                <w:szCs w:val="16"/>
              </w:rPr>
              <w:t>[2]</w:t>
            </w:r>
            <w:r w:rsidRPr="009A1B4C">
              <w:rPr>
                <w:rFonts w:asciiTheme="minorHAnsi" w:hAnsiTheme="minorHAnsi" w:cstheme="minorHAnsi"/>
                <w:sz w:val="16"/>
                <w:szCs w:val="16"/>
              </w:rPr>
              <w:t xml:space="preserve"> [LOE I GOR B] </w:t>
            </w:r>
          </w:p>
          <w:p w:rsidRPr="009A1B4C" w:rsidR="007C726E" w:rsidP="007C726E" w:rsidRDefault="007C726E" w14:paraId="04C88333"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sz w:val="16"/>
                <w:szCs w:val="16"/>
              </w:rPr>
              <w:t>It is reasonable to consider use in Australia of palivizumab 15 mg/kg/dose from April to August (5 doses) in the following infants:</w:t>
            </w:r>
          </w:p>
          <w:p w:rsidRPr="009A1B4C" w:rsidR="007C726E" w:rsidP="001B0E05" w:rsidRDefault="007C726E" w14:paraId="1B5DE39E"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Ex-preterm infants with chronic lung disease (oxygen or respiratory support at 36 weeks post menstrual age);</w:t>
            </w:r>
          </w:p>
          <w:p w:rsidRPr="009A1B4C" w:rsidR="007C726E" w:rsidP="001B0E05" w:rsidRDefault="007C726E" w14:paraId="7BF1DEB0"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Preterm infants born ≤26 weeks gestation;</w:t>
            </w:r>
          </w:p>
          <w:p w:rsidRPr="009A1B4C" w:rsidR="007C726E" w:rsidP="001B0E05" w:rsidRDefault="007C726E" w14:paraId="08F91248"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Infants with haemodynamically significant congenital heart disease between 0 to &lt;6 months age; and</w:t>
            </w:r>
          </w:p>
          <w:p w:rsidRPr="009A1B4C" w:rsidR="007C726E" w:rsidP="001B0E05" w:rsidRDefault="007C726E" w14:paraId="563F0FE0"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Infants at risk of severe RSV bronchiolitis including infants with moderate to severe pulmonary conditions particularly those requiring continued respiratory and/or oxygen support. </w:t>
            </w:r>
          </w:p>
          <w:p w:rsidRPr="009A1B4C" w:rsidR="007C726E" w:rsidP="001B0E05" w:rsidRDefault="007C726E" w14:paraId="4C50D54C"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Children with severe pulmonary abnormality or neuromuscular disease that impairs the ability to clear secretions from the upper airways may be considered for prophylaxis in the first year of life. </w:t>
            </w:r>
          </w:p>
          <w:p w:rsidRPr="009A1B4C" w:rsidR="007C726E" w:rsidP="001B0E05" w:rsidRDefault="007C726E" w14:paraId="5413A50B"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Children younger than 24 months who will be profoundly immunocompromised during the RSV season may be considered for prophylaxis. </w:t>
            </w:r>
          </w:p>
          <w:p w:rsidRPr="009A1B4C" w:rsidR="007C726E" w:rsidP="001B0E05" w:rsidRDefault="007C726E" w14:paraId="10AF6812"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Insufficient data are available to recommend palivizumab prophylaxis for children with cystic fibrosis or Down syndrome.</w:t>
            </w:r>
          </w:p>
          <w:p w:rsidRPr="009A1B4C" w:rsidR="007C726E" w:rsidP="007C726E" w:rsidRDefault="007C726E" w14:paraId="3438428C" w14:textId="77777777">
            <w:pPr>
              <w:pStyle w:val="BodyText"/>
              <w:tabs>
                <w:tab w:val="left" w:pos="1168"/>
              </w:tabs>
              <w:rPr>
                <w:rFonts w:asciiTheme="minorHAnsi" w:hAnsiTheme="minorHAnsi" w:cstheme="minorHAnsi"/>
                <w:sz w:val="16"/>
                <w:szCs w:val="16"/>
              </w:rPr>
            </w:pPr>
            <w:r w:rsidRPr="009A1B4C">
              <w:rPr>
                <w:rFonts w:asciiTheme="minorHAnsi" w:hAnsiTheme="minorHAnsi" w:cstheme="minorHAnsi"/>
                <w:sz w:val="16"/>
                <w:szCs w:val="16"/>
              </w:rPr>
              <w:t xml:space="preserve">Additional practice points: </w:t>
            </w:r>
          </w:p>
          <w:p w:rsidRPr="009A1B4C" w:rsidR="007C726E" w:rsidP="001B0E05" w:rsidRDefault="007C726E" w14:paraId="6D5DBDB0"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Infants born during the RSV season may require fewer doses. </w:t>
            </w:r>
            <w:r w:rsidRPr="009A1B4C">
              <w:rPr>
                <w:rFonts w:asciiTheme="minorHAnsi" w:hAnsiTheme="minorHAnsi" w:cstheme="minorHAnsi"/>
                <w:noProof/>
                <w:sz w:val="16"/>
                <w:szCs w:val="16"/>
              </w:rPr>
              <w:t>[10, 12]</w:t>
            </w:r>
          </w:p>
          <w:p w:rsidRPr="009A1B4C" w:rsidR="007C726E" w:rsidP="001B0E05" w:rsidRDefault="007C726E" w14:paraId="4042F80E"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Prophylaxis should be discontinued in any child who experiences a breakthrough RSV hospitalization. </w:t>
            </w:r>
            <w:r w:rsidRPr="009A1B4C">
              <w:rPr>
                <w:rFonts w:asciiTheme="minorHAnsi" w:hAnsiTheme="minorHAnsi" w:cstheme="minorHAnsi"/>
                <w:noProof/>
                <w:sz w:val="16"/>
                <w:szCs w:val="16"/>
              </w:rPr>
              <w:t>[10, 12]</w:t>
            </w:r>
          </w:p>
          <w:p w:rsidRPr="009A1B4C" w:rsidR="007C726E" w:rsidP="001B0E05" w:rsidRDefault="007C726E" w14:paraId="6433194F"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Prophylaxis is not required in congenital heart disease where there is mild cardiomyopathy or surgically corrected disease (unless medication required for heart failure). </w:t>
            </w:r>
            <w:r w:rsidRPr="009A1B4C">
              <w:rPr>
                <w:rFonts w:asciiTheme="minorHAnsi" w:hAnsiTheme="minorHAnsi" w:cstheme="minorHAnsi"/>
                <w:noProof/>
                <w:sz w:val="16"/>
                <w:szCs w:val="16"/>
              </w:rPr>
              <w:t>[3]</w:t>
            </w:r>
            <w:r w:rsidRPr="009A1B4C">
              <w:rPr>
                <w:rFonts w:asciiTheme="minorHAnsi" w:hAnsiTheme="minorHAnsi" w:cstheme="minorHAnsi"/>
                <w:sz w:val="16"/>
                <w:szCs w:val="16"/>
              </w:rPr>
              <w:t xml:space="preserve"> </w:t>
            </w:r>
          </w:p>
          <w:p w:rsidRPr="009A1B4C" w:rsidR="007C726E" w:rsidP="001B0E05" w:rsidRDefault="007C726E" w14:paraId="175EDEF1" w14:textId="77777777">
            <w:pPr>
              <w:pStyle w:val="BodyText"/>
              <w:numPr>
                <w:ilvl w:val="0"/>
                <w:numId w:val="70"/>
              </w:numPr>
              <w:tabs>
                <w:tab w:val="left" w:pos="1168"/>
              </w:tabs>
              <w:overflowPunct w:val="0"/>
              <w:autoSpaceDE w:val="0"/>
              <w:autoSpaceDN w:val="0"/>
              <w:adjustRightInd w:val="0"/>
              <w:jc w:val="left"/>
              <w:textAlignment w:val="baseline"/>
              <w:rPr>
                <w:rFonts w:asciiTheme="minorHAnsi" w:hAnsiTheme="minorHAnsi" w:cstheme="minorHAnsi"/>
                <w:sz w:val="16"/>
                <w:szCs w:val="16"/>
              </w:rPr>
            </w:pPr>
            <w:r w:rsidRPr="009A1B4C">
              <w:rPr>
                <w:rFonts w:asciiTheme="minorHAnsi" w:hAnsiTheme="minorHAnsi" w:cstheme="minorHAnsi"/>
                <w:sz w:val="16"/>
                <w:szCs w:val="16"/>
              </w:rPr>
              <w:t xml:space="preserve">After cardiopulmonary bypass surgery, give a dose once child is stable (serum concentration markedly reduced after these procedures); resume doses each month if prophylaxis still required. </w:t>
            </w:r>
            <w:r w:rsidRPr="009A1B4C">
              <w:rPr>
                <w:rFonts w:asciiTheme="minorHAnsi" w:hAnsiTheme="minorHAnsi" w:cstheme="minorHAnsi"/>
                <w:noProof/>
                <w:sz w:val="16"/>
                <w:szCs w:val="16"/>
              </w:rPr>
              <w:t>[3]</w:t>
            </w:r>
          </w:p>
        </w:tc>
      </w:tr>
      <w:tr w:rsidRPr="00CC49C5" w:rsidR="007C726E" w:rsidTr="009A1B4C" w14:paraId="0479406A" w14:textId="77777777">
        <w:trPr>
          <w:trHeight w:val="70"/>
        </w:trPr>
        <w:tc>
          <w:tcPr>
            <w:tcW w:w="811" w:type="pct"/>
          </w:tcPr>
          <w:p w:rsidRPr="0054466F" w:rsidR="007C726E" w:rsidP="007C726E" w:rsidRDefault="007C726E" w14:paraId="4248C129" w14:textId="77777777">
            <w:pPr>
              <w:pStyle w:val="BodyText"/>
              <w:rPr>
                <w:rFonts w:asciiTheme="minorHAnsi" w:hAnsiTheme="minorHAnsi" w:cstheme="minorHAnsi"/>
                <w:b/>
                <w:bCs/>
                <w:sz w:val="20"/>
              </w:rPr>
            </w:pPr>
            <w:r w:rsidRPr="0054466F">
              <w:rPr>
                <w:rFonts w:asciiTheme="minorHAnsi" w:hAnsiTheme="minorHAnsi" w:cstheme="minorHAnsi"/>
                <w:b/>
                <w:sz w:val="20"/>
              </w:rPr>
              <w:t>References</w:t>
            </w:r>
          </w:p>
        </w:tc>
        <w:tc>
          <w:tcPr>
            <w:tcW w:w="4189" w:type="pct"/>
          </w:tcPr>
          <w:p w:rsidRPr="009A1B4C" w:rsidR="007C726E" w:rsidP="001B0E05" w:rsidRDefault="007C726E" w14:paraId="7C271C08"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MIMS Online, Palivizumab ;Accessed 24/03/2020.</w:t>
            </w:r>
          </w:p>
          <w:p w:rsidRPr="009A1B4C" w:rsidR="007C726E" w:rsidP="001B0E05" w:rsidRDefault="007C726E" w14:paraId="036B4C75"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Andabaka T, Nickerson JW, Rojas-Reyes MX, Rueda JD, Bacic Vrca V, Barsic B. Monoclonal antibody for reducing the risk of respiratory syncytial virus infection in children. Cochrane Database Syst Rev. 2013:CD006602.</w:t>
            </w:r>
          </w:p>
          <w:p w:rsidRPr="009A1B4C" w:rsidR="007C726E" w:rsidP="001B0E05" w:rsidRDefault="007C726E" w14:paraId="4660C732"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Australian Medicines Handbook. Palivizumab ; Accessed 24/03/2020.</w:t>
            </w:r>
          </w:p>
          <w:p w:rsidRPr="009A1B4C" w:rsidR="007C726E" w:rsidP="001B0E05" w:rsidRDefault="007C726E" w14:paraId="09C6A6D4"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The Australian Immunisation Handbook. Respiratory syncytial virus monoclonal antibodies. 10th Edition 2013 (updated January 2014).</w:t>
            </w:r>
          </w:p>
          <w:p w:rsidRPr="009A1B4C" w:rsidR="007C726E" w:rsidP="001B0E05" w:rsidRDefault="007C726E" w14:paraId="24FAC871"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Homaira N, Oei JL, Mallitt KA, Abdel-Latif ME, Hilder L, Bajuk B, Lui K, Ferson M, Nurkic A, Chambers GM, Rawlinson W, Snelling T, Jaffe A. High burden of RSV hospitalization in very young children: a data linkage study. Epidemiol Infect. 2016;144:1612-21.</w:t>
            </w:r>
          </w:p>
          <w:p w:rsidRPr="009A1B4C" w:rsidR="007C726E" w:rsidP="001B0E05" w:rsidRDefault="007C726E" w14:paraId="43E85E15"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Sanders SL, Agwan S, Hassan M, van Driel ML, Del Mar CB. Immunoglobulin treatment for hospitalised infants and young children with respiratory syncytial virus infection. Cochrane Database Syst Rev. 2019;8:CD009417.</w:t>
            </w:r>
          </w:p>
          <w:p w:rsidRPr="009A1B4C" w:rsidR="007C726E" w:rsidP="001B0E05" w:rsidRDefault="007C726E" w14:paraId="446E2CF6"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Robinson KA, Odelola OA, Saldanha IJ. Palivizumab for prophylaxis against respiratory syncytial virus infection in children with cystic fibrosis. Cochrane Database Syst Rev. 2016;7:CD007743.</w:t>
            </w:r>
          </w:p>
          <w:p w:rsidRPr="009A1B4C" w:rsidR="007C726E" w:rsidP="001B0E05" w:rsidRDefault="007C726E" w14:paraId="51BFB155"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Feltes TF, Cabalka AK, Meissner HC, Piazza FM, Carlin DA, Top FH, Jr., Connor EM, Sondheimer HM, Cardiac Synagis Study G. Palivizumab prophylaxis reduces hospitalization due to respiratory syncytial virus in young children with hemodynamically significant congenital heart disease. J Pediatr. 2003;143:532-40.</w:t>
            </w:r>
          </w:p>
          <w:p w:rsidRPr="009A1B4C" w:rsidR="007C726E" w:rsidP="001B0E05" w:rsidRDefault="007C726E" w14:paraId="4202ED29"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Evaluation summary. Palivizumab for prevention of serious lower respiratory tract disease caused by Respiratory Syncytial Virus (RSV) in infants at high risk of RSV disease. South Australian Medicines Evaluation Panel. 2015.</w:t>
            </w:r>
          </w:p>
          <w:p w:rsidRPr="009A1B4C" w:rsidR="007C726E" w:rsidP="001B0E05" w:rsidRDefault="007C726E" w14:paraId="05510B39"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t>American Academy of Pediatrics Committee on Infectious D, American Academy of Pediatrics Bronchiolitis Guidelines C. Updated guidance for palivizumab prophylaxis among infants and young children at increased risk of hospitalization for respiratory syncytial virus infection. Pediatrics. 2014;134:415-20.</w:t>
            </w:r>
          </w:p>
          <w:p w:rsidRPr="009A1B4C" w:rsidR="007C726E" w:rsidP="001B0E05" w:rsidRDefault="007C726E" w14:paraId="11284E92" w14:textId="77777777">
            <w:pPr>
              <w:pStyle w:val="ListParagraph"/>
              <w:numPr>
                <w:ilvl w:val="0"/>
                <w:numId w:val="71"/>
              </w:numPr>
              <w:rPr>
                <w:rFonts w:asciiTheme="minorHAnsi" w:hAnsiTheme="minorHAnsi" w:cstheme="minorHAnsi"/>
                <w:sz w:val="16"/>
                <w:szCs w:val="16"/>
              </w:rPr>
            </w:pPr>
            <w:r w:rsidRPr="009A1B4C">
              <w:rPr>
                <w:rFonts w:asciiTheme="minorHAnsi" w:hAnsiTheme="minorHAnsi" w:cstheme="minorHAnsi"/>
                <w:sz w:val="16"/>
                <w:szCs w:val="16"/>
              </w:rPr>
              <w:lastRenderedPageBreak/>
              <w:t>Robbie GJ, Zhao L, Mondick J, Losonsky G, Roskos LK. Population pharmacokinetics of palivizumab, a humanized anti-respiratory syncytial virus monoclonal antibody, in adults and children. Antimicrob Agents Chemother. 2012;56:4927-36.</w:t>
            </w:r>
          </w:p>
          <w:p w:rsidRPr="00CC49C5" w:rsidR="007C726E" w:rsidP="001B0E05" w:rsidRDefault="007C726E" w14:paraId="525AE7BE" w14:textId="77777777">
            <w:pPr>
              <w:pStyle w:val="ListParagraph"/>
              <w:numPr>
                <w:ilvl w:val="0"/>
                <w:numId w:val="71"/>
              </w:numPr>
              <w:rPr>
                <w:rFonts w:asciiTheme="minorHAnsi" w:hAnsiTheme="minorHAnsi" w:cstheme="minorHAnsi"/>
                <w:sz w:val="20"/>
              </w:rPr>
            </w:pPr>
            <w:r w:rsidRPr="009A1B4C">
              <w:rPr>
                <w:rFonts w:asciiTheme="minorHAnsi" w:hAnsiTheme="minorHAnsi" w:cstheme="minorHAnsi"/>
                <w:sz w:val="16"/>
                <w:szCs w:val="16"/>
              </w:rPr>
              <w:t>American Academy of Pediatrics Committee on Infectious D, American Academy of Pediatrics Bronchiolitis Guidelines C. Updated guidance for palivizumab prophylaxis among infants and young children at increased risk of hospitalization for respiratory syncytial virus infection. Pediatrics. 2014;134:e620-38.</w:t>
            </w:r>
          </w:p>
        </w:tc>
      </w:tr>
    </w:tbl>
    <w:p w:rsidR="007C726E" w:rsidRDefault="007C726E" w14:paraId="52B055D2" w14:textId="77777777">
      <w:pPr>
        <w:rPr>
          <w:b/>
        </w:rPr>
      </w:pPr>
    </w:p>
    <w:tbl>
      <w:tblPr>
        <w:tblW w:w="8925" w:type="dxa"/>
        <w:tblInd w:w="-34" w:type="dxa"/>
        <w:tblCellMar>
          <w:left w:w="0" w:type="dxa"/>
          <w:right w:w="0" w:type="dxa"/>
        </w:tblCellMar>
        <w:tblLook w:val="04A0" w:firstRow="1" w:lastRow="0" w:firstColumn="1" w:lastColumn="0" w:noHBand="0" w:noVBand="1"/>
      </w:tblPr>
      <w:tblGrid>
        <w:gridCol w:w="4108"/>
        <w:gridCol w:w="4817"/>
      </w:tblGrid>
      <w:tr w:rsidR="007C726E" w:rsidTr="007C726E" w14:paraId="2DB4399F"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39A612CA" w14:textId="0FFC0BEF">
            <w:pPr>
              <w:spacing w:line="252" w:lineRule="auto"/>
              <w:rPr>
                <w:sz w:val="22"/>
                <w:lang w:val="en-AU"/>
              </w:rPr>
            </w:pPr>
            <w:r>
              <w:t>Original version Date: 28/05/20</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332BADB8" w14:textId="77777777">
            <w:pPr>
              <w:spacing w:line="252" w:lineRule="auto"/>
            </w:pPr>
            <w:r>
              <w:t>Author: NeoMed Consensus Group</w:t>
            </w:r>
          </w:p>
        </w:tc>
      </w:tr>
      <w:tr w:rsidR="007C726E" w:rsidTr="007C726E" w14:paraId="2161DF60"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76135111" w14:textId="77777777">
            <w:pPr>
              <w:spacing w:line="252" w:lineRule="auto"/>
            </w:pPr>
            <w:r>
              <w:t>Current Version number:  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5E19DDE1" w14:textId="0F3CA5FB">
            <w:pPr>
              <w:spacing w:line="252" w:lineRule="auto"/>
            </w:pPr>
            <w:r>
              <w:t>Current Version Date:  16/11/20</w:t>
            </w:r>
            <w:r w:rsidR="009A1B4C">
              <w:t>20</w:t>
            </w:r>
          </w:p>
        </w:tc>
      </w:tr>
      <w:tr w:rsidR="007C726E" w:rsidTr="007C726E" w14:paraId="5AEA2D77"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42C32929" w14:textId="71FCF212">
            <w:pPr>
              <w:spacing w:line="252" w:lineRule="auto"/>
            </w:pPr>
            <w:r>
              <w:t xml:space="preserve">Risk Rating: </w:t>
            </w:r>
            <w:r w:rsidR="009A1B4C">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540EE814" w14:textId="02EDBA53">
            <w:pPr>
              <w:spacing w:line="252" w:lineRule="auto"/>
            </w:pPr>
            <w:r>
              <w:t>Due for Review:  16/11/2025</w:t>
            </w:r>
          </w:p>
        </w:tc>
      </w:tr>
      <w:tr w:rsidR="007C726E" w:rsidTr="007C726E" w14:paraId="340DAA96"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64DF2524"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5FA0BA08" w14:textId="23D7D3CE">
            <w:pPr>
              <w:spacing w:line="252" w:lineRule="auto"/>
            </w:pPr>
            <w:r>
              <w:t xml:space="preserve">Approval Date: </w:t>
            </w:r>
            <w:r w:rsidR="00260BC8">
              <w:t>APRIL 2021</w:t>
            </w:r>
          </w:p>
        </w:tc>
      </w:tr>
    </w:tbl>
    <w:p w:rsidR="00FB38D0" w:rsidRDefault="00FB38D0" w14:paraId="3B93547B" w14:textId="6E29BFCF">
      <w:r>
        <w:rPr>
          <w:b/>
        </w:rPr>
        <w:br w:type="page"/>
      </w:r>
    </w:p>
    <w:tbl>
      <w:tblPr>
        <w:tblW w:w="9049" w:type="dxa"/>
        <w:tblLayout w:type="fixed"/>
        <w:tblLook w:val="0000" w:firstRow="0" w:lastRow="0" w:firstColumn="0" w:lastColumn="0" w:noHBand="0" w:noVBand="0"/>
      </w:tblPr>
      <w:tblGrid>
        <w:gridCol w:w="4153"/>
        <w:gridCol w:w="4896"/>
      </w:tblGrid>
      <w:tr w:rsidRPr="00E25790" w:rsidR="008D2512" w:rsidTr="00FB38D0" w14:paraId="5301554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8D2512" w:rsidP="009469DB" w:rsidRDefault="008D2512" w14:paraId="1E1CD418" w14:textId="77777777">
            <w:pPr>
              <w:pStyle w:val="Heading1"/>
            </w:pPr>
            <w:bookmarkStart w:name="_Toc75340018" w:id="446"/>
            <w:r w:rsidRPr="00E25790">
              <w:lastRenderedPageBreak/>
              <w:t>Pancreatic Enzymes</w:t>
            </w:r>
            <w:bookmarkEnd w:id="440"/>
            <w:bookmarkEnd w:id="441"/>
            <w:bookmarkEnd w:id="442"/>
            <w:bookmarkEnd w:id="443"/>
            <w:r w:rsidRPr="00E25790" w:rsidR="0071697D">
              <w:t>/Creon</w:t>
            </w:r>
            <w:bookmarkEnd w:id="444"/>
            <w:bookmarkEnd w:id="446"/>
            <w:r w:rsidRPr="00E25790">
              <w:fldChar w:fldCharType="begin"/>
            </w:r>
            <w:r w:rsidRPr="00E25790">
              <w:instrText>tc "Pancreatin" \l 0</w:instrText>
            </w:r>
            <w:r w:rsidRPr="00E25790">
              <w:fldChar w:fldCharType="end"/>
            </w:r>
          </w:p>
        </w:tc>
      </w:tr>
      <w:tr w:rsidRPr="00E25790" w:rsidR="008D2512" w:rsidTr="00FB38D0" w14:paraId="4D562A70"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8D2512" w:rsidP="006F0321" w:rsidRDefault="008D2512" w14:paraId="7531D70A" w14:textId="6290D1B7">
            <w:r w:rsidRPr="00E25790">
              <w:t xml:space="preserve">Revision Date : </w:t>
            </w:r>
            <w:r w:rsidR="006C7B78">
              <w:t>30 December</w:t>
            </w:r>
            <w:r w:rsidR="00836647">
              <w:t xml:space="preserve"> 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8D2512" w:rsidP="006F0321" w:rsidRDefault="008D2512" w14:paraId="14138EB3" w14:textId="49C5B321">
            <w:r w:rsidRPr="00E25790">
              <w:t xml:space="preserve">Approved: </w:t>
            </w:r>
            <w:r w:rsidR="006644C8">
              <w:t>LM, KOH</w:t>
            </w:r>
          </w:p>
        </w:tc>
      </w:tr>
    </w:tbl>
    <w:p w:rsidRPr="00E25790" w:rsidR="00115F48" w:rsidP="006F0321" w:rsidRDefault="00115F48" w14:paraId="7DA6FA7A" w14:textId="77777777"/>
    <w:tbl>
      <w:tblPr>
        <w:tblW w:w="9064" w:type="dxa"/>
        <w:tblLayout w:type="fixed"/>
        <w:tblLook w:val="0000" w:firstRow="0" w:lastRow="0" w:firstColumn="0" w:lastColumn="0" w:noHBand="0" w:noVBand="0"/>
      </w:tblPr>
      <w:tblGrid>
        <w:gridCol w:w="2443"/>
        <w:gridCol w:w="6621"/>
      </w:tblGrid>
      <w:tr w:rsidRPr="00E25790" w:rsidR="00115F48" w:rsidTr="00FB38D0" w14:paraId="2298D585"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09E41AD3" w14:textId="77777777">
            <w:r w:rsidRPr="00642ECE">
              <w:rPr>
                <w:b/>
              </w:rPr>
              <w:t>Indication</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0EE5D7EA" w14:textId="77777777">
            <w:r w:rsidRPr="00E25790">
              <w:t>Pancreatic enzyme replacement or supplementation for conditions of pancreatic enzyme insufficiency. E.g. cystic fibrosis.</w:t>
            </w:r>
          </w:p>
        </w:tc>
      </w:tr>
      <w:tr w:rsidRPr="00E25790" w:rsidR="00115F48" w:rsidTr="00FB38D0" w14:paraId="3E50CE0E"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C441AEB" w14:textId="77777777">
            <w:r w:rsidRPr="00642ECE">
              <w:rPr>
                <w:b/>
              </w:rPr>
              <w:t>Dose</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3BC98DC7" w14:textId="78AF24E7">
            <w:r w:rsidRPr="00E25790">
              <w:t>Different brands of enzyme products are available. All contain lipase, amylase and protease. The dose is expressed in units of lipase and is titrated to control steatorrhoea. If on full feeds start with 5,000 units/kg/day and increase if necessary. Use a lower dose if on partial feeds.</w:t>
            </w:r>
            <w:r w:rsidR="00AE2A78">
              <w:t xml:space="preserve"> Consult a Gastroenterologist before diciding on a </w:t>
            </w:r>
            <w:r w:rsidR="006D5376">
              <w:t>product and dose.</w:t>
            </w:r>
          </w:p>
        </w:tc>
      </w:tr>
      <w:tr w:rsidRPr="00E25790" w:rsidR="00115F48" w:rsidTr="00FB38D0" w14:paraId="3BF9C6D0"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3CFDC2DB" w14:textId="77777777">
            <w:r w:rsidRPr="00642ECE">
              <w:rPr>
                <w:b/>
              </w:rPr>
              <w:t>Interval</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6E29283E" w14:textId="77777777">
            <w:r w:rsidRPr="00E25790">
              <w:t>Divide total daily dose between each feed, so that some is given with every feed</w:t>
            </w:r>
          </w:p>
        </w:tc>
      </w:tr>
      <w:tr w:rsidRPr="00E25790" w:rsidR="00115F48" w:rsidTr="00FB38D0" w14:paraId="0997D926"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784CEFCD" w14:textId="77777777">
            <w:r w:rsidRPr="00642ECE">
              <w:rPr>
                <w:b/>
              </w:rPr>
              <w:t>Route</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3A988E4C" w14:textId="77777777">
            <w:r w:rsidRPr="00E25790">
              <w:t>Orally.</w:t>
            </w:r>
          </w:p>
        </w:tc>
      </w:tr>
      <w:tr w:rsidRPr="00E25790" w:rsidR="00115F48" w:rsidTr="00FB38D0" w14:paraId="49C70442"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21722A9F" w14:textId="77777777">
            <w:r w:rsidRPr="00642ECE">
              <w:rPr>
                <w:b/>
              </w:rPr>
              <w:t>Total Daily Dose</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33D9E8DC" w14:textId="77777777">
            <w:r w:rsidRPr="00E25790">
              <w:t>Maximum 10,000 units/kg/day.</w:t>
            </w:r>
          </w:p>
        </w:tc>
      </w:tr>
      <w:tr w:rsidRPr="00E25790" w:rsidR="00115F48" w:rsidTr="00FB38D0" w14:paraId="005C2A5E"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72FB24A0" w14:textId="77777777">
            <w:r w:rsidRPr="00642ECE">
              <w:rPr>
                <w:b/>
              </w:rPr>
              <w:t>Comments</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27B9075C" w14:textId="77777777">
            <w:r w:rsidRPr="00E25790">
              <w:t>The capsules contain enteric coated beads. They can be mixed with acidic food such as apple puree, but not alkaline foods or antacids as these will dissolve the coating. Do not crush the beads. Give with fluid. The dose will most likely be a portion of a capsule, if so estimate the portion and discard the remainder. There are reports of high doses causing colonic strictures. Pancrease is a much larger capsule, filled with larger beads, and is less popular than Creon.</w:t>
            </w:r>
          </w:p>
        </w:tc>
      </w:tr>
      <w:tr w:rsidRPr="00E25790" w:rsidR="00115F48" w:rsidTr="00FB38D0" w14:paraId="038A6BE5"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6AD218BC" w14:textId="77777777">
            <w:r w:rsidRPr="00642ECE">
              <w:rPr>
                <w:b/>
              </w:rPr>
              <w:t>Supplied as</w:t>
            </w:r>
            <w:r w:rsidRPr="00E25790">
              <w:t xml:space="preserve"> :</w:t>
            </w:r>
          </w:p>
        </w:tc>
        <w:tc>
          <w:tcPr>
            <w:tcW w:w="6621" w:type="dxa"/>
            <w:tcBorders>
              <w:top w:val="single" w:color="auto" w:sz="6" w:space="0"/>
              <w:bottom w:val="single" w:color="auto" w:sz="6" w:space="0"/>
              <w:right w:val="single" w:color="auto" w:sz="6" w:space="0"/>
            </w:tcBorders>
          </w:tcPr>
          <w:p w:rsidRPr="00642ECE" w:rsidR="00115F48" w:rsidP="001B0E05" w:rsidRDefault="00115F48" w14:paraId="190BD42B" w14:textId="136CC21E">
            <w:pPr>
              <w:pStyle w:val="ListParagraph"/>
              <w:numPr>
                <w:ilvl w:val="0"/>
                <w:numId w:val="90"/>
              </w:numPr>
              <w:rPr>
                <w:sz w:val="22"/>
                <w:szCs w:val="18"/>
                <w:lang w:val="it-IT"/>
              </w:rPr>
            </w:pPr>
            <w:r w:rsidRPr="00642ECE">
              <w:rPr>
                <w:b/>
                <w:sz w:val="22"/>
                <w:szCs w:val="18"/>
                <w:lang w:val="it-IT"/>
              </w:rPr>
              <w:t>Creon 5,000</w:t>
            </w:r>
            <w:r w:rsidRPr="00642ECE" w:rsidR="00EF0391">
              <w:rPr>
                <w:sz w:val="22"/>
                <w:szCs w:val="18"/>
                <w:lang w:val="it-IT"/>
              </w:rPr>
              <w:t>:</w:t>
            </w:r>
            <w:r w:rsidRPr="00642ECE">
              <w:rPr>
                <w:sz w:val="22"/>
                <w:szCs w:val="18"/>
                <w:lang w:val="it-IT"/>
              </w:rPr>
              <w:t xml:space="preserve"> lipase, amylase, protease 5,000, 4000, 300</w:t>
            </w:r>
          </w:p>
          <w:p w:rsidRPr="00642ECE" w:rsidR="00115F48" w:rsidP="001B0E05" w:rsidRDefault="00115F48" w14:paraId="75D73ED3" w14:textId="68CA503D">
            <w:pPr>
              <w:pStyle w:val="ListParagraph"/>
              <w:numPr>
                <w:ilvl w:val="0"/>
                <w:numId w:val="90"/>
              </w:numPr>
              <w:rPr>
                <w:sz w:val="22"/>
                <w:szCs w:val="18"/>
                <w:lang w:val="it-IT"/>
              </w:rPr>
            </w:pPr>
            <w:r w:rsidRPr="00642ECE">
              <w:rPr>
                <w:b/>
                <w:sz w:val="22"/>
                <w:szCs w:val="18"/>
                <w:lang w:val="it-IT"/>
              </w:rPr>
              <w:t>Creon 10,000</w:t>
            </w:r>
            <w:r w:rsidRPr="00642ECE" w:rsidR="00EF0391">
              <w:rPr>
                <w:sz w:val="22"/>
                <w:szCs w:val="18"/>
                <w:lang w:val="it-IT"/>
              </w:rPr>
              <w:t>:</w:t>
            </w:r>
            <w:r w:rsidRPr="00642ECE">
              <w:rPr>
                <w:sz w:val="22"/>
                <w:szCs w:val="18"/>
                <w:lang w:val="it-IT"/>
              </w:rPr>
              <w:t xml:space="preserve"> </w:t>
            </w:r>
            <w:r w:rsidRPr="00642ECE" w:rsidR="00EF0391">
              <w:rPr>
                <w:sz w:val="22"/>
                <w:szCs w:val="18"/>
                <w:lang w:val="it-IT"/>
              </w:rPr>
              <w:t>lipase, amylase, protease</w:t>
            </w:r>
            <w:r w:rsidRPr="00642ECE">
              <w:rPr>
                <w:sz w:val="22"/>
                <w:szCs w:val="18"/>
                <w:lang w:val="it-IT"/>
              </w:rPr>
              <w:t xml:space="preserve"> 10,000, 8,000, 600</w:t>
            </w:r>
          </w:p>
          <w:p w:rsidRPr="00642ECE" w:rsidR="00115F48" w:rsidP="001B0E05" w:rsidRDefault="00115F48" w14:paraId="5D92103F" w14:textId="0ED40C0E">
            <w:pPr>
              <w:pStyle w:val="ListParagraph"/>
              <w:numPr>
                <w:ilvl w:val="0"/>
                <w:numId w:val="90"/>
              </w:numPr>
              <w:rPr>
                <w:sz w:val="22"/>
                <w:szCs w:val="18"/>
                <w:lang w:val="it-IT"/>
              </w:rPr>
            </w:pPr>
            <w:r w:rsidRPr="00642ECE">
              <w:rPr>
                <w:b/>
                <w:sz w:val="22"/>
                <w:szCs w:val="18"/>
                <w:lang w:val="it-IT"/>
              </w:rPr>
              <w:t>Creon forte 25,000</w:t>
            </w:r>
            <w:r w:rsidRPr="00642ECE" w:rsidR="00EF0391">
              <w:rPr>
                <w:sz w:val="22"/>
                <w:szCs w:val="18"/>
                <w:lang w:val="it-IT"/>
              </w:rPr>
              <w:t>: lipase, amylase, protease</w:t>
            </w:r>
            <w:r>
              <w:rPr>
                <w:sz w:val="22"/>
                <w:szCs w:val="18"/>
                <w:lang w:val="it-IT"/>
              </w:rPr>
              <w:t xml:space="preserve"> </w:t>
            </w:r>
            <w:r w:rsidRPr="00642ECE">
              <w:rPr>
                <w:sz w:val="22"/>
                <w:szCs w:val="18"/>
                <w:lang w:val="it-IT"/>
              </w:rPr>
              <w:t>25,000, 18,000, 1000</w:t>
            </w:r>
          </w:p>
          <w:p w:rsidRPr="00E25790" w:rsidR="00115F48" w:rsidP="001B0E05" w:rsidRDefault="00115F48" w14:paraId="47863ACB" w14:textId="77DF3A77">
            <w:pPr>
              <w:pStyle w:val="ListParagraph"/>
              <w:numPr>
                <w:ilvl w:val="0"/>
                <w:numId w:val="90"/>
              </w:numPr>
            </w:pPr>
            <w:r w:rsidRPr="00642ECE">
              <w:rPr>
                <w:b/>
                <w:sz w:val="22"/>
                <w:szCs w:val="18"/>
              </w:rPr>
              <w:t>Pancrease</w:t>
            </w:r>
            <w:r w:rsidRPr="00642ECE" w:rsidR="00EF0391">
              <w:rPr>
                <w:sz w:val="22"/>
                <w:szCs w:val="18"/>
              </w:rPr>
              <w:t>:</w:t>
            </w:r>
            <w:r w:rsidRPr="00642ECE" w:rsidR="00EF0391">
              <w:rPr>
                <w:sz w:val="22"/>
                <w:szCs w:val="18"/>
                <w:lang w:val="it-IT"/>
              </w:rPr>
              <w:t xml:space="preserve"> lipase, amylase, protease</w:t>
            </w:r>
            <w:r w:rsidRPr="00642ECE">
              <w:rPr>
                <w:sz w:val="22"/>
                <w:szCs w:val="18"/>
              </w:rPr>
              <w:t xml:space="preserve"> 5,600, 3,200 350.</w:t>
            </w:r>
          </w:p>
        </w:tc>
      </w:tr>
      <w:tr w:rsidRPr="00E25790" w:rsidR="00115F48" w:rsidTr="00FB38D0" w14:paraId="32B9087B" w14:textId="77777777">
        <w:trPr>
          <w:cantSplit/>
          <w:trHeight w:val="960"/>
        </w:trPr>
        <w:tc>
          <w:tcPr>
            <w:tcW w:w="2443" w:type="dxa"/>
            <w:tcBorders>
              <w:top w:val="single" w:color="auto" w:sz="6" w:space="0"/>
              <w:left w:val="single" w:color="auto" w:sz="6" w:space="0"/>
              <w:bottom w:val="single" w:color="auto" w:sz="6" w:space="0"/>
            </w:tcBorders>
          </w:tcPr>
          <w:p w:rsidRPr="00E25790" w:rsidR="00115F48" w:rsidP="006F0321" w:rsidRDefault="00115F48" w14:paraId="7059E41D" w14:textId="77777777">
            <w:r w:rsidRPr="00642ECE">
              <w:rPr>
                <w:b/>
              </w:rPr>
              <w:t>Dilution</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43912804" w14:textId="77777777">
            <w:r w:rsidRPr="00E25790">
              <w:t>Nil.  Mix with a sugar free syrup or jam for administration on spoon.</w:t>
            </w:r>
          </w:p>
        </w:tc>
      </w:tr>
      <w:tr w:rsidRPr="00E25790" w:rsidR="00115F48" w:rsidTr="00FB38D0" w14:paraId="3F64DFD4"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7F872727" w14:textId="77777777">
            <w:r w:rsidRPr="00642ECE">
              <w:rPr>
                <w:b/>
              </w:rPr>
              <w:t>Stability</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7EF60684" w14:textId="77777777">
            <w:r w:rsidRPr="00E25790">
              <w:t>Do not administer with alkali or antacids</w:t>
            </w:r>
          </w:p>
        </w:tc>
      </w:tr>
      <w:tr w:rsidRPr="00E25790" w:rsidR="00115F48" w:rsidTr="00FB38D0" w14:paraId="4DDE57D9"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1BEB94D2" w14:textId="77777777">
            <w:r w:rsidRPr="00642ECE">
              <w:rPr>
                <w:b/>
              </w:rPr>
              <w:t>Storage</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37B8F6BC" w14:textId="77777777">
            <w:r w:rsidRPr="00E25790">
              <w:t>Room temperature.</w:t>
            </w:r>
          </w:p>
        </w:tc>
      </w:tr>
      <w:tr w:rsidRPr="00E25790" w:rsidR="00115F48" w:rsidTr="00FB38D0" w14:paraId="29B62708"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65DCF998" w14:textId="77777777">
            <w:r w:rsidRPr="00642ECE">
              <w:rPr>
                <w:b/>
              </w:rPr>
              <w:t>Compatibility</w:t>
            </w:r>
            <w:r w:rsidRPr="00E25790">
              <w:t>:</w:t>
            </w:r>
          </w:p>
        </w:tc>
        <w:tc>
          <w:tcPr>
            <w:tcW w:w="6621" w:type="dxa"/>
            <w:tcBorders>
              <w:top w:val="single" w:color="auto" w:sz="6" w:space="0"/>
              <w:bottom w:val="single" w:color="auto" w:sz="6" w:space="0"/>
              <w:right w:val="single" w:color="auto" w:sz="6" w:space="0"/>
            </w:tcBorders>
          </w:tcPr>
          <w:p w:rsidRPr="00E25790" w:rsidR="00115F48" w:rsidP="006F0321" w:rsidRDefault="00115F48" w14:paraId="69602D49" w14:textId="77777777">
            <w:r w:rsidRPr="00E25790">
              <w:t>Not Applicable.</w:t>
            </w:r>
          </w:p>
        </w:tc>
      </w:tr>
      <w:tr w:rsidRPr="00E25790" w:rsidR="00115F48" w:rsidTr="00FB38D0" w14:paraId="08CB2656"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4C042BC2" w14:textId="77777777">
            <w:r w:rsidRPr="00642ECE">
              <w:rPr>
                <w:b/>
              </w:rPr>
              <w:t>Incompatibility</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570F80C0" w14:textId="77777777">
            <w:r w:rsidRPr="00E25790">
              <w:t>Not Applicable.</w:t>
            </w:r>
          </w:p>
        </w:tc>
      </w:tr>
      <w:tr w:rsidRPr="00E25790" w:rsidR="00115F48" w:rsidTr="00FB38D0" w14:paraId="791C03DF" w14:textId="77777777">
        <w:trPr>
          <w:cantSplit/>
          <w:trHeight w:val="283"/>
        </w:trPr>
        <w:tc>
          <w:tcPr>
            <w:tcW w:w="2443" w:type="dxa"/>
            <w:tcBorders>
              <w:top w:val="single" w:color="auto" w:sz="6" w:space="0"/>
              <w:left w:val="single" w:color="auto" w:sz="6" w:space="0"/>
              <w:bottom w:val="single" w:color="auto" w:sz="6" w:space="0"/>
            </w:tcBorders>
          </w:tcPr>
          <w:p w:rsidRPr="00E25790" w:rsidR="00115F48" w:rsidP="006F0321" w:rsidRDefault="00115F48" w14:paraId="748A69E3" w14:textId="77777777">
            <w:r w:rsidRPr="00642ECE">
              <w:rPr>
                <w:b/>
              </w:rPr>
              <w:t>Serum Levels</w:t>
            </w:r>
            <w:r w:rsidRPr="00E25790">
              <w:t xml:space="preserv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7D0D0F97" w14:textId="77777777">
            <w:r w:rsidRPr="00E25790">
              <w:t>Not Applicable.</w:t>
            </w:r>
          </w:p>
        </w:tc>
      </w:tr>
    </w:tbl>
    <w:p w:rsidR="00115F48" w:rsidP="006F0321" w:rsidRDefault="00115F48" w14:paraId="42CD7121" w14:textId="77777777"/>
    <w:tbl>
      <w:tblPr>
        <w:tblW w:w="9096" w:type="dxa"/>
        <w:tblInd w:w="-34" w:type="dxa"/>
        <w:tblCellMar>
          <w:left w:w="0" w:type="dxa"/>
          <w:right w:w="0" w:type="dxa"/>
        </w:tblCellMar>
        <w:tblLook w:val="04A0" w:firstRow="1" w:lastRow="0" w:firstColumn="1" w:lastColumn="0" w:noHBand="0" w:noVBand="1"/>
      </w:tblPr>
      <w:tblGrid>
        <w:gridCol w:w="47"/>
        <w:gridCol w:w="4061"/>
        <w:gridCol w:w="92"/>
        <w:gridCol w:w="4725"/>
        <w:gridCol w:w="171"/>
      </w:tblGrid>
      <w:tr w:rsidR="001E29C6" w:rsidTr="008074AA" w14:paraId="63B03306" w14:textId="77777777">
        <w:trPr>
          <w:gridAfter w:val="1"/>
          <w:wAfter w:w="171" w:type="dxa"/>
        </w:trPr>
        <w:tc>
          <w:tcPr>
            <w:tcW w:w="4108"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09AC916A" w14:textId="318EC62B">
            <w:pPr>
              <w:spacing w:line="252" w:lineRule="auto"/>
              <w:rPr>
                <w:sz w:val="16"/>
                <w:szCs w:val="16"/>
                <w:lang w:val="en-AU"/>
              </w:rPr>
            </w:pPr>
            <w:r w:rsidRPr="001E29C6">
              <w:rPr>
                <w:sz w:val="16"/>
                <w:szCs w:val="16"/>
              </w:rPr>
              <w:t xml:space="preserve">Original version Date: </w:t>
            </w:r>
            <w:r>
              <w:rPr>
                <w:sz w:val="16"/>
                <w:szCs w:val="16"/>
              </w:rPr>
              <w:t>2014</w:t>
            </w:r>
          </w:p>
        </w:tc>
        <w:tc>
          <w:tcPr>
            <w:tcW w:w="4817"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3C535352" w14:textId="53EE14CF">
            <w:pPr>
              <w:spacing w:line="252" w:lineRule="auto"/>
              <w:rPr>
                <w:sz w:val="16"/>
                <w:szCs w:val="16"/>
              </w:rPr>
            </w:pPr>
            <w:r w:rsidRPr="001E29C6">
              <w:rPr>
                <w:sz w:val="16"/>
                <w:szCs w:val="16"/>
              </w:rPr>
              <w:t xml:space="preserve">Author: </w:t>
            </w:r>
            <w:r>
              <w:rPr>
                <w:sz w:val="16"/>
                <w:szCs w:val="16"/>
              </w:rPr>
              <w:t>AK, JD</w:t>
            </w:r>
          </w:p>
        </w:tc>
      </w:tr>
      <w:tr w:rsidR="001E29C6" w:rsidTr="008074AA" w14:paraId="02B8C907" w14:textId="77777777">
        <w:trPr>
          <w:gridAfter w:val="1"/>
          <w:wAfter w:w="171" w:type="dxa"/>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79A25CE5" w14:textId="77777777">
            <w:pPr>
              <w:spacing w:line="252" w:lineRule="auto"/>
              <w:rPr>
                <w:sz w:val="16"/>
                <w:szCs w:val="16"/>
              </w:rPr>
            </w:pPr>
            <w:r w:rsidRPr="001E29C6">
              <w:rPr>
                <w:sz w:val="16"/>
                <w:szCs w:val="16"/>
              </w:rPr>
              <w:t>Current Version number:  2</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64D2B6B9" w14:textId="756D2810">
            <w:pPr>
              <w:spacing w:line="252" w:lineRule="auto"/>
              <w:rPr>
                <w:sz w:val="16"/>
                <w:szCs w:val="16"/>
              </w:rPr>
            </w:pPr>
            <w:r w:rsidRPr="001E29C6">
              <w:rPr>
                <w:sz w:val="16"/>
                <w:szCs w:val="16"/>
              </w:rPr>
              <w:t xml:space="preserve">Current Version Date:  </w:t>
            </w:r>
            <w:r>
              <w:rPr>
                <w:sz w:val="16"/>
                <w:szCs w:val="16"/>
              </w:rPr>
              <w:t>30/12/2020</w:t>
            </w:r>
          </w:p>
        </w:tc>
      </w:tr>
      <w:tr w:rsidR="001E29C6" w:rsidTr="008074AA" w14:paraId="4A6268B7" w14:textId="77777777">
        <w:trPr>
          <w:gridAfter w:val="1"/>
          <w:wAfter w:w="171" w:type="dxa"/>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0604C1A7" w14:textId="77777777">
            <w:pPr>
              <w:spacing w:line="252" w:lineRule="auto"/>
              <w:rPr>
                <w:sz w:val="16"/>
                <w:szCs w:val="16"/>
              </w:rPr>
            </w:pPr>
            <w:r w:rsidRPr="001E29C6">
              <w:rPr>
                <w:sz w:val="16"/>
                <w:szCs w:val="16"/>
              </w:rPr>
              <w:t>Risk Rating: Low</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7F85C84F" w14:textId="134DE912">
            <w:pPr>
              <w:spacing w:line="252" w:lineRule="auto"/>
              <w:rPr>
                <w:sz w:val="16"/>
                <w:szCs w:val="16"/>
              </w:rPr>
            </w:pPr>
            <w:r w:rsidRPr="001E29C6">
              <w:rPr>
                <w:sz w:val="16"/>
                <w:szCs w:val="16"/>
              </w:rPr>
              <w:t xml:space="preserve">Due for Review:  </w:t>
            </w:r>
            <w:r>
              <w:rPr>
                <w:sz w:val="16"/>
                <w:szCs w:val="16"/>
              </w:rPr>
              <w:t>30/12</w:t>
            </w:r>
            <w:r w:rsidRPr="001E29C6">
              <w:rPr>
                <w:sz w:val="16"/>
                <w:szCs w:val="16"/>
              </w:rPr>
              <w:t>/2025</w:t>
            </w:r>
          </w:p>
        </w:tc>
      </w:tr>
      <w:tr w:rsidR="001E29C6" w:rsidTr="008074AA" w14:paraId="4DE8EA40" w14:textId="77777777">
        <w:trPr>
          <w:gridAfter w:val="1"/>
          <w:wAfter w:w="171" w:type="dxa"/>
          <w:trHeight w:val="344"/>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3C57FFEF" w14:textId="77777777">
            <w:pPr>
              <w:spacing w:line="252" w:lineRule="auto"/>
              <w:rPr>
                <w:sz w:val="16"/>
                <w:szCs w:val="16"/>
              </w:rPr>
            </w:pPr>
            <w:r w:rsidRPr="001E29C6">
              <w:rPr>
                <w:sz w:val="16"/>
                <w:szCs w:val="16"/>
              </w:rPr>
              <w:t>Approved by: DTC</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1E29C6" w:rsidR="001E29C6" w:rsidP="00FE4186" w:rsidRDefault="001E29C6" w14:paraId="17024A4B" w14:textId="313FE32A">
            <w:pPr>
              <w:spacing w:line="252" w:lineRule="auto"/>
              <w:rPr>
                <w:sz w:val="16"/>
                <w:szCs w:val="16"/>
              </w:rPr>
            </w:pPr>
            <w:r w:rsidRPr="001E29C6">
              <w:rPr>
                <w:sz w:val="16"/>
                <w:szCs w:val="16"/>
              </w:rPr>
              <w:t xml:space="preserve">Approval Date: </w:t>
            </w:r>
            <w:r w:rsidR="00260BC8">
              <w:rPr>
                <w:sz w:val="16"/>
                <w:szCs w:val="16"/>
              </w:rPr>
              <w:t>APRIL 2021</w:t>
            </w:r>
          </w:p>
        </w:tc>
      </w:tr>
      <w:tr w:rsidRPr="00E25790" w:rsidR="00115F48" w:rsidTr="008074AA" w14:paraId="502F8F62" w14:textId="77777777">
        <w:tblPrEx>
          <w:tblCellMar>
            <w:left w:w="108" w:type="dxa"/>
            <w:right w:w="108" w:type="dxa"/>
          </w:tblCellMar>
          <w:tblLook w:val="0000" w:firstRow="0" w:lastRow="0" w:firstColumn="0" w:lastColumn="0" w:noHBand="0" w:noVBand="0"/>
        </w:tblPrEx>
        <w:trPr>
          <w:gridBefore w:val="1"/>
          <w:wBefore w:w="47" w:type="dxa"/>
          <w:cantSplit/>
          <w:trHeight w:val="720"/>
        </w:trPr>
        <w:tc>
          <w:tcPr>
            <w:tcW w:w="9049" w:type="dxa"/>
            <w:gridSpan w:val="4"/>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252D26A0" w14:textId="77777777">
            <w:pPr>
              <w:pStyle w:val="Heading1"/>
            </w:pPr>
            <w:bookmarkStart w:name="_Toc495481147" w:id="447"/>
            <w:bookmarkStart w:name="_Toc495481273" w:id="448"/>
            <w:bookmarkStart w:name="_Toc495481398" w:id="449"/>
            <w:bookmarkStart w:name="_Toc495501579" w:id="450"/>
            <w:bookmarkStart w:name="_Toc38106898" w:id="451"/>
            <w:bookmarkStart w:name="_Toc75340019" w:id="452"/>
            <w:r w:rsidRPr="00E25790">
              <w:lastRenderedPageBreak/>
              <w:t>Pancuronium</w:t>
            </w:r>
            <w:bookmarkEnd w:id="447"/>
            <w:bookmarkEnd w:id="448"/>
            <w:bookmarkEnd w:id="449"/>
            <w:bookmarkEnd w:id="450"/>
            <w:bookmarkEnd w:id="451"/>
            <w:bookmarkEnd w:id="452"/>
            <w:r w:rsidRPr="00E25790">
              <w:fldChar w:fldCharType="begin"/>
            </w:r>
            <w:r w:rsidRPr="00E25790">
              <w:instrText>tc "Pancuronium" \l 0</w:instrText>
            </w:r>
            <w:r w:rsidRPr="00E25790">
              <w:fldChar w:fldCharType="end"/>
            </w:r>
          </w:p>
        </w:tc>
      </w:tr>
      <w:tr w:rsidRPr="00E25790" w:rsidR="00115F48" w:rsidTr="008074AA" w14:paraId="7E4BAB23" w14:textId="77777777">
        <w:tblPrEx>
          <w:tblCellMar>
            <w:left w:w="108" w:type="dxa"/>
            <w:right w:w="108" w:type="dxa"/>
          </w:tblCellMar>
          <w:tblLook w:val="0000" w:firstRow="0" w:lastRow="0" w:firstColumn="0" w:lastColumn="0" w:noHBand="0" w:noVBand="0"/>
        </w:tblPrEx>
        <w:trPr>
          <w:gridBefore w:val="1"/>
          <w:wBefore w:w="47" w:type="dxa"/>
          <w:cantSplit/>
          <w:trHeight w:val="480"/>
        </w:trPr>
        <w:tc>
          <w:tcPr>
            <w:tcW w:w="4153" w:type="dxa"/>
            <w:gridSpan w:val="2"/>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B9C727A" w14:textId="7896CFB9">
            <w:r w:rsidRPr="00E25790">
              <w:t xml:space="preserve">Revision Date : </w:t>
            </w:r>
            <w:r w:rsidR="002C6830">
              <w:t>2-3-2020</w:t>
            </w:r>
          </w:p>
        </w:tc>
        <w:tc>
          <w:tcPr>
            <w:tcW w:w="4896" w:type="dxa"/>
            <w:gridSpan w:val="2"/>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BE07DEC" w14:textId="4693853C">
            <w:r w:rsidRPr="00E25790">
              <w:t xml:space="preserve">Approved: </w:t>
            </w:r>
            <w:r w:rsidR="00893CE9">
              <w:t>TC, KOH</w:t>
            </w:r>
          </w:p>
        </w:tc>
      </w:tr>
    </w:tbl>
    <w:p w:rsidRPr="00E25790" w:rsidR="00115F48" w:rsidP="006F0321" w:rsidRDefault="00115F48" w14:paraId="37F146D7"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10"/>
        <w:gridCol w:w="7825"/>
      </w:tblGrid>
      <w:tr w:rsidRPr="00771936" w:rsidR="006E4CF9" w:rsidTr="006E4CF9" w14:paraId="21F4FF4B" w14:textId="77777777">
        <w:trPr>
          <w:trHeight w:val="363"/>
        </w:trPr>
        <w:tc>
          <w:tcPr>
            <w:tcW w:w="2410" w:type="dxa"/>
          </w:tcPr>
          <w:p w:rsidRPr="00771936" w:rsidR="006E4CF9" w:rsidP="00FE4186" w:rsidRDefault="006E4CF9" w14:paraId="32013C6F" w14:textId="77777777">
            <w:pPr>
              <w:pStyle w:val="BodyText"/>
              <w:tabs>
                <w:tab w:val="center" w:pos="1476"/>
              </w:tabs>
              <w:rPr>
                <w:rFonts w:cs="Arial"/>
                <w:b/>
                <w:sz w:val="22"/>
                <w:szCs w:val="22"/>
                <w:lang w:val="en-AU"/>
              </w:rPr>
            </w:pPr>
            <w:r w:rsidRPr="00771936">
              <w:rPr>
                <w:rFonts w:cs="Arial"/>
                <w:b/>
                <w:sz w:val="22"/>
                <w:szCs w:val="22"/>
                <w:lang w:val="en-AU"/>
              </w:rPr>
              <w:t>Alert</w:t>
            </w:r>
            <w:r w:rsidRPr="00771936">
              <w:rPr>
                <w:rFonts w:cs="Arial"/>
                <w:b/>
                <w:sz w:val="22"/>
                <w:szCs w:val="22"/>
                <w:lang w:val="en-AU"/>
              </w:rPr>
              <w:tab/>
            </w:r>
          </w:p>
          <w:p w:rsidRPr="00771936" w:rsidR="006E4CF9" w:rsidP="00FE4186" w:rsidRDefault="006E4CF9" w14:paraId="74783A39" w14:textId="77777777">
            <w:pPr>
              <w:pStyle w:val="BodyText"/>
              <w:tabs>
                <w:tab w:val="center" w:pos="1476"/>
              </w:tabs>
              <w:rPr>
                <w:rFonts w:cs="Arial"/>
                <w:b/>
                <w:sz w:val="20"/>
                <w:lang w:val="en-AU"/>
              </w:rPr>
            </w:pPr>
            <w:r w:rsidRPr="00771936">
              <w:rPr>
                <w:rFonts w:cs="Arial"/>
                <w:b/>
                <w:sz w:val="20"/>
                <w:lang w:val="en-AU"/>
              </w:rPr>
              <w:t xml:space="preserve"> </w:t>
            </w:r>
          </w:p>
        </w:tc>
        <w:tc>
          <w:tcPr>
            <w:tcW w:w="7825" w:type="dxa"/>
          </w:tcPr>
          <w:p w:rsidRPr="0021568F" w:rsidR="006E4CF9" w:rsidP="00FE4186" w:rsidRDefault="006E4CF9" w14:paraId="435E9CFC" w14:textId="77777777">
            <w:pPr>
              <w:pStyle w:val="BodyText"/>
              <w:rPr>
                <w:rFonts w:cs="Arial"/>
                <w:sz w:val="20"/>
                <w:lang w:val="en-AU"/>
              </w:rPr>
            </w:pPr>
            <w:r w:rsidRPr="0021568F">
              <w:rPr>
                <w:rFonts w:cs="Arial"/>
                <w:sz w:val="20"/>
                <w:lang w:val="en-AU"/>
              </w:rPr>
              <w:t>High-alert medication: High risk of causing significant patient harm when used in error.</w:t>
            </w:r>
          </w:p>
          <w:p w:rsidRPr="0021568F" w:rsidR="006E4CF9" w:rsidP="00FE4186" w:rsidRDefault="006E4CF9" w14:paraId="1FB94830" w14:textId="77777777">
            <w:pPr>
              <w:pStyle w:val="BodyText"/>
              <w:rPr>
                <w:rFonts w:cs="Arial"/>
                <w:sz w:val="20"/>
                <w:lang w:val="en-AU"/>
              </w:rPr>
            </w:pPr>
            <w:r w:rsidRPr="0021568F">
              <w:rPr>
                <w:rFonts w:cs="Arial"/>
                <w:sz w:val="20"/>
                <w:lang w:val="en-AU"/>
              </w:rPr>
              <w:t xml:space="preserve">This drug should be administered in the presence of personnel trained in advanced airway management. </w:t>
            </w:r>
          </w:p>
          <w:p w:rsidR="006E4CF9" w:rsidP="00FE4186" w:rsidRDefault="006E4CF9" w14:paraId="22132EB5" w14:textId="77777777">
            <w:pPr>
              <w:pStyle w:val="BodyText"/>
              <w:rPr>
                <w:rFonts w:cs="Arial"/>
                <w:sz w:val="20"/>
                <w:lang w:val="en-AU"/>
              </w:rPr>
            </w:pPr>
            <w:r w:rsidRPr="0021568F">
              <w:rPr>
                <w:rFonts w:cs="Arial"/>
                <w:sz w:val="20"/>
                <w:lang w:val="en-AU"/>
              </w:rPr>
              <w:t>Suggest regular cessation of infusion for a few to several hours, possibly every 24 hours (commonly referred to as ‘drug holiday’</w:t>
            </w:r>
            <w:r w:rsidRPr="0021568F">
              <w:rPr>
                <w:rFonts w:cs="Arial"/>
                <w:sz w:val="20"/>
                <w:vertAlign w:val="superscript"/>
                <w:lang w:val="en-AU"/>
              </w:rPr>
              <w:t>7</w:t>
            </w:r>
            <w:r w:rsidRPr="0021568F">
              <w:rPr>
                <w:rFonts w:cs="Arial"/>
                <w:sz w:val="20"/>
                <w:lang w:val="en-AU"/>
              </w:rPr>
              <w:t>) to assess the need for continued paralysis and adequacy of sedation or analgesia.</w:t>
            </w:r>
          </w:p>
          <w:p w:rsidRPr="00771936" w:rsidR="006E4CF9" w:rsidP="00FE4186" w:rsidRDefault="006E4CF9" w14:paraId="54F3A45A" w14:textId="77777777">
            <w:pPr>
              <w:pStyle w:val="BodyText"/>
              <w:rPr>
                <w:rFonts w:cs="Arial"/>
                <w:sz w:val="20"/>
                <w:lang w:val="en-AU"/>
              </w:rPr>
            </w:pPr>
            <w:r w:rsidRPr="0021568F">
              <w:rPr>
                <w:rFonts w:cs="Arial"/>
                <w:sz w:val="20"/>
                <w:lang w:val="en-AU"/>
              </w:rPr>
              <w:t>Line should be adequately flushed to avoid unintended paralysis during later use of the line.</w:t>
            </w:r>
          </w:p>
        </w:tc>
      </w:tr>
      <w:tr w:rsidRPr="00771936" w:rsidR="006E4CF9" w:rsidTr="006E4CF9" w14:paraId="321A16EC" w14:textId="77777777">
        <w:trPr>
          <w:trHeight w:val="553"/>
        </w:trPr>
        <w:tc>
          <w:tcPr>
            <w:tcW w:w="2410" w:type="dxa"/>
          </w:tcPr>
          <w:p w:rsidRPr="00771936" w:rsidR="006E4CF9" w:rsidP="00FE4186" w:rsidRDefault="006E4CF9" w14:paraId="4EF2979E" w14:textId="77777777">
            <w:pPr>
              <w:pStyle w:val="BodyText"/>
              <w:rPr>
                <w:rFonts w:cs="Arial"/>
                <w:b/>
                <w:bCs/>
                <w:szCs w:val="24"/>
                <w:lang w:val="en-AU"/>
              </w:rPr>
            </w:pPr>
            <w:r w:rsidRPr="00771936">
              <w:rPr>
                <w:rFonts w:cs="Arial"/>
                <w:b/>
                <w:bCs/>
                <w:szCs w:val="24"/>
                <w:lang w:val="en-AU"/>
              </w:rPr>
              <w:t xml:space="preserve">Indication                         </w:t>
            </w:r>
          </w:p>
          <w:p w:rsidRPr="00771936" w:rsidR="006E4CF9" w:rsidP="00FE4186" w:rsidRDefault="006E4CF9" w14:paraId="4BAF6B27" w14:textId="77777777">
            <w:pPr>
              <w:pStyle w:val="BodyText"/>
              <w:rPr>
                <w:rFonts w:cs="Arial"/>
                <w:sz w:val="20"/>
                <w:lang w:val="en-AU"/>
              </w:rPr>
            </w:pPr>
          </w:p>
        </w:tc>
        <w:tc>
          <w:tcPr>
            <w:tcW w:w="7825" w:type="dxa"/>
          </w:tcPr>
          <w:p w:rsidRPr="00771936" w:rsidR="006E4CF9" w:rsidP="00FE4186" w:rsidRDefault="006E4CF9" w14:paraId="23AEA072" w14:textId="77777777">
            <w:pPr>
              <w:rPr>
                <w:sz w:val="20"/>
              </w:rPr>
            </w:pPr>
            <w:r w:rsidRPr="00771936">
              <w:rPr>
                <w:sz w:val="20"/>
              </w:rPr>
              <w:t>1. Skeletal muscle relaxation or paralysis in mechanically ventilated infants</w:t>
            </w:r>
          </w:p>
          <w:p w:rsidRPr="00771936" w:rsidR="006E4CF9" w:rsidP="00FE4186" w:rsidRDefault="006E4CF9" w14:paraId="7D4DF0C1" w14:textId="77777777">
            <w:pPr>
              <w:rPr>
                <w:sz w:val="20"/>
              </w:rPr>
            </w:pPr>
            <w:r w:rsidRPr="00771936">
              <w:rPr>
                <w:sz w:val="20"/>
              </w:rPr>
              <w:t>2. For elective endotracheal intubation.</w:t>
            </w:r>
          </w:p>
        </w:tc>
      </w:tr>
      <w:tr w:rsidRPr="00771936" w:rsidR="006E4CF9" w:rsidTr="006E4CF9" w14:paraId="79B9C175" w14:textId="77777777">
        <w:trPr>
          <w:trHeight w:val="472"/>
        </w:trPr>
        <w:tc>
          <w:tcPr>
            <w:tcW w:w="2410" w:type="dxa"/>
          </w:tcPr>
          <w:p w:rsidRPr="00771936" w:rsidR="006E4CF9" w:rsidP="00FE4186" w:rsidRDefault="006E4CF9" w14:paraId="2DEE2A7C" w14:textId="77777777">
            <w:pPr>
              <w:pStyle w:val="BodyText"/>
              <w:rPr>
                <w:rFonts w:cs="Arial"/>
                <w:b/>
                <w:bCs/>
                <w:szCs w:val="24"/>
                <w:lang w:val="en-AU"/>
              </w:rPr>
            </w:pPr>
            <w:r w:rsidRPr="00771936">
              <w:rPr>
                <w:rFonts w:cs="Arial"/>
                <w:b/>
                <w:bCs/>
                <w:szCs w:val="24"/>
                <w:lang w:val="en-AU"/>
              </w:rPr>
              <w:t>Action</w:t>
            </w:r>
          </w:p>
        </w:tc>
        <w:tc>
          <w:tcPr>
            <w:tcW w:w="7825" w:type="dxa"/>
          </w:tcPr>
          <w:p w:rsidR="006E4CF9" w:rsidP="00FE4186" w:rsidRDefault="006E4CF9" w14:paraId="24E0AD37" w14:textId="77777777">
            <w:pPr>
              <w:rPr>
                <w:rFonts w:cs="Arial"/>
                <w:sz w:val="20"/>
              </w:rPr>
            </w:pPr>
            <w:r w:rsidRPr="00771936">
              <w:rPr>
                <w:rFonts w:cs="Arial"/>
                <w:sz w:val="20"/>
              </w:rPr>
              <w:t xml:space="preserve">Long acting </w:t>
            </w:r>
            <w:r>
              <w:rPr>
                <w:rFonts w:cs="Arial"/>
                <w:sz w:val="20"/>
              </w:rPr>
              <w:t>n</w:t>
            </w:r>
            <w:r w:rsidRPr="00771936">
              <w:rPr>
                <w:rFonts w:cs="Arial"/>
                <w:sz w:val="20"/>
              </w:rPr>
              <w:t>on-depolari</w:t>
            </w:r>
            <w:r>
              <w:rPr>
                <w:rFonts w:cs="Arial"/>
                <w:sz w:val="20"/>
              </w:rPr>
              <w:t>s</w:t>
            </w:r>
            <w:r w:rsidRPr="00771936">
              <w:rPr>
                <w:rFonts w:cs="Arial"/>
                <w:sz w:val="20"/>
              </w:rPr>
              <w:t xml:space="preserve">ing muscle relaxant that competitively antagonises </w:t>
            </w:r>
            <w:r w:rsidRPr="00A2486B">
              <w:rPr>
                <w:rFonts w:cs="Arial"/>
                <w:sz w:val="20"/>
              </w:rPr>
              <w:t>acetylcholine antagonist at nicotinic acetylcholine receptors at neuromuscular junctions</w:t>
            </w:r>
            <w:r w:rsidRPr="00771936">
              <w:rPr>
                <w:rFonts w:cs="Arial"/>
                <w:sz w:val="20"/>
              </w:rPr>
              <w:t xml:space="preserve">. Also has </w:t>
            </w:r>
            <w:r>
              <w:rPr>
                <w:rFonts w:cs="Arial"/>
                <w:sz w:val="20"/>
              </w:rPr>
              <w:t xml:space="preserve">autonomic </w:t>
            </w:r>
            <w:r w:rsidRPr="00771936">
              <w:rPr>
                <w:rFonts w:cs="Arial"/>
                <w:sz w:val="20"/>
              </w:rPr>
              <w:t>anticholinergic effect resulting in increase in heart rate.</w:t>
            </w:r>
          </w:p>
          <w:p w:rsidRPr="00771936" w:rsidR="006E4CF9" w:rsidP="00FE4186" w:rsidRDefault="006E4CF9" w14:paraId="5A61EC79" w14:textId="77777777">
            <w:pPr>
              <w:rPr>
                <w:rFonts w:cs="Arial"/>
                <w:sz w:val="20"/>
              </w:rPr>
            </w:pPr>
            <w:r>
              <w:rPr>
                <w:rFonts w:cs="Arial"/>
                <w:sz w:val="20"/>
              </w:rPr>
              <w:t>Onset of action: 1–2 minutes. Duration of action: 45–60 minutes.</w:t>
            </w:r>
            <w:r w:rsidRPr="00771936">
              <w:rPr>
                <w:rFonts w:cs="Arial"/>
                <w:sz w:val="20"/>
              </w:rPr>
              <w:t xml:space="preserve"> </w:t>
            </w:r>
          </w:p>
        </w:tc>
      </w:tr>
      <w:tr w:rsidRPr="00771936" w:rsidR="006E4CF9" w:rsidTr="006E4CF9" w14:paraId="05007C9E" w14:textId="77777777">
        <w:trPr>
          <w:trHeight w:val="266"/>
        </w:trPr>
        <w:tc>
          <w:tcPr>
            <w:tcW w:w="2410" w:type="dxa"/>
          </w:tcPr>
          <w:p w:rsidRPr="00771936" w:rsidR="006E4CF9" w:rsidP="00FE4186" w:rsidRDefault="006E4CF9" w14:paraId="663FAE19" w14:textId="77777777">
            <w:pPr>
              <w:pStyle w:val="BodyText"/>
              <w:rPr>
                <w:rFonts w:cs="Arial"/>
                <w:szCs w:val="24"/>
                <w:lang w:val="en-AU"/>
              </w:rPr>
            </w:pPr>
            <w:r w:rsidRPr="00771936">
              <w:rPr>
                <w:rFonts w:cs="Arial"/>
                <w:b/>
                <w:bCs/>
                <w:szCs w:val="24"/>
                <w:lang w:val="en-AU"/>
              </w:rPr>
              <w:t xml:space="preserve">Drug Type                                   </w:t>
            </w:r>
          </w:p>
        </w:tc>
        <w:tc>
          <w:tcPr>
            <w:tcW w:w="7825" w:type="dxa"/>
          </w:tcPr>
          <w:p w:rsidRPr="00771936" w:rsidR="006E4CF9" w:rsidP="00FE4186" w:rsidRDefault="006E4CF9" w14:paraId="3406D404" w14:textId="77777777">
            <w:pPr>
              <w:pStyle w:val="BodyText"/>
              <w:rPr>
                <w:rFonts w:cs="Arial"/>
                <w:sz w:val="20"/>
                <w:lang w:val="en-AU"/>
              </w:rPr>
            </w:pPr>
            <w:r w:rsidRPr="00771936">
              <w:rPr>
                <w:rFonts w:cs="Arial"/>
                <w:sz w:val="20"/>
                <w:lang w:val="en-AU"/>
              </w:rPr>
              <w:t>Long acting non-depolari</w:t>
            </w:r>
            <w:r>
              <w:rPr>
                <w:rFonts w:cs="Arial"/>
                <w:sz w:val="20"/>
                <w:lang w:val="en-AU"/>
              </w:rPr>
              <w:t>s</w:t>
            </w:r>
            <w:r w:rsidRPr="00771936">
              <w:rPr>
                <w:rFonts w:cs="Arial"/>
                <w:sz w:val="20"/>
                <w:lang w:val="en-AU"/>
              </w:rPr>
              <w:t>ing neuromuscular blocking agent.</w:t>
            </w:r>
          </w:p>
        </w:tc>
      </w:tr>
      <w:tr w:rsidRPr="00771936" w:rsidR="006E4CF9" w:rsidTr="006E4CF9" w14:paraId="0D5D6677" w14:textId="77777777">
        <w:trPr>
          <w:trHeight w:val="168"/>
        </w:trPr>
        <w:tc>
          <w:tcPr>
            <w:tcW w:w="2410" w:type="dxa"/>
          </w:tcPr>
          <w:p w:rsidRPr="00771936" w:rsidR="006E4CF9" w:rsidP="00FE4186" w:rsidRDefault="006E4CF9" w14:paraId="7EB960BB" w14:textId="77777777">
            <w:pPr>
              <w:pStyle w:val="BodyText"/>
              <w:rPr>
                <w:rFonts w:cs="Arial"/>
                <w:b/>
                <w:bCs/>
                <w:szCs w:val="24"/>
                <w:lang w:val="en-AU"/>
              </w:rPr>
            </w:pPr>
            <w:r w:rsidRPr="00771936">
              <w:rPr>
                <w:rFonts w:cs="Arial"/>
                <w:b/>
                <w:bCs/>
                <w:szCs w:val="24"/>
                <w:lang w:val="en-AU"/>
              </w:rPr>
              <w:t xml:space="preserve">Trade Name                  </w:t>
            </w:r>
          </w:p>
        </w:tc>
        <w:tc>
          <w:tcPr>
            <w:tcW w:w="7825" w:type="dxa"/>
          </w:tcPr>
          <w:p w:rsidRPr="00771936" w:rsidR="006E4CF9" w:rsidP="00FE4186" w:rsidRDefault="006E4CF9" w14:paraId="28C0F400" w14:textId="77777777">
            <w:pPr>
              <w:pStyle w:val="BodyText"/>
              <w:rPr>
                <w:rFonts w:cs="Arial"/>
                <w:sz w:val="20"/>
                <w:lang w:val="en-AU"/>
              </w:rPr>
            </w:pPr>
            <w:r w:rsidRPr="00771936">
              <w:rPr>
                <w:rFonts w:cs="Arial"/>
                <w:sz w:val="20"/>
                <w:lang w:val="en-AU"/>
              </w:rPr>
              <w:t>Pancuronium Bromide Injection BP – Astra Zeneca</w:t>
            </w:r>
          </w:p>
        </w:tc>
      </w:tr>
      <w:tr w:rsidRPr="00771936" w:rsidR="006E4CF9" w:rsidTr="006E4CF9" w14:paraId="6A83E989" w14:textId="77777777">
        <w:trPr>
          <w:trHeight w:val="194"/>
        </w:trPr>
        <w:tc>
          <w:tcPr>
            <w:tcW w:w="2410" w:type="dxa"/>
          </w:tcPr>
          <w:p w:rsidRPr="00771936" w:rsidR="006E4CF9" w:rsidP="00FE4186" w:rsidRDefault="006E4CF9" w14:paraId="53309B20" w14:textId="77777777">
            <w:pPr>
              <w:pStyle w:val="BodyText"/>
              <w:rPr>
                <w:rFonts w:cs="Arial"/>
                <w:b/>
                <w:bCs/>
                <w:szCs w:val="24"/>
                <w:lang w:val="en-AU"/>
              </w:rPr>
            </w:pPr>
            <w:r w:rsidRPr="00771936">
              <w:rPr>
                <w:rFonts w:cs="Arial"/>
                <w:b/>
                <w:bCs/>
                <w:szCs w:val="24"/>
                <w:lang w:val="en-AU"/>
              </w:rPr>
              <w:t xml:space="preserve">Presentation </w:t>
            </w:r>
          </w:p>
        </w:tc>
        <w:tc>
          <w:tcPr>
            <w:tcW w:w="7825" w:type="dxa"/>
          </w:tcPr>
          <w:p w:rsidRPr="00771936" w:rsidR="006E4CF9" w:rsidP="00FE4186" w:rsidRDefault="006E4CF9" w14:paraId="0ABC07CD" w14:textId="77777777">
            <w:pPr>
              <w:pStyle w:val="BodyText"/>
              <w:rPr>
                <w:rFonts w:cs="Arial"/>
                <w:sz w:val="20"/>
                <w:lang w:val="en-AU"/>
              </w:rPr>
            </w:pPr>
            <w:r w:rsidRPr="00771936">
              <w:rPr>
                <w:rFonts w:cs="Arial"/>
                <w:sz w:val="20"/>
                <w:lang w:val="en-AU"/>
              </w:rPr>
              <w:t>Ampoules (Polyamp DuoFit), 4 mg/2 mL.</w:t>
            </w:r>
          </w:p>
        </w:tc>
      </w:tr>
      <w:tr w:rsidRPr="00771936" w:rsidR="006E4CF9" w:rsidTr="006E4CF9" w14:paraId="087BD8B0" w14:textId="77777777">
        <w:trPr>
          <w:trHeight w:val="1357"/>
        </w:trPr>
        <w:tc>
          <w:tcPr>
            <w:tcW w:w="2410" w:type="dxa"/>
          </w:tcPr>
          <w:p w:rsidRPr="00771936" w:rsidR="006E4CF9" w:rsidP="00FE4186" w:rsidRDefault="006E4CF9" w14:paraId="61A31119" w14:textId="77777777">
            <w:pPr>
              <w:pStyle w:val="BodyText"/>
              <w:rPr>
                <w:rFonts w:cs="Arial"/>
                <w:b/>
                <w:bCs/>
                <w:szCs w:val="24"/>
                <w:lang w:val="en-AU"/>
              </w:rPr>
            </w:pPr>
            <w:r w:rsidRPr="00771936">
              <w:rPr>
                <w:rFonts w:cs="Arial"/>
                <w:b/>
                <w:bCs/>
                <w:szCs w:val="24"/>
                <w:lang w:val="en-AU"/>
              </w:rPr>
              <w:t xml:space="preserve">Dosage/Interval                           </w:t>
            </w:r>
          </w:p>
          <w:p w:rsidRPr="00771936" w:rsidR="006E4CF9" w:rsidP="00FE4186" w:rsidRDefault="006E4CF9" w14:paraId="47D3CE3D" w14:textId="77777777">
            <w:pPr>
              <w:pStyle w:val="BodyText"/>
              <w:rPr>
                <w:rFonts w:cs="Arial"/>
                <w:sz w:val="20"/>
                <w:lang w:val="en-AU"/>
              </w:rPr>
            </w:pPr>
          </w:p>
        </w:tc>
        <w:tc>
          <w:tcPr>
            <w:tcW w:w="7825" w:type="dxa"/>
          </w:tcPr>
          <w:p w:rsidRPr="00771936" w:rsidR="006E4CF9" w:rsidP="00FE4186" w:rsidRDefault="006E4CF9" w14:paraId="239BD20E" w14:textId="77777777">
            <w:pPr>
              <w:pStyle w:val="BodyText"/>
              <w:rPr>
                <w:b/>
                <w:sz w:val="20"/>
                <w:u w:val="single"/>
                <w:lang w:val="en-AU"/>
              </w:rPr>
            </w:pPr>
            <w:r w:rsidRPr="00771936">
              <w:rPr>
                <w:b/>
                <w:sz w:val="20"/>
                <w:u w:val="single"/>
                <w:lang w:val="en-AU"/>
              </w:rPr>
              <w:t>Muscle relaxation</w:t>
            </w:r>
          </w:p>
          <w:p w:rsidRPr="00771936" w:rsidR="006E4CF9" w:rsidP="00FE4186" w:rsidRDefault="006E4CF9" w14:paraId="2BD61909" w14:textId="77777777">
            <w:pPr>
              <w:pStyle w:val="BodyText"/>
              <w:rPr>
                <w:sz w:val="20"/>
                <w:lang w:val="en-AU"/>
              </w:rPr>
            </w:pPr>
            <w:r w:rsidRPr="00771936">
              <w:rPr>
                <w:sz w:val="20"/>
                <w:lang w:val="en-AU"/>
              </w:rPr>
              <w:t xml:space="preserve">IV </w:t>
            </w:r>
            <w:r>
              <w:rPr>
                <w:sz w:val="20"/>
                <w:lang w:val="en-AU"/>
              </w:rPr>
              <w:t>b</w:t>
            </w:r>
            <w:r w:rsidRPr="00771936">
              <w:rPr>
                <w:sz w:val="20"/>
                <w:lang w:val="en-AU"/>
              </w:rPr>
              <w:t xml:space="preserve">olus: 0.1 mg/kg followed by </w:t>
            </w:r>
          </w:p>
          <w:p w:rsidRPr="00771936" w:rsidR="006E4CF9" w:rsidP="001B0E05" w:rsidRDefault="006E4CF9" w14:paraId="4F8B3FB7" w14:textId="77777777">
            <w:pPr>
              <w:pStyle w:val="BodyText"/>
              <w:numPr>
                <w:ilvl w:val="0"/>
                <w:numId w:val="114"/>
              </w:numPr>
              <w:overflowPunct w:val="0"/>
              <w:autoSpaceDE w:val="0"/>
              <w:autoSpaceDN w:val="0"/>
              <w:adjustRightInd w:val="0"/>
              <w:jc w:val="left"/>
              <w:textAlignment w:val="baseline"/>
              <w:rPr>
                <w:sz w:val="20"/>
                <w:lang w:val="en-AU"/>
              </w:rPr>
            </w:pPr>
            <w:r>
              <w:rPr>
                <w:sz w:val="20"/>
                <w:lang w:val="en-AU"/>
              </w:rPr>
              <w:t>E</w:t>
            </w:r>
            <w:r w:rsidRPr="00771936">
              <w:rPr>
                <w:sz w:val="20"/>
                <w:lang w:val="en-AU"/>
              </w:rPr>
              <w:t>ither IV infusion 0.05 mg/kg/hour (0.025</w:t>
            </w:r>
            <w:r>
              <w:rPr>
                <w:sz w:val="20"/>
                <w:lang w:val="en-AU"/>
              </w:rPr>
              <w:t>–</w:t>
            </w:r>
            <w:r w:rsidRPr="00771936">
              <w:rPr>
                <w:sz w:val="20"/>
                <w:lang w:val="en-AU"/>
              </w:rPr>
              <w:t xml:space="preserve">0.075 mg/kg/hour) </w:t>
            </w:r>
            <w:r w:rsidRPr="00771936">
              <w:rPr>
                <w:b/>
                <w:sz w:val="20"/>
                <w:lang w:val="en-AU"/>
              </w:rPr>
              <w:t>OR</w:t>
            </w:r>
          </w:p>
          <w:p w:rsidRPr="00771936" w:rsidR="006E4CF9" w:rsidP="001B0E05" w:rsidRDefault="006E4CF9" w14:paraId="2C183A54" w14:textId="77777777">
            <w:pPr>
              <w:pStyle w:val="BodyText"/>
              <w:numPr>
                <w:ilvl w:val="0"/>
                <w:numId w:val="114"/>
              </w:numPr>
              <w:overflowPunct w:val="0"/>
              <w:autoSpaceDE w:val="0"/>
              <w:autoSpaceDN w:val="0"/>
              <w:adjustRightInd w:val="0"/>
              <w:jc w:val="left"/>
              <w:textAlignment w:val="baseline"/>
              <w:rPr>
                <w:sz w:val="20"/>
                <w:lang w:val="en-AU"/>
              </w:rPr>
            </w:pPr>
            <w:r w:rsidRPr="00771936">
              <w:rPr>
                <w:sz w:val="20"/>
                <w:lang w:val="en-AU"/>
              </w:rPr>
              <w:t>Intermittent IV bolus 0.05 mg/kg (0.05–0.1 mg/kg) every 1</w:t>
            </w:r>
            <w:r>
              <w:rPr>
                <w:sz w:val="20"/>
                <w:lang w:val="en-AU"/>
              </w:rPr>
              <w:t>–</w:t>
            </w:r>
            <w:r w:rsidRPr="00771936">
              <w:rPr>
                <w:sz w:val="20"/>
                <w:lang w:val="en-AU"/>
              </w:rPr>
              <w:t>2 hours.</w:t>
            </w:r>
          </w:p>
          <w:p w:rsidRPr="00771936" w:rsidR="006E4CF9" w:rsidP="00FE4186" w:rsidRDefault="006E4CF9" w14:paraId="3882831B" w14:textId="77777777">
            <w:pPr>
              <w:pStyle w:val="BodyText"/>
              <w:ind w:left="360"/>
              <w:rPr>
                <w:sz w:val="20"/>
                <w:lang w:val="en-AU"/>
              </w:rPr>
            </w:pPr>
            <w:r w:rsidRPr="00771936">
              <w:rPr>
                <w:sz w:val="20"/>
                <w:lang w:val="en-AU"/>
              </w:rPr>
              <w:t xml:space="preserve">Note: IV infusion dose can be increased or decreased by 0.01 mg/kg/hour to a maximum of 0.1 mg/kg/hour. </w:t>
            </w:r>
          </w:p>
          <w:p w:rsidRPr="00771936" w:rsidR="006E4CF9" w:rsidP="00FE4186" w:rsidRDefault="006E4CF9" w14:paraId="01EC6D71" w14:textId="77777777">
            <w:pPr>
              <w:pStyle w:val="BodyText"/>
              <w:rPr>
                <w:sz w:val="20"/>
                <w:lang w:val="en-AU"/>
              </w:rPr>
            </w:pPr>
          </w:p>
          <w:p w:rsidRPr="00771936" w:rsidR="006E4CF9" w:rsidP="00FE4186" w:rsidRDefault="006E4CF9" w14:paraId="662F383A" w14:textId="77777777">
            <w:pPr>
              <w:pStyle w:val="BodyText"/>
              <w:rPr>
                <w:b/>
                <w:sz w:val="20"/>
                <w:u w:val="single"/>
                <w:lang w:val="en-AU"/>
              </w:rPr>
            </w:pPr>
            <w:r w:rsidRPr="00771936">
              <w:rPr>
                <w:b/>
                <w:sz w:val="20"/>
                <w:u w:val="single"/>
                <w:lang w:val="en-AU"/>
              </w:rPr>
              <w:t>Intubation</w:t>
            </w:r>
          </w:p>
          <w:p w:rsidRPr="00771936" w:rsidR="006E4CF9" w:rsidP="00FE4186" w:rsidRDefault="006E4CF9" w14:paraId="3C8D0168" w14:textId="77777777">
            <w:pPr>
              <w:pStyle w:val="BodyText"/>
              <w:rPr>
                <w:sz w:val="20"/>
                <w:lang w:val="en-AU"/>
              </w:rPr>
            </w:pPr>
            <w:r w:rsidRPr="00771936">
              <w:rPr>
                <w:sz w:val="20"/>
                <w:lang w:val="en-AU"/>
              </w:rPr>
              <w:t xml:space="preserve">IV </w:t>
            </w:r>
            <w:r>
              <w:rPr>
                <w:sz w:val="20"/>
                <w:lang w:val="en-AU"/>
              </w:rPr>
              <w:t>b</w:t>
            </w:r>
            <w:r w:rsidRPr="00771936">
              <w:rPr>
                <w:sz w:val="20"/>
                <w:lang w:val="en-AU"/>
              </w:rPr>
              <w:t>olus: 0.1 mg/kg.</w:t>
            </w:r>
          </w:p>
        </w:tc>
      </w:tr>
      <w:tr w:rsidRPr="00771936" w:rsidR="006E4CF9" w:rsidTr="006E4CF9" w14:paraId="667FE359" w14:textId="77777777">
        <w:trPr>
          <w:trHeight w:val="70"/>
        </w:trPr>
        <w:tc>
          <w:tcPr>
            <w:tcW w:w="2410" w:type="dxa"/>
          </w:tcPr>
          <w:p w:rsidRPr="00771936" w:rsidR="006E4CF9" w:rsidP="00FE4186" w:rsidRDefault="006E4CF9" w14:paraId="12348C9D" w14:textId="77777777">
            <w:pPr>
              <w:pStyle w:val="BodyText"/>
              <w:rPr>
                <w:b/>
                <w:lang w:val="en-AU"/>
              </w:rPr>
            </w:pPr>
            <w:r w:rsidRPr="00771936">
              <w:rPr>
                <w:b/>
                <w:lang w:val="en-AU"/>
              </w:rPr>
              <w:t>Maximum dose</w:t>
            </w:r>
          </w:p>
        </w:tc>
        <w:tc>
          <w:tcPr>
            <w:tcW w:w="7825" w:type="dxa"/>
          </w:tcPr>
          <w:p w:rsidRPr="00771936" w:rsidR="006E4CF9" w:rsidP="00FE4186" w:rsidRDefault="006E4CF9" w14:paraId="0503311D" w14:textId="77777777">
            <w:pPr>
              <w:pStyle w:val="BodyText"/>
              <w:rPr>
                <w:sz w:val="20"/>
                <w:lang w:val="en-AU"/>
              </w:rPr>
            </w:pPr>
            <w:r w:rsidRPr="00771936">
              <w:rPr>
                <w:sz w:val="20"/>
                <w:lang w:val="en-AU"/>
              </w:rPr>
              <w:t xml:space="preserve">IV bolus: 0.1 mg/kilogram/dose. </w:t>
            </w:r>
          </w:p>
        </w:tc>
      </w:tr>
      <w:tr w:rsidRPr="00771936" w:rsidR="006E4CF9" w:rsidTr="006E4CF9" w14:paraId="00D30CA5" w14:textId="77777777">
        <w:trPr>
          <w:trHeight w:val="216"/>
        </w:trPr>
        <w:tc>
          <w:tcPr>
            <w:tcW w:w="2410" w:type="dxa"/>
          </w:tcPr>
          <w:p w:rsidRPr="00771936" w:rsidR="006E4CF9" w:rsidP="00FE4186" w:rsidRDefault="006E4CF9" w14:paraId="5341C7EA" w14:textId="77777777">
            <w:pPr>
              <w:pStyle w:val="BodyText"/>
              <w:rPr>
                <w:rFonts w:cs="Arial"/>
                <w:b/>
                <w:bCs/>
                <w:szCs w:val="24"/>
                <w:lang w:val="en-AU"/>
              </w:rPr>
            </w:pPr>
            <w:r w:rsidRPr="00771936">
              <w:rPr>
                <w:rFonts w:cs="Arial"/>
                <w:b/>
                <w:bCs/>
                <w:szCs w:val="24"/>
                <w:lang w:val="en-AU"/>
              </w:rPr>
              <w:t xml:space="preserve">Route                               </w:t>
            </w:r>
          </w:p>
        </w:tc>
        <w:tc>
          <w:tcPr>
            <w:tcW w:w="7825" w:type="dxa"/>
          </w:tcPr>
          <w:p w:rsidRPr="00771936" w:rsidR="006E4CF9" w:rsidP="00FE4186" w:rsidRDefault="006E4CF9" w14:paraId="1D9F3C25" w14:textId="77777777">
            <w:pPr>
              <w:pStyle w:val="BodyText"/>
              <w:rPr>
                <w:rFonts w:cs="Arial"/>
                <w:sz w:val="20"/>
                <w:lang w:val="en-AU"/>
              </w:rPr>
            </w:pPr>
            <w:r>
              <w:rPr>
                <w:rFonts w:cs="Arial"/>
                <w:sz w:val="20"/>
                <w:lang w:val="en-AU"/>
              </w:rPr>
              <w:t>IV</w:t>
            </w:r>
          </w:p>
        </w:tc>
      </w:tr>
      <w:tr w:rsidRPr="00771936" w:rsidR="006E4CF9" w:rsidTr="006E4CF9" w14:paraId="438B0ADC" w14:textId="77777777">
        <w:trPr>
          <w:trHeight w:val="292"/>
        </w:trPr>
        <w:tc>
          <w:tcPr>
            <w:tcW w:w="2410" w:type="dxa"/>
          </w:tcPr>
          <w:p w:rsidRPr="00771936" w:rsidR="006E4CF9" w:rsidP="00FE4186" w:rsidRDefault="006E4CF9" w14:paraId="3B98C812" w14:textId="77777777">
            <w:pPr>
              <w:pStyle w:val="BodyText"/>
              <w:rPr>
                <w:rFonts w:cs="Arial"/>
                <w:b/>
                <w:bCs/>
                <w:szCs w:val="24"/>
                <w:highlight w:val="cyan"/>
                <w:lang w:val="en-AU"/>
              </w:rPr>
            </w:pPr>
            <w:r w:rsidRPr="00771936">
              <w:rPr>
                <w:rFonts w:cs="Arial"/>
                <w:b/>
                <w:bCs/>
                <w:szCs w:val="24"/>
                <w:lang w:val="en-AU"/>
              </w:rPr>
              <w:t xml:space="preserve">Preparation/Dilution </w:t>
            </w:r>
            <w:r w:rsidRPr="00771936">
              <w:rPr>
                <w:rFonts w:cs="Arial"/>
                <w:b/>
                <w:bCs/>
                <w:szCs w:val="24"/>
                <w:highlight w:val="cyan"/>
                <w:lang w:val="en-AU"/>
              </w:rPr>
              <w:t xml:space="preserve">               </w:t>
            </w:r>
          </w:p>
        </w:tc>
        <w:tc>
          <w:tcPr>
            <w:tcW w:w="7825" w:type="dxa"/>
          </w:tcPr>
          <w:p w:rsidRPr="00771936" w:rsidR="006E4CF9" w:rsidP="00FE4186" w:rsidRDefault="006E4CF9" w14:paraId="6F4021DF" w14:textId="77777777">
            <w:pPr>
              <w:pStyle w:val="BodyText"/>
              <w:rPr>
                <w:rFonts w:cs="Arial"/>
                <w:b/>
                <w:sz w:val="20"/>
                <w:lang w:val="en-AU"/>
              </w:rPr>
            </w:pPr>
            <w:r w:rsidRPr="00771936">
              <w:rPr>
                <w:rFonts w:cs="Arial"/>
                <w:b/>
                <w:sz w:val="20"/>
                <w:lang w:val="en-AU"/>
              </w:rPr>
              <w:t xml:space="preserve">IV </w:t>
            </w:r>
            <w:r>
              <w:rPr>
                <w:rFonts w:cs="Arial"/>
                <w:b/>
                <w:sz w:val="20"/>
                <w:lang w:val="en-AU"/>
              </w:rPr>
              <w:t>b</w:t>
            </w:r>
            <w:r w:rsidRPr="00771936">
              <w:rPr>
                <w:rFonts w:cs="Arial"/>
                <w:b/>
                <w:sz w:val="20"/>
                <w:lang w:val="en-AU"/>
              </w:rPr>
              <w:t xml:space="preserve">olus: </w:t>
            </w:r>
          </w:p>
          <w:p w:rsidRPr="00771936" w:rsidR="006E4CF9" w:rsidP="00FE4186" w:rsidRDefault="006E4CF9" w14:paraId="0A604A52" w14:textId="77777777">
            <w:pPr>
              <w:pStyle w:val="BodyText"/>
              <w:rPr>
                <w:rFonts w:cs="Arial"/>
                <w:sz w:val="20"/>
                <w:lang w:val="en-AU"/>
              </w:rPr>
            </w:pPr>
            <w:r w:rsidRPr="00771936">
              <w:rPr>
                <w:rFonts w:cs="Arial"/>
                <w:sz w:val="20"/>
                <w:lang w:val="en-AU"/>
              </w:rPr>
              <w:t>Draw up 2 mL (4 mg of pancuronium) and add 6 mL water for injection to make a final volume of 8</w:t>
            </w:r>
            <w:r>
              <w:rPr>
                <w:rFonts w:cs="Arial"/>
                <w:sz w:val="20"/>
                <w:lang w:val="en-AU"/>
              </w:rPr>
              <w:t xml:space="preserve"> </w:t>
            </w:r>
            <w:r w:rsidRPr="00771936">
              <w:rPr>
                <w:rFonts w:cs="Arial"/>
                <w:sz w:val="20"/>
                <w:lang w:val="en-AU"/>
              </w:rPr>
              <w:t>mL with a concentration of 0.5</w:t>
            </w:r>
            <w:r>
              <w:rPr>
                <w:rFonts w:cs="Arial"/>
                <w:sz w:val="20"/>
                <w:lang w:val="en-AU"/>
              </w:rPr>
              <w:t xml:space="preserve"> </w:t>
            </w:r>
            <w:r w:rsidRPr="00771936">
              <w:rPr>
                <w:rFonts w:cs="Arial"/>
                <w:sz w:val="20"/>
                <w:lang w:val="en-AU"/>
              </w:rPr>
              <w:t>mg/mL</w:t>
            </w:r>
          </w:p>
          <w:p w:rsidRPr="00771936" w:rsidR="006E4CF9" w:rsidP="00FE4186" w:rsidRDefault="006E4CF9" w14:paraId="2B0FEB41" w14:textId="77777777">
            <w:pPr>
              <w:pStyle w:val="BodyText"/>
              <w:rPr>
                <w:rFonts w:cs="Arial"/>
                <w:sz w:val="20"/>
                <w:lang w:val="en-AU"/>
              </w:rPr>
            </w:pPr>
          </w:p>
          <w:p w:rsidRPr="00771936" w:rsidR="006E4CF9" w:rsidP="00FE4186" w:rsidRDefault="006E4CF9" w14:paraId="1CC0F0AF" w14:textId="77777777">
            <w:pPr>
              <w:pStyle w:val="BodyText"/>
              <w:rPr>
                <w:rFonts w:cs="Arial"/>
                <w:b/>
                <w:sz w:val="20"/>
                <w:lang w:val="en-AU"/>
              </w:rPr>
            </w:pPr>
            <w:r w:rsidRPr="00771936">
              <w:rPr>
                <w:rFonts w:cs="Arial"/>
                <w:b/>
                <w:sz w:val="20"/>
                <w:lang w:val="en-AU"/>
              </w:rPr>
              <w:t xml:space="preserve">IV </w:t>
            </w:r>
            <w:r>
              <w:rPr>
                <w:rFonts w:cs="Arial"/>
                <w:b/>
                <w:sz w:val="20"/>
                <w:lang w:val="en-AU"/>
              </w:rPr>
              <w:t>i</w:t>
            </w:r>
            <w:r w:rsidRPr="00771936">
              <w:rPr>
                <w:rFonts w:cs="Arial"/>
                <w:b/>
                <w:sz w:val="20"/>
                <w:lang w:val="en-AU"/>
              </w:rPr>
              <w:t xml:space="preserve">nfusion: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302"/>
              <w:gridCol w:w="4297"/>
            </w:tblGrid>
            <w:tr w:rsidRPr="00771936" w:rsidR="006E4CF9" w:rsidTr="00FE4186" w14:paraId="3A248C41" w14:textId="77777777">
              <w:tc>
                <w:tcPr>
                  <w:tcW w:w="3431" w:type="dxa"/>
                  <w:tcBorders>
                    <w:top w:val="single" w:color="auto" w:sz="4" w:space="0"/>
                    <w:left w:val="single" w:color="auto" w:sz="4" w:space="0"/>
                    <w:bottom w:val="single" w:color="auto" w:sz="4" w:space="0"/>
                    <w:right w:val="single" w:color="auto" w:sz="4" w:space="0"/>
                  </w:tcBorders>
                  <w:hideMark/>
                </w:tcPr>
                <w:p w:rsidRPr="00771936" w:rsidR="006E4CF9" w:rsidP="00FE4186" w:rsidRDefault="006E4CF9" w14:paraId="30DE3BC6" w14:textId="77777777">
                  <w:pPr>
                    <w:pStyle w:val="BodyText"/>
                    <w:spacing w:line="276" w:lineRule="auto"/>
                    <w:jc w:val="center"/>
                    <w:rPr>
                      <w:rFonts w:cs="Arial"/>
                      <w:b/>
                      <w:sz w:val="20"/>
                    </w:rPr>
                  </w:pPr>
                  <w:r w:rsidRPr="00771936">
                    <w:rPr>
                      <w:rFonts w:cs="Arial"/>
                      <w:b/>
                      <w:sz w:val="20"/>
                    </w:rPr>
                    <w:t>Infusion rate</w:t>
                  </w:r>
                </w:p>
              </w:tc>
              <w:tc>
                <w:tcPr>
                  <w:tcW w:w="4560" w:type="dxa"/>
                  <w:tcBorders>
                    <w:top w:val="single" w:color="auto" w:sz="4" w:space="0"/>
                    <w:left w:val="single" w:color="auto" w:sz="4" w:space="0"/>
                    <w:bottom w:val="single" w:color="auto" w:sz="4" w:space="0"/>
                    <w:right w:val="single" w:color="auto" w:sz="4" w:space="0"/>
                  </w:tcBorders>
                  <w:hideMark/>
                </w:tcPr>
                <w:p w:rsidRPr="00771936" w:rsidR="006E4CF9" w:rsidP="00FE4186" w:rsidRDefault="006E4CF9" w14:paraId="58A7D85F" w14:textId="77777777">
                  <w:pPr>
                    <w:pStyle w:val="BodyText"/>
                    <w:spacing w:line="276" w:lineRule="auto"/>
                    <w:jc w:val="center"/>
                    <w:rPr>
                      <w:rFonts w:cs="Arial"/>
                      <w:b/>
                      <w:sz w:val="20"/>
                    </w:rPr>
                  </w:pPr>
                  <w:r w:rsidRPr="00771936">
                    <w:rPr>
                      <w:rFonts w:cs="Arial"/>
                      <w:b/>
                      <w:sz w:val="20"/>
                    </w:rPr>
                    <w:t>Prescribed amount</w:t>
                  </w:r>
                </w:p>
              </w:tc>
            </w:tr>
            <w:tr w:rsidRPr="00771936" w:rsidR="006E4CF9" w:rsidTr="00FE4186" w14:paraId="37EF8DAE" w14:textId="77777777">
              <w:tc>
                <w:tcPr>
                  <w:tcW w:w="3431" w:type="dxa"/>
                  <w:tcBorders>
                    <w:top w:val="single" w:color="auto" w:sz="4" w:space="0"/>
                    <w:left w:val="single" w:color="auto" w:sz="4" w:space="0"/>
                    <w:bottom w:val="single" w:color="auto" w:sz="4" w:space="0"/>
                    <w:right w:val="single" w:color="auto" w:sz="4" w:space="0"/>
                  </w:tcBorders>
                  <w:hideMark/>
                </w:tcPr>
                <w:p w:rsidRPr="00771936" w:rsidR="006E4CF9" w:rsidP="00FE4186" w:rsidRDefault="006E4CF9" w14:paraId="272567FD" w14:textId="77777777">
                  <w:pPr>
                    <w:pStyle w:val="BodyText"/>
                    <w:spacing w:line="276" w:lineRule="auto"/>
                    <w:rPr>
                      <w:rFonts w:cs="Arial"/>
                      <w:sz w:val="20"/>
                    </w:rPr>
                  </w:pPr>
                  <w:r w:rsidRPr="00771936">
                    <w:rPr>
                      <w:rFonts w:cs="Arial"/>
                      <w:sz w:val="20"/>
                    </w:rPr>
                    <w:t xml:space="preserve">1 mL/hour = </w:t>
                  </w:r>
                  <w:r>
                    <w:rPr>
                      <w:rFonts w:cs="Arial"/>
                      <w:sz w:val="20"/>
                      <w:lang w:val="en-AU"/>
                    </w:rPr>
                    <w:t>50 microgram</w:t>
                  </w:r>
                  <w:r w:rsidRPr="00771936">
                    <w:rPr>
                      <w:rFonts w:cs="Arial"/>
                      <w:sz w:val="20"/>
                      <w:lang w:val="en-AU"/>
                    </w:rPr>
                    <w:t>/</w:t>
                  </w:r>
                  <w:r w:rsidRPr="00771936">
                    <w:rPr>
                      <w:rFonts w:cs="Arial"/>
                      <w:sz w:val="20"/>
                    </w:rPr>
                    <w:t>kg/hour</w:t>
                  </w:r>
                </w:p>
              </w:tc>
              <w:tc>
                <w:tcPr>
                  <w:tcW w:w="4560" w:type="dxa"/>
                  <w:tcBorders>
                    <w:top w:val="single" w:color="auto" w:sz="4" w:space="0"/>
                    <w:left w:val="single" w:color="auto" w:sz="4" w:space="0"/>
                    <w:bottom w:val="single" w:color="auto" w:sz="4" w:space="0"/>
                    <w:right w:val="single" w:color="auto" w:sz="4" w:space="0"/>
                  </w:tcBorders>
                  <w:hideMark/>
                </w:tcPr>
                <w:p w:rsidRPr="00771936" w:rsidR="006E4CF9" w:rsidP="00FE4186" w:rsidRDefault="006E4CF9" w14:paraId="61132E99" w14:textId="77777777">
                  <w:pPr>
                    <w:pStyle w:val="BodyText"/>
                    <w:spacing w:line="276" w:lineRule="auto"/>
                    <w:rPr>
                      <w:rFonts w:cs="Arial"/>
                      <w:sz w:val="20"/>
                    </w:rPr>
                  </w:pPr>
                  <w:r w:rsidRPr="00771936">
                    <w:rPr>
                      <w:rFonts w:cs="Arial"/>
                      <w:sz w:val="20"/>
                      <w:lang w:val="en-AU"/>
                    </w:rPr>
                    <w:t>2.5</w:t>
                  </w:r>
                  <w:r w:rsidRPr="00771936">
                    <w:rPr>
                      <w:rFonts w:cs="Arial"/>
                      <w:sz w:val="20"/>
                    </w:rPr>
                    <w:t xml:space="preserve"> mg/kg </w:t>
                  </w:r>
                  <w:r w:rsidRPr="00771936">
                    <w:rPr>
                      <w:rFonts w:cs="Arial"/>
                      <w:sz w:val="20"/>
                      <w:lang w:val="en-AU"/>
                    </w:rPr>
                    <w:t>of pancuronium</w:t>
                  </w:r>
                  <w:r w:rsidRPr="00771936">
                    <w:rPr>
                      <w:rFonts w:cs="Arial"/>
                      <w:sz w:val="20"/>
                    </w:rPr>
                    <w:t xml:space="preserve"> and make up to 50 mL</w:t>
                  </w:r>
                </w:p>
              </w:tc>
            </w:tr>
          </w:tbl>
          <w:p w:rsidRPr="00771936" w:rsidR="006E4CF9" w:rsidP="00FE4186" w:rsidRDefault="006E4CF9" w14:paraId="7C1B2DD7" w14:textId="77777777">
            <w:pPr>
              <w:pStyle w:val="BodyText"/>
              <w:rPr>
                <w:rFonts w:cs="Arial"/>
                <w:sz w:val="20"/>
                <w:lang w:val="en-AU"/>
              </w:rPr>
            </w:pPr>
            <w:r w:rsidRPr="00771936">
              <w:rPr>
                <w:rFonts w:cs="Arial"/>
                <w:sz w:val="20"/>
                <w:lang w:val="en-AU"/>
              </w:rPr>
              <w:t>Draw up 1.25</w:t>
            </w:r>
            <w:r>
              <w:rPr>
                <w:rFonts w:cs="Arial"/>
                <w:sz w:val="20"/>
                <w:lang w:val="en-AU"/>
              </w:rPr>
              <w:t xml:space="preserve"> </w:t>
            </w:r>
            <w:r w:rsidRPr="00771936">
              <w:rPr>
                <w:rFonts w:cs="Arial"/>
                <w:sz w:val="20"/>
                <w:lang w:val="en-AU"/>
              </w:rPr>
              <w:t>mL/kg (2.5</w:t>
            </w:r>
            <w:r>
              <w:rPr>
                <w:rFonts w:cs="Arial"/>
                <w:sz w:val="20"/>
                <w:lang w:val="en-AU"/>
              </w:rPr>
              <w:t xml:space="preserve"> </w:t>
            </w:r>
            <w:r w:rsidRPr="00771936">
              <w:rPr>
                <w:rFonts w:cs="Arial"/>
                <w:sz w:val="20"/>
                <w:lang w:val="en-AU"/>
              </w:rPr>
              <w:t>mg/kg of pancuronium) and add sodium chloride 0.9% to make a final volume of 50</w:t>
            </w:r>
            <w:r>
              <w:rPr>
                <w:rFonts w:cs="Arial"/>
                <w:sz w:val="20"/>
                <w:lang w:val="en-AU"/>
              </w:rPr>
              <w:t xml:space="preserve"> </w:t>
            </w:r>
            <w:r w:rsidRPr="00771936">
              <w:rPr>
                <w:rFonts w:cs="Arial"/>
                <w:sz w:val="20"/>
                <w:lang w:val="en-AU"/>
              </w:rPr>
              <w:t>mL.</w:t>
            </w:r>
            <w:r>
              <w:t xml:space="preserve"> </w:t>
            </w:r>
            <w:r w:rsidRPr="00F97923">
              <w:rPr>
                <w:rFonts w:cs="Arial"/>
                <w:sz w:val="20"/>
                <w:lang w:val="en-AU"/>
              </w:rPr>
              <w:t xml:space="preserve">Infusing at a rate of 1 mL/hour = </w:t>
            </w:r>
            <w:r>
              <w:rPr>
                <w:rFonts w:cs="Arial"/>
                <w:sz w:val="20"/>
                <w:lang w:val="en-AU"/>
              </w:rPr>
              <w:t>50</w:t>
            </w:r>
            <w:r w:rsidRPr="00F97923">
              <w:rPr>
                <w:rFonts w:cs="Arial"/>
                <w:sz w:val="20"/>
                <w:lang w:val="en-AU"/>
              </w:rPr>
              <w:t xml:space="preserve"> microgram/kg/hour.</w:t>
            </w:r>
          </w:p>
          <w:p w:rsidRPr="00771936" w:rsidR="006E4CF9" w:rsidP="00FE4186" w:rsidRDefault="006E4CF9" w14:paraId="39BA84F2" w14:textId="77777777">
            <w:pPr>
              <w:pStyle w:val="BodyText"/>
              <w:rPr>
                <w:rFonts w:cs="Arial"/>
                <w:sz w:val="20"/>
                <w:lang w:val="en-AU"/>
              </w:rPr>
            </w:pPr>
          </w:p>
        </w:tc>
      </w:tr>
      <w:tr w:rsidRPr="00771936" w:rsidR="006E4CF9" w:rsidTr="006E4CF9" w14:paraId="07D50E52" w14:textId="77777777">
        <w:trPr>
          <w:trHeight w:val="260"/>
        </w:trPr>
        <w:tc>
          <w:tcPr>
            <w:tcW w:w="2410" w:type="dxa"/>
          </w:tcPr>
          <w:p w:rsidRPr="00771936" w:rsidR="006E4CF9" w:rsidP="00FE4186" w:rsidRDefault="006E4CF9" w14:paraId="482C76AF" w14:textId="77777777">
            <w:pPr>
              <w:pStyle w:val="BodyText"/>
              <w:rPr>
                <w:rFonts w:cs="Arial"/>
                <w:b/>
                <w:bCs/>
                <w:szCs w:val="24"/>
                <w:lang w:val="en-AU"/>
              </w:rPr>
            </w:pPr>
            <w:r w:rsidRPr="00771936">
              <w:rPr>
                <w:rFonts w:cs="Arial"/>
                <w:b/>
                <w:bCs/>
                <w:szCs w:val="24"/>
                <w:lang w:val="en-AU"/>
              </w:rPr>
              <w:t>Administration</w:t>
            </w:r>
          </w:p>
        </w:tc>
        <w:tc>
          <w:tcPr>
            <w:tcW w:w="7825" w:type="dxa"/>
          </w:tcPr>
          <w:p w:rsidR="006E4CF9" w:rsidP="00FE4186" w:rsidRDefault="006E4CF9" w14:paraId="6CD1EC77" w14:textId="77777777">
            <w:pPr>
              <w:pStyle w:val="BodyText"/>
              <w:rPr>
                <w:rFonts w:cs="Arial"/>
                <w:sz w:val="20"/>
                <w:lang w:val="en-AU"/>
              </w:rPr>
            </w:pPr>
            <w:r w:rsidRPr="00771936">
              <w:rPr>
                <w:rFonts w:cs="Arial"/>
                <w:sz w:val="20"/>
                <w:lang w:val="en-AU"/>
              </w:rPr>
              <w:t xml:space="preserve">IV </w:t>
            </w:r>
            <w:r>
              <w:rPr>
                <w:rFonts w:cs="Arial"/>
                <w:sz w:val="20"/>
                <w:lang w:val="en-AU"/>
              </w:rPr>
              <w:t>b</w:t>
            </w:r>
            <w:r w:rsidRPr="00771936">
              <w:rPr>
                <w:rFonts w:cs="Arial"/>
                <w:sz w:val="20"/>
                <w:lang w:val="en-AU"/>
              </w:rPr>
              <w:t>olus: Administer as a rapid intravenous injection over several seconds.</w:t>
            </w:r>
          </w:p>
          <w:p w:rsidRPr="00771936" w:rsidR="006E4CF9" w:rsidP="00FE4186" w:rsidRDefault="006E4CF9" w14:paraId="4C6989B7" w14:textId="77777777">
            <w:pPr>
              <w:pStyle w:val="BodyText"/>
              <w:rPr>
                <w:rFonts w:cs="Arial"/>
                <w:sz w:val="20"/>
                <w:lang w:val="en-AU"/>
              </w:rPr>
            </w:pPr>
            <w:r w:rsidRPr="005E0160">
              <w:rPr>
                <w:rFonts w:cs="Arial"/>
                <w:sz w:val="20"/>
                <w:lang w:val="en-AU"/>
              </w:rPr>
              <w:t>Line should be adequately flushed to avoid unintended paralysis during later use of the line</w:t>
            </w:r>
            <w:r>
              <w:rPr>
                <w:rFonts w:cs="Arial"/>
                <w:sz w:val="20"/>
                <w:lang w:val="en-AU"/>
              </w:rPr>
              <w:t>.</w:t>
            </w:r>
          </w:p>
        </w:tc>
      </w:tr>
      <w:tr w:rsidRPr="00771936" w:rsidR="006E4CF9" w:rsidTr="006E4CF9" w14:paraId="09323168" w14:textId="77777777">
        <w:trPr>
          <w:trHeight w:val="221"/>
        </w:trPr>
        <w:tc>
          <w:tcPr>
            <w:tcW w:w="2410" w:type="dxa"/>
          </w:tcPr>
          <w:p w:rsidRPr="00771936" w:rsidR="006E4CF9" w:rsidP="00FE4186" w:rsidRDefault="006E4CF9" w14:paraId="1393154A" w14:textId="77777777">
            <w:pPr>
              <w:pStyle w:val="BodyText"/>
              <w:rPr>
                <w:rFonts w:cs="Arial"/>
                <w:b/>
                <w:bCs/>
                <w:szCs w:val="24"/>
                <w:lang w:val="en-AU"/>
              </w:rPr>
            </w:pPr>
            <w:r w:rsidRPr="00771936">
              <w:rPr>
                <w:rFonts w:cs="Arial"/>
                <w:b/>
                <w:bCs/>
                <w:szCs w:val="24"/>
                <w:lang w:val="en-AU"/>
              </w:rPr>
              <w:t xml:space="preserve">Monitoring                              </w:t>
            </w:r>
          </w:p>
          <w:p w:rsidRPr="00771936" w:rsidR="006E4CF9" w:rsidP="00FE4186" w:rsidRDefault="006E4CF9" w14:paraId="0CA485E3" w14:textId="77777777">
            <w:pPr>
              <w:pStyle w:val="BodyText"/>
              <w:rPr>
                <w:rFonts w:cs="Arial"/>
                <w:szCs w:val="24"/>
                <w:lang w:val="en-AU"/>
              </w:rPr>
            </w:pPr>
          </w:p>
        </w:tc>
        <w:tc>
          <w:tcPr>
            <w:tcW w:w="7825" w:type="dxa"/>
          </w:tcPr>
          <w:p w:rsidRPr="00771936" w:rsidR="006E4CF9" w:rsidP="00FE4186" w:rsidRDefault="006E4CF9" w14:paraId="1EB10C51" w14:textId="77777777">
            <w:pPr>
              <w:pStyle w:val="BodyText"/>
              <w:rPr>
                <w:rFonts w:cs="Arial"/>
                <w:sz w:val="20"/>
                <w:lang w:val="en-AU"/>
              </w:rPr>
            </w:pPr>
            <w:r w:rsidRPr="00771936">
              <w:rPr>
                <w:rFonts w:cs="Arial"/>
                <w:sz w:val="20"/>
                <w:lang w:val="en-AU"/>
              </w:rPr>
              <w:t xml:space="preserve">Continuous cardio-respiratory and pulse oximetry monitoring. Close monitoring of neuromuscular function, sedation and blood pressure (invasive or non-invasive) is essential. Monitoring of fluid balance is essential due to of risk of fluid retention. Monitor hepatic and renal function with prolonged use. </w:t>
            </w:r>
          </w:p>
        </w:tc>
      </w:tr>
      <w:tr w:rsidRPr="00771936" w:rsidR="006E4CF9" w:rsidTr="006E4CF9" w14:paraId="425B6E0F" w14:textId="77777777">
        <w:trPr>
          <w:trHeight w:val="342"/>
        </w:trPr>
        <w:tc>
          <w:tcPr>
            <w:tcW w:w="2410" w:type="dxa"/>
          </w:tcPr>
          <w:p w:rsidRPr="00771936" w:rsidR="006E4CF9" w:rsidP="00FE4186" w:rsidRDefault="006E4CF9" w14:paraId="659E1C2D" w14:textId="77777777">
            <w:pPr>
              <w:pStyle w:val="BodyText"/>
              <w:rPr>
                <w:rFonts w:cs="Arial"/>
                <w:b/>
                <w:bCs/>
                <w:szCs w:val="24"/>
                <w:lang w:val="en-AU"/>
              </w:rPr>
            </w:pPr>
            <w:r w:rsidRPr="00771936">
              <w:rPr>
                <w:rFonts w:cs="Arial"/>
                <w:b/>
                <w:bCs/>
                <w:szCs w:val="24"/>
                <w:lang w:val="en-AU"/>
              </w:rPr>
              <w:t xml:space="preserve">Contraindications                        </w:t>
            </w:r>
          </w:p>
        </w:tc>
        <w:tc>
          <w:tcPr>
            <w:tcW w:w="7825" w:type="dxa"/>
          </w:tcPr>
          <w:p w:rsidRPr="00771936" w:rsidR="006E4CF9" w:rsidP="00FE4186" w:rsidRDefault="006E4CF9" w14:paraId="7DABC96E" w14:textId="77777777">
            <w:pPr>
              <w:pStyle w:val="BodyText"/>
              <w:rPr>
                <w:rFonts w:cs="Arial"/>
                <w:sz w:val="20"/>
                <w:lang w:val="en-AU"/>
              </w:rPr>
            </w:pPr>
            <w:r w:rsidRPr="00771936">
              <w:rPr>
                <w:rFonts w:cs="Arial"/>
                <w:sz w:val="20"/>
                <w:lang w:val="en-AU"/>
              </w:rPr>
              <w:t>Known hypersensitivity to pancuronium bromide or to the bromide ion.</w:t>
            </w:r>
          </w:p>
        </w:tc>
      </w:tr>
      <w:tr w:rsidRPr="00771936" w:rsidR="006E4CF9" w:rsidTr="006E4CF9" w14:paraId="46CC56F5" w14:textId="77777777">
        <w:tc>
          <w:tcPr>
            <w:tcW w:w="2410" w:type="dxa"/>
          </w:tcPr>
          <w:p w:rsidRPr="00771936" w:rsidR="006E4CF9" w:rsidP="00FE4186" w:rsidRDefault="006E4CF9" w14:paraId="4899FAE8" w14:textId="77777777">
            <w:pPr>
              <w:pStyle w:val="BodyText"/>
              <w:rPr>
                <w:rFonts w:cs="Arial"/>
                <w:b/>
                <w:bCs/>
                <w:szCs w:val="24"/>
                <w:lang w:val="en-AU"/>
              </w:rPr>
            </w:pPr>
            <w:r w:rsidRPr="00771936">
              <w:rPr>
                <w:szCs w:val="24"/>
                <w:lang w:val="en-AU"/>
              </w:rPr>
              <w:lastRenderedPageBreak/>
              <w:br w:type="page"/>
            </w:r>
            <w:r w:rsidRPr="00771936">
              <w:rPr>
                <w:rFonts w:cs="Arial"/>
                <w:b/>
                <w:bCs/>
                <w:szCs w:val="24"/>
                <w:lang w:val="en-AU"/>
              </w:rPr>
              <w:t>Precautions</w:t>
            </w:r>
          </w:p>
        </w:tc>
        <w:tc>
          <w:tcPr>
            <w:tcW w:w="7825" w:type="dxa"/>
          </w:tcPr>
          <w:p w:rsidRPr="00771936" w:rsidR="006E4CF9" w:rsidP="00FE4186" w:rsidRDefault="006E4CF9" w14:paraId="563B7EBB" w14:textId="77777777">
            <w:pPr>
              <w:pStyle w:val="BodyText"/>
              <w:rPr>
                <w:rFonts w:cs="Arial"/>
                <w:iCs/>
                <w:sz w:val="20"/>
                <w:lang w:val="en-AU"/>
              </w:rPr>
            </w:pPr>
            <w:r w:rsidRPr="00771936">
              <w:rPr>
                <w:rFonts w:cs="Arial"/>
                <w:iCs/>
                <w:sz w:val="20"/>
                <w:lang w:val="en-AU"/>
              </w:rPr>
              <w:t>Avoid prolonged usage.</w:t>
            </w:r>
          </w:p>
          <w:p w:rsidRPr="00771936" w:rsidR="006E4CF9" w:rsidP="00FE4186" w:rsidRDefault="006E4CF9" w14:paraId="4379ADB7" w14:textId="77777777">
            <w:pPr>
              <w:pStyle w:val="BodyText"/>
              <w:rPr>
                <w:rFonts w:cs="Arial"/>
                <w:iCs/>
                <w:sz w:val="20"/>
                <w:lang w:val="en-AU"/>
              </w:rPr>
            </w:pPr>
            <w:r w:rsidRPr="00771936">
              <w:rPr>
                <w:rFonts w:cs="Arial"/>
                <w:iCs/>
                <w:sz w:val="20"/>
                <w:lang w:val="en-AU"/>
              </w:rPr>
              <w:t xml:space="preserve">Suggest regular cessation of infusion, possibly every 24 hours (commonly referred to as ‘drug holiday’) to assess the need for continued paralysis and adequacy of sedation or analgesia. </w:t>
            </w:r>
          </w:p>
          <w:p w:rsidRPr="00771936" w:rsidR="006E4CF9" w:rsidP="00FE4186" w:rsidRDefault="006E4CF9" w14:paraId="2E0A20E5" w14:textId="77777777">
            <w:pPr>
              <w:pStyle w:val="BodyText"/>
              <w:rPr>
                <w:rFonts w:cs="Arial"/>
                <w:sz w:val="20"/>
                <w:lang w:val="en-AU"/>
              </w:rPr>
            </w:pPr>
            <w:r w:rsidRPr="00771936">
              <w:rPr>
                <w:rFonts w:cs="Arial"/>
                <w:iCs/>
                <w:sz w:val="20"/>
                <w:lang w:val="en-AU"/>
              </w:rPr>
              <w:t>Pre-existing tachycardia, hypertension (including that associated with renal failure or phaeochromocytoma)</w:t>
            </w:r>
            <w:r w:rsidRPr="00771936">
              <w:rPr>
                <w:rFonts w:cs="Arial"/>
                <w:sz w:val="20"/>
                <w:lang w:val="en-AU"/>
              </w:rPr>
              <w:t>—consider an alternative agent.</w:t>
            </w:r>
          </w:p>
          <w:p w:rsidRPr="00771936" w:rsidR="006E4CF9" w:rsidP="00FE4186" w:rsidRDefault="006E4CF9" w14:paraId="559CBBBE" w14:textId="77777777">
            <w:pPr>
              <w:pStyle w:val="BodyText"/>
              <w:rPr>
                <w:rFonts w:cs="Arial"/>
                <w:b/>
                <w:bCs/>
                <w:sz w:val="20"/>
                <w:lang w:val="en-AU"/>
              </w:rPr>
            </w:pPr>
          </w:p>
          <w:p w:rsidRPr="00771936" w:rsidR="006E4CF9" w:rsidP="00FE4186" w:rsidRDefault="006E4CF9" w14:paraId="78DB5DF5" w14:textId="77777777">
            <w:pPr>
              <w:pStyle w:val="BodyText"/>
              <w:rPr>
                <w:rFonts w:cs="Arial"/>
                <w:sz w:val="20"/>
                <w:lang w:val="en-AU"/>
              </w:rPr>
            </w:pPr>
            <w:r w:rsidRPr="00771936">
              <w:rPr>
                <w:rFonts w:cs="Arial"/>
                <w:b/>
                <w:bCs/>
                <w:sz w:val="20"/>
                <w:lang w:val="en-AU"/>
              </w:rPr>
              <w:t xml:space="preserve">Renal: </w:t>
            </w:r>
            <w:r w:rsidRPr="00771936">
              <w:rPr>
                <w:rFonts w:cs="Arial"/>
                <w:sz w:val="20"/>
                <w:lang w:val="en-AU"/>
              </w:rPr>
              <w:t>Prolonged neuromuscular blockade may occur in renal impairment; reduction in maintenance dose may be necessary.</w:t>
            </w:r>
          </w:p>
          <w:p w:rsidRPr="00771936" w:rsidR="006E4CF9" w:rsidP="00FE4186" w:rsidRDefault="006E4CF9" w14:paraId="12B07C77" w14:textId="77777777">
            <w:pPr>
              <w:pStyle w:val="BodyText"/>
              <w:rPr>
                <w:rFonts w:cs="Arial"/>
                <w:sz w:val="20"/>
                <w:lang w:val="en-AU"/>
              </w:rPr>
            </w:pPr>
            <w:r w:rsidRPr="00771936">
              <w:rPr>
                <w:rFonts w:cs="Arial"/>
                <w:b/>
                <w:bCs/>
                <w:sz w:val="20"/>
                <w:lang w:val="en-AU"/>
              </w:rPr>
              <w:t xml:space="preserve">Hepatic: </w:t>
            </w:r>
            <w:r w:rsidRPr="00771936">
              <w:rPr>
                <w:rFonts w:cs="Arial"/>
                <w:sz w:val="20"/>
                <w:lang w:val="en-AU"/>
              </w:rPr>
              <w:t>Increased onset time and prolonged duration of action may occur in impairment; consider using alternative agent.</w:t>
            </w:r>
          </w:p>
          <w:p w:rsidRPr="00771936" w:rsidR="006E4CF9" w:rsidP="00FE4186" w:rsidRDefault="006E4CF9" w14:paraId="17A38978" w14:textId="77777777">
            <w:pPr>
              <w:pStyle w:val="BodyText"/>
              <w:rPr>
                <w:rFonts w:cs="Arial"/>
                <w:sz w:val="20"/>
                <w:lang w:val="en-AU"/>
              </w:rPr>
            </w:pPr>
            <w:r w:rsidRPr="00771936">
              <w:rPr>
                <w:rFonts w:cs="Arial"/>
                <w:iCs/>
                <w:sz w:val="20"/>
                <w:lang w:val="en-AU"/>
              </w:rPr>
              <w:t>Myasthenia gravis</w:t>
            </w:r>
            <w:r w:rsidRPr="00771936">
              <w:rPr>
                <w:rFonts w:cs="Arial"/>
                <w:sz w:val="20"/>
                <w:lang w:val="en-AU"/>
              </w:rPr>
              <w:t>—prolongs paralysis; avoid neuromuscular blocking agents if possible.</w:t>
            </w:r>
          </w:p>
          <w:p w:rsidRPr="00771936" w:rsidR="006E4CF9" w:rsidP="00FE4186" w:rsidRDefault="006E4CF9" w14:paraId="77DD88D2" w14:textId="77777777">
            <w:pPr>
              <w:pStyle w:val="BodyText"/>
              <w:rPr>
                <w:rFonts w:cs="Arial"/>
                <w:sz w:val="20"/>
                <w:lang w:val="en-AU"/>
              </w:rPr>
            </w:pPr>
            <w:r w:rsidRPr="00771936">
              <w:rPr>
                <w:rFonts w:cs="Arial"/>
                <w:iCs/>
                <w:sz w:val="20"/>
                <w:lang w:val="en-AU"/>
              </w:rPr>
              <w:t>Neuromuscular diseases (</w:t>
            </w:r>
            <w:r>
              <w:rPr>
                <w:rFonts w:cs="Arial"/>
                <w:iCs/>
                <w:sz w:val="20"/>
                <w:lang w:val="en-AU"/>
              </w:rPr>
              <w:t>e.g.</w:t>
            </w:r>
            <w:r w:rsidRPr="00771936">
              <w:rPr>
                <w:rFonts w:cs="Arial"/>
                <w:iCs/>
                <w:sz w:val="20"/>
                <w:lang w:val="en-AU"/>
              </w:rPr>
              <w:t xml:space="preserve"> dystrophia myotonica, history of polio), severe obesity</w:t>
            </w:r>
            <w:r w:rsidRPr="00771936">
              <w:rPr>
                <w:rFonts w:cs="Arial"/>
                <w:sz w:val="20"/>
                <w:lang w:val="en-AU"/>
              </w:rPr>
              <w:t>—unpredictable effect; use cautiously and monitor neuromuscular function closely.</w:t>
            </w:r>
          </w:p>
          <w:p w:rsidRPr="00771936" w:rsidR="006E4CF9" w:rsidP="00FE4186" w:rsidRDefault="006E4CF9" w14:paraId="08D6E464" w14:textId="77777777">
            <w:pPr>
              <w:pStyle w:val="BodyText"/>
              <w:rPr>
                <w:rFonts w:cs="Arial"/>
                <w:sz w:val="20"/>
                <w:lang w:val="en-AU"/>
              </w:rPr>
            </w:pPr>
            <w:r w:rsidRPr="00771936">
              <w:rPr>
                <w:rFonts w:cs="Arial"/>
                <w:sz w:val="20"/>
                <w:lang w:val="en-AU"/>
              </w:rPr>
              <w:t>Neonates are generally more sensitive to non-depolarising neuromuscular blocking agents; duration of action may be prolonged; monitor neuromuscular function closely.</w:t>
            </w:r>
          </w:p>
          <w:p w:rsidRPr="00771936" w:rsidR="006E4CF9" w:rsidP="00FE4186" w:rsidRDefault="006E4CF9" w14:paraId="37048CCC" w14:textId="77777777">
            <w:pPr>
              <w:pStyle w:val="BodyText"/>
              <w:rPr>
                <w:sz w:val="20"/>
                <w:lang w:val="en-AU"/>
              </w:rPr>
            </w:pPr>
            <w:r w:rsidRPr="00771936">
              <w:rPr>
                <w:iCs/>
                <w:sz w:val="20"/>
                <w:lang w:val="en-AU"/>
              </w:rPr>
              <w:t>Acidosis, dehydration, hypokalaemia, hypermagnesaemia, hypocalcaemia</w:t>
            </w:r>
            <w:r w:rsidRPr="00771936">
              <w:rPr>
                <w:sz w:val="20"/>
                <w:lang w:val="en-AU"/>
              </w:rPr>
              <w:t>—enhances effects of neuromuscular blocking drugs; where possible correct before administration, reduce dose and monitor neuromuscular blockade.</w:t>
            </w:r>
          </w:p>
          <w:p w:rsidRPr="00771936" w:rsidR="006E4CF9" w:rsidP="00FE4186" w:rsidRDefault="006E4CF9" w14:paraId="449A37FD" w14:textId="77777777">
            <w:pPr>
              <w:pStyle w:val="BodyText"/>
              <w:rPr>
                <w:sz w:val="20"/>
                <w:lang w:val="en-AU"/>
              </w:rPr>
            </w:pPr>
            <w:r w:rsidRPr="00771936">
              <w:rPr>
                <w:iCs/>
                <w:sz w:val="20"/>
                <w:lang w:val="en-AU"/>
              </w:rPr>
              <w:t>Hypothermia</w:t>
            </w:r>
            <w:r w:rsidRPr="00771936">
              <w:rPr>
                <w:sz w:val="20"/>
                <w:lang w:val="en-AU"/>
              </w:rPr>
              <w:t>—decreases effect of pancuronium (unlike the rest of the neuromuscular blockers); reduce dose and monitor neuromuscular blockade.</w:t>
            </w:r>
          </w:p>
          <w:p w:rsidRPr="00771936" w:rsidR="006E4CF9" w:rsidP="00FE4186" w:rsidRDefault="006E4CF9" w14:paraId="6B62C27E" w14:textId="77777777">
            <w:pPr>
              <w:pStyle w:val="BodyText"/>
              <w:rPr>
                <w:rFonts w:cs="Arial"/>
                <w:sz w:val="20"/>
                <w:lang w:val="en-AU"/>
              </w:rPr>
            </w:pPr>
            <w:r w:rsidRPr="00771936">
              <w:rPr>
                <w:iCs/>
                <w:sz w:val="20"/>
                <w:lang w:val="en-AU"/>
              </w:rPr>
              <w:t>Anaphylactic reaction to neuromuscular blocking agents</w:t>
            </w:r>
            <w:r w:rsidRPr="00771936">
              <w:rPr>
                <w:sz w:val="20"/>
                <w:lang w:val="en-AU"/>
              </w:rPr>
              <w:t>—allergic cross-reactivity has been reported; refer to specialist for skin testing for sensitivity to other neuromuscular blockers.</w:t>
            </w:r>
          </w:p>
        </w:tc>
      </w:tr>
      <w:tr w:rsidRPr="00771936" w:rsidR="006E4CF9" w:rsidTr="006E4CF9" w14:paraId="41DEE455" w14:textId="77777777">
        <w:trPr>
          <w:trHeight w:val="416"/>
        </w:trPr>
        <w:tc>
          <w:tcPr>
            <w:tcW w:w="2410" w:type="dxa"/>
          </w:tcPr>
          <w:p w:rsidRPr="00771936" w:rsidR="006E4CF9" w:rsidP="00FE4186" w:rsidRDefault="006E4CF9" w14:paraId="2830C029" w14:textId="77777777">
            <w:pPr>
              <w:pStyle w:val="BodyText"/>
              <w:rPr>
                <w:rFonts w:cs="Arial"/>
                <w:b/>
                <w:bCs/>
                <w:szCs w:val="24"/>
                <w:lang w:val="en-AU"/>
              </w:rPr>
            </w:pPr>
            <w:r>
              <w:rPr>
                <w:rFonts w:cs="Arial"/>
                <w:b/>
                <w:bCs/>
                <w:szCs w:val="24"/>
                <w:lang w:val="en-AU"/>
              </w:rPr>
              <w:t>Drug Interactions</w:t>
            </w:r>
          </w:p>
        </w:tc>
        <w:tc>
          <w:tcPr>
            <w:tcW w:w="7825" w:type="dxa"/>
          </w:tcPr>
          <w:p w:rsidRPr="0064604F" w:rsidR="006E4CF9" w:rsidP="00FE4186" w:rsidRDefault="006E4CF9" w14:paraId="71489F7C" w14:textId="77777777">
            <w:pPr>
              <w:pStyle w:val="BodyText"/>
              <w:rPr>
                <w:rFonts w:cs="Arial"/>
                <w:bCs/>
                <w:iCs/>
                <w:sz w:val="20"/>
                <w:u w:val="single"/>
                <w:lang w:val="en-AU"/>
              </w:rPr>
            </w:pPr>
            <w:r w:rsidRPr="0064604F">
              <w:rPr>
                <w:rFonts w:cs="Arial"/>
                <w:bCs/>
                <w:iCs/>
                <w:sz w:val="20"/>
                <w:u w:val="single"/>
                <w:lang w:val="en-AU"/>
              </w:rPr>
              <w:t>Drugs that potentiate the effect of pancuronium:</w:t>
            </w:r>
            <w:r w:rsidRPr="0064604F">
              <w:rPr>
                <w:rFonts w:cs="Arial"/>
                <w:bCs/>
                <w:iCs/>
                <w:sz w:val="20"/>
                <w:u w:val="single"/>
                <w:vertAlign w:val="superscript"/>
                <w:lang w:val="en-AU"/>
              </w:rPr>
              <w:t xml:space="preserve">14 </w:t>
            </w:r>
          </w:p>
          <w:p w:rsidRPr="0064604F" w:rsidR="006E4CF9" w:rsidP="00FE4186" w:rsidRDefault="006E4CF9" w14:paraId="0A1B59E7" w14:textId="77777777">
            <w:pPr>
              <w:pStyle w:val="BodyText"/>
              <w:rPr>
                <w:rFonts w:cs="Arial"/>
                <w:bCs/>
                <w:iCs/>
                <w:sz w:val="20"/>
                <w:lang w:val="en-AU"/>
              </w:rPr>
            </w:pPr>
            <w:r w:rsidRPr="0064604F">
              <w:rPr>
                <w:rFonts w:cs="Arial"/>
                <w:bCs/>
                <w:iCs/>
                <w:sz w:val="20"/>
                <w:lang w:val="en-AU"/>
              </w:rPr>
              <w:t>1. Anaesthetics: Halothane, ether, enflurane, isoflurane, methoxyflurane, thiopentone, methohexitone, ketamine and fentanyl</w:t>
            </w:r>
            <w:r>
              <w:rPr>
                <w:rFonts w:cs="Arial"/>
                <w:bCs/>
                <w:iCs/>
                <w:sz w:val="20"/>
                <w:lang w:val="en-AU"/>
              </w:rPr>
              <w:t>.</w:t>
            </w:r>
          </w:p>
          <w:p w:rsidRPr="0064604F" w:rsidR="006E4CF9" w:rsidP="00FE4186" w:rsidRDefault="006E4CF9" w14:paraId="56549E27" w14:textId="77777777">
            <w:pPr>
              <w:pStyle w:val="BodyText"/>
              <w:rPr>
                <w:rFonts w:cs="Arial"/>
                <w:bCs/>
                <w:iCs/>
                <w:sz w:val="20"/>
                <w:lang w:val="en-AU"/>
              </w:rPr>
            </w:pPr>
            <w:r w:rsidRPr="0064604F">
              <w:rPr>
                <w:rFonts w:cs="Arial"/>
                <w:bCs/>
                <w:iCs/>
                <w:sz w:val="20"/>
                <w:lang w:val="en-AU"/>
              </w:rPr>
              <w:t>2. Other drugs:  neomycin, streptomycin, kanamycin, gentamicin, bacitracin, polymixins, tetracyclines, piperacillin, diazepam, propranolol, thiamine (high dose), intravenous lignocaine (high dose), magnesium sulfate, lithium carbonate, monoamine oxidase inhibitors (MAOIs), quinine, quinidine, protamine, diuretics, phenytoin, alpha-adrenergic blocking agents, beta-adrenergic blocking agents, calcium channel blockers, imidazoles, metronidazole and magnesium salts, magnesium ions and citrate anticoagulated blood</w:t>
            </w:r>
          </w:p>
          <w:p w:rsidRPr="0064604F" w:rsidR="006E4CF9" w:rsidP="00FE4186" w:rsidRDefault="006E4CF9" w14:paraId="07441098" w14:textId="77777777">
            <w:pPr>
              <w:pStyle w:val="BodyText"/>
              <w:rPr>
                <w:rFonts w:cs="Arial"/>
                <w:bCs/>
                <w:iCs/>
                <w:sz w:val="20"/>
                <w:lang w:val="en-AU"/>
              </w:rPr>
            </w:pPr>
            <w:r w:rsidRPr="0064604F">
              <w:rPr>
                <w:rFonts w:cs="Arial"/>
                <w:bCs/>
                <w:iCs/>
                <w:sz w:val="20"/>
                <w:lang w:val="en-AU"/>
              </w:rPr>
              <w:t>3. Drugs which are associated with a significant risk of hypokalaemia (e.g. amphotericin B, cisplatin, corticosteroids, loop diuretics, thiazide diuretics)</w:t>
            </w:r>
          </w:p>
          <w:p w:rsidRPr="0064604F" w:rsidR="006E4CF9" w:rsidP="00FE4186" w:rsidRDefault="006E4CF9" w14:paraId="593D4333" w14:textId="77777777">
            <w:pPr>
              <w:pStyle w:val="BodyText"/>
              <w:rPr>
                <w:rFonts w:cs="Arial"/>
                <w:bCs/>
                <w:iCs/>
                <w:sz w:val="20"/>
                <w:lang w:val="en-AU"/>
              </w:rPr>
            </w:pPr>
            <w:r w:rsidRPr="0064604F">
              <w:rPr>
                <w:rFonts w:cs="Arial"/>
                <w:bCs/>
                <w:iCs/>
                <w:sz w:val="20"/>
                <w:lang w:val="en-AU"/>
              </w:rPr>
              <w:t>4. Suxamethonium—prior administration can potentiate the effect of pancuronium</w:t>
            </w:r>
          </w:p>
          <w:p w:rsidR="006E4CF9" w:rsidP="00FE4186" w:rsidRDefault="006E4CF9" w14:paraId="1E47ED45" w14:textId="77777777">
            <w:pPr>
              <w:pStyle w:val="BodyText"/>
              <w:rPr>
                <w:rFonts w:cs="Arial"/>
                <w:bCs/>
                <w:iCs/>
                <w:sz w:val="20"/>
                <w:lang w:val="en-AU"/>
              </w:rPr>
            </w:pPr>
          </w:p>
          <w:p w:rsidRPr="0064604F" w:rsidR="006E4CF9" w:rsidP="00FE4186" w:rsidRDefault="006E4CF9" w14:paraId="48663F91" w14:textId="77777777">
            <w:pPr>
              <w:pStyle w:val="BodyText"/>
              <w:rPr>
                <w:rFonts w:cs="Arial"/>
                <w:bCs/>
                <w:iCs/>
                <w:sz w:val="20"/>
                <w:u w:val="single"/>
                <w:lang w:val="en-AU"/>
              </w:rPr>
            </w:pPr>
            <w:r w:rsidRPr="0064604F">
              <w:rPr>
                <w:rFonts w:cs="Arial"/>
                <w:bCs/>
                <w:iCs/>
                <w:sz w:val="20"/>
                <w:u w:val="single"/>
                <w:lang w:val="en-AU"/>
              </w:rPr>
              <w:t>Drugs that decrease the effect of pancuronium</w:t>
            </w:r>
          </w:p>
          <w:p w:rsidRPr="0064604F" w:rsidR="006E4CF9" w:rsidP="00FE4186" w:rsidRDefault="006E4CF9" w14:paraId="15A16CCE" w14:textId="77777777">
            <w:pPr>
              <w:pStyle w:val="BodyText"/>
              <w:rPr>
                <w:rFonts w:cs="Arial"/>
                <w:bCs/>
                <w:iCs/>
                <w:sz w:val="20"/>
                <w:lang w:val="en-AU"/>
              </w:rPr>
            </w:pPr>
            <w:r w:rsidRPr="0064604F">
              <w:rPr>
                <w:rFonts w:cs="Arial"/>
                <w:bCs/>
                <w:iCs/>
                <w:sz w:val="20"/>
                <w:lang w:val="en-AU"/>
              </w:rPr>
              <w:t>1. Neostigmine, edrophonium, adrenaline (epinephrine), azathioprine, theophylline (high dose), potassium chloride, sodium chloride and calcium chloride</w:t>
            </w:r>
          </w:p>
          <w:p w:rsidRPr="0064604F" w:rsidR="006E4CF9" w:rsidP="00FE4186" w:rsidRDefault="006E4CF9" w14:paraId="6CD7C71E" w14:textId="77777777">
            <w:pPr>
              <w:pStyle w:val="BodyText"/>
              <w:rPr>
                <w:rFonts w:cs="Arial"/>
                <w:bCs/>
                <w:iCs/>
                <w:sz w:val="20"/>
                <w:lang w:val="en-AU"/>
              </w:rPr>
            </w:pPr>
            <w:r w:rsidRPr="0064604F">
              <w:rPr>
                <w:rFonts w:cs="Arial"/>
                <w:bCs/>
                <w:iCs/>
                <w:sz w:val="20"/>
                <w:lang w:val="en-AU"/>
              </w:rPr>
              <w:t>2. Hydrocortisone and prednisone can decrease the effect of pancuronium</w:t>
            </w:r>
          </w:p>
          <w:p w:rsidRPr="0064604F" w:rsidR="006E4CF9" w:rsidP="00FE4186" w:rsidRDefault="006E4CF9" w14:paraId="2CFEB127" w14:textId="77777777">
            <w:pPr>
              <w:pStyle w:val="BodyText"/>
              <w:rPr>
                <w:rFonts w:cs="Arial"/>
                <w:bCs/>
                <w:iCs/>
                <w:sz w:val="20"/>
                <w:lang w:val="en-AU"/>
              </w:rPr>
            </w:pPr>
            <w:r w:rsidRPr="0064604F">
              <w:rPr>
                <w:rFonts w:cs="Arial"/>
                <w:bCs/>
                <w:iCs/>
                <w:sz w:val="20"/>
                <w:lang w:val="en-AU"/>
              </w:rPr>
              <w:t>Cardiac glycosides—pancuronium increases the risk of developing arrhythmias.</w:t>
            </w:r>
          </w:p>
        </w:tc>
      </w:tr>
      <w:tr w:rsidRPr="00771936" w:rsidR="006E4CF9" w:rsidTr="006E4CF9" w14:paraId="34FA589B" w14:textId="77777777">
        <w:trPr>
          <w:trHeight w:val="416"/>
        </w:trPr>
        <w:tc>
          <w:tcPr>
            <w:tcW w:w="2410" w:type="dxa"/>
          </w:tcPr>
          <w:p w:rsidRPr="00771936" w:rsidR="006E4CF9" w:rsidP="00FE4186" w:rsidRDefault="006E4CF9" w14:paraId="1EEA6F71" w14:textId="77777777">
            <w:pPr>
              <w:pStyle w:val="BodyText"/>
              <w:rPr>
                <w:rFonts w:cs="Arial"/>
                <w:b/>
                <w:bCs/>
                <w:szCs w:val="24"/>
                <w:lang w:val="en-AU"/>
              </w:rPr>
            </w:pPr>
            <w:r w:rsidRPr="00771936">
              <w:rPr>
                <w:rFonts w:cs="Arial"/>
                <w:b/>
                <w:bCs/>
                <w:szCs w:val="24"/>
                <w:lang w:val="en-AU"/>
              </w:rPr>
              <w:t xml:space="preserve">Adverse Reactions        </w:t>
            </w:r>
          </w:p>
          <w:p w:rsidRPr="00771936" w:rsidR="006E4CF9" w:rsidP="00FE4186" w:rsidRDefault="006E4CF9" w14:paraId="22C1FE5F" w14:textId="77777777">
            <w:pPr>
              <w:pStyle w:val="BodyText"/>
              <w:rPr>
                <w:rFonts w:cs="Arial"/>
                <w:b/>
                <w:bCs/>
                <w:szCs w:val="24"/>
                <w:lang w:val="en-AU"/>
              </w:rPr>
            </w:pPr>
          </w:p>
        </w:tc>
        <w:tc>
          <w:tcPr>
            <w:tcW w:w="782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09"/>
            </w:tblGrid>
            <w:tr w:rsidRPr="00771936" w:rsidR="006E4CF9" w:rsidTr="00FE4186" w14:paraId="7990CDF7" w14:textId="77777777">
              <w:trPr>
                <w:tblCellSpacing w:w="15" w:type="dxa"/>
              </w:trPr>
              <w:tc>
                <w:tcPr>
                  <w:tcW w:w="0" w:type="auto"/>
                  <w:hideMark/>
                </w:tcPr>
                <w:p w:rsidRPr="002503CA" w:rsidR="006E4CF9" w:rsidP="00FE4186" w:rsidRDefault="006E4CF9" w14:paraId="07483E75" w14:textId="77777777">
                  <w:pPr>
                    <w:pStyle w:val="BodyText"/>
                    <w:rPr>
                      <w:rFonts w:cs="Arial"/>
                      <w:sz w:val="20"/>
                      <w:lang w:val="en-AU"/>
                    </w:rPr>
                  </w:pPr>
                  <w:r w:rsidRPr="002503CA">
                    <w:rPr>
                      <w:rFonts w:cs="Arial"/>
                      <w:b/>
                      <w:bCs/>
                      <w:iCs/>
                      <w:sz w:val="20"/>
                      <w:lang w:val="en-AU"/>
                    </w:rPr>
                    <w:t>Respiratory:</w:t>
                  </w:r>
                  <w:r w:rsidRPr="002503CA">
                    <w:rPr>
                      <w:rFonts w:cs="Arial"/>
                      <w:sz w:val="20"/>
                      <w:lang w:val="en-AU"/>
                    </w:rPr>
                    <w:t xml:space="preserve"> </w:t>
                  </w:r>
                  <w:r>
                    <w:rPr>
                      <w:rFonts w:cs="Arial"/>
                      <w:sz w:val="20"/>
                      <w:lang w:val="en-AU"/>
                    </w:rPr>
                    <w:t>M</w:t>
                  </w:r>
                  <w:r w:rsidRPr="002503CA">
                    <w:rPr>
                      <w:rFonts w:cs="Arial"/>
                      <w:sz w:val="20"/>
                      <w:lang w:val="en-AU"/>
                    </w:rPr>
                    <w:t xml:space="preserve">ay result in prolonged apnoea or respiratory depression. </w:t>
                  </w:r>
                  <w:r w:rsidRPr="002503CA">
                    <w:rPr>
                      <w:rFonts w:cs="Arial"/>
                      <w:sz w:val="20"/>
                      <w:lang w:val="en-AU"/>
                    </w:rPr>
                    <w:br/>
                  </w:r>
                  <w:r w:rsidRPr="002503CA">
                    <w:rPr>
                      <w:rFonts w:cs="Arial"/>
                      <w:b/>
                      <w:bCs/>
                      <w:iCs/>
                      <w:sz w:val="20"/>
                      <w:lang w:val="en-AU"/>
                    </w:rPr>
                    <w:t>Cardiovascular:</w:t>
                  </w:r>
                  <w:r w:rsidRPr="002503CA">
                    <w:rPr>
                      <w:rFonts w:cs="Arial"/>
                      <w:b/>
                      <w:bCs/>
                      <w:sz w:val="20"/>
                      <w:lang w:val="en-AU"/>
                    </w:rPr>
                    <w:t xml:space="preserve">  </w:t>
                  </w:r>
                  <w:r w:rsidRPr="002503CA">
                    <w:rPr>
                      <w:rFonts w:cs="Arial"/>
                      <w:sz w:val="20"/>
                      <w:lang w:val="en-AU"/>
                    </w:rPr>
                    <w:t xml:space="preserve">After administration, approximately 10% of patients may exhibit mild to moderate increases in blood pressure and/or pulse rate. Dysrhythmias may occasionally occur and increased cardiac output is frequently noted. </w:t>
                  </w:r>
                  <w:r w:rsidRPr="002503CA">
                    <w:rPr>
                      <w:rFonts w:cs="Arial"/>
                      <w:sz w:val="20"/>
                      <w:lang w:val="en-AU"/>
                    </w:rPr>
                    <w:br/>
                  </w:r>
                  <w:r w:rsidRPr="002503CA">
                    <w:rPr>
                      <w:rFonts w:cs="Arial"/>
                      <w:b/>
                      <w:bCs/>
                      <w:iCs/>
                      <w:sz w:val="20"/>
                      <w:lang w:val="en-AU"/>
                    </w:rPr>
                    <w:t>Hypersensitivity</w:t>
                  </w:r>
                  <w:r>
                    <w:rPr>
                      <w:rFonts w:cs="Arial"/>
                      <w:b/>
                      <w:bCs/>
                      <w:iCs/>
                      <w:sz w:val="20"/>
                      <w:lang w:val="en-AU"/>
                    </w:rPr>
                    <w:t>:</w:t>
                  </w:r>
                  <w:r w:rsidRPr="002503CA">
                    <w:rPr>
                      <w:rFonts w:cs="Arial"/>
                      <w:b/>
                      <w:bCs/>
                      <w:sz w:val="20"/>
                      <w:lang w:val="en-AU"/>
                    </w:rPr>
                    <w:t> </w:t>
                  </w:r>
                  <w:r w:rsidRPr="002503CA">
                    <w:rPr>
                      <w:rFonts w:cs="Arial"/>
                      <w:sz w:val="20"/>
                      <w:lang w:val="en-AU"/>
                    </w:rPr>
                    <w:t>Hypersensitivity reactions occur rarely (&lt;</w:t>
                  </w:r>
                  <w:r>
                    <w:rPr>
                      <w:rFonts w:cs="Arial"/>
                      <w:sz w:val="20"/>
                      <w:lang w:val="en-AU"/>
                    </w:rPr>
                    <w:t xml:space="preserve"> </w:t>
                  </w:r>
                  <w:r w:rsidRPr="002503CA">
                    <w:rPr>
                      <w:rFonts w:cs="Arial"/>
                      <w:sz w:val="20"/>
                      <w:lang w:val="en-AU"/>
                    </w:rPr>
                    <w:t>1%). Bradycardia, bronchospasm, hypotension and cardiovascular collapse have been reported. An occasional transient rash has been reported. Pruritus can occur, as well as rare cases of flushing, oedema and wheezing.</w:t>
                  </w:r>
                  <w:r w:rsidRPr="002503CA">
                    <w:rPr>
                      <w:rFonts w:cs="Arial"/>
                      <w:sz w:val="20"/>
                      <w:lang w:val="en-AU"/>
                    </w:rPr>
                    <w:br/>
                  </w:r>
                  <w:r>
                    <w:rPr>
                      <w:rFonts w:cs="Arial"/>
                      <w:b/>
                      <w:bCs/>
                      <w:iCs/>
                      <w:sz w:val="20"/>
                      <w:lang w:val="en-AU"/>
                    </w:rPr>
                    <w:t>Skin:</w:t>
                  </w:r>
                  <w:r w:rsidRPr="002503CA">
                    <w:rPr>
                      <w:rFonts w:cs="Arial"/>
                      <w:b/>
                      <w:bCs/>
                      <w:sz w:val="20"/>
                      <w:lang w:val="en-AU"/>
                    </w:rPr>
                    <w:t> </w:t>
                  </w:r>
                  <w:r w:rsidRPr="002503CA">
                    <w:rPr>
                      <w:rFonts w:cs="Arial"/>
                      <w:sz w:val="20"/>
                      <w:lang w:val="en-AU"/>
                    </w:rPr>
                    <w:t>A few case</w:t>
                  </w:r>
                  <w:r>
                    <w:rPr>
                      <w:rFonts w:cs="Arial"/>
                      <w:sz w:val="20"/>
                      <w:lang w:val="en-AU"/>
                    </w:rPr>
                    <w:t xml:space="preserve"> reports of </w:t>
                  </w:r>
                  <w:r w:rsidRPr="002503CA">
                    <w:rPr>
                      <w:rFonts w:cs="Arial"/>
                      <w:sz w:val="20"/>
                      <w:lang w:val="en-AU"/>
                    </w:rPr>
                    <w:t xml:space="preserve">local reactions </w:t>
                  </w:r>
                  <w:r>
                    <w:rPr>
                      <w:rFonts w:cs="Arial"/>
                      <w:sz w:val="20"/>
                      <w:lang w:val="en-AU"/>
                    </w:rPr>
                    <w:t>including</w:t>
                  </w:r>
                  <w:r w:rsidRPr="002503CA">
                    <w:rPr>
                      <w:rFonts w:cs="Arial"/>
                      <w:sz w:val="20"/>
                      <w:lang w:val="en-AU"/>
                    </w:rPr>
                    <w:t xml:space="preserve"> pain and burning at the site of injection</w:t>
                  </w:r>
                  <w:r>
                    <w:rPr>
                      <w:rFonts w:cs="Arial"/>
                      <w:sz w:val="20"/>
                      <w:lang w:val="en-AU"/>
                    </w:rPr>
                    <w:t>.</w:t>
                  </w:r>
                  <w:r w:rsidRPr="002503CA">
                    <w:rPr>
                      <w:rFonts w:cs="Arial"/>
                      <w:sz w:val="20"/>
                      <w:lang w:val="en-AU"/>
                    </w:rPr>
                    <w:br/>
                  </w:r>
                  <w:r>
                    <w:rPr>
                      <w:rFonts w:cs="Arial"/>
                      <w:b/>
                      <w:bCs/>
                      <w:iCs/>
                      <w:sz w:val="20"/>
                      <w:lang w:val="en-AU"/>
                    </w:rPr>
                    <w:t>Ocular:</w:t>
                  </w:r>
                  <w:r w:rsidRPr="002503CA">
                    <w:rPr>
                      <w:rFonts w:cs="Arial"/>
                      <w:b/>
                      <w:bCs/>
                      <w:sz w:val="20"/>
                      <w:lang w:val="en-AU"/>
                    </w:rPr>
                    <w:t> </w:t>
                  </w:r>
                  <w:r w:rsidRPr="002503CA">
                    <w:rPr>
                      <w:rFonts w:cs="Arial"/>
                      <w:sz w:val="20"/>
                      <w:lang w:val="en-AU"/>
                    </w:rPr>
                    <w:t>Pancuronium decreases intraocular pressure and induces miosis.</w:t>
                  </w:r>
                  <w:r w:rsidRPr="002503CA">
                    <w:rPr>
                      <w:rFonts w:cs="Arial"/>
                      <w:sz w:val="20"/>
                      <w:lang w:val="en-AU"/>
                    </w:rPr>
                    <w:br/>
                  </w:r>
                  <w:r>
                    <w:rPr>
                      <w:rFonts w:cs="Arial"/>
                      <w:b/>
                      <w:bCs/>
                      <w:iCs/>
                      <w:sz w:val="20"/>
                      <w:lang w:val="en-AU"/>
                    </w:rPr>
                    <w:t>Neuromuscular:</w:t>
                  </w:r>
                  <w:r w:rsidRPr="002503CA">
                    <w:rPr>
                      <w:rFonts w:cs="Arial"/>
                      <w:b/>
                      <w:bCs/>
                      <w:sz w:val="20"/>
                      <w:lang w:val="en-AU"/>
                    </w:rPr>
                    <w:t> </w:t>
                  </w:r>
                  <w:r w:rsidRPr="002503CA">
                    <w:rPr>
                      <w:rFonts w:cs="Arial"/>
                      <w:sz w:val="20"/>
                      <w:lang w:val="en-AU"/>
                    </w:rPr>
                    <w:t>Prolonged paralysis, disuse atrophy and areflexia have been reported with prolonged use of pancuronium.</w:t>
                  </w:r>
                  <w:r w:rsidRPr="002503CA">
                    <w:rPr>
                      <w:rFonts w:cs="Arial"/>
                      <w:sz w:val="20"/>
                      <w:lang w:val="en-AU"/>
                    </w:rPr>
                    <w:br/>
                  </w:r>
                  <w:r w:rsidRPr="002503CA">
                    <w:rPr>
                      <w:rFonts w:cs="Arial"/>
                      <w:b/>
                      <w:bCs/>
                      <w:iCs/>
                      <w:sz w:val="20"/>
                      <w:lang w:val="en-AU"/>
                    </w:rPr>
                    <w:t>Other</w:t>
                  </w:r>
                  <w:r>
                    <w:rPr>
                      <w:rFonts w:cs="Arial"/>
                      <w:b/>
                      <w:bCs/>
                      <w:iCs/>
                      <w:sz w:val="20"/>
                      <w:lang w:val="en-AU"/>
                    </w:rPr>
                    <w:t>:</w:t>
                  </w:r>
                  <w:r w:rsidRPr="002503CA">
                    <w:rPr>
                      <w:rFonts w:cs="Arial"/>
                      <w:b/>
                      <w:bCs/>
                      <w:sz w:val="20"/>
                      <w:lang w:val="en-AU"/>
                    </w:rPr>
                    <w:t> </w:t>
                  </w:r>
                  <w:r w:rsidRPr="002503CA">
                    <w:rPr>
                      <w:rFonts w:cs="Arial"/>
                      <w:sz w:val="20"/>
                      <w:lang w:val="en-AU"/>
                    </w:rPr>
                    <w:t>Hypersalivation may occur, especially if no anticholinergic premedication is given.</w:t>
                  </w:r>
                </w:p>
              </w:tc>
            </w:tr>
          </w:tbl>
          <w:p w:rsidRPr="00771936" w:rsidR="006E4CF9" w:rsidP="00FE4186" w:rsidRDefault="006E4CF9" w14:paraId="433A772A" w14:textId="77777777">
            <w:pPr>
              <w:pStyle w:val="BodyText"/>
              <w:rPr>
                <w:rFonts w:cs="Arial"/>
                <w:sz w:val="20"/>
                <w:lang w:val="en-AU"/>
              </w:rPr>
            </w:pPr>
          </w:p>
        </w:tc>
      </w:tr>
      <w:tr w:rsidRPr="00771936" w:rsidR="006E4CF9" w:rsidTr="006E4CF9" w14:paraId="49ADA7C0" w14:textId="77777777">
        <w:trPr>
          <w:trHeight w:val="396"/>
        </w:trPr>
        <w:tc>
          <w:tcPr>
            <w:tcW w:w="2410" w:type="dxa"/>
          </w:tcPr>
          <w:p w:rsidRPr="00771936" w:rsidR="006E4CF9" w:rsidP="00FE4186" w:rsidRDefault="006E4CF9" w14:paraId="0325FDB1" w14:textId="77777777">
            <w:pPr>
              <w:pStyle w:val="BodyText"/>
              <w:rPr>
                <w:rFonts w:cs="Arial"/>
                <w:b/>
                <w:bCs/>
                <w:szCs w:val="24"/>
                <w:lang w:val="en-AU"/>
              </w:rPr>
            </w:pPr>
            <w:r w:rsidRPr="00771936">
              <w:rPr>
                <w:rFonts w:cs="Arial"/>
                <w:b/>
                <w:bCs/>
                <w:szCs w:val="24"/>
                <w:lang w:val="en-AU"/>
              </w:rPr>
              <w:lastRenderedPageBreak/>
              <w:t>Compatibility</w:t>
            </w:r>
          </w:p>
          <w:p w:rsidRPr="00771936" w:rsidR="006E4CF9" w:rsidP="00FE4186" w:rsidRDefault="006E4CF9" w14:paraId="6382186F" w14:textId="77777777">
            <w:pPr>
              <w:pStyle w:val="BodyText"/>
              <w:rPr>
                <w:rFonts w:cs="Arial"/>
                <w:b/>
                <w:bCs/>
                <w:szCs w:val="24"/>
                <w:lang w:val="en-AU"/>
              </w:rPr>
            </w:pPr>
          </w:p>
        </w:tc>
        <w:tc>
          <w:tcPr>
            <w:tcW w:w="7825" w:type="dxa"/>
          </w:tcPr>
          <w:p w:rsidRPr="00771936" w:rsidR="006E4CF9" w:rsidP="00FE4186" w:rsidRDefault="006E4CF9" w14:paraId="10F04FD1" w14:textId="77777777">
            <w:pPr>
              <w:pStyle w:val="BodyText"/>
              <w:rPr>
                <w:sz w:val="20"/>
                <w:lang w:val="en-AU"/>
              </w:rPr>
            </w:pPr>
            <w:r w:rsidRPr="00771936">
              <w:rPr>
                <w:sz w:val="20"/>
                <w:lang w:val="en-AU"/>
              </w:rPr>
              <w:t>Fluids: Glucose 5%, glucose 5% in sodium chloride 0.9%, glucose 5% in sodium chloride 0.45%, Hartmann’s, sodium chloride 0.9%</w:t>
            </w:r>
            <w:r>
              <w:rPr>
                <w:sz w:val="20"/>
                <w:lang w:val="en-AU"/>
              </w:rPr>
              <w:t>.</w:t>
            </w:r>
            <w:r w:rsidRPr="002503CA">
              <w:rPr>
                <w:sz w:val="20"/>
                <w:vertAlign w:val="superscript"/>
                <w:lang w:val="en-AU"/>
              </w:rPr>
              <w:t>10</w:t>
            </w:r>
          </w:p>
          <w:p w:rsidRPr="00771936" w:rsidR="006E4CF9" w:rsidP="00FE4186" w:rsidRDefault="006E4CF9" w14:paraId="6E32C835" w14:textId="77777777">
            <w:pPr>
              <w:pStyle w:val="BodyText"/>
              <w:rPr>
                <w:sz w:val="20"/>
                <w:lang w:val="en-AU"/>
              </w:rPr>
            </w:pPr>
            <w:r w:rsidRPr="00771936">
              <w:rPr>
                <w:sz w:val="20"/>
                <w:lang w:val="en-AU"/>
              </w:rPr>
              <w:t>Compatible via Y-site : Adrenaline</w:t>
            </w:r>
            <w:r>
              <w:rPr>
                <w:sz w:val="20"/>
                <w:lang w:val="en-AU"/>
              </w:rPr>
              <w:t xml:space="preserve"> (epinephrine)</w:t>
            </w:r>
            <w:r w:rsidRPr="00771936">
              <w:rPr>
                <w:sz w:val="20"/>
                <w:lang w:val="en-AU"/>
              </w:rPr>
              <w:t>, aminophylline, ce</w:t>
            </w:r>
            <w:r>
              <w:rPr>
                <w:sz w:val="20"/>
                <w:lang w:val="en-AU"/>
              </w:rPr>
              <w:t>f</w:t>
            </w:r>
            <w:r w:rsidRPr="00771936">
              <w:rPr>
                <w:sz w:val="20"/>
                <w:lang w:val="en-AU"/>
              </w:rPr>
              <w:t>azolin, dobutamine, dopamine, esmolol, fentanyl, fluconazole, gentamicin, glyceryl trinitrate, heparin, hydrocortisone sodium succinate, lorazepam, midazolam, milrinone, morphine, ranitidine, sodium nitroprusside, trimethoprim-sulfamethoxazole, vancomycin</w:t>
            </w:r>
            <w:r>
              <w:rPr>
                <w:sz w:val="20"/>
                <w:lang w:val="en-AU"/>
              </w:rPr>
              <w:t>.</w:t>
            </w:r>
            <w:r w:rsidRPr="002503CA">
              <w:rPr>
                <w:sz w:val="20"/>
                <w:vertAlign w:val="superscript"/>
                <w:lang w:val="en-AU"/>
              </w:rPr>
              <w:t>10</w:t>
            </w:r>
            <w:r w:rsidRPr="00771936">
              <w:rPr>
                <w:sz w:val="20"/>
                <w:lang w:val="en-AU"/>
              </w:rPr>
              <w:t xml:space="preserve"> </w:t>
            </w:r>
          </w:p>
          <w:p w:rsidRPr="00771936" w:rsidR="006E4CF9" w:rsidP="00FE4186" w:rsidRDefault="006E4CF9" w14:paraId="2D379DCE" w14:textId="77777777">
            <w:pPr>
              <w:pStyle w:val="BodyText"/>
              <w:rPr>
                <w:sz w:val="20"/>
                <w:lang w:val="en-AU"/>
              </w:rPr>
            </w:pPr>
            <w:r w:rsidRPr="00771936">
              <w:rPr>
                <w:sz w:val="20"/>
                <w:lang w:val="en-AU"/>
              </w:rPr>
              <w:t>Compatible in syringe : Heparin (for 5 minutes)</w:t>
            </w:r>
            <w:r>
              <w:rPr>
                <w:sz w:val="20"/>
                <w:lang w:val="en-AU"/>
              </w:rPr>
              <w:t>.</w:t>
            </w:r>
            <w:r w:rsidRPr="002503CA">
              <w:rPr>
                <w:sz w:val="20"/>
                <w:vertAlign w:val="superscript"/>
                <w:lang w:val="en-AU"/>
              </w:rPr>
              <w:t>10</w:t>
            </w:r>
          </w:p>
        </w:tc>
      </w:tr>
      <w:tr w:rsidRPr="00771936" w:rsidR="006E4CF9" w:rsidTr="006E4CF9" w14:paraId="63D2E089" w14:textId="77777777">
        <w:trPr>
          <w:trHeight w:val="376"/>
        </w:trPr>
        <w:tc>
          <w:tcPr>
            <w:tcW w:w="2410" w:type="dxa"/>
          </w:tcPr>
          <w:p w:rsidRPr="00771936" w:rsidR="006E4CF9" w:rsidP="00FE4186" w:rsidRDefault="006E4CF9" w14:paraId="26094845" w14:textId="77777777">
            <w:pPr>
              <w:pStyle w:val="BodyText"/>
              <w:rPr>
                <w:rFonts w:cs="Arial"/>
                <w:b/>
                <w:bCs/>
                <w:szCs w:val="24"/>
                <w:lang w:val="en-AU"/>
              </w:rPr>
            </w:pPr>
            <w:r w:rsidRPr="00771936">
              <w:rPr>
                <w:rFonts w:cs="Arial"/>
                <w:b/>
                <w:bCs/>
                <w:szCs w:val="24"/>
                <w:lang w:val="en-AU"/>
              </w:rPr>
              <w:t xml:space="preserve">Incompatibility      </w:t>
            </w:r>
          </w:p>
          <w:p w:rsidRPr="00771936" w:rsidR="006E4CF9" w:rsidP="00FE4186" w:rsidRDefault="006E4CF9" w14:paraId="4D263889" w14:textId="77777777">
            <w:pPr>
              <w:pStyle w:val="BodyText"/>
              <w:rPr>
                <w:rFonts w:cs="Arial"/>
                <w:b/>
                <w:bCs/>
                <w:sz w:val="20"/>
                <w:lang w:val="en-AU"/>
              </w:rPr>
            </w:pPr>
            <w:r w:rsidRPr="00771936">
              <w:rPr>
                <w:rFonts w:cs="Arial"/>
                <w:b/>
                <w:bCs/>
                <w:sz w:val="20"/>
                <w:lang w:val="en-AU"/>
              </w:rPr>
              <w:t xml:space="preserve">               </w:t>
            </w:r>
            <w:r w:rsidRPr="00771936">
              <w:rPr>
                <w:rFonts w:cs="Arial"/>
                <w:b/>
                <w:bCs/>
                <w:sz w:val="20"/>
                <w:lang w:val="en-AU"/>
              </w:rPr>
              <w:tab/>
            </w:r>
          </w:p>
        </w:tc>
        <w:tc>
          <w:tcPr>
            <w:tcW w:w="7825" w:type="dxa"/>
          </w:tcPr>
          <w:p w:rsidRPr="00771936" w:rsidR="006E4CF9" w:rsidP="00FE4186" w:rsidRDefault="006E4CF9" w14:paraId="4E53C5D2" w14:textId="77777777">
            <w:pPr>
              <w:pStyle w:val="BodyText"/>
              <w:rPr>
                <w:rFonts w:cs="Arial"/>
                <w:sz w:val="20"/>
                <w:lang w:val="en-AU"/>
              </w:rPr>
            </w:pPr>
            <w:r w:rsidRPr="00771936">
              <w:rPr>
                <w:rFonts w:cs="Arial"/>
                <w:sz w:val="20"/>
                <w:lang w:val="en-AU"/>
              </w:rPr>
              <w:t>Incompatible fluids : No information</w:t>
            </w:r>
          </w:p>
          <w:p w:rsidRPr="00771936" w:rsidR="006E4CF9" w:rsidP="00FE4186" w:rsidRDefault="006E4CF9" w14:paraId="7ED8F243" w14:textId="77777777">
            <w:pPr>
              <w:pStyle w:val="BodyText"/>
              <w:rPr>
                <w:rFonts w:cs="Arial"/>
                <w:sz w:val="20"/>
                <w:lang w:val="en-AU"/>
              </w:rPr>
            </w:pPr>
            <w:r w:rsidRPr="00771936">
              <w:rPr>
                <w:rFonts w:cs="Arial"/>
                <w:sz w:val="20"/>
                <w:lang w:val="en-AU"/>
              </w:rPr>
              <w:t xml:space="preserve">Incompatible </w:t>
            </w:r>
            <w:r>
              <w:rPr>
                <w:rFonts w:cs="Arial"/>
                <w:sz w:val="20"/>
                <w:lang w:val="en-AU"/>
              </w:rPr>
              <w:t>via Y site</w:t>
            </w:r>
            <w:r w:rsidRPr="00771936">
              <w:rPr>
                <w:rFonts w:cs="Arial"/>
                <w:sz w:val="20"/>
                <w:lang w:val="en-AU"/>
              </w:rPr>
              <w:t xml:space="preserve"> : Barbiturates, caspofungin, f</w:t>
            </w:r>
            <w:r>
              <w:rPr>
                <w:rFonts w:cs="Arial"/>
                <w:sz w:val="20"/>
                <w:lang w:val="en-AU"/>
              </w:rPr>
              <w:t>uro</w:t>
            </w:r>
            <w:r w:rsidRPr="00771936">
              <w:rPr>
                <w:rFonts w:cs="Arial"/>
                <w:sz w:val="20"/>
                <w:lang w:val="en-AU"/>
              </w:rPr>
              <w:t>semide, quinine, thiopentone</w:t>
            </w:r>
            <w:r>
              <w:rPr>
                <w:rFonts w:cs="Arial"/>
                <w:sz w:val="20"/>
                <w:lang w:val="en-AU"/>
              </w:rPr>
              <w:t>.</w:t>
            </w:r>
            <w:r w:rsidRPr="002503CA">
              <w:rPr>
                <w:rFonts w:cs="Arial"/>
                <w:sz w:val="20"/>
                <w:vertAlign w:val="superscript"/>
                <w:lang w:val="en-AU"/>
              </w:rPr>
              <w:t>10</w:t>
            </w:r>
          </w:p>
        </w:tc>
      </w:tr>
      <w:tr w:rsidRPr="00771936" w:rsidR="006E4CF9" w:rsidTr="006E4CF9" w14:paraId="751141A7" w14:textId="77777777">
        <w:trPr>
          <w:trHeight w:val="1377"/>
        </w:trPr>
        <w:tc>
          <w:tcPr>
            <w:tcW w:w="2410" w:type="dxa"/>
          </w:tcPr>
          <w:p w:rsidRPr="00771936" w:rsidR="006E4CF9" w:rsidP="00FE4186" w:rsidRDefault="006E4CF9" w14:paraId="2BFCCCB3" w14:textId="77777777">
            <w:pPr>
              <w:pStyle w:val="BodyText"/>
              <w:rPr>
                <w:rFonts w:cs="Arial"/>
                <w:b/>
                <w:bCs/>
                <w:szCs w:val="24"/>
                <w:lang w:val="en-AU"/>
              </w:rPr>
            </w:pPr>
            <w:r w:rsidRPr="00771936">
              <w:rPr>
                <w:rFonts w:cs="Arial"/>
                <w:b/>
                <w:bCs/>
                <w:szCs w:val="24"/>
                <w:lang w:val="en-AU"/>
              </w:rPr>
              <w:t xml:space="preserve">Stability              </w:t>
            </w:r>
          </w:p>
        </w:tc>
        <w:tc>
          <w:tcPr>
            <w:tcW w:w="7825" w:type="dxa"/>
          </w:tcPr>
          <w:p w:rsidRPr="00771936" w:rsidR="006E4CF9" w:rsidP="00FE4186" w:rsidRDefault="006E4CF9" w14:paraId="1C45BC35" w14:textId="77777777">
            <w:pPr>
              <w:spacing w:line="270" w:lineRule="atLeast"/>
              <w:rPr>
                <w:rFonts w:cs="Arial"/>
                <w:sz w:val="20"/>
              </w:rPr>
            </w:pPr>
            <w:r w:rsidRPr="00771936">
              <w:rPr>
                <w:rFonts w:cs="Arial"/>
                <w:sz w:val="20"/>
              </w:rPr>
              <w:t>Dilutions are stable for 48 hours</w:t>
            </w:r>
            <w:r>
              <w:rPr>
                <w:rFonts w:cs="Arial"/>
                <w:sz w:val="20"/>
              </w:rPr>
              <w:t>.</w:t>
            </w:r>
            <w:r w:rsidRPr="008D428E">
              <w:rPr>
                <w:rFonts w:cs="Arial"/>
                <w:sz w:val="20"/>
                <w:vertAlign w:val="superscript"/>
              </w:rPr>
              <w:t>9</w:t>
            </w:r>
            <w:r w:rsidRPr="00771936">
              <w:rPr>
                <w:rStyle w:val="apple-converted-space"/>
                <w:rFonts w:cs="Arial"/>
                <w:sz w:val="20"/>
              </w:rPr>
              <w:t> </w:t>
            </w:r>
          </w:p>
          <w:p w:rsidRPr="00771936" w:rsidR="006E4CF9" w:rsidP="00FE4186" w:rsidRDefault="006E4CF9" w14:paraId="3A51F42D" w14:textId="77777777">
            <w:pPr>
              <w:spacing w:line="270" w:lineRule="atLeast"/>
              <w:rPr>
                <w:rFonts w:cs="Arial"/>
                <w:sz w:val="20"/>
              </w:rPr>
            </w:pPr>
            <w:r w:rsidRPr="00771936">
              <w:rPr>
                <w:rFonts w:cs="Arial"/>
                <w:sz w:val="20"/>
              </w:rPr>
              <w:t>The stability of pancuronium bromide can be extended if refrigerated. Pancuronium stored at room temperature (15</w:t>
            </w:r>
            <w:r>
              <w:rPr>
                <w:rFonts w:cs="Arial"/>
                <w:sz w:val="20"/>
              </w:rPr>
              <w:t>–</w:t>
            </w:r>
            <w:r w:rsidRPr="00771936">
              <w:rPr>
                <w:rFonts w:cs="Arial"/>
                <w:sz w:val="20"/>
              </w:rPr>
              <w:t>30</w:t>
            </w:r>
            <w:r>
              <w:rPr>
                <w:rFonts w:cs="Calibri"/>
                <w:sz w:val="20"/>
              </w:rPr>
              <w:t>°</w:t>
            </w:r>
            <w:r w:rsidRPr="00771936">
              <w:rPr>
                <w:rFonts w:cs="Arial"/>
                <w:sz w:val="20"/>
              </w:rPr>
              <w:t>C) will maintain its full clinical potency for 6 months. However, if refrigerated (2</w:t>
            </w:r>
            <w:r>
              <w:rPr>
                <w:rFonts w:cs="Arial"/>
                <w:sz w:val="20"/>
              </w:rPr>
              <w:t>–</w:t>
            </w:r>
            <w:r w:rsidRPr="00771936">
              <w:rPr>
                <w:rFonts w:cs="Arial"/>
                <w:sz w:val="20"/>
              </w:rPr>
              <w:t>8</w:t>
            </w:r>
            <w:r>
              <w:rPr>
                <w:rFonts w:cs="Calibri"/>
                <w:sz w:val="20"/>
              </w:rPr>
              <w:t>°</w:t>
            </w:r>
            <w:r w:rsidRPr="00771936">
              <w:rPr>
                <w:rFonts w:cs="Arial"/>
                <w:sz w:val="20"/>
              </w:rPr>
              <w:t>C), pancuronium bromide will be stable for up to 3 years or until its expiration date, whichever comes first.</w:t>
            </w:r>
          </w:p>
        </w:tc>
      </w:tr>
      <w:tr w:rsidRPr="00771936" w:rsidR="006E4CF9" w:rsidTr="006E4CF9" w14:paraId="62DEA735" w14:textId="77777777">
        <w:trPr>
          <w:trHeight w:val="371"/>
        </w:trPr>
        <w:tc>
          <w:tcPr>
            <w:tcW w:w="2410" w:type="dxa"/>
          </w:tcPr>
          <w:p w:rsidRPr="00771936" w:rsidR="006E4CF9" w:rsidP="00FE4186" w:rsidRDefault="006E4CF9" w14:paraId="3210A5AB" w14:textId="77777777">
            <w:pPr>
              <w:pStyle w:val="BodyText"/>
              <w:rPr>
                <w:rFonts w:cs="Arial"/>
                <w:b/>
                <w:bCs/>
                <w:szCs w:val="24"/>
                <w:lang w:val="en-AU"/>
              </w:rPr>
            </w:pPr>
            <w:r w:rsidRPr="00771936">
              <w:rPr>
                <w:rFonts w:cs="Arial"/>
                <w:b/>
                <w:bCs/>
                <w:szCs w:val="24"/>
                <w:lang w:val="en-AU"/>
              </w:rPr>
              <w:t xml:space="preserve">Storage             </w:t>
            </w:r>
          </w:p>
        </w:tc>
        <w:tc>
          <w:tcPr>
            <w:tcW w:w="7825" w:type="dxa"/>
          </w:tcPr>
          <w:p w:rsidRPr="00771936" w:rsidR="006E4CF9" w:rsidP="00FE4186" w:rsidRDefault="006E4CF9" w14:paraId="43B070A8" w14:textId="77777777">
            <w:pPr>
              <w:pStyle w:val="BodyText"/>
              <w:rPr>
                <w:rFonts w:cs="Arial"/>
                <w:sz w:val="20"/>
                <w:lang w:val="en-AU"/>
              </w:rPr>
            </w:pPr>
            <w:r w:rsidRPr="00771936">
              <w:rPr>
                <w:rFonts w:cs="Arial"/>
                <w:sz w:val="20"/>
                <w:lang w:val="en-AU"/>
              </w:rPr>
              <w:t>Store at 2</w:t>
            </w:r>
            <w:r>
              <w:rPr>
                <w:rFonts w:cs="Arial"/>
                <w:sz w:val="20"/>
                <w:lang w:val="en-AU"/>
              </w:rPr>
              <w:t>–</w:t>
            </w:r>
            <w:r w:rsidRPr="00771936">
              <w:rPr>
                <w:rFonts w:cs="Arial"/>
                <w:sz w:val="20"/>
                <w:lang w:val="en-AU"/>
              </w:rPr>
              <w:t>8</w:t>
            </w:r>
            <w:r>
              <w:rPr>
                <w:rFonts w:cs="Calibri"/>
                <w:sz w:val="20"/>
                <w:lang w:val="en-AU"/>
              </w:rPr>
              <w:t>°</w:t>
            </w:r>
            <w:r w:rsidRPr="00771936">
              <w:rPr>
                <w:rFonts w:cs="Arial"/>
                <w:sz w:val="20"/>
                <w:lang w:val="en-AU"/>
              </w:rPr>
              <w:t>C. Do not freeze. Refrigeration is unnecessary during normal periods of use in operating theatres.</w:t>
            </w:r>
          </w:p>
        </w:tc>
      </w:tr>
      <w:tr w:rsidRPr="00771936" w:rsidR="006E4CF9" w:rsidTr="006E4CF9" w14:paraId="021233BF" w14:textId="77777777">
        <w:trPr>
          <w:trHeight w:val="395"/>
        </w:trPr>
        <w:tc>
          <w:tcPr>
            <w:tcW w:w="2410" w:type="dxa"/>
          </w:tcPr>
          <w:p w:rsidRPr="00771936" w:rsidR="006E4CF9" w:rsidP="00FE4186" w:rsidRDefault="006E4CF9" w14:paraId="12C195B7" w14:textId="77777777">
            <w:pPr>
              <w:pStyle w:val="BodyText"/>
              <w:rPr>
                <w:rFonts w:cs="Arial"/>
                <w:b/>
                <w:bCs/>
                <w:szCs w:val="24"/>
                <w:lang w:val="en-AU"/>
              </w:rPr>
            </w:pPr>
            <w:r w:rsidRPr="00771936">
              <w:rPr>
                <w:rFonts w:cs="Arial"/>
                <w:b/>
                <w:bCs/>
                <w:szCs w:val="24"/>
                <w:lang w:val="en-AU"/>
              </w:rPr>
              <w:t xml:space="preserve">Special Comments       </w:t>
            </w:r>
          </w:p>
          <w:p w:rsidRPr="00771936" w:rsidR="006E4CF9" w:rsidP="00FE4186" w:rsidRDefault="006E4CF9" w14:paraId="279951D1" w14:textId="77777777">
            <w:pPr>
              <w:pStyle w:val="BodyText"/>
              <w:rPr>
                <w:rFonts w:cs="Arial"/>
                <w:b/>
                <w:bCs/>
                <w:szCs w:val="24"/>
                <w:lang w:val="en-AU"/>
              </w:rPr>
            </w:pPr>
          </w:p>
        </w:tc>
        <w:tc>
          <w:tcPr>
            <w:tcW w:w="7825" w:type="dxa"/>
          </w:tcPr>
          <w:p w:rsidRPr="00771936" w:rsidR="006E4CF9" w:rsidP="00FE4186" w:rsidRDefault="006E4CF9" w14:paraId="3FE48B94" w14:textId="77777777">
            <w:pPr>
              <w:pStyle w:val="BodyText"/>
              <w:rPr>
                <w:rFonts w:cs="Arial"/>
                <w:sz w:val="20"/>
                <w:lang w:val="en-AU"/>
              </w:rPr>
            </w:pPr>
            <w:r w:rsidRPr="00771936">
              <w:rPr>
                <w:rFonts w:cs="Arial"/>
                <w:sz w:val="20"/>
                <w:lang w:val="en-AU"/>
              </w:rPr>
              <w:t>Dose should be individualised for each patient as there is wide variation in individual response</w:t>
            </w:r>
            <w:r>
              <w:rPr>
                <w:rFonts w:cs="Arial"/>
                <w:sz w:val="20"/>
                <w:lang w:val="en-AU"/>
              </w:rPr>
              <w:t>.</w:t>
            </w:r>
            <w:r w:rsidRPr="00771936">
              <w:rPr>
                <w:rFonts w:cs="Arial"/>
                <w:sz w:val="20"/>
                <w:lang w:val="en-AU"/>
              </w:rPr>
              <w:t xml:space="preserve"> </w:t>
            </w:r>
          </w:p>
          <w:p w:rsidRPr="00771936" w:rsidR="006E4CF9" w:rsidP="00FE4186" w:rsidRDefault="006E4CF9" w14:paraId="3DCB7FA3" w14:textId="77777777">
            <w:pPr>
              <w:pStyle w:val="BodyText"/>
              <w:rPr>
                <w:rFonts w:cs="Arial"/>
                <w:sz w:val="20"/>
                <w:lang w:val="en-AU"/>
              </w:rPr>
            </w:pPr>
            <w:r>
              <w:rPr>
                <w:rFonts w:cs="Arial"/>
                <w:sz w:val="20"/>
                <w:lang w:val="en-AU"/>
              </w:rPr>
              <w:t>I</w:t>
            </w:r>
            <w:r w:rsidRPr="00771936">
              <w:rPr>
                <w:rFonts w:cs="Arial"/>
                <w:sz w:val="20"/>
                <w:lang w:val="en-AU"/>
              </w:rPr>
              <w:t>nhalation agents or prior administration of suxamethonium enhance the intensity of action of pancuronium</w:t>
            </w:r>
            <w:r>
              <w:rPr>
                <w:rFonts w:cs="Arial"/>
                <w:sz w:val="20"/>
                <w:lang w:val="en-AU"/>
              </w:rPr>
              <w:t>.</w:t>
            </w:r>
          </w:p>
          <w:p w:rsidRPr="00771936" w:rsidR="006E4CF9" w:rsidP="00FE4186" w:rsidRDefault="006E4CF9" w14:paraId="42EC6602" w14:textId="77777777">
            <w:pPr>
              <w:pStyle w:val="BodyText"/>
              <w:rPr>
                <w:rFonts w:cs="Arial"/>
                <w:sz w:val="20"/>
                <w:lang w:val="en-AU"/>
              </w:rPr>
            </w:pPr>
            <w:r w:rsidRPr="00771936">
              <w:rPr>
                <w:rFonts w:cs="Arial"/>
                <w:sz w:val="20"/>
                <w:lang w:val="en-AU"/>
              </w:rPr>
              <w:t xml:space="preserve">Therapeutic: It is recommended that a peripheral nerve stimulator be used to monitor response to pancuronium to minimise the risk of </w:t>
            </w:r>
            <w:r>
              <w:rPr>
                <w:rFonts w:cs="Arial"/>
                <w:sz w:val="20"/>
                <w:lang w:val="en-AU"/>
              </w:rPr>
              <w:t>overdose</w:t>
            </w:r>
            <w:r w:rsidRPr="00771936">
              <w:rPr>
                <w:rFonts w:cs="Arial"/>
                <w:sz w:val="20"/>
                <w:lang w:val="en-AU"/>
              </w:rPr>
              <w:t>.</w:t>
            </w:r>
          </w:p>
        </w:tc>
      </w:tr>
      <w:tr w:rsidRPr="00771936" w:rsidR="006E4CF9" w:rsidTr="006E4CF9" w14:paraId="1229DC1C" w14:textId="77777777">
        <w:trPr>
          <w:trHeight w:val="518"/>
        </w:trPr>
        <w:tc>
          <w:tcPr>
            <w:tcW w:w="2410" w:type="dxa"/>
          </w:tcPr>
          <w:p w:rsidRPr="00771936" w:rsidR="006E4CF9" w:rsidP="00FE4186" w:rsidRDefault="006E4CF9" w14:paraId="0F57D1C6" w14:textId="77777777">
            <w:pPr>
              <w:pStyle w:val="BodyText"/>
              <w:rPr>
                <w:rFonts w:cs="Arial"/>
                <w:b/>
                <w:bCs/>
                <w:szCs w:val="24"/>
                <w:lang w:val="en-AU"/>
              </w:rPr>
            </w:pPr>
            <w:r w:rsidRPr="00771936">
              <w:rPr>
                <w:rFonts w:cs="Arial"/>
                <w:b/>
                <w:bCs/>
                <w:szCs w:val="24"/>
                <w:lang w:val="en-AU"/>
              </w:rPr>
              <w:t>Evidence summary</w:t>
            </w:r>
          </w:p>
        </w:tc>
        <w:tc>
          <w:tcPr>
            <w:tcW w:w="7825" w:type="dxa"/>
          </w:tcPr>
          <w:p w:rsidRPr="006E4CF9" w:rsidR="006E4CF9" w:rsidP="00FE4186" w:rsidRDefault="006E4CF9" w14:paraId="371752ED" w14:textId="77777777">
            <w:pPr>
              <w:pStyle w:val="BodyText"/>
              <w:tabs>
                <w:tab w:val="left" w:pos="1168"/>
              </w:tabs>
              <w:rPr>
                <w:rFonts w:cs="Arial"/>
                <w:sz w:val="16"/>
                <w:szCs w:val="16"/>
                <w:lang w:val="en-AU"/>
              </w:rPr>
            </w:pPr>
            <w:r w:rsidRPr="006E4CF9">
              <w:rPr>
                <w:b/>
                <w:sz w:val="16"/>
                <w:szCs w:val="16"/>
                <w:lang w:val="en-AU"/>
              </w:rPr>
              <w:t>Efficacy</w:t>
            </w:r>
          </w:p>
          <w:p w:rsidRPr="006E4CF9" w:rsidR="006E4CF9" w:rsidP="00FE4186" w:rsidRDefault="006E4CF9" w14:paraId="14D52F35" w14:textId="77777777">
            <w:pPr>
              <w:pStyle w:val="BodyText"/>
              <w:tabs>
                <w:tab w:val="left" w:pos="1168"/>
              </w:tabs>
              <w:rPr>
                <w:rFonts w:cs="Arial"/>
                <w:sz w:val="16"/>
                <w:szCs w:val="16"/>
                <w:u w:val="single"/>
                <w:lang w:val="en-AU"/>
              </w:rPr>
            </w:pPr>
            <w:r w:rsidRPr="006E4CF9">
              <w:rPr>
                <w:rFonts w:cs="Arial"/>
                <w:sz w:val="16"/>
                <w:szCs w:val="16"/>
                <w:u w:val="single"/>
                <w:lang w:val="en-AU"/>
              </w:rPr>
              <w:t>Muscle relaxation</w:t>
            </w:r>
          </w:p>
          <w:p w:rsidRPr="006E4CF9" w:rsidR="006E4CF9" w:rsidP="00FE4186" w:rsidRDefault="006E4CF9" w14:paraId="5180C750" w14:textId="77777777">
            <w:pPr>
              <w:pStyle w:val="BodyText"/>
              <w:tabs>
                <w:tab w:val="left" w:pos="1168"/>
              </w:tabs>
              <w:rPr>
                <w:rFonts w:cs="Arial"/>
                <w:sz w:val="16"/>
                <w:szCs w:val="16"/>
                <w:lang w:val="en-AU"/>
              </w:rPr>
            </w:pPr>
            <w:r w:rsidRPr="006E4CF9">
              <w:rPr>
                <w:rFonts w:cs="Arial"/>
                <w:sz w:val="16"/>
                <w:szCs w:val="16"/>
                <w:lang w:val="en-AU"/>
              </w:rPr>
              <w:t>The routine use of pancuronium or any other neuromuscular blocking agent in ventilated newborn infants cannot be recommended. However, for ventilated preterm infants with evidence of asynchronous respiratory effort, neuromuscular paralysis with pancuronium seems to have a favourable effect on intraventricular haemorrhage [RR (95% CI) 0.55 (0.34, 0.89)] and possibly on pneumothorax. However, uncertainty remains regarding the long-term pulmonary and neurological effects and the safety of prolonged use of pancuronium in ventilated newborn infants.</w:t>
            </w:r>
            <w:r w:rsidRPr="006E4CF9">
              <w:rPr>
                <w:rFonts w:cs="Arial"/>
                <w:sz w:val="16"/>
                <w:szCs w:val="16"/>
                <w:vertAlign w:val="superscript"/>
                <w:lang w:val="en-AU"/>
              </w:rPr>
              <w:t>2</w:t>
            </w:r>
            <w:r w:rsidRPr="006E4CF9">
              <w:rPr>
                <w:rFonts w:cs="Arial"/>
                <w:sz w:val="16"/>
                <w:szCs w:val="16"/>
                <w:lang w:val="en-AU"/>
              </w:rPr>
              <w:t xml:space="preserve"> (LOEI, GOR B)</w:t>
            </w:r>
          </w:p>
          <w:p w:rsidRPr="006E4CF9" w:rsidR="006E4CF9" w:rsidP="00FE4186" w:rsidRDefault="006E4CF9" w14:paraId="546B37B4" w14:textId="77777777">
            <w:pPr>
              <w:pStyle w:val="BodyText"/>
              <w:tabs>
                <w:tab w:val="left" w:pos="1168"/>
              </w:tabs>
              <w:rPr>
                <w:rFonts w:cs="Arial"/>
                <w:sz w:val="16"/>
                <w:szCs w:val="16"/>
                <w:lang w:val="en-AU"/>
              </w:rPr>
            </w:pPr>
          </w:p>
          <w:p w:rsidRPr="006E4CF9" w:rsidR="006E4CF9" w:rsidP="00FE4186" w:rsidRDefault="006E4CF9" w14:paraId="3044E6F5" w14:textId="77777777">
            <w:pPr>
              <w:pStyle w:val="BodyText"/>
              <w:tabs>
                <w:tab w:val="left" w:pos="1168"/>
              </w:tabs>
              <w:rPr>
                <w:rFonts w:cs="Arial"/>
                <w:sz w:val="16"/>
                <w:szCs w:val="16"/>
                <w:u w:val="single"/>
                <w:lang w:val="en-AU"/>
              </w:rPr>
            </w:pPr>
            <w:r w:rsidRPr="006E4CF9">
              <w:rPr>
                <w:rFonts w:cs="Arial"/>
                <w:sz w:val="16"/>
                <w:szCs w:val="16"/>
                <w:u w:val="single"/>
                <w:lang w:val="en-AU"/>
              </w:rPr>
              <w:t>Intubation</w:t>
            </w:r>
          </w:p>
          <w:p w:rsidRPr="006E4CF9" w:rsidR="006E4CF9" w:rsidP="00FE4186" w:rsidRDefault="006E4CF9" w14:paraId="5E5D146D" w14:textId="77777777">
            <w:pPr>
              <w:pStyle w:val="BodyText"/>
              <w:tabs>
                <w:tab w:val="left" w:pos="1168"/>
              </w:tabs>
              <w:rPr>
                <w:rFonts w:cs="Arial"/>
                <w:sz w:val="16"/>
                <w:szCs w:val="16"/>
                <w:lang w:val="en-AU"/>
              </w:rPr>
            </w:pPr>
            <w:r w:rsidRPr="006E4CF9">
              <w:rPr>
                <w:rFonts w:cs="Arial"/>
                <w:sz w:val="16"/>
                <w:szCs w:val="16"/>
                <w:lang w:val="en-AU"/>
              </w:rPr>
              <w:t>Thirty infants with birth weights from 580 to 3450 g (25 to 40 weeks gestation) were prospectively studied during nasotracheal intubation. The infants were randomised to receive atropine 0.01 mg/kg, atropine 0.01 mg/kg plus pancuronium 0.1 mg/kg or no medication (controls) prior to intubation.</w:t>
            </w:r>
            <w:r w:rsidRPr="006E4CF9">
              <w:rPr>
                <w:sz w:val="16"/>
                <w:szCs w:val="16"/>
                <w:lang w:val="en-AU"/>
              </w:rPr>
              <w:t xml:space="preserve"> </w:t>
            </w:r>
            <w:r w:rsidRPr="006E4CF9">
              <w:rPr>
                <w:rFonts w:cs="Arial"/>
                <w:sz w:val="16"/>
                <w:szCs w:val="16"/>
                <w:lang w:val="en-AU"/>
              </w:rPr>
              <w:t>Pancuronium plus atropine was associated with lesser increases in intracranial pressure and with the least changes in heart rate in response to intubation.</w:t>
            </w:r>
            <w:r w:rsidRPr="006E4CF9">
              <w:rPr>
                <w:rFonts w:cs="Arial"/>
                <w:sz w:val="16"/>
                <w:szCs w:val="16"/>
                <w:vertAlign w:val="superscript"/>
                <w:lang w:val="en-AU"/>
              </w:rPr>
              <w:t>1</w:t>
            </w:r>
            <w:r w:rsidRPr="006E4CF9">
              <w:rPr>
                <w:rFonts w:cs="Arial"/>
                <w:sz w:val="16"/>
                <w:szCs w:val="16"/>
                <w:lang w:val="en-AU"/>
              </w:rPr>
              <w:t xml:space="preserve"> (LOEII, GOR C) </w:t>
            </w:r>
          </w:p>
          <w:p w:rsidRPr="006E4CF9" w:rsidR="006E4CF9" w:rsidP="00FE4186" w:rsidRDefault="006E4CF9" w14:paraId="33E5881E" w14:textId="77777777">
            <w:pPr>
              <w:pStyle w:val="BodyText"/>
              <w:tabs>
                <w:tab w:val="left" w:pos="1168"/>
              </w:tabs>
              <w:rPr>
                <w:rFonts w:cs="Arial"/>
                <w:sz w:val="16"/>
                <w:szCs w:val="16"/>
                <w:lang w:val="en-AU"/>
              </w:rPr>
            </w:pPr>
          </w:p>
          <w:p w:rsidRPr="006E4CF9" w:rsidR="006E4CF9" w:rsidP="00FE4186" w:rsidRDefault="006E4CF9" w14:paraId="07A3BDAB" w14:textId="77777777">
            <w:pPr>
              <w:pStyle w:val="BodyText"/>
              <w:tabs>
                <w:tab w:val="left" w:pos="1168"/>
              </w:tabs>
              <w:rPr>
                <w:rFonts w:ascii="Arial" w:hAnsi="Arial" w:cs="Arial"/>
                <w:sz w:val="16"/>
                <w:szCs w:val="16"/>
                <w:lang w:val="en-AU"/>
              </w:rPr>
            </w:pPr>
            <w:r w:rsidRPr="006E4CF9">
              <w:rPr>
                <w:rFonts w:cs="Arial"/>
                <w:sz w:val="16"/>
                <w:szCs w:val="16"/>
                <w:lang w:val="en-AU"/>
              </w:rPr>
              <w:t>The dose used in RCTs for neonatal neuromuscular block in mechanically ventilated neonates is 0.03 mg/kg to 0.1 mg/kg.</w:t>
            </w:r>
            <w:r w:rsidRPr="006E4CF9">
              <w:rPr>
                <w:rFonts w:cs="Arial"/>
                <w:sz w:val="16"/>
                <w:szCs w:val="16"/>
                <w:vertAlign w:val="superscript"/>
                <w:lang w:val="en-AU"/>
              </w:rPr>
              <w:t>2</w:t>
            </w:r>
            <w:r w:rsidRPr="006E4CF9">
              <w:rPr>
                <w:rFonts w:ascii="Arial" w:hAnsi="Arial" w:cs="Arial"/>
                <w:sz w:val="16"/>
                <w:szCs w:val="16"/>
                <w:lang w:val="en-AU"/>
              </w:rPr>
              <w:t xml:space="preserve"> </w:t>
            </w:r>
          </w:p>
          <w:p w:rsidRPr="006E4CF9" w:rsidR="006E4CF9" w:rsidP="00FE4186" w:rsidRDefault="006E4CF9" w14:paraId="2FB009A3" w14:textId="77777777">
            <w:pPr>
              <w:pStyle w:val="BodyText"/>
              <w:tabs>
                <w:tab w:val="left" w:pos="1168"/>
              </w:tabs>
              <w:rPr>
                <w:rFonts w:ascii="Arial" w:hAnsi="Arial" w:cs="Arial"/>
                <w:sz w:val="16"/>
                <w:szCs w:val="16"/>
                <w:lang w:val="en-AU"/>
              </w:rPr>
            </w:pPr>
          </w:p>
          <w:p w:rsidRPr="006E4CF9" w:rsidR="006E4CF9" w:rsidP="00FE4186" w:rsidRDefault="006E4CF9" w14:paraId="0F6E74C1" w14:textId="77777777">
            <w:pPr>
              <w:pStyle w:val="BodyText"/>
              <w:tabs>
                <w:tab w:val="left" w:pos="1168"/>
              </w:tabs>
              <w:rPr>
                <w:sz w:val="16"/>
                <w:szCs w:val="16"/>
                <w:lang w:val="en-AU"/>
              </w:rPr>
            </w:pPr>
            <w:r w:rsidRPr="006E4CF9">
              <w:rPr>
                <w:sz w:val="16"/>
                <w:szCs w:val="16"/>
                <w:lang w:val="en-AU"/>
              </w:rPr>
              <w:t>There is one study reporting on use of pancuronium infusion for muscle relaxation in ventilated newborn infants with dose range 0.03–0.07 mg/kg/hour.</w:t>
            </w:r>
            <w:r w:rsidRPr="006E4CF9">
              <w:rPr>
                <w:sz w:val="16"/>
                <w:szCs w:val="16"/>
                <w:vertAlign w:val="superscript"/>
                <w:lang w:val="en-AU"/>
              </w:rPr>
              <w:t>8</w:t>
            </w:r>
            <w:r w:rsidRPr="006E4CF9">
              <w:rPr>
                <w:sz w:val="16"/>
                <w:szCs w:val="16"/>
                <w:lang w:val="en-AU"/>
              </w:rPr>
              <w:t xml:space="preserve"> (LOE IV GOR C)</w:t>
            </w:r>
          </w:p>
          <w:p w:rsidRPr="006E4CF9" w:rsidR="006E4CF9" w:rsidP="00FE4186" w:rsidRDefault="006E4CF9" w14:paraId="1B81CEFB" w14:textId="77777777">
            <w:pPr>
              <w:pStyle w:val="BodyText"/>
              <w:tabs>
                <w:tab w:val="left" w:pos="1168"/>
              </w:tabs>
              <w:rPr>
                <w:sz w:val="16"/>
                <w:szCs w:val="16"/>
                <w:lang w:val="en-AU"/>
              </w:rPr>
            </w:pPr>
          </w:p>
          <w:p w:rsidRPr="006E4CF9" w:rsidR="006E4CF9" w:rsidP="00FE4186" w:rsidRDefault="006E4CF9" w14:paraId="5DEE35DE" w14:textId="77777777">
            <w:pPr>
              <w:pStyle w:val="BodyText"/>
              <w:tabs>
                <w:tab w:val="left" w:pos="1168"/>
              </w:tabs>
              <w:rPr>
                <w:sz w:val="16"/>
                <w:szCs w:val="16"/>
                <w:lang w:val="en-AU"/>
              </w:rPr>
            </w:pPr>
            <w:r w:rsidRPr="006E4CF9">
              <w:rPr>
                <w:sz w:val="16"/>
                <w:szCs w:val="16"/>
                <w:lang w:val="en-AU"/>
              </w:rPr>
              <w:t>Drug holidays (i.e. stopping neuromuscular blocking agents until forced to restart based on the patient’s condition) may decrease the incidence of post-paralytic quadriparesis.</w:t>
            </w:r>
            <w:r w:rsidRPr="006E4CF9">
              <w:rPr>
                <w:sz w:val="16"/>
                <w:szCs w:val="16"/>
                <w:vertAlign w:val="superscript"/>
                <w:lang w:val="en-AU"/>
              </w:rPr>
              <w:t>7,18</w:t>
            </w:r>
            <w:r w:rsidRPr="006E4CF9">
              <w:rPr>
                <w:sz w:val="16"/>
                <w:szCs w:val="16"/>
                <w:lang w:val="en-AU"/>
              </w:rPr>
              <w:t xml:space="preserve"> (LOE IV GOR D)</w:t>
            </w:r>
          </w:p>
          <w:p w:rsidRPr="006E4CF9" w:rsidR="006E4CF9" w:rsidP="00FE4186" w:rsidRDefault="006E4CF9" w14:paraId="169578D1" w14:textId="77777777">
            <w:pPr>
              <w:pStyle w:val="BodyText"/>
              <w:tabs>
                <w:tab w:val="left" w:pos="1168"/>
              </w:tabs>
              <w:rPr>
                <w:sz w:val="16"/>
                <w:szCs w:val="16"/>
                <w:lang w:val="en-AU"/>
              </w:rPr>
            </w:pPr>
          </w:p>
          <w:p w:rsidRPr="006E4CF9" w:rsidR="006E4CF9" w:rsidP="00FE4186" w:rsidRDefault="006E4CF9" w14:paraId="7F48A45E" w14:textId="77777777">
            <w:pPr>
              <w:pStyle w:val="BodyText"/>
              <w:tabs>
                <w:tab w:val="left" w:pos="1168"/>
              </w:tabs>
              <w:rPr>
                <w:b/>
                <w:sz w:val="16"/>
                <w:szCs w:val="16"/>
                <w:lang w:val="en-AU"/>
              </w:rPr>
            </w:pPr>
            <w:r w:rsidRPr="006E4CF9">
              <w:rPr>
                <w:b/>
                <w:sz w:val="16"/>
                <w:szCs w:val="16"/>
                <w:lang w:val="en-AU"/>
              </w:rPr>
              <w:t>Pharmacokinetics</w:t>
            </w:r>
          </w:p>
          <w:p w:rsidRPr="006E4CF9" w:rsidR="006E4CF9" w:rsidP="00FE4186" w:rsidRDefault="006E4CF9" w14:paraId="20D69E11" w14:textId="77777777">
            <w:pPr>
              <w:pStyle w:val="BodyText"/>
              <w:tabs>
                <w:tab w:val="left" w:pos="1168"/>
              </w:tabs>
              <w:rPr>
                <w:sz w:val="16"/>
                <w:szCs w:val="16"/>
                <w:lang w:val="en-AU"/>
              </w:rPr>
            </w:pPr>
            <w:r w:rsidRPr="006E4CF9">
              <w:rPr>
                <w:sz w:val="16"/>
                <w:szCs w:val="16"/>
                <w:lang w:val="en-AU"/>
              </w:rPr>
              <w:t>Pancuronium's duration of action is approximately 45 to 60 minutes.</w:t>
            </w:r>
            <w:r w:rsidRPr="006E4CF9">
              <w:rPr>
                <w:sz w:val="16"/>
                <w:szCs w:val="16"/>
                <w:vertAlign w:val="superscript"/>
                <w:lang w:val="en-AU"/>
              </w:rPr>
              <w:t>11</w:t>
            </w:r>
            <w:r w:rsidRPr="006E4CF9">
              <w:rPr>
                <w:sz w:val="16"/>
                <w:szCs w:val="16"/>
                <w:lang w:val="en-AU"/>
              </w:rPr>
              <w:t xml:space="preserve"> An average duration of action is 42 minutes following mean doses of intravenous pancuronium of 2.7 mg.</w:t>
            </w:r>
            <w:r w:rsidRPr="006E4CF9">
              <w:rPr>
                <w:sz w:val="16"/>
                <w:szCs w:val="16"/>
                <w:vertAlign w:val="superscript"/>
                <w:lang w:val="en-AU"/>
              </w:rPr>
              <w:t>11</w:t>
            </w:r>
            <w:r w:rsidRPr="006E4CF9">
              <w:rPr>
                <w:sz w:val="16"/>
                <w:szCs w:val="16"/>
                <w:lang w:val="en-AU"/>
              </w:rPr>
              <w:t xml:space="preserve"> Following a single 0.05 mg/kg intravenous pancuronium dose, the 50% recovery time was 37 minutes.</w:t>
            </w:r>
            <w:r w:rsidRPr="006E4CF9">
              <w:rPr>
                <w:sz w:val="16"/>
                <w:szCs w:val="16"/>
                <w:vertAlign w:val="superscript"/>
                <w:lang w:val="en-AU"/>
              </w:rPr>
              <w:t>11</w:t>
            </w:r>
            <w:r w:rsidRPr="006E4CF9">
              <w:rPr>
                <w:sz w:val="16"/>
                <w:szCs w:val="16"/>
                <w:lang w:val="en-AU"/>
              </w:rPr>
              <w:t>.</w:t>
            </w:r>
          </w:p>
          <w:p w:rsidRPr="006E4CF9" w:rsidR="006E4CF9" w:rsidP="00FE4186" w:rsidRDefault="006E4CF9" w14:paraId="647AA5A6" w14:textId="77777777">
            <w:pPr>
              <w:pStyle w:val="BodyText"/>
              <w:tabs>
                <w:tab w:val="left" w:pos="1168"/>
              </w:tabs>
              <w:rPr>
                <w:sz w:val="16"/>
                <w:szCs w:val="16"/>
                <w:lang w:val="en-AU"/>
              </w:rPr>
            </w:pPr>
            <w:r w:rsidRPr="006E4CF9">
              <w:rPr>
                <w:sz w:val="16"/>
                <w:szCs w:val="16"/>
                <w:lang w:val="en-AU"/>
              </w:rPr>
              <w:t>Peak onset of action is at 2–3 minutes.</w:t>
            </w:r>
            <w:r w:rsidRPr="006E4CF9">
              <w:rPr>
                <w:sz w:val="16"/>
                <w:szCs w:val="16"/>
                <w:vertAlign w:val="superscript"/>
                <w:lang w:val="en-AU"/>
              </w:rPr>
              <w:t>12</w:t>
            </w:r>
          </w:p>
          <w:p w:rsidRPr="006E4CF9" w:rsidR="006E4CF9" w:rsidP="00FE4186" w:rsidRDefault="006E4CF9" w14:paraId="5031C957" w14:textId="77777777">
            <w:pPr>
              <w:pStyle w:val="BodyText"/>
              <w:tabs>
                <w:tab w:val="left" w:pos="1168"/>
              </w:tabs>
              <w:rPr>
                <w:sz w:val="16"/>
                <w:szCs w:val="16"/>
                <w:lang w:val="en-AU"/>
              </w:rPr>
            </w:pPr>
            <w:r w:rsidRPr="006E4CF9">
              <w:rPr>
                <w:sz w:val="16"/>
                <w:szCs w:val="16"/>
                <w:lang w:val="en-AU"/>
              </w:rPr>
              <w:t>Divided doses of pancuronium may be advantageous in providing rapid, intense paralysis.</w:t>
            </w:r>
            <w:r w:rsidRPr="006E4CF9">
              <w:rPr>
                <w:sz w:val="16"/>
                <w:szCs w:val="16"/>
                <w:vertAlign w:val="superscript"/>
                <w:lang w:val="en-AU"/>
              </w:rPr>
              <w:t>13</w:t>
            </w:r>
            <w:r w:rsidRPr="006E4CF9">
              <w:rPr>
                <w:sz w:val="16"/>
                <w:szCs w:val="16"/>
                <w:lang w:val="en-AU"/>
              </w:rPr>
              <w:t xml:space="preserve"> </w:t>
            </w:r>
          </w:p>
          <w:p w:rsidRPr="006E4CF9" w:rsidR="006E4CF9" w:rsidP="00FE4186" w:rsidRDefault="006E4CF9" w14:paraId="2105E7FF" w14:textId="77777777">
            <w:pPr>
              <w:pStyle w:val="BodyText"/>
              <w:tabs>
                <w:tab w:val="left" w:pos="1168"/>
              </w:tabs>
              <w:rPr>
                <w:sz w:val="16"/>
                <w:szCs w:val="16"/>
                <w:lang w:val="en-AU"/>
              </w:rPr>
            </w:pPr>
            <w:r w:rsidRPr="006E4CF9">
              <w:rPr>
                <w:sz w:val="16"/>
                <w:szCs w:val="16"/>
                <w:lang w:val="en-AU"/>
              </w:rPr>
              <w:t>Pancuronium has been associated with haemodynamic effects (e.g. tachycardia, hypertension) due to blockade of cholinergic receptors outside the neuromuscular junction.</w:t>
            </w:r>
            <w:r w:rsidRPr="006E4CF9">
              <w:rPr>
                <w:sz w:val="16"/>
                <w:szCs w:val="16"/>
                <w:vertAlign w:val="superscript"/>
                <w:lang w:val="en-AU"/>
              </w:rPr>
              <w:t>6</w:t>
            </w:r>
          </w:p>
          <w:p w:rsidRPr="006E4CF9" w:rsidR="006E4CF9" w:rsidP="00FE4186" w:rsidRDefault="006E4CF9" w14:paraId="7AA1EFDC" w14:textId="77777777">
            <w:pPr>
              <w:pStyle w:val="BodyText"/>
              <w:tabs>
                <w:tab w:val="left" w:pos="1168"/>
              </w:tabs>
              <w:rPr>
                <w:sz w:val="16"/>
                <w:szCs w:val="16"/>
                <w:lang w:val="en-AU"/>
              </w:rPr>
            </w:pPr>
            <w:r w:rsidRPr="006E4CF9">
              <w:rPr>
                <w:sz w:val="16"/>
                <w:szCs w:val="16"/>
                <w:lang w:val="en-AU"/>
              </w:rPr>
              <w:t>Recovery time after paralysis with continuous infusion is faster than that after intermittent bolus injection.</w:t>
            </w:r>
            <w:r w:rsidRPr="006E4CF9">
              <w:rPr>
                <w:sz w:val="16"/>
                <w:szCs w:val="16"/>
                <w:vertAlign w:val="superscript"/>
                <w:lang w:val="en-AU"/>
              </w:rPr>
              <w:t>7</w:t>
            </w:r>
            <w:r w:rsidRPr="006E4CF9">
              <w:rPr>
                <w:sz w:val="16"/>
                <w:szCs w:val="16"/>
                <w:lang w:val="en-AU"/>
              </w:rPr>
              <w:t xml:space="preserve"> </w:t>
            </w:r>
          </w:p>
          <w:p w:rsidRPr="006E4CF9" w:rsidR="006E4CF9" w:rsidP="00FE4186" w:rsidRDefault="006E4CF9" w14:paraId="317BBD0A" w14:textId="77777777">
            <w:pPr>
              <w:pStyle w:val="BodyText"/>
              <w:tabs>
                <w:tab w:val="left" w:pos="1168"/>
              </w:tabs>
              <w:rPr>
                <w:sz w:val="16"/>
                <w:szCs w:val="16"/>
                <w:lang w:val="en-AU"/>
              </w:rPr>
            </w:pPr>
            <w:r w:rsidRPr="006E4CF9">
              <w:rPr>
                <w:sz w:val="16"/>
                <w:szCs w:val="16"/>
                <w:lang w:val="en-AU"/>
              </w:rPr>
              <w:t>A prospective, open-label study conducted in 25 children receiving continuous infusions of pancuronium in ICU showed increased infusion requirement for patients requiring &gt; 5 days treatment or for those receiving concomitant anticonvulsant therapy.</w:t>
            </w:r>
            <w:r w:rsidRPr="006E4CF9">
              <w:rPr>
                <w:sz w:val="16"/>
                <w:szCs w:val="16"/>
                <w:vertAlign w:val="superscript"/>
                <w:lang w:val="en-AU"/>
              </w:rPr>
              <w:t>8</w:t>
            </w:r>
            <w:r w:rsidRPr="006E4CF9">
              <w:rPr>
                <w:sz w:val="16"/>
                <w:szCs w:val="16"/>
                <w:lang w:val="en-AU"/>
              </w:rPr>
              <w:t xml:space="preserve"> </w:t>
            </w:r>
          </w:p>
          <w:p w:rsidRPr="006E4CF9" w:rsidR="006E4CF9" w:rsidP="00FE4186" w:rsidRDefault="006E4CF9" w14:paraId="730FF4AF" w14:textId="77777777">
            <w:pPr>
              <w:pStyle w:val="BodyText"/>
              <w:tabs>
                <w:tab w:val="left" w:pos="1168"/>
              </w:tabs>
              <w:rPr>
                <w:b/>
                <w:sz w:val="16"/>
                <w:szCs w:val="16"/>
                <w:lang w:val="en-AU"/>
              </w:rPr>
            </w:pPr>
          </w:p>
          <w:p w:rsidRPr="006E4CF9" w:rsidR="006E4CF9" w:rsidP="00FE4186" w:rsidRDefault="006E4CF9" w14:paraId="462AC56D" w14:textId="77777777">
            <w:pPr>
              <w:pStyle w:val="BodyText"/>
              <w:tabs>
                <w:tab w:val="left" w:pos="1168"/>
              </w:tabs>
              <w:rPr>
                <w:b/>
                <w:sz w:val="16"/>
                <w:szCs w:val="16"/>
                <w:lang w:val="en-AU"/>
              </w:rPr>
            </w:pPr>
            <w:r w:rsidRPr="006E4CF9">
              <w:rPr>
                <w:b/>
                <w:sz w:val="16"/>
                <w:szCs w:val="16"/>
                <w:lang w:val="en-AU"/>
              </w:rPr>
              <w:t>Safety</w:t>
            </w:r>
          </w:p>
          <w:p w:rsidRPr="006E4CF9" w:rsidR="006E4CF9" w:rsidP="00FE4186" w:rsidRDefault="006E4CF9" w14:paraId="71E4B725" w14:textId="77777777">
            <w:pPr>
              <w:pStyle w:val="BodyText"/>
              <w:tabs>
                <w:tab w:val="left" w:pos="1168"/>
              </w:tabs>
              <w:rPr>
                <w:sz w:val="16"/>
                <w:szCs w:val="16"/>
                <w:lang w:val="en-AU"/>
              </w:rPr>
            </w:pPr>
            <w:r w:rsidRPr="006E4CF9">
              <w:rPr>
                <w:sz w:val="16"/>
                <w:szCs w:val="16"/>
                <w:lang w:val="en-AU"/>
              </w:rPr>
              <w:lastRenderedPageBreak/>
              <w:t>Prolonged administration of pancuronium during the neonatal period is associated with sensorineural hearing loss in childhood survivors of CDH.</w:t>
            </w:r>
            <w:r w:rsidRPr="006E4CF9">
              <w:rPr>
                <w:sz w:val="16"/>
                <w:szCs w:val="16"/>
                <w:vertAlign w:val="superscript"/>
                <w:lang w:val="en-AU"/>
              </w:rPr>
              <w:t>4</w:t>
            </w:r>
            <w:r w:rsidRPr="006E4CF9">
              <w:rPr>
                <w:sz w:val="16"/>
                <w:szCs w:val="16"/>
                <w:lang w:val="en-AU"/>
              </w:rPr>
              <w:t xml:space="preserve">  </w:t>
            </w:r>
          </w:p>
          <w:p w:rsidRPr="006E4CF9" w:rsidR="006E4CF9" w:rsidP="00FE4186" w:rsidRDefault="006E4CF9" w14:paraId="6E52EA65" w14:textId="77777777">
            <w:pPr>
              <w:pStyle w:val="BodyText"/>
              <w:tabs>
                <w:tab w:val="left" w:pos="1168"/>
              </w:tabs>
              <w:rPr>
                <w:sz w:val="16"/>
                <w:szCs w:val="16"/>
                <w:lang w:val="en-AU"/>
              </w:rPr>
            </w:pPr>
            <w:r w:rsidRPr="006E4CF9">
              <w:rPr>
                <w:sz w:val="16"/>
                <w:szCs w:val="16"/>
                <w:lang w:val="en-AU"/>
              </w:rPr>
              <w:t>Pancuronium has been associated with prolonged paralysis and muscle atrophy after 1 week when given as intermittent doses or by continuous infusion.</w:t>
            </w:r>
            <w:r w:rsidRPr="006E4CF9">
              <w:rPr>
                <w:sz w:val="16"/>
                <w:szCs w:val="16"/>
                <w:vertAlign w:val="superscript"/>
                <w:lang w:val="en-AU"/>
              </w:rPr>
              <w:t>5</w:t>
            </w:r>
            <w:r w:rsidRPr="006E4CF9">
              <w:rPr>
                <w:sz w:val="16"/>
                <w:szCs w:val="16"/>
                <w:lang w:val="en-AU"/>
              </w:rPr>
              <w:t xml:space="preserve"> </w:t>
            </w:r>
          </w:p>
          <w:p w:rsidRPr="006E4CF9" w:rsidR="006E4CF9" w:rsidP="00FE4186" w:rsidRDefault="006E4CF9" w14:paraId="7DF70A84" w14:textId="77777777">
            <w:pPr>
              <w:pStyle w:val="BodyText"/>
              <w:tabs>
                <w:tab w:val="left" w:pos="1168"/>
              </w:tabs>
              <w:rPr>
                <w:sz w:val="16"/>
                <w:szCs w:val="16"/>
                <w:lang w:val="en-AU"/>
              </w:rPr>
            </w:pPr>
            <w:r w:rsidRPr="006E4CF9">
              <w:rPr>
                <w:sz w:val="16"/>
                <w:szCs w:val="16"/>
                <w:lang w:val="en-AU"/>
              </w:rPr>
              <w:t>In premature infants, pancuronium has also been associated with joint contractures, specifically in the hips and knees.</w:t>
            </w:r>
            <w:r w:rsidRPr="006E4CF9">
              <w:rPr>
                <w:sz w:val="16"/>
                <w:szCs w:val="16"/>
                <w:vertAlign w:val="superscript"/>
                <w:lang w:val="en-AU"/>
              </w:rPr>
              <w:t>6</w:t>
            </w:r>
            <w:r w:rsidRPr="006E4CF9">
              <w:rPr>
                <w:sz w:val="16"/>
                <w:szCs w:val="16"/>
                <w:lang w:val="en-AU"/>
              </w:rPr>
              <w:t xml:space="preserve"> However, this effect does not appear to persist after discontinuation of the drug and resumption of spontaneous activity.</w:t>
            </w:r>
            <w:r w:rsidRPr="006E4CF9">
              <w:rPr>
                <w:sz w:val="16"/>
                <w:szCs w:val="16"/>
                <w:vertAlign w:val="superscript"/>
                <w:lang w:val="en-AU"/>
              </w:rPr>
              <w:t>6</w:t>
            </w:r>
            <w:r w:rsidRPr="006E4CF9">
              <w:rPr>
                <w:sz w:val="16"/>
                <w:szCs w:val="16"/>
                <w:lang w:val="en-AU"/>
              </w:rPr>
              <w:t xml:space="preserve"> </w:t>
            </w:r>
          </w:p>
          <w:p w:rsidRPr="006E4CF9" w:rsidR="006E4CF9" w:rsidP="00FE4186" w:rsidRDefault="006E4CF9" w14:paraId="095B6477" w14:textId="77777777">
            <w:pPr>
              <w:pStyle w:val="BodyText"/>
              <w:tabs>
                <w:tab w:val="left" w:pos="1168"/>
              </w:tabs>
              <w:rPr>
                <w:sz w:val="16"/>
                <w:szCs w:val="16"/>
                <w:lang w:val="en-AU"/>
              </w:rPr>
            </w:pPr>
            <w:r w:rsidRPr="006E4CF9">
              <w:rPr>
                <w:sz w:val="16"/>
                <w:szCs w:val="16"/>
                <w:lang w:val="en-AU"/>
              </w:rPr>
              <w:t>Newborn infants paralysed with pancuronium, despite fluid restriction, had evidence of fluid retention and were significantly heavier that the control infants from day 3 onwards and above their birth weight by day 7. Strict attention to fluid retention is essential when newborns are treated with pancuronium.</w:t>
            </w:r>
            <w:r w:rsidRPr="006E4CF9">
              <w:rPr>
                <w:sz w:val="16"/>
                <w:szCs w:val="16"/>
                <w:vertAlign w:val="superscript"/>
                <w:lang w:val="en-AU"/>
              </w:rPr>
              <w:t>17</w:t>
            </w:r>
            <w:r w:rsidRPr="006E4CF9">
              <w:rPr>
                <w:sz w:val="16"/>
                <w:szCs w:val="16"/>
                <w:lang w:val="en-AU"/>
              </w:rPr>
              <w:t xml:space="preserve"> (LOE III GOR C)</w:t>
            </w:r>
          </w:p>
        </w:tc>
      </w:tr>
      <w:tr w:rsidRPr="00771936" w:rsidR="006E4CF9" w:rsidTr="006E4CF9" w14:paraId="3484A71C" w14:textId="77777777">
        <w:trPr>
          <w:trHeight w:val="361"/>
        </w:trPr>
        <w:tc>
          <w:tcPr>
            <w:tcW w:w="2410" w:type="dxa"/>
          </w:tcPr>
          <w:p w:rsidRPr="00771936" w:rsidR="006E4CF9" w:rsidP="00FE4186" w:rsidRDefault="006E4CF9" w14:paraId="6AEDDE75" w14:textId="77777777">
            <w:pPr>
              <w:pStyle w:val="BodyText"/>
              <w:rPr>
                <w:rFonts w:cs="Arial"/>
                <w:b/>
                <w:bCs/>
                <w:szCs w:val="24"/>
                <w:lang w:val="en-AU"/>
              </w:rPr>
            </w:pPr>
            <w:r w:rsidRPr="00771936">
              <w:rPr>
                <w:b/>
                <w:szCs w:val="24"/>
                <w:lang w:val="en-AU"/>
              </w:rPr>
              <w:lastRenderedPageBreak/>
              <w:t>References</w:t>
            </w:r>
          </w:p>
        </w:tc>
        <w:tc>
          <w:tcPr>
            <w:tcW w:w="7825" w:type="dxa"/>
          </w:tcPr>
          <w:p w:rsidRPr="006E4CF9" w:rsidR="006E4CF9" w:rsidP="001B0E05" w:rsidRDefault="006E4CF9" w14:paraId="427C28DD" w14:textId="77777777">
            <w:pPr>
              <w:numPr>
                <w:ilvl w:val="0"/>
                <w:numId w:val="115"/>
              </w:numPr>
              <w:rPr>
                <w:sz w:val="16"/>
                <w:szCs w:val="16"/>
              </w:rPr>
            </w:pPr>
            <w:r w:rsidRPr="006E4CF9">
              <w:rPr>
                <w:sz w:val="16"/>
                <w:szCs w:val="16"/>
              </w:rPr>
              <w:t>Kelly MA &amp; Finer NN: Nasotracheal intubation in the neonate: physiologic responses and effects of atropine and pancuronium. J Pediatr 1984; 105:303-309.</w:t>
            </w:r>
          </w:p>
          <w:p w:rsidRPr="006E4CF9" w:rsidR="006E4CF9" w:rsidP="001B0E05" w:rsidRDefault="006E4CF9" w14:paraId="30387197" w14:textId="77777777">
            <w:pPr>
              <w:numPr>
                <w:ilvl w:val="0"/>
                <w:numId w:val="115"/>
              </w:numPr>
              <w:rPr>
                <w:sz w:val="16"/>
                <w:szCs w:val="16"/>
              </w:rPr>
            </w:pPr>
            <w:r w:rsidRPr="006E4CF9">
              <w:rPr>
                <w:sz w:val="16"/>
                <w:szCs w:val="16"/>
              </w:rPr>
              <w:t>Cools F, Offringa M. Neuromuscular paralysis for newborn infants receiving mechanical ventilation. Cochrane Database of Systematic Reviews 2005, Issue 2. Art. No.: CD002773. DOI: 10.1002/14651858.CD002773.pub2.</w:t>
            </w:r>
          </w:p>
          <w:p w:rsidRPr="006E4CF9" w:rsidR="006E4CF9" w:rsidP="001B0E05" w:rsidRDefault="006E4CF9" w14:paraId="006A7664" w14:textId="77777777">
            <w:pPr>
              <w:numPr>
                <w:ilvl w:val="0"/>
                <w:numId w:val="115"/>
              </w:numPr>
              <w:rPr>
                <w:sz w:val="16"/>
                <w:szCs w:val="16"/>
              </w:rPr>
            </w:pPr>
            <w:r w:rsidRPr="006E4CF9">
              <w:rPr>
                <w:sz w:val="16"/>
                <w:szCs w:val="16"/>
              </w:rPr>
              <w:t>Burger,R. Paralysis of ventilated newborn babies does not influence resistance of the total respiratory system. European Respiratory Journal. 14(2):357-62, 1999 Aug.</w:t>
            </w:r>
          </w:p>
          <w:p w:rsidRPr="006E4CF9" w:rsidR="006E4CF9" w:rsidP="001B0E05" w:rsidRDefault="006E4CF9" w14:paraId="0F4C8737" w14:textId="77777777">
            <w:pPr>
              <w:numPr>
                <w:ilvl w:val="0"/>
                <w:numId w:val="115"/>
              </w:numPr>
              <w:rPr>
                <w:sz w:val="16"/>
                <w:szCs w:val="16"/>
              </w:rPr>
            </w:pPr>
            <w:r w:rsidRPr="006E4CF9">
              <w:rPr>
                <w:sz w:val="16"/>
                <w:szCs w:val="16"/>
              </w:rPr>
              <w:t xml:space="preserve">Cheung PY, Tyebkhan JM, Peliowski A, Ainsworth W, Robertson CM. Prolonged use of pancuronium bromide and sensorineural hearing loss in childhood survivors of congenital diaphragmatic hernia. Journal of Pediatrics. 135(2 Pt 1):233-9, 1999 Aug. </w:t>
            </w:r>
          </w:p>
          <w:p w:rsidRPr="006E4CF9" w:rsidR="006E4CF9" w:rsidP="001B0E05" w:rsidRDefault="006E4CF9" w14:paraId="05EBF4E5" w14:textId="77777777">
            <w:pPr>
              <w:numPr>
                <w:ilvl w:val="0"/>
                <w:numId w:val="115"/>
              </w:numPr>
              <w:rPr>
                <w:sz w:val="16"/>
                <w:szCs w:val="16"/>
              </w:rPr>
            </w:pPr>
            <w:r w:rsidRPr="006E4CF9">
              <w:rPr>
                <w:sz w:val="16"/>
                <w:szCs w:val="16"/>
              </w:rPr>
              <w:t>Rossiter A, Souney PF, McGowan S, Carvajal P. Pancuronium induced prolonged neuromuscular blockade. Crit Care Med 1991;19:1583–7.</w:t>
            </w:r>
          </w:p>
          <w:p w:rsidRPr="006E4CF9" w:rsidR="006E4CF9" w:rsidP="001B0E05" w:rsidRDefault="006E4CF9" w14:paraId="481E9EBD" w14:textId="77777777">
            <w:pPr>
              <w:numPr>
                <w:ilvl w:val="0"/>
                <w:numId w:val="115"/>
              </w:numPr>
              <w:rPr>
                <w:sz w:val="16"/>
                <w:szCs w:val="16"/>
              </w:rPr>
            </w:pPr>
            <w:r w:rsidRPr="006E4CF9">
              <w:rPr>
                <w:sz w:val="16"/>
                <w:szCs w:val="16"/>
              </w:rPr>
              <w:t>Fanconi S, Ensner S, Knecht B. Effects of paralysis with pancuronium bromide on joint mobility in premature infants. J Pediatr 1995;127:134–6.</w:t>
            </w:r>
          </w:p>
          <w:p w:rsidRPr="006E4CF9" w:rsidR="006E4CF9" w:rsidP="001B0E05" w:rsidRDefault="006E4CF9" w14:paraId="59BC9AED" w14:textId="77777777">
            <w:pPr>
              <w:numPr>
                <w:ilvl w:val="0"/>
                <w:numId w:val="115"/>
              </w:numPr>
              <w:rPr>
                <w:sz w:val="16"/>
                <w:szCs w:val="16"/>
              </w:rPr>
            </w:pPr>
            <w:r w:rsidRPr="006E4CF9">
              <w:rPr>
                <w:sz w:val="16"/>
                <w:szCs w:val="16"/>
              </w:rPr>
              <w:t>Johnson PN, Miller J, Gormley AK. Continuous-Infusion Neuromuscular Blocking Agents in Critically Ill Neonates and Children. Pharmacotherapy 31 (6): 609-620 2011</w:t>
            </w:r>
          </w:p>
          <w:p w:rsidRPr="006E4CF9" w:rsidR="006E4CF9" w:rsidP="001B0E05" w:rsidRDefault="006E4CF9" w14:paraId="33906B96" w14:textId="77777777">
            <w:pPr>
              <w:numPr>
                <w:ilvl w:val="0"/>
                <w:numId w:val="115"/>
              </w:numPr>
              <w:rPr>
                <w:sz w:val="16"/>
                <w:szCs w:val="16"/>
              </w:rPr>
            </w:pPr>
            <w:r w:rsidRPr="006E4CF9">
              <w:rPr>
                <w:sz w:val="16"/>
                <w:szCs w:val="16"/>
              </w:rPr>
              <w:t>Tobias JD, Lynch A, McDuffee A, Garrett JS. Pancuronium infusion for neuromuscular block in children in the pediatric intensive care unit. Anesth Analg 1995;81:13–16.</w:t>
            </w:r>
          </w:p>
          <w:p w:rsidRPr="006E4CF9" w:rsidR="006E4CF9" w:rsidP="001B0E05" w:rsidRDefault="006E4CF9" w14:paraId="467C2C23" w14:textId="77777777">
            <w:pPr>
              <w:numPr>
                <w:ilvl w:val="0"/>
                <w:numId w:val="115"/>
              </w:numPr>
              <w:rPr>
                <w:sz w:val="16"/>
                <w:szCs w:val="16"/>
              </w:rPr>
            </w:pPr>
            <w:r w:rsidRPr="006E4CF9">
              <w:rPr>
                <w:sz w:val="16"/>
                <w:szCs w:val="16"/>
              </w:rPr>
              <w:t>de Lemos JM, Carr RR, Shalansky KF, Bevan DR, Ronco JJ. Paralysis in the critically ill: intermittent bolus pancuronium compared with continuous infusion. Critical Care Medicine 1999. 27(12):2648-55..</w:t>
            </w:r>
          </w:p>
          <w:p w:rsidRPr="006E4CF9" w:rsidR="006E4CF9" w:rsidP="001B0E05" w:rsidRDefault="006E4CF9" w14:paraId="24B621F8" w14:textId="77777777">
            <w:pPr>
              <w:numPr>
                <w:ilvl w:val="0"/>
                <w:numId w:val="115"/>
              </w:numPr>
              <w:rPr>
                <w:sz w:val="16"/>
                <w:szCs w:val="16"/>
              </w:rPr>
            </w:pPr>
            <w:r w:rsidRPr="006E4CF9">
              <w:rPr>
                <w:rFonts w:cs="Helvetica"/>
                <w:sz w:val="16"/>
                <w:szCs w:val="16"/>
                <w:shd w:val="clear" w:color="auto" w:fill="FFFFFF"/>
              </w:rPr>
              <w:t xml:space="preserve">Product Information. AusDI [Internet]. Sydney: Phoenix Medical Publishing; 2006. Updated 23/09/13. </w:t>
            </w:r>
          </w:p>
          <w:p w:rsidRPr="006E4CF9" w:rsidR="006E4CF9" w:rsidP="001B0E05" w:rsidRDefault="006E4CF9" w14:paraId="7A41E61B" w14:textId="77777777">
            <w:pPr>
              <w:numPr>
                <w:ilvl w:val="0"/>
                <w:numId w:val="115"/>
              </w:numPr>
              <w:rPr>
                <w:sz w:val="16"/>
                <w:szCs w:val="16"/>
              </w:rPr>
            </w:pPr>
            <w:r w:rsidRPr="006E4CF9">
              <w:rPr>
                <w:sz w:val="16"/>
                <w:szCs w:val="16"/>
              </w:rPr>
              <w:t>Australian Injectable Drugs Handbook. Accessed on 14</w:t>
            </w:r>
            <w:r w:rsidRPr="006E4CF9">
              <w:rPr>
                <w:sz w:val="16"/>
                <w:szCs w:val="16"/>
                <w:vertAlign w:val="superscript"/>
              </w:rPr>
              <w:t>th</w:t>
            </w:r>
            <w:r w:rsidRPr="006E4CF9">
              <w:rPr>
                <w:sz w:val="16"/>
                <w:szCs w:val="16"/>
              </w:rPr>
              <w:t xml:space="preserve"> December 2016.  </w:t>
            </w:r>
          </w:p>
          <w:p w:rsidRPr="006E4CF9" w:rsidR="006E4CF9" w:rsidP="001B0E05" w:rsidRDefault="006E4CF9" w14:paraId="4D2590CB" w14:textId="77777777">
            <w:pPr>
              <w:numPr>
                <w:ilvl w:val="0"/>
                <w:numId w:val="115"/>
              </w:numPr>
              <w:rPr>
                <w:sz w:val="16"/>
                <w:szCs w:val="16"/>
              </w:rPr>
            </w:pPr>
            <w:r w:rsidRPr="006E4CF9">
              <w:rPr>
                <w:sz w:val="16"/>
                <w:szCs w:val="16"/>
              </w:rPr>
              <w:t>Ramsey FM: Basic pharmacology of neuromuscular blocking agents. Anesth Clin North Am 1993; 11(2):219-235.</w:t>
            </w:r>
          </w:p>
          <w:p w:rsidRPr="006E4CF9" w:rsidR="006E4CF9" w:rsidP="001B0E05" w:rsidRDefault="006E4CF9" w14:paraId="3530A6AB" w14:textId="77777777">
            <w:pPr>
              <w:numPr>
                <w:ilvl w:val="0"/>
                <w:numId w:val="115"/>
              </w:numPr>
              <w:rPr>
                <w:sz w:val="16"/>
                <w:szCs w:val="16"/>
              </w:rPr>
            </w:pPr>
            <w:r w:rsidRPr="006E4CF9">
              <w:rPr>
                <w:sz w:val="16"/>
                <w:szCs w:val="16"/>
              </w:rPr>
              <w:t>AMA Department of Drugs: AMA Drug Evaluations, 5th. American Medical Association, Chicago, IL, 1983.</w:t>
            </w:r>
          </w:p>
          <w:p w:rsidRPr="006E4CF9" w:rsidR="006E4CF9" w:rsidP="001B0E05" w:rsidRDefault="006E4CF9" w14:paraId="2676CFAE" w14:textId="77777777">
            <w:pPr>
              <w:numPr>
                <w:ilvl w:val="0"/>
                <w:numId w:val="115"/>
              </w:numPr>
              <w:rPr>
                <w:sz w:val="16"/>
                <w:szCs w:val="16"/>
              </w:rPr>
            </w:pPr>
            <w:r w:rsidRPr="006E4CF9">
              <w:rPr>
                <w:sz w:val="16"/>
                <w:szCs w:val="16"/>
              </w:rPr>
              <w:t>Doherty WG, Breen PJ, Donati F, et al: Accelerated onset of pancuronium with divided doses. Can Anaesth Soc J 1985; 32:1-4.</w:t>
            </w:r>
          </w:p>
          <w:p w:rsidRPr="006E4CF9" w:rsidR="006E4CF9" w:rsidP="001B0E05" w:rsidRDefault="006E4CF9" w14:paraId="370A0CB8" w14:textId="77777777">
            <w:pPr>
              <w:numPr>
                <w:ilvl w:val="0"/>
                <w:numId w:val="115"/>
              </w:numPr>
              <w:rPr>
                <w:sz w:val="16"/>
                <w:szCs w:val="16"/>
              </w:rPr>
            </w:pPr>
            <w:r w:rsidRPr="006E4CF9">
              <w:rPr>
                <w:sz w:val="16"/>
                <w:szCs w:val="16"/>
              </w:rPr>
              <w:t>Micomedex solutions. Accessed on 14</w:t>
            </w:r>
            <w:r w:rsidRPr="006E4CF9">
              <w:rPr>
                <w:sz w:val="16"/>
                <w:szCs w:val="16"/>
                <w:vertAlign w:val="superscript"/>
              </w:rPr>
              <w:t>th</w:t>
            </w:r>
            <w:r w:rsidRPr="006E4CF9">
              <w:rPr>
                <w:sz w:val="16"/>
                <w:szCs w:val="16"/>
              </w:rPr>
              <w:t xml:space="preserve"> December 2016.</w:t>
            </w:r>
          </w:p>
          <w:p w:rsidRPr="006E4CF9" w:rsidR="006E4CF9" w:rsidP="001B0E05" w:rsidRDefault="006E4CF9" w14:paraId="1796C5C3" w14:textId="77777777">
            <w:pPr>
              <w:numPr>
                <w:ilvl w:val="0"/>
                <w:numId w:val="115"/>
              </w:numPr>
              <w:rPr>
                <w:sz w:val="16"/>
                <w:szCs w:val="16"/>
              </w:rPr>
            </w:pPr>
            <w:r w:rsidRPr="006E4CF9">
              <w:rPr>
                <w:sz w:val="16"/>
                <w:szCs w:val="16"/>
              </w:rPr>
              <w:t>Berthier JC, Bourgeois J, Sann L, Frappaz D, Damon G, Cochat P, Bethenod M. [Prolonged curarization in the newborn infant under assisted ventilation for idiopathic respiratory distress]. Arch Fr Pediatr. 1983;40:79-83.</w:t>
            </w:r>
          </w:p>
          <w:p w:rsidRPr="006E4CF9" w:rsidR="006E4CF9" w:rsidP="001B0E05" w:rsidRDefault="006E4CF9" w14:paraId="0E2D984B" w14:textId="77777777">
            <w:pPr>
              <w:numPr>
                <w:ilvl w:val="0"/>
                <w:numId w:val="115"/>
              </w:numPr>
              <w:rPr>
                <w:sz w:val="16"/>
                <w:szCs w:val="16"/>
              </w:rPr>
            </w:pPr>
            <w:r w:rsidRPr="006E4CF9">
              <w:rPr>
                <w:sz w:val="16"/>
                <w:szCs w:val="16"/>
              </w:rPr>
              <w:t>Greenough A, Gamsu HR, Greenall F. Investigation of the effects of paralysis by pancuronium on heart rate variability, blood pressure and fluid balance. Acta paediatrica Scandinavica. Nov 1989;78(6):829-834</w:t>
            </w:r>
          </w:p>
          <w:p w:rsidRPr="006E4CF9" w:rsidR="006E4CF9" w:rsidP="001B0E05" w:rsidRDefault="006E4CF9" w14:paraId="06382F8B" w14:textId="77777777">
            <w:pPr>
              <w:numPr>
                <w:ilvl w:val="0"/>
                <w:numId w:val="115"/>
              </w:numPr>
              <w:rPr>
                <w:sz w:val="16"/>
                <w:szCs w:val="16"/>
              </w:rPr>
            </w:pPr>
            <w:r w:rsidRPr="006E4CF9">
              <w:rPr>
                <w:sz w:val="16"/>
                <w:szCs w:val="16"/>
              </w:rPr>
              <w:t>Murray MJ, Cowen J, DeBlock H, et al. Clinical practice guidelines for sustained neuromuscular blockade in the adult critically ill patient. Critical care medicine. Jan 2002;30(1):142-156.</w:t>
            </w:r>
          </w:p>
        </w:tc>
      </w:tr>
    </w:tbl>
    <w:p w:rsidRPr="00E25790" w:rsidR="00115F48" w:rsidP="006F0321" w:rsidRDefault="00115F48" w14:paraId="6CD4D374"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6E4CF9" w:rsidTr="00FE4186" w14:paraId="513E36C0"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1583677A" w14:textId="77777777">
            <w:pPr>
              <w:spacing w:line="252" w:lineRule="auto"/>
              <w:rPr>
                <w:sz w:val="20"/>
                <w:lang w:val="en-AU"/>
              </w:rPr>
            </w:pPr>
            <w:r w:rsidRPr="00DE64FA">
              <w:rPr>
                <w:sz w:val="20"/>
              </w:rPr>
              <w:t>Original version Date: 2014</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6D257674" w14:textId="77777777">
            <w:pPr>
              <w:spacing w:line="252" w:lineRule="auto"/>
              <w:rPr>
                <w:sz w:val="20"/>
              </w:rPr>
            </w:pPr>
            <w:r w:rsidRPr="00DE64FA">
              <w:rPr>
                <w:sz w:val="20"/>
              </w:rPr>
              <w:t>Author: AK, JD</w:t>
            </w:r>
          </w:p>
        </w:tc>
      </w:tr>
      <w:tr w:rsidR="006E4CF9" w:rsidTr="00FE4186" w14:paraId="7F4F8D40"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5AC75245" w14:textId="77777777">
            <w:pPr>
              <w:spacing w:line="252" w:lineRule="auto"/>
              <w:rPr>
                <w:sz w:val="20"/>
              </w:rPr>
            </w:pPr>
            <w:r w:rsidRPr="00DE64FA">
              <w:rPr>
                <w:sz w:val="20"/>
              </w:rPr>
              <w:t>Current Version number:  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2BABF7D6" w14:textId="39493870">
            <w:pPr>
              <w:spacing w:line="252" w:lineRule="auto"/>
              <w:rPr>
                <w:sz w:val="20"/>
              </w:rPr>
            </w:pPr>
            <w:r w:rsidRPr="00DE64FA">
              <w:rPr>
                <w:sz w:val="20"/>
              </w:rPr>
              <w:t xml:space="preserve">Current Version Date:  </w:t>
            </w:r>
            <w:r w:rsidRPr="00DE64FA" w:rsidR="00DE64FA">
              <w:rPr>
                <w:sz w:val="20"/>
              </w:rPr>
              <w:t>2/3/2021</w:t>
            </w:r>
          </w:p>
        </w:tc>
      </w:tr>
      <w:tr w:rsidR="006E4CF9" w:rsidTr="00FE4186" w14:paraId="7AECFFF9"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29EADF84" w14:textId="37D968DB">
            <w:pPr>
              <w:spacing w:line="252" w:lineRule="auto"/>
              <w:rPr>
                <w:sz w:val="20"/>
              </w:rPr>
            </w:pPr>
            <w:r w:rsidRPr="00DE64FA">
              <w:rPr>
                <w:sz w:val="20"/>
              </w:rPr>
              <w:t>Risk Rating:</w:t>
            </w:r>
            <w:r w:rsidRPr="00DE64FA" w:rsidR="00DE64FA">
              <w:rPr>
                <w:sz w:val="20"/>
              </w:rPr>
              <w:t xml:space="preserve"> Medium</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328D89D2" w14:textId="6E3B182D">
            <w:pPr>
              <w:spacing w:line="252" w:lineRule="auto"/>
              <w:rPr>
                <w:sz w:val="20"/>
              </w:rPr>
            </w:pPr>
            <w:r w:rsidRPr="00DE64FA">
              <w:rPr>
                <w:sz w:val="20"/>
              </w:rPr>
              <w:t xml:space="preserve">Due for Review:  </w:t>
            </w:r>
            <w:r w:rsidRPr="00DE64FA" w:rsidR="00DE64FA">
              <w:rPr>
                <w:sz w:val="20"/>
              </w:rPr>
              <w:t>2/3/2024</w:t>
            </w:r>
          </w:p>
        </w:tc>
      </w:tr>
      <w:tr w:rsidR="006E4CF9" w:rsidTr="00FE4186" w14:paraId="17F9888A"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7124E69F" w14:textId="77777777">
            <w:pPr>
              <w:spacing w:line="252" w:lineRule="auto"/>
              <w:rPr>
                <w:sz w:val="20"/>
              </w:rPr>
            </w:pPr>
            <w:r w:rsidRPr="00DE64FA">
              <w:rPr>
                <w:sz w:val="20"/>
              </w:rP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DE64FA" w:rsidR="006E4CF9" w:rsidP="00FE4186" w:rsidRDefault="006E4CF9" w14:paraId="2FB042A5" w14:textId="7A4EE7BE">
            <w:pPr>
              <w:spacing w:line="252" w:lineRule="auto"/>
              <w:rPr>
                <w:sz w:val="20"/>
              </w:rPr>
            </w:pPr>
            <w:r w:rsidRPr="00DE64FA">
              <w:rPr>
                <w:sz w:val="20"/>
              </w:rPr>
              <w:t xml:space="preserve">Approval Date: </w:t>
            </w:r>
            <w:r w:rsidR="00260BC8">
              <w:rPr>
                <w:sz w:val="20"/>
              </w:rPr>
              <w:t>APRIL 2021</w:t>
            </w:r>
          </w:p>
        </w:tc>
      </w:tr>
    </w:tbl>
    <w:p w:rsidRPr="00E25790" w:rsidR="00800B76" w:rsidP="006F0321" w:rsidRDefault="00800B76" w14:paraId="3BC0FEEE"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800B76" w:rsidTr="00FB38D0" w14:paraId="14B75C2B"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800B76" w:rsidP="009469DB" w:rsidRDefault="00800B76" w14:paraId="7600B89D" w14:textId="77777777">
            <w:pPr>
              <w:pStyle w:val="Heading1"/>
            </w:pPr>
            <w:bookmarkStart w:name="_Toc38106899" w:id="453"/>
            <w:bookmarkStart w:name="_Toc75340020" w:id="454"/>
            <w:r w:rsidRPr="00E25790">
              <w:lastRenderedPageBreak/>
              <w:t>Pantopr</w:t>
            </w:r>
            <w:r w:rsidRPr="00E25790" w:rsidR="0098627D">
              <w:t>a</w:t>
            </w:r>
            <w:r w:rsidRPr="00E25790">
              <w:t>zole</w:t>
            </w:r>
            <w:bookmarkEnd w:id="453"/>
            <w:bookmarkEnd w:id="454"/>
            <w:r w:rsidRPr="00E25790">
              <w:fldChar w:fldCharType="begin"/>
            </w:r>
            <w:r w:rsidRPr="00E25790">
              <w:instrText>tc "Acetylcysteine" \l 0</w:instrText>
            </w:r>
            <w:r w:rsidRPr="00E25790">
              <w:fldChar w:fldCharType="end"/>
            </w:r>
          </w:p>
        </w:tc>
      </w:tr>
      <w:tr w:rsidRPr="00E25790" w:rsidR="00800B76" w:rsidTr="00FB38D0" w14:paraId="30C4BB4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800B76" w:rsidP="006F0321" w:rsidRDefault="00800B76" w14:paraId="59579E48" w14:textId="643A9DA6">
            <w:r w:rsidRPr="00E25790">
              <w:t xml:space="preserve">Revision Date : </w:t>
            </w:r>
            <w:r w:rsidR="00CF5A22">
              <w:t>2</w:t>
            </w:r>
            <w:r w:rsidR="00206675">
              <w:t>-3-2021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800B76" w:rsidP="006F0321" w:rsidRDefault="00800B76" w14:paraId="116026FF" w14:textId="55D0BC63">
            <w:r w:rsidRPr="00E25790">
              <w:t xml:space="preserve">Approved: </w:t>
            </w:r>
            <w:r w:rsidR="007C726E">
              <w:t>TC,KOH</w:t>
            </w:r>
          </w:p>
        </w:tc>
      </w:tr>
    </w:tbl>
    <w:p w:rsidRPr="00E25790" w:rsidR="00800B76" w:rsidP="006F0321" w:rsidRDefault="00800B76" w14:paraId="0650BCC7" w14:textId="77777777"/>
    <w:tbl>
      <w:tblPr>
        <w:tblW w:w="5136" w:type="pct"/>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30"/>
        <w:gridCol w:w="17"/>
        <w:gridCol w:w="2024"/>
        <w:gridCol w:w="2037"/>
        <w:gridCol w:w="91"/>
        <w:gridCol w:w="4727"/>
        <w:gridCol w:w="170"/>
        <w:gridCol w:w="165"/>
      </w:tblGrid>
      <w:tr w:rsidRPr="001C203D" w:rsidR="007C726E" w:rsidTr="008A71EB" w14:paraId="385CC54A" w14:textId="77777777">
        <w:trPr>
          <w:gridBefore w:val="1"/>
          <w:wBefore w:w="16" w:type="pct"/>
          <w:trHeight w:val="363"/>
        </w:trPr>
        <w:tc>
          <w:tcPr>
            <w:tcW w:w="1102" w:type="pct"/>
            <w:gridSpan w:val="2"/>
          </w:tcPr>
          <w:p w:rsidRPr="001C203D" w:rsidR="007C726E" w:rsidP="007C726E" w:rsidRDefault="007C726E" w14:paraId="30F0911F" w14:textId="77777777">
            <w:pPr>
              <w:pStyle w:val="BodyText"/>
              <w:tabs>
                <w:tab w:val="center" w:pos="1476"/>
              </w:tabs>
              <w:rPr>
                <w:rFonts w:cs="Arial" w:asciiTheme="minorHAnsi" w:hAnsiTheme="minorHAnsi"/>
                <w:b/>
                <w:sz w:val="20"/>
              </w:rPr>
            </w:pPr>
            <w:r w:rsidRPr="001C203D">
              <w:rPr>
                <w:rFonts w:cs="Arial" w:asciiTheme="minorHAnsi" w:hAnsiTheme="minorHAnsi"/>
                <w:b/>
                <w:sz w:val="20"/>
              </w:rPr>
              <w:t>Alert</w:t>
            </w:r>
            <w:r w:rsidRPr="001C203D">
              <w:rPr>
                <w:rFonts w:cs="Arial" w:asciiTheme="minorHAnsi" w:hAnsiTheme="minorHAnsi"/>
                <w:b/>
                <w:sz w:val="20"/>
              </w:rPr>
              <w:tab/>
            </w:r>
          </w:p>
          <w:p w:rsidRPr="001C203D" w:rsidR="007C726E" w:rsidP="007C726E" w:rsidRDefault="007C726E" w14:paraId="17FC30F9" w14:textId="77777777">
            <w:pPr>
              <w:pStyle w:val="BodyText"/>
              <w:tabs>
                <w:tab w:val="center" w:pos="1476"/>
              </w:tabs>
              <w:rPr>
                <w:rFonts w:cs="Arial" w:asciiTheme="minorHAnsi" w:hAnsiTheme="minorHAnsi"/>
                <w:b/>
                <w:sz w:val="20"/>
              </w:rPr>
            </w:pPr>
            <w:r w:rsidRPr="001C203D">
              <w:rPr>
                <w:rFonts w:cs="Arial" w:asciiTheme="minorHAnsi" w:hAnsiTheme="minorHAnsi"/>
                <w:b/>
                <w:sz w:val="20"/>
              </w:rPr>
              <w:t xml:space="preserve"> </w:t>
            </w:r>
          </w:p>
        </w:tc>
        <w:tc>
          <w:tcPr>
            <w:tcW w:w="3882" w:type="pct"/>
            <w:gridSpan w:val="5"/>
          </w:tcPr>
          <w:p w:rsidR="007C726E" w:rsidP="007C726E" w:rsidRDefault="007C726E" w14:paraId="40EF8AB6" w14:textId="77777777">
            <w:pPr>
              <w:pStyle w:val="BodyText"/>
              <w:rPr>
                <w:rFonts w:cs="Arial" w:asciiTheme="minorHAnsi" w:hAnsiTheme="minorHAnsi"/>
                <w:sz w:val="20"/>
              </w:rPr>
            </w:pPr>
            <w:r w:rsidRPr="001C203D">
              <w:rPr>
                <w:rFonts w:cs="Arial" w:asciiTheme="minorHAnsi" w:hAnsiTheme="minorHAnsi"/>
                <w:sz w:val="20"/>
              </w:rPr>
              <w:t>Shor</w:t>
            </w:r>
            <w:r>
              <w:rPr>
                <w:rFonts w:cs="Arial" w:asciiTheme="minorHAnsi" w:hAnsiTheme="minorHAnsi"/>
                <w:sz w:val="20"/>
              </w:rPr>
              <w:t>t-</w:t>
            </w:r>
            <w:r w:rsidRPr="001C203D">
              <w:rPr>
                <w:rFonts w:cs="Arial" w:asciiTheme="minorHAnsi" w:hAnsiTheme="minorHAnsi"/>
                <w:sz w:val="20"/>
              </w:rPr>
              <w:t xml:space="preserve"> and long-term safety data in infants are limited but there have been several safety concerns with long term usage in adults. </w:t>
            </w:r>
          </w:p>
          <w:p w:rsidRPr="001C203D" w:rsidR="007C726E" w:rsidP="007C726E" w:rsidRDefault="007C726E" w14:paraId="40A9422E" w14:textId="77777777">
            <w:pPr>
              <w:pStyle w:val="BodyText"/>
              <w:rPr>
                <w:rFonts w:cs="Arial" w:asciiTheme="minorHAnsi" w:hAnsiTheme="minorHAnsi"/>
                <w:sz w:val="20"/>
              </w:rPr>
            </w:pPr>
            <w:r w:rsidRPr="00B97A23">
              <w:rPr>
                <w:rFonts w:cs="Arial" w:asciiTheme="minorHAnsi" w:hAnsiTheme="minorHAnsi"/>
                <w:sz w:val="20"/>
              </w:rPr>
              <w:t xml:space="preserve">The bioavailability of the in-house pharmacy suspension made from the contents of the capsule may be less (up to </w:t>
            </w:r>
            <w:r>
              <w:rPr>
                <w:rFonts w:cs="Arial" w:asciiTheme="minorHAnsi" w:hAnsiTheme="minorHAnsi"/>
                <w:sz w:val="20"/>
              </w:rPr>
              <w:t>25</w:t>
            </w:r>
            <w:r w:rsidRPr="00B97A23">
              <w:rPr>
                <w:rFonts w:cs="Arial" w:asciiTheme="minorHAnsi" w:hAnsiTheme="minorHAnsi"/>
                <w:sz w:val="20"/>
              </w:rPr>
              <w:t xml:space="preserve">% less) than that of the </w:t>
            </w:r>
            <w:r>
              <w:rPr>
                <w:rFonts w:cs="Arial" w:asciiTheme="minorHAnsi" w:hAnsiTheme="minorHAnsi"/>
                <w:sz w:val="20"/>
              </w:rPr>
              <w:t>tablet</w:t>
            </w:r>
            <w:r w:rsidRPr="00B97A23">
              <w:rPr>
                <w:rFonts w:cs="Arial" w:asciiTheme="minorHAnsi" w:hAnsiTheme="minorHAnsi"/>
                <w:sz w:val="20"/>
              </w:rPr>
              <w:t xml:space="preserve"> itself. Dose may need to be adjusted if no clinical response.</w:t>
            </w:r>
          </w:p>
        </w:tc>
      </w:tr>
      <w:tr w:rsidRPr="001C203D" w:rsidR="007C726E" w:rsidTr="008A71EB" w14:paraId="7378C9A2" w14:textId="77777777">
        <w:trPr>
          <w:gridBefore w:val="1"/>
          <w:wBefore w:w="16" w:type="pct"/>
          <w:trHeight w:val="553"/>
        </w:trPr>
        <w:tc>
          <w:tcPr>
            <w:tcW w:w="1102" w:type="pct"/>
            <w:gridSpan w:val="2"/>
          </w:tcPr>
          <w:p w:rsidRPr="001C203D" w:rsidR="007C726E" w:rsidP="007C726E" w:rsidRDefault="007C726E" w14:paraId="5A0974E8" w14:textId="77777777">
            <w:pPr>
              <w:pStyle w:val="BodyText"/>
              <w:rPr>
                <w:rFonts w:cs="Arial" w:asciiTheme="minorHAnsi" w:hAnsiTheme="minorHAnsi"/>
                <w:b/>
                <w:bCs/>
                <w:sz w:val="20"/>
              </w:rPr>
            </w:pPr>
            <w:r w:rsidRPr="001C203D">
              <w:rPr>
                <w:rFonts w:cs="Arial" w:asciiTheme="minorHAnsi" w:hAnsiTheme="minorHAnsi"/>
                <w:b/>
                <w:bCs/>
                <w:sz w:val="20"/>
              </w:rPr>
              <w:t xml:space="preserve">Indication                         </w:t>
            </w:r>
          </w:p>
          <w:p w:rsidRPr="001C203D" w:rsidR="007C726E" w:rsidP="007C726E" w:rsidRDefault="007C726E" w14:paraId="37D6DDFF" w14:textId="77777777">
            <w:pPr>
              <w:pStyle w:val="BodyText"/>
              <w:rPr>
                <w:rFonts w:cs="Arial" w:asciiTheme="minorHAnsi" w:hAnsiTheme="minorHAnsi"/>
                <w:sz w:val="20"/>
              </w:rPr>
            </w:pPr>
          </w:p>
        </w:tc>
        <w:tc>
          <w:tcPr>
            <w:tcW w:w="3882" w:type="pct"/>
            <w:gridSpan w:val="5"/>
          </w:tcPr>
          <w:p w:rsidRPr="001C203D" w:rsidR="007C726E" w:rsidP="007C726E" w:rsidRDefault="007C726E" w14:paraId="490F40D3" w14:textId="77777777">
            <w:pPr>
              <w:rPr>
                <w:rFonts w:asciiTheme="minorHAnsi" w:hAnsiTheme="minorHAnsi"/>
                <w:sz w:val="20"/>
              </w:rPr>
            </w:pPr>
            <w:r w:rsidRPr="001C203D">
              <w:rPr>
                <w:rFonts w:asciiTheme="minorHAnsi" w:hAnsiTheme="minorHAnsi"/>
                <w:sz w:val="20"/>
              </w:rPr>
              <w:t>Treatment of gastroesophageal reflux disease (GORD)</w:t>
            </w:r>
          </w:p>
          <w:p w:rsidRPr="001C203D" w:rsidR="007C726E" w:rsidP="007C726E" w:rsidRDefault="007C726E" w14:paraId="6936B98A" w14:textId="77777777">
            <w:pPr>
              <w:rPr>
                <w:rFonts w:asciiTheme="minorHAnsi" w:hAnsiTheme="minorHAnsi"/>
                <w:sz w:val="20"/>
              </w:rPr>
            </w:pPr>
            <w:r w:rsidRPr="001C203D">
              <w:rPr>
                <w:rFonts w:asciiTheme="minorHAnsi" w:hAnsiTheme="minorHAnsi"/>
                <w:sz w:val="20"/>
              </w:rPr>
              <w:t>Post-operative prophylaxis in congenital tracheoesophageal fistula and oesophageal atresia (role unclear)</w:t>
            </w:r>
          </w:p>
        </w:tc>
      </w:tr>
      <w:tr w:rsidRPr="001C203D" w:rsidR="007C726E" w:rsidTr="008A71EB" w14:paraId="05CA46AE" w14:textId="77777777">
        <w:trPr>
          <w:gridBefore w:val="1"/>
          <w:wBefore w:w="16" w:type="pct"/>
          <w:trHeight w:val="293"/>
        </w:trPr>
        <w:tc>
          <w:tcPr>
            <w:tcW w:w="1102" w:type="pct"/>
            <w:gridSpan w:val="2"/>
          </w:tcPr>
          <w:p w:rsidRPr="001C203D" w:rsidR="007C726E" w:rsidP="007C726E" w:rsidRDefault="007C726E" w14:paraId="7BDC3845" w14:textId="77777777">
            <w:pPr>
              <w:pStyle w:val="BodyText"/>
              <w:rPr>
                <w:rFonts w:cs="Arial" w:asciiTheme="minorHAnsi" w:hAnsiTheme="minorHAnsi"/>
                <w:b/>
                <w:bCs/>
                <w:sz w:val="20"/>
              </w:rPr>
            </w:pPr>
            <w:r w:rsidRPr="001C203D">
              <w:rPr>
                <w:rFonts w:cs="Arial" w:asciiTheme="minorHAnsi" w:hAnsiTheme="minorHAnsi"/>
                <w:b/>
                <w:bCs/>
                <w:sz w:val="20"/>
              </w:rPr>
              <w:t>Action</w:t>
            </w:r>
          </w:p>
        </w:tc>
        <w:tc>
          <w:tcPr>
            <w:tcW w:w="3882" w:type="pct"/>
            <w:gridSpan w:val="5"/>
          </w:tcPr>
          <w:p w:rsidRPr="001C203D" w:rsidR="007C726E" w:rsidP="007C726E" w:rsidRDefault="007C726E" w14:paraId="4A67A8F9" w14:textId="77777777">
            <w:pPr>
              <w:rPr>
                <w:rFonts w:cs="Arial" w:asciiTheme="minorHAnsi" w:hAnsiTheme="minorHAnsi"/>
                <w:sz w:val="20"/>
              </w:rPr>
            </w:pPr>
            <w:r w:rsidRPr="001C203D">
              <w:rPr>
                <w:rFonts w:cs="Arial" w:asciiTheme="minorHAnsi" w:hAnsiTheme="minorHAnsi"/>
                <w:sz w:val="20"/>
              </w:rPr>
              <w:t>Proton pump inhibitor</w:t>
            </w:r>
            <w:r>
              <w:rPr>
                <w:rFonts w:cs="Arial" w:asciiTheme="minorHAnsi" w:hAnsiTheme="minorHAnsi"/>
                <w:sz w:val="20"/>
              </w:rPr>
              <w:t xml:space="preserve"> (PPI).</w:t>
            </w:r>
          </w:p>
        </w:tc>
      </w:tr>
      <w:tr w:rsidRPr="001C203D" w:rsidR="007C726E" w:rsidTr="008A71EB" w14:paraId="7024CE3C" w14:textId="77777777">
        <w:trPr>
          <w:gridBefore w:val="1"/>
          <w:wBefore w:w="16" w:type="pct"/>
          <w:trHeight w:val="266"/>
        </w:trPr>
        <w:tc>
          <w:tcPr>
            <w:tcW w:w="1102" w:type="pct"/>
            <w:gridSpan w:val="2"/>
          </w:tcPr>
          <w:p w:rsidRPr="001C203D" w:rsidR="007C726E" w:rsidP="007C726E" w:rsidRDefault="007C726E" w14:paraId="3C063C1B" w14:textId="77777777">
            <w:pPr>
              <w:pStyle w:val="BodyText"/>
              <w:rPr>
                <w:rFonts w:cs="Arial" w:asciiTheme="minorHAnsi" w:hAnsiTheme="minorHAnsi"/>
                <w:sz w:val="20"/>
              </w:rPr>
            </w:pPr>
            <w:r w:rsidRPr="001C203D">
              <w:rPr>
                <w:rFonts w:cs="Arial" w:asciiTheme="minorHAnsi" w:hAnsiTheme="minorHAnsi"/>
                <w:b/>
                <w:bCs/>
                <w:sz w:val="20"/>
              </w:rPr>
              <w:t xml:space="preserve">Drug Type                                   </w:t>
            </w:r>
          </w:p>
        </w:tc>
        <w:tc>
          <w:tcPr>
            <w:tcW w:w="3882" w:type="pct"/>
            <w:gridSpan w:val="5"/>
          </w:tcPr>
          <w:p w:rsidRPr="001C203D" w:rsidR="007C726E" w:rsidP="007C726E" w:rsidRDefault="007C726E" w14:paraId="563CA8CE" w14:textId="77777777">
            <w:pPr>
              <w:pStyle w:val="BodyText"/>
              <w:rPr>
                <w:rFonts w:cs="Arial" w:asciiTheme="minorHAnsi" w:hAnsiTheme="minorHAnsi"/>
                <w:sz w:val="20"/>
              </w:rPr>
            </w:pPr>
            <w:r w:rsidRPr="001C203D">
              <w:rPr>
                <w:rFonts w:cs="Arial" w:asciiTheme="minorHAnsi" w:hAnsiTheme="minorHAnsi"/>
                <w:sz w:val="20"/>
              </w:rPr>
              <w:t>Proton pump inhibitor</w:t>
            </w:r>
          </w:p>
        </w:tc>
      </w:tr>
      <w:tr w:rsidRPr="001C203D" w:rsidR="007C726E" w:rsidTr="008A71EB" w14:paraId="39F9E69E" w14:textId="77777777">
        <w:trPr>
          <w:gridBefore w:val="1"/>
          <w:wBefore w:w="16" w:type="pct"/>
          <w:trHeight w:val="384"/>
        </w:trPr>
        <w:tc>
          <w:tcPr>
            <w:tcW w:w="1102" w:type="pct"/>
            <w:gridSpan w:val="2"/>
          </w:tcPr>
          <w:p w:rsidRPr="001C203D" w:rsidR="007C726E" w:rsidP="007C726E" w:rsidRDefault="007C726E" w14:paraId="4F08C71C" w14:textId="77777777">
            <w:pPr>
              <w:pStyle w:val="BodyText"/>
              <w:rPr>
                <w:rFonts w:cs="Arial" w:asciiTheme="minorHAnsi" w:hAnsiTheme="minorHAnsi"/>
                <w:b/>
                <w:bCs/>
                <w:sz w:val="20"/>
              </w:rPr>
            </w:pPr>
            <w:r w:rsidRPr="001C203D">
              <w:rPr>
                <w:rFonts w:cs="Arial" w:asciiTheme="minorHAnsi" w:hAnsiTheme="minorHAnsi"/>
                <w:b/>
                <w:bCs/>
                <w:sz w:val="20"/>
              </w:rPr>
              <w:t xml:space="preserve">Trade Name                  </w:t>
            </w:r>
          </w:p>
        </w:tc>
        <w:tc>
          <w:tcPr>
            <w:tcW w:w="3882" w:type="pct"/>
            <w:gridSpan w:val="5"/>
          </w:tcPr>
          <w:p w:rsidR="007C726E" w:rsidP="007C726E" w:rsidRDefault="007C726E" w14:paraId="1ECB6BFE" w14:textId="77777777">
            <w:pPr>
              <w:pStyle w:val="BodyText"/>
              <w:rPr>
                <w:rFonts w:cs="Arial" w:asciiTheme="minorHAnsi" w:hAnsiTheme="minorHAnsi"/>
                <w:sz w:val="20"/>
              </w:rPr>
            </w:pPr>
            <w:r w:rsidRPr="001C203D">
              <w:rPr>
                <w:rFonts w:cs="Arial" w:asciiTheme="minorHAnsi" w:hAnsiTheme="minorHAnsi"/>
                <w:sz w:val="20"/>
              </w:rPr>
              <w:t>Pantoprazole Sandoz 40</w:t>
            </w:r>
            <w:r>
              <w:rPr>
                <w:rFonts w:cs="Arial" w:asciiTheme="minorHAnsi" w:hAnsiTheme="minorHAnsi"/>
                <w:sz w:val="20"/>
              </w:rPr>
              <w:t xml:space="preserve"> </w:t>
            </w:r>
            <w:r w:rsidRPr="001C203D">
              <w:rPr>
                <w:rFonts w:cs="Arial" w:asciiTheme="minorHAnsi" w:hAnsiTheme="minorHAnsi"/>
                <w:sz w:val="20"/>
              </w:rPr>
              <w:t xml:space="preserve">mg </w:t>
            </w:r>
            <w:r>
              <w:rPr>
                <w:rFonts w:cs="Arial" w:asciiTheme="minorHAnsi" w:hAnsiTheme="minorHAnsi"/>
                <w:sz w:val="20"/>
              </w:rPr>
              <w:t>Powder for Injection (Sandoz)</w:t>
            </w:r>
            <w:r w:rsidRPr="001C203D">
              <w:rPr>
                <w:rFonts w:cs="Arial" w:asciiTheme="minorHAnsi" w:hAnsiTheme="minorHAnsi"/>
                <w:sz w:val="20"/>
              </w:rPr>
              <w:t>, Somac Injection (Powder for injection)</w:t>
            </w:r>
            <w:r>
              <w:rPr>
                <w:rFonts w:cs="Arial" w:asciiTheme="minorHAnsi" w:hAnsiTheme="minorHAnsi"/>
                <w:sz w:val="20"/>
              </w:rPr>
              <w:t xml:space="preserve"> (</w:t>
            </w:r>
            <w:r w:rsidRPr="001C203D">
              <w:rPr>
                <w:rFonts w:cs="Arial" w:asciiTheme="minorHAnsi" w:hAnsiTheme="minorHAnsi"/>
                <w:sz w:val="20"/>
              </w:rPr>
              <w:t>Takeda Pharmaceuticals</w:t>
            </w:r>
            <w:r>
              <w:rPr>
                <w:rFonts w:cs="Arial" w:asciiTheme="minorHAnsi" w:hAnsiTheme="minorHAnsi"/>
                <w:sz w:val="20"/>
              </w:rPr>
              <w:t>)</w:t>
            </w:r>
          </w:p>
          <w:p w:rsidRPr="001C203D" w:rsidR="007C726E" w:rsidP="007C726E" w:rsidRDefault="007C726E" w14:paraId="7CFABB8C" w14:textId="77777777">
            <w:pPr>
              <w:pStyle w:val="BodyText"/>
              <w:rPr>
                <w:rFonts w:cs="Arial" w:asciiTheme="minorHAnsi" w:hAnsiTheme="minorHAnsi"/>
                <w:sz w:val="20"/>
              </w:rPr>
            </w:pPr>
          </w:p>
        </w:tc>
      </w:tr>
      <w:tr w:rsidRPr="001C203D" w:rsidR="007C726E" w:rsidTr="008A71EB" w14:paraId="1EEE7311" w14:textId="77777777">
        <w:trPr>
          <w:gridBefore w:val="1"/>
          <w:wBefore w:w="16" w:type="pct"/>
          <w:trHeight w:val="403"/>
        </w:trPr>
        <w:tc>
          <w:tcPr>
            <w:tcW w:w="1102" w:type="pct"/>
            <w:gridSpan w:val="2"/>
          </w:tcPr>
          <w:p w:rsidRPr="001C203D" w:rsidR="007C726E" w:rsidP="007C726E" w:rsidRDefault="007C726E" w14:paraId="4310FF82" w14:textId="77777777">
            <w:pPr>
              <w:pStyle w:val="BodyText"/>
              <w:rPr>
                <w:rFonts w:cs="Arial" w:asciiTheme="minorHAnsi" w:hAnsiTheme="minorHAnsi"/>
                <w:b/>
                <w:bCs/>
                <w:sz w:val="20"/>
              </w:rPr>
            </w:pPr>
            <w:r w:rsidRPr="001C203D">
              <w:rPr>
                <w:rFonts w:cs="Arial" w:asciiTheme="minorHAnsi" w:hAnsiTheme="minorHAnsi"/>
                <w:b/>
                <w:bCs/>
                <w:sz w:val="20"/>
              </w:rPr>
              <w:t xml:space="preserve">Presentation </w:t>
            </w:r>
          </w:p>
        </w:tc>
        <w:tc>
          <w:tcPr>
            <w:tcW w:w="3882" w:type="pct"/>
            <w:gridSpan w:val="5"/>
          </w:tcPr>
          <w:p w:rsidRPr="001C203D" w:rsidR="007C726E" w:rsidP="007C726E" w:rsidRDefault="007C726E" w14:paraId="7E26FC55" w14:textId="77777777">
            <w:pPr>
              <w:pStyle w:val="BodyText"/>
              <w:ind w:left="34"/>
              <w:rPr>
                <w:rFonts w:cs="Arial" w:asciiTheme="minorHAnsi" w:hAnsiTheme="minorHAnsi"/>
                <w:sz w:val="20"/>
              </w:rPr>
            </w:pPr>
            <w:r w:rsidRPr="001C203D">
              <w:rPr>
                <w:rFonts w:cs="Arial" w:asciiTheme="minorHAnsi" w:hAnsiTheme="minorHAnsi"/>
                <w:sz w:val="20"/>
              </w:rPr>
              <w:t>IV: 40</w:t>
            </w:r>
            <w:r>
              <w:rPr>
                <w:rFonts w:cs="Arial" w:asciiTheme="minorHAnsi" w:hAnsiTheme="minorHAnsi"/>
                <w:sz w:val="20"/>
              </w:rPr>
              <w:t xml:space="preserve"> </w:t>
            </w:r>
            <w:r w:rsidRPr="001C203D">
              <w:rPr>
                <w:rFonts w:cs="Arial" w:asciiTheme="minorHAnsi" w:hAnsiTheme="minorHAnsi"/>
                <w:sz w:val="20"/>
              </w:rPr>
              <w:t>mg/vial of pantoprazole in dry powder form.</w:t>
            </w:r>
          </w:p>
          <w:p w:rsidRPr="001C203D" w:rsidR="007C726E" w:rsidP="007C726E" w:rsidRDefault="007C726E" w14:paraId="38AB4E7A" w14:textId="77777777">
            <w:pPr>
              <w:pStyle w:val="BodyText"/>
              <w:ind w:left="34"/>
              <w:rPr>
                <w:rFonts w:cs="Arial" w:asciiTheme="minorHAnsi" w:hAnsiTheme="minorHAnsi"/>
                <w:sz w:val="20"/>
              </w:rPr>
            </w:pPr>
            <w:r w:rsidRPr="001C203D">
              <w:rPr>
                <w:rFonts w:cs="Arial" w:asciiTheme="minorHAnsi" w:hAnsiTheme="minorHAnsi"/>
                <w:sz w:val="20"/>
              </w:rPr>
              <w:t>PO: 2</w:t>
            </w:r>
            <w:r>
              <w:rPr>
                <w:rFonts w:cs="Arial" w:asciiTheme="minorHAnsi" w:hAnsiTheme="minorHAnsi"/>
                <w:sz w:val="20"/>
              </w:rPr>
              <w:t xml:space="preserve"> </w:t>
            </w:r>
            <w:r w:rsidRPr="001C203D">
              <w:rPr>
                <w:rFonts w:cs="Arial" w:asciiTheme="minorHAnsi" w:hAnsiTheme="minorHAnsi"/>
                <w:sz w:val="20"/>
              </w:rPr>
              <w:t>mg/mL dispersion (compounded by Pharmacy) Australia Pharmaceutical Formulary and Handbook formula</w:t>
            </w:r>
          </w:p>
        </w:tc>
      </w:tr>
      <w:tr w:rsidRPr="001C203D" w:rsidR="007C726E" w:rsidTr="008A71EB" w14:paraId="0243B215" w14:textId="77777777">
        <w:trPr>
          <w:gridBefore w:val="1"/>
          <w:wBefore w:w="16" w:type="pct"/>
          <w:trHeight w:val="254"/>
        </w:trPr>
        <w:tc>
          <w:tcPr>
            <w:tcW w:w="1102" w:type="pct"/>
            <w:gridSpan w:val="2"/>
          </w:tcPr>
          <w:p w:rsidRPr="001C203D" w:rsidR="007C726E" w:rsidP="007C726E" w:rsidRDefault="007C726E" w14:paraId="3CC1175C" w14:textId="77777777">
            <w:pPr>
              <w:pStyle w:val="BodyText"/>
              <w:rPr>
                <w:rFonts w:cs="Arial" w:asciiTheme="minorHAnsi" w:hAnsiTheme="minorHAnsi"/>
                <w:b/>
                <w:bCs/>
                <w:sz w:val="20"/>
              </w:rPr>
            </w:pPr>
            <w:r w:rsidRPr="001C203D">
              <w:rPr>
                <w:rFonts w:cs="Arial" w:asciiTheme="minorHAnsi" w:hAnsiTheme="minorHAnsi"/>
                <w:b/>
                <w:bCs/>
                <w:sz w:val="20"/>
              </w:rPr>
              <w:t xml:space="preserve">Dosage / Interval                      </w:t>
            </w:r>
          </w:p>
        </w:tc>
        <w:tc>
          <w:tcPr>
            <w:tcW w:w="3882" w:type="pct"/>
            <w:gridSpan w:val="5"/>
          </w:tcPr>
          <w:p w:rsidRPr="001C203D" w:rsidR="007C726E" w:rsidP="007C726E" w:rsidRDefault="007C726E" w14:paraId="56AA0980" w14:textId="77777777">
            <w:pPr>
              <w:pStyle w:val="BodyText"/>
              <w:rPr>
                <w:rFonts w:asciiTheme="minorHAnsi" w:hAnsiTheme="minorHAnsi"/>
                <w:sz w:val="20"/>
              </w:rPr>
            </w:pPr>
            <w:r w:rsidRPr="001C203D">
              <w:rPr>
                <w:rFonts w:asciiTheme="minorHAnsi" w:hAnsiTheme="minorHAnsi"/>
                <w:sz w:val="20"/>
              </w:rPr>
              <w:t>IV 0.5 mg/kg/dose 12 hourly</w:t>
            </w:r>
          </w:p>
          <w:p w:rsidRPr="001C203D" w:rsidR="007C726E" w:rsidP="007C726E" w:rsidRDefault="007C726E" w14:paraId="543B4E9D" w14:textId="77777777">
            <w:pPr>
              <w:pStyle w:val="BodyText"/>
              <w:rPr>
                <w:rFonts w:asciiTheme="minorHAnsi" w:hAnsiTheme="minorHAnsi"/>
                <w:sz w:val="20"/>
              </w:rPr>
            </w:pPr>
            <w:r w:rsidRPr="001C203D">
              <w:rPr>
                <w:rFonts w:asciiTheme="minorHAnsi" w:hAnsiTheme="minorHAnsi"/>
                <w:sz w:val="20"/>
              </w:rPr>
              <w:t>PO: 0.6</w:t>
            </w:r>
            <w:r>
              <w:rPr>
                <w:rFonts w:asciiTheme="minorHAnsi" w:hAnsiTheme="minorHAnsi"/>
                <w:sz w:val="20"/>
              </w:rPr>
              <w:t>–</w:t>
            </w:r>
            <w:r w:rsidRPr="001C203D">
              <w:rPr>
                <w:rFonts w:asciiTheme="minorHAnsi" w:hAnsiTheme="minorHAnsi"/>
                <w:sz w:val="20"/>
              </w:rPr>
              <w:t>1.2 mg/kg/dose daily</w:t>
            </w:r>
          </w:p>
        </w:tc>
      </w:tr>
      <w:tr w:rsidRPr="001C203D" w:rsidR="007C726E" w:rsidTr="008A71EB" w14:paraId="2FEAD801" w14:textId="77777777">
        <w:trPr>
          <w:gridBefore w:val="1"/>
          <w:wBefore w:w="16" w:type="pct"/>
          <w:trHeight w:val="273"/>
        </w:trPr>
        <w:tc>
          <w:tcPr>
            <w:tcW w:w="1102" w:type="pct"/>
            <w:gridSpan w:val="2"/>
          </w:tcPr>
          <w:p w:rsidRPr="001C203D" w:rsidR="007C726E" w:rsidP="007C726E" w:rsidRDefault="007C726E" w14:paraId="7A138952" w14:textId="77777777">
            <w:pPr>
              <w:pStyle w:val="BodyText"/>
              <w:rPr>
                <w:rFonts w:asciiTheme="minorHAnsi" w:hAnsiTheme="minorHAnsi"/>
                <w:b/>
                <w:sz w:val="20"/>
              </w:rPr>
            </w:pPr>
            <w:r w:rsidRPr="001C203D">
              <w:rPr>
                <w:rFonts w:asciiTheme="minorHAnsi" w:hAnsiTheme="minorHAnsi"/>
                <w:b/>
                <w:sz w:val="20"/>
              </w:rPr>
              <w:t>Maximum daily dose</w:t>
            </w:r>
          </w:p>
        </w:tc>
        <w:tc>
          <w:tcPr>
            <w:tcW w:w="3882" w:type="pct"/>
            <w:gridSpan w:val="5"/>
          </w:tcPr>
          <w:p w:rsidRPr="001C203D" w:rsidR="007C726E" w:rsidP="007C726E" w:rsidRDefault="007C726E" w14:paraId="5A8809BF" w14:textId="77777777">
            <w:pPr>
              <w:pStyle w:val="BodyText"/>
              <w:rPr>
                <w:rFonts w:asciiTheme="minorHAnsi" w:hAnsiTheme="minorHAnsi"/>
                <w:sz w:val="20"/>
              </w:rPr>
            </w:pPr>
          </w:p>
        </w:tc>
      </w:tr>
      <w:tr w:rsidRPr="001C203D" w:rsidR="007C726E" w:rsidTr="008A71EB" w14:paraId="1ABA087D" w14:textId="77777777">
        <w:trPr>
          <w:gridBefore w:val="1"/>
          <w:wBefore w:w="16" w:type="pct"/>
          <w:trHeight w:val="263"/>
        </w:trPr>
        <w:tc>
          <w:tcPr>
            <w:tcW w:w="1102" w:type="pct"/>
            <w:gridSpan w:val="2"/>
          </w:tcPr>
          <w:p w:rsidRPr="001C203D" w:rsidR="007C726E" w:rsidP="007C726E" w:rsidRDefault="007C726E" w14:paraId="5F6D5C41" w14:textId="77777777">
            <w:pPr>
              <w:pStyle w:val="BodyText"/>
              <w:rPr>
                <w:rFonts w:cs="Arial" w:asciiTheme="minorHAnsi" w:hAnsiTheme="minorHAnsi"/>
                <w:b/>
                <w:bCs/>
                <w:sz w:val="20"/>
              </w:rPr>
            </w:pPr>
            <w:r w:rsidRPr="001C203D">
              <w:rPr>
                <w:rFonts w:cs="Arial" w:asciiTheme="minorHAnsi" w:hAnsiTheme="minorHAnsi"/>
                <w:b/>
                <w:bCs/>
                <w:sz w:val="20"/>
              </w:rPr>
              <w:t xml:space="preserve">Route     </w:t>
            </w:r>
          </w:p>
        </w:tc>
        <w:tc>
          <w:tcPr>
            <w:tcW w:w="3882" w:type="pct"/>
            <w:gridSpan w:val="5"/>
          </w:tcPr>
          <w:p w:rsidRPr="001C203D" w:rsidR="007C726E" w:rsidP="007C726E" w:rsidRDefault="007C726E" w14:paraId="017904CE" w14:textId="77777777">
            <w:pPr>
              <w:pStyle w:val="BodyText"/>
              <w:rPr>
                <w:rFonts w:cs="Arial" w:asciiTheme="minorHAnsi" w:hAnsiTheme="minorHAnsi"/>
                <w:sz w:val="20"/>
              </w:rPr>
            </w:pPr>
            <w:r w:rsidRPr="001C203D">
              <w:rPr>
                <w:rFonts w:cs="Arial" w:asciiTheme="minorHAnsi" w:hAnsiTheme="minorHAnsi"/>
                <w:sz w:val="20"/>
              </w:rPr>
              <w:t>IV, PO</w:t>
            </w:r>
          </w:p>
        </w:tc>
      </w:tr>
      <w:tr w:rsidRPr="001C203D" w:rsidR="007C726E" w:rsidTr="008A71EB" w14:paraId="5BD9D2D6" w14:textId="77777777">
        <w:trPr>
          <w:gridBefore w:val="1"/>
          <w:wBefore w:w="16" w:type="pct"/>
          <w:trHeight w:val="482"/>
        </w:trPr>
        <w:tc>
          <w:tcPr>
            <w:tcW w:w="1102" w:type="pct"/>
            <w:gridSpan w:val="2"/>
          </w:tcPr>
          <w:p w:rsidRPr="001C203D" w:rsidR="007C726E" w:rsidP="77BEE3D0" w:rsidRDefault="007C726E" w14:paraId="6C369C04" w14:textId="29CD9310">
            <w:pPr>
              <w:pStyle w:val="BodyText"/>
              <w:rPr>
                <w:rFonts w:cs="Arial" w:asciiTheme="minorHAnsi" w:hAnsiTheme="minorHAnsi"/>
                <w:b/>
                <w:bCs/>
                <w:sz w:val="20"/>
                <w:highlight w:val="cyan"/>
              </w:rPr>
            </w:pPr>
            <w:r w:rsidRPr="77BEE3D0">
              <w:rPr>
                <w:rFonts w:cs="Arial" w:asciiTheme="minorHAnsi" w:hAnsiTheme="minorHAnsi"/>
                <w:b/>
                <w:bCs/>
                <w:sz w:val="20"/>
              </w:rPr>
              <w:t xml:space="preserve">Preparation/Dilution </w:t>
            </w:r>
          </w:p>
        </w:tc>
        <w:tc>
          <w:tcPr>
            <w:tcW w:w="3882" w:type="pct"/>
            <w:gridSpan w:val="5"/>
          </w:tcPr>
          <w:p w:rsidRPr="001C203D" w:rsidR="007C726E" w:rsidP="007C726E" w:rsidRDefault="007C726E" w14:paraId="060C2D3C" w14:textId="77777777">
            <w:pPr>
              <w:pStyle w:val="BodyText"/>
              <w:rPr>
                <w:rFonts w:cs="Arial" w:asciiTheme="minorHAnsi" w:hAnsiTheme="minorHAnsi"/>
                <w:sz w:val="20"/>
              </w:rPr>
            </w:pPr>
            <w:r w:rsidRPr="001C203D">
              <w:rPr>
                <w:rFonts w:cs="Arial" w:asciiTheme="minorHAnsi" w:hAnsiTheme="minorHAnsi"/>
                <w:sz w:val="20"/>
              </w:rPr>
              <w:t>A) IV infusion option: Add 10</w:t>
            </w:r>
            <w:r>
              <w:rPr>
                <w:rFonts w:cs="Arial" w:asciiTheme="minorHAnsi" w:hAnsiTheme="minorHAnsi"/>
                <w:sz w:val="20"/>
              </w:rPr>
              <w:t xml:space="preserve"> </w:t>
            </w:r>
            <w:r w:rsidRPr="001C203D">
              <w:rPr>
                <w:rFonts w:cs="Arial" w:asciiTheme="minorHAnsi" w:hAnsiTheme="minorHAnsi"/>
                <w:sz w:val="20"/>
              </w:rPr>
              <w:t>mL of sodium chloride 0.9% to 40</w:t>
            </w:r>
            <w:r>
              <w:rPr>
                <w:rFonts w:cs="Arial" w:asciiTheme="minorHAnsi" w:hAnsiTheme="minorHAnsi"/>
                <w:sz w:val="20"/>
              </w:rPr>
              <w:t xml:space="preserve"> </w:t>
            </w:r>
            <w:r w:rsidRPr="001C203D">
              <w:rPr>
                <w:rFonts w:cs="Arial" w:asciiTheme="minorHAnsi" w:hAnsiTheme="minorHAnsi"/>
                <w:sz w:val="20"/>
              </w:rPr>
              <w:t>mg powder for reconstitution to make a volume of 10</w:t>
            </w:r>
            <w:r>
              <w:rPr>
                <w:rFonts w:cs="Arial" w:asciiTheme="minorHAnsi" w:hAnsiTheme="minorHAnsi"/>
                <w:sz w:val="20"/>
              </w:rPr>
              <w:t xml:space="preserve"> </w:t>
            </w:r>
            <w:r w:rsidRPr="001C203D">
              <w:rPr>
                <w:rFonts w:cs="Arial" w:asciiTheme="minorHAnsi" w:hAnsiTheme="minorHAnsi"/>
                <w:sz w:val="20"/>
              </w:rPr>
              <w:t>mL with a concentration of 4</w:t>
            </w:r>
            <w:r>
              <w:rPr>
                <w:rFonts w:cs="Arial" w:asciiTheme="minorHAnsi" w:hAnsiTheme="minorHAnsi"/>
                <w:sz w:val="20"/>
              </w:rPr>
              <w:t xml:space="preserve"> </w:t>
            </w:r>
            <w:r w:rsidRPr="001C203D">
              <w:rPr>
                <w:rFonts w:cs="Arial" w:asciiTheme="minorHAnsi" w:hAnsiTheme="minorHAnsi"/>
                <w:sz w:val="20"/>
              </w:rPr>
              <w:t>mg/mL.</w:t>
            </w:r>
          </w:p>
          <w:p w:rsidRPr="001C203D" w:rsidR="007C726E" w:rsidP="007C726E" w:rsidRDefault="007C726E" w14:paraId="1C2FF9F1" w14:textId="77777777">
            <w:pPr>
              <w:pStyle w:val="BodyText"/>
              <w:rPr>
                <w:rFonts w:cs="Arial" w:asciiTheme="minorHAnsi" w:hAnsiTheme="minorHAnsi"/>
                <w:sz w:val="20"/>
              </w:rPr>
            </w:pPr>
            <w:r w:rsidRPr="001C203D">
              <w:rPr>
                <w:rFonts w:cs="Arial" w:asciiTheme="minorHAnsi" w:hAnsiTheme="minorHAnsi"/>
                <w:sz w:val="20"/>
              </w:rPr>
              <w:t>Draw up 1</w:t>
            </w:r>
            <w:r>
              <w:rPr>
                <w:rFonts w:cs="Arial" w:asciiTheme="minorHAnsi" w:hAnsiTheme="minorHAnsi"/>
                <w:sz w:val="20"/>
              </w:rPr>
              <w:t xml:space="preserve"> </w:t>
            </w:r>
            <w:r w:rsidRPr="001C203D">
              <w:rPr>
                <w:rFonts w:cs="Arial" w:asciiTheme="minorHAnsi" w:hAnsiTheme="minorHAnsi"/>
                <w:sz w:val="20"/>
              </w:rPr>
              <w:t>mL (4</w:t>
            </w:r>
            <w:r>
              <w:rPr>
                <w:rFonts w:cs="Arial" w:asciiTheme="minorHAnsi" w:hAnsiTheme="minorHAnsi"/>
                <w:sz w:val="20"/>
              </w:rPr>
              <w:t xml:space="preserve"> </w:t>
            </w:r>
            <w:r w:rsidRPr="001C203D">
              <w:rPr>
                <w:rFonts w:cs="Arial" w:asciiTheme="minorHAnsi" w:hAnsiTheme="minorHAnsi"/>
                <w:sz w:val="20"/>
              </w:rPr>
              <w:t>mg) and add 9</w:t>
            </w:r>
            <w:r>
              <w:rPr>
                <w:rFonts w:cs="Arial" w:asciiTheme="minorHAnsi" w:hAnsiTheme="minorHAnsi"/>
                <w:sz w:val="20"/>
              </w:rPr>
              <w:t xml:space="preserve"> </w:t>
            </w:r>
            <w:r w:rsidRPr="001C203D">
              <w:rPr>
                <w:rFonts w:cs="Arial" w:asciiTheme="minorHAnsi" w:hAnsiTheme="minorHAnsi"/>
                <w:sz w:val="20"/>
              </w:rPr>
              <w:t>mL of sodium chloride 0.9% to make a final volume of 10</w:t>
            </w:r>
            <w:r>
              <w:rPr>
                <w:rFonts w:cs="Arial" w:asciiTheme="minorHAnsi" w:hAnsiTheme="minorHAnsi"/>
                <w:sz w:val="20"/>
              </w:rPr>
              <w:t xml:space="preserve"> </w:t>
            </w:r>
            <w:r w:rsidRPr="001C203D">
              <w:rPr>
                <w:rFonts w:cs="Arial" w:asciiTheme="minorHAnsi" w:hAnsiTheme="minorHAnsi"/>
                <w:sz w:val="20"/>
              </w:rPr>
              <w:t>mL with a concentration of 0.4</w:t>
            </w:r>
            <w:r>
              <w:rPr>
                <w:rFonts w:cs="Arial" w:asciiTheme="minorHAnsi" w:hAnsiTheme="minorHAnsi"/>
                <w:sz w:val="20"/>
              </w:rPr>
              <w:t xml:space="preserve"> </w:t>
            </w:r>
            <w:r w:rsidRPr="001C203D">
              <w:rPr>
                <w:rFonts w:cs="Arial" w:asciiTheme="minorHAnsi" w:hAnsiTheme="minorHAnsi"/>
                <w:sz w:val="20"/>
              </w:rPr>
              <w:t>mg/mL.</w:t>
            </w:r>
          </w:p>
          <w:p w:rsidRPr="001C203D" w:rsidR="007C726E" w:rsidP="007C726E" w:rsidRDefault="007C726E" w14:paraId="77944D4B" w14:textId="77777777">
            <w:pPr>
              <w:pStyle w:val="BodyText"/>
              <w:rPr>
                <w:rFonts w:cs="Arial" w:asciiTheme="minorHAnsi" w:hAnsiTheme="minorHAnsi"/>
                <w:sz w:val="20"/>
              </w:rPr>
            </w:pPr>
          </w:p>
          <w:p w:rsidRPr="001C203D" w:rsidR="007C726E" w:rsidP="007C726E" w:rsidRDefault="007C726E" w14:paraId="0F661FAC" w14:textId="77777777">
            <w:pPr>
              <w:pStyle w:val="BodyText"/>
              <w:rPr>
                <w:rFonts w:cs="Arial" w:asciiTheme="minorHAnsi" w:hAnsiTheme="minorHAnsi"/>
                <w:sz w:val="20"/>
              </w:rPr>
            </w:pPr>
            <w:r w:rsidRPr="001C203D">
              <w:rPr>
                <w:rFonts w:cs="Arial" w:asciiTheme="minorHAnsi" w:hAnsiTheme="minorHAnsi"/>
                <w:sz w:val="20"/>
              </w:rPr>
              <w:t>B) IV push option: Add 10</w:t>
            </w:r>
            <w:r>
              <w:rPr>
                <w:rFonts w:cs="Arial" w:asciiTheme="minorHAnsi" w:hAnsiTheme="minorHAnsi"/>
                <w:sz w:val="20"/>
              </w:rPr>
              <w:t xml:space="preserve"> </w:t>
            </w:r>
            <w:r w:rsidRPr="001C203D">
              <w:rPr>
                <w:rFonts w:cs="Arial" w:asciiTheme="minorHAnsi" w:hAnsiTheme="minorHAnsi"/>
                <w:sz w:val="20"/>
              </w:rPr>
              <w:t>mL of sodium chloride 0.9% to 40</w:t>
            </w:r>
            <w:r>
              <w:rPr>
                <w:rFonts w:cs="Arial" w:asciiTheme="minorHAnsi" w:hAnsiTheme="minorHAnsi"/>
                <w:sz w:val="20"/>
              </w:rPr>
              <w:t xml:space="preserve"> </w:t>
            </w:r>
            <w:r w:rsidRPr="001C203D">
              <w:rPr>
                <w:rFonts w:cs="Arial" w:asciiTheme="minorHAnsi" w:hAnsiTheme="minorHAnsi"/>
                <w:sz w:val="20"/>
              </w:rPr>
              <w:t>mg powder for reconstitution to make a volume of 10</w:t>
            </w:r>
            <w:r>
              <w:rPr>
                <w:rFonts w:cs="Arial" w:asciiTheme="minorHAnsi" w:hAnsiTheme="minorHAnsi"/>
                <w:sz w:val="20"/>
              </w:rPr>
              <w:t xml:space="preserve"> </w:t>
            </w:r>
            <w:r w:rsidRPr="001C203D">
              <w:rPr>
                <w:rFonts w:cs="Arial" w:asciiTheme="minorHAnsi" w:hAnsiTheme="minorHAnsi"/>
                <w:sz w:val="20"/>
              </w:rPr>
              <w:t>mL with a concentration of 4</w:t>
            </w:r>
            <w:r>
              <w:rPr>
                <w:rFonts w:cs="Arial" w:asciiTheme="minorHAnsi" w:hAnsiTheme="minorHAnsi"/>
                <w:sz w:val="20"/>
              </w:rPr>
              <w:t xml:space="preserve"> </w:t>
            </w:r>
            <w:r w:rsidRPr="001C203D">
              <w:rPr>
                <w:rFonts w:cs="Arial" w:asciiTheme="minorHAnsi" w:hAnsiTheme="minorHAnsi"/>
                <w:sz w:val="20"/>
              </w:rPr>
              <w:t>mg/mL</w:t>
            </w:r>
          </w:p>
        </w:tc>
      </w:tr>
      <w:tr w:rsidRPr="001C203D" w:rsidR="007C726E" w:rsidTr="008A71EB" w14:paraId="25178986" w14:textId="77777777">
        <w:trPr>
          <w:gridBefore w:val="1"/>
          <w:wBefore w:w="16" w:type="pct"/>
          <w:trHeight w:val="235"/>
        </w:trPr>
        <w:tc>
          <w:tcPr>
            <w:tcW w:w="1102" w:type="pct"/>
            <w:gridSpan w:val="2"/>
          </w:tcPr>
          <w:p w:rsidRPr="001C203D" w:rsidR="007C726E" w:rsidP="007C726E" w:rsidRDefault="007C726E" w14:paraId="4E7A5546" w14:textId="77777777">
            <w:pPr>
              <w:pStyle w:val="BodyText"/>
              <w:rPr>
                <w:rFonts w:cs="Arial" w:asciiTheme="minorHAnsi" w:hAnsiTheme="minorHAnsi"/>
                <w:b/>
                <w:bCs/>
                <w:sz w:val="20"/>
              </w:rPr>
            </w:pPr>
            <w:r w:rsidRPr="001C203D">
              <w:rPr>
                <w:rFonts w:cs="Arial" w:asciiTheme="minorHAnsi" w:hAnsiTheme="minorHAnsi"/>
                <w:b/>
                <w:bCs/>
                <w:sz w:val="20"/>
              </w:rPr>
              <w:t xml:space="preserve">Administration                 </w:t>
            </w:r>
          </w:p>
        </w:tc>
        <w:tc>
          <w:tcPr>
            <w:tcW w:w="3882" w:type="pct"/>
            <w:gridSpan w:val="5"/>
          </w:tcPr>
          <w:p w:rsidRPr="001C203D" w:rsidR="007C726E" w:rsidP="007C726E" w:rsidRDefault="007C726E" w14:paraId="46265019" w14:textId="77777777">
            <w:pPr>
              <w:pStyle w:val="BodyText"/>
              <w:rPr>
                <w:rFonts w:cs="Arial" w:asciiTheme="minorHAnsi" w:hAnsiTheme="minorHAnsi"/>
                <w:sz w:val="20"/>
              </w:rPr>
            </w:pPr>
            <w:r w:rsidRPr="001C203D">
              <w:rPr>
                <w:rFonts w:cs="Arial" w:asciiTheme="minorHAnsi" w:hAnsiTheme="minorHAnsi"/>
                <w:sz w:val="20"/>
              </w:rPr>
              <w:t xml:space="preserve">IV: </w:t>
            </w:r>
          </w:p>
          <w:p w:rsidRPr="001C203D" w:rsidR="007C726E" w:rsidP="007C726E" w:rsidRDefault="007C726E" w14:paraId="46DB979D" w14:textId="77777777">
            <w:pPr>
              <w:pStyle w:val="BodyText"/>
              <w:ind w:left="720"/>
              <w:rPr>
                <w:rFonts w:cs="Arial" w:asciiTheme="minorHAnsi" w:hAnsiTheme="minorHAnsi"/>
                <w:sz w:val="20"/>
              </w:rPr>
            </w:pPr>
            <w:r w:rsidRPr="001C203D">
              <w:rPr>
                <w:rFonts w:cs="Arial" w:asciiTheme="minorHAnsi" w:hAnsiTheme="minorHAnsi"/>
                <w:sz w:val="20"/>
              </w:rPr>
              <w:t xml:space="preserve">IV infusion </w:t>
            </w:r>
            <w:r>
              <w:rPr>
                <w:rFonts w:cs="Arial" w:asciiTheme="minorHAnsi" w:hAnsiTheme="minorHAnsi"/>
                <w:sz w:val="20"/>
              </w:rPr>
              <w:t>—</w:t>
            </w:r>
            <w:r w:rsidRPr="001C203D">
              <w:rPr>
                <w:rFonts w:cs="Arial" w:asciiTheme="minorHAnsi" w:hAnsiTheme="minorHAnsi"/>
                <w:sz w:val="20"/>
              </w:rPr>
              <w:t xml:space="preserve"> over 15 min</w:t>
            </w:r>
          </w:p>
          <w:p w:rsidRPr="001C203D" w:rsidR="007C726E" w:rsidP="007C726E" w:rsidRDefault="007C726E" w14:paraId="71543547" w14:textId="77777777">
            <w:pPr>
              <w:pStyle w:val="BodyText"/>
              <w:ind w:left="720"/>
              <w:rPr>
                <w:rFonts w:cs="Arial" w:asciiTheme="minorHAnsi" w:hAnsiTheme="minorHAnsi"/>
                <w:sz w:val="20"/>
              </w:rPr>
            </w:pPr>
            <w:r w:rsidRPr="001C203D">
              <w:rPr>
                <w:rFonts w:cs="Arial" w:asciiTheme="minorHAnsi" w:hAnsiTheme="minorHAnsi"/>
                <w:sz w:val="20"/>
              </w:rPr>
              <w:t xml:space="preserve">IV push </w:t>
            </w:r>
            <w:r>
              <w:rPr>
                <w:rFonts w:cs="Arial" w:asciiTheme="minorHAnsi" w:hAnsiTheme="minorHAnsi"/>
                <w:sz w:val="20"/>
              </w:rPr>
              <w:t>—</w:t>
            </w:r>
            <w:r w:rsidRPr="001C203D">
              <w:rPr>
                <w:rFonts w:cs="Arial" w:asciiTheme="minorHAnsi" w:hAnsiTheme="minorHAnsi"/>
                <w:sz w:val="20"/>
              </w:rPr>
              <w:t xml:space="preserve"> over at least 2 minutes.</w:t>
            </w:r>
          </w:p>
          <w:p w:rsidRPr="001C203D" w:rsidR="007C726E" w:rsidP="007C726E" w:rsidRDefault="007C726E" w14:paraId="468CDD6D" w14:textId="77777777">
            <w:pPr>
              <w:pStyle w:val="BodyText"/>
              <w:rPr>
                <w:rFonts w:cs="Arial" w:asciiTheme="minorHAnsi" w:hAnsiTheme="minorHAnsi"/>
                <w:sz w:val="20"/>
              </w:rPr>
            </w:pPr>
            <w:r w:rsidRPr="001C203D">
              <w:rPr>
                <w:rFonts w:cs="Arial" w:asciiTheme="minorHAnsi" w:hAnsiTheme="minorHAnsi"/>
                <w:sz w:val="20"/>
              </w:rPr>
              <w:t>PO: Give ½ hour before feed. Shake well before use.</w:t>
            </w:r>
          </w:p>
        </w:tc>
      </w:tr>
      <w:tr w:rsidRPr="001C203D" w:rsidR="007C726E" w:rsidTr="008A71EB" w14:paraId="37BC4B5D" w14:textId="77777777">
        <w:trPr>
          <w:gridBefore w:val="1"/>
          <w:wBefore w:w="16" w:type="pct"/>
          <w:trHeight w:val="221"/>
        </w:trPr>
        <w:tc>
          <w:tcPr>
            <w:tcW w:w="1102" w:type="pct"/>
            <w:gridSpan w:val="2"/>
          </w:tcPr>
          <w:p w:rsidRPr="001C203D" w:rsidR="007C726E" w:rsidP="007C726E" w:rsidRDefault="007C726E" w14:paraId="130394E0" w14:textId="77777777">
            <w:pPr>
              <w:pStyle w:val="BodyText"/>
              <w:rPr>
                <w:rFonts w:cs="Arial" w:asciiTheme="minorHAnsi" w:hAnsiTheme="minorHAnsi"/>
                <w:b/>
                <w:bCs/>
                <w:sz w:val="20"/>
              </w:rPr>
            </w:pPr>
            <w:r w:rsidRPr="001C203D">
              <w:rPr>
                <w:rFonts w:cs="Arial" w:asciiTheme="minorHAnsi" w:hAnsiTheme="minorHAnsi"/>
                <w:b/>
                <w:bCs/>
                <w:sz w:val="20"/>
              </w:rPr>
              <w:t xml:space="preserve">Monitoring                              </w:t>
            </w:r>
          </w:p>
          <w:p w:rsidRPr="001C203D" w:rsidR="007C726E" w:rsidP="007C726E" w:rsidRDefault="007C726E" w14:paraId="0B731BE3" w14:textId="77777777">
            <w:pPr>
              <w:pStyle w:val="BodyText"/>
              <w:rPr>
                <w:rFonts w:cs="Arial" w:asciiTheme="minorHAnsi" w:hAnsiTheme="minorHAnsi"/>
                <w:sz w:val="20"/>
              </w:rPr>
            </w:pPr>
          </w:p>
        </w:tc>
        <w:tc>
          <w:tcPr>
            <w:tcW w:w="3882" w:type="pct"/>
            <w:gridSpan w:val="5"/>
          </w:tcPr>
          <w:p w:rsidRPr="001C203D" w:rsidR="007C726E" w:rsidP="007C726E" w:rsidRDefault="007C726E" w14:paraId="5A018404" w14:textId="77777777">
            <w:pPr>
              <w:pStyle w:val="BodyText"/>
              <w:rPr>
                <w:rFonts w:cs="Arial" w:asciiTheme="minorHAnsi" w:hAnsiTheme="minorHAnsi"/>
                <w:sz w:val="20"/>
              </w:rPr>
            </w:pPr>
            <w:r w:rsidRPr="001C203D">
              <w:rPr>
                <w:rFonts w:cs="Arial" w:asciiTheme="minorHAnsi" w:hAnsiTheme="minorHAnsi"/>
                <w:sz w:val="20"/>
              </w:rPr>
              <w:t>Serum magnesium periodically during prolonged therapy.</w:t>
            </w:r>
          </w:p>
          <w:p w:rsidRPr="001C203D" w:rsidR="007C726E" w:rsidP="007C726E" w:rsidRDefault="007C726E" w14:paraId="07328245" w14:textId="77777777">
            <w:pPr>
              <w:pStyle w:val="BodyText"/>
              <w:rPr>
                <w:rFonts w:cs="Arial" w:asciiTheme="minorHAnsi" w:hAnsiTheme="minorHAnsi"/>
                <w:sz w:val="20"/>
              </w:rPr>
            </w:pPr>
            <w:r w:rsidRPr="001C203D">
              <w:rPr>
                <w:rFonts w:cs="Arial" w:asciiTheme="minorHAnsi" w:hAnsiTheme="minorHAnsi"/>
                <w:sz w:val="20"/>
              </w:rPr>
              <w:t xml:space="preserve">Consider transaminase levels </w:t>
            </w:r>
          </w:p>
        </w:tc>
      </w:tr>
      <w:tr w:rsidRPr="001C203D" w:rsidR="007C726E" w:rsidTr="008A71EB" w14:paraId="3118ACC5" w14:textId="77777777">
        <w:trPr>
          <w:gridBefore w:val="1"/>
          <w:wBefore w:w="16" w:type="pct"/>
          <w:trHeight w:val="342"/>
        </w:trPr>
        <w:tc>
          <w:tcPr>
            <w:tcW w:w="1102" w:type="pct"/>
            <w:gridSpan w:val="2"/>
          </w:tcPr>
          <w:p w:rsidRPr="001C203D" w:rsidR="007C726E" w:rsidP="007C726E" w:rsidRDefault="007C726E" w14:paraId="4DA3EE66" w14:textId="77777777">
            <w:pPr>
              <w:pStyle w:val="BodyText"/>
              <w:rPr>
                <w:rFonts w:cs="Arial" w:asciiTheme="minorHAnsi" w:hAnsiTheme="minorHAnsi"/>
                <w:b/>
                <w:bCs/>
                <w:sz w:val="20"/>
              </w:rPr>
            </w:pPr>
            <w:r w:rsidRPr="001C203D">
              <w:rPr>
                <w:rFonts w:cs="Arial" w:asciiTheme="minorHAnsi" w:hAnsiTheme="minorHAnsi"/>
                <w:b/>
                <w:bCs/>
                <w:sz w:val="20"/>
              </w:rPr>
              <w:t xml:space="preserve">Contraindications                        </w:t>
            </w:r>
          </w:p>
        </w:tc>
        <w:tc>
          <w:tcPr>
            <w:tcW w:w="3882" w:type="pct"/>
            <w:gridSpan w:val="5"/>
          </w:tcPr>
          <w:p w:rsidRPr="001C203D" w:rsidR="007C726E" w:rsidP="007C726E" w:rsidRDefault="007C726E" w14:paraId="24FDA110" w14:textId="77777777">
            <w:pPr>
              <w:pStyle w:val="BodyText"/>
              <w:rPr>
                <w:rFonts w:cs="Arial" w:asciiTheme="minorHAnsi" w:hAnsiTheme="minorHAnsi"/>
                <w:sz w:val="20"/>
              </w:rPr>
            </w:pPr>
            <w:r w:rsidRPr="001C203D">
              <w:rPr>
                <w:rFonts w:cs="Arial" w:asciiTheme="minorHAnsi" w:hAnsiTheme="minorHAnsi"/>
                <w:sz w:val="20"/>
              </w:rPr>
              <w:t>Liver disease.</w:t>
            </w:r>
          </w:p>
        </w:tc>
      </w:tr>
      <w:tr w:rsidRPr="001C203D" w:rsidR="007C726E" w:rsidTr="008A71EB" w14:paraId="357DF7E0" w14:textId="77777777">
        <w:trPr>
          <w:gridBefore w:val="1"/>
          <w:wBefore w:w="16" w:type="pct"/>
        </w:trPr>
        <w:tc>
          <w:tcPr>
            <w:tcW w:w="1102" w:type="pct"/>
            <w:gridSpan w:val="2"/>
          </w:tcPr>
          <w:p w:rsidRPr="001C203D" w:rsidR="007C726E" w:rsidP="007C726E" w:rsidRDefault="007C726E" w14:paraId="1AA8BFC2" w14:textId="77777777">
            <w:pPr>
              <w:pStyle w:val="BodyText"/>
              <w:rPr>
                <w:rFonts w:cs="Arial" w:asciiTheme="minorHAnsi" w:hAnsiTheme="minorHAnsi"/>
                <w:b/>
                <w:bCs/>
                <w:sz w:val="20"/>
              </w:rPr>
            </w:pPr>
            <w:r w:rsidRPr="001C203D">
              <w:rPr>
                <w:rFonts w:asciiTheme="minorHAnsi" w:hAnsiTheme="minorHAnsi"/>
                <w:sz w:val="20"/>
              </w:rPr>
              <w:br w:type="page"/>
            </w:r>
            <w:r w:rsidRPr="001C203D">
              <w:rPr>
                <w:rFonts w:cs="Arial" w:asciiTheme="minorHAnsi" w:hAnsiTheme="minorHAnsi"/>
                <w:b/>
                <w:bCs/>
                <w:sz w:val="20"/>
              </w:rPr>
              <w:t>Precautions</w:t>
            </w:r>
          </w:p>
        </w:tc>
        <w:tc>
          <w:tcPr>
            <w:tcW w:w="3882" w:type="pct"/>
            <w:gridSpan w:val="5"/>
          </w:tcPr>
          <w:p w:rsidRPr="001C203D" w:rsidR="007C726E" w:rsidP="007C726E" w:rsidRDefault="007C726E" w14:paraId="56D1462C" w14:textId="77777777">
            <w:pPr>
              <w:pStyle w:val="BodyText"/>
              <w:rPr>
                <w:rFonts w:cs="Arial" w:asciiTheme="minorHAnsi" w:hAnsiTheme="minorHAnsi"/>
                <w:sz w:val="20"/>
              </w:rPr>
            </w:pPr>
            <w:r w:rsidRPr="001C203D">
              <w:rPr>
                <w:rFonts w:cs="Arial" w:asciiTheme="minorHAnsi" w:hAnsiTheme="minorHAnsi"/>
                <w:sz w:val="20"/>
              </w:rPr>
              <w:t>Shor</w:t>
            </w:r>
            <w:r>
              <w:rPr>
                <w:rFonts w:cs="Arial" w:asciiTheme="minorHAnsi" w:hAnsiTheme="minorHAnsi"/>
                <w:sz w:val="20"/>
              </w:rPr>
              <w:t>t-</w:t>
            </w:r>
            <w:r w:rsidRPr="001C203D">
              <w:rPr>
                <w:rFonts w:cs="Arial" w:asciiTheme="minorHAnsi" w:hAnsiTheme="minorHAnsi"/>
                <w:sz w:val="20"/>
              </w:rPr>
              <w:t xml:space="preserve"> and long-term safety data in infants are limited but there have been several safety concerns with long term usage in adults. Current FDA’s maximum recommended duration of therapy of PPIs is up to 8 weeks.</w:t>
            </w:r>
          </w:p>
        </w:tc>
      </w:tr>
      <w:tr w:rsidRPr="001C203D" w:rsidR="007C726E" w:rsidTr="008A71EB" w14:paraId="6CB3FC68" w14:textId="77777777">
        <w:trPr>
          <w:gridBefore w:val="1"/>
          <w:wBefore w:w="16" w:type="pct"/>
          <w:trHeight w:val="276"/>
        </w:trPr>
        <w:tc>
          <w:tcPr>
            <w:tcW w:w="1102" w:type="pct"/>
            <w:gridSpan w:val="2"/>
          </w:tcPr>
          <w:p w:rsidRPr="001C203D" w:rsidR="007C726E" w:rsidP="007C726E" w:rsidRDefault="007C726E" w14:paraId="3C9B29D0" w14:textId="77777777">
            <w:pPr>
              <w:pStyle w:val="BodyText"/>
              <w:rPr>
                <w:rFonts w:cs="Arial" w:asciiTheme="minorHAnsi" w:hAnsiTheme="minorHAnsi"/>
                <w:b/>
                <w:bCs/>
                <w:sz w:val="20"/>
              </w:rPr>
            </w:pPr>
            <w:r w:rsidRPr="001C203D">
              <w:rPr>
                <w:rFonts w:cs="Arial" w:asciiTheme="minorHAnsi" w:hAnsiTheme="minorHAnsi"/>
                <w:b/>
                <w:bCs/>
                <w:sz w:val="20"/>
              </w:rPr>
              <w:t>Drug Interactions</w:t>
            </w:r>
          </w:p>
        </w:tc>
        <w:tc>
          <w:tcPr>
            <w:tcW w:w="3882" w:type="pct"/>
            <w:gridSpan w:val="5"/>
          </w:tcPr>
          <w:p w:rsidRPr="001C203D" w:rsidR="007C726E" w:rsidP="007C726E" w:rsidRDefault="007C726E" w14:paraId="279FD772" w14:textId="77777777">
            <w:pPr>
              <w:pStyle w:val="BodyText"/>
              <w:rPr>
                <w:rFonts w:cs="Arial" w:asciiTheme="minorHAnsi" w:hAnsiTheme="minorHAnsi"/>
                <w:sz w:val="20"/>
              </w:rPr>
            </w:pPr>
            <w:r w:rsidRPr="001C203D">
              <w:rPr>
                <w:rFonts w:cs="Arial" w:asciiTheme="minorHAnsi" w:hAnsiTheme="minorHAnsi"/>
                <w:sz w:val="20"/>
              </w:rPr>
              <w:t>Concurrent use of ketoconazole may result in decreased ketoconazole exposure.</w:t>
            </w:r>
          </w:p>
          <w:p w:rsidRPr="001C203D" w:rsidR="007C726E" w:rsidP="007C726E" w:rsidRDefault="007C726E" w14:paraId="3A1903CF" w14:textId="77777777">
            <w:pPr>
              <w:pStyle w:val="BodyText"/>
              <w:rPr>
                <w:rFonts w:cs="Arial" w:asciiTheme="minorHAnsi" w:hAnsiTheme="minorHAnsi"/>
                <w:sz w:val="20"/>
              </w:rPr>
            </w:pPr>
            <w:r w:rsidRPr="001C203D">
              <w:rPr>
                <w:rFonts w:cs="Arial" w:asciiTheme="minorHAnsi" w:hAnsiTheme="minorHAnsi"/>
                <w:sz w:val="20"/>
              </w:rPr>
              <w:t>Concurrent use of ampicillin may result in loss of ampicillin efficacy.</w:t>
            </w:r>
          </w:p>
        </w:tc>
      </w:tr>
      <w:tr w:rsidRPr="001C203D" w:rsidR="007C726E" w:rsidTr="008A71EB" w14:paraId="45D08ACA" w14:textId="77777777">
        <w:trPr>
          <w:gridBefore w:val="1"/>
          <w:wBefore w:w="16" w:type="pct"/>
          <w:trHeight w:val="416"/>
        </w:trPr>
        <w:tc>
          <w:tcPr>
            <w:tcW w:w="1102" w:type="pct"/>
            <w:gridSpan w:val="2"/>
          </w:tcPr>
          <w:p w:rsidRPr="001C203D" w:rsidR="007C726E" w:rsidP="007C726E" w:rsidRDefault="007C726E" w14:paraId="4FE70450" w14:textId="77777777">
            <w:pPr>
              <w:pStyle w:val="BodyText"/>
              <w:rPr>
                <w:rFonts w:cs="Arial" w:asciiTheme="minorHAnsi" w:hAnsiTheme="minorHAnsi"/>
                <w:b/>
                <w:bCs/>
                <w:sz w:val="20"/>
              </w:rPr>
            </w:pPr>
            <w:r w:rsidRPr="001C203D">
              <w:rPr>
                <w:rFonts w:cs="Arial" w:asciiTheme="minorHAnsi" w:hAnsiTheme="minorHAnsi"/>
                <w:b/>
                <w:bCs/>
                <w:sz w:val="20"/>
              </w:rPr>
              <w:t xml:space="preserve">Adverse Reactions         </w:t>
            </w:r>
          </w:p>
          <w:p w:rsidRPr="001C203D" w:rsidR="007C726E" w:rsidP="007C726E" w:rsidRDefault="007C726E" w14:paraId="6C9D4581" w14:textId="77777777">
            <w:pPr>
              <w:pStyle w:val="BodyText"/>
              <w:rPr>
                <w:rFonts w:cs="Arial" w:asciiTheme="minorHAnsi" w:hAnsiTheme="minorHAnsi"/>
                <w:b/>
                <w:bCs/>
                <w:sz w:val="20"/>
              </w:rPr>
            </w:pPr>
          </w:p>
        </w:tc>
        <w:tc>
          <w:tcPr>
            <w:tcW w:w="3882" w:type="pct"/>
            <w:gridSpan w:val="5"/>
          </w:tcPr>
          <w:p w:rsidRPr="008A71EB" w:rsidR="007C726E" w:rsidP="007C726E" w:rsidRDefault="007C726E" w14:paraId="68805AE6" w14:textId="77777777">
            <w:pPr>
              <w:pStyle w:val="BodyText"/>
              <w:rPr>
                <w:rFonts w:cs="Arial" w:asciiTheme="minorHAnsi" w:hAnsiTheme="minorHAnsi"/>
                <w:sz w:val="16"/>
                <w:szCs w:val="16"/>
              </w:rPr>
            </w:pPr>
            <w:r w:rsidRPr="008A71EB">
              <w:rPr>
                <w:rFonts w:cs="Arial" w:asciiTheme="minorHAnsi" w:hAnsiTheme="minorHAnsi"/>
                <w:sz w:val="16"/>
                <w:szCs w:val="16"/>
              </w:rPr>
              <w:t>Limited data available, though appears well tolerated and to have few side effects. Uncommon reports of nausea, vomiting and skin rash.</w:t>
            </w:r>
          </w:p>
          <w:p w:rsidRPr="008A71EB" w:rsidR="007C726E" w:rsidP="007C726E" w:rsidRDefault="007C726E" w14:paraId="1F2C1F45" w14:textId="77777777">
            <w:pPr>
              <w:pStyle w:val="BodyText"/>
              <w:rPr>
                <w:rFonts w:cs="Arial" w:asciiTheme="minorHAnsi" w:hAnsiTheme="minorHAnsi"/>
                <w:sz w:val="16"/>
                <w:szCs w:val="16"/>
              </w:rPr>
            </w:pPr>
            <w:r w:rsidRPr="008A71EB">
              <w:rPr>
                <w:rFonts w:cs="Arial" w:asciiTheme="minorHAnsi" w:hAnsiTheme="minorHAnsi"/>
                <w:sz w:val="16"/>
                <w:szCs w:val="16"/>
              </w:rPr>
              <w:t xml:space="preserve">Reported adverse events in adults: </w:t>
            </w:r>
          </w:p>
          <w:p w:rsidRPr="008A71EB" w:rsidR="007C726E" w:rsidP="007C726E" w:rsidRDefault="007C726E" w14:paraId="7AB85B40" w14:textId="77777777">
            <w:pPr>
              <w:pStyle w:val="BodyText"/>
              <w:rPr>
                <w:rFonts w:cs="Arial" w:asciiTheme="minorHAnsi" w:hAnsiTheme="minorHAnsi"/>
                <w:sz w:val="16"/>
                <w:szCs w:val="16"/>
              </w:rPr>
            </w:pPr>
            <w:r w:rsidRPr="008A71EB">
              <w:rPr>
                <w:rFonts w:cs="Arial" w:asciiTheme="minorHAnsi" w:hAnsiTheme="minorHAnsi"/>
                <w:sz w:val="16"/>
                <w:szCs w:val="16"/>
              </w:rPr>
              <w:t>Abdominal pain (3% ), diarrhea (4% ), flatulence (4% )</w:t>
            </w:r>
          </w:p>
          <w:p w:rsidRPr="008A71EB" w:rsidR="007C726E" w:rsidP="007C726E" w:rsidRDefault="007C726E" w14:paraId="0D91A781" w14:textId="77777777">
            <w:pPr>
              <w:pStyle w:val="BodyText"/>
              <w:rPr>
                <w:rFonts w:cs="Arial" w:asciiTheme="minorHAnsi" w:hAnsiTheme="minorHAnsi"/>
                <w:sz w:val="16"/>
                <w:szCs w:val="16"/>
              </w:rPr>
            </w:pPr>
            <w:r w:rsidRPr="008A71EB">
              <w:rPr>
                <w:rFonts w:cs="Arial" w:asciiTheme="minorHAnsi" w:hAnsiTheme="minorHAnsi"/>
                <w:sz w:val="16"/>
                <w:szCs w:val="16"/>
              </w:rPr>
              <w:t>Neurologic: Headache (5% )</w:t>
            </w:r>
          </w:p>
          <w:p w:rsidRPr="008A71EB" w:rsidR="007C726E" w:rsidP="007C726E" w:rsidRDefault="007C726E" w14:paraId="27D3C014" w14:textId="77777777">
            <w:pPr>
              <w:pStyle w:val="BodyText"/>
              <w:rPr>
                <w:rFonts w:cs="Arial" w:asciiTheme="minorHAnsi" w:hAnsiTheme="minorHAnsi"/>
                <w:sz w:val="16"/>
                <w:szCs w:val="16"/>
              </w:rPr>
            </w:pPr>
            <w:r w:rsidRPr="008A71EB">
              <w:rPr>
                <w:rFonts w:cs="Arial" w:asciiTheme="minorHAnsi" w:hAnsiTheme="minorHAnsi"/>
                <w:sz w:val="16"/>
                <w:szCs w:val="16"/>
              </w:rPr>
              <w:t xml:space="preserve">Atrophic gastritis, </w:t>
            </w:r>
            <w:r w:rsidRPr="008A71EB">
              <w:rPr>
                <w:rFonts w:cs="Arial" w:asciiTheme="minorHAnsi" w:hAnsiTheme="minorHAnsi"/>
                <w:i/>
                <w:sz w:val="16"/>
                <w:szCs w:val="16"/>
              </w:rPr>
              <w:t>Clostridium difficile</w:t>
            </w:r>
            <w:r w:rsidRPr="008A71EB">
              <w:rPr>
                <w:rFonts w:cs="Arial" w:asciiTheme="minorHAnsi" w:hAnsiTheme="minorHAnsi"/>
                <w:sz w:val="16"/>
                <w:szCs w:val="16"/>
              </w:rPr>
              <w:t xml:space="preserve"> diarrhea</w:t>
            </w:r>
          </w:p>
          <w:p w:rsidRPr="008A71EB" w:rsidR="007C726E" w:rsidP="007C726E" w:rsidRDefault="007C726E" w14:paraId="017C8C4C" w14:textId="77777777">
            <w:pPr>
              <w:pStyle w:val="BodyText"/>
              <w:rPr>
                <w:rFonts w:cs="Arial" w:asciiTheme="minorHAnsi" w:hAnsiTheme="minorHAnsi"/>
                <w:sz w:val="16"/>
                <w:szCs w:val="16"/>
              </w:rPr>
            </w:pPr>
            <w:r w:rsidRPr="008A71EB">
              <w:rPr>
                <w:rFonts w:cs="Arial" w:asciiTheme="minorHAnsi" w:hAnsiTheme="minorHAnsi"/>
                <w:sz w:val="16"/>
                <w:szCs w:val="16"/>
              </w:rPr>
              <w:t>Haematological: Thrombocytopenia (less than 1% )</w:t>
            </w:r>
          </w:p>
          <w:p w:rsidRPr="008A71EB" w:rsidR="007C726E" w:rsidP="007C726E" w:rsidRDefault="007C726E" w14:paraId="221EE899" w14:textId="77777777">
            <w:pPr>
              <w:pStyle w:val="BodyText"/>
              <w:rPr>
                <w:rFonts w:cs="Arial" w:asciiTheme="minorHAnsi" w:hAnsiTheme="minorHAnsi"/>
                <w:sz w:val="16"/>
                <w:szCs w:val="16"/>
              </w:rPr>
            </w:pPr>
            <w:r w:rsidRPr="008A71EB">
              <w:rPr>
                <w:rFonts w:cs="Arial" w:asciiTheme="minorHAnsi" w:hAnsiTheme="minorHAnsi"/>
                <w:sz w:val="16"/>
                <w:szCs w:val="16"/>
              </w:rPr>
              <w:t>Immunological: Stevens-Johnson syndrome, toxic epidermal necrolysis</w:t>
            </w:r>
          </w:p>
          <w:p w:rsidRPr="008A71EB" w:rsidR="007C726E" w:rsidP="007C726E" w:rsidRDefault="007C726E" w14:paraId="16CDF6C6" w14:textId="77777777">
            <w:pPr>
              <w:pStyle w:val="BodyText"/>
              <w:rPr>
                <w:rFonts w:cs="Arial" w:asciiTheme="minorHAnsi" w:hAnsiTheme="minorHAnsi"/>
                <w:sz w:val="16"/>
                <w:szCs w:val="16"/>
              </w:rPr>
            </w:pPr>
            <w:r w:rsidRPr="008A71EB">
              <w:rPr>
                <w:rFonts w:cs="Arial" w:asciiTheme="minorHAnsi" w:hAnsiTheme="minorHAnsi"/>
                <w:sz w:val="16"/>
                <w:szCs w:val="16"/>
              </w:rPr>
              <w:lastRenderedPageBreak/>
              <w:t>Musculoskeletal:, fracture of bone, osteoporosis-related hip fracture, rhabdomyolysis</w:t>
            </w:r>
          </w:p>
          <w:p w:rsidRPr="001C203D" w:rsidR="007C726E" w:rsidP="007C726E" w:rsidRDefault="007C726E" w14:paraId="7680C9F4" w14:textId="77777777">
            <w:pPr>
              <w:pStyle w:val="BodyText"/>
              <w:rPr>
                <w:rFonts w:cs="Arial" w:asciiTheme="minorHAnsi" w:hAnsiTheme="minorHAnsi"/>
                <w:sz w:val="20"/>
              </w:rPr>
            </w:pPr>
            <w:r w:rsidRPr="008A71EB">
              <w:rPr>
                <w:rFonts w:cs="Arial" w:asciiTheme="minorHAnsi" w:hAnsiTheme="minorHAnsi"/>
                <w:sz w:val="16"/>
                <w:szCs w:val="16"/>
              </w:rPr>
              <w:t>Renal: Interstitial nephritis, acute</w:t>
            </w:r>
          </w:p>
        </w:tc>
      </w:tr>
      <w:tr w:rsidRPr="001C203D" w:rsidR="007C726E" w:rsidTr="008A71EB" w14:paraId="2AB62CF6" w14:textId="77777777">
        <w:trPr>
          <w:gridBefore w:val="1"/>
          <w:wBefore w:w="16" w:type="pct"/>
          <w:trHeight w:val="396"/>
        </w:trPr>
        <w:tc>
          <w:tcPr>
            <w:tcW w:w="1102" w:type="pct"/>
            <w:gridSpan w:val="2"/>
          </w:tcPr>
          <w:p w:rsidRPr="001C203D" w:rsidR="007C726E" w:rsidP="007C726E" w:rsidRDefault="007C726E" w14:paraId="6C695440" w14:textId="77777777">
            <w:pPr>
              <w:pStyle w:val="BodyText"/>
              <w:rPr>
                <w:rFonts w:cs="Arial" w:asciiTheme="minorHAnsi" w:hAnsiTheme="minorHAnsi"/>
                <w:b/>
                <w:bCs/>
                <w:sz w:val="20"/>
              </w:rPr>
            </w:pPr>
            <w:r w:rsidRPr="001C203D">
              <w:rPr>
                <w:rFonts w:cs="Arial" w:asciiTheme="minorHAnsi" w:hAnsiTheme="minorHAnsi"/>
                <w:b/>
                <w:bCs/>
                <w:sz w:val="20"/>
              </w:rPr>
              <w:lastRenderedPageBreak/>
              <w:t>Compatibility</w:t>
            </w:r>
          </w:p>
        </w:tc>
        <w:tc>
          <w:tcPr>
            <w:tcW w:w="3882" w:type="pct"/>
            <w:gridSpan w:val="5"/>
          </w:tcPr>
          <w:p w:rsidRPr="008A71EB" w:rsidR="007C726E" w:rsidP="007C726E" w:rsidRDefault="007C726E" w14:paraId="1FD21888" w14:textId="77777777">
            <w:pPr>
              <w:pStyle w:val="BodyText"/>
              <w:rPr>
                <w:rFonts w:asciiTheme="minorHAnsi" w:hAnsiTheme="minorHAnsi"/>
                <w:sz w:val="16"/>
                <w:szCs w:val="16"/>
              </w:rPr>
            </w:pPr>
            <w:r w:rsidRPr="008A71EB">
              <w:rPr>
                <w:rFonts w:asciiTheme="minorHAnsi" w:hAnsiTheme="minorHAnsi"/>
                <w:sz w:val="16"/>
                <w:szCs w:val="16"/>
              </w:rPr>
              <w:t>Fluids: Glucose 5%, glucose 10%, sodium chloride 0.9%.</w:t>
            </w:r>
          </w:p>
          <w:p w:rsidRPr="008A71EB" w:rsidR="007C726E" w:rsidP="007C726E" w:rsidRDefault="007C726E" w14:paraId="5A03E7DB" w14:textId="77777777">
            <w:pPr>
              <w:pStyle w:val="BodyText"/>
              <w:rPr>
                <w:rFonts w:asciiTheme="minorHAnsi" w:hAnsiTheme="minorHAnsi"/>
                <w:sz w:val="16"/>
                <w:szCs w:val="16"/>
              </w:rPr>
            </w:pPr>
          </w:p>
          <w:p w:rsidRPr="008A71EB" w:rsidR="007C726E" w:rsidP="007C726E" w:rsidRDefault="007C726E" w14:paraId="62E29D37" w14:textId="77777777">
            <w:pPr>
              <w:pStyle w:val="BodyText"/>
              <w:rPr>
                <w:rFonts w:asciiTheme="minorHAnsi" w:hAnsiTheme="minorHAnsi"/>
                <w:sz w:val="16"/>
                <w:szCs w:val="16"/>
              </w:rPr>
            </w:pPr>
            <w:r w:rsidRPr="008A71EB">
              <w:rPr>
                <w:rFonts w:asciiTheme="minorHAnsi" w:hAnsiTheme="minorHAnsi"/>
                <w:sz w:val="16"/>
                <w:szCs w:val="16"/>
              </w:rPr>
              <w:t>Y site: Acetazolamide, alprostadil, aminophylline, amoxicillin sodium-clavulanate, amphotericin B phospholipid complex, amphotericin B liposomal, ampicillin, azithromycin, ceftriaxone, ganciclovir, imipenem-cilastatin, penicillin G, piperacillin, potassium chloride, theophylline, ticarcillin disodium, ticarcillin disodium-clavulanate, vasopressin, zidovudine.</w:t>
            </w:r>
          </w:p>
        </w:tc>
      </w:tr>
      <w:tr w:rsidRPr="001C203D" w:rsidR="007C726E" w:rsidTr="008A71EB" w14:paraId="1984E657" w14:textId="77777777">
        <w:trPr>
          <w:gridBefore w:val="1"/>
          <w:wBefore w:w="16" w:type="pct"/>
          <w:trHeight w:val="388"/>
        </w:trPr>
        <w:tc>
          <w:tcPr>
            <w:tcW w:w="1102" w:type="pct"/>
            <w:gridSpan w:val="2"/>
          </w:tcPr>
          <w:p w:rsidRPr="001C203D" w:rsidR="007C726E" w:rsidP="007C726E" w:rsidRDefault="007C726E" w14:paraId="29E79503" w14:textId="77777777">
            <w:pPr>
              <w:pStyle w:val="BodyText"/>
              <w:rPr>
                <w:rFonts w:cs="Arial" w:asciiTheme="minorHAnsi" w:hAnsiTheme="minorHAnsi"/>
                <w:b/>
                <w:bCs/>
                <w:sz w:val="20"/>
              </w:rPr>
            </w:pPr>
            <w:r w:rsidRPr="001C203D">
              <w:rPr>
                <w:rFonts w:cs="Arial" w:asciiTheme="minorHAnsi" w:hAnsiTheme="minorHAnsi"/>
                <w:b/>
                <w:bCs/>
                <w:sz w:val="20"/>
              </w:rPr>
              <w:t xml:space="preserve">Incompatibility      </w:t>
            </w:r>
          </w:p>
          <w:p w:rsidRPr="001C203D" w:rsidR="007C726E" w:rsidP="007C726E" w:rsidRDefault="007C726E" w14:paraId="344C5E0C" w14:textId="77777777">
            <w:pPr>
              <w:pStyle w:val="BodyText"/>
              <w:rPr>
                <w:rFonts w:cs="Arial" w:asciiTheme="minorHAnsi" w:hAnsiTheme="minorHAnsi"/>
                <w:b/>
                <w:bCs/>
                <w:sz w:val="20"/>
              </w:rPr>
            </w:pPr>
            <w:r w:rsidRPr="001C203D">
              <w:rPr>
                <w:rFonts w:cs="Arial" w:asciiTheme="minorHAnsi" w:hAnsiTheme="minorHAnsi"/>
                <w:b/>
                <w:bCs/>
                <w:sz w:val="20"/>
              </w:rPr>
              <w:t xml:space="preserve">               </w:t>
            </w:r>
            <w:r w:rsidRPr="001C203D">
              <w:rPr>
                <w:rFonts w:cs="Arial" w:asciiTheme="minorHAnsi" w:hAnsiTheme="minorHAnsi"/>
                <w:b/>
                <w:bCs/>
                <w:sz w:val="20"/>
              </w:rPr>
              <w:tab/>
            </w:r>
          </w:p>
        </w:tc>
        <w:tc>
          <w:tcPr>
            <w:tcW w:w="3882" w:type="pct"/>
            <w:gridSpan w:val="5"/>
          </w:tcPr>
          <w:p w:rsidRPr="008A71EB" w:rsidR="007C726E" w:rsidP="007C726E" w:rsidRDefault="007C726E" w14:paraId="70C0B08C" w14:textId="77777777">
            <w:pPr>
              <w:pStyle w:val="BodyText"/>
              <w:rPr>
                <w:rFonts w:cs="Arial" w:asciiTheme="minorHAnsi" w:hAnsiTheme="minorHAnsi"/>
                <w:sz w:val="16"/>
                <w:szCs w:val="16"/>
              </w:rPr>
            </w:pPr>
            <w:r w:rsidRPr="008A71EB">
              <w:rPr>
                <w:rFonts w:cs="Arial" w:asciiTheme="minorHAnsi" w:hAnsiTheme="minorHAnsi"/>
                <w:sz w:val="16"/>
                <w:szCs w:val="16"/>
              </w:rPr>
              <w:t>Fluids: Amino acid solutions and lipid emulsions.</w:t>
            </w:r>
          </w:p>
          <w:p w:rsidRPr="008A71EB" w:rsidR="007C726E" w:rsidP="007C726E" w:rsidRDefault="007C726E" w14:paraId="2B41E1EC" w14:textId="77777777">
            <w:pPr>
              <w:pStyle w:val="BodyText"/>
              <w:rPr>
                <w:rFonts w:cs="Arial" w:asciiTheme="minorHAnsi" w:hAnsiTheme="minorHAnsi"/>
                <w:sz w:val="16"/>
                <w:szCs w:val="16"/>
              </w:rPr>
            </w:pPr>
            <w:r w:rsidRPr="008A71EB">
              <w:rPr>
                <w:rFonts w:cs="Arial" w:asciiTheme="minorHAnsi" w:hAnsiTheme="minorHAnsi"/>
                <w:sz w:val="16"/>
                <w:szCs w:val="16"/>
              </w:rPr>
              <w:t>Y site: Atenolol, atracurium, atropine, caffeine citrate, calcium chloride, cefotaxime, dexamethasone, diazepam, dobutamine, ephedrine, fentanyl, fluconazole, hydralazine, indometacin, labetalol, lidocaine, meropenem, methylprednisolone, metronidazole, midazolam, milrinone, naloxone, pancuronium, phenytoin, propranolol, ranitidine, rocuronium, vecuronium</w:t>
            </w:r>
          </w:p>
        </w:tc>
      </w:tr>
      <w:tr w:rsidRPr="001C203D" w:rsidR="007C726E" w:rsidTr="008A71EB" w14:paraId="2CC7479A" w14:textId="77777777">
        <w:trPr>
          <w:gridBefore w:val="1"/>
          <w:wBefore w:w="16" w:type="pct"/>
          <w:trHeight w:val="531"/>
        </w:trPr>
        <w:tc>
          <w:tcPr>
            <w:tcW w:w="1102" w:type="pct"/>
            <w:gridSpan w:val="2"/>
          </w:tcPr>
          <w:p w:rsidRPr="001C203D" w:rsidR="007C726E" w:rsidP="007C726E" w:rsidRDefault="007C726E" w14:paraId="1A8555A6" w14:textId="77777777">
            <w:pPr>
              <w:pStyle w:val="BodyText"/>
              <w:rPr>
                <w:rFonts w:cs="Arial" w:asciiTheme="minorHAnsi" w:hAnsiTheme="minorHAnsi"/>
                <w:b/>
                <w:bCs/>
                <w:sz w:val="20"/>
              </w:rPr>
            </w:pPr>
            <w:r w:rsidRPr="001C203D">
              <w:rPr>
                <w:rFonts w:cs="Arial" w:asciiTheme="minorHAnsi" w:hAnsiTheme="minorHAnsi"/>
                <w:b/>
                <w:bCs/>
                <w:sz w:val="20"/>
              </w:rPr>
              <w:t xml:space="preserve">Stability        </w:t>
            </w:r>
          </w:p>
        </w:tc>
        <w:tc>
          <w:tcPr>
            <w:tcW w:w="3882" w:type="pct"/>
            <w:gridSpan w:val="5"/>
          </w:tcPr>
          <w:p w:rsidRPr="008A71EB" w:rsidR="007C726E" w:rsidP="007C726E" w:rsidRDefault="007C726E" w14:paraId="08338412" w14:textId="77777777">
            <w:pPr>
              <w:rPr>
                <w:rFonts w:cs="Arial" w:asciiTheme="minorHAnsi" w:hAnsiTheme="minorHAnsi"/>
                <w:sz w:val="16"/>
                <w:szCs w:val="16"/>
              </w:rPr>
            </w:pPr>
            <w:r w:rsidRPr="008A71EB">
              <w:rPr>
                <w:rFonts w:cs="Arial" w:asciiTheme="minorHAnsi" w:hAnsiTheme="minorHAnsi"/>
                <w:sz w:val="16"/>
                <w:szCs w:val="16"/>
              </w:rPr>
              <w:t>IV: Reconstituted solution is stable for 24 hours at 2 to 8</w:t>
            </w:r>
            <w:r w:rsidRPr="008A71EB">
              <w:rPr>
                <w:rFonts w:asciiTheme="minorHAnsi" w:hAnsiTheme="minorHAnsi" w:cstheme="minorHAnsi"/>
                <w:sz w:val="16"/>
                <w:szCs w:val="16"/>
              </w:rPr>
              <w:t>°</w:t>
            </w:r>
            <w:r w:rsidRPr="008A71EB">
              <w:rPr>
                <w:rFonts w:cs="Arial" w:asciiTheme="minorHAnsi" w:hAnsiTheme="minorHAnsi"/>
                <w:sz w:val="16"/>
                <w:szCs w:val="16"/>
              </w:rPr>
              <w:t>C. Diluted solutions must be used within 12 hours of preparation.</w:t>
            </w:r>
          </w:p>
          <w:p w:rsidRPr="008A71EB" w:rsidR="007C726E" w:rsidP="007C726E" w:rsidRDefault="007C726E" w14:paraId="3B5E53F2" w14:textId="77777777">
            <w:pPr>
              <w:rPr>
                <w:rFonts w:cs="Arial" w:asciiTheme="minorHAnsi" w:hAnsiTheme="minorHAnsi"/>
                <w:sz w:val="16"/>
                <w:szCs w:val="16"/>
              </w:rPr>
            </w:pPr>
            <w:r w:rsidRPr="008A71EB">
              <w:rPr>
                <w:rFonts w:cs="Arial" w:asciiTheme="minorHAnsi" w:hAnsiTheme="minorHAnsi"/>
                <w:sz w:val="16"/>
                <w:szCs w:val="16"/>
              </w:rPr>
              <w:t>Oral: 28 days shelf-life from date of manufacture.</w:t>
            </w:r>
          </w:p>
        </w:tc>
      </w:tr>
      <w:tr w:rsidRPr="001C203D" w:rsidR="007C726E" w:rsidTr="008A71EB" w14:paraId="682FEF28" w14:textId="77777777">
        <w:trPr>
          <w:gridBefore w:val="1"/>
          <w:wBefore w:w="16" w:type="pct"/>
          <w:trHeight w:val="371"/>
        </w:trPr>
        <w:tc>
          <w:tcPr>
            <w:tcW w:w="1102" w:type="pct"/>
            <w:gridSpan w:val="2"/>
          </w:tcPr>
          <w:p w:rsidRPr="001C203D" w:rsidR="007C726E" w:rsidP="007C726E" w:rsidRDefault="007C726E" w14:paraId="7412ACDE" w14:textId="77777777">
            <w:pPr>
              <w:pStyle w:val="BodyText"/>
              <w:rPr>
                <w:rFonts w:cs="Arial" w:asciiTheme="minorHAnsi" w:hAnsiTheme="minorHAnsi"/>
                <w:b/>
                <w:bCs/>
                <w:sz w:val="20"/>
              </w:rPr>
            </w:pPr>
            <w:r w:rsidRPr="001C203D">
              <w:rPr>
                <w:rFonts w:cs="Arial" w:asciiTheme="minorHAnsi" w:hAnsiTheme="minorHAnsi"/>
                <w:b/>
                <w:bCs/>
                <w:sz w:val="20"/>
              </w:rPr>
              <w:t xml:space="preserve">Storage             </w:t>
            </w:r>
          </w:p>
        </w:tc>
        <w:tc>
          <w:tcPr>
            <w:tcW w:w="3882" w:type="pct"/>
            <w:gridSpan w:val="5"/>
          </w:tcPr>
          <w:p w:rsidRPr="008A71EB" w:rsidR="007C726E" w:rsidP="007C726E" w:rsidRDefault="007C726E" w14:paraId="0B7EBD42" w14:textId="77777777">
            <w:pPr>
              <w:rPr>
                <w:rFonts w:cs="Arial" w:asciiTheme="minorHAnsi" w:hAnsiTheme="minorHAnsi"/>
                <w:sz w:val="16"/>
                <w:szCs w:val="16"/>
              </w:rPr>
            </w:pPr>
            <w:r w:rsidRPr="008A71EB">
              <w:rPr>
                <w:rFonts w:cs="Arial" w:asciiTheme="minorHAnsi" w:hAnsiTheme="minorHAnsi"/>
                <w:sz w:val="16"/>
                <w:szCs w:val="16"/>
              </w:rPr>
              <w:t>IV: Store below 25</w:t>
            </w:r>
            <w:r w:rsidRPr="008A71EB">
              <w:rPr>
                <w:rFonts w:asciiTheme="minorHAnsi" w:hAnsiTheme="minorHAnsi" w:cstheme="minorHAnsi"/>
                <w:sz w:val="16"/>
                <w:szCs w:val="16"/>
              </w:rPr>
              <w:t>°</w:t>
            </w:r>
            <w:r w:rsidRPr="008A71EB">
              <w:rPr>
                <w:rFonts w:cs="Arial" w:asciiTheme="minorHAnsi" w:hAnsiTheme="minorHAnsi"/>
                <w:sz w:val="16"/>
                <w:szCs w:val="16"/>
              </w:rPr>
              <w:t>C. Protect from light.</w:t>
            </w:r>
          </w:p>
          <w:p w:rsidRPr="008A71EB" w:rsidR="007C726E" w:rsidP="007C726E" w:rsidRDefault="007C726E" w14:paraId="182F4327" w14:textId="77777777">
            <w:pPr>
              <w:rPr>
                <w:rFonts w:cs="Arial" w:asciiTheme="minorHAnsi" w:hAnsiTheme="minorHAnsi"/>
                <w:sz w:val="16"/>
                <w:szCs w:val="16"/>
              </w:rPr>
            </w:pPr>
            <w:r w:rsidRPr="008A71EB">
              <w:rPr>
                <w:rFonts w:cs="Arial" w:asciiTheme="minorHAnsi" w:hAnsiTheme="minorHAnsi"/>
                <w:sz w:val="16"/>
                <w:szCs w:val="16"/>
              </w:rPr>
              <w:t>Oral: Store at 2–8</w:t>
            </w:r>
            <w:r w:rsidRPr="008A71EB">
              <w:rPr>
                <w:rFonts w:asciiTheme="minorHAnsi" w:hAnsiTheme="minorHAnsi" w:cstheme="minorHAnsi"/>
                <w:sz w:val="16"/>
                <w:szCs w:val="16"/>
              </w:rPr>
              <w:t>°</w:t>
            </w:r>
            <w:r w:rsidRPr="008A71EB">
              <w:rPr>
                <w:rFonts w:cs="Arial" w:asciiTheme="minorHAnsi" w:hAnsiTheme="minorHAnsi"/>
                <w:sz w:val="16"/>
                <w:szCs w:val="16"/>
              </w:rPr>
              <w:t>C. Protect from light.</w:t>
            </w:r>
          </w:p>
        </w:tc>
      </w:tr>
      <w:tr w:rsidRPr="001C203D" w:rsidR="007C726E" w:rsidTr="008A71EB" w14:paraId="78F4E2AE" w14:textId="77777777">
        <w:trPr>
          <w:gridBefore w:val="1"/>
          <w:wBefore w:w="16" w:type="pct"/>
          <w:trHeight w:val="395"/>
        </w:trPr>
        <w:tc>
          <w:tcPr>
            <w:tcW w:w="1102" w:type="pct"/>
            <w:gridSpan w:val="2"/>
          </w:tcPr>
          <w:p w:rsidRPr="001C203D" w:rsidR="007C726E" w:rsidP="007C726E" w:rsidRDefault="007C726E" w14:paraId="11F6B005" w14:textId="77777777">
            <w:pPr>
              <w:pStyle w:val="BodyText"/>
              <w:rPr>
                <w:rFonts w:cs="Arial" w:asciiTheme="minorHAnsi" w:hAnsiTheme="minorHAnsi"/>
                <w:b/>
                <w:bCs/>
                <w:sz w:val="20"/>
              </w:rPr>
            </w:pPr>
            <w:r w:rsidRPr="001C203D">
              <w:rPr>
                <w:rFonts w:cs="Arial" w:asciiTheme="minorHAnsi" w:hAnsiTheme="minorHAnsi"/>
                <w:b/>
                <w:bCs/>
                <w:sz w:val="20"/>
              </w:rPr>
              <w:t xml:space="preserve">Special Comments </w:t>
            </w:r>
          </w:p>
        </w:tc>
        <w:tc>
          <w:tcPr>
            <w:tcW w:w="3882" w:type="pct"/>
            <w:gridSpan w:val="5"/>
          </w:tcPr>
          <w:p w:rsidRPr="008A71EB" w:rsidR="007C726E" w:rsidP="007C726E" w:rsidRDefault="007C726E" w14:paraId="3FCB652A" w14:textId="77777777">
            <w:pPr>
              <w:pStyle w:val="BodyText"/>
              <w:rPr>
                <w:rFonts w:cs="Arial" w:asciiTheme="minorHAnsi" w:hAnsiTheme="minorHAnsi"/>
                <w:sz w:val="16"/>
                <w:szCs w:val="16"/>
              </w:rPr>
            </w:pPr>
            <w:r w:rsidRPr="008A71EB">
              <w:rPr>
                <w:rFonts w:cs="Arial" w:asciiTheme="minorHAnsi" w:hAnsiTheme="minorHAnsi"/>
                <w:sz w:val="16"/>
                <w:szCs w:val="16"/>
              </w:rPr>
              <w:t>Bioavailability of oral dispersion is approximately 75% of intact tablets.</w:t>
            </w:r>
          </w:p>
        </w:tc>
      </w:tr>
      <w:tr w:rsidRPr="001C203D" w:rsidR="007C726E" w:rsidTr="008A71EB" w14:paraId="496E8E1A" w14:textId="77777777">
        <w:trPr>
          <w:gridBefore w:val="1"/>
          <w:wBefore w:w="16" w:type="pct"/>
          <w:trHeight w:val="1071"/>
        </w:trPr>
        <w:tc>
          <w:tcPr>
            <w:tcW w:w="1102" w:type="pct"/>
            <w:gridSpan w:val="2"/>
          </w:tcPr>
          <w:p w:rsidRPr="001C203D" w:rsidR="007C726E" w:rsidP="007C726E" w:rsidRDefault="007C726E" w14:paraId="65A93906" w14:textId="77777777">
            <w:pPr>
              <w:pStyle w:val="BodyText"/>
              <w:rPr>
                <w:rFonts w:cs="Arial" w:asciiTheme="minorHAnsi" w:hAnsiTheme="minorHAnsi"/>
                <w:b/>
                <w:bCs/>
                <w:sz w:val="20"/>
              </w:rPr>
            </w:pPr>
            <w:r w:rsidRPr="001C203D">
              <w:rPr>
                <w:rFonts w:cs="Arial" w:asciiTheme="minorHAnsi" w:hAnsiTheme="minorHAnsi"/>
                <w:b/>
                <w:bCs/>
                <w:sz w:val="20"/>
              </w:rPr>
              <w:t>Evidence summary</w:t>
            </w:r>
          </w:p>
        </w:tc>
        <w:tc>
          <w:tcPr>
            <w:tcW w:w="3882" w:type="pct"/>
            <w:gridSpan w:val="5"/>
          </w:tcPr>
          <w:p w:rsidRPr="008A71EB" w:rsidR="007C726E" w:rsidP="007C726E" w:rsidRDefault="007C726E" w14:paraId="27FD9949" w14:textId="77777777">
            <w:pPr>
              <w:pStyle w:val="BodyText"/>
              <w:tabs>
                <w:tab w:val="left" w:pos="1168"/>
              </w:tabs>
              <w:rPr>
                <w:rFonts w:cs="Arial" w:asciiTheme="minorHAnsi" w:hAnsiTheme="minorHAnsi"/>
                <w:b/>
                <w:sz w:val="16"/>
                <w:szCs w:val="16"/>
                <w:u w:val="single"/>
              </w:rPr>
            </w:pPr>
            <w:r w:rsidRPr="008A71EB">
              <w:rPr>
                <w:rFonts w:cs="Arial" w:asciiTheme="minorHAnsi" w:hAnsiTheme="minorHAnsi"/>
                <w:b/>
                <w:sz w:val="16"/>
                <w:szCs w:val="16"/>
                <w:u w:val="single"/>
              </w:rPr>
              <w:t>Treatment of gastroesophageal reflux disease (GORD)</w:t>
            </w:r>
          </w:p>
          <w:p w:rsidRPr="008A71EB" w:rsidR="007C726E" w:rsidP="007C726E" w:rsidRDefault="007C726E" w14:paraId="46EE53E5" w14:textId="77777777">
            <w:pPr>
              <w:pStyle w:val="BodyText"/>
              <w:tabs>
                <w:tab w:val="left" w:pos="1168"/>
              </w:tabs>
              <w:rPr>
                <w:rFonts w:cs="Arial" w:asciiTheme="minorHAnsi" w:hAnsiTheme="minorHAnsi"/>
                <w:sz w:val="16"/>
                <w:szCs w:val="16"/>
                <w:u w:val="single"/>
              </w:rPr>
            </w:pPr>
            <w:r w:rsidRPr="008A71EB">
              <w:rPr>
                <w:rFonts w:cs="Arial" w:asciiTheme="minorHAnsi" w:hAnsiTheme="minorHAnsi"/>
                <w:sz w:val="16"/>
                <w:szCs w:val="16"/>
                <w:u w:val="single"/>
              </w:rPr>
              <w:t>NICE Guidelines</w:t>
            </w:r>
            <w:r w:rsidRPr="008A71EB">
              <w:rPr>
                <w:rFonts w:cs="Arial" w:asciiTheme="minorHAnsi" w:hAnsiTheme="minorHAnsi"/>
                <w:sz w:val="16"/>
                <w:szCs w:val="16"/>
                <w:u w:val="single"/>
                <w:vertAlign w:val="superscript"/>
              </w:rPr>
              <w:t>1</w:t>
            </w:r>
          </w:p>
          <w:p w:rsidRPr="008A71EB" w:rsidR="007C726E" w:rsidP="007C726E" w:rsidRDefault="007C726E" w14:paraId="401551E2"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1. Do not offer acid-suppressing drugs, such as proton pump inhibitors (PPIs) or H</w:t>
            </w:r>
            <w:r w:rsidRPr="008A71EB">
              <w:rPr>
                <w:rFonts w:cs="Arial" w:asciiTheme="minorHAnsi" w:hAnsiTheme="minorHAnsi"/>
                <w:sz w:val="16"/>
                <w:szCs w:val="16"/>
                <w:vertAlign w:val="subscript"/>
              </w:rPr>
              <w:t>2</w:t>
            </w:r>
            <w:r w:rsidRPr="008A71EB">
              <w:rPr>
                <w:rFonts w:cs="Arial" w:asciiTheme="minorHAnsi" w:hAnsiTheme="minorHAnsi"/>
                <w:sz w:val="16"/>
                <w:szCs w:val="16"/>
              </w:rPr>
              <w:t xml:space="preserve"> receptor antagonists (H</w:t>
            </w:r>
            <w:r w:rsidRPr="008A71EB">
              <w:rPr>
                <w:rFonts w:cs="Arial" w:asciiTheme="minorHAnsi" w:hAnsiTheme="minorHAnsi"/>
                <w:sz w:val="16"/>
                <w:szCs w:val="16"/>
                <w:vertAlign w:val="subscript"/>
              </w:rPr>
              <w:t>2</w:t>
            </w:r>
            <w:r w:rsidRPr="008A71EB">
              <w:rPr>
                <w:rFonts w:cs="Arial" w:asciiTheme="minorHAnsi" w:hAnsiTheme="minorHAnsi"/>
                <w:sz w:val="16"/>
                <w:szCs w:val="16"/>
              </w:rPr>
              <w:t>RAs), to treat overt regurgitation in infants and children occurring as an isolated symptom.</w:t>
            </w:r>
          </w:p>
          <w:p w:rsidRPr="008A71EB" w:rsidR="007C726E" w:rsidP="007C726E" w:rsidRDefault="007C726E" w14:paraId="0CF30ED7"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2. Consider a 4-week trial of a PPI or H</w:t>
            </w:r>
            <w:r w:rsidRPr="008A71EB">
              <w:rPr>
                <w:rFonts w:cs="Arial" w:asciiTheme="minorHAnsi" w:hAnsiTheme="minorHAnsi"/>
                <w:sz w:val="16"/>
                <w:szCs w:val="16"/>
                <w:vertAlign w:val="subscript"/>
              </w:rPr>
              <w:t>2</w:t>
            </w:r>
            <w:r w:rsidRPr="008A71EB">
              <w:rPr>
                <w:rFonts w:cs="Arial" w:asciiTheme="minorHAnsi" w:hAnsiTheme="minorHAnsi"/>
                <w:sz w:val="16"/>
                <w:szCs w:val="16"/>
              </w:rPr>
              <w:t>RA for those who are unable to tell you about their symptoms (for example, infants and young children and those with a neurodisability associated with expressive communication difficulties) who have overt regurgitation with 1 or more of the following: unexplained feeding difficulties (for example, refusing feeds, gagging or choking), distressed behaviour, faltering growth.</w:t>
            </w:r>
          </w:p>
          <w:p w:rsidRPr="008A71EB" w:rsidR="007C726E" w:rsidP="007C726E" w:rsidRDefault="007C726E" w14:paraId="638D095F"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3. Consider a 4-week trial of a PPI or H</w:t>
            </w:r>
            <w:r w:rsidRPr="008A71EB">
              <w:rPr>
                <w:rFonts w:cs="Arial" w:asciiTheme="minorHAnsi" w:hAnsiTheme="minorHAnsi"/>
                <w:sz w:val="16"/>
                <w:szCs w:val="16"/>
                <w:vertAlign w:val="subscript"/>
              </w:rPr>
              <w:t>2</w:t>
            </w:r>
            <w:r w:rsidRPr="008A71EB">
              <w:rPr>
                <w:rFonts w:cs="Arial" w:asciiTheme="minorHAnsi" w:hAnsiTheme="minorHAnsi"/>
                <w:sz w:val="16"/>
                <w:szCs w:val="16"/>
              </w:rPr>
              <w:t>RA for children and young people with persistent heartburn, retrosternal or epigastric pain.</w:t>
            </w:r>
          </w:p>
          <w:p w:rsidRPr="008A71EB" w:rsidR="007C726E" w:rsidP="007C726E" w:rsidRDefault="007C726E" w14:paraId="34AD755A"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4. Assess the response to the 4-week trial of the PPI or H</w:t>
            </w:r>
            <w:r w:rsidRPr="008A71EB">
              <w:rPr>
                <w:rFonts w:cs="Arial" w:asciiTheme="minorHAnsi" w:hAnsiTheme="minorHAnsi"/>
                <w:sz w:val="16"/>
                <w:szCs w:val="16"/>
                <w:vertAlign w:val="subscript"/>
              </w:rPr>
              <w:t>2</w:t>
            </w:r>
            <w:r w:rsidRPr="008A71EB">
              <w:rPr>
                <w:rFonts w:cs="Arial" w:asciiTheme="minorHAnsi" w:hAnsiTheme="minorHAnsi"/>
                <w:sz w:val="16"/>
                <w:szCs w:val="16"/>
              </w:rPr>
              <w:t>RA, and consider referral to a specialist for possible endoscopy if the symptoms: do not resolve or recur after stopping the treatment.</w:t>
            </w:r>
          </w:p>
          <w:p w:rsidRPr="008A71EB" w:rsidR="007C726E" w:rsidP="007C726E" w:rsidRDefault="007C726E" w14:paraId="7D7BD07D"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5. When choosing between PPIs and H</w:t>
            </w:r>
            <w:r w:rsidRPr="008A71EB">
              <w:rPr>
                <w:rFonts w:cs="Arial" w:asciiTheme="minorHAnsi" w:hAnsiTheme="minorHAnsi"/>
                <w:sz w:val="16"/>
                <w:szCs w:val="16"/>
                <w:vertAlign w:val="subscript"/>
              </w:rPr>
              <w:t>2</w:t>
            </w:r>
            <w:r w:rsidRPr="008A71EB">
              <w:rPr>
                <w:rFonts w:cs="Arial" w:asciiTheme="minorHAnsi" w:hAnsiTheme="minorHAnsi"/>
                <w:sz w:val="16"/>
                <w:szCs w:val="16"/>
              </w:rPr>
              <w:t>RAs, take into account: The availability of age-appropriate preparations, the preference of the parent (or carer), child or young person (as appropriate) and local procurement costs.</w:t>
            </w:r>
          </w:p>
          <w:p w:rsidRPr="008A71EB" w:rsidR="007C726E" w:rsidP="007C726E" w:rsidRDefault="007C726E" w14:paraId="11FA409A"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6. Offer PPI or H</w:t>
            </w:r>
            <w:r w:rsidRPr="008A71EB">
              <w:rPr>
                <w:rFonts w:cs="Arial" w:asciiTheme="minorHAnsi" w:hAnsiTheme="minorHAnsi"/>
                <w:sz w:val="16"/>
                <w:szCs w:val="16"/>
                <w:vertAlign w:val="subscript"/>
              </w:rPr>
              <w:t>2</w:t>
            </w:r>
            <w:r w:rsidRPr="008A71EB">
              <w:rPr>
                <w:rFonts w:cs="Arial" w:asciiTheme="minorHAnsi" w:hAnsiTheme="minorHAnsi"/>
                <w:sz w:val="16"/>
                <w:szCs w:val="16"/>
              </w:rPr>
              <w:t>RA treatment to infants, children and young people with endoscopy-proven reflux oesophagitis, and consider repeat endoscopic examinations as necessary to guide subsequent treatment.</w:t>
            </w:r>
          </w:p>
          <w:p w:rsidRPr="008A71EB" w:rsidR="007C726E" w:rsidP="007C726E" w:rsidRDefault="007C726E" w14:paraId="488D0AB8"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7. Do not offer metoclopramide, domperidone or erythromycin to treat GOR or GORD without seeking specialist advice and taking into account their potential to cause adverse events.</w:t>
            </w:r>
          </w:p>
          <w:p w:rsidRPr="008A71EB" w:rsidR="007C726E" w:rsidP="007C726E" w:rsidRDefault="007C726E" w14:paraId="65E10637" w14:textId="77777777">
            <w:pPr>
              <w:pStyle w:val="BodyText"/>
              <w:tabs>
                <w:tab w:val="left" w:pos="1168"/>
              </w:tabs>
              <w:rPr>
                <w:rFonts w:cs="Arial" w:asciiTheme="minorHAnsi" w:hAnsiTheme="minorHAnsi"/>
                <w:sz w:val="16"/>
                <w:szCs w:val="16"/>
                <w:u w:val="single"/>
              </w:rPr>
            </w:pPr>
            <w:r w:rsidRPr="008A71EB">
              <w:rPr>
                <w:rFonts w:cs="Arial" w:asciiTheme="minorHAnsi" w:hAnsiTheme="minorHAnsi"/>
                <w:sz w:val="16"/>
                <w:szCs w:val="16"/>
                <w:u w:val="single"/>
              </w:rPr>
              <w:t>ESPGHAN and NASPGHAN Guidelines</w:t>
            </w:r>
            <w:r w:rsidRPr="008A71EB">
              <w:rPr>
                <w:rFonts w:cs="Arial" w:asciiTheme="minorHAnsi" w:hAnsiTheme="minorHAnsi"/>
                <w:sz w:val="16"/>
                <w:szCs w:val="16"/>
                <w:u w:val="single"/>
                <w:vertAlign w:val="superscript"/>
              </w:rPr>
              <w:t>2</w:t>
            </w:r>
          </w:p>
          <w:p w:rsidRPr="008A71EB" w:rsidR="007C726E" w:rsidP="007C726E" w:rsidRDefault="007C726E" w14:paraId="04B84FDD"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For healing of erosive esophagitis and relief of GERD symptoms, PPIs are superior to H</w:t>
            </w:r>
            <w:r w:rsidRPr="008A71EB">
              <w:rPr>
                <w:rFonts w:cs="Arial" w:asciiTheme="minorHAnsi" w:hAnsiTheme="minorHAnsi"/>
                <w:sz w:val="16"/>
                <w:szCs w:val="16"/>
                <w:vertAlign w:val="subscript"/>
              </w:rPr>
              <w:t>2</w:t>
            </w:r>
            <w:r w:rsidRPr="008A71EB">
              <w:rPr>
                <w:rFonts w:cs="Arial" w:asciiTheme="minorHAnsi" w:hAnsiTheme="minorHAnsi"/>
                <w:sz w:val="16"/>
                <w:szCs w:val="16"/>
              </w:rPr>
              <w:t>RAs. Both medications are superior to placebo. Administration of long-term acid suppression without a diagnosis is inadvisable. When acid suppression is required, the smallest effective dose should be used. Most patients require only once-daily PPI; routine use of twice-daily dose is not indicated. No PPI has been approved for use in infants &lt; 1 year of age and there are special concerns pertaining to prescription of PPIs in infants, as described in the Guideline.</w:t>
            </w:r>
          </w:p>
          <w:p w:rsidRPr="008A71EB" w:rsidR="007C726E" w:rsidP="007C726E" w:rsidRDefault="007C726E" w14:paraId="2DDC89A2"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H</w:t>
            </w:r>
            <w:r w:rsidRPr="008A71EB">
              <w:rPr>
                <w:rFonts w:cs="Arial" w:asciiTheme="minorHAnsi" w:hAnsiTheme="minorHAnsi"/>
                <w:sz w:val="16"/>
                <w:szCs w:val="16"/>
                <w:vertAlign w:val="subscript"/>
              </w:rPr>
              <w:t>2</w:t>
            </w:r>
            <w:r w:rsidRPr="008A71EB">
              <w:rPr>
                <w:rFonts w:cs="Arial" w:asciiTheme="minorHAnsi" w:hAnsiTheme="minorHAnsi"/>
                <w:sz w:val="16"/>
                <w:szCs w:val="16"/>
              </w:rPr>
              <w:t>RAs exhibit tachyphylaxis or tolerance but PPIs do not. Tachyphylaxis is a drawback to chronic use. H</w:t>
            </w:r>
            <w:r w:rsidRPr="008A71EB">
              <w:rPr>
                <w:rFonts w:cs="Arial" w:asciiTheme="minorHAnsi" w:hAnsiTheme="minorHAnsi"/>
                <w:sz w:val="16"/>
                <w:szCs w:val="16"/>
                <w:vertAlign w:val="subscript"/>
              </w:rPr>
              <w:t>2</w:t>
            </w:r>
            <w:r w:rsidRPr="008A71EB">
              <w:rPr>
                <w:rFonts w:cs="Arial" w:asciiTheme="minorHAnsi" w:hAnsiTheme="minorHAnsi"/>
                <w:sz w:val="16"/>
                <w:szCs w:val="16"/>
              </w:rPr>
              <w:t>RAs have a rapid onset of action and, like buffering agents, are useful for on-demand treatment.</w:t>
            </w:r>
          </w:p>
          <w:p w:rsidRPr="008A71EB" w:rsidR="007C726E" w:rsidP="007C726E" w:rsidRDefault="007C726E" w14:paraId="0098D61C" w14:textId="77777777">
            <w:pPr>
              <w:pStyle w:val="BodyText"/>
              <w:tabs>
                <w:tab w:val="left" w:pos="1168"/>
              </w:tabs>
              <w:rPr>
                <w:rFonts w:cs="Arial" w:asciiTheme="minorHAnsi" w:hAnsiTheme="minorHAnsi"/>
                <w:b/>
                <w:sz w:val="16"/>
                <w:szCs w:val="16"/>
                <w:u w:val="single"/>
              </w:rPr>
            </w:pPr>
          </w:p>
          <w:p w:rsidRPr="008A71EB" w:rsidR="007C726E" w:rsidP="007C726E" w:rsidRDefault="007C726E" w14:paraId="025AA3E0" w14:textId="77777777">
            <w:pPr>
              <w:pStyle w:val="BodyText"/>
              <w:tabs>
                <w:tab w:val="left" w:pos="1168"/>
              </w:tabs>
              <w:rPr>
                <w:rFonts w:cs="Arial" w:asciiTheme="minorHAnsi" w:hAnsiTheme="minorHAnsi"/>
                <w:b/>
                <w:sz w:val="16"/>
                <w:szCs w:val="16"/>
                <w:u w:val="single"/>
              </w:rPr>
            </w:pPr>
            <w:r w:rsidRPr="008A71EB">
              <w:rPr>
                <w:rFonts w:cs="Arial" w:asciiTheme="minorHAnsi" w:hAnsiTheme="minorHAnsi"/>
                <w:b/>
                <w:sz w:val="16"/>
                <w:szCs w:val="16"/>
                <w:u w:val="single"/>
              </w:rPr>
              <w:t>Post-operative prophylaxis in congenital oesophageal atresia and tracheoesophageal fistula</w:t>
            </w:r>
          </w:p>
          <w:p w:rsidRPr="008A71EB" w:rsidR="007C726E" w:rsidP="007C726E" w:rsidRDefault="007C726E" w14:paraId="6A4D8896"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In a systematic review by Shawyer et al,</w:t>
            </w:r>
            <w:r w:rsidRPr="008A71EB">
              <w:rPr>
                <w:rFonts w:cs="Arial" w:asciiTheme="minorHAnsi" w:hAnsiTheme="minorHAnsi"/>
                <w:sz w:val="16"/>
                <w:szCs w:val="16"/>
                <w:vertAlign w:val="superscript"/>
              </w:rPr>
              <w:t>3</w:t>
            </w:r>
            <w:r w:rsidRPr="008A71EB">
              <w:rPr>
                <w:rFonts w:cs="Arial" w:asciiTheme="minorHAnsi" w:hAnsiTheme="minorHAnsi"/>
                <w:sz w:val="16"/>
                <w:szCs w:val="16"/>
              </w:rPr>
              <w:t xml:space="preserve"> of 25 articles (1,663 patients for analysis), most were single center studies (92 %) and retrospective (76 %); there were no randomised control trials. The quality of literature regarding anti-reflux medication for GER post EA-TEF repair is poor.</w:t>
            </w:r>
          </w:p>
          <w:p w:rsidRPr="008A71EB" w:rsidR="007C726E" w:rsidP="007C726E" w:rsidRDefault="007C726E" w14:paraId="3B7DE162" w14:textId="77777777">
            <w:pPr>
              <w:pStyle w:val="BodyText"/>
              <w:tabs>
                <w:tab w:val="left" w:pos="1168"/>
              </w:tabs>
              <w:rPr>
                <w:rFonts w:cs="Arial" w:asciiTheme="minorHAnsi" w:hAnsiTheme="minorHAnsi"/>
                <w:sz w:val="16"/>
                <w:szCs w:val="16"/>
              </w:rPr>
            </w:pPr>
          </w:p>
          <w:p w:rsidRPr="008A71EB" w:rsidR="007C726E" w:rsidP="007C726E" w:rsidRDefault="007C726E" w14:paraId="673C33A2"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Kierkus et al, studied the pharmacodynamics and safety of oral pantoprazole in neonates, preterm infants and infants aged 1through 11 month. In two open-label studies, neonates and preterm infants (study 1, 1.2 mg/kg [high dose]) and infants 1</w:t>
            </w:r>
          </w:p>
          <w:p w:rsidRPr="008A71EB" w:rsidR="007C726E" w:rsidP="007C726E" w:rsidRDefault="007C726E" w14:paraId="0B95AF30"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 xml:space="preserve">through 11 months (study 2,0.6 [low dose] or 1.2 mg/kg [high dose]) received once-daily pantoprazole. Twentyfour- hour dual-electrode pH-metry parameters were compared between predose and steady state (C5 days) (two-sided, paired t test). Treatment was administered for </w:t>
            </w:r>
            <w:r w:rsidRPr="008A71EB">
              <w:rPr>
                <w:rFonts w:cs="Arial"/>
                <w:sz w:val="16"/>
                <w:szCs w:val="16"/>
              </w:rPr>
              <w:t>≤</w:t>
            </w:r>
            <w:r w:rsidRPr="008A71EB">
              <w:rPr>
                <w:rFonts w:cs="Arial" w:asciiTheme="minorHAnsi" w:hAnsiTheme="minorHAnsi"/>
                <w:sz w:val="16"/>
                <w:szCs w:val="16"/>
              </w:rPr>
              <w:t>6 weeks. In studies 1 and 2, 21 and 24 patients, respectively, were enrolled for pharmacodynamic evaluation. The high dose provided similar responses in the two studies and improved these parameters significantly: mean gastric pH and percent time gastric pH&gt;4 increased (p&lt;0.05 both</w:t>
            </w:r>
          </w:p>
          <w:p w:rsidRPr="008A71EB" w:rsidR="007C726E" w:rsidP="007C726E" w:rsidRDefault="007C726E" w14:paraId="086E760B"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studies), normalized area under the curve (AUC) of gastric H+ activity decreased (p&lt;0.05 study 2), and normalized AUC of esophageal H+ activity decreased (p&lt;0.05 both</w:t>
            </w:r>
          </w:p>
          <w:p w:rsidRPr="008A71EB" w:rsidR="007C726E" w:rsidP="007C726E" w:rsidRDefault="007C726E" w14:paraId="10B340EA"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 xml:space="preserve">studies). The AUC of esophageal pH&lt;4 decreased. Normalized AUC of esophageal H+ activity decreased (p&lt;0.05 both studies), indicating refluxate pH increased, although this was not reflected in any change in </w:t>
            </w:r>
            <w:r w:rsidRPr="008A71EB">
              <w:rPr>
                <w:rFonts w:cs="Arial" w:asciiTheme="minorHAnsi" w:hAnsiTheme="minorHAnsi"/>
                <w:sz w:val="16"/>
                <w:szCs w:val="16"/>
              </w:rPr>
              <w:lastRenderedPageBreak/>
              <w:t>mean esophageal pH or reflux index. The normalized AUC of esophageal H+ activity was a more sensitive measure of changes in esophageal pH.</w:t>
            </w:r>
          </w:p>
          <w:p w:rsidRPr="008A71EB" w:rsidR="007C726E" w:rsidP="007C726E" w:rsidRDefault="007C726E" w14:paraId="47CE1E55" w14:textId="77777777">
            <w:pPr>
              <w:pStyle w:val="BodyText"/>
              <w:tabs>
                <w:tab w:val="left" w:pos="1168"/>
              </w:tabs>
              <w:rPr>
                <w:rFonts w:cs="Arial" w:asciiTheme="minorHAnsi" w:hAnsiTheme="minorHAnsi"/>
                <w:sz w:val="16"/>
                <w:szCs w:val="16"/>
              </w:rPr>
            </w:pPr>
            <w:r w:rsidRPr="008A71EB">
              <w:rPr>
                <w:rFonts w:cs="Arial" w:asciiTheme="minorHAnsi" w:hAnsiTheme="minorHAnsi"/>
                <w:sz w:val="16"/>
                <w:szCs w:val="16"/>
              </w:rPr>
              <w:t>Ward et al, in a multicentre, randomised, open label trial, assessed the PK of pantoprazole granules after single and multiple doses in 40 neonates and preterm infants. Pantoprazole plasma concentration values were highly variable after single and multiple doses. Pantoprazole is primarily metabolized by the CYP2C19 enzyme and to a limited extent by CYP3A4. As such, pantoprazole PK would be expected to vary with the expression of these enzymes. These enzymes are not completely developed at birth and appear to be activated by a mechanism associated with birth that is independent of gestational age. In conclusion, they reported, in preterm infants and neonates, pantoprazole granules for oral suspension were generally safe and well tolerated. Mean exposures with the pantoprazole 2.5 mg dose were slightly higher than those in older children and adults who received 40 mg and, while the half-life was longer, there was no evidence of accumulation following repeated dose administration.</w:t>
            </w:r>
          </w:p>
        </w:tc>
      </w:tr>
      <w:tr w:rsidRPr="001C203D" w:rsidR="007C726E" w:rsidTr="008A71EB" w14:paraId="5A465C7C" w14:textId="77777777">
        <w:trPr>
          <w:gridBefore w:val="1"/>
          <w:wBefore w:w="16" w:type="pct"/>
          <w:trHeight w:val="361"/>
        </w:trPr>
        <w:tc>
          <w:tcPr>
            <w:tcW w:w="1102" w:type="pct"/>
            <w:gridSpan w:val="2"/>
          </w:tcPr>
          <w:p w:rsidRPr="001C203D" w:rsidR="007C726E" w:rsidP="007C726E" w:rsidRDefault="007C726E" w14:paraId="314E5283" w14:textId="77777777">
            <w:pPr>
              <w:pStyle w:val="BodyText"/>
              <w:rPr>
                <w:rFonts w:cs="Arial" w:asciiTheme="minorHAnsi" w:hAnsiTheme="minorHAnsi"/>
                <w:b/>
                <w:bCs/>
                <w:sz w:val="20"/>
              </w:rPr>
            </w:pPr>
            <w:r w:rsidRPr="001C203D">
              <w:rPr>
                <w:rFonts w:asciiTheme="minorHAnsi" w:hAnsiTheme="minorHAnsi"/>
                <w:b/>
                <w:sz w:val="20"/>
              </w:rPr>
              <w:lastRenderedPageBreak/>
              <w:t>References</w:t>
            </w:r>
          </w:p>
        </w:tc>
        <w:tc>
          <w:tcPr>
            <w:tcW w:w="3882" w:type="pct"/>
            <w:gridSpan w:val="5"/>
          </w:tcPr>
          <w:p w:rsidRPr="001C203D" w:rsidR="007C726E" w:rsidP="001B0E05" w:rsidRDefault="007C726E" w14:paraId="24C047FA"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NICE Guideline 2015. Gastro-oesophageal reflux disease in children and young people: diagnosis and management. Published: 14 January 2015. nice.org.uk/guidance/ng1.</w:t>
            </w:r>
          </w:p>
          <w:p w:rsidRPr="001C203D" w:rsidR="007C726E" w:rsidP="001B0E05" w:rsidRDefault="007C726E" w14:paraId="7F961A3B"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Vandenplas Y, Rudolph CD, Di Lorenzo C, Hassall E,Liptak G, Mazur L, Sondheimer J, Staiano,A, et al. Pediatric Gastroesophageal Reflux Clinical Practice Guidelines: Joint Recommendations of the North American Society of Pediatric Gastroenterology, Hepatology, and Nutrition and the European Society of Pediatric Gastroenterology, Hepatology, and Nutrition.</w:t>
            </w:r>
          </w:p>
          <w:p w:rsidRPr="001C203D" w:rsidR="007C726E" w:rsidP="001B0E05" w:rsidRDefault="007C726E" w14:paraId="3C795686"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 xml:space="preserve">Shawyer AC, D'Souza J, Pemberton J, Flageole H. The management of postoperative reflux in congenital esophageal atresia-tracheoesophageal fistula: a systematic review.   Pediatr Surg Int [Internet]. 2014 [cited 2014 Oct];30(10):987-96. In: Ovid MEDLINE(R) [Internet]. </w:t>
            </w:r>
            <w:hyperlink w:history="1" r:id="rId64">
              <w:r w:rsidRPr="001C203D">
                <w:rPr>
                  <w:rFonts w:asciiTheme="minorHAnsi" w:hAnsiTheme="minorHAnsi" w:eastAsiaTheme="minorHAnsi" w:cstheme="minorBidi"/>
                  <w:color w:val="0563C1" w:themeColor="hyperlink"/>
                  <w:sz w:val="16"/>
                  <w:szCs w:val="16"/>
                  <w:u w:val="single"/>
                </w:rPr>
                <w:t>http://ovidsp.ovid.com/ovidweb.cgi?T=JS&amp;PAGE=reference&amp;D=medl&amp;NEWS=N&amp;AN=25011995</w:t>
              </w:r>
            </w:hyperlink>
            <w:r w:rsidRPr="001C203D">
              <w:rPr>
                <w:rFonts w:asciiTheme="minorHAnsi" w:hAnsiTheme="minorHAnsi" w:eastAsiaTheme="minorHAnsi" w:cstheme="minorBidi"/>
                <w:sz w:val="16"/>
                <w:szCs w:val="16"/>
              </w:rPr>
              <w:t>.</w:t>
            </w:r>
          </w:p>
          <w:p w:rsidRPr="001C203D" w:rsidR="007C726E" w:rsidP="001B0E05" w:rsidRDefault="007C726E" w14:paraId="15F92DB8"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TigheM, AfzalNA, BevanA,HayenA,MunroA, Beattie RM. Pharmacological treatment of children with gastro-oesophageal reflux. Cochrane Database of Systematic Reviews 2014, Issue 11. Art. No.: CD008550. DOI: 10.1002/14651858.CD008550.pub2.</w:t>
            </w:r>
          </w:p>
          <w:p w:rsidRPr="001C203D" w:rsidR="007C726E" w:rsidP="001B0E05" w:rsidRDefault="007C726E" w14:paraId="135BB9EC" w14:textId="77777777">
            <w:pPr>
              <w:numPr>
                <w:ilvl w:val="0"/>
                <w:numId w:val="68"/>
              </w:numPr>
              <w:contextualSpacing/>
              <w:rPr>
                <w:rFonts w:eastAsia="Arial Unicode MS" w:cs="Arial Unicode MS" w:asciiTheme="minorHAnsi" w:hAnsiTheme="minorHAnsi"/>
                <w:sz w:val="16"/>
                <w:szCs w:val="16"/>
              </w:rPr>
            </w:pPr>
            <w:r w:rsidRPr="001C203D">
              <w:rPr>
                <w:rFonts w:eastAsia="Arial Unicode MS" w:cs="Arial Unicode MS" w:asciiTheme="minorHAnsi" w:hAnsiTheme="minorHAnsi"/>
                <w:sz w:val="16"/>
                <w:szCs w:val="16"/>
              </w:rPr>
              <w:t xml:space="preserve">Freedberg DE, Lamouse-Smith ES, Lightdale JR, Jin Z, Yang YX, Abrams JA. Use of Acid Suppression Medication is Associated With Risk for C. difficile Infection in Infants and Children: A Population-based Study.   Clin Infect Dis [Internet]. 2015 [cited 2015 Sep 15];61(6):912-7. In: Ovid MEDLINE(R) [Internet]. </w:t>
            </w:r>
            <w:hyperlink w:history="1" r:id="rId65">
              <w:r w:rsidRPr="001C203D">
                <w:rPr>
                  <w:rFonts w:eastAsia="Arial Unicode MS" w:cs="Arial Unicode MS" w:asciiTheme="minorHAnsi" w:hAnsiTheme="minorHAnsi"/>
                  <w:color w:val="0000FF"/>
                  <w:sz w:val="16"/>
                  <w:szCs w:val="16"/>
                  <w:u w:val="single"/>
                </w:rPr>
                <w:t>http://ovidsp.ovid.com/ovidweb.cgi?T=JS&amp;PAGE=reference&amp;D=medl&amp;NEWS=N&amp;AN=26060292</w:t>
              </w:r>
            </w:hyperlink>
          </w:p>
          <w:p w:rsidRPr="001C203D" w:rsidR="007C726E" w:rsidP="001B0E05" w:rsidRDefault="007C726E" w14:paraId="40F8508D" w14:textId="77777777">
            <w:pPr>
              <w:numPr>
                <w:ilvl w:val="0"/>
                <w:numId w:val="68"/>
              </w:numPr>
              <w:contextualSpacing/>
              <w:rPr>
                <w:rFonts w:eastAsia="Arial Unicode MS" w:cs="Arial Unicode MS" w:asciiTheme="minorHAnsi" w:hAnsiTheme="minorHAnsi"/>
                <w:sz w:val="16"/>
                <w:szCs w:val="16"/>
              </w:rPr>
            </w:pPr>
            <w:r w:rsidRPr="001C203D">
              <w:rPr>
                <w:rFonts w:eastAsia="Arial Unicode MS" w:cs="Arial Unicode MS" w:asciiTheme="minorHAnsi" w:hAnsiTheme="minorHAnsi"/>
                <w:sz w:val="16"/>
                <w:szCs w:val="16"/>
              </w:rPr>
              <w:t xml:space="preserve">Jimenez J, Drees M, Loveridge-Lenza B, Eppes S, delRosario F. Exposure to Gastric Acid-Suppression Therapy Is Associated With Health Care- and Community-Associated Clostridium difficile Infection in Children.   J Pediatr Gastroenterol Nutr [Internet]. 2015 [cited 2015 Aug];61(2):208-11. In: Ovid MEDLINE(R) [Internet]. </w:t>
            </w:r>
            <w:hyperlink w:history="1" r:id="rId66">
              <w:r w:rsidRPr="001C203D">
                <w:rPr>
                  <w:rFonts w:eastAsia="Arial Unicode MS" w:cs="Arial Unicode MS" w:asciiTheme="minorHAnsi" w:hAnsiTheme="minorHAnsi"/>
                  <w:color w:val="0000FF"/>
                  <w:sz w:val="16"/>
                  <w:szCs w:val="16"/>
                  <w:u w:val="single"/>
                </w:rPr>
                <w:t>http://ovidsp.ovid.com/ovidweb.cgi?T=JS&amp;PAGE=reference&amp;D=medl&amp;NEWS=N&amp;AN=25806678</w:t>
              </w:r>
            </w:hyperlink>
          </w:p>
          <w:p w:rsidRPr="001C203D" w:rsidR="007C726E" w:rsidP="001B0E05" w:rsidRDefault="007C726E" w14:paraId="11370572" w14:textId="77777777">
            <w:pPr>
              <w:numPr>
                <w:ilvl w:val="0"/>
                <w:numId w:val="68"/>
              </w:numPr>
              <w:contextualSpacing/>
              <w:rPr>
                <w:rFonts w:eastAsia="Arial Unicode MS" w:cs="Arial Unicode MS" w:asciiTheme="minorHAnsi" w:hAnsiTheme="minorHAnsi"/>
                <w:sz w:val="16"/>
                <w:szCs w:val="16"/>
              </w:rPr>
            </w:pPr>
            <w:r w:rsidRPr="001C203D">
              <w:rPr>
                <w:rFonts w:eastAsia="Arial Unicode MS" w:cs="Arial Unicode MS" w:asciiTheme="minorHAnsi" w:hAnsiTheme="minorHAnsi"/>
                <w:sz w:val="16"/>
                <w:szCs w:val="16"/>
              </w:rPr>
              <w:t xml:space="preserve">Cohen S, Bueno de Mesquita M, Mimouni FB. Adverse effects reported in the use of gastroesophageal reflux disease treatments in children: a 10 years literature review.   Br J Clin Pharmacol [Internet]. 2015 [cited 2015 Aug];80(2):200-8. In: Ovid MEDLINE(R) [Internet]. </w:t>
            </w:r>
            <w:hyperlink w:history="1" r:id="rId67">
              <w:r w:rsidRPr="001C203D">
                <w:rPr>
                  <w:rFonts w:eastAsia="Arial Unicode MS" w:cs="Arial Unicode MS" w:asciiTheme="minorHAnsi" w:hAnsiTheme="minorHAnsi"/>
                  <w:color w:val="0000FF"/>
                  <w:sz w:val="16"/>
                  <w:szCs w:val="16"/>
                  <w:u w:val="single"/>
                </w:rPr>
                <w:t>http://ovidsp.ovid.com/ovidweb.cgi?T=JS&amp;PAGE=reference&amp;D=medl&amp;NEWS=N&amp;AN=25752807</w:t>
              </w:r>
            </w:hyperlink>
          </w:p>
          <w:p w:rsidRPr="001C203D" w:rsidR="007C726E" w:rsidP="001B0E05" w:rsidRDefault="007C726E" w14:paraId="06D8A030"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 xml:space="preserve">Wheatley E, Kennedy KA. Cross-over trial of treatment for bradycardia attributed to gastroesophageal reflux in preterm infants.   J Pediatr [Internet]. 2009 [cited 2009 Oct];155(4):516-21. In: Ovid MEDLINE(R) [Internet]. </w:t>
            </w:r>
            <w:hyperlink w:history="1" r:id="rId68">
              <w:r w:rsidRPr="001C203D">
                <w:rPr>
                  <w:rFonts w:asciiTheme="minorHAnsi" w:hAnsiTheme="minorHAnsi" w:eastAsiaTheme="minorHAnsi" w:cstheme="minorBidi"/>
                  <w:color w:val="0563C1" w:themeColor="hyperlink"/>
                  <w:sz w:val="16"/>
                  <w:szCs w:val="16"/>
                  <w:u w:val="single"/>
                </w:rPr>
                <w:t>http://ovidsp.ovid.com/ovidweb.cgi?T=JS&amp;PAGE=reference&amp;D=med5&amp;NEWS=N&amp;AN=19540518</w:t>
              </w:r>
            </w:hyperlink>
            <w:r w:rsidRPr="001C203D">
              <w:rPr>
                <w:rFonts w:asciiTheme="minorHAnsi" w:hAnsiTheme="minorHAnsi" w:eastAsiaTheme="minorHAnsi" w:cstheme="minorBidi"/>
                <w:sz w:val="16"/>
                <w:szCs w:val="16"/>
              </w:rPr>
              <w:t>.</w:t>
            </w:r>
          </w:p>
          <w:p w:rsidRPr="001C203D" w:rsidR="007C726E" w:rsidP="001B0E05" w:rsidRDefault="007C726E" w14:paraId="3F8606A3"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 xml:space="preserve">Canani RB, Cirillo P, Roggero P, Romano C, Malamisura B, Terrin G, Passariello A, Manguso F, Morelli L, Guarino A, Working Group on Intestinal Infections of the Italian Society of Pediatric Gastroenterology, Hepatology and Nutrition (SIGENP). Therapy with gastric acidity inhibitors increases the risk of acute gastroenteritis and community-acquired pneumonia in children.   Pediatrics [Internet]. 2006 [cited 2006 May];117(5):e817-20. In: Ovid MEDLINE(R) [Internet]. </w:t>
            </w:r>
            <w:hyperlink w:history="1" r:id="rId69">
              <w:r w:rsidRPr="001C203D">
                <w:rPr>
                  <w:rFonts w:asciiTheme="minorHAnsi" w:hAnsiTheme="minorHAnsi" w:eastAsiaTheme="minorHAnsi" w:cstheme="minorBidi"/>
                  <w:color w:val="0563C1" w:themeColor="hyperlink"/>
                  <w:sz w:val="16"/>
                  <w:szCs w:val="16"/>
                  <w:u w:val="single"/>
                </w:rPr>
                <w:t>http://ovidsp.ovid.com/ovidweb.cgi?T=JS&amp;PAGE=reference&amp;D=med5&amp;NEWS=N&amp;AN=16651285</w:t>
              </w:r>
            </w:hyperlink>
            <w:r w:rsidRPr="001C203D">
              <w:rPr>
                <w:rFonts w:asciiTheme="minorHAnsi" w:hAnsiTheme="minorHAnsi" w:eastAsiaTheme="minorHAnsi" w:cstheme="minorBidi"/>
                <w:sz w:val="16"/>
                <w:szCs w:val="16"/>
              </w:rPr>
              <w:t>.</w:t>
            </w:r>
          </w:p>
          <w:p w:rsidRPr="001C203D" w:rsidR="007C726E" w:rsidP="001B0E05" w:rsidRDefault="007C726E" w14:paraId="13B973B5" w14:textId="77777777">
            <w:pPr>
              <w:numPr>
                <w:ilvl w:val="0"/>
                <w:numId w:val="68"/>
              </w:numPr>
              <w:contextualSpacing/>
              <w:rPr>
                <w:rFonts w:asciiTheme="minorHAnsi" w:hAnsiTheme="minorHAnsi" w:eastAsiaTheme="minorHAnsi" w:cstheme="minorBidi"/>
                <w:sz w:val="16"/>
                <w:szCs w:val="16"/>
              </w:rPr>
            </w:pPr>
            <w:r w:rsidRPr="001C203D">
              <w:rPr>
                <w:rFonts w:asciiTheme="minorHAnsi" w:hAnsiTheme="minorHAnsi" w:eastAsiaTheme="minorHAnsi" w:cstheme="minorBidi"/>
                <w:sz w:val="16"/>
                <w:szCs w:val="16"/>
              </w:rPr>
              <w:t>Saiman L, Ludington E, Dawson JD, et al. Risk factors for Candida species colonization of neonatal intensive care unit patients. Pediatr Infect Dis J 2001;20:1119–24.</w:t>
            </w:r>
          </w:p>
          <w:p w:rsidRPr="001C203D" w:rsidR="007C726E" w:rsidP="001B0E05" w:rsidRDefault="007C726E" w14:paraId="4C98AE16" w14:textId="77777777">
            <w:pPr>
              <w:numPr>
                <w:ilvl w:val="0"/>
                <w:numId w:val="68"/>
              </w:numPr>
              <w:contextualSpacing/>
              <w:rPr>
                <w:rFonts w:asciiTheme="minorHAnsi" w:hAnsiTheme="minorHAnsi" w:eastAsiaTheme="minorHAnsi" w:cstheme="minorBidi"/>
                <w:sz w:val="16"/>
                <w:szCs w:val="16"/>
              </w:rPr>
            </w:pPr>
            <w:r w:rsidRPr="00EF1DB0">
              <w:rPr>
                <w:rFonts w:asciiTheme="minorHAnsi" w:hAnsiTheme="minorHAnsi" w:eastAsiaTheme="minorHAnsi" w:cstheme="minorBidi"/>
                <w:sz w:val="16"/>
                <w:szCs w:val="16"/>
              </w:rPr>
              <w:t>More K, Athalye-Jape G, Rao S, Patole S.</w:t>
            </w:r>
            <w:r w:rsidRPr="001C203D">
              <w:rPr>
                <w:rFonts w:asciiTheme="minorHAnsi" w:hAnsiTheme="minorHAnsi" w:eastAsiaTheme="minorHAnsi" w:cstheme="minorBidi"/>
                <w:sz w:val="16"/>
                <w:szCs w:val="16"/>
              </w:rPr>
              <w:t xml:space="preserve">Association of inhibitors of gastric acid secretion and higher incidence of necrotizing enterocolitis in preterm very low-birth-weight infants. </w:t>
            </w:r>
            <w:r w:rsidRPr="00EF1DB0">
              <w:rPr>
                <w:rFonts w:asciiTheme="minorHAnsi" w:hAnsiTheme="minorHAnsi" w:eastAsiaTheme="minorHAnsi" w:cstheme="minorBidi"/>
                <w:sz w:val="16"/>
                <w:szCs w:val="16"/>
              </w:rPr>
              <w:t>Am J Perinatol. 2013 Nov;30(10):849-56.</w:t>
            </w:r>
          </w:p>
          <w:p w:rsidRPr="001C203D" w:rsidR="007C726E" w:rsidP="001B0E05" w:rsidRDefault="007C726E" w14:paraId="185B58D6" w14:textId="77777777">
            <w:pPr>
              <w:numPr>
                <w:ilvl w:val="0"/>
                <w:numId w:val="68"/>
              </w:numPr>
              <w:contextualSpacing/>
              <w:rPr>
                <w:rFonts w:asciiTheme="minorHAnsi" w:hAnsiTheme="minorHAnsi"/>
                <w:sz w:val="20"/>
              </w:rPr>
            </w:pPr>
            <w:r w:rsidRPr="001C203D">
              <w:rPr>
                <w:rFonts w:asciiTheme="minorHAnsi" w:hAnsiTheme="minorHAnsi" w:eastAsiaTheme="minorHAnsi" w:cstheme="minorBidi"/>
                <w:sz w:val="16"/>
                <w:szCs w:val="16"/>
              </w:rPr>
              <w:t>Kierkus J, Furmaga-Jablonska W, Sullivan JE, et al. Pharmacodynamics and safety of pantoprazole in neonates, preterm infants, and infants aged 1 through 11 months with a clinical diagnosis of gastroesophageal reflux disease. Dig Dis Sci. 2011 Feb;56(2):425-34. doi: 10.1007/s10620-010-1321-3. Epub 2010 Jul 7.</w:t>
            </w:r>
          </w:p>
          <w:p w:rsidRPr="001C203D" w:rsidR="007C726E" w:rsidP="001B0E05" w:rsidRDefault="007C726E" w14:paraId="036BD13A" w14:textId="77777777">
            <w:pPr>
              <w:numPr>
                <w:ilvl w:val="0"/>
                <w:numId w:val="68"/>
              </w:numPr>
              <w:contextualSpacing/>
              <w:rPr>
                <w:rFonts w:asciiTheme="minorHAnsi" w:hAnsiTheme="minorHAnsi"/>
                <w:sz w:val="16"/>
                <w:szCs w:val="16"/>
              </w:rPr>
            </w:pPr>
            <w:r w:rsidRPr="001C203D">
              <w:rPr>
                <w:rFonts w:asciiTheme="minorHAnsi" w:hAnsiTheme="minorHAnsi"/>
                <w:sz w:val="16"/>
                <w:szCs w:val="16"/>
              </w:rPr>
              <w:t>Ward RM, Kearns GL. Proton Pump Inhibitors in Pediatrics. Mechanism of Action, Pharmacokinetics, Pharmacogenetics, and Pharmacodynamics. Pediatr Drugs (2013) 15:119–131. DOI 10.1007/s40272-013-0012-x.</w:t>
            </w:r>
          </w:p>
        </w:tc>
      </w:tr>
      <w:tr w:rsidR="007C726E" w:rsidTr="008A71EB" w14:paraId="1E611CA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gridAfter w:val="2"/>
          <w:wAfter w:w="181" w:type="pct"/>
        </w:trPr>
        <w:tc>
          <w:tcPr>
            <w:tcW w:w="2218" w:type="pct"/>
            <w:gridSpan w:val="4"/>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78CAC74E" w14:textId="560EE1BE">
            <w:pPr>
              <w:spacing w:line="252" w:lineRule="auto"/>
              <w:rPr>
                <w:sz w:val="16"/>
                <w:szCs w:val="16"/>
                <w:lang w:val="en-AU"/>
              </w:rPr>
            </w:pPr>
            <w:r w:rsidRPr="008A71EB">
              <w:rPr>
                <w:sz w:val="16"/>
                <w:szCs w:val="16"/>
              </w:rPr>
              <w:t>Original version Date: 24/08/2016</w:t>
            </w:r>
          </w:p>
        </w:tc>
        <w:tc>
          <w:tcPr>
            <w:tcW w:w="2601" w:type="pct"/>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164CE104" w14:textId="77777777">
            <w:pPr>
              <w:spacing w:line="252" w:lineRule="auto"/>
              <w:rPr>
                <w:sz w:val="16"/>
                <w:szCs w:val="16"/>
              </w:rPr>
            </w:pPr>
            <w:r w:rsidRPr="008A71EB">
              <w:rPr>
                <w:sz w:val="16"/>
                <w:szCs w:val="16"/>
              </w:rPr>
              <w:t>Author: NeoMed Consensus Group</w:t>
            </w:r>
          </w:p>
        </w:tc>
      </w:tr>
      <w:tr w:rsidR="007C726E" w:rsidTr="008A71EB" w14:paraId="4D84AFF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gridAfter w:val="2"/>
          <w:wAfter w:w="181" w:type="pct"/>
        </w:trPr>
        <w:tc>
          <w:tcPr>
            <w:tcW w:w="2218" w:type="pct"/>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0E9560CE" w14:textId="1F91CCD2">
            <w:pPr>
              <w:spacing w:line="252" w:lineRule="auto"/>
              <w:rPr>
                <w:sz w:val="16"/>
                <w:szCs w:val="16"/>
              </w:rPr>
            </w:pPr>
            <w:r w:rsidRPr="008A71EB">
              <w:rPr>
                <w:sz w:val="16"/>
                <w:szCs w:val="16"/>
              </w:rPr>
              <w:t xml:space="preserve">Current Version number:  </w:t>
            </w:r>
            <w:r w:rsidRPr="008A71EB" w:rsidR="008A71EB">
              <w:rPr>
                <w:sz w:val="16"/>
                <w:szCs w:val="16"/>
              </w:rPr>
              <w:t>2</w:t>
            </w:r>
          </w:p>
        </w:tc>
        <w:tc>
          <w:tcPr>
            <w:tcW w:w="2601" w:type="pct"/>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13AF7769" w14:textId="52D03946">
            <w:pPr>
              <w:spacing w:line="252" w:lineRule="auto"/>
              <w:rPr>
                <w:sz w:val="16"/>
                <w:szCs w:val="16"/>
              </w:rPr>
            </w:pPr>
            <w:r w:rsidRPr="008A71EB">
              <w:rPr>
                <w:sz w:val="16"/>
                <w:szCs w:val="16"/>
              </w:rPr>
              <w:t xml:space="preserve">Current Version Date:  </w:t>
            </w:r>
            <w:r w:rsidRPr="008A71EB" w:rsidR="008A71EB">
              <w:rPr>
                <w:sz w:val="16"/>
                <w:szCs w:val="16"/>
              </w:rPr>
              <w:t>2/3/2021</w:t>
            </w:r>
          </w:p>
        </w:tc>
      </w:tr>
      <w:tr w:rsidR="007C726E" w:rsidTr="008A71EB" w14:paraId="7E48071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gridAfter w:val="2"/>
          <w:wAfter w:w="181" w:type="pct"/>
        </w:trPr>
        <w:tc>
          <w:tcPr>
            <w:tcW w:w="2218" w:type="pct"/>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765E7E40" w14:textId="77777777">
            <w:pPr>
              <w:spacing w:line="252" w:lineRule="auto"/>
              <w:rPr>
                <w:sz w:val="16"/>
                <w:szCs w:val="16"/>
              </w:rPr>
            </w:pPr>
            <w:r w:rsidRPr="008A71EB">
              <w:rPr>
                <w:sz w:val="16"/>
                <w:szCs w:val="16"/>
              </w:rPr>
              <w:t>Risk Rating: Medium</w:t>
            </w:r>
          </w:p>
        </w:tc>
        <w:tc>
          <w:tcPr>
            <w:tcW w:w="2601" w:type="pct"/>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221E44F4" w14:textId="5C991EEE">
            <w:pPr>
              <w:spacing w:line="252" w:lineRule="auto"/>
              <w:rPr>
                <w:sz w:val="16"/>
                <w:szCs w:val="16"/>
              </w:rPr>
            </w:pPr>
            <w:r w:rsidRPr="008A71EB">
              <w:rPr>
                <w:sz w:val="16"/>
                <w:szCs w:val="16"/>
              </w:rPr>
              <w:t xml:space="preserve">Due for Review:  </w:t>
            </w:r>
            <w:r w:rsidRPr="008A71EB" w:rsidR="008A71EB">
              <w:rPr>
                <w:sz w:val="16"/>
                <w:szCs w:val="16"/>
              </w:rPr>
              <w:t>2/3/2024</w:t>
            </w:r>
          </w:p>
        </w:tc>
      </w:tr>
      <w:tr w:rsidR="007C726E" w:rsidTr="008A71EB" w14:paraId="03CAEC7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gridAfter w:val="2"/>
          <w:wAfter w:w="181" w:type="pct"/>
          <w:trHeight w:val="344"/>
        </w:trPr>
        <w:tc>
          <w:tcPr>
            <w:tcW w:w="2218" w:type="pct"/>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2C454EB5" w14:textId="77777777">
            <w:pPr>
              <w:spacing w:line="252" w:lineRule="auto"/>
              <w:rPr>
                <w:sz w:val="16"/>
                <w:szCs w:val="16"/>
              </w:rPr>
            </w:pPr>
            <w:r w:rsidRPr="008A71EB">
              <w:rPr>
                <w:sz w:val="16"/>
                <w:szCs w:val="16"/>
              </w:rPr>
              <w:t>Approved by: DTC</w:t>
            </w:r>
          </w:p>
        </w:tc>
        <w:tc>
          <w:tcPr>
            <w:tcW w:w="2601" w:type="pct"/>
            <w:gridSpan w:val="2"/>
            <w:tcBorders>
              <w:top w:val="nil"/>
              <w:left w:val="nil"/>
              <w:bottom w:val="single" w:color="auto" w:sz="8" w:space="0"/>
              <w:right w:val="single" w:color="auto" w:sz="8" w:space="0"/>
            </w:tcBorders>
            <w:tcMar>
              <w:top w:w="0" w:type="dxa"/>
              <w:left w:w="108" w:type="dxa"/>
              <w:bottom w:w="0" w:type="dxa"/>
              <w:right w:w="108" w:type="dxa"/>
            </w:tcMar>
            <w:vAlign w:val="center"/>
            <w:hideMark/>
          </w:tcPr>
          <w:p w:rsidRPr="008A71EB" w:rsidR="007C726E" w:rsidRDefault="007C726E" w14:paraId="79E93CB5" w14:textId="434D0ECD">
            <w:pPr>
              <w:spacing w:line="252" w:lineRule="auto"/>
              <w:rPr>
                <w:sz w:val="16"/>
                <w:szCs w:val="16"/>
              </w:rPr>
            </w:pPr>
            <w:r w:rsidRPr="008A71EB">
              <w:rPr>
                <w:sz w:val="16"/>
                <w:szCs w:val="16"/>
              </w:rPr>
              <w:t xml:space="preserve">Approval Date: </w:t>
            </w:r>
            <w:r w:rsidR="00260BC8">
              <w:rPr>
                <w:sz w:val="16"/>
                <w:szCs w:val="16"/>
              </w:rPr>
              <w:t>APRIL 2021</w:t>
            </w:r>
          </w:p>
        </w:tc>
      </w:tr>
      <w:tr w:rsidRPr="00E25790" w:rsidR="00115F48" w:rsidTr="008A71EB" w14:paraId="36E6AAC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2"/>
          <w:gridAfter w:val="1"/>
          <w:wBefore w:w="25" w:type="pct"/>
          <w:wAfter w:w="89" w:type="pct"/>
          <w:cantSplit/>
          <w:trHeight w:val="720"/>
        </w:trPr>
        <w:tc>
          <w:tcPr>
            <w:tcW w:w="4886" w:type="pct"/>
            <w:gridSpan w:val="5"/>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649157EA" w14:textId="77777777">
            <w:pPr>
              <w:pStyle w:val="Heading1"/>
            </w:pPr>
            <w:bookmarkStart w:name="_Toc495481148" w:id="455"/>
            <w:bookmarkStart w:name="_Toc495481274" w:id="456"/>
            <w:bookmarkStart w:name="_Toc495481399" w:id="457"/>
            <w:bookmarkStart w:name="_Toc495501580" w:id="458"/>
            <w:bookmarkStart w:name="_Toc38106900" w:id="459"/>
            <w:bookmarkStart w:name="_Toc75340021" w:id="460"/>
            <w:r w:rsidRPr="00E25790">
              <w:lastRenderedPageBreak/>
              <w:t>Paracetamol</w:t>
            </w:r>
            <w:bookmarkEnd w:id="455"/>
            <w:bookmarkEnd w:id="456"/>
            <w:bookmarkEnd w:id="457"/>
            <w:bookmarkEnd w:id="458"/>
            <w:bookmarkEnd w:id="459"/>
            <w:bookmarkEnd w:id="460"/>
            <w:r w:rsidRPr="00E25790">
              <w:fldChar w:fldCharType="begin"/>
            </w:r>
            <w:r w:rsidRPr="00E25790">
              <w:instrText>tc "Paracetamol" \l 0</w:instrText>
            </w:r>
            <w:r w:rsidRPr="00E25790">
              <w:fldChar w:fldCharType="end"/>
            </w:r>
          </w:p>
        </w:tc>
      </w:tr>
      <w:tr w:rsidRPr="00E25790" w:rsidR="00115F48" w:rsidTr="008A71EB" w14:paraId="5910D4C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Before w:val="2"/>
          <w:gridAfter w:val="1"/>
          <w:wBefore w:w="25" w:type="pct"/>
          <w:wAfter w:w="89" w:type="pct"/>
          <w:cantSplit/>
          <w:trHeight w:val="480"/>
        </w:trPr>
        <w:tc>
          <w:tcPr>
            <w:tcW w:w="2242" w:type="pct"/>
            <w:gridSpan w:val="3"/>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A32C7BF" w14:textId="4340708E">
            <w:r w:rsidRPr="00E25790">
              <w:t>Revision Date</w:t>
            </w:r>
            <w:r w:rsidRPr="00E25790">
              <w:rPr>
                <w:b/>
              </w:rPr>
              <w:t xml:space="preserve"> : </w:t>
            </w:r>
            <w:r w:rsidR="001E64E6">
              <w:rPr>
                <w:b/>
              </w:rPr>
              <w:t>18-2-2021</w:t>
            </w:r>
          </w:p>
        </w:tc>
        <w:tc>
          <w:tcPr>
            <w:tcW w:w="2643" w:type="pct"/>
            <w:gridSpan w:val="2"/>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E64E6" w14:paraId="1925C55A" w14:textId="4B3B52D2">
            <w:r>
              <w:t>TC, KOH</w:t>
            </w:r>
          </w:p>
        </w:tc>
      </w:tr>
    </w:tbl>
    <w:p w:rsidRPr="00E25790" w:rsidR="00115F48" w:rsidP="006F0321" w:rsidRDefault="00115F48" w14:paraId="75C0A4C5"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825"/>
      </w:tblGrid>
      <w:tr w:rsidRPr="003A7895" w:rsidR="00FE1346" w:rsidTr="001E64E6" w14:paraId="729898D1" w14:textId="77777777">
        <w:trPr>
          <w:trHeight w:val="70"/>
        </w:trPr>
        <w:tc>
          <w:tcPr>
            <w:tcW w:w="2410" w:type="dxa"/>
          </w:tcPr>
          <w:p w:rsidRPr="00B53E9B" w:rsidR="00FE1346" w:rsidP="00FE4186" w:rsidRDefault="00FE1346" w14:paraId="1E19B210" w14:textId="77777777">
            <w:pPr>
              <w:pStyle w:val="BodyText"/>
              <w:tabs>
                <w:tab w:val="center" w:pos="1476"/>
              </w:tabs>
              <w:rPr>
                <w:rFonts w:cs="Arial"/>
                <w:b/>
                <w:sz w:val="20"/>
              </w:rPr>
            </w:pPr>
            <w:r w:rsidRPr="00B53E9B">
              <w:rPr>
                <w:rFonts w:cs="Arial"/>
                <w:b/>
                <w:sz w:val="20"/>
              </w:rPr>
              <w:t>Alert</w:t>
            </w:r>
          </w:p>
        </w:tc>
        <w:tc>
          <w:tcPr>
            <w:tcW w:w="7825" w:type="dxa"/>
          </w:tcPr>
          <w:p w:rsidR="00FE1346" w:rsidP="00FE4186" w:rsidRDefault="00FE1346" w14:paraId="5AD0C802" w14:textId="77777777">
            <w:pPr>
              <w:pStyle w:val="BodyText"/>
              <w:rPr>
                <w:sz w:val="20"/>
              </w:rPr>
            </w:pPr>
            <w:r w:rsidRPr="00653739">
              <w:rPr>
                <w:sz w:val="20"/>
              </w:rPr>
              <w:t>I</w:t>
            </w:r>
            <w:r>
              <w:rPr>
                <w:sz w:val="20"/>
              </w:rPr>
              <w:t>ntravenous</w:t>
            </w:r>
            <w:r w:rsidRPr="00653739">
              <w:rPr>
                <w:sz w:val="20"/>
              </w:rPr>
              <w:t xml:space="preserve"> paracetamol should be considered a high</w:t>
            </w:r>
            <w:r>
              <w:rPr>
                <w:sz w:val="20"/>
              </w:rPr>
              <w:t>-</w:t>
            </w:r>
            <w:r w:rsidRPr="00653739">
              <w:rPr>
                <w:sz w:val="20"/>
              </w:rPr>
              <w:t>risk medicine when administered to infants and young children.</w:t>
            </w:r>
          </w:p>
          <w:p w:rsidR="00FE1346" w:rsidP="00FE4186" w:rsidRDefault="00FE1346" w14:paraId="1695D769" w14:textId="77777777">
            <w:pPr>
              <w:pStyle w:val="BodyText"/>
              <w:rPr>
                <w:sz w:val="20"/>
              </w:rPr>
            </w:pPr>
            <w:r w:rsidRPr="00653739">
              <w:rPr>
                <w:sz w:val="20"/>
              </w:rPr>
              <w:t>Use of paracetamol should always be preceded by a comprehensive risk assessment and reviewed every 24 hours.</w:t>
            </w:r>
          </w:p>
          <w:p w:rsidRPr="00A4414D" w:rsidR="00FE1346" w:rsidP="00FE4186" w:rsidRDefault="00FE1346" w14:paraId="0D759317" w14:textId="77777777">
            <w:pPr>
              <w:pStyle w:val="BodyText"/>
              <w:rPr>
                <w:rFonts w:cs="Arial"/>
                <w:sz w:val="20"/>
              </w:rPr>
            </w:pPr>
            <w:r>
              <w:rPr>
                <w:sz w:val="20"/>
              </w:rPr>
              <w:t>Safety data for paracetamol in extreme preterm infants (&lt; 28 weeks) is limited. It should be used with caution, particularly in the treatment of patent ductus arteriosus.</w:t>
            </w:r>
          </w:p>
        </w:tc>
      </w:tr>
      <w:tr w:rsidRPr="003A7895" w:rsidR="00FE1346" w:rsidTr="001E64E6" w14:paraId="3008A080" w14:textId="77777777">
        <w:trPr>
          <w:trHeight w:val="72"/>
        </w:trPr>
        <w:tc>
          <w:tcPr>
            <w:tcW w:w="2410" w:type="dxa"/>
          </w:tcPr>
          <w:p w:rsidRPr="00B53E9B" w:rsidR="00FE1346" w:rsidP="00FE4186" w:rsidRDefault="00FE1346" w14:paraId="632B845B" w14:textId="77777777">
            <w:pPr>
              <w:pStyle w:val="BodyText"/>
              <w:rPr>
                <w:rFonts w:cs="Arial"/>
                <w:sz w:val="20"/>
              </w:rPr>
            </w:pPr>
            <w:r w:rsidRPr="00B53E9B">
              <w:rPr>
                <w:rFonts w:cs="Arial"/>
                <w:b/>
                <w:bCs/>
                <w:sz w:val="20"/>
              </w:rPr>
              <w:t>Indication</w:t>
            </w:r>
          </w:p>
        </w:tc>
        <w:tc>
          <w:tcPr>
            <w:tcW w:w="7825" w:type="dxa"/>
          </w:tcPr>
          <w:p w:rsidR="00FE1346" w:rsidP="00FE4186" w:rsidRDefault="00FE1346" w14:paraId="17818FC5" w14:textId="77777777">
            <w:pPr>
              <w:rPr>
                <w:sz w:val="20"/>
              </w:rPr>
            </w:pPr>
            <w:r>
              <w:rPr>
                <w:sz w:val="20"/>
              </w:rPr>
              <w:t>Analgesia</w:t>
            </w:r>
          </w:p>
          <w:p w:rsidR="00FE1346" w:rsidP="00FE4186" w:rsidRDefault="00FE1346" w14:paraId="607543F1" w14:textId="77777777">
            <w:pPr>
              <w:rPr>
                <w:sz w:val="20"/>
              </w:rPr>
            </w:pPr>
            <w:r>
              <w:rPr>
                <w:sz w:val="20"/>
              </w:rPr>
              <w:t>Antipyretic</w:t>
            </w:r>
          </w:p>
          <w:p w:rsidR="00FE1346" w:rsidP="00FE4186" w:rsidRDefault="00FE1346" w14:paraId="0DBC6A6B" w14:textId="77777777">
            <w:pPr>
              <w:rPr>
                <w:sz w:val="20"/>
              </w:rPr>
            </w:pPr>
            <w:r>
              <w:rPr>
                <w:sz w:val="20"/>
              </w:rPr>
              <w:t>Adjunct to post-operative analgesia</w:t>
            </w:r>
          </w:p>
          <w:p w:rsidRPr="00A4414D" w:rsidR="00FE1346" w:rsidP="00FE4186" w:rsidRDefault="00FE1346" w14:paraId="104B33A3" w14:textId="77777777">
            <w:pPr>
              <w:rPr>
                <w:sz w:val="20"/>
              </w:rPr>
            </w:pPr>
            <w:r>
              <w:rPr>
                <w:sz w:val="20"/>
              </w:rPr>
              <w:t>Treatment</w:t>
            </w:r>
            <w:r w:rsidRPr="00050461">
              <w:rPr>
                <w:sz w:val="20"/>
              </w:rPr>
              <w:t xml:space="preserve"> of patent ductus arteriosus (PDA)</w:t>
            </w:r>
          </w:p>
        </w:tc>
      </w:tr>
      <w:tr w:rsidRPr="003A7895" w:rsidR="00FE1346" w:rsidTr="001E64E6" w14:paraId="4F9FB697" w14:textId="77777777">
        <w:trPr>
          <w:trHeight w:val="70"/>
        </w:trPr>
        <w:tc>
          <w:tcPr>
            <w:tcW w:w="2410" w:type="dxa"/>
          </w:tcPr>
          <w:p w:rsidRPr="00B53E9B" w:rsidR="00FE1346" w:rsidP="00FE4186" w:rsidRDefault="00FE1346" w14:paraId="56020F63" w14:textId="77777777">
            <w:pPr>
              <w:pStyle w:val="BodyText"/>
              <w:rPr>
                <w:rFonts w:cs="Arial"/>
                <w:b/>
                <w:bCs/>
                <w:sz w:val="20"/>
              </w:rPr>
            </w:pPr>
            <w:r w:rsidRPr="00B53E9B">
              <w:rPr>
                <w:rFonts w:cs="Arial"/>
                <w:b/>
                <w:bCs/>
                <w:sz w:val="20"/>
              </w:rPr>
              <w:t>Action</w:t>
            </w:r>
          </w:p>
        </w:tc>
        <w:tc>
          <w:tcPr>
            <w:tcW w:w="7825" w:type="dxa"/>
          </w:tcPr>
          <w:p w:rsidRPr="00A4414D" w:rsidR="00FE1346" w:rsidP="00FE4186" w:rsidRDefault="00FE1346" w14:paraId="28152E58" w14:textId="77777777">
            <w:pPr>
              <w:rPr>
                <w:rFonts w:cs="Arial"/>
                <w:sz w:val="20"/>
              </w:rPr>
            </w:pPr>
            <w:r>
              <w:rPr>
                <w:rFonts w:cs="Arial"/>
                <w:sz w:val="20"/>
              </w:rPr>
              <w:t>C</w:t>
            </w:r>
            <w:r w:rsidRPr="00674172">
              <w:rPr>
                <w:rFonts w:cs="Arial"/>
                <w:sz w:val="20"/>
              </w:rPr>
              <w:t xml:space="preserve">entrally acting analgesic and antipyretic with minimal anti-inflammatory properties. The mechanism of action of </w:t>
            </w:r>
            <w:r>
              <w:rPr>
                <w:rFonts w:cs="Arial"/>
                <w:sz w:val="20"/>
              </w:rPr>
              <w:t>paracetamol</w:t>
            </w:r>
            <w:r w:rsidRPr="00674172">
              <w:rPr>
                <w:rFonts w:cs="Arial"/>
                <w:sz w:val="20"/>
              </w:rPr>
              <w:t xml:space="preserve"> in reducing pain</w:t>
            </w:r>
            <w:r>
              <w:rPr>
                <w:rFonts w:cs="Arial"/>
                <w:sz w:val="20"/>
              </w:rPr>
              <w:t xml:space="preserve"> is not completely defined. Potential mechanisms include </w:t>
            </w:r>
            <w:r w:rsidRPr="00674172">
              <w:rPr>
                <w:rFonts w:cs="Arial"/>
                <w:sz w:val="20"/>
              </w:rPr>
              <w:t xml:space="preserve">inhibition of central prostaglandin synthesis and </w:t>
            </w:r>
            <w:r>
              <w:rPr>
                <w:rFonts w:cs="Arial"/>
                <w:sz w:val="20"/>
              </w:rPr>
              <w:t xml:space="preserve">inhibition of the </w:t>
            </w:r>
            <w:r w:rsidRPr="00674172">
              <w:rPr>
                <w:rFonts w:cs="Arial"/>
                <w:sz w:val="20"/>
              </w:rPr>
              <w:t>cyclooxygenase (COX) isoenzyme, particularly the COX-2 isoform.</w:t>
            </w:r>
          </w:p>
        </w:tc>
      </w:tr>
      <w:tr w:rsidRPr="003A7895" w:rsidR="00FE1346" w:rsidTr="001E64E6" w14:paraId="681829B3" w14:textId="77777777">
        <w:trPr>
          <w:trHeight w:val="266"/>
        </w:trPr>
        <w:tc>
          <w:tcPr>
            <w:tcW w:w="2410" w:type="dxa"/>
          </w:tcPr>
          <w:p w:rsidRPr="00B53E9B" w:rsidR="00FE1346" w:rsidP="00FE4186" w:rsidRDefault="00FE1346" w14:paraId="3D2CA9C7" w14:textId="77777777">
            <w:pPr>
              <w:pStyle w:val="BodyText"/>
              <w:rPr>
                <w:rFonts w:cs="Arial"/>
                <w:sz w:val="20"/>
              </w:rPr>
            </w:pPr>
            <w:r>
              <w:rPr>
                <w:rFonts w:cs="Arial"/>
                <w:b/>
                <w:bCs/>
                <w:sz w:val="20"/>
              </w:rPr>
              <w:t>Drug t</w:t>
            </w:r>
            <w:r w:rsidRPr="00B53E9B">
              <w:rPr>
                <w:rFonts w:cs="Arial"/>
                <w:b/>
                <w:bCs/>
                <w:sz w:val="20"/>
              </w:rPr>
              <w:t>ype</w:t>
            </w:r>
          </w:p>
        </w:tc>
        <w:tc>
          <w:tcPr>
            <w:tcW w:w="7825" w:type="dxa"/>
          </w:tcPr>
          <w:p w:rsidRPr="00A4414D" w:rsidR="00FE1346" w:rsidP="00FE4186" w:rsidRDefault="00FE1346" w14:paraId="757A18D9" w14:textId="77777777">
            <w:pPr>
              <w:pStyle w:val="BodyText"/>
              <w:rPr>
                <w:rFonts w:cs="Arial"/>
                <w:sz w:val="20"/>
              </w:rPr>
            </w:pPr>
            <w:r w:rsidRPr="00B464D2">
              <w:rPr>
                <w:sz w:val="20"/>
              </w:rPr>
              <w:t>Non-narcotic analgesic and antipyretic.</w:t>
            </w:r>
          </w:p>
        </w:tc>
      </w:tr>
      <w:tr w:rsidRPr="003A7895" w:rsidR="00FE1346" w:rsidTr="001E64E6" w14:paraId="2F801C0B" w14:textId="77777777">
        <w:trPr>
          <w:trHeight w:val="114"/>
        </w:trPr>
        <w:tc>
          <w:tcPr>
            <w:tcW w:w="2410" w:type="dxa"/>
          </w:tcPr>
          <w:p w:rsidRPr="00B53E9B" w:rsidR="00FE1346" w:rsidP="00FE4186" w:rsidRDefault="00FE1346" w14:paraId="0204B563"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825" w:type="dxa"/>
          </w:tcPr>
          <w:p w:rsidR="00FE1346" w:rsidP="00FE4186" w:rsidRDefault="00FE1346" w14:paraId="09AF4606" w14:textId="77777777">
            <w:pPr>
              <w:pStyle w:val="BodyText"/>
              <w:rPr>
                <w:sz w:val="20"/>
              </w:rPr>
            </w:pPr>
            <w:r w:rsidRPr="00A4414D">
              <w:rPr>
                <w:sz w:val="20"/>
              </w:rPr>
              <w:t xml:space="preserve">Intravenous: </w:t>
            </w:r>
            <w:r w:rsidRPr="00C7648F">
              <w:rPr>
                <w:sz w:val="20"/>
              </w:rPr>
              <w:t>Paracetamol Actavis</w:t>
            </w:r>
            <w:r>
              <w:rPr>
                <w:sz w:val="20"/>
              </w:rPr>
              <w:t xml:space="preserve">; Paracetamol ACT; </w:t>
            </w:r>
            <w:r w:rsidRPr="00C7648F">
              <w:rPr>
                <w:sz w:val="20"/>
              </w:rPr>
              <w:t>Paracetamol BNM</w:t>
            </w:r>
            <w:r>
              <w:rPr>
                <w:sz w:val="20"/>
              </w:rPr>
              <w:t xml:space="preserve">; </w:t>
            </w:r>
            <w:r w:rsidRPr="00C7648F">
              <w:rPr>
                <w:sz w:val="20"/>
              </w:rPr>
              <w:t>Paracetamol IV Pfizer</w:t>
            </w:r>
            <w:r>
              <w:rPr>
                <w:sz w:val="20"/>
              </w:rPr>
              <w:t xml:space="preserve">; </w:t>
            </w:r>
            <w:r w:rsidRPr="00C7648F">
              <w:rPr>
                <w:sz w:val="20"/>
              </w:rPr>
              <w:t>Paracetamol Kabi</w:t>
            </w:r>
            <w:r>
              <w:rPr>
                <w:sz w:val="20"/>
              </w:rPr>
              <w:t xml:space="preserve">; </w:t>
            </w:r>
            <w:r w:rsidRPr="00C7648F">
              <w:rPr>
                <w:sz w:val="20"/>
              </w:rPr>
              <w:t>Paracetamol-AFT</w:t>
            </w:r>
            <w:r>
              <w:rPr>
                <w:sz w:val="20"/>
              </w:rPr>
              <w:t>; Paramat</w:t>
            </w:r>
          </w:p>
          <w:p w:rsidRPr="00A4414D" w:rsidR="00FE1346" w:rsidP="00FE4186" w:rsidRDefault="00FE1346" w14:paraId="241E0A5B" w14:textId="77777777">
            <w:pPr>
              <w:pStyle w:val="BodyText"/>
              <w:rPr>
                <w:rFonts w:cs="Arial"/>
                <w:sz w:val="20"/>
              </w:rPr>
            </w:pPr>
            <w:r w:rsidRPr="00A4414D">
              <w:rPr>
                <w:sz w:val="20"/>
              </w:rPr>
              <w:t xml:space="preserve">Oral: </w:t>
            </w:r>
            <w:r>
              <w:rPr>
                <w:sz w:val="20"/>
              </w:rPr>
              <w:t>Dymadon, Febridol, Panadol (Children)</w:t>
            </w:r>
          </w:p>
        </w:tc>
      </w:tr>
      <w:tr w:rsidRPr="003A7895" w:rsidR="00FE1346" w:rsidTr="001E64E6" w14:paraId="47D0199E" w14:textId="77777777">
        <w:trPr>
          <w:trHeight w:val="70"/>
        </w:trPr>
        <w:tc>
          <w:tcPr>
            <w:tcW w:w="2410" w:type="dxa"/>
          </w:tcPr>
          <w:p w:rsidRPr="00B53E9B" w:rsidR="00FE1346" w:rsidP="00FE4186" w:rsidRDefault="00FE1346" w14:paraId="60C0982A" w14:textId="77777777">
            <w:pPr>
              <w:pStyle w:val="BodyText"/>
              <w:rPr>
                <w:rFonts w:cs="Arial"/>
                <w:b/>
                <w:bCs/>
                <w:sz w:val="20"/>
              </w:rPr>
            </w:pPr>
            <w:r w:rsidRPr="00B53E9B">
              <w:rPr>
                <w:rFonts w:cs="Arial"/>
                <w:b/>
                <w:bCs/>
                <w:sz w:val="20"/>
              </w:rPr>
              <w:t xml:space="preserve">Presentation </w:t>
            </w:r>
          </w:p>
        </w:tc>
        <w:tc>
          <w:tcPr>
            <w:tcW w:w="7825" w:type="dxa"/>
          </w:tcPr>
          <w:p w:rsidRPr="00A4414D" w:rsidR="00FE1346" w:rsidP="00FE4186" w:rsidRDefault="00FE1346" w14:paraId="579A745C" w14:textId="77777777">
            <w:pPr>
              <w:pStyle w:val="BodyText"/>
              <w:rPr>
                <w:rFonts w:cs="Arial"/>
                <w:sz w:val="20"/>
              </w:rPr>
            </w:pPr>
            <w:r w:rsidRPr="00442363">
              <w:rPr>
                <w:rFonts w:cs="Arial"/>
                <w:sz w:val="20"/>
              </w:rPr>
              <w:t>IV:</w:t>
            </w:r>
            <w:r>
              <w:rPr>
                <w:rFonts w:cs="Arial"/>
                <w:sz w:val="20"/>
              </w:rPr>
              <w:t xml:space="preserve"> </w:t>
            </w:r>
            <w:r w:rsidRPr="00442363">
              <w:rPr>
                <w:rFonts w:cs="Arial"/>
                <w:sz w:val="20"/>
              </w:rPr>
              <w:t>500</w:t>
            </w:r>
            <w:r>
              <w:rPr>
                <w:rFonts w:cs="Arial"/>
                <w:sz w:val="20"/>
              </w:rPr>
              <w:t xml:space="preserve"> </w:t>
            </w:r>
            <w:r w:rsidRPr="00442363">
              <w:rPr>
                <w:rFonts w:cs="Arial"/>
                <w:sz w:val="20"/>
              </w:rPr>
              <w:t>mg/50</w:t>
            </w:r>
            <w:r>
              <w:rPr>
                <w:rFonts w:cs="Arial"/>
                <w:sz w:val="20"/>
              </w:rPr>
              <w:t xml:space="preserve"> </w:t>
            </w:r>
            <w:r w:rsidRPr="00442363">
              <w:rPr>
                <w:rFonts w:cs="Arial"/>
                <w:sz w:val="20"/>
              </w:rPr>
              <w:t>m</w:t>
            </w:r>
            <w:r>
              <w:rPr>
                <w:rFonts w:cs="Arial"/>
                <w:sz w:val="20"/>
              </w:rPr>
              <w:t>L, 1000 mg/100 mL</w:t>
            </w:r>
            <w:r w:rsidRPr="00442363">
              <w:rPr>
                <w:rFonts w:cs="Arial"/>
                <w:sz w:val="20"/>
              </w:rPr>
              <w:t xml:space="preserve"> (10</w:t>
            </w:r>
            <w:r>
              <w:rPr>
                <w:rFonts w:cs="Arial"/>
                <w:sz w:val="20"/>
              </w:rPr>
              <w:t xml:space="preserve"> </w:t>
            </w:r>
            <w:r w:rsidRPr="00442363">
              <w:rPr>
                <w:rFonts w:cs="Arial"/>
                <w:sz w:val="20"/>
              </w:rPr>
              <w:t>mg/m</w:t>
            </w:r>
            <w:r>
              <w:rPr>
                <w:rFonts w:cs="Arial"/>
                <w:sz w:val="20"/>
              </w:rPr>
              <w:t>L</w:t>
            </w:r>
            <w:r w:rsidRPr="00442363">
              <w:rPr>
                <w:rFonts w:cs="Arial"/>
                <w:sz w:val="20"/>
              </w:rPr>
              <w:t>) vial</w:t>
            </w:r>
            <w:r>
              <w:rPr>
                <w:rFonts w:cs="Arial"/>
                <w:sz w:val="20"/>
              </w:rPr>
              <w:t xml:space="preserve"> or infusion bag</w:t>
            </w:r>
          </w:p>
          <w:p w:rsidRPr="00A4414D" w:rsidR="00FE1346" w:rsidP="00FE4186" w:rsidRDefault="00FE1346" w14:paraId="5B6EE18F" w14:textId="77777777">
            <w:pPr>
              <w:pStyle w:val="BodyText"/>
              <w:rPr>
                <w:rFonts w:cs="Arial"/>
                <w:sz w:val="20"/>
              </w:rPr>
            </w:pPr>
            <w:r w:rsidRPr="00A4414D">
              <w:rPr>
                <w:rFonts w:cs="Arial"/>
                <w:sz w:val="20"/>
              </w:rPr>
              <w:t>Oral: 100</w:t>
            </w:r>
            <w:r>
              <w:rPr>
                <w:rFonts w:cs="Arial"/>
                <w:sz w:val="20"/>
              </w:rPr>
              <w:t xml:space="preserve"> mg/</w:t>
            </w:r>
            <w:r w:rsidRPr="00A4414D">
              <w:rPr>
                <w:rFonts w:cs="Arial"/>
                <w:sz w:val="20"/>
              </w:rPr>
              <w:t>mL</w:t>
            </w:r>
            <w:r>
              <w:rPr>
                <w:rFonts w:cs="Arial"/>
                <w:sz w:val="20"/>
              </w:rPr>
              <w:t xml:space="preserve"> drops</w:t>
            </w:r>
          </w:p>
        </w:tc>
      </w:tr>
      <w:tr w:rsidRPr="000E2236" w:rsidR="00FE1346" w:rsidTr="001E64E6" w14:paraId="190FC9EF" w14:textId="77777777">
        <w:trPr>
          <w:trHeight w:val="70"/>
        </w:trPr>
        <w:tc>
          <w:tcPr>
            <w:tcW w:w="2410" w:type="dxa"/>
          </w:tcPr>
          <w:p w:rsidRPr="00B53E9B" w:rsidR="00FE1346" w:rsidP="00FE4186" w:rsidRDefault="00FE1346" w14:paraId="1573A71B" w14:textId="77777777">
            <w:pPr>
              <w:pStyle w:val="BodyText"/>
              <w:rPr>
                <w:rFonts w:cs="Arial"/>
                <w:b/>
                <w:bCs/>
                <w:sz w:val="20"/>
              </w:rPr>
            </w:pPr>
            <w:r>
              <w:rPr>
                <w:rFonts w:cs="Arial"/>
                <w:b/>
                <w:bCs/>
                <w:sz w:val="20"/>
              </w:rPr>
              <w:t>Dose</w:t>
            </w:r>
            <w:r w:rsidRPr="00B53E9B">
              <w:rPr>
                <w:rFonts w:cs="Arial"/>
                <w:b/>
                <w:bCs/>
                <w:sz w:val="20"/>
              </w:rPr>
              <w:t xml:space="preserve"> </w:t>
            </w:r>
          </w:p>
        </w:tc>
        <w:tc>
          <w:tcPr>
            <w:tcW w:w="7825" w:type="dxa"/>
          </w:tcPr>
          <w:p w:rsidRPr="0077486D" w:rsidR="00FE1346" w:rsidP="00FE4186" w:rsidRDefault="00FE1346" w14:paraId="10DE6F15" w14:textId="77777777">
            <w:pPr>
              <w:overflowPunct w:val="0"/>
              <w:autoSpaceDE w:val="0"/>
              <w:autoSpaceDN w:val="0"/>
              <w:adjustRightInd w:val="0"/>
              <w:jc w:val="both"/>
              <w:textAlignment w:val="baseline"/>
              <w:rPr>
                <w:sz w:val="20"/>
                <w:u w:val="single"/>
              </w:rPr>
            </w:pPr>
            <w:r w:rsidRPr="0077486D">
              <w:rPr>
                <w:sz w:val="20"/>
                <w:u w:val="single"/>
              </w:rPr>
              <w:t>Analgesia/Antipyretic/Adjunct to post-operative analgesia</w:t>
            </w:r>
          </w:p>
          <w:p w:rsidRPr="0077486D" w:rsidR="00FE1346" w:rsidP="00FE4186" w:rsidRDefault="00FE1346" w14:paraId="40583BEA" w14:textId="77777777">
            <w:pPr>
              <w:overflowPunct w:val="0"/>
              <w:autoSpaceDE w:val="0"/>
              <w:autoSpaceDN w:val="0"/>
              <w:adjustRightInd w:val="0"/>
              <w:jc w:val="both"/>
              <w:textAlignment w:val="baseline"/>
              <w:rPr>
                <w:sz w:val="20"/>
              </w:rPr>
            </w:pPr>
            <w:r w:rsidRPr="0077486D">
              <w:rPr>
                <w:sz w:val="20"/>
              </w:rPr>
              <w:t>Oral/Intravenous/Rectal</w:t>
            </w:r>
            <w:r w:rsidRPr="0077486D">
              <w:rPr>
                <w:sz w:val="20"/>
                <w:vertAlign w:val="superscript"/>
              </w:rPr>
              <w:t>1-3</w:t>
            </w:r>
            <w:r w:rsidRPr="0077486D">
              <w:rPr>
                <w:sz w:val="20"/>
              </w:rPr>
              <w:t>:</w:t>
            </w:r>
          </w:p>
          <w:tbl>
            <w:tblPr>
              <w:tblW w:w="7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89"/>
              <w:gridCol w:w="2019"/>
              <w:gridCol w:w="2683"/>
            </w:tblGrid>
            <w:tr w:rsidRPr="0077486D" w:rsidR="00FE1346" w:rsidTr="00C34C96" w14:paraId="3180B09A" w14:textId="77777777">
              <w:tc>
                <w:tcPr>
                  <w:tcW w:w="3289" w:type="dxa"/>
                  <w:shd w:val="clear" w:color="auto" w:fill="auto"/>
                </w:tcPr>
                <w:p w:rsidRPr="0077486D" w:rsidR="00FE1346" w:rsidP="00FE4186" w:rsidRDefault="00FE1346" w14:paraId="13FF5E32" w14:textId="77777777">
                  <w:pPr>
                    <w:overflowPunct w:val="0"/>
                    <w:autoSpaceDE w:val="0"/>
                    <w:autoSpaceDN w:val="0"/>
                    <w:adjustRightInd w:val="0"/>
                    <w:jc w:val="center"/>
                    <w:textAlignment w:val="baseline"/>
                    <w:rPr>
                      <w:sz w:val="20"/>
                    </w:rPr>
                  </w:pPr>
                  <w:r w:rsidRPr="0077486D">
                    <w:rPr>
                      <w:sz w:val="20"/>
                    </w:rPr>
                    <w:t>Weight*</w:t>
                  </w:r>
                </w:p>
              </w:tc>
              <w:tc>
                <w:tcPr>
                  <w:tcW w:w="2019" w:type="dxa"/>
                  <w:shd w:val="clear" w:color="auto" w:fill="auto"/>
                </w:tcPr>
                <w:p w:rsidRPr="0077486D" w:rsidR="00FE1346" w:rsidP="00FE4186" w:rsidRDefault="00FE1346" w14:paraId="46CD6401" w14:textId="77777777">
                  <w:pPr>
                    <w:overflowPunct w:val="0"/>
                    <w:autoSpaceDE w:val="0"/>
                    <w:autoSpaceDN w:val="0"/>
                    <w:adjustRightInd w:val="0"/>
                    <w:jc w:val="center"/>
                    <w:textAlignment w:val="baseline"/>
                    <w:rPr>
                      <w:sz w:val="20"/>
                    </w:rPr>
                  </w:pPr>
                  <w:r w:rsidRPr="0077486D">
                    <w:rPr>
                      <w:sz w:val="20"/>
                    </w:rPr>
                    <w:t>Loading</w:t>
                  </w:r>
                </w:p>
              </w:tc>
              <w:tc>
                <w:tcPr>
                  <w:tcW w:w="2683" w:type="dxa"/>
                  <w:shd w:val="clear" w:color="auto" w:fill="auto"/>
                </w:tcPr>
                <w:p w:rsidRPr="0077486D" w:rsidR="00FE1346" w:rsidP="00FE4186" w:rsidRDefault="00FE1346" w14:paraId="50824AE9" w14:textId="77777777">
                  <w:pPr>
                    <w:overflowPunct w:val="0"/>
                    <w:autoSpaceDE w:val="0"/>
                    <w:autoSpaceDN w:val="0"/>
                    <w:adjustRightInd w:val="0"/>
                    <w:jc w:val="center"/>
                    <w:textAlignment w:val="baseline"/>
                    <w:rPr>
                      <w:sz w:val="20"/>
                    </w:rPr>
                  </w:pPr>
                  <w:r w:rsidRPr="0077486D">
                    <w:rPr>
                      <w:sz w:val="20"/>
                    </w:rPr>
                    <w:t>Maintenance</w:t>
                  </w:r>
                </w:p>
              </w:tc>
            </w:tr>
            <w:tr w:rsidRPr="0077486D" w:rsidR="00FE1346" w:rsidTr="00C34C96" w14:paraId="79A9B0D1" w14:textId="77777777">
              <w:tc>
                <w:tcPr>
                  <w:tcW w:w="3289" w:type="dxa"/>
                  <w:shd w:val="clear" w:color="auto" w:fill="auto"/>
                </w:tcPr>
                <w:p w:rsidRPr="0077486D" w:rsidR="00FE1346" w:rsidP="00FE4186" w:rsidRDefault="00FE1346" w14:paraId="3103C343" w14:textId="77777777">
                  <w:pPr>
                    <w:overflowPunct w:val="0"/>
                    <w:autoSpaceDE w:val="0"/>
                    <w:autoSpaceDN w:val="0"/>
                    <w:adjustRightInd w:val="0"/>
                    <w:jc w:val="center"/>
                    <w:textAlignment w:val="baseline"/>
                    <w:rPr>
                      <w:sz w:val="20"/>
                    </w:rPr>
                  </w:pPr>
                  <w:r w:rsidRPr="0077486D">
                    <w:rPr>
                      <w:sz w:val="20"/>
                    </w:rPr>
                    <w:t>&lt;2.0 kg</w:t>
                  </w:r>
                </w:p>
              </w:tc>
              <w:tc>
                <w:tcPr>
                  <w:tcW w:w="2019" w:type="dxa"/>
                  <w:shd w:val="clear" w:color="auto" w:fill="auto"/>
                </w:tcPr>
                <w:p w:rsidRPr="0077486D" w:rsidR="00FE1346" w:rsidP="00FE4186" w:rsidRDefault="00FE1346" w14:paraId="7866A778" w14:textId="77777777">
                  <w:pPr>
                    <w:overflowPunct w:val="0"/>
                    <w:autoSpaceDE w:val="0"/>
                    <w:autoSpaceDN w:val="0"/>
                    <w:adjustRightInd w:val="0"/>
                    <w:jc w:val="center"/>
                    <w:textAlignment w:val="baseline"/>
                    <w:rPr>
                      <w:sz w:val="20"/>
                    </w:rPr>
                  </w:pPr>
                  <w:r w:rsidRPr="0077486D">
                    <w:rPr>
                      <w:sz w:val="20"/>
                    </w:rPr>
                    <w:t>15 mg/kg</w:t>
                  </w:r>
                </w:p>
              </w:tc>
              <w:tc>
                <w:tcPr>
                  <w:tcW w:w="2683" w:type="dxa"/>
                  <w:shd w:val="clear" w:color="auto" w:fill="auto"/>
                </w:tcPr>
                <w:p w:rsidRPr="0077486D" w:rsidR="00FE1346" w:rsidP="00FE4186" w:rsidRDefault="00FE1346" w14:paraId="1533A766" w14:textId="77777777">
                  <w:pPr>
                    <w:overflowPunct w:val="0"/>
                    <w:autoSpaceDE w:val="0"/>
                    <w:autoSpaceDN w:val="0"/>
                    <w:adjustRightInd w:val="0"/>
                    <w:jc w:val="center"/>
                    <w:textAlignment w:val="baseline"/>
                    <w:rPr>
                      <w:sz w:val="20"/>
                    </w:rPr>
                  </w:pPr>
                  <w:r w:rsidRPr="0077486D">
                    <w:rPr>
                      <w:sz w:val="20"/>
                    </w:rPr>
                    <w:t>7.5 mg/kg every 6 hours</w:t>
                  </w:r>
                </w:p>
              </w:tc>
            </w:tr>
            <w:tr w:rsidRPr="0077486D" w:rsidR="00FE1346" w:rsidTr="00C34C96" w14:paraId="3DB5D223" w14:textId="77777777">
              <w:tc>
                <w:tcPr>
                  <w:tcW w:w="3289" w:type="dxa"/>
                  <w:shd w:val="clear" w:color="auto" w:fill="auto"/>
                </w:tcPr>
                <w:p w:rsidRPr="0077486D" w:rsidR="00FE1346" w:rsidP="00FE4186" w:rsidRDefault="00FE1346" w14:paraId="7DF14E0A" w14:textId="77777777">
                  <w:pPr>
                    <w:overflowPunct w:val="0"/>
                    <w:autoSpaceDE w:val="0"/>
                    <w:autoSpaceDN w:val="0"/>
                    <w:adjustRightInd w:val="0"/>
                    <w:jc w:val="center"/>
                    <w:textAlignment w:val="baseline"/>
                    <w:rPr>
                      <w:sz w:val="20"/>
                    </w:rPr>
                  </w:pPr>
                  <w:r w:rsidRPr="0077486D">
                    <w:rPr>
                      <w:sz w:val="20"/>
                    </w:rPr>
                    <w:t>2.0 – 3.0 kg</w:t>
                  </w:r>
                </w:p>
              </w:tc>
              <w:tc>
                <w:tcPr>
                  <w:tcW w:w="2019" w:type="dxa"/>
                  <w:shd w:val="clear" w:color="auto" w:fill="auto"/>
                </w:tcPr>
                <w:p w:rsidRPr="0077486D" w:rsidR="00FE1346" w:rsidP="00FE4186" w:rsidRDefault="00FE1346" w14:paraId="2D4BC940" w14:textId="77777777">
                  <w:pPr>
                    <w:overflowPunct w:val="0"/>
                    <w:autoSpaceDE w:val="0"/>
                    <w:autoSpaceDN w:val="0"/>
                    <w:adjustRightInd w:val="0"/>
                    <w:jc w:val="center"/>
                    <w:textAlignment w:val="baseline"/>
                    <w:rPr>
                      <w:sz w:val="20"/>
                    </w:rPr>
                  </w:pPr>
                  <w:r w:rsidRPr="0077486D">
                    <w:rPr>
                      <w:sz w:val="20"/>
                    </w:rPr>
                    <w:t>15 mg/kg</w:t>
                  </w:r>
                </w:p>
              </w:tc>
              <w:tc>
                <w:tcPr>
                  <w:tcW w:w="2683" w:type="dxa"/>
                  <w:shd w:val="clear" w:color="auto" w:fill="auto"/>
                </w:tcPr>
                <w:p w:rsidRPr="0077486D" w:rsidR="00FE1346" w:rsidP="00FE4186" w:rsidRDefault="00FE1346" w14:paraId="4F745A37" w14:textId="77777777">
                  <w:pPr>
                    <w:overflowPunct w:val="0"/>
                    <w:autoSpaceDE w:val="0"/>
                    <w:autoSpaceDN w:val="0"/>
                    <w:adjustRightInd w:val="0"/>
                    <w:jc w:val="center"/>
                    <w:textAlignment w:val="baseline"/>
                    <w:rPr>
                      <w:sz w:val="20"/>
                    </w:rPr>
                  </w:pPr>
                  <w:r w:rsidRPr="0077486D">
                    <w:rPr>
                      <w:sz w:val="20"/>
                    </w:rPr>
                    <w:t>10 mg/kg every 6 hours</w:t>
                  </w:r>
                </w:p>
              </w:tc>
            </w:tr>
            <w:tr w:rsidRPr="0077486D" w:rsidR="00FE1346" w:rsidTr="00C34C96" w14:paraId="58EF0A1A" w14:textId="77777777">
              <w:tc>
                <w:tcPr>
                  <w:tcW w:w="3289" w:type="dxa"/>
                  <w:shd w:val="clear" w:color="auto" w:fill="auto"/>
                </w:tcPr>
                <w:p w:rsidRPr="0077486D" w:rsidR="00FE1346" w:rsidP="00FE4186" w:rsidRDefault="00FE1346" w14:paraId="034B609C" w14:textId="77777777">
                  <w:pPr>
                    <w:overflowPunct w:val="0"/>
                    <w:autoSpaceDE w:val="0"/>
                    <w:autoSpaceDN w:val="0"/>
                    <w:adjustRightInd w:val="0"/>
                    <w:jc w:val="center"/>
                    <w:textAlignment w:val="baseline"/>
                    <w:rPr>
                      <w:sz w:val="20"/>
                    </w:rPr>
                  </w:pPr>
                  <w:r w:rsidRPr="0077486D">
                    <w:rPr>
                      <w:sz w:val="20"/>
                    </w:rPr>
                    <w:t>&gt;3.0 kg</w:t>
                  </w:r>
                </w:p>
              </w:tc>
              <w:tc>
                <w:tcPr>
                  <w:tcW w:w="2019" w:type="dxa"/>
                  <w:shd w:val="clear" w:color="auto" w:fill="auto"/>
                </w:tcPr>
                <w:p w:rsidRPr="0077486D" w:rsidR="00FE1346" w:rsidP="00FE4186" w:rsidRDefault="00FE1346" w14:paraId="7DC5F69E" w14:textId="77777777">
                  <w:pPr>
                    <w:overflowPunct w:val="0"/>
                    <w:autoSpaceDE w:val="0"/>
                    <w:autoSpaceDN w:val="0"/>
                    <w:adjustRightInd w:val="0"/>
                    <w:jc w:val="center"/>
                    <w:textAlignment w:val="baseline"/>
                    <w:rPr>
                      <w:sz w:val="20"/>
                    </w:rPr>
                  </w:pPr>
                  <w:r w:rsidRPr="0077486D">
                    <w:rPr>
                      <w:sz w:val="20"/>
                    </w:rPr>
                    <w:t>20 mg/kg</w:t>
                  </w:r>
                </w:p>
              </w:tc>
              <w:tc>
                <w:tcPr>
                  <w:tcW w:w="2683" w:type="dxa"/>
                  <w:shd w:val="clear" w:color="auto" w:fill="auto"/>
                </w:tcPr>
                <w:p w:rsidRPr="0077486D" w:rsidR="00FE1346" w:rsidP="00FE4186" w:rsidRDefault="00FE1346" w14:paraId="2E930336" w14:textId="77777777">
                  <w:pPr>
                    <w:overflowPunct w:val="0"/>
                    <w:autoSpaceDE w:val="0"/>
                    <w:autoSpaceDN w:val="0"/>
                    <w:adjustRightInd w:val="0"/>
                    <w:jc w:val="center"/>
                    <w:textAlignment w:val="baseline"/>
                    <w:rPr>
                      <w:sz w:val="20"/>
                    </w:rPr>
                  </w:pPr>
                  <w:r w:rsidRPr="0077486D">
                    <w:rPr>
                      <w:sz w:val="20"/>
                    </w:rPr>
                    <w:t>10 mg/kg every 6 hours</w:t>
                  </w:r>
                </w:p>
              </w:tc>
            </w:tr>
          </w:tbl>
          <w:p w:rsidRPr="0077486D" w:rsidR="00FE1346" w:rsidP="00FE4186" w:rsidRDefault="00FE1346" w14:paraId="65637F54" w14:textId="77777777">
            <w:pPr>
              <w:overflowPunct w:val="0"/>
              <w:autoSpaceDE w:val="0"/>
              <w:autoSpaceDN w:val="0"/>
              <w:adjustRightInd w:val="0"/>
              <w:jc w:val="both"/>
              <w:textAlignment w:val="baseline"/>
              <w:rPr>
                <w:sz w:val="20"/>
              </w:rPr>
            </w:pPr>
            <w:r w:rsidRPr="0077486D">
              <w:rPr>
                <w:sz w:val="20"/>
              </w:rPr>
              <w:t>*Current/best weight</w:t>
            </w:r>
          </w:p>
          <w:p w:rsidRPr="0077486D" w:rsidR="00FE1346" w:rsidP="00FE4186" w:rsidRDefault="00FE1346" w14:paraId="3518AB55" w14:textId="77777777">
            <w:pPr>
              <w:overflowPunct w:val="0"/>
              <w:autoSpaceDE w:val="0"/>
              <w:autoSpaceDN w:val="0"/>
              <w:adjustRightInd w:val="0"/>
              <w:jc w:val="both"/>
              <w:textAlignment w:val="baseline"/>
              <w:rPr>
                <w:sz w:val="20"/>
              </w:rPr>
            </w:pPr>
          </w:p>
          <w:p w:rsidRPr="0077486D" w:rsidR="00FE1346" w:rsidP="00FE4186" w:rsidRDefault="00FE1346" w14:paraId="0E71B259" w14:textId="77777777">
            <w:pPr>
              <w:overflowPunct w:val="0"/>
              <w:autoSpaceDE w:val="0"/>
              <w:autoSpaceDN w:val="0"/>
              <w:adjustRightInd w:val="0"/>
              <w:jc w:val="both"/>
              <w:textAlignment w:val="baseline"/>
              <w:rPr>
                <w:sz w:val="20"/>
                <w:u w:val="single"/>
              </w:rPr>
            </w:pPr>
            <w:r w:rsidRPr="0077486D">
              <w:rPr>
                <w:sz w:val="20"/>
                <w:u w:val="single"/>
              </w:rPr>
              <w:t>Patent Ductus Arteriosus</w:t>
            </w:r>
            <w:r>
              <w:rPr>
                <w:sz w:val="20"/>
                <w:u w:val="single"/>
              </w:rPr>
              <w:t xml:space="preserve"> (</w:t>
            </w:r>
            <w:r w:rsidRPr="00EB7F28">
              <w:rPr>
                <w:sz w:val="20"/>
                <w:u w:val="single"/>
              </w:rPr>
              <w:t xml:space="preserve">treatment course 3-7 days with </w:t>
            </w:r>
            <w:r>
              <w:rPr>
                <w:sz w:val="20"/>
                <w:u w:val="single"/>
              </w:rPr>
              <w:t>48-hourly</w:t>
            </w:r>
            <w:r w:rsidRPr="00EB7F28">
              <w:rPr>
                <w:sz w:val="20"/>
                <w:u w:val="single"/>
              </w:rPr>
              <w:t xml:space="preserve"> monitoring of liver function</w:t>
            </w:r>
            <w:r>
              <w:rPr>
                <w:sz w:val="20"/>
                <w:u w:val="single"/>
              </w:rPr>
              <w:t>)</w:t>
            </w:r>
          </w:p>
          <w:p w:rsidRPr="0077486D" w:rsidR="00FE1346" w:rsidP="00FE4186" w:rsidRDefault="00FE1346" w14:paraId="3AD3CB56" w14:textId="77777777">
            <w:pPr>
              <w:overflowPunct w:val="0"/>
              <w:autoSpaceDE w:val="0"/>
              <w:autoSpaceDN w:val="0"/>
              <w:adjustRightInd w:val="0"/>
              <w:jc w:val="both"/>
              <w:textAlignment w:val="baseline"/>
              <w:rPr>
                <w:sz w:val="20"/>
              </w:rPr>
            </w:pPr>
            <w:r w:rsidRPr="0077486D">
              <w:rPr>
                <w:sz w:val="20"/>
              </w:rPr>
              <w:t>Oral/Intravenous</w:t>
            </w:r>
            <w:r>
              <w:rPr>
                <w:sz w:val="20"/>
                <w:vertAlign w:val="superscript"/>
              </w:rPr>
              <w:t>4,5</w:t>
            </w:r>
            <w:r>
              <w:rPr>
                <w:sz w:val="20"/>
              </w:rPr>
              <w:t>:</w:t>
            </w:r>
            <w:r w:rsidRPr="0077486D">
              <w:rPr>
                <w:sz w:val="20"/>
              </w:rPr>
              <w:t xml:space="preserve"> </w:t>
            </w:r>
          </w:p>
          <w:tbl>
            <w:tblPr>
              <w:tblW w:w="79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89"/>
              <w:gridCol w:w="1877"/>
              <w:gridCol w:w="2825"/>
            </w:tblGrid>
            <w:tr w:rsidRPr="0077486D" w:rsidR="00FE1346" w:rsidTr="00C34C96" w14:paraId="3F2A8D8F" w14:textId="77777777">
              <w:tc>
                <w:tcPr>
                  <w:tcW w:w="3289" w:type="dxa"/>
                  <w:shd w:val="clear" w:color="auto" w:fill="auto"/>
                </w:tcPr>
                <w:p w:rsidRPr="0077486D" w:rsidR="00FE1346" w:rsidP="00FE4186" w:rsidRDefault="00FE1346" w14:paraId="6A2C7543" w14:textId="77777777">
                  <w:pPr>
                    <w:overflowPunct w:val="0"/>
                    <w:autoSpaceDE w:val="0"/>
                    <w:autoSpaceDN w:val="0"/>
                    <w:adjustRightInd w:val="0"/>
                    <w:jc w:val="center"/>
                    <w:textAlignment w:val="baseline"/>
                    <w:rPr>
                      <w:sz w:val="20"/>
                    </w:rPr>
                  </w:pPr>
                  <w:r w:rsidRPr="0077486D">
                    <w:rPr>
                      <w:sz w:val="20"/>
                    </w:rPr>
                    <w:t>Criteria</w:t>
                  </w:r>
                </w:p>
              </w:tc>
              <w:tc>
                <w:tcPr>
                  <w:tcW w:w="1877" w:type="dxa"/>
                  <w:shd w:val="clear" w:color="auto" w:fill="auto"/>
                </w:tcPr>
                <w:p w:rsidRPr="0077486D" w:rsidR="00FE1346" w:rsidP="00FE4186" w:rsidRDefault="00FE1346" w14:paraId="469B6F12" w14:textId="77777777">
                  <w:pPr>
                    <w:overflowPunct w:val="0"/>
                    <w:autoSpaceDE w:val="0"/>
                    <w:autoSpaceDN w:val="0"/>
                    <w:adjustRightInd w:val="0"/>
                    <w:jc w:val="center"/>
                    <w:textAlignment w:val="baseline"/>
                    <w:rPr>
                      <w:sz w:val="20"/>
                    </w:rPr>
                  </w:pPr>
                  <w:r w:rsidRPr="0077486D">
                    <w:rPr>
                      <w:sz w:val="20"/>
                    </w:rPr>
                    <w:t>Loading</w:t>
                  </w:r>
                </w:p>
              </w:tc>
              <w:tc>
                <w:tcPr>
                  <w:tcW w:w="2825" w:type="dxa"/>
                  <w:shd w:val="clear" w:color="auto" w:fill="auto"/>
                </w:tcPr>
                <w:p w:rsidRPr="0077486D" w:rsidR="00FE1346" w:rsidP="00FE4186" w:rsidRDefault="00FE1346" w14:paraId="5400D650" w14:textId="77777777">
                  <w:pPr>
                    <w:overflowPunct w:val="0"/>
                    <w:autoSpaceDE w:val="0"/>
                    <w:autoSpaceDN w:val="0"/>
                    <w:adjustRightInd w:val="0"/>
                    <w:jc w:val="center"/>
                    <w:textAlignment w:val="baseline"/>
                    <w:rPr>
                      <w:sz w:val="20"/>
                    </w:rPr>
                  </w:pPr>
                  <w:r w:rsidRPr="0077486D">
                    <w:rPr>
                      <w:sz w:val="20"/>
                    </w:rPr>
                    <w:t>Maintenance</w:t>
                  </w:r>
                </w:p>
              </w:tc>
            </w:tr>
            <w:tr w:rsidRPr="0077486D" w:rsidR="00FE1346" w:rsidTr="00C34C96" w14:paraId="02CE5E21" w14:textId="77777777">
              <w:tc>
                <w:tcPr>
                  <w:tcW w:w="3289" w:type="dxa"/>
                  <w:shd w:val="clear" w:color="auto" w:fill="auto"/>
                </w:tcPr>
                <w:p w:rsidRPr="0077486D" w:rsidR="00FE1346" w:rsidP="00FE4186" w:rsidRDefault="00FE1346" w14:paraId="5E858043" w14:textId="77777777">
                  <w:pPr>
                    <w:overflowPunct w:val="0"/>
                    <w:autoSpaceDE w:val="0"/>
                    <w:autoSpaceDN w:val="0"/>
                    <w:adjustRightInd w:val="0"/>
                    <w:jc w:val="center"/>
                    <w:textAlignment w:val="baseline"/>
                    <w:rPr>
                      <w:sz w:val="20"/>
                    </w:rPr>
                  </w:pPr>
                  <w:r w:rsidRPr="0077486D">
                    <w:rPr>
                      <w:sz w:val="20"/>
                    </w:rPr>
                    <w:t>≥28 weeks CGA/PMA and ≥1000 g*</w:t>
                  </w:r>
                </w:p>
              </w:tc>
              <w:tc>
                <w:tcPr>
                  <w:tcW w:w="1877" w:type="dxa"/>
                  <w:shd w:val="clear" w:color="auto" w:fill="auto"/>
                </w:tcPr>
                <w:p w:rsidRPr="0077486D" w:rsidR="00FE1346" w:rsidP="00FE4186" w:rsidRDefault="00FE1346" w14:paraId="429677F6" w14:textId="77777777">
                  <w:pPr>
                    <w:overflowPunct w:val="0"/>
                    <w:autoSpaceDE w:val="0"/>
                    <w:autoSpaceDN w:val="0"/>
                    <w:adjustRightInd w:val="0"/>
                    <w:jc w:val="center"/>
                    <w:textAlignment w:val="baseline"/>
                    <w:rPr>
                      <w:sz w:val="20"/>
                    </w:rPr>
                  </w:pPr>
                  <w:r w:rsidRPr="0077486D">
                    <w:rPr>
                      <w:sz w:val="20"/>
                    </w:rPr>
                    <w:t>15 mg/kg</w:t>
                  </w:r>
                </w:p>
              </w:tc>
              <w:tc>
                <w:tcPr>
                  <w:tcW w:w="2825" w:type="dxa"/>
                  <w:shd w:val="clear" w:color="auto" w:fill="auto"/>
                </w:tcPr>
                <w:p w:rsidRPr="0077486D" w:rsidR="00FE1346" w:rsidP="00FE4186" w:rsidRDefault="00FE1346" w14:paraId="2184E83E" w14:textId="77777777">
                  <w:pPr>
                    <w:overflowPunct w:val="0"/>
                    <w:autoSpaceDE w:val="0"/>
                    <w:autoSpaceDN w:val="0"/>
                    <w:adjustRightInd w:val="0"/>
                    <w:jc w:val="center"/>
                    <w:textAlignment w:val="baseline"/>
                    <w:rPr>
                      <w:sz w:val="20"/>
                    </w:rPr>
                  </w:pPr>
                  <w:r w:rsidRPr="0077486D">
                    <w:rPr>
                      <w:sz w:val="20"/>
                    </w:rPr>
                    <w:t>15 mg/kg every 6 hours</w:t>
                  </w:r>
                </w:p>
              </w:tc>
            </w:tr>
            <w:tr w:rsidRPr="0077486D" w:rsidR="00FE1346" w:rsidTr="00C34C96" w14:paraId="02A6D1D1" w14:textId="77777777">
              <w:tc>
                <w:tcPr>
                  <w:tcW w:w="3289" w:type="dxa"/>
                  <w:shd w:val="clear" w:color="auto" w:fill="auto"/>
                </w:tcPr>
                <w:p w:rsidRPr="0077486D" w:rsidR="00FE1346" w:rsidP="00FE4186" w:rsidRDefault="00FE1346" w14:paraId="41FDD607" w14:textId="4AA21B53">
                  <w:pPr>
                    <w:overflowPunct w:val="0"/>
                    <w:autoSpaceDE w:val="0"/>
                    <w:autoSpaceDN w:val="0"/>
                    <w:adjustRightInd w:val="0"/>
                    <w:jc w:val="center"/>
                    <w:textAlignment w:val="baseline"/>
                    <w:rPr>
                      <w:sz w:val="20"/>
                    </w:rPr>
                  </w:pPr>
                  <w:r w:rsidRPr="0077486D">
                    <w:rPr>
                      <w:sz w:val="20"/>
                    </w:rPr>
                    <w:t>&lt;28 weeks and/or &lt;1000 g*</w:t>
                  </w:r>
                  <w:r w:rsidR="00C34C96">
                    <w:rPr>
                      <w:sz w:val="20"/>
                    </w:rPr>
                    <w:t>*</w:t>
                  </w:r>
                </w:p>
              </w:tc>
              <w:tc>
                <w:tcPr>
                  <w:tcW w:w="1877" w:type="dxa"/>
                  <w:shd w:val="clear" w:color="auto" w:fill="auto"/>
                </w:tcPr>
                <w:p w:rsidRPr="0077486D" w:rsidR="00FE1346" w:rsidP="00FE4186" w:rsidRDefault="00FE1346" w14:paraId="4208B3AB" w14:textId="77777777">
                  <w:pPr>
                    <w:overflowPunct w:val="0"/>
                    <w:autoSpaceDE w:val="0"/>
                    <w:autoSpaceDN w:val="0"/>
                    <w:adjustRightInd w:val="0"/>
                    <w:jc w:val="center"/>
                    <w:textAlignment w:val="baseline"/>
                    <w:rPr>
                      <w:sz w:val="20"/>
                    </w:rPr>
                  </w:pPr>
                  <w:r w:rsidRPr="0077486D">
                    <w:rPr>
                      <w:sz w:val="20"/>
                    </w:rPr>
                    <w:t>15 mg/kg</w:t>
                  </w:r>
                </w:p>
              </w:tc>
              <w:tc>
                <w:tcPr>
                  <w:tcW w:w="2825" w:type="dxa"/>
                  <w:shd w:val="clear" w:color="auto" w:fill="auto"/>
                </w:tcPr>
                <w:p w:rsidRPr="0077486D" w:rsidR="00FE1346" w:rsidP="00FE4186" w:rsidRDefault="00FE1346" w14:paraId="62E191E4" w14:textId="77777777">
                  <w:pPr>
                    <w:overflowPunct w:val="0"/>
                    <w:autoSpaceDE w:val="0"/>
                    <w:autoSpaceDN w:val="0"/>
                    <w:adjustRightInd w:val="0"/>
                    <w:jc w:val="center"/>
                    <w:textAlignment w:val="baseline"/>
                    <w:rPr>
                      <w:sz w:val="20"/>
                    </w:rPr>
                  </w:pPr>
                  <w:r w:rsidRPr="0077486D">
                    <w:rPr>
                      <w:sz w:val="20"/>
                    </w:rPr>
                    <w:t>7.5 mg/kg every 6 hours**</w:t>
                  </w:r>
                </w:p>
              </w:tc>
            </w:tr>
          </w:tbl>
          <w:p w:rsidRPr="0077486D" w:rsidR="00FE1346" w:rsidP="00FE4186" w:rsidRDefault="00FE1346" w14:paraId="54CBE750" w14:textId="77777777">
            <w:pPr>
              <w:overflowPunct w:val="0"/>
              <w:autoSpaceDE w:val="0"/>
              <w:autoSpaceDN w:val="0"/>
              <w:adjustRightInd w:val="0"/>
              <w:jc w:val="both"/>
              <w:textAlignment w:val="baseline"/>
              <w:rPr>
                <w:sz w:val="20"/>
              </w:rPr>
            </w:pPr>
            <w:r w:rsidRPr="0077486D">
              <w:rPr>
                <w:sz w:val="20"/>
              </w:rPr>
              <w:t>*Current/best weight</w:t>
            </w:r>
          </w:p>
          <w:p w:rsidRPr="00A4414D" w:rsidR="00FE1346" w:rsidP="00FE4186" w:rsidRDefault="00FE1346" w14:paraId="2D75BE3C" w14:textId="385DCF29">
            <w:pPr>
              <w:pStyle w:val="BodyText"/>
              <w:rPr>
                <w:sz w:val="20"/>
              </w:rPr>
            </w:pPr>
            <w:r w:rsidRPr="0077486D">
              <w:rPr>
                <w:sz w:val="20"/>
                <w:szCs w:val="24"/>
              </w:rPr>
              <w:t>**</w:t>
            </w:r>
            <w:r w:rsidRPr="00896C30">
              <w:rPr>
                <w:color w:val="1F4E79" w:themeColor="accent5" w:themeShade="80"/>
                <w:sz w:val="20"/>
                <w:szCs w:val="24"/>
              </w:rPr>
              <w:t>Higher maintenance doses (15 mg/kg) in extreme preterm infants have been used but there are limited safety data.</w:t>
            </w:r>
            <w:r w:rsidRPr="00896C30" w:rsidR="001E64E6">
              <w:rPr>
                <w:color w:val="1F4E79" w:themeColor="accent5" w:themeShade="80"/>
                <w:sz w:val="20"/>
                <w:szCs w:val="24"/>
              </w:rPr>
              <w:t xml:space="preserve"> </w:t>
            </w:r>
            <w:r w:rsidRPr="00896C30" w:rsidR="001E64E6">
              <w:rPr>
                <w:color w:val="1F4E79" w:themeColor="accent5" w:themeShade="80"/>
                <w:sz w:val="20"/>
                <w:szCs w:val="24"/>
                <w:shd w:val="clear" w:color="auto" w:fill="FFFF00"/>
              </w:rPr>
              <w:t xml:space="preserve">At Canberra </w:t>
            </w:r>
            <w:r w:rsidRPr="00896C30" w:rsidR="00C34C96">
              <w:rPr>
                <w:color w:val="1F4E79" w:themeColor="accent5" w:themeShade="80"/>
                <w:sz w:val="20"/>
                <w:szCs w:val="24"/>
                <w:shd w:val="clear" w:color="auto" w:fill="FFFF00"/>
              </w:rPr>
              <w:t xml:space="preserve">Hospital, a dose of 15mg/kg 6 hourly is used for </w:t>
            </w:r>
            <w:r w:rsidRPr="00896C30" w:rsidR="00896C30">
              <w:rPr>
                <w:color w:val="1F4E79" w:themeColor="accent5" w:themeShade="80"/>
                <w:sz w:val="20"/>
                <w:szCs w:val="24"/>
                <w:shd w:val="clear" w:color="auto" w:fill="FFFF00"/>
              </w:rPr>
              <w:t>treatment in all patients</w:t>
            </w:r>
            <w:r w:rsidRPr="00896C30" w:rsidR="00C34C96">
              <w:rPr>
                <w:color w:val="1F4E79" w:themeColor="accent5" w:themeShade="80"/>
                <w:sz w:val="20"/>
                <w:szCs w:val="24"/>
              </w:rPr>
              <w:t xml:space="preserve"> </w:t>
            </w:r>
          </w:p>
        </w:tc>
      </w:tr>
      <w:tr w:rsidRPr="003A7895" w:rsidR="00FE1346" w:rsidTr="001E64E6" w14:paraId="08181E70" w14:textId="77777777">
        <w:trPr>
          <w:trHeight w:val="407"/>
        </w:trPr>
        <w:tc>
          <w:tcPr>
            <w:tcW w:w="2410" w:type="dxa"/>
          </w:tcPr>
          <w:p w:rsidRPr="00B53E9B" w:rsidR="00FE1346" w:rsidP="00FE4186" w:rsidRDefault="00FE1346" w14:paraId="0DC289E7" w14:textId="77777777">
            <w:pPr>
              <w:pStyle w:val="BodyText"/>
              <w:rPr>
                <w:b/>
                <w:sz w:val="20"/>
              </w:rPr>
            </w:pPr>
            <w:r w:rsidRPr="00B53E9B">
              <w:rPr>
                <w:b/>
                <w:sz w:val="20"/>
              </w:rPr>
              <w:t>Dose adjustment</w:t>
            </w:r>
          </w:p>
          <w:p w:rsidRPr="00B53E9B" w:rsidR="00FE1346" w:rsidP="00FE4186" w:rsidRDefault="00FE1346" w14:paraId="7B311F9B" w14:textId="77777777">
            <w:pPr>
              <w:pStyle w:val="BodyText"/>
              <w:rPr>
                <w:b/>
                <w:sz w:val="20"/>
              </w:rPr>
            </w:pPr>
          </w:p>
        </w:tc>
        <w:tc>
          <w:tcPr>
            <w:tcW w:w="7825" w:type="dxa"/>
          </w:tcPr>
          <w:p w:rsidRPr="00B53E9B" w:rsidR="00FE1346" w:rsidP="00FE4186" w:rsidRDefault="00FE1346" w14:paraId="26968275" w14:textId="77777777">
            <w:pPr>
              <w:pStyle w:val="BodyText"/>
              <w:rPr>
                <w:sz w:val="20"/>
              </w:rPr>
            </w:pPr>
            <w:r w:rsidRPr="00B53E9B">
              <w:rPr>
                <w:sz w:val="20"/>
              </w:rPr>
              <w:t>Therapeutic hypothermia</w:t>
            </w:r>
            <w:r>
              <w:rPr>
                <w:sz w:val="20"/>
              </w:rPr>
              <w:t xml:space="preserve"> –Caution to be applied with associated hepatic and renal impairment.</w:t>
            </w:r>
          </w:p>
          <w:p w:rsidRPr="00B53E9B" w:rsidR="00FE1346" w:rsidP="00FE4186" w:rsidRDefault="00FE1346" w14:paraId="771793CC" w14:textId="77777777">
            <w:pPr>
              <w:pStyle w:val="BodyText"/>
              <w:rPr>
                <w:sz w:val="20"/>
              </w:rPr>
            </w:pPr>
            <w:r w:rsidRPr="00B53E9B">
              <w:rPr>
                <w:sz w:val="20"/>
              </w:rPr>
              <w:t>Renal</w:t>
            </w:r>
            <w:r>
              <w:rPr>
                <w:sz w:val="20"/>
              </w:rPr>
              <w:t xml:space="preserve"> impairment – Refer to precautions section.</w:t>
            </w:r>
          </w:p>
          <w:p w:rsidRPr="00026F20" w:rsidR="00FE1346" w:rsidP="00FE4186" w:rsidRDefault="00FE1346" w14:paraId="5E8DFC62" w14:textId="77777777">
            <w:pPr>
              <w:pStyle w:val="BodyText"/>
              <w:rPr>
                <w:sz w:val="20"/>
              </w:rPr>
            </w:pPr>
            <w:r w:rsidRPr="00B53E9B">
              <w:rPr>
                <w:sz w:val="20"/>
              </w:rPr>
              <w:t>Hepatic</w:t>
            </w:r>
            <w:r>
              <w:rPr>
                <w:sz w:val="20"/>
              </w:rPr>
              <w:t xml:space="preserve"> impairment – Refer to monitoring and precautions sections.</w:t>
            </w:r>
          </w:p>
        </w:tc>
      </w:tr>
      <w:tr w:rsidRPr="003A7895" w:rsidR="00FE1346" w:rsidTr="001E64E6" w14:paraId="534E8723" w14:textId="77777777">
        <w:trPr>
          <w:trHeight w:val="113"/>
        </w:trPr>
        <w:tc>
          <w:tcPr>
            <w:tcW w:w="2410" w:type="dxa"/>
          </w:tcPr>
          <w:p w:rsidRPr="00B53E9B" w:rsidR="00FE1346" w:rsidP="00FE4186" w:rsidRDefault="00FE1346" w14:paraId="20545235" w14:textId="77777777">
            <w:pPr>
              <w:pStyle w:val="BodyText"/>
              <w:rPr>
                <w:b/>
                <w:sz w:val="20"/>
              </w:rPr>
            </w:pPr>
            <w:r w:rsidRPr="00B53E9B">
              <w:rPr>
                <w:b/>
                <w:sz w:val="20"/>
              </w:rPr>
              <w:t>Maximum dose</w:t>
            </w:r>
          </w:p>
        </w:tc>
        <w:tc>
          <w:tcPr>
            <w:tcW w:w="7825" w:type="dxa"/>
          </w:tcPr>
          <w:p w:rsidRPr="00026F20" w:rsidR="00FE1346" w:rsidP="00FE4186" w:rsidRDefault="00FE1346" w14:paraId="5DE27279" w14:textId="77777777">
            <w:pPr>
              <w:pStyle w:val="BodyText"/>
              <w:rPr>
                <w:sz w:val="20"/>
              </w:rPr>
            </w:pPr>
            <w:r>
              <w:rPr>
                <w:sz w:val="20"/>
              </w:rPr>
              <w:t>60 mg/kg/day</w:t>
            </w:r>
          </w:p>
        </w:tc>
      </w:tr>
      <w:tr w:rsidRPr="003A7895" w:rsidR="00FE1346" w:rsidTr="001E64E6" w14:paraId="690802D0" w14:textId="77777777">
        <w:trPr>
          <w:trHeight w:val="144"/>
        </w:trPr>
        <w:tc>
          <w:tcPr>
            <w:tcW w:w="2410" w:type="dxa"/>
          </w:tcPr>
          <w:p w:rsidRPr="00B53E9B" w:rsidR="00FE1346" w:rsidP="00FE4186" w:rsidRDefault="00FE1346" w14:paraId="06A33B3C" w14:textId="77777777">
            <w:pPr>
              <w:pStyle w:val="BodyText"/>
              <w:rPr>
                <w:rFonts w:cs="Arial"/>
                <w:b/>
                <w:bCs/>
                <w:sz w:val="20"/>
              </w:rPr>
            </w:pPr>
            <w:r w:rsidRPr="00B53E9B">
              <w:rPr>
                <w:b/>
                <w:sz w:val="20"/>
              </w:rPr>
              <w:t>Total cumulative dose</w:t>
            </w:r>
          </w:p>
        </w:tc>
        <w:tc>
          <w:tcPr>
            <w:tcW w:w="7825" w:type="dxa"/>
          </w:tcPr>
          <w:p w:rsidRPr="00026F20" w:rsidR="00FE1346" w:rsidP="00FE4186" w:rsidRDefault="00FE1346" w14:paraId="3F242764" w14:textId="77777777">
            <w:pPr>
              <w:pStyle w:val="BodyText"/>
              <w:rPr>
                <w:rFonts w:cs="Arial"/>
                <w:b/>
                <w:sz w:val="20"/>
              </w:rPr>
            </w:pPr>
          </w:p>
        </w:tc>
      </w:tr>
      <w:tr w:rsidRPr="003A7895" w:rsidR="00FE1346" w:rsidTr="001E64E6" w14:paraId="673EBDF9" w14:textId="77777777">
        <w:trPr>
          <w:trHeight w:val="294"/>
        </w:trPr>
        <w:tc>
          <w:tcPr>
            <w:tcW w:w="2410" w:type="dxa"/>
          </w:tcPr>
          <w:p w:rsidRPr="00B53E9B" w:rsidR="00FE1346" w:rsidP="00FE4186" w:rsidRDefault="00FE1346" w14:paraId="7360DD72" w14:textId="77777777">
            <w:pPr>
              <w:pStyle w:val="BodyText"/>
              <w:rPr>
                <w:rFonts w:cs="Arial"/>
                <w:sz w:val="20"/>
              </w:rPr>
            </w:pPr>
            <w:r w:rsidRPr="00B53E9B">
              <w:rPr>
                <w:rFonts w:cs="Arial"/>
                <w:b/>
                <w:bCs/>
                <w:sz w:val="20"/>
              </w:rPr>
              <w:t xml:space="preserve">Route </w:t>
            </w:r>
          </w:p>
        </w:tc>
        <w:tc>
          <w:tcPr>
            <w:tcW w:w="7825" w:type="dxa"/>
          </w:tcPr>
          <w:p w:rsidRPr="00026F20" w:rsidR="00FE1346" w:rsidP="00FE4186" w:rsidRDefault="00FE1346" w14:paraId="661C503A" w14:textId="77777777">
            <w:pPr>
              <w:pStyle w:val="BodyText"/>
              <w:rPr>
                <w:rFonts w:cs="Arial"/>
                <w:sz w:val="20"/>
              </w:rPr>
            </w:pPr>
            <w:r w:rsidRPr="00A4414D">
              <w:rPr>
                <w:rFonts w:cs="Arial"/>
                <w:sz w:val="20"/>
              </w:rPr>
              <w:t>IV, oral</w:t>
            </w:r>
            <w:r>
              <w:rPr>
                <w:rFonts w:cs="Arial"/>
                <w:sz w:val="20"/>
              </w:rPr>
              <w:t>, rectal</w:t>
            </w:r>
          </w:p>
        </w:tc>
      </w:tr>
      <w:tr w:rsidRPr="003A7895" w:rsidR="00FE1346" w:rsidTr="001E64E6" w14:paraId="64F9E91E" w14:textId="77777777">
        <w:trPr>
          <w:trHeight w:val="93"/>
        </w:trPr>
        <w:tc>
          <w:tcPr>
            <w:tcW w:w="2410" w:type="dxa"/>
          </w:tcPr>
          <w:p w:rsidRPr="00B53E9B" w:rsidR="00FE1346" w:rsidP="00FE4186" w:rsidRDefault="00FE1346" w14:paraId="6D0AF1CA" w14:textId="77777777">
            <w:pPr>
              <w:pStyle w:val="BodyText"/>
              <w:rPr>
                <w:rFonts w:cs="Arial"/>
                <w:b/>
                <w:bCs/>
                <w:sz w:val="20"/>
                <w:highlight w:val="cyan"/>
              </w:rPr>
            </w:pPr>
            <w:r w:rsidRPr="00B53E9B">
              <w:rPr>
                <w:rFonts w:cs="Arial"/>
                <w:b/>
                <w:bCs/>
                <w:sz w:val="20"/>
              </w:rPr>
              <w:lastRenderedPageBreak/>
              <w:t>Preparation</w:t>
            </w:r>
            <w:r w:rsidRPr="00B53E9B">
              <w:rPr>
                <w:rFonts w:cs="Arial"/>
                <w:b/>
                <w:bCs/>
                <w:sz w:val="20"/>
                <w:highlight w:val="cyan"/>
              </w:rPr>
              <w:t xml:space="preserve"> </w:t>
            </w:r>
          </w:p>
        </w:tc>
        <w:tc>
          <w:tcPr>
            <w:tcW w:w="7825" w:type="dxa"/>
          </w:tcPr>
          <w:p w:rsidRPr="00A4414D" w:rsidR="00FE1346" w:rsidP="00FE4186" w:rsidRDefault="00FE1346" w14:paraId="57EAC7A5" w14:textId="77777777">
            <w:pPr>
              <w:pStyle w:val="BodyText"/>
              <w:rPr>
                <w:rFonts w:cs="Arial"/>
                <w:sz w:val="20"/>
              </w:rPr>
            </w:pPr>
            <w:r>
              <w:rPr>
                <w:rFonts w:cs="Arial"/>
                <w:sz w:val="20"/>
              </w:rPr>
              <w:t xml:space="preserve">Intravenous: Use undiluted. </w:t>
            </w:r>
            <w:r w:rsidRPr="00C541B4">
              <w:rPr>
                <w:rFonts w:cs="Arial"/>
                <w:sz w:val="20"/>
              </w:rPr>
              <w:t>Can be diluted to 2 mg/ml for use in ELBW infants using sodium chloride 0.9% or glucose 5%. If diluted, the solution should be used immediately.</w:t>
            </w:r>
          </w:p>
        </w:tc>
      </w:tr>
      <w:tr w:rsidRPr="003A7895" w:rsidR="00FE1346" w:rsidTr="001E64E6" w14:paraId="10C4804F" w14:textId="77777777">
        <w:trPr>
          <w:trHeight w:val="224"/>
        </w:trPr>
        <w:tc>
          <w:tcPr>
            <w:tcW w:w="2410" w:type="dxa"/>
          </w:tcPr>
          <w:p w:rsidRPr="00B53E9B" w:rsidR="00FE1346" w:rsidP="00FE4186" w:rsidRDefault="00FE1346" w14:paraId="62711E7B" w14:textId="77777777">
            <w:pPr>
              <w:pStyle w:val="BodyText"/>
              <w:rPr>
                <w:rFonts w:cs="Arial"/>
                <w:b/>
                <w:bCs/>
                <w:sz w:val="20"/>
              </w:rPr>
            </w:pPr>
            <w:r w:rsidRPr="00B53E9B">
              <w:rPr>
                <w:rFonts w:cs="Arial"/>
                <w:b/>
                <w:bCs/>
                <w:sz w:val="20"/>
              </w:rPr>
              <w:t xml:space="preserve">Administration </w:t>
            </w:r>
          </w:p>
        </w:tc>
        <w:tc>
          <w:tcPr>
            <w:tcW w:w="7825" w:type="dxa"/>
            <w:vAlign w:val="center"/>
          </w:tcPr>
          <w:p w:rsidR="00FE1346" w:rsidP="00FE4186" w:rsidRDefault="00FE1346" w14:paraId="28AB34D1" w14:textId="77777777">
            <w:pPr>
              <w:pStyle w:val="BodyText"/>
              <w:rPr>
                <w:rFonts w:cs="Arial"/>
                <w:sz w:val="20"/>
              </w:rPr>
            </w:pPr>
            <w:r w:rsidRPr="00D77B84">
              <w:rPr>
                <w:rFonts w:cs="Arial"/>
                <w:sz w:val="20"/>
              </w:rPr>
              <w:t xml:space="preserve">Intravenous: </w:t>
            </w:r>
          </w:p>
          <w:p w:rsidRPr="00D77B84" w:rsidR="00FE1346" w:rsidP="00FE4186" w:rsidRDefault="00FE1346" w14:paraId="4B16117D" w14:textId="77777777">
            <w:pPr>
              <w:pStyle w:val="BodyText"/>
              <w:rPr>
                <w:rFonts w:cs="Arial"/>
                <w:sz w:val="20"/>
              </w:rPr>
            </w:pPr>
            <w:r w:rsidRPr="00D77B84">
              <w:rPr>
                <w:rFonts w:cs="Arial"/>
                <w:sz w:val="20"/>
              </w:rPr>
              <w:t>Administer over 15 minutes via syringe driver.</w:t>
            </w:r>
            <w:r>
              <w:t xml:space="preserve"> </w:t>
            </w:r>
          </w:p>
          <w:p w:rsidR="00FE1346" w:rsidP="00FE4186" w:rsidRDefault="00FE1346" w14:paraId="28A9C0E7" w14:textId="77777777">
            <w:pPr>
              <w:pStyle w:val="BodyText"/>
              <w:rPr>
                <w:rFonts w:cs="Arial"/>
                <w:sz w:val="20"/>
              </w:rPr>
            </w:pPr>
            <w:r w:rsidRPr="00D77B84">
              <w:rPr>
                <w:rFonts w:cs="Arial"/>
                <w:sz w:val="20"/>
              </w:rPr>
              <w:t xml:space="preserve">Oral: </w:t>
            </w:r>
          </w:p>
          <w:p w:rsidRPr="00D77B84" w:rsidR="00FE1346" w:rsidP="00FE4186" w:rsidRDefault="00FE1346" w14:paraId="135A2541" w14:textId="77777777">
            <w:pPr>
              <w:pStyle w:val="BodyText"/>
              <w:rPr>
                <w:rFonts w:cs="Arial"/>
                <w:sz w:val="20"/>
              </w:rPr>
            </w:pPr>
            <w:r w:rsidRPr="00D77B84">
              <w:rPr>
                <w:rFonts w:cs="Arial"/>
                <w:sz w:val="20"/>
              </w:rPr>
              <w:t>Can be given with or without feeds. Shake bottle well before measuring dose.</w:t>
            </w:r>
          </w:p>
          <w:p w:rsidR="00FE1346" w:rsidP="00FE4186" w:rsidRDefault="00FE1346" w14:paraId="0453DF19" w14:textId="77777777">
            <w:pPr>
              <w:pStyle w:val="BodyText"/>
              <w:rPr>
                <w:rFonts w:cs="Arial"/>
                <w:sz w:val="20"/>
              </w:rPr>
            </w:pPr>
            <w:r w:rsidRPr="00D77B84">
              <w:rPr>
                <w:rFonts w:cs="Arial"/>
                <w:sz w:val="20"/>
              </w:rPr>
              <w:t>Rectal:</w:t>
            </w:r>
          </w:p>
          <w:p w:rsidRPr="00A4414D" w:rsidR="00FE1346" w:rsidP="00FE4186" w:rsidRDefault="00FE1346" w14:paraId="20A26334" w14:textId="77777777">
            <w:pPr>
              <w:pStyle w:val="BodyText"/>
              <w:rPr>
                <w:rFonts w:cs="Arial"/>
                <w:sz w:val="20"/>
              </w:rPr>
            </w:pPr>
            <w:r>
              <w:rPr>
                <w:rFonts w:cs="Arial"/>
                <w:sz w:val="20"/>
              </w:rPr>
              <w:t>Dilute</w:t>
            </w:r>
            <w:r w:rsidRPr="00CF3522">
              <w:rPr>
                <w:rFonts w:cs="Arial"/>
                <w:sz w:val="20"/>
              </w:rPr>
              <w:t xml:space="preserve"> oral mixture 1:1</w:t>
            </w:r>
            <w:r>
              <w:rPr>
                <w:rFonts w:cs="Arial"/>
                <w:sz w:val="20"/>
              </w:rPr>
              <w:t xml:space="preserve"> with water for rectal doses. Low dose s</w:t>
            </w:r>
            <w:r w:rsidRPr="00CF3522">
              <w:rPr>
                <w:rFonts w:cs="Arial"/>
                <w:sz w:val="20"/>
              </w:rPr>
              <w:t>uppositories are not commercially available but can be prepared by selected pharmacy departments.</w:t>
            </w:r>
            <w:r>
              <w:rPr>
                <w:rFonts w:cs="Arial"/>
                <w:sz w:val="20"/>
              </w:rPr>
              <w:t xml:space="preserve"> </w:t>
            </w:r>
            <w:r w:rsidRPr="00CF3522">
              <w:rPr>
                <w:rFonts w:cs="Arial"/>
                <w:sz w:val="20"/>
              </w:rPr>
              <w:t>Do not cut suppositories to make part rectal dose</w:t>
            </w:r>
            <w:r>
              <w:rPr>
                <w:rFonts w:cs="Arial"/>
                <w:sz w:val="20"/>
              </w:rPr>
              <w:t>.</w:t>
            </w:r>
          </w:p>
        </w:tc>
      </w:tr>
      <w:tr w:rsidRPr="003A7895" w:rsidR="00FE1346" w:rsidTr="001E64E6" w14:paraId="4E6BC650" w14:textId="77777777">
        <w:trPr>
          <w:trHeight w:val="215"/>
        </w:trPr>
        <w:tc>
          <w:tcPr>
            <w:tcW w:w="2410" w:type="dxa"/>
          </w:tcPr>
          <w:p w:rsidRPr="00B53E9B" w:rsidR="00FE1346" w:rsidP="00FE4186" w:rsidRDefault="00FE1346" w14:paraId="5D7B15F0" w14:textId="77777777">
            <w:pPr>
              <w:pStyle w:val="BodyText"/>
              <w:rPr>
                <w:rFonts w:cs="Arial"/>
                <w:b/>
                <w:bCs/>
                <w:sz w:val="20"/>
              </w:rPr>
            </w:pPr>
            <w:r w:rsidRPr="00B53E9B">
              <w:rPr>
                <w:rFonts w:cs="Arial"/>
                <w:b/>
                <w:bCs/>
                <w:sz w:val="20"/>
              </w:rPr>
              <w:t>Monitoring</w:t>
            </w:r>
          </w:p>
        </w:tc>
        <w:tc>
          <w:tcPr>
            <w:tcW w:w="7825" w:type="dxa"/>
          </w:tcPr>
          <w:p w:rsidR="00FE1346" w:rsidP="00FE4186" w:rsidRDefault="00FE1346" w14:paraId="56057DB7" w14:textId="77777777">
            <w:pPr>
              <w:pStyle w:val="BodyText"/>
              <w:rPr>
                <w:sz w:val="20"/>
              </w:rPr>
            </w:pPr>
            <w:r w:rsidRPr="00220897">
              <w:rPr>
                <w:sz w:val="20"/>
              </w:rPr>
              <w:t xml:space="preserve">Monitor hepatic </w:t>
            </w:r>
            <w:r>
              <w:rPr>
                <w:sz w:val="20"/>
              </w:rPr>
              <w:t xml:space="preserve">and </w:t>
            </w:r>
            <w:r w:rsidRPr="00220897">
              <w:rPr>
                <w:sz w:val="20"/>
              </w:rPr>
              <w:t>renal function</w:t>
            </w:r>
            <w:r w:rsidRPr="00A4414D">
              <w:rPr>
                <w:sz w:val="20"/>
              </w:rPr>
              <w:t>.</w:t>
            </w:r>
          </w:p>
          <w:p w:rsidRPr="00A4414D" w:rsidR="00FE1346" w:rsidP="00FE4186" w:rsidRDefault="00FE1346" w14:paraId="2BB4B40B" w14:textId="77777777">
            <w:pPr>
              <w:pStyle w:val="BodyText"/>
              <w:rPr>
                <w:rFonts w:cs="Arial"/>
                <w:sz w:val="20"/>
              </w:rPr>
            </w:pPr>
            <w:r>
              <w:rPr>
                <w:sz w:val="20"/>
              </w:rPr>
              <w:t xml:space="preserve">If signs of acute liver injury (example, raised ALT &gt;50 IU/L) – refer to acetylcysteine formulary and contact </w:t>
            </w:r>
            <w:r w:rsidRPr="008D482E">
              <w:rPr>
                <w:sz w:val="20"/>
              </w:rPr>
              <w:t>Poisons Information Centre (13 11 26 for New South Wales) or local toxicology service.</w:t>
            </w:r>
          </w:p>
        </w:tc>
      </w:tr>
      <w:tr w:rsidRPr="003A7895" w:rsidR="00FE1346" w:rsidTr="001E64E6" w14:paraId="66366EE3" w14:textId="77777777">
        <w:trPr>
          <w:trHeight w:val="342"/>
        </w:trPr>
        <w:tc>
          <w:tcPr>
            <w:tcW w:w="2410" w:type="dxa"/>
          </w:tcPr>
          <w:p w:rsidRPr="00B53E9B" w:rsidR="00FE1346" w:rsidP="00FE4186" w:rsidRDefault="00FE1346" w14:paraId="17A3CD5F" w14:textId="77777777">
            <w:pPr>
              <w:pStyle w:val="BodyText"/>
              <w:rPr>
                <w:rFonts w:cs="Arial"/>
                <w:b/>
                <w:bCs/>
                <w:sz w:val="20"/>
              </w:rPr>
            </w:pPr>
            <w:r w:rsidRPr="00B53E9B">
              <w:rPr>
                <w:rFonts w:cs="Arial"/>
                <w:b/>
                <w:bCs/>
                <w:sz w:val="20"/>
              </w:rPr>
              <w:t>Contraindications</w:t>
            </w:r>
          </w:p>
        </w:tc>
        <w:tc>
          <w:tcPr>
            <w:tcW w:w="7825" w:type="dxa"/>
          </w:tcPr>
          <w:p w:rsidRPr="00220897" w:rsidR="00FE1346" w:rsidP="00FE4186" w:rsidRDefault="00FE1346" w14:paraId="020A74FB" w14:textId="77777777">
            <w:pPr>
              <w:pStyle w:val="BodyText"/>
              <w:rPr>
                <w:sz w:val="20"/>
              </w:rPr>
            </w:pPr>
            <w:r>
              <w:rPr>
                <w:sz w:val="20"/>
              </w:rPr>
              <w:t>Hypersensitivity to paracetamol, a</w:t>
            </w:r>
            <w:r w:rsidRPr="00220897">
              <w:rPr>
                <w:sz w:val="20"/>
              </w:rPr>
              <w:t>ctive liver disease.</w:t>
            </w:r>
          </w:p>
        </w:tc>
      </w:tr>
      <w:tr w:rsidRPr="003A7895" w:rsidR="00FE1346" w:rsidTr="001E64E6" w14:paraId="792AE395" w14:textId="77777777">
        <w:tc>
          <w:tcPr>
            <w:tcW w:w="2410" w:type="dxa"/>
          </w:tcPr>
          <w:p w:rsidRPr="00B53E9B" w:rsidR="00FE1346" w:rsidP="00FE4186" w:rsidRDefault="00FE1346" w14:paraId="5148F307" w14:textId="77777777">
            <w:pPr>
              <w:pStyle w:val="BodyText"/>
              <w:rPr>
                <w:rFonts w:cs="Arial"/>
                <w:b/>
                <w:bCs/>
                <w:sz w:val="20"/>
              </w:rPr>
            </w:pPr>
            <w:r w:rsidRPr="00B53E9B">
              <w:rPr>
                <w:sz w:val="20"/>
              </w:rPr>
              <w:br w:type="page"/>
            </w:r>
            <w:r w:rsidRPr="00B53E9B">
              <w:rPr>
                <w:rFonts w:cs="Arial"/>
                <w:b/>
                <w:bCs/>
                <w:sz w:val="20"/>
              </w:rPr>
              <w:t>Precautions</w:t>
            </w:r>
          </w:p>
        </w:tc>
        <w:tc>
          <w:tcPr>
            <w:tcW w:w="7825" w:type="dxa"/>
          </w:tcPr>
          <w:p w:rsidRPr="00A4414D" w:rsidR="00FE1346" w:rsidP="00FE4186" w:rsidRDefault="00FE1346" w14:paraId="76A027FC" w14:textId="77777777">
            <w:pPr>
              <w:pStyle w:val="BodyText"/>
              <w:rPr>
                <w:rFonts w:cs="Arial"/>
                <w:sz w:val="20"/>
              </w:rPr>
            </w:pPr>
            <w:r>
              <w:rPr>
                <w:sz w:val="20"/>
              </w:rPr>
              <w:t>Hepatic impairment, renal impairment, sepsis, dehydration</w:t>
            </w:r>
          </w:p>
        </w:tc>
      </w:tr>
      <w:tr w:rsidRPr="003A7895" w:rsidR="00FE1346" w:rsidTr="001E64E6" w14:paraId="646BEF1B" w14:textId="77777777">
        <w:trPr>
          <w:trHeight w:val="70"/>
        </w:trPr>
        <w:tc>
          <w:tcPr>
            <w:tcW w:w="2410" w:type="dxa"/>
          </w:tcPr>
          <w:p w:rsidRPr="00B53E9B" w:rsidR="00FE1346" w:rsidP="00FE4186" w:rsidRDefault="00FE1346" w14:paraId="7D69C0D6"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825" w:type="dxa"/>
          </w:tcPr>
          <w:p w:rsidRPr="00220897" w:rsidR="00FE1346" w:rsidP="00FE4186" w:rsidRDefault="00FE1346" w14:paraId="5D17DFBB" w14:textId="77777777">
            <w:pPr>
              <w:pStyle w:val="BodyText"/>
              <w:rPr>
                <w:rFonts w:cs="Arial"/>
                <w:sz w:val="20"/>
              </w:rPr>
            </w:pPr>
            <w:r w:rsidRPr="00220897">
              <w:rPr>
                <w:rFonts w:cs="Arial"/>
                <w:sz w:val="20"/>
              </w:rPr>
              <w:t>Paracetamol absorption is increased by substances that increase gastric emptying</w:t>
            </w:r>
            <w:r>
              <w:rPr>
                <w:rFonts w:cs="Arial"/>
                <w:sz w:val="20"/>
              </w:rPr>
              <w:t>.</w:t>
            </w:r>
          </w:p>
          <w:p w:rsidRPr="00220897" w:rsidR="00FE1346" w:rsidP="00FE4186" w:rsidRDefault="00FE1346" w14:paraId="77EEEADD" w14:textId="77777777">
            <w:pPr>
              <w:pStyle w:val="BodyText"/>
              <w:rPr>
                <w:rFonts w:cs="Arial"/>
                <w:sz w:val="20"/>
              </w:rPr>
            </w:pPr>
            <w:r w:rsidRPr="00220897">
              <w:rPr>
                <w:rFonts w:cs="Arial"/>
                <w:sz w:val="20"/>
              </w:rPr>
              <w:t>Paracetamol absorption is decreased by substances that decrease gastric emptying.</w:t>
            </w:r>
          </w:p>
          <w:p w:rsidRPr="00220897" w:rsidR="00FE1346" w:rsidP="00FE4186" w:rsidRDefault="00FE1346" w14:paraId="23B509A3" w14:textId="77777777">
            <w:pPr>
              <w:pStyle w:val="BodyText"/>
              <w:rPr>
                <w:rFonts w:cs="Arial"/>
                <w:sz w:val="20"/>
              </w:rPr>
            </w:pPr>
            <w:r w:rsidRPr="00220897">
              <w:rPr>
                <w:rFonts w:cs="Arial"/>
                <w:sz w:val="20"/>
              </w:rPr>
              <w:t>Paracetamol may increase chloramphenicol concentrations.</w:t>
            </w:r>
          </w:p>
          <w:p w:rsidRPr="00A4414D" w:rsidR="00FE1346" w:rsidP="00FE4186" w:rsidRDefault="00FE1346" w14:paraId="733F74AC" w14:textId="77777777">
            <w:pPr>
              <w:pStyle w:val="BodyText"/>
              <w:rPr>
                <w:rFonts w:cs="Arial"/>
                <w:sz w:val="20"/>
              </w:rPr>
            </w:pPr>
            <w:r w:rsidRPr="00220897">
              <w:rPr>
                <w:rFonts w:cs="Arial"/>
                <w:sz w:val="20"/>
              </w:rPr>
              <w:t>The risk of paracetamol toxicity may be increased in patients receiving other potentially hepatotoxic drugs or drugs that induce liver microsomal enzymes such as anticonvulsant agents.</w:t>
            </w:r>
          </w:p>
        </w:tc>
      </w:tr>
      <w:tr w:rsidRPr="003A7895" w:rsidR="00FE1346" w:rsidTr="001E64E6" w14:paraId="69D5A0C8" w14:textId="77777777">
        <w:trPr>
          <w:trHeight w:val="332"/>
        </w:trPr>
        <w:tc>
          <w:tcPr>
            <w:tcW w:w="2410" w:type="dxa"/>
          </w:tcPr>
          <w:p w:rsidRPr="00B53E9B" w:rsidR="00FE1346" w:rsidP="00FE4186" w:rsidRDefault="00FE1346" w14:paraId="1BC0CC22"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825" w:type="dxa"/>
          </w:tcPr>
          <w:p w:rsidRPr="00A4414D" w:rsidR="00FE1346" w:rsidP="00FE4186" w:rsidRDefault="00FE1346" w14:paraId="4E63E85A" w14:textId="77777777">
            <w:pPr>
              <w:pStyle w:val="BodyText"/>
              <w:rPr>
                <w:rFonts w:cs="Arial"/>
                <w:sz w:val="20"/>
              </w:rPr>
            </w:pPr>
            <w:r w:rsidRPr="00352DAA">
              <w:rPr>
                <w:sz w:val="20"/>
              </w:rPr>
              <w:t xml:space="preserve">Vomiting, fever, rash, neutropenia, leucopoenia, thrombocytopenia. May cause liver toxicity at high plasma </w:t>
            </w:r>
            <w:r>
              <w:rPr>
                <w:sz w:val="20"/>
              </w:rPr>
              <w:t>concentrations</w:t>
            </w:r>
            <w:r w:rsidRPr="00352DAA">
              <w:rPr>
                <w:sz w:val="20"/>
              </w:rPr>
              <w:t>.</w:t>
            </w:r>
          </w:p>
        </w:tc>
      </w:tr>
      <w:tr w:rsidRPr="003A7895" w:rsidR="00FE1346" w:rsidTr="001E64E6" w14:paraId="4510C25C" w14:textId="77777777">
        <w:trPr>
          <w:trHeight w:val="180"/>
        </w:trPr>
        <w:tc>
          <w:tcPr>
            <w:tcW w:w="2410" w:type="dxa"/>
          </w:tcPr>
          <w:p w:rsidRPr="00B53E9B" w:rsidR="00FE1346" w:rsidP="00FE4186" w:rsidRDefault="00FE1346" w14:paraId="4385FB90" w14:textId="77777777">
            <w:pPr>
              <w:pStyle w:val="BodyText"/>
              <w:rPr>
                <w:rFonts w:cs="Arial"/>
                <w:b/>
                <w:bCs/>
                <w:sz w:val="20"/>
              </w:rPr>
            </w:pPr>
            <w:r w:rsidRPr="00B53E9B">
              <w:rPr>
                <w:rFonts w:cs="Arial"/>
                <w:b/>
                <w:bCs/>
                <w:sz w:val="20"/>
              </w:rPr>
              <w:t>Compatibility</w:t>
            </w:r>
          </w:p>
        </w:tc>
        <w:tc>
          <w:tcPr>
            <w:tcW w:w="7825" w:type="dxa"/>
          </w:tcPr>
          <w:p w:rsidRPr="00A4414D" w:rsidR="00FE1346" w:rsidP="00FE4186" w:rsidRDefault="00FE1346" w14:paraId="0610942A" w14:textId="77777777">
            <w:pPr>
              <w:pStyle w:val="BodyText"/>
              <w:rPr>
                <w:sz w:val="20"/>
              </w:rPr>
            </w:pPr>
            <w:r w:rsidRPr="00A4414D">
              <w:rPr>
                <w:sz w:val="20"/>
              </w:rPr>
              <w:t>Sodium chloride 0.9%, glucose 5%</w:t>
            </w:r>
          </w:p>
        </w:tc>
      </w:tr>
      <w:tr w:rsidRPr="003A7895" w:rsidR="00FE1346" w:rsidTr="001E64E6" w14:paraId="081A5843" w14:textId="77777777">
        <w:trPr>
          <w:trHeight w:val="230"/>
        </w:trPr>
        <w:tc>
          <w:tcPr>
            <w:tcW w:w="2410" w:type="dxa"/>
          </w:tcPr>
          <w:p w:rsidRPr="00B53E9B" w:rsidR="00FE1346" w:rsidP="00FE4186" w:rsidRDefault="00FE1346" w14:paraId="2EFD189E" w14:textId="77777777">
            <w:pPr>
              <w:pStyle w:val="BodyText"/>
              <w:rPr>
                <w:rFonts w:cs="Arial"/>
                <w:b/>
                <w:bCs/>
                <w:sz w:val="20"/>
              </w:rPr>
            </w:pPr>
            <w:r w:rsidRPr="00B53E9B">
              <w:rPr>
                <w:rFonts w:cs="Arial"/>
                <w:b/>
                <w:bCs/>
                <w:sz w:val="20"/>
              </w:rPr>
              <w:t>Incompatibility</w:t>
            </w:r>
          </w:p>
        </w:tc>
        <w:tc>
          <w:tcPr>
            <w:tcW w:w="7825" w:type="dxa"/>
          </w:tcPr>
          <w:p w:rsidRPr="00A4414D" w:rsidR="00FE1346" w:rsidP="00FE4186" w:rsidRDefault="00FE1346" w14:paraId="3EA62D08" w14:textId="77777777">
            <w:pPr>
              <w:pStyle w:val="BodyText"/>
              <w:rPr>
                <w:rFonts w:cs="Arial"/>
                <w:sz w:val="20"/>
              </w:rPr>
            </w:pPr>
            <w:r w:rsidRPr="00352DAA">
              <w:rPr>
                <w:sz w:val="20"/>
              </w:rPr>
              <w:t>Do not mix with any other intravenous fluids or medications</w:t>
            </w:r>
            <w:r w:rsidRPr="00A4414D">
              <w:rPr>
                <w:sz w:val="20"/>
              </w:rPr>
              <w:t>.</w:t>
            </w:r>
          </w:p>
        </w:tc>
      </w:tr>
      <w:tr w:rsidRPr="003A7895" w:rsidR="00FE1346" w:rsidTr="001E64E6" w14:paraId="1CF30BE9" w14:textId="77777777">
        <w:trPr>
          <w:trHeight w:val="79"/>
        </w:trPr>
        <w:tc>
          <w:tcPr>
            <w:tcW w:w="2410" w:type="dxa"/>
          </w:tcPr>
          <w:p w:rsidRPr="00B53E9B" w:rsidR="00FE1346" w:rsidP="00FE4186" w:rsidRDefault="00FE1346" w14:paraId="75B8B956" w14:textId="77777777">
            <w:pPr>
              <w:pStyle w:val="BodyText"/>
              <w:rPr>
                <w:rFonts w:cs="Arial"/>
                <w:b/>
                <w:bCs/>
                <w:sz w:val="20"/>
              </w:rPr>
            </w:pPr>
            <w:r w:rsidRPr="00B53E9B">
              <w:rPr>
                <w:rFonts w:cs="Arial"/>
                <w:b/>
                <w:bCs/>
                <w:sz w:val="20"/>
              </w:rPr>
              <w:t>Stability</w:t>
            </w:r>
          </w:p>
        </w:tc>
        <w:tc>
          <w:tcPr>
            <w:tcW w:w="7825" w:type="dxa"/>
          </w:tcPr>
          <w:p w:rsidRPr="00A4414D" w:rsidR="00FE1346" w:rsidP="00FE4186" w:rsidRDefault="00FE1346" w14:paraId="4AAAFE85" w14:textId="77777777">
            <w:pPr>
              <w:pStyle w:val="BodyText"/>
              <w:rPr>
                <w:rFonts w:cs="Arial"/>
                <w:sz w:val="20"/>
              </w:rPr>
            </w:pPr>
            <w:r>
              <w:rPr>
                <w:sz w:val="20"/>
              </w:rPr>
              <w:t>Vials</w:t>
            </w:r>
            <w:r>
              <w:t xml:space="preserve"> </w:t>
            </w:r>
            <w:r w:rsidRPr="00BF2571">
              <w:rPr>
                <w:sz w:val="20"/>
              </w:rPr>
              <w:t>should be used immediately after opening. Any unused solution should be discarded.</w:t>
            </w:r>
            <w:r>
              <w:rPr>
                <w:sz w:val="20"/>
              </w:rPr>
              <w:t xml:space="preserve"> A</w:t>
            </w:r>
            <w:r w:rsidRPr="002D73C0">
              <w:rPr>
                <w:sz w:val="20"/>
              </w:rPr>
              <w:t>fter dilution in 0.9%</w:t>
            </w:r>
            <w:r>
              <w:rPr>
                <w:sz w:val="20"/>
              </w:rPr>
              <w:t xml:space="preserve"> sodium chloride or 5% glucose</w:t>
            </w:r>
            <w:r w:rsidRPr="002D73C0">
              <w:rPr>
                <w:sz w:val="20"/>
              </w:rPr>
              <w:t xml:space="preserve"> do not store for more than 1 hour (infusion time included).</w:t>
            </w:r>
          </w:p>
        </w:tc>
      </w:tr>
      <w:tr w:rsidRPr="003A7895" w:rsidR="00FE1346" w:rsidTr="001E64E6" w14:paraId="5F9BB86F" w14:textId="77777777">
        <w:trPr>
          <w:trHeight w:val="70"/>
        </w:trPr>
        <w:tc>
          <w:tcPr>
            <w:tcW w:w="2410" w:type="dxa"/>
          </w:tcPr>
          <w:p w:rsidRPr="00B53E9B" w:rsidR="00FE1346" w:rsidP="00FE4186" w:rsidRDefault="00FE1346" w14:paraId="331CAA15" w14:textId="77777777">
            <w:pPr>
              <w:pStyle w:val="BodyText"/>
              <w:rPr>
                <w:rFonts w:cs="Arial"/>
                <w:b/>
                <w:bCs/>
                <w:sz w:val="20"/>
              </w:rPr>
            </w:pPr>
            <w:r w:rsidRPr="00B53E9B">
              <w:rPr>
                <w:rFonts w:cs="Arial"/>
                <w:b/>
                <w:bCs/>
                <w:sz w:val="20"/>
              </w:rPr>
              <w:t xml:space="preserve">Storage </w:t>
            </w:r>
          </w:p>
        </w:tc>
        <w:tc>
          <w:tcPr>
            <w:tcW w:w="7825" w:type="dxa"/>
          </w:tcPr>
          <w:p w:rsidRPr="00A4414D" w:rsidR="00FE1346" w:rsidP="00FE4186" w:rsidRDefault="00FE1346" w14:paraId="6DB5C98F" w14:textId="77777777">
            <w:pPr>
              <w:pStyle w:val="BodyText"/>
              <w:rPr>
                <w:sz w:val="20"/>
              </w:rPr>
            </w:pPr>
            <w:r w:rsidRPr="00A4414D">
              <w:rPr>
                <w:sz w:val="20"/>
              </w:rPr>
              <w:t>IV</w:t>
            </w:r>
            <w:r>
              <w:rPr>
                <w:sz w:val="20"/>
              </w:rPr>
              <w:t xml:space="preserve">: </w:t>
            </w:r>
            <w:r w:rsidRPr="002D73C0">
              <w:rPr>
                <w:sz w:val="20"/>
              </w:rPr>
              <w:t>Do not store above 30°C</w:t>
            </w:r>
            <w:r>
              <w:rPr>
                <w:sz w:val="20"/>
              </w:rPr>
              <w:t>. Do not refrigerate or freeze.</w:t>
            </w:r>
          </w:p>
          <w:p w:rsidRPr="00A4414D" w:rsidR="00FE1346" w:rsidP="00FE4186" w:rsidRDefault="00FE1346" w14:paraId="72025C4C" w14:textId="77777777">
            <w:pPr>
              <w:pStyle w:val="BodyText"/>
              <w:rPr>
                <w:rFonts w:cs="Arial"/>
                <w:sz w:val="20"/>
              </w:rPr>
            </w:pPr>
            <w:r w:rsidRPr="00A4414D">
              <w:rPr>
                <w:sz w:val="20"/>
              </w:rPr>
              <w:t>Oral</w:t>
            </w:r>
            <w:r>
              <w:rPr>
                <w:sz w:val="20"/>
              </w:rPr>
              <w:t>:</w:t>
            </w:r>
            <w:r w:rsidRPr="00A4414D">
              <w:rPr>
                <w:sz w:val="20"/>
              </w:rPr>
              <w:t xml:space="preserve"> </w:t>
            </w:r>
            <w:r>
              <w:rPr>
                <w:sz w:val="20"/>
              </w:rPr>
              <w:t>S</w:t>
            </w:r>
            <w:r w:rsidRPr="00A4414D">
              <w:rPr>
                <w:sz w:val="20"/>
              </w:rPr>
              <w:t>tore below 25°C.</w:t>
            </w:r>
          </w:p>
        </w:tc>
      </w:tr>
      <w:tr w:rsidRPr="003A7895" w:rsidR="00FE1346" w:rsidTr="001E64E6" w14:paraId="60477570" w14:textId="77777777">
        <w:trPr>
          <w:trHeight w:val="70"/>
        </w:trPr>
        <w:tc>
          <w:tcPr>
            <w:tcW w:w="2410" w:type="dxa"/>
          </w:tcPr>
          <w:p w:rsidRPr="00B53E9B" w:rsidR="00FE1346" w:rsidP="00FE4186" w:rsidRDefault="00FE1346" w14:paraId="73FF58A8" w14:textId="77777777">
            <w:pPr>
              <w:pStyle w:val="BodyText"/>
              <w:rPr>
                <w:rFonts w:cs="Arial"/>
                <w:b/>
                <w:bCs/>
                <w:sz w:val="20"/>
              </w:rPr>
            </w:pPr>
            <w:r w:rsidRPr="00B53E9B">
              <w:rPr>
                <w:rFonts w:cs="Arial"/>
                <w:b/>
                <w:bCs/>
                <w:sz w:val="20"/>
              </w:rPr>
              <w:t>Excipients</w:t>
            </w:r>
          </w:p>
        </w:tc>
        <w:tc>
          <w:tcPr>
            <w:tcW w:w="7825" w:type="dxa"/>
          </w:tcPr>
          <w:p w:rsidRPr="00026F20" w:rsidR="00FE1346" w:rsidP="00FE4186" w:rsidRDefault="00FE1346" w14:paraId="25F9192C" w14:textId="77777777">
            <w:pPr>
              <w:pStyle w:val="BodyText"/>
              <w:rPr>
                <w:rFonts w:cs="Arial"/>
                <w:sz w:val="20"/>
              </w:rPr>
            </w:pPr>
          </w:p>
        </w:tc>
      </w:tr>
      <w:tr w:rsidRPr="003A7895" w:rsidR="00FE1346" w:rsidTr="001E64E6" w14:paraId="20542F0E" w14:textId="77777777">
        <w:trPr>
          <w:trHeight w:val="270"/>
        </w:trPr>
        <w:tc>
          <w:tcPr>
            <w:tcW w:w="2410" w:type="dxa"/>
          </w:tcPr>
          <w:p w:rsidRPr="00B53E9B" w:rsidR="00FE1346" w:rsidP="00FE4186" w:rsidRDefault="00FE1346" w14:paraId="30713C54"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825" w:type="dxa"/>
          </w:tcPr>
          <w:p w:rsidR="00FE1346" w:rsidP="00FE4186" w:rsidRDefault="00FE1346" w14:paraId="032438E9" w14:textId="77777777">
            <w:pPr>
              <w:pStyle w:val="BodyText"/>
              <w:rPr>
                <w:rFonts w:cs="Arial"/>
                <w:sz w:val="20"/>
              </w:rPr>
            </w:pPr>
            <w:r>
              <w:rPr>
                <w:rFonts w:cs="Arial"/>
                <w:sz w:val="20"/>
              </w:rPr>
              <w:t xml:space="preserve">Preterm infants </w:t>
            </w:r>
            <w:r w:rsidRPr="00E958F5">
              <w:rPr>
                <w:rFonts w:cs="Arial"/>
                <w:sz w:val="20"/>
              </w:rPr>
              <w:t>may be at</w:t>
            </w:r>
            <w:r>
              <w:rPr>
                <w:rFonts w:cs="Arial"/>
                <w:sz w:val="20"/>
              </w:rPr>
              <w:t xml:space="preserve"> increased</w:t>
            </w:r>
            <w:r w:rsidRPr="00E958F5">
              <w:rPr>
                <w:rFonts w:cs="Arial"/>
                <w:sz w:val="20"/>
              </w:rPr>
              <w:t xml:space="preserve"> risk of paracetamol toxicity</w:t>
            </w:r>
            <w:r>
              <w:rPr>
                <w:rFonts w:cs="Arial"/>
                <w:sz w:val="20"/>
              </w:rPr>
              <w:t>. R</w:t>
            </w:r>
            <w:r w:rsidRPr="00E958F5">
              <w:rPr>
                <w:rFonts w:cs="Arial"/>
                <w:sz w:val="20"/>
              </w:rPr>
              <w:t>eview indications if IV paracetamol</w:t>
            </w:r>
            <w:r>
              <w:rPr>
                <w:rFonts w:cs="Arial"/>
                <w:sz w:val="20"/>
              </w:rPr>
              <w:t xml:space="preserve"> is needed for more than 48 hours.</w:t>
            </w:r>
          </w:p>
          <w:p w:rsidR="00FE1346" w:rsidP="00FE4186" w:rsidRDefault="00FE1346" w14:paraId="1FA806AF" w14:textId="77777777">
            <w:pPr>
              <w:pStyle w:val="BodyText"/>
              <w:rPr>
                <w:rFonts w:cs="Arial"/>
                <w:sz w:val="20"/>
              </w:rPr>
            </w:pPr>
            <w:r>
              <w:rPr>
                <w:rFonts w:cs="Arial"/>
                <w:sz w:val="20"/>
              </w:rPr>
              <w:t>Antidote</w:t>
            </w:r>
            <w:r w:rsidRPr="00E958F5">
              <w:rPr>
                <w:rFonts w:cs="Arial"/>
                <w:sz w:val="20"/>
              </w:rPr>
              <w:t xml:space="preserve"> of choice for overdose is acetylcysteine IV infusion.</w:t>
            </w:r>
          </w:p>
          <w:p w:rsidRPr="00A4414D" w:rsidR="00FE1346" w:rsidP="00FE4186" w:rsidRDefault="00FE1346" w14:paraId="0C15185C" w14:textId="77777777">
            <w:pPr>
              <w:pStyle w:val="BodyText"/>
              <w:rPr>
                <w:rFonts w:cs="Arial"/>
                <w:sz w:val="20"/>
              </w:rPr>
            </w:pPr>
            <w:r>
              <w:rPr>
                <w:sz w:val="20"/>
              </w:rPr>
              <w:t>R</w:t>
            </w:r>
            <w:r w:rsidRPr="00646250">
              <w:rPr>
                <w:sz w:val="20"/>
              </w:rPr>
              <w:t>ectal bioavailability is variable depending on the formulation used.</w:t>
            </w:r>
            <w:r w:rsidRPr="00B91571">
              <w:rPr>
                <w:sz w:val="20"/>
              </w:rPr>
              <w:t xml:space="preserve"> Oral or intravenous routes are preferred.</w:t>
            </w:r>
          </w:p>
        </w:tc>
      </w:tr>
      <w:tr w:rsidRPr="003A7895" w:rsidR="00FE1346" w:rsidTr="001E64E6" w14:paraId="6233A77D" w14:textId="77777777">
        <w:trPr>
          <w:trHeight w:val="280"/>
        </w:trPr>
        <w:tc>
          <w:tcPr>
            <w:tcW w:w="2410" w:type="dxa"/>
          </w:tcPr>
          <w:p w:rsidRPr="00B53E9B" w:rsidR="00FE1346" w:rsidP="00FE4186" w:rsidRDefault="00FE1346" w14:paraId="589DF750" w14:textId="77777777">
            <w:pPr>
              <w:pStyle w:val="BodyText"/>
              <w:rPr>
                <w:rFonts w:cs="Arial"/>
                <w:b/>
                <w:bCs/>
                <w:sz w:val="20"/>
              </w:rPr>
            </w:pPr>
            <w:r w:rsidRPr="00B53E9B">
              <w:rPr>
                <w:rFonts w:cs="Arial"/>
                <w:b/>
                <w:bCs/>
                <w:sz w:val="20"/>
              </w:rPr>
              <w:t>Evidence</w:t>
            </w:r>
          </w:p>
        </w:tc>
        <w:tc>
          <w:tcPr>
            <w:tcW w:w="7825" w:type="dxa"/>
          </w:tcPr>
          <w:p w:rsidRPr="001E64E6" w:rsidR="00FE1346" w:rsidP="00FE4186" w:rsidRDefault="00FE1346" w14:paraId="3F259FFD" w14:textId="77777777">
            <w:pPr>
              <w:pStyle w:val="BodyText"/>
              <w:tabs>
                <w:tab w:val="left" w:pos="1168"/>
              </w:tabs>
              <w:rPr>
                <w:b/>
                <w:sz w:val="16"/>
                <w:szCs w:val="16"/>
              </w:rPr>
            </w:pPr>
            <w:r w:rsidRPr="001E64E6">
              <w:rPr>
                <w:b/>
                <w:sz w:val="16"/>
                <w:szCs w:val="16"/>
              </w:rPr>
              <w:t>Efficacy and safety (analgesia/adjunct to post-operative analgesia)</w:t>
            </w:r>
          </w:p>
          <w:p w:rsidRPr="001E64E6" w:rsidR="00FE1346" w:rsidP="00FE4186" w:rsidRDefault="00FE1346" w14:paraId="21778447" w14:textId="77777777">
            <w:pPr>
              <w:pStyle w:val="BodyText"/>
              <w:tabs>
                <w:tab w:val="left" w:pos="1168"/>
              </w:tabs>
              <w:rPr>
                <w:sz w:val="16"/>
                <w:szCs w:val="16"/>
              </w:rPr>
            </w:pPr>
            <w:r w:rsidRPr="001E64E6">
              <w:rPr>
                <w:sz w:val="16"/>
                <w:szCs w:val="16"/>
              </w:rPr>
              <w:t>A systematic review of nine studies reported comparisons in 728 infants of paracetamol versus placebo or other pain-reducing interventions.</w:t>
            </w:r>
            <w:r w:rsidRPr="001E64E6">
              <w:rPr>
                <w:sz w:val="16"/>
                <w:szCs w:val="16"/>
                <w:vertAlign w:val="superscript"/>
              </w:rPr>
              <w:t>6</w:t>
            </w:r>
            <w:r w:rsidRPr="001E64E6">
              <w:rPr>
                <w:sz w:val="16"/>
                <w:szCs w:val="16"/>
              </w:rPr>
              <w:t xml:space="preserve"> Paracetamol for heel lance did not reduce pain when compared with water, cherry elixir or EMLA cream. Paracetamol use was associated with a stronger response to pain than was seen with glucose. Paracetamol did not reduce pain in infants exposed to vacuum extraction or forceps at birth and their response to a subsequent heel lance at two to three days of life was increased compared with placebo. For eye examination, paracetamol was effective in reducing pain compared with water in one study, but the pain response was stronger among paracetamol-treated infants than in infants given 24% sucrose. In infants treated with paracetamol (30 mg/kg/day) and morphine compared with morphine alone, the total amount of morphine required during the first 48 hours following major surgery to the chest or the abdomen was less in the paracetamol group. </w:t>
            </w:r>
          </w:p>
          <w:p w:rsidRPr="001E64E6" w:rsidR="00FE1346" w:rsidP="00FE4186" w:rsidRDefault="00FE1346" w14:paraId="011A69B2" w14:textId="77777777">
            <w:pPr>
              <w:pStyle w:val="BodyText"/>
              <w:tabs>
                <w:tab w:val="left" w:pos="1168"/>
              </w:tabs>
              <w:rPr>
                <w:sz w:val="16"/>
                <w:szCs w:val="16"/>
              </w:rPr>
            </w:pPr>
          </w:p>
          <w:p w:rsidRPr="001E64E6" w:rsidR="00FE1346" w:rsidP="00FE4186" w:rsidRDefault="00FE1346" w14:paraId="6D55733B" w14:textId="77777777">
            <w:pPr>
              <w:pStyle w:val="BodyText"/>
              <w:tabs>
                <w:tab w:val="left" w:pos="1168"/>
              </w:tabs>
              <w:rPr>
                <w:sz w:val="16"/>
                <w:szCs w:val="16"/>
              </w:rPr>
            </w:pPr>
            <w:r w:rsidRPr="001E64E6">
              <w:rPr>
                <w:sz w:val="16"/>
                <w:szCs w:val="16"/>
              </w:rPr>
              <w:t>Recommendation: The paucity and low quality of existing data do not provide sufficient evidence to establish the role of paracetamol in reducing the effects of painful procedures in neonates. Paracetamol given after assisted vaginal birth may increase the response to later painful exposures. Paracetamol may reduce the total need for morphine following major surgery, and for this aspect of paracetamol use, further research is needed.</w:t>
            </w:r>
            <w:r w:rsidRPr="001E64E6">
              <w:rPr>
                <w:sz w:val="16"/>
                <w:szCs w:val="16"/>
                <w:vertAlign w:val="superscript"/>
              </w:rPr>
              <w:t>6</w:t>
            </w:r>
            <w:r w:rsidRPr="001E64E6">
              <w:rPr>
                <w:sz w:val="16"/>
                <w:szCs w:val="16"/>
              </w:rPr>
              <w:t xml:space="preserve"> (LOE I GOR B)</w:t>
            </w:r>
          </w:p>
          <w:p w:rsidRPr="001E64E6" w:rsidR="00FE1346" w:rsidP="00FE4186" w:rsidRDefault="00FE1346" w14:paraId="023286AA" w14:textId="77777777">
            <w:pPr>
              <w:pStyle w:val="BodyText"/>
              <w:tabs>
                <w:tab w:val="left" w:pos="1168"/>
              </w:tabs>
              <w:rPr>
                <w:b/>
                <w:sz w:val="16"/>
                <w:szCs w:val="16"/>
              </w:rPr>
            </w:pPr>
            <w:r w:rsidRPr="001E64E6">
              <w:rPr>
                <w:b/>
                <w:sz w:val="16"/>
                <w:szCs w:val="16"/>
              </w:rPr>
              <w:t xml:space="preserve">Efficacy and safety (patent ductus arteriosus) </w:t>
            </w:r>
          </w:p>
          <w:p w:rsidRPr="001E64E6" w:rsidR="00FE1346" w:rsidP="00FE4186" w:rsidRDefault="00FE1346" w14:paraId="6764D9E2" w14:textId="77777777">
            <w:pPr>
              <w:pStyle w:val="BodyText"/>
              <w:tabs>
                <w:tab w:val="left" w:pos="1168"/>
              </w:tabs>
              <w:rPr>
                <w:sz w:val="16"/>
                <w:szCs w:val="16"/>
              </w:rPr>
            </w:pPr>
            <w:r w:rsidRPr="001E64E6">
              <w:rPr>
                <w:sz w:val="16"/>
                <w:szCs w:val="16"/>
              </w:rPr>
              <w:t>A systematic review of eight studies reported comparisons in 916 infants of paracetamol versus placebo, ibuprofen and indomethacin.</w:t>
            </w:r>
            <w:r w:rsidRPr="001E64E6">
              <w:rPr>
                <w:sz w:val="16"/>
                <w:szCs w:val="16"/>
                <w:vertAlign w:val="superscript"/>
              </w:rPr>
              <w:t>4</w:t>
            </w:r>
            <w:r w:rsidRPr="001E64E6">
              <w:rPr>
                <w:sz w:val="16"/>
                <w:szCs w:val="16"/>
              </w:rPr>
              <w:t xml:space="preserve"> Two studies (80 infants) showed a lower rate of failure of ductal closure after 4 to 5 days of treatment compared to placebo or no intervention (typical RR 0.49 (95% CI 0.24 to 1.00; P = 0.05); typical RD −0.21 (95% CI −0.41 to −0.02); I² = 0 % for RR and RD; NNTB 5; 95% CI 2 to 50; low quality of evidence). A third randomised </w:t>
            </w:r>
            <w:r w:rsidRPr="001E64E6">
              <w:rPr>
                <w:sz w:val="16"/>
                <w:szCs w:val="16"/>
              </w:rPr>
              <w:lastRenderedPageBreak/>
              <w:t>controlled trial [in press] comparing paracetamol to placebo showed less infants in the intervention group required intervention for PDA up to 5 days (6 [21%] vs 17 [59%] infants [p=0.003]; relative risk reduction 0.35 [95%CI 0.16-0.77; NNT 2.6]).</w:t>
            </w:r>
            <w:r w:rsidRPr="001E64E6">
              <w:rPr>
                <w:sz w:val="16"/>
                <w:szCs w:val="16"/>
                <w:vertAlign w:val="superscript"/>
              </w:rPr>
              <w:t>5</w:t>
            </w:r>
            <w:r w:rsidRPr="001E64E6">
              <w:rPr>
                <w:sz w:val="16"/>
                <w:szCs w:val="16"/>
              </w:rPr>
              <w:t xml:space="preserve"> Five studies (559 infants) showed no significant difference between paracetamol and ibuprofen for failure of ductal closure (typical risk ratio (RR) 0.95, 95% confidence interval (CI) 0.75 to 1.21; typical risk difference (RD) −0.02, 95% CI −0.09 to 0.09; I² = 0% for RR and RD; moderate quality of evidence). Gastrointestinal bleeding was lower in the paracetamol group versus the ibuprofen group (typical RR 0.28, 95% CI 0.12 to 0.69; typical RD −0.06, 95% CI −0.09 to −0.02; I² = 0% for RR and RD; number needed to treat for an additional beneficial outcome (NNTB) 17 (95% CI 11 to 50); moderate quality of evidence). The serum levels of creatinine were lower in the paracetamol group compared with the ibuprofen group in four studies (moderate quality of evidence), as were serum bilirubin levels following treatment in two studies (n = 290). There were no significant differences in the neurological outcomes at 18 to 24 months (n = 61); (low quality of evidence). Two studies (277 infants) showed no significant difference between paracetamol and indomethacin for failure of ductal closure (typical RR 0.96, 95% CI 0.55 to 1.65; I² = 11%; typical RD −0.01, 95% CI −0.09 to 0.08; I² = 17%); low quality of evidence). Serum creatinine levels were significantly lower in the paracetamol group compared with the indomethacin group and platelet counts and daily urine output were significantly higher in the paracetamol group. A second systematic review of studies involving the use of paracetamol in preterm infants reported on sixteen studies: Two randomised controlled trials and 14 uncontrolled studies. The quality of selected studies was rated as poor. Proportion meta-analysis of uncontrolled studies demonstrated a pooled ductal closure rate of 49% (95% CI 29% to 69%) and 76% (95% CI 61% to 88%) after 3 and 6 days of treatment with paracetamol, respectively.</w:t>
            </w:r>
            <w:r w:rsidRPr="001E64E6">
              <w:rPr>
                <w:sz w:val="16"/>
                <w:szCs w:val="16"/>
                <w:vertAlign w:val="superscript"/>
              </w:rPr>
              <w:t>7</w:t>
            </w:r>
            <w:r w:rsidRPr="001E64E6">
              <w:rPr>
                <w:sz w:val="16"/>
                <w:szCs w:val="16"/>
              </w:rPr>
              <w:t xml:space="preserve"> The majority of studies used 15 mg/kg every 6 hours for 3–7 days. </w:t>
            </w:r>
          </w:p>
          <w:p w:rsidRPr="001E64E6" w:rsidR="00FE1346" w:rsidP="00FE4186" w:rsidRDefault="00FE1346" w14:paraId="2307A0CD" w14:textId="77777777">
            <w:pPr>
              <w:pStyle w:val="BodyText"/>
              <w:tabs>
                <w:tab w:val="left" w:pos="1168"/>
              </w:tabs>
              <w:rPr>
                <w:sz w:val="16"/>
                <w:szCs w:val="16"/>
              </w:rPr>
            </w:pPr>
          </w:p>
          <w:p w:rsidRPr="001E64E6" w:rsidR="00FE1346" w:rsidP="00FE4186" w:rsidRDefault="00FE1346" w14:paraId="76B09FF4" w14:textId="77777777">
            <w:pPr>
              <w:pStyle w:val="BodyText"/>
              <w:tabs>
                <w:tab w:val="left" w:pos="1168"/>
              </w:tabs>
              <w:rPr>
                <w:sz w:val="16"/>
                <w:szCs w:val="16"/>
              </w:rPr>
            </w:pPr>
            <w:r w:rsidRPr="001E64E6">
              <w:rPr>
                <w:sz w:val="16"/>
                <w:szCs w:val="16"/>
              </w:rPr>
              <w:t>Recommendation: Low-moderate quality evidence suggests that paracetamol is more effective than placebo and as effective as ibuprofen and indomethacin for ductal closure. There was no difference in neurodevelopmental outcome in children exposed to paracetamol compared to ibuprofen, however, the quality of evidence is low and comes from only one study. In view of concerns raised regarding neurodevelopmental outcomes following prenatal and postnatal exposure to paracetamol, long‐term follow‐up to at least 18 to 24 months' postnatal age must be incorporated in any studies of paracetamol in the newborn population. Further research is required before recommendations for the routine use of paracetamol in the newborn population can be made.</w:t>
            </w:r>
            <w:r w:rsidRPr="001E64E6">
              <w:rPr>
                <w:sz w:val="16"/>
                <w:szCs w:val="16"/>
                <w:vertAlign w:val="superscript"/>
              </w:rPr>
              <w:t>4</w:t>
            </w:r>
            <w:r w:rsidRPr="001E64E6">
              <w:rPr>
                <w:sz w:val="16"/>
                <w:szCs w:val="16"/>
              </w:rPr>
              <w:t xml:space="preserve"> (LOE I GOR B)</w:t>
            </w:r>
          </w:p>
          <w:p w:rsidRPr="001E64E6" w:rsidR="00FE1346" w:rsidP="00FE4186" w:rsidRDefault="00FE1346" w14:paraId="70F5386B" w14:textId="77777777">
            <w:pPr>
              <w:pStyle w:val="BodyText"/>
              <w:tabs>
                <w:tab w:val="left" w:pos="1168"/>
              </w:tabs>
              <w:rPr>
                <w:b/>
                <w:sz w:val="16"/>
                <w:szCs w:val="16"/>
              </w:rPr>
            </w:pPr>
            <w:r w:rsidRPr="001E64E6">
              <w:rPr>
                <w:b/>
                <w:sz w:val="16"/>
                <w:szCs w:val="16"/>
              </w:rPr>
              <w:t>Hepatic toxicity</w:t>
            </w:r>
          </w:p>
          <w:p w:rsidRPr="001E64E6" w:rsidR="00FE1346" w:rsidP="00FE4186" w:rsidRDefault="00FE1346" w14:paraId="0A82468D" w14:textId="77777777">
            <w:pPr>
              <w:pStyle w:val="BodyText"/>
              <w:tabs>
                <w:tab w:val="left" w:pos="1168"/>
              </w:tabs>
              <w:rPr>
                <w:sz w:val="16"/>
                <w:szCs w:val="16"/>
              </w:rPr>
            </w:pPr>
            <w:r w:rsidRPr="001E64E6">
              <w:rPr>
                <w:sz w:val="16"/>
                <w:szCs w:val="16"/>
              </w:rPr>
              <w:t>Individual cases with hepatic toxicity related to paracetamol in newborns have been reported. Overall, the number of cases reported is limited to significant overdoses (75–446 mg/kg), most commonly as a result of an in-hospital, 10-fold drug error.</w:t>
            </w:r>
            <w:r w:rsidRPr="001E64E6">
              <w:rPr>
                <w:sz w:val="16"/>
                <w:szCs w:val="16"/>
                <w:vertAlign w:val="superscript"/>
              </w:rPr>
              <w:t>8</w:t>
            </w:r>
            <w:r w:rsidRPr="001E64E6">
              <w:rPr>
                <w:sz w:val="16"/>
                <w:szCs w:val="16"/>
              </w:rPr>
              <w:t xml:space="preserve"> In infants and children, hepatotoxicity has been reported over a wide dosage range (60–420 mg/kg/day for 1–42 days).</w:t>
            </w:r>
            <w:r w:rsidRPr="001E64E6">
              <w:rPr>
                <w:sz w:val="16"/>
                <w:szCs w:val="16"/>
                <w:vertAlign w:val="superscript"/>
              </w:rPr>
              <w:t>9</w:t>
            </w:r>
          </w:p>
          <w:p w:rsidRPr="001E64E6" w:rsidR="00FE1346" w:rsidP="00FE4186" w:rsidRDefault="00FE1346" w14:paraId="42D9556E" w14:textId="77777777">
            <w:pPr>
              <w:pStyle w:val="BodyText"/>
              <w:tabs>
                <w:tab w:val="left" w:pos="1168"/>
              </w:tabs>
              <w:rPr>
                <w:b/>
                <w:sz w:val="16"/>
                <w:szCs w:val="16"/>
              </w:rPr>
            </w:pPr>
            <w:r w:rsidRPr="001E64E6">
              <w:rPr>
                <w:b/>
                <w:sz w:val="16"/>
                <w:szCs w:val="16"/>
              </w:rPr>
              <w:t>Pharmacokinetics</w:t>
            </w:r>
          </w:p>
          <w:p w:rsidRPr="001E64E6" w:rsidR="00FE1346" w:rsidP="00FE4186" w:rsidRDefault="00FE1346" w14:paraId="26AF3E5F" w14:textId="77777777">
            <w:pPr>
              <w:pStyle w:val="BodyText"/>
              <w:tabs>
                <w:tab w:val="left" w:pos="1168"/>
              </w:tabs>
              <w:rPr>
                <w:sz w:val="16"/>
                <w:szCs w:val="16"/>
              </w:rPr>
            </w:pPr>
            <w:r w:rsidRPr="001E64E6">
              <w:rPr>
                <w:sz w:val="16"/>
                <w:szCs w:val="16"/>
              </w:rPr>
              <w:t>Model</w:t>
            </w:r>
            <w:r w:rsidRPr="001E64E6">
              <w:rPr>
                <w:rFonts w:cs="Cambria Math"/>
                <w:sz w:val="16"/>
                <w:szCs w:val="16"/>
              </w:rPr>
              <w:t>‐</w:t>
            </w:r>
            <w:r w:rsidRPr="001E64E6">
              <w:rPr>
                <w:sz w:val="16"/>
                <w:szCs w:val="16"/>
              </w:rPr>
              <w:t>based dosing regimen of intravenous paracetamol aiming for a target paracetamol concentration of 9 mg/l based on population pharmacokinetic analysis from preterm neonates to adults, including 108 neonates (post-natal age 1–76 days, gestational age 27–42 weeks):</w:t>
            </w:r>
            <w:r w:rsidRPr="001E64E6">
              <w:rPr>
                <w:sz w:val="16"/>
                <w:szCs w:val="16"/>
                <w:vertAlign w:val="superscript"/>
              </w:rPr>
              <w:t>1</w:t>
            </w:r>
          </w:p>
          <w:p w:rsidRPr="001E64E6" w:rsidR="00FE1346" w:rsidP="001B0E05" w:rsidRDefault="00FE1346" w14:paraId="2BF87B16" w14:textId="77777777">
            <w:pPr>
              <w:pStyle w:val="BodyText"/>
              <w:numPr>
                <w:ilvl w:val="0"/>
                <w:numId w:val="37"/>
              </w:numPr>
              <w:tabs>
                <w:tab w:val="left" w:pos="1168"/>
              </w:tabs>
              <w:overflowPunct w:val="0"/>
              <w:autoSpaceDE w:val="0"/>
              <w:autoSpaceDN w:val="0"/>
              <w:adjustRightInd w:val="0"/>
              <w:ind w:left="720"/>
              <w:jc w:val="left"/>
              <w:textAlignment w:val="baseline"/>
              <w:rPr>
                <w:sz w:val="16"/>
                <w:szCs w:val="16"/>
              </w:rPr>
            </w:pPr>
            <w:r w:rsidRPr="001E64E6">
              <w:rPr>
                <w:sz w:val="16"/>
                <w:szCs w:val="16"/>
              </w:rPr>
              <w:t>BW 0.5 kg – Loading 11.2 mg/kg; maintenance q6h 5.1 mg/kg</w:t>
            </w:r>
          </w:p>
          <w:p w:rsidRPr="001E64E6" w:rsidR="00FE1346" w:rsidP="001B0E05" w:rsidRDefault="00FE1346" w14:paraId="7696B3C9" w14:textId="77777777">
            <w:pPr>
              <w:pStyle w:val="BodyText"/>
              <w:numPr>
                <w:ilvl w:val="0"/>
                <w:numId w:val="37"/>
              </w:numPr>
              <w:tabs>
                <w:tab w:val="left" w:pos="1168"/>
              </w:tabs>
              <w:overflowPunct w:val="0"/>
              <w:autoSpaceDE w:val="0"/>
              <w:autoSpaceDN w:val="0"/>
              <w:adjustRightInd w:val="0"/>
              <w:ind w:left="720"/>
              <w:jc w:val="left"/>
              <w:textAlignment w:val="baseline"/>
              <w:rPr>
                <w:sz w:val="16"/>
                <w:szCs w:val="16"/>
              </w:rPr>
            </w:pPr>
            <w:r w:rsidRPr="001E64E6">
              <w:rPr>
                <w:sz w:val="16"/>
                <w:szCs w:val="16"/>
              </w:rPr>
              <w:t>BW 1.0 kg – Loading 12.1 mg/kg; maintenance q6h 6.0 mg/kg</w:t>
            </w:r>
          </w:p>
          <w:p w:rsidRPr="001E64E6" w:rsidR="00FE1346" w:rsidP="001B0E05" w:rsidRDefault="00FE1346" w14:paraId="0E7C1A16" w14:textId="77777777">
            <w:pPr>
              <w:pStyle w:val="BodyText"/>
              <w:numPr>
                <w:ilvl w:val="0"/>
                <w:numId w:val="37"/>
              </w:numPr>
              <w:tabs>
                <w:tab w:val="left" w:pos="1168"/>
              </w:tabs>
              <w:overflowPunct w:val="0"/>
              <w:autoSpaceDE w:val="0"/>
              <w:autoSpaceDN w:val="0"/>
              <w:adjustRightInd w:val="0"/>
              <w:ind w:left="720"/>
              <w:jc w:val="left"/>
              <w:textAlignment w:val="baseline"/>
              <w:rPr>
                <w:sz w:val="16"/>
                <w:szCs w:val="16"/>
              </w:rPr>
            </w:pPr>
            <w:r w:rsidRPr="001E64E6">
              <w:rPr>
                <w:sz w:val="16"/>
                <w:szCs w:val="16"/>
              </w:rPr>
              <w:t>BW 1.5 kg – Loading 12.2 mg/kg; maintenance q6h 6.8 mg/kg</w:t>
            </w:r>
          </w:p>
          <w:p w:rsidRPr="001E64E6" w:rsidR="00FE1346" w:rsidP="001B0E05" w:rsidRDefault="00FE1346" w14:paraId="4A017F68" w14:textId="77777777">
            <w:pPr>
              <w:pStyle w:val="BodyText"/>
              <w:numPr>
                <w:ilvl w:val="0"/>
                <w:numId w:val="37"/>
              </w:numPr>
              <w:tabs>
                <w:tab w:val="left" w:pos="1168"/>
              </w:tabs>
              <w:overflowPunct w:val="0"/>
              <w:autoSpaceDE w:val="0"/>
              <w:autoSpaceDN w:val="0"/>
              <w:adjustRightInd w:val="0"/>
              <w:ind w:left="720"/>
              <w:jc w:val="left"/>
              <w:textAlignment w:val="baseline"/>
              <w:rPr>
                <w:sz w:val="16"/>
                <w:szCs w:val="16"/>
              </w:rPr>
            </w:pPr>
            <w:r w:rsidRPr="001E64E6">
              <w:rPr>
                <w:sz w:val="16"/>
                <w:szCs w:val="16"/>
              </w:rPr>
              <w:t>BW 2.0 kg – Loading 13.3 mg/kg; maintenance q6h 7.4 mg/kg</w:t>
            </w:r>
          </w:p>
          <w:p w:rsidRPr="001E64E6" w:rsidR="00FE1346" w:rsidP="001B0E05" w:rsidRDefault="00FE1346" w14:paraId="36818236" w14:textId="77777777">
            <w:pPr>
              <w:pStyle w:val="BodyText"/>
              <w:numPr>
                <w:ilvl w:val="0"/>
                <w:numId w:val="37"/>
              </w:numPr>
              <w:tabs>
                <w:tab w:val="left" w:pos="1168"/>
              </w:tabs>
              <w:overflowPunct w:val="0"/>
              <w:autoSpaceDE w:val="0"/>
              <w:autoSpaceDN w:val="0"/>
              <w:adjustRightInd w:val="0"/>
              <w:ind w:left="720"/>
              <w:jc w:val="left"/>
              <w:textAlignment w:val="baseline"/>
              <w:rPr>
                <w:sz w:val="16"/>
                <w:szCs w:val="16"/>
              </w:rPr>
            </w:pPr>
            <w:r w:rsidRPr="001E64E6">
              <w:rPr>
                <w:sz w:val="16"/>
                <w:szCs w:val="16"/>
              </w:rPr>
              <w:t>BW 3.0 kg –Loading 12.8 mg/kg; maintenance q6h 8.5 mg/kg</w:t>
            </w:r>
          </w:p>
          <w:p w:rsidRPr="001E64E6" w:rsidR="00FE1346" w:rsidP="001B0E05" w:rsidRDefault="00FE1346" w14:paraId="216D2BC2" w14:textId="77777777">
            <w:pPr>
              <w:pStyle w:val="BodyText"/>
              <w:numPr>
                <w:ilvl w:val="0"/>
                <w:numId w:val="37"/>
              </w:numPr>
              <w:tabs>
                <w:tab w:val="left" w:pos="1168"/>
              </w:tabs>
              <w:overflowPunct w:val="0"/>
              <w:autoSpaceDE w:val="0"/>
              <w:autoSpaceDN w:val="0"/>
              <w:adjustRightInd w:val="0"/>
              <w:ind w:left="720"/>
              <w:jc w:val="left"/>
              <w:textAlignment w:val="baseline"/>
              <w:rPr>
                <w:sz w:val="16"/>
                <w:szCs w:val="16"/>
              </w:rPr>
            </w:pPr>
            <w:r w:rsidRPr="001E64E6">
              <w:rPr>
                <w:sz w:val="16"/>
                <w:szCs w:val="16"/>
              </w:rPr>
              <w:t>BW 5.0 kg – Loading 13.5 mg/kg; maintenance q6h 10.4 mg/kg</w:t>
            </w:r>
          </w:p>
          <w:p w:rsidRPr="001E64E6" w:rsidR="00FE1346" w:rsidP="00FE4186" w:rsidRDefault="00FE1346" w14:paraId="743478A8" w14:textId="77777777">
            <w:pPr>
              <w:pStyle w:val="BodyText"/>
              <w:tabs>
                <w:tab w:val="left" w:pos="1168"/>
              </w:tabs>
              <w:rPr>
                <w:sz w:val="16"/>
                <w:szCs w:val="16"/>
              </w:rPr>
            </w:pPr>
            <w:r w:rsidRPr="001E64E6">
              <w:rPr>
                <w:sz w:val="16"/>
                <w:szCs w:val="16"/>
              </w:rPr>
              <w:t xml:space="preserve">NB. The above numbers can be converted to any target concentration by dividing by 9 and multiplying by the desired target concentration. </w:t>
            </w:r>
          </w:p>
          <w:p w:rsidRPr="001E64E6" w:rsidR="00FE1346" w:rsidP="00FE4186" w:rsidRDefault="00FE1346" w14:paraId="1C05B44D" w14:textId="77777777">
            <w:pPr>
              <w:pStyle w:val="BodyText"/>
              <w:tabs>
                <w:tab w:val="left" w:pos="1168"/>
              </w:tabs>
              <w:rPr>
                <w:sz w:val="16"/>
                <w:szCs w:val="16"/>
              </w:rPr>
            </w:pPr>
          </w:p>
          <w:p w:rsidRPr="001E64E6" w:rsidR="00FE1346" w:rsidP="00FE4186" w:rsidRDefault="00FE1346" w14:paraId="21E2BDC6" w14:textId="77777777">
            <w:pPr>
              <w:pStyle w:val="BodyText"/>
              <w:tabs>
                <w:tab w:val="left" w:pos="1168"/>
              </w:tabs>
              <w:rPr>
                <w:sz w:val="16"/>
                <w:szCs w:val="16"/>
              </w:rPr>
            </w:pPr>
            <w:r w:rsidRPr="001E64E6">
              <w:rPr>
                <w:sz w:val="16"/>
                <w:szCs w:val="16"/>
              </w:rPr>
              <w:t>Population pharmacokinetic analysis of 943 paracetamol observations from 158 neonates (27–45 weeks' postmenstrual age [PMA]) showed a mean paracetamol serum concentration of 11 mg/l is predicted in neonates of 32–44 weeks' PMA given a standard dose of intravenous paracetamol of 10 mg/kg every 6 hours.</w:t>
            </w:r>
            <w:r w:rsidRPr="001E64E6">
              <w:rPr>
                <w:sz w:val="16"/>
                <w:szCs w:val="16"/>
                <w:vertAlign w:val="superscript"/>
              </w:rPr>
              <w:t>2</w:t>
            </w:r>
          </w:p>
          <w:p w:rsidRPr="001E64E6" w:rsidR="00FE1346" w:rsidP="00FE4186" w:rsidRDefault="00FE1346" w14:paraId="12971991" w14:textId="77777777">
            <w:pPr>
              <w:pStyle w:val="BodyText"/>
              <w:tabs>
                <w:tab w:val="left" w:pos="1168"/>
              </w:tabs>
              <w:rPr>
                <w:sz w:val="16"/>
                <w:szCs w:val="16"/>
              </w:rPr>
            </w:pPr>
          </w:p>
          <w:p w:rsidRPr="001E64E6" w:rsidR="00FE1346" w:rsidP="00FE4186" w:rsidRDefault="00FE1346" w14:paraId="49BC91D6" w14:textId="77777777">
            <w:pPr>
              <w:pStyle w:val="BodyText"/>
              <w:tabs>
                <w:tab w:val="left" w:pos="1168"/>
              </w:tabs>
              <w:rPr>
                <w:sz w:val="16"/>
                <w:szCs w:val="16"/>
              </w:rPr>
            </w:pPr>
            <w:r w:rsidRPr="001E64E6">
              <w:rPr>
                <w:sz w:val="16"/>
                <w:szCs w:val="16"/>
              </w:rPr>
              <w:t>A population pharmacokinetic analysis of acetaminophen time-concentration profiles in 283 children (124 aged ≤ 6 months) reported that a mean, steady state, target concentration greater than 10 mg/l at trough can be achieved by an oral dose of 25 mg/kg/day in premature neonates at 30 weeks' post-conception, 45 mg/kg/day at 34 weeks' gestation, 60 mg/kg/day at term. Similar concentrations can be achieved with maintenance rectal doses of 25 (capsule suppository) or 30 (triglyceride suppository) mg/kg/day in premature neonates at 30 weeks' gestation, increasing to 90 (capsule suppository) or 120 (triglyceride suppository) mg/kg/day at 6 months.</w:t>
            </w:r>
            <w:r w:rsidRPr="001E64E6">
              <w:rPr>
                <w:sz w:val="16"/>
                <w:szCs w:val="16"/>
                <w:vertAlign w:val="superscript"/>
              </w:rPr>
              <w:t>3</w:t>
            </w:r>
          </w:p>
        </w:tc>
      </w:tr>
      <w:tr w:rsidRPr="003A7895" w:rsidR="00FE1346" w:rsidTr="001E64E6" w14:paraId="7A6ECC0F" w14:textId="77777777">
        <w:trPr>
          <w:trHeight w:val="108"/>
        </w:trPr>
        <w:tc>
          <w:tcPr>
            <w:tcW w:w="2410" w:type="dxa"/>
          </w:tcPr>
          <w:p w:rsidRPr="00B53E9B" w:rsidR="00FE1346" w:rsidP="00FE4186" w:rsidRDefault="00FE1346" w14:paraId="72AD6410" w14:textId="77777777">
            <w:pPr>
              <w:pStyle w:val="BodyText"/>
              <w:rPr>
                <w:rFonts w:cs="Arial"/>
                <w:b/>
                <w:bCs/>
                <w:sz w:val="20"/>
              </w:rPr>
            </w:pPr>
            <w:r w:rsidRPr="00B53E9B">
              <w:rPr>
                <w:rFonts w:cs="Arial"/>
                <w:b/>
                <w:bCs/>
                <w:sz w:val="20"/>
              </w:rPr>
              <w:lastRenderedPageBreak/>
              <w:t>Practice points</w:t>
            </w:r>
          </w:p>
        </w:tc>
        <w:tc>
          <w:tcPr>
            <w:tcW w:w="7825" w:type="dxa"/>
          </w:tcPr>
          <w:p w:rsidRPr="001E64E6" w:rsidR="00FE1346" w:rsidP="00FE4186" w:rsidRDefault="00FE1346" w14:paraId="00E4AB1C" w14:textId="77777777">
            <w:pPr>
              <w:pStyle w:val="BodyText"/>
              <w:tabs>
                <w:tab w:val="left" w:pos="1168"/>
              </w:tabs>
              <w:rPr>
                <w:b/>
                <w:sz w:val="16"/>
                <w:szCs w:val="16"/>
              </w:rPr>
            </w:pPr>
            <w:r w:rsidRPr="001E64E6">
              <w:rPr>
                <w:b/>
                <w:sz w:val="16"/>
                <w:szCs w:val="16"/>
              </w:rPr>
              <w:t>General</w:t>
            </w:r>
          </w:p>
          <w:p w:rsidRPr="001E64E6" w:rsidR="00FE1346" w:rsidP="00FE4186" w:rsidRDefault="00FE1346" w14:paraId="5F84F6DC" w14:textId="77777777">
            <w:pPr>
              <w:pStyle w:val="BodyText"/>
              <w:tabs>
                <w:tab w:val="left" w:pos="1168"/>
              </w:tabs>
              <w:rPr>
                <w:sz w:val="16"/>
                <w:szCs w:val="16"/>
              </w:rPr>
            </w:pPr>
            <w:r w:rsidRPr="001E64E6">
              <w:rPr>
                <w:sz w:val="16"/>
                <w:szCs w:val="16"/>
              </w:rPr>
              <w:t>The dosing schedule in this formulary is equivalent to a target paracetamol concentration of approximately 11 mg/l.</w:t>
            </w:r>
            <w:r w:rsidRPr="001E64E6">
              <w:rPr>
                <w:sz w:val="16"/>
                <w:szCs w:val="16"/>
                <w:vertAlign w:val="superscript"/>
              </w:rPr>
              <w:t>1</w:t>
            </w:r>
            <w:r w:rsidRPr="001E64E6">
              <w:rPr>
                <w:sz w:val="16"/>
                <w:szCs w:val="16"/>
              </w:rPr>
              <w:t xml:space="preserve">  </w:t>
            </w:r>
          </w:p>
          <w:p w:rsidRPr="001E64E6" w:rsidR="00FE1346" w:rsidP="00FE4186" w:rsidRDefault="00FE1346" w14:paraId="0AFF3DC7" w14:textId="77777777">
            <w:pPr>
              <w:pStyle w:val="BodyText"/>
              <w:tabs>
                <w:tab w:val="left" w:pos="1168"/>
              </w:tabs>
              <w:rPr>
                <w:b/>
                <w:sz w:val="16"/>
                <w:szCs w:val="16"/>
              </w:rPr>
            </w:pPr>
            <w:r w:rsidRPr="001E64E6">
              <w:rPr>
                <w:b/>
                <w:sz w:val="16"/>
                <w:szCs w:val="16"/>
              </w:rPr>
              <w:t>Dose</w:t>
            </w:r>
          </w:p>
          <w:p w:rsidRPr="001E64E6" w:rsidR="00FE1346" w:rsidP="00FE4186" w:rsidRDefault="00FE1346" w14:paraId="7CF1B0CA" w14:textId="77777777">
            <w:pPr>
              <w:pStyle w:val="BodyText"/>
              <w:tabs>
                <w:tab w:val="left" w:pos="1168"/>
              </w:tabs>
              <w:rPr>
                <w:sz w:val="16"/>
                <w:szCs w:val="16"/>
                <w:u w:val="single"/>
              </w:rPr>
            </w:pPr>
            <w:r w:rsidRPr="001E64E6">
              <w:rPr>
                <w:sz w:val="16"/>
                <w:szCs w:val="16"/>
                <w:u w:val="single"/>
              </w:rPr>
              <w:t>Analgesia/antipyretic/adjunct to post-operative analgesia</w:t>
            </w:r>
          </w:p>
          <w:p w:rsidRPr="001E64E6" w:rsidR="00FE1346" w:rsidP="00FE4186" w:rsidRDefault="00FE1346" w14:paraId="5F1829BF" w14:textId="77777777">
            <w:pPr>
              <w:pStyle w:val="BodyText"/>
              <w:tabs>
                <w:tab w:val="left" w:pos="1168"/>
              </w:tabs>
              <w:rPr>
                <w:sz w:val="16"/>
                <w:szCs w:val="16"/>
              </w:rPr>
            </w:pPr>
            <w:r w:rsidRPr="001E64E6">
              <w:rPr>
                <w:sz w:val="16"/>
                <w:szCs w:val="16"/>
              </w:rPr>
              <w:t>Recommendations are primarily based on intravenous pharmacokinetic analyses as paracetamol has good oral bioavailability. The rectal dosing is safe but may not achieve target paracetamol concentrations as rectal bioavailability is variable depending on the formulation used. Oral or intravenous routes are preferred.</w:t>
            </w:r>
            <w:r w:rsidRPr="001E64E6">
              <w:rPr>
                <w:sz w:val="16"/>
                <w:szCs w:val="16"/>
                <w:vertAlign w:val="superscript"/>
              </w:rPr>
              <w:t>1-3</w:t>
            </w:r>
            <w:r w:rsidRPr="001E64E6">
              <w:rPr>
                <w:sz w:val="16"/>
                <w:szCs w:val="16"/>
              </w:rPr>
              <w:t xml:space="preserve"> (LOE IV GOR C)</w:t>
            </w:r>
          </w:p>
          <w:p w:rsidRPr="001E64E6" w:rsidR="00FE1346" w:rsidP="00FE4186" w:rsidRDefault="00FE1346" w14:paraId="3D0661AC" w14:textId="77777777">
            <w:pPr>
              <w:pStyle w:val="BodyText"/>
              <w:tabs>
                <w:tab w:val="left" w:pos="1168"/>
              </w:tabs>
              <w:rPr>
                <w:sz w:val="16"/>
                <w:szCs w:val="16"/>
                <w:u w:val="single"/>
              </w:rPr>
            </w:pPr>
            <w:r w:rsidRPr="001E64E6">
              <w:rPr>
                <w:sz w:val="16"/>
                <w:szCs w:val="16"/>
                <w:u w:val="single"/>
              </w:rPr>
              <w:t>Patent Ductus Arteriosus</w:t>
            </w:r>
          </w:p>
          <w:p w:rsidRPr="001E64E6" w:rsidR="00FE1346" w:rsidP="00FE4186" w:rsidRDefault="00FE1346" w14:paraId="38DDE2CB" w14:textId="77777777">
            <w:pPr>
              <w:pStyle w:val="BodyText"/>
              <w:tabs>
                <w:tab w:val="left" w:pos="1168"/>
              </w:tabs>
              <w:rPr>
                <w:sz w:val="16"/>
                <w:szCs w:val="16"/>
              </w:rPr>
            </w:pPr>
            <w:r w:rsidRPr="001E64E6">
              <w:rPr>
                <w:sz w:val="16"/>
                <w:szCs w:val="16"/>
              </w:rPr>
              <w:t xml:space="preserve">Recommendations are adapted from dosing schedules used in randomised controlled trials. The majority of studies have used 15 mg/kg every 6 hours for 3–7 </w:t>
            </w:r>
            <w:r w:rsidRPr="001E64E6">
              <w:rPr>
                <w:rFonts w:cs="Calibri"/>
                <w:sz w:val="16"/>
                <w:szCs w:val="16"/>
              </w:rPr>
              <w:t>days. The maintenance doses in extreme</w:t>
            </w:r>
            <w:r w:rsidRPr="001E64E6">
              <w:rPr>
                <w:sz w:val="16"/>
                <w:szCs w:val="16"/>
              </w:rPr>
              <w:t xml:space="preserve"> preterm infants are lower, consistent with studies focused on this population. </w:t>
            </w:r>
          </w:p>
          <w:p w:rsidRPr="001E64E6" w:rsidR="00FE1346" w:rsidP="00FE4186" w:rsidRDefault="00FE1346" w14:paraId="33526162" w14:textId="77777777">
            <w:pPr>
              <w:pStyle w:val="BodyText"/>
              <w:tabs>
                <w:tab w:val="left" w:pos="1168"/>
              </w:tabs>
              <w:rPr>
                <w:sz w:val="16"/>
                <w:szCs w:val="16"/>
              </w:rPr>
            </w:pPr>
            <w:r w:rsidRPr="001E64E6">
              <w:rPr>
                <w:sz w:val="16"/>
                <w:szCs w:val="16"/>
              </w:rPr>
              <w:t>Safety data are limited for higher maintenance doses.</w:t>
            </w:r>
            <w:r w:rsidRPr="001E64E6">
              <w:rPr>
                <w:sz w:val="16"/>
                <w:szCs w:val="16"/>
                <w:vertAlign w:val="superscript"/>
              </w:rPr>
              <w:t>5,6</w:t>
            </w:r>
            <w:r w:rsidRPr="001E64E6">
              <w:rPr>
                <w:sz w:val="16"/>
                <w:szCs w:val="16"/>
              </w:rPr>
              <w:t xml:space="preserve"> (LOE I GOR B)</w:t>
            </w:r>
          </w:p>
        </w:tc>
      </w:tr>
      <w:tr w:rsidRPr="003A7895" w:rsidR="00FE1346" w:rsidTr="001E64E6" w14:paraId="3C5DF2AE" w14:textId="77777777">
        <w:trPr>
          <w:trHeight w:val="70"/>
        </w:trPr>
        <w:tc>
          <w:tcPr>
            <w:tcW w:w="2410" w:type="dxa"/>
          </w:tcPr>
          <w:p w:rsidRPr="00B53E9B" w:rsidR="00FE1346" w:rsidP="00FE4186" w:rsidRDefault="00FE1346" w14:paraId="07974507" w14:textId="77777777">
            <w:pPr>
              <w:pStyle w:val="BodyText"/>
              <w:rPr>
                <w:rFonts w:cs="Arial"/>
                <w:b/>
                <w:bCs/>
                <w:sz w:val="20"/>
              </w:rPr>
            </w:pPr>
            <w:r w:rsidRPr="00B53E9B">
              <w:rPr>
                <w:b/>
                <w:sz w:val="20"/>
              </w:rPr>
              <w:lastRenderedPageBreak/>
              <w:t>References</w:t>
            </w:r>
          </w:p>
        </w:tc>
        <w:tc>
          <w:tcPr>
            <w:tcW w:w="7825" w:type="dxa"/>
          </w:tcPr>
          <w:p w:rsidRPr="001E64E6" w:rsidR="00FE1346" w:rsidP="001B0E05" w:rsidRDefault="00FE1346" w14:paraId="513FCE78" w14:textId="77777777">
            <w:pPr>
              <w:numPr>
                <w:ilvl w:val="0"/>
                <w:numId w:val="38"/>
              </w:numPr>
              <w:rPr>
                <w:sz w:val="16"/>
                <w:szCs w:val="16"/>
              </w:rPr>
            </w:pPr>
            <w:r w:rsidRPr="001E64E6">
              <w:rPr>
                <w:sz w:val="16"/>
                <w:szCs w:val="16"/>
              </w:rPr>
              <w:t>Wang C, Allegaert K, Tibboel D, Danhof M, van der Marel CD, Mathot RA, et al. Population pharmacokinetics of paracetamol across the human age-range from (pre)term neonates, infants, children to adults. Journal of Clinical Pharmacology. 2014;54:619-29.</w:t>
            </w:r>
          </w:p>
          <w:p w:rsidRPr="001E64E6" w:rsidR="00FE1346" w:rsidP="001B0E05" w:rsidRDefault="00FE1346" w14:paraId="17E0C2E3" w14:textId="77777777">
            <w:pPr>
              <w:numPr>
                <w:ilvl w:val="0"/>
                <w:numId w:val="38"/>
              </w:numPr>
              <w:rPr>
                <w:sz w:val="16"/>
                <w:szCs w:val="16"/>
              </w:rPr>
            </w:pPr>
            <w:r w:rsidRPr="001E64E6">
              <w:rPr>
                <w:sz w:val="16"/>
                <w:szCs w:val="16"/>
              </w:rPr>
              <w:t xml:space="preserve">Allegaert K, Palmer GM, Anderson BJ. The pharmacokinetics of intravenous paracetamol in neonates: size matters most. Arch Dis Child 2011;96:575-80. </w:t>
            </w:r>
          </w:p>
          <w:p w:rsidRPr="001E64E6" w:rsidR="00FE1346" w:rsidP="001B0E05" w:rsidRDefault="00FE1346" w14:paraId="24A14A85" w14:textId="77777777">
            <w:pPr>
              <w:numPr>
                <w:ilvl w:val="0"/>
                <w:numId w:val="38"/>
              </w:numPr>
              <w:rPr>
                <w:sz w:val="16"/>
                <w:szCs w:val="16"/>
              </w:rPr>
            </w:pPr>
            <w:r w:rsidRPr="001E64E6">
              <w:rPr>
                <w:sz w:val="16"/>
                <w:szCs w:val="16"/>
              </w:rPr>
              <w:t>Anderson BJ, van Lingen RA, Hansen TG, Lin YC, Holford NH. Acetaminophen developmental pharmacokinetics in premature neonates and infants: a pooled population analysis. Anesthesiology 2002;96:1336-45.</w:t>
            </w:r>
          </w:p>
          <w:p w:rsidRPr="001E64E6" w:rsidR="00FE1346" w:rsidP="001B0E05" w:rsidRDefault="00FE1346" w14:paraId="5AB491CD" w14:textId="77777777">
            <w:pPr>
              <w:numPr>
                <w:ilvl w:val="0"/>
                <w:numId w:val="38"/>
              </w:numPr>
              <w:rPr>
                <w:sz w:val="16"/>
                <w:szCs w:val="16"/>
              </w:rPr>
            </w:pPr>
            <w:r w:rsidRPr="001E64E6">
              <w:rPr>
                <w:sz w:val="16"/>
                <w:szCs w:val="16"/>
              </w:rPr>
              <w:t>Ohlsson A, Shah PS. Paracetamol (acetaminophen) for patent ductus arteriosus in preterm or low birth weight infants. Cochrane Database of Systematic Reviews 2020;1:CD010061.</w:t>
            </w:r>
          </w:p>
          <w:p w:rsidRPr="001E64E6" w:rsidR="00FE1346" w:rsidP="001B0E05" w:rsidRDefault="00FE1346" w14:paraId="5C4A5C3C" w14:textId="77777777">
            <w:pPr>
              <w:numPr>
                <w:ilvl w:val="0"/>
                <w:numId w:val="38"/>
              </w:numPr>
              <w:rPr>
                <w:sz w:val="16"/>
                <w:szCs w:val="16"/>
              </w:rPr>
            </w:pPr>
            <w:r w:rsidRPr="001E64E6">
              <w:rPr>
                <w:sz w:val="16"/>
                <w:szCs w:val="16"/>
              </w:rPr>
              <w:t>Schindler T, Smyth J, Bolisetty S, Michalowski J, Mallitt KA, Singla A, et al. Early PARacetamol (EPAR) trial: a randomized controlled trial of early paracetamol to promote closure of the ductus arteriosus in preterm infants. Neonatology 2021 [in press].</w:t>
            </w:r>
          </w:p>
          <w:p w:rsidRPr="001E64E6" w:rsidR="00FE1346" w:rsidP="001B0E05" w:rsidRDefault="00FE1346" w14:paraId="2BC13FD1" w14:textId="77777777">
            <w:pPr>
              <w:numPr>
                <w:ilvl w:val="0"/>
                <w:numId w:val="38"/>
              </w:numPr>
              <w:rPr>
                <w:sz w:val="16"/>
                <w:szCs w:val="16"/>
              </w:rPr>
            </w:pPr>
            <w:r w:rsidRPr="001E64E6">
              <w:rPr>
                <w:sz w:val="16"/>
                <w:szCs w:val="16"/>
              </w:rPr>
              <w:t>Ohlsson A, Shah PS. Paracetamol (acetaminophen) for prevention or treatment of pain in newborns. Cochrane Database of Systematic Reviews. 2020;1:CD011219.</w:t>
            </w:r>
          </w:p>
          <w:p w:rsidRPr="001E64E6" w:rsidR="00FE1346" w:rsidP="001B0E05" w:rsidRDefault="00FE1346" w14:paraId="2FB9FC7C" w14:textId="77777777">
            <w:pPr>
              <w:numPr>
                <w:ilvl w:val="0"/>
                <w:numId w:val="38"/>
              </w:numPr>
              <w:rPr>
                <w:sz w:val="16"/>
                <w:szCs w:val="16"/>
              </w:rPr>
            </w:pPr>
            <w:r w:rsidRPr="001E64E6">
              <w:rPr>
                <w:sz w:val="16"/>
                <w:szCs w:val="16"/>
              </w:rPr>
              <w:t>Terrin G, Conte F, Oncel MY, Scipione A, McNamara PJ, Simons S, et al. Paracetamol for the treatment of patent ductus arteriosus in preterm neonates: a systematic review and meta-analysis. Arch Dis Child Fetal Neonatal Ed. 2016;101:F127-36.</w:t>
            </w:r>
          </w:p>
          <w:p w:rsidRPr="001E64E6" w:rsidR="00FE1346" w:rsidP="001B0E05" w:rsidRDefault="00FE1346" w14:paraId="0D17E66F" w14:textId="77777777">
            <w:pPr>
              <w:numPr>
                <w:ilvl w:val="0"/>
                <w:numId w:val="38"/>
              </w:numPr>
              <w:rPr>
                <w:sz w:val="16"/>
                <w:szCs w:val="16"/>
              </w:rPr>
            </w:pPr>
            <w:r w:rsidRPr="001E64E6">
              <w:rPr>
                <w:sz w:val="16"/>
                <w:szCs w:val="16"/>
              </w:rPr>
              <w:t>Pacifici GM, Allegaert K. Clinical Pharmacology of Paracetamol in Neonates: A Review. Curr Ther Res Clin Exp. 2015;77:24–30.</w:t>
            </w:r>
          </w:p>
          <w:p w:rsidRPr="001E64E6" w:rsidR="00FE1346" w:rsidP="001B0E05" w:rsidRDefault="00FE1346" w14:paraId="68EFEB71" w14:textId="77777777">
            <w:pPr>
              <w:numPr>
                <w:ilvl w:val="0"/>
                <w:numId w:val="38"/>
              </w:numPr>
              <w:rPr>
                <w:sz w:val="16"/>
                <w:szCs w:val="16"/>
              </w:rPr>
            </w:pPr>
            <w:r w:rsidRPr="001E64E6">
              <w:rPr>
                <w:sz w:val="16"/>
                <w:szCs w:val="16"/>
              </w:rPr>
              <w:t>Heubi JE, Barbacci MB, Zimmerman HJ. Therapeutic misadventures with acetaminophen: hepatoxicity after multiple doses in children. J Pediatr. 1998;132:22-7.</w:t>
            </w:r>
          </w:p>
          <w:p w:rsidRPr="001E64E6" w:rsidR="00FE1346" w:rsidP="00FE4186" w:rsidRDefault="00FE1346" w14:paraId="572833F4" w14:textId="77777777">
            <w:pPr>
              <w:rPr>
                <w:sz w:val="16"/>
                <w:szCs w:val="16"/>
              </w:rPr>
            </w:pPr>
          </w:p>
        </w:tc>
      </w:tr>
    </w:tbl>
    <w:p w:rsidR="00952BAC" w:rsidP="006F0321" w:rsidRDefault="00952BAC" w14:paraId="50866108" w14:textId="7B825DE5"/>
    <w:p w:rsidRPr="00E25790" w:rsidR="00FE1346" w:rsidP="006F0321" w:rsidRDefault="00FE1346" w14:paraId="53592628" w14:textId="77777777"/>
    <w:tbl>
      <w:tblPr>
        <w:tblW w:w="907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7"/>
        <w:gridCol w:w="4536"/>
      </w:tblGrid>
      <w:tr w:rsidRPr="003A7895" w:rsidR="0020431B" w:rsidTr="00952BAC" w14:paraId="284EAB33" w14:textId="77777777">
        <w:tc>
          <w:tcPr>
            <w:tcW w:w="4537" w:type="dxa"/>
            <w:vAlign w:val="center"/>
          </w:tcPr>
          <w:p w:rsidRPr="003A7895" w:rsidR="00952BAC" w:rsidP="00FB38D0" w:rsidRDefault="00952BAC" w14:paraId="4E454ADE" w14:textId="77777777">
            <w:r>
              <w:t>Original version Date: 12/12/2016</w:t>
            </w:r>
          </w:p>
        </w:tc>
        <w:tc>
          <w:tcPr>
            <w:tcW w:w="4536" w:type="dxa"/>
            <w:vAlign w:val="center"/>
          </w:tcPr>
          <w:p w:rsidRPr="003A7895" w:rsidR="00952BAC" w:rsidP="00FB38D0" w:rsidRDefault="00952BAC" w14:paraId="5356141E" w14:textId="77777777">
            <w:r>
              <w:t>Author: NMF Consensus Group</w:t>
            </w:r>
          </w:p>
        </w:tc>
      </w:tr>
      <w:tr w:rsidRPr="003A7895" w:rsidR="0020431B" w:rsidTr="00952BAC" w14:paraId="12796A94" w14:textId="77777777">
        <w:tc>
          <w:tcPr>
            <w:tcW w:w="4537" w:type="dxa"/>
            <w:vAlign w:val="center"/>
          </w:tcPr>
          <w:p w:rsidRPr="003A7895" w:rsidR="00952BAC" w:rsidP="00FB38D0" w:rsidRDefault="00952BAC" w14:paraId="6D0A975F" w14:textId="2687A33B">
            <w:pPr>
              <w:rPr>
                <w:bCs/>
              </w:rPr>
            </w:pPr>
            <w:r w:rsidRPr="003A7895">
              <w:t xml:space="preserve">Current Version number:  </w:t>
            </w:r>
            <w:r w:rsidR="0022310E">
              <w:t>3</w:t>
            </w:r>
          </w:p>
        </w:tc>
        <w:tc>
          <w:tcPr>
            <w:tcW w:w="4536" w:type="dxa"/>
            <w:vAlign w:val="center"/>
          </w:tcPr>
          <w:p w:rsidRPr="003A7895" w:rsidR="00952BAC" w:rsidP="00FB38D0" w:rsidRDefault="00952BAC" w14:paraId="4A5DFB2B" w14:textId="48E8AA26">
            <w:r>
              <w:t xml:space="preserve">Current </w:t>
            </w:r>
            <w:r w:rsidRPr="003A7895">
              <w:t>Version Date</w:t>
            </w:r>
            <w:r w:rsidRPr="00CE7642">
              <w:t xml:space="preserve">:  </w:t>
            </w:r>
            <w:r w:rsidR="0022310E">
              <w:t>18/2/2021</w:t>
            </w:r>
          </w:p>
        </w:tc>
      </w:tr>
      <w:tr w:rsidRPr="003A7895" w:rsidR="0020431B" w:rsidTr="00952BAC" w14:paraId="564864EB" w14:textId="77777777">
        <w:tc>
          <w:tcPr>
            <w:tcW w:w="4537" w:type="dxa"/>
            <w:vAlign w:val="center"/>
          </w:tcPr>
          <w:p w:rsidRPr="003A7895" w:rsidR="00952BAC" w:rsidP="00FB38D0" w:rsidRDefault="00952BAC" w14:paraId="56FA6DF4" w14:textId="336AC919">
            <w:r>
              <w:t xml:space="preserve">Risk Rating: </w:t>
            </w:r>
            <w:r w:rsidR="0022310E">
              <w:t>Low</w:t>
            </w:r>
          </w:p>
        </w:tc>
        <w:tc>
          <w:tcPr>
            <w:tcW w:w="4536" w:type="dxa"/>
            <w:vAlign w:val="center"/>
          </w:tcPr>
          <w:p w:rsidRPr="003A7895" w:rsidR="00952BAC" w:rsidP="00FB38D0" w:rsidRDefault="00952BAC" w14:paraId="605920B3" w14:textId="1A1D8902">
            <w:r w:rsidRPr="003A7895">
              <w:t xml:space="preserve">Due for Review:  </w:t>
            </w:r>
            <w:r w:rsidR="0022310E">
              <w:t>18/2/2026</w:t>
            </w:r>
          </w:p>
        </w:tc>
      </w:tr>
      <w:tr w:rsidRPr="003A7895" w:rsidR="0020431B" w:rsidTr="00952BAC" w14:paraId="674EBD06" w14:textId="77777777">
        <w:trPr>
          <w:trHeight w:val="344"/>
        </w:trPr>
        <w:tc>
          <w:tcPr>
            <w:tcW w:w="4537" w:type="dxa"/>
            <w:tcBorders>
              <w:bottom w:val="single" w:color="auto" w:sz="4" w:space="0"/>
            </w:tcBorders>
            <w:vAlign w:val="center"/>
          </w:tcPr>
          <w:p w:rsidRPr="003A7895" w:rsidR="00952BAC" w:rsidP="00FB38D0" w:rsidRDefault="00952BAC" w14:paraId="325468CF" w14:textId="77777777">
            <w:r w:rsidRPr="003A7895">
              <w:t>Approv</w:t>
            </w:r>
            <w:r>
              <w:t xml:space="preserve">al </w:t>
            </w:r>
            <w:r w:rsidRPr="003A7895">
              <w:t>by</w:t>
            </w:r>
            <w:r>
              <w:t>: DTC</w:t>
            </w:r>
          </w:p>
        </w:tc>
        <w:tc>
          <w:tcPr>
            <w:tcW w:w="4536" w:type="dxa"/>
            <w:tcBorders>
              <w:bottom w:val="single" w:color="auto" w:sz="4" w:space="0"/>
            </w:tcBorders>
            <w:vAlign w:val="center"/>
          </w:tcPr>
          <w:p w:rsidRPr="003A7895" w:rsidR="00952BAC" w:rsidP="00FB38D0" w:rsidRDefault="00952BAC" w14:paraId="6B459414" w14:textId="1B9D5733">
            <w:r w:rsidRPr="003A7895">
              <w:t>Approval Date:</w:t>
            </w:r>
            <w:r>
              <w:t xml:space="preserve"> </w:t>
            </w:r>
            <w:r w:rsidR="00260BC8">
              <w:t>APRIL 2021</w:t>
            </w:r>
          </w:p>
        </w:tc>
      </w:tr>
    </w:tbl>
    <w:p w:rsidRPr="00E25790" w:rsidR="009C4398" w:rsidP="006F0321" w:rsidRDefault="009C4398" w14:paraId="52B66F76" w14:textId="77777777"/>
    <w:p w:rsidR="00F45A7B" w:rsidP="006F0321" w:rsidRDefault="00F45A7B" w14:paraId="3BDEEB5E" w14:textId="77777777"/>
    <w:p w:rsidR="006E2EED" w:rsidRDefault="006E2EED" w14:paraId="71F84565" w14:textId="77777777">
      <w:bookmarkStart w:name="_Toc495481150" w:id="461"/>
      <w:bookmarkStart w:name="_Toc495481276" w:id="462"/>
      <w:bookmarkStart w:name="_Toc495481401" w:id="463"/>
      <w:bookmarkStart w:name="_Toc495501582" w:id="464"/>
      <w:bookmarkStart w:name="_Toc38106901" w:id="465"/>
    </w:p>
    <w:p w:rsidR="00FB38D0" w:rsidRDefault="00FB38D0" w14:paraId="5C8B2222" w14:textId="77777777">
      <w:r>
        <w:rPr>
          <w:b/>
        </w:rPr>
        <w:br w:type="page"/>
      </w:r>
    </w:p>
    <w:tbl>
      <w:tblPr>
        <w:tblW w:w="8929" w:type="dxa"/>
        <w:tblLayout w:type="fixed"/>
        <w:tblLook w:val="0000" w:firstRow="0" w:lastRow="0" w:firstColumn="0" w:lastColumn="0" w:noHBand="0" w:noVBand="0"/>
      </w:tblPr>
      <w:tblGrid>
        <w:gridCol w:w="4153"/>
        <w:gridCol w:w="4776"/>
      </w:tblGrid>
      <w:tr w:rsidRPr="00E25790" w:rsidR="00D33FE0" w:rsidTr="00FB38D0" w14:paraId="5E211454" w14:textId="77777777">
        <w:trPr>
          <w:cantSplit/>
          <w:trHeight w:val="720"/>
        </w:trPr>
        <w:tc>
          <w:tcPr>
            <w:tcW w:w="8929" w:type="dxa"/>
            <w:gridSpan w:val="2"/>
            <w:tcBorders>
              <w:top w:val="double" w:color="auto" w:sz="6" w:space="0"/>
              <w:left w:val="double" w:color="auto" w:sz="6" w:space="0"/>
              <w:bottom w:val="double" w:color="auto" w:sz="6" w:space="0"/>
              <w:right w:val="double" w:color="auto" w:sz="6" w:space="0"/>
            </w:tcBorders>
            <w:shd w:val="clear" w:color="auto" w:fill="FFFF00"/>
          </w:tcPr>
          <w:p w:rsidRPr="005E6204" w:rsidR="00D33FE0" w:rsidP="009469DB" w:rsidRDefault="00D33FE0" w14:paraId="60A968A9" w14:textId="77777777">
            <w:pPr>
              <w:pStyle w:val="Heading1"/>
            </w:pPr>
            <w:bookmarkStart w:name="_Toc75340022" w:id="466"/>
            <w:r w:rsidRPr="005E6204">
              <w:lastRenderedPageBreak/>
              <w:t>Penicillin</w:t>
            </w:r>
            <w:bookmarkEnd w:id="461"/>
            <w:bookmarkEnd w:id="462"/>
            <w:bookmarkEnd w:id="463"/>
            <w:bookmarkEnd w:id="464"/>
            <w:r w:rsidRPr="005E6204" w:rsidR="00EB1E3E">
              <w:t xml:space="preserve"> G</w:t>
            </w:r>
            <w:r w:rsidRPr="005E6204">
              <w:t xml:space="preserve"> </w:t>
            </w:r>
            <w:r w:rsidRPr="005E6204" w:rsidR="00EB1E3E">
              <w:t xml:space="preserve">(Benzyl </w:t>
            </w:r>
            <w:r w:rsidRPr="005E6204">
              <w:t>Penicillin</w:t>
            </w:r>
            <w:r w:rsidRPr="005E6204" w:rsidR="00EB1E3E">
              <w:t>)</w:t>
            </w:r>
            <w:bookmarkEnd w:id="465"/>
            <w:bookmarkEnd w:id="466"/>
            <w:r w:rsidRPr="005E6204">
              <w:fldChar w:fldCharType="begin"/>
            </w:r>
            <w:r w:rsidRPr="005E6204">
              <w:instrText>tc "Penicillin" \l 0</w:instrText>
            </w:r>
            <w:r w:rsidRPr="005E6204">
              <w:fldChar w:fldCharType="end"/>
            </w:r>
          </w:p>
        </w:tc>
      </w:tr>
      <w:tr w:rsidRPr="00E25790" w:rsidR="00D33FE0" w:rsidTr="00FB38D0" w14:paraId="3592E9E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D33FE0" w:rsidP="006F0321" w:rsidRDefault="00D33FE0" w14:paraId="3615BACD" w14:textId="3F0A01D1">
            <w:r w:rsidRPr="00E25790">
              <w:t>Revision Date</w:t>
            </w:r>
            <w:r w:rsidRPr="00E25790">
              <w:rPr>
                <w:b/>
              </w:rPr>
              <w:t xml:space="preserve"> : </w:t>
            </w:r>
            <w:r w:rsidR="00503EB6">
              <w:rPr>
                <w:b/>
              </w:rPr>
              <w:t>18-2-2021</w:t>
            </w:r>
          </w:p>
        </w:tc>
        <w:tc>
          <w:tcPr>
            <w:tcW w:w="4776" w:type="dxa"/>
            <w:tcBorders>
              <w:top w:val="double" w:color="auto" w:sz="6" w:space="0"/>
              <w:left w:val="single" w:color="auto" w:sz="6" w:space="0"/>
              <w:bottom w:val="double" w:color="auto" w:sz="6" w:space="0"/>
              <w:right w:val="double" w:color="auto" w:sz="6" w:space="0"/>
            </w:tcBorders>
            <w:shd w:val="clear" w:color="auto" w:fill="FFFF00"/>
          </w:tcPr>
          <w:p w:rsidRPr="00E25790" w:rsidR="00D33FE0" w:rsidP="006F0321" w:rsidRDefault="00D33FE0" w14:paraId="7AAC0D9B" w14:textId="77777777">
            <w:r w:rsidRPr="00E25790">
              <w:t xml:space="preserve">Approved : </w:t>
            </w:r>
            <w:r w:rsidRPr="00E25790" w:rsidR="00EB1E3E">
              <w:t>TC, KOH</w:t>
            </w:r>
          </w:p>
        </w:tc>
      </w:tr>
    </w:tbl>
    <w:p w:rsidRPr="00E25790" w:rsidR="00D33FE0" w:rsidP="006F0321" w:rsidRDefault="00D33FE0" w14:paraId="6024CAE4" w14:textId="77777777"/>
    <w:tbl>
      <w:tblPr>
        <w:tblW w:w="52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5"/>
        <w:gridCol w:w="7975"/>
      </w:tblGrid>
      <w:tr w:rsidRPr="003B78EA" w:rsidR="004D00F5" w:rsidTr="00503EB6" w14:paraId="01D8638A" w14:textId="77777777">
        <w:trPr>
          <w:trHeight w:val="263"/>
        </w:trPr>
        <w:tc>
          <w:tcPr>
            <w:tcW w:w="828" w:type="pct"/>
          </w:tcPr>
          <w:p w:rsidRPr="003B78EA" w:rsidR="004D00F5" w:rsidP="00FE4186" w:rsidRDefault="004D00F5" w14:paraId="079704F0"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172" w:type="pct"/>
          </w:tcPr>
          <w:p w:rsidR="004D00F5" w:rsidP="00FE4186" w:rsidRDefault="004D00F5" w14:paraId="47A5185E" w14:textId="77777777">
            <w:pPr>
              <w:pStyle w:val="BodyText"/>
              <w:rPr>
                <w:rFonts w:asciiTheme="minorHAnsi" w:hAnsiTheme="minorHAnsi"/>
                <w:sz w:val="20"/>
              </w:rPr>
            </w:pPr>
            <w:r>
              <w:rPr>
                <w:rFonts w:asciiTheme="minorHAnsi" w:hAnsiTheme="minorHAnsi"/>
                <w:sz w:val="20"/>
              </w:rPr>
              <w:t xml:space="preserve">High risk medicine. </w:t>
            </w:r>
            <w:r w:rsidRPr="00EC6CCE">
              <w:rPr>
                <w:rFonts w:asciiTheme="minorHAnsi" w:hAnsiTheme="minorHAnsi"/>
                <w:sz w:val="20"/>
              </w:rPr>
              <w:t>The Antimicrobial Stewardship Team has listed this drug under the following categories: Unrestricted.</w:t>
            </w:r>
          </w:p>
          <w:p w:rsidRPr="003B78EA" w:rsidR="004D00F5" w:rsidP="00FE4186" w:rsidRDefault="004D00F5" w14:paraId="23A4BC4C" w14:textId="77777777">
            <w:pPr>
              <w:pStyle w:val="BodyText"/>
              <w:rPr>
                <w:rFonts w:asciiTheme="minorHAnsi" w:hAnsiTheme="minorHAnsi" w:cstheme="minorHAnsi"/>
                <w:sz w:val="20"/>
              </w:rPr>
            </w:pPr>
            <w:r w:rsidRPr="00EC6CCE">
              <w:rPr>
                <w:rFonts w:asciiTheme="minorHAnsi" w:hAnsiTheme="minorHAnsi"/>
                <w:sz w:val="20"/>
              </w:rPr>
              <w:t>60 mg = 100 000 Units of penicillin.</w:t>
            </w:r>
          </w:p>
        </w:tc>
      </w:tr>
      <w:tr w:rsidRPr="003B78EA" w:rsidR="004D00F5" w:rsidTr="00503EB6" w14:paraId="33BC5340" w14:textId="77777777">
        <w:trPr>
          <w:trHeight w:val="263"/>
        </w:trPr>
        <w:tc>
          <w:tcPr>
            <w:tcW w:w="828" w:type="pct"/>
          </w:tcPr>
          <w:p w:rsidRPr="003B78EA" w:rsidR="004D00F5" w:rsidP="00FE4186" w:rsidRDefault="004D00F5" w14:paraId="656F53E3"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172" w:type="pct"/>
          </w:tcPr>
          <w:p w:rsidRPr="003B78EA" w:rsidR="004D00F5" w:rsidP="00FE4186" w:rsidRDefault="004D00F5" w14:paraId="7AF2127E" w14:textId="77777777">
            <w:pPr>
              <w:rPr>
                <w:rFonts w:asciiTheme="minorHAnsi" w:hAnsiTheme="minorHAnsi" w:cstheme="minorHAnsi"/>
                <w:sz w:val="20"/>
              </w:rPr>
            </w:pPr>
            <w:r w:rsidRPr="00EC6CCE">
              <w:rPr>
                <w:rFonts w:asciiTheme="minorHAnsi" w:hAnsiTheme="minorHAnsi"/>
                <w:sz w:val="20"/>
              </w:rPr>
              <w:t xml:space="preserve">Empiric treatment of early onset sepsis in combination with an aminoglycoside. </w:t>
            </w:r>
            <w:r w:rsidRPr="00EC6CCE">
              <w:rPr>
                <w:rFonts w:asciiTheme="minorHAnsi" w:hAnsiTheme="minorHAnsi"/>
                <w:sz w:val="20"/>
              </w:rPr>
              <w:br/>
            </w:r>
            <w:r w:rsidRPr="00EC6CCE">
              <w:rPr>
                <w:rFonts w:asciiTheme="minorHAnsi" w:hAnsiTheme="minorHAnsi"/>
                <w:sz w:val="20"/>
              </w:rPr>
              <w:t>Directed treatment of infection due to a susceptible bacterium.</w:t>
            </w:r>
            <w:r w:rsidRPr="00EC6CCE">
              <w:rPr>
                <w:rFonts w:asciiTheme="minorHAnsi" w:hAnsiTheme="minorHAnsi"/>
                <w:sz w:val="20"/>
              </w:rPr>
              <w:br/>
            </w:r>
            <w:r w:rsidRPr="00EC6CCE">
              <w:rPr>
                <w:rFonts w:asciiTheme="minorHAnsi" w:hAnsiTheme="minorHAnsi"/>
                <w:sz w:val="20"/>
              </w:rPr>
              <w:t xml:space="preserve">Treatment of meningitis due to a susceptible bacterium, including Group B </w:t>
            </w:r>
            <w:r w:rsidRPr="00EC6CCE">
              <w:rPr>
                <w:rFonts w:asciiTheme="minorHAnsi" w:hAnsiTheme="minorHAnsi"/>
                <w:i/>
                <w:sz w:val="20"/>
              </w:rPr>
              <w:t>Streptococcus</w:t>
            </w:r>
            <w:r>
              <w:rPr>
                <w:rFonts w:asciiTheme="minorHAnsi" w:hAnsiTheme="minorHAnsi"/>
                <w:i/>
                <w:sz w:val="20"/>
              </w:rPr>
              <w:t xml:space="preserve"> </w:t>
            </w:r>
            <w:r>
              <w:rPr>
                <w:rFonts w:asciiTheme="minorHAnsi" w:hAnsiTheme="minorHAnsi"/>
                <w:sz w:val="20"/>
              </w:rPr>
              <w:t>(GBS)</w:t>
            </w:r>
            <w:r w:rsidRPr="00EC6CCE">
              <w:rPr>
                <w:rFonts w:asciiTheme="minorHAnsi" w:hAnsiTheme="minorHAnsi"/>
                <w:sz w:val="20"/>
              </w:rPr>
              <w:t>.</w:t>
            </w:r>
            <w:r w:rsidRPr="00EC6CCE">
              <w:rPr>
                <w:rFonts w:asciiTheme="minorHAnsi" w:hAnsiTheme="minorHAnsi"/>
                <w:sz w:val="20"/>
              </w:rPr>
              <w:br/>
            </w:r>
            <w:r w:rsidRPr="00EC6CCE">
              <w:rPr>
                <w:rFonts w:asciiTheme="minorHAnsi" w:hAnsiTheme="minorHAnsi"/>
                <w:sz w:val="20"/>
              </w:rPr>
              <w:t>Treatment of congenital syphilis.</w:t>
            </w:r>
          </w:p>
        </w:tc>
      </w:tr>
      <w:tr w:rsidRPr="003B78EA" w:rsidR="004D00F5" w:rsidTr="00503EB6" w14:paraId="722BAE75" w14:textId="77777777">
        <w:trPr>
          <w:trHeight w:val="263"/>
        </w:trPr>
        <w:tc>
          <w:tcPr>
            <w:tcW w:w="828" w:type="pct"/>
          </w:tcPr>
          <w:p w:rsidRPr="003B78EA" w:rsidR="004D00F5" w:rsidP="00FE4186" w:rsidRDefault="004D00F5" w14:paraId="5AD2923E"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172" w:type="pct"/>
          </w:tcPr>
          <w:p w:rsidRPr="003B78EA" w:rsidR="004D00F5" w:rsidP="00FE4186" w:rsidRDefault="004D00F5" w14:paraId="5B41461D" w14:textId="77777777">
            <w:pPr>
              <w:rPr>
                <w:rFonts w:asciiTheme="minorHAnsi" w:hAnsiTheme="minorHAnsi" w:cstheme="minorHAnsi"/>
                <w:sz w:val="20"/>
              </w:rPr>
            </w:pPr>
            <w:r w:rsidRPr="00EC6CCE">
              <w:rPr>
                <w:rFonts w:asciiTheme="minorHAnsi" w:hAnsiTheme="minorHAnsi"/>
                <w:sz w:val="20"/>
              </w:rPr>
              <w:t>Bactericidal agent which inhibits cell wall synthesis.</w:t>
            </w:r>
          </w:p>
        </w:tc>
      </w:tr>
      <w:tr w:rsidRPr="003B78EA" w:rsidR="004D00F5" w:rsidTr="00503EB6" w14:paraId="41830356" w14:textId="77777777">
        <w:trPr>
          <w:trHeight w:val="263"/>
        </w:trPr>
        <w:tc>
          <w:tcPr>
            <w:tcW w:w="828" w:type="pct"/>
          </w:tcPr>
          <w:p w:rsidRPr="003B78EA" w:rsidR="004D00F5" w:rsidP="00FE4186" w:rsidRDefault="004D00F5" w14:paraId="10D0BC3D"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172" w:type="pct"/>
          </w:tcPr>
          <w:p w:rsidRPr="003B78EA" w:rsidR="004D00F5" w:rsidP="00FE4186" w:rsidRDefault="004D00F5" w14:paraId="32D21BD8" w14:textId="77777777">
            <w:pPr>
              <w:pStyle w:val="BodyText"/>
              <w:rPr>
                <w:rFonts w:asciiTheme="minorHAnsi" w:hAnsiTheme="minorHAnsi" w:cstheme="minorHAnsi"/>
                <w:sz w:val="20"/>
              </w:rPr>
            </w:pPr>
            <w:r w:rsidRPr="00EC6CCE">
              <w:rPr>
                <w:rFonts w:asciiTheme="minorHAnsi" w:hAnsiTheme="minorHAnsi"/>
                <w:sz w:val="20"/>
              </w:rPr>
              <w:t>Antibacterial - Penicillin</w:t>
            </w:r>
          </w:p>
        </w:tc>
      </w:tr>
      <w:tr w:rsidRPr="003B78EA" w:rsidR="004D00F5" w:rsidTr="00503EB6" w14:paraId="06C27D66" w14:textId="77777777">
        <w:trPr>
          <w:trHeight w:val="263"/>
        </w:trPr>
        <w:tc>
          <w:tcPr>
            <w:tcW w:w="828" w:type="pct"/>
          </w:tcPr>
          <w:p w:rsidRPr="003B78EA" w:rsidR="004D00F5" w:rsidP="00FE4186" w:rsidRDefault="004D00F5" w14:paraId="5A23DA39"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172" w:type="pct"/>
          </w:tcPr>
          <w:p w:rsidRPr="003B78EA" w:rsidR="004D00F5" w:rsidP="00FE4186" w:rsidRDefault="004D00F5" w14:paraId="2C77B0B3" w14:textId="77777777">
            <w:pPr>
              <w:pStyle w:val="BodyText"/>
              <w:rPr>
                <w:rFonts w:asciiTheme="minorHAnsi" w:hAnsiTheme="minorHAnsi" w:cstheme="minorHAnsi"/>
                <w:sz w:val="20"/>
              </w:rPr>
            </w:pPr>
            <w:r w:rsidRPr="00EC6CCE">
              <w:rPr>
                <w:rFonts w:asciiTheme="minorHAnsi" w:hAnsiTheme="minorHAnsi"/>
                <w:sz w:val="20"/>
              </w:rPr>
              <w:t>BenPen</w:t>
            </w:r>
          </w:p>
        </w:tc>
      </w:tr>
      <w:tr w:rsidRPr="003B78EA" w:rsidR="004D00F5" w:rsidTr="00503EB6" w14:paraId="4C4E26D9" w14:textId="77777777">
        <w:trPr>
          <w:trHeight w:val="263"/>
        </w:trPr>
        <w:tc>
          <w:tcPr>
            <w:tcW w:w="828" w:type="pct"/>
          </w:tcPr>
          <w:p w:rsidRPr="003B78EA" w:rsidR="004D00F5" w:rsidP="00FE4186" w:rsidRDefault="004D00F5" w14:paraId="6E5178A2"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172" w:type="pct"/>
          </w:tcPr>
          <w:p w:rsidRPr="003B78EA" w:rsidR="004D00F5" w:rsidP="00FE4186" w:rsidRDefault="004D00F5" w14:paraId="468DE31A" w14:textId="77777777">
            <w:pPr>
              <w:pStyle w:val="BodyText"/>
              <w:rPr>
                <w:rFonts w:asciiTheme="minorHAnsi" w:hAnsiTheme="minorHAnsi" w:cstheme="minorHAnsi"/>
                <w:sz w:val="20"/>
              </w:rPr>
            </w:pPr>
            <w:r w:rsidRPr="00EC6CCE">
              <w:rPr>
                <w:rFonts w:cs="Arial" w:asciiTheme="minorHAnsi" w:hAnsiTheme="minorHAnsi"/>
                <w:sz w:val="20"/>
              </w:rPr>
              <w:t>600 mg</w:t>
            </w:r>
            <w:r>
              <w:rPr>
                <w:rFonts w:cs="Arial" w:asciiTheme="minorHAnsi" w:hAnsiTheme="minorHAnsi"/>
                <w:sz w:val="20"/>
              </w:rPr>
              <w:t xml:space="preserve">, </w:t>
            </w:r>
            <w:r w:rsidRPr="0099482C">
              <w:rPr>
                <w:rFonts w:cs="Arial" w:asciiTheme="minorHAnsi" w:hAnsiTheme="minorHAnsi"/>
                <w:sz w:val="20"/>
              </w:rPr>
              <w:t>1.2 g and 3 g vial</w:t>
            </w:r>
            <w:r>
              <w:rPr>
                <w:rFonts w:cs="Arial" w:asciiTheme="minorHAnsi" w:hAnsiTheme="minorHAnsi"/>
                <w:sz w:val="20"/>
              </w:rPr>
              <w:t xml:space="preserve">. Each 600 mg dose contains 41.4 mg (1.8 mmol) sodium. </w:t>
            </w:r>
          </w:p>
        </w:tc>
      </w:tr>
      <w:tr w:rsidRPr="003B78EA" w:rsidR="004D00F5" w:rsidTr="00503EB6" w14:paraId="08E510C4" w14:textId="77777777">
        <w:trPr>
          <w:trHeight w:val="263"/>
        </w:trPr>
        <w:tc>
          <w:tcPr>
            <w:tcW w:w="828" w:type="pct"/>
          </w:tcPr>
          <w:p w:rsidRPr="003B78EA" w:rsidR="004D00F5" w:rsidP="00FE4186" w:rsidRDefault="004D00F5" w14:paraId="6D353AD4"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172" w:type="pct"/>
          </w:tcPr>
          <w:p w:rsidR="004D00F5" w:rsidP="00FE4186" w:rsidRDefault="004D00F5" w14:paraId="2E1EDBB7" w14:textId="77777777">
            <w:pPr>
              <w:overflowPunct w:val="0"/>
              <w:autoSpaceDE w:val="0"/>
              <w:autoSpaceDN w:val="0"/>
              <w:adjustRightInd w:val="0"/>
              <w:rPr>
                <w:rFonts w:cs="Arial" w:asciiTheme="minorHAnsi" w:hAnsiTheme="minorHAnsi"/>
                <w:sz w:val="20"/>
              </w:rPr>
            </w:pPr>
            <w:r w:rsidRPr="00EC6CCE">
              <w:rPr>
                <w:rFonts w:cs="Arial" w:asciiTheme="minorHAnsi" w:hAnsiTheme="minorHAnsi"/>
                <w:b/>
                <w:sz w:val="20"/>
              </w:rPr>
              <w:t>Sepsis</w:t>
            </w:r>
            <w:r>
              <w:rPr>
                <w:rFonts w:cs="Arial" w:asciiTheme="minorHAnsi" w:hAnsiTheme="minorHAnsi"/>
                <w:b/>
                <w:sz w:val="20"/>
              </w:rPr>
              <w:t>:</w:t>
            </w:r>
            <w:r w:rsidRPr="00EC6CCE">
              <w:rPr>
                <w:rFonts w:cs="Arial" w:asciiTheme="minorHAnsi" w:hAnsiTheme="minorHAnsi"/>
                <w:b/>
                <w:sz w:val="20"/>
              </w:rPr>
              <w:t xml:space="preserve"> (excluding meningitis and congenital syphilis): 60 mg/kg/dose. Dosing interval as per table below</w:t>
            </w:r>
          </w:p>
          <w:p w:rsidRPr="00EC6CCE" w:rsidR="004D00F5" w:rsidP="00FE4186" w:rsidRDefault="004D00F5" w14:paraId="70DFC954" w14:textId="77777777">
            <w:pPr>
              <w:overflowPunct w:val="0"/>
              <w:autoSpaceDE w:val="0"/>
              <w:autoSpaceDN w:val="0"/>
              <w:adjustRightInd w:val="0"/>
              <w:rPr>
                <w:rFonts w:cs="Arial" w:asciiTheme="minorHAnsi" w:hAnsiTheme="minorHAnsi"/>
                <w:b/>
                <w:sz w:val="20"/>
              </w:rPr>
            </w:pPr>
          </w:p>
          <w:tbl>
            <w:tblPr>
              <w:tblW w:w="751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8"/>
              <w:gridCol w:w="1559"/>
              <w:gridCol w:w="1418"/>
            </w:tblGrid>
            <w:tr w:rsidRPr="00EC6CCE" w:rsidR="004D00F5" w:rsidTr="00FE4186" w14:paraId="112BAD63" w14:textId="77777777">
              <w:trPr>
                <w:trHeight w:val="247"/>
              </w:trPr>
              <w:tc>
                <w:tcPr>
                  <w:tcW w:w="4538" w:type="dxa"/>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543B9127"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Corrected Gestational Age/Postmenstrual Age</w:t>
                  </w:r>
                </w:p>
              </w:tc>
              <w:tc>
                <w:tcPr>
                  <w:tcW w:w="1559" w:type="dxa"/>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0C3C65E7"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 xml:space="preserve">Postnatal Age </w:t>
                  </w:r>
                </w:p>
              </w:tc>
              <w:tc>
                <w:tcPr>
                  <w:tcW w:w="1418" w:type="dxa"/>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041E1581" w14:textId="77777777">
                  <w:pPr>
                    <w:rPr>
                      <w:rFonts w:cs="Arial" w:asciiTheme="minorHAnsi" w:hAnsiTheme="minorHAnsi"/>
                      <w:b/>
                      <w:sz w:val="20"/>
                    </w:rPr>
                  </w:pPr>
                  <w:r>
                    <w:rPr>
                      <w:rFonts w:cs="Arial" w:asciiTheme="minorHAnsi" w:hAnsiTheme="minorHAnsi"/>
                      <w:b/>
                      <w:sz w:val="20"/>
                    </w:rPr>
                    <w:t>Interval</w:t>
                  </w:r>
                </w:p>
              </w:tc>
            </w:tr>
            <w:tr w:rsidRPr="00EC6CCE" w:rsidR="004D00F5" w:rsidTr="00FE4186" w14:paraId="1A68FDA7"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3A7794B"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&lt; 30</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AE51347"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 xml:space="preserve">0−28 days </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1216D40"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12 hourly</w:t>
                  </w:r>
                </w:p>
              </w:tc>
            </w:tr>
            <w:tr w:rsidRPr="00EC6CCE" w:rsidR="004D00F5" w:rsidTr="00FE4186" w14:paraId="1D392539"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48D7BB7F"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&lt; 30</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1740CA16"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29+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B956464"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8 hourly</w:t>
                  </w:r>
                </w:p>
              </w:tc>
            </w:tr>
            <w:tr w:rsidRPr="00EC6CCE" w:rsidR="004D00F5" w:rsidTr="00FE4186" w14:paraId="295F8274"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3455CDD4"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30</w:t>
                  </w:r>
                  <w:r w:rsidRPr="00EC6CCE">
                    <w:rPr>
                      <w:rFonts w:asciiTheme="minorHAnsi" w:hAnsiTheme="minorHAnsi"/>
                      <w:sz w:val="20"/>
                      <w:vertAlign w:val="superscript"/>
                    </w:rPr>
                    <w:t>+0</w:t>
                  </w:r>
                  <w:r w:rsidRPr="00EC6CCE">
                    <w:rPr>
                      <w:rFonts w:asciiTheme="minorHAnsi" w:hAnsiTheme="minorHAnsi"/>
                      <w:sz w:val="20"/>
                    </w:rPr>
                    <w:t>−36</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AC61ADA"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0−14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7D00F90E" w14:textId="77777777">
                  <w:pPr>
                    <w:rPr>
                      <w:rFonts w:asciiTheme="minorHAnsi" w:hAnsiTheme="minorHAnsi"/>
                      <w:sz w:val="20"/>
                    </w:rPr>
                  </w:pPr>
                  <w:r w:rsidRPr="00EC6CCE">
                    <w:rPr>
                      <w:rFonts w:asciiTheme="minorHAnsi" w:hAnsiTheme="minorHAnsi"/>
                      <w:sz w:val="20"/>
                    </w:rPr>
                    <w:t>12 hourly</w:t>
                  </w:r>
                </w:p>
              </w:tc>
            </w:tr>
            <w:tr w:rsidRPr="00EC6CCE" w:rsidR="004D00F5" w:rsidTr="00FE4186" w14:paraId="23DEA304"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01C5310"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30</w:t>
                  </w:r>
                  <w:r w:rsidRPr="00EC6CCE">
                    <w:rPr>
                      <w:rFonts w:asciiTheme="minorHAnsi" w:hAnsiTheme="minorHAnsi"/>
                      <w:sz w:val="20"/>
                      <w:vertAlign w:val="superscript"/>
                    </w:rPr>
                    <w:t>+0</w:t>
                  </w:r>
                  <w:r w:rsidRPr="00EC6CCE">
                    <w:rPr>
                      <w:rFonts w:asciiTheme="minorHAnsi" w:hAnsiTheme="minorHAnsi"/>
                      <w:sz w:val="20"/>
                    </w:rPr>
                    <w:t>−36</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69AB6C1E"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15+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705FBCE5"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8 hourly</w:t>
                  </w:r>
                </w:p>
              </w:tc>
            </w:tr>
            <w:tr w:rsidRPr="00EC6CCE" w:rsidR="004D00F5" w:rsidTr="00FE4186" w14:paraId="493E2A3C"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F2093D1" w14:textId="77777777">
                  <w:pPr>
                    <w:overflowPunct w:val="0"/>
                    <w:autoSpaceDE w:val="0"/>
                    <w:autoSpaceDN w:val="0"/>
                    <w:adjustRightInd w:val="0"/>
                    <w:rPr>
                      <w:rFonts w:asciiTheme="minorHAnsi" w:hAnsiTheme="minorHAnsi"/>
                      <w:sz w:val="20"/>
                    </w:rPr>
                  </w:pPr>
                  <w:r w:rsidRPr="00EC6CCE">
                    <w:rPr>
                      <w:rFonts w:asciiTheme="minorHAnsi" w:hAnsiTheme="minorHAnsi"/>
                      <w:sz w:val="20"/>
                    </w:rPr>
                    <w:t>37</w:t>
                  </w:r>
                  <w:r w:rsidRPr="00EC6CCE">
                    <w:rPr>
                      <w:rFonts w:asciiTheme="minorHAnsi" w:hAnsiTheme="minorHAnsi"/>
                      <w:sz w:val="20"/>
                      <w:vertAlign w:val="superscript"/>
                    </w:rPr>
                    <w:t>+0</w:t>
                  </w:r>
                  <w:r w:rsidRPr="00EC6CCE">
                    <w:rPr>
                      <w:rFonts w:asciiTheme="minorHAnsi" w:hAnsiTheme="minorHAnsi"/>
                      <w:sz w:val="20"/>
                    </w:rPr>
                    <w:t>−44</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0FD377B8" w14:textId="77777777">
                  <w:pPr>
                    <w:overflowPunct w:val="0"/>
                    <w:autoSpaceDE w:val="0"/>
                    <w:autoSpaceDN w:val="0"/>
                    <w:adjustRightInd w:val="0"/>
                    <w:rPr>
                      <w:rFonts w:asciiTheme="minorHAnsi" w:hAnsiTheme="minorHAnsi"/>
                      <w:sz w:val="20"/>
                    </w:rPr>
                  </w:pPr>
                  <w:r w:rsidRPr="00EC6CCE">
                    <w:rPr>
                      <w:rFonts w:asciiTheme="minorHAnsi" w:hAnsiTheme="minorHAnsi"/>
                      <w:sz w:val="20"/>
                    </w:rPr>
                    <w:t>0−7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3EA48990" w14:textId="77777777">
                  <w:pPr>
                    <w:overflowPunct w:val="0"/>
                    <w:autoSpaceDE w:val="0"/>
                    <w:autoSpaceDN w:val="0"/>
                    <w:adjustRightInd w:val="0"/>
                    <w:rPr>
                      <w:rFonts w:asciiTheme="minorHAnsi" w:hAnsiTheme="minorHAnsi"/>
                      <w:sz w:val="20"/>
                    </w:rPr>
                  </w:pPr>
                  <w:r w:rsidRPr="00EC6CCE">
                    <w:rPr>
                      <w:rFonts w:asciiTheme="minorHAnsi" w:hAnsiTheme="minorHAnsi"/>
                      <w:sz w:val="20"/>
                    </w:rPr>
                    <w:t>12 hourly</w:t>
                  </w:r>
                </w:p>
              </w:tc>
            </w:tr>
            <w:tr w:rsidRPr="00EC6CCE" w:rsidR="004D00F5" w:rsidTr="00FE4186" w14:paraId="7E526571"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70E7203A" w14:textId="77777777">
                  <w:pPr>
                    <w:overflowPunct w:val="0"/>
                    <w:autoSpaceDE w:val="0"/>
                    <w:autoSpaceDN w:val="0"/>
                    <w:adjustRightInd w:val="0"/>
                    <w:rPr>
                      <w:rFonts w:asciiTheme="minorHAnsi" w:hAnsiTheme="minorHAnsi"/>
                      <w:sz w:val="20"/>
                    </w:rPr>
                  </w:pPr>
                  <w:r w:rsidRPr="00EC6CCE">
                    <w:rPr>
                      <w:rFonts w:asciiTheme="minorHAnsi" w:hAnsiTheme="minorHAnsi"/>
                      <w:sz w:val="20"/>
                    </w:rPr>
                    <w:t>37</w:t>
                  </w:r>
                  <w:r w:rsidRPr="00EC6CCE">
                    <w:rPr>
                      <w:rFonts w:asciiTheme="minorHAnsi" w:hAnsiTheme="minorHAnsi"/>
                      <w:sz w:val="20"/>
                      <w:vertAlign w:val="superscript"/>
                    </w:rPr>
                    <w:t>+0</w:t>
                  </w:r>
                  <w:r w:rsidRPr="00EC6CCE">
                    <w:rPr>
                      <w:rFonts w:asciiTheme="minorHAnsi" w:hAnsiTheme="minorHAnsi"/>
                      <w:sz w:val="20"/>
                    </w:rPr>
                    <w:t>−44</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6DCC4881" w14:textId="77777777">
                  <w:pPr>
                    <w:overflowPunct w:val="0"/>
                    <w:autoSpaceDE w:val="0"/>
                    <w:autoSpaceDN w:val="0"/>
                    <w:adjustRightInd w:val="0"/>
                    <w:rPr>
                      <w:rFonts w:asciiTheme="minorHAnsi" w:hAnsiTheme="minorHAnsi"/>
                      <w:sz w:val="20"/>
                    </w:rPr>
                  </w:pPr>
                  <w:r w:rsidRPr="00EC6CCE">
                    <w:rPr>
                      <w:rFonts w:asciiTheme="minorHAnsi" w:hAnsiTheme="minorHAnsi"/>
                      <w:sz w:val="20"/>
                    </w:rPr>
                    <w:t>8+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1066B62" w14:textId="77777777">
                  <w:pPr>
                    <w:overflowPunct w:val="0"/>
                    <w:autoSpaceDE w:val="0"/>
                    <w:autoSpaceDN w:val="0"/>
                    <w:adjustRightInd w:val="0"/>
                    <w:rPr>
                      <w:rFonts w:asciiTheme="minorHAnsi" w:hAnsiTheme="minorHAnsi"/>
                      <w:sz w:val="20"/>
                    </w:rPr>
                  </w:pPr>
                  <w:r w:rsidRPr="00EC6CCE">
                    <w:rPr>
                      <w:rFonts w:asciiTheme="minorHAnsi" w:hAnsiTheme="minorHAnsi"/>
                      <w:sz w:val="20"/>
                    </w:rPr>
                    <w:t>8 hourly</w:t>
                  </w:r>
                </w:p>
              </w:tc>
            </w:tr>
            <w:tr w:rsidRPr="00EC6CCE" w:rsidR="004D00F5" w:rsidTr="00FE4186" w14:paraId="1BAC36FA" w14:textId="77777777">
              <w:tc>
                <w:tcPr>
                  <w:tcW w:w="4538" w:type="dxa"/>
                  <w:tcBorders>
                    <w:top w:val="single" w:color="auto" w:sz="4" w:space="0"/>
                    <w:left w:val="single" w:color="auto" w:sz="4" w:space="0"/>
                    <w:bottom w:val="single" w:color="auto" w:sz="4" w:space="0"/>
                    <w:right w:val="single" w:color="auto" w:sz="4" w:space="0"/>
                  </w:tcBorders>
                </w:tcPr>
                <w:p w:rsidRPr="00EC6CCE" w:rsidR="004D00F5" w:rsidP="00FE4186" w:rsidRDefault="004D00F5" w14:paraId="3A0A8DE5" w14:textId="77777777">
                  <w:pPr>
                    <w:overflowPunct w:val="0"/>
                    <w:autoSpaceDE w:val="0"/>
                    <w:autoSpaceDN w:val="0"/>
                    <w:adjustRightInd w:val="0"/>
                    <w:rPr>
                      <w:rFonts w:asciiTheme="minorHAnsi" w:hAnsiTheme="minorHAnsi"/>
                      <w:sz w:val="20"/>
                    </w:rPr>
                  </w:pPr>
                  <w:r>
                    <w:rPr>
                      <w:rFonts w:asciiTheme="minorHAnsi" w:hAnsiTheme="minorHAnsi"/>
                      <w:sz w:val="20"/>
                    </w:rPr>
                    <w:t xml:space="preserve">≥45 weeks </w:t>
                  </w:r>
                </w:p>
              </w:tc>
              <w:tc>
                <w:tcPr>
                  <w:tcW w:w="1559" w:type="dxa"/>
                  <w:tcBorders>
                    <w:top w:val="single" w:color="auto" w:sz="4" w:space="0"/>
                    <w:left w:val="single" w:color="auto" w:sz="4" w:space="0"/>
                    <w:bottom w:val="single" w:color="auto" w:sz="4" w:space="0"/>
                    <w:right w:val="single" w:color="auto" w:sz="4" w:space="0"/>
                  </w:tcBorders>
                </w:tcPr>
                <w:p w:rsidRPr="00EC6CCE" w:rsidR="004D00F5" w:rsidP="00FE4186" w:rsidRDefault="004D00F5" w14:paraId="41F26F1F" w14:textId="77777777">
                  <w:pPr>
                    <w:overflowPunct w:val="0"/>
                    <w:autoSpaceDE w:val="0"/>
                    <w:autoSpaceDN w:val="0"/>
                    <w:adjustRightInd w:val="0"/>
                    <w:rPr>
                      <w:rFonts w:asciiTheme="minorHAnsi" w:hAnsiTheme="minorHAnsi"/>
                      <w:sz w:val="20"/>
                    </w:rPr>
                  </w:pPr>
                </w:p>
              </w:tc>
              <w:tc>
                <w:tcPr>
                  <w:tcW w:w="1418" w:type="dxa"/>
                  <w:tcBorders>
                    <w:top w:val="single" w:color="auto" w:sz="4" w:space="0"/>
                    <w:left w:val="single" w:color="auto" w:sz="4" w:space="0"/>
                    <w:bottom w:val="single" w:color="auto" w:sz="4" w:space="0"/>
                    <w:right w:val="single" w:color="auto" w:sz="4" w:space="0"/>
                  </w:tcBorders>
                </w:tcPr>
                <w:p w:rsidRPr="00EC6CCE" w:rsidR="004D00F5" w:rsidP="00FE4186" w:rsidRDefault="004D00F5" w14:paraId="0C9DC571" w14:textId="77777777">
                  <w:pPr>
                    <w:overflowPunct w:val="0"/>
                    <w:autoSpaceDE w:val="0"/>
                    <w:autoSpaceDN w:val="0"/>
                    <w:adjustRightInd w:val="0"/>
                    <w:rPr>
                      <w:rFonts w:asciiTheme="minorHAnsi" w:hAnsiTheme="minorHAnsi"/>
                      <w:sz w:val="20"/>
                    </w:rPr>
                  </w:pPr>
                  <w:r>
                    <w:rPr>
                      <w:rFonts w:asciiTheme="minorHAnsi" w:hAnsiTheme="minorHAnsi"/>
                      <w:sz w:val="20"/>
                    </w:rPr>
                    <w:t>6 hourly</w:t>
                  </w:r>
                </w:p>
              </w:tc>
            </w:tr>
          </w:tbl>
          <w:p w:rsidRPr="00EC6CCE" w:rsidR="004D00F5" w:rsidP="00FE4186" w:rsidRDefault="004D00F5" w14:paraId="38C5CDC4" w14:textId="77777777">
            <w:pPr>
              <w:overflowPunct w:val="0"/>
              <w:autoSpaceDE w:val="0"/>
              <w:autoSpaceDN w:val="0"/>
              <w:adjustRightInd w:val="0"/>
              <w:rPr>
                <w:rFonts w:cs="Arial" w:asciiTheme="minorHAnsi" w:hAnsiTheme="minorHAnsi"/>
                <w:sz w:val="20"/>
              </w:rPr>
            </w:pPr>
          </w:p>
          <w:p w:rsidRPr="00EC6CCE" w:rsidR="004D00F5" w:rsidP="00FE4186" w:rsidRDefault="004D00F5" w14:paraId="1773B3D8"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Meningitis</w:t>
            </w:r>
            <w:r>
              <w:rPr>
                <w:rFonts w:cs="Arial" w:asciiTheme="minorHAnsi" w:hAnsiTheme="minorHAnsi"/>
                <w:b/>
                <w:sz w:val="20"/>
              </w:rPr>
              <w:t>:</w:t>
            </w:r>
            <w:r w:rsidRPr="00EC6CCE">
              <w:rPr>
                <w:rFonts w:cs="Arial" w:asciiTheme="minorHAnsi" w:hAnsiTheme="minorHAnsi"/>
                <w:b/>
                <w:sz w:val="20"/>
              </w:rPr>
              <w:t xml:space="preserve"> 90 mg/kg/dose. Dosing interval as per table below</w:t>
            </w:r>
          </w:p>
          <w:tbl>
            <w:tblPr>
              <w:tblW w:w="7580" w:type="dxa"/>
              <w:tblInd w:w="1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6"/>
              <w:gridCol w:w="1561"/>
              <w:gridCol w:w="1483"/>
            </w:tblGrid>
            <w:tr w:rsidRPr="00EC6CCE" w:rsidR="004D00F5" w:rsidTr="00FE4186" w14:paraId="405F4789" w14:textId="77777777">
              <w:trPr>
                <w:trHeight w:val="238"/>
              </w:trPr>
              <w:tc>
                <w:tcPr>
                  <w:tcW w:w="2992" w:type="pct"/>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4CC71E90"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Corrected Gestational Age/Postmenstrual Age</w:t>
                  </w:r>
                </w:p>
              </w:tc>
              <w:tc>
                <w:tcPr>
                  <w:tcW w:w="1030" w:type="pct"/>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0DEC63E4"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 xml:space="preserve">Postnatal Age </w:t>
                  </w:r>
                </w:p>
              </w:tc>
              <w:tc>
                <w:tcPr>
                  <w:tcW w:w="978" w:type="pct"/>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40C0D2AF" w14:textId="77777777">
                  <w:pPr>
                    <w:rPr>
                      <w:rFonts w:cs="Arial" w:asciiTheme="minorHAnsi" w:hAnsiTheme="minorHAnsi"/>
                      <w:b/>
                      <w:sz w:val="20"/>
                    </w:rPr>
                  </w:pPr>
                  <w:r>
                    <w:rPr>
                      <w:rFonts w:cs="Arial" w:asciiTheme="minorHAnsi" w:hAnsiTheme="minorHAnsi"/>
                      <w:b/>
                      <w:sz w:val="20"/>
                    </w:rPr>
                    <w:t>Interval</w:t>
                  </w:r>
                </w:p>
              </w:tc>
            </w:tr>
            <w:tr w:rsidRPr="00EC6CCE" w:rsidR="004D00F5" w:rsidTr="00FE4186" w14:paraId="4F8F907D" w14:textId="77777777">
              <w:trPr>
                <w:trHeight w:val="261"/>
              </w:trPr>
              <w:tc>
                <w:tcPr>
                  <w:tcW w:w="2992"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24822F2"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&lt; 37</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030"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44715F07"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 xml:space="preserve">0−7 days </w:t>
                  </w:r>
                </w:p>
              </w:tc>
              <w:tc>
                <w:tcPr>
                  <w:tcW w:w="978"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4C576376"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12 hourly</w:t>
                  </w:r>
                </w:p>
              </w:tc>
            </w:tr>
            <w:tr w:rsidRPr="00EC6CCE" w:rsidR="004D00F5" w:rsidTr="00FE4186" w14:paraId="66B9D71F" w14:textId="77777777">
              <w:trPr>
                <w:trHeight w:val="246"/>
              </w:trPr>
              <w:tc>
                <w:tcPr>
                  <w:tcW w:w="2992"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1A6F775"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&lt; 37</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030"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0D701A80"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8+ days</w:t>
                  </w:r>
                </w:p>
              </w:tc>
              <w:tc>
                <w:tcPr>
                  <w:tcW w:w="978"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0B54F8F"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8 hourly</w:t>
                  </w:r>
                </w:p>
              </w:tc>
            </w:tr>
            <w:tr w:rsidRPr="00EC6CCE" w:rsidR="004D00F5" w:rsidTr="00FE4186" w14:paraId="2D40F6F9" w14:textId="77777777">
              <w:trPr>
                <w:trHeight w:val="261"/>
              </w:trPr>
              <w:tc>
                <w:tcPr>
                  <w:tcW w:w="2992"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027EA69E" w14:textId="77777777">
                  <w:pPr>
                    <w:overflowPunct w:val="0"/>
                    <w:autoSpaceDE w:val="0"/>
                    <w:autoSpaceDN w:val="0"/>
                    <w:adjustRightInd w:val="0"/>
                    <w:rPr>
                      <w:rFonts w:asciiTheme="minorHAnsi" w:hAnsiTheme="minorHAnsi"/>
                      <w:sz w:val="20"/>
                    </w:rPr>
                  </w:pPr>
                  <w:r w:rsidRPr="00EC6CCE">
                    <w:rPr>
                      <w:rFonts w:asciiTheme="minorHAnsi" w:hAnsiTheme="minorHAnsi"/>
                      <w:sz w:val="20"/>
                    </w:rPr>
                    <w:t>≥ 37</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030"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4FCAB385" w14:textId="77777777">
                  <w:pPr>
                    <w:overflowPunct w:val="0"/>
                    <w:autoSpaceDE w:val="0"/>
                    <w:autoSpaceDN w:val="0"/>
                    <w:adjustRightInd w:val="0"/>
                    <w:rPr>
                      <w:rFonts w:asciiTheme="minorHAnsi" w:hAnsiTheme="minorHAnsi"/>
                      <w:sz w:val="20"/>
                    </w:rPr>
                  </w:pPr>
                  <w:r w:rsidRPr="00EC6CCE">
                    <w:rPr>
                      <w:rFonts w:asciiTheme="minorHAnsi" w:hAnsiTheme="minorHAnsi"/>
                      <w:sz w:val="20"/>
                    </w:rPr>
                    <w:t>0+ days</w:t>
                  </w:r>
                </w:p>
              </w:tc>
              <w:tc>
                <w:tcPr>
                  <w:tcW w:w="978" w:type="pct"/>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E55D108" w14:textId="77777777">
                  <w:pPr>
                    <w:overflowPunct w:val="0"/>
                    <w:autoSpaceDE w:val="0"/>
                    <w:autoSpaceDN w:val="0"/>
                    <w:adjustRightInd w:val="0"/>
                    <w:rPr>
                      <w:rFonts w:asciiTheme="minorHAnsi" w:hAnsiTheme="minorHAnsi"/>
                      <w:sz w:val="20"/>
                    </w:rPr>
                  </w:pPr>
                  <w:r w:rsidRPr="00EC6CCE">
                    <w:rPr>
                      <w:rFonts w:asciiTheme="minorHAnsi" w:hAnsiTheme="minorHAnsi"/>
                      <w:sz w:val="20"/>
                    </w:rPr>
                    <w:t>8 hourly</w:t>
                  </w:r>
                </w:p>
              </w:tc>
            </w:tr>
          </w:tbl>
          <w:p w:rsidRPr="00EC6CCE" w:rsidR="004D00F5" w:rsidP="00FE4186" w:rsidRDefault="004D00F5" w14:paraId="304F8AD8" w14:textId="77777777">
            <w:pPr>
              <w:pStyle w:val="BodyText"/>
              <w:rPr>
                <w:rFonts w:cs="Arial" w:asciiTheme="minorHAnsi" w:hAnsiTheme="minorHAnsi"/>
                <w:sz w:val="20"/>
              </w:rPr>
            </w:pPr>
          </w:p>
          <w:p w:rsidR="004D00F5" w:rsidP="00FE4186" w:rsidRDefault="004D00F5" w14:paraId="768E58E2" w14:textId="77777777">
            <w:pPr>
              <w:pStyle w:val="BodyText"/>
              <w:rPr>
                <w:rFonts w:cs="Arial" w:asciiTheme="minorHAnsi" w:hAnsiTheme="minorHAnsi"/>
                <w:b/>
                <w:sz w:val="20"/>
              </w:rPr>
            </w:pPr>
            <w:r w:rsidRPr="00EC6CCE">
              <w:rPr>
                <w:rFonts w:cs="Arial" w:asciiTheme="minorHAnsi" w:hAnsiTheme="minorHAnsi"/>
                <w:b/>
                <w:sz w:val="20"/>
              </w:rPr>
              <w:t>Congenital syphilis</w:t>
            </w:r>
            <w:r>
              <w:rPr>
                <w:rFonts w:cs="Arial" w:asciiTheme="minorHAnsi" w:hAnsiTheme="minorHAnsi"/>
                <w:b/>
                <w:sz w:val="20"/>
              </w:rPr>
              <w:t>:</w:t>
            </w:r>
            <w:r w:rsidRPr="00EC6CCE">
              <w:rPr>
                <w:rFonts w:cs="Arial" w:asciiTheme="minorHAnsi" w:hAnsiTheme="minorHAnsi"/>
                <w:b/>
                <w:sz w:val="20"/>
              </w:rPr>
              <w:t xml:space="preserve"> 30 mg/kg/dose. Dosing interval as per table below</w:t>
            </w:r>
          </w:p>
          <w:tbl>
            <w:tblPr>
              <w:tblW w:w="7515" w:type="dxa"/>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8"/>
              <w:gridCol w:w="1559"/>
              <w:gridCol w:w="1418"/>
            </w:tblGrid>
            <w:tr w:rsidRPr="00EC6CCE" w:rsidR="004D00F5" w:rsidTr="00FE4186" w14:paraId="7A984012" w14:textId="77777777">
              <w:trPr>
                <w:trHeight w:val="247"/>
              </w:trPr>
              <w:tc>
                <w:tcPr>
                  <w:tcW w:w="4538" w:type="dxa"/>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4DF4BCD4"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Corrected Gestational Age/Postmenstrual Age</w:t>
                  </w:r>
                </w:p>
              </w:tc>
              <w:tc>
                <w:tcPr>
                  <w:tcW w:w="1559" w:type="dxa"/>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40FCEC0E" w14:textId="77777777">
                  <w:pPr>
                    <w:overflowPunct w:val="0"/>
                    <w:autoSpaceDE w:val="0"/>
                    <w:autoSpaceDN w:val="0"/>
                    <w:adjustRightInd w:val="0"/>
                    <w:rPr>
                      <w:rFonts w:cs="Arial" w:asciiTheme="minorHAnsi" w:hAnsiTheme="minorHAnsi"/>
                      <w:b/>
                      <w:sz w:val="20"/>
                    </w:rPr>
                  </w:pPr>
                  <w:r w:rsidRPr="00EC6CCE">
                    <w:rPr>
                      <w:rFonts w:cs="Arial" w:asciiTheme="minorHAnsi" w:hAnsiTheme="minorHAnsi"/>
                      <w:b/>
                      <w:sz w:val="20"/>
                    </w:rPr>
                    <w:t xml:space="preserve">Postnatal Age </w:t>
                  </w:r>
                </w:p>
              </w:tc>
              <w:tc>
                <w:tcPr>
                  <w:tcW w:w="1418" w:type="dxa"/>
                  <w:tcBorders>
                    <w:top w:val="single" w:color="auto" w:sz="4" w:space="0"/>
                    <w:left w:val="single" w:color="auto" w:sz="4" w:space="0"/>
                    <w:bottom w:val="single" w:color="auto" w:sz="4" w:space="0"/>
                    <w:right w:val="single" w:color="auto" w:sz="4" w:space="0"/>
                  </w:tcBorders>
                  <w:vAlign w:val="center"/>
                  <w:hideMark/>
                </w:tcPr>
                <w:p w:rsidRPr="00EC6CCE" w:rsidR="004D00F5" w:rsidP="00FE4186" w:rsidRDefault="004D00F5" w14:paraId="41F8A329" w14:textId="77777777">
                  <w:pPr>
                    <w:rPr>
                      <w:rFonts w:cs="Arial" w:asciiTheme="minorHAnsi" w:hAnsiTheme="minorHAnsi"/>
                      <w:b/>
                      <w:sz w:val="20"/>
                    </w:rPr>
                  </w:pPr>
                  <w:r>
                    <w:rPr>
                      <w:rFonts w:cs="Arial" w:asciiTheme="minorHAnsi" w:hAnsiTheme="minorHAnsi"/>
                      <w:b/>
                      <w:sz w:val="20"/>
                    </w:rPr>
                    <w:t>Interval</w:t>
                  </w:r>
                </w:p>
              </w:tc>
            </w:tr>
            <w:tr w:rsidRPr="00EC6CCE" w:rsidR="004D00F5" w:rsidTr="00FE4186" w14:paraId="3C6AEA1B"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3DDEED1F"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&lt; 30</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C3B9E65"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 xml:space="preserve">0−28 days </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06386442"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12 hourly</w:t>
                  </w:r>
                </w:p>
              </w:tc>
            </w:tr>
            <w:tr w:rsidRPr="00EC6CCE" w:rsidR="004D00F5" w:rsidTr="00FE4186" w14:paraId="098DEFA2"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6CA3D523"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&lt; 30</w:t>
                  </w:r>
                  <w:r w:rsidRPr="00EC6CCE">
                    <w:rPr>
                      <w:rFonts w:asciiTheme="minorHAnsi" w:hAnsiTheme="minorHAnsi"/>
                      <w:sz w:val="20"/>
                      <w:vertAlign w:val="superscript"/>
                    </w:rPr>
                    <w:t>+0</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64349CEB"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29+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174D14A"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8 hourly</w:t>
                  </w:r>
                </w:p>
              </w:tc>
            </w:tr>
            <w:tr w:rsidRPr="00EC6CCE" w:rsidR="004D00F5" w:rsidTr="00FE4186" w14:paraId="1D24D2ED"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52ED4F9"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30</w:t>
                  </w:r>
                  <w:r w:rsidRPr="00EC6CCE">
                    <w:rPr>
                      <w:rFonts w:asciiTheme="minorHAnsi" w:hAnsiTheme="minorHAnsi"/>
                      <w:sz w:val="20"/>
                      <w:vertAlign w:val="superscript"/>
                    </w:rPr>
                    <w:t>+0</w:t>
                  </w:r>
                  <w:r w:rsidRPr="00EC6CCE">
                    <w:rPr>
                      <w:rFonts w:asciiTheme="minorHAnsi" w:hAnsiTheme="minorHAnsi"/>
                      <w:sz w:val="20"/>
                    </w:rPr>
                    <w:t>−36</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10AD1400"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0−14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5AE4F8AC" w14:textId="77777777">
                  <w:pPr>
                    <w:rPr>
                      <w:rFonts w:asciiTheme="minorHAnsi" w:hAnsiTheme="minorHAnsi"/>
                      <w:sz w:val="20"/>
                    </w:rPr>
                  </w:pPr>
                  <w:r w:rsidRPr="00EC6CCE">
                    <w:rPr>
                      <w:rFonts w:asciiTheme="minorHAnsi" w:hAnsiTheme="minorHAnsi"/>
                      <w:sz w:val="20"/>
                    </w:rPr>
                    <w:t>12 hourly</w:t>
                  </w:r>
                </w:p>
              </w:tc>
            </w:tr>
            <w:tr w:rsidRPr="00EC6CCE" w:rsidR="004D00F5" w:rsidTr="00FE4186" w14:paraId="5E62D774"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8BC8BEA"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30</w:t>
                  </w:r>
                  <w:r w:rsidRPr="00EC6CCE">
                    <w:rPr>
                      <w:rFonts w:asciiTheme="minorHAnsi" w:hAnsiTheme="minorHAnsi"/>
                      <w:sz w:val="20"/>
                      <w:vertAlign w:val="superscript"/>
                    </w:rPr>
                    <w:t>+0</w:t>
                  </w:r>
                  <w:r w:rsidRPr="00EC6CCE">
                    <w:rPr>
                      <w:rFonts w:asciiTheme="minorHAnsi" w:hAnsiTheme="minorHAnsi"/>
                      <w:sz w:val="20"/>
                    </w:rPr>
                    <w:t>−36</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6450643A"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15+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7B21E533" w14:textId="77777777">
                  <w:pPr>
                    <w:overflowPunct w:val="0"/>
                    <w:autoSpaceDE w:val="0"/>
                    <w:autoSpaceDN w:val="0"/>
                    <w:adjustRightInd w:val="0"/>
                    <w:rPr>
                      <w:rFonts w:cs="Arial" w:asciiTheme="minorHAnsi" w:hAnsiTheme="minorHAnsi"/>
                      <w:sz w:val="20"/>
                    </w:rPr>
                  </w:pPr>
                  <w:r w:rsidRPr="00EC6CCE">
                    <w:rPr>
                      <w:rFonts w:asciiTheme="minorHAnsi" w:hAnsiTheme="minorHAnsi"/>
                      <w:sz w:val="20"/>
                    </w:rPr>
                    <w:t>8 hourly</w:t>
                  </w:r>
                </w:p>
              </w:tc>
            </w:tr>
            <w:tr w:rsidRPr="00EC6CCE" w:rsidR="004D00F5" w:rsidTr="00FE4186" w14:paraId="2EEF0356"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10F055C9" w14:textId="77777777">
                  <w:pPr>
                    <w:overflowPunct w:val="0"/>
                    <w:autoSpaceDE w:val="0"/>
                    <w:autoSpaceDN w:val="0"/>
                    <w:adjustRightInd w:val="0"/>
                    <w:rPr>
                      <w:rFonts w:asciiTheme="minorHAnsi" w:hAnsiTheme="minorHAnsi"/>
                      <w:sz w:val="20"/>
                    </w:rPr>
                  </w:pPr>
                  <w:r w:rsidRPr="00EC6CCE">
                    <w:rPr>
                      <w:rFonts w:asciiTheme="minorHAnsi" w:hAnsiTheme="minorHAnsi"/>
                      <w:sz w:val="20"/>
                    </w:rPr>
                    <w:t>37</w:t>
                  </w:r>
                  <w:r w:rsidRPr="00EC6CCE">
                    <w:rPr>
                      <w:rFonts w:asciiTheme="minorHAnsi" w:hAnsiTheme="minorHAnsi"/>
                      <w:sz w:val="20"/>
                      <w:vertAlign w:val="superscript"/>
                    </w:rPr>
                    <w:t>+0</w:t>
                  </w:r>
                  <w:r w:rsidRPr="00EC6CCE">
                    <w:rPr>
                      <w:rFonts w:asciiTheme="minorHAnsi" w:hAnsiTheme="minorHAnsi"/>
                      <w:sz w:val="20"/>
                    </w:rPr>
                    <w:t>−44</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6F17AEEC" w14:textId="77777777">
                  <w:pPr>
                    <w:overflowPunct w:val="0"/>
                    <w:autoSpaceDE w:val="0"/>
                    <w:autoSpaceDN w:val="0"/>
                    <w:adjustRightInd w:val="0"/>
                    <w:rPr>
                      <w:rFonts w:asciiTheme="minorHAnsi" w:hAnsiTheme="minorHAnsi"/>
                      <w:sz w:val="20"/>
                    </w:rPr>
                  </w:pPr>
                  <w:r w:rsidRPr="00EC6CCE">
                    <w:rPr>
                      <w:rFonts w:asciiTheme="minorHAnsi" w:hAnsiTheme="minorHAnsi"/>
                      <w:sz w:val="20"/>
                    </w:rPr>
                    <w:t>0−7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7A9E88B2" w14:textId="77777777">
                  <w:pPr>
                    <w:overflowPunct w:val="0"/>
                    <w:autoSpaceDE w:val="0"/>
                    <w:autoSpaceDN w:val="0"/>
                    <w:adjustRightInd w:val="0"/>
                    <w:rPr>
                      <w:rFonts w:asciiTheme="minorHAnsi" w:hAnsiTheme="minorHAnsi"/>
                      <w:sz w:val="20"/>
                    </w:rPr>
                  </w:pPr>
                  <w:r w:rsidRPr="00EC6CCE">
                    <w:rPr>
                      <w:rFonts w:asciiTheme="minorHAnsi" w:hAnsiTheme="minorHAnsi"/>
                      <w:sz w:val="20"/>
                    </w:rPr>
                    <w:t>12 hourly</w:t>
                  </w:r>
                </w:p>
              </w:tc>
            </w:tr>
            <w:tr w:rsidRPr="00EC6CCE" w:rsidR="004D00F5" w:rsidTr="00FE4186" w14:paraId="71F11DCC" w14:textId="77777777">
              <w:tc>
                <w:tcPr>
                  <w:tcW w:w="453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225FB8A9" w14:textId="77777777">
                  <w:pPr>
                    <w:overflowPunct w:val="0"/>
                    <w:autoSpaceDE w:val="0"/>
                    <w:autoSpaceDN w:val="0"/>
                    <w:adjustRightInd w:val="0"/>
                    <w:rPr>
                      <w:rFonts w:asciiTheme="minorHAnsi" w:hAnsiTheme="minorHAnsi"/>
                      <w:sz w:val="20"/>
                    </w:rPr>
                  </w:pPr>
                  <w:r w:rsidRPr="00EC6CCE">
                    <w:rPr>
                      <w:rFonts w:asciiTheme="minorHAnsi" w:hAnsiTheme="minorHAnsi"/>
                      <w:sz w:val="20"/>
                    </w:rPr>
                    <w:t>37</w:t>
                  </w:r>
                  <w:r w:rsidRPr="00EC6CCE">
                    <w:rPr>
                      <w:rFonts w:asciiTheme="minorHAnsi" w:hAnsiTheme="minorHAnsi"/>
                      <w:sz w:val="20"/>
                      <w:vertAlign w:val="superscript"/>
                    </w:rPr>
                    <w:t>+0</w:t>
                  </w:r>
                  <w:r w:rsidRPr="00EC6CCE">
                    <w:rPr>
                      <w:rFonts w:asciiTheme="minorHAnsi" w:hAnsiTheme="minorHAnsi"/>
                      <w:sz w:val="20"/>
                    </w:rPr>
                    <w:t>−44</w:t>
                  </w:r>
                  <w:r w:rsidRPr="00EC6CCE">
                    <w:rPr>
                      <w:rFonts w:asciiTheme="minorHAnsi" w:hAnsiTheme="minorHAnsi"/>
                      <w:sz w:val="20"/>
                      <w:vertAlign w:val="superscript"/>
                    </w:rPr>
                    <w:t>+6</w:t>
                  </w:r>
                  <w:r w:rsidRPr="00EC6CCE">
                    <w:rPr>
                      <w:rFonts w:asciiTheme="minorHAnsi" w:hAnsiTheme="minorHAnsi"/>
                      <w:sz w:val="20"/>
                    </w:rPr>
                    <w:t xml:space="preserve"> weeks </w:t>
                  </w:r>
                </w:p>
              </w:tc>
              <w:tc>
                <w:tcPr>
                  <w:tcW w:w="1559"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4D3BEAA2" w14:textId="77777777">
                  <w:pPr>
                    <w:overflowPunct w:val="0"/>
                    <w:autoSpaceDE w:val="0"/>
                    <w:autoSpaceDN w:val="0"/>
                    <w:adjustRightInd w:val="0"/>
                    <w:rPr>
                      <w:rFonts w:asciiTheme="minorHAnsi" w:hAnsiTheme="minorHAnsi"/>
                      <w:sz w:val="20"/>
                    </w:rPr>
                  </w:pPr>
                  <w:r w:rsidRPr="00EC6CCE">
                    <w:rPr>
                      <w:rFonts w:asciiTheme="minorHAnsi" w:hAnsiTheme="minorHAnsi"/>
                      <w:sz w:val="20"/>
                    </w:rPr>
                    <w:t>8+ days</w:t>
                  </w:r>
                </w:p>
              </w:tc>
              <w:tc>
                <w:tcPr>
                  <w:tcW w:w="1418" w:type="dxa"/>
                  <w:tcBorders>
                    <w:top w:val="single" w:color="auto" w:sz="4" w:space="0"/>
                    <w:left w:val="single" w:color="auto" w:sz="4" w:space="0"/>
                    <w:bottom w:val="single" w:color="auto" w:sz="4" w:space="0"/>
                    <w:right w:val="single" w:color="auto" w:sz="4" w:space="0"/>
                  </w:tcBorders>
                  <w:hideMark/>
                </w:tcPr>
                <w:p w:rsidRPr="00EC6CCE" w:rsidR="004D00F5" w:rsidP="00FE4186" w:rsidRDefault="004D00F5" w14:paraId="0EA52E62" w14:textId="77777777">
                  <w:pPr>
                    <w:overflowPunct w:val="0"/>
                    <w:autoSpaceDE w:val="0"/>
                    <w:autoSpaceDN w:val="0"/>
                    <w:adjustRightInd w:val="0"/>
                    <w:rPr>
                      <w:rFonts w:asciiTheme="minorHAnsi" w:hAnsiTheme="minorHAnsi"/>
                      <w:sz w:val="20"/>
                    </w:rPr>
                  </w:pPr>
                  <w:r w:rsidRPr="00EC6CCE">
                    <w:rPr>
                      <w:rFonts w:asciiTheme="minorHAnsi" w:hAnsiTheme="minorHAnsi"/>
                      <w:sz w:val="20"/>
                    </w:rPr>
                    <w:t>8 hourly</w:t>
                  </w:r>
                </w:p>
              </w:tc>
            </w:tr>
          </w:tbl>
          <w:p w:rsidR="004D00F5" w:rsidP="00FE4186" w:rsidRDefault="004D00F5" w14:paraId="4A10FDCA" w14:textId="77777777">
            <w:pPr>
              <w:pStyle w:val="BodyText"/>
              <w:ind w:left="720" w:hanging="720"/>
              <w:rPr>
                <w:rFonts w:asciiTheme="minorHAnsi" w:hAnsiTheme="minorHAnsi" w:cstheme="minorHAnsi"/>
                <w:sz w:val="20"/>
              </w:rPr>
            </w:pPr>
          </w:p>
        </w:tc>
      </w:tr>
      <w:tr w:rsidRPr="003B78EA" w:rsidR="004D00F5" w:rsidTr="00503EB6" w14:paraId="5C09A3D4" w14:textId="77777777">
        <w:trPr>
          <w:trHeight w:val="263"/>
        </w:trPr>
        <w:tc>
          <w:tcPr>
            <w:tcW w:w="828" w:type="pct"/>
          </w:tcPr>
          <w:p w:rsidRPr="003B78EA" w:rsidR="004D00F5" w:rsidP="00FE4186" w:rsidRDefault="004D00F5" w14:paraId="56C0F5A2"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172" w:type="pct"/>
          </w:tcPr>
          <w:p w:rsidRPr="003B78EA" w:rsidR="004D00F5" w:rsidP="00FE4186" w:rsidRDefault="004D00F5" w14:paraId="439C3E2A" w14:textId="77777777">
            <w:pPr>
              <w:pStyle w:val="BodyText"/>
              <w:rPr>
                <w:rFonts w:asciiTheme="minorHAnsi" w:hAnsiTheme="minorHAnsi" w:cstheme="minorHAnsi"/>
                <w:sz w:val="20"/>
              </w:rPr>
            </w:pPr>
          </w:p>
        </w:tc>
      </w:tr>
      <w:tr w:rsidRPr="003B78EA" w:rsidR="004D00F5" w:rsidTr="00503EB6" w14:paraId="21B9B76C" w14:textId="77777777">
        <w:trPr>
          <w:trHeight w:val="263"/>
        </w:trPr>
        <w:tc>
          <w:tcPr>
            <w:tcW w:w="828" w:type="pct"/>
          </w:tcPr>
          <w:p w:rsidRPr="003B78EA" w:rsidR="004D00F5" w:rsidP="00FE4186" w:rsidRDefault="004D00F5" w14:paraId="78DEDC4C"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172" w:type="pct"/>
          </w:tcPr>
          <w:p w:rsidRPr="003B78EA" w:rsidR="004D00F5" w:rsidP="00FE4186" w:rsidRDefault="004D00F5" w14:paraId="18B6391C" w14:textId="77777777">
            <w:pPr>
              <w:pStyle w:val="BodyText"/>
              <w:rPr>
                <w:rFonts w:asciiTheme="minorHAnsi" w:hAnsiTheme="minorHAnsi" w:cstheme="minorHAnsi"/>
                <w:sz w:val="20"/>
              </w:rPr>
            </w:pPr>
            <w:r w:rsidRPr="00EC6CCE">
              <w:rPr>
                <w:rFonts w:asciiTheme="minorHAnsi" w:hAnsiTheme="minorHAnsi"/>
                <w:sz w:val="20"/>
              </w:rPr>
              <w:t>300 mg/kg/day</w:t>
            </w:r>
          </w:p>
        </w:tc>
      </w:tr>
      <w:tr w:rsidRPr="003B78EA" w:rsidR="004D00F5" w:rsidTr="00503EB6" w14:paraId="30E93EC8" w14:textId="77777777">
        <w:trPr>
          <w:trHeight w:val="263"/>
        </w:trPr>
        <w:tc>
          <w:tcPr>
            <w:tcW w:w="828" w:type="pct"/>
          </w:tcPr>
          <w:p w:rsidRPr="003B78EA" w:rsidR="004D00F5" w:rsidP="00FE4186" w:rsidRDefault="004D00F5" w14:paraId="6CBE7250"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172" w:type="pct"/>
          </w:tcPr>
          <w:p w:rsidRPr="003B78EA" w:rsidR="004D00F5" w:rsidP="00FE4186" w:rsidRDefault="004D00F5" w14:paraId="61345D39" w14:textId="77777777">
            <w:pPr>
              <w:pStyle w:val="BodyText"/>
              <w:rPr>
                <w:rFonts w:asciiTheme="minorHAnsi" w:hAnsiTheme="minorHAnsi" w:cstheme="minorHAnsi"/>
                <w:b/>
                <w:sz w:val="20"/>
              </w:rPr>
            </w:pPr>
          </w:p>
        </w:tc>
      </w:tr>
      <w:tr w:rsidRPr="003B78EA" w:rsidR="004D00F5" w:rsidTr="00503EB6" w14:paraId="6C0A30BB" w14:textId="77777777">
        <w:trPr>
          <w:trHeight w:val="263"/>
        </w:trPr>
        <w:tc>
          <w:tcPr>
            <w:tcW w:w="828" w:type="pct"/>
          </w:tcPr>
          <w:p w:rsidRPr="003B78EA" w:rsidR="004D00F5" w:rsidP="00FE4186" w:rsidRDefault="004D00F5" w14:paraId="7F1A47C8"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172" w:type="pct"/>
          </w:tcPr>
          <w:p w:rsidRPr="00EC6CCE" w:rsidR="004D00F5" w:rsidP="00FE4186" w:rsidRDefault="004D00F5" w14:paraId="2E40CEA6" w14:textId="77777777">
            <w:pPr>
              <w:pStyle w:val="BodyText"/>
              <w:rPr>
                <w:rFonts w:cs="Arial" w:asciiTheme="minorHAnsi" w:hAnsiTheme="minorHAnsi"/>
                <w:sz w:val="20"/>
              </w:rPr>
            </w:pPr>
            <w:r w:rsidRPr="00EC6CCE">
              <w:rPr>
                <w:rFonts w:cs="Arial" w:asciiTheme="minorHAnsi" w:hAnsiTheme="minorHAnsi"/>
                <w:sz w:val="20"/>
              </w:rPr>
              <w:t>IV</w:t>
            </w:r>
          </w:p>
          <w:p w:rsidRPr="003B78EA" w:rsidR="004D00F5" w:rsidP="00FE4186" w:rsidRDefault="004D00F5" w14:paraId="07448E0D" w14:textId="77777777">
            <w:pPr>
              <w:pStyle w:val="BodyText"/>
              <w:rPr>
                <w:rFonts w:asciiTheme="minorHAnsi" w:hAnsiTheme="minorHAnsi" w:cstheme="minorHAnsi"/>
                <w:sz w:val="20"/>
              </w:rPr>
            </w:pPr>
            <w:r w:rsidRPr="00EC6CCE">
              <w:rPr>
                <w:rFonts w:cs="Arial" w:asciiTheme="minorHAnsi" w:hAnsiTheme="minorHAnsi"/>
                <w:sz w:val="20"/>
              </w:rPr>
              <w:t xml:space="preserve">IM </w:t>
            </w:r>
            <w:r>
              <w:rPr>
                <w:rFonts w:cs="Arial" w:asciiTheme="minorHAnsi" w:hAnsiTheme="minorHAnsi"/>
                <w:sz w:val="20"/>
              </w:rPr>
              <w:t>(</w:t>
            </w:r>
            <w:r w:rsidRPr="00EC6CCE">
              <w:rPr>
                <w:rFonts w:asciiTheme="minorHAnsi" w:hAnsiTheme="minorHAnsi"/>
                <w:sz w:val="20"/>
              </w:rPr>
              <w:t xml:space="preserve">only if IV route not </w:t>
            </w:r>
            <w:r>
              <w:rPr>
                <w:rFonts w:asciiTheme="minorHAnsi" w:hAnsiTheme="minorHAnsi"/>
                <w:sz w:val="20"/>
              </w:rPr>
              <w:t>available)</w:t>
            </w:r>
            <w:r w:rsidRPr="00EC6CCE">
              <w:rPr>
                <w:rFonts w:asciiTheme="minorHAnsi" w:hAnsiTheme="minorHAnsi"/>
                <w:sz w:val="20"/>
              </w:rPr>
              <w:t>.</w:t>
            </w:r>
          </w:p>
        </w:tc>
      </w:tr>
      <w:tr w:rsidRPr="003B78EA" w:rsidR="004D00F5" w:rsidTr="00503EB6" w14:paraId="5362BB06" w14:textId="77777777">
        <w:trPr>
          <w:trHeight w:val="263"/>
        </w:trPr>
        <w:tc>
          <w:tcPr>
            <w:tcW w:w="828" w:type="pct"/>
          </w:tcPr>
          <w:p w:rsidRPr="003B78EA" w:rsidR="004D00F5" w:rsidP="00FE4186" w:rsidRDefault="004D00F5" w14:paraId="5DFC75FC"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172" w:type="pct"/>
          </w:tcPr>
          <w:p w:rsidRPr="00EC6CCE" w:rsidR="004D00F5" w:rsidP="00FE4186" w:rsidRDefault="004D00F5" w14:paraId="39472EB9" w14:textId="77777777">
            <w:pPr>
              <w:pStyle w:val="BodyText"/>
              <w:rPr>
                <w:rFonts w:asciiTheme="minorHAnsi" w:hAnsiTheme="minorHAnsi"/>
                <w:b/>
                <w:sz w:val="20"/>
              </w:rPr>
            </w:pPr>
            <w:r w:rsidRPr="00EC6CCE">
              <w:rPr>
                <w:rFonts w:asciiTheme="minorHAnsi" w:hAnsiTheme="minorHAnsi"/>
                <w:b/>
                <w:sz w:val="20"/>
              </w:rPr>
              <w:t>IV</w:t>
            </w:r>
          </w:p>
          <w:p w:rsidR="004D00F5" w:rsidP="00FE4186" w:rsidRDefault="004D00F5" w14:paraId="7AD83171" w14:textId="77777777">
            <w:pPr>
              <w:pStyle w:val="BodyText"/>
              <w:rPr>
                <w:rFonts w:asciiTheme="minorHAnsi" w:hAnsiTheme="minorHAnsi"/>
                <w:sz w:val="20"/>
              </w:rPr>
            </w:pPr>
            <w:r w:rsidRPr="00EC6CCE">
              <w:rPr>
                <w:rFonts w:asciiTheme="minorHAnsi" w:hAnsiTheme="minorHAnsi"/>
                <w:sz w:val="20"/>
              </w:rPr>
              <w:lastRenderedPageBreak/>
              <w:t>Add 3.6 mL of water for injection to the 600 mg vial to make a 150 mg/mL solution.</w:t>
            </w:r>
          </w:p>
          <w:p w:rsidR="004D00F5" w:rsidP="00FE4186" w:rsidRDefault="004D00F5" w14:paraId="52EDABC5" w14:textId="77777777">
            <w:pPr>
              <w:pStyle w:val="BodyText"/>
              <w:rPr>
                <w:rFonts w:asciiTheme="minorHAnsi" w:hAnsiTheme="minorHAnsi"/>
                <w:sz w:val="20"/>
              </w:rPr>
            </w:pPr>
            <w:r>
              <w:rPr>
                <w:rFonts w:asciiTheme="minorHAnsi" w:hAnsiTheme="minorHAnsi"/>
                <w:sz w:val="20"/>
              </w:rPr>
              <w:t>Add 3.2 mL of water for injection to the 1.2 g vial to make a 300mg/mL solution</w:t>
            </w:r>
          </w:p>
          <w:p w:rsidRPr="00EC6CCE" w:rsidR="004D00F5" w:rsidP="00FE4186" w:rsidRDefault="004D00F5" w14:paraId="02E377D1" w14:textId="77777777">
            <w:pPr>
              <w:pStyle w:val="BodyText"/>
              <w:rPr>
                <w:rFonts w:asciiTheme="minorHAnsi" w:hAnsiTheme="minorHAnsi"/>
                <w:sz w:val="20"/>
              </w:rPr>
            </w:pPr>
            <w:r>
              <w:rPr>
                <w:rFonts w:asciiTheme="minorHAnsi" w:hAnsiTheme="minorHAnsi"/>
                <w:sz w:val="20"/>
              </w:rPr>
              <w:t>Add 8 mL of water for injection to the 3 g vial to make 300mg/mL</w:t>
            </w:r>
          </w:p>
          <w:p w:rsidRPr="00EC6CCE" w:rsidR="004D00F5" w:rsidP="00FE4186" w:rsidRDefault="004D00F5" w14:paraId="6B7838D5" w14:textId="77777777">
            <w:pPr>
              <w:pStyle w:val="BodyText"/>
              <w:rPr>
                <w:rFonts w:asciiTheme="minorHAnsi" w:hAnsiTheme="minorHAnsi"/>
                <w:b/>
                <w:sz w:val="20"/>
              </w:rPr>
            </w:pPr>
            <w:r w:rsidRPr="00EC6CCE">
              <w:rPr>
                <w:rFonts w:asciiTheme="minorHAnsi" w:hAnsiTheme="minorHAnsi"/>
                <w:b/>
                <w:sz w:val="20"/>
              </w:rPr>
              <w:t>FURTHER DILUTE</w:t>
            </w:r>
          </w:p>
          <w:p w:rsidR="004D00F5" w:rsidP="00FE4186" w:rsidRDefault="004D00F5" w14:paraId="7E292E27" w14:textId="77777777">
            <w:pPr>
              <w:pStyle w:val="BodyText"/>
              <w:rPr>
                <w:rFonts w:asciiTheme="minorHAnsi" w:hAnsiTheme="minorHAnsi"/>
                <w:sz w:val="20"/>
              </w:rPr>
            </w:pPr>
            <w:r>
              <w:rPr>
                <w:rFonts w:asciiTheme="minorHAnsi" w:hAnsiTheme="minorHAnsi"/>
                <w:sz w:val="20"/>
              </w:rPr>
              <w:t>From the 600 mg vial d</w:t>
            </w:r>
            <w:r w:rsidRPr="00EC6CCE">
              <w:rPr>
                <w:rFonts w:asciiTheme="minorHAnsi" w:hAnsiTheme="minorHAnsi"/>
                <w:sz w:val="20"/>
              </w:rPr>
              <w:t xml:space="preserve">raw up </w:t>
            </w:r>
            <w:r>
              <w:rPr>
                <w:rFonts w:asciiTheme="minorHAnsi" w:hAnsiTheme="minorHAnsi"/>
                <w:sz w:val="20"/>
              </w:rPr>
              <w:t>4</w:t>
            </w:r>
            <w:r w:rsidRPr="00EC6CCE">
              <w:rPr>
                <w:rFonts w:asciiTheme="minorHAnsi" w:hAnsiTheme="minorHAnsi"/>
                <w:sz w:val="20"/>
              </w:rPr>
              <w:t xml:space="preserve"> mL (</w:t>
            </w:r>
            <w:r>
              <w:rPr>
                <w:rFonts w:asciiTheme="minorHAnsi" w:hAnsiTheme="minorHAnsi"/>
                <w:sz w:val="20"/>
              </w:rPr>
              <w:t>600</w:t>
            </w:r>
            <w:r w:rsidRPr="00EC6CCE">
              <w:rPr>
                <w:rFonts w:asciiTheme="minorHAnsi" w:hAnsiTheme="minorHAnsi"/>
                <w:sz w:val="20"/>
              </w:rPr>
              <w:t xml:space="preserve"> mg of penicillin) of solution and add </w:t>
            </w:r>
            <w:r>
              <w:rPr>
                <w:rFonts w:asciiTheme="minorHAnsi" w:hAnsiTheme="minorHAnsi"/>
                <w:sz w:val="20"/>
              </w:rPr>
              <w:t>16</w:t>
            </w:r>
            <w:r w:rsidRPr="00EC6CCE">
              <w:rPr>
                <w:rFonts w:asciiTheme="minorHAnsi" w:hAnsiTheme="minorHAnsi"/>
                <w:sz w:val="20"/>
              </w:rPr>
              <w:t xml:space="preserve"> mL of sodium chloride 0.9% to make a final volume of </w:t>
            </w:r>
            <w:r>
              <w:rPr>
                <w:rFonts w:asciiTheme="minorHAnsi" w:hAnsiTheme="minorHAnsi"/>
                <w:sz w:val="20"/>
              </w:rPr>
              <w:t xml:space="preserve">20 </w:t>
            </w:r>
            <w:r w:rsidRPr="00EC6CCE">
              <w:rPr>
                <w:rFonts w:asciiTheme="minorHAnsi" w:hAnsiTheme="minorHAnsi"/>
                <w:sz w:val="20"/>
              </w:rPr>
              <w:t xml:space="preserve">mL with a </w:t>
            </w:r>
            <w:r>
              <w:rPr>
                <w:rFonts w:asciiTheme="minorHAnsi" w:hAnsiTheme="minorHAnsi"/>
                <w:sz w:val="20"/>
              </w:rPr>
              <w:t xml:space="preserve">final </w:t>
            </w:r>
            <w:r w:rsidRPr="00EC6CCE">
              <w:rPr>
                <w:rFonts w:asciiTheme="minorHAnsi" w:hAnsiTheme="minorHAnsi"/>
                <w:sz w:val="20"/>
              </w:rPr>
              <w:t>concentration of 30 mg/mL.</w:t>
            </w:r>
          </w:p>
          <w:p w:rsidR="004D00F5" w:rsidP="00FE4186" w:rsidRDefault="004D00F5" w14:paraId="0CDC78CB" w14:textId="77777777">
            <w:pPr>
              <w:pStyle w:val="BodyText"/>
              <w:rPr>
                <w:rFonts w:asciiTheme="minorHAnsi" w:hAnsiTheme="minorHAnsi"/>
                <w:sz w:val="20"/>
              </w:rPr>
            </w:pPr>
          </w:p>
          <w:p w:rsidRPr="00EC6CCE" w:rsidR="004D00F5" w:rsidP="00FE4186" w:rsidRDefault="004D00F5" w14:paraId="0112C982" w14:textId="77777777">
            <w:pPr>
              <w:pStyle w:val="BodyText"/>
              <w:rPr>
                <w:rFonts w:asciiTheme="minorHAnsi" w:hAnsiTheme="minorHAnsi"/>
                <w:sz w:val="20"/>
              </w:rPr>
            </w:pPr>
            <w:r>
              <w:rPr>
                <w:rFonts w:asciiTheme="minorHAnsi" w:hAnsiTheme="minorHAnsi"/>
                <w:sz w:val="20"/>
              </w:rPr>
              <w:t>From the 1.2 g and 3 g vial draw up 2 mL (600 mg of penicillin) and add 18 mL of sodium chloride 0.9% to make a final volume of 20 mL with a final concentration of 30 mg/mL.</w:t>
            </w:r>
          </w:p>
          <w:p w:rsidR="004D00F5" w:rsidP="00FE4186" w:rsidRDefault="004D00F5" w14:paraId="48C937D3" w14:textId="77777777">
            <w:pPr>
              <w:pStyle w:val="BodyText"/>
              <w:rPr>
                <w:rFonts w:asciiTheme="minorHAnsi" w:hAnsiTheme="minorHAnsi"/>
                <w:sz w:val="20"/>
              </w:rPr>
            </w:pPr>
          </w:p>
          <w:p w:rsidRPr="002F59B0" w:rsidR="004D00F5" w:rsidP="00FE4186" w:rsidRDefault="004D00F5" w14:paraId="6A6F6AF3" w14:textId="77777777">
            <w:pPr>
              <w:pStyle w:val="BodyText"/>
              <w:rPr>
                <w:rFonts w:asciiTheme="minorHAnsi" w:hAnsiTheme="minorHAnsi"/>
                <w:b/>
                <w:bCs/>
                <w:sz w:val="20"/>
              </w:rPr>
            </w:pPr>
            <w:r w:rsidRPr="002F59B0">
              <w:rPr>
                <w:rFonts w:asciiTheme="minorHAnsi" w:hAnsiTheme="minorHAnsi"/>
                <w:b/>
                <w:bCs/>
                <w:sz w:val="20"/>
              </w:rPr>
              <w:t>Meningitis IV</w:t>
            </w:r>
          </w:p>
          <w:p w:rsidR="004D00F5" w:rsidP="00FE4186" w:rsidRDefault="004D00F5" w14:paraId="4F66D4A7" w14:textId="77777777">
            <w:pPr>
              <w:pStyle w:val="BodyText"/>
              <w:rPr>
                <w:rFonts w:asciiTheme="minorHAnsi" w:hAnsiTheme="minorHAnsi"/>
                <w:sz w:val="20"/>
              </w:rPr>
            </w:pPr>
            <w:r>
              <w:rPr>
                <w:rFonts w:asciiTheme="minorHAnsi" w:hAnsiTheme="minorHAnsi"/>
                <w:sz w:val="20"/>
              </w:rPr>
              <w:t>Dilute the dose to a maximum concentration of 60 mg/mL.</w:t>
            </w:r>
          </w:p>
          <w:p w:rsidRPr="00EC6CCE" w:rsidR="004D00F5" w:rsidP="00FE4186" w:rsidRDefault="004D00F5" w14:paraId="36F8E57B" w14:textId="77777777">
            <w:pPr>
              <w:pStyle w:val="BodyText"/>
              <w:rPr>
                <w:rFonts w:asciiTheme="minorHAnsi" w:hAnsiTheme="minorHAnsi"/>
                <w:sz w:val="20"/>
              </w:rPr>
            </w:pPr>
          </w:p>
          <w:p w:rsidRPr="00EC6CCE" w:rsidR="004D00F5" w:rsidP="00FE4186" w:rsidRDefault="004D00F5" w14:paraId="05887F39" w14:textId="77777777">
            <w:pPr>
              <w:pStyle w:val="BodyText"/>
              <w:rPr>
                <w:rFonts w:asciiTheme="minorHAnsi" w:hAnsiTheme="minorHAnsi"/>
                <w:b/>
                <w:sz w:val="20"/>
              </w:rPr>
            </w:pPr>
            <w:r w:rsidRPr="00EC6CCE">
              <w:rPr>
                <w:rFonts w:asciiTheme="minorHAnsi" w:hAnsiTheme="minorHAnsi"/>
                <w:b/>
                <w:sz w:val="20"/>
              </w:rPr>
              <w:t>IM</w:t>
            </w:r>
          </w:p>
          <w:p w:rsidR="004D00F5" w:rsidP="00FE4186" w:rsidRDefault="004D00F5" w14:paraId="60855185" w14:textId="77777777">
            <w:pPr>
              <w:pStyle w:val="BodyText"/>
              <w:rPr>
                <w:rFonts w:cs="Arial" w:asciiTheme="minorHAnsi" w:hAnsiTheme="minorHAnsi"/>
                <w:sz w:val="20"/>
              </w:rPr>
            </w:pPr>
            <w:r w:rsidRPr="00EC6CCE">
              <w:rPr>
                <w:rFonts w:cs="Arial" w:asciiTheme="minorHAnsi" w:hAnsiTheme="minorHAnsi"/>
                <w:sz w:val="20"/>
              </w:rPr>
              <w:t>Add 1.6 mL water for injection to the 600 mg vial to make a 300 mg/mL solution.</w:t>
            </w:r>
          </w:p>
          <w:p w:rsidR="004D00F5" w:rsidP="00FE4186" w:rsidRDefault="004D00F5" w14:paraId="759554C6" w14:textId="77777777">
            <w:pPr>
              <w:pStyle w:val="BodyText"/>
              <w:rPr>
                <w:rFonts w:cs="Arial" w:asciiTheme="minorHAnsi" w:hAnsiTheme="minorHAnsi"/>
                <w:sz w:val="20"/>
              </w:rPr>
            </w:pPr>
          </w:p>
          <w:p w:rsidR="004D00F5" w:rsidP="00FE4186" w:rsidRDefault="004D00F5" w14:paraId="7CE21AA0" w14:textId="77777777">
            <w:pPr>
              <w:pStyle w:val="BodyText"/>
              <w:rPr>
                <w:rFonts w:cs="Arial" w:asciiTheme="minorHAnsi" w:hAnsiTheme="minorHAnsi"/>
                <w:sz w:val="20"/>
              </w:rPr>
            </w:pPr>
            <w:r>
              <w:rPr>
                <w:rFonts w:cs="Arial" w:asciiTheme="minorHAnsi" w:hAnsiTheme="minorHAnsi"/>
                <w:sz w:val="20"/>
              </w:rPr>
              <w:t>Add 3.2 mL water for injection to the 1.2 g vial to make a 300 mg/mL solution.</w:t>
            </w:r>
          </w:p>
          <w:p w:rsidRPr="003B78EA" w:rsidR="004D00F5" w:rsidP="00FE4186" w:rsidRDefault="004D00F5" w14:paraId="09245F25" w14:textId="77777777">
            <w:pPr>
              <w:pStyle w:val="BodyText"/>
              <w:rPr>
                <w:rFonts w:asciiTheme="minorHAnsi" w:hAnsiTheme="minorHAnsi" w:cstheme="minorHAnsi"/>
                <w:sz w:val="20"/>
              </w:rPr>
            </w:pPr>
            <w:r>
              <w:rPr>
                <w:rFonts w:cs="Arial" w:asciiTheme="minorHAnsi" w:hAnsiTheme="minorHAnsi"/>
                <w:sz w:val="20"/>
              </w:rPr>
              <w:t>Add 8 mL water for injection to the 3 g vial to make a 300 mg/mL solution.</w:t>
            </w:r>
            <w:r w:rsidRPr="00EC6CCE" w:rsidDel="0007541F">
              <w:rPr>
                <w:rFonts w:cs="Arial" w:asciiTheme="minorHAnsi" w:hAnsiTheme="minorHAnsi"/>
                <w:sz w:val="20"/>
              </w:rPr>
              <w:t xml:space="preserve"> </w:t>
            </w:r>
          </w:p>
        </w:tc>
      </w:tr>
      <w:tr w:rsidRPr="003B78EA" w:rsidR="004D00F5" w:rsidTr="00503EB6" w14:paraId="47DECA89" w14:textId="77777777">
        <w:trPr>
          <w:trHeight w:val="263"/>
        </w:trPr>
        <w:tc>
          <w:tcPr>
            <w:tcW w:w="828" w:type="pct"/>
          </w:tcPr>
          <w:p w:rsidRPr="003B78EA" w:rsidR="004D00F5" w:rsidP="00FE4186" w:rsidRDefault="004D00F5" w14:paraId="0DADB1F2"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Administration</w:t>
            </w:r>
          </w:p>
        </w:tc>
        <w:tc>
          <w:tcPr>
            <w:tcW w:w="4172" w:type="pct"/>
            <w:vAlign w:val="center"/>
          </w:tcPr>
          <w:p w:rsidRPr="003B78EA" w:rsidR="004D00F5" w:rsidP="00FE4186" w:rsidRDefault="004D00F5" w14:paraId="5B903F71" w14:textId="77777777">
            <w:pPr>
              <w:pStyle w:val="BodyText"/>
              <w:rPr>
                <w:rFonts w:asciiTheme="minorHAnsi" w:hAnsiTheme="minorHAnsi" w:cstheme="minorHAnsi"/>
                <w:sz w:val="20"/>
              </w:rPr>
            </w:pPr>
            <w:r w:rsidRPr="00EC6CCE">
              <w:rPr>
                <w:rFonts w:asciiTheme="minorHAnsi" w:hAnsiTheme="minorHAnsi"/>
                <w:sz w:val="20"/>
              </w:rPr>
              <w:t xml:space="preserve">IV infusion over 15−30 minutes. </w:t>
            </w:r>
            <w:r>
              <w:rPr>
                <w:rFonts w:asciiTheme="minorHAnsi" w:hAnsiTheme="minorHAnsi"/>
                <w:sz w:val="20"/>
              </w:rPr>
              <w:t>Longer infusion time (</w:t>
            </w:r>
            <w:r w:rsidRPr="00EC6CCE">
              <w:rPr>
                <w:rFonts w:asciiTheme="minorHAnsi" w:hAnsiTheme="minorHAnsi"/>
                <w:sz w:val="20"/>
              </w:rPr>
              <w:t>30−60 minutes</w:t>
            </w:r>
            <w:r>
              <w:rPr>
                <w:rFonts w:asciiTheme="minorHAnsi" w:hAnsiTheme="minorHAnsi"/>
                <w:sz w:val="20"/>
              </w:rPr>
              <w:t xml:space="preserve">) is </w:t>
            </w:r>
            <w:r w:rsidRPr="00EC6CCE">
              <w:rPr>
                <w:rFonts w:asciiTheme="minorHAnsi" w:hAnsiTheme="minorHAnsi"/>
                <w:sz w:val="20"/>
              </w:rPr>
              <w:t xml:space="preserve">recommended for large doses </w:t>
            </w:r>
            <w:r w:rsidRPr="00EC6CCE">
              <w:rPr>
                <w:rFonts w:asciiTheme="minorHAnsi" w:hAnsiTheme="minorHAnsi"/>
                <w:sz w:val="20"/>
              </w:rPr>
              <w:br/>
            </w:r>
            <w:r w:rsidRPr="00EC6CCE">
              <w:rPr>
                <w:rFonts w:asciiTheme="minorHAnsi" w:hAnsiTheme="minorHAnsi"/>
                <w:sz w:val="20"/>
              </w:rPr>
              <w:t>Separate from aminoglycoside administration by clearing the line with a flush as penicillins inactivate aminoglycosides.</w:t>
            </w:r>
            <w:r w:rsidRPr="00EC6CCE">
              <w:rPr>
                <w:rFonts w:asciiTheme="minorHAnsi" w:hAnsiTheme="minorHAnsi"/>
                <w:sz w:val="20"/>
              </w:rPr>
              <w:br/>
            </w:r>
            <w:r w:rsidRPr="00EC6CCE">
              <w:rPr>
                <w:rFonts w:asciiTheme="minorHAnsi" w:hAnsiTheme="minorHAnsi"/>
                <w:sz w:val="20"/>
              </w:rPr>
              <w:t>IM injection.</w:t>
            </w:r>
          </w:p>
        </w:tc>
      </w:tr>
      <w:tr w:rsidRPr="003B78EA" w:rsidR="004D00F5" w:rsidTr="00503EB6" w14:paraId="49BF75C2" w14:textId="77777777">
        <w:trPr>
          <w:trHeight w:val="263"/>
        </w:trPr>
        <w:tc>
          <w:tcPr>
            <w:tcW w:w="828" w:type="pct"/>
          </w:tcPr>
          <w:p w:rsidRPr="003B78EA" w:rsidR="004D00F5" w:rsidP="00FE4186" w:rsidRDefault="004D00F5" w14:paraId="490CC69B"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172" w:type="pct"/>
          </w:tcPr>
          <w:p w:rsidR="004D00F5" w:rsidP="00FE4186" w:rsidRDefault="004D00F5" w14:paraId="0A2C042D" w14:textId="77777777">
            <w:pPr>
              <w:pStyle w:val="BodyText"/>
              <w:rPr>
                <w:rFonts w:asciiTheme="minorHAnsi" w:hAnsiTheme="minorHAnsi"/>
                <w:sz w:val="20"/>
              </w:rPr>
            </w:pPr>
            <w:r>
              <w:rPr>
                <w:rFonts w:asciiTheme="minorHAnsi" w:hAnsiTheme="minorHAnsi"/>
                <w:sz w:val="20"/>
              </w:rPr>
              <w:t xml:space="preserve">Not routinely required </w:t>
            </w:r>
          </w:p>
          <w:p w:rsidRPr="007F4B77" w:rsidR="004D00F5" w:rsidP="00FE4186" w:rsidRDefault="004D00F5" w14:paraId="55A8D9FC" w14:textId="77777777">
            <w:pPr>
              <w:pStyle w:val="BodyText"/>
              <w:rPr>
                <w:rFonts w:asciiTheme="minorHAnsi" w:hAnsiTheme="minorHAnsi" w:cstheme="minorHAnsi"/>
                <w:sz w:val="20"/>
              </w:rPr>
            </w:pPr>
            <w:r w:rsidRPr="00EC6CCE">
              <w:rPr>
                <w:rFonts w:asciiTheme="minorHAnsi" w:hAnsiTheme="minorHAnsi"/>
                <w:sz w:val="20"/>
              </w:rPr>
              <w:t>Plasma concentrations may be useful for infections with</w:t>
            </w:r>
            <w:r>
              <w:rPr>
                <w:rFonts w:asciiTheme="minorHAnsi" w:hAnsiTheme="minorHAnsi"/>
                <w:sz w:val="20"/>
              </w:rPr>
              <w:t xml:space="preserve"> a</w:t>
            </w:r>
            <w:r w:rsidRPr="00EC6CCE">
              <w:rPr>
                <w:rFonts w:asciiTheme="minorHAnsi" w:hAnsiTheme="minorHAnsi"/>
                <w:sz w:val="20"/>
              </w:rPr>
              <w:t xml:space="preserve"> high Minimum Inhibitory Concentration (MIC).</w:t>
            </w:r>
          </w:p>
        </w:tc>
      </w:tr>
      <w:tr w:rsidRPr="003B78EA" w:rsidR="004D00F5" w:rsidTr="00503EB6" w14:paraId="584AE8A8" w14:textId="77777777">
        <w:trPr>
          <w:trHeight w:val="263"/>
        </w:trPr>
        <w:tc>
          <w:tcPr>
            <w:tcW w:w="828" w:type="pct"/>
          </w:tcPr>
          <w:p w:rsidRPr="003B78EA" w:rsidR="004D00F5" w:rsidP="00FE4186" w:rsidRDefault="004D00F5" w14:paraId="51156BD1"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172" w:type="pct"/>
          </w:tcPr>
          <w:p w:rsidRPr="003B78EA" w:rsidR="004D00F5" w:rsidP="00FE4186" w:rsidRDefault="004D00F5" w14:paraId="3DD610AF" w14:textId="77777777">
            <w:pPr>
              <w:pStyle w:val="BodyText"/>
              <w:rPr>
                <w:rFonts w:asciiTheme="minorHAnsi" w:hAnsiTheme="minorHAnsi" w:cstheme="minorHAnsi"/>
                <w:sz w:val="20"/>
              </w:rPr>
            </w:pPr>
            <w:r w:rsidRPr="00EC6CCE">
              <w:rPr>
                <w:rFonts w:asciiTheme="minorHAnsi" w:hAnsiTheme="minorHAnsi"/>
                <w:sz w:val="20"/>
              </w:rPr>
              <w:t>Hypersensitivity to penicillin.</w:t>
            </w:r>
          </w:p>
        </w:tc>
      </w:tr>
      <w:tr w:rsidRPr="003B78EA" w:rsidR="004D00F5" w:rsidTr="00503EB6" w14:paraId="608A6ADD" w14:textId="77777777">
        <w:trPr>
          <w:trHeight w:val="263"/>
        </w:trPr>
        <w:tc>
          <w:tcPr>
            <w:tcW w:w="828" w:type="pct"/>
          </w:tcPr>
          <w:p w:rsidRPr="003B78EA" w:rsidR="004D00F5" w:rsidP="00FE4186" w:rsidRDefault="004D00F5" w14:paraId="4CCC6220"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172" w:type="pct"/>
          </w:tcPr>
          <w:p w:rsidRPr="003B78EA" w:rsidR="004D00F5" w:rsidP="00FE4186" w:rsidRDefault="004D00F5" w14:paraId="57DD5172" w14:textId="77777777">
            <w:pPr>
              <w:pStyle w:val="BodyText"/>
              <w:rPr>
                <w:rFonts w:asciiTheme="minorHAnsi" w:hAnsiTheme="minorHAnsi" w:cstheme="minorHAnsi"/>
                <w:sz w:val="20"/>
              </w:rPr>
            </w:pPr>
            <w:r w:rsidRPr="00EC6CCE">
              <w:rPr>
                <w:rFonts w:asciiTheme="minorHAnsi" w:hAnsiTheme="minorHAnsi"/>
                <w:sz w:val="20"/>
              </w:rPr>
              <w:t>Hypersensitivity to cephalosporins.</w:t>
            </w:r>
            <w:r w:rsidRPr="00EC6CCE">
              <w:rPr>
                <w:rFonts w:asciiTheme="minorHAnsi" w:hAnsiTheme="minorHAnsi"/>
                <w:sz w:val="20"/>
              </w:rPr>
              <w:br/>
            </w:r>
            <w:r w:rsidRPr="00EC6CCE">
              <w:rPr>
                <w:rFonts w:asciiTheme="minorHAnsi" w:hAnsiTheme="minorHAnsi"/>
                <w:sz w:val="20"/>
              </w:rPr>
              <w:t>Significant CNS toxicity including seizures may occur with high doses and rapid infusions.</w:t>
            </w:r>
            <w:r w:rsidRPr="00EC6CCE">
              <w:rPr>
                <w:rFonts w:asciiTheme="minorHAnsi" w:hAnsiTheme="minorHAnsi"/>
                <w:sz w:val="20"/>
              </w:rPr>
              <w:br/>
            </w:r>
            <w:r w:rsidRPr="00EC6CCE">
              <w:rPr>
                <w:rFonts w:asciiTheme="minorHAnsi" w:hAnsiTheme="minorHAnsi"/>
                <w:sz w:val="20"/>
              </w:rPr>
              <w:t>Consider sodium load, especially in renal failure − a dose of 300 mg/kg/day provides 0.90 mmol/kg/day of sodium.</w:t>
            </w:r>
            <w:r w:rsidRPr="00EC6CCE">
              <w:rPr>
                <w:rFonts w:asciiTheme="minorHAnsi" w:hAnsiTheme="minorHAnsi"/>
                <w:sz w:val="20"/>
              </w:rPr>
              <w:br/>
            </w:r>
            <w:r w:rsidRPr="00EC6CCE">
              <w:rPr>
                <w:rFonts w:asciiTheme="minorHAnsi" w:hAnsiTheme="minorHAnsi"/>
                <w:sz w:val="20"/>
              </w:rPr>
              <w:t>Dose reduction is recommended in significant renal insufficiency.</w:t>
            </w:r>
          </w:p>
        </w:tc>
      </w:tr>
      <w:tr w:rsidRPr="003B78EA" w:rsidR="004D00F5" w:rsidTr="00503EB6" w14:paraId="69A7E868" w14:textId="77777777">
        <w:trPr>
          <w:trHeight w:val="263"/>
        </w:trPr>
        <w:tc>
          <w:tcPr>
            <w:tcW w:w="828" w:type="pct"/>
          </w:tcPr>
          <w:p w:rsidRPr="003B78EA" w:rsidR="004D00F5" w:rsidP="00FE4186" w:rsidRDefault="004D00F5" w14:paraId="39328211"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172" w:type="pct"/>
          </w:tcPr>
          <w:p w:rsidRPr="003B78EA" w:rsidR="004D00F5" w:rsidP="00FE4186" w:rsidRDefault="004D00F5" w14:paraId="61B4A196" w14:textId="77777777">
            <w:pPr>
              <w:pStyle w:val="BodyText"/>
              <w:rPr>
                <w:rFonts w:asciiTheme="minorHAnsi" w:hAnsiTheme="minorHAnsi" w:cstheme="minorHAnsi"/>
                <w:sz w:val="20"/>
              </w:rPr>
            </w:pPr>
            <w:r w:rsidRPr="00EC6CCE">
              <w:rPr>
                <w:rFonts w:asciiTheme="minorHAnsi" w:hAnsiTheme="minorHAnsi"/>
                <w:sz w:val="20"/>
              </w:rPr>
              <w:t>Aminoglycosides including gentamicin should not be mixed with penicillin when both drugs are given parenterally as inactivation occurs. Ensure line is adequately flushed between antibiotics.</w:t>
            </w:r>
          </w:p>
        </w:tc>
      </w:tr>
      <w:tr w:rsidRPr="003B78EA" w:rsidR="004D00F5" w:rsidTr="00503EB6" w14:paraId="7EDE38B5" w14:textId="77777777">
        <w:trPr>
          <w:trHeight w:val="263"/>
        </w:trPr>
        <w:tc>
          <w:tcPr>
            <w:tcW w:w="828" w:type="pct"/>
          </w:tcPr>
          <w:p w:rsidRPr="003B78EA" w:rsidR="004D00F5" w:rsidP="00FE4186" w:rsidRDefault="004D00F5" w14:paraId="698BD3B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172" w:type="pct"/>
          </w:tcPr>
          <w:p w:rsidRPr="003B78EA" w:rsidR="004D00F5" w:rsidP="00FE4186" w:rsidRDefault="004D00F5" w14:paraId="34460FF0" w14:textId="77777777">
            <w:pPr>
              <w:pStyle w:val="BodyText"/>
              <w:rPr>
                <w:rFonts w:asciiTheme="minorHAnsi" w:hAnsiTheme="minorHAnsi" w:cstheme="minorHAnsi"/>
                <w:sz w:val="20"/>
              </w:rPr>
            </w:pPr>
            <w:r w:rsidRPr="00EC6CCE">
              <w:rPr>
                <w:rFonts w:asciiTheme="minorHAnsi" w:hAnsiTheme="minorHAnsi"/>
                <w:sz w:val="20"/>
              </w:rPr>
              <w:t xml:space="preserve">Allergy. Note hypersensitivity to penicillin has not been </w:t>
            </w:r>
            <w:r>
              <w:rPr>
                <w:rFonts w:asciiTheme="minorHAnsi" w:hAnsiTheme="minorHAnsi"/>
                <w:sz w:val="20"/>
              </w:rPr>
              <w:t>reported</w:t>
            </w:r>
            <w:r w:rsidRPr="00EC6CCE">
              <w:rPr>
                <w:rFonts w:asciiTheme="minorHAnsi" w:hAnsiTheme="minorHAnsi"/>
                <w:sz w:val="20"/>
              </w:rPr>
              <w:t xml:space="preserve"> in neonates.</w:t>
            </w:r>
            <w:r w:rsidRPr="00EC6CCE">
              <w:rPr>
                <w:rFonts w:asciiTheme="minorHAnsi" w:hAnsiTheme="minorHAnsi"/>
                <w:sz w:val="20"/>
              </w:rPr>
              <w:br/>
            </w:r>
            <w:r w:rsidRPr="00EC6CCE">
              <w:rPr>
                <w:rFonts w:asciiTheme="minorHAnsi" w:hAnsiTheme="minorHAnsi"/>
                <w:sz w:val="20"/>
              </w:rPr>
              <w:t>Bone marrow suppression, granulocytopenia and hepatitis are rare.</w:t>
            </w:r>
            <w:r w:rsidRPr="00EC6CCE">
              <w:rPr>
                <w:rFonts w:asciiTheme="minorHAnsi" w:hAnsiTheme="minorHAnsi"/>
                <w:sz w:val="20"/>
              </w:rPr>
              <w:br/>
            </w:r>
            <w:r w:rsidRPr="00EC6CCE">
              <w:rPr>
                <w:rFonts w:asciiTheme="minorHAnsi" w:hAnsiTheme="minorHAnsi"/>
                <w:sz w:val="20"/>
              </w:rPr>
              <w:t>Significant CNS toxicity including seizures may occur with high doses and rapid infusions.</w:t>
            </w:r>
          </w:p>
        </w:tc>
      </w:tr>
      <w:tr w:rsidRPr="003B78EA" w:rsidR="004D00F5" w:rsidTr="00503EB6" w14:paraId="696E98FD" w14:textId="77777777">
        <w:trPr>
          <w:trHeight w:val="263"/>
        </w:trPr>
        <w:tc>
          <w:tcPr>
            <w:tcW w:w="828" w:type="pct"/>
          </w:tcPr>
          <w:p w:rsidRPr="003B78EA" w:rsidR="004D00F5" w:rsidP="00FE4186" w:rsidRDefault="004D00F5" w14:paraId="2E3285BF"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172" w:type="pct"/>
          </w:tcPr>
          <w:p w:rsidRPr="003B78EA" w:rsidR="004D00F5" w:rsidP="00FE4186" w:rsidRDefault="004D00F5" w14:paraId="6341ABF4" w14:textId="77777777">
            <w:pPr>
              <w:pStyle w:val="BodyText"/>
              <w:rPr>
                <w:rFonts w:asciiTheme="minorHAnsi" w:hAnsiTheme="minorHAnsi" w:cstheme="minorHAnsi"/>
                <w:sz w:val="20"/>
              </w:rPr>
            </w:pPr>
            <w:r w:rsidRPr="00EC6CCE">
              <w:rPr>
                <w:rFonts w:asciiTheme="minorHAnsi" w:hAnsiTheme="minorHAnsi"/>
                <w:sz w:val="20"/>
              </w:rPr>
              <w:t>Fluids: Glucose 5%, Glucose 10% and sodium chloride 0.9%</w:t>
            </w:r>
            <w:r w:rsidRPr="00EC6CCE">
              <w:rPr>
                <w:rFonts w:asciiTheme="minorHAnsi" w:hAnsiTheme="minorHAnsi"/>
                <w:sz w:val="20"/>
              </w:rPr>
              <w:br/>
            </w:r>
            <w:r w:rsidRPr="00EC6CCE">
              <w:rPr>
                <w:rFonts w:asciiTheme="minorHAnsi" w:hAnsiTheme="minorHAnsi"/>
                <w:sz w:val="20"/>
              </w:rPr>
              <w:t>Y site: Amino acid solutions and fat emulsions.</w:t>
            </w:r>
          </w:p>
        </w:tc>
      </w:tr>
      <w:tr w:rsidRPr="003B78EA" w:rsidR="004D00F5" w:rsidTr="00503EB6" w14:paraId="7FD3DCF9" w14:textId="77777777">
        <w:trPr>
          <w:trHeight w:val="263"/>
        </w:trPr>
        <w:tc>
          <w:tcPr>
            <w:tcW w:w="828" w:type="pct"/>
          </w:tcPr>
          <w:p w:rsidRPr="003B78EA" w:rsidR="004D00F5" w:rsidP="00FE4186" w:rsidRDefault="004D00F5" w14:paraId="52F00A96"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172" w:type="pct"/>
          </w:tcPr>
          <w:p w:rsidRPr="003B78EA" w:rsidR="004D00F5" w:rsidP="00FE4186" w:rsidRDefault="004D00F5" w14:paraId="5DD2ECD0" w14:textId="77777777">
            <w:pPr>
              <w:pStyle w:val="BodyText"/>
              <w:rPr>
                <w:rFonts w:asciiTheme="minorHAnsi" w:hAnsiTheme="minorHAnsi" w:cstheme="minorHAnsi"/>
                <w:sz w:val="20"/>
              </w:rPr>
            </w:pPr>
            <w:r w:rsidRPr="00EC6CCE">
              <w:rPr>
                <w:rFonts w:asciiTheme="minorHAnsi" w:hAnsiTheme="minorHAnsi"/>
                <w:sz w:val="20"/>
              </w:rPr>
              <w:t>Y-site: Aminoglycosides – amikacin, gentamicin, tobramycin; aminophylline, dobutamine, erythromycin, ganciclovir, haloperidol lactate, heparin sodium, labetalol, metaraminol, noradrenaline, pentamidine, phenobarbitone, phentolamine, prochlorperazine, potassium chloride, promethazine, protamine sulfate, suxamethonium, thiopentone, tranexamic acid.</w:t>
            </w:r>
          </w:p>
        </w:tc>
      </w:tr>
      <w:tr w:rsidRPr="003B78EA" w:rsidR="004D00F5" w:rsidTr="00503EB6" w14:paraId="3E06850C" w14:textId="77777777">
        <w:trPr>
          <w:trHeight w:val="263"/>
        </w:trPr>
        <w:tc>
          <w:tcPr>
            <w:tcW w:w="828" w:type="pct"/>
          </w:tcPr>
          <w:p w:rsidRPr="003B78EA" w:rsidR="004D00F5" w:rsidP="00FE4186" w:rsidRDefault="004D00F5" w14:paraId="7DD12E7F"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172" w:type="pct"/>
          </w:tcPr>
          <w:p w:rsidRPr="003B78EA" w:rsidR="004D00F5" w:rsidP="00FE4186" w:rsidRDefault="004D00F5" w14:paraId="5CF1A9A8" w14:textId="77777777">
            <w:pPr>
              <w:pStyle w:val="BodyText"/>
              <w:rPr>
                <w:rFonts w:asciiTheme="minorHAnsi" w:hAnsiTheme="minorHAnsi" w:cstheme="minorHAnsi"/>
                <w:sz w:val="20"/>
              </w:rPr>
            </w:pPr>
            <w:r w:rsidRPr="00EC6CCE">
              <w:rPr>
                <w:rFonts w:asciiTheme="minorHAnsi" w:hAnsiTheme="minorHAnsi"/>
                <w:sz w:val="20"/>
              </w:rPr>
              <w:t>Administer immediately</w:t>
            </w:r>
            <w:r>
              <w:rPr>
                <w:rFonts w:asciiTheme="minorHAnsi" w:hAnsiTheme="minorHAnsi"/>
                <w:sz w:val="20"/>
              </w:rPr>
              <w:t>. D</w:t>
            </w:r>
            <w:r w:rsidRPr="00EC6CCE">
              <w:rPr>
                <w:rFonts w:asciiTheme="minorHAnsi" w:hAnsiTheme="minorHAnsi"/>
                <w:sz w:val="20"/>
              </w:rPr>
              <w:t>iscard unused portion of reconstituted solution.</w:t>
            </w:r>
          </w:p>
        </w:tc>
      </w:tr>
      <w:tr w:rsidRPr="003B78EA" w:rsidR="004D00F5" w:rsidTr="00503EB6" w14:paraId="4189D316" w14:textId="77777777">
        <w:trPr>
          <w:trHeight w:val="263"/>
        </w:trPr>
        <w:tc>
          <w:tcPr>
            <w:tcW w:w="828" w:type="pct"/>
          </w:tcPr>
          <w:p w:rsidRPr="003B78EA" w:rsidR="004D00F5" w:rsidP="00FE4186" w:rsidRDefault="004D00F5" w14:paraId="1B2AF03C"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172" w:type="pct"/>
          </w:tcPr>
          <w:p w:rsidRPr="003B78EA" w:rsidR="004D00F5" w:rsidP="00FE4186" w:rsidRDefault="004D00F5" w14:paraId="594EDD3A" w14:textId="77777777">
            <w:pPr>
              <w:pStyle w:val="BodyText"/>
              <w:rPr>
                <w:rFonts w:asciiTheme="minorHAnsi" w:hAnsiTheme="minorHAnsi" w:cstheme="minorHAnsi"/>
                <w:sz w:val="20"/>
              </w:rPr>
            </w:pPr>
            <w:r>
              <w:rPr>
                <w:rFonts w:asciiTheme="minorHAnsi" w:hAnsiTheme="minorHAnsi"/>
                <w:sz w:val="20"/>
              </w:rPr>
              <w:t xml:space="preserve"> </w:t>
            </w:r>
            <w:r w:rsidRPr="00F01E8E">
              <w:rPr>
                <w:rFonts w:asciiTheme="minorHAnsi" w:hAnsiTheme="minorHAnsi"/>
                <w:sz w:val="20"/>
              </w:rPr>
              <w:t>Store at room temperature. Protect from light.</w:t>
            </w:r>
          </w:p>
        </w:tc>
      </w:tr>
      <w:tr w:rsidRPr="003B78EA" w:rsidR="004D00F5" w:rsidTr="00503EB6" w14:paraId="3C2FF4EC" w14:textId="77777777">
        <w:trPr>
          <w:trHeight w:val="263"/>
        </w:trPr>
        <w:tc>
          <w:tcPr>
            <w:tcW w:w="828" w:type="pct"/>
          </w:tcPr>
          <w:p w:rsidRPr="003B78EA" w:rsidR="004D00F5" w:rsidP="00FE4186" w:rsidRDefault="004D00F5" w14:paraId="5F73C4BD"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172" w:type="pct"/>
          </w:tcPr>
          <w:p w:rsidRPr="003B78EA" w:rsidR="004D00F5" w:rsidP="00FE4186" w:rsidRDefault="004D00F5" w14:paraId="774F6704" w14:textId="77777777">
            <w:pPr>
              <w:pStyle w:val="BodyText"/>
              <w:rPr>
                <w:rFonts w:asciiTheme="minorHAnsi" w:hAnsiTheme="minorHAnsi" w:cstheme="minorHAnsi"/>
                <w:sz w:val="20"/>
              </w:rPr>
            </w:pPr>
          </w:p>
        </w:tc>
      </w:tr>
      <w:tr w:rsidRPr="003B78EA" w:rsidR="004D00F5" w:rsidTr="00503EB6" w14:paraId="51C35891" w14:textId="77777777">
        <w:trPr>
          <w:trHeight w:val="263"/>
        </w:trPr>
        <w:tc>
          <w:tcPr>
            <w:tcW w:w="828" w:type="pct"/>
          </w:tcPr>
          <w:p w:rsidRPr="003B78EA" w:rsidR="004D00F5" w:rsidP="00FE4186" w:rsidRDefault="004D00F5" w14:paraId="16D3CDF0"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172" w:type="pct"/>
          </w:tcPr>
          <w:p w:rsidRPr="00EC6CCE" w:rsidR="004D00F5" w:rsidP="00FE4186" w:rsidRDefault="004D00F5" w14:paraId="56903F9C" w14:textId="77777777">
            <w:pPr>
              <w:pStyle w:val="BodyText"/>
              <w:rPr>
                <w:rFonts w:asciiTheme="minorHAnsi" w:hAnsiTheme="minorHAnsi"/>
                <w:sz w:val="20"/>
              </w:rPr>
            </w:pPr>
            <w:r w:rsidRPr="00EC6CCE">
              <w:rPr>
                <w:rFonts w:asciiTheme="minorHAnsi" w:hAnsiTheme="minorHAnsi"/>
                <w:sz w:val="20"/>
              </w:rPr>
              <w:t>CSF penetration is poor even when meninges are inflamed, hence</w:t>
            </w:r>
            <w:r>
              <w:rPr>
                <w:rFonts w:asciiTheme="minorHAnsi" w:hAnsiTheme="minorHAnsi"/>
                <w:sz w:val="20"/>
              </w:rPr>
              <w:t xml:space="preserve"> the</w:t>
            </w:r>
            <w:r w:rsidRPr="00EC6CCE">
              <w:rPr>
                <w:rFonts w:asciiTheme="minorHAnsi" w:hAnsiTheme="minorHAnsi"/>
                <w:sz w:val="20"/>
              </w:rPr>
              <w:t xml:space="preserve"> larger dose in meningitis.</w:t>
            </w:r>
            <w:r w:rsidRPr="00EC6CCE">
              <w:rPr>
                <w:rFonts w:asciiTheme="minorHAnsi" w:hAnsiTheme="minorHAnsi"/>
                <w:sz w:val="20"/>
              </w:rPr>
              <w:br/>
            </w:r>
            <w:r w:rsidRPr="00EC6CCE">
              <w:rPr>
                <w:rFonts w:asciiTheme="minorHAnsi" w:hAnsiTheme="minorHAnsi"/>
                <w:sz w:val="20"/>
              </w:rPr>
              <w:t>Prescribe in terms of mg rather than units.</w:t>
            </w:r>
          </w:p>
          <w:p w:rsidRPr="003B78EA" w:rsidR="004D00F5" w:rsidP="00FE4186" w:rsidRDefault="004D00F5" w14:paraId="76E53230" w14:textId="77777777">
            <w:pPr>
              <w:pStyle w:val="BodyText"/>
              <w:rPr>
                <w:rFonts w:asciiTheme="minorHAnsi" w:hAnsiTheme="minorHAnsi" w:cstheme="minorHAnsi"/>
                <w:sz w:val="20"/>
              </w:rPr>
            </w:pPr>
            <w:r w:rsidRPr="00EC6CCE">
              <w:rPr>
                <w:rFonts w:asciiTheme="minorHAnsi" w:hAnsiTheme="minorHAnsi"/>
                <w:sz w:val="20"/>
              </w:rPr>
              <w:t>60 mg = 100 000 Units of penicillin.</w:t>
            </w:r>
          </w:p>
        </w:tc>
      </w:tr>
      <w:tr w:rsidRPr="003B78EA" w:rsidR="004D00F5" w:rsidTr="00503EB6" w14:paraId="11BD8018" w14:textId="77777777">
        <w:trPr>
          <w:trHeight w:val="263"/>
        </w:trPr>
        <w:tc>
          <w:tcPr>
            <w:tcW w:w="828" w:type="pct"/>
          </w:tcPr>
          <w:p w:rsidRPr="003B78EA" w:rsidR="004D00F5" w:rsidP="00FE4186" w:rsidRDefault="004D00F5" w14:paraId="4E2999B4"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172" w:type="pct"/>
          </w:tcPr>
          <w:p w:rsidRPr="00503EB6" w:rsidR="004D00F5" w:rsidP="00FE4186" w:rsidRDefault="004D00F5" w14:paraId="2CFA5EDD" w14:textId="77777777">
            <w:pPr>
              <w:pStyle w:val="BodyText"/>
              <w:rPr>
                <w:rFonts w:cs="Arial" w:asciiTheme="minorHAnsi" w:hAnsiTheme="minorHAnsi"/>
                <w:sz w:val="16"/>
                <w:szCs w:val="16"/>
              </w:rPr>
            </w:pPr>
            <w:r w:rsidRPr="00503EB6">
              <w:rPr>
                <w:rFonts w:cs="Arial" w:asciiTheme="minorHAnsi" w:hAnsiTheme="minorHAnsi"/>
                <w:b/>
                <w:sz w:val="16"/>
                <w:szCs w:val="16"/>
              </w:rPr>
              <w:t>Efficacy:</w:t>
            </w:r>
            <w:r w:rsidRPr="00503EB6">
              <w:rPr>
                <w:rFonts w:cs="Arial" w:asciiTheme="minorHAnsi" w:hAnsiTheme="minorHAnsi"/>
                <w:sz w:val="16"/>
                <w:szCs w:val="16"/>
              </w:rPr>
              <w:t xml:space="preserve"> Group B streptococcus (GBS) continues to be a significant global cause of early [1,2] and late onset neonatal sepsis [1]. Isolates remain largely sensitive to benzylpenicillin. [2,3] Benzylpenicillin is usually used in combination with gram negative bacterial cover most commonly an aminoglycoside. WHO recommends penicillin/ampicillin and gentamicin as treatment for neonatal sepsis.[4] In developing countries, among community-acquired neonatal </w:t>
            </w:r>
            <w:r w:rsidRPr="00503EB6">
              <w:rPr>
                <w:rFonts w:cs="Arial" w:asciiTheme="minorHAnsi" w:hAnsiTheme="minorHAnsi"/>
                <w:sz w:val="16"/>
                <w:szCs w:val="16"/>
              </w:rPr>
              <w:lastRenderedPageBreak/>
              <w:t xml:space="preserve">bacteraemia, resistance or reduced susceptibility to the combination of penicillin and gentamicin and to third-generation cephalosporins occurs in more than 40% of cases.[5] </w:t>
            </w:r>
          </w:p>
          <w:p w:rsidRPr="00503EB6" w:rsidR="004D00F5" w:rsidP="00FE4186" w:rsidRDefault="004D00F5" w14:paraId="1C162146" w14:textId="77777777">
            <w:pPr>
              <w:pStyle w:val="BodyText"/>
              <w:rPr>
                <w:rFonts w:cs="Arial" w:asciiTheme="minorHAnsi" w:hAnsiTheme="minorHAnsi"/>
                <w:b/>
                <w:sz w:val="16"/>
                <w:szCs w:val="16"/>
              </w:rPr>
            </w:pPr>
          </w:p>
          <w:p w:rsidRPr="00503EB6" w:rsidR="004D00F5" w:rsidP="00FE4186" w:rsidRDefault="004D00F5" w14:paraId="18073DDE" w14:textId="77777777">
            <w:pPr>
              <w:pStyle w:val="BodyText"/>
              <w:rPr>
                <w:rFonts w:cs="Arial" w:asciiTheme="minorHAnsi" w:hAnsiTheme="minorHAnsi"/>
                <w:sz w:val="16"/>
                <w:szCs w:val="16"/>
              </w:rPr>
            </w:pPr>
            <w:r w:rsidRPr="00503EB6">
              <w:rPr>
                <w:rFonts w:cs="Arial" w:asciiTheme="minorHAnsi" w:hAnsiTheme="minorHAnsi"/>
                <w:b/>
                <w:sz w:val="16"/>
                <w:szCs w:val="16"/>
              </w:rPr>
              <w:t xml:space="preserve">Treatment of early onset sepsis: </w:t>
            </w:r>
            <w:r w:rsidRPr="00503EB6">
              <w:rPr>
                <w:rFonts w:cs="Arial" w:asciiTheme="minorHAnsi" w:hAnsiTheme="minorHAnsi"/>
                <w:sz w:val="16"/>
                <w:szCs w:val="16"/>
              </w:rPr>
              <w:t xml:space="preserve">A RCT in 55 infants &lt;48 hours old with suspected sepsis compared penicillin [30 mg/kg/day in two doses] and gentamicin at 6 mg/kg/day in two doses] versus ceftazidime [100 mg/kg/day in two divided doses]. No treatment failure or infant death was reported in either group [6]. [LOE II] A randomised two centre cluster crossover trial in Estonia compared penicillin [15mg/kg 8–12 hourly] + gentamicin [4–5 mg/kg 24–48 hourly] versus ampicillin [25 mg/kg 8–12 hourly] + gentamicin in neonates at risk of early onset sepsis showed similar effectiveness with no difference in change of antibiotics at 72 hours and/or 7 day all-cause mortality. Subgroup analysis reported increased NEC stage III in ELBW infants allocated NEC, but increased mortality in infants born &lt;26 weeks gestation allocated penicillin [7,8]. [LOE III- 2] </w:t>
            </w:r>
            <w:r w:rsidRPr="00503EB6">
              <w:rPr>
                <w:rFonts w:cs="Arial" w:asciiTheme="minorHAnsi" w:hAnsiTheme="minorHAnsi"/>
                <w:b/>
                <w:sz w:val="16"/>
                <w:szCs w:val="16"/>
              </w:rPr>
              <w:t xml:space="preserve">Guidelines: </w:t>
            </w:r>
            <w:r w:rsidRPr="00503EB6">
              <w:rPr>
                <w:rFonts w:cs="Arial" w:asciiTheme="minorHAnsi" w:hAnsiTheme="minorHAnsi"/>
                <w:sz w:val="16"/>
                <w:szCs w:val="16"/>
              </w:rPr>
              <w:t>For early onset neonatal sepsis, guidelines recommend to use benzylpenicillin or ampicillin in combination with an aminoglycoside [4, 9-12]. Dosage recommendations range from benzylpenicillin 50 mg/kg/day (divided doses) [10], 100 mg/kg/day in neonates under 7 days age (divided 12 hourly) [12], to 150 mg/kg/day in neonates aged 7–28 days (divided 8 hourly) [12], Conclusion: Benzylpenicillin has similar efficacy to ampicillin in empirical treatment of early onset sepsis in neonates when combined with an aminoglycoside. [Level II, GOR B]</w:t>
            </w:r>
          </w:p>
          <w:p w:rsidRPr="00503EB6" w:rsidR="004D00F5" w:rsidP="00FE4186" w:rsidRDefault="004D00F5" w14:paraId="68DD3368" w14:textId="77777777">
            <w:pPr>
              <w:pStyle w:val="BodyText"/>
              <w:rPr>
                <w:rFonts w:cs="Arial" w:asciiTheme="minorHAnsi" w:hAnsiTheme="minorHAnsi"/>
                <w:b/>
                <w:sz w:val="16"/>
                <w:szCs w:val="16"/>
              </w:rPr>
            </w:pPr>
          </w:p>
          <w:p w:rsidRPr="00503EB6" w:rsidR="004D00F5" w:rsidP="00FE4186" w:rsidRDefault="004D00F5" w14:paraId="0909FABF" w14:textId="77777777">
            <w:pPr>
              <w:pStyle w:val="BodyText"/>
              <w:rPr>
                <w:rFonts w:cs="Arial" w:asciiTheme="minorHAnsi" w:hAnsiTheme="minorHAnsi"/>
                <w:b/>
                <w:sz w:val="16"/>
                <w:szCs w:val="16"/>
              </w:rPr>
            </w:pPr>
            <w:r w:rsidRPr="00503EB6">
              <w:rPr>
                <w:rFonts w:cs="Arial" w:asciiTheme="minorHAnsi" w:hAnsiTheme="minorHAnsi"/>
                <w:b/>
                <w:sz w:val="16"/>
                <w:szCs w:val="16"/>
              </w:rPr>
              <w:t>Treatment of late onset sepsis:</w:t>
            </w:r>
            <w:r w:rsidRPr="00503EB6">
              <w:rPr>
                <w:rFonts w:cs="Arial" w:asciiTheme="minorHAnsi" w:hAnsiTheme="minorHAnsi"/>
                <w:sz w:val="16"/>
                <w:szCs w:val="16"/>
              </w:rPr>
              <w:t xml:space="preserve"> A RCT in Malawi in 348 infants &lt;60 days age with possible severe infection reported similar efficacy for</w:t>
            </w:r>
            <w:r w:rsidRPr="00503EB6">
              <w:rPr>
                <w:rFonts w:asciiTheme="minorHAnsi" w:hAnsiTheme="minorHAnsi"/>
                <w:sz w:val="16"/>
                <w:szCs w:val="16"/>
              </w:rPr>
              <w:t xml:space="preserve"> </w:t>
            </w:r>
            <w:r w:rsidRPr="00503EB6">
              <w:rPr>
                <w:rFonts w:cs="Arial" w:asciiTheme="minorHAnsi" w:hAnsiTheme="minorHAnsi"/>
                <w:sz w:val="16"/>
                <w:szCs w:val="16"/>
              </w:rPr>
              <w:t>benzylpenicillin [30 mg/kg 8 hourly IV or 60 mg/kg 8 hourly IV for bacterial meningitis] and gentamicin [6 mg/kg IV daily] versus ceftriaxone [50–100 mg/kg IV once daily depending on age] for 5–14 days as first-line treatment. Mortality and sequelae were similar in both groups [13]. [LOE II]</w:t>
            </w:r>
            <w:r w:rsidRPr="00503EB6">
              <w:rPr>
                <w:rFonts w:cs="Arial" w:asciiTheme="minorHAnsi" w:hAnsiTheme="minorHAnsi"/>
                <w:b/>
                <w:sz w:val="16"/>
                <w:szCs w:val="16"/>
              </w:rPr>
              <w:t xml:space="preserve">  </w:t>
            </w:r>
            <w:r w:rsidRPr="00503EB6">
              <w:rPr>
                <w:rFonts w:cs="Arial" w:asciiTheme="minorHAnsi" w:hAnsiTheme="minorHAnsi"/>
                <w:sz w:val="16"/>
                <w:szCs w:val="16"/>
              </w:rPr>
              <w:t>For infants &lt;60 days age with signs of clinical severe infection but without signs of critical illness, several RCTs in developing countries have assessed the efficacy of the WHO recommendations of penicillin or ampicillin in combination with gentamicin for 7 days to other simplified antibiotic regimens requiring fewer days of injections - mostly incorporating a change to oral amoxicillin after 2 days. In all the trials, the simplified regimens were as effective as injectable benzylpenicillin–gentamicin for 7 days on an outpatient basis in young infants with clinical signs of severe infection, without signs of critical illness [14,16]. Another trial in Pakistan in 434 infants &lt; 60 days age with possible serious bacterial infection reported procaine penicillin-gentamicin (both IM) was superior to oral trimethoprim-sulfamethoxazole-IM gentamicin [17].</w:t>
            </w:r>
            <w:r w:rsidRPr="00503EB6">
              <w:rPr>
                <w:rFonts w:cs="Arial" w:asciiTheme="minorHAnsi" w:hAnsiTheme="minorHAnsi"/>
                <w:b/>
                <w:sz w:val="16"/>
                <w:szCs w:val="16"/>
              </w:rPr>
              <w:t xml:space="preserve"> </w:t>
            </w:r>
            <w:r w:rsidRPr="00503EB6">
              <w:rPr>
                <w:rFonts w:cs="Arial" w:asciiTheme="minorHAnsi" w:hAnsiTheme="minorHAnsi"/>
                <w:sz w:val="16"/>
                <w:szCs w:val="16"/>
              </w:rPr>
              <w:t>[LOE II] For infants &lt;60 days without critical illness but with fast breathing, an RCT in Pakistan reported use of a placebo resulted in worse outcomes compared to oral amoxicillin [18]. A large RCT in 3 African countries reported that oral amoxicillin was as effective as injectable procaine benzylpenicillin plus gentamicin for treatment infants &lt;60 days age with fast breathing when referral is not possible.[19]</w:t>
            </w:r>
            <w:r w:rsidRPr="00503EB6">
              <w:rPr>
                <w:rFonts w:cs="Arial" w:asciiTheme="minorHAnsi" w:hAnsiTheme="minorHAnsi"/>
                <w:b/>
                <w:sz w:val="16"/>
                <w:szCs w:val="16"/>
              </w:rPr>
              <w:t xml:space="preserve"> </w:t>
            </w:r>
            <w:r w:rsidRPr="00503EB6">
              <w:rPr>
                <w:rFonts w:cs="Arial" w:asciiTheme="minorHAnsi" w:hAnsiTheme="minorHAnsi"/>
                <w:sz w:val="16"/>
                <w:szCs w:val="16"/>
              </w:rPr>
              <w:t xml:space="preserve">[LOE II] </w:t>
            </w:r>
            <w:r w:rsidRPr="00503EB6">
              <w:rPr>
                <w:rFonts w:cs="Arial" w:asciiTheme="minorHAnsi" w:hAnsiTheme="minorHAnsi"/>
                <w:b/>
                <w:sz w:val="16"/>
                <w:szCs w:val="16"/>
              </w:rPr>
              <w:t>Guidelines:</w:t>
            </w:r>
            <w:r w:rsidRPr="00503EB6">
              <w:rPr>
                <w:rFonts w:cs="Arial" w:asciiTheme="minorHAnsi" w:hAnsiTheme="minorHAnsi"/>
                <w:sz w:val="16"/>
                <w:szCs w:val="16"/>
              </w:rPr>
              <w:t xml:space="preserve"> WHO guidelines recommend that neonates with signs of sepsis should be treated with ampicillin or penicillin and gentamicin as the first line antibiotic treatment for at least 10 days.[4] Current guidelines in developed countries do not recommend use of benzylpenicillin for late onset sepsis. [9-12]</w:t>
            </w:r>
          </w:p>
          <w:p w:rsidRPr="00503EB6" w:rsidR="004D00F5" w:rsidP="00FE4186" w:rsidRDefault="004D00F5" w14:paraId="5EE51C52" w14:textId="77777777">
            <w:pPr>
              <w:pStyle w:val="BodyText"/>
              <w:rPr>
                <w:rFonts w:cs="Arial" w:asciiTheme="minorHAnsi" w:hAnsiTheme="minorHAnsi"/>
                <w:sz w:val="16"/>
                <w:szCs w:val="16"/>
              </w:rPr>
            </w:pPr>
          </w:p>
          <w:p w:rsidRPr="00503EB6" w:rsidR="004D00F5" w:rsidP="00FE4186" w:rsidRDefault="004D00F5" w14:paraId="167C52B4" w14:textId="77777777">
            <w:pPr>
              <w:pStyle w:val="BodyText"/>
              <w:rPr>
                <w:rFonts w:cs="Arial" w:asciiTheme="minorHAnsi" w:hAnsiTheme="minorHAnsi"/>
                <w:sz w:val="16"/>
                <w:szCs w:val="16"/>
              </w:rPr>
            </w:pPr>
            <w:r w:rsidRPr="00503EB6">
              <w:rPr>
                <w:rFonts w:cs="Arial" w:asciiTheme="minorHAnsi" w:hAnsiTheme="minorHAnsi"/>
                <w:b/>
                <w:sz w:val="16"/>
                <w:szCs w:val="16"/>
              </w:rPr>
              <w:t xml:space="preserve">Treatment of meningitis:  </w:t>
            </w:r>
            <w:r w:rsidRPr="00503EB6">
              <w:rPr>
                <w:rFonts w:cs="Arial" w:asciiTheme="minorHAnsi" w:hAnsiTheme="minorHAnsi"/>
                <w:sz w:val="16"/>
                <w:szCs w:val="16"/>
              </w:rPr>
              <w:t>In developed country settings, current guidelines [9-11] do not recommend benzylpenicillin as empiric treatment of meningitis due to relatively poor CSF penetration of benzylpenicillin [20] and the high incidence of resistance to benzylpenicillin / gentamicin combinations [5]. Where used, higher dosages of benzylpenicillin [60 mg/kg 8 hourly IV] have been given [13]. For infants in whom GBS has been isolated from CSF, high dose benzylpenicillin [21] or cefotaxime [9,10,21] may be used. [LOE II GOR B]</w:t>
            </w:r>
          </w:p>
          <w:p w:rsidRPr="00503EB6" w:rsidR="004D00F5" w:rsidP="00FE4186" w:rsidRDefault="004D00F5" w14:paraId="3A7D7FDC" w14:textId="77777777">
            <w:pPr>
              <w:pStyle w:val="BodyText"/>
              <w:rPr>
                <w:rFonts w:cs="Arial" w:asciiTheme="minorHAnsi" w:hAnsiTheme="minorHAnsi"/>
                <w:sz w:val="16"/>
                <w:szCs w:val="16"/>
              </w:rPr>
            </w:pPr>
          </w:p>
          <w:p w:rsidRPr="00503EB6" w:rsidR="004D00F5" w:rsidP="00FE4186" w:rsidRDefault="004D00F5" w14:paraId="7B9EE4CC" w14:textId="77777777">
            <w:pPr>
              <w:pStyle w:val="BodyText"/>
              <w:rPr>
                <w:rFonts w:cs="Arial" w:asciiTheme="minorHAnsi" w:hAnsiTheme="minorHAnsi"/>
                <w:sz w:val="16"/>
                <w:szCs w:val="16"/>
              </w:rPr>
            </w:pPr>
            <w:r w:rsidRPr="00503EB6">
              <w:rPr>
                <w:rFonts w:cs="Arial" w:asciiTheme="minorHAnsi" w:hAnsiTheme="minorHAnsi"/>
                <w:b/>
                <w:sz w:val="16"/>
                <w:szCs w:val="16"/>
              </w:rPr>
              <w:t xml:space="preserve">Treatment of congenital syphilis: </w:t>
            </w:r>
            <w:r w:rsidRPr="00503EB6">
              <w:rPr>
                <w:rFonts w:cs="Arial" w:asciiTheme="minorHAnsi" w:hAnsiTheme="minorHAnsi"/>
                <w:sz w:val="16"/>
                <w:szCs w:val="16"/>
              </w:rPr>
              <w:t>Azimi et al compared penicillin concentrations in CSF in infants undergoing therapy for congenital syphilis receiving aqueous penicillin G 60 mg/kg/day IV 12 hourly (23 infants), 120 mg/kg/day (40 infants), or procaine penicillin G 30 mg/kg/day IM (100 infants). Mean CSF penicillin levels were 0.416, 0.493 and 0.077 µg/mL respectively. All patients who received aqueous penicillin G, but only 82% of those from patients who received procaine penicillin G, had treponemicidal concentrations &gt;0.018 µg/mL, and 33.3% of those who received procaine penicillin G had CSF penicillin concentrations &lt;0.018 µg/mL 18 and 24 hours after a dose. [20] Two RCTs have reported use of benzathine benzylpenicillin 30 mg/kg IM as treatment of asymptomatic newborns at high risk of congenital syphilis. No treatment failures were reported [22,23]. [LOE II GOR D]</w:t>
            </w:r>
            <w:r w:rsidRPr="00503EB6">
              <w:rPr>
                <w:rFonts w:cs="Arial" w:asciiTheme="minorHAnsi" w:hAnsiTheme="minorHAnsi"/>
                <w:b/>
                <w:sz w:val="16"/>
                <w:szCs w:val="16"/>
              </w:rPr>
              <w:t xml:space="preserve"> Guidelines: </w:t>
            </w:r>
            <w:r w:rsidRPr="00503EB6">
              <w:rPr>
                <w:rFonts w:cs="Arial" w:asciiTheme="minorHAnsi" w:hAnsiTheme="minorHAnsi"/>
                <w:sz w:val="16"/>
                <w:szCs w:val="16"/>
              </w:rPr>
              <w:t>ASID 2014 guidelines recommend benzylpenicillin 50 mg/kg 12 hourly IV for 10 days or procaine penicillin 50 mg/kg IM for 10 days for infants with or at high risk of congenital syphilis [11]. Centres for disease control and prevention 2015 guidelines recommend aqueous crystalline penicillin G 100,000–150,000 units/kg/day, administered as 50,000 units/kg/dose (30 mg/kg/dose) IV every 12 hours during the first 7 days of life and every 8 hours thereafter for a total of 10 days [31]. [LOE IV GOR B]</w:t>
            </w:r>
          </w:p>
          <w:p w:rsidRPr="00503EB6" w:rsidR="004D00F5" w:rsidP="00FE4186" w:rsidRDefault="004D00F5" w14:paraId="19BC6A10" w14:textId="77777777">
            <w:pPr>
              <w:pStyle w:val="BodyText"/>
              <w:rPr>
                <w:rFonts w:cs="Arial" w:asciiTheme="minorHAnsi" w:hAnsiTheme="minorHAnsi"/>
                <w:b/>
                <w:sz w:val="16"/>
                <w:szCs w:val="16"/>
              </w:rPr>
            </w:pPr>
            <w:r w:rsidRPr="00503EB6">
              <w:rPr>
                <w:rFonts w:cs="Arial" w:asciiTheme="minorHAnsi" w:hAnsiTheme="minorHAnsi"/>
                <w:b/>
                <w:sz w:val="16"/>
                <w:szCs w:val="16"/>
              </w:rPr>
              <w:t xml:space="preserve">Safety: </w:t>
            </w:r>
            <w:r w:rsidRPr="00503EB6">
              <w:rPr>
                <w:rFonts w:cs="Arial" w:asciiTheme="minorHAnsi" w:hAnsiTheme="minorHAnsi"/>
                <w:sz w:val="16"/>
                <w:szCs w:val="16"/>
              </w:rPr>
              <w:t xml:space="preserve">Trials have generally reported uncommon adverse events attributable to benzyl penicillin [14,15,19] with diarrhoea occurring in 0.4% of infants treated with a penicillin / gentamicin combination [15]. </w:t>
            </w:r>
            <w:r w:rsidRPr="00503EB6">
              <w:rPr>
                <w:rFonts w:asciiTheme="minorHAnsi" w:hAnsiTheme="minorHAnsi"/>
                <w:sz w:val="16"/>
                <w:szCs w:val="16"/>
              </w:rPr>
              <w:t>N</w:t>
            </w:r>
            <w:r w:rsidRPr="00503EB6">
              <w:rPr>
                <w:rFonts w:cs="Arial" w:asciiTheme="minorHAnsi" w:hAnsiTheme="minorHAnsi"/>
                <w:sz w:val="16"/>
                <w:szCs w:val="16"/>
              </w:rPr>
              <w:t xml:space="preserve">o cases of Stevens-Johnson syndrome, anaphylaxis or acute renal failure were reported in infants. An intramuscular injection abscess has been reported after procaine benzylpenicillin–gentamicin [14]. Seizures after high doses and rapid infusion have been reported in other patient populations. </w:t>
            </w:r>
          </w:p>
          <w:p w:rsidRPr="00503EB6" w:rsidR="004D00F5" w:rsidP="00FE4186" w:rsidRDefault="004D00F5" w14:paraId="6C3D9657" w14:textId="77777777">
            <w:pPr>
              <w:pStyle w:val="BodyText"/>
              <w:tabs>
                <w:tab w:val="left" w:pos="1168"/>
              </w:tabs>
              <w:rPr>
                <w:rFonts w:asciiTheme="minorHAnsi" w:hAnsiTheme="minorHAnsi" w:cstheme="minorHAnsi"/>
                <w:sz w:val="16"/>
                <w:szCs w:val="16"/>
              </w:rPr>
            </w:pPr>
            <w:r w:rsidRPr="00503EB6">
              <w:rPr>
                <w:rFonts w:cs="Arial" w:asciiTheme="minorHAnsi" w:hAnsiTheme="minorHAnsi"/>
                <w:b/>
                <w:sz w:val="16"/>
                <w:szCs w:val="16"/>
              </w:rPr>
              <w:t>Pharmacokinetics:</w:t>
            </w:r>
            <w:r w:rsidRPr="00503EB6">
              <w:rPr>
                <w:rFonts w:cs="Arial" w:asciiTheme="minorHAnsi" w:hAnsiTheme="minorHAnsi"/>
                <w:sz w:val="16"/>
                <w:szCs w:val="16"/>
              </w:rPr>
              <w:t xml:space="preserve"> Metsvaht et al in infants born</w:t>
            </w:r>
            <w:r w:rsidRPr="00503EB6">
              <w:rPr>
                <w:rFonts w:asciiTheme="minorHAnsi" w:hAnsiTheme="minorHAnsi"/>
                <w:sz w:val="16"/>
                <w:szCs w:val="16"/>
              </w:rPr>
              <w:t xml:space="preserve"> </w:t>
            </w:r>
            <w:r w:rsidRPr="00503EB6">
              <w:rPr>
                <w:rFonts w:cs="Arial" w:asciiTheme="minorHAnsi" w:hAnsiTheme="minorHAnsi"/>
                <w:sz w:val="16"/>
                <w:szCs w:val="16"/>
              </w:rPr>
              <w:t xml:space="preserve">gestational ages &lt; 28 weeks and birth weights &lt; 1,200 g reported the median peak and trough concentrations of were 147 µg/ and 7 µg/ml after administration of 30 mg/kg and 59 µg/ml and 3 µg/ml after administration of 15 mg/kg. The half-life averaged 3.9 hours for the lower dose and 4.6 hours for the higher dose group, longer in VLBW neonates than in adults and term infants. Renal clearance correlated with creatinine. 34% of the dose was excreted in urine within 12 hours. </w:t>
            </w:r>
            <w:r w:rsidRPr="00503EB6">
              <w:rPr>
                <w:rFonts w:asciiTheme="minorHAnsi" w:hAnsiTheme="minorHAnsi"/>
                <w:sz w:val="16"/>
                <w:szCs w:val="16"/>
              </w:rPr>
              <w:t xml:space="preserve"> A </w:t>
            </w:r>
            <w:r w:rsidRPr="00503EB6">
              <w:rPr>
                <w:rFonts w:cs="Arial" w:asciiTheme="minorHAnsi" w:hAnsiTheme="minorHAnsi"/>
                <w:sz w:val="16"/>
                <w:szCs w:val="16"/>
              </w:rPr>
              <w:t>dose of 15 mg/kg 12 hourly was sufficient to achieve serum concentrations above the MIC (90) for group B streptococci for the entire dosing interval. [24] Muller et al in infants born gestational age &lt;32 weeks on day 3 reported a half-life 3.9 hours with increased clearance with increasing birth weight. A dosing regimen of 30 mg/kg every 12 hours was reported as adequate for the treatment of common infections. [25] However, due to relatively poor CSF penetration of penicillin [20], higher doses are required in infants at risk of meningitis [see above]. Six hourly dosing is recommended for infants with postmenstrual age ≥ 45 weeks [26].</w:t>
            </w:r>
          </w:p>
        </w:tc>
      </w:tr>
      <w:tr w:rsidRPr="003B78EA" w:rsidR="004D00F5" w:rsidTr="00503EB6" w14:paraId="10E355C3" w14:textId="77777777">
        <w:trPr>
          <w:trHeight w:val="263"/>
        </w:trPr>
        <w:tc>
          <w:tcPr>
            <w:tcW w:w="828" w:type="pct"/>
          </w:tcPr>
          <w:p w:rsidRPr="003B78EA" w:rsidR="004D00F5" w:rsidP="00FE4186" w:rsidRDefault="004D00F5" w14:paraId="2DE7CF31"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Practice points</w:t>
            </w:r>
          </w:p>
        </w:tc>
        <w:tc>
          <w:tcPr>
            <w:tcW w:w="4172" w:type="pct"/>
          </w:tcPr>
          <w:p w:rsidRPr="00503EB6" w:rsidR="004D00F5" w:rsidP="00FE4186" w:rsidRDefault="004D00F5" w14:paraId="310466AA" w14:textId="77777777">
            <w:pPr>
              <w:pStyle w:val="BodyText"/>
              <w:tabs>
                <w:tab w:val="left" w:pos="1168"/>
              </w:tabs>
              <w:rPr>
                <w:rFonts w:asciiTheme="minorHAnsi" w:hAnsiTheme="minorHAnsi" w:cstheme="minorHAnsi"/>
                <w:sz w:val="16"/>
                <w:szCs w:val="16"/>
              </w:rPr>
            </w:pPr>
          </w:p>
        </w:tc>
      </w:tr>
      <w:tr w:rsidRPr="003B78EA" w:rsidR="004D00F5" w:rsidTr="00503EB6" w14:paraId="737E84D6" w14:textId="77777777">
        <w:trPr>
          <w:trHeight w:val="263"/>
        </w:trPr>
        <w:tc>
          <w:tcPr>
            <w:tcW w:w="828" w:type="pct"/>
          </w:tcPr>
          <w:p w:rsidRPr="003B78EA" w:rsidR="004D00F5" w:rsidP="00FE4186" w:rsidRDefault="004D00F5" w14:paraId="7C5DD0AF"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172" w:type="pct"/>
          </w:tcPr>
          <w:p w:rsidRPr="00503EB6" w:rsidR="004D00F5" w:rsidP="00FE4186" w:rsidRDefault="004D00F5" w14:paraId="361BC847" w14:textId="77777777">
            <w:pPr>
              <w:pStyle w:val="NoSpacing"/>
              <w:rPr>
                <w:sz w:val="16"/>
                <w:szCs w:val="16"/>
              </w:rPr>
            </w:pPr>
            <w:r w:rsidRPr="00503EB6">
              <w:rPr>
                <w:sz w:val="16"/>
                <w:szCs w:val="16"/>
              </w:rPr>
              <w:t>1. Seale AC, Bianchi-Jassir F, Russell NJ, Kohli-Lynch M, Tann CJ, Hall J, Madrid L, Blencowe H, Cousens S, Baker CJ, Bartlett L, Cutland C, Gravett MG, Heath PT, Ip M, Le Doare K, Madhi SA, Rubens CE, Saha SK, Schrag SJ, Sobanjo-Ter Meulen A, Vekemans J, Lawn JE. Estimates of the Burden of Group B Streptococcal Disease Worldwide for Pregnant Women, Stillbirths, and Children. Clin Infect Dis. 2017;65:S200-S19.</w:t>
            </w:r>
          </w:p>
          <w:p w:rsidRPr="00503EB6" w:rsidR="004D00F5" w:rsidP="00FE4186" w:rsidRDefault="004D00F5" w14:paraId="62DF2BA0" w14:textId="77777777">
            <w:pPr>
              <w:pStyle w:val="NoSpacing"/>
              <w:rPr>
                <w:sz w:val="16"/>
                <w:szCs w:val="16"/>
              </w:rPr>
            </w:pPr>
            <w:r w:rsidRPr="00503EB6">
              <w:rPr>
                <w:sz w:val="16"/>
                <w:szCs w:val="16"/>
              </w:rPr>
              <w:t>2. Stoll BJ, Hansen NI, Sanchez PJ, Faix RG, Poindexter BB, Van Meurs KP, Bizzarro MJ, Goldberg RN, Frantz ID, 3rd, Hale EC, Shankaran S, Kennedy K, Carlo WA, Watterberg KL, Bell EF, Walsh MC, Schibler K, Laptook AR, Shane AL, Schrag SJ, Das A, Higgins RD, Eunice Kennedy Shriver National Institute of Child H, Human Development Neonatal Research N. Early onset neonatal sepsis: the burden of group B Streptococcal and E. coli disease continues.[Erratum appears in Pediatrics. 2011 Aug;128(2):390]. Pediatrics. 2011;127:817-26.</w:t>
            </w:r>
          </w:p>
          <w:p w:rsidRPr="00503EB6" w:rsidR="004D00F5" w:rsidP="00FE4186" w:rsidRDefault="004D00F5" w14:paraId="26997F2E" w14:textId="77777777">
            <w:pPr>
              <w:pStyle w:val="NoSpacing"/>
              <w:rPr>
                <w:sz w:val="16"/>
                <w:szCs w:val="16"/>
              </w:rPr>
            </w:pPr>
            <w:r w:rsidRPr="00503EB6">
              <w:rPr>
                <w:sz w:val="16"/>
                <w:szCs w:val="16"/>
              </w:rPr>
              <w:t>3. Capanna F, Emonet SP, Cherkaoui A, Irion O, Schrenzel J, Martinez de Tejada B. Antibiotic resistance patterns among group B Streptococcus isolates: implications for antibiotic prophylaxis for early-onset neonatal sepsis. Swiss Med Wkly. 2013;143:w13778.</w:t>
            </w:r>
          </w:p>
          <w:p w:rsidRPr="00503EB6" w:rsidR="004D00F5" w:rsidP="00FE4186" w:rsidRDefault="004D00F5" w14:paraId="69B0CA52" w14:textId="77777777">
            <w:pPr>
              <w:pStyle w:val="NoSpacing"/>
              <w:rPr>
                <w:sz w:val="16"/>
                <w:szCs w:val="16"/>
              </w:rPr>
            </w:pPr>
            <w:r w:rsidRPr="00503EB6">
              <w:rPr>
                <w:sz w:val="16"/>
                <w:szCs w:val="16"/>
              </w:rPr>
              <w:t>4. WHO recommendations on newborn health: guidelines approved by the WHO Guidelines Review Committee. Geneva: World Health Organization; 2017 (WHO/MCA/17.07). Licence: CC BY-NC-SA 3.0 IGO.</w:t>
            </w:r>
          </w:p>
          <w:p w:rsidRPr="00503EB6" w:rsidR="004D00F5" w:rsidP="00FE4186" w:rsidRDefault="004D00F5" w14:paraId="3E4E97FC" w14:textId="77777777">
            <w:pPr>
              <w:pStyle w:val="NoSpacing"/>
              <w:rPr>
                <w:sz w:val="16"/>
                <w:szCs w:val="16"/>
              </w:rPr>
            </w:pPr>
            <w:r w:rsidRPr="00503EB6">
              <w:rPr>
                <w:sz w:val="16"/>
                <w:szCs w:val="16"/>
              </w:rPr>
              <w:t>5. Downie L, Armiento R, Subhi R, Kelly J, Clifford V, Duke T. Community-acquired neonatal and infant sepsis in developing countries: efficacy of WHO's currently recommended antibiotics--systematic review and meta-analysis. Arch Dis Child. 2013;98:146-54.</w:t>
            </w:r>
          </w:p>
          <w:p w:rsidRPr="00503EB6" w:rsidR="004D00F5" w:rsidP="00FE4186" w:rsidRDefault="004D00F5" w14:paraId="68298379" w14:textId="77777777">
            <w:pPr>
              <w:pStyle w:val="NoSpacing"/>
              <w:rPr>
                <w:sz w:val="16"/>
                <w:szCs w:val="16"/>
              </w:rPr>
            </w:pPr>
            <w:r w:rsidRPr="00503EB6">
              <w:rPr>
                <w:sz w:val="16"/>
                <w:szCs w:val="16"/>
              </w:rPr>
              <w:t>6. Snelling S, Hart CA, Cooke RW. Ceftazidime or gentamicin plus benzylpenicillin in neonates less than forty-eight hours old. J Antimicrob Chemother. 1983;12 Suppl A:353-6.</w:t>
            </w:r>
          </w:p>
          <w:p w:rsidRPr="00503EB6" w:rsidR="004D00F5" w:rsidP="00FE4186" w:rsidRDefault="004D00F5" w14:paraId="1BA5AC80" w14:textId="77777777">
            <w:pPr>
              <w:pStyle w:val="NoSpacing"/>
              <w:rPr>
                <w:sz w:val="16"/>
                <w:szCs w:val="16"/>
              </w:rPr>
            </w:pPr>
            <w:r w:rsidRPr="00503EB6">
              <w:rPr>
                <w:sz w:val="16"/>
                <w:szCs w:val="16"/>
              </w:rPr>
              <w:t>7. Metsvaht T, Ilmoja ML, Parm U, Maipuu L, Merila M, Lutsar I. Comparison of ampicillin plus gentamicin vs. penicillin plus gentamicin in empiric treatment of neonates at risk of early onset sepsis. Acta Paediatr. 2010;99:665-72.</w:t>
            </w:r>
          </w:p>
          <w:p w:rsidRPr="00503EB6" w:rsidR="004D00F5" w:rsidP="00FE4186" w:rsidRDefault="004D00F5" w14:paraId="3DD7616C" w14:textId="77777777">
            <w:pPr>
              <w:pStyle w:val="NoSpacing"/>
              <w:rPr>
                <w:sz w:val="16"/>
                <w:szCs w:val="16"/>
              </w:rPr>
            </w:pPr>
            <w:r w:rsidRPr="00503EB6">
              <w:rPr>
                <w:sz w:val="16"/>
                <w:szCs w:val="16"/>
              </w:rPr>
              <w:t>8. Metsvaht T, Ilmoja ML, Parm U, Merila M, Maipuu L, Muursepp P, Julge K, Sepp E, Lutsar I. Ampicillin versus penicillin in the empiric therapy of extremely low-birthweight neonates at risk of early onset sepsis. Pediatr Int. 2011;53:873-80.</w:t>
            </w:r>
          </w:p>
          <w:p w:rsidRPr="00503EB6" w:rsidR="004D00F5" w:rsidP="00FE4186" w:rsidRDefault="004D00F5" w14:paraId="0AC14B8C" w14:textId="77777777">
            <w:pPr>
              <w:pStyle w:val="NoSpacing"/>
              <w:rPr>
                <w:sz w:val="16"/>
                <w:szCs w:val="16"/>
              </w:rPr>
            </w:pPr>
            <w:r w:rsidRPr="00503EB6">
              <w:rPr>
                <w:sz w:val="16"/>
                <w:szCs w:val="16"/>
              </w:rPr>
              <w:t>9. Clinical Excellence Commission, 2018, Newborn Antibiotic Guideline for early and late onset sepsis during birth episode of care. Revised June 2018. Sydney: Clinical Excellence Commission.</w:t>
            </w:r>
          </w:p>
          <w:p w:rsidRPr="00503EB6" w:rsidR="004D00F5" w:rsidP="00FE4186" w:rsidRDefault="004D00F5" w14:paraId="347BEF22" w14:textId="77777777">
            <w:pPr>
              <w:pStyle w:val="NoSpacing"/>
              <w:rPr>
                <w:sz w:val="16"/>
                <w:szCs w:val="16"/>
              </w:rPr>
            </w:pPr>
            <w:r w:rsidRPr="00503EB6">
              <w:rPr>
                <w:sz w:val="16"/>
                <w:szCs w:val="16"/>
              </w:rPr>
              <w:t>10. NICE Clinical guideline 2012. Neonatal infection (early onset): antibiotics for prevention and treatment. nice.org.uk/guidance/cg149.</w:t>
            </w:r>
          </w:p>
          <w:p w:rsidRPr="00503EB6" w:rsidR="004D00F5" w:rsidP="00FE4186" w:rsidRDefault="004D00F5" w14:paraId="1191CAD0" w14:textId="77777777">
            <w:pPr>
              <w:pStyle w:val="NoSpacing"/>
              <w:rPr>
                <w:sz w:val="16"/>
                <w:szCs w:val="16"/>
              </w:rPr>
            </w:pPr>
            <w:r w:rsidRPr="00503EB6">
              <w:rPr>
                <w:sz w:val="16"/>
                <w:szCs w:val="16"/>
              </w:rPr>
              <w:t>11. Australasian Society for Infectious Diseases. Management of Perinatal Infections guideline. 2014.</w:t>
            </w:r>
          </w:p>
          <w:p w:rsidRPr="00503EB6" w:rsidR="004D00F5" w:rsidP="00FE4186" w:rsidRDefault="004D00F5" w14:paraId="211E50C7" w14:textId="77777777">
            <w:pPr>
              <w:pStyle w:val="NoSpacing"/>
              <w:rPr>
                <w:sz w:val="16"/>
                <w:szCs w:val="16"/>
              </w:rPr>
            </w:pPr>
            <w:r w:rsidRPr="00503EB6">
              <w:rPr>
                <w:sz w:val="16"/>
                <w:szCs w:val="16"/>
              </w:rPr>
              <w:t>12. The British National Formulary for Children. 2018. https://about.medicinescomplete.com/.</w:t>
            </w:r>
          </w:p>
          <w:p w:rsidRPr="00503EB6" w:rsidR="004D00F5" w:rsidP="00FE4186" w:rsidRDefault="004D00F5" w14:paraId="230D9326" w14:textId="77777777">
            <w:pPr>
              <w:pStyle w:val="NoSpacing"/>
              <w:rPr>
                <w:sz w:val="16"/>
                <w:szCs w:val="16"/>
              </w:rPr>
            </w:pPr>
            <w:r w:rsidRPr="00503EB6">
              <w:rPr>
                <w:sz w:val="16"/>
                <w:szCs w:val="16"/>
              </w:rPr>
              <w:t>13. Molyneux EM, Dube Q, Banda FM, Chiume M, Singini I, Mallewa M, Schwalbe EC, Heyderman RS. The Treatment of Possible Severe Infection in Infants: An Open Randomized Safety Trial of Parenteral Benzylpenicillin and Gentamicin Versus Ceftriaxone in Infants &lt;60 days of Age in Malawi. Pediatr Infect Dis J. 2017;36:e328-e33.</w:t>
            </w:r>
          </w:p>
          <w:p w:rsidRPr="00503EB6" w:rsidR="004D00F5" w:rsidP="00FE4186" w:rsidRDefault="004D00F5" w14:paraId="5AD2DCC3" w14:textId="77777777">
            <w:pPr>
              <w:pStyle w:val="NoSpacing"/>
              <w:rPr>
                <w:sz w:val="16"/>
                <w:szCs w:val="16"/>
              </w:rPr>
            </w:pPr>
            <w:r w:rsidRPr="00503EB6">
              <w:rPr>
                <w:sz w:val="16"/>
                <w:szCs w:val="16"/>
              </w:rPr>
              <w:t>14. African Neonatal Sepsis Trial g, Tshefu A, Lokangaka A, Ngaima S, Engmann C, Esamai F, Gisore P, Ayede AI, Falade AG, Adejuyigbe EA, Anyabolu CH, Wammanda RD, Ejembi CL, Ogala WN, Gram L, Cousens S. Simplified antibiotic regimens compared with injectable procaine benzylpenicillin plus gentamicin for treatment of neonates and young infants with clinical signs of possible serious bacterial infection when referral is not possible: a randomised, open-label, equivalence trial. Lancet. 2015;385:1767-76.</w:t>
            </w:r>
          </w:p>
          <w:p w:rsidRPr="00503EB6" w:rsidR="004D00F5" w:rsidP="00FE4186" w:rsidRDefault="004D00F5" w14:paraId="666C1B60" w14:textId="77777777">
            <w:pPr>
              <w:pStyle w:val="NoSpacing"/>
              <w:rPr>
                <w:sz w:val="16"/>
                <w:szCs w:val="16"/>
              </w:rPr>
            </w:pPr>
            <w:r w:rsidRPr="00503EB6">
              <w:rPr>
                <w:sz w:val="16"/>
                <w:szCs w:val="16"/>
              </w:rPr>
              <w:t>15. Baqui AH, Saha SK, Ahmed AS, Shahidullah M, Quasem I, Roth DE, Samsuzzaman AK, Ahmed W, Tabib SM, Mitra DK, Begum N, Islam M, Mahmud A, Rahman MH, Moin MI, Mullany LC, Cousens S, El Arifeen S, Wall S, Brandes N, Santosham M, Black RE, Projahnmo Study Group in B. Safety and efficacy of alternative antibiotic regimens compared with 7 day injectable procaine benzylpenicillin and gentamicin for outpatient treatment of neonates and young infants with clinical signs of severe infection when referral is not possible: a randomised, open-label, equivalence trial. Lancet Glob Health. 2015;3:e279-87.</w:t>
            </w:r>
          </w:p>
          <w:p w:rsidRPr="00503EB6" w:rsidR="004D00F5" w:rsidP="00FE4186" w:rsidRDefault="004D00F5" w14:paraId="5C631959" w14:textId="77777777">
            <w:pPr>
              <w:pStyle w:val="NoSpacing"/>
              <w:rPr>
                <w:sz w:val="16"/>
                <w:szCs w:val="16"/>
              </w:rPr>
            </w:pPr>
            <w:r w:rsidRPr="00503EB6">
              <w:rPr>
                <w:sz w:val="16"/>
                <w:szCs w:val="16"/>
              </w:rPr>
              <w:t>16. Mir F, Nisar I, Tikmani SS, Baloch B, Shakoor S, Jehan F, Ahmed I, Cousens S, Zaidi AK. Simplified antibiotic regimens for treatment of clinical severe infection in the outpatient setting when referral is not possible for young infants in Pakistan (Simplified Antibiotic Therapy Trial [SATT]): a randomised, open-label, equivalence trial. Lancet Glob Health. 2017;5:e177-e85.</w:t>
            </w:r>
          </w:p>
          <w:p w:rsidRPr="00503EB6" w:rsidR="004D00F5" w:rsidP="00FE4186" w:rsidRDefault="004D00F5" w14:paraId="60D0659D" w14:textId="77777777">
            <w:pPr>
              <w:pStyle w:val="NoSpacing"/>
              <w:rPr>
                <w:sz w:val="16"/>
                <w:szCs w:val="16"/>
              </w:rPr>
            </w:pPr>
            <w:r w:rsidRPr="00503EB6">
              <w:rPr>
                <w:sz w:val="16"/>
                <w:szCs w:val="16"/>
              </w:rPr>
              <w:t>17. Zaidi AK, Tikmani SS, Sultana S, Baloch B, Kazi M, Rehman H, Karimi K, Jehan F, Ahmed I, Cousens S. Simplified antibiotic regimens for the management of clinically diagnosed severe infections in newborns and young infants in first-level facilities in Karachi, Pakistan: study design for an outpatient randomized controlled equivalence trial. Pediatr Infect Dis J. 2013;32 Suppl 1:S19-25.</w:t>
            </w:r>
          </w:p>
          <w:p w:rsidRPr="00503EB6" w:rsidR="004D00F5" w:rsidP="00FE4186" w:rsidRDefault="004D00F5" w14:paraId="35D722A9" w14:textId="77777777">
            <w:pPr>
              <w:pStyle w:val="NoSpacing"/>
              <w:rPr>
                <w:sz w:val="16"/>
                <w:szCs w:val="16"/>
              </w:rPr>
            </w:pPr>
            <w:r w:rsidRPr="00503EB6">
              <w:rPr>
                <w:sz w:val="16"/>
                <w:szCs w:val="16"/>
              </w:rPr>
              <w:t>18. Tikmani SS, Muhammad AA, Shafiq Y, Shah S, Kumar N, Ahmed I, Azam I, Pasha O, Zaidi AK. Ambulatory Treatment of Fast Breathing in Young Infants Aged &lt;60 Days: A Double-Blind, Randomized, Placebo-Controlled Equivalence Trial in Low-Income Settlements of Karachi. Clin Infect Dis. 2017;64:184-9.</w:t>
            </w:r>
          </w:p>
          <w:p w:rsidRPr="00503EB6" w:rsidR="004D00F5" w:rsidP="00FE4186" w:rsidRDefault="004D00F5" w14:paraId="19597315" w14:textId="77777777">
            <w:pPr>
              <w:pStyle w:val="NoSpacing"/>
              <w:rPr>
                <w:sz w:val="16"/>
                <w:szCs w:val="16"/>
              </w:rPr>
            </w:pPr>
            <w:r w:rsidRPr="00503EB6">
              <w:rPr>
                <w:sz w:val="16"/>
                <w:szCs w:val="16"/>
              </w:rPr>
              <w:t>19. African Neonatal Sepsis Trial g, Tshefu A, Lokangaka A, Ngaima S, Engmann C, Esamai F, Gisore P, Ayede AI, Falade AG, Adejuyigbe EA, Anyabolu CH, Wammanda RD, Ejembi CL, Ogala WN, Gram L, Cousens S. Oral amoxicillin compared with injectable procaine benzylpenicillin plus gentamicin for treatment of neonates and young infants with fast breathing when referral is not possible: a randomised, open-label, equivalence trial. Lancet. 2015;385:1758-66.</w:t>
            </w:r>
          </w:p>
          <w:p w:rsidRPr="00503EB6" w:rsidR="004D00F5" w:rsidP="00FE4186" w:rsidRDefault="004D00F5" w14:paraId="17A09D43" w14:textId="77777777">
            <w:pPr>
              <w:pStyle w:val="NoSpacing"/>
              <w:rPr>
                <w:sz w:val="16"/>
                <w:szCs w:val="16"/>
              </w:rPr>
            </w:pPr>
            <w:r w:rsidRPr="00503EB6">
              <w:rPr>
                <w:sz w:val="16"/>
                <w:szCs w:val="16"/>
              </w:rPr>
              <w:t>20. Azimi PH, Janner D, Berne P, Fulroth R, Lvoff V, Franklin L, Berman SM. Concentrations of procaine and aqueous penicillin in the cerebrospinal fluid of infants treated for congenital syphilis. J Pediatr. 1994;124:649-53.</w:t>
            </w:r>
          </w:p>
          <w:p w:rsidRPr="00503EB6" w:rsidR="004D00F5" w:rsidP="00FE4186" w:rsidRDefault="004D00F5" w14:paraId="07BDC266" w14:textId="77777777">
            <w:pPr>
              <w:pStyle w:val="NoSpacing"/>
              <w:rPr>
                <w:sz w:val="16"/>
                <w:szCs w:val="16"/>
              </w:rPr>
            </w:pPr>
            <w:r w:rsidRPr="00503EB6">
              <w:rPr>
                <w:sz w:val="16"/>
                <w:szCs w:val="16"/>
              </w:rPr>
              <w:t>21. Clinical Excellence Commission, 2018, Paediatric Antibiotic Guidelines for Severe Sepsis &amp; Septic Shock &amp; Unwell Neonates. Revised July 2018. Sydney: Clinical Excellence Commission.</w:t>
            </w:r>
          </w:p>
          <w:p w:rsidRPr="00503EB6" w:rsidR="004D00F5" w:rsidP="00FE4186" w:rsidRDefault="004D00F5" w14:paraId="15D7793B" w14:textId="77777777">
            <w:pPr>
              <w:pStyle w:val="NoSpacing"/>
              <w:rPr>
                <w:sz w:val="16"/>
                <w:szCs w:val="16"/>
              </w:rPr>
            </w:pPr>
            <w:r w:rsidRPr="00503EB6">
              <w:rPr>
                <w:sz w:val="16"/>
                <w:szCs w:val="16"/>
              </w:rPr>
              <w:t>22. Paryani SG, Vaughn AJ, Crosby M, Lawrence S. Treatment of asymptomatic congenital syphilis: benzathine versus procaine penicillin G therapy. J Pediatr. 1994;125:471-5.</w:t>
            </w:r>
          </w:p>
          <w:p w:rsidRPr="00503EB6" w:rsidR="004D00F5" w:rsidP="00FE4186" w:rsidRDefault="004D00F5" w14:paraId="06528C6D" w14:textId="77777777">
            <w:pPr>
              <w:pStyle w:val="NoSpacing"/>
              <w:rPr>
                <w:sz w:val="16"/>
                <w:szCs w:val="16"/>
              </w:rPr>
            </w:pPr>
            <w:r w:rsidRPr="00503EB6">
              <w:rPr>
                <w:sz w:val="16"/>
                <w:szCs w:val="16"/>
              </w:rPr>
              <w:lastRenderedPageBreak/>
              <w:t>23. Radcliffe M, Meyer M, Roditi D, Malan A. Single-dose benzathine penicillin in infants at risk of congenital syphilis--results of a randomised study. Samj, S. 1997;87:62-5.</w:t>
            </w:r>
          </w:p>
          <w:p w:rsidRPr="00503EB6" w:rsidR="004D00F5" w:rsidP="00FE4186" w:rsidRDefault="004D00F5" w14:paraId="27E1E9B9" w14:textId="77777777">
            <w:pPr>
              <w:pStyle w:val="NoSpacing"/>
              <w:rPr>
                <w:sz w:val="16"/>
                <w:szCs w:val="16"/>
              </w:rPr>
            </w:pPr>
            <w:r w:rsidRPr="00503EB6">
              <w:rPr>
                <w:sz w:val="16"/>
                <w:szCs w:val="16"/>
              </w:rPr>
              <w:t>24. Metsvaht T, Oselin K, Ilmoja ML, Anier K, Lutsar I. Pharmacokinetics of penicillin g in very-low-birth-weight neonates. Antimicrob Agents Chemother. 2007;51:1995-2000.</w:t>
            </w:r>
          </w:p>
          <w:p w:rsidRPr="00503EB6" w:rsidR="004D00F5" w:rsidP="00FE4186" w:rsidRDefault="004D00F5" w14:paraId="20D0138F" w14:textId="77777777">
            <w:pPr>
              <w:pStyle w:val="NoSpacing"/>
              <w:rPr>
                <w:sz w:val="16"/>
                <w:szCs w:val="16"/>
              </w:rPr>
            </w:pPr>
            <w:r w:rsidRPr="00503EB6">
              <w:rPr>
                <w:sz w:val="16"/>
                <w:szCs w:val="16"/>
              </w:rPr>
              <w:t>25. Muller AE, DeJongh J, Bult Y, Goessens WH, Mouton JW, Danhof M, van den Anker JN. Pharmacokinetics of penicillin G in infants with a gestational age of less than 32 weeks. Antimicrob Agents Chemother. 2007;51:3720-5.</w:t>
            </w:r>
          </w:p>
          <w:p w:rsidRPr="00503EB6" w:rsidR="004D00F5" w:rsidP="00FE4186" w:rsidRDefault="004D00F5" w14:paraId="698B1503" w14:textId="77777777">
            <w:pPr>
              <w:pStyle w:val="NoSpacing"/>
              <w:rPr>
                <w:sz w:val="16"/>
                <w:szCs w:val="16"/>
              </w:rPr>
            </w:pPr>
            <w:r w:rsidRPr="00503EB6">
              <w:rPr>
                <w:sz w:val="16"/>
                <w:szCs w:val="16"/>
              </w:rPr>
              <w:t>26. Pacifici GM. Clinical Pharmacokinetics of Penicillins, Cephalosporins and Aminoglycosides in the Neonate: A Review. Pharmaceuticals. 2010;3:2568-91.</w:t>
            </w:r>
          </w:p>
          <w:p w:rsidRPr="00503EB6" w:rsidR="004D00F5" w:rsidP="00FE4186" w:rsidRDefault="004D00F5" w14:paraId="17B1F98C" w14:textId="77777777">
            <w:pPr>
              <w:pStyle w:val="NoSpacing"/>
              <w:rPr>
                <w:sz w:val="16"/>
                <w:szCs w:val="16"/>
              </w:rPr>
            </w:pPr>
            <w:r w:rsidRPr="00503EB6">
              <w:rPr>
                <w:sz w:val="16"/>
                <w:szCs w:val="16"/>
              </w:rPr>
              <w:t>27. Australian Medicines Handbook, January 2014 accessed on www.amh.net.au on 9th July 2014.</w:t>
            </w:r>
          </w:p>
          <w:p w:rsidRPr="00503EB6" w:rsidR="004D00F5" w:rsidP="00FE4186" w:rsidRDefault="004D00F5" w14:paraId="21BF2117" w14:textId="77777777">
            <w:pPr>
              <w:pStyle w:val="NoSpacing"/>
              <w:rPr>
                <w:sz w:val="16"/>
                <w:szCs w:val="16"/>
              </w:rPr>
            </w:pPr>
            <w:r w:rsidRPr="00503EB6">
              <w:rPr>
                <w:sz w:val="16"/>
                <w:szCs w:val="16"/>
              </w:rPr>
              <w:t>28. Australian Injectable Drugs Handbook, Fifth Ed accessed on www.aidh.hcn.com.au on 9th July 2014.</w:t>
            </w:r>
          </w:p>
          <w:p w:rsidRPr="00503EB6" w:rsidR="004D00F5" w:rsidP="00FE4186" w:rsidRDefault="004D00F5" w14:paraId="3C652FCB" w14:textId="77777777">
            <w:pPr>
              <w:pStyle w:val="NoSpacing"/>
              <w:rPr>
                <w:sz w:val="16"/>
                <w:szCs w:val="16"/>
              </w:rPr>
            </w:pPr>
            <w:r w:rsidRPr="00503EB6">
              <w:rPr>
                <w:sz w:val="16"/>
                <w:szCs w:val="16"/>
              </w:rPr>
              <w:t>29. Trissel LA ed. Handbook on Injectable Drugs. 15th Ed. Bethesda, MD: American Society of Health-System Pharmacists; 2009.</w:t>
            </w:r>
          </w:p>
          <w:p w:rsidRPr="00503EB6" w:rsidR="004D00F5" w:rsidP="00FE4186" w:rsidRDefault="004D00F5" w14:paraId="10E760AE" w14:textId="77777777">
            <w:pPr>
              <w:pStyle w:val="NoSpacing"/>
              <w:rPr>
                <w:sz w:val="16"/>
                <w:szCs w:val="16"/>
              </w:rPr>
            </w:pPr>
            <w:r w:rsidRPr="00503EB6">
              <w:rPr>
                <w:sz w:val="16"/>
                <w:szCs w:val="16"/>
              </w:rPr>
              <w:t>30. Micromedex online. Accessed on 29 July 2015.</w:t>
            </w:r>
          </w:p>
          <w:p w:rsidRPr="00503EB6" w:rsidR="004D00F5" w:rsidP="00FE4186" w:rsidRDefault="004D00F5" w14:paraId="1774B633" w14:textId="77777777">
            <w:pPr>
              <w:spacing w:after="160" w:line="259" w:lineRule="auto"/>
              <w:ind w:left="360" w:hanging="360"/>
              <w:contextualSpacing/>
              <w:rPr>
                <w:rFonts w:asciiTheme="minorHAnsi" w:hAnsiTheme="minorHAnsi" w:eastAsiaTheme="minorHAnsi" w:cstheme="minorHAnsi"/>
                <w:sz w:val="16"/>
                <w:szCs w:val="16"/>
              </w:rPr>
            </w:pPr>
            <w:r w:rsidRPr="00503EB6">
              <w:rPr>
                <w:sz w:val="16"/>
                <w:szCs w:val="16"/>
              </w:rPr>
              <w:t xml:space="preserve">31. Centers for disease control and prevention. 2015 sexually transmitted diseases treatment guidelines. Congenital syphilis. </w:t>
            </w:r>
            <w:hyperlink w:history="1" r:id="rId70">
              <w:r w:rsidRPr="00503EB6">
                <w:rPr>
                  <w:rStyle w:val="Hyperlink"/>
                  <w:sz w:val="16"/>
                  <w:szCs w:val="16"/>
                </w:rPr>
                <w:t>https://www.cdc.gov/std/tg2015/congenital.htm</w:t>
              </w:r>
            </w:hyperlink>
            <w:r w:rsidRPr="00503EB6">
              <w:rPr>
                <w:sz w:val="16"/>
                <w:szCs w:val="16"/>
              </w:rPr>
              <w:t xml:space="preserve">. </w:t>
            </w:r>
          </w:p>
        </w:tc>
      </w:tr>
    </w:tbl>
    <w:p w:rsidR="00526804" w:rsidP="006F0321" w:rsidRDefault="00526804" w14:paraId="36F08114" w14:textId="69BACEE1"/>
    <w:p w:rsidRPr="00E25790" w:rsidR="004D00F5" w:rsidP="006F0321" w:rsidRDefault="004D00F5" w14:paraId="3E9F7D4F" w14:textId="77777777"/>
    <w:tbl>
      <w:tblPr>
        <w:tblW w:w="4994"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148"/>
        <w:gridCol w:w="4857"/>
      </w:tblGrid>
      <w:tr w:rsidRPr="00EC6CCE" w:rsidR="0020431B" w:rsidTr="00F45A7B" w14:paraId="32AEBCE3" w14:textId="77777777">
        <w:tc>
          <w:tcPr>
            <w:tcW w:w="2303" w:type="pct"/>
            <w:vAlign w:val="center"/>
          </w:tcPr>
          <w:p w:rsidRPr="00CF4ACB" w:rsidR="00CF4ACB" w:rsidP="006F0321" w:rsidRDefault="00CF4ACB" w14:paraId="4394B79A" w14:textId="77777777">
            <w:r w:rsidRPr="00CF4ACB">
              <w:t>Original version Date: 08/08/2015</w:t>
            </w:r>
          </w:p>
        </w:tc>
        <w:tc>
          <w:tcPr>
            <w:tcW w:w="2697" w:type="pct"/>
            <w:vAlign w:val="center"/>
          </w:tcPr>
          <w:p w:rsidRPr="00CF4ACB" w:rsidR="00CF4ACB" w:rsidP="006F0321" w:rsidRDefault="00CF4ACB" w14:paraId="3B5478E5" w14:textId="77777777">
            <w:r w:rsidRPr="00CF4ACB">
              <w:t>Author: ANMF Consensus Group</w:t>
            </w:r>
          </w:p>
        </w:tc>
      </w:tr>
      <w:tr w:rsidRPr="00EC6CCE" w:rsidR="0020431B" w:rsidTr="00F45A7B" w14:paraId="6D1B9A34" w14:textId="77777777">
        <w:tc>
          <w:tcPr>
            <w:tcW w:w="2303" w:type="pct"/>
            <w:vAlign w:val="center"/>
          </w:tcPr>
          <w:p w:rsidRPr="00CF4ACB" w:rsidR="00CF4ACB" w:rsidP="006F0321" w:rsidRDefault="00CF4ACB" w14:paraId="7491262E" w14:textId="4B18403F">
            <w:pPr>
              <w:rPr>
                <w:bCs/>
              </w:rPr>
            </w:pPr>
            <w:r w:rsidRPr="00CF4ACB">
              <w:t xml:space="preserve">Current Version number:  </w:t>
            </w:r>
            <w:r w:rsidR="009B7D01">
              <w:t>4</w:t>
            </w:r>
          </w:p>
        </w:tc>
        <w:tc>
          <w:tcPr>
            <w:tcW w:w="2697" w:type="pct"/>
            <w:vAlign w:val="center"/>
          </w:tcPr>
          <w:p w:rsidRPr="00CF4ACB" w:rsidR="00CF4ACB" w:rsidP="006F0321" w:rsidRDefault="00CF4ACB" w14:paraId="7F72AB1E" w14:textId="6A8B63AB">
            <w:r w:rsidRPr="00CF4ACB">
              <w:t xml:space="preserve">Version Date:  </w:t>
            </w:r>
            <w:r w:rsidR="009B7D01">
              <w:t>18/02/2021</w:t>
            </w:r>
          </w:p>
        </w:tc>
      </w:tr>
      <w:tr w:rsidRPr="00EC6CCE" w:rsidR="0020431B" w:rsidTr="00F45A7B" w14:paraId="5572A153" w14:textId="77777777">
        <w:tc>
          <w:tcPr>
            <w:tcW w:w="2303" w:type="pct"/>
            <w:vAlign w:val="center"/>
          </w:tcPr>
          <w:p w:rsidRPr="00CF4ACB" w:rsidR="00CF4ACB" w:rsidP="006F0321" w:rsidRDefault="00CF4ACB" w14:paraId="56F7A3EA" w14:textId="10CA1CA1">
            <w:r w:rsidRPr="00CF4ACB">
              <w:t xml:space="preserve">Risk Rating: </w:t>
            </w:r>
            <w:r w:rsidR="009B7D01">
              <w:t>Low</w:t>
            </w:r>
          </w:p>
        </w:tc>
        <w:tc>
          <w:tcPr>
            <w:tcW w:w="2697" w:type="pct"/>
            <w:vAlign w:val="center"/>
          </w:tcPr>
          <w:p w:rsidRPr="00CF4ACB" w:rsidR="00CF4ACB" w:rsidP="006F0321" w:rsidRDefault="00CF4ACB" w14:paraId="75583EEB" w14:textId="1942898F">
            <w:r w:rsidRPr="00CF4ACB">
              <w:t xml:space="preserve">Due for Review:  </w:t>
            </w:r>
            <w:r w:rsidR="009B7D01">
              <w:t>18/2/2026</w:t>
            </w:r>
          </w:p>
        </w:tc>
      </w:tr>
      <w:tr w:rsidRPr="00EC6CCE" w:rsidR="0020431B" w:rsidTr="00F45A7B" w14:paraId="4AD97ECF" w14:textId="77777777">
        <w:trPr>
          <w:trHeight w:val="143"/>
        </w:trPr>
        <w:tc>
          <w:tcPr>
            <w:tcW w:w="2303" w:type="pct"/>
            <w:tcBorders>
              <w:bottom w:val="single" w:color="auto" w:sz="4" w:space="0"/>
            </w:tcBorders>
            <w:vAlign w:val="center"/>
          </w:tcPr>
          <w:p w:rsidRPr="00CF4ACB" w:rsidR="00CF4ACB" w:rsidP="006F0321" w:rsidRDefault="00CF4ACB" w14:paraId="29A3D2FB" w14:textId="77777777">
            <w:r w:rsidRPr="00CF4ACB">
              <w:t>Approval by: DTC</w:t>
            </w:r>
          </w:p>
        </w:tc>
        <w:tc>
          <w:tcPr>
            <w:tcW w:w="2697" w:type="pct"/>
            <w:tcBorders>
              <w:bottom w:val="single" w:color="auto" w:sz="4" w:space="0"/>
            </w:tcBorders>
            <w:vAlign w:val="center"/>
          </w:tcPr>
          <w:p w:rsidRPr="00CF4ACB" w:rsidR="00CF4ACB" w:rsidP="006F0321" w:rsidRDefault="00CF4ACB" w14:paraId="0CE1BB42" w14:textId="37004224">
            <w:r w:rsidRPr="00CF4ACB">
              <w:t xml:space="preserve">Approval Date: </w:t>
            </w:r>
            <w:r w:rsidR="00260BC8">
              <w:t>APRIL 2021</w:t>
            </w:r>
            <w:r w:rsidRPr="00CF4ACB">
              <w:t xml:space="preserve"> </w:t>
            </w:r>
          </w:p>
        </w:tc>
      </w:tr>
    </w:tbl>
    <w:p w:rsidR="00526804" w:rsidP="006F0321" w:rsidRDefault="00526804" w14:paraId="14E2AF02" w14:textId="77777777"/>
    <w:p w:rsidR="00A71A0C" w:rsidP="006F0321" w:rsidRDefault="00A71A0C" w14:paraId="5760911A" w14:textId="77777777"/>
    <w:p w:rsidR="00A71A0C" w:rsidP="006F0321" w:rsidRDefault="00A71A0C" w14:paraId="2EAB872F" w14:textId="77777777"/>
    <w:p w:rsidR="00D33A72" w:rsidRDefault="00D33A72" w14:paraId="056DEFC4" w14:textId="77777777">
      <w:bookmarkStart w:name="_Toc495481151" w:id="467"/>
      <w:bookmarkStart w:name="_Toc495481277" w:id="468"/>
      <w:bookmarkStart w:name="_Toc495481402" w:id="469"/>
      <w:bookmarkStart w:name="_Toc495501583" w:id="470"/>
      <w:bookmarkStart w:name="_Toc38106902" w:id="471"/>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FB1E38" w14:paraId="784ED9D1"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25790" w:rsidR="00115F48" w:rsidP="009469DB" w:rsidRDefault="00115F48" w14:paraId="6593F5F0" w14:textId="77777777">
            <w:pPr>
              <w:pStyle w:val="Heading1"/>
              <w:rPr>
                <w:sz w:val="20"/>
              </w:rPr>
            </w:pPr>
            <w:bookmarkStart w:name="_Toc75340023" w:id="472"/>
            <w:r w:rsidRPr="00E25790">
              <w:lastRenderedPageBreak/>
              <w:t>Pentavite (Multivitamin Prep</w:t>
            </w:r>
            <w:r w:rsidRPr="00E25790">
              <w:rPr>
                <w:sz w:val="20"/>
              </w:rPr>
              <w:t>)</w:t>
            </w:r>
            <w:bookmarkEnd w:id="467"/>
            <w:bookmarkEnd w:id="468"/>
            <w:bookmarkEnd w:id="469"/>
            <w:bookmarkEnd w:id="470"/>
            <w:bookmarkEnd w:id="471"/>
            <w:bookmarkEnd w:id="472"/>
            <w:r w:rsidRPr="00E25790">
              <w:rPr>
                <w:sz w:val="20"/>
              </w:rPr>
              <w:t xml:space="preserve"> </w:t>
            </w:r>
            <w:r w:rsidRPr="00E25790">
              <w:rPr>
                <w:sz w:val="20"/>
              </w:rPr>
              <w:fldChar w:fldCharType="begin"/>
            </w:r>
            <w:r w:rsidRPr="00E25790">
              <w:rPr>
                <w:sz w:val="20"/>
              </w:rPr>
              <w:instrText>tc "Pentavite" \l 0</w:instrText>
            </w:r>
            <w:r w:rsidRPr="00E25790">
              <w:rPr>
                <w:sz w:val="20"/>
              </w:rPr>
              <w:fldChar w:fldCharType="end"/>
            </w:r>
          </w:p>
        </w:tc>
      </w:tr>
      <w:tr w:rsidRPr="00E25790" w:rsidR="00115F48" w:rsidTr="00FB1E38" w14:paraId="0A98229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4071AC5" w14:textId="199067F3">
            <w:r w:rsidRPr="00E25790">
              <w:t>Revision Date</w:t>
            </w:r>
            <w:r w:rsidRPr="00E25790">
              <w:rPr>
                <w:b/>
              </w:rPr>
              <w:t xml:space="preserve"> : </w:t>
            </w:r>
            <w:r w:rsidR="002A75A3">
              <w:rPr>
                <w:b/>
              </w:rPr>
              <w:t>16-11-2020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1F9AA427" w14:textId="77777777">
            <w:r w:rsidRPr="00E25790">
              <w:t xml:space="preserve">Approved: </w:t>
            </w:r>
            <w:r w:rsidRPr="00E25790" w:rsidR="00AD6BD4">
              <w:t>TC, KOH</w:t>
            </w:r>
          </w:p>
        </w:tc>
      </w:tr>
    </w:tbl>
    <w:p w:rsidRPr="00E25790" w:rsidR="00115F48" w:rsidP="006F0321" w:rsidRDefault="00115F48" w14:paraId="0972E993"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67"/>
        <w:gridCol w:w="7867"/>
      </w:tblGrid>
      <w:tr w:rsidRPr="00D9674B" w:rsidR="00397A0F" w:rsidTr="001000E7" w14:paraId="3E56912F" w14:textId="77777777">
        <w:trPr>
          <w:trHeight w:val="263"/>
        </w:trPr>
        <w:tc>
          <w:tcPr>
            <w:tcW w:w="917" w:type="pct"/>
          </w:tcPr>
          <w:p w:rsidRPr="00D9674B" w:rsidR="00313247" w:rsidP="001000E7" w:rsidRDefault="00313247" w14:paraId="79C93D35" w14:textId="77777777">
            <w:pPr>
              <w:pStyle w:val="BodyText"/>
              <w:tabs>
                <w:tab w:val="center" w:pos="1476"/>
              </w:tabs>
              <w:jc w:val="left"/>
              <w:rPr>
                <w:rFonts w:asciiTheme="minorHAnsi" w:hAnsiTheme="minorHAnsi" w:cstheme="minorHAnsi"/>
                <w:b/>
                <w:sz w:val="20"/>
              </w:rPr>
            </w:pPr>
            <w:r w:rsidRPr="00D9674B">
              <w:rPr>
                <w:rFonts w:asciiTheme="minorHAnsi" w:hAnsiTheme="minorHAnsi" w:cstheme="minorHAnsi"/>
                <w:b/>
                <w:sz w:val="20"/>
              </w:rPr>
              <w:t>Alert</w:t>
            </w:r>
          </w:p>
        </w:tc>
        <w:tc>
          <w:tcPr>
            <w:tcW w:w="4083" w:type="pct"/>
          </w:tcPr>
          <w:p w:rsidRPr="00D9674B" w:rsidR="00313247" w:rsidP="00FE4186" w:rsidRDefault="00313247" w14:paraId="383E051A" w14:textId="77777777">
            <w:pPr>
              <w:pStyle w:val="BodyText"/>
              <w:rPr>
                <w:rFonts w:asciiTheme="minorHAnsi" w:hAnsiTheme="minorHAnsi" w:cstheme="minorHAnsi"/>
                <w:sz w:val="20"/>
              </w:rPr>
            </w:pPr>
          </w:p>
        </w:tc>
      </w:tr>
      <w:tr w:rsidRPr="00D9674B" w:rsidR="00397A0F" w:rsidTr="001000E7" w14:paraId="2E55D776" w14:textId="77777777">
        <w:trPr>
          <w:trHeight w:val="263"/>
        </w:trPr>
        <w:tc>
          <w:tcPr>
            <w:tcW w:w="917" w:type="pct"/>
          </w:tcPr>
          <w:p w:rsidRPr="00D9674B" w:rsidR="00313247" w:rsidP="00FE4186" w:rsidRDefault="00313247" w14:paraId="1A0C90A4" w14:textId="77777777">
            <w:pPr>
              <w:pStyle w:val="BodyText"/>
              <w:rPr>
                <w:rFonts w:asciiTheme="minorHAnsi" w:hAnsiTheme="minorHAnsi" w:cstheme="minorHAnsi"/>
                <w:sz w:val="20"/>
              </w:rPr>
            </w:pPr>
            <w:r w:rsidRPr="00D9674B">
              <w:rPr>
                <w:rFonts w:asciiTheme="minorHAnsi" w:hAnsiTheme="minorHAnsi" w:cstheme="minorHAnsi"/>
                <w:b/>
                <w:bCs/>
                <w:sz w:val="20"/>
              </w:rPr>
              <w:t>Indication</w:t>
            </w:r>
          </w:p>
        </w:tc>
        <w:tc>
          <w:tcPr>
            <w:tcW w:w="4083" w:type="pct"/>
          </w:tcPr>
          <w:p w:rsidRPr="00D9674B" w:rsidR="00313247" w:rsidP="00FE4186" w:rsidRDefault="00313247" w14:paraId="6F15B1E0" w14:textId="77777777">
            <w:pPr>
              <w:rPr>
                <w:rFonts w:asciiTheme="minorHAnsi" w:hAnsiTheme="minorHAnsi" w:cstheme="minorHAnsi"/>
                <w:sz w:val="20"/>
              </w:rPr>
            </w:pPr>
            <w:r w:rsidRPr="00467BBA">
              <w:rPr>
                <w:rFonts w:asciiTheme="minorHAnsi" w:hAnsiTheme="minorHAnsi"/>
                <w:sz w:val="20"/>
              </w:rPr>
              <w:t>Prevention of vitamin deficiency in infants &lt;= 32 weeks gestation or &lt; 1800 gram birth weight.</w:t>
            </w:r>
          </w:p>
        </w:tc>
      </w:tr>
      <w:tr w:rsidRPr="00D9674B" w:rsidR="00397A0F" w:rsidTr="001000E7" w14:paraId="7E687139" w14:textId="77777777">
        <w:trPr>
          <w:trHeight w:val="263"/>
        </w:trPr>
        <w:tc>
          <w:tcPr>
            <w:tcW w:w="917" w:type="pct"/>
          </w:tcPr>
          <w:p w:rsidRPr="00D9674B" w:rsidR="00313247" w:rsidP="00FE4186" w:rsidRDefault="00313247" w14:paraId="2E3791BA" w14:textId="77777777">
            <w:pPr>
              <w:pStyle w:val="BodyText"/>
              <w:rPr>
                <w:rFonts w:asciiTheme="minorHAnsi" w:hAnsiTheme="minorHAnsi" w:cstheme="minorHAnsi"/>
                <w:b/>
                <w:bCs/>
                <w:sz w:val="20"/>
              </w:rPr>
            </w:pPr>
            <w:r w:rsidRPr="00D9674B">
              <w:rPr>
                <w:rFonts w:asciiTheme="minorHAnsi" w:hAnsiTheme="minorHAnsi" w:cstheme="minorHAnsi"/>
                <w:b/>
                <w:bCs/>
                <w:sz w:val="20"/>
              </w:rPr>
              <w:t>Action</w:t>
            </w:r>
          </w:p>
        </w:tc>
        <w:tc>
          <w:tcPr>
            <w:tcW w:w="4083" w:type="pct"/>
          </w:tcPr>
          <w:p w:rsidRPr="00D9674B" w:rsidR="00313247" w:rsidP="00FE4186" w:rsidRDefault="00313247" w14:paraId="24DE4777" w14:textId="77777777">
            <w:pPr>
              <w:rPr>
                <w:rFonts w:asciiTheme="minorHAnsi" w:hAnsiTheme="minorHAnsi" w:cstheme="minorHAnsi"/>
                <w:sz w:val="20"/>
              </w:rPr>
            </w:pPr>
            <w:r w:rsidRPr="0042058A">
              <w:rPr>
                <w:rFonts w:asciiTheme="minorHAnsi" w:hAnsiTheme="minorHAnsi"/>
                <w:sz w:val="20"/>
              </w:rPr>
              <w:t>Multivitamin supplement</w:t>
            </w:r>
          </w:p>
        </w:tc>
      </w:tr>
      <w:tr w:rsidRPr="00D9674B" w:rsidR="00397A0F" w:rsidTr="001000E7" w14:paraId="5D3EB606" w14:textId="77777777">
        <w:trPr>
          <w:trHeight w:val="263"/>
        </w:trPr>
        <w:tc>
          <w:tcPr>
            <w:tcW w:w="917" w:type="pct"/>
          </w:tcPr>
          <w:p w:rsidRPr="00D9674B" w:rsidR="00313247" w:rsidP="00FE4186" w:rsidRDefault="00313247" w14:paraId="07CCA57A" w14:textId="77777777">
            <w:pPr>
              <w:pStyle w:val="BodyText"/>
              <w:rPr>
                <w:rFonts w:asciiTheme="minorHAnsi" w:hAnsiTheme="minorHAnsi" w:cstheme="minorHAnsi"/>
                <w:sz w:val="20"/>
              </w:rPr>
            </w:pPr>
            <w:r w:rsidRPr="00D9674B">
              <w:rPr>
                <w:rFonts w:asciiTheme="minorHAnsi" w:hAnsiTheme="minorHAnsi" w:cstheme="minorHAnsi"/>
                <w:b/>
                <w:bCs/>
                <w:sz w:val="20"/>
              </w:rPr>
              <w:t>Drug type</w:t>
            </w:r>
          </w:p>
        </w:tc>
        <w:tc>
          <w:tcPr>
            <w:tcW w:w="4083" w:type="pct"/>
            <w:vAlign w:val="center"/>
          </w:tcPr>
          <w:p w:rsidRPr="00D9674B" w:rsidR="00313247" w:rsidP="00FE4186" w:rsidRDefault="00313247" w14:paraId="50F4DFE8" w14:textId="77777777">
            <w:pPr>
              <w:pStyle w:val="BodyText"/>
              <w:rPr>
                <w:rFonts w:asciiTheme="minorHAnsi" w:hAnsiTheme="minorHAnsi" w:cstheme="minorHAnsi"/>
                <w:sz w:val="20"/>
              </w:rPr>
            </w:pPr>
            <w:r w:rsidRPr="0042058A">
              <w:rPr>
                <w:rFonts w:asciiTheme="minorHAnsi" w:hAnsiTheme="minorHAnsi"/>
                <w:sz w:val="20"/>
              </w:rPr>
              <w:t>Multivitamin</w:t>
            </w:r>
          </w:p>
        </w:tc>
      </w:tr>
      <w:tr w:rsidRPr="00D9674B" w:rsidR="00397A0F" w:rsidTr="001000E7" w14:paraId="6EFF01C6" w14:textId="77777777">
        <w:trPr>
          <w:trHeight w:val="263"/>
        </w:trPr>
        <w:tc>
          <w:tcPr>
            <w:tcW w:w="917" w:type="pct"/>
          </w:tcPr>
          <w:p w:rsidRPr="00D9674B" w:rsidR="00313247" w:rsidP="00FE4186" w:rsidRDefault="00313247" w14:paraId="49D9EFDA" w14:textId="77777777">
            <w:pPr>
              <w:pStyle w:val="BodyText"/>
              <w:rPr>
                <w:rFonts w:asciiTheme="minorHAnsi" w:hAnsiTheme="minorHAnsi" w:cstheme="minorHAnsi"/>
                <w:b/>
                <w:bCs/>
                <w:sz w:val="20"/>
              </w:rPr>
            </w:pPr>
            <w:r w:rsidRPr="00D9674B">
              <w:rPr>
                <w:rFonts w:asciiTheme="minorHAnsi" w:hAnsiTheme="minorHAnsi" w:cstheme="minorHAnsi"/>
                <w:b/>
                <w:bCs/>
                <w:sz w:val="20"/>
              </w:rPr>
              <w:t>Trade name</w:t>
            </w:r>
          </w:p>
        </w:tc>
        <w:tc>
          <w:tcPr>
            <w:tcW w:w="4083" w:type="pct"/>
          </w:tcPr>
          <w:p w:rsidRPr="0042058A" w:rsidR="00313247" w:rsidP="00FE4186" w:rsidRDefault="00313247" w14:paraId="48D358B5" w14:textId="77777777">
            <w:pPr>
              <w:pStyle w:val="CommentText"/>
              <w:rPr>
                <w:rFonts w:asciiTheme="minorHAnsi" w:hAnsiTheme="minorHAnsi"/>
              </w:rPr>
            </w:pPr>
            <w:r w:rsidRPr="0042058A">
              <w:rPr>
                <w:rFonts w:asciiTheme="minorHAnsi" w:hAnsiTheme="minorHAnsi"/>
              </w:rPr>
              <w:t>Penta-Vite infant 0-3 years oral solution</w:t>
            </w:r>
          </w:p>
        </w:tc>
      </w:tr>
      <w:tr w:rsidRPr="00D9674B" w:rsidR="00397A0F" w:rsidTr="001000E7" w14:paraId="04EE3F6E" w14:textId="77777777">
        <w:trPr>
          <w:trHeight w:val="263"/>
        </w:trPr>
        <w:tc>
          <w:tcPr>
            <w:tcW w:w="917" w:type="pct"/>
          </w:tcPr>
          <w:p w:rsidRPr="00D9674B" w:rsidR="00313247" w:rsidP="00FE4186" w:rsidRDefault="00313247" w14:paraId="47F409F5" w14:textId="77777777">
            <w:pPr>
              <w:pStyle w:val="BodyText"/>
              <w:rPr>
                <w:rFonts w:asciiTheme="minorHAnsi" w:hAnsiTheme="minorHAnsi" w:cstheme="minorHAnsi"/>
                <w:b/>
                <w:bCs/>
                <w:sz w:val="20"/>
              </w:rPr>
            </w:pPr>
            <w:r w:rsidRPr="00D9674B">
              <w:rPr>
                <w:rFonts w:asciiTheme="minorHAnsi" w:hAnsiTheme="minorHAnsi" w:cstheme="minorHAnsi"/>
                <w:b/>
                <w:bCs/>
                <w:sz w:val="20"/>
              </w:rPr>
              <w:t xml:space="preserve">Presentation </w:t>
            </w:r>
          </w:p>
        </w:tc>
        <w:tc>
          <w:tcPr>
            <w:tcW w:w="4083" w:type="pct"/>
          </w:tcPr>
          <w:p w:rsidR="00313247" w:rsidP="001000E7" w:rsidRDefault="00313247" w14:paraId="782ECDBF" w14:textId="77777777">
            <w:pPr>
              <w:pStyle w:val="BodyText"/>
              <w:jc w:val="left"/>
              <w:rPr>
                <w:rFonts w:asciiTheme="minorHAnsi" w:hAnsiTheme="minorHAnsi"/>
                <w:sz w:val="20"/>
              </w:rPr>
            </w:pPr>
            <w:r w:rsidRPr="0042058A">
              <w:rPr>
                <w:rFonts w:asciiTheme="minorHAnsi" w:hAnsiTheme="minorHAnsi"/>
                <w:sz w:val="20"/>
              </w:rPr>
              <w:t>Oral liquid</w:t>
            </w:r>
            <w:r w:rsidRPr="0042058A">
              <w:rPr>
                <w:rFonts w:asciiTheme="minorHAnsi" w:hAnsiTheme="minorHAnsi"/>
                <w:sz w:val="20"/>
              </w:rPr>
              <w:br/>
            </w:r>
            <w:r w:rsidRPr="0042058A">
              <w:rPr>
                <w:rFonts w:asciiTheme="minorHAnsi" w:hAnsiTheme="minorHAnsi"/>
                <w:sz w:val="20"/>
              </w:rPr>
              <w:t>Each 0.45 mL contains:</w:t>
            </w:r>
            <w:r w:rsidRPr="0042058A">
              <w:rPr>
                <w:rFonts w:asciiTheme="minorHAnsi" w:hAnsiTheme="minorHAnsi"/>
                <w:sz w:val="20"/>
              </w:rPr>
              <w:br/>
            </w:r>
            <w:r w:rsidRPr="0042058A">
              <w:rPr>
                <w:rFonts w:asciiTheme="minorHAnsi" w:hAnsiTheme="minorHAnsi"/>
                <w:sz w:val="20"/>
              </w:rPr>
              <w:t>Vitamin A retinyl palmitate 490 microgram</w:t>
            </w:r>
          </w:p>
          <w:p w:rsidRPr="00D9674B" w:rsidR="00313247" w:rsidP="001000E7" w:rsidRDefault="00313247" w14:paraId="36981F1C" w14:textId="77777777">
            <w:pPr>
              <w:pStyle w:val="BodyText"/>
              <w:jc w:val="left"/>
              <w:rPr>
                <w:rFonts w:asciiTheme="minorHAnsi" w:hAnsiTheme="minorHAnsi" w:cstheme="minorHAnsi"/>
                <w:sz w:val="20"/>
              </w:rPr>
            </w:pPr>
            <w:r w:rsidRPr="0042058A">
              <w:rPr>
                <w:rFonts w:asciiTheme="minorHAnsi" w:hAnsiTheme="minorHAnsi"/>
                <w:sz w:val="20"/>
              </w:rPr>
              <w:t>Vitamin B1 thiamine 0.54 mg</w:t>
            </w:r>
            <w:r w:rsidRPr="0042058A">
              <w:rPr>
                <w:rFonts w:asciiTheme="minorHAnsi" w:hAnsiTheme="minorHAnsi"/>
                <w:sz w:val="20"/>
              </w:rPr>
              <w:br/>
            </w:r>
            <w:r w:rsidRPr="0042058A">
              <w:rPr>
                <w:rFonts w:asciiTheme="minorHAnsi" w:hAnsiTheme="minorHAnsi"/>
                <w:sz w:val="20"/>
              </w:rPr>
              <w:t xml:space="preserve">Vitamin B2 riboflavine sodium phosphate 1.1 mg (equiv. riboflavine 800 microgram) </w:t>
            </w:r>
            <w:r w:rsidRPr="0042058A">
              <w:rPr>
                <w:rFonts w:asciiTheme="minorHAnsi" w:hAnsiTheme="minorHAnsi"/>
                <w:sz w:val="20"/>
              </w:rPr>
              <w:br/>
            </w:r>
            <w:r w:rsidRPr="0042058A">
              <w:rPr>
                <w:rFonts w:asciiTheme="minorHAnsi" w:hAnsiTheme="minorHAnsi"/>
                <w:sz w:val="20"/>
              </w:rPr>
              <w:t>Vitamin B3 nicotinamide or Niacin 7.1 mg</w:t>
            </w:r>
            <w:r w:rsidRPr="0042058A">
              <w:rPr>
                <w:rFonts w:asciiTheme="minorHAnsi" w:hAnsiTheme="minorHAnsi"/>
                <w:sz w:val="20"/>
              </w:rPr>
              <w:br/>
            </w:r>
            <w:r w:rsidRPr="0042058A">
              <w:rPr>
                <w:rFonts w:asciiTheme="minorHAnsi" w:hAnsiTheme="minorHAnsi"/>
                <w:sz w:val="20"/>
              </w:rPr>
              <w:t>Vitamin B6 pyridoxine 135 microgram</w:t>
            </w:r>
            <w:r w:rsidRPr="0042058A">
              <w:rPr>
                <w:rFonts w:asciiTheme="minorHAnsi" w:hAnsiTheme="minorHAnsi"/>
                <w:sz w:val="20"/>
              </w:rPr>
              <w:br/>
            </w:r>
            <w:r w:rsidRPr="0042058A">
              <w:rPr>
                <w:rFonts w:asciiTheme="minorHAnsi" w:hAnsiTheme="minorHAnsi"/>
                <w:sz w:val="20"/>
              </w:rPr>
              <w:t>Vitamin C ascorbic acid 42.8 mg</w:t>
            </w:r>
            <w:r w:rsidRPr="0042058A">
              <w:rPr>
                <w:rFonts w:asciiTheme="minorHAnsi" w:hAnsiTheme="minorHAnsi"/>
                <w:sz w:val="20"/>
              </w:rPr>
              <w:br/>
            </w:r>
            <w:r w:rsidRPr="0042058A">
              <w:rPr>
                <w:rFonts w:asciiTheme="minorHAnsi" w:hAnsiTheme="minorHAnsi"/>
                <w:sz w:val="20"/>
              </w:rPr>
              <w:t>Vitamin D cholecalciferol 10.1 microgram (400 Units)</w:t>
            </w:r>
          </w:p>
        </w:tc>
      </w:tr>
      <w:tr w:rsidRPr="00D9674B" w:rsidR="00397A0F" w:rsidTr="001000E7" w14:paraId="4FDE0865" w14:textId="77777777">
        <w:trPr>
          <w:trHeight w:val="263"/>
        </w:trPr>
        <w:tc>
          <w:tcPr>
            <w:tcW w:w="917" w:type="pct"/>
          </w:tcPr>
          <w:p w:rsidRPr="00D9674B" w:rsidR="00313247" w:rsidP="00FE4186" w:rsidRDefault="00313247" w14:paraId="430412A9" w14:textId="77777777">
            <w:pPr>
              <w:pStyle w:val="BodyText"/>
              <w:rPr>
                <w:rFonts w:asciiTheme="minorHAnsi" w:hAnsiTheme="minorHAnsi" w:cstheme="minorHAnsi"/>
                <w:b/>
                <w:bCs/>
                <w:sz w:val="20"/>
              </w:rPr>
            </w:pPr>
            <w:r w:rsidRPr="00D9674B">
              <w:rPr>
                <w:rFonts w:asciiTheme="minorHAnsi" w:hAnsiTheme="minorHAnsi" w:cstheme="minorHAnsi"/>
                <w:b/>
                <w:bCs/>
                <w:sz w:val="20"/>
              </w:rPr>
              <w:t>Dose</w:t>
            </w:r>
          </w:p>
        </w:tc>
        <w:tc>
          <w:tcPr>
            <w:tcW w:w="4083" w:type="pct"/>
          </w:tcPr>
          <w:p w:rsidRPr="0042058A" w:rsidR="00313247" w:rsidP="00FE4186" w:rsidRDefault="00313247" w14:paraId="0E4CC3FA" w14:textId="77777777">
            <w:pPr>
              <w:pStyle w:val="BodyText"/>
              <w:ind w:left="720" w:hanging="720"/>
              <w:rPr>
                <w:rFonts w:asciiTheme="minorHAnsi" w:hAnsiTheme="minorHAnsi"/>
                <w:b/>
                <w:sz w:val="20"/>
              </w:rPr>
            </w:pPr>
            <w:r w:rsidRPr="0042058A">
              <w:rPr>
                <w:rFonts w:asciiTheme="minorHAnsi" w:hAnsiTheme="minorHAnsi"/>
                <w:sz w:val="20"/>
              </w:rPr>
              <w:t xml:space="preserve">0.45 mL daily. </w:t>
            </w:r>
            <w:r w:rsidRPr="0042058A">
              <w:rPr>
                <w:rFonts w:asciiTheme="minorHAnsi" w:hAnsiTheme="minorHAnsi"/>
                <w:b/>
                <w:sz w:val="20"/>
              </w:rPr>
              <w:t>NOTE: Dose not based on weight.</w:t>
            </w:r>
          </w:p>
          <w:p w:rsidRPr="00D9674B" w:rsidR="00313247" w:rsidP="00FE4186" w:rsidRDefault="00313247" w14:paraId="3206F47C" w14:textId="77777777">
            <w:pPr>
              <w:pStyle w:val="BodyText"/>
              <w:ind w:left="720" w:hanging="720"/>
              <w:rPr>
                <w:rFonts w:asciiTheme="minorHAnsi" w:hAnsiTheme="minorHAnsi" w:cstheme="minorHAnsi"/>
                <w:sz w:val="20"/>
              </w:rPr>
            </w:pPr>
            <w:r w:rsidRPr="0042058A">
              <w:rPr>
                <w:rFonts w:asciiTheme="minorHAnsi" w:hAnsiTheme="minorHAnsi"/>
                <w:sz w:val="20"/>
              </w:rPr>
              <w:t xml:space="preserve">Continue </w:t>
            </w:r>
            <w:r>
              <w:rPr>
                <w:rFonts w:asciiTheme="minorHAnsi" w:hAnsiTheme="minorHAnsi"/>
                <w:sz w:val="20"/>
              </w:rPr>
              <w:t xml:space="preserve">up to </w:t>
            </w:r>
            <w:r w:rsidRPr="0042058A">
              <w:rPr>
                <w:rFonts w:asciiTheme="minorHAnsi" w:hAnsiTheme="minorHAnsi"/>
                <w:sz w:val="20"/>
              </w:rPr>
              <w:t>12 months corrected age</w:t>
            </w:r>
          </w:p>
        </w:tc>
      </w:tr>
      <w:tr w:rsidRPr="00D9674B" w:rsidR="00397A0F" w:rsidTr="001000E7" w14:paraId="4BA215A5" w14:textId="77777777">
        <w:trPr>
          <w:trHeight w:val="263"/>
        </w:trPr>
        <w:tc>
          <w:tcPr>
            <w:tcW w:w="917" w:type="pct"/>
          </w:tcPr>
          <w:p w:rsidRPr="00D9674B" w:rsidR="00313247" w:rsidP="00FE4186" w:rsidRDefault="00313247" w14:paraId="13F4F23F" w14:textId="77777777">
            <w:pPr>
              <w:pStyle w:val="BodyText"/>
              <w:rPr>
                <w:rFonts w:asciiTheme="minorHAnsi" w:hAnsiTheme="minorHAnsi" w:cstheme="minorHAnsi"/>
                <w:b/>
                <w:sz w:val="20"/>
              </w:rPr>
            </w:pPr>
            <w:r w:rsidRPr="00D9674B">
              <w:rPr>
                <w:rFonts w:asciiTheme="minorHAnsi" w:hAnsiTheme="minorHAnsi" w:cstheme="minorHAnsi"/>
                <w:b/>
                <w:sz w:val="20"/>
              </w:rPr>
              <w:t>Dose adjustment</w:t>
            </w:r>
          </w:p>
        </w:tc>
        <w:tc>
          <w:tcPr>
            <w:tcW w:w="4083" w:type="pct"/>
          </w:tcPr>
          <w:p w:rsidRPr="00D9674B" w:rsidR="00313247" w:rsidP="00FE4186" w:rsidRDefault="00313247" w14:paraId="36FE0F6A" w14:textId="77777777">
            <w:pPr>
              <w:pStyle w:val="BodyText"/>
              <w:rPr>
                <w:rFonts w:asciiTheme="minorHAnsi" w:hAnsiTheme="minorHAnsi" w:cstheme="minorHAnsi"/>
                <w:sz w:val="20"/>
              </w:rPr>
            </w:pPr>
          </w:p>
        </w:tc>
      </w:tr>
      <w:tr w:rsidRPr="00D9674B" w:rsidR="00397A0F" w:rsidTr="001000E7" w14:paraId="4C713ACA" w14:textId="77777777">
        <w:trPr>
          <w:trHeight w:val="263"/>
        </w:trPr>
        <w:tc>
          <w:tcPr>
            <w:tcW w:w="917" w:type="pct"/>
          </w:tcPr>
          <w:p w:rsidRPr="00D9674B" w:rsidR="00313247" w:rsidP="00FE4186" w:rsidRDefault="00313247" w14:paraId="2425475D" w14:textId="77777777">
            <w:pPr>
              <w:pStyle w:val="BodyText"/>
              <w:rPr>
                <w:rFonts w:asciiTheme="minorHAnsi" w:hAnsiTheme="minorHAnsi" w:cstheme="minorHAnsi"/>
                <w:b/>
                <w:sz w:val="20"/>
              </w:rPr>
            </w:pPr>
            <w:r w:rsidRPr="00D9674B">
              <w:rPr>
                <w:rFonts w:asciiTheme="minorHAnsi" w:hAnsiTheme="minorHAnsi" w:cstheme="minorHAnsi"/>
                <w:b/>
                <w:sz w:val="20"/>
              </w:rPr>
              <w:t>Maximum dose</w:t>
            </w:r>
          </w:p>
        </w:tc>
        <w:tc>
          <w:tcPr>
            <w:tcW w:w="4083" w:type="pct"/>
          </w:tcPr>
          <w:p w:rsidRPr="00D9674B" w:rsidR="00313247" w:rsidP="00FE4186" w:rsidRDefault="00313247" w14:paraId="452F8E41" w14:textId="77777777">
            <w:pPr>
              <w:pStyle w:val="BodyText"/>
              <w:rPr>
                <w:rFonts w:asciiTheme="minorHAnsi" w:hAnsiTheme="minorHAnsi" w:cstheme="minorHAnsi"/>
                <w:sz w:val="20"/>
              </w:rPr>
            </w:pPr>
            <w:r w:rsidRPr="0042058A">
              <w:rPr>
                <w:rFonts w:asciiTheme="minorHAnsi" w:hAnsiTheme="minorHAnsi"/>
                <w:sz w:val="20"/>
              </w:rPr>
              <w:t>0.45 mL</w:t>
            </w:r>
          </w:p>
        </w:tc>
      </w:tr>
      <w:tr w:rsidRPr="00D9674B" w:rsidR="00397A0F" w:rsidTr="001000E7" w14:paraId="719182F5" w14:textId="77777777">
        <w:trPr>
          <w:trHeight w:val="263"/>
        </w:trPr>
        <w:tc>
          <w:tcPr>
            <w:tcW w:w="917" w:type="pct"/>
          </w:tcPr>
          <w:p w:rsidRPr="00D9674B" w:rsidR="00313247" w:rsidP="00FE4186" w:rsidRDefault="00313247" w14:paraId="2EE935CB" w14:textId="77777777">
            <w:pPr>
              <w:pStyle w:val="BodyText"/>
              <w:rPr>
                <w:rFonts w:asciiTheme="minorHAnsi" w:hAnsiTheme="minorHAnsi" w:cstheme="minorHAnsi"/>
                <w:b/>
                <w:bCs/>
                <w:sz w:val="20"/>
              </w:rPr>
            </w:pPr>
            <w:r w:rsidRPr="00D9674B">
              <w:rPr>
                <w:rFonts w:asciiTheme="minorHAnsi" w:hAnsiTheme="minorHAnsi" w:cstheme="minorHAnsi"/>
                <w:b/>
                <w:sz w:val="20"/>
              </w:rPr>
              <w:t>Total cumulative dose</w:t>
            </w:r>
          </w:p>
        </w:tc>
        <w:tc>
          <w:tcPr>
            <w:tcW w:w="4083" w:type="pct"/>
          </w:tcPr>
          <w:p w:rsidRPr="00D9674B" w:rsidR="00313247" w:rsidP="00FE4186" w:rsidRDefault="00313247" w14:paraId="43C1817D" w14:textId="77777777">
            <w:pPr>
              <w:pStyle w:val="BodyText"/>
              <w:rPr>
                <w:rFonts w:asciiTheme="minorHAnsi" w:hAnsiTheme="minorHAnsi" w:cstheme="minorHAnsi"/>
                <w:b/>
                <w:sz w:val="20"/>
              </w:rPr>
            </w:pPr>
          </w:p>
        </w:tc>
      </w:tr>
      <w:tr w:rsidRPr="00D9674B" w:rsidR="00397A0F" w:rsidTr="001000E7" w14:paraId="39833403" w14:textId="77777777">
        <w:trPr>
          <w:trHeight w:val="263"/>
        </w:trPr>
        <w:tc>
          <w:tcPr>
            <w:tcW w:w="917" w:type="pct"/>
          </w:tcPr>
          <w:p w:rsidRPr="00D9674B" w:rsidR="00313247" w:rsidP="00FE4186" w:rsidRDefault="00313247" w14:paraId="7659D614" w14:textId="77777777">
            <w:pPr>
              <w:pStyle w:val="BodyText"/>
              <w:rPr>
                <w:rFonts w:asciiTheme="minorHAnsi" w:hAnsiTheme="minorHAnsi" w:cstheme="minorHAnsi"/>
                <w:sz w:val="20"/>
              </w:rPr>
            </w:pPr>
            <w:r w:rsidRPr="00D9674B">
              <w:rPr>
                <w:rFonts w:asciiTheme="minorHAnsi" w:hAnsiTheme="minorHAnsi" w:cstheme="minorHAnsi"/>
                <w:b/>
                <w:bCs/>
                <w:sz w:val="20"/>
              </w:rPr>
              <w:t>Route</w:t>
            </w:r>
          </w:p>
        </w:tc>
        <w:tc>
          <w:tcPr>
            <w:tcW w:w="4083" w:type="pct"/>
          </w:tcPr>
          <w:p w:rsidRPr="00D9674B" w:rsidR="00313247" w:rsidP="00FE4186" w:rsidRDefault="00313247" w14:paraId="6F76BED0" w14:textId="77777777">
            <w:pPr>
              <w:pStyle w:val="BodyText"/>
              <w:rPr>
                <w:rFonts w:asciiTheme="minorHAnsi" w:hAnsiTheme="minorHAnsi" w:cstheme="minorHAnsi"/>
                <w:sz w:val="20"/>
              </w:rPr>
            </w:pPr>
            <w:r w:rsidRPr="00D9674B">
              <w:rPr>
                <w:rFonts w:asciiTheme="minorHAnsi" w:hAnsiTheme="minorHAnsi" w:cstheme="minorHAnsi"/>
                <w:sz w:val="20"/>
              </w:rPr>
              <w:t>Oral</w:t>
            </w:r>
          </w:p>
        </w:tc>
      </w:tr>
      <w:tr w:rsidRPr="00D9674B" w:rsidR="00397A0F" w:rsidTr="001000E7" w14:paraId="7A622466" w14:textId="77777777">
        <w:trPr>
          <w:trHeight w:val="263"/>
        </w:trPr>
        <w:tc>
          <w:tcPr>
            <w:tcW w:w="917" w:type="pct"/>
          </w:tcPr>
          <w:p w:rsidRPr="00D9674B" w:rsidR="00313247" w:rsidP="00FE4186" w:rsidRDefault="00313247" w14:paraId="796F3A11" w14:textId="77777777">
            <w:pPr>
              <w:pStyle w:val="BodyText"/>
              <w:rPr>
                <w:rFonts w:asciiTheme="minorHAnsi" w:hAnsiTheme="minorHAnsi" w:cstheme="minorHAnsi"/>
                <w:b/>
                <w:bCs/>
                <w:sz w:val="20"/>
                <w:highlight w:val="cyan"/>
              </w:rPr>
            </w:pPr>
            <w:r w:rsidRPr="00D9674B">
              <w:rPr>
                <w:rFonts w:asciiTheme="minorHAnsi" w:hAnsiTheme="minorHAnsi" w:cstheme="minorHAnsi"/>
                <w:b/>
                <w:bCs/>
                <w:sz w:val="20"/>
              </w:rPr>
              <w:t>Preparation</w:t>
            </w:r>
          </w:p>
        </w:tc>
        <w:tc>
          <w:tcPr>
            <w:tcW w:w="4083" w:type="pct"/>
          </w:tcPr>
          <w:p w:rsidRPr="00D9674B" w:rsidR="00313247" w:rsidP="00FE4186" w:rsidRDefault="00313247" w14:paraId="3B139C5B" w14:textId="77777777">
            <w:pPr>
              <w:pStyle w:val="BodyText"/>
              <w:rPr>
                <w:rFonts w:asciiTheme="minorHAnsi" w:hAnsiTheme="minorHAnsi" w:cstheme="minorHAnsi"/>
                <w:sz w:val="20"/>
              </w:rPr>
            </w:pPr>
          </w:p>
        </w:tc>
      </w:tr>
      <w:tr w:rsidRPr="00D9674B" w:rsidR="00397A0F" w:rsidTr="001000E7" w14:paraId="21C0ABAB" w14:textId="77777777">
        <w:trPr>
          <w:trHeight w:val="263"/>
        </w:trPr>
        <w:tc>
          <w:tcPr>
            <w:tcW w:w="917" w:type="pct"/>
          </w:tcPr>
          <w:p w:rsidRPr="00D9674B" w:rsidR="00313247" w:rsidP="00FE4186" w:rsidRDefault="00313247" w14:paraId="221B58FD" w14:textId="77777777">
            <w:pPr>
              <w:pStyle w:val="BodyText"/>
              <w:rPr>
                <w:rFonts w:asciiTheme="minorHAnsi" w:hAnsiTheme="minorHAnsi" w:cstheme="minorHAnsi"/>
                <w:b/>
                <w:bCs/>
                <w:sz w:val="20"/>
              </w:rPr>
            </w:pPr>
            <w:r w:rsidRPr="00D9674B">
              <w:rPr>
                <w:rFonts w:asciiTheme="minorHAnsi" w:hAnsiTheme="minorHAnsi" w:cstheme="minorHAnsi"/>
                <w:b/>
                <w:bCs/>
                <w:sz w:val="20"/>
              </w:rPr>
              <w:t>Administration</w:t>
            </w:r>
          </w:p>
        </w:tc>
        <w:tc>
          <w:tcPr>
            <w:tcW w:w="4083" w:type="pct"/>
            <w:vAlign w:val="center"/>
          </w:tcPr>
          <w:p w:rsidRPr="00D9674B" w:rsidR="00313247" w:rsidP="001000E7" w:rsidRDefault="00313247" w14:paraId="0E31A62C" w14:textId="77777777">
            <w:pPr>
              <w:pStyle w:val="BodyText"/>
              <w:jc w:val="left"/>
              <w:rPr>
                <w:rFonts w:asciiTheme="minorHAnsi" w:hAnsiTheme="minorHAnsi" w:cstheme="minorHAnsi"/>
                <w:sz w:val="20"/>
              </w:rPr>
            </w:pPr>
            <w:r w:rsidRPr="0042058A">
              <w:rPr>
                <w:rFonts w:asciiTheme="minorHAnsi" w:hAnsiTheme="minorHAnsi"/>
                <w:sz w:val="20"/>
              </w:rPr>
              <w:t>Oral or intra-gastric tube.</w:t>
            </w:r>
            <w:r w:rsidRPr="0042058A">
              <w:rPr>
                <w:rFonts w:asciiTheme="minorHAnsi" w:hAnsiTheme="minorHAnsi"/>
                <w:sz w:val="20"/>
              </w:rPr>
              <w:br/>
            </w:r>
            <w:r w:rsidRPr="0042058A">
              <w:rPr>
                <w:rFonts w:asciiTheme="minorHAnsi" w:hAnsiTheme="minorHAnsi"/>
                <w:sz w:val="20"/>
              </w:rPr>
              <w:t>Administer undiluted or mixed with a small amount of milk into infant’s mouth through a feeding teat or via intra-gastric tube.</w:t>
            </w:r>
          </w:p>
        </w:tc>
      </w:tr>
      <w:tr w:rsidRPr="00D9674B" w:rsidR="00397A0F" w:rsidTr="001000E7" w14:paraId="1C868C2E" w14:textId="77777777">
        <w:trPr>
          <w:trHeight w:val="263"/>
        </w:trPr>
        <w:tc>
          <w:tcPr>
            <w:tcW w:w="917" w:type="pct"/>
          </w:tcPr>
          <w:p w:rsidRPr="00D9674B" w:rsidR="00313247" w:rsidP="00FE4186" w:rsidRDefault="00313247" w14:paraId="7786961C" w14:textId="77777777">
            <w:pPr>
              <w:pStyle w:val="BodyText"/>
              <w:rPr>
                <w:rFonts w:asciiTheme="minorHAnsi" w:hAnsiTheme="minorHAnsi" w:cstheme="minorHAnsi"/>
                <w:b/>
                <w:bCs/>
                <w:sz w:val="20"/>
              </w:rPr>
            </w:pPr>
            <w:r w:rsidRPr="00D9674B">
              <w:rPr>
                <w:rFonts w:asciiTheme="minorHAnsi" w:hAnsiTheme="minorHAnsi" w:cstheme="minorHAnsi"/>
                <w:b/>
                <w:bCs/>
                <w:sz w:val="20"/>
              </w:rPr>
              <w:t>Monitoring</w:t>
            </w:r>
          </w:p>
        </w:tc>
        <w:tc>
          <w:tcPr>
            <w:tcW w:w="4083" w:type="pct"/>
          </w:tcPr>
          <w:p w:rsidRPr="00D9674B" w:rsidR="00313247" w:rsidP="00FE4186" w:rsidRDefault="00313247" w14:paraId="0139ABF5" w14:textId="77777777">
            <w:pPr>
              <w:pStyle w:val="BodyText"/>
              <w:rPr>
                <w:rFonts w:asciiTheme="minorHAnsi" w:hAnsiTheme="minorHAnsi" w:cstheme="minorHAnsi"/>
                <w:sz w:val="20"/>
              </w:rPr>
            </w:pPr>
          </w:p>
        </w:tc>
      </w:tr>
      <w:tr w:rsidRPr="00D9674B" w:rsidR="00397A0F" w:rsidTr="001000E7" w14:paraId="0D0B8691" w14:textId="77777777">
        <w:trPr>
          <w:trHeight w:val="263"/>
        </w:trPr>
        <w:tc>
          <w:tcPr>
            <w:tcW w:w="917" w:type="pct"/>
          </w:tcPr>
          <w:p w:rsidRPr="00D9674B" w:rsidR="00313247" w:rsidP="00FE4186" w:rsidRDefault="00313247" w14:paraId="70BC80B3" w14:textId="77777777">
            <w:pPr>
              <w:pStyle w:val="BodyText"/>
              <w:rPr>
                <w:rFonts w:asciiTheme="minorHAnsi" w:hAnsiTheme="minorHAnsi" w:cstheme="minorHAnsi"/>
                <w:b/>
                <w:bCs/>
                <w:sz w:val="20"/>
              </w:rPr>
            </w:pPr>
            <w:r w:rsidRPr="00D9674B">
              <w:rPr>
                <w:rFonts w:asciiTheme="minorHAnsi" w:hAnsiTheme="minorHAnsi" w:cstheme="minorHAnsi"/>
                <w:b/>
                <w:bCs/>
                <w:sz w:val="20"/>
              </w:rPr>
              <w:t>Contraindications</w:t>
            </w:r>
          </w:p>
        </w:tc>
        <w:tc>
          <w:tcPr>
            <w:tcW w:w="4083" w:type="pct"/>
          </w:tcPr>
          <w:p w:rsidRPr="00D9674B" w:rsidR="00313247" w:rsidP="00FE4186" w:rsidRDefault="00313247" w14:paraId="0AA23D04" w14:textId="77777777">
            <w:pPr>
              <w:pStyle w:val="BodyText"/>
              <w:rPr>
                <w:rFonts w:asciiTheme="minorHAnsi" w:hAnsiTheme="minorHAnsi" w:cstheme="minorHAnsi"/>
                <w:sz w:val="20"/>
              </w:rPr>
            </w:pPr>
            <w:r w:rsidRPr="0042058A">
              <w:rPr>
                <w:rFonts w:asciiTheme="minorHAnsi" w:hAnsiTheme="minorHAnsi"/>
                <w:sz w:val="20"/>
              </w:rPr>
              <w:t>Not yet tolerating full feeds.</w:t>
            </w:r>
          </w:p>
        </w:tc>
      </w:tr>
      <w:tr w:rsidRPr="00D9674B" w:rsidR="00397A0F" w:rsidTr="001000E7" w14:paraId="42E00643" w14:textId="77777777">
        <w:trPr>
          <w:trHeight w:val="263"/>
        </w:trPr>
        <w:tc>
          <w:tcPr>
            <w:tcW w:w="917" w:type="pct"/>
          </w:tcPr>
          <w:p w:rsidRPr="00D9674B" w:rsidR="00313247" w:rsidP="00FE4186" w:rsidRDefault="00313247" w14:paraId="0E36206D" w14:textId="77777777">
            <w:pPr>
              <w:pStyle w:val="BodyText"/>
              <w:rPr>
                <w:rFonts w:asciiTheme="minorHAnsi" w:hAnsiTheme="minorHAnsi" w:cstheme="minorHAnsi"/>
                <w:b/>
                <w:bCs/>
                <w:sz w:val="20"/>
              </w:rPr>
            </w:pPr>
            <w:r w:rsidRPr="00D9674B">
              <w:rPr>
                <w:rFonts w:asciiTheme="minorHAnsi" w:hAnsiTheme="minorHAnsi" w:cstheme="minorHAnsi"/>
                <w:sz w:val="20"/>
              </w:rPr>
              <w:br w:type="page"/>
            </w:r>
            <w:r w:rsidRPr="00D9674B">
              <w:rPr>
                <w:rFonts w:asciiTheme="minorHAnsi" w:hAnsiTheme="minorHAnsi" w:cstheme="minorHAnsi"/>
                <w:b/>
                <w:bCs/>
                <w:sz w:val="20"/>
              </w:rPr>
              <w:t>Precautions</w:t>
            </w:r>
          </w:p>
        </w:tc>
        <w:tc>
          <w:tcPr>
            <w:tcW w:w="4083" w:type="pct"/>
          </w:tcPr>
          <w:p w:rsidRPr="00D9674B" w:rsidR="00313247" w:rsidP="00FE4186" w:rsidRDefault="00313247" w14:paraId="4D86AE78" w14:textId="77777777">
            <w:pPr>
              <w:pStyle w:val="BodyText"/>
              <w:rPr>
                <w:rFonts w:asciiTheme="minorHAnsi" w:hAnsiTheme="minorHAnsi" w:cstheme="minorHAnsi"/>
                <w:sz w:val="20"/>
              </w:rPr>
            </w:pPr>
            <w:r w:rsidRPr="0042058A">
              <w:rPr>
                <w:rFonts w:asciiTheme="minorHAnsi" w:hAnsiTheme="minorHAnsi"/>
                <w:sz w:val="20"/>
              </w:rPr>
              <w:t>Direct administration into the mouth may cause choking and apnoea.</w:t>
            </w:r>
          </w:p>
        </w:tc>
      </w:tr>
      <w:tr w:rsidRPr="00D9674B" w:rsidR="00397A0F" w:rsidTr="001000E7" w14:paraId="6A678EC6" w14:textId="77777777">
        <w:trPr>
          <w:trHeight w:val="263"/>
        </w:trPr>
        <w:tc>
          <w:tcPr>
            <w:tcW w:w="917" w:type="pct"/>
          </w:tcPr>
          <w:p w:rsidRPr="00D9674B" w:rsidR="00313247" w:rsidP="00FE4186" w:rsidRDefault="00313247" w14:paraId="275D1BEC" w14:textId="77777777">
            <w:pPr>
              <w:pStyle w:val="BodyText"/>
              <w:rPr>
                <w:rFonts w:asciiTheme="minorHAnsi" w:hAnsiTheme="minorHAnsi" w:cstheme="minorHAnsi"/>
                <w:b/>
                <w:bCs/>
                <w:sz w:val="20"/>
              </w:rPr>
            </w:pPr>
            <w:r w:rsidRPr="00D9674B">
              <w:rPr>
                <w:rFonts w:asciiTheme="minorHAnsi" w:hAnsiTheme="minorHAnsi" w:cstheme="minorHAnsi"/>
                <w:b/>
                <w:bCs/>
                <w:sz w:val="20"/>
              </w:rPr>
              <w:t>Drug interactions</w:t>
            </w:r>
          </w:p>
        </w:tc>
        <w:tc>
          <w:tcPr>
            <w:tcW w:w="4083" w:type="pct"/>
          </w:tcPr>
          <w:p w:rsidRPr="00D9674B" w:rsidR="00313247" w:rsidP="00FE4186" w:rsidRDefault="00313247" w14:paraId="3A04EF92" w14:textId="77777777">
            <w:pPr>
              <w:pStyle w:val="BodyText"/>
              <w:rPr>
                <w:rFonts w:asciiTheme="minorHAnsi" w:hAnsiTheme="minorHAnsi" w:cstheme="minorHAnsi"/>
                <w:sz w:val="20"/>
              </w:rPr>
            </w:pPr>
          </w:p>
        </w:tc>
      </w:tr>
      <w:tr w:rsidRPr="00D9674B" w:rsidR="00397A0F" w:rsidTr="001000E7" w14:paraId="75118B6D" w14:textId="77777777">
        <w:trPr>
          <w:trHeight w:val="263"/>
        </w:trPr>
        <w:tc>
          <w:tcPr>
            <w:tcW w:w="917" w:type="pct"/>
          </w:tcPr>
          <w:p w:rsidRPr="00D9674B" w:rsidR="00313247" w:rsidP="00FE4186" w:rsidRDefault="00313247" w14:paraId="21DD40DC" w14:textId="77777777">
            <w:pPr>
              <w:pStyle w:val="BodyText"/>
              <w:rPr>
                <w:rFonts w:asciiTheme="minorHAnsi" w:hAnsiTheme="minorHAnsi" w:cstheme="minorHAnsi"/>
                <w:b/>
                <w:bCs/>
                <w:sz w:val="20"/>
              </w:rPr>
            </w:pPr>
            <w:r w:rsidRPr="00D9674B">
              <w:rPr>
                <w:rFonts w:asciiTheme="minorHAnsi" w:hAnsiTheme="minorHAnsi" w:cstheme="minorHAnsi"/>
                <w:b/>
                <w:bCs/>
                <w:sz w:val="20"/>
              </w:rPr>
              <w:t xml:space="preserve">Adverse reactions </w:t>
            </w:r>
          </w:p>
        </w:tc>
        <w:tc>
          <w:tcPr>
            <w:tcW w:w="4083" w:type="pct"/>
          </w:tcPr>
          <w:p w:rsidRPr="00D9674B" w:rsidR="00313247" w:rsidP="00FE4186" w:rsidRDefault="00313247" w14:paraId="400E0639" w14:textId="77777777">
            <w:pPr>
              <w:pStyle w:val="BodyText"/>
              <w:rPr>
                <w:rFonts w:asciiTheme="minorHAnsi" w:hAnsiTheme="minorHAnsi" w:cstheme="minorHAnsi"/>
                <w:sz w:val="20"/>
              </w:rPr>
            </w:pPr>
          </w:p>
        </w:tc>
      </w:tr>
      <w:tr w:rsidRPr="00D9674B" w:rsidR="00397A0F" w:rsidTr="001000E7" w14:paraId="7A1794F0" w14:textId="77777777">
        <w:trPr>
          <w:trHeight w:val="263"/>
        </w:trPr>
        <w:tc>
          <w:tcPr>
            <w:tcW w:w="917" w:type="pct"/>
          </w:tcPr>
          <w:p w:rsidRPr="00D9674B" w:rsidR="00313247" w:rsidP="00FE4186" w:rsidRDefault="00313247" w14:paraId="3D1EC2D1" w14:textId="77777777">
            <w:pPr>
              <w:pStyle w:val="BodyText"/>
              <w:rPr>
                <w:rFonts w:asciiTheme="minorHAnsi" w:hAnsiTheme="minorHAnsi" w:cstheme="minorHAnsi"/>
                <w:b/>
                <w:bCs/>
                <w:sz w:val="20"/>
              </w:rPr>
            </w:pPr>
            <w:r w:rsidRPr="00D9674B">
              <w:rPr>
                <w:rFonts w:asciiTheme="minorHAnsi" w:hAnsiTheme="minorHAnsi" w:cstheme="minorHAnsi"/>
                <w:b/>
                <w:bCs/>
                <w:sz w:val="20"/>
              </w:rPr>
              <w:t>Compatibility</w:t>
            </w:r>
          </w:p>
        </w:tc>
        <w:tc>
          <w:tcPr>
            <w:tcW w:w="4083" w:type="pct"/>
          </w:tcPr>
          <w:p w:rsidRPr="00D9674B" w:rsidR="00313247" w:rsidP="00FE4186" w:rsidRDefault="00313247" w14:paraId="6024AD42" w14:textId="77777777">
            <w:pPr>
              <w:pStyle w:val="BodyText"/>
              <w:rPr>
                <w:rFonts w:asciiTheme="minorHAnsi" w:hAnsiTheme="minorHAnsi" w:cstheme="minorHAnsi"/>
                <w:sz w:val="20"/>
              </w:rPr>
            </w:pPr>
          </w:p>
        </w:tc>
      </w:tr>
      <w:tr w:rsidRPr="00D9674B" w:rsidR="00397A0F" w:rsidTr="001000E7" w14:paraId="6E48808E" w14:textId="77777777">
        <w:trPr>
          <w:trHeight w:val="263"/>
        </w:trPr>
        <w:tc>
          <w:tcPr>
            <w:tcW w:w="917" w:type="pct"/>
          </w:tcPr>
          <w:p w:rsidRPr="00D9674B" w:rsidR="00313247" w:rsidP="00FE4186" w:rsidRDefault="00313247" w14:paraId="75B9C4D4" w14:textId="77777777">
            <w:pPr>
              <w:pStyle w:val="BodyText"/>
              <w:rPr>
                <w:rFonts w:asciiTheme="minorHAnsi" w:hAnsiTheme="minorHAnsi" w:cstheme="minorHAnsi"/>
                <w:b/>
                <w:bCs/>
                <w:sz w:val="20"/>
              </w:rPr>
            </w:pPr>
            <w:r w:rsidRPr="00D9674B">
              <w:rPr>
                <w:rFonts w:asciiTheme="minorHAnsi" w:hAnsiTheme="minorHAnsi" w:cstheme="minorHAnsi"/>
                <w:b/>
                <w:bCs/>
                <w:sz w:val="20"/>
              </w:rPr>
              <w:t>Incompatibility</w:t>
            </w:r>
          </w:p>
        </w:tc>
        <w:tc>
          <w:tcPr>
            <w:tcW w:w="4083" w:type="pct"/>
          </w:tcPr>
          <w:p w:rsidRPr="00D9674B" w:rsidR="00313247" w:rsidP="00FE4186" w:rsidRDefault="00313247" w14:paraId="72C0ECC7" w14:textId="77777777">
            <w:pPr>
              <w:pStyle w:val="BodyText"/>
              <w:rPr>
                <w:rFonts w:asciiTheme="minorHAnsi" w:hAnsiTheme="minorHAnsi" w:cstheme="minorHAnsi"/>
                <w:sz w:val="20"/>
              </w:rPr>
            </w:pPr>
          </w:p>
        </w:tc>
      </w:tr>
      <w:tr w:rsidRPr="00D9674B" w:rsidR="00397A0F" w:rsidTr="001000E7" w14:paraId="1C6F4034" w14:textId="77777777">
        <w:trPr>
          <w:trHeight w:val="263"/>
        </w:trPr>
        <w:tc>
          <w:tcPr>
            <w:tcW w:w="917" w:type="pct"/>
          </w:tcPr>
          <w:p w:rsidRPr="00D9674B" w:rsidR="00313247" w:rsidP="00FE4186" w:rsidRDefault="00313247" w14:paraId="6E78C7F0" w14:textId="77777777">
            <w:pPr>
              <w:pStyle w:val="BodyText"/>
              <w:rPr>
                <w:rFonts w:asciiTheme="minorHAnsi" w:hAnsiTheme="minorHAnsi" w:cstheme="minorHAnsi"/>
                <w:b/>
                <w:bCs/>
                <w:sz w:val="20"/>
              </w:rPr>
            </w:pPr>
            <w:r w:rsidRPr="00D9674B">
              <w:rPr>
                <w:rFonts w:asciiTheme="minorHAnsi" w:hAnsiTheme="minorHAnsi" w:cstheme="minorHAnsi"/>
                <w:b/>
                <w:bCs/>
                <w:sz w:val="20"/>
              </w:rPr>
              <w:t>Stability</w:t>
            </w:r>
          </w:p>
        </w:tc>
        <w:tc>
          <w:tcPr>
            <w:tcW w:w="4083" w:type="pct"/>
          </w:tcPr>
          <w:p w:rsidRPr="00F974BE" w:rsidR="00313247" w:rsidP="00FE4186" w:rsidRDefault="00313247" w14:paraId="2A9B21DF" w14:textId="77777777">
            <w:pPr>
              <w:pStyle w:val="BodyText"/>
              <w:rPr>
                <w:rFonts w:asciiTheme="minorHAnsi" w:hAnsiTheme="minorHAnsi" w:cstheme="minorHAnsi"/>
                <w:sz w:val="20"/>
              </w:rPr>
            </w:pPr>
            <w:r>
              <w:rPr>
                <w:rFonts w:asciiTheme="minorHAnsi" w:hAnsiTheme="minorHAnsi" w:cstheme="minorHAnsi"/>
                <w:sz w:val="20"/>
              </w:rPr>
              <w:t>Do not shake.</w:t>
            </w:r>
          </w:p>
        </w:tc>
      </w:tr>
      <w:tr w:rsidRPr="00D9674B" w:rsidR="00397A0F" w:rsidTr="001000E7" w14:paraId="2118256E" w14:textId="77777777">
        <w:trPr>
          <w:trHeight w:val="263"/>
        </w:trPr>
        <w:tc>
          <w:tcPr>
            <w:tcW w:w="917" w:type="pct"/>
          </w:tcPr>
          <w:p w:rsidRPr="00D9674B" w:rsidR="00313247" w:rsidP="00FE4186" w:rsidRDefault="00313247" w14:paraId="72FEDCB6" w14:textId="77777777">
            <w:pPr>
              <w:pStyle w:val="BodyText"/>
              <w:rPr>
                <w:rFonts w:asciiTheme="minorHAnsi" w:hAnsiTheme="minorHAnsi" w:cstheme="minorHAnsi"/>
                <w:b/>
                <w:bCs/>
                <w:sz w:val="20"/>
              </w:rPr>
            </w:pPr>
            <w:r w:rsidRPr="00D9674B">
              <w:rPr>
                <w:rFonts w:asciiTheme="minorHAnsi" w:hAnsiTheme="minorHAnsi" w:cstheme="minorHAnsi"/>
                <w:b/>
                <w:bCs/>
                <w:sz w:val="20"/>
              </w:rPr>
              <w:t>Storage</w:t>
            </w:r>
          </w:p>
        </w:tc>
        <w:tc>
          <w:tcPr>
            <w:tcW w:w="4083" w:type="pct"/>
            <w:shd w:val="clear" w:color="auto" w:fill="auto"/>
          </w:tcPr>
          <w:p w:rsidR="00313247" w:rsidP="00FE4186" w:rsidRDefault="00313247" w14:paraId="36661972" w14:textId="6078489D">
            <w:pPr>
              <w:pStyle w:val="BodyText"/>
              <w:rPr>
                <w:rFonts w:asciiTheme="minorHAnsi" w:hAnsiTheme="minorHAnsi" w:cstheme="minorBidi"/>
                <w:sz w:val="20"/>
              </w:rPr>
            </w:pPr>
            <w:r w:rsidRPr="4B6A90C3">
              <w:rPr>
                <w:rFonts w:asciiTheme="minorHAnsi" w:hAnsiTheme="minorHAnsi" w:cstheme="minorBidi"/>
                <w:sz w:val="20"/>
              </w:rPr>
              <w:t xml:space="preserve">Store below </w:t>
            </w:r>
            <w:r w:rsidRPr="4B6A90C3" w:rsidR="757ACEFE">
              <w:rPr>
                <w:rFonts w:asciiTheme="minorHAnsi" w:hAnsiTheme="minorHAnsi" w:cstheme="minorBidi"/>
                <w:sz w:val="20"/>
              </w:rPr>
              <w:t>25</w:t>
            </w:r>
            <w:r w:rsidRPr="4B6A90C3" w:rsidR="1B106C5B">
              <w:rPr>
                <w:rFonts w:asciiTheme="minorHAnsi" w:hAnsiTheme="minorHAnsi" w:cstheme="minorBidi"/>
                <w:sz w:val="20"/>
              </w:rPr>
              <w:t>°</w:t>
            </w:r>
            <w:r w:rsidRPr="4B6A90C3" w:rsidR="757ACEFE">
              <w:rPr>
                <w:rFonts w:asciiTheme="minorHAnsi" w:hAnsiTheme="minorHAnsi" w:cstheme="minorBidi"/>
                <w:sz w:val="20"/>
              </w:rPr>
              <w:t>C.</w:t>
            </w:r>
            <w:r w:rsidRPr="4B6A90C3">
              <w:rPr>
                <w:rFonts w:asciiTheme="minorHAnsi" w:hAnsiTheme="minorHAnsi" w:cstheme="minorBidi"/>
                <w:sz w:val="20"/>
              </w:rPr>
              <w:t xml:space="preserve"> Protect from light.</w:t>
            </w:r>
          </w:p>
          <w:p w:rsidRPr="00F974BE" w:rsidR="00313247" w:rsidP="00FE4186" w:rsidRDefault="00313247" w14:paraId="05EAF07A" w14:textId="77777777">
            <w:pPr>
              <w:pStyle w:val="BodyText"/>
              <w:rPr>
                <w:rFonts w:asciiTheme="minorHAnsi" w:hAnsiTheme="minorHAnsi" w:cstheme="minorHAnsi"/>
                <w:sz w:val="20"/>
              </w:rPr>
            </w:pPr>
            <w:r>
              <w:rPr>
                <w:rFonts w:asciiTheme="minorHAnsi" w:hAnsiTheme="minorHAnsi" w:cstheme="minorHAnsi"/>
                <w:sz w:val="20"/>
              </w:rPr>
              <w:t xml:space="preserve">Refrigerate after opening. Use within 9 weeks after opening.  </w:t>
            </w:r>
          </w:p>
        </w:tc>
      </w:tr>
      <w:tr w:rsidRPr="00D9674B" w:rsidR="00397A0F" w:rsidTr="001000E7" w14:paraId="6EAAD559" w14:textId="77777777">
        <w:trPr>
          <w:trHeight w:val="263"/>
        </w:trPr>
        <w:tc>
          <w:tcPr>
            <w:tcW w:w="917" w:type="pct"/>
          </w:tcPr>
          <w:p w:rsidRPr="00D9674B" w:rsidR="00313247" w:rsidP="00FE4186" w:rsidRDefault="00313247" w14:paraId="3660ADC6" w14:textId="77777777">
            <w:pPr>
              <w:pStyle w:val="BodyText"/>
              <w:rPr>
                <w:rFonts w:asciiTheme="minorHAnsi" w:hAnsiTheme="minorHAnsi" w:cstheme="minorHAnsi"/>
                <w:b/>
                <w:bCs/>
                <w:sz w:val="20"/>
              </w:rPr>
            </w:pPr>
            <w:r w:rsidRPr="00D9674B">
              <w:rPr>
                <w:rFonts w:asciiTheme="minorHAnsi" w:hAnsiTheme="minorHAnsi" w:cstheme="minorHAnsi"/>
                <w:b/>
                <w:bCs/>
                <w:sz w:val="20"/>
              </w:rPr>
              <w:t>Excipients</w:t>
            </w:r>
          </w:p>
        </w:tc>
        <w:tc>
          <w:tcPr>
            <w:tcW w:w="4083" w:type="pct"/>
          </w:tcPr>
          <w:p w:rsidRPr="00D9674B" w:rsidR="00313247" w:rsidP="00FE4186" w:rsidRDefault="00313247" w14:paraId="35F76357" w14:textId="77777777">
            <w:pPr>
              <w:pStyle w:val="BodyText"/>
              <w:rPr>
                <w:rFonts w:asciiTheme="minorHAnsi" w:hAnsiTheme="minorHAnsi" w:cstheme="minorHAnsi"/>
                <w:sz w:val="20"/>
              </w:rPr>
            </w:pPr>
          </w:p>
        </w:tc>
      </w:tr>
      <w:tr w:rsidRPr="00D9674B" w:rsidR="00397A0F" w:rsidTr="001000E7" w14:paraId="7DE301C7" w14:textId="77777777">
        <w:trPr>
          <w:trHeight w:val="263"/>
        </w:trPr>
        <w:tc>
          <w:tcPr>
            <w:tcW w:w="917" w:type="pct"/>
          </w:tcPr>
          <w:p w:rsidRPr="00D9674B" w:rsidR="00313247" w:rsidP="00FE4186" w:rsidRDefault="00313247" w14:paraId="2AC7A1E2" w14:textId="77777777">
            <w:pPr>
              <w:pStyle w:val="BodyText"/>
              <w:rPr>
                <w:rFonts w:asciiTheme="minorHAnsi" w:hAnsiTheme="minorHAnsi" w:cstheme="minorHAnsi"/>
                <w:b/>
                <w:bCs/>
                <w:sz w:val="20"/>
              </w:rPr>
            </w:pPr>
            <w:r w:rsidRPr="00D9674B">
              <w:rPr>
                <w:rFonts w:asciiTheme="minorHAnsi" w:hAnsiTheme="minorHAnsi" w:cstheme="minorHAnsi"/>
                <w:b/>
                <w:bCs/>
                <w:sz w:val="20"/>
              </w:rPr>
              <w:t xml:space="preserve">Special comments </w:t>
            </w:r>
          </w:p>
        </w:tc>
        <w:tc>
          <w:tcPr>
            <w:tcW w:w="4083" w:type="pct"/>
          </w:tcPr>
          <w:p w:rsidRPr="00D9674B" w:rsidR="00313247" w:rsidP="00FE4186" w:rsidRDefault="00313247" w14:paraId="479A19F7" w14:textId="77777777">
            <w:pPr>
              <w:pStyle w:val="BodyText"/>
              <w:rPr>
                <w:rFonts w:asciiTheme="minorHAnsi" w:hAnsiTheme="minorHAnsi" w:cstheme="minorHAnsi"/>
                <w:sz w:val="20"/>
              </w:rPr>
            </w:pPr>
          </w:p>
        </w:tc>
      </w:tr>
      <w:tr w:rsidRPr="00D9674B" w:rsidR="00397A0F" w:rsidTr="001000E7" w14:paraId="314647B1" w14:textId="77777777">
        <w:trPr>
          <w:trHeight w:val="263"/>
        </w:trPr>
        <w:tc>
          <w:tcPr>
            <w:tcW w:w="917" w:type="pct"/>
          </w:tcPr>
          <w:p w:rsidRPr="00D9674B" w:rsidR="00313247" w:rsidP="00FE4186" w:rsidRDefault="00313247" w14:paraId="08C82276" w14:textId="77777777">
            <w:pPr>
              <w:pStyle w:val="BodyText"/>
              <w:rPr>
                <w:rFonts w:asciiTheme="minorHAnsi" w:hAnsiTheme="minorHAnsi" w:cstheme="minorHAnsi"/>
                <w:b/>
                <w:bCs/>
                <w:sz w:val="20"/>
              </w:rPr>
            </w:pPr>
            <w:r w:rsidRPr="00D9674B">
              <w:rPr>
                <w:rFonts w:asciiTheme="minorHAnsi" w:hAnsiTheme="minorHAnsi" w:cstheme="minorHAnsi"/>
                <w:b/>
                <w:bCs/>
                <w:sz w:val="20"/>
              </w:rPr>
              <w:t xml:space="preserve">Evidence </w:t>
            </w:r>
          </w:p>
        </w:tc>
        <w:tc>
          <w:tcPr>
            <w:tcW w:w="4083" w:type="pct"/>
          </w:tcPr>
          <w:p w:rsidRPr="001000E7" w:rsidR="00313247" w:rsidP="001000E7" w:rsidRDefault="00313247" w14:paraId="00DEC364" w14:textId="77777777">
            <w:pPr>
              <w:pStyle w:val="BodyText"/>
              <w:jc w:val="left"/>
              <w:rPr>
                <w:rFonts w:asciiTheme="minorHAnsi" w:hAnsiTheme="minorHAnsi"/>
                <w:sz w:val="16"/>
                <w:szCs w:val="16"/>
              </w:rPr>
            </w:pPr>
            <w:r w:rsidRPr="001000E7">
              <w:rPr>
                <w:rFonts w:asciiTheme="minorHAnsi" w:hAnsiTheme="minorHAnsi"/>
                <w:sz w:val="16"/>
                <w:szCs w:val="16"/>
              </w:rPr>
              <w:t>No studies were located which examined the impact of multivitamin supplementation on any outcomes in low birth weight (LBW) infants.</w:t>
            </w:r>
            <w:r w:rsidRPr="001000E7">
              <w:rPr>
                <w:rFonts w:asciiTheme="minorHAnsi" w:hAnsiTheme="minorHAnsi"/>
                <w:sz w:val="16"/>
                <w:szCs w:val="16"/>
              </w:rPr>
              <w:br/>
            </w:r>
            <w:r w:rsidRPr="001000E7">
              <w:rPr>
                <w:rFonts w:asciiTheme="minorHAnsi" w:hAnsiTheme="minorHAnsi"/>
                <w:sz w:val="16"/>
                <w:szCs w:val="16"/>
              </w:rPr>
              <w:t xml:space="preserve">Policy statements from organisations in developed countries recommend providing multivitamin supplementation with a neonatal multivitamin preparation containing vitamins A, D, C, B1, B2, B6, pantothenic acid and niacin to all LBW infants receiving human milk from birth until the infant attains a weight of 2000 g. </w:t>
            </w:r>
          </w:p>
          <w:p w:rsidRPr="001000E7" w:rsidR="00313247" w:rsidP="001000E7" w:rsidRDefault="00313247" w14:paraId="7CFA817B" w14:textId="77777777">
            <w:pPr>
              <w:pStyle w:val="BodyText"/>
              <w:tabs>
                <w:tab w:val="left" w:pos="1168"/>
              </w:tabs>
              <w:jc w:val="left"/>
              <w:rPr>
                <w:rFonts w:asciiTheme="minorHAnsi" w:hAnsiTheme="minorHAnsi" w:cstheme="minorHAnsi"/>
                <w:sz w:val="16"/>
                <w:szCs w:val="16"/>
              </w:rPr>
            </w:pPr>
            <w:r w:rsidRPr="001000E7">
              <w:rPr>
                <w:rFonts w:asciiTheme="minorHAnsi" w:hAnsiTheme="minorHAnsi"/>
                <w:sz w:val="16"/>
                <w:szCs w:val="16"/>
              </w:rPr>
              <w:t>Many units provide a multivitamin preparation to all LBW infants until 6 to 12 months chronological age.</w:t>
            </w:r>
            <w:r w:rsidRPr="001000E7">
              <w:rPr>
                <w:rFonts w:asciiTheme="minorHAnsi" w:hAnsiTheme="minorHAnsi"/>
                <w:sz w:val="16"/>
                <w:szCs w:val="16"/>
              </w:rPr>
              <w:br/>
            </w:r>
            <w:r w:rsidRPr="001000E7">
              <w:rPr>
                <w:rFonts w:asciiTheme="minorHAnsi" w:hAnsiTheme="minorHAnsi"/>
                <w:sz w:val="16"/>
                <w:szCs w:val="16"/>
              </w:rPr>
              <w:t xml:space="preserve">Vitamin D − There is evidence of reduced linear growth and increased risk of rickets in babies with a birth weight &lt; 1500 g fed un-supplemented human milk. There is no consistent benefit of increasing the intake of vitamin D above 400 Units per day. </w:t>
            </w:r>
            <w:r w:rsidRPr="001000E7">
              <w:rPr>
                <w:rFonts w:asciiTheme="minorHAnsi" w:hAnsiTheme="minorHAnsi"/>
                <w:sz w:val="16"/>
                <w:szCs w:val="16"/>
              </w:rPr>
              <w:br/>
            </w:r>
            <w:r w:rsidRPr="001000E7">
              <w:rPr>
                <w:rFonts w:asciiTheme="minorHAnsi" w:hAnsiTheme="minorHAnsi"/>
                <w:sz w:val="16"/>
                <w:szCs w:val="16"/>
              </w:rPr>
              <w:lastRenderedPageBreak/>
              <w:t>There are no clinical trial data on the effect of vitamin D on key clinical outcomes in infants with a birth weight &gt; 1500 g.</w:t>
            </w:r>
          </w:p>
        </w:tc>
      </w:tr>
      <w:tr w:rsidRPr="00D9674B" w:rsidR="00397A0F" w:rsidTr="001000E7" w14:paraId="65260AC9" w14:textId="77777777">
        <w:trPr>
          <w:trHeight w:val="263"/>
        </w:trPr>
        <w:tc>
          <w:tcPr>
            <w:tcW w:w="917" w:type="pct"/>
          </w:tcPr>
          <w:p w:rsidRPr="00D9674B" w:rsidR="00313247" w:rsidP="00FE4186" w:rsidRDefault="00313247" w14:paraId="703927FD" w14:textId="77777777">
            <w:pPr>
              <w:pStyle w:val="BodyText"/>
              <w:rPr>
                <w:rFonts w:asciiTheme="minorHAnsi" w:hAnsiTheme="minorHAnsi" w:cstheme="minorHAnsi"/>
                <w:b/>
                <w:bCs/>
                <w:sz w:val="20"/>
              </w:rPr>
            </w:pPr>
            <w:r w:rsidRPr="00D9674B">
              <w:rPr>
                <w:rFonts w:asciiTheme="minorHAnsi" w:hAnsiTheme="minorHAnsi" w:cstheme="minorHAnsi"/>
                <w:b/>
                <w:bCs/>
                <w:sz w:val="20"/>
              </w:rPr>
              <w:lastRenderedPageBreak/>
              <w:t>Practice points</w:t>
            </w:r>
          </w:p>
        </w:tc>
        <w:tc>
          <w:tcPr>
            <w:tcW w:w="4083" w:type="pct"/>
          </w:tcPr>
          <w:p w:rsidRPr="001000E7" w:rsidR="00313247" w:rsidP="001000E7" w:rsidRDefault="00313247" w14:paraId="5BC01B2E" w14:textId="77777777">
            <w:pPr>
              <w:pStyle w:val="BodyText"/>
              <w:tabs>
                <w:tab w:val="left" w:pos="1168"/>
              </w:tabs>
              <w:jc w:val="left"/>
              <w:rPr>
                <w:rFonts w:asciiTheme="minorHAnsi" w:hAnsiTheme="minorHAnsi"/>
                <w:sz w:val="16"/>
                <w:szCs w:val="16"/>
              </w:rPr>
            </w:pPr>
            <w:r w:rsidRPr="001000E7">
              <w:rPr>
                <w:rFonts w:asciiTheme="minorHAnsi" w:hAnsiTheme="minorHAnsi"/>
                <w:sz w:val="16"/>
                <w:szCs w:val="16"/>
              </w:rPr>
              <w:t xml:space="preserve">Penta-vite® contains vitamin D, it may be used for later preterm or term infants at risk of vitamin D deficiency. However, this may be better managed through the use of single ingredient vitamin D preparations (see Colecalciferol) </w:t>
            </w:r>
          </w:p>
          <w:p w:rsidRPr="001000E7" w:rsidR="00313247" w:rsidP="001000E7" w:rsidRDefault="00313247" w14:paraId="73DFA0BB" w14:textId="77777777">
            <w:pPr>
              <w:pStyle w:val="BodyText"/>
              <w:tabs>
                <w:tab w:val="left" w:pos="1168"/>
              </w:tabs>
              <w:jc w:val="left"/>
              <w:rPr>
                <w:rFonts w:asciiTheme="minorHAnsi" w:hAnsiTheme="minorHAnsi" w:cstheme="minorHAnsi"/>
                <w:sz w:val="16"/>
                <w:szCs w:val="16"/>
              </w:rPr>
            </w:pPr>
            <w:r w:rsidRPr="001000E7">
              <w:rPr>
                <w:rFonts w:asciiTheme="minorHAnsi" w:hAnsiTheme="minorHAnsi"/>
                <w:sz w:val="16"/>
                <w:szCs w:val="16"/>
              </w:rPr>
              <w:t>For preterm infants the dose may be halved (i.e. 0.23 mL) and given twice daily to improve tolerability Infants with cholestasis should receive additional vitamin D supplementation until cholestasis/fat malabsorption resolves (see Colecalciferol). Other fat soluble vitamins may also require supplementation</w:t>
            </w:r>
          </w:p>
        </w:tc>
      </w:tr>
      <w:tr w:rsidRPr="00D9674B" w:rsidR="00397A0F" w:rsidTr="001000E7" w14:paraId="3EFCD4BC" w14:textId="77777777">
        <w:trPr>
          <w:trHeight w:val="263"/>
        </w:trPr>
        <w:tc>
          <w:tcPr>
            <w:tcW w:w="917" w:type="pct"/>
          </w:tcPr>
          <w:p w:rsidRPr="00D9674B" w:rsidR="00313247" w:rsidP="00FE4186" w:rsidRDefault="00313247" w14:paraId="7F78ADBD" w14:textId="77777777">
            <w:pPr>
              <w:pStyle w:val="BodyText"/>
              <w:rPr>
                <w:rFonts w:asciiTheme="minorHAnsi" w:hAnsiTheme="minorHAnsi" w:cstheme="minorHAnsi"/>
                <w:b/>
                <w:bCs/>
                <w:sz w:val="20"/>
              </w:rPr>
            </w:pPr>
            <w:r w:rsidRPr="00D9674B">
              <w:rPr>
                <w:rFonts w:asciiTheme="minorHAnsi" w:hAnsiTheme="minorHAnsi" w:cstheme="minorHAnsi"/>
                <w:b/>
                <w:sz w:val="20"/>
              </w:rPr>
              <w:t>References</w:t>
            </w:r>
          </w:p>
        </w:tc>
        <w:tc>
          <w:tcPr>
            <w:tcW w:w="4083" w:type="pct"/>
          </w:tcPr>
          <w:p w:rsidRPr="001000E7" w:rsidR="00313247" w:rsidP="001B0E05" w:rsidRDefault="00313247" w14:paraId="53AE1B01" w14:textId="77777777">
            <w:pPr>
              <w:pStyle w:val="ListParagraph"/>
              <w:numPr>
                <w:ilvl w:val="0"/>
                <w:numId w:val="116"/>
              </w:numPr>
              <w:spacing w:after="160" w:line="259" w:lineRule="auto"/>
              <w:ind w:left="284" w:hanging="284"/>
              <w:rPr>
                <w:rFonts w:asciiTheme="minorHAnsi" w:hAnsiTheme="minorHAnsi"/>
                <w:sz w:val="16"/>
                <w:szCs w:val="16"/>
              </w:rPr>
            </w:pPr>
            <w:r w:rsidRPr="001000E7">
              <w:rPr>
                <w:rFonts w:asciiTheme="minorHAnsi" w:hAnsiTheme="minorHAnsi"/>
                <w:sz w:val="16"/>
                <w:szCs w:val="16"/>
              </w:rPr>
              <w:t>Product Information: Penta-Vite Multivitamins Oral Liquid. MIMSOnline. Accessed 18/07/2014.</w:t>
            </w:r>
          </w:p>
          <w:p w:rsidRPr="001000E7" w:rsidR="00313247" w:rsidP="001B0E05" w:rsidRDefault="00313247" w14:paraId="594ECC34" w14:textId="77777777">
            <w:pPr>
              <w:pStyle w:val="ListParagraph"/>
              <w:numPr>
                <w:ilvl w:val="0"/>
                <w:numId w:val="116"/>
              </w:numPr>
              <w:spacing w:after="160" w:line="259" w:lineRule="auto"/>
              <w:ind w:left="284" w:hanging="284"/>
              <w:rPr>
                <w:rFonts w:asciiTheme="minorHAnsi" w:hAnsiTheme="minorHAnsi" w:eastAsiaTheme="minorHAnsi" w:cstheme="minorHAnsi"/>
                <w:sz w:val="16"/>
                <w:szCs w:val="16"/>
              </w:rPr>
            </w:pPr>
            <w:r w:rsidRPr="001000E7">
              <w:rPr>
                <w:rFonts w:asciiTheme="minorHAnsi" w:hAnsiTheme="minorHAnsi"/>
                <w:sz w:val="16"/>
                <w:szCs w:val="16"/>
              </w:rPr>
              <w:t>Optimal feeding of low-birth-weight infants, technical review. Karen Edmond, MBBS, MSc (Epidemiology), PhD. London School of Hygiene and Tropical Medicine, London, U.K. Rajiv Bahl, MD, PhD. Department of Child and Adolescent Health and Development, WHO, Geneva.</w:t>
            </w:r>
          </w:p>
        </w:tc>
      </w:tr>
    </w:tbl>
    <w:p w:rsidR="00AD6BD4" w:rsidP="006F0321" w:rsidRDefault="00AD6BD4" w14:paraId="0FAC55BD" w14:textId="7164CA9A"/>
    <w:p w:rsidRPr="00E25790" w:rsidR="00313247" w:rsidP="006F0321" w:rsidRDefault="00313247" w14:paraId="42BD789F"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0431B" w:rsidTr="00FB1E38" w14:paraId="74624F36" w14:textId="77777777">
        <w:tc>
          <w:tcPr>
            <w:tcW w:w="4535" w:type="dxa"/>
            <w:vAlign w:val="center"/>
          </w:tcPr>
          <w:p w:rsidRPr="00E25790" w:rsidR="00AD6BD4" w:rsidP="00FB1E38" w:rsidRDefault="00AD6BD4" w14:paraId="6161EAA8" w14:textId="77777777">
            <w:r w:rsidRPr="00E25790">
              <w:t>Original version Date: 08/08/2015</w:t>
            </w:r>
          </w:p>
        </w:tc>
        <w:tc>
          <w:tcPr>
            <w:tcW w:w="4535" w:type="dxa"/>
            <w:vAlign w:val="center"/>
          </w:tcPr>
          <w:p w:rsidRPr="00E25790" w:rsidR="00AD6BD4" w:rsidP="00FB1E38" w:rsidRDefault="00AD6BD4" w14:paraId="04741550" w14:textId="77777777">
            <w:r w:rsidRPr="00E25790">
              <w:t>Author: NeoMed Consensus Group</w:t>
            </w:r>
          </w:p>
        </w:tc>
      </w:tr>
      <w:tr w:rsidRPr="00E25790" w:rsidR="0020431B" w:rsidTr="00FB1E38" w14:paraId="324FCCF5" w14:textId="77777777">
        <w:tc>
          <w:tcPr>
            <w:tcW w:w="4535" w:type="dxa"/>
            <w:vAlign w:val="center"/>
          </w:tcPr>
          <w:p w:rsidRPr="00E25790" w:rsidR="00AD6BD4" w:rsidP="00FB1E38" w:rsidRDefault="00AD6BD4" w14:paraId="7A85D0CF" w14:textId="77777777">
            <w:pPr>
              <w:rPr>
                <w:bCs/>
              </w:rPr>
            </w:pPr>
            <w:r w:rsidRPr="00E25790">
              <w:t>Current Version number:  2</w:t>
            </w:r>
          </w:p>
        </w:tc>
        <w:tc>
          <w:tcPr>
            <w:tcW w:w="4535" w:type="dxa"/>
            <w:vAlign w:val="center"/>
          </w:tcPr>
          <w:p w:rsidRPr="00E25790" w:rsidR="00AD6BD4" w:rsidP="00FB1E38" w:rsidRDefault="005717C7" w14:paraId="7AA8A1B0" w14:textId="0D0C457C">
            <w:r>
              <w:t>Version</w:t>
            </w:r>
            <w:r w:rsidRPr="00E25790" w:rsidR="00AD6BD4">
              <w:t xml:space="preserve"> Date: </w:t>
            </w:r>
            <w:r>
              <w:t>16/11/2020</w:t>
            </w:r>
          </w:p>
        </w:tc>
      </w:tr>
      <w:tr w:rsidRPr="00E25790" w:rsidR="0020431B" w:rsidTr="00FB1E38" w14:paraId="510F6B65" w14:textId="77777777">
        <w:tc>
          <w:tcPr>
            <w:tcW w:w="4535" w:type="dxa"/>
            <w:vAlign w:val="center"/>
          </w:tcPr>
          <w:p w:rsidRPr="00E25790" w:rsidR="00AD6BD4" w:rsidP="00FB1E38" w:rsidRDefault="00AD6BD4" w14:paraId="3A769BC3" w14:textId="08FB4A0B">
            <w:r w:rsidRPr="00E25790">
              <w:t xml:space="preserve">Risk Rating: </w:t>
            </w:r>
            <w:r w:rsidR="005717C7">
              <w:t>Low</w:t>
            </w:r>
          </w:p>
        </w:tc>
        <w:tc>
          <w:tcPr>
            <w:tcW w:w="4535" w:type="dxa"/>
            <w:vAlign w:val="center"/>
          </w:tcPr>
          <w:p w:rsidRPr="00E25790" w:rsidR="00AD6BD4" w:rsidP="00FB1E38" w:rsidRDefault="00AD6BD4" w14:paraId="734249A0" w14:textId="48996567">
            <w:r w:rsidRPr="00E25790">
              <w:t xml:space="preserve">Due for Review:  </w:t>
            </w:r>
            <w:r w:rsidR="005717C7">
              <w:t>16/11/2025</w:t>
            </w:r>
          </w:p>
        </w:tc>
      </w:tr>
      <w:tr w:rsidRPr="00E25790" w:rsidR="0020431B" w:rsidTr="00FB1E38" w14:paraId="6A2B6C31" w14:textId="77777777">
        <w:trPr>
          <w:trHeight w:val="344"/>
        </w:trPr>
        <w:tc>
          <w:tcPr>
            <w:tcW w:w="4535" w:type="dxa"/>
            <w:tcBorders>
              <w:bottom w:val="single" w:color="auto" w:sz="4" w:space="0"/>
            </w:tcBorders>
            <w:vAlign w:val="center"/>
          </w:tcPr>
          <w:p w:rsidRPr="00E25790" w:rsidR="00AD6BD4" w:rsidP="00FB1E38" w:rsidRDefault="00AD6BD4" w14:paraId="5797EDA9" w14:textId="77777777">
            <w:r w:rsidRPr="00E25790">
              <w:t>Approval by: DTC</w:t>
            </w:r>
          </w:p>
        </w:tc>
        <w:tc>
          <w:tcPr>
            <w:tcW w:w="4535" w:type="dxa"/>
            <w:tcBorders>
              <w:bottom w:val="single" w:color="auto" w:sz="4" w:space="0"/>
            </w:tcBorders>
            <w:vAlign w:val="center"/>
          </w:tcPr>
          <w:p w:rsidRPr="00E25790" w:rsidR="00AD6BD4" w:rsidP="00FB1E38" w:rsidRDefault="00AD6BD4" w14:paraId="7A8562C7" w14:textId="4179FD7F">
            <w:r w:rsidRPr="00E25790">
              <w:t xml:space="preserve">Approval Date: </w:t>
            </w:r>
            <w:r w:rsidR="00260BC8">
              <w:t>APRIL 2021</w:t>
            </w:r>
          </w:p>
        </w:tc>
      </w:tr>
    </w:tbl>
    <w:p w:rsidRPr="00E25790" w:rsidR="00AD6BD4" w:rsidP="006F0321" w:rsidRDefault="00AD6BD4" w14:paraId="1EE29667" w14:textId="77777777"/>
    <w:p w:rsidRPr="00E25790" w:rsidR="00115F48" w:rsidP="006F0321" w:rsidRDefault="00115F48" w14:paraId="75B0B7E5" w14:textId="77777777"/>
    <w:p w:rsidRPr="00E25790" w:rsidR="00115F48" w:rsidP="006F0321" w:rsidRDefault="00115F48" w14:paraId="178BBB2A"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FB1E38" w14:paraId="6D995631"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C306B2" w:rsidR="00115F48" w:rsidP="009469DB" w:rsidRDefault="00115F48" w14:paraId="6697EE2E" w14:textId="77777777">
            <w:pPr>
              <w:pStyle w:val="Heading1"/>
            </w:pPr>
            <w:bookmarkStart w:name="_Toc495481153" w:id="473"/>
            <w:bookmarkStart w:name="_Toc495481279" w:id="474"/>
            <w:bookmarkStart w:name="_Toc495481404" w:id="475"/>
            <w:bookmarkStart w:name="_Toc495501585" w:id="476"/>
            <w:bookmarkStart w:name="_Toc38106903" w:id="477"/>
            <w:bookmarkStart w:name="_Toc75340024" w:id="478"/>
            <w:r w:rsidRPr="00C306B2">
              <w:lastRenderedPageBreak/>
              <w:t>Phenobarbitone</w:t>
            </w:r>
            <w:bookmarkEnd w:id="473"/>
            <w:bookmarkEnd w:id="474"/>
            <w:bookmarkEnd w:id="475"/>
            <w:bookmarkEnd w:id="476"/>
            <w:bookmarkEnd w:id="477"/>
            <w:bookmarkEnd w:id="478"/>
            <w:r w:rsidRPr="00C306B2">
              <w:fldChar w:fldCharType="begin"/>
            </w:r>
            <w:r w:rsidRPr="00C306B2">
              <w:instrText>tc "Phenobarbitone" \l 0</w:instrText>
            </w:r>
            <w:r w:rsidRPr="00C306B2">
              <w:fldChar w:fldCharType="end"/>
            </w:r>
          </w:p>
        </w:tc>
      </w:tr>
      <w:tr w:rsidRPr="00E25790" w:rsidR="00115F48" w:rsidTr="00FB1E38" w14:paraId="604BF54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E8C7CD4" w14:textId="20811894">
            <w:r w:rsidRPr="00E25790">
              <w:t>Revision Date</w:t>
            </w:r>
            <w:r w:rsidRPr="00E25790">
              <w:rPr>
                <w:b/>
              </w:rPr>
              <w:t xml:space="preserve"> : </w:t>
            </w:r>
            <w:r w:rsidR="00C43A32">
              <w:rPr>
                <w:b/>
              </w:rPr>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E9DA190" w14:textId="77777777">
            <w:r w:rsidRPr="00E25790">
              <w:t xml:space="preserve">Approved: </w:t>
            </w:r>
            <w:r w:rsidR="005E6204">
              <w:t>TC, KOH</w:t>
            </w:r>
          </w:p>
        </w:tc>
      </w:tr>
    </w:tbl>
    <w:p w:rsidRPr="00E25790" w:rsidR="00115F48" w:rsidP="006F0321" w:rsidRDefault="00115F48" w14:paraId="5D0D1761"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86"/>
        <w:gridCol w:w="7948"/>
      </w:tblGrid>
      <w:tr w:rsidRPr="003B78EA" w:rsidR="00813E0C" w:rsidTr="008074AA" w14:paraId="40D6C588" w14:textId="77777777">
        <w:trPr>
          <w:trHeight w:val="263"/>
        </w:trPr>
        <w:tc>
          <w:tcPr>
            <w:tcW w:w="875" w:type="pct"/>
          </w:tcPr>
          <w:p w:rsidRPr="003B78EA" w:rsidR="00813E0C" w:rsidP="00131848" w:rsidRDefault="00813E0C" w14:paraId="6E3CD9F6"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125" w:type="pct"/>
            <w:vAlign w:val="center"/>
          </w:tcPr>
          <w:p w:rsidR="00813E0C" w:rsidP="00131848" w:rsidRDefault="00813E0C" w14:paraId="2F82943A" w14:textId="77777777">
            <w:pPr>
              <w:pStyle w:val="BodyText"/>
              <w:rPr>
                <w:sz w:val="20"/>
              </w:rPr>
            </w:pPr>
            <w:r>
              <w:rPr>
                <w:sz w:val="20"/>
              </w:rPr>
              <w:t xml:space="preserve">High risk medicine. </w:t>
            </w:r>
          </w:p>
          <w:p w:rsidRPr="00CC7221" w:rsidR="00813E0C" w:rsidP="00131848" w:rsidRDefault="00813E0C" w14:paraId="3F7D313D" w14:textId="77777777">
            <w:pPr>
              <w:pStyle w:val="BodyText"/>
              <w:rPr>
                <w:sz w:val="20"/>
              </w:rPr>
            </w:pPr>
            <w:r>
              <w:rPr>
                <w:sz w:val="20"/>
              </w:rPr>
              <w:t>Phenobarbital</w:t>
            </w:r>
            <w:r w:rsidRPr="00962F02">
              <w:rPr>
                <w:sz w:val="20"/>
              </w:rPr>
              <w:t xml:space="preserve"> is</w:t>
            </w:r>
            <w:r>
              <w:rPr>
                <w:sz w:val="20"/>
              </w:rPr>
              <w:t xml:space="preserve"> </w:t>
            </w:r>
            <w:r w:rsidRPr="00962F02">
              <w:rPr>
                <w:sz w:val="20"/>
              </w:rPr>
              <w:t xml:space="preserve">reported in mg/L. To convert to </w:t>
            </w:r>
            <w:r>
              <w:rPr>
                <w:sz w:val="20"/>
              </w:rPr>
              <w:t>micro</w:t>
            </w:r>
            <w:r w:rsidRPr="00962F02">
              <w:rPr>
                <w:sz w:val="20"/>
              </w:rPr>
              <w:t>mol/L</w:t>
            </w:r>
            <w:r>
              <w:rPr>
                <w:sz w:val="20"/>
              </w:rPr>
              <w:t>,</w:t>
            </w:r>
            <w:r w:rsidRPr="00962F02">
              <w:rPr>
                <w:sz w:val="20"/>
              </w:rPr>
              <w:t xml:space="preserve"> multiply by 4.306</w:t>
            </w:r>
            <w:r>
              <w:rPr>
                <w:sz w:val="20"/>
              </w:rPr>
              <w:t xml:space="preserve">. </w:t>
            </w:r>
            <w:r>
              <w:rPr>
                <w:sz w:val="20"/>
              </w:rPr>
              <w:tab/>
            </w:r>
          </w:p>
        </w:tc>
      </w:tr>
      <w:tr w:rsidRPr="003B78EA" w:rsidR="00813E0C" w:rsidTr="008074AA" w14:paraId="7F3431F1" w14:textId="77777777">
        <w:trPr>
          <w:trHeight w:val="263"/>
        </w:trPr>
        <w:tc>
          <w:tcPr>
            <w:tcW w:w="875" w:type="pct"/>
          </w:tcPr>
          <w:p w:rsidRPr="003B78EA" w:rsidR="00813E0C" w:rsidP="00131848" w:rsidRDefault="00813E0C" w14:paraId="0A64BA1E"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125" w:type="pct"/>
          </w:tcPr>
          <w:p w:rsidR="00813E0C" w:rsidP="00813E0C" w:rsidRDefault="00813E0C" w14:paraId="5544BDDB" w14:textId="77777777">
            <w:pPr>
              <w:numPr>
                <w:ilvl w:val="0"/>
                <w:numId w:val="39"/>
              </w:numPr>
              <w:rPr>
                <w:sz w:val="20"/>
              </w:rPr>
            </w:pPr>
            <w:r>
              <w:rPr>
                <w:sz w:val="20"/>
              </w:rPr>
              <w:t xml:space="preserve">Treatment of neonatal seizures. </w:t>
            </w:r>
          </w:p>
          <w:p w:rsidR="00813E0C" w:rsidP="00813E0C" w:rsidRDefault="00813E0C" w14:paraId="493453CC" w14:textId="77777777">
            <w:pPr>
              <w:numPr>
                <w:ilvl w:val="0"/>
                <w:numId w:val="39"/>
              </w:numPr>
              <w:rPr>
                <w:sz w:val="20"/>
              </w:rPr>
            </w:pPr>
            <w:r>
              <w:rPr>
                <w:sz w:val="20"/>
              </w:rPr>
              <w:t>Initial t</w:t>
            </w:r>
            <w:r w:rsidRPr="00EB072C">
              <w:rPr>
                <w:sz w:val="20"/>
              </w:rPr>
              <w:t>reatment of non-opioid neonata</w:t>
            </w:r>
            <w:r>
              <w:rPr>
                <w:sz w:val="20"/>
              </w:rPr>
              <w:t xml:space="preserve">l abstinence syndrome (NAS). </w:t>
            </w:r>
          </w:p>
          <w:p w:rsidR="00813E0C" w:rsidP="00813E0C" w:rsidRDefault="00813E0C" w14:paraId="777F9FC2" w14:textId="77777777">
            <w:pPr>
              <w:numPr>
                <w:ilvl w:val="0"/>
                <w:numId w:val="39"/>
              </w:numPr>
              <w:rPr>
                <w:sz w:val="20"/>
              </w:rPr>
            </w:pPr>
            <w:r>
              <w:rPr>
                <w:sz w:val="20"/>
              </w:rPr>
              <w:t xml:space="preserve">Add-on treatment of </w:t>
            </w:r>
            <w:r w:rsidRPr="00EB072C">
              <w:rPr>
                <w:sz w:val="20"/>
              </w:rPr>
              <w:t>opioid NAS</w:t>
            </w:r>
            <w:r>
              <w:rPr>
                <w:sz w:val="20"/>
              </w:rPr>
              <w:t xml:space="preserve"> uncontrolled by morphine </w:t>
            </w:r>
            <w:r w:rsidRPr="00EB072C">
              <w:rPr>
                <w:sz w:val="20"/>
              </w:rPr>
              <w:t>at maximum dose (if 3 consecutive NAS scores average ≥</w:t>
            </w:r>
            <w:r>
              <w:rPr>
                <w:sz w:val="20"/>
              </w:rPr>
              <w:t xml:space="preserve"> </w:t>
            </w:r>
            <w:r w:rsidRPr="00EB072C">
              <w:rPr>
                <w:sz w:val="20"/>
              </w:rPr>
              <w:t>8 or 2 conse</w:t>
            </w:r>
            <w:r>
              <w:rPr>
                <w:sz w:val="20"/>
              </w:rPr>
              <w:t xml:space="preserve">cutive NAS scores average ≥12). </w:t>
            </w:r>
          </w:p>
          <w:p w:rsidRPr="0085416B" w:rsidR="00813E0C" w:rsidP="00813E0C" w:rsidRDefault="00813E0C" w14:paraId="7620CFD5" w14:textId="77777777">
            <w:pPr>
              <w:numPr>
                <w:ilvl w:val="0"/>
                <w:numId w:val="39"/>
              </w:numPr>
              <w:rPr>
                <w:sz w:val="20"/>
              </w:rPr>
            </w:pPr>
            <w:r w:rsidRPr="0085416B">
              <w:rPr>
                <w:sz w:val="20"/>
              </w:rPr>
              <w:t>Treatment of hyperbilirubinaemia (unclear role)</w:t>
            </w:r>
            <w:r>
              <w:rPr>
                <w:sz w:val="20"/>
              </w:rPr>
              <w:t>.</w:t>
            </w:r>
            <w:r w:rsidRPr="0085416B">
              <w:rPr>
                <w:sz w:val="20"/>
              </w:rPr>
              <w:t xml:space="preserve"> </w:t>
            </w:r>
          </w:p>
          <w:p w:rsidRPr="00CC7221" w:rsidR="00813E0C" w:rsidP="00813E0C" w:rsidRDefault="00813E0C" w14:paraId="63D2100B" w14:textId="77777777">
            <w:pPr>
              <w:numPr>
                <w:ilvl w:val="0"/>
                <w:numId w:val="39"/>
              </w:numPr>
              <w:rPr>
                <w:rFonts w:asciiTheme="minorHAnsi" w:hAnsiTheme="minorHAnsi" w:cstheme="minorHAnsi"/>
                <w:sz w:val="20"/>
              </w:rPr>
            </w:pPr>
            <w:r w:rsidRPr="0085416B">
              <w:rPr>
                <w:sz w:val="20"/>
              </w:rPr>
              <w:t>Treatment of cholestasis (unclear role)</w:t>
            </w:r>
            <w:r>
              <w:rPr>
                <w:sz w:val="20"/>
              </w:rPr>
              <w:t>.</w:t>
            </w:r>
            <w:r w:rsidRPr="0085416B">
              <w:rPr>
                <w:sz w:val="20"/>
              </w:rPr>
              <w:t xml:space="preserve"> </w:t>
            </w:r>
          </w:p>
          <w:p w:rsidRPr="003B78EA" w:rsidR="00813E0C" w:rsidP="00813E0C" w:rsidRDefault="00813E0C" w14:paraId="0CBE64F8" w14:textId="77777777">
            <w:pPr>
              <w:numPr>
                <w:ilvl w:val="0"/>
                <w:numId w:val="39"/>
              </w:numPr>
              <w:rPr>
                <w:rFonts w:asciiTheme="minorHAnsi" w:hAnsiTheme="minorHAnsi" w:cstheme="minorHAnsi"/>
                <w:sz w:val="20"/>
              </w:rPr>
            </w:pPr>
            <w:r w:rsidRPr="0085416B">
              <w:rPr>
                <w:sz w:val="20"/>
              </w:rPr>
              <w:t>Preparation for liver scintigraphy (unclear role).</w:t>
            </w:r>
          </w:p>
        </w:tc>
      </w:tr>
      <w:tr w:rsidRPr="003B78EA" w:rsidR="00813E0C" w:rsidTr="008074AA" w14:paraId="5CC2B456" w14:textId="77777777">
        <w:trPr>
          <w:trHeight w:val="263"/>
        </w:trPr>
        <w:tc>
          <w:tcPr>
            <w:tcW w:w="875" w:type="pct"/>
          </w:tcPr>
          <w:p w:rsidRPr="003B78EA" w:rsidR="00813E0C" w:rsidP="00131848" w:rsidRDefault="00813E0C" w14:paraId="106CDF11"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125" w:type="pct"/>
          </w:tcPr>
          <w:p w:rsidRPr="003B78EA" w:rsidR="00813E0C" w:rsidP="00131848" w:rsidRDefault="00813E0C" w14:paraId="3BB65409" w14:textId="77777777">
            <w:pPr>
              <w:rPr>
                <w:rFonts w:asciiTheme="minorHAnsi" w:hAnsiTheme="minorHAnsi" w:cstheme="minorHAnsi"/>
                <w:sz w:val="20"/>
              </w:rPr>
            </w:pPr>
            <w:r>
              <w:rPr>
                <w:sz w:val="20"/>
              </w:rPr>
              <w:t>E</w:t>
            </w:r>
            <w:r w:rsidRPr="00527693">
              <w:rPr>
                <w:sz w:val="20"/>
              </w:rPr>
              <w:t>nhances inhibitory neurotransmission via activation of GABA receptor</w:t>
            </w:r>
            <w:r>
              <w:rPr>
                <w:sz w:val="20"/>
              </w:rPr>
              <w:t>.</w:t>
            </w:r>
          </w:p>
        </w:tc>
      </w:tr>
      <w:tr w:rsidRPr="003B78EA" w:rsidR="00813E0C" w:rsidTr="008074AA" w14:paraId="4F38EFE7" w14:textId="77777777">
        <w:trPr>
          <w:trHeight w:val="263"/>
        </w:trPr>
        <w:tc>
          <w:tcPr>
            <w:tcW w:w="875" w:type="pct"/>
          </w:tcPr>
          <w:p w:rsidRPr="003B78EA" w:rsidR="00813E0C" w:rsidP="00131848" w:rsidRDefault="00813E0C" w14:paraId="348D23A1"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125" w:type="pct"/>
            <w:vAlign w:val="center"/>
          </w:tcPr>
          <w:p w:rsidR="00813E0C" w:rsidP="00131848" w:rsidRDefault="00813E0C" w14:paraId="259CAFE8" w14:textId="77777777">
            <w:pPr>
              <w:pStyle w:val="BodyText"/>
              <w:rPr>
                <w:sz w:val="20"/>
              </w:rPr>
            </w:pPr>
            <w:r>
              <w:rPr>
                <w:sz w:val="20"/>
              </w:rPr>
              <w:t xml:space="preserve">Anticonvulsant. </w:t>
            </w:r>
          </w:p>
          <w:p w:rsidRPr="003B78EA" w:rsidR="00813E0C" w:rsidP="00131848" w:rsidRDefault="00813E0C" w14:paraId="071517A6" w14:textId="77777777">
            <w:pPr>
              <w:pStyle w:val="BodyText"/>
              <w:rPr>
                <w:rFonts w:asciiTheme="minorHAnsi" w:hAnsiTheme="minorHAnsi" w:cstheme="minorHAnsi"/>
                <w:sz w:val="20"/>
              </w:rPr>
            </w:pPr>
            <w:r>
              <w:rPr>
                <w:sz w:val="20"/>
              </w:rPr>
              <w:t xml:space="preserve">Sedative. </w:t>
            </w:r>
          </w:p>
        </w:tc>
      </w:tr>
      <w:tr w:rsidRPr="003B78EA" w:rsidR="00813E0C" w:rsidTr="008074AA" w14:paraId="3D26D88C" w14:textId="77777777">
        <w:trPr>
          <w:trHeight w:val="263"/>
        </w:trPr>
        <w:tc>
          <w:tcPr>
            <w:tcW w:w="875" w:type="pct"/>
          </w:tcPr>
          <w:p w:rsidRPr="003B78EA" w:rsidR="00813E0C" w:rsidP="00131848" w:rsidRDefault="00813E0C" w14:paraId="56585E63"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125" w:type="pct"/>
            <w:vAlign w:val="center"/>
          </w:tcPr>
          <w:p w:rsidRPr="003B78EA" w:rsidR="00813E0C" w:rsidP="00131848" w:rsidRDefault="00813E0C" w14:paraId="1729E445" w14:textId="77777777">
            <w:pPr>
              <w:pStyle w:val="BodyText"/>
              <w:rPr>
                <w:rFonts w:asciiTheme="minorHAnsi" w:hAnsiTheme="minorHAnsi" w:cstheme="minorHAnsi"/>
                <w:sz w:val="20"/>
              </w:rPr>
            </w:pPr>
            <w:r w:rsidRPr="006E0275">
              <w:rPr>
                <w:rFonts w:cs="Arial"/>
                <w:sz w:val="20"/>
              </w:rPr>
              <w:t>Fawns &amp; McAllan Phenobarbitone Sodium Solution for injection; Phenobarbitone (Aspen) Solution for injection; Phenobarbitone Aspen Tablets; Phenobarbitone Elixir</w:t>
            </w:r>
          </w:p>
        </w:tc>
      </w:tr>
      <w:tr w:rsidRPr="003B78EA" w:rsidR="00813E0C" w:rsidTr="008074AA" w14:paraId="3D369DA9" w14:textId="77777777">
        <w:trPr>
          <w:trHeight w:val="263"/>
        </w:trPr>
        <w:tc>
          <w:tcPr>
            <w:tcW w:w="875" w:type="pct"/>
          </w:tcPr>
          <w:p w:rsidRPr="003B78EA" w:rsidR="00813E0C" w:rsidP="00131848" w:rsidRDefault="00813E0C" w14:paraId="164E5684"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125" w:type="pct"/>
            <w:vAlign w:val="center"/>
          </w:tcPr>
          <w:p w:rsidR="00813E0C" w:rsidP="00131848" w:rsidRDefault="00813E0C" w14:paraId="5659CFC2" w14:textId="77777777">
            <w:pPr>
              <w:pStyle w:val="BodyText"/>
              <w:ind w:left="34"/>
              <w:rPr>
                <w:rFonts w:cs="Arial"/>
                <w:sz w:val="20"/>
              </w:rPr>
            </w:pPr>
            <w:r>
              <w:rPr>
                <w:rFonts w:cs="Arial"/>
                <w:sz w:val="20"/>
              </w:rPr>
              <w:t xml:space="preserve">IV: </w:t>
            </w:r>
            <w:r w:rsidRPr="00EB072C">
              <w:rPr>
                <w:rFonts w:cs="Arial"/>
                <w:sz w:val="20"/>
              </w:rPr>
              <w:t>200</w:t>
            </w:r>
            <w:r>
              <w:rPr>
                <w:rFonts w:cs="Arial"/>
                <w:sz w:val="20"/>
              </w:rPr>
              <w:t xml:space="preserve"> </w:t>
            </w:r>
            <w:r w:rsidRPr="00EB072C">
              <w:rPr>
                <w:rFonts w:cs="Arial"/>
                <w:sz w:val="20"/>
              </w:rPr>
              <w:t>mg/mL ampoule</w:t>
            </w:r>
            <w:r>
              <w:rPr>
                <w:rFonts w:cs="Arial"/>
                <w:sz w:val="20"/>
              </w:rPr>
              <w:t xml:space="preserve"> (contains 10% alcohol and 67.8% propylene glycol)</w:t>
            </w:r>
          </w:p>
          <w:p w:rsidRPr="003B78EA" w:rsidR="00813E0C" w:rsidP="00131848" w:rsidRDefault="00813E0C" w14:paraId="4E841C18" w14:textId="77777777">
            <w:pPr>
              <w:pStyle w:val="BodyText"/>
              <w:rPr>
                <w:rFonts w:asciiTheme="minorHAnsi" w:hAnsiTheme="minorHAnsi" w:cstheme="minorHAnsi"/>
                <w:sz w:val="20"/>
              </w:rPr>
            </w:pPr>
            <w:r>
              <w:rPr>
                <w:rFonts w:cs="Arial"/>
                <w:sz w:val="20"/>
              </w:rPr>
              <w:t xml:space="preserve">Oral: </w:t>
            </w:r>
            <w:r w:rsidRPr="00EB072C">
              <w:rPr>
                <w:rFonts w:cs="Arial"/>
                <w:sz w:val="20"/>
              </w:rPr>
              <w:t>15</w:t>
            </w:r>
            <w:r>
              <w:rPr>
                <w:rFonts w:cs="Arial"/>
                <w:sz w:val="20"/>
              </w:rPr>
              <w:t xml:space="preserve"> </w:t>
            </w:r>
            <w:r w:rsidRPr="00EB072C">
              <w:rPr>
                <w:rFonts w:cs="Arial"/>
                <w:sz w:val="20"/>
              </w:rPr>
              <w:t>mg/5</w:t>
            </w:r>
            <w:r>
              <w:rPr>
                <w:rFonts w:cs="Arial"/>
                <w:sz w:val="20"/>
              </w:rPr>
              <w:t xml:space="preserve"> </w:t>
            </w:r>
            <w:r w:rsidRPr="00EB072C">
              <w:rPr>
                <w:rFonts w:cs="Arial"/>
                <w:sz w:val="20"/>
              </w:rPr>
              <w:t xml:space="preserve">mL </w:t>
            </w:r>
            <w:r>
              <w:rPr>
                <w:rFonts w:cs="Arial"/>
                <w:sz w:val="20"/>
              </w:rPr>
              <w:t>oral liquid (contains 9.6% alcohol); 10 mg/mL and 9mg/mL alcohol free liquid can be manufactured by local pharmacy; 30 mg tablets.</w:t>
            </w:r>
          </w:p>
        </w:tc>
      </w:tr>
      <w:tr w:rsidRPr="003B78EA" w:rsidR="00813E0C" w:rsidTr="008074AA" w14:paraId="3020F0C1" w14:textId="77777777">
        <w:trPr>
          <w:trHeight w:val="263"/>
        </w:trPr>
        <w:tc>
          <w:tcPr>
            <w:tcW w:w="875" w:type="pct"/>
          </w:tcPr>
          <w:p w:rsidRPr="003B78EA" w:rsidR="00813E0C" w:rsidP="00131848" w:rsidRDefault="00813E0C" w14:paraId="734B272C"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125" w:type="pct"/>
          </w:tcPr>
          <w:p w:rsidRPr="00DF2993" w:rsidR="00813E0C" w:rsidP="00131848" w:rsidRDefault="00813E0C" w14:paraId="252AA777" w14:textId="77777777">
            <w:pPr>
              <w:pStyle w:val="BodyText"/>
              <w:rPr>
                <w:rFonts w:cs="Arial"/>
                <w:b/>
                <w:sz w:val="20"/>
              </w:rPr>
            </w:pPr>
            <w:r>
              <w:rPr>
                <w:rFonts w:cs="Arial"/>
                <w:b/>
                <w:sz w:val="20"/>
              </w:rPr>
              <w:t>Anticonvulsant</w:t>
            </w:r>
          </w:p>
          <w:p w:rsidR="00813E0C" w:rsidP="00131848" w:rsidRDefault="00813E0C" w14:paraId="70674A08" w14:textId="77777777">
            <w:pPr>
              <w:pStyle w:val="BodyText"/>
              <w:ind w:left="316"/>
              <w:rPr>
                <w:rFonts w:cs="Arial"/>
                <w:sz w:val="20"/>
              </w:rPr>
            </w:pPr>
            <w:r>
              <w:rPr>
                <w:rFonts w:cs="Arial"/>
                <w:b/>
                <w:sz w:val="20"/>
              </w:rPr>
              <w:t xml:space="preserve">IV </w:t>
            </w:r>
            <w:r w:rsidRPr="00CC7221">
              <w:rPr>
                <w:rFonts w:cs="Arial"/>
                <w:b/>
                <w:sz w:val="20"/>
              </w:rPr>
              <w:t>Loading dose</w:t>
            </w:r>
            <w:r>
              <w:rPr>
                <w:rFonts w:cs="Arial"/>
                <w:sz w:val="20"/>
              </w:rPr>
              <w:t xml:space="preserve"> 20 mg/kg/dose infusing with a maximum infusion rate of 1 mg/kg/minute. </w:t>
            </w:r>
          </w:p>
          <w:p w:rsidRPr="006A56DF" w:rsidR="00813E0C" w:rsidP="00131848" w:rsidRDefault="00813E0C" w14:paraId="459011E3" w14:textId="77777777">
            <w:pPr>
              <w:pStyle w:val="BodyText"/>
              <w:ind w:left="316"/>
              <w:rPr>
                <w:sz w:val="20"/>
              </w:rPr>
            </w:pPr>
            <w:r w:rsidRPr="00CC7221">
              <w:rPr>
                <w:b/>
                <w:sz w:val="20"/>
              </w:rPr>
              <w:t xml:space="preserve">Additional </w:t>
            </w:r>
            <w:r>
              <w:rPr>
                <w:b/>
                <w:sz w:val="20"/>
              </w:rPr>
              <w:t xml:space="preserve">IV </w:t>
            </w:r>
            <w:r w:rsidRPr="00CC7221">
              <w:rPr>
                <w:b/>
                <w:sz w:val="20"/>
              </w:rPr>
              <w:t>loading doses</w:t>
            </w:r>
            <w:r w:rsidRPr="006A56DF">
              <w:rPr>
                <w:sz w:val="20"/>
              </w:rPr>
              <w:t xml:space="preserve"> 10</w:t>
            </w:r>
            <w:r>
              <w:rPr>
                <w:sz w:val="20"/>
              </w:rPr>
              <w:t xml:space="preserve"> </w:t>
            </w:r>
            <w:r w:rsidRPr="006A56DF">
              <w:rPr>
                <w:sz w:val="20"/>
              </w:rPr>
              <w:t xml:space="preserve">mg/kg may be administered </w:t>
            </w:r>
            <w:r>
              <w:rPr>
                <w:sz w:val="20"/>
              </w:rPr>
              <w:t>at 30 minute intervals</w:t>
            </w:r>
            <w:r w:rsidRPr="006A56DF">
              <w:rPr>
                <w:sz w:val="20"/>
              </w:rPr>
              <w:t xml:space="preserve"> if necessary </w:t>
            </w:r>
            <w:r>
              <w:rPr>
                <w:sz w:val="20"/>
              </w:rPr>
              <w:t>with a m</w:t>
            </w:r>
            <w:r w:rsidRPr="006A56DF">
              <w:rPr>
                <w:sz w:val="20"/>
              </w:rPr>
              <w:t xml:space="preserve">aximum cumulative loading dose </w:t>
            </w:r>
            <w:r>
              <w:rPr>
                <w:sz w:val="20"/>
              </w:rPr>
              <w:t>of</w:t>
            </w:r>
            <w:r w:rsidRPr="006A56DF">
              <w:rPr>
                <w:sz w:val="20"/>
              </w:rPr>
              <w:t xml:space="preserve"> 40</w:t>
            </w:r>
            <w:r>
              <w:rPr>
                <w:sz w:val="20"/>
              </w:rPr>
              <w:t xml:space="preserve"> </w:t>
            </w:r>
            <w:r w:rsidRPr="006A56DF">
              <w:rPr>
                <w:sz w:val="20"/>
              </w:rPr>
              <w:t xml:space="preserve">mg/kg. </w:t>
            </w:r>
          </w:p>
          <w:p w:rsidR="00813E0C" w:rsidP="00131848" w:rsidRDefault="00813E0C" w14:paraId="430B0A68" w14:textId="77777777">
            <w:pPr>
              <w:pStyle w:val="BodyText"/>
              <w:ind w:left="316"/>
              <w:rPr>
                <w:rFonts w:cs="Arial"/>
                <w:sz w:val="20"/>
              </w:rPr>
            </w:pPr>
            <w:r>
              <w:rPr>
                <w:rFonts w:cs="Arial"/>
                <w:b/>
                <w:sz w:val="20"/>
              </w:rPr>
              <w:t xml:space="preserve">IV or Oral </w:t>
            </w:r>
            <w:r w:rsidRPr="00CC7221">
              <w:rPr>
                <w:rFonts w:cs="Arial"/>
                <w:b/>
                <w:sz w:val="20"/>
              </w:rPr>
              <w:t>Maintenance dose</w:t>
            </w:r>
            <w:r>
              <w:rPr>
                <w:rFonts w:cs="Arial"/>
                <w:sz w:val="20"/>
              </w:rPr>
              <w:t xml:space="preserve">: 4 mg/kg/dose </w:t>
            </w:r>
            <w:r w:rsidRPr="00513D0E">
              <w:rPr>
                <w:rFonts w:cs="Arial"/>
                <w:b/>
                <w:sz w:val="20"/>
              </w:rPr>
              <w:t>DAILY</w:t>
            </w:r>
            <w:r>
              <w:rPr>
                <w:rFonts w:cs="Arial"/>
                <w:sz w:val="20"/>
              </w:rPr>
              <w:t xml:space="preserve"> (3−5 mg/kg/dose), to commence 24 hours after the loading dose.</w:t>
            </w:r>
            <w:r>
              <w:t xml:space="preserve"> </w:t>
            </w:r>
            <w:r w:rsidRPr="00513D0E">
              <w:rPr>
                <w:rFonts w:asciiTheme="minorHAnsi" w:hAnsiTheme="minorHAnsi" w:cstheme="minorHAnsi"/>
                <w:sz w:val="20"/>
              </w:rPr>
              <w:t>T</w:t>
            </w:r>
            <w:r w:rsidRPr="00513D0E">
              <w:rPr>
                <w:rFonts w:cs="Arial"/>
                <w:sz w:val="20"/>
              </w:rPr>
              <w:t xml:space="preserve">itrate </w:t>
            </w:r>
            <w:r>
              <w:rPr>
                <w:rFonts w:cs="Arial"/>
                <w:sz w:val="20"/>
              </w:rPr>
              <w:t xml:space="preserve">the dose </w:t>
            </w:r>
            <w:r w:rsidRPr="00513D0E">
              <w:rPr>
                <w:rFonts w:cs="Arial"/>
                <w:sz w:val="20"/>
              </w:rPr>
              <w:t>as per seizure control and therapeutic concentrations.</w:t>
            </w:r>
          </w:p>
          <w:p w:rsidR="00813E0C" w:rsidP="00131848" w:rsidRDefault="00813E0C" w14:paraId="6ABE0C6D" w14:textId="07BA2970">
            <w:pPr>
              <w:pStyle w:val="BodyText"/>
              <w:ind w:left="720" w:hanging="720"/>
              <w:rPr>
                <w:rFonts w:asciiTheme="minorHAnsi" w:hAnsiTheme="minorHAnsi" w:cstheme="minorHAnsi"/>
                <w:b/>
                <w:bCs/>
                <w:sz w:val="20"/>
              </w:rPr>
            </w:pPr>
            <w:r>
              <w:rPr>
                <w:rFonts w:asciiTheme="minorHAnsi" w:hAnsiTheme="minorHAnsi" w:cstheme="minorHAnsi"/>
                <w:b/>
                <w:bCs/>
                <w:sz w:val="20"/>
              </w:rPr>
              <w:t>Other indications</w:t>
            </w:r>
          </w:p>
          <w:tbl>
            <w:tblPr>
              <w:tblStyle w:val="TableGrid"/>
              <w:tblW w:w="0" w:type="auto"/>
              <w:tblLook w:val="04A0" w:firstRow="1" w:lastRow="0" w:firstColumn="1" w:lastColumn="0" w:noHBand="0" w:noVBand="1"/>
            </w:tblPr>
            <w:tblGrid>
              <w:gridCol w:w="1822"/>
              <w:gridCol w:w="1275"/>
              <w:gridCol w:w="3544"/>
            </w:tblGrid>
            <w:tr w:rsidRPr="0085416B" w:rsidR="00813E0C" w:rsidTr="00F933FD" w14:paraId="73A38102" w14:textId="77777777">
              <w:tc>
                <w:tcPr>
                  <w:tcW w:w="1822" w:type="dxa"/>
                </w:tcPr>
                <w:p w:rsidRPr="0085416B" w:rsidR="00813E0C" w:rsidP="00131848" w:rsidRDefault="00813E0C" w14:paraId="17EFA1B1" w14:textId="77777777">
                  <w:pPr>
                    <w:pStyle w:val="BodyText"/>
                    <w:rPr>
                      <w:rFonts w:asciiTheme="minorHAnsi" w:hAnsiTheme="minorHAnsi"/>
                      <w:sz w:val="20"/>
                    </w:rPr>
                  </w:pPr>
                  <w:r>
                    <w:rPr>
                      <w:rFonts w:asciiTheme="minorHAnsi" w:hAnsiTheme="minorHAnsi"/>
                      <w:sz w:val="20"/>
                    </w:rPr>
                    <w:t>Indication</w:t>
                  </w:r>
                </w:p>
              </w:tc>
              <w:tc>
                <w:tcPr>
                  <w:tcW w:w="1275" w:type="dxa"/>
                </w:tcPr>
                <w:p w:rsidRPr="0085416B" w:rsidR="00813E0C" w:rsidP="00131848" w:rsidRDefault="00813E0C" w14:paraId="5F1AD2F3" w14:textId="77777777">
                  <w:pPr>
                    <w:pStyle w:val="BodyText"/>
                    <w:rPr>
                      <w:rFonts w:asciiTheme="minorHAnsi" w:hAnsiTheme="minorHAnsi"/>
                      <w:sz w:val="20"/>
                    </w:rPr>
                  </w:pPr>
                  <w:r>
                    <w:rPr>
                      <w:rFonts w:asciiTheme="minorHAnsi" w:hAnsiTheme="minorHAnsi"/>
                      <w:sz w:val="20"/>
                    </w:rPr>
                    <w:t>Loading dose</w:t>
                  </w:r>
                </w:p>
              </w:tc>
              <w:tc>
                <w:tcPr>
                  <w:tcW w:w="3544" w:type="dxa"/>
                </w:tcPr>
                <w:p w:rsidRPr="0085416B" w:rsidR="00813E0C" w:rsidP="00131848" w:rsidRDefault="00813E0C" w14:paraId="231B9157" w14:textId="77777777">
                  <w:pPr>
                    <w:pStyle w:val="BodyText"/>
                    <w:rPr>
                      <w:rFonts w:asciiTheme="minorHAnsi" w:hAnsiTheme="minorHAnsi"/>
                      <w:sz w:val="20"/>
                    </w:rPr>
                  </w:pPr>
                  <w:r>
                    <w:rPr>
                      <w:rFonts w:asciiTheme="minorHAnsi" w:hAnsiTheme="minorHAnsi"/>
                      <w:sz w:val="20"/>
                    </w:rPr>
                    <w:t>Maintenance dose 24 hours after loading dose</w:t>
                  </w:r>
                </w:p>
              </w:tc>
            </w:tr>
            <w:tr w:rsidRPr="0085416B" w:rsidR="00813E0C" w:rsidTr="00F933FD" w14:paraId="79CDCBC0" w14:textId="77777777">
              <w:tc>
                <w:tcPr>
                  <w:tcW w:w="1822" w:type="dxa"/>
                </w:tcPr>
                <w:p w:rsidRPr="0085416B" w:rsidR="00813E0C" w:rsidP="00131848" w:rsidRDefault="00813E0C" w14:paraId="629911BA" w14:textId="77777777">
                  <w:pPr>
                    <w:pStyle w:val="BodyText"/>
                    <w:rPr>
                      <w:rFonts w:cs="Arial" w:asciiTheme="minorHAnsi" w:hAnsiTheme="minorHAnsi"/>
                      <w:sz w:val="20"/>
                    </w:rPr>
                  </w:pPr>
                  <w:r w:rsidRPr="0085416B">
                    <w:rPr>
                      <w:rFonts w:asciiTheme="minorHAnsi" w:hAnsiTheme="minorHAnsi"/>
                      <w:sz w:val="20"/>
                    </w:rPr>
                    <w:t>N</w:t>
                  </w:r>
                  <w:r>
                    <w:rPr>
                      <w:rFonts w:asciiTheme="minorHAnsi" w:hAnsiTheme="minorHAnsi"/>
                      <w:sz w:val="20"/>
                    </w:rPr>
                    <w:t>eonatal Abstinence Syndrome</w:t>
                  </w:r>
                </w:p>
              </w:tc>
              <w:tc>
                <w:tcPr>
                  <w:tcW w:w="1275" w:type="dxa"/>
                </w:tcPr>
                <w:p w:rsidRPr="0085416B" w:rsidR="00813E0C" w:rsidP="00131848" w:rsidRDefault="00813E0C" w14:paraId="2549EAE8" w14:textId="77777777">
                  <w:pPr>
                    <w:pStyle w:val="BodyText"/>
                    <w:rPr>
                      <w:rFonts w:cs="Arial" w:asciiTheme="minorHAnsi" w:hAnsiTheme="minorHAnsi"/>
                      <w:sz w:val="20"/>
                    </w:rPr>
                  </w:pPr>
                  <w:r w:rsidRPr="0085416B">
                    <w:rPr>
                      <w:rFonts w:asciiTheme="minorHAnsi" w:hAnsiTheme="minorHAnsi"/>
                      <w:sz w:val="20"/>
                    </w:rPr>
                    <w:t>15 mg/kg</w:t>
                  </w:r>
                  <w:r>
                    <w:rPr>
                      <w:rFonts w:asciiTheme="minorHAnsi" w:hAnsiTheme="minorHAnsi"/>
                      <w:sz w:val="20"/>
                    </w:rPr>
                    <w:t xml:space="preserve"> </w:t>
                  </w:r>
                  <w:r w:rsidRPr="00513D0E">
                    <w:rPr>
                      <w:rFonts w:asciiTheme="minorHAnsi" w:hAnsiTheme="minorHAnsi"/>
                      <w:b/>
                      <w:sz w:val="20"/>
                    </w:rPr>
                    <w:t>ORAL</w:t>
                  </w:r>
                </w:p>
              </w:tc>
              <w:tc>
                <w:tcPr>
                  <w:tcW w:w="3544" w:type="dxa"/>
                </w:tcPr>
                <w:p w:rsidRPr="0085416B" w:rsidR="00813E0C" w:rsidP="00131848" w:rsidRDefault="00813E0C" w14:paraId="1FC5940F" w14:textId="77777777">
                  <w:pPr>
                    <w:pStyle w:val="BodyText"/>
                    <w:rPr>
                      <w:rFonts w:cs="Arial" w:asciiTheme="minorHAnsi" w:hAnsiTheme="minorHAnsi"/>
                      <w:sz w:val="20"/>
                    </w:rPr>
                  </w:pPr>
                  <w:r w:rsidRPr="0085416B">
                    <w:rPr>
                      <w:rFonts w:asciiTheme="minorHAnsi" w:hAnsiTheme="minorHAnsi"/>
                      <w:sz w:val="20"/>
                    </w:rPr>
                    <w:t>5 mg/kg/day in 1</w:t>
                  </w:r>
                  <w:r>
                    <w:rPr>
                      <w:rFonts w:asciiTheme="minorHAnsi" w:hAnsiTheme="minorHAnsi"/>
                      <w:sz w:val="20"/>
                    </w:rPr>
                    <w:t>−</w:t>
                  </w:r>
                  <w:r w:rsidRPr="0085416B">
                    <w:rPr>
                      <w:rFonts w:asciiTheme="minorHAnsi" w:hAnsiTheme="minorHAnsi"/>
                      <w:sz w:val="20"/>
                    </w:rPr>
                    <w:t xml:space="preserve">2 divided </w:t>
                  </w:r>
                  <w:r>
                    <w:rPr>
                      <w:rFonts w:asciiTheme="minorHAnsi" w:hAnsiTheme="minorHAnsi"/>
                      <w:sz w:val="20"/>
                    </w:rPr>
                    <w:t xml:space="preserve">doses </w:t>
                  </w:r>
                  <w:r w:rsidRPr="00513D0E">
                    <w:rPr>
                      <w:rFonts w:asciiTheme="minorHAnsi" w:hAnsiTheme="minorHAnsi"/>
                      <w:b/>
                      <w:sz w:val="20"/>
                    </w:rPr>
                    <w:t>ORAL</w:t>
                  </w:r>
                  <w:r>
                    <w:rPr>
                      <w:rFonts w:asciiTheme="minorHAnsi" w:hAnsiTheme="minorHAnsi"/>
                      <w:sz w:val="20"/>
                    </w:rPr>
                    <w:t xml:space="preserve"> and titrate to NAS score.</w:t>
                  </w:r>
                </w:p>
              </w:tc>
            </w:tr>
            <w:tr w:rsidRPr="0085416B" w:rsidR="00813E0C" w:rsidTr="00F933FD" w14:paraId="14A9E1C5" w14:textId="77777777">
              <w:tc>
                <w:tcPr>
                  <w:tcW w:w="1822" w:type="dxa"/>
                </w:tcPr>
                <w:p w:rsidRPr="0085416B" w:rsidR="00813E0C" w:rsidP="00131848" w:rsidRDefault="00813E0C" w14:paraId="670E8FD1" w14:textId="77777777">
                  <w:pPr>
                    <w:pStyle w:val="BodyText"/>
                    <w:rPr>
                      <w:rFonts w:cs="Arial" w:asciiTheme="minorHAnsi" w:hAnsiTheme="minorHAnsi"/>
                      <w:sz w:val="20"/>
                    </w:rPr>
                  </w:pPr>
                  <w:r w:rsidRPr="0085416B">
                    <w:rPr>
                      <w:rFonts w:asciiTheme="minorHAnsi" w:hAnsiTheme="minorHAnsi"/>
                      <w:sz w:val="20"/>
                    </w:rPr>
                    <w:t>Jaundice</w:t>
                  </w:r>
                </w:p>
              </w:tc>
              <w:tc>
                <w:tcPr>
                  <w:tcW w:w="1275" w:type="dxa"/>
                </w:tcPr>
                <w:p w:rsidRPr="0085416B" w:rsidR="00813E0C" w:rsidP="00131848" w:rsidRDefault="00813E0C" w14:paraId="34B02390" w14:textId="77777777">
                  <w:pPr>
                    <w:pStyle w:val="BodyText"/>
                    <w:rPr>
                      <w:rFonts w:cs="Arial" w:asciiTheme="minorHAnsi" w:hAnsiTheme="minorHAnsi"/>
                      <w:sz w:val="20"/>
                    </w:rPr>
                  </w:pPr>
                  <w:r w:rsidRPr="0085416B">
                    <w:rPr>
                      <w:rFonts w:asciiTheme="minorHAnsi" w:hAnsiTheme="minorHAnsi"/>
                      <w:sz w:val="20"/>
                    </w:rPr>
                    <w:t>-</w:t>
                  </w:r>
                </w:p>
              </w:tc>
              <w:tc>
                <w:tcPr>
                  <w:tcW w:w="3544" w:type="dxa"/>
                </w:tcPr>
                <w:p w:rsidRPr="0085416B" w:rsidR="00813E0C" w:rsidP="00131848" w:rsidRDefault="00813E0C" w14:paraId="64510E99" w14:textId="77777777">
                  <w:pPr>
                    <w:pStyle w:val="BodyText"/>
                    <w:rPr>
                      <w:rFonts w:cs="Arial" w:asciiTheme="minorHAnsi" w:hAnsiTheme="minorHAnsi"/>
                      <w:sz w:val="20"/>
                    </w:rPr>
                  </w:pPr>
                  <w:r w:rsidRPr="0085416B">
                    <w:rPr>
                      <w:rFonts w:asciiTheme="minorHAnsi" w:hAnsiTheme="minorHAnsi"/>
                      <w:sz w:val="20"/>
                    </w:rPr>
                    <w:t>5</w:t>
                  </w:r>
                  <w:r>
                    <w:rPr>
                      <w:rFonts w:asciiTheme="minorHAnsi" w:hAnsiTheme="minorHAnsi"/>
                      <w:sz w:val="20"/>
                    </w:rPr>
                    <w:t xml:space="preserve"> </w:t>
                  </w:r>
                  <w:r w:rsidRPr="0085416B">
                    <w:rPr>
                      <w:rFonts w:asciiTheme="minorHAnsi" w:hAnsiTheme="minorHAnsi"/>
                      <w:sz w:val="20"/>
                    </w:rPr>
                    <w:t>mg/kg every 24 hours</w:t>
                  </w:r>
                  <w:r>
                    <w:rPr>
                      <w:rFonts w:asciiTheme="minorHAnsi" w:hAnsiTheme="minorHAnsi"/>
                      <w:sz w:val="20"/>
                    </w:rPr>
                    <w:t xml:space="preserve"> </w:t>
                  </w:r>
                  <w:r w:rsidRPr="00513D0E">
                    <w:rPr>
                      <w:rFonts w:asciiTheme="minorHAnsi" w:hAnsiTheme="minorHAnsi"/>
                      <w:b/>
                      <w:sz w:val="20"/>
                    </w:rPr>
                    <w:t>ORAL</w:t>
                  </w:r>
                </w:p>
              </w:tc>
            </w:tr>
            <w:tr w:rsidRPr="0085416B" w:rsidR="00813E0C" w:rsidTr="00F933FD" w14:paraId="5B095345" w14:textId="77777777">
              <w:tc>
                <w:tcPr>
                  <w:tcW w:w="1822" w:type="dxa"/>
                </w:tcPr>
                <w:p w:rsidRPr="0085416B" w:rsidR="00813E0C" w:rsidP="00131848" w:rsidRDefault="00813E0C" w14:paraId="54470268" w14:textId="77777777">
                  <w:pPr>
                    <w:pStyle w:val="BodyText"/>
                    <w:rPr>
                      <w:rFonts w:asciiTheme="minorHAnsi" w:hAnsiTheme="minorHAnsi"/>
                      <w:sz w:val="20"/>
                    </w:rPr>
                  </w:pPr>
                  <w:r w:rsidRPr="0085416B">
                    <w:rPr>
                      <w:rFonts w:asciiTheme="minorHAnsi" w:hAnsiTheme="minorHAnsi"/>
                      <w:sz w:val="20"/>
                    </w:rPr>
                    <w:t>Liver scintigraphy</w:t>
                  </w:r>
                  <w:r>
                    <w:rPr>
                      <w:rFonts w:asciiTheme="minorHAnsi" w:hAnsiTheme="minorHAnsi"/>
                      <w:sz w:val="20"/>
                    </w:rPr>
                    <w:t>(7)</w:t>
                  </w:r>
                </w:p>
              </w:tc>
              <w:tc>
                <w:tcPr>
                  <w:tcW w:w="1275" w:type="dxa"/>
                </w:tcPr>
                <w:p w:rsidRPr="0085416B" w:rsidR="00813E0C" w:rsidP="00131848" w:rsidRDefault="00813E0C" w14:paraId="43342054" w14:textId="77777777">
                  <w:pPr>
                    <w:pStyle w:val="BodyText"/>
                    <w:rPr>
                      <w:rFonts w:asciiTheme="minorHAnsi" w:hAnsiTheme="minorHAnsi"/>
                      <w:sz w:val="20"/>
                    </w:rPr>
                  </w:pPr>
                  <w:r w:rsidRPr="0085416B">
                    <w:rPr>
                      <w:rFonts w:asciiTheme="minorHAnsi" w:hAnsiTheme="minorHAnsi"/>
                      <w:sz w:val="20"/>
                    </w:rPr>
                    <w:t>-</w:t>
                  </w:r>
                </w:p>
              </w:tc>
              <w:tc>
                <w:tcPr>
                  <w:tcW w:w="3544" w:type="dxa"/>
                </w:tcPr>
                <w:p w:rsidRPr="0085416B" w:rsidR="00813E0C" w:rsidP="00131848" w:rsidRDefault="00813E0C" w14:paraId="41C91A78" w14:textId="77777777">
                  <w:pPr>
                    <w:pStyle w:val="BodyText"/>
                    <w:rPr>
                      <w:rFonts w:asciiTheme="minorHAnsi" w:hAnsiTheme="minorHAnsi"/>
                      <w:sz w:val="20"/>
                    </w:rPr>
                  </w:pPr>
                  <w:r w:rsidRPr="0085416B">
                    <w:rPr>
                      <w:rFonts w:asciiTheme="minorHAnsi" w:hAnsiTheme="minorHAnsi"/>
                      <w:sz w:val="20"/>
                    </w:rPr>
                    <w:t xml:space="preserve">5 mg/kg/day in 2 divided doses </w:t>
                  </w:r>
                  <w:r w:rsidRPr="00513D0E">
                    <w:rPr>
                      <w:rFonts w:asciiTheme="minorHAnsi" w:hAnsiTheme="minorHAnsi"/>
                      <w:b/>
                      <w:sz w:val="20"/>
                    </w:rPr>
                    <w:t>ORAL</w:t>
                  </w:r>
                  <w:r>
                    <w:rPr>
                      <w:rFonts w:asciiTheme="minorHAnsi" w:hAnsiTheme="minorHAnsi"/>
                      <w:sz w:val="20"/>
                    </w:rPr>
                    <w:t xml:space="preserve"> </w:t>
                  </w:r>
                  <w:r w:rsidRPr="0085416B">
                    <w:rPr>
                      <w:rFonts w:asciiTheme="minorHAnsi" w:hAnsiTheme="minorHAnsi"/>
                      <w:sz w:val="20"/>
                    </w:rPr>
                    <w:t>for 5 days prior to scan</w:t>
                  </w:r>
                </w:p>
              </w:tc>
            </w:tr>
          </w:tbl>
          <w:p w:rsidRPr="00513D0E" w:rsidR="00813E0C" w:rsidP="00131848" w:rsidRDefault="00813E0C" w14:paraId="0FCC6A91" w14:textId="77777777">
            <w:pPr>
              <w:pStyle w:val="BodyText"/>
              <w:ind w:left="720" w:hanging="720"/>
              <w:rPr>
                <w:rFonts w:asciiTheme="minorHAnsi" w:hAnsiTheme="minorHAnsi" w:cstheme="minorHAnsi"/>
                <w:b/>
                <w:bCs/>
                <w:sz w:val="20"/>
              </w:rPr>
            </w:pPr>
          </w:p>
        </w:tc>
      </w:tr>
      <w:tr w:rsidRPr="003B78EA" w:rsidR="00813E0C" w:rsidTr="008074AA" w14:paraId="60F7E60F" w14:textId="77777777">
        <w:trPr>
          <w:trHeight w:val="263"/>
        </w:trPr>
        <w:tc>
          <w:tcPr>
            <w:tcW w:w="875" w:type="pct"/>
          </w:tcPr>
          <w:p w:rsidRPr="003B78EA" w:rsidR="00813E0C" w:rsidP="00131848" w:rsidRDefault="00813E0C" w14:paraId="7AC0D8CD"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125" w:type="pct"/>
          </w:tcPr>
          <w:p w:rsidRPr="003B78EA" w:rsidR="00813E0C" w:rsidP="00131848" w:rsidRDefault="00813E0C" w14:paraId="534A359F" w14:textId="77777777">
            <w:pPr>
              <w:pStyle w:val="BodyText"/>
              <w:rPr>
                <w:rFonts w:asciiTheme="minorHAnsi" w:hAnsiTheme="minorHAnsi" w:cstheme="minorHAnsi"/>
                <w:sz w:val="20"/>
              </w:rPr>
            </w:pPr>
            <w:r>
              <w:rPr>
                <w:rFonts w:asciiTheme="minorHAnsi" w:hAnsiTheme="minorHAnsi" w:cstheme="minorHAnsi"/>
                <w:sz w:val="20"/>
              </w:rPr>
              <w:t>Therapeutic hypothermia – No dose adjustment (19)</w:t>
            </w:r>
          </w:p>
        </w:tc>
      </w:tr>
      <w:tr w:rsidRPr="003B78EA" w:rsidR="00813E0C" w:rsidTr="008074AA" w14:paraId="565F7D7E" w14:textId="77777777">
        <w:trPr>
          <w:trHeight w:val="263"/>
        </w:trPr>
        <w:tc>
          <w:tcPr>
            <w:tcW w:w="875" w:type="pct"/>
          </w:tcPr>
          <w:p w:rsidRPr="003B78EA" w:rsidR="00813E0C" w:rsidP="00131848" w:rsidRDefault="00813E0C" w14:paraId="2141AA5D"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125" w:type="pct"/>
          </w:tcPr>
          <w:p w:rsidRPr="003B78EA" w:rsidR="00813E0C" w:rsidP="00131848" w:rsidRDefault="00813E0C" w14:paraId="6F316E40" w14:textId="77777777">
            <w:pPr>
              <w:pStyle w:val="BodyText"/>
              <w:rPr>
                <w:rFonts w:asciiTheme="minorHAnsi" w:hAnsiTheme="minorHAnsi" w:cstheme="minorHAnsi"/>
                <w:sz w:val="20"/>
              </w:rPr>
            </w:pPr>
          </w:p>
        </w:tc>
      </w:tr>
      <w:tr w:rsidRPr="003B78EA" w:rsidR="00813E0C" w:rsidTr="008074AA" w14:paraId="5137B775" w14:textId="77777777">
        <w:trPr>
          <w:trHeight w:val="263"/>
        </w:trPr>
        <w:tc>
          <w:tcPr>
            <w:tcW w:w="875" w:type="pct"/>
          </w:tcPr>
          <w:p w:rsidRPr="003B78EA" w:rsidR="00813E0C" w:rsidP="00131848" w:rsidRDefault="00813E0C" w14:paraId="285E2883"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125" w:type="pct"/>
          </w:tcPr>
          <w:p w:rsidRPr="003B78EA" w:rsidR="00813E0C" w:rsidP="00131848" w:rsidRDefault="00813E0C" w14:paraId="3F44E5FB" w14:textId="77777777">
            <w:pPr>
              <w:pStyle w:val="BodyText"/>
              <w:rPr>
                <w:rFonts w:asciiTheme="minorHAnsi" w:hAnsiTheme="minorHAnsi" w:cstheme="minorHAnsi"/>
                <w:b/>
                <w:sz w:val="20"/>
              </w:rPr>
            </w:pPr>
          </w:p>
        </w:tc>
      </w:tr>
      <w:tr w:rsidRPr="003B78EA" w:rsidR="00813E0C" w:rsidTr="008074AA" w14:paraId="53E2BD7C" w14:textId="77777777">
        <w:trPr>
          <w:trHeight w:val="263"/>
        </w:trPr>
        <w:tc>
          <w:tcPr>
            <w:tcW w:w="875" w:type="pct"/>
          </w:tcPr>
          <w:p w:rsidRPr="003B78EA" w:rsidR="00813E0C" w:rsidP="00131848" w:rsidRDefault="00813E0C" w14:paraId="6185E535"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125" w:type="pct"/>
          </w:tcPr>
          <w:p w:rsidRPr="003B78EA" w:rsidR="00813E0C" w:rsidP="00131848" w:rsidRDefault="00813E0C" w14:paraId="68B71D0F" w14:textId="77777777">
            <w:pPr>
              <w:pStyle w:val="BodyText"/>
              <w:rPr>
                <w:rFonts w:asciiTheme="minorHAnsi" w:hAnsiTheme="minorHAnsi" w:cstheme="minorHAnsi"/>
                <w:sz w:val="20"/>
              </w:rPr>
            </w:pPr>
            <w:r w:rsidRPr="003D0E86">
              <w:rPr>
                <w:rFonts w:cs="Arial"/>
                <w:sz w:val="20"/>
              </w:rPr>
              <w:t>IV</w:t>
            </w:r>
            <w:r>
              <w:rPr>
                <w:rFonts w:cs="Arial"/>
                <w:sz w:val="20"/>
              </w:rPr>
              <w:t xml:space="preserve"> and oral</w:t>
            </w:r>
          </w:p>
        </w:tc>
      </w:tr>
      <w:tr w:rsidRPr="003B78EA" w:rsidR="00813E0C" w:rsidTr="008074AA" w14:paraId="36A76AB4" w14:textId="77777777">
        <w:trPr>
          <w:trHeight w:val="263"/>
        </w:trPr>
        <w:tc>
          <w:tcPr>
            <w:tcW w:w="875" w:type="pct"/>
          </w:tcPr>
          <w:p w:rsidRPr="003B78EA" w:rsidR="00813E0C" w:rsidP="00131848" w:rsidRDefault="00813E0C" w14:paraId="3C8C339C"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125" w:type="pct"/>
          </w:tcPr>
          <w:p w:rsidR="00813E0C" w:rsidP="00131848" w:rsidRDefault="00813E0C" w14:paraId="69A4C149" w14:textId="77777777">
            <w:pPr>
              <w:pStyle w:val="BodyText"/>
              <w:rPr>
                <w:color w:val="000000"/>
                <w:sz w:val="20"/>
                <w:lang w:val="en-US"/>
              </w:rPr>
            </w:pPr>
            <w:r w:rsidRPr="00BB04DB">
              <w:rPr>
                <w:b/>
                <w:color w:val="000000"/>
                <w:sz w:val="20"/>
                <w:lang w:val="en-US"/>
              </w:rPr>
              <w:t>IV:</w:t>
            </w:r>
            <w:r>
              <w:rPr>
                <w:color w:val="000000"/>
                <w:sz w:val="20"/>
                <w:lang w:val="en-US"/>
              </w:rPr>
              <w:t xml:space="preserve"> </w:t>
            </w:r>
            <w:r w:rsidRPr="000B11C1">
              <w:rPr>
                <w:color w:val="000000"/>
                <w:sz w:val="20"/>
                <w:lang w:val="en-US"/>
              </w:rPr>
              <w:t>Draw up 1</w:t>
            </w:r>
            <w:r>
              <w:rPr>
                <w:color w:val="000000"/>
                <w:sz w:val="20"/>
                <w:lang w:val="en-US"/>
              </w:rPr>
              <w:t xml:space="preserve"> </w:t>
            </w:r>
            <w:r w:rsidRPr="000B11C1">
              <w:rPr>
                <w:color w:val="000000"/>
                <w:sz w:val="20"/>
                <w:lang w:val="en-US"/>
              </w:rPr>
              <w:t>m</w:t>
            </w:r>
            <w:r>
              <w:rPr>
                <w:color w:val="000000"/>
                <w:sz w:val="20"/>
                <w:lang w:val="en-US"/>
              </w:rPr>
              <w:t xml:space="preserve">L </w:t>
            </w:r>
            <w:r w:rsidRPr="000B11C1">
              <w:rPr>
                <w:color w:val="000000"/>
                <w:sz w:val="20"/>
                <w:lang w:val="en-US"/>
              </w:rPr>
              <w:t>(200</w:t>
            </w:r>
            <w:r>
              <w:rPr>
                <w:color w:val="000000"/>
                <w:sz w:val="20"/>
                <w:lang w:val="en-US"/>
              </w:rPr>
              <w:t xml:space="preserve"> </w:t>
            </w:r>
            <w:r w:rsidRPr="000B11C1">
              <w:rPr>
                <w:color w:val="000000"/>
                <w:sz w:val="20"/>
                <w:lang w:val="en-US"/>
              </w:rPr>
              <w:t>mg</w:t>
            </w:r>
            <w:r>
              <w:rPr>
                <w:color w:val="000000"/>
                <w:sz w:val="20"/>
                <w:lang w:val="en-US"/>
              </w:rPr>
              <w:t xml:space="preserve"> of Phenobarbital)</w:t>
            </w:r>
            <w:r w:rsidRPr="000B11C1">
              <w:rPr>
                <w:color w:val="000000"/>
                <w:sz w:val="20"/>
                <w:lang w:val="en-US"/>
              </w:rPr>
              <w:t xml:space="preserve"> and add 9</w:t>
            </w:r>
            <w:r>
              <w:rPr>
                <w:color w:val="000000"/>
                <w:sz w:val="20"/>
                <w:lang w:val="en-US"/>
              </w:rPr>
              <w:t xml:space="preserve"> </w:t>
            </w:r>
            <w:r w:rsidRPr="000B11C1">
              <w:rPr>
                <w:color w:val="000000"/>
                <w:sz w:val="20"/>
                <w:lang w:val="en-US"/>
              </w:rPr>
              <w:t>m</w:t>
            </w:r>
            <w:r>
              <w:rPr>
                <w:color w:val="000000"/>
                <w:sz w:val="20"/>
                <w:lang w:val="en-US"/>
              </w:rPr>
              <w:t>L</w:t>
            </w:r>
            <w:r w:rsidRPr="000B11C1">
              <w:rPr>
                <w:color w:val="000000"/>
                <w:sz w:val="20"/>
                <w:lang w:val="en-US"/>
              </w:rPr>
              <w:t xml:space="preserve"> water for injection to make final volume</w:t>
            </w:r>
            <w:r>
              <w:rPr>
                <w:color w:val="000000"/>
                <w:sz w:val="20"/>
                <w:lang w:val="en-US"/>
              </w:rPr>
              <w:t xml:space="preserve"> of</w:t>
            </w:r>
            <w:r w:rsidRPr="000B11C1">
              <w:rPr>
                <w:color w:val="000000"/>
                <w:sz w:val="20"/>
                <w:lang w:val="en-US"/>
              </w:rPr>
              <w:t xml:space="preserve"> 10</w:t>
            </w:r>
            <w:r>
              <w:rPr>
                <w:color w:val="000000"/>
                <w:sz w:val="20"/>
                <w:lang w:val="en-US"/>
              </w:rPr>
              <w:t xml:space="preserve"> </w:t>
            </w:r>
            <w:r w:rsidRPr="000B11C1">
              <w:rPr>
                <w:color w:val="000000"/>
                <w:sz w:val="20"/>
                <w:lang w:val="en-US"/>
              </w:rPr>
              <w:t>m</w:t>
            </w:r>
            <w:r>
              <w:rPr>
                <w:color w:val="000000"/>
                <w:sz w:val="20"/>
                <w:lang w:val="en-US"/>
              </w:rPr>
              <w:t>L</w:t>
            </w:r>
            <w:r w:rsidRPr="000B11C1">
              <w:rPr>
                <w:color w:val="000000"/>
                <w:sz w:val="20"/>
                <w:lang w:val="en-US"/>
              </w:rPr>
              <w:t xml:space="preserve"> with a </w:t>
            </w:r>
            <w:r>
              <w:rPr>
                <w:color w:val="000000"/>
                <w:sz w:val="20"/>
                <w:lang w:val="en-US"/>
              </w:rPr>
              <w:t xml:space="preserve">final </w:t>
            </w:r>
            <w:r w:rsidRPr="000B11C1">
              <w:rPr>
                <w:color w:val="000000"/>
                <w:sz w:val="20"/>
                <w:lang w:val="en-US"/>
              </w:rPr>
              <w:t>concentration of 20</w:t>
            </w:r>
            <w:r>
              <w:rPr>
                <w:color w:val="000000"/>
                <w:sz w:val="20"/>
                <w:lang w:val="en-US"/>
              </w:rPr>
              <w:t xml:space="preserve"> </w:t>
            </w:r>
            <w:r w:rsidRPr="000B11C1">
              <w:rPr>
                <w:color w:val="000000"/>
                <w:sz w:val="20"/>
                <w:lang w:val="en-US"/>
              </w:rPr>
              <w:t>mg/m</w:t>
            </w:r>
            <w:r>
              <w:rPr>
                <w:color w:val="000000"/>
                <w:sz w:val="20"/>
                <w:lang w:val="en-US"/>
              </w:rPr>
              <w:t>L</w:t>
            </w:r>
            <w:r w:rsidRPr="000B11C1">
              <w:rPr>
                <w:color w:val="000000"/>
                <w:sz w:val="20"/>
                <w:lang w:val="en-US"/>
              </w:rPr>
              <w:t>.</w:t>
            </w:r>
          </w:p>
          <w:p w:rsidR="00813E0C" w:rsidP="00131848" w:rsidRDefault="00813E0C" w14:paraId="7097F0A6" w14:textId="77777777">
            <w:pPr>
              <w:pStyle w:val="BodyText"/>
              <w:rPr>
                <w:rFonts w:cs="Arial"/>
                <w:sz w:val="20"/>
              </w:rPr>
            </w:pPr>
            <w:r w:rsidRPr="00BB04DB">
              <w:rPr>
                <w:rFonts w:cs="Arial"/>
                <w:b/>
                <w:sz w:val="20"/>
              </w:rPr>
              <w:t>Oral elixir or liquid:</w:t>
            </w:r>
            <w:r>
              <w:rPr>
                <w:rFonts w:cs="Arial"/>
                <w:sz w:val="20"/>
              </w:rPr>
              <w:t xml:space="preserve"> Draw up prescribed dose.</w:t>
            </w:r>
          </w:p>
          <w:p w:rsidRPr="003B78EA" w:rsidR="00813E0C" w:rsidP="00131848" w:rsidRDefault="00813E0C" w14:paraId="0FF7F610" w14:textId="77777777">
            <w:pPr>
              <w:pStyle w:val="BodyText"/>
              <w:rPr>
                <w:rFonts w:asciiTheme="minorHAnsi" w:hAnsiTheme="minorHAnsi" w:cstheme="minorHAnsi"/>
                <w:sz w:val="20"/>
              </w:rPr>
            </w:pPr>
            <w:r w:rsidRPr="00BB04DB">
              <w:rPr>
                <w:rFonts w:cs="Arial"/>
                <w:b/>
                <w:sz w:val="20"/>
              </w:rPr>
              <w:t>Oral tablet:</w:t>
            </w:r>
            <w:r>
              <w:rPr>
                <w:rFonts w:cs="Arial"/>
                <w:sz w:val="20"/>
              </w:rPr>
              <w:t xml:space="preserve"> </w:t>
            </w:r>
            <w:r w:rsidRPr="000A0B59">
              <w:rPr>
                <w:rFonts w:cs="Arial"/>
                <w:b/>
                <w:sz w:val="20"/>
              </w:rPr>
              <w:t>Pregnant staff are not to crush or disperse tablets.</w:t>
            </w:r>
            <w:r w:rsidRPr="000A0B59">
              <w:rPr>
                <w:rFonts w:cs="Arial"/>
                <w:sz w:val="20"/>
              </w:rPr>
              <w:t xml:space="preserve"> </w:t>
            </w:r>
            <w:r w:rsidRPr="00476E1A">
              <w:rPr>
                <w:rFonts w:asciiTheme="minorHAnsi" w:hAnsiTheme="minorHAnsi" w:cstheme="minorHAnsi"/>
                <w:sz w:val="20"/>
              </w:rPr>
              <w:t>Crush and dissolve a 30 mg tablet in 3.75 ml of water</w:t>
            </w:r>
            <w:r>
              <w:rPr>
                <w:rFonts w:asciiTheme="minorHAnsi" w:hAnsiTheme="minorHAnsi" w:cstheme="minorHAnsi"/>
                <w:sz w:val="20"/>
              </w:rPr>
              <w:t xml:space="preserve"> for injection to make a final concentration of</w:t>
            </w:r>
            <w:r w:rsidRPr="00476E1A">
              <w:rPr>
                <w:rFonts w:asciiTheme="minorHAnsi" w:hAnsiTheme="minorHAnsi" w:cstheme="minorHAnsi"/>
                <w:sz w:val="20"/>
              </w:rPr>
              <w:t xml:space="preserve"> 8 mg/m</w:t>
            </w:r>
            <w:r>
              <w:rPr>
                <w:rFonts w:asciiTheme="minorHAnsi" w:hAnsiTheme="minorHAnsi" w:cstheme="minorHAnsi"/>
                <w:sz w:val="20"/>
              </w:rPr>
              <w:t xml:space="preserve">L </w:t>
            </w:r>
            <w:r w:rsidRPr="00476E1A">
              <w:rPr>
                <w:rFonts w:asciiTheme="minorHAnsi" w:hAnsiTheme="minorHAnsi" w:cstheme="minorHAnsi"/>
                <w:sz w:val="20"/>
              </w:rPr>
              <w:t>solution.</w:t>
            </w:r>
            <w:r>
              <w:rPr>
                <w:rFonts w:asciiTheme="minorHAnsi" w:hAnsiTheme="minorHAnsi" w:cstheme="minorHAnsi"/>
                <w:sz w:val="20"/>
              </w:rPr>
              <w:t xml:space="preserve"> Give prescribed amount, discard unused portion.</w:t>
            </w:r>
          </w:p>
        </w:tc>
      </w:tr>
      <w:tr w:rsidRPr="003B78EA" w:rsidR="00813E0C" w:rsidTr="008074AA" w14:paraId="40335165" w14:textId="77777777">
        <w:trPr>
          <w:trHeight w:val="263"/>
        </w:trPr>
        <w:tc>
          <w:tcPr>
            <w:tcW w:w="875" w:type="pct"/>
          </w:tcPr>
          <w:p w:rsidRPr="003B78EA" w:rsidR="00813E0C" w:rsidP="00131848" w:rsidRDefault="00813E0C" w14:paraId="4FB53948"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125" w:type="pct"/>
            <w:vAlign w:val="center"/>
          </w:tcPr>
          <w:p w:rsidRPr="00BB04DB" w:rsidR="00813E0C" w:rsidP="00131848" w:rsidRDefault="00813E0C" w14:paraId="76635A57" w14:textId="77777777">
            <w:pPr>
              <w:pStyle w:val="BodyText"/>
              <w:rPr>
                <w:rFonts w:cs="Arial"/>
                <w:b/>
                <w:sz w:val="20"/>
              </w:rPr>
            </w:pPr>
            <w:r w:rsidRPr="00BB04DB">
              <w:rPr>
                <w:rFonts w:cs="Arial"/>
                <w:b/>
                <w:sz w:val="20"/>
              </w:rPr>
              <w:t>IV:</w:t>
            </w:r>
          </w:p>
          <w:p w:rsidR="00813E0C" w:rsidP="00131848" w:rsidRDefault="00813E0C" w14:paraId="5C8DBDFB" w14:textId="77777777">
            <w:pPr>
              <w:pStyle w:val="BodyText"/>
              <w:rPr>
                <w:rFonts w:cs="Arial"/>
                <w:sz w:val="20"/>
              </w:rPr>
            </w:pPr>
            <w:r>
              <w:rPr>
                <w:rFonts w:cs="Arial"/>
                <w:sz w:val="20"/>
              </w:rPr>
              <w:lastRenderedPageBreak/>
              <w:t>Loading dose: Infuse over 20 minutes with a maximum infusion rate 1 mg/kg/minute using a light safe extension set.</w:t>
            </w:r>
          </w:p>
          <w:p w:rsidR="00813E0C" w:rsidP="00131848" w:rsidRDefault="00813E0C" w14:paraId="44BE221F" w14:textId="77777777">
            <w:pPr>
              <w:pStyle w:val="BodyText"/>
              <w:rPr>
                <w:rFonts w:cs="Arial"/>
                <w:sz w:val="20"/>
              </w:rPr>
            </w:pPr>
            <w:r>
              <w:rPr>
                <w:rFonts w:cs="Arial"/>
                <w:sz w:val="20"/>
              </w:rPr>
              <w:t xml:space="preserve">Maintenance dose:  Bolus over </w:t>
            </w:r>
            <w:r w:rsidRPr="0085416B">
              <w:rPr>
                <w:rFonts w:cs="Arial"/>
                <w:sz w:val="20"/>
              </w:rPr>
              <w:t>5 minutes.</w:t>
            </w:r>
            <w:r>
              <w:rPr>
                <w:rFonts w:cs="Arial"/>
                <w:sz w:val="20"/>
              </w:rPr>
              <w:t xml:space="preserve"> </w:t>
            </w:r>
          </w:p>
          <w:p w:rsidRPr="00BB04DB" w:rsidR="00813E0C" w:rsidP="00131848" w:rsidRDefault="00813E0C" w14:paraId="4D2FD43B" w14:textId="77777777">
            <w:pPr>
              <w:pStyle w:val="BodyText"/>
              <w:rPr>
                <w:rFonts w:cs="Arial"/>
                <w:b/>
                <w:sz w:val="20"/>
              </w:rPr>
            </w:pPr>
            <w:r w:rsidRPr="00BB04DB">
              <w:rPr>
                <w:rFonts w:cs="Arial"/>
                <w:b/>
                <w:sz w:val="20"/>
              </w:rPr>
              <w:t xml:space="preserve">Oral: </w:t>
            </w:r>
          </w:p>
          <w:p w:rsidRPr="003B78EA" w:rsidR="00813E0C" w:rsidP="00131848" w:rsidRDefault="00813E0C" w14:paraId="3EEDB486" w14:textId="77777777">
            <w:pPr>
              <w:pStyle w:val="BodyText"/>
              <w:rPr>
                <w:rFonts w:asciiTheme="minorHAnsi" w:hAnsiTheme="minorHAnsi" w:cstheme="minorHAnsi"/>
                <w:sz w:val="20"/>
              </w:rPr>
            </w:pPr>
            <w:r w:rsidRPr="000B11C1">
              <w:rPr>
                <w:rFonts w:cs="Arial"/>
                <w:sz w:val="20"/>
              </w:rPr>
              <w:t>Give immediately before or with feeds to minimise GI irritation</w:t>
            </w:r>
            <w:r>
              <w:rPr>
                <w:rFonts w:cs="Arial"/>
                <w:sz w:val="20"/>
              </w:rPr>
              <w:t>.</w:t>
            </w:r>
          </w:p>
        </w:tc>
      </w:tr>
      <w:tr w:rsidRPr="003B78EA" w:rsidR="00813E0C" w:rsidTr="008074AA" w14:paraId="1AE11A8A" w14:textId="77777777">
        <w:trPr>
          <w:trHeight w:val="263"/>
        </w:trPr>
        <w:tc>
          <w:tcPr>
            <w:tcW w:w="875" w:type="pct"/>
          </w:tcPr>
          <w:p w:rsidRPr="003B78EA" w:rsidR="00813E0C" w:rsidP="00131848" w:rsidRDefault="00813E0C" w14:paraId="0BC66BEF"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Monitoring</w:t>
            </w:r>
          </w:p>
        </w:tc>
        <w:tc>
          <w:tcPr>
            <w:tcW w:w="4125" w:type="pct"/>
          </w:tcPr>
          <w:p w:rsidR="00813E0C" w:rsidP="00131848" w:rsidRDefault="00813E0C" w14:paraId="562753F0" w14:textId="77777777">
            <w:pPr>
              <w:pStyle w:val="BodyText"/>
              <w:rPr>
                <w:rFonts w:cs="Arial"/>
                <w:sz w:val="20"/>
              </w:rPr>
            </w:pPr>
            <w:r>
              <w:rPr>
                <w:rFonts w:cs="Arial"/>
                <w:sz w:val="20"/>
              </w:rPr>
              <w:t>S</w:t>
            </w:r>
            <w:r w:rsidRPr="00B36A95">
              <w:rPr>
                <w:rFonts w:cs="Arial"/>
                <w:sz w:val="20"/>
              </w:rPr>
              <w:t xml:space="preserve">erum </w:t>
            </w:r>
            <w:r>
              <w:rPr>
                <w:rFonts w:cs="Arial"/>
                <w:sz w:val="20"/>
              </w:rPr>
              <w:t xml:space="preserve">concentrations for seizure control and therapeutic hypothermia: </w:t>
            </w:r>
          </w:p>
          <w:p w:rsidR="00813E0C" w:rsidP="00131848" w:rsidRDefault="00813E0C" w14:paraId="3DCC0D28" w14:textId="77777777">
            <w:pPr>
              <w:pStyle w:val="BodyText"/>
              <w:rPr>
                <w:rFonts w:cs="Arial"/>
                <w:sz w:val="20"/>
              </w:rPr>
            </w:pPr>
            <w:r w:rsidRPr="00B36A95">
              <w:rPr>
                <w:rFonts w:cs="Arial"/>
                <w:sz w:val="20"/>
              </w:rPr>
              <w:t xml:space="preserve">24 hours after starting </w:t>
            </w:r>
            <w:r>
              <w:rPr>
                <w:rFonts w:cs="Arial"/>
                <w:sz w:val="20"/>
              </w:rPr>
              <w:t>phenobarbital</w:t>
            </w:r>
            <w:r w:rsidRPr="00B36A95">
              <w:rPr>
                <w:rFonts w:cs="Arial"/>
                <w:sz w:val="20"/>
              </w:rPr>
              <w:t xml:space="preserve">. Serum target: </w:t>
            </w:r>
            <w:r>
              <w:rPr>
                <w:rFonts w:cs="Arial"/>
                <w:sz w:val="20"/>
              </w:rPr>
              <w:t>15−40 mg/L</w:t>
            </w:r>
            <w:r w:rsidRPr="00B36A95">
              <w:rPr>
                <w:rFonts w:cs="Arial"/>
                <w:sz w:val="20"/>
              </w:rPr>
              <w:t xml:space="preserve"> </w:t>
            </w:r>
            <w:r>
              <w:rPr>
                <w:rFonts w:cs="Arial"/>
                <w:sz w:val="20"/>
              </w:rPr>
              <w:t>(</w:t>
            </w:r>
            <w:r w:rsidRPr="00B36A95">
              <w:rPr>
                <w:rFonts w:cs="Arial"/>
                <w:sz w:val="20"/>
              </w:rPr>
              <w:t>65-172 micromol/L</w:t>
            </w:r>
            <w:r>
              <w:rPr>
                <w:rFonts w:cs="Arial"/>
                <w:sz w:val="20"/>
              </w:rPr>
              <w:t>)</w:t>
            </w:r>
            <w:r w:rsidRPr="00B36A95">
              <w:rPr>
                <w:rFonts w:cs="Arial"/>
                <w:sz w:val="20"/>
              </w:rPr>
              <w:t>.</w:t>
            </w:r>
            <w:r>
              <w:rPr>
                <w:rFonts w:cs="Arial"/>
                <w:sz w:val="20"/>
              </w:rPr>
              <w:t xml:space="preserve"> </w:t>
            </w:r>
            <w:r w:rsidRPr="00EC30D1">
              <w:rPr>
                <w:rFonts w:cs="Arial"/>
                <w:sz w:val="20"/>
              </w:rPr>
              <w:t xml:space="preserve">Consider repeating </w:t>
            </w:r>
            <w:r>
              <w:rPr>
                <w:rFonts w:cs="Arial"/>
                <w:sz w:val="20"/>
              </w:rPr>
              <w:t>concentrations</w:t>
            </w:r>
            <w:r w:rsidRPr="00EC30D1">
              <w:rPr>
                <w:rFonts w:cs="Arial"/>
                <w:sz w:val="20"/>
              </w:rPr>
              <w:t xml:space="preserve"> 1 week after the commencement and subsequent </w:t>
            </w:r>
            <w:r>
              <w:rPr>
                <w:rFonts w:cs="Arial"/>
                <w:sz w:val="20"/>
              </w:rPr>
              <w:t>concentrations</w:t>
            </w:r>
            <w:r w:rsidRPr="00EC30D1">
              <w:rPr>
                <w:rFonts w:cs="Arial"/>
                <w:sz w:val="20"/>
              </w:rPr>
              <w:t xml:space="preserve"> as per clinical need.</w:t>
            </w:r>
            <w:r>
              <w:rPr>
                <w:rFonts w:cs="Arial"/>
                <w:sz w:val="20"/>
              </w:rPr>
              <w:t xml:space="preserve"> </w:t>
            </w:r>
          </w:p>
          <w:p w:rsidRPr="007F4B77" w:rsidR="00813E0C" w:rsidP="00131848" w:rsidRDefault="00813E0C" w14:paraId="582191BE" w14:textId="77777777">
            <w:pPr>
              <w:pStyle w:val="BodyText"/>
              <w:rPr>
                <w:rFonts w:asciiTheme="minorHAnsi" w:hAnsiTheme="minorHAnsi" w:cstheme="minorHAnsi"/>
                <w:sz w:val="20"/>
              </w:rPr>
            </w:pPr>
            <w:r>
              <w:rPr>
                <w:rFonts w:cs="Arial"/>
                <w:sz w:val="20"/>
              </w:rPr>
              <w:t xml:space="preserve">Consider liver function tests. </w:t>
            </w:r>
          </w:p>
        </w:tc>
      </w:tr>
      <w:tr w:rsidRPr="003B78EA" w:rsidR="00813E0C" w:rsidTr="008074AA" w14:paraId="79BD6B19" w14:textId="77777777">
        <w:trPr>
          <w:trHeight w:val="263"/>
        </w:trPr>
        <w:tc>
          <w:tcPr>
            <w:tcW w:w="875" w:type="pct"/>
          </w:tcPr>
          <w:p w:rsidRPr="003B78EA" w:rsidR="00813E0C" w:rsidP="00131848" w:rsidRDefault="00813E0C" w14:paraId="48C3E4EB"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125" w:type="pct"/>
            <w:vAlign w:val="center"/>
          </w:tcPr>
          <w:p w:rsidRPr="003B78EA" w:rsidR="00813E0C" w:rsidP="00131848" w:rsidRDefault="00813E0C" w14:paraId="1E31DB79" w14:textId="77777777">
            <w:pPr>
              <w:pStyle w:val="BodyText"/>
              <w:rPr>
                <w:rFonts w:asciiTheme="minorHAnsi" w:hAnsiTheme="minorHAnsi" w:cstheme="minorHAnsi"/>
                <w:sz w:val="20"/>
              </w:rPr>
            </w:pPr>
            <w:r w:rsidRPr="00FE2BCC">
              <w:rPr>
                <w:rFonts w:cs="Arial"/>
                <w:sz w:val="20"/>
                <w:lang w:val="en-US"/>
              </w:rPr>
              <w:t xml:space="preserve">Hypersensitivity to </w:t>
            </w:r>
            <w:r>
              <w:rPr>
                <w:rFonts w:cs="Arial"/>
                <w:sz w:val="20"/>
                <w:lang w:val="en-US"/>
              </w:rPr>
              <w:t>phenobarbital</w:t>
            </w:r>
            <w:r w:rsidRPr="00FE2BCC">
              <w:rPr>
                <w:rFonts w:cs="Arial"/>
                <w:sz w:val="20"/>
                <w:lang w:val="en-US"/>
              </w:rPr>
              <w:t xml:space="preserve"> or any ingredients. </w:t>
            </w:r>
            <w:r>
              <w:rPr>
                <w:rFonts w:cs="Arial"/>
                <w:sz w:val="20"/>
                <w:lang w:val="en-US"/>
              </w:rPr>
              <w:t>Any forms of acute p</w:t>
            </w:r>
            <w:r w:rsidRPr="00FE2BCC">
              <w:rPr>
                <w:rFonts w:cs="Arial"/>
                <w:sz w:val="20"/>
                <w:lang w:val="en-US"/>
              </w:rPr>
              <w:t>orphyria</w:t>
            </w:r>
            <w:r>
              <w:rPr>
                <w:rFonts w:cs="Arial"/>
                <w:sz w:val="20"/>
                <w:lang w:val="en-US"/>
              </w:rPr>
              <w:t>.</w:t>
            </w:r>
          </w:p>
        </w:tc>
      </w:tr>
      <w:tr w:rsidRPr="003B78EA" w:rsidR="00813E0C" w:rsidTr="008074AA" w14:paraId="37057089" w14:textId="77777777">
        <w:trPr>
          <w:trHeight w:val="263"/>
        </w:trPr>
        <w:tc>
          <w:tcPr>
            <w:tcW w:w="875" w:type="pct"/>
          </w:tcPr>
          <w:p w:rsidRPr="003B78EA" w:rsidR="00813E0C" w:rsidP="00131848" w:rsidRDefault="00813E0C" w14:paraId="72C29C7C"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4125" w:type="pct"/>
          </w:tcPr>
          <w:p w:rsidR="00813E0C" w:rsidP="00131848" w:rsidRDefault="00813E0C" w14:paraId="2EFA2B5F" w14:textId="77777777">
            <w:pPr>
              <w:pStyle w:val="BodyText"/>
              <w:rPr>
                <w:rFonts w:cs="Arial"/>
                <w:sz w:val="20"/>
              </w:rPr>
            </w:pPr>
            <w:r w:rsidRPr="00FE2BCC">
              <w:rPr>
                <w:rFonts w:cs="Arial"/>
                <w:sz w:val="20"/>
              </w:rPr>
              <w:t xml:space="preserve">Use with caution in renal or hepatic impairment. </w:t>
            </w:r>
          </w:p>
          <w:p w:rsidR="00813E0C" w:rsidP="00131848" w:rsidRDefault="00813E0C" w14:paraId="4E5EABC2" w14:textId="77777777">
            <w:pPr>
              <w:pStyle w:val="BodyText"/>
              <w:rPr>
                <w:rFonts w:cs="Arial"/>
                <w:sz w:val="20"/>
              </w:rPr>
            </w:pPr>
            <w:r w:rsidRPr="00FE2BCC">
              <w:rPr>
                <w:rFonts w:cs="Arial"/>
                <w:sz w:val="20"/>
              </w:rPr>
              <w:t>Dependence may develop with prolonged use – consider weaning instead of abrupt withdrawal</w:t>
            </w:r>
            <w:r>
              <w:rPr>
                <w:rFonts w:cs="Arial"/>
                <w:sz w:val="20"/>
              </w:rPr>
              <w:t xml:space="preserve"> (Refer to special comments section)</w:t>
            </w:r>
            <w:r w:rsidRPr="00FE2BCC">
              <w:rPr>
                <w:rFonts w:cs="Arial"/>
                <w:sz w:val="20"/>
              </w:rPr>
              <w:t xml:space="preserve">. </w:t>
            </w:r>
          </w:p>
          <w:p w:rsidRPr="003B78EA" w:rsidR="00813E0C" w:rsidP="00131848" w:rsidRDefault="00813E0C" w14:paraId="20F01FEC" w14:textId="77777777">
            <w:pPr>
              <w:pStyle w:val="BodyText"/>
              <w:rPr>
                <w:rFonts w:asciiTheme="minorHAnsi" w:hAnsiTheme="minorHAnsi" w:cstheme="minorHAnsi"/>
                <w:sz w:val="20"/>
              </w:rPr>
            </w:pPr>
            <w:r w:rsidRPr="00FE2BCC">
              <w:rPr>
                <w:rFonts w:cs="Arial"/>
                <w:sz w:val="20"/>
              </w:rPr>
              <w:t xml:space="preserve">Therapeutic hypothermia may increase the serum concentrations of </w:t>
            </w:r>
            <w:r>
              <w:rPr>
                <w:rFonts w:cs="Arial"/>
                <w:sz w:val="20"/>
              </w:rPr>
              <w:t>phenobarbital</w:t>
            </w:r>
            <w:r w:rsidRPr="00FE2BCC">
              <w:rPr>
                <w:rFonts w:cs="Arial"/>
                <w:sz w:val="20"/>
              </w:rPr>
              <w:t xml:space="preserve">  </w:t>
            </w:r>
          </w:p>
        </w:tc>
      </w:tr>
      <w:tr w:rsidRPr="003B78EA" w:rsidR="00813E0C" w:rsidTr="008074AA" w14:paraId="62427D4C" w14:textId="77777777">
        <w:trPr>
          <w:trHeight w:val="263"/>
        </w:trPr>
        <w:tc>
          <w:tcPr>
            <w:tcW w:w="875" w:type="pct"/>
          </w:tcPr>
          <w:p w:rsidRPr="003B78EA" w:rsidR="00813E0C" w:rsidP="00131848" w:rsidRDefault="00813E0C" w14:paraId="66BAFC67"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125" w:type="pct"/>
          </w:tcPr>
          <w:p w:rsidRPr="003B78EA" w:rsidR="00813E0C" w:rsidP="00131848" w:rsidRDefault="00813E0C" w14:paraId="2E71E3F2" w14:textId="77777777">
            <w:pPr>
              <w:pStyle w:val="BodyText"/>
              <w:rPr>
                <w:rFonts w:asciiTheme="minorHAnsi" w:hAnsiTheme="minorHAnsi" w:cstheme="minorHAnsi"/>
                <w:sz w:val="20"/>
              </w:rPr>
            </w:pPr>
            <w:r w:rsidRPr="00FE2BCC">
              <w:rPr>
                <w:rFonts w:cs="Arial"/>
                <w:sz w:val="20"/>
              </w:rPr>
              <w:t xml:space="preserve">Morphine, fentanyl, midazolam and other CNS depressants may have an additive effect with </w:t>
            </w:r>
            <w:r>
              <w:rPr>
                <w:rFonts w:cs="Arial"/>
                <w:sz w:val="20"/>
              </w:rPr>
              <w:t>phenobarbital</w:t>
            </w:r>
            <w:r w:rsidRPr="00FE2BCC">
              <w:rPr>
                <w:rFonts w:cs="Arial"/>
                <w:sz w:val="20"/>
              </w:rPr>
              <w:t xml:space="preserve"> in causing respiratory depression. Consider starting </w:t>
            </w:r>
            <w:r>
              <w:rPr>
                <w:rFonts w:cs="Arial"/>
                <w:sz w:val="20"/>
              </w:rPr>
              <w:t>phenobarbital</w:t>
            </w:r>
            <w:r w:rsidRPr="00FE2BCC">
              <w:rPr>
                <w:rFonts w:cs="Arial"/>
                <w:sz w:val="20"/>
              </w:rPr>
              <w:t xml:space="preserve"> at the lower end of the dose range</w:t>
            </w:r>
            <w:r>
              <w:rPr>
                <w:rFonts w:cs="Arial"/>
                <w:sz w:val="20"/>
              </w:rPr>
              <w:t xml:space="preserve"> in these patients</w:t>
            </w:r>
            <w:r w:rsidRPr="00FE2BCC">
              <w:rPr>
                <w:rFonts w:cs="Arial"/>
                <w:sz w:val="20"/>
              </w:rPr>
              <w:t xml:space="preserve">. Blood </w:t>
            </w:r>
            <w:r>
              <w:rPr>
                <w:rFonts w:cs="Arial"/>
                <w:sz w:val="20"/>
              </w:rPr>
              <w:t>concentrations</w:t>
            </w:r>
            <w:r w:rsidRPr="00FE2BCC">
              <w:rPr>
                <w:rFonts w:cs="Arial"/>
                <w:sz w:val="20"/>
              </w:rPr>
              <w:t xml:space="preserve"> of digoxin, metronidazole, corticosteroids (e</w:t>
            </w:r>
            <w:r>
              <w:rPr>
                <w:rFonts w:cs="Arial"/>
                <w:sz w:val="20"/>
              </w:rPr>
              <w:t>.</w:t>
            </w:r>
            <w:r w:rsidRPr="00FE2BCC">
              <w:rPr>
                <w:rFonts w:cs="Arial"/>
                <w:sz w:val="20"/>
              </w:rPr>
              <w:t>g. betamethasone, dexamethasone), vitamin D, and beta-blockers (e</w:t>
            </w:r>
            <w:r>
              <w:rPr>
                <w:rFonts w:cs="Arial"/>
                <w:sz w:val="20"/>
              </w:rPr>
              <w:t>.</w:t>
            </w:r>
            <w:r w:rsidRPr="00FE2BCC">
              <w:rPr>
                <w:rFonts w:cs="Arial"/>
                <w:sz w:val="20"/>
              </w:rPr>
              <w:t xml:space="preserve">g. propranolol, sotalol) may be reduced if administered concurrently with </w:t>
            </w:r>
            <w:r>
              <w:rPr>
                <w:rFonts w:cs="Arial"/>
                <w:sz w:val="20"/>
              </w:rPr>
              <w:t>phenobarbital</w:t>
            </w:r>
            <w:r w:rsidRPr="00FE2BCC">
              <w:rPr>
                <w:rFonts w:cs="Arial"/>
                <w:sz w:val="20"/>
              </w:rPr>
              <w:t xml:space="preserve">. Concurrent administration of phenytoin with </w:t>
            </w:r>
            <w:r>
              <w:rPr>
                <w:rFonts w:cs="Arial"/>
                <w:sz w:val="20"/>
              </w:rPr>
              <w:t>phenobarbital</w:t>
            </w:r>
            <w:r w:rsidRPr="00FE2BCC">
              <w:rPr>
                <w:rFonts w:cs="Arial"/>
                <w:sz w:val="20"/>
              </w:rPr>
              <w:t xml:space="preserve"> has variable effects on serum concentrations of either drug. Serum concentrations should be monitored for both drugs.</w:t>
            </w:r>
          </w:p>
        </w:tc>
      </w:tr>
      <w:tr w:rsidRPr="003B78EA" w:rsidR="00813E0C" w:rsidTr="008074AA" w14:paraId="6475DBE7" w14:textId="77777777">
        <w:trPr>
          <w:trHeight w:val="263"/>
        </w:trPr>
        <w:tc>
          <w:tcPr>
            <w:tcW w:w="875" w:type="pct"/>
          </w:tcPr>
          <w:p w:rsidRPr="003B78EA" w:rsidR="00813E0C" w:rsidP="00131848" w:rsidRDefault="00813E0C" w14:paraId="2BCDCA44"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125" w:type="pct"/>
          </w:tcPr>
          <w:p w:rsidRPr="003B78EA" w:rsidR="00813E0C" w:rsidP="00131848" w:rsidRDefault="00813E0C" w14:paraId="10D55DA2" w14:textId="77777777">
            <w:pPr>
              <w:pStyle w:val="BodyText"/>
              <w:rPr>
                <w:rFonts w:asciiTheme="minorHAnsi" w:hAnsiTheme="minorHAnsi" w:cstheme="minorHAnsi"/>
                <w:sz w:val="20"/>
              </w:rPr>
            </w:pPr>
            <w:r w:rsidRPr="00FE2BCC">
              <w:rPr>
                <w:rFonts w:cs="Arial"/>
                <w:sz w:val="20"/>
              </w:rPr>
              <w:t>Drowsiness, lethargy - sucking reflex may be impaired and feeding may be poor.</w:t>
            </w:r>
            <w:r>
              <w:rPr>
                <w:rFonts w:cs="Arial"/>
                <w:sz w:val="20"/>
              </w:rPr>
              <w:t xml:space="preserve"> </w:t>
            </w:r>
            <w:r w:rsidRPr="00FE2BCC">
              <w:rPr>
                <w:rFonts w:cs="Arial"/>
                <w:sz w:val="20"/>
              </w:rPr>
              <w:t>Respiratory depression, apnoea. Hypotension, laryngospasm, bronchospasm, apnoea - if IV administration is too rapid.</w:t>
            </w:r>
            <w:r>
              <w:rPr>
                <w:rFonts w:cs="Arial"/>
                <w:sz w:val="20"/>
              </w:rPr>
              <w:t xml:space="preserve"> </w:t>
            </w:r>
            <w:r w:rsidRPr="00FE2BCC">
              <w:rPr>
                <w:rFonts w:cs="Arial"/>
                <w:sz w:val="20"/>
              </w:rPr>
              <w:t>Phlebitis, tissue necrosis if extravasation occurs.GI intolerance.</w:t>
            </w:r>
            <w:r>
              <w:rPr>
                <w:rFonts w:cs="Arial"/>
                <w:sz w:val="20"/>
              </w:rPr>
              <w:t xml:space="preserve"> </w:t>
            </w:r>
            <w:r w:rsidRPr="00FE2BCC">
              <w:rPr>
                <w:rFonts w:cs="Arial"/>
                <w:sz w:val="20"/>
              </w:rPr>
              <w:t xml:space="preserve">Physical dependence and tolerance. May occur with prolonged use: </w:t>
            </w:r>
            <w:r>
              <w:rPr>
                <w:rFonts w:cs="Arial"/>
                <w:sz w:val="20"/>
              </w:rPr>
              <w:t>F</w:t>
            </w:r>
            <w:r w:rsidRPr="00FE2BCC">
              <w:rPr>
                <w:rFonts w:cs="Arial"/>
                <w:sz w:val="20"/>
              </w:rPr>
              <w:t>olate deficiency, hepatitis, hypocalcaemia.</w:t>
            </w:r>
          </w:p>
        </w:tc>
      </w:tr>
      <w:tr w:rsidRPr="003B78EA" w:rsidR="00813E0C" w:rsidTr="008074AA" w14:paraId="273EF7D6" w14:textId="77777777">
        <w:trPr>
          <w:trHeight w:val="263"/>
        </w:trPr>
        <w:tc>
          <w:tcPr>
            <w:tcW w:w="875" w:type="pct"/>
          </w:tcPr>
          <w:p w:rsidRPr="003B78EA" w:rsidR="00813E0C" w:rsidP="00131848" w:rsidRDefault="00813E0C" w14:paraId="188214C5"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125" w:type="pct"/>
            <w:vAlign w:val="center"/>
          </w:tcPr>
          <w:p w:rsidRPr="00733913" w:rsidR="00813E0C" w:rsidP="00131848" w:rsidRDefault="00813E0C" w14:paraId="516399F7" w14:textId="77777777">
            <w:pPr>
              <w:pStyle w:val="BodyText"/>
              <w:rPr>
                <w:rFonts w:cs="Arial"/>
                <w:sz w:val="20"/>
              </w:rPr>
            </w:pPr>
            <w:r w:rsidRPr="00733913">
              <w:rPr>
                <w:rFonts w:cs="Arial"/>
                <w:sz w:val="20"/>
              </w:rPr>
              <w:t xml:space="preserve">Fluids (16,17): Sodium chloride 0.45%, sodium chloride 0.9%, glucose 5%, glucose 10%. </w:t>
            </w:r>
          </w:p>
          <w:p w:rsidRPr="00733913" w:rsidR="00813E0C" w:rsidP="00131848" w:rsidRDefault="00813E0C" w14:paraId="75166EBF" w14:textId="77777777">
            <w:pPr>
              <w:pStyle w:val="BodyText"/>
              <w:rPr>
                <w:rFonts w:cs="Arial"/>
                <w:sz w:val="20"/>
              </w:rPr>
            </w:pPr>
          </w:p>
          <w:p w:rsidRPr="00733913" w:rsidR="00813E0C" w:rsidP="00131848" w:rsidRDefault="00813E0C" w14:paraId="78A3834E" w14:textId="77777777">
            <w:pPr>
              <w:pStyle w:val="BodyText"/>
              <w:rPr>
                <w:rFonts w:cs="Arial"/>
                <w:sz w:val="20"/>
              </w:rPr>
            </w:pPr>
            <w:r w:rsidRPr="00733913">
              <w:rPr>
                <w:rFonts w:cs="Arial"/>
                <w:sz w:val="20"/>
              </w:rPr>
              <w:t>Y-site (16,17): Amino acid solutions, aciclovir, amikacin, aminophylline, amphotericin B lipid complex, amphotericin B liposome, atenolol, atropine, azathioprine, azithromycin, aztreonam, calcium chloride, calcium gluconate, cefazolin, ceftazidime, ceftriaxone, chloramphenicol sodium succinate, chlorothiazide, clindamycin, cloxacillin, dactinomycin, dexamethasone sodium phosphate, dexmedetomidine, digoxin, dopamine, enalaprilat, epoietin alfa, fentanyl, fluconazole, fluorouracil, folic acid (sodium salt), furosemide, ganciclovir, gentamicin, heparin sodium, hydrocortisone sodium succinate, ibuprofen lysine, indomethacin, insulin regular, labetolol, linezolid, lorazepam, magnesium sulfate, meropenem, methylprednisolone sodium succinate, metronidazole, milrinone, morphine sulfate, naloxone, nitroglycerin, nitroprusside sodium, octreotide, oxacillin, pamidronate, pancuronium, pentobarbital, pentoxifylline,  piperacillin, piperacillin/tazobactam, potassium acetate, potassium chloride, propofol, propranolol, ranitidine, rocuronium, sodium acetate, sodium bicarbonate, theophylline, tobramycin, tolazoline, urokinase, vancomycin, vasopressin, vecuronium, voriconazole.</w:t>
            </w:r>
          </w:p>
          <w:p w:rsidRPr="00733913" w:rsidR="00813E0C" w:rsidP="00131848" w:rsidRDefault="00813E0C" w14:paraId="33F13329" w14:textId="77777777">
            <w:pPr>
              <w:pStyle w:val="BodyText"/>
              <w:rPr>
                <w:rFonts w:cs="Arial"/>
                <w:sz w:val="20"/>
              </w:rPr>
            </w:pPr>
            <w:r w:rsidRPr="00733913">
              <w:rPr>
                <w:rFonts w:cs="Arial"/>
                <w:b/>
                <w:sz w:val="20"/>
              </w:rPr>
              <w:t xml:space="preserve">Variable compatibility: </w:t>
            </w:r>
            <w:r>
              <w:rPr>
                <w:rFonts w:cs="Arial"/>
                <w:sz w:val="20"/>
              </w:rPr>
              <w:t xml:space="preserve">ampicillin, benzylpenicillin, erythromycin lactobionate, hydralazine, imipenem-cilastatin, lidocaine, pantoprazole, penicillin G potassium, pencillin G sodium, </w:t>
            </w:r>
            <w:r w:rsidRPr="00733913">
              <w:rPr>
                <w:rFonts w:cs="Arial"/>
                <w:sz w:val="20"/>
              </w:rPr>
              <w:t>succinylcholine.</w:t>
            </w:r>
          </w:p>
          <w:p w:rsidRPr="00733913" w:rsidR="00813E0C" w:rsidP="00131848" w:rsidRDefault="00813E0C" w14:paraId="47446E0E" w14:textId="77777777">
            <w:pPr>
              <w:pStyle w:val="BodyText"/>
              <w:rPr>
                <w:rFonts w:asciiTheme="minorHAnsi" w:hAnsiTheme="minorHAnsi" w:cstheme="minorHAnsi"/>
                <w:sz w:val="20"/>
              </w:rPr>
            </w:pPr>
            <w:r w:rsidRPr="00733913">
              <w:rPr>
                <w:rFonts w:cs="Arial"/>
                <w:sz w:val="20"/>
              </w:rPr>
              <w:t xml:space="preserve"> </w:t>
            </w:r>
          </w:p>
        </w:tc>
      </w:tr>
      <w:tr w:rsidRPr="003B78EA" w:rsidR="00813E0C" w:rsidTr="008074AA" w14:paraId="2B3BA6CC" w14:textId="77777777">
        <w:trPr>
          <w:trHeight w:val="263"/>
        </w:trPr>
        <w:tc>
          <w:tcPr>
            <w:tcW w:w="875" w:type="pct"/>
          </w:tcPr>
          <w:p w:rsidRPr="003B78EA" w:rsidR="00813E0C" w:rsidP="00131848" w:rsidRDefault="00813E0C" w14:paraId="35B6A409"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125" w:type="pct"/>
          </w:tcPr>
          <w:p w:rsidRPr="00733913" w:rsidR="00813E0C" w:rsidP="00131848" w:rsidRDefault="00813E0C" w14:paraId="3ABFB833" w14:textId="77777777">
            <w:pPr>
              <w:pStyle w:val="BodyText"/>
              <w:rPr>
                <w:rFonts w:cs="Arial"/>
                <w:sz w:val="20"/>
              </w:rPr>
            </w:pPr>
            <w:r w:rsidRPr="00733913">
              <w:rPr>
                <w:rFonts w:cs="Arial"/>
                <w:sz w:val="20"/>
              </w:rPr>
              <w:t>Fluids: Lipid emulsions.</w:t>
            </w:r>
          </w:p>
          <w:p w:rsidRPr="00733913" w:rsidR="00813E0C" w:rsidP="00131848" w:rsidRDefault="00813E0C" w14:paraId="680A4894" w14:textId="77777777">
            <w:pPr>
              <w:pStyle w:val="BodyText"/>
              <w:rPr>
                <w:rFonts w:cs="Arial"/>
                <w:sz w:val="20"/>
              </w:rPr>
            </w:pPr>
          </w:p>
          <w:p w:rsidRPr="00733913" w:rsidR="00813E0C" w:rsidP="00131848" w:rsidRDefault="00813E0C" w14:paraId="6D8F3D9D" w14:textId="77777777">
            <w:pPr>
              <w:pStyle w:val="BodyText"/>
              <w:rPr>
                <w:rFonts w:asciiTheme="minorHAnsi" w:hAnsiTheme="minorHAnsi" w:cstheme="minorHAnsi"/>
                <w:sz w:val="20"/>
              </w:rPr>
            </w:pPr>
            <w:r w:rsidRPr="00733913">
              <w:rPr>
                <w:rFonts w:cs="Arial" w:asciiTheme="minorHAnsi" w:hAnsiTheme="minorHAnsi"/>
                <w:sz w:val="20"/>
              </w:rPr>
              <w:t>Y-site</w:t>
            </w:r>
            <w:r>
              <w:rPr>
                <w:rFonts w:cs="Arial" w:asciiTheme="minorHAnsi" w:hAnsiTheme="minorHAnsi"/>
                <w:sz w:val="20"/>
              </w:rPr>
              <w:t xml:space="preserve"> (16,17)</w:t>
            </w:r>
            <w:r w:rsidRPr="00733913">
              <w:rPr>
                <w:rFonts w:cs="Arial" w:asciiTheme="minorHAnsi" w:hAnsiTheme="minorHAnsi"/>
                <w:sz w:val="20"/>
              </w:rPr>
              <w:t xml:space="preserve">: </w:t>
            </w:r>
            <w:r>
              <w:rPr>
                <w:rFonts w:cs="Arial" w:asciiTheme="minorHAnsi" w:hAnsiTheme="minorHAnsi"/>
                <w:sz w:val="20"/>
              </w:rPr>
              <w:t>Adrenaline, amiodarone, amphotericin B cholesteryl sulfate complex, atracurium, caspofungin, cefotaxime, cefoxitin, cefuroxime, diazepam, diltiazem, dobutamine, epinephrine, midazolam, norepinephrine, papaverine, phenytoin, protamine, pyrodxine, sulfamethoxazole-trimethoprim, suxamethonium, thiamine, verapamil.</w:t>
            </w:r>
          </w:p>
        </w:tc>
      </w:tr>
      <w:tr w:rsidRPr="003B78EA" w:rsidR="00813E0C" w:rsidTr="008074AA" w14:paraId="3D054522" w14:textId="77777777">
        <w:trPr>
          <w:trHeight w:val="263"/>
        </w:trPr>
        <w:tc>
          <w:tcPr>
            <w:tcW w:w="875" w:type="pct"/>
          </w:tcPr>
          <w:p w:rsidRPr="003B78EA" w:rsidR="00813E0C" w:rsidP="00131848" w:rsidRDefault="00813E0C" w14:paraId="2A7AB634"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125" w:type="pct"/>
            <w:vAlign w:val="center"/>
          </w:tcPr>
          <w:p w:rsidRPr="003B78EA" w:rsidR="00813E0C" w:rsidP="00131848" w:rsidRDefault="00813E0C" w14:paraId="40ACB76A" w14:textId="77777777">
            <w:pPr>
              <w:pStyle w:val="BodyText"/>
              <w:rPr>
                <w:rFonts w:asciiTheme="minorHAnsi" w:hAnsiTheme="minorHAnsi" w:cstheme="minorHAnsi"/>
                <w:sz w:val="20"/>
              </w:rPr>
            </w:pPr>
            <w:r w:rsidRPr="00FE2BCC">
              <w:rPr>
                <w:rFonts w:cs="Arial"/>
                <w:sz w:val="20"/>
                <w:lang w:val="en-US"/>
              </w:rPr>
              <w:t xml:space="preserve">Use diluted/opened solution as soon as possible. </w:t>
            </w:r>
          </w:p>
        </w:tc>
      </w:tr>
      <w:tr w:rsidRPr="003B78EA" w:rsidR="00813E0C" w:rsidTr="008074AA" w14:paraId="43B97DA6" w14:textId="77777777">
        <w:trPr>
          <w:trHeight w:val="263"/>
        </w:trPr>
        <w:tc>
          <w:tcPr>
            <w:tcW w:w="875" w:type="pct"/>
          </w:tcPr>
          <w:p w:rsidRPr="003B78EA" w:rsidR="00813E0C" w:rsidP="00131848" w:rsidRDefault="00813E0C" w14:paraId="0E3A0B36"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125" w:type="pct"/>
            <w:vAlign w:val="center"/>
          </w:tcPr>
          <w:p w:rsidRPr="003B78EA" w:rsidR="00813E0C" w:rsidP="00131848" w:rsidRDefault="00813E0C" w14:paraId="63CCD2A2" w14:textId="77777777">
            <w:pPr>
              <w:pStyle w:val="BodyText"/>
              <w:rPr>
                <w:rFonts w:asciiTheme="minorHAnsi" w:hAnsiTheme="minorHAnsi" w:cstheme="minorHAnsi"/>
                <w:sz w:val="20"/>
              </w:rPr>
            </w:pPr>
            <w:r w:rsidRPr="00FE2BCC">
              <w:rPr>
                <w:rFonts w:cs="Arial"/>
                <w:sz w:val="20"/>
              </w:rPr>
              <w:t>Protect from light. Store below 25°C. Schedule 4 Appendix D (S4D) medication.</w:t>
            </w:r>
          </w:p>
        </w:tc>
      </w:tr>
      <w:tr w:rsidRPr="003B78EA" w:rsidR="00813E0C" w:rsidTr="008074AA" w14:paraId="0274DC5C" w14:textId="77777777">
        <w:trPr>
          <w:trHeight w:val="263"/>
        </w:trPr>
        <w:tc>
          <w:tcPr>
            <w:tcW w:w="875" w:type="pct"/>
          </w:tcPr>
          <w:p w:rsidRPr="003B78EA" w:rsidR="00813E0C" w:rsidP="00131848" w:rsidRDefault="00813E0C" w14:paraId="3E161941"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Excipients</w:t>
            </w:r>
          </w:p>
        </w:tc>
        <w:tc>
          <w:tcPr>
            <w:tcW w:w="4125" w:type="pct"/>
          </w:tcPr>
          <w:p w:rsidRPr="003B78EA" w:rsidR="00813E0C" w:rsidP="00131848" w:rsidRDefault="00813E0C" w14:paraId="70D3A52E" w14:textId="77777777">
            <w:pPr>
              <w:pStyle w:val="BodyText"/>
              <w:rPr>
                <w:rFonts w:asciiTheme="minorHAnsi" w:hAnsiTheme="minorHAnsi" w:cstheme="minorHAnsi"/>
                <w:sz w:val="20"/>
              </w:rPr>
            </w:pPr>
          </w:p>
        </w:tc>
      </w:tr>
      <w:tr w:rsidRPr="003B78EA" w:rsidR="00813E0C" w:rsidTr="008074AA" w14:paraId="57162478" w14:textId="77777777">
        <w:trPr>
          <w:trHeight w:val="263"/>
        </w:trPr>
        <w:tc>
          <w:tcPr>
            <w:tcW w:w="875" w:type="pct"/>
          </w:tcPr>
          <w:p w:rsidRPr="003B78EA" w:rsidR="00813E0C" w:rsidP="00131848" w:rsidRDefault="00813E0C" w14:paraId="583678A2"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125" w:type="pct"/>
            <w:vAlign w:val="center"/>
          </w:tcPr>
          <w:p w:rsidR="00813E0C" w:rsidP="00131848" w:rsidRDefault="00813E0C" w14:paraId="3CBEB612" w14:textId="77777777">
            <w:pPr>
              <w:pStyle w:val="BodyText"/>
              <w:rPr>
                <w:rFonts w:cs="Arial"/>
                <w:sz w:val="20"/>
              </w:rPr>
            </w:pPr>
            <w:r w:rsidRPr="0085416B">
              <w:rPr>
                <w:rFonts w:cs="Arial"/>
                <w:sz w:val="20"/>
              </w:rPr>
              <w:t xml:space="preserve">Elimination half-life: In </w:t>
            </w:r>
            <w:r>
              <w:rPr>
                <w:rFonts w:cs="Arial"/>
                <w:sz w:val="20"/>
              </w:rPr>
              <w:t>infants 28-41 weeks gestation: H</w:t>
            </w:r>
            <w:r w:rsidRPr="0085416B">
              <w:rPr>
                <w:rFonts w:cs="Arial"/>
                <w:sz w:val="20"/>
              </w:rPr>
              <w:t xml:space="preserve">alf-life </w:t>
            </w:r>
            <w:r>
              <w:rPr>
                <w:rFonts w:cs="Arial"/>
                <w:sz w:val="20"/>
              </w:rPr>
              <w:t xml:space="preserve">of the drug was estimated </w:t>
            </w:r>
            <w:r w:rsidRPr="0085416B">
              <w:rPr>
                <w:rFonts w:cs="Arial"/>
                <w:sz w:val="20"/>
              </w:rPr>
              <w:t xml:space="preserve">(mean+SD) </w:t>
            </w:r>
            <w:r>
              <w:rPr>
                <w:rFonts w:cs="Arial"/>
                <w:sz w:val="20"/>
              </w:rPr>
              <w:t xml:space="preserve">to be </w:t>
            </w:r>
            <w:r w:rsidRPr="0085416B">
              <w:rPr>
                <w:rFonts w:cs="Arial"/>
                <w:sz w:val="20"/>
              </w:rPr>
              <w:t xml:space="preserve">114-2 </w:t>
            </w:r>
            <w:r>
              <w:rPr>
                <w:rFonts w:cs="Arial"/>
                <w:sz w:val="20"/>
              </w:rPr>
              <w:t>±</w:t>
            </w:r>
            <w:r w:rsidRPr="0085416B">
              <w:rPr>
                <w:rFonts w:cs="Arial"/>
                <w:sz w:val="20"/>
              </w:rPr>
              <w:t xml:space="preserve"> 43.0 h, 73.19 </w:t>
            </w:r>
            <w:r>
              <w:rPr>
                <w:rFonts w:cs="Arial"/>
                <w:sz w:val="20"/>
              </w:rPr>
              <w:t>±</w:t>
            </w:r>
            <w:r w:rsidRPr="0085416B">
              <w:rPr>
                <w:rFonts w:cs="Arial"/>
                <w:sz w:val="20"/>
              </w:rPr>
              <w:t xml:space="preserve"> 24.17 h and 41.23 </w:t>
            </w:r>
            <w:r>
              <w:rPr>
                <w:rFonts w:cs="Arial"/>
                <w:sz w:val="20"/>
              </w:rPr>
              <w:t>±</w:t>
            </w:r>
            <w:r w:rsidRPr="0085416B">
              <w:rPr>
                <w:rFonts w:cs="Arial"/>
                <w:sz w:val="20"/>
              </w:rPr>
              <w:t xml:space="preserve"> 13.95 h in patients 1</w:t>
            </w:r>
            <w:r>
              <w:rPr>
                <w:rFonts w:cs="Arial"/>
                <w:sz w:val="20"/>
              </w:rPr>
              <w:t xml:space="preserve"> </w:t>
            </w:r>
            <w:r w:rsidRPr="0085416B">
              <w:rPr>
                <w:rFonts w:cs="Arial"/>
                <w:sz w:val="20"/>
              </w:rPr>
              <w:t>-</w:t>
            </w:r>
            <w:r>
              <w:rPr>
                <w:rFonts w:cs="Arial"/>
                <w:sz w:val="20"/>
              </w:rPr>
              <w:t xml:space="preserve"> </w:t>
            </w:r>
            <w:r w:rsidRPr="0085416B">
              <w:rPr>
                <w:rFonts w:cs="Arial"/>
                <w:sz w:val="20"/>
              </w:rPr>
              <w:t>10, 11</w:t>
            </w:r>
            <w:r>
              <w:rPr>
                <w:rFonts w:cs="Arial"/>
                <w:sz w:val="20"/>
              </w:rPr>
              <w:t xml:space="preserve"> </w:t>
            </w:r>
            <w:r w:rsidRPr="0085416B">
              <w:rPr>
                <w:rFonts w:cs="Arial"/>
                <w:sz w:val="20"/>
              </w:rPr>
              <w:t>-</w:t>
            </w:r>
            <w:r>
              <w:rPr>
                <w:rFonts w:cs="Arial"/>
                <w:sz w:val="20"/>
              </w:rPr>
              <w:t xml:space="preserve"> </w:t>
            </w:r>
            <w:r w:rsidRPr="0085416B">
              <w:rPr>
                <w:rFonts w:cs="Arial"/>
                <w:sz w:val="20"/>
              </w:rPr>
              <w:t>30 and 31</w:t>
            </w:r>
            <w:r>
              <w:rPr>
                <w:rFonts w:cs="Arial"/>
                <w:sz w:val="20"/>
              </w:rPr>
              <w:t xml:space="preserve"> </w:t>
            </w:r>
            <w:r w:rsidRPr="0085416B">
              <w:rPr>
                <w:rFonts w:cs="Arial"/>
                <w:sz w:val="20"/>
              </w:rPr>
              <w:t>-</w:t>
            </w:r>
            <w:r>
              <w:rPr>
                <w:rFonts w:cs="Arial"/>
                <w:sz w:val="20"/>
              </w:rPr>
              <w:t xml:space="preserve"> </w:t>
            </w:r>
            <w:r w:rsidRPr="0085416B">
              <w:rPr>
                <w:rFonts w:cs="Arial"/>
                <w:sz w:val="20"/>
              </w:rPr>
              <w:t>70 days old, respectively;</w:t>
            </w:r>
            <w:r>
              <w:rPr>
                <w:rFonts w:cs="Arial"/>
                <w:sz w:val="20"/>
              </w:rPr>
              <w:t xml:space="preserve"> neonates with perinatal asphyxia undergoing hypothermia </w:t>
            </w:r>
            <w:r w:rsidRPr="00F45677">
              <w:rPr>
                <w:rFonts w:cs="Arial"/>
                <w:sz w:val="20"/>
              </w:rPr>
              <w:t>173.9</w:t>
            </w:r>
            <w:r>
              <w:rPr>
                <w:rFonts w:cs="Arial"/>
                <w:sz w:val="20"/>
              </w:rPr>
              <w:t>±62.5</w:t>
            </w:r>
            <w:r w:rsidRPr="00F45677">
              <w:rPr>
                <w:rFonts w:cs="Arial"/>
                <w:sz w:val="20"/>
              </w:rPr>
              <w:t xml:space="preserve"> hours</w:t>
            </w:r>
            <w:r>
              <w:rPr>
                <w:rFonts w:cs="Arial"/>
                <w:sz w:val="20"/>
              </w:rPr>
              <w:t>.</w:t>
            </w:r>
          </w:p>
          <w:p w:rsidR="00813E0C" w:rsidP="00131848" w:rsidRDefault="00813E0C" w14:paraId="7B5BAB80" w14:textId="77777777">
            <w:pPr>
              <w:pStyle w:val="BodyText"/>
              <w:rPr>
                <w:rFonts w:cs="Arial"/>
                <w:sz w:val="20"/>
              </w:rPr>
            </w:pPr>
            <w:r>
              <w:rPr>
                <w:rFonts w:cs="Arial"/>
                <w:sz w:val="20"/>
              </w:rPr>
              <w:t>Converting from mass units to SI units: 1 mg/L = 4.306 micromol/L.</w:t>
            </w:r>
          </w:p>
          <w:p w:rsidRPr="003B78EA" w:rsidR="00813E0C" w:rsidP="00131848" w:rsidRDefault="00813E0C" w14:paraId="06CF3AF9" w14:textId="77777777">
            <w:pPr>
              <w:pStyle w:val="BodyText"/>
              <w:rPr>
                <w:rFonts w:asciiTheme="minorHAnsi" w:hAnsiTheme="minorHAnsi" w:cstheme="minorHAnsi"/>
                <w:sz w:val="20"/>
              </w:rPr>
            </w:pPr>
            <w:r w:rsidRPr="00107AAE">
              <w:rPr>
                <w:rFonts w:cs="Arial"/>
                <w:sz w:val="20"/>
              </w:rPr>
              <w:t xml:space="preserve">The general taper recommended for </w:t>
            </w:r>
            <w:r>
              <w:rPr>
                <w:rFonts w:cs="Arial"/>
                <w:sz w:val="20"/>
              </w:rPr>
              <w:t>phenobarbital</w:t>
            </w:r>
            <w:r w:rsidRPr="00107AAE">
              <w:rPr>
                <w:rFonts w:cs="Arial"/>
                <w:sz w:val="20"/>
              </w:rPr>
              <w:t xml:space="preserve"> is 10-25% of the original dose every month. A faster taper is recommended for patients on therapy for less than 1 month</w:t>
            </w:r>
            <w:r w:rsidRPr="00107AAE">
              <w:rPr>
                <w:rFonts w:cs="Arial"/>
                <w:sz w:val="20"/>
                <w:vertAlign w:val="superscript"/>
              </w:rPr>
              <w:t>18</w:t>
            </w:r>
          </w:p>
        </w:tc>
      </w:tr>
      <w:tr w:rsidRPr="003B78EA" w:rsidR="00813E0C" w:rsidTr="008074AA" w14:paraId="5EB88EB8" w14:textId="77777777">
        <w:trPr>
          <w:trHeight w:val="263"/>
        </w:trPr>
        <w:tc>
          <w:tcPr>
            <w:tcW w:w="875" w:type="pct"/>
          </w:tcPr>
          <w:p w:rsidRPr="003B78EA" w:rsidR="00813E0C" w:rsidP="00131848" w:rsidRDefault="00813E0C" w14:paraId="0781EA69"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125" w:type="pct"/>
          </w:tcPr>
          <w:p w:rsidRPr="00F933FD" w:rsidR="00813E0C" w:rsidP="00131848" w:rsidRDefault="00813E0C" w14:paraId="1E0A7751" w14:textId="77777777">
            <w:pPr>
              <w:rPr>
                <w:b/>
                <w:sz w:val="16"/>
                <w:szCs w:val="16"/>
                <w:lang w:val="en-US"/>
              </w:rPr>
            </w:pPr>
            <w:r w:rsidRPr="00F933FD">
              <w:rPr>
                <w:b/>
                <w:sz w:val="16"/>
                <w:szCs w:val="16"/>
                <w:lang w:val="en-US"/>
              </w:rPr>
              <w:t>Efficacy:</w:t>
            </w:r>
          </w:p>
          <w:p w:rsidRPr="00F933FD" w:rsidR="00813E0C" w:rsidP="00131848" w:rsidRDefault="00813E0C" w14:paraId="1290289C" w14:textId="77777777">
            <w:pPr>
              <w:rPr>
                <w:sz w:val="16"/>
                <w:szCs w:val="16"/>
                <w:lang w:val="en-US"/>
              </w:rPr>
            </w:pPr>
            <w:r w:rsidRPr="00F933FD">
              <w:rPr>
                <w:b/>
                <w:sz w:val="16"/>
                <w:szCs w:val="16"/>
                <w:lang w:val="en-US"/>
              </w:rPr>
              <w:t xml:space="preserve">Treatment of neonatal seizures: </w:t>
            </w:r>
            <w:r w:rsidRPr="00F933FD">
              <w:rPr>
                <w:sz w:val="16"/>
                <w:szCs w:val="16"/>
                <w:lang w:val="en-US"/>
              </w:rPr>
              <w:t>Phenobarbital has been recommended as first-line treatment for neonatal seizures.</w:t>
            </w:r>
            <w:r w:rsidRPr="00F933FD">
              <w:rPr>
                <w:noProof/>
                <w:sz w:val="16"/>
                <w:szCs w:val="16"/>
                <w:lang w:val="en-US"/>
              </w:rPr>
              <w:t>[1]</w:t>
            </w:r>
            <w:r w:rsidRPr="00F933FD">
              <w:rPr>
                <w:sz w:val="16"/>
                <w:szCs w:val="16"/>
                <w:lang w:val="en-US"/>
              </w:rPr>
              <w:t xml:space="preserve">  In RCTs, phenobarbital (target plasma concentration 25 mg/L) was reported to be similarly as effective as phenytoin (target plasma concentration 3 mg/L) for control of electrical seizures (43% versus 45%)</w:t>
            </w:r>
            <w:r w:rsidRPr="00F933FD">
              <w:rPr>
                <w:noProof/>
                <w:sz w:val="16"/>
                <w:szCs w:val="16"/>
                <w:lang w:val="en-US"/>
              </w:rPr>
              <w:t>[2]</w:t>
            </w:r>
            <w:r w:rsidRPr="00F933FD">
              <w:rPr>
                <w:sz w:val="16"/>
                <w:szCs w:val="16"/>
                <w:lang w:val="en-US"/>
              </w:rPr>
              <w:t>; and phenobarbital 20 mg/kg was reported to be more effective than phenytoin 20 mg/kg at controlling clinical seizures (72% versus 15%)</w:t>
            </w:r>
            <w:r w:rsidRPr="00F933FD">
              <w:rPr>
                <w:noProof/>
                <w:sz w:val="16"/>
                <w:szCs w:val="16"/>
                <w:lang w:val="en-US"/>
              </w:rPr>
              <w:t>[3]</w:t>
            </w:r>
            <w:r w:rsidRPr="00F933FD">
              <w:rPr>
                <w:sz w:val="16"/>
                <w:szCs w:val="16"/>
                <w:lang w:val="en-US"/>
              </w:rPr>
              <w:t xml:space="preserve"> (LOE II, GOR C). </w:t>
            </w:r>
          </w:p>
          <w:p w:rsidRPr="00F933FD" w:rsidR="00813E0C" w:rsidP="00131848" w:rsidRDefault="00813E0C" w14:paraId="3F729568" w14:textId="77777777">
            <w:pPr>
              <w:rPr>
                <w:sz w:val="16"/>
                <w:szCs w:val="16"/>
                <w:lang w:val="en-US"/>
              </w:rPr>
            </w:pPr>
            <w:r w:rsidRPr="00F933FD">
              <w:rPr>
                <w:b/>
                <w:sz w:val="16"/>
                <w:szCs w:val="16"/>
                <w:lang w:val="en-US"/>
              </w:rPr>
              <w:t xml:space="preserve">Prevention of seizures in infants with perinatal asphyxia: </w:t>
            </w:r>
            <w:r w:rsidRPr="00F933FD">
              <w:rPr>
                <w:sz w:val="16"/>
                <w:szCs w:val="16"/>
                <w:lang w:val="en-US"/>
              </w:rPr>
              <w:t xml:space="preserve">In term or near-term infants with perinatal asphyxia, prophylactic phenobarbital (20−40 mg/kg loading dose) prevents seizures. There was no reduction in mortality and there are few data addressing long-term outcomes (LOE I, GOR C). </w:t>
            </w:r>
          </w:p>
          <w:p w:rsidRPr="00F933FD" w:rsidR="00813E0C" w:rsidP="00131848" w:rsidRDefault="00813E0C" w14:paraId="29DA7B1E" w14:textId="77777777">
            <w:pPr>
              <w:rPr>
                <w:sz w:val="16"/>
                <w:szCs w:val="16"/>
                <w:lang w:val="en-US"/>
              </w:rPr>
            </w:pPr>
            <w:r w:rsidRPr="00F933FD">
              <w:rPr>
                <w:b/>
                <w:sz w:val="16"/>
                <w:szCs w:val="16"/>
                <w:lang w:val="en-US"/>
              </w:rPr>
              <w:t xml:space="preserve">Treatment of neonatal abstinence syndrome (NAS): </w:t>
            </w:r>
            <w:r w:rsidRPr="00F933FD">
              <w:rPr>
                <w:sz w:val="16"/>
                <w:szCs w:val="16"/>
                <w:lang w:val="en-US"/>
              </w:rPr>
              <w:t>Phenobarbital is recommended as add on treatment of NAS secondary to opioid withdrawal not controlled by an opioid (LOE I, GOR C).</w:t>
            </w:r>
            <w:r w:rsidRPr="00F933FD">
              <w:rPr>
                <w:noProof/>
                <w:sz w:val="16"/>
                <w:szCs w:val="16"/>
                <w:lang w:val="en-US"/>
              </w:rPr>
              <w:t>[4]</w:t>
            </w:r>
            <w:r w:rsidRPr="00F933FD">
              <w:rPr>
                <w:sz w:val="16"/>
                <w:szCs w:val="16"/>
                <w:lang w:val="en-US"/>
              </w:rPr>
              <w:t xml:space="preserve"> Phenobarbital is recommended as initial treatment of NAS secondary to sedative withdrawal (LOE I, GOR C).</w:t>
            </w:r>
            <w:r w:rsidRPr="00F933FD">
              <w:rPr>
                <w:noProof/>
                <w:sz w:val="16"/>
                <w:szCs w:val="16"/>
                <w:lang w:val="en-US"/>
              </w:rPr>
              <w:t>[4]</w:t>
            </w:r>
            <w:r w:rsidRPr="00F933FD">
              <w:rPr>
                <w:sz w:val="16"/>
                <w:szCs w:val="16"/>
                <w:lang w:val="en-US"/>
              </w:rPr>
              <w:t xml:space="preserve">  Phenobarbital should be commenced at a dose of 5 mg/kg/day split into two divided doses. The dose should be titrated to achieve control of NAS according to the NAS score. It is unclear whether a loading dose of phenobarbital should be used. If used as initial therapy (rather than in addition to an opioid), then a loading dose is likely to achieve more rapid control of symptoms.</w:t>
            </w:r>
            <w:r w:rsidRPr="00F933FD">
              <w:rPr>
                <w:noProof/>
                <w:sz w:val="16"/>
                <w:szCs w:val="16"/>
                <w:lang w:val="en-US"/>
              </w:rPr>
              <w:t>[5, 6]</w:t>
            </w:r>
          </w:p>
          <w:p w:rsidRPr="00F933FD" w:rsidR="00813E0C" w:rsidP="00131848" w:rsidRDefault="00813E0C" w14:paraId="3DB1FA8D" w14:textId="77777777">
            <w:pPr>
              <w:rPr>
                <w:sz w:val="16"/>
                <w:szCs w:val="16"/>
                <w:lang w:val="en-US"/>
              </w:rPr>
            </w:pPr>
            <w:r w:rsidRPr="00F933FD">
              <w:rPr>
                <w:b/>
                <w:sz w:val="16"/>
                <w:szCs w:val="16"/>
                <w:lang w:val="en-US"/>
              </w:rPr>
              <w:t xml:space="preserve">Treatment of hyperbilirubinaemia: </w:t>
            </w:r>
            <w:r w:rsidRPr="00F933FD">
              <w:rPr>
                <w:sz w:val="16"/>
                <w:szCs w:val="16"/>
                <w:lang w:val="en-US"/>
              </w:rPr>
              <w:t xml:space="preserve">A meta-analysis (3 RCTs, 497 infants) found phenobarbital (loading dose 10−30 mg/kg; maintenance 5 mg/kg/day) reduced peak serum bilirubin, duration of and need for phototherapy and need for exchange transfusion in preterm very low birth weight neonates. There are not enough data to evaluate adverse effects and neurodevelopmental outcome (LOE I, GOR C). </w:t>
            </w:r>
          </w:p>
          <w:p w:rsidRPr="00F933FD" w:rsidR="00813E0C" w:rsidP="00131848" w:rsidRDefault="00813E0C" w14:paraId="6FE5C617" w14:textId="77777777">
            <w:pPr>
              <w:rPr>
                <w:sz w:val="16"/>
                <w:szCs w:val="16"/>
                <w:lang w:val="en-US"/>
              </w:rPr>
            </w:pPr>
            <w:r w:rsidRPr="00F933FD">
              <w:rPr>
                <w:b/>
                <w:sz w:val="16"/>
                <w:szCs w:val="16"/>
                <w:lang w:val="en-US"/>
              </w:rPr>
              <w:t xml:space="preserve">Preparation for hepatobiliary scintigraphy and treatment of neonatal cholestasis: </w:t>
            </w:r>
            <w:r w:rsidRPr="00F933FD">
              <w:rPr>
                <w:sz w:val="16"/>
                <w:szCs w:val="16"/>
                <w:lang w:val="en-US"/>
              </w:rPr>
              <w:t>The role of phenobarbital in preparation for hepatobiliary scintigraphy is unclear.</w:t>
            </w:r>
            <w:r w:rsidRPr="00F933FD">
              <w:rPr>
                <w:noProof/>
                <w:sz w:val="16"/>
                <w:szCs w:val="16"/>
                <w:lang w:val="en-US"/>
              </w:rPr>
              <w:t xml:space="preserve"> [7]</w:t>
            </w:r>
            <w:r w:rsidRPr="00F933FD">
              <w:rPr>
                <w:sz w:val="16"/>
                <w:szCs w:val="16"/>
                <w:lang w:val="en-US"/>
              </w:rPr>
              <w:t xml:space="preserve"> (LOE I, GOR C). Phenobarbital may have a role in treatment of pruritis caused by intrahepatic cholestasis.</w:t>
            </w:r>
            <w:r w:rsidRPr="00F933FD">
              <w:rPr>
                <w:noProof/>
                <w:sz w:val="16"/>
                <w:szCs w:val="16"/>
                <w:lang w:val="en-US"/>
              </w:rPr>
              <w:t>[8]</w:t>
            </w:r>
            <w:r w:rsidRPr="00F933FD">
              <w:rPr>
                <w:sz w:val="16"/>
                <w:szCs w:val="16"/>
                <w:lang w:val="en-US"/>
              </w:rPr>
              <w:t xml:space="preserve">  </w:t>
            </w:r>
          </w:p>
          <w:p w:rsidRPr="00F933FD" w:rsidR="00813E0C" w:rsidP="00131848" w:rsidRDefault="00813E0C" w14:paraId="5CED5C83" w14:textId="77777777">
            <w:pPr>
              <w:rPr>
                <w:b/>
                <w:sz w:val="16"/>
                <w:szCs w:val="16"/>
                <w:lang w:val="en-US"/>
              </w:rPr>
            </w:pPr>
            <w:r w:rsidRPr="00F933FD">
              <w:rPr>
                <w:b/>
                <w:sz w:val="16"/>
                <w:szCs w:val="16"/>
                <w:lang w:val="en-US"/>
              </w:rPr>
              <w:t xml:space="preserve">Pharmacokinetics and pharmacodynamics: </w:t>
            </w:r>
          </w:p>
          <w:p w:rsidRPr="00F933FD" w:rsidR="00813E0C" w:rsidP="00131848" w:rsidRDefault="00813E0C" w14:paraId="1902E6AF" w14:textId="77777777">
            <w:pPr>
              <w:rPr>
                <w:sz w:val="16"/>
                <w:szCs w:val="16"/>
                <w:lang w:val="en-US"/>
              </w:rPr>
            </w:pPr>
            <w:r w:rsidRPr="00F933FD">
              <w:rPr>
                <w:sz w:val="16"/>
                <w:szCs w:val="16"/>
                <w:lang w:val="en-US"/>
              </w:rPr>
              <w:t>In infants with seizures, phenobarbital 15−20 mg loading dose with additional 5−10 mg/kg doses to maximal plasma concentration of 40 mg/L (172 micromol/L) resulted in a plateau of the response rate. Plasma concentrations &gt;50 mg/L (215 micromol/L) were associated with sedation and feeding difficulty.</w:t>
            </w:r>
            <w:r w:rsidRPr="00F933FD">
              <w:rPr>
                <w:noProof/>
                <w:sz w:val="16"/>
                <w:szCs w:val="16"/>
                <w:lang w:val="en-US"/>
              </w:rPr>
              <w:t>[9]</w:t>
            </w:r>
            <w:r w:rsidRPr="00F933FD">
              <w:rPr>
                <w:sz w:val="16"/>
                <w:szCs w:val="16"/>
                <w:lang w:val="en-US"/>
              </w:rPr>
              <w:t xml:space="preserve"> </w:t>
            </w:r>
          </w:p>
          <w:p w:rsidRPr="00F933FD" w:rsidR="00813E0C" w:rsidP="00131848" w:rsidRDefault="00813E0C" w14:paraId="1F5879EE" w14:textId="77777777">
            <w:pPr>
              <w:rPr>
                <w:sz w:val="16"/>
                <w:szCs w:val="16"/>
                <w:lang w:val="en-US"/>
              </w:rPr>
            </w:pPr>
            <w:r w:rsidRPr="00F933FD">
              <w:rPr>
                <w:sz w:val="16"/>
                <w:szCs w:val="16"/>
                <w:lang w:val="en-US"/>
              </w:rPr>
              <w:t>The clearance of phenobarbital increases with birth weight and postnatal age, but is reduced at a concentration &gt;50 mg/L (215 micromol/L).</w:t>
            </w:r>
            <w:r w:rsidRPr="00F933FD">
              <w:rPr>
                <w:noProof/>
                <w:sz w:val="16"/>
                <w:szCs w:val="16"/>
                <w:lang w:val="en-US"/>
              </w:rPr>
              <w:t xml:space="preserve"> [10]</w:t>
            </w:r>
            <w:r w:rsidRPr="00F933FD">
              <w:rPr>
                <w:sz w:val="16"/>
                <w:szCs w:val="16"/>
                <w:lang w:val="en-US"/>
              </w:rPr>
              <w:t xml:space="preserve"> Bioavailability is 50% after oral administration. Simulations recommend a loading dose 20 mg/kg and maintenance 2.5 − 5 mg/kg/day for intravenous administration and; loading dose 40 mg/kg and maintenance 5 − 11 mg/kg/day for oral administration to meet a target phenobarbital concentration between 15 and 30 mg/L (64.5 and 129.1 micromol/L) </w:t>
            </w:r>
            <w:r w:rsidRPr="00F933FD">
              <w:rPr>
                <w:noProof/>
                <w:sz w:val="16"/>
                <w:szCs w:val="16"/>
                <w:lang w:val="en-US"/>
              </w:rPr>
              <w:t>[11]</w:t>
            </w:r>
            <w:r w:rsidRPr="00F933FD">
              <w:rPr>
                <w:sz w:val="16"/>
                <w:szCs w:val="16"/>
                <w:lang w:val="en-US"/>
              </w:rPr>
              <w:t>. (LOE IV GOR C)</w:t>
            </w:r>
          </w:p>
          <w:p w:rsidRPr="00F933FD" w:rsidR="00813E0C" w:rsidP="00131848" w:rsidRDefault="00813E0C" w14:paraId="204A5556" w14:textId="77777777">
            <w:pPr>
              <w:pStyle w:val="BodyText"/>
              <w:tabs>
                <w:tab w:val="left" w:pos="1168"/>
              </w:tabs>
              <w:rPr>
                <w:rFonts w:asciiTheme="minorHAnsi" w:hAnsiTheme="minorHAnsi" w:cstheme="minorHAnsi"/>
                <w:sz w:val="16"/>
                <w:szCs w:val="16"/>
              </w:rPr>
            </w:pPr>
            <w:r w:rsidRPr="00F933FD">
              <w:rPr>
                <w:sz w:val="16"/>
                <w:szCs w:val="16"/>
                <w:lang w:val="en-US"/>
              </w:rPr>
              <w:t>The clearance may also be reduced in infants with perinatal asphyxia undergoing therapeutic hypothermia.</w:t>
            </w:r>
            <w:r w:rsidRPr="00F933FD">
              <w:rPr>
                <w:noProof/>
                <w:sz w:val="16"/>
                <w:szCs w:val="16"/>
                <w:lang w:val="en-US"/>
              </w:rPr>
              <w:t>[12-14]</w:t>
            </w:r>
            <w:r w:rsidRPr="00F933FD">
              <w:rPr>
                <w:sz w:val="16"/>
                <w:szCs w:val="16"/>
                <w:lang w:val="en-US"/>
              </w:rPr>
              <w:t xml:space="preserve"> In term infants treated with hypothermia, an initial phenobarbital loading dose of 20 mg/kg with an additional 10−20 mg/kg if needed is recommended. </w:t>
            </w:r>
            <w:r w:rsidRPr="00F933FD">
              <w:rPr>
                <w:noProof/>
                <w:sz w:val="16"/>
                <w:szCs w:val="16"/>
                <w:lang w:val="en-US"/>
              </w:rPr>
              <w:t>[14]</w:t>
            </w:r>
            <w:r w:rsidRPr="00F933FD">
              <w:rPr>
                <w:sz w:val="16"/>
                <w:szCs w:val="16"/>
                <w:lang w:val="en-US"/>
              </w:rPr>
              <w:t xml:space="preserve"> (LOE IV GOR C)</w:t>
            </w:r>
          </w:p>
        </w:tc>
      </w:tr>
      <w:tr w:rsidRPr="003B78EA" w:rsidR="00813E0C" w:rsidTr="008074AA" w14:paraId="0E7B8072" w14:textId="77777777">
        <w:trPr>
          <w:trHeight w:val="263"/>
        </w:trPr>
        <w:tc>
          <w:tcPr>
            <w:tcW w:w="875" w:type="pct"/>
          </w:tcPr>
          <w:p w:rsidRPr="003B78EA" w:rsidR="00813E0C" w:rsidP="00131848" w:rsidRDefault="00813E0C" w14:paraId="694817CF" w14:textId="77777777">
            <w:pPr>
              <w:pStyle w:val="BodyText"/>
              <w:rPr>
                <w:rFonts w:asciiTheme="minorHAnsi" w:hAnsiTheme="minorHAnsi" w:cstheme="minorHAnsi"/>
                <w:b/>
                <w:bCs/>
                <w:sz w:val="20"/>
              </w:rPr>
            </w:pPr>
            <w:r w:rsidRPr="003B78EA">
              <w:rPr>
                <w:rFonts w:asciiTheme="minorHAnsi" w:hAnsiTheme="minorHAnsi" w:cstheme="minorHAnsi"/>
                <w:b/>
                <w:bCs/>
                <w:sz w:val="20"/>
              </w:rPr>
              <w:t>Practice points</w:t>
            </w:r>
          </w:p>
        </w:tc>
        <w:tc>
          <w:tcPr>
            <w:tcW w:w="4125" w:type="pct"/>
          </w:tcPr>
          <w:p w:rsidRPr="003B78EA" w:rsidR="00813E0C" w:rsidP="00131848" w:rsidRDefault="00813E0C" w14:paraId="0DC660C8" w14:textId="77777777">
            <w:pPr>
              <w:pStyle w:val="BodyText"/>
              <w:tabs>
                <w:tab w:val="left" w:pos="1168"/>
              </w:tabs>
              <w:rPr>
                <w:rFonts w:asciiTheme="minorHAnsi" w:hAnsiTheme="minorHAnsi" w:cstheme="minorHAnsi"/>
                <w:sz w:val="20"/>
              </w:rPr>
            </w:pPr>
          </w:p>
        </w:tc>
      </w:tr>
      <w:tr w:rsidRPr="003B78EA" w:rsidR="00813E0C" w:rsidTr="008074AA" w14:paraId="0C29C35D" w14:textId="77777777">
        <w:trPr>
          <w:trHeight w:val="263"/>
        </w:trPr>
        <w:tc>
          <w:tcPr>
            <w:tcW w:w="875" w:type="pct"/>
          </w:tcPr>
          <w:p w:rsidRPr="003B78EA" w:rsidR="00813E0C" w:rsidP="00131848" w:rsidRDefault="00813E0C" w14:paraId="32FB5A33"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125" w:type="pct"/>
          </w:tcPr>
          <w:p w:rsidRPr="00F933FD" w:rsidR="00813E0C" w:rsidP="00813E0C" w:rsidRDefault="00813E0C" w14:paraId="6FC026A0"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Slaughter LA, Patel AD, Slaughter JL. Pharmacological treatment of neonatal seizures: a systematic review. Journal of child neurology. 2013;28:351-64.</w:t>
            </w:r>
          </w:p>
          <w:p w:rsidRPr="00F933FD" w:rsidR="00813E0C" w:rsidP="00813E0C" w:rsidRDefault="00813E0C" w14:paraId="3996A8A2"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Painter MJ, Scher MS, Stein AD, Armatti S, Wang Z, Gardiner JC, Paneth N, Minnigh B, Alvin J. Phenobarbital compared with phenytoin for the treatment of neonatal seizures. The New England journal of medicine. 1999;341:485-9.</w:t>
            </w:r>
          </w:p>
          <w:p w:rsidRPr="00F933FD" w:rsidR="00813E0C" w:rsidP="00813E0C" w:rsidRDefault="00813E0C" w14:paraId="63D026E4"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Pathak G, Upadhyay A, Pathak U, Chawla D, Goel SP. Phenobarbitone versus phenytoin for treatment of neonatal seizures: an open-label randomized controlled trial. Indian pediatrics. 2013;50:753-7.</w:t>
            </w:r>
          </w:p>
          <w:p w:rsidRPr="00F933FD" w:rsidR="00813E0C" w:rsidP="00813E0C" w:rsidRDefault="00813E0C" w14:paraId="4370E314"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Osborn DA, Jeffery HE, Cole MJ. Sedatives for opiate withdrawal in newborn infants. Cochrane database of systematic reviews. 2010:CD002053.</w:t>
            </w:r>
          </w:p>
          <w:p w:rsidRPr="00F933FD" w:rsidR="00813E0C" w:rsidP="00813E0C" w:rsidRDefault="00813E0C" w14:paraId="5CC43F78"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National clinical guidelines for the management of drug use during pregnancy, birth and the early development years of the newborn. Ministerial Council on Drug Strategy; 2006.</w:t>
            </w:r>
          </w:p>
          <w:p w:rsidRPr="00F933FD" w:rsidR="00813E0C" w:rsidP="00813E0C" w:rsidRDefault="00813E0C" w14:paraId="6FC3CA30"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Guidelines for the management of substance use during pregnancy birth and the postnatal period. NSW Ministry of Health; 2014.</w:t>
            </w:r>
          </w:p>
          <w:p w:rsidRPr="00F933FD" w:rsidR="00813E0C" w:rsidP="00813E0C" w:rsidRDefault="00813E0C" w14:paraId="45308D59"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Malik D, Khan SH, Ali SW, Rather TA, Pakala R, Hassan MU, Yadav N, Pasupula M. Comparison of phenobarbitone and ursodeoxycholic acid in drug-augmented hepatobiliary scintigraphy for excluding the diagnosis of obstructive cholestasis in neonatal cholestasis syndrome. Nuclear medicine communications. 2015;36:827-32.</w:t>
            </w:r>
          </w:p>
          <w:p w:rsidRPr="00F933FD" w:rsidR="00813E0C" w:rsidP="00813E0C" w:rsidRDefault="00813E0C" w14:paraId="72AB572F"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Cies JJ, Giamalis JN. Treatment of cholestatic pruritus in children. Am J Health-Syst Pharm. 2007;64:1157-62.</w:t>
            </w:r>
          </w:p>
          <w:p w:rsidRPr="00F933FD" w:rsidR="00813E0C" w:rsidP="00813E0C" w:rsidRDefault="00813E0C" w14:paraId="323CADB2"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Gilman JT, Gal P, Duchowny MS, Weaver RL, Ransom JL. Rapid sequential phenobarbital treatment of neonatal seizures. Pediatrics. 1989;83:674-8.</w:t>
            </w:r>
          </w:p>
          <w:p w:rsidRPr="00F933FD" w:rsidR="00813E0C" w:rsidP="00813E0C" w:rsidRDefault="00813E0C" w14:paraId="5CE056CF"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Yukawa M, Yukawa E, Suematsu F, Takiguchi T, Ikeda H, Aki H, Mimemoto M. Population pharmacokinetics of phenobarbital by mixed effect modelling using routine clinical pharmacokinetic data in Japanese neonates and infants: an update. J Clin Pharm Ther. 2011;36:704-10.</w:t>
            </w:r>
          </w:p>
          <w:p w:rsidRPr="00F933FD" w:rsidR="00813E0C" w:rsidP="00813E0C" w:rsidRDefault="00813E0C" w14:paraId="256F388A"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lastRenderedPageBreak/>
              <w:t>Marsot A, Brevaut-Malaty V, Vialet R, Boulamery A, Bruguerolle B, Simon N. Pharmacokinetics and absolute bioavailability of phenobarbital in neonates and young infants, a population pharmacokinetic modelling approach. Fundam Clin Pharmacol. 2014;28:465-71.</w:t>
            </w:r>
          </w:p>
          <w:p w:rsidRPr="00F933FD" w:rsidR="00813E0C" w:rsidP="00813E0C" w:rsidRDefault="00813E0C" w14:paraId="36D8CAD8"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Filippi L, la Marca G, Cavallaro G, Fiorini P, Favelli F, Malvagia S, Donzelli G, Guerrini R. Phenobarbital for neonatal seizures in hypoxic ischemic encephalopathy: a pharmacokinetic study during whole body hypothermia. Epilepsia. 2011;52:794-801.</w:t>
            </w:r>
          </w:p>
          <w:p w:rsidRPr="00F933FD" w:rsidR="00813E0C" w:rsidP="00813E0C" w:rsidRDefault="00813E0C" w14:paraId="35EA899A" w14:textId="77777777">
            <w:pPr>
              <w:pStyle w:val="EndNoteBibliography"/>
              <w:numPr>
                <w:ilvl w:val="0"/>
                <w:numId w:val="117"/>
              </w:numPr>
              <w:ind w:left="284" w:hanging="284"/>
              <w:rPr>
                <w:rFonts w:asciiTheme="minorHAnsi" w:hAnsiTheme="minorHAnsi"/>
                <w:sz w:val="16"/>
                <w:szCs w:val="16"/>
              </w:rPr>
            </w:pPr>
            <w:r w:rsidRPr="00F933FD">
              <w:rPr>
                <w:rFonts w:asciiTheme="minorHAnsi" w:hAnsiTheme="minorHAnsi"/>
                <w:sz w:val="16"/>
                <w:szCs w:val="16"/>
              </w:rPr>
              <w:t>Shellhaas RA, Ng CM, Dillon CH, Barks JD, Bhatt-Mehta V. Population pharmacokinetics of phenobarbital in infants with neonatal encephalopathy treated with therapeutic hypothermia. Pediatr Crit Care Med. 2013;14:194-202.</w:t>
            </w:r>
          </w:p>
          <w:p w:rsidRPr="00F933FD" w:rsidR="00813E0C" w:rsidP="00813E0C" w:rsidRDefault="00813E0C" w14:paraId="01AD9737" w14:textId="77777777">
            <w:pPr>
              <w:pStyle w:val="EndNoteBibliography"/>
              <w:numPr>
                <w:ilvl w:val="0"/>
                <w:numId w:val="117"/>
              </w:numPr>
              <w:ind w:left="284" w:hanging="284"/>
              <w:rPr>
                <w:rFonts w:asciiTheme="minorHAnsi" w:hAnsiTheme="minorHAnsi"/>
                <w:sz w:val="16"/>
                <w:szCs w:val="16"/>
              </w:rPr>
            </w:pPr>
            <w:bookmarkStart w:name="_ENREF_14" w:id="479"/>
            <w:r w:rsidRPr="00F933FD">
              <w:rPr>
                <w:rFonts w:asciiTheme="minorHAnsi" w:hAnsiTheme="minorHAnsi"/>
                <w:sz w:val="16"/>
                <w:szCs w:val="16"/>
              </w:rPr>
              <w:t>van den Broek MP, Groenendaal F, Toet MC, van Straaten HL, van Hasselt JG, Huitema AD, de Vries LS, Egberts AC, Rademaker CM. Pharmacokinetics and clinical efficacy of phenobarbital in asphyxiated newborns treated with hypothermia: a thermopharmacological approach. Clin Pharmacokinet. 2012;51:671-9.</w:t>
            </w:r>
            <w:bookmarkEnd w:id="479"/>
          </w:p>
          <w:p w:rsidRPr="00F933FD" w:rsidR="00813E0C" w:rsidP="00813E0C" w:rsidRDefault="00813E0C" w14:paraId="7B8ECA48" w14:textId="77777777">
            <w:pPr>
              <w:pStyle w:val="EndNoteBibliography"/>
              <w:numPr>
                <w:ilvl w:val="0"/>
                <w:numId w:val="117"/>
              </w:numPr>
              <w:ind w:left="284" w:hanging="284"/>
              <w:rPr>
                <w:rFonts w:asciiTheme="minorHAnsi" w:hAnsiTheme="minorHAnsi"/>
                <w:sz w:val="16"/>
                <w:szCs w:val="16"/>
                <w:lang w:val="en-AU"/>
              </w:rPr>
            </w:pPr>
            <w:r w:rsidRPr="00F933FD">
              <w:rPr>
                <w:rFonts w:hint="eastAsia" w:asciiTheme="minorHAnsi" w:hAnsiTheme="minorHAnsi"/>
                <w:sz w:val="16"/>
                <w:szCs w:val="16"/>
                <w:lang w:val="en-AU"/>
              </w:rPr>
              <w:t>Alonso Gonzalez AC, Ortega Valin L, Santos Buelga D, Garcia Sanchez MJ, Santos Borbujo J, Monzon Corral L, Dominguez-Gil Hurle A. Dosage programming of phenobarbital in neonatal seizures.   J Clin Pharm Ther 1993</w:t>
            </w:r>
            <w:r w:rsidRPr="00F933FD">
              <w:rPr>
                <w:rFonts w:asciiTheme="minorHAnsi" w:hAnsiTheme="minorHAnsi"/>
                <w:sz w:val="16"/>
                <w:szCs w:val="16"/>
                <w:lang w:val="en-AU"/>
              </w:rPr>
              <w:t>;</w:t>
            </w:r>
            <w:r w:rsidRPr="00F933FD">
              <w:rPr>
                <w:rFonts w:hint="eastAsia" w:asciiTheme="minorHAnsi" w:hAnsiTheme="minorHAnsi"/>
                <w:sz w:val="16"/>
                <w:szCs w:val="16"/>
                <w:lang w:val="en-AU"/>
              </w:rPr>
              <w:t>18(4):267-70.</w:t>
            </w:r>
          </w:p>
          <w:p w:rsidRPr="00F933FD" w:rsidR="00813E0C" w:rsidP="00813E0C" w:rsidRDefault="00813E0C" w14:paraId="2FF319EE" w14:textId="77777777">
            <w:pPr>
              <w:pStyle w:val="ListParagraph"/>
              <w:numPr>
                <w:ilvl w:val="0"/>
                <w:numId w:val="117"/>
              </w:numPr>
              <w:ind w:left="284" w:hanging="284"/>
              <w:rPr>
                <w:rFonts w:asciiTheme="minorHAnsi" w:hAnsiTheme="minorHAnsi"/>
                <w:sz w:val="16"/>
                <w:szCs w:val="16"/>
              </w:rPr>
            </w:pPr>
            <w:r w:rsidRPr="00F933FD">
              <w:rPr>
                <w:rFonts w:asciiTheme="minorHAnsi" w:hAnsiTheme="minorHAnsi"/>
                <w:sz w:val="16"/>
                <w:szCs w:val="16"/>
              </w:rPr>
              <w:t>Micromedex. Phenobarbital sodium injection. Accessed on 4 April 2021.</w:t>
            </w:r>
          </w:p>
          <w:p w:rsidRPr="00F933FD" w:rsidR="00813E0C" w:rsidP="00813E0C" w:rsidRDefault="00813E0C" w14:paraId="1C368DEA" w14:textId="77777777">
            <w:pPr>
              <w:pStyle w:val="ListParagraph"/>
              <w:numPr>
                <w:ilvl w:val="0"/>
                <w:numId w:val="117"/>
              </w:numPr>
              <w:ind w:left="284" w:hanging="284"/>
              <w:rPr>
                <w:rFonts w:asciiTheme="minorHAnsi" w:hAnsiTheme="minorHAnsi" w:eastAsiaTheme="minorHAnsi" w:cstheme="minorHAnsi"/>
                <w:sz w:val="16"/>
                <w:szCs w:val="16"/>
              </w:rPr>
            </w:pPr>
            <w:r w:rsidRPr="00F933FD">
              <w:rPr>
                <w:rFonts w:asciiTheme="minorHAnsi" w:hAnsiTheme="minorHAnsi"/>
                <w:sz w:val="16"/>
                <w:szCs w:val="16"/>
              </w:rPr>
              <w:t>Australian Injectable Drugs Handbook, 8th Edition. Accessed on 4 April 2021.</w:t>
            </w:r>
          </w:p>
          <w:p w:rsidRPr="00F933FD" w:rsidR="00813E0C" w:rsidP="00813E0C" w:rsidRDefault="00813E0C" w14:paraId="73EF044D" w14:textId="77777777">
            <w:pPr>
              <w:pStyle w:val="ListParagraph"/>
              <w:numPr>
                <w:ilvl w:val="0"/>
                <w:numId w:val="117"/>
              </w:numPr>
              <w:ind w:left="284" w:hanging="284"/>
              <w:rPr>
                <w:rFonts w:asciiTheme="minorHAnsi" w:hAnsiTheme="minorHAnsi" w:eastAsiaTheme="minorHAnsi" w:cstheme="minorHAnsi"/>
                <w:sz w:val="16"/>
                <w:szCs w:val="16"/>
              </w:rPr>
            </w:pPr>
            <w:r w:rsidRPr="00F933FD">
              <w:rPr>
                <w:sz w:val="16"/>
                <w:szCs w:val="16"/>
                <w:lang w:eastAsia="en-AU"/>
              </w:rPr>
              <w:t>St. Louis EK, Gidal BE, Henry TR, Kaydanova Y,Krumholz A, McCabe PH, et al. Conversions between monotherapies in epilepsy: Expert consensus. Epilepsy and Behaviour 2007;11:222-234.</w:t>
            </w:r>
          </w:p>
          <w:p w:rsidRPr="00F933FD" w:rsidR="00813E0C" w:rsidP="00813E0C" w:rsidRDefault="00813E0C" w14:paraId="3384E3F3" w14:textId="77777777">
            <w:pPr>
              <w:pStyle w:val="ListParagraph"/>
              <w:numPr>
                <w:ilvl w:val="0"/>
                <w:numId w:val="117"/>
              </w:numPr>
              <w:ind w:left="284" w:hanging="284"/>
              <w:rPr>
                <w:rFonts w:asciiTheme="minorHAnsi" w:hAnsiTheme="minorHAnsi" w:eastAsiaTheme="minorHAnsi" w:cstheme="minorHAnsi"/>
                <w:sz w:val="16"/>
                <w:szCs w:val="16"/>
              </w:rPr>
            </w:pPr>
            <w:r w:rsidRPr="00F933FD">
              <w:rPr>
                <w:rFonts w:asciiTheme="minorHAnsi" w:hAnsiTheme="minorHAnsi" w:eastAsiaTheme="minorHAnsi" w:cstheme="minorHAnsi"/>
                <w:sz w:val="16"/>
                <w:szCs w:val="16"/>
              </w:rPr>
              <w:t>Lutz IC, Allegaert K, de Hoon JN, Marynissen H. Pharmacokinetics during therapeutic hypothermia for neonatal hypoxic ischaemic encephalopathy: a literature review. BMJ paediatrics open. 2020;4(1).</w:t>
            </w:r>
          </w:p>
        </w:tc>
      </w:tr>
    </w:tbl>
    <w:p w:rsidRPr="00E25790" w:rsidR="00115F48" w:rsidP="006F0321" w:rsidRDefault="00115F48" w14:paraId="7E15E84F" w14:textId="77777777"/>
    <w:p w:rsidRPr="00E25790" w:rsidR="00115F48" w:rsidP="006F0321" w:rsidRDefault="00115F48" w14:paraId="297E2771" w14:textId="77777777"/>
    <w:tbl>
      <w:tblPr>
        <w:tblW w:w="9336"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79"/>
        <w:gridCol w:w="4657"/>
      </w:tblGrid>
      <w:tr w:rsidRPr="003C2CBA" w:rsidR="0020431B" w:rsidTr="005E6204" w14:paraId="638D7640" w14:textId="77777777">
        <w:trPr>
          <w:trHeight w:val="335"/>
        </w:trPr>
        <w:tc>
          <w:tcPr>
            <w:tcW w:w="4679" w:type="dxa"/>
            <w:vAlign w:val="center"/>
          </w:tcPr>
          <w:p w:rsidRPr="003C2CBA" w:rsidR="005E6204" w:rsidP="006E2EED" w:rsidRDefault="005E6204" w14:paraId="67BBD8EA" w14:textId="77777777">
            <w:r>
              <w:t>Original version Date: 21/06/2016</w:t>
            </w:r>
          </w:p>
        </w:tc>
        <w:tc>
          <w:tcPr>
            <w:tcW w:w="4657" w:type="dxa"/>
            <w:vAlign w:val="center"/>
          </w:tcPr>
          <w:p w:rsidRPr="003C2CBA" w:rsidR="005E6204" w:rsidP="006E2EED" w:rsidRDefault="005E6204" w14:paraId="2C7D720F" w14:textId="77777777">
            <w:r w:rsidRPr="003C2CBA">
              <w:t>Author: Neo</w:t>
            </w:r>
            <w:r>
              <w:t xml:space="preserve">natal </w:t>
            </w:r>
            <w:r w:rsidRPr="003C2CBA">
              <w:t>Med</w:t>
            </w:r>
            <w:r>
              <w:t>icines Formulary</w:t>
            </w:r>
            <w:r w:rsidRPr="003C2CBA">
              <w:t xml:space="preserve"> Consensus Group</w:t>
            </w:r>
          </w:p>
        </w:tc>
      </w:tr>
      <w:tr w:rsidRPr="003C2CBA" w:rsidR="0020431B" w:rsidTr="005E6204" w14:paraId="46A218C4" w14:textId="77777777">
        <w:tc>
          <w:tcPr>
            <w:tcW w:w="4679" w:type="dxa"/>
            <w:vAlign w:val="center"/>
          </w:tcPr>
          <w:p w:rsidRPr="003C2CBA" w:rsidR="005E6204" w:rsidP="006E2EED" w:rsidRDefault="005E6204" w14:paraId="44FE560F" w14:textId="4B1DBA88">
            <w:pPr>
              <w:rPr>
                <w:bCs/>
              </w:rPr>
            </w:pPr>
            <w:r w:rsidRPr="003C2CBA">
              <w:t xml:space="preserve">Current Version number:  </w:t>
            </w:r>
            <w:r w:rsidR="0081752A">
              <w:t>2</w:t>
            </w:r>
          </w:p>
        </w:tc>
        <w:tc>
          <w:tcPr>
            <w:tcW w:w="4657" w:type="dxa"/>
            <w:vAlign w:val="center"/>
          </w:tcPr>
          <w:p w:rsidRPr="003C2CBA" w:rsidR="005E6204" w:rsidP="006E2EED" w:rsidRDefault="005E6204" w14:paraId="6C384AFF" w14:textId="4EC01C33">
            <w:r w:rsidRPr="003C2CBA">
              <w:t xml:space="preserve">Version Date:  </w:t>
            </w:r>
            <w:r w:rsidR="00044F86">
              <w:t>18-6-2021</w:t>
            </w:r>
          </w:p>
        </w:tc>
      </w:tr>
      <w:tr w:rsidRPr="003C2CBA" w:rsidR="0020431B" w:rsidTr="005E6204" w14:paraId="41353361" w14:textId="77777777">
        <w:tc>
          <w:tcPr>
            <w:tcW w:w="4679" w:type="dxa"/>
            <w:vAlign w:val="center"/>
          </w:tcPr>
          <w:p w:rsidRPr="003C2CBA" w:rsidR="005E6204" w:rsidP="006E2EED" w:rsidRDefault="005E6204" w14:paraId="539CE20E" w14:textId="52AECA39">
            <w:r w:rsidRPr="003C2CBA">
              <w:t xml:space="preserve">Risk Rating: </w:t>
            </w:r>
            <w:r w:rsidR="0081752A">
              <w:t>Low</w:t>
            </w:r>
          </w:p>
        </w:tc>
        <w:tc>
          <w:tcPr>
            <w:tcW w:w="4657" w:type="dxa"/>
            <w:vAlign w:val="center"/>
          </w:tcPr>
          <w:p w:rsidRPr="003C2CBA" w:rsidR="005E6204" w:rsidP="006E2EED" w:rsidRDefault="005E6204" w14:paraId="44991E88" w14:textId="2D807369">
            <w:r w:rsidRPr="003C2CBA">
              <w:t xml:space="preserve">Due for Review:  </w:t>
            </w:r>
            <w:r w:rsidR="00044F86">
              <w:t>18-6-2026</w:t>
            </w:r>
          </w:p>
        </w:tc>
      </w:tr>
      <w:tr w:rsidRPr="003C2CBA" w:rsidR="0020431B" w:rsidTr="005E6204" w14:paraId="1740EAE7" w14:textId="77777777">
        <w:trPr>
          <w:trHeight w:val="344"/>
        </w:trPr>
        <w:tc>
          <w:tcPr>
            <w:tcW w:w="4679" w:type="dxa"/>
            <w:tcBorders>
              <w:bottom w:val="single" w:color="auto" w:sz="4" w:space="0"/>
            </w:tcBorders>
            <w:vAlign w:val="center"/>
          </w:tcPr>
          <w:p w:rsidRPr="003C2CBA" w:rsidR="005E6204" w:rsidP="006E2EED" w:rsidRDefault="005E6204" w14:paraId="3100E043" w14:textId="77777777">
            <w:r w:rsidRPr="003C2CBA">
              <w:t xml:space="preserve">Approved by: </w:t>
            </w:r>
            <w:r>
              <w:t>DTC</w:t>
            </w:r>
          </w:p>
        </w:tc>
        <w:tc>
          <w:tcPr>
            <w:tcW w:w="4657" w:type="dxa"/>
            <w:tcBorders>
              <w:bottom w:val="single" w:color="auto" w:sz="4" w:space="0"/>
            </w:tcBorders>
            <w:vAlign w:val="center"/>
          </w:tcPr>
          <w:p w:rsidRPr="003C2CBA" w:rsidR="005E6204" w:rsidP="006E2EED" w:rsidRDefault="005E6204" w14:paraId="09A843E2" w14:textId="6A900394">
            <w:r w:rsidRPr="003C2CBA">
              <w:t xml:space="preserve">Approval Date: </w:t>
            </w:r>
            <w:r w:rsidR="00260BC8">
              <w:t>APRIL 2021</w:t>
            </w:r>
          </w:p>
        </w:tc>
      </w:tr>
    </w:tbl>
    <w:p w:rsidRPr="00E25790" w:rsidR="00F21846" w:rsidP="006F0321" w:rsidRDefault="00F21846" w14:paraId="3080636E" w14:textId="77777777"/>
    <w:p w:rsidR="00FB1E38" w:rsidP="0349FAD4" w:rsidRDefault="00FB1E38" w14:paraId="3F74B9E5" w14:textId="39F55FF5">
      <w:pPr>
        <w:rPr>
          <w:b/>
          <w:bCs/>
        </w:rPr>
      </w:pPr>
      <w:bookmarkStart w:name="_Toc495481155" w:id="480"/>
      <w:bookmarkStart w:name="_Toc495481281" w:id="481"/>
      <w:bookmarkStart w:name="_Toc495481406" w:id="482"/>
      <w:bookmarkStart w:name="_Toc495501587" w:id="483"/>
      <w:bookmarkStart w:name="_Toc38106904" w:id="484"/>
      <w:r w:rsidRPr="0349FAD4">
        <w:rPr>
          <w:b/>
          <w:bCs/>
        </w:rPr>
        <w:br w:type="page"/>
      </w:r>
    </w:p>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0349FAD4" w:rsidTr="0349FAD4" w14:paraId="26229118" w14:textId="77777777">
        <w:trPr>
          <w:trHeight w:val="720"/>
        </w:trPr>
        <w:tc>
          <w:tcPr>
            <w:tcW w:w="8980" w:type="dxa"/>
            <w:gridSpan w:val="2"/>
            <w:shd w:val="clear" w:color="auto" w:fill="FFFF00"/>
          </w:tcPr>
          <w:p w:rsidR="332FCCDF" w:rsidP="0349FAD4" w:rsidRDefault="332FCCDF" w14:paraId="7C6978A4" w14:textId="1CB1D357">
            <w:pPr>
              <w:pStyle w:val="Heading1"/>
            </w:pPr>
            <w:bookmarkStart w:name="_Toc75340025" w:id="485"/>
            <w:r>
              <w:lastRenderedPageBreak/>
              <w:t>Phenytoin</w:t>
            </w:r>
            <w:bookmarkEnd w:id="485"/>
            <w:r>
              <w:fldChar w:fldCharType="begin"/>
            </w:r>
            <w:r>
              <w:instrText>tc "Ampicillin" \l 0</w:instrText>
            </w:r>
            <w:r>
              <w:fldChar w:fldCharType="end"/>
            </w:r>
          </w:p>
        </w:tc>
      </w:tr>
      <w:tr w:rsidR="0349FAD4" w:rsidTr="0349FAD4" w14:paraId="42D841BF" w14:textId="77777777">
        <w:trPr>
          <w:trHeight w:val="480"/>
        </w:trPr>
        <w:tc>
          <w:tcPr>
            <w:tcW w:w="4122" w:type="dxa"/>
            <w:shd w:val="clear" w:color="auto" w:fill="FFFF00"/>
          </w:tcPr>
          <w:p w:rsidR="0349FAD4" w:rsidRDefault="0349FAD4" w14:paraId="72FDA0AA" w14:textId="5E6F7E8A">
            <w:r>
              <w:t xml:space="preserve">Revision Date : </w:t>
            </w:r>
            <w:r w:rsidR="006360E1">
              <w:t>18-6-2021</w:t>
            </w:r>
          </w:p>
        </w:tc>
        <w:tc>
          <w:tcPr>
            <w:tcW w:w="4858" w:type="dxa"/>
            <w:shd w:val="clear" w:color="auto" w:fill="FFFF00"/>
          </w:tcPr>
          <w:p w:rsidR="0349FAD4" w:rsidRDefault="0349FAD4" w14:paraId="79FFDEE1" w14:textId="77777777">
            <w:r>
              <w:t>Approved : TC, KOH</w:t>
            </w:r>
          </w:p>
        </w:tc>
      </w:tr>
    </w:tbl>
    <w:p w:rsidR="00FB1E38" w:rsidRDefault="00FB1E38" w14:paraId="1D7664C0"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3A7895" w:rsidR="006360E1" w:rsidTr="006360E1" w14:paraId="23985B14" w14:textId="77777777">
        <w:trPr>
          <w:trHeight w:val="70"/>
        </w:trPr>
        <w:tc>
          <w:tcPr>
            <w:tcW w:w="1730" w:type="dxa"/>
          </w:tcPr>
          <w:p w:rsidRPr="00B53E9B" w:rsidR="006360E1" w:rsidP="00131848" w:rsidRDefault="006360E1" w14:paraId="6A170EF6" w14:textId="77777777">
            <w:pPr>
              <w:pStyle w:val="BodyText"/>
              <w:tabs>
                <w:tab w:val="center" w:pos="1476"/>
              </w:tabs>
              <w:rPr>
                <w:rFonts w:cs="Arial"/>
                <w:b/>
                <w:sz w:val="20"/>
              </w:rPr>
            </w:pPr>
            <w:r w:rsidRPr="00B53E9B">
              <w:rPr>
                <w:rFonts w:cs="Arial"/>
                <w:b/>
                <w:sz w:val="20"/>
              </w:rPr>
              <w:t>Alert</w:t>
            </w:r>
          </w:p>
        </w:tc>
        <w:tc>
          <w:tcPr>
            <w:tcW w:w="7513" w:type="dxa"/>
          </w:tcPr>
          <w:p w:rsidRPr="00135FC6" w:rsidR="006360E1" w:rsidP="00131848" w:rsidRDefault="006360E1" w14:paraId="11A5E03E" w14:textId="77777777">
            <w:pPr>
              <w:pStyle w:val="BodyText"/>
              <w:rPr>
                <w:rFonts w:cs="Arial" w:asciiTheme="minorHAnsi" w:hAnsiTheme="minorHAnsi"/>
                <w:sz w:val="20"/>
              </w:rPr>
            </w:pPr>
            <w:r>
              <w:rPr>
                <w:rFonts w:cs="Arial" w:asciiTheme="minorHAnsi" w:hAnsiTheme="minorHAnsi"/>
                <w:sz w:val="20"/>
              </w:rPr>
              <w:t>High risk medicine. Rapid IV infusion can cause cardiovascular collapse.</w:t>
            </w:r>
            <w:r>
              <w:t xml:space="preserve"> </w:t>
            </w:r>
            <w:r w:rsidRPr="006C5682">
              <w:rPr>
                <w:rFonts w:cs="Arial" w:asciiTheme="minorHAnsi" w:hAnsiTheme="minorHAnsi"/>
                <w:sz w:val="20"/>
              </w:rPr>
              <w:t>Phenytoin</w:t>
            </w:r>
            <w:r>
              <w:rPr>
                <w:rFonts w:cs="Arial" w:asciiTheme="minorHAnsi" w:hAnsiTheme="minorHAnsi"/>
                <w:sz w:val="20"/>
              </w:rPr>
              <w:t xml:space="preserve"> concentration</w:t>
            </w:r>
            <w:r w:rsidRPr="006C5682">
              <w:rPr>
                <w:rFonts w:cs="Arial" w:asciiTheme="minorHAnsi" w:hAnsiTheme="minorHAnsi"/>
                <w:sz w:val="20"/>
              </w:rPr>
              <w:t xml:space="preserve"> is reported in mg/L. To convert mg/L (microgram/mL) to micromol/L</w:t>
            </w:r>
            <w:r>
              <w:rPr>
                <w:rFonts w:cs="Arial" w:asciiTheme="minorHAnsi" w:hAnsiTheme="minorHAnsi"/>
                <w:sz w:val="20"/>
              </w:rPr>
              <w:t>: M</w:t>
            </w:r>
            <w:r w:rsidRPr="006C5682">
              <w:rPr>
                <w:rFonts w:cs="Arial" w:asciiTheme="minorHAnsi" w:hAnsiTheme="minorHAnsi"/>
                <w:sz w:val="20"/>
              </w:rPr>
              <w:t>ultiply by 3.964.</w:t>
            </w:r>
          </w:p>
        </w:tc>
      </w:tr>
      <w:tr w:rsidRPr="003A7895" w:rsidR="006360E1" w:rsidTr="006360E1" w14:paraId="0AF6D9B2" w14:textId="77777777">
        <w:trPr>
          <w:trHeight w:val="72"/>
        </w:trPr>
        <w:tc>
          <w:tcPr>
            <w:tcW w:w="1730" w:type="dxa"/>
          </w:tcPr>
          <w:p w:rsidRPr="00B53E9B" w:rsidR="006360E1" w:rsidP="00131848" w:rsidRDefault="006360E1" w14:paraId="26EADCB8" w14:textId="77777777">
            <w:pPr>
              <w:pStyle w:val="BodyText"/>
              <w:rPr>
                <w:rFonts w:cs="Arial"/>
                <w:sz w:val="20"/>
              </w:rPr>
            </w:pPr>
            <w:r w:rsidRPr="00B53E9B">
              <w:rPr>
                <w:rFonts w:cs="Arial"/>
                <w:b/>
                <w:bCs/>
                <w:sz w:val="20"/>
              </w:rPr>
              <w:t>Indication</w:t>
            </w:r>
          </w:p>
        </w:tc>
        <w:tc>
          <w:tcPr>
            <w:tcW w:w="7513" w:type="dxa"/>
          </w:tcPr>
          <w:p w:rsidRPr="00135FC6" w:rsidR="006360E1" w:rsidP="00131848" w:rsidRDefault="006360E1" w14:paraId="1B223924" w14:textId="77777777">
            <w:pPr>
              <w:rPr>
                <w:rFonts w:asciiTheme="minorHAnsi" w:hAnsiTheme="minorHAnsi"/>
                <w:sz w:val="20"/>
              </w:rPr>
            </w:pPr>
            <w:r>
              <w:rPr>
                <w:rFonts w:asciiTheme="minorHAnsi" w:hAnsiTheme="minorHAnsi"/>
                <w:sz w:val="20"/>
              </w:rPr>
              <w:t>Treatment</w:t>
            </w:r>
            <w:r w:rsidRPr="00135FC6">
              <w:rPr>
                <w:rFonts w:asciiTheme="minorHAnsi" w:hAnsiTheme="minorHAnsi"/>
                <w:sz w:val="20"/>
              </w:rPr>
              <w:t xml:space="preserve"> of neonatal seizures</w:t>
            </w:r>
            <w:r>
              <w:rPr>
                <w:rFonts w:asciiTheme="minorHAnsi" w:hAnsiTheme="minorHAnsi"/>
                <w:sz w:val="20"/>
              </w:rPr>
              <w:t>.(1-4)</w:t>
            </w:r>
          </w:p>
        </w:tc>
      </w:tr>
      <w:tr w:rsidRPr="003A7895" w:rsidR="006360E1" w:rsidTr="006360E1" w14:paraId="07EAF03A" w14:textId="77777777">
        <w:trPr>
          <w:trHeight w:val="70"/>
        </w:trPr>
        <w:tc>
          <w:tcPr>
            <w:tcW w:w="1730" w:type="dxa"/>
          </w:tcPr>
          <w:p w:rsidRPr="00B53E9B" w:rsidR="006360E1" w:rsidP="00131848" w:rsidRDefault="006360E1" w14:paraId="3B0A3D4F" w14:textId="77777777">
            <w:pPr>
              <w:pStyle w:val="BodyText"/>
              <w:rPr>
                <w:rFonts w:cs="Arial"/>
                <w:b/>
                <w:bCs/>
                <w:sz w:val="20"/>
              </w:rPr>
            </w:pPr>
            <w:r w:rsidRPr="00B53E9B">
              <w:rPr>
                <w:rFonts w:cs="Arial"/>
                <w:b/>
                <w:bCs/>
                <w:sz w:val="20"/>
              </w:rPr>
              <w:t>Action</w:t>
            </w:r>
          </w:p>
        </w:tc>
        <w:tc>
          <w:tcPr>
            <w:tcW w:w="7513" w:type="dxa"/>
          </w:tcPr>
          <w:p w:rsidRPr="00135FC6" w:rsidR="006360E1" w:rsidP="00131848" w:rsidRDefault="006360E1" w14:paraId="12DEC9A8" w14:textId="77777777">
            <w:pPr>
              <w:rPr>
                <w:rFonts w:cs="Arial" w:asciiTheme="minorHAnsi" w:hAnsiTheme="minorHAnsi"/>
                <w:sz w:val="20"/>
              </w:rPr>
            </w:pPr>
            <w:r>
              <w:rPr>
                <w:rFonts w:asciiTheme="minorHAnsi" w:hAnsiTheme="minorHAnsi"/>
                <w:sz w:val="20"/>
              </w:rPr>
              <w:t>I</w:t>
            </w:r>
            <w:r w:rsidRPr="00135FC6">
              <w:rPr>
                <w:rFonts w:asciiTheme="minorHAnsi" w:hAnsiTheme="minorHAnsi"/>
                <w:sz w:val="20"/>
              </w:rPr>
              <w:t xml:space="preserve">nhibition of neuronal sodium influx, suppression of sodium action-potentials, inhibition of neuronal calcium influx, enhancement of GABA neurotransmission, and blockade of inotropic receptors for </w:t>
            </w:r>
            <w:r>
              <w:rPr>
                <w:rFonts w:asciiTheme="minorHAnsi" w:hAnsiTheme="minorHAnsi"/>
                <w:sz w:val="20"/>
              </w:rPr>
              <w:t>glutamic acid</w:t>
            </w:r>
            <w:r w:rsidRPr="00135FC6">
              <w:rPr>
                <w:rFonts w:asciiTheme="minorHAnsi" w:hAnsiTheme="minorHAnsi"/>
                <w:sz w:val="20"/>
              </w:rPr>
              <w:t>.</w:t>
            </w:r>
          </w:p>
        </w:tc>
      </w:tr>
      <w:tr w:rsidRPr="003A7895" w:rsidR="006360E1" w:rsidTr="006360E1" w14:paraId="1AD81423" w14:textId="77777777">
        <w:trPr>
          <w:trHeight w:val="266"/>
        </w:trPr>
        <w:tc>
          <w:tcPr>
            <w:tcW w:w="1730" w:type="dxa"/>
          </w:tcPr>
          <w:p w:rsidRPr="00B53E9B" w:rsidR="006360E1" w:rsidP="00131848" w:rsidRDefault="006360E1" w14:paraId="5B0E8B67" w14:textId="77777777">
            <w:pPr>
              <w:pStyle w:val="BodyText"/>
              <w:rPr>
                <w:rFonts w:cs="Arial"/>
                <w:sz w:val="20"/>
              </w:rPr>
            </w:pPr>
            <w:r>
              <w:rPr>
                <w:rFonts w:cs="Arial"/>
                <w:b/>
                <w:bCs/>
                <w:sz w:val="20"/>
              </w:rPr>
              <w:t>Drug t</w:t>
            </w:r>
            <w:r w:rsidRPr="00B53E9B">
              <w:rPr>
                <w:rFonts w:cs="Arial"/>
                <w:b/>
                <w:bCs/>
                <w:sz w:val="20"/>
              </w:rPr>
              <w:t>ype</w:t>
            </w:r>
          </w:p>
        </w:tc>
        <w:tc>
          <w:tcPr>
            <w:tcW w:w="7513" w:type="dxa"/>
          </w:tcPr>
          <w:p w:rsidRPr="00135FC6" w:rsidR="006360E1" w:rsidP="00131848" w:rsidRDefault="006360E1" w14:paraId="5806E04F" w14:textId="77777777">
            <w:pPr>
              <w:pStyle w:val="BodyText"/>
              <w:rPr>
                <w:rFonts w:cs="Arial" w:asciiTheme="minorHAnsi" w:hAnsiTheme="minorHAnsi"/>
                <w:sz w:val="20"/>
              </w:rPr>
            </w:pPr>
            <w:r w:rsidRPr="00135FC6">
              <w:rPr>
                <w:rFonts w:asciiTheme="minorHAnsi" w:hAnsiTheme="minorHAnsi"/>
                <w:sz w:val="20"/>
              </w:rPr>
              <w:t>Hydantoin derivative anticonvulsant</w:t>
            </w:r>
          </w:p>
        </w:tc>
      </w:tr>
      <w:tr w:rsidRPr="003A7895" w:rsidR="006360E1" w:rsidTr="006360E1" w14:paraId="7DCC96F1" w14:textId="77777777">
        <w:trPr>
          <w:trHeight w:val="114"/>
        </w:trPr>
        <w:tc>
          <w:tcPr>
            <w:tcW w:w="1730" w:type="dxa"/>
          </w:tcPr>
          <w:p w:rsidRPr="00B53E9B" w:rsidR="006360E1" w:rsidP="00131848" w:rsidRDefault="006360E1" w14:paraId="6E894998"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13" w:type="dxa"/>
          </w:tcPr>
          <w:p w:rsidR="006360E1" w:rsidP="00131848" w:rsidRDefault="006360E1" w14:paraId="23D945FB" w14:textId="77777777">
            <w:pPr>
              <w:pStyle w:val="BodyText"/>
              <w:rPr>
                <w:rFonts w:cs="Arial" w:asciiTheme="minorHAnsi" w:hAnsiTheme="minorHAnsi"/>
                <w:sz w:val="20"/>
              </w:rPr>
            </w:pPr>
            <w:r>
              <w:rPr>
                <w:rFonts w:cs="Arial" w:asciiTheme="minorHAnsi" w:hAnsiTheme="minorHAnsi"/>
                <w:sz w:val="20"/>
              </w:rPr>
              <w:t>DBL Phenytoin Injection</w:t>
            </w:r>
          </w:p>
          <w:p w:rsidRPr="00135FC6" w:rsidR="006360E1" w:rsidP="00131848" w:rsidRDefault="006360E1" w14:paraId="615E681A" w14:textId="77777777">
            <w:pPr>
              <w:pStyle w:val="BodyText"/>
              <w:rPr>
                <w:rFonts w:cs="Arial" w:asciiTheme="minorHAnsi" w:hAnsiTheme="minorHAnsi"/>
                <w:sz w:val="20"/>
              </w:rPr>
            </w:pPr>
            <w:r>
              <w:rPr>
                <w:rFonts w:cs="Arial" w:asciiTheme="minorHAnsi" w:hAnsiTheme="minorHAnsi"/>
                <w:sz w:val="20"/>
              </w:rPr>
              <w:t>Dilantin Paediatric Suspension</w:t>
            </w:r>
          </w:p>
        </w:tc>
      </w:tr>
      <w:tr w:rsidRPr="003A7895" w:rsidR="006360E1" w:rsidTr="006360E1" w14:paraId="5BF35E74" w14:textId="77777777">
        <w:trPr>
          <w:trHeight w:val="70"/>
        </w:trPr>
        <w:tc>
          <w:tcPr>
            <w:tcW w:w="1730" w:type="dxa"/>
          </w:tcPr>
          <w:p w:rsidRPr="00B53E9B" w:rsidR="006360E1" w:rsidP="00131848" w:rsidRDefault="006360E1" w14:paraId="2CC7922A" w14:textId="77777777">
            <w:pPr>
              <w:pStyle w:val="BodyText"/>
              <w:rPr>
                <w:rFonts w:cs="Arial"/>
                <w:b/>
                <w:bCs/>
                <w:sz w:val="20"/>
              </w:rPr>
            </w:pPr>
            <w:r w:rsidRPr="00B53E9B">
              <w:rPr>
                <w:rFonts w:cs="Arial"/>
                <w:b/>
                <w:bCs/>
                <w:sz w:val="20"/>
              </w:rPr>
              <w:t xml:space="preserve">Presentation </w:t>
            </w:r>
          </w:p>
        </w:tc>
        <w:tc>
          <w:tcPr>
            <w:tcW w:w="7513" w:type="dxa"/>
          </w:tcPr>
          <w:p w:rsidRPr="00135FC6" w:rsidR="006360E1" w:rsidP="00131848" w:rsidRDefault="006360E1" w14:paraId="7F3F1D69" w14:textId="77777777">
            <w:pPr>
              <w:pStyle w:val="BodyText"/>
              <w:ind w:left="34"/>
              <w:rPr>
                <w:rFonts w:cs="Arial" w:asciiTheme="minorHAnsi" w:hAnsiTheme="minorHAnsi"/>
                <w:sz w:val="20"/>
              </w:rPr>
            </w:pPr>
            <w:r w:rsidRPr="00135FC6">
              <w:rPr>
                <w:rFonts w:cs="Arial" w:asciiTheme="minorHAnsi" w:hAnsiTheme="minorHAnsi"/>
                <w:sz w:val="20"/>
              </w:rPr>
              <w:t>100</w:t>
            </w:r>
            <w:r>
              <w:rPr>
                <w:rFonts w:cs="Arial" w:asciiTheme="minorHAnsi" w:hAnsiTheme="minorHAnsi"/>
                <w:sz w:val="20"/>
              </w:rPr>
              <w:t xml:space="preserve"> </w:t>
            </w:r>
            <w:r w:rsidRPr="00135FC6">
              <w:rPr>
                <w:rFonts w:cs="Arial" w:asciiTheme="minorHAnsi" w:hAnsiTheme="minorHAnsi"/>
                <w:sz w:val="20"/>
              </w:rPr>
              <w:t>mg/2</w:t>
            </w:r>
            <w:r>
              <w:rPr>
                <w:rFonts w:cs="Arial" w:asciiTheme="minorHAnsi" w:hAnsiTheme="minorHAnsi"/>
                <w:sz w:val="20"/>
              </w:rPr>
              <w:t xml:space="preserve"> </w:t>
            </w:r>
            <w:r w:rsidRPr="00135FC6">
              <w:rPr>
                <w:rFonts w:cs="Arial" w:asciiTheme="minorHAnsi" w:hAnsiTheme="minorHAnsi"/>
                <w:sz w:val="20"/>
              </w:rPr>
              <w:t>mL ampoule</w:t>
            </w:r>
            <w:r>
              <w:rPr>
                <w:rFonts w:cs="Arial" w:asciiTheme="minorHAnsi" w:hAnsiTheme="minorHAnsi"/>
                <w:sz w:val="20"/>
              </w:rPr>
              <w:t>; 250 mg/5 mL ampoule</w:t>
            </w:r>
          </w:p>
          <w:p w:rsidRPr="00135FC6" w:rsidR="006360E1" w:rsidP="00131848" w:rsidRDefault="006360E1" w14:paraId="33584247" w14:textId="77777777">
            <w:pPr>
              <w:pStyle w:val="BodyText"/>
              <w:ind w:left="34"/>
              <w:rPr>
                <w:rFonts w:cs="Arial" w:asciiTheme="minorHAnsi" w:hAnsiTheme="minorHAnsi"/>
                <w:sz w:val="20"/>
              </w:rPr>
            </w:pPr>
            <w:r w:rsidRPr="00135FC6">
              <w:rPr>
                <w:rFonts w:cs="Arial" w:asciiTheme="minorHAnsi" w:hAnsiTheme="minorHAnsi"/>
                <w:sz w:val="20"/>
              </w:rPr>
              <w:t>30</w:t>
            </w:r>
            <w:r>
              <w:rPr>
                <w:rFonts w:cs="Arial" w:asciiTheme="minorHAnsi" w:hAnsiTheme="minorHAnsi"/>
                <w:sz w:val="20"/>
              </w:rPr>
              <w:t xml:space="preserve"> </w:t>
            </w:r>
            <w:r w:rsidRPr="00135FC6">
              <w:rPr>
                <w:rFonts w:cs="Arial" w:asciiTheme="minorHAnsi" w:hAnsiTheme="minorHAnsi"/>
                <w:sz w:val="20"/>
              </w:rPr>
              <w:t>mg/5</w:t>
            </w:r>
            <w:r>
              <w:rPr>
                <w:rFonts w:cs="Arial" w:asciiTheme="minorHAnsi" w:hAnsiTheme="minorHAnsi"/>
                <w:sz w:val="20"/>
              </w:rPr>
              <w:t xml:space="preserve"> </w:t>
            </w:r>
            <w:r w:rsidRPr="00135FC6">
              <w:rPr>
                <w:rFonts w:cs="Arial" w:asciiTheme="minorHAnsi" w:hAnsiTheme="minorHAnsi"/>
                <w:sz w:val="20"/>
              </w:rPr>
              <w:t>mL oral suspension</w:t>
            </w:r>
          </w:p>
        </w:tc>
      </w:tr>
      <w:tr w:rsidRPr="000E2236" w:rsidR="006360E1" w:rsidTr="006360E1" w14:paraId="4AA6F62C" w14:textId="77777777">
        <w:trPr>
          <w:trHeight w:val="70"/>
        </w:trPr>
        <w:tc>
          <w:tcPr>
            <w:tcW w:w="1730" w:type="dxa"/>
          </w:tcPr>
          <w:p w:rsidRPr="00B53E9B" w:rsidR="006360E1" w:rsidP="00131848" w:rsidRDefault="006360E1" w14:paraId="227B7EFB" w14:textId="77777777">
            <w:pPr>
              <w:pStyle w:val="BodyText"/>
              <w:rPr>
                <w:rFonts w:cs="Arial"/>
                <w:b/>
                <w:bCs/>
                <w:sz w:val="20"/>
              </w:rPr>
            </w:pPr>
            <w:r>
              <w:rPr>
                <w:rFonts w:cs="Arial"/>
                <w:b/>
                <w:bCs/>
                <w:sz w:val="20"/>
              </w:rPr>
              <w:t>Dose</w:t>
            </w:r>
            <w:r w:rsidRPr="00B53E9B">
              <w:rPr>
                <w:rFonts w:cs="Arial"/>
                <w:b/>
                <w:bCs/>
                <w:sz w:val="20"/>
              </w:rPr>
              <w:t xml:space="preserve"> </w:t>
            </w:r>
          </w:p>
        </w:tc>
        <w:tc>
          <w:tcPr>
            <w:tcW w:w="7513" w:type="dxa"/>
          </w:tcPr>
          <w:p w:rsidR="006360E1" w:rsidP="00131848" w:rsidRDefault="006360E1" w14:paraId="76C319CE" w14:textId="77777777">
            <w:pPr>
              <w:pStyle w:val="BodyText"/>
              <w:rPr>
                <w:b/>
                <w:sz w:val="20"/>
              </w:rPr>
            </w:pPr>
            <w:r>
              <w:rPr>
                <w:b/>
                <w:sz w:val="20"/>
              </w:rPr>
              <w:t xml:space="preserve">IV or Oral </w:t>
            </w:r>
            <w:r w:rsidRPr="00F74E63">
              <w:rPr>
                <w:sz w:val="20"/>
              </w:rPr>
              <w:t>(1-6)</w:t>
            </w:r>
          </w:p>
          <w:p w:rsidRPr="001E5EDE" w:rsidR="006360E1" w:rsidP="00131848" w:rsidRDefault="006360E1" w14:paraId="35C1DDA3" w14:textId="77777777">
            <w:pPr>
              <w:pStyle w:val="BodyText"/>
              <w:rPr>
                <w:b/>
                <w:sz w:val="20"/>
              </w:rPr>
            </w:pPr>
            <w:r w:rsidRPr="001E5EDE">
              <w:rPr>
                <w:b/>
                <w:sz w:val="20"/>
              </w:rPr>
              <w:t>IV</w:t>
            </w:r>
          </w:p>
          <w:p w:rsidR="006360E1" w:rsidP="00131848" w:rsidRDefault="006360E1" w14:paraId="69607BF9" w14:textId="77777777">
            <w:pPr>
              <w:ind w:left="431"/>
              <w:rPr>
                <w:rFonts w:asciiTheme="minorHAnsi" w:hAnsiTheme="minorHAnsi"/>
                <w:sz w:val="20"/>
              </w:rPr>
            </w:pPr>
            <w:r w:rsidRPr="00663144">
              <w:rPr>
                <w:rFonts w:asciiTheme="minorHAnsi" w:hAnsiTheme="minorHAnsi"/>
                <w:b/>
                <w:sz w:val="20"/>
              </w:rPr>
              <w:t>Loading dose:</w:t>
            </w:r>
            <w:r w:rsidRPr="00135FC6">
              <w:rPr>
                <w:rFonts w:asciiTheme="minorHAnsi" w:hAnsiTheme="minorHAnsi"/>
                <w:sz w:val="20"/>
              </w:rPr>
              <w:t xml:space="preserve"> 20 mg/kg </w:t>
            </w:r>
          </w:p>
          <w:p w:rsidR="006360E1" w:rsidP="00131848" w:rsidRDefault="006360E1" w14:paraId="3580DD6B" w14:textId="77777777">
            <w:pPr>
              <w:ind w:left="431"/>
              <w:rPr>
                <w:rFonts w:asciiTheme="minorHAnsi" w:hAnsiTheme="minorHAnsi"/>
                <w:sz w:val="20"/>
              </w:rPr>
            </w:pPr>
          </w:p>
          <w:p w:rsidRPr="002861D1" w:rsidR="006360E1" w:rsidP="00131848" w:rsidRDefault="006360E1" w14:paraId="2BBB232B" w14:textId="77777777">
            <w:pPr>
              <w:ind w:left="431"/>
              <w:rPr>
                <w:rFonts w:asciiTheme="minorHAnsi" w:hAnsiTheme="minorHAnsi"/>
                <w:sz w:val="20"/>
              </w:rPr>
            </w:pPr>
            <w:r w:rsidRPr="00663144">
              <w:rPr>
                <w:rFonts w:asciiTheme="minorHAnsi" w:hAnsiTheme="minorHAnsi"/>
                <w:b/>
                <w:sz w:val="20"/>
              </w:rPr>
              <w:t>Maintenance dose</w:t>
            </w:r>
            <w:r w:rsidRPr="00135FC6">
              <w:rPr>
                <w:rFonts w:asciiTheme="minorHAnsi" w:hAnsiTheme="minorHAnsi"/>
                <w:sz w:val="20"/>
              </w:rPr>
              <w:t xml:space="preserve">: </w:t>
            </w:r>
            <w:r w:rsidRPr="005F2540">
              <w:rPr>
                <w:rFonts w:asciiTheme="minorHAnsi" w:hAnsiTheme="minorHAnsi"/>
                <w:sz w:val="20"/>
              </w:rPr>
              <w:t>Star</w:t>
            </w:r>
            <w:r>
              <w:rPr>
                <w:rFonts w:asciiTheme="minorHAnsi" w:hAnsiTheme="minorHAnsi"/>
                <w:sz w:val="20"/>
              </w:rPr>
              <w:t>t</w:t>
            </w:r>
            <w:r w:rsidRPr="005F2540">
              <w:rPr>
                <w:rFonts w:asciiTheme="minorHAnsi" w:hAnsiTheme="minorHAnsi"/>
                <w:sz w:val="20"/>
              </w:rPr>
              <w:t xml:space="preserve"> 12 hours after loading dose.</w:t>
            </w:r>
          </w:p>
          <w:p w:rsidR="006360E1" w:rsidP="00131848" w:rsidRDefault="006360E1" w14:paraId="45410588" w14:textId="77777777">
            <w:pPr>
              <w:ind w:left="431"/>
              <w:rPr>
                <w:rFonts w:asciiTheme="minorHAnsi" w:hAnsiTheme="minorHAnsi"/>
                <w:sz w:val="20"/>
              </w:rPr>
            </w:pPr>
            <w:r w:rsidRPr="001E5EDE">
              <w:rPr>
                <w:rFonts w:asciiTheme="minorHAnsi" w:hAnsiTheme="minorHAnsi"/>
                <w:i/>
                <w:sz w:val="20"/>
              </w:rPr>
              <w:t>First 7 days of life</w:t>
            </w:r>
            <w:r>
              <w:rPr>
                <w:rFonts w:asciiTheme="minorHAnsi" w:hAnsiTheme="minorHAnsi"/>
                <w:sz w:val="20"/>
              </w:rPr>
              <w:t>:</w:t>
            </w:r>
          </w:p>
          <w:p w:rsidRPr="000E2471" w:rsidR="006360E1" w:rsidP="00131848" w:rsidRDefault="006360E1" w14:paraId="6A7E153C" w14:textId="77777777">
            <w:pPr>
              <w:ind w:left="431"/>
              <w:rPr>
                <w:rFonts w:asciiTheme="minorHAnsi" w:hAnsiTheme="minorHAnsi"/>
                <w:sz w:val="20"/>
              </w:rPr>
            </w:pPr>
            <w:r w:rsidRPr="000E2471">
              <w:rPr>
                <w:rFonts w:asciiTheme="minorHAnsi" w:hAnsiTheme="minorHAnsi"/>
                <w:sz w:val="20"/>
              </w:rPr>
              <w:t>Term infants: 2.5 mg/kg/dose every 12 hours (range 4</w:t>
            </w:r>
            <w:r>
              <w:rPr>
                <w:rFonts w:asciiTheme="minorHAnsi" w:hAnsiTheme="minorHAnsi"/>
                <w:sz w:val="20"/>
              </w:rPr>
              <w:t>–</w:t>
            </w:r>
            <w:r w:rsidRPr="000E2471">
              <w:rPr>
                <w:rFonts w:asciiTheme="minorHAnsi" w:hAnsiTheme="minorHAnsi"/>
                <w:sz w:val="20"/>
              </w:rPr>
              <w:t>8 mg/kg/day)</w:t>
            </w:r>
          </w:p>
          <w:p w:rsidRPr="000E2471" w:rsidR="006360E1" w:rsidP="00131848" w:rsidRDefault="006360E1" w14:paraId="02018F0B" w14:textId="77777777">
            <w:pPr>
              <w:ind w:left="431"/>
              <w:rPr>
                <w:rFonts w:asciiTheme="minorHAnsi" w:hAnsiTheme="minorHAnsi"/>
                <w:sz w:val="20"/>
              </w:rPr>
            </w:pPr>
            <w:r w:rsidRPr="000E2471">
              <w:rPr>
                <w:rFonts w:asciiTheme="minorHAnsi" w:hAnsiTheme="minorHAnsi"/>
                <w:sz w:val="20"/>
              </w:rPr>
              <w:t>Preterm infants: 2.5 mg/kg/dose every 24 hours</w:t>
            </w:r>
            <w:r>
              <w:rPr>
                <w:rFonts w:asciiTheme="minorHAnsi" w:hAnsiTheme="minorHAnsi"/>
                <w:sz w:val="20"/>
              </w:rPr>
              <w:t>. Titrate as per serum concentrations.</w:t>
            </w:r>
          </w:p>
          <w:p w:rsidR="006360E1" w:rsidP="00131848" w:rsidRDefault="006360E1" w14:paraId="10D95039" w14:textId="77777777">
            <w:pPr>
              <w:ind w:left="431"/>
              <w:rPr>
                <w:rFonts w:asciiTheme="minorHAnsi" w:hAnsiTheme="minorHAnsi"/>
                <w:sz w:val="20"/>
              </w:rPr>
            </w:pPr>
          </w:p>
          <w:p w:rsidR="006360E1" w:rsidP="00131848" w:rsidRDefault="006360E1" w14:paraId="7BE74929" w14:textId="77777777">
            <w:pPr>
              <w:ind w:left="431"/>
              <w:rPr>
                <w:rFonts w:asciiTheme="minorHAnsi" w:hAnsiTheme="minorHAnsi"/>
                <w:sz w:val="20"/>
              </w:rPr>
            </w:pPr>
            <w:r w:rsidRPr="001E5EDE">
              <w:rPr>
                <w:rFonts w:asciiTheme="minorHAnsi" w:hAnsiTheme="minorHAnsi"/>
                <w:i/>
                <w:sz w:val="20"/>
              </w:rPr>
              <w:t>8–30 days</w:t>
            </w:r>
            <w:r>
              <w:rPr>
                <w:rFonts w:asciiTheme="minorHAnsi" w:hAnsiTheme="minorHAnsi"/>
                <w:sz w:val="20"/>
              </w:rPr>
              <w:t>:</w:t>
            </w:r>
          </w:p>
          <w:p w:rsidR="006360E1" w:rsidP="00131848" w:rsidRDefault="006360E1" w14:paraId="72EEB269" w14:textId="77777777">
            <w:pPr>
              <w:ind w:left="431"/>
              <w:rPr>
                <w:rFonts w:asciiTheme="minorHAnsi" w:hAnsiTheme="minorHAnsi"/>
                <w:sz w:val="20"/>
              </w:rPr>
            </w:pPr>
            <w:r>
              <w:rPr>
                <w:rFonts w:asciiTheme="minorHAnsi" w:hAnsiTheme="minorHAnsi"/>
                <w:sz w:val="20"/>
              </w:rPr>
              <w:t>Term infants: 2.5 mg/kg/dose every 8 hours (range 4–8 mg/kg/day)</w:t>
            </w:r>
          </w:p>
          <w:p w:rsidR="006360E1" w:rsidP="00131848" w:rsidRDefault="006360E1" w14:paraId="4A3F648C" w14:textId="77777777">
            <w:pPr>
              <w:ind w:left="431"/>
              <w:rPr>
                <w:rFonts w:asciiTheme="minorHAnsi" w:hAnsiTheme="minorHAnsi"/>
                <w:sz w:val="20"/>
              </w:rPr>
            </w:pPr>
            <w:r>
              <w:rPr>
                <w:rFonts w:asciiTheme="minorHAnsi" w:hAnsiTheme="minorHAnsi"/>
                <w:sz w:val="20"/>
              </w:rPr>
              <w:t>Preterm infants: 2.5 mg/kg/dose every 12 hours. Titrate as per serum concentrations.</w:t>
            </w:r>
          </w:p>
          <w:p w:rsidR="006360E1" w:rsidP="00131848" w:rsidRDefault="006360E1" w14:paraId="7D01392E" w14:textId="77777777">
            <w:pPr>
              <w:ind w:left="431"/>
              <w:rPr>
                <w:rFonts w:asciiTheme="minorHAnsi" w:hAnsiTheme="minorHAnsi"/>
                <w:sz w:val="20"/>
              </w:rPr>
            </w:pPr>
          </w:p>
          <w:p w:rsidR="006360E1" w:rsidP="00131848" w:rsidRDefault="006360E1" w14:paraId="32FB9040" w14:textId="77777777">
            <w:pPr>
              <w:ind w:left="431"/>
              <w:rPr>
                <w:rFonts w:asciiTheme="minorHAnsi" w:hAnsiTheme="minorHAnsi"/>
                <w:sz w:val="20"/>
              </w:rPr>
            </w:pPr>
            <w:r w:rsidRPr="001E5EDE">
              <w:rPr>
                <w:rFonts w:asciiTheme="minorHAnsi" w:hAnsiTheme="minorHAnsi"/>
                <w:i/>
                <w:sz w:val="20"/>
              </w:rPr>
              <w:t>Beyond 30 days</w:t>
            </w:r>
            <w:r>
              <w:rPr>
                <w:rFonts w:asciiTheme="minorHAnsi" w:hAnsiTheme="minorHAnsi"/>
                <w:sz w:val="20"/>
              </w:rPr>
              <w:t>:</w:t>
            </w:r>
          </w:p>
          <w:p w:rsidR="006360E1" w:rsidP="00131848" w:rsidRDefault="006360E1" w14:paraId="77D9A882" w14:textId="77777777">
            <w:pPr>
              <w:ind w:left="431"/>
              <w:rPr>
                <w:rFonts w:asciiTheme="minorHAnsi" w:hAnsiTheme="minorHAnsi"/>
                <w:sz w:val="20"/>
              </w:rPr>
            </w:pPr>
            <w:r>
              <w:rPr>
                <w:rFonts w:asciiTheme="minorHAnsi" w:hAnsiTheme="minorHAnsi"/>
                <w:sz w:val="20"/>
              </w:rPr>
              <w:t>Term infants: 2.5 mg/kg/dose every 6 hours</w:t>
            </w:r>
          </w:p>
          <w:p w:rsidR="006360E1" w:rsidP="00131848" w:rsidRDefault="006360E1" w14:paraId="74228B71" w14:textId="77777777">
            <w:pPr>
              <w:ind w:left="431"/>
              <w:rPr>
                <w:rFonts w:asciiTheme="minorHAnsi" w:hAnsiTheme="minorHAnsi"/>
                <w:sz w:val="20"/>
              </w:rPr>
            </w:pPr>
            <w:r>
              <w:rPr>
                <w:rFonts w:asciiTheme="minorHAnsi" w:hAnsiTheme="minorHAnsi"/>
                <w:sz w:val="20"/>
              </w:rPr>
              <w:t>Preterm infants: 2.5 mg/kg/dose every 8 hours. Titrate as per serum concentrations.</w:t>
            </w:r>
          </w:p>
          <w:p w:rsidRPr="001E5EDE" w:rsidR="006360E1" w:rsidP="00131848" w:rsidRDefault="006360E1" w14:paraId="6C4C76F1" w14:textId="77777777">
            <w:pPr>
              <w:pStyle w:val="BodyText"/>
              <w:rPr>
                <w:b/>
                <w:sz w:val="20"/>
              </w:rPr>
            </w:pPr>
            <w:r w:rsidRPr="001E5EDE">
              <w:rPr>
                <w:b/>
                <w:sz w:val="20"/>
              </w:rPr>
              <w:t>Oral</w:t>
            </w:r>
          </w:p>
          <w:p w:rsidRPr="00026F20" w:rsidR="006360E1" w:rsidP="00131848" w:rsidRDefault="006360E1" w14:paraId="4C7BF65C" w14:textId="77777777">
            <w:pPr>
              <w:pStyle w:val="BodyText"/>
              <w:ind w:left="431"/>
              <w:rPr>
                <w:sz w:val="20"/>
              </w:rPr>
            </w:pPr>
            <w:r w:rsidRPr="001E5EDE">
              <w:rPr>
                <w:rFonts w:asciiTheme="minorHAnsi" w:hAnsiTheme="minorHAnsi"/>
                <w:b/>
                <w:sz w:val="20"/>
              </w:rPr>
              <w:t>Maintenance</w:t>
            </w:r>
            <w:r>
              <w:rPr>
                <w:rFonts w:asciiTheme="minorHAnsi" w:hAnsiTheme="minorHAnsi"/>
                <w:sz w:val="20"/>
              </w:rPr>
              <w:t>: start same as for IV maintenance. Average oral bioavailability 75%. Monitor concentrations and adjust dose accordingly.</w:t>
            </w:r>
          </w:p>
        </w:tc>
      </w:tr>
      <w:tr w:rsidRPr="003A7895" w:rsidR="006360E1" w:rsidTr="006360E1" w14:paraId="6EFB3608" w14:textId="77777777">
        <w:trPr>
          <w:trHeight w:val="407"/>
        </w:trPr>
        <w:tc>
          <w:tcPr>
            <w:tcW w:w="1730" w:type="dxa"/>
          </w:tcPr>
          <w:p w:rsidRPr="00B53E9B" w:rsidR="006360E1" w:rsidP="00131848" w:rsidRDefault="006360E1" w14:paraId="023ECC28" w14:textId="77777777">
            <w:pPr>
              <w:pStyle w:val="BodyText"/>
              <w:rPr>
                <w:b/>
                <w:sz w:val="20"/>
              </w:rPr>
            </w:pPr>
            <w:r w:rsidRPr="00B53E9B">
              <w:rPr>
                <w:b/>
                <w:sz w:val="20"/>
              </w:rPr>
              <w:t>Dose adjustment</w:t>
            </w:r>
          </w:p>
          <w:p w:rsidRPr="00B53E9B" w:rsidR="006360E1" w:rsidP="00131848" w:rsidRDefault="006360E1" w14:paraId="3E2AC9A9" w14:textId="77777777">
            <w:pPr>
              <w:pStyle w:val="BodyText"/>
              <w:rPr>
                <w:b/>
                <w:sz w:val="20"/>
              </w:rPr>
            </w:pPr>
          </w:p>
        </w:tc>
        <w:tc>
          <w:tcPr>
            <w:tcW w:w="7513" w:type="dxa"/>
          </w:tcPr>
          <w:p w:rsidR="006360E1" w:rsidP="00131848" w:rsidRDefault="006360E1" w14:paraId="0A873BE8" w14:textId="77777777">
            <w:pPr>
              <w:pStyle w:val="BodyText"/>
              <w:rPr>
                <w:sz w:val="20"/>
              </w:rPr>
            </w:pPr>
            <w:r>
              <w:rPr>
                <w:sz w:val="20"/>
              </w:rPr>
              <w:t xml:space="preserve">Therapeutic hypothermia: Check serum concentration at 24 hours after loading and on day 4 and 7 if therapy continued.(7) </w:t>
            </w:r>
          </w:p>
          <w:p w:rsidR="006360E1" w:rsidP="00131848" w:rsidRDefault="006360E1" w14:paraId="0111DFCB" w14:textId="77777777">
            <w:pPr>
              <w:pStyle w:val="BodyText"/>
              <w:rPr>
                <w:sz w:val="20"/>
                <w:vertAlign w:val="superscript"/>
              </w:rPr>
            </w:pPr>
            <w:r>
              <w:rPr>
                <w:sz w:val="20"/>
              </w:rPr>
              <w:t>ECMO: Larger doses may be needed to achieve comparable serum concentration.(8)</w:t>
            </w:r>
          </w:p>
          <w:p w:rsidR="006360E1" w:rsidP="00131848" w:rsidRDefault="006360E1" w14:paraId="25C31E2D" w14:textId="77777777">
            <w:pPr>
              <w:pStyle w:val="BodyText"/>
              <w:rPr>
                <w:sz w:val="20"/>
              </w:rPr>
            </w:pPr>
            <w:r>
              <w:rPr>
                <w:sz w:val="20"/>
              </w:rPr>
              <w:t xml:space="preserve">Renal impairment: </w:t>
            </w:r>
            <w:r w:rsidRPr="00320090">
              <w:rPr>
                <w:sz w:val="20"/>
              </w:rPr>
              <w:t>Insufficient information to recommend any specific dose adjustment</w:t>
            </w:r>
            <w:r>
              <w:rPr>
                <w:sz w:val="20"/>
              </w:rPr>
              <w:t>.</w:t>
            </w:r>
          </w:p>
          <w:p w:rsidRPr="0093583A" w:rsidR="006360E1" w:rsidP="00131848" w:rsidRDefault="006360E1" w14:paraId="49697D5D" w14:textId="77777777">
            <w:pPr>
              <w:pStyle w:val="BodyText"/>
              <w:rPr>
                <w:sz w:val="20"/>
              </w:rPr>
            </w:pPr>
            <w:r>
              <w:rPr>
                <w:sz w:val="20"/>
              </w:rPr>
              <w:t xml:space="preserve">Hepatic impairment: Dosage escalation should be gradual.  </w:t>
            </w:r>
          </w:p>
        </w:tc>
      </w:tr>
      <w:tr w:rsidRPr="003A7895" w:rsidR="006360E1" w:rsidTr="006360E1" w14:paraId="07BB6EA4" w14:textId="77777777">
        <w:trPr>
          <w:trHeight w:val="113"/>
        </w:trPr>
        <w:tc>
          <w:tcPr>
            <w:tcW w:w="1730" w:type="dxa"/>
          </w:tcPr>
          <w:p w:rsidRPr="00B53E9B" w:rsidR="006360E1" w:rsidP="00131848" w:rsidRDefault="006360E1" w14:paraId="3654BFF3" w14:textId="77777777">
            <w:pPr>
              <w:pStyle w:val="BodyText"/>
              <w:rPr>
                <w:b/>
                <w:sz w:val="20"/>
              </w:rPr>
            </w:pPr>
            <w:r w:rsidRPr="00B53E9B">
              <w:rPr>
                <w:b/>
                <w:sz w:val="20"/>
              </w:rPr>
              <w:t>Maximum dose</w:t>
            </w:r>
          </w:p>
        </w:tc>
        <w:tc>
          <w:tcPr>
            <w:tcW w:w="7513" w:type="dxa"/>
          </w:tcPr>
          <w:p w:rsidRPr="00026F20" w:rsidR="006360E1" w:rsidP="00131848" w:rsidRDefault="006360E1" w14:paraId="6C54AE9B" w14:textId="77777777">
            <w:pPr>
              <w:pStyle w:val="BodyText"/>
              <w:rPr>
                <w:sz w:val="20"/>
              </w:rPr>
            </w:pPr>
          </w:p>
        </w:tc>
      </w:tr>
      <w:tr w:rsidRPr="003A7895" w:rsidR="006360E1" w:rsidTr="006360E1" w14:paraId="56CEC4DF" w14:textId="77777777">
        <w:trPr>
          <w:trHeight w:val="144"/>
        </w:trPr>
        <w:tc>
          <w:tcPr>
            <w:tcW w:w="1730" w:type="dxa"/>
          </w:tcPr>
          <w:p w:rsidRPr="00B53E9B" w:rsidR="006360E1" w:rsidP="00131848" w:rsidRDefault="006360E1" w14:paraId="3C9046A5" w14:textId="77777777">
            <w:pPr>
              <w:pStyle w:val="BodyText"/>
              <w:rPr>
                <w:rFonts w:cs="Arial"/>
                <w:b/>
                <w:bCs/>
                <w:sz w:val="20"/>
              </w:rPr>
            </w:pPr>
            <w:r w:rsidRPr="00B53E9B">
              <w:rPr>
                <w:b/>
                <w:sz w:val="20"/>
              </w:rPr>
              <w:t>Total cumulative dose</w:t>
            </w:r>
          </w:p>
        </w:tc>
        <w:tc>
          <w:tcPr>
            <w:tcW w:w="7513" w:type="dxa"/>
          </w:tcPr>
          <w:p w:rsidRPr="00026F20" w:rsidR="006360E1" w:rsidP="00131848" w:rsidRDefault="006360E1" w14:paraId="05F30335" w14:textId="77777777">
            <w:pPr>
              <w:pStyle w:val="BodyText"/>
              <w:rPr>
                <w:rFonts w:cs="Arial"/>
                <w:b/>
                <w:sz w:val="20"/>
              </w:rPr>
            </w:pPr>
          </w:p>
        </w:tc>
      </w:tr>
      <w:tr w:rsidRPr="003A7895" w:rsidR="006360E1" w:rsidTr="006360E1" w14:paraId="1C6036FE" w14:textId="77777777">
        <w:trPr>
          <w:trHeight w:val="294"/>
        </w:trPr>
        <w:tc>
          <w:tcPr>
            <w:tcW w:w="1730" w:type="dxa"/>
          </w:tcPr>
          <w:p w:rsidRPr="00B53E9B" w:rsidR="006360E1" w:rsidP="00131848" w:rsidRDefault="006360E1" w14:paraId="556376D4" w14:textId="77777777">
            <w:pPr>
              <w:pStyle w:val="BodyText"/>
              <w:rPr>
                <w:rFonts w:cs="Arial"/>
                <w:sz w:val="20"/>
              </w:rPr>
            </w:pPr>
            <w:r w:rsidRPr="00B53E9B">
              <w:rPr>
                <w:rFonts w:cs="Arial"/>
                <w:b/>
                <w:bCs/>
                <w:sz w:val="20"/>
              </w:rPr>
              <w:t xml:space="preserve">Route </w:t>
            </w:r>
          </w:p>
        </w:tc>
        <w:tc>
          <w:tcPr>
            <w:tcW w:w="7513" w:type="dxa"/>
          </w:tcPr>
          <w:p w:rsidRPr="00026F20" w:rsidR="006360E1" w:rsidP="00131848" w:rsidRDefault="006360E1" w14:paraId="63D2785B" w14:textId="77777777">
            <w:pPr>
              <w:pStyle w:val="BodyText"/>
              <w:rPr>
                <w:rFonts w:cs="Arial"/>
                <w:sz w:val="20"/>
              </w:rPr>
            </w:pPr>
            <w:r w:rsidRPr="00BF46DC">
              <w:rPr>
                <w:rFonts w:cs="Arial"/>
                <w:sz w:val="20"/>
              </w:rPr>
              <w:t>IV</w:t>
            </w:r>
            <w:r>
              <w:rPr>
                <w:rFonts w:cs="Arial"/>
                <w:sz w:val="20"/>
              </w:rPr>
              <w:t>,</w:t>
            </w:r>
            <w:r w:rsidRPr="00BF46DC">
              <w:rPr>
                <w:rFonts w:cs="Arial"/>
                <w:sz w:val="20"/>
              </w:rPr>
              <w:t xml:space="preserve"> Oral</w:t>
            </w:r>
          </w:p>
        </w:tc>
      </w:tr>
      <w:tr w:rsidRPr="003A7895" w:rsidR="006360E1" w:rsidTr="006360E1" w14:paraId="79BD205D" w14:textId="77777777">
        <w:trPr>
          <w:trHeight w:val="93"/>
        </w:trPr>
        <w:tc>
          <w:tcPr>
            <w:tcW w:w="1730" w:type="dxa"/>
          </w:tcPr>
          <w:p w:rsidRPr="00B53E9B" w:rsidR="006360E1" w:rsidP="00131848" w:rsidRDefault="006360E1" w14:paraId="322A7262"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13" w:type="dxa"/>
          </w:tcPr>
          <w:p w:rsidRPr="00BF46DC" w:rsidR="006360E1" w:rsidP="00131848" w:rsidRDefault="006360E1" w14:paraId="2172F7B7" w14:textId="77777777">
            <w:pPr>
              <w:pStyle w:val="BodyText"/>
              <w:rPr>
                <w:rFonts w:cs="Arial"/>
                <w:sz w:val="20"/>
              </w:rPr>
            </w:pPr>
            <w:r w:rsidRPr="00BF46DC">
              <w:rPr>
                <w:rFonts w:cs="Arial"/>
                <w:sz w:val="20"/>
              </w:rPr>
              <w:t xml:space="preserve">IV: Draw up </w:t>
            </w:r>
            <w:r>
              <w:rPr>
                <w:rFonts w:cs="Arial"/>
                <w:sz w:val="20"/>
              </w:rPr>
              <w:t>2</w:t>
            </w:r>
            <w:r w:rsidRPr="00BF46DC">
              <w:rPr>
                <w:rFonts w:cs="Arial"/>
                <w:sz w:val="20"/>
              </w:rPr>
              <w:t xml:space="preserve"> mL (</w:t>
            </w:r>
            <w:r>
              <w:rPr>
                <w:rFonts w:cs="Arial"/>
                <w:sz w:val="20"/>
              </w:rPr>
              <w:t>10</w:t>
            </w:r>
            <w:r w:rsidRPr="00BF46DC">
              <w:rPr>
                <w:rFonts w:cs="Arial"/>
                <w:sz w:val="20"/>
              </w:rPr>
              <w:t>0 mg</w:t>
            </w:r>
            <w:r>
              <w:rPr>
                <w:rFonts w:cs="Arial"/>
                <w:sz w:val="20"/>
              </w:rPr>
              <w:t xml:space="preserve"> of phenytoin</w:t>
            </w:r>
            <w:r w:rsidRPr="00BF46DC">
              <w:rPr>
                <w:rFonts w:cs="Arial"/>
                <w:sz w:val="20"/>
              </w:rPr>
              <w:t xml:space="preserve">) and add </w:t>
            </w:r>
            <w:r>
              <w:rPr>
                <w:rFonts w:cs="Arial"/>
                <w:sz w:val="20"/>
              </w:rPr>
              <w:t>18</w:t>
            </w:r>
            <w:r w:rsidRPr="00BF46DC">
              <w:rPr>
                <w:rFonts w:cs="Arial"/>
                <w:sz w:val="20"/>
              </w:rPr>
              <w:t xml:space="preserve"> mL sodium chloride 0.9% to make final volume of </w:t>
            </w:r>
            <w:r>
              <w:rPr>
                <w:rFonts w:cs="Arial"/>
                <w:sz w:val="20"/>
              </w:rPr>
              <w:t>2</w:t>
            </w:r>
            <w:r w:rsidRPr="00BF46DC">
              <w:rPr>
                <w:rFonts w:cs="Arial"/>
                <w:sz w:val="20"/>
              </w:rPr>
              <w:t>0 mL with a</w:t>
            </w:r>
            <w:r>
              <w:rPr>
                <w:rFonts w:cs="Arial"/>
                <w:sz w:val="20"/>
              </w:rPr>
              <w:t xml:space="preserve"> final</w:t>
            </w:r>
            <w:r w:rsidRPr="00BF46DC">
              <w:rPr>
                <w:rFonts w:cs="Arial"/>
                <w:sz w:val="20"/>
              </w:rPr>
              <w:t xml:space="preserve"> concentration of 5 mg/mL. Administer through filter immediately after dilution. Do NOT use if solution becomes cloudy or hazy.</w:t>
            </w:r>
          </w:p>
          <w:p w:rsidRPr="00BF46DC" w:rsidR="006360E1" w:rsidP="00131848" w:rsidRDefault="006360E1" w14:paraId="5295E05A" w14:textId="77777777">
            <w:pPr>
              <w:pStyle w:val="BodyText"/>
              <w:rPr>
                <w:rFonts w:cs="Arial"/>
                <w:sz w:val="20"/>
              </w:rPr>
            </w:pPr>
          </w:p>
          <w:p w:rsidRPr="00026F20" w:rsidR="006360E1" w:rsidP="00131848" w:rsidRDefault="006360E1" w14:paraId="5ACCB15D" w14:textId="77777777">
            <w:pPr>
              <w:pStyle w:val="BodyText"/>
              <w:rPr>
                <w:rFonts w:cs="Arial"/>
                <w:sz w:val="20"/>
              </w:rPr>
            </w:pPr>
            <w:r w:rsidRPr="00BF46DC">
              <w:rPr>
                <w:rFonts w:cs="Arial"/>
                <w:sz w:val="20"/>
              </w:rPr>
              <w:lastRenderedPageBreak/>
              <w:t>Oral: Shake bottle well prior to measuring dose</w:t>
            </w:r>
            <w:r>
              <w:rPr>
                <w:rFonts w:cs="Arial"/>
                <w:sz w:val="20"/>
              </w:rPr>
              <w:t>.</w:t>
            </w:r>
          </w:p>
        </w:tc>
      </w:tr>
      <w:tr w:rsidRPr="003A7895" w:rsidR="006360E1" w:rsidTr="006360E1" w14:paraId="32B560F8" w14:textId="77777777">
        <w:trPr>
          <w:trHeight w:val="224"/>
        </w:trPr>
        <w:tc>
          <w:tcPr>
            <w:tcW w:w="1730" w:type="dxa"/>
          </w:tcPr>
          <w:p w:rsidRPr="00B53E9B" w:rsidR="006360E1" w:rsidP="00131848" w:rsidRDefault="006360E1" w14:paraId="678F78FB" w14:textId="77777777">
            <w:pPr>
              <w:pStyle w:val="BodyText"/>
              <w:rPr>
                <w:rFonts w:cs="Arial"/>
                <w:b/>
                <w:bCs/>
                <w:sz w:val="20"/>
              </w:rPr>
            </w:pPr>
            <w:r w:rsidRPr="00B53E9B">
              <w:rPr>
                <w:rFonts w:cs="Arial"/>
                <w:b/>
                <w:bCs/>
                <w:sz w:val="20"/>
              </w:rPr>
              <w:lastRenderedPageBreak/>
              <w:t xml:space="preserve">Administration </w:t>
            </w:r>
          </w:p>
        </w:tc>
        <w:tc>
          <w:tcPr>
            <w:tcW w:w="7513" w:type="dxa"/>
            <w:vAlign w:val="center"/>
          </w:tcPr>
          <w:p w:rsidRPr="00BF46DC" w:rsidR="006360E1" w:rsidP="00131848" w:rsidRDefault="006360E1" w14:paraId="0621364A" w14:textId="77777777">
            <w:pPr>
              <w:pStyle w:val="BodyText"/>
              <w:rPr>
                <w:rFonts w:cs="Arial"/>
                <w:sz w:val="20"/>
              </w:rPr>
            </w:pPr>
            <w:r w:rsidRPr="00BF46DC">
              <w:rPr>
                <w:rFonts w:cs="Arial"/>
                <w:sz w:val="20"/>
              </w:rPr>
              <w:t>I</w:t>
            </w:r>
            <w:r>
              <w:rPr>
                <w:rFonts w:cs="Arial"/>
                <w:sz w:val="20"/>
              </w:rPr>
              <w:t>V:</w:t>
            </w:r>
            <w:r w:rsidRPr="00BF46DC">
              <w:rPr>
                <w:rFonts w:cs="Arial"/>
                <w:sz w:val="20"/>
              </w:rPr>
              <w:t xml:space="preserve"> Infuse over 30 minutes (maximum 1 mg/kg/minute) preferably via a central line or large vein (rare risk of purple glove syndrome with peripheral administration). Flush the line with sodium chloride 0.9% before and after completion of the infusion. IV Maintenance dose can be infused over 5 minutes (maximum 1 mg/kg/minute).</w:t>
            </w:r>
          </w:p>
          <w:p w:rsidRPr="00BF46DC" w:rsidR="006360E1" w:rsidP="00131848" w:rsidRDefault="006360E1" w14:paraId="432C6716" w14:textId="77777777">
            <w:pPr>
              <w:pStyle w:val="BodyText"/>
              <w:rPr>
                <w:rFonts w:cs="Arial"/>
                <w:sz w:val="20"/>
              </w:rPr>
            </w:pPr>
          </w:p>
          <w:p w:rsidRPr="00026F20" w:rsidR="006360E1" w:rsidP="00131848" w:rsidRDefault="006360E1" w14:paraId="197B854C" w14:textId="77777777">
            <w:pPr>
              <w:pStyle w:val="BodyText"/>
              <w:rPr>
                <w:rFonts w:cs="Arial"/>
                <w:sz w:val="20"/>
              </w:rPr>
            </w:pPr>
            <w:r w:rsidRPr="00BF46DC">
              <w:rPr>
                <w:rFonts w:cs="Arial"/>
                <w:sz w:val="20"/>
              </w:rPr>
              <w:t>Oral: May be given with or without feeds but administration with respect to feeds should be consistent. If possible, give apart from other medications.</w:t>
            </w:r>
          </w:p>
        </w:tc>
      </w:tr>
      <w:tr w:rsidRPr="003A7895" w:rsidR="006360E1" w:rsidTr="006360E1" w14:paraId="01340014" w14:textId="77777777">
        <w:trPr>
          <w:trHeight w:val="215"/>
        </w:trPr>
        <w:tc>
          <w:tcPr>
            <w:tcW w:w="1730" w:type="dxa"/>
          </w:tcPr>
          <w:p w:rsidRPr="00B53E9B" w:rsidR="006360E1" w:rsidP="00131848" w:rsidRDefault="006360E1" w14:paraId="7355D1F2" w14:textId="77777777">
            <w:pPr>
              <w:pStyle w:val="BodyText"/>
              <w:rPr>
                <w:rFonts w:cs="Arial"/>
                <w:b/>
                <w:bCs/>
                <w:sz w:val="20"/>
              </w:rPr>
            </w:pPr>
            <w:r w:rsidRPr="00B53E9B">
              <w:rPr>
                <w:rFonts w:cs="Arial"/>
                <w:b/>
                <w:bCs/>
                <w:sz w:val="20"/>
              </w:rPr>
              <w:t>Monitoring</w:t>
            </w:r>
          </w:p>
        </w:tc>
        <w:tc>
          <w:tcPr>
            <w:tcW w:w="7513" w:type="dxa"/>
          </w:tcPr>
          <w:p w:rsidR="006360E1" w:rsidP="00131848" w:rsidRDefault="006360E1" w14:paraId="3E643889" w14:textId="77777777">
            <w:pPr>
              <w:pStyle w:val="BodyText"/>
              <w:rPr>
                <w:rFonts w:cs="Arial" w:asciiTheme="minorHAnsi" w:hAnsiTheme="minorHAnsi"/>
                <w:sz w:val="20"/>
              </w:rPr>
            </w:pPr>
            <w:r>
              <w:rPr>
                <w:rFonts w:cs="Arial" w:asciiTheme="minorHAnsi" w:hAnsiTheme="minorHAnsi"/>
                <w:sz w:val="20"/>
              </w:rPr>
              <w:t xml:space="preserve">Blood pressure and continuous ECG during stabilisation. </w:t>
            </w:r>
          </w:p>
          <w:p w:rsidRPr="00135FC6" w:rsidR="006360E1" w:rsidP="00131848" w:rsidRDefault="006360E1" w14:paraId="25D9B0EB" w14:textId="77777777">
            <w:pPr>
              <w:pStyle w:val="BodyText"/>
              <w:rPr>
                <w:rFonts w:cs="Arial" w:asciiTheme="minorHAnsi" w:hAnsiTheme="minorHAnsi"/>
                <w:sz w:val="20"/>
              </w:rPr>
            </w:pPr>
            <w:r w:rsidRPr="00135FC6">
              <w:rPr>
                <w:rFonts w:cs="Arial" w:asciiTheme="minorHAnsi" w:hAnsiTheme="minorHAnsi"/>
                <w:sz w:val="20"/>
              </w:rPr>
              <w:t xml:space="preserve">Infusion-related reactions: hypotension, bradycardia and arrhythmias during infusion. </w:t>
            </w:r>
          </w:p>
          <w:p w:rsidRPr="00135FC6" w:rsidR="006360E1" w:rsidP="00131848" w:rsidRDefault="006360E1" w14:paraId="2B64F659" w14:textId="77777777">
            <w:pPr>
              <w:pStyle w:val="BodyText"/>
              <w:rPr>
                <w:rFonts w:cs="Arial" w:asciiTheme="minorHAnsi" w:hAnsiTheme="minorHAnsi"/>
                <w:sz w:val="20"/>
              </w:rPr>
            </w:pPr>
            <w:r>
              <w:rPr>
                <w:rFonts w:cs="Arial" w:asciiTheme="minorHAnsi" w:hAnsiTheme="minorHAnsi"/>
                <w:sz w:val="20"/>
              </w:rPr>
              <w:t>C</w:t>
            </w:r>
            <w:r w:rsidRPr="00135FC6">
              <w:rPr>
                <w:rFonts w:cs="Arial" w:asciiTheme="minorHAnsi" w:hAnsiTheme="minorHAnsi"/>
                <w:sz w:val="20"/>
              </w:rPr>
              <w:t xml:space="preserve">ontinuous cardiorespiratory monitoring, blood pressure, renal function, liver function, blood glucose, full blood count. </w:t>
            </w:r>
          </w:p>
          <w:p w:rsidRPr="00135FC6" w:rsidR="006360E1" w:rsidP="00131848" w:rsidRDefault="006360E1" w14:paraId="5B4B790A" w14:textId="77777777">
            <w:pPr>
              <w:pStyle w:val="BodyText"/>
              <w:rPr>
                <w:rFonts w:cs="Arial" w:asciiTheme="minorHAnsi" w:hAnsiTheme="minorHAnsi"/>
                <w:sz w:val="20"/>
              </w:rPr>
            </w:pPr>
            <w:r w:rsidRPr="00135FC6">
              <w:rPr>
                <w:rFonts w:cs="Arial" w:asciiTheme="minorHAnsi" w:hAnsiTheme="minorHAnsi"/>
                <w:sz w:val="20"/>
              </w:rPr>
              <w:t>Long-term therapy: Consider thyroid function tests, calcium, phosphate, 25</w:t>
            </w:r>
            <w:r>
              <w:rPr>
                <w:rFonts w:cs="Arial" w:asciiTheme="minorHAnsi" w:hAnsiTheme="minorHAnsi"/>
                <w:sz w:val="20"/>
              </w:rPr>
              <w:t>-hydroxy vitamin D</w:t>
            </w:r>
            <w:r w:rsidRPr="00135FC6">
              <w:rPr>
                <w:rFonts w:cs="Arial" w:asciiTheme="minorHAnsi" w:hAnsiTheme="minorHAnsi"/>
                <w:sz w:val="20"/>
              </w:rPr>
              <w:t xml:space="preserve"> and alkaline phosphatase. </w:t>
            </w:r>
          </w:p>
          <w:p w:rsidRPr="00135FC6" w:rsidR="006360E1" w:rsidP="00131848" w:rsidRDefault="006360E1" w14:paraId="796F641F" w14:textId="77777777">
            <w:pPr>
              <w:pStyle w:val="BodyText"/>
              <w:rPr>
                <w:rFonts w:cs="Arial" w:asciiTheme="minorHAnsi" w:hAnsiTheme="minorHAnsi"/>
                <w:sz w:val="20"/>
              </w:rPr>
            </w:pPr>
            <w:r w:rsidRPr="00135FC6">
              <w:rPr>
                <w:rFonts w:cs="Arial" w:asciiTheme="minorHAnsi" w:hAnsiTheme="minorHAnsi"/>
                <w:sz w:val="20"/>
              </w:rPr>
              <w:t xml:space="preserve">Therapeutic Drug </w:t>
            </w:r>
            <w:r>
              <w:rPr>
                <w:rFonts w:cs="Arial" w:asciiTheme="minorHAnsi" w:hAnsiTheme="minorHAnsi"/>
                <w:sz w:val="20"/>
              </w:rPr>
              <w:t xml:space="preserve">Concentration </w:t>
            </w:r>
            <w:r w:rsidRPr="00135FC6">
              <w:rPr>
                <w:rFonts w:cs="Arial" w:asciiTheme="minorHAnsi" w:hAnsiTheme="minorHAnsi"/>
                <w:sz w:val="20"/>
              </w:rPr>
              <w:t>Monitoring: Note phenytoin elimination half-life is variable and steady-state may not yet be reached (can take up to 5</w:t>
            </w:r>
            <w:r>
              <w:rPr>
                <w:rFonts w:cs="Arial" w:asciiTheme="minorHAnsi" w:hAnsiTheme="minorHAnsi"/>
                <w:sz w:val="20"/>
              </w:rPr>
              <w:t>–</w:t>
            </w:r>
            <w:r w:rsidRPr="00135FC6">
              <w:rPr>
                <w:rFonts w:cs="Arial" w:asciiTheme="minorHAnsi" w:hAnsiTheme="minorHAnsi"/>
                <w:sz w:val="20"/>
              </w:rPr>
              <w:t xml:space="preserve">10 days) in the initial serum samples. </w:t>
            </w:r>
          </w:p>
          <w:p w:rsidR="006360E1" w:rsidP="00131848" w:rsidRDefault="006360E1" w14:paraId="41610441" w14:textId="77777777">
            <w:pPr>
              <w:pStyle w:val="BodyText"/>
              <w:rPr>
                <w:rFonts w:cs="Arial" w:asciiTheme="minorHAnsi" w:hAnsiTheme="minorHAnsi"/>
                <w:sz w:val="20"/>
              </w:rPr>
            </w:pPr>
            <w:r w:rsidRPr="00135FC6">
              <w:rPr>
                <w:rFonts w:cs="Arial" w:asciiTheme="minorHAnsi" w:hAnsiTheme="minorHAnsi"/>
                <w:sz w:val="20"/>
              </w:rPr>
              <w:t xml:space="preserve">Take initial </w:t>
            </w:r>
            <w:r>
              <w:rPr>
                <w:rFonts w:cs="Arial" w:asciiTheme="minorHAnsi" w:hAnsiTheme="minorHAnsi"/>
                <w:sz w:val="20"/>
              </w:rPr>
              <w:t>concentration</w:t>
            </w:r>
            <w:r w:rsidRPr="00135FC6">
              <w:rPr>
                <w:rFonts w:cs="Arial" w:asciiTheme="minorHAnsi" w:hAnsiTheme="minorHAnsi"/>
                <w:sz w:val="20"/>
              </w:rPr>
              <w:t xml:space="preserve"> 24 hours </w:t>
            </w:r>
            <w:r>
              <w:rPr>
                <w:rFonts w:cs="Arial" w:asciiTheme="minorHAnsi" w:hAnsiTheme="minorHAnsi"/>
                <w:sz w:val="20"/>
              </w:rPr>
              <w:t>after loading dose and then weekly if continued on phenytoin therapy.</w:t>
            </w:r>
            <w:r w:rsidRPr="00135FC6">
              <w:rPr>
                <w:rFonts w:cs="Arial" w:asciiTheme="minorHAnsi" w:hAnsiTheme="minorHAnsi"/>
                <w:sz w:val="20"/>
              </w:rPr>
              <w:t xml:space="preserve"> </w:t>
            </w:r>
            <w:r>
              <w:rPr>
                <w:rFonts w:cs="Arial" w:asciiTheme="minorHAnsi" w:hAnsiTheme="minorHAnsi"/>
                <w:sz w:val="20"/>
              </w:rPr>
              <w:t>Concentrations need to be monitored more closely in very preterm or extreme low birth weight infants.</w:t>
            </w:r>
          </w:p>
          <w:p w:rsidR="006360E1" w:rsidP="00131848" w:rsidRDefault="006360E1" w14:paraId="41ED095B" w14:textId="77777777">
            <w:pPr>
              <w:pStyle w:val="BodyText"/>
              <w:rPr>
                <w:rFonts w:cs="Arial" w:asciiTheme="minorHAnsi" w:hAnsiTheme="minorHAnsi"/>
                <w:sz w:val="20"/>
              </w:rPr>
            </w:pPr>
            <w:r>
              <w:rPr>
                <w:rFonts w:cs="Arial" w:asciiTheme="minorHAnsi" w:hAnsiTheme="minorHAnsi"/>
                <w:sz w:val="20"/>
              </w:rPr>
              <w:t>Adjust the dose as per serum concentration and seizure control</w:t>
            </w:r>
            <w:r w:rsidRPr="00135FC6">
              <w:rPr>
                <w:rFonts w:cs="Arial" w:asciiTheme="minorHAnsi" w:hAnsiTheme="minorHAnsi"/>
                <w:sz w:val="20"/>
              </w:rPr>
              <w:t xml:space="preserve">. </w:t>
            </w:r>
          </w:p>
          <w:p w:rsidRPr="00135FC6" w:rsidR="006360E1" w:rsidP="00131848" w:rsidRDefault="006360E1" w14:paraId="3D8CB66F" w14:textId="77777777">
            <w:pPr>
              <w:pStyle w:val="BodyText"/>
              <w:rPr>
                <w:rFonts w:cs="Arial" w:asciiTheme="minorHAnsi" w:hAnsiTheme="minorHAnsi"/>
                <w:sz w:val="20"/>
              </w:rPr>
            </w:pPr>
            <w:r>
              <w:rPr>
                <w:rFonts w:cs="Arial" w:asciiTheme="minorHAnsi" w:hAnsiTheme="minorHAnsi"/>
                <w:sz w:val="20"/>
              </w:rPr>
              <w:t>In preterm infants, monitoring needs to be individualised because of long and variable half-life.</w:t>
            </w:r>
          </w:p>
          <w:p w:rsidRPr="00135FC6" w:rsidR="006360E1" w:rsidP="00131848" w:rsidRDefault="006360E1" w14:paraId="5A3F9A03" w14:textId="77777777">
            <w:pPr>
              <w:pStyle w:val="BodyText"/>
              <w:rPr>
                <w:rFonts w:cs="Arial" w:asciiTheme="minorHAnsi" w:hAnsiTheme="minorHAnsi"/>
                <w:sz w:val="20"/>
              </w:rPr>
            </w:pPr>
            <w:r w:rsidRPr="00135FC6">
              <w:rPr>
                <w:rFonts w:cs="Arial" w:asciiTheme="minorHAnsi" w:hAnsiTheme="minorHAnsi"/>
                <w:sz w:val="20"/>
              </w:rPr>
              <w:t>Dosage/dose form changes: Serum concentrations should also be checked after dose adjustments or dose form change (</w:t>
            </w:r>
            <w:r>
              <w:rPr>
                <w:rFonts w:cs="Arial" w:asciiTheme="minorHAnsi" w:hAnsiTheme="minorHAnsi"/>
                <w:sz w:val="20"/>
              </w:rPr>
              <w:t>e.g.</w:t>
            </w:r>
            <w:r w:rsidRPr="00135FC6">
              <w:rPr>
                <w:rFonts w:cs="Arial" w:asciiTheme="minorHAnsi" w:hAnsiTheme="minorHAnsi"/>
                <w:sz w:val="20"/>
              </w:rPr>
              <w:t xml:space="preserve"> switching from IV to oral) </w:t>
            </w:r>
            <w:r>
              <w:rPr>
                <w:rFonts w:cs="Arial" w:asciiTheme="minorHAnsi" w:hAnsiTheme="minorHAnsi"/>
                <w:sz w:val="20"/>
              </w:rPr>
              <w:t xml:space="preserve">during stabilisation therapy </w:t>
            </w:r>
            <w:r w:rsidRPr="00135FC6">
              <w:rPr>
                <w:rFonts w:cs="Arial" w:asciiTheme="minorHAnsi" w:hAnsiTheme="minorHAnsi"/>
                <w:sz w:val="20"/>
              </w:rPr>
              <w:t xml:space="preserve">with similar timing as above. </w:t>
            </w:r>
          </w:p>
          <w:p w:rsidR="006360E1" w:rsidP="00131848" w:rsidRDefault="006360E1" w14:paraId="55044F30" w14:textId="77777777">
            <w:pPr>
              <w:pStyle w:val="BodyText"/>
              <w:rPr>
                <w:rFonts w:asciiTheme="minorHAnsi" w:hAnsiTheme="minorHAnsi"/>
                <w:sz w:val="20"/>
                <w:lang w:val="en-US"/>
              </w:rPr>
            </w:pPr>
            <w:r w:rsidRPr="00135FC6">
              <w:rPr>
                <w:rFonts w:cs="Arial" w:asciiTheme="minorHAnsi" w:hAnsiTheme="minorHAnsi"/>
                <w:sz w:val="20"/>
              </w:rPr>
              <w:t xml:space="preserve">Target Range: Note reference ranges are in total phenytoin concentration; reference ranges are different for free phenytoin </w:t>
            </w:r>
            <w:r>
              <w:rPr>
                <w:rFonts w:cs="Arial" w:asciiTheme="minorHAnsi" w:hAnsiTheme="minorHAnsi"/>
                <w:sz w:val="20"/>
              </w:rPr>
              <w:t>concentrations</w:t>
            </w:r>
            <w:r w:rsidRPr="00135FC6">
              <w:rPr>
                <w:rFonts w:cs="Arial" w:asciiTheme="minorHAnsi" w:hAnsiTheme="minorHAnsi"/>
                <w:sz w:val="20"/>
              </w:rPr>
              <w:t>. Serum therapeutic range infants ≤</w:t>
            </w:r>
            <w:r>
              <w:rPr>
                <w:rFonts w:cs="Arial" w:asciiTheme="minorHAnsi" w:hAnsiTheme="minorHAnsi"/>
                <w:sz w:val="20"/>
              </w:rPr>
              <w:t xml:space="preserve"> </w:t>
            </w:r>
            <w:r w:rsidRPr="00135FC6">
              <w:rPr>
                <w:rFonts w:cs="Arial" w:asciiTheme="minorHAnsi" w:hAnsiTheme="minorHAnsi"/>
                <w:sz w:val="20"/>
              </w:rPr>
              <w:t xml:space="preserve">28 days: </w:t>
            </w:r>
            <w:r>
              <w:rPr>
                <w:rFonts w:cs="Arial" w:asciiTheme="minorHAnsi" w:hAnsiTheme="minorHAnsi"/>
                <w:sz w:val="20"/>
              </w:rPr>
              <w:t>6–15 mg</w:t>
            </w:r>
            <w:r w:rsidRPr="00135FC6">
              <w:rPr>
                <w:rFonts w:asciiTheme="minorHAnsi" w:hAnsiTheme="minorHAnsi"/>
                <w:sz w:val="20"/>
                <w:lang w:val="en-US"/>
              </w:rPr>
              <w:t>/L</w:t>
            </w:r>
            <w:r w:rsidRPr="00135FC6">
              <w:rPr>
                <w:rFonts w:cs="Arial" w:asciiTheme="minorHAnsi" w:hAnsiTheme="minorHAnsi"/>
                <w:sz w:val="20"/>
              </w:rPr>
              <w:t xml:space="preserve"> </w:t>
            </w:r>
            <w:r>
              <w:rPr>
                <w:rFonts w:cs="Arial" w:asciiTheme="minorHAnsi" w:hAnsiTheme="minorHAnsi"/>
                <w:sz w:val="20"/>
              </w:rPr>
              <w:t>(</w:t>
            </w:r>
            <w:r w:rsidRPr="00135FC6">
              <w:rPr>
                <w:rFonts w:cs="Arial" w:asciiTheme="minorHAnsi" w:hAnsiTheme="minorHAnsi"/>
                <w:sz w:val="20"/>
              </w:rPr>
              <w:t>24</w:t>
            </w:r>
            <w:r>
              <w:rPr>
                <w:rFonts w:cs="Arial" w:asciiTheme="minorHAnsi" w:hAnsiTheme="minorHAnsi"/>
                <w:sz w:val="20"/>
              </w:rPr>
              <w:t>–</w:t>
            </w:r>
            <w:r w:rsidRPr="00135FC6">
              <w:rPr>
                <w:rFonts w:cs="Arial" w:asciiTheme="minorHAnsi" w:hAnsiTheme="minorHAnsi"/>
                <w:sz w:val="20"/>
              </w:rPr>
              <w:t>60 micromol/L</w:t>
            </w:r>
            <w:r>
              <w:rPr>
                <w:rFonts w:cs="Arial" w:asciiTheme="minorHAnsi" w:hAnsiTheme="minorHAnsi"/>
                <w:sz w:val="20"/>
              </w:rPr>
              <w:t>)</w:t>
            </w:r>
            <w:r w:rsidRPr="00135FC6">
              <w:rPr>
                <w:rFonts w:cs="Arial" w:asciiTheme="minorHAnsi" w:hAnsiTheme="minorHAnsi"/>
                <w:sz w:val="20"/>
              </w:rPr>
              <w:t>; infants &gt;</w:t>
            </w:r>
            <w:r>
              <w:rPr>
                <w:rFonts w:cs="Arial" w:asciiTheme="minorHAnsi" w:hAnsiTheme="minorHAnsi"/>
                <w:sz w:val="20"/>
              </w:rPr>
              <w:t xml:space="preserve"> </w:t>
            </w:r>
            <w:r w:rsidRPr="00135FC6">
              <w:rPr>
                <w:rFonts w:cs="Arial" w:asciiTheme="minorHAnsi" w:hAnsiTheme="minorHAnsi"/>
                <w:sz w:val="20"/>
              </w:rPr>
              <w:t>28 days</w:t>
            </w:r>
            <w:r>
              <w:rPr>
                <w:rFonts w:cs="Arial" w:asciiTheme="minorHAnsi" w:hAnsiTheme="minorHAnsi"/>
                <w:sz w:val="20"/>
              </w:rPr>
              <w:t xml:space="preserve">: </w:t>
            </w:r>
            <w:r w:rsidRPr="00135FC6">
              <w:rPr>
                <w:rFonts w:asciiTheme="minorHAnsi" w:hAnsiTheme="minorHAnsi"/>
                <w:sz w:val="20"/>
                <w:lang w:val="en-US"/>
              </w:rPr>
              <w:t>10</w:t>
            </w:r>
            <w:r>
              <w:rPr>
                <w:rFonts w:asciiTheme="minorHAnsi" w:hAnsiTheme="minorHAnsi"/>
                <w:sz w:val="20"/>
                <w:lang w:val="en-US"/>
              </w:rPr>
              <w:t>--</w:t>
            </w:r>
            <w:r w:rsidRPr="00135FC6">
              <w:rPr>
                <w:rFonts w:asciiTheme="minorHAnsi" w:hAnsiTheme="minorHAnsi"/>
                <w:sz w:val="20"/>
                <w:lang w:val="en-US"/>
              </w:rPr>
              <w:t xml:space="preserve">20 </w:t>
            </w:r>
            <w:r>
              <w:rPr>
                <w:rFonts w:asciiTheme="minorHAnsi" w:hAnsiTheme="minorHAnsi"/>
                <w:sz w:val="20"/>
                <w:lang w:val="en-US"/>
              </w:rPr>
              <w:t>mg</w:t>
            </w:r>
            <w:r w:rsidRPr="00135FC6">
              <w:rPr>
                <w:rFonts w:asciiTheme="minorHAnsi" w:hAnsiTheme="minorHAnsi"/>
                <w:sz w:val="20"/>
                <w:lang w:val="en-US"/>
              </w:rPr>
              <w:t>/L</w:t>
            </w:r>
            <w:r w:rsidRPr="00135FC6">
              <w:rPr>
                <w:rFonts w:cs="Arial" w:asciiTheme="minorHAnsi" w:hAnsiTheme="minorHAnsi"/>
                <w:sz w:val="20"/>
              </w:rPr>
              <w:t xml:space="preserve"> </w:t>
            </w:r>
            <w:r>
              <w:rPr>
                <w:rFonts w:cs="Arial" w:asciiTheme="minorHAnsi" w:hAnsiTheme="minorHAnsi"/>
                <w:sz w:val="20"/>
              </w:rPr>
              <w:t>(</w:t>
            </w:r>
            <w:r w:rsidRPr="00135FC6">
              <w:rPr>
                <w:rFonts w:cs="Arial" w:asciiTheme="minorHAnsi" w:hAnsiTheme="minorHAnsi"/>
                <w:sz w:val="20"/>
              </w:rPr>
              <w:t>40</w:t>
            </w:r>
            <w:r>
              <w:rPr>
                <w:rFonts w:cs="Arial" w:asciiTheme="minorHAnsi" w:hAnsiTheme="minorHAnsi"/>
                <w:sz w:val="20"/>
              </w:rPr>
              <w:t>–</w:t>
            </w:r>
            <w:r w:rsidRPr="00135FC6">
              <w:rPr>
                <w:rFonts w:cs="Arial" w:asciiTheme="minorHAnsi" w:hAnsiTheme="minorHAnsi"/>
                <w:sz w:val="20"/>
              </w:rPr>
              <w:t>80</w:t>
            </w:r>
            <w:r>
              <w:rPr>
                <w:rFonts w:cs="Arial" w:asciiTheme="minorHAnsi" w:hAnsiTheme="minorHAnsi"/>
                <w:sz w:val="20"/>
              </w:rPr>
              <w:t xml:space="preserve"> </w:t>
            </w:r>
            <w:r w:rsidRPr="00135FC6">
              <w:rPr>
                <w:rFonts w:cs="Arial" w:asciiTheme="minorHAnsi" w:hAnsiTheme="minorHAnsi"/>
                <w:sz w:val="20"/>
              </w:rPr>
              <w:t>micromol/L</w:t>
            </w:r>
            <w:r>
              <w:rPr>
                <w:rFonts w:cs="Arial" w:asciiTheme="minorHAnsi" w:hAnsiTheme="minorHAnsi"/>
                <w:sz w:val="20"/>
              </w:rPr>
              <w:t>)</w:t>
            </w:r>
            <w:r>
              <w:rPr>
                <w:rFonts w:asciiTheme="minorHAnsi" w:hAnsiTheme="minorHAnsi"/>
                <w:sz w:val="20"/>
                <w:lang w:val="en-US"/>
              </w:rPr>
              <w:t xml:space="preserve">. </w:t>
            </w:r>
          </w:p>
          <w:p w:rsidRPr="001F7971" w:rsidR="006360E1" w:rsidP="00131848" w:rsidRDefault="006360E1" w14:paraId="215EC612" w14:textId="77777777">
            <w:pPr>
              <w:pStyle w:val="BodyText"/>
              <w:rPr>
                <w:rFonts w:cs="Arial" w:asciiTheme="minorHAnsi" w:hAnsiTheme="minorHAnsi"/>
                <w:sz w:val="20"/>
              </w:rPr>
            </w:pPr>
            <w:r w:rsidRPr="001F7971">
              <w:rPr>
                <w:rFonts w:asciiTheme="minorHAnsi" w:hAnsiTheme="minorHAnsi"/>
                <w:sz w:val="20"/>
                <w:lang w:val="en-US"/>
              </w:rPr>
              <w:t xml:space="preserve">In severely ill infants and those with hypoalbuminaemia, uremia or concomitant valproic acid, consider measuring free phenytoin concentrations. For free phenytoin, target range is 0.5 to 1.4 mg/L (2 to 5.6 micromol/L). Typical free phenytoin is one-tenth of total phenytoin as phenytoin is 90% protein bound. </w:t>
            </w:r>
          </w:p>
          <w:p w:rsidRPr="00135FC6" w:rsidR="006360E1" w:rsidP="00131848" w:rsidRDefault="006360E1" w14:paraId="4BE16E04" w14:textId="77777777">
            <w:pPr>
              <w:pStyle w:val="BodyText"/>
              <w:rPr>
                <w:rFonts w:cs="Arial" w:asciiTheme="minorHAnsi" w:hAnsiTheme="minorHAnsi"/>
                <w:sz w:val="20"/>
              </w:rPr>
            </w:pPr>
            <w:r w:rsidRPr="00135FC6">
              <w:rPr>
                <w:rFonts w:cs="Arial" w:asciiTheme="minorHAnsi" w:hAnsiTheme="minorHAnsi"/>
                <w:sz w:val="20"/>
              </w:rPr>
              <w:t xml:space="preserve">If </w:t>
            </w:r>
            <w:r>
              <w:rPr>
                <w:rFonts w:cs="Arial" w:asciiTheme="minorHAnsi" w:hAnsiTheme="minorHAnsi"/>
                <w:sz w:val="20"/>
              </w:rPr>
              <w:t>total concentration</w:t>
            </w:r>
            <w:r w:rsidRPr="00135FC6">
              <w:rPr>
                <w:rFonts w:cs="Arial" w:asciiTheme="minorHAnsi" w:hAnsiTheme="minorHAnsi"/>
                <w:sz w:val="20"/>
              </w:rPr>
              <w:t xml:space="preserve"> is above upper range but below </w:t>
            </w:r>
            <w:r>
              <w:rPr>
                <w:rFonts w:cs="Arial" w:asciiTheme="minorHAnsi" w:hAnsiTheme="minorHAnsi"/>
                <w:sz w:val="20"/>
              </w:rPr>
              <w:t>30 mg/L</w:t>
            </w:r>
            <w:r w:rsidRPr="00135FC6">
              <w:rPr>
                <w:rFonts w:cs="Arial" w:asciiTheme="minorHAnsi" w:hAnsiTheme="minorHAnsi"/>
                <w:sz w:val="20"/>
              </w:rPr>
              <w:t xml:space="preserve"> </w:t>
            </w:r>
            <w:r>
              <w:rPr>
                <w:rFonts w:cs="Arial" w:asciiTheme="minorHAnsi" w:hAnsiTheme="minorHAnsi"/>
                <w:sz w:val="20"/>
              </w:rPr>
              <w:t>(</w:t>
            </w:r>
            <w:r w:rsidRPr="00135FC6">
              <w:rPr>
                <w:rFonts w:cs="Arial" w:asciiTheme="minorHAnsi" w:hAnsiTheme="minorHAnsi"/>
                <w:sz w:val="20"/>
              </w:rPr>
              <w:t>120</w:t>
            </w:r>
            <w:r>
              <w:rPr>
                <w:rFonts w:cs="Arial" w:asciiTheme="minorHAnsi" w:hAnsiTheme="minorHAnsi"/>
                <w:sz w:val="20"/>
              </w:rPr>
              <w:t xml:space="preserve"> </w:t>
            </w:r>
            <w:r w:rsidRPr="00135FC6">
              <w:rPr>
                <w:rFonts w:cs="Arial" w:asciiTheme="minorHAnsi" w:hAnsiTheme="minorHAnsi"/>
                <w:sz w:val="20"/>
              </w:rPr>
              <w:t>micromol/L</w:t>
            </w:r>
            <w:r>
              <w:rPr>
                <w:rFonts w:cs="Arial" w:asciiTheme="minorHAnsi" w:hAnsiTheme="minorHAnsi"/>
                <w:sz w:val="20"/>
              </w:rPr>
              <w:t>)</w:t>
            </w:r>
            <w:r w:rsidRPr="00135FC6">
              <w:rPr>
                <w:rFonts w:cs="Arial" w:asciiTheme="minorHAnsi" w:hAnsiTheme="minorHAnsi"/>
                <w:sz w:val="20"/>
              </w:rPr>
              <w:t xml:space="preserve">, withhold dose. </w:t>
            </w:r>
            <w:r>
              <w:rPr>
                <w:rFonts w:cs="Arial" w:asciiTheme="minorHAnsi" w:hAnsiTheme="minorHAnsi"/>
                <w:sz w:val="20"/>
              </w:rPr>
              <w:t>Concentrations</w:t>
            </w:r>
            <w:r w:rsidRPr="00135FC6">
              <w:rPr>
                <w:rFonts w:cs="Arial" w:asciiTheme="minorHAnsi" w:hAnsiTheme="minorHAnsi"/>
                <w:sz w:val="20"/>
              </w:rPr>
              <w:t xml:space="preserve"> above </w:t>
            </w:r>
            <w:r>
              <w:rPr>
                <w:rFonts w:cs="Arial" w:asciiTheme="minorHAnsi" w:hAnsiTheme="minorHAnsi"/>
                <w:sz w:val="20"/>
              </w:rPr>
              <w:t>30 mg/L (</w:t>
            </w:r>
            <w:r w:rsidRPr="00135FC6">
              <w:rPr>
                <w:rFonts w:cs="Arial" w:asciiTheme="minorHAnsi" w:hAnsiTheme="minorHAnsi"/>
                <w:sz w:val="20"/>
              </w:rPr>
              <w:t>120</w:t>
            </w:r>
            <w:r>
              <w:rPr>
                <w:rFonts w:cs="Arial" w:asciiTheme="minorHAnsi" w:hAnsiTheme="minorHAnsi"/>
                <w:sz w:val="20"/>
              </w:rPr>
              <w:t xml:space="preserve"> </w:t>
            </w:r>
            <w:r w:rsidRPr="00135FC6">
              <w:rPr>
                <w:rFonts w:cs="Arial" w:asciiTheme="minorHAnsi" w:hAnsiTheme="minorHAnsi"/>
                <w:sz w:val="20"/>
              </w:rPr>
              <w:t>micromol/L</w:t>
            </w:r>
            <w:r>
              <w:rPr>
                <w:rFonts w:cs="Arial" w:asciiTheme="minorHAnsi" w:hAnsiTheme="minorHAnsi"/>
                <w:sz w:val="20"/>
              </w:rPr>
              <w:t>)</w:t>
            </w:r>
            <w:r w:rsidRPr="00135FC6">
              <w:rPr>
                <w:rFonts w:cs="Arial" w:asciiTheme="minorHAnsi" w:hAnsiTheme="minorHAnsi"/>
                <w:sz w:val="20"/>
              </w:rPr>
              <w:t xml:space="preserve"> are considered toxic and infant may display signs of overdose</w:t>
            </w:r>
            <w:r>
              <w:rPr>
                <w:rFonts w:cs="Arial" w:asciiTheme="minorHAnsi" w:hAnsiTheme="minorHAnsi"/>
                <w:sz w:val="20"/>
              </w:rPr>
              <w:t xml:space="preserve"> and should be monitored especially for cardiovascular symptoms/signs</w:t>
            </w:r>
            <w:r w:rsidRPr="00135FC6">
              <w:rPr>
                <w:rFonts w:cs="Arial" w:asciiTheme="minorHAnsi" w:hAnsiTheme="minorHAnsi"/>
                <w:sz w:val="20"/>
              </w:rPr>
              <w:t xml:space="preserve">. </w:t>
            </w:r>
          </w:p>
          <w:p w:rsidRPr="00135FC6" w:rsidR="006360E1" w:rsidP="00131848" w:rsidRDefault="006360E1" w14:paraId="22466240" w14:textId="77777777">
            <w:pPr>
              <w:pStyle w:val="BodyText"/>
              <w:rPr>
                <w:rFonts w:cs="Arial" w:asciiTheme="minorHAnsi" w:hAnsiTheme="minorHAnsi"/>
                <w:sz w:val="20"/>
              </w:rPr>
            </w:pPr>
            <w:r w:rsidRPr="00135FC6">
              <w:rPr>
                <w:rFonts w:cs="Arial" w:asciiTheme="minorHAnsi" w:hAnsiTheme="minorHAnsi"/>
                <w:sz w:val="20"/>
              </w:rPr>
              <w:t xml:space="preserve">Adjustment of dose according to serum </w:t>
            </w:r>
            <w:r>
              <w:rPr>
                <w:rFonts w:cs="Arial" w:asciiTheme="minorHAnsi" w:hAnsiTheme="minorHAnsi"/>
                <w:sz w:val="20"/>
              </w:rPr>
              <w:t>concentration</w:t>
            </w:r>
            <w:r w:rsidRPr="00135FC6">
              <w:rPr>
                <w:rFonts w:cs="Arial" w:asciiTheme="minorHAnsi" w:hAnsiTheme="minorHAnsi"/>
                <w:sz w:val="20"/>
              </w:rPr>
              <w:t xml:space="preserve">: Phenytoin does not follow linear kinetics so an increase in dose may cause a disproportionate increase in serum concentration. If a dose increase is required, do so gradually </w:t>
            </w:r>
            <w:r>
              <w:rPr>
                <w:rFonts w:cs="Arial" w:asciiTheme="minorHAnsi" w:hAnsiTheme="minorHAnsi"/>
                <w:sz w:val="20"/>
              </w:rPr>
              <w:t xml:space="preserve">(no more than 10% of the daily dose at any one time) </w:t>
            </w:r>
            <w:r w:rsidRPr="00135FC6">
              <w:rPr>
                <w:rFonts w:cs="Arial" w:asciiTheme="minorHAnsi" w:hAnsiTheme="minorHAnsi"/>
                <w:sz w:val="20"/>
              </w:rPr>
              <w:t>and consult pharmacy</w:t>
            </w:r>
            <w:r>
              <w:rPr>
                <w:rFonts w:cs="Arial" w:asciiTheme="minorHAnsi" w:hAnsiTheme="minorHAnsi"/>
                <w:sz w:val="20"/>
              </w:rPr>
              <w:t>/neurologist</w:t>
            </w:r>
            <w:r w:rsidRPr="00135FC6">
              <w:rPr>
                <w:rFonts w:cs="Arial" w:asciiTheme="minorHAnsi" w:hAnsiTheme="minorHAnsi"/>
                <w:sz w:val="20"/>
              </w:rPr>
              <w:t>.</w:t>
            </w:r>
          </w:p>
        </w:tc>
      </w:tr>
      <w:tr w:rsidRPr="003A7895" w:rsidR="006360E1" w:rsidTr="006360E1" w14:paraId="57FE68B5" w14:textId="77777777">
        <w:trPr>
          <w:trHeight w:val="342"/>
        </w:trPr>
        <w:tc>
          <w:tcPr>
            <w:tcW w:w="1730" w:type="dxa"/>
          </w:tcPr>
          <w:p w:rsidRPr="00B53E9B" w:rsidR="006360E1" w:rsidP="00131848" w:rsidRDefault="006360E1" w14:paraId="42F3B60A" w14:textId="77777777">
            <w:pPr>
              <w:pStyle w:val="BodyText"/>
              <w:rPr>
                <w:rFonts w:cs="Arial"/>
                <w:b/>
                <w:bCs/>
                <w:sz w:val="20"/>
              </w:rPr>
            </w:pPr>
            <w:r w:rsidRPr="00B53E9B">
              <w:rPr>
                <w:rFonts w:cs="Arial"/>
                <w:b/>
                <w:bCs/>
                <w:sz w:val="20"/>
              </w:rPr>
              <w:t>Contraindications</w:t>
            </w:r>
          </w:p>
        </w:tc>
        <w:tc>
          <w:tcPr>
            <w:tcW w:w="7513" w:type="dxa"/>
          </w:tcPr>
          <w:p w:rsidRPr="00135FC6" w:rsidR="006360E1" w:rsidP="00131848" w:rsidRDefault="006360E1" w14:paraId="1A9B6F02" w14:textId="77777777">
            <w:pPr>
              <w:pStyle w:val="BodyText"/>
              <w:rPr>
                <w:rFonts w:cs="Arial" w:asciiTheme="minorHAnsi" w:hAnsiTheme="minorHAnsi"/>
                <w:sz w:val="20"/>
              </w:rPr>
            </w:pPr>
            <w:r w:rsidRPr="00135FC6">
              <w:rPr>
                <w:rFonts w:cs="Arial" w:asciiTheme="minorHAnsi" w:hAnsiTheme="minorHAnsi"/>
                <w:sz w:val="20"/>
                <w:lang w:val="en-US"/>
              </w:rPr>
              <w:t xml:space="preserve">Known hypersensitivity to phenytoin, </w:t>
            </w:r>
            <w:r>
              <w:rPr>
                <w:rFonts w:cs="Arial" w:asciiTheme="minorHAnsi" w:hAnsiTheme="minorHAnsi"/>
                <w:sz w:val="20"/>
                <w:lang w:val="en-US"/>
              </w:rPr>
              <w:t xml:space="preserve">severe </w:t>
            </w:r>
            <w:r w:rsidRPr="00135FC6">
              <w:rPr>
                <w:rFonts w:cs="Arial" w:asciiTheme="minorHAnsi" w:hAnsiTheme="minorHAnsi"/>
                <w:sz w:val="20"/>
                <w:lang w:val="en-US"/>
              </w:rPr>
              <w:t>sinus bradycardia, and sinoatrial block, second and third degree AV block or Stokes - Adams syndrome.</w:t>
            </w:r>
          </w:p>
        </w:tc>
      </w:tr>
      <w:tr w:rsidRPr="003A7895" w:rsidR="006360E1" w:rsidTr="006360E1" w14:paraId="19419B0E" w14:textId="77777777">
        <w:tc>
          <w:tcPr>
            <w:tcW w:w="1730" w:type="dxa"/>
          </w:tcPr>
          <w:p w:rsidRPr="00B53E9B" w:rsidR="006360E1" w:rsidP="00131848" w:rsidRDefault="006360E1" w14:paraId="5603BE72" w14:textId="77777777">
            <w:pPr>
              <w:pStyle w:val="BodyText"/>
              <w:rPr>
                <w:rFonts w:cs="Arial"/>
                <w:b/>
                <w:bCs/>
                <w:sz w:val="20"/>
              </w:rPr>
            </w:pPr>
            <w:r w:rsidRPr="00B53E9B">
              <w:rPr>
                <w:sz w:val="20"/>
              </w:rPr>
              <w:br w:type="page"/>
            </w:r>
            <w:r w:rsidRPr="00B53E9B">
              <w:rPr>
                <w:rFonts w:cs="Arial"/>
                <w:b/>
                <w:bCs/>
                <w:sz w:val="20"/>
              </w:rPr>
              <w:t>Precautions</w:t>
            </w:r>
          </w:p>
        </w:tc>
        <w:tc>
          <w:tcPr>
            <w:tcW w:w="7513" w:type="dxa"/>
          </w:tcPr>
          <w:p w:rsidR="006360E1" w:rsidP="00131848" w:rsidRDefault="006360E1" w14:paraId="68ADFB52" w14:textId="77777777">
            <w:pPr>
              <w:pStyle w:val="BodyText"/>
              <w:rPr>
                <w:rFonts w:cs="Arial" w:asciiTheme="minorHAnsi" w:hAnsiTheme="minorHAnsi"/>
                <w:sz w:val="20"/>
              </w:rPr>
            </w:pPr>
            <w:r w:rsidRPr="00135FC6">
              <w:rPr>
                <w:rFonts w:cs="Arial" w:asciiTheme="minorHAnsi" w:hAnsiTheme="minorHAnsi"/>
                <w:sz w:val="20"/>
              </w:rPr>
              <w:t>If patient is hypotensive prior to starting phenytoin, consult the treating neonatologist. If impaired hepatic or renal function, may require decreased dosage. Phenytoin is highly protein bound. Concentration of free phenytoin is higher in infants with hypoalbuminaemia and may cause toxicity even if the total phenytoin serum concentration is within therapeutic range. Increased free fraction of phenytoin can also occur in infants with hyperbilirubin</w:t>
            </w:r>
            <w:r>
              <w:rPr>
                <w:rFonts w:cs="Arial" w:asciiTheme="minorHAnsi" w:hAnsiTheme="minorHAnsi"/>
                <w:sz w:val="20"/>
              </w:rPr>
              <w:t>a</w:t>
            </w:r>
            <w:r w:rsidRPr="00135FC6">
              <w:rPr>
                <w:rFonts w:cs="Arial" w:asciiTheme="minorHAnsi" w:hAnsiTheme="minorHAnsi"/>
                <w:sz w:val="20"/>
              </w:rPr>
              <w:t>emia, renal impairment, or uraemia.</w:t>
            </w:r>
          </w:p>
          <w:p w:rsidRPr="00135FC6" w:rsidR="006360E1" w:rsidP="00131848" w:rsidRDefault="006360E1" w14:paraId="758F65CF" w14:textId="77777777">
            <w:pPr>
              <w:pStyle w:val="BodyText"/>
              <w:rPr>
                <w:rFonts w:cs="Arial" w:asciiTheme="minorHAnsi" w:hAnsiTheme="minorHAnsi"/>
                <w:sz w:val="20"/>
              </w:rPr>
            </w:pPr>
            <w:r w:rsidRPr="000E2471">
              <w:rPr>
                <w:rFonts w:cs="Arial" w:asciiTheme="minorHAnsi" w:hAnsiTheme="minorHAnsi"/>
                <w:sz w:val="20"/>
              </w:rPr>
              <w:t>Consider weaning instead of abrupt cessation of the drug (see special comments section).</w:t>
            </w:r>
          </w:p>
        </w:tc>
      </w:tr>
      <w:tr w:rsidRPr="003A7895" w:rsidR="006360E1" w:rsidTr="006360E1" w14:paraId="7E99BD61" w14:textId="77777777">
        <w:trPr>
          <w:trHeight w:val="70"/>
        </w:trPr>
        <w:tc>
          <w:tcPr>
            <w:tcW w:w="1730" w:type="dxa"/>
          </w:tcPr>
          <w:p w:rsidRPr="00B53E9B" w:rsidR="006360E1" w:rsidP="00131848" w:rsidRDefault="006360E1" w14:paraId="04E62E73"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13" w:type="dxa"/>
          </w:tcPr>
          <w:p w:rsidRPr="00135FC6" w:rsidR="006360E1" w:rsidP="00131848" w:rsidRDefault="006360E1" w14:paraId="0D909466" w14:textId="77777777">
            <w:pPr>
              <w:rPr>
                <w:rFonts w:cs="Arial" w:asciiTheme="minorHAnsi" w:hAnsiTheme="minorHAnsi"/>
                <w:sz w:val="20"/>
              </w:rPr>
            </w:pPr>
            <w:r w:rsidRPr="00135FC6">
              <w:rPr>
                <w:rFonts w:asciiTheme="minorHAnsi" w:hAnsiTheme="minorHAnsi"/>
                <w:sz w:val="20"/>
              </w:rPr>
              <w:t xml:space="preserve">Monitor phenytoin </w:t>
            </w:r>
            <w:r>
              <w:rPr>
                <w:rFonts w:asciiTheme="minorHAnsi" w:hAnsiTheme="minorHAnsi"/>
                <w:sz w:val="20"/>
              </w:rPr>
              <w:t>concentrations</w:t>
            </w:r>
            <w:r w:rsidRPr="00135FC6">
              <w:rPr>
                <w:rFonts w:asciiTheme="minorHAnsi" w:hAnsiTheme="minorHAnsi"/>
                <w:sz w:val="20"/>
              </w:rPr>
              <w:t xml:space="preserve"> closely if given concurrently with the </w:t>
            </w:r>
            <w:r>
              <w:rPr>
                <w:rFonts w:asciiTheme="minorHAnsi" w:hAnsiTheme="minorHAnsi"/>
                <w:sz w:val="20"/>
              </w:rPr>
              <w:t>following</w:t>
            </w:r>
            <w:r w:rsidRPr="00135FC6">
              <w:rPr>
                <w:rFonts w:asciiTheme="minorHAnsi" w:hAnsiTheme="minorHAnsi"/>
                <w:sz w:val="20"/>
              </w:rPr>
              <w:t xml:space="preserve"> medications: Erythromycin, trimethoprim/sulfamethoxazole, amphotericin, fluconazole, miconazole, amiodarone, omeprazole and ranitidine </w:t>
            </w:r>
            <w:r>
              <w:rPr>
                <w:rFonts w:asciiTheme="minorHAnsi" w:hAnsiTheme="minorHAnsi"/>
                <w:sz w:val="20"/>
              </w:rPr>
              <w:t xml:space="preserve">which </w:t>
            </w:r>
            <w:r w:rsidRPr="00135FC6">
              <w:rPr>
                <w:rFonts w:asciiTheme="minorHAnsi" w:hAnsiTheme="minorHAnsi"/>
                <w:sz w:val="20"/>
              </w:rPr>
              <w:t xml:space="preserve">may increase phenytoin </w:t>
            </w:r>
            <w:r>
              <w:rPr>
                <w:rFonts w:asciiTheme="minorHAnsi" w:hAnsiTheme="minorHAnsi"/>
                <w:sz w:val="20"/>
              </w:rPr>
              <w:lastRenderedPageBreak/>
              <w:t>concentrations</w:t>
            </w:r>
            <w:r w:rsidRPr="00135FC6">
              <w:rPr>
                <w:rFonts w:asciiTheme="minorHAnsi" w:hAnsiTheme="minorHAnsi"/>
                <w:sz w:val="20"/>
              </w:rPr>
              <w:t>. Fluoroquinolones (</w:t>
            </w:r>
            <w:r>
              <w:rPr>
                <w:rFonts w:asciiTheme="minorHAnsi" w:hAnsiTheme="minorHAnsi"/>
                <w:sz w:val="20"/>
              </w:rPr>
              <w:t>e.g.</w:t>
            </w:r>
            <w:r w:rsidRPr="00135FC6">
              <w:rPr>
                <w:rFonts w:asciiTheme="minorHAnsi" w:hAnsiTheme="minorHAnsi"/>
                <w:sz w:val="20"/>
              </w:rPr>
              <w:t xml:space="preserve"> ciprofloxacin, moxifloxacin), rifampicin, folic acid and calcium may decrease phenytoin </w:t>
            </w:r>
            <w:r>
              <w:rPr>
                <w:rFonts w:asciiTheme="minorHAnsi" w:hAnsiTheme="minorHAnsi"/>
                <w:sz w:val="20"/>
              </w:rPr>
              <w:t>concentrations</w:t>
            </w:r>
            <w:r w:rsidRPr="00135FC6">
              <w:rPr>
                <w:rFonts w:asciiTheme="minorHAnsi" w:hAnsiTheme="minorHAnsi"/>
                <w:sz w:val="20"/>
              </w:rPr>
              <w:t xml:space="preserve">. In the case of calcium, administration should be separated by at least 1 hour to reduce the interaction. Concurrent administration of phenytoin with </w:t>
            </w:r>
            <w:r>
              <w:rPr>
                <w:rFonts w:asciiTheme="minorHAnsi" w:hAnsiTheme="minorHAnsi"/>
                <w:sz w:val="20"/>
              </w:rPr>
              <w:t>phenobarbital (</w:t>
            </w:r>
            <w:r w:rsidRPr="00135FC6">
              <w:rPr>
                <w:rFonts w:asciiTheme="minorHAnsi" w:hAnsiTheme="minorHAnsi"/>
                <w:sz w:val="20"/>
              </w:rPr>
              <w:t>phenobarbitone</w:t>
            </w:r>
            <w:r>
              <w:rPr>
                <w:rFonts w:asciiTheme="minorHAnsi" w:hAnsiTheme="minorHAnsi"/>
                <w:sz w:val="20"/>
              </w:rPr>
              <w:t>)</w:t>
            </w:r>
            <w:r w:rsidRPr="00135FC6">
              <w:rPr>
                <w:rFonts w:asciiTheme="minorHAnsi" w:hAnsiTheme="minorHAnsi"/>
                <w:sz w:val="20"/>
              </w:rPr>
              <w:t xml:space="preserve"> has variable effects on serum concentrations of either drug. Serum concentrations should be monitored for both drugs. </w:t>
            </w:r>
            <w:r>
              <w:rPr>
                <w:rFonts w:asciiTheme="minorHAnsi" w:hAnsiTheme="minorHAnsi"/>
                <w:sz w:val="20"/>
              </w:rPr>
              <w:t>Some m</w:t>
            </w:r>
            <w:r w:rsidRPr="00135FC6">
              <w:rPr>
                <w:rFonts w:asciiTheme="minorHAnsi" w:hAnsiTheme="minorHAnsi"/>
                <w:sz w:val="20"/>
              </w:rPr>
              <w:t xml:space="preserve">edications </w:t>
            </w:r>
            <w:r>
              <w:rPr>
                <w:rFonts w:asciiTheme="minorHAnsi" w:hAnsiTheme="minorHAnsi"/>
                <w:sz w:val="20"/>
              </w:rPr>
              <w:t xml:space="preserve">are </w:t>
            </w:r>
            <w:r w:rsidRPr="00135FC6">
              <w:rPr>
                <w:rFonts w:asciiTheme="minorHAnsi" w:hAnsiTheme="minorHAnsi"/>
                <w:sz w:val="20"/>
              </w:rPr>
              <w:t xml:space="preserve">affected by phenytoin (monitor the </w:t>
            </w:r>
            <w:r>
              <w:rPr>
                <w:rFonts w:asciiTheme="minorHAnsi" w:hAnsiTheme="minorHAnsi"/>
                <w:sz w:val="20"/>
              </w:rPr>
              <w:t>concentration</w:t>
            </w:r>
            <w:r w:rsidRPr="00135FC6">
              <w:rPr>
                <w:rFonts w:asciiTheme="minorHAnsi" w:hAnsiTheme="minorHAnsi"/>
                <w:sz w:val="20"/>
              </w:rPr>
              <w:t xml:space="preserve"> of the medication if possible): folic acid, thyroxine, vitamin D, calcium, corticosteroids (</w:t>
            </w:r>
            <w:r>
              <w:rPr>
                <w:rFonts w:asciiTheme="minorHAnsi" w:hAnsiTheme="minorHAnsi"/>
                <w:sz w:val="20"/>
              </w:rPr>
              <w:t>e.g.</w:t>
            </w:r>
            <w:r w:rsidRPr="00135FC6">
              <w:rPr>
                <w:rFonts w:asciiTheme="minorHAnsi" w:hAnsiTheme="minorHAnsi"/>
                <w:sz w:val="20"/>
              </w:rPr>
              <w:t xml:space="preserve"> dexamethasone), caffeine, frusemide, digoxin and vecuronium</w:t>
            </w:r>
            <w:r>
              <w:rPr>
                <w:rFonts w:asciiTheme="minorHAnsi" w:hAnsiTheme="minorHAnsi"/>
                <w:sz w:val="20"/>
              </w:rPr>
              <w:t xml:space="preserve"> may have their concentrations reduced</w:t>
            </w:r>
            <w:r w:rsidRPr="00135FC6">
              <w:rPr>
                <w:rFonts w:asciiTheme="minorHAnsi" w:hAnsiTheme="minorHAnsi"/>
                <w:sz w:val="20"/>
              </w:rPr>
              <w:t xml:space="preserve">. Phenytoin may </w:t>
            </w:r>
            <w:r>
              <w:rPr>
                <w:rFonts w:asciiTheme="minorHAnsi" w:hAnsiTheme="minorHAnsi"/>
                <w:sz w:val="20"/>
              </w:rPr>
              <w:t xml:space="preserve">also </w:t>
            </w:r>
            <w:r w:rsidRPr="00135FC6">
              <w:rPr>
                <w:rFonts w:asciiTheme="minorHAnsi" w:hAnsiTheme="minorHAnsi"/>
                <w:sz w:val="20"/>
              </w:rPr>
              <w:t>lower the blood concentrations of methadone, possibly manifesting withdrawal earlier in neonatal abstinence syndrome. Other interactions: Diazoxide may reduce the serum concentration of phenytoin and phenytoin may increase the hyperglycaemic effects of diazoxide. Dopamine used concurrently with phenytoin may cause profound hypotension. Beta-blockers (</w:t>
            </w:r>
            <w:r>
              <w:rPr>
                <w:rFonts w:asciiTheme="minorHAnsi" w:hAnsiTheme="minorHAnsi"/>
                <w:sz w:val="20"/>
              </w:rPr>
              <w:t>e.g.</w:t>
            </w:r>
            <w:r w:rsidRPr="00135FC6">
              <w:rPr>
                <w:rFonts w:asciiTheme="minorHAnsi" w:hAnsiTheme="minorHAnsi"/>
                <w:sz w:val="20"/>
              </w:rPr>
              <w:t xml:space="preserve"> propranolol, sotalol) used concurrently with phenytoin may cause hypotension and may produce additive cardiac depressant effects.</w:t>
            </w:r>
          </w:p>
        </w:tc>
      </w:tr>
      <w:tr w:rsidRPr="003A7895" w:rsidR="006360E1" w:rsidTr="006360E1" w14:paraId="019310AC" w14:textId="77777777">
        <w:trPr>
          <w:trHeight w:val="332"/>
        </w:trPr>
        <w:tc>
          <w:tcPr>
            <w:tcW w:w="1730" w:type="dxa"/>
          </w:tcPr>
          <w:p w:rsidRPr="00B53E9B" w:rsidR="006360E1" w:rsidP="00131848" w:rsidRDefault="006360E1" w14:paraId="6B033882" w14:textId="77777777">
            <w:pPr>
              <w:pStyle w:val="BodyText"/>
              <w:rPr>
                <w:rFonts w:cs="Arial"/>
                <w:b/>
                <w:bCs/>
                <w:sz w:val="20"/>
              </w:rPr>
            </w:pPr>
            <w:r>
              <w:rPr>
                <w:rFonts w:cs="Arial"/>
                <w:b/>
                <w:bCs/>
                <w:sz w:val="20"/>
              </w:rPr>
              <w:lastRenderedPageBreak/>
              <w:t>Adverse r</w:t>
            </w:r>
            <w:r w:rsidRPr="00B53E9B">
              <w:rPr>
                <w:rFonts w:cs="Arial"/>
                <w:b/>
                <w:bCs/>
                <w:sz w:val="20"/>
              </w:rPr>
              <w:t xml:space="preserve">eactions </w:t>
            </w:r>
          </w:p>
        </w:tc>
        <w:tc>
          <w:tcPr>
            <w:tcW w:w="7513" w:type="dxa"/>
          </w:tcPr>
          <w:p w:rsidR="006360E1" w:rsidP="00131848" w:rsidRDefault="006360E1" w14:paraId="759BC03F" w14:textId="77777777">
            <w:pPr>
              <w:pStyle w:val="BodyText"/>
              <w:rPr>
                <w:rFonts w:cs="Arial" w:asciiTheme="minorHAnsi" w:hAnsiTheme="minorHAnsi"/>
                <w:sz w:val="20"/>
              </w:rPr>
            </w:pPr>
            <w:r w:rsidRPr="00135FC6">
              <w:rPr>
                <w:rFonts w:cs="Arial" w:asciiTheme="minorHAnsi" w:hAnsiTheme="minorHAnsi"/>
                <w:sz w:val="20"/>
              </w:rPr>
              <w:t xml:space="preserve">Extravasation causes tissue inflammation and necrosis due to high pH and osmolality. Monitor IV insertion site. </w:t>
            </w:r>
          </w:p>
          <w:p w:rsidR="006360E1" w:rsidP="00131848" w:rsidRDefault="006360E1" w14:paraId="732B15D0" w14:textId="77777777">
            <w:pPr>
              <w:pStyle w:val="BodyText"/>
              <w:rPr>
                <w:rFonts w:cs="Arial" w:asciiTheme="minorHAnsi" w:hAnsiTheme="minorHAnsi"/>
                <w:sz w:val="20"/>
              </w:rPr>
            </w:pPr>
            <w:r w:rsidRPr="00135FC6">
              <w:rPr>
                <w:rFonts w:cs="Arial" w:asciiTheme="minorHAnsi" w:hAnsiTheme="minorHAnsi"/>
                <w:sz w:val="20"/>
              </w:rPr>
              <w:t xml:space="preserve">May cause bradycardia, arrhythmias, hypotension during infusion (more common if administration is too rapid). </w:t>
            </w:r>
          </w:p>
          <w:p w:rsidR="006360E1" w:rsidP="00131848" w:rsidRDefault="006360E1" w14:paraId="56F0C02D" w14:textId="77777777">
            <w:pPr>
              <w:pStyle w:val="BodyText"/>
              <w:rPr>
                <w:rFonts w:cs="Arial" w:asciiTheme="minorHAnsi" w:hAnsiTheme="minorHAnsi"/>
                <w:sz w:val="20"/>
              </w:rPr>
            </w:pPr>
            <w:r w:rsidRPr="00135FC6">
              <w:rPr>
                <w:rFonts w:cs="Arial" w:asciiTheme="minorHAnsi" w:hAnsiTheme="minorHAnsi"/>
                <w:sz w:val="20"/>
              </w:rPr>
              <w:t>Cardiac arrhythmias, hypotension, hyperglycaemia, constipation, interstitial nephritis, hepatitis, macrocytosis</w:t>
            </w:r>
            <w:r>
              <w:rPr>
                <w:rFonts w:cs="Arial" w:asciiTheme="minorHAnsi" w:hAnsiTheme="minorHAnsi"/>
                <w:sz w:val="20"/>
              </w:rPr>
              <w:t xml:space="preserve">, </w:t>
            </w:r>
            <w:r w:rsidRPr="00135FC6">
              <w:rPr>
                <w:rFonts w:cs="Arial" w:asciiTheme="minorHAnsi" w:hAnsiTheme="minorHAnsi"/>
                <w:sz w:val="20"/>
              </w:rPr>
              <w:t>megaloblastic anaemia (usually responds to folic acid supplementation)</w:t>
            </w:r>
            <w:r>
              <w:rPr>
                <w:rFonts w:cs="Arial" w:asciiTheme="minorHAnsi" w:hAnsiTheme="minorHAnsi"/>
                <w:sz w:val="20"/>
              </w:rPr>
              <w:t xml:space="preserve"> and</w:t>
            </w:r>
            <w:r w:rsidRPr="00135FC6">
              <w:rPr>
                <w:rFonts w:cs="Arial" w:asciiTheme="minorHAnsi" w:hAnsiTheme="minorHAnsi"/>
                <w:sz w:val="20"/>
              </w:rPr>
              <w:t xml:space="preserve"> blood dyscrasias. </w:t>
            </w:r>
          </w:p>
          <w:p w:rsidR="006360E1" w:rsidP="00131848" w:rsidRDefault="006360E1" w14:paraId="6D0962AD" w14:textId="77777777">
            <w:pPr>
              <w:pStyle w:val="BodyText"/>
              <w:rPr>
                <w:rFonts w:cs="Arial" w:asciiTheme="minorHAnsi" w:hAnsiTheme="minorHAnsi"/>
                <w:sz w:val="20"/>
              </w:rPr>
            </w:pPr>
            <w:r w:rsidRPr="00135FC6">
              <w:rPr>
                <w:rFonts w:cs="Arial" w:asciiTheme="minorHAnsi" w:hAnsiTheme="minorHAnsi"/>
                <w:sz w:val="20"/>
              </w:rPr>
              <w:t xml:space="preserve">More likely with long-term use: </w:t>
            </w:r>
            <w:r>
              <w:rPr>
                <w:rFonts w:cs="Arial" w:asciiTheme="minorHAnsi" w:hAnsiTheme="minorHAnsi"/>
                <w:sz w:val="20"/>
              </w:rPr>
              <w:t>G</w:t>
            </w:r>
            <w:r w:rsidRPr="00135FC6">
              <w:rPr>
                <w:rFonts w:cs="Arial" w:asciiTheme="minorHAnsi" w:hAnsiTheme="minorHAnsi"/>
                <w:sz w:val="20"/>
              </w:rPr>
              <w:t xml:space="preserve">ingival hyperplasia, </w:t>
            </w:r>
            <w:r>
              <w:rPr>
                <w:rFonts w:cs="Arial" w:asciiTheme="minorHAnsi" w:hAnsiTheme="minorHAnsi"/>
                <w:sz w:val="20"/>
              </w:rPr>
              <w:t xml:space="preserve">hirsutism, </w:t>
            </w:r>
            <w:r w:rsidRPr="00135FC6">
              <w:rPr>
                <w:rFonts w:cs="Arial" w:asciiTheme="minorHAnsi" w:hAnsiTheme="minorHAnsi"/>
                <w:sz w:val="20"/>
              </w:rPr>
              <w:t xml:space="preserve">coarsening of facial features, folic acid deficiency, vitamin D deficiency, osteomalacia and hypothyroidism (only a few case reports in patients taking thyroxine, not </w:t>
            </w:r>
            <w:r>
              <w:rPr>
                <w:rFonts w:cs="Arial" w:asciiTheme="minorHAnsi" w:hAnsiTheme="minorHAnsi"/>
                <w:sz w:val="20"/>
              </w:rPr>
              <w:t xml:space="preserve">in </w:t>
            </w:r>
            <w:r w:rsidRPr="00135FC6">
              <w:rPr>
                <w:rFonts w:cs="Arial" w:asciiTheme="minorHAnsi" w:hAnsiTheme="minorHAnsi"/>
                <w:sz w:val="20"/>
              </w:rPr>
              <w:t xml:space="preserve">euthyroid patients). </w:t>
            </w:r>
          </w:p>
          <w:p w:rsidR="006360E1" w:rsidP="00131848" w:rsidRDefault="006360E1" w14:paraId="1C1B6902" w14:textId="77777777">
            <w:pPr>
              <w:pStyle w:val="BodyText"/>
              <w:rPr>
                <w:rFonts w:cs="Arial" w:asciiTheme="minorHAnsi" w:hAnsiTheme="minorHAnsi"/>
                <w:sz w:val="20"/>
              </w:rPr>
            </w:pPr>
            <w:r w:rsidRPr="00135FC6">
              <w:rPr>
                <w:rFonts w:cs="Arial" w:asciiTheme="minorHAnsi" w:hAnsiTheme="minorHAnsi"/>
                <w:sz w:val="20"/>
              </w:rPr>
              <w:t xml:space="preserve">Rare but potentially fatal skin reaction: </w:t>
            </w:r>
            <w:r>
              <w:rPr>
                <w:rFonts w:cs="Arial" w:asciiTheme="minorHAnsi" w:hAnsiTheme="minorHAnsi"/>
                <w:sz w:val="20"/>
              </w:rPr>
              <w:t>P</w:t>
            </w:r>
            <w:r w:rsidRPr="00135FC6">
              <w:rPr>
                <w:rFonts w:cs="Arial" w:asciiTheme="minorHAnsi" w:hAnsiTheme="minorHAnsi"/>
                <w:sz w:val="20"/>
              </w:rPr>
              <w:t xml:space="preserve">henytoin is associated with </w:t>
            </w:r>
            <w:r>
              <w:rPr>
                <w:rFonts w:cs="Arial" w:asciiTheme="minorHAnsi" w:hAnsiTheme="minorHAnsi"/>
                <w:sz w:val="20"/>
              </w:rPr>
              <w:t>the anticonvulsant hypersensitivity syndrome a variant of Drug Reaction with Eosinophilia and Skin manifestations (DRESS)</w:t>
            </w:r>
            <w:r w:rsidRPr="00135FC6">
              <w:rPr>
                <w:rFonts w:cs="Arial" w:asciiTheme="minorHAnsi" w:hAnsiTheme="minorHAnsi"/>
                <w:sz w:val="20"/>
              </w:rPr>
              <w:t xml:space="preserve">. </w:t>
            </w:r>
            <w:r>
              <w:rPr>
                <w:rFonts w:cs="Arial" w:asciiTheme="minorHAnsi" w:hAnsiTheme="minorHAnsi"/>
                <w:sz w:val="20"/>
              </w:rPr>
              <w:t xml:space="preserve">If DRESS is suspected, stop phenytoin immediately. </w:t>
            </w:r>
            <w:r w:rsidRPr="00135FC6">
              <w:rPr>
                <w:rFonts w:cs="Arial" w:asciiTheme="minorHAnsi" w:hAnsiTheme="minorHAnsi"/>
                <w:sz w:val="20"/>
              </w:rPr>
              <w:t xml:space="preserve">Symptoms include: </w:t>
            </w:r>
            <w:r>
              <w:rPr>
                <w:rFonts w:cs="Arial" w:asciiTheme="minorHAnsi" w:hAnsiTheme="minorHAnsi"/>
                <w:sz w:val="20"/>
              </w:rPr>
              <w:t>skin eruptions including Stevens Johnson syndrome or toxic epidermal necrolysis, eosinophilia, a</w:t>
            </w:r>
            <w:r w:rsidRPr="00135FC6">
              <w:rPr>
                <w:rFonts w:cs="Arial" w:asciiTheme="minorHAnsi" w:hAnsiTheme="minorHAnsi"/>
                <w:sz w:val="20"/>
              </w:rPr>
              <w:t>cute hepatotoxicity; fever; and abnormal lymph nodes; facial and/or tongue swelling; hives</w:t>
            </w:r>
            <w:r>
              <w:rPr>
                <w:rFonts w:cs="Arial" w:asciiTheme="minorHAnsi" w:hAnsiTheme="minorHAnsi"/>
                <w:sz w:val="20"/>
              </w:rPr>
              <w:t>. There is marked cross-reactivity with other aromatic anti-epileptics.</w:t>
            </w:r>
            <w:r w:rsidRPr="00135FC6">
              <w:rPr>
                <w:rFonts w:cs="Arial" w:asciiTheme="minorHAnsi" w:hAnsiTheme="minorHAnsi"/>
                <w:sz w:val="20"/>
              </w:rPr>
              <w:t xml:space="preserve"> The human leukocyte antigen (HLA) allele responsible for this reaction is almost exclusively expressed in patients of Asian ancestry including Chinese, Filipino, Malaysian, South Asian Indian, Korean, Japanese and Thai. </w:t>
            </w:r>
          </w:p>
          <w:p w:rsidRPr="00135FC6" w:rsidR="006360E1" w:rsidP="00131848" w:rsidRDefault="006360E1" w14:paraId="62982367" w14:textId="77777777">
            <w:pPr>
              <w:pStyle w:val="BodyText"/>
              <w:rPr>
                <w:rFonts w:cs="Arial" w:asciiTheme="minorHAnsi" w:hAnsiTheme="minorHAnsi"/>
                <w:sz w:val="20"/>
              </w:rPr>
            </w:pPr>
            <w:r w:rsidRPr="00135FC6">
              <w:rPr>
                <w:rFonts w:cs="Arial" w:asciiTheme="minorHAnsi" w:hAnsiTheme="minorHAnsi"/>
                <w:sz w:val="20"/>
              </w:rPr>
              <w:t xml:space="preserve">Signs of phenytoin overdose: </w:t>
            </w:r>
            <w:r>
              <w:rPr>
                <w:rFonts w:cs="Arial" w:asciiTheme="minorHAnsi" w:hAnsiTheme="minorHAnsi"/>
                <w:sz w:val="20"/>
              </w:rPr>
              <w:t>N</w:t>
            </w:r>
            <w:r w:rsidRPr="00135FC6">
              <w:rPr>
                <w:rFonts w:cs="Arial" w:asciiTheme="minorHAnsi" w:hAnsiTheme="minorHAnsi"/>
                <w:sz w:val="20"/>
              </w:rPr>
              <w:t>ystagmus, cardiovascular collapse and/or CNS depression</w:t>
            </w:r>
            <w:r>
              <w:rPr>
                <w:rFonts w:cs="Arial" w:asciiTheme="minorHAnsi" w:hAnsiTheme="minorHAnsi"/>
                <w:sz w:val="20"/>
              </w:rPr>
              <w:t xml:space="preserve"> and dyskinesias</w:t>
            </w:r>
            <w:r w:rsidRPr="00135FC6">
              <w:rPr>
                <w:rFonts w:cs="Arial" w:asciiTheme="minorHAnsi" w:hAnsiTheme="minorHAnsi"/>
                <w:sz w:val="20"/>
              </w:rPr>
              <w:t>. High serum concentrations are associated with seizures.</w:t>
            </w:r>
          </w:p>
        </w:tc>
      </w:tr>
      <w:tr w:rsidRPr="003A7895" w:rsidR="006360E1" w:rsidTr="006360E1" w14:paraId="15037594" w14:textId="77777777">
        <w:trPr>
          <w:trHeight w:val="180"/>
        </w:trPr>
        <w:tc>
          <w:tcPr>
            <w:tcW w:w="1730" w:type="dxa"/>
          </w:tcPr>
          <w:p w:rsidRPr="00B53E9B" w:rsidR="006360E1" w:rsidP="00131848" w:rsidRDefault="006360E1" w14:paraId="01F33955" w14:textId="77777777">
            <w:pPr>
              <w:pStyle w:val="BodyText"/>
              <w:rPr>
                <w:rFonts w:cs="Arial"/>
                <w:b/>
                <w:bCs/>
                <w:sz w:val="20"/>
              </w:rPr>
            </w:pPr>
            <w:r w:rsidRPr="00B53E9B">
              <w:rPr>
                <w:rFonts w:cs="Arial"/>
                <w:b/>
                <w:bCs/>
                <w:sz w:val="20"/>
              </w:rPr>
              <w:t>Compatibility</w:t>
            </w:r>
          </w:p>
        </w:tc>
        <w:tc>
          <w:tcPr>
            <w:tcW w:w="7513" w:type="dxa"/>
          </w:tcPr>
          <w:p w:rsidR="006360E1" w:rsidP="00131848" w:rsidRDefault="006360E1" w14:paraId="6AEB10C0" w14:textId="77777777">
            <w:pPr>
              <w:pStyle w:val="BodyText"/>
              <w:rPr>
                <w:rFonts w:cs="Arial" w:asciiTheme="minorHAnsi" w:hAnsiTheme="minorHAnsi"/>
                <w:sz w:val="20"/>
              </w:rPr>
            </w:pPr>
            <w:r>
              <w:rPr>
                <w:rFonts w:cs="Arial" w:asciiTheme="minorHAnsi" w:hAnsiTheme="minorHAnsi"/>
                <w:sz w:val="20"/>
              </w:rPr>
              <w:t>Fluids: Sodium chloride 0.9% (for up to 2 hours)(19)</w:t>
            </w:r>
          </w:p>
          <w:p w:rsidRPr="00135FC6" w:rsidR="006360E1" w:rsidP="00131848" w:rsidRDefault="006360E1" w14:paraId="56EE74CB" w14:textId="77777777">
            <w:pPr>
              <w:pStyle w:val="BodyText"/>
              <w:rPr>
                <w:rFonts w:cs="Arial" w:asciiTheme="minorHAnsi" w:hAnsiTheme="minorHAnsi"/>
                <w:sz w:val="20"/>
              </w:rPr>
            </w:pPr>
            <w:r>
              <w:rPr>
                <w:rFonts w:cs="Arial" w:asciiTheme="minorHAnsi" w:hAnsiTheme="minorHAnsi"/>
                <w:sz w:val="20"/>
              </w:rPr>
              <w:t xml:space="preserve">Y-site: Do not mix with other drugs. </w:t>
            </w:r>
          </w:p>
        </w:tc>
      </w:tr>
      <w:tr w:rsidRPr="003A7895" w:rsidR="006360E1" w:rsidTr="006360E1" w14:paraId="59DF7732" w14:textId="77777777">
        <w:trPr>
          <w:trHeight w:val="230"/>
        </w:trPr>
        <w:tc>
          <w:tcPr>
            <w:tcW w:w="1730" w:type="dxa"/>
          </w:tcPr>
          <w:p w:rsidRPr="00B53E9B" w:rsidR="006360E1" w:rsidP="00131848" w:rsidRDefault="006360E1" w14:paraId="40C25C79" w14:textId="77777777">
            <w:pPr>
              <w:pStyle w:val="BodyText"/>
              <w:rPr>
                <w:rFonts w:cs="Arial"/>
                <w:b/>
                <w:bCs/>
                <w:sz w:val="20"/>
              </w:rPr>
            </w:pPr>
            <w:r w:rsidRPr="00B53E9B">
              <w:rPr>
                <w:rFonts w:cs="Arial"/>
                <w:b/>
                <w:bCs/>
                <w:sz w:val="20"/>
              </w:rPr>
              <w:t>Incompatibility</w:t>
            </w:r>
          </w:p>
        </w:tc>
        <w:tc>
          <w:tcPr>
            <w:tcW w:w="7513" w:type="dxa"/>
          </w:tcPr>
          <w:p w:rsidR="006360E1" w:rsidP="00131848" w:rsidRDefault="006360E1" w14:paraId="7B626026" w14:textId="77777777">
            <w:pPr>
              <w:pStyle w:val="BodyText"/>
              <w:rPr>
                <w:rFonts w:cs="Arial" w:asciiTheme="minorHAnsi" w:hAnsiTheme="minorHAnsi"/>
                <w:sz w:val="20"/>
              </w:rPr>
            </w:pPr>
            <w:r>
              <w:rPr>
                <w:rFonts w:cs="Arial" w:asciiTheme="minorHAnsi" w:hAnsiTheme="minorHAnsi"/>
                <w:sz w:val="20"/>
              </w:rPr>
              <w:t xml:space="preserve">Fluids: Glucose 5%, glucose 10% (not tested) (15), </w:t>
            </w:r>
            <w:r w:rsidRPr="00940720">
              <w:rPr>
                <w:rFonts w:cs="Arial" w:asciiTheme="minorHAnsi" w:hAnsiTheme="minorHAnsi"/>
                <w:sz w:val="20"/>
              </w:rPr>
              <w:t>sodium chloride 0.45%</w:t>
            </w:r>
            <w:r>
              <w:rPr>
                <w:rFonts w:cs="Arial" w:asciiTheme="minorHAnsi" w:hAnsiTheme="minorHAnsi"/>
                <w:sz w:val="20"/>
              </w:rPr>
              <w:t xml:space="preserve"> (19) </w:t>
            </w:r>
          </w:p>
          <w:p w:rsidRPr="00135FC6" w:rsidR="006360E1" w:rsidP="00131848" w:rsidRDefault="006360E1" w14:paraId="080F9BFA" w14:textId="77777777">
            <w:pPr>
              <w:pStyle w:val="BodyText"/>
              <w:rPr>
                <w:rFonts w:cs="Arial" w:asciiTheme="minorHAnsi" w:hAnsiTheme="minorHAnsi"/>
                <w:sz w:val="20"/>
              </w:rPr>
            </w:pPr>
            <w:r>
              <w:rPr>
                <w:rFonts w:cs="Arial" w:asciiTheme="minorHAnsi" w:hAnsiTheme="minorHAnsi"/>
                <w:sz w:val="20"/>
              </w:rPr>
              <w:t xml:space="preserve">Y-site: Amino acid and lipid solutions. Do not mix with other drugs.  </w:t>
            </w:r>
          </w:p>
        </w:tc>
      </w:tr>
      <w:tr w:rsidRPr="003A7895" w:rsidR="006360E1" w:rsidTr="006360E1" w14:paraId="5B99347B" w14:textId="77777777">
        <w:trPr>
          <w:trHeight w:val="79"/>
        </w:trPr>
        <w:tc>
          <w:tcPr>
            <w:tcW w:w="1730" w:type="dxa"/>
          </w:tcPr>
          <w:p w:rsidRPr="00B53E9B" w:rsidR="006360E1" w:rsidP="00131848" w:rsidRDefault="006360E1" w14:paraId="6CECADE6" w14:textId="77777777">
            <w:pPr>
              <w:pStyle w:val="BodyText"/>
              <w:rPr>
                <w:rFonts w:cs="Arial"/>
                <w:b/>
                <w:bCs/>
                <w:sz w:val="20"/>
              </w:rPr>
            </w:pPr>
            <w:r w:rsidRPr="00B53E9B">
              <w:rPr>
                <w:rFonts w:cs="Arial"/>
                <w:b/>
                <w:bCs/>
                <w:sz w:val="20"/>
              </w:rPr>
              <w:t>Stability</w:t>
            </w:r>
          </w:p>
        </w:tc>
        <w:tc>
          <w:tcPr>
            <w:tcW w:w="7513" w:type="dxa"/>
          </w:tcPr>
          <w:p w:rsidRPr="00135FC6" w:rsidR="006360E1" w:rsidP="00131848" w:rsidRDefault="006360E1" w14:paraId="4ED8509B" w14:textId="77777777">
            <w:pPr>
              <w:pStyle w:val="BodyText"/>
              <w:rPr>
                <w:rFonts w:cs="Arial" w:asciiTheme="minorHAnsi" w:hAnsiTheme="minorHAnsi"/>
                <w:sz w:val="20"/>
              </w:rPr>
            </w:pPr>
            <w:r w:rsidRPr="00135FC6">
              <w:rPr>
                <w:rFonts w:cs="Arial" w:asciiTheme="minorHAnsi" w:hAnsiTheme="minorHAnsi"/>
                <w:sz w:val="20"/>
                <w:lang w:val="en-US"/>
              </w:rPr>
              <w:t>Dilute</w:t>
            </w:r>
            <w:r>
              <w:rPr>
                <w:rFonts w:cs="Arial" w:asciiTheme="minorHAnsi" w:hAnsiTheme="minorHAnsi"/>
                <w:sz w:val="20"/>
                <w:lang w:val="en-US"/>
              </w:rPr>
              <w:t>d IV</w:t>
            </w:r>
            <w:r w:rsidRPr="00135FC6">
              <w:rPr>
                <w:rFonts w:cs="Arial" w:asciiTheme="minorHAnsi" w:hAnsiTheme="minorHAnsi"/>
                <w:sz w:val="20"/>
                <w:lang w:val="en-US"/>
              </w:rPr>
              <w:t xml:space="preserve"> solution should be used as soon as possible. Discard unused portion</w:t>
            </w:r>
            <w:r>
              <w:rPr>
                <w:rFonts w:cs="Arial" w:asciiTheme="minorHAnsi" w:hAnsiTheme="minorHAnsi"/>
                <w:sz w:val="20"/>
                <w:lang w:val="en-US"/>
              </w:rPr>
              <w:t>.</w:t>
            </w:r>
            <w:r w:rsidRPr="00135FC6">
              <w:rPr>
                <w:rFonts w:cs="Arial" w:asciiTheme="minorHAnsi" w:hAnsiTheme="minorHAnsi"/>
                <w:sz w:val="20"/>
                <w:lang w:val="en-US"/>
              </w:rPr>
              <w:t xml:space="preserve"> </w:t>
            </w:r>
          </w:p>
        </w:tc>
      </w:tr>
      <w:tr w:rsidRPr="003A7895" w:rsidR="006360E1" w:rsidTr="006360E1" w14:paraId="26B6EC8C" w14:textId="77777777">
        <w:trPr>
          <w:trHeight w:val="70"/>
        </w:trPr>
        <w:tc>
          <w:tcPr>
            <w:tcW w:w="1730" w:type="dxa"/>
          </w:tcPr>
          <w:p w:rsidRPr="00B53E9B" w:rsidR="006360E1" w:rsidP="00131848" w:rsidRDefault="006360E1" w14:paraId="1F7F3B49" w14:textId="77777777">
            <w:pPr>
              <w:pStyle w:val="BodyText"/>
              <w:rPr>
                <w:rFonts w:cs="Arial"/>
                <w:b/>
                <w:bCs/>
                <w:sz w:val="20"/>
              </w:rPr>
            </w:pPr>
            <w:r w:rsidRPr="00B53E9B">
              <w:rPr>
                <w:rFonts w:cs="Arial"/>
                <w:b/>
                <w:bCs/>
                <w:sz w:val="20"/>
              </w:rPr>
              <w:t xml:space="preserve">Storage </w:t>
            </w:r>
          </w:p>
        </w:tc>
        <w:tc>
          <w:tcPr>
            <w:tcW w:w="7513" w:type="dxa"/>
          </w:tcPr>
          <w:p w:rsidRPr="00135FC6" w:rsidR="006360E1" w:rsidP="00131848" w:rsidRDefault="006360E1" w14:paraId="6F1228DF" w14:textId="77777777">
            <w:pPr>
              <w:pStyle w:val="BodyText"/>
              <w:rPr>
                <w:rFonts w:cs="Arial" w:asciiTheme="minorHAnsi" w:hAnsiTheme="minorHAnsi"/>
                <w:sz w:val="20"/>
              </w:rPr>
            </w:pPr>
            <w:r w:rsidRPr="00135FC6">
              <w:rPr>
                <w:rFonts w:cs="Arial" w:asciiTheme="minorHAnsi" w:hAnsiTheme="minorHAnsi"/>
                <w:sz w:val="20"/>
              </w:rPr>
              <w:t>Store below 25°C. Protect from light.</w:t>
            </w:r>
          </w:p>
        </w:tc>
      </w:tr>
      <w:tr w:rsidRPr="003A7895" w:rsidR="006360E1" w:rsidTr="006360E1" w14:paraId="3A99C03E" w14:textId="77777777">
        <w:trPr>
          <w:trHeight w:val="70"/>
        </w:trPr>
        <w:tc>
          <w:tcPr>
            <w:tcW w:w="1730" w:type="dxa"/>
          </w:tcPr>
          <w:p w:rsidRPr="00B53E9B" w:rsidR="006360E1" w:rsidP="00131848" w:rsidRDefault="006360E1" w14:paraId="529D8250" w14:textId="77777777">
            <w:pPr>
              <w:pStyle w:val="BodyText"/>
              <w:rPr>
                <w:rFonts w:cs="Arial"/>
                <w:b/>
                <w:bCs/>
                <w:sz w:val="20"/>
              </w:rPr>
            </w:pPr>
            <w:r w:rsidRPr="00B53E9B">
              <w:rPr>
                <w:rFonts w:cs="Arial"/>
                <w:b/>
                <w:bCs/>
                <w:sz w:val="20"/>
              </w:rPr>
              <w:t>Excipients</w:t>
            </w:r>
          </w:p>
        </w:tc>
        <w:tc>
          <w:tcPr>
            <w:tcW w:w="7513" w:type="dxa"/>
          </w:tcPr>
          <w:p w:rsidR="006360E1" w:rsidP="00131848" w:rsidRDefault="006360E1" w14:paraId="7F9D0D87" w14:textId="77777777">
            <w:pPr>
              <w:pStyle w:val="BodyText"/>
              <w:rPr>
                <w:rFonts w:cs="Arial"/>
                <w:sz w:val="20"/>
              </w:rPr>
            </w:pPr>
            <w:r>
              <w:rPr>
                <w:rFonts w:cs="Arial"/>
                <w:sz w:val="20"/>
              </w:rPr>
              <w:t>IV:</w:t>
            </w:r>
            <w:r>
              <w:rPr>
                <w:rFonts w:ascii="Arial" w:hAnsi="Arial" w:cs="Arial"/>
                <w:color w:val="333333"/>
              </w:rPr>
              <w:t xml:space="preserve"> </w:t>
            </w:r>
            <w:r w:rsidRPr="001E5EDE">
              <w:rPr>
                <w:rFonts w:cs="Arial" w:asciiTheme="minorHAnsi" w:hAnsiTheme="minorHAnsi"/>
                <w:color w:val="333333"/>
                <w:sz w:val="20"/>
              </w:rPr>
              <w:t>Propylene glycol, ethanol absolute, water for injections, sodium hydroxide, hydrochloric acid</w:t>
            </w:r>
          </w:p>
          <w:p w:rsidRPr="00026F20" w:rsidR="006360E1" w:rsidP="00131848" w:rsidRDefault="006360E1" w14:paraId="471CE569" w14:textId="77777777">
            <w:pPr>
              <w:pStyle w:val="BodyText"/>
              <w:rPr>
                <w:rFonts w:cs="Arial"/>
                <w:sz w:val="20"/>
              </w:rPr>
            </w:pPr>
            <w:r>
              <w:rPr>
                <w:rFonts w:cs="Arial"/>
                <w:sz w:val="20"/>
              </w:rPr>
              <w:t xml:space="preserve">Oral suspension: </w:t>
            </w:r>
            <w:r w:rsidRPr="001E5EDE">
              <w:rPr>
                <w:rFonts w:cs="Arial" w:asciiTheme="minorHAnsi" w:hAnsiTheme="minorHAnsi"/>
                <w:color w:val="333333"/>
                <w:sz w:val="20"/>
              </w:rPr>
              <w:t>sodium benzoate, sucrose, glycerol, aluminium magnesium silicate, carmellose sodium, polysorbate 40, vanillin, orange flavour, ethanol, carmoisine, sunset yellow FCF, citric acid monohydrate, hydrochloric acid, banana flavour and purified water</w:t>
            </w:r>
          </w:p>
        </w:tc>
      </w:tr>
      <w:tr w:rsidRPr="003A7895" w:rsidR="006360E1" w:rsidTr="006360E1" w14:paraId="7FE36F5E" w14:textId="77777777">
        <w:trPr>
          <w:trHeight w:val="270"/>
        </w:trPr>
        <w:tc>
          <w:tcPr>
            <w:tcW w:w="1730" w:type="dxa"/>
          </w:tcPr>
          <w:p w:rsidRPr="00B53E9B" w:rsidR="006360E1" w:rsidP="00131848" w:rsidRDefault="006360E1" w14:paraId="3770CEDC"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13" w:type="dxa"/>
          </w:tcPr>
          <w:p w:rsidR="006360E1" w:rsidP="00131848" w:rsidRDefault="006360E1" w14:paraId="7DBC9A92" w14:textId="77777777">
            <w:pPr>
              <w:pStyle w:val="BodyText"/>
              <w:rPr>
                <w:rFonts w:cs="Arial"/>
                <w:sz w:val="20"/>
              </w:rPr>
            </w:pPr>
            <w:r w:rsidRPr="00BF46DC">
              <w:rPr>
                <w:rFonts w:cs="Arial"/>
                <w:sz w:val="20"/>
              </w:rPr>
              <w:t>Elimination half-life 7–42 hours depending on concentration. Half-life is longer in first 7 days of life.</w:t>
            </w:r>
          </w:p>
          <w:p w:rsidRPr="00026F20" w:rsidR="006360E1" w:rsidP="00131848" w:rsidRDefault="006360E1" w14:paraId="4782CC46" w14:textId="77777777">
            <w:pPr>
              <w:pStyle w:val="BodyText"/>
              <w:rPr>
                <w:rFonts w:cs="Arial"/>
                <w:sz w:val="20"/>
              </w:rPr>
            </w:pPr>
            <w:r>
              <w:rPr>
                <w:rFonts w:cs="Arial"/>
                <w:sz w:val="20"/>
              </w:rPr>
              <w:t>Tapered dosing may be required in infants with epilepsy.</w:t>
            </w:r>
          </w:p>
        </w:tc>
      </w:tr>
      <w:tr w:rsidRPr="003A7895" w:rsidR="006360E1" w:rsidTr="006360E1" w14:paraId="3CA7B486" w14:textId="77777777">
        <w:trPr>
          <w:trHeight w:val="280"/>
        </w:trPr>
        <w:tc>
          <w:tcPr>
            <w:tcW w:w="1730" w:type="dxa"/>
          </w:tcPr>
          <w:p w:rsidRPr="00B53E9B" w:rsidR="006360E1" w:rsidP="00131848" w:rsidRDefault="006360E1" w14:paraId="53347676" w14:textId="77777777">
            <w:pPr>
              <w:pStyle w:val="BodyText"/>
              <w:rPr>
                <w:rFonts w:cs="Arial"/>
                <w:b/>
                <w:bCs/>
                <w:sz w:val="20"/>
              </w:rPr>
            </w:pPr>
            <w:r w:rsidRPr="00B53E9B">
              <w:rPr>
                <w:rFonts w:cs="Arial"/>
                <w:b/>
                <w:bCs/>
                <w:sz w:val="20"/>
              </w:rPr>
              <w:t>Evidence</w:t>
            </w:r>
          </w:p>
        </w:tc>
        <w:tc>
          <w:tcPr>
            <w:tcW w:w="7513" w:type="dxa"/>
          </w:tcPr>
          <w:p w:rsidRPr="006360E1" w:rsidR="006360E1" w:rsidP="00131848" w:rsidRDefault="006360E1" w14:paraId="1EB17CE3" w14:textId="77777777">
            <w:pPr>
              <w:pStyle w:val="BodyText"/>
              <w:tabs>
                <w:tab w:val="left" w:pos="1168"/>
              </w:tabs>
              <w:rPr>
                <w:rFonts w:cs="Arial"/>
                <w:b/>
                <w:sz w:val="16"/>
                <w:szCs w:val="16"/>
              </w:rPr>
            </w:pPr>
            <w:r w:rsidRPr="006360E1">
              <w:rPr>
                <w:rFonts w:cs="Arial"/>
                <w:b/>
                <w:sz w:val="16"/>
                <w:szCs w:val="16"/>
              </w:rPr>
              <w:t xml:space="preserve">Efficacy </w:t>
            </w:r>
          </w:p>
          <w:p w:rsidRPr="006360E1" w:rsidR="006360E1" w:rsidP="00131848" w:rsidRDefault="006360E1" w14:paraId="1A10D926" w14:textId="77777777">
            <w:pPr>
              <w:pStyle w:val="BodyText"/>
              <w:tabs>
                <w:tab w:val="left" w:pos="1168"/>
              </w:tabs>
              <w:rPr>
                <w:rFonts w:cs="Arial"/>
                <w:sz w:val="16"/>
                <w:szCs w:val="16"/>
              </w:rPr>
            </w:pPr>
            <w:r w:rsidRPr="006360E1">
              <w:rPr>
                <w:rFonts w:cs="Arial"/>
                <w:sz w:val="16"/>
                <w:szCs w:val="16"/>
              </w:rPr>
              <w:t xml:space="preserve">Initial treatment of neonatal seizures: Phenytoin (free concentration target level 3 mg/L) compared to phenobarbital (phenobarbitone) (free concentration target level 25 mg/L) has been reported to have similar efficacy in control of electrical seizures (one RCT: LOE II).(1) Phenytoin 20 mg/kg compared to phenobarbital </w:t>
            </w:r>
            <w:r w:rsidRPr="006360E1">
              <w:rPr>
                <w:rFonts w:cs="Arial"/>
                <w:sz w:val="16"/>
                <w:szCs w:val="16"/>
              </w:rPr>
              <w:lastRenderedPageBreak/>
              <w:t>(phenobarbitone) 20 mg/kg was reported to be less effective in controlling clinical seizures (one RCT, LOE II).(2) Phenytoin was shown to only provide about a 10% to 15% increase in seizure control when given following phenobarbital (phenobarbitone) failure.(1) Consider phenytoin for treatment of neonatal seizures refractory to a first-line anticonvulsant. (GOR C)</w:t>
            </w:r>
          </w:p>
          <w:p w:rsidRPr="006360E1" w:rsidR="006360E1" w:rsidP="00131848" w:rsidRDefault="006360E1" w14:paraId="136741A0" w14:textId="77777777">
            <w:pPr>
              <w:pStyle w:val="BodyText"/>
              <w:tabs>
                <w:tab w:val="left" w:pos="1168"/>
              </w:tabs>
              <w:rPr>
                <w:rFonts w:cs="Arial"/>
                <w:sz w:val="16"/>
                <w:szCs w:val="16"/>
              </w:rPr>
            </w:pPr>
            <w:r w:rsidRPr="006360E1">
              <w:rPr>
                <w:rFonts w:cs="Arial"/>
                <w:sz w:val="16"/>
                <w:szCs w:val="16"/>
              </w:rPr>
              <w:t xml:space="preserve">Maintenance treatment of neonatal seizures: Evidence is insufficient to guide maintenance treatment for prevention of seizure recurrence after neonatal seizures. Current recommendations include to wean to one maintenance seizure medication prior to discharge; and consider weaning all seizure medication prior to discharge if single or rare seizures and if seizure-free for at least 48--72 hours and risk of recurrence not felt to be unusually high.(3) </w:t>
            </w:r>
          </w:p>
          <w:p w:rsidRPr="006360E1" w:rsidR="006360E1" w:rsidP="00131848" w:rsidRDefault="006360E1" w14:paraId="7B4D6127" w14:textId="77777777">
            <w:pPr>
              <w:pStyle w:val="BodyText"/>
              <w:tabs>
                <w:tab w:val="left" w:pos="1168"/>
              </w:tabs>
              <w:rPr>
                <w:rFonts w:cs="Arial"/>
                <w:sz w:val="16"/>
                <w:szCs w:val="16"/>
              </w:rPr>
            </w:pPr>
            <w:r w:rsidRPr="006360E1">
              <w:rPr>
                <w:rFonts w:cs="Arial"/>
                <w:sz w:val="16"/>
                <w:szCs w:val="16"/>
              </w:rPr>
              <w:t>Recommended dosing is phenytoin 15--20 mg/kg IV, followed by 4--10 mg/kg IV, daily in 2 to 3 divided doses with close monitoring of plasma phenytoin concentrations. Inject slowly at a rate not exceeding 1 mg/kg/min. Continuous monitoring of the electrocardiogram and blood pressure is essential.(4) (GOR B)</w:t>
            </w:r>
          </w:p>
          <w:p w:rsidRPr="006360E1" w:rsidR="006360E1" w:rsidP="00131848" w:rsidRDefault="006360E1" w14:paraId="629500B0" w14:textId="77777777">
            <w:pPr>
              <w:pStyle w:val="BodyText"/>
              <w:tabs>
                <w:tab w:val="left" w:pos="1168"/>
              </w:tabs>
              <w:rPr>
                <w:rFonts w:cs="Arial"/>
                <w:sz w:val="16"/>
                <w:szCs w:val="16"/>
              </w:rPr>
            </w:pPr>
            <w:r w:rsidRPr="006360E1">
              <w:rPr>
                <w:rFonts w:cs="Arial"/>
                <w:sz w:val="16"/>
                <w:szCs w:val="16"/>
              </w:rPr>
              <w:t>Side effects: The incidence of side effects is unclear. Reported side effects (12.5%) from a loading dose included respiratory depression, bradycardia, oxygen desaturation, drowsiness, vomiting, pyrexia, twitching and hypotension.(5) Reported side effects from maintenance treatment (all age groups) include gastrointestinal side effects (abdominal pain, nausea and vomiting); drowsiness/tiredness/fatigue/sedation; rash; decreased libido or impotence; motor disturbance (including ataxia, incoordination, nystagmus, tremor); dysmorphic and idiosyncratic side effects (gum hypertrophy, hirsutism, acne, other skin problems) and cognitive side effects and impairments, including slowing of mental function, inattention, psychomotor retardation, depression and memory problems.(6)</w:t>
            </w:r>
          </w:p>
          <w:p w:rsidRPr="006360E1" w:rsidR="006360E1" w:rsidP="00131848" w:rsidRDefault="006360E1" w14:paraId="094852F5" w14:textId="77777777">
            <w:pPr>
              <w:pStyle w:val="BodyText"/>
              <w:tabs>
                <w:tab w:val="left" w:pos="1168"/>
              </w:tabs>
              <w:rPr>
                <w:rFonts w:cs="Arial"/>
                <w:sz w:val="16"/>
                <w:szCs w:val="16"/>
              </w:rPr>
            </w:pPr>
            <w:r w:rsidRPr="006360E1">
              <w:rPr>
                <w:rFonts w:cs="Arial"/>
                <w:b/>
                <w:sz w:val="16"/>
                <w:szCs w:val="16"/>
              </w:rPr>
              <w:t>Pharmacokinetics</w:t>
            </w:r>
            <w:r w:rsidRPr="006360E1">
              <w:rPr>
                <w:rFonts w:cs="Arial"/>
                <w:sz w:val="16"/>
                <w:szCs w:val="16"/>
              </w:rPr>
              <w:t xml:space="preserve">: In children, phenytoin loading dose 20 mg/kg may result in supratherapeutic concentrations.(5) (LOE IV) </w:t>
            </w:r>
          </w:p>
          <w:p w:rsidRPr="006360E1" w:rsidR="006360E1" w:rsidP="00131848" w:rsidRDefault="006360E1" w14:paraId="36A32D83" w14:textId="77777777">
            <w:pPr>
              <w:pStyle w:val="BodyText"/>
              <w:tabs>
                <w:tab w:val="left" w:pos="1168"/>
              </w:tabs>
              <w:rPr>
                <w:rFonts w:cs="Arial"/>
                <w:sz w:val="16"/>
                <w:szCs w:val="16"/>
              </w:rPr>
            </w:pPr>
            <w:r w:rsidRPr="006360E1">
              <w:rPr>
                <w:rFonts w:cs="Arial"/>
                <w:sz w:val="16"/>
                <w:szCs w:val="16"/>
              </w:rPr>
              <w:t>During the first week after birth, plasma half-life is so variable that no fixed dosage regimen can be derived. Beyond the second week, 8 mg/kg/24 hours is probably inadequate for most infants.(9) (LOE IV) In preterm infants the t½ was much longer (75.4 ± 64.5 h) and more variable.(9) (LOE IV)</w:t>
            </w:r>
          </w:p>
          <w:p w:rsidRPr="006360E1" w:rsidR="006360E1" w:rsidP="00131848" w:rsidRDefault="006360E1" w14:paraId="2D15D062" w14:textId="77777777">
            <w:pPr>
              <w:pStyle w:val="BodyText"/>
              <w:tabs>
                <w:tab w:val="left" w:pos="1168"/>
              </w:tabs>
              <w:rPr>
                <w:rFonts w:cs="Arial"/>
                <w:sz w:val="16"/>
                <w:szCs w:val="16"/>
              </w:rPr>
            </w:pPr>
            <w:r w:rsidRPr="006360E1">
              <w:rPr>
                <w:rFonts w:cs="Arial"/>
                <w:sz w:val="16"/>
                <w:szCs w:val="16"/>
              </w:rPr>
              <w:t xml:space="preserve">Postnatal age independently influenced clearance. Switching from enteral to intravenous routes may require a dosage adjustment (enteral bioavailability 0.76, 95% CI 0.44 to 1.07), although similar serum concentrations have been reported in preterm infants irrespective of route.(10,11) (LOE IV, GOR C) </w:t>
            </w:r>
          </w:p>
          <w:p w:rsidRPr="006360E1" w:rsidR="006360E1" w:rsidP="00131848" w:rsidRDefault="006360E1" w14:paraId="38E8189E" w14:textId="77777777">
            <w:pPr>
              <w:pStyle w:val="BodyText"/>
              <w:tabs>
                <w:tab w:val="left" w:pos="1168"/>
              </w:tabs>
              <w:rPr>
                <w:rFonts w:cs="Arial"/>
                <w:sz w:val="16"/>
                <w:szCs w:val="16"/>
              </w:rPr>
            </w:pPr>
            <w:r w:rsidRPr="006360E1">
              <w:rPr>
                <w:rFonts w:cs="Arial"/>
                <w:sz w:val="16"/>
                <w:szCs w:val="16"/>
              </w:rPr>
              <w:t>In a small case series of term neonates on phenytoin as single drug or in combination with phenobarbitone, the mean daily dose of phenytoin was significantly higher in neonates on ECMO compared to non-ECMO neonates (20 vs 11mg/kg/day; p=0.04) with comparable drug levels (8.4 vs 7.4 mg/L; p=0.56 ).(8)</w:t>
            </w:r>
            <w:r w:rsidRPr="006360E1">
              <w:rPr>
                <w:rFonts w:cs="Arial"/>
                <w:sz w:val="16"/>
                <w:szCs w:val="16"/>
                <w:vertAlign w:val="superscript"/>
              </w:rPr>
              <w:t xml:space="preserve"> </w:t>
            </w:r>
            <w:r w:rsidRPr="006360E1">
              <w:rPr>
                <w:rFonts w:cs="Arial"/>
                <w:sz w:val="16"/>
                <w:szCs w:val="16"/>
              </w:rPr>
              <w:t xml:space="preserve"> </w:t>
            </w:r>
          </w:p>
          <w:p w:rsidRPr="006360E1" w:rsidR="006360E1" w:rsidP="00131848" w:rsidRDefault="006360E1" w14:paraId="3B053725" w14:textId="77777777">
            <w:pPr>
              <w:pStyle w:val="BodyText"/>
              <w:tabs>
                <w:tab w:val="left" w:pos="1168"/>
              </w:tabs>
              <w:rPr>
                <w:rFonts w:cs="Arial"/>
                <w:sz w:val="16"/>
                <w:szCs w:val="16"/>
              </w:rPr>
            </w:pPr>
            <w:r w:rsidRPr="006360E1">
              <w:rPr>
                <w:rFonts w:cs="Arial"/>
                <w:sz w:val="16"/>
                <w:szCs w:val="16"/>
              </w:rPr>
              <w:t xml:space="preserve">Monitoring: Therapeutic target for total phenytoin is 10 to 20 mg/L (40 to 80 micromol/L) and for free phenytoin 0.5 to 1.4 mg/L (2 to 5.6 micromol/L).(12) (LOE IV, GOR C). Total phenytoin concentrations are unreliable for directing therapy in critically ill children. Free phenytoin concentrations should be routinely measured in critically ill children to prevent possible intoxications and ensure therapeutic dosing.(13) </w:t>
            </w:r>
          </w:p>
          <w:p w:rsidRPr="006360E1" w:rsidR="006360E1" w:rsidP="00131848" w:rsidRDefault="006360E1" w14:paraId="522166CC" w14:textId="77777777">
            <w:pPr>
              <w:pStyle w:val="BodyText"/>
              <w:tabs>
                <w:tab w:val="left" w:pos="1168"/>
              </w:tabs>
              <w:rPr>
                <w:rFonts w:cs="Arial"/>
                <w:sz w:val="16"/>
                <w:szCs w:val="16"/>
              </w:rPr>
            </w:pPr>
            <w:r w:rsidRPr="006360E1">
              <w:rPr>
                <w:rFonts w:cs="Arial"/>
                <w:sz w:val="16"/>
                <w:szCs w:val="16"/>
              </w:rPr>
              <w:t xml:space="preserve">When free phenytoin concentrations cannot be routinely measured, use total phenytoin concentration with a derivative of the Sheiner-Tozer equation: </w:t>
            </w:r>
          </w:p>
          <w:p w:rsidRPr="006360E1" w:rsidR="006360E1" w:rsidP="00131848" w:rsidRDefault="006360E1" w14:paraId="66719093" w14:textId="77777777">
            <w:pPr>
              <w:pStyle w:val="BodyText"/>
              <w:tabs>
                <w:tab w:val="left" w:pos="1168"/>
              </w:tabs>
              <w:rPr>
                <w:rFonts w:cs="Arial"/>
                <w:sz w:val="16"/>
                <w:szCs w:val="16"/>
              </w:rPr>
            </w:pPr>
            <w:r w:rsidRPr="006360E1">
              <w:rPr>
                <w:rFonts w:cs="Arial"/>
                <w:sz w:val="16"/>
                <w:szCs w:val="16"/>
              </w:rPr>
              <w:t>Ctotaladjusted = [Ctotalmeasured x 10.2 – 0.24 x (ALB – 42) + 0.067 x (UREA – 7)+ 2.53 x VALP] ÷ 10.2.</w:t>
            </w:r>
            <w:r w:rsidRPr="006360E1">
              <w:rPr>
                <w:rFonts w:cs="Arial"/>
                <w:sz w:val="16"/>
                <w:szCs w:val="16"/>
                <w:vertAlign w:val="superscript"/>
              </w:rPr>
              <w:t>13-14</w:t>
            </w:r>
            <w:r w:rsidRPr="006360E1">
              <w:rPr>
                <w:rFonts w:cs="Arial"/>
                <w:sz w:val="16"/>
                <w:szCs w:val="16"/>
              </w:rPr>
              <w:t xml:space="preserve"> Note, however, that the Sheiner-Tozer equation and all its derivatives are regarded, in general, as biased and imprecise.(14)</w:t>
            </w:r>
          </w:p>
          <w:p w:rsidRPr="006360E1" w:rsidR="006360E1" w:rsidP="00131848" w:rsidRDefault="006360E1" w14:paraId="2DC449E5" w14:textId="77777777">
            <w:pPr>
              <w:pStyle w:val="BodyText"/>
              <w:tabs>
                <w:tab w:val="left" w:pos="1168"/>
              </w:tabs>
              <w:rPr>
                <w:rFonts w:cs="Arial"/>
                <w:sz w:val="16"/>
                <w:szCs w:val="16"/>
              </w:rPr>
            </w:pPr>
            <w:r w:rsidRPr="006360E1">
              <w:rPr>
                <w:rFonts w:cs="Arial"/>
                <w:sz w:val="16"/>
                <w:szCs w:val="16"/>
              </w:rPr>
              <w:t>In children with hypoalbuminaemia, uraemia or concomitant valproic acid use, ensure close treatment monitoring and consider a dose reduction of phenytoin a priori.(13) (LOE IV, GOR C)</w:t>
            </w:r>
          </w:p>
          <w:p w:rsidRPr="006360E1" w:rsidR="006360E1" w:rsidP="00131848" w:rsidRDefault="006360E1" w14:paraId="5E539EA5" w14:textId="77777777">
            <w:pPr>
              <w:pStyle w:val="BodyText"/>
              <w:tabs>
                <w:tab w:val="left" w:pos="1168"/>
              </w:tabs>
              <w:rPr>
                <w:rFonts w:cs="Arial"/>
                <w:sz w:val="16"/>
                <w:szCs w:val="16"/>
              </w:rPr>
            </w:pPr>
            <w:r w:rsidRPr="006360E1">
              <w:rPr>
                <w:rFonts w:cs="Arial"/>
                <w:sz w:val="16"/>
                <w:szCs w:val="16"/>
              </w:rPr>
              <w:t>To convert from mg/L (microgram/mL) the factor is 3.964. Simply multiply the mg/L value to obtain the value in micromol/L.</w:t>
            </w:r>
          </w:p>
          <w:p w:rsidRPr="006360E1" w:rsidR="006360E1" w:rsidP="00131848" w:rsidRDefault="006360E1" w14:paraId="48FA1295" w14:textId="77777777">
            <w:pPr>
              <w:pStyle w:val="BodyText"/>
              <w:tabs>
                <w:tab w:val="left" w:pos="1168"/>
              </w:tabs>
              <w:rPr>
                <w:rFonts w:cs="Arial"/>
                <w:sz w:val="16"/>
                <w:szCs w:val="16"/>
              </w:rPr>
            </w:pPr>
            <w:r w:rsidRPr="006360E1">
              <w:rPr>
                <w:rFonts w:cs="Arial"/>
                <w:sz w:val="16"/>
                <w:szCs w:val="16"/>
              </w:rPr>
              <w:t xml:space="preserve">Hypothermia can significantly reduce clearance of phenytoin compared with normothermic patients and during and after rewarming phase. There is limited data about saturable metabolism and modelled using Michaelis-Menten Kinetics in neonates. It is advisable to closely monitor the concentration of phenytoin in neonates during therapeutic cooling and rewarming phase.(7)  </w:t>
            </w:r>
          </w:p>
        </w:tc>
      </w:tr>
      <w:tr w:rsidRPr="003A7895" w:rsidR="006360E1" w:rsidTr="006360E1" w14:paraId="36DF2A1E" w14:textId="77777777">
        <w:trPr>
          <w:trHeight w:val="108"/>
        </w:trPr>
        <w:tc>
          <w:tcPr>
            <w:tcW w:w="1730" w:type="dxa"/>
          </w:tcPr>
          <w:p w:rsidRPr="00B53E9B" w:rsidR="006360E1" w:rsidP="00131848" w:rsidRDefault="006360E1" w14:paraId="08C53CB8" w14:textId="77777777">
            <w:pPr>
              <w:pStyle w:val="BodyText"/>
              <w:rPr>
                <w:rFonts w:cs="Arial"/>
                <w:b/>
                <w:bCs/>
                <w:sz w:val="20"/>
              </w:rPr>
            </w:pPr>
            <w:r w:rsidRPr="00B53E9B">
              <w:rPr>
                <w:rFonts w:cs="Arial"/>
                <w:b/>
                <w:bCs/>
                <w:sz w:val="20"/>
              </w:rPr>
              <w:lastRenderedPageBreak/>
              <w:t>Practice points</w:t>
            </w:r>
          </w:p>
        </w:tc>
        <w:tc>
          <w:tcPr>
            <w:tcW w:w="7513" w:type="dxa"/>
          </w:tcPr>
          <w:p w:rsidRPr="00026F20" w:rsidR="006360E1" w:rsidP="00131848" w:rsidRDefault="006360E1" w14:paraId="11B70FA0" w14:textId="77777777">
            <w:pPr>
              <w:pStyle w:val="BodyText"/>
              <w:tabs>
                <w:tab w:val="left" w:pos="1168"/>
              </w:tabs>
              <w:rPr>
                <w:rFonts w:cs="Arial"/>
                <w:sz w:val="20"/>
              </w:rPr>
            </w:pPr>
          </w:p>
        </w:tc>
      </w:tr>
      <w:tr w:rsidRPr="003A7895" w:rsidR="006360E1" w:rsidTr="006360E1" w14:paraId="525D2F14" w14:textId="77777777">
        <w:trPr>
          <w:trHeight w:val="70"/>
        </w:trPr>
        <w:tc>
          <w:tcPr>
            <w:tcW w:w="1730" w:type="dxa"/>
          </w:tcPr>
          <w:p w:rsidRPr="00B53E9B" w:rsidR="006360E1" w:rsidP="00131848" w:rsidRDefault="006360E1" w14:paraId="2A5F9532" w14:textId="77777777">
            <w:pPr>
              <w:pStyle w:val="BodyText"/>
              <w:rPr>
                <w:rFonts w:cs="Arial"/>
                <w:b/>
                <w:bCs/>
                <w:sz w:val="20"/>
              </w:rPr>
            </w:pPr>
            <w:r w:rsidRPr="00B53E9B">
              <w:rPr>
                <w:b/>
                <w:sz w:val="20"/>
              </w:rPr>
              <w:t>References</w:t>
            </w:r>
          </w:p>
        </w:tc>
        <w:tc>
          <w:tcPr>
            <w:tcW w:w="7513" w:type="dxa"/>
          </w:tcPr>
          <w:p w:rsidRPr="006360E1" w:rsidR="006360E1" w:rsidP="006360E1" w:rsidRDefault="006360E1" w14:paraId="2FEB5FE7" w14:textId="77777777">
            <w:pPr>
              <w:pStyle w:val="ListParagraph"/>
              <w:numPr>
                <w:ilvl w:val="0"/>
                <w:numId w:val="118"/>
              </w:numPr>
              <w:rPr>
                <w:sz w:val="16"/>
                <w:szCs w:val="16"/>
              </w:rPr>
            </w:pPr>
            <w:r w:rsidRPr="006360E1">
              <w:rPr>
                <w:sz w:val="16"/>
                <w:szCs w:val="16"/>
              </w:rPr>
              <w:t>Painter MJ, Scher MS, Stein AD, Armatti S, Wang Z, Gardiner JC, Paneth N, Minnigh B, Alvin J. Phenobarbital compared with phenytoin for the treatment of neonatal seizures. The New England journal of medicine. 1999; 341:485-9.</w:t>
            </w:r>
          </w:p>
          <w:p w:rsidRPr="006360E1" w:rsidR="006360E1" w:rsidP="006360E1" w:rsidRDefault="006360E1" w14:paraId="73CAF85B" w14:textId="77777777">
            <w:pPr>
              <w:pStyle w:val="ListParagraph"/>
              <w:numPr>
                <w:ilvl w:val="0"/>
                <w:numId w:val="118"/>
              </w:numPr>
              <w:rPr>
                <w:sz w:val="16"/>
                <w:szCs w:val="16"/>
              </w:rPr>
            </w:pPr>
            <w:r w:rsidRPr="006360E1">
              <w:rPr>
                <w:sz w:val="16"/>
                <w:szCs w:val="16"/>
              </w:rPr>
              <w:t>Pathak G, Upadhyay A, Pathak U, Chawla D, Goel SP. Phenobarbitone versus phenytoin for treatment of neonatal seizures: an open-label randomized controlled trial. Indian pediatrics. 2013; 50:753-7.</w:t>
            </w:r>
          </w:p>
          <w:p w:rsidRPr="006360E1" w:rsidR="006360E1" w:rsidP="006360E1" w:rsidRDefault="006360E1" w14:paraId="4CA6BA49" w14:textId="77777777">
            <w:pPr>
              <w:pStyle w:val="ListParagraph"/>
              <w:numPr>
                <w:ilvl w:val="0"/>
                <w:numId w:val="118"/>
              </w:numPr>
              <w:rPr>
                <w:sz w:val="16"/>
                <w:szCs w:val="16"/>
              </w:rPr>
            </w:pPr>
            <w:r w:rsidRPr="006360E1">
              <w:rPr>
                <w:sz w:val="16"/>
                <w:szCs w:val="16"/>
              </w:rPr>
              <w:t>Slaughter LA, Patel AD, Slaughter JL. Pharmacological treatment of neonatal seizures: a systematic review. Journal of child neurology. 2013; 28:351-64.</w:t>
            </w:r>
          </w:p>
          <w:p w:rsidRPr="006360E1" w:rsidR="006360E1" w:rsidP="006360E1" w:rsidRDefault="006360E1" w14:paraId="33456CD8" w14:textId="77777777">
            <w:pPr>
              <w:pStyle w:val="ListParagraph"/>
              <w:numPr>
                <w:ilvl w:val="0"/>
                <w:numId w:val="118"/>
              </w:numPr>
              <w:rPr>
                <w:sz w:val="16"/>
                <w:szCs w:val="16"/>
              </w:rPr>
            </w:pPr>
            <w:r w:rsidRPr="006360E1">
              <w:rPr>
                <w:sz w:val="16"/>
                <w:szCs w:val="16"/>
              </w:rPr>
              <w:t>Neonatal seizures. eTG complete. [Internet] Melbourne: Therapeutic Guidelines Limited; 2016.</w:t>
            </w:r>
          </w:p>
          <w:p w:rsidRPr="006360E1" w:rsidR="006360E1" w:rsidP="006360E1" w:rsidRDefault="006360E1" w14:paraId="096D6AA5" w14:textId="77777777">
            <w:pPr>
              <w:pStyle w:val="ListParagraph"/>
              <w:numPr>
                <w:ilvl w:val="0"/>
                <w:numId w:val="118"/>
              </w:numPr>
              <w:rPr>
                <w:sz w:val="16"/>
                <w:szCs w:val="16"/>
              </w:rPr>
            </w:pPr>
            <w:r w:rsidRPr="006360E1">
              <w:rPr>
                <w:sz w:val="16"/>
                <w:szCs w:val="16"/>
              </w:rPr>
              <w:t>Piper JD, Hawcutt DB, Verghese GK, Spinty S, Newland P, Appleton R. Phenytoin dosing and serum concentrations in paediatric patients requiring 20 mg/kg intravenous loading. Archives of disease in childhood. 2014; 99:585-6.</w:t>
            </w:r>
          </w:p>
          <w:p w:rsidRPr="006360E1" w:rsidR="006360E1" w:rsidP="006360E1" w:rsidRDefault="006360E1" w14:paraId="45A0FD0E" w14:textId="77777777">
            <w:pPr>
              <w:pStyle w:val="ListParagraph"/>
              <w:numPr>
                <w:ilvl w:val="0"/>
                <w:numId w:val="118"/>
              </w:numPr>
              <w:rPr>
                <w:sz w:val="16"/>
                <w:szCs w:val="16"/>
              </w:rPr>
            </w:pPr>
            <w:r w:rsidRPr="006360E1">
              <w:rPr>
                <w:sz w:val="16"/>
                <w:szCs w:val="16"/>
              </w:rPr>
              <w:t>Nolan SJ, Marson AG, Weston J, Tudur Smith C. Carbamazepine versus phenytoin monotherapy for epilepsy: an individual participant data review. The Cochrane database of systematic reviews. 2015; 8:CD001911.</w:t>
            </w:r>
          </w:p>
          <w:p w:rsidRPr="006360E1" w:rsidR="006360E1" w:rsidP="006360E1" w:rsidRDefault="006360E1" w14:paraId="4C18D601" w14:textId="77777777">
            <w:pPr>
              <w:pStyle w:val="ListParagraph"/>
              <w:numPr>
                <w:ilvl w:val="0"/>
                <w:numId w:val="118"/>
              </w:numPr>
              <w:rPr>
                <w:sz w:val="16"/>
                <w:szCs w:val="16"/>
              </w:rPr>
            </w:pPr>
            <w:r w:rsidRPr="006360E1">
              <w:rPr>
                <w:sz w:val="16"/>
                <w:szCs w:val="16"/>
              </w:rPr>
              <w:t xml:space="preserve">Williams A, Martin J, Lucas C, Bolisetty S. Rational dosing of medications for neonates receiving treatment with therapeutic hypothermia for hypoxic-ischaemic encephalopathy: A literature review with evidence based recommendations (thesis).  </w:t>
            </w:r>
          </w:p>
          <w:p w:rsidRPr="006360E1" w:rsidR="006360E1" w:rsidP="006360E1" w:rsidRDefault="006360E1" w14:paraId="6FD6CEFC" w14:textId="77777777">
            <w:pPr>
              <w:pStyle w:val="ListParagraph"/>
              <w:numPr>
                <w:ilvl w:val="0"/>
                <w:numId w:val="118"/>
              </w:numPr>
              <w:rPr>
                <w:sz w:val="16"/>
                <w:szCs w:val="16"/>
              </w:rPr>
            </w:pPr>
            <w:r w:rsidRPr="006360E1">
              <w:rPr>
                <w:sz w:val="16"/>
                <w:szCs w:val="16"/>
              </w:rPr>
              <w:lastRenderedPageBreak/>
              <w:t>Dillman NO, Messinger MM, Dinh KN, et al. Evaluation of the Effects of Extracorporeal Membrane Oxygenation on Antiepileptic Drug Serum Concentrations in Pediatric Patients. J Pediatr Pharmacol Ther. 2017; 22(5):352‐357.</w:t>
            </w:r>
          </w:p>
          <w:p w:rsidRPr="006360E1" w:rsidR="006360E1" w:rsidP="006360E1" w:rsidRDefault="006360E1" w14:paraId="1ECF8599" w14:textId="77777777">
            <w:pPr>
              <w:pStyle w:val="ListParagraph"/>
              <w:numPr>
                <w:ilvl w:val="0"/>
                <w:numId w:val="118"/>
              </w:numPr>
              <w:rPr>
                <w:sz w:val="16"/>
                <w:szCs w:val="16"/>
              </w:rPr>
            </w:pPr>
            <w:r w:rsidRPr="006360E1">
              <w:rPr>
                <w:sz w:val="16"/>
                <w:szCs w:val="16"/>
              </w:rPr>
              <w:t>Loughnan PM, Greenwald A, Purton WW, Aranda JV, Watters G, Neims AH. Pharmacokinetic observations of phenytoin disposition in the newborn and young infant. Archives of disease in childhood. 1977; 52:302-9.</w:t>
            </w:r>
          </w:p>
          <w:p w:rsidRPr="006360E1" w:rsidR="006360E1" w:rsidP="006360E1" w:rsidRDefault="006360E1" w14:paraId="1A44EF5D" w14:textId="77777777">
            <w:pPr>
              <w:pStyle w:val="ListParagraph"/>
              <w:numPr>
                <w:ilvl w:val="0"/>
                <w:numId w:val="118"/>
              </w:numPr>
              <w:rPr>
                <w:sz w:val="16"/>
                <w:szCs w:val="16"/>
              </w:rPr>
            </w:pPr>
            <w:r w:rsidRPr="006360E1">
              <w:rPr>
                <w:sz w:val="16"/>
                <w:szCs w:val="16"/>
              </w:rPr>
              <w:t>Al Za'abi M, Lanner A, Xiaonian X, Donovan T, Charles B. Application of routine monitoring data for determination of the population pharmacokinetics and enteral bioavailability of phenytoin in neonates and infants with seizures. Therapeutic drug monitoring. 2006; 28:793-9.</w:t>
            </w:r>
          </w:p>
          <w:p w:rsidRPr="006360E1" w:rsidR="006360E1" w:rsidP="006360E1" w:rsidRDefault="006360E1" w14:paraId="619F7FC6" w14:textId="77777777">
            <w:pPr>
              <w:pStyle w:val="ListParagraph"/>
              <w:numPr>
                <w:ilvl w:val="0"/>
                <w:numId w:val="118"/>
              </w:numPr>
              <w:rPr>
                <w:sz w:val="16"/>
                <w:szCs w:val="16"/>
              </w:rPr>
            </w:pPr>
            <w:r w:rsidRPr="006360E1">
              <w:rPr>
                <w:sz w:val="16"/>
                <w:szCs w:val="16"/>
              </w:rPr>
              <w:t>Frey OR, von Brenndorff AI, Probst W. Comparison of phenytoin serum concentrations in premature neonates following intravenous and oral administration. The Annals of pharmacotherapy. 1998; 32:300-3.</w:t>
            </w:r>
          </w:p>
          <w:p w:rsidRPr="006360E1" w:rsidR="006360E1" w:rsidP="006360E1" w:rsidRDefault="006360E1" w14:paraId="3EF5C996" w14:textId="77777777">
            <w:pPr>
              <w:pStyle w:val="ListParagraph"/>
              <w:numPr>
                <w:ilvl w:val="0"/>
                <w:numId w:val="118"/>
              </w:numPr>
              <w:rPr>
                <w:sz w:val="16"/>
                <w:szCs w:val="16"/>
              </w:rPr>
            </w:pPr>
            <w:r w:rsidRPr="006360E1">
              <w:rPr>
                <w:sz w:val="16"/>
                <w:szCs w:val="16"/>
              </w:rPr>
              <w:t>Wolf GK, McClain CD, Zurakowski D, Dodson B, McManus ML. Total phenytoin concentrations do not accurately predict free phenytoin concentrations in critically ill children. Pediatric critical care medicine : a journal of the Society of Critical Care Medicine and the World Federation of Pediatric Intensive and Critical Care Societies. 2006;7:434-9; quiz 40.</w:t>
            </w:r>
          </w:p>
          <w:p w:rsidRPr="006360E1" w:rsidR="006360E1" w:rsidP="006360E1" w:rsidRDefault="006360E1" w14:paraId="76436697" w14:textId="77777777">
            <w:pPr>
              <w:pStyle w:val="ListParagraph"/>
              <w:numPr>
                <w:ilvl w:val="0"/>
                <w:numId w:val="118"/>
              </w:numPr>
              <w:rPr>
                <w:sz w:val="16"/>
                <w:szCs w:val="16"/>
              </w:rPr>
            </w:pPr>
            <w:r w:rsidRPr="006360E1">
              <w:rPr>
                <w:sz w:val="16"/>
                <w:szCs w:val="16"/>
              </w:rPr>
              <w:t>ter Heine R, van Maarseveen EM, van der Westerlaken MM, Braun KP, Koudijs SM, Berg MJ, Malingre MM. The quantitative effect of serum albumin, serum urea, and valproic acid on unbound phenytoin concentrations in children. Journal of child neurology. 2014; 29:803-10.</w:t>
            </w:r>
          </w:p>
          <w:p w:rsidRPr="006360E1" w:rsidR="006360E1" w:rsidP="006360E1" w:rsidRDefault="006360E1" w14:paraId="12C3ACAA" w14:textId="77777777">
            <w:pPr>
              <w:pStyle w:val="ListParagraph"/>
              <w:numPr>
                <w:ilvl w:val="0"/>
                <w:numId w:val="118"/>
              </w:numPr>
              <w:rPr>
                <w:sz w:val="16"/>
                <w:szCs w:val="16"/>
              </w:rPr>
            </w:pPr>
            <w:r w:rsidRPr="006360E1">
              <w:rPr>
                <w:sz w:val="16"/>
                <w:szCs w:val="16"/>
              </w:rPr>
              <w:t>Kiang TK, Ensom MH. A Comprehensive Review on the Predictive Performance of the Sheiner-Tozer and Derivative Equations for the Correction of Phenytoin Concentrations. Ann Pharmacother. 2016 Apr; 50(4):311-25.</w:t>
            </w:r>
          </w:p>
          <w:p w:rsidRPr="006360E1" w:rsidR="006360E1" w:rsidP="006360E1" w:rsidRDefault="006360E1" w14:paraId="77C3A855" w14:textId="77777777">
            <w:pPr>
              <w:pStyle w:val="ListParagraph"/>
              <w:numPr>
                <w:ilvl w:val="0"/>
                <w:numId w:val="118"/>
              </w:numPr>
              <w:rPr>
                <w:sz w:val="16"/>
                <w:szCs w:val="16"/>
              </w:rPr>
            </w:pPr>
            <w:r w:rsidRPr="006360E1">
              <w:rPr>
                <w:sz w:val="16"/>
                <w:szCs w:val="16"/>
              </w:rPr>
              <w:t xml:space="preserve">Micromedex solutions. Phenytoin sodium. Accessed on 24 March 2021 </w:t>
            </w:r>
          </w:p>
          <w:p w:rsidRPr="006360E1" w:rsidR="006360E1" w:rsidP="006360E1" w:rsidRDefault="006360E1" w14:paraId="281DB606" w14:textId="77777777">
            <w:pPr>
              <w:pStyle w:val="ListParagraph"/>
              <w:numPr>
                <w:ilvl w:val="0"/>
                <w:numId w:val="118"/>
              </w:numPr>
              <w:rPr>
                <w:sz w:val="16"/>
                <w:szCs w:val="16"/>
              </w:rPr>
            </w:pPr>
            <w:r w:rsidRPr="006360E1">
              <w:rPr>
                <w:sz w:val="16"/>
                <w:szCs w:val="16"/>
              </w:rPr>
              <w:t>Pfizer Australia Pty Ltd, Dilantin product information, 2013</w:t>
            </w:r>
          </w:p>
          <w:p w:rsidRPr="006360E1" w:rsidR="006360E1" w:rsidP="006360E1" w:rsidRDefault="006360E1" w14:paraId="16DCC273" w14:textId="77777777">
            <w:pPr>
              <w:pStyle w:val="ListParagraph"/>
              <w:numPr>
                <w:ilvl w:val="0"/>
                <w:numId w:val="118"/>
              </w:numPr>
              <w:rPr>
                <w:sz w:val="16"/>
                <w:szCs w:val="16"/>
              </w:rPr>
            </w:pPr>
            <w:r w:rsidRPr="006360E1">
              <w:rPr>
                <w:sz w:val="16"/>
                <w:szCs w:val="16"/>
              </w:rPr>
              <w:t>Hospira Pty Ltd, DBL Phenytoin Injection BP, 2012</w:t>
            </w:r>
          </w:p>
          <w:p w:rsidRPr="006360E1" w:rsidR="006360E1" w:rsidP="006360E1" w:rsidRDefault="006360E1" w14:paraId="2E1C6715" w14:textId="77777777">
            <w:pPr>
              <w:pStyle w:val="ListParagraph"/>
              <w:numPr>
                <w:ilvl w:val="0"/>
                <w:numId w:val="118"/>
              </w:numPr>
              <w:rPr>
                <w:sz w:val="16"/>
                <w:szCs w:val="16"/>
              </w:rPr>
            </w:pPr>
            <w:r w:rsidRPr="006360E1">
              <w:rPr>
                <w:sz w:val="16"/>
                <w:szCs w:val="16"/>
              </w:rPr>
              <w:t>St. Louis EK, Gidal BE, Henry TR, Kaydanova Y,Krumholz A, McCabe PH, et al. Conversions between monotherapies in epilepsy: Expert consensus. Epilepsy and Behaviour 2007; 11:222-234.</w:t>
            </w:r>
          </w:p>
          <w:p w:rsidRPr="006360E1" w:rsidR="006360E1" w:rsidP="006360E1" w:rsidRDefault="006360E1" w14:paraId="12AB580A" w14:textId="77777777">
            <w:pPr>
              <w:pStyle w:val="ListParagraph"/>
              <w:numPr>
                <w:ilvl w:val="0"/>
                <w:numId w:val="118"/>
              </w:numPr>
              <w:rPr>
                <w:sz w:val="16"/>
                <w:szCs w:val="16"/>
              </w:rPr>
            </w:pPr>
            <w:r w:rsidRPr="006360E1">
              <w:rPr>
                <w:sz w:val="16"/>
                <w:szCs w:val="16"/>
              </w:rPr>
              <w:t>Australian Injectable Drugs Handbook, 6th Edition, Society of Hospital Pharmacists of Australia 2014.</w:t>
            </w:r>
          </w:p>
        </w:tc>
      </w:tr>
    </w:tbl>
    <w:p w:rsidR="00FB1E38" w:rsidP="0349FAD4" w:rsidRDefault="00FB1E38" w14:paraId="48733FB0" w14:textId="40F64167">
      <w:pPr>
        <w:rPr>
          <w:b/>
          <w:bCs/>
        </w:rPr>
      </w:pPr>
    </w:p>
    <w:p w:rsidR="00BC18BA" w:rsidP="0349FAD4" w:rsidRDefault="00BC18BA" w14:paraId="4237E91B" w14:textId="77777777">
      <w:pPr>
        <w:rPr>
          <w:b/>
          <w:bCs/>
        </w:rPr>
      </w:pPr>
    </w:p>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F07824" w:rsidTr="00FE4186" w14:paraId="343C6DA2" w14:textId="77777777">
        <w:tc>
          <w:tcPr>
            <w:tcW w:w="4535" w:type="dxa"/>
            <w:vAlign w:val="center"/>
          </w:tcPr>
          <w:bookmarkEnd w:id="480"/>
          <w:bookmarkEnd w:id="481"/>
          <w:bookmarkEnd w:id="482"/>
          <w:bookmarkEnd w:id="483"/>
          <w:bookmarkEnd w:id="484"/>
          <w:p w:rsidRPr="00E25790" w:rsidR="00F07824" w:rsidP="00FE4186" w:rsidRDefault="00F07824" w14:paraId="2D0EE6F0" w14:textId="7E9612A1">
            <w:r w:rsidRPr="00E25790">
              <w:t xml:space="preserve">Original version Date: </w:t>
            </w:r>
            <w:r w:rsidR="008966AF">
              <w:t>27/6/2016</w:t>
            </w:r>
          </w:p>
        </w:tc>
        <w:tc>
          <w:tcPr>
            <w:tcW w:w="4535" w:type="dxa"/>
            <w:vAlign w:val="center"/>
          </w:tcPr>
          <w:p w:rsidRPr="00E25790" w:rsidR="00F07824" w:rsidP="00FE4186" w:rsidRDefault="00F07824" w14:paraId="2FBE57D6" w14:textId="77777777">
            <w:r w:rsidRPr="00E25790">
              <w:t>Author: Neonatal Medicines Formulary Consensus Group</w:t>
            </w:r>
          </w:p>
        </w:tc>
      </w:tr>
      <w:tr w:rsidRPr="00E25790" w:rsidR="00F07824" w:rsidTr="00FE4186" w14:paraId="430AF0FD" w14:textId="77777777">
        <w:tc>
          <w:tcPr>
            <w:tcW w:w="4535" w:type="dxa"/>
            <w:vAlign w:val="center"/>
          </w:tcPr>
          <w:p w:rsidRPr="00E25790" w:rsidR="00F07824" w:rsidP="00FE4186" w:rsidRDefault="00F07824" w14:paraId="0D469EDF" w14:textId="6872D5B2">
            <w:pPr>
              <w:rPr>
                <w:bCs/>
              </w:rPr>
            </w:pPr>
            <w:r w:rsidRPr="00E25790">
              <w:t xml:space="preserve">Current Version number:  </w:t>
            </w:r>
            <w:r w:rsidR="006360E1">
              <w:t>5</w:t>
            </w:r>
          </w:p>
        </w:tc>
        <w:tc>
          <w:tcPr>
            <w:tcW w:w="4535" w:type="dxa"/>
            <w:vAlign w:val="center"/>
          </w:tcPr>
          <w:p w:rsidRPr="00E25790" w:rsidR="00F07824" w:rsidP="00FE4186" w:rsidRDefault="00F07824" w14:paraId="69497B45" w14:textId="4CF83AD0">
            <w:r w:rsidRPr="00E25790">
              <w:t xml:space="preserve">Version Date: </w:t>
            </w:r>
            <w:r w:rsidR="006360E1">
              <w:t>18-6-2021</w:t>
            </w:r>
          </w:p>
        </w:tc>
      </w:tr>
      <w:tr w:rsidRPr="00E25790" w:rsidR="00F07824" w:rsidTr="00FE4186" w14:paraId="0080495E" w14:textId="77777777">
        <w:tc>
          <w:tcPr>
            <w:tcW w:w="4535" w:type="dxa"/>
            <w:vAlign w:val="center"/>
          </w:tcPr>
          <w:p w:rsidRPr="00E25790" w:rsidR="00F07824" w:rsidP="00FE4186" w:rsidRDefault="00F07824" w14:paraId="15CBFB78" w14:textId="3C28816A">
            <w:r w:rsidRPr="00E25790">
              <w:t xml:space="preserve">Risk Rating: </w:t>
            </w:r>
            <w:r w:rsidR="008966AF">
              <w:t>Low</w:t>
            </w:r>
          </w:p>
        </w:tc>
        <w:tc>
          <w:tcPr>
            <w:tcW w:w="4535" w:type="dxa"/>
            <w:vAlign w:val="center"/>
          </w:tcPr>
          <w:p w:rsidRPr="00E25790" w:rsidR="00F07824" w:rsidP="00FE4186" w:rsidRDefault="00F07824" w14:paraId="4D7AF11A" w14:textId="6B2E4B99">
            <w:r w:rsidRPr="00E25790">
              <w:t xml:space="preserve">Due for Review:  </w:t>
            </w:r>
            <w:r w:rsidR="006360E1">
              <w:t>18-6-2026</w:t>
            </w:r>
          </w:p>
        </w:tc>
      </w:tr>
      <w:tr w:rsidRPr="00E25790" w:rsidR="00F07824" w:rsidTr="00FE4186" w14:paraId="5FD29495" w14:textId="77777777">
        <w:trPr>
          <w:trHeight w:val="344"/>
        </w:trPr>
        <w:tc>
          <w:tcPr>
            <w:tcW w:w="4535" w:type="dxa"/>
            <w:tcBorders>
              <w:bottom w:val="single" w:color="auto" w:sz="4" w:space="0"/>
            </w:tcBorders>
            <w:vAlign w:val="center"/>
          </w:tcPr>
          <w:p w:rsidRPr="00E25790" w:rsidR="00F07824" w:rsidP="00FE4186" w:rsidRDefault="00F07824" w14:paraId="548B433C" w14:textId="77777777">
            <w:r w:rsidRPr="00E25790">
              <w:t>Approval by: DTC</w:t>
            </w:r>
          </w:p>
        </w:tc>
        <w:tc>
          <w:tcPr>
            <w:tcW w:w="4535" w:type="dxa"/>
            <w:tcBorders>
              <w:bottom w:val="single" w:color="auto" w:sz="4" w:space="0"/>
            </w:tcBorders>
            <w:vAlign w:val="center"/>
          </w:tcPr>
          <w:p w:rsidRPr="00E25790" w:rsidR="00F07824" w:rsidP="00FE4186" w:rsidRDefault="00F07824" w14:paraId="7D9F3574" w14:textId="68F3BB25">
            <w:r w:rsidRPr="00E25790">
              <w:t xml:space="preserve">Approval Date: </w:t>
            </w:r>
            <w:r w:rsidR="00260BC8">
              <w:t>APRIL 2021</w:t>
            </w:r>
          </w:p>
        </w:tc>
      </w:tr>
    </w:tbl>
    <w:p w:rsidR="0349FAD4" w:rsidP="0349FAD4" w:rsidRDefault="0349FAD4" w14:paraId="2F74432A" w14:textId="460B62C1">
      <w:pPr>
        <w:rPr>
          <w:b/>
          <w:bCs/>
        </w:rPr>
      </w:pPr>
    </w:p>
    <w:p w:rsidRPr="00E25790" w:rsidR="00115F48" w:rsidP="006F0321" w:rsidRDefault="00115F48" w14:paraId="492FB230" w14:textId="77777777">
      <w:pPr>
        <w:rPr>
          <w:lang w:val="en-AU"/>
        </w:rPr>
      </w:pPr>
      <w:r w:rsidRPr="00E25790">
        <w:rPr>
          <w:lang w:val="en-AU"/>
        </w:rPr>
        <w:br w:type="page"/>
      </w:r>
    </w:p>
    <w:tbl>
      <w:tblPr>
        <w:tblW w:w="9049" w:type="dxa"/>
        <w:tblLayout w:type="fixed"/>
        <w:tblLook w:val="0000" w:firstRow="0" w:lastRow="0" w:firstColumn="0" w:lastColumn="0" w:noHBand="0" w:noVBand="0"/>
      </w:tblPr>
      <w:tblGrid>
        <w:gridCol w:w="4153"/>
        <w:gridCol w:w="4896"/>
      </w:tblGrid>
      <w:tr w:rsidRPr="00E25790" w:rsidR="00EB43BB" w:rsidTr="00FB1E38" w14:paraId="67CCA038"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33C36" w:rsidR="00EB43BB" w:rsidP="009469DB" w:rsidRDefault="00EB43BB" w14:paraId="45D3C22A" w14:textId="77777777">
            <w:pPr>
              <w:pStyle w:val="Heading1"/>
            </w:pPr>
            <w:bookmarkStart w:name="_Toc495481156" w:id="486"/>
            <w:bookmarkStart w:name="_Toc495481282" w:id="487"/>
            <w:bookmarkStart w:name="_Toc495481407" w:id="488"/>
            <w:bookmarkStart w:name="_Toc495501588" w:id="489"/>
            <w:bookmarkStart w:name="_Toc474506241" w:id="490"/>
            <w:bookmarkStart w:name="_Toc38106905" w:id="491"/>
            <w:bookmarkStart w:name="_Toc75340026" w:id="492"/>
            <w:r w:rsidRPr="00D33C36">
              <w:lastRenderedPageBreak/>
              <w:t>Phosphate Supplement</w:t>
            </w:r>
            <w:bookmarkEnd w:id="486"/>
            <w:bookmarkEnd w:id="487"/>
            <w:bookmarkEnd w:id="488"/>
            <w:bookmarkEnd w:id="489"/>
            <w:bookmarkEnd w:id="490"/>
            <w:bookmarkEnd w:id="491"/>
            <w:bookmarkEnd w:id="492"/>
            <w:r w:rsidRPr="00D33C36">
              <w:fldChar w:fldCharType="begin"/>
            </w:r>
            <w:r w:rsidRPr="00D33C36">
              <w:instrText>tc "Phosphate Supplement" \l 0</w:instrText>
            </w:r>
            <w:r w:rsidRPr="00D33C36">
              <w:fldChar w:fldCharType="end"/>
            </w:r>
          </w:p>
        </w:tc>
      </w:tr>
      <w:tr w:rsidRPr="00E25790" w:rsidR="00EB43BB" w:rsidTr="00FB1E38" w14:paraId="388B9221"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EB43BB" w:rsidP="006F0321" w:rsidRDefault="00EB43BB" w14:paraId="302B71D1" w14:textId="3929032E">
            <w:r w:rsidRPr="00E25790">
              <w:t>Revision Date</w:t>
            </w:r>
            <w:r w:rsidRPr="00E25790">
              <w:rPr>
                <w:b/>
              </w:rPr>
              <w:t xml:space="preserve"> : </w:t>
            </w:r>
            <w:r w:rsidR="008060CC">
              <w:rPr>
                <w:b/>
              </w:rPr>
              <w:t>9-6-2021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EB43BB" w:rsidP="006F0321" w:rsidRDefault="00EB43BB" w14:paraId="0DBA20DE" w14:textId="77777777">
            <w:r w:rsidRPr="00E25790">
              <w:t>Approved: TC, KOH</w:t>
            </w:r>
          </w:p>
        </w:tc>
      </w:tr>
    </w:tbl>
    <w:p w:rsidR="00EB43BB" w:rsidP="006F0321" w:rsidRDefault="00EB43BB" w14:paraId="5D71DFA4" w14:textId="3C228DB6"/>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72"/>
        <w:gridCol w:w="7229"/>
      </w:tblGrid>
      <w:tr w:rsidRPr="003A63FF" w:rsidR="00251AA3" w:rsidTr="00251AA3" w14:paraId="7C81450E" w14:textId="77777777">
        <w:trPr>
          <w:trHeight w:val="391"/>
        </w:trPr>
        <w:tc>
          <w:tcPr>
            <w:tcW w:w="1872" w:type="dxa"/>
          </w:tcPr>
          <w:p w:rsidRPr="00F451F4" w:rsidR="00251AA3" w:rsidP="00131848" w:rsidRDefault="00251AA3" w14:paraId="526FBED1" w14:textId="77777777">
            <w:pPr>
              <w:pStyle w:val="BodyText"/>
              <w:tabs>
                <w:tab w:val="center" w:pos="1476"/>
              </w:tabs>
              <w:rPr>
                <w:rFonts w:cs="Arial"/>
                <w:b/>
                <w:sz w:val="20"/>
              </w:rPr>
            </w:pPr>
            <w:r w:rsidRPr="00F451F4">
              <w:rPr>
                <w:rFonts w:cs="Arial"/>
                <w:b/>
                <w:sz w:val="20"/>
              </w:rPr>
              <w:t>Alert</w:t>
            </w:r>
          </w:p>
        </w:tc>
        <w:tc>
          <w:tcPr>
            <w:tcW w:w="7229" w:type="dxa"/>
          </w:tcPr>
          <w:p w:rsidR="00251AA3" w:rsidP="00131848" w:rsidRDefault="00251AA3" w14:paraId="23F84C84" w14:textId="77777777">
            <w:pPr>
              <w:pStyle w:val="BodyText"/>
              <w:rPr>
                <w:sz w:val="20"/>
              </w:rPr>
            </w:pPr>
            <w:r>
              <w:rPr>
                <w:sz w:val="20"/>
              </w:rPr>
              <w:t>Most often given in conjunction with calcium for the prevention and treatment of metabolic bone disease in preterm infants.</w:t>
            </w:r>
          </w:p>
          <w:p w:rsidR="00251AA3" w:rsidP="00131848" w:rsidRDefault="00251AA3" w14:paraId="079C2FB6" w14:textId="77777777">
            <w:pPr>
              <w:pStyle w:val="BodyText"/>
              <w:rPr>
                <w:sz w:val="20"/>
              </w:rPr>
            </w:pPr>
            <w:r w:rsidRPr="000A054A">
              <w:rPr>
                <w:sz w:val="20"/>
              </w:rPr>
              <w:t>1 mmol phosphorus</w:t>
            </w:r>
            <w:r>
              <w:rPr>
                <w:sz w:val="20"/>
              </w:rPr>
              <w:t>/phosphate (P)</w:t>
            </w:r>
            <w:r w:rsidRPr="000A054A">
              <w:rPr>
                <w:sz w:val="20"/>
              </w:rPr>
              <w:t xml:space="preserve"> = 31 mg </w:t>
            </w:r>
            <w:r>
              <w:rPr>
                <w:sz w:val="20"/>
              </w:rPr>
              <w:t xml:space="preserve">elemental </w:t>
            </w:r>
            <w:r w:rsidRPr="000A054A">
              <w:rPr>
                <w:sz w:val="20"/>
              </w:rPr>
              <w:t>phosphorus.</w:t>
            </w:r>
            <w:r>
              <w:rPr>
                <w:sz w:val="20"/>
              </w:rPr>
              <w:t xml:space="preserve"> </w:t>
            </w:r>
          </w:p>
          <w:p w:rsidR="00251AA3" w:rsidP="00131848" w:rsidRDefault="00251AA3" w14:paraId="0DDEFEBC" w14:textId="77777777">
            <w:pPr>
              <w:pStyle w:val="BodyText"/>
              <w:rPr>
                <w:sz w:val="20"/>
              </w:rPr>
            </w:pPr>
            <w:r>
              <w:rPr>
                <w:sz w:val="20"/>
              </w:rPr>
              <w:t>1 mmol elemental calcium (Ca) = 40 mg elemental calcium.</w:t>
            </w:r>
          </w:p>
          <w:p w:rsidR="00251AA3" w:rsidP="00131848" w:rsidRDefault="00251AA3" w14:paraId="3EDF2CD1" w14:textId="77777777">
            <w:pPr>
              <w:pStyle w:val="BodyText"/>
              <w:rPr>
                <w:sz w:val="20"/>
              </w:rPr>
            </w:pPr>
            <w:r w:rsidRPr="008060CC">
              <w:rPr>
                <w:sz w:val="20"/>
                <w:highlight w:val="yellow"/>
              </w:rPr>
              <w:t>Separate oral doses from calcium supplements by at least 1 hour.</w:t>
            </w:r>
          </w:p>
          <w:p w:rsidRPr="003A63FF" w:rsidR="00251AA3" w:rsidP="00131848" w:rsidRDefault="00251AA3" w14:paraId="12C72273" w14:textId="77777777">
            <w:pPr>
              <w:pStyle w:val="BodyText"/>
              <w:rPr>
                <w:sz w:val="20"/>
              </w:rPr>
            </w:pPr>
            <w:r>
              <w:rPr>
                <w:sz w:val="20"/>
              </w:rPr>
              <w:t xml:space="preserve">When using IV preparation, always check plasma sodium and potassium concentrations to assist in choosing the right phosphate preparation (e.g. sodium or </w:t>
            </w:r>
            <w:r w:rsidRPr="00B17651">
              <w:rPr>
                <w:sz w:val="20"/>
              </w:rPr>
              <w:t xml:space="preserve">potassium </w:t>
            </w:r>
            <w:r>
              <w:rPr>
                <w:sz w:val="20"/>
              </w:rPr>
              <w:t>phosphate preparation).</w:t>
            </w:r>
          </w:p>
        </w:tc>
      </w:tr>
      <w:tr w:rsidRPr="00A81CD1" w:rsidR="00251AA3" w:rsidTr="00251AA3" w14:paraId="0E407FE7" w14:textId="77777777">
        <w:trPr>
          <w:trHeight w:val="254"/>
        </w:trPr>
        <w:tc>
          <w:tcPr>
            <w:tcW w:w="1872" w:type="dxa"/>
          </w:tcPr>
          <w:p w:rsidRPr="00F451F4" w:rsidR="00251AA3" w:rsidP="00131848" w:rsidRDefault="00251AA3" w14:paraId="06431B88" w14:textId="77777777">
            <w:pPr>
              <w:pStyle w:val="BodyText"/>
              <w:rPr>
                <w:rFonts w:cs="Arial"/>
                <w:sz w:val="20"/>
              </w:rPr>
            </w:pPr>
            <w:r w:rsidRPr="00F451F4">
              <w:rPr>
                <w:rFonts w:cs="Arial"/>
                <w:b/>
                <w:bCs/>
                <w:sz w:val="20"/>
              </w:rPr>
              <w:t xml:space="preserve">Indication </w:t>
            </w:r>
          </w:p>
        </w:tc>
        <w:tc>
          <w:tcPr>
            <w:tcW w:w="7229" w:type="dxa"/>
          </w:tcPr>
          <w:p w:rsidR="00251AA3" w:rsidP="00131848" w:rsidRDefault="00251AA3" w14:paraId="5783E42E" w14:textId="77777777">
            <w:pPr>
              <w:rPr>
                <w:sz w:val="20"/>
              </w:rPr>
            </w:pPr>
            <w:r w:rsidRPr="000A054A">
              <w:rPr>
                <w:sz w:val="20"/>
              </w:rPr>
              <w:t>Treatment of Metabolic Bone Disease</w:t>
            </w:r>
            <w:r>
              <w:rPr>
                <w:sz w:val="20"/>
              </w:rPr>
              <w:t>.</w:t>
            </w:r>
          </w:p>
          <w:p w:rsidRPr="000A054A" w:rsidR="00251AA3" w:rsidP="00131848" w:rsidRDefault="00251AA3" w14:paraId="79D5A641" w14:textId="77777777">
            <w:pPr>
              <w:rPr>
                <w:sz w:val="20"/>
              </w:rPr>
            </w:pPr>
            <w:r>
              <w:rPr>
                <w:sz w:val="20"/>
              </w:rPr>
              <w:t>Treatment of hypophosphataemia.</w:t>
            </w:r>
          </w:p>
          <w:p w:rsidRPr="00A81CD1" w:rsidR="00251AA3" w:rsidP="00131848" w:rsidRDefault="00251AA3" w14:paraId="1457FAE3" w14:textId="77777777">
            <w:pPr>
              <w:rPr>
                <w:sz w:val="20"/>
              </w:rPr>
            </w:pPr>
            <w:r>
              <w:rPr>
                <w:sz w:val="20"/>
              </w:rPr>
              <w:t>Supplementation to meet the recommended daily intakes.</w:t>
            </w:r>
          </w:p>
        </w:tc>
      </w:tr>
      <w:tr w:rsidRPr="00A81CD1" w:rsidR="00251AA3" w:rsidTr="00251AA3" w14:paraId="4CE53A23" w14:textId="77777777">
        <w:trPr>
          <w:trHeight w:val="109"/>
        </w:trPr>
        <w:tc>
          <w:tcPr>
            <w:tcW w:w="1872" w:type="dxa"/>
          </w:tcPr>
          <w:p w:rsidRPr="00F451F4" w:rsidR="00251AA3" w:rsidP="00131848" w:rsidRDefault="00251AA3" w14:paraId="5B77858D" w14:textId="77777777">
            <w:pPr>
              <w:pStyle w:val="BodyText"/>
              <w:rPr>
                <w:rFonts w:cs="Arial"/>
                <w:b/>
                <w:bCs/>
                <w:sz w:val="20"/>
              </w:rPr>
            </w:pPr>
            <w:r w:rsidRPr="00F451F4">
              <w:rPr>
                <w:rFonts w:cs="Arial"/>
                <w:b/>
                <w:bCs/>
                <w:sz w:val="20"/>
              </w:rPr>
              <w:t>Action</w:t>
            </w:r>
          </w:p>
        </w:tc>
        <w:tc>
          <w:tcPr>
            <w:tcW w:w="7229" w:type="dxa"/>
          </w:tcPr>
          <w:p w:rsidRPr="00A81CD1" w:rsidR="00251AA3" w:rsidP="00131848" w:rsidRDefault="00251AA3" w14:paraId="134B5AC0" w14:textId="77777777">
            <w:pPr>
              <w:rPr>
                <w:rFonts w:cs="Arial"/>
                <w:sz w:val="20"/>
              </w:rPr>
            </w:pPr>
            <w:r w:rsidRPr="000A054A">
              <w:rPr>
                <w:rFonts w:cs="Arial"/>
                <w:sz w:val="20"/>
              </w:rPr>
              <w:t>Phosph</w:t>
            </w:r>
            <w:r>
              <w:rPr>
                <w:rFonts w:cs="Arial"/>
                <w:sz w:val="20"/>
              </w:rPr>
              <w:t>orus</w:t>
            </w:r>
            <w:r w:rsidRPr="000A054A">
              <w:rPr>
                <w:rFonts w:cs="Arial"/>
                <w:sz w:val="20"/>
              </w:rPr>
              <w:t xml:space="preserve"> is a major intracellular mineral and is important in bone mineralisation and energy production.</w:t>
            </w:r>
          </w:p>
        </w:tc>
      </w:tr>
      <w:tr w:rsidRPr="00A81CD1" w:rsidR="00251AA3" w:rsidTr="00251AA3" w14:paraId="498CBC15" w14:textId="77777777">
        <w:trPr>
          <w:trHeight w:val="266"/>
        </w:trPr>
        <w:tc>
          <w:tcPr>
            <w:tcW w:w="1872" w:type="dxa"/>
          </w:tcPr>
          <w:p w:rsidRPr="00F451F4" w:rsidR="00251AA3" w:rsidP="00131848" w:rsidRDefault="00251AA3" w14:paraId="10F42802" w14:textId="77777777">
            <w:pPr>
              <w:pStyle w:val="BodyText"/>
              <w:rPr>
                <w:rFonts w:cs="Arial"/>
                <w:sz w:val="20"/>
              </w:rPr>
            </w:pPr>
            <w:r w:rsidRPr="00F451F4">
              <w:rPr>
                <w:rFonts w:cs="Arial"/>
                <w:b/>
                <w:bCs/>
                <w:sz w:val="20"/>
              </w:rPr>
              <w:t xml:space="preserve">Drug Type                                   </w:t>
            </w:r>
          </w:p>
        </w:tc>
        <w:tc>
          <w:tcPr>
            <w:tcW w:w="7229" w:type="dxa"/>
          </w:tcPr>
          <w:p w:rsidRPr="00A81CD1" w:rsidR="00251AA3" w:rsidP="00131848" w:rsidRDefault="00251AA3" w14:paraId="01AF9FA9" w14:textId="77777777">
            <w:pPr>
              <w:pStyle w:val="BodyText"/>
              <w:rPr>
                <w:rFonts w:cs="Arial"/>
                <w:sz w:val="20"/>
              </w:rPr>
            </w:pPr>
            <w:r>
              <w:rPr>
                <w:rFonts w:cs="Arial"/>
                <w:sz w:val="20"/>
              </w:rPr>
              <w:t>Mineral</w:t>
            </w:r>
          </w:p>
        </w:tc>
      </w:tr>
      <w:tr w:rsidRPr="00A81CD1" w:rsidR="00251AA3" w:rsidTr="00251AA3" w14:paraId="3F956128" w14:textId="77777777">
        <w:trPr>
          <w:trHeight w:val="2867"/>
        </w:trPr>
        <w:tc>
          <w:tcPr>
            <w:tcW w:w="1872" w:type="dxa"/>
          </w:tcPr>
          <w:p w:rsidRPr="00F451F4" w:rsidR="00251AA3" w:rsidP="00131848" w:rsidRDefault="00251AA3" w14:paraId="3718597C" w14:textId="77777777">
            <w:pPr>
              <w:pStyle w:val="BodyText"/>
              <w:rPr>
                <w:rFonts w:cs="Arial"/>
                <w:b/>
                <w:bCs/>
                <w:sz w:val="20"/>
              </w:rPr>
            </w:pPr>
            <w:r w:rsidRPr="00F451F4">
              <w:rPr>
                <w:rFonts w:cs="Arial"/>
                <w:b/>
                <w:bCs/>
                <w:sz w:val="20"/>
              </w:rPr>
              <w:t xml:space="preserve">Trade Name                  </w:t>
            </w:r>
          </w:p>
        </w:tc>
        <w:tc>
          <w:tcPr>
            <w:tcW w:w="7229" w:type="dxa"/>
          </w:tcPr>
          <w:p w:rsidRPr="000A054A" w:rsidR="00251AA3" w:rsidP="00131848" w:rsidRDefault="00251AA3" w14:paraId="3C2DAB16" w14:textId="77777777">
            <w:pPr>
              <w:pStyle w:val="BodyText"/>
              <w:rPr>
                <w:rFonts w:cs="Arial"/>
                <w:sz w:val="20"/>
              </w:rPr>
            </w:pPr>
            <w:r w:rsidRPr="000A054A">
              <w:rPr>
                <w:rFonts w:cs="Arial"/>
                <w:sz w:val="20"/>
              </w:rPr>
              <w:t>Phosphate</w:t>
            </w:r>
            <w:r>
              <w:rPr>
                <w:rFonts w:cs="Arial"/>
                <w:sz w:val="20"/>
              </w:rPr>
              <w:t>-Phebra®</w:t>
            </w:r>
            <w:r w:rsidRPr="000A054A">
              <w:rPr>
                <w:rFonts w:cs="Arial"/>
                <w:sz w:val="20"/>
              </w:rPr>
              <w:t xml:space="preserve"> oral effervescent tablets</w:t>
            </w:r>
          </w:p>
          <w:p w:rsidRPr="000A054A" w:rsidR="00251AA3" w:rsidP="00131848" w:rsidRDefault="00251AA3" w14:paraId="3F0937F2" w14:textId="77777777">
            <w:pPr>
              <w:pStyle w:val="BodyText"/>
              <w:rPr>
                <w:rFonts w:cs="Arial"/>
                <w:sz w:val="20"/>
              </w:rPr>
            </w:pPr>
            <w:r w:rsidRPr="000A054A">
              <w:rPr>
                <w:rFonts w:cs="Arial"/>
                <w:sz w:val="20"/>
              </w:rPr>
              <w:t>Each tablet contains:</w:t>
            </w:r>
            <w:r>
              <w:rPr>
                <w:rFonts w:cs="Arial"/>
                <w:sz w:val="20"/>
              </w:rPr>
              <w:t xml:space="preserve"> </w:t>
            </w:r>
            <w:r w:rsidRPr="000A054A">
              <w:rPr>
                <w:rFonts w:cs="Arial"/>
                <w:sz w:val="20"/>
              </w:rPr>
              <w:t>16.1</w:t>
            </w:r>
            <w:r>
              <w:rPr>
                <w:rFonts w:cs="Arial"/>
                <w:sz w:val="20"/>
              </w:rPr>
              <w:t xml:space="preserve"> </w:t>
            </w:r>
            <w:r w:rsidRPr="000A054A">
              <w:rPr>
                <w:rFonts w:cs="Arial"/>
                <w:sz w:val="20"/>
              </w:rPr>
              <w:t>mmol phosphate (equivalent to 500</w:t>
            </w:r>
            <w:r>
              <w:rPr>
                <w:rFonts w:cs="Arial"/>
                <w:sz w:val="20"/>
              </w:rPr>
              <w:t xml:space="preserve"> </w:t>
            </w:r>
            <w:r w:rsidRPr="000A054A">
              <w:rPr>
                <w:rFonts w:cs="Arial"/>
                <w:sz w:val="20"/>
              </w:rPr>
              <w:t xml:space="preserve">mg </w:t>
            </w:r>
            <w:r>
              <w:rPr>
                <w:rFonts w:cs="Arial"/>
                <w:sz w:val="20"/>
              </w:rPr>
              <w:t xml:space="preserve">elemental </w:t>
            </w:r>
            <w:r w:rsidRPr="000A054A">
              <w:rPr>
                <w:rFonts w:cs="Arial"/>
                <w:sz w:val="20"/>
              </w:rPr>
              <w:t>phosph</w:t>
            </w:r>
            <w:r>
              <w:rPr>
                <w:rFonts w:cs="Arial"/>
                <w:sz w:val="20"/>
              </w:rPr>
              <w:t>orus</w:t>
            </w:r>
            <w:r w:rsidRPr="000A054A">
              <w:rPr>
                <w:rFonts w:cs="Arial"/>
                <w:sz w:val="20"/>
              </w:rPr>
              <w:t>)</w:t>
            </w:r>
            <w:r>
              <w:rPr>
                <w:rFonts w:cs="Arial"/>
                <w:sz w:val="20"/>
              </w:rPr>
              <w:t xml:space="preserve">; </w:t>
            </w:r>
            <w:r w:rsidRPr="000A054A">
              <w:rPr>
                <w:rFonts w:cs="Arial"/>
                <w:sz w:val="20"/>
              </w:rPr>
              <w:t>20.4</w:t>
            </w:r>
            <w:r>
              <w:rPr>
                <w:rFonts w:cs="Arial"/>
                <w:sz w:val="20"/>
              </w:rPr>
              <w:t xml:space="preserve"> </w:t>
            </w:r>
            <w:r w:rsidRPr="000A054A">
              <w:rPr>
                <w:rFonts w:cs="Arial"/>
                <w:sz w:val="20"/>
              </w:rPr>
              <w:t>mmol sodium</w:t>
            </w:r>
            <w:r>
              <w:rPr>
                <w:rFonts w:cs="Arial"/>
                <w:sz w:val="20"/>
              </w:rPr>
              <w:t xml:space="preserve">; </w:t>
            </w:r>
            <w:r w:rsidRPr="000A054A">
              <w:rPr>
                <w:rFonts w:cs="Arial"/>
                <w:sz w:val="20"/>
              </w:rPr>
              <w:t>3.1</w:t>
            </w:r>
            <w:r>
              <w:rPr>
                <w:rFonts w:cs="Arial"/>
                <w:sz w:val="20"/>
              </w:rPr>
              <w:t xml:space="preserve"> </w:t>
            </w:r>
            <w:r w:rsidRPr="000A054A">
              <w:rPr>
                <w:rFonts w:cs="Arial"/>
                <w:sz w:val="20"/>
              </w:rPr>
              <w:t xml:space="preserve">mmol potassium </w:t>
            </w:r>
          </w:p>
          <w:p w:rsidRPr="000A054A" w:rsidR="00251AA3" w:rsidP="00131848" w:rsidRDefault="00251AA3" w14:paraId="5FB4074B" w14:textId="77777777">
            <w:pPr>
              <w:pStyle w:val="BodyText"/>
              <w:rPr>
                <w:rFonts w:cs="Arial"/>
                <w:sz w:val="20"/>
              </w:rPr>
            </w:pPr>
          </w:p>
          <w:p w:rsidRPr="000A054A" w:rsidR="00251AA3" w:rsidP="00131848" w:rsidRDefault="00251AA3" w14:paraId="1888B3EC" w14:textId="77777777">
            <w:pPr>
              <w:pStyle w:val="BodyText"/>
              <w:rPr>
                <w:rFonts w:cs="Arial"/>
                <w:sz w:val="20"/>
              </w:rPr>
            </w:pPr>
            <w:r w:rsidRPr="000A054A">
              <w:rPr>
                <w:rFonts w:cs="Arial"/>
                <w:sz w:val="20"/>
              </w:rPr>
              <w:t>Sodium dihydrogen phosphate Phebra IV</w:t>
            </w:r>
            <w:r>
              <w:rPr>
                <w:rFonts w:cs="Arial"/>
                <w:sz w:val="20"/>
              </w:rPr>
              <w:t xml:space="preserve"> (preferred IV preparation)</w:t>
            </w:r>
          </w:p>
          <w:p w:rsidRPr="000A054A" w:rsidR="00251AA3" w:rsidP="00131848" w:rsidRDefault="00251AA3" w14:paraId="4F6B18E2" w14:textId="77777777">
            <w:pPr>
              <w:pStyle w:val="BodyText"/>
              <w:rPr>
                <w:rFonts w:cs="Arial"/>
                <w:sz w:val="20"/>
              </w:rPr>
            </w:pPr>
            <w:r w:rsidRPr="000A054A">
              <w:rPr>
                <w:rFonts w:cs="Arial"/>
                <w:sz w:val="20"/>
              </w:rPr>
              <w:t>Each 10</w:t>
            </w:r>
            <w:r>
              <w:rPr>
                <w:rFonts w:cs="Arial"/>
                <w:sz w:val="20"/>
              </w:rPr>
              <w:t xml:space="preserve"> </w:t>
            </w:r>
            <w:r w:rsidRPr="000A054A">
              <w:rPr>
                <w:rFonts w:cs="Arial"/>
                <w:sz w:val="20"/>
              </w:rPr>
              <w:t>mL vial (sodium dihydrogen phosphate 1.56</w:t>
            </w:r>
            <w:r>
              <w:rPr>
                <w:rFonts w:cs="Arial"/>
                <w:sz w:val="20"/>
              </w:rPr>
              <w:t xml:space="preserve"> </w:t>
            </w:r>
            <w:r w:rsidRPr="000A054A">
              <w:rPr>
                <w:rFonts w:cs="Arial"/>
                <w:sz w:val="20"/>
              </w:rPr>
              <w:t>g) contains:</w:t>
            </w:r>
            <w:r>
              <w:rPr>
                <w:rFonts w:cs="Arial"/>
                <w:sz w:val="20"/>
              </w:rPr>
              <w:t xml:space="preserve"> </w:t>
            </w:r>
            <w:r w:rsidRPr="000A054A">
              <w:rPr>
                <w:rFonts w:cs="Arial"/>
                <w:sz w:val="20"/>
              </w:rPr>
              <w:t>10</w:t>
            </w:r>
            <w:r>
              <w:rPr>
                <w:rFonts w:cs="Arial"/>
                <w:sz w:val="20"/>
              </w:rPr>
              <w:t xml:space="preserve"> </w:t>
            </w:r>
            <w:r w:rsidRPr="000A054A">
              <w:rPr>
                <w:rFonts w:cs="Arial"/>
                <w:sz w:val="20"/>
              </w:rPr>
              <w:t>mmol phosphate</w:t>
            </w:r>
            <w:r>
              <w:rPr>
                <w:rFonts w:cs="Arial"/>
                <w:sz w:val="20"/>
              </w:rPr>
              <w:t xml:space="preserve">; </w:t>
            </w:r>
            <w:r w:rsidRPr="000A054A">
              <w:rPr>
                <w:rFonts w:cs="Arial"/>
                <w:sz w:val="20"/>
              </w:rPr>
              <w:t>10</w:t>
            </w:r>
            <w:r>
              <w:rPr>
                <w:rFonts w:cs="Arial"/>
                <w:sz w:val="20"/>
              </w:rPr>
              <w:t xml:space="preserve"> </w:t>
            </w:r>
            <w:r w:rsidRPr="000A054A">
              <w:rPr>
                <w:rFonts w:cs="Arial"/>
                <w:sz w:val="20"/>
              </w:rPr>
              <w:t>mmol sodium</w:t>
            </w:r>
            <w:r>
              <w:rPr>
                <w:rFonts w:cs="Arial"/>
                <w:sz w:val="20"/>
              </w:rPr>
              <w:t xml:space="preserve">; </w:t>
            </w:r>
            <w:r w:rsidRPr="000A054A">
              <w:rPr>
                <w:rFonts w:cs="Arial"/>
                <w:sz w:val="20"/>
              </w:rPr>
              <w:t>20</w:t>
            </w:r>
            <w:r>
              <w:rPr>
                <w:rFonts w:cs="Arial"/>
                <w:sz w:val="20"/>
              </w:rPr>
              <w:t xml:space="preserve"> </w:t>
            </w:r>
            <w:r w:rsidRPr="000A054A">
              <w:rPr>
                <w:rFonts w:cs="Arial"/>
                <w:sz w:val="20"/>
              </w:rPr>
              <w:t>mmol hydrogen</w:t>
            </w:r>
          </w:p>
          <w:p w:rsidRPr="000A054A" w:rsidR="00251AA3" w:rsidP="00131848" w:rsidRDefault="00251AA3" w14:paraId="5AA68020" w14:textId="77777777">
            <w:pPr>
              <w:pStyle w:val="BodyText"/>
              <w:rPr>
                <w:rFonts w:cs="Arial"/>
                <w:sz w:val="20"/>
              </w:rPr>
            </w:pPr>
          </w:p>
          <w:p w:rsidRPr="000A054A" w:rsidR="00251AA3" w:rsidP="00131848" w:rsidRDefault="00251AA3" w14:paraId="408E264A" w14:textId="77777777">
            <w:pPr>
              <w:pStyle w:val="BodyText"/>
              <w:rPr>
                <w:rFonts w:cs="Arial"/>
                <w:sz w:val="20"/>
              </w:rPr>
            </w:pPr>
            <w:r w:rsidRPr="000A054A">
              <w:rPr>
                <w:rFonts w:cs="Arial"/>
                <w:sz w:val="20"/>
              </w:rPr>
              <w:t>Potassium dihydrogen phosphate concentrated injection DBL IV</w:t>
            </w:r>
          </w:p>
          <w:p w:rsidRPr="000A054A" w:rsidR="00251AA3" w:rsidP="00131848" w:rsidRDefault="00251AA3" w14:paraId="285FB67B" w14:textId="77777777">
            <w:pPr>
              <w:pStyle w:val="BodyText"/>
              <w:rPr>
                <w:rFonts w:cs="Arial"/>
                <w:sz w:val="20"/>
              </w:rPr>
            </w:pPr>
            <w:r w:rsidRPr="000A054A">
              <w:rPr>
                <w:rFonts w:cs="Arial"/>
                <w:sz w:val="20"/>
              </w:rPr>
              <w:t>Potassium dihydrogen phosphate concentrated injection Phebra IV</w:t>
            </w:r>
          </w:p>
          <w:p w:rsidRPr="00A81CD1" w:rsidR="00251AA3" w:rsidP="00131848" w:rsidRDefault="00251AA3" w14:paraId="7AE85F1A" w14:textId="77777777">
            <w:pPr>
              <w:pStyle w:val="BodyText"/>
              <w:rPr>
                <w:rFonts w:cs="Arial"/>
                <w:sz w:val="20"/>
              </w:rPr>
            </w:pPr>
            <w:r w:rsidRPr="000A054A">
              <w:rPr>
                <w:rFonts w:cs="Arial"/>
                <w:sz w:val="20"/>
              </w:rPr>
              <w:t>Each 10</w:t>
            </w:r>
            <w:r>
              <w:rPr>
                <w:rFonts w:cs="Arial"/>
                <w:sz w:val="20"/>
              </w:rPr>
              <w:t xml:space="preserve"> </w:t>
            </w:r>
            <w:r w:rsidRPr="000A054A">
              <w:rPr>
                <w:rFonts w:cs="Arial"/>
                <w:sz w:val="20"/>
              </w:rPr>
              <w:t>mL ampoule (potassium dihydrogen phosphate 1.361</w:t>
            </w:r>
            <w:r>
              <w:rPr>
                <w:rFonts w:cs="Arial"/>
                <w:sz w:val="20"/>
              </w:rPr>
              <w:t xml:space="preserve"> </w:t>
            </w:r>
            <w:r w:rsidRPr="000A054A">
              <w:rPr>
                <w:rFonts w:cs="Arial"/>
                <w:sz w:val="20"/>
              </w:rPr>
              <w:t>g) contains:</w:t>
            </w:r>
            <w:r>
              <w:rPr>
                <w:rFonts w:cs="Arial"/>
                <w:sz w:val="20"/>
              </w:rPr>
              <w:t xml:space="preserve"> </w:t>
            </w:r>
            <w:r w:rsidRPr="000A054A">
              <w:rPr>
                <w:rFonts w:cs="Arial"/>
                <w:sz w:val="20"/>
              </w:rPr>
              <w:t>10</w:t>
            </w:r>
            <w:r>
              <w:rPr>
                <w:rFonts w:cs="Arial"/>
                <w:sz w:val="20"/>
              </w:rPr>
              <w:t xml:space="preserve"> </w:t>
            </w:r>
            <w:r w:rsidRPr="000A054A">
              <w:rPr>
                <w:rFonts w:cs="Arial"/>
                <w:sz w:val="20"/>
              </w:rPr>
              <w:t>mmol phosphate</w:t>
            </w:r>
            <w:r>
              <w:rPr>
                <w:rFonts w:cs="Arial"/>
                <w:sz w:val="20"/>
              </w:rPr>
              <w:t xml:space="preserve">; </w:t>
            </w:r>
            <w:r w:rsidRPr="000A054A">
              <w:rPr>
                <w:rFonts w:cs="Arial"/>
                <w:sz w:val="20"/>
              </w:rPr>
              <w:t>10</w:t>
            </w:r>
            <w:r>
              <w:rPr>
                <w:rFonts w:cs="Arial"/>
                <w:sz w:val="20"/>
              </w:rPr>
              <w:t xml:space="preserve"> </w:t>
            </w:r>
            <w:r w:rsidRPr="000A054A">
              <w:rPr>
                <w:rFonts w:cs="Arial"/>
                <w:sz w:val="20"/>
              </w:rPr>
              <w:t>mmol potassium</w:t>
            </w:r>
            <w:r>
              <w:rPr>
                <w:rFonts w:cs="Arial"/>
                <w:sz w:val="20"/>
              </w:rPr>
              <w:t xml:space="preserve">; </w:t>
            </w:r>
            <w:r w:rsidRPr="000A054A">
              <w:rPr>
                <w:rFonts w:cs="Arial"/>
                <w:sz w:val="20"/>
              </w:rPr>
              <w:t>20</w:t>
            </w:r>
            <w:r>
              <w:rPr>
                <w:rFonts w:cs="Arial"/>
                <w:sz w:val="20"/>
              </w:rPr>
              <w:t xml:space="preserve"> </w:t>
            </w:r>
            <w:r w:rsidRPr="000A054A">
              <w:rPr>
                <w:rFonts w:cs="Arial"/>
                <w:sz w:val="20"/>
              </w:rPr>
              <w:t>mmol hydrogen</w:t>
            </w:r>
          </w:p>
        </w:tc>
      </w:tr>
      <w:tr w:rsidRPr="00A81CD1" w:rsidR="00251AA3" w:rsidTr="00251AA3" w14:paraId="0AA1B787" w14:textId="77777777">
        <w:trPr>
          <w:trHeight w:val="354"/>
        </w:trPr>
        <w:tc>
          <w:tcPr>
            <w:tcW w:w="1872" w:type="dxa"/>
          </w:tcPr>
          <w:p w:rsidRPr="00F451F4" w:rsidR="00251AA3" w:rsidP="00131848" w:rsidRDefault="00251AA3" w14:paraId="60BD06FB" w14:textId="77777777">
            <w:pPr>
              <w:pStyle w:val="BodyText"/>
              <w:rPr>
                <w:rFonts w:cs="Arial"/>
                <w:b/>
                <w:bCs/>
                <w:sz w:val="20"/>
              </w:rPr>
            </w:pPr>
            <w:r w:rsidRPr="00F451F4">
              <w:rPr>
                <w:rFonts w:cs="Arial"/>
                <w:b/>
                <w:bCs/>
                <w:sz w:val="20"/>
              </w:rPr>
              <w:t xml:space="preserve">Presentation </w:t>
            </w:r>
          </w:p>
        </w:tc>
        <w:tc>
          <w:tcPr>
            <w:tcW w:w="7229" w:type="dxa"/>
          </w:tcPr>
          <w:p w:rsidR="00251AA3" w:rsidP="00131848" w:rsidRDefault="00251AA3" w14:paraId="4EC1C803" w14:textId="77777777">
            <w:pPr>
              <w:pStyle w:val="BodyText"/>
              <w:ind w:left="34"/>
              <w:rPr>
                <w:rFonts w:cs="Arial"/>
                <w:sz w:val="20"/>
              </w:rPr>
            </w:pPr>
            <w:r>
              <w:rPr>
                <w:rFonts w:cs="Arial"/>
                <w:sz w:val="20"/>
              </w:rPr>
              <w:t>Oral: 500 mg effervescent tablets; IV preparation (e.g. sodium or potassium dihydrogen phosphate) can be given orally.</w:t>
            </w:r>
          </w:p>
          <w:p w:rsidRPr="00A81CD1" w:rsidR="00251AA3" w:rsidP="00131848" w:rsidRDefault="00251AA3" w14:paraId="7B230C74" w14:textId="77777777">
            <w:pPr>
              <w:pStyle w:val="BodyText"/>
              <w:ind w:left="34"/>
              <w:rPr>
                <w:rFonts w:cs="Arial"/>
                <w:sz w:val="20"/>
              </w:rPr>
            </w:pPr>
            <w:r>
              <w:rPr>
                <w:rFonts w:cs="Arial"/>
                <w:sz w:val="20"/>
              </w:rPr>
              <w:t xml:space="preserve">IV: Sodium dihydrogen phosphate 10 mL vial; </w:t>
            </w:r>
            <w:r w:rsidRPr="000A054A">
              <w:rPr>
                <w:rFonts w:cs="Arial"/>
                <w:sz w:val="20"/>
              </w:rPr>
              <w:t>Potassium dihydrogen phosphate concentrated injection</w:t>
            </w:r>
            <w:r>
              <w:rPr>
                <w:rFonts w:cs="Arial"/>
                <w:sz w:val="20"/>
              </w:rPr>
              <w:t xml:space="preserve"> 10 mL ampoule. </w:t>
            </w:r>
          </w:p>
        </w:tc>
      </w:tr>
      <w:tr w:rsidRPr="009E158B" w:rsidR="00251AA3" w:rsidTr="00251AA3" w14:paraId="51F010AF" w14:textId="77777777">
        <w:trPr>
          <w:trHeight w:val="250"/>
        </w:trPr>
        <w:tc>
          <w:tcPr>
            <w:tcW w:w="1872" w:type="dxa"/>
          </w:tcPr>
          <w:p w:rsidRPr="00F451F4" w:rsidR="00251AA3" w:rsidP="00131848" w:rsidRDefault="00251AA3" w14:paraId="790A7368" w14:textId="77777777">
            <w:pPr>
              <w:pStyle w:val="BodyText"/>
              <w:rPr>
                <w:rFonts w:cs="Arial"/>
                <w:b/>
                <w:bCs/>
                <w:sz w:val="20"/>
              </w:rPr>
            </w:pPr>
            <w:r w:rsidRPr="00F451F4">
              <w:rPr>
                <w:rFonts w:cs="Arial"/>
                <w:b/>
                <w:bCs/>
                <w:sz w:val="20"/>
              </w:rPr>
              <w:t xml:space="preserve">Dose                           </w:t>
            </w:r>
          </w:p>
          <w:p w:rsidRPr="00F451F4" w:rsidR="00251AA3" w:rsidP="00131848" w:rsidRDefault="00251AA3" w14:paraId="20FA53EB" w14:textId="77777777">
            <w:pPr>
              <w:pStyle w:val="BodyText"/>
              <w:rPr>
                <w:rFonts w:cs="Arial"/>
                <w:sz w:val="20"/>
              </w:rPr>
            </w:pPr>
          </w:p>
        </w:tc>
        <w:tc>
          <w:tcPr>
            <w:tcW w:w="7229" w:type="dxa"/>
          </w:tcPr>
          <w:p w:rsidR="00251AA3" w:rsidP="00131848" w:rsidRDefault="00251AA3" w14:paraId="3E723104" w14:textId="77777777">
            <w:pPr>
              <w:rPr>
                <w:rFonts w:cs="Arial"/>
                <w:b/>
                <w:sz w:val="20"/>
              </w:rPr>
            </w:pPr>
            <w:r>
              <w:rPr>
                <w:rFonts w:cs="Arial"/>
                <w:b/>
                <w:sz w:val="20"/>
              </w:rPr>
              <w:t xml:space="preserve">Treatment of </w:t>
            </w:r>
            <w:r w:rsidRPr="007B5DDE">
              <w:rPr>
                <w:rFonts w:cs="Arial"/>
                <w:b/>
                <w:sz w:val="20"/>
              </w:rPr>
              <w:t xml:space="preserve">metabolic bone disease </w:t>
            </w:r>
            <w:r>
              <w:rPr>
                <w:rFonts w:cs="Arial"/>
                <w:b/>
                <w:sz w:val="20"/>
              </w:rPr>
              <w:t>(MBD)</w:t>
            </w:r>
          </w:p>
          <w:p w:rsidR="00251AA3" w:rsidP="00131848" w:rsidRDefault="00251AA3" w14:paraId="3DCF4DB4" w14:textId="77777777">
            <w:pPr>
              <w:rPr>
                <w:rFonts w:cs="Arial"/>
                <w:b/>
                <w:sz w:val="20"/>
              </w:rPr>
            </w:pPr>
          </w:p>
          <w:p w:rsidRPr="00947679" w:rsidR="00251AA3" w:rsidP="00131848" w:rsidRDefault="00251AA3" w14:paraId="54E4D7C5" w14:textId="77777777">
            <w:pPr>
              <w:ind w:left="720"/>
              <w:rPr>
                <w:rFonts w:cs="Arial"/>
                <w:sz w:val="20"/>
              </w:rPr>
            </w:pPr>
            <w:r w:rsidRPr="00947679">
              <w:rPr>
                <w:rFonts w:cs="Arial"/>
                <w:sz w:val="20"/>
              </w:rPr>
              <w:t xml:space="preserve">PO: 1 to 3 mmol/kg/day in 2-4 divided doses as an addition to intake from milk and other sources to a maximum intake of 4.5 mmol/kg/day. </w:t>
            </w:r>
          </w:p>
          <w:p w:rsidRPr="00947679" w:rsidR="00251AA3" w:rsidP="00131848" w:rsidRDefault="00251AA3" w14:paraId="6A367130" w14:textId="77777777">
            <w:pPr>
              <w:ind w:left="720"/>
              <w:rPr>
                <w:rFonts w:cs="Arial"/>
                <w:sz w:val="20"/>
              </w:rPr>
            </w:pPr>
          </w:p>
          <w:p w:rsidRPr="00947679" w:rsidR="00251AA3" w:rsidP="00131848" w:rsidRDefault="00251AA3" w14:paraId="45A1295C" w14:textId="77777777">
            <w:pPr>
              <w:ind w:left="720"/>
              <w:rPr>
                <w:rFonts w:cs="Arial"/>
                <w:sz w:val="20"/>
              </w:rPr>
            </w:pPr>
            <w:r w:rsidRPr="00947679">
              <w:rPr>
                <w:rFonts w:cs="Arial"/>
                <w:sz w:val="20"/>
              </w:rPr>
              <w:t xml:space="preserve">Use either Sodium dihydrogen phosphate Phebra IV preparation or Phosphate-Sandoz tablets. </w:t>
            </w:r>
          </w:p>
          <w:p w:rsidR="00251AA3" w:rsidP="00131848" w:rsidRDefault="00251AA3" w14:paraId="52BC8FFA" w14:textId="77777777">
            <w:pPr>
              <w:ind w:left="720"/>
              <w:rPr>
                <w:rFonts w:cs="Arial"/>
                <w:sz w:val="20"/>
              </w:rPr>
            </w:pPr>
          </w:p>
          <w:p w:rsidRPr="00461D85" w:rsidR="00251AA3" w:rsidP="00131848" w:rsidRDefault="00251AA3" w14:paraId="26EC56B1" w14:textId="77777777">
            <w:pPr>
              <w:ind w:left="720"/>
              <w:rPr>
                <w:rFonts w:cs="Arial"/>
                <w:b/>
                <w:sz w:val="20"/>
              </w:rPr>
            </w:pPr>
            <w:r w:rsidRPr="00461D85">
              <w:rPr>
                <w:rFonts w:cs="Arial"/>
                <w:b/>
                <w:sz w:val="20"/>
              </w:rPr>
              <w:t>General principles</w:t>
            </w:r>
            <w:r>
              <w:rPr>
                <w:rFonts w:cs="Arial"/>
                <w:b/>
                <w:sz w:val="20"/>
              </w:rPr>
              <w:t xml:space="preserve"> of treatment of MBD</w:t>
            </w:r>
            <w:r w:rsidRPr="00461D85">
              <w:rPr>
                <w:rFonts w:cs="Arial"/>
                <w:b/>
                <w:sz w:val="20"/>
              </w:rPr>
              <w:t>:</w:t>
            </w:r>
          </w:p>
          <w:p w:rsidRPr="001465FF" w:rsidR="00251AA3" w:rsidP="001B0E05" w:rsidRDefault="00251AA3" w14:paraId="53C69B37" w14:textId="77777777">
            <w:pPr>
              <w:pStyle w:val="ListParagraph"/>
              <w:numPr>
                <w:ilvl w:val="0"/>
                <w:numId w:val="119"/>
              </w:numPr>
              <w:spacing w:after="200" w:line="276" w:lineRule="auto"/>
              <w:rPr>
                <w:rFonts w:cs="Arial"/>
                <w:sz w:val="20"/>
              </w:rPr>
            </w:pPr>
            <w:r w:rsidRPr="001465FF">
              <w:rPr>
                <w:rFonts w:cs="Arial"/>
                <w:sz w:val="20"/>
              </w:rPr>
              <w:t>Commence at low</w:t>
            </w:r>
            <w:r>
              <w:rPr>
                <w:rFonts w:cs="Arial"/>
                <w:sz w:val="20"/>
              </w:rPr>
              <w:t xml:space="preserve"> dose</w:t>
            </w:r>
            <w:r w:rsidRPr="001465FF">
              <w:rPr>
                <w:rFonts w:cs="Arial"/>
                <w:sz w:val="20"/>
              </w:rPr>
              <w:t xml:space="preserve"> (e.g. 1 mmol/kg/day) and titrate the dose up as tolerated.</w:t>
            </w:r>
          </w:p>
          <w:p w:rsidRPr="001465FF" w:rsidR="00251AA3" w:rsidP="001B0E05" w:rsidRDefault="00251AA3" w14:paraId="053D81CC" w14:textId="77777777">
            <w:pPr>
              <w:pStyle w:val="ListParagraph"/>
              <w:numPr>
                <w:ilvl w:val="0"/>
                <w:numId w:val="119"/>
              </w:numPr>
              <w:spacing w:after="200" w:line="276" w:lineRule="auto"/>
              <w:rPr>
                <w:rFonts w:cs="Arial"/>
                <w:sz w:val="20"/>
              </w:rPr>
            </w:pPr>
            <w:r w:rsidRPr="001465FF">
              <w:rPr>
                <w:rFonts w:cs="Arial"/>
                <w:sz w:val="20"/>
              </w:rPr>
              <w:t>Given in conjunction with calcium supplementation (but not together -</w:t>
            </w:r>
            <w:r>
              <w:t xml:space="preserve"> </w:t>
            </w:r>
            <w:r w:rsidRPr="001465FF">
              <w:rPr>
                <w:rFonts w:cs="Arial"/>
                <w:sz w:val="20"/>
              </w:rPr>
              <w:t xml:space="preserve">example: </w:t>
            </w:r>
            <w:r w:rsidRPr="001465FF">
              <w:rPr>
                <w:rFonts w:cs="Arial"/>
                <w:b/>
                <w:sz w:val="20"/>
              </w:rPr>
              <w:t>Calcium</w:t>
            </w:r>
            <w:r w:rsidRPr="001465FF">
              <w:rPr>
                <w:rFonts w:cs="Arial"/>
                <w:sz w:val="20"/>
              </w:rPr>
              <w:t xml:space="preserve"> 8 AM, 2 PM, 8 PM and </w:t>
            </w:r>
            <w:r w:rsidRPr="001465FF">
              <w:rPr>
                <w:rFonts w:cs="Arial"/>
                <w:b/>
                <w:sz w:val="20"/>
              </w:rPr>
              <w:t>Phosphorus</w:t>
            </w:r>
            <w:r w:rsidRPr="001465FF">
              <w:rPr>
                <w:rFonts w:cs="Arial"/>
                <w:sz w:val="20"/>
              </w:rPr>
              <w:t xml:space="preserve"> 6 AM, 12 MD, 6 PM )</w:t>
            </w:r>
          </w:p>
          <w:p w:rsidRPr="001465FF" w:rsidR="00251AA3" w:rsidP="001B0E05" w:rsidRDefault="00251AA3" w14:paraId="23A92968" w14:textId="77777777">
            <w:pPr>
              <w:pStyle w:val="ListParagraph"/>
              <w:numPr>
                <w:ilvl w:val="0"/>
                <w:numId w:val="119"/>
              </w:numPr>
              <w:spacing w:after="200" w:line="276" w:lineRule="auto"/>
              <w:rPr>
                <w:rFonts w:cs="Arial"/>
                <w:sz w:val="20"/>
              </w:rPr>
            </w:pPr>
            <w:r w:rsidRPr="001465FF">
              <w:rPr>
                <w:rFonts w:cs="Arial"/>
                <w:sz w:val="20"/>
              </w:rPr>
              <w:t xml:space="preserve">Aim </w:t>
            </w:r>
            <w:r>
              <w:rPr>
                <w:rFonts w:cs="Arial"/>
                <w:sz w:val="20"/>
              </w:rPr>
              <w:t xml:space="preserve">to reach </w:t>
            </w:r>
            <w:r w:rsidRPr="001465FF">
              <w:rPr>
                <w:rFonts w:cs="Arial"/>
                <w:sz w:val="20"/>
              </w:rPr>
              <w:t xml:space="preserve">the upper end of the recommended </w:t>
            </w:r>
            <w:r>
              <w:rPr>
                <w:rFonts w:cs="Arial"/>
                <w:sz w:val="20"/>
              </w:rPr>
              <w:t xml:space="preserve">intake: </w:t>
            </w:r>
            <w:r w:rsidRPr="001465FF">
              <w:rPr>
                <w:rFonts w:cs="Arial"/>
                <w:sz w:val="20"/>
              </w:rPr>
              <w:t>Ca 5 mmol/kg/day and P 4.5 mmol/kg/day.</w:t>
            </w:r>
            <w:r>
              <w:rPr>
                <w:rFonts w:cs="Arial"/>
                <w:sz w:val="20"/>
                <w:vertAlign w:val="superscript"/>
              </w:rPr>
              <w:t>8</w:t>
            </w:r>
            <w:r w:rsidRPr="001465FF">
              <w:rPr>
                <w:rFonts w:cs="Arial"/>
                <w:sz w:val="20"/>
              </w:rPr>
              <w:t xml:space="preserve"> </w:t>
            </w:r>
          </w:p>
          <w:p w:rsidRPr="001465FF" w:rsidR="00251AA3" w:rsidP="001B0E05" w:rsidRDefault="00251AA3" w14:paraId="2BA63A66" w14:textId="77777777">
            <w:pPr>
              <w:pStyle w:val="ListParagraph"/>
              <w:numPr>
                <w:ilvl w:val="0"/>
                <w:numId w:val="119"/>
              </w:numPr>
              <w:spacing w:after="200" w:line="276" w:lineRule="auto"/>
              <w:rPr>
                <w:rFonts w:cs="Arial"/>
                <w:sz w:val="20"/>
              </w:rPr>
            </w:pPr>
            <w:r w:rsidRPr="001465FF">
              <w:rPr>
                <w:rFonts w:cs="Arial"/>
                <w:sz w:val="20"/>
              </w:rPr>
              <w:lastRenderedPageBreak/>
              <w:t>Dose can be adjusted with a goal of slight excess supply aiming for urinary calcium ≥1.2mmol/L and phosphate ≥0.4 mmol/L.</w:t>
            </w:r>
          </w:p>
          <w:p w:rsidR="00251AA3" w:rsidP="00131848" w:rsidRDefault="00251AA3" w14:paraId="231B16B3" w14:textId="77777777">
            <w:pPr>
              <w:rPr>
                <w:rFonts w:cs="Arial"/>
                <w:b/>
                <w:sz w:val="20"/>
              </w:rPr>
            </w:pPr>
          </w:p>
          <w:p w:rsidRPr="002E2165" w:rsidR="00251AA3" w:rsidP="00131848" w:rsidRDefault="00251AA3" w14:paraId="61429AFB" w14:textId="77777777">
            <w:pPr>
              <w:rPr>
                <w:rFonts w:cs="Arial"/>
                <w:b/>
                <w:sz w:val="20"/>
              </w:rPr>
            </w:pPr>
            <w:r w:rsidRPr="002E2165">
              <w:rPr>
                <w:rFonts w:cs="Arial"/>
                <w:b/>
                <w:sz w:val="20"/>
              </w:rPr>
              <w:t xml:space="preserve">Treatment of acute hypophosphataemia </w:t>
            </w:r>
          </w:p>
          <w:p w:rsidR="00251AA3" w:rsidP="00131848" w:rsidRDefault="00251AA3" w14:paraId="534073BD" w14:textId="77777777">
            <w:pPr>
              <w:ind w:left="720"/>
              <w:rPr>
                <w:rFonts w:cs="Arial"/>
                <w:sz w:val="20"/>
              </w:rPr>
            </w:pPr>
            <w:r>
              <w:rPr>
                <w:rFonts w:cs="Arial"/>
                <w:sz w:val="20"/>
              </w:rPr>
              <w:t xml:space="preserve">IV: 0.2 mmol/kg/dose [range </w:t>
            </w:r>
            <w:r w:rsidRPr="00B50194">
              <w:rPr>
                <w:rFonts w:cs="Arial"/>
                <w:sz w:val="20"/>
              </w:rPr>
              <w:t>0.15</w:t>
            </w:r>
            <w:r>
              <w:rPr>
                <w:rFonts w:cs="Arial"/>
                <w:sz w:val="20"/>
              </w:rPr>
              <w:t>–</w:t>
            </w:r>
            <w:r w:rsidRPr="00B50194">
              <w:rPr>
                <w:rFonts w:cs="Arial"/>
                <w:sz w:val="20"/>
              </w:rPr>
              <w:t>0.33 mmol/kg/dose</w:t>
            </w:r>
            <w:r>
              <w:rPr>
                <w:rFonts w:cs="Arial"/>
                <w:sz w:val="20"/>
              </w:rPr>
              <w:t>]</w:t>
            </w:r>
            <w:r w:rsidRPr="00B50194">
              <w:rPr>
                <w:rFonts w:cs="Arial"/>
                <w:sz w:val="20"/>
              </w:rPr>
              <w:t xml:space="preserve"> over 6 hours. Repeat as necessary</w:t>
            </w:r>
            <w:r>
              <w:rPr>
                <w:rFonts w:cs="Arial"/>
                <w:sz w:val="20"/>
              </w:rPr>
              <w:t xml:space="preserve">. </w:t>
            </w:r>
            <w:r w:rsidRPr="007B5DDE">
              <w:rPr>
                <w:rFonts w:cs="Arial"/>
                <w:sz w:val="20"/>
              </w:rPr>
              <w:t>Aim to maintain normophosphat</w:t>
            </w:r>
            <w:r>
              <w:rPr>
                <w:rFonts w:cs="Arial"/>
                <w:sz w:val="20"/>
              </w:rPr>
              <w:t>ae</w:t>
            </w:r>
            <w:r w:rsidRPr="007B5DDE">
              <w:rPr>
                <w:rFonts w:cs="Arial"/>
                <w:sz w:val="20"/>
              </w:rPr>
              <w:t>mia of 1.8</w:t>
            </w:r>
            <w:r>
              <w:rPr>
                <w:rFonts w:cs="Arial"/>
                <w:sz w:val="20"/>
              </w:rPr>
              <w:t>–</w:t>
            </w:r>
            <w:r w:rsidRPr="007B5DDE">
              <w:rPr>
                <w:rFonts w:cs="Arial"/>
                <w:sz w:val="20"/>
              </w:rPr>
              <w:t>2.6 mmol/L (5.6</w:t>
            </w:r>
            <w:r>
              <w:rPr>
                <w:rFonts w:cs="Arial"/>
                <w:sz w:val="20"/>
              </w:rPr>
              <w:t>–</w:t>
            </w:r>
            <w:r w:rsidRPr="007B5DDE">
              <w:rPr>
                <w:rFonts w:cs="Arial"/>
                <w:sz w:val="20"/>
              </w:rPr>
              <w:t>8.1 mg/dl)</w:t>
            </w:r>
            <w:r>
              <w:rPr>
                <w:rFonts w:cs="Arial"/>
                <w:sz w:val="20"/>
              </w:rPr>
              <w:t>.</w:t>
            </w:r>
          </w:p>
          <w:p w:rsidR="00251AA3" w:rsidP="00131848" w:rsidRDefault="00251AA3" w14:paraId="6AA4EA5B" w14:textId="77777777">
            <w:pPr>
              <w:ind w:left="720"/>
              <w:rPr>
                <w:rFonts w:cs="Arial"/>
                <w:sz w:val="20"/>
              </w:rPr>
            </w:pPr>
          </w:p>
          <w:p w:rsidR="00251AA3" w:rsidP="00131848" w:rsidRDefault="00251AA3" w14:paraId="53BF96F3" w14:textId="77777777">
            <w:pPr>
              <w:rPr>
                <w:rFonts w:cs="Arial"/>
                <w:b/>
                <w:sz w:val="20"/>
              </w:rPr>
            </w:pPr>
            <w:r>
              <w:rPr>
                <w:rFonts w:cs="Arial"/>
                <w:b/>
                <w:sz w:val="20"/>
              </w:rPr>
              <w:t>Daily enteral Supplementation to meet the recommended daily intakes (RDI)</w:t>
            </w:r>
          </w:p>
          <w:p w:rsidRPr="00052CFF" w:rsidR="00251AA3" w:rsidP="00131848" w:rsidRDefault="00251AA3" w14:paraId="780EC5B6" w14:textId="77777777">
            <w:pPr>
              <w:ind w:left="720"/>
              <w:rPr>
                <w:rFonts w:cs="Arial"/>
                <w:sz w:val="20"/>
              </w:rPr>
            </w:pPr>
            <w:r w:rsidRPr="00052CFF">
              <w:rPr>
                <w:rFonts w:cs="Arial"/>
                <w:sz w:val="20"/>
              </w:rPr>
              <w:t>2</w:t>
            </w:r>
            <w:r>
              <w:rPr>
                <w:rFonts w:cs="Arial"/>
                <w:sz w:val="20"/>
              </w:rPr>
              <w:t>–4.5</w:t>
            </w:r>
            <w:r w:rsidRPr="00052CFF">
              <w:rPr>
                <w:rFonts w:cs="Arial"/>
                <w:sz w:val="20"/>
              </w:rPr>
              <w:t xml:space="preserve"> mmol/kg/day (62</w:t>
            </w:r>
            <w:r>
              <w:rPr>
                <w:rFonts w:cs="Arial"/>
                <w:sz w:val="20"/>
              </w:rPr>
              <w:t>–140</w:t>
            </w:r>
            <w:r w:rsidRPr="00052CFF">
              <w:rPr>
                <w:rFonts w:cs="Arial"/>
                <w:sz w:val="20"/>
              </w:rPr>
              <w:t xml:space="preserve"> mg/kg/day of phosphorous)</w:t>
            </w:r>
            <w:r w:rsidRPr="002E2165">
              <w:rPr>
                <w:rFonts w:cs="Arial"/>
                <w:sz w:val="20"/>
                <w:vertAlign w:val="superscript"/>
              </w:rPr>
              <w:t>7,8</w:t>
            </w:r>
          </w:p>
          <w:p w:rsidRPr="00052CFF" w:rsidR="00251AA3" w:rsidP="00131848" w:rsidRDefault="00251AA3" w14:paraId="69C3C45C" w14:textId="77777777">
            <w:pPr>
              <w:rPr>
                <w:rFonts w:cs="Arial"/>
                <w:sz w:val="20"/>
              </w:rPr>
            </w:pPr>
          </w:p>
          <w:p w:rsidRPr="00052CFF" w:rsidR="00251AA3" w:rsidP="001B0E05" w:rsidRDefault="00251AA3" w14:paraId="1650F755" w14:textId="77777777">
            <w:pPr>
              <w:numPr>
                <w:ilvl w:val="0"/>
                <w:numId w:val="20"/>
              </w:numPr>
              <w:rPr>
                <w:rFonts w:cs="Arial"/>
                <w:sz w:val="20"/>
              </w:rPr>
            </w:pPr>
            <w:r w:rsidRPr="00052CFF">
              <w:rPr>
                <w:rFonts w:cs="Arial"/>
                <w:sz w:val="20"/>
              </w:rPr>
              <w:t>Calculate intake from parenteral and enteral sources</w:t>
            </w:r>
          </w:p>
          <w:p w:rsidRPr="009E158B" w:rsidR="00251AA3" w:rsidP="001B0E05" w:rsidRDefault="00251AA3" w14:paraId="3B2D3FA9" w14:textId="77777777">
            <w:pPr>
              <w:numPr>
                <w:ilvl w:val="0"/>
                <w:numId w:val="20"/>
              </w:numPr>
              <w:rPr>
                <w:rFonts w:cs="Arial"/>
                <w:sz w:val="20"/>
              </w:rPr>
            </w:pPr>
            <w:r w:rsidRPr="00052CFF">
              <w:rPr>
                <w:rFonts w:cs="Arial"/>
                <w:sz w:val="20"/>
              </w:rPr>
              <w:t>Supplement the difference via IV or oral route.</w:t>
            </w:r>
          </w:p>
        </w:tc>
      </w:tr>
      <w:tr w:rsidR="00251AA3" w:rsidTr="00251AA3" w14:paraId="41CA4DFE" w14:textId="77777777">
        <w:trPr>
          <w:trHeight w:val="282"/>
        </w:trPr>
        <w:tc>
          <w:tcPr>
            <w:tcW w:w="1872" w:type="dxa"/>
          </w:tcPr>
          <w:p w:rsidRPr="00F451F4" w:rsidR="00251AA3" w:rsidP="00131848" w:rsidRDefault="00251AA3" w14:paraId="01BCDEB2" w14:textId="77777777">
            <w:pPr>
              <w:pStyle w:val="BodyText"/>
              <w:rPr>
                <w:rFonts w:cs="Arial"/>
                <w:b/>
                <w:bCs/>
                <w:sz w:val="20"/>
              </w:rPr>
            </w:pPr>
            <w:r w:rsidRPr="00F451F4">
              <w:rPr>
                <w:rFonts w:cs="Arial"/>
                <w:b/>
                <w:bCs/>
                <w:sz w:val="20"/>
              </w:rPr>
              <w:lastRenderedPageBreak/>
              <w:t>Dose adjustment</w:t>
            </w:r>
          </w:p>
        </w:tc>
        <w:tc>
          <w:tcPr>
            <w:tcW w:w="7229" w:type="dxa"/>
          </w:tcPr>
          <w:p w:rsidR="00251AA3" w:rsidP="00131848" w:rsidRDefault="00251AA3" w14:paraId="45B81354" w14:textId="77777777">
            <w:pPr>
              <w:pStyle w:val="BodyText"/>
              <w:rPr>
                <w:rFonts w:cs="Arial"/>
                <w:sz w:val="20"/>
              </w:rPr>
            </w:pPr>
          </w:p>
        </w:tc>
      </w:tr>
      <w:tr w:rsidR="00251AA3" w:rsidTr="00251AA3" w14:paraId="198EDB78" w14:textId="77777777">
        <w:trPr>
          <w:trHeight w:val="282"/>
        </w:trPr>
        <w:tc>
          <w:tcPr>
            <w:tcW w:w="1872" w:type="dxa"/>
          </w:tcPr>
          <w:p w:rsidRPr="00F451F4" w:rsidR="00251AA3" w:rsidP="00131848" w:rsidRDefault="00251AA3" w14:paraId="091ED6E7" w14:textId="77777777">
            <w:pPr>
              <w:pStyle w:val="BodyText"/>
              <w:rPr>
                <w:rFonts w:cs="Arial"/>
                <w:b/>
                <w:bCs/>
                <w:sz w:val="20"/>
              </w:rPr>
            </w:pPr>
            <w:r w:rsidRPr="00F451F4">
              <w:rPr>
                <w:rFonts w:cs="Arial"/>
                <w:b/>
                <w:bCs/>
                <w:sz w:val="20"/>
              </w:rPr>
              <w:t>Maximum dose</w:t>
            </w:r>
          </w:p>
        </w:tc>
        <w:tc>
          <w:tcPr>
            <w:tcW w:w="7229" w:type="dxa"/>
          </w:tcPr>
          <w:p w:rsidR="00251AA3" w:rsidP="00131848" w:rsidRDefault="00251AA3" w14:paraId="7F271649" w14:textId="77777777">
            <w:pPr>
              <w:pStyle w:val="BodyText"/>
              <w:rPr>
                <w:rFonts w:cs="Arial"/>
                <w:sz w:val="20"/>
              </w:rPr>
            </w:pPr>
          </w:p>
        </w:tc>
      </w:tr>
      <w:tr w:rsidR="00251AA3" w:rsidTr="00251AA3" w14:paraId="7BE3BCE1" w14:textId="77777777">
        <w:trPr>
          <w:trHeight w:val="282"/>
        </w:trPr>
        <w:tc>
          <w:tcPr>
            <w:tcW w:w="1872" w:type="dxa"/>
          </w:tcPr>
          <w:p w:rsidRPr="00F451F4" w:rsidR="00251AA3" w:rsidP="00131848" w:rsidRDefault="00251AA3" w14:paraId="18864245" w14:textId="77777777">
            <w:pPr>
              <w:pStyle w:val="BodyText"/>
              <w:rPr>
                <w:rFonts w:cs="Arial"/>
                <w:b/>
                <w:bCs/>
                <w:sz w:val="20"/>
              </w:rPr>
            </w:pPr>
            <w:r w:rsidRPr="00F451F4">
              <w:rPr>
                <w:rFonts w:cs="Arial"/>
                <w:b/>
                <w:bCs/>
                <w:sz w:val="20"/>
              </w:rPr>
              <w:t>Total cumulative dose</w:t>
            </w:r>
          </w:p>
        </w:tc>
        <w:tc>
          <w:tcPr>
            <w:tcW w:w="7229" w:type="dxa"/>
          </w:tcPr>
          <w:p w:rsidR="00251AA3" w:rsidP="00131848" w:rsidRDefault="00251AA3" w14:paraId="71A902F7" w14:textId="77777777">
            <w:pPr>
              <w:pStyle w:val="BodyText"/>
              <w:rPr>
                <w:rFonts w:cs="Arial"/>
                <w:sz w:val="20"/>
              </w:rPr>
            </w:pPr>
          </w:p>
        </w:tc>
      </w:tr>
      <w:tr w:rsidRPr="003A7895" w:rsidR="00251AA3" w:rsidTr="00251AA3" w14:paraId="18D75A9F" w14:textId="77777777">
        <w:trPr>
          <w:trHeight w:val="282"/>
        </w:trPr>
        <w:tc>
          <w:tcPr>
            <w:tcW w:w="1872" w:type="dxa"/>
          </w:tcPr>
          <w:p w:rsidRPr="00F451F4" w:rsidR="00251AA3" w:rsidP="00131848" w:rsidRDefault="00251AA3" w14:paraId="6AD20D61" w14:textId="77777777">
            <w:pPr>
              <w:pStyle w:val="BodyText"/>
              <w:rPr>
                <w:rFonts w:cs="Arial"/>
                <w:b/>
                <w:bCs/>
                <w:sz w:val="20"/>
              </w:rPr>
            </w:pPr>
            <w:r w:rsidRPr="00F451F4">
              <w:rPr>
                <w:rFonts w:cs="Arial"/>
                <w:b/>
                <w:bCs/>
                <w:sz w:val="20"/>
              </w:rPr>
              <w:t>Route</w:t>
            </w:r>
          </w:p>
        </w:tc>
        <w:tc>
          <w:tcPr>
            <w:tcW w:w="7229" w:type="dxa"/>
          </w:tcPr>
          <w:p w:rsidR="00251AA3" w:rsidP="00131848" w:rsidRDefault="00251AA3" w14:paraId="17583601" w14:textId="77777777">
            <w:pPr>
              <w:pStyle w:val="BodyText"/>
              <w:rPr>
                <w:rFonts w:cs="Arial"/>
                <w:sz w:val="20"/>
              </w:rPr>
            </w:pPr>
            <w:r>
              <w:rPr>
                <w:rFonts w:cs="Arial"/>
                <w:sz w:val="20"/>
              </w:rPr>
              <w:t>PO</w:t>
            </w:r>
          </w:p>
          <w:p w:rsidRPr="003A7895" w:rsidR="00251AA3" w:rsidP="00131848" w:rsidRDefault="00251AA3" w14:paraId="2E1C9044" w14:textId="77777777">
            <w:pPr>
              <w:pStyle w:val="BodyText"/>
              <w:rPr>
                <w:rFonts w:cs="Arial"/>
                <w:sz w:val="20"/>
              </w:rPr>
            </w:pPr>
            <w:r>
              <w:rPr>
                <w:rFonts w:cs="Arial"/>
                <w:sz w:val="20"/>
              </w:rPr>
              <w:t>IV</w:t>
            </w:r>
          </w:p>
        </w:tc>
      </w:tr>
      <w:tr w:rsidRPr="005910D5" w:rsidR="00251AA3" w:rsidTr="00251AA3" w14:paraId="502E1BC2" w14:textId="77777777">
        <w:trPr>
          <w:trHeight w:val="4179"/>
        </w:trPr>
        <w:tc>
          <w:tcPr>
            <w:tcW w:w="1872" w:type="dxa"/>
          </w:tcPr>
          <w:p w:rsidRPr="00F451F4" w:rsidR="00251AA3" w:rsidP="00131848" w:rsidRDefault="00251AA3" w14:paraId="18BC380B" w14:textId="77777777">
            <w:pPr>
              <w:pStyle w:val="BodyText"/>
              <w:rPr>
                <w:rFonts w:cs="Arial"/>
                <w:b/>
                <w:bCs/>
                <w:sz w:val="20"/>
                <w:highlight w:val="cyan"/>
              </w:rPr>
            </w:pPr>
            <w:r w:rsidRPr="00F451F4">
              <w:rPr>
                <w:rFonts w:cs="Arial"/>
                <w:b/>
                <w:bCs/>
                <w:sz w:val="20"/>
              </w:rPr>
              <w:t xml:space="preserve">Preparation </w:t>
            </w:r>
            <w:r w:rsidRPr="00F451F4">
              <w:rPr>
                <w:rFonts w:cs="Arial"/>
                <w:b/>
                <w:bCs/>
                <w:sz w:val="20"/>
                <w:highlight w:val="cyan"/>
              </w:rPr>
              <w:t xml:space="preserve">               </w:t>
            </w:r>
          </w:p>
        </w:tc>
        <w:tc>
          <w:tcPr>
            <w:tcW w:w="7229" w:type="dxa"/>
          </w:tcPr>
          <w:p w:rsidRPr="000470EA" w:rsidR="00251AA3" w:rsidP="00131848" w:rsidRDefault="00251AA3" w14:paraId="07BEACE8" w14:textId="77777777">
            <w:pPr>
              <w:rPr>
                <w:rFonts w:cs="Calibri"/>
                <w:b/>
                <w:sz w:val="20"/>
                <w:lang w:eastAsia="en-AU"/>
              </w:rPr>
            </w:pPr>
            <w:r w:rsidRPr="000470EA">
              <w:rPr>
                <w:rFonts w:cs="Calibri"/>
                <w:b/>
                <w:sz w:val="20"/>
                <w:lang w:eastAsia="en-AU"/>
              </w:rPr>
              <w:t>Oral</w:t>
            </w:r>
          </w:p>
          <w:p w:rsidR="00251AA3" w:rsidP="00131848" w:rsidRDefault="00251AA3" w14:paraId="38FBE885" w14:textId="77777777">
            <w:pPr>
              <w:pStyle w:val="BodyText"/>
              <w:rPr>
                <w:rFonts w:cs="Calibri"/>
                <w:sz w:val="20"/>
                <w:lang w:eastAsia="en-AU"/>
              </w:rPr>
            </w:pPr>
            <w:r>
              <w:rPr>
                <w:rFonts w:cs="Calibri"/>
                <w:sz w:val="20"/>
                <w:lang w:eastAsia="en-AU"/>
              </w:rPr>
              <w:t xml:space="preserve">Option 1 (preferred option for infants going home or when a long storage time is required in the NICU): </w:t>
            </w:r>
            <w:r w:rsidRPr="0088182F">
              <w:rPr>
                <w:rFonts w:cs="Calibri"/>
                <w:sz w:val="20"/>
                <w:lang w:eastAsia="en-AU"/>
              </w:rPr>
              <w:t>Disperse 500 mg (16.1</w:t>
            </w:r>
            <w:r>
              <w:rPr>
                <w:rFonts w:cs="Calibri"/>
                <w:sz w:val="20"/>
                <w:lang w:eastAsia="en-AU"/>
              </w:rPr>
              <w:t xml:space="preserve"> </w:t>
            </w:r>
            <w:r w:rsidRPr="0088182F">
              <w:rPr>
                <w:rFonts w:cs="Calibri"/>
                <w:sz w:val="20"/>
                <w:lang w:eastAsia="en-AU"/>
              </w:rPr>
              <w:t>mmol) Phosphate</w:t>
            </w:r>
            <w:r>
              <w:rPr>
                <w:rFonts w:cs="Calibri"/>
                <w:sz w:val="20"/>
                <w:lang w:eastAsia="en-AU"/>
              </w:rPr>
              <w:t>-</w:t>
            </w:r>
            <w:r w:rsidRPr="0088182F">
              <w:rPr>
                <w:rFonts w:cs="Calibri"/>
                <w:sz w:val="20"/>
                <w:lang w:eastAsia="en-AU"/>
              </w:rPr>
              <w:t>Sandoz in 16</w:t>
            </w:r>
            <w:r>
              <w:rPr>
                <w:rFonts w:cs="Calibri"/>
                <w:sz w:val="20"/>
                <w:lang w:eastAsia="en-AU"/>
              </w:rPr>
              <w:t xml:space="preserve"> </w:t>
            </w:r>
            <w:r w:rsidRPr="0088182F">
              <w:rPr>
                <w:rFonts w:cs="Calibri"/>
                <w:sz w:val="20"/>
                <w:lang w:eastAsia="en-AU"/>
              </w:rPr>
              <w:t>mL of water for injection to make a solution with a concentration of 1</w:t>
            </w:r>
            <w:r>
              <w:rPr>
                <w:rFonts w:cs="Calibri"/>
                <w:sz w:val="20"/>
                <w:lang w:eastAsia="en-AU"/>
              </w:rPr>
              <w:t xml:space="preserve"> </w:t>
            </w:r>
            <w:r w:rsidRPr="0088182F">
              <w:rPr>
                <w:rFonts w:cs="Calibri"/>
                <w:sz w:val="20"/>
                <w:lang w:eastAsia="en-AU"/>
              </w:rPr>
              <w:t xml:space="preserve">mmol/mL.  </w:t>
            </w:r>
          </w:p>
          <w:p w:rsidR="00251AA3" w:rsidP="00131848" w:rsidRDefault="00251AA3" w14:paraId="3313FE8C" w14:textId="77777777">
            <w:pPr>
              <w:pStyle w:val="BodyText"/>
              <w:rPr>
                <w:rFonts w:cs="Calibri"/>
                <w:sz w:val="20"/>
                <w:lang w:eastAsia="en-AU"/>
              </w:rPr>
            </w:pPr>
          </w:p>
          <w:p w:rsidR="00251AA3" w:rsidP="00131848" w:rsidRDefault="00251AA3" w14:paraId="21191E99" w14:textId="77777777">
            <w:pPr>
              <w:pStyle w:val="BodyText"/>
              <w:rPr>
                <w:rFonts w:cs="Calibri"/>
                <w:sz w:val="20"/>
                <w:lang w:eastAsia="en-AU"/>
              </w:rPr>
            </w:pPr>
            <w:r>
              <w:rPr>
                <w:rFonts w:cs="Calibri"/>
                <w:sz w:val="20"/>
                <w:lang w:eastAsia="en-AU"/>
              </w:rPr>
              <w:t xml:space="preserve">Option 2 (can be used where preparation with low osmolality is preferred e.g. infants with history of feed intolerance): </w:t>
            </w:r>
            <w:r w:rsidRPr="000470EA">
              <w:rPr>
                <w:rFonts w:cs="Calibri"/>
                <w:sz w:val="20"/>
                <w:lang w:eastAsia="en-AU"/>
              </w:rPr>
              <w:t xml:space="preserve">IV </w:t>
            </w:r>
            <w:r>
              <w:rPr>
                <w:rFonts w:cs="Calibri"/>
                <w:sz w:val="20"/>
                <w:lang w:eastAsia="en-AU"/>
              </w:rPr>
              <w:t xml:space="preserve">sodium dihydrogen </w:t>
            </w:r>
            <w:r w:rsidRPr="000470EA">
              <w:rPr>
                <w:rFonts w:cs="Calibri"/>
                <w:sz w:val="20"/>
                <w:lang w:eastAsia="en-AU"/>
              </w:rPr>
              <w:t xml:space="preserve">phosphate </w:t>
            </w:r>
            <w:r>
              <w:rPr>
                <w:rFonts w:cs="Calibri"/>
                <w:sz w:val="20"/>
                <w:lang w:eastAsia="en-AU"/>
              </w:rPr>
              <w:t xml:space="preserve">decanted into a bottle and </w:t>
            </w:r>
            <w:r w:rsidRPr="000470EA">
              <w:rPr>
                <w:rFonts w:cs="Calibri"/>
                <w:sz w:val="20"/>
                <w:lang w:eastAsia="en-AU"/>
              </w:rPr>
              <w:t>given orally</w:t>
            </w:r>
            <w:r>
              <w:rPr>
                <w:rFonts w:cs="Calibri"/>
                <w:sz w:val="20"/>
                <w:lang w:eastAsia="en-AU"/>
              </w:rPr>
              <w:t xml:space="preserve"> undiluted (expiry time: 7 days)</w:t>
            </w:r>
            <w:r w:rsidRPr="000470EA">
              <w:rPr>
                <w:rFonts w:cs="Calibri"/>
                <w:sz w:val="20"/>
                <w:lang w:eastAsia="en-AU"/>
              </w:rPr>
              <w:t>.</w:t>
            </w:r>
          </w:p>
          <w:p w:rsidR="00251AA3" w:rsidP="00131848" w:rsidRDefault="00251AA3" w14:paraId="5BB78FF9" w14:textId="77777777">
            <w:pPr>
              <w:pStyle w:val="BodyText"/>
              <w:rPr>
                <w:rFonts w:cs="Calibri"/>
                <w:sz w:val="20"/>
                <w:lang w:eastAsia="en-AU"/>
              </w:rPr>
            </w:pPr>
          </w:p>
          <w:p w:rsidRPr="00B17651" w:rsidR="00251AA3" w:rsidP="00131848" w:rsidRDefault="00251AA3" w14:paraId="2C1B2CBC" w14:textId="77777777">
            <w:pPr>
              <w:pStyle w:val="BodyText"/>
              <w:rPr>
                <w:rFonts w:cs="Calibri"/>
                <w:b/>
                <w:sz w:val="20"/>
                <w:lang w:eastAsia="en-AU"/>
              </w:rPr>
            </w:pPr>
            <w:r w:rsidRPr="00B17651">
              <w:rPr>
                <w:rFonts w:cs="Calibri"/>
                <w:b/>
                <w:sz w:val="20"/>
                <w:lang w:eastAsia="en-AU"/>
              </w:rPr>
              <w:t>IV infusion for treatment of acute hypophosphat</w:t>
            </w:r>
            <w:r>
              <w:rPr>
                <w:rFonts w:cs="Calibri"/>
                <w:b/>
                <w:sz w:val="20"/>
                <w:lang w:eastAsia="en-AU"/>
              </w:rPr>
              <w:t>ae</w:t>
            </w:r>
            <w:r w:rsidRPr="00B17651">
              <w:rPr>
                <w:rFonts w:cs="Calibri"/>
                <w:b/>
                <w:sz w:val="20"/>
                <w:lang w:eastAsia="en-AU"/>
              </w:rPr>
              <w:t>mia:</w:t>
            </w:r>
          </w:p>
          <w:p w:rsidR="00251AA3" w:rsidP="00131848" w:rsidRDefault="00251AA3" w14:paraId="298FE3A4" w14:textId="77777777">
            <w:pPr>
              <w:pStyle w:val="BodyText"/>
              <w:rPr>
                <w:rFonts w:cs="Calibri"/>
                <w:sz w:val="20"/>
                <w:lang w:eastAsia="en-AU"/>
              </w:rPr>
            </w:pPr>
            <w:r w:rsidRPr="0088182F">
              <w:rPr>
                <w:rFonts w:cs="Calibri"/>
                <w:sz w:val="20"/>
                <w:lang w:eastAsia="en-AU"/>
              </w:rPr>
              <w:t>IV infusion (</w:t>
            </w:r>
            <w:r>
              <w:rPr>
                <w:rFonts w:cs="Calibri"/>
                <w:sz w:val="20"/>
                <w:lang w:eastAsia="en-AU"/>
              </w:rPr>
              <w:t>s</w:t>
            </w:r>
            <w:r w:rsidRPr="0088182F">
              <w:rPr>
                <w:rFonts w:cs="Calibri"/>
                <w:sz w:val="20"/>
                <w:lang w:eastAsia="en-AU"/>
              </w:rPr>
              <w:t>odium dihydrogen phosphate): Draw up 1</w:t>
            </w:r>
            <w:r>
              <w:rPr>
                <w:rFonts w:cs="Calibri"/>
                <w:sz w:val="20"/>
                <w:lang w:eastAsia="en-AU"/>
              </w:rPr>
              <w:t xml:space="preserve"> </w:t>
            </w:r>
            <w:r w:rsidRPr="0088182F">
              <w:rPr>
                <w:rFonts w:cs="Calibri"/>
                <w:sz w:val="20"/>
                <w:lang w:eastAsia="en-AU"/>
              </w:rPr>
              <w:t>mL (1</w:t>
            </w:r>
            <w:r>
              <w:rPr>
                <w:rFonts w:cs="Calibri"/>
                <w:sz w:val="20"/>
                <w:lang w:eastAsia="en-AU"/>
              </w:rPr>
              <w:t xml:space="preserve"> </w:t>
            </w:r>
            <w:r w:rsidRPr="0088182F">
              <w:rPr>
                <w:rFonts w:cs="Calibri"/>
                <w:sz w:val="20"/>
                <w:lang w:eastAsia="en-AU"/>
              </w:rPr>
              <w:t>mmol phosphate) and add 19</w:t>
            </w:r>
            <w:r>
              <w:rPr>
                <w:rFonts w:cs="Calibri"/>
                <w:sz w:val="20"/>
                <w:lang w:eastAsia="en-AU"/>
              </w:rPr>
              <w:t xml:space="preserve"> </w:t>
            </w:r>
            <w:r w:rsidRPr="0088182F">
              <w:rPr>
                <w:rFonts w:cs="Calibri"/>
                <w:sz w:val="20"/>
                <w:lang w:eastAsia="en-AU"/>
              </w:rPr>
              <w:t>mL sodium chloride 0.9% or glucose 5% to make a final volume of 20</w:t>
            </w:r>
            <w:r>
              <w:rPr>
                <w:rFonts w:cs="Calibri"/>
                <w:sz w:val="20"/>
                <w:lang w:eastAsia="en-AU"/>
              </w:rPr>
              <w:t xml:space="preserve"> </w:t>
            </w:r>
            <w:r w:rsidRPr="0088182F">
              <w:rPr>
                <w:rFonts w:cs="Calibri"/>
                <w:sz w:val="20"/>
                <w:lang w:eastAsia="en-AU"/>
              </w:rPr>
              <w:t>mL with a concentration of 0.05</w:t>
            </w:r>
            <w:r>
              <w:rPr>
                <w:rFonts w:cs="Calibri"/>
                <w:sz w:val="20"/>
                <w:lang w:eastAsia="en-AU"/>
              </w:rPr>
              <w:t xml:space="preserve"> </w:t>
            </w:r>
            <w:r w:rsidRPr="0088182F">
              <w:rPr>
                <w:rFonts w:cs="Calibri"/>
                <w:sz w:val="20"/>
                <w:lang w:eastAsia="en-AU"/>
              </w:rPr>
              <w:t xml:space="preserve">mmol/mL. Draw up </w:t>
            </w:r>
            <w:r>
              <w:rPr>
                <w:rFonts w:cs="Calibri"/>
                <w:sz w:val="20"/>
                <w:lang w:eastAsia="en-AU"/>
              </w:rPr>
              <w:t xml:space="preserve">4 </w:t>
            </w:r>
            <w:r w:rsidRPr="0088182F">
              <w:rPr>
                <w:rFonts w:cs="Calibri"/>
                <w:sz w:val="20"/>
                <w:lang w:eastAsia="en-AU"/>
              </w:rPr>
              <w:t>mL/kg (0.</w:t>
            </w:r>
            <w:r>
              <w:rPr>
                <w:rFonts w:cs="Calibri"/>
                <w:sz w:val="20"/>
                <w:lang w:eastAsia="en-AU"/>
              </w:rPr>
              <w:t xml:space="preserve">2 </w:t>
            </w:r>
            <w:r w:rsidRPr="0088182F">
              <w:rPr>
                <w:rFonts w:cs="Calibri"/>
                <w:sz w:val="20"/>
                <w:lang w:eastAsia="en-AU"/>
              </w:rPr>
              <w:t>mmol/kg)</w:t>
            </w:r>
            <w:r>
              <w:rPr>
                <w:rFonts w:cs="Calibri"/>
                <w:sz w:val="20"/>
                <w:lang w:eastAsia="en-AU"/>
              </w:rPr>
              <w:t>.</w:t>
            </w:r>
          </w:p>
          <w:p w:rsidR="00251AA3" w:rsidP="00131848" w:rsidRDefault="00251AA3" w14:paraId="101CDF07" w14:textId="77777777">
            <w:pPr>
              <w:pStyle w:val="BodyText"/>
              <w:rPr>
                <w:rFonts w:cs="Calibri"/>
                <w:sz w:val="20"/>
                <w:lang w:eastAsia="en-AU"/>
              </w:rPr>
            </w:pPr>
          </w:p>
          <w:p w:rsidRPr="005910D5" w:rsidR="00251AA3" w:rsidP="00131848" w:rsidRDefault="00251AA3" w14:paraId="3EA4B7DB" w14:textId="77777777">
            <w:pPr>
              <w:pStyle w:val="BodyText"/>
              <w:rPr>
                <w:rFonts w:cs="Arial"/>
                <w:sz w:val="20"/>
              </w:rPr>
            </w:pPr>
            <w:r w:rsidRPr="0088182F">
              <w:rPr>
                <w:rFonts w:cs="Calibri"/>
                <w:sz w:val="20"/>
                <w:lang w:eastAsia="en-AU"/>
              </w:rPr>
              <w:t>IV infusion (</w:t>
            </w:r>
            <w:r>
              <w:rPr>
                <w:rFonts w:cs="Calibri"/>
                <w:sz w:val="20"/>
                <w:lang w:eastAsia="en-AU"/>
              </w:rPr>
              <w:t>p</w:t>
            </w:r>
            <w:r w:rsidRPr="0088182F">
              <w:rPr>
                <w:rFonts w:cs="Calibri"/>
                <w:sz w:val="20"/>
                <w:lang w:eastAsia="en-AU"/>
              </w:rPr>
              <w:t>otassium dihydrogen phosphate): Draw up 1</w:t>
            </w:r>
            <w:r>
              <w:rPr>
                <w:rFonts w:cs="Calibri"/>
                <w:sz w:val="20"/>
                <w:lang w:eastAsia="en-AU"/>
              </w:rPr>
              <w:t xml:space="preserve"> </w:t>
            </w:r>
            <w:r w:rsidRPr="0088182F">
              <w:rPr>
                <w:rFonts w:cs="Calibri"/>
                <w:sz w:val="20"/>
                <w:lang w:eastAsia="en-AU"/>
              </w:rPr>
              <w:t>mL (1</w:t>
            </w:r>
            <w:r>
              <w:rPr>
                <w:rFonts w:cs="Calibri"/>
                <w:sz w:val="20"/>
                <w:lang w:eastAsia="en-AU"/>
              </w:rPr>
              <w:t xml:space="preserve"> </w:t>
            </w:r>
            <w:r w:rsidRPr="0088182F">
              <w:rPr>
                <w:rFonts w:cs="Calibri"/>
                <w:sz w:val="20"/>
                <w:lang w:eastAsia="en-AU"/>
              </w:rPr>
              <w:t xml:space="preserve">mmol phosphate) and add </w:t>
            </w:r>
            <w:r>
              <w:rPr>
                <w:rFonts w:cs="Calibri"/>
                <w:sz w:val="20"/>
                <w:lang w:eastAsia="en-AU"/>
              </w:rPr>
              <w:t xml:space="preserve">24 </w:t>
            </w:r>
            <w:r w:rsidRPr="0088182F">
              <w:rPr>
                <w:rFonts w:cs="Calibri"/>
                <w:sz w:val="20"/>
                <w:lang w:eastAsia="en-AU"/>
              </w:rPr>
              <w:t>mL sodium chloride 0.9% or glucose 5% to make a final volume of 2</w:t>
            </w:r>
            <w:r>
              <w:rPr>
                <w:rFonts w:cs="Calibri"/>
                <w:sz w:val="20"/>
                <w:lang w:eastAsia="en-AU"/>
              </w:rPr>
              <w:t xml:space="preserve">5 </w:t>
            </w:r>
            <w:r w:rsidRPr="0088182F">
              <w:rPr>
                <w:rFonts w:cs="Calibri"/>
                <w:sz w:val="20"/>
                <w:lang w:eastAsia="en-AU"/>
              </w:rPr>
              <w:t>mL with a concentration of 0.0</w:t>
            </w:r>
            <w:r>
              <w:rPr>
                <w:rFonts w:cs="Calibri"/>
                <w:sz w:val="20"/>
                <w:lang w:eastAsia="en-AU"/>
              </w:rPr>
              <w:t xml:space="preserve">4 </w:t>
            </w:r>
            <w:r w:rsidRPr="0088182F">
              <w:rPr>
                <w:rFonts w:cs="Calibri"/>
                <w:sz w:val="20"/>
                <w:lang w:eastAsia="en-AU"/>
              </w:rPr>
              <w:t xml:space="preserve">mmol/mL. Draw up </w:t>
            </w:r>
            <w:r>
              <w:rPr>
                <w:rFonts w:cs="Calibri"/>
                <w:sz w:val="20"/>
                <w:lang w:eastAsia="en-AU"/>
              </w:rPr>
              <w:t xml:space="preserve">5 </w:t>
            </w:r>
            <w:r w:rsidRPr="0088182F">
              <w:rPr>
                <w:rFonts w:cs="Calibri"/>
                <w:sz w:val="20"/>
                <w:lang w:eastAsia="en-AU"/>
              </w:rPr>
              <w:t>mL/kg (0.</w:t>
            </w:r>
            <w:r>
              <w:rPr>
                <w:rFonts w:cs="Calibri"/>
                <w:sz w:val="20"/>
                <w:lang w:eastAsia="en-AU"/>
              </w:rPr>
              <w:t xml:space="preserve">2 </w:t>
            </w:r>
            <w:r w:rsidRPr="0088182F">
              <w:rPr>
                <w:rFonts w:cs="Calibri"/>
                <w:sz w:val="20"/>
                <w:lang w:eastAsia="en-AU"/>
              </w:rPr>
              <w:t>mmol/kg)</w:t>
            </w:r>
            <w:r>
              <w:rPr>
                <w:rFonts w:cs="Calibri"/>
                <w:sz w:val="20"/>
                <w:lang w:eastAsia="en-AU"/>
              </w:rPr>
              <w:t>.</w:t>
            </w:r>
          </w:p>
        </w:tc>
      </w:tr>
      <w:tr w:rsidRPr="00ED5A58" w:rsidR="00251AA3" w:rsidTr="00251AA3" w14:paraId="7B3D572F" w14:textId="77777777">
        <w:trPr>
          <w:trHeight w:val="816"/>
        </w:trPr>
        <w:tc>
          <w:tcPr>
            <w:tcW w:w="1872" w:type="dxa"/>
          </w:tcPr>
          <w:p w:rsidRPr="00F451F4" w:rsidR="00251AA3" w:rsidP="00131848" w:rsidRDefault="00251AA3" w14:paraId="13EBBB18" w14:textId="77777777">
            <w:pPr>
              <w:pStyle w:val="BodyText"/>
              <w:rPr>
                <w:rFonts w:cs="Arial"/>
                <w:b/>
                <w:bCs/>
                <w:sz w:val="20"/>
              </w:rPr>
            </w:pPr>
            <w:r w:rsidRPr="00F451F4">
              <w:rPr>
                <w:rFonts w:cs="Arial"/>
                <w:b/>
                <w:bCs/>
                <w:sz w:val="20"/>
              </w:rPr>
              <w:t xml:space="preserve">Administration </w:t>
            </w:r>
          </w:p>
        </w:tc>
        <w:tc>
          <w:tcPr>
            <w:tcW w:w="7229" w:type="dxa"/>
          </w:tcPr>
          <w:p w:rsidR="00251AA3" w:rsidP="00131848" w:rsidRDefault="00251AA3" w14:paraId="5575447C" w14:textId="77777777">
            <w:pPr>
              <w:rPr>
                <w:rFonts w:cs="Calibri"/>
                <w:b/>
                <w:sz w:val="20"/>
                <w:lang w:eastAsia="en-AU"/>
              </w:rPr>
            </w:pPr>
            <w:r>
              <w:rPr>
                <w:rFonts w:cs="Calibri"/>
                <w:b/>
                <w:sz w:val="20"/>
                <w:lang w:eastAsia="en-AU"/>
              </w:rPr>
              <w:t>Oral</w:t>
            </w:r>
          </w:p>
          <w:p w:rsidR="00251AA3" w:rsidP="00131848" w:rsidRDefault="00DB5B24" w14:paraId="0ED12ECE" w14:textId="214F984F">
            <w:pPr>
              <w:rPr>
                <w:rFonts w:cs="Calibri"/>
                <w:sz w:val="20"/>
                <w:lang w:eastAsia="en-AU"/>
              </w:rPr>
            </w:pPr>
            <w:r w:rsidRPr="00DB5B24">
              <w:rPr>
                <w:rFonts w:cs="Calibri"/>
                <w:sz w:val="20"/>
                <w:highlight w:val="yellow"/>
                <w:lang w:eastAsia="en-AU"/>
              </w:rPr>
              <w:t>Generally avoid administration with feeds</w:t>
            </w:r>
            <w:r w:rsidRPr="00DB5B24">
              <w:rPr>
                <w:rFonts w:cs="Calibri"/>
                <w:sz w:val="20"/>
                <w:lang w:eastAsia="en-AU"/>
              </w:rPr>
              <w:t xml:space="preserve"> </w:t>
            </w:r>
            <w:r w:rsidR="00251AA3">
              <w:rPr>
                <w:rFonts w:cs="Calibri"/>
                <w:sz w:val="20"/>
                <w:lang w:eastAsia="en-AU"/>
              </w:rPr>
              <w:t>(refer to evidence summary section).</w:t>
            </w:r>
          </w:p>
          <w:p w:rsidR="00251AA3" w:rsidP="00131848" w:rsidRDefault="00251AA3" w14:paraId="09FD3B94" w14:textId="77777777">
            <w:pPr>
              <w:rPr>
                <w:rFonts w:cs="Calibri"/>
                <w:sz w:val="20"/>
                <w:lang w:eastAsia="en-AU"/>
              </w:rPr>
            </w:pPr>
            <w:r>
              <w:rPr>
                <w:rFonts w:cs="Calibri"/>
                <w:sz w:val="20"/>
                <w:lang w:eastAsia="en-AU"/>
              </w:rPr>
              <w:t>S</w:t>
            </w:r>
            <w:r w:rsidRPr="0088182F">
              <w:rPr>
                <w:rFonts w:cs="Calibri"/>
                <w:sz w:val="20"/>
                <w:lang w:eastAsia="en-AU"/>
              </w:rPr>
              <w:t xml:space="preserve">eparate calcium supplements by at least </w:t>
            </w:r>
            <w:r>
              <w:rPr>
                <w:rFonts w:cs="Calibri"/>
                <w:sz w:val="20"/>
                <w:lang w:eastAsia="en-AU"/>
              </w:rPr>
              <w:t>2 hours.</w:t>
            </w:r>
            <w:r w:rsidRPr="0088182F">
              <w:rPr>
                <w:rFonts w:cs="Calibri"/>
                <w:sz w:val="20"/>
                <w:lang w:eastAsia="en-AU"/>
              </w:rPr>
              <w:t xml:space="preserve"> </w:t>
            </w:r>
          </w:p>
          <w:p w:rsidR="00251AA3" w:rsidP="00131848" w:rsidRDefault="00251AA3" w14:paraId="52E34CB8" w14:textId="77777777">
            <w:pPr>
              <w:rPr>
                <w:rFonts w:cs="Calibri"/>
                <w:sz w:val="20"/>
                <w:lang w:eastAsia="en-AU"/>
              </w:rPr>
            </w:pPr>
          </w:p>
          <w:p w:rsidR="00251AA3" w:rsidP="00131848" w:rsidRDefault="00251AA3" w14:paraId="75031245" w14:textId="77777777">
            <w:pPr>
              <w:rPr>
                <w:rFonts w:cs="Calibri"/>
                <w:b/>
                <w:sz w:val="20"/>
                <w:lang w:eastAsia="en-AU"/>
              </w:rPr>
            </w:pPr>
            <w:r w:rsidRPr="000470EA">
              <w:rPr>
                <w:rFonts w:cs="Calibri"/>
                <w:b/>
                <w:sz w:val="20"/>
                <w:lang w:eastAsia="en-AU"/>
              </w:rPr>
              <w:t xml:space="preserve">IV </w:t>
            </w:r>
          </w:p>
          <w:p w:rsidRPr="0088182F" w:rsidR="00251AA3" w:rsidP="00131848" w:rsidRDefault="00251AA3" w14:paraId="11E0E2B2" w14:textId="77777777">
            <w:pPr>
              <w:rPr>
                <w:rFonts w:cs="Calibri"/>
                <w:sz w:val="20"/>
                <w:lang w:eastAsia="en-AU"/>
              </w:rPr>
            </w:pPr>
            <w:r w:rsidRPr="00A95CF7">
              <w:rPr>
                <w:rFonts w:cs="Calibri"/>
                <w:b/>
                <w:sz w:val="20"/>
                <w:lang w:eastAsia="en-AU"/>
              </w:rPr>
              <w:t>As part of parenteral nutrition fluid</w:t>
            </w:r>
            <w:r>
              <w:rPr>
                <w:rFonts w:cs="Calibri"/>
                <w:sz w:val="20"/>
                <w:lang w:eastAsia="en-AU"/>
              </w:rPr>
              <w:t xml:space="preserve"> – refer to individual parenteral nutrition formulations.</w:t>
            </w:r>
            <w:r w:rsidRPr="0088182F">
              <w:rPr>
                <w:rFonts w:cs="Calibri"/>
                <w:sz w:val="20"/>
                <w:lang w:eastAsia="en-AU"/>
              </w:rPr>
              <w:t xml:space="preserve"> </w:t>
            </w:r>
          </w:p>
          <w:p w:rsidR="00251AA3" w:rsidP="00131848" w:rsidRDefault="00251AA3" w14:paraId="7B65836D" w14:textId="77777777">
            <w:pPr>
              <w:rPr>
                <w:rFonts w:cs="Calibri"/>
                <w:sz w:val="20"/>
                <w:lang w:eastAsia="en-AU"/>
              </w:rPr>
            </w:pPr>
          </w:p>
          <w:p w:rsidRPr="00A95CF7" w:rsidR="00251AA3" w:rsidP="00131848" w:rsidRDefault="00251AA3" w14:paraId="006FF8B8" w14:textId="77777777">
            <w:pPr>
              <w:rPr>
                <w:rFonts w:cs="Calibri"/>
                <w:b/>
                <w:sz w:val="20"/>
                <w:lang w:eastAsia="en-AU"/>
              </w:rPr>
            </w:pPr>
            <w:r w:rsidRPr="00A95CF7">
              <w:rPr>
                <w:rFonts w:cs="Calibri"/>
                <w:b/>
                <w:sz w:val="20"/>
                <w:lang w:eastAsia="en-AU"/>
              </w:rPr>
              <w:t>IV infusion for treatment of acute hypophosphat</w:t>
            </w:r>
            <w:r>
              <w:rPr>
                <w:rFonts w:cs="Calibri"/>
                <w:b/>
                <w:sz w:val="20"/>
                <w:lang w:eastAsia="en-AU"/>
              </w:rPr>
              <w:t>ae</w:t>
            </w:r>
            <w:r w:rsidRPr="00A95CF7">
              <w:rPr>
                <w:rFonts w:cs="Calibri"/>
                <w:b/>
                <w:sz w:val="20"/>
                <w:lang w:eastAsia="en-AU"/>
              </w:rPr>
              <w:t>mia:</w:t>
            </w:r>
          </w:p>
          <w:p w:rsidRPr="00ED5A58" w:rsidR="00251AA3" w:rsidP="00131848" w:rsidRDefault="00251AA3" w14:paraId="62A551BB" w14:textId="77777777">
            <w:pPr>
              <w:rPr>
                <w:rFonts w:cs="Calibri"/>
                <w:sz w:val="20"/>
                <w:lang w:eastAsia="en-AU"/>
              </w:rPr>
            </w:pPr>
            <w:r>
              <w:rPr>
                <w:rFonts w:cs="Calibri"/>
                <w:sz w:val="20"/>
                <w:lang w:eastAsia="en-AU"/>
              </w:rPr>
              <w:t>IV sodium dihydrogen phosphate or IV potassium dihydrogen phosphate: I</w:t>
            </w:r>
            <w:r w:rsidRPr="0088182F">
              <w:rPr>
                <w:rFonts w:cs="Calibri"/>
                <w:sz w:val="20"/>
                <w:lang w:eastAsia="en-AU"/>
              </w:rPr>
              <w:t>nfuse over at least 6 hours. For severe hypophosp</w:t>
            </w:r>
            <w:r>
              <w:rPr>
                <w:rFonts w:cs="Calibri"/>
                <w:sz w:val="20"/>
                <w:lang w:eastAsia="en-AU"/>
              </w:rPr>
              <w:t>h</w:t>
            </w:r>
            <w:r w:rsidRPr="0088182F">
              <w:rPr>
                <w:rFonts w:cs="Calibri"/>
                <w:sz w:val="20"/>
                <w:lang w:eastAsia="en-AU"/>
              </w:rPr>
              <w:t>at</w:t>
            </w:r>
            <w:r>
              <w:rPr>
                <w:rFonts w:cs="Calibri"/>
                <w:sz w:val="20"/>
                <w:lang w:eastAsia="en-AU"/>
              </w:rPr>
              <w:t>ae</w:t>
            </w:r>
            <w:r w:rsidRPr="0088182F">
              <w:rPr>
                <w:rFonts w:cs="Calibri"/>
                <w:sz w:val="20"/>
                <w:lang w:eastAsia="en-AU"/>
              </w:rPr>
              <w:t>mia infuse over 8</w:t>
            </w:r>
            <w:r>
              <w:rPr>
                <w:rFonts w:cs="Calibri"/>
                <w:sz w:val="20"/>
                <w:lang w:eastAsia="en-AU"/>
              </w:rPr>
              <w:t>–</w:t>
            </w:r>
            <w:r w:rsidRPr="0088182F">
              <w:rPr>
                <w:rFonts w:cs="Calibri"/>
                <w:sz w:val="20"/>
                <w:lang w:eastAsia="en-AU"/>
              </w:rPr>
              <w:t>12 hours</w:t>
            </w:r>
            <w:r>
              <w:rPr>
                <w:rFonts w:cs="Calibri"/>
                <w:sz w:val="20"/>
                <w:lang w:eastAsia="en-AU"/>
              </w:rPr>
              <w:t xml:space="preserve">. </w:t>
            </w:r>
            <w:r w:rsidRPr="0088182F">
              <w:rPr>
                <w:rFonts w:cs="Calibri"/>
                <w:sz w:val="20"/>
                <w:lang w:eastAsia="en-AU"/>
              </w:rPr>
              <w:t>Maximum infusion rate of 0.2</w:t>
            </w:r>
            <w:r>
              <w:rPr>
                <w:rFonts w:cs="Calibri"/>
                <w:sz w:val="20"/>
                <w:lang w:eastAsia="en-AU"/>
              </w:rPr>
              <w:t xml:space="preserve"> </w:t>
            </w:r>
            <w:r w:rsidRPr="0088182F">
              <w:rPr>
                <w:rFonts w:cs="Calibri"/>
                <w:sz w:val="20"/>
                <w:lang w:eastAsia="en-AU"/>
              </w:rPr>
              <w:t>mmol/kg/</w:t>
            </w:r>
            <w:r>
              <w:rPr>
                <w:rFonts w:cs="Calibri"/>
                <w:sz w:val="20"/>
                <w:lang w:eastAsia="en-AU"/>
              </w:rPr>
              <w:t>h</w:t>
            </w:r>
            <w:r w:rsidRPr="0088182F">
              <w:rPr>
                <w:rFonts w:cs="Calibri"/>
                <w:sz w:val="20"/>
                <w:lang w:eastAsia="en-AU"/>
              </w:rPr>
              <w:t>.</w:t>
            </w:r>
          </w:p>
        </w:tc>
      </w:tr>
      <w:tr w:rsidRPr="00ED5A58" w:rsidR="00251AA3" w:rsidTr="00251AA3" w14:paraId="6184394F" w14:textId="77777777">
        <w:trPr>
          <w:trHeight w:val="407"/>
        </w:trPr>
        <w:tc>
          <w:tcPr>
            <w:tcW w:w="1872" w:type="dxa"/>
          </w:tcPr>
          <w:p w:rsidRPr="00F451F4" w:rsidR="00251AA3" w:rsidP="00131848" w:rsidRDefault="00251AA3" w14:paraId="7B46B316" w14:textId="77777777">
            <w:pPr>
              <w:pStyle w:val="BodyText"/>
              <w:rPr>
                <w:rFonts w:cs="Arial"/>
                <w:b/>
                <w:bCs/>
                <w:sz w:val="20"/>
              </w:rPr>
            </w:pPr>
            <w:r w:rsidRPr="00F451F4">
              <w:rPr>
                <w:rFonts w:cs="Arial"/>
                <w:b/>
                <w:bCs/>
                <w:sz w:val="20"/>
              </w:rPr>
              <w:t xml:space="preserve">Monitoring             </w:t>
            </w:r>
          </w:p>
        </w:tc>
        <w:tc>
          <w:tcPr>
            <w:tcW w:w="7229" w:type="dxa"/>
          </w:tcPr>
          <w:p w:rsidRPr="000470EA" w:rsidR="00251AA3" w:rsidP="00131848" w:rsidRDefault="00251AA3" w14:paraId="62514D80" w14:textId="77777777">
            <w:pPr>
              <w:rPr>
                <w:rFonts w:cs="Calibri"/>
                <w:sz w:val="20"/>
                <w:lang w:eastAsia="en-AU"/>
              </w:rPr>
            </w:pPr>
            <w:r w:rsidRPr="000470EA">
              <w:rPr>
                <w:rFonts w:cs="Calibri"/>
                <w:sz w:val="20"/>
                <w:lang w:eastAsia="en-AU"/>
              </w:rPr>
              <w:t xml:space="preserve">Phosphate, calcium, magnesium, alkaline phosphatase </w:t>
            </w:r>
            <w:r>
              <w:rPr>
                <w:rFonts w:cs="Calibri"/>
                <w:sz w:val="20"/>
                <w:lang w:eastAsia="en-AU"/>
              </w:rPr>
              <w:t>concentrations are required at least fortnightly or more often if required. Once these concentrations normalise, serum analysis may be performed once monthly for 6 months or at the discretion of the clinician.</w:t>
            </w:r>
            <w:r w:rsidRPr="00695227">
              <w:rPr>
                <w:rFonts w:cs="Calibri"/>
                <w:sz w:val="20"/>
                <w:vertAlign w:val="superscript"/>
                <w:lang w:eastAsia="en-AU"/>
              </w:rPr>
              <w:t>10</w:t>
            </w:r>
            <w:r>
              <w:rPr>
                <w:rFonts w:cs="Calibri"/>
                <w:sz w:val="20"/>
                <w:lang w:eastAsia="en-AU"/>
              </w:rPr>
              <w:t xml:space="preserve"> </w:t>
            </w:r>
            <w:r w:rsidRPr="000470EA">
              <w:rPr>
                <w:rFonts w:cs="Calibri"/>
                <w:sz w:val="20"/>
                <w:lang w:eastAsia="en-AU"/>
              </w:rPr>
              <w:t xml:space="preserve"> </w:t>
            </w:r>
          </w:p>
          <w:p w:rsidRPr="00ED5A58" w:rsidR="00251AA3" w:rsidP="00131848" w:rsidRDefault="00251AA3" w14:paraId="641700BD" w14:textId="77777777">
            <w:pPr>
              <w:rPr>
                <w:rFonts w:cs="Calibri"/>
                <w:sz w:val="20"/>
                <w:lang w:eastAsia="en-AU"/>
              </w:rPr>
            </w:pPr>
            <w:r w:rsidRPr="000470EA">
              <w:rPr>
                <w:rFonts w:cs="Calibri"/>
                <w:sz w:val="20"/>
                <w:lang w:eastAsia="en-AU"/>
              </w:rPr>
              <w:lastRenderedPageBreak/>
              <w:t xml:space="preserve">Urinary calcium and phosphate and Tubular Reabsorption Phosphate (TRP)%, parathormone, and vitamin D </w:t>
            </w:r>
            <w:r>
              <w:rPr>
                <w:rFonts w:cs="Calibri"/>
                <w:sz w:val="20"/>
                <w:lang w:eastAsia="en-AU"/>
              </w:rPr>
              <w:t>concentrations</w:t>
            </w:r>
            <w:r w:rsidRPr="000470EA">
              <w:rPr>
                <w:rFonts w:cs="Calibri"/>
                <w:sz w:val="20"/>
                <w:lang w:eastAsia="en-AU"/>
              </w:rPr>
              <w:t xml:space="preserve"> may be useful under certain circumstances .</w:t>
            </w:r>
          </w:p>
        </w:tc>
      </w:tr>
      <w:tr w:rsidRPr="00A81CD1" w:rsidR="00251AA3" w:rsidTr="00251AA3" w14:paraId="61FFACC5" w14:textId="77777777">
        <w:trPr>
          <w:trHeight w:val="330"/>
        </w:trPr>
        <w:tc>
          <w:tcPr>
            <w:tcW w:w="1872" w:type="dxa"/>
          </w:tcPr>
          <w:p w:rsidRPr="00F451F4" w:rsidR="00251AA3" w:rsidP="00131848" w:rsidRDefault="00251AA3" w14:paraId="2897860F" w14:textId="77777777">
            <w:pPr>
              <w:pStyle w:val="BodyText"/>
              <w:rPr>
                <w:rFonts w:cs="Arial"/>
                <w:sz w:val="20"/>
              </w:rPr>
            </w:pPr>
            <w:r w:rsidRPr="00F451F4">
              <w:rPr>
                <w:rFonts w:cs="Arial"/>
                <w:b/>
                <w:bCs/>
                <w:sz w:val="20"/>
              </w:rPr>
              <w:lastRenderedPageBreak/>
              <w:t>Contraindications</w:t>
            </w:r>
          </w:p>
        </w:tc>
        <w:tc>
          <w:tcPr>
            <w:tcW w:w="7229" w:type="dxa"/>
          </w:tcPr>
          <w:p w:rsidRPr="00A81CD1" w:rsidR="00251AA3" w:rsidP="00131848" w:rsidRDefault="00251AA3" w14:paraId="57FEB8AD" w14:textId="77777777">
            <w:pPr>
              <w:pStyle w:val="BodyText"/>
              <w:rPr>
                <w:rFonts w:cs="Arial"/>
                <w:sz w:val="20"/>
              </w:rPr>
            </w:pPr>
            <w:r w:rsidRPr="000470EA">
              <w:rPr>
                <w:rFonts w:cs="Arial"/>
                <w:sz w:val="20"/>
              </w:rPr>
              <w:t>Hyperphosphat</w:t>
            </w:r>
            <w:r>
              <w:rPr>
                <w:rFonts w:cs="Arial"/>
                <w:sz w:val="20"/>
              </w:rPr>
              <w:t>ae</w:t>
            </w:r>
            <w:r w:rsidRPr="000470EA">
              <w:rPr>
                <w:rFonts w:cs="Arial"/>
                <w:sz w:val="20"/>
              </w:rPr>
              <w:t>mia, dehydration, severe renal insufficiency, shock</w:t>
            </w:r>
            <w:r>
              <w:rPr>
                <w:rFonts w:cs="Arial"/>
                <w:sz w:val="20"/>
              </w:rPr>
              <w:t>.</w:t>
            </w:r>
          </w:p>
        </w:tc>
      </w:tr>
      <w:tr w:rsidRPr="00A81CD1" w:rsidR="00251AA3" w:rsidTr="00251AA3" w14:paraId="06FBD5C3" w14:textId="77777777">
        <w:tc>
          <w:tcPr>
            <w:tcW w:w="1872" w:type="dxa"/>
          </w:tcPr>
          <w:p w:rsidRPr="00F451F4" w:rsidR="00251AA3" w:rsidP="00131848" w:rsidRDefault="00251AA3" w14:paraId="2893FF4C" w14:textId="77777777">
            <w:pPr>
              <w:pStyle w:val="BodyText"/>
              <w:rPr>
                <w:rFonts w:cs="Arial"/>
                <w:b/>
                <w:bCs/>
                <w:sz w:val="20"/>
              </w:rPr>
            </w:pPr>
            <w:r w:rsidRPr="00F451F4">
              <w:rPr>
                <w:sz w:val="20"/>
              </w:rPr>
              <w:br w:type="page"/>
            </w:r>
            <w:r w:rsidRPr="00F451F4">
              <w:rPr>
                <w:rFonts w:cs="Arial"/>
                <w:b/>
                <w:bCs/>
                <w:sz w:val="20"/>
              </w:rPr>
              <w:t>Precautions</w:t>
            </w:r>
          </w:p>
        </w:tc>
        <w:tc>
          <w:tcPr>
            <w:tcW w:w="7229" w:type="dxa"/>
          </w:tcPr>
          <w:p w:rsidR="00251AA3" w:rsidP="00131848" w:rsidRDefault="00251AA3" w14:paraId="50B5D881" w14:textId="77777777">
            <w:pPr>
              <w:pStyle w:val="BodyText"/>
              <w:rPr>
                <w:rFonts w:cs="Arial"/>
                <w:sz w:val="20"/>
              </w:rPr>
            </w:pPr>
            <w:r>
              <w:rPr>
                <w:rFonts w:cs="Arial"/>
                <w:sz w:val="20"/>
              </w:rPr>
              <w:t>Hypernatraemia (avoid sodium dihydrogen phosphate).</w:t>
            </w:r>
          </w:p>
          <w:p w:rsidRPr="00A81CD1" w:rsidR="00251AA3" w:rsidP="00131848" w:rsidRDefault="00251AA3" w14:paraId="6B3FBB28" w14:textId="77777777">
            <w:pPr>
              <w:pStyle w:val="BodyText"/>
              <w:rPr>
                <w:rFonts w:cs="Arial"/>
                <w:sz w:val="20"/>
              </w:rPr>
            </w:pPr>
            <w:r>
              <w:rPr>
                <w:rFonts w:cs="Arial"/>
                <w:sz w:val="20"/>
              </w:rPr>
              <w:t>Hyperkalaemia (avoid potassium dihydrogen phosphate)</w:t>
            </w:r>
          </w:p>
        </w:tc>
      </w:tr>
      <w:tr w:rsidRPr="00F3348A" w:rsidR="00251AA3" w:rsidTr="00251AA3" w14:paraId="2FC2515C" w14:textId="77777777">
        <w:trPr>
          <w:trHeight w:val="874"/>
        </w:trPr>
        <w:tc>
          <w:tcPr>
            <w:tcW w:w="1872" w:type="dxa"/>
          </w:tcPr>
          <w:p w:rsidRPr="00F451F4" w:rsidR="00251AA3" w:rsidP="00131848" w:rsidRDefault="00251AA3" w14:paraId="0644406F" w14:textId="77777777">
            <w:pPr>
              <w:pStyle w:val="BodyText"/>
              <w:rPr>
                <w:rFonts w:cs="Arial"/>
                <w:b/>
                <w:bCs/>
                <w:sz w:val="20"/>
              </w:rPr>
            </w:pPr>
            <w:r w:rsidRPr="00F451F4">
              <w:rPr>
                <w:rFonts w:cs="Arial"/>
                <w:b/>
                <w:bCs/>
                <w:sz w:val="20"/>
              </w:rPr>
              <w:t>Drug Interactions</w:t>
            </w:r>
          </w:p>
        </w:tc>
        <w:tc>
          <w:tcPr>
            <w:tcW w:w="7229" w:type="dxa"/>
          </w:tcPr>
          <w:p w:rsidRPr="000470EA" w:rsidR="00251AA3" w:rsidP="00131848" w:rsidRDefault="00251AA3" w14:paraId="03688458" w14:textId="77777777">
            <w:pPr>
              <w:rPr>
                <w:rFonts w:cs="Calibri"/>
                <w:sz w:val="20"/>
                <w:lang w:eastAsia="en-AU"/>
              </w:rPr>
            </w:pPr>
            <w:r w:rsidRPr="000470EA">
              <w:rPr>
                <w:rFonts w:cs="Calibri"/>
                <w:sz w:val="20"/>
                <w:lang w:eastAsia="en-AU"/>
              </w:rPr>
              <w:t xml:space="preserve">Calcium and magnesium antacids (e.g. acetate, carbonate, citrate, hydroxide etc.) reduce phosphate absorption </w:t>
            </w:r>
            <w:r>
              <w:rPr>
                <w:rFonts w:cs="Calibri"/>
                <w:sz w:val="20"/>
                <w:lang w:eastAsia="en-AU"/>
              </w:rPr>
              <w:t>—</w:t>
            </w:r>
            <w:r w:rsidRPr="000470EA">
              <w:rPr>
                <w:rFonts w:cs="Calibri"/>
                <w:sz w:val="20"/>
                <w:lang w:eastAsia="en-AU"/>
              </w:rPr>
              <w:t xml:space="preserve"> </w:t>
            </w:r>
            <w:r>
              <w:rPr>
                <w:rFonts w:cs="Calibri"/>
                <w:sz w:val="20"/>
                <w:lang w:eastAsia="en-AU"/>
              </w:rPr>
              <w:t>s</w:t>
            </w:r>
            <w:r w:rsidRPr="000470EA">
              <w:rPr>
                <w:rFonts w:cs="Calibri"/>
                <w:sz w:val="20"/>
                <w:lang w:eastAsia="en-AU"/>
              </w:rPr>
              <w:t xml:space="preserve">eparate doses by at least </w:t>
            </w:r>
            <w:r>
              <w:rPr>
                <w:rFonts w:cs="Calibri"/>
                <w:sz w:val="20"/>
                <w:lang w:eastAsia="en-AU"/>
              </w:rPr>
              <w:t>2 hours.</w:t>
            </w:r>
          </w:p>
          <w:p w:rsidR="00251AA3" w:rsidP="00131848" w:rsidRDefault="00251AA3" w14:paraId="5BA9E947" w14:textId="77777777">
            <w:pPr>
              <w:rPr>
                <w:rFonts w:cs="Calibri"/>
                <w:sz w:val="20"/>
                <w:lang w:eastAsia="en-AU"/>
              </w:rPr>
            </w:pPr>
            <w:r w:rsidRPr="000470EA">
              <w:rPr>
                <w:rFonts w:cs="Calibri"/>
                <w:sz w:val="20"/>
                <w:lang w:eastAsia="en-AU"/>
              </w:rPr>
              <w:t>Additive effects with other drugs that may prolong QT interval</w:t>
            </w:r>
            <w:r>
              <w:rPr>
                <w:rFonts w:cs="Calibri"/>
                <w:sz w:val="20"/>
                <w:lang w:eastAsia="en-AU"/>
              </w:rPr>
              <w:t>.</w:t>
            </w:r>
          </w:p>
          <w:p w:rsidRPr="00F3348A" w:rsidR="00251AA3" w:rsidP="00131848" w:rsidRDefault="00251AA3" w14:paraId="2067234F" w14:textId="77777777">
            <w:pPr>
              <w:rPr>
                <w:rFonts w:cs="Calibri"/>
                <w:sz w:val="20"/>
                <w:lang w:eastAsia="en-AU"/>
              </w:rPr>
            </w:pPr>
            <w:r>
              <w:rPr>
                <w:rFonts w:cs="Calibri"/>
                <w:sz w:val="20"/>
                <w:lang w:eastAsia="en-AU"/>
              </w:rPr>
              <w:t>Potassium dihydrogen phosphate preparation may increase the risk of hyperkalaemia when used in conjunction with potassium sparing diuretics (e.g. spironolactone).</w:t>
            </w:r>
          </w:p>
        </w:tc>
      </w:tr>
      <w:tr w:rsidRPr="00F3348A" w:rsidR="00251AA3" w:rsidTr="00251AA3" w14:paraId="51FA5723" w14:textId="77777777">
        <w:trPr>
          <w:trHeight w:val="878"/>
        </w:trPr>
        <w:tc>
          <w:tcPr>
            <w:tcW w:w="1872" w:type="dxa"/>
          </w:tcPr>
          <w:p w:rsidRPr="00F451F4" w:rsidR="00251AA3" w:rsidP="00131848" w:rsidRDefault="00251AA3" w14:paraId="4CB81116" w14:textId="77777777">
            <w:pPr>
              <w:pStyle w:val="BodyText"/>
              <w:rPr>
                <w:rFonts w:cs="Arial"/>
                <w:b/>
                <w:bCs/>
                <w:sz w:val="20"/>
              </w:rPr>
            </w:pPr>
            <w:r w:rsidRPr="00F451F4">
              <w:rPr>
                <w:rFonts w:cs="Arial"/>
                <w:b/>
                <w:bCs/>
                <w:sz w:val="20"/>
              </w:rPr>
              <w:t xml:space="preserve">Adverse Reactions </w:t>
            </w:r>
          </w:p>
        </w:tc>
        <w:tc>
          <w:tcPr>
            <w:tcW w:w="7229" w:type="dxa"/>
          </w:tcPr>
          <w:p w:rsidR="00251AA3" w:rsidP="00131848" w:rsidRDefault="00251AA3" w14:paraId="4C744A97" w14:textId="77777777">
            <w:pPr>
              <w:pStyle w:val="BodyText"/>
              <w:rPr>
                <w:rFonts w:cs="Calibri"/>
                <w:sz w:val="20"/>
              </w:rPr>
            </w:pPr>
            <w:r w:rsidRPr="000470EA">
              <w:rPr>
                <w:rFonts w:cs="Calibri"/>
                <w:sz w:val="20"/>
              </w:rPr>
              <w:t>Diarrhoea (oral use only), hypocalcaemia, nephrotoxicity, prolonged QT interval, hypotension, hypomagnesaemia</w:t>
            </w:r>
            <w:r>
              <w:rPr>
                <w:rFonts w:cs="Calibri"/>
                <w:sz w:val="20"/>
              </w:rPr>
              <w:t>.</w:t>
            </w:r>
          </w:p>
          <w:p w:rsidRPr="00F3348A" w:rsidR="00251AA3" w:rsidP="00131848" w:rsidRDefault="00251AA3" w14:paraId="245E5547" w14:textId="77777777">
            <w:pPr>
              <w:pStyle w:val="BodyText"/>
              <w:rPr>
                <w:rFonts w:cs="Calibri"/>
                <w:sz w:val="20"/>
              </w:rPr>
            </w:pPr>
            <w:r>
              <w:rPr>
                <w:rFonts w:cs="Calibri"/>
                <w:sz w:val="20"/>
              </w:rPr>
              <w:t xml:space="preserve">Hyperphosphataemia – carpopedal spasm, seizures. </w:t>
            </w:r>
            <w:r w:rsidRPr="00695227">
              <w:rPr>
                <w:rFonts w:cs="Calibri"/>
                <w:sz w:val="20"/>
                <w:vertAlign w:val="superscript"/>
              </w:rPr>
              <w:t>2</w:t>
            </w:r>
            <w:r>
              <w:rPr>
                <w:rFonts w:cs="Calibri"/>
                <w:sz w:val="20"/>
              </w:rPr>
              <w:t xml:space="preserve"> </w:t>
            </w:r>
          </w:p>
        </w:tc>
      </w:tr>
      <w:tr w:rsidRPr="00A81CD1" w:rsidR="00251AA3" w:rsidTr="00251AA3" w14:paraId="7828DA3C" w14:textId="77777777">
        <w:trPr>
          <w:trHeight w:val="93"/>
        </w:trPr>
        <w:tc>
          <w:tcPr>
            <w:tcW w:w="1872" w:type="dxa"/>
          </w:tcPr>
          <w:p w:rsidRPr="00F451F4" w:rsidR="00251AA3" w:rsidP="00131848" w:rsidRDefault="00251AA3" w14:paraId="0BEDCB76" w14:textId="77777777">
            <w:pPr>
              <w:pStyle w:val="BodyText"/>
              <w:rPr>
                <w:rFonts w:cs="Arial"/>
                <w:b/>
                <w:bCs/>
                <w:sz w:val="20"/>
              </w:rPr>
            </w:pPr>
            <w:r w:rsidRPr="00F451F4">
              <w:rPr>
                <w:rFonts w:cs="Arial"/>
                <w:b/>
                <w:bCs/>
                <w:sz w:val="20"/>
              </w:rPr>
              <w:t>Compatibility</w:t>
            </w:r>
          </w:p>
        </w:tc>
        <w:tc>
          <w:tcPr>
            <w:tcW w:w="7229" w:type="dxa"/>
          </w:tcPr>
          <w:p w:rsidRPr="0076665F" w:rsidR="00251AA3" w:rsidP="00131848" w:rsidRDefault="00251AA3" w14:paraId="3CA31701" w14:textId="77777777">
            <w:pPr>
              <w:rPr>
                <w:rFonts w:cs="Arial"/>
                <w:sz w:val="20"/>
                <w:u w:val="single"/>
              </w:rPr>
            </w:pPr>
            <w:r w:rsidRPr="0076665F">
              <w:rPr>
                <w:rFonts w:cs="Arial"/>
                <w:sz w:val="20"/>
                <w:u w:val="single"/>
              </w:rPr>
              <w:t>Potassium dihydrogen phosphate</w:t>
            </w:r>
          </w:p>
          <w:p w:rsidRPr="000470EA" w:rsidR="00251AA3" w:rsidP="00131848" w:rsidRDefault="00251AA3" w14:paraId="57B6507D" w14:textId="77777777">
            <w:pPr>
              <w:rPr>
                <w:rFonts w:cs="Arial"/>
                <w:sz w:val="20"/>
              </w:rPr>
            </w:pPr>
            <w:r>
              <w:rPr>
                <w:rFonts w:cs="Arial"/>
                <w:sz w:val="20"/>
              </w:rPr>
              <w:t>F</w:t>
            </w:r>
            <w:r w:rsidRPr="00304C59">
              <w:rPr>
                <w:rFonts w:cs="Arial"/>
                <w:sz w:val="20"/>
              </w:rPr>
              <w:t>luids</w:t>
            </w:r>
            <w:r>
              <w:rPr>
                <w:rFonts w:cs="Arial"/>
                <w:sz w:val="20"/>
              </w:rPr>
              <w:t>:</w:t>
            </w:r>
            <w:r w:rsidRPr="00304C59">
              <w:rPr>
                <w:rFonts w:cs="Arial"/>
                <w:sz w:val="20"/>
              </w:rPr>
              <w:t xml:space="preserve"> </w:t>
            </w:r>
            <w:r w:rsidRPr="000470EA">
              <w:rPr>
                <w:rFonts w:cs="Arial"/>
                <w:sz w:val="20"/>
              </w:rPr>
              <w:t>Glucose 5%, glucose 10%, glucose in sodium chloride solutions, sodium chloride 0.45%, sodium chloride 0.9%, sodium chloride 3%</w:t>
            </w:r>
            <w:r>
              <w:rPr>
                <w:rFonts w:cs="Arial"/>
                <w:sz w:val="20"/>
              </w:rPr>
              <w:t>.</w:t>
            </w:r>
          </w:p>
          <w:p w:rsidRPr="000470EA" w:rsidR="00251AA3" w:rsidP="00131848" w:rsidRDefault="00251AA3" w14:paraId="083A9E0F" w14:textId="77777777">
            <w:pPr>
              <w:rPr>
                <w:rFonts w:cs="Arial"/>
                <w:sz w:val="20"/>
              </w:rPr>
            </w:pPr>
            <w:r w:rsidRPr="000470EA">
              <w:rPr>
                <w:rFonts w:cs="Arial"/>
                <w:sz w:val="20"/>
              </w:rPr>
              <w:t>Y-site: No information</w:t>
            </w:r>
            <w:r>
              <w:rPr>
                <w:rFonts w:cs="Arial"/>
                <w:sz w:val="20"/>
              </w:rPr>
              <w:t>.</w:t>
            </w:r>
          </w:p>
          <w:p w:rsidRPr="000470EA" w:rsidR="00251AA3" w:rsidP="00131848" w:rsidRDefault="00251AA3" w14:paraId="4BCE6656" w14:textId="77777777">
            <w:pPr>
              <w:rPr>
                <w:rFonts w:cs="Arial"/>
                <w:sz w:val="20"/>
              </w:rPr>
            </w:pPr>
          </w:p>
          <w:p w:rsidRPr="0076665F" w:rsidR="00251AA3" w:rsidP="00131848" w:rsidRDefault="00251AA3" w14:paraId="4838D69F" w14:textId="77777777">
            <w:pPr>
              <w:rPr>
                <w:rFonts w:cs="Arial"/>
                <w:sz w:val="20"/>
                <w:u w:val="single"/>
              </w:rPr>
            </w:pPr>
            <w:r w:rsidRPr="0076665F">
              <w:rPr>
                <w:rFonts w:cs="Arial"/>
                <w:sz w:val="20"/>
                <w:u w:val="single"/>
              </w:rPr>
              <w:t>Sodium dihydrogen phosphate</w:t>
            </w:r>
          </w:p>
          <w:p w:rsidRPr="000470EA" w:rsidR="00251AA3" w:rsidP="00131848" w:rsidRDefault="00251AA3" w14:paraId="478E6262" w14:textId="77777777">
            <w:pPr>
              <w:rPr>
                <w:rFonts w:cs="Arial"/>
                <w:sz w:val="20"/>
              </w:rPr>
            </w:pPr>
            <w:r>
              <w:rPr>
                <w:rFonts w:cs="Arial"/>
                <w:sz w:val="20"/>
              </w:rPr>
              <w:t>F</w:t>
            </w:r>
            <w:r w:rsidRPr="000470EA">
              <w:rPr>
                <w:rFonts w:cs="Arial"/>
                <w:sz w:val="20"/>
              </w:rPr>
              <w:t>luids: Glucose 5%, sodium chloride 0.9%</w:t>
            </w:r>
            <w:r>
              <w:rPr>
                <w:rFonts w:cs="Arial"/>
                <w:sz w:val="20"/>
              </w:rPr>
              <w:t>.</w:t>
            </w:r>
          </w:p>
          <w:p w:rsidRPr="00A81CD1" w:rsidR="00251AA3" w:rsidP="00131848" w:rsidRDefault="00251AA3" w14:paraId="3C613486" w14:textId="77777777">
            <w:pPr>
              <w:rPr>
                <w:rFonts w:cs="Arial"/>
                <w:sz w:val="20"/>
              </w:rPr>
            </w:pPr>
            <w:r>
              <w:rPr>
                <w:rFonts w:cs="Arial"/>
                <w:sz w:val="20"/>
              </w:rPr>
              <w:t>Y-site</w:t>
            </w:r>
            <w:r w:rsidRPr="000470EA">
              <w:rPr>
                <w:rFonts w:cs="Arial"/>
                <w:sz w:val="20"/>
              </w:rPr>
              <w:t>: No information</w:t>
            </w:r>
          </w:p>
        </w:tc>
      </w:tr>
      <w:tr w:rsidRPr="00A81CD1" w:rsidR="00251AA3" w:rsidTr="00251AA3" w14:paraId="5C020982" w14:textId="77777777">
        <w:trPr>
          <w:trHeight w:val="235"/>
        </w:trPr>
        <w:tc>
          <w:tcPr>
            <w:tcW w:w="1872" w:type="dxa"/>
          </w:tcPr>
          <w:p w:rsidRPr="00F451F4" w:rsidR="00251AA3" w:rsidP="00131848" w:rsidRDefault="00251AA3" w14:paraId="52491CAB" w14:textId="77777777">
            <w:pPr>
              <w:pStyle w:val="BodyText"/>
              <w:rPr>
                <w:rFonts w:cs="Arial"/>
                <w:b/>
                <w:bCs/>
                <w:sz w:val="20"/>
              </w:rPr>
            </w:pPr>
            <w:r w:rsidRPr="00F451F4">
              <w:rPr>
                <w:rFonts w:cs="Arial"/>
                <w:b/>
                <w:bCs/>
                <w:sz w:val="20"/>
              </w:rPr>
              <w:t xml:space="preserve">Incompatibility  </w:t>
            </w:r>
          </w:p>
        </w:tc>
        <w:tc>
          <w:tcPr>
            <w:tcW w:w="7229" w:type="dxa"/>
          </w:tcPr>
          <w:p w:rsidRPr="0076665F" w:rsidR="00251AA3" w:rsidP="00131848" w:rsidRDefault="00251AA3" w14:paraId="59DDA31D" w14:textId="77777777">
            <w:pPr>
              <w:rPr>
                <w:rFonts w:cs="Arial"/>
                <w:sz w:val="20"/>
                <w:u w:val="single"/>
              </w:rPr>
            </w:pPr>
            <w:r w:rsidRPr="0076665F">
              <w:rPr>
                <w:rFonts w:cs="Arial"/>
                <w:sz w:val="20"/>
                <w:u w:val="single"/>
              </w:rPr>
              <w:t xml:space="preserve">Potassium dihydrogen phosphate </w:t>
            </w:r>
          </w:p>
          <w:p w:rsidRPr="000470EA" w:rsidR="00251AA3" w:rsidP="00131848" w:rsidRDefault="00251AA3" w14:paraId="26C764F5" w14:textId="77777777">
            <w:pPr>
              <w:rPr>
                <w:rFonts w:cs="Arial"/>
                <w:sz w:val="20"/>
              </w:rPr>
            </w:pPr>
            <w:r w:rsidRPr="000470EA">
              <w:rPr>
                <w:rFonts w:cs="Arial"/>
                <w:sz w:val="20"/>
              </w:rPr>
              <w:t>Fluids</w:t>
            </w:r>
            <w:r>
              <w:rPr>
                <w:rFonts w:cs="Arial"/>
                <w:sz w:val="20"/>
              </w:rPr>
              <w:t>:</w:t>
            </w:r>
            <w:r w:rsidRPr="000470EA">
              <w:rPr>
                <w:rFonts w:cs="Arial"/>
                <w:sz w:val="20"/>
              </w:rPr>
              <w:t xml:space="preserve"> </w:t>
            </w:r>
            <w:r>
              <w:rPr>
                <w:rFonts w:cs="Arial"/>
                <w:sz w:val="20"/>
              </w:rPr>
              <w:t>N</w:t>
            </w:r>
            <w:r w:rsidRPr="000470EA">
              <w:rPr>
                <w:rFonts w:cs="Arial"/>
                <w:sz w:val="20"/>
              </w:rPr>
              <w:t>o information</w:t>
            </w:r>
          </w:p>
          <w:p w:rsidRPr="000470EA" w:rsidR="00251AA3" w:rsidP="00131848" w:rsidRDefault="00251AA3" w14:paraId="4A78C12D" w14:textId="77777777">
            <w:pPr>
              <w:rPr>
                <w:rFonts w:cs="Arial"/>
                <w:sz w:val="20"/>
              </w:rPr>
            </w:pPr>
            <w:r w:rsidRPr="000470EA">
              <w:rPr>
                <w:rFonts w:cs="Arial"/>
                <w:sz w:val="20"/>
              </w:rPr>
              <w:t>Drugs: Aciclovir, amiodarone, calcium salts, ketamine, lorazepam, magnesium salts, rocuronium. Solutions that contain other cations such as calcium, magnesium, iron and aluminium may also precipitate.</w:t>
            </w:r>
          </w:p>
          <w:p w:rsidRPr="000470EA" w:rsidR="00251AA3" w:rsidP="00131848" w:rsidRDefault="00251AA3" w14:paraId="1597C1B4" w14:textId="77777777">
            <w:pPr>
              <w:rPr>
                <w:rFonts w:cs="Arial"/>
                <w:sz w:val="20"/>
              </w:rPr>
            </w:pPr>
          </w:p>
          <w:p w:rsidRPr="0076665F" w:rsidR="00251AA3" w:rsidP="00131848" w:rsidRDefault="00251AA3" w14:paraId="79EECE82" w14:textId="77777777">
            <w:pPr>
              <w:rPr>
                <w:rFonts w:cs="Arial"/>
                <w:sz w:val="20"/>
                <w:u w:val="single"/>
              </w:rPr>
            </w:pPr>
            <w:r w:rsidRPr="0076665F">
              <w:rPr>
                <w:rFonts w:cs="Arial"/>
                <w:sz w:val="20"/>
                <w:u w:val="single"/>
              </w:rPr>
              <w:t>Sodium dihydrogen phosphate</w:t>
            </w:r>
          </w:p>
          <w:p w:rsidRPr="000470EA" w:rsidR="00251AA3" w:rsidP="00131848" w:rsidRDefault="00251AA3" w14:paraId="5975534D" w14:textId="77777777">
            <w:pPr>
              <w:rPr>
                <w:rFonts w:cs="Arial"/>
                <w:sz w:val="20"/>
              </w:rPr>
            </w:pPr>
            <w:r w:rsidRPr="000470EA">
              <w:rPr>
                <w:rFonts w:cs="Arial"/>
                <w:sz w:val="20"/>
              </w:rPr>
              <w:t>Fluids : No information</w:t>
            </w:r>
          </w:p>
          <w:p w:rsidRPr="00A81CD1" w:rsidR="00251AA3" w:rsidP="00131848" w:rsidRDefault="00251AA3" w14:paraId="05099767" w14:textId="77777777">
            <w:pPr>
              <w:rPr>
                <w:rFonts w:cs="Arial"/>
                <w:sz w:val="20"/>
              </w:rPr>
            </w:pPr>
            <w:r w:rsidRPr="000470EA">
              <w:rPr>
                <w:rFonts w:cs="Arial"/>
                <w:sz w:val="20"/>
              </w:rPr>
              <w:t xml:space="preserve">Drugs: Aciclovir, amiodarone, calcium salts, </w:t>
            </w:r>
            <w:r>
              <w:rPr>
                <w:rFonts w:cs="Arial"/>
                <w:sz w:val="20"/>
              </w:rPr>
              <w:t>c</w:t>
            </w:r>
            <w:r w:rsidRPr="000470EA">
              <w:rPr>
                <w:rFonts w:cs="Arial"/>
                <w:sz w:val="20"/>
              </w:rPr>
              <w:t>alcium, aluminium or magnesium</w:t>
            </w:r>
            <w:r>
              <w:rPr>
                <w:rFonts w:cs="Arial"/>
                <w:sz w:val="20"/>
              </w:rPr>
              <w:t>, iron and magnesium</w:t>
            </w:r>
            <w:r w:rsidRPr="000470EA">
              <w:rPr>
                <w:rFonts w:cs="Arial"/>
                <w:sz w:val="20"/>
              </w:rPr>
              <w:t xml:space="preserve"> containing solutions</w:t>
            </w:r>
            <w:r>
              <w:rPr>
                <w:rFonts w:cs="Arial"/>
                <w:sz w:val="20"/>
              </w:rPr>
              <w:t>.</w:t>
            </w:r>
          </w:p>
        </w:tc>
      </w:tr>
      <w:tr w:rsidRPr="00A81CD1" w:rsidR="00251AA3" w:rsidTr="00251AA3" w14:paraId="359E1FDA" w14:textId="77777777">
        <w:trPr>
          <w:trHeight w:val="210"/>
        </w:trPr>
        <w:tc>
          <w:tcPr>
            <w:tcW w:w="1872" w:type="dxa"/>
          </w:tcPr>
          <w:p w:rsidRPr="00F451F4" w:rsidR="00251AA3" w:rsidP="00131848" w:rsidRDefault="00251AA3" w14:paraId="553397D1" w14:textId="77777777">
            <w:pPr>
              <w:pStyle w:val="BodyText"/>
              <w:rPr>
                <w:rFonts w:cs="Arial"/>
                <w:b/>
                <w:bCs/>
                <w:sz w:val="20"/>
              </w:rPr>
            </w:pPr>
            <w:r w:rsidRPr="00F451F4">
              <w:rPr>
                <w:rFonts w:cs="Arial"/>
                <w:b/>
                <w:bCs/>
                <w:sz w:val="20"/>
              </w:rPr>
              <w:t xml:space="preserve">Stability          </w:t>
            </w:r>
          </w:p>
        </w:tc>
        <w:tc>
          <w:tcPr>
            <w:tcW w:w="7229" w:type="dxa"/>
          </w:tcPr>
          <w:p w:rsidR="00251AA3" w:rsidP="00131848" w:rsidRDefault="00251AA3" w14:paraId="375413BA" w14:textId="77777777">
            <w:pPr>
              <w:rPr>
                <w:rFonts w:cs="Arial"/>
                <w:sz w:val="20"/>
              </w:rPr>
            </w:pPr>
            <w:r>
              <w:rPr>
                <w:rFonts w:cs="Arial"/>
                <w:sz w:val="20"/>
              </w:rPr>
              <w:t>Preparation from oral effervescent tablets: It is to be used immediately after preparation and discard unused portion.</w:t>
            </w:r>
          </w:p>
          <w:p w:rsidRPr="00A81CD1" w:rsidR="00251AA3" w:rsidP="00131848" w:rsidRDefault="00251AA3" w14:paraId="2F85A881" w14:textId="77777777">
            <w:pPr>
              <w:rPr>
                <w:rFonts w:cs="Arial"/>
                <w:sz w:val="20"/>
              </w:rPr>
            </w:pPr>
            <w:r>
              <w:rPr>
                <w:rFonts w:cs="Arial"/>
                <w:sz w:val="20"/>
              </w:rPr>
              <w:t>Oral preparation from IV sodium dihydrogen phosphate: 7 days</w:t>
            </w:r>
          </w:p>
        </w:tc>
      </w:tr>
      <w:tr w:rsidRPr="003A7895" w:rsidR="00251AA3" w:rsidTr="00251AA3" w14:paraId="15715F46" w14:textId="77777777">
        <w:trPr>
          <w:trHeight w:val="266"/>
        </w:trPr>
        <w:tc>
          <w:tcPr>
            <w:tcW w:w="1872" w:type="dxa"/>
          </w:tcPr>
          <w:p w:rsidRPr="00F451F4" w:rsidR="00251AA3" w:rsidP="00131848" w:rsidRDefault="00251AA3" w14:paraId="0E38B083" w14:textId="77777777">
            <w:pPr>
              <w:pStyle w:val="BodyText"/>
              <w:rPr>
                <w:rFonts w:cs="Arial"/>
                <w:b/>
                <w:bCs/>
                <w:sz w:val="20"/>
              </w:rPr>
            </w:pPr>
            <w:r w:rsidRPr="00F451F4">
              <w:rPr>
                <w:rFonts w:cs="Arial"/>
                <w:b/>
                <w:bCs/>
                <w:sz w:val="20"/>
              </w:rPr>
              <w:t xml:space="preserve">Storage             </w:t>
            </w:r>
          </w:p>
        </w:tc>
        <w:tc>
          <w:tcPr>
            <w:tcW w:w="7229" w:type="dxa"/>
          </w:tcPr>
          <w:p w:rsidRPr="003A7895" w:rsidR="00251AA3" w:rsidP="00131848" w:rsidRDefault="00251AA3" w14:paraId="2FD83B8D" w14:textId="77777777">
            <w:pPr>
              <w:rPr>
                <w:rFonts w:cs="Arial"/>
                <w:sz w:val="20"/>
              </w:rPr>
            </w:pPr>
            <w:r w:rsidRPr="00D61655">
              <w:rPr>
                <w:rFonts w:cs="Arial"/>
                <w:sz w:val="20"/>
              </w:rPr>
              <w:t>Store below 25°C</w:t>
            </w:r>
            <w:r>
              <w:rPr>
                <w:rFonts w:cs="Arial"/>
                <w:sz w:val="20"/>
              </w:rPr>
              <w:t>.</w:t>
            </w:r>
          </w:p>
        </w:tc>
      </w:tr>
      <w:tr w:rsidRPr="00D61655" w:rsidR="00251AA3" w:rsidTr="00251AA3" w14:paraId="2C83B0B7" w14:textId="77777777">
        <w:trPr>
          <w:trHeight w:val="266"/>
        </w:trPr>
        <w:tc>
          <w:tcPr>
            <w:tcW w:w="1872" w:type="dxa"/>
          </w:tcPr>
          <w:p w:rsidRPr="00F451F4" w:rsidR="00251AA3" w:rsidP="00131848" w:rsidRDefault="00251AA3" w14:paraId="3960CC1C" w14:textId="77777777">
            <w:pPr>
              <w:pStyle w:val="BodyText"/>
              <w:rPr>
                <w:rFonts w:cs="Arial"/>
                <w:b/>
                <w:bCs/>
                <w:sz w:val="20"/>
              </w:rPr>
            </w:pPr>
            <w:r w:rsidRPr="00F451F4">
              <w:rPr>
                <w:rFonts w:cs="Arial"/>
                <w:b/>
                <w:bCs/>
                <w:sz w:val="20"/>
              </w:rPr>
              <w:t>Excipients</w:t>
            </w:r>
          </w:p>
        </w:tc>
        <w:tc>
          <w:tcPr>
            <w:tcW w:w="7229" w:type="dxa"/>
          </w:tcPr>
          <w:p w:rsidRPr="00D61655" w:rsidR="00251AA3" w:rsidP="00131848" w:rsidRDefault="00251AA3" w14:paraId="5183132E" w14:textId="77777777">
            <w:pPr>
              <w:rPr>
                <w:rFonts w:cs="Arial"/>
                <w:sz w:val="20"/>
              </w:rPr>
            </w:pPr>
            <w:r w:rsidRPr="00947679">
              <w:rPr>
                <w:rFonts w:cs="Arial"/>
                <w:sz w:val="20"/>
              </w:rPr>
              <w:t>Phosphate-Phebra® oral effervescent tablets</w:t>
            </w:r>
            <w:r>
              <w:rPr>
                <w:rFonts w:cs="Arial"/>
                <w:sz w:val="20"/>
              </w:rPr>
              <w:t xml:space="preserve">: </w:t>
            </w:r>
            <w:r w:rsidRPr="00947679">
              <w:rPr>
                <w:rFonts w:cs="Arial"/>
                <w:sz w:val="20"/>
              </w:rPr>
              <w:t>Sodium bicarbonate, potassium bicarbonate, macrogol 4000, citric acid, sucrose, orange 52570 TP0551 and saccharin sodium.</w:t>
            </w:r>
          </w:p>
        </w:tc>
      </w:tr>
      <w:tr w:rsidRPr="00F3348A" w:rsidR="00251AA3" w:rsidTr="00251AA3" w14:paraId="08B74D92" w14:textId="77777777">
        <w:trPr>
          <w:trHeight w:val="242"/>
        </w:trPr>
        <w:tc>
          <w:tcPr>
            <w:tcW w:w="1872" w:type="dxa"/>
          </w:tcPr>
          <w:p w:rsidRPr="00F451F4" w:rsidR="00251AA3" w:rsidP="00131848" w:rsidRDefault="00251AA3" w14:paraId="531F30A0" w14:textId="77777777">
            <w:pPr>
              <w:pStyle w:val="BodyText"/>
              <w:rPr>
                <w:rFonts w:cs="Arial"/>
                <w:b/>
                <w:bCs/>
                <w:sz w:val="20"/>
              </w:rPr>
            </w:pPr>
            <w:r w:rsidRPr="00F451F4">
              <w:rPr>
                <w:rFonts w:cs="Arial"/>
                <w:b/>
                <w:bCs/>
                <w:sz w:val="20"/>
              </w:rPr>
              <w:t>Special Comments</w:t>
            </w:r>
          </w:p>
        </w:tc>
        <w:tc>
          <w:tcPr>
            <w:tcW w:w="7229" w:type="dxa"/>
          </w:tcPr>
          <w:p w:rsidRPr="00F3348A" w:rsidR="00251AA3" w:rsidP="00131848" w:rsidRDefault="00251AA3" w14:paraId="6E99434A" w14:textId="77777777">
            <w:pPr>
              <w:rPr>
                <w:rFonts w:cs="Calibri"/>
                <w:sz w:val="20"/>
              </w:rPr>
            </w:pPr>
          </w:p>
        </w:tc>
      </w:tr>
      <w:tr w:rsidRPr="005867D4" w:rsidR="00251AA3" w:rsidTr="00251AA3" w14:paraId="494E3C5A" w14:textId="77777777">
        <w:trPr>
          <w:trHeight w:val="362"/>
        </w:trPr>
        <w:tc>
          <w:tcPr>
            <w:tcW w:w="1872" w:type="dxa"/>
          </w:tcPr>
          <w:p w:rsidRPr="00F451F4" w:rsidR="00251AA3" w:rsidP="00131848" w:rsidRDefault="00251AA3" w14:paraId="7B278BDD" w14:textId="77777777">
            <w:pPr>
              <w:pStyle w:val="BodyText"/>
              <w:rPr>
                <w:rFonts w:cs="Arial"/>
                <w:b/>
                <w:bCs/>
                <w:sz w:val="20"/>
              </w:rPr>
            </w:pPr>
            <w:r w:rsidRPr="00F451F4">
              <w:rPr>
                <w:rFonts w:cs="Arial"/>
                <w:b/>
                <w:bCs/>
                <w:sz w:val="20"/>
              </w:rPr>
              <w:t>Evidence</w:t>
            </w:r>
          </w:p>
        </w:tc>
        <w:tc>
          <w:tcPr>
            <w:tcW w:w="7229" w:type="dxa"/>
          </w:tcPr>
          <w:p w:rsidRPr="00CE5031" w:rsidR="00251AA3" w:rsidP="00131848" w:rsidRDefault="00251AA3" w14:paraId="372D9579" w14:textId="77777777">
            <w:pPr>
              <w:pStyle w:val="BodyText"/>
              <w:rPr>
                <w:rFonts w:cs="Arial"/>
                <w:b/>
                <w:sz w:val="16"/>
                <w:szCs w:val="16"/>
              </w:rPr>
            </w:pPr>
            <w:r w:rsidRPr="00CE5031">
              <w:rPr>
                <w:rFonts w:cs="Arial"/>
                <w:b/>
                <w:sz w:val="16"/>
                <w:szCs w:val="16"/>
              </w:rPr>
              <w:t>Recommended daily intakes (RDI)</w:t>
            </w:r>
          </w:p>
          <w:p w:rsidRPr="00CE5031" w:rsidR="00251AA3" w:rsidP="00131848" w:rsidRDefault="00251AA3" w14:paraId="6ACC03EB" w14:textId="77777777">
            <w:pPr>
              <w:pStyle w:val="BodyText"/>
              <w:rPr>
                <w:rFonts w:cs="Arial"/>
                <w:sz w:val="16"/>
                <w:szCs w:val="16"/>
              </w:rPr>
            </w:pPr>
            <w:r w:rsidRPr="00CE5031">
              <w:rPr>
                <w:rFonts w:cs="Arial"/>
                <w:sz w:val="16"/>
                <w:szCs w:val="16"/>
              </w:rPr>
              <w:t>Phosphorus absorption is typically 80% to 90% of dietary intake.</w:t>
            </w:r>
            <w:r w:rsidRPr="00CE5031">
              <w:rPr>
                <w:rFonts w:cs="Arial"/>
                <w:sz w:val="16"/>
                <w:szCs w:val="16"/>
                <w:vertAlign w:val="superscript"/>
              </w:rPr>
              <w:t>3</w:t>
            </w:r>
          </w:p>
          <w:p w:rsidRPr="00CE5031" w:rsidR="00251AA3" w:rsidP="00131848" w:rsidRDefault="00251AA3" w14:paraId="2FBF3AB8" w14:textId="77777777">
            <w:pPr>
              <w:pStyle w:val="BodyText"/>
              <w:rPr>
                <w:rFonts w:cs="Arial"/>
                <w:sz w:val="16"/>
                <w:szCs w:val="16"/>
              </w:rPr>
            </w:pPr>
          </w:p>
          <w:p w:rsidRPr="00CE5031" w:rsidR="00251AA3" w:rsidP="00131848" w:rsidRDefault="00251AA3" w14:paraId="563C717F" w14:textId="77777777">
            <w:pPr>
              <w:pStyle w:val="BodyText"/>
              <w:rPr>
                <w:rFonts w:cs="Arial"/>
                <w:sz w:val="16"/>
                <w:szCs w:val="16"/>
              </w:rPr>
            </w:pPr>
            <w:r w:rsidRPr="00CE5031">
              <w:rPr>
                <w:rFonts w:cs="Arial"/>
                <w:b/>
                <w:sz w:val="16"/>
                <w:szCs w:val="16"/>
              </w:rPr>
              <w:t>Parenteral intake:</w:t>
            </w:r>
            <w:r w:rsidRPr="00CE5031">
              <w:rPr>
                <w:rFonts w:cs="Arial"/>
                <w:sz w:val="16"/>
                <w:szCs w:val="16"/>
              </w:rPr>
              <w:t xml:space="preserve"> Previously, the recommended doses of </w:t>
            </w:r>
            <w:r w:rsidRPr="00CE5031">
              <w:rPr>
                <w:rFonts w:cs="Arial"/>
                <w:b/>
                <w:sz w:val="16"/>
                <w:szCs w:val="16"/>
              </w:rPr>
              <w:t>parenteral</w:t>
            </w:r>
            <w:r w:rsidRPr="00CE5031">
              <w:rPr>
                <w:rFonts w:cs="Arial"/>
                <w:sz w:val="16"/>
                <w:szCs w:val="16"/>
              </w:rPr>
              <w:t xml:space="preserve"> Ca and P in preterm infants varied from 1.3–3 mmol Ca/kg/day and 1.0–2.3 mmol P/kg/day, with a Ca:P ratio in the range of 1.3–1.7.</w:t>
            </w:r>
            <w:r w:rsidRPr="00CE5031">
              <w:rPr>
                <w:rFonts w:cs="Arial"/>
                <w:sz w:val="16"/>
                <w:szCs w:val="16"/>
                <w:vertAlign w:val="superscript"/>
              </w:rPr>
              <w:t>1,4-6</w:t>
            </w:r>
            <w:r w:rsidRPr="00CE5031">
              <w:rPr>
                <w:rFonts w:cs="Arial"/>
                <w:sz w:val="16"/>
                <w:szCs w:val="16"/>
              </w:rPr>
              <w:t xml:space="preserve"> ESPGHAN 2018 updated guidelines on parenteral nutrition recommends the following Ca and Phosphate:</w:t>
            </w:r>
            <w:r w:rsidRPr="00CE5031">
              <w:rPr>
                <w:rFonts w:cs="Arial"/>
                <w:sz w:val="16"/>
                <w:szCs w:val="16"/>
                <w:vertAlign w:val="superscript"/>
              </w:rPr>
              <w:t>12</w:t>
            </w:r>
          </w:p>
          <w:p w:rsidRPr="00CE5031" w:rsidR="00251AA3" w:rsidP="00131848" w:rsidRDefault="00251AA3" w14:paraId="67DAE801" w14:textId="77777777">
            <w:pPr>
              <w:pStyle w:val="BodyText"/>
              <w:rPr>
                <w:rFonts w:cs="Arial"/>
                <w:sz w:val="16"/>
                <w:szCs w:val="16"/>
              </w:rPr>
            </w:pPr>
          </w:p>
          <w:tbl>
            <w:tblPr>
              <w:tblStyle w:val="TableGrid"/>
              <w:tblW w:w="0" w:type="auto"/>
              <w:tblLook w:val="04A0" w:firstRow="1" w:lastRow="0" w:firstColumn="1" w:lastColumn="0" w:noHBand="0" w:noVBand="1"/>
            </w:tblPr>
            <w:tblGrid>
              <w:gridCol w:w="2254"/>
              <w:gridCol w:w="2254"/>
              <w:gridCol w:w="2254"/>
            </w:tblGrid>
            <w:tr w:rsidRPr="00CE5031" w:rsidR="00251AA3" w:rsidTr="00131848" w14:paraId="5BB7B04B" w14:textId="77777777">
              <w:tc>
                <w:tcPr>
                  <w:tcW w:w="2254" w:type="dxa"/>
                </w:tcPr>
                <w:p w:rsidRPr="00CE5031" w:rsidR="00251AA3" w:rsidP="00131848" w:rsidRDefault="00251AA3" w14:paraId="54036A85" w14:textId="77777777">
                  <w:pPr>
                    <w:rPr>
                      <w:rFonts w:asciiTheme="minorHAnsi" w:hAnsiTheme="minorHAnsi"/>
                      <w:sz w:val="16"/>
                      <w:szCs w:val="16"/>
                    </w:rPr>
                  </w:pPr>
                </w:p>
              </w:tc>
              <w:tc>
                <w:tcPr>
                  <w:tcW w:w="2254" w:type="dxa"/>
                </w:tcPr>
                <w:p w:rsidRPr="00CE5031" w:rsidR="00251AA3" w:rsidP="00131848" w:rsidRDefault="00251AA3" w14:paraId="221A4955" w14:textId="77777777">
                  <w:pPr>
                    <w:rPr>
                      <w:rFonts w:asciiTheme="minorHAnsi" w:hAnsiTheme="minorHAnsi"/>
                      <w:sz w:val="16"/>
                      <w:szCs w:val="16"/>
                    </w:rPr>
                  </w:pPr>
                  <w:r w:rsidRPr="00CE5031">
                    <w:rPr>
                      <w:rFonts w:asciiTheme="minorHAnsi" w:hAnsiTheme="minorHAnsi"/>
                      <w:b/>
                      <w:sz w:val="16"/>
                      <w:szCs w:val="16"/>
                    </w:rPr>
                    <w:t>Parenteral</w:t>
                  </w:r>
                  <w:r w:rsidRPr="00CE5031">
                    <w:rPr>
                      <w:rFonts w:asciiTheme="minorHAnsi" w:hAnsiTheme="minorHAnsi"/>
                      <w:sz w:val="16"/>
                      <w:szCs w:val="16"/>
                    </w:rPr>
                    <w:t xml:space="preserve"> Ca </w:t>
                  </w:r>
                </w:p>
                <w:p w:rsidRPr="00CE5031" w:rsidR="00251AA3" w:rsidP="00131848" w:rsidRDefault="00251AA3" w14:paraId="657C13A0" w14:textId="77777777">
                  <w:pPr>
                    <w:rPr>
                      <w:rFonts w:asciiTheme="minorHAnsi" w:hAnsiTheme="minorHAnsi"/>
                      <w:sz w:val="16"/>
                      <w:szCs w:val="16"/>
                    </w:rPr>
                  </w:pPr>
                  <w:r w:rsidRPr="00CE5031">
                    <w:rPr>
                      <w:rFonts w:asciiTheme="minorHAnsi" w:hAnsiTheme="minorHAnsi"/>
                      <w:sz w:val="16"/>
                      <w:szCs w:val="16"/>
                    </w:rPr>
                    <w:t>mmol (mg)/kg/day</w:t>
                  </w:r>
                </w:p>
              </w:tc>
              <w:tc>
                <w:tcPr>
                  <w:tcW w:w="2254" w:type="dxa"/>
                </w:tcPr>
                <w:p w:rsidRPr="00CE5031" w:rsidR="00251AA3" w:rsidP="00131848" w:rsidRDefault="00251AA3" w14:paraId="6409C17B" w14:textId="77777777">
                  <w:pPr>
                    <w:rPr>
                      <w:rFonts w:asciiTheme="minorHAnsi" w:hAnsiTheme="minorHAnsi"/>
                      <w:sz w:val="16"/>
                      <w:szCs w:val="16"/>
                    </w:rPr>
                  </w:pPr>
                  <w:r w:rsidRPr="00CE5031">
                    <w:rPr>
                      <w:rFonts w:asciiTheme="minorHAnsi" w:hAnsiTheme="minorHAnsi"/>
                      <w:b/>
                      <w:sz w:val="16"/>
                      <w:szCs w:val="16"/>
                    </w:rPr>
                    <w:t>Parenteral</w:t>
                  </w:r>
                  <w:r w:rsidRPr="00CE5031">
                    <w:rPr>
                      <w:rFonts w:asciiTheme="minorHAnsi" w:hAnsiTheme="minorHAnsi"/>
                      <w:sz w:val="16"/>
                      <w:szCs w:val="16"/>
                    </w:rPr>
                    <w:t xml:space="preserve"> Ph </w:t>
                  </w:r>
                </w:p>
                <w:p w:rsidRPr="00CE5031" w:rsidR="00251AA3" w:rsidP="00131848" w:rsidRDefault="00251AA3" w14:paraId="65507C26" w14:textId="77777777">
                  <w:pPr>
                    <w:rPr>
                      <w:rFonts w:asciiTheme="minorHAnsi" w:hAnsiTheme="minorHAnsi"/>
                      <w:sz w:val="16"/>
                      <w:szCs w:val="16"/>
                    </w:rPr>
                  </w:pPr>
                  <w:r w:rsidRPr="00CE5031">
                    <w:rPr>
                      <w:rFonts w:asciiTheme="minorHAnsi" w:hAnsiTheme="minorHAnsi"/>
                      <w:sz w:val="16"/>
                      <w:szCs w:val="16"/>
                    </w:rPr>
                    <w:t>mmol (mg)/kg/day</w:t>
                  </w:r>
                </w:p>
              </w:tc>
            </w:tr>
            <w:tr w:rsidRPr="00CE5031" w:rsidR="00251AA3" w:rsidTr="00131848" w14:paraId="230F47E2" w14:textId="77777777">
              <w:tc>
                <w:tcPr>
                  <w:tcW w:w="2254" w:type="dxa"/>
                </w:tcPr>
                <w:p w:rsidRPr="00CE5031" w:rsidR="00251AA3" w:rsidP="00131848" w:rsidRDefault="00251AA3" w14:paraId="30F31C11" w14:textId="77777777">
                  <w:pPr>
                    <w:rPr>
                      <w:rFonts w:asciiTheme="minorHAnsi" w:hAnsiTheme="minorHAnsi"/>
                      <w:sz w:val="16"/>
                      <w:szCs w:val="16"/>
                    </w:rPr>
                  </w:pPr>
                  <w:r w:rsidRPr="00CE5031">
                    <w:rPr>
                      <w:rFonts w:asciiTheme="minorHAnsi" w:hAnsiTheme="minorHAnsi"/>
                      <w:sz w:val="16"/>
                      <w:szCs w:val="16"/>
                    </w:rPr>
                    <w:t>Preterm during the first days of life</w:t>
                  </w:r>
                </w:p>
              </w:tc>
              <w:tc>
                <w:tcPr>
                  <w:tcW w:w="2254" w:type="dxa"/>
                </w:tcPr>
                <w:p w:rsidRPr="00CE5031" w:rsidR="00251AA3" w:rsidP="00131848" w:rsidRDefault="00251AA3" w14:paraId="79888473" w14:textId="77777777">
                  <w:pPr>
                    <w:rPr>
                      <w:rFonts w:asciiTheme="minorHAnsi" w:hAnsiTheme="minorHAnsi"/>
                      <w:sz w:val="16"/>
                      <w:szCs w:val="16"/>
                    </w:rPr>
                  </w:pPr>
                  <w:r w:rsidRPr="00CE5031">
                    <w:rPr>
                      <w:rFonts w:asciiTheme="minorHAnsi" w:hAnsiTheme="minorHAnsi"/>
                      <w:sz w:val="16"/>
                      <w:szCs w:val="16"/>
                    </w:rPr>
                    <w:t>0.8-2.0 (32-80)</w:t>
                  </w:r>
                </w:p>
              </w:tc>
              <w:tc>
                <w:tcPr>
                  <w:tcW w:w="2254" w:type="dxa"/>
                </w:tcPr>
                <w:p w:rsidRPr="00CE5031" w:rsidR="00251AA3" w:rsidP="00131848" w:rsidRDefault="00251AA3" w14:paraId="054E2C89" w14:textId="77777777">
                  <w:pPr>
                    <w:rPr>
                      <w:rFonts w:asciiTheme="minorHAnsi" w:hAnsiTheme="minorHAnsi"/>
                      <w:sz w:val="16"/>
                      <w:szCs w:val="16"/>
                    </w:rPr>
                  </w:pPr>
                  <w:r w:rsidRPr="00CE5031">
                    <w:rPr>
                      <w:rFonts w:asciiTheme="minorHAnsi" w:hAnsiTheme="minorHAnsi"/>
                      <w:sz w:val="16"/>
                      <w:szCs w:val="16"/>
                    </w:rPr>
                    <w:t>1.0-2.0 (31-62)</w:t>
                  </w:r>
                </w:p>
              </w:tc>
            </w:tr>
            <w:tr w:rsidRPr="00CE5031" w:rsidR="00251AA3" w:rsidTr="00131848" w14:paraId="0DD5860D" w14:textId="77777777">
              <w:tc>
                <w:tcPr>
                  <w:tcW w:w="2254" w:type="dxa"/>
                </w:tcPr>
                <w:p w:rsidRPr="00CE5031" w:rsidR="00251AA3" w:rsidP="00131848" w:rsidRDefault="00251AA3" w14:paraId="1C4560DA" w14:textId="77777777">
                  <w:pPr>
                    <w:rPr>
                      <w:rFonts w:asciiTheme="minorHAnsi" w:hAnsiTheme="minorHAnsi"/>
                      <w:sz w:val="16"/>
                      <w:szCs w:val="16"/>
                    </w:rPr>
                  </w:pPr>
                  <w:r w:rsidRPr="00CE5031">
                    <w:rPr>
                      <w:rFonts w:asciiTheme="minorHAnsi" w:hAnsiTheme="minorHAnsi"/>
                      <w:sz w:val="16"/>
                      <w:szCs w:val="16"/>
                    </w:rPr>
                    <w:t>Growing preterm</w:t>
                  </w:r>
                </w:p>
              </w:tc>
              <w:tc>
                <w:tcPr>
                  <w:tcW w:w="2254" w:type="dxa"/>
                </w:tcPr>
                <w:p w:rsidRPr="00CE5031" w:rsidR="00251AA3" w:rsidP="00131848" w:rsidRDefault="00251AA3" w14:paraId="2CA14411" w14:textId="77777777">
                  <w:pPr>
                    <w:rPr>
                      <w:rFonts w:asciiTheme="minorHAnsi" w:hAnsiTheme="minorHAnsi"/>
                      <w:sz w:val="16"/>
                      <w:szCs w:val="16"/>
                    </w:rPr>
                  </w:pPr>
                  <w:r w:rsidRPr="00CE5031">
                    <w:rPr>
                      <w:rFonts w:asciiTheme="minorHAnsi" w:hAnsiTheme="minorHAnsi"/>
                      <w:sz w:val="16"/>
                      <w:szCs w:val="16"/>
                    </w:rPr>
                    <w:t>1.6-3.5 (100-140)</w:t>
                  </w:r>
                </w:p>
              </w:tc>
              <w:tc>
                <w:tcPr>
                  <w:tcW w:w="2254" w:type="dxa"/>
                </w:tcPr>
                <w:p w:rsidRPr="00CE5031" w:rsidR="00251AA3" w:rsidP="00131848" w:rsidRDefault="00251AA3" w14:paraId="41BD14D8" w14:textId="77777777">
                  <w:pPr>
                    <w:rPr>
                      <w:rFonts w:asciiTheme="minorHAnsi" w:hAnsiTheme="minorHAnsi"/>
                      <w:sz w:val="16"/>
                      <w:szCs w:val="16"/>
                    </w:rPr>
                  </w:pPr>
                  <w:r w:rsidRPr="00CE5031">
                    <w:rPr>
                      <w:rFonts w:asciiTheme="minorHAnsi" w:hAnsiTheme="minorHAnsi"/>
                      <w:sz w:val="16"/>
                      <w:szCs w:val="16"/>
                    </w:rPr>
                    <w:t>1.6-3.5 (77-108)</w:t>
                  </w:r>
                </w:p>
              </w:tc>
            </w:tr>
            <w:tr w:rsidRPr="00CE5031" w:rsidR="00251AA3" w:rsidTr="00131848" w14:paraId="47AFF22A" w14:textId="77777777">
              <w:tc>
                <w:tcPr>
                  <w:tcW w:w="2254" w:type="dxa"/>
                </w:tcPr>
                <w:p w:rsidRPr="00CE5031" w:rsidR="00251AA3" w:rsidP="00131848" w:rsidRDefault="00251AA3" w14:paraId="5384638F" w14:textId="77777777">
                  <w:pPr>
                    <w:rPr>
                      <w:rFonts w:asciiTheme="minorHAnsi" w:hAnsiTheme="minorHAnsi"/>
                      <w:sz w:val="16"/>
                      <w:szCs w:val="16"/>
                    </w:rPr>
                  </w:pPr>
                  <w:r w:rsidRPr="00CE5031">
                    <w:rPr>
                      <w:rFonts w:asciiTheme="minorHAnsi" w:hAnsiTheme="minorHAnsi"/>
                      <w:sz w:val="16"/>
                      <w:szCs w:val="16"/>
                    </w:rPr>
                    <w:t>Term neonate</w:t>
                  </w:r>
                </w:p>
              </w:tc>
              <w:tc>
                <w:tcPr>
                  <w:tcW w:w="2254" w:type="dxa"/>
                </w:tcPr>
                <w:p w:rsidRPr="00CE5031" w:rsidR="00251AA3" w:rsidP="00131848" w:rsidRDefault="00251AA3" w14:paraId="18EC3FB1" w14:textId="77777777">
                  <w:pPr>
                    <w:rPr>
                      <w:rFonts w:asciiTheme="minorHAnsi" w:hAnsiTheme="minorHAnsi"/>
                      <w:sz w:val="16"/>
                      <w:szCs w:val="16"/>
                    </w:rPr>
                  </w:pPr>
                  <w:r w:rsidRPr="00CE5031">
                    <w:rPr>
                      <w:rFonts w:asciiTheme="minorHAnsi" w:hAnsiTheme="minorHAnsi"/>
                      <w:sz w:val="16"/>
                      <w:szCs w:val="16"/>
                    </w:rPr>
                    <w:t>0.8-1.5 (30-60)</w:t>
                  </w:r>
                </w:p>
              </w:tc>
              <w:tc>
                <w:tcPr>
                  <w:tcW w:w="2254" w:type="dxa"/>
                </w:tcPr>
                <w:p w:rsidRPr="00CE5031" w:rsidR="00251AA3" w:rsidP="00131848" w:rsidRDefault="00251AA3" w14:paraId="3A541B81" w14:textId="77777777">
                  <w:pPr>
                    <w:rPr>
                      <w:rFonts w:asciiTheme="minorHAnsi" w:hAnsiTheme="minorHAnsi"/>
                      <w:sz w:val="16"/>
                      <w:szCs w:val="16"/>
                    </w:rPr>
                  </w:pPr>
                  <w:r w:rsidRPr="00CE5031">
                    <w:rPr>
                      <w:rFonts w:asciiTheme="minorHAnsi" w:hAnsiTheme="minorHAnsi"/>
                      <w:sz w:val="16"/>
                      <w:szCs w:val="16"/>
                    </w:rPr>
                    <w:t>0.7-1.3 (20-40)</w:t>
                  </w:r>
                </w:p>
              </w:tc>
            </w:tr>
          </w:tbl>
          <w:p w:rsidRPr="00CE5031" w:rsidR="00251AA3" w:rsidP="00131848" w:rsidRDefault="00251AA3" w14:paraId="43EA07FB" w14:textId="77777777">
            <w:pPr>
              <w:pStyle w:val="BodyText"/>
              <w:rPr>
                <w:rFonts w:cs="Arial"/>
                <w:sz w:val="16"/>
                <w:szCs w:val="16"/>
              </w:rPr>
            </w:pPr>
          </w:p>
          <w:p w:rsidRPr="00CE5031" w:rsidR="00251AA3" w:rsidP="00131848" w:rsidRDefault="00251AA3" w14:paraId="0440F00B" w14:textId="77777777">
            <w:pPr>
              <w:pStyle w:val="BodyText"/>
              <w:rPr>
                <w:rFonts w:cs="Arial"/>
                <w:sz w:val="16"/>
                <w:szCs w:val="16"/>
              </w:rPr>
            </w:pPr>
          </w:p>
          <w:p w:rsidRPr="00CE5031" w:rsidR="00251AA3" w:rsidP="00131848" w:rsidRDefault="00251AA3" w14:paraId="4A4590E4" w14:textId="77777777">
            <w:pPr>
              <w:pStyle w:val="BodyText"/>
              <w:rPr>
                <w:rFonts w:cs="Arial"/>
                <w:sz w:val="16"/>
                <w:szCs w:val="16"/>
              </w:rPr>
            </w:pPr>
            <w:r w:rsidRPr="00CE5031">
              <w:rPr>
                <w:rFonts w:cs="Arial"/>
                <w:b/>
                <w:sz w:val="16"/>
                <w:szCs w:val="16"/>
              </w:rPr>
              <w:lastRenderedPageBreak/>
              <w:t>Enteral intake:</w:t>
            </w:r>
            <w:r w:rsidRPr="00CE5031">
              <w:rPr>
                <w:rFonts w:cs="Arial"/>
                <w:sz w:val="16"/>
                <w:szCs w:val="16"/>
              </w:rPr>
              <w:t xml:space="preserve"> ESPGHAN 2010 Guidelines for enteral nutrition recommend 2–3 mmol/kg/day of a highly absorbable phosphate source in a ratio with calcium (Ca:P) of 1.5–2.0.</w:t>
            </w:r>
            <w:r w:rsidRPr="00CE5031">
              <w:rPr>
                <w:rFonts w:cs="Arial"/>
                <w:sz w:val="16"/>
                <w:szCs w:val="16"/>
                <w:vertAlign w:val="superscript"/>
              </w:rPr>
              <w:t>7</w:t>
            </w:r>
            <w:r w:rsidRPr="00CE5031">
              <w:rPr>
                <w:rFonts w:cs="Arial"/>
                <w:sz w:val="16"/>
                <w:szCs w:val="16"/>
              </w:rPr>
              <w:t xml:space="preserve"> American Academy of Pediatrics Committee on Nutrition 2013 Guidelines recommend  Ca 150-200 mg/kg/day (3.8-5 mmol/kg/day) and P 75-140 mg/kg/day (2.4-4.5 mmol/kg/day) and 200-400 IU/day of vitamin D for enteral nutrition in preterm neonates.</w:t>
            </w:r>
            <w:r w:rsidRPr="00CE5031">
              <w:rPr>
                <w:rFonts w:cs="Arial"/>
                <w:sz w:val="16"/>
                <w:szCs w:val="16"/>
                <w:vertAlign w:val="superscript"/>
              </w:rPr>
              <w:t>8</w:t>
            </w:r>
          </w:p>
          <w:p w:rsidRPr="00CE5031" w:rsidR="00251AA3" w:rsidP="00131848" w:rsidRDefault="00251AA3" w14:paraId="69D44BD3" w14:textId="77777777">
            <w:pPr>
              <w:pStyle w:val="BodyText"/>
              <w:rPr>
                <w:rFonts w:cs="Arial"/>
                <w:sz w:val="16"/>
                <w:szCs w:val="16"/>
              </w:rPr>
            </w:pPr>
          </w:p>
          <w:p w:rsidRPr="00CE5031" w:rsidR="00251AA3" w:rsidP="00131848" w:rsidRDefault="00251AA3" w14:paraId="106DC50E" w14:textId="77777777">
            <w:pPr>
              <w:pStyle w:val="BodyText"/>
              <w:rPr>
                <w:rFonts w:cs="Arial"/>
                <w:sz w:val="16"/>
                <w:szCs w:val="16"/>
              </w:rPr>
            </w:pPr>
            <w:r w:rsidRPr="00CE5031">
              <w:rPr>
                <w:rFonts w:cs="Arial"/>
                <w:sz w:val="16"/>
                <w:szCs w:val="16"/>
              </w:rPr>
              <w:t>The exact serum phosphorus concentration at which to commence supplementation of  phosphate is not known and recommendations vary from 1.3 mmol/L</w:t>
            </w:r>
            <w:r w:rsidRPr="00CE5031">
              <w:rPr>
                <w:rFonts w:cs="Arial"/>
                <w:sz w:val="16"/>
                <w:szCs w:val="16"/>
                <w:vertAlign w:val="superscript"/>
              </w:rPr>
              <w:t>8</w:t>
            </w:r>
            <w:r w:rsidRPr="00CE5031">
              <w:rPr>
                <w:rFonts w:cs="Arial"/>
                <w:sz w:val="16"/>
                <w:szCs w:val="16"/>
              </w:rPr>
              <w:t xml:space="preserve"> to 1.8 mmol/L.</w:t>
            </w:r>
            <w:r w:rsidRPr="00CE5031">
              <w:rPr>
                <w:rFonts w:cs="Arial"/>
                <w:sz w:val="16"/>
                <w:szCs w:val="16"/>
                <w:vertAlign w:val="superscript"/>
              </w:rPr>
              <w:t>9</w:t>
            </w:r>
            <w:r w:rsidRPr="00CE5031">
              <w:rPr>
                <w:rFonts w:cs="Arial"/>
                <w:sz w:val="16"/>
                <w:szCs w:val="16"/>
              </w:rPr>
              <w:t xml:space="preserve"> </w:t>
            </w:r>
          </w:p>
          <w:p w:rsidRPr="00CE5031" w:rsidR="00251AA3" w:rsidP="00131848" w:rsidRDefault="00251AA3" w14:paraId="5E2D7709" w14:textId="77777777">
            <w:pPr>
              <w:pStyle w:val="BodyText"/>
              <w:rPr>
                <w:rFonts w:cs="Arial"/>
                <w:sz w:val="16"/>
                <w:szCs w:val="16"/>
              </w:rPr>
            </w:pPr>
          </w:p>
          <w:p w:rsidRPr="00CE5031" w:rsidR="00251AA3" w:rsidP="00131848" w:rsidRDefault="00251AA3" w14:paraId="113C8304" w14:textId="77777777">
            <w:pPr>
              <w:pStyle w:val="BodyText"/>
              <w:rPr>
                <w:rFonts w:cs="Arial"/>
                <w:b/>
                <w:sz w:val="16"/>
                <w:szCs w:val="16"/>
              </w:rPr>
            </w:pPr>
            <w:r w:rsidRPr="00CE5031">
              <w:rPr>
                <w:rFonts w:cs="Arial"/>
                <w:b/>
                <w:sz w:val="16"/>
                <w:szCs w:val="16"/>
              </w:rPr>
              <w:t>Metabolic bone disease</w:t>
            </w:r>
          </w:p>
          <w:p w:rsidRPr="00CE5031" w:rsidR="00251AA3" w:rsidP="00131848" w:rsidRDefault="00251AA3" w14:paraId="597AF5C3" w14:textId="77777777">
            <w:pPr>
              <w:pStyle w:val="BodyText"/>
              <w:rPr>
                <w:rFonts w:cs="Arial"/>
                <w:sz w:val="16"/>
                <w:szCs w:val="16"/>
              </w:rPr>
            </w:pPr>
            <w:r w:rsidRPr="00CE5031">
              <w:rPr>
                <w:rFonts w:cs="Arial"/>
                <w:sz w:val="16"/>
                <w:szCs w:val="16"/>
              </w:rPr>
              <w:t>Goal: Aim for the upper end of the recommended range to prevent fractures and clinical symptoms of osteopenia: Ca and P of around 4-4.5 mmol/kg/day. Adjust the mineral intake with a goal of achieving a slight excess of urinary mineral excretion: Urinary calcium ≥1.2mmol/L and phosphate ≥0.4 mmol/L.</w:t>
            </w:r>
            <w:r w:rsidRPr="00CE5031">
              <w:rPr>
                <w:rFonts w:cs="Arial"/>
                <w:sz w:val="16"/>
                <w:szCs w:val="16"/>
                <w:vertAlign w:val="superscript"/>
              </w:rPr>
              <w:t>14</w:t>
            </w:r>
          </w:p>
          <w:p w:rsidRPr="00CE5031" w:rsidR="00251AA3" w:rsidP="00131848" w:rsidRDefault="00251AA3" w14:paraId="5D33145A" w14:textId="77777777">
            <w:pPr>
              <w:pStyle w:val="BodyText"/>
              <w:rPr>
                <w:rFonts w:cs="Arial"/>
                <w:sz w:val="16"/>
                <w:szCs w:val="16"/>
              </w:rPr>
            </w:pPr>
          </w:p>
          <w:p w:rsidRPr="00CE5031" w:rsidR="00251AA3" w:rsidP="00131848" w:rsidRDefault="00251AA3" w14:paraId="0BA0AAB9" w14:textId="77777777">
            <w:pPr>
              <w:pStyle w:val="BodyText"/>
              <w:rPr>
                <w:rFonts w:cs="Arial"/>
                <w:b/>
                <w:sz w:val="16"/>
                <w:szCs w:val="16"/>
              </w:rPr>
            </w:pPr>
            <w:r w:rsidRPr="00CE5031">
              <w:rPr>
                <w:rFonts w:cs="Arial"/>
                <w:b/>
                <w:sz w:val="16"/>
                <w:szCs w:val="16"/>
              </w:rPr>
              <w:t xml:space="preserve">Step 1: Calculate the mineral intake from enteral feed: </w:t>
            </w:r>
          </w:p>
          <w:p w:rsidRPr="00CE5031" w:rsidR="00251AA3" w:rsidP="00131848" w:rsidRDefault="00251AA3" w14:paraId="2DC22F82" w14:textId="77777777">
            <w:pPr>
              <w:pStyle w:val="BodyText"/>
              <w:rPr>
                <w:rFonts w:cs="Arial"/>
                <w:sz w:val="16"/>
                <w:szCs w:val="16"/>
              </w:rPr>
            </w:pPr>
            <w:r w:rsidRPr="00CE5031">
              <w:rPr>
                <w:rFonts w:cs="Arial"/>
                <w:sz w:val="16"/>
                <w:szCs w:val="16"/>
              </w:rPr>
              <w:t>Example: 150 ml/kg/day of mature preterm EBM contains: Ca 1 mmol/kg/day and P 0.6 mmol/kg/day. 150 ml/kg/day preterm EBM+24kcal HMF contains: Ca 4.5 mmol/kg/day and P 2.7 mmol/kg/day.</w:t>
            </w:r>
          </w:p>
          <w:p w:rsidRPr="00CE5031" w:rsidR="00251AA3" w:rsidP="00131848" w:rsidRDefault="00251AA3" w14:paraId="0DA55FD4" w14:textId="77777777">
            <w:pPr>
              <w:pStyle w:val="BodyText"/>
              <w:rPr>
                <w:rFonts w:cs="Arial"/>
                <w:sz w:val="16"/>
                <w:szCs w:val="16"/>
              </w:rPr>
            </w:pPr>
          </w:p>
          <w:tbl>
            <w:tblPr>
              <w:tblStyle w:val="TableGrid"/>
              <w:tblW w:w="0" w:type="auto"/>
              <w:tblLook w:val="04A0" w:firstRow="1" w:lastRow="0" w:firstColumn="1" w:lastColumn="0" w:noHBand="0" w:noVBand="1"/>
            </w:tblPr>
            <w:tblGrid>
              <w:gridCol w:w="1970"/>
              <w:gridCol w:w="2348"/>
              <w:gridCol w:w="2685"/>
            </w:tblGrid>
            <w:tr w:rsidRPr="00CE5031" w:rsidR="00251AA3" w:rsidTr="00131848" w14:paraId="1AC090FD" w14:textId="77777777">
              <w:tc>
                <w:tcPr>
                  <w:tcW w:w="2254" w:type="dxa"/>
                </w:tcPr>
                <w:p w:rsidRPr="00CE5031" w:rsidR="00251AA3" w:rsidP="00131848" w:rsidRDefault="00251AA3" w14:paraId="1C59F413" w14:textId="77777777">
                  <w:pPr>
                    <w:rPr>
                      <w:rFonts w:eastAsia="Calibri"/>
                      <w:sz w:val="16"/>
                      <w:szCs w:val="16"/>
                    </w:rPr>
                  </w:pPr>
                  <w:r w:rsidRPr="00CE5031">
                    <w:rPr>
                      <w:rFonts w:eastAsia="Calibri"/>
                      <w:sz w:val="16"/>
                      <w:szCs w:val="16"/>
                    </w:rPr>
                    <w:t>Preterm milk</w:t>
                  </w:r>
                </w:p>
              </w:tc>
              <w:tc>
                <w:tcPr>
                  <w:tcW w:w="2703" w:type="dxa"/>
                </w:tcPr>
                <w:p w:rsidRPr="00CE5031" w:rsidR="00251AA3" w:rsidP="00131848" w:rsidRDefault="00251AA3" w14:paraId="41F54F40" w14:textId="77777777">
                  <w:pPr>
                    <w:rPr>
                      <w:rFonts w:eastAsia="Calibri"/>
                      <w:sz w:val="16"/>
                      <w:szCs w:val="16"/>
                    </w:rPr>
                  </w:pPr>
                  <w:r w:rsidRPr="00CE5031">
                    <w:rPr>
                      <w:rFonts w:eastAsia="Calibri"/>
                      <w:sz w:val="16"/>
                      <w:szCs w:val="16"/>
                    </w:rPr>
                    <w:t>Ca, mmol (mg)/100 mL</w:t>
                  </w:r>
                </w:p>
              </w:tc>
              <w:tc>
                <w:tcPr>
                  <w:tcW w:w="3118" w:type="dxa"/>
                </w:tcPr>
                <w:p w:rsidRPr="00CE5031" w:rsidR="00251AA3" w:rsidP="00131848" w:rsidRDefault="00251AA3" w14:paraId="7AEE15A0" w14:textId="77777777">
                  <w:pPr>
                    <w:rPr>
                      <w:rFonts w:eastAsia="Calibri"/>
                      <w:sz w:val="16"/>
                      <w:szCs w:val="16"/>
                    </w:rPr>
                  </w:pPr>
                  <w:r w:rsidRPr="00CE5031">
                    <w:rPr>
                      <w:rFonts w:eastAsia="Calibri"/>
                      <w:sz w:val="16"/>
                      <w:szCs w:val="16"/>
                    </w:rPr>
                    <w:t>P, mmol (mg)/100 mL</w:t>
                  </w:r>
                </w:p>
              </w:tc>
            </w:tr>
            <w:tr w:rsidRPr="00CE5031" w:rsidR="00251AA3" w:rsidTr="00131848" w14:paraId="5B2A218E" w14:textId="77777777">
              <w:tc>
                <w:tcPr>
                  <w:tcW w:w="2254" w:type="dxa"/>
                </w:tcPr>
                <w:p w:rsidRPr="00CE5031" w:rsidR="00251AA3" w:rsidP="00131848" w:rsidRDefault="00251AA3" w14:paraId="6887091B" w14:textId="77777777">
                  <w:pPr>
                    <w:rPr>
                      <w:rFonts w:eastAsia="Calibri"/>
                      <w:sz w:val="16"/>
                      <w:szCs w:val="16"/>
                    </w:rPr>
                  </w:pPr>
                  <w:r w:rsidRPr="00CE5031">
                    <w:rPr>
                      <w:rFonts w:eastAsia="Calibri"/>
                      <w:sz w:val="16"/>
                      <w:szCs w:val="16"/>
                    </w:rPr>
                    <w:t>1</w:t>
                  </w:r>
                  <w:r w:rsidRPr="00CE5031">
                    <w:rPr>
                      <w:rFonts w:eastAsia="Calibri"/>
                      <w:sz w:val="16"/>
                      <w:szCs w:val="16"/>
                      <w:vertAlign w:val="superscript"/>
                    </w:rPr>
                    <w:t>st</w:t>
                  </w:r>
                  <w:r w:rsidRPr="00CE5031">
                    <w:rPr>
                      <w:rFonts w:eastAsia="Calibri"/>
                      <w:sz w:val="16"/>
                      <w:szCs w:val="16"/>
                    </w:rPr>
                    <w:t xml:space="preserve"> week</w:t>
                  </w:r>
                </w:p>
              </w:tc>
              <w:tc>
                <w:tcPr>
                  <w:tcW w:w="2703" w:type="dxa"/>
                </w:tcPr>
                <w:p w:rsidRPr="00CE5031" w:rsidR="00251AA3" w:rsidP="00131848" w:rsidRDefault="00251AA3" w14:paraId="1F7550CA" w14:textId="77777777">
                  <w:pPr>
                    <w:rPr>
                      <w:rFonts w:eastAsia="Calibri"/>
                      <w:sz w:val="16"/>
                      <w:szCs w:val="16"/>
                    </w:rPr>
                  </w:pPr>
                  <w:r w:rsidRPr="00CE5031">
                    <w:rPr>
                      <w:rFonts w:eastAsia="Calibri"/>
                      <w:sz w:val="16"/>
                      <w:szCs w:val="16"/>
                    </w:rPr>
                    <w:t>0.7 (26)</w:t>
                  </w:r>
                </w:p>
              </w:tc>
              <w:tc>
                <w:tcPr>
                  <w:tcW w:w="3118" w:type="dxa"/>
                </w:tcPr>
                <w:p w:rsidRPr="00CE5031" w:rsidR="00251AA3" w:rsidP="00131848" w:rsidRDefault="00251AA3" w14:paraId="72A91226" w14:textId="77777777">
                  <w:pPr>
                    <w:rPr>
                      <w:rFonts w:eastAsia="Calibri"/>
                      <w:sz w:val="16"/>
                      <w:szCs w:val="16"/>
                    </w:rPr>
                  </w:pPr>
                  <w:r w:rsidRPr="00CE5031">
                    <w:rPr>
                      <w:rFonts w:eastAsia="Calibri"/>
                      <w:sz w:val="16"/>
                      <w:szCs w:val="16"/>
                    </w:rPr>
                    <w:t>0.4 (11)</w:t>
                  </w:r>
                </w:p>
              </w:tc>
            </w:tr>
            <w:tr w:rsidRPr="00CE5031" w:rsidR="00251AA3" w:rsidTr="00131848" w14:paraId="20098139" w14:textId="77777777">
              <w:tc>
                <w:tcPr>
                  <w:tcW w:w="2254" w:type="dxa"/>
                </w:tcPr>
                <w:p w:rsidRPr="00CE5031" w:rsidR="00251AA3" w:rsidP="00131848" w:rsidRDefault="00251AA3" w14:paraId="7A563832" w14:textId="77777777">
                  <w:pPr>
                    <w:rPr>
                      <w:rFonts w:eastAsia="Calibri"/>
                      <w:sz w:val="16"/>
                      <w:szCs w:val="16"/>
                    </w:rPr>
                  </w:pPr>
                  <w:r w:rsidRPr="00CE5031">
                    <w:rPr>
                      <w:rFonts w:eastAsia="Calibri"/>
                      <w:sz w:val="16"/>
                      <w:szCs w:val="16"/>
                    </w:rPr>
                    <w:t>2</w:t>
                  </w:r>
                  <w:r w:rsidRPr="00CE5031">
                    <w:rPr>
                      <w:rFonts w:eastAsia="Calibri"/>
                      <w:sz w:val="16"/>
                      <w:szCs w:val="16"/>
                      <w:vertAlign w:val="superscript"/>
                    </w:rPr>
                    <w:t>nd</w:t>
                  </w:r>
                  <w:r w:rsidRPr="00CE5031">
                    <w:rPr>
                      <w:rFonts w:eastAsia="Calibri"/>
                      <w:sz w:val="16"/>
                      <w:szCs w:val="16"/>
                    </w:rPr>
                    <w:t xml:space="preserve"> week</w:t>
                  </w:r>
                </w:p>
              </w:tc>
              <w:tc>
                <w:tcPr>
                  <w:tcW w:w="2703" w:type="dxa"/>
                </w:tcPr>
                <w:p w:rsidRPr="00CE5031" w:rsidR="00251AA3" w:rsidP="00131848" w:rsidRDefault="00251AA3" w14:paraId="58B6E0C8" w14:textId="77777777">
                  <w:pPr>
                    <w:rPr>
                      <w:rFonts w:eastAsia="Calibri"/>
                      <w:sz w:val="16"/>
                      <w:szCs w:val="16"/>
                    </w:rPr>
                  </w:pPr>
                  <w:r w:rsidRPr="00CE5031">
                    <w:rPr>
                      <w:rFonts w:eastAsia="Calibri"/>
                      <w:sz w:val="16"/>
                      <w:szCs w:val="16"/>
                    </w:rPr>
                    <w:t>0.6 (25)</w:t>
                  </w:r>
                </w:p>
              </w:tc>
              <w:tc>
                <w:tcPr>
                  <w:tcW w:w="3118" w:type="dxa"/>
                </w:tcPr>
                <w:p w:rsidRPr="00CE5031" w:rsidR="00251AA3" w:rsidP="00131848" w:rsidRDefault="00251AA3" w14:paraId="7ADA33FE" w14:textId="77777777">
                  <w:pPr>
                    <w:rPr>
                      <w:rFonts w:eastAsia="Calibri"/>
                      <w:sz w:val="16"/>
                      <w:szCs w:val="16"/>
                    </w:rPr>
                  </w:pPr>
                  <w:r w:rsidRPr="00CE5031">
                    <w:rPr>
                      <w:rFonts w:eastAsia="Calibri"/>
                      <w:sz w:val="16"/>
                      <w:szCs w:val="16"/>
                    </w:rPr>
                    <w:t>0.5 (15)</w:t>
                  </w:r>
                </w:p>
              </w:tc>
            </w:tr>
            <w:tr w:rsidRPr="00CE5031" w:rsidR="00251AA3" w:rsidTr="00131848" w14:paraId="1659D31E" w14:textId="77777777">
              <w:tc>
                <w:tcPr>
                  <w:tcW w:w="2254" w:type="dxa"/>
                </w:tcPr>
                <w:p w:rsidRPr="00CE5031" w:rsidR="00251AA3" w:rsidP="00131848" w:rsidRDefault="00251AA3" w14:paraId="27AF3B8E" w14:textId="77777777">
                  <w:pPr>
                    <w:rPr>
                      <w:rFonts w:eastAsia="Calibri"/>
                      <w:sz w:val="16"/>
                      <w:szCs w:val="16"/>
                    </w:rPr>
                  </w:pPr>
                  <w:r w:rsidRPr="00CE5031">
                    <w:rPr>
                      <w:rFonts w:eastAsia="Calibri"/>
                      <w:sz w:val="16"/>
                      <w:szCs w:val="16"/>
                    </w:rPr>
                    <w:t>Week 3/4</w:t>
                  </w:r>
                </w:p>
              </w:tc>
              <w:tc>
                <w:tcPr>
                  <w:tcW w:w="2703" w:type="dxa"/>
                </w:tcPr>
                <w:p w:rsidRPr="00CE5031" w:rsidR="00251AA3" w:rsidP="00131848" w:rsidRDefault="00251AA3" w14:paraId="088C73E2" w14:textId="77777777">
                  <w:pPr>
                    <w:rPr>
                      <w:rFonts w:eastAsia="Calibri"/>
                      <w:sz w:val="16"/>
                      <w:szCs w:val="16"/>
                    </w:rPr>
                  </w:pPr>
                  <w:r w:rsidRPr="00CE5031">
                    <w:rPr>
                      <w:rFonts w:eastAsia="Calibri"/>
                      <w:sz w:val="16"/>
                      <w:szCs w:val="16"/>
                    </w:rPr>
                    <w:t>0.6 (25)</w:t>
                  </w:r>
                </w:p>
              </w:tc>
              <w:tc>
                <w:tcPr>
                  <w:tcW w:w="3118" w:type="dxa"/>
                </w:tcPr>
                <w:p w:rsidRPr="00CE5031" w:rsidR="00251AA3" w:rsidP="00131848" w:rsidRDefault="00251AA3" w14:paraId="0F46488C" w14:textId="77777777">
                  <w:pPr>
                    <w:rPr>
                      <w:rFonts w:eastAsia="Calibri"/>
                      <w:sz w:val="16"/>
                      <w:szCs w:val="16"/>
                    </w:rPr>
                  </w:pPr>
                  <w:r w:rsidRPr="00CE5031">
                    <w:rPr>
                      <w:rFonts w:eastAsia="Calibri"/>
                      <w:sz w:val="16"/>
                      <w:szCs w:val="16"/>
                    </w:rPr>
                    <w:t>0.5 (14)</w:t>
                  </w:r>
                </w:p>
              </w:tc>
            </w:tr>
            <w:tr w:rsidRPr="00CE5031" w:rsidR="00251AA3" w:rsidTr="00131848" w14:paraId="6DA4B80A" w14:textId="77777777">
              <w:tc>
                <w:tcPr>
                  <w:tcW w:w="2254" w:type="dxa"/>
                </w:tcPr>
                <w:p w:rsidRPr="00CE5031" w:rsidR="00251AA3" w:rsidP="00131848" w:rsidRDefault="00251AA3" w14:paraId="0F04D87A" w14:textId="77777777">
                  <w:pPr>
                    <w:rPr>
                      <w:rFonts w:eastAsia="Calibri"/>
                      <w:sz w:val="16"/>
                      <w:szCs w:val="16"/>
                    </w:rPr>
                  </w:pPr>
                  <w:r w:rsidRPr="00CE5031">
                    <w:rPr>
                      <w:rFonts w:eastAsia="Calibri"/>
                      <w:sz w:val="16"/>
                      <w:szCs w:val="16"/>
                    </w:rPr>
                    <w:t>Week 10/12</w:t>
                  </w:r>
                </w:p>
              </w:tc>
              <w:tc>
                <w:tcPr>
                  <w:tcW w:w="2703" w:type="dxa"/>
                </w:tcPr>
                <w:p w:rsidRPr="00CE5031" w:rsidR="00251AA3" w:rsidP="00131848" w:rsidRDefault="00251AA3" w14:paraId="47F18B19" w14:textId="77777777">
                  <w:pPr>
                    <w:rPr>
                      <w:rFonts w:eastAsia="Calibri"/>
                      <w:sz w:val="16"/>
                      <w:szCs w:val="16"/>
                    </w:rPr>
                  </w:pPr>
                  <w:r w:rsidRPr="00CE5031">
                    <w:rPr>
                      <w:rFonts w:eastAsia="Calibri"/>
                      <w:sz w:val="16"/>
                      <w:szCs w:val="16"/>
                    </w:rPr>
                    <w:t>0.7 (29)</w:t>
                  </w:r>
                </w:p>
              </w:tc>
              <w:tc>
                <w:tcPr>
                  <w:tcW w:w="3118" w:type="dxa"/>
                </w:tcPr>
                <w:p w:rsidRPr="00CE5031" w:rsidR="00251AA3" w:rsidP="00131848" w:rsidRDefault="00251AA3" w14:paraId="18722290" w14:textId="77777777">
                  <w:pPr>
                    <w:rPr>
                      <w:rFonts w:eastAsia="Calibri"/>
                      <w:sz w:val="16"/>
                      <w:szCs w:val="16"/>
                    </w:rPr>
                  </w:pPr>
                  <w:r w:rsidRPr="00CE5031">
                    <w:rPr>
                      <w:rFonts w:eastAsia="Calibri"/>
                      <w:sz w:val="16"/>
                      <w:szCs w:val="16"/>
                    </w:rPr>
                    <w:t>0.4 (12)</w:t>
                  </w:r>
                </w:p>
              </w:tc>
            </w:tr>
            <w:tr w:rsidRPr="00CE5031" w:rsidR="00251AA3" w:rsidTr="00131848" w14:paraId="0DF4F119" w14:textId="77777777">
              <w:tc>
                <w:tcPr>
                  <w:tcW w:w="2254" w:type="dxa"/>
                </w:tcPr>
                <w:p w:rsidRPr="00CE5031" w:rsidR="00251AA3" w:rsidP="00131848" w:rsidRDefault="00251AA3" w14:paraId="63354DA5" w14:textId="77777777">
                  <w:pPr>
                    <w:rPr>
                      <w:rFonts w:eastAsia="Calibri"/>
                      <w:sz w:val="16"/>
                      <w:szCs w:val="16"/>
                    </w:rPr>
                  </w:pPr>
                  <w:r w:rsidRPr="00CE5031">
                    <w:rPr>
                      <w:rFonts w:eastAsia="Calibri"/>
                      <w:sz w:val="16"/>
                      <w:szCs w:val="16"/>
                    </w:rPr>
                    <w:t>Term milk</w:t>
                  </w:r>
                </w:p>
              </w:tc>
              <w:tc>
                <w:tcPr>
                  <w:tcW w:w="2703" w:type="dxa"/>
                </w:tcPr>
                <w:p w:rsidRPr="00CE5031" w:rsidR="00251AA3" w:rsidP="00131848" w:rsidRDefault="00251AA3" w14:paraId="0EF09015" w14:textId="77777777">
                  <w:pPr>
                    <w:rPr>
                      <w:rFonts w:eastAsia="Calibri"/>
                      <w:sz w:val="16"/>
                      <w:szCs w:val="16"/>
                    </w:rPr>
                  </w:pPr>
                </w:p>
              </w:tc>
              <w:tc>
                <w:tcPr>
                  <w:tcW w:w="3118" w:type="dxa"/>
                </w:tcPr>
                <w:p w:rsidRPr="00CE5031" w:rsidR="00251AA3" w:rsidP="00131848" w:rsidRDefault="00251AA3" w14:paraId="3DD420A3" w14:textId="77777777">
                  <w:pPr>
                    <w:rPr>
                      <w:rFonts w:eastAsia="Calibri"/>
                      <w:sz w:val="16"/>
                      <w:szCs w:val="16"/>
                    </w:rPr>
                  </w:pPr>
                </w:p>
              </w:tc>
            </w:tr>
            <w:tr w:rsidRPr="00CE5031" w:rsidR="00251AA3" w:rsidTr="00131848" w14:paraId="3F2C4EB9" w14:textId="77777777">
              <w:tc>
                <w:tcPr>
                  <w:tcW w:w="2254" w:type="dxa"/>
                </w:tcPr>
                <w:p w:rsidRPr="00CE5031" w:rsidR="00251AA3" w:rsidP="00131848" w:rsidRDefault="00251AA3" w14:paraId="08D2046F" w14:textId="77777777">
                  <w:pPr>
                    <w:rPr>
                      <w:rFonts w:eastAsia="Calibri"/>
                      <w:sz w:val="16"/>
                      <w:szCs w:val="16"/>
                    </w:rPr>
                  </w:pPr>
                  <w:r w:rsidRPr="00CE5031">
                    <w:rPr>
                      <w:rFonts w:eastAsia="Calibri"/>
                      <w:sz w:val="16"/>
                      <w:szCs w:val="16"/>
                    </w:rPr>
                    <w:t>1</w:t>
                  </w:r>
                  <w:r w:rsidRPr="00CE5031">
                    <w:rPr>
                      <w:rFonts w:eastAsia="Calibri"/>
                      <w:sz w:val="16"/>
                      <w:szCs w:val="16"/>
                      <w:vertAlign w:val="superscript"/>
                    </w:rPr>
                    <w:t>st</w:t>
                  </w:r>
                  <w:r w:rsidRPr="00CE5031">
                    <w:rPr>
                      <w:rFonts w:eastAsia="Calibri"/>
                      <w:sz w:val="16"/>
                      <w:szCs w:val="16"/>
                    </w:rPr>
                    <w:t xml:space="preserve"> week</w:t>
                  </w:r>
                </w:p>
              </w:tc>
              <w:tc>
                <w:tcPr>
                  <w:tcW w:w="2703" w:type="dxa"/>
                </w:tcPr>
                <w:p w:rsidRPr="00CE5031" w:rsidR="00251AA3" w:rsidP="00131848" w:rsidRDefault="00251AA3" w14:paraId="7C00BA36" w14:textId="77777777">
                  <w:pPr>
                    <w:rPr>
                      <w:rFonts w:eastAsia="Calibri"/>
                      <w:sz w:val="16"/>
                      <w:szCs w:val="16"/>
                    </w:rPr>
                  </w:pPr>
                  <w:r w:rsidRPr="00CE5031">
                    <w:rPr>
                      <w:rFonts w:eastAsia="Calibri"/>
                      <w:sz w:val="16"/>
                      <w:szCs w:val="16"/>
                    </w:rPr>
                    <w:t>0.7 (26)</w:t>
                  </w:r>
                </w:p>
              </w:tc>
              <w:tc>
                <w:tcPr>
                  <w:tcW w:w="3118" w:type="dxa"/>
                </w:tcPr>
                <w:p w:rsidRPr="00CE5031" w:rsidR="00251AA3" w:rsidP="00131848" w:rsidRDefault="00251AA3" w14:paraId="42F4AA0B" w14:textId="77777777">
                  <w:pPr>
                    <w:rPr>
                      <w:rFonts w:eastAsia="Calibri"/>
                      <w:sz w:val="16"/>
                      <w:szCs w:val="16"/>
                    </w:rPr>
                  </w:pPr>
                  <w:r w:rsidRPr="00CE5031">
                    <w:rPr>
                      <w:rFonts w:eastAsia="Calibri"/>
                      <w:sz w:val="16"/>
                      <w:szCs w:val="16"/>
                    </w:rPr>
                    <w:t>0.4 (12)</w:t>
                  </w:r>
                </w:p>
              </w:tc>
            </w:tr>
            <w:tr w:rsidRPr="00CE5031" w:rsidR="00251AA3" w:rsidTr="00131848" w14:paraId="2BC3DBE1" w14:textId="77777777">
              <w:tc>
                <w:tcPr>
                  <w:tcW w:w="2254" w:type="dxa"/>
                </w:tcPr>
                <w:p w:rsidRPr="00CE5031" w:rsidR="00251AA3" w:rsidP="00131848" w:rsidRDefault="00251AA3" w14:paraId="21D4EA2C" w14:textId="77777777">
                  <w:pPr>
                    <w:rPr>
                      <w:rFonts w:eastAsia="Calibri"/>
                      <w:sz w:val="16"/>
                      <w:szCs w:val="16"/>
                    </w:rPr>
                  </w:pPr>
                  <w:r w:rsidRPr="00CE5031">
                    <w:rPr>
                      <w:rFonts w:eastAsia="Calibri"/>
                      <w:sz w:val="16"/>
                      <w:szCs w:val="16"/>
                    </w:rPr>
                    <w:t>2</w:t>
                  </w:r>
                  <w:r w:rsidRPr="00CE5031">
                    <w:rPr>
                      <w:rFonts w:eastAsia="Calibri"/>
                      <w:sz w:val="16"/>
                      <w:szCs w:val="16"/>
                      <w:vertAlign w:val="superscript"/>
                    </w:rPr>
                    <w:t>nd</w:t>
                  </w:r>
                  <w:r w:rsidRPr="00CE5031">
                    <w:rPr>
                      <w:rFonts w:eastAsia="Calibri"/>
                      <w:sz w:val="16"/>
                      <w:szCs w:val="16"/>
                    </w:rPr>
                    <w:t xml:space="preserve"> week</w:t>
                  </w:r>
                </w:p>
              </w:tc>
              <w:tc>
                <w:tcPr>
                  <w:tcW w:w="2703" w:type="dxa"/>
                </w:tcPr>
                <w:p w:rsidRPr="00CE5031" w:rsidR="00251AA3" w:rsidP="00131848" w:rsidRDefault="00251AA3" w14:paraId="00286118" w14:textId="77777777">
                  <w:pPr>
                    <w:rPr>
                      <w:rFonts w:eastAsia="Calibri"/>
                      <w:sz w:val="16"/>
                      <w:szCs w:val="16"/>
                    </w:rPr>
                  </w:pPr>
                  <w:r w:rsidRPr="00CE5031">
                    <w:rPr>
                      <w:rFonts w:eastAsia="Calibri"/>
                      <w:sz w:val="16"/>
                      <w:szCs w:val="16"/>
                    </w:rPr>
                    <w:t>0.7 (28)</w:t>
                  </w:r>
                </w:p>
              </w:tc>
              <w:tc>
                <w:tcPr>
                  <w:tcW w:w="3118" w:type="dxa"/>
                </w:tcPr>
                <w:p w:rsidRPr="00CE5031" w:rsidR="00251AA3" w:rsidP="00131848" w:rsidRDefault="00251AA3" w14:paraId="282197A8" w14:textId="77777777">
                  <w:pPr>
                    <w:rPr>
                      <w:rFonts w:eastAsia="Calibri"/>
                      <w:sz w:val="16"/>
                      <w:szCs w:val="16"/>
                    </w:rPr>
                  </w:pPr>
                  <w:r w:rsidRPr="00CE5031">
                    <w:rPr>
                      <w:rFonts w:eastAsia="Calibri"/>
                      <w:sz w:val="16"/>
                      <w:szCs w:val="16"/>
                    </w:rPr>
                    <w:t>0.6 (17)</w:t>
                  </w:r>
                </w:p>
              </w:tc>
            </w:tr>
            <w:tr w:rsidRPr="00CE5031" w:rsidR="00251AA3" w:rsidTr="00131848" w14:paraId="2579482B" w14:textId="77777777">
              <w:tc>
                <w:tcPr>
                  <w:tcW w:w="2254" w:type="dxa"/>
                </w:tcPr>
                <w:p w:rsidRPr="00CE5031" w:rsidR="00251AA3" w:rsidP="00131848" w:rsidRDefault="00251AA3" w14:paraId="13D7126B" w14:textId="77777777">
                  <w:pPr>
                    <w:rPr>
                      <w:rFonts w:eastAsia="Calibri"/>
                      <w:sz w:val="16"/>
                      <w:szCs w:val="16"/>
                    </w:rPr>
                  </w:pPr>
                  <w:r w:rsidRPr="00CE5031">
                    <w:rPr>
                      <w:rFonts w:eastAsia="Calibri"/>
                      <w:sz w:val="16"/>
                      <w:szCs w:val="16"/>
                    </w:rPr>
                    <w:t>Week 3/4</w:t>
                  </w:r>
                </w:p>
              </w:tc>
              <w:tc>
                <w:tcPr>
                  <w:tcW w:w="2703" w:type="dxa"/>
                </w:tcPr>
                <w:p w:rsidRPr="00CE5031" w:rsidR="00251AA3" w:rsidP="00131848" w:rsidRDefault="00251AA3" w14:paraId="3CEA57E1" w14:textId="77777777">
                  <w:pPr>
                    <w:rPr>
                      <w:rFonts w:eastAsia="Calibri"/>
                      <w:sz w:val="16"/>
                      <w:szCs w:val="16"/>
                    </w:rPr>
                  </w:pPr>
                  <w:r w:rsidRPr="00CE5031">
                    <w:rPr>
                      <w:rFonts w:eastAsia="Calibri"/>
                      <w:sz w:val="16"/>
                      <w:szCs w:val="16"/>
                    </w:rPr>
                    <w:t>0.7 (27)</w:t>
                  </w:r>
                </w:p>
              </w:tc>
              <w:tc>
                <w:tcPr>
                  <w:tcW w:w="3118" w:type="dxa"/>
                </w:tcPr>
                <w:p w:rsidRPr="00CE5031" w:rsidR="00251AA3" w:rsidP="00131848" w:rsidRDefault="00251AA3" w14:paraId="053A37BF" w14:textId="77777777">
                  <w:pPr>
                    <w:rPr>
                      <w:rFonts w:eastAsia="Calibri"/>
                      <w:sz w:val="16"/>
                      <w:szCs w:val="16"/>
                    </w:rPr>
                  </w:pPr>
                  <w:r w:rsidRPr="00CE5031">
                    <w:rPr>
                      <w:rFonts w:eastAsia="Calibri"/>
                      <w:sz w:val="16"/>
                      <w:szCs w:val="16"/>
                    </w:rPr>
                    <w:t>0.5 (16)</w:t>
                  </w:r>
                </w:p>
              </w:tc>
            </w:tr>
            <w:tr w:rsidRPr="00CE5031" w:rsidR="00251AA3" w:rsidTr="00131848" w14:paraId="7110DB14" w14:textId="77777777">
              <w:tc>
                <w:tcPr>
                  <w:tcW w:w="2254" w:type="dxa"/>
                </w:tcPr>
                <w:p w:rsidRPr="00CE5031" w:rsidR="00251AA3" w:rsidP="00131848" w:rsidRDefault="00251AA3" w14:paraId="38D272C9" w14:textId="77777777">
                  <w:pPr>
                    <w:rPr>
                      <w:rFonts w:eastAsia="Calibri"/>
                      <w:sz w:val="16"/>
                      <w:szCs w:val="16"/>
                    </w:rPr>
                  </w:pPr>
                  <w:r w:rsidRPr="00CE5031">
                    <w:rPr>
                      <w:rFonts w:eastAsia="Calibri"/>
                      <w:sz w:val="16"/>
                      <w:szCs w:val="16"/>
                    </w:rPr>
                    <w:t>Week 10/12</w:t>
                  </w:r>
                </w:p>
              </w:tc>
              <w:tc>
                <w:tcPr>
                  <w:tcW w:w="2703" w:type="dxa"/>
                </w:tcPr>
                <w:p w:rsidRPr="00CE5031" w:rsidR="00251AA3" w:rsidP="00131848" w:rsidRDefault="00251AA3" w14:paraId="7C8A68B3" w14:textId="77777777">
                  <w:pPr>
                    <w:rPr>
                      <w:rFonts w:eastAsia="Calibri"/>
                      <w:sz w:val="16"/>
                      <w:szCs w:val="16"/>
                    </w:rPr>
                  </w:pPr>
                  <w:r w:rsidRPr="00CE5031">
                    <w:rPr>
                      <w:rFonts w:eastAsia="Calibri"/>
                      <w:sz w:val="16"/>
                      <w:szCs w:val="16"/>
                    </w:rPr>
                    <w:t>0.7 (26)</w:t>
                  </w:r>
                </w:p>
              </w:tc>
              <w:tc>
                <w:tcPr>
                  <w:tcW w:w="3118" w:type="dxa"/>
                </w:tcPr>
                <w:p w:rsidRPr="00CE5031" w:rsidR="00251AA3" w:rsidP="00131848" w:rsidRDefault="00251AA3" w14:paraId="64DF9981" w14:textId="77777777">
                  <w:pPr>
                    <w:rPr>
                      <w:rFonts w:eastAsia="Calibri"/>
                      <w:sz w:val="16"/>
                      <w:szCs w:val="16"/>
                    </w:rPr>
                  </w:pPr>
                  <w:r w:rsidRPr="00CE5031">
                    <w:rPr>
                      <w:rFonts w:eastAsia="Calibri"/>
                      <w:sz w:val="16"/>
                      <w:szCs w:val="16"/>
                    </w:rPr>
                    <w:t>0.5 (16)</w:t>
                  </w:r>
                </w:p>
              </w:tc>
            </w:tr>
          </w:tbl>
          <w:p w:rsidRPr="00CE5031" w:rsidR="00251AA3" w:rsidP="00131848" w:rsidRDefault="00251AA3" w14:paraId="2EB179B7" w14:textId="77777777">
            <w:pPr>
              <w:rPr>
                <w:rFonts w:eastAsia="Calibri"/>
                <w:sz w:val="16"/>
                <w:szCs w:val="16"/>
              </w:rPr>
            </w:pPr>
            <w:r w:rsidRPr="00CE5031">
              <w:rPr>
                <w:rFonts w:eastAsia="Calibri"/>
                <w:sz w:val="16"/>
                <w:szCs w:val="16"/>
              </w:rPr>
              <w:t>Elemental Ca, 1 mmol = 40 mg. Elemental Phosphorus, 1 mmol = 31 mg. Adapted from Gidrewicz and Fenton BMC Pediatrics 2014, 14:216.</w:t>
            </w:r>
            <w:r w:rsidRPr="00CE5031">
              <w:rPr>
                <w:rFonts w:eastAsia="Calibri"/>
                <w:sz w:val="16"/>
                <w:szCs w:val="16"/>
                <w:vertAlign w:val="superscript"/>
              </w:rPr>
              <w:t>15</w:t>
            </w:r>
          </w:p>
          <w:p w:rsidRPr="00CE5031" w:rsidR="00251AA3" w:rsidP="00131848" w:rsidRDefault="00251AA3" w14:paraId="6997273D" w14:textId="77777777">
            <w:pPr>
              <w:rPr>
                <w:rFonts w:cs="Arial"/>
                <w:sz w:val="16"/>
                <w:szCs w:val="16"/>
              </w:rPr>
            </w:pPr>
          </w:p>
          <w:p w:rsidRPr="00CE5031" w:rsidR="00251AA3" w:rsidP="00131848" w:rsidRDefault="00251AA3" w14:paraId="66C92D1E" w14:textId="77777777">
            <w:pPr>
              <w:pStyle w:val="BodyText"/>
              <w:rPr>
                <w:rFonts w:cs="Arial"/>
                <w:b/>
                <w:sz w:val="16"/>
                <w:szCs w:val="16"/>
              </w:rPr>
            </w:pPr>
            <w:r w:rsidRPr="00CE5031">
              <w:rPr>
                <w:rFonts w:cs="Arial"/>
                <w:b/>
                <w:sz w:val="16"/>
                <w:szCs w:val="16"/>
              </w:rPr>
              <w:t>Step 2: Calculate the gap in Ca and P intake/requirement: This will be the dose required.</w:t>
            </w:r>
          </w:p>
          <w:p w:rsidRPr="00CE5031" w:rsidR="00251AA3" w:rsidP="00131848" w:rsidRDefault="00251AA3" w14:paraId="4ED4CF8F" w14:textId="77777777">
            <w:pPr>
              <w:pStyle w:val="BodyText"/>
              <w:rPr>
                <w:rFonts w:cs="Arial"/>
                <w:sz w:val="16"/>
                <w:szCs w:val="16"/>
              </w:rPr>
            </w:pPr>
          </w:p>
          <w:p w:rsidRPr="00CE5031" w:rsidR="00251AA3" w:rsidP="00131848" w:rsidRDefault="00251AA3" w14:paraId="552B7DDC" w14:textId="77777777">
            <w:pPr>
              <w:pStyle w:val="BodyText"/>
              <w:rPr>
                <w:rFonts w:cs="Arial"/>
                <w:sz w:val="16"/>
                <w:szCs w:val="16"/>
              </w:rPr>
            </w:pPr>
            <w:r w:rsidRPr="00CE5031">
              <w:rPr>
                <w:rFonts w:cs="Arial"/>
                <w:b/>
                <w:sz w:val="16"/>
                <w:szCs w:val="16"/>
              </w:rPr>
              <w:t>Step 3: Prescribe 50% of the required dose of Ca and P in 2-3 divided doses alternatively but not together.</w:t>
            </w:r>
            <w:r w:rsidRPr="00CE5031">
              <w:rPr>
                <w:rFonts w:cs="Arial"/>
                <w:sz w:val="16"/>
                <w:szCs w:val="16"/>
              </w:rPr>
              <w:t xml:space="preserve"> (example: Ca 8 AM, 2 PM, 8 PM and P 6 AM, 12 MD, 6 PM).</w:t>
            </w:r>
          </w:p>
          <w:p w:rsidRPr="00CE5031" w:rsidR="00251AA3" w:rsidP="00131848" w:rsidRDefault="00251AA3" w14:paraId="008843C2" w14:textId="77777777">
            <w:pPr>
              <w:pStyle w:val="BodyText"/>
              <w:rPr>
                <w:rFonts w:cs="Arial"/>
                <w:sz w:val="16"/>
                <w:szCs w:val="16"/>
              </w:rPr>
            </w:pPr>
          </w:p>
          <w:p w:rsidRPr="00CE5031" w:rsidR="00251AA3" w:rsidP="00131848" w:rsidRDefault="00251AA3" w14:paraId="069C0CFF" w14:textId="77777777">
            <w:pPr>
              <w:pStyle w:val="BodyText"/>
              <w:rPr>
                <w:rFonts w:cs="Arial"/>
                <w:b/>
                <w:sz w:val="16"/>
                <w:szCs w:val="16"/>
              </w:rPr>
            </w:pPr>
            <w:r w:rsidRPr="00CE5031">
              <w:rPr>
                <w:rFonts w:cs="Arial"/>
                <w:b/>
                <w:sz w:val="16"/>
                <w:szCs w:val="16"/>
              </w:rPr>
              <w:t xml:space="preserve">Step 4: Once 50% dose is tolerated for 1 week, increase to 100% required dose.  </w:t>
            </w:r>
          </w:p>
          <w:p w:rsidRPr="00CE5031" w:rsidR="00251AA3" w:rsidP="00131848" w:rsidRDefault="00251AA3" w14:paraId="2BAB49DD" w14:textId="77777777">
            <w:pPr>
              <w:pStyle w:val="BodyText"/>
              <w:rPr>
                <w:rFonts w:cs="Arial"/>
                <w:sz w:val="16"/>
                <w:szCs w:val="16"/>
              </w:rPr>
            </w:pPr>
            <w:r w:rsidRPr="00CE5031">
              <w:rPr>
                <w:rFonts w:cs="Arial"/>
                <w:sz w:val="16"/>
                <w:szCs w:val="16"/>
              </w:rPr>
              <w:t>ORAL preparation during NICU stay: Sodium dihydrogen phosphate Phebra IV is the preferred preparation for oral administration due to its low osmolality.</w:t>
            </w:r>
          </w:p>
          <w:p w:rsidRPr="00CE5031" w:rsidR="00251AA3" w:rsidP="00131848" w:rsidRDefault="00251AA3" w14:paraId="653D5D3C" w14:textId="77777777">
            <w:pPr>
              <w:pStyle w:val="BodyText"/>
              <w:rPr>
                <w:rFonts w:cs="Arial"/>
                <w:sz w:val="16"/>
                <w:szCs w:val="16"/>
              </w:rPr>
            </w:pPr>
            <w:r w:rsidRPr="00CE5031">
              <w:rPr>
                <w:rFonts w:cs="Arial"/>
                <w:sz w:val="16"/>
                <w:szCs w:val="16"/>
              </w:rPr>
              <w:t>ORAL preparation at discharge or stable neonates: Phosphate-Sandoz tablets can be used.</w:t>
            </w:r>
          </w:p>
          <w:p w:rsidRPr="00CE5031" w:rsidR="00251AA3" w:rsidP="00131848" w:rsidRDefault="00251AA3" w14:paraId="7E2EBF51" w14:textId="77777777">
            <w:pPr>
              <w:pStyle w:val="BodyText"/>
              <w:rPr>
                <w:rFonts w:cs="Arial"/>
                <w:sz w:val="16"/>
                <w:szCs w:val="16"/>
              </w:rPr>
            </w:pPr>
          </w:p>
          <w:p w:rsidRPr="00CE5031" w:rsidR="00251AA3" w:rsidP="00131848" w:rsidRDefault="00251AA3" w14:paraId="626E79F7" w14:textId="77777777">
            <w:pPr>
              <w:pStyle w:val="BodyText"/>
              <w:rPr>
                <w:rFonts w:cs="Arial"/>
                <w:sz w:val="16"/>
                <w:szCs w:val="16"/>
              </w:rPr>
            </w:pPr>
            <w:r w:rsidRPr="00CE5031">
              <w:rPr>
                <w:rFonts w:cs="Arial"/>
                <w:sz w:val="16"/>
                <w:szCs w:val="16"/>
                <w:u w:val="single"/>
              </w:rPr>
              <w:t>American Academy of Pediatrics Committee on nutrition 2013 Guidelines on management for Enterally Fed Preterm Infants With Radiologic Evidence of Rickets:</w:t>
            </w:r>
            <w:r w:rsidRPr="00CE5031">
              <w:rPr>
                <w:rFonts w:cs="Arial"/>
                <w:sz w:val="16"/>
                <w:szCs w:val="16"/>
              </w:rPr>
              <w:t xml:space="preserve"> 1. Maximize nutrient intake. 2. If no further increases in these can be made, add elemental calcium and phosphorus as tolerated. Usually beginning at 20 mg/kg per day of elemental calcium and 10–20 mg/kg per day elemental phosphorus and increasing, as tolerated, usually to a maximum of 70–80 mg/kg per day of elemental calcium and 40–50 mg/kg per day elemental phosphorus. May consider targeting 25-OH-D concentration of &gt;20 ng/mL (50 nmol/L).</w:t>
            </w:r>
            <w:r w:rsidRPr="00CE5031">
              <w:rPr>
                <w:rFonts w:cs="Arial"/>
                <w:sz w:val="16"/>
                <w:szCs w:val="16"/>
                <w:vertAlign w:val="superscript"/>
              </w:rPr>
              <w:t>8</w:t>
            </w:r>
            <w:r w:rsidRPr="00CE5031">
              <w:rPr>
                <w:rFonts w:cs="Arial"/>
                <w:sz w:val="16"/>
                <w:szCs w:val="16"/>
              </w:rPr>
              <w:t xml:space="preserve"> However, breast milk content of phosphorus is variable and harder to estimate the intakes accurately. A more pragmatic approach suggested by our consensus group: start with P 0.5-1.0 mmol/kg/day in divided doses and increase as tolerated to a maximum of P 3 mmol/kg/day.</w:t>
            </w:r>
          </w:p>
          <w:p w:rsidRPr="00CE5031" w:rsidR="00251AA3" w:rsidP="00131848" w:rsidRDefault="00251AA3" w14:paraId="4349D62B" w14:textId="77777777">
            <w:pPr>
              <w:pStyle w:val="BodyText"/>
              <w:rPr>
                <w:rFonts w:cs="Arial"/>
                <w:b/>
                <w:sz w:val="16"/>
                <w:szCs w:val="16"/>
              </w:rPr>
            </w:pPr>
          </w:p>
          <w:p w:rsidRPr="00CE5031" w:rsidR="00251AA3" w:rsidP="00131848" w:rsidRDefault="00251AA3" w14:paraId="02A9F682" w14:textId="77777777">
            <w:pPr>
              <w:pStyle w:val="BodyText"/>
              <w:rPr>
                <w:rFonts w:cs="Arial"/>
                <w:b/>
                <w:sz w:val="16"/>
                <w:szCs w:val="16"/>
              </w:rPr>
            </w:pPr>
            <w:r w:rsidRPr="00CE5031">
              <w:rPr>
                <w:rFonts w:cs="Arial"/>
                <w:b/>
                <w:sz w:val="16"/>
                <w:szCs w:val="16"/>
              </w:rPr>
              <w:t>Efficacy and safety</w:t>
            </w:r>
          </w:p>
          <w:p w:rsidRPr="00CE5031" w:rsidR="00251AA3" w:rsidP="00131848" w:rsidRDefault="00251AA3" w14:paraId="4D628642" w14:textId="77777777">
            <w:pPr>
              <w:pStyle w:val="BodyText"/>
              <w:rPr>
                <w:rFonts w:cs="Arial"/>
                <w:sz w:val="16"/>
                <w:szCs w:val="16"/>
              </w:rPr>
            </w:pPr>
            <w:r w:rsidRPr="00CE5031">
              <w:rPr>
                <w:rFonts w:cs="Arial"/>
                <w:sz w:val="16"/>
                <w:szCs w:val="16"/>
              </w:rPr>
              <w:t>An ideal oral form of phosphate for use in preterm infants does not exist. Administering the intravenous preparations orally can be considered, because they are lower in osmolarity than are commercially available phosphorus-containing liquids. For example, potassium dihydrogen phosphate provides 31 mg of elemental phosphorus per millimole. A dose of 10 to 20 mg/kg per day of elemental phosphorus is reasonable and will likely resolve hypophosphataemia in most preterm infants.</w:t>
            </w:r>
            <w:r w:rsidRPr="00CE5031">
              <w:rPr>
                <w:rFonts w:cs="Arial"/>
                <w:sz w:val="16"/>
                <w:szCs w:val="16"/>
                <w:vertAlign w:val="superscript"/>
              </w:rPr>
              <w:t>8</w:t>
            </w:r>
          </w:p>
          <w:p w:rsidRPr="00CE5031" w:rsidR="00251AA3" w:rsidP="00131848" w:rsidRDefault="00251AA3" w14:paraId="57C57230" w14:textId="77777777">
            <w:pPr>
              <w:pStyle w:val="BodyText"/>
              <w:rPr>
                <w:rFonts w:cs="Arial"/>
                <w:sz w:val="16"/>
                <w:szCs w:val="16"/>
              </w:rPr>
            </w:pPr>
          </w:p>
          <w:p w:rsidRPr="00CE5031" w:rsidR="00251AA3" w:rsidP="00131848" w:rsidRDefault="00251AA3" w14:paraId="4CBA6E9C" w14:textId="77777777">
            <w:pPr>
              <w:pStyle w:val="BodyText"/>
              <w:rPr>
                <w:rFonts w:cs="Arial"/>
                <w:sz w:val="16"/>
                <w:szCs w:val="16"/>
              </w:rPr>
            </w:pPr>
            <w:r w:rsidRPr="00CE5031">
              <w:rPr>
                <w:rFonts w:cs="Arial"/>
                <w:sz w:val="16"/>
                <w:szCs w:val="16"/>
              </w:rPr>
              <w:t>Oral phosphorus and feeds</w:t>
            </w:r>
          </w:p>
          <w:p w:rsidRPr="00CE5031" w:rsidR="00251AA3" w:rsidP="00131848" w:rsidRDefault="00251AA3" w14:paraId="273221FA" w14:textId="2453ED96">
            <w:pPr>
              <w:pStyle w:val="BodyText"/>
              <w:rPr>
                <w:rFonts w:cs="Arial"/>
                <w:sz w:val="16"/>
                <w:szCs w:val="16"/>
              </w:rPr>
            </w:pPr>
            <w:r w:rsidRPr="00CE5031">
              <w:rPr>
                <w:rFonts w:cs="Arial"/>
                <w:sz w:val="16"/>
                <w:szCs w:val="16"/>
              </w:rPr>
              <w:t xml:space="preserve">It is recommended to separate oral doses from calcium and antacids containing agents such as aluminium hydroxide, calcium or magnesium salts, as these may reduce the bioavailability of phosphate. </w:t>
            </w:r>
            <w:r w:rsidRPr="000D41E5" w:rsidR="000D41E5">
              <w:rPr>
                <w:rFonts w:cs="Arial"/>
                <w:sz w:val="16"/>
                <w:szCs w:val="16"/>
                <w:highlight w:val="yellow"/>
              </w:rPr>
              <w:t>Oral phosphate may combine with calcium in the milk, reducing its absorption.  It is recommended to avoid giving phosphate with milk.</w:t>
            </w:r>
          </w:p>
        </w:tc>
      </w:tr>
      <w:tr w:rsidRPr="00355924" w:rsidR="00251AA3" w:rsidTr="00251AA3" w14:paraId="65CF690F" w14:textId="77777777">
        <w:trPr>
          <w:trHeight w:val="362"/>
        </w:trPr>
        <w:tc>
          <w:tcPr>
            <w:tcW w:w="1872" w:type="dxa"/>
          </w:tcPr>
          <w:p w:rsidRPr="00F451F4" w:rsidR="00251AA3" w:rsidP="00131848" w:rsidRDefault="00251AA3" w14:paraId="596E1BF0" w14:textId="77777777">
            <w:pPr>
              <w:pStyle w:val="BodyText"/>
              <w:rPr>
                <w:rFonts w:cs="Arial"/>
                <w:b/>
                <w:bCs/>
                <w:sz w:val="20"/>
              </w:rPr>
            </w:pPr>
            <w:r w:rsidRPr="00F451F4">
              <w:rPr>
                <w:rFonts w:cs="Arial"/>
                <w:b/>
                <w:bCs/>
                <w:sz w:val="20"/>
              </w:rPr>
              <w:lastRenderedPageBreak/>
              <w:t>Practice points</w:t>
            </w:r>
          </w:p>
        </w:tc>
        <w:tc>
          <w:tcPr>
            <w:tcW w:w="7229" w:type="dxa"/>
          </w:tcPr>
          <w:p w:rsidRPr="00355924" w:rsidR="00251AA3" w:rsidP="00131848" w:rsidRDefault="00251AA3" w14:paraId="7032BED2" w14:textId="77777777">
            <w:pPr>
              <w:pStyle w:val="BodyText"/>
              <w:rPr>
                <w:rFonts w:cs="Arial"/>
                <w:b/>
                <w:sz w:val="20"/>
              </w:rPr>
            </w:pPr>
          </w:p>
        </w:tc>
      </w:tr>
      <w:tr w:rsidRPr="00740BA8" w:rsidR="00251AA3" w:rsidTr="00251AA3" w14:paraId="7FE674FD" w14:textId="77777777">
        <w:trPr>
          <w:trHeight w:val="360"/>
        </w:trPr>
        <w:tc>
          <w:tcPr>
            <w:tcW w:w="1872" w:type="dxa"/>
          </w:tcPr>
          <w:p w:rsidRPr="00F451F4" w:rsidR="00251AA3" w:rsidP="00131848" w:rsidRDefault="00251AA3" w14:paraId="60FE5E81" w14:textId="77777777">
            <w:pPr>
              <w:pStyle w:val="BodyText"/>
              <w:rPr>
                <w:rFonts w:cs="Arial"/>
                <w:b/>
                <w:bCs/>
                <w:sz w:val="20"/>
              </w:rPr>
            </w:pPr>
            <w:r w:rsidRPr="00F451F4">
              <w:rPr>
                <w:b/>
                <w:sz w:val="20"/>
              </w:rPr>
              <w:t>References</w:t>
            </w:r>
          </w:p>
        </w:tc>
        <w:tc>
          <w:tcPr>
            <w:tcW w:w="7229" w:type="dxa"/>
          </w:tcPr>
          <w:p w:rsidRPr="00CE5031" w:rsidR="00251AA3" w:rsidP="001B0E05" w:rsidRDefault="00251AA3" w14:paraId="197C76F2" w14:textId="77777777">
            <w:pPr>
              <w:pStyle w:val="NoSpacing"/>
              <w:numPr>
                <w:ilvl w:val="0"/>
                <w:numId w:val="19"/>
              </w:numPr>
              <w:rPr>
                <w:sz w:val="16"/>
                <w:szCs w:val="16"/>
              </w:rPr>
            </w:pPr>
            <w:r w:rsidRPr="00CE5031">
              <w:rPr>
                <w:sz w:val="16"/>
                <w:szCs w:val="16"/>
              </w:rPr>
              <w:t>Tsang R, Uauy R, Koletzko B, Zlotkin SH. Calcium, magnesium, phosphate and vitamin D. In Nutrition of the preterm infant. Scientific basis and practical guidelines 2005:p 265.</w:t>
            </w:r>
          </w:p>
          <w:p w:rsidRPr="00CE5031" w:rsidR="00251AA3" w:rsidP="001B0E05" w:rsidRDefault="00251AA3" w14:paraId="56EBF3F6" w14:textId="77777777">
            <w:pPr>
              <w:pStyle w:val="NoSpacing"/>
              <w:numPr>
                <w:ilvl w:val="0"/>
                <w:numId w:val="19"/>
              </w:numPr>
              <w:rPr>
                <w:sz w:val="16"/>
                <w:szCs w:val="16"/>
              </w:rPr>
            </w:pPr>
            <w:r w:rsidRPr="00CE5031">
              <w:rPr>
                <w:sz w:val="16"/>
                <w:szCs w:val="16"/>
              </w:rPr>
              <w:lastRenderedPageBreak/>
              <w:t>Dissaneewate S, Vachvanichsanong P. Severe hyperphosphatemia in a newborn with renal insufficiency because of an erroneous medical prescription. Journal of Renal Nutrition. 2009 Nov 30;19(6):500-2.</w:t>
            </w:r>
          </w:p>
          <w:p w:rsidRPr="00CE5031" w:rsidR="00251AA3" w:rsidP="001B0E05" w:rsidRDefault="00251AA3" w14:paraId="34FAFA3C" w14:textId="77777777">
            <w:pPr>
              <w:pStyle w:val="NoSpacing"/>
              <w:numPr>
                <w:ilvl w:val="0"/>
                <w:numId w:val="19"/>
              </w:numPr>
              <w:rPr>
                <w:sz w:val="16"/>
                <w:szCs w:val="16"/>
              </w:rPr>
            </w:pPr>
            <w:r w:rsidRPr="00CE5031">
              <w:rPr>
                <w:sz w:val="16"/>
                <w:szCs w:val="16"/>
              </w:rPr>
              <w:t>Schanler RJ, Abrams SA, Garza C. Mineral balance studies in very low birth weight infants fed human milk. J Pediatr. 1988;113 (1 pt 2):230–238.</w:t>
            </w:r>
          </w:p>
          <w:p w:rsidRPr="00CE5031" w:rsidR="00251AA3" w:rsidP="001B0E05" w:rsidRDefault="00251AA3" w14:paraId="1B5EAFC8" w14:textId="77777777">
            <w:pPr>
              <w:pStyle w:val="NoSpacing"/>
              <w:numPr>
                <w:ilvl w:val="0"/>
                <w:numId w:val="19"/>
              </w:numPr>
              <w:rPr>
                <w:sz w:val="16"/>
                <w:szCs w:val="16"/>
              </w:rPr>
            </w:pPr>
            <w:r w:rsidRPr="00CE5031">
              <w:rPr>
                <w:sz w:val="16"/>
                <w:szCs w:val="16"/>
              </w:rPr>
              <w:t>AAP. Pediatric nutrition handbook. 6th ed. Kleinman RE, editor: AAP eBooks; 2009.</w:t>
            </w:r>
          </w:p>
          <w:p w:rsidRPr="00CE5031" w:rsidR="00251AA3" w:rsidP="001B0E05" w:rsidRDefault="00251AA3" w14:paraId="1A8A5949" w14:textId="77777777">
            <w:pPr>
              <w:pStyle w:val="NoSpacing"/>
              <w:numPr>
                <w:ilvl w:val="0"/>
                <w:numId w:val="19"/>
              </w:numPr>
              <w:rPr>
                <w:sz w:val="16"/>
                <w:szCs w:val="16"/>
              </w:rPr>
            </w:pPr>
            <w:r w:rsidRPr="00CE5031">
              <w:rPr>
                <w:sz w:val="16"/>
                <w:szCs w:val="16"/>
              </w:rPr>
              <w:t>Koletzko B, Goulet O, Hunt J, Krohn K, Shamir R. 1. Guidelines on Paediatric Parenteral Nutrition of the European Society of Paediatric Gastroenterology, Hepatology and Nutrition (ESPGHAN) and the European Society for Clinical Nutrition and Metabolism (ESPEN), Supported by the European Society of Paediatric Research (ESPR). J Pediatr Gastroenterol Nutr. 2005;41 Suppl 2:S1-87.</w:t>
            </w:r>
          </w:p>
          <w:p w:rsidRPr="00CE5031" w:rsidR="00251AA3" w:rsidP="001B0E05" w:rsidRDefault="00251AA3" w14:paraId="488FFFE3" w14:textId="77777777">
            <w:pPr>
              <w:pStyle w:val="NoSpacing"/>
              <w:numPr>
                <w:ilvl w:val="0"/>
                <w:numId w:val="19"/>
              </w:numPr>
              <w:rPr>
                <w:sz w:val="16"/>
                <w:szCs w:val="16"/>
              </w:rPr>
            </w:pPr>
            <w:r w:rsidRPr="00CE5031">
              <w:rPr>
                <w:sz w:val="16"/>
                <w:szCs w:val="16"/>
              </w:rPr>
              <w:t>Bolisetty S, Osborn D, Sinn J, Lui K. Australasian Neonatal Parenteral Nutrition Consensus Group. Standardised neonatal parenteral nutrition formulations-an Australasian group consensus 2012. BMC Pediatr. 2014;14:48.</w:t>
            </w:r>
          </w:p>
          <w:p w:rsidRPr="00CE5031" w:rsidR="00251AA3" w:rsidP="001B0E05" w:rsidRDefault="00251AA3" w14:paraId="57589469" w14:textId="77777777">
            <w:pPr>
              <w:pStyle w:val="NoSpacing"/>
              <w:numPr>
                <w:ilvl w:val="0"/>
                <w:numId w:val="19"/>
              </w:numPr>
              <w:rPr>
                <w:sz w:val="16"/>
                <w:szCs w:val="16"/>
              </w:rPr>
            </w:pPr>
            <w:r w:rsidRPr="00CE5031">
              <w:rPr>
                <w:sz w:val="16"/>
                <w:szCs w:val="16"/>
              </w:rPr>
              <w:t>Agostoni C, Buonocore G, Carnielli VP, et al; ESPGHAN Committee on Nutrition. Enteral nutrient supply for preterm infants: commentary from the European Society of Paediatric Gastroenterology, Hepatology and Nutrition Committee on Nutrition. J Pediatr Gastroenterol Nutr. 2010;50(1):85–91.</w:t>
            </w:r>
          </w:p>
          <w:p w:rsidRPr="00CE5031" w:rsidR="00251AA3" w:rsidP="001B0E05" w:rsidRDefault="00251AA3" w14:paraId="7C425E07" w14:textId="77777777">
            <w:pPr>
              <w:pStyle w:val="NoSpacing"/>
              <w:numPr>
                <w:ilvl w:val="0"/>
                <w:numId w:val="19"/>
              </w:numPr>
              <w:rPr>
                <w:sz w:val="16"/>
                <w:szCs w:val="16"/>
              </w:rPr>
            </w:pPr>
            <w:r w:rsidRPr="00CE5031">
              <w:rPr>
                <w:sz w:val="16"/>
                <w:szCs w:val="16"/>
              </w:rPr>
              <w:t>Abrams SA, and the Committee on nutrition. Calcium and Vitamin D Requirements of Enterally Fed Preterm Infants. Pediatrics 2013;131:e1676–e1683.</w:t>
            </w:r>
          </w:p>
          <w:p w:rsidRPr="00CE5031" w:rsidR="00251AA3" w:rsidP="001B0E05" w:rsidRDefault="00251AA3" w14:paraId="191E233D" w14:textId="77777777">
            <w:pPr>
              <w:pStyle w:val="NoSpacing"/>
              <w:numPr>
                <w:ilvl w:val="0"/>
                <w:numId w:val="19"/>
              </w:numPr>
              <w:rPr>
                <w:sz w:val="16"/>
                <w:szCs w:val="16"/>
              </w:rPr>
            </w:pPr>
            <w:r w:rsidRPr="00CE5031">
              <w:rPr>
                <w:sz w:val="16"/>
                <w:szCs w:val="16"/>
              </w:rPr>
              <w:t>Tinnion RJ, Embleton ND. How to use... alkaline phosphatase in neonatology. Arch Dis Child Educ Pract 2012;97:157–63.</w:t>
            </w:r>
          </w:p>
          <w:p w:rsidRPr="00CE5031" w:rsidR="00251AA3" w:rsidP="001B0E05" w:rsidRDefault="00251AA3" w14:paraId="343A95D4" w14:textId="77777777">
            <w:pPr>
              <w:pStyle w:val="NoSpacing"/>
              <w:numPr>
                <w:ilvl w:val="0"/>
                <w:numId w:val="19"/>
              </w:numPr>
              <w:rPr>
                <w:sz w:val="16"/>
                <w:szCs w:val="16"/>
              </w:rPr>
            </w:pPr>
            <w:r w:rsidRPr="00CE5031">
              <w:rPr>
                <w:sz w:val="16"/>
                <w:szCs w:val="16"/>
              </w:rPr>
              <w:t>Bozzetti V, Tagliabue P. Metabolic Bone Disease in preterm newborn: an update on nutritional issues. Italian J Ped 2009;35:20. Doi:10.1186/1824-7288-35-20.</w:t>
            </w:r>
          </w:p>
          <w:p w:rsidRPr="00CE5031" w:rsidR="00251AA3" w:rsidP="001B0E05" w:rsidRDefault="00251AA3" w14:paraId="4692C879" w14:textId="77777777">
            <w:pPr>
              <w:pStyle w:val="NoSpacing"/>
              <w:numPr>
                <w:ilvl w:val="0"/>
                <w:numId w:val="19"/>
              </w:numPr>
              <w:rPr>
                <w:sz w:val="16"/>
                <w:szCs w:val="16"/>
              </w:rPr>
            </w:pPr>
            <w:r w:rsidRPr="00CE5031">
              <w:rPr>
                <w:sz w:val="16"/>
                <w:szCs w:val="16"/>
              </w:rPr>
              <w:t>MIMS Product Info. Accessed on 11 April 2018.</w:t>
            </w:r>
          </w:p>
          <w:p w:rsidRPr="00CE5031" w:rsidR="00251AA3" w:rsidP="001B0E05" w:rsidRDefault="00251AA3" w14:paraId="0821975D" w14:textId="77777777">
            <w:pPr>
              <w:pStyle w:val="NoSpacing"/>
              <w:numPr>
                <w:ilvl w:val="0"/>
                <w:numId w:val="19"/>
              </w:numPr>
              <w:rPr>
                <w:sz w:val="16"/>
                <w:szCs w:val="16"/>
              </w:rPr>
            </w:pPr>
            <w:r w:rsidRPr="00CE5031">
              <w:rPr>
                <w:sz w:val="16"/>
                <w:szCs w:val="16"/>
              </w:rPr>
              <w:t xml:space="preserve">Mihatsch W, et al., ESPGHAN/ESPEN/ESPR/CSPEN guidelines on pediatric parenteral nutrition: Calcium, phosphorus and magnesium, Clinical Nutrition (2018), </w:t>
            </w:r>
            <w:hyperlink w:history="1" r:id="rId71">
              <w:r w:rsidRPr="00CE5031">
                <w:rPr>
                  <w:rStyle w:val="Hyperlink"/>
                  <w:sz w:val="16"/>
                  <w:szCs w:val="16"/>
                </w:rPr>
                <w:t>https://doi.org/10.1016/j.clnu.2018.06.950</w:t>
              </w:r>
            </w:hyperlink>
            <w:r w:rsidRPr="00CE5031">
              <w:rPr>
                <w:sz w:val="16"/>
                <w:szCs w:val="16"/>
              </w:rPr>
              <w:t>.</w:t>
            </w:r>
          </w:p>
          <w:p w:rsidRPr="00CE5031" w:rsidR="00251AA3" w:rsidP="001B0E05" w:rsidRDefault="00251AA3" w14:paraId="0BB87041" w14:textId="77777777">
            <w:pPr>
              <w:pStyle w:val="NoSpacing"/>
              <w:numPr>
                <w:ilvl w:val="0"/>
                <w:numId w:val="19"/>
              </w:numPr>
              <w:rPr>
                <w:sz w:val="16"/>
                <w:szCs w:val="16"/>
              </w:rPr>
            </w:pPr>
            <w:r w:rsidRPr="00CE5031">
              <w:rPr>
                <w:sz w:val="16"/>
                <w:szCs w:val="16"/>
              </w:rPr>
              <w:t>Schanler RJ, Atkinson SA. Human milk. In Nutrition of the preterm infant. Scientific basis and practical guidelines. Second edition 2005. Eds Tsang R, Uauy R, Koletzko B, Zlotkin SH.:p 336.</w:t>
            </w:r>
          </w:p>
          <w:p w:rsidRPr="00CE5031" w:rsidR="00251AA3" w:rsidP="001B0E05" w:rsidRDefault="00251AA3" w14:paraId="3DB71A32" w14:textId="77777777">
            <w:pPr>
              <w:pStyle w:val="NoSpacing"/>
              <w:numPr>
                <w:ilvl w:val="0"/>
                <w:numId w:val="19"/>
              </w:numPr>
              <w:rPr>
                <w:sz w:val="16"/>
                <w:szCs w:val="16"/>
              </w:rPr>
            </w:pPr>
            <w:r w:rsidRPr="00CE5031">
              <w:rPr>
                <w:sz w:val="16"/>
                <w:szCs w:val="16"/>
              </w:rPr>
              <w:t xml:space="preserve">Osborn DA. Metabolic bone disease. </w:t>
            </w:r>
            <w:hyperlink w:history="1" r:id="rId72">
              <w:r w:rsidRPr="00CE5031">
                <w:rPr>
                  <w:rStyle w:val="Hyperlink"/>
                  <w:sz w:val="16"/>
                  <w:szCs w:val="16"/>
                </w:rPr>
                <w:t>https://www.slhd.nsw.gov.au/rpa/neonatal%5Ccontent/pdf/guidelines/metabolicBD.pdf</w:t>
              </w:r>
            </w:hyperlink>
          </w:p>
          <w:p w:rsidRPr="00CE5031" w:rsidR="00251AA3" w:rsidP="001B0E05" w:rsidRDefault="00251AA3" w14:paraId="3474CCED" w14:textId="77777777">
            <w:pPr>
              <w:pStyle w:val="NoSpacing"/>
              <w:numPr>
                <w:ilvl w:val="0"/>
                <w:numId w:val="19"/>
              </w:numPr>
              <w:rPr>
                <w:sz w:val="16"/>
                <w:szCs w:val="16"/>
              </w:rPr>
            </w:pPr>
            <w:r w:rsidRPr="00CE5031">
              <w:rPr>
                <w:sz w:val="16"/>
                <w:szCs w:val="16"/>
              </w:rPr>
              <w:t>Gidrewicz DA, Fenton TR. A systematic review and meta-analysis of the nutrient content of preterm and term breast milk. BMC pediatrics. 2014 Dec;14(1):216.</w:t>
            </w:r>
          </w:p>
        </w:tc>
      </w:tr>
    </w:tbl>
    <w:p w:rsidR="00884C9C" w:rsidP="006F0321" w:rsidRDefault="00884C9C" w14:paraId="14A36360" w14:textId="77777777"/>
    <w:p w:rsidRPr="00E25790" w:rsidR="00884C9C" w:rsidP="006F0321" w:rsidRDefault="00884C9C" w14:paraId="5AAD0EED" w14:textId="77777777"/>
    <w:p w:rsidR="00EB43BB" w:rsidP="006F0321" w:rsidRDefault="00EB43BB" w14:paraId="06BD5C53" w14:textId="3D32D1AB"/>
    <w:p w:rsidRPr="00E25790" w:rsidR="0083430C" w:rsidP="006F0321" w:rsidRDefault="0083430C" w14:paraId="61A255A6"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0431B" w:rsidTr="00FB1E38" w14:paraId="303607C0" w14:textId="77777777">
        <w:tc>
          <w:tcPr>
            <w:tcW w:w="4535" w:type="dxa"/>
            <w:vAlign w:val="center"/>
          </w:tcPr>
          <w:p w:rsidRPr="00E25790" w:rsidR="00EB43BB" w:rsidP="00FB1E38" w:rsidRDefault="00EB43BB" w14:paraId="298B8717" w14:textId="77777777">
            <w:r w:rsidRPr="00E25790">
              <w:t>Original version Date: 15/11/2016</w:t>
            </w:r>
          </w:p>
        </w:tc>
        <w:tc>
          <w:tcPr>
            <w:tcW w:w="4535" w:type="dxa"/>
            <w:vAlign w:val="center"/>
          </w:tcPr>
          <w:p w:rsidRPr="00E25790" w:rsidR="00EB43BB" w:rsidP="00FB1E38" w:rsidRDefault="00EB43BB" w14:paraId="68CA33E7" w14:textId="77777777">
            <w:r w:rsidRPr="00E25790">
              <w:t>Author: Neonatal Medicines Formulary Consensus Group</w:t>
            </w:r>
          </w:p>
        </w:tc>
      </w:tr>
      <w:tr w:rsidRPr="00E25790" w:rsidR="0020431B" w:rsidTr="00FB1E38" w14:paraId="13EE5DB9" w14:textId="77777777">
        <w:tc>
          <w:tcPr>
            <w:tcW w:w="4535" w:type="dxa"/>
            <w:vAlign w:val="center"/>
          </w:tcPr>
          <w:p w:rsidRPr="00E25790" w:rsidR="00EB43BB" w:rsidP="00FB1E38" w:rsidRDefault="00EB43BB" w14:paraId="23D41AA2" w14:textId="2B6FE237">
            <w:pPr>
              <w:rPr>
                <w:bCs/>
              </w:rPr>
            </w:pPr>
            <w:r w:rsidRPr="00E25790">
              <w:t xml:space="preserve">Current Version number: </w:t>
            </w:r>
            <w:r w:rsidR="00ED74C3">
              <w:t>2</w:t>
            </w:r>
          </w:p>
        </w:tc>
        <w:tc>
          <w:tcPr>
            <w:tcW w:w="4535" w:type="dxa"/>
            <w:vAlign w:val="center"/>
          </w:tcPr>
          <w:p w:rsidRPr="00E25790" w:rsidR="00EB43BB" w:rsidP="00FB1E38" w:rsidRDefault="00EB43BB" w14:paraId="1B0E7014" w14:textId="4E75B384">
            <w:r w:rsidRPr="00E25790">
              <w:t xml:space="preserve">Version Date: </w:t>
            </w:r>
            <w:r w:rsidR="00ED74C3">
              <w:t>2/3/2021</w:t>
            </w:r>
          </w:p>
        </w:tc>
      </w:tr>
      <w:tr w:rsidRPr="00E25790" w:rsidR="0020431B" w:rsidTr="00FB1E38" w14:paraId="649A9BB9" w14:textId="77777777">
        <w:tc>
          <w:tcPr>
            <w:tcW w:w="4535" w:type="dxa"/>
            <w:vAlign w:val="center"/>
          </w:tcPr>
          <w:p w:rsidRPr="00E25790" w:rsidR="00EB43BB" w:rsidP="00FB1E38" w:rsidRDefault="00EB43BB" w14:paraId="3A8E4D5C" w14:textId="77777777">
            <w:r w:rsidRPr="00E25790">
              <w:t>Risk Rating: Medium</w:t>
            </w:r>
          </w:p>
        </w:tc>
        <w:tc>
          <w:tcPr>
            <w:tcW w:w="4535" w:type="dxa"/>
            <w:vAlign w:val="center"/>
          </w:tcPr>
          <w:p w:rsidRPr="00E25790" w:rsidR="00EB43BB" w:rsidP="00FB1E38" w:rsidRDefault="00EB43BB" w14:paraId="003AA362" w14:textId="475D510F">
            <w:r w:rsidRPr="00E25790">
              <w:t xml:space="preserve">Due for Review:  </w:t>
            </w:r>
            <w:r w:rsidR="00ED74C3">
              <w:t>2/3/2024</w:t>
            </w:r>
          </w:p>
        </w:tc>
      </w:tr>
      <w:tr w:rsidRPr="00E25790" w:rsidR="0020431B" w:rsidTr="00FB1E38" w14:paraId="4EC4A99F" w14:textId="77777777">
        <w:trPr>
          <w:trHeight w:val="344"/>
        </w:trPr>
        <w:tc>
          <w:tcPr>
            <w:tcW w:w="4535" w:type="dxa"/>
            <w:tcBorders>
              <w:bottom w:val="single" w:color="auto" w:sz="4" w:space="0"/>
            </w:tcBorders>
            <w:vAlign w:val="center"/>
          </w:tcPr>
          <w:p w:rsidRPr="00E25790" w:rsidR="00EB43BB" w:rsidP="00FB1E38" w:rsidRDefault="00EB43BB" w14:paraId="1A550019" w14:textId="77777777">
            <w:r w:rsidRPr="00E25790">
              <w:t>Approval by: DTC</w:t>
            </w:r>
          </w:p>
        </w:tc>
        <w:tc>
          <w:tcPr>
            <w:tcW w:w="4535" w:type="dxa"/>
            <w:tcBorders>
              <w:bottom w:val="single" w:color="auto" w:sz="4" w:space="0"/>
            </w:tcBorders>
            <w:vAlign w:val="center"/>
          </w:tcPr>
          <w:p w:rsidRPr="00E25790" w:rsidR="00EB43BB" w:rsidP="00FB1E38" w:rsidRDefault="00EB43BB" w14:paraId="49F1728F" w14:textId="0BBAC29B">
            <w:r w:rsidRPr="00E25790">
              <w:t xml:space="preserve">Approval Date: </w:t>
            </w:r>
            <w:r w:rsidR="00260BC8">
              <w:t>APRIL 2021</w:t>
            </w:r>
          </w:p>
        </w:tc>
      </w:tr>
    </w:tbl>
    <w:p w:rsidRPr="00E25790" w:rsidR="00115F48" w:rsidP="006F0321" w:rsidRDefault="00115F48" w14:paraId="69AC1226" w14:textId="77777777"/>
    <w:p w:rsidRPr="00E25790" w:rsidR="00115F48" w:rsidP="006F0321" w:rsidRDefault="00115F48" w14:paraId="09413066" w14:textId="77777777"/>
    <w:p w:rsidRPr="00E25790" w:rsidR="005B4A5E" w:rsidP="006F0321" w:rsidRDefault="005B4A5E" w14:paraId="24EA5E72" w14:textId="77777777">
      <w:r w:rsidRPr="00E25790">
        <w:br w:type="page"/>
      </w:r>
    </w:p>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896"/>
      </w:tblGrid>
      <w:tr w:rsidRPr="00E25790" w:rsidR="005B4A5E" w:rsidTr="00FB1E38" w14:paraId="09C66837" w14:textId="77777777">
        <w:trPr>
          <w:cantSplit/>
          <w:trHeight w:val="720"/>
        </w:trPr>
        <w:tc>
          <w:tcPr>
            <w:tcW w:w="9049" w:type="dxa"/>
            <w:gridSpan w:val="2"/>
            <w:shd w:val="clear" w:color="auto" w:fill="FF6600"/>
          </w:tcPr>
          <w:p w:rsidRPr="00F45A7B" w:rsidR="005B4A5E" w:rsidP="0007778A" w:rsidRDefault="00D402A3" w14:paraId="4E360764" w14:textId="77777777">
            <w:pPr>
              <w:pStyle w:val="Heading1"/>
            </w:pPr>
            <w:bookmarkStart w:name="_Toc75340027" w:id="493"/>
            <w:r w:rsidRPr="00F45A7B">
              <w:lastRenderedPageBreak/>
              <w:t>Piperacillin/Tazobac</w:t>
            </w:r>
            <w:r w:rsidRPr="00F45A7B" w:rsidR="0071697D">
              <w:t>tam</w:t>
            </w:r>
            <w:bookmarkEnd w:id="493"/>
          </w:p>
        </w:tc>
      </w:tr>
      <w:tr w:rsidRPr="00E25790" w:rsidR="005B4A5E" w:rsidTr="00FB1E38" w14:paraId="536D2C80" w14:textId="77777777">
        <w:trPr>
          <w:cantSplit/>
          <w:trHeight w:val="480"/>
        </w:trPr>
        <w:tc>
          <w:tcPr>
            <w:tcW w:w="4153" w:type="dxa"/>
            <w:shd w:val="clear" w:color="auto" w:fill="FF6600"/>
          </w:tcPr>
          <w:p w:rsidRPr="00E25790" w:rsidR="005B4A5E" w:rsidP="006F0321" w:rsidRDefault="005B4A5E" w14:paraId="1B98B424" w14:textId="3FDF7891">
            <w:r w:rsidRPr="00E25790">
              <w:t>Revision Date</w:t>
            </w:r>
            <w:r w:rsidRPr="00E25790">
              <w:rPr>
                <w:b/>
              </w:rPr>
              <w:t xml:space="preserve"> : </w:t>
            </w:r>
            <w:r w:rsidR="00622C2C">
              <w:rPr>
                <w:b/>
              </w:rPr>
              <w:t>16-11-2020</w:t>
            </w:r>
          </w:p>
        </w:tc>
        <w:tc>
          <w:tcPr>
            <w:tcW w:w="4896" w:type="dxa"/>
            <w:shd w:val="clear" w:color="auto" w:fill="FF6600"/>
          </w:tcPr>
          <w:p w:rsidRPr="00E25790" w:rsidR="005B4A5E" w:rsidP="006F0321" w:rsidRDefault="005B4A5E" w14:paraId="4C43785C" w14:textId="77777777">
            <w:r w:rsidRPr="00E25790">
              <w:t xml:space="preserve">Approved: </w:t>
            </w:r>
            <w:r w:rsidRPr="00E25790" w:rsidR="007E7501">
              <w:t>TC, KOH</w:t>
            </w:r>
          </w:p>
        </w:tc>
      </w:tr>
    </w:tbl>
    <w:p w:rsidRPr="00E25790" w:rsidR="005B4A5E" w:rsidP="006F0321" w:rsidRDefault="005B4A5E" w14:paraId="1E51047E" w14:textId="77777777"/>
    <w:tbl>
      <w:tblPr>
        <w:tblW w:w="5503"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50"/>
        <w:gridCol w:w="8173"/>
      </w:tblGrid>
      <w:tr w:rsidRPr="003B78EA" w:rsidR="00622C2C" w:rsidTr="00FE4186" w14:paraId="39F03FEA" w14:textId="77777777">
        <w:trPr>
          <w:trHeight w:val="263"/>
        </w:trPr>
        <w:tc>
          <w:tcPr>
            <w:tcW w:w="882" w:type="pct"/>
          </w:tcPr>
          <w:p w:rsidRPr="003B78EA" w:rsidR="00622C2C" w:rsidP="00FE4186" w:rsidRDefault="00622C2C" w14:paraId="1F26620D"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p>
        </w:tc>
        <w:tc>
          <w:tcPr>
            <w:tcW w:w="4118" w:type="pct"/>
          </w:tcPr>
          <w:p w:rsidRPr="001E5BD1" w:rsidR="00622C2C" w:rsidP="00FE4186" w:rsidRDefault="00622C2C" w14:paraId="1E8C5781" w14:textId="77777777">
            <w:pPr>
              <w:widowControl w:val="0"/>
              <w:autoSpaceDE w:val="0"/>
              <w:autoSpaceDN w:val="0"/>
              <w:adjustRightInd w:val="0"/>
              <w:rPr>
                <w:rFonts w:cs="Arial"/>
                <w:sz w:val="20"/>
                <w:lang w:val="en-US"/>
              </w:rPr>
            </w:pPr>
            <w:r w:rsidRPr="001E5BD1">
              <w:rPr>
                <w:rFonts w:cs="Arial"/>
                <w:sz w:val="20"/>
                <w:lang w:val="en-US"/>
              </w:rPr>
              <w:t>The Antimicrobial Stewardship Team has listed this drug under the following categories:</w:t>
            </w:r>
          </w:p>
          <w:p w:rsidRPr="003B78EA" w:rsidR="00622C2C" w:rsidP="00FE4186" w:rsidRDefault="00622C2C" w14:paraId="0905ADFC" w14:textId="77777777">
            <w:pPr>
              <w:pStyle w:val="BodyText"/>
              <w:rPr>
                <w:rFonts w:asciiTheme="minorHAnsi" w:hAnsiTheme="minorHAnsi" w:cstheme="minorHAnsi"/>
                <w:sz w:val="20"/>
              </w:rPr>
            </w:pPr>
            <w:r w:rsidRPr="00082393">
              <w:rPr>
                <w:sz w:val="20"/>
              </w:rPr>
              <w:t>Restricted</w:t>
            </w:r>
            <w:r>
              <w:rPr>
                <w:sz w:val="20"/>
              </w:rPr>
              <w:t>.</w:t>
            </w:r>
          </w:p>
        </w:tc>
      </w:tr>
      <w:tr w:rsidRPr="003B78EA" w:rsidR="00622C2C" w:rsidTr="00FE4186" w14:paraId="20632D57" w14:textId="77777777">
        <w:trPr>
          <w:trHeight w:val="263"/>
        </w:trPr>
        <w:tc>
          <w:tcPr>
            <w:tcW w:w="882" w:type="pct"/>
          </w:tcPr>
          <w:p w:rsidRPr="003B78EA" w:rsidR="00622C2C" w:rsidP="00FE4186" w:rsidRDefault="00622C2C" w14:paraId="50D0C3A8"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4118" w:type="pct"/>
          </w:tcPr>
          <w:p w:rsidR="00622C2C" w:rsidP="00FE4186" w:rsidRDefault="00622C2C" w14:paraId="73EEE117" w14:textId="77777777">
            <w:pPr>
              <w:rPr>
                <w:sz w:val="20"/>
              </w:rPr>
            </w:pPr>
            <w:r w:rsidRPr="00E3196A">
              <w:rPr>
                <w:sz w:val="20"/>
              </w:rPr>
              <w:t xml:space="preserve">Therapy of </w:t>
            </w:r>
            <w:r w:rsidRPr="009A72C3">
              <w:rPr>
                <w:b/>
                <w:sz w:val="20"/>
              </w:rPr>
              <w:t xml:space="preserve">non-CNS </w:t>
            </w:r>
            <w:r w:rsidRPr="00410C06">
              <w:rPr>
                <w:sz w:val="20"/>
              </w:rPr>
              <w:t>systemic infections, necroti</w:t>
            </w:r>
            <w:r>
              <w:rPr>
                <w:sz w:val="20"/>
              </w:rPr>
              <w:t>s</w:t>
            </w:r>
            <w:r w:rsidRPr="00410C06">
              <w:rPr>
                <w:sz w:val="20"/>
              </w:rPr>
              <w:t>ing enterocolitis and intra-abdominal infections</w:t>
            </w:r>
            <w:r w:rsidRPr="00E3196A">
              <w:rPr>
                <w:sz w:val="20"/>
              </w:rPr>
              <w:t xml:space="preserve"> caused by susceptible Gram positive and Gram negative bacteria including anaerobes and many </w:t>
            </w:r>
            <w:r>
              <w:rPr>
                <w:sz w:val="20"/>
              </w:rPr>
              <w:t xml:space="preserve">Enterobacterales and </w:t>
            </w:r>
            <w:r w:rsidRPr="00A6060F">
              <w:rPr>
                <w:i/>
                <w:sz w:val="20"/>
              </w:rPr>
              <w:t>Pseudomonas</w:t>
            </w:r>
            <w:r>
              <w:rPr>
                <w:sz w:val="20"/>
              </w:rPr>
              <w:t xml:space="preserve"> spp</w:t>
            </w:r>
            <w:r w:rsidRPr="00E3196A">
              <w:rPr>
                <w:sz w:val="20"/>
              </w:rPr>
              <w:t>.</w:t>
            </w:r>
            <w:r>
              <w:rPr>
                <w:noProof/>
                <w:sz w:val="20"/>
              </w:rPr>
              <w:t>(1)</w:t>
            </w:r>
          </w:p>
          <w:p w:rsidRPr="003B78EA" w:rsidR="00622C2C" w:rsidP="00FE4186" w:rsidRDefault="00622C2C" w14:paraId="2E3E2020" w14:textId="77777777">
            <w:pPr>
              <w:rPr>
                <w:rFonts w:asciiTheme="minorHAnsi" w:hAnsiTheme="minorHAnsi" w:cstheme="minorHAnsi"/>
                <w:sz w:val="20"/>
              </w:rPr>
            </w:pPr>
            <w:r w:rsidRPr="00E3196A">
              <w:rPr>
                <w:sz w:val="20"/>
              </w:rPr>
              <w:t xml:space="preserve">Susceptibility of coagulase-negative </w:t>
            </w:r>
            <w:r w:rsidRPr="003A4E04">
              <w:rPr>
                <w:iCs/>
                <w:sz w:val="20"/>
              </w:rPr>
              <w:t>staphylococci</w:t>
            </w:r>
            <w:r w:rsidRPr="00E3196A">
              <w:rPr>
                <w:sz w:val="20"/>
              </w:rPr>
              <w:t xml:space="preserve"> (CONS) </w:t>
            </w:r>
            <w:r>
              <w:rPr>
                <w:sz w:val="20"/>
              </w:rPr>
              <w:t>is generally not tested</w:t>
            </w:r>
            <w:r w:rsidRPr="00E3196A">
              <w:rPr>
                <w:sz w:val="20"/>
              </w:rPr>
              <w:t xml:space="preserve"> </w:t>
            </w:r>
            <w:r>
              <w:rPr>
                <w:sz w:val="20"/>
              </w:rPr>
              <w:t xml:space="preserve">though oxacillin-resistant CONS should be considered resistant </w:t>
            </w:r>
            <w:r w:rsidRPr="00E3196A">
              <w:rPr>
                <w:sz w:val="20"/>
              </w:rPr>
              <w:t>and piperacillin-tazobactam should not be used as first-line for suspected CONS sepsis.</w:t>
            </w:r>
            <w:r>
              <w:rPr>
                <w:noProof/>
                <w:sz w:val="20"/>
              </w:rPr>
              <w:t>(2)</w:t>
            </w:r>
            <w:r>
              <w:rPr>
                <w:sz w:val="20"/>
                <w:vertAlign w:val="superscript"/>
              </w:rPr>
              <w:t xml:space="preserve">  </w:t>
            </w:r>
          </w:p>
        </w:tc>
      </w:tr>
      <w:tr w:rsidRPr="003B78EA" w:rsidR="00622C2C" w:rsidTr="00FE4186" w14:paraId="357AADA2" w14:textId="77777777">
        <w:trPr>
          <w:trHeight w:val="263"/>
        </w:trPr>
        <w:tc>
          <w:tcPr>
            <w:tcW w:w="882" w:type="pct"/>
          </w:tcPr>
          <w:p w:rsidRPr="003B78EA" w:rsidR="00622C2C" w:rsidP="00FE4186" w:rsidRDefault="00622C2C" w14:paraId="17CF218C"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4118" w:type="pct"/>
          </w:tcPr>
          <w:p w:rsidRPr="003B78EA" w:rsidR="00622C2C" w:rsidP="00FE4186" w:rsidRDefault="00622C2C" w14:paraId="0046C185" w14:textId="77777777">
            <w:pPr>
              <w:rPr>
                <w:rFonts w:asciiTheme="minorHAnsi" w:hAnsiTheme="minorHAnsi" w:cstheme="minorHAnsi"/>
                <w:sz w:val="20"/>
              </w:rPr>
            </w:pPr>
            <w:r w:rsidRPr="007D476F">
              <w:rPr>
                <w:sz w:val="20"/>
              </w:rPr>
              <w:t>β-lactam/β-lactamase inhibitor combination with a</w:t>
            </w:r>
            <w:r>
              <w:rPr>
                <w:sz w:val="20"/>
              </w:rPr>
              <w:t xml:space="preserve"> </w:t>
            </w:r>
            <w:r w:rsidRPr="007D476F">
              <w:rPr>
                <w:sz w:val="20"/>
              </w:rPr>
              <w:t>broad spectrum of antibacterial activity encompassing Gram-positive and</w:t>
            </w:r>
            <w:r>
              <w:rPr>
                <w:sz w:val="20"/>
              </w:rPr>
              <w:t xml:space="preserve"> </w:t>
            </w:r>
            <w:r w:rsidRPr="007D476F">
              <w:rPr>
                <w:sz w:val="20"/>
              </w:rPr>
              <w:t>Gram-negative aerobic bacteria and anaerobic bacteria, including many pathogens producing β-lactamases.</w:t>
            </w:r>
            <w:r>
              <w:rPr>
                <w:noProof/>
                <w:sz w:val="20"/>
              </w:rPr>
              <w:t>(1)</w:t>
            </w:r>
            <w:r>
              <w:rPr>
                <w:sz w:val="20"/>
              </w:rPr>
              <w:t xml:space="preserve"> </w:t>
            </w:r>
            <w:r w:rsidRPr="001E5BD1">
              <w:rPr>
                <w:sz w:val="20"/>
              </w:rPr>
              <w:t xml:space="preserve">Piperacillin </w:t>
            </w:r>
            <w:r>
              <w:rPr>
                <w:sz w:val="20"/>
              </w:rPr>
              <w:t xml:space="preserve">component </w:t>
            </w:r>
            <w:r w:rsidRPr="001E5BD1">
              <w:rPr>
                <w:sz w:val="20"/>
              </w:rPr>
              <w:t>is a</w:t>
            </w:r>
            <w:r>
              <w:rPr>
                <w:sz w:val="20"/>
              </w:rPr>
              <w:t xml:space="preserve"> </w:t>
            </w:r>
            <w:r w:rsidRPr="001E5BD1">
              <w:rPr>
                <w:sz w:val="20"/>
              </w:rPr>
              <w:t>semi synthetic penicillin</w:t>
            </w:r>
            <w:r>
              <w:rPr>
                <w:sz w:val="20"/>
              </w:rPr>
              <w:t xml:space="preserve"> that inhibits septum and cell wall synthesis of susceptible bacteria</w:t>
            </w:r>
            <w:r w:rsidRPr="001E5BD1">
              <w:rPr>
                <w:sz w:val="20"/>
              </w:rPr>
              <w:t xml:space="preserve">. </w:t>
            </w:r>
            <w:r>
              <w:rPr>
                <w:sz w:val="20"/>
              </w:rPr>
              <w:t>T</w:t>
            </w:r>
            <w:r w:rsidRPr="001E5BD1">
              <w:rPr>
                <w:sz w:val="20"/>
              </w:rPr>
              <w:t xml:space="preserve">azobactam is a </w:t>
            </w:r>
            <w:r>
              <w:rPr>
                <w:sz w:val="20"/>
              </w:rPr>
              <w:t>beta</w:t>
            </w:r>
            <w:r w:rsidRPr="001E5BD1">
              <w:rPr>
                <w:sz w:val="20"/>
              </w:rPr>
              <w:t xml:space="preserve"> lactamase inhibitor</w:t>
            </w:r>
            <w:r>
              <w:rPr>
                <w:sz w:val="20"/>
              </w:rPr>
              <w:t xml:space="preserve"> that enhances the antibiotic spectrum of piperacillin.</w:t>
            </w:r>
          </w:p>
        </w:tc>
      </w:tr>
      <w:tr w:rsidRPr="003B78EA" w:rsidR="00622C2C" w:rsidTr="00FE4186" w14:paraId="1AD6B64E" w14:textId="77777777">
        <w:trPr>
          <w:trHeight w:val="263"/>
        </w:trPr>
        <w:tc>
          <w:tcPr>
            <w:tcW w:w="882" w:type="pct"/>
          </w:tcPr>
          <w:p w:rsidRPr="003B78EA" w:rsidR="00622C2C" w:rsidP="00FE4186" w:rsidRDefault="00622C2C" w14:paraId="3E640109" w14:textId="77777777">
            <w:pPr>
              <w:pStyle w:val="BodyText"/>
              <w:rPr>
                <w:rFonts w:asciiTheme="minorHAnsi" w:hAnsiTheme="minorHAnsi" w:cstheme="minorHAnsi"/>
                <w:sz w:val="20"/>
              </w:rPr>
            </w:pPr>
            <w:r w:rsidRPr="003B78EA">
              <w:rPr>
                <w:rFonts w:asciiTheme="minorHAnsi" w:hAnsiTheme="minorHAnsi" w:cstheme="minorHAnsi"/>
                <w:b/>
                <w:bCs/>
                <w:sz w:val="20"/>
              </w:rPr>
              <w:t>Drug type</w:t>
            </w:r>
          </w:p>
        </w:tc>
        <w:tc>
          <w:tcPr>
            <w:tcW w:w="4118" w:type="pct"/>
          </w:tcPr>
          <w:p w:rsidRPr="003B78EA" w:rsidR="00622C2C" w:rsidP="00FE4186" w:rsidRDefault="00622C2C" w14:paraId="1D888EB0" w14:textId="77777777">
            <w:pPr>
              <w:pStyle w:val="BodyText"/>
              <w:rPr>
                <w:rFonts w:asciiTheme="minorHAnsi" w:hAnsiTheme="minorHAnsi" w:cstheme="minorHAnsi"/>
                <w:sz w:val="20"/>
              </w:rPr>
            </w:pPr>
            <w:r w:rsidRPr="001E1936">
              <w:rPr>
                <w:bCs/>
                <w:sz w:val="20"/>
              </w:rPr>
              <w:t xml:space="preserve">Antibiotic </w:t>
            </w:r>
            <w:r>
              <w:rPr>
                <w:bCs/>
                <w:sz w:val="20"/>
              </w:rPr>
              <w:t xml:space="preserve">– </w:t>
            </w:r>
            <w:r w:rsidRPr="004F077D">
              <w:rPr>
                <w:bCs/>
                <w:sz w:val="20"/>
              </w:rPr>
              <w:t>ureidopenicillin</w:t>
            </w:r>
            <w:r>
              <w:rPr>
                <w:bCs/>
                <w:sz w:val="20"/>
              </w:rPr>
              <w:t xml:space="preserve"> and </w:t>
            </w:r>
            <w:r w:rsidRPr="001E1936">
              <w:rPr>
                <w:bCs/>
                <w:sz w:val="20"/>
              </w:rPr>
              <w:t>beta-lactamase inhibitor</w:t>
            </w:r>
            <w:r>
              <w:rPr>
                <w:bCs/>
                <w:sz w:val="20"/>
              </w:rPr>
              <w:t>.</w:t>
            </w:r>
          </w:p>
        </w:tc>
      </w:tr>
      <w:tr w:rsidRPr="003B78EA" w:rsidR="00622C2C" w:rsidTr="00FE4186" w14:paraId="625D3D8B" w14:textId="77777777">
        <w:trPr>
          <w:trHeight w:val="263"/>
        </w:trPr>
        <w:tc>
          <w:tcPr>
            <w:tcW w:w="882" w:type="pct"/>
          </w:tcPr>
          <w:p w:rsidRPr="003B78EA" w:rsidR="00622C2C" w:rsidP="00FE4186" w:rsidRDefault="00622C2C" w14:paraId="3A1C82F0" w14:textId="77777777">
            <w:pPr>
              <w:pStyle w:val="BodyText"/>
              <w:rPr>
                <w:rFonts w:asciiTheme="minorHAnsi" w:hAnsiTheme="minorHAnsi" w:cstheme="minorHAnsi"/>
                <w:b/>
                <w:bCs/>
                <w:sz w:val="20"/>
              </w:rPr>
            </w:pPr>
            <w:r w:rsidRPr="003B78EA">
              <w:rPr>
                <w:rFonts w:asciiTheme="minorHAnsi" w:hAnsiTheme="minorHAnsi" w:cstheme="minorHAnsi"/>
                <w:b/>
                <w:bCs/>
                <w:sz w:val="20"/>
              </w:rPr>
              <w:t>Trade name</w:t>
            </w:r>
          </w:p>
        </w:tc>
        <w:tc>
          <w:tcPr>
            <w:tcW w:w="4118" w:type="pct"/>
          </w:tcPr>
          <w:p w:rsidRPr="003B78EA" w:rsidR="00622C2C" w:rsidP="00FE4186" w:rsidRDefault="00622C2C" w14:paraId="72D7F84B" w14:textId="77777777">
            <w:pPr>
              <w:pStyle w:val="BodyText"/>
              <w:rPr>
                <w:rFonts w:asciiTheme="minorHAnsi" w:hAnsiTheme="minorHAnsi" w:cstheme="minorHAnsi"/>
                <w:sz w:val="20"/>
              </w:rPr>
            </w:pPr>
            <w:r>
              <w:rPr>
                <w:rFonts w:cs="Arial"/>
                <w:sz w:val="20"/>
              </w:rPr>
              <w:t xml:space="preserve">Piperacillin/Tazobactam Kabi, </w:t>
            </w:r>
            <w:r w:rsidRPr="001E1936">
              <w:rPr>
                <w:rFonts w:cs="Arial"/>
                <w:sz w:val="20"/>
              </w:rPr>
              <w:t xml:space="preserve">Tazocin EF, PiperTaz, Piptaz, </w:t>
            </w:r>
            <w:r>
              <w:rPr>
                <w:rFonts w:cs="Arial"/>
                <w:sz w:val="20"/>
              </w:rPr>
              <w:t xml:space="preserve">PipTaz-AFT, </w:t>
            </w:r>
            <w:r w:rsidRPr="001E1936">
              <w:rPr>
                <w:rFonts w:cs="Arial"/>
                <w:sz w:val="20"/>
              </w:rPr>
              <w:t xml:space="preserve"> Tazopip</w:t>
            </w:r>
          </w:p>
        </w:tc>
      </w:tr>
      <w:tr w:rsidRPr="003B78EA" w:rsidR="00622C2C" w:rsidTr="00FE4186" w14:paraId="6272CE29" w14:textId="77777777">
        <w:trPr>
          <w:trHeight w:val="263"/>
        </w:trPr>
        <w:tc>
          <w:tcPr>
            <w:tcW w:w="882" w:type="pct"/>
          </w:tcPr>
          <w:p w:rsidRPr="003B78EA" w:rsidR="00622C2C" w:rsidP="00FE4186" w:rsidRDefault="00622C2C" w14:paraId="2E0EF7B5"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4118" w:type="pct"/>
          </w:tcPr>
          <w:p w:rsidRPr="003B78EA" w:rsidR="00622C2C" w:rsidP="00FE4186" w:rsidRDefault="00622C2C" w14:paraId="0F41980C" w14:textId="77777777">
            <w:pPr>
              <w:pStyle w:val="BodyText"/>
              <w:rPr>
                <w:rFonts w:asciiTheme="minorHAnsi" w:hAnsiTheme="minorHAnsi" w:cstheme="minorHAnsi"/>
                <w:sz w:val="20"/>
              </w:rPr>
            </w:pPr>
            <w:r>
              <w:rPr>
                <w:rFonts w:cs="Arial"/>
                <w:sz w:val="20"/>
              </w:rPr>
              <w:t xml:space="preserve">4.5 g vial (4 g piperacillin and 0.5 g tazobactam). </w:t>
            </w:r>
          </w:p>
        </w:tc>
      </w:tr>
      <w:tr w:rsidR="00622C2C" w:rsidTr="00FE4186" w14:paraId="7D7D4A6A" w14:textId="77777777">
        <w:trPr>
          <w:trHeight w:val="263"/>
        </w:trPr>
        <w:tc>
          <w:tcPr>
            <w:tcW w:w="882" w:type="pct"/>
          </w:tcPr>
          <w:p w:rsidRPr="003B78EA" w:rsidR="00622C2C" w:rsidP="00FE4186" w:rsidRDefault="00622C2C" w14:paraId="695BF7DF" w14:textId="77777777">
            <w:pPr>
              <w:pStyle w:val="BodyText"/>
              <w:rPr>
                <w:rFonts w:asciiTheme="minorHAnsi" w:hAnsiTheme="minorHAnsi" w:cstheme="minorHAnsi"/>
                <w:b/>
                <w:bCs/>
                <w:sz w:val="20"/>
              </w:rPr>
            </w:pPr>
            <w:r w:rsidRPr="003B78EA">
              <w:rPr>
                <w:rFonts w:asciiTheme="minorHAnsi" w:hAnsiTheme="minorHAnsi" w:cstheme="minorHAnsi"/>
                <w:b/>
                <w:bCs/>
                <w:sz w:val="20"/>
              </w:rPr>
              <w:t>Dose</w:t>
            </w:r>
          </w:p>
        </w:tc>
        <w:tc>
          <w:tcPr>
            <w:tcW w:w="4118" w:type="pct"/>
          </w:tcPr>
          <w:p w:rsidR="00622C2C" w:rsidP="00FE4186" w:rsidRDefault="00622C2C" w14:paraId="08412552" w14:textId="77777777">
            <w:pPr>
              <w:pStyle w:val="BodyText"/>
              <w:ind w:left="720" w:hanging="720"/>
              <w:rPr>
                <w:rFonts w:asciiTheme="minorHAnsi" w:hAnsiTheme="minorHAnsi" w:cstheme="minorHAnsi"/>
                <w:sz w:val="20"/>
              </w:rPr>
            </w:pPr>
            <w:r>
              <w:rPr>
                <w:rFonts w:asciiTheme="minorHAnsi" w:hAnsiTheme="minorHAnsi" w:cstheme="minorHAnsi"/>
                <w:sz w:val="20"/>
              </w:rPr>
              <w:t xml:space="preserve">Dose based on piperacillin component </w:t>
            </w:r>
            <w:r>
              <w:rPr>
                <w:rFonts w:asciiTheme="minorHAnsi" w:hAnsiTheme="minorHAnsi" w:cstheme="minorHAnsi"/>
                <w:noProof/>
                <w:sz w:val="20"/>
              </w:rPr>
              <w:t>(3, 4)</w:t>
            </w:r>
          </w:p>
          <w:tbl>
            <w:tblPr>
              <w:tblpPr w:leftFromText="180" w:rightFromText="180" w:vertAnchor="page" w:horzAnchor="margin" w:tblpXSpec="center" w:tblpY="316"/>
              <w:tblOverlap w:val="never"/>
              <w:tblW w:w="398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746"/>
              <w:gridCol w:w="1693"/>
              <w:gridCol w:w="1892"/>
            </w:tblGrid>
            <w:tr w:rsidRPr="001E5BD1" w:rsidR="00622C2C" w:rsidTr="00FE4186" w14:paraId="4EBA8A2C" w14:textId="77777777">
              <w:trPr>
                <w:trHeight w:val="247"/>
              </w:trPr>
              <w:tc>
                <w:tcPr>
                  <w:tcW w:w="2169"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46415F34" w14:textId="77777777">
                  <w:pPr>
                    <w:rPr>
                      <w:b/>
                      <w:sz w:val="20"/>
                    </w:rPr>
                  </w:pPr>
                  <w:r w:rsidRPr="001E5BD1">
                    <w:rPr>
                      <w:b/>
                      <w:sz w:val="20"/>
                    </w:rPr>
                    <w:t>Corrected Gestational Age</w:t>
                  </w:r>
                  <w:r>
                    <w:rPr>
                      <w:b/>
                      <w:sz w:val="20"/>
                    </w:rPr>
                    <w:t>/Postmenstrual Age</w:t>
                  </w:r>
                </w:p>
              </w:tc>
              <w:tc>
                <w:tcPr>
                  <w:tcW w:w="1337"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54EE325E" w14:textId="77777777">
                  <w:pPr>
                    <w:rPr>
                      <w:b/>
                      <w:sz w:val="20"/>
                    </w:rPr>
                  </w:pPr>
                  <w:r w:rsidRPr="001E5BD1">
                    <w:rPr>
                      <w:b/>
                      <w:sz w:val="20"/>
                    </w:rPr>
                    <w:t xml:space="preserve">Dose </w:t>
                  </w:r>
                </w:p>
              </w:tc>
              <w:tc>
                <w:tcPr>
                  <w:tcW w:w="1494"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510F303E" w14:textId="77777777">
                  <w:pPr>
                    <w:rPr>
                      <w:b/>
                      <w:sz w:val="20"/>
                    </w:rPr>
                  </w:pPr>
                  <w:r>
                    <w:rPr>
                      <w:b/>
                      <w:sz w:val="20"/>
                    </w:rPr>
                    <w:t>Interval</w:t>
                  </w:r>
                </w:p>
              </w:tc>
            </w:tr>
            <w:tr w:rsidRPr="001E5BD1" w:rsidR="00622C2C" w:rsidTr="00FE4186" w14:paraId="65066F70" w14:textId="77777777">
              <w:tc>
                <w:tcPr>
                  <w:tcW w:w="2169"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6553970B" w14:textId="77777777">
                  <w:pPr>
                    <w:rPr>
                      <w:sz w:val="20"/>
                    </w:rPr>
                  </w:pPr>
                  <w:r w:rsidRPr="001E5BD1">
                    <w:rPr>
                      <w:sz w:val="20"/>
                    </w:rPr>
                    <w:t>&lt; 30</w:t>
                  </w:r>
                  <w:r w:rsidRPr="001E5BD1">
                    <w:rPr>
                      <w:sz w:val="20"/>
                      <w:vertAlign w:val="superscript"/>
                    </w:rPr>
                    <w:t>+0</w:t>
                  </w:r>
                  <w:r w:rsidRPr="001E5BD1">
                    <w:rPr>
                      <w:sz w:val="20"/>
                    </w:rPr>
                    <w:t xml:space="preserve"> weeks </w:t>
                  </w:r>
                </w:p>
              </w:tc>
              <w:tc>
                <w:tcPr>
                  <w:tcW w:w="1337"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52D671C3" w14:textId="77777777">
                  <w:pPr>
                    <w:rPr>
                      <w:sz w:val="20"/>
                    </w:rPr>
                  </w:pPr>
                  <w:r w:rsidRPr="001E5BD1">
                    <w:rPr>
                      <w:sz w:val="20"/>
                    </w:rPr>
                    <w:t>100 mg/kg/dose</w:t>
                  </w:r>
                </w:p>
              </w:tc>
              <w:tc>
                <w:tcPr>
                  <w:tcW w:w="1494" w:type="pct"/>
                  <w:tcBorders>
                    <w:top w:val="single" w:color="auto" w:sz="4" w:space="0"/>
                    <w:left w:val="single" w:color="auto" w:sz="4" w:space="0"/>
                    <w:bottom w:val="single" w:color="auto" w:sz="4" w:space="0"/>
                    <w:right w:val="single" w:color="auto" w:sz="4" w:space="0"/>
                  </w:tcBorders>
                </w:tcPr>
                <w:p w:rsidRPr="001E5BD1" w:rsidR="00622C2C" w:rsidP="00FE4186" w:rsidRDefault="00622C2C" w14:paraId="07D72DD8" w14:textId="77777777">
                  <w:pPr>
                    <w:rPr>
                      <w:sz w:val="20"/>
                    </w:rPr>
                  </w:pPr>
                  <w:r>
                    <w:rPr>
                      <w:sz w:val="20"/>
                    </w:rPr>
                    <w:t>8 hourly</w:t>
                  </w:r>
                </w:p>
              </w:tc>
            </w:tr>
            <w:tr w:rsidRPr="001E5BD1" w:rsidR="00622C2C" w:rsidTr="00FE4186" w14:paraId="448B7668" w14:textId="77777777">
              <w:tc>
                <w:tcPr>
                  <w:tcW w:w="2169"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42EE0FD4" w14:textId="77777777">
                  <w:pPr>
                    <w:rPr>
                      <w:sz w:val="20"/>
                    </w:rPr>
                  </w:pPr>
                  <w:r w:rsidRPr="001E5BD1">
                    <w:rPr>
                      <w:sz w:val="20"/>
                    </w:rPr>
                    <w:t>30</w:t>
                  </w:r>
                  <w:r w:rsidRPr="001E5BD1">
                    <w:rPr>
                      <w:sz w:val="20"/>
                      <w:vertAlign w:val="superscript"/>
                    </w:rPr>
                    <w:t>+0</w:t>
                  </w:r>
                  <w:r>
                    <w:rPr>
                      <w:sz w:val="20"/>
                    </w:rPr>
                    <w:t>−35</w:t>
                  </w:r>
                  <w:r w:rsidRPr="003E6B29">
                    <w:rPr>
                      <w:sz w:val="20"/>
                      <w:vertAlign w:val="superscript"/>
                    </w:rPr>
                    <w:t>+6</w:t>
                  </w:r>
                  <w:r>
                    <w:rPr>
                      <w:sz w:val="20"/>
                    </w:rPr>
                    <w:t xml:space="preserve"> weeks</w:t>
                  </w:r>
                </w:p>
              </w:tc>
              <w:tc>
                <w:tcPr>
                  <w:tcW w:w="1337"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41E20052" w14:textId="77777777">
                  <w:pPr>
                    <w:rPr>
                      <w:sz w:val="20"/>
                    </w:rPr>
                  </w:pPr>
                  <w:r w:rsidRPr="001E5BD1">
                    <w:rPr>
                      <w:sz w:val="20"/>
                    </w:rPr>
                    <w:t>80 mg /kg/dos</w:t>
                  </w:r>
                  <w:r>
                    <w:rPr>
                      <w:sz w:val="20"/>
                    </w:rPr>
                    <w:t>e</w:t>
                  </w:r>
                </w:p>
              </w:tc>
              <w:tc>
                <w:tcPr>
                  <w:tcW w:w="1494" w:type="pct"/>
                  <w:tcBorders>
                    <w:top w:val="single" w:color="auto" w:sz="4" w:space="0"/>
                    <w:left w:val="single" w:color="auto" w:sz="4" w:space="0"/>
                    <w:bottom w:val="single" w:color="auto" w:sz="4" w:space="0"/>
                    <w:right w:val="single" w:color="auto" w:sz="4" w:space="0"/>
                  </w:tcBorders>
                </w:tcPr>
                <w:p w:rsidRPr="001E5BD1" w:rsidR="00622C2C" w:rsidP="00FE4186" w:rsidRDefault="00622C2C" w14:paraId="16332E7F" w14:textId="77777777">
                  <w:pPr>
                    <w:rPr>
                      <w:sz w:val="20"/>
                    </w:rPr>
                  </w:pPr>
                  <w:r>
                    <w:rPr>
                      <w:sz w:val="20"/>
                    </w:rPr>
                    <w:t>6 hourly</w:t>
                  </w:r>
                </w:p>
              </w:tc>
            </w:tr>
            <w:tr w:rsidRPr="001E5BD1" w:rsidR="00622C2C" w:rsidTr="00FE4186" w14:paraId="1338127E" w14:textId="77777777">
              <w:tc>
                <w:tcPr>
                  <w:tcW w:w="2169" w:type="pct"/>
                  <w:tcBorders>
                    <w:top w:val="single" w:color="auto" w:sz="4" w:space="0"/>
                    <w:left w:val="single" w:color="auto" w:sz="4" w:space="0"/>
                    <w:bottom w:val="single" w:color="auto" w:sz="4" w:space="0"/>
                    <w:right w:val="single" w:color="auto" w:sz="4" w:space="0"/>
                  </w:tcBorders>
                  <w:vAlign w:val="center"/>
                </w:tcPr>
                <w:p w:rsidRPr="003E6B29" w:rsidR="00622C2C" w:rsidP="00FE4186" w:rsidRDefault="00622C2C" w14:paraId="354A5D6E" w14:textId="77777777">
                  <w:pPr>
                    <w:rPr>
                      <w:sz w:val="20"/>
                    </w:rPr>
                  </w:pPr>
                  <w:r>
                    <w:rPr>
                      <w:sz w:val="20"/>
                    </w:rPr>
                    <w:t>≥ 36</w:t>
                  </w:r>
                  <w:r w:rsidRPr="003E6B29">
                    <w:rPr>
                      <w:sz w:val="20"/>
                      <w:vertAlign w:val="superscript"/>
                    </w:rPr>
                    <w:t>+0</w:t>
                  </w:r>
                  <w:r>
                    <w:rPr>
                      <w:sz w:val="20"/>
                    </w:rPr>
                    <w:t xml:space="preserve"> weeks</w:t>
                  </w:r>
                  <w:r w:rsidRPr="00FC22C5">
                    <w:rPr>
                      <w:b/>
                      <w:sz w:val="20"/>
                    </w:rPr>
                    <w:t>*</w:t>
                  </w:r>
                </w:p>
              </w:tc>
              <w:tc>
                <w:tcPr>
                  <w:tcW w:w="1337" w:type="pct"/>
                  <w:tcBorders>
                    <w:top w:val="single" w:color="auto" w:sz="4" w:space="0"/>
                    <w:left w:val="single" w:color="auto" w:sz="4" w:space="0"/>
                    <w:bottom w:val="single" w:color="auto" w:sz="4" w:space="0"/>
                    <w:right w:val="single" w:color="auto" w:sz="4" w:space="0"/>
                  </w:tcBorders>
                  <w:vAlign w:val="center"/>
                </w:tcPr>
                <w:p w:rsidRPr="001E5BD1" w:rsidR="00622C2C" w:rsidP="00FE4186" w:rsidRDefault="00622C2C" w14:paraId="00EF2326" w14:textId="77777777">
                  <w:pPr>
                    <w:rPr>
                      <w:sz w:val="20"/>
                    </w:rPr>
                  </w:pPr>
                  <w:r>
                    <w:rPr>
                      <w:sz w:val="20"/>
                    </w:rPr>
                    <w:t>80 mg/kg/dose</w:t>
                  </w:r>
                </w:p>
              </w:tc>
              <w:tc>
                <w:tcPr>
                  <w:tcW w:w="1494" w:type="pct"/>
                  <w:tcBorders>
                    <w:top w:val="single" w:color="auto" w:sz="4" w:space="0"/>
                    <w:left w:val="single" w:color="auto" w:sz="4" w:space="0"/>
                    <w:bottom w:val="single" w:color="auto" w:sz="4" w:space="0"/>
                    <w:right w:val="single" w:color="auto" w:sz="4" w:space="0"/>
                  </w:tcBorders>
                </w:tcPr>
                <w:p w:rsidR="00622C2C" w:rsidP="00FE4186" w:rsidRDefault="00622C2C" w14:paraId="712428A4" w14:textId="77777777">
                  <w:pPr>
                    <w:rPr>
                      <w:sz w:val="20"/>
                    </w:rPr>
                  </w:pPr>
                  <w:r>
                    <w:rPr>
                      <w:sz w:val="20"/>
                    </w:rPr>
                    <w:t>6 hourly</w:t>
                  </w:r>
                </w:p>
              </w:tc>
            </w:tr>
          </w:tbl>
          <w:p w:rsidR="00622C2C" w:rsidP="00FE4186" w:rsidRDefault="00622C2C" w14:paraId="692A34FA" w14:textId="77777777">
            <w:pPr>
              <w:pStyle w:val="BodyText"/>
              <w:ind w:left="720" w:hanging="720"/>
              <w:rPr>
                <w:rFonts w:cs="Arial"/>
                <w:sz w:val="20"/>
              </w:rPr>
            </w:pPr>
            <w:r w:rsidRPr="00FC22C5">
              <w:rPr>
                <w:rFonts w:cs="Arial"/>
                <w:b/>
                <w:sz w:val="20"/>
              </w:rPr>
              <w:t>*</w:t>
            </w:r>
            <w:r>
              <w:rPr>
                <w:rFonts w:cs="Arial"/>
                <w:sz w:val="20"/>
              </w:rPr>
              <w:t xml:space="preserve">Consider 4 hourly dosing if </w:t>
            </w:r>
            <w:r w:rsidRPr="00FC22C5">
              <w:rPr>
                <w:rFonts w:cs="Arial"/>
                <w:b/>
                <w:sz w:val="20"/>
              </w:rPr>
              <w:t>culture-proven</w:t>
            </w:r>
            <w:r>
              <w:rPr>
                <w:rFonts w:cs="Arial"/>
                <w:sz w:val="20"/>
              </w:rPr>
              <w:t xml:space="preserve"> sepsis in this group</w:t>
            </w:r>
          </w:p>
          <w:p w:rsidR="00622C2C" w:rsidP="00FE4186" w:rsidRDefault="00622C2C" w14:paraId="133F466C" w14:textId="77777777">
            <w:pPr>
              <w:pStyle w:val="BodyText"/>
              <w:ind w:left="720" w:hanging="720"/>
              <w:rPr>
                <w:rFonts w:asciiTheme="minorHAnsi" w:hAnsiTheme="minorHAnsi" w:cstheme="minorHAnsi"/>
                <w:sz w:val="20"/>
              </w:rPr>
            </w:pPr>
          </w:p>
        </w:tc>
      </w:tr>
      <w:tr w:rsidRPr="003B78EA" w:rsidR="00622C2C" w:rsidTr="00FE4186" w14:paraId="3C313F91" w14:textId="77777777">
        <w:trPr>
          <w:trHeight w:val="263"/>
        </w:trPr>
        <w:tc>
          <w:tcPr>
            <w:tcW w:w="882" w:type="pct"/>
          </w:tcPr>
          <w:p w:rsidRPr="003B78EA" w:rsidR="00622C2C" w:rsidP="00FE4186" w:rsidRDefault="00622C2C" w14:paraId="4A9CB2A7"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tc>
        <w:tc>
          <w:tcPr>
            <w:tcW w:w="4118" w:type="pct"/>
          </w:tcPr>
          <w:p w:rsidR="00622C2C" w:rsidP="00FE4186" w:rsidRDefault="00622C2C" w14:paraId="787E8B1A" w14:textId="77777777">
            <w:pPr>
              <w:pStyle w:val="BodyText"/>
              <w:rPr>
                <w:rFonts w:asciiTheme="minorHAnsi" w:hAnsiTheme="minorHAnsi" w:cstheme="minorHAnsi"/>
                <w:sz w:val="20"/>
              </w:rPr>
            </w:pPr>
            <w:r w:rsidRPr="00D54F7E">
              <w:rPr>
                <w:rFonts w:asciiTheme="minorHAnsi" w:hAnsiTheme="minorHAnsi" w:cstheme="minorHAnsi"/>
                <w:b/>
                <w:sz w:val="20"/>
              </w:rPr>
              <w:t>Therapeutic hypothermia</w:t>
            </w:r>
            <w:r>
              <w:rPr>
                <w:rFonts w:asciiTheme="minorHAnsi" w:hAnsiTheme="minorHAnsi" w:cstheme="minorHAnsi"/>
                <w:sz w:val="20"/>
              </w:rPr>
              <w:t xml:space="preserve"> – Evidence is lacking to guide dose adjustment. </w:t>
            </w:r>
          </w:p>
          <w:p w:rsidR="00622C2C" w:rsidP="00FE4186" w:rsidRDefault="00622C2C" w14:paraId="29AB6DDE" w14:textId="77777777">
            <w:pPr>
              <w:pStyle w:val="BodyText"/>
              <w:rPr>
                <w:rFonts w:asciiTheme="minorHAnsi" w:hAnsiTheme="minorHAnsi" w:cstheme="minorHAnsi"/>
                <w:sz w:val="20"/>
              </w:rPr>
            </w:pPr>
            <w:r w:rsidRPr="00D54F7E">
              <w:rPr>
                <w:rFonts w:asciiTheme="minorHAnsi" w:hAnsiTheme="minorHAnsi" w:cstheme="minorHAnsi"/>
                <w:b/>
                <w:sz w:val="20"/>
              </w:rPr>
              <w:t>ECMO</w:t>
            </w:r>
            <w:r>
              <w:rPr>
                <w:rFonts w:asciiTheme="minorHAnsi" w:hAnsiTheme="minorHAnsi" w:cstheme="minorHAnsi"/>
                <w:sz w:val="20"/>
              </w:rPr>
              <w:t xml:space="preserve"> – </w:t>
            </w:r>
            <w:r w:rsidRPr="00D54F7E">
              <w:rPr>
                <w:rFonts w:asciiTheme="minorHAnsi" w:hAnsiTheme="minorHAnsi" w:cstheme="minorHAnsi"/>
                <w:sz w:val="20"/>
              </w:rPr>
              <w:t xml:space="preserve">While standard dosing may be adequate for susceptible organisms, </w:t>
            </w:r>
            <w:r>
              <w:rPr>
                <w:rFonts w:asciiTheme="minorHAnsi" w:hAnsiTheme="minorHAnsi" w:cstheme="minorHAnsi"/>
                <w:sz w:val="20"/>
              </w:rPr>
              <w:t xml:space="preserve">studies in adults have shown poor PK target attainment for the directed therapy of </w:t>
            </w:r>
            <w:r w:rsidRPr="00A6060F">
              <w:rPr>
                <w:rFonts w:asciiTheme="minorHAnsi" w:hAnsiTheme="minorHAnsi" w:cstheme="minorHAnsi"/>
                <w:i/>
                <w:sz w:val="20"/>
              </w:rPr>
              <w:t>Pseudomonas aeruginosa</w:t>
            </w:r>
            <w:r>
              <w:rPr>
                <w:rFonts w:asciiTheme="minorHAnsi" w:hAnsiTheme="minorHAnsi" w:cstheme="minorHAnsi"/>
                <w:sz w:val="20"/>
              </w:rPr>
              <w:t>. Seek infectious diseases consultant advice</w:t>
            </w:r>
            <w:r>
              <w:rPr>
                <w:rFonts w:asciiTheme="minorHAnsi" w:hAnsiTheme="minorHAnsi" w:cstheme="minorHAnsi"/>
                <w:noProof/>
                <w:sz w:val="20"/>
              </w:rPr>
              <w:t>(5, 6)</w:t>
            </w:r>
          </w:p>
          <w:p w:rsidR="00622C2C" w:rsidP="00FE4186" w:rsidRDefault="00622C2C" w14:paraId="30A29638" w14:textId="77777777">
            <w:pPr>
              <w:pStyle w:val="BodyText"/>
              <w:rPr>
                <w:rFonts w:asciiTheme="minorHAnsi" w:hAnsiTheme="minorHAnsi" w:cstheme="minorHAnsi"/>
                <w:sz w:val="20"/>
              </w:rPr>
            </w:pPr>
            <w:r w:rsidRPr="00D54F7E">
              <w:rPr>
                <w:rFonts w:asciiTheme="minorHAnsi" w:hAnsiTheme="minorHAnsi" w:cstheme="minorHAnsi"/>
                <w:b/>
                <w:sz w:val="20"/>
              </w:rPr>
              <w:t>Renal impairment</w:t>
            </w:r>
            <w:r>
              <w:rPr>
                <w:rFonts w:asciiTheme="minorHAnsi" w:hAnsiTheme="minorHAnsi" w:cstheme="minorHAnsi"/>
                <w:sz w:val="20"/>
              </w:rPr>
              <w:t xml:space="preserve"> – U</w:t>
            </w:r>
            <w:r w:rsidRPr="008D6838">
              <w:rPr>
                <w:rFonts w:asciiTheme="minorHAnsi" w:hAnsiTheme="minorHAnsi" w:cstheme="minorHAnsi"/>
                <w:sz w:val="20"/>
              </w:rPr>
              <w:t xml:space="preserve">se with </w:t>
            </w:r>
            <w:r>
              <w:rPr>
                <w:rFonts w:asciiTheme="minorHAnsi" w:hAnsiTheme="minorHAnsi" w:cstheme="minorHAnsi"/>
                <w:sz w:val="20"/>
              </w:rPr>
              <w:t xml:space="preserve">caution. </w:t>
            </w:r>
            <w:r w:rsidRPr="008D6838">
              <w:rPr>
                <w:rFonts w:asciiTheme="minorHAnsi" w:hAnsiTheme="minorHAnsi" w:cstheme="minorHAnsi"/>
                <w:sz w:val="20"/>
              </w:rPr>
              <w:t>Co</w:t>
            </w:r>
            <w:r>
              <w:rPr>
                <w:rFonts w:asciiTheme="minorHAnsi" w:hAnsiTheme="minorHAnsi" w:cstheme="minorHAnsi"/>
                <w:sz w:val="20"/>
              </w:rPr>
              <w:t xml:space="preserve">ncurrent use with </w:t>
            </w:r>
            <w:r w:rsidRPr="008D6838">
              <w:rPr>
                <w:rFonts w:asciiTheme="minorHAnsi" w:hAnsiTheme="minorHAnsi" w:cstheme="minorHAnsi"/>
                <w:sz w:val="20"/>
              </w:rPr>
              <w:t xml:space="preserve">vancomycin </w:t>
            </w:r>
            <w:r>
              <w:rPr>
                <w:rFonts w:asciiTheme="minorHAnsi" w:hAnsiTheme="minorHAnsi" w:cstheme="minorHAnsi"/>
                <w:sz w:val="20"/>
              </w:rPr>
              <w:t>has been suggested to be</w:t>
            </w:r>
            <w:r w:rsidRPr="008D6838">
              <w:rPr>
                <w:rFonts w:asciiTheme="minorHAnsi" w:hAnsiTheme="minorHAnsi" w:cstheme="minorHAnsi"/>
                <w:sz w:val="20"/>
              </w:rPr>
              <w:t xml:space="preserve"> associated with an increased incidence of acute kidney injury</w:t>
            </w:r>
            <w:r>
              <w:rPr>
                <w:rFonts w:asciiTheme="minorHAnsi" w:hAnsiTheme="minorHAnsi" w:cstheme="minorHAnsi"/>
                <w:sz w:val="20"/>
              </w:rPr>
              <w:t xml:space="preserve"> in adults and children but unclear in neonates. </w:t>
            </w:r>
            <w:r>
              <w:rPr>
                <w:rFonts w:asciiTheme="minorHAnsi" w:hAnsiTheme="minorHAnsi" w:cstheme="minorHAnsi"/>
                <w:noProof/>
                <w:sz w:val="20"/>
              </w:rPr>
              <w:t>(7-11)</w:t>
            </w:r>
          </w:p>
          <w:p w:rsidRPr="003B78EA" w:rsidR="00622C2C" w:rsidP="00FE4186" w:rsidRDefault="00622C2C" w14:paraId="6869C180" w14:textId="77777777">
            <w:pPr>
              <w:pStyle w:val="BodyText"/>
              <w:rPr>
                <w:rFonts w:asciiTheme="minorHAnsi" w:hAnsiTheme="minorHAnsi" w:cstheme="minorHAnsi"/>
                <w:sz w:val="20"/>
              </w:rPr>
            </w:pPr>
            <w:r w:rsidRPr="00D54F7E">
              <w:rPr>
                <w:rFonts w:asciiTheme="minorHAnsi" w:hAnsiTheme="minorHAnsi" w:cstheme="minorHAnsi"/>
                <w:b/>
                <w:sz w:val="20"/>
              </w:rPr>
              <w:t>Hepatic impairment</w:t>
            </w:r>
            <w:r>
              <w:rPr>
                <w:rFonts w:asciiTheme="minorHAnsi" w:hAnsiTheme="minorHAnsi" w:cstheme="minorHAnsi"/>
                <w:sz w:val="20"/>
              </w:rPr>
              <w:t xml:space="preserve"> – No dose adjustment is required.</w:t>
            </w:r>
          </w:p>
        </w:tc>
      </w:tr>
      <w:tr w:rsidRPr="003B78EA" w:rsidR="00622C2C" w:rsidTr="00FE4186" w14:paraId="45599545" w14:textId="77777777">
        <w:trPr>
          <w:trHeight w:val="263"/>
        </w:trPr>
        <w:tc>
          <w:tcPr>
            <w:tcW w:w="882" w:type="pct"/>
          </w:tcPr>
          <w:p w:rsidRPr="003B78EA" w:rsidR="00622C2C" w:rsidP="00FE4186" w:rsidRDefault="00622C2C" w14:paraId="48605F03"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4118" w:type="pct"/>
          </w:tcPr>
          <w:p w:rsidRPr="003B78EA" w:rsidR="00622C2C" w:rsidP="00FE4186" w:rsidRDefault="00622C2C" w14:paraId="3429DEEA" w14:textId="77777777">
            <w:pPr>
              <w:pStyle w:val="BodyText"/>
              <w:rPr>
                <w:rFonts w:asciiTheme="minorHAnsi" w:hAnsiTheme="minorHAnsi" w:cstheme="minorHAnsi"/>
                <w:sz w:val="20"/>
              </w:rPr>
            </w:pPr>
          </w:p>
        </w:tc>
      </w:tr>
      <w:tr w:rsidRPr="003B78EA" w:rsidR="00622C2C" w:rsidTr="00FE4186" w14:paraId="7B8813CC" w14:textId="77777777">
        <w:trPr>
          <w:trHeight w:val="263"/>
        </w:trPr>
        <w:tc>
          <w:tcPr>
            <w:tcW w:w="882" w:type="pct"/>
          </w:tcPr>
          <w:p w:rsidRPr="003B78EA" w:rsidR="00622C2C" w:rsidP="00FE4186" w:rsidRDefault="00622C2C" w14:paraId="18C03EE0"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4118" w:type="pct"/>
          </w:tcPr>
          <w:p w:rsidRPr="003B78EA" w:rsidR="00622C2C" w:rsidP="00FE4186" w:rsidRDefault="00622C2C" w14:paraId="2238E3CE" w14:textId="77777777">
            <w:pPr>
              <w:pStyle w:val="BodyText"/>
              <w:rPr>
                <w:rFonts w:asciiTheme="minorHAnsi" w:hAnsiTheme="minorHAnsi" w:cstheme="minorHAnsi"/>
                <w:b/>
                <w:sz w:val="20"/>
              </w:rPr>
            </w:pPr>
          </w:p>
        </w:tc>
      </w:tr>
      <w:tr w:rsidRPr="003B78EA" w:rsidR="00622C2C" w:rsidTr="00FE4186" w14:paraId="41CD864B" w14:textId="77777777">
        <w:trPr>
          <w:trHeight w:val="263"/>
        </w:trPr>
        <w:tc>
          <w:tcPr>
            <w:tcW w:w="882" w:type="pct"/>
          </w:tcPr>
          <w:p w:rsidRPr="003B78EA" w:rsidR="00622C2C" w:rsidP="00FE4186" w:rsidRDefault="00622C2C" w14:paraId="2E6C81A1" w14:textId="77777777">
            <w:pPr>
              <w:pStyle w:val="BodyText"/>
              <w:rPr>
                <w:rFonts w:asciiTheme="minorHAnsi" w:hAnsiTheme="minorHAnsi" w:cstheme="minorHAnsi"/>
                <w:sz w:val="20"/>
              </w:rPr>
            </w:pPr>
            <w:r w:rsidRPr="003B78EA">
              <w:rPr>
                <w:rFonts w:asciiTheme="minorHAnsi" w:hAnsiTheme="minorHAnsi" w:cstheme="minorHAnsi"/>
                <w:b/>
                <w:bCs/>
                <w:sz w:val="20"/>
              </w:rPr>
              <w:t>Route</w:t>
            </w:r>
          </w:p>
        </w:tc>
        <w:tc>
          <w:tcPr>
            <w:tcW w:w="4118" w:type="pct"/>
          </w:tcPr>
          <w:p w:rsidRPr="003B78EA" w:rsidR="00622C2C" w:rsidP="00FE4186" w:rsidRDefault="00622C2C" w14:paraId="13B5D588" w14:textId="77777777">
            <w:pPr>
              <w:pStyle w:val="BodyText"/>
              <w:rPr>
                <w:rFonts w:asciiTheme="minorHAnsi" w:hAnsiTheme="minorHAnsi" w:cstheme="minorHAnsi"/>
                <w:sz w:val="20"/>
              </w:rPr>
            </w:pPr>
            <w:r w:rsidRPr="003D0E86">
              <w:rPr>
                <w:rFonts w:cs="Arial"/>
                <w:sz w:val="20"/>
              </w:rPr>
              <w:t>IV</w:t>
            </w:r>
          </w:p>
        </w:tc>
      </w:tr>
      <w:tr w:rsidRPr="003B78EA" w:rsidR="00622C2C" w:rsidTr="00FE4186" w14:paraId="1C3B4BBF" w14:textId="77777777">
        <w:trPr>
          <w:trHeight w:val="263"/>
        </w:trPr>
        <w:tc>
          <w:tcPr>
            <w:tcW w:w="882" w:type="pct"/>
          </w:tcPr>
          <w:p w:rsidRPr="003B78EA" w:rsidR="00622C2C" w:rsidP="00FE4186" w:rsidRDefault="00622C2C" w14:paraId="04A5B474"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p>
        </w:tc>
        <w:tc>
          <w:tcPr>
            <w:tcW w:w="4118" w:type="pct"/>
          </w:tcPr>
          <w:p w:rsidR="00622C2C" w:rsidP="00FE4186" w:rsidRDefault="00622C2C" w14:paraId="64088B5F" w14:textId="77777777">
            <w:pPr>
              <w:widowControl w:val="0"/>
              <w:autoSpaceDE w:val="0"/>
              <w:autoSpaceDN w:val="0"/>
              <w:adjustRightInd w:val="0"/>
              <w:rPr>
                <w:color w:val="000000"/>
                <w:sz w:val="20"/>
                <w:lang w:val="en-US"/>
              </w:rPr>
            </w:pPr>
            <w:r w:rsidRPr="00410C06">
              <w:rPr>
                <w:color w:val="000000"/>
                <w:sz w:val="20"/>
                <w:lang w:val="en-US"/>
              </w:rPr>
              <w:t xml:space="preserve">Add 17 mL </w:t>
            </w:r>
            <w:r>
              <w:rPr>
                <w:color w:val="000000"/>
                <w:sz w:val="20"/>
                <w:lang w:val="en-US"/>
              </w:rPr>
              <w:t>water for injection</w:t>
            </w:r>
            <w:r w:rsidRPr="00410C06">
              <w:rPr>
                <w:color w:val="000000"/>
                <w:sz w:val="20"/>
                <w:lang w:val="en-US"/>
              </w:rPr>
              <w:t xml:space="preserve"> to the 4.</w:t>
            </w:r>
            <w:r>
              <w:rPr>
                <w:color w:val="000000"/>
                <w:sz w:val="20"/>
                <w:lang w:val="en-US"/>
              </w:rPr>
              <w:t>5 g vial</w:t>
            </w:r>
            <w:r w:rsidRPr="00410C06">
              <w:rPr>
                <w:color w:val="000000"/>
                <w:sz w:val="20"/>
                <w:lang w:val="en-US"/>
              </w:rPr>
              <w:t xml:space="preserve"> to make a concentration of 200 mg/mL of piperacillin</w:t>
            </w:r>
            <w:r>
              <w:rPr>
                <w:color w:val="000000"/>
                <w:sz w:val="20"/>
                <w:lang w:val="en-US"/>
              </w:rPr>
              <w:t xml:space="preserve"> equivalent solution.</w:t>
            </w:r>
          </w:p>
          <w:p w:rsidRPr="00BE6740" w:rsidR="00622C2C" w:rsidP="00FE4186" w:rsidRDefault="00622C2C" w14:paraId="36D7B56C" w14:textId="77777777">
            <w:pPr>
              <w:widowControl w:val="0"/>
              <w:autoSpaceDE w:val="0"/>
              <w:autoSpaceDN w:val="0"/>
              <w:adjustRightInd w:val="0"/>
              <w:rPr>
                <w:b/>
                <w:color w:val="000000"/>
                <w:sz w:val="20"/>
                <w:lang w:val="en-US"/>
              </w:rPr>
            </w:pPr>
            <w:r w:rsidRPr="00BE6740">
              <w:rPr>
                <w:b/>
                <w:color w:val="000000"/>
                <w:sz w:val="20"/>
                <w:lang w:val="en-US"/>
              </w:rPr>
              <w:t>FURTHER DILUTE</w:t>
            </w:r>
          </w:p>
          <w:p w:rsidRPr="003B78EA" w:rsidR="00622C2C" w:rsidP="00FE4186" w:rsidRDefault="00622C2C" w14:paraId="0C57B805" w14:textId="77777777">
            <w:pPr>
              <w:pStyle w:val="BodyText"/>
              <w:rPr>
                <w:rFonts w:asciiTheme="minorHAnsi" w:hAnsiTheme="minorHAnsi" w:cstheme="minorHAnsi"/>
                <w:sz w:val="20"/>
              </w:rPr>
            </w:pPr>
            <w:r w:rsidRPr="00410C06">
              <w:rPr>
                <w:color w:val="000000"/>
                <w:sz w:val="20"/>
                <w:lang w:val="en-US"/>
              </w:rPr>
              <w:t xml:space="preserve">Draw up </w:t>
            </w:r>
            <w:r>
              <w:rPr>
                <w:color w:val="000000"/>
                <w:sz w:val="20"/>
                <w:lang w:val="en-US"/>
              </w:rPr>
              <w:t>2</w:t>
            </w:r>
            <w:r w:rsidRPr="00410C06">
              <w:rPr>
                <w:color w:val="000000"/>
                <w:sz w:val="20"/>
                <w:lang w:val="en-US"/>
              </w:rPr>
              <w:t xml:space="preserve"> mL (</w:t>
            </w:r>
            <w:r>
              <w:rPr>
                <w:color w:val="000000"/>
                <w:sz w:val="20"/>
                <w:lang w:val="en-US"/>
              </w:rPr>
              <w:t>4</w:t>
            </w:r>
            <w:r w:rsidRPr="00410C06">
              <w:rPr>
                <w:color w:val="000000"/>
                <w:sz w:val="20"/>
                <w:lang w:val="en-US"/>
              </w:rPr>
              <w:t>00</w:t>
            </w:r>
            <w:r>
              <w:rPr>
                <w:color w:val="000000"/>
                <w:sz w:val="20"/>
                <w:lang w:val="en-US"/>
              </w:rPr>
              <w:t xml:space="preserve"> </w:t>
            </w:r>
            <w:r w:rsidRPr="00410C06">
              <w:rPr>
                <w:color w:val="000000"/>
                <w:sz w:val="20"/>
                <w:lang w:val="en-US"/>
              </w:rPr>
              <w:t>mg of piperacillin</w:t>
            </w:r>
            <w:r>
              <w:rPr>
                <w:color w:val="000000"/>
                <w:sz w:val="20"/>
                <w:lang w:val="en-US"/>
              </w:rPr>
              <w:t xml:space="preserve"> equivalent</w:t>
            </w:r>
            <w:r w:rsidRPr="00410C06">
              <w:rPr>
                <w:color w:val="000000"/>
                <w:sz w:val="20"/>
                <w:lang w:val="en-US"/>
              </w:rPr>
              <w:t xml:space="preserve">) and add </w:t>
            </w:r>
            <w:r>
              <w:rPr>
                <w:color w:val="000000"/>
                <w:sz w:val="20"/>
                <w:lang w:val="en-US"/>
              </w:rPr>
              <w:t>8</w:t>
            </w:r>
            <w:r w:rsidRPr="00410C06">
              <w:rPr>
                <w:color w:val="000000"/>
                <w:sz w:val="20"/>
                <w:lang w:val="en-US"/>
              </w:rPr>
              <w:t xml:space="preserve"> mL of sodium chloride 0.9% to make a final volume of </w:t>
            </w:r>
            <w:r>
              <w:rPr>
                <w:color w:val="000000"/>
                <w:sz w:val="20"/>
                <w:lang w:val="en-US"/>
              </w:rPr>
              <w:t>1</w:t>
            </w:r>
            <w:r w:rsidRPr="00410C06">
              <w:rPr>
                <w:color w:val="000000"/>
                <w:sz w:val="20"/>
                <w:lang w:val="en-US"/>
              </w:rPr>
              <w:t xml:space="preserve">0 mL with a </w:t>
            </w:r>
            <w:r>
              <w:rPr>
                <w:color w:val="000000"/>
                <w:sz w:val="20"/>
                <w:lang w:val="en-US"/>
              </w:rPr>
              <w:t xml:space="preserve">final </w:t>
            </w:r>
            <w:r w:rsidRPr="00410C06">
              <w:rPr>
                <w:color w:val="000000"/>
                <w:sz w:val="20"/>
                <w:lang w:val="en-US"/>
              </w:rPr>
              <w:t xml:space="preserve">concentration of </w:t>
            </w:r>
            <w:r>
              <w:rPr>
                <w:color w:val="000000"/>
                <w:sz w:val="20"/>
                <w:lang w:val="en-US"/>
              </w:rPr>
              <w:t>4</w:t>
            </w:r>
            <w:r w:rsidRPr="00410C06">
              <w:rPr>
                <w:color w:val="000000"/>
                <w:sz w:val="20"/>
                <w:lang w:val="en-US"/>
              </w:rPr>
              <w:t>0 mg/mL of piperacillin</w:t>
            </w:r>
            <w:r>
              <w:rPr>
                <w:color w:val="000000"/>
                <w:sz w:val="20"/>
                <w:lang w:val="en-US"/>
              </w:rPr>
              <w:t xml:space="preserve"> equivalent.</w:t>
            </w:r>
            <w:r w:rsidRPr="00410C06">
              <w:rPr>
                <w:color w:val="000000"/>
                <w:sz w:val="20"/>
                <w:lang w:val="en-US"/>
              </w:rPr>
              <w:t xml:space="preserve"> </w:t>
            </w:r>
          </w:p>
        </w:tc>
      </w:tr>
      <w:tr w:rsidRPr="003B78EA" w:rsidR="00622C2C" w:rsidTr="00FE4186" w14:paraId="5CC32D48" w14:textId="77777777">
        <w:trPr>
          <w:trHeight w:val="263"/>
        </w:trPr>
        <w:tc>
          <w:tcPr>
            <w:tcW w:w="882" w:type="pct"/>
          </w:tcPr>
          <w:p w:rsidRPr="003B78EA" w:rsidR="00622C2C" w:rsidP="00FE4186" w:rsidRDefault="00622C2C" w14:paraId="29D58D25" w14:textId="77777777">
            <w:pPr>
              <w:pStyle w:val="BodyText"/>
              <w:rPr>
                <w:rFonts w:asciiTheme="minorHAnsi" w:hAnsiTheme="minorHAnsi" w:cstheme="minorHAnsi"/>
                <w:b/>
                <w:bCs/>
                <w:sz w:val="20"/>
              </w:rPr>
            </w:pPr>
            <w:r w:rsidRPr="003B78EA">
              <w:rPr>
                <w:rFonts w:asciiTheme="minorHAnsi" w:hAnsiTheme="minorHAnsi" w:cstheme="minorHAnsi"/>
                <w:b/>
                <w:bCs/>
                <w:sz w:val="20"/>
              </w:rPr>
              <w:t>Administration</w:t>
            </w:r>
          </w:p>
        </w:tc>
        <w:tc>
          <w:tcPr>
            <w:tcW w:w="4118" w:type="pct"/>
          </w:tcPr>
          <w:p w:rsidRPr="003B78EA" w:rsidR="00622C2C" w:rsidP="00FE4186" w:rsidRDefault="00622C2C" w14:paraId="0094851C" w14:textId="77777777">
            <w:pPr>
              <w:pStyle w:val="BodyText"/>
              <w:rPr>
                <w:rFonts w:asciiTheme="minorHAnsi" w:hAnsiTheme="minorHAnsi" w:cstheme="minorHAnsi"/>
                <w:sz w:val="20"/>
              </w:rPr>
            </w:pPr>
            <w:r w:rsidRPr="001E5BD1">
              <w:rPr>
                <w:rFonts w:cs="Arial"/>
                <w:sz w:val="20"/>
              </w:rPr>
              <w:t>IV infusion</w:t>
            </w:r>
            <w:r>
              <w:rPr>
                <w:rFonts w:cs="Arial"/>
                <w:sz w:val="20"/>
              </w:rPr>
              <w:t xml:space="preserve"> over 30 minutes. </w:t>
            </w:r>
            <w:r>
              <w:rPr>
                <w:rFonts w:cs="Arial"/>
                <w:noProof/>
                <w:sz w:val="20"/>
              </w:rPr>
              <w:t>(3)</w:t>
            </w:r>
          </w:p>
        </w:tc>
      </w:tr>
      <w:tr w:rsidRPr="007F4B77" w:rsidR="00622C2C" w:rsidTr="00FE4186" w14:paraId="60F59FB5" w14:textId="77777777">
        <w:trPr>
          <w:trHeight w:val="263"/>
        </w:trPr>
        <w:tc>
          <w:tcPr>
            <w:tcW w:w="882" w:type="pct"/>
          </w:tcPr>
          <w:p w:rsidRPr="003B78EA" w:rsidR="00622C2C" w:rsidP="00FE4186" w:rsidRDefault="00622C2C" w14:paraId="46AD0025" w14:textId="77777777">
            <w:pPr>
              <w:pStyle w:val="BodyText"/>
              <w:rPr>
                <w:rFonts w:asciiTheme="minorHAnsi" w:hAnsiTheme="minorHAnsi" w:cstheme="minorHAnsi"/>
                <w:b/>
                <w:bCs/>
                <w:sz w:val="20"/>
              </w:rPr>
            </w:pPr>
            <w:r w:rsidRPr="003B78EA">
              <w:rPr>
                <w:rFonts w:asciiTheme="minorHAnsi" w:hAnsiTheme="minorHAnsi" w:cstheme="minorHAnsi"/>
                <w:b/>
                <w:bCs/>
                <w:sz w:val="20"/>
              </w:rPr>
              <w:t>Monitoring</w:t>
            </w:r>
          </w:p>
        </w:tc>
        <w:tc>
          <w:tcPr>
            <w:tcW w:w="4118" w:type="pct"/>
          </w:tcPr>
          <w:p w:rsidRPr="007F4B77" w:rsidR="00622C2C" w:rsidP="00FE4186" w:rsidRDefault="00622C2C" w14:paraId="75EB5A57" w14:textId="77777777">
            <w:pPr>
              <w:pStyle w:val="BodyText"/>
              <w:rPr>
                <w:rFonts w:asciiTheme="minorHAnsi" w:hAnsiTheme="minorHAnsi" w:cstheme="minorHAnsi"/>
                <w:sz w:val="20"/>
              </w:rPr>
            </w:pPr>
            <w:r>
              <w:rPr>
                <w:rFonts w:cs="Arial"/>
                <w:sz w:val="20"/>
              </w:rPr>
              <w:t>C</w:t>
            </w:r>
            <w:r w:rsidRPr="001E5BD1">
              <w:rPr>
                <w:rFonts w:cs="Arial"/>
                <w:sz w:val="20"/>
              </w:rPr>
              <w:t>omplete blood count</w:t>
            </w:r>
            <w:r>
              <w:rPr>
                <w:rFonts w:cs="Arial"/>
                <w:sz w:val="20"/>
              </w:rPr>
              <w:t>,</w:t>
            </w:r>
            <w:r w:rsidRPr="001E5BD1">
              <w:rPr>
                <w:rFonts w:cs="Arial"/>
                <w:sz w:val="20"/>
              </w:rPr>
              <w:t xml:space="preserve"> </w:t>
            </w:r>
            <w:r>
              <w:rPr>
                <w:rFonts w:cs="Arial"/>
                <w:sz w:val="20"/>
              </w:rPr>
              <w:t xml:space="preserve">electrolytes, </w:t>
            </w:r>
            <w:r w:rsidRPr="001E5BD1">
              <w:rPr>
                <w:rFonts w:cs="Arial"/>
                <w:sz w:val="20"/>
              </w:rPr>
              <w:t>renal and hepatic function during prolonged treatment (&gt;</w:t>
            </w:r>
            <w:r>
              <w:rPr>
                <w:rFonts w:cs="Arial"/>
                <w:sz w:val="20"/>
              </w:rPr>
              <w:t xml:space="preserve"> </w:t>
            </w:r>
            <w:r w:rsidRPr="001E5BD1">
              <w:rPr>
                <w:rFonts w:cs="Arial"/>
                <w:sz w:val="20"/>
              </w:rPr>
              <w:t>10 days)</w:t>
            </w:r>
            <w:r>
              <w:rPr>
                <w:rFonts w:cs="Arial"/>
                <w:sz w:val="20"/>
              </w:rPr>
              <w:t>.</w:t>
            </w:r>
          </w:p>
        </w:tc>
      </w:tr>
      <w:tr w:rsidRPr="003B78EA" w:rsidR="00622C2C" w:rsidTr="00FE4186" w14:paraId="6087229B" w14:textId="77777777">
        <w:trPr>
          <w:trHeight w:val="263"/>
        </w:trPr>
        <w:tc>
          <w:tcPr>
            <w:tcW w:w="882" w:type="pct"/>
          </w:tcPr>
          <w:p w:rsidRPr="003B78EA" w:rsidR="00622C2C" w:rsidP="00FE4186" w:rsidRDefault="00622C2C" w14:paraId="49FCD65E" w14:textId="77777777">
            <w:pPr>
              <w:pStyle w:val="BodyText"/>
              <w:rPr>
                <w:rFonts w:asciiTheme="minorHAnsi" w:hAnsiTheme="minorHAnsi" w:cstheme="minorHAnsi"/>
                <w:b/>
                <w:bCs/>
                <w:sz w:val="20"/>
              </w:rPr>
            </w:pPr>
            <w:r w:rsidRPr="003B78EA">
              <w:rPr>
                <w:rFonts w:asciiTheme="minorHAnsi" w:hAnsiTheme="minorHAnsi" w:cstheme="minorHAnsi"/>
                <w:b/>
                <w:bCs/>
                <w:sz w:val="20"/>
              </w:rPr>
              <w:t>Contraindications</w:t>
            </w:r>
          </w:p>
        </w:tc>
        <w:tc>
          <w:tcPr>
            <w:tcW w:w="4118" w:type="pct"/>
          </w:tcPr>
          <w:p w:rsidRPr="003B78EA" w:rsidR="00622C2C" w:rsidP="00FE4186" w:rsidRDefault="00622C2C" w14:paraId="03B8B868" w14:textId="77777777">
            <w:pPr>
              <w:pStyle w:val="BodyText"/>
              <w:rPr>
                <w:rFonts w:asciiTheme="minorHAnsi" w:hAnsiTheme="minorHAnsi" w:cstheme="minorHAnsi"/>
                <w:sz w:val="20"/>
              </w:rPr>
            </w:pPr>
            <w:r>
              <w:rPr>
                <w:rFonts w:cs="Arial"/>
                <w:sz w:val="20"/>
                <w:lang w:val="en-US"/>
              </w:rPr>
              <w:t>Hypersensitivity to</w:t>
            </w:r>
            <w:r w:rsidRPr="001E5BD1">
              <w:rPr>
                <w:rFonts w:cs="Arial"/>
                <w:sz w:val="20"/>
                <w:lang w:val="en-US"/>
              </w:rPr>
              <w:t xml:space="preserve"> any of the penicillins and/or cephalosporins or beta-lactamase inhibitors.</w:t>
            </w:r>
          </w:p>
        </w:tc>
      </w:tr>
      <w:tr w:rsidR="00622C2C" w:rsidTr="00FE4186" w14:paraId="0790158B" w14:textId="77777777">
        <w:trPr>
          <w:trHeight w:val="263"/>
        </w:trPr>
        <w:tc>
          <w:tcPr>
            <w:tcW w:w="882" w:type="pct"/>
          </w:tcPr>
          <w:p w:rsidRPr="003B78EA" w:rsidR="00622C2C" w:rsidP="00FE4186" w:rsidRDefault="00622C2C" w14:paraId="3B477052" w14:textId="77777777">
            <w:pPr>
              <w:pStyle w:val="BodyText"/>
              <w:rPr>
                <w:rFonts w:asciiTheme="minorHAnsi" w:hAnsiTheme="minorHAnsi" w:cstheme="minorHAnsi"/>
                <w:b/>
                <w:bCs/>
                <w:sz w:val="20"/>
              </w:rPr>
            </w:pPr>
            <w:r w:rsidRPr="003B78EA">
              <w:rPr>
                <w:rFonts w:asciiTheme="minorHAnsi" w:hAnsiTheme="minorHAnsi" w:cstheme="minorHAnsi"/>
                <w:sz w:val="20"/>
              </w:rPr>
              <w:lastRenderedPageBreak/>
              <w:br w:type="page"/>
            </w:r>
            <w:r w:rsidRPr="003B78EA">
              <w:rPr>
                <w:rFonts w:asciiTheme="minorHAnsi" w:hAnsiTheme="minorHAnsi" w:cstheme="minorHAnsi"/>
                <w:b/>
                <w:bCs/>
                <w:sz w:val="20"/>
              </w:rPr>
              <w:t>Precautions</w:t>
            </w:r>
          </w:p>
        </w:tc>
        <w:tc>
          <w:tcPr>
            <w:tcW w:w="4118" w:type="pct"/>
          </w:tcPr>
          <w:p w:rsidR="00622C2C" w:rsidP="00FE4186" w:rsidRDefault="00622C2C" w14:paraId="3EACD5BA" w14:textId="77777777">
            <w:r>
              <w:rPr>
                <w:sz w:val="20"/>
              </w:rPr>
              <w:t xml:space="preserve">Prolonged therapy increases risk of </w:t>
            </w:r>
            <w:r w:rsidRPr="001E5BD1">
              <w:rPr>
                <w:sz w:val="20"/>
              </w:rPr>
              <w:t>leucopenia</w:t>
            </w:r>
            <w:r>
              <w:rPr>
                <w:sz w:val="20"/>
              </w:rPr>
              <w:t xml:space="preserve">, </w:t>
            </w:r>
            <w:r w:rsidRPr="001E5BD1">
              <w:rPr>
                <w:sz w:val="20"/>
              </w:rPr>
              <w:t>neutropenia</w:t>
            </w:r>
            <w:r>
              <w:rPr>
                <w:sz w:val="20"/>
              </w:rPr>
              <w:t xml:space="preserve"> and thrombocytopenia. </w:t>
            </w:r>
            <w:r w:rsidRPr="00574738">
              <w:rPr>
                <w:sz w:val="20"/>
              </w:rPr>
              <w:t>High doses may lead to hypernatraemia (owing to sodium content of preparations</w:t>
            </w:r>
            <w:r>
              <w:rPr>
                <w:sz w:val="20"/>
              </w:rPr>
              <w:t xml:space="preserve">) </w:t>
            </w:r>
            <w:r>
              <w:rPr>
                <w:noProof/>
                <w:sz w:val="20"/>
              </w:rPr>
              <w:t>(12)</w:t>
            </w:r>
          </w:p>
        </w:tc>
      </w:tr>
      <w:tr w:rsidR="00622C2C" w:rsidTr="00FE4186" w14:paraId="5903710E" w14:textId="77777777">
        <w:trPr>
          <w:trHeight w:val="263"/>
        </w:trPr>
        <w:tc>
          <w:tcPr>
            <w:tcW w:w="882" w:type="pct"/>
          </w:tcPr>
          <w:p w:rsidRPr="003B78EA" w:rsidR="00622C2C" w:rsidP="00FE4186" w:rsidRDefault="00622C2C" w14:paraId="3D972839"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4118" w:type="pct"/>
          </w:tcPr>
          <w:p w:rsidR="00622C2C" w:rsidP="00FE4186" w:rsidRDefault="00622C2C" w14:paraId="6AEEEB6B" w14:textId="77777777">
            <w:pPr>
              <w:rPr>
                <w:rFonts w:cs="Arial"/>
                <w:sz w:val="20"/>
              </w:rPr>
            </w:pPr>
            <w:r>
              <w:rPr>
                <w:rFonts w:cs="Arial"/>
                <w:sz w:val="20"/>
              </w:rPr>
              <w:t>M</w:t>
            </w:r>
            <w:r w:rsidRPr="00B654D4">
              <w:rPr>
                <w:rFonts w:cs="Arial"/>
                <w:sz w:val="20"/>
              </w:rPr>
              <w:t xml:space="preserve">ay </w:t>
            </w:r>
            <w:r>
              <w:rPr>
                <w:rFonts w:cs="Arial"/>
                <w:sz w:val="20"/>
              </w:rPr>
              <w:t>potentially:</w:t>
            </w:r>
          </w:p>
          <w:p w:rsidRPr="00BE6740" w:rsidR="00622C2C" w:rsidP="001B0E05" w:rsidRDefault="00622C2C" w14:paraId="6ACA6A78" w14:textId="77777777">
            <w:pPr>
              <w:pStyle w:val="ListParagraph"/>
              <w:numPr>
                <w:ilvl w:val="0"/>
                <w:numId w:val="120"/>
              </w:numPr>
              <w:ind w:left="284" w:hanging="284"/>
              <w:rPr>
                <w:sz w:val="20"/>
              </w:rPr>
            </w:pPr>
            <w:r w:rsidRPr="00BE6740">
              <w:rPr>
                <w:rFonts w:cs="Arial"/>
                <w:sz w:val="20"/>
              </w:rPr>
              <w:t>Enhance the nephrotoxic effect of vancomycin.</w:t>
            </w:r>
          </w:p>
          <w:p w:rsidRPr="00BE6740" w:rsidR="00622C2C" w:rsidP="001B0E05" w:rsidRDefault="00622C2C" w14:paraId="72636E82" w14:textId="77777777">
            <w:pPr>
              <w:pStyle w:val="ListParagraph"/>
              <w:numPr>
                <w:ilvl w:val="0"/>
                <w:numId w:val="120"/>
              </w:numPr>
              <w:ind w:left="284" w:hanging="284"/>
              <w:rPr>
                <w:sz w:val="20"/>
              </w:rPr>
            </w:pPr>
            <w:r w:rsidRPr="00BE6740">
              <w:rPr>
                <w:sz w:val="20"/>
              </w:rPr>
              <w:t xml:space="preserve">Affect the blood coagulation system when given with high doses of heparin and oral anticoagulants. </w:t>
            </w:r>
          </w:p>
          <w:p w:rsidRPr="00BE6740" w:rsidR="00622C2C" w:rsidP="001B0E05" w:rsidRDefault="00622C2C" w14:paraId="6B93673C" w14:textId="77777777">
            <w:pPr>
              <w:pStyle w:val="ListParagraph"/>
              <w:numPr>
                <w:ilvl w:val="0"/>
                <w:numId w:val="120"/>
              </w:numPr>
              <w:ind w:left="284" w:hanging="284"/>
              <w:rPr>
                <w:sz w:val="20"/>
              </w:rPr>
            </w:pPr>
            <w:r w:rsidRPr="00BE6740">
              <w:rPr>
                <w:rFonts w:cs="Arial"/>
                <w:sz w:val="20"/>
              </w:rPr>
              <w:t>Increase the serum concentration of flucloxacillin.</w:t>
            </w:r>
          </w:p>
          <w:p w:rsidR="00622C2C" w:rsidP="001B0E05" w:rsidRDefault="00622C2C" w14:paraId="10EC6C4D" w14:textId="77777777">
            <w:pPr>
              <w:pStyle w:val="BodyText"/>
              <w:numPr>
                <w:ilvl w:val="0"/>
                <w:numId w:val="120"/>
              </w:numPr>
              <w:overflowPunct w:val="0"/>
              <w:autoSpaceDE w:val="0"/>
              <w:autoSpaceDN w:val="0"/>
              <w:adjustRightInd w:val="0"/>
              <w:ind w:left="284" w:hanging="284"/>
              <w:jc w:val="left"/>
              <w:textAlignment w:val="baseline"/>
              <w:rPr>
                <w:rFonts w:asciiTheme="minorHAnsi" w:hAnsiTheme="minorHAnsi" w:cstheme="minorHAnsi"/>
                <w:sz w:val="20"/>
              </w:rPr>
            </w:pPr>
            <w:r w:rsidRPr="001E5BD1">
              <w:rPr>
                <w:sz w:val="20"/>
              </w:rPr>
              <w:t xml:space="preserve">Increase the prolongation of the neuromuscular blockade of vecuronium. </w:t>
            </w:r>
          </w:p>
        </w:tc>
      </w:tr>
      <w:tr w:rsidRPr="003B78EA" w:rsidR="00622C2C" w:rsidTr="00FE4186" w14:paraId="02E6ADDF" w14:textId="77777777">
        <w:trPr>
          <w:trHeight w:val="263"/>
        </w:trPr>
        <w:tc>
          <w:tcPr>
            <w:tcW w:w="882" w:type="pct"/>
          </w:tcPr>
          <w:p w:rsidRPr="003B78EA" w:rsidR="00622C2C" w:rsidP="00FE4186" w:rsidRDefault="00622C2C" w14:paraId="741510EE"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4118" w:type="pct"/>
          </w:tcPr>
          <w:p w:rsidR="00622C2C" w:rsidP="00FE4186" w:rsidRDefault="00622C2C" w14:paraId="67377B69" w14:textId="77777777">
            <w:pPr>
              <w:widowControl w:val="0"/>
              <w:autoSpaceDE w:val="0"/>
              <w:autoSpaceDN w:val="0"/>
              <w:adjustRightInd w:val="0"/>
              <w:rPr>
                <w:rFonts w:cs="Arial"/>
                <w:sz w:val="20"/>
                <w:lang w:val="en-US"/>
              </w:rPr>
            </w:pPr>
            <w:r>
              <w:rPr>
                <w:rFonts w:cs="Arial"/>
                <w:sz w:val="20"/>
                <w:lang w:val="en-US"/>
              </w:rPr>
              <w:t>G</w:t>
            </w:r>
            <w:r w:rsidRPr="001E5BD1">
              <w:rPr>
                <w:rFonts w:cs="Arial"/>
                <w:sz w:val="20"/>
                <w:lang w:val="en-US"/>
              </w:rPr>
              <w:t xml:space="preserve">enerally well tolerated. </w:t>
            </w:r>
          </w:p>
          <w:p w:rsidRPr="001E5BD1" w:rsidR="00622C2C" w:rsidP="00FE4186" w:rsidRDefault="00622C2C" w14:paraId="56865C36" w14:textId="77777777">
            <w:pPr>
              <w:widowControl w:val="0"/>
              <w:autoSpaceDE w:val="0"/>
              <w:autoSpaceDN w:val="0"/>
              <w:adjustRightInd w:val="0"/>
              <w:rPr>
                <w:rFonts w:cs="Arial"/>
                <w:sz w:val="20"/>
                <w:lang w:val="en-US"/>
              </w:rPr>
            </w:pPr>
            <w:r>
              <w:rPr>
                <w:rFonts w:cs="Arial"/>
                <w:sz w:val="20"/>
                <w:lang w:val="en-US"/>
              </w:rPr>
              <w:t xml:space="preserve">Hypersensitivity reactions can occur.  </w:t>
            </w:r>
          </w:p>
          <w:p w:rsidRPr="001E5BD1" w:rsidR="00622C2C" w:rsidP="00FE4186" w:rsidRDefault="00622C2C" w14:paraId="7B8C6120" w14:textId="77777777">
            <w:pPr>
              <w:widowControl w:val="0"/>
              <w:autoSpaceDE w:val="0"/>
              <w:autoSpaceDN w:val="0"/>
              <w:adjustRightInd w:val="0"/>
              <w:rPr>
                <w:rFonts w:cs="Arial"/>
                <w:sz w:val="20"/>
                <w:lang w:val="en-US"/>
              </w:rPr>
            </w:pPr>
            <w:r>
              <w:rPr>
                <w:rFonts w:cs="Arial"/>
                <w:sz w:val="20"/>
                <w:lang w:val="en-US"/>
              </w:rPr>
              <w:t xml:space="preserve">Rash (maculopapular), </w:t>
            </w:r>
            <w:r w:rsidRPr="0020472B">
              <w:rPr>
                <w:rFonts w:cs="Arial"/>
                <w:sz w:val="20"/>
                <w:lang w:val="en-US"/>
              </w:rPr>
              <w:t>phlebitis, thrombophlebitis</w:t>
            </w:r>
            <w:r>
              <w:rPr>
                <w:rFonts w:cs="Arial"/>
                <w:sz w:val="20"/>
                <w:lang w:val="en-US"/>
              </w:rPr>
              <w:t>.</w:t>
            </w:r>
          </w:p>
          <w:p w:rsidRPr="00907F1E" w:rsidR="00622C2C" w:rsidP="00FE4186" w:rsidRDefault="00622C2C" w14:paraId="5376FCD7" w14:textId="77777777">
            <w:pPr>
              <w:widowControl w:val="0"/>
              <w:autoSpaceDE w:val="0"/>
              <w:autoSpaceDN w:val="0"/>
              <w:adjustRightInd w:val="0"/>
              <w:rPr>
                <w:rFonts w:cs="Arial"/>
                <w:sz w:val="20"/>
                <w:lang w:val="en-US"/>
              </w:rPr>
            </w:pPr>
            <w:r w:rsidRPr="00907F1E">
              <w:rPr>
                <w:rFonts w:cs="Arial"/>
                <w:sz w:val="20"/>
                <w:lang w:val="en-US"/>
              </w:rPr>
              <w:t xml:space="preserve">Diarrhoea, nausea, vomiting, stomatitis </w:t>
            </w:r>
            <w:r>
              <w:rPr>
                <w:rFonts w:cs="Arial"/>
                <w:sz w:val="20"/>
                <w:lang w:val="en-US"/>
              </w:rPr>
              <w:t>and</w:t>
            </w:r>
            <w:r w:rsidRPr="00907F1E">
              <w:rPr>
                <w:rFonts w:cs="Arial"/>
                <w:sz w:val="20"/>
                <w:lang w:val="en-US"/>
              </w:rPr>
              <w:t xml:space="preserve"> pseudomembranous colitis</w:t>
            </w:r>
            <w:r>
              <w:rPr>
                <w:rFonts w:cs="Arial"/>
                <w:sz w:val="20"/>
                <w:lang w:val="en-US"/>
              </w:rPr>
              <w:t xml:space="preserve"> (</w:t>
            </w:r>
            <w:r>
              <w:rPr>
                <w:rFonts w:cs="Arial"/>
                <w:i/>
                <w:sz w:val="20"/>
                <w:lang w:val="en-US"/>
              </w:rPr>
              <w:t>Clostridium difficile</w:t>
            </w:r>
            <w:r>
              <w:rPr>
                <w:rFonts w:cs="Arial"/>
                <w:sz w:val="20"/>
                <w:lang w:val="en-US"/>
              </w:rPr>
              <w:t>).</w:t>
            </w:r>
          </w:p>
          <w:p w:rsidR="00622C2C" w:rsidP="00FE4186" w:rsidRDefault="00622C2C" w14:paraId="16CE9375" w14:textId="77777777">
            <w:pPr>
              <w:widowControl w:val="0"/>
              <w:autoSpaceDE w:val="0"/>
              <w:autoSpaceDN w:val="0"/>
              <w:adjustRightInd w:val="0"/>
              <w:rPr>
                <w:rFonts w:cs="Arial"/>
                <w:bCs/>
                <w:iCs/>
                <w:sz w:val="20"/>
                <w:lang w:val="en-US"/>
              </w:rPr>
            </w:pPr>
            <w:r w:rsidRPr="00907F1E">
              <w:rPr>
                <w:rFonts w:cs="Arial"/>
                <w:bCs/>
                <w:iCs/>
                <w:sz w:val="20"/>
                <w:lang w:val="en-US"/>
              </w:rPr>
              <w:t xml:space="preserve">Black tongue, </w:t>
            </w:r>
            <w:r>
              <w:rPr>
                <w:rFonts w:cs="Arial"/>
                <w:bCs/>
                <w:iCs/>
                <w:sz w:val="20"/>
                <w:lang w:val="en-US"/>
              </w:rPr>
              <w:t>f</w:t>
            </w:r>
            <w:r w:rsidRPr="00082393">
              <w:rPr>
                <w:rFonts w:cs="Arial"/>
                <w:bCs/>
                <w:iCs/>
                <w:sz w:val="20"/>
                <w:lang w:val="en-US"/>
              </w:rPr>
              <w:t>ever, anaphylactic shock, angioedema, bronchospasm</w:t>
            </w:r>
            <w:r>
              <w:rPr>
                <w:rFonts w:cs="Arial"/>
                <w:bCs/>
                <w:iCs/>
                <w:sz w:val="20"/>
                <w:lang w:val="en-US"/>
              </w:rPr>
              <w:t xml:space="preserve">. </w:t>
            </w:r>
          </w:p>
          <w:p w:rsidR="00622C2C" w:rsidP="00FE4186" w:rsidRDefault="00622C2C" w14:paraId="0DFBB0B2" w14:textId="77777777">
            <w:pPr>
              <w:widowControl w:val="0"/>
              <w:autoSpaceDE w:val="0"/>
              <w:autoSpaceDN w:val="0"/>
              <w:adjustRightInd w:val="0"/>
              <w:rPr>
                <w:rFonts w:cs="Arial"/>
                <w:bCs/>
                <w:iCs/>
                <w:sz w:val="20"/>
                <w:lang w:val="en-US"/>
              </w:rPr>
            </w:pPr>
            <w:r w:rsidRPr="001E5BD1">
              <w:rPr>
                <w:rFonts w:cs="Arial"/>
                <w:bCs/>
                <w:iCs/>
                <w:sz w:val="20"/>
                <w:lang w:val="en-US"/>
              </w:rPr>
              <w:t>Leucopenia, thrombocytopenia, anaemia</w:t>
            </w:r>
            <w:r>
              <w:rPr>
                <w:rFonts w:cs="Arial"/>
                <w:bCs/>
                <w:iCs/>
                <w:sz w:val="20"/>
                <w:lang w:val="en-US"/>
              </w:rPr>
              <w:t>.</w:t>
            </w:r>
          </w:p>
          <w:p w:rsidRPr="001E5BD1" w:rsidR="00622C2C" w:rsidP="00FE4186" w:rsidRDefault="00622C2C" w14:paraId="0BB65131" w14:textId="77777777">
            <w:pPr>
              <w:widowControl w:val="0"/>
              <w:autoSpaceDE w:val="0"/>
              <w:autoSpaceDN w:val="0"/>
              <w:adjustRightInd w:val="0"/>
              <w:rPr>
                <w:rFonts w:cs="Arial"/>
                <w:bCs/>
                <w:iCs/>
                <w:sz w:val="20"/>
                <w:lang w:val="en-US"/>
              </w:rPr>
            </w:pPr>
            <w:r w:rsidRPr="001E5BD1">
              <w:rPr>
                <w:rFonts w:cs="Arial"/>
                <w:bCs/>
                <w:iCs/>
                <w:sz w:val="20"/>
                <w:lang w:val="en-US"/>
              </w:rPr>
              <w:t xml:space="preserve">Elevated transaminases. </w:t>
            </w:r>
          </w:p>
          <w:p w:rsidRPr="001E5BD1" w:rsidR="00622C2C" w:rsidP="00FE4186" w:rsidRDefault="00622C2C" w14:paraId="6C5584F0" w14:textId="77777777">
            <w:pPr>
              <w:widowControl w:val="0"/>
              <w:autoSpaceDE w:val="0"/>
              <w:autoSpaceDN w:val="0"/>
              <w:adjustRightInd w:val="0"/>
              <w:rPr>
                <w:rFonts w:cs="Arial"/>
                <w:sz w:val="20"/>
                <w:lang w:val="en-US"/>
              </w:rPr>
            </w:pPr>
            <w:r w:rsidRPr="001E5BD1">
              <w:rPr>
                <w:rFonts w:cs="Arial"/>
                <w:bCs/>
                <w:iCs/>
                <w:sz w:val="20"/>
                <w:lang w:val="en-US"/>
              </w:rPr>
              <w:t>Renal impairment</w:t>
            </w:r>
            <w:r>
              <w:rPr>
                <w:rFonts w:cs="Arial"/>
                <w:bCs/>
                <w:iCs/>
                <w:sz w:val="20"/>
                <w:lang w:val="en-US"/>
              </w:rPr>
              <w:t>.</w:t>
            </w:r>
          </w:p>
          <w:p w:rsidRPr="001E5BD1" w:rsidR="00622C2C" w:rsidP="00FE4186" w:rsidRDefault="00622C2C" w14:paraId="27D9D79C" w14:textId="77777777">
            <w:pPr>
              <w:widowControl w:val="0"/>
              <w:autoSpaceDE w:val="0"/>
              <w:autoSpaceDN w:val="0"/>
              <w:adjustRightInd w:val="0"/>
              <w:rPr>
                <w:rFonts w:cs="Arial"/>
                <w:bCs/>
                <w:iCs/>
                <w:sz w:val="20"/>
                <w:lang w:val="en-US"/>
              </w:rPr>
            </w:pPr>
            <w:r w:rsidRPr="001E5BD1">
              <w:rPr>
                <w:rFonts w:cs="Arial"/>
                <w:bCs/>
                <w:iCs/>
                <w:sz w:val="20"/>
                <w:lang w:val="en-US"/>
              </w:rPr>
              <w:t>Hypokalaemia</w:t>
            </w:r>
            <w:r>
              <w:rPr>
                <w:rFonts w:cs="Arial"/>
                <w:bCs/>
                <w:iCs/>
                <w:sz w:val="20"/>
                <w:lang w:val="en-US"/>
              </w:rPr>
              <w:t>, hypernatraemia, metabolic alkalosis.</w:t>
            </w:r>
          </w:p>
          <w:p w:rsidR="00622C2C" w:rsidP="00FE4186" w:rsidRDefault="00622C2C" w14:paraId="6B314F37" w14:textId="77777777">
            <w:pPr>
              <w:pStyle w:val="BodyText"/>
              <w:rPr>
                <w:rFonts w:cs="Arial"/>
                <w:bCs/>
                <w:iCs/>
                <w:sz w:val="20"/>
                <w:lang w:val="en-US"/>
              </w:rPr>
            </w:pPr>
            <w:r w:rsidRPr="001E5BD1">
              <w:rPr>
                <w:rFonts w:cs="Arial"/>
                <w:bCs/>
                <w:iCs/>
                <w:sz w:val="20"/>
                <w:lang w:val="en-US"/>
              </w:rPr>
              <w:t>Candidiasis</w:t>
            </w:r>
            <w:r>
              <w:rPr>
                <w:rFonts w:cs="Arial"/>
                <w:bCs/>
                <w:iCs/>
                <w:sz w:val="20"/>
                <w:lang w:val="en-US"/>
              </w:rPr>
              <w:t>.</w:t>
            </w:r>
          </w:p>
          <w:p w:rsidR="00622C2C" w:rsidP="00FE4186" w:rsidRDefault="00622C2C" w14:paraId="5DB8DF20" w14:textId="77777777">
            <w:pPr>
              <w:pStyle w:val="BodyText"/>
              <w:rPr>
                <w:rFonts w:asciiTheme="minorHAnsi" w:hAnsiTheme="minorHAnsi" w:cstheme="minorHAnsi"/>
                <w:sz w:val="20"/>
              </w:rPr>
            </w:pPr>
            <w:r w:rsidRPr="00574738">
              <w:rPr>
                <w:rFonts w:asciiTheme="minorHAnsi" w:hAnsiTheme="minorHAnsi" w:cstheme="minorHAnsi"/>
                <w:sz w:val="20"/>
              </w:rPr>
              <w:t>High doses may lead to hypernatraemia (owing to sodium content of preparations</w:t>
            </w:r>
            <w:r>
              <w:rPr>
                <w:rFonts w:asciiTheme="minorHAnsi" w:hAnsiTheme="minorHAnsi" w:cstheme="minorHAnsi"/>
                <w:sz w:val="20"/>
              </w:rPr>
              <w:t>)</w:t>
            </w:r>
          </w:p>
          <w:p w:rsidRPr="003B78EA" w:rsidR="00622C2C" w:rsidP="00FE4186" w:rsidRDefault="00622C2C" w14:paraId="1854A911" w14:textId="77777777">
            <w:pPr>
              <w:pStyle w:val="BodyText"/>
              <w:rPr>
                <w:rFonts w:asciiTheme="minorHAnsi" w:hAnsiTheme="minorHAnsi" w:cstheme="minorHAnsi"/>
                <w:sz w:val="20"/>
              </w:rPr>
            </w:pPr>
            <w:r>
              <w:rPr>
                <w:rFonts w:asciiTheme="minorHAnsi" w:hAnsiTheme="minorHAnsi" w:cstheme="minorHAnsi"/>
                <w:sz w:val="20"/>
              </w:rPr>
              <w:t>Uncommon - Hypotension.</w:t>
            </w:r>
          </w:p>
        </w:tc>
      </w:tr>
      <w:tr w:rsidRPr="003B78EA" w:rsidR="00622C2C" w:rsidTr="00FE4186" w14:paraId="602E3455" w14:textId="77777777">
        <w:trPr>
          <w:trHeight w:val="263"/>
        </w:trPr>
        <w:tc>
          <w:tcPr>
            <w:tcW w:w="882" w:type="pct"/>
          </w:tcPr>
          <w:p w:rsidRPr="003B78EA" w:rsidR="00622C2C" w:rsidP="00FE4186" w:rsidRDefault="00622C2C" w14:paraId="66A8FC6E"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4118" w:type="pct"/>
          </w:tcPr>
          <w:p w:rsidRPr="00C54546" w:rsidR="00622C2C" w:rsidP="00FE4186" w:rsidRDefault="00622C2C" w14:paraId="7BE8FF8C" w14:textId="77777777">
            <w:pPr>
              <w:pStyle w:val="BodyText"/>
              <w:rPr>
                <w:color w:val="000000"/>
                <w:sz w:val="20"/>
                <w:lang w:val="en-US"/>
              </w:rPr>
            </w:pPr>
            <w:r w:rsidRPr="00C54546">
              <w:rPr>
                <w:color w:val="000000"/>
                <w:sz w:val="20"/>
                <w:lang w:val="en-US"/>
              </w:rPr>
              <w:t xml:space="preserve">Fluids: </w:t>
            </w:r>
            <w:r>
              <w:rPr>
                <w:color w:val="000000"/>
                <w:sz w:val="20"/>
                <w:lang w:val="en-US"/>
              </w:rPr>
              <w:t>Sodium chloride 0.9%, glucose 5%, glucose 10%</w:t>
            </w:r>
          </w:p>
          <w:p w:rsidRPr="00C54546" w:rsidR="00622C2C" w:rsidP="00FE4186" w:rsidRDefault="00622C2C" w14:paraId="34A08ACE" w14:textId="77777777">
            <w:pPr>
              <w:pStyle w:val="BodyText"/>
              <w:rPr>
                <w:color w:val="000000"/>
                <w:sz w:val="20"/>
                <w:lang w:val="en-US"/>
              </w:rPr>
            </w:pPr>
          </w:p>
          <w:p w:rsidR="00622C2C" w:rsidP="00FE4186" w:rsidRDefault="00622C2C" w14:paraId="0DF9DEE0" w14:textId="77777777">
            <w:pPr>
              <w:pStyle w:val="BodyText"/>
              <w:rPr>
                <w:color w:val="000000"/>
                <w:sz w:val="20"/>
                <w:lang w:val="en-US"/>
              </w:rPr>
            </w:pPr>
            <w:r>
              <w:rPr>
                <w:color w:val="000000"/>
                <w:sz w:val="20"/>
                <w:lang w:val="en-US"/>
              </w:rPr>
              <w:t>Y-site: EDTA-free brands only (NOT Tazocin EF): Amino acid solutions, a</w:t>
            </w:r>
            <w:r w:rsidRPr="00C54546">
              <w:rPr>
                <w:color w:val="000000"/>
                <w:sz w:val="20"/>
                <w:lang w:val="en-US"/>
              </w:rPr>
              <w:t>minophylline, anidulafungin, aztreonam, bivalirudin, buprenorphine, calcium folinate, calcium gluconate</w:t>
            </w:r>
            <w:r>
              <w:rPr>
                <w:color w:val="000000"/>
                <w:sz w:val="20"/>
                <w:lang w:val="en-US"/>
              </w:rPr>
              <w:t xml:space="preserve"> </w:t>
            </w:r>
            <w:r w:rsidRPr="00E92B64">
              <w:rPr>
                <w:color w:val="000000"/>
                <w:sz w:val="20"/>
                <w:lang w:val="en-US"/>
              </w:rPr>
              <w:t>monohydrate</w:t>
            </w:r>
            <w:r w:rsidRPr="00C54546">
              <w:rPr>
                <w:color w:val="000000"/>
                <w:sz w:val="20"/>
                <w:lang w:val="en-US"/>
              </w:rPr>
              <w:t xml:space="preserve">, clindamycin, dexamethasone, dexmedetomidine, dopamine, fluconazole, </w:t>
            </w:r>
            <w:r>
              <w:rPr>
                <w:color w:val="000000"/>
                <w:sz w:val="20"/>
                <w:lang w:val="en-US"/>
              </w:rPr>
              <w:t>furosemide (</w:t>
            </w:r>
            <w:r w:rsidRPr="00C54546">
              <w:rPr>
                <w:color w:val="000000"/>
                <w:sz w:val="20"/>
                <w:lang w:val="en-US"/>
              </w:rPr>
              <w:t>frusemide</w:t>
            </w:r>
            <w:r>
              <w:rPr>
                <w:color w:val="000000"/>
                <w:sz w:val="20"/>
                <w:lang w:val="en-US"/>
              </w:rPr>
              <w:t>)</w:t>
            </w:r>
            <w:r w:rsidRPr="00C54546">
              <w:rPr>
                <w:color w:val="000000"/>
                <w:sz w:val="20"/>
                <w:lang w:val="en-US"/>
              </w:rPr>
              <w:t>, granisetron, heparin sodium, hydrocortisone sodium succinate, hyd</w:t>
            </w:r>
            <w:r>
              <w:rPr>
                <w:color w:val="000000"/>
                <w:sz w:val="20"/>
                <w:lang w:val="en-US"/>
              </w:rPr>
              <w:t>romorphone, linezolid,</w:t>
            </w:r>
            <w:r w:rsidRPr="00C54546">
              <w:rPr>
                <w:color w:val="000000"/>
                <w:sz w:val="20"/>
                <w:lang w:val="en-US"/>
              </w:rPr>
              <w:t xml:space="preserve"> magnesium sulfate</w:t>
            </w:r>
            <w:r>
              <w:rPr>
                <w:color w:val="000000"/>
                <w:sz w:val="20"/>
                <w:lang w:val="en-US"/>
              </w:rPr>
              <w:t xml:space="preserve"> </w:t>
            </w:r>
            <w:r w:rsidRPr="004629EE">
              <w:rPr>
                <w:color w:val="000000"/>
                <w:sz w:val="20"/>
                <w:lang w:val="en-US"/>
              </w:rPr>
              <w:t>heptahydrate</w:t>
            </w:r>
            <w:r w:rsidRPr="00C54546">
              <w:rPr>
                <w:color w:val="000000"/>
                <w:sz w:val="20"/>
                <w:lang w:val="en-US"/>
              </w:rPr>
              <w:t>, methylprednisolone sodium succinate, metoclopramide, metronidazole, morphine sulfate</w:t>
            </w:r>
            <w:r>
              <w:t xml:space="preserve"> </w:t>
            </w:r>
            <w:r w:rsidRPr="004629EE">
              <w:rPr>
                <w:color w:val="000000"/>
                <w:sz w:val="20"/>
                <w:lang w:val="en-US"/>
              </w:rPr>
              <w:t>pentahydrate</w:t>
            </w:r>
            <w:r w:rsidRPr="00C54546">
              <w:rPr>
                <w:color w:val="000000"/>
                <w:sz w:val="20"/>
                <w:lang w:val="en-US"/>
              </w:rPr>
              <w:t>, pethidine, potassium chloride, ranitidine, remifentanil, tigecycline, trimethopr</w:t>
            </w:r>
            <w:r>
              <w:rPr>
                <w:color w:val="000000"/>
                <w:sz w:val="20"/>
                <w:lang w:val="en-US"/>
              </w:rPr>
              <w:t>im + sulfamethoxazole, zidovudine.</w:t>
            </w:r>
          </w:p>
          <w:p w:rsidR="00622C2C" w:rsidP="00FE4186" w:rsidRDefault="00622C2C" w14:paraId="45E7E947" w14:textId="77777777">
            <w:pPr>
              <w:pStyle w:val="BodyText"/>
              <w:rPr>
                <w:color w:val="000000"/>
                <w:sz w:val="20"/>
                <w:lang w:val="en-US"/>
              </w:rPr>
            </w:pPr>
          </w:p>
          <w:p w:rsidRPr="003B78EA" w:rsidR="00622C2C" w:rsidP="00FE4186" w:rsidRDefault="00622C2C" w14:paraId="6CED2195" w14:textId="77777777">
            <w:pPr>
              <w:pStyle w:val="BodyText"/>
              <w:rPr>
                <w:rFonts w:asciiTheme="minorHAnsi" w:hAnsiTheme="minorHAnsi" w:cstheme="minorHAnsi"/>
                <w:sz w:val="20"/>
              </w:rPr>
            </w:pPr>
            <w:r>
              <w:rPr>
                <w:color w:val="000000"/>
                <w:sz w:val="20"/>
                <w:lang w:val="en-US"/>
              </w:rPr>
              <w:t>Y-site: Tazocin EF only: No information available.</w:t>
            </w:r>
          </w:p>
        </w:tc>
      </w:tr>
      <w:tr w:rsidRPr="003B78EA" w:rsidR="00622C2C" w:rsidTr="00FE4186" w14:paraId="562687E7" w14:textId="77777777">
        <w:trPr>
          <w:trHeight w:val="263"/>
        </w:trPr>
        <w:tc>
          <w:tcPr>
            <w:tcW w:w="882" w:type="pct"/>
          </w:tcPr>
          <w:p w:rsidRPr="003B78EA" w:rsidR="00622C2C" w:rsidP="00FE4186" w:rsidRDefault="00622C2C" w14:paraId="679A8D99"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4118" w:type="pct"/>
          </w:tcPr>
          <w:p w:rsidRPr="00C54546" w:rsidR="00622C2C" w:rsidP="00FE4186" w:rsidRDefault="00622C2C" w14:paraId="2F3715ED" w14:textId="77777777">
            <w:pPr>
              <w:pStyle w:val="BodyText"/>
              <w:rPr>
                <w:color w:val="000000"/>
                <w:sz w:val="20"/>
                <w:lang w:val="en-US"/>
              </w:rPr>
            </w:pPr>
            <w:r>
              <w:rPr>
                <w:color w:val="000000"/>
                <w:sz w:val="20"/>
                <w:lang w:val="en-US"/>
              </w:rPr>
              <w:t>Fluids: Albumin,</w:t>
            </w:r>
            <w:r w:rsidRPr="00C54546">
              <w:rPr>
                <w:color w:val="000000"/>
                <w:sz w:val="20"/>
                <w:lang w:val="en-US"/>
              </w:rPr>
              <w:t xml:space="preserve"> blo</w:t>
            </w:r>
            <w:r>
              <w:rPr>
                <w:color w:val="000000"/>
                <w:sz w:val="20"/>
                <w:lang w:val="en-US"/>
              </w:rPr>
              <w:t>od products, Hartmann’s and alkaline solutions. (AIDH)</w:t>
            </w:r>
          </w:p>
          <w:p w:rsidRPr="00C54546" w:rsidR="00622C2C" w:rsidP="00FE4186" w:rsidRDefault="00622C2C" w14:paraId="6F50FBCA" w14:textId="77777777">
            <w:pPr>
              <w:pStyle w:val="BodyText"/>
              <w:rPr>
                <w:color w:val="000000"/>
                <w:sz w:val="20"/>
                <w:lang w:val="en-US"/>
              </w:rPr>
            </w:pPr>
          </w:p>
          <w:p w:rsidRPr="003B78EA" w:rsidR="00622C2C" w:rsidP="00FE4186" w:rsidRDefault="00622C2C" w14:paraId="10D8544B" w14:textId="77777777">
            <w:pPr>
              <w:pStyle w:val="BodyText"/>
              <w:rPr>
                <w:rFonts w:asciiTheme="minorHAnsi" w:hAnsiTheme="minorHAnsi" w:cstheme="minorHAnsi"/>
                <w:sz w:val="20"/>
              </w:rPr>
            </w:pPr>
            <w:r w:rsidRPr="00A52EA2">
              <w:rPr>
                <w:color w:val="000000"/>
                <w:sz w:val="20"/>
                <w:lang w:val="en-US"/>
              </w:rPr>
              <w:t>Y site: Aciclovir, albumin, amikacin, amiodarone, azithromycin, caspofungin, chlorpromazine, ciprofloxacin, dobutamine, droperidol, ganciclovir,</w:t>
            </w:r>
            <w:r w:rsidRPr="00A52EA2">
              <w:t xml:space="preserve"> gentamicin, </w:t>
            </w:r>
            <w:r w:rsidRPr="00A52EA2">
              <w:rPr>
                <w:color w:val="000000"/>
                <w:sz w:val="20"/>
                <w:lang w:val="en-US"/>
              </w:rPr>
              <w:t>glycopyrronium bromide (glycopyrrolate), haloperidol lactate, hydralazine, insulin (short-acting), labetalol, midazolam, mycophenolate mofetil, pentamidine</w:t>
            </w:r>
            <w:r w:rsidRPr="00A52EA2">
              <w:t xml:space="preserve"> </w:t>
            </w:r>
            <w:r w:rsidRPr="00A52EA2">
              <w:rPr>
                <w:color w:val="000000"/>
                <w:sz w:val="20"/>
                <w:lang w:val="en-US"/>
              </w:rPr>
              <w:t>isetionate, promethazine, rocuronium, sodium bicarbonate, thiopentone, tobramycin, tranexamic acid, vecuronium, verapamil.</w:t>
            </w:r>
          </w:p>
        </w:tc>
      </w:tr>
      <w:tr w:rsidRPr="003B78EA" w:rsidR="00622C2C" w:rsidTr="00FE4186" w14:paraId="3CE93F1F" w14:textId="77777777">
        <w:trPr>
          <w:trHeight w:val="263"/>
        </w:trPr>
        <w:tc>
          <w:tcPr>
            <w:tcW w:w="882" w:type="pct"/>
          </w:tcPr>
          <w:p w:rsidRPr="003B78EA" w:rsidR="00622C2C" w:rsidP="00FE4186" w:rsidRDefault="00622C2C" w14:paraId="1F388DC6" w14:textId="77777777">
            <w:pPr>
              <w:pStyle w:val="BodyText"/>
              <w:rPr>
                <w:rFonts w:asciiTheme="minorHAnsi" w:hAnsiTheme="minorHAnsi" w:cstheme="minorHAnsi"/>
                <w:b/>
                <w:bCs/>
                <w:sz w:val="20"/>
              </w:rPr>
            </w:pPr>
            <w:r w:rsidRPr="003B78EA">
              <w:rPr>
                <w:rFonts w:asciiTheme="minorHAnsi" w:hAnsiTheme="minorHAnsi" w:cstheme="minorHAnsi"/>
                <w:b/>
                <w:bCs/>
                <w:sz w:val="20"/>
              </w:rPr>
              <w:t>Stability</w:t>
            </w:r>
          </w:p>
        </w:tc>
        <w:tc>
          <w:tcPr>
            <w:tcW w:w="4118" w:type="pct"/>
          </w:tcPr>
          <w:p w:rsidRPr="003B78EA" w:rsidR="00622C2C" w:rsidP="00FE4186" w:rsidRDefault="00622C2C" w14:paraId="57A3AB23" w14:textId="77777777">
            <w:pPr>
              <w:pStyle w:val="BodyText"/>
              <w:rPr>
                <w:rFonts w:asciiTheme="minorHAnsi" w:hAnsiTheme="minorHAnsi" w:cstheme="minorHAnsi"/>
                <w:sz w:val="20"/>
              </w:rPr>
            </w:pPr>
            <w:r>
              <w:rPr>
                <w:rFonts w:cs="Arial"/>
                <w:sz w:val="20"/>
                <w:lang w:val="en-US"/>
              </w:rPr>
              <w:t xml:space="preserve"> </w:t>
            </w:r>
            <w:r w:rsidRPr="00C54546">
              <w:rPr>
                <w:rFonts w:cs="Arial"/>
                <w:sz w:val="20"/>
                <w:lang w:val="en-US"/>
              </w:rPr>
              <w:t xml:space="preserve">Reconstituted solution </w:t>
            </w:r>
            <w:r>
              <w:rPr>
                <w:rFonts w:cs="Arial"/>
                <w:sz w:val="20"/>
                <w:lang w:val="en-US"/>
              </w:rPr>
              <w:t>is stable for 24 hours below 25°C</w:t>
            </w:r>
            <w:r w:rsidRPr="00C54546">
              <w:rPr>
                <w:rFonts w:cs="Arial"/>
                <w:sz w:val="20"/>
                <w:lang w:val="en-US"/>
              </w:rPr>
              <w:t xml:space="preserve"> or at 2</w:t>
            </w:r>
            <w:r>
              <w:rPr>
                <w:rFonts w:cs="Arial"/>
                <w:sz w:val="20"/>
                <w:lang w:val="en-US"/>
              </w:rPr>
              <w:t>−</w:t>
            </w:r>
            <w:r w:rsidRPr="00C54546">
              <w:rPr>
                <w:rFonts w:cs="Arial"/>
                <w:sz w:val="20"/>
                <w:lang w:val="en-US"/>
              </w:rPr>
              <w:t>8°</w:t>
            </w:r>
            <w:r>
              <w:rPr>
                <w:rFonts w:cs="Arial"/>
                <w:sz w:val="20"/>
                <w:lang w:val="en-US"/>
              </w:rPr>
              <w:t>C</w:t>
            </w:r>
            <w:r w:rsidRPr="00C54546">
              <w:rPr>
                <w:rFonts w:cs="Arial"/>
                <w:sz w:val="20"/>
                <w:lang w:val="en-US"/>
              </w:rPr>
              <w:t>.  Immediate use is recommended.</w:t>
            </w:r>
          </w:p>
        </w:tc>
      </w:tr>
      <w:tr w:rsidRPr="003B78EA" w:rsidR="00622C2C" w:rsidTr="00FE4186" w14:paraId="7947E5DA" w14:textId="77777777">
        <w:trPr>
          <w:trHeight w:val="263"/>
        </w:trPr>
        <w:tc>
          <w:tcPr>
            <w:tcW w:w="882" w:type="pct"/>
          </w:tcPr>
          <w:p w:rsidRPr="003B78EA" w:rsidR="00622C2C" w:rsidP="00FE4186" w:rsidRDefault="00622C2C" w14:paraId="5B276732" w14:textId="77777777">
            <w:pPr>
              <w:pStyle w:val="BodyText"/>
              <w:rPr>
                <w:rFonts w:asciiTheme="minorHAnsi" w:hAnsiTheme="minorHAnsi" w:cstheme="minorHAnsi"/>
                <w:b/>
                <w:bCs/>
                <w:sz w:val="20"/>
              </w:rPr>
            </w:pPr>
            <w:r w:rsidRPr="003B78EA">
              <w:rPr>
                <w:rFonts w:asciiTheme="minorHAnsi" w:hAnsiTheme="minorHAnsi" w:cstheme="minorHAnsi"/>
                <w:b/>
                <w:bCs/>
                <w:sz w:val="20"/>
              </w:rPr>
              <w:t>Storage</w:t>
            </w:r>
          </w:p>
        </w:tc>
        <w:tc>
          <w:tcPr>
            <w:tcW w:w="4118" w:type="pct"/>
          </w:tcPr>
          <w:p w:rsidRPr="003B78EA" w:rsidR="00622C2C" w:rsidP="00FE4186" w:rsidRDefault="00622C2C" w14:paraId="11AEC853" w14:textId="77777777">
            <w:pPr>
              <w:pStyle w:val="BodyText"/>
              <w:rPr>
                <w:rFonts w:asciiTheme="minorHAnsi" w:hAnsiTheme="minorHAnsi" w:cstheme="minorHAnsi"/>
                <w:sz w:val="20"/>
              </w:rPr>
            </w:pPr>
            <w:r>
              <w:rPr>
                <w:rFonts w:cs="Arial"/>
                <w:sz w:val="20"/>
              </w:rPr>
              <w:t xml:space="preserve">Store vial below 25°C </w:t>
            </w:r>
          </w:p>
        </w:tc>
      </w:tr>
      <w:tr w:rsidRPr="00BE6740" w:rsidR="00622C2C" w:rsidTr="00FE4186" w14:paraId="229B2E50" w14:textId="77777777">
        <w:trPr>
          <w:trHeight w:val="263"/>
        </w:trPr>
        <w:tc>
          <w:tcPr>
            <w:tcW w:w="882" w:type="pct"/>
          </w:tcPr>
          <w:p w:rsidRPr="003B78EA" w:rsidR="00622C2C" w:rsidP="00FE4186" w:rsidRDefault="00622C2C" w14:paraId="5649C3E5"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4118" w:type="pct"/>
          </w:tcPr>
          <w:p w:rsidRPr="00574738" w:rsidR="00622C2C" w:rsidP="00FE4186" w:rsidRDefault="00622C2C" w14:paraId="66ED1104" w14:textId="77777777">
            <w:pPr>
              <w:pStyle w:val="BodyText"/>
              <w:rPr>
                <w:color w:val="000000"/>
                <w:sz w:val="20"/>
                <w:lang w:val="en-US"/>
              </w:rPr>
            </w:pPr>
            <w:r w:rsidRPr="00574738">
              <w:rPr>
                <w:color w:val="000000"/>
                <w:sz w:val="20"/>
                <w:lang w:val="en-US"/>
              </w:rPr>
              <w:t xml:space="preserve">PiperTaz Sandoz, PipTaz AFT and Tazopip are EDTA-free. Contain 2.35 mmol of sodium for each 1 g of piperacillin. </w:t>
            </w:r>
          </w:p>
          <w:p w:rsidRPr="00574738" w:rsidR="00622C2C" w:rsidP="00FE4186" w:rsidRDefault="00622C2C" w14:paraId="2FB2A4B7" w14:textId="77777777">
            <w:pPr>
              <w:pStyle w:val="BodyText"/>
              <w:rPr>
                <w:color w:val="000000"/>
                <w:sz w:val="20"/>
                <w:lang w:val="en-US"/>
              </w:rPr>
            </w:pPr>
            <w:r w:rsidRPr="00574738">
              <w:rPr>
                <w:color w:val="000000"/>
                <w:sz w:val="20"/>
                <w:lang w:val="en-US"/>
              </w:rPr>
              <w:t>PipTaz AFT also contains sodium bicarbonate.</w:t>
            </w:r>
          </w:p>
          <w:p w:rsidRPr="00BE6740" w:rsidR="00622C2C" w:rsidP="00FE4186" w:rsidRDefault="00622C2C" w14:paraId="7365C749" w14:textId="77777777">
            <w:pPr>
              <w:pStyle w:val="BodyText"/>
              <w:rPr>
                <w:color w:val="000000"/>
                <w:sz w:val="20"/>
                <w:lang w:val="en-US"/>
              </w:rPr>
            </w:pPr>
            <w:r w:rsidRPr="00574738">
              <w:rPr>
                <w:color w:val="000000"/>
                <w:sz w:val="20"/>
                <w:lang w:val="en-US"/>
              </w:rPr>
              <w:t>Tazocin EF also contains citric acid monohydrate and disodium edetate (EDTA). Contains 2.84 mmol of sodium for each 1 g of piperacillin.</w:t>
            </w:r>
          </w:p>
        </w:tc>
      </w:tr>
      <w:tr w:rsidRPr="003B78EA" w:rsidR="00622C2C" w:rsidTr="00FE4186" w14:paraId="60FCD9EB" w14:textId="77777777">
        <w:trPr>
          <w:trHeight w:val="263"/>
        </w:trPr>
        <w:tc>
          <w:tcPr>
            <w:tcW w:w="882" w:type="pct"/>
          </w:tcPr>
          <w:p w:rsidRPr="003B78EA" w:rsidR="00622C2C" w:rsidP="00FE4186" w:rsidRDefault="00622C2C" w14:paraId="364C710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4118" w:type="pct"/>
          </w:tcPr>
          <w:p w:rsidRPr="003B78EA" w:rsidR="00622C2C" w:rsidP="00FE4186" w:rsidRDefault="00622C2C" w14:paraId="2D98FBB3" w14:textId="77777777">
            <w:pPr>
              <w:pStyle w:val="BodyText"/>
              <w:rPr>
                <w:rFonts w:asciiTheme="minorHAnsi" w:hAnsiTheme="minorHAnsi" w:cstheme="minorHAnsi"/>
                <w:sz w:val="20"/>
              </w:rPr>
            </w:pPr>
            <w:r>
              <w:rPr>
                <w:rFonts w:cs="Arial"/>
                <w:sz w:val="20"/>
              </w:rPr>
              <w:t>Doses here are expressed as the piperacillin component.</w:t>
            </w:r>
          </w:p>
        </w:tc>
      </w:tr>
      <w:tr w:rsidRPr="003B78EA" w:rsidR="00622C2C" w:rsidTr="00FE4186" w14:paraId="0D9E720C" w14:textId="77777777">
        <w:trPr>
          <w:trHeight w:val="263"/>
        </w:trPr>
        <w:tc>
          <w:tcPr>
            <w:tcW w:w="882" w:type="pct"/>
          </w:tcPr>
          <w:p w:rsidRPr="003B78EA" w:rsidR="00622C2C" w:rsidP="00FE4186" w:rsidRDefault="00622C2C" w14:paraId="5F40E8AE"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4118" w:type="pct"/>
          </w:tcPr>
          <w:p w:rsidRPr="00622C2C" w:rsidR="00622C2C" w:rsidP="00FE4186" w:rsidRDefault="00622C2C" w14:paraId="582B5305" w14:textId="77777777">
            <w:pPr>
              <w:pStyle w:val="BodyText"/>
              <w:rPr>
                <w:b/>
                <w:sz w:val="16"/>
                <w:szCs w:val="16"/>
              </w:rPr>
            </w:pPr>
            <w:r w:rsidRPr="00622C2C">
              <w:rPr>
                <w:b/>
                <w:sz w:val="16"/>
                <w:szCs w:val="16"/>
              </w:rPr>
              <w:t>Efficacy</w:t>
            </w:r>
          </w:p>
          <w:p w:rsidRPr="00622C2C" w:rsidR="00622C2C" w:rsidP="00FE4186" w:rsidRDefault="00622C2C" w14:paraId="111CD1AB" w14:textId="77777777">
            <w:pPr>
              <w:pStyle w:val="BodyText"/>
              <w:rPr>
                <w:sz w:val="16"/>
                <w:szCs w:val="16"/>
              </w:rPr>
            </w:pPr>
            <w:r w:rsidRPr="00622C2C">
              <w:rPr>
                <w:sz w:val="16"/>
                <w:szCs w:val="16"/>
              </w:rPr>
              <w:t xml:space="preserve">A prospective, open-label non-comparative trial by Berger et al in 27 very low birthweight (VLBW) infants ≤1500 g with nosocomial sepsis, necrotising enterocolitis, intra-abdominal infections found that piperacillin-tazobactam is safe and well tolerated with no adverse events considered related to the drug. Clinical efficacy evaluation revealed cure or improvement in 17 patients (63%). Of the 10 patients with unfavorable clinical response, two had growth of pathogens resistant to piperacillin-tazobactam in the blood culture (one with oxacillin resistant Staphylococcus epidermidis and the other with Candida albicans). In one patient with NEC and perforation, surgical treatment was withheld due to the extremely low birth </w:t>
            </w:r>
            <w:r w:rsidRPr="00622C2C">
              <w:rPr>
                <w:sz w:val="16"/>
                <w:szCs w:val="16"/>
              </w:rPr>
              <w:lastRenderedPageBreak/>
              <w:t xml:space="preserve">weight and poor general condition of this patient, resulting in death 3 days after beginning of piperacillin/tazobactam treatment. </w:t>
            </w:r>
            <w:r w:rsidRPr="00622C2C">
              <w:rPr>
                <w:noProof/>
                <w:sz w:val="16"/>
                <w:szCs w:val="16"/>
              </w:rPr>
              <w:t>(13)</w:t>
            </w:r>
          </w:p>
          <w:p w:rsidRPr="00622C2C" w:rsidR="00622C2C" w:rsidP="00FE4186" w:rsidRDefault="00622C2C" w14:paraId="19A44159" w14:textId="77777777">
            <w:pPr>
              <w:pStyle w:val="BodyText"/>
              <w:rPr>
                <w:sz w:val="16"/>
                <w:szCs w:val="16"/>
              </w:rPr>
            </w:pPr>
          </w:p>
          <w:p w:rsidRPr="00622C2C" w:rsidR="00622C2C" w:rsidP="00FE4186" w:rsidRDefault="00622C2C" w14:paraId="4D6BBDF6" w14:textId="77777777">
            <w:pPr>
              <w:pStyle w:val="BodyText"/>
              <w:tabs>
                <w:tab w:val="left" w:pos="1168"/>
              </w:tabs>
              <w:rPr>
                <w:sz w:val="16"/>
                <w:szCs w:val="16"/>
                <w:lang w:val="en-US"/>
              </w:rPr>
            </w:pPr>
            <w:r w:rsidRPr="00622C2C">
              <w:rPr>
                <w:b/>
                <w:sz w:val="16"/>
                <w:szCs w:val="16"/>
                <w:lang w:val="en-US"/>
              </w:rPr>
              <w:t>Dose schedule:</w:t>
            </w:r>
            <w:r w:rsidRPr="00622C2C">
              <w:rPr>
                <w:sz w:val="16"/>
                <w:szCs w:val="16"/>
                <w:lang w:val="en-US"/>
              </w:rPr>
              <w:t xml:space="preserve"> Prospective multicenter non-comparative trial by Cohen-Wolkowiez et al in preterm and term infants of &lt;61 days with suspected systemic infection suggested a Postmenstrual age (PMA)-based dosing (100 mg/kg q 8 h, 80 mg/kg q 6 h, and 80 mg/kg q 4 h for PMA of&lt;30, 30 to 35, and 35 to 49 weeks, respectively), to achieve therapeutic target of time above the MIC (≤32mg/liter) for 75% of the dosing interval in 90% of infants. This study also suggested no advantages of prolonged (2−4 hour) infusion over short (over 30 minutes) infusion.</w:t>
            </w:r>
            <w:r w:rsidRPr="00622C2C">
              <w:rPr>
                <w:noProof/>
                <w:sz w:val="16"/>
                <w:szCs w:val="16"/>
                <w:lang w:val="en-US"/>
              </w:rPr>
              <w:t>(3)</w:t>
            </w:r>
            <w:r w:rsidRPr="00622C2C">
              <w:rPr>
                <w:sz w:val="16"/>
                <w:szCs w:val="16"/>
                <w:lang w:val="en-US"/>
              </w:rPr>
              <w:t xml:space="preserve"> While the study recommends 4 hourly dosing for 35−49 weeks gestation, prolonging the interval to 6 hours in this group was also suggested as reasonable particularly for culture negative sepsis as 6-hour regime still attains the target rate in 80% of this group. </w:t>
            </w:r>
            <w:r w:rsidRPr="00622C2C">
              <w:rPr>
                <w:noProof/>
                <w:sz w:val="16"/>
                <w:szCs w:val="16"/>
                <w:lang w:val="en-US"/>
              </w:rPr>
              <w:t>(3, 4)</w:t>
            </w:r>
          </w:p>
          <w:p w:rsidRPr="00622C2C" w:rsidR="00622C2C" w:rsidP="00FE4186" w:rsidRDefault="00622C2C" w14:paraId="39635CE9" w14:textId="77777777">
            <w:pPr>
              <w:pStyle w:val="BodyText"/>
              <w:tabs>
                <w:tab w:val="left" w:pos="1168"/>
              </w:tabs>
              <w:rPr>
                <w:sz w:val="16"/>
                <w:szCs w:val="16"/>
                <w:lang w:val="en-US"/>
              </w:rPr>
            </w:pPr>
            <w:r w:rsidRPr="00622C2C">
              <w:rPr>
                <w:b/>
                <w:sz w:val="16"/>
                <w:szCs w:val="16"/>
                <w:lang w:val="en-US"/>
              </w:rPr>
              <w:t xml:space="preserve">ECMO: </w:t>
            </w:r>
            <w:r w:rsidRPr="00622C2C">
              <w:rPr>
                <w:sz w:val="16"/>
                <w:szCs w:val="16"/>
                <w:lang w:val="en-US"/>
              </w:rPr>
              <w:t xml:space="preserve">A case-control study in adults showed that volume of distribution and clearance was similar compared to non-ECMO patients, but only 40% of adults on ECMO achieved the target exposure for treatment of Pseudomonas aeruginosa when receiving a dose of 4 g every 6 hours. </w:t>
            </w:r>
            <w:r w:rsidRPr="00622C2C">
              <w:rPr>
                <w:noProof/>
                <w:sz w:val="16"/>
                <w:szCs w:val="16"/>
                <w:lang w:val="en-US"/>
              </w:rPr>
              <w:t>(5, 6)</w:t>
            </w:r>
            <w:r w:rsidRPr="00622C2C">
              <w:rPr>
                <w:sz w:val="16"/>
                <w:szCs w:val="16"/>
                <w:lang w:val="en-US"/>
              </w:rPr>
              <w:t xml:space="preserve"> Based on these results, while standard dosing may be adequate for susceptible organisms, an alternate antibiotic such as meropenem has been suggested for serious infections in patients on ECMO.</w:t>
            </w:r>
          </w:p>
          <w:p w:rsidRPr="00622C2C" w:rsidR="00622C2C" w:rsidP="00FE4186" w:rsidRDefault="00622C2C" w14:paraId="33F0289E" w14:textId="77777777">
            <w:pPr>
              <w:pStyle w:val="BodyText"/>
              <w:tabs>
                <w:tab w:val="left" w:pos="1168"/>
              </w:tabs>
              <w:rPr>
                <w:sz w:val="16"/>
                <w:szCs w:val="16"/>
                <w:lang w:val="en-US"/>
              </w:rPr>
            </w:pPr>
          </w:p>
          <w:p w:rsidRPr="00622C2C" w:rsidR="00622C2C" w:rsidP="00FE4186" w:rsidRDefault="00622C2C" w14:paraId="1F53044D" w14:textId="77777777">
            <w:pPr>
              <w:pStyle w:val="BodyText"/>
              <w:tabs>
                <w:tab w:val="left" w:pos="1168"/>
              </w:tabs>
              <w:rPr>
                <w:rFonts w:asciiTheme="minorHAnsi" w:hAnsiTheme="minorHAnsi" w:cstheme="minorHAnsi"/>
                <w:sz w:val="16"/>
                <w:szCs w:val="16"/>
                <w:lang w:val="en-US"/>
              </w:rPr>
            </w:pPr>
            <w:r w:rsidRPr="00622C2C">
              <w:rPr>
                <w:b/>
                <w:sz w:val="16"/>
                <w:szCs w:val="16"/>
                <w:lang w:val="en-US"/>
              </w:rPr>
              <w:t xml:space="preserve">Combination drugs and acute kidney injury (AKI): </w:t>
            </w:r>
            <w:r w:rsidRPr="00622C2C">
              <w:rPr>
                <w:sz w:val="16"/>
                <w:szCs w:val="16"/>
                <w:lang w:val="en-US"/>
              </w:rPr>
              <w:t xml:space="preserve">Prospective trials in adults suggest Piperacillin-tazobactam does not cause kidney injury when given as a single agent.  </w:t>
            </w:r>
            <w:r w:rsidRPr="00622C2C">
              <w:rPr>
                <w:noProof/>
                <w:sz w:val="16"/>
                <w:szCs w:val="16"/>
                <w:lang w:val="en-US"/>
              </w:rPr>
              <w:t>(14)</w:t>
            </w:r>
            <w:r w:rsidRPr="00622C2C">
              <w:rPr>
                <w:rFonts w:cstheme="minorHAnsi"/>
                <w:sz w:val="16"/>
                <w:szCs w:val="16"/>
                <w:lang w:val="en-US"/>
              </w:rPr>
              <w:t xml:space="preserve"> Adult meta-analysis using retrospective data suggested that piperacillin-tazobactam and vancomycin combination was associated with AKI,  </w:t>
            </w:r>
            <w:r w:rsidRPr="00622C2C">
              <w:rPr>
                <w:rFonts w:cstheme="minorHAnsi"/>
                <w:noProof/>
                <w:sz w:val="16"/>
                <w:szCs w:val="16"/>
                <w:lang w:val="en-US"/>
              </w:rPr>
              <w:t>(10)</w:t>
            </w:r>
            <w:r w:rsidRPr="00622C2C">
              <w:rPr>
                <w:rFonts w:cstheme="minorHAnsi"/>
                <w:sz w:val="16"/>
                <w:szCs w:val="16"/>
                <w:lang w:val="en-US"/>
              </w:rPr>
              <w:t xml:space="preserve"> but this remains controversial and further study is required. </w:t>
            </w:r>
            <w:r w:rsidRPr="00622C2C">
              <w:rPr>
                <w:rFonts w:cstheme="minorHAnsi"/>
                <w:noProof/>
                <w:sz w:val="16"/>
                <w:szCs w:val="16"/>
                <w:lang w:val="en-US"/>
              </w:rPr>
              <w:t>(9)</w:t>
            </w:r>
            <w:r w:rsidRPr="00622C2C">
              <w:rPr>
                <w:rFonts w:cstheme="minorHAnsi"/>
                <w:sz w:val="16"/>
                <w:szCs w:val="16"/>
                <w:lang w:val="en-US"/>
              </w:rPr>
              <w:t xml:space="preserve"> </w:t>
            </w:r>
            <w:r w:rsidRPr="00622C2C">
              <w:rPr>
                <w:rFonts w:asciiTheme="minorHAnsi" w:hAnsiTheme="minorHAnsi" w:cstheme="minorHAnsi"/>
                <w:sz w:val="16"/>
                <w:szCs w:val="16"/>
                <w:lang w:val="en-US"/>
              </w:rPr>
              <w:t>A recent neonatal multicentre retrospective</w:t>
            </w:r>
            <w:r w:rsidRPr="00622C2C">
              <w:rPr>
                <w:rFonts w:asciiTheme="minorHAnsi" w:hAnsiTheme="minorHAnsi" w:cstheme="minorHAnsi"/>
                <w:sz w:val="16"/>
                <w:szCs w:val="16"/>
              </w:rPr>
              <w:t xml:space="preserve"> study evaluating </w:t>
            </w:r>
            <w:r w:rsidRPr="00622C2C">
              <w:rPr>
                <w:rFonts w:asciiTheme="minorHAnsi" w:hAnsiTheme="minorHAnsi" w:cstheme="minorHAnsi"/>
                <w:sz w:val="16"/>
                <w:szCs w:val="16"/>
                <w:lang w:val="en-US"/>
              </w:rPr>
              <w:t xml:space="preserve">the incidence of AKI found decreased risk of AKI with vacomycin and piperacillin-tazobactam combination, relative to gentamicin + indomethacin. </w:t>
            </w:r>
            <w:r w:rsidRPr="00622C2C">
              <w:rPr>
                <w:rFonts w:asciiTheme="minorHAnsi" w:hAnsiTheme="minorHAnsi" w:cstheme="minorHAnsi"/>
                <w:noProof/>
                <w:sz w:val="16"/>
                <w:szCs w:val="16"/>
                <w:lang w:val="en-US"/>
              </w:rPr>
              <w:t>(11)</w:t>
            </w:r>
          </w:p>
          <w:p w:rsidRPr="00622C2C" w:rsidR="00622C2C" w:rsidP="00FE4186" w:rsidRDefault="00622C2C" w14:paraId="4ED8BBB7" w14:textId="77777777">
            <w:pPr>
              <w:pStyle w:val="BodyText"/>
              <w:tabs>
                <w:tab w:val="left" w:pos="1168"/>
              </w:tabs>
              <w:rPr>
                <w:sz w:val="16"/>
                <w:szCs w:val="16"/>
                <w:lang w:val="en-US"/>
              </w:rPr>
            </w:pPr>
          </w:p>
          <w:p w:rsidRPr="00622C2C" w:rsidR="00622C2C" w:rsidP="00FE4186" w:rsidRDefault="00622C2C" w14:paraId="6BA628BB" w14:textId="77777777">
            <w:pPr>
              <w:pStyle w:val="BodyText"/>
              <w:tabs>
                <w:tab w:val="left" w:pos="1168"/>
              </w:tabs>
              <w:rPr>
                <w:b/>
                <w:sz w:val="16"/>
                <w:szCs w:val="16"/>
                <w:lang w:val="en-US"/>
              </w:rPr>
            </w:pPr>
            <w:r w:rsidRPr="00622C2C">
              <w:rPr>
                <w:b/>
                <w:sz w:val="16"/>
                <w:szCs w:val="16"/>
                <w:lang w:val="en-US"/>
              </w:rPr>
              <w:t xml:space="preserve">Safety </w:t>
            </w:r>
          </w:p>
          <w:p w:rsidRPr="00622C2C" w:rsidR="00622C2C" w:rsidP="00FE4186" w:rsidRDefault="00622C2C" w14:paraId="60757230" w14:textId="77777777">
            <w:pPr>
              <w:pStyle w:val="BodyText"/>
              <w:tabs>
                <w:tab w:val="left" w:pos="1168"/>
              </w:tabs>
              <w:rPr>
                <w:sz w:val="16"/>
                <w:szCs w:val="16"/>
                <w:lang w:val="en-US"/>
              </w:rPr>
            </w:pPr>
            <w:r w:rsidRPr="00622C2C">
              <w:rPr>
                <w:sz w:val="16"/>
                <w:szCs w:val="16"/>
                <w:lang w:val="en-US"/>
              </w:rPr>
              <w:t>Study by Berger et al found no clinical adverse events in VLBW infants, in particular, no cases of</w:t>
            </w:r>
          </w:p>
          <w:p w:rsidRPr="00622C2C" w:rsidR="00622C2C" w:rsidP="00FE4186" w:rsidRDefault="00622C2C" w14:paraId="14AA76C7" w14:textId="77777777">
            <w:pPr>
              <w:pStyle w:val="BodyText"/>
              <w:tabs>
                <w:tab w:val="left" w:pos="1168"/>
              </w:tabs>
              <w:rPr>
                <w:sz w:val="16"/>
                <w:szCs w:val="16"/>
                <w:lang w:val="en-US"/>
              </w:rPr>
            </w:pPr>
            <w:r w:rsidRPr="00622C2C">
              <w:rPr>
                <w:sz w:val="16"/>
                <w:szCs w:val="16"/>
                <w:lang w:val="en-US"/>
              </w:rPr>
              <w:t>phlebitis, rash or stool changes. No long-lasting effect on the intestinal flora was detected.</w:t>
            </w:r>
            <w:r w:rsidRPr="00622C2C">
              <w:rPr>
                <w:sz w:val="16"/>
                <w:szCs w:val="16"/>
              </w:rPr>
              <w:t xml:space="preserve"> </w:t>
            </w:r>
            <w:r w:rsidRPr="00622C2C">
              <w:rPr>
                <w:sz w:val="16"/>
                <w:szCs w:val="16"/>
                <w:lang w:val="en-US"/>
              </w:rPr>
              <w:t>Several mild and transitory laboratory abnormalities including elevated direct bilirubin and other liver enzymes, thrombocytosis and elevated eosinophilic count were noted but none of them required discontinuation of antibiotic therapy.</w:t>
            </w:r>
            <w:r w:rsidRPr="00622C2C">
              <w:rPr>
                <w:noProof/>
                <w:sz w:val="16"/>
                <w:szCs w:val="16"/>
                <w:lang w:val="en-US"/>
              </w:rPr>
              <w:t>(13)</w:t>
            </w:r>
          </w:p>
          <w:p w:rsidRPr="00622C2C" w:rsidR="00622C2C" w:rsidP="00FE4186" w:rsidRDefault="00622C2C" w14:paraId="6A9B73E0" w14:textId="77777777">
            <w:pPr>
              <w:pStyle w:val="BodyText"/>
              <w:tabs>
                <w:tab w:val="left" w:pos="1168"/>
              </w:tabs>
              <w:rPr>
                <w:sz w:val="16"/>
                <w:szCs w:val="16"/>
                <w:lang w:val="en-US"/>
              </w:rPr>
            </w:pPr>
          </w:p>
          <w:p w:rsidRPr="00622C2C" w:rsidR="00622C2C" w:rsidP="00FE4186" w:rsidRDefault="00622C2C" w14:paraId="68B9526E" w14:textId="77777777">
            <w:pPr>
              <w:pStyle w:val="BodyText"/>
              <w:tabs>
                <w:tab w:val="left" w:pos="1168"/>
              </w:tabs>
              <w:rPr>
                <w:b/>
                <w:sz w:val="16"/>
                <w:szCs w:val="16"/>
                <w:lang w:val="en-US"/>
              </w:rPr>
            </w:pPr>
            <w:r w:rsidRPr="00622C2C">
              <w:rPr>
                <w:b/>
                <w:sz w:val="16"/>
                <w:szCs w:val="16"/>
                <w:lang w:val="en-US"/>
              </w:rPr>
              <w:t>Pharmacokinetics</w:t>
            </w:r>
          </w:p>
          <w:p w:rsidRPr="00622C2C" w:rsidR="00622C2C" w:rsidP="00FE4186" w:rsidRDefault="00622C2C" w14:paraId="289C420B" w14:textId="77777777">
            <w:pPr>
              <w:pStyle w:val="BodyText"/>
              <w:tabs>
                <w:tab w:val="left" w:pos="1168"/>
              </w:tabs>
              <w:rPr>
                <w:rFonts w:asciiTheme="minorHAnsi" w:hAnsiTheme="minorHAnsi" w:cstheme="minorHAnsi"/>
                <w:sz w:val="16"/>
                <w:szCs w:val="16"/>
              </w:rPr>
            </w:pPr>
            <w:r w:rsidRPr="00622C2C">
              <w:rPr>
                <w:sz w:val="16"/>
                <w:szCs w:val="16"/>
              </w:rPr>
              <w:t xml:space="preserve">It is primarily excreted via kidneys by glomerular filtration and tubular secretion. Therefore, renal impairment may affect drug elimination. </w:t>
            </w:r>
            <w:r w:rsidRPr="00622C2C">
              <w:rPr>
                <w:rFonts w:cstheme="minorHAnsi"/>
                <w:sz w:val="16"/>
                <w:szCs w:val="16"/>
              </w:rPr>
              <w:t>Piperacillin-tazobactam has unreliable CNS penetration and should not used for CNS infections (E.g. meningitis)</w:t>
            </w:r>
          </w:p>
        </w:tc>
      </w:tr>
      <w:tr w:rsidRPr="003B78EA" w:rsidR="00622C2C" w:rsidTr="00FE4186" w14:paraId="06236209" w14:textId="77777777">
        <w:trPr>
          <w:trHeight w:val="263"/>
        </w:trPr>
        <w:tc>
          <w:tcPr>
            <w:tcW w:w="882" w:type="pct"/>
          </w:tcPr>
          <w:p w:rsidRPr="003B78EA" w:rsidR="00622C2C" w:rsidP="00FE4186" w:rsidRDefault="00622C2C" w14:paraId="1289E5DE"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Practice points</w:t>
            </w:r>
          </w:p>
        </w:tc>
        <w:tc>
          <w:tcPr>
            <w:tcW w:w="4118" w:type="pct"/>
          </w:tcPr>
          <w:p w:rsidRPr="00622C2C" w:rsidR="00622C2C" w:rsidP="00FE4186" w:rsidRDefault="00622C2C" w14:paraId="4F442F45" w14:textId="77777777">
            <w:pPr>
              <w:pStyle w:val="BodyText"/>
              <w:tabs>
                <w:tab w:val="left" w:pos="1168"/>
              </w:tabs>
              <w:rPr>
                <w:rFonts w:asciiTheme="minorHAnsi" w:hAnsiTheme="minorHAnsi" w:cstheme="minorHAnsi"/>
                <w:sz w:val="16"/>
                <w:szCs w:val="16"/>
              </w:rPr>
            </w:pPr>
            <w:r w:rsidRPr="00622C2C">
              <w:rPr>
                <w:rFonts w:asciiTheme="minorHAnsi" w:hAnsiTheme="minorHAnsi" w:cstheme="minorHAnsi"/>
                <w:sz w:val="16"/>
                <w:szCs w:val="16"/>
              </w:rPr>
              <w:t>Piperacillin - tazobactam can be safely used for treatment of non-CNS systemic infections, necrotising enterocolitis and intra-abdominal infections in very low birth weight infants.</w:t>
            </w:r>
            <w:r w:rsidRPr="00622C2C">
              <w:rPr>
                <w:rFonts w:asciiTheme="minorHAnsi" w:hAnsiTheme="minorHAnsi" w:cstheme="minorHAnsi"/>
                <w:noProof/>
                <w:sz w:val="16"/>
                <w:szCs w:val="16"/>
              </w:rPr>
              <w:t>(13)</w:t>
            </w:r>
            <w:r w:rsidRPr="00622C2C">
              <w:rPr>
                <w:rFonts w:asciiTheme="minorHAnsi" w:hAnsiTheme="minorHAnsi" w:cstheme="minorHAnsi"/>
                <w:sz w:val="16"/>
                <w:szCs w:val="16"/>
              </w:rPr>
              <w:t xml:space="preserve"> (LOE IV, GOR B)</w:t>
            </w:r>
          </w:p>
          <w:p w:rsidRPr="00622C2C" w:rsidR="00622C2C" w:rsidP="00FE4186" w:rsidRDefault="00622C2C" w14:paraId="05D637B2" w14:textId="77777777">
            <w:pPr>
              <w:pStyle w:val="BodyText"/>
              <w:tabs>
                <w:tab w:val="left" w:pos="1168"/>
              </w:tabs>
              <w:rPr>
                <w:rFonts w:asciiTheme="minorHAnsi" w:hAnsiTheme="minorHAnsi" w:cstheme="minorHAnsi"/>
                <w:sz w:val="16"/>
                <w:szCs w:val="16"/>
              </w:rPr>
            </w:pPr>
            <w:r w:rsidRPr="00622C2C">
              <w:rPr>
                <w:rFonts w:asciiTheme="minorHAnsi" w:hAnsiTheme="minorHAnsi" w:cstheme="minorHAnsi"/>
                <w:sz w:val="16"/>
                <w:szCs w:val="16"/>
              </w:rPr>
              <w:t xml:space="preserve">The recommended dose regimen in this formulary is a pragmatic adaptation of the dosing suggested by Cohen-Wolkowiez et al. </w:t>
            </w:r>
            <w:r w:rsidRPr="00622C2C">
              <w:rPr>
                <w:rFonts w:asciiTheme="minorHAnsi" w:hAnsiTheme="minorHAnsi" w:cstheme="minorHAnsi"/>
                <w:noProof/>
                <w:sz w:val="16"/>
                <w:szCs w:val="16"/>
              </w:rPr>
              <w:t>(3)</w:t>
            </w:r>
            <w:r w:rsidRPr="00622C2C">
              <w:rPr>
                <w:rFonts w:asciiTheme="minorHAnsi" w:hAnsiTheme="minorHAnsi" w:cstheme="minorHAnsi"/>
                <w:sz w:val="16"/>
                <w:szCs w:val="16"/>
              </w:rPr>
              <w:t xml:space="preserve"> (LOE IV, GOR B)</w:t>
            </w:r>
          </w:p>
        </w:tc>
      </w:tr>
      <w:tr w:rsidRPr="00300BD7" w:rsidR="00622C2C" w:rsidTr="00FE4186" w14:paraId="10EAF233" w14:textId="77777777">
        <w:trPr>
          <w:trHeight w:val="263"/>
        </w:trPr>
        <w:tc>
          <w:tcPr>
            <w:tcW w:w="882" w:type="pct"/>
          </w:tcPr>
          <w:p w:rsidRPr="003B78EA" w:rsidR="00622C2C" w:rsidP="00FE4186" w:rsidRDefault="00622C2C" w14:paraId="1674B9DB"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4118" w:type="pct"/>
          </w:tcPr>
          <w:p w:rsidRPr="00622C2C" w:rsidR="00622C2C" w:rsidP="00FE4186" w:rsidRDefault="00622C2C" w14:paraId="170ABE15"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1.</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Perry CM, Markham A. Piperacillin/Tazobactam. Drugs. 1999;57(5):805-43.</w:t>
            </w:r>
          </w:p>
          <w:p w:rsidRPr="00622C2C" w:rsidR="00622C2C" w:rsidP="00FE4186" w:rsidRDefault="00622C2C" w14:paraId="122AF5F6"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2.</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John Jr JF, Davidson R, Low DE. Staphylococcus epidermidis and other coagulase-negative staphylococci. Antimicrobial therapy and vaccines E-Sun Technologies, Pittsburgh, PA. 2010.</w:t>
            </w:r>
          </w:p>
          <w:p w:rsidRPr="00622C2C" w:rsidR="00622C2C" w:rsidP="00FE4186" w:rsidRDefault="00622C2C" w14:paraId="152A990A"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3.</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Cohen-Wolkowiez M, Watt KM, Zhou C, Bloom BT, Poindexter B, Castro L, et al. Developmental pharmacokinetics of piperacillin and tazobactam using plasma and dried blood spots from infants. Antimicrobial agents and chemotherapy. 2014;58(5):2856-65.</w:t>
            </w:r>
          </w:p>
          <w:p w:rsidRPr="00622C2C" w:rsidR="00622C2C" w:rsidP="00FE4186" w:rsidRDefault="00622C2C" w14:paraId="1E3DD0BA"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4.</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Salerno S, Hornik CP, Cohen-Wolkowiez M, Smith PB, Ku LC, Kelly MS, et al. Use of population pharmacokinetics and electronic health records to assess piperacillin-tazobactam safety in infants. The Pediatric infectious disease journal. 2017;36(9):855.</w:t>
            </w:r>
          </w:p>
          <w:p w:rsidRPr="00622C2C" w:rsidR="00622C2C" w:rsidP="00FE4186" w:rsidRDefault="00622C2C" w14:paraId="447D3CF9"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5.</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Donadello K, Antonucci E, Cristallini S, Roberts JA, Beumier M, Scolletta S, et al. β-Lactam pharmacokinetics during extracorporeal membrane oxygenation therapy: a case–control study. International journal of antimicrobial agents. 2015;45(3):278-82.</w:t>
            </w:r>
          </w:p>
          <w:p w:rsidRPr="00622C2C" w:rsidR="00622C2C" w:rsidP="00FE4186" w:rsidRDefault="00622C2C" w14:paraId="1398E84A"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6.</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Sherwin J, Heath T, Watt K. Pharmacokinetics and dosing of anti-infective drugs in patients on extracorporeal membrane oxygenation: a review of the current literature. Clinical therapeutics. 2016;38(9):1976-94.</w:t>
            </w:r>
          </w:p>
          <w:p w:rsidRPr="00622C2C" w:rsidR="00622C2C" w:rsidP="00FE4186" w:rsidRDefault="00622C2C" w14:paraId="6C140B76"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7.</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MIMS. Piperacillin/Tazobactam. (Accessed on 5 November 2020).</w:t>
            </w:r>
          </w:p>
          <w:p w:rsidRPr="00622C2C" w:rsidR="00622C2C" w:rsidP="00FE4186" w:rsidRDefault="00622C2C" w14:paraId="5808B0FE"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8.</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Kalligeros M, Karageorgos SA, Shehadeh F, Zacharioudakis IM, Mylonakis E. The association of acute kidney injury with the concomitant use of vancomycin and piperacillin/tazobactam in children: A systematic review and meta-analysis. Antimicrobial Agents and Chemotherapy. 2019:AAC. 01572-19.</w:t>
            </w:r>
          </w:p>
          <w:p w:rsidRPr="00622C2C" w:rsidR="00622C2C" w:rsidP="00FE4186" w:rsidRDefault="00622C2C" w14:paraId="607AD551"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9.</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Avedissian SN, Pais GM, Liu J, Rhodes NJ, Scheetz MH. Piperacillin-tazobactam added to vancomycin increases risk for acute kidney injury: fact or fiction? Clinical Infectious Diseases. 2020;71(2):426-32.</w:t>
            </w:r>
          </w:p>
          <w:p w:rsidRPr="00622C2C" w:rsidR="00622C2C" w:rsidP="00FE4186" w:rsidRDefault="00622C2C" w14:paraId="6356647B"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10.</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Chen X-Y, Xu R-X, Zhou X, Liu Y, Hu C-Y, Xie X-F. Acute kidney injury associated with concomitant vancomycin and piperacillin/tazobactam administration: a systematic review and meta-analysis. International Urology and Nephrology. 2018;50(11):2019-26.</w:t>
            </w:r>
          </w:p>
          <w:p w:rsidRPr="00622C2C" w:rsidR="00622C2C" w:rsidP="00FE4186" w:rsidRDefault="00622C2C" w14:paraId="0459BDA5"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11.</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Salerno SN, Liao Y, Jackson W, Greenberg RG, McKinzie CJ, McCallister A, et al. Association between Nephrotoxic Drug Combinations and Acute Kidney Injury in the Neonatal Intensive Care Unit. The Journal of Pediatrics. 2020.</w:t>
            </w:r>
          </w:p>
          <w:p w:rsidRPr="00622C2C" w:rsidR="00622C2C" w:rsidP="00FE4186" w:rsidRDefault="00622C2C" w14:paraId="01CD1932"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12.</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Australian Injectable Drugs Handbook, 8th Edition. Piperacillin and tazobactam. (Accessed on 5 November 2020.).</w:t>
            </w:r>
          </w:p>
          <w:p w:rsidRPr="00622C2C" w:rsidR="00622C2C" w:rsidP="00FE4186" w:rsidRDefault="00622C2C" w14:paraId="344C33C2"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t>13.</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Berger A, Kretzer V, Apfalter P, Rohrmeister K, Zaknun D, Pollak A. Safety evaluation of piperacillin/tazobactam in very low birth weight infants. Journal of chemotherapy. 2004;16(2):166-71.</w:t>
            </w:r>
          </w:p>
          <w:p w:rsidRPr="00622C2C" w:rsidR="00622C2C" w:rsidP="00FE4186" w:rsidRDefault="00622C2C" w14:paraId="6A6A73D7" w14:textId="77777777">
            <w:pPr>
              <w:spacing w:after="160" w:line="259" w:lineRule="auto"/>
              <w:ind w:left="360" w:hanging="360"/>
              <w:contextualSpacing/>
              <w:rPr>
                <w:rFonts w:asciiTheme="minorHAnsi" w:hAnsiTheme="minorHAnsi" w:eastAsiaTheme="minorHAnsi" w:cstheme="minorHAnsi"/>
                <w:sz w:val="16"/>
                <w:szCs w:val="16"/>
              </w:rPr>
            </w:pPr>
            <w:r w:rsidRPr="00622C2C">
              <w:rPr>
                <w:rFonts w:asciiTheme="minorHAnsi" w:hAnsiTheme="minorHAnsi" w:eastAsiaTheme="minorHAnsi" w:cstheme="minorHAnsi"/>
                <w:sz w:val="16"/>
                <w:szCs w:val="16"/>
              </w:rPr>
              <w:lastRenderedPageBreak/>
              <w:t>14.</w:t>
            </w:r>
            <w:r w:rsidRPr="00622C2C">
              <w:rPr>
                <w:rFonts w:asciiTheme="minorHAnsi" w:hAnsiTheme="minorHAnsi" w:eastAsiaTheme="minorHAnsi" w:cstheme="minorHAnsi"/>
                <w:sz w:val="16"/>
                <w:szCs w:val="16"/>
              </w:rPr>
              <w:tab/>
            </w:r>
            <w:r w:rsidRPr="00622C2C">
              <w:rPr>
                <w:rFonts w:asciiTheme="minorHAnsi" w:hAnsiTheme="minorHAnsi" w:eastAsiaTheme="minorHAnsi" w:cstheme="minorHAnsi"/>
                <w:sz w:val="16"/>
                <w:szCs w:val="16"/>
              </w:rPr>
              <w:t>Kaye KS, Bhowmick T, Metallidis S, Bleasdale SC, Sagan OS, Stus V, et al. Effect of meropenem-vaborbactam vs piperacillin-tazobactam on clinical cure or improvement and microbial eradication in complicated urinary tract infection: the TANGO I randomized clinical trial. Jama. 2018;319(8):788-99.</w:t>
            </w:r>
          </w:p>
        </w:tc>
      </w:tr>
    </w:tbl>
    <w:p w:rsidR="007E7501" w:rsidP="006F0321" w:rsidRDefault="007E7501" w14:paraId="21DC03A4" w14:textId="77777777"/>
    <w:p w:rsidRPr="00E25790" w:rsidR="00F5561A" w:rsidP="006F0321" w:rsidRDefault="00F5561A" w14:paraId="03402B53"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0431B" w:rsidTr="00FB1E38" w14:paraId="28814078" w14:textId="77777777">
        <w:tc>
          <w:tcPr>
            <w:tcW w:w="4535" w:type="dxa"/>
            <w:vAlign w:val="center"/>
          </w:tcPr>
          <w:p w:rsidRPr="00E25790" w:rsidR="007E7501" w:rsidP="00FB1E38" w:rsidRDefault="007E7501" w14:paraId="10846E17" w14:textId="77777777">
            <w:r w:rsidRPr="00E25790">
              <w:t>Original version Date: 05/12/2015</w:t>
            </w:r>
          </w:p>
        </w:tc>
        <w:tc>
          <w:tcPr>
            <w:tcW w:w="4535" w:type="dxa"/>
            <w:vAlign w:val="center"/>
          </w:tcPr>
          <w:p w:rsidRPr="00E25790" w:rsidR="007E7501" w:rsidP="00FB1E38" w:rsidRDefault="007E7501" w14:paraId="43803515" w14:textId="77777777">
            <w:r w:rsidRPr="00E25790">
              <w:t>Author: NeoMed Consensus Group</w:t>
            </w:r>
          </w:p>
        </w:tc>
      </w:tr>
      <w:tr w:rsidRPr="00E25790" w:rsidR="0020431B" w:rsidTr="00FB1E38" w14:paraId="5DF93DF2" w14:textId="77777777">
        <w:tc>
          <w:tcPr>
            <w:tcW w:w="4535" w:type="dxa"/>
            <w:vAlign w:val="center"/>
          </w:tcPr>
          <w:p w:rsidRPr="00E25790" w:rsidR="007E7501" w:rsidP="00FB1E38" w:rsidRDefault="007E7501" w14:paraId="01930D45" w14:textId="46566E7B">
            <w:pPr>
              <w:rPr>
                <w:bCs/>
              </w:rPr>
            </w:pPr>
            <w:r w:rsidRPr="00E25790">
              <w:t xml:space="preserve">Current Version number:  </w:t>
            </w:r>
            <w:r w:rsidR="000D41E5">
              <w:t>3</w:t>
            </w:r>
          </w:p>
        </w:tc>
        <w:tc>
          <w:tcPr>
            <w:tcW w:w="4535" w:type="dxa"/>
            <w:vAlign w:val="center"/>
          </w:tcPr>
          <w:p w:rsidRPr="00E25790" w:rsidR="007E7501" w:rsidP="00FB1E38" w:rsidRDefault="007E7501" w14:paraId="0170C319" w14:textId="482F897C">
            <w:r w:rsidRPr="00E25790">
              <w:t xml:space="preserve">Version Date:  </w:t>
            </w:r>
            <w:r w:rsidR="000D41E5">
              <w:t>9-6-2021</w:t>
            </w:r>
          </w:p>
        </w:tc>
      </w:tr>
      <w:tr w:rsidRPr="00E25790" w:rsidR="0020431B" w:rsidTr="00FB1E38" w14:paraId="5EF349D1" w14:textId="77777777">
        <w:tc>
          <w:tcPr>
            <w:tcW w:w="4535" w:type="dxa"/>
            <w:vAlign w:val="center"/>
          </w:tcPr>
          <w:p w:rsidRPr="00E25790" w:rsidR="007E7501" w:rsidP="00FB1E38" w:rsidRDefault="007E7501" w14:paraId="3DCA442B" w14:textId="151F23C8">
            <w:r w:rsidRPr="00E25790">
              <w:t xml:space="preserve">Risk Rating: </w:t>
            </w:r>
            <w:r w:rsidR="00622C2C">
              <w:t>Low</w:t>
            </w:r>
          </w:p>
        </w:tc>
        <w:tc>
          <w:tcPr>
            <w:tcW w:w="4535" w:type="dxa"/>
            <w:vAlign w:val="center"/>
          </w:tcPr>
          <w:p w:rsidRPr="00E25790" w:rsidR="007E7501" w:rsidP="00FB1E38" w:rsidRDefault="007E7501" w14:paraId="13A5E949" w14:textId="7CFF3149">
            <w:r w:rsidRPr="00E25790">
              <w:t xml:space="preserve">Due for Review:  </w:t>
            </w:r>
            <w:r w:rsidR="000D41E5">
              <w:t>9-6-2026</w:t>
            </w:r>
          </w:p>
        </w:tc>
      </w:tr>
      <w:tr w:rsidRPr="00E25790" w:rsidR="0020431B" w:rsidTr="00FB1E38" w14:paraId="046952D1" w14:textId="77777777">
        <w:trPr>
          <w:trHeight w:val="344"/>
        </w:trPr>
        <w:tc>
          <w:tcPr>
            <w:tcW w:w="4535" w:type="dxa"/>
            <w:tcBorders>
              <w:bottom w:val="single" w:color="auto" w:sz="4" w:space="0"/>
            </w:tcBorders>
            <w:vAlign w:val="center"/>
          </w:tcPr>
          <w:p w:rsidRPr="00E25790" w:rsidR="007E7501" w:rsidP="00FB1E38" w:rsidRDefault="007E7501" w14:paraId="3663CEE3" w14:textId="77777777">
            <w:r w:rsidRPr="00E25790">
              <w:t>Approved by: DTC</w:t>
            </w:r>
          </w:p>
        </w:tc>
        <w:tc>
          <w:tcPr>
            <w:tcW w:w="4535" w:type="dxa"/>
            <w:tcBorders>
              <w:bottom w:val="single" w:color="auto" w:sz="4" w:space="0"/>
            </w:tcBorders>
            <w:vAlign w:val="center"/>
          </w:tcPr>
          <w:p w:rsidRPr="00E25790" w:rsidR="007E7501" w:rsidP="00FB1E38" w:rsidRDefault="007E7501" w14:paraId="2E04ACE3" w14:textId="563E340E">
            <w:r w:rsidRPr="00E25790">
              <w:t xml:space="preserve">Approval Date: </w:t>
            </w:r>
            <w:r w:rsidR="000D41E5">
              <w:t>June</w:t>
            </w:r>
            <w:r w:rsidR="00260BC8">
              <w:t xml:space="preserve"> 2021</w:t>
            </w:r>
          </w:p>
        </w:tc>
      </w:tr>
    </w:tbl>
    <w:p w:rsidRPr="00E25790" w:rsidR="007E7501" w:rsidP="006F0321" w:rsidRDefault="007E7501" w14:paraId="579AC0F0" w14:textId="77777777"/>
    <w:p w:rsidRPr="00E25790" w:rsidR="00115F48" w:rsidP="006F0321" w:rsidRDefault="00115F48" w14:paraId="0FCE5201" w14:textId="05C2F7A6">
      <w:r>
        <w:br w:type="page"/>
      </w:r>
    </w:p>
    <w:tbl>
      <w:tblPr>
        <w:tblW w:w="0" w:type="auto"/>
        <w:tblBorders>
          <w:top w:val="double" w:color="auto" w:sz="6" w:space="0"/>
          <w:left w:val="double" w:color="auto" w:sz="6" w:space="0"/>
          <w:bottom w:val="double" w:color="auto" w:sz="6" w:space="0"/>
          <w:right w:val="double" w:color="auto" w:sz="6" w:space="0"/>
          <w:insideH w:val="double" w:color="auto" w:sz="6" w:space="0"/>
        </w:tblBorders>
        <w:tblLook w:val="0000" w:firstRow="0" w:lastRow="0" w:firstColumn="0" w:lastColumn="0" w:noHBand="0" w:noVBand="0"/>
      </w:tblPr>
      <w:tblGrid>
        <w:gridCol w:w="4122"/>
        <w:gridCol w:w="4858"/>
      </w:tblGrid>
      <w:tr w:rsidR="564361E5" w:rsidTr="564361E5" w14:paraId="2B9AE0FE" w14:textId="77777777">
        <w:trPr>
          <w:trHeight w:val="720"/>
        </w:trPr>
        <w:tc>
          <w:tcPr>
            <w:tcW w:w="8980" w:type="dxa"/>
            <w:gridSpan w:val="2"/>
            <w:shd w:val="clear" w:color="auto" w:fill="FFFF00"/>
          </w:tcPr>
          <w:p w:rsidR="564361E5" w:rsidP="564361E5" w:rsidRDefault="564361E5" w14:paraId="21DF0887" w14:textId="556F7E0E">
            <w:pPr>
              <w:pStyle w:val="Heading1"/>
            </w:pPr>
            <w:bookmarkStart w:name="_Toc75340028" w:id="494"/>
            <w:r>
              <w:lastRenderedPageBreak/>
              <w:t>P</w:t>
            </w:r>
            <w:r w:rsidR="3DFE506A">
              <w:t>neumococcal vaccine – Prevenar 13</w:t>
            </w:r>
            <w:bookmarkEnd w:id="494"/>
            <w:r>
              <w:fldChar w:fldCharType="begin"/>
            </w:r>
            <w:r>
              <w:instrText>tc "Ampicillin" \l 0</w:instrText>
            </w:r>
            <w:r>
              <w:fldChar w:fldCharType="end"/>
            </w:r>
          </w:p>
        </w:tc>
      </w:tr>
      <w:tr w:rsidR="564361E5" w:rsidTr="564361E5" w14:paraId="2EAE62AD" w14:textId="77777777">
        <w:trPr>
          <w:trHeight w:val="480"/>
        </w:trPr>
        <w:tc>
          <w:tcPr>
            <w:tcW w:w="4122" w:type="dxa"/>
            <w:shd w:val="clear" w:color="auto" w:fill="FFFF00"/>
          </w:tcPr>
          <w:p w:rsidR="564361E5" w:rsidRDefault="564361E5" w14:paraId="213CEF9C" w14:textId="2F35B48C">
            <w:r>
              <w:t xml:space="preserve">Revision Date : </w:t>
            </w:r>
            <w:r w:rsidR="00516F9C">
              <w:t>2-3-2020</w:t>
            </w:r>
          </w:p>
        </w:tc>
        <w:tc>
          <w:tcPr>
            <w:tcW w:w="4858" w:type="dxa"/>
            <w:shd w:val="clear" w:color="auto" w:fill="FFFF00"/>
          </w:tcPr>
          <w:p w:rsidR="564361E5" w:rsidRDefault="564361E5" w14:paraId="2519425A" w14:textId="77777777">
            <w:r>
              <w:t>Approved : TC, KOH</w:t>
            </w:r>
          </w:p>
        </w:tc>
      </w:tr>
    </w:tbl>
    <w:p w:rsidRPr="00E25790" w:rsidR="00115F48" w:rsidP="006F0321" w:rsidRDefault="00115F48" w14:paraId="2FE0E759" w14:textId="77777777"/>
    <w:tbl>
      <w:tblPr>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03"/>
        <w:gridCol w:w="2760"/>
        <w:gridCol w:w="4293"/>
      </w:tblGrid>
      <w:tr w:rsidR="00043BF0" w:rsidTr="00516F9C" w14:paraId="4BFDCD42" w14:textId="77777777">
        <w:trPr>
          <w:trHeight w:val="540"/>
        </w:trPr>
        <w:tc>
          <w:tcPr>
            <w:tcW w:w="2303" w:type="dxa"/>
          </w:tcPr>
          <w:p w:rsidR="564361E5" w:rsidP="564361E5" w:rsidRDefault="564361E5" w14:paraId="530ECFFE" w14:textId="5E5CB578">
            <w:pPr>
              <w:rPr>
                <w:b/>
                <w:bCs/>
                <w:lang w:val="en-AU"/>
              </w:rPr>
            </w:pPr>
            <w:r w:rsidRPr="564361E5">
              <w:rPr>
                <w:b/>
                <w:bCs/>
                <w:lang w:val="en-AU"/>
              </w:rPr>
              <w:t>Alert</w:t>
            </w:r>
          </w:p>
        </w:tc>
        <w:tc>
          <w:tcPr>
            <w:tcW w:w="7053" w:type="dxa"/>
            <w:gridSpan w:val="2"/>
          </w:tcPr>
          <w:p w:rsidR="187B714A" w:rsidP="564361E5" w:rsidRDefault="187B714A" w14:paraId="0E0CF957" w14:textId="2FD34751">
            <w:pPr>
              <w:rPr>
                <w:sz w:val="20"/>
                <w:lang w:val="en-AU"/>
              </w:rPr>
            </w:pPr>
            <w:r w:rsidRPr="564361E5">
              <w:rPr>
                <w:sz w:val="20"/>
                <w:lang w:val="en-AU"/>
              </w:rPr>
              <w:t>Increased risk of fever when pneumococcal conjugate vaccine concurrently administered with other vaccines.</w:t>
            </w:r>
          </w:p>
          <w:p w:rsidR="187B714A" w:rsidP="564361E5" w:rsidRDefault="187B714A" w14:paraId="662EA442" w14:textId="71854CBA">
            <w:r w:rsidRPr="564361E5">
              <w:rPr>
                <w:sz w:val="20"/>
                <w:lang w:val="en-AU"/>
              </w:rPr>
              <w:t>Register the vaccination with the National Immunisation Registry by faxing a copy of the immunisation details from “My personal health record” to Anne Allen on 93824309.</w:t>
            </w:r>
          </w:p>
          <w:p w:rsidR="564361E5" w:rsidP="564361E5" w:rsidRDefault="564361E5" w14:paraId="466F81EC" w14:textId="43CDA6DE">
            <w:pPr>
              <w:rPr>
                <w:sz w:val="20"/>
                <w:lang w:val="en-AU"/>
              </w:rPr>
            </w:pPr>
          </w:p>
        </w:tc>
      </w:tr>
      <w:tr w:rsidR="00043BF0" w:rsidTr="00516F9C" w14:paraId="3DEE7B9A" w14:textId="77777777">
        <w:trPr>
          <w:trHeight w:val="1860"/>
        </w:trPr>
        <w:tc>
          <w:tcPr>
            <w:tcW w:w="2303" w:type="dxa"/>
          </w:tcPr>
          <w:p w:rsidR="564361E5" w:rsidP="564361E5" w:rsidRDefault="564361E5" w14:paraId="5567A04F" w14:textId="77777777">
            <w:pPr>
              <w:rPr>
                <w:lang w:val="en-AU"/>
              </w:rPr>
            </w:pPr>
            <w:r w:rsidRPr="564361E5">
              <w:rPr>
                <w:b/>
                <w:bCs/>
                <w:lang w:val="en-AU"/>
              </w:rPr>
              <w:t xml:space="preserve">Indication </w:t>
            </w:r>
            <w:r w:rsidRPr="564361E5">
              <w:rPr>
                <w:lang w:val="en-AU"/>
              </w:rPr>
              <w:t xml:space="preserve">                        </w:t>
            </w:r>
          </w:p>
          <w:p w:rsidR="564361E5" w:rsidP="564361E5" w:rsidRDefault="564361E5" w14:paraId="12238DEC" w14:textId="77777777">
            <w:pPr>
              <w:rPr>
                <w:lang w:val="en-AU"/>
              </w:rPr>
            </w:pPr>
          </w:p>
        </w:tc>
        <w:tc>
          <w:tcPr>
            <w:tcW w:w="7053" w:type="dxa"/>
            <w:gridSpan w:val="2"/>
          </w:tcPr>
          <w:p w:rsidR="3F971B8A" w:rsidP="564361E5" w:rsidRDefault="3F971B8A" w14:paraId="02DAEF86" w14:textId="233CE677">
            <w:pPr>
              <w:rPr>
                <w:sz w:val="20"/>
                <w:lang w:val="en-AU"/>
              </w:rPr>
            </w:pPr>
            <w:r w:rsidRPr="564361E5">
              <w:rPr>
                <w:sz w:val="20"/>
                <w:lang w:val="en-AU"/>
              </w:rPr>
              <w:t xml:space="preserve">1. Primary immunisation against pneumococcal disease in infants at 6 weeks/2 months, 4 and 6 months of age. </w:t>
            </w:r>
          </w:p>
          <w:p w:rsidR="3F971B8A" w:rsidP="564361E5" w:rsidRDefault="3F971B8A" w14:paraId="6CA68044" w14:textId="642CFDD8">
            <w:pPr>
              <w:rPr>
                <w:sz w:val="20"/>
                <w:lang w:val="en-AU"/>
              </w:rPr>
            </w:pPr>
            <w:r w:rsidRPr="564361E5">
              <w:rPr>
                <w:sz w:val="20"/>
                <w:lang w:val="en-AU"/>
              </w:rPr>
              <w:t>2. Booster dose at 12 months in at risk children:</w:t>
            </w:r>
          </w:p>
          <w:p w:rsidR="3F971B8A" w:rsidP="0083246D" w:rsidRDefault="3F971B8A" w14:paraId="4477D913" w14:textId="64AF75E8">
            <w:pPr>
              <w:pStyle w:val="ListParagraph"/>
              <w:numPr>
                <w:ilvl w:val="0"/>
                <w:numId w:val="10"/>
              </w:numPr>
              <w:rPr>
                <w:rFonts w:eastAsia="Calibri" w:cs="Calibri"/>
                <w:sz w:val="20"/>
              </w:rPr>
            </w:pPr>
            <w:r w:rsidRPr="564361E5">
              <w:rPr>
                <w:sz w:val="20"/>
                <w:lang w:val="en-AU"/>
              </w:rPr>
              <w:t xml:space="preserve"> Indigenous children in Northern Territory, Queensland, South Australia or Western Australia.</w:t>
            </w:r>
          </w:p>
          <w:p w:rsidR="3F971B8A" w:rsidP="0083246D" w:rsidRDefault="3F971B8A" w14:paraId="5E738377" w14:textId="47443A6C">
            <w:pPr>
              <w:pStyle w:val="ListParagraph"/>
              <w:numPr>
                <w:ilvl w:val="0"/>
                <w:numId w:val="10"/>
              </w:numPr>
              <w:rPr>
                <w:rFonts w:eastAsia="Calibri" w:cs="Calibri"/>
                <w:sz w:val="20"/>
              </w:rPr>
            </w:pPr>
            <w:r w:rsidRPr="564361E5">
              <w:rPr>
                <w:sz w:val="20"/>
                <w:lang w:val="en-AU"/>
              </w:rPr>
              <w:t>Children with a medical condition associated with an increased risk of invasive pneumococcal disease.</w:t>
            </w:r>
          </w:p>
          <w:p w:rsidR="3F971B8A" w:rsidP="0083246D" w:rsidRDefault="3F971B8A" w14:paraId="7C10BF58" w14:textId="74E9AA17">
            <w:pPr>
              <w:pStyle w:val="ListParagraph"/>
              <w:numPr>
                <w:ilvl w:val="0"/>
                <w:numId w:val="10"/>
              </w:numPr>
              <w:rPr>
                <w:rFonts w:eastAsia="Calibri" w:cs="Calibri"/>
                <w:sz w:val="20"/>
              </w:rPr>
            </w:pPr>
            <w:r w:rsidRPr="564361E5">
              <w:rPr>
                <w:sz w:val="20"/>
                <w:lang w:val="en-AU"/>
              </w:rPr>
              <w:t>Preterm infants &lt; 28 weeks gestation</w:t>
            </w:r>
          </w:p>
          <w:p w:rsidR="3F971B8A" w:rsidP="564361E5" w:rsidRDefault="3F971B8A" w14:paraId="2EBD5B6F" w14:textId="4B33754C">
            <w:r w:rsidRPr="564361E5">
              <w:rPr>
                <w:sz w:val="20"/>
                <w:lang w:val="en-AU"/>
              </w:rPr>
              <w:t>3. Catch-up vaccination schedules in children up to 5 years of age.</w:t>
            </w:r>
          </w:p>
          <w:p w:rsidR="564361E5" w:rsidP="564361E5" w:rsidRDefault="564361E5" w14:paraId="56A90DE8" w14:textId="02278476">
            <w:pPr>
              <w:rPr>
                <w:sz w:val="20"/>
                <w:lang w:val="en-AU"/>
              </w:rPr>
            </w:pPr>
          </w:p>
        </w:tc>
      </w:tr>
      <w:tr w:rsidR="00043BF0" w:rsidTr="00516F9C" w14:paraId="5A6592A5" w14:textId="77777777">
        <w:trPr>
          <w:trHeight w:val="472"/>
        </w:trPr>
        <w:tc>
          <w:tcPr>
            <w:tcW w:w="2303" w:type="dxa"/>
          </w:tcPr>
          <w:p w:rsidR="564361E5" w:rsidP="564361E5" w:rsidRDefault="564361E5" w14:paraId="4B916E8A" w14:textId="77777777">
            <w:pPr>
              <w:rPr>
                <w:b/>
                <w:bCs/>
                <w:lang w:val="en-AU"/>
              </w:rPr>
            </w:pPr>
            <w:r w:rsidRPr="564361E5">
              <w:rPr>
                <w:b/>
                <w:bCs/>
                <w:lang w:val="en-AU"/>
              </w:rPr>
              <w:t>Action</w:t>
            </w:r>
          </w:p>
        </w:tc>
        <w:tc>
          <w:tcPr>
            <w:tcW w:w="7053" w:type="dxa"/>
            <w:gridSpan w:val="2"/>
          </w:tcPr>
          <w:p w:rsidR="6DE7E098" w:rsidP="564361E5" w:rsidRDefault="6DE7E098" w14:paraId="437D9B9B" w14:textId="4A269C27">
            <w:pPr>
              <w:rPr>
                <w:sz w:val="20"/>
                <w:lang w:val="en-AU"/>
              </w:rPr>
            </w:pPr>
            <w:r w:rsidRPr="564361E5">
              <w:rPr>
                <w:sz w:val="20"/>
                <w:lang w:val="en-AU"/>
              </w:rPr>
              <w:t>Induces the production of antibodies against Streptococcus pneumoniae.</w:t>
            </w:r>
          </w:p>
          <w:p w:rsidR="564361E5" w:rsidP="564361E5" w:rsidRDefault="564361E5" w14:paraId="3233767E" w14:textId="48EA8B8C">
            <w:pPr>
              <w:rPr>
                <w:sz w:val="20"/>
                <w:lang w:val="en-AU"/>
              </w:rPr>
            </w:pPr>
          </w:p>
        </w:tc>
      </w:tr>
      <w:tr w:rsidR="00043BF0" w:rsidTr="00516F9C" w14:paraId="79983BA9" w14:textId="77777777">
        <w:trPr>
          <w:trHeight w:val="660"/>
        </w:trPr>
        <w:tc>
          <w:tcPr>
            <w:tcW w:w="2303" w:type="dxa"/>
          </w:tcPr>
          <w:p w:rsidR="564361E5" w:rsidP="564361E5" w:rsidRDefault="564361E5" w14:paraId="6A211C15" w14:textId="77777777">
            <w:pPr>
              <w:rPr>
                <w:lang w:val="en-AU"/>
              </w:rPr>
            </w:pPr>
            <w:r w:rsidRPr="564361E5">
              <w:rPr>
                <w:b/>
                <w:bCs/>
                <w:lang w:val="en-AU"/>
              </w:rPr>
              <w:t>Drug Type</w:t>
            </w:r>
            <w:r w:rsidRPr="564361E5">
              <w:rPr>
                <w:lang w:val="en-AU"/>
              </w:rPr>
              <w:t xml:space="preserve">                                   </w:t>
            </w:r>
          </w:p>
        </w:tc>
        <w:tc>
          <w:tcPr>
            <w:tcW w:w="7053" w:type="dxa"/>
            <w:gridSpan w:val="2"/>
          </w:tcPr>
          <w:p w:rsidR="1F6DC045" w:rsidP="564361E5" w:rsidRDefault="1F6DC045" w14:paraId="5CE91940" w14:textId="071F8689">
            <w:pPr>
              <w:rPr>
                <w:sz w:val="20"/>
                <w:lang w:val="en-AU"/>
              </w:rPr>
            </w:pPr>
            <w:r w:rsidRPr="564361E5">
              <w:rPr>
                <w:sz w:val="20"/>
                <w:lang w:val="en-AU"/>
              </w:rPr>
              <w:t>Vaccine</w:t>
            </w:r>
          </w:p>
          <w:p w:rsidR="1F6DC045" w:rsidP="564361E5" w:rsidRDefault="1F6DC045" w14:paraId="4483BC93" w14:textId="22B717B1">
            <w:pPr>
              <w:rPr>
                <w:sz w:val="20"/>
                <w:lang w:val="en-AU"/>
              </w:rPr>
            </w:pPr>
            <w:r w:rsidRPr="564361E5">
              <w:rPr>
                <w:sz w:val="20"/>
                <w:lang w:val="en-AU"/>
              </w:rPr>
              <w:t>Conjugated pneumococcal vaccine composed of pneumococcal serotypes 1, 3, 4, 5, 6A, 6B, 7F, 9V, 14, 18C, 19A, 19F and 23F each conjugated to CRM197 carrier protein.</w:t>
            </w:r>
          </w:p>
          <w:p w:rsidR="564361E5" w:rsidP="564361E5" w:rsidRDefault="564361E5" w14:paraId="58A7D452" w14:textId="1F72AFC9">
            <w:pPr>
              <w:rPr>
                <w:sz w:val="20"/>
                <w:lang w:val="en-AU"/>
              </w:rPr>
            </w:pPr>
          </w:p>
        </w:tc>
      </w:tr>
      <w:tr w:rsidR="00043BF0" w:rsidTr="00516F9C" w14:paraId="7845F736" w14:textId="77777777">
        <w:trPr>
          <w:trHeight w:val="384"/>
        </w:trPr>
        <w:tc>
          <w:tcPr>
            <w:tcW w:w="2303" w:type="dxa"/>
          </w:tcPr>
          <w:p w:rsidR="564361E5" w:rsidP="564361E5" w:rsidRDefault="564361E5" w14:paraId="268C819B" w14:textId="77777777">
            <w:pPr>
              <w:rPr>
                <w:lang w:val="en-AU"/>
              </w:rPr>
            </w:pPr>
            <w:r w:rsidRPr="564361E5">
              <w:rPr>
                <w:b/>
                <w:bCs/>
                <w:lang w:val="en-AU"/>
              </w:rPr>
              <w:t xml:space="preserve">Trade Name </w:t>
            </w:r>
            <w:r w:rsidRPr="564361E5">
              <w:rPr>
                <w:lang w:val="en-AU"/>
              </w:rPr>
              <w:t xml:space="preserve">                 </w:t>
            </w:r>
          </w:p>
        </w:tc>
        <w:tc>
          <w:tcPr>
            <w:tcW w:w="7053" w:type="dxa"/>
            <w:gridSpan w:val="2"/>
          </w:tcPr>
          <w:p w:rsidR="720FF602" w:rsidP="564361E5" w:rsidRDefault="720FF602" w14:paraId="580D73FB" w14:textId="35292783">
            <w:pPr>
              <w:rPr>
                <w:sz w:val="20"/>
                <w:lang w:val="en-AU"/>
              </w:rPr>
            </w:pPr>
            <w:r w:rsidRPr="564361E5">
              <w:rPr>
                <w:sz w:val="20"/>
                <w:lang w:val="en-AU"/>
              </w:rPr>
              <w:t>Prevenar 13.</w:t>
            </w:r>
          </w:p>
        </w:tc>
      </w:tr>
      <w:tr w:rsidR="00043BF0" w:rsidTr="00516F9C" w14:paraId="0FC3F2AF" w14:textId="77777777">
        <w:trPr>
          <w:trHeight w:val="564"/>
        </w:trPr>
        <w:tc>
          <w:tcPr>
            <w:tcW w:w="2303" w:type="dxa"/>
          </w:tcPr>
          <w:p w:rsidR="564361E5" w:rsidP="564361E5" w:rsidRDefault="564361E5" w14:paraId="023DB8D6" w14:textId="77777777">
            <w:pPr>
              <w:rPr>
                <w:lang w:val="en-AU"/>
              </w:rPr>
            </w:pPr>
            <w:r w:rsidRPr="564361E5">
              <w:rPr>
                <w:b/>
                <w:bCs/>
                <w:lang w:val="en-AU"/>
              </w:rPr>
              <w:t>Presentation</w:t>
            </w:r>
            <w:r w:rsidRPr="564361E5">
              <w:rPr>
                <w:lang w:val="en-AU"/>
              </w:rPr>
              <w:t xml:space="preserve"> </w:t>
            </w:r>
          </w:p>
        </w:tc>
        <w:tc>
          <w:tcPr>
            <w:tcW w:w="7053" w:type="dxa"/>
            <w:gridSpan w:val="2"/>
          </w:tcPr>
          <w:p w:rsidR="022B92E3" w:rsidP="564361E5" w:rsidRDefault="022B92E3" w14:paraId="221D17B1" w14:textId="12827771">
            <w:pPr>
              <w:rPr>
                <w:sz w:val="20"/>
                <w:lang w:val="en-AU"/>
              </w:rPr>
            </w:pPr>
            <w:r w:rsidRPr="564361E5">
              <w:rPr>
                <w:sz w:val="20"/>
                <w:lang w:val="en-AU"/>
              </w:rPr>
              <w:t>Suspension in pre-filled syringe.</w:t>
            </w:r>
          </w:p>
        </w:tc>
      </w:tr>
      <w:tr w:rsidR="00043BF0" w:rsidTr="00516F9C" w14:paraId="616BAE3C" w14:textId="77777777">
        <w:trPr>
          <w:trHeight w:val="315"/>
        </w:trPr>
        <w:tc>
          <w:tcPr>
            <w:tcW w:w="2303" w:type="dxa"/>
          </w:tcPr>
          <w:p w:rsidR="564361E5" w:rsidP="564361E5" w:rsidRDefault="564361E5" w14:paraId="7BD56C3A" w14:textId="77777777">
            <w:pPr>
              <w:rPr>
                <w:lang w:val="en-AU"/>
              </w:rPr>
            </w:pPr>
            <w:r w:rsidRPr="564361E5">
              <w:rPr>
                <w:b/>
                <w:bCs/>
                <w:lang w:val="en-AU"/>
              </w:rPr>
              <w:t>Dosage / Interval</w:t>
            </w:r>
            <w:r w:rsidRPr="564361E5">
              <w:rPr>
                <w:lang w:val="en-AU"/>
              </w:rPr>
              <w:t xml:space="preserve">                           </w:t>
            </w:r>
          </w:p>
          <w:p w:rsidR="564361E5" w:rsidP="564361E5" w:rsidRDefault="564361E5" w14:paraId="1B3E1E3B" w14:textId="77777777">
            <w:pPr>
              <w:rPr>
                <w:lang w:val="en-AU"/>
              </w:rPr>
            </w:pPr>
          </w:p>
        </w:tc>
        <w:tc>
          <w:tcPr>
            <w:tcW w:w="7053" w:type="dxa"/>
            <w:gridSpan w:val="2"/>
          </w:tcPr>
          <w:p w:rsidR="0AA86257" w:rsidP="564361E5" w:rsidRDefault="0AA86257" w14:paraId="722762CB" w14:textId="035F012A">
            <w:pPr>
              <w:rPr>
                <w:b/>
                <w:bCs/>
                <w:sz w:val="20"/>
                <w:lang w:val="en-AU"/>
              </w:rPr>
            </w:pPr>
            <w:r w:rsidRPr="564361E5">
              <w:rPr>
                <w:sz w:val="20"/>
                <w:lang w:val="en-AU"/>
              </w:rPr>
              <w:t>0.5 mL.</w:t>
            </w:r>
          </w:p>
        </w:tc>
      </w:tr>
      <w:tr w:rsidR="00043BF0" w:rsidTr="00516F9C" w14:paraId="6500B27E" w14:textId="77777777">
        <w:trPr>
          <w:trHeight w:val="300"/>
        </w:trPr>
        <w:tc>
          <w:tcPr>
            <w:tcW w:w="2303" w:type="dxa"/>
          </w:tcPr>
          <w:p w:rsidR="564361E5" w:rsidP="564361E5" w:rsidRDefault="564361E5" w14:paraId="313FFE2D" w14:textId="0A9F00EB">
            <w:pPr>
              <w:rPr>
                <w:b/>
                <w:bCs/>
                <w:lang w:val="en-AU"/>
              </w:rPr>
            </w:pPr>
            <w:r w:rsidRPr="564361E5">
              <w:rPr>
                <w:b/>
                <w:bCs/>
                <w:lang w:val="en-AU"/>
              </w:rPr>
              <w:t>Dose adjustment</w:t>
            </w:r>
          </w:p>
        </w:tc>
        <w:tc>
          <w:tcPr>
            <w:tcW w:w="7053" w:type="dxa"/>
            <w:gridSpan w:val="2"/>
          </w:tcPr>
          <w:p w:rsidR="564361E5" w:rsidP="564361E5" w:rsidRDefault="564361E5" w14:paraId="2D64C112" w14:textId="7D0AB42C">
            <w:pPr>
              <w:rPr>
                <w:sz w:val="20"/>
                <w:lang w:val="en-AU"/>
              </w:rPr>
            </w:pPr>
          </w:p>
        </w:tc>
      </w:tr>
      <w:tr w:rsidR="00043BF0" w:rsidTr="00516F9C" w14:paraId="407BDCDB" w14:textId="77777777">
        <w:trPr>
          <w:trHeight w:val="300"/>
        </w:trPr>
        <w:tc>
          <w:tcPr>
            <w:tcW w:w="2303" w:type="dxa"/>
          </w:tcPr>
          <w:p w:rsidR="564361E5" w:rsidP="564361E5" w:rsidRDefault="564361E5" w14:paraId="7EFF65D9" w14:textId="295F6769">
            <w:pPr>
              <w:rPr>
                <w:b/>
                <w:bCs/>
                <w:lang w:val="en-AU"/>
              </w:rPr>
            </w:pPr>
            <w:r w:rsidRPr="564361E5">
              <w:rPr>
                <w:b/>
                <w:bCs/>
                <w:lang w:val="en-AU"/>
              </w:rPr>
              <w:t>Maximum dose</w:t>
            </w:r>
          </w:p>
        </w:tc>
        <w:tc>
          <w:tcPr>
            <w:tcW w:w="7053" w:type="dxa"/>
            <w:gridSpan w:val="2"/>
          </w:tcPr>
          <w:p w:rsidR="564361E5" w:rsidP="564361E5" w:rsidRDefault="564361E5" w14:paraId="1F169106" w14:textId="31392452">
            <w:pPr>
              <w:rPr>
                <w:sz w:val="20"/>
                <w:lang w:val="en-AU"/>
              </w:rPr>
            </w:pPr>
          </w:p>
        </w:tc>
      </w:tr>
      <w:tr w:rsidR="00043BF0" w:rsidTr="00516F9C" w14:paraId="121EEA26" w14:textId="77777777">
        <w:trPr>
          <w:trHeight w:val="300"/>
        </w:trPr>
        <w:tc>
          <w:tcPr>
            <w:tcW w:w="2303" w:type="dxa"/>
          </w:tcPr>
          <w:p w:rsidR="564361E5" w:rsidP="564361E5" w:rsidRDefault="564361E5" w14:paraId="5AF85172" w14:textId="77777777">
            <w:pPr>
              <w:rPr>
                <w:lang w:val="en-AU"/>
              </w:rPr>
            </w:pPr>
            <w:r w:rsidRPr="564361E5">
              <w:rPr>
                <w:b/>
                <w:bCs/>
                <w:lang w:val="en-AU"/>
              </w:rPr>
              <w:t xml:space="preserve">Route  </w:t>
            </w:r>
            <w:r w:rsidRPr="564361E5">
              <w:rPr>
                <w:lang w:val="en-AU"/>
              </w:rPr>
              <w:t xml:space="preserve">                              </w:t>
            </w:r>
          </w:p>
          <w:p w:rsidR="564361E5" w:rsidP="564361E5" w:rsidRDefault="564361E5" w14:paraId="16851F58" w14:textId="77777777">
            <w:pPr>
              <w:rPr>
                <w:lang w:val="en-AU"/>
              </w:rPr>
            </w:pPr>
            <w:r w:rsidRPr="564361E5">
              <w:rPr>
                <w:lang w:val="en-AU"/>
              </w:rPr>
              <w:t xml:space="preserve">           </w:t>
            </w:r>
          </w:p>
        </w:tc>
        <w:tc>
          <w:tcPr>
            <w:tcW w:w="7053" w:type="dxa"/>
            <w:gridSpan w:val="2"/>
          </w:tcPr>
          <w:p w:rsidR="1C9CB995" w:rsidP="564361E5" w:rsidRDefault="1C9CB995" w14:paraId="188BF8A3" w14:textId="388D87CA">
            <w:pPr>
              <w:rPr>
                <w:sz w:val="20"/>
                <w:lang w:val="en-AU"/>
              </w:rPr>
            </w:pPr>
            <w:r w:rsidRPr="564361E5">
              <w:rPr>
                <w:sz w:val="20"/>
                <w:lang w:val="en-AU"/>
              </w:rPr>
              <w:t>IM</w:t>
            </w:r>
          </w:p>
        </w:tc>
      </w:tr>
      <w:tr w:rsidR="00043BF0" w:rsidTr="00516F9C" w14:paraId="2B950A7F" w14:textId="77777777">
        <w:trPr>
          <w:trHeight w:val="300"/>
        </w:trPr>
        <w:tc>
          <w:tcPr>
            <w:tcW w:w="2303" w:type="dxa"/>
          </w:tcPr>
          <w:p w:rsidR="564361E5" w:rsidP="564361E5" w:rsidRDefault="564361E5" w14:paraId="19C4CFFC" w14:textId="19D7DF4A">
            <w:pPr>
              <w:rPr>
                <w:highlight w:val="cyan"/>
                <w:lang w:val="en-AU"/>
              </w:rPr>
            </w:pPr>
            <w:r w:rsidRPr="564361E5">
              <w:rPr>
                <w:b/>
                <w:bCs/>
                <w:lang w:val="en-AU"/>
              </w:rPr>
              <w:t>Preparation/Dilution</w:t>
            </w:r>
            <w:r w:rsidRPr="564361E5">
              <w:rPr>
                <w:lang w:val="en-AU"/>
              </w:rPr>
              <w:t xml:space="preserve"> </w:t>
            </w:r>
          </w:p>
        </w:tc>
        <w:tc>
          <w:tcPr>
            <w:tcW w:w="7053" w:type="dxa"/>
            <w:gridSpan w:val="2"/>
          </w:tcPr>
          <w:p w:rsidR="564361E5" w:rsidP="564361E5" w:rsidRDefault="564361E5" w14:paraId="1B56A92B" w14:textId="29FB49F1">
            <w:pPr>
              <w:rPr>
                <w:rFonts w:asciiTheme="minorHAnsi" w:hAnsiTheme="minorHAnsi" w:eastAsiaTheme="minorEastAsia" w:cstheme="minorBidi"/>
                <w:sz w:val="20"/>
                <w:lang w:val="en-AU"/>
              </w:rPr>
            </w:pPr>
          </w:p>
        </w:tc>
      </w:tr>
      <w:tr w:rsidR="00043BF0" w:rsidTr="00516F9C" w14:paraId="15C7A44B" w14:textId="77777777">
        <w:trPr>
          <w:trHeight w:val="855"/>
        </w:trPr>
        <w:tc>
          <w:tcPr>
            <w:tcW w:w="2303" w:type="dxa"/>
          </w:tcPr>
          <w:p w:rsidR="564361E5" w:rsidP="564361E5" w:rsidRDefault="564361E5" w14:paraId="610F7FC9" w14:textId="23734AD7">
            <w:pPr>
              <w:rPr>
                <w:lang w:val="en-AU"/>
              </w:rPr>
            </w:pPr>
            <w:r w:rsidRPr="564361E5">
              <w:rPr>
                <w:b/>
                <w:bCs/>
                <w:lang w:val="en-AU"/>
              </w:rPr>
              <w:t xml:space="preserve">Administration   </w:t>
            </w:r>
            <w:r w:rsidRPr="564361E5">
              <w:rPr>
                <w:lang w:val="en-AU"/>
              </w:rPr>
              <w:t xml:space="preserve">                           </w:t>
            </w:r>
          </w:p>
          <w:p w:rsidR="564361E5" w:rsidP="564361E5" w:rsidRDefault="564361E5" w14:paraId="31F205FE" w14:textId="77777777">
            <w:pPr>
              <w:rPr>
                <w:lang w:val="en-AU"/>
              </w:rPr>
            </w:pPr>
          </w:p>
        </w:tc>
        <w:tc>
          <w:tcPr>
            <w:tcW w:w="7053" w:type="dxa"/>
            <w:gridSpan w:val="2"/>
          </w:tcPr>
          <w:p w:rsidR="24D43230" w:rsidP="564361E5" w:rsidRDefault="24D43230" w14:paraId="42A8F203" w14:textId="53BC7752">
            <w:pPr>
              <w:rPr>
                <w:sz w:val="20"/>
                <w:lang w:val="en-AU"/>
              </w:rPr>
            </w:pPr>
            <w:r w:rsidRPr="564361E5">
              <w:rPr>
                <w:sz w:val="20"/>
                <w:lang w:val="en-AU"/>
              </w:rPr>
              <w:t>1. May administer oral sucrose 2 minutes prior to injection (observe local pain policy).</w:t>
            </w:r>
          </w:p>
          <w:p w:rsidR="24D43230" w:rsidP="564361E5" w:rsidRDefault="24D43230" w14:paraId="46E0C406" w14:textId="0B8F14EC">
            <w:pPr>
              <w:rPr>
                <w:sz w:val="20"/>
                <w:lang w:val="en-AU"/>
              </w:rPr>
            </w:pPr>
            <w:r w:rsidRPr="564361E5">
              <w:rPr>
                <w:sz w:val="20"/>
                <w:lang w:val="en-AU"/>
              </w:rPr>
              <w:t>2. Shake syringe vigorously immediately prior to use to obtain an homogenous, white suspension.</w:t>
            </w:r>
          </w:p>
          <w:p w:rsidR="24D43230" w:rsidP="564361E5" w:rsidRDefault="24D43230" w14:paraId="26DFEA49" w14:textId="6119BCFE">
            <w:pPr>
              <w:rPr>
                <w:sz w:val="20"/>
                <w:lang w:val="en-AU"/>
              </w:rPr>
            </w:pPr>
            <w:r w:rsidRPr="564361E5">
              <w:rPr>
                <w:sz w:val="20"/>
                <w:lang w:val="en-AU"/>
              </w:rPr>
              <w:t>3. Administer 0.5 ml of suspension by intramuscular injection (IMI) to the anterolateral aspect of the thigh (slowly to reduce pain).</w:t>
            </w:r>
          </w:p>
          <w:p w:rsidR="24D43230" w:rsidP="564361E5" w:rsidRDefault="24D43230" w14:paraId="57A654D2" w14:textId="35C2D56A">
            <w:pPr>
              <w:rPr>
                <w:sz w:val="20"/>
                <w:lang w:val="en-AU"/>
              </w:rPr>
            </w:pPr>
            <w:r w:rsidRPr="564361E5">
              <w:rPr>
                <w:sz w:val="20"/>
                <w:lang w:val="en-AU"/>
              </w:rPr>
              <w:t>4. Administer on the opposite limb from other concurrently administered vaccines (e.g. INFANRIX hexa).</w:t>
            </w:r>
          </w:p>
          <w:p w:rsidR="564361E5" w:rsidP="564361E5" w:rsidRDefault="564361E5" w14:paraId="335E7B86" w14:textId="3F95BA9D">
            <w:pPr>
              <w:rPr>
                <w:lang w:val="en-AU"/>
              </w:rPr>
            </w:pPr>
          </w:p>
        </w:tc>
      </w:tr>
      <w:tr w:rsidR="00043BF0" w:rsidTr="00516F9C" w14:paraId="7137CCDA" w14:textId="77777777">
        <w:trPr>
          <w:trHeight w:val="570"/>
        </w:trPr>
        <w:tc>
          <w:tcPr>
            <w:tcW w:w="2303" w:type="dxa"/>
          </w:tcPr>
          <w:p w:rsidR="564361E5" w:rsidP="564361E5" w:rsidRDefault="564361E5" w14:paraId="2EE97F1C" w14:textId="393FDBA9">
            <w:pPr>
              <w:rPr>
                <w:b/>
                <w:bCs/>
                <w:lang w:val="en-AU"/>
              </w:rPr>
            </w:pPr>
            <w:r w:rsidRPr="564361E5">
              <w:rPr>
                <w:b/>
                <w:bCs/>
                <w:lang w:val="en-AU"/>
              </w:rPr>
              <w:t>Monitoring</w:t>
            </w:r>
          </w:p>
        </w:tc>
        <w:tc>
          <w:tcPr>
            <w:tcW w:w="7053" w:type="dxa"/>
            <w:gridSpan w:val="2"/>
          </w:tcPr>
          <w:p w:rsidR="53D46CE1" w:rsidP="564361E5" w:rsidRDefault="53D46CE1" w14:paraId="3CEEEEA1" w14:textId="1DA16B36">
            <w:pPr>
              <w:rPr>
                <w:sz w:val="20"/>
                <w:lang w:val="en-AU"/>
              </w:rPr>
            </w:pPr>
            <w:r w:rsidRPr="564361E5">
              <w:rPr>
                <w:sz w:val="20"/>
                <w:lang w:val="en-AU"/>
              </w:rPr>
              <w:t>1. Observe for 15 minutes after vaccination for any Adverse Event Following Immunisation (AEFI).</w:t>
            </w:r>
          </w:p>
          <w:p w:rsidR="53D46CE1" w:rsidP="564361E5" w:rsidRDefault="53D46CE1" w14:paraId="4285DE81" w14:textId="6D399CBA">
            <w:r w:rsidRPr="564361E5">
              <w:rPr>
                <w:sz w:val="20"/>
                <w:lang w:val="en-AU"/>
              </w:rPr>
              <w:lastRenderedPageBreak/>
              <w:t>2. Pain: Refer to local pain relief policy.</w:t>
            </w:r>
          </w:p>
          <w:p w:rsidR="53D46CE1" w:rsidP="564361E5" w:rsidRDefault="53D46CE1" w14:paraId="66E9AD6B" w14:textId="7C2197A5">
            <w:r w:rsidRPr="564361E5">
              <w:rPr>
                <w:sz w:val="20"/>
                <w:lang w:val="en-AU"/>
              </w:rPr>
              <w:t>3. Body temperature.</w:t>
            </w:r>
          </w:p>
          <w:p w:rsidR="53D46CE1" w:rsidP="564361E5" w:rsidRDefault="53D46CE1" w14:paraId="39EA7974" w14:textId="2E6F5AEF">
            <w:r w:rsidRPr="564361E5">
              <w:rPr>
                <w:sz w:val="20"/>
                <w:lang w:val="en-AU"/>
              </w:rPr>
              <w:t>4. Infants with a history of febrile convulsions should be closely followed up as such adverse events may occur within 2 to 3 days post-vaccination.</w:t>
            </w:r>
          </w:p>
          <w:p w:rsidR="564361E5" w:rsidP="564361E5" w:rsidRDefault="564361E5" w14:paraId="73BA4282" w14:textId="3F44F89A">
            <w:pPr>
              <w:rPr>
                <w:sz w:val="20"/>
                <w:lang w:val="en-AU"/>
              </w:rPr>
            </w:pPr>
          </w:p>
        </w:tc>
      </w:tr>
      <w:tr w:rsidR="00043BF0" w:rsidTr="00516F9C" w14:paraId="1A72B19E" w14:textId="77777777">
        <w:trPr>
          <w:trHeight w:val="300"/>
        </w:trPr>
        <w:tc>
          <w:tcPr>
            <w:tcW w:w="2303" w:type="dxa"/>
          </w:tcPr>
          <w:p w:rsidR="564361E5" w:rsidP="564361E5" w:rsidRDefault="564361E5" w14:paraId="1357A3CA" w14:textId="77777777">
            <w:pPr>
              <w:rPr>
                <w:lang w:val="en-AU"/>
              </w:rPr>
            </w:pPr>
            <w:r w:rsidRPr="564361E5">
              <w:rPr>
                <w:b/>
                <w:bCs/>
                <w:lang w:val="en-AU"/>
              </w:rPr>
              <w:lastRenderedPageBreak/>
              <w:t xml:space="preserve">Contraindications </w:t>
            </w:r>
            <w:r w:rsidRPr="564361E5">
              <w:rPr>
                <w:lang w:val="en-AU"/>
              </w:rPr>
              <w:t xml:space="preserve">                          </w:t>
            </w:r>
          </w:p>
          <w:p w:rsidR="564361E5" w:rsidP="564361E5" w:rsidRDefault="564361E5" w14:paraId="005C3161" w14:textId="77777777">
            <w:pPr>
              <w:rPr>
                <w:lang w:val="en-AU"/>
              </w:rPr>
            </w:pPr>
          </w:p>
        </w:tc>
        <w:tc>
          <w:tcPr>
            <w:tcW w:w="7053" w:type="dxa"/>
            <w:gridSpan w:val="2"/>
          </w:tcPr>
          <w:p w:rsidR="326A9641" w:rsidP="564361E5" w:rsidRDefault="326A9641" w14:paraId="6649F672" w14:textId="689DEA2B">
            <w:pPr>
              <w:rPr>
                <w:sz w:val="20"/>
                <w:lang w:val="en-AU"/>
              </w:rPr>
            </w:pPr>
            <w:r w:rsidRPr="564361E5">
              <w:rPr>
                <w:sz w:val="20"/>
                <w:lang w:val="en-AU"/>
              </w:rPr>
              <w:t>• Anaphylaxis following a previous dose of pneumococcal vaccine.</w:t>
            </w:r>
          </w:p>
          <w:p w:rsidR="326A9641" w:rsidP="564361E5" w:rsidRDefault="326A9641" w14:paraId="01365C8B" w14:textId="100D9509">
            <w:r w:rsidRPr="564361E5">
              <w:rPr>
                <w:sz w:val="20"/>
                <w:lang w:val="en-AU"/>
              </w:rPr>
              <w:t>• Hypersensitivity to any vaccine component.</w:t>
            </w:r>
          </w:p>
          <w:p w:rsidR="564361E5" w:rsidP="564361E5" w:rsidRDefault="564361E5" w14:paraId="0A10D847" w14:textId="73054995">
            <w:pPr>
              <w:rPr>
                <w:sz w:val="20"/>
                <w:lang w:val="en-AU"/>
              </w:rPr>
            </w:pPr>
          </w:p>
        </w:tc>
      </w:tr>
      <w:tr w:rsidR="00043BF0" w:rsidTr="00516F9C" w14:paraId="25D1B9FF" w14:textId="77777777">
        <w:trPr>
          <w:trHeight w:val="1470"/>
        </w:trPr>
        <w:tc>
          <w:tcPr>
            <w:tcW w:w="2303" w:type="dxa"/>
          </w:tcPr>
          <w:p w:rsidR="564361E5" w:rsidP="564361E5" w:rsidRDefault="564361E5" w14:paraId="23AD9A33" w14:textId="6BC6AA05">
            <w:pPr>
              <w:rPr>
                <w:b/>
                <w:bCs/>
                <w:lang w:val="en-AU"/>
              </w:rPr>
            </w:pPr>
            <w:r w:rsidRPr="564361E5">
              <w:rPr>
                <w:b/>
                <w:bCs/>
                <w:lang w:val="en-AU"/>
              </w:rPr>
              <w:t>Precautions</w:t>
            </w:r>
          </w:p>
        </w:tc>
        <w:tc>
          <w:tcPr>
            <w:tcW w:w="7053" w:type="dxa"/>
            <w:gridSpan w:val="2"/>
          </w:tcPr>
          <w:p w:rsidR="6402E436" w:rsidP="564361E5" w:rsidRDefault="6402E436" w14:paraId="6105A361" w14:textId="20D4EA0B">
            <w:pPr>
              <w:rPr>
                <w:sz w:val="20"/>
                <w:lang w:val="en-AU"/>
              </w:rPr>
            </w:pPr>
            <w:r w:rsidRPr="564361E5">
              <w:rPr>
                <w:sz w:val="20"/>
                <w:lang w:val="en-AU"/>
              </w:rPr>
              <w:t>• Significant acute illness or temperature greater than 38.5°C – postpone vaccine until neonatologist approves.</w:t>
            </w:r>
          </w:p>
          <w:p w:rsidR="6402E436" w:rsidP="564361E5" w:rsidRDefault="6402E436" w14:paraId="0FD489FC" w14:textId="17118233">
            <w:r w:rsidRPr="564361E5">
              <w:rPr>
                <w:sz w:val="20"/>
                <w:lang w:val="en-AU"/>
              </w:rPr>
              <w:t>• Immunosuppressed patients</w:t>
            </w:r>
          </w:p>
          <w:p w:rsidR="564361E5" w:rsidP="564361E5" w:rsidRDefault="564361E5" w14:paraId="5894F304" w14:textId="31330D5D">
            <w:pPr>
              <w:rPr>
                <w:sz w:val="20"/>
                <w:lang w:val="en-AU"/>
              </w:rPr>
            </w:pPr>
          </w:p>
        </w:tc>
      </w:tr>
      <w:tr w:rsidR="00043BF0" w:rsidTr="00516F9C" w14:paraId="2B21A076" w14:textId="77777777">
        <w:trPr>
          <w:trHeight w:val="440"/>
        </w:trPr>
        <w:tc>
          <w:tcPr>
            <w:tcW w:w="2303" w:type="dxa"/>
          </w:tcPr>
          <w:p w:rsidR="564361E5" w:rsidP="564361E5" w:rsidRDefault="564361E5" w14:paraId="35EA8224" w14:textId="77777777">
            <w:pPr>
              <w:rPr>
                <w:b/>
                <w:bCs/>
                <w:lang w:val="en-AU"/>
              </w:rPr>
            </w:pPr>
            <w:r w:rsidRPr="564361E5">
              <w:rPr>
                <w:b/>
                <w:bCs/>
                <w:lang w:val="en-AU"/>
              </w:rPr>
              <w:t>Drug Interactions</w:t>
            </w:r>
          </w:p>
        </w:tc>
        <w:tc>
          <w:tcPr>
            <w:tcW w:w="7053" w:type="dxa"/>
            <w:gridSpan w:val="2"/>
          </w:tcPr>
          <w:p w:rsidR="42D3106F" w:rsidP="564361E5" w:rsidRDefault="42D3106F" w14:paraId="06BB3A72" w14:textId="4A3541E9">
            <w:pPr>
              <w:rPr>
                <w:sz w:val="20"/>
                <w:lang w:val="en-AU"/>
              </w:rPr>
            </w:pPr>
            <w:r w:rsidRPr="564361E5">
              <w:rPr>
                <w:sz w:val="20"/>
                <w:lang w:val="en-AU"/>
              </w:rPr>
              <w:t>N/A</w:t>
            </w:r>
          </w:p>
        </w:tc>
      </w:tr>
      <w:tr w:rsidR="00043BF0" w:rsidTr="00516F9C" w14:paraId="468B0EF6" w14:textId="77777777">
        <w:trPr>
          <w:trHeight w:val="1065"/>
        </w:trPr>
        <w:tc>
          <w:tcPr>
            <w:tcW w:w="2303" w:type="dxa"/>
          </w:tcPr>
          <w:p w:rsidR="564361E5" w:rsidP="564361E5" w:rsidRDefault="564361E5" w14:paraId="0522E0DC" w14:textId="77777777">
            <w:pPr>
              <w:rPr>
                <w:lang w:val="en-AU"/>
              </w:rPr>
            </w:pPr>
            <w:r w:rsidRPr="564361E5">
              <w:rPr>
                <w:b/>
                <w:bCs/>
                <w:lang w:val="en-AU"/>
              </w:rPr>
              <w:t xml:space="preserve">Adverse Reactions  </w:t>
            </w:r>
            <w:r w:rsidRPr="564361E5">
              <w:rPr>
                <w:lang w:val="en-AU"/>
              </w:rPr>
              <w:t xml:space="preserve">       </w:t>
            </w:r>
          </w:p>
          <w:p w:rsidR="564361E5" w:rsidP="564361E5" w:rsidRDefault="564361E5" w14:paraId="78C89000" w14:textId="77777777">
            <w:pPr>
              <w:rPr>
                <w:lang w:val="en-AU"/>
              </w:rPr>
            </w:pPr>
          </w:p>
        </w:tc>
        <w:tc>
          <w:tcPr>
            <w:tcW w:w="7053" w:type="dxa"/>
            <w:gridSpan w:val="2"/>
          </w:tcPr>
          <w:p w:rsidR="6CFF9746" w:rsidP="564361E5" w:rsidRDefault="6CFF9746" w14:paraId="6A9BD894" w14:textId="44AEB04D">
            <w:pPr>
              <w:rPr>
                <w:sz w:val="20"/>
                <w:lang w:val="en-AU"/>
              </w:rPr>
            </w:pPr>
            <w:r w:rsidRPr="564361E5">
              <w:rPr>
                <w:sz w:val="20"/>
                <w:lang w:val="en-AU"/>
              </w:rPr>
              <w:t>Common (1–10%): Pain, inflammation, redness, swelling, injection site mass persisting for up to a few days.</w:t>
            </w:r>
          </w:p>
          <w:p w:rsidR="6CFF9746" w:rsidP="564361E5" w:rsidRDefault="6CFF9746" w14:paraId="67AEB911" w14:textId="2261D370">
            <w:r w:rsidRPr="564361E5">
              <w:rPr>
                <w:sz w:val="20"/>
                <w:lang w:val="en-AU"/>
              </w:rPr>
              <w:t>Uncommon (0.1–&lt; 1%): Headache, fever, lethargy, malaise, myalgia, irritability, restlessness, diarrhoea, vomiting.</w:t>
            </w:r>
          </w:p>
          <w:p w:rsidR="6CFF9746" w:rsidP="564361E5" w:rsidRDefault="6CFF9746" w14:paraId="289DEEAE" w14:textId="0394A053">
            <w:r w:rsidRPr="564361E5">
              <w:rPr>
                <w:sz w:val="20"/>
                <w:lang w:val="en-AU"/>
              </w:rPr>
              <w:t xml:space="preserve">Any serious or unexpected adverse event following immunisation should be promptly reported. </w:t>
            </w:r>
          </w:p>
          <w:p w:rsidR="6CFF9746" w:rsidP="564361E5" w:rsidRDefault="6CFF9746" w14:paraId="567291CE" w14:textId="434B6C20">
            <w:r w:rsidRPr="564361E5">
              <w:rPr>
                <w:sz w:val="20"/>
                <w:lang w:val="en-AU"/>
              </w:rPr>
              <w:t>Providers should use clinical judgment in deciding which adverse events to report and parents/carers should be encouraged to notify the immunisation service provider or health authorities of any untoward medical occurrence that follows immunisation. Each State/Territory has its own contact details for notification. Contact telephone number for NSW Public Health Unit</w:t>
            </w:r>
            <w:r w:rsidRPr="564361E5" w:rsidR="08867B33">
              <w:rPr>
                <w:sz w:val="20"/>
                <w:lang w:val="en-AU"/>
              </w:rPr>
              <w:t xml:space="preserve"> </w:t>
            </w:r>
            <w:r w:rsidRPr="564361E5">
              <w:rPr>
                <w:sz w:val="20"/>
                <w:lang w:val="en-AU"/>
              </w:rPr>
              <w:t>is 1300 066 055.</w:t>
            </w:r>
          </w:p>
          <w:p w:rsidR="564361E5" w:rsidP="564361E5" w:rsidRDefault="564361E5" w14:paraId="3A4EAC61" w14:textId="14B54CEF">
            <w:pPr>
              <w:rPr>
                <w:sz w:val="20"/>
                <w:lang w:val="en-AU"/>
              </w:rPr>
            </w:pPr>
          </w:p>
        </w:tc>
      </w:tr>
      <w:tr w:rsidR="00043BF0" w:rsidTr="00516F9C" w14:paraId="21774FD7" w14:textId="77777777">
        <w:trPr>
          <w:trHeight w:val="570"/>
        </w:trPr>
        <w:tc>
          <w:tcPr>
            <w:tcW w:w="2303" w:type="dxa"/>
          </w:tcPr>
          <w:p w:rsidR="564361E5" w:rsidP="564361E5" w:rsidRDefault="564361E5" w14:paraId="3F2DA822" w14:textId="77777777">
            <w:pPr>
              <w:rPr>
                <w:b/>
                <w:bCs/>
                <w:lang w:val="en-AU"/>
              </w:rPr>
            </w:pPr>
            <w:r w:rsidRPr="564361E5">
              <w:rPr>
                <w:b/>
                <w:bCs/>
                <w:lang w:val="en-AU"/>
              </w:rPr>
              <w:t>Compatibility</w:t>
            </w:r>
          </w:p>
          <w:p w:rsidR="564361E5" w:rsidP="564361E5" w:rsidRDefault="564361E5" w14:paraId="55417DA4" w14:textId="77777777">
            <w:pPr>
              <w:rPr>
                <w:lang w:val="en-AU"/>
              </w:rPr>
            </w:pPr>
          </w:p>
        </w:tc>
        <w:tc>
          <w:tcPr>
            <w:tcW w:w="7053" w:type="dxa"/>
            <w:gridSpan w:val="2"/>
          </w:tcPr>
          <w:p w:rsidR="23B4728F" w:rsidP="564361E5" w:rsidRDefault="23B4728F" w14:paraId="027B4A3D" w14:textId="5BF3A6FB">
            <w:pPr>
              <w:rPr>
                <w:sz w:val="20"/>
                <w:lang w:val="en-AU"/>
              </w:rPr>
            </w:pPr>
            <w:r w:rsidRPr="564361E5">
              <w:rPr>
                <w:sz w:val="20"/>
                <w:lang w:val="en-AU"/>
              </w:rPr>
              <w:t>NA</w:t>
            </w:r>
          </w:p>
        </w:tc>
      </w:tr>
      <w:tr w:rsidR="00043BF0" w:rsidTr="00516F9C" w14:paraId="16F5CB5E" w14:textId="77777777">
        <w:tc>
          <w:tcPr>
            <w:tcW w:w="2303" w:type="dxa"/>
          </w:tcPr>
          <w:p w:rsidR="564361E5" w:rsidP="564361E5" w:rsidRDefault="564361E5" w14:paraId="5ECAB853" w14:textId="77777777">
            <w:pPr>
              <w:rPr>
                <w:lang w:val="en-AU"/>
              </w:rPr>
            </w:pPr>
            <w:r w:rsidRPr="564361E5">
              <w:rPr>
                <w:b/>
                <w:bCs/>
                <w:lang w:val="en-AU"/>
              </w:rPr>
              <w:t>Incompatibility</w:t>
            </w:r>
            <w:r w:rsidRPr="564361E5">
              <w:rPr>
                <w:lang w:val="en-AU"/>
              </w:rPr>
              <w:t xml:space="preserve">      </w:t>
            </w:r>
          </w:p>
          <w:p w:rsidR="564361E5" w:rsidP="564361E5" w:rsidRDefault="564361E5" w14:paraId="63642CA7" w14:textId="77777777">
            <w:pPr>
              <w:rPr>
                <w:lang w:val="en-AU"/>
              </w:rPr>
            </w:pPr>
            <w:r w:rsidRPr="564361E5">
              <w:rPr>
                <w:lang w:val="en-AU"/>
              </w:rPr>
              <w:t xml:space="preserve">               </w:t>
            </w:r>
          </w:p>
        </w:tc>
        <w:tc>
          <w:tcPr>
            <w:tcW w:w="7053" w:type="dxa"/>
            <w:gridSpan w:val="2"/>
          </w:tcPr>
          <w:p w:rsidR="129CB908" w:rsidP="564361E5" w:rsidRDefault="129CB908" w14:paraId="44B360B5" w14:textId="288A6352">
            <w:pPr>
              <w:rPr>
                <w:sz w:val="20"/>
                <w:lang w:val="en-AU"/>
              </w:rPr>
            </w:pPr>
            <w:r w:rsidRPr="564361E5">
              <w:rPr>
                <w:sz w:val="20"/>
                <w:lang w:val="en-AU"/>
              </w:rPr>
              <w:t>Do not mix with any other vaccines in the same syringe.</w:t>
            </w:r>
          </w:p>
          <w:p w:rsidR="564361E5" w:rsidP="564361E5" w:rsidRDefault="564361E5" w14:paraId="440B5AA6" w14:textId="587C597D">
            <w:pPr>
              <w:rPr>
                <w:sz w:val="20"/>
                <w:lang w:val="en-AU"/>
              </w:rPr>
            </w:pPr>
          </w:p>
        </w:tc>
      </w:tr>
      <w:tr w:rsidR="00043BF0" w:rsidTr="00516F9C" w14:paraId="241EFC0B" w14:textId="77777777">
        <w:trPr>
          <w:trHeight w:val="483"/>
        </w:trPr>
        <w:tc>
          <w:tcPr>
            <w:tcW w:w="2303" w:type="dxa"/>
          </w:tcPr>
          <w:p w:rsidR="564361E5" w:rsidP="564361E5" w:rsidRDefault="564361E5" w14:paraId="650B55E4" w14:textId="77777777">
            <w:pPr>
              <w:rPr>
                <w:lang w:val="en-AU"/>
              </w:rPr>
            </w:pPr>
            <w:r w:rsidRPr="564361E5">
              <w:rPr>
                <w:b/>
                <w:bCs/>
                <w:lang w:val="en-AU"/>
              </w:rPr>
              <w:t>Stability</w:t>
            </w:r>
            <w:r w:rsidRPr="564361E5">
              <w:rPr>
                <w:lang w:val="en-AU"/>
              </w:rPr>
              <w:t xml:space="preserve">                  </w:t>
            </w:r>
          </w:p>
        </w:tc>
        <w:tc>
          <w:tcPr>
            <w:tcW w:w="7053" w:type="dxa"/>
            <w:gridSpan w:val="2"/>
          </w:tcPr>
          <w:p w:rsidR="7DD0E411" w:rsidP="564361E5" w:rsidRDefault="7DD0E411" w14:paraId="6D3F8F99" w14:textId="1F2236CB">
            <w:pPr>
              <w:rPr>
                <w:sz w:val="20"/>
                <w:lang w:val="en-AU"/>
              </w:rPr>
            </w:pPr>
            <w:r w:rsidRPr="564361E5">
              <w:rPr>
                <w:sz w:val="20"/>
                <w:lang w:val="en-AU"/>
              </w:rPr>
              <w:t>Should be injected promptly.</w:t>
            </w:r>
          </w:p>
          <w:p w:rsidR="7DD0E411" w:rsidP="564361E5" w:rsidRDefault="7DD0E411" w14:paraId="29CD1819" w14:textId="20BC86B6">
            <w:r w:rsidRPr="564361E5">
              <w:rPr>
                <w:sz w:val="20"/>
                <w:lang w:val="en-AU"/>
              </w:rPr>
              <w:t>However, the vaccine stable for up to eight hours at room temperature.</w:t>
            </w:r>
          </w:p>
          <w:p w:rsidR="564361E5" w:rsidP="564361E5" w:rsidRDefault="564361E5" w14:paraId="3FE27524" w14:textId="7D7E3AFC">
            <w:pPr>
              <w:rPr>
                <w:sz w:val="20"/>
                <w:lang w:val="en-AU"/>
              </w:rPr>
            </w:pPr>
          </w:p>
        </w:tc>
      </w:tr>
      <w:tr w:rsidR="00043BF0" w:rsidTr="00516F9C" w14:paraId="39F1FBF9" w14:textId="77777777">
        <w:trPr>
          <w:trHeight w:val="371"/>
        </w:trPr>
        <w:tc>
          <w:tcPr>
            <w:tcW w:w="2303" w:type="dxa"/>
          </w:tcPr>
          <w:p w:rsidR="564361E5" w:rsidP="564361E5" w:rsidRDefault="564361E5" w14:paraId="1370B3E8" w14:textId="77777777">
            <w:pPr>
              <w:rPr>
                <w:lang w:val="en-AU"/>
              </w:rPr>
            </w:pPr>
            <w:r w:rsidRPr="564361E5">
              <w:rPr>
                <w:b/>
                <w:bCs/>
                <w:lang w:val="en-AU"/>
              </w:rPr>
              <w:t xml:space="preserve">Storage </w:t>
            </w:r>
            <w:r w:rsidRPr="564361E5">
              <w:rPr>
                <w:lang w:val="en-AU"/>
              </w:rPr>
              <w:t xml:space="preserve">            </w:t>
            </w:r>
          </w:p>
        </w:tc>
        <w:tc>
          <w:tcPr>
            <w:tcW w:w="7053" w:type="dxa"/>
            <w:gridSpan w:val="2"/>
          </w:tcPr>
          <w:p w:rsidR="018AEA28" w:rsidP="564361E5" w:rsidRDefault="018AEA28" w14:paraId="5C5A9AC1" w14:textId="09D5DDCC">
            <w:pPr>
              <w:rPr>
                <w:sz w:val="20"/>
                <w:lang w:val="en-AU"/>
              </w:rPr>
            </w:pPr>
            <w:r w:rsidRPr="564361E5">
              <w:rPr>
                <w:sz w:val="20"/>
                <w:lang w:val="en-AU"/>
              </w:rPr>
              <w:t>Store between 2 and 8°C.</w:t>
            </w:r>
          </w:p>
          <w:p w:rsidR="018AEA28" w:rsidP="564361E5" w:rsidRDefault="018AEA28" w14:paraId="1B997A7A" w14:textId="27EE6F0F">
            <w:r w:rsidRPr="564361E5">
              <w:rPr>
                <w:sz w:val="20"/>
                <w:lang w:val="en-AU"/>
              </w:rPr>
              <w:t>Do NOT freeze.</w:t>
            </w:r>
          </w:p>
          <w:p w:rsidR="564361E5" w:rsidP="564361E5" w:rsidRDefault="564361E5" w14:paraId="2FD9EB14" w14:textId="43A1F3E4">
            <w:pPr>
              <w:rPr>
                <w:sz w:val="20"/>
                <w:lang w:val="en-AU"/>
              </w:rPr>
            </w:pPr>
          </w:p>
        </w:tc>
      </w:tr>
      <w:tr w:rsidR="00043BF0" w:rsidTr="00516F9C" w14:paraId="133615F0" w14:textId="77777777">
        <w:trPr>
          <w:trHeight w:val="1485"/>
        </w:trPr>
        <w:tc>
          <w:tcPr>
            <w:tcW w:w="2303" w:type="dxa"/>
          </w:tcPr>
          <w:p w:rsidR="564361E5" w:rsidP="564361E5" w:rsidRDefault="564361E5" w14:paraId="27F2D481" w14:textId="77777777">
            <w:pPr>
              <w:rPr>
                <w:lang w:val="en-AU"/>
              </w:rPr>
            </w:pPr>
            <w:r w:rsidRPr="564361E5">
              <w:rPr>
                <w:b/>
                <w:bCs/>
                <w:lang w:val="en-AU"/>
              </w:rPr>
              <w:t>Special Comments</w:t>
            </w:r>
            <w:r w:rsidRPr="564361E5">
              <w:rPr>
                <w:lang w:val="en-AU"/>
              </w:rPr>
              <w:t xml:space="preserve">       </w:t>
            </w:r>
          </w:p>
          <w:p w:rsidR="564361E5" w:rsidP="564361E5" w:rsidRDefault="564361E5" w14:paraId="3877F189" w14:textId="77777777">
            <w:pPr>
              <w:rPr>
                <w:lang w:val="en-AU"/>
              </w:rPr>
            </w:pPr>
          </w:p>
        </w:tc>
        <w:tc>
          <w:tcPr>
            <w:tcW w:w="7053" w:type="dxa"/>
            <w:gridSpan w:val="2"/>
          </w:tcPr>
          <w:p w:rsidR="4192F853" w:rsidP="564361E5" w:rsidRDefault="4192F853" w14:paraId="2E0E9D18" w14:textId="0169DBD8">
            <w:pPr>
              <w:rPr>
                <w:sz w:val="20"/>
                <w:lang w:val="en-AU"/>
              </w:rPr>
            </w:pPr>
            <w:r w:rsidRPr="564361E5">
              <w:rPr>
                <w:sz w:val="20"/>
                <w:lang w:val="en-AU"/>
              </w:rPr>
              <w:t>1. There are two different kinds of pneumococcal vaccines — pneumococcal conjugate vaccines (PCVs) and pneumococcal polysaccharide vaccine (PPVs). PCVs are vaccines based on chemical coupling of S. pneumoniae to an immunogenic protein carrier, which enhances antibody response and induces immune memory in young infants as opposed to PPVs which are associated with poor immunogenicity in children &lt; 2 years.</w:t>
            </w:r>
          </w:p>
          <w:p w:rsidR="4192F853" w:rsidP="564361E5" w:rsidRDefault="4192F853" w14:paraId="6BFCAB15" w14:textId="0677F458">
            <w:r w:rsidRPr="564361E5">
              <w:rPr>
                <w:sz w:val="20"/>
                <w:lang w:val="en-AU"/>
              </w:rPr>
              <w:t>2. PCV vaccines vary in the number of pneumococcal serotypes included and the proteins used for conjugation.</w:t>
            </w:r>
          </w:p>
          <w:p w:rsidR="4192F853" w:rsidP="564361E5" w:rsidRDefault="4192F853" w14:paraId="72F0B591" w14:textId="2A133C05">
            <w:r w:rsidRPr="564361E5">
              <w:rPr>
                <w:sz w:val="20"/>
                <w:lang w:val="en-AU"/>
              </w:rPr>
              <w:t xml:space="preserve">3. Prevenar 13 is the 13vPCV that has been registered in Australia since 2010 and used in the National Immunisation Program since July 2011.  </w:t>
            </w:r>
          </w:p>
          <w:p w:rsidR="4192F853" w:rsidP="564361E5" w:rsidRDefault="4192F853" w14:paraId="1EEA98B1" w14:textId="78BBFA5A">
            <w:r w:rsidRPr="564361E5">
              <w:rPr>
                <w:sz w:val="20"/>
                <w:lang w:val="en-AU"/>
              </w:rPr>
              <w:t>4. Completion of a primary course of PCV with the same formulation is generally preferred —</w:t>
            </w:r>
            <w:r w:rsidRPr="564361E5" w:rsidR="66C14E28">
              <w:rPr>
                <w:sz w:val="20"/>
                <w:lang w:val="en-AU"/>
              </w:rPr>
              <w:t xml:space="preserve"> </w:t>
            </w:r>
            <w:r w:rsidRPr="564361E5">
              <w:rPr>
                <w:sz w:val="20"/>
                <w:lang w:val="en-AU"/>
              </w:rPr>
              <w:t>however if vaccination has commenced with a 10vPCV (e.g. overseas), completion of the course</w:t>
            </w:r>
            <w:r w:rsidRPr="564361E5" w:rsidR="6C791B17">
              <w:rPr>
                <w:sz w:val="20"/>
                <w:lang w:val="en-AU"/>
              </w:rPr>
              <w:t xml:space="preserve"> </w:t>
            </w:r>
            <w:r w:rsidRPr="564361E5">
              <w:rPr>
                <w:sz w:val="20"/>
                <w:lang w:val="en-AU"/>
              </w:rPr>
              <w:t>with a 13vPCV is acceptable. Refer to The Australian Immunisation Handbook.</w:t>
            </w:r>
          </w:p>
          <w:p w:rsidR="564361E5" w:rsidP="564361E5" w:rsidRDefault="564361E5" w14:paraId="62B9A3AE" w14:textId="1F1F60B0">
            <w:pPr>
              <w:rPr>
                <w:sz w:val="20"/>
                <w:lang w:val="en-AU"/>
              </w:rPr>
            </w:pPr>
          </w:p>
        </w:tc>
      </w:tr>
      <w:tr w:rsidR="00043BF0" w:rsidTr="00516F9C" w14:paraId="635ACC15" w14:textId="77777777">
        <w:trPr>
          <w:trHeight w:val="5670"/>
        </w:trPr>
        <w:tc>
          <w:tcPr>
            <w:tcW w:w="2303" w:type="dxa"/>
          </w:tcPr>
          <w:p w:rsidRPr="00516F9C" w:rsidR="564361E5" w:rsidP="564361E5" w:rsidRDefault="564361E5" w14:paraId="6F855B8D" w14:textId="77777777">
            <w:pPr>
              <w:rPr>
                <w:b/>
                <w:bCs/>
                <w:sz w:val="16"/>
                <w:szCs w:val="16"/>
                <w:lang w:val="en-AU"/>
              </w:rPr>
            </w:pPr>
            <w:r w:rsidRPr="00516F9C">
              <w:rPr>
                <w:b/>
                <w:bCs/>
                <w:sz w:val="16"/>
                <w:szCs w:val="16"/>
                <w:lang w:val="en-AU"/>
              </w:rPr>
              <w:lastRenderedPageBreak/>
              <w:t>Evidence summary</w:t>
            </w:r>
          </w:p>
        </w:tc>
        <w:tc>
          <w:tcPr>
            <w:tcW w:w="7053" w:type="dxa"/>
            <w:gridSpan w:val="2"/>
          </w:tcPr>
          <w:p w:rsidRPr="00516F9C" w:rsidR="321B5A17" w:rsidP="564361E5" w:rsidRDefault="321B5A17" w14:paraId="409DD61E" w14:textId="7BDF8988">
            <w:pPr>
              <w:rPr>
                <w:sz w:val="16"/>
                <w:szCs w:val="16"/>
                <w:lang w:val="en-AU"/>
              </w:rPr>
            </w:pPr>
            <w:r w:rsidRPr="00516F9C">
              <w:rPr>
                <w:sz w:val="16"/>
                <w:szCs w:val="16"/>
                <w:lang w:val="en-AU"/>
              </w:rPr>
              <w:t xml:space="preserve"> Immunisation schedule  </w:t>
            </w:r>
          </w:p>
          <w:p w:rsidRPr="00516F9C" w:rsidR="321B5A17" w:rsidP="564361E5" w:rsidRDefault="321B5A17" w14:paraId="4EA3B5E7" w14:textId="30E58E84">
            <w:pPr>
              <w:rPr>
                <w:sz w:val="16"/>
                <w:szCs w:val="16"/>
                <w:lang w:val="en-AU"/>
              </w:rPr>
            </w:pPr>
            <w:r w:rsidRPr="00516F9C">
              <w:rPr>
                <w:sz w:val="16"/>
                <w:szCs w:val="16"/>
                <w:lang w:val="en-AU"/>
              </w:rPr>
              <w:t xml:space="preserve">The WHO, the Australian Government and the New South Wales Immunisation schedule recommend the inclusion of PCVs in childhood immunisation programmes.1,3,6  </w:t>
            </w:r>
          </w:p>
          <w:p w:rsidRPr="00516F9C" w:rsidR="321B5A17" w:rsidP="564361E5" w:rsidRDefault="321B5A17" w14:paraId="37DCD20B" w14:textId="3CB78C3E">
            <w:pPr>
              <w:rPr>
                <w:sz w:val="16"/>
                <w:szCs w:val="16"/>
                <w:lang w:val="en-AU"/>
              </w:rPr>
            </w:pPr>
            <w:r w:rsidRPr="00516F9C">
              <w:rPr>
                <w:sz w:val="16"/>
                <w:szCs w:val="16"/>
                <w:lang w:val="en-AU"/>
              </w:rPr>
              <w:t xml:space="preserve"> </w:t>
            </w:r>
          </w:p>
          <w:p w:rsidRPr="00516F9C" w:rsidR="321B5A17" w:rsidP="564361E5" w:rsidRDefault="321B5A17" w14:paraId="1D464C63" w14:textId="64DCFF42">
            <w:pPr>
              <w:rPr>
                <w:sz w:val="16"/>
                <w:szCs w:val="16"/>
                <w:lang w:val="en-AU"/>
              </w:rPr>
            </w:pPr>
            <w:r w:rsidRPr="00516F9C">
              <w:rPr>
                <w:sz w:val="16"/>
                <w:szCs w:val="16"/>
                <w:lang w:val="en-AU"/>
              </w:rPr>
              <w:t>When primary immunisation is initiated with one of the PCV vaccines it is recommended that the</w:t>
            </w:r>
            <w:r w:rsidRPr="00516F9C" w:rsidR="041E3689">
              <w:rPr>
                <w:sz w:val="16"/>
                <w:szCs w:val="16"/>
                <w:lang w:val="en-AU"/>
              </w:rPr>
              <w:t xml:space="preserve"> </w:t>
            </w:r>
            <w:r w:rsidRPr="00516F9C">
              <w:rPr>
                <w:sz w:val="16"/>
                <w:szCs w:val="16"/>
                <w:lang w:val="en-AU"/>
              </w:rPr>
              <w:t>schedule be completed with the same product. However, if this is not possible the another PCV</w:t>
            </w:r>
            <w:r w:rsidRPr="00516F9C" w:rsidR="1B4E7FB0">
              <w:rPr>
                <w:sz w:val="16"/>
                <w:szCs w:val="16"/>
                <w:lang w:val="en-AU"/>
              </w:rPr>
              <w:t xml:space="preserve"> </w:t>
            </w:r>
            <w:r w:rsidRPr="00516F9C">
              <w:rPr>
                <w:sz w:val="16"/>
                <w:szCs w:val="16"/>
                <w:lang w:val="en-AU"/>
              </w:rPr>
              <w:t>product should be used.3</w:t>
            </w:r>
          </w:p>
          <w:p w:rsidRPr="00516F9C" w:rsidR="564361E5" w:rsidP="564361E5" w:rsidRDefault="564361E5" w14:paraId="7BA45211" w14:textId="54C1252F">
            <w:pPr>
              <w:rPr>
                <w:sz w:val="16"/>
                <w:szCs w:val="16"/>
                <w:lang w:val="en-AU"/>
              </w:rPr>
            </w:pPr>
          </w:p>
          <w:p w:rsidRPr="00516F9C" w:rsidR="321B5A17" w:rsidP="564361E5" w:rsidRDefault="321B5A17" w14:paraId="7035C55E" w14:textId="0D7D4FA1">
            <w:pPr>
              <w:rPr>
                <w:sz w:val="16"/>
                <w:szCs w:val="16"/>
                <w:lang w:val="en-AU"/>
              </w:rPr>
            </w:pPr>
            <w:r w:rsidRPr="00516F9C">
              <w:rPr>
                <w:sz w:val="16"/>
                <w:szCs w:val="16"/>
                <w:lang w:val="en-AU"/>
              </w:rPr>
              <w:t>The WHO recommends 3 primary doses (3p+0 schedule) with the 2 primary doses plus a booste</w:t>
            </w:r>
            <w:r w:rsidRPr="00516F9C" w:rsidR="524CF527">
              <w:rPr>
                <w:sz w:val="16"/>
                <w:szCs w:val="16"/>
                <w:lang w:val="en-AU"/>
              </w:rPr>
              <w:t xml:space="preserve">R </w:t>
            </w:r>
            <w:r w:rsidRPr="00516F9C">
              <w:rPr>
                <w:sz w:val="16"/>
                <w:szCs w:val="16"/>
                <w:lang w:val="en-AU"/>
              </w:rPr>
              <w:t xml:space="preserve">(2p+1) as an alternative schedule.3,5  </w:t>
            </w:r>
          </w:p>
          <w:p w:rsidRPr="00516F9C" w:rsidR="321B5A17" w:rsidP="564361E5" w:rsidRDefault="321B5A17" w14:paraId="151F242E" w14:textId="703D968F">
            <w:pPr>
              <w:rPr>
                <w:sz w:val="16"/>
                <w:szCs w:val="16"/>
                <w:lang w:val="en-AU"/>
              </w:rPr>
            </w:pPr>
            <w:r w:rsidRPr="00516F9C">
              <w:rPr>
                <w:sz w:val="16"/>
                <w:szCs w:val="16"/>
                <w:lang w:val="en-AU"/>
              </w:rPr>
              <w:t xml:space="preserve"> </w:t>
            </w:r>
          </w:p>
          <w:p w:rsidRPr="00516F9C" w:rsidR="321B5A17" w:rsidP="564361E5" w:rsidRDefault="321B5A17" w14:paraId="0DA92596" w14:textId="78F90D27">
            <w:pPr>
              <w:rPr>
                <w:sz w:val="16"/>
                <w:szCs w:val="16"/>
                <w:lang w:val="en-AU"/>
              </w:rPr>
            </w:pPr>
            <w:r w:rsidRPr="00516F9C">
              <w:rPr>
                <w:sz w:val="16"/>
                <w:szCs w:val="16"/>
                <w:lang w:val="en-AU"/>
              </w:rPr>
              <w:t xml:space="preserve">Efficacy and safety  </w:t>
            </w:r>
          </w:p>
          <w:p w:rsidRPr="00516F9C" w:rsidR="321B5A17" w:rsidP="564361E5" w:rsidRDefault="321B5A17" w14:paraId="57003933" w14:textId="436B6350">
            <w:pPr>
              <w:rPr>
                <w:sz w:val="16"/>
                <w:szCs w:val="16"/>
                <w:lang w:val="en-AU"/>
              </w:rPr>
            </w:pPr>
            <w:r w:rsidRPr="00516F9C">
              <w:rPr>
                <w:sz w:val="16"/>
                <w:szCs w:val="16"/>
                <w:lang w:val="en-AU"/>
              </w:rPr>
              <w:t>Currently available PCVs are safe and efficacious and the increased number of serotypes</w:t>
            </w:r>
            <w:r w:rsidRPr="00516F9C" w:rsidR="667970D1">
              <w:rPr>
                <w:sz w:val="16"/>
                <w:szCs w:val="16"/>
                <w:lang w:val="en-AU"/>
              </w:rPr>
              <w:t xml:space="preserve"> </w:t>
            </w:r>
            <w:r w:rsidRPr="00516F9C">
              <w:rPr>
                <w:sz w:val="16"/>
                <w:szCs w:val="16"/>
                <w:lang w:val="en-AU"/>
              </w:rPr>
              <w:t>represents significant progress in the fight against</w:t>
            </w:r>
            <w:r w:rsidRPr="00516F9C" w:rsidR="3DFA5822">
              <w:rPr>
                <w:sz w:val="16"/>
                <w:szCs w:val="16"/>
                <w:lang w:val="en-AU"/>
              </w:rPr>
              <w:t xml:space="preserve"> </w:t>
            </w:r>
            <w:r w:rsidRPr="00516F9C">
              <w:rPr>
                <w:sz w:val="16"/>
                <w:szCs w:val="16"/>
                <w:lang w:val="en-AU"/>
              </w:rPr>
              <w:t>pneumococcal morbidity. There are considered</w:t>
            </w:r>
            <w:r w:rsidRPr="00516F9C" w:rsidR="62CD0816">
              <w:rPr>
                <w:sz w:val="16"/>
                <w:szCs w:val="16"/>
                <w:lang w:val="en-AU"/>
              </w:rPr>
              <w:t xml:space="preserve"> </w:t>
            </w:r>
            <w:r w:rsidRPr="00516F9C">
              <w:rPr>
                <w:sz w:val="16"/>
                <w:szCs w:val="16"/>
                <w:lang w:val="en-AU"/>
              </w:rPr>
              <w:t>safe in all target groups for vaccinations; however, there is no information on the safety of PCVs</w:t>
            </w:r>
            <w:r w:rsidRPr="00516F9C" w:rsidR="66235A60">
              <w:rPr>
                <w:sz w:val="16"/>
                <w:szCs w:val="16"/>
                <w:lang w:val="en-AU"/>
              </w:rPr>
              <w:t xml:space="preserve"> </w:t>
            </w:r>
            <w:r w:rsidRPr="00516F9C">
              <w:rPr>
                <w:sz w:val="16"/>
                <w:szCs w:val="16"/>
                <w:lang w:val="en-AU"/>
              </w:rPr>
              <w:t xml:space="preserve">during pregnancy.3  </w:t>
            </w:r>
          </w:p>
          <w:p w:rsidRPr="00516F9C" w:rsidR="564361E5" w:rsidP="564361E5" w:rsidRDefault="564361E5" w14:paraId="63410F3E" w14:textId="4589A9C7">
            <w:pPr>
              <w:rPr>
                <w:sz w:val="16"/>
                <w:szCs w:val="16"/>
                <w:lang w:val="en-AU"/>
              </w:rPr>
            </w:pPr>
          </w:p>
          <w:p w:rsidRPr="00516F9C" w:rsidR="321B5A17" w:rsidP="564361E5" w:rsidRDefault="321B5A17" w14:paraId="3C0C1406" w14:textId="3DC8C1AD">
            <w:pPr>
              <w:rPr>
                <w:sz w:val="16"/>
                <w:szCs w:val="16"/>
                <w:lang w:val="en-AU"/>
              </w:rPr>
            </w:pPr>
            <w:r w:rsidRPr="00516F9C">
              <w:rPr>
                <w:sz w:val="16"/>
                <w:szCs w:val="16"/>
                <w:lang w:val="en-AU"/>
              </w:rPr>
              <w:t>The 10vPCV and 13vPCV vaccines have comparable safety and efficacy profiles. The choice of PCV</w:t>
            </w:r>
            <w:r w:rsidRPr="00516F9C" w:rsidR="4AA9CB05">
              <w:rPr>
                <w:sz w:val="16"/>
                <w:szCs w:val="16"/>
                <w:lang w:val="en-AU"/>
              </w:rPr>
              <w:t xml:space="preserve"> </w:t>
            </w:r>
            <w:r w:rsidRPr="00516F9C">
              <w:rPr>
                <w:sz w:val="16"/>
                <w:szCs w:val="16"/>
                <w:lang w:val="en-AU"/>
              </w:rPr>
              <w:t>is dependent on the locally prevalent serotypes and vaccine supply.3</w:t>
            </w:r>
          </w:p>
          <w:p w:rsidRPr="00516F9C" w:rsidR="564361E5" w:rsidP="564361E5" w:rsidRDefault="564361E5" w14:paraId="5E27F147" w14:textId="047452AB">
            <w:pPr>
              <w:rPr>
                <w:sz w:val="16"/>
                <w:szCs w:val="16"/>
                <w:lang w:val="en-AU"/>
              </w:rPr>
            </w:pPr>
          </w:p>
          <w:p w:rsidRPr="00516F9C" w:rsidR="321B5A17" w:rsidP="564361E5" w:rsidRDefault="321B5A17" w14:paraId="07E594CC" w14:textId="56863244">
            <w:pPr>
              <w:rPr>
                <w:sz w:val="16"/>
                <w:szCs w:val="16"/>
                <w:lang w:val="en-AU"/>
              </w:rPr>
            </w:pPr>
            <w:r w:rsidRPr="00516F9C">
              <w:rPr>
                <w:sz w:val="16"/>
                <w:szCs w:val="16"/>
                <w:lang w:val="en-AU"/>
              </w:rPr>
              <w:t>The 13vPCV has been demonstrated to be safe and immunogenic in both children and adults. It</w:t>
            </w:r>
            <w:r w:rsidRPr="00516F9C" w:rsidR="15BF1B6C">
              <w:rPr>
                <w:sz w:val="16"/>
                <w:szCs w:val="16"/>
                <w:lang w:val="en-AU"/>
              </w:rPr>
              <w:t xml:space="preserve"> </w:t>
            </w:r>
            <w:r w:rsidRPr="00516F9C">
              <w:rPr>
                <w:sz w:val="16"/>
                <w:szCs w:val="16"/>
                <w:lang w:val="en-AU"/>
              </w:rPr>
              <w:t>has high global serotype coverage (&gt; 70%) and increased coverage of serotypes causing invasive</w:t>
            </w:r>
            <w:r w:rsidRPr="00516F9C" w:rsidR="6DAC6CC5">
              <w:rPr>
                <w:sz w:val="16"/>
                <w:szCs w:val="16"/>
                <w:lang w:val="en-AU"/>
              </w:rPr>
              <w:t xml:space="preserve"> </w:t>
            </w:r>
            <w:r w:rsidRPr="00516F9C">
              <w:rPr>
                <w:sz w:val="16"/>
                <w:szCs w:val="16"/>
                <w:lang w:val="en-AU"/>
              </w:rPr>
              <w:t>pneumococcal disease (IPD).4</w:t>
            </w:r>
          </w:p>
          <w:p w:rsidRPr="00516F9C" w:rsidR="321B5A17" w:rsidP="564361E5" w:rsidRDefault="321B5A17" w14:paraId="7076047A" w14:textId="48E2A4A4">
            <w:pPr>
              <w:rPr>
                <w:sz w:val="16"/>
                <w:szCs w:val="16"/>
                <w:lang w:val="en-AU"/>
              </w:rPr>
            </w:pPr>
            <w:r w:rsidRPr="00516F9C">
              <w:rPr>
                <w:sz w:val="16"/>
                <w:szCs w:val="16"/>
                <w:lang w:val="en-AU"/>
              </w:rPr>
              <w:t xml:space="preserve"> </w:t>
            </w:r>
          </w:p>
          <w:p w:rsidRPr="00516F9C" w:rsidR="564361E5" w:rsidP="00516F9C" w:rsidRDefault="321B5A17" w14:paraId="5149A9D1" w14:textId="7DA2FA49">
            <w:pPr>
              <w:rPr>
                <w:sz w:val="16"/>
                <w:szCs w:val="16"/>
                <w:lang w:val="en-AU"/>
              </w:rPr>
            </w:pPr>
            <w:r w:rsidRPr="00516F9C">
              <w:rPr>
                <w:sz w:val="16"/>
                <w:szCs w:val="16"/>
                <w:lang w:val="en-AU"/>
              </w:rPr>
              <w:t>The differences in clinical outcomes between 3p+0 and 2p+1 may be minimal in the presence of herd protection. Giving 3 primary doses (3p+0 schedule) may be preferred in settings in which disease rates peak before the end of the first year of life and the 2p+1 schedule may be preferred in settings in which duration of protection may be a concern, especially for ongoing protection against serotype 1.3,5</w:t>
            </w:r>
          </w:p>
        </w:tc>
      </w:tr>
      <w:tr w:rsidR="00043BF0" w:rsidTr="00516F9C" w14:paraId="17C7C1F1" w14:textId="77777777">
        <w:trPr>
          <w:trHeight w:val="2130"/>
        </w:trPr>
        <w:tc>
          <w:tcPr>
            <w:tcW w:w="2303" w:type="dxa"/>
          </w:tcPr>
          <w:p w:rsidR="564361E5" w:rsidP="564361E5" w:rsidRDefault="564361E5" w14:paraId="05D215E8" w14:textId="1508B9F9">
            <w:pPr>
              <w:rPr>
                <w:b/>
                <w:bCs/>
                <w:lang w:val="en-AU"/>
              </w:rPr>
            </w:pPr>
            <w:r w:rsidRPr="564361E5">
              <w:rPr>
                <w:b/>
                <w:bCs/>
                <w:lang w:val="en-AU"/>
              </w:rPr>
              <w:t>References</w:t>
            </w:r>
          </w:p>
        </w:tc>
        <w:tc>
          <w:tcPr>
            <w:tcW w:w="7053" w:type="dxa"/>
            <w:gridSpan w:val="2"/>
          </w:tcPr>
          <w:p w:rsidR="381EB05D" w:rsidP="0083246D" w:rsidRDefault="58081B41" w14:paraId="20116299" w14:textId="5DFFC816">
            <w:pPr>
              <w:pStyle w:val="ListParagraph"/>
              <w:numPr>
                <w:ilvl w:val="0"/>
                <w:numId w:val="4"/>
              </w:numPr>
            </w:pPr>
            <w:r w:rsidRPr="00516F9C">
              <w:rPr>
                <w:sz w:val="16"/>
                <w:szCs w:val="16"/>
                <w:lang w:val="en-AU"/>
              </w:rPr>
              <w:t>Australian Government Department of Health. The Australian Immunisation Handbook, 10th Edition 2013 (Updated June 2015)</w:t>
            </w:r>
            <w:r w:rsidRPr="00516F9C" w:rsidR="381EB05D">
              <w:rPr>
                <w:sz w:val="16"/>
                <w:szCs w:val="16"/>
                <w:lang w:val="en-AU"/>
              </w:rPr>
              <w:t xml:space="preserve"> </w:t>
            </w:r>
          </w:p>
          <w:p w:rsidR="381EB05D" w:rsidP="0083246D" w:rsidRDefault="58081B41" w14:paraId="134CEE39" w14:textId="1CEEE35C">
            <w:pPr>
              <w:pStyle w:val="ListParagraph"/>
              <w:numPr>
                <w:ilvl w:val="0"/>
                <w:numId w:val="4"/>
              </w:numPr>
              <w:rPr>
                <w:rFonts w:eastAsia="Calibri" w:cs="Calibri"/>
                <w:sz w:val="16"/>
                <w:szCs w:val="16"/>
              </w:rPr>
            </w:pPr>
            <w:r w:rsidRPr="3A936897">
              <w:rPr>
                <w:sz w:val="16"/>
                <w:szCs w:val="16"/>
                <w:lang w:val="en-AU"/>
              </w:rPr>
              <w:t xml:space="preserve">MIMS online available via CIAP. Accessed 9/3/16 </w:t>
            </w:r>
          </w:p>
          <w:p w:rsidR="381EB05D" w:rsidP="0083246D" w:rsidRDefault="58081B41" w14:paraId="20561149" w14:textId="78D634CC">
            <w:pPr>
              <w:pStyle w:val="ListParagraph"/>
              <w:numPr>
                <w:ilvl w:val="0"/>
                <w:numId w:val="4"/>
              </w:numPr>
              <w:rPr>
                <w:rFonts w:eastAsia="Calibri" w:cs="Calibri"/>
                <w:sz w:val="16"/>
                <w:szCs w:val="16"/>
              </w:rPr>
            </w:pPr>
            <w:r w:rsidRPr="3A936897">
              <w:rPr>
                <w:sz w:val="16"/>
                <w:szCs w:val="16"/>
                <w:lang w:val="en-AU"/>
              </w:rPr>
              <w:t xml:space="preserve">World Health Organisation. Pneumococcal vaccines - WHO position paper. Wkly Epidemiol Rec 2012; 87 (14): 129-144. (http://www.who.int/wer/2012/wer8714/en/) </w:t>
            </w:r>
          </w:p>
          <w:p w:rsidR="381EB05D" w:rsidP="0083246D" w:rsidRDefault="58081B41" w14:paraId="7C857893" w14:textId="71A9F7CD">
            <w:pPr>
              <w:pStyle w:val="ListParagraph"/>
              <w:numPr>
                <w:ilvl w:val="0"/>
                <w:numId w:val="4"/>
              </w:numPr>
              <w:rPr>
                <w:rFonts w:eastAsia="Calibri" w:cs="Calibri"/>
                <w:sz w:val="16"/>
                <w:szCs w:val="16"/>
              </w:rPr>
            </w:pPr>
            <w:r w:rsidRPr="3A936897">
              <w:rPr>
                <w:sz w:val="16"/>
                <w:szCs w:val="16"/>
                <w:lang w:val="en-AU"/>
              </w:rPr>
              <w:t xml:space="preserve">Jefferies JMC, Macdonald E, Faust SN and Clarke SC. 13-valent-pneumococcal vaccine (PCV13). Human Vaccines 2011; 7 (10): 1012-18. </w:t>
            </w:r>
          </w:p>
          <w:p w:rsidR="381EB05D" w:rsidP="0083246D" w:rsidRDefault="58081B41" w14:paraId="34BFFA69" w14:textId="6365F20A">
            <w:pPr>
              <w:pStyle w:val="ListParagraph"/>
              <w:numPr>
                <w:ilvl w:val="0"/>
                <w:numId w:val="4"/>
              </w:numPr>
              <w:rPr>
                <w:rFonts w:eastAsia="Calibri" w:cs="Calibri"/>
                <w:sz w:val="16"/>
                <w:szCs w:val="16"/>
              </w:rPr>
            </w:pPr>
            <w:r w:rsidRPr="3A936897">
              <w:rPr>
                <w:sz w:val="16"/>
                <w:szCs w:val="16"/>
                <w:lang w:val="en-AU"/>
              </w:rPr>
              <w:t>Whitney CG, Goldblatt D and O’Brien KL. Dosing schedules for pneumococcal conjugate vaccine</w:t>
            </w:r>
            <w:r w:rsidRPr="3A936897" w:rsidR="39395314">
              <w:rPr>
                <w:sz w:val="16"/>
                <w:szCs w:val="16"/>
                <w:lang w:val="en-AU"/>
              </w:rPr>
              <w:t xml:space="preserve"> </w:t>
            </w:r>
            <w:r w:rsidRPr="3A936897">
              <w:rPr>
                <w:sz w:val="16"/>
                <w:szCs w:val="16"/>
                <w:lang w:val="en-AU"/>
              </w:rPr>
              <w:t xml:space="preserve">– Considerations for policy makers. Pediatr Infect Dis J 2014; 33 (1): 172-181. </w:t>
            </w:r>
          </w:p>
          <w:p w:rsidR="564361E5" w:rsidP="0083246D" w:rsidRDefault="58081B41" w14:paraId="1591967A" w14:textId="00DACE4A">
            <w:pPr>
              <w:pStyle w:val="ListParagraph"/>
              <w:numPr>
                <w:ilvl w:val="0"/>
                <w:numId w:val="4"/>
              </w:numPr>
              <w:rPr>
                <w:sz w:val="16"/>
                <w:szCs w:val="16"/>
                <w:lang w:val="en-AU"/>
              </w:rPr>
            </w:pPr>
            <w:r w:rsidRPr="3A936897">
              <w:rPr>
                <w:sz w:val="16"/>
                <w:szCs w:val="16"/>
                <w:lang w:val="en-AU"/>
              </w:rPr>
              <w:t>New South Wales Immunisation schedule April 2016.</w:t>
            </w:r>
          </w:p>
        </w:tc>
      </w:tr>
      <w:tr w:rsidR="0020431B" w:rsidTr="00516F9C" w14:paraId="0201F7F2" w14:textId="77777777">
        <w:tc>
          <w:tcPr>
            <w:tcW w:w="5063" w:type="dxa"/>
            <w:gridSpan w:val="2"/>
            <w:vAlign w:val="center"/>
          </w:tcPr>
          <w:p w:rsidR="564361E5" w:rsidP="564361E5" w:rsidRDefault="564361E5" w14:paraId="09565828" w14:textId="2E645EC6">
            <w:pPr>
              <w:rPr>
                <w:b/>
                <w:bCs/>
                <w:sz w:val="20"/>
                <w:lang w:val="en-AU"/>
              </w:rPr>
            </w:pPr>
            <w:r w:rsidRPr="564361E5">
              <w:rPr>
                <w:b/>
                <w:bCs/>
                <w:sz w:val="20"/>
                <w:lang w:val="en-AU"/>
              </w:rPr>
              <w:t xml:space="preserve">Original version Date: </w:t>
            </w:r>
            <w:r w:rsidRPr="564361E5" w:rsidR="10FA3D9A">
              <w:rPr>
                <w:b/>
                <w:bCs/>
                <w:sz w:val="20"/>
                <w:lang w:val="en-AU"/>
              </w:rPr>
              <w:t>15/11/2016</w:t>
            </w:r>
          </w:p>
        </w:tc>
        <w:tc>
          <w:tcPr>
            <w:tcW w:w="4293" w:type="dxa"/>
            <w:vAlign w:val="center"/>
          </w:tcPr>
          <w:p w:rsidR="564361E5" w:rsidP="48F57877" w:rsidRDefault="12AA493E" w14:paraId="78B17E40" w14:textId="4A6B77B1">
            <w:pPr>
              <w:rPr>
                <w:b/>
                <w:bCs/>
                <w:sz w:val="20"/>
                <w:lang w:val="en-AU"/>
              </w:rPr>
            </w:pPr>
            <w:r w:rsidRPr="48F57877">
              <w:rPr>
                <w:b/>
                <w:bCs/>
                <w:sz w:val="20"/>
                <w:lang w:val="en-AU"/>
              </w:rPr>
              <w:t xml:space="preserve">Author: </w:t>
            </w:r>
            <w:r w:rsidRPr="48F57877" w:rsidR="10B8630A">
              <w:rPr>
                <w:b/>
                <w:bCs/>
                <w:sz w:val="20"/>
                <w:lang w:val="en-AU"/>
              </w:rPr>
              <w:t>NMFC Group</w:t>
            </w:r>
          </w:p>
        </w:tc>
      </w:tr>
      <w:tr w:rsidR="0020431B" w:rsidTr="00516F9C" w14:paraId="47B063D9" w14:textId="77777777">
        <w:tc>
          <w:tcPr>
            <w:tcW w:w="5063" w:type="dxa"/>
            <w:gridSpan w:val="2"/>
            <w:vAlign w:val="center"/>
          </w:tcPr>
          <w:p w:rsidR="564361E5" w:rsidP="564361E5" w:rsidRDefault="564361E5" w14:paraId="64EB0E52" w14:textId="32D04CDF">
            <w:pPr>
              <w:rPr>
                <w:b/>
                <w:bCs/>
                <w:sz w:val="20"/>
                <w:lang w:val="en-AU"/>
              </w:rPr>
            </w:pPr>
            <w:r w:rsidRPr="564361E5">
              <w:rPr>
                <w:b/>
                <w:bCs/>
                <w:sz w:val="20"/>
                <w:lang w:val="en-AU"/>
              </w:rPr>
              <w:t xml:space="preserve">Current Version number:  </w:t>
            </w:r>
            <w:r w:rsidR="00516F9C">
              <w:rPr>
                <w:b/>
                <w:bCs/>
                <w:sz w:val="20"/>
                <w:lang w:val="en-AU"/>
              </w:rPr>
              <w:t>2</w:t>
            </w:r>
          </w:p>
        </w:tc>
        <w:tc>
          <w:tcPr>
            <w:tcW w:w="4293" w:type="dxa"/>
            <w:vAlign w:val="center"/>
          </w:tcPr>
          <w:p w:rsidR="564361E5" w:rsidP="564361E5" w:rsidRDefault="564361E5" w14:paraId="1D1123D5" w14:textId="32FBBAAB">
            <w:pPr>
              <w:rPr>
                <w:sz w:val="20"/>
                <w:lang w:val="en-AU"/>
              </w:rPr>
            </w:pPr>
            <w:r w:rsidRPr="564361E5">
              <w:rPr>
                <w:b/>
                <w:bCs/>
                <w:sz w:val="20"/>
                <w:lang w:val="en-AU"/>
              </w:rPr>
              <w:t>Current Version Date:</w:t>
            </w:r>
            <w:r w:rsidRPr="564361E5">
              <w:rPr>
                <w:sz w:val="20"/>
                <w:lang w:val="en-AU"/>
              </w:rPr>
              <w:t xml:space="preserve">  </w:t>
            </w:r>
            <w:r w:rsidRPr="00516F9C" w:rsidR="00516F9C">
              <w:rPr>
                <w:b/>
                <w:bCs/>
                <w:sz w:val="20"/>
                <w:lang w:val="en-AU"/>
              </w:rPr>
              <w:t>2/3/2021</w:t>
            </w:r>
          </w:p>
        </w:tc>
      </w:tr>
      <w:tr w:rsidR="0020431B" w:rsidTr="00516F9C" w14:paraId="52799CAF" w14:textId="77777777">
        <w:tc>
          <w:tcPr>
            <w:tcW w:w="5063" w:type="dxa"/>
            <w:gridSpan w:val="2"/>
            <w:vAlign w:val="center"/>
          </w:tcPr>
          <w:p w:rsidR="564361E5" w:rsidP="564361E5" w:rsidRDefault="564361E5" w14:paraId="3C7E58F5" w14:textId="06C1562E">
            <w:pPr>
              <w:rPr>
                <w:sz w:val="20"/>
                <w:lang w:val="en-AU"/>
              </w:rPr>
            </w:pPr>
            <w:r w:rsidRPr="564361E5">
              <w:rPr>
                <w:b/>
                <w:bCs/>
                <w:sz w:val="20"/>
                <w:lang w:val="en-AU"/>
              </w:rPr>
              <w:t xml:space="preserve">Risk Rating: </w:t>
            </w:r>
            <w:r w:rsidR="00516F9C">
              <w:rPr>
                <w:b/>
                <w:bCs/>
                <w:sz w:val="20"/>
                <w:lang w:val="en-AU"/>
              </w:rPr>
              <w:t>Medium</w:t>
            </w:r>
          </w:p>
        </w:tc>
        <w:tc>
          <w:tcPr>
            <w:tcW w:w="4293" w:type="dxa"/>
            <w:vAlign w:val="center"/>
          </w:tcPr>
          <w:p w:rsidR="564361E5" w:rsidP="564361E5" w:rsidRDefault="564361E5" w14:paraId="6D3FDCBE" w14:textId="1EE98AE2">
            <w:pPr>
              <w:rPr>
                <w:b/>
                <w:bCs/>
                <w:sz w:val="20"/>
                <w:lang w:val="en-AU"/>
              </w:rPr>
            </w:pPr>
            <w:r w:rsidRPr="564361E5">
              <w:rPr>
                <w:b/>
                <w:bCs/>
                <w:sz w:val="20"/>
                <w:lang w:val="en-AU"/>
              </w:rPr>
              <w:t xml:space="preserve">Due for Review: </w:t>
            </w:r>
            <w:r w:rsidR="00516F9C">
              <w:rPr>
                <w:b/>
                <w:bCs/>
                <w:sz w:val="20"/>
                <w:lang w:val="en-AU"/>
              </w:rPr>
              <w:t>2/3/2024</w:t>
            </w:r>
          </w:p>
        </w:tc>
      </w:tr>
      <w:tr w:rsidR="0020431B" w:rsidTr="00516F9C" w14:paraId="40E4AF74" w14:textId="77777777">
        <w:trPr>
          <w:trHeight w:val="344"/>
        </w:trPr>
        <w:tc>
          <w:tcPr>
            <w:tcW w:w="5063" w:type="dxa"/>
            <w:gridSpan w:val="2"/>
            <w:tcBorders>
              <w:bottom w:val="single" w:color="auto" w:sz="4" w:space="0"/>
            </w:tcBorders>
            <w:vAlign w:val="center"/>
          </w:tcPr>
          <w:p w:rsidR="564361E5" w:rsidP="48F57877" w:rsidRDefault="12AA493E" w14:paraId="41B2D1AA" w14:textId="2A846A97">
            <w:pPr>
              <w:rPr>
                <w:b/>
                <w:bCs/>
                <w:sz w:val="20"/>
                <w:lang w:val="en-AU"/>
              </w:rPr>
            </w:pPr>
            <w:r w:rsidRPr="48F57877">
              <w:rPr>
                <w:b/>
                <w:bCs/>
                <w:sz w:val="20"/>
                <w:lang w:val="en-AU"/>
              </w:rPr>
              <w:t xml:space="preserve">Approval by: </w:t>
            </w:r>
            <w:r w:rsidRPr="48F57877" w:rsidR="4779E575">
              <w:rPr>
                <w:b/>
                <w:bCs/>
                <w:sz w:val="20"/>
                <w:lang w:val="en-AU"/>
              </w:rPr>
              <w:t>DTC</w:t>
            </w:r>
          </w:p>
        </w:tc>
        <w:tc>
          <w:tcPr>
            <w:tcW w:w="4293" w:type="dxa"/>
            <w:tcBorders>
              <w:bottom w:val="single" w:color="auto" w:sz="4" w:space="0"/>
            </w:tcBorders>
            <w:vAlign w:val="center"/>
          </w:tcPr>
          <w:p w:rsidR="564361E5" w:rsidP="564361E5" w:rsidRDefault="564361E5" w14:paraId="4F33F8F6" w14:textId="414C5A03">
            <w:pPr>
              <w:rPr>
                <w:b/>
                <w:bCs/>
                <w:sz w:val="20"/>
                <w:lang w:val="en-AU"/>
              </w:rPr>
            </w:pPr>
            <w:r w:rsidRPr="564361E5">
              <w:rPr>
                <w:b/>
                <w:bCs/>
                <w:sz w:val="20"/>
                <w:lang w:val="en-AU"/>
              </w:rPr>
              <w:t>Approval Date:</w:t>
            </w:r>
          </w:p>
        </w:tc>
      </w:tr>
    </w:tbl>
    <w:p w:rsidR="00115F48" w:rsidP="564361E5" w:rsidRDefault="00115F48" w14:paraId="66E8AD0C" w14:textId="149A8A05"/>
    <w:p w:rsidR="00622C2C" w:rsidP="564361E5" w:rsidRDefault="00622C2C" w14:paraId="07ADAF25" w14:textId="2D24E34D"/>
    <w:p w:rsidR="00622C2C" w:rsidP="564361E5" w:rsidRDefault="00622C2C" w14:paraId="7B30D809" w14:textId="087F4A09"/>
    <w:p w:rsidR="00622C2C" w:rsidP="564361E5" w:rsidRDefault="00622C2C" w14:paraId="1647EBC1" w14:textId="60432070"/>
    <w:p w:rsidR="00622C2C" w:rsidP="564361E5" w:rsidRDefault="00622C2C" w14:paraId="0A404C45" w14:textId="136DBA99"/>
    <w:p w:rsidR="00622C2C" w:rsidP="564361E5" w:rsidRDefault="00622C2C" w14:paraId="739C4DE1" w14:textId="06331B7D"/>
    <w:p w:rsidR="00622C2C" w:rsidP="564361E5" w:rsidRDefault="00622C2C" w14:paraId="71B2350B" w14:textId="6FEDD11B"/>
    <w:p w:rsidR="00622C2C" w:rsidP="564361E5" w:rsidRDefault="00622C2C" w14:paraId="117BE4A2" w14:textId="56CDA365"/>
    <w:p w:rsidR="00622C2C" w:rsidP="564361E5" w:rsidRDefault="00622C2C" w14:paraId="2A024AFC" w14:textId="41E08CB9"/>
    <w:p w:rsidR="00622C2C" w:rsidP="564361E5" w:rsidRDefault="00622C2C" w14:paraId="5E836B39" w14:textId="4C2FCCA5"/>
    <w:p w:rsidR="00622C2C" w:rsidP="564361E5" w:rsidRDefault="00622C2C" w14:paraId="60CAA36A" w14:textId="351F390D"/>
    <w:p w:rsidR="00622C2C" w:rsidP="564361E5" w:rsidRDefault="00622C2C" w14:paraId="09DC792C" w14:textId="65012CB3"/>
    <w:p w:rsidR="00622C2C" w:rsidP="564361E5" w:rsidRDefault="00622C2C" w14:paraId="791CCBEE" w14:textId="362C5693"/>
    <w:p w:rsidR="00622C2C" w:rsidP="564361E5" w:rsidRDefault="00622C2C" w14:paraId="5E020A6A" w14:textId="264C2BE1"/>
    <w:tbl>
      <w:tblPr>
        <w:tblW w:w="9049" w:type="dxa"/>
        <w:tblLayout w:type="fixed"/>
        <w:tblLook w:val="0000" w:firstRow="0" w:lastRow="0" w:firstColumn="0" w:lastColumn="0" w:noHBand="0" w:noVBand="0"/>
      </w:tblPr>
      <w:tblGrid>
        <w:gridCol w:w="4153"/>
        <w:gridCol w:w="4896"/>
      </w:tblGrid>
      <w:tr w:rsidRPr="00E25790" w:rsidR="00115F48" w:rsidTr="00FB1E38" w14:paraId="4798497A"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F45A7B" w:rsidR="00115F48" w:rsidP="009469DB" w:rsidRDefault="00115F48" w14:paraId="07439ADA" w14:textId="77777777">
            <w:pPr>
              <w:pStyle w:val="Heading1"/>
            </w:pPr>
            <w:bookmarkStart w:name="_Toc495481159" w:id="495"/>
            <w:bookmarkStart w:name="_Toc495481285" w:id="496"/>
            <w:bookmarkStart w:name="_Toc495481410" w:id="497"/>
            <w:bookmarkStart w:name="_Toc495501591" w:id="498"/>
            <w:bookmarkStart w:name="_Toc38106906" w:id="499"/>
            <w:bookmarkStart w:name="_Toc75340029" w:id="500"/>
            <w:r w:rsidRPr="00F45A7B">
              <w:lastRenderedPageBreak/>
              <w:t>Potassium Chloride</w:t>
            </w:r>
            <w:bookmarkEnd w:id="495"/>
            <w:bookmarkEnd w:id="496"/>
            <w:bookmarkEnd w:id="497"/>
            <w:bookmarkEnd w:id="498"/>
            <w:bookmarkEnd w:id="499"/>
            <w:bookmarkEnd w:id="500"/>
            <w:r w:rsidRPr="00F45A7B">
              <w:fldChar w:fldCharType="begin"/>
            </w:r>
            <w:r w:rsidRPr="00F45A7B">
              <w:instrText>tc "Potassium Chloride" \l 0</w:instrText>
            </w:r>
            <w:r w:rsidRPr="00F45A7B">
              <w:fldChar w:fldCharType="end"/>
            </w:r>
          </w:p>
        </w:tc>
      </w:tr>
      <w:tr w:rsidRPr="00E25790" w:rsidR="00115F48" w:rsidTr="00FB1E38" w14:paraId="0C531B7F"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3847B493" w14:textId="1177A929">
            <w:r w:rsidRPr="00E25790">
              <w:t>Revision Date</w:t>
            </w:r>
            <w:r w:rsidRPr="00E25790">
              <w:rPr>
                <w:b/>
              </w:rPr>
              <w:t xml:space="preserve"> : </w:t>
            </w:r>
            <w:r w:rsidR="007808ED">
              <w:rPr>
                <w:b/>
              </w:rPr>
              <w:t>2-3-2021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31E72A6B" w14:textId="77777777">
            <w:r w:rsidRPr="00E25790">
              <w:t xml:space="preserve">Approved: </w:t>
            </w:r>
            <w:r w:rsidR="008C6505">
              <w:t>TC, KOH</w:t>
            </w:r>
          </w:p>
        </w:tc>
      </w:tr>
    </w:tbl>
    <w:p w:rsidR="00115F48" w:rsidP="006F0321" w:rsidRDefault="00115F48" w14:paraId="6B529BB2" w14:textId="19B61CF5"/>
    <w:p w:rsidRPr="00E25790" w:rsidR="00F3774D" w:rsidP="006F0321" w:rsidRDefault="00F3774D" w14:paraId="7A81A949" w14:textId="77777777"/>
    <w:tbl>
      <w:tblPr>
        <w:tblW w:w="1034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1"/>
        <w:gridCol w:w="8647"/>
      </w:tblGrid>
      <w:tr w:rsidRPr="00026F20" w:rsidR="008B08DF" w:rsidTr="00FE4186" w14:paraId="2D1B4CF1" w14:textId="77777777">
        <w:trPr>
          <w:trHeight w:val="70"/>
        </w:trPr>
        <w:tc>
          <w:tcPr>
            <w:tcW w:w="1701" w:type="dxa"/>
          </w:tcPr>
          <w:p w:rsidRPr="00B53E9B" w:rsidR="008B08DF" w:rsidP="00FE4186" w:rsidRDefault="008B08DF" w14:paraId="63C5F581" w14:textId="77777777">
            <w:pPr>
              <w:pStyle w:val="BodyText"/>
              <w:tabs>
                <w:tab w:val="center" w:pos="1476"/>
              </w:tabs>
              <w:rPr>
                <w:rFonts w:cs="Arial"/>
                <w:b/>
                <w:sz w:val="20"/>
              </w:rPr>
            </w:pPr>
            <w:r w:rsidRPr="00B53E9B">
              <w:rPr>
                <w:rFonts w:cs="Arial"/>
                <w:b/>
                <w:sz w:val="20"/>
              </w:rPr>
              <w:t>Alert</w:t>
            </w:r>
            <w:r w:rsidRPr="00B53E9B">
              <w:rPr>
                <w:rFonts w:cs="Arial"/>
                <w:b/>
                <w:sz w:val="20"/>
              </w:rPr>
              <w:tab/>
            </w:r>
          </w:p>
        </w:tc>
        <w:tc>
          <w:tcPr>
            <w:tcW w:w="8647" w:type="dxa"/>
          </w:tcPr>
          <w:p w:rsidR="008B08DF" w:rsidP="00FE4186" w:rsidRDefault="008B08DF" w14:paraId="3C6852C5" w14:textId="77777777">
            <w:pPr>
              <w:pStyle w:val="BodyText"/>
              <w:rPr>
                <w:rFonts w:cs="Arial"/>
                <w:sz w:val="20"/>
              </w:rPr>
            </w:pPr>
            <w:r>
              <w:rPr>
                <w:rFonts w:cs="Arial"/>
                <w:sz w:val="20"/>
              </w:rPr>
              <w:t xml:space="preserve">High risk medicine. </w:t>
            </w:r>
          </w:p>
          <w:p w:rsidR="008B08DF" w:rsidP="00FE4186" w:rsidRDefault="008B08DF" w14:paraId="093C218B" w14:textId="77777777">
            <w:pPr>
              <w:pStyle w:val="BodyText"/>
              <w:rPr>
                <w:rFonts w:cs="Arial"/>
                <w:sz w:val="20"/>
              </w:rPr>
            </w:pPr>
            <w:r>
              <w:rPr>
                <w:rFonts w:cs="Arial"/>
                <w:sz w:val="20"/>
              </w:rPr>
              <w:t>The use of p</w:t>
            </w:r>
            <w:r w:rsidRPr="004B4992">
              <w:rPr>
                <w:rFonts w:cs="Arial"/>
                <w:sz w:val="20"/>
              </w:rPr>
              <w:t>re</w:t>
            </w:r>
            <w:r>
              <w:rPr>
                <w:rFonts w:cs="Arial"/>
                <w:sz w:val="20"/>
              </w:rPr>
              <w:t>-</w:t>
            </w:r>
            <w:r w:rsidRPr="004B4992">
              <w:rPr>
                <w:rFonts w:cs="Arial"/>
                <w:sz w:val="20"/>
              </w:rPr>
              <w:t>mixed</w:t>
            </w:r>
            <w:r>
              <w:rPr>
                <w:rFonts w:cs="Arial"/>
                <w:sz w:val="20"/>
              </w:rPr>
              <w:t xml:space="preserve"> </w:t>
            </w:r>
            <w:r w:rsidRPr="004B4992">
              <w:rPr>
                <w:rFonts w:cs="Arial"/>
                <w:sz w:val="20"/>
              </w:rPr>
              <w:t>pot</w:t>
            </w:r>
            <w:r>
              <w:rPr>
                <w:rFonts w:cs="Arial"/>
                <w:sz w:val="20"/>
              </w:rPr>
              <w:t>assium chloride solutions are preferred where possible.</w:t>
            </w:r>
          </w:p>
          <w:p w:rsidR="008B08DF" w:rsidP="00FE4186" w:rsidRDefault="008B08DF" w14:paraId="62DF7A08" w14:textId="77777777">
            <w:pPr>
              <w:pStyle w:val="BodyText"/>
              <w:rPr>
                <w:rFonts w:cs="Arial"/>
                <w:sz w:val="20"/>
              </w:rPr>
            </w:pPr>
            <w:r>
              <w:rPr>
                <w:rFonts w:cs="Arial"/>
                <w:sz w:val="20"/>
              </w:rPr>
              <w:t xml:space="preserve">The addition of potassium chloride to the maintenance fluids is preferred over the use of a side line to minimise the risk. </w:t>
            </w:r>
            <w:r w:rsidRPr="00B50494">
              <w:rPr>
                <w:rFonts w:cs="Arial"/>
                <w:sz w:val="20"/>
              </w:rPr>
              <w:t>Additional potassium chloride must not be added to premixed potassium chloride intravenous solutions.</w:t>
            </w:r>
          </w:p>
          <w:p w:rsidRPr="00E30C89" w:rsidR="008B08DF" w:rsidP="00FE4186" w:rsidRDefault="008B08DF" w14:paraId="32596903" w14:textId="1718EE82">
            <w:pPr>
              <w:pStyle w:val="BodyText"/>
              <w:rPr>
                <w:rFonts w:cs="Arial"/>
                <w:color w:val="1F4E79" w:themeColor="accent5" w:themeShade="80"/>
                <w:sz w:val="20"/>
              </w:rPr>
            </w:pPr>
            <w:r w:rsidRPr="006067C7">
              <w:rPr>
                <w:rFonts w:cs="Arial"/>
                <w:sz w:val="20"/>
              </w:rPr>
              <w:t>Recommended to store only 10 mmol/10 mL potassium chloride</w:t>
            </w:r>
            <w:r>
              <w:rPr>
                <w:rFonts w:cs="Arial"/>
                <w:sz w:val="20"/>
              </w:rPr>
              <w:t xml:space="preserve"> concentrated ampoules</w:t>
            </w:r>
            <w:r w:rsidRPr="006067C7">
              <w:rPr>
                <w:rFonts w:cs="Arial"/>
                <w:sz w:val="20"/>
              </w:rPr>
              <w:t xml:space="preserve"> </w:t>
            </w:r>
            <w:r>
              <w:rPr>
                <w:rFonts w:cs="Arial"/>
                <w:sz w:val="20"/>
              </w:rPr>
              <w:t xml:space="preserve">to </w:t>
            </w:r>
            <w:r w:rsidRPr="006067C7">
              <w:rPr>
                <w:rFonts w:cs="Arial"/>
                <w:sz w:val="20"/>
              </w:rPr>
              <w:t>avoid errors.</w:t>
            </w:r>
            <w:r w:rsidR="00E30C89">
              <w:rPr>
                <w:rFonts w:cs="Arial"/>
                <w:sz w:val="20"/>
              </w:rPr>
              <w:t xml:space="preserve"> </w:t>
            </w:r>
            <w:r w:rsidRPr="00E30C89" w:rsidR="00E30C89">
              <w:rPr>
                <w:rFonts w:cs="Arial"/>
                <w:color w:val="1F4E79" w:themeColor="accent5" w:themeShade="80"/>
                <w:sz w:val="20"/>
                <w:highlight w:val="yellow"/>
              </w:rPr>
              <w:t>At Canberra Hospital, a premixed solution of 10mmol/100mL is available and stored in NICU.</w:t>
            </w:r>
            <w:r w:rsidRPr="00E30C89">
              <w:rPr>
                <w:rFonts w:cs="Arial"/>
                <w:color w:val="1F4E79" w:themeColor="accent5" w:themeShade="80"/>
                <w:sz w:val="20"/>
              </w:rPr>
              <w:t xml:space="preserve"> </w:t>
            </w:r>
          </w:p>
          <w:p w:rsidR="008B08DF" w:rsidP="00FE4186" w:rsidRDefault="008B08DF" w14:paraId="2B1E6558" w14:textId="77777777">
            <w:pPr>
              <w:pStyle w:val="BodyText"/>
              <w:rPr>
                <w:rFonts w:cs="Arial"/>
                <w:sz w:val="20"/>
              </w:rPr>
            </w:pPr>
            <w:r w:rsidRPr="00F81D0D">
              <w:rPr>
                <w:rFonts w:cs="Arial"/>
                <w:sz w:val="20"/>
              </w:rPr>
              <w:t>Concentrated potassium ampoules MUST BE DILUTED prior to intravenous infusion</w:t>
            </w:r>
            <w:r>
              <w:rPr>
                <w:rFonts w:cs="Arial"/>
                <w:sz w:val="20"/>
              </w:rPr>
              <w:t>.</w:t>
            </w:r>
          </w:p>
          <w:p w:rsidRPr="006067C7" w:rsidR="008B08DF" w:rsidP="00FE4186" w:rsidRDefault="008B08DF" w14:paraId="48229EDC" w14:textId="77777777">
            <w:pPr>
              <w:pStyle w:val="BodyText"/>
              <w:rPr>
                <w:rFonts w:cs="Arial"/>
                <w:sz w:val="20"/>
              </w:rPr>
            </w:pPr>
            <w:r>
              <w:rPr>
                <w:rFonts w:cs="Arial"/>
                <w:sz w:val="20"/>
              </w:rPr>
              <w:t>When correcting severe or symptomatic hypokalaemia – Avoid diluting</w:t>
            </w:r>
            <w:r w:rsidRPr="006067C7">
              <w:rPr>
                <w:rFonts w:cs="Arial"/>
                <w:sz w:val="20"/>
              </w:rPr>
              <w:t xml:space="preserve"> with glucose solution as serum potassium level may further decrease.</w:t>
            </w:r>
          </w:p>
          <w:p w:rsidRPr="006067C7" w:rsidR="008B08DF" w:rsidP="00FE4186" w:rsidRDefault="008B08DF" w14:paraId="7335391B" w14:textId="77777777">
            <w:pPr>
              <w:pStyle w:val="BodyText"/>
              <w:rPr>
                <w:rFonts w:cs="Arial"/>
                <w:sz w:val="20"/>
              </w:rPr>
            </w:pPr>
            <w:r w:rsidRPr="006067C7">
              <w:rPr>
                <w:rFonts w:cs="Arial"/>
                <w:sz w:val="20"/>
              </w:rPr>
              <w:t>Osmolality of 1 mmol/1 mL of potassium chloride = 2000 mOsm/L.</w:t>
            </w:r>
            <w:r>
              <w:rPr>
                <w:rFonts w:cs="Arial"/>
                <w:noProof/>
                <w:sz w:val="20"/>
              </w:rPr>
              <w:t>(1)</w:t>
            </w:r>
          </w:p>
          <w:p w:rsidRPr="006067C7" w:rsidR="008B08DF" w:rsidP="00FE4186" w:rsidRDefault="008B08DF" w14:paraId="5BDCC32F" w14:textId="77777777">
            <w:pPr>
              <w:pStyle w:val="BodyText"/>
              <w:rPr>
                <w:sz w:val="20"/>
                <w:u w:val="single"/>
              </w:rPr>
            </w:pPr>
            <w:r w:rsidRPr="006067C7">
              <w:rPr>
                <w:sz w:val="20"/>
              </w:rPr>
              <w:t>I</w:t>
            </w:r>
            <w:r>
              <w:rPr>
                <w:sz w:val="20"/>
              </w:rPr>
              <w:t>ntravenous (IV)</w:t>
            </w:r>
            <w:r w:rsidRPr="006067C7">
              <w:rPr>
                <w:sz w:val="20"/>
              </w:rPr>
              <w:t xml:space="preserve"> fluid</w:t>
            </w:r>
            <w:r>
              <w:rPr>
                <w:sz w:val="20"/>
              </w:rPr>
              <w:t>s</w:t>
            </w:r>
            <w:r w:rsidRPr="006067C7">
              <w:rPr>
                <w:sz w:val="20"/>
              </w:rPr>
              <w:t xml:space="preserve"> </w:t>
            </w:r>
            <w:r>
              <w:rPr>
                <w:sz w:val="20"/>
              </w:rPr>
              <w:t>with regular</w:t>
            </w:r>
            <w:r w:rsidRPr="006067C7">
              <w:rPr>
                <w:sz w:val="20"/>
              </w:rPr>
              <w:t xml:space="preserve"> </w:t>
            </w:r>
            <w:r>
              <w:rPr>
                <w:sz w:val="20"/>
              </w:rPr>
              <w:t xml:space="preserve">pre-mixed </w:t>
            </w:r>
            <w:r w:rsidRPr="006067C7">
              <w:rPr>
                <w:sz w:val="20"/>
              </w:rPr>
              <w:t>2 mmol/100 mL</w:t>
            </w:r>
            <w:r>
              <w:rPr>
                <w:sz w:val="20"/>
              </w:rPr>
              <w:t xml:space="preserve"> (20 mmol/L) </w:t>
            </w:r>
            <w:r w:rsidRPr="006067C7">
              <w:rPr>
                <w:sz w:val="20"/>
              </w:rPr>
              <w:t>potassium chloride</w:t>
            </w:r>
            <w:r>
              <w:rPr>
                <w:sz w:val="20"/>
              </w:rPr>
              <w:t xml:space="preserve"> provides a daily maintenance dose of 2.4 to3.0 mmol/kg/day of potassium at 120 to150 mL/kg/day.</w:t>
            </w:r>
          </w:p>
          <w:p w:rsidR="008B08DF" w:rsidP="00FE4186" w:rsidRDefault="008B08DF" w14:paraId="3F38BE03" w14:textId="77777777">
            <w:pPr>
              <w:pStyle w:val="BodyText"/>
              <w:rPr>
                <w:sz w:val="20"/>
              </w:rPr>
            </w:pPr>
            <w:r w:rsidRPr="006067C7">
              <w:rPr>
                <w:sz w:val="20"/>
              </w:rPr>
              <w:t xml:space="preserve">Standard Australian consensus amino-acid formulations </w:t>
            </w:r>
            <w:r>
              <w:rPr>
                <w:sz w:val="20"/>
              </w:rPr>
              <w:t xml:space="preserve">and paediatric IV fluids </w:t>
            </w:r>
            <w:r w:rsidRPr="006067C7">
              <w:rPr>
                <w:sz w:val="20"/>
              </w:rPr>
              <w:t>have 2 mmol/100 mL potassium chloride</w:t>
            </w:r>
            <w:r>
              <w:rPr>
                <w:sz w:val="20"/>
              </w:rPr>
              <w:t>.</w:t>
            </w:r>
          </w:p>
          <w:p w:rsidRPr="00293D99" w:rsidR="008B08DF" w:rsidP="00FE4186" w:rsidRDefault="008B08DF" w14:paraId="7EDE4E0E" w14:textId="77777777">
            <w:pPr>
              <w:pStyle w:val="BodyText"/>
              <w:rPr>
                <w:sz w:val="20"/>
              </w:rPr>
            </w:pPr>
            <w:r w:rsidRPr="00293D99">
              <w:rPr>
                <w:sz w:val="20"/>
              </w:rPr>
              <w:t xml:space="preserve">Central IV </w:t>
            </w:r>
            <w:r>
              <w:rPr>
                <w:sz w:val="20"/>
              </w:rPr>
              <w:t xml:space="preserve">administration: </w:t>
            </w:r>
            <w:r w:rsidRPr="00293D99">
              <w:rPr>
                <w:sz w:val="20"/>
              </w:rPr>
              <w:t xml:space="preserve">maximum concentration </w:t>
            </w:r>
            <w:r>
              <w:rPr>
                <w:sz w:val="20"/>
              </w:rPr>
              <w:t xml:space="preserve">is </w:t>
            </w:r>
            <w:r w:rsidRPr="00293D99">
              <w:rPr>
                <w:sz w:val="20"/>
              </w:rPr>
              <w:t>80 mmol potassium chloride/L (0.08mmol/mL).</w:t>
            </w:r>
            <w:r>
              <w:rPr>
                <w:noProof/>
                <w:sz w:val="20"/>
              </w:rPr>
              <w:t>(2)</w:t>
            </w:r>
          </w:p>
          <w:p w:rsidR="008B08DF" w:rsidP="00FE4186" w:rsidRDefault="008B08DF" w14:paraId="31656E8A" w14:textId="2DE1F2AB">
            <w:pPr>
              <w:pStyle w:val="BodyText"/>
              <w:rPr>
                <w:noProof/>
                <w:sz w:val="20"/>
              </w:rPr>
            </w:pPr>
            <w:r>
              <w:rPr>
                <w:sz w:val="20"/>
              </w:rPr>
              <w:t>Peripheral IV administration: maximum concentration is 40 mmol potassium chloride/L (0.04mmol/mL).</w:t>
            </w:r>
            <w:r>
              <w:rPr>
                <w:noProof/>
                <w:sz w:val="20"/>
              </w:rPr>
              <w:t>(2)</w:t>
            </w:r>
          </w:p>
          <w:p w:rsidRPr="00821BCF" w:rsidR="00D856E7" w:rsidP="00FE4186" w:rsidRDefault="00A640C6" w14:paraId="50274923" w14:textId="5DF0D38E">
            <w:pPr>
              <w:pStyle w:val="BodyText"/>
              <w:rPr>
                <w:color w:val="1F4E79" w:themeColor="accent5" w:themeShade="80"/>
                <w:sz w:val="20"/>
              </w:rPr>
            </w:pPr>
            <w:r w:rsidRPr="00821BCF">
              <w:rPr>
                <w:noProof/>
                <w:color w:val="1F4E79" w:themeColor="accent5" w:themeShade="80"/>
                <w:sz w:val="20"/>
                <w:highlight w:val="yellow"/>
              </w:rPr>
              <w:t>A maximum concentration of 200mmol/L for central line an</w:t>
            </w:r>
            <w:r w:rsidRPr="00821BCF" w:rsidR="003851E6">
              <w:rPr>
                <w:noProof/>
                <w:color w:val="1F4E79" w:themeColor="accent5" w:themeShade="80"/>
                <w:sz w:val="20"/>
                <w:highlight w:val="yellow"/>
              </w:rPr>
              <w:t xml:space="preserve">d 80 mmol/L through peripheral IV has also been suggested. Given the availability of </w:t>
            </w:r>
            <w:r w:rsidRPr="00821BCF" w:rsidR="003C0A52">
              <w:rPr>
                <w:noProof/>
                <w:color w:val="1F4E79" w:themeColor="accent5" w:themeShade="80"/>
                <w:sz w:val="20"/>
                <w:highlight w:val="yellow"/>
              </w:rPr>
              <w:t xml:space="preserve">10mmol/100mL solution at </w:t>
            </w:r>
            <w:r w:rsidRPr="00821BCF" w:rsidR="00821BCF">
              <w:rPr>
                <w:noProof/>
                <w:color w:val="1F4E79" w:themeColor="accent5" w:themeShade="80"/>
                <w:sz w:val="20"/>
                <w:highlight w:val="yellow"/>
              </w:rPr>
              <w:t>Canberra hospital, the preferred option is to</w:t>
            </w:r>
            <w:r w:rsidR="00B76ACD">
              <w:rPr>
                <w:noProof/>
                <w:color w:val="1F4E79" w:themeColor="accent5" w:themeShade="80"/>
                <w:sz w:val="20"/>
                <w:highlight w:val="yellow"/>
              </w:rPr>
              <w:t xml:space="preserve"> </w:t>
            </w:r>
            <w:r w:rsidRPr="00821BCF" w:rsidR="00821BCF">
              <w:rPr>
                <w:noProof/>
                <w:color w:val="1F4E79" w:themeColor="accent5" w:themeShade="80"/>
                <w:sz w:val="20"/>
                <w:highlight w:val="yellow"/>
              </w:rPr>
              <w:t>use this preparation undiluted thro</w:t>
            </w:r>
            <w:r w:rsidR="007F4C8F">
              <w:rPr>
                <w:noProof/>
                <w:color w:val="1F4E79" w:themeColor="accent5" w:themeShade="80"/>
                <w:sz w:val="20"/>
                <w:highlight w:val="yellow"/>
              </w:rPr>
              <w:t>u</w:t>
            </w:r>
            <w:r w:rsidRPr="00821BCF" w:rsidR="00821BCF">
              <w:rPr>
                <w:noProof/>
                <w:color w:val="1F4E79" w:themeColor="accent5" w:themeShade="80"/>
                <w:sz w:val="20"/>
                <w:highlight w:val="yellow"/>
              </w:rPr>
              <w:t xml:space="preserve">gh </w:t>
            </w:r>
            <w:r w:rsidR="007F4C8F">
              <w:rPr>
                <w:noProof/>
                <w:color w:val="1F4E79" w:themeColor="accent5" w:themeShade="80"/>
                <w:sz w:val="20"/>
                <w:highlight w:val="yellow"/>
              </w:rPr>
              <w:t xml:space="preserve">a </w:t>
            </w:r>
            <w:r w:rsidRPr="00821BCF" w:rsidR="00821BCF">
              <w:rPr>
                <w:noProof/>
                <w:color w:val="1F4E79" w:themeColor="accent5" w:themeShade="80"/>
                <w:sz w:val="20"/>
                <w:highlight w:val="yellow"/>
              </w:rPr>
              <w:t>central line</w:t>
            </w:r>
            <w:r w:rsidRPr="007F4C8F" w:rsidR="00821BCF">
              <w:rPr>
                <w:noProof/>
                <w:color w:val="1F4E79" w:themeColor="accent5" w:themeShade="80"/>
                <w:sz w:val="20"/>
                <w:highlight w:val="yellow"/>
              </w:rPr>
              <w:t>.</w:t>
            </w:r>
            <w:r w:rsidRPr="007F4C8F" w:rsidR="007F4C8F">
              <w:rPr>
                <w:noProof/>
                <w:color w:val="1F4E79" w:themeColor="accent5" w:themeShade="80"/>
                <w:sz w:val="20"/>
                <w:highlight w:val="yellow"/>
              </w:rPr>
              <w:t>(</w:t>
            </w:r>
            <w:r w:rsidRPr="007F4C8F" w:rsidR="00FB0B85">
              <w:rPr>
                <w:noProof/>
                <w:color w:val="1F4E79" w:themeColor="accent5" w:themeShade="80"/>
                <w:sz w:val="20"/>
                <w:highlight w:val="yellow"/>
              </w:rPr>
              <w:t>12</w:t>
            </w:r>
            <w:r w:rsidRPr="007F4C8F" w:rsidR="007F4C8F">
              <w:rPr>
                <w:noProof/>
                <w:color w:val="1F4E79" w:themeColor="accent5" w:themeShade="80"/>
                <w:sz w:val="20"/>
                <w:highlight w:val="yellow"/>
              </w:rPr>
              <w:t>)</w:t>
            </w:r>
          </w:p>
          <w:p w:rsidRPr="00026F20" w:rsidR="008B08DF" w:rsidP="00FE4186" w:rsidRDefault="008B08DF" w14:paraId="1B4E7CED" w14:textId="77777777">
            <w:pPr>
              <w:pStyle w:val="BodyText"/>
              <w:rPr>
                <w:rFonts w:cs="Arial"/>
                <w:sz w:val="20"/>
              </w:rPr>
            </w:pPr>
            <w:r w:rsidRPr="006067C7">
              <w:rPr>
                <w:rFonts w:cs="Arial"/>
                <w:sz w:val="20"/>
              </w:rPr>
              <w:t>Consider all sources of potassium including parenteral nutrition when calculating total daily dose.</w:t>
            </w:r>
          </w:p>
        </w:tc>
      </w:tr>
      <w:tr w:rsidR="008B08DF" w:rsidTr="00FE4186" w14:paraId="68F33D52" w14:textId="77777777">
        <w:trPr>
          <w:trHeight w:val="72"/>
        </w:trPr>
        <w:tc>
          <w:tcPr>
            <w:tcW w:w="1701" w:type="dxa"/>
          </w:tcPr>
          <w:p w:rsidRPr="00B53E9B" w:rsidR="008B08DF" w:rsidP="00FE4186" w:rsidRDefault="008B08DF" w14:paraId="0B637FE9" w14:textId="77777777">
            <w:pPr>
              <w:pStyle w:val="BodyText"/>
              <w:rPr>
                <w:rFonts w:cs="Arial"/>
                <w:b/>
                <w:bCs/>
                <w:sz w:val="20"/>
              </w:rPr>
            </w:pPr>
            <w:r>
              <w:rPr>
                <w:rFonts w:cs="Arial"/>
                <w:b/>
                <w:bCs/>
                <w:sz w:val="20"/>
              </w:rPr>
              <w:t>Safety handling of potassium chloride</w:t>
            </w:r>
          </w:p>
        </w:tc>
        <w:tc>
          <w:tcPr>
            <w:tcW w:w="8647" w:type="dxa"/>
          </w:tcPr>
          <w:p w:rsidRPr="00F81D0D" w:rsidR="008B08DF" w:rsidP="001B0E05" w:rsidRDefault="008B08DF" w14:paraId="032ED6A1" w14:textId="77777777">
            <w:pPr>
              <w:pStyle w:val="BodyText"/>
              <w:numPr>
                <w:ilvl w:val="0"/>
                <w:numId w:val="123"/>
              </w:numPr>
              <w:overflowPunct w:val="0"/>
              <w:autoSpaceDE w:val="0"/>
              <w:autoSpaceDN w:val="0"/>
              <w:adjustRightInd w:val="0"/>
              <w:ind w:left="572" w:hanging="425"/>
              <w:jc w:val="left"/>
              <w:textAlignment w:val="baseline"/>
              <w:rPr>
                <w:rFonts w:cs="Arial"/>
                <w:sz w:val="20"/>
              </w:rPr>
            </w:pPr>
            <w:r w:rsidRPr="00F81D0D">
              <w:rPr>
                <w:rFonts w:cs="Arial"/>
                <w:sz w:val="20"/>
              </w:rPr>
              <w:t xml:space="preserve">Stock of concentrated potassium ampoules should be subject to risk assessment and stored separately from ampoules of similar appearance and packaging. </w:t>
            </w:r>
          </w:p>
          <w:p w:rsidRPr="00F81D0D" w:rsidR="008B08DF" w:rsidP="001B0E05" w:rsidRDefault="008B08DF" w14:paraId="36EC8ED1" w14:textId="77777777">
            <w:pPr>
              <w:pStyle w:val="BodyText"/>
              <w:numPr>
                <w:ilvl w:val="0"/>
                <w:numId w:val="123"/>
              </w:numPr>
              <w:overflowPunct w:val="0"/>
              <w:autoSpaceDE w:val="0"/>
              <w:autoSpaceDN w:val="0"/>
              <w:adjustRightInd w:val="0"/>
              <w:ind w:left="572" w:hanging="425"/>
              <w:jc w:val="left"/>
              <w:textAlignment w:val="baseline"/>
              <w:rPr>
                <w:rFonts w:cs="Arial"/>
                <w:sz w:val="20"/>
              </w:rPr>
            </w:pPr>
            <w:r>
              <w:rPr>
                <w:rFonts w:cs="Arial"/>
                <w:sz w:val="20"/>
              </w:rPr>
              <w:t>Retain in original packaging and remove just prior to use.</w:t>
            </w:r>
          </w:p>
          <w:p w:rsidRPr="004C4B2F" w:rsidR="008B08DF" w:rsidP="00FE4186" w:rsidRDefault="008B08DF" w14:paraId="2C2FC7D6" w14:textId="77777777">
            <w:pPr>
              <w:pStyle w:val="BodyText"/>
              <w:rPr>
                <w:sz w:val="20"/>
                <w:u w:val="single"/>
              </w:rPr>
            </w:pPr>
            <w:r w:rsidRPr="004C4B2F">
              <w:rPr>
                <w:sz w:val="20"/>
                <w:u w:val="single"/>
              </w:rPr>
              <w:t>When prescribing potassium</w:t>
            </w:r>
            <w:r>
              <w:rPr>
                <w:sz w:val="20"/>
                <w:u w:val="single"/>
              </w:rPr>
              <w:t xml:space="preserve"> </w:t>
            </w:r>
          </w:p>
          <w:p w:rsidR="008B08DF" w:rsidP="001B0E05" w:rsidRDefault="008B08DF" w14:paraId="40123A67" w14:textId="77777777">
            <w:pPr>
              <w:pStyle w:val="BodyText"/>
              <w:numPr>
                <w:ilvl w:val="0"/>
                <w:numId w:val="125"/>
              </w:numPr>
              <w:overflowPunct w:val="0"/>
              <w:autoSpaceDE w:val="0"/>
              <w:autoSpaceDN w:val="0"/>
              <w:adjustRightInd w:val="0"/>
              <w:ind w:left="572" w:hanging="425"/>
              <w:jc w:val="left"/>
              <w:textAlignment w:val="baseline"/>
              <w:rPr>
                <w:sz w:val="20"/>
              </w:rPr>
            </w:pPr>
            <w:r>
              <w:rPr>
                <w:sz w:val="20"/>
              </w:rPr>
              <w:t>Rapid correction is rarely needed in neonates.</w:t>
            </w:r>
          </w:p>
          <w:p w:rsidR="008B08DF" w:rsidP="001B0E05" w:rsidRDefault="008B08DF" w14:paraId="16575D35" w14:textId="77777777">
            <w:pPr>
              <w:pStyle w:val="BodyText"/>
              <w:numPr>
                <w:ilvl w:val="0"/>
                <w:numId w:val="125"/>
              </w:numPr>
              <w:overflowPunct w:val="0"/>
              <w:autoSpaceDE w:val="0"/>
              <w:autoSpaceDN w:val="0"/>
              <w:adjustRightInd w:val="0"/>
              <w:ind w:left="572" w:hanging="425"/>
              <w:jc w:val="left"/>
              <w:textAlignment w:val="baseline"/>
              <w:rPr>
                <w:sz w:val="20"/>
              </w:rPr>
            </w:pPr>
            <w:r>
              <w:rPr>
                <w:sz w:val="20"/>
              </w:rPr>
              <w:t>Identify and treat the aetiology for hypokalaemia (e.g. ceasing diuretics)</w:t>
            </w:r>
          </w:p>
          <w:p w:rsidR="008B08DF" w:rsidP="001B0E05" w:rsidRDefault="008B08DF" w14:paraId="309F814A" w14:textId="77777777">
            <w:pPr>
              <w:pStyle w:val="BodyText"/>
              <w:numPr>
                <w:ilvl w:val="0"/>
                <w:numId w:val="125"/>
              </w:numPr>
              <w:overflowPunct w:val="0"/>
              <w:autoSpaceDE w:val="0"/>
              <w:autoSpaceDN w:val="0"/>
              <w:adjustRightInd w:val="0"/>
              <w:ind w:left="572" w:hanging="425"/>
              <w:jc w:val="left"/>
              <w:textAlignment w:val="baseline"/>
              <w:rPr>
                <w:sz w:val="20"/>
              </w:rPr>
            </w:pPr>
            <w:r>
              <w:rPr>
                <w:sz w:val="20"/>
              </w:rPr>
              <w:t>Err on the lower end of the estimate.</w:t>
            </w:r>
          </w:p>
          <w:p w:rsidR="008B08DF" w:rsidP="001B0E05" w:rsidRDefault="008B08DF" w14:paraId="722FAED9" w14:textId="77777777">
            <w:pPr>
              <w:pStyle w:val="BodyText"/>
              <w:numPr>
                <w:ilvl w:val="0"/>
                <w:numId w:val="125"/>
              </w:numPr>
              <w:overflowPunct w:val="0"/>
              <w:autoSpaceDE w:val="0"/>
              <w:autoSpaceDN w:val="0"/>
              <w:adjustRightInd w:val="0"/>
              <w:ind w:left="572" w:hanging="425"/>
              <w:jc w:val="left"/>
              <w:textAlignment w:val="baseline"/>
              <w:rPr>
                <w:sz w:val="20"/>
              </w:rPr>
            </w:pPr>
            <w:r>
              <w:rPr>
                <w:sz w:val="20"/>
              </w:rPr>
              <w:t xml:space="preserve">Consider oral potassium replacement where possible. </w:t>
            </w:r>
          </w:p>
          <w:p w:rsidR="008B08DF" w:rsidP="001B0E05" w:rsidRDefault="008B08DF" w14:paraId="2A53B92A" w14:textId="77777777">
            <w:pPr>
              <w:pStyle w:val="BodyText"/>
              <w:numPr>
                <w:ilvl w:val="0"/>
                <w:numId w:val="123"/>
              </w:numPr>
              <w:overflowPunct w:val="0"/>
              <w:autoSpaceDE w:val="0"/>
              <w:autoSpaceDN w:val="0"/>
              <w:adjustRightInd w:val="0"/>
              <w:ind w:left="572" w:hanging="425"/>
              <w:jc w:val="left"/>
              <w:textAlignment w:val="baseline"/>
              <w:rPr>
                <w:sz w:val="20"/>
              </w:rPr>
            </w:pPr>
            <w:r w:rsidRPr="00E2485C">
              <w:rPr>
                <w:b/>
                <w:sz w:val="20"/>
              </w:rPr>
              <w:t>Discuss with clinician</w:t>
            </w:r>
            <w:r>
              <w:rPr>
                <w:b/>
                <w:sz w:val="20"/>
              </w:rPr>
              <w:t>-</w:t>
            </w:r>
            <w:r w:rsidRPr="00E2485C">
              <w:rPr>
                <w:b/>
                <w:sz w:val="20"/>
              </w:rPr>
              <w:t xml:space="preserve">in-charge prior </w:t>
            </w:r>
            <w:r>
              <w:rPr>
                <w:b/>
                <w:sz w:val="20"/>
              </w:rPr>
              <w:t xml:space="preserve">to </w:t>
            </w:r>
            <w:r w:rsidRPr="00E2485C">
              <w:rPr>
                <w:b/>
                <w:sz w:val="20"/>
              </w:rPr>
              <w:t>IV correction of hyp</w:t>
            </w:r>
            <w:r>
              <w:rPr>
                <w:b/>
                <w:sz w:val="20"/>
              </w:rPr>
              <w:t>o</w:t>
            </w:r>
            <w:r w:rsidRPr="00E2485C">
              <w:rPr>
                <w:b/>
                <w:sz w:val="20"/>
              </w:rPr>
              <w:t>kalaemia</w:t>
            </w:r>
            <w:r>
              <w:rPr>
                <w:rFonts w:cs="Arial"/>
                <w:sz w:val="20"/>
              </w:rPr>
              <w:t>.</w:t>
            </w:r>
          </w:p>
        </w:tc>
      </w:tr>
      <w:tr w:rsidRPr="00A4414D" w:rsidR="008B08DF" w:rsidTr="00FE4186" w14:paraId="7D743839" w14:textId="77777777">
        <w:trPr>
          <w:trHeight w:val="72"/>
        </w:trPr>
        <w:tc>
          <w:tcPr>
            <w:tcW w:w="1701" w:type="dxa"/>
          </w:tcPr>
          <w:p w:rsidRPr="00B53E9B" w:rsidR="008B08DF" w:rsidP="00FE4186" w:rsidRDefault="008B08DF" w14:paraId="5684746A" w14:textId="77777777">
            <w:pPr>
              <w:pStyle w:val="BodyText"/>
              <w:rPr>
                <w:rFonts w:cs="Arial"/>
                <w:sz w:val="20"/>
              </w:rPr>
            </w:pPr>
            <w:r w:rsidRPr="00B53E9B">
              <w:rPr>
                <w:rFonts w:cs="Arial"/>
                <w:b/>
                <w:bCs/>
                <w:sz w:val="20"/>
              </w:rPr>
              <w:t>Indication</w:t>
            </w:r>
          </w:p>
        </w:tc>
        <w:tc>
          <w:tcPr>
            <w:tcW w:w="8647" w:type="dxa"/>
          </w:tcPr>
          <w:p w:rsidRPr="00A4414D" w:rsidR="008B08DF" w:rsidP="00FE4186" w:rsidRDefault="008B08DF" w14:paraId="3272E97D" w14:textId="77777777">
            <w:pPr>
              <w:rPr>
                <w:sz w:val="20"/>
              </w:rPr>
            </w:pPr>
            <w:r>
              <w:rPr>
                <w:sz w:val="20"/>
              </w:rPr>
              <w:t>Treatment and prevention of hypokalaemia.</w:t>
            </w:r>
          </w:p>
        </w:tc>
      </w:tr>
      <w:tr w:rsidRPr="00A4414D" w:rsidR="008B08DF" w:rsidTr="00FE4186" w14:paraId="40AAC952" w14:textId="77777777">
        <w:trPr>
          <w:trHeight w:val="70"/>
        </w:trPr>
        <w:tc>
          <w:tcPr>
            <w:tcW w:w="1701" w:type="dxa"/>
          </w:tcPr>
          <w:p w:rsidRPr="00B53E9B" w:rsidR="008B08DF" w:rsidP="00FE4186" w:rsidRDefault="008B08DF" w14:paraId="6E9DDE69" w14:textId="77777777">
            <w:pPr>
              <w:pStyle w:val="BodyText"/>
              <w:rPr>
                <w:rFonts w:cs="Arial"/>
                <w:b/>
                <w:bCs/>
                <w:sz w:val="20"/>
              </w:rPr>
            </w:pPr>
            <w:r w:rsidRPr="00B53E9B">
              <w:rPr>
                <w:rFonts w:cs="Arial"/>
                <w:b/>
                <w:bCs/>
                <w:sz w:val="20"/>
              </w:rPr>
              <w:t>Action</w:t>
            </w:r>
          </w:p>
        </w:tc>
        <w:tc>
          <w:tcPr>
            <w:tcW w:w="8647" w:type="dxa"/>
          </w:tcPr>
          <w:p w:rsidRPr="00A4414D" w:rsidR="008B08DF" w:rsidP="00FE4186" w:rsidRDefault="008B08DF" w14:paraId="396A5E27" w14:textId="77777777">
            <w:pPr>
              <w:rPr>
                <w:rFonts w:cs="Arial"/>
                <w:sz w:val="20"/>
              </w:rPr>
            </w:pPr>
            <w:r>
              <w:rPr>
                <w:rFonts w:cs="Arial"/>
                <w:sz w:val="20"/>
              </w:rPr>
              <w:t>In</w:t>
            </w:r>
            <w:r w:rsidRPr="00BB7608">
              <w:rPr>
                <w:rFonts w:cs="Arial"/>
                <w:sz w:val="20"/>
              </w:rPr>
              <w:t>tracellular cation.</w:t>
            </w:r>
            <w:r>
              <w:t xml:space="preserve"> </w:t>
            </w:r>
            <w:r>
              <w:rPr>
                <w:rFonts w:cs="Arial"/>
                <w:sz w:val="20"/>
              </w:rPr>
              <w:t>Essential in</w:t>
            </w:r>
            <w:r w:rsidRPr="004A377F">
              <w:rPr>
                <w:rFonts w:cs="Arial"/>
                <w:sz w:val="20"/>
              </w:rPr>
              <w:t xml:space="preserve"> the maintenance of body fluid composition and electrolyte balance. </w:t>
            </w:r>
            <w:r>
              <w:rPr>
                <w:rFonts w:cs="Arial"/>
                <w:sz w:val="20"/>
              </w:rPr>
              <w:t>Pa</w:t>
            </w:r>
            <w:r w:rsidRPr="004A377F">
              <w:rPr>
                <w:rFonts w:cs="Arial"/>
                <w:sz w:val="20"/>
              </w:rPr>
              <w:t>rticipates in carbohydrate utili</w:t>
            </w:r>
            <w:r>
              <w:rPr>
                <w:rFonts w:cs="Arial"/>
                <w:sz w:val="20"/>
              </w:rPr>
              <w:t>s</w:t>
            </w:r>
            <w:r w:rsidRPr="004A377F">
              <w:rPr>
                <w:rFonts w:cs="Arial"/>
                <w:sz w:val="20"/>
              </w:rPr>
              <w:t>ation</w:t>
            </w:r>
            <w:r>
              <w:rPr>
                <w:rFonts w:cs="Arial"/>
                <w:sz w:val="20"/>
              </w:rPr>
              <w:t xml:space="preserve"> and</w:t>
            </w:r>
            <w:r w:rsidRPr="004A377F">
              <w:rPr>
                <w:rFonts w:cs="Arial"/>
                <w:sz w:val="20"/>
              </w:rPr>
              <w:t xml:space="preserve"> protein synthesis</w:t>
            </w:r>
            <w:r>
              <w:rPr>
                <w:rFonts w:cs="Arial"/>
                <w:sz w:val="20"/>
              </w:rPr>
              <w:t>. It</w:t>
            </w:r>
            <w:r w:rsidRPr="004A377F">
              <w:rPr>
                <w:rFonts w:cs="Arial"/>
                <w:sz w:val="20"/>
              </w:rPr>
              <w:t xml:space="preserve"> is critical in the regulation of nerve conduction and muscle contraction, particularly in the heart.</w:t>
            </w:r>
          </w:p>
        </w:tc>
      </w:tr>
      <w:tr w:rsidRPr="00026F20" w:rsidR="008B08DF" w:rsidTr="00FE4186" w14:paraId="2D7D9BF9" w14:textId="77777777">
        <w:trPr>
          <w:trHeight w:val="266"/>
        </w:trPr>
        <w:tc>
          <w:tcPr>
            <w:tcW w:w="1701" w:type="dxa"/>
          </w:tcPr>
          <w:p w:rsidRPr="00B53E9B" w:rsidR="008B08DF" w:rsidP="00FE4186" w:rsidRDefault="008B08DF" w14:paraId="72FA2FBE" w14:textId="77777777">
            <w:pPr>
              <w:pStyle w:val="BodyText"/>
              <w:rPr>
                <w:rFonts w:cs="Arial"/>
                <w:sz w:val="20"/>
              </w:rPr>
            </w:pPr>
            <w:r>
              <w:rPr>
                <w:rFonts w:cs="Arial"/>
                <w:b/>
                <w:bCs/>
                <w:sz w:val="20"/>
              </w:rPr>
              <w:t>Drug t</w:t>
            </w:r>
            <w:r w:rsidRPr="00B53E9B">
              <w:rPr>
                <w:rFonts w:cs="Arial"/>
                <w:b/>
                <w:bCs/>
                <w:sz w:val="20"/>
              </w:rPr>
              <w:t xml:space="preserve">ype                                   </w:t>
            </w:r>
          </w:p>
        </w:tc>
        <w:tc>
          <w:tcPr>
            <w:tcW w:w="8647" w:type="dxa"/>
          </w:tcPr>
          <w:p w:rsidRPr="00026F20" w:rsidR="008B08DF" w:rsidP="00FE4186" w:rsidRDefault="008B08DF" w14:paraId="03068DE1" w14:textId="77777777">
            <w:pPr>
              <w:pStyle w:val="BodyText"/>
              <w:rPr>
                <w:rFonts w:cs="Arial"/>
                <w:sz w:val="20"/>
              </w:rPr>
            </w:pPr>
            <w:r>
              <w:rPr>
                <w:rFonts w:cs="Arial"/>
                <w:sz w:val="20"/>
              </w:rPr>
              <w:t xml:space="preserve">Electrolyte. </w:t>
            </w:r>
          </w:p>
        </w:tc>
      </w:tr>
      <w:tr w:rsidRPr="00026F20" w:rsidR="008B08DF" w:rsidTr="00FE4186" w14:paraId="67E96AAA" w14:textId="77777777">
        <w:trPr>
          <w:trHeight w:val="114"/>
        </w:trPr>
        <w:tc>
          <w:tcPr>
            <w:tcW w:w="1701" w:type="dxa"/>
          </w:tcPr>
          <w:p w:rsidRPr="00B53E9B" w:rsidR="008B08DF" w:rsidP="00FE4186" w:rsidRDefault="008B08DF" w14:paraId="46D571E1"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647" w:type="dxa"/>
          </w:tcPr>
          <w:p w:rsidRPr="00026F20" w:rsidR="008B08DF" w:rsidP="00FE4186" w:rsidRDefault="008B08DF" w14:paraId="057EAE17" w14:textId="77777777">
            <w:pPr>
              <w:pStyle w:val="BodyText"/>
              <w:rPr>
                <w:rFonts w:cs="Arial"/>
                <w:sz w:val="20"/>
              </w:rPr>
            </w:pPr>
            <w:r>
              <w:rPr>
                <w:rFonts w:cs="Arial"/>
                <w:sz w:val="20"/>
              </w:rPr>
              <w:t>Pfizer Sterile Potassium Chloride Concentrate, Potassium Chloride Juno</w:t>
            </w:r>
          </w:p>
        </w:tc>
      </w:tr>
      <w:tr w:rsidRPr="006A7E69" w:rsidR="008B08DF" w:rsidTr="00FE4186" w14:paraId="706D60DB" w14:textId="77777777">
        <w:trPr>
          <w:trHeight w:val="70"/>
        </w:trPr>
        <w:tc>
          <w:tcPr>
            <w:tcW w:w="1701" w:type="dxa"/>
          </w:tcPr>
          <w:p w:rsidRPr="00B53E9B" w:rsidR="008B08DF" w:rsidP="00FE4186" w:rsidRDefault="008B08DF" w14:paraId="00ADF273" w14:textId="77777777">
            <w:pPr>
              <w:pStyle w:val="BodyText"/>
              <w:rPr>
                <w:rFonts w:cs="Arial"/>
                <w:b/>
                <w:bCs/>
                <w:sz w:val="20"/>
              </w:rPr>
            </w:pPr>
            <w:r w:rsidRPr="00B53E9B">
              <w:rPr>
                <w:rFonts w:cs="Arial"/>
                <w:b/>
                <w:bCs/>
                <w:sz w:val="20"/>
              </w:rPr>
              <w:t xml:space="preserve">Presentation </w:t>
            </w:r>
          </w:p>
        </w:tc>
        <w:tc>
          <w:tcPr>
            <w:tcW w:w="8647" w:type="dxa"/>
          </w:tcPr>
          <w:p w:rsidR="00F92905" w:rsidP="00FE4186" w:rsidRDefault="00F92905" w14:paraId="2EA3E258" w14:textId="674D8A33">
            <w:pPr>
              <w:pStyle w:val="BodyText"/>
              <w:rPr>
                <w:rFonts w:cs="Arial"/>
                <w:sz w:val="20"/>
              </w:rPr>
            </w:pPr>
            <w:r w:rsidRPr="00117345">
              <w:rPr>
                <w:rFonts w:cs="Arial"/>
                <w:sz w:val="20"/>
                <w:highlight w:val="yellow"/>
              </w:rPr>
              <w:t>Baxter Potassium Chloride 10 mmol/100 mL and Sodium Chloride 0.29% solution</w:t>
            </w:r>
          </w:p>
          <w:p w:rsidR="008B08DF" w:rsidP="00FE4186" w:rsidRDefault="008B08DF" w14:paraId="2C3ACE77" w14:textId="1E5B4647">
            <w:pPr>
              <w:pStyle w:val="BodyText"/>
              <w:rPr>
                <w:rFonts w:cs="Arial"/>
                <w:sz w:val="20"/>
              </w:rPr>
            </w:pPr>
            <w:r w:rsidRPr="000E347E">
              <w:rPr>
                <w:rFonts w:cs="Arial"/>
                <w:sz w:val="20"/>
              </w:rPr>
              <w:t>Pfizer (Perth) Sterile Potassium Chloride Concentrate (Concentrate for infusion)</w:t>
            </w:r>
            <w:r>
              <w:rPr>
                <w:rFonts w:cs="Arial"/>
                <w:sz w:val="20"/>
              </w:rPr>
              <w:t xml:space="preserve">: </w:t>
            </w:r>
            <w:r w:rsidRPr="000E347E">
              <w:rPr>
                <w:rFonts w:cs="Arial"/>
                <w:sz w:val="20"/>
              </w:rPr>
              <w:t>10 mm</w:t>
            </w:r>
            <w:r>
              <w:rPr>
                <w:rFonts w:cs="Arial"/>
                <w:sz w:val="20"/>
              </w:rPr>
              <w:t>o</w:t>
            </w:r>
            <w:r w:rsidRPr="000E347E">
              <w:rPr>
                <w:rFonts w:cs="Arial"/>
                <w:sz w:val="20"/>
              </w:rPr>
              <w:t>l/10 mL</w:t>
            </w:r>
            <w:r>
              <w:rPr>
                <w:rFonts w:cs="Arial"/>
                <w:sz w:val="20"/>
              </w:rPr>
              <w:t xml:space="preserve"> and</w:t>
            </w:r>
          </w:p>
          <w:p w:rsidR="008B08DF" w:rsidP="00FE4186" w:rsidRDefault="008B08DF" w14:paraId="670F76E8" w14:textId="66551900">
            <w:pPr>
              <w:pStyle w:val="BodyText"/>
              <w:rPr>
                <w:rFonts w:cs="Arial"/>
                <w:sz w:val="20"/>
              </w:rPr>
            </w:pPr>
            <w:r w:rsidRPr="000E347E">
              <w:rPr>
                <w:rFonts w:cs="Arial"/>
                <w:sz w:val="20"/>
              </w:rPr>
              <w:t>Potassium Chloride Juno Concentrate</w:t>
            </w:r>
            <w:r>
              <w:rPr>
                <w:rFonts w:cs="Arial"/>
                <w:sz w:val="20"/>
              </w:rPr>
              <w:t>:</w:t>
            </w:r>
            <w:r w:rsidRPr="000E347E">
              <w:rPr>
                <w:rFonts w:cs="Arial"/>
                <w:sz w:val="20"/>
              </w:rPr>
              <w:t xml:space="preserve"> 10 mmol</w:t>
            </w:r>
            <w:r>
              <w:rPr>
                <w:rFonts w:cs="Arial"/>
                <w:sz w:val="20"/>
              </w:rPr>
              <w:t xml:space="preserve">/10 mL. </w:t>
            </w:r>
          </w:p>
          <w:p w:rsidRPr="006A7E69" w:rsidR="008B08DF" w:rsidP="00FE4186" w:rsidRDefault="008B08DF" w14:paraId="57519927" w14:textId="77777777">
            <w:pPr>
              <w:pStyle w:val="BodyText"/>
              <w:rPr>
                <w:rFonts w:cs="Arial"/>
                <w:b/>
                <w:sz w:val="20"/>
              </w:rPr>
            </w:pPr>
            <w:r w:rsidRPr="006A7E69">
              <w:rPr>
                <w:rFonts w:cs="Arial"/>
                <w:b/>
                <w:i/>
                <w:sz w:val="20"/>
              </w:rPr>
              <w:t>Other strengths of potassium chloride have been intentionally excluded from this neonatal formulary</w:t>
            </w:r>
            <w:r w:rsidRPr="006A7E69">
              <w:rPr>
                <w:rFonts w:cs="Arial"/>
                <w:b/>
                <w:sz w:val="20"/>
              </w:rPr>
              <w:t>.</w:t>
            </w:r>
          </w:p>
        </w:tc>
      </w:tr>
      <w:tr w:rsidRPr="00026F20" w:rsidR="008B08DF" w:rsidTr="00FE4186" w14:paraId="4074C778" w14:textId="77777777">
        <w:trPr>
          <w:trHeight w:val="70"/>
        </w:trPr>
        <w:tc>
          <w:tcPr>
            <w:tcW w:w="1701" w:type="dxa"/>
          </w:tcPr>
          <w:p w:rsidRPr="00B53E9B" w:rsidR="008B08DF" w:rsidP="00FE4186" w:rsidRDefault="008B08DF" w14:paraId="2F299CC8" w14:textId="77777777">
            <w:pPr>
              <w:pStyle w:val="BodyText"/>
              <w:rPr>
                <w:rFonts w:cs="Arial"/>
                <w:b/>
                <w:bCs/>
                <w:sz w:val="20"/>
              </w:rPr>
            </w:pPr>
            <w:r>
              <w:rPr>
                <w:rFonts w:cs="Arial"/>
                <w:b/>
                <w:bCs/>
                <w:sz w:val="20"/>
              </w:rPr>
              <w:t>Dose</w:t>
            </w:r>
            <w:r w:rsidRPr="00B53E9B">
              <w:rPr>
                <w:rFonts w:cs="Arial"/>
                <w:b/>
                <w:bCs/>
                <w:sz w:val="20"/>
              </w:rPr>
              <w:t xml:space="preserve">                          </w:t>
            </w:r>
          </w:p>
        </w:tc>
        <w:tc>
          <w:tcPr>
            <w:tcW w:w="8647" w:type="dxa"/>
          </w:tcPr>
          <w:p w:rsidR="00564F7A" w:rsidP="00FE4186" w:rsidRDefault="004C7112" w14:paraId="63B120AF" w14:textId="240CB696">
            <w:pPr>
              <w:pStyle w:val="BodyText"/>
              <w:rPr>
                <w:sz w:val="20"/>
                <w:u w:val="single"/>
              </w:rPr>
            </w:pPr>
            <w:r w:rsidRPr="00117345">
              <w:rPr>
                <w:rFonts w:cs="Arial"/>
                <w:sz w:val="20"/>
                <w:highlight w:val="yellow"/>
              </w:rPr>
              <w:t xml:space="preserve">Potassium Chloride 10 </w:t>
            </w:r>
            <w:r w:rsidRPr="005C3CC9">
              <w:rPr>
                <w:rFonts w:cs="Arial"/>
                <w:sz w:val="20"/>
                <w:highlight w:val="yellow"/>
              </w:rPr>
              <w:t xml:space="preserve">mmol/100 mL can be used </w:t>
            </w:r>
            <w:r w:rsidRPr="005C3CC9" w:rsidR="005C3CC9">
              <w:rPr>
                <w:rFonts w:cs="Arial"/>
                <w:sz w:val="20"/>
                <w:highlight w:val="yellow"/>
              </w:rPr>
              <w:t>as side arm infusion preferably through central line.</w:t>
            </w:r>
          </w:p>
          <w:p w:rsidR="005C3CC9" w:rsidP="00FE4186" w:rsidRDefault="005C3CC9" w14:paraId="2DC32F71" w14:textId="77777777">
            <w:pPr>
              <w:pStyle w:val="BodyText"/>
              <w:rPr>
                <w:sz w:val="20"/>
                <w:u w:val="single"/>
              </w:rPr>
            </w:pPr>
          </w:p>
          <w:p w:rsidRPr="00F36DDD" w:rsidR="008B08DF" w:rsidP="00FE4186" w:rsidRDefault="008B08DF" w14:paraId="6A707BCC" w14:textId="16C56512">
            <w:pPr>
              <w:pStyle w:val="BodyText"/>
              <w:rPr>
                <w:sz w:val="20"/>
                <w:u w:val="single"/>
              </w:rPr>
            </w:pPr>
            <w:r>
              <w:rPr>
                <w:sz w:val="20"/>
                <w:u w:val="single"/>
              </w:rPr>
              <w:t xml:space="preserve">Mild to moderate </w:t>
            </w:r>
            <w:r w:rsidRPr="00F36DDD">
              <w:rPr>
                <w:sz w:val="20"/>
                <w:u w:val="single"/>
              </w:rPr>
              <w:t>hyp</w:t>
            </w:r>
            <w:r>
              <w:rPr>
                <w:sz w:val="20"/>
                <w:u w:val="single"/>
              </w:rPr>
              <w:t>o</w:t>
            </w:r>
            <w:r w:rsidRPr="00F36DDD">
              <w:rPr>
                <w:sz w:val="20"/>
                <w:u w:val="single"/>
              </w:rPr>
              <w:t>kalaemia</w:t>
            </w:r>
            <w:r>
              <w:rPr>
                <w:sz w:val="20"/>
                <w:u w:val="single"/>
              </w:rPr>
              <w:t xml:space="preserve"> (&lt;3.5 mmol/L) with no ECG changes</w:t>
            </w:r>
          </w:p>
          <w:p w:rsidR="008B08DF" w:rsidP="00FE4186" w:rsidRDefault="008B08DF" w14:paraId="784A2476" w14:textId="77777777">
            <w:pPr>
              <w:pStyle w:val="BodyText"/>
              <w:ind w:firstLine="431"/>
              <w:rPr>
                <w:sz w:val="20"/>
              </w:rPr>
            </w:pPr>
            <w:r>
              <w:rPr>
                <w:sz w:val="20"/>
              </w:rPr>
              <w:t>Check if the regular maintenance IV fluid has potassium chloride in the solution.</w:t>
            </w:r>
          </w:p>
          <w:p w:rsidR="008B08DF" w:rsidP="00FE4186" w:rsidRDefault="008B08DF" w14:paraId="4F65BD86" w14:textId="77777777">
            <w:pPr>
              <w:pStyle w:val="BodyText"/>
              <w:ind w:firstLine="431"/>
              <w:rPr>
                <w:sz w:val="20"/>
              </w:rPr>
            </w:pPr>
            <w:r>
              <w:rPr>
                <w:sz w:val="20"/>
              </w:rPr>
              <w:lastRenderedPageBreak/>
              <w:t>Maintenance IV fluid containing potassium may be adequate.</w:t>
            </w:r>
          </w:p>
          <w:p w:rsidR="008B08DF" w:rsidP="00FE4186" w:rsidRDefault="008B08DF" w14:paraId="0D24A4DC" w14:textId="77777777">
            <w:pPr>
              <w:pStyle w:val="BodyText"/>
              <w:ind w:firstLine="431"/>
              <w:rPr>
                <w:sz w:val="20"/>
              </w:rPr>
            </w:pPr>
          </w:p>
          <w:p w:rsidR="008B08DF" w:rsidP="00FE4186" w:rsidRDefault="008B08DF" w14:paraId="51D543F8" w14:textId="77777777">
            <w:pPr>
              <w:pStyle w:val="BodyText"/>
              <w:ind w:firstLine="431"/>
              <w:rPr>
                <w:sz w:val="20"/>
              </w:rPr>
            </w:pPr>
            <w:r>
              <w:rPr>
                <w:sz w:val="20"/>
              </w:rPr>
              <w:t>Parenteral maintenance dose can be provided in maintenance IV fluids as:</w:t>
            </w:r>
          </w:p>
          <w:p w:rsidR="008B08DF" w:rsidP="00FE4186" w:rsidRDefault="008B08DF" w14:paraId="7D9D55D6" w14:textId="77777777">
            <w:pPr>
              <w:pStyle w:val="BodyText"/>
              <w:ind w:firstLine="431"/>
              <w:rPr>
                <w:sz w:val="20"/>
              </w:rPr>
            </w:pPr>
            <w:r>
              <w:rPr>
                <w:sz w:val="20"/>
              </w:rPr>
              <w:t>Not greater than 4 mmol/100 mL (20 to 40 mmol/L) of potassium chloride in peripheral IV fluids;</w:t>
            </w:r>
          </w:p>
          <w:p w:rsidR="008B08DF" w:rsidP="00FE4186" w:rsidRDefault="008B08DF" w14:paraId="17F2DD4B" w14:textId="77777777">
            <w:pPr>
              <w:pStyle w:val="BodyText"/>
              <w:ind w:firstLine="431"/>
              <w:rPr>
                <w:sz w:val="20"/>
              </w:rPr>
            </w:pPr>
            <w:r>
              <w:rPr>
                <w:sz w:val="20"/>
              </w:rPr>
              <w:t xml:space="preserve">Not greater than 8 mmol/100 mL (80 mmol/L) of potassium chloride in central IV fluids </w:t>
            </w:r>
          </w:p>
          <w:p w:rsidR="008B08DF" w:rsidP="00FE4186" w:rsidRDefault="008B08DF" w14:paraId="5B20451C" w14:textId="77777777">
            <w:pPr>
              <w:pStyle w:val="BodyText"/>
              <w:ind w:firstLine="431"/>
              <w:rPr>
                <w:sz w:val="20"/>
              </w:rPr>
            </w:pPr>
          </w:p>
          <w:p w:rsidR="008B08DF" w:rsidP="00FE4186" w:rsidRDefault="008B08DF" w14:paraId="00082C3A" w14:textId="77777777">
            <w:pPr>
              <w:pStyle w:val="BodyText"/>
              <w:ind w:firstLine="431"/>
              <w:rPr>
                <w:sz w:val="20"/>
              </w:rPr>
            </w:pPr>
            <w:r>
              <w:rPr>
                <w:sz w:val="20"/>
              </w:rPr>
              <w:t>The daily parenteral maintenance dose of potassium:</w:t>
            </w:r>
          </w:p>
          <w:p w:rsidR="008B08DF" w:rsidP="00FE4186" w:rsidRDefault="008B08DF" w14:paraId="54955382" w14:textId="77777777">
            <w:pPr>
              <w:pStyle w:val="BodyText"/>
              <w:ind w:firstLine="431"/>
              <w:rPr>
                <w:sz w:val="20"/>
              </w:rPr>
            </w:pPr>
          </w:p>
          <w:tbl>
            <w:tblPr>
              <w:tblStyle w:val="TableGrid"/>
              <w:tblW w:w="0" w:type="auto"/>
              <w:tblInd w:w="1327" w:type="dxa"/>
              <w:tblLayout w:type="fixed"/>
              <w:tblLook w:val="04A0" w:firstRow="1" w:lastRow="0" w:firstColumn="1" w:lastColumn="0" w:noHBand="0" w:noVBand="1"/>
            </w:tblPr>
            <w:tblGrid>
              <w:gridCol w:w="1276"/>
              <w:gridCol w:w="3380"/>
            </w:tblGrid>
            <w:tr w:rsidRPr="006067C7" w:rsidR="008B08DF" w:rsidTr="00FE4186" w14:paraId="18162398" w14:textId="77777777">
              <w:tc>
                <w:tcPr>
                  <w:tcW w:w="1276" w:type="dxa"/>
                </w:tcPr>
                <w:p w:rsidRPr="006067C7" w:rsidR="008B08DF" w:rsidP="00FE4186" w:rsidRDefault="008B08DF" w14:paraId="7FB18308" w14:textId="77777777">
                  <w:pPr>
                    <w:pStyle w:val="BodyText"/>
                    <w:rPr>
                      <w:sz w:val="20"/>
                      <w:u w:val="single"/>
                    </w:rPr>
                  </w:pPr>
                  <w:r w:rsidRPr="006067C7">
                    <w:rPr>
                      <w:sz w:val="20"/>
                      <w:u w:val="single"/>
                    </w:rPr>
                    <w:t>Weight</w:t>
                  </w:r>
                </w:p>
              </w:tc>
              <w:tc>
                <w:tcPr>
                  <w:tcW w:w="3380" w:type="dxa"/>
                </w:tcPr>
                <w:p w:rsidRPr="006067C7" w:rsidR="008B08DF" w:rsidP="00FE4186" w:rsidRDefault="008B08DF" w14:paraId="57FCCB75" w14:textId="77777777">
                  <w:pPr>
                    <w:pStyle w:val="BodyText"/>
                    <w:rPr>
                      <w:sz w:val="20"/>
                      <w:u w:val="single"/>
                    </w:rPr>
                  </w:pPr>
                  <w:r w:rsidRPr="006067C7">
                    <w:rPr>
                      <w:sz w:val="20"/>
                      <w:u w:val="single"/>
                    </w:rPr>
                    <w:t>Dose</w:t>
                  </w:r>
                </w:p>
              </w:tc>
            </w:tr>
            <w:tr w:rsidRPr="006067C7" w:rsidR="008B08DF" w:rsidTr="00FE4186" w14:paraId="17220868" w14:textId="77777777">
              <w:tc>
                <w:tcPr>
                  <w:tcW w:w="1276" w:type="dxa"/>
                </w:tcPr>
                <w:p w:rsidRPr="006067C7" w:rsidR="008B08DF" w:rsidP="00FE4186" w:rsidRDefault="008B08DF" w14:paraId="24603AC3" w14:textId="77777777">
                  <w:pPr>
                    <w:pStyle w:val="BodyText"/>
                    <w:rPr>
                      <w:sz w:val="20"/>
                      <w:u w:val="single"/>
                    </w:rPr>
                  </w:pPr>
                  <w:r w:rsidRPr="006067C7">
                    <w:rPr>
                      <w:sz w:val="20"/>
                    </w:rPr>
                    <w:t>&lt;1500 g</w:t>
                  </w:r>
                </w:p>
              </w:tc>
              <w:tc>
                <w:tcPr>
                  <w:tcW w:w="3380" w:type="dxa"/>
                </w:tcPr>
                <w:p w:rsidRPr="006067C7" w:rsidR="008B08DF" w:rsidP="00FE4186" w:rsidRDefault="008B08DF" w14:paraId="1ABB1BB1" w14:textId="77777777">
                  <w:pPr>
                    <w:pStyle w:val="BodyText"/>
                    <w:rPr>
                      <w:sz w:val="20"/>
                      <w:u w:val="single"/>
                    </w:rPr>
                  </w:pPr>
                  <w:r w:rsidRPr="006067C7">
                    <w:rPr>
                      <w:sz w:val="20"/>
                    </w:rPr>
                    <w:t>2</w:t>
                  </w:r>
                  <w:r>
                    <w:rPr>
                      <w:sz w:val="20"/>
                    </w:rPr>
                    <w:t xml:space="preserve"> to </w:t>
                  </w:r>
                  <w:r w:rsidRPr="006067C7">
                    <w:rPr>
                      <w:sz w:val="20"/>
                    </w:rPr>
                    <w:t>5 mmol/kg/day</w:t>
                  </w:r>
                </w:p>
              </w:tc>
            </w:tr>
            <w:tr w:rsidRPr="006067C7" w:rsidR="008B08DF" w:rsidTr="00FE4186" w14:paraId="603A4E79" w14:textId="77777777">
              <w:tc>
                <w:tcPr>
                  <w:tcW w:w="1276" w:type="dxa"/>
                </w:tcPr>
                <w:p w:rsidRPr="006067C7" w:rsidR="008B08DF" w:rsidP="00FE4186" w:rsidRDefault="008B08DF" w14:paraId="0FA92C9D" w14:textId="77777777">
                  <w:pPr>
                    <w:pStyle w:val="BodyText"/>
                    <w:rPr>
                      <w:sz w:val="20"/>
                    </w:rPr>
                  </w:pPr>
                  <w:r w:rsidRPr="006067C7">
                    <w:rPr>
                      <w:rFonts w:cs="Calibri"/>
                      <w:sz w:val="20"/>
                    </w:rPr>
                    <w:t>≥</w:t>
                  </w:r>
                  <w:r w:rsidRPr="006067C7">
                    <w:rPr>
                      <w:sz w:val="20"/>
                    </w:rPr>
                    <w:t>1500 g</w:t>
                  </w:r>
                </w:p>
              </w:tc>
              <w:tc>
                <w:tcPr>
                  <w:tcW w:w="3380" w:type="dxa"/>
                </w:tcPr>
                <w:p w:rsidRPr="006067C7" w:rsidR="008B08DF" w:rsidP="00FE4186" w:rsidRDefault="008B08DF" w14:paraId="68214AAA" w14:textId="77777777">
                  <w:pPr>
                    <w:pStyle w:val="BodyText"/>
                    <w:rPr>
                      <w:sz w:val="20"/>
                    </w:rPr>
                  </w:pPr>
                  <w:r>
                    <w:rPr>
                      <w:sz w:val="20"/>
                    </w:rPr>
                    <w:t xml:space="preserve">1.5 to </w:t>
                  </w:r>
                  <w:r w:rsidRPr="006067C7">
                    <w:rPr>
                      <w:sz w:val="20"/>
                    </w:rPr>
                    <w:t>3.0 mmol/kg/day</w:t>
                  </w:r>
                </w:p>
              </w:tc>
            </w:tr>
          </w:tbl>
          <w:p w:rsidR="008B08DF" w:rsidP="00FE4186" w:rsidRDefault="008B08DF" w14:paraId="37E15552" w14:textId="77777777">
            <w:pPr>
              <w:pStyle w:val="BodyText"/>
              <w:rPr>
                <w:sz w:val="20"/>
                <w:u w:val="single"/>
              </w:rPr>
            </w:pPr>
          </w:p>
          <w:p w:rsidRPr="00F36DDD" w:rsidR="008B08DF" w:rsidP="00FE4186" w:rsidRDefault="008B08DF" w14:paraId="5A92EAB4" w14:textId="77777777">
            <w:pPr>
              <w:pStyle w:val="BodyText"/>
              <w:rPr>
                <w:sz w:val="20"/>
                <w:u w:val="single"/>
              </w:rPr>
            </w:pPr>
            <w:r>
              <w:rPr>
                <w:sz w:val="20"/>
                <w:u w:val="single"/>
              </w:rPr>
              <w:t>S</w:t>
            </w:r>
            <w:r w:rsidRPr="00F36DDD">
              <w:rPr>
                <w:sz w:val="20"/>
                <w:u w:val="single"/>
              </w:rPr>
              <w:t xml:space="preserve">evere (Serum </w:t>
            </w:r>
            <w:r>
              <w:rPr>
                <w:sz w:val="20"/>
                <w:u w:val="single"/>
              </w:rPr>
              <w:t>potassium</w:t>
            </w:r>
            <w:r w:rsidRPr="00F36DDD">
              <w:rPr>
                <w:sz w:val="20"/>
                <w:u w:val="single"/>
              </w:rPr>
              <w:t xml:space="preserve"> &lt;1.5 mmol/L) or symptomatic hyp</w:t>
            </w:r>
            <w:r>
              <w:rPr>
                <w:sz w:val="20"/>
                <w:u w:val="single"/>
              </w:rPr>
              <w:t>o</w:t>
            </w:r>
            <w:r w:rsidRPr="00F36DDD">
              <w:rPr>
                <w:sz w:val="20"/>
                <w:u w:val="single"/>
              </w:rPr>
              <w:t xml:space="preserve">kalaemia </w:t>
            </w:r>
            <w:r>
              <w:rPr>
                <w:sz w:val="20"/>
                <w:u w:val="single"/>
              </w:rPr>
              <w:t xml:space="preserve">with </w:t>
            </w:r>
            <w:r w:rsidRPr="00F36DDD">
              <w:rPr>
                <w:sz w:val="20"/>
                <w:u w:val="single"/>
              </w:rPr>
              <w:t>ECG changes</w:t>
            </w:r>
            <w:r>
              <w:rPr>
                <w:sz w:val="20"/>
                <w:u w:val="single"/>
              </w:rPr>
              <w:t xml:space="preserve"> </w:t>
            </w:r>
            <w:r>
              <w:rPr>
                <w:noProof/>
                <w:sz w:val="20"/>
                <w:u w:val="single"/>
              </w:rPr>
              <w:t>(2)</w:t>
            </w:r>
          </w:p>
          <w:p w:rsidRPr="00E2485C" w:rsidR="008B08DF" w:rsidP="00FE4186" w:rsidRDefault="008B08DF" w14:paraId="5142D2E8" w14:textId="77777777">
            <w:pPr>
              <w:pStyle w:val="BodyText"/>
              <w:ind w:left="431"/>
              <w:rPr>
                <w:b/>
                <w:sz w:val="20"/>
                <w:u w:val="single"/>
              </w:rPr>
            </w:pPr>
            <w:r w:rsidRPr="00E2485C">
              <w:rPr>
                <w:b/>
                <w:sz w:val="20"/>
              </w:rPr>
              <w:t xml:space="preserve">Discuss with clinician in-charge prior </w:t>
            </w:r>
            <w:r>
              <w:rPr>
                <w:b/>
                <w:sz w:val="20"/>
              </w:rPr>
              <w:t xml:space="preserve">to rapid </w:t>
            </w:r>
            <w:r w:rsidRPr="00E2485C">
              <w:rPr>
                <w:b/>
                <w:sz w:val="20"/>
              </w:rPr>
              <w:t>IV correction of hyp</w:t>
            </w:r>
            <w:r>
              <w:rPr>
                <w:b/>
                <w:sz w:val="20"/>
              </w:rPr>
              <w:t>o</w:t>
            </w:r>
            <w:r w:rsidRPr="00E2485C">
              <w:rPr>
                <w:b/>
                <w:sz w:val="20"/>
              </w:rPr>
              <w:t>kalaemia</w:t>
            </w:r>
            <w:r>
              <w:rPr>
                <w:b/>
                <w:sz w:val="20"/>
              </w:rPr>
              <w:t>. Dose and administration may be altered as the clinical condition dictates.</w:t>
            </w:r>
          </w:p>
          <w:p w:rsidRPr="00904350" w:rsidR="008B08DF" w:rsidP="00FE4186" w:rsidRDefault="008B08DF" w14:paraId="0BA1EE1E" w14:textId="77777777">
            <w:pPr>
              <w:pStyle w:val="BodyText"/>
              <w:ind w:left="431"/>
              <w:rPr>
                <w:b/>
                <w:sz w:val="20"/>
                <w:u w:val="single"/>
              </w:rPr>
            </w:pPr>
            <w:r>
              <w:rPr>
                <w:sz w:val="20"/>
              </w:rPr>
              <w:t xml:space="preserve">0.3 to 0.5 mmol/kg potassium chloride diluted with 2 mL/kg of sodium chloride 0.9% over 2 to 3 hours.  </w:t>
            </w:r>
            <w:r w:rsidRPr="00904350">
              <w:rPr>
                <w:b/>
                <w:sz w:val="20"/>
              </w:rPr>
              <w:t>Do not  exceed rate of 0.2 mmol/kg/hour</w:t>
            </w:r>
          </w:p>
          <w:p w:rsidRPr="00026F20" w:rsidR="008B08DF" w:rsidP="00FE4186" w:rsidRDefault="008B08DF" w14:paraId="5E38B496" w14:textId="77777777">
            <w:pPr>
              <w:pStyle w:val="BodyText"/>
              <w:ind w:firstLine="431"/>
              <w:rPr>
                <w:sz w:val="20"/>
              </w:rPr>
            </w:pPr>
            <w:r>
              <w:rPr>
                <w:sz w:val="20"/>
              </w:rPr>
              <w:t>Repeat dose if serum potassium level is not corrected.</w:t>
            </w:r>
          </w:p>
        </w:tc>
      </w:tr>
      <w:tr w:rsidRPr="00026F20" w:rsidR="008B08DF" w:rsidTr="00FE4186" w14:paraId="2A43F9D9" w14:textId="77777777">
        <w:trPr>
          <w:trHeight w:val="407"/>
        </w:trPr>
        <w:tc>
          <w:tcPr>
            <w:tcW w:w="1701" w:type="dxa"/>
          </w:tcPr>
          <w:p w:rsidRPr="00B53E9B" w:rsidR="008B08DF" w:rsidP="00FE4186" w:rsidRDefault="008B08DF" w14:paraId="5B150C6D" w14:textId="77777777">
            <w:pPr>
              <w:pStyle w:val="BodyText"/>
              <w:rPr>
                <w:b/>
                <w:sz w:val="20"/>
              </w:rPr>
            </w:pPr>
            <w:r w:rsidRPr="00B53E9B">
              <w:rPr>
                <w:b/>
                <w:sz w:val="20"/>
              </w:rPr>
              <w:lastRenderedPageBreak/>
              <w:t>Dose adjustment</w:t>
            </w:r>
          </w:p>
          <w:p w:rsidRPr="00B53E9B" w:rsidR="008B08DF" w:rsidP="00FE4186" w:rsidRDefault="008B08DF" w14:paraId="518A9686" w14:textId="77777777">
            <w:pPr>
              <w:pStyle w:val="BodyText"/>
              <w:rPr>
                <w:b/>
                <w:sz w:val="20"/>
              </w:rPr>
            </w:pPr>
          </w:p>
        </w:tc>
        <w:tc>
          <w:tcPr>
            <w:tcW w:w="8647" w:type="dxa"/>
          </w:tcPr>
          <w:p w:rsidRPr="00B53E9B" w:rsidR="008B08DF" w:rsidP="00FE4186" w:rsidRDefault="008B08DF" w14:paraId="4CBD8638" w14:textId="77777777">
            <w:pPr>
              <w:pStyle w:val="BodyText"/>
              <w:rPr>
                <w:sz w:val="20"/>
              </w:rPr>
            </w:pPr>
            <w:r w:rsidRPr="00B53E9B">
              <w:rPr>
                <w:sz w:val="20"/>
              </w:rPr>
              <w:t>Therapeutic hypothermia</w:t>
            </w:r>
            <w:r>
              <w:rPr>
                <w:sz w:val="20"/>
              </w:rPr>
              <w:t xml:space="preserve"> – Ensure adequate urine output and renal function.</w:t>
            </w:r>
          </w:p>
          <w:p w:rsidRPr="00B53E9B" w:rsidR="008B08DF" w:rsidP="00FE4186" w:rsidRDefault="008B08DF" w14:paraId="1DD2EFA2" w14:textId="77777777">
            <w:pPr>
              <w:pStyle w:val="BodyText"/>
              <w:rPr>
                <w:sz w:val="20"/>
              </w:rPr>
            </w:pPr>
            <w:r w:rsidRPr="00B53E9B">
              <w:rPr>
                <w:sz w:val="20"/>
              </w:rPr>
              <w:t>ECMO</w:t>
            </w:r>
            <w:r>
              <w:rPr>
                <w:sz w:val="20"/>
              </w:rPr>
              <w:t xml:space="preserve"> – Determined by renal function.</w:t>
            </w:r>
          </w:p>
          <w:p w:rsidRPr="00B53E9B" w:rsidR="008B08DF" w:rsidP="00FE4186" w:rsidRDefault="008B08DF" w14:paraId="403FD2CC" w14:textId="77777777">
            <w:pPr>
              <w:pStyle w:val="BodyText"/>
              <w:rPr>
                <w:sz w:val="20"/>
              </w:rPr>
            </w:pPr>
            <w:r w:rsidRPr="00B53E9B">
              <w:rPr>
                <w:sz w:val="20"/>
              </w:rPr>
              <w:t>Renal</w:t>
            </w:r>
            <w:r>
              <w:rPr>
                <w:sz w:val="20"/>
              </w:rPr>
              <w:t xml:space="preserve"> impairment – Ensure adequate urine output prior to supplementation.</w:t>
            </w:r>
          </w:p>
          <w:p w:rsidRPr="00026F20" w:rsidR="008B08DF" w:rsidP="00FE4186" w:rsidRDefault="008B08DF" w14:paraId="6B86B7BF" w14:textId="77777777">
            <w:pPr>
              <w:pStyle w:val="BodyText"/>
              <w:rPr>
                <w:sz w:val="20"/>
              </w:rPr>
            </w:pPr>
            <w:r w:rsidRPr="00B53E9B">
              <w:rPr>
                <w:sz w:val="20"/>
              </w:rPr>
              <w:t>Hepatic</w:t>
            </w:r>
            <w:r>
              <w:rPr>
                <w:sz w:val="20"/>
              </w:rPr>
              <w:t xml:space="preserve"> impairment – No specific dose adjustment. </w:t>
            </w:r>
          </w:p>
        </w:tc>
      </w:tr>
      <w:tr w:rsidRPr="00026F20" w:rsidR="008B08DF" w:rsidTr="00FE4186" w14:paraId="1804A3B9" w14:textId="77777777">
        <w:trPr>
          <w:trHeight w:val="113"/>
        </w:trPr>
        <w:tc>
          <w:tcPr>
            <w:tcW w:w="1701" w:type="dxa"/>
          </w:tcPr>
          <w:p w:rsidRPr="00B53E9B" w:rsidR="008B08DF" w:rsidP="00FE4186" w:rsidRDefault="008B08DF" w14:paraId="0CD4BD32" w14:textId="77777777">
            <w:pPr>
              <w:pStyle w:val="BodyText"/>
              <w:rPr>
                <w:b/>
                <w:sz w:val="20"/>
              </w:rPr>
            </w:pPr>
            <w:r w:rsidRPr="00B53E9B">
              <w:rPr>
                <w:b/>
                <w:sz w:val="20"/>
              </w:rPr>
              <w:t>Maximum dose</w:t>
            </w:r>
          </w:p>
        </w:tc>
        <w:tc>
          <w:tcPr>
            <w:tcW w:w="8647" w:type="dxa"/>
          </w:tcPr>
          <w:p w:rsidRPr="00026F20" w:rsidR="008B08DF" w:rsidP="00FE4186" w:rsidRDefault="008B08DF" w14:paraId="586AE5F4" w14:textId="77777777">
            <w:pPr>
              <w:pStyle w:val="BodyText"/>
              <w:rPr>
                <w:sz w:val="20"/>
              </w:rPr>
            </w:pPr>
          </w:p>
        </w:tc>
      </w:tr>
      <w:tr w:rsidRPr="00026F20" w:rsidR="008B08DF" w:rsidTr="00FE4186" w14:paraId="3CE7D34F" w14:textId="77777777">
        <w:trPr>
          <w:trHeight w:val="144"/>
        </w:trPr>
        <w:tc>
          <w:tcPr>
            <w:tcW w:w="1701" w:type="dxa"/>
          </w:tcPr>
          <w:p w:rsidRPr="00B53E9B" w:rsidR="008B08DF" w:rsidP="00FE4186" w:rsidRDefault="008B08DF" w14:paraId="0509C122" w14:textId="77777777">
            <w:pPr>
              <w:pStyle w:val="BodyText"/>
              <w:rPr>
                <w:rFonts w:cs="Arial"/>
                <w:b/>
                <w:bCs/>
                <w:sz w:val="20"/>
              </w:rPr>
            </w:pPr>
            <w:r w:rsidRPr="00B53E9B">
              <w:rPr>
                <w:b/>
                <w:sz w:val="20"/>
              </w:rPr>
              <w:t>Total cumulative dose</w:t>
            </w:r>
          </w:p>
        </w:tc>
        <w:tc>
          <w:tcPr>
            <w:tcW w:w="8647" w:type="dxa"/>
          </w:tcPr>
          <w:p w:rsidRPr="00026F20" w:rsidR="008B08DF" w:rsidP="00FE4186" w:rsidRDefault="008B08DF" w14:paraId="6242EF6B" w14:textId="77777777">
            <w:pPr>
              <w:pStyle w:val="BodyText"/>
              <w:rPr>
                <w:rFonts w:cs="Arial"/>
                <w:b/>
                <w:sz w:val="20"/>
              </w:rPr>
            </w:pPr>
          </w:p>
        </w:tc>
      </w:tr>
      <w:tr w:rsidRPr="00026F20" w:rsidR="008B08DF" w:rsidTr="00FE4186" w14:paraId="706BB83F" w14:textId="77777777">
        <w:trPr>
          <w:trHeight w:val="294"/>
        </w:trPr>
        <w:tc>
          <w:tcPr>
            <w:tcW w:w="1701" w:type="dxa"/>
          </w:tcPr>
          <w:p w:rsidRPr="00B53E9B" w:rsidR="008B08DF" w:rsidP="00FE4186" w:rsidRDefault="008B08DF" w14:paraId="24A245B5" w14:textId="77777777">
            <w:pPr>
              <w:pStyle w:val="BodyText"/>
              <w:rPr>
                <w:rFonts w:cs="Arial"/>
                <w:sz w:val="20"/>
              </w:rPr>
            </w:pPr>
            <w:r w:rsidRPr="00B53E9B">
              <w:rPr>
                <w:rFonts w:cs="Arial"/>
                <w:b/>
                <w:bCs/>
                <w:sz w:val="20"/>
              </w:rPr>
              <w:t xml:space="preserve">Route                                </w:t>
            </w:r>
          </w:p>
        </w:tc>
        <w:tc>
          <w:tcPr>
            <w:tcW w:w="8647" w:type="dxa"/>
          </w:tcPr>
          <w:p w:rsidRPr="00026F20" w:rsidR="008B08DF" w:rsidP="00FE4186" w:rsidRDefault="008B08DF" w14:paraId="0058F997" w14:textId="77777777">
            <w:pPr>
              <w:pStyle w:val="BodyText"/>
              <w:rPr>
                <w:rFonts w:cs="Arial"/>
                <w:sz w:val="20"/>
              </w:rPr>
            </w:pPr>
            <w:r>
              <w:rPr>
                <w:rFonts w:cs="Arial"/>
                <w:sz w:val="20"/>
              </w:rPr>
              <w:t>IV</w:t>
            </w:r>
          </w:p>
        </w:tc>
      </w:tr>
      <w:tr w:rsidRPr="00026F20" w:rsidR="008B08DF" w:rsidTr="00FE4186" w14:paraId="185342F4" w14:textId="77777777">
        <w:trPr>
          <w:trHeight w:val="93"/>
        </w:trPr>
        <w:tc>
          <w:tcPr>
            <w:tcW w:w="1701" w:type="dxa"/>
          </w:tcPr>
          <w:p w:rsidRPr="00B53E9B" w:rsidR="008B08DF" w:rsidP="00FE4186" w:rsidRDefault="008B08DF" w14:paraId="6F883109"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647" w:type="dxa"/>
          </w:tcPr>
          <w:p w:rsidRPr="005A0AAA" w:rsidR="005A0AAA" w:rsidP="00FE4186" w:rsidRDefault="005A0AAA" w14:paraId="4737A904" w14:textId="553FD3A5">
            <w:pPr>
              <w:pStyle w:val="BodyText"/>
              <w:rPr>
                <w:rFonts w:cs="Arial"/>
                <w:b/>
                <w:bCs/>
                <w:color w:val="1F4E79" w:themeColor="accent5" w:themeShade="80"/>
                <w:sz w:val="20"/>
              </w:rPr>
            </w:pPr>
            <w:r w:rsidRPr="00B76ACD">
              <w:rPr>
                <w:b/>
                <w:bCs/>
                <w:color w:val="1F4E79" w:themeColor="accent5" w:themeShade="80"/>
                <w:sz w:val="20"/>
                <w:highlight w:val="yellow"/>
              </w:rPr>
              <w:t>10mmol/100mL IV solution can be used undiluted as side arm infusion</w:t>
            </w:r>
            <w:r w:rsidRPr="00B76ACD" w:rsidR="00B76ACD">
              <w:rPr>
                <w:b/>
                <w:bCs/>
                <w:color w:val="1F4E79" w:themeColor="accent5" w:themeShade="80"/>
                <w:sz w:val="20"/>
                <w:highlight w:val="yellow"/>
              </w:rPr>
              <w:t>. Correction should not be given at a rate more than 0.2 mmol/kg/hr</w:t>
            </w:r>
          </w:p>
          <w:p w:rsidR="005A0AAA" w:rsidP="00FE4186" w:rsidRDefault="005A0AAA" w14:paraId="3FB044E1" w14:textId="77777777">
            <w:pPr>
              <w:pStyle w:val="BodyText"/>
              <w:rPr>
                <w:rFonts w:cs="Arial"/>
                <w:b/>
                <w:sz w:val="20"/>
              </w:rPr>
            </w:pPr>
          </w:p>
          <w:p w:rsidR="008B08DF" w:rsidP="00FE4186" w:rsidRDefault="008B08DF" w14:paraId="56CE20ED" w14:textId="73DEA6C2">
            <w:pPr>
              <w:pStyle w:val="BodyText"/>
              <w:rPr>
                <w:rFonts w:cs="Arial"/>
                <w:b/>
                <w:sz w:val="20"/>
              </w:rPr>
            </w:pPr>
            <w:r>
              <w:rPr>
                <w:rFonts w:cs="Arial"/>
                <w:b/>
                <w:sz w:val="20"/>
              </w:rPr>
              <w:t>Addition of potassium chloride to maintenance IV fluids</w:t>
            </w:r>
          </w:p>
          <w:p w:rsidR="008B08DF" w:rsidP="00FE4186" w:rsidRDefault="008B08DF" w14:paraId="3CD20B46" w14:textId="77777777">
            <w:pPr>
              <w:pStyle w:val="BodyText"/>
              <w:ind w:left="360"/>
              <w:rPr>
                <w:rFonts w:cs="Arial"/>
                <w:sz w:val="20"/>
              </w:rPr>
            </w:pPr>
            <w:r>
              <w:rPr>
                <w:rFonts w:cs="Arial"/>
                <w:sz w:val="20"/>
              </w:rPr>
              <w:t xml:space="preserve">Note: Preferable to use premixed maintenance IV fluid with potassium chloride (e.g. Baxter 0.225% sodium chloride + 10% glucose + 2 mmol/100 mL potassium chloride). </w:t>
            </w:r>
          </w:p>
          <w:p w:rsidRPr="006E2305" w:rsidR="008B08DF" w:rsidP="00FE4186" w:rsidRDefault="008B08DF" w14:paraId="61075AD6" w14:textId="77777777">
            <w:pPr>
              <w:pStyle w:val="BodyText"/>
              <w:ind w:left="360"/>
              <w:rPr>
                <w:rFonts w:cs="Arial"/>
                <w:b/>
                <w:sz w:val="20"/>
              </w:rPr>
            </w:pPr>
            <w:r>
              <w:rPr>
                <w:rFonts w:cs="Arial"/>
                <w:sz w:val="20"/>
              </w:rPr>
              <w:t>If premixed bags are not available, potassium chloride 10mmol/10 mL strength can be added by following the steps below:</w:t>
            </w:r>
          </w:p>
          <w:p w:rsidR="008B08DF" w:rsidP="00FE4186" w:rsidRDefault="008B08DF" w14:paraId="7234BED9" w14:textId="77777777">
            <w:pPr>
              <w:pStyle w:val="BodyText"/>
              <w:ind w:left="360"/>
              <w:rPr>
                <w:rFonts w:cs="Arial"/>
                <w:b/>
                <w:sz w:val="20"/>
              </w:rPr>
            </w:pPr>
          </w:p>
          <w:p w:rsidRPr="007A4F51" w:rsidR="008B08DF" w:rsidP="001B0E05" w:rsidRDefault="008B08DF" w14:paraId="6C8A7561" w14:textId="77777777">
            <w:pPr>
              <w:pStyle w:val="BodyText"/>
              <w:numPr>
                <w:ilvl w:val="0"/>
                <w:numId w:val="126"/>
              </w:numPr>
              <w:overflowPunct w:val="0"/>
              <w:autoSpaceDE w:val="0"/>
              <w:autoSpaceDN w:val="0"/>
              <w:adjustRightInd w:val="0"/>
              <w:jc w:val="left"/>
              <w:textAlignment w:val="baseline"/>
              <w:rPr>
                <w:rFonts w:cs="Arial"/>
                <w:sz w:val="20"/>
              </w:rPr>
            </w:pPr>
            <w:r w:rsidRPr="007A4F51">
              <w:rPr>
                <w:rFonts w:cs="Arial"/>
                <w:sz w:val="20"/>
              </w:rPr>
              <w:t xml:space="preserve">Calculate </w:t>
            </w:r>
            <w:r>
              <w:rPr>
                <w:rFonts w:cs="Arial"/>
                <w:sz w:val="20"/>
              </w:rPr>
              <w:t xml:space="preserve">potassium requirement for infant in </w:t>
            </w:r>
            <w:r w:rsidRPr="007A4F51">
              <w:rPr>
                <w:rFonts w:cs="Arial"/>
                <w:sz w:val="20"/>
              </w:rPr>
              <w:t xml:space="preserve">mmol/day </w:t>
            </w:r>
          </w:p>
          <w:p w:rsidR="008B08DF" w:rsidP="00FE4186" w:rsidRDefault="008B08DF" w14:paraId="16C5EF78" w14:textId="77777777">
            <w:pPr>
              <w:pStyle w:val="BodyText"/>
              <w:ind w:left="360"/>
              <w:rPr>
                <w:rFonts w:cs="Arial"/>
                <w:sz w:val="20"/>
              </w:rPr>
            </w:pPr>
            <w:r w:rsidRPr="007A4F51">
              <w:rPr>
                <w:rFonts w:cs="Arial"/>
                <w:sz w:val="20"/>
              </w:rPr>
              <w:t>Infant weight x mmol</w:t>
            </w:r>
            <w:r>
              <w:rPr>
                <w:rFonts w:cs="Arial"/>
                <w:sz w:val="20"/>
              </w:rPr>
              <w:t>/kg/day</w:t>
            </w:r>
            <w:r w:rsidRPr="007A4F51">
              <w:rPr>
                <w:rFonts w:cs="Arial"/>
                <w:sz w:val="20"/>
              </w:rPr>
              <w:t xml:space="preserve"> required = mmol/day</w:t>
            </w:r>
          </w:p>
          <w:p w:rsidRPr="007A4F51" w:rsidR="008B08DF" w:rsidP="00FE4186" w:rsidRDefault="008B08DF" w14:paraId="4280915B" w14:textId="77777777">
            <w:pPr>
              <w:pStyle w:val="BodyText"/>
              <w:ind w:left="360"/>
              <w:rPr>
                <w:rFonts w:cs="Arial"/>
                <w:sz w:val="20"/>
              </w:rPr>
            </w:pPr>
            <w:r>
              <w:rPr>
                <w:rFonts w:cs="Arial"/>
                <w:sz w:val="20"/>
              </w:rPr>
              <w:t xml:space="preserve">E.g. </w:t>
            </w:r>
            <w:r w:rsidRPr="007A4F51">
              <w:rPr>
                <w:rFonts w:cs="Arial"/>
                <w:sz w:val="20"/>
              </w:rPr>
              <w:t>3</w:t>
            </w:r>
            <w:r>
              <w:rPr>
                <w:rFonts w:cs="Arial"/>
                <w:sz w:val="20"/>
              </w:rPr>
              <w:t xml:space="preserve"> </w:t>
            </w:r>
            <w:r w:rsidRPr="007A4F51">
              <w:rPr>
                <w:rFonts w:cs="Arial"/>
                <w:sz w:val="20"/>
              </w:rPr>
              <w:t>kg x 2</w:t>
            </w:r>
            <w:r>
              <w:rPr>
                <w:rFonts w:cs="Arial"/>
                <w:sz w:val="20"/>
              </w:rPr>
              <w:t xml:space="preserve"> </w:t>
            </w:r>
            <w:r w:rsidRPr="007A4F51">
              <w:rPr>
                <w:rFonts w:cs="Arial"/>
                <w:sz w:val="20"/>
              </w:rPr>
              <w:t>mmol</w:t>
            </w:r>
            <w:r>
              <w:rPr>
                <w:rFonts w:cs="Arial"/>
                <w:sz w:val="20"/>
              </w:rPr>
              <w:t>/kg/day</w:t>
            </w:r>
            <w:r w:rsidRPr="007A4F51">
              <w:rPr>
                <w:rFonts w:cs="Arial"/>
                <w:sz w:val="20"/>
              </w:rPr>
              <w:t xml:space="preserve"> = 6</w:t>
            </w:r>
            <w:r>
              <w:rPr>
                <w:rFonts w:cs="Arial"/>
                <w:sz w:val="20"/>
              </w:rPr>
              <w:t xml:space="preserve"> </w:t>
            </w:r>
            <w:r w:rsidRPr="007A4F51">
              <w:rPr>
                <w:rFonts w:cs="Arial"/>
                <w:sz w:val="20"/>
              </w:rPr>
              <w:t>mmol/day</w:t>
            </w:r>
          </w:p>
          <w:p w:rsidRPr="007A4F51" w:rsidR="008B08DF" w:rsidP="00FE4186" w:rsidRDefault="008B08DF" w14:paraId="595523D4" w14:textId="77777777">
            <w:pPr>
              <w:pStyle w:val="BodyText"/>
              <w:rPr>
                <w:rFonts w:cs="Arial"/>
                <w:sz w:val="20"/>
              </w:rPr>
            </w:pPr>
            <w:r w:rsidRPr="007A4F51">
              <w:rPr>
                <w:rFonts w:cs="Arial"/>
                <w:sz w:val="20"/>
              </w:rPr>
              <w:t xml:space="preserve"> </w:t>
            </w:r>
          </w:p>
          <w:p w:rsidR="008B08DF" w:rsidP="001B0E05" w:rsidRDefault="008B08DF" w14:paraId="324C58B4" w14:textId="77777777">
            <w:pPr>
              <w:pStyle w:val="BodyText"/>
              <w:numPr>
                <w:ilvl w:val="0"/>
                <w:numId w:val="126"/>
              </w:numPr>
              <w:overflowPunct w:val="0"/>
              <w:autoSpaceDE w:val="0"/>
              <w:autoSpaceDN w:val="0"/>
              <w:adjustRightInd w:val="0"/>
              <w:jc w:val="left"/>
              <w:textAlignment w:val="baseline"/>
              <w:rPr>
                <w:rFonts w:cs="Arial"/>
                <w:sz w:val="20"/>
              </w:rPr>
            </w:pPr>
            <w:r w:rsidRPr="007A4F51">
              <w:rPr>
                <w:rFonts w:cs="Arial"/>
                <w:sz w:val="20"/>
              </w:rPr>
              <w:t xml:space="preserve">Calculate </w:t>
            </w:r>
            <w:r>
              <w:rPr>
                <w:rFonts w:cs="Arial"/>
                <w:sz w:val="20"/>
              </w:rPr>
              <w:t xml:space="preserve">IV maintenance fluid requirement in </w:t>
            </w:r>
            <w:r w:rsidRPr="007A4F51">
              <w:rPr>
                <w:rFonts w:cs="Arial"/>
                <w:sz w:val="20"/>
              </w:rPr>
              <w:t>m</w:t>
            </w:r>
            <w:r>
              <w:rPr>
                <w:rFonts w:cs="Arial"/>
                <w:sz w:val="20"/>
              </w:rPr>
              <w:t>L</w:t>
            </w:r>
            <w:r w:rsidRPr="007A4F51">
              <w:rPr>
                <w:rFonts w:cs="Arial"/>
                <w:sz w:val="20"/>
              </w:rPr>
              <w:t xml:space="preserve">/day (deduct </w:t>
            </w:r>
            <w:r>
              <w:rPr>
                <w:rFonts w:cs="Arial"/>
                <w:sz w:val="20"/>
              </w:rPr>
              <w:t xml:space="preserve">enteral </w:t>
            </w:r>
            <w:r w:rsidRPr="007A4F51">
              <w:rPr>
                <w:rFonts w:cs="Arial"/>
                <w:sz w:val="20"/>
              </w:rPr>
              <w:t xml:space="preserve"> feeds or</w:t>
            </w:r>
            <w:r>
              <w:rPr>
                <w:rFonts w:cs="Arial"/>
                <w:sz w:val="20"/>
              </w:rPr>
              <w:t xml:space="preserve"> other IV</w:t>
            </w:r>
            <w:r w:rsidRPr="007A4F51">
              <w:rPr>
                <w:rFonts w:cs="Arial"/>
                <w:sz w:val="20"/>
              </w:rPr>
              <w:t xml:space="preserve"> infusions)</w:t>
            </w:r>
          </w:p>
          <w:p w:rsidR="008B08DF" w:rsidP="00FE4186" w:rsidRDefault="008B08DF" w14:paraId="35F3BF51" w14:textId="77777777">
            <w:pPr>
              <w:pStyle w:val="BodyText"/>
              <w:ind w:left="360"/>
              <w:rPr>
                <w:rFonts w:cs="Arial"/>
                <w:sz w:val="20"/>
              </w:rPr>
            </w:pPr>
            <w:r w:rsidRPr="007A4F51">
              <w:rPr>
                <w:rFonts w:cs="Arial"/>
                <w:sz w:val="20"/>
              </w:rPr>
              <w:t xml:space="preserve">Infant weight x </w:t>
            </w:r>
            <w:r>
              <w:rPr>
                <w:rFonts w:cs="Arial"/>
                <w:sz w:val="20"/>
              </w:rPr>
              <w:t xml:space="preserve">mL/kg/day </w:t>
            </w:r>
            <w:r w:rsidRPr="007A4F51">
              <w:rPr>
                <w:rFonts w:cs="Arial"/>
                <w:sz w:val="20"/>
              </w:rPr>
              <w:t>= m</w:t>
            </w:r>
            <w:r>
              <w:rPr>
                <w:rFonts w:cs="Arial"/>
                <w:sz w:val="20"/>
              </w:rPr>
              <w:t>L</w:t>
            </w:r>
            <w:r w:rsidRPr="007A4F51">
              <w:rPr>
                <w:rFonts w:cs="Arial"/>
                <w:sz w:val="20"/>
              </w:rPr>
              <w:t>/day of IV maintenance fluid</w:t>
            </w:r>
          </w:p>
          <w:p w:rsidR="008B08DF" w:rsidP="00FE4186" w:rsidRDefault="008B08DF" w14:paraId="62FF5CAB" w14:textId="77777777">
            <w:pPr>
              <w:pStyle w:val="BodyText"/>
              <w:ind w:left="360"/>
              <w:rPr>
                <w:rFonts w:cs="Arial"/>
                <w:sz w:val="20"/>
              </w:rPr>
            </w:pPr>
            <w:r>
              <w:rPr>
                <w:rFonts w:cs="Arial"/>
                <w:sz w:val="20"/>
              </w:rPr>
              <w:t xml:space="preserve">E.g. </w:t>
            </w:r>
            <w:r w:rsidRPr="007A4F51">
              <w:rPr>
                <w:rFonts w:cs="Arial"/>
                <w:sz w:val="20"/>
              </w:rPr>
              <w:t>3</w:t>
            </w:r>
            <w:r>
              <w:rPr>
                <w:rFonts w:cs="Arial"/>
                <w:sz w:val="20"/>
              </w:rPr>
              <w:t xml:space="preserve"> </w:t>
            </w:r>
            <w:r w:rsidRPr="007A4F51">
              <w:rPr>
                <w:rFonts w:cs="Arial"/>
                <w:sz w:val="20"/>
              </w:rPr>
              <w:t>kg x 90m</w:t>
            </w:r>
            <w:r>
              <w:rPr>
                <w:rFonts w:cs="Arial"/>
                <w:sz w:val="20"/>
              </w:rPr>
              <w:t>L</w:t>
            </w:r>
            <w:r w:rsidRPr="007A4F51">
              <w:rPr>
                <w:rFonts w:cs="Arial"/>
                <w:sz w:val="20"/>
              </w:rPr>
              <w:t xml:space="preserve"> (TFR) = 270m</w:t>
            </w:r>
            <w:r>
              <w:rPr>
                <w:rFonts w:cs="Arial"/>
                <w:sz w:val="20"/>
              </w:rPr>
              <w:t>L</w:t>
            </w:r>
            <w:r w:rsidRPr="007A4F51">
              <w:rPr>
                <w:rFonts w:cs="Arial"/>
                <w:sz w:val="20"/>
              </w:rPr>
              <w:t xml:space="preserve">/day of IV </w:t>
            </w:r>
            <w:r>
              <w:rPr>
                <w:rFonts w:cs="Arial"/>
                <w:sz w:val="20"/>
              </w:rPr>
              <w:t xml:space="preserve">maintenance </w:t>
            </w:r>
            <w:r w:rsidRPr="007A4F51">
              <w:rPr>
                <w:rFonts w:cs="Arial"/>
                <w:sz w:val="20"/>
              </w:rPr>
              <w:t xml:space="preserve">fluid </w:t>
            </w:r>
          </w:p>
          <w:p w:rsidR="008B08DF" w:rsidP="00FE4186" w:rsidRDefault="008B08DF" w14:paraId="7992E894" w14:textId="77777777">
            <w:pPr>
              <w:pStyle w:val="BodyText"/>
              <w:ind w:left="360"/>
              <w:rPr>
                <w:rFonts w:cs="Arial"/>
                <w:sz w:val="20"/>
              </w:rPr>
            </w:pPr>
          </w:p>
          <w:p w:rsidR="008B08DF" w:rsidP="001B0E05" w:rsidRDefault="008B08DF" w14:paraId="13F17B84" w14:textId="77777777">
            <w:pPr>
              <w:pStyle w:val="BodyText"/>
              <w:numPr>
                <w:ilvl w:val="0"/>
                <w:numId w:val="126"/>
              </w:numPr>
              <w:overflowPunct w:val="0"/>
              <w:autoSpaceDE w:val="0"/>
              <w:autoSpaceDN w:val="0"/>
              <w:adjustRightInd w:val="0"/>
              <w:jc w:val="left"/>
              <w:textAlignment w:val="baseline"/>
              <w:rPr>
                <w:rFonts w:cs="Arial"/>
                <w:sz w:val="20"/>
              </w:rPr>
            </w:pPr>
            <w:r w:rsidRPr="007A4F51">
              <w:rPr>
                <w:rFonts w:cs="Arial"/>
                <w:sz w:val="20"/>
              </w:rPr>
              <w:t xml:space="preserve">Calculate </w:t>
            </w:r>
            <w:r>
              <w:rPr>
                <w:rFonts w:cs="Arial"/>
                <w:sz w:val="20"/>
              </w:rPr>
              <w:t xml:space="preserve">volume </w:t>
            </w:r>
            <w:r w:rsidRPr="007A4F51">
              <w:rPr>
                <w:rFonts w:cs="Arial"/>
                <w:sz w:val="20"/>
              </w:rPr>
              <w:t xml:space="preserve"> </w:t>
            </w:r>
            <w:r>
              <w:rPr>
                <w:rFonts w:cs="Arial"/>
                <w:sz w:val="20"/>
              </w:rPr>
              <w:t>(</w:t>
            </w:r>
            <w:r w:rsidRPr="007A4F51">
              <w:rPr>
                <w:rFonts w:cs="Arial"/>
                <w:sz w:val="20"/>
              </w:rPr>
              <w:t>m</w:t>
            </w:r>
            <w:r>
              <w:rPr>
                <w:rFonts w:cs="Arial"/>
                <w:sz w:val="20"/>
              </w:rPr>
              <w:t xml:space="preserve">L) </w:t>
            </w:r>
            <w:r w:rsidRPr="007A4F51">
              <w:rPr>
                <w:rFonts w:cs="Arial"/>
                <w:sz w:val="20"/>
              </w:rPr>
              <w:t xml:space="preserve"> of </w:t>
            </w:r>
            <w:r>
              <w:rPr>
                <w:rFonts w:cs="Arial"/>
                <w:sz w:val="20"/>
              </w:rPr>
              <w:t xml:space="preserve">potassium chloride </w:t>
            </w:r>
            <w:r w:rsidRPr="007A4F51">
              <w:rPr>
                <w:rFonts w:cs="Arial"/>
                <w:sz w:val="20"/>
              </w:rPr>
              <w:t>to be added to 500</w:t>
            </w:r>
            <w:r>
              <w:rPr>
                <w:rFonts w:cs="Arial"/>
                <w:sz w:val="20"/>
              </w:rPr>
              <w:t xml:space="preserve"> </w:t>
            </w:r>
            <w:r w:rsidRPr="007A4F51">
              <w:rPr>
                <w:rFonts w:cs="Arial"/>
                <w:sz w:val="20"/>
              </w:rPr>
              <w:t>m</w:t>
            </w:r>
            <w:r>
              <w:rPr>
                <w:rFonts w:cs="Arial"/>
                <w:sz w:val="20"/>
              </w:rPr>
              <w:t>L</w:t>
            </w:r>
            <w:r w:rsidRPr="007A4F51">
              <w:rPr>
                <w:rFonts w:cs="Arial"/>
                <w:sz w:val="20"/>
              </w:rPr>
              <w:t xml:space="preserve"> bag</w:t>
            </w:r>
          </w:p>
          <w:p w:rsidR="008B08DF" w:rsidP="00FE4186" w:rsidRDefault="008B08DF" w14:paraId="321C3346" w14:textId="77777777">
            <w:pPr>
              <w:pStyle w:val="BodyText"/>
              <w:ind w:left="360"/>
              <w:rPr>
                <w:rFonts w:cs="Arial"/>
                <w:sz w:val="20"/>
              </w:rPr>
            </w:pPr>
            <w:r w:rsidRPr="007A4F51">
              <w:rPr>
                <w:rFonts w:cs="Arial"/>
                <w:sz w:val="20"/>
              </w:rPr>
              <w:t>mmol/day ÷ m</w:t>
            </w:r>
            <w:r>
              <w:rPr>
                <w:rFonts w:cs="Arial"/>
                <w:sz w:val="20"/>
              </w:rPr>
              <w:t>L</w:t>
            </w:r>
            <w:r w:rsidRPr="007A4F51">
              <w:rPr>
                <w:rFonts w:cs="Arial"/>
                <w:sz w:val="20"/>
              </w:rPr>
              <w:t xml:space="preserve"> per day of IV maintenance fluid x 500 = mmol </w:t>
            </w:r>
            <w:r>
              <w:rPr>
                <w:rFonts w:cs="Arial"/>
                <w:sz w:val="20"/>
              </w:rPr>
              <w:t xml:space="preserve">potassium chloride </w:t>
            </w:r>
            <w:r w:rsidRPr="007A4F51">
              <w:rPr>
                <w:rFonts w:cs="Arial"/>
                <w:sz w:val="20"/>
              </w:rPr>
              <w:t xml:space="preserve"> required</w:t>
            </w:r>
            <w:r>
              <w:rPr>
                <w:rFonts w:cs="Arial"/>
                <w:sz w:val="20"/>
              </w:rPr>
              <w:t>.</w:t>
            </w:r>
          </w:p>
          <w:p w:rsidR="008B08DF" w:rsidP="00FE4186" w:rsidRDefault="008B08DF" w14:paraId="7EE7C05E" w14:textId="77777777">
            <w:pPr>
              <w:pStyle w:val="BodyText"/>
              <w:ind w:left="360"/>
              <w:rPr>
                <w:rFonts w:cs="Arial"/>
                <w:sz w:val="20"/>
              </w:rPr>
            </w:pPr>
            <w:r>
              <w:rPr>
                <w:rFonts w:cs="Arial"/>
                <w:sz w:val="20"/>
              </w:rPr>
              <w:t xml:space="preserve">E.g. </w:t>
            </w:r>
            <m:oMath>
              <m:f>
                <m:fPr>
                  <m:ctrlPr>
                    <w:rPr>
                      <w:rFonts w:ascii="Cambria Math" w:hAnsi="Cambria Math" w:eastAsiaTheme="minorEastAsia" w:cstheme="minorBidi"/>
                      <w:sz w:val="20"/>
                      <w:szCs w:val="22"/>
                      <w:lang w:val="en-US" w:eastAsia="zh-CN"/>
                    </w:rPr>
                  </m:ctrlPr>
                </m:fPr>
                <m:num>
                  <m:r>
                    <m:rPr>
                      <m:sty m:val="p"/>
                    </m:rPr>
                    <w:rPr>
                      <w:rFonts w:ascii="Cambria Math" w:hAnsi="Cambria Math"/>
                      <w:sz w:val="20"/>
                    </w:rPr>
                    <m:t>6</m:t>
                  </m:r>
                </m:num>
                <m:den>
                  <m:r>
                    <m:rPr>
                      <m:sty m:val="p"/>
                    </m:rPr>
                    <w:rPr>
                      <w:rFonts w:ascii="Cambria Math" w:hAnsi="Cambria Math"/>
                      <w:sz w:val="20"/>
                    </w:rPr>
                    <m:t>270</m:t>
                  </m:r>
                </m:den>
              </m:f>
              <m:r>
                <m:rPr>
                  <m:sty m:val="p"/>
                </m:rPr>
                <w:rPr>
                  <w:rFonts w:ascii="Cambria Math" w:hAnsi="Cambria Math"/>
                  <w:sz w:val="20"/>
                </w:rPr>
                <m:t>×500</m:t>
              </m:r>
            </m:oMath>
            <w:r>
              <w:rPr>
                <w:rFonts w:cs="Arial"/>
                <w:sz w:val="20"/>
              </w:rPr>
              <w:t xml:space="preserve"> </w:t>
            </w:r>
            <w:r w:rsidRPr="007A4F51">
              <w:rPr>
                <w:rFonts w:cs="Arial"/>
                <w:sz w:val="20"/>
              </w:rPr>
              <w:t>m</w:t>
            </w:r>
            <w:r>
              <w:rPr>
                <w:rFonts w:cs="Arial"/>
                <w:sz w:val="20"/>
              </w:rPr>
              <w:t>L</w:t>
            </w:r>
            <w:r w:rsidRPr="007A4F51">
              <w:rPr>
                <w:rFonts w:cs="Arial"/>
                <w:sz w:val="20"/>
              </w:rPr>
              <w:t xml:space="preserve"> = 11.1</w:t>
            </w:r>
            <w:r>
              <w:rPr>
                <w:rFonts w:cs="Arial"/>
                <w:sz w:val="20"/>
              </w:rPr>
              <w:t xml:space="preserve"> </w:t>
            </w:r>
            <w:r w:rsidRPr="007A4F51">
              <w:rPr>
                <w:rFonts w:cs="Arial"/>
                <w:sz w:val="20"/>
              </w:rPr>
              <w:t xml:space="preserve">mmol </w:t>
            </w:r>
            <w:r>
              <w:rPr>
                <w:rFonts w:cs="Arial"/>
                <w:sz w:val="20"/>
              </w:rPr>
              <w:t xml:space="preserve">potassium chloride </w:t>
            </w:r>
            <w:r w:rsidRPr="007A4F51">
              <w:rPr>
                <w:rFonts w:cs="Arial"/>
                <w:sz w:val="20"/>
              </w:rPr>
              <w:t xml:space="preserve"> required</w:t>
            </w:r>
            <w:r>
              <w:rPr>
                <w:rFonts w:cs="Arial"/>
                <w:sz w:val="20"/>
              </w:rPr>
              <w:t xml:space="preserve"> </w:t>
            </w:r>
            <w:r w:rsidRPr="007A4F51">
              <w:rPr>
                <w:rFonts w:cs="Arial"/>
                <w:sz w:val="20"/>
              </w:rPr>
              <w:t>≡ 11.1</w:t>
            </w:r>
            <w:r>
              <w:rPr>
                <w:rFonts w:cs="Arial"/>
                <w:sz w:val="20"/>
              </w:rPr>
              <w:t xml:space="preserve"> </w:t>
            </w:r>
            <w:r w:rsidRPr="007A4F51">
              <w:rPr>
                <w:rFonts w:cs="Arial"/>
                <w:sz w:val="20"/>
              </w:rPr>
              <w:t>m</w:t>
            </w:r>
            <w:r>
              <w:rPr>
                <w:rFonts w:cs="Arial"/>
                <w:sz w:val="20"/>
              </w:rPr>
              <w:t>L</w:t>
            </w:r>
            <w:r w:rsidRPr="007A4F51">
              <w:rPr>
                <w:rFonts w:cs="Arial"/>
                <w:sz w:val="20"/>
              </w:rPr>
              <w:t xml:space="preserve"> </w:t>
            </w:r>
            <w:r>
              <w:rPr>
                <w:rFonts w:cs="Arial"/>
                <w:sz w:val="20"/>
              </w:rPr>
              <w:t xml:space="preserve">potassium chloride </w:t>
            </w:r>
            <w:r w:rsidRPr="007A4F51">
              <w:rPr>
                <w:rFonts w:cs="Arial"/>
                <w:sz w:val="20"/>
              </w:rPr>
              <w:t xml:space="preserve"> required</w:t>
            </w:r>
          </w:p>
          <w:p w:rsidR="008B08DF" w:rsidP="00FE4186" w:rsidRDefault="008B08DF" w14:paraId="1BCBE258" w14:textId="77777777">
            <w:pPr>
              <w:pStyle w:val="BodyText"/>
              <w:ind w:left="360"/>
              <w:rPr>
                <w:rFonts w:cs="Arial"/>
                <w:sz w:val="20"/>
              </w:rPr>
            </w:pPr>
          </w:p>
          <w:p w:rsidR="008B08DF" w:rsidP="001B0E05" w:rsidRDefault="008B08DF" w14:paraId="77B6F7BF" w14:textId="77777777">
            <w:pPr>
              <w:pStyle w:val="BodyText"/>
              <w:numPr>
                <w:ilvl w:val="0"/>
                <w:numId w:val="126"/>
              </w:numPr>
              <w:overflowPunct w:val="0"/>
              <w:autoSpaceDE w:val="0"/>
              <w:autoSpaceDN w:val="0"/>
              <w:adjustRightInd w:val="0"/>
              <w:jc w:val="left"/>
              <w:textAlignment w:val="baseline"/>
              <w:rPr>
                <w:rFonts w:cs="Arial"/>
                <w:sz w:val="20"/>
              </w:rPr>
            </w:pPr>
            <w:r>
              <w:rPr>
                <w:rFonts w:cs="Arial"/>
                <w:sz w:val="20"/>
              </w:rPr>
              <w:t xml:space="preserve">From 500 mL bag, </w:t>
            </w:r>
            <w:r w:rsidRPr="00904350">
              <w:rPr>
                <w:rFonts w:cs="Arial"/>
                <w:b/>
                <w:sz w:val="20"/>
              </w:rPr>
              <w:t>remove</w:t>
            </w:r>
            <w:r>
              <w:rPr>
                <w:rFonts w:cs="Arial"/>
                <w:sz w:val="20"/>
              </w:rPr>
              <w:t xml:space="preserve"> the amount of fluid that will be replaced by potassium chloride</w:t>
            </w:r>
          </w:p>
          <w:p w:rsidR="008B08DF" w:rsidP="00FE4186" w:rsidRDefault="008B08DF" w14:paraId="414B59EA" w14:textId="77777777">
            <w:pPr>
              <w:pStyle w:val="BodyText"/>
              <w:ind w:left="360"/>
              <w:rPr>
                <w:rFonts w:cs="Arial"/>
                <w:sz w:val="20"/>
              </w:rPr>
            </w:pPr>
            <w:r>
              <w:rPr>
                <w:rFonts w:cs="Arial"/>
                <w:sz w:val="20"/>
              </w:rPr>
              <w:t>E.g. Remove 11.1 mL of IV fluid from 500 mL bag.</w:t>
            </w:r>
          </w:p>
          <w:p w:rsidR="008B08DF" w:rsidP="00FE4186" w:rsidRDefault="008B08DF" w14:paraId="02C545D8" w14:textId="77777777">
            <w:pPr>
              <w:pStyle w:val="BodyText"/>
              <w:ind w:left="360"/>
              <w:rPr>
                <w:rFonts w:cs="Arial"/>
                <w:sz w:val="20"/>
              </w:rPr>
            </w:pPr>
          </w:p>
          <w:p w:rsidR="008B08DF" w:rsidP="001B0E05" w:rsidRDefault="008B08DF" w14:paraId="65152F28" w14:textId="77777777">
            <w:pPr>
              <w:pStyle w:val="BodyText"/>
              <w:numPr>
                <w:ilvl w:val="0"/>
                <w:numId w:val="126"/>
              </w:numPr>
              <w:overflowPunct w:val="0"/>
              <w:autoSpaceDE w:val="0"/>
              <w:autoSpaceDN w:val="0"/>
              <w:adjustRightInd w:val="0"/>
              <w:jc w:val="left"/>
              <w:textAlignment w:val="baseline"/>
              <w:rPr>
                <w:rFonts w:cs="Arial"/>
                <w:sz w:val="20"/>
              </w:rPr>
            </w:pPr>
            <w:r w:rsidRPr="00904350">
              <w:rPr>
                <w:rFonts w:cs="Arial"/>
                <w:b/>
                <w:sz w:val="20"/>
              </w:rPr>
              <w:t xml:space="preserve">Add </w:t>
            </w:r>
            <w:r>
              <w:rPr>
                <w:rFonts w:cs="Arial"/>
                <w:sz w:val="20"/>
              </w:rPr>
              <w:t>the calculated volume of potassium chloride to 500 mL bag.</w:t>
            </w:r>
          </w:p>
          <w:p w:rsidR="008B08DF" w:rsidP="00FE4186" w:rsidRDefault="008B08DF" w14:paraId="78BEFA81" w14:textId="77777777">
            <w:pPr>
              <w:pStyle w:val="BodyText"/>
              <w:ind w:left="360"/>
              <w:rPr>
                <w:rFonts w:cs="Arial"/>
                <w:sz w:val="20"/>
              </w:rPr>
            </w:pPr>
            <w:r>
              <w:rPr>
                <w:rFonts w:cs="Arial"/>
                <w:sz w:val="20"/>
              </w:rPr>
              <w:t>E.g. Add 11.1 mL of potassium chloride to 500 mL bag.</w:t>
            </w:r>
          </w:p>
          <w:p w:rsidR="008B08DF" w:rsidP="00FE4186" w:rsidRDefault="008B08DF" w14:paraId="519D2A10" w14:textId="77777777">
            <w:pPr>
              <w:pStyle w:val="BodyText"/>
              <w:ind w:left="360"/>
              <w:rPr>
                <w:rFonts w:cs="Arial"/>
                <w:sz w:val="20"/>
              </w:rPr>
            </w:pPr>
          </w:p>
          <w:p w:rsidR="008B08DF" w:rsidP="001B0E05" w:rsidRDefault="008B08DF" w14:paraId="156383C1" w14:textId="77777777">
            <w:pPr>
              <w:pStyle w:val="BodyText"/>
              <w:numPr>
                <w:ilvl w:val="0"/>
                <w:numId w:val="126"/>
              </w:numPr>
              <w:overflowPunct w:val="0"/>
              <w:autoSpaceDE w:val="0"/>
              <w:autoSpaceDN w:val="0"/>
              <w:adjustRightInd w:val="0"/>
              <w:jc w:val="left"/>
              <w:textAlignment w:val="baseline"/>
              <w:rPr>
                <w:rFonts w:cs="Calibri"/>
                <w:sz w:val="20"/>
              </w:rPr>
            </w:pPr>
            <w:r w:rsidRPr="005E3922">
              <w:rPr>
                <w:rFonts w:cs="Calibri"/>
                <w:sz w:val="20"/>
              </w:rPr>
              <w:lastRenderedPageBreak/>
              <w:t xml:space="preserve">The </w:t>
            </w:r>
            <w:r>
              <w:rPr>
                <w:rFonts w:cs="Calibri"/>
                <w:sz w:val="20"/>
              </w:rPr>
              <w:t xml:space="preserve">bag </w:t>
            </w:r>
            <w:r w:rsidRPr="005E3922">
              <w:rPr>
                <w:rFonts w:cs="Calibri"/>
                <w:sz w:val="20"/>
              </w:rPr>
              <w:t>must be</w:t>
            </w:r>
            <w:r>
              <w:rPr>
                <w:rFonts w:cs="Calibri"/>
                <w:sz w:val="20"/>
              </w:rPr>
              <w:t xml:space="preserve"> </w:t>
            </w:r>
            <w:r w:rsidRPr="005E3922">
              <w:rPr>
                <w:rFonts w:cs="Calibri"/>
                <w:sz w:val="20"/>
              </w:rPr>
              <w:t>inverted ten times to ensure potassium chloride is thoroughly mixed throughout the solution</w:t>
            </w:r>
            <w:r>
              <w:rPr>
                <w:rFonts w:cs="Calibri"/>
                <w:sz w:val="20"/>
              </w:rPr>
              <w:t>.</w:t>
            </w:r>
          </w:p>
          <w:p w:rsidR="008B08DF" w:rsidP="00FE4186" w:rsidRDefault="008B08DF" w14:paraId="25C231B8" w14:textId="77777777">
            <w:pPr>
              <w:pStyle w:val="BodyText"/>
              <w:ind w:left="360"/>
              <w:rPr>
                <w:rFonts w:cs="Calibri"/>
                <w:sz w:val="20"/>
              </w:rPr>
            </w:pPr>
          </w:p>
          <w:p w:rsidRPr="00AD06D0" w:rsidR="008B08DF" w:rsidP="001B0E05" w:rsidRDefault="008B08DF" w14:paraId="25FA38EF" w14:textId="77777777">
            <w:pPr>
              <w:pStyle w:val="BodyText"/>
              <w:numPr>
                <w:ilvl w:val="0"/>
                <w:numId w:val="126"/>
              </w:numPr>
              <w:overflowPunct w:val="0"/>
              <w:autoSpaceDE w:val="0"/>
              <w:autoSpaceDN w:val="0"/>
              <w:adjustRightInd w:val="0"/>
              <w:jc w:val="left"/>
              <w:textAlignment w:val="baseline"/>
              <w:rPr>
                <w:rFonts w:cs="Arial"/>
                <w:sz w:val="20"/>
              </w:rPr>
            </w:pPr>
            <w:r w:rsidRPr="00AD06D0">
              <w:rPr>
                <w:rFonts w:cs="Arial"/>
                <w:sz w:val="20"/>
              </w:rPr>
              <w:t xml:space="preserve">Apply a </w:t>
            </w:r>
            <w:r>
              <w:rPr>
                <w:rFonts w:cs="Arial"/>
                <w:sz w:val="20"/>
              </w:rPr>
              <w:t>f</w:t>
            </w:r>
            <w:r w:rsidRPr="00AD06D0">
              <w:rPr>
                <w:rFonts w:cs="Arial"/>
                <w:sz w:val="20"/>
              </w:rPr>
              <w:t>luid label</w:t>
            </w:r>
            <w:r>
              <w:rPr>
                <w:rFonts w:cs="Arial"/>
                <w:sz w:val="20"/>
              </w:rPr>
              <w:t xml:space="preserve">, </w:t>
            </w:r>
            <w:r w:rsidRPr="00AD06D0">
              <w:rPr>
                <w:rFonts w:cs="Arial"/>
                <w:sz w:val="20"/>
              </w:rPr>
              <w:t>clearly identifying addition of potassium chloride as per NSW health policy</w:t>
            </w:r>
          </w:p>
          <w:p w:rsidRPr="007A4F51" w:rsidR="008B08DF" w:rsidP="00FE4186" w:rsidRDefault="008B08DF" w14:paraId="0B67018B" w14:textId="77777777">
            <w:pPr>
              <w:pStyle w:val="BodyText"/>
              <w:rPr>
                <w:rFonts w:cs="Arial"/>
                <w:sz w:val="20"/>
              </w:rPr>
            </w:pPr>
          </w:p>
          <w:p w:rsidRPr="00B50494" w:rsidR="008B08DF" w:rsidP="00FE4186" w:rsidRDefault="008B08DF" w14:paraId="09B2E760" w14:textId="77777777">
            <w:pPr>
              <w:pStyle w:val="BodyText"/>
              <w:rPr>
                <w:rFonts w:cs="Arial"/>
                <w:b/>
                <w:sz w:val="20"/>
              </w:rPr>
            </w:pPr>
            <w:r w:rsidRPr="00B50494">
              <w:rPr>
                <w:rFonts w:cs="Arial"/>
                <w:b/>
                <w:sz w:val="20"/>
              </w:rPr>
              <w:t>IV infusion for severe or symptomatic hypokalemia</w:t>
            </w:r>
          </w:p>
          <w:p w:rsidRPr="00904350" w:rsidR="008B08DF" w:rsidP="00FE4186" w:rsidRDefault="008B08DF" w14:paraId="2F62F1FE" w14:textId="77777777">
            <w:pPr>
              <w:pStyle w:val="BodyText"/>
              <w:rPr>
                <w:rFonts w:cs="Arial"/>
                <w:sz w:val="20"/>
              </w:rPr>
            </w:pPr>
            <w:r w:rsidRPr="00904350">
              <w:rPr>
                <w:rFonts w:cs="Arial"/>
                <w:sz w:val="20"/>
              </w:rPr>
              <w:t>0.3</w:t>
            </w:r>
            <w:r>
              <w:rPr>
                <w:rFonts w:cs="Arial"/>
                <w:sz w:val="20"/>
              </w:rPr>
              <w:t xml:space="preserve"> to </w:t>
            </w:r>
            <w:r w:rsidRPr="00904350">
              <w:rPr>
                <w:rFonts w:cs="Arial"/>
                <w:sz w:val="20"/>
              </w:rPr>
              <w:t xml:space="preserve">0.5 mmol/kg potassium chloride </w:t>
            </w:r>
            <w:r>
              <w:rPr>
                <w:rFonts w:cs="Arial"/>
                <w:sz w:val="20"/>
              </w:rPr>
              <w:t xml:space="preserve">(0.3 to 0.5 mL/kg of potassium chloride 10 mmol/10 mL) </w:t>
            </w:r>
            <w:r w:rsidRPr="00904350">
              <w:rPr>
                <w:rFonts w:cs="Arial"/>
                <w:sz w:val="20"/>
              </w:rPr>
              <w:t>diluted with 2 mL/kg of sodium chloride 0.9%* over 2-3 hours (not to exceed 0.2 mmol/kg/hour)</w:t>
            </w:r>
          </w:p>
          <w:p w:rsidRPr="00026F20" w:rsidR="008B08DF" w:rsidP="00FE4186" w:rsidRDefault="008B08DF" w14:paraId="01EA65E2" w14:textId="77777777">
            <w:pPr>
              <w:pStyle w:val="BodyText"/>
              <w:rPr>
                <w:rFonts w:cs="Arial"/>
                <w:sz w:val="20"/>
              </w:rPr>
            </w:pPr>
            <w:r w:rsidRPr="00904350">
              <w:rPr>
                <w:rFonts w:cs="Arial"/>
                <w:sz w:val="20"/>
              </w:rPr>
              <w:t>*Do not dilute with glucose solutions as glucose can cause further drop in potassium.</w:t>
            </w:r>
          </w:p>
        </w:tc>
      </w:tr>
      <w:tr w:rsidRPr="00026F20" w:rsidR="008B08DF" w:rsidTr="00FE4186" w14:paraId="582C66CE" w14:textId="77777777">
        <w:trPr>
          <w:trHeight w:val="224"/>
        </w:trPr>
        <w:tc>
          <w:tcPr>
            <w:tcW w:w="1701" w:type="dxa"/>
          </w:tcPr>
          <w:p w:rsidRPr="00B53E9B" w:rsidR="008B08DF" w:rsidP="00FE4186" w:rsidRDefault="008B08DF" w14:paraId="4D3C58CB" w14:textId="77777777">
            <w:pPr>
              <w:pStyle w:val="BodyText"/>
              <w:rPr>
                <w:rFonts w:cs="Arial"/>
                <w:b/>
                <w:bCs/>
                <w:sz w:val="20"/>
              </w:rPr>
            </w:pPr>
            <w:r>
              <w:rPr>
                <w:rFonts w:cs="Arial"/>
                <w:b/>
                <w:bCs/>
                <w:sz w:val="20"/>
              </w:rPr>
              <w:lastRenderedPageBreak/>
              <w:t>Administration</w:t>
            </w:r>
            <w:r w:rsidRPr="00B53E9B">
              <w:rPr>
                <w:rFonts w:cs="Arial"/>
                <w:b/>
                <w:bCs/>
                <w:sz w:val="20"/>
              </w:rPr>
              <w:t xml:space="preserve">          </w:t>
            </w:r>
          </w:p>
        </w:tc>
        <w:tc>
          <w:tcPr>
            <w:tcW w:w="8647" w:type="dxa"/>
            <w:vAlign w:val="center"/>
          </w:tcPr>
          <w:p w:rsidR="008B08DF" w:rsidP="00FE4186" w:rsidRDefault="008B08DF" w14:paraId="1F273F89" w14:textId="77777777">
            <w:pPr>
              <w:pStyle w:val="BodyText"/>
              <w:rPr>
                <w:rFonts w:cs="Arial"/>
                <w:sz w:val="20"/>
              </w:rPr>
            </w:pPr>
            <w:r>
              <w:rPr>
                <w:rFonts w:cs="Arial"/>
                <w:sz w:val="20"/>
              </w:rPr>
              <w:t>For rapid correction: IV  infusion over 2-3 hours</w:t>
            </w:r>
          </w:p>
          <w:p w:rsidRPr="00026F20" w:rsidR="008B08DF" w:rsidP="00FE4186" w:rsidRDefault="008B08DF" w14:paraId="3FBD31CD" w14:textId="77777777">
            <w:pPr>
              <w:pStyle w:val="BodyText"/>
              <w:rPr>
                <w:rFonts w:cs="Arial"/>
                <w:sz w:val="20"/>
              </w:rPr>
            </w:pPr>
            <w:r>
              <w:rPr>
                <w:rFonts w:cs="Arial"/>
                <w:sz w:val="20"/>
              </w:rPr>
              <w:t>When added to IV maintenance fluid bag: continuous infusion over 24 hours</w:t>
            </w:r>
          </w:p>
        </w:tc>
      </w:tr>
      <w:tr w:rsidRPr="00026F20" w:rsidR="008B08DF" w:rsidTr="00FE4186" w14:paraId="74C114B5" w14:textId="77777777">
        <w:trPr>
          <w:trHeight w:val="215"/>
        </w:trPr>
        <w:tc>
          <w:tcPr>
            <w:tcW w:w="1701" w:type="dxa"/>
          </w:tcPr>
          <w:p w:rsidRPr="00B53E9B" w:rsidR="008B08DF" w:rsidP="00FE4186" w:rsidRDefault="008B08DF" w14:paraId="3A70C4CD" w14:textId="77777777">
            <w:pPr>
              <w:pStyle w:val="BodyText"/>
              <w:rPr>
                <w:rFonts w:cs="Arial"/>
                <w:b/>
                <w:bCs/>
                <w:sz w:val="20"/>
              </w:rPr>
            </w:pPr>
            <w:r w:rsidRPr="00B53E9B">
              <w:rPr>
                <w:rFonts w:cs="Arial"/>
                <w:b/>
                <w:bCs/>
                <w:sz w:val="20"/>
              </w:rPr>
              <w:t xml:space="preserve">Monitoring                              </w:t>
            </w:r>
          </w:p>
        </w:tc>
        <w:tc>
          <w:tcPr>
            <w:tcW w:w="8647" w:type="dxa"/>
          </w:tcPr>
          <w:p w:rsidR="008B08DF" w:rsidP="00FE4186" w:rsidRDefault="008B08DF" w14:paraId="133ACFC1" w14:textId="77777777">
            <w:pPr>
              <w:pStyle w:val="BodyText"/>
              <w:rPr>
                <w:rFonts w:cs="Arial"/>
                <w:sz w:val="20"/>
              </w:rPr>
            </w:pPr>
            <w:r>
              <w:rPr>
                <w:rFonts w:cs="Arial"/>
                <w:sz w:val="20"/>
              </w:rPr>
              <w:t>I</w:t>
            </w:r>
            <w:r w:rsidRPr="00EF1AEA">
              <w:rPr>
                <w:rFonts w:cs="Arial"/>
                <w:sz w:val="20"/>
              </w:rPr>
              <w:t xml:space="preserve">njection site </w:t>
            </w:r>
            <w:r>
              <w:rPr>
                <w:rFonts w:cs="Arial"/>
                <w:sz w:val="20"/>
              </w:rPr>
              <w:t>for pain or phlebitis.</w:t>
            </w:r>
          </w:p>
          <w:p w:rsidR="008B08DF" w:rsidP="00FE4186" w:rsidRDefault="008B08DF" w14:paraId="5240EC70" w14:textId="77777777">
            <w:pPr>
              <w:pStyle w:val="BodyText"/>
              <w:rPr>
                <w:rFonts w:cs="Arial"/>
                <w:sz w:val="20"/>
              </w:rPr>
            </w:pPr>
            <w:r>
              <w:rPr>
                <w:rFonts w:cs="Arial"/>
                <w:sz w:val="20"/>
              </w:rPr>
              <w:t xml:space="preserve">Continuous cardio-respiratory monitoring </w:t>
            </w:r>
          </w:p>
          <w:p w:rsidRPr="00026F20" w:rsidR="008B08DF" w:rsidP="00FE4186" w:rsidRDefault="008B08DF" w14:paraId="1FBB6FEA" w14:textId="77777777">
            <w:pPr>
              <w:pStyle w:val="BodyText"/>
              <w:rPr>
                <w:rFonts w:cs="Arial"/>
                <w:sz w:val="20"/>
              </w:rPr>
            </w:pPr>
            <w:r>
              <w:rPr>
                <w:rFonts w:cs="Arial"/>
                <w:sz w:val="20"/>
              </w:rPr>
              <w:t>S</w:t>
            </w:r>
            <w:r w:rsidRPr="00F36DDD">
              <w:rPr>
                <w:rFonts w:cs="Arial"/>
                <w:sz w:val="20"/>
              </w:rPr>
              <w:t>erum electrolytes</w:t>
            </w:r>
            <w:r>
              <w:rPr>
                <w:rFonts w:cs="Arial"/>
                <w:sz w:val="20"/>
              </w:rPr>
              <w:t xml:space="preserve"> – serum potassium.</w:t>
            </w:r>
          </w:p>
        </w:tc>
      </w:tr>
      <w:tr w:rsidRPr="00026F20" w:rsidR="008B08DF" w:rsidTr="00FE4186" w14:paraId="16BD37C1" w14:textId="77777777">
        <w:trPr>
          <w:trHeight w:val="342"/>
        </w:trPr>
        <w:tc>
          <w:tcPr>
            <w:tcW w:w="1701" w:type="dxa"/>
          </w:tcPr>
          <w:p w:rsidRPr="00B53E9B" w:rsidR="008B08DF" w:rsidP="00FE4186" w:rsidRDefault="008B08DF" w14:paraId="2E446681" w14:textId="77777777">
            <w:pPr>
              <w:pStyle w:val="BodyText"/>
              <w:rPr>
                <w:rFonts w:cs="Arial"/>
                <w:b/>
                <w:bCs/>
                <w:sz w:val="20"/>
              </w:rPr>
            </w:pPr>
            <w:r w:rsidRPr="00B53E9B">
              <w:rPr>
                <w:rFonts w:cs="Arial"/>
                <w:b/>
                <w:bCs/>
                <w:sz w:val="20"/>
              </w:rPr>
              <w:t xml:space="preserve">Contraindications                        </w:t>
            </w:r>
          </w:p>
        </w:tc>
        <w:tc>
          <w:tcPr>
            <w:tcW w:w="8647" w:type="dxa"/>
          </w:tcPr>
          <w:p w:rsidRPr="009872A9" w:rsidR="008B08DF" w:rsidP="00FE4186" w:rsidRDefault="008B08DF" w14:paraId="111D3B5B" w14:textId="77777777">
            <w:pPr>
              <w:pStyle w:val="BodyText"/>
              <w:rPr>
                <w:rFonts w:cs="Arial"/>
                <w:sz w:val="20"/>
              </w:rPr>
            </w:pPr>
            <w:r w:rsidRPr="009872A9">
              <w:rPr>
                <w:rFonts w:cs="Arial"/>
                <w:sz w:val="20"/>
              </w:rPr>
              <w:t>Hyperkalaemia.</w:t>
            </w:r>
            <w:r>
              <w:rPr>
                <w:rFonts w:cs="Arial"/>
                <w:noProof/>
                <w:sz w:val="20"/>
              </w:rPr>
              <w:t>(3)</w:t>
            </w:r>
          </w:p>
          <w:p w:rsidRPr="009872A9" w:rsidR="008B08DF" w:rsidP="00FE4186" w:rsidRDefault="008B08DF" w14:paraId="297AD964" w14:textId="77777777">
            <w:pPr>
              <w:pStyle w:val="BodyText"/>
              <w:rPr>
                <w:rFonts w:cs="Arial"/>
                <w:sz w:val="20"/>
              </w:rPr>
            </w:pPr>
            <w:r w:rsidRPr="009872A9">
              <w:rPr>
                <w:rFonts w:cs="Arial"/>
                <w:sz w:val="20"/>
              </w:rPr>
              <w:t>Hyperadrenalism associated with adrenogenital syndrome.</w:t>
            </w:r>
          </w:p>
          <w:p w:rsidRPr="009872A9" w:rsidR="008B08DF" w:rsidP="00FE4186" w:rsidRDefault="008B08DF" w14:paraId="68F2A82B" w14:textId="77777777">
            <w:pPr>
              <w:pStyle w:val="BodyText"/>
              <w:rPr>
                <w:rFonts w:cs="Arial"/>
                <w:sz w:val="20"/>
              </w:rPr>
            </w:pPr>
            <w:r w:rsidRPr="009872A9">
              <w:rPr>
                <w:rFonts w:cs="Arial"/>
                <w:sz w:val="20"/>
              </w:rPr>
              <w:t>Tissue breakdown</w:t>
            </w:r>
            <w:r>
              <w:rPr>
                <w:rFonts w:cs="Arial"/>
                <w:sz w:val="20"/>
              </w:rPr>
              <w:t>.</w:t>
            </w:r>
          </w:p>
          <w:p w:rsidRPr="009872A9" w:rsidR="008B08DF" w:rsidP="00FE4186" w:rsidRDefault="008B08DF" w14:paraId="402A6777" w14:textId="77777777">
            <w:pPr>
              <w:pStyle w:val="BodyText"/>
              <w:rPr>
                <w:rFonts w:cs="Arial"/>
                <w:sz w:val="20"/>
              </w:rPr>
            </w:pPr>
            <w:r w:rsidRPr="009872A9">
              <w:rPr>
                <w:rFonts w:cs="Arial"/>
                <w:sz w:val="20"/>
              </w:rPr>
              <w:t>Acute dehydration.</w:t>
            </w:r>
          </w:p>
          <w:p w:rsidRPr="009872A9" w:rsidR="008B08DF" w:rsidP="00FE4186" w:rsidRDefault="008B08DF" w14:paraId="35D02503" w14:textId="77777777">
            <w:pPr>
              <w:pStyle w:val="BodyText"/>
              <w:rPr>
                <w:rFonts w:cs="Arial"/>
                <w:sz w:val="20"/>
              </w:rPr>
            </w:pPr>
            <w:r w:rsidRPr="009872A9">
              <w:rPr>
                <w:rFonts w:cs="Arial"/>
                <w:sz w:val="20"/>
              </w:rPr>
              <w:t>Renal impairment with oliguria and azotaemia.</w:t>
            </w:r>
          </w:p>
          <w:p w:rsidRPr="009872A9" w:rsidR="008B08DF" w:rsidP="00FE4186" w:rsidRDefault="008B08DF" w14:paraId="0D28A355" w14:textId="77777777">
            <w:pPr>
              <w:pStyle w:val="BodyText"/>
              <w:rPr>
                <w:rFonts w:cs="Arial"/>
                <w:sz w:val="20"/>
              </w:rPr>
            </w:pPr>
            <w:r w:rsidRPr="009872A9">
              <w:rPr>
                <w:rFonts w:cs="Arial"/>
                <w:sz w:val="20"/>
              </w:rPr>
              <w:t>Untreated Addison's disease.</w:t>
            </w:r>
          </w:p>
          <w:p w:rsidRPr="009872A9" w:rsidR="008B08DF" w:rsidP="00FE4186" w:rsidRDefault="008B08DF" w14:paraId="6B0EB30B" w14:textId="77777777">
            <w:pPr>
              <w:pStyle w:val="BodyText"/>
              <w:rPr>
                <w:rFonts w:cs="Arial"/>
                <w:sz w:val="20"/>
              </w:rPr>
            </w:pPr>
            <w:r w:rsidRPr="009872A9">
              <w:rPr>
                <w:rFonts w:cs="Arial"/>
                <w:sz w:val="20"/>
              </w:rPr>
              <w:t>Ventricular fibrillation.</w:t>
            </w:r>
          </w:p>
          <w:p w:rsidR="008B08DF" w:rsidP="00FE4186" w:rsidRDefault="008B08DF" w14:paraId="2DF78B8F" w14:textId="77777777">
            <w:pPr>
              <w:pStyle w:val="BodyText"/>
              <w:rPr>
                <w:rFonts w:cs="Arial"/>
                <w:sz w:val="20"/>
              </w:rPr>
            </w:pPr>
            <w:r w:rsidRPr="009872A9">
              <w:rPr>
                <w:rFonts w:cs="Arial"/>
                <w:sz w:val="20"/>
              </w:rPr>
              <w:t>Atrioventricular or intraventricular heart block.</w:t>
            </w:r>
          </w:p>
          <w:p w:rsidRPr="00026F20" w:rsidR="008B08DF" w:rsidP="00FE4186" w:rsidRDefault="008B08DF" w14:paraId="0CB1A96B" w14:textId="77777777">
            <w:pPr>
              <w:pStyle w:val="BodyText"/>
              <w:rPr>
                <w:rFonts w:cs="Arial"/>
                <w:sz w:val="20"/>
              </w:rPr>
            </w:pPr>
            <w:r>
              <w:rPr>
                <w:rFonts w:cs="Arial"/>
                <w:sz w:val="20"/>
              </w:rPr>
              <w:t xml:space="preserve">Conditions with increased sensitivity to potassium : </w:t>
            </w:r>
            <w:r w:rsidRPr="00B072B3">
              <w:rPr>
                <w:rFonts w:asciiTheme="minorHAnsi" w:hAnsiTheme="minorHAnsi" w:cstheme="minorHAnsi"/>
                <w:color w:val="000000"/>
                <w:sz w:val="20"/>
                <w:shd w:val="clear" w:color="auto" w:fill="FFFFFF"/>
              </w:rPr>
              <w:t>Adynamia episodica hereditaria, congenital paramyotonia</w:t>
            </w:r>
            <w:r>
              <w:rPr>
                <w:rFonts w:asciiTheme="minorHAnsi" w:hAnsiTheme="minorHAnsi" w:cstheme="minorHAnsi"/>
                <w:color w:val="000000"/>
                <w:sz w:val="20"/>
                <w:shd w:val="clear" w:color="auto" w:fill="FFFFFF"/>
              </w:rPr>
              <w:t xml:space="preserve"> </w:t>
            </w:r>
            <w:r>
              <w:rPr>
                <w:rFonts w:asciiTheme="minorHAnsi" w:hAnsiTheme="minorHAnsi" w:cstheme="minorHAnsi"/>
                <w:noProof/>
                <w:color w:val="000000"/>
                <w:sz w:val="20"/>
                <w:shd w:val="clear" w:color="auto" w:fill="FFFFFF"/>
              </w:rPr>
              <w:t>(3)</w:t>
            </w:r>
          </w:p>
        </w:tc>
      </w:tr>
      <w:tr w:rsidRPr="00026F20" w:rsidR="008B08DF" w:rsidTr="00FE4186" w14:paraId="0C6916F8" w14:textId="77777777">
        <w:tc>
          <w:tcPr>
            <w:tcW w:w="1701" w:type="dxa"/>
          </w:tcPr>
          <w:p w:rsidRPr="00B53E9B" w:rsidR="008B08DF" w:rsidP="00FE4186" w:rsidRDefault="008B08DF" w14:paraId="74109E55" w14:textId="77777777">
            <w:pPr>
              <w:pStyle w:val="BodyText"/>
              <w:rPr>
                <w:rFonts w:cs="Arial"/>
                <w:b/>
                <w:bCs/>
                <w:sz w:val="20"/>
              </w:rPr>
            </w:pPr>
            <w:r w:rsidRPr="00B53E9B">
              <w:rPr>
                <w:sz w:val="20"/>
              </w:rPr>
              <w:br w:type="page"/>
            </w:r>
            <w:r w:rsidRPr="00B53E9B">
              <w:rPr>
                <w:rFonts w:cs="Arial"/>
                <w:b/>
                <w:bCs/>
                <w:sz w:val="20"/>
              </w:rPr>
              <w:t>Precautions</w:t>
            </w:r>
          </w:p>
        </w:tc>
        <w:tc>
          <w:tcPr>
            <w:tcW w:w="8647" w:type="dxa"/>
          </w:tcPr>
          <w:p w:rsidRPr="00026F20" w:rsidR="008B08DF" w:rsidP="00FE4186" w:rsidRDefault="008B08DF" w14:paraId="3C971E10" w14:textId="77777777">
            <w:pPr>
              <w:pStyle w:val="BodyText"/>
              <w:rPr>
                <w:rFonts w:cs="Arial"/>
                <w:sz w:val="20"/>
              </w:rPr>
            </w:pPr>
            <w:r>
              <w:rPr>
                <w:rFonts w:cs="Arial"/>
                <w:sz w:val="20"/>
              </w:rPr>
              <w:t>R</w:t>
            </w:r>
            <w:r w:rsidRPr="00F36DDD">
              <w:rPr>
                <w:rFonts w:cs="Arial"/>
                <w:sz w:val="20"/>
              </w:rPr>
              <w:t xml:space="preserve">enal impairment, adrenal insufficiency, impaired </w:t>
            </w:r>
            <w:r>
              <w:rPr>
                <w:rFonts w:cs="Arial"/>
                <w:sz w:val="20"/>
              </w:rPr>
              <w:t>potassium</w:t>
            </w:r>
            <w:r w:rsidRPr="00F36DDD">
              <w:rPr>
                <w:rFonts w:cs="Arial"/>
                <w:sz w:val="20"/>
              </w:rPr>
              <w:t xml:space="preserve"> excretion, heart block assoc</w:t>
            </w:r>
            <w:r>
              <w:rPr>
                <w:rFonts w:cs="Arial"/>
                <w:sz w:val="20"/>
              </w:rPr>
              <w:t>iated</w:t>
            </w:r>
            <w:r w:rsidRPr="00F36DDD">
              <w:rPr>
                <w:rFonts w:cs="Arial"/>
                <w:sz w:val="20"/>
              </w:rPr>
              <w:t xml:space="preserve"> disease, bradycardia; cardiac, renal</w:t>
            </w:r>
            <w:r>
              <w:rPr>
                <w:rFonts w:cs="Arial"/>
                <w:sz w:val="20"/>
              </w:rPr>
              <w:t>, sickle cell disease, acidosis.</w:t>
            </w:r>
            <w:r>
              <w:rPr>
                <w:rFonts w:cs="Arial"/>
                <w:noProof/>
                <w:sz w:val="20"/>
              </w:rPr>
              <w:t>(3)</w:t>
            </w:r>
          </w:p>
        </w:tc>
      </w:tr>
      <w:tr w:rsidRPr="00026F20" w:rsidR="008B08DF" w:rsidTr="00FE4186" w14:paraId="12DF6132" w14:textId="77777777">
        <w:trPr>
          <w:trHeight w:val="70"/>
        </w:trPr>
        <w:tc>
          <w:tcPr>
            <w:tcW w:w="1701" w:type="dxa"/>
          </w:tcPr>
          <w:p w:rsidRPr="00B53E9B" w:rsidR="008B08DF" w:rsidP="00FE4186" w:rsidRDefault="008B08DF" w14:paraId="36A2E2B0"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647" w:type="dxa"/>
          </w:tcPr>
          <w:p w:rsidRPr="00F175F9" w:rsidR="008B08DF" w:rsidP="00FE4186" w:rsidRDefault="008B08DF" w14:paraId="21DF556D" w14:textId="77777777">
            <w:pPr>
              <w:pStyle w:val="BodyText"/>
              <w:rPr>
                <w:rFonts w:cs="Arial"/>
                <w:sz w:val="20"/>
              </w:rPr>
            </w:pPr>
            <w:r w:rsidRPr="00F175F9">
              <w:rPr>
                <w:rFonts w:cs="Arial"/>
                <w:sz w:val="20"/>
              </w:rPr>
              <w:t>Potassium sparing diuretics, including spironolactone</w:t>
            </w:r>
            <w:r>
              <w:rPr>
                <w:rFonts w:cs="Arial"/>
                <w:sz w:val="20"/>
              </w:rPr>
              <w:t xml:space="preserve">: </w:t>
            </w:r>
            <w:r w:rsidRPr="00F175F9">
              <w:rPr>
                <w:rFonts w:cs="Arial"/>
                <w:sz w:val="20"/>
              </w:rPr>
              <w:t xml:space="preserve">Increase </w:t>
            </w:r>
            <w:r>
              <w:rPr>
                <w:rFonts w:cs="Arial"/>
                <w:sz w:val="20"/>
              </w:rPr>
              <w:t>serum potassium.</w:t>
            </w:r>
          </w:p>
          <w:p w:rsidR="008B08DF" w:rsidP="00FE4186" w:rsidRDefault="008B08DF" w14:paraId="0FDD081F" w14:textId="77777777">
            <w:pPr>
              <w:pStyle w:val="BodyText"/>
              <w:rPr>
                <w:rFonts w:cs="Arial"/>
                <w:sz w:val="20"/>
              </w:rPr>
            </w:pPr>
            <w:r>
              <w:rPr>
                <w:rFonts w:cs="Arial"/>
                <w:sz w:val="20"/>
              </w:rPr>
              <w:t>Amphotericin B Liposomal: – Can cause hypokalaemia.</w:t>
            </w:r>
            <w:r>
              <w:rPr>
                <w:rFonts w:cs="Arial"/>
                <w:noProof/>
                <w:sz w:val="20"/>
              </w:rPr>
              <w:t>(4)</w:t>
            </w:r>
          </w:p>
          <w:p w:rsidR="008B08DF" w:rsidP="00FE4186" w:rsidRDefault="008B08DF" w14:paraId="2D8D58B7" w14:textId="77777777">
            <w:pPr>
              <w:pStyle w:val="BodyText"/>
              <w:rPr>
                <w:rFonts w:cs="Arial"/>
                <w:sz w:val="20"/>
              </w:rPr>
            </w:pPr>
            <w:r>
              <w:rPr>
                <w:rFonts w:cs="Arial"/>
                <w:sz w:val="20"/>
              </w:rPr>
              <w:t>Doxapram: Can cause hypokalaemia.</w:t>
            </w:r>
            <w:r>
              <w:rPr>
                <w:rFonts w:cs="Arial"/>
                <w:noProof/>
                <w:sz w:val="20"/>
              </w:rPr>
              <w:t>(5)</w:t>
            </w:r>
          </w:p>
          <w:p w:rsidR="008B08DF" w:rsidP="00FE4186" w:rsidRDefault="008B08DF" w14:paraId="22913AF3" w14:textId="77777777">
            <w:pPr>
              <w:pStyle w:val="BodyText"/>
              <w:rPr>
                <w:rFonts w:cs="Arial"/>
                <w:sz w:val="20"/>
              </w:rPr>
            </w:pPr>
            <w:r w:rsidRPr="00F175F9">
              <w:rPr>
                <w:rFonts w:cs="Arial"/>
                <w:sz w:val="20"/>
              </w:rPr>
              <w:t>ACE inhibitors</w:t>
            </w:r>
            <w:r>
              <w:rPr>
                <w:rFonts w:cs="Arial"/>
                <w:sz w:val="20"/>
              </w:rPr>
              <w:t>,</w:t>
            </w:r>
            <w:r w:rsidRPr="00F175F9">
              <w:rPr>
                <w:rFonts w:cs="Arial"/>
                <w:sz w:val="20"/>
              </w:rPr>
              <w:t xml:space="preserve"> </w:t>
            </w:r>
            <w:r>
              <w:rPr>
                <w:rFonts w:cs="Arial"/>
                <w:sz w:val="20"/>
              </w:rPr>
              <w:t xml:space="preserve">including </w:t>
            </w:r>
            <w:r w:rsidRPr="00F175F9">
              <w:rPr>
                <w:rFonts w:cs="Arial"/>
                <w:sz w:val="20"/>
              </w:rPr>
              <w:t>enalapril and cap</w:t>
            </w:r>
            <w:r>
              <w:rPr>
                <w:rFonts w:cs="Arial"/>
                <w:sz w:val="20"/>
              </w:rPr>
              <w:t>topril: Elevate serum potassium.</w:t>
            </w:r>
          </w:p>
          <w:p w:rsidRPr="00F175F9" w:rsidR="008B08DF" w:rsidP="00FE4186" w:rsidRDefault="008B08DF" w14:paraId="388F4748" w14:textId="77777777">
            <w:pPr>
              <w:pStyle w:val="BodyText"/>
              <w:rPr>
                <w:rFonts w:cs="Arial"/>
                <w:sz w:val="20"/>
              </w:rPr>
            </w:pPr>
            <w:r w:rsidRPr="00F175F9">
              <w:rPr>
                <w:rFonts w:cs="Arial"/>
                <w:sz w:val="20"/>
              </w:rPr>
              <w:t xml:space="preserve">Beta adrenergic </w:t>
            </w:r>
            <w:r>
              <w:rPr>
                <w:rFonts w:cs="Arial"/>
                <w:sz w:val="20"/>
              </w:rPr>
              <w:t>blockers:  - I</w:t>
            </w:r>
            <w:r w:rsidRPr="00F175F9">
              <w:rPr>
                <w:rFonts w:cs="Arial"/>
                <w:sz w:val="20"/>
              </w:rPr>
              <w:t>ncrease both peak serum potassium</w:t>
            </w:r>
            <w:r>
              <w:rPr>
                <w:rFonts w:cs="Arial"/>
                <w:sz w:val="20"/>
              </w:rPr>
              <w:t xml:space="preserve"> </w:t>
            </w:r>
            <w:r w:rsidRPr="00F55DEC">
              <w:rPr>
                <w:rFonts w:cs="Arial"/>
                <w:sz w:val="20"/>
              </w:rPr>
              <w:t>and the time required for serum potassium to return to basal levels</w:t>
            </w:r>
            <w:r w:rsidRPr="00F175F9">
              <w:rPr>
                <w:rFonts w:cs="Arial"/>
                <w:sz w:val="20"/>
              </w:rPr>
              <w:t>.</w:t>
            </w:r>
          </w:p>
          <w:p w:rsidRPr="00F175F9" w:rsidR="008B08DF" w:rsidP="00FE4186" w:rsidRDefault="008B08DF" w14:paraId="6BAE682D" w14:textId="77777777">
            <w:pPr>
              <w:pStyle w:val="BodyText"/>
              <w:rPr>
                <w:rFonts w:cs="Arial"/>
                <w:sz w:val="20"/>
              </w:rPr>
            </w:pPr>
            <w:r w:rsidRPr="00F175F9">
              <w:rPr>
                <w:rFonts w:cs="Arial"/>
                <w:sz w:val="20"/>
              </w:rPr>
              <w:t>Nonsteroidal anti-inflammatory drugs (NSAIDs)</w:t>
            </w:r>
            <w:r>
              <w:rPr>
                <w:rFonts w:cs="Arial"/>
                <w:sz w:val="20"/>
              </w:rPr>
              <w:t xml:space="preserve">: </w:t>
            </w:r>
            <w:r w:rsidRPr="00F175F9">
              <w:rPr>
                <w:rFonts w:cs="Arial"/>
                <w:sz w:val="20"/>
              </w:rPr>
              <w:t>May cause hyperkalaemia by inducing secondary hypoaldosteronism</w:t>
            </w:r>
            <w:r>
              <w:rPr>
                <w:rFonts w:cs="Arial"/>
                <w:sz w:val="20"/>
              </w:rPr>
              <w:t>.</w:t>
            </w:r>
          </w:p>
          <w:p w:rsidRPr="00F175F9" w:rsidR="008B08DF" w:rsidP="00FE4186" w:rsidRDefault="008B08DF" w14:paraId="1CDF6A14" w14:textId="77777777">
            <w:pPr>
              <w:pStyle w:val="BodyText"/>
              <w:rPr>
                <w:rFonts w:cs="Arial"/>
                <w:sz w:val="20"/>
              </w:rPr>
            </w:pPr>
            <w:r w:rsidRPr="00F175F9">
              <w:rPr>
                <w:rFonts w:cs="Arial"/>
                <w:sz w:val="20"/>
              </w:rPr>
              <w:t>Heparin</w:t>
            </w:r>
            <w:r>
              <w:rPr>
                <w:rFonts w:cs="Arial"/>
                <w:sz w:val="20"/>
              </w:rPr>
              <w:t xml:space="preserve">: </w:t>
            </w:r>
            <w:r w:rsidRPr="00F175F9">
              <w:rPr>
                <w:rFonts w:cs="Arial"/>
                <w:sz w:val="20"/>
              </w:rPr>
              <w:t>Reduces the synthesis of aldosterone which may result in hyperkalaemia</w:t>
            </w:r>
            <w:r>
              <w:rPr>
                <w:rFonts w:cs="Arial"/>
                <w:sz w:val="20"/>
              </w:rPr>
              <w:t>.</w:t>
            </w:r>
          </w:p>
          <w:p w:rsidRPr="00F175F9" w:rsidR="008B08DF" w:rsidP="00FE4186" w:rsidRDefault="008B08DF" w14:paraId="41F5521D" w14:textId="77777777">
            <w:pPr>
              <w:pStyle w:val="BodyText"/>
              <w:rPr>
                <w:rFonts w:cs="Arial"/>
                <w:sz w:val="20"/>
              </w:rPr>
            </w:pPr>
            <w:r w:rsidRPr="00F175F9">
              <w:rPr>
                <w:rFonts w:cs="Arial"/>
                <w:sz w:val="20"/>
              </w:rPr>
              <w:t>Digitalis glycosides</w:t>
            </w:r>
            <w:r>
              <w:rPr>
                <w:rFonts w:cs="Arial"/>
                <w:sz w:val="20"/>
              </w:rPr>
              <w:t>: Po</w:t>
            </w:r>
            <w:r w:rsidRPr="00F175F9">
              <w:rPr>
                <w:rFonts w:cs="Arial"/>
                <w:sz w:val="20"/>
              </w:rPr>
              <w:t>tassium supplements are not recommended for concurrent use in digitalised patients with severe or complete heart block.</w:t>
            </w:r>
            <w:r>
              <w:t xml:space="preserve"> </w:t>
            </w:r>
            <w:r w:rsidRPr="009A4405">
              <w:rPr>
                <w:rFonts w:cs="Arial"/>
                <w:sz w:val="20"/>
              </w:rPr>
              <w:t>In treating hyperkalaemia in digitalised patients, too rapid a lowering of the serum potassium concentration can produce digitalis toxicity.</w:t>
            </w:r>
            <w:r>
              <w:rPr>
                <w:rFonts w:cs="Arial"/>
                <w:noProof/>
                <w:sz w:val="20"/>
              </w:rPr>
              <w:t>(3)</w:t>
            </w:r>
          </w:p>
          <w:p w:rsidRPr="00026F20" w:rsidR="008B08DF" w:rsidP="00FE4186" w:rsidRDefault="008B08DF" w14:paraId="7B5BFBFF" w14:textId="77777777">
            <w:pPr>
              <w:pStyle w:val="BodyText"/>
              <w:rPr>
                <w:rFonts w:cs="Arial"/>
                <w:sz w:val="20"/>
              </w:rPr>
            </w:pPr>
            <w:r w:rsidRPr="00F175F9">
              <w:rPr>
                <w:rFonts w:cs="Arial"/>
                <w:sz w:val="20"/>
              </w:rPr>
              <w:t>Sodium bicarbonate</w:t>
            </w:r>
            <w:r>
              <w:rPr>
                <w:rFonts w:cs="Arial"/>
                <w:sz w:val="20"/>
              </w:rPr>
              <w:t>:  C</w:t>
            </w:r>
            <w:r w:rsidRPr="00F175F9">
              <w:rPr>
                <w:rFonts w:cs="Arial"/>
                <w:sz w:val="20"/>
              </w:rPr>
              <w:t>oncurrent use may decrease serum potassium.</w:t>
            </w:r>
          </w:p>
        </w:tc>
      </w:tr>
      <w:tr w:rsidRPr="00026F20" w:rsidR="008B08DF" w:rsidTr="00FE4186" w14:paraId="1FC63E19" w14:textId="77777777">
        <w:trPr>
          <w:trHeight w:val="332"/>
        </w:trPr>
        <w:tc>
          <w:tcPr>
            <w:tcW w:w="1701" w:type="dxa"/>
          </w:tcPr>
          <w:p w:rsidRPr="00B53E9B" w:rsidR="008B08DF" w:rsidP="00FE4186" w:rsidRDefault="008B08DF" w14:paraId="1EA082DF"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647" w:type="dxa"/>
          </w:tcPr>
          <w:p w:rsidR="008B08DF" w:rsidP="00FE4186" w:rsidRDefault="008B08DF" w14:paraId="0EC97856" w14:textId="77777777">
            <w:pPr>
              <w:pStyle w:val="BodyText"/>
              <w:rPr>
                <w:rFonts w:cs="Arial"/>
                <w:sz w:val="20"/>
              </w:rPr>
            </w:pPr>
            <w:r>
              <w:rPr>
                <w:rFonts w:cs="Arial"/>
                <w:sz w:val="20"/>
              </w:rPr>
              <w:t>Hyperkalaemia: Can develop rapidly and asymptomatically and is potentially fatal.</w:t>
            </w:r>
          </w:p>
          <w:p w:rsidRPr="00F175F9" w:rsidR="008B08DF" w:rsidP="00FE4186" w:rsidRDefault="008B08DF" w14:paraId="621A2E1E" w14:textId="77777777">
            <w:pPr>
              <w:pStyle w:val="BodyText"/>
              <w:rPr>
                <w:rFonts w:cs="Arial"/>
                <w:sz w:val="20"/>
              </w:rPr>
            </w:pPr>
            <w:r w:rsidRPr="00F175F9">
              <w:rPr>
                <w:rFonts w:cs="Arial"/>
                <w:sz w:val="20"/>
              </w:rPr>
              <w:t>Pain or phlebitis may occur</w:t>
            </w:r>
            <w:r>
              <w:rPr>
                <w:rFonts w:cs="Arial"/>
                <w:sz w:val="20"/>
              </w:rPr>
              <w:t>.</w:t>
            </w:r>
          </w:p>
          <w:p w:rsidRPr="00F175F9" w:rsidR="008B08DF" w:rsidP="00FE4186" w:rsidRDefault="008B08DF" w14:paraId="21681B8D" w14:textId="77777777">
            <w:pPr>
              <w:pStyle w:val="BodyText"/>
              <w:rPr>
                <w:rFonts w:cs="Arial"/>
                <w:sz w:val="20"/>
              </w:rPr>
            </w:pPr>
            <w:r w:rsidRPr="00F175F9">
              <w:rPr>
                <w:rFonts w:cs="Arial"/>
                <w:sz w:val="20"/>
              </w:rPr>
              <w:t>Cardiovascular</w:t>
            </w:r>
            <w:r>
              <w:rPr>
                <w:rFonts w:cs="Arial"/>
                <w:sz w:val="20"/>
              </w:rPr>
              <w:t>: Hypotension</w:t>
            </w:r>
            <w:r w:rsidRPr="00F175F9">
              <w:rPr>
                <w:rFonts w:cs="Arial"/>
                <w:sz w:val="20"/>
              </w:rPr>
              <w:t>, cardiac depression, arrhythmias and heart block.</w:t>
            </w:r>
          </w:p>
          <w:p w:rsidRPr="00F175F9" w:rsidR="008B08DF" w:rsidP="00FE4186" w:rsidRDefault="008B08DF" w14:paraId="31F5C438" w14:textId="77777777">
            <w:pPr>
              <w:pStyle w:val="BodyText"/>
              <w:rPr>
                <w:rFonts w:cs="Arial"/>
                <w:sz w:val="20"/>
              </w:rPr>
            </w:pPr>
            <w:r w:rsidRPr="00F175F9">
              <w:rPr>
                <w:rFonts w:cs="Arial"/>
                <w:sz w:val="20"/>
              </w:rPr>
              <w:t>ECG abnormalities</w:t>
            </w:r>
            <w:r>
              <w:rPr>
                <w:rFonts w:cs="Arial"/>
                <w:sz w:val="20"/>
              </w:rPr>
              <w:t>: - D</w:t>
            </w:r>
            <w:r w:rsidRPr="00F175F9">
              <w:rPr>
                <w:rFonts w:cs="Arial"/>
                <w:sz w:val="20"/>
              </w:rPr>
              <w:t>isappearance of P wave, widening and slurring of QRS complex, changes of the ST segment, tall peaked T waves.</w:t>
            </w:r>
          </w:p>
          <w:p w:rsidRPr="00F175F9" w:rsidR="008B08DF" w:rsidP="00FE4186" w:rsidRDefault="008B08DF" w14:paraId="3C756393" w14:textId="77777777">
            <w:pPr>
              <w:pStyle w:val="BodyText"/>
              <w:rPr>
                <w:rFonts w:cs="Arial"/>
                <w:sz w:val="20"/>
              </w:rPr>
            </w:pPr>
            <w:r w:rsidRPr="00F175F9">
              <w:rPr>
                <w:rFonts w:cs="Arial"/>
                <w:sz w:val="20"/>
              </w:rPr>
              <w:t>Gastrointestinal</w:t>
            </w:r>
            <w:r>
              <w:rPr>
                <w:rFonts w:cs="Arial"/>
                <w:sz w:val="20"/>
              </w:rPr>
              <w:t>: V</w:t>
            </w:r>
            <w:r w:rsidRPr="00F175F9">
              <w:rPr>
                <w:rFonts w:cs="Arial"/>
                <w:sz w:val="20"/>
              </w:rPr>
              <w:t>omiting, dia</w:t>
            </w:r>
            <w:r>
              <w:rPr>
                <w:rFonts w:cs="Arial"/>
                <w:sz w:val="20"/>
              </w:rPr>
              <w:t>rrhoea and abdominal discomfort</w:t>
            </w:r>
            <w:r w:rsidRPr="00F175F9">
              <w:rPr>
                <w:rFonts w:cs="Arial"/>
                <w:sz w:val="20"/>
              </w:rPr>
              <w:t>.</w:t>
            </w:r>
          </w:p>
          <w:p w:rsidRPr="00026F20" w:rsidR="008B08DF" w:rsidP="00FE4186" w:rsidRDefault="008B08DF" w14:paraId="7E79BFF6" w14:textId="77777777">
            <w:pPr>
              <w:pStyle w:val="BodyText"/>
              <w:rPr>
                <w:rFonts w:cs="Arial"/>
                <w:sz w:val="20"/>
              </w:rPr>
            </w:pPr>
            <w:r w:rsidRPr="00F175F9">
              <w:rPr>
                <w:rFonts w:cs="Arial"/>
                <w:sz w:val="20"/>
              </w:rPr>
              <w:t>Other</w:t>
            </w:r>
            <w:r>
              <w:rPr>
                <w:rFonts w:cs="Arial"/>
                <w:sz w:val="20"/>
              </w:rPr>
              <w:t>: L</w:t>
            </w:r>
            <w:r w:rsidRPr="00F175F9">
              <w:rPr>
                <w:rFonts w:cs="Arial"/>
                <w:sz w:val="20"/>
              </w:rPr>
              <w:t>istlessness, flaccid paralysis.</w:t>
            </w:r>
          </w:p>
        </w:tc>
      </w:tr>
      <w:tr w:rsidRPr="00EF1AEA" w:rsidR="008B08DF" w:rsidTr="00FE4186" w14:paraId="5FE6211C" w14:textId="77777777">
        <w:trPr>
          <w:trHeight w:val="180"/>
        </w:trPr>
        <w:tc>
          <w:tcPr>
            <w:tcW w:w="1701" w:type="dxa"/>
          </w:tcPr>
          <w:p w:rsidRPr="00B53E9B" w:rsidR="008B08DF" w:rsidP="00FE4186" w:rsidRDefault="008B08DF" w14:paraId="13491722" w14:textId="77777777">
            <w:pPr>
              <w:pStyle w:val="BodyText"/>
              <w:rPr>
                <w:rFonts w:cs="Arial"/>
                <w:b/>
                <w:bCs/>
                <w:sz w:val="20"/>
              </w:rPr>
            </w:pPr>
            <w:r w:rsidRPr="00B53E9B">
              <w:rPr>
                <w:rFonts w:cs="Arial"/>
                <w:b/>
                <w:bCs/>
                <w:sz w:val="20"/>
              </w:rPr>
              <w:t>Compatibility</w:t>
            </w:r>
          </w:p>
        </w:tc>
        <w:tc>
          <w:tcPr>
            <w:tcW w:w="8647" w:type="dxa"/>
          </w:tcPr>
          <w:p w:rsidRPr="00EF1AEA" w:rsidR="008B08DF" w:rsidP="00FE4186" w:rsidRDefault="008B08DF" w14:paraId="760922DA" w14:textId="77777777">
            <w:pPr>
              <w:pStyle w:val="firstsub"/>
              <w:shd w:val="clear" w:color="auto" w:fill="FFFFFF"/>
              <w:spacing w:before="0" w:beforeAutospacing="0" w:after="0" w:afterAutospacing="0"/>
              <w:rPr>
                <w:rFonts w:asciiTheme="minorHAnsi" w:hAnsiTheme="minorHAnsi" w:cstheme="minorHAnsi"/>
                <w:color w:val="333333"/>
                <w:sz w:val="20"/>
                <w:szCs w:val="20"/>
              </w:rPr>
            </w:pPr>
            <w:r w:rsidRPr="00EF1AEA">
              <w:rPr>
                <w:rStyle w:val="Strong"/>
                <w:rFonts w:asciiTheme="minorHAnsi" w:hAnsiTheme="minorHAnsi" w:cstheme="minorHAnsi"/>
                <w:color w:val="333333"/>
                <w:sz w:val="20"/>
                <w:szCs w:val="20"/>
              </w:rPr>
              <w:t>Fluids</w:t>
            </w:r>
            <w:r>
              <w:rPr>
                <w:rStyle w:val="Strong"/>
                <w:rFonts w:asciiTheme="minorHAnsi" w:hAnsiTheme="minorHAnsi" w:cstheme="minorHAnsi"/>
                <w:color w:val="333333"/>
                <w:sz w:val="20"/>
                <w:szCs w:val="20"/>
              </w:rPr>
              <w:t xml:space="preserve">: </w:t>
            </w:r>
            <w:r>
              <w:rPr>
                <w:rFonts w:asciiTheme="minorHAnsi" w:hAnsiTheme="minorHAnsi" w:cstheme="minorHAnsi"/>
                <w:color w:val="333333"/>
                <w:sz w:val="20"/>
                <w:szCs w:val="20"/>
              </w:rPr>
              <w:t>S</w:t>
            </w:r>
            <w:r w:rsidRPr="00EF1AEA">
              <w:rPr>
                <w:rFonts w:asciiTheme="minorHAnsi" w:hAnsiTheme="minorHAnsi" w:cstheme="minorHAnsi"/>
                <w:color w:val="333333"/>
                <w:sz w:val="20"/>
                <w:szCs w:val="20"/>
              </w:rPr>
              <w:t>odium chloride 0.9%</w:t>
            </w:r>
            <w:r>
              <w:rPr>
                <w:rFonts w:asciiTheme="minorHAnsi" w:hAnsiTheme="minorHAnsi" w:cstheme="minorHAnsi"/>
                <w:color w:val="333333"/>
                <w:sz w:val="20"/>
                <w:szCs w:val="20"/>
              </w:rPr>
              <w:t xml:space="preserve">, </w:t>
            </w:r>
            <w:r w:rsidRPr="00EF1AEA">
              <w:rPr>
                <w:rFonts w:asciiTheme="minorHAnsi" w:hAnsiTheme="minorHAnsi" w:cstheme="minorHAnsi"/>
                <w:color w:val="333333"/>
                <w:sz w:val="20"/>
                <w:szCs w:val="20"/>
              </w:rPr>
              <w:t>sodium chloride 0.45%</w:t>
            </w:r>
            <w:r>
              <w:rPr>
                <w:rFonts w:asciiTheme="minorHAnsi" w:hAnsiTheme="minorHAnsi" w:cstheme="minorHAnsi"/>
                <w:color w:val="333333"/>
                <w:sz w:val="20"/>
                <w:szCs w:val="20"/>
              </w:rPr>
              <w:t xml:space="preserve">, </w:t>
            </w:r>
            <w:r w:rsidRPr="00EF1AEA">
              <w:rPr>
                <w:rFonts w:asciiTheme="minorHAnsi" w:hAnsiTheme="minorHAnsi" w:cstheme="minorHAnsi"/>
                <w:color w:val="333333"/>
                <w:sz w:val="20"/>
                <w:szCs w:val="20"/>
              </w:rPr>
              <w:t>Hartmann’s, Ringer’s</w:t>
            </w:r>
            <w:r>
              <w:rPr>
                <w:rFonts w:asciiTheme="minorHAnsi" w:hAnsiTheme="minorHAnsi" w:cstheme="minorHAnsi"/>
                <w:color w:val="333333"/>
                <w:sz w:val="20"/>
                <w:szCs w:val="20"/>
              </w:rPr>
              <w:t>, pre-mixed amino-acid formulations</w:t>
            </w:r>
            <w:r>
              <w:rPr>
                <w:rFonts w:asciiTheme="minorHAnsi" w:hAnsiTheme="minorHAnsi" w:cstheme="minorHAnsi"/>
                <w:noProof/>
                <w:color w:val="333333"/>
                <w:sz w:val="20"/>
                <w:szCs w:val="20"/>
              </w:rPr>
              <w:t>(6)</w:t>
            </w:r>
            <w:r>
              <w:rPr>
                <w:rFonts w:asciiTheme="minorHAnsi" w:hAnsiTheme="minorHAnsi" w:cstheme="minorHAnsi"/>
                <w:color w:val="333333"/>
                <w:sz w:val="20"/>
                <w:szCs w:val="20"/>
              </w:rPr>
              <w:t>.</w:t>
            </w:r>
            <w:r w:rsidRPr="00EF1AEA">
              <w:rPr>
                <w:rFonts w:asciiTheme="minorHAnsi" w:hAnsiTheme="minorHAnsi" w:cstheme="minorHAnsi"/>
                <w:color w:val="333333"/>
                <w:sz w:val="20"/>
                <w:szCs w:val="20"/>
              </w:rPr>
              <w:t xml:space="preserve"> </w:t>
            </w:r>
            <w:r>
              <w:rPr>
                <w:rFonts w:asciiTheme="minorHAnsi" w:hAnsiTheme="minorHAnsi" w:cstheme="minorHAnsi"/>
                <w:color w:val="333333"/>
                <w:sz w:val="20"/>
                <w:szCs w:val="20"/>
              </w:rPr>
              <w:t>Glucose containing solutions, but NOT PREFFERED as glucose may further decrease serum potassium level.</w:t>
            </w:r>
          </w:p>
          <w:p w:rsidR="008B08DF" w:rsidP="00FE4186" w:rsidRDefault="008B08DF" w14:paraId="578B0B8A" w14:textId="77777777">
            <w:pPr>
              <w:pStyle w:val="firstsub"/>
              <w:shd w:val="clear" w:color="auto" w:fill="FFFFFF"/>
              <w:spacing w:before="0" w:beforeAutospacing="0" w:after="0" w:afterAutospacing="0"/>
              <w:rPr>
                <w:rStyle w:val="Strong"/>
                <w:rFonts w:asciiTheme="minorHAnsi" w:hAnsiTheme="minorHAnsi" w:cstheme="minorHAnsi"/>
                <w:color w:val="333333"/>
                <w:sz w:val="20"/>
                <w:szCs w:val="20"/>
              </w:rPr>
            </w:pPr>
          </w:p>
          <w:p w:rsidR="008B08DF" w:rsidP="00FE4186" w:rsidRDefault="008B08DF" w14:paraId="0C46A133" w14:textId="77777777">
            <w:pPr>
              <w:pStyle w:val="firstsub"/>
              <w:shd w:val="clear" w:color="auto" w:fill="FFFFFF"/>
              <w:spacing w:before="0" w:beforeAutospacing="0" w:after="0" w:afterAutospacing="0"/>
              <w:rPr>
                <w:rFonts w:asciiTheme="minorHAnsi" w:hAnsiTheme="minorHAnsi" w:cstheme="minorHAnsi"/>
                <w:color w:val="333333"/>
                <w:sz w:val="20"/>
                <w:szCs w:val="20"/>
              </w:rPr>
            </w:pPr>
            <w:r>
              <w:rPr>
                <w:rStyle w:val="Strong"/>
                <w:rFonts w:asciiTheme="minorHAnsi" w:hAnsiTheme="minorHAnsi" w:cstheme="minorHAnsi"/>
                <w:color w:val="333333"/>
                <w:sz w:val="20"/>
                <w:szCs w:val="20"/>
              </w:rPr>
              <w:t>Y-site</w:t>
            </w:r>
            <w:r w:rsidRPr="00EF1AEA">
              <w:rPr>
                <w:rStyle w:val="Strong"/>
                <w:rFonts w:asciiTheme="minorHAnsi" w:hAnsiTheme="minorHAnsi" w:cstheme="minorHAnsi"/>
                <w:color w:val="333333"/>
                <w:sz w:val="20"/>
                <w:szCs w:val="20"/>
              </w:rPr>
              <w:t>:</w:t>
            </w:r>
            <w:r>
              <w:rPr>
                <w:rStyle w:val="Strong"/>
                <w:rFonts w:asciiTheme="minorHAnsi" w:hAnsiTheme="minorHAnsi" w:cstheme="minorHAnsi"/>
                <w:color w:val="333333"/>
                <w:sz w:val="20"/>
                <w:szCs w:val="20"/>
              </w:rPr>
              <w:t xml:space="preserve"> </w:t>
            </w:r>
            <w:r w:rsidRPr="00EF1AEA">
              <w:rPr>
                <w:rFonts w:asciiTheme="minorHAnsi" w:hAnsiTheme="minorHAnsi" w:cstheme="minorHAnsi"/>
                <w:color w:val="333333"/>
                <w:sz w:val="20"/>
                <w:szCs w:val="20"/>
              </w:rPr>
              <w:t xml:space="preserve">Do not add other drugs to pre-mixed potassium chloride bags. </w:t>
            </w:r>
          </w:p>
          <w:p w:rsidRPr="00EF1AEA" w:rsidR="008B08DF" w:rsidP="00FE4186" w:rsidRDefault="008B08DF" w14:paraId="0CA2E2DE" w14:textId="77777777">
            <w:pPr>
              <w:pStyle w:val="firstsub"/>
              <w:shd w:val="clear" w:color="auto" w:fill="FFFFFF"/>
              <w:spacing w:before="0" w:beforeAutospacing="0" w:after="0" w:afterAutospacing="0"/>
              <w:rPr>
                <w:rFonts w:asciiTheme="minorHAnsi" w:hAnsiTheme="minorHAnsi" w:cstheme="minorHAnsi"/>
                <w:sz w:val="20"/>
                <w:szCs w:val="20"/>
              </w:rPr>
            </w:pPr>
            <w:r w:rsidRPr="00EF1AEA">
              <w:rPr>
                <w:rFonts w:asciiTheme="minorHAnsi" w:hAnsiTheme="minorHAnsi" w:cstheme="minorHAnsi"/>
                <w:color w:val="333333"/>
                <w:sz w:val="20"/>
                <w:szCs w:val="20"/>
              </w:rPr>
              <w:t xml:space="preserve">Aciclovir, aminophylline, amiodarone, ampicillin, atracurium, atropine, azathioprine, aztreonam, calcium gluconate, caspofungin, cefazolin, cefotaxime, cefoxitin, ceftazidime, ceftriaxone, clindamycin, </w:t>
            </w:r>
            <w:r w:rsidRPr="00EF1AEA">
              <w:rPr>
                <w:rFonts w:asciiTheme="minorHAnsi" w:hAnsiTheme="minorHAnsi" w:cstheme="minorHAnsi"/>
                <w:color w:val="333333"/>
                <w:sz w:val="20"/>
                <w:szCs w:val="20"/>
              </w:rPr>
              <w:lastRenderedPageBreak/>
              <w:t>dexamethasone, dexmedetomidine, digoxin, dopamine, ephedrine sulfate, fentanyl, fluconazole, furosemide, ganciclovir, gentamicin, glyceryl trinitrate, heparin, hydrocortisone, insulin, labetalol, lidocaine, linezolid, magnesium sulfate, metoclopramide, midazolam, milrinone, morphine, neostigmine, noradrenaline, paracetamol, piperacillin-tazobactam, ranitidine, remifentanil, sodium bicarbonate, tobramycin, vancomycin, verapamil, zidovudine.</w:t>
            </w:r>
            <w:r>
              <w:rPr>
                <w:rFonts w:asciiTheme="minorHAnsi" w:hAnsiTheme="minorHAnsi" w:cstheme="minorHAnsi"/>
                <w:noProof/>
                <w:color w:val="333333"/>
                <w:sz w:val="20"/>
                <w:szCs w:val="20"/>
              </w:rPr>
              <w:t>(6)</w:t>
            </w:r>
          </w:p>
        </w:tc>
      </w:tr>
      <w:tr w:rsidRPr="00EF1AEA" w:rsidR="008B08DF" w:rsidTr="00FE4186" w14:paraId="7E1C3C9E" w14:textId="77777777">
        <w:trPr>
          <w:trHeight w:val="230"/>
        </w:trPr>
        <w:tc>
          <w:tcPr>
            <w:tcW w:w="1701" w:type="dxa"/>
          </w:tcPr>
          <w:p w:rsidRPr="00B53E9B" w:rsidR="008B08DF" w:rsidP="00FE4186" w:rsidRDefault="008B08DF" w14:paraId="1A910D6F" w14:textId="77777777">
            <w:pPr>
              <w:pStyle w:val="BodyText"/>
              <w:rPr>
                <w:rFonts w:cs="Arial"/>
                <w:b/>
                <w:bCs/>
                <w:sz w:val="20"/>
              </w:rPr>
            </w:pPr>
            <w:r w:rsidRPr="00B53E9B">
              <w:rPr>
                <w:rFonts w:cs="Arial"/>
                <w:b/>
                <w:bCs/>
                <w:sz w:val="20"/>
              </w:rPr>
              <w:lastRenderedPageBreak/>
              <w:t>Incompatibility</w:t>
            </w:r>
          </w:p>
        </w:tc>
        <w:tc>
          <w:tcPr>
            <w:tcW w:w="8647" w:type="dxa"/>
          </w:tcPr>
          <w:p w:rsidRPr="00EF1AEA" w:rsidR="008B08DF" w:rsidP="00FE4186" w:rsidRDefault="008B08DF" w14:paraId="49BD2222" w14:textId="77777777">
            <w:pPr>
              <w:pStyle w:val="firstsub"/>
              <w:shd w:val="clear" w:color="auto" w:fill="FFFFFF"/>
              <w:spacing w:before="0" w:beforeAutospacing="0" w:after="0" w:afterAutospacing="0"/>
              <w:rPr>
                <w:rFonts w:asciiTheme="minorHAnsi" w:hAnsiTheme="minorHAnsi" w:cstheme="minorHAnsi"/>
                <w:color w:val="333333"/>
                <w:sz w:val="20"/>
                <w:szCs w:val="20"/>
              </w:rPr>
            </w:pPr>
            <w:r>
              <w:rPr>
                <w:rStyle w:val="Strong"/>
                <w:rFonts w:asciiTheme="minorHAnsi" w:hAnsiTheme="minorHAnsi" w:cstheme="minorHAnsi"/>
                <w:color w:val="333333"/>
                <w:sz w:val="20"/>
                <w:szCs w:val="20"/>
              </w:rPr>
              <w:t>Fluids</w:t>
            </w:r>
            <w:r w:rsidRPr="00EF1AEA">
              <w:rPr>
                <w:rStyle w:val="Strong"/>
                <w:rFonts w:asciiTheme="minorHAnsi" w:hAnsiTheme="minorHAnsi" w:cstheme="minorHAnsi"/>
                <w:color w:val="333333"/>
                <w:sz w:val="20"/>
                <w:szCs w:val="20"/>
              </w:rPr>
              <w:t>:</w:t>
            </w:r>
            <w:r>
              <w:rPr>
                <w:rStyle w:val="Strong"/>
                <w:rFonts w:asciiTheme="minorHAnsi" w:hAnsiTheme="minorHAnsi" w:cstheme="minorHAnsi"/>
                <w:color w:val="333333"/>
                <w:sz w:val="20"/>
                <w:szCs w:val="20"/>
              </w:rPr>
              <w:t xml:space="preserve"> </w:t>
            </w:r>
            <w:r w:rsidRPr="00EF1AEA">
              <w:rPr>
                <w:rFonts w:asciiTheme="minorHAnsi" w:hAnsiTheme="minorHAnsi" w:cstheme="minorHAnsi"/>
                <w:color w:val="333333"/>
                <w:sz w:val="20"/>
                <w:szCs w:val="20"/>
              </w:rPr>
              <w:t>Fat emulsion.</w:t>
            </w:r>
          </w:p>
          <w:p w:rsidRPr="00EF1AEA" w:rsidR="008B08DF" w:rsidP="00FE4186" w:rsidRDefault="008B08DF" w14:paraId="77D33EC6" w14:textId="77777777">
            <w:pPr>
              <w:pStyle w:val="firstsub"/>
              <w:shd w:val="clear" w:color="auto" w:fill="FFFFFF"/>
              <w:spacing w:before="0" w:beforeAutospacing="0" w:after="0" w:afterAutospacing="0"/>
              <w:rPr>
                <w:rFonts w:asciiTheme="minorHAnsi" w:hAnsiTheme="minorHAnsi" w:cstheme="minorHAnsi"/>
                <w:sz w:val="20"/>
                <w:szCs w:val="20"/>
              </w:rPr>
            </w:pPr>
            <w:r>
              <w:rPr>
                <w:rStyle w:val="Strong"/>
                <w:rFonts w:asciiTheme="minorHAnsi" w:hAnsiTheme="minorHAnsi" w:cstheme="minorHAnsi"/>
                <w:color w:val="333333"/>
                <w:sz w:val="20"/>
                <w:szCs w:val="20"/>
              </w:rPr>
              <w:t>Y site</w:t>
            </w:r>
            <w:r w:rsidRPr="00EF1AEA">
              <w:rPr>
                <w:rStyle w:val="Strong"/>
                <w:rFonts w:asciiTheme="minorHAnsi" w:hAnsiTheme="minorHAnsi" w:cstheme="minorHAnsi"/>
                <w:color w:val="333333"/>
                <w:sz w:val="20"/>
                <w:szCs w:val="20"/>
              </w:rPr>
              <w:t>:</w:t>
            </w:r>
            <w:r>
              <w:rPr>
                <w:rStyle w:val="Strong"/>
                <w:rFonts w:asciiTheme="minorHAnsi" w:hAnsiTheme="minorHAnsi" w:cstheme="minorHAnsi"/>
                <w:color w:val="333333"/>
                <w:sz w:val="20"/>
                <w:szCs w:val="20"/>
              </w:rPr>
              <w:t xml:space="preserve"> </w:t>
            </w:r>
            <w:r w:rsidRPr="00EF1AEA">
              <w:rPr>
                <w:rFonts w:asciiTheme="minorHAnsi" w:hAnsiTheme="minorHAnsi" w:cstheme="minorHAnsi"/>
                <w:color w:val="333333"/>
                <w:sz w:val="20"/>
                <w:szCs w:val="20"/>
              </w:rPr>
              <w:t>Amoxicillin, azithromycin, cefalotin, methylprednisolone, sodium nitroprusside, suxamethonium, thiopental.</w:t>
            </w:r>
          </w:p>
        </w:tc>
      </w:tr>
      <w:tr w:rsidRPr="00EF1AEA" w:rsidR="008B08DF" w:rsidTr="00FE4186" w14:paraId="044D6C36" w14:textId="77777777">
        <w:trPr>
          <w:trHeight w:val="79"/>
        </w:trPr>
        <w:tc>
          <w:tcPr>
            <w:tcW w:w="1701" w:type="dxa"/>
          </w:tcPr>
          <w:p w:rsidRPr="00B53E9B" w:rsidR="008B08DF" w:rsidP="00FE4186" w:rsidRDefault="008B08DF" w14:paraId="1C4E81FF" w14:textId="77777777">
            <w:pPr>
              <w:pStyle w:val="BodyText"/>
              <w:rPr>
                <w:rFonts w:cs="Arial"/>
                <w:b/>
                <w:bCs/>
                <w:sz w:val="20"/>
              </w:rPr>
            </w:pPr>
            <w:r w:rsidRPr="00B53E9B">
              <w:rPr>
                <w:rFonts w:cs="Arial"/>
                <w:b/>
                <w:bCs/>
                <w:sz w:val="20"/>
              </w:rPr>
              <w:t xml:space="preserve">Stability   </w:t>
            </w:r>
          </w:p>
        </w:tc>
        <w:tc>
          <w:tcPr>
            <w:tcW w:w="8647" w:type="dxa"/>
          </w:tcPr>
          <w:p w:rsidRPr="00EF1AEA" w:rsidR="008B08DF" w:rsidP="00FE4186" w:rsidRDefault="008B08DF" w14:paraId="0ADDCC36" w14:textId="77777777">
            <w:pPr>
              <w:pStyle w:val="BodyText"/>
              <w:rPr>
                <w:rFonts w:asciiTheme="minorHAnsi" w:hAnsiTheme="minorHAnsi" w:cstheme="minorHAnsi"/>
                <w:sz w:val="20"/>
              </w:rPr>
            </w:pPr>
            <w:r w:rsidRPr="00EF1AEA">
              <w:rPr>
                <w:rFonts w:asciiTheme="minorHAnsi" w:hAnsiTheme="minorHAnsi" w:cstheme="minorHAnsi"/>
                <w:sz w:val="20"/>
              </w:rPr>
              <w:t xml:space="preserve">Ampoule: </w:t>
            </w:r>
            <w:r>
              <w:rPr>
                <w:rFonts w:asciiTheme="minorHAnsi" w:hAnsiTheme="minorHAnsi" w:cstheme="minorHAnsi"/>
                <w:sz w:val="20"/>
              </w:rPr>
              <w:t>S</w:t>
            </w:r>
            <w:r w:rsidRPr="00EF1AEA">
              <w:rPr>
                <w:rFonts w:asciiTheme="minorHAnsi" w:hAnsiTheme="minorHAnsi" w:cstheme="minorHAnsi"/>
                <w:sz w:val="20"/>
              </w:rPr>
              <w:t>tore below 25°C.</w:t>
            </w:r>
            <w:r>
              <w:rPr>
                <w:rFonts w:asciiTheme="minorHAnsi" w:hAnsiTheme="minorHAnsi" w:cstheme="minorHAnsi"/>
                <w:noProof/>
                <w:sz w:val="20"/>
              </w:rPr>
              <w:t>(6)</w:t>
            </w:r>
          </w:p>
          <w:p w:rsidRPr="00EF1AEA" w:rsidR="008B08DF" w:rsidP="00FE4186" w:rsidRDefault="008B08DF" w14:paraId="79EFEC69" w14:textId="77777777">
            <w:pPr>
              <w:pStyle w:val="BodyText"/>
              <w:rPr>
                <w:rFonts w:asciiTheme="minorHAnsi" w:hAnsiTheme="minorHAnsi" w:cstheme="minorHAnsi"/>
                <w:sz w:val="20"/>
              </w:rPr>
            </w:pPr>
            <w:r w:rsidRPr="00EF1AEA">
              <w:rPr>
                <w:rFonts w:asciiTheme="minorHAnsi" w:hAnsiTheme="minorHAnsi" w:cstheme="minorHAnsi"/>
                <w:sz w:val="20"/>
              </w:rPr>
              <w:t xml:space="preserve">Infusion solution: </w:t>
            </w:r>
            <w:r>
              <w:rPr>
                <w:rFonts w:asciiTheme="minorHAnsi" w:hAnsiTheme="minorHAnsi" w:cstheme="minorHAnsi"/>
                <w:sz w:val="20"/>
              </w:rPr>
              <w:t>S</w:t>
            </w:r>
            <w:r w:rsidRPr="00EF1AEA">
              <w:rPr>
                <w:rFonts w:asciiTheme="minorHAnsi" w:hAnsiTheme="minorHAnsi" w:cstheme="minorHAnsi"/>
                <w:sz w:val="20"/>
              </w:rPr>
              <w:t>table for 24 hours at 2 to 8°C.</w:t>
            </w:r>
            <w:r>
              <w:rPr>
                <w:rFonts w:asciiTheme="minorHAnsi" w:hAnsiTheme="minorHAnsi" w:cstheme="minorHAnsi"/>
                <w:noProof/>
                <w:sz w:val="20"/>
              </w:rPr>
              <w:t>(6)</w:t>
            </w:r>
          </w:p>
        </w:tc>
      </w:tr>
      <w:tr w:rsidRPr="00026F20" w:rsidR="008B08DF" w:rsidTr="00FE4186" w14:paraId="270CC662" w14:textId="77777777">
        <w:trPr>
          <w:trHeight w:val="70"/>
        </w:trPr>
        <w:tc>
          <w:tcPr>
            <w:tcW w:w="1701" w:type="dxa"/>
          </w:tcPr>
          <w:p w:rsidRPr="00B53E9B" w:rsidR="008B08DF" w:rsidP="00FE4186" w:rsidRDefault="008B08DF" w14:paraId="293D1508" w14:textId="77777777">
            <w:pPr>
              <w:pStyle w:val="BodyText"/>
              <w:rPr>
                <w:rFonts w:cs="Arial"/>
                <w:b/>
                <w:bCs/>
                <w:sz w:val="20"/>
              </w:rPr>
            </w:pPr>
            <w:r w:rsidRPr="00B53E9B">
              <w:rPr>
                <w:rFonts w:cs="Arial"/>
                <w:b/>
                <w:bCs/>
                <w:sz w:val="20"/>
              </w:rPr>
              <w:t xml:space="preserve">Storage             </w:t>
            </w:r>
          </w:p>
        </w:tc>
        <w:tc>
          <w:tcPr>
            <w:tcW w:w="8647" w:type="dxa"/>
          </w:tcPr>
          <w:p w:rsidRPr="00026F20" w:rsidR="008B08DF" w:rsidP="00FE4186" w:rsidRDefault="008B08DF" w14:paraId="275C9D56" w14:textId="77777777">
            <w:pPr>
              <w:pStyle w:val="BodyText"/>
              <w:rPr>
                <w:rFonts w:cs="Arial"/>
                <w:sz w:val="20"/>
              </w:rPr>
            </w:pPr>
            <w:r w:rsidRPr="009A4405">
              <w:rPr>
                <w:rFonts w:cs="Arial"/>
                <w:sz w:val="20"/>
              </w:rPr>
              <w:t>Store</w:t>
            </w:r>
            <w:r>
              <w:rPr>
                <w:rFonts w:cs="Arial"/>
                <w:sz w:val="20"/>
              </w:rPr>
              <w:t xml:space="preserve"> vials</w:t>
            </w:r>
            <w:r w:rsidRPr="009A4405">
              <w:rPr>
                <w:rFonts w:cs="Arial"/>
                <w:sz w:val="20"/>
              </w:rPr>
              <w:t xml:space="preserve"> below 25°C.</w:t>
            </w:r>
            <w:r>
              <w:rPr>
                <w:rFonts w:cs="Arial"/>
                <w:sz w:val="20"/>
              </w:rPr>
              <w:t xml:space="preserve"> For single use</w:t>
            </w:r>
            <w:r w:rsidRPr="009A4405">
              <w:rPr>
                <w:rFonts w:cs="Arial"/>
                <w:sz w:val="20"/>
              </w:rPr>
              <w:t xml:space="preserve"> only and discard any remaining portion.</w:t>
            </w:r>
          </w:p>
        </w:tc>
      </w:tr>
      <w:tr w:rsidRPr="00026F20" w:rsidR="008B08DF" w:rsidTr="00FE4186" w14:paraId="60ADC2D2" w14:textId="77777777">
        <w:trPr>
          <w:trHeight w:val="70"/>
        </w:trPr>
        <w:tc>
          <w:tcPr>
            <w:tcW w:w="1701" w:type="dxa"/>
          </w:tcPr>
          <w:p w:rsidRPr="00B53E9B" w:rsidR="008B08DF" w:rsidP="00FE4186" w:rsidRDefault="008B08DF" w14:paraId="302364C9" w14:textId="77777777">
            <w:pPr>
              <w:pStyle w:val="BodyText"/>
              <w:rPr>
                <w:rFonts w:cs="Arial"/>
                <w:b/>
                <w:bCs/>
                <w:sz w:val="20"/>
              </w:rPr>
            </w:pPr>
            <w:r w:rsidRPr="00B53E9B">
              <w:rPr>
                <w:rFonts w:cs="Arial"/>
                <w:b/>
                <w:bCs/>
                <w:sz w:val="20"/>
              </w:rPr>
              <w:t>Excipients</w:t>
            </w:r>
          </w:p>
        </w:tc>
        <w:tc>
          <w:tcPr>
            <w:tcW w:w="8647" w:type="dxa"/>
          </w:tcPr>
          <w:p w:rsidRPr="00026F20" w:rsidR="008B08DF" w:rsidP="00FE4186" w:rsidRDefault="008B08DF" w14:paraId="58DE3BEC" w14:textId="77777777">
            <w:pPr>
              <w:pStyle w:val="BodyText"/>
              <w:rPr>
                <w:rFonts w:cs="Arial"/>
                <w:sz w:val="20"/>
              </w:rPr>
            </w:pPr>
            <w:r w:rsidRPr="009A4405">
              <w:rPr>
                <w:rFonts w:cs="Arial"/>
                <w:sz w:val="20"/>
              </w:rPr>
              <w:t>Water for Injection</w:t>
            </w:r>
            <w:r>
              <w:rPr>
                <w:rFonts w:cs="Arial"/>
                <w:sz w:val="20"/>
              </w:rPr>
              <w:t>.</w:t>
            </w:r>
          </w:p>
        </w:tc>
      </w:tr>
      <w:tr w:rsidRPr="00026F20" w:rsidR="008B08DF" w:rsidTr="00FE4186" w14:paraId="6E3F70E9" w14:textId="77777777">
        <w:trPr>
          <w:trHeight w:val="270"/>
        </w:trPr>
        <w:tc>
          <w:tcPr>
            <w:tcW w:w="1701" w:type="dxa"/>
          </w:tcPr>
          <w:p w:rsidRPr="00B53E9B" w:rsidR="008B08DF" w:rsidP="00FE4186" w:rsidRDefault="008B08DF" w14:paraId="0517D652"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647" w:type="dxa"/>
          </w:tcPr>
          <w:p w:rsidRPr="00026F20" w:rsidR="008B08DF" w:rsidP="00FE4186" w:rsidRDefault="008B08DF" w14:paraId="7E85CE11" w14:textId="77777777">
            <w:pPr>
              <w:pStyle w:val="BodyText"/>
              <w:rPr>
                <w:rFonts w:cs="Arial"/>
                <w:sz w:val="20"/>
              </w:rPr>
            </w:pPr>
            <w:r w:rsidRPr="002E4DF6">
              <w:rPr>
                <w:rFonts w:cs="Arial"/>
                <w:sz w:val="20"/>
              </w:rPr>
              <w:t>Patients with hypokal</w:t>
            </w:r>
            <w:r>
              <w:rPr>
                <w:rFonts w:cs="Arial"/>
                <w:sz w:val="20"/>
              </w:rPr>
              <w:t>a</w:t>
            </w:r>
            <w:r w:rsidRPr="002E4DF6">
              <w:rPr>
                <w:rFonts w:cs="Arial"/>
                <w:sz w:val="20"/>
              </w:rPr>
              <w:t>emia may also have hypomagnesemia</w:t>
            </w:r>
            <w:r>
              <w:rPr>
                <w:rFonts w:cs="Arial"/>
                <w:sz w:val="20"/>
              </w:rPr>
              <w:t xml:space="preserve"> </w:t>
            </w:r>
            <w:r w:rsidRPr="002E4DF6">
              <w:rPr>
                <w:rFonts w:cs="Arial"/>
                <w:sz w:val="20"/>
              </w:rPr>
              <w:t>as a result of concurrent loss of magnesium</w:t>
            </w:r>
            <w:r>
              <w:rPr>
                <w:rFonts w:cs="Arial"/>
                <w:sz w:val="20"/>
              </w:rPr>
              <w:t xml:space="preserve"> </w:t>
            </w:r>
            <w:r w:rsidRPr="002E4DF6">
              <w:rPr>
                <w:rFonts w:cs="Arial"/>
                <w:sz w:val="20"/>
              </w:rPr>
              <w:t>with diarrh</w:t>
            </w:r>
            <w:r>
              <w:rPr>
                <w:rFonts w:cs="Arial"/>
                <w:sz w:val="20"/>
              </w:rPr>
              <w:t>o</w:t>
            </w:r>
            <w:r w:rsidRPr="002E4DF6">
              <w:rPr>
                <w:rFonts w:cs="Arial"/>
                <w:sz w:val="20"/>
              </w:rPr>
              <w:t>ea</w:t>
            </w:r>
            <w:r>
              <w:rPr>
                <w:rFonts w:cs="Arial"/>
                <w:sz w:val="20"/>
              </w:rPr>
              <w:t xml:space="preserve">, </w:t>
            </w:r>
            <w:r w:rsidRPr="002E4DF6">
              <w:rPr>
                <w:rFonts w:cs="Arial"/>
                <w:sz w:val="20"/>
              </w:rPr>
              <w:t>diuretic therapy or medications such</w:t>
            </w:r>
            <w:r>
              <w:rPr>
                <w:rFonts w:cs="Arial"/>
                <w:sz w:val="20"/>
              </w:rPr>
              <w:t xml:space="preserve"> </w:t>
            </w:r>
            <w:r w:rsidRPr="002E4DF6">
              <w:rPr>
                <w:rFonts w:cs="Arial"/>
                <w:sz w:val="20"/>
              </w:rPr>
              <w:t>as amphotericin B</w:t>
            </w:r>
            <w:r>
              <w:rPr>
                <w:rFonts w:cs="Arial"/>
                <w:sz w:val="20"/>
              </w:rPr>
              <w:t>.</w:t>
            </w:r>
            <w:r>
              <w:t xml:space="preserve"> I</w:t>
            </w:r>
            <w:r w:rsidRPr="002E4DF6">
              <w:rPr>
                <w:rFonts w:cs="Arial"/>
                <w:sz w:val="20"/>
              </w:rPr>
              <w:t>f hypomagnesemia is present,</w:t>
            </w:r>
            <w:r>
              <w:rPr>
                <w:rFonts w:cs="Arial"/>
                <w:sz w:val="20"/>
              </w:rPr>
              <w:t xml:space="preserve"> </w:t>
            </w:r>
            <w:r w:rsidRPr="002E4DF6">
              <w:rPr>
                <w:rFonts w:cs="Arial"/>
                <w:sz w:val="20"/>
              </w:rPr>
              <w:t>it should be treated prior to the administration of potassium.</w:t>
            </w:r>
            <w:r>
              <w:rPr>
                <w:rFonts w:cs="Arial"/>
                <w:noProof/>
                <w:sz w:val="20"/>
              </w:rPr>
              <w:t>(7)</w:t>
            </w:r>
          </w:p>
        </w:tc>
      </w:tr>
      <w:tr w:rsidRPr="00026F20" w:rsidR="008B08DF" w:rsidTr="00FE4186" w14:paraId="51637CFD" w14:textId="77777777">
        <w:trPr>
          <w:trHeight w:val="280"/>
        </w:trPr>
        <w:tc>
          <w:tcPr>
            <w:tcW w:w="1701" w:type="dxa"/>
          </w:tcPr>
          <w:p w:rsidRPr="00B53E9B" w:rsidR="008B08DF" w:rsidP="00FE4186" w:rsidRDefault="008B08DF" w14:paraId="12DB9BE6" w14:textId="77777777">
            <w:pPr>
              <w:pStyle w:val="BodyText"/>
              <w:rPr>
                <w:rFonts w:cs="Arial"/>
                <w:b/>
                <w:bCs/>
                <w:sz w:val="20"/>
              </w:rPr>
            </w:pPr>
            <w:r w:rsidRPr="00B53E9B">
              <w:rPr>
                <w:rFonts w:cs="Arial"/>
                <w:b/>
                <w:bCs/>
                <w:sz w:val="20"/>
              </w:rPr>
              <w:t xml:space="preserve">Evidence </w:t>
            </w:r>
          </w:p>
        </w:tc>
        <w:tc>
          <w:tcPr>
            <w:tcW w:w="8647" w:type="dxa"/>
          </w:tcPr>
          <w:p w:rsidRPr="009872A9" w:rsidR="008B08DF" w:rsidP="00FE4186" w:rsidRDefault="008B08DF" w14:paraId="0DF886C6" w14:textId="77777777">
            <w:pPr>
              <w:pStyle w:val="BodyText"/>
              <w:tabs>
                <w:tab w:val="left" w:pos="1168"/>
              </w:tabs>
              <w:rPr>
                <w:rFonts w:cs="Arial"/>
                <w:b/>
                <w:sz w:val="20"/>
              </w:rPr>
            </w:pPr>
            <w:r w:rsidRPr="009872A9">
              <w:rPr>
                <w:rFonts w:cs="Arial"/>
                <w:b/>
                <w:sz w:val="20"/>
              </w:rPr>
              <w:t>Efficacy</w:t>
            </w:r>
          </w:p>
          <w:p w:rsidR="008B08DF" w:rsidP="00FE4186" w:rsidRDefault="008B08DF" w14:paraId="12570099" w14:textId="77777777">
            <w:pPr>
              <w:pStyle w:val="BodyText"/>
              <w:tabs>
                <w:tab w:val="left" w:pos="1168"/>
              </w:tabs>
              <w:rPr>
                <w:rFonts w:cs="Arial"/>
                <w:sz w:val="20"/>
              </w:rPr>
            </w:pPr>
            <w:r>
              <w:rPr>
                <w:rFonts w:cs="Arial"/>
                <w:sz w:val="20"/>
              </w:rPr>
              <w:t xml:space="preserve">There are no reported trials on the efficacy and safety of potassium therapy in hypokalaemia in neonates. </w:t>
            </w:r>
            <w:r w:rsidRPr="007F05B8">
              <w:rPr>
                <w:rFonts w:cs="Arial"/>
                <w:b/>
                <w:sz w:val="20"/>
              </w:rPr>
              <w:t>Parenteral potassium:</w:t>
            </w:r>
            <w:r>
              <w:rPr>
                <w:rFonts w:cs="Arial"/>
                <w:sz w:val="20"/>
              </w:rPr>
              <w:t xml:space="preserve"> Dose of 0.3 to 0.5 mmol/kg/dose (up to a maximum of 1 mmol/kg/dose) has been suggested to treat severe hypokalaemia.</w:t>
            </w:r>
            <w:r>
              <w:rPr>
                <w:rFonts w:cs="Arial"/>
                <w:noProof/>
                <w:sz w:val="20"/>
              </w:rPr>
              <w:t>(2)</w:t>
            </w:r>
          </w:p>
          <w:p w:rsidRPr="00A57246" w:rsidR="008B08DF" w:rsidP="00FE4186" w:rsidRDefault="008B08DF" w14:paraId="2EBE9692" w14:textId="77777777">
            <w:pPr>
              <w:pStyle w:val="BodyText"/>
              <w:tabs>
                <w:tab w:val="left" w:pos="1168"/>
              </w:tabs>
              <w:rPr>
                <w:rFonts w:cs="Arial"/>
                <w:sz w:val="20"/>
              </w:rPr>
            </w:pPr>
            <w:r w:rsidRPr="007F05B8">
              <w:rPr>
                <w:rFonts w:cs="Arial"/>
                <w:b/>
                <w:sz w:val="20"/>
              </w:rPr>
              <w:t>Enteral potassium:</w:t>
            </w:r>
            <w:r>
              <w:rPr>
                <w:rFonts w:cs="Arial"/>
                <w:sz w:val="20"/>
              </w:rPr>
              <w:t xml:space="preserve"> </w:t>
            </w:r>
            <w:r w:rsidRPr="005103F3">
              <w:rPr>
                <w:rFonts w:cs="Arial"/>
                <w:sz w:val="20"/>
              </w:rPr>
              <w:t xml:space="preserve">Limited evidence in infants and children suggests enteral potassium replacement may be an equally efficacious alternative first-line therapy in treating hypokalaemia. </w:t>
            </w:r>
            <w:r w:rsidRPr="005103F3">
              <w:rPr>
                <w:rFonts w:cs="Arial"/>
                <w:noProof/>
                <w:sz w:val="20"/>
              </w:rPr>
              <w:t>(8)</w:t>
            </w:r>
            <w:r w:rsidRPr="005103F3">
              <w:rPr>
                <w:rFonts w:cs="Arial"/>
                <w:sz w:val="20"/>
              </w:rPr>
              <w:t xml:space="preserve"> (LOE II GOR C)</w:t>
            </w:r>
            <w:r>
              <w:rPr>
                <w:rFonts w:cs="Arial"/>
                <w:sz w:val="20"/>
              </w:rPr>
              <w:t xml:space="preserve"> Merchant et. al. </w:t>
            </w:r>
            <w:r>
              <w:rPr>
                <w:rFonts w:cs="Arial"/>
                <w:noProof/>
                <w:sz w:val="20"/>
              </w:rPr>
              <w:t>(8)</w:t>
            </w:r>
            <w:r>
              <w:rPr>
                <w:rFonts w:cs="Arial"/>
                <w:sz w:val="20"/>
              </w:rPr>
              <w:t xml:space="preserve"> performed an open-label randomised trial to study the serum potassium  changes with enteral versus IV potassium in hypokalaemic infants and children (aged 1 month to 15 years), </w:t>
            </w:r>
            <w:r w:rsidRPr="002E78C7">
              <w:rPr>
                <w:rFonts w:cs="Arial"/>
                <w:sz w:val="20"/>
              </w:rPr>
              <w:t>undergoing surgical repair/palliation of a congenital</w:t>
            </w:r>
            <w:r>
              <w:rPr>
                <w:rFonts w:cs="Arial"/>
                <w:sz w:val="20"/>
              </w:rPr>
              <w:t xml:space="preserve"> </w:t>
            </w:r>
            <w:r w:rsidRPr="002E78C7">
              <w:rPr>
                <w:rFonts w:cs="Arial"/>
                <w:sz w:val="20"/>
              </w:rPr>
              <w:t>heart lesion</w:t>
            </w:r>
            <w:r>
              <w:rPr>
                <w:rFonts w:cs="Arial"/>
                <w:sz w:val="20"/>
              </w:rPr>
              <w:t xml:space="preserve">. In the IV arm, </w:t>
            </w:r>
            <w:r w:rsidRPr="00A57246">
              <w:rPr>
                <w:rFonts w:cs="Arial"/>
                <w:sz w:val="20"/>
              </w:rPr>
              <w:t>dilution</w:t>
            </w:r>
            <w:r>
              <w:rPr>
                <w:rFonts w:cs="Arial"/>
                <w:sz w:val="20"/>
              </w:rPr>
              <w:t xml:space="preserve">s were </w:t>
            </w:r>
            <w:r w:rsidRPr="00A57246">
              <w:rPr>
                <w:rFonts w:cs="Arial"/>
                <w:sz w:val="20"/>
              </w:rPr>
              <w:t>8</w:t>
            </w:r>
            <w:r>
              <w:rPr>
                <w:rFonts w:cs="Arial"/>
                <w:sz w:val="20"/>
              </w:rPr>
              <w:t>0</w:t>
            </w:r>
            <w:r w:rsidRPr="00A57246">
              <w:rPr>
                <w:rFonts w:cs="Arial"/>
                <w:sz w:val="20"/>
              </w:rPr>
              <w:t xml:space="preserve"> mmol/</w:t>
            </w:r>
            <w:r>
              <w:rPr>
                <w:rFonts w:cs="Arial"/>
                <w:sz w:val="20"/>
              </w:rPr>
              <w:t xml:space="preserve">L </w:t>
            </w:r>
            <w:r w:rsidRPr="00A57246">
              <w:rPr>
                <w:rFonts w:cs="Arial"/>
                <w:sz w:val="20"/>
              </w:rPr>
              <w:t>for</w:t>
            </w:r>
            <w:r>
              <w:rPr>
                <w:rFonts w:cs="Arial"/>
                <w:sz w:val="20"/>
              </w:rPr>
              <w:t xml:space="preserve"> </w:t>
            </w:r>
            <w:r w:rsidRPr="00A57246">
              <w:rPr>
                <w:rFonts w:cs="Arial"/>
                <w:sz w:val="20"/>
              </w:rPr>
              <w:t>a peripheral line</w:t>
            </w:r>
            <w:r>
              <w:rPr>
                <w:rFonts w:cs="Arial"/>
                <w:sz w:val="20"/>
              </w:rPr>
              <w:t xml:space="preserve"> and </w:t>
            </w:r>
            <w:r w:rsidRPr="00A57246">
              <w:rPr>
                <w:rFonts w:cs="Arial"/>
                <w:sz w:val="20"/>
              </w:rPr>
              <w:t>15</w:t>
            </w:r>
            <w:r>
              <w:rPr>
                <w:rFonts w:cs="Arial"/>
                <w:sz w:val="20"/>
              </w:rPr>
              <w:t>0</w:t>
            </w:r>
            <w:r w:rsidRPr="00A57246">
              <w:rPr>
                <w:rFonts w:cs="Arial"/>
                <w:sz w:val="20"/>
              </w:rPr>
              <w:t xml:space="preserve"> mmol/L for</w:t>
            </w:r>
            <w:r>
              <w:rPr>
                <w:rFonts w:cs="Arial"/>
                <w:sz w:val="20"/>
              </w:rPr>
              <w:t xml:space="preserve"> </w:t>
            </w:r>
            <w:r w:rsidRPr="00A57246">
              <w:rPr>
                <w:rFonts w:cs="Arial"/>
                <w:sz w:val="20"/>
              </w:rPr>
              <w:t>a central line.</w:t>
            </w:r>
            <w:r>
              <w:t xml:space="preserve"> </w:t>
            </w:r>
            <w:r w:rsidRPr="00A57246">
              <w:rPr>
                <w:rFonts w:asciiTheme="minorHAnsi" w:hAnsiTheme="minorHAnsi" w:cstheme="minorHAnsi"/>
                <w:sz w:val="20"/>
              </w:rPr>
              <w:t xml:space="preserve">In the oral </w:t>
            </w:r>
            <w:r>
              <w:rPr>
                <w:rFonts w:asciiTheme="minorHAnsi" w:hAnsiTheme="minorHAnsi" w:cstheme="minorHAnsi"/>
                <w:sz w:val="20"/>
              </w:rPr>
              <w:t xml:space="preserve">potassium chloride group, </w:t>
            </w:r>
            <w:r>
              <w:rPr>
                <w:rFonts w:cs="Arial"/>
                <w:sz w:val="20"/>
              </w:rPr>
              <w:t>t</w:t>
            </w:r>
            <w:r w:rsidRPr="00A57246">
              <w:rPr>
                <w:rFonts w:cs="Arial"/>
                <w:sz w:val="20"/>
              </w:rPr>
              <w:t>he</w:t>
            </w:r>
            <w:r>
              <w:rPr>
                <w:rFonts w:cs="Arial"/>
                <w:sz w:val="20"/>
              </w:rPr>
              <w:t xml:space="preserve"> </w:t>
            </w:r>
            <w:r w:rsidRPr="00A57246">
              <w:rPr>
                <w:rFonts w:cs="Arial"/>
                <w:sz w:val="20"/>
              </w:rPr>
              <w:t>concentration</w:t>
            </w:r>
            <w:r>
              <w:rPr>
                <w:rFonts w:cs="Arial"/>
                <w:sz w:val="20"/>
              </w:rPr>
              <w:t xml:space="preserve"> used </w:t>
            </w:r>
            <w:r w:rsidRPr="00A57246">
              <w:rPr>
                <w:rFonts w:cs="Arial"/>
                <w:sz w:val="20"/>
              </w:rPr>
              <w:t>was 13.33 mmol/5 mL.</w:t>
            </w:r>
            <w:r>
              <w:rPr>
                <w:rFonts w:cs="Arial"/>
                <w:sz w:val="20"/>
              </w:rPr>
              <w:t xml:space="preserve"> The parenteral/enteral dose used was 0.1-0.3 mmol/kg dose for serum potassium  3.5-4.4 mmol/L; 0.5 mmol/kg/dose for serum potassium  3.0-3.4 mmol/L and 0.7-1.0 mmol/kg/dose for serum potassium  &lt;3.0 mmol/L. T</w:t>
            </w:r>
            <w:r w:rsidRPr="008F4685">
              <w:rPr>
                <w:rFonts w:cs="Arial"/>
                <w:sz w:val="20"/>
              </w:rPr>
              <w:t>here was no statistically significant difference in change</w:t>
            </w:r>
            <w:r>
              <w:rPr>
                <w:rFonts w:cs="Arial"/>
                <w:sz w:val="20"/>
              </w:rPr>
              <w:t xml:space="preserve"> </w:t>
            </w:r>
            <w:r w:rsidRPr="008F4685">
              <w:rPr>
                <w:rFonts w:cs="Arial"/>
                <w:sz w:val="20"/>
              </w:rPr>
              <w:t xml:space="preserve">in potassium levels after </w:t>
            </w:r>
            <w:r>
              <w:rPr>
                <w:rFonts w:cs="Arial"/>
                <w:sz w:val="20"/>
              </w:rPr>
              <w:t>either enteral</w:t>
            </w:r>
            <w:r w:rsidRPr="008F4685">
              <w:rPr>
                <w:rFonts w:cs="Arial"/>
                <w:sz w:val="20"/>
              </w:rPr>
              <w:t xml:space="preserve"> </w:t>
            </w:r>
            <w:r>
              <w:rPr>
                <w:rFonts w:cs="Arial"/>
                <w:sz w:val="20"/>
              </w:rPr>
              <w:t xml:space="preserve">or parenteral route. </w:t>
            </w:r>
          </w:p>
          <w:p w:rsidR="008B08DF" w:rsidP="00FE4186" w:rsidRDefault="008B08DF" w14:paraId="60A3203A" w14:textId="77777777">
            <w:pPr>
              <w:pStyle w:val="BodyText"/>
              <w:tabs>
                <w:tab w:val="left" w:pos="1168"/>
              </w:tabs>
              <w:rPr>
                <w:rFonts w:cs="Arial"/>
                <w:b/>
                <w:sz w:val="20"/>
              </w:rPr>
            </w:pPr>
            <w:r>
              <w:rPr>
                <w:rFonts w:cs="Arial"/>
                <w:b/>
                <w:sz w:val="20"/>
              </w:rPr>
              <w:t>Safety</w:t>
            </w:r>
          </w:p>
          <w:p w:rsidR="008B08DF" w:rsidP="00FE4186" w:rsidRDefault="008B08DF" w14:paraId="6D182BF5" w14:textId="77777777">
            <w:pPr>
              <w:pStyle w:val="BodyText"/>
              <w:tabs>
                <w:tab w:val="left" w:pos="1168"/>
              </w:tabs>
              <w:rPr>
                <w:rFonts w:cs="Arial"/>
                <w:sz w:val="20"/>
              </w:rPr>
            </w:pPr>
            <w:r>
              <w:rPr>
                <w:rFonts w:cs="Arial"/>
                <w:sz w:val="20"/>
              </w:rPr>
              <w:t xml:space="preserve">In Merchant’s trial of </w:t>
            </w:r>
            <w:r w:rsidRPr="00F07B60">
              <w:rPr>
                <w:rFonts w:cs="Arial"/>
                <w:sz w:val="20"/>
              </w:rPr>
              <w:t xml:space="preserve">enteral </w:t>
            </w:r>
            <w:r>
              <w:rPr>
                <w:rFonts w:cs="Arial"/>
                <w:sz w:val="20"/>
              </w:rPr>
              <w:t xml:space="preserve">and intravenous </w:t>
            </w:r>
            <w:r w:rsidRPr="00F07B60">
              <w:rPr>
                <w:rFonts w:cs="Arial"/>
                <w:sz w:val="20"/>
              </w:rPr>
              <w:t>potassium</w:t>
            </w:r>
            <w:r>
              <w:rPr>
                <w:rFonts w:cs="Arial"/>
                <w:sz w:val="20"/>
              </w:rPr>
              <w:t>, no mortality was reported in either arm. A</w:t>
            </w:r>
            <w:r w:rsidRPr="00F412A7">
              <w:rPr>
                <w:rFonts w:cs="Arial"/>
                <w:sz w:val="20"/>
              </w:rPr>
              <w:t xml:space="preserve"> </w:t>
            </w:r>
            <w:r>
              <w:rPr>
                <w:rFonts w:cs="Arial"/>
                <w:sz w:val="20"/>
              </w:rPr>
              <w:t>few episodes of vomiting were reported in enteral route presumably because of poor taste or rapid administration.</w:t>
            </w:r>
            <w:r>
              <w:rPr>
                <w:rFonts w:cs="Arial"/>
                <w:noProof/>
                <w:sz w:val="20"/>
              </w:rPr>
              <w:t>(8)</w:t>
            </w:r>
          </w:p>
          <w:p w:rsidRPr="009872A9" w:rsidR="008B08DF" w:rsidP="00FE4186" w:rsidRDefault="008B08DF" w14:paraId="535B3C81" w14:textId="77777777">
            <w:pPr>
              <w:pStyle w:val="BodyText"/>
              <w:tabs>
                <w:tab w:val="left" w:pos="1168"/>
              </w:tabs>
              <w:rPr>
                <w:rFonts w:cs="Arial"/>
                <w:b/>
                <w:sz w:val="20"/>
              </w:rPr>
            </w:pPr>
            <w:r w:rsidRPr="009872A9">
              <w:rPr>
                <w:rFonts w:cs="Arial"/>
                <w:b/>
                <w:sz w:val="20"/>
              </w:rPr>
              <w:t>Pharmacokinetics</w:t>
            </w:r>
          </w:p>
          <w:p w:rsidRPr="00026F20" w:rsidR="008B08DF" w:rsidP="00FE4186" w:rsidRDefault="008B08DF" w14:paraId="6E2D0D48" w14:textId="77777777">
            <w:pPr>
              <w:pStyle w:val="BodyText"/>
              <w:tabs>
                <w:tab w:val="left" w:pos="1168"/>
              </w:tabs>
              <w:rPr>
                <w:rFonts w:cs="Arial"/>
                <w:sz w:val="20"/>
              </w:rPr>
            </w:pPr>
            <w:r w:rsidRPr="00385ADB">
              <w:rPr>
                <w:rFonts w:cs="Arial"/>
                <w:sz w:val="20"/>
              </w:rPr>
              <w:t xml:space="preserve">Almost all of </w:t>
            </w:r>
            <w:r>
              <w:rPr>
                <w:rFonts w:cs="Arial"/>
                <w:sz w:val="20"/>
              </w:rPr>
              <w:t>potassium</w:t>
            </w:r>
            <w:r w:rsidRPr="00385ADB">
              <w:rPr>
                <w:rFonts w:cs="Arial"/>
                <w:sz w:val="20"/>
              </w:rPr>
              <w:t xml:space="preserve"> ingested through diet is absorbed. The</w:t>
            </w:r>
            <w:r>
              <w:rPr>
                <w:rFonts w:cs="Arial"/>
                <w:sz w:val="20"/>
              </w:rPr>
              <w:t xml:space="preserve"> </w:t>
            </w:r>
            <w:r w:rsidRPr="00385ADB">
              <w:rPr>
                <w:rFonts w:cs="Arial"/>
                <w:sz w:val="20"/>
              </w:rPr>
              <w:t xml:space="preserve">kidneys </w:t>
            </w:r>
            <w:r>
              <w:rPr>
                <w:rFonts w:cs="Arial"/>
                <w:sz w:val="20"/>
              </w:rPr>
              <w:t>excrete</w:t>
            </w:r>
            <w:r w:rsidRPr="00385ADB">
              <w:rPr>
                <w:rFonts w:cs="Arial"/>
                <w:sz w:val="20"/>
              </w:rPr>
              <w:t xml:space="preserve"> more than 90% of daily intake and are the</w:t>
            </w:r>
            <w:r>
              <w:rPr>
                <w:rFonts w:cs="Arial"/>
                <w:sz w:val="20"/>
              </w:rPr>
              <w:t xml:space="preserve"> </w:t>
            </w:r>
            <w:r w:rsidRPr="00385ADB">
              <w:rPr>
                <w:rFonts w:cs="Arial"/>
                <w:sz w:val="20"/>
              </w:rPr>
              <w:t xml:space="preserve">organs primarily responsible for the elimination of </w:t>
            </w:r>
            <w:r>
              <w:rPr>
                <w:rFonts w:cs="Arial"/>
                <w:sz w:val="20"/>
              </w:rPr>
              <w:t>potassium</w:t>
            </w:r>
            <w:r w:rsidRPr="00385ADB">
              <w:rPr>
                <w:rFonts w:cs="Arial"/>
                <w:sz w:val="20"/>
              </w:rPr>
              <w:t>.</w:t>
            </w:r>
            <w:r>
              <w:t xml:space="preserve"> </w:t>
            </w:r>
            <w:r w:rsidRPr="00385ADB">
              <w:rPr>
                <w:rFonts w:cs="Arial"/>
                <w:sz w:val="20"/>
              </w:rPr>
              <w:t xml:space="preserve">Under normal conditions, </w:t>
            </w:r>
            <w:r>
              <w:rPr>
                <w:rFonts w:cs="Arial"/>
                <w:sz w:val="20"/>
              </w:rPr>
              <w:t>potassium</w:t>
            </w:r>
            <w:r w:rsidRPr="00385ADB">
              <w:rPr>
                <w:rFonts w:cs="Arial"/>
                <w:sz w:val="20"/>
              </w:rPr>
              <w:t xml:space="preserve"> excretion via the gastrointestinal</w:t>
            </w:r>
            <w:r>
              <w:rPr>
                <w:rFonts w:cs="Arial"/>
                <w:sz w:val="20"/>
              </w:rPr>
              <w:t xml:space="preserve"> </w:t>
            </w:r>
            <w:r w:rsidRPr="00385ADB">
              <w:rPr>
                <w:rFonts w:cs="Arial"/>
                <w:sz w:val="20"/>
              </w:rPr>
              <w:t>route is negligible</w:t>
            </w:r>
            <w:r>
              <w:rPr>
                <w:rFonts w:cs="Arial"/>
                <w:sz w:val="20"/>
              </w:rPr>
              <w:t>.</w:t>
            </w:r>
            <w:r>
              <w:rPr>
                <w:rFonts w:cs="Arial"/>
                <w:noProof/>
                <w:sz w:val="20"/>
              </w:rPr>
              <w:t>(9)</w:t>
            </w:r>
          </w:p>
        </w:tc>
      </w:tr>
      <w:tr w:rsidRPr="00A37A64" w:rsidR="008B08DF" w:rsidTr="00FE4186" w14:paraId="309A4B6B" w14:textId="77777777">
        <w:trPr>
          <w:trHeight w:val="108"/>
        </w:trPr>
        <w:tc>
          <w:tcPr>
            <w:tcW w:w="1701" w:type="dxa"/>
          </w:tcPr>
          <w:p w:rsidRPr="00B53E9B" w:rsidR="008B08DF" w:rsidP="00FE4186" w:rsidRDefault="008B08DF" w14:paraId="70BEDD3C" w14:textId="77777777">
            <w:pPr>
              <w:pStyle w:val="BodyText"/>
              <w:rPr>
                <w:rFonts w:cs="Arial"/>
                <w:b/>
                <w:bCs/>
                <w:sz w:val="20"/>
              </w:rPr>
            </w:pPr>
            <w:r w:rsidRPr="00B53E9B">
              <w:rPr>
                <w:rFonts w:cs="Arial"/>
                <w:b/>
                <w:bCs/>
                <w:sz w:val="20"/>
              </w:rPr>
              <w:t>Practice points</w:t>
            </w:r>
          </w:p>
        </w:tc>
        <w:tc>
          <w:tcPr>
            <w:tcW w:w="8647" w:type="dxa"/>
          </w:tcPr>
          <w:p w:rsidRPr="003E0B93" w:rsidR="008B08DF" w:rsidP="00FE4186" w:rsidRDefault="008B08DF" w14:paraId="653A3324" w14:textId="77777777">
            <w:pPr>
              <w:pStyle w:val="BodyText"/>
              <w:tabs>
                <w:tab w:val="left" w:pos="1168"/>
              </w:tabs>
              <w:rPr>
                <w:rFonts w:cs="Arial"/>
                <w:b/>
                <w:sz w:val="20"/>
              </w:rPr>
            </w:pPr>
            <w:r w:rsidRPr="003E0B93">
              <w:rPr>
                <w:rFonts w:cs="Arial"/>
                <w:b/>
                <w:sz w:val="20"/>
              </w:rPr>
              <w:t>General</w:t>
            </w:r>
          </w:p>
          <w:p w:rsidR="008B08DF" w:rsidP="00FE4186" w:rsidRDefault="008B08DF" w14:paraId="04C8DF19" w14:textId="77777777">
            <w:pPr>
              <w:pStyle w:val="BodyText"/>
              <w:tabs>
                <w:tab w:val="left" w:pos="1168"/>
              </w:tabs>
              <w:rPr>
                <w:rFonts w:cs="Arial"/>
                <w:sz w:val="20"/>
              </w:rPr>
            </w:pPr>
            <w:r>
              <w:rPr>
                <w:rFonts w:cs="Arial"/>
                <w:sz w:val="20"/>
              </w:rPr>
              <w:t xml:space="preserve">Hypokalaemia is defined as serum potassium &lt; 3.5 mmol/L. </w:t>
            </w:r>
          </w:p>
          <w:p w:rsidR="008B08DF" w:rsidP="001B0E05" w:rsidRDefault="008B08DF" w14:paraId="29236E97" w14:textId="77777777">
            <w:pPr>
              <w:pStyle w:val="BodyText"/>
              <w:numPr>
                <w:ilvl w:val="0"/>
                <w:numId w:val="124"/>
              </w:numPr>
              <w:overflowPunct w:val="0"/>
              <w:autoSpaceDE w:val="0"/>
              <w:autoSpaceDN w:val="0"/>
              <w:adjustRightInd w:val="0"/>
              <w:ind w:left="431" w:hanging="284"/>
              <w:jc w:val="left"/>
              <w:textAlignment w:val="baseline"/>
              <w:rPr>
                <w:rFonts w:cs="Arial"/>
                <w:sz w:val="20"/>
              </w:rPr>
            </w:pPr>
            <w:r w:rsidRPr="00B36FF5">
              <w:rPr>
                <w:rFonts w:cs="Arial"/>
                <w:sz w:val="20"/>
              </w:rPr>
              <w:t>Mild hypokal</w:t>
            </w:r>
            <w:r>
              <w:rPr>
                <w:rFonts w:cs="Arial"/>
                <w:sz w:val="20"/>
              </w:rPr>
              <w:t>a</w:t>
            </w:r>
            <w:r w:rsidRPr="00B36FF5">
              <w:rPr>
                <w:rFonts w:cs="Arial"/>
                <w:sz w:val="20"/>
              </w:rPr>
              <w:t>emia</w:t>
            </w:r>
            <w:r>
              <w:rPr>
                <w:rFonts w:cs="Arial"/>
                <w:sz w:val="20"/>
              </w:rPr>
              <w:t>:</w:t>
            </w:r>
            <w:r w:rsidRPr="00B36FF5">
              <w:rPr>
                <w:rFonts w:cs="Arial"/>
                <w:sz w:val="20"/>
              </w:rPr>
              <w:t xml:space="preserve">  serum potassium of 2.5</w:t>
            </w:r>
            <w:r>
              <w:rPr>
                <w:rFonts w:cs="Arial"/>
                <w:sz w:val="20"/>
              </w:rPr>
              <w:t xml:space="preserve"> to </w:t>
            </w:r>
            <w:r w:rsidRPr="00B36FF5">
              <w:rPr>
                <w:rFonts w:cs="Arial"/>
                <w:sz w:val="20"/>
              </w:rPr>
              <w:t xml:space="preserve">3.5 mmol/L </w:t>
            </w:r>
          </w:p>
          <w:p w:rsidR="008B08DF" w:rsidP="001B0E05" w:rsidRDefault="008B08DF" w14:paraId="4F566CA6" w14:textId="77777777">
            <w:pPr>
              <w:pStyle w:val="BodyText"/>
              <w:numPr>
                <w:ilvl w:val="0"/>
                <w:numId w:val="124"/>
              </w:numPr>
              <w:overflowPunct w:val="0"/>
              <w:autoSpaceDE w:val="0"/>
              <w:autoSpaceDN w:val="0"/>
              <w:adjustRightInd w:val="0"/>
              <w:ind w:left="431" w:hanging="284"/>
              <w:jc w:val="left"/>
              <w:textAlignment w:val="baseline"/>
              <w:rPr>
                <w:rFonts w:cs="Arial"/>
                <w:sz w:val="20"/>
              </w:rPr>
            </w:pPr>
            <w:r w:rsidRPr="00B36FF5">
              <w:rPr>
                <w:rFonts w:cs="Arial"/>
                <w:sz w:val="20"/>
              </w:rPr>
              <w:t>Moderate hypokal</w:t>
            </w:r>
            <w:r>
              <w:rPr>
                <w:rFonts w:cs="Arial"/>
                <w:sz w:val="20"/>
              </w:rPr>
              <w:t>a</w:t>
            </w:r>
            <w:r w:rsidRPr="00B36FF5">
              <w:rPr>
                <w:rFonts w:cs="Arial"/>
                <w:sz w:val="20"/>
              </w:rPr>
              <w:t>emia</w:t>
            </w:r>
            <w:r>
              <w:rPr>
                <w:rFonts w:cs="Arial"/>
                <w:sz w:val="20"/>
              </w:rPr>
              <w:t xml:space="preserve">: </w:t>
            </w:r>
            <w:r w:rsidRPr="00B36FF5">
              <w:rPr>
                <w:rFonts w:cs="Arial"/>
                <w:sz w:val="20"/>
              </w:rPr>
              <w:t xml:space="preserve">  serum potassium &lt;</w:t>
            </w:r>
            <w:r>
              <w:rPr>
                <w:rFonts w:cs="Arial"/>
                <w:sz w:val="20"/>
              </w:rPr>
              <w:t xml:space="preserve"> </w:t>
            </w:r>
            <w:r w:rsidRPr="00B36FF5">
              <w:rPr>
                <w:rFonts w:cs="Arial"/>
                <w:sz w:val="20"/>
              </w:rPr>
              <w:t>2</w:t>
            </w:r>
            <w:r>
              <w:rPr>
                <w:rFonts w:cs="Arial"/>
                <w:sz w:val="20"/>
              </w:rPr>
              <w:t xml:space="preserve">.5 mmol/L with </w:t>
            </w:r>
            <w:r w:rsidRPr="00904350">
              <w:rPr>
                <w:rFonts w:cs="Arial"/>
                <w:b/>
                <w:sz w:val="20"/>
              </w:rPr>
              <w:t>no</w:t>
            </w:r>
            <w:r>
              <w:rPr>
                <w:rFonts w:cs="Arial"/>
                <w:sz w:val="20"/>
              </w:rPr>
              <w:t xml:space="preserve"> ECG changes. </w:t>
            </w:r>
          </w:p>
          <w:p w:rsidRPr="00157F42" w:rsidR="008B08DF" w:rsidP="001B0E05" w:rsidRDefault="008B08DF" w14:paraId="4192F552" w14:textId="77777777">
            <w:pPr>
              <w:pStyle w:val="BodyText"/>
              <w:numPr>
                <w:ilvl w:val="0"/>
                <w:numId w:val="124"/>
              </w:numPr>
              <w:overflowPunct w:val="0"/>
              <w:autoSpaceDE w:val="0"/>
              <w:autoSpaceDN w:val="0"/>
              <w:adjustRightInd w:val="0"/>
              <w:ind w:left="431" w:hanging="284"/>
              <w:jc w:val="left"/>
              <w:textAlignment w:val="baseline"/>
              <w:rPr>
                <w:rFonts w:cs="Arial"/>
                <w:sz w:val="20"/>
              </w:rPr>
            </w:pPr>
            <w:r>
              <w:rPr>
                <w:rFonts w:cs="Arial"/>
                <w:sz w:val="20"/>
              </w:rPr>
              <w:t>Severe hypokalaemia:  serum potassium  &lt; 1.5 mmol/L or with ECG changes.</w:t>
            </w:r>
            <w:r>
              <w:rPr>
                <w:rFonts w:cs="Arial"/>
                <w:noProof/>
                <w:sz w:val="20"/>
              </w:rPr>
              <w:t>(2)</w:t>
            </w:r>
          </w:p>
          <w:p w:rsidR="008B08DF" w:rsidP="00FE4186" w:rsidRDefault="008B08DF" w14:paraId="3DDA1C89" w14:textId="77777777">
            <w:pPr>
              <w:pStyle w:val="BodyText"/>
              <w:tabs>
                <w:tab w:val="left" w:pos="1168"/>
              </w:tabs>
              <w:rPr>
                <w:rFonts w:cs="Arial"/>
                <w:sz w:val="20"/>
              </w:rPr>
            </w:pPr>
          </w:p>
          <w:p w:rsidR="008B08DF" w:rsidP="00FE4186" w:rsidRDefault="008B08DF" w14:paraId="73859420" w14:textId="77777777">
            <w:pPr>
              <w:pStyle w:val="BodyText"/>
              <w:tabs>
                <w:tab w:val="left" w:pos="1168"/>
              </w:tabs>
              <w:rPr>
                <w:rFonts w:cs="Arial"/>
                <w:sz w:val="20"/>
              </w:rPr>
            </w:pPr>
            <w:r w:rsidRPr="00AA69BE">
              <w:rPr>
                <w:rFonts w:cs="Arial"/>
                <w:sz w:val="20"/>
              </w:rPr>
              <w:t>A decrease of 1 m</w:t>
            </w:r>
            <w:r>
              <w:rPr>
                <w:rFonts w:cs="Arial"/>
                <w:sz w:val="20"/>
              </w:rPr>
              <w:t>mol</w:t>
            </w:r>
            <w:r w:rsidRPr="00AA69BE">
              <w:rPr>
                <w:rFonts w:cs="Arial"/>
                <w:sz w:val="20"/>
              </w:rPr>
              <w:t>/L in serum</w:t>
            </w:r>
            <w:r>
              <w:rPr>
                <w:rFonts w:cs="Arial"/>
                <w:sz w:val="20"/>
              </w:rPr>
              <w:t xml:space="preserve"> potassium</w:t>
            </w:r>
            <w:r w:rsidRPr="00AA69BE">
              <w:rPr>
                <w:rFonts w:cs="Arial"/>
                <w:sz w:val="20"/>
              </w:rPr>
              <w:t xml:space="preserve"> concentration refers to a 10%</w:t>
            </w:r>
            <w:r>
              <w:rPr>
                <w:rFonts w:cs="Arial"/>
                <w:sz w:val="20"/>
              </w:rPr>
              <w:t xml:space="preserve"> to </w:t>
            </w:r>
            <w:r w:rsidRPr="00AA69BE">
              <w:rPr>
                <w:rFonts w:cs="Arial"/>
                <w:sz w:val="20"/>
              </w:rPr>
              <w:t>30%</w:t>
            </w:r>
            <w:r>
              <w:rPr>
                <w:rFonts w:cs="Arial"/>
                <w:sz w:val="20"/>
              </w:rPr>
              <w:t xml:space="preserve"> </w:t>
            </w:r>
            <w:r w:rsidRPr="00AA69BE">
              <w:rPr>
                <w:rFonts w:cs="Arial"/>
                <w:sz w:val="20"/>
              </w:rPr>
              <w:t xml:space="preserve">decrease in body </w:t>
            </w:r>
            <w:r>
              <w:rPr>
                <w:rFonts w:cs="Arial"/>
                <w:sz w:val="20"/>
              </w:rPr>
              <w:t xml:space="preserve">potassium. </w:t>
            </w:r>
            <w:r>
              <w:rPr>
                <w:rFonts w:cs="Arial"/>
                <w:noProof/>
                <w:sz w:val="20"/>
              </w:rPr>
              <w:t>(9, 10)</w:t>
            </w:r>
            <w:r>
              <w:rPr>
                <w:rFonts w:cs="Arial"/>
                <w:sz w:val="20"/>
              </w:rPr>
              <w:t xml:space="preserve"> </w:t>
            </w:r>
            <w:r w:rsidRPr="003E0B93">
              <w:rPr>
                <w:rFonts w:cs="Arial"/>
                <w:sz w:val="20"/>
              </w:rPr>
              <w:t>In the absence of an independent factor causing transcellular potassium shifts, the magnitude of the deficit in body stores of potassium correlates with the</w:t>
            </w:r>
            <w:r>
              <w:rPr>
                <w:rFonts w:cs="Arial"/>
                <w:sz w:val="20"/>
              </w:rPr>
              <w:t xml:space="preserve"> </w:t>
            </w:r>
            <w:r w:rsidRPr="003E0B93">
              <w:rPr>
                <w:rFonts w:cs="Arial"/>
                <w:sz w:val="20"/>
              </w:rPr>
              <w:t>degree of hypokal</w:t>
            </w:r>
            <w:r>
              <w:rPr>
                <w:rFonts w:cs="Arial"/>
                <w:sz w:val="20"/>
              </w:rPr>
              <w:t>a</w:t>
            </w:r>
            <w:r w:rsidRPr="003E0B93">
              <w:rPr>
                <w:rFonts w:cs="Arial"/>
                <w:sz w:val="20"/>
              </w:rPr>
              <w:t>emia. On average, serum potassium decreases by 0.3 mmol per lit</w:t>
            </w:r>
            <w:r>
              <w:rPr>
                <w:rFonts w:cs="Arial"/>
                <w:sz w:val="20"/>
              </w:rPr>
              <w:t>re</w:t>
            </w:r>
            <w:r w:rsidRPr="003E0B93">
              <w:rPr>
                <w:rFonts w:cs="Arial"/>
                <w:sz w:val="20"/>
              </w:rPr>
              <w:t xml:space="preserve"> for each 100 mmol reduction in total</w:t>
            </w:r>
            <w:r>
              <w:rPr>
                <w:rFonts w:cs="Arial"/>
                <w:sz w:val="20"/>
              </w:rPr>
              <w:t xml:space="preserve"> </w:t>
            </w:r>
            <w:r w:rsidRPr="003E0B93">
              <w:rPr>
                <w:rFonts w:cs="Arial"/>
                <w:sz w:val="20"/>
              </w:rPr>
              <w:t xml:space="preserve">body stores, but the response is extremely variable. </w:t>
            </w:r>
            <w:r w:rsidRPr="002D4551">
              <w:rPr>
                <w:rFonts w:cs="Arial"/>
                <w:sz w:val="20"/>
              </w:rPr>
              <w:t>Because potassium repletion is</w:t>
            </w:r>
            <w:r>
              <w:rPr>
                <w:rFonts w:cs="Arial"/>
                <w:sz w:val="20"/>
              </w:rPr>
              <w:t xml:space="preserve"> </w:t>
            </w:r>
            <w:r w:rsidRPr="002D4551">
              <w:rPr>
                <w:rFonts w:cs="Arial"/>
                <w:sz w:val="20"/>
              </w:rPr>
              <w:t>rarely an urgent undertaking, err</w:t>
            </w:r>
            <w:r>
              <w:rPr>
                <w:rFonts w:cs="Arial"/>
                <w:sz w:val="20"/>
              </w:rPr>
              <w:t xml:space="preserve"> </w:t>
            </w:r>
            <w:r w:rsidRPr="002D4551">
              <w:rPr>
                <w:rFonts w:cs="Arial"/>
                <w:sz w:val="20"/>
              </w:rPr>
              <w:t>on the low end of this estimate to avoid inducing</w:t>
            </w:r>
            <w:r>
              <w:rPr>
                <w:rFonts w:cs="Arial"/>
                <w:sz w:val="20"/>
              </w:rPr>
              <w:t xml:space="preserve"> </w:t>
            </w:r>
            <w:r w:rsidRPr="002D4551">
              <w:rPr>
                <w:rFonts w:cs="Arial"/>
                <w:sz w:val="20"/>
              </w:rPr>
              <w:t>hyperkal</w:t>
            </w:r>
            <w:r>
              <w:rPr>
                <w:rFonts w:cs="Arial"/>
                <w:sz w:val="20"/>
              </w:rPr>
              <w:t>a</w:t>
            </w:r>
            <w:r w:rsidRPr="002D4551">
              <w:rPr>
                <w:rFonts w:cs="Arial"/>
                <w:sz w:val="20"/>
              </w:rPr>
              <w:t>emia</w:t>
            </w:r>
            <w:r>
              <w:rPr>
                <w:rFonts w:cs="Arial"/>
                <w:sz w:val="20"/>
              </w:rPr>
              <w:t xml:space="preserve"> </w:t>
            </w:r>
            <w:r>
              <w:rPr>
                <w:rFonts w:cs="Arial"/>
                <w:noProof/>
                <w:sz w:val="20"/>
              </w:rPr>
              <w:t>(11)</w:t>
            </w:r>
          </w:p>
          <w:p w:rsidR="008B08DF" w:rsidP="00FE4186" w:rsidRDefault="008B08DF" w14:paraId="66908017" w14:textId="77777777">
            <w:pPr>
              <w:pStyle w:val="BodyText"/>
              <w:tabs>
                <w:tab w:val="left" w:pos="1168"/>
              </w:tabs>
              <w:rPr>
                <w:rFonts w:cs="Arial"/>
                <w:sz w:val="20"/>
              </w:rPr>
            </w:pPr>
          </w:p>
          <w:p w:rsidRPr="00AA69BE" w:rsidR="008B08DF" w:rsidP="00FE4186" w:rsidRDefault="008B08DF" w14:paraId="508EE4EC" w14:textId="77777777">
            <w:pPr>
              <w:pStyle w:val="BodyText"/>
              <w:tabs>
                <w:tab w:val="left" w:pos="1168"/>
              </w:tabs>
              <w:rPr>
                <w:rFonts w:asciiTheme="minorHAnsi" w:hAnsiTheme="minorHAnsi" w:cstheme="minorHAnsi"/>
                <w:sz w:val="20"/>
              </w:rPr>
            </w:pPr>
            <w:r>
              <w:rPr>
                <w:rFonts w:cs="Arial"/>
                <w:sz w:val="20"/>
              </w:rPr>
              <w:t xml:space="preserve">Hypokalaemia can cause </w:t>
            </w:r>
            <w:r w:rsidRPr="00385ADB">
              <w:rPr>
                <w:rFonts w:cs="Arial"/>
                <w:sz w:val="20"/>
              </w:rPr>
              <w:t>functional</w:t>
            </w:r>
            <w:r>
              <w:rPr>
                <w:rFonts w:cs="Arial"/>
                <w:sz w:val="20"/>
              </w:rPr>
              <w:t xml:space="preserve"> </w:t>
            </w:r>
            <w:r w:rsidRPr="00385ADB">
              <w:rPr>
                <w:rFonts w:cs="Arial"/>
                <w:sz w:val="20"/>
              </w:rPr>
              <w:t>changes in striated muscle, smooth muscle, and the heart</w:t>
            </w:r>
            <w:r>
              <w:rPr>
                <w:rFonts w:cs="Arial"/>
                <w:sz w:val="20"/>
              </w:rPr>
              <w:t xml:space="preserve">. </w:t>
            </w:r>
            <w:r w:rsidRPr="00385ADB">
              <w:rPr>
                <w:rFonts w:cs="Arial"/>
                <w:sz w:val="20"/>
              </w:rPr>
              <w:t>Severe hypokal</w:t>
            </w:r>
            <w:r>
              <w:rPr>
                <w:rFonts w:cs="Arial"/>
                <w:sz w:val="20"/>
              </w:rPr>
              <w:t>a</w:t>
            </w:r>
            <w:r w:rsidRPr="00385ADB">
              <w:rPr>
                <w:rFonts w:cs="Arial"/>
                <w:sz w:val="20"/>
              </w:rPr>
              <w:t xml:space="preserve">emia </w:t>
            </w:r>
            <w:r>
              <w:rPr>
                <w:rFonts w:cs="Arial"/>
                <w:sz w:val="20"/>
              </w:rPr>
              <w:t>can lead to e</w:t>
            </w:r>
            <w:r w:rsidRPr="00385ADB">
              <w:rPr>
                <w:rFonts w:cs="Arial"/>
                <w:sz w:val="20"/>
              </w:rPr>
              <w:t xml:space="preserve">lectrocardiography (ECG) changes </w:t>
            </w:r>
            <w:r>
              <w:rPr>
                <w:rFonts w:cs="Arial"/>
                <w:sz w:val="20"/>
              </w:rPr>
              <w:t xml:space="preserve">including </w:t>
            </w:r>
            <w:r w:rsidRPr="00385ADB">
              <w:rPr>
                <w:rFonts w:cs="Arial"/>
                <w:sz w:val="20"/>
              </w:rPr>
              <w:t>increase in the amplitude of P-waves, prolongation in PR and</w:t>
            </w:r>
            <w:r>
              <w:rPr>
                <w:rFonts w:cs="Arial"/>
                <w:sz w:val="20"/>
              </w:rPr>
              <w:t xml:space="preserve"> </w:t>
            </w:r>
            <w:r w:rsidRPr="00385ADB">
              <w:rPr>
                <w:rFonts w:cs="Arial"/>
                <w:sz w:val="20"/>
              </w:rPr>
              <w:t>QT intervals, decrease in the amplitude of T-waves, inversion</w:t>
            </w:r>
            <w:r>
              <w:rPr>
                <w:rFonts w:cs="Arial"/>
                <w:sz w:val="20"/>
              </w:rPr>
              <w:t xml:space="preserve"> </w:t>
            </w:r>
            <w:r w:rsidRPr="00385ADB">
              <w:rPr>
                <w:rFonts w:cs="Arial"/>
                <w:sz w:val="20"/>
              </w:rPr>
              <w:t xml:space="preserve">in T-waves, </w:t>
            </w:r>
            <w:r w:rsidRPr="00385ADB">
              <w:rPr>
                <w:rFonts w:cs="Arial"/>
                <w:sz w:val="20"/>
              </w:rPr>
              <w:lastRenderedPageBreak/>
              <w:t>depression in ST segments, and the appearance</w:t>
            </w:r>
            <w:r>
              <w:rPr>
                <w:rFonts w:cs="Arial"/>
                <w:sz w:val="20"/>
              </w:rPr>
              <w:t xml:space="preserve"> </w:t>
            </w:r>
            <w:r w:rsidRPr="00385ADB">
              <w:rPr>
                <w:rFonts w:cs="Arial"/>
                <w:sz w:val="20"/>
              </w:rPr>
              <w:t>of U-waves</w:t>
            </w:r>
            <w:r>
              <w:rPr>
                <w:rFonts w:cs="Arial"/>
                <w:sz w:val="20"/>
              </w:rPr>
              <w:t xml:space="preserve">. </w:t>
            </w:r>
            <w:r w:rsidRPr="00385ADB">
              <w:rPr>
                <w:rFonts w:cs="Arial"/>
                <w:sz w:val="20"/>
              </w:rPr>
              <w:t>Paralytic ileus and gastric dilatation develop</w:t>
            </w:r>
            <w:r>
              <w:rPr>
                <w:rFonts w:cs="Arial"/>
                <w:sz w:val="20"/>
              </w:rPr>
              <w:t xml:space="preserve"> </w:t>
            </w:r>
            <w:r w:rsidRPr="00385ADB">
              <w:rPr>
                <w:rFonts w:cs="Arial"/>
                <w:sz w:val="20"/>
              </w:rPr>
              <w:t>when the smooth muscles are affected</w:t>
            </w:r>
            <w:r>
              <w:rPr>
                <w:rFonts w:cs="Arial"/>
                <w:sz w:val="20"/>
              </w:rPr>
              <w:t xml:space="preserve">. </w:t>
            </w:r>
            <w:r w:rsidRPr="00AA69BE">
              <w:rPr>
                <w:rFonts w:cs="Arial"/>
                <w:sz w:val="20"/>
              </w:rPr>
              <w:t>Rhabdomyolysis, myoglobinuria, severe</w:t>
            </w:r>
            <w:r>
              <w:rPr>
                <w:rFonts w:cs="Arial"/>
                <w:sz w:val="20"/>
              </w:rPr>
              <w:t xml:space="preserve"> </w:t>
            </w:r>
            <w:r w:rsidRPr="00AA69BE">
              <w:rPr>
                <w:rFonts w:cs="Arial"/>
                <w:sz w:val="20"/>
              </w:rPr>
              <w:t>muscle weakness, paralysis, respiratory distress and respiratory</w:t>
            </w:r>
            <w:r>
              <w:rPr>
                <w:rFonts w:cs="Arial"/>
                <w:sz w:val="20"/>
              </w:rPr>
              <w:t xml:space="preserve"> </w:t>
            </w:r>
            <w:r w:rsidRPr="00AA69BE">
              <w:rPr>
                <w:rFonts w:cs="Arial"/>
                <w:sz w:val="20"/>
              </w:rPr>
              <w:t>arrest are observed. Fasciculation and tetany are observed</w:t>
            </w:r>
            <w:r>
              <w:rPr>
                <w:rFonts w:cs="Arial"/>
                <w:sz w:val="20"/>
              </w:rPr>
              <w:t xml:space="preserve"> </w:t>
            </w:r>
            <w:r w:rsidRPr="00AA69BE">
              <w:rPr>
                <w:rFonts w:cs="Arial"/>
                <w:sz w:val="20"/>
              </w:rPr>
              <w:t>in muscles.</w:t>
            </w:r>
            <w:r>
              <w:t xml:space="preserve"> </w:t>
            </w:r>
            <w:r w:rsidRPr="00891236">
              <w:rPr>
                <w:rFonts w:asciiTheme="minorHAnsi" w:hAnsiTheme="minorHAnsi" w:cstheme="minorHAnsi"/>
                <w:sz w:val="20"/>
              </w:rPr>
              <w:t>Pe</w:t>
            </w:r>
            <w:r w:rsidRPr="00AA69BE">
              <w:rPr>
                <w:rFonts w:cs="Arial"/>
                <w:sz w:val="20"/>
              </w:rPr>
              <w:t>rsistent metabolic alkalosis develops with</w:t>
            </w:r>
            <w:r>
              <w:rPr>
                <w:rFonts w:cs="Arial"/>
                <w:sz w:val="20"/>
              </w:rPr>
              <w:t xml:space="preserve"> </w:t>
            </w:r>
            <w:r w:rsidRPr="00AA69BE">
              <w:rPr>
                <w:rFonts w:cs="Arial"/>
                <w:sz w:val="20"/>
              </w:rPr>
              <w:t>hypokal</w:t>
            </w:r>
            <w:r>
              <w:rPr>
                <w:rFonts w:cs="Arial"/>
                <w:sz w:val="20"/>
              </w:rPr>
              <w:t>a</w:t>
            </w:r>
            <w:r w:rsidRPr="00AA69BE">
              <w:rPr>
                <w:rFonts w:cs="Arial"/>
                <w:sz w:val="20"/>
              </w:rPr>
              <w:t>emia</w:t>
            </w:r>
            <w:r>
              <w:rPr>
                <w:rFonts w:cs="Arial"/>
                <w:sz w:val="20"/>
              </w:rPr>
              <w:t>.</w:t>
            </w:r>
            <w:r>
              <w:rPr>
                <w:rFonts w:cs="Arial"/>
                <w:noProof/>
                <w:sz w:val="20"/>
              </w:rPr>
              <w:t>(9)</w:t>
            </w:r>
          </w:p>
          <w:p w:rsidR="008B08DF" w:rsidP="00FE4186" w:rsidRDefault="008B08DF" w14:paraId="14F10129" w14:textId="77777777">
            <w:pPr>
              <w:pStyle w:val="BodyText"/>
              <w:tabs>
                <w:tab w:val="left" w:pos="1168"/>
              </w:tabs>
              <w:rPr>
                <w:rFonts w:cs="Arial"/>
                <w:sz w:val="20"/>
              </w:rPr>
            </w:pPr>
          </w:p>
          <w:p w:rsidRPr="00A37A64" w:rsidR="008B08DF" w:rsidP="00FE4186" w:rsidRDefault="008B08DF" w14:paraId="7CC64A0C" w14:textId="77777777">
            <w:pPr>
              <w:pStyle w:val="BodyText"/>
              <w:tabs>
                <w:tab w:val="left" w:pos="1168"/>
              </w:tabs>
              <w:rPr>
                <w:rFonts w:cs="Arial"/>
                <w:b/>
                <w:sz w:val="20"/>
              </w:rPr>
            </w:pPr>
            <w:r w:rsidRPr="00A37A64">
              <w:rPr>
                <w:rFonts w:cs="Arial"/>
                <w:b/>
                <w:sz w:val="20"/>
              </w:rPr>
              <w:t>Dose</w:t>
            </w:r>
          </w:p>
          <w:p w:rsidRPr="003E0B93" w:rsidR="008B08DF" w:rsidP="00FE4186" w:rsidRDefault="008B08DF" w14:paraId="5E13AB7D" w14:textId="77777777">
            <w:pPr>
              <w:pStyle w:val="BodyText"/>
              <w:tabs>
                <w:tab w:val="left" w:pos="1168"/>
              </w:tabs>
              <w:rPr>
                <w:rFonts w:cs="Arial"/>
                <w:sz w:val="20"/>
              </w:rPr>
            </w:pPr>
            <w:r w:rsidRPr="003E0B93">
              <w:rPr>
                <w:rFonts w:cs="Arial"/>
                <w:sz w:val="20"/>
              </w:rPr>
              <w:t xml:space="preserve">Dosing for </w:t>
            </w:r>
            <w:r>
              <w:rPr>
                <w:rFonts w:cs="Arial"/>
                <w:sz w:val="20"/>
              </w:rPr>
              <w:t xml:space="preserve">daily </w:t>
            </w:r>
            <w:r w:rsidRPr="003E0B93">
              <w:rPr>
                <w:rFonts w:cs="Arial"/>
                <w:sz w:val="20"/>
              </w:rPr>
              <w:t xml:space="preserve">parenteral potassium supplementation </w:t>
            </w:r>
            <w:r>
              <w:rPr>
                <w:rFonts w:cs="Arial"/>
                <w:sz w:val="20"/>
              </w:rPr>
              <w:t>is</w:t>
            </w:r>
            <w:r w:rsidRPr="003E0B93">
              <w:rPr>
                <w:rFonts w:cs="Arial"/>
                <w:sz w:val="20"/>
              </w:rPr>
              <w:t xml:space="preserve"> based on ESPGHAN 2018 recommendations</w:t>
            </w:r>
            <w:r>
              <w:rPr>
                <w:rFonts w:cs="Arial"/>
                <w:sz w:val="20"/>
              </w:rPr>
              <w:t>:</w:t>
            </w:r>
            <w:r w:rsidRPr="003E0B93">
              <w:rPr>
                <w:rFonts w:cs="Arial"/>
                <w:sz w:val="20"/>
              </w:rPr>
              <w:t>(4)</w:t>
            </w:r>
          </w:p>
          <w:p w:rsidRPr="003E0B93" w:rsidR="008B08DF" w:rsidP="001B0E05" w:rsidRDefault="008B08DF" w14:paraId="33A6C170" w14:textId="77777777">
            <w:pPr>
              <w:pStyle w:val="BodyText"/>
              <w:numPr>
                <w:ilvl w:val="0"/>
                <w:numId w:val="122"/>
              </w:numPr>
              <w:tabs>
                <w:tab w:val="left" w:pos="1168"/>
              </w:tabs>
              <w:overflowPunct w:val="0"/>
              <w:autoSpaceDE w:val="0"/>
              <w:autoSpaceDN w:val="0"/>
              <w:adjustRightInd w:val="0"/>
              <w:ind w:left="431" w:hanging="284"/>
              <w:jc w:val="left"/>
              <w:textAlignment w:val="baseline"/>
              <w:rPr>
                <w:rFonts w:cs="Arial"/>
                <w:sz w:val="20"/>
              </w:rPr>
            </w:pPr>
            <w:r>
              <w:rPr>
                <w:rFonts w:cs="Arial"/>
                <w:sz w:val="20"/>
              </w:rPr>
              <w:t xml:space="preserve">Potassium </w:t>
            </w:r>
            <w:r w:rsidRPr="003E0B93">
              <w:rPr>
                <w:rFonts w:cs="Arial"/>
                <w:sz w:val="20"/>
              </w:rPr>
              <w:t>administration should regard initial phase of oliguria and the risk of non-oliguric hyperkal</w:t>
            </w:r>
            <w:r>
              <w:rPr>
                <w:rFonts w:cs="Arial"/>
                <w:sz w:val="20"/>
              </w:rPr>
              <w:t>a</w:t>
            </w:r>
            <w:r w:rsidRPr="003E0B93">
              <w:rPr>
                <w:rFonts w:cs="Arial"/>
                <w:sz w:val="20"/>
              </w:rPr>
              <w:t xml:space="preserve">emia in VLBW infants. A deferment of parenteral </w:t>
            </w:r>
            <w:r>
              <w:rPr>
                <w:rFonts w:cs="Arial"/>
                <w:sz w:val="20"/>
              </w:rPr>
              <w:t>potassium</w:t>
            </w:r>
            <w:r w:rsidRPr="003E0B93">
              <w:rPr>
                <w:rFonts w:cs="Arial"/>
                <w:sz w:val="20"/>
              </w:rPr>
              <w:t xml:space="preserve"> supply might be required to avoid hyperkal</w:t>
            </w:r>
            <w:r>
              <w:rPr>
                <w:rFonts w:cs="Arial"/>
                <w:sz w:val="20"/>
              </w:rPr>
              <w:t>a</w:t>
            </w:r>
            <w:r w:rsidRPr="003E0B93">
              <w:rPr>
                <w:rFonts w:cs="Arial"/>
                <w:sz w:val="20"/>
              </w:rPr>
              <w:t xml:space="preserve">emia. </w:t>
            </w:r>
          </w:p>
          <w:p w:rsidRPr="003E0B93" w:rsidR="008B08DF" w:rsidP="001B0E05" w:rsidRDefault="008B08DF" w14:paraId="1F57B62A" w14:textId="77777777">
            <w:pPr>
              <w:pStyle w:val="BodyText"/>
              <w:numPr>
                <w:ilvl w:val="0"/>
                <w:numId w:val="122"/>
              </w:numPr>
              <w:tabs>
                <w:tab w:val="left" w:pos="1168"/>
              </w:tabs>
              <w:overflowPunct w:val="0"/>
              <w:autoSpaceDE w:val="0"/>
              <w:autoSpaceDN w:val="0"/>
              <w:adjustRightInd w:val="0"/>
              <w:ind w:left="431" w:hanging="284"/>
              <w:jc w:val="left"/>
              <w:textAlignment w:val="baseline"/>
              <w:rPr>
                <w:rFonts w:cs="Arial"/>
                <w:sz w:val="20"/>
              </w:rPr>
            </w:pPr>
            <w:r w:rsidRPr="003E0B93">
              <w:rPr>
                <w:rFonts w:cs="Arial"/>
                <w:sz w:val="20"/>
              </w:rPr>
              <w:t xml:space="preserve">Parenteral </w:t>
            </w:r>
            <w:r>
              <w:rPr>
                <w:rFonts w:cs="Arial"/>
                <w:sz w:val="20"/>
              </w:rPr>
              <w:t>potassium</w:t>
            </w:r>
            <w:r w:rsidRPr="003E0B93">
              <w:rPr>
                <w:rFonts w:cs="Arial"/>
                <w:sz w:val="20"/>
              </w:rPr>
              <w:t xml:space="preserve"> requirement during Phase I (</w:t>
            </w:r>
            <w:r>
              <w:rPr>
                <w:rFonts w:cs="Arial"/>
                <w:sz w:val="20"/>
              </w:rPr>
              <w:t>T</w:t>
            </w:r>
            <w:r w:rsidRPr="003E0B93">
              <w:rPr>
                <w:rFonts w:cs="Arial"/>
                <w:sz w:val="20"/>
              </w:rPr>
              <w:t>ransition phase) – from birth until maximal weight loss (e.g. until Day 5 of life)</w:t>
            </w:r>
            <w:r>
              <w:rPr>
                <w:rFonts w:cs="Arial"/>
                <w:sz w:val="20"/>
              </w:rPr>
              <w:t>:</w:t>
            </w:r>
            <w:r w:rsidRPr="003E0B93">
              <w:rPr>
                <w:rFonts w:cs="Arial"/>
                <w:sz w:val="20"/>
              </w:rPr>
              <w:t xml:space="preserve"> 0</w:t>
            </w:r>
            <w:r>
              <w:rPr>
                <w:rFonts w:cs="Arial"/>
                <w:sz w:val="20"/>
              </w:rPr>
              <w:t xml:space="preserve"> to </w:t>
            </w:r>
            <w:r w:rsidRPr="003E0B93">
              <w:rPr>
                <w:rFonts w:cs="Arial"/>
                <w:sz w:val="20"/>
              </w:rPr>
              <w:t>3 mmol/kg/day</w:t>
            </w:r>
          </w:p>
          <w:p w:rsidRPr="003E0B93" w:rsidR="008B08DF" w:rsidP="001B0E05" w:rsidRDefault="008B08DF" w14:paraId="02F41FE2" w14:textId="77777777">
            <w:pPr>
              <w:pStyle w:val="BodyText"/>
              <w:numPr>
                <w:ilvl w:val="0"/>
                <w:numId w:val="122"/>
              </w:numPr>
              <w:tabs>
                <w:tab w:val="left" w:pos="1168"/>
              </w:tabs>
              <w:overflowPunct w:val="0"/>
              <w:autoSpaceDE w:val="0"/>
              <w:autoSpaceDN w:val="0"/>
              <w:adjustRightInd w:val="0"/>
              <w:ind w:left="431" w:hanging="284"/>
              <w:jc w:val="left"/>
              <w:textAlignment w:val="baseline"/>
              <w:rPr>
                <w:rFonts w:cs="Arial"/>
                <w:sz w:val="20"/>
              </w:rPr>
            </w:pPr>
            <w:r w:rsidRPr="003E0B93">
              <w:rPr>
                <w:rFonts w:cs="Arial"/>
                <w:sz w:val="20"/>
              </w:rPr>
              <w:t xml:space="preserve">Parenteral </w:t>
            </w:r>
            <w:r>
              <w:rPr>
                <w:rFonts w:cs="Arial"/>
                <w:sz w:val="20"/>
              </w:rPr>
              <w:t>potassium</w:t>
            </w:r>
            <w:r w:rsidRPr="003E0B93">
              <w:rPr>
                <w:rFonts w:cs="Arial"/>
                <w:sz w:val="20"/>
              </w:rPr>
              <w:t xml:space="preserve"> requirement during Phase II (Intermediate phase) – period from maximal weight loss to regaining birthweight</w:t>
            </w:r>
            <w:r>
              <w:rPr>
                <w:rFonts w:cs="Arial"/>
                <w:sz w:val="20"/>
              </w:rPr>
              <w:t>:</w:t>
            </w:r>
            <w:r w:rsidRPr="003E0B93">
              <w:rPr>
                <w:rFonts w:cs="Arial"/>
                <w:sz w:val="20"/>
              </w:rPr>
              <w:t xml:space="preserve"> 1</w:t>
            </w:r>
            <w:r>
              <w:rPr>
                <w:rFonts w:cs="Arial"/>
                <w:sz w:val="20"/>
              </w:rPr>
              <w:t xml:space="preserve"> to </w:t>
            </w:r>
            <w:r w:rsidRPr="003E0B93">
              <w:rPr>
                <w:rFonts w:cs="Arial"/>
                <w:sz w:val="20"/>
              </w:rPr>
              <w:t>3 mmol/kg/day</w:t>
            </w:r>
          </w:p>
          <w:p w:rsidR="008B08DF" w:rsidP="001B0E05" w:rsidRDefault="008B08DF" w14:paraId="6A77E489" w14:textId="77777777">
            <w:pPr>
              <w:pStyle w:val="BodyText"/>
              <w:numPr>
                <w:ilvl w:val="0"/>
                <w:numId w:val="122"/>
              </w:numPr>
              <w:tabs>
                <w:tab w:val="left" w:pos="1168"/>
              </w:tabs>
              <w:overflowPunct w:val="0"/>
              <w:autoSpaceDE w:val="0"/>
              <w:autoSpaceDN w:val="0"/>
              <w:adjustRightInd w:val="0"/>
              <w:ind w:left="431" w:hanging="284"/>
              <w:jc w:val="left"/>
              <w:textAlignment w:val="baseline"/>
              <w:rPr>
                <w:rFonts w:cs="Arial"/>
                <w:sz w:val="20"/>
              </w:rPr>
            </w:pPr>
            <w:r w:rsidRPr="003E0B93">
              <w:rPr>
                <w:rFonts w:cs="Arial"/>
                <w:sz w:val="20"/>
              </w:rPr>
              <w:t xml:space="preserve">Parenteral </w:t>
            </w:r>
            <w:r>
              <w:rPr>
                <w:rFonts w:cs="Arial"/>
                <w:sz w:val="20"/>
              </w:rPr>
              <w:t>potassium</w:t>
            </w:r>
            <w:r w:rsidRPr="003E0B93">
              <w:rPr>
                <w:rFonts w:cs="Arial"/>
                <w:sz w:val="20"/>
              </w:rPr>
              <w:t xml:space="preserve"> requirement during Phase III (Stable phase) – regular weight gain phase</w:t>
            </w:r>
          </w:p>
          <w:p w:rsidR="008B08DF" w:rsidP="001B0E05" w:rsidRDefault="008B08DF" w14:paraId="148747E5" w14:textId="77777777">
            <w:pPr>
              <w:pStyle w:val="BodyText"/>
              <w:numPr>
                <w:ilvl w:val="0"/>
                <w:numId w:val="127"/>
              </w:numPr>
              <w:tabs>
                <w:tab w:val="left" w:pos="1168"/>
              </w:tabs>
              <w:overflowPunct w:val="0"/>
              <w:autoSpaceDE w:val="0"/>
              <w:autoSpaceDN w:val="0"/>
              <w:adjustRightInd w:val="0"/>
              <w:jc w:val="left"/>
              <w:textAlignment w:val="baseline"/>
              <w:rPr>
                <w:rFonts w:cs="Arial"/>
                <w:sz w:val="20"/>
              </w:rPr>
            </w:pPr>
            <w:r>
              <w:rPr>
                <w:rFonts w:cs="Arial"/>
                <w:sz w:val="20"/>
              </w:rPr>
              <w:t>P</w:t>
            </w:r>
            <w:r w:rsidRPr="003E0B93">
              <w:rPr>
                <w:rFonts w:cs="Arial"/>
                <w:sz w:val="20"/>
              </w:rPr>
              <w:t xml:space="preserve">reterm neonates </w:t>
            </w:r>
            <w:r>
              <w:rPr>
                <w:rFonts w:cs="Calibri"/>
                <w:sz w:val="20"/>
              </w:rPr>
              <w:t>&lt;</w:t>
            </w:r>
            <w:r w:rsidRPr="003E0B93">
              <w:rPr>
                <w:rFonts w:cs="Arial"/>
                <w:sz w:val="20"/>
              </w:rPr>
              <w:t>1500 g: 2</w:t>
            </w:r>
            <w:r>
              <w:rPr>
                <w:rFonts w:cs="Arial"/>
                <w:sz w:val="20"/>
              </w:rPr>
              <w:t xml:space="preserve"> to </w:t>
            </w:r>
            <w:r w:rsidRPr="003E0B93">
              <w:rPr>
                <w:rFonts w:cs="Arial"/>
                <w:sz w:val="20"/>
              </w:rPr>
              <w:t>5 m</w:t>
            </w:r>
            <w:r>
              <w:rPr>
                <w:rFonts w:cs="Arial"/>
                <w:sz w:val="20"/>
              </w:rPr>
              <w:t>mol</w:t>
            </w:r>
            <w:r w:rsidRPr="003E0B93">
              <w:rPr>
                <w:rFonts w:cs="Arial"/>
                <w:sz w:val="20"/>
              </w:rPr>
              <w:t xml:space="preserve">/kg/day and </w:t>
            </w:r>
          </w:p>
          <w:p w:rsidRPr="00BB72B7" w:rsidR="008B08DF" w:rsidP="001B0E05" w:rsidRDefault="008B08DF" w14:paraId="24DDEACB" w14:textId="77777777">
            <w:pPr>
              <w:pStyle w:val="BodyText"/>
              <w:numPr>
                <w:ilvl w:val="0"/>
                <w:numId w:val="127"/>
              </w:numPr>
              <w:tabs>
                <w:tab w:val="left" w:pos="1168"/>
              </w:tabs>
              <w:overflowPunct w:val="0"/>
              <w:autoSpaceDE w:val="0"/>
              <w:autoSpaceDN w:val="0"/>
              <w:adjustRightInd w:val="0"/>
              <w:jc w:val="left"/>
              <w:textAlignment w:val="baseline"/>
              <w:rPr>
                <w:rFonts w:cs="Arial"/>
                <w:sz w:val="20"/>
              </w:rPr>
            </w:pPr>
            <w:r>
              <w:rPr>
                <w:rFonts w:cs="Arial"/>
                <w:sz w:val="20"/>
              </w:rPr>
              <w:t>I</w:t>
            </w:r>
            <w:r w:rsidRPr="00BB72B7">
              <w:rPr>
                <w:rFonts w:cs="Arial"/>
                <w:sz w:val="20"/>
              </w:rPr>
              <w:t>nfants</w:t>
            </w:r>
            <w:r>
              <w:rPr>
                <w:rFonts w:cs="Calibri"/>
                <w:sz w:val="20"/>
              </w:rPr>
              <w:t>≥</w:t>
            </w:r>
            <w:r w:rsidRPr="00BB72B7">
              <w:rPr>
                <w:rFonts w:cs="Arial"/>
                <w:sz w:val="20"/>
              </w:rPr>
              <w:t>1500 g: 1.5</w:t>
            </w:r>
            <w:r>
              <w:rPr>
                <w:rFonts w:cs="Arial"/>
                <w:sz w:val="20"/>
              </w:rPr>
              <w:t xml:space="preserve"> to </w:t>
            </w:r>
            <w:r w:rsidRPr="00BB72B7">
              <w:rPr>
                <w:rFonts w:cs="Arial"/>
                <w:sz w:val="20"/>
              </w:rPr>
              <w:t>3.0 m</w:t>
            </w:r>
            <w:r>
              <w:rPr>
                <w:rFonts w:cs="Arial"/>
                <w:sz w:val="20"/>
              </w:rPr>
              <w:t>mol</w:t>
            </w:r>
            <w:r w:rsidRPr="00BB72B7">
              <w:rPr>
                <w:rFonts w:cs="Arial"/>
                <w:sz w:val="20"/>
              </w:rPr>
              <w:t>/kg/day.</w:t>
            </w:r>
          </w:p>
          <w:p w:rsidRPr="005103F3" w:rsidR="008B08DF" w:rsidP="00FE4186" w:rsidRDefault="008B08DF" w14:paraId="708535F9" w14:textId="77777777">
            <w:pPr>
              <w:pStyle w:val="BodyText"/>
              <w:tabs>
                <w:tab w:val="left" w:pos="1168"/>
              </w:tabs>
              <w:rPr>
                <w:rFonts w:cs="Arial"/>
                <w:sz w:val="20"/>
              </w:rPr>
            </w:pPr>
            <w:r w:rsidRPr="005103F3">
              <w:rPr>
                <w:rFonts w:cs="Arial"/>
                <w:sz w:val="20"/>
              </w:rPr>
              <w:t>Treatment of mild to moderate hypokal</w:t>
            </w:r>
            <w:r>
              <w:rPr>
                <w:rFonts w:cs="Arial"/>
                <w:sz w:val="20"/>
              </w:rPr>
              <w:t>a</w:t>
            </w:r>
            <w:r w:rsidRPr="005103F3">
              <w:rPr>
                <w:rFonts w:cs="Arial"/>
                <w:sz w:val="20"/>
              </w:rPr>
              <w:t>emia is based on expert opinion. (5)</w:t>
            </w:r>
          </w:p>
          <w:p w:rsidRPr="00A37A64" w:rsidR="008B08DF" w:rsidP="00FE4186" w:rsidRDefault="008B08DF" w14:paraId="4174958E" w14:textId="77777777">
            <w:pPr>
              <w:pStyle w:val="BodyText"/>
              <w:tabs>
                <w:tab w:val="left" w:pos="1168"/>
              </w:tabs>
              <w:rPr>
                <w:rFonts w:cs="Arial"/>
                <w:sz w:val="20"/>
              </w:rPr>
            </w:pPr>
            <w:r w:rsidRPr="005103F3">
              <w:rPr>
                <w:rFonts w:cs="Arial"/>
                <w:sz w:val="20"/>
              </w:rPr>
              <w:t>Treatment of severe or symptomatic hypokal</w:t>
            </w:r>
            <w:r>
              <w:rPr>
                <w:rFonts w:cs="Arial"/>
                <w:sz w:val="20"/>
              </w:rPr>
              <w:t>a</w:t>
            </w:r>
            <w:r w:rsidRPr="005103F3">
              <w:rPr>
                <w:rFonts w:cs="Arial"/>
                <w:sz w:val="20"/>
              </w:rPr>
              <w:t>emia with c</w:t>
            </w:r>
            <w:r>
              <w:rPr>
                <w:rFonts w:cs="Arial"/>
                <w:sz w:val="20"/>
              </w:rPr>
              <w:t>orrection dose of 0.3-0.5 mmol</w:t>
            </w:r>
            <w:r w:rsidRPr="005103F3">
              <w:rPr>
                <w:rFonts w:cs="Arial"/>
                <w:sz w:val="20"/>
              </w:rPr>
              <w:t>/kg/dose over 1 hour is based on expert opinion. (5)</w:t>
            </w:r>
            <w:r w:rsidRPr="003E0B93">
              <w:rPr>
                <w:rFonts w:cs="Arial"/>
                <w:sz w:val="20"/>
              </w:rPr>
              <w:t xml:space="preserve"> </w:t>
            </w:r>
          </w:p>
        </w:tc>
      </w:tr>
      <w:tr w:rsidRPr="0075780C" w:rsidR="008B08DF" w:rsidTr="00FE4186" w14:paraId="3DF78C1D" w14:textId="77777777">
        <w:trPr>
          <w:trHeight w:val="70"/>
        </w:trPr>
        <w:tc>
          <w:tcPr>
            <w:tcW w:w="1701" w:type="dxa"/>
          </w:tcPr>
          <w:p w:rsidRPr="00B53E9B" w:rsidR="008B08DF" w:rsidP="00FE4186" w:rsidRDefault="008B08DF" w14:paraId="2A4C11C1" w14:textId="77777777">
            <w:pPr>
              <w:pStyle w:val="BodyText"/>
              <w:rPr>
                <w:rFonts w:cs="Arial"/>
                <w:b/>
                <w:bCs/>
                <w:sz w:val="20"/>
              </w:rPr>
            </w:pPr>
            <w:r w:rsidRPr="00B53E9B">
              <w:rPr>
                <w:b/>
                <w:sz w:val="20"/>
              </w:rPr>
              <w:lastRenderedPageBreak/>
              <w:t>References</w:t>
            </w:r>
          </w:p>
        </w:tc>
        <w:tc>
          <w:tcPr>
            <w:tcW w:w="8647" w:type="dxa"/>
          </w:tcPr>
          <w:p w:rsidRPr="0075780C" w:rsidR="008B08DF" w:rsidP="001B0E05" w:rsidRDefault="008B08DF" w14:paraId="4351D056" w14:textId="77777777">
            <w:pPr>
              <w:pStyle w:val="ListParagraph"/>
              <w:numPr>
                <w:ilvl w:val="0"/>
                <w:numId w:val="121"/>
              </w:numPr>
              <w:rPr>
                <w:sz w:val="20"/>
              </w:rPr>
            </w:pPr>
            <w:r w:rsidRPr="0075780C">
              <w:rPr>
                <w:sz w:val="20"/>
              </w:rPr>
              <w:t>Potassium chloride injection. https://wwwaccessdatafdagov/drugsatfda_docs/label/2017/019904s014lblpdf.</w:t>
            </w:r>
          </w:p>
          <w:p w:rsidRPr="0075780C" w:rsidR="008B08DF" w:rsidP="001B0E05" w:rsidRDefault="008B08DF" w14:paraId="34B24810" w14:textId="77777777">
            <w:pPr>
              <w:pStyle w:val="ListParagraph"/>
              <w:numPr>
                <w:ilvl w:val="0"/>
                <w:numId w:val="121"/>
              </w:numPr>
              <w:rPr>
                <w:sz w:val="20"/>
              </w:rPr>
            </w:pPr>
            <w:r w:rsidRPr="0075780C">
              <w:rPr>
                <w:sz w:val="20"/>
              </w:rPr>
              <w:t>Bonilla-Félix M. Potassium regulation in the neonate. Pediatric Nephrology. 2017;32(11):2037-49.</w:t>
            </w:r>
          </w:p>
          <w:p w:rsidRPr="0075780C" w:rsidR="008B08DF" w:rsidP="001B0E05" w:rsidRDefault="008B08DF" w14:paraId="368358F7" w14:textId="77777777">
            <w:pPr>
              <w:pStyle w:val="ListParagraph"/>
              <w:numPr>
                <w:ilvl w:val="0"/>
                <w:numId w:val="121"/>
              </w:numPr>
              <w:rPr>
                <w:sz w:val="20"/>
              </w:rPr>
            </w:pPr>
            <w:r w:rsidRPr="0075780C">
              <w:rPr>
                <w:sz w:val="20"/>
              </w:rPr>
              <w:t xml:space="preserve">Potassium chloride injection. </w:t>
            </w:r>
            <w:r>
              <w:rPr>
                <w:sz w:val="20"/>
              </w:rPr>
              <w:t xml:space="preserve">MIMS online. </w:t>
            </w:r>
            <w:r w:rsidRPr="0075780C">
              <w:rPr>
                <w:sz w:val="20"/>
              </w:rPr>
              <w:t>Accessed on 15 September 2020. 2020.</w:t>
            </w:r>
          </w:p>
          <w:p w:rsidRPr="0075780C" w:rsidR="008B08DF" w:rsidP="001B0E05" w:rsidRDefault="008B08DF" w14:paraId="67F8DCB0" w14:textId="77777777">
            <w:pPr>
              <w:pStyle w:val="ListParagraph"/>
              <w:numPr>
                <w:ilvl w:val="0"/>
                <w:numId w:val="121"/>
              </w:numPr>
              <w:rPr>
                <w:sz w:val="20"/>
              </w:rPr>
            </w:pPr>
            <w:r w:rsidRPr="0075780C">
              <w:rPr>
                <w:sz w:val="20"/>
              </w:rPr>
              <w:t>Kobayashi R, Keino D, Hori D, Sano H, Suzuki D, Kishimoto K, et al. Analysis of Hypokalemia as a Side Effect of Liposomal Amphotericin in Pediatric Patients. The Pediatric infectious disease journal. 2018;37(5):447-50.</w:t>
            </w:r>
          </w:p>
          <w:p w:rsidRPr="0075780C" w:rsidR="008B08DF" w:rsidP="001B0E05" w:rsidRDefault="008B08DF" w14:paraId="5137276D" w14:textId="77777777">
            <w:pPr>
              <w:pStyle w:val="ListParagraph"/>
              <w:numPr>
                <w:ilvl w:val="0"/>
                <w:numId w:val="121"/>
              </w:numPr>
              <w:rPr>
                <w:sz w:val="20"/>
              </w:rPr>
            </w:pPr>
            <w:r w:rsidRPr="0075780C">
              <w:rPr>
                <w:sz w:val="20"/>
              </w:rPr>
              <w:t>Shimokaze T, Toyoshima K, Shibasaki J, Itani Y. Blood potassium and urine aldosterone after doxapram therapy for preterm infants. Journal of Perinatology. 2018;38(6):702-7.</w:t>
            </w:r>
          </w:p>
          <w:p w:rsidRPr="0075780C" w:rsidR="008B08DF" w:rsidP="001B0E05" w:rsidRDefault="008B08DF" w14:paraId="4BF0521F" w14:textId="77777777">
            <w:pPr>
              <w:pStyle w:val="ListParagraph"/>
              <w:numPr>
                <w:ilvl w:val="0"/>
                <w:numId w:val="121"/>
              </w:numPr>
              <w:rPr>
                <w:sz w:val="20"/>
              </w:rPr>
            </w:pPr>
            <w:r w:rsidRPr="0075780C">
              <w:rPr>
                <w:sz w:val="20"/>
              </w:rPr>
              <w:t>Potassium chloride. Australian Injectable Drugs Handbook, 8th Edition Accessed on 15 September 2020. 2020.</w:t>
            </w:r>
          </w:p>
          <w:p w:rsidRPr="0075780C" w:rsidR="008B08DF" w:rsidP="001B0E05" w:rsidRDefault="008B08DF" w14:paraId="5D8B3AB7" w14:textId="77777777">
            <w:pPr>
              <w:pStyle w:val="ListParagraph"/>
              <w:numPr>
                <w:ilvl w:val="0"/>
                <w:numId w:val="121"/>
              </w:numPr>
              <w:rPr>
                <w:sz w:val="20"/>
              </w:rPr>
            </w:pPr>
            <w:r w:rsidRPr="0075780C">
              <w:rPr>
                <w:sz w:val="20"/>
              </w:rPr>
              <w:t>Daly K, Farrington E. Hypokalemia and hyperkalemia in infants and children: pathophysiology and treatment. Journal of Pediatric Health Care. 2013;27(6):486-96.</w:t>
            </w:r>
          </w:p>
          <w:p w:rsidRPr="0075780C" w:rsidR="008B08DF" w:rsidP="001B0E05" w:rsidRDefault="008B08DF" w14:paraId="415854F3" w14:textId="77777777">
            <w:pPr>
              <w:pStyle w:val="ListParagraph"/>
              <w:numPr>
                <w:ilvl w:val="0"/>
                <w:numId w:val="121"/>
              </w:numPr>
              <w:rPr>
                <w:sz w:val="20"/>
              </w:rPr>
            </w:pPr>
            <w:r w:rsidRPr="0075780C">
              <w:rPr>
                <w:sz w:val="20"/>
              </w:rPr>
              <w:t>Merchant Q, Hasan BS, Rizvi A, Amanullah M, Rehmat A, ul Haq A. Comparison of enteral versus intravenous potassium supplementation in hypokalaemia in paediatric patients in intensive care post cardiac surgery: open-label randomised equivalence trial (EIPS). BMJ open. 2017;7(5):e011179.</w:t>
            </w:r>
          </w:p>
          <w:p w:rsidRPr="0075780C" w:rsidR="008B08DF" w:rsidP="001B0E05" w:rsidRDefault="008B08DF" w14:paraId="74BFB947" w14:textId="77777777">
            <w:pPr>
              <w:pStyle w:val="ListParagraph"/>
              <w:numPr>
                <w:ilvl w:val="0"/>
                <w:numId w:val="121"/>
              </w:numPr>
              <w:rPr>
                <w:sz w:val="20"/>
              </w:rPr>
            </w:pPr>
            <w:r w:rsidRPr="0075780C">
              <w:rPr>
                <w:sz w:val="20"/>
              </w:rPr>
              <w:t>Sarici D, Sarici SU. Neonatal hypokalemia. Research and Reports in Neonatology. 2012;2:15-9.</w:t>
            </w:r>
          </w:p>
          <w:p w:rsidRPr="0075780C" w:rsidR="008B08DF" w:rsidP="001B0E05" w:rsidRDefault="008B08DF" w14:paraId="7A33D22C" w14:textId="77777777">
            <w:pPr>
              <w:pStyle w:val="ListParagraph"/>
              <w:numPr>
                <w:ilvl w:val="0"/>
                <w:numId w:val="121"/>
              </w:numPr>
              <w:rPr>
                <w:sz w:val="20"/>
              </w:rPr>
            </w:pPr>
            <w:r w:rsidRPr="0075780C">
              <w:rPr>
                <w:sz w:val="20"/>
              </w:rPr>
              <w:t>Galloway E, Doughty L. Electrolyte emergencies and acute renal failure in pediatric critical care. Clinical Pediatric Emergency Medicine. 2007;8(3):176-89.</w:t>
            </w:r>
          </w:p>
          <w:p w:rsidR="008B08DF" w:rsidP="001B0E05" w:rsidRDefault="008B08DF" w14:paraId="5386FBD7" w14:textId="77777777">
            <w:pPr>
              <w:pStyle w:val="ListParagraph"/>
              <w:numPr>
                <w:ilvl w:val="0"/>
                <w:numId w:val="121"/>
              </w:numPr>
              <w:rPr>
                <w:sz w:val="20"/>
              </w:rPr>
            </w:pPr>
            <w:r w:rsidRPr="0075780C">
              <w:rPr>
                <w:sz w:val="20"/>
              </w:rPr>
              <w:t>Gennari FJ. Hypokalemia. New England Journal of Medicine. 1998;339(7):451-8.</w:t>
            </w:r>
          </w:p>
          <w:p w:rsidRPr="0075780C" w:rsidR="00170FF0" w:rsidP="001B0E05" w:rsidRDefault="00FB0B85" w14:paraId="3112EC14" w14:textId="74B57E24">
            <w:pPr>
              <w:pStyle w:val="ListParagraph"/>
              <w:numPr>
                <w:ilvl w:val="0"/>
                <w:numId w:val="121"/>
              </w:numPr>
              <w:rPr>
                <w:sz w:val="20"/>
              </w:rPr>
            </w:pPr>
            <w:r w:rsidRPr="00FB0B85">
              <w:rPr>
                <w:sz w:val="20"/>
              </w:rPr>
              <w:t xml:space="preserve">Neofax accessed on www.neofax.micromedex.solutions.com on </w:t>
            </w:r>
            <w:r>
              <w:rPr>
                <w:sz w:val="20"/>
              </w:rPr>
              <w:t>2-3-2021</w:t>
            </w:r>
            <w:r w:rsidRPr="00FB0B85">
              <w:rPr>
                <w:sz w:val="20"/>
              </w:rPr>
              <w:t>.</w:t>
            </w:r>
          </w:p>
        </w:tc>
      </w:tr>
    </w:tbl>
    <w:p w:rsidRPr="00E25790" w:rsidR="001B5B48" w:rsidP="006F0321" w:rsidRDefault="001B5B48" w14:paraId="1B3878F3" w14:textId="77777777"/>
    <w:tbl>
      <w:tblPr>
        <w:tblW w:w="935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063"/>
        <w:gridCol w:w="4293"/>
      </w:tblGrid>
      <w:tr w:rsidR="000C634B" w:rsidTr="00FE4186" w14:paraId="6EBE3B67" w14:textId="77777777">
        <w:tc>
          <w:tcPr>
            <w:tcW w:w="5063" w:type="dxa"/>
            <w:vAlign w:val="center"/>
          </w:tcPr>
          <w:p w:rsidR="000C634B" w:rsidP="00FE4186" w:rsidRDefault="000C634B" w14:paraId="3E0C3BD7" w14:textId="4A81503A">
            <w:pPr>
              <w:rPr>
                <w:b/>
                <w:bCs/>
                <w:sz w:val="20"/>
                <w:lang w:val="en-AU"/>
              </w:rPr>
            </w:pPr>
            <w:r w:rsidRPr="564361E5">
              <w:rPr>
                <w:b/>
                <w:bCs/>
                <w:sz w:val="20"/>
                <w:lang w:val="en-AU"/>
              </w:rPr>
              <w:t xml:space="preserve">Original version Date: </w:t>
            </w:r>
            <w:r w:rsidR="00A15559">
              <w:rPr>
                <w:b/>
                <w:bCs/>
                <w:sz w:val="20"/>
                <w:lang w:val="en-AU"/>
              </w:rPr>
              <w:t>1/4/2020</w:t>
            </w:r>
          </w:p>
        </w:tc>
        <w:tc>
          <w:tcPr>
            <w:tcW w:w="4293" w:type="dxa"/>
            <w:vAlign w:val="center"/>
          </w:tcPr>
          <w:p w:rsidR="000C634B" w:rsidP="00FE4186" w:rsidRDefault="000C634B" w14:paraId="76607D92" w14:textId="132463FC">
            <w:pPr>
              <w:rPr>
                <w:b/>
                <w:bCs/>
                <w:sz w:val="20"/>
                <w:lang w:val="en-AU"/>
              </w:rPr>
            </w:pPr>
            <w:r w:rsidRPr="48F57877">
              <w:rPr>
                <w:b/>
                <w:bCs/>
                <w:sz w:val="20"/>
                <w:lang w:val="en-AU"/>
              </w:rPr>
              <w:t xml:space="preserve">Author: </w:t>
            </w:r>
            <w:r w:rsidR="00A15559">
              <w:rPr>
                <w:b/>
                <w:bCs/>
                <w:sz w:val="20"/>
                <w:lang w:val="en-AU"/>
              </w:rPr>
              <w:t>TC, KOH</w:t>
            </w:r>
          </w:p>
        </w:tc>
      </w:tr>
      <w:tr w:rsidR="000C634B" w:rsidTr="00FE4186" w14:paraId="2442606D" w14:textId="77777777">
        <w:tc>
          <w:tcPr>
            <w:tcW w:w="5063" w:type="dxa"/>
            <w:vAlign w:val="center"/>
          </w:tcPr>
          <w:p w:rsidR="000C634B" w:rsidP="00FE4186" w:rsidRDefault="000C634B" w14:paraId="12F9D7E1" w14:textId="77777777">
            <w:pPr>
              <w:rPr>
                <w:b/>
                <w:bCs/>
                <w:sz w:val="20"/>
                <w:lang w:val="en-AU"/>
              </w:rPr>
            </w:pPr>
            <w:r w:rsidRPr="564361E5">
              <w:rPr>
                <w:b/>
                <w:bCs/>
                <w:sz w:val="20"/>
                <w:lang w:val="en-AU"/>
              </w:rPr>
              <w:t xml:space="preserve">Current Version number:  </w:t>
            </w:r>
            <w:r>
              <w:rPr>
                <w:b/>
                <w:bCs/>
                <w:sz w:val="20"/>
                <w:lang w:val="en-AU"/>
              </w:rPr>
              <w:t>2</w:t>
            </w:r>
          </w:p>
        </w:tc>
        <w:tc>
          <w:tcPr>
            <w:tcW w:w="4293" w:type="dxa"/>
            <w:vAlign w:val="center"/>
          </w:tcPr>
          <w:p w:rsidR="000C634B" w:rsidP="00FE4186" w:rsidRDefault="000C634B" w14:paraId="15DB9727" w14:textId="77777777">
            <w:pPr>
              <w:rPr>
                <w:sz w:val="20"/>
                <w:lang w:val="en-AU"/>
              </w:rPr>
            </w:pPr>
            <w:r w:rsidRPr="564361E5">
              <w:rPr>
                <w:b/>
                <w:bCs/>
                <w:sz w:val="20"/>
                <w:lang w:val="en-AU"/>
              </w:rPr>
              <w:t>Current Version Date:</w:t>
            </w:r>
            <w:r w:rsidRPr="564361E5">
              <w:rPr>
                <w:sz w:val="20"/>
                <w:lang w:val="en-AU"/>
              </w:rPr>
              <w:t xml:space="preserve">  </w:t>
            </w:r>
            <w:r w:rsidRPr="00516F9C">
              <w:rPr>
                <w:b/>
                <w:bCs/>
                <w:sz w:val="20"/>
                <w:lang w:val="en-AU"/>
              </w:rPr>
              <w:t>2/3/2021</w:t>
            </w:r>
          </w:p>
        </w:tc>
      </w:tr>
      <w:tr w:rsidR="000C634B" w:rsidTr="00FE4186" w14:paraId="2FEB23FF" w14:textId="77777777">
        <w:tc>
          <w:tcPr>
            <w:tcW w:w="5063" w:type="dxa"/>
            <w:vAlign w:val="center"/>
          </w:tcPr>
          <w:p w:rsidR="000C634B" w:rsidP="00FE4186" w:rsidRDefault="000C634B" w14:paraId="217A0459" w14:textId="1AFF469F">
            <w:pPr>
              <w:rPr>
                <w:sz w:val="20"/>
                <w:lang w:val="en-AU"/>
              </w:rPr>
            </w:pPr>
            <w:r w:rsidRPr="564361E5">
              <w:rPr>
                <w:b/>
                <w:bCs/>
                <w:sz w:val="20"/>
                <w:lang w:val="en-AU"/>
              </w:rPr>
              <w:t xml:space="preserve">Risk Rating: </w:t>
            </w:r>
            <w:r w:rsidR="00A15559">
              <w:rPr>
                <w:b/>
                <w:bCs/>
                <w:sz w:val="20"/>
                <w:lang w:val="en-AU"/>
              </w:rPr>
              <w:t>Low</w:t>
            </w:r>
          </w:p>
        </w:tc>
        <w:tc>
          <w:tcPr>
            <w:tcW w:w="4293" w:type="dxa"/>
            <w:vAlign w:val="center"/>
          </w:tcPr>
          <w:p w:rsidR="000C634B" w:rsidP="00FE4186" w:rsidRDefault="000C634B" w14:paraId="6105A07F" w14:textId="4AB9C635">
            <w:pPr>
              <w:rPr>
                <w:b/>
                <w:bCs/>
                <w:sz w:val="20"/>
                <w:lang w:val="en-AU"/>
              </w:rPr>
            </w:pPr>
            <w:r w:rsidRPr="564361E5">
              <w:rPr>
                <w:b/>
                <w:bCs/>
                <w:sz w:val="20"/>
                <w:lang w:val="en-AU"/>
              </w:rPr>
              <w:t xml:space="preserve">Due for Review: </w:t>
            </w:r>
            <w:r>
              <w:rPr>
                <w:b/>
                <w:bCs/>
                <w:sz w:val="20"/>
                <w:lang w:val="en-AU"/>
              </w:rPr>
              <w:t>2/3/202</w:t>
            </w:r>
            <w:r w:rsidR="00A15559">
              <w:rPr>
                <w:b/>
                <w:bCs/>
                <w:sz w:val="20"/>
                <w:lang w:val="en-AU"/>
              </w:rPr>
              <w:t>6</w:t>
            </w:r>
          </w:p>
        </w:tc>
      </w:tr>
      <w:tr w:rsidR="000C634B" w:rsidTr="00FE4186" w14:paraId="11B3D19E" w14:textId="77777777">
        <w:trPr>
          <w:trHeight w:val="344"/>
        </w:trPr>
        <w:tc>
          <w:tcPr>
            <w:tcW w:w="5063" w:type="dxa"/>
            <w:tcBorders>
              <w:bottom w:val="single" w:color="auto" w:sz="4" w:space="0"/>
            </w:tcBorders>
            <w:vAlign w:val="center"/>
          </w:tcPr>
          <w:p w:rsidR="000C634B" w:rsidP="00FE4186" w:rsidRDefault="000C634B" w14:paraId="6AD0AAC7" w14:textId="77777777">
            <w:pPr>
              <w:rPr>
                <w:b/>
                <w:bCs/>
                <w:sz w:val="20"/>
                <w:lang w:val="en-AU"/>
              </w:rPr>
            </w:pPr>
            <w:r w:rsidRPr="48F57877">
              <w:rPr>
                <w:b/>
                <w:bCs/>
                <w:sz w:val="20"/>
                <w:lang w:val="en-AU"/>
              </w:rPr>
              <w:t>Approval by: DTC</w:t>
            </w:r>
          </w:p>
        </w:tc>
        <w:tc>
          <w:tcPr>
            <w:tcW w:w="4293" w:type="dxa"/>
            <w:tcBorders>
              <w:bottom w:val="single" w:color="auto" w:sz="4" w:space="0"/>
            </w:tcBorders>
            <w:vAlign w:val="center"/>
          </w:tcPr>
          <w:p w:rsidR="000C634B" w:rsidP="00FE4186" w:rsidRDefault="000C634B" w14:paraId="62347686" w14:textId="67B8EC84">
            <w:pPr>
              <w:rPr>
                <w:b/>
                <w:bCs/>
                <w:sz w:val="20"/>
                <w:lang w:val="en-AU"/>
              </w:rPr>
            </w:pPr>
            <w:r w:rsidRPr="564361E5">
              <w:rPr>
                <w:b/>
                <w:bCs/>
                <w:sz w:val="20"/>
                <w:lang w:val="en-AU"/>
              </w:rPr>
              <w:t>Approval Date:</w:t>
            </w:r>
            <w:r w:rsidR="00A15559">
              <w:rPr>
                <w:b/>
                <w:bCs/>
                <w:sz w:val="20"/>
                <w:lang w:val="en-AU"/>
              </w:rPr>
              <w:t xml:space="preserve"> </w:t>
            </w:r>
            <w:r w:rsidR="00260BC8">
              <w:rPr>
                <w:b/>
                <w:bCs/>
                <w:sz w:val="20"/>
                <w:lang w:val="en-AU"/>
              </w:rPr>
              <w:t>APRIL 2021</w:t>
            </w:r>
          </w:p>
        </w:tc>
      </w:tr>
    </w:tbl>
    <w:p w:rsidRPr="00E25790" w:rsidR="00115F48" w:rsidP="006F0321" w:rsidRDefault="001B5B48" w14:paraId="6084B0F5"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260BC8" w:rsidTr="00131848" w14:paraId="36E0EC3F"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F45A7B" w:rsidR="00260BC8" w:rsidP="00131848" w:rsidRDefault="00260BC8" w14:paraId="75617560" w14:textId="63269A59">
            <w:pPr>
              <w:pStyle w:val="Heading1"/>
            </w:pPr>
            <w:bookmarkStart w:name="_Toc75340030" w:id="501"/>
            <w:r w:rsidRPr="00F45A7B">
              <w:lastRenderedPageBreak/>
              <w:t xml:space="preserve">Potassium </w:t>
            </w:r>
            <w:r>
              <w:t>Oral</w:t>
            </w:r>
            <w:bookmarkEnd w:id="501"/>
            <w:r w:rsidRPr="00F45A7B">
              <w:fldChar w:fldCharType="begin"/>
            </w:r>
            <w:r w:rsidRPr="00F45A7B">
              <w:instrText>tc "Potassium Chloride" \l 0</w:instrText>
            </w:r>
            <w:r w:rsidRPr="00F45A7B">
              <w:fldChar w:fldCharType="end"/>
            </w:r>
          </w:p>
        </w:tc>
      </w:tr>
      <w:tr w:rsidRPr="00E25790" w:rsidR="00260BC8" w:rsidTr="00131848" w14:paraId="6EBB763D"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260BC8" w:rsidP="00131848" w:rsidRDefault="00260BC8" w14:paraId="6DD3F6D7" w14:textId="682FCEA4">
            <w:r w:rsidRPr="00E25790">
              <w:t>Revision Date</w:t>
            </w:r>
            <w:r w:rsidRPr="00E25790">
              <w:rPr>
                <w:b/>
              </w:rPr>
              <w:t xml:space="preserve"> : </w:t>
            </w:r>
            <w:r>
              <w:rPr>
                <w:b/>
              </w:rPr>
              <w:t>9-6-2021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260BC8" w:rsidP="00131848" w:rsidRDefault="00260BC8" w14:paraId="77B17AA8" w14:textId="77777777">
            <w:r w:rsidRPr="00E25790">
              <w:t xml:space="preserve">Approved: </w:t>
            </w:r>
            <w:r>
              <w:t>TC, KOH</w:t>
            </w:r>
          </w:p>
        </w:tc>
      </w:tr>
    </w:tbl>
    <w:p w:rsidR="001B5B48" w:rsidP="006F0321" w:rsidRDefault="001B5B48" w14:paraId="2CC4D40D" w14:textId="46C86198"/>
    <w:tbl>
      <w:tblPr>
        <w:tblW w:w="10490"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1"/>
        <w:gridCol w:w="8789"/>
      </w:tblGrid>
      <w:tr w:rsidRPr="003A7895" w:rsidR="00260BC8" w:rsidTr="00131848" w14:paraId="66DD1AC8" w14:textId="77777777">
        <w:trPr>
          <w:trHeight w:val="70"/>
        </w:trPr>
        <w:tc>
          <w:tcPr>
            <w:tcW w:w="1701" w:type="dxa"/>
          </w:tcPr>
          <w:p w:rsidRPr="00B53E9B" w:rsidR="00260BC8" w:rsidP="00131848" w:rsidRDefault="00260BC8" w14:paraId="259DB72E" w14:textId="77777777">
            <w:pPr>
              <w:pStyle w:val="BodyText"/>
              <w:tabs>
                <w:tab w:val="center" w:pos="1476"/>
              </w:tabs>
              <w:rPr>
                <w:rFonts w:cs="Arial"/>
                <w:b/>
                <w:sz w:val="20"/>
              </w:rPr>
            </w:pPr>
            <w:r w:rsidRPr="00B53E9B">
              <w:rPr>
                <w:rFonts w:cs="Arial"/>
                <w:b/>
                <w:sz w:val="20"/>
              </w:rPr>
              <w:t>Alert</w:t>
            </w:r>
          </w:p>
        </w:tc>
        <w:tc>
          <w:tcPr>
            <w:tcW w:w="8789" w:type="dxa"/>
          </w:tcPr>
          <w:p w:rsidR="00260BC8" w:rsidP="00131848" w:rsidRDefault="00260BC8" w14:paraId="2E8924A5" w14:textId="77777777">
            <w:pPr>
              <w:pStyle w:val="BodyText"/>
              <w:rPr>
                <w:rFonts w:cs="Arial" w:asciiTheme="minorHAnsi" w:hAnsiTheme="minorHAnsi"/>
                <w:sz w:val="20"/>
              </w:rPr>
            </w:pPr>
            <w:r w:rsidRPr="00D85823">
              <w:rPr>
                <w:rFonts w:cs="Arial" w:asciiTheme="minorHAnsi" w:hAnsiTheme="minorHAnsi"/>
                <w:sz w:val="20"/>
              </w:rPr>
              <w:t>High risk medication in A PINCH Medicines list under New South Wales Clinical Excellence Commission.</w:t>
            </w:r>
          </w:p>
          <w:p w:rsidR="00260BC8" w:rsidP="00131848" w:rsidRDefault="00260BC8" w14:paraId="5E4FABFA" w14:textId="77777777">
            <w:pPr>
              <w:pStyle w:val="BodyText"/>
              <w:rPr>
                <w:rFonts w:cs="Arial" w:asciiTheme="minorHAnsi" w:hAnsiTheme="minorHAnsi"/>
                <w:sz w:val="20"/>
              </w:rPr>
            </w:pPr>
            <w:r w:rsidRPr="00342EBE">
              <w:rPr>
                <w:rFonts w:cs="Arial" w:asciiTheme="minorHAnsi" w:hAnsiTheme="minorHAnsi"/>
                <w:sz w:val="20"/>
              </w:rPr>
              <w:t xml:space="preserve">Perrigo </w:t>
            </w:r>
            <w:r>
              <w:rPr>
                <w:rFonts w:cs="Arial" w:asciiTheme="minorHAnsi" w:hAnsiTheme="minorHAnsi"/>
                <w:sz w:val="20"/>
              </w:rPr>
              <w:t>brand contains 1 mg of methyl hydroxybenzoate/1 mL. U</w:t>
            </w:r>
            <w:r w:rsidRPr="00342EBE">
              <w:rPr>
                <w:rFonts w:cs="Arial" w:asciiTheme="minorHAnsi" w:hAnsiTheme="minorHAnsi"/>
                <w:sz w:val="20"/>
              </w:rPr>
              <w:t>ricos</w:t>
            </w:r>
            <w:r>
              <w:rPr>
                <w:rFonts w:cs="Arial" w:asciiTheme="minorHAnsi" w:hAnsiTheme="minorHAnsi"/>
                <w:sz w:val="20"/>
              </w:rPr>
              <w:t>a</w:t>
            </w:r>
            <w:r w:rsidRPr="00342EBE">
              <w:rPr>
                <w:rFonts w:cs="Arial" w:asciiTheme="minorHAnsi" w:hAnsiTheme="minorHAnsi"/>
                <w:sz w:val="20"/>
              </w:rPr>
              <w:t xml:space="preserve">l </w:t>
            </w:r>
            <w:r>
              <w:rPr>
                <w:rFonts w:cs="Arial" w:asciiTheme="minorHAnsi" w:hAnsiTheme="minorHAnsi"/>
                <w:sz w:val="20"/>
              </w:rPr>
              <w:t>brand also contains</w:t>
            </w:r>
            <w:r w:rsidRPr="00342EBE">
              <w:rPr>
                <w:rFonts w:cs="Arial" w:asciiTheme="minorHAnsi" w:hAnsiTheme="minorHAnsi"/>
                <w:sz w:val="20"/>
              </w:rPr>
              <w:t xml:space="preserve"> hydroxybenzoate</w:t>
            </w:r>
            <w:r>
              <w:rPr>
                <w:rFonts w:cs="Arial" w:asciiTheme="minorHAnsi" w:hAnsiTheme="minorHAnsi"/>
                <w:sz w:val="20"/>
              </w:rPr>
              <w:t>.</w:t>
            </w:r>
            <w:r>
              <w:t xml:space="preserve"> </w:t>
            </w:r>
            <w:r w:rsidRPr="00082D59">
              <w:rPr>
                <w:rFonts w:cs="Arial" w:asciiTheme="minorHAnsi" w:hAnsiTheme="minorHAnsi"/>
                <w:sz w:val="20"/>
              </w:rPr>
              <w:t>Avoid exposure of &gt;99</w:t>
            </w:r>
            <w:r>
              <w:rPr>
                <w:rFonts w:cs="Arial" w:asciiTheme="minorHAnsi" w:hAnsiTheme="minorHAnsi"/>
                <w:sz w:val="20"/>
              </w:rPr>
              <w:t xml:space="preserve"> </w:t>
            </w:r>
            <w:r w:rsidRPr="00082D59">
              <w:rPr>
                <w:rFonts w:cs="Arial" w:asciiTheme="minorHAnsi" w:hAnsiTheme="minorHAnsi"/>
                <w:sz w:val="20"/>
              </w:rPr>
              <w:t>mg/kg/day of sodium benzoate in neonates.</w:t>
            </w:r>
            <w:r>
              <w:rPr>
                <w:rFonts w:cs="Arial" w:asciiTheme="minorHAnsi" w:hAnsiTheme="minorHAnsi"/>
                <w:sz w:val="20"/>
              </w:rPr>
              <w:t>(1)</w:t>
            </w:r>
          </w:p>
          <w:p w:rsidRPr="00250D9E" w:rsidR="00260BC8" w:rsidP="00131848" w:rsidRDefault="00260BC8" w14:paraId="31856E16" w14:textId="77777777">
            <w:pPr>
              <w:pStyle w:val="BodyText"/>
              <w:rPr>
                <w:rFonts w:cs="Arial" w:asciiTheme="minorHAnsi" w:hAnsiTheme="minorHAnsi"/>
                <w:sz w:val="20"/>
              </w:rPr>
            </w:pPr>
            <w:r>
              <w:rPr>
                <w:rFonts w:cs="Arial" w:asciiTheme="minorHAnsi" w:hAnsiTheme="minorHAnsi"/>
                <w:sz w:val="20"/>
              </w:rPr>
              <w:t>Oral potassium chloride and potassium citrate solutions are high in osmolality with a reported osmolality of 2200 mOsm/kg (</w:t>
            </w:r>
            <w:r w:rsidRPr="008B74FA">
              <w:rPr>
                <w:rFonts w:cs="Arial" w:asciiTheme="minorHAnsi" w:hAnsiTheme="minorHAnsi"/>
                <w:sz w:val="20"/>
              </w:rPr>
              <w:t>Cytra-K, Cypress Pharmaceuticals, NJ</w:t>
            </w:r>
            <w:r>
              <w:rPr>
                <w:rFonts w:cs="Arial" w:asciiTheme="minorHAnsi" w:hAnsiTheme="minorHAnsi"/>
                <w:sz w:val="20"/>
              </w:rPr>
              <w:t xml:space="preserve">). Therefore, it is recommended to be given with feeds.(4) </w:t>
            </w:r>
          </w:p>
        </w:tc>
      </w:tr>
      <w:tr w:rsidRPr="003A7895" w:rsidR="00260BC8" w:rsidTr="00131848" w14:paraId="548E4DE2" w14:textId="77777777">
        <w:trPr>
          <w:trHeight w:val="72"/>
        </w:trPr>
        <w:tc>
          <w:tcPr>
            <w:tcW w:w="1701" w:type="dxa"/>
          </w:tcPr>
          <w:p w:rsidRPr="00B53E9B" w:rsidR="00260BC8" w:rsidP="00131848" w:rsidRDefault="00260BC8" w14:paraId="4B594DDC" w14:textId="77777777">
            <w:pPr>
              <w:pStyle w:val="BodyText"/>
              <w:rPr>
                <w:rFonts w:cs="Arial"/>
                <w:sz w:val="20"/>
              </w:rPr>
            </w:pPr>
            <w:r w:rsidRPr="00B53E9B">
              <w:rPr>
                <w:rFonts w:cs="Arial"/>
                <w:b/>
                <w:bCs/>
                <w:sz w:val="20"/>
              </w:rPr>
              <w:t>Indication</w:t>
            </w:r>
          </w:p>
        </w:tc>
        <w:tc>
          <w:tcPr>
            <w:tcW w:w="8789" w:type="dxa"/>
          </w:tcPr>
          <w:p w:rsidR="00260BC8" w:rsidP="00131848" w:rsidRDefault="00260BC8" w14:paraId="3C0CDDA5" w14:textId="77777777">
            <w:pPr>
              <w:rPr>
                <w:rFonts w:asciiTheme="minorHAnsi" w:hAnsiTheme="minorHAnsi"/>
                <w:sz w:val="20"/>
              </w:rPr>
            </w:pPr>
            <w:r>
              <w:rPr>
                <w:rFonts w:asciiTheme="minorHAnsi" w:hAnsiTheme="minorHAnsi"/>
                <w:sz w:val="20"/>
              </w:rPr>
              <w:t>Potassium chloride:</w:t>
            </w:r>
          </w:p>
          <w:p w:rsidRPr="00152BCE" w:rsidR="00260BC8" w:rsidP="001B0E05" w:rsidRDefault="00260BC8" w14:paraId="549FCBEC" w14:textId="77777777">
            <w:pPr>
              <w:pStyle w:val="ListParagraph"/>
              <w:numPr>
                <w:ilvl w:val="0"/>
                <w:numId w:val="141"/>
              </w:numPr>
              <w:rPr>
                <w:rFonts w:asciiTheme="minorHAnsi" w:hAnsiTheme="minorHAnsi"/>
                <w:sz w:val="20"/>
              </w:rPr>
            </w:pPr>
            <w:r w:rsidRPr="00152BCE">
              <w:rPr>
                <w:rFonts w:asciiTheme="minorHAnsi" w:hAnsiTheme="minorHAnsi"/>
                <w:sz w:val="20"/>
              </w:rPr>
              <w:t>Treatment and prevention of hypokalaemia</w:t>
            </w:r>
          </w:p>
          <w:p w:rsidR="00260BC8" w:rsidP="00131848" w:rsidRDefault="00260BC8" w14:paraId="115EF36E" w14:textId="77777777">
            <w:pPr>
              <w:rPr>
                <w:rFonts w:asciiTheme="minorHAnsi" w:hAnsiTheme="minorHAnsi"/>
                <w:sz w:val="20"/>
              </w:rPr>
            </w:pPr>
            <w:r>
              <w:rPr>
                <w:rFonts w:asciiTheme="minorHAnsi" w:hAnsiTheme="minorHAnsi"/>
                <w:sz w:val="20"/>
              </w:rPr>
              <w:t>Potassium citrate and citric acid:</w:t>
            </w:r>
          </w:p>
          <w:p w:rsidRPr="00D303C0" w:rsidR="00260BC8" w:rsidP="001B0E05" w:rsidRDefault="00260BC8" w14:paraId="02AD7C83" w14:textId="77777777">
            <w:pPr>
              <w:pStyle w:val="ListParagraph"/>
              <w:numPr>
                <w:ilvl w:val="0"/>
                <w:numId w:val="140"/>
              </w:numPr>
              <w:rPr>
                <w:rFonts w:asciiTheme="minorHAnsi" w:hAnsiTheme="minorHAnsi"/>
                <w:sz w:val="20"/>
              </w:rPr>
            </w:pPr>
            <w:r>
              <w:rPr>
                <w:rFonts w:asciiTheme="minorHAnsi" w:hAnsiTheme="minorHAnsi"/>
                <w:sz w:val="20"/>
              </w:rPr>
              <w:t>Treatment of hypokalaemia in the presence of simultaneous metabolic acidosis</w:t>
            </w:r>
          </w:p>
        </w:tc>
      </w:tr>
      <w:tr w:rsidRPr="003A7895" w:rsidR="00260BC8" w:rsidTr="00131848" w14:paraId="3CEFAD52" w14:textId="77777777">
        <w:trPr>
          <w:trHeight w:val="158"/>
        </w:trPr>
        <w:tc>
          <w:tcPr>
            <w:tcW w:w="1701" w:type="dxa"/>
          </w:tcPr>
          <w:p w:rsidRPr="00B53E9B" w:rsidR="00260BC8" w:rsidP="00131848" w:rsidRDefault="00260BC8" w14:paraId="724EBBF4" w14:textId="77777777">
            <w:pPr>
              <w:pStyle w:val="BodyText"/>
              <w:rPr>
                <w:rFonts w:cs="Arial"/>
                <w:b/>
                <w:bCs/>
                <w:sz w:val="20"/>
              </w:rPr>
            </w:pPr>
            <w:r w:rsidRPr="00B53E9B">
              <w:rPr>
                <w:rFonts w:cs="Arial"/>
                <w:b/>
                <w:bCs/>
                <w:sz w:val="20"/>
              </w:rPr>
              <w:t>Action</w:t>
            </w:r>
          </w:p>
        </w:tc>
        <w:tc>
          <w:tcPr>
            <w:tcW w:w="8789" w:type="dxa"/>
          </w:tcPr>
          <w:p w:rsidRPr="00250D9E" w:rsidR="00260BC8" w:rsidP="00131848" w:rsidRDefault="00260BC8" w14:paraId="518D8337" w14:textId="77777777">
            <w:pPr>
              <w:rPr>
                <w:rFonts w:cs="Arial" w:asciiTheme="minorHAnsi" w:hAnsiTheme="minorHAnsi"/>
                <w:sz w:val="20"/>
              </w:rPr>
            </w:pPr>
            <w:r w:rsidRPr="00115D99">
              <w:rPr>
                <w:rFonts w:cs="Arial" w:asciiTheme="minorHAnsi" w:hAnsiTheme="minorHAnsi"/>
                <w:sz w:val="20"/>
              </w:rPr>
              <w:t>Intracellular cation. Essential in the maintenance of body fluid composition and electrolyte balance.</w:t>
            </w:r>
          </w:p>
        </w:tc>
      </w:tr>
      <w:tr w:rsidRPr="003A7895" w:rsidR="00260BC8" w:rsidTr="00131848" w14:paraId="748F71A5" w14:textId="77777777">
        <w:trPr>
          <w:trHeight w:val="266"/>
        </w:trPr>
        <w:tc>
          <w:tcPr>
            <w:tcW w:w="1701" w:type="dxa"/>
          </w:tcPr>
          <w:p w:rsidRPr="00B53E9B" w:rsidR="00260BC8" w:rsidP="00131848" w:rsidRDefault="00260BC8" w14:paraId="51D9028C" w14:textId="77777777">
            <w:pPr>
              <w:pStyle w:val="BodyText"/>
              <w:rPr>
                <w:rFonts w:cs="Arial"/>
                <w:sz w:val="20"/>
              </w:rPr>
            </w:pPr>
            <w:r>
              <w:rPr>
                <w:rFonts w:cs="Arial"/>
                <w:b/>
                <w:bCs/>
                <w:sz w:val="20"/>
              </w:rPr>
              <w:t>Drug t</w:t>
            </w:r>
            <w:r w:rsidRPr="00B53E9B">
              <w:rPr>
                <w:rFonts w:cs="Arial"/>
                <w:b/>
                <w:bCs/>
                <w:sz w:val="20"/>
              </w:rPr>
              <w:t>ype</w:t>
            </w:r>
          </w:p>
        </w:tc>
        <w:tc>
          <w:tcPr>
            <w:tcW w:w="8789" w:type="dxa"/>
          </w:tcPr>
          <w:p w:rsidRPr="00250D9E" w:rsidR="00260BC8" w:rsidP="00131848" w:rsidRDefault="00260BC8" w14:paraId="0D4393F2" w14:textId="77777777">
            <w:pPr>
              <w:pStyle w:val="BodyText"/>
              <w:rPr>
                <w:rFonts w:cs="Arial" w:asciiTheme="minorHAnsi" w:hAnsiTheme="minorHAnsi"/>
                <w:sz w:val="20"/>
              </w:rPr>
            </w:pPr>
            <w:r>
              <w:rPr>
                <w:rFonts w:cs="Arial" w:asciiTheme="minorHAnsi" w:hAnsiTheme="minorHAnsi"/>
                <w:sz w:val="20"/>
              </w:rPr>
              <w:t>Electrolyte</w:t>
            </w:r>
          </w:p>
        </w:tc>
      </w:tr>
      <w:tr w:rsidRPr="003A7895" w:rsidR="00260BC8" w:rsidTr="00131848" w14:paraId="4D5542BE" w14:textId="77777777">
        <w:trPr>
          <w:trHeight w:val="114"/>
        </w:trPr>
        <w:tc>
          <w:tcPr>
            <w:tcW w:w="1701" w:type="dxa"/>
          </w:tcPr>
          <w:p w:rsidRPr="00B53E9B" w:rsidR="00260BC8" w:rsidP="00131848" w:rsidRDefault="00260BC8" w14:paraId="3E07B2C3"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789" w:type="dxa"/>
          </w:tcPr>
          <w:p w:rsidR="00260BC8" w:rsidP="001B0E05" w:rsidRDefault="00260BC8" w14:paraId="4861CB5D" w14:textId="77777777">
            <w:pPr>
              <w:pStyle w:val="BodyText"/>
              <w:numPr>
                <w:ilvl w:val="0"/>
                <w:numId w:val="143"/>
              </w:numPr>
              <w:overflowPunct w:val="0"/>
              <w:autoSpaceDE w:val="0"/>
              <w:autoSpaceDN w:val="0"/>
              <w:adjustRightInd w:val="0"/>
              <w:jc w:val="left"/>
              <w:textAlignment w:val="baseline"/>
              <w:rPr>
                <w:rFonts w:cs="Arial" w:asciiTheme="minorHAnsi" w:hAnsiTheme="minorHAnsi"/>
                <w:sz w:val="20"/>
              </w:rPr>
            </w:pPr>
            <w:r w:rsidRPr="00A357A2">
              <w:rPr>
                <w:rFonts w:cs="Arial" w:asciiTheme="minorHAnsi" w:hAnsiTheme="minorHAnsi"/>
                <w:sz w:val="20"/>
              </w:rPr>
              <w:t xml:space="preserve">Potassium chloride </w:t>
            </w:r>
            <w:r>
              <w:rPr>
                <w:rFonts w:cs="Arial" w:asciiTheme="minorHAnsi" w:hAnsiTheme="minorHAnsi"/>
                <w:sz w:val="20"/>
              </w:rPr>
              <w:t xml:space="preserve">oral mixture </w:t>
            </w:r>
            <w:r w:rsidRPr="00A357A2">
              <w:rPr>
                <w:rFonts w:cs="Arial" w:asciiTheme="minorHAnsi" w:hAnsiTheme="minorHAnsi"/>
                <w:sz w:val="20"/>
              </w:rPr>
              <w:t xml:space="preserve">10% w/v </w:t>
            </w:r>
            <w:r>
              <w:rPr>
                <w:rFonts w:cs="Arial" w:asciiTheme="minorHAnsi" w:hAnsiTheme="minorHAnsi"/>
                <w:sz w:val="20"/>
              </w:rPr>
              <w:t>by Perrigo</w:t>
            </w:r>
          </w:p>
          <w:p w:rsidR="00260BC8" w:rsidP="001B0E05" w:rsidRDefault="00260BC8" w14:paraId="6AC39788" w14:textId="77777777">
            <w:pPr>
              <w:pStyle w:val="BodyText"/>
              <w:numPr>
                <w:ilvl w:val="0"/>
                <w:numId w:val="143"/>
              </w:numPr>
              <w:overflowPunct w:val="0"/>
              <w:autoSpaceDE w:val="0"/>
              <w:autoSpaceDN w:val="0"/>
              <w:adjustRightInd w:val="0"/>
              <w:jc w:val="left"/>
              <w:textAlignment w:val="baseline"/>
              <w:rPr>
                <w:rFonts w:cs="Arial" w:asciiTheme="minorHAnsi" w:hAnsiTheme="minorHAnsi"/>
                <w:sz w:val="20"/>
              </w:rPr>
            </w:pPr>
            <w:r w:rsidRPr="00A357A2">
              <w:rPr>
                <w:rFonts w:cs="Arial" w:asciiTheme="minorHAnsi" w:hAnsiTheme="minorHAnsi"/>
                <w:sz w:val="20"/>
              </w:rPr>
              <w:t>Potassium citrate and citric acid oral mixture (Uricosal)</w:t>
            </w:r>
          </w:p>
          <w:p w:rsidRPr="003F400A" w:rsidR="00260BC8" w:rsidP="001B0E05" w:rsidRDefault="00260BC8" w14:paraId="6C993A0F" w14:textId="77777777">
            <w:pPr>
              <w:pStyle w:val="BodyText"/>
              <w:numPr>
                <w:ilvl w:val="0"/>
                <w:numId w:val="143"/>
              </w:numPr>
              <w:overflowPunct w:val="0"/>
              <w:autoSpaceDE w:val="0"/>
              <w:autoSpaceDN w:val="0"/>
              <w:adjustRightInd w:val="0"/>
              <w:jc w:val="left"/>
              <w:textAlignment w:val="baseline"/>
              <w:rPr>
                <w:rFonts w:cs="Arial" w:asciiTheme="minorHAnsi" w:hAnsiTheme="minorHAnsi"/>
                <w:sz w:val="20"/>
              </w:rPr>
            </w:pPr>
            <w:r>
              <w:rPr>
                <w:rFonts w:cs="Arial" w:asciiTheme="minorHAnsi" w:hAnsiTheme="minorHAnsi"/>
                <w:sz w:val="20"/>
              </w:rPr>
              <w:t>Potassium citrate mixture APF</w:t>
            </w:r>
          </w:p>
        </w:tc>
      </w:tr>
      <w:tr w:rsidRPr="003A7895" w:rsidR="00260BC8" w:rsidTr="00131848" w14:paraId="3C5339BB" w14:textId="77777777">
        <w:trPr>
          <w:trHeight w:val="70"/>
        </w:trPr>
        <w:tc>
          <w:tcPr>
            <w:tcW w:w="1701" w:type="dxa"/>
          </w:tcPr>
          <w:p w:rsidRPr="00B53E9B" w:rsidR="00260BC8" w:rsidP="00131848" w:rsidRDefault="00260BC8" w14:paraId="5AEE3F13" w14:textId="77777777">
            <w:pPr>
              <w:pStyle w:val="BodyText"/>
              <w:rPr>
                <w:rFonts w:cs="Arial"/>
                <w:b/>
                <w:bCs/>
                <w:sz w:val="20"/>
              </w:rPr>
            </w:pPr>
            <w:r w:rsidRPr="00B53E9B">
              <w:rPr>
                <w:rFonts w:cs="Arial"/>
                <w:b/>
                <w:bCs/>
                <w:sz w:val="20"/>
              </w:rPr>
              <w:t xml:space="preserve">Presentation </w:t>
            </w:r>
          </w:p>
        </w:tc>
        <w:tc>
          <w:tcPr>
            <w:tcW w:w="8789" w:type="dxa"/>
          </w:tcPr>
          <w:p w:rsidR="00260BC8" w:rsidP="001B0E05" w:rsidRDefault="00260BC8" w14:paraId="00F6A3C2" w14:textId="77777777">
            <w:pPr>
              <w:pStyle w:val="BodyText"/>
              <w:numPr>
                <w:ilvl w:val="0"/>
                <w:numId w:val="142"/>
              </w:numPr>
              <w:overflowPunct w:val="0"/>
              <w:autoSpaceDE w:val="0"/>
              <w:autoSpaceDN w:val="0"/>
              <w:adjustRightInd w:val="0"/>
              <w:jc w:val="left"/>
              <w:textAlignment w:val="baseline"/>
              <w:rPr>
                <w:rFonts w:cs="Arial" w:asciiTheme="minorHAnsi" w:hAnsiTheme="minorHAnsi"/>
                <w:sz w:val="20"/>
              </w:rPr>
            </w:pPr>
            <w:r w:rsidRPr="00A357A2">
              <w:rPr>
                <w:rFonts w:cs="Arial" w:asciiTheme="minorHAnsi" w:hAnsiTheme="minorHAnsi"/>
                <w:sz w:val="20"/>
              </w:rPr>
              <w:t xml:space="preserve">Potassium Chloride </w:t>
            </w:r>
            <w:r w:rsidRPr="00944599">
              <w:rPr>
                <w:rFonts w:cs="Arial" w:asciiTheme="minorHAnsi" w:hAnsiTheme="minorHAnsi"/>
                <w:sz w:val="20"/>
              </w:rPr>
              <w:t xml:space="preserve">oral mixture 10% w/v by Perrigo </w:t>
            </w:r>
            <w:r>
              <w:rPr>
                <w:rFonts w:cs="Arial" w:asciiTheme="minorHAnsi" w:hAnsiTheme="minorHAnsi"/>
                <w:sz w:val="20"/>
              </w:rPr>
              <w:t xml:space="preserve">– 500 mL bottle. Potassium content: 20mmol/15mL = </w:t>
            </w:r>
            <w:r w:rsidRPr="00A357A2">
              <w:rPr>
                <w:rFonts w:cs="Arial" w:asciiTheme="minorHAnsi" w:hAnsiTheme="minorHAnsi"/>
                <w:b/>
                <w:sz w:val="20"/>
              </w:rPr>
              <w:t>1.</w:t>
            </w:r>
            <w:r>
              <w:rPr>
                <w:rFonts w:cs="Arial" w:asciiTheme="minorHAnsi" w:hAnsiTheme="minorHAnsi"/>
                <w:b/>
                <w:sz w:val="20"/>
              </w:rPr>
              <w:t>33</w:t>
            </w:r>
            <w:r w:rsidRPr="00A357A2">
              <w:rPr>
                <w:rFonts w:cs="Arial" w:asciiTheme="minorHAnsi" w:hAnsiTheme="minorHAnsi"/>
                <w:b/>
                <w:sz w:val="20"/>
              </w:rPr>
              <w:t xml:space="preserve"> mmol/</w:t>
            </w:r>
            <w:r>
              <w:rPr>
                <w:rFonts w:cs="Arial" w:asciiTheme="minorHAnsi" w:hAnsiTheme="minorHAnsi"/>
                <w:b/>
                <w:sz w:val="20"/>
              </w:rPr>
              <w:t>1 mL.</w:t>
            </w:r>
          </w:p>
          <w:p w:rsidR="00260BC8" w:rsidP="001B0E05" w:rsidRDefault="00260BC8" w14:paraId="10F4F384" w14:textId="77777777">
            <w:pPr>
              <w:pStyle w:val="BodyText"/>
              <w:numPr>
                <w:ilvl w:val="0"/>
                <w:numId w:val="142"/>
              </w:numPr>
              <w:overflowPunct w:val="0"/>
              <w:autoSpaceDE w:val="0"/>
              <w:autoSpaceDN w:val="0"/>
              <w:adjustRightInd w:val="0"/>
              <w:jc w:val="left"/>
              <w:textAlignment w:val="baseline"/>
              <w:rPr>
                <w:rFonts w:cs="Arial" w:asciiTheme="minorHAnsi" w:hAnsiTheme="minorHAnsi"/>
                <w:sz w:val="20"/>
              </w:rPr>
            </w:pPr>
            <w:r>
              <w:rPr>
                <w:rFonts w:cs="Arial" w:asciiTheme="minorHAnsi" w:hAnsiTheme="minorHAnsi"/>
                <w:sz w:val="20"/>
              </w:rPr>
              <w:t xml:space="preserve">Potassium citrate and citric acid oral mixture (Uricosal): Potassium content: </w:t>
            </w:r>
            <w:r w:rsidRPr="00D303C0">
              <w:rPr>
                <w:rFonts w:cs="Arial" w:asciiTheme="minorHAnsi" w:hAnsiTheme="minorHAnsi"/>
                <w:b/>
                <w:sz w:val="20"/>
              </w:rPr>
              <w:t>1.9 mmol/</w:t>
            </w:r>
            <w:r>
              <w:rPr>
                <w:rFonts w:cs="Arial" w:asciiTheme="minorHAnsi" w:hAnsiTheme="minorHAnsi"/>
                <w:b/>
                <w:sz w:val="20"/>
              </w:rPr>
              <w:t xml:space="preserve">1 </w:t>
            </w:r>
            <w:r w:rsidRPr="00D303C0">
              <w:rPr>
                <w:rFonts w:cs="Arial" w:asciiTheme="minorHAnsi" w:hAnsiTheme="minorHAnsi"/>
                <w:b/>
                <w:sz w:val="20"/>
              </w:rPr>
              <w:t>mL</w:t>
            </w:r>
            <w:r>
              <w:rPr>
                <w:rFonts w:cs="Arial" w:asciiTheme="minorHAnsi" w:hAnsiTheme="minorHAnsi"/>
                <w:b/>
                <w:sz w:val="20"/>
              </w:rPr>
              <w:t xml:space="preserve"> </w:t>
            </w:r>
            <w:r w:rsidRPr="00944599">
              <w:rPr>
                <w:rFonts w:cs="Arial" w:asciiTheme="minorHAnsi" w:hAnsiTheme="minorHAnsi"/>
                <w:sz w:val="20"/>
              </w:rPr>
              <w:t>and citrate content</w:t>
            </w:r>
            <w:r>
              <w:rPr>
                <w:rFonts w:cs="Arial" w:asciiTheme="minorHAnsi" w:hAnsiTheme="minorHAnsi"/>
                <w:b/>
                <w:sz w:val="20"/>
              </w:rPr>
              <w:t>:</w:t>
            </w:r>
            <w:r>
              <w:rPr>
                <w:rFonts w:cs="Arial" w:asciiTheme="minorHAnsi" w:hAnsiTheme="minorHAnsi"/>
                <w:sz w:val="20"/>
              </w:rPr>
              <w:t xml:space="preserve"> </w:t>
            </w:r>
            <w:r w:rsidRPr="00944599">
              <w:rPr>
                <w:rFonts w:cs="Arial" w:asciiTheme="minorHAnsi" w:hAnsiTheme="minorHAnsi"/>
                <w:sz w:val="20"/>
              </w:rPr>
              <w:t>40mg/1 mL.</w:t>
            </w:r>
          </w:p>
          <w:p w:rsidRPr="003F400A" w:rsidR="00260BC8" w:rsidP="001B0E05" w:rsidRDefault="00260BC8" w14:paraId="202EBE9C" w14:textId="77777777">
            <w:pPr>
              <w:pStyle w:val="BodyText"/>
              <w:numPr>
                <w:ilvl w:val="0"/>
                <w:numId w:val="142"/>
              </w:numPr>
              <w:overflowPunct w:val="0"/>
              <w:autoSpaceDE w:val="0"/>
              <w:autoSpaceDN w:val="0"/>
              <w:adjustRightInd w:val="0"/>
              <w:jc w:val="left"/>
              <w:textAlignment w:val="baseline"/>
              <w:rPr>
                <w:rFonts w:cs="Arial" w:asciiTheme="minorHAnsi" w:hAnsiTheme="minorHAnsi"/>
                <w:sz w:val="20"/>
              </w:rPr>
            </w:pPr>
            <w:r w:rsidRPr="009A6389">
              <w:rPr>
                <w:rFonts w:cs="Arial" w:asciiTheme="minorHAnsi" w:hAnsiTheme="minorHAnsi"/>
                <w:sz w:val="20"/>
              </w:rPr>
              <w:t xml:space="preserve">Potassium citrate mixture </w:t>
            </w:r>
            <w:r>
              <w:rPr>
                <w:rFonts w:cs="Arial" w:asciiTheme="minorHAnsi" w:hAnsiTheme="minorHAnsi"/>
                <w:sz w:val="20"/>
              </w:rPr>
              <w:t>Australian Pharmaceutical Formulary (</w:t>
            </w:r>
            <w:r w:rsidRPr="009A6389">
              <w:rPr>
                <w:rFonts w:cs="Arial" w:asciiTheme="minorHAnsi" w:hAnsiTheme="minorHAnsi"/>
                <w:sz w:val="20"/>
              </w:rPr>
              <w:t>APF</w:t>
            </w:r>
            <w:r>
              <w:rPr>
                <w:rFonts w:cs="Arial" w:asciiTheme="minorHAnsi" w:hAnsiTheme="minorHAnsi"/>
                <w:sz w:val="20"/>
              </w:rPr>
              <w:t xml:space="preserve">) - </w:t>
            </w:r>
            <w:r w:rsidRPr="009A6389">
              <w:rPr>
                <w:rFonts w:cs="Arial" w:asciiTheme="minorHAnsi" w:hAnsiTheme="minorHAnsi"/>
                <w:sz w:val="20"/>
              </w:rPr>
              <w:t>compounded</w:t>
            </w:r>
            <w:r>
              <w:rPr>
                <w:rFonts w:cs="Arial" w:asciiTheme="minorHAnsi" w:hAnsiTheme="minorHAnsi"/>
                <w:sz w:val="20"/>
              </w:rPr>
              <w:t xml:space="preserve"> in-house by</w:t>
            </w:r>
            <w:r w:rsidRPr="009A6389">
              <w:rPr>
                <w:rFonts w:cs="Arial" w:asciiTheme="minorHAnsi" w:hAnsiTheme="minorHAnsi"/>
                <w:sz w:val="20"/>
              </w:rPr>
              <w:t xml:space="preserve"> pharmacy</w:t>
            </w:r>
            <w:r>
              <w:rPr>
                <w:rFonts w:cs="Arial" w:asciiTheme="minorHAnsi" w:hAnsiTheme="minorHAnsi"/>
                <w:sz w:val="20"/>
              </w:rPr>
              <w:t xml:space="preserve"> – Refer to local hospital policies.</w:t>
            </w:r>
          </w:p>
        </w:tc>
      </w:tr>
      <w:tr w:rsidRPr="000E2236" w:rsidR="00260BC8" w:rsidTr="00131848" w14:paraId="6A2156CE" w14:textId="77777777">
        <w:trPr>
          <w:trHeight w:val="162"/>
        </w:trPr>
        <w:tc>
          <w:tcPr>
            <w:tcW w:w="1701" w:type="dxa"/>
          </w:tcPr>
          <w:p w:rsidRPr="00B53E9B" w:rsidR="00260BC8" w:rsidP="00131848" w:rsidRDefault="00260BC8" w14:paraId="5FDA8EF7" w14:textId="77777777">
            <w:pPr>
              <w:pStyle w:val="BodyText"/>
              <w:rPr>
                <w:rFonts w:cs="Arial"/>
                <w:b/>
                <w:bCs/>
                <w:sz w:val="20"/>
              </w:rPr>
            </w:pPr>
            <w:r>
              <w:rPr>
                <w:rFonts w:cs="Arial"/>
                <w:b/>
                <w:bCs/>
                <w:sz w:val="20"/>
              </w:rPr>
              <w:t>Dose</w:t>
            </w:r>
            <w:r w:rsidRPr="00B53E9B">
              <w:rPr>
                <w:rFonts w:cs="Arial"/>
                <w:b/>
                <w:bCs/>
                <w:sz w:val="20"/>
              </w:rPr>
              <w:t xml:space="preserve"> </w:t>
            </w:r>
          </w:p>
        </w:tc>
        <w:tc>
          <w:tcPr>
            <w:tcW w:w="8789" w:type="dxa"/>
          </w:tcPr>
          <w:p w:rsidR="00260BC8" w:rsidP="00131848" w:rsidRDefault="00260BC8" w14:paraId="5EAB7B96" w14:textId="77777777">
            <w:pPr>
              <w:pStyle w:val="BodyText"/>
              <w:rPr>
                <w:rFonts w:asciiTheme="minorHAnsi" w:hAnsiTheme="minorHAnsi"/>
                <w:sz w:val="20"/>
              </w:rPr>
            </w:pPr>
            <w:r>
              <w:rPr>
                <w:rFonts w:asciiTheme="minorHAnsi" w:hAnsiTheme="minorHAnsi"/>
                <w:sz w:val="20"/>
              </w:rPr>
              <w:t>0.5-1.5 mmol/kg/dose 6-12 hourly (1-6 mmol/kg/day)*</w:t>
            </w:r>
          </w:p>
          <w:p w:rsidRPr="00250D9E" w:rsidR="00260BC8" w:rsidP="00131848" w:rsidRDefault="00260BC8" w14:paraId="73B10BDF" w14:textId="77777777">
            <w:pPr>
              <w:pStyle w:val="BodyText"/>
              <w:rPr>
                <w:rFonts w:asciiTheme="minorHAnsi" w:hAnsiTheme="minorHAnsi"/>
                <w:sz w:val="20"/>
              </w:rPr>
            </w:pPr>
            <w:r>
              <w:rPr>
                <w:rFonts w:asciiTheme="minorHAnsi" w:hAnsiTheme="minorHAnsi"/>
                <w:sz w:val="20"/>
              </w:rPr>
              <w:t>*</w:t>
            </w:r>
            <w:r w:rsidRPr="00D303C0">
              <w:rPr>
                <w:rFonts w:asciiTheme="minorHAnsi" w:hAnsiTheme="minorHAnsi"/>
                <w:sz w:val="20"/>
              </w:rPr>
              <w:t>Always prescribe as millimol (mmol) of elemental potassium</w:t>
            </w:r>
            <w:r>
              <w:rPr>
                <w:rFonts w:asciiTheme="minorHAnsi" w:hAnsiTheme="minorHAnsi"/>
                <w:sz w:val="20"/>
              </w:rPr>
              <w:t>.</w:t>
            </w:r>
          </w:p>
        </w:tc>
      </w:tr>
      <w:tr w:rsidRPr="003A7895" w:rsidR="00260BC8" w:rsidTr="00131848" w14:paraId="0CFE4209" w14:textId="77777777">
        <w:trPr>
          <w:trHeight w:val="140"/>
        </w:trPr>
        <w:tc>
          <w:tcPr>
            <w:tcW w:w="1701" w:type="dxa"/>
          </w:tcPr>
          <w:p w:rsidRPr="00B53E9B" w:rsidR="00260BC8" w:rsidP="00131848" w:rsidRDefault="00260BC8" w14:paraId="1C0C1326" w14:textId="77777777">
            <w:pPr>
              <w:pStyle w:val="BodyText"/>
              <w:rPr>
                <w:b/>
                <w:sz w:val="20"/>
              </w:rPr>
            </w:pPr>
            <w:r w:rsidRPr="00B53E9B">
              <w:rPr>
                <w:b/>
                <w:sz w:val="20"/>
              </w:rPr>
              <w:t>Dose adjustment</w:t>
            </w:r>
          </w:p>
        </w:tc>
        <w:tc>
          <w:tcPr>
            <w:tcW w:w="8789" w:type="dxa"/>
          </w:tcPr>
          <w:p w:rsidR="00260BC8" w:rsidP="00131848" w:rsidRDefault="00260BC8" w14:paraId="16476B61" w14:textId="77777777">
            <w:pPr>
              <w:pStyle w:val="BodyText"/>
              <w:rPr>
                <w:rFonts w:asciiTheme="minorHAnsi" w:hAnsiTheme="minorHAnsi"/>
                <w:sz w:val="20"/>
              </w:rPr>
            </w:pPr>
            <w:r>
              <w:rPr>
                <w:rFonts w:asciiTheme="minorHAnsi" w:hAnsiTheme="minorHAnsi"/>
                <w:sz w:val="20"/>
              </w:rPr>
              <w:t>Adjust dose based on serum potassium concentrations.</w:t>
            </w:r>
          </w:p>
          <w:p w:rsidRPr="00250D9E" w:rsidR="00260BC8" w:rsidP="00131848" w:rsidRDefault="00260BC8" w14:paraId="4CEF2228" w14:textId="77777777">
            <w:pPr>
              <w:pStyle w:val="BodyText"/>
              <w:rPr>
                <w:rFonts w:asciiTheme="minorHAnsi" w:hAnsiTheme="minorHAnsi"/>
                <w:sz w:val="20"/>
              </w:rPr>
            </w:pPr>
            <w:r>
              <w:rPr>
                <w:rFonts w:asciiTheme="minorHAnsi" w:hAnsiTheme="minorHAnsi"/>
                <w:sz w:val="20"/>
              </w:rPr>
              <w:t>Renal impairment- increased risk of hyperkalaemia. Avoid in severe renal impairment.</w:t>
            </w:r>
          </w:p>
        </w:tc>
      </w:tr>
      <w:tr w:rsidRPr="003A7895" w:rsidR="00260BC8" w:rsidTr="00131848" w14:paraId="5818E9D5" w14:textId="77777777">
        <w:trPr>
          <w:trHeight w:val="113"/>
        </w:trPr>
        <w:tc>
          <w:tcPr>
            <w:tcW w:w="1701" w:type="dxa"/>
          </w:tcPr>
          <w:p w:rsidRPr="00B53E9B" w:rsidR="00260BC8" w:rsidP="00131848" w:rsidRDefault="00260BC8" w14:paraId="1137FD28" w14:textId="77777777">
            <w:pPr>
              <w:pStyle w:val="BodyText"/>
              <w:rPr>
                <w:b/>
                <w:sz w:val="20"/>
              </w:rPr>
            </w:pPr>
            <w:r w:rsidRPr="00B53E9B">
              <w:rPr>
                <w:b/>
                <w:sz w:val="20"/>
              </w:rPr>
              <w:t>Maximum dose</w:t>
            </w:r>
          </w:p>
        </w:tc>
        <w:tc>
          <w:tcPr>
            <w:tcW w:w="8789" w:type="dxa"/>
          </w:tcPr>
          <w:p w:rsidRPr="00250D9E" w:rsidR="00260BC8" w:rsidP="00131848" w:rsidRDefault="00260BC8" w14:paraId="2BF7AF9D" w14:textId="77777777">
            <w:pPr>
              <w:pStyle w:val="BodyText"/>
              <w:rPr>
                <w:rFonts w:asciiTheme="minorHAnsi" w:hAnsiTheme="minorHAnsi"/>
                <w:sz w:val="20"/>
              </w:rPr>
            </w:pPr>
          </w:p>
        </w:tc>
      </w:tr>
      <w:tr w:rsidRPr="003A7895" w:rsidR="00260BC8" w:rsidTr="00131848" w14:paraId="54DF03CE" w14:textId="77777777">
        <w:trPr>
          <w:trHeight w:val="144"/>
        </w:trPr>
        <w:tc>
          <w:tcPr>
            <w:tcW w:w="1701" w:type="dxa"/>
          </w:tcPr>
          <w:p w:rsidRPr="00B53E9B" w:rsidR="00260BC8" w:rsidP="00131848" w:rsidRDefault="00260BC8" w14:paraId="4ECF7B60" w14:textId="77777777">
            <w:pPr>
              <w:pStyle w:val="BodyText"/>
              <w:rPr>
                <w:rFonts w:cs="Arial"/>
                <w:b/>
                <w:bCs/>
                <w:sz w:val="20"/>
              </w:rPr>
            </w:pPr>
            <w:r w:rsidRPr="00B53E9B">
              <w:rPr>
                <w:b/>
                <w:sz w:val="20"/>
              </w:rPr>
              <w:t>Total cumulative dose</w:t>
            </w:r>
          </w:p>
        </w:tc>
        <w:tc>
          <w:tcPr>
            <w:tcW w:w="8789" w:type="dxa"/>
          </w:tcPr>
          <w:p w:rsidRPr="00250D9E" w:rsidR="00260BC8" w:rsidP="00131848" w:rsidRDefault="00260BC8" w14:paraId="08BCFA67" w14:textId="77777777">
            <w:pPr>
              <w:pStyle w:val="BodyText"/>
              <w:rPr>
                <w:rFonts w:cs="Arial" w:asciiTheme="minorHAnsi" w:hAnsiTheme="minorHAnsi"/>
                <w:b/>
                <w:sz w:val="20"/>
              </w:rPr>
            </w:pPr>
          </w:p>
        </w:tc>
      </w:tr>
      <w:tr w:rsidRPr="003A7895" w:rsidR="00260BC8" w:rsidTr="00131848" w14:paraId="52EC446C" w14:textId="77777777">
        <w:trPr>
          <w:trHeight w:val="294"/>
        </w:trPr>
        <w:tc>
          <w:tcPr>
            <w:tcW w:w="1701" w:type="dxa"/>
          </w:tcPr>
          <w:p w:rsidRPr="00B53E9B" w:rsidR="00260BC8" w:rsidP="00131848" w:rsidRDefault="00260BC8" w14:paraId="0AA1CD22" w14:textId="77777777">
            <w:pPr>
              <w:pStyle w:val="BodyText"/>
              <w:rPr>
                <w:rFonts w:cs="Arial"/>
                <w:sz w:val="20"/>
              </w:rPr>
            </w:pPr>
            <w:r w:rsidRPr="00B53E9B">
              <w:rPr>
                <w:rFonts w:cs="Arial"/>
                <w:b/>
                <w:bCs/>
                <w:sz w:val="20"/>
              </w:rPr>
              <w:t xml:space="preserve">Route </w:t>
            </w:r>
          </w:p>
        </w:tc>
        <w:tc>
          <w:tcPr>
            <w:tcW w:w="8789" w:type="dxa"/>
          </w:tcPr>
          <w:p w:rsidRPr="00250D9E" w:rsidR="00260BC8" w:rsidP="00131848" w:rsidRDefault="00260BC8" w14:paraId="7C4735EA" w14:textId="77777777">
            <w:pPr>
              <w:pStyle w:val="BodyText"/>
              <w:rPr>
                <w:rFonts w:cs="Arial" w:asciiTheme="minorHAnsi" w:hAnsiTheme="minorHAnsi"/>
                <w:sz w:val="20"/>
              </w:rPr>
            </w:pPr>
            <w:r>
              <w:rPr>
                <w:rFonts w:cs="Arial" w:asciiTheme="minorHAnsi" w:hAnsiTheme="minorHAnsi"/>
                <w:sz w:val="20"/>
              </w:rPr>
              <w:t>Oral</w:t>
            </w:r>
          </w:p>
        </w:tc>
      </w:tr>
      <w:tr w:rsidRPr="003A7895" w:rsidR="00260BC8" w:rsidTr="00131848" w14:paraId="6EF3CB3C" w14:textId="77777777">
        <w:trPr>
          <w:trHeight w:val="93"/>
        </w:trPr>
        <w:tc>
          <w:tcPr>
            <w:tcW w:w="1701" w:type="dxa"/>
          </w:tcPr>
          <w:p w:rsidRPr="00B53E9B" w:rsidR="00260BC8" w:rsidP="00131848" w:rsidRDefault="00260BC8" w14:paraId="4D09CB29"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789" w:type="dxa"/>
          </w:tcPr>
          <w:p w:rsidRPr="00A8149A" w:rsidR="00260BC8" w:rsidP="00131848" w:rsidRDefault="00260BC8" w14:paraId="0BC3BB44" w14:textId="77777777">
            <w:pPr>
              <w:pStyle w:val="BodyText"/>
              <w:rPr>
                <w:rFonts w:cs="Arial" w:asciiTheme="minorHAnsi" w:hAnsiTheme="minorHAnsi"/>
                <w:sz w:val="20"/>
              </w:rPr>
            </w:pPr>
            <w:r>
              <w:rPr>
                <w:rFonts w:cs="Arial" w:asciiTheme="minorHAnsi" w:hAnsiTheme="minorHAnsi"/>
                <w:sz w:val="20"/>
              </w:rPr>
              <w:t>No preparation required.</w:t>
            </w:r>
          </w:p>
        </w:tc>
      </w:tr>
      <w:tr w:rsidRPr="003A7895" w:rsidR="00260BC8" w:rsidTr="00131848" w14:paraId="573D1601" w14:textId="77777777">
        <w:trPr>
          <w:trHeight w:val="224"/>
        </w:trPr>
        <w:tc>
          <w:tcPr>
            <w:tcW w:w="1701" w:type="dxa"/>
          </w:tcPr>
          <w:p w:rsidRPr="00B53E9B" w:rsidR="00260BC8" w:rsidP="00131848" w:rsidRDefault="00260BC8" w14:paraId="19C8AB18" w14:textId="77777777">
            <w:pPr>
              <w:pStyle w:val="BodyText"/>
              <w:rPr>
                <w:rFonts w:cs="Arial"/>
                <w:b/>
                <w:bCs/>
                <w:sz w:val="20"/>
              </w:rPr>
            </w:pPr>
            <w:r w:rsidRPr="00B53E9B">
              <w:rPr>
                <w:rFonts w:cs="Arial"/>
                <w:b/>
                <w:bCs/>
                <w:sz w:val="20"/>
              </w:rPr>
              <w:t xml:space="preserve">Administration </w:t>
            </w:r>
          </w:p>
        </w:tc>
        <w:tc>
          <w:tcPr>
            <w:tcW w:w="8789" w:type="dxa"/>
            <w:vAlign w:val="center"/>
          </w:tcPr>
          <w:p w:rsidRPr="00250D9E" w:rsidR="00260BC8" w:rsidP="00131848" w:rsidRDefault="00260BC8" w14:paraId="42587995" w14:textId="77777777">
            <w:pPr>
              <w:pStyle w:val="BodyText"/>
              <w:rPr>
                <w:rFonts w:cs="Arial" w:asciiTheme="minorHAnsi" w:hAnsiTheme="minorHAnsi"/>
                <w:sz w:val="20"/>
              </w:rPr>
            </w:pPr>
            <w:r>
              <w:rPr>
                <w:rFonts w:cs="Arial" w:asciiTheme="minorHAnsi" w:hAnsiTheme="minorHAnsi"/>
                <w:sz w:val="20"/>
              </w:rPr>
              <w:t>Give oral doses with feeds to minimise gastric irritation.</w:t>
            </w:r>
          </w:p>
        </w:tc>
      </w:tr>
      <w:tr w:rsidRPr="003A7895" w:rsidR="00260BC8" w:rsidTr="00131848" w14:paraId="129E1855" w14:textId="77777777">
        <w:trPr>
          <w:trHeight w:val="215"/>
        </w:trPr>
        <w:tc>
          <w:tcPr>
            <w:tcW w:w="1701" w:type="dxa"/>
          </w:tcPr>
          <w:p w:rsidRPr="00B53E9B" w:rsidR="00260BC8" w:rsidP="00131848" w:rsidRDefault="00260BC8" w14:paraId="5D820C23" w14:textId="77777777">
            <w:pPr>
              <w:pStyle w:val="BodyText"/>
              <w:rPr>
                <w:rFonts w:cs="Arial"/>
                <w:b/>
                <w:bCs/>
                <w:sz w:val="20"/>
              </w:rPr>
            </w:pPr>
            <w:r w:rsidRPr="00B53E9B">
              <w:rPr>
                <w:rFonts w:cs="Arial"/>
                <w:b/>
                <w:bCs/>
                <w:sz w:val="20"/>
              </w:rPr>
              <w:t>Monitoring</w:t>
            </w:r>
          </w:p>
        </w:tc>
        <w:tc>
          <w:tcPr>
            <w:tcW w:w="8789" w:type="dxa"/>
          </w:tcPr>
          <w:p w:rsidR="00260BC8" w:rsidP="00131848" w:rsidRDefault="00260BC8" w14:paraId="61188A82" w14:textId="77777777">
            <w:pPr>
              <w:pStyle w:val="BodyText"/>
              <w:rPr>
                <w:rFonts w:cs="Arial" w:asciiTheme="minorHAnsi" w:hAnsiTheme="minorHAnsi"/>
                <w:sz w:val="20"/>
              </w:rPr>
            </w:pPr>
            <w:r>
              <w:rPr>
                <w:rFonts w:cs="Arial" w:asciiTheme="minorHAnsi" w:hAnsiTheme="minorHAnsi"/>
                <w:sz w:val="20"/>
              </w:rPr>
              <w:t>Close monitoring of serum potassium concentrations is needed to avoid hyperkalaemia.</w:t>
            </w:r>
          </w:p>
          <w:p w:rsidRPr="00250D9E" w:rsidR="00260BC8" w:rsidP="00131848" w:rsidRDefault="00260BC8" w14:paraId="0586775F" w14:textId="77777777">
            <w:pPr>
              <w:pStyle w:val="BodyText"/>
              <w:rPr>
                <w:rFonts w:cs="Arial" w:asciiTheme="minorHAnsi" w:hAnsiTheme="minorHAnsi"/>
                <w:sz w:val="20"/>
              </w:rPr>
            </w:pPr>
            <w:r>
              <w:rPr>
                <w:rFonts w:cs="Arial" w:asciiTheme="minorHAnsi" w:hAnsiTheme="minorHAnsi"/>
                <w:sz w:val="20"/>
              </w:rPr>
              <w:t>Clinical status including urine output, creatinine, electrolytes.</w:t>
            </w:r>
          </w:p>
        </w:tc>
      </w:tr>
      <w:tr w:rsidRPr="003A7895" w:rsidR="00260BC8" w:rsidTr="00131848" w14:paraId="1A6FB772" w14:textId="77777777">
        <w:trPr>
          <w:trHeight w:val="342"/>
        </w:trPr>
        <w:tc>
          <w:tcPr>
            <w:tcW w:w="1701" w:type="dxa"/>
          </w:tcPr>
          <w:p w:rsidRPr="00B53E9B" w:rsidR="00260BC8" w:rsidP="00131848" w:rsidRDefault="00260BC8" w14:paraId="56183DC8" w14:textId="77777777">
            <w:pPr>
              <w:pStyle w:val="BodyText"/>
              <w:rPr>
                <w:rFonts w:cs="Arial"/>
                <w:b/>
                <w:bCs/>
                <w:sz w:val="20"/>
              </w:rPr>
            </w:pPr>
            <w:r w:rsidRPr="00B53E9B">
              <w:rPr>
                <w:rFonts w:cs="Arial"/>
                <w:b/>
                <w:bCs/>
                <w:sz w:val="20"/>
              </w:rPr>
              <w:t>Contraindications</w:t>
            </w:r>
          </w:p>
        </w:tc>
        <w:tc>
          <w:tcPr>
            <w:tcW w:w="8789" w:type="dxa"/>
          </w:tcPr>
          <w:p w:rsidR="00260BC8" w:rsidP="00131848" w:rsidRDefault="00260BC8" w14:paraId="7B0717BD" w14:textId="77777777">
            <w:pPr>
              <w:pStyle w:val="BodyText"/>
              <w:rPr>
                <w:rFonts w:cs="Arial" w:asciiTheme="minorHAnsi" w:hAnsiTheme="minorHAnsi"/>
                <w:sz w:val="20"/>
              </w:rPr>
            </w:pPr>
            <w:r w:rsidRPr="001850E0">
              <w:rPr>
                <w:rFonts w:cs="Arial" w:asciiTheme="minorHAnsi" w:hAnsiTheme="minorHAnsi"/>
                <w:b/>
                <w:sz w:val="20"/>
              </w:rPr>
              <w:t>Potassium chloride:</w:t>
            </w:r>
            <w:r>
              <w:rPr>
                <w:rFonts w:cs="Arial" w:asciiTheme="minorHAnsi" w:hAnsiTheme="minorHAnsi"/>
                <w:sz w:val="20"/>
              </w:rPr>
              <w:t xml:space="preserve"> Hypersensitivity to any component of the formulation, hyperkalaemia, renal failure, cardiac disease, conditions in which potassium retention is present.</w:t>
            </w:r>
          </w:p>
          <w:p w:rsidRPr="00A52498" w:rsidR="00260BC8" w:rsidP="00131848" w:rsidRDefault="00260BC8" w14:paraId="5A26B80D" w14:textId="77777777">
            <w:pPr>
              <w:pStyle w:val="BodyText"/>
              <w:rPr>
                <w:rFonts w:cs="Arial" w:asciiTheme="minorHAnsi" w:hAnsiTheme="minorHAnsi"/>
                <w:sz w:val="20"/>
              </w:rPr>
            </w:pPr>
            <w:r w:rsidRPr="001850E0">
              <w:rPr>
                <w:rFonts w:cs="Arial" w:asciiTheme="minorHAnsi" w:hAnsiTheme="minorHAnsi"/>
                <w:b/>
                <w:sz w:val="20"/>
              </w:rPr>
              <w:t>Potassium citrate:</w:t>
            </w:r>
            <w:r>
              <w:rPr>
                <w:rFonts w:cs="Arial" w:asciiTheme="minorHAnsi" w:hAnsiTheme="minorHAnsi"/>
                <w:sz w:val="20"/>
              </w:rPr>
              <w:t xml:space="preserve"> Hypersensitivity to any ingredient of the formulation, severe renal insufficiency with oliguria or azotaemia, potassium restricted diet, untreated Addison’s disease, acute dehydration, anuria, severe myocardial damage, hyperkalaemia.</w:t>
            </w:r>
          </w:p>
        </w:tc>
      </w:tr>
      <w:tr w:rsidRPr="003A7895" w:rsidR="00260BC8" w:rsidTr="00131848" w14:paraId="34BAE583" w14:textId="77777777">
        <w:tc>
          <w:tcPr>
            <w:tcW w:w="1701" w:type="dxa"/>
          </w:tcPr>
          <w:p w:rsidRPr="00B53E9B" w:rsidR="00260BC8" w:rsidP="00131848" w:rsidRDefault="00260BC8" w14:paraId="4ADD5965" w14:textId="77777777">
            <w:pPr>
              <w:pStyle w:val="BodyText"/>
              <w:rPr>
                <w:rFonts w:cs="Arial"/>
                <w:b/>
                <w:bCs/>
                <w:sz w:val="20"/>
              </w:rPr>
            </w:pPr>
            <w:r w:rsidRPr="00B53E9B">
              <w:rPr>
                <w:sz w:val="20"/>
              </w:rPr>
              <w:br w:type="page"/>
            </w:r>
            <w:r w:rsidRPr="00B53E9B">
              <w:rPr>
                <w:rFonts w:cs="Arial"/>
                <w:b/>
                <w:bCs/>
                <w:sz w:val="20"/>
              </w:rPr>
              <w:t>Precautions</w:t>
            </w:r>
          </w:p>
        </w:tc>
        <w:tc>
          <w:tcPr>
            <w:tcW w:w="8789" w:type="dxa"/>
          </w:tcPr>
          <w:p w:rsidRPr="00250D9E" w:rsidR="00260BC8" w:rsidP="00131848" w:rsidRDefault="00260BC8" w14:paraId="28BB4E63" w14:textId="77777777">
            <w:pPr>
              <w:pStyle w:val="BodyText"/>
              <w:rPr>
                <w:rFonts w:cs="Arial" w:asciiTheme="minorHAnsi" w:hAnsiTheme="minorHAnsi"/>
                <w:sz w:val="20"/>
              </w:rPr>
            </w:pPr>
            <w:r>
              <w:rPr>
                <w:rFonts w:cs="Arial" w:asciiTheme="minorHAnsi" w:hAnsiTheme="minorHAnsi"/>
                <w:sz w:val="20"/>
              </w:rPr>
              <w:t>Use with caution in patients with renal impairment, cardiac disease, acid/base disorders, or potassium-altering medicines/conditions/disorders.</w:t>
            </w:r>
          </w:p>
        </w:tc>
      </w:tr>
      <w:tr w:rsidRPr="003A7895" w:rsidR="00260BC8" w:rsidTr="00131848" w14:paraId="5DAC413B" w14:textId="77777777">
        <w:trPr>
          <w:trHeight w:val="70"/>
        </w:trPr>
        <w:tc>
          <w:tcPr>
            <w:tcW w:w="1701" w:type="dxa"/>
          </w:tcPr>
          <w:p w:rsidRPr="00B53E9B" w:rsidR="00260BC8" w:rsidP="00131848" w:rsidRDefault="00260BC8" w14:paraId="01039940"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789" w:type="dxa"/>
          </w:tcPr>
          <w:p w:rsidRPr="00A52498" w:rsidR="00260BC8" w:rsidP="00131848" w:rsidRDefault="00260BC8" w14:paraId="021AEABF" w14:textId="77777777">
            <w:pPr>
              <w:pStyle w:val="BodyText"/>
              <w:rPr>
                <w:rFonts w:cs="Arial" w:asciiTheme="minorHAnsi" w:hAnsiTheme="minorHAnsi"/>
                <w:sz w:val="20"/>
              </w:rPr>
            </w:pPr>
            <w:r w:rsidRPr="003C7353">
              <w:rPr>
                <w:rFonts w:cs="Arial" w:asciiTheme="minorHAnsi" w:hAnsiTheme="minorHAnsi"/>
                <w:sz w:val="20"/>
              </w:rPr>
              <w:t xml:space="preserve">Use with caution in patients receiving potassium-sparing diuretics (e.g. spironolactone), </w:t>
            </w:r>
            <w:r w:rsidRPr="00A57E94">
              <w:rPr>
                <w:rFonts w:cs="Arial" w:asciiTheme="minorHAnsi" w:hAnsiTheme="minorHAnsi"/>
                <w:sz w:val="20"/>
              </w:rPr>
              <w:t>medications known to increase risk of hyperkalaemia (e.g. ACE inhibitors)</w:t>
            </w:r>
            <w:r w:rsidRPr="003C7353">
              <w:rPr>
                <w:rFonts w:cs="Arial" w:asciiTheme="minorHAnsi" w:hAnsiTheme="minorHAnsi"/>
                <w:sz w:val="20"/>
              </w:rPr>
              <w:t xml:space="preserve"> and </w:t>
            </w:r>
            <w:r>
              <w:rPr>
                <w:rFonts w:cs="Arial" w:asciiTheme="minorHAnsi" w:hAnsiTheme="minorHAnsi"/>
                <w:sz w:val="20"/>
              </w:rPr>
              <w:t>medications that contain potassium.</w:t>
            </w:r>
          </w:p>
        </w:tc>
      </w:tr>
      <w:tr w:rsidRPr="003A7895" w:rsidR="00260BC8" w:rsidTr="00131848" w14:paraId="56ABECA5" w14:textId="77777777">
        <w:trPr>
          <w:trHeight w:val="332"/>
        </w:trPr>
        <w:tc>
          <w:tcPr>
            <w:tcW w:w="1701" w:type="dxa"/>
          </w:tcPr>
          <w:p w:rsidRPr="00B53E9B" w:rsidR="00260BC8" w:rsidP="00131848" w:rsidRDefault="00260BC8" w14:paraId="344F6157"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789" w:type="dxa"/>
          </w:tcPr>
          <w:p w:rsidRPr="00250D9E" w:rsidR="00260BC8" w:rsidP="00131848" w:rsidRDefault="00260BC8" w14:paraId="64561D38" w14:textId="77777777">
            <w:pPr>
              <w:pStyle w:val="BodyText"/>
              <w:rPr>
                <w:rFonts w:cs="Arial" w:asciiTheme="minorHAnsi" w:hAnsiTheme="minorHAnsi"/>
                <w:sz w:val="20"/>
              </w:rPr>
            </w:pPr>
            <w:r>
              <w:rPr>
                <w:rFonts w:cs="Arial" w:asciiTheme="minorHAnsi" w:hAnsiTheme="minorHAnsi"/>
                <w:sz w:val="20"/>
              </w:rPr>
              <w:t>Vomiting, abdominal pain, flatulence, GI bleeding, GI obstruction, skin rash, hyperkalaemia.</w:t>
            </w:r>
          </w:p>
        </w:tc>
      </w:tr>
      <w:tr w:rsidRPr="003A7895" w:rsidR="00260BC8" w:rsidTr="00131848" w14:paraId="0BEE7CE8" w14:textId="77777777">
        <w:trPr>
          <w:trHeight w:val="180"/>
        </w:trPr>
        <w:tc>
          <w:tcPr>
            <w:tcW w:w="1701" w:type="dxa"/>
          </w:tcPr>
          <w:p w:rsidRPr="00B53E9B" w:rsidR="00260BC8" w:rsidP="00131848" w:rsidRDefault="00260BC8" w14:paraId="1CA26716" w14:textId="77777777">
            <w:pPr>
              <w:pStyle w:val="BodyText"/>
              <w:rPr>
                <w:rFonts w:cs="Arial"/>
                <w:b/>
                <w:bCs/>
                <w:sz w:val="20"/>
              </w:rPr>
            </w:pPr>
            <w:r w:rsidRPr="00B53E9B">
              <w:rPr>
                <w:rFonts w:cs="Arial"/>
                <w:b/>
                <w:bCs/>
                <w:sz w:val="20"/>
              </w:rPr>
              <w:t>Compatibility</w:t>
            </w:r>
          </w:p>
        </w:tc>
        <w:tc>
          <w:tcPr>
            <w:tcW w:w="8789" w:type="dxa"/>
          </w:tcPr>
          <w:p w:rsidRPr="00250D9E" w:rsidR="00260BC8" w:rsidP="00131848" w:rsidRDefault="00260BC8" w14:paraId="1D59751C" w14:textId="77777777">
            <w:pPr>
              <w:pStyle w:val="BodyText"/>
              <w:rPr>
                <w:rFonts w:asciiTheme="minorHAnsi" w:hAnsiTheme="minorHAnsi"/>
                <w:sz w:val="20"/>
              </w:rPr>
            </w:pPr>
            <w:r>
              <w:rPr>
                <w:rFonts w:asciiTheme="minorHAnsi" w:hAnsiTheme="minorHAnsi"/>
                <w:sz w:val="20"/>
              </w:rPr>
              <w:t>Not applicable.</w:t>
            </w:r>
          </w:p>
        </w:tc>
      </w:tr>
      <w:tr w:rsidRPr="003A7895" w:rsidR="00260BC8" w:rsidTr="00131848" w14:paraId="0861F911" w14:textId="77777777">
        <w:trPr>
          <w:trHeight w:val="230"/>
        </w:trPr>
        <w:tc>
          <w:tcPr>
            <w:tcW w:w="1701" w:type="dxa"/>
          </w:tcPr>
          <w:p w:rsidRPr="00B53E9B" w:rsidR="00260BC8" w:rsidP="00131848" w:rsidRDefault="00260BC8" w14:paraId="573A7991" w14:textId="77777777">
            <w:pPr>
              <w:pStyle w:val="BodyText"/>
              <w:rPr>
                <w:rFonts w:cs="Arial"/>
                <w:b/>
                <w:bCs/>
                <w:sz w:val="20"/>
              </w:rPr>
            </w:pPr>
            <w:r w:rsidRPr="00B53E9B">
              <w:rPr>
                <w:rFonts w:cs="Arial"/>
                <w:b/>
                <w:bCs/>
                <w:sz w:val="20"/>
              </w:rPr>
              <w:t>Incompatibility</w:t>
            </w:r>
          </w:p>
        </w:tc>
        <w:tc>
          <w:tcPr>
            <w:tcW w:w="8789" w:type="dxa"/>
          </w:tcPr>
          <w:p w:rsidRPr="00250D9E" w:rsidR="00260BC8" w:rsidP="00131848" w:rsidRDefault="00260BC8" w14:paraId="79568CBC" w14:textId="77777777">
            <w:pPr>
              <w:pStyle w:val="BodyText"/>
              <w:rPr>
                <w:rFonts w:cs="Arial" w:asciiTheme="minorHAnsi" w:hAnsiTheme="minorHAnsi"/>
                <w:sz w:val="20"/>
              </w:rPr>
            </w:pPr>
            <w:r>
              <w:rPr>
                <w:rFonts w:cs="Arial" w:asciiTheme="minorHAnsi" w:hAnsiTheme="minorHAnsi"/>
                <w:sz w:val="20"/>
              </w:rPr>
              <w:t>Not applicable.</w:t>
            </w:r>
          </w:p>
        </w:tc>
      </w:tr>
      <w:tr w:rsidRPr="003A7895" w:rsidR="00260BC8" w:rsidTr="00131848" w14:paraId="5F194638" w14:textId="77777777">
        <w:trPr>
          <w:trHeight w:val="79"/>
        </w:trPr>
        <w:tc>
          <w:tcPr>
            <w:tcW w:w="1701" w:type="dxa"/>
          </w:tcPr>
          <w:p w:rsidRPr="00B53E9B" w:rsidR="00260BC8" w:rsidP="00131848" w:rsidRDefault="00260BC8" w14:paraId="319CC2E4" w14:textId="77777777">
            <w:pPr>
              <w:pStyle w:val="BodyText"/>
              <w:rPr>
                <w:rFonts w:cs="Arial"/>
                <w:b/>
                <w:bCs/>
                <w:sz w:val="20"/>
              </w:rPr>
            </w:pPr>
            <w:r w:rsidRPr="00B53E9B">
              <w:rPr>
                <w:rFonts w:cs="Arial"/>
                <w:b/>
                <w:bCs/>
                <w:sz w:val="20"/>
              </w:rPr>
              <w:t>Stability</w:t>
            </w:r>
          </w:p>
        </w:tc>
        <w:tc>
          <w:tcPr>
            <w:tcW w:w="8789" w:type="dxa"/>
          </w:tcPr>
          <w:p w:rsidRPr="00250D9E" w:rsidR="00260BC8" w:rsidP="00131848" w:rsidRDefault="00260BC8" w14:paraId="65ED63C4" w14:textId="77777777">
            <w:pPr>
              <w:pStyle w:val="BodyText"/>
              <w:rPr>
                <w:rFonts w:cs="Arial" w:asciiTheme="minorHAnsi" w:hAnsiTheme="minorHAnsi"/>
                <w:sz w:val="20"/>
              </w:rPr>
            </w:pPr>
            <w:r>
              <w:rPr>
                <w:rFonts w:cs="Arial" w:asciiTheme="minorHAnsi" w:hAnsiTheme="minorHAnsi"/>
                <w:sz w:val="20"/>
              </w:rPr>
              <w:t>Refer to the product label.</w:t>
            </w:r>
          </w:p>
        </w:tc>
      </w:tr>
      <w:tr w:rsidRPr="003A7895" w:rsidR="00260BC8" w:rsidTr="00131848" w14:paraId="1F11F9E7" w14:textId="77777777">
        <w:trPr>
          <w:trHeight w:val="70"/>
        </w:trPr>
        <w:tc>
          <w:tcPr>
            <w:tcW w:w="1701" w:type="dxa"/>
          </w:tcPr>
          <w:p w:rsidRPr="00B53E9B" w:rsidR="00260BC8" w:rsidP="00131848" w:rsidRDefault="00260BC8" w14:paraId="67A7C163" w14:textId="77777777">
            <w:pPr>
              <w:pStyle w:val="BodyText"/>
              <w:rPr>
                <w:rFonts w:cs="Arial"/>
                <w:b/>
                <w:bCs/>
                <w:sz w:val="20"/>
              </w:rPr>
            </w:pPr>
            <w:r w:rsidRPr="00B53E9B">
              <w:rPr>
                <w:rFonts w:cs="Arial"/>
                <w:b/>
                <w:bCs/>
                <w:sz w:val="20"/>
              </w:rPr>
              <w:lastRenderedPageBreak/>
              <w:t xml:space="preserve">Storage </w:t>
            </w:r>
          </w:p>
        </w:tc>
        <w:tc>
          <w:tcPr>
            <w:tcW w:w="8789" w:type="dxa"/>
          </w:tcPr>
          <w:p w:rsidR="00260BC8" w:rsidP="00131848" w:rsidRDefault="00260BC8" w14:paraId="29B2D426" w14:textId="77777777">
            <w:pPr>
              <w:pStyle w:val="BodyText"/>
              <w:rPr>
                <w:rFonts w:cs="Arial" w:asciiTheme="minorHAnsi" w:hAnsiTheme="minorHAnsi"/>
                <w:sz w:val="20"/>
              </w:rPr>
            </w:pPr>
            <w:r>
              <w:rPr>
                <w:rFonts w:cs="Arial" w:asciiTheme="minorHAnsi" w:hAnsiTheme="minorHAnsi"/>
                <w:sz w:val="20"/>
              </w:rPr>
              <w:t>Store below 25</w:t>
            </w:r>
            <w:r>
              <w:rPr>
                <w:rFonts w:cs="Arial"/>
                <w:sz w:val="20"/>
              </w:rPr>
              <w:t>°</w:t>
            </w:r>
            <w:r>
              <w:rPr>
                <w:rFonts w:cs="Arial" w:asciiTheme="minorHAnsi" w:hAnsiTheme="minorHAnsi"/>
                <w:sz w:val="20"/>
              </w:rPr>
              <w:t>C.</w:t>
            </w:r>
          </w:p>
          <w:p w:rsidRPr="00250D9E" w:rsidR="00260BC8" w:rsidP="00131848" w:rsidRDefault="00260BC8" w14:paraId="4C817FD5" w14:textId="77777777">
            <w:pPr>
              <w:pStyle w:val="BodyText"/>
              <w:rPr>
                <w:rFonts w:cs="Arial" w:asciiTheme="minorHAnsi" w:hAnsiTheme="minorHAnsi"/>
                <w:sz w:val="20"/>
              </w:rPr>
            </w:pPr>
            <w:r>
              <w:rPr>
                <w:rFonts w:cs="Arial" w:asciiTheme="minorHAnsi" w:hAnsiTheme="minorHAnsi"/>
                <w:sz w:val="20"/>
              </w:rPr>
              <w:t>Protect from light.</w:t>
            </w:r>
          </w:p>
        </w:tc>
      </w:tr>
      <w:tr w:rsidRPr="003A7895" w:rsidR="00260BC8" w:rsidTr="00131848" w14:paraId="31A7F780" w14:textId="77777777">
        <w:trPr>
          <w:trHeight w:val="70"/>
        </w:trPr>
        <w:tc>
          <w:tcPr>
            <w:tcW w:w="1701" w:type="dxa"/>
          </w:tcPr>
          <w:p w:rsidRPr="00B53E9B" w:rsidR="00260BC8" w:rsidP="00131848" w:rsidRDefault="00260BC8" w14:paraId="0FACDF7F" w14:textId="77777777">
            <w:pPr>
              <w:pStyle w:val="BodyText"/>
              <w:rPr>
                <w:rFonts w:cs="Arial"/>
                <w:b/>
                <w:bCs/>
                <w:sz w:val="20"/>
              </w:rPr>
            </w:pPr>
            <w:r w:rsidRPr="00B53E9B">
              <w:rPr>
                <w:rFonts w:cs="Arial"/>
                <w:b/>
                <w:bCs/>
                <w:sz w:val="20"/>
              </w:rPr>
              <w:t>Excipients</w:t>
            </w:r>
          </w:p>
        </w:tc>
        <w:tc>
          <w:tcPr>
            <w:tcW w:w="8789" w:type="dxa"/>
          </w:tcPr>
          <w:p w:rsidR="00260BC8" w:rsidP="00131848" w:rsidRDefault="00260BC8" w14:paraId="7606D709" w14:textId="77777777">
            <w:pPr>
              <w:pStyle w:val="BodyText"/>
              <w:rPr>
                <w:rFonts w:cs="Arial" w:asciiTheme="minorHAnsi" w:hAnsiTheme="minorHAnsi"/>
                <w:sz w:val="20"/>
              </w:rPr>
            </w:pPr>
            <w:r w:rsidRPr="00152FB3">
              <w:rPr>
                <w:rFonts w:cs="Arial" w:asciiTheme="minorHAnsi" w:hAnsiTheme="minorHAnsi"/>
                <w:sz w:val="20"/>
              </w:rPr>
              <w:t>Potassium chloride oral mixture 10% w/v by Perrigo</w:t>
            </w:r>
            <w:r>
              <w:rPr>
                <w:rFonts w:cs="Arial" w:asciiTheme="minorHAnsi" w:hAnsiTheme="minorHAnsi"/>
                <w:sz w:val="20"/>
              </w:rPr>
              <w:t xml:space="preserve"> – contains glycerol (126 g/100 mL), methyl hydroxybenzoate (100 mg/100 mL), citric acid (0.25 g per 100 mL)(5)</w:t>
            </w:r>
          </w:p>
          <w:p w:rsidRPr="004E3FDA" w:rsidR="00260BC8" w:rsidP="00131848" w:rsidRDefault="00260BC8" w14:paraId="7F74748B" w14:textId="77777777">
            <w:pPr>
              <w:pStyle w:val="BodyText"/>
              <w:rPr>
                <w:rFonts w:cs="Arial" w:asciiTheme="minorHAnsi" w:hAnsiTheme="minorHAnsi"/>
                <w:sz w:val="20"/>
              </w:rPr>
            </w:pPr>
            <w:r>
              <w:rPr>
                <w:rFonts w:cs="Arial" w:asciiTheme="minorHAnsi" w:hAnsiTheme="minorHAnsi"/>
                <w:sz w:val="20"/>
              </w:rPr>
              <w:t xml:space="preserve">Uricosal and APF mixture contains 0.5 mg/1 mL of hydroxybenzoate.(6) Uricosal brand also contains sucrose. </w:t>
            </w:r>
          </w:p>
        </w:tc>
      </w:tr>
      <w:tr w:rsidRPr="003A7895" w:rsidR="00260BC8" w:rsidTr="00131848" w14:paraId="21CB55BF" w14:textId="77777777">
        <w:trPr>
          <w:trHeight w:val="270"/>
        </w:trPr>
        <w:tc>
          <w:tcPr>
            <w:tcW w:w="1701" w:type="dxa"/>
          </w:tcPr>
          <w:p w:rsidRPr="00B53E9B" w:rsidR="00260BC8" w:rsidP="00131848" w:rsidRDefault="00260BC8" w14:paraId="13CEBED9"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789" w:type="dxa"/>
          </w:tcPr>
          <w:p w:rsidRPr="00250D9E" w:rsidR="00260BC8" w:rsidP="00131848" w:rsidRDefault="00260BC8" w14:paraId="7D7C3A09" w14:textId="77777777">
            <w:pPr>
              <w:pStyle w:val="BodyText"/>
              <w:rPr>
                <w:rFonts w:cs="Arial" w:asciiTheme="minorHAnsi" w:hAnsiTheme="minorHAnsi"/>
                <w:sz w:val="20"/>
              </w:rPr>
            </w:pPr>
          </w:p>
        </w:tc>
      </w:tr>
      <w:tr w:rsidRPr="003A7895" w:rsidR="00260BC8" w:rsidTr="00131848" w14:paraId="5AA4F2E6" w14:textId="77777777">
        <w:trPr>
          <w:trHeight w:val="280"/>
        </w:trPr>
        <w:tc>
          <w:tcPr>
            <w:tcW w:w="1701" w:type="dxa"/>
          </w:tcPr>
          <w:p w:rsidRPr="00B53E9B" w:rsidR="00260BC8" w:rsidP="00131848" w:rsidRDefault="00260BC8" w14:paraId="10A53836" w14:textId="77777777">
            <w:pPr>
              <w:pStyle w:val="BodyText"/>
              <w:rPr>
                <w:rFonts w:cs="Arial"/>
                <w:b/>
                <w:bCs/>
                <w:sz w:val="20"/>
              </w:rPr>
            </w:pPr>
            <w:r w:rsidRPr="00B53E9B">
              <w:rPr>
                <w:rFonts w:cs="Arial"/>
                <w:b/>
                <w:bCs/>
                <w:sz w:val="20"/>
              </w:rPr>
              <w:t>Evidence</w:t>
            </w:r>
          </w:p>
        </w:tc>
        <w:tc>
          <w:tcPr>
            <w:tcW w:w="8789" w:type="dxa"/>
          </w:tcPr>
          <w:p w:rsidRPr="00260BC8" w:rsidR="00260BC8" w:rsidP="00131848" w:rsidRDefault="00260BC8" w14:paraId="2D6A2F75" w14:textId="77777777">
            <w:pPr>
              <w:pStyle w:val="BodyText"/>
              <w:tabs>
                <w:tab w:val="left" w:pos="1168"/>
              </w:tabs>
              <w:rPr>
                <w:rFonts w:cs="Arial" w:asciiTheme="minorHAnsi" w:hAnsiTheme="minorHAnsi"/>
                <w:b/>
                <w:sz w:val="16"/>
                <w:szCs w:val="16"/>
              </w:rPr>
            </w:pPr>
            <w:r w:rsidRPr="00260BC8">
              <w:rPr>
                <w:rFonts w:cs="Arial" w:asciiTheme="minorHAnsi" w:hAnsiTheme="minorHAnsi"/>
                <w:b/>
                <w:sz w:val="16"/>
                <w:szCs w:val="16"/>
              </w:rPr>
              <w:t>Efficacy</w:t>
            </w:r>
          </w:p>
          <w:p w:rsidRPr="00260BC8" w:rsidR="00260BC8" w:rsidP="00131848" w:rsidRDefault="00260BC8" w14:paraId="5DAB6C0D" w14:textId="77777777">
            <w:pPr>
              <w:pStyle w:val="BodyText"/>
              <w:tabs>
                <w:tab w:val="left" w:pos="1168"/>
              </w:tabs>
              <w:rPr>
                <w:rFonts w:cs="Arial"/>
                <w:sz w:val="16"/>
                <w:szCs w:val="16"/>
                <w:u w:val="single"/>
              </w:rPr>
            </w:pPr>
            <w:r w:rsidRPr="00260BC8">
              <w:rPr>
                <w:rFonts w:cs="Arial"/>
                <w:sz w:val="16"/>
                <w:szCs w:val="16"/>
                <w:u w:val="single"/>
              </w:rPr>
              <w:t>Treatment of hypokalaemia</w:t>
            </w:r>
          </w:p>
          <w:p w:rsidRPr="00260BC8" w:rsidR="00260BC8" w:rsidP="00131848" w:rsidRDefault="00260BC8" w14:paraId="145D12AE" w14:textId="77777777">
            <w:pPr>
              <w:pStyle w:val="BodyText"/>
              <w:tabs>
                <w:tab w:val="left" w:pos="1168"/>
              </w:tabs>
              <w:rPr>
                <w:rFonts w:cs="Arial"/>
                <w:sz w:val="16"/>
                <w:szCs w:val="16"/>
              </w:rPr>
            </w:pPr>
            <w:r w:rsidRPr="00260BC8">
              <w:rPr>
                <w:rFonts w:cs="Arial"/>
                <w:sz w:val="16"/>
                <w:szCs w:val="16"/>
              </w:rPr>
              <w:t xml:space="preserve">There are no reported trials on the efficacy and safety of potassium therapy in hypokalaemia in neonates. </w:t>
            </w:r>
          </w:p>
          <w:p w:rsidRPr="00260BC8" w:rsidR="00260BC8" w:rsidP="00131848" w:rsidRDefault="00260BC8" w14:paraId="51A25C86" w14:textId="77777777">
            <w:pPr>
              <w:pStyle w:val="BodyText"/>
              <w:tabs>
                <w:tab w:val="left" w:pos="1168"/>
              </w:tabs>
              <w:rPr>
                <w:rFonts w:cs="Arial"/>
                <w:sz w:val="16"/>
                <w:szCs w:val="16"/>
              </w:rPr>
            </w:pPr>
            <w:r w:rsidRPr="00260BC8">
              <w:rPr>
                <w:rFonts w:cs="Arial"/>
                <w:sz w:val="16"/>
                <w:szCs w:val="16"/>
              </w:rPr>
              <w:t xml:space="preserve">Limited evidence in infants and children suggests enteral potassium replacement may be an equally efficacious alternative first-line therapy in treating hypokalaemia.(2) (LOE II GOR C) Merchant et al (2) performed an open-label randomised trial to study the serum potassium  changes with enteral versus IV potassium in hypokalaemic infants and children (aged 1 month to 15 years). </w:t>
            </w:r>
            <w:r w:rsidRPr="00260BC8">
              <w:rPr>
                <w:rFonts w:asciiTheme="minorHAnsi" w:hAnsiTheme="minorHAnsi" w:cstheme="minorHAnsi"/>
                <w:sz w:val="16"/>
                <w:szCs w:val="16"/>
              </w:rPr>
              <w:t xml:space="preserve">In the oral potassium chloride group, </w:t>
            </w:r>
            <w:r w:rsidRPr="00260BC8">
              <w:rPr>
                <w:rFonts w:cs="Arial"/>
                <w:sz w:val="16"/>
                <w:szCs w:val="16"/>
              </w:rPr>
              <w:t xml:space="preserve">the concentration used was 2.66 mmol/1 mL. The parenteral/enteral dose used was 0.1-0.3 mmol/kg dose for serum potassium  of 3.5-4.4 mmol/L; 0.5 mmol/kg/dose for serum potassium  of 3.0-3.4 mmol/L and 0.7-1.0 mmol/kg/dose for serum potassium  of &lt;3.0 mmol/L. There was no statistically significant difference in change in potassium levels after either enteral or parenteral route. </w:t>
            </w:r>
          </w:p>
          <w:p w:rsidRPr="00260BC8" w:rsidR="00260BC8" w:rsidP="00131848" w:rsidRDefault="00260BC8" w14:paraId="5CC46D2D" w14:textId="77777777">
            <w:pPr>
              <w:pStyle w:val="BodyText"/>
              <w:tabs>
                <w:tab w:val="left" w:pos="1168"/>
              </w:tabs>
              <w:rPr>
                <w:rFonts w:cs="Arial"/>
                <w:b/>
                <w:sz w:val="16"/>
                <w:szCs w:val="16"/>
              </w:rPr>
            </w:pPr>
            <w:r w:rsidRPr="00260BC8">
              <w:rPr>
                <w:rFonts w:cs="Arial"/>
                <w:b/>
                <w:sz w:val="16"/>
                <w:szCs w:val="16"/>
              </w:rPr>
              <w:t>Safety</w:t>
            </w:r>
          </w:p>
          <w:p w:rsidRPr="00260BC8" w:rsidR="00260BC8" w:rsidP="00131848" w:rsidRDefault="00260BC8" w14:paraId="769D31C8" w14:textId="77777777">
            <w:pPr>
              <w:pStyle w:val="BodyText"/>
              <w:tabs>
                <w:tab w:val="left" w:pos="1168"/>
              </w:tabs>
              <w:rPr>
                <w:rFonts w:cs="Arial"/>
                <w:sz w:val="16"/>
                <w:szCs w:val="16"/>
              </w:rPr>
            </w:pPr>
            <w:r w:rsidRPr="00260BC8">
              <w:rPr>
                <w:rFonts w:cs="Arial"/>
                <w:sz w:val="16"/>
                <w:szCs w:val="16"/>
              </w:rPr>
              <w:t>In Merchant’s trial of enteral and intravenous potassium, no mortality was reported in either arm. A few episodes of vomiting were reported in enteral route (2)</w:t>
            </w:r>
          </w:p>
          <w:p w:rsidRPr="00260BC8" w:rsidR="00260BC8" w:rsidP="00131848" w:rsidRDefault="00260BC8" w14:paraId="078BCF14" w14:textId="77777777">
            <w:pPr>
              <w:pStyle w:val="BodyText"/>
              <w:tabs>
                <w:tab w:val="left" w:pos="1168"/>
              </w:tabs>
              <w:rPr>
                <w:rFonts w:cs="Arial"/>
                <w:b/>
                <w:sz w:val="16"/>
                <w:szCs w:val="16"/>
              </w:rPr>
            </w:pPr>
            <w:r w:rsidRPr="00260BC8">
              <w:rPr>
                <w:rFonts w:cs="Arial"/>
                <w:b/>
                <w:sz w:val="16"/>
                <w:szCs w:val="16"/>
              </w:rPr>
              <w:t>Pharmacokinetics</w:t>
            </w:r>
          </w:p>
          <w:p w:rsidRPr="00260BC8" w:rsidR="00260BC8" w:rsidP="00131848" w:rsidRDefault="00260BC8" w14:paraId="1993EAD7" w14:textId="77777777">
            <w:pPr>
              <w:pStyle w:val="BodyText"/>
              <w:tabs>
                <w:tab w:val="left" w:pos="1168"/>
              </w:tabs>
              <w:rPr>
                <w:rFonts w:cs="Arial" w:asciiTheme="minorHAnsi" w:hAnsiTheme="minorHAnsi"/>
                <w:sz w:val="16"/>
                <w:szCs w:val="16"/>
              </w:rPr>
            </w:pPr>
            <w:r w:rsidRPr="00260BC8">
              <w:rPr>
                <w:rFonts w:cs="Arial"/>
                <w:sz w:val="16"/>
                <w:szCs w:val="16"/>
              </w:rPr>
              <w:t>Almost all of potassium ingested through diet is absorbed. The kidneys excrete more than 90% of daily intake and are the organs primarily responsible for the elimination of potassium.(3)</w:t>
            </w:r>
          </w:p>
        </w:tc>
      </w:tr>
      <w:tr w:rsidRPr="003A7895" w:rsidR="00260BC8" w:rsidTr="00131848" w14:paraId="4B27E24E" w14:textId="77777777">
        <w:trPr>
          <w:trHeight w:val="108"/>
        </w:trPr>
        <w:tc>
          <w:tcPr>
            <w:tcW w:w="1701" w:type="dxa"/>
          </w:tcPr>
          <w:p w:rsidRPr="00B53E9B" w:rsidR="00260BC8" w:rsidP="00131848" w:rsidRDefault="00260BC8" w14:paraId="0507559F" w14:textId="77777777">
            <w:pPr>
              <w:pStyle w:val="BodyText"/>
              <w:rPr>
                <w:rFonts w:cs="Arial"/>
                <w:b/>
                <w:bCs/>
                <w:sz w:val="20"/>
              </w:rPr>
            </w:pPr>
            <w:r w:rsidRPr="00B53E9B">
              <w:rPr>
                <w:rFonts w:cs="Arial"/>
                <w:b/>
                <w:bCs/>
                <w:sz w:val="20"/>
              </w:rPr>
              <w:t>Practice points</w:t>
            </w:r>
          </w:p>
        </w:tc>
        <w:tc>
          <w:tcPr>
            <w:tcW w:w="8789" w:type="dxa"/>
          </w:tcPr>
          <w:p w:rsidRPr="00260BC8" w:rsidR="00260BC8" w:rsidP="00131848" w:rsidRDefault="00260BC8" w14:paraId="056C761A" w14:textId="77777777">
            <w:pPr>
              <w:pStyle w:val="BodyText"/>
              <w:tabs>
                <w:tab w:val="left" w:pos="1168"/>
              </w:tabs>
              <w:rPr>
                <w:rFonts w:cs="Arial" w:asciiTheme="minorHAnsi" w:hAnsiTheme="minorHAnsi"/>
                <w:sz w:val="16"/>
                <w:szCs w:val="16"/>
              </w:rPr>
            </w:pPr>
            <w:r w:rsidRPr="00260BC8">
              <w:rPr>
                <w:rFonts w:cs="Arial" w:asciiTheme="minorHAnsi" w:hAnsiTheme="minorHAnsi"/>
                <w:sz w:val="16"/>
                <w:szCs w:val="16"/>
              </w:rPr>
              <w:t>The preferred administration of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is via the oral/enteral route. However, in the presence of severe symptomatic hypokalaemia and gastrointestinal problems such as ileus, the intravenous route may be used.(3) The normal daily required intake of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is 1–2 mEq/kg/day.</w:t>
            </w:r>
          </w:p>
          <w:p w:rsidRPr="00260BC8" w:rsidR="00260BC8" w:rsidP="00131848" w:rsidRDefault="00260BC8" w14:paraId="2CFB85E8" w14:textId="77777777">
            <w:pPr>
              <w:pStyle w:val="BodyText"/>
              <w:tabs>
                <w:tab w:val="left" w:pos="1168"/>
              </w:tabs>
              <w:rPr>
                <w:rFonts w:cs="Arial" w:asciiTheme="minorHAnsi" w:hAnsiTheme="minorHAnsi"/>
                <w:sz w:val="16"/>
                <w:szCs w:val="16"/>
              </w:rPr>
            </w:pPr>
          </w:p>
          <w:p w:rsidRPr="00260BC8" w:rsidR="00260BC8" w:rsidP="00131848" w:rsidRDefault="00260BC8" w14:paraId="484CF38A" w14:textId="77777777">
            <w:pPr>
              <w:pStyle w:val="BodyText"/>
              <w:tabs>
                <w:tab w:val="left" w:pos="1168"/>
              </w:tabs>
              <w:rPr>
                <w:rFonts w:cs="Arial" w:asciiTheme="minorHAnsi" w:hAnsiTheme="minorHAnsi"/>
                <w:sz w:val="16"/>
                <w:szCs w:val="16"/>
              </w:rPr>
            </w:pPr>
            <w:r w:rsidRPr="00260BC8">
              <w:rPr>
                <w:rFonts w:cs="Arial" w:asciiTheme="minorHAnsi" w:hAnsiTheme="minorHAnsi"/>
                <w:sz w:val="16"/>
                <w:szCs w:val="16"/>
              </w:rPr>
              <w:t>The choice of the type of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salt depends on the clinical situation. Potassium chloride is usually appropriate if hypovolemia is present. In the presence of simultaneous metabolic acidosis, other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salts producing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bicarbonate,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citrate, and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acetate may be given.  The correction of total body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deficit may take days and even weeks. In cases of treatment resistant hypokalaemia, hypomagnesemia should be considered. In these cases, K</w:t>
            </w:r>
            <w:r w:rsidRPr="00260BC8">
              <w:rPr>
                <w:rFonts w:cs="Arial" w:asciiTheme="minorHAnsi" w:hAnsiTheme="minorHAnsi"/>
                <w:sz w:val="16"/>
                <w:szCs w:val="16"/>
                <w:vertAlign w:val="superscript"/>
              </w:rPr>
              <w:t>+</w:t>
            </w:r>
            <w:r w:rsidRPr="00260BC8">
              <w:rPr>
                <w:rFonts w:cs="Arial" w:asciiTheme="minorHAnsi" w:hAnsiTheme="minorHAnsi"/>
                <w:sz w:val="16"/>
                <w:szCs w:val="16"/>
              </w:rPr>
              <w:t xml:space="preserve"> levels normalise following magnesium treatment.(3)</w:t>
            </w:r>
          </w:p>
        </w:tc>
      </w:tr>
      <w:tr w:rsidRPr="003A7895" w:rsidR="00260BC8" w:rsidTr="00131848" w14:paraId="7532EF10" w14:textId="77777777">
        <w:trPr>
          <w:trHeight w:val="70"/>
        </w:trPr>
        <w:tc>
          <w:tcPr>
            <w:tcW w:w="1701" w:type="dxa"/>
          </w:tcPr>
          <w:p w:rsidRPr="00B53E9B" w:rsidR="00260BC8" w:rsidP="00131848" w:rsidRDefault="00260BC8" w14:paraId="542196C3" w14:textId="77777777">
            <w:pPr>
              <w:pStyle w:val="BodyText"/>
              <w:rPr>
                <w:rFonts w:cs="Arial"/>
                <w:b/>
                <w:bCs/>
                <w:sz w:val="20"/>
              </w:rPr>
            </w:pPr>
            <w:r w:rsidRPr="00B53E9B">
              <w:rPr>
                <w:b/>
                <w:sz w:val="20"/>
              </w:rPr>
              <w:t>References</w:t>
            </w:r>
          </w:p>
        </w:tc>
        <w:tc>
          <w:tcPr>
            <w:tcW w:w="8789" w:type="dxa"/>
          </w:tcPr>
          <w:p w:rsidRPr="00260BC8" w:rsidR="00260BC8" w:rsidP="001B0E05" w:rsidRDefault="00260BC8" w14:paraId="27A19B2C" w14:textId="77777777">
            <w:pPr>
              <w:pStyle w:val="ListParagraph"/>
              <w:numPr>
                <w:ilvl w:val="0"/>
                <w:numId w:val="144"/>
              </w:numPr>
              <w:rPr>
                <w:rFonts w:asciiTheme="minorHAnsi" w:hAnsiTheme="minorHAnsi"/>
                <w:sz w:val="16"/>
                <w:szCs w:val="16"/>
              </w:rPr>
            </w:pPr>
            <w:r w:rsidRPr="00260BC8">
              <w:rPr>
                <w:rFonts w:cs="Calibri"/>
                <w:color w:val="222222"/>
                <w:sz w:val="16"/>
                <w:szCs w:val="16"/>
                <w:shd w:val="clear" w:color="auto" w:fill="FFFFFF"/>
              </w:rPr>
              <w:t>Meyers RS, Thackray J, Matson KL, McPherson C, Lubsch L, Hellinga RC, Hoff DS. Key Potentially Inappropriate Drugs in Pediatrics: The KIDs List. The Journal of Pediatric Pharmacology and Therapeutics. 2020;25(3):175-91.</w:t>
            </w:r>
          </w:p>
          <w:p w:rsidRPr="00260BC8" w:rsidR="00260BC8" w:rsidP="001B0E05" w:rsidRDefault="00260BC8" w14:paraId="7DCAA2C6" w14:textId="77777777">
            <w:pPr>
              <w:pStyle w:val="ListParagraph"/>
              <w:numPr>
                <w:ilvl w:val="0"/>
                <w:numId w:val="144"/>
              </w:numPr>
              <w:rPr>
                <w:rFonts w:asciiTheme="minorHAnsi" w:hAnsiTheme="minorHAnsi"/>
                <w:sz w:val="16"/>
                <w:szCs w:val="16"/>
              </w:rPr>
            </w:pPr>
            <w:r w:rsidRPr="00260BC8">
              <w:rPr>
                <w:rFonts w:asciiTheme="minorHAnsi" w:hAnsiTheme="minorHAnsi"/>
                <w:sz w:val="16"/>
                <w:szCs w:val="16"/>
              </w:rPr>
              <w:t>Merchant Q, Hasan BS, Rizvi A, Amanullah M, Rehmat A, ul Haq A. Comparison of enteral versus intravenous potassium supplementation in hypokalaemia in paediatric patients in intensive care post cardiac surgery: open-label randomised equivalence trial (EIPS). BMJ open. 2017;7(5):e011179.</w:t>
            </w:r>
          </w:p>
          <w:p w:rsidRPr="00260BC8" w:rsidR="00260BC8" w:rsidP="001B0E05" w:rsidRDefault="00260BC8" w14:paraId="61D3842F" w14:textId="77777777">
            <w:pPr>
              <w:pStyle w:val="ListParagraph"/>
              <w:numPr>
                <w:ilvl w:val="0"/>
                <w:numId w:val="144"/>
              </w:numPr>
              <w:rPr>
                <w:rFonts w:asciiTheme="minorHAnsi" w:hAnsiTheme="minorHAnsi"/>
                <w:sz w:val="16"/>
                <w:szCs w:val="16"/>
              </w:rPr>
            </w:pPr>
            <w:r w:rsidRPr="00260BC8">
              <w:rPr>
                <w:rFonts w:asciiTheme="minorHAnsi" w:hAnsiTheme="minorHAnsi"/>
                <w:sz w:val="16"/>
                <w:szCs w:val="16"/>
              </w:rPr>
              <w:t>Sarici D, Sarici SU. Neonatal hypokalaemia. Research and Reports in Neonatology. 2012;2:15-9.</w:t>
            </w:r>
          </w:p>
          <w:p w:rsidRPr="00260BC8" w:rsidR="00260BC8" w:rsidP="001B0E05" w:rsidRDefault="00260BC8" w14:paraId="0A82DB77" w14:textId="77777777">
            <w:pPr>
              <w:pStyle w:val="ListParagraph"/>
              <w:numPr>
                <w:ilvl w:val="0"/>
                <w:numId w:val="144"/>
              </w:numPr>
              <w:rPr>
                <w:rFonts w:asciiTheme="minorHAnsi" w:hAnsiTheme="minorHAnsi"/>
                <w:sz w:val="16"/>
                <w:szCs w:val="16"/>
              </w:rPr>
            </w:pPr>
            <w:r w:rsidRPr="00260BC8">
              <w:rPr>
                <w:rFonts w:cs="Calibri" w:eastAsiaTheme="minorHAnsi"/>
                <w:sz w:val="16"/>
                <w:szCs w:val="16"/>
              </w:rPr>
              <w:t>Shah DD, Kuzmov A, Clausen D, Siu A, Robinson CA, Kimler K, Meyers R, Shah P. Osmolality of Commonly Used Oral Medications in the Neonatal Intensive Care Unit. The Journal of Pediatric Pharmacology and Therapeutics. 2021;26(2):172-8.</w:t>
            </w:r>
          </w:p>
          <w:p w:rsidRPr="00260BC8" w:rsidR="00260BC8" w:rsidP="001B0E05" w:rsidRDefault="00260BC8" w14:paraId="592A1648" w14:textId="77777777">
            <w:pPr>
              <w:pStyle w:val="ListParagraph"/>
              <w:numPr>
                <w:ilvl w:val="0"/>
                <w:numId w:val="144"/>
              </w:numPr>
              <w:rPr>
                <w:rFonts w:asciiTheme="minorHAnsi" w:hAnsiTheme="minorHAnsi"/>
                <w:sz w:val="16"/>
                <w:szCs w:val="16"/>
              </w:rPr>
            </w:pPr>
            <w:r w:rsidRPr="00260BC8">
              <w:rPr>
                <w:rFonts w:cs="Arial" w:asciiTheme="minorHAnsi" w:hAnsiTheme="minorHAnsi"/>
                <w:sz w:val="16"/>
                <w:szCs w:val="16"/>
              </w:rPr>
              <w:t>Potassium chloride oral mixture 10% w/v by Perrigo. Product Info. Accessed from the manufacturer via email on 3 June 2021.</w:t>
            </w:r>
          </w:p>
          <w:p w:rsidRPr="00260BC8" w:rsidR="00260BC8" w:rsidP="001B0E05" w:rsidRDefault="00260BC8" w14:paraId="3EA5AEE2" w14:textId="77777777">
            <w:pPr>
              <w:pStyle w:val="ListParagraph"/>
              <w:numPr>
                <w:ilvl w:val="0"/>
                <w:numId w:val="144"/>
              </w:numPr>
              <w:rPr>
                <w:rFonts w:asciiTheme="minorHAnsi" w:hAnsiTheme="minorHAnsi"/>
                <w:sz w:val="16"/>
                <w:szCs w:val="16"/>
              </w:rPr>
            </w:pPr>
            <w:r w:rsidRPr="00260BC8">
              <w:rPr>
                <w:rFonts w:cs="Calibri" w:eastAsiaTheme="minorHAnsi"/>
                <w:sz w:val="16"/>
                <w:szCs w:val="16"/>
              </w:rPr>
              <w:t xml:space="preserve">Australian Pharmaceutical Formulary (APF) Handbook 23. Pharmaceutical Society of Australia 2015. Potassium citrate mixture and methyl hydroxybenzoate solution formularies. </w:t>
            </w:r>
          </w:p>
        </w:tc>
      </w:tr>
    </w:tbl>
    <w:p w:rsidR="00260BC8" w:rsidP="006F0321" w:rsidRDefault="00260BC8" w14:paraId="1054F091" w14:textId="136F7D10"/>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60BC8" w:rsidTr="00131848" w14:paraId="61193115" w14:textId="77777777">
        <w:tc>
          <w:tcPr>
            <w:tcW w:w="4535" w:type="dxa"/>
            <w:vAlign w:val="center"/>
          </w:tcPr>
          <w:p w:rsidRPr="00E25790" w:rsidR="00260BC8" w:rsidP="00131848" w:rsidRDefault="00260BC8" w14:paraId="3BEBF36F" w14:textId="74229AAE">
            <w:r w:rsidRPr="00E25790">
              <w:t xml:space="preserve">Original version Date: </w:t>
            </w:r>
            <w:r>
              <w:t>9/6/2021</w:t>
            </w:r>
          </w:p>
        </w:tc>
        <w:tc>
          <w:tcPr>
            <w:tcW w:w="4535" w:type="dxa"/>
            <w:vAlign w:val="center"/>
          </w:tcPr>
          <w:p w:rsidRPr="00E25790" w:rsidR="00260BC8" w:rsidP="00131848" w:rsidRDefault="00260BC8" w14:paraId="65E6C4CF" w14:textId="547E03AE">
            <w:r w:rsidRPr="00E25790">
              <w:t xml:space="preserve">Author: </w:t>
            </w:r>
            <w:r>
              <w:t>TC, KOH</w:t>
            </w:r>
          </w:p>
        </w:tc>
      </w:tr>
      <w:tr w:rsidRPr="00E25790" w:rsidR="00260BC8" w:rsidTr="00131848" w14:paraId="26520C1B" w14:textId="77777777">
        <w:tc>
          <w:tcPr>
            <w:tcW w:w="4535" w:type="dxa"/>
            <w:vAlign w:val="center"/>
          </w:tcPr>
          <w:p w:rsidRPr="00E25790" w:rsidR="00260BC8" w:rsidP="00131848" w:rsidRDefault="00260BC8" w14:paraId="1E7CE473" w14:textId="6095EDD1">
            <w:pPr>
              <w:rPr>
                <w:bCs/>
              </w:rPr>
            </w:pPr>
            <w:r w:rsidRPr="00E25790">
              <w:t xml:space="preserve">Current Version number:  </w:t>
            </w:r>
            <w:r>
              <w:t>1</w:t>
            </w:r>
          </w:p>
        </w:tc>
        <w:tc>
          <w:tcPr>
            <w:tcW w:w="4535" w:type="dxa"/>
            <w:vAlign w:val="center"/>
          </w:tcPr>
          <w:p w:rsidRPr="00E25790" w:rsidR="00260BC8" w:rsidP="00131848" w:rsidRDefault="00260BC8" w14:paraId="3854BFE2" w14:textId="318F2563">
            <w:r w:rsidRPr="00E25790">
              <w:t xml:space="preserve">Version Date:  </w:t>
            </w:r>
            <w:r>
              <w:t>9/6/2021</w:t>
            </w:r>
          </w:p>
        </w:tc>
      </w:tr>
      <w:tr w:rsidRPr="00E25790" w:rsidR="00260BC8" w:rsidTr="00131848" w14:paraId="2E710229" w14:textId="77777777">
        <w:tc>
          <w:tcPr>
            <w:tcW w:w="4535" w:type="dxa"/>
            <w:vAlign w:val="center"/>
          </w:tcPr>
          <w:p w:rsidRPr="00E25790" w:rsidR="00260BC8" w:rsidP="00131848" w:rsidRDefault="00260BC8" w14:paraId="34A73AD5" w14:textId="602951E1">
            <w:r w:rsidRPr="00E25790">
              <w:t xml:space="preserve">Risk Rating: </w:t>
            </w:r>
            <w:r>
              <w:t>Low</w:t>
            </w:r>
          </w:p>
        </w:tc>
        <w:tc>
          <w:tcPr>
            <w:tcW w:w="4535" w:type="dxa"/>
            <w:vAlign w:val="center"/>
          </w:tcPr>
          <w:p w:rsidRPr="00E25790" w:rsidR="00260BC8" w:rsidP="00131848" w:rsidRDefault="00260BC8" w14:paraId="0E88BAC0" w14:textId="23288FC4">
            <w:r w:rsidRPr="00E25790">
              <w:t xml:space="preserve">Due for Review:  </w:t>
            </w:r>
            <w:r>
              <w:t>9/6/2026</w:t>
            </w:r>
          </w:p>
        </w:tc>
      </w:tr>
      <w:tr w:rsidRPr="00E25790" w:rsidR="00260BC8" w:rsidTr="00131848" w14:paraId="78E3DB32" w14:textId="77777777">
        <w:trPr>
          <w:trHeight w:val="344"/>
        </w:trPr>
        <w:tc>
          <w:tcPr>
            <w:tcW w:w="4535" w:type="dxa"/>
            <w:tcBorders>
              <w:bottom w:val="single" w:color="auto" w:sz="4" w:space="0"/>
            </w:tcBorders>
            <w:vAlign w:val="center"/>
          </w:tcPr>
          <w:p w:rsidRPr="00E25790" w:rsidR="00260BC8" w:rsidP="00131848" w:rsidRDefault="00260BC8" w14:paraId="406CB164" w14:textId="77777777">
            <w:r w:rsidRPr="00E25790">
              <w:t>Approved by: DTC</w:t>
            </w:r>
          </w:p>
        </w:tc>
        <w:tc>
          <w:tcPr>
            <w:tcW w:w="4535" w:type="dxa"/>
            <w:tcBorders>
              <w:bottom w:val="single" w:color="auto" w:sz="4" w:space="0"/>
            </w:tcBorders>
            <w:vAlign w:val="center"/>
          </w:tcPr>
          <w:p w:rsidRPr="00E25790" w:rsidR="00260BC8" w:rsidP="00131848" w:rsidRDefault="00260BC8" w14:paraId="24DE22A5" w14:textId="48FEBA13">
            <w:r w:rsidRPr="00E25790">
              <w:t xml:space="preserve">Approval Date: </w:t>
            </w:r>
            <w:r>
              <w:t>June 2021</w:t>
            </w:r>
          </w:p>
        </w:tc>
      </w:tr>
    </w:tbl>
    <w:p w:rsidR="00260BC8" w:rsidP="006F0321" w:rsidRDefault="00260BC8" w14:paraId="371D9073" w14:textId="77777777"/>
    <w:p w:rsidR="00260BC8" w:rsidP="006F0321" w:rsidRDefault="00260BC8" w14:paraId="61402893" w14:textId="08AF36B2"/>
    <w:p w:rsidR="00260BC8" w:rsidP="006F0321" w:rsidRDefault="00260BC8" w14:paraId="44D20149" w14:textId="47883751"/>
    <w:p w:rsidR="00260BC8" w:rsidP="006F0321" w:rsidRDefault="00260BC8" w14:paraId="4FBF0A8C" w14:textId="0BA5A67B"/>
    <w:p w:rsidR="00260BC8" w:rsidP="006F0321" w:rsidRDefault="00260BC8" w14:paraId="6CF0801E" w14:textId="6ACC0F75"/>
    <w:p w:rsidR="00260BC8" w:rsidP="006F0321" w:rsidRDefault="00260BC8" w14:paraId="3179FAA9" w14:textId="4C7D9530"/>
    <w:p w:rsidRPr="00E25790" w:rsidR="00260BC8" w:rsidP="006F0321" w:rsidRDefault="00260BC8" w14:paraId="08D12982" w14:textId="77777777"/>
    <w:tbl>
      <w:tblPr>
        <w:tblW w:w="9049" w:type="dxa"/>
        <w:tblLayout w:type="fixed"/>
        <w:tblLook w:val="0000" w:firstRow="0" w:lastRow="0" w:firstColumn="0" w:lastColumn="0" w:noHBand="0" w:noVBand="0"/>
      </w:tblPr>
      <w:tblGrid>
        <w:gridCol w:w="4153"/>
        <w:gridCol w:w="4896"/>
      </w:tblGrid>
      <w:tr w:rsidRPr="00E25790" w:rsidR="00115F48" w:rsidTr="00FB1E38" w14:paraId="187F8466"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8C2A95" w:rsidR="00115F48" w:rsidP="009469DB" w:rsidRDefault="00115F48" w14:paraId="6A27EB6C" w14:textId="77777777">
            <w:pPr>
              <w:pStyle w:val="Heading1"/>
            </w:pPr>
            <w:bookmarkStart w:name="_Toc38106908" w:id="502"/>
            <w:bookmarkStart w:name="_Toc75340031" w:id="503"/>
            <w:r w:rsidRPr="008C2A95">
              <w:lastRenderedPageBreak/>
              <w:t>Prednisolone</w:t>
            </w:r>
            <w:bookmarkEnd w:id="502"/>
            <w:bookmarkEnd w:id="503"/>
            <w:r w:rsidRPr="008C2A95">
              <w:fldChar w:fldCharType="begin"/>
            </w:r>
            <w:r w:rsidRPr="008C2A95">
              <w:instrText>tc "Prednisolone" \l 0</w:instrText>
            </w:r>
            <w:r w:rsidRPr="008C2A95">
              <w:fldChar w:fldCharType="end"/>
            </w:r>
          </w:p>
        </w:tc>
      </w:tr>
      <w:tr w:rsidRPr="00E25790" w:rsidR="00115F48" w:rsidTr="00FB1E38" w14:paraId="645088B1"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6F0701B0" w14:textId="49D2EF13">
            <w:r w:rsidRPr="00E25790">
              <w:t xml:space="preserve">Revision Date : </w:t>
            </w:r>
            <w:r w:rsidR="00300E56">
              <w:t>0</w:t>
            </w:r>
            <w:r w:rsidR="004A0B5C">
              <w:t>7/12/2020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7AD8A576" w14:textId="3C2A91E1">
            <w:r w:rsidRPr="00E25790">
              <w:t xml:space="preserve">Approved: </w:t>
            </w:r>
            <w:r w:rsidR="004A0B5C">
              <w:t>NS</w:t>
            </w:r>
            <w:r w:rsidR="00887F75">
              <w:t>, KOH</w:t>
            </w:r>
          </w:p>
        </w:tc>
      </w:tr>
    </w:tbl>
    <w:p w:rsidRPr="00E25790" w:rsidR="00115F48" w:rsidP="006F0321" w:rsidRDefault="00115F48" w14:paraId="0098CCA4" w14:textId="77777777"/>
    <w:tbl>
      <w:tblPr>
        <w:tblW w:w="9773" w:type="dxa"/>
        <w:tblLayout w:type="fixed"/>
        <w:tblLook w:val="0000" w:firstRow="0" w:lastRow="0" w:firstColumn="0" w:lastColumn="0" w:noHBand="0" w:noVBand="0"/>
      </w:tblPr>
      <w:tblGrid>
        <w:gridCol w:w="2443"/>
        <w:gridCol w:w="7330"/>
      </w:tblGrid>
      <w:tr w:rsidRPr="00E25790" w:rsidR="00115F48" w:rsidTr="008074AA" w14:paraId="21141BF8" w14:textId="77777777">
        <w:trPr>
          <w:cantSplit/>
          <w:trHeight w:val="923"/>
        </w:trPr>
        <w:tc>
          <w:tcPr>
            <w:tcW w:w="2443" w:type="dxa"/>
            <w:tcBorders>
              <w:top w:val="single" w:color="auto" w:sz="6" w:space="0"/>
              <w:left w:val="single" w:color="auto" w:sz="6" w:space="0"/>
              <w:bottom w:val="single" w:color="auto" w:sz="6" w:space="0"/>
            </w:tcBorders>
          </w:tcPr>
          <w:p w:rsidRPr="00E25790" w:rsidR="00115F48" w:rsidP="006F0321" w:rsidRDefault="00115F48" w14:paraId="00EF56FF" w14:textId="77777777">
            <w:r w:rsidRPr="00E25790">
              <w:t>Indication :</w:t>
            </w:r>
          </w:p>
        </w:tc>
        <w:tc>
          <w:tcPr>
            <w:tcW w:w="7330" w:type="dxa"/>
            <w:tcBorders>
              <w:top w:val="single" w:color="auto" w:sz="6" w:space="0"/>
              <w:bottom w:val="single" w:color="auto" w:sz="6" w:space="0"/>
              <w:right w:val="single" w:color="auto" w:sz="6" w:space="0"/>
            </w:tcBorders>
          </w:tcPr>
          <w:p w:rsidR="009C7A4A" w:rsidP="006F0321" w:rsidRDefault="009C7A4A" w14:paraId="33AFA352" w14:textId="77777777">
            <w:r>
              <w:t>1)</w:t>
            </w:r>
            <w:r w:rsidRPr="00E25790" w:rsidR="00115F48">
              <w:t>Asthma, croup</w:t>
            </w:r>
          </w:p>
          <w:p w:rsidRPr="00E25790" w:rsidR="00115F48" w:rsidP="006F0321" w:rsidRDefault="009C7A4A" w14:paraId="78E91694" w14:textId="482B46BF">
            <w:r>
              <w:t>2)C</w:t>
            </w:r>
            <w:r w:rsidRPr="00E25790" w:rsidR="00115F48">
              <w:t>hronic lung disease.</w:t>
            </w:r>
          </w:p>
        </w:tc>
      </w:tr>
      <w:tr w:rsidRPr="00E25790" w:rsidR="00115F48" w:rsidTr="008074AA" w14:paraId="0227968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B81CF7D" w14:textId="77777777">
            <w:r w:rsidRPr="00E25790">
              <w:t>Dose :</w:t>
            </w:r>
          </w:p>
        </w:tc>
        <w:tc>
          <w:tcPr>
            <w:tcW w:w="7330" w:type="dxa"/>
            <w:tcBorders>
              <w:top w:val="single" w:color="auto" w:sz="6" w:space="0"/>
              <w:bottom w:val="single" w:color="auto" w:sz="6" w:space="0"/>
              <w:right w:val="single" w:color="auto" w:sz="6" w:space="0"/>
            </w:tcBorders>
          </w:tcPr>
          <w:p w:rsidR="009A2FAD" w:rsidP="009A2FAD" w:rsidRDefault="009A2FAD" w14:paraId="13F7991F" w14:textId="3F45D757"/>
          <w:p w:rsidR="009A2FAD" w:rsidP="001B0E05" w:rsidRDefault="009A2FAD" w14:paraId="43464565" w14:textId="79E11326">
            <w:pPr>
              <w:pStyle w:val="ListParagraph"/>
              <w:numPr>
                <w:ilvl w:val="1"/>
                <w:numId w:val="49"/>
              </w:numPr>
            </w:pPr>
            <w:r>
              <w:t>mg/Kg/dose</w:t>
            </w:r>
          </w:p>
          <w:p w:rsidR="009A2FAD" w:rsidP="009A2FAD" w:rsidRDefault="009A2FAD" w14:paraId="7C772F06" w14:textId="77777777">
            <w:r>
              <w:t>2)</w:t>
            </w:r>
            <w:r w:rsidR="00C53DFB">
              <w:t>1</w:t>
            </w:r>
            <w:r w:rsidR="00AF03CF">
              <w:t xml:space="preserve"> mg/kg/d</w:t>
            </w:r>
            <w:r w:rsidR="00C53DFB">
              <w:t xml:space="preserve">ose twice a day for 5 days, followed by 1 mg/kg/dose daily for 3 days, followed by 1 mg/kg/dose every other </w:t>
            </w:r>
            <w:r w:rsidR="00AD6346">
              <w:t>day for 3 doses</w:t>
            </w:r>
            <w:r w:rsidR="001D29A0">
              <w:t xml:space="preserve"> (*)</w:t>
            </w:r>
          </w:p>
          <w:p w:rsidR="001D29A0" w:rsidP="009A2FAD" w:rsidRDefault="001D29A0" w14:paraId="44235DEC" w14:textId="77777777"/>
          <w:p w:rsidRPr="00E25790" w:rsidR="00D81E06" w:rsidP="009A2FAD" w:rsidRDefault="001D29A0" w14:paraId="5E01B272" w14:textId="7807A41F">
            <w:r>
              <w:t>(*)</w:t>
            </w:r>
            <w:r w:rsidR="00993029">
              <w:t>This</w:t>
            </w:r>
            <w:r w:rsidR="00211C0C">
              <w:t xml:space="preserve"> therapy</w:t>
            </w:r>
            <w:r w:rsidR="00993029">
              <w:t xml:space="preserve"> was used in 131 premature babies with CLD at </w:t>
            </w:r>
            <w:r w:rsidR="00993029">
              <w:rPr>
                <w:rFonts w:cs="Calibri"/>
              </w:rPr>
              <w:t>≥</w:t>
            </w:r>
            <w:r w:rsidR="00993029">
              <w:t xml:space="preserve">36 weeks of GCA </w:t>
            </w:r>
            <w:r w:rsidR="00170F86">
              <w:t xml:space="preserve">and it </w:t>
            </w:r>
            <w:r w:rsidR="000D1C43">
              <w:t xml:space="preserve">showed weaning of supplemental oxygen </w:t>
            </w:r>
            <w:r w:rsidR="00F72778">
              <w:t>in patient</w:t>
            </w:r>
            <w:r w:rsidR="00D81E06">
              <w:t>s</w:t>
            </w:r>
            <w:r w:rsidR="00F72778">
              <w:t xml:space="preserve"> with capillary pCO2 &lt;48.5 mmHg and pulmonary acuity score &lt;0.5 (Bhandari 2008).</w:t>
            </w:r>
          </w:p>
        </w:tc>
      </w:tr>
      <w:tr w:rsidRPr="00E25790" w:rsidR="00115F48" w:rsidTr="008074AA" w14:paraId="3685D193"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43C7A8F1" w14:textId="77777777">
            <w:r w:rsidRPr="00E25790">
              <w:t>Interval :</w:t>
            </w:r>
          </w:p>
        </w:tc>
        <w:tc>
          <w:tcPr>
            <w:tcW w:w="7330" w:type="dxa"/>
            <w:tcBorders>
              <w:top w:val="single" w:color="auto" w:sz="6" w:space="0"/>
              <w:bottom w:val="single" w:color="auto" w:sz="6" w:space="0"/>
              <w:right w:val="single" w:color="auto" w:sz="6" w:space="0"/>
            </w:tcBorders>
          </w:tcPr>
          <w:p w:rsidR="00115F48" w:rsidP="006F0321" w:rsidRDefault="00AD6346" w14:paraId="35AB0472" w14:textId="77777777">
            <w:r>
              <w:t>1)</w:t>
            </w:r>
            <w:r w:rsidRPr="00E25790" w:rsidR="00115F48">
              <w:t>Every 12-24 hours</w:t>
            </w:r>
          </w:p>
          <w:p w:rsidRPr="00E25790" w:rsidR="00466789" w:rsidP="006F0321" w:rsidRDefault="00466789" w14:paraId="5DA8F9D9" w14:textId="68068814">
            <w:r>
              <w:t>2)</w:t>
            </w:r>
            <w:r w:rsidR="00DF7FDB">
              <w:t xml:space="preserve">Every 12 hours for 5 days, then daily </w:t>
            </w:r>
            <w:r w:rsidR="00D81E06">
              <w:t xml:space="preserve">for 3 days </w:t>
            </w:r>
            <w:r w:rsidR="00DF7FDB">
              <w:t xml:space="preserve">and then </w:t>
            </w:r>
            <w:r w:rsidR="00E542EA">
              <w:t>every other day</w:t>
            </w:r>
            <w:r w:rsidR="00900B9E">
              <w:t xml:space="preserve"> for 3 doses</w:t>
            </w:r>
            <w:r w:rsidR="00E542EA">
              <w:t>.</w:t>
            </w:r>
          </w:p>
        </w:tc>
      </w:tr>
      <w:tr w:rsidRPr="00E25790" w:rsidR="00115F48" w:rsidTr="008074AA" w14:paraId="1E93F849"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46C5C2C7" w14:textId="77777777">
            <w:r w:rsidRPr="00E25790">
              <w:t>Route :</w:t>
            </w:r>
          </w:p>
        </w:tc>
        <w:tc>
          <w:tcPr>
            <w:tcW w:w="7330" w:type="dxa"/>
            <w:tcBorders>
              <w:top w:val="single" w:color="auto" w:sz="6" w:space="0"/>
              <w:bottom w:val="single" w:color="auto" w:sz="6" w:space="0"/>
              <w:right w:val="single" w:color="auto" w:sz="6" w:space="0"/>
            </w:tcBorders>
          </w:tcPr>
          <w:p w:rsidR="00115F48" w:rsidP="006F0321" w:rsidRDefault="00115F48" w14:paraId="535C0C20" w14:textId="77777777">
            <w:r w:rsidRPr="00E25790">
              <w:t>Orally</w:t>
            </w:r>
          </w:p>
          <w:p w:rsidRPr="00E25790" w:rsidR="001A79F7" w:rsidP="006F0321" w:rsidRDefault="005247FE" w14:paraId="2BCE25FC" w14:textId="0F1F8CD5">
            <w:r>
              <w:t xml:space="preserve">Ideally should be </w:t>
            </w:r>
            <w:r w:rsidR="00207806">
              <w:t xml:space="preserve">given with feeds </w:t>
            </w:r>
            <w:r>
              <w:t>to decrease gastrointestinal side effects.</w:t>
            </w:r>
          </w:p>
        </w:tc>
      </w:tr>
      <w:tr w:rsidRPr="00E25790" w:rsidR="00115F48" w:rsidTr="008074AA" w14:paraId="4CF76FB8"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DA8C3CA" w14:textId="77777777">
            <w:r w:rsidRPr="00E25790">
              <w:t>Total Daily Dose :</w:t>
            </w:r>
          </w:p>
        </w:tc>
        <w:tc>
          <w:tcPr>
            <w:tcW w:w="7330" w:type="dxa"/>
            <w:tcBorders>
              <w:top w:val="single" w:color="auto" w:sz="6" w:space="0"/>
              <w:bottom w:val="single" w:color="auto" w:sz="6" w:space="0"/>
              <w:right w:val="single" w:color="auto" w:sz="6" w:space="0"/>
            </w:tcBorders>
          </w:tcPr>
          <w:p w:rsidR="00115F48" w:rsidP="006F0321" w:rsidRDefault="00900B9E" w14:paraId="023A980C" w14:textId="0F883070">
            <w:r>
              <w:t>1</w:t>
            </w:r>
            <w:r w:rsidR="0074372D">
              <w:t xml:space="preserve"> and 2</w:t>
            </w:r>
            <w:r>
              <w:t xml:space="preserve">) </w:t>
            </w:r>
            <w:r w:rsidRPr="00E25790" w:rsidR="00115F48">
              <w:t>1-2 mg/kg/day. Use lowest dose possible.</w:t>
            </w:r>
          </w:p>
          <w:p w:rsidR="001154B9" w:rsidP="006F0321" w:rsidRDefault="001154B9" w14:paraId="65F87E5D" w14:textId="77777777">
            <w:r>
              <w:t xml:space="preserve">Maximum </w:t>
            </w:r>
            <w:r w:rsidR="00CD2908">
              <w:t>60 mg/day</w:t>
            </w:r>
          </w:p>
          <w:p w:rsidRPr="00E25790" w:rsidR="00900B9E" w:rsidP="006F0321" w:rsidRDefault="00900B9E" w14:paraId="3E6BE9DC" w14:textId="61108A21"/>
        </w:tc>
      </w:tr>
      <w:tr w:rsidRPr="00E25790" w:rsidR="00115F48" w:rsidTr="008074AA" w14:paraId="7C7E7258"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4B85B4AB" w14:textId="77777777">
            <w:r w:rsidRPr="00E25790">
              <w:t>Comments :</w:t>
            </w:r>
          </w:p>
        </w:tc>
        <w:tc>
          <w:tcPr>
            <w:tcW w:w="7330" w:type="dxa"/>
            <w:tcBorders>
              <w:top w:val="single" w:color="auto" w:sz="6" w:space="0"/>
              <w:bottom w:val="single" w:color="auto" w:sz="6" w:space="0"/>
              <w:right w:val="single" w:color="auto" w:sz="6" w:space="0"/>
            </w:tcBorders>
          </w:tcPr>
          <w:p w:rsidR="00C1029B" w:rsidP="006F0321" w:rsidRDefault="00115F48" w14:paraId="5895E267" w14:textId="77777777">
            <w:r w:rsidRPr="00E25790">
              <w:t xml:space="preserve">1mg prednisolone is equivalent to 4mg hydrocortisone in glucocorticoid activity.  Single daily doses are best given in the morning and with feeds. </w:t>
            </w:r>
          </w:p>
          <w:p w:rsidR="00C1029B" w:rsidP="006F0321" w:rsidRDefault="00115F48" w14:paraId="79F275B3" w14:textId="77777777">
            <w:r w:rsidRPr="00E25790">
              <w:t xml:space="preserve">May suppress linear growth. Consider bone mineral density assessment for patients receiving large and long term doses of oral steroids. </w:t>
            </w:r>
          </w:p>
          <w:p w:rsidR="00C1029B" w:rsidP="006F0321" w:rsidRDefault="00115F48" w14:paraId="69C9CDC5" w14:textId="77777777">
            <w:r w:rsidRPr="00E25790">
              <w:t xml:space="preserve">Immunosuppressant. Steroids may mask signs of infection. </w:t>
            </w:r>
          </w:p>
          <w:p w:rsidR="00C1029B" w:rsidP="006F0321" w:rsidRDefault="00115F48" w14:paraId="43C76F8C" w14:textId="77777777">
            <w:r w:rsidRPr="00E25790">
              <w:t xml:space="preserve">Prolonged treatment may cause adrenal suppression and atrophy may occur and secretion of corticotropin may be suppressed. In this situation withdrawal of steroids should be gradual. The lowest possible effective dose should be used to treat the condition. </w:t>
            </w:r>
          </w:p>
          <w:p w:rsidRPr="00E25790" w:rsidR="00115F48" w:rsidP="006F0321" w:rsidRDefault="00115F48" w14:paraId="6370E141" w14:textId="75630928"/>
        </w:tc>
      </w:tr>
      <w:tr w:rsidRPr="00E25790" w:rsidR="00C1029B" w:rsidTr="008074AA" w14:paraId="4EECD4C5" w14:textId="77777777">
        <w:trPr>
          <w:cantSplit/>
          <w:trHeight w:val="480"/>
        </w:trPr>
        <w:tc>
          <w:tcPr>
            <w:tcW w:w="2443" w:type="dxa"/>
            <w:tcBorders>
              <w:top w:val="single" w:color="auto" w:sz="6" w:space="0"/>
              <w:left w:val="single" w:color="auto" w:sz="6" w:space="0"/>
              <w:bottom w:val="single" w:color="auto" w:sz="6" w:space="0"/>
            </w:tcBorders>
          </w:tcPr>
          <w:p w:rsidRPr="00E25790" w:rsidR="00C1029B" w:rsidP="006F0321" w:rsidRDefault="00C1029B" w14:paraId="513BB7E1" w14:textId="4CB91561">
            <w:r>
              <w:t xml:space="preserve">Side effects: </w:t>
            </w:r>
          </w:p>
        </w:tc>
        <w:tc>
          <w:tcPr>
            <w:tcW w:w="7330" w:type="dxa"/>
            <w:tcBorders>
              <w:top w:val="single" w:color="auto" w:sz="6" w:space="0"/>
              <w:bottom w:val="single" w:color="auto" w:sz="6" w:space="0"/>
              <w:right w:val="single" w:color="auto" w:sz="6" w:space="0"/>
            </w:tcBorders>
          </w:tcPr>
          <w:p w:rsidRPr="00E25790" w:rsidR="00C1029B" w:rsidP="006F0321" w:rsidRDefault="00C1029B" w14:paraId="7B0A22FA" w14:textId="7B4C5EE7">
            <w:r>
              <w:t>E</w:t>
            </w:r>
            <w:r w:rsidRPr="00E25790">
              <w:t xml:space="preserve">lectrolyte </w:t>
            </w:r>
            <w:r w:rsidR="005F401A">
              <w:t>imbalance</w:t>
            </w:r>
            <w:r w:rsidRPr="00E25790">
              <w:t xml:space="preserve">, </w:t>
            </w:r>
            <w:r w:rsidR="001538A3">
              <w:t xml:space="preserve">kypokalemic alkalosis, </w:t>
            </w:r>
            <w:r w:rsidR="00401357">
              <w:t xml:space="preserve">oedema, </w:t>
            </w:r>
            <w:r w:rsidR="00113D0A">
              <w:t>hyperglycaemia</w:t>
            </w:r>
            <w:r w:rsidRPr="00E25790">
              <w:t xml:space="preserve">, adrenal axis suppression, osteoporosis, </w:t>
            </w:r>
            <w:r w:rsidR="0026027F">
              <w:t xml:space="preserve">fractures, </w:t>
            </w:r>
            <w:r w:rsidRPr="00E25790">
              <w:t>infection</w:t>
            </w:r>
            <w:r w:rsidR="00401357">
              <w:t>s</w:t>
            </w:r>
            <w:r w:rsidRPr="00E25790">
              <w:t xml:space="preserve">, </w:t>
            </w:r>
            <w:r w:rsidR="00DD1B5F">
              <w:t xml:space="preserve">poor </w:t>
            </w:r>
            <w:r w:rsidRPr="00E25790">
              <w:t>growth, GI irritation (with ulceration)</w:t>
            </w:r>
            <w:r w:rsidR="00FC1E7C">
              <w:t>, mya</w:t>
            </w:r>
            <w:r w:rsidR="001538A3">
              <w:t xml:space="preserve">sthenia, skin atrophy, </w:t>
            </w:r>
            <w:r w:rsidR="00FA03D5">
              <w:t>cataracts</w:t>
            </w:r>
          </w:p>
        </w:tc>
      </w:tr>
      <w:tr w:rsidRPr="00E25790" w:rsidR="00115F48" w:rsidTr="008074AA" w14:paraId="262F62A4"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9F5A437" w14:textId="77777777">
            <w:r w:rsidRPr="00E25790">
              <w:t>Supplied as :</w:t>
            </w:r>
          </w:p>
        </w:tc>
        <w:tc>
          <w:tcPr>
            <w:tcW w:w="7330" w:type="dxa"/>
            <w:tcBorders>
              <w:top w:val="single" w:color="auto" w:sz="6" w:space="0"/>
              <w:bottom w:val="single" w:color="auto" w:sz="6" w:space="0"/>
              <w:right w:val="single" w:color="auto" w:sz="6" w:space="0"/>
            </w:tcBorders>
          </w:tcPr>
          <w:p w:rsidRPr="00E25790" w:rsidR="00115F48" w:rsidP="006F0321" w:rsidRDefault="00115F48" w14:paraId="7FA98A66" w14:textId="73633A97">
            <w:r w:rsidRPr="00E25790">
              <w:t xml:space="preserve">Oral </w:t>
            </w:r>
            <w:r w:rsidR="00F74D38">
              <w:t>solution</w:t>
            </w:r>
            <w:r w:rsidRPr="00E25790" w:rsidR="00F74D38">
              <w:t xml:space="preserve"> </w:t>
            </w:r>
            <w:r w:rsidRPr="00E25790">
              <w:t xml:space="preserve">5 mg/ml </w:t>
            </w:r>
          </w:p>
        </w:tc>
      </w:tr>
      <w:tr w:rsidRPr="00E25790" w:rsidR="00115F48" w:rsidTr="008074AA" w14:paraId="2503DC93" w14:textId="77777777">
        <w:trPr>
          <w:cantSplit/>
          <w:trHeight w:val="528"/>
        </w:trPr>
        <w:tc>
          <w:tcPr>
            <w:tcW w:w="2443" w:type="dxa"/>
            <w:tcBorders>
              <w:top w:val="single" w:color="auto" w:sz="6" w:space="0"/>
              <w:left w:val="single" w:color="auto" w:sz="6" w:space="0"/>
              <w:bottom w:val="single" w:color="auto" w:sz="6" w:space="0"/>
            </w:tcBorders>
          </w:tcPr>
          <w:p w:rsidRPr="00E25790" w:rsidR="00115F48" w:rsidP="006F0321" w:rsidRDefault="00115F48" w14:paraId="02E80386" w14:textId="77777777">
            <w:r w:rsidRPr="00E25790">
              <w:t>Dilution :</w:t>
            </w:r>
          </w:p>
        </w:tc>
        <w:tc>
          <w:tcPr>
            <w:tcW w:w="7330" w:type="dxa"/>
            <w:tcBorders>
              <w:top w:val="single" w:color="auto" w:sz="6" w:space="0"/>
              <w:bottom w:val="single" w:color="auto" w:sz="6" w:space="0"/>
              <w:right w:val="single" w:color="auto" w:sz="6" w:space="0"/>
            </w:tcBorders>
          </w:tcPr>
          <w:p w:rsidRPr="00E25790" w:rsidR="00115F48" w:rsidP="006F0321" w:rsidRDefault="00115F48" w14:paraId="19DBEC45" w14:textId="77777777"/>
        </w:tc>
      </w:tr>
      <w:tr w:rsidRPr="00E25790" w:rsidR="00115F48" w:rsidTr="008074AA" w14:paraId="3302CC5D"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031C527" w14:textId="77777777">
            <w:r w:rsidRPr="00E25790">
              <w:lastRenderedPageBreak/>
              <w:t>Stability :</w:t>
            </w:r>
          </w:p>
        </w:tc>
        <w:tc>
          <w:tcPr>
            <w:tcW w:w="7330" w:type="dxa"/>
            <w:tcBorders>
              <w:top w:val="single" w:color="auto" w:sz="6" w:space="0"/>
              <w:bottom w:val="single" w:color="auto" w:sz="6" w:space="0"/>
              <w:right w:val="single" w:color="auto" w:sz="6" w:space="0"/>
            </w:tcBorders>
          </w:tcPr>
          <w:p w:rsidRPr="00E25790" w:rsidR="00115F48" w:rsidP="006F0321" w:rsidRDefault="00115F48" w14:paraId="3065232A" w14:textId="77777777"/>
        </w:tc>
      </w:tr>
      <w:tr w:rsidRPr="00E25790" w:rsidR="00115F48" w:rsidTr="008074AA" w14:paraId="71304581"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0D66D7EA" w14:textId="77777777">
            <w:r w:rsidRPr="00E25790">
              <w:t>Storage :</w:t>
            </w:r>
          </w:p>
        </w:tc>
        <w:tc>
          <w:tcPr>
            <w:tcW w:w="7330" w:type="dxa"/>
            <w:tcBorders>
              <w:top w:val="single" w:color="auto" w:sz="6" w:space="0"/>
              <w:bottom w:val="single" w:color="auto" w:sz="6" w:space="0"/>
              <w:right w:val="single" w:color="auto" w:sz="6" w:space="0"/>
            </w:tcBorders>
          </w:tcPr>
          <w:p w:rsidRPr="00E25790" w:rsidR="00115F48" w:rsidP="006F0321" w:rsidRDefault="00115F48" w14:paraId="3D75F477" w14:textId="77777777">
            <w:r w:rsidRPr="00E25790">
              <w:t>Room temperature, protect from light.</w:t>
            </w:r>
          </w:p>
        </w:tc>
      </w:tr>
      <w:tr w:rsidRPr="00E25790" w:rsidR="00115F48" w:rsidTr="008074AA" w14:paraId="47E9161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63E7629E" w14:textId="77777777">
            <w:r w:rsidRPr="00E25790">
              <w:t>Compatibility:</w:t>
            </w:r>
          </w:p>
        </w:tc>
        <w:tc>
          <w:tcPr>
            <w:tcW w:w="7330" w:type="dxa"/>
            <w:tcBorders>
              <w:top w:val="single" w:color="auto" w:sz="6" w:space="0"/>
              <w:bottom w:val="single" w:color="auto" w:sz="6" w:space="0"/>
              <w:right w:val="single" w:color="auto" w:sz="6" w:space="0"/>
            </w:tcBorders>
          </w:tcPr>
          <w:p w:rsidRPr="00E25790" w:rsidR="00115F48" w:rsidP="006F0321" w:rsidRDefault="00115F48" w14:paraId="3EBF31DF" w14:textId="77777777"/>
        </w:tc>
      </w:tr>
      <w:tr w:rsidRPr="00E25790" w:rsidR="00115F48" w:rsidTr="008074AA" w14:paraId="7E58C06A"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402827F" w14:textId="77777777">
            <w:r w:rsidRPr="00E25790">
              <w:t>Incompatibility :</w:t>
            </w:r>
          </w:p>
        </w:tc>
        <w:tc>
          <w:tcPr>
            <w:tcW w:w="7330" w:type="dxa"/>
            <w:tcBorders>
              <w:top w:val="single" w:color="auto" w:sz="6" w:space="0"/>
              <w:bottom w:val="single" w:color="auto" w:sz="6" w:space="0"/>
              <w:right w:val="single" w:color="auto" w:sz="6" w:space="0"/>
            </w:tcBorders>
          </w:tcPr>
          <w:p w:rsidRPr="00E25790" w:rsidR="00115F48" w:rsidP="006F0321" w:rsidRDefault="00115F48" w14:paraId="7F5516CD" w14:textId="77777777"/>
        </w:tc>
      </w:tr>
      <w:tr w:rsidRPr="00E25790" w:rsidR="00B40938" w:rsidTr="008074AA" w14:paraId="6440F919"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DDA8BC9" w14:textId="77777777">
            <w:r w:rsidRPr="00E25790">
              <w:t>Serum Levels :</w:t>
            </w:r>
          </w:p>
        </w:tc>
        <w:tc>
          <w:tcPr>
            <w:tcW w:w="7330" w:type="dxa"/>
            <w:tcBorders>
              <w:top w:val="single" w:color="auto" w:sz="6" w:space="0"/>
              <w:bottom w:val="single" w:color="auto" w:sz="6" w:space="0"/>
              <w:right w:val="single" w:color="auto" w:sz="6" w:space="0"/>
            </w:tcBorders>
          </w:tcPr>
          <w:p w:rsidRPr="00E25790" w:rsidR="00115F48" w:rsidP="006F0321" w:rsidRDefault="00115F48" w14:paraId="34315970" w14:textId="77777777"/>
        </w:tc>
      </w:tr>
      <w:tr w:rsidRPr="00E25790" w:rsidR="004A70DD" w:rsidTr="008074AA" w14:paraId="19985A45" w14:textId="77777777">
        <w:trPr>
          <w:cantSplit/>
          <w:trHeight w:val="480"/>
        </w:trPr>
        <w:tc>
          <w:tcPr>
            <w:tcW w:w="2443" w:type="dxa"/>
            <w:tcBorders>
              <w:top w:val="single" w:color="auto" w:sz="6" w:space="0"/>
              <w:left w:val="single" w:color="auto" w:sz="6" w:space="0"/>
              <w:bottom w:val="single" w:color="auto" w:sz="4" w:space="0"/>
            </w:tcBorders>
          </w:tcPr>
          <w:p w:rsidRPr="00E25790" w:rsidR="004A70DD" w:rsidP="006F0321" w:rsidRDefault="004A70DD" w14:paraId="731AAF8A" w14:textId="13F1675D">
            <w:r>
              <w:t>References:</w:t>
            </w:r>
          </w:p>
        </w:tc>
        <w:tc>
          <w:tcPr>
            <w:tcW w:w="7330" w:type="dxa"/>
            <w:tcBorders>
              <w:top w:val="single" w:color="auto" w:sz="6" w:space="0"/>
              <w:bottom w:val="single" w:color="auto" w:sz="4" w:space="0"/>
              <w:right w:val="single" w:color="auto" w:sz="6" w:space="0"/>
            </w:tcBorders>
          </w:tcPr>
          <w:p w:rsidRPr="00A5572D" w:rsidR="00A5572D" w:rsidP="00A5572D" w:rsidRDefault="00A5572D" w14:paraId="7821E927" w14:textId="77777777">
            <w:r w:rsidRPr="00A5572D">
              <w:t>Australian Medicine handbook. Children Dosing Companion. July 2020.</w:t>
            </w:r>
          </w:p>
          <w:p w:rsidR="00A5572D" w:rsidP="00A5572D" w:rsidRDefault="00A5572D" w14:paraId="47FA846A" w14:textId="2518F98C">
            <w:r w:rsidRPr="00A5572D">
              <w:t>Drug Doses. Frank Shann, 17</w:t>
            </w:r>
            <w:r w:rsidRPr="00A5572D">
              <w:rPr>
                <w:vertAlign w:val="superscript"/>
              </w:rPr>
              <w:t>th</w:t>
            </w:r>
            <w:r w:rsidRPr="00A5572D">
              <w:t xml:space="preserve"> Edition, 2017.</w:t>
            </w:r>
          </w:p>
          <w:p w:rsidR="001A223D" w:rsidP="00A5572D" w:rsidRDefault="001A223D" w14:paraId="4A2A33E5" w14:textId="2A400411">
            <w:r>
              <w:t>Uptodate 2020.</w:t>
            </w:r>
          </w:p>
          <w:p w:rsidR="00FB5532" w:rsidP="00A5572D" w:rsidRDefault="00FB5532" w14:paraId="74E8C568" w14:textId="54A70C26">
            <w:r>
              <w:t>MIMS</w:t>
            </w:r>
            <w:r w:rsidR="0086004A">
              <w:t xml:space="preserve"> Online. December 2020.</w:t>
            </w:r>
          </w:p>
          <w:p w:rsidRPr="00A5572D" w:rsidR="008A5E45" w:rsidP="00A5572D" w:rsidRDefault="008A5E45" w14:paraId="2789E818" w14:textId="6C34DFBF">
            <w:r>
              <w:t xml:space="preserve">Effects of a </w:t>
            </w:r>
            <w:r w:rsidR="005177B2">
              <w:t>S</w:t>
            </w:r>
            <w:r>
              <w:t xml:space="preserve">hort </w:t>
            </w:r>
            <w:r w:rsidR="005177B2">
              <w:t>C</w:t>
            </w:r>
            <w:r>
              <w:t xml:space="preserve">ourse of </w:t>
            </w:r>
            <w:r w:rsidR="005177B2">
              <w:t>P</w:t>
            </w:r>
            <w:r>
              <w:t xml:space="preserve">rednisolone in </w:t>
            </w:r>
            <w:r w:rsidR="005177B2">
              <w:t>I</w:t>
            </w:r>
            <w:r>
              <w:t xml:space="preserve">nfants with </w:t>
            </w:r>
            <w:r w:rsidR="005177B2">
              <w:t>O</w:t>
            </w:r>
            <w:r>
              <w:t>xygen-</w:t>
            </w:r>
            <w:r w:rsidR="005177B2">
              <w:t>D</w:t>
            </w:r>
            <w:r>
              <w:t>epend</w:t>
            </w:r>
            <w:r w:rsidR="005177B2">
              <w:t>e</w:t>
            </w:r>
            <w:r>
              <w:t xml:space="preserve">nt </w:t>
            </w:r>
            <w:r w:rsidR="005177B2">
              <w:t xml:space="preserve">Bronchopulmonary Dysplasia. </w:t>
            </w:r>
            <w:r w:rsidR="00A477E1">
              <w:t>Pediatrics vol 121, number 2, February 2008.</w:t>
            </w:r>
          </w:p>
          <w:p w:rsidRPr="00E25790" w:rsidR="004A70DD" w:rsidP="006F0321" w:rsidRDefault="004A70DD" w14:paraId="61CD3C8A" w14:textId="77777777"/>
        </w:tc>
      </w:tr>
    </w:tbl>
    <w:p w:rsidRPr="00E25790" w:rsidR="00115F48" w:rsidP="006F0321" w:rsidRDefault="00115F48" w14:paraId="2BA12500"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0431B" w:rsidTr="00F028F7" w14:paraId="7D56FCC5" w14:textId="77777777">
        <w:tc>
          <w:tcPr>
            <w:tcW w:w="4535" w:type="dxa"/>
            <w:vAlign w:val="center"/>
          </w:tcPr>
          <w:p w:rsidRPr="00E25790" w:rsidR="00887F75" w:rsidP="009E664B" w:rsidRDefault="00887F75" w14:paraId="400DA508" w14:textId="55DA8C99">
            <w:bookmarkStart w:name="_Toc38106909" w:id="504"/>
            <w:r w:rsidRPr="00E25790">
              <w:t xml:space="preserve">Original version Date: </w:t>
            </w:r>
            <w:r>
              <w:t>9/1/2014</w:t>
            </w:r>
          </w:p>
        </w:tc>
        <w:tc>
          <w:tcPr>
            <w:tcW w:w="4535" w:type="dxa"/>
            <w:vAlign w:val="center"/>
          </w:tcPr>
          <w:p w:rsidRPr="00E25790" w:rsidR="00887F75" w:rsidP="009E664B" w:rsidRDefault="00887F75" w14:paraId="6680FC2B" w14:textId="2FA659F0">
            <w:r w:rsidRPr="00E25790">
              <w:t xml:space="preserve">Author: </w:t>
            </w:r>
            <w:r>
              <w:t>AK, JD</w:t>
            </w:r>
          </w:p>
        </w:tc>
      </w:tr>
      <w:tr w:rsidRPr="00E25790" w:rsidR="0020431B" w:rsidTr="00F028F7" w14:paraId="29E9A5E2" w14:textId="77777777">
        <w:tc>
          <w:tcPr>
            <w:tcW w:w="4535" w:type="dxa"/>
            <w:vAlign w:val="center"/>
          </w:tcPr>
          <w:p w:rsidRPr="00E25790" w:rsidR="00887F75" w:rsidP="009E664B" w:rsidRDefault="00887F75" w14:paraId="0D2C1B23" w14:textId="59859EB5">
            <w:pPr>
              <w:rPr>
                <w:bCs/>
              </w:rPr>
            </w:pPr>
            <w:r w:rsidRPr="00E25790">
              <w:t xml:space="preserve">Current Version number:  </w:t>
            </w:r>
            <w:r>
              <w:t>2</w:t>
            </w:r>
          </w:p>
        </w:tc>
        <w:tc>
          <w:tcPr>
            <w:tcW w:w="4535" w:type="dxa"/>
            <w:vAlign w:val="center"/>
          </w:tcPr>
          <w:p w:rsidRPr="00E25790" w:rsidR="00887F75" w:rsidP="009E664B" w:rsidRDefault="00887F75" w14:paraId="7019D412" w14:textId="2900FB23">
            <w:r w:rsidRPr="00E25790">
              <w:t xml:space="preserve">Version Date:  </w:t>
            </w:r>
            <w:r>
              <w:t>7/12/2020</w:t>
            </w:r>
          </w:p>
        </w:tc>
      </w:tr>
      <w:tr w:rsidRPr="00E25790" w:rsidR="0020431B" w:rsidTr="00F028F7" w14:paraId="3B969378" w14:textId="77777777">
        <w:tc>
          <w:tcPr>
            <w:tcW w:w="4535" w:type="dxa"/>
            <w:vAlign w:val="center"/>
          </w:tcPr>
          <w:p w:rsidRPr="00E25790" w:rsidR="00887F75" w:rsidP="009E664B" w:rsidRDefault="00887F75" w14:paraId="038DA5F3" w14:textId="77777777">
            <w:r w:rsidRPr="00E25790">
              <w:t>Risk Rating: Medium</w:t>
            </w:r>
          </w:p>
        </w:tc>
        <w:tc>
          <w:tcPr>
            <w:tcW w:w="4535" w:type="dxa"/>
            <w:vAlign w:val="center"/>
          </w:tcPr>
          <w:p w:rsidRPr="00E25790" w:rsidR="00887F75" w:rsidP="009E664B" w:rsidRDefault="00887F75" w14:paraId="6C23FC65" w14:textId="36D9B843">
            <w:r w:rsidRPr="00E25790">
              <w:t xml:space="preserve">Due for Review:  </w:t>
            </w:r>
            <w:r w:rsidR="00A416DA">
              <w:t>7/12/2025</w:t>
            </w:r>
          </w:p>
        </w:tc>
      </w:tr>
      <w:tr w:rsidRPr="00E25790" w:rsidR="0020431B" w:rsidTr="00F028F7" w14:paraId="52AC4DC0" w14:textId="77777777">
        <w:trPr>
          <w:trHeight w:val="344"/>
        </w:trPr>
        <w:tc>
          <w:tcPr>
            <w:tcW w:w="4535" w:type="dxa"/>
            <w:tcBorders>
              <w:bottom w:val="single" w:color="auto" w:sz="4" w:space="0"/>
            </w:tcBorders>
            <w:vAlign w:val="center"/>
          </w:tcPr>
          <w:p w:rsidRPr="00E25790" w:rsidR="00887F75" w:rsidP="009E664B" w:rsidRDefault="00887F75" w14:paraId="1AA44846" w14:textId="77777777">
            <w:r w:rsidRPr="00E25790">
              <w:t>Approved by: DTC</w:t>
            </w:r>
          </w:p>
        </w:tc>
        <w:tc>
          <w:tcPr>
            <w:tcW w:w="4535" w:type="dxa"/>
            <w:tcBorders>
              <w:bottom w:val="single" w:color="auto" w:sz="4" w:space="0"/>
            </w:tcBorders>
            <w:vAlign w:val="center"/>
          </w:tcPr>
          <w:p w:rsidRPr="00E25790" w:rsidR="00887F75" w:rsidP="009E664B" w:rsidRDefault="00887F75" w14:paraId="2B756B90" w14:textId="599AF7EF">
            <w:r w:rsidRPr="00E25790">
              <w:t xml:space="preserve">Approval Date: </w:t>
            </w:r>
            <w:r w:rsidR="00260BC8">
              <w:t>APRIL 2021</w:t>
            </w:r>
          </w:p>
        </w:tc>
      </w:tr>
    </w:tbl>
    <w:p w:rsidR="00FB1E38" w:rsidRDefault="00FB1E38" w14:paraId="60154092" w14:textId="77777777">
      <w:r w:rsidRPr="48F57877">
        <w:rPr>
          <w:b/>
          <w:bCs/>
        </w:rPr>
        <w:br w:type="page"/>
      </w:r>
      <w:bookmarkEnd w:id="504"/>
    </w:p>
    <w:tbl>
      <w:tblPr>
        <w:tblW w:w="0" w:type="auto"/>
        <w:tblLook w:val="0000" w:firstRow="0" w:lastRow="0" w:firstColumn="0" w:lastColumn="0" w:noHBand="0" w:noVBand="0"/>
      </w:tblPr>
      <w:tblGrid>
        <w:gridCol w:w="4132"/>
        <w:gridCol w:w="4871"/>
      </w:tblGrid>
      <w:tr w:rsidR="0349FAD4" w:rsidTr="00A15559" w14:paraId="7DA216D2" w14:textId="77777777">
        <w:trPr>
          <w:trHeight w:val="720"/>
        </w:trPr>
        <w:tc>
          <w:tcPr>
            <w:tcW w:w="9003" w:type="dxa"/>
            <w:gridSpan w:val="2"/>
            <w:tcBorders>
              <w:top w:val="double" w:color="auto" w:sz="6" w:space="0"/>
              <w:left w:val="double" w:color="auto" w:sz="6" w:space="0"/>
              <w:bottom w:val="double" w:color="auto" w:sz="6" w:space="0"/>
            </w:tcBorders>
            <w:shd w:val="clear" w:color="auto" w:fill="FFFF00"/>
          </w:tcPr>
          <w:p w:rsidR="0349FAD4" w:rsidP="0349FAD4" w:rsidRDefault="0349FAD4" w14:paraId="763AA073" w14:textId="1513A9D4">
            <w:pPr>
              <w:pStyle w:val="Heading1"/>
            </w:pPr>
            <w:bookmarkStart w:name="_Toc75340032" w:id="505"/>
            <w:r>
              <w:lastRenderedPageBreak/>
              <w:t>Prop</w:t>
            </w:r>
            <w:r w:rsidR="6793DEB6">
              <w:t>ofol</w:t>
            </w:r>
            <w:bookmarkEnd w:id="505"/>
            <w:r>
              <w:fldChar w:fldCharType="begin"/>
            </w:r>
            <w:r>
              <w:instrText>tc "Omeprazole" \l 0</w:instrText>
            </w:r>
            <w:r>
              <w:fldChar w:fldCharType="end"/>
            </w:r>
          </w:p>
        </w:tc>
      </w:tr>
      <w:tr w:rsidR="0349FAD4" w:rsidTr="00A15559" w14:paraId="7A455A22" w14:textId="77777777">
        <w:trPr>
          <w:trHeight w:val="480"/>
        </w:trPr>
        <w:tc>
          <w:tcPr>
            <w:tcW w:w="4132" w:type="dxa"/>
            <w:tcBorders>
              <w:top w:val="double" w:color="auto" w:sz="6" w:space="0"/>
              <w:left w:val="double" w:color="auto" w:sz="6" w:space="0"/>
              <w:bottom w:val="double" w:color="auto" w:sz="6" w:space="0"/>
              <w:right w:val="single" w:color="auto" w:sz="6" w:space="0"/>
            </w:tcBorders>
            <w:shd w:val="clear" w:color="auto" w:fill="FFFF00"/>
          </w:tcPr>
          <w:p w:rsidR="0349FAD4" w:rsidRDefault="0349FAD4" w14:paraId="7FADCC08" w14:textId="5095DB62">
            <w:r>
              <w:t>Revision Date :</w:t>
            </w:r>
            <w:r w:rsidR="00EF56A1">
              <w:t xml:space="preserve"> 19-12-2018</w:t>
            </w:r>
          </w:p>
        </w:tc>
        <w:tc>
          <w:tcPr>
            <w:tcW w:w="4871" w:type="dxa"/>
            <w:tcBorders>
              <w:top w:val="double" w:color="auto" w:sz="6" w:space="0"/>
              <w:left w:val="single" w:color="auto" w:sz="6" w:space="0"/>
              <w:bottom w:val="double" w:color="auto" w:sz="6" w:space="0"/>
              <w:right w:val="double" w:color="auto" w:sz="6" w:space="0"/>
            </w:tcBorders>
            <w:shd w:val="clear" w:color="auto" w:fill="FFFF00"/>
          </w:tcPr>
          <w:p w:rsidR="0349FAD4" w:rsidRDefault="0349FAD4" w14:paraId="42AA78B4" w14:textId="6906F5AA">
            <w:r>
              <w:t>Approved: TC, KOH</w:t>
            </w:r>
          </w:p>
        </w:tc>
      </w:tr>
    </w:tbl>
    <w:p w:rsidRPr="00E25790" w:rsidR="00770C88" w:rsidP="006F0321" w:rsidRDefault="00770C88" w14:paraId="5A8544A4" w14:textId="77777777"/>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2"/>
        <w:gridCol w:w="7602"/>
      </w:tblGrid>
      <w:tr w:rsidR="0349FAD4" w:rsidTr="008074AA" w14:paraId="0DBA498F" w14:textId="77777777">
        <w:trPr>
          <w:trHeight w:val="363"/>
        </w:trPr>
        <w:tc>
          <w:tcPr>
            <w:tcW w:w="2032" w:type="dxa"/>
          </w:tcPr>
          <w:p w:rsidR="0349FAD4" w:rsidP="0349FAD4" w:rsidRDefault="0349FAD4" w14:paraId="20D9F191" w14:textId="77777777">
            <w:pPr>
              <w:pStyle w:val="BodyText"/>
              <w:tabs>
                <w:tab w:val="center" w:pos="1476"/>
              </w:tabs>
              <w:rPr>
                <w:rFonts w:cs="Arial" w:asciiTheme="minorHAnsi" w:hAnsiTheme="minorHAnsi"/>
                <w:b/>
                <w:bCs/>
                <w:sz w:val="20"/>
              </w:rPr>
            </w:pPr>
            <w:r w:rsidRPr="0349FAD4">
              <w:rPr>
                <w:rFonts w:cs="Arial" w:asciiTheme="minorHAnsi" w:hAnsiTheme="minorHAnsi"/>
                <w:b/>
                <w:bCs/>
                <w:sz w:val="20"/>
              </w:rPr>
              <w:t>Alert</w:t>
            </w:r>
          </w:p>
        </w:tc>
        <w:tc>
          <w:tcPr>
            <w:tcW w:w="7602" w:type="dxa"/>
          </w:tcPr>
          <w:p w:rsidR="000CE0CD" w:rsidP="0349FAD4" w:rsidRDefault="000CE0CD" w14:paraId="382BB8B3" w14:textId="08F4B090">
            <w:pPr>
              <w:pStyle w:val="BodyText"/>
              <w:rPr>
                <w:rFonts w:cs="Arial" w:asciiTheme="minorHAnsi" w:hAnsiTheme="minorHAnsi"/>
                <w:sz w:val="20"/>
              </w:rPr>
            </w:pPr>
            <w:r w:rsidRPr="0349FAD4">
              <w:rPr>
                <w:rFonts w:cs="Arial" w:asciiTheme="minorHAnsi" w:hAnsiTheme="minorHAnsi"/>
                <w:sz w:val="20"/>
              </w:rPr>
              <w:t>Not advised in haemodynamically unstable neonates.</w:t>
            </w:r>
          </w:p>
          <w:p w:rsidR="000CE0CD" w:rsidP="0349FAD4" w:rsidRDefault="000CE0CD" w14:paraId="092F56C5" w14:textId="05311747">
            <w:pPr>
              <w:pStyle w:val="BodyText"/>
            </w:pPr>
            <w:r w:rsidRPr="0349FAD4">
              <w:rPr>
                <w:rFonts w:cs="Arial" w:asciiTheme="minorHAnsi" w:hAnsiTheme="minorHAnsi"/>
                <w:sz w:val="20"/>
              </w:rPr>
              <w:t>Propofol is not recommended for induction and maintenance of anaesthesia in neonates. There are no data to support the use of propofol infusion for sedation of premature neonates receiving intensive care.</w:t>
            </w:r>
          </w:p>
          <w:p w:rsidR="0349FAD4" w:rsidP="0349FAD4" w:rsidRDefault="0349FAD4" w14:paraId="2D23A62D" w14:textId="70D849F6">
            <w:pPr>
              <w:pStyle w:val="BodyText"/>
              <w:rPr>
                <w:rFonts w:cs="Arial" w:asciiTheme="minorHAnsi" w:hAnsiTheme="minorHAnsi"/>
                <w:sz w:val="20"/>
              </w:rPr>
            </w:pPr>
          </w:p>
        </w:tc>
      </w:tr>
      <w:tr w:rsidR="0349FAD4" w:rsidTr="008074AA" w14:paraId="27B8AC99" w14:textId="77777777">
        <w:trPr>
          <w:trHeight w:val="553"/>
        </w:trPr>
        <w:tc>
          <w:tcPr>
            <w:tcW w:w="2032" w:type="dxa"/>
          </w:tcPr>
          <w:p w:rsidR="0349FAD4" w:rsidP="0349FAD4" w:rsidRDefault="0349FAD4" w14:paraId="5D76C93E" w14:textId="77777777">
            <w:pPr>
              <w:pStyle w:val="BodyText"/>
              <w:rPr>
                <w:rFonts w:cs="Arial" w:asciiTheme="minorHAnsi" w:hAnsiTheme="minorHAnsi"/>
                <w:b/>
                <w:bCs/>
                <w:sz w:val="20"/>
              </w:rPr>
            </w:pPr>
            <w:r w:rsidRPr="0349FAD4">
              <w:rPr>
                <w:rFonts w:cs="Arial" w:asciiTheme="minorHAnsi" w:hAnsiTheme="minorHAnsi"/>
                <w:b/>
                <w:bCs/>
                <w:sz w:val="20"/>
              </w:rPr>
              <w:t xml:space="preserve">Indication                         </w:t>
            </w:r>
          </w:p>
          <w:p w:rsidR="0349FAD4" w:rsidP="0349FAD4" w:rsidRDefault="0349FAD4" w14:paraId="40ABFE1F" w14:textId="77777777">
            <w:pPr>
              <w:pStyle w:val="BodyText"/>
              <w:rPr>
                <w:rFonts w:cs="Arial" w:asciiTheme="minorHAnsi" w:hAnsiTheme="minorHAnsi"/>
                <w:sz w:val="20"/>
              </w:rPr>
            </w:pPr>
          </w:p>
        </w:tc>
        <w:tc>
          <w:tcPr>
            <w:tcW w:w="7602" w:type="dxa"/>
          </w:tcPr>
          <w:p w:rsidR="6802A760" w:rsidP="48F57877" w:rsidRDefault="4CC75D45" w14:paraId="33E93BE6" w14:textId="5FB435DA">
            <w:pPr>
              <w:rPr>
                <w:rFonts w:asciiTheme="minorHAnsi" w:hAnsiTheme="minorHAnsi"/>
                <w:sz w:val="20"/>
              </w:rPr>
            </w:pPr>
            <w:r w:rsidRPr="48F57877">
              <w:rPr>
                <w:rFonts w:asciiTheme="minorHAnsi" w:hAnsiTheme="minorHAnsi"/>
                <w:sz w:val="20"/>
              </w:rPr>
              <w:t>Premedication for (1) endotracheal intubation and (2) MIST (Minimally Invasive Surfactan Therapy) or InSurE (Intubation, surfactant and extubation) procedure.</w:t>
            </w:r>
          </w:p>
          <w:p w:rsidR="0349FAD4" w:rsidP="0349FAD4" w:rsidRDefault="0349FAD4" w14:paraId="1371A7E6" w14:textId="692519EA">
            <w:pPr>
              <w:rPr>
                <w:rFonts w:asciiTheme="minorHAnsi" w:hAnsiTheme="minorHAnsi"/>
                <w:sz w:val="20"/>
              </w:rPr>
            </w:pPr>
          </w:p>
        </w:tc>
      </w:tr>
      <w:tr w:rsidR="0349FAD4" w:rsidTr="008074AA" w14:paraId="0DCBCA01" w14:textId="77777777">
        <w:trPr>
          <w:trHeight w:val="261"/>
        </w:trPr>
        <w:tc>
          <w:tcPr>
            <w:tcW w:w="2032" w:type="dxa"/>
          </w:tcPr>
          <w:p w:rsidR="0349FAD4" w:rsidP="0349FAD4" w:rsidRDefault="0349FAD4" w14:paraId="1829D33B" w14:textId="77777777">
            <w:pPr>
              <w:pStyle w:val="BodyText"/>
              <w:rPr>
                <w:rFonts w:cs="Arial" w:asciiTheme="minorHAnsi" w:hAnsiTheme="minorHAnsi"/>
                <w:b/>
                <w:bCs/>
                <w:sz w:val="20"/>
              </w:rPr>
            </w:pPr>
            <w:r w:rsidRPr="0349FAD4">
              <w:rPr>
                <w:rFonts w:cs="Arial" w:asciiTheme="minorHAnsi" w:hAnsiTheme="minorHAnsi"/>
                <w:b/>
                <w:bCs/>
                <w:sz w:val="20"/>
              </w:rPr>
              <w:t>Action</w:t>
            </w:r>
          </w:p>
        </w:tc>
        <w:tc>
          <w:tcPr>
            <w:tcW w:w="7602" w:type="dxa"/>
          </w:tcPr>
          <w:p w:rsidR="187FCCB2" w:rsidP="0349FAD4" w:rsidRDefault="187FCCB2" w14:paraId="4B0EE8E5" w14:textId="2810A76F">
            <w:pPr>
              <w:rPr>
                <w:rFonts w:cs="Arial" w:asciiTheme="minorHAnsi" w:hAnsiTheme="minorHAnsi"/>
                <w:sz w:val="20"/>
              </w:rPr>
            </w:pPr>
            <w:r w:rsidRPr="0349FAD4">
              <w:rPr>
                <w:rFonts w:cs="Arial" w:asciiTheme="minorHAnsi" w:hAnsiTheme="minorHAnsi"/>
                <w:sz w:val="20"/>
              </w:rPr>
              <w:t xml:space="preserve">The mechanism of action is poorly understood. Propofol is thought to produce its sedative/anaesthetic effects principally by the positive modulation of the inhibitory function of the neurotransmitter GABA through GABAA receptors.  </w:t>
            </w:r>
          </w:p>
          <w:p w:rsidR="0349FAD4" w:rsidP="0349FAD4" w:rsidRDefault="0349FAD4" w14:paraId="62B149F5" w14:textId="2B4CC09D">
            <w:pPr>
              <w:rPr>
                <w:rFonts w:cs="Arial" w:asciiTheme="minorHAnsi" w:hAnsiTheme="minorHAnsi"/>
                <w:sz w:val="20"/>
              </w:rPr>
            </w:pPr>
          </w:p>
        </w:tc>
      </w:tr>
      <w:tr w:rsidR="0349FAD4" w:rsidTr="008074AA" w14:paraId="26517679" w14:textId="77777777">
        <w:trPr>
          <w:trHeight w:val="266"/>
        </w:trPr>
        <w:tc>
          <w:tcPr>
            <w:tcW w:w="2032" w:type="dxa"/>
          </w:tcPr>
          <w:p w:rsidR="0349FAD4" w:rsidP="0349FAD4" w:rsidRDefault="0349FAD4" w14:paraId="73BE3D79" w14:textId="77777777">
            <w:pPr>
              <w:pStyle w:val="BodyText"/>
              <w:rPr>
                <w:rFonts w:cs="Arial" w:asciiTheme="minorHAnsi" w:hAnsiTheme="minorHAnsi"/>
                <w:sz w:val="20"/>
              </w:rPr>
            </w:pPr>
            <w:r w:rsidRPr="0349FAD4">
              <w:rPr>
                <w:rFonts w:cs="Arial" w:asciiTheme="minorHAnsi" w:hAnsiTheme="minorHAnsi"/>
                <w:b/>
                <w:bCs/>
                <w:sz w:val="20"/>
              </w:rPr>
              <w:t xml:space="preserve">Drug Type                                   </w:t>
            </w:r>
          </w:p>
        </w:tc>
        <w:tc>
          <w:tcPr>
            <w:tcW w:w="7602" w:type="dxa"/>
          </w:tcPr>
          <w:p w:rsidR="5453BA0C" w:rsidP="0349FAD4" w:rsidRDefault="5453BA0C" w14:paraId="7809B8F2" w14:textId="5635382D">
            <w:pPr>
              <w:pStyle w:val="BodyText"/>
              <w:rPr>
                <w:rFonts w:cs="Arial" w:asciiTheme="minorHAnsi" w:hAnsiTheme="minorHAnsi"/>
                <w:sz w:val="20"/>
              </w:rPr>
            </w:pPr>
            <w:r w:rsidRPr="0349FAD4">
              <w:rPr>
                <w:rFonts w:cs="Arial" w:asciiTheme="minorHAnsi" w:hAnsiTheme="minorHAnsi"/>
                <w:sz w:val="20"/>
              </w:rPr>
              <w:t>General anaesthetic, sedative.</w:t>
            </w:r>
          </w:p>
        </w:tc>
      </w:tr>
      <w:tr w:rsidR="0349FAD4" w:rsidTr="008074AA" w14:paraId="6F2AD1EA" w14:textId="77777777">
        <w:trPr>
          <w:trHeight w:val="234"/>
        </w:trPr>
        <w:tc>
          <w:tcPr>
            <w:tcW w:w="2032" w:type="dxa"/>
          </w:tcPr>
          <w:p w:rsidR="0349FAD4" w:rsidP="0349FAD4" w:rsidRDefault="0349FAD4" w14:paraId="71CCD442" w14:textId="77777777">
            <w:pPr>
              <w:pStyle w:val="BodyText"/>
              <w:rPr>
                <w:rFonts w:cs="Arial" w:asciiTheme="minorHAnsi" w:hAnsiTheme="minorHAnsi"/>
                <w:b/>
                <w:bCs/>
                <w:sz w:val="20"/>
              </w:rPr>
            </w:pPr>
            <w:r w:rsidRPr="0349FAD4">
              <w:rPr>
                <w:rFonts w:cs="Arial" w:asciiTheme="minorHAnsi" w:hAnsiTheme="minorHAnsi"/>
                <w:b/>
                <w:bCs/>
                <w:sz w:val="20"/>
              </w:rPr>
              <w:t xml:space="preserve">Trade Name                  </w:t>
            </w:r>
          </w:p>
        </w:tc>
        <w:tc>
          <w:tcPr>
            <w:tcW w:w="7602" w:type="dxa"/>
          </w:tcPr>
          <w:p w:rsidR="4E62E991" w:rsidP="0349FAD4" w:rsidRDefault="4E62E991" w14:paraId="7BD2E6B1" w14:textId="1D8ADC61">
            <w:pPr>
              <w:pStyle w:val="BodyText"/>
              <w:rPr>
                <w:rFonts w:cs="Arial" w:asciiTheme="minorHAnsi" w:hAnsiTheme="minorHAnsi"/>
                <w:sz w:val="20"/>
              </w:rPr>
            </w:pPr>
            <w:r w:rsidRPr="0349FAD4">
              <w:rPr>
                <w:rFonts w:cs="Arial" w:asciiTheme="minorHAnsi" w:hAnsiTheme="minorHAnsi"/>
                <w:sz w:val="20"/>
              </w:rPr>
              <w:t>Diprivan, Fresofol 1% injection, Fresofol MCT-LCT 1% emulsion, Propofol –</w:t>
            </w:r>
          </w:p>
          <w:p w:rsidR="4E62E991" w:rsidP="0349FAD4" w:rsidRDefault="4E62E991" w14:paraId="30A3B704" w14:textId="2D6700AB">
            <w:pPr>
              <w:pStyle w:val="BodyText"/>
            </w:pPr>
            <w:r w:rsidRPr="0349FAD4">
              <w:rPr>
                <w:rFonts w:cs="Arial" w:asciiTheme="minorHAnsi" w:hAnsiTheme="minorHAnsi"/>
                <w:sz w:val="20"/>
              </w:rPr>
              <w:t>Hospira/Lipuro/Sandoz, Provive 1%, Provive MCT-LCT 1%</w:t>
            </w:r>
          </w:p>
          <w:p w:rsidR="0349FAD4" w:rsidP="0349FAD4" w:rsidRDefault="0349FAD4" w14:paraId="3290693A" w14:textId="1C687B87">
            <w:pPr>
              <w:pStyle w:val="BodyText"/>
              <w:rPr>
                <w:rFonts w:cs="Arial" w:asciiTheme="minorHAnsi" w:hAnsiTheme="minorHAnsi"/>
                <w:sz w:val="20"/>
              </w:rPr>
            </w:pPr>
          </w:p>
        </w:tc>
      </w:tr>
      <w:tr w:rsidR="0349FAD4" w:rsidTr="008074AA" w14:paraId="574AE55C" w14:textId="77777777">
        <w:trPr>
          <w:trHeight w:val="267"/>
        </w:trPr>
        <w:tc>
          <w:tcPr>
            <w:tcW w:w="2032" w:type="dxa"/>
          </w:tcPr>
          <w:p w:rsidR="0349FAD4" w:rsidP="0349FAD4" w:rsidRDefault="0349FAD4" w14:paraId="0CF4FDA7" w14:textId="77777777">
            <w:pPr>
              <w:pStyle w:val="BodyText"/>
              <w:rPr>
                <w:rFonts w:cs="Arial" w:asciiTheme="minorHAnsi" w:hAnsiTheme="minorHAnsi"/>
                <w:b/>
                <w:bCs/>
                <w:sz w:val="20"/>
              </w:rPr>
            </w:pPr>
            <w:r w:rsidRPr="0349FAD4">
              <w:rPr>
                <w:rFonts w:cs="Arial" w:asciiTheme="minorHAnsi" w:hAnsiTheme="minorHAnsi"/>
                <w:b/>
                <w:bCs/>
                <w:sz w:val="20"/>
              </w:rPr>
              <w:t xml:space="preserve">Presentation </w:t>
            </w:r>
          </w:p>
        </w:tc>
        <w:tc>
          <w:tcPr>
            <w:tcW w:w="7602" w:type="dxa"/>
          </w:tcPr>
          <w:p w:rsidR="0E2B00BE" w:rsidP="0349FAD4" w:rsidRDefault="0E2B00BE" w14:paraId="00F5F13D" w14:textId="111C20B8">
            <w:pPr>
              <w:pStyle w:val="BodyText"/>
              <w:ind w:left="34"/>
              <w:rPr>
                <w:rFonts w:cs="Arial" w:asciiTheme="minorHAnsi" w:hAnsiTheme="minorHAnsi"/>
                <w:sz w:val="20"/>
              </w:rPr>
            </w:pPr>
            <w:r w:rsidRPr="0349FAD4">
              <w:rPr>
                <w:rFonts w:cs="Arial" w:asciiTheme="minorHAnsi" w:hAnsiTheme="minorHAnsi"/>
                <w:sz w:val="20"/>
              </w:rPr>
              <w:t xml:space="preserve">Ampoule, vial or prefilled syringe 200 mg/20 mL, 500 mg/50 mL or 1 g/100 mL </w:t>
            </w:r>
          </w:p>
          <w:p w:rsidR="0E2B00BE" w:rsidP="0349FAD4" w:rsidRDefault="0E2B00BE" w14:paraId="2DED1139" w14:textId="33A47AED">
            <w:pPr>
              <w:pStyle w:val="BodyText"/>
              <w:ind w:left="34"/>
              <w:rPr>
                <w:rFonts w:cs="Arial" w:asciiTheme="minorHAnsi" w:hAnsiTheme="minorHAnsi"/>
                <w:sz w:val="20"/>
              </w:rPr>
            </w:pPr>
            <w:r w:rsidRPr="0349FAD4">
              <w:rPr>
                <w:rFonts w:cs="Arial" w:asciiTheme="minorHAnsi" w:hAnsiTheme="minorHAnsi"/>
                <w:sz w:val="20"/>
              </w:rPr>
              <w:t>Propofol is a milky-white oil in water emulsion.</w:t>
            </w:r>
          </w:p>
          <w:p w:rsidR="0E2B00BE" w:rsidP="0349FAD4" w:rsidRDefault="0E2B00BE" w14:paraId="12D2E7EE" w14:textId="316B8369">
            <w:pPr>
              <w:pStyle w:val="BodyText"/>
              <w:ind w:left="34"/>
              <w:rPr>
                <w:rFonts w:cs="Arial" w:asciiTheme="minorHAnsi" w:hAnsiTheme="minorHAnsi"/>
                <w:sz w:val="20"/>
              </w:rPr>
            </w:pPr>
            <w:r w:rsidRPr="0349FAD4">
              <w:rPr>
                <w:rFonts w:cs="Arial" w:asciiTheme="minorHAnsi" w:hAnsiTheme="minorHAnsi"/>
                <w:sz w:val="20"/>
              </w:rPr>
              <w:t>pH 6 to 8.5.</w:t>
            </w:r>
            <w:r w:rsidRPr="0349FAD4" w:rsidR="5475ACA4">
              <w:rPr>
                <w:rFonts w:cs="Arial" w:asciiTheme="minorHAnsi" w:hAnsiTheme="minorHAnsi"/>
                <w:sz w:val="20"/>
              </w:rPr>
              <w:t xml:space="preserve"> </w:t>
            </w:r>
          </w:p>
          <w:p w:rsidR="0E2B00BE" w:rsidP="0349FAD4" w:rsidRDefault="0E2B00BE" w14:paraId="7CFD4921" w14:textId="2A0A8A0C">
            <w:pPr>
              <w:pStyle w:val="BodyText"/>
              <w:ind w:left="34"/>
              <w:rPr>
                <w:rFonts w:cs="Arial" w:asciiTheme="minorHAnsi" w:hAnsiTheme="minorHAnsi"/>
                <w:sz w:val="20"/>
              </w:rPr>
            </w:pPr>
            <w:r w:rsidRPr="0349FAD4">
              <w:rPr>
                <w:rFonts w:cs="Arial" w:asciiTheme="minorHAnsi" w:hAnsiTheme="minorHAnsi"/>
                <w:sz w:val="20"/>
              </w:rPr>
              <w:t>Diprivan contains glycerol, soya oil, egg lecithin, disodium edetate and sodium hydroxide</w:t>
            </w:r>
            <w:r w:rsidRPr="0349FAD4" w:rsidR="558ADADA">
              <w:rPr>
                <w:rFonts w:cs="Arial" w:asciiTheme="minorHAnsi" w:hAnsiTheme="minorHAnsi"/>
                <w:sz w:val="20"/>
              </w:rPr>
              <w:t xml:space="preserve">. </w:t>
            </w:r>
            <w:r w:rsidRPr="0349FAD4">
              <w:rPr>
                <w:rFonts w:cs="Arial" w:asciiTheme="minorHAnsi" w:hAnsiTheme="minorHAnsi"/>
                <w:sz w:val="20"/>
              </w:rPr>
              <w:t xml:space="preserve">Propofol Sandoz and Provive 1% contain glycerol, soya oil, egg lecithin and sodium oleate. </w:t>
            </w:r>
          </w:p>
          <w:p w:rsidR="0E2B00BE" w:rsidP="0349FAD4" w:rsidRDefault="0E2B00BE" w14:paraId="1B080EAD" w14:textId="5B779A15">
            <w:pPr>
              <w:pStyle w:val="BodyText"/>
              <w:ind w:left="34"/>
              <w:rPr>
                <w:rFonts w:cs="Arial" w:asciiTheme="minorHAnsi" w:hAnsiTheme="minorHAnsi"/>
                <w:sz w:val="20"/>
              </w:rPr>
            </w:pPr>
            <w:r w:rsidRPr="0349FAD4">
              <w:rPr>
                <w:rFonts w:cs="Arial" w:asciiTheme="minorHAnsi" w:hAnsiTheme="minorHAnsi"/>
                <w:sz w:val="20"/>
              </w:rPr>
              <w:t>Fresofol contains glycerol, soya oil, egg lecithin, oleic acid and sodium hydroxide.</w:t>
            </w:r>
          </w:p>
          <w:p w:rsidR="0E2B00BE" w:rsidP="3A936897" w:rsidRDefault="1CA3BEC0" w14:paraId="192A4011" w14:textId="2231DDEB">
            <w:pPr>
              <w:pStyle w:val="BodyText"/>
              <w:ind w:left="34"/>
              <w:rPr>
                <w:rFonts w:cs="Arial" w:asciiTheme="minorHAnsi" w:hAnsiTheme="minorHAnsi"/>
                <w:sz w:val="20"/>
              </w:rPr>
            </w:pPr>
            <w:r w:rsidRPr="3A936897">
              <w:rPr>
                <w:rFonts w:cs="Arial" w:asciiTheme="minorHAnsi" w:hAnsiTheme="minorHAnsi"/>
                <w:sz w:val="20"/>
              </w:rPr>
              <w:t xml:space="preserve">Fresofol MCT-LCT, Propofol-Lipuro and Provive MCT-LCT contain soya oil, medium chain, triglycerides, glycerol, egg lecithin and sodium oleate.  </w:t>
            </w:r>
          </w:p>
          <w:p w:rsidR="0E2B00BE" w:rsidP="0349FAD4" w:rsidRDefault="0E2B00BE" w14:paraId="1011CCF4" w14:textId="3D80F285">
            <w:pPr>
              <w:pStyle w:val="BodyText"/>
              <w:ind w:left="34"/>
            </w:pPr>
            <w:r w:rsidRPr="0349FAD4">
              <w:rPr>
                <w:rFonts w:cs="Arial" w:asciiTheme="minorHAnsi" w:hAnsiTheme="minorHAnsi"/>
                <w:sz w:val="20"/>
              </w:rPr>
              <w:t xml:space="preserve">Fresofol MCT-LCT contains sodium hydroxide.  </w:t>
            </w:r>
          </w:p>
          <w:p w:rsidR="0349FAD4" w:rsidP="0349FAD4" w:rsidRDefault="0349FAD4" w14:paraId="5DB94722" w14:textId="2EA85E08">
            <w:pPr>
              <w:pStyle w:val="BodyText"/>
              <w:ind w:left="34"/>
              <w:rPr>
                <w:rFonts w:cs="Arial" w:asciiTheme="minorHAnsi" w:hAnsiTheme="minorHAnsi"/>
                <w:sz w:val="20"/>
              </w:rPr>
            </w:pPr>
          </w:p>
        </w:tc>
      </w:tr>
      <w:tr w:rsidR="0349FAD4" w:rsidTr="008074AA" w14:paraId="47374FA9" w14:textId="77777777">
        <w:trPr>
          <w:trHeight w:val="273"/>
        </w:trPr>
        <w:tc>
          <w:tcPr>
            <w:tcW w:w="2032" w:type="dxa"/>
          </w:tcPr>
          <w:p w:rsidR="0349FAD4" w:rsidP="0349FAD4" w:rsidRDefault="0349FAD4" w14:paraId="78F577D3" w14:textId="77777777">
            <w:pPr>
              <w:pStyle w:val="BodyText"/>
              <w:rPr>
                <w:rFonts w:cs="Arial" w:asciiTheme="minorHAnsi" w:hAnsiTheme="minorHAnsi"/>
                <w:b/>
                <w:bCs/>
                <w:sz w:val="20"/>
              </w:rPr>
            </w:pPr>
            <w:r w:rsidRPr="0349FAD4">
              <w:rPr>
                <w:rFonts w:cs="Arial" w:asciiTheme="minorHAnsi" w:hAnsiTheme="minorHAnsi"/>
                <w:b/>
                <w:bCs/>
                <w:sz w:val="20"/>
              </w:rPr>
              <w:t xml:space="preserve">Dosage / Interval                           </w:t>
            </w:r>
          </w:p>
        </w:tc>
        <w:tc>
          <w:tcPr>
            <w:tcW w:w="7602" w:type="dxa"/>
          </w:tcPr>
          <w:p w:rsidR="5A499590" w:rsidP="0349FAD4" w:rsidRDefault="5A499590" w14:paraId="0EABA533" w14:textId="63C7800A">
            <w:pPr>
              <w:pStyle w:val="BodyText"/>
              <w:rPr>
                <w:rFonts w:asciiTheme="minorHAnsi" w:hAnsiTheme="minorHAnsi"/>
                <w:b/>
                <w:bCs/>
                <w:sz w:val="20"/>
              </w:rPr>
            </w:pPr>
            <w:r w:rsidRPr="0349FAD4">
              <w:rPr>
                <w:rFonts w:asciiTheme="minorHAnsi" w:hAnsiTheme="minorHAnsi"/>
                <w:b/>
                <w:bCs/>
                <w:sz w:val="20"/>
              </w:rPr>
              <w:t>Premedication for endotracheal intubation*</w:t>
            </w:r>
          </w:p>
          <w:p w:rsidR="5A499590" w:rsidP="0349FAD4" w:rsidRDefault="5A499590" w14:paraId="20D00821" w14:textId="14DCC83D">
            <w:pPr>
              <w:pStyle w:val="BodyText"/>
            </w:pPr>
            <w:r w:rsidRPr="0349FAD4">
              <w:rPr>
                <w:rFonts w:asciiTheme="minorHAnsi" w:hAnsiTheme="minorHAnsi"/>
                <w:sz w:val="20"/>
              </w:rPr>
              <w:t>IV: Start at 1 mg/kg and titrate dose of 2.5 mg/kg to infant response (check eye lash reflex every</w:t>
            </w:r>
            <w:r w:rsidRPr="0349FAD4" w:rsidR="46E678F1">
              <w:rPr>
                <w:rFonts w:asciiTheme="minorHAnsi" w:hAnsiTheme="minorHAnsi"/>
                <w:sz w:val="20"/>
              </w:rPr>
              <w:t xml:space="preserve"> </w:t>
            </w:r>
            <w:r w:rsidRPr="0349FAD4">
              <w:rPr>
                <w:rFonts w:asciiTheme="minorHAnsi" w:hAnsiTheme="minorHAnsi"/>
                <w:sz w:val="20"/>
              </w:rPr>
              <w:t>10 seconds – average ranging from 1.0 to 3.6 mg/kg.</w:t>
            </w:r>
          </w:p>
          <w:p w:rsidR="0349FAD4" w:rsidP="0349FAD4" w:rsidRDefault="0349FAD4" w14:paraId="1FBF8597" w14:textId="24D57758">
            <w:pPr>
              <w:pStyle w:val="BodyText"/>
              <w:rPr>
                <w:rFonts w:asciiTheme="minorHAnsi" w:hAnsiTheme="minorHAnsi"/>
                <w:sz w:val="20"/>
              </w:rPr>
            </w:pPr>
          </w:p>
          <w:p w:rsidR="5A499590" w:rsidP="0349FAD4" w:rsidRDefault="5A499590" w14:paraId="6EE6412D" w14:textId="2AFE850B">
            <w:pPr>
              <w:pStyle w:val="BodyText"/>
              <w:rPr>
                <w:rFonts w:asciiTheme="minorHAnsi" w:hAnsiTheme="minorHAnsi"/>
                <w:b/>
                <w:bCs/>
                <w:sz w:val="20"/>
              </w:rPr>
            </w:pPr>
            <w:r w:rsidRPr="0349FAD4">
              <w:rPr>
                <w:rFonts w:asciiTheme="minorHAnsi" w:hAnsiTheme="minorHAnsi"/>
                <w:b/>
                <w:bCs/>
                <w:sz w:val="20"/>
              </w:rPr>
              <w:t>Premedication for MIST or InSurE procedures*</w:t>
            </w:r>
          </w:p>
          <w:p w:rsidR="5A499590" w:rsidP="0349FAD4" w:rsidRDefault="5A499590" w14:paraId="043426BA" w14:textId="0448274C">
            <w:pPr>
              <w:pStyle w:val="BodyText"/>
            </w:pPr>
            <w:r w:rsidRPr="0349FAD4">
              <w:rPr>
                <w:rFonts w:asciiTheme="minorHAnsi" w:hAnsiTheme="minorHAnsi"/>
                <w:sz w:val="20"/>
              </w:rPr>
              <w:t>IV 1 mg/kg (maximum 1.5 mg/kg) (CAUTION: Increases the chance of needing non-invasive</w:t>
            </w:r>
            <w:r w:rsidRPr="0349FAD4" w:rsidR="652A17FA">
              <w:rPr>
                <w:rFonts w:asciiTheme="minorHAnsi" w:hAnsiTheme="minorHAnsi"/>
                <w:sz w:val="20"/>
              </w:rPr>
              <w:t xml:space="preserve"> </w:t>
            </w:r>
            <w:r w:rsidRPr="0349FAD4">
              <w:rPr>
                <w:rFonts w:asciiTheme="minorHAnsi" w:hAnsiTheme="minorHAnsi"/>
                <w:sz w:val="20"/>
              </w:rPr>
              <w:t>respiratory support).</w:t>
            </w:r>
          </w:p>
          <w:p w:rsidR="5A499590" w:rsidP="0349FAD4" w:rsidRDefault="5A499590" w14:paraId="79A633D1" w14:textId="270313D5">
            <w:pPr>
              <w:pStyle w:val="BodyText"/>
            </w:pPr>
            <w:r w:rsidRPr="0349FAD4">
              <w:rPr>
                <w:rFonts w:asciiTheme="minorHAnsi" w:hAnsiTheme="minorHAnsi"/>
                <w:sz w:val="20"/>
              </w:rPr>
              <w:t xml:space="preserve"> </w:t>
            </w:r>
          </w:p>
          <w:p w:rsidR="5A499590" w:rsidP="0349FAD4" w:rsidRDefault="5A499590" w14:paraId="3E5A2B25" w14:textId="4C364316">
            <w:pPr>
              <w:pStyle w:val="BodyText"/>
            </w:pPr>
            <w:r w:rsidRPr="0349FAD4">
              <w:rPr>
                <w:rFonts w:asciiTheme="minorHAnsi" w:hAnsiTheme="minorHAnsi"/>
                <w:b/>
                <w:bCs/>
                <w:sz w:val="20"/>
              </w:rPr>
              <w:t>*NOTE:</w:t>
            </w:r>
            <w:r w:rsidRPr="0349FAD4">
              <w:rPr>
                <w:rFonts w:asciiTheme="minorHAnsi" w:hAnsiTheme="minorHAnsi"/>
                <w:sz w:val="20"/>
              </w:rPr>
              <w:t xml:space="preserve"> Propofol may be used alone or in combination with other sedatives/analgesics. Reduce</w:t>
            </w:r>
            <w:r w:rsidRPr="0349FAD4" w:rsidR="36F44DE2">
              <w:rPr>
                <w:rFonts w:asciiTheme="minorHAnsi" w:hAnsiTheme="minorHAnsi"/>
                <w:sz w:val="20"/>
              </w:rPr>
              <w:t xml:space="preserve"> </w:t>
            </w:r>
            <w:r w:rsidRPr="0349FAD4">
              <w:rPr>
                <w:rFonts w:asciiTheme="minorHAnsi" w:hAnsiTheme="minorHAnsi"/>
                <w:sz w:val="20"/>
              </w:rPr>
              <w:t>propofol dose by 40–60% if combined with other sedatives/analgesics.</w:t>
            </w:r>
          </w:p>
          <w:p w:rsidR="0349FAD4" w:rsidP="0349FAD4" w:rsidRDefault="0349FAD4" w14:paraId="1DDA4059" w14:textId="4F03EA49">
            <w:pPr>
              <w:pStyle w:val="BodyText"/>
              <w:rPr>
                <w:rFonts w:asciiTheme="minorHAnsi" w:hAnsiTheme="minorHAnsi"/>
                <w:sz w:val="20"/>
              </w:rPr>
            </w:pPr>
          </w:p>
        </w:tc>
      </w:tr>
      <w:tr w:rsidR="0349FAD4" w:rsidTr="008074AA" w14:paraId="7EAE6529" w14:textId="77777777">
        <w:trPr>
          <w:trHeight w:val="191"/>
        </w:trPr>
        <w:tc>
          <w:tcPr>
            <w:tcW w:w="2032" w:type="dxa"/>
          </w:tcPr>
          <w:p w:rsidR="0349FAD4" w:rsidP="0349FAD4" w:rsidRDefault="0349FAD4" w14:paraId="20400360" w14:textId="77777777">
            <w:pPr>
              <w:pStyle w:val="BodyText"/>
              <w:rPr>
                <w:rFonts w:asciiTheme="minorHAnsi" w:hAnsiTheme="minorHAnsi"/>
                <w:b/>
                <w:bCs/>
                <w:sz w:val="20"/>
              </w:rPr>
            </w:pPr>
            <w:r w:rsidRPr="0349FAD4">
              <w:rPr>
                <w:rFonts w:asciiTheme="minorHAnsi" w:hAnsiTheme="minorHAnsi"/>
                <w:b/>
                <w:bCs/>
                <w:sz w:val="20"/>
              </w:rPr>
              <w:t>Maximum daily dose</w:t>
            </w:r>
          </w:p>
        </w:tc>
        <w:tc>
          <w:tcPr>
            <w:tcW w:w="7602" w:type="dxa"/>
          </w:tcPr>
          <w:p w:rsidR="6A07A380" w:rsidP="0349FAD4" w:rsidRDefault="6A07A380" w14:paraId="29200AAC" w14:textId="591C8CD2">
            <w:pPr>
              <w:pStyle w:val="BodyText"/>
              <w:rPr>
                <w:rFonts w:asciiTheme="minorHAnsi" w:hAnsiTheme="minorHAnsi"/>
                <w:sz w:val="20"/>
              </w:rPr>
            </w:pPr>
            <w:r w:rsidRPr="0349FAD4">
              <w:rPr>
                <w:rFonts w:asciiTheme="minorHAnsi" w:hAnsiTheme="minorHAnsi"/>
                <w:sz w:val="20"/>
              </w:rPr>
              <w:t>Premedication: 6 mg/kg.</w:t>
            </w:r>
          </w:p>
        </w:tc>
      </w:tr>
      <w:tr w:rsidR="0349FAD4" w:rsidTr="008074AA" w14:paraId="0D871072" w14:textId="77777777">
        <w:trPr>
          <w:trHeight w:val="209"/>
        </w:trPr>
        <w:tc>
          <w:tcPr>
            <w:tcW w:w="2032" w:type="dxa"/>
          </w:tcPr>
          <w:p w:rsidR="0349FAD4" w:rsidP="0349FAD4" w:rsidRDefault="0349FAD4" w14:paraId="3A8FB67F" w14:textId="77777777">
            <w:pPr>
              <w:pStyle w:val="BodyText"/>
              <w:rPr>
                <w:rFonts w:cs="Arial" w:asciiTheme="minorHAnsi" w:hAnsiTheme="minorHAnsi"/>
                <w:b/>
                <w:bCs/>
                <w:sz w:val="20"/>
              </w:rPr>
            </w:pPr>
            <w:r w:rsidRPr="0349FAD4">
              <w:rPr>
                <w:rFonts w:cs="Arial" w:asciiTheme="minorHAnsi" w:hAnsiTheme="minorHAnsi"/>
                <w:b/>
                <w:bCs/>
                <w:sz w:val="20"/>
              </w:rPr>
              <w:t xml:space="preserve">Route        </w:t>
            </w:r>
          </w:p>
        </w:tc>
        <w:tc>
          <w:tcPr>
            <w:tcW w:w="7602" w:type="dxa"/>
          </w:tcPr>
          <w:p w:rsidR="4C5EFE6B" w:rsidP="0349FAD4" w:rsidRDefault="4C5EFE6B" w14:paraId="3DD626D6" w14:textId="4CFF9FB2">
            <w:pPr>
              <w:pStyle w:val="BodyText"/>
              <w:rPr>
                <w:rFonts w:cs="Arial" w:asciiTheme="minorHAnsi" w:hAnsiTheme="minorHAnsi"/>
                <w:sz w:val="20"/>
              </w:rPr>
            </w:pPr>
            <w:r w:rsidRPr="0349FAD4">
              <w:rPr>
                <w:rFonts w:cs="Arial" w:asciiTheme="minorHAnsi" w:hAnsiTheme="minorHAnsi"/>
                <w:sz w:val="20"/>
              </w:rPr>
              <w:t>IV bolus</w:t>
            </w:r>
          </w:p>
        </w:tc>
      </w:tr>
      <w:tr w:rsidR="0349FAD4" w:rsidTr="008074AA" w14:paraId="682799D6" w14:textId="77777777">
        <w:trPr>
          <w:trHeight w:val="275"/>
        </w:trPr>
        <w:tc>
          <w:tcPr>
            <w:tcW w:w="2032" w:type="dxa"/>
          </w:tcPr>
          <w:p w:rsidR="0349FAD4" w:rsidP="564361E5" w:rsidRDefault="0349FAD4" w14:paraId="6AF4D346" w14:textId="784080F4">
            <w:pPr>
              <w:pStyle w:val="BodyText"/>
              <w:rPr>
                <w:rFonts w:cs="Arial" w:asciiTheme="minorHAnsi" w:hAnsiTheme="minorHAnsi"/>
                <w:b/>
                <w:bCs/>
                <w:sz w:val="20"/>
                <w:highlight w:val="cyan"/>
              </w:rPr>
            </w:pPr>
            <w:r w:rsidRPr="564361E5">
              <w:rPr>
                <w:rFonts w:cs="Arial" w:asciiTheme="minorHAnsi" w:hAnsiTheme="minorHAnsi"/>
                <w:b/>
                <w:bCs/>
                <w:sz w:val="20"/>
              </w:rPr>
              <w:t>Preparation/Dilution</w:t>
            </w:r>
          </w:p>
        </w:tc>
        <w:tc>
          <w:tcPr>
            <w:tcW w:w="7602" w:type="dxa"/>
          </w:tcPr>
          <w:p w:rsidR="4423D077" w:rsidP="0349FAD4" w:rsidRDefault="4423D077" w14:paraId="7A39E221" w14:textId="0DBA6144">
            <w:pPr>
              <w:pStyle w:val="BodyText"/>
              <w:rPr>
                <w:rFonts w:cs="Arial" w:asciiTheme="minorHAnsi" w:hAnsiTheme="minorHAnsi"/>
                <w:sz w:val="20"/>
              </w:rPr>
            </w:pPr>
            <w:r w:rsidRPr="0349FAD4">
              <w:rPr>
                <w:rFonts w:cs="Arial" w:asciiTheme="minorHAnsi" w:hAnsiTheme="minorHAnsi"/>
                <w:sz w:val="20"/>
              </w:rPr>
              <w:t>Use undiluted or dilute to a minimum concentration of 2 mg/mL with glucose 5%.</w:t>
            </w:r>
          </w:p>
          <w:p w:rsidR="0349FAD4" w:rsidP="0349FAD4" w:rsidRDefault="0349FAD4" w14:paraId="144E0926" w14:textId="154F2C4E">
            <w:pPr>
              <w:pStyle w:val="BodyText"/>
              <w:rPr>
                <w:rFonts w:cs="Arial" w:asciiTheme="minorHAnsi" w:hAnsiTheme="minorHAnsi"/>
                <w:sz w:val="20"/>
              </w:rPr>
            </w:pPr>
          </w:p>
        </w:tc>
      </w:tr>
      <w:tr w:rsidR="0349FAD4" w:rsidTr="008074AA" w14:paraId="1905AEED" w14:textId="77777777">
        <w:trPr>
          <w:trHeight w:val="163"/>
        </w:trPr>
        <w:tc>
          <w:tcPr>
            <w:tcW w:w="2032" w:type="dxa"/>
          </w:tcPr>
          <w:p w:rsidR="0349FAD4" w:rsidP="0349FAD4" w:rsidRDefault="0349FAD4" w14:paraId="5C2F4507" w14:textId="77777777">
            <w:pPr>
              <w:pStyle w:val="BodyText"/>
              <w:rPr>
                <w:rFonts w:cs="Arial" w:asciiTheme="minorHAnsi" w:hAnsiTheme="minorHAnsi"/>
                <w:b/>
                <w:bCs/>
                <w:sz w:val="20"/>
              </w:rPr>
            </w:pPr>
            <w:r w:rsidRPr="0349FAD4">
              <w:rPr>
                <w:rFonts w:cs="Arial" w:asciiTheme="minorHAnsi" w:hAnsiTheme="minorHAnsi"/>
                <w:b/>
                <w:bCs/>
                <w:sz w:val="20"/>
              </w:rPr>
              <w:t xml:space="preserve">Administration    </w:t>
            </w:r>
          </w:p>
        </w:tc>
        <w:tc>
          <w:tcPr>
            <w:tcW w:w="7602" w:type="dxa"/>
          </w:tcPr>
          <w:p w:rsidR="68487A61" w:rsidP="0349FAD4" w:rsidRDefault="68487A61" w14:paraId="49C9B521" w14:textId="5692A0CD">
            <w:pPr>
              <w:pStyle w:val="BodyText"/>
              <w:rPr>
                <w:rFonts w:cs="Arial" w:asciiTheme="minorHAnsi" w:hAnsiTheme="minorHAnsi"/>
                <w:sz w:val="20"/>
              </w:rPr>
            </w:pPr>
            <w:r w:rsidRPr="0349FAD4">
              <w:rPr>
                <w:rFonts w:cs="Arial" w:asciiTheme="minorHAnsi" w:hAnsiTheme="minorHAnsi"/>
                <w:sz w:val="20"/>
              </w:rPr>
              <w:t>Slow IV bolus over at least 20 seconds.</w:t>
            </w:r>
          </w:p>
          <w:p w:rsidR="68487A61" w:rsidP="0349FAD4" w:rsidRDefault="68487A61" w14:paraId="45974461" w14:textId="4D733038">
            <w:pPr>
              <w:pStyle w:val="BodyText"/>
            </w:pPr>
            <w:r w:rsidRPr="0349FAD4">
              <w:rPr>
                <w:rFonts w:cs="Arial" w:asciiTheme="minorHAnsi" w:hAnsiTheme="minorHAnsi"/>
                <w:sz w:val="20"/>
              </w:rPr>
              <w:t>Do not use filter.20</w:t>
            </w:r>
          </w:p>
          <w:p w:rsidR="0349FAD4" w:rsidP="0349FAD4" w:rsidRDefault="0349FAD4" w14:paraId="3E2681B1" w14:textId="53862AA9">
            <w:pPr>
              <w:pStyle w:val="BodyText"/>
              <w:rPr>
                <w:rFonts w:cs="Arial" w:asciiTheme="minorHAnsi" w:hAnsiTheme="minorHAnsi"/>
                <w:sz w:val="20"/>
              </w:rPr>
            </w:pPr>
          </w:p>
        </w:tc>
      </w:tr>
      <w:tr w:rsidR="0349FAD4" w:rsidTr="008074AA" w14:paraId="0F76C0D1" w14:textId="77777777">
        <w:trPr>
          <w:trHeight w:val="221"/>
        </w:trPr>
        <w:tc>
          <w:tcPr>
            <w:tcW w:w="2032" w:type="dxa"/>
          </w:tcPr>
          <w:p w:rsidR="0349FAD4" w:rsidP="0349FAD4" w:rsidRDefault="0349FAD4" w14:paraId="36AB6119" w14:textId="77777777">
            <w:pPr>
              <w:pStyle w:val="BodyText"/>
              <w:rPr>
                <w:rFonts w:cs="Arial" w:asciiTheme="minorHAnsi" w:hAnsiTheme="minorHAnsi"/>
                <w:b/>
                <w:bCs/>
                <w:sz w:val="20"/>
              </w:rPr>
            </w:pPr>
            <w:r w:rsidRPr="0349FAD4">
              <w:rPr>
                <w:rFonts w:cs="Arial" w:asciiTheme="minorHAnsi" w:hAnsiTheme="minorHAnsi"/>
                <w:b/>
                <w:bCs/>
                <w:sz w:val="20"/>
              </w:rPr>
              <w:t xml:space="preserve">Monitoring                             </w:t>
            </w:r>
          </w:p>
        </w:tc>
        <w:tc>
          <w:tcPr>
            <w:tcW w:w="7602" w:type="dxa"/>
          </w:tcPr>
          <w:p w:rsidR="2DECC3B7" w:rsidP="0349FAD4" w:rsidRDefault="2DECC3B7" w14:paraId="5DBE572C" w14:textId="55BF273C">
            <w:pPr>
              <w:pStyle w:val="BodyText"/>
              <w:rPr>
                <w:rFonts w:cs="Arial" w:asciiTheme="minorHAnsi" w:hAnsiTheme="minorHAnsi"/>
                <w:sz w:val="20"/>
                <w:vertAlign w:val="superscript"/>
              </w:rPr>
            </w:pPr>
            <w:r w:rsidRPr="0349FAD4">
              <w:rPr>
                <w:rFonts w:cs="Arial" w:asciiTheme="minorHAnsi" w:hAnsiTheme="minorHAnsi"/>
                <w:sz w:val="20"/>
                <w:vertAlign w:val="superscript"/>
              </w:rPr>
              <w:t>Continuous cardiorespiratory monitoring.</w:t>
            </w:r>
          </w:p>
          <w:p w:rsidR="2DECC3B7" w:rsidP="0349FAD4" w:rsidRDefault="2DECC3B7" w14:paraId="507C17A4" w14:textId="2D7E0B8B">
            <w:pPr>
              <w:pStyle w:val="BodyText"/>
            </w:pPr>
            <w:r w:rsidRPr="0349FAD4">
              <w:rPr>
                <w:rFonts w:cs="Arial" w:asciiTheme="minorHAnsi" w:hAnsiTheme="minorHAnsi"/>
                <w:sz w:val="20"/>
                <w:vertAlign w:val="superscript"/>
              </w:rPr>
              <w:t>Resuscitation facilities must be readily available.</w:t>
            </w:r>
          </w:p>
          <w:p w:rsidR="0349FAD4" w:rsidP="0349FAD4" w:rsidRDefault="0349FAD4" w14:paraId="5D54A234" w14:textId="66677863">
            <w:pPr>
              <w:pStyle w:val="BodyText"/>
              <w:rPr>
                <w:rFonts w:cs="Arial" w:asciiTheme="minorHAnsi" w:hAnsiTheme="minorHAnsi"/>
                <w:sz w:val="20"/>
                <w:vertAlign w:val="superscript"/>
              </w:rPr>
            </w:pPr>
          </w:p>
        </w:tc>
      </w:tr>
      <w:tr w:rsidR="0349FAD4" w:rsidTr="008074AA" w14:paraId="78E1D251" w14:textId="77777777">
        <w:trPr>
          <w:trHeight w:val="207"/>
        </w:trPr>
        <w:tc>
          <w:tcPr>
            <w:tcW w:w="2032" w:type="dxa"/>
          </w:tcPr>
          <w:p w:rsidR="0349FAD4" w:rsidP="0349FAD4" w:rsidRDefault="0349FAD4" w14:paraId="751D2684" w14:textId="77777777">
            <w:pPr>
              <w:pStyle w:val="BodyText"/>
              <w:rPr>
                <w:rFonts w:cs="Arial" w:asciiTheme="minorHAnsi" w:hAnsiTheme="minorHAnsi"/>
                <w:b/>
                <w:bCs/>
                <w:sz w:val="20"/>
              </w:rPr>
            </w:pPr>
            <w:r w:rsidRPr="0349FAD4">
              <w:rPr>
                <w:rFonts w:cs="Arial" w:asciiTheme="minorHAnsi" w:hAnsiTheme="minorHAnsi"/>
                <w:b/>
                <w:bCs/>
                <w:sz w:val="20"/>
              </w:rPr>
              <w:lastRenderedPageBreak/>
              <w:t xml:space="preserve">Contraindications                        </w:t>
            </w:r>
          </w:p>
        </w:tc>
        <w:tc>
          <w:tcPr>
            <w:tcW w:w="7602" w:type="dxa"/>
          </w:tcPr>
          <w:p w:rsidR="3CFF85E2" w:rsidP="0349FAD4" w:rsidRDefault="3CFF85E2" w14:paraId="33E08170" w14:textId="3BE53EB3">
            <w:pPr>
              <w:pStyle w:val="BodyText"/>
              <w:rPr>
                <w:rFonts w:cs="Arial" w:asciiTheme="minorHAnsi" w:hAnsiTheme="minorHAnsi"/>
                <w:sz w:val="20"/>
              </w:rPr>
            </w:pPr>
            <w:r w:rsidRPr="0349FAD4">
              <w:rPr>
                <w:rFonts w:cs="Arial" w:asciiTheme="minorHAnsi" w:hAnsiTheme="minorHAnsi"/>
                <w:sz w:val="20"/>
              </w:rPr>
              <w:t>Patients allergic to soya, peanut or egg lecithin.</w:t>
            </w:r>
          </w:p>
          <w:p w:rsidR="0349FAD4" w:rsidP="0349FAD4" w:rsidRDefault="0349FAD4" w14:paraId="3AEE8317" w14:textId="180FFAFE">
            <w:pPr>
              <w:pStyle w:val="BodyText"/>
              <w:rPr>
                <w:rFonts w:cs="Arial" w:asciiTheme="minorHAnsi" w:hAnsiTheme="minorHAnsi"/>
                <w:sz w:val="20"/>
              </w:rPr>
            </w:pPr>
          </w:p>
        </w:tc>
      </w:tr>
      <w:tr w:rsidR="0349FAD4" w:rsidTr="008074AA" w14:paraId="47B57435" w14:textId="77777777">
        <w:tc>
          <w:tcPr>
            <w:tcW w:w="2032" w:type="dxa"/>
          </w:tcPr>
          <w:p w:rsidR="0349FAD4" w:rsidP="0349FAD4" w:rsidRDefault="0349FAD4" w14:paraId="286804B7" w14:textId="28E3114E">
            <w:pPr>
              <w:pStyle w:val="BodyText"/>
              <w:rPr>
                <w:rFonts w:cs="Arial" w:asciiTheme="minorHAnsi" w:hAnsiTheme="minorHAnsi"/>
                <w:b/>
                <w:bCs/>
                <w:sz w:val="20"/>
              </w:rPr>
            </w:pPr>
            <w:r w:rsidRPr="0349FAD4">
              <w:rPr>
                <w:rFonts w:cs="Arial" w:asciiTheme="minorHAnsi" w:hAnsiTheme="minorHAnsi"/>
                <w:b/>
                <w:bCs/>
                <w:sz w:val="20"/>
              </w:rPr>
              <w:t>Precautions</w:t>
            </w:r>
          </w:p>
        </w:tc>
        <w:tc>
          <w:tcPr>
            <w:tcW w:w="7602" w:type="dxa"/>
          </w:tcPr>
          <w:p w:rsidR="20737716" w:rsidP="0349FAD4" w:rsidRDefault="20737716" w14:paraId="5A6F1A65" w14:textId="3650311C">
            <w:pPr>
              <w:pStyle w:val="BodyText"/>
              <w:rPr>
                <w:rFonts w:cs="Arial" w:asciiTheme="minorHAnsi" w:hAnsiTheme="minorHAnsi"/>
                <w:sz w:val="20"/>
              </w:rPr>
            </w:pPr>
            <w:r w:rsidRPr="0349FAD4">
              <w:rPr>
                <w:rFonts w:cs="Arial" w:asciiTheme="minorHAnsi" w:hAnsiTheme="minorHAnsi"/>
                <w:sz w:val="20"/>
              </w:rPr>
              <w:t>Haemodynamically unstable neonates.</w:t>
            </w:r>
          </w:p>
          <w:p w:rsidR="20737716" w:rsidP="0349FAD4" w:rsidRDefault="20737716" w14:paraId="1AEA4DDE" w14:textId="6052C0B3">
            <w:pPr>
              <w:pStyle w:val="BodyText"/>
            </w:pPr>
            <w:r w:rsidRPr="0349FAD4">
              <w:rPr>
                <w:rFonts w:cs="Arial" w:asciiTheme="minorHAnsi" w:hAnsiTheme="minorHAnsi"/>
                <w:sz w:val="20"/>
              </w:rPr>
              <w:t xml:space="preserve">Neonates with seizures – may be excitatory during recovery phase. </w:t>
            </w:r>
          </w:p>
          <w:p w:rsidR="20737716" w:rsidP="0349FAD4" w:rsidRDefault="20737716" w14:paraId="68AACABC" w14:textId="385BF510">
            <w:pPr>
              <w:pStyle w:val="BodyText"/>
            </w:pPr>
            <w:r w:rsidRPr="0349FAD4">
              <w:rPr>
                <w:rFonts w:cs="Arial" w:asciiTheme="minorHAnsi" w:hAnsiTheme="minorHAnsi"/>
                <w:sz w:val="20"/>
              </w:rPr>
              <w:t>With anaesthetic doses, the patient will be apnoeic within 30–90 seconds.</w:t>
            </w:r>
          </w:p>
          <w:p w:rsidR="20737716" w:rsidP="0349FAD4" w:rsidRDefault="20737716" w14:paraId="2F25C262" w14:textId="64E1F26E">
            <w:pPr>
              <w:pStyle w:val="BodyText"/>
            </w:pPr>
            <w:r w:rsidRPr="0349FAD4">
              <w:rPr>
                <w:rFonts w:cs="Arial" w:asciiTheme="minorHAnsi" w:hAnsiTheme="minorHAnsi"/>
                <w:sz w:val="20"/>
              </w:rPr>
              <w:t xml:space="preserve">Propofol use, especially at increasing doses, is associated with hypotension. </w:t>
            </w:r>
          </w:p>
          <w:p w:rsidR="20737716" w:rsidP="0349FAD4" w:rsidRDefault="20737716" w14:paraId="268B9829" w14:textId="7CEE8E58">
            <w:pPr>
              <w:pStyle w:val="BodyText"/>
            </w:pPr>
            <w:r w:rsidRPr="0349FAD4">
              <w:rPr>
                <w:rFonts w:cs="Arial" w:asciiTheme="minorHAnsi" w:hAnsiTheme="minorHAnsi"/>
                <w:sz w:val="20"/>
              </w:rPr>
              <w:t xml:space="preserve">Propofol use for MIST and other procedures increased the need for respiratory support and ventilation. </w:t>
            </w:r>
          </w:p>
          <w:p w:rsidR="20737716" w:rsidP="0349FAD4" w:rsidRDefault="20737716" w14:paraId="78FB4156" w14:textId="7FA971DB">
            <w:pPr>
              <w:pStyle w:val="BodyText"/>
            </w:pPr>
            <w:r w:rsidRPr="0349FAD4">
              <w:rPr>
                <w:rFonts w:cs="Arial" w:asciiTheme="minorHAnsi" w:hAnsiTheme="minorHAnsi"/>
                <w:sz w:val="20"/>
              </w:rPr>
              <w:t xml:space="preserve">Reduce propofol dose by 40–60% for sick patients, or if combined with other, </w:t>
            </w:r>
          </w:p>
          <w:p w:rsidR="20737716" w:rsidP="0349FAD4" w:rsidRDefault="20737716" w14:paraId="728B0AD2" w14:textId="3CA0E77A">
            <w:pPr>
              <w:pStyle w:val="BodyText"/>
            </w:pPr>
            <w:r w:rsidRPr="0349FAD4">
              <w:rPr>
                <w:rFonts w:cs="Arial" w:asciiTheme="minorHAnsi" w:hAnsiTheme="minorHAnsi"/>
                <w:sz w:val="20"/>
              </w:rPr>
              <w:t>sedatives/analgesics.</w:t>
            </w:r>
          </w:p>
          <w:p w:rsidR="0349FAD4" w:rsidP="0349FAD4" w:rsidRDefault="0349FAD4" w14:paraId="262896A9" w14:textId="264E6396">
            <w:pPr>
              <w:pStyle w:val="BodyText"/>
              <w:rPr>
                <w:rFonts w:cs="Arial" w:asciiTheme="minorHAnsi" w:hAnsiTheme="minorHAnsi"/>
                <w:sz w:val="20"/>
              </w:rPr>
            </w:pPr>
          </w:p>
        </w:tc>
      </w:tr>
      <w:tr w:rsidR="0349FAD4" w:rsidTr="008074AA" w14:paraId="380DA5C0" w14:textId="77777777">
        <w:trPr>
          <w:trHeight w:val="276"/>
        </w:trPr>
        <w:tc>
          <w:tcPr>
            <w:tcW w:w="2032" w:type="dxa"/>
          </w:tcPr>
          <w:p w:rsidR="0349FAD4" w:rsidP="0349FAD4" w:rsidRDefault="0349FAD4" w14:paraId="41726F1A" w14:textId="77777777">
            <w:pPr>
              <w:pStyle w:val="BodyText"/>
              <w:rPr>
                <w:rFonts w:cs="Arial" w:asciiTheme="minorHAnsi" w:hAnsiTheme="minorHAnsi"/>
                <w:b/>
                <w:bCs/>
                <w:sz w:val="20"/>
              </w:rPr>
            </w:pPr>
            <w:r w:rsidRPr="0349FAD4">
              <w:rPr>
                <w:rFonts w:cs="Arial" w:asciiTheme="minorHAnsi" w:hAnsiTheme="minorHAnsi"/>
                <w:b/>
                <w:bCs/>
                <w:sz w:val="20"/>
              </w:rPr>
              <w:t>Drug Interactions</w:t>
            </w:r>
          </w:p>
        </w:tc>
        <w:tc>
          <w:tcPr>
            <w:tcW w:w="7602" w:type="dxa"/>
          </w:tcPr>
          <w:p w:rsidR="7EBD07D0" w:rsidP="0349FAD4" w:rsidRDefault="7EBD07D0" w14:paraId="7F6833DB" w14:textId="00FDACE3">
            <w:pPr>
              <w:pStyle w:val="BodyText"/>
              <w:rPr>
                <w:rFonts w:cs="Arial" w:asciiTheme="minorHAnsi" w:hAnsiTheme="minorHAnsi"/>
                <w:sz w:val="20"/>
              </w:rPr>
            </w:pPr>
            <w:r w:rsidRPr="0349FAD4">
              <w:rPr>
                <w:rFonts w:cs="Arial" w:asciiTheme="minorHAnsi" w:hAnsiTheme="minorHAnsi"/>
                <w:sz w:val="20"/>
              </w:rPr>
              <w:t xml:space="preserve">The induction dose requirements of propofol may be reduced in patients with opioids (e.g.morphine, pethidine and fentanyl) and combinations of opioids and sedatives (e.g. </w:t>
            </w:r>
          </w:p>
          <w:p w:rsidR="7EBD07D0" w:rsidP="0349FAD4" w:rsidRDefault="7EBD07D0" w14:paraId="5F80022B" w14:textId="565F9C61">
            <w:pPr>
              <w:pStyle w:val="BodyText"/>
              <w:rPr>
                <w:rFonts w:cs="Arial" w:asciiTheme="minorHAnsi" w:hAnsiTheme="minorHAnsi"/>
                <w:sz w:val="20"/>
              </w:rPr>
            </w:pPr>
            <w:r w:rsidRPr="0349FAD4">
              <w:rPr>
                <w:rFonts w:cs="Arial" w:asciiTheme="minorHAnsi" w:hAnsiTheme="minorHAnsi"/>
                <w:sz w:val="20"/>
              </w:rPr>
              <w:t>benzodiazepines, barbiturates, chloral hydrate and droperidol).</w:t>
            </w:r>
            <w:r w:rsidRPr="0349FAD4" w:rsidR="0B74F2C3">
              <w:rPr>
                <w:rFonts w:cs="Arial" w:asciiTheme="minorHAnsi" w:hAnsiTheme="minorHAnsi"/>
                <w:sz w:val="20"/>
              </w:rPr>
              <w:t xml:space="preserve"> </w:t>
            </w:r>
            <w:r w:rsidRPr="0349FAD4">
              <w:rPr>
                <w:rFonts w:cs="Arial" w:asciiTheme="minorHAnsi" w:hAnsiTheme="minorHAnsi"/>
                <w:sz w:val="20"/>
              </w:rPr>
              <w:t>Inhalational agents can increase the anaesthetic or sedative and cardiorespiratory effects of</w:t>
            </w:r>
            <w:r w:rsidRPr="0349FAD4" w:rsidR="524299BC">
              <w:rPr>
                <w:rFonts w:cs="Arial" w:asciiTheme="minorHAnsi" w:hAnsiTheme="minorHAnsi"/>
                <w:sz w:val="20"/>
              </w:rPr>
              <w:t xml:space="preserve"> </w:t>
            </w:r>
            <w:r w:rsidRPr="0349FAD4">
              <w:rPr>
                <w:rFonts w:cs="Arial" w:asciiTheme="minorHAnsi" w:hAnsiTheme="minorHAnsi"/>
                <w:sz w:val="20"/>
              </w:rPr>
              <w:t>propofol.</w:t>
            </w:r>
            <w:r w:rsidRPr="0349FAD4" w:rsidR="06EF6FA5">
              <w:rPr>
                <w:rFonts w:cs="Arial" w:asciiTheme="minorHAnsi" w:hAnsiTheme="minorHAnsi"/>
                <w:sz w:val="20"/>
              </w:rPr>
              <w:t xml:space="preserve"> </w:t>
            </w:r>
          </w:p>
          <w:p w:rsidR="7EBD07D0" w:rsidP="0349FAD4" w:rsidRDefault="7EBD07D0" w14:paraId="71E9D74E" w14:textId="5664DD55">
            <w:pPr>
              <w:pStyle w:val="BodyText"/>
              <w:rPr>
                <w:rFonts w:cs="Arial" w:asciiTheme="minorHAnsi" w:hAnsiTheme="minorHAnsi"/>
                <w:sz w:val="20"/>
              </w:rPr>
            </w:pPr>
            <w:r w:rsidRPr="0349FAD4">
              <w:rPr>
                <w:rFonts w:cs="Arial" w:asciiTheme="minorHAnsi" w:hAnsiTheme="minorHAnsi"/>
                <w:sz w:val="20"/>
              </w:rPr>
              <w:t>Profound hypotension has been reported following anaesthetic induction with propofol in,</w:t>
            </w:r>
            <w:r w:rsidRPr="0349FAD4" w:rsidR="38A83131">
              <w:rPr>
                <w:rFonts w:cs="Arial" w:asciiTheme="minorHAnsi" w:hAnsiTheme="minorHAnsi"/>
                <w:sz w:val="20"/>
              </w:rPr>
              <w:t xml:space="preserve"> </w:t>
            </w:r>
            <w:r w:rsidRPr="0349FAD4">
              <w:rPr>
                <w:rFonts w:cs="Arial" w:asciiTheme="minorHAnsi" w:hAnsiTheme="minorHAnsi"/>
                <w:sz w:val="20"/>
              </w:rPr>
              <w:t>patients treated with rifampicin.</w:t>
            </w:r>
          </w:p>
          <w:p w:rsidR="7EBD07D0" w:rsidP="0349FAD4" w:rsidRDefault="7EBD07D0" w14:paraId="299F286C" w14:textId="2C18153D">
            <w:pPr>
              <w:pStyle w:val="BodyText"/>
              <w:rPr>
                <w:rFonts w:cs="Arial" w:asciiTheme="minorHAnsi" w:hAnsiTheme="minorHAnsi"/>
                <w:sz w:val="20"/>
              </w:rPr>
            </w:pPr>
            <w:r w:rsidRPr="0349FAD4">
              <w:rPr>
                <w:rFonts w:cs="Arial" w:asciiTheme="minorHAnsi" w:hAnsiTheme="minorHAnsi"/>
                <w:sz w:val="20"/>
              </w:rPr>
              <w:t xml:space="preserve"> A need for lower propofol dose has been observed in patients taking valproate.</w:t>
            </w:r>
            <w:r w:rsidRPr="0349FAD4" w:rsidR="29E94C51">
              <w:rPr>
                <w:rFonts w:cs="Arial" w:asciiTheme="minorHAnsi" w:hAnsiTheme="minorHAnsi"/>
                <w:sz w:val="20"/>
              </w:rPr>
              <w:t xml:space="preserve"> </w:t>
            </w:r>
            <w:r w:rsidRPr="0349FAD4">
              <w:rPr>
                <w:rFonts w:cs="Arial" w:asciiTheme="minorHAnsi" w:hAnsiTheme="minorHAnsi"/>
                <w:sz w:val="20"/>
              </w:rPr>
              <w:t>Propofol does not cause a clinically significant change in onset, intensity or duration of action o</w:t>
            </w:r>
            <w:r w:rsidRPr="0349FAD4" w:rsidR="73CEC7E4">
              <w:rPr>
                <w:rFonts w:cs="Arial" w:asciiTheme="minorHAnsi" w:hAnsiTheme="minorHAnsi"/>
                <w:sz w:val="20"/>
              </w:rPr>
              <w:t xml:space="preserve">f </w:t>
            </w:r>
            <w:r w:rsidRPr="0349FAD4">
              <w:rPr>
                <w:rFonts w:cs="Arial" w:asciiTheme="minorHAnsi" w:hAnsiTheme="minorHAnsi"/>
                <w:sz w:val="20"/>
              </w:rPr>
              <w:t>the commonly used neuromuscular blocking agents e.g. suxamethonium and non-depolarising</w:t>
            </w:r>
            <w:r w:rsidRPr="0349FAD4" w:rsidR="368B6EEE">
              <w:rPr>
                <w:rFonts w:cs="Arial" w:asciiTheme="minorHAnsi" w:hAnsiTheme="minorHAnsi"/>
                <w:sz w:val="20"/>
              </w:rPr>
              <w:t xml:space="preserve"> </w:t>
            </w:r>
            <w:r w:rsidRPr="0349FAD4">
              <w:rPr>
                <w:rFonts w:cs="Arial" w:asciiTheme="minorHAnsi" w:hAnsiTheme="minorHAnsi"/>
                <w:sz w:val="20"/>
              </w:rPr>
              <w:t>muscle relaxants</w:t>
            </w:r>
            <w:r w:rsidRPr="0349FAD4" w:rsidR="5CB459CC">
              <w:rPr>
                <w:rFonts w:cs="Arial" w:asciiTheme="minorHAnsi" w:hAnsiTheme="minorHAnsi"/>
                <w:sz w:val="20"/>
              </w:rPr>
              <w:t>.</w:t>
            </w:r>
          </w:p>
          <w:p w:rsidR="5CB459CC" w:rsidP="0349FAD4" w:rsidRDefault="5CB459CC" w14:paraId="0A3F92B5" w14:textId="36E566FF">
            <w:pPr>
              <w:pStyle w:val="BodyText"/>
              <w:rPr>
                <w:rFonts w:cs="Arial" w:asciiTheme="minorHAnsi" w:hAnsiTheme="minorHAnsi"/>
                <w:sz w:val="20"/>
              </w:rPr>
            </w:pPr>
            <w:r w:rsidRPr="0349FAD4">
              <w:rPr>
                <w:rFonts w:cs="Arial" w:asciiTheme="minorHAnsi" w:hAnsiTheme="minorHAnsi"/>
                <w:sz w:val="20"/>
              </w:rPr>
              <w:t xml:space="preserve"> </w:t>
            </w:r>
            <w:r w:rsidRPr="0349FAD4" w:rsidR="7EBD07D0">
              <w:rPr>
                <w:rFonts w:cs="Arial" w:asciiTheme="minorHAnsi" w:hAnsiTheme="minorHAnsi"/>
                <w:sz w:val="20"/>
              </w:rPr>
              <w:t>No</w:t>
            </w:r>
            <w:r w:rsidRPr="0349FAD4" w:rsidR="3F08EF21">
              <w:rPr>
                <w:rFonts w:cs="Arial" w:asciiTheme="minorHAnsi" w:hAnsiTheme="minorHAnsi"/>
                <w:sz w:val="20"/>
              </w:rPr>
              <w:t xml:space="preserve"> </w:t>
            </w:r>
            <w:r w:rsidRPr="0349FAD4" w:rsidR="7EBD07D0">
              <w:rPr>
                <w:rFonts w:cs="Arial" w:asciiTheme="minorHAnsi" w:hAnsiTheme="minorHAnsi"/>
                <w:sz w:val="20"/>
              </w:rPr>
              <w:t xml:space="preserve">significant adverse interactions have been observed with commonly used premedications or drugs used during anaesthesia or sedation (including a range of muscle relaxants, inhalational agents, analgesic agents and local anaesthetic agents). </w:t>
            </w:r>
          </w:p>
          <w:p w:rsidR="7EBD07D0" w:rsidP="0349FAD4" w:rsidRDefault="7EBD07D0" w14:paraId="0A6EA15A" w14:textId="5172B6AF">
            <w:pPr>
              <w:pStyle w:val="BodyText"/>
              <w:rPr>
                <w:rFonts w:cs="Arial" w:asciiTheme="minorHAnsi" w:hAnsiTheme="minorHAnsi"/>
                <w:sz w:val="20"/>
              </w:rPr>
            </w:pPr>
            <w:r w:rsidRPr="0349FAD4">
              <w:rPr>
                <w:rFonts w:cs="Arial" w:asciiTheme="minorHAnsi" w:hAnsiTheme="minorHAnsi"/>
                <w:sz w:val="20"/>
              </w:rPr>
              <w:t>Lower doses of propofol may be required where general anaesthesia is used as an adjunct to</w:t>
            </w:r>
            <w:r w:rsidRPr="0349FAD4" w:rsidR="6339F081">
              <w:rPr>
                <w:rFonts w:cs="Arial" w:asciiTheme="minorHAnsi" w:hAnsiTheme="minorHAnsi"/>
                <w:sz w:val="20"/>
              </w:rPr>
              <w:t xml:space="preserve"> </w:t>
            </w:r>
            <w:r w:rsidRPr="0349FAD4">
              <w:rPr>
                <w:rFonts w:cs="Arial" w:asciiTheme="minorHAnsi" w:hAnsiTheme="minorHAnsi"/>
                <w:sz w:val="20"/>
              </w:rPr>
              <w:t xml:space="preserve">regional anaesthetic techniques.  </w:t>
            </w:r>
          </w:p>
          <w:p w:rsidR="0349FAD4" w:rsidP="0349FAD4" w:rsidRDefault="0349FAD4" w14:paraId="43F99D57" w14:textId="41DAA6A6">
            <w:pPr>
              <w:pStyle w:val="BodyText"/>
              <w:rPr>
                <w:rFonts w:cs="Arial" w:asciiTheme="minorHAnsi" w:hAnsiTheme="minorHAnsi"/>
                <w:sz w:val="20"/>
              </w:rPr>
            </w:pPr>
          </w:p>
        </w:tc>
      </w:tr>
      <w:tr w:rsidR="0349FAD4" w:rsidTr="008074AA" w14:paraId="4BEB8F80" w14:textId="77777777">
        <w:trPr>
          <w:trHeight w:val="416"/>
        </w:trPr>
        <w:tc>
          <w:tcPr>
            <w:tcW w:w="2032" w:type="dxa"/>
          </w:tcPr>
          <w:p w:rsidR="0349FAD4" w:rsidP="0349FAD4" w:rsidRDefault="0349FAD4" w14:paraId="4F2BAFC5" w14:textId="77777777">
            <w:pPr>
              <w:pStyle w:val="BodyText"/>
              <w:rPr>
                <w:rFonts w:cs="Arial" w:asciiTheme="minorHAnsi" w:hAnsiTheme="minorHAnsi"/>
                <w:b/>
                <w:bCs/>
                <w:sz w:val="20"/>
              </w:rPr>
            </w:pPr>
            <w:r w:rsidRPr="0349FAD4">
              <w:rPr>
                <w:rFonts w:cs="Arial" w:asciiTheme="minorHAnsi" w:hAnsiTheme="minorHAnsi"/>
                <w:b/>
                <w:bCs/>
                <w:sz w:val="20"/>
              </w:rPr>
              <w:t xml:space="preserve">Adverse Reactions         </w:t>
            </w:r>
          </w:p>
          <w:p w:rsidR="0349FAD4" w:rsidP="0349FAD4" w:rsidRDefault="0349FAD4" w14:paraId="000D9435" w14:textId="77777777">
            <w:pPr>
              <w:pStyle w:val="BodyText"/>
              <w:rPr>
                <w:rFonts w:cs="Arial" w:asciiTheme="minorHAnsi" w:hAnsiTheme="minorHAnsi"/>
                <w:b/>
                <w:bCs/>
                <w:sz w:val="20"/>
              </w:rPr>
            </w:pPr>
          </w:p>
        </w:tc>
        <w:tc>
          <w:tcPr>
            <w:tcW w:w="7602" w:type="dxa"/>
          </w:tcPr>
          <w:p w:rsidR="0343C98E" w:rsidP="0349FAD4" w:rsidRDefault="0343C98E" w14:paraId="6D47AC56" w14:textId="4922BFF3">
            <w:pPr>
              <w:pStyle w:val="BodyText"/>
              <w:rPr>
                <w:rFonts w:cs="Arial" w:asciiTheme="minorHAnsi" w:hAnsiTheme="minorHAnsi"/>
                <w:sz w:val="20"/>
              </w:rPr>
            </w:pPr>
            <w:r w:rsidRPr="0349FAD4">
              <w:rPr>
                <w:rFonts w:cs="Arial" w:asciiTheme="minorHAnsi" w:hAnsiTheme="minorHAnsi"/>
                <w:sz w:val="20"/>
              </w:rPr>
              <w:t>Serious adverse events (including fatalities) have been reported, especially at higher doses.</w:t>
            </w:r>
            <w:r w:rsidRPr="0349FAD4" w:rsidR="22AB458A">
              <w:rPr>
                <w:rFonts w:cs="Arial" w:asciiTheme="minorHAnsi" w:hAnsiTheme="minorHAnsi"/>
                <w:sz w:val="20"/>
              </w:rPr>
              <w:t xml:space="preserve"> </w:t>
            </w:r>
            <w:r w:rsidRPr="0349FAD4">
              <w:rPr>
                <w:rFonts w:cs="Arial" w:asciiTheme="minorHAnsi" w:hAnsiTheme="minorHAnsi"/>
                <w:sz w:val="20"/>
              </w:rPr>
              <w:t xml:space="preserve">Hypotension and transient apnoea in up to 75% of patients. Arrhythmias, tachycardia. </w:t>
            </w:r>
          </w:p>
          <w:p w:rsidR="0343C98E" w:rsidP="0349FAD4" w:rsidRDefault="0343C98E" w14:paraId="02E240F0" w14:textId="41CD0B69">
            <w:pPr>
              <w:pStyle w:val="BodyText"/>
              <w:rPr>
                <w:rFonts w:cs="Arial" w:asciiTheme="minorHAnsi" w:hAnsiTheme="minorHAnsi"/>
                <w:sz w:val="20"/>
              </w:rPr>
            </w:pPr>
            <w:r w:rsidRPr="0349FAD4">
              <w:rPr>
                <w:rFonts w:cs="Arial" w:asciiTheme="minorHAnsi" w:hAnsiTheme="minorHAnsi"/>
                <w:sz w:val="20"/>
              </w:rPr>
              <w:t xml:space="preserve">Bradycardia responsive to atropine has been reported. </w:t>
            </w:r>
          </w:p>
          <w:p w:rsidR="0343C98E" w:rsidP="0349FAD4" w:rsidRDefault="0343C98E" w14:paraId="6F0138F7" w14:textId="3644F378">
            <w:pPr>
              <w:pStyle w:val="BodyText"/>
              <w:rPr>
                <w:rFonts w:cs="Arial" w:asciiTheme="minorHAnsi" w:hAnsiTheme="minorHAnsi"/>
                <w:sz w:val="20"/>
              </w:rPr>
            </w:pPr>
            <w:r w:rsidRPr="0349FAD4">
              <w:rPr>
                <w:rFonts w:cs="Arial" w:asciiTheme="minorHAnsi" w:hAnsiTheme="minorHAnsi"/>
                <w:sz w:val="20"/>
              </w:rPr>
              <w:t>Excitatory phenomena such as involuntary movements, twitches, tremors, hypertonus and</w:t>
            </w:r>
            <w:r w:rsidRPr="0349FAD4" w:rsidR="6378391C">
              <w:rPr>
                <w:rFonts w:cs="Arial" w:asciiTheme="minorHAnsi" w:hAnsiTheme="minorHAnsi"/>
                <w:sz w:val="20"/>
              </w:rPr>
              <w:t xml:space="preserve"> </w:t>
            </w:r>
            <w:r w:rsidRPr="0349FAD4">
              <w:rPr>
                <w:rFonts w:cs="Arial" w:asciiTheme="minorHAnsi" w:hAnsiTheme="minorHAnsi"/>
                <w:sz w:val="20"/>
              </w:rPr>
              <w:t xml:space="preserve">hiccup in 14% of patients. </w:t>
            </w:r>
          </w:p>
          <w:p w:rsidR="0343C98E" w:rsidP="0349FAD4" w:rsidRDefault="0343C98E" w14:paraId="0CAF57C8" w14:textId="2D66ECAF">
            <w:pPr>
              <w:pStyle w:val="BodyText"/>
              <w:rPr>
                <w:rFonts w:cs="Arial" w:asciiTheme="minorHAnsi" w:hAnsiTheme="minorHAnsi"/>
                <w:sz w:val="20"/>
              </w:rPr>
            </w:pPr>
            <w:r w:rsidRPr="0349FAD4">
              <w:rPr>
                <w:rFonts w:cs="Arial" w:asciiTheme="minorHAnsi" w:hAnsiTheme="minorHAnsi"/>
                <w:sz w:val="20"/>
              </w:rPr>
              <w:t>Lipaemia and an evolving metabolic acidosis may be precursors of fatal outcomes (propofol</w:t>
            </w:r>
            <w:r w:rsidRPr="0349FAD4" w:rsidR="2ECBD6F5">
              <w:rPr>
                <w:rFonts w:cs="Arial" w:asciiTheme="minorHAnsi" w:hAnsiTheme="minorHAnsi"/>
                <w:sz w:val="20"/>
              </w:rPr>
              <w:t xml:space="preserve"> </w:t>
            </w:r>
            <w:r w:rsidRPr="0349FAD4">
              <w:rPr>
                <w:rFonts w:cs="Arial" w:asciiTheme="minorHAnsi" w:hAnsiTheme="minorHAnsi"/>
                <w:sz w:val="20"/>
              </w:rPr>
              <w:t xml:space="preserve">infusion syndrome). </w:t>
            </w:r>
          </w:p>
          <w:p w:rsidR="0343C98E" w:rsidP="0349FAD4" w:rsidRDefault="0343C98E" w14:paraId="7DEF189D" w14:textId="128599A8">
            <w:pPr>
              <w:pStyle w:val="BodyText"/>
              <w:rPr>
                <w:rFonts w:cs="Arial" w:asciiTheme="minorHAnsi" w:hAnsiTheme="minorHAnsi"/>
                <w:sz w:val="20"/>
              </w:rPr>
            </w:pPr>
            <w:r w:rsidRPr="0349FAD4">
              <w:rPr>
                <w:rFonts w:cs="Arial" w:asciiTheme="minorHAnsi" w:hAnsiTheme="minorHAnsi"/>
                <w:sz w:val="20"/>
              </w:rPr>
              <w:t>During the recovery phase, vomiting, headache and shivering in 2% of patients, with nausea</w:t>
            </w:r>
            <w:r w:rsidRPr="0349FAD4" w:rsidR="107FE6A2">
              <w:rPr>
                <w:rFonts w:cs="Arial" w:asciiTheme="minorHAnsi" w:hAnsiTheme="minorHAnsi"/>
                <w:sz w:val="20"/>
              </w:rPr>
              <w:t xml:space="preserve"> </w:t>
            </w:r>
            <w:r w:rsidRPr="0349FAD4">
              <w:rPr>
                <w:rFonts w:cs="Arial" w:asciiTheme="minorHAnsi" w:hAnsiTheme="minorHAnsi"/>
                <w:sz w:val="20"/>
              </w:rPr>
              <w:t xml:space="preserve">occurring more frequently. </w:t>
            </w:r>
          </w:p>
          <w:p w:rsidR="0343C98E" w:rsidP="0349FAD4" w:rsidRDefault="0343C98E" w14:paraId="5D082076" w14:textId="66DB191E">
            <w:pPr>
              <w:pStyle w:val="BodyText"/>
              <w:rPr>
                <w:rFonts w:cs="Arial" w:asciiTheme="minorHAnsi" w:hAnsiTheme="minorHAnsi"/>
                <w:sz w:val="20"/>
              </w:rPr>
            </w:pPr>
            <w:r w:rsidRPr="0349FAD4">
              <w:rPr>
                <w:rFonts w:cs="Arial" w:asciiTheme="minorHAnsi" w:hAnsiTheme="minorHAnsi"/>
                <w:sz w:val="20"/>
              </w:rPr>
              <w:t>Tissue necrosis following accidental extravascular administration.</w:t>
            </w:r>
          </w:p>
          <w:p w:rsidR="0349FAD4" w:rsidP="0349FAD4" w:rsidRDefault="0349FAD4" w14:paraId="6B10F3B5" w14:textId="39281F09">
            <w:pPr>
              <w:pStyle w:val="BodyText"/>
              <w:rPr>
                <w:rFonts w:cs="Arial" w:asciiTheme="minorHAnsi" w:hAnsiTheme="minorHAnsi"/>
                <w:sz w:val="20"/>
              </w:rPr>
            </w:pPr>
          </w:p>
        </w:tc>
      </w:tr>
      <w:tr w:rsidR="0349FAD4" w:rsidTr="008074AA" w14:paraId="56AC8F1F" w14:textId="77777777">
        <w:trPr>
          <w:trHeight w:val="280"/>
        </w:trPr>
        <w:tc>
          <w:tcPr>
            <w:tcW w:w="2032" w:type="dxa"/>
          </w:tcPr>
          <w:p w:rsidR="0349FAD4" w:rsidP="0349FAD4" w:rsidRDefault="0349FAD4" w14:paraId="3F895D0A" w14:textId="77777777">
            <w:pPr>
              <w:pStyle w:val="BodyText"/>
              <w:rPr>
                <w:rFonts w:cs="Arial" w:asciiTheme="minorHAnsi" w:hAnsiTheme="minorHAnsi"/>
                <w:b/>
                <w:bCs/>
                <w:sz w:val="20"/>
              </w:rPr>
            </w:pPr>
            <w:r w:rsidRPr="0349FAD4">
              <w:rPr>
                <w:rFonts w:cs="Arial" w:asciiTheme="minorHAnsi" w:hAnsiTheme="minorHAnsi"/>
                <w:b/>
                <w:bCs/>
                <w:sz w:val="20"/>
              </w:rPr>
              <w:t>Compatibility</w:t>
            </w:r>
          </w:p>
        </w:tc>
        <w:tc>
          <w:tcPr>
            <w:tcW w:w="7602" w:type="dxa"/>
          </w:tcPr>
          <w:p w:rsidR="1E2BEF07" w:rsidP="0349FAD4" w:rsidRDefault="1E2BEF07" w14:paraId="332282BA" w14:textId="24646C49">
            <w:pPr>
              <w:pStyle w:val="BodyText"/>
              <w:rPr>
                <w:rFonts w:asciiTheme="minorHAnsi" w:hAnsiTheme="minorHAnsi"/>
                <w:sz w:val="20"/>
              </w:rPr>
            </w:pPr>
            <w:r w:rsidRPr="0349FAD4">
              <w:rPr>
                <w:rFonts w:asciiTheme="minorHAnsi" w:hAnsiTheme="minorHAnsi"/>
                <w:sz w:val="20"/>
              </w:rPr>
              <w:t>Fluids: Glucose 5%.</w:t>
            </w:r>
          </w:p>
          <w:p w:rsidR="1E2BEF07" w:rsidP="0349FAD4" w:rsidRDefault="1E2BEF07" w14:paraId="0FF2F358" w14:textId="3F2AF79D">
            <w:pPr>
              <w:pStyle w:val="BodyText"/>
            </w:pPr>
            <w:r w:rsidRPr="0349FAD4">
              <w:rPr>
                <w:rFonts w:asciiTheme="minorHAnsi" w:hAnsiTheme="minorHAnsi"/>
                <w:sz w:val="20"/>
              </w:rPr>
              <w:t>Y-site: Glucose 5%, sodium chloride 0.9%.</w:t>
            </w:r>
          </w:p>
          <w:p w:rsidR="1E2BEF07" w:rsidP="0349FAD4" w:rsidRDefault="1E2BEF07" w14:paraId="4FD79DA7" w14:textId="71CBEFD5">
            <w:pPr>
              <w:pStyle w:val="BodyText"/>
            </w:pPr>
            <w:r w:rsidRPr="0349FAD4">
              <w:rPr>
                <w:rFonts w:asciiTheme="minorHAnsi" w:hAnsiTheme="minorHAnsi"/>
                <w:sz w:val="20"/>
              </w:rPr>
              <w:t>Do not mix with other drugs.</w:t>
            </w:r>
          </w:p>
          <w:p w:rsidR="0349FAD4" w:rsidP="0349FAD4" w:rsidRDefault="0349FAD4" w14:paraId="030EDD8F" w14:textId="25E28303">
            <w:pPr>
              <w:pStyle w:val="BodyText"/>
              <w:rPr>
                <w:rFonts w:asciiTheme="minorHAnsi" w:hAnsiTheme="minorHAnsi"/>
                <w:sz w:val="20"/>
              </w:rPr>
            </w:pPr>
          </w:p>
        </w:tc>
      </w:tr>
      <w:tr w:rsidR="0349FAD4" w:rsidTr="008074AA" w14:paraId="7ED504F1" w14:textId="77777777">
        <w:trPr>
          <w:trHeight w:val="215"/>
        </w:trPr>
        <w:tc>
          <w:tcPr>
            <w:tcW w:w="2032" w:type="dxa"/>
          </w:tcPr>
          <w:p w:rsidR="0349FAD4" w:rsidP="0349FAD4" w:rsidRDefault="0349FAD4" w14:paraId="126BB25A" w14:textId="77777777">
            <w:pPr>
              <w:pStyle w:val="BodyText"/>
              <w:rPr>
                <w:rFonts w:cs="Arial" w:asciiTheme="minorHAnsi" w:hAnsiTheme="minorHAnsi"/>
                <w:b/>
                <w:bCs/>
                <w:sz w:val="20"/>
              </w:rPr>
            </w:pPr>
            <w:r w:rsidRPr="0349FAD4">
              <w:rPr>
                <w:rFonts w:cs="Arial" w:asciiTheme="minorHAnsi" w:hAnsiTheme="minorHAnsi"/>
                <w:b/>
                <w:bCs/>
                <w:sz w:val="20"/>
              </w:rPr>
              <w:t>Incompatibility</w:t>
            </w:r>
          </w:p>
        </w:tc>
        <w:tc>
          <w:tcPr>
            <w:tcW w:w="7602" w:type="dxa"/>
          </w:tcPr>
          <w:p w:rsidR="6EDF36CC" w:rsidP="0349FAD4" w:rsidRDefault="6EDF36CC" w14:paraId="15B4BF05" w14:textId="46B251B0">
            <w:pPr>
              <w:pStyle w:val="BodyText"/>
              <w:rPr>
                <w:rFonts w:cs="Arial" w:asciiTheme="minorHAnsi" w:hAnsiTheme="minorHAnsi"/>
                <w:sz w:val="20"/>
              </w:rPr>
            </w:pPr>
            <w:r w:rsidRPr="0349FAD4">
              <w:rPr>
                <w:rFonts w:cs="Arial" w:asciiTheme="minorHAnsi" w:hAnsiTheme="minorHAnsi"/>
                <w:sz w:val="20"/>
              </w:rPr>
              <w:t>Do not mix with any other fluids or drugs not listed above.</w:t>
            </w:r>
          </w:p>
        </w:tc>
      </w:tr>
      <w:tr w:rsidR="0349FAD4" w:rsidTr="008074AA" w14:paraId="5B18F087" w14:textId="77777777">
        <w:trPr>
          <w:trHeight w:val="260"/>
        </w:trPr>
        <w:tc>
          <w:tcPr>
            <w:tcW w:w="2032" w:type="dxa"/>
          </w:tcPr>
          <w:p w:rsidR="0349FAD4" w:rsidP="0349FAD4" w:rsidRDefault="0349FAD4" w14:paraId="12A0AA85" w14:textId="77777777">
            <w:pPr>
              <w:pStyle w:val="BodyText"/>
              <w:rPr>
                <w:rFonts w:cs="Arial" w:asciiTheme="minorHAnsi" w:hAnsiTheme="minorHAnsi"/>
                <w:b/>
                <w:bCs/>
                <w:sz w:val="20"/>
              </w:rPr>
            </w:pPr>
            <w:r w:rsidRPr="0349FAD4">
              <w:rPr>
                <w:rFonts w:cs="Arial" w:asciiTheme="minorHAnsi" w:hAnsiTheme="minorHAnsi"/>
                <w:b/>
                <w:bCs/>
                <w:sz w:val="20"/>
              </w:rPr>
              <w:t xml:space="preserve">Stability </w:t>
            </w:r>
          </w:p>
        </w:tc>
        <w:tc>
          <w:tcPr>
            <w:tcW w:w="7602" w:type="dxa"/>
          </w:tcPr>
          <w:p w:rsidR="364467B5" w:rsidP="0349FAD4" w:rsidRDefault="364467B5" w14:paraId="44CD6452" w14:textId="3F8E3D1F">
            <w:pPr>
              <w:rPr>
                <w:rFonts w:cs="Arial" w:asciiTheme="minorHAnsi" w:hAnsiTheme="minorHAnsi"/>
                <w:sz w:val="20"/>
              </w:rPr>
            </w:pPr>
            <w:r w:rsidRPr="0349FAD4">
              <w:rPr>
                <w:rFonts w:cs="Arial" w:asciiTheme="minorHAnsi" w:hAnsiTheme="minorHAnsi"/>
                <w:sz w:val="20"/>
              </w:rPr>
              <w:t>Do not use if the solution is separated or discoloured.</w:t>
            </w:r>
          </w:p>
        </w:tc>
      </w:tr>
      <w:tr w:rsidR="0349FAD4" w:rsidTr="008074AA" w14:paraId="61DC2774" w14:textId="77777777">
        <w:trPr>
          <w:trHeight w:val="265"/>
        </w:trPr>
        <w:tc>
          <w:tcPr>
            <w:tcW w:w="2032" w:type="dxa"/>
          </w:tcPr>
          <w:p w:rsidR="0349FAD4" w:rsidP="0349FAD4" w:rsidRDefault="0349FAD4" w14:paraId="17AB66E5" w14:textId="77777777">
            <w:pPr>
              <w:pStyle w:val="BodyText"/>
              <w:rPr>
                <w:rFonts w:cs="Arial" w:asciiTheme="minorHAnsi" w:hAnsiTheme="minorHAnsi"/>
                <w:b/>
                <w:bCs/>
                <w:sz w:val="20"/>
              </w:rPr>
            </w:pPr>
            <w:r w:rsidRPr="0349FAD4">
              <w:rPr>
                <w:rFonts w:cs="Arial" w:asciiTheme="minorHAnsi" w:hAnsiTheme="minorHAnsi"/>
                <w:b/>
                <w:bCs/>
                <w:sz w:val="20"/>
              </w:rPr>
              <w:t xml:space="preserve">Storage             </w:t>
            </w:r>
          </w:p>
        </w:tc>
        <w:tc>
          <w:tcPr>
            <w:tcW w:w="7602" w:type="dxa"/>
          </w:tcPr>
          <w:p w:rsidR="3A504126" w:rsidP="0349FAD4" w:rsidRDefault="3A504126" w14:paraId="43ECB1F6" w14:textId="52BCE785">
            <w:pPr>
              <w:pStyle w:val="BodyText"/>
              <w:rPr>
                <w:rFonts w:cs="Arial" w:asciiTheme="minorHAnsi" w:hAnsiTheme="minorHAnsi"/>
                <w:sz w:val="20"/>
              </w:rPr>
            </w:pPr>
            <w:r w:rsidRPr="0349FAD4">
              <w:rPr>
                <w:rFonts w:cs="Arial" w:asciiTheme="minorHAnsi" w:hAnsiTheme="minorHAnsi"/>
                <w:sz w:val="20"/>
              </w:rPr>
              <w:t>Ampoule, vial and syringe: Store below 25°C. Do not freeze. Protect from light.</w:t>
            </w:r>
          </w:p>
        </w:tc>
      </w:tr>
      <w:tr w:rsidR="0349FAD4" w:rsidTr="008074AA" w14:paraId="2567FEC5" w14:textId="77777777">
        <w:trPr>
          <w:trHeight w:val="283"/>
        </w:trPr>
        <w:tc>
          <w:tcPr>
            <w:tcW w:w="2032" w:type="dxa"/>
          </w:tcPr>
          <w:p w:rsidR="0349FAD4" w:rsidP="0349FAD4" w:rsidRDefault="0349FAD4" w14:paraId="6FAC6288" w14:textId="77777777">
            <w:pPr>
              <w:pStyle w:val="BodyText"/>
              <w:rPr>
                <w:rFonts w:cs="Arial" w:asciiTheme="minorHAnsi" w:hAnsiTheme="minorHAnsi"/>
                <w:b/>
                <w:bCs/>
                <w:sz w:val="20"/>
              </w:rPr>
            </w:pPr>
            <w:r w:rsidRPr="0349FAD4">
              <w:rPr>
                <w:rFonts w:cs="Arial" w:asciiTheme="minorHAnsi" w:hAnsiTheme="minorHAnsi"/>
                <w:b/>
                <w:bCs/>
                <w:sz w:val="20"/>
              </w:rPr>
              <w:t>Special Comments</w:t>
            </w:r>
          </w:p>
        </w:tc>
        <w:tc>
          <w:tcPr>
            <w:tcW w:w="7602" w:type="dxa"/>
          </w:tcPr>
          <w:p w:rsidR="0349FAD4" w:rsidP="0349FAD4" w:rsidRDefault="0349FAD4" w14:paraId="2E4B53C9" w14:textId="5A2EC0E6">
            <w:pPr>
              <w:pStyle w:val="BodyText"/>
              <w:rPr>
                <w:rFonts w:cs="Arial" w:asciiTheme="minorHAnsi" w:hAnsiTheme="minorHAnsi"/>
                <w:sz w:val="20"/>
              </w:rPr>
            </w:pPr>
          </w:p>
        </w:tc>
      </w:tr>
      <w:tr w:rsidR="0349FAD4" w:rsidTr="008074AA" w14:paraId="1C628A50" w14:textId="77777777">
        <w:trPr>
          <w:trHeight w:val="248"/>
        </w:trPr>
        <w:tc>
          <w:tcPr>
            <w:tcW w:w="2032" w:type="dxa"/>
          </w:tcPr>
          <w:p w:rsidR="0349FAD4" w:rsidP="0349FAD4" w:rsidRDefault="0349FAD4" w14:paraId="75A4ABDA" w14:textId="77777777">
            <w:pPr>
              <w:pStyle w:val="BodyText"/>
              <w:rPr>
                <w:rFonts w:cs="Arial" w:asciiTheme="minorHAnsi" w:hAnsiTheme="minorHAnsi"/>
                <w:b/>
                <w:bCs/>
                <w:sz w:val="20"/>
              </w:rPr>
            </w:pPr>
            <w:r w:rsidRPr="0349FAD4">
              <w:rPr>
                <w:rFonts w:cs="Arial" w:asciiTheme="minorHAnsi" w:hAnsiTheme="minorHAnsi"/>
                <w:b/>
                <w:bCs/>
                <w:sz w:val="20"/>
              </w:rPr>
              <w:t>Evidence summary</w:t>
            </w:r>
          </w:p>
        </w:tc>
        <w:tc>
          <w:tcPr>
            <w:tcW w:w="7602" w:type="dxa"/>
          </w:tcPr>
          <w:p w:rsidRPr="008074AA" w:rsidR="04226A4F" w:rsidP="0349FAD4" w:rsidRDefault="04226A4F" w14:paraId="7A3A812D" w14:textId="502652FE">
            <w:pPr>
              <w:pStyle w:val="BodyText"/>
              <w:tabs>
                <w:tab w:val="left" w:pos="1168"/>
              </w:tabs>
              <w:rPr>
                <w:rFonts w:cs="Arial" w:asciiTheme="minorHAnsi" w:hAnsiTheme="minorHAnsi"/>
                <w:b/>
                <w:bCs/>
                <w:sz w:val="16"/>
                <w:szCs w:val="16"/>
              </w:rPr>
            </w:pPr>
            <w:r w:rsidRPr="008074AA">
              <w:rPr>
                <w:rFonts w:cs="Arial" w:asciiTheme="minorHAnsi" w:hAnsiTheme="minorHAnsi"/>
                <w:b/>
                <w:bCs/>
                <w:sz w:val="16"/>
                <w:szCs w:val="16"/>
              </w:rPr>
              <w:t>Efficacy:</w:t>
            </w:r>
          </w:p>
          <w:p w:rsidRPr="008074AA" w:rsidR="04226A4F" w:rsidP="3A936897" w:rsidRDefault="4FB86977" w14:paraId="2CCD6BAC" w14:textId="43BC5470">
            <w:pPr>
              <w:pStyle w:val="BodyText"/>
              <w:tabs>
                <w:tab w:val="left" w:pos="1168"/>
              </w:tabs>
              <w:rPr>
                <w:rFonts w:cs="Arial" w:asciiTheme="minorHAnsi" w:hAnsiTheme="minorHAnsi"/>
                <w:sz w:val="16"/>
                <w:szCs w:val="16"/>
              </w:rPr>
            </w:pPr>
            <w:r w:rsidRPr="008074AA">
              <w:rPr>
                <w:rFonts w:cs="Arial" w:asciiTheme="minorHAnsi" w:hAnsiTheme="minorHAnsi"/>
                <w:b/>
                <w:bCs/>
                <w:sz w:val="16"/>
                <w:szCs w:val="16"/>
              </w:rPr>
              <w:t>Premedication for intubation:</w:t>
            </w:r>
            <w:r w:rsidRPr="008074AA">
              <w:rPr>
                <w:rFonts w:cs="Arial" w:asciiTheme="minorHAnsi" w:hAnsiTheme="minorHAnsi"/>
                <w:sz w:val="16"/>
                <w:szCs w:val="16"/>
              </w:rPr>
              <w:t xml:space="preserve"> Durrmeyer et al 2018 [1] in an RCT in 173 neonates undergoing</w:t>
            </w:r>
            <w:r w:rsidRPr="008074AA" w:rsidR="4F93B28D">
              <w:rPr>
                <w:rFonts w:cs="Arial" w:asciiTheme="minorHAnsi" w:hAnsiTheme="minorHAnsi"/>
                <w:sz w:val="16"/>
                <w:szCs w:val="16"/>
              </w:rPr>
              <w:t xml:space="preserve"> </w:t>
            </w:r>
            <w:r w:rsidRPr="008074AA">
              <w:rPr>
                <w:rFonts w:cs="Arial" w:asciiTheme="minorHAnsi" w:hAnsiTheme="minorHAnsi"/>
                <w:sz w:val="16"/>
                <w:szCs w:val="16"/>
              </w:rPr>
              <w:t>non-emergency, nasotracheal intubation, the frequency of prolonged desaturation did not</w:t>
            </w:r>
            <w:r w:rsidRPr="008074AA" w:rsidR="330787D2">
              <w:rPr>
                <w:rFonts w:cs="Arial" w:asciiTheme="minorHAnsi" w:hAnsiTheme="minorHAnsi"/>
                <w:sz w:val="16"/>
                <w:szCs w:val="16"/>
              </w:rPr>
              <w:t xml:space="preserve"> </w:t>
            </w:r>
            <w:r w:rsidRPr="008074AA">
              <w:rPr>
                <w:rFonts w:cs="Arial" w:asciiTheme="minorHAnsi" w:hAnsiTheme="minorHAnsi"/>
                <w:sz w:val="16"/>
                <w:szCs w:val="16"/>
              </w:rPr>
              <w:t>differ between infants receiving atropine 15 microgram/kg + propofol 2.5 mg/kg [infants &gt;1000 g] or 1 mg/kg [infants &lt;1000g ] + additional propofol dose 1 mg/kg if needed, compared to infant,</w:t>
            </w:r>
            <w:r w:rsidRPr="008074AA" w:rsidR="7233F989">
              <w:rPr>
                <w:rFonts w:cs="Arial" w:asciiTheme="minorHAnsi" w:hAnsiTheme="minorHAnsi"/>
                <w:sz w:val="16"/>
                <w:szCs w:val="16"/>
              </w:rPr>
              <w:t xml:space="preserve"> </w:t>
            </w:r>
            <w:r w:rsidRPr="008074AA">
              <w:rPr>
                <w:rFonts w:cs="Arial" w:asciiTheme="minorHAnsi" w:hAnsiTheme="minorHAnsi"/>
                <w:sz w:val="16"/>
                <w:szCs w:val="16"/>
              </w:rPr>
              <w:t xml:space="preserve">receiving atropine 15 microgram/kg + atracurium 0.3 mg/kg + additional 0.1 mg/kg + sufentanil 0.2 microgram/kg [&gt;1000 g] or 0.1 microgram/kg [&lt;1000 g]. The atropine-propofol group had longer mean procedure duration, less frequent excellent quality of sedation, shorter median time to respiratory recovery, shorter time to limb movement recovery (18 versus 60 minutes) and SpO2 was preserved better in the </w:t>
            </w:r>
            <w:r w:rsidRPr="008074AA">
              <w:rPr>
                <w:rFonts w:cs="Arial" w:asciiTheme="minorHAnsi" w:hAnsiTheme="minorHAnsi"/>
                <w:sz w:val="16"/>
                <w:szCs w:val="16"/>
              </w:rPr>
              <w:lastRenderedPageBreak/>
              <w:t>following hour.van der Lee et al 2016 [2] in n RCT in 22 very preterm newborns undergoing intubation</w:t>
            </w:r>
            <w:r w:rsidRPr="008074AA" w:rsidR="25D47A78">
              <w:rPr>
                <w:rFonts w:cs="Arial" w:asciiTheme="minorHAnsi" w:hAnsiTheme="minorHAnsi"/>
                <w:sz w:val="16"/>
                <w:szCs w:val="16"/>
              </w:rPr>
              <w:t xml:space="preserve"> </w:t>
            </w:r>
            <w:r w:rsidRPr="008074AA">
              <w:rPr>
                <w:rFonts w:cs="Arial" w:asciiTheme="minorHAnsi" w:hAnsiTheme="minorHAnsi"/>
                <w:sz w:val="16"/>
                <w:szCs w:val="16"/>
              </w:rPr>
              <w:t>premedicated with morphine 0.1 mg/kg + vecuronium 0.1 mg/kg versus propofol 2 mg/kg</w:t>
            </w:r>
            <w:r w:rsidRPr="008074AA" w:rsidR="67E7FD98">
              <w:rPr>
                <w:rFonts w:cs="Arial" w:asciiTheme="minorHAnsi" w:hAnsiTheme="minorHAnsi"/>
                <w:sz w:val="16"/>
                <w:szCs w:val="16"/>
              </w:rPr>
              <w:t xml:space="preserve"> </w:t>
            </w:r>
            <w:r w:rsidRPr="008074AA">
              <w:rPr>
                <w:rFonts w:cs="Arial" w:asciiTheme="minorHAnsi" w:hAnsiTheme="minorHAnsi"/>
                <w:sz w:val="16"/>
                <w:szCs w:val="16"/>
              </w:rPr>
              <w:t>reported significant hypotension in one infant receiving propofol and no difference in intubating condition score between groups.</w:t>
            </w:r>
          </w:p>
          <w:p w:rsidRPr="008074AA" w:rsidR="04226A4F" w:rsidP="0349FAD4" w:rsidRDefault="04226A4F" w14:paraId="1F4B844F" w14:textId="3F1F0789">
            <w:pPr>
              <w:pStyle w:val="BodyText"/>
              <w:tabs>
                <w:tab w:val="left" w:pos="1168"/>
              </w:tabs>
              <w:rPr>
                <w:rFonts w:cs="Arial" w:asciiTheme="minorHAnsi" w:hAnsiTheme="minorHAnsi"/>
                <w:sz w:val="16"/>
                <w:szCs w:val="16"/>
              </w:rPr>
            </w:pPr>
            <w:r w:rsidRPr="008074AA">
              <w:rPr>
                <w:rFonts w:cs="Arial" w:asciiTheme="minorHAnsi" w:hAnsiTheme="minorHAnsi"/>
                <w:sz w:val="16"/>
                <w:szCs w:val="16"/>
              </w:rPr>
              <w:t>Penido et al 2011 [3] in an RCT in 20 preterm neonates who underwent tracheal intubation</w:t>
            </w:r>
            <w:r w:rsidRPr="008074AA" w:rsidR="371708A9">
              <w:rPr>
                <w:rFonts w:cs="Arial" w:asciiTheme="minorHAnsi" w:hAnsiTheme="minorHAnsi"/>
                <w:sz w:val="16"/>
                <w:szCs w:val="16"/>
              </w:rPr>
              <w:t xml:space="preserve"> </w:t>
            </w:r>
            <w:r w:rsidRPr="008074AA">
              <w:rPr>
                <w:rFonts w:cs="Arial" w:asciiTheme="minorHAnsi" w:hAnsiTheme="minorHAnsi"/>
                <w:sz w:val="16"/>
                <w:szCs w:val="16"/>
              </w:rPr>
              <w:t>following the use of remifentanil 1 µg/kg + either propofol 2 mg/kg or midazolam 200 µg/kg</w:t>
            </w:r>
            <w:r w:rsidRPr="008074AA" w:rsidR="3D859B6F">
              <w:rPr>
                <w:rFonts w:cs="Arial" w:asciiTheme="minorHAnsi" w:hAnsiTheme="minorHAnsi"/>
                <w:sz w:val="16"/>
                <w:szCs w:val="16"/>
              </w:rPr>
              <w:t xml:space="preserve"> </w:t>
            </w:r>
            <w:r w:rsidRPr="008074AA">
              <w:rPr>
                <w:rFonts w:cs="Arial" w:asciiTheme="minorHAnsi" w:hAnsiTheme="minorHAnsi"/>
                <w:sz w:val="16"/>
                <w:szCs w:val="16"/>
              </w:rPr>
              <w:t xml:space="preserve"> reported excellent conditions to intubate were observed in 3 neonates that received midazolam and 4 who received propofol, a second attempt to intubate was necessary in 3 patients infused</w:t>
            </w:r>
            <w:r w:rsidRPr="008074AA" w:rsidR="39BF052C">
              <w:rPr>
                <w:rFonts w:cs="Arial" w:asciiTheme="minorHAnsi" w:hAnsiTheme="minorHAnsi"/>
                <w:sz w:val="16"/>
                <w:szCs w:val="16"/>
              </w:rPr>
              <w:t xml:space="preserve"> </w:t>
            </w:r>
            <w:r w:rsidRPr="008074AA">
              <w:rPr>
                <w:rFonts w:cs="Arial" w:asciiTheme="minorHAnsi" w:hAnsiTheme="minorHAnsi"/>
                <w:sz w:val="16"/>
                <w:szCs w:val="16"/>
              </w:rPr>
              <w:t>with midazolam and in 2 patients infused with propofol. No differences in pain and stress level</w:t>
            </w:r>
            <w:r w:rsidRPr="008074AA" w:rsidR="71C8B7C5">
              <w:rPr>
                <w:rFonts w:cs="Arial" w:asciiTheme="minorHAnsi" w:hAnsiTheme="minorHAnsi"/>
                <w:sz w:val="16"/>
                <w:szCs w:val="16"/>
              </w:rPr>
              <w:t xml:space="preserve"> </w:t>
            </w:r>
            <w:r w:rsidRPr="008074AA">
              <w:rPr>
                <w:rFonts w:cs="Arial" w:asciiTheme="minorHAnsi" w:hAnsiTheme="minorHAnsi"/>
                <w:sz w:val="16"/>
                <w:szCs w:val="16"/>
              </w:rPr>
              <w:t>before and after the intubation using the NIPS scale and the COMFORT scales.</w:t>
            </w:r>
            <w:r w:rsidRPr="008074AA" w:rsidR="68CC9794">
              <w:rPr>
                <w:rFonts w:cs="Arial" w:asciiTheme="minorHAnsi" w:hAnsiTheme="minorHAnsi"/>
                <w:sz w:val="16"/>
                <w:szCs w:val="16"/>
              </w:rPr>
              <w:t xml:space="preserve"> </w:t>
            </w:r>
            <w:r w:rsidRPr="008074AA">
              <w:rPr>
                <w:rFonts w:cs="Arial" w:asciiTheme="minorHAnsi" w:hAnsiTheme="minorHAnsi"/>
                <w:sz w:val="16"/>
                <w:szCs w:val="16"/>
              </w:rPr>
              <w:t>Ghanta et al 2007 [4] reported propofol 2.5 mg/kg (maximum 2 doses) was more effective than morphine 100 microgram/kg atropine, 10 microgram/kg + suxamethonium 2 mg/kg (maximu</w:t>
            </w:r>
            <w:r w:rsidRPr="008074AA" w:rsidR="71A2E55A">
              <w:rPr>
                <w:rFonts w:cs="Arial" w:asciiTheme="minorHAnsi" w:hAnsiTheme="minorHAnsi"/>
                <w:sz w:val="16"/>
                <w:szCs w:val="16"/>
              </w:rPr>
              <w:t>m</w:t>
            </w:r>
            <w:r w:rsidRPr="008074AA">
              <w:rPr>
                <w:rFonts w:cs="Arial" w:asciiTheme="minorHAnsi" w:hAnsiTheme="minorHAnsi"/>
                <w:sz w:val="16"/>
                <w:szCs w:val="16"/>
              </w:rPr>
              <w:t xml:space="preserve"> total dose of 4 mg/kg per intubation attempt) as an induction agent to facilitate neonatal nasotracheal intubation. Time to intubation and recovery time was shorter, hypoxaemia less severe and nasal trauma reduced.</w:t>
            </w:r>
          </w:p>
          <w:p w:rsidRPr="008074AA" w:rsidR="04226A4F" w:rsidP="0349FAD4" w:rsidRDefault="04226A4F" w14:paraId="40C07BC5" w14:textId="5E1EDBD2">
            <w:pPr>
              <w:pStyle w:val="BodyText"/>
              <w:tabs>
                <w:tab w:val="left" w:pos="1168"/>
              </w:tabs>
              <w:rPr>
                <w:rFonts w:cs="Arial" w:asciiTheme="minorHAnsi" w:hAnsiTheme="minorHAnsi"/>
                <w:sz w:val="16"/>
                <w:szCs w:val="16"/>
              </w:rPr>
            </w:pPr>
            <w:r w:rsidRPr="008074AA">
              <w:rPr>
                <w:rFonts w:cs="Arial" w:asciiTheme="minorHAnsi" w:hAnsiTheme="minorHAnsi"/>
                <w:sz w:val="16"/>
                <w:szCs w:val="16"/>
              </w:rPr>
              <w:t>Simons et al 2013 [5] in a case series of 62 intubations in neonates 24 to 44 weeks and 520 to 4380 g assessed premedication with propofol 2 mg/kg starting dose. This was sufficient in 37%. Additional propofol was needed less often on the first postnatal day. The mean dose was 3.3 (SD 1.2) mg/kg. Hypotension occurred in 39%. In 15% of procedures, propofol monotherapy was insufficient.</w:t>
            </w:r>
          </w:p>
          <w:p w:rsidRPr="008074AA" w:rsidR="04226A4F" w:rsidP="0349FAD4" w:rsidRDefault="04226A4F" w14:paraId="5FEE2E31" w14:textId="5EC73BBF">
            <w:pPr>
              <w:pStyle w:val="BodyText"/>
              <w:tabs>
                <w:tab w:val="left" w:pos="1168"/>
              </w:tabs>
              <w:rPr>
                <w:sz w:val="16"/>
                <w:szCs w:val="16"/>
              </w:rPr>
            </w:pPr>
            <w:r w:rsidRPr="008074AA">
              <w:rPr>
                <w:rFonts w:cs="Arial" w:asciiTheme="minorHAnsi" w:hAnsiTheme="minorHAnsi"/>
                <w:b/>
                <w:bCs/>
                <w:sz w:val="16"/>
                <w:szCs w:val="16"/>
              </w:rPr>
              <w:t xml:space="preserve"> </w:t>
            </w:r>
          </w:p>
          <w:p w:rsidRPr="008074AA" w:rsidR="04226A4F" w:rsidP="0349FAD4" w:rsidRDefault="04226A4F" w14:paraId="4706124E" w14:textId="355968E2">
            <w:pPr>
              <w:pStyle w:val="BodyText"/>
              <w:tabs>
                <w:tab w:val="left" w:pos="1168"/>
              </w:tabs>
              <w:rPr>
                <w:sz w:val="16"/>
                <w:szCs w:val="16"/>
              </w:rPr>
            </w:pPr>
            <w:r w:rsidRPr="008074AA">
              <w:rPr>
                <w:rFonts w:cs="Arial" w:asciiTheme="minorHAnsi" w:hAnsiTheme="minorHAnsi"/>
                <w:b/>
                <w:bCs/>
                <w:sz w:val="16"/>
                <w:szCs w:val="16"/>
              </w:rPr>
              <w:t>Conclusion:</w:t>
            </w:r>
            <w:r w:rsidRPr="008074AA">
              <w:rPr>
                <w:rFonts w:cs="Arial" w:asciiTheme="minorHAnsi" w:hAnsiTheme="minorHAnsi"/>
                <w:sz w:val="16"/>
                <w:szCs w:val="16"/>
              </w:rPr>
              <w:t xml:space="preserve"> Propofol with or without the addition of an opioid reduces infant stress and pain and results in improved intubation conditions and relatively short time to recovery. Its use is associated with apnoea, need for assisted ventilation and hypotension. It is not clear if its safety profile warrants its use in newborn infants. (LOR II GOR D)</w:t>
            </w:r>
          </w:p>
          <w:p w:rsidRPr="008074AA" w:rsidR="0349FAD4" w:rsidP="0349FAD4" w:rsidRDefault="0349FAD4" w14:paraId="678EEB1F" w14:textId="438CAF11">
            <w:pPr>
              <w:pStyle w:val="BodyText"/>
              <w:tabs>
                <w:tab w:val="left" w:pos="1168"/>
              </w:tabs>
              <w:rPr>
                <w:rFonts w:cs="Arial" w:asciiTheme="minorHAnsi" w:hAnsiTheme="minorHAnsi"/>
                <w:sz w:val="16"/>
                <w:szCs w:val="16"/>
              </w:rPr>
            </w:pPr>
          </w:p>
          <w:p w:rsidRPr="008074AA" w:rsidR="46707FE9" w:rsidP="0349FAD4" w:rsidRDefault="46707FE9" w14:paraId="7624776B" w14:textId="74D08502">
            <w:pPr>
              <w:pStyle w:val="BodyText"/>
              <w:tabs>
                <w:tab w:val="left" w:pos="1168"/>
              </w:tabs>
              <w:rPr>
                <w:rFonts w:cs="Arial" w:asciiTheme="minorHAnsi" w:hAnsiTheme="minorHAnsi"/>
                <w:sz w:val="16"/>
                <w:szCs w:val="16"/>
              </w:rPr>
            </w:pPr>
            <w:r w:rsidRPr="008074AA">
              <w:rPr>
                <w:rFonts w:cs="Arial" w:asciiTheme="minorHAnsi" w:hAnsiTheme="minorHAnsi"/>
                <w:b/>
                <w:bCs/>
                <w:sz w:val="16"/>
                <w:szCs w:val="16"/>
              </w:rPr>
              <w:t>Premedication for minimally invasive surfactant (MIST) or INSURE procedures:</w:t>
            </w:r>
            <w:r w:rsidRPr="008074AA">
              <w:rPr>
                <w:rFonts w:cs="Arial" w:asciiTheme="minorHAnsi" w:hAnsiTheme="minorHAnsi"/>
                <w:sz w:val="16"/>
                <w:szCs w:val="16"/>
              </w:rPr>
              <w:t xml:space="preserve"> Dekker et al 2018 [6] in an RCT in 78 infants 26 to 36 weeks gestational age receiving MIST procedure reported low-dose sedation with propofol 1 mg/kg increased comfort during MIST procedure in preterm infants, but the need for transient non-invasive ventilation was increased (93% vs 47%). There were no differences in incidence of hypotension (9/30 (30%) vs 2/17 (12%)), bradycardia, intubation or pneumothoraxes. (LOE II)</w:t>
            </w:r>
          </w:p>
          <w:p w:rsidRPr="008074AA" w:rsidR="46707FE9" w:rsidP="0349FAD4" w:rsidRDefault="353CA2EA" w14:paraId="23DAFC4A" w14:textId="1779CBFC">
            <w:pPr>
              <w:pStyle w:val="BodyText"/>
              <w:tabs>
                <w:tab w:val="left" w:pos="1168"/>
              </w:tabs>
              <w:rPr>
                <w:sz w:val="16"/>
                <w:szCs w:val="16"/>
              </w:rPr>
            </w:pPr>
            <w:r w:rsidRPr="008074AA">
              <w:rPr>
                <w:rFonts w:cs="Arial" w:asciiTheme="minorHAnsi" w:hAnsiTheme="minorHAnsi"/>
                <w:sz w:val="16"/>
                <w:szCs w:val="16"/>
              </w:rPr>
              <w:t>Dekker et al 2016 [7] in an observational study of very preterm infants receiving MIST, 23 received propofol 1 mg/kg and 15 were not sedated. Preterm infants receiving MIST were more comfortable when sedation was given, but needed ventilation more often (100% versus 33%). Descamps et al 2017 [8]reported a case series of 35 very preterm infants receiving MIST premedicated with atropine 10 microgram/kg + propofol titration started at 0.5 mg/kg with a mean total dose of 1.5 mg/kg (8 infants also received nalbuphine 0.1 mg/kg).</w:t>
            </w:r>
          </w:p>
          <w:p w:rsidRPr="008074AA" w:rsidR="46707FE9" w:rsidP="0349FAD4" w:rsidRDefault="353CA2EA" w14:paraId="59184C92" w14:textId="56607AE2">
            <w:pPr>
              <w:pStyle w:val="BodyText"/>
              <w:tabs>
                <w:tab w:val="left" w:pos="1168"/>
              </w:tabs>
              <w:rPr>
                <w:sz w:val="16"/>
                <w:szCs w:val="16"/>
              </w:rPr>
            </w:pPr>
            <w:r w:rsidRPr="008074AA">
              <w:rPr>
                <w:rFonts w:cs="Arial" w:asciiTheme="minorHAnsi" w:hAnsiTheme="minorHAnsi"/>
                <w:b/>
                <w:bCs/>
                <w:sz w:val="16"/>
                <w:szCs w:val="16"/>
              </w:rPr>
              <w:t>Conclusion:</w:t>
            </w:r>
            <w:r w:rsidRPr="008074AA">
              <w:rPr>
                <w:rFonts w:cs="Arial" w:asciiTheme="minorHAnsi" w:hAnsiTheme="minorHAnsi"/>
                <w:sz w:val="16"/>
                <w:szCs w:val="16"/>
              </w:rPr>
              <w:t xml:space="preserve"> Low-dose propofol 1 mg/kg before the MIST procedure in preterm infants increased comfort but also the need for transient non-invasive ventilation.(LOE II GOR D)</w:t>
            </w:r>
          </w:p>
          <w:p w:rsidRPr="008074AA" w:rsidR="0349FAD4" w:rsidP="0349FAD4" w:rsidRDefault="0349FAD4" w14:paraId="7A93EC94" w14:textId="7F4D1FB0">
            <w:pPr>
              <w:pStyle w:val="BodyText"/>
              <w:tabs>
                <w:tab w:val="left" w:pos="1168"/>
              </w:tabs>
              <w:rPr>
                <w:rFonts w:cs="Arial" w:asciiTheme="minorHAnsi" w:hAnsiTheme="minorHAnsi"/>
                <w:sz w:val="16"/>
                <w:szCs w:val="16"/>
              </w:rPr>
            </w:pPr>
          </w:p>
          <w:p w:rsidRPr="008074AA" w:rsidR="46707FE9" w:rsidP="0349FAD4" w:rsidRDefault="46707FE9" w14:paraId="6CAEBC36" w14:textId="3D40AA9C">
            <w:pPr>
              <w:pStyle w:val="BodyText"/>
              <w:tabs>
                <w:tab w:val="left" w:pos="1168"/>
              </w:tabs>
              <w:rPr>
                <w:rFonts w:cs="Arial" w:asciiTheme="minorHAnsi" w:hAnsiTheme="minorHAnsi"/>
                <w:sz w:val="16"/>
                <w:szCs w:val="16"/>
              </w:rPr>
            </w:pPr>
            <w:r w:rsidRPr="008074AA">
              <w:rPr>
                <w:rFonts w:cs="Arial" w:asciiTheme="minorHAnsi" w:hAnsiTheme="minorHAnsi"/>
                <w:b/>
                <w:bCs/>
                <w:sz w:val="16"/>
                <w:szCs w:val="16"/>
              </w:rPr>
              <w:t>Analgesia/sedation for procedures including laser for ROP:</w:t>
            </w:r>
            <w:r w:rsidRPr="008074AA">
              <w:rPr>
                <w:rFonts w:cs="Arial" w:asciiTheme="minorHAnsi" w:hAnsiTheme="minorHAnsi"/>
                <w:sz w:val="16"/>
                <w:szCs w:val="16"/>
              </w:rPr>
              <w:t xml:space="preserve"> A single RCT reports the use of protocol + ketamine compared to inhalational anaesthetic for unventilated infants undergoing laser for ROP. Ulgey et al 2015 [9] compared sedation (n = 30) with ketamine 1 mg/kg + propofol 1 mg/kg as a bolus for induction, then propofol 100–150 microgram/kg/min + ketamine 0.25 mg/kg/h for maintenance, versus general anaesthetic (n = 30) induced using 8% sevoflurane with nitrous oxide 50% in oxygen, then maintained with sevoflurane 2% + nitrous oxide 50% in oxygen. Two patients in the sedation group and 11 patients in inhalational anaesthetic group required postoperative mechanical ventilation. Blood pressures and heart rates were similar. Conclusion: There is insufficient safety and efficacy data for use of propofol infusions as analgesia/sedation in newborns.(LOE II, GOR D)</w:t>
            </w:r>
          </w:p>
          <w:p w:rsidRPr="008074AA" w:rsidR="0349FAD4" w:rsidP="0349FAD4" w:rsidRDefault="0349FAD4" w14:paraId="1710EE30" w14:textId="7F8A8817">
            <w:pPr>
              <w:pStyle w:val="BodyText"/>
              <w:tabs>
                <w:tab w:val="left" w:pos="1168"/>
              </w:tabs>
              <w:rPr>
                <w:rFonts w:cs="Arial" w:asciiTheme="minorHAnsi" w:hAnsiTheme="minorHAnsi"/>
                <w:sz w:val="16"/>
                <w:szCs w:val="16"/>
              </w:rPr>
            </w:pPr>
          </w:p>
          <w:p w:rsidRPr="008074AA" w:rsidR="46707FE9" w:rsidP="0349FAD4" w:rsidRDefault="46707FE9" w14:paraId="5C433668" w14:textId="26A13BA7">
            <w:pPr>
              <w:pStyle w:val="BodyText"/>
              <w:tabs>
                <w:tab w:val="left" w:pos="1168"/>
              </w:tabs>
              <w:rPr>
                <w:rFonts w:cs="Arial" w:asciiTheme="minorHAnsi" w:hAnsiTheme="minorHAnsi"/>
                <w:b/>
                <w:bCs/>
                <w:sz w:val="16"/>
                <w:szCs w:val="16"/>
              </w:rPr>
            </w:pPr>
            <w:r w:rsidRPr="008074AA">
              <w:rPr>
                <w:rFonts w:cs="Arial" w:asciiTheme="minorHAnsi" w:hAnsiTheme="minorHAnsi"/>
                <w:b/>
                <w:bCs/>
                <w:sz w:val="16"/>
                <w:szCs w:val="16"/>
              </w:rPr>
              <w:t>Pharmacokinetics:</w:t>
            </w:r>
          </w:p>
          <w:p w:rsidRPr="008074AA" w:rsidR="46707FE9" w:rsidP="0349FAD4" w:rsidRDefault="353CA2EA" w14:paraId="70B4D115" w14:textId="29F2DF91">
            <w:pPr>
              <w:pStyle w:val="BodyText"/>
              <w:tabs>
                <w:tab w:val="left" w:pos="1168"/>
              </w:tabs>
              <w:rPr>
                <w:sz w:val="16"/>
                <w:szCs w:val="16"/>
              </w:rPr>
            </w:pPr>
            <w:r w:rsidRPr="008074AA">
              <w:rPr>
                <w:rFonts w:cs="Arial" w:asciiTheme="minorHAnsi" w:hAnsiTheme="minorHAnsi"/>
                <w:sz w:val="16"/>
                <w:szCs w:val="16"/>
              </w:rPr>
              <w:t xml:space="preserve"> Propofol (2,6-diisopropylphenol) is a highly lipophilic anaesthetic that is metabolised in the liver. Subsequently, its metabolites are eliminated by the renal route. Its clearance mainly depends upon the hepatic blood flow with subsequent glucuronidation or hydroxylation in adults. Propofol disposition is best described by a 3-compartment model, with a rapidly equilibrating central compartment, a second larger peripheral compartment and a third, very large peripheral compartment. Children demonstrate increased clearance and larger volumes of distribution relative to adults, consequently require higher induction and maintenance doses.[10] However, markedly reduced clearance has been reported in neonates.[11, 12] Allegaert et al 2007 [12] reported pharmacokinetics in preterm and neonates after IV bolus administration of propofol 3 mg/kg over 10 seconds. Propofol clearance at 38 weeks PMA was 0.029 L/min. Postmenstrual age (PMA) and postnatal age (PNA) contribute to the inter-individual variability of propofol clearance with very fast maturation of clearance in neonatal life. The addition of a fixed value in neonates with a PNA of ≥10 days resulted in the equation for CL = CL(std).(PMA/38)(11.5) + 0.03] for neonates ≥10 days. Extensive inter-individual variability in propofol clearance (range:</w:t>
            </w:r>
            <w:r w:rsidRPr="008074AA" w:rsidR="73C63F32">
              <w:rPr>
                <w:rFonts w:cs="Arial" w:asciiTheme="minorHAnsi" w:hAnsiTheme="minorHAnsi"/>
                <w:sz w:val="16"/>
                <w:szCs w:val="16"/>
              </w:rPr>
              <w:t xml:space="preserve"> </w:t>
            </w:r>
            <w:r w:rsidRPr="008074AA">
              <w:rPr>
                <w:rFonts w:cs="Arial" w:asciiTheme="minorHAnsi" w:hAnsiTheme="minorHAnsi"/>
                <w:sz w:val="16"/>
                <w:szCs w:val="16"/>
              </w:rPr>
              <w:t>3.7–78.2 ml/kg/min) within the neonatal population has also been reported.[13] Propofol clearance was reduced (typically by 26%) in children who had undergone cardiac surgery.[14]</w:t>
            </w:r>
          </w:p>
          <w:p w:rsidRPr="008074AA" w:rsidR="0349FAD4" w:rsidP="0349FAD4" w:rsidRDefault="0349FAD4" w14:paraId="6EBE056E" w14:textId="2C27E5FE">
            <w:pPr>
              <w:pStyle w:val="BodyText"/>
              <w:tabs>
                <w:tab w:val="left" w:pos="1168"/>
              </w:tabs>
              <w:rPr>
                <w:rFonts w:cs="Arial" w:asciiTheme="minorHAnsi" w:hAnsiTheme="minorHAnsi"/>
                <w:sz w:val="16"/>
                <w:szCs w:val="16"/>
              </w:rPr>
            </w:pPr>
          </w:p>
          <w:p w:rsidRPr="008074AA" w:rsidR="46707FE9" w:rsidP="0349FAD4" w:rsidRDefault="46707FE9" w14:paraId="142FBDA1" w14:textId="460AF149">
            <w:pPr>
              <w:pStyle w:val="BodyText"/>
              <w:tabs>
                <w:tab w:val="left" w:pos="1168"/>
              </w:tabs>
              <w:rPr>
                <w:rFonts w:cs="Arial" w:asciiTheme="minorHAnsi" w:hAnsiTheme="minorHAnsi"/>
                <w:sz w:val="16"/>
                <w:szCs w:val="16"/>
              </w:rPr>
            </w:pPr>
            <w:r w:rsidRPr="008074AA">
              <w:rPr>
                <w:rFonts w:cs="Arial" w:asciiTheme="minorHAnsi" w:hAnsiTheme="minorHAnsi"/>
                <w:b/>
                <w:bCs/>
                <w:sz w:val="16"/>
                <w:szCs w:val="16"/>
              </w:rPr>
              <w:t>Pharmacodynamics:</w:t>
            </w:r>
            <w:r w:rsidRPr="008074AA">
              <w:rPr>
                <w:rFonts w:cs="Arial" w:asciiTheme="minorHAnsi" w:hAnsiTheme="minorHAnsi"/>
                <w:sz w:val="16"/>
                <w:szCs w:val="16"/>
              </w:rPr>
              <w:t xml:space="preserve"> Smits et al 2016 [15] in a dose-finding study in 50 neonates undergoing (semi-)the INSURE procedure reported the propofol ED50 (i.e. effective dose for 50% of patients) for successful intubation for preterm neonates &lt;10 days of age varied between 0.713 and 1.350 mg/kg. Clinical recovery was not attained at the end of the 21-minute scoring period. Mean arterial blood pressure showed a median decrease between 28.5% and 39.1% from baseline with a brief decrease in peripheral and regional cerebral oxygen saturation. Summary: 67% of propofol clearance variability in neonates can be explained by PMA and PNA with very fast maturation of clearance </w:t>
            </w:r>
            <w:r w:rsidRPr="008074AA">
              <w:rPr>
                <w:rFonts w:cs="Arial" w:asciiTheme="minorHAnsi" w:hAnsiTheme="minorHAnsi"/>
                <w:sz w:val="16"/>
                <w:szCs w:val="16"/>
              </w:rPr>
              <w:lastRenderedPageBreak/>
              <w:t>in neonatal life. Propofol doses should be reduced in early (PNA of &lt;10 days) life. Preterm neonates and neonates in the first week of postnatal life are at an increased risk for accumulation during either intermittent bolus or continuous administration of propofol.</w:t>
            </w:r>
          </w:p>
          <w:p w:rsidRPr="008074AA" w:rsidR="0349FAD4" w:rsidP="0349FAD4" w:rsidRDefault="0349FAD4" w14:paraId="52D01128" w14:textId="5A3002A1">
            <w:pPr>
              <w:pStyle w:val="BodyText"/>
              <w:tabs>
                <w:tab w:val="left" w:pos="1168"/>
              </w:tabs>
              <w:rPr>
                <w:rFonts w:cs="Arial" w:asciiTheme="minorHAnsi" w:hAnsiTheme="minorHAnsi"/>
                <w:sz w:val="16"/>
                <w:szCs w:val="16"/>
              </w:rPr>
            </w:pPr>
          </w:p>
          <w:p w:rsidRPr="008074AA" w:rsidR="46707FE9" w:rsidP="0349FAD4" w:rsidRDefault="46707FE9" w14:paraId="294DEDAC" w14:textId="5633723B">
            <w:pPr>
              <w:pStyle w:val="BodyText"/>
              <w:tabs>
                <w:tab w:val="left" w:pos="1168"/>
              </w:tabs>
              <w:rPr>
                <w:rFonts w:cs="Arial" w:asciiTheme="minorHAnsi" w:hAnsiTheme="minorHAnsi"/>
                <w:b/>
                <w:bCs/>
                <w:sz w:val="16"/>
                <w:szCs w:val="16"/>
              </w:rPr>
            </w:pPr>
            <w:r w:rsidRPr="008074AA">
              <w:rPr>
                <w:rFonts w:cs="Arial" w:asciiTheme="minorHAnsi" w:hAnsiTheme="minorHAnsi"/>
                <w:b/>
                <w:bCs/>
                <w:sz w:val="16"/>
                <w:szCs w:val="16"/>
              </w:rPr>
              <w:t>Safety:</w:t>
            </w:r>
          </w:p>
          <w:p w:rsidRPr="008074AA" w:rsidR="46707FE9" w:rsidP="0349FAD4" w:rsidRDefault="46707FE9" w14:paraId="005AFFCC" w14:textId="4C554E5B">
            <w:pPr>
              <w:pStyle w:val="BodyText"/>
              <w:tabs>
                <w:tab w:val="left" w:pos="1168"/>
              </w:tabs>
              <w:rPr>
                <w:sz w:val="16"/>
                <w:szCs w:val="16"/>
              </w:rPr>
            </w:pPr>
            <w:r w:rsidRPr="008074AA">
              <w:rPr>
                <w:rFonts w:cs="Arial" w:asciiTheme="minorHAnsi" w:hAnsiTheme="minorHAnsi"/>
                <w:sz w:val="16"/>
                <w:szCs w:val="16"/>
              </w:rPr>
              <w:t xml:space="preserve"> Low dose propofol bolus 1 mg/kg results in moderate reductions in blood pressure with a brief decrease in peripheral and regional cerebral oxygen saturation.[15] Higher doses (mean 3.3 mg/kg) were associated with hypotension in 39% of infants undergoing endotracheal intubation.[5] In infants and children undergoing procedures in Paediatric Critical Care Units, transient respiratory depression and hypotension were associated with propofol delivered by continuous infusion after a loading bolus dose.[16]</w:t>
            </w:r>
          </w:p>
          <w:p w:rsidRPr="008074AA" w:rsidR="46707FE9" w:rsidP="0349FAD4" w:rsidRDefault="353CA2EA" w14:paraId="61E25710" w14:textId="38E1C5E2">
            <w:pPr>
              <w:pStyle w:val="BodyText"/>
              <w:tabs>
                <w:tab w:val="left" w:pos="1168"/>
              </w:tabs>
              <w:rPr>
                <w:sz w:val="16"/>
                <w:szCs w:val="16"/>
              </w:rPr>
            </w:pPr>
            <w:r w:rsidRPr="008074AA">
              <w:rPr>
                <w:rFonts w:cs="Arial" w:asciiTheme="minorHAnsi" w:hAnsiTheme="minorHAnsi"/>
                <w:sz w:val="16"/>
                <w:szCs w:val="16"/>
              </w:rPr>
              <w:t>Propofol infusion syndrome (PRIS) is a sudden onset of treatment-resistant bradycardia leading to asystole, combined with at least one of the following symptoms: lipaemic plasma, clinically enlarged or fat infiltrated liver, metabolic acidosis or rhabdomyolysis. The syndrome was associated with long-duration &gt;48 hours, high-dose &gt;4 mg/kg/h propofol infusions in children under 12 years.[10, 17]</w:t>
            </w:r>
          </w:p>
          <w:p w:rsidRPr="008074AA" w:rsidR="46707FE9" w:rsidP="0349FAD4" w:rsidRDefault="46707FE9" w14:paraId="48EE66C2" w14:textId="62322520">
            <w:pPr>
              <w:pStyle w:val="BodyText"/>
              <w:tabs>
                <w:tab w:val="left" w:pos="1168"/>
              </w:tabs>
              <w:rPr>
                <w:sz w:val="16"/>
                <w:szCs w:val="16"/>
              </w:rPr>
            </w:pPr>
            <w:r w:rsidRPr="008074AA">
              <w:rPr>
                <w:rFonts w:cs="Arial" w:asciiTheme="minorHAnsi" w:hAnsiTheme="minorHAnsi"/>
                <w:sz w:val="16"/>
                <w:szCs w:val="16"/>
              </w:rPr>
              <w:t xml:space="preserve"> In animals, all currently available anaesthetics and sedatives that have been studied, such as ketamine, midazolam, diazepam, clonazepam, propofol, pentobarbital, chloral hydrate, halothane, isoflurane, sevoflurane, enflurane, nitrous oxide and xenon, have been demonstrated to trigger widespread neurodegeneration in the immature brain.[18] No clinical trials of propofol analgesia/sedation report the neurodevelopmental outcome of newborns. In adults, compared with sevoflurane-based general anaesthesia, propofol-based general anaesthesia might decrease the incidence of delayed neurocognitive recovery in older adults after major cancer surgery.[19]</w:t>
            </w:r>
          </w:p>
          <w:p w:rsidRPr="008074AA" w:rsidR="0349FAD4" w:rsidP="0349FAD4" w:rsidRDefault="0349FAD4" w14:paraId="3093E843" w14:textId="5474CD50">
            <w:pPr>
              <w:pStyle w:val="BodyText"/>
              <w:tabs>
                <w:tab w:val="left" w:pos="1168"/>
              </w:tabs>
              <w:rPr>
                <w:rFonts w:cs="Arial" w:asciiTheme="minorHAnsi" w:hAnsiTheme="minorHAnsi"/>
                <w:sz w:val="16"/>
                <w:szCs w:val="16"/>
              </w:rPr>
            </w:pPr>
          </w:p>
        </w:tc>
      </w:tr>
      <w:tr w:rsidR="0349FAD4" w:rsidTr="008074AA" w14:paraId="715613DA" w14:textId="77777777">
        <w:trPr>
          <w:trHeight w:val="361"/>
        </w:trPr>
        <w:tc>
          <w:tcPr>
            <w:tcW w:w="2032" w:type="dxa"/>
          </w:tcPr>
          <w:p w:rsidR="0349FAD4" w:rsidP="0349FAD4" w:rsidRDefault="0349FAD4" w14:paraId="6649E4EF" w14:textId="77777777">
            <w:pPr>
              <w:pStyle w:val="BodyText"/>
              <w:rPr>
                <w:rFonts w:cs="Arial" w:asciiTheme="minorHAnsi" w:hAnsiTheme="minorHAnsi"/>
                <w:b/>
                <w:bCs/>
                <w:sz w:val="20"/>
              </w:rPr>
            </w:pPr>
            <w:r w:rsidRPr="0349FAD4">
              <w:rPr>
                <w:rFonts w:asciiTheme="minorHAnsi" w:hAnsiTheme="minorHAnsi"/>
                <w:b/>
                <w:bCs/>
                <w:sz w:val="20"/>
              </w:rPr>
              <w:lastRenderedPageBreak/>
              <w:t>References</w:t>
            </w:r>
          </w:p>
        </w:tc>
        <w:tc>
          <w:tcPr>
            <w:tcW w:w="7602" w:type="dxa"/>
          </w:tcPr>
          <w:p w:rsidR="0349FAD4" w:rsidP="0349FAD4" w:rsidRDefault="0349FAD4" w14:paraId="3C1DB8D6" w14:textId="31F0B044">
            <w:pPr>
              <w:rPr>
                <w:rFonts w:asciiTheme="minorHAnsi" w:hAnsiTheme="minorHAnsi" w:eastAsiaTheme="minorEastAsia" w:cstheme="minorBidi"/>
                <w:sz w:val="16"/>
                <w:szCs w:val="16"/>
              </w:rPr>
            </w:pPr>
          </w:p>
          <w:p w:rsidR="4F0F3AB9" w:rsidP="0083246D" w:rsidRDefault="73626FD0" w14:paraId="54804EC6" w14:textId="2EBF449D">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 </w:t>
            </w:r>
            <w:r w:rsidRPr="3A936897" w:rsidR="20DC365D">
              <w:rPr>
                <w:rFonts w:asciiTheme="minorHAnsi" w:hAnsiTheme="minorHAnsi" w:eastAsiaTheme="minorEastAsia" w:cstheme="minorBidi"/>
                <w:sz w:val="16"/>
                <w:szCs w:val="16"/>
              </w:rPr>
              <w:t>Durrmeyer X, Breinig S, Claris O, Tourneux P, Alexandre C, Saliba E, Beuchee A, Jung C, Levy C, Marchand-Martin L, Marcoux MO, Dechartres A, Danan C. Effect of atropine with propofol vs atropine with atracurium and sufentanil on oxygen desaturation in neonates requiring nonemergency intubation a randomized clinical trial. JAMA - Journal of the American Medical Association. 2018;319:1790-801.</w:t>
            </w:r>
          </w:p>
          <w:p w:rsidR="4F0F3AB9" w:rsidP="0349FAD4" w:rsidRDefault="4F0F3AB9" w14:paraId="7DF430C8" w14:textId="7FF71141">
            <w:r w:rsidRPr="0349FAD4">
              <w:rPr>
                <w:rFonts w:asciiTheme="minorHAnsi" w:hAnsiTheme="minorHAnsi" w:eastAsiaTheme="minorEastAsia" w:cstheme="minorBidi"/>
                <w:sz w:val="16"/>
                <w:szCs w:val="16"/>
              </w:rPr>
              <w:t xml:space="preserve"> </w:t>
            </w:r>
          </w:p>
          <w:p w:rsidR="4F0F3AB9" w:rsidP="0083246D" w:rsidRDefault="20DC365D" w14:paraId="069D2A71" w14:textId="7CE4E397">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van der Lee R, Jebbink LJMG, van Herpen THM, d'Haens EJ, Bierhuizen J, van Lingen RA. Feasibility of monitoring stress using skin conduction measurements during intubation of newborns. European Journal of Pediatrics. 2016;175:237-43.</w:t>
            </w:r>
            <w:r w:rsidR="4F0F3AB9">
              <w:br/>
            </w:r>
            <w:r w:rsidR="4F0F3AB9">
              <w:br/>
            </w:r>
            <w:r w:rsidRPr="3A936897">
              <w:rPr>
                <w:rFonts w:asciiTheme="minorHAnsi" w:hAnsiTheme="minorHAnsi" w:eastAsiaTheme="minorEastAsia" w:cstheme="minorBidi"/>
                <w:sz w:val="16"/>
                <w:szCs w:val="16"/>
              </w:rPr>
              <w:t xml:space="preserve"> </w:t>
            </w:r>
          </w:p>
          <w:p w:rsidR="4F0F3AB9" w:rsidP="0083246D" w:rsidRDefault="20DC365D" w14:paraId="41722400" w14:textId="369972B0">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Penido MG, de Oliveira Silva DF, Tavares EC, Silva YP. Propofol versus midazolam for intubating preterm neonates: a randomized controlled trial. Journal of perinatology. 2011;31:356‐60.</w:t>
            </w:r>
          </w:p>
          <w:p w:rsidR="0349FAD4" w:rsidP="0349FAD4" w:rsidRDefault="0349FAD4" w14:paraId="294AE42B" w14:textId="7FC5FBE2">
            <w:pPr>
              <w:rPr>
                <w:rFonts w:asciiTheme="minorHAnsi" w:hAnsiTheme="minorHAnsi" w:eastAsiaTheme="minorEastAsia" w:cstheme="minorBidi"/>
                <w:sz w:val="16"/>
                <w:szCs w:val="16"/>
              </w:rPr>
            </w:pPr>
          </w:p>
          <w:p w:rsidR="4F0F3AB9" w:rsidP="0083246D" w:rsidRDefault="20DC365D" w14:paraId="2E55C7AB" w14:textId="542B34D9">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Ghanta S, Abdel-Latif ME, Lui K, Ravindranathan H, Awad J, Oei J. Propofol compared with the morphine, atropine, and suxamethonium regimen as induction agents for neonatal endotracheal intubation: a randomized, controlled trial. Pediatrics. 2007;119:e1248‐55.</w:t>
            </w:r>
            <w:r w:rsidR="4F0F3AB9">
              <w:br/>
            </w:r>
            <w:r w:rsidR="4F0F3AB9">
              <w:br/>
            </w:r>
            <w:r w:rsidRPr="3A936897">
              <w:rPr>
                <w:rFonts w:asciiTheme="minorHAnsi" w:hAnsiTheme="minorHAnsi" w:eastAsiaTheme="minorEastAsia" w:cstheme="minorBidi"/>
                <w:sz w:val="16"/>
                <w:szCs w:val="16"/>
              </w:rPr>
              <w:t xml:space="preserve"> </w:t>
            </w:r>
          </w:p>
          <w:p w:rsidR="4F0F3AB9" w:rsidP="0083246D" w:rsidRDefault="20DC365D" w14:paraId="3552CC84" w14:textId="79E47493">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Simons SH, van der Lee R, Reiss IK, van Weissenbruch MM. Clinical evaluation of propofol as sedative for endotracheal intubation in neonates. Acta paediatrica (Oslo, Norway : 1992). 2013;102:e487-92.</w:t>
            </w:r>
            <w:r w:rsidR="4F0F3AB9">
              <w:br/>
            </w:r>
            <w:r w:rsidR="4F0F3AB9">
              <w:br/>
            </w:r>
            <w:r w:rsidRPr="3A936897">
              <w:rPr>
                <w:rFonts w:asciiTheme="minorHAnsi" w:hAnsiTheme="minorHAnsi" w:eastAsiaTheme="minorEastAsia" w:cstheme="minorBidi"/>
                <w:sz w:val="16"/>
                <w:szCs w:val="16"/>
              </w:rPr>
              <w:t xml:space="preserve"> </w:t>
            </w:r>
          </w:p>
          <w:p w:rsidR="4F0F3AB9" w:rsidP="0083246D" w:rsidRDefault="20DC365D" w14:paraId="2EB7562E" w14:textId="74E2F23A">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Dekker J, Lopriore E, Van Zanten HA, Tan RNGB, Hooper SB, Te Pas AB. Sedation during minimal invasive surfactant therapy: A randomised controlled trial. Archives of Disease in Childhood: Fetal and Neonatal Edition. 2018;01.</w:t>
            </w:r>
            <w:r w:rsidR="4F0F3AB9">
              <w:br/>
            </w:r>
            <w:r w:rsidR="4F0F3AB9">
              <w:br/>
            </w:r>
            <w:r w:rsidRPr="3A936897">
              <w:rPr>
                <w:rFonts w:asciiTheme="minorHAnsi" w:hAnsiTheme="minorHAnsi" w:eastAsiaTheme="minorEastAsia" w:cstheme="minorBidi"/>
                <w:sz w:val="16"/>
                <w:szCs w:val="16"/>
              </w:rPr>
              <w:t xml:space="preserve"> </w:t>
            </w:r>
          </w:p>
          <w:p w:rsidR="4F0F3AB9" w:rsidP="0083246D" w:rsidRDefault="20DC365D" w14:paraId="38CEDA28" w14:textId="0E5B7B00">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Dekker J, Lopriore E, Rijken M, Rijntjes-Jacobs E, Smits-Wintjens V, Te Pas A. Sedation during Minimal Invasive Surfactant Therapy in Preterm Infants. Neonatology. 2016;109:308-13.</w:t>
            </w:r>
          </w:p>
          <w:p w:rsidR="0349FAD4" w:rsidP="0083246D" w:rsidRDefault="0349FAD4" w14:paraId="3D8FDD56" w14:textId="4F2AF055">
            <w:pPr>
              <w:pStyle w:val="ListParagraph"/>
              <w:numPr>
                <w:ilvl w:val="0"/>
                <w:numId w:val="3"/>
              </w:numPr>
              <w:rPr>
                <w:rFonts w:eastAsia="Calibri" w:cs="Calibri"/>
                <w:szCs w:val="24"/>
              </w:rPr>
            </w:pPr>
            <w:r>
              <w:br/>
            </w:r>
            <w:r w:rsidRPr="3A936897" w:rsidR="3A2C4DE0">
              <w:rPr>
                <w:rFonts w:asciiTheme="minorHAnsi" w:hAnsiTheme="minorHAnsi" w:eastAsiaTheme="minorEastAsia" w:cstheme="minorBidi"/>
                <w:sz w:val="16"/>
                <w:szCs w:val="16"/>
              </w:rPr>
              <w:t>Descamps CS, Chevallier M, Ego A, Pin I, Epiard C, Debillon T. Propofol for sedation during less invasive surfactant administration in preterm infants. Archives of Disease in Childhood: Fetal and Neonatal Edition. 2017;102:F455.</w:t>
            </w:r>
            <w:r>
              <w:br/>
            </w:r>
            <w:r>
              <w:br/>
            </w:r>
            <w:r w:rsidRPr="3A936897" w:rsidR="3A2C4DE0">
              <w:rPr>
                <w:rFonts w:asciiTheme="minorHAnsi" w:hAnsiTheme="minorHAnsi" w:eastAsiaTheme="minorEastAsia" w:cstheme="minorBidi"/>
                <w:sz w:val="16"/>
                <w:szCs w:val="16"/>
              </w:rPr>
              <w:t xml:space="preserve"> </w:t>
            </w:r>
          </w:p>
          <w:p w:rsidR="115D5054" w:rsidP="0083246D" w:rsidRDefault="3A2C4DE0" w14:paraId="6D4ABCE0" w14:textId="1C63B6CA">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Ulgey A, Gunes I, Bayram A, Aksu R, Bicer C, Ugur F, Karaca C, Boyaci A. Decreasing the need for mechanical ventilation after surgery for retinopathy of prematurity: sedoanalgesia vs. general anesthesia. Turkish journal of medical sciences. 2015;45:1292-9.</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04694461" w14:textId="2C52C08C">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lastRenderedPageBreak/>
              <w:t>Rigby-Jones AE, Sneyd JR. Propofol and children--what we know and what we do not know. Paediatr Anaesth. 2011;21:247-54.</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12D873AC" w14:textId="4FB2914C">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Allegaert K, de Hoon J, Verbesselt R, Naulaers G, Murat I. Maturational pharmacokinetics of single intravenous bolus of propofol. Paediatr Anaesth. 2007;17:1028-34.</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67C35994" w14:textId="1CF22557">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Allegaert K, Peeters MY, Verbesselt R, Tibboel D, Naulaers G, de Hoon JN, Knibbe CA. Inter-individual variability in propofol pharmacokinetics in preterm and term neonates. British journal of anaesthesia. 2007;99:864-70.</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6C03F57A" w14:textId="494343DD">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Allegaert K, Peeters MY, Knibbe C. Propofol in (pre)term neonates: consider the extensive interindividual variability in clearance within the neonatal population. Paediatr Anaesth. 2011;21:174-5.</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072BFF2B" w14:textId="14B72EE7">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Rigby-Jones AE, Nolan JA, Priston MJ, Wright PM, Sneyd JR, Wolf AR. Pharmacokinetics of propofol infusions in critically ill neonates, infants, and children in an intensive care unit. Anesthesiology. 2002;97:1393-400.</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2235103E" w14:textId="6AEA8D23">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Smits A, Thewissen L, Caicedo A, Naulaers G, Allegaert K. Propofol Dose-Finding to Reach Optimal Effect for (Semi-)Elective Intubation in Neonates. Journal of Pediatrics. 2016;179:54-60.e9.</w:t>
            </w:r>
            <w:r w:rsidRPr="3A936897" w:rsidR="7EB39753">
              <w:rPr>
                <w:rFonts w:asciiTheme="minorHAnsi" w:hAnsiTheme="minorHAnsi" w:eastAsiaTheme="minorEastAsia" w:cstheme="minorBidi"/>
                <w:sz w:val="16"/>
                <w:szCs w:val="16"/>
              </w:rPr>
              <w:t xml:space="preserve"> </w:t>
            </w:r>
          </w:p>
          <w:p w:rsidR="115D5054" w:rsidP="0083246D" w:rsidRDefault="3A2C4DE0" w14:paraId="701ABD84" w14:textId="37DD57AF">
            <w:pPr>
              <w:pStyle w:val="ListParagraph"/>
              <w:numPr>
                <w:ilvl w:val="0"/>
                <w:numId w:val="3"/>
              </w:numPr>
              <w:rPr>
                <w:sz w:val="16"/>
                <w:szCs w:val="16"/>
              </w:rPr>
            </w:pPr>
            <w:r w:rsidRPr="3A936897">
              <w:rPr>
                <w:rFonts w:asciiTheme="minorHAnsi" w:hAnsiTheme="minorHAnsi" w:eastAsiaTheme="minorEastAsia" w:cstheme="minorBidi"/>
                <w:sz w:val="16"/>
                <w:szCs w:val="16"/>
              </w:rPr>
              <w:t>Vardi A, Salem Y, Padeh S, Paret G, Barzilay Z. Is propofol safe for procedural sedation in</w:t>
            </w:r>
            <w:r w:rsidR="115D5054">
              <w:br/>
            </w:r>
            <w:r w:rsidRPr="3A936897">
              <w:rPr>
                <w:rFonts w:asciiTheme="minorHAnsi" w:hAnsiTheme="minorHAnsi" w:eastAsiaTheme="minorEastAsia" w:cstheme="minorBidi"/>
                <w:sz w:val="16"/>
                <w:szCs w:val="16"/>
              </w:rPr>
              <w:t>children? A prospective evaluation of propofol versus ketamine in pediatric critical care. Critical care medicine. 2002;30:1231‐6.</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3739C20E" w14:textId="0F543BA6">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Bray RJ. The propofol infusion syndrome in infants and children: can we predict the risk? Curr Opin Anaesthesiol. 2002;15:339-42.</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55B96EE1" w14:textId="737D9549">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Istaphanous GK, Loepke AW. General anesthetics and the developing brain. Curr Opin Anaesthesiol. 2009;22:368-73.</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7492299A" w14:textId="47325A62">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Zhang Y, Shan GJ, Zhang YX, Cao SJ, Zhu SN, Li HJ, Ma D, Wang DX. Propofol compared with sevoflurane general anaesthesia is associated with decreased delayed neurocognitive recovery in older adults. British journal of anaesthesia. 2018;121:595-604.</w:t>
            </w:r>
            <w:r w:rsidR="115D5054">
              <w:br/>
            </w:r>
            <w:r w:rsidR="115D5054">
              <w:br/>
            </w:r>
            <w:r w:rsidRPr="3A936897">
              <w:rPr>
                <w:rFonts w:asciiTheme="minorHAnsi" w:hAnsiTheme="minorHAnsi" w:eastAsiaTheme="minorEastAsia" w:cstheme="minorBidi"/>
                <w:sz w:val="16"/>
                <w:szCs w:val="16"/>
              </w:rPr>
              <w:t xml:space="preserve"> </w:t>
            </w:r>
          </w:p>
          <w:p w:rsidR="115D5054" w:rsidP="0083246D" w:rsidRDefault="3A2C4DE0" w14:paraId="7F94ECE7" w14:textId="771C6A25">
            <w:pPr>
              <w:pStyle w:val="ListParagraph"/>
              <w:numPr>
                <w:ilvl w:val="0"/>
                <w:numId w:val="3"/>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Australian Injectable Drugs Handbook 7th Edition - AIDH (Australian I.V. Medicines) Accessed 23/08/2018</w:t>
            </w:r>
          </w:p>
          <w:p w:rsidR="0349FAD4" w:rsidP="0349FAD4" w:rsidRDefault="0349FAD4" w14:paraId="54F04706" w14:textId="7F027DFC">
            <w:pPr>
              <w:rPr>
                <w:rFonts w:asciiTheme="minorHAnsi" w:hAnsiTheme="minorHAnsi" w:eastAsiaTheme="minorEastAsia" w:cstheme="minorBidi"/>
                <w:sz w:val="16"/>
                <w:szCs w:val="16"/>
              </w:rPr>
            </w:pPr>
          </w:p>
          <w:p w:rsidR="0349FAD4" w:rsidP="0349FAD4" w:rsidRDefault="0349FAD4" w14:paraId="6FF19E72" w14:textId="275F93ED">
            <w:pPr>
              <w:rPr>
                <w:rFonts w:asciiTheme="minorHAnsi" w:hAnsiTheme="minorHAnsi" w:eastAsiaTheme="minorEastAsia" w:cstheme="minorBidi"/>
                <w:sz w:val="16"/>
                <w:szCs w:val="16"/>
              </w:rPr>
            </w:pPr>
          </w:p>
        </w:tc>
      </w:tr>
    </w:tbl>
    <w:p w:rsidRPr="00E25790" w:rsidR="00770C88" w:rsidP="006F0321" w:rsidRDefault="00770C88" w14:paraId="17CC4D4E" w14:textId="133D90A0"/>
    <w:tbl>
      <w:tblPr>
        <w:tblW w:w="0" w:type="auto"/>
        <w:tblInd w:w="-34" w:type="dxa"/>
        <w:tblLook w:val="04A0" w:firstRow="1" w:lastRow="0" w:firstColumn="1" w:lastColumn="0" w:noHBand="0" w:noVBand="1"/>
      </w:tblPr>
      <w:tblGrid>
        <w:gridCol w:w="4108"/>
        <w:gridCol w:w="4817"/>
      </w:tblGrid>
      <w:tr w:rsidR="0020431B" w:rsidTr="48F57877" w14:paraId="1BC0AD80"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6ADEA01" w14:textId="04FD59BE">
            <w:pPr>
              <w:spacing w:line="252" w:lineRule="auto"/>
              <w:rPr>
                <w:b/>
                <w:bCs/>
              </w:rPr>
            </w:pPr>
            <w:r w:rsidRPr="0349FAD4">
              <w:rPr>
                <w:b/>
                <w:bCs/>
              </w:rPr>
              <w:t xml:space="preserve">Original version Date: </w:t>
            </w:r>
            <w:r w:rsidRPr="0349FAD4" w:rsidR="44D07D98">
              <w:rPr>
                <w:b/>
                <w:bCs/>
              </w:rPr>
              <w:t>4/12/2018</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38B31D8" w14:textId="4A34FB07">
            <w:pPr>
              <w:spacing w:line="252" w:lineRule="auto"/>
              <w:rPr>
                <w:b/>
                <w:bCs/>
              </w:rPr>
            </w:pPr>
            <w:r w:rsidRPr="48F57877">
              <w:rPr>
                <w:b/>
                <w:bCs/>
              </w:rPr>
              <w:t>Author: NMF Consensus Group</w:t>
            </w:r>
          </w:p>
        </w:tc>
      </w:tr>
      <w:tr w:rsidR="007A0A41" w:rsidTr="48F57877" w14:paraId="253025AA"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7F884B20" w14:textId="36EE3180">
            <w:pPr>
              <w:spacing w:line="252" w:lineRule="auto"/>
              <w:rPr>
                <w:b/>
                <w:bCs/>
              </w:rPr>
            </w:pPr>
            <w:r w:rsidRPr="0349FAD4">
              <w:rPr>
                <w:b/>
                <w:bCs/>
              </w:rPr>
              <w:t xml:space="preserve">Current Version number: </w:t>
            </w:r>
            <w:r w:rsidR="005228DC">
              <w:rPr>
                <w:b/>
                <w:bCs/>
              </w:rPr>
              <w:t>1</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A635711" w14:textId="32A47C76">
            <w:pPr>
              <w:spacing w:line="252" w:lineRule="auto"/>
              <w:rPr>
                <w:b/>
                <w:bCs/>
              </w:rPr>
            </w:pPr>
            <w:r w:rsidRPr="0349FAD4">
              <w:rPr>
                <w:b/>
                <w:bCs/>
              </w:rPr>
              <w:t xml:space="preserve">Current Version Date: </w:t>
            </w:r>
            <w:r w:rsidRPr="0349FAD4" w:rsidR="665CABC0">
              <w:rPr>
                <w:b/>
                <w:bCs/>
              </w:rPr>
              <w:t>13/12/2018</w:t>
            </w:r>
          </w:p>
        </w:tc>
      </w:tr>
      <w:tr w:rsidR="007A0A41" w:rsidTr="48F57877" w14:paraId="5D65BB4A"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38601566" w14:textId="1AE9783D">
            <w:pPr>
              <w:spacing w:line="252" w:lineRule="auto"/>
              <w:rPr>
                <w:b/>
                <w:bCs/>
              </w:rPr>
            </w:pPr>
            <w:r w:rsidRPr="0349FAD4">
              <w:rPr>
                <w:b/>
                <w:bCs/>
              </w:rPr>
              <w:t xml:space="preserve">Risk Rating: </w:t>
            </w:r>
            <w:r w:rsidR="005228DC">
              <w:rPr>
                <w:b/>
                <w:bCs/>
              </w:rPr>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DFFE658" w14:textId="3F32B264">
            <w:pPr>
              <w:spacing w:line="252" w:lineRule="auto"/>
              <w:rPr>
                <w:b/>
                <w:bCs/>
              </w:rPr>
            </w:pPr>
            <w:r w:rsidRPr="0349FAD4">
              <w:rPr>
                <w:b/>
                <w:bCs/>
              </w:rPr>
              <w:t xml:space="preserve">Due for Review: </w:t>
            </w:r>
            <w:r w:rsidRPr="0349FAD4" w:rsidR="5C70E672">
              <w:rPr>
                <w:b/>
                <w:bCs/>
              </w:rPr>
              <w:t>13/12/202</w:t>
            </w:r>
            <w:r w:rsidR="005228DC">
              <w:rPr>
                <w:b/>
                <w:bCs/>
              </w:rPr>
              <w:t>3</w:t>
            </w:r>
          </w:p>
        </w:tc>
      </w:tr>
      <w:tr w:rsidR="007A0A41" w:rsidTr="48F57877" w14:paraId="69EDD0DF"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62C7B39" w14:textId="6C50A3E5">
            <w:pPr>
              <w:spacing w:line="252" w:lineRule="auto"/>
            </w:pPr>
            <w:r w:rsidRPr="48F57877">
              <w:rPr>
                <w:b/>
                <w:bCs/>
              </w:rPr>
              <w:t xml:space="preserve">Approval by: </w:t>
            </w:r>
            <w:r w:rsidRPr="48F57877" w:rsidR="344AD171">
              <w:rPr>
                <w:b/>
                <w:bCs/>
              </w:rPr>
              <w:t>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686E76EE" w14:textId="74E0B350">
            <w:pPr>
              <w:spacing w:line="252" w:lineRule="auto"/>
            </w:pPr>
            <w:r w:rsidRPr="0349FAD4">
              <w:rPr>
                <w:b/>
                <w:bCs/>
              </w:rPr>
              <w:t>Approval Date:</w:t>
            </w:r>
          </w:p>
        </w:tc>
      </w:tr>
    </w:tbl>
    <w:p w:rsidR="00770C88" w:rsidP="0349FAD4" w:rsidRDefault="00770C88" w14:paraId="653ABF5A" w14:textId="63D5BB66"/>
    <w:p w:rsidR="008074AA" w:rsidP="0349FAD4" w:rsidRDefault="008074AA" w14:paraId="19832F45" w14:textId="58B91D2B"/>
    <w:p w:rsidR="008074AA" w:rsidP="0349FAD4" w:rsidRDefault="008074AA" w14:paraId="50A0CFD0" w14:textId="68142555"/>
    <w:p w:rsidRPr="00E25790" w:rsidR="008074AA" w:rsidP="0349FAD4" w:rsidRDefault="008074AA" w14:paraId="67E9144E" w14:textId="77777777"/>
    <w:tbl>
      <w:tblPr>
        <w:tblW w:w="0" w:type="auto"/>
        <w:tblLook w:val="0000" w:firstRow="0" w:lastRow="0" w:firstColumn="0" w:lastColumn="0" w:noHBand="0" w:noVBand="0"/>
      </w:tblPr>
      <w:tblGrid>
        <w:gridCol w:w="4132"/>
        <w:gridCol w:w="4871"/>
      </w:tblGrid>
      <w:tr w:rsidR="0349FAD4" w:rsidTr="00EF56A1" w14:paraId="5791A170" w14:textId="77777777">
        <w:trPr>
          <w:trHeight w:val="720"/>
        </w:trPr>
        <w:tc>
          <w:tcPr>
            <w:tcW w:w="9003" w:type="dxa"/>
            <w:gridSpan w:val="2"/>
            <w:tcBorders>
              <w:top w:val="double" w:color="auto" w:sz="6" w:space="0"/>
              <w:left w:val="double" w:color="auto" w:sz="6" w:space="0"/>
              <w:bottom w:val="double" w:color="auto" w:sz="6" w:space="0"/>
            </w:tcBorders>
            <w:shd w:val="clear" w:color="auto" w:fill="FFFF00"/>
          </w:tcPr>
          <w:p w:rsidR="71FFF7CC" w:rsidP="0349FAD4" w:rsidRDefault="71FFF7CC" w14:paraId="2D6477D8" w14:textId="4E3E48BE">
            <w:pPr>
              <w:pStyle w:val="Heading1"/>
            </w:pPr>
            <w:bookmarkStart w:name="_Toc75340033" w:id="506"/>
            <w:r>
              <w:lastRenderedPageBreak/>
              <w:t>Propranolol</w:t>
            </w:r>
            <w:bookmarkEnd w:id="506"/>
            <w:r>
              <w:fldChar w:fldCharType="begin"/>
            </w:r>
            <w:r>
              <w:instrText>tc "Omeprazole" \l 0</w:instrText>
            </w:r>
            <w:r>
              <w:fldChar w:fldCharType="end"/>
            </w:r>
          </w:p>
        </w:tc>
      </w:tr>
      <w:tr w:rsidR="0349FAD4" w:rsidTr="00EF56A1" w14:paraId="76D503FC" w14:textId="77777777">
        <w:trPr>
          <w:trHeight w:val="480"/>
        </w:trPr>
        <w:tc>
          <w:tcPr>
            <w:tcW w:w="4132" w:type="dxa"/>
            <w:tcBorders>
              <w:top w:val="double" w:color="auto" w:sz="6" w:space="0"/>
              <w:left w:val="double" w:color="auto" w:sz="6" w:space="0"/>
              <w:bottom w:val="double" w:color="auto" w:sz="6" w:space="0"/>
              <w:right w:val="single" w:color="auto" w:sz="6" w:space="0"/>
            </w:tcBorders>
            <w:shd w:val="clear" w:color="auto" w:fill="FFFF00"/>
          </w:tcPr>
          <w:p w:rsidR="0349FAD4" w:rsidRDefault="0349FAD4" w14:paraId="4C74BA58" w14:textId="54C9294D">
            <w:r>
              <w:t>Revision Date :</w:t>
            </w:r>
            <w:r w:rsidR="005228DC">
              <w:t xml:space="preserve"> 15-4-2019</w:t>
            </w:r>
          </w:p>
        </w:tc>
        <w:tc>
          <w:tcPr>
            <w:tcW w:w="4871" w:type="dxa"/>
            <w:tcBorders>
              <w:top w:val="double" w:color="auto" w:sz="6" w:space="0"/>
              <w:left w:val="single" w:color="auto" w:sz="6" w:space="0"/>
              <w:bottom w:val="double" w:color="auto" w:sz="6" w:space="0"/>
              <w:right w:val="double" w:color="auto" w:sz="6" w:space="0"/>
            </w:tcBorders>
            <w:shd w:val="clear" w:color="auto" w:fill="FFFF00"/>
          </w:tcPr>
          <w:p w:rsidR="0349FAD4" w:rsidRDefault="0349FAD4" w14:paraId="671845F3" w14:textId="6906F5AA">
            <w:r>
              <w:t>Approved: TC, KOH</w:t>
            </w:r>
          </w:p>
        </w:tc>
      </w:tr>
    </w:tbl>
    <w:p w:rsidRPr="00E25790" w:rsidR="00115F48" w:rsidP="006F0321" w:rsidRDefault="00115F48" w14:paraId="00D5093A" w14:textId="77777777"/>
    <w:tbl>
      <w:tblPr>
        <w:tblW w:w="99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26"/>
        <w:gridCol w:w="7892"/>
      </w:tblGrid>
      <w:tr w:rsidR="0349FAD4" w:rsidTr="008074AA" w14:paraId="4DF5FFF1" w14:textId="77777777">
        <w:trPr>
          <w:trHeight w:val="363"/>
        </w:trPr>
        <w:tc>
          <w:tcPr>
            <w:tcW w:w="2026" w:type="dxa"/>
          </w:tcPr>
          <w:p w:rsidR="0349FAD4" w:rsidP="0349FAD4" w:rsidRDefault="0349FAD4" w14:paraId="58E9BFA6" w14:textId="77777777">
            <w:pPr>
              <w:pStyle w:val="BodyText"/>
              <w:tabs>
                <w:tab w:val="center" w:pos="1476"/>
              </w:tabs>
              <w:rPr>
                <w:rFonts w:cs="Arial" w:asciiTheme="minorHAnsi" w:hAnsiTheme="minorHAnsi"/>
                <w:b/>
                <w:bCs/>
                <w:sz w:val="20"/>
              </w:rPr>
            </w:pPr>
            <w:r w:rsidRPr="0349FAD4">
              <w:rPr>
                <w:rFonts w:cs="Arial" w:asciiTheme="minorHAnsi" w:hAnsiTheme="minorHAnsi"/>
                <w:b/>
                <w:bCs/>
                <w:sz w:val="20"/>
              </w:rPr>
              <w:t>Alert</w:t>
            </w:r>
          </w:p>
        </w:tc>
        <w:tc>
          <w:tcPr>
            <w:tcW w:w="7892" w:type="dxa"/>
          </w:tcPr>
          <w:p w:rsidR="40F176AC" w:rsidP="3A936897" w:rsidRDefault="49FBE5CA" w14:paraId="47438B9F" w14:textId="3A16F2ED">
            <w:pPr>
              <w:pStyle w:val="BodyText"/>
              <w:rPr>
                <w:rFonts w:cs="Arial" w:asciiTheme="minorHAnsi" w:hAnsiTheme="minorHAnsi"/>
                <w:b/>
                <w:bCs/>
                <w:sz w:val="20"/>
              </w:rPr>
            </w:pPr>
            <w:r w:rsidRPr="3A936897">
              <w:rPr>
                <w:rFonts w:cs="Arial" w:asciiTheme="minorHAnsi" w:hAnsiTheme="minorHAnsi"/>
                <w:b/>
                <w:bCs/>
                <w:sz w:val="20"/>
              </w:rPr>
              <w:t>For dosing on infantile haemangiomas – please refer to “Propranolol for Infantile</w:t>
            </w:r>
            <w:r w:rsidRPr="3A936897" w:rsidR="14F4F7AA">
              <w:rPr>
                <w:rFonts w:cs="Arial" w:asciiTheme="minorHAnsi" w:hAnsiTheme="minorHAnsi"/>
                <w:b/>
                <w:bCs/>
                <w:sz w:val="20"/>
              </w:rPr>
              <w:t xml:space="preserve"> </w:t>
            </w:r>
            <w:r w:rsidRPr="3A936897">
              <w:rPr>
                <w:rFonts w:cs="Arial" w:asciiTheme="minorHAnsi" w:hAnsiTheme="minorHAnsi"/>
                <w:b/>
                <w:bCs/>
                <w:sz w:val="20"/>
              </w:rPr>
              <w:t xml:space="preserve">Haemangioma” formulary.  </w:t>
            </w:r>
          </w:p>
          <w:p w:rsidR="40F176AC" w:rsidP="0349FAD4" w:rsidRDefault="40F176AC" w14:paraId="508A1107" w14:textId="14940937">
            <w:pPr>
              <w:pStyle w:val="BodyText"/>
              <w:rPr>
                <w:rFonts w:cs="Arial" w:asciiTheme="minorHAnsi" w:hAnsiTheme="minorHAnsi"/>
                <w:sz w:val="20"/>
              </w:rPr>
            </w:pPr>
            <w:r w:rsidRPr="0349FAD4">
              <w:rPr>
                <w:rFonts w:cs="Arial" w:asciiTheme="minorHAnsi" w:hAnsiTheme="minorHAnsi"/>
                <w:sz w:val="20"/>
              </w:rPr>
              <w:t xml:space="preserve">For infants with comorbidities that are likely to lead to hypoglycaemia (e.g. </w:t>
            </w:r>
          </w:p>
          <w:p w:rsidR="40F176AC" w:rsidP="0349FAD4" w:rsidRDefault="40F176AC" w14:paraId="53C43956" w14:textId="37778896">
            <w:pPr>
              <w:pStyle w:val="BodyText"/>
            </w:pPr>
            <w:r w:rsidRPr="0349FAD4">
              <w:rPr>
                <w:rFonts w:cs="Arial" w:asciiTheme="minorHAnsi" w:hAnsiTheme="minorHAnsi"/>
                <w:sz w:val="20"/>
              </w:rPr>
              <w:t xml:space="preserve">hyperinsulinism/preterm/low weight) – dose schedule needs to be cautious. </w:t>
            </w:r>
          </w:p>
          <w:p w:rsidR="40F176AC" w:rsidP="0349FAD4" w:rsidRDefault="40F176AC" w14:paraId="35B2A1DB" w14:textId="5135E5A8">
            <w:pPr>
              <w:pStyle w:val="BodyText"/>
              <w:rPr>
                <w:rFonts w:cs="Arial" w:asciiTheme="minorHAnsi" w:hAnsiTheme="minorHAnsi"/>
                <w:sz w:val="20"/>
              </w:rPr>
            </w:pPr>
            <w:r w:rsidRPr="0349FAD4">
              <w:rPr>
                <w:rFonts w:cs="Arial" w:asciiTheme="minorHAnsi" w:hAnsiTheme="minorHAnsi"/>
                <w:sz w:val="20"/>
              </w:rPr>
              <w:t>Ensure infant has adequate enteral or parenteral nutrient intake.</w:t>
            </w:r>
          </w:p>
          <w:p w:rsidR="0349FAD4" w:rsidP="0349FAD4" w:rsidRDefault="0349FAD4" w14:paraId="2A0F4F6F" w14:textId="1C50985A">
            <w:pPr>
              <w:pStyle w:val="BodyText"/>
              <w:rPr>
                <w:rFonts w:cs="Arial" w:asciiTheme="minorHAnsi" w:hAnsiTheme="minorHAnsi"/>
                <w:sz w:val="20"/>
              </w:rPr>
            </w:pPr>
          </w:p>
        </w:tc>
      </w:tr>
      <w:tr w:rsidR="0349FAD4" w:rsidTr="008074AA" w14:paraId="18C71DCB" w14:textId="77777777">
        <w:trPr>
          <w:trHeight w:val="553"/>
        </w:trPr>
        <w:tc>
          <w:tcPr>
            <w:tcW w:w="2026" w:type="dxa"/>
          </w:tcPr>
          <w:p w:rsidR="0349FAD4" w:rsidP="0349FAD4" w:rsidRDefault="0349FAD4" w14:paraId="12FA6855" w14:textId="77777777">
            <w:pPr>
              <w:pStyle w:val="BodyText"/>
              <w:rPr>
                <w:rFonts w:cs="Arial" w:asciiTheme="minorHAnsi" w:hAnsiTheme="minorHAnsi"/>
                <w:b/>
                <w:bCs/>
                <w:sz w:val="20"/>
              </w:rPr>
            </w:pPr>
            <w:r w:rsidRPr="0349FAD4">
              <w:rPr>
                <w:rFonts w:cs="Arial" w:asciiTheme="minorHAnsi" w:hAnsiTheme="minorHAnsi"/>
                <w:b/>
                <w:bCs/>
                <w:sz w:val="20"/>
              </w:rPr>
              <w:t xml:space="preserve">Indication                         </w:t>
            </w:r>
          </w:p>
          <w:p w:rsidR="0349FAD4" w:rsidP="0349FAD4" w:rsidRDefault="0349FAD4" w14:paraId="11DEA458" w14:textId="77777777">
            <w:pPr>
              <w:pStyle w:val="BodyText"/>
              <w:rPr>
                <w:rFonts w:cs="Arial" w:asciiTheme="minorHAnsi" w:hAnsiTheme="minorHAnsi"/>
                <w:sz w:val="20"/>
              </w:rPr>
            </w:pPr>
          </w:p>
        </w:tc>
        <w:tc>
          <w:tcPr>
            <w:tcW w:w="7892" w:type="dxa"/>
          </w:tcPr>
          <w:p w:rsidR="6EDAF985" w:rsidP="0349FAD4" w:rsidRDefault="6EDAF985" w14:paraId="13E583D5" w14:textId="06C1A038">
            <w:pPr>
              <w:rPr>
                <w:rFonts w:asciiTheme="minorHAnsi" w:hAnsiTheme="minorHAnsi"/>
                <w:sz w:val="20"/>
              </w:rPr>
            </w:pPr>
            <w:r w:rsidRPr="0349FAD4">
              <w:rPr>
                <w:rFonts w:asciiTheme="minorHAnsi" w:hAnsiTheme="minorHAnsi"/>
                <w:sz w:val="20"/>
              </w:rPr>
              <w:t xml:space="preserve">Supraventricular and ventricular tachycardia </w:t>
            </w:r>
          </w:p>
          <w:p w:rsidR="6EDAF985" w:rsidP="0349FAD4" w:rsidRDefault="6EDAF985" w14:paraId="62F6DA08" w14:textId="1C612BE0">
            <w:r w:rsidRPr="0349FAD4">
              <w:rPr>
                <w:rFonts w:asciiTheme="minorHAnsi" w:hAnsiTheme="minorHAnsi"/>
                <w:sz w:val="20"/>
              </w:rPr>
              <w:t>Prevention of hypercyanotic episodes in unrepaired Tetralogy of Fallot</w:t>
            </w:r>
          </w:p>
          <w:p w:rsidR="6EDAF985" w:rsidP="0349FAD4" w:rsidRDefault="6EDAF985" w14:paraId="19672F40" w14:textId="06524FA7">
            <w:r w:rsidRPr="0349FAD4">
              <w:rPr>
                <w:rFonts w:asciiTheme="minorHAnsi" w:hAnsiTheme="minorHAnsi"/>
                <w:sz w:val="20"/>
              </w:rPr>
              <w:t>Hypertrophic cardiomyopathy</w:t>
            </w:r>
          </w:p>
          <w:p w:rsidR="6EDAF985" w:rsidP="0349FAD4" w:rsidRDefault="6EDAF985" w14:paraId="4B408B3F" w14:textId="589EBC5A">
            <w:r w:rsidRPr="0349FAD4">
              <w:rPr>
                <w:rFonts w:asciiTheme="minorHAnsi" w:hAnsiTheme="minorHAnsi"/>
                <w:sz w:val="20"/>
              </w:rPr>
              <w:t xml:space="preserve">Systemic hypertension </w:t>
            </w:r>
          </w:p>
          <w:p w:rsidR="6EDAF985" w:rsidP="0349FAD4" w:rsidRDefault="6EDAF985" w14:paraId="7F1C88FF" w14:textId="1899FF41">
            <w:r w:rsidRPr="0349FAD4">
              <w:rPr>
                <w:rFonts w:asciiTheme="minorHAnsi" w:hAnsiTheme="minorHAnsi"/>
                <w:sz w:val="20"/>
              </w:rPr>
              <w:t>Thyrotoxicosis – treatment of sympathetic overactivity</w:t>
            </w:r>
          </w:p>
          <w:p w:rsidR="6EDAF985" w:rsidP="0349FAD4" w:rsidRDefault="6EDAF985" w14:paraId="551F4CC2" w14:textId="311097B9">
            <w:r w:rsidRPr="0349FAD4">
              <w:rPr>
                <w:rFonts w:asciiTheme="minorHAnsi" w:hAnsiTheme="minorHAnsi"/>
                <w:sz w:val="20"/>
              </w:rPr>
              <w:t>Phaeochromocytoma (with an alpha-blocker)</w:t>
            </w:r>
          </w:p>
          <w:p w:rsidR="6EDAF985" w:rsidP="0349FAD4" w:rsidRDefault="6EDAF985" w14:paraId="73E87231" w14:textId="3A51C94D">
            <w:r w:rsidRPr="0349FAD4">
              <w:rPr>
                <w:rFonts w:asciiTheme="minorHAnsi" w:hAnsiTheme="minorHAnsi"/>
                <w:sz w:val="20"/>
              </w:rPr>
              <w:t>Retinopathy of prematurity (not recommended)</w:t>
            </w:r>
          </w:p>
          <w:p w:rsidR="6EDAF985" w:rsidP="0349FAD4" w:rsidRDefault="6EDAF985" w14:paraId="5C4586C1" w14:textId="52BE3C4E">
            <w:r w:rsidRPr="0349FAD4">
              <w:rPr>
                <w:rFonts w:asciiTheme="minorHAnsi" w:hAnsiTheme="minorHAnsi"/>
                <w:sz w:val="20"/>
              </w:rPr>
              <w:t>Infantile haemangioma – Please refer to “Propranolol for Infantile Haemangioma”</w:t>
            </w:r>
          </w:p>
          <w:p w:rsidR="6EDAF985" w:rsidP="0349FAD4" w:rsidRDefault="6EDAF985" w14:paraId="10B44BCF" w14:textId="6463CACB">
            <w:r w:rsidRPr="0349FAD4">
              <w:rPr>
                <w:rFonts w:asciiTheme="minorHAnsi" w:hAnsiTheme="minorHAnsi"/>
                <w:sz w:val="20"/>
              </w:rPr>
              <w:t>formulary.</w:t>
            </w:r>
          </w:p>
        </w:tc>
      </w:tr>
      <w:tr w:rsidR="0349FAD4" w:rsidTr="008074AA" w14:paraId="0444B8EF" w14:textId="77777777">
        <w:trPr>
          <w:trHeight w:val="261"/>
        </w:trPr>
        <w:tc>
          <w:tcPr>
            <w:tcW w:w="2026" w:type="dxa"/>
          </w:tcPr>
          <w:p w:rsidR="0349FAD4" w:rsidP="0349FAD4" w:rsidRDefault="0349FAD4" w14:paraId="2B83C732" w14:textId="77777777">
            <w:pPr>
              <w:pStyle w:val="BodyText"/>
              <w:rPr>
                <w:rFonts w:cs="Arial" w:asciiTheme="minorHAnsi" w:hAnsiTheme="minorHAnsi"/>
                <w:b/>
                <w:bCs/>
                <w:sz w:val="20"/>
              </w:rPr>
            </w:pPr>
            <w:r w:rsidRPr="0349FAD4">
              <w:rPr>
                <w:rFonts w:cs="Arial" w:asciiTheme="minorHAnsi" w:hAnsiTheme="minorHAnsi"/>
                <w:b/>
                <w:bCs/>
                <w:sz w:val="20"/>
              </w:rPr>
              <w:t>Action</w:t>
            </w:r>
          </w:p>
        </w:tc>
        <w:tc>
          <w:tcPr>
            <w:tcW w:w="7892" w:type="dxa"/>
          </w:tcPr>
          <w:p w:rsidR="1AE5B725" w:rsidP="3A936897" w:rsidRDefault="4535AFF7" w14:paraId="7A5EF075" w14:textId="4AB397E3">
            <w:pPr>
              <w:rPr>
                <w:rFonts w:cs="Arial" w:asciiTheme="minorHAnsi" w:hAnsiTheme="minorHAnsi"/>
                <w:sz w:val="20"/>
              </w:rPr>
            </w:pPr>
            <w:r w:rsidRPr="3A936897">
              <w:rPr>
                <w:rFonts w:cs="Arial" w:asciiTheme="minorHAnsi" w:hAnsiTheme="minorHAnsi"/>
                <w:sz w:val="20"/>
              </w:rPr>
              <w:t>Beta-blockers competitively block beta-adrenoceptors in heart, peripheral vasculature,</w:t>
            </w:r>
            <w:r w:rsidRPr="3A936897" w:rsidR="13FAAC26">
              <w:rPr>
                <w:rFonts w:cs="Arial" w:asciiTheme="minorHAnsi" w:hAnsiTheme="minorHAnsi"/>
                <w:sz w:val="20"/>
              </w:rPr>
              <w:t xml:space="preserve"> </w:t>
            </w:r>
            <w:r w:rsidRPr="3A936897">
              <w:rPr>
                <w:rFonts w:cs="Arial" w:asciiTheme="minorHAnsi" w:hAnsiTheme="minorHAnsi"/>
                <w:sz w:val="20"/>
              </w:rPr>
              <w:t>bronchi, pancreas, uterus, kidney, brain and liver. Beta-blockers reduce heart rate, blood</w:t>
            </w:r>
            <w:r w:rsidRPr="3A936897" w:rsidR="019B7C66">
              <w:rPr>
                <w:rFonts w:cs="Arial" w:asciiTheme="minorHAnsi" w:hAnsiTheme="minorHAnsi"/>
                <w:sz w:val="20"/>
              </w:rPr>
              <w:t xml:space="preserve"> </w:t>
            </w:r>
            <w:r w:rsidRPr="3A936897">
              <w:rPr>
                <w:rFonts w:cs="Arial" w:asciiTheme="minorHAnsi" w:hAnsiTheme="minorHAnsi"/>
                <w:sz w:val="20"/>
              </w:rPr>
              <w:t>pressure (BP) and cardiac contractility; also depress sinus node rate and slow conduction</w:t>
            </w:r>
            <w:r w:rsidRPr="3A936897" w:rsidR="617724D8">
              <w:rPr>
                <w:rFonts w:cs="Arial" w:asciiTheme="minorHAnsi" w:hAnsiTheme="minorHAnsi"/>
                <w:sz w:val="20"/>
              </w:rPr>
              <w:t xml:space="preserve"> </w:t>
            </w:r>
            <w:r w:rsidRPr="3A936897">
              <w:rPr>
                <w:rFonts w:cs="Arial" w:asciiTheme="minorHAnsi" w:hAnsiTheme="minorHAnsi"/>
                <w:sz w:val="20"/>
              </w:rPr>
              <w:t>through the atrioventricular (AV) node and prolong atrial refractory periods.</w:t>
            </w:r>
          </w:p>
          <w:p w:rsidR="0349FAD4" w:rsidP="0349FAD4" w:rsidRDefault="0349FAD4" w14:paraId="59AD4ECC" w14:textId="44D132D0">
            <w:pPr>
              <w:rPr>
                <w:rFonts w:cs="Arial" w:asciiTheme="minorHAnsi" w:hAnsiTheme="minorHAnsi"/>
                <w:sz w:val="20"/>
              </w:rPr>
            </w:pPr>
          </w:p>
        </w:tc>
      </w:tr>
      <w:tr w:rsidR="0349FAD4" w:rsidTr="008074AA" w14:paraId="6B6DAE6B" w14:textId="77777777">
        <w:trPr>
          <w:trHeight w:val="266"/>
        </w:trPr>
        <w:tc>
          <w:tcPr>
            <w:tcW w:w="2026" w:type="dxa"/>
          </w:tcPr>
          <w:p w:rsidR="0349FAD4" w:rsidP="0349FAD4" w:rsidRDefault="0349FAD4" w14:paraId="4F024E84" w14:textId="77777777">
            <w:pPr>
              <w:pStyle w:val="BodyText"/>
              <w:rPr>
                <w:rFonts w:cs="Arial" w:asciiTheme="minorHAnsi" w:hAnsiTheme="minorHAnsi"/>
                <w:sz w:val="20"/>
              </w:rPr>
            </w:pPr>
            <w:r w:rsidRPr="0349FAD4">
              <w:rPr>
                <w:rFonts w:cs="Arial" w:asciiTheme="minorHAnsi" w:hAnsiTheme="minorHAnsi"/>
                <w:b/>
                <w:bCs/>
                <w:sz w:val="20"/>
              </w:rPr>
              <w:t xml:space="preserve">Drug Type                                   </w:t>
            </w:r>
          </w:p>
        </w:tc>
        <w:tc>
          <w:tcPr>
            <w:tcW w:w="7892" w:type="dxa"/>
          </w:tcPr>
          <w:p w:rsidR="0CD25150" w:rsidP="0349FAD4" w:rsidRDefault="0CD25150" w14:paraId="67CAC96D" w14:textId="0A03E003">
            <w:pPr>
              <w:pStyle w:val="BodyText"/>
              <w:rPr>
                <w:rFonts w:cs="Arial" w:asciiTheme="minorHAnsi" w:hAnsiTheme="minorHAnsi"/>
                <w:sz w:val="20"/>
              </w:rPr>
            </w:pPr>
            <w:r w:rsidRPr="0349FAD4">
              <w:rPr>
                <w:rFonts w:cs="Arial" w:asciiTheme="minorHAnsi" w:hAnsiTheme="minorHAnsi"/>
                <w:sz w:val="20"/>
              </w:rPr>
              <w:t>Beta-adrenergic blocker</w:t>
            </w:r>
          </w:p>
          <w:p w:rsidR="0349FAD4" w:rsidP="0349FAD4" w:rsidRDefault="0349FAD4" w14:paraId="516EFFA5" w14:textId="367E53B7">
            <w:pPr>
              <w:pStyle w:val="BodyText"/>
              <w:rPr>
                <w:rFonts w:cs="Arial" w:asciiTheme="minorHAnsi" w:hAnsiTheme="minorHAnsi"/>
                <w:sz w:val="20"/>
              </w:rPr>
            </w:pPr>
          </w:p>
        </w:tc>
      </w:tr>
      <w:tr w:rsidR="0349FAD4" w:rsidTr="008074AA" w14:paraId="11B7090C" w14:textId="77777777">
        <w:trPr>
          <w:trHeight w:val="234"/>
        </w:trPr>
        <w:tc>
          <w:tcPr>
            <w:tcW w:w="2026" w:type="dxa"/>
          </w:tcPr>
          <w:p w:rsidR="0349FAD4" w:rsidP="0349FAD4" w:rsidRDefault="0349FAD4" w14:paraId="446E879A" w14:textId="77777777">
            <w:pPr>
              <w:pStyle w:val="BodyText"/>
              <w:rPr>
                <w:rFonts w:cs="Arial" w:asciiTheme="minorHAnsi" w:hAnsiTheme="minorHAnsi"/>
                <w:b/>
                <w:bCs/>
                <w:sz w:val="20"/>
              </w:rPr>
            </w:pPr>
            <w:r w:rsidRPr="0349FAD4">
              <w:rPr>
                <w:rFonts w:cs="Arial" w:asciiTheme="minorHAnsi" w:hAnsiTheme="minorHAnsi"/>
                <w:b/>
                <w:bCs/>
                <w:sz w:val="20"/>
              </w:rPr>
              <w:t xml:space="preserve">Trade Name                  </w:t>
            </w:r>
          </w:p>
        </w:tc>
        <w:tc>
          <w:tcPr>
            <w:tcW w:w="7892" w:type="dxa"/>
          </w:tcPr>
          <w:p w:rsidR="2C8FECF0" w:rsidP="0349FAD4" w:rsidRDefault="2C8FECF0" w14:paraId="23E8C6B1" w14:textId="051FD852">
            <w:pPr>
              <w:pStyle w:val="BodyText"/>
              <w:rPr>
                <w:rFonts w:cs="Arial" w:asciiTheme="minorHAnsi" w:hAnsiTheme="minorHAnsi"/>
                <w:sz w:val="20"/>
              </w:rPr>
            </w:pPr>
            <w:r w:rsidRPr="0349FAD4">
              <w:rPr>
                <w:rFonts w:cs="Arial" w:asciiTheme="minorHAnsi" w:hAnsiTheme="minorHAnsi"/>
                <w:sz w:val="20"/>
              </w:rPr>
              <w:t>Deralin, Inderal tablets, Hemangiol, Propranolol Auspman</w:t>
            </w:r>
          </w:p>
        </w:tc>
      </w:tr>
      <w:tr w:rsidR="0349FAD4" w:rsidTr="008074AA" w14:paraId="01EBFD60" w14:textId="77777777">
        <w:trPr>
          <w:trHeight w:val="267"/>
        </w:trPr>
        <w:tc>
          <w:tcPr>
            <w:tcW w:w="2026" w:type="dxa"/>
          </w:tcPr>
          <w:p w:rsidR="0349FAD4" w:rsidP="0349FAD4" w:rsidRDefault="0349FAD4" w14:paraId="21DDC56F" w14:textId="77777777">
            <w:pPr>
              <w:pStyle w:val="BodyText"/>
              <w:rPr>
                <w:rFonts w:cs="Arial" w:asciiTheme="minorHAnsi" w:hAnsiTheme="minorHAnsi"/>
                <w:b/>
                <w:bCs/>
                <w:sz w:val="20"/>
              </w:rPr>
            </w:pPr>
            <w:r w:rsidRPr="0349FAD4">
              <w:rPr>
                <w:rFonts w:cs="Arial" w:asciiTheme="minorHAnsi" w:hAnsiTheme="minorHAnsi"/>
                <w:b/>
                <w:bCs/>
                <w:sz w:val="20"/>
              </w:rPr>
              <w:t xml:space="preserve">Presentation </w:t>
            </w:r>
          </w:p>
        </w:tc>
        <w:tc>
          <w:tcPr>
            <w:tcW w:w="7892" w:type="dxa"/>
          </w:tcPr>
          <w:p w:rsidR="074A5BAD" w:rsidP="0349FAD4" w:rsidRDefault="074A5BAD" w14:paraId="299151F0" w14:textId="5E6786F0">
            <w:pPr>
              <w:pStyle w:val="BodyText"/>
              <w:ind w:left="34"/>
              <w:rPr>
                <w:rFonts w:cs="Arial" w:asciiTheme="minorHAnsi" w:hAnsiTheme="minorHAnsi"/>
                <w:sz w:val="20"/>
              </w:rPr>
            </w:pPr>
            <w:r w:rsidRPr="0349FAD4">
              <w:rPr>
                <w:rFonts w:cs="Arial" w:asciiTheme="minorHAnsi" w:hAnsiTheme="minorHAnsi"/>
                <w:sz w:val="20"/>
              </w:rPr>
              <w:t xml:space="preserve">Deralin, Inderal, tablet 10 mg, 40 mg, </w:t>
            </w:r>
          </w:p>
          <w:p w:rsidR="074A5BAD" w:rsidP="0349FAD4" w:rsidRDefault="074A5BAD" w14:paraId="6E5496EC" w14:textId="2B0B62C8">
            <w:pPr>
              <w:pStyle w:val="BodyText"/>
              <w:ind w:left="34"/>
            </w:pPr>
            <w:r w:rsidRPr="0349FAD4">
              <w:rPr>
                <w:rFonts w:cs="Arial" w:asciiTheme="minorHAnsi" w:hAnsiTheme="minorHAnsi"/>
                <w:sz w:val="20"/>
              </w:rPr>
              <w:t>Deralin tablet 160 mg</w:t>
            </w:r>
          </w:p>
          <w:p w:rsidR="074A5BAD" w:rsidP="0349FAD4" w:rsidRDefault="074A5BAD" w14:paraId="35F88DA0" w14:textId="3FF085C6">
            <w:pPr>
              <w:pStyle w:val="BodyText"/>
              <w:ind w:left="34"/>
            </w:pPr>
            <w:r w:rsidRPr="0349FAD4">
              <w:rPr>
                <w:rFonts w:cs="Arial" w:asciiTheme="minorHAnsi" w:hAnsiTheme="minorHAnsi"/>
                <w:sz w:val="20"/>
              </w:rPr>
              <w:t>Propranolol (Auspman) 2 mg/mL Oral Solution</w:t>
            </w:r>
          </w:p>
          <w:p w:rsidR="074A5BAD" w:rsidP="0349FAD4" w:rsidRDefault="074A5BAD" w14:paraId="13D68B8B" w14:textId="6C164B18">
            <w:pPr>
              <w:pStyle w:val="BodyText"/>
              <w:ind w:left="34"/>
            </w:pPr>
            <w:r w:rsidRPr="0349FAD4">
              <w:rPr>
                <w:rFonts w:cs="Arial" w:asciiTheme="minorHAnsi" w:hAnsiTheme="minorHAnsi"/>
                <w:sz w:val="20"/>
              </w:rPr>
              <w:t>Hemangiol 3.75 mg/mL Oral Solution</w:t>
            </w:r>
          </w:p>
          <w:p w:rsidR="074A5BAD" w:rsidP="0349FAD4" w:rsidRDefault="074A5BAD" w14:paraId="206DA748" w14:textId="279F01A6">
            <w:pPr>
              <w:pStyle w:val="BodyText"/>
              <w:ind w:left="34"/>
            </w:pPr>
            <w:r w:rsidRPr="0349FAD4">
              <w:rPr>
                <w:rFonts w:cs="Arial" w:asciiTheme="minorHAnsi" w:hAnsiTheme="minorHAnsi"/>
                <w:sz w:val="20"/>
              </w:rPr>
              <w:t>Propranolol suspension (formulas for multiple concentrations exist) compounded by</w:t>
            </w:r>
          </w:p>
          <w:p w:rsidR="074A5BAD" w:rsidP="0349FAD4" w:rsidRDefault="074A5BAD" w14:paraId="01633595" w14:textId="3C80A08A">
            <w:pPr>
              <w:pStyle w:val="BodyText"/>
              <w:ind w:left="34"/>
            </w:pPr>
            <w:r w:rsidRPr="0349FAD4">
              <w:rPr>
                <w:rFonts w:cs="Arial" w:asciiTheme="minorHAnsi" w:hAnsiTheme="minorHAnsi"/>
                <w:sz w:val="20"/>
              </w:rPr>
              <w:t>Pharmacy Department</w:t>
            </w:r>
          </w:p>
        </w:tc>
      </w:tr>
      <w:tr w:rsidR="0349FAD4" w:rsidTr="008074AA" w14:paraId="5EB82AB0" w14:textId="77777777">
        <w:trPr>
          <w:trHeight w:val="273"/>
        </w:trPr>
        <w:tc>
          <w:tcPr>
            <w:tcW w:w="2026" w:type="dxa"/>
          </w:tcPr>
          <w:p w:rsidR="0349FAD4" w:rsidP="0349FAD4" w:rsidRDefault="0349FAD4" w14:paraId="313FF28C" w14:textId="77777777">
            <w:pPr>
              <w:pStyle w:val="BodyText"/>
              <w:rPr>
                <w:rFonts w:cs="Arial" w:asciiTheme="minorHAnsi" w:hAnsiTheme="minorHAnsi"/>
                <w:b/>
                <w:bCs/>
                <w:sz w:val="20"/>
              </w:rPr>
            </w:pPr>
            <w:r w:rsidRPr="0349FAD4">
              <w:rPr>
                <w:rFonts w:cs="Arial" w:asciiTheme="minorHAnsi" w:hAnsiTheme="minorHAnsi"/>
                <w:b/>
                <w:bCs/>
                <w:sz w:val="20"/>
              </w:rPr>
              <w:t xml:space="preserve">Dosage / Interval                           </w:t>
            </w:r>
          </w:p>
        </w:tc>
        <w:tc>
          <w:tcPr>
            <w:tcW w:w="7892" w:type="dxa"/>
          </w:tcPr>
          <w:p w:rsidR="14021EFD" w:rsidP="48F57877" w:rsidRDefault="1DAD0AD7" w14:paraId="20088AD1" w14:textId="6404BE92">
            <w:pPr>
              <w:pStyle w:val="BodyText"/>
              <w:rPr>
                <w:rFonts w:asciiTheme="minorHAnsi" w:hAnsiTheme="minorHAnsi"/>
                <w:sz w:val="20"/>
              </w:rPr>
            </w:pPr>
            <w:r w:rsidRPr="48F57877">
              <w:rPr>
                <w:rFonts w:asciiTheme="minorHAnsi" w:hAnsiTheme="minorHAnsi"/>
                <w:b/>
                <w:bCs/>
                <w:sz w:val="20"/>
              </w:rPr>
              <w:t xml:space="preserve">Cardiac conditions and hypertension: </w:t>
            </w:r>
            <w:r w:rsidRPr="48F57877">
              <w:rPr>
                <w:rFonts w:asciiTheme="minorHAnsi" w:hAnsiTheme="minorHAnsi"/>
                <w:sz w:val="20"/>
              </w:rPr>
              <w:t>Commence at 0.5–1 mg/kg/dose* 8 hourly and</w:t>
            </w:r>
            <w:r w:rsidRPr="48F57877" w:rsidR="4B82CF97">
              <w:rPr>
                <w:rFonts w:asciiTheme="minorHAnsi" w:hAnsiTheme="minorHAnsi"/>
                <w:sz w:val="20"/>
              </w:rPr>
              <w:t xml:space="preserve"> </w:t>
            </w:r>
            <w:r w:rsidRPr="48F57877">
              <w:rPr>
                <w:rFonts w:asciiTheme="minorHAnsi" w:hAnsiTheme="minorHAnsi"/>
                <w:sz w:val="20"/>
              </w:rPr>
              <w:t>increase to 1–2 mg/kg/dose 8 hourly once dose tolerated.</w:t>
            </w:r>
          </w:p>
          <w:p w:rsidR="14021EFD" w:rsidP="48F57877" w:rsidRDefault="1DAD0AD7" w14:paraId="645606EA" w14:textId="5B77B50A">
            <w:pPr>
              <w:pStyle w:val="BodyText"/>
              <w:ind w:left="720"/>
              <w:rPr>
                <w:rFonts w:asciiTheme="minorHAnsi" w:hAnsiTheme="minorHAnsi"/>
                <w:sz w:val="20"/>
              </w:rPr>
            </w:pPr>
            <w:r w:rsidRPr="48F57877">
              <w:rPr>
                <w:rFonts w:asciiTheme="minorHAnsi" w:hAnsiTheme="minorHAnsi"/>
                <w:sz w:val="20"/>
              </w:rPr>
              <w:t xml:space="preserve">*For infants with comorbidities that are likely to lead to hypoglycaemia (e.g. hyperinsulinism/preterm/low weight) – commence at 0.5 mg/kg/dose 8 hourly and increase to 1–2 mg/kg/dose 8 hourly as tolerated.  </w:t>
            </w:r>
          </w:p>
          <w:p w:rsidR="14021EFD" w:rsidP="48F57877" w:rsidRDefault="1DAD0AD7" w14:paraId="2529B93B" w14:textId="2F30796D">
            <w:pPr>
              <w:pStyle w:val="BodyText"/>
              <w:rPr>
                <w:rFonts w:asciiTheme="minorHAnsi" w:hAnsiTheme="minorHAnsi"/>
                <w:sz w:val="20"/>
              </w:rPr>
            </w:pPr>
            <w:r w:rsidRPr="48F57877">
              <w:rPr>
                <w:rFonts w:asciiTheme="minorHAnsi" w:hAnsiTheme="minorHAnsi"/>
                <w:b/>
                <w:bCs/>
                <w:sz w:val="20"/>
              </w:rPr>
              <w:t>Thyrotoxicosis:</w:t>
            </w:r>
            <w:r w:rsidRPr="48F57877">
              <w:rPr>
                <w:rFonts w:asciiTheme="minorHAnsi" w:hAnsiTheme="minorHAnsi"/>
                <w:sz w:val="20"/>
              </w:rPr>
              <w:t xml:space="preserve"> 1–2 mg/kg/day in 2–3 divided doses to be titrated to heart rate and in consultation with endocrinologist/cardiologist.  </w:t>
            </w:r>
          </w:p>
          <w:p w:rsidR="14021EFD" w:rsidP="0349FAD4" w:rsidRDefault="14021EFD" w14:paraId="6D7E34F5" w14:textId="50B59061">
            <w:pPr>
              <w:pStyle w:val="BodyText"/>
            </w:pPr>
            <w:r w:rsidRPr="0349FAD4">
              <w:rPr>
                <w:rFonts w:asciiTheme="minorHAnsi" w:hAnsiTheme="minorHAnsi"/>
                <w:b/>
                <w:bCs/>
                <w:sz w:val="20"/>
              </w:rPr>
              <w:t xml:space="preserve">Phaeochromocytoma: </w:t>
            </w:r>
            <w:r w:rsidRPr="0349FAD4">
              <w:rPr>
                <w:rFonts w:asciiTheme="minorHAnsi" w:hAnsiTheme="minorHAnsi"/>
                <w:sz w:val="20"/>
              </w:rPr>
              <w:t xml:space="preserve">See evidence review.  </w:t>
            </w:r>
          </w:p>
          <w:p w:rsidR="14021EFD" w:rsidP="0349FAD4" w:rsidRDefault="14021EFD" w14:paraId="3AAD56DA" w14:textId="62563F4E">
            <w:pPr>
              <w:pStyle w:val="BodyText"/>
            </w:pPr>
            <w:r w:rsidRPr="0349FAD4">
              <w:rPr>
                <w:rFonts w:asciiTheme="minorHAnsi" w:hAnsiTheme="minorHAnsi"/>
                <w:b/>
                <w:bCs/>
                <w:sz w:val="20"/>
              </w:rPr>
              <w:t xml:space="preserve">Retinopathy of prematurity: </w:t>
            </w:r>
            <w:r w:rsidRPr="0349FAD4">
              <w:rPr>
                <w:rFonts w:asciiTheme="minorHAnsi" w:hAnsiTheme="minorHAnsi"/>
                <w:sz w:val="20"/>
              </w:rPr>
              <w:t xml:space="preserve">See evidence review.  </w:t>
            </w:r>
          </w:p>
          <w:p w:rsidR="0349FAD4" w:rsidP="0349FAD4" w:rsidRDefault="0349FAD4" w14:paraId="12C87B55" w14:textId="0785055A">
            <w:pPr>
              <w:pStyle w:val="BodyText"/>
              <w:rPr>
                <w:rFonts w:asciiTheme="minorHAnsi" w:hAnsiTheme="minorHAnsi"/>
                <w:sz w:val="20"/>
              </w:rPr>
            </w:pPr>
          </w:p>
        </w:tc>
      </w:tr>
      <w:tr w:rsidR="0349FAD4" w:rsidTr="008074AA" w14:paraId="68A9BC7E" w14:textId="77777777">
        <w:trPr>
          <w:trHeight w:val="191"/>
        </w:trPr>
        <w:tc>
          <w:tcPr>
            <w:tcW w:w="2026" w:type="dxa"/>
          </w:tcPr>
          <w:p w:rsidR="0349FAD4" w:rsidP="0349FAD4" w:rsidRDefault="0349FAD4" w14:paraId="0A43494E" w14:textId="77777777">
            <w:pPr>
              <w:pStyle w:val="BodyText"/>
              <w:rPr>
                <w:rFonts w:asciiTheme="minorHAnsi" w:hAnsiTheme="minorHAnsi"/>
                <w:b/>
                <w:bCs/>
                <w:sz w:val="20"/>
              </w:rPr>
            </w:pPr>
            <w:r w:rsidRPr="0349FAD4">
              <w:rPr>
                <w:rFonts w:asciiTheme="minorHAnsi" w:hAnsiTheme="minorHAnsi"/>
                <w:b/>
                <w:bCs/>
                <w:sz w:val="20"/>
              </w:rPr>
              <w:t>Maximum daily dose</w:t>
            </w:r>
          </w:p>
        </w:tc>
        <w:tc>
          <w:tcPr>
            <w:tcW w:w="7892" w:type="dxa"/>
          </w:tcPr>
          <w:p w:rsidR="327DA8E9" w:rsidP="0349FAD4" w:rsidRDefault="327DA8E9" w14:paraId="419FAC73" w14:textId="07050388">
            <w:pPr>
              <w:pStyle w:val="BodyText"/>
              <w:rPr>
                <w:rFonts w:asciiTheme="minorHAnsi" w:hAnsiTheme="minorHAnsi"/>
                <w:sz w:val="20"/>
              </w:rPr>
            </w:pPr>
            <w:r w:rsidRPr="0349FAD4">
              <w:rPr>
                <w:rFonts w:asciiTheme="minorHAnsi" w:hAnsiTheme="minorHAnsi"/>
                <w:sz w:val="20"/>
              </w:rPr>
              <w:t>Hypertrophic cardiomyopathy – doses as high as 5 mg/kg/dose 8 hourly may be used.</w:t>
            </w:r>
          </w:p>
          <w:p w:rsidR="0349FAD4" w:rsidP="0349FAD4" w:rsidRDefault="0349FAD4" w14:paraId="311D4BDD" w14:textId="2AE4D08F">
            <w:pPr>
              <w:pStyle w:val="BodyText"/>
              <w:rPr>
                <w:rFonts w:asciiTheme="minorHAnsi" w:hAnsiTheme="minorHAnsi"/>
                <w:sz w:val="20"/>
              </w:rPr>
            </w:pPr>
          </w:p>
        </w:tc>
      </w:tr>
      <w:tr w:rsidR="0349FAD4" w:rsidTr="008074AA" w14:paraId="407BBD93" w14:textId="77777777">
        <w:trPr>
          <w:trHeight w:val="209"/>
        </w:trPr>
        <w:tc>
          <w:tcPr>
            <w:tcW w:w="2026" w:type="dxa"/>
          </w:tcPr>
          <w:p w:rsidR="0349FAD4" w:rsidP="0349FAD4" w:rsidRDefault="0349FAD4" w14:paraId="62D6C17D" w14:textId="77777777">
            <w:pPr>
              <w:pStyle w:val="BodyText"/>
              <w:rPr>
                <w:rFonts w:cs="Arial" w:asciiTheme="minorHAnsi" w:hAnsiTheme="minorHAnsi"/>
                <w:b/>
                <w:bCs/>
                <w:sz w:val="20"/>
              </w:rPr>
            </w:pPr>
            <w:r w:rsidRPr="0349FAD4">
              <w:rPr>
                <w:rFonts w:cs="Arial" w:asciiTheme="minorHAnsi" w:hAnsiTheme="minorHAnsi"/>
                <w:b/>
                <w:bCs/>
                <w:sz w:val="20"/>
              </w:rPr>
              <w:t xml:space="preserve">Route        </w:t>
            </w:r>
          </w:p>
        </w:tc>
        <w:tc>
          <w:tcPr>
            <w:tcW w:w="7892" w:type="dxa"/>
          </w:tcPr>
          <w:p w:rsidR="2C0572FD" w:rsidP="0349FAD4" w:rsidRDefault="2C0572FD" w14:paraId="417E6024" w14:textId="4148B079">
            <w:pPr>
              <w:pStyle w:val="BodyText"/>
              <w:rPr>
                <w:rFonts w:cs="Arial" w:asciiTheme="minorHAnsi" w:hAnsiTheme="minorHAnsi"/>
                <w:sz w:val="20"/>
              </w:rPr>
            </w:pPr>
            <w:r w:rsidRPr="0349FAD4">
              <w:rPr>
                <w:rFonts w:cs="Arial" w:asciiTheme="minorHAnsi" w:hAnsiTheme="minorHAnsi"/>
                <w:sz w:val="20"/>
              </w:rPr>
              <w:t>Oral</w:t>
            </w:r>
          </w:p>
        </w:tc>
      </w:tr>
      <w:tr w:rsidR="0349FAD4" w:rsidTr="008074AA" w14:paraId="1F2C1E80" w14:textId="77777777">
        <w:trPr>
          <w:trHeight w:val="275"/>
        </w:trPr>
        <w:tc>
          <w:tcPr>
            <w:tcW w:w="2026" w:type="dxa"/>
          </w:tcPr>
          <w:p w:rsidR="0349FAD4" w:rsidP="3A936897" w:rsidRDefault="0349FAD4" w14:paraId="74DE2EB3" w14:textId="75279ED7">
            <w:pPr>
              <w:pStyle w:val="BodyText"/>
              <w:rPr>
                <w:rFonts w:cs="Arial" w:asciiTheme="minorHAnsi" w:hAnsiTheme="minorHAnsi"/>
                <w:b/>
                <w:bCs/>
                <w:sz w:val="20"/>
                <w:highlight w:val="cyan"/>
              </w:rPr>
            </w:pPr>
            <w:r w:rsidRPr="3A936897">
              <w:rPr>
                <w:rFonts w:cs="Arial" w:asciiTheme="minorHAnsi" w:hAnsiTheme="minorHAnsi"/>
                <w:b/>
                <w:bCs/>
                <w:sz w:val="20"/>
              </w:rPr>
              <w:t>Preparation/Dilution</w:t>
            </w:r>
          </w:p>
        </w:tc>
        <w:tc>
          <w:tcPr>
            <w:tcW w:w="7892" w:type="dxa"/>
          </w:tcPr>
          <w:p w:rsidR="0349FAD4" w:rsidP="0349FAD4" w:rsidRDefault="0349FAD4" w14:paraId="03BAA970" w14:textId="2BB05ABA">
            <w:pPr>
              <w:pStyle w:val="BodyText"/>
              <w:rPr>
                <w:rFonts w:cs="Arial" w:asciiTheme="minorHAnsi" w:hAnsiTheme="minorHAnsi"/>
                <w:sz w:val="20"/>
              </w:rPr>
            </w:pPr>
          </w:p>
        </w:tc>
      </w:tr>
      <w:tr w:rsidR="0349FAD4" w:rsidTr="008074AA" w14:paraId="7C038B09" w14:textId="77777777">
        <w:trPr>
          <w:trHeight w:val="163"/>
        </w:trPr>
        <w:tc>
          <w:tcPr>
            <w:tcW w:w="2026" w:type="dxa"/>
          </w:tcPr>
          <w:p w:rsidR="0349FAD4" w:rsidP="0349FAD4" w:rsidRDefault="0349FAD4" w14:paraId="333324FB" w14:textId="77777777">
            <w:pPr>
              <w:pStyle w:val="BodyText"/>
              <w:rPr>
                <w:rFonts w:cs="Arial" w:asciiTheme="minorHAnsi" w:hAnsiTheme="minorHAnsi"/>
                <w:b/>
                <w:bCs/>
                <w:sz w:val="20"/>
              </w:rPr>
            </w:pPr>
            <w:r w:rsidRPr="0349FAD4">
              <w:rPr>
                <w:rFonts w:cs="Arial" w:asciiTheme="minorHAnsi" w:hAnsiTheme="minorHAnsi"/>
                <w:b/>
                <w:bCs/>
                <w:sz w:val="20"/>
              </w:rPr>
              <w:t xml:space="preserve">Administration    </w:t>
            </w:r>
          </w:p>
        </w:tc>
        <w:tc>
          <w:tcPr>
            <w:tcW w:w="7892" w:type="dxa"/>
          </w:tcPr>
          <w:p w:rsidR="3525A56C" w:rsidP="0349FAD4" w:rsidRDefault="3525A56C" w14:paraId="0EA443C9" w14:textId="03B5212E">
            <w:pPr>
              <w:pStyle w:val="BodyText"/>
              <w:rPr>
                <w:rFonts w:cs="Arial" w:asciiTheme="minorHAnsi" w:hAnsiTheme="minorHAnsi"/>
                <w:sz w:val="20"/>
              </w:rPr>
            </w:pPr>
            <w:r w:rsidRPr="0349FAD4">
              <w:rPr>
                <w:rFonts w:cs="Arial" w:asciiTheme="minorHAnsi" w:hAnsiTheme="minorHAnsi"/>
                <w:sz w:val="20"/>
              </w:rPr>
              <w:t>If using suspension compounded by Pharmacy, shake well before measuring dose.</w:t>
            </w:r>
          </w:p>
          <w:p w:rsidR="3525A56C" w:rsidP="0349FAD4" w:rsidRDefault="3525A56C" w14:paraId="17541C45" w14:textId="1F1C4A1F">
            <w:pPr>
              <w:pStyle w:val="BodyText"/>
            </w:pPr>
            <w:r w:rsidRPr="0349FAD4">
              <w:rPr>
                <w:rFonts w:cs="Arial" w:asciiTheme="minorHAnsi" w:hAnsiTheme="minorHAnsi"/>
                <w:sz w:val="20"/>
              </w:rPr>
              <w:t>To reduce the risk of hypoglycaemia, administer orally during or immediately after a feed.</w:t>
            </w:r>
          </w:p>
          <w:p w:rsidR="0349FAD4" w:rsidP="0349FAD4" w:rsidRDefault="0349FAD4" w14:paraId="38AD61CF" w14:textId="65E73E6B">
            <w:pPr>
              <w:pStyle w:val="BodyText"/>
              <w:rPr>
                <w:rFonts w:cs="Arial" w:asciiTheme="minorHAnsi" w:hAnsiTheme="minorHAnsi"/>
                <w:sz w:val="20"/>
              </w:rPr>
            </w:pPr>
          </w:p>
        </w:tc>
      </w:tr>
      <w:tr w:rsidR="0349FAD4" w:rsidTr="008074AA" w14:paraId="7CB6274B" w14:textId="77777777">
        <w:trPr>
          <w:trHeight w:val="221"/>
        </w:trPr>
        <w:tc>
          <w:tcPr>
            <w:tcW w:w="2026" w:type="dxa"/>
          </w:tcPr>
          <w:p w:rsidR="0349FAD4" w:rsidP="0349FAD4" w:rsidRDefault="0349FAD4" w14:paraId="107B416B" w14:textId="77777777">
            <w:pPr>
              <w:pStyle w:val="BodyText"/>
              <w:rPr>
                <w:rFonts w:cs="Arial" w:asciiTheme="minorHAnsi" w:hAnsiTheme="minorHAnsi"/>
                <w:b/>
                <w:bCs/>
                <w:sz w:val="20"/>
              </w:rPr>
            </w:pPr>
            <w:r w:rsidRPr="0349FAD4">
              <w:rPr>
                <w:rFonts w:cs="Arial" w:asciiTheme="minorHAnsi" w:hAnsiTheme="minorHAnsi"/>
                <w:b/>
                <w:bCs/>
                <w:sz w:val="20"/>
              </w:rPr>
              <w:lastRenderedPageBreak/>
              <w:t xml:space="preserve">Monitoring                             </w:t>
            </w:r>
          </w:p>
        </w:tc>
        <w:tc>
          <w:tcPr>
            <w:tcW w:w="7892" w:type="dxa"/>
          </w:tcPr>
          <w:p w:rsidR="7D5181E9" w:rsidP="0349FAD4" w:rsidRDefault="7D5181E9" w14:paraId="55550B29" w14:textId="1913EDDF">
            <w:pPr>
              <w:pStyle w:val="BodyText"/>
              <w:rPr>
                <w:rFonts w:cs="Arial" w:asciiTheme="minorHAnsi" w:hAnsiTheme="minorHAnsi"/>
                <w:sz w:val="20"/>
                <w:vertAlign w:val="superscript"/>
              </w:rPr>
            </w:pPr>
            <w:r w:rsidRPr="0349FAD4">
              <w:rPr>
                <w:rFonts w:cs="Arial" w:asciiTheme="minorHAnsi" w:hAnsiTheme="minorHAnsi"/>
                <w:sz w:val="20"/>
                <w:vertAlign w:val="superscript"/>
              </w:rPr>
              <w:t>Heart rate and blood pressure for 2 hours after initiation or dose increases. Bradycardia:</w:t>
            </w:r>
          </w:p>
          <w:p w:rsidR="7D5181E9" w:rsidP="0349FAD4" w:rsidRDefault="7D5181E9" w14:paraId="203A769F" w14:textId="202E3CCA">
            <w:pPr>
              <w:pStyle w:val="BodyText"/>
              <w:rPr>
                <w:rFonts w:cs="Arial" w:asciiTheme="minorHAnsi" w:hAnsiTheme="minorHAnsi"/>
                <w:sz w:val="20"/>
                <w:vertAlign w:val="superscript"/>
              </w:rPr>
            </w:pPr>
            <w:r w:rsidRPr="0349FAD4">
              <w:rPr>
                <w:rFonts w:cs="Arial" w:asciiTheme="minorHAnsi" w:hAnsiTheme="minorHAnsi"/>
                <w:sz w:val="20"/>
                <w:vertAlign w:val="superscript"/>
              </w:rPr>
              <w:t>newborns (&lt;1 month old) &lt;70 beats per minute; infants (1–12 months old) &lt;80 beats per minute.</w:t>
            </w:r>
          </w:p>
          <w:p w:rsidR="7D5181E9" w:rsidP="0349FAD4" w:rsidRDefault="7D5181E9" w14:paraId="0F463379" w14:textId="2DD86B99">
            <w:pPr>
              <w:pStyle w:val="BodyText"/>
              <w:rPr>
                <w:rFonts w:cs="Arial" w:asciiTheme="minorHAnsi" w:hAnsiTheme="minorHAnsi"/>
                <w:sz w:val="20"/>
                <w:vertAlign w:val="superscript"/>
              </w:rPr>
            </w:pPr>
            <w:r w:rsidRPr="0349FAD4">
              <w:rPr>
                <w:rFonts w:cs="Arial" w:asciiTheme="minorHAnsi" w:hAnsiTheme="minorHAnsi"/>
                <w:sz w:val="20"/>
                <w:vertAlign w:val="superscript"/>
              </w:rPr>
              <w:t>Blood glucose levels in premature infants and during intercurrent illness, especially in the setting of restricted oral intake.</w:t>
            </w:r>
          </w:p>
          <w:p w:rsidR="0349FAD4" w:rsidP="0349FAD4" w:rsidRDefault="0349FAD4" w14:paraId="24A16B5B" w14:textId="6F1748E4">
            <w:pPr>
              <w:pStyle w:val="BodyText"/>
              <w:rPr>
                <w:rFonts w:cs="Arial" w:asciiTheme="minorHAnsi" w:hAnsiTheme="minorHAnsi"/>
                <w:sz w:val="20"/>
                <w:vertAlign w:val="superscript"/>
              </w:rPr>
            </w:pPr>
          </w:p>
        </w:tc>
      </w:tr>
      <w:tr w:rsidR="0349FAD4" w:rsidTr="008074AA" w14:paraId="621BE679" w14:textId="77777777">
        <w:trPr>
          <w:trHeight w:val="207"/>
        </w:trPr>
        <w:tc>
          <w:tcPr>
            <w:tcW w:w="2026" w:type="dxa"/>
          </w:tcPr>
          <w:p w:rsidR="0349FAD4" w:rsidP="0349FAD4" w:rsidRDefault="0349FAD4" w14:paraId="6DD97CAE" w14:textId="77777777">
            <w:pPr>
              <w:pStyle w:val="BodyText"/>
              <w:rPr>
                <w:rFonts w:cs="Arial" w:asciiTheme="minorHAnsi" w:hAnsiTheme="minorHAnsi"/>
                <w:b/>
                <w:bCs/>
                <w:sz w:val="20"/>
              </w:rPr>
            </w:pPr>
            <w:r w:rsidRPr="0349FAD4">
              <w:rPr>
                <w:rFonts w:cs="Arial" w:asciiTheme="minorHAnsi" w:hAnsiTheme="minorHAnsi"/>
                <w:b/>
                <w:bCs/>
                <w:sz w:val="20"/>
              </w:rPr>
              <w:t xml:space="preserve">Contraindications                        </w:t>
            </w:r>
          </w:p>
        </w:tc>
        <w:tc>
          <w:tcPr>
            <w:tcW w:w="7892" w:type="dxa"/>
          </w:tcPr>
          <w:p w:rsidR="1ADA110A" w:rsidP="0349FAD4" w:rsidRDefault="1ADA110A" w14:paraId="442D1DE0" w14:textId="3D2D4A4B">
            <w:pPr>
              <w:pStyle w:val="BodyText"/>
              <w:rPr>
                <w:rFonts w:cs="Arial" w:asciiTheme="minorHAnsi" w:hAnsiTheme="minorHAnsi"/>
                <w:sz w:val="20"/>
              </w:rPr>
            </w:pPr>
            <w:r w:rsidRPr="0349FAD4">
              <w:rPr>
                <w:rFonts w:cs="Arial" w:asciiTheme="minorHAnsi" w:hAnsiTheme="minorHAnsi"/>
                <w:sz w:val="20"/>
              </w:rPr>
              <w:t>Shock (cardiogenic and hypovolaemic).</w:t>
            </w:r>
          </w:p>
          <w:p w:rsidR="1ADA110A" w:rsidP="0349FAD4" w:rsidRDefault="3A5D81CF" w14:paraId="1A870F9F" w14:textId="4FC1993C">
            <w:pPr>
              <w:pStyle w:val="BodyText"/>
            </w:pPr>
            <w:r w:rsidRPr="3A936897">
              <w:rPr>
                <w:rFonts w:cs="Arial" w:asciiTheme="minorHAnsi" w:hAnsiTheme="minorHAnsi"/>
                <w:sz w:val="20"/>
              </w:rPr>
              <w:t>Bradycardia (45–50 beats/minute), second or third-degree AV block, sick sinus syndrome</w:t>
            </w:r>
            <w:r w:rsidRPr="3A936897" w:rsidR="08320252">
              <w:rPr>
                <w:rFonts w:cs="Arial" w:asciiTheme="minorHAnsi" w:hAnsiTheme="minorHAnsi"/>
                <w:sz w:val="20"/>
              </w:rPr>
              <w:t xml:space="preserve"> </w:t>
            </w:r>
            <w:r w:rsidRPr="3A936897">
              <w:rPr>
                <w:rFonts w:cs="Arial" w:asciiTheme="minorHAnsi" w:hAnsiTheme="minorHAnsi"/>
                <w:sz w:val="20"/>
              </w:rPr>
              <w:t>(without pacemaker), severe hypotension or uncontrolled heart failure.</w:t>
            </w:r>
          </w:p>
          <w:p w:rsidR="0349FAD4" w:rsidP="0349FAD4" w:rsidRDefault="0349FAD4" w14:paraId="774DAE1C" w14:textId="1E7495ED">
            <w:pPr>
              <w:pStyle w:val="BodyText"/>
              <w:rPr>
                <w:rFonts w:cs="Arial" w:asciiTheme="minorHAnsi" w:hAnsiTheme="minorHAnsi"/>
                <w:sz w:val="20"/>
              </w:rPr>
            </w:pPr>
          </w:p>
        </w:tc>
      </w:tr>
      <w:tr w:rsidR="0349FAD4" w:rsidTr="008074AA" w14:paraId="55058ACB" w14:textId="77777777">
        <w:tc>
          <w:tcPr>
            <w:tcW w:w="2026" w:type="dxa"/>
          </w:tcPr>
          <w:p w:rsidR="0349FAD4" w:rsidP="0349FAD4" w:rsidRDefault="0349FAD4" w14:paraId="7DF95958" w14:textId="28E3114E">
            <w:pPr>
              <w:pStyle w:val="BodyText"/>
              <w:rPr>
                <w:rFonts w:cs="Arial" w:asciiTheme="minorHAnsi" w:hAnsiTheme="minorHAnsi"/>
                <w:b/>
                <w:bCs/>
                <w:sz w:val="20"/>
              </w:rPr>
            </w:pPr>
            <w:r w:rsidRPr="0349FAD4">
              <w:rPr>
                <w:rFonts w:cs="Arial" w:asciiTheme="minorHAnsi" w:hAnsiTheme="minorHAnsi"/>
                <w:b/>
                <w:bCs/>
                <w:sz w:val="20"/>
              </w:rPr>
              <w:t>Precautions</w:t>
            </w:r>
          </w:p>
        </w:tc>
        <w:tc>
          <w:tcPr>
            <w:tcW w:w="7892" w:type="dxa"/>
          </w:tcPr>
          <w:p w:rsidR="57B94C69" w:rsidP="0349FAD4" w:rsidRDefault="57B94C69" w14:paraId="19E4B148" w14:textId="16D9BE5C">
            <w:pPr>
              <w:pStyle w:val="BodyText"/>
              <w:rPr>
                <w:rFonts w:cs="Arial" w:asciiTheme="minorHAnsi" w:hAnsiTheme="minorHAnsi"/>
                <w:sz w:val="20"/>
              </w:rPr>
            </w:pPr>
            <w:r w:rsidRPr="0349FAD4">
              <w:rPr>
                <w:rFonts w:cs="Arial" w:asciiTheme="minorHAnsi" w:hAnsiTheme="minorHAnsi"/>
                <w:sz w:val="20"/>
              </w:rPr>
              <w:t>Consider discontinuing propranolol during intercurrent illness, especially in the setting of restricted oral intake, to prevent hypoglycaemia.</w:t>
            </w:r>
          </w:p>
          <w:p w:rsidR="57B94C69" w:rsidP="0349FAD4" w:rsidRDefault="57B94C69" w14:paraId="782810A7" w14:textId="6139BC6A">
            <w:pPr>
              <w:pStyle w:val="BodyText"/>
              <w:rPr>
                <w:rFonts w:cs="Arial" w:asciiTheme="minorHAnsi" w:hAnsiTheme="minorHAnsi"/>
                <w:sz w:val="20"/>
              </w:rPr>
            </w:pPr>
            <w:r w:rsidRPr="0349FAD4">
              <w:rPr>
                <w:rFonts w:cs="Arial" w:asciiTheme="minorHAnsi" w:hAnsiTheme="minorHAnsi"/>
                <w:sz w:val="20"/>
              </w:rPr>
              <w:t>Hyperthyroidism — beta-blockers may mask clinical signs, e.g. tachycardia.</w:t>
            </w:r>
          </w:p>
          <w:p w:rsidR="57B94C69" w:rsidP="3A936897" w:rsidRDefault="4D6FD223" w14:paraId="43DC6E4F" w14:textId="0F380801">
            <w:pPr>
              <w:pStyle w:val="BodyText"/>
              <w:rPr>
                <w:rFonts w:cs="Arial" w:asciiTheme="minorHAnsi" w:hAnsiTheme="minorHAnsi"/>
                <w:sz w:val="20"/>
              </w:rPr>
            </w:pPr>
            <w:r w:rsidRPr="3A936897">
              <w:rPr>
                <w:rFonts w:cs="Arial" w:asciiTheme="minorHAnsi" w:hAnsiTheme="minorHAnsi"/>
                <w:sz w:val="20"/>
              </w:rPr>
              <w:t>Phaeochromocytomas — beta-blockers may aggravate hypertension; an alpha-blocker should be given first.</w:t>
            </w:r>
          </w:p>
          <w:p w:rsidR="5C26F2BE" w:rsidP="3A936897" w:rsidRDefault="41C836A1" w14:paraId="5250B346" w14:textId="4B7AB52B">
            <w:pPr>
              <w:pStyle w:val="BodyText"/>
              <w:rPr>
                <w:rFonts w:cs="Arial" w:asciiTheme="minorHAnsi" w:hAnsiTheme="minorHAnsi"/>
                <w:sz w:val="20"/>
              </w:rPr>
            </w:pPr>
            <w:r w:rsidRPr="3A936897">
              <w:rPr>
                <w:rFonts w:cs="Arial" w:asciiTheme="minorHAnsi" w:hAnsiTheme="minorHAnsi"/>
                <w:sz w:val="20"/>
              </w:rPr>
              <w:t>Beta-blockers may reduce the response to usual doses of adrenaline (epinephrine) for</w:t>
            </w:r>
            <w:r w:rsidRPr="3A936897" w:rsidR="5AEB24DD">
              <w:rPr>
                <w:rFonts w:cs="Arial" w:asciiTheme="minorHAnsi" w:hAnsiTheme="minorHAnsi"/>
                <w:sz w:val="20"/>
              </w:rPr>
              <w:t xml:space="preserve"> </w:t>
            </w:r>
            <w:r w:rsidRPr="3A936897">
              <w:rPr>
                <w:rFonts w:cs="Arial" w:asciiTheme="minorHAnsi" w:hAnsiTheme="minorHAnsi"/>
                <w:sz w:val="20"/>
              </w:rPr>
              <w:t>anaphylaxis.</w:t>
            </w:r>
          </w:p>
          <w:p w:rsidR="5C26F2BE" w:rsidP="0349FAD4" w:rsidRDefault="5C26F2BE" w14:paraId="00F469A9" w14:textId="7A8A9B16">
            <w:pPr>
              <w:pStyle w:val="BodyText"/>
              <w:rPr>
                <w:rFonts w:cs="Arial" w:asciiTheme="minorHAnsi" w:hAnsiTheme="minorHAnsi"/>
                <w:sz w:val="20"/>
              </w:rPr>
            </w:pPr>
            <w:r w:rsidRPr="0349FAD4">
              <w:rPr>
                <w:rFonts w:cs="Arial" w:asciiTheme="minorHAnsi" w:hAnsiTheme="minorHAnsi"/>
                <w:sz w:val="20"/>
              </w:rPr>
              <w:t>Myasthenia symptoms — may worsen.</w:t>
            </w:r>
          </w:p>
          <w:p w:rsidR="5C26F2BE" w:rsidP="0349FAD4" w:rsidRDefault="5C26F2BE" w14:paraId="5D834975" w14:textId="2A870371">
            <w:pPr>
              <w:pStyle w:val="BodyText"/>
            </w:pPr>
            <w:r w:rsidRPr="0349FAD4">
              <w:rPr>
                <w:rFonts w:cs="Arial" w:asciiTheme="minorHAnsi" w:hAnsiTheme="minorHAnsi"/>
                <w:sz w:val="20"/>
              </w:rPr>
              <w:t xml:space="preserve">Beta-blockers may worsen first-degree AV block.  </w:t>
            </w:r>
          </w:p>
          <w:p w:rsidR="5C26F2BE" w:rsidP="3A936897" w:rsidRDefault="41C836A1" w14:paraId="396A3026" w14:textId="7C212F05">
            <w:pPr>
              <w:pStyle w:val="BodyText"/>
              <w:rPr>
                <w:rFonts w:cs="Arial" w:asciiTheme="minorHAnsi" w:hAnsiTheme="minorHAnsi"/>
                <w:sz w:val="20"/>
              </w:rPr>
            </w:pPr>
            <w:r w:rsidRPr="3A936897">
              <w:rPr>
                <w:rFonts w:cs="Arial" w:asciiTheme="minorHAnsi" w:hAnsiTheme="minorHAnsi"/>
                <w:sz w:val="20"/>
              </w:rPr>
              <w:t xml:space="preserve">Beta-blockers may impair peripheral circulation and exacerbate symptoms of peripheral arterial disease (PAD). </w:t>
            </w:r>
          </w:p>
          <w:p w:rsidR="5C26F2BE" w:rsidP="0349FAD4" w:rsidRDefault="5C26F2BE" w14:paraId="35C9E216" w14:textId="3FB9DB02">
            <w:pPr>
              <w:pStyle w:val="BodyText"/>
            </w:pPr>
            <w:r w:rsidRPr="0349FAD4">
              <w:rPr>
                <w:rFonts w:cs="Arial" w:asciiTheme="minorHAnsi" w:hAnsiTheme="minorHAnsi"/>
                <w:sz w:val="20"/>
              </w:rPr>
              <w:t>Beta-blockers may mask important signs of acute hypoglycaemia (e.g. tachycardia,</w:t>
            </w:r>
          </w:p>
          <w:p w:rsidR="5C26F2BE" w:rsidP="0349FAD4" w:rsidRDefault="5C26F2BE" w14:paraId="0D4C54B5" w14:textId="70318E0F">
            <w:pPr>
              <w:pStyle w:val="BodyText"/>
              <w:rPr>
                <w:rFonts w:cs="Arial" w:asciiTheme="minorHAnsi" w:hAnsiTheme="minorHAnsi"/>
                <w:sz w:val="20"/>
              </w:rPr>
            </w:pPr>
            <w:r w:rsidRPr="0349FAD4">
              <w:rPr>
                <w:rFonts w:cs="Arial" w:asciiTheme="minorHAnsi" w:hAnsiTheme="minorHAnsi"/>
                <w:sz w:val="20"/>
              </w:rPr>
              <w:t xml:space="preserve">tremor). They may also increase the incidence and severity of hypoglycaemia but data are conflicting.  </w:t>
            </w:r>
          </w:p>
          <w:p w:rsidR="5C26F2BE" w:rsidP="0349FAD4" w:rsidRDefault="5C26F2BE" w14:paraId="332176A4" w14:textId="03224E97">
            <w:pPr>
              <w:pStyle w:val="BodyText"/>
            </w:pPr>
            <w:r w:rsidRPr="0349FAD4">
              <w:rPr>
                <w:rFonts w:cs="Arial" w:asciiTheme="minorHAnsi" w:hAnsiTheme="minorHAnsi"/>
                <w:sz w:val="20"/>
              </w:rPr>
              <w:t>Can precipitate bronchospasm.</w:t>
            </w:r>
          </w:p>
        </w:tc>
      </w:tr>
      <w:tr w:rsidR="0349FAD4" w:rsidTr="008074AA" w14:paraId="2726D9A1" w14:textId="77777777">
        <w:trPr>
          <w:trHeight w:val="276"/>
        </w:trPr>
        <w:tc>
          <w:tcPr>
            <w:tcW w:w="2026" w:type="dxa"/>
          </w:tcPr>
          <w:p w:rsidR="0349FAD4" w:rsidP="0349FAD4" w:rsidRDefault="0349FAD4" w14:paraId="29E12819" w14:textId="77777777">
            <w:pPr>
              <w:pStyle w:val="BodyText"/>
              <w:rPr>
                <w:rFonts w:cs="Arial" w:asciiTheme="minorHAnsi" w:hAnsiTheme="minorHAnsi"/>
                <w:b/>
                <w:bCs/>
                <w:sz w:val="20"/>
              </w:rPr>
            </w:pPr>
            <w:r w:rsidRPr="0349FAD4">
              <w:rPr>
                <w:rFonts w:cs="Arial" w:asciiTheme="minorHAnsi" w:hAnsiTheme="minorHAnsi"/>
                <w:b/>
                <w:bCs/>
                <w:sz w:val="20"/>
              </w:rPr>
              <w:t>Drug Interactions</w:t>
            </w:r>
          </w:p>
        </w:tc>
        <w:tc>
          <w:tcPr>
            <w:tcW w:w="7892" w:type="dxa"/>
          </w:tcPr>
          <w:p w:rsidR="5F532163" w:rsidP="3A936897" w:rsidRDefault="45463637" w14:paraId="555C8932" w14:textId="3DD05D3A">
            <w:pPr>
              <w:pStyle w:val="BodyText"/>
              <w:rPr>
                <w:rFonts w:cs="Arial" w:asciiTheme="minorHAnsi" w:hAnsiTheme="minorHAnsi"/>
                <w:sz w:val="20"/>
              </w:rPr>
            </w:pPr>
            <w:r w:rsidRPr="3A936897">
              <w:rPr>
                <w:rFonts w:cs="Arial" w:asciiTheme="minorHAnsi" w:hAnsiTheme="minorHAnsi"/>
                <w:sz w:val="20"/>
              </w:rPr>
              <w:t>-Blockers and cholinomimetics cause bradycardia, AV blocks and hypotension via their</w:t>
            </w:r>
            <w:r w:rsidRPr="3A936897" w:rsidR="73D4EB13">
              <w:rPr>
                <w:rFonts w:cs="Arial" w:asciiTheme="minorHAnsi" w:hAnsiTheme="minorHAnsi"/>
                <w:sz w:val="20"/>
              </w:rPr>
              <w:t xml:space="preserve"> </w:t>
            </w:r>
            <w:r w:rsidRPr="3A936897">
              <w:rPr>
                <w:rFonts w:cs="Arial" w:asciiTheme="minorHAnsi" w:hAnsiTheme="minorHAnsi"/>
                <w:sz w:val="20"/>
              </w:rPr>
              <w:t>synergistic negative chronotropic effect.</w:t>
            </w:r>
          </w:p>
          <w:p w:rsidR="5F532163" w:rsidP="0349FAD4" w:rsidRDefault="5F532163" w14:paraId="5E93C567" w14:textId="02F19845">
            <w:pPr>
              <w:pStyle w:val="BodyText"/>
              <w:rPr>
                <w:rFonts w:cs="Arial" w:asciiTheme="minorHAnsi" w:hAnsiTheme="minorHAnsi"/>
                <w:sz w:val="20"/>
              </w:rPr>
            </w:pPr>
            <w:r w:rsidRPr="0349FAD4">
              <w:rPr>
                <w:rFonts w:cs="Arial" w:asciiTheme="minorHAnsi" w:hAnsiTheme="minorHAnsi"/>
                <w:sz w:val="20"/>
              </w:rPr>
              <w:t>-Blockers and non-dihydropyridine calcium channel blockers (diltiazem, verapamil)</w:t>
            </w:r>
          </w:p>
          <w:p w:rsidR="5F532163" w:rsidP="0349FAD4" w:rsidRDefault="5F532163" w14:paraId="7F5C8AED" w14:textId="5EE6C13F">
            <w:pPr>
              <w:pStyle w:val="BodyText"/>
            </w:pPr>
            <w:r w:rsidRPr="0349FAD4">
              <w:rPr>
                <w:rFonts w:cs="Arial" w:asciiTheme="minorHAnsi" w:hAnsiTheme="minorHAnsi"/>
                <w:sz w:val="20"/>
              </w:rPr>
              <w:t xml:space="preserve">cause bradycardia, asystole, sinus arrest due to their additive effect on the heart. </w:t>
            </w:r>
          </w:p>
          <w:p w:rsidR="5F532163" w:rsidP="0349FAD4" w:rsidRDefault="5F532163" w14:paraId="60B7536D" w14:textId="7D126012">
            <w:pPr>
              <w:pStyle w:val="BodyText"/>
              <w:rPr>
                <w:rFonts w:cs="Arial" w:asciiTheme="minorHAnsi" w:hAnsiTheme="minorHAnsi"/>
                <w:sz w:val="20"/>
              </w:rPr>
            </w:pPr>
            <w:r w:rsidRPr="0349FAD4">
              <w:rPr>
                <w:rFonts w:cs="Arial" w:asciiTheme="minorHAnsi" w:hAnsiTheme="minorHAnsi"/>
                <w:sz w:val="20"/>
              </w:rPr>
              <w:t>-Blockers and digoxin cause bradycardia and AV block via their additive effect.</w:t>
            </w:r>
          </w:p>
          <w:p w:rsidR="5F532163" w:rsidP="0349FAD4" w:rsidRDefault="5F532163" w14:paraId="33C4BFF7" w14:textId="63DBEA00">
            <w:pPr>
              <w:pStyle w:val="BodyText"/>
              <w:rPr>
                <w:rFonts w:cs="Arial" w:asciiTheme="minorHAnsi" w:hAnsiTheme="minorHAnsi"/>
                <w:sz w:val="20"/>
              </w:rPr>
            </w:pPr>
            <w:r w:rsidRPr="0349FAD4">
              <w:rPr>
                <w:rFonts w:cs="Arial" w:asciiTheme="minorHAnsi" w:hAnsiTheme="minorHAnsi"/>
                <w:sz w:val="20"/>
              </w:rPr>
              <w:t xml:space="preserve">-Blockers and dronedarone cause bradycardia as both drugs slow heart rate and </w:t>
            </w:r>
          </w:p>
          <w:p w:rsidR="5F532163" w:rsidP="0349FAD4" w:rsidRDefault="5F532163" w14:paraId="3DD15BFA" w14:textId="0CBAB7DB">
            <w:pPr>
              <w:pStyle w:val="BodyText"/>
              <w:rPr>
                <w:rFonts w:cs="Arial" w:asciiTheme="minorHAnsi" w:hAnsiTheme="minorHAnsi"/>
                <w:sz w:val="20"/>
              </w:rPr>
            </w:pPr>
            <w:r w:rsidRPr="0349FAD4">
              <w:rPr>
                <w:rFonts w:cs="Arial" w:asciiTheme="minorHAnsi" w:hAnsiTheme="minorHAnsi"/>
                <w:sz w:val="20"/>
              </w:rPr>
              <w:t>dronedarone can inhibit CYP2D6 metabolism of some  -blockers.</w:t>
            </w:r>
          </w:p>
          <w:p w:rsidR="5F532163" w:rsidP="0349FAD4" w:rsidRDefault="45463637" w14:paraId="4BDD36A3" w14:textId="2FC7FD90">
            <w:pPr>
              <w:pStyle w:val="BodyText"/>
            </w:pPr>
            <w:r w:rsidRPr="3A936897">
              <w:rPr>
                <w:rFonts w:cs="Arial" w:asciiTheme="minorHAnsi" w:hAnsiTheme="minorHAnsi"/>
                <w:sz w:val="20"/>
              </w:rPr>
              <w:t xml:space="preserve">-Blockers and antipsychotic phenothiazines cause hypotension as they have an additive effect.  </w:t>
            </w:r>
          </w:p>
          <w:p w:rsidR="5F532163" w:rsidP="3A936897" w:rsidRDefault="45463637" w14:paraId="593E7261" w14:textId="39EC3EBA">
            <w:pPr>
              <w:pStyle w:val="BodyText"/>
              <w:rPr>
                <w:rFonts w:cs="Arial" w:asciiTheme="minorHAnsi" w:hAnsiTheme="minorHAnsi"/>
                <w:sz w:val="20"/>
              </w:rPr>
            </w:pPr>
            <w:r w:rsidRPr="3A936897">
              <w:rPr>
                <w:rFonts w:cs="Arial" w:asciiTheme="minorHAnsi" w:hAnsiTheme="minorHAnsi"/>
                <w:sz w:val="20"/>
              </w:rPr>
              <w:t>-Blockers and propafenone cause profound hypotension and cardiac arrest as they have a similar effect on the heart, propafenone can inhibit metabolism of some  -blockers</w:t>
            </w:r>
            <w:r w:rsidRPr="3A936897" w:rsidR="48A04345">
              <w:rPr>
                <w:rFonts w:cs="Arial" w:asciiTheme="minorHAnsi" w:hAnsiTheme="minorHAnsi"/>
                <w:sz w:val="20"/>
              </w:rPr>
              <w:t xml:space="preserve"> </w:t>
            </w:r>
            <w:r w:rsidRPr="3A936897">
              <w:rPr>
                <w:rFonts w:cs="Arial" w:asciiTheme="minorHAnsi" w:hAnsiTheme="minorHAnsi"/>
                <w:sz w:val="20"/>
              </w:rPr>
              <w:t>through inhibition of CYP2D6.</w:t>
            </w:r>
          </w:p>
          <w:p w:rsidR="5F532163" w:rsidP="3A936897" w:rsidRDefault="45463637" w14:paraId="14B4C887" w14:textId="557503ED">
            <w:pPr>
              <w:pStyle w:val="BodyText"/>
              <w:rPr>
                <w:rFonts w:cs="Arial" w:asciiTheme="minorHAnsi" w:hAnsiTheme="minorHAnsi"/>
                <w:sz w:val="20"/>
              </w:rPr>
            </w:pPr>
            <w:r w:rsidRPr="3A936897">
              <w:rPr>
                <w:rFonts w:cs="Arial" w:asciiTheme="minorHAnsi" w:hAnsiTheme="minorHAnsi"/>
                <w:sz w:val="20"/>
              </w:rPr>
              <w:t>Some  -blockers and some SSRIs (citalopram, escitalopram) cause bradycardia, AV blocks and hypotension can occur with fluoxetine and paroxetine which are potent inhibitors of CYP2D6 and thus slow metabolism of some  -blockers.</w:t>
            </w:r>
          </w:p>
          <w:p w:rsidR="5F532163" w:rsidP="3A936897" w:rsidRDefault="45463637" w14:paraId="390ADEC5" w14:textId="76837270">
            <w:pPr>
              <w:pStyle w:val="BodyText"/>
              <w:rPr>
                <w:rFonts w:cs="Arial" w:asciiTheme="minorHAnsi" w:hAnsiTheme="minorHAnsi"/>
                <w:sz w:val="20"/>
              </w:rPr>
            </w:pPr>
            <w:r w:rsidRPr="3A936897">
              <w:rPr>
                <w:rFonts w:cs="Arial" w:asciiTheme="minorHAnsi" w:hAnsiTheme="minorHAnsi"/>
                <w:sz w:val="20"/>
              </w:rPr>
              <w:t>Increased blood levels/toxicity: Inhibitors of CYP2D6 including amiodarone, cimetidine (but not ranitidine), delavudin, fluoxetine, paroxetine, quinidine and ritonavir; and</w:t>
            </w:r>
            <w:r w:rsidRPr="3A936897" w:rsidR="465291B4">
              <w:rPr>
                <w:rFonts w:cs="Arial" w:asciiTheme="minorHAnsi" w:hAnsiTheme="minorHAnsi"/>
                <w:sz w:val="20"/>
              </w:rPr>
              <w:t xml:space="preserve"> </w:t>
            </w:r>
            <w:r w:rsidRPr="3A936897">
              <w:rPr>
                <w:rFonts w:cs="Arial" w:asciiTheme="minorHAnsi" w:hAnsiTheme="minorHAnsi"/>
                <w:sz w:val="20"/>
              </w:rPr>
              <w:t>inhibitors of CYP1A2 including imipramine, cimetidine, ciprofloxacin, fluvoxamine, isoniazid, ritonavir, theophylline, zileuton, zolmitriptan and rizatriptan.</w:t>
            </w:r>
          </w:p>
          <w:p w:rsidR="5F532163" w:rsidP="0349FAD4" w:rsidRDefault="5F532163" w14:paraId="1882790B" w14:textId="5D54F198">
            <w:pPr>
              <w:pStyle w:val="BodyText"/>
            </w:pPr>
            <w:r w:rsidRPr="0349FAD4">
              <w:rPr>
                <w:rFonts w:cs="Arial" w:asciiTheme="minorHAnsi" w:hAnsiTheme="minorHAnsi"/>
                <w:sz w:val="20"/>
              </w:rPr>
              <w:t xml:space="preserve">Decreased blood levels/decreased efficacy: Inducers of hepatic drug metabolism </w:t>
            </w:r>
          </w:p>
          <w:p w:rsidR="5F532163" w:rsidP="0349FAD4" w:rsidRDefault="5F532163" w14:paraId="39F8C6CB" w14:textId="58DE6B2D">
            <w:pPr>
              <w:pStyle w:val="BodyText"/>
              <w:rPr>
                <w:rFonts w:cs="Arial" w:asciiTheme="minorHAnsi" w:hAnsiTheme="minorHAnsi"/>
                <w:sz w:val="20"/>
              </w:rPr>
            </w:pPr>
            <w:r w:rsidRPr="0349FAD4">
              <w:rPr>
                <w:rFonts w:cs="Arial" w:asciiTheme="minorHAnsi" w:hAnsiTheme="minorHAnsi"/>
                <w:sz w:val="20"/>
              </w:rPr>
              <w:t>including rifampin, ethanol, phenytoin and phenobarbital.</w:t>
            </w:r>
          </w:p>
          <w:p w:rsidR="0349FAD4" w:rsidP="0349FAD4" w:rsidRDefault="0349FAD4" w14:paraId="129A48F2" w14:textId="7B56EB53">
            <w:pPr>
              <w:pStyle w:val="BodyText"/>
              <w:rPr>
                <w:rFonts w:cs="Arial" w:asciiTheme="minorHAnsi" w:hAnsiTheme="minorHAnsi"/>
                <w:sz w:val="20"/>
              </w:rPr>
            </w:pPr>
          </w:p>
        </w:tc>
      </w:tr>
      <w:tr w:rsidR="0349FAD4" w:rsidTr="008074AA" w14:paraId="50B3C354" w14:textId="77777777">
        <w:trPr>
          <w:trHeight w:val="416"/>
        </w:trPr>
        <w:tc>
          <w:tcPr>
            <w:tcW w:w="2026" w:type="dxa"/>
          </w:tcPr>
          <w:p w:rsidR="0349FAD4" w:rsidP="0349FAD4" w:rsidRDefault="0349FAD4" w14:paraId="48AC3983" w14:textId="77777777">
            <w:pPr>
              <w:pStyle w:val="BodyText"/>
              <w:rPr>
                <w:rFonts w:cs="Arial" w:asciiTheme="minorHAnsi" w:hAnsiTheme="minorHAnsi"/>
                <w:b/>
                <w:bCs/>
                <w:sz w:val="20"/>
              </w:rPr>
            </w:pPr>
            <w:r w:rsidRPr="0349FAD4">
              <w:rPr>
                <w:rFonts w:cs="Arial" w:asciiTheme="minorHAnsi" w:hAnsiTheme="minorHAnsi"/>
                <w:b/>
                <w:bCs/>
                <w:sz w:val="20"/>
              </w:rPr>
              <w:t xml:space="preserve">Adverse Reactions         </w:t>
            </w:r>
          </w:p>
          <w:p w:rsidR="0349FAD4" w:rsidP="0349FAD4" w:rsidRDefault="0349FAD4" w14:paraId="4E0BCF4C" w14:textId="77777777">
            <w:pPr>
              <w:pStyle w:val="BodyText"/>
              <w:rPr>
                <w:rFonts w:cs="Arial" w:asciiTheme="minorHAnsi" w:hAnsiTheme="minorHAnsi"/>
                <w:b/>
                <w:bCs/>
                <w:sz w:val="20"/>
              </w:rPr>
            </w:pPr>
          </w:p>
        </w:tc>
        <w:tc>
          <w:tcPr>
            <w:tcW w:w="7892" w:type="dxa"/>
          </w:tcPr>
          <w:p w:rsidR="057B7AC1" w:rsidP="0349FAD4" w:rsidRDefault="057B7AC1" w14:paraId="28705E5E" w14:textId="52E712B7">
            <w:pPr>
              <w:pStyle w:val="BodyText"/>
              <w:rPr>
                <w:rFonts w:cs="Arial" w:asciiTheme="minorHAnsi" w:hAnsiTheme="minorHAnsi"/>
                <w:sz w:val="20"/>
              </w:rPr>
            </w:pPr>
            <w:r w:rsidRPr="0349FAD4">
              <w:rPr>
                <w:rFonts w:cs="Arial" w:asciiTheme="minorHAnsi" w:hAnsiTheme="minorHAnsi"/>
                <w:sz w:val="20"/>
              </w:rPr>
              <w:t>May cause transient worsening of heart failure symptoms (e.g. in too fast up-titration).</w:t>
            </w:r>
          </w:p>
          <w:p w:rsidR="057B7AC1" w:rsidP="3A936897" w:rsidRDefault="5D3D3838" w14:paraId="47A3BBCB" w14:textId="2BD461E0">
            <w:pPr>
              <w:pStyle w:val="BodyText"/>
              <w:rPr>
                <w:rFonts w:cs="Arial" w:asciiTheme="minorHAnsi" w:hAnsiTheme="minorHAnsi"/>
                <w:sz w:val="20"/>
              </w:rPr>
            </w:pPr>
            <w:r w:rsidRPr="3A936897">
              <w:rPr>
                <w:rFonts w:cs="Arial" w:asciiTheme="minorHAnsi" w:hAnsiTheme="minorHAnsi"/>
                <w:sz w:val="20"/>
              </w:rPr>
              <w:t>The manifestations of  -blocker overdose include bradycardia, atrioventricular (AV)blockade, hypotension, left ventricular failure and cardiogenic shock.</w:t>
            </w:r>
          </w:p>
          <w:p w:rsidR="057B7AC1" w:rsidP="0349FAD4" w:rsidRDefault="057B7AC1" w14:paraId="525E58BF" w14:textId="59BE960E">
            <w:pPr>
              <w:pStyle w:val="BodyText"/>
            </w:pPr>
            <w:r w:rsidRPr="0349FAD4">
              <w:rPr>
                <w:rFonts w:cs="Arial" w:asciiTheme="minorHAnsi" w:hAnsiTheme="minorHAnsi"/>
                <w:sz w:val="20"/>
              </w:rPr>
              <w:t xml:space="preserve">Common (&gt;1%) adverse reactions include bradycardia, hypotension, orthostatic </w:t>
            </w:r>
          </w:p>
          <w:p w:rsidR="057B7AC1" w:rsidP="3A936897" w:rsidRDefault="5D3D3838" w14:paraId="75A2C32C" w14:textId="6CF0BC03">
            <w:pPr>
              <w:pStyle w:val="BodyText"/>
              <w:rPr>
                <w:rFonts w:cs="Arial" w:asciiTheme="minorHAnsi" w:hAnsiTheme="minorHAnsi"/>
                <w:sz w:val="20"/>
              </w:rPr>
            </w:pPr>
            <w:r w:rsidRPr="3A936897">
              <w:rPr>
                <w:rFonts w:cs="Arial" w:asciiTheme="minorHAnsi" w:hAnsiTheme="minorHAnsi"/>
                <w:sz w:val="20"/>
              </w:rPr>
              <w:t>hypotension, transient worsening of heart failure (when treatment starts), nausea, diarrhoea, bronchospasm, dyspnoea, cold extremities, exacerbation of Raynaud’s</w:t>
            </w:r>
            <w:r w:rsidRPr="3A936897" w:rsidR="5D890828">
              <w:rPr>
                <w:rFonts w:cs="Arial" w:asciiTheme="minorHAnsi" w:hAnsiTheme="minorHAnsi"/>
                <w:sz w:val="20"/>
              </w:rPr>
              <w:t xml:space="preserve"> </w:t>
            </w:r>
            <w:r w:rsidRPr="3A936897">
              <w:rPr>
                <w:rFonts w:cs="Arial" w:asciiTheme="minorHAnsi" w:hAnsiTheme="minorHAnsi"/>
                <w:sz w:val="20"/>
              </w:rPr>
              <w:t>phenomenon, fatigue, dizziness, abnormal vision, alteration of glucose and lipid</w:t>
            </w:r>
            <w:r w:rsidRPr="3A936897" w:rsidR="2E9C3B48">
              <w:rPr>
                <w:rFonts w:cs="Arial" w:asciiTheme="minorHAnsi" w:hAnsiTheme="minorHAnsi"/>
                <w:sz w:val="20"/>
              </w:rPr>
              <w:t xml:space="preserve"> </w:t>
            </w:r>
            <w:r w:rsidRPr="3A936897">
              <w:rPr>
                <w:rFonts w:cs="Arial" w:asciiTheme="minorHAnsi" w:hAnsiTheme="minorHAnsi"/>
                <w:sz w:val="20"/>
              </w:rPr>
              <w:t>metabolism.</w:t>
            </w:r>
          </w:p>
          <w:p w:rsidR="0349FAD4" w:rsidP="0349FAD4" w:rsidRDefault="0349FAD4" w14:paraId="13B2742C" w14:textId="1B741D6D">
            <w:pPr>
              <w:pStyle w:val="BodyText"/>
              <w:rPr>
                <w:rFonts w:cs="Arial" w:asciiTheme="minorHAnsi" w:hAnsiTheme="minorHAnsi"/>
                <w:sz w:val="20"/>
              </w:rPr>
            </w:pPr>
          </w:p>
        </w:tc>
      </w:tr>
      <w:tr w:rsidR="0349FAD4" w:rsidTr="008074AA" w14:paraId="7B93F423" w14:textId="77777777">
        <w:trPr>
          <w:trHeight w:val="280"/>
        </w:trPr>
        <w:tc>
          <w:tcPr>
            <w:tcW w:w="2026" w:type="dxa"/>
          </w:tcPr>
          <w:p w:rsidR="0349FAD4" w:rsidP="0349FAD4" w:rsidRDefault="0349FAD4" w14:paraId="5F66B864" w14:textId="77777777">
            <w:pPr>
              <w:pStyle w:val="BodyText"/>
              <w:rPr>
                <w:rFonts w:cs="Arial" w:asciiTheme="minorHAnsi" w:hAnsiTheme="minorHAnsi"/>
                <w:b/>
                <w:bCs/>
                <w:sz w:val="20"/>
              </w:rPr>
            </w:pPr>
            <w:r w:rsidRPr="0349FAD4">
              <w:rPr>
                <w:rFonts w:cs="Arial" w:asciiTheme="minorHAnsi" w:hAnsiTheme="minorHAnsi"/>
                <w:b/>
                <w:bCs/>
                <w:sz w:val="20"/>
              </w:rPr>
              <w:t>Compatibility</w:t>
            </w:r>
          </w:p>
        </w:tc>
        <w:tc>
          <w:tcPr>
            <w:tcW w:w="7892" w:type="dxa"/>
          </w:tcPr>
          <w:p w:rsidR="4A182DAC" w:rsidP="0349FAD4" w:rsidRDefault="4A182DAC" w14:paraId="7D07C5BE" w14:textId="5BE2F138">
            <w:pPr>
              <w:pStyle w:val="BodyText"/>
              <w:rPr>
                <w:rFonts w:asciiTheme="minorHAnsi" w:hAnsiTheme="minorHAnsi"/>
                <w:sz w:val="20"/>
              </w:rPr>
            </w:pPr>
            <w:r w:rsidRPr="0349FAD4">
              <w:rPr>
                <w:rFonts w:asciiTheme="minorHAnsi" w:hAnsiTheme="minorHAnsi"/>
                <w:sz w:val="20"/>
              </w:rPr>
              <w:t>Initiation of treatment is recommended after stabilisation of heart failure symptoms.</w:t>
            </w:r>
          </w:p>
          <w:p w:rsidR="4A182DAC" w:rsidP="0349FAD4" w:rsidRDefault="4A182DAC" w14:paraId="771E2C79" w14:textId="00A07E76">
            <w:pPr>
              <w:pStyle w:val="BodyText"/>
            </w:pPr>
            <w:r w:rsidRPr="0349FAD4">
              <w:rPr>
                <w:rFonts w:asciiTheme="minorHAnsi" w:hAnsiTheme="minorHAnsi"/>
                <w:sz w:val="20"/>
              </w:rPr>
              <w:t>Avoid too fast up-titration.</w:t>
            </w:r>
          </w:p>
        </w:tc>
      </w:tr>
      <w:tr w:rsidR="0349FAD4" w:rsidTr="008074AA" w14:paraId="7C2CCBE9" w14:textId="77777777">
        <w:trPr>
          <w:trHeight w:val="215"/>
        </w:trPr>
        <w:tc>
          <w:tcPr>
            <w:tcW w:w="2026" w:type="dxa"/>
          </w:tcPr>
          <w:p w:rsidR="0349FAD4" w:rsidP="0349FAD4" w:rsidRDefault="0349FAD4" w14:paraId="3D7170CF" w14:textId="77777777">
            <w:pPr>
              <w:pStyle w:val="BodyText"/>
              <w:rPr>
                <w:rFonts w:cs="Arial" w:asciiTheme="minorHAnsi" w:hAnsiTheme="minorHAnsi"/>
                <w:b/>
                <w:bCs/>
                <w:sz w:val="20"/>
              </w:rPr>
            </w:pPr>
            <w:r w:rsidRPr="0349FAD4">
              <w:rPr>
                <w:rFonts w:cs="Arial" w:asciiTheme="minorHAnsi" w:hAnsiTheme="minorHAnsi"/>
                <w:b/>
                <w:bCs/>
                <w:sz w:val="20"/>
              </w:rPr>
              <w:lastRenderedPageBreak/>
              <w:t>Incompatibility</w:t>
            </w:r>
          </w:p>
        </w:tc>
        <w:tc>
          <w:tcPr>
            <w:tcW w:w="7892" w:type="dxa"/>
          </w:tcPr>
          <w:p w:rsidR="0349FAD4" w:rsidP="0349FAD4" w:rsidRDefault="0349FAD4" w14:paraId="7A388240" w14:textId="52C595D4">
            <w:pPr>
              <w:pStyle w:val="BodyText"/>
              <w:rPr>
                <w:rFonts w:cs="Arial" w:asciiTheme="minorHAnsi" w:hAnsiTheme="minorHAnsi"/>
                <w:sz w:val="20"/>
              </w:rPr>
            </w:pPr>
          </w:p>
        </w:tc>
      </w:tr>
      <w:tr w:rsidR="0349FAD4" w:rsidTr="008074AA" w14:paraId="366C7CE4" w14:textId="77777777">
        <w:trPr>
          <w:trHeight w:val="260"/>
        </w:trPr>
        <w:tc>
          <w:tcPr>
            <w:tcW w:w="2026" w:type="dxa"/>
          </w:tcPr>
          <w:p w:rsidR="0349FAD4" w:rsidP="0349FAD4" w:rsidRDefault="0349FAD4" w14:paraId="56212B0A" w14:textId="77777777">
            <w:pPr>
              <w:pStyle w:val="BodyText"/>
              <w:rPr>
                <w:rFonts w:cs="Arial" w:asciiTheme="minorHAnsi" w:hAnsiTheme="minorHAnsi"/>
                <w:b/>
                <w:bCs/>
                <w:sz w:val="20"/>
              </w:rPr>
            </w:pPr>
            <w:r w:rsidRPr="0349FAD4">
              <w:rPr>
                <w:rFonts w:cs="Arial" w:asciiTheme="minorHAnsi" w:hAnsiTheme="minorHAnsi"/>
                <w:b/>
                <w:bCs/>
                <w:sz w:val="20"/>
              </w:rPr>
              <w:t xml:space="preserve">Stability </w:t>
            </w:r>
          </w:p>
        </w:tc>
        <w:tc>
          <w:tcPr>
            <w:tcW w:w="7892" w:type="dxa"/>
          </w:tcPr>
          <w:p w:rsidR="01D24A58" w:rsidP="0349FAD4" w:rsidRDefault="01D24A58" w14:paraId="74FDAD14" w14:textId="6AF68CB7">
            <w:pPr>
              <w:rPr>
                <w:rFonts w:cs="Arial" w:asciiTheme="minorHAnsi" w:hAnsiTheme="minorHAnsi"/>
                <w:sz w:val="20"/>
              </w:rPr>
            </w:pPr>
            <w:r w:rsidRPr="0349FAD4">
              <w:rPr>
                <w:rFonts w:cs="Arial" w:asciiTheme="minorHAnsi" w:hAnsiTheme="minorHAnsi"/>
                <w:sz w:val="20"/>
              </w:rPr>
              <w:t xml:space="preserve">Auspman Oral Solution: 2-year shelf life. Refer to expiry on bottle. </w:t>
            </w:r>
          </w:p>
          <w:p w:rsidR="01D24A58" w:rsidP="0349FAD4" w:rsidRDefault="01D24A58" w14:paraId="0FBCDF8E" w14:textId="7B983D19">
            <w:r w:rsidRPr="0349FAD4">
              <w:rPr>
                <w:rFonts w:cs="Arial" w:asciiTheme="minorHAnsi" w:hAnsiTheme="minorHAnsi"/>
                <w:sz w:val="20"/>
              </w:rPr>
              <w:t>Hemangiol Oral Solution: Use within 2 months of opening.</w:t>
            </w:r>
          </w:p>
          <w:p w:rsidR="01D24A58" w:rsidP="0349FAD4" w:rsidRDefault="30E5FD44" w14:paraId="594C4D21" w14:textId="1F18A2E0">
            <w:r w:rsidRPr="3A936897">
              <w:rPr>
                <w:rFonts w:cs="Arial" w:asciiTheme="minorHAnsi" w:hAnsiTheme="minorHAnsi"/>
                <w:sz w:val="20"/>
              </w:rPr>
              <w:t>Compounded suspension from Pharmacy Department: Shelf life usually 30 days. Refer to expiry on bottle.</w:t>
            </w:r>
          </w:p>
          <w:p w:rsidR="0349FAD4" w:rsidP="0349FAD4" w:rsidRDefault="0349FAD4" w14:paraId="5C328625" w14:textId="21D8CA8C">
            <w:pPr>
              <w:rPr>
                <w:rFonts w:cs="Arial" w:asciiTheme="minorHAnsi" w:hAnsiTheme="minorHAnsi"/>
                <w:sz w:val="20"/>
              </w:rPr>
            </w:pPr>
          </w:p>
        </w:tc>
      </w:tr>
      <w:tr w:rsidR="0349FAD4" w:rsidTr="008074AA" w14:paraId="11EC98DE" w14:textId="77777777">
        <w:trPr>
          <w:trHeight w:val="265"/>
        </w:trPr>
        <w:tc>
          <w:tcPr>
            <w:tcW w:w="2026" w:type="dxa"/>
          </w:tcPr>
          <w:p w:rsidR="0349FAD4" w:rsidP="0349FAD4" w:rsidRDefault="0349FAD4" w14:paraId="5FD306D3" w14:textId="77777777">
            <w:pPr>
              <w:pStyle w:val="BodyText"/>
              <w:rPr>
                <w:rFonts w:cs="Arial" w:asciiTheme="minorHAnsi" w:hAnsiTheme="minorHAnsi"/>
                <w:b/>
                <w:bCs/>
                <w:sz w:val="20"/>
              </w:rPr>
            </w:pPr>
            <w:r w:rsidRPr="0349FAD4">
              <w:rPr>
                <w:rFonts w:cs="Arial" w:asciiTheme="minorHAnsi" w:hAnsiTheme="minorHAnsi"/>
                <w:b/>
                <w:bCs/>
                <w:sz w:val="20"/>
              </w:rPr>
              <w:t xml:space="preserve">Storage             </w:t>
            </w:r>
          </w:p>
        </w:tc>
        <w:tc>
          <w:tcPr>
            <w:tcW w:w="7892" w:type="dxa"/>
          </w:tcPr>
          <w:p w:rsidR="36CFEE0B" w:rsidP="0349FAD4" w:rsidRDefault="36CFEE0B" w14:paraId="22484EA8" w14:textId="56EB12D7">
            <w:pPr>
              <w:pStyle w:val="BodyText"/>
              <w:rPr>
                <w:rFonts w:cs="Arial" w:asciiTheme="minorHAnsi" w:hAnsiTheme="minorHAnsi"/>
                <w:sz w:val="20"/>
              </w:rPr>
            </w:pPr>
            <w:r w:rsidRPr="0349FAD4">
              <w:rPr>
                <w:rFonts w:cs="Arial" w:asciiTheme="minorHAnsi" w:hAnsiTheme="minorHAnsi"/>
                <w:sz w:val="20"/>
              </w:rPr>
              <w:t>Do not freeze. Protect from light.</w:t>
            </w:r>
          </w:p>
          <w:p w:rsidR="36CFEE0B" w:rsidP="0349FAD4" w:rsidRDefault="36CFEE0B" w14:paraId="4CB6ED6F" w14:textId="2B057BC2">
            <w:pPr>
              <w:pStyle w:val="BodyText"/>
            </w:pPr>
            <w:r w:rsidRPr="0349FAD4">
              <w:rPr>
                <w:rFonts w:cs="Arial" w:asciiTheme="minorHAnsi" w:hAnsiTheme="minorHAnsi"/>
                <w:sz w:val="20"/>
              </w:rPr>
              <w:t xml:space="preserve">Auspman Oral Solution: Store below 30°C. </w:t>
            </w:r>
          </w:p>
          <w:p w:rsidR="36CFEE0B" w:rsidP="0349FAD4" w:rsidRDefault="36CFEE0B" w14:paraId="5A6FFCF9" w14:textId="402626FB">
            <w:pPr>
              <w:pStyle w:val="BodyText"/>
            </w:pPr>
            <w:r w:rsidRPr="0349FAD4">
              <w:rPr>
                <w:rFonts w:cs="Arial" w:asciiTheme="minorHAnsi" w:hAnsiTheme="minorHAnsi"/>
                <w:sz w:val="20"/>
              </w:rPr>
              <w:t xml:space="preserve">Hemangiol Oral Solution: Store below 30°C. Do not freeze. Protect from light. </w:t>
            </w:r>
          </w:p>
          <w:p w:rsidR="36CFEE0B" w:rsidP="0349FAD4" w:rsidRDefault="7BE42083" w14:paraId="2A976E7B" w14:textId="4A030A48">
            <w:pPr>
              <w:pStyle w:val="BodyText"/>
            </w:pPr>
            <w:r w:rsidRPr="3A936897">
              <w:rPr>
                <w:rFonts w:cs="Arial" w:asciiTheme="minorHAnsi" w:hAnsiTheme="minorHAnsi"/>
                <w:sz w:val="20"/>
              </w:rPr>
              <w:t>Compounded suspension from Pharmacy Department: Refrigerate or store according to instructions on bottle.</w:t>
            </w:r>
          </w:p>
          <w:p w:rsidR="0349FAD4" w:rsidP="0349FAD4" w:rsidRDefault="0349FAD4" w14:paraId="55EF96B5" w14:textId="78240916">
            <w:pPr>
              <w:pStyle w:val="BodyText"/>
              <w:rPr>
                <w:rFonts w:cs="Arial" w:asciiTheme="minorHAnsi" w:hAnsiTheme="minorHAnsi"/>
                <w:sz w:val="20"/>
              </w:rPr>
            </w:pPr>
          </w:p>
        </w:tc>
      </w:tr>
      <w:tr w:rsidR="0349FAD4" w:rsidTr="008074AA" w14:paraId="6F552932" w14:textId="77777777">
        <w:trPr>
          <w:trHeight w:val="283"/>
        </w:trPr>
        <w:tc>
          <w:tcPr>
            <w:tcW w:w="2026" w:type="dxa"/>
          </w:tcPr>
          <w:p w:rsidR="0349FAD4" w:rsidP="0349FAD4" w:rsidRDefault="0349FAD4" w14:paraId="0A2D3A54" w14:textId="77777777">
            <w:pPr>
              <w:pStyle w:val="BodyText"/>
              <w:rPr>
                <w:rFonts w:cs="Arial" w:asciiTheme="minorHAnsi" w:hAnsiTheme="minorHAnsi"/>
                <w:b/>
                <w:bCs/>
                <w:sz w:val="20"/>
              </w:rPr>
            </w:pPr>
            <w:r w:rsidRPr="0349FAD4">
              <w:rPr>
                <w:rFonts w:cs="Arial" w:asciiTheme="minorHAnsi" w:hAnsiTheme="minorHAnsi"/>
                <w:b/>
                <w:bCs/>
                <w:sz w:val="20"/>
              </w:rPr>
              <w:t>Special Comments</w:t>
            </w:r>
          </w:p>
        </w:tc>
        <w:tc>
          <w:tcPr>
            <w:tcW w:w="7892" w:type="dxa"/>
          </w:tcPr>
          <w:p w:rsidR="2024C66A" w:rsidP="0349FAD4" w:rsidRDefault="2024C66A" w14:paraId="1D05907B" w14:textId="4B89FD47">
            <w:pPr>
              <w:pStyle w:val="BodyText"/>
              <w:rPr>
                <w:rFonts w:cs="Arial" w:asciiTheme="minorHAnsi" w:hAnsiTheme="minorHAnsi"/>
                <w:sz w:val="20"/>
              </w:rPr>
            </w:pPr>
            <w:r w:rsidRPr="0349FAD4">
              <w:rPr>
                <w:rFonts w:cs="Arial" w:asciiTheme="minorHAnsi" w:hAnsiTheme="minorHAnsi"/>
                <w:sz w:val="20"/>
              </w:rPr>
              <w:t xml:space="preserve">Initiation of treatment is recommended after stabilisation of heart failure symptoms. </w:t>
            </w:r>
          </w:p>
          <w:p w:rsidR="2024C66A" w:rsidP="0349FAD4" w:rsidRDefault="2024C66A" w14:paraId="1564FDAA" w14:textId="62956260">
            <w:pPr>
              <w:pStyle w:val="BodyText"/>
            </w:pPr>
            <w:r w:rsidRPr="0349FAD4">
              <w:rPr>
                <w:rFonts w:cs="Arial" w:asciiTheme="minorHAnsi" w:hAnsiTheme="minorHAnsi"/>
                <w:sz w:val="20"/>
              </w:rPr>
              <w:t>Avoid too fast up-titration.</w:t>
            </w:r>
          </w:p>
        </w:tc>
      </w:tr>
      <w:tr w:rsidR="0349FAD4" w:rsidTr="008074AA" w14:paraId="1B45499F" w14:textId="77777777">
        <w:trPr>
          <w:trHeight w:val="248"/>
        </w:trPr>
        <w:tc>
          <w:tcPr>
            <w:tcW w:w="2026" w:type="dxa"/>
          </w:tcPr>
          <w:p w:rsidR="0349FAD4" w:rsidP="0349FAD4" w:rsidRDefault="0349FAD4" w14:paraId="7DDD4D7F" w14:textId="77777777">
            <w:pPr>
              <w:pStyle w:val="BodyText"/>
              <w:rPr>
                <w:rFonts w:cs="Arial" w:asciiTheme="minorHAnsi" w:hAnsiTheme="minorHAnsi"/>
                <w:b/>
                <w:bCs/>
                <w:sz w:val="20"/>
              </w:rPr>
            </w:pPr>
            <w:r w:rsidRPr="0349FAD4">
              <w:rPr>
                <w:rFonts w:cs="Arial" w:asciiTheme="minorHAnsi" w:hAnsiTheme="minorHAnsi"/>
                <w:b/>
                <w:bCs/>
                <w:sz w:val="20"/>
              </w:rPr>
              <w:t>Evidence summary</w:t>
            </w:r>
          </w:p>
        </w:tc>
        <w:tc>
          <w:tcPr>
            <w:tcW w:w="7892" w:type="dxa"/>
          </w:tcPr>
          <w:p w:rsidRPr="005228DC" w:rsidR="30EB67BB" w:rsidP="0349FAD4" w:rsidRDefault="30EB67BB" w14:paraId="18DF79D0" w14:textId="2C6BC189">
            <w:pPr>
              <w:pStyle w:val="BodyText"/>
              <w:tabs>
                <w:tab w:val="left" w:pos="1168"/>
              </w:tabs>
              <w:rPr>
                <w:rFonts w:cs="Arial" w:asciiTheme="minorHAnsi" w:hAnsiTheme="minorHAnsi"/>
                <w:b/>
                <w:bCs/>
                <w:sz w:val="16"/>
                <w:szCs w:val="16"/>
              </w:rPr>
            </w:pPr>
            <w:r w:rsidRPr="005228DC">
              <w:rPr>
                <w:rFonts w:cs="Arial" w:asciiTheme="minorHAnsi" w:hAnsiTheme="minorHAnsi"/>
                <w:b/>
                <w:bCs/>
                <w:sz w:val="16"/>
                <w:szCs w:val="16"/>
              </w:rPr>
              <w:t>Efficacy:</w:t>
            </w:r>
          </w:p>
          <w:p w:rsidRPr="005228DC" w:rsidR="30EB67BB" w:rsidP="0349FAD4" w:rsidRDefault="30EB67BB" w14:paraId="675E516E" w14:textId="599CB9D0">
            <w:pPr>
              <w:pStyle w:val="BodyText"/>
              <w:tabs>
                <w:tab w:val="left" w:pos="1168"/>
              </w:tabs>
              <w:rPr>
                <w:sz w:val="16"/>
                <w:szCs w:val="16"/>
              </w:rPr>
            </w:pPr>
            <w:r w:rsidRPr="005228DC">
              <w:rPr>
                <w:rFonts w:cs="Arial" w:asciiTheme="minorHAnsi" w:hAnsiTheme="minorHAnsi"/>
                <w:b/>
                <w:bCs/>
                <w:sz w:val="16"/>
                <w:szCs w:val="16"/>
              </w:rPr>
              <w:t>Prevention and treatment of retinopathy of prematurity in preterm infants:</w:t>
            </w:r>
            <w:r w:rsidRPr="005228DC">
              <w:rPr>
                <w:rFonts w:cs="Arial" w:asciiTheme="minorHAnsi" w:hAnsiTheme="minorHAnsi"/>
                <w:sz w:val="16"/>
                <w:szCs w:val="16"/>
              </w:rPr>
              <w:t xml:space="preserve"> A</w:t>
            </w:r>
          </w:p>
          <w:p w:rsidRPr="005228DC" w:rsidR="30EB67BB" w:rsidP="0349FAD4" w:rsidRDefault="500228BA" w14:paraId="7DAF7455" w14:textId="4A73E584">
            <w:pPr>
              <w:pStyle w:val="BodyText"/>
              <w:tabs>
                <w:tab w:val="left" w:pos="1168"/>
              </w:tabs>
              <w:rPr>
                <w:sz w:val="16"/>
                <w:szCs w:val="16"/>
              </w:rPr>
            </w:pPr>
            <w:r w:rsidRPr="005228DC">
              <w:rPr>
                <w:rFonts w:cs="Arial" w:asciiTheme="minorHAnsi" w:hAnsiTheme="minorHAnsi"/>
                <w:sz w:val="16"/>
                <w:szCs w:val="16"/>
              </w:rPr>
              <w:t>systematic review [4] found 3 RCTs (participants = 366), with all studies comparing oral propranolol with placebo or no treatment for prevention of ROP. Filippi et al 2013 [5]</w:t>
            </w:r>
            <w:r w:rsidRPr="005228DC" w:rsidR="38C381AE">
              <w:rPr>
                <w:rFonts w:cs="Arial" w:asciiTheme="minorHAnsi" w:hAnsiTheme="minorHAnsi"/>
                <w:sz w:val="16"/>
                <w:szCs w:val="16"/>
              </w:rPr>
              <w:t xml:space="preserve"> </w:t>
            </w:r>
            <w:r w:rsidRPr="005228DC">
              <w:rPr>
                <w:rFonts w:cs="Arial" w:asciiTheme="minorHAnsi" w:hAnsiTheme="minorHAnsi"/>
                <w:sz w:val="16"/>
                <w:szCs w:val="16"/>
              </w:rPr>
              <w:t>compared oral propranolol 1 to 2 mg/kg/day versus no treatment. Propranolol was</w:t>
            </w:r>
            <w:r w:rsidRPr="005228DC" w:rsidR="4475BD25">
              <w:rPr>
                <w:rFonts w:cs="Arial" w:asciiTheme="minorHAnsi" w:hAnsiTheme="minorHAnsi"/>
                <w:sz w:val="16"/>
                <w:szCs w:val="16"/>
              </w:rPr>
              <w:t xml:space="preserve"> </w:t>
            </w:r>
            <w:r w:rsidRPr="005228DC">
              <w:rPr>
                <w:rFonts w:cs="Arial" w:asciiTheme="minorHAnsi" w:hAnsiTheme="minorHAnsi"/>
                <w:sz w:val="16"/>
                <w:szCs w:val="16"/>
              </w:rPr>
              <w:t xml:space="preserve">administered until complete retinal vascularisation and for a maximum of 90 days. </w:t>
            </w:r>
          </w:p>
          <w:p w:rsidRPr="005228DC" w:rsidR="30EB67BB" w:rsidP="0349FAD4" w:rsidRDefault="500228BA" w14:paraId="3CB19B07" w14:textId="366B538C">
            <w:pPr>
              <w:pStyle w:val="BodyText"/>
              <w:tabs>
                <w:tab w:val="left" w:pos="1168"/>
              </w:tabs>
              <w:rPr>
                <w:sz w:val="16"/>
                <w:szCs w:val="16"/>
              </w:rPr>
            </w:pPr>
            <w:r w:rsidRPr="005228DC">
              <w:rPr>
                <w:rFonts w:cs="Arial" w:asciiTheme="minorHAnsi" w:hAnsiTheme="minorHAnsi"/>
                <w:sz w:val="16"/>
                <w:szCs w:val="16"/>
              </w:rPr>
              <w:t>Korkmaz et al 2017 [6] compared propranolol 2 mg/kg/day or placebo from 31 weeks’ PMA (duration not reported). Sanghvi et al 2017[7] compared oral propranolol 1mg/kg/day or placebo (calcium carbonate 1 mg/kg/day) from 7 days of life and continued until complete retinal vascularisation or 37 weeks’ PMA. No trials assessed beta-blockers in infants with established stage 2 or higher ROP with plus disease. Meta-analysis of 3</w:t>
            </w:r>
            <w:r w:rsidRPr="005228DC" w:rsidR="61B2AEF0">
              <w:rPr>
                <w:rFonts w:cs="Arial" w:asciiTheme="minorHAnsi" w:hAnsiTheme="minorHAnsi"/>
                <w:sz w:val="16"/>
                <w:szCs w:val="16"/>
              </w:rPr>
              <w:t xml:space="preserve"> </w:t>
            </w:r>
            <w:r w:rsidRPr="005228DC">
              <w:rPr>
                <w:rFonts w:cs="Arial" w:asciiTheme="minorHAnsi" w:hAnsiTheme="minorHAnsi"/>
                <w:sz w:val="16"/>
                <w:szCs w:val="16"/>
              </w:rPr>
              <w:t>trials (n = 366) found oral beta-blockers reduced risk of requiring anti-VEGF agents (RR 0.32, 95% CI 0.12 to 0.86; I² = 0%; typical risk difference (RD) −0.06, 95% CI −0.10 to</w:t>
            </w:r>
            <w:r w:rsidRPr="005228DC" w:rsidR="07713C39">
              <w:rPr>
                <w:rFonts w:cs="Arial" w:asciiTheme="minorHAnsi" w:hAnsiTheme="minorHAnsi"/>
                <w:sz w:val="16"/>
                <w:szCs w:val="16"/>
              </w:rPr>
              <w:t xml:space="preserve"> </w:t>
            </w:r>
            <w:r w:rsidRPr="005228DC">
              <w:rPr>
                <w:rFonts w:cs="Arial" w:asciiTheme="minorHAnsi" w:hAnsiTheme="minorHAnsi"/>
                <w:sz w:val="16"/>
                <w:szCs w:val="16"/>
              </w:rPr>
              <w:t>−0.01; I² = 75%; NNTB 18, 95% CI 14 to 84) and laser therapy (RR 0.54, 95% CI 0.32 to 0.89; typical RD −0.09, 95% CI −0.16 to −0.02; I² = 31%; NNTB 12, 95% CI 8 to 47). Meta- analysis of 2 trials (n = 161) found a reduction in progression to stage 3 ROP (typical RR 0.60, 95% CI 0.37 to 0.96; I² = 0%; typical RD −0.15, 95% CI −0.28 to −0.02; I² = 73%; NNTB 7, 95% CI 5 to 67). There was no significant effect of oral beta-blockers on progression to stage 2 ROP with plus disease or to stage 4 or 5 ROP. Although meta-analysis did not</w:t>
            </w:r>
          </w:p>
          <w:p w:rsidRPr="005228DC" w:rsidR="30EB67BB" w:rsidP="3A936897" w:rsidRDefault="500228BA" w14:paraId="40AD2FFF" w14:textId="14AC682E">
            <w:pPr>
              <w:pStyle w:val="BodyText"/>
              <w:tabs>
                <w:tab w:val="left" w:pos="1168"/>
              </w:tabs>
              <w:rPr>
                <w:rFonts w:cs="Arial" w:asciiTheme="minorHAnsi" w:hAnsiTheme="minorHAnsi"/>
                <w:sz w:val="16"/>
                <w:szCs w:val="16"/>
              </w:rPr>
            </w:pPr>
            <w:r w:rsidRPr="005228DC">
              <w:rPr>
                <w:rFonts w:cs="Arial" w:asciiTheme="minorHAnsi" w:hAnsiTheme="minorHAnsi"/>
                <w:sz w:val="16"/>
                <w:szCs w:val="16"/>
              </w:rPr>
              <w:t>indicate a significant effect of beta-blockers on arterial hypotension or bradycardia</w:t>
            </w:r>
            <w:r w:rsidRPr="005228DC" w:rsidR="11C3B7EE">
              <w:rPr>
                <w:rFonts w:cs="Arial" w:asciiTheme="minorHAnsi" w:hAnsiTheme="minorHAnsi"/>
                <w:sz w:val="16"/>
                <w:szCs w:val="16"/>
              </w:rPr>
              <w:t xml:space="preserve"> </w:t>
            </w:r>
            <w:r w:rsidRPr="005228DC">
              <w:rPr>
                <w:rFonts w:cs="Arial" w:asciiTheme="minorHAnsi" w:hAnsiTheme="minorHAnsi"/>
                <w:sz w:val="16"/>
                <w:szCs w:val="16"/>
              </w:rPr>
              <w:t>propranolol dosage in one study was reduced by 50% in infants of less than 26 weeks’ gestational age due to severe hypotension, bradycardia, and apnoea in several</w:t>
            </w:r>
            <w:r w:rsidRPr="005228DC" w:rsidR="05C09DEF">
              <w:rPr>
                <w:rFonts w:cs="Arial" w:asciiTheme="minorHAnsi" w:hAnsiTheme="minorHAnsi"/>
                <w:sz w:val="16"/>
                <w:szCs w:val="16"/>
              </w:rPr>
              <w:t xml:space="preserve"> </w:t>
            </w:r>
            <w:r w:rsidRPr="005228DC">
              <w:rPr>
                <w:rFonts w:cs="Arial" w:asciiTheme="minorHAnsi" w:hAnsiTheme="minorHAnsi"/>
                <w:sz w:val="16"/>
                <w:szCs w:val="16"/>
              </w:rPr>
              <w:t>participants. Analyses did not indicate significant effects of beta-blockers on</w:t>
            </w:r>
            <w:r w:rsidRPr="005228DC" w:rsidR="40C85077">
              <w:rPr>
                <w:rFonts w:cs="Arial" w:asciiTheme="minorHAnsi" w:hAnsiTheme="minorHAnsi"/>
                <w:sz w:val="16"/>
                <w:szCs w:val="16"/>
              </w:rPr>
              <w:t xml:space="preserve"> </w:t>
            </w:r>
            <w:r w:rsidRPr="005228DC">
              <w:rPr>
                <w:rFonts w:cs="Arial" w:asciiTheme="minorHAnsi" w:hAnsiTheme="minorHAnsi"/>
                <w:sz w:val="16"/>
                <w:szCs w:val="16"/>
              </w:rPr>
              <w:t xml:space="preserve">complications of prematurity or mortality. None of the trials reported on long-term visual impairment. </w:t>
            </w:r>
          </w:p>
          <w:p w:rsidRPr="005228DC" w:rsidR="30EB67BB" w:rsidP="3A936897" w:rsidRDefault="500228BA" w14:paraId="4CFA07EB" w14:textId="349F6A8E">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 xml:space="preserve">Conclusion: </w:t>
            </w:r>
            <w:r w:rsidRPr="005228DC">
              <w:rPr>
                <w:rFonts w:cs="Arial" w:asciiTheme="minorHAnsi" w:hAnsiTheme="minorHAnsi"/>
                <w:sz w:val="16"/>
                <w:szCs w:val="16"/>
              </w:rPr>
              <w:t>Limited evidence of low-to-moderate quality suggests that</w:t>
            </w:r>
            <w:r w:rsidRPr="005228DC" w:rsidR="2CD0C196">
              <w:rPr>
                <w:rFonts w:cs="Arial" w:asciiTheme="minorHAnsi" w:hAnsiTheme="minorHAnsi"/>
                <w:sz w:val="16"/>
                <w:szCs w:val="16"/>
              </w:rPr>
              <w:t xml:space="preserve"> </w:t>
            </w:r>
            <w:r w:rsidRPr="005228DC">
              <w:rPr>
                <w:rFonts w:cs="Arial" w:asciiTheme="minorHAnsi" w:hAnsiTheme="minorHAnsi"/>
                <w:sz w:val="16"/>
                <w:szCs w:val="16"/>
              </w:rPr>
              <w:t>prophylactic administration of oral beta-blockers might reduce progression to stage 3 ROP and decrease the need for anti-VEGF agents or laser therapy. The clinical relevance</w:t>
            </w:r>
            <w:r w:rsidRPr="005228DC" w:rsidR="752F3306">
              <w:rPr>
                <w:rFonts w:cs="Arial" w:asciiTheme="minorHAnsi" w:hAnsiTheme="minorHAnsi"/>
                <w:sz w:val="16"/>
                <w:szCs w:val="16"/>
              </w:rPr>
              <w:t xml:space="preserve"> </w:t>
            </w:r>
            <w:r w:rsidRPr="005228DC">
              <w:rPr>
                <w:rFonts w:cs="Arial" w:asciiTheme="minorHAnsi" w:hAnsiTheme="minorHAnsi"/>
                <w:sz w:val="16"/>
                <w:szCs w:val="16"/>
              </w:rPr>
              <w:t>of those findings is unclear as no data on long-term visual impairment were reported.</w:t>
            </w:r>
            <w:r w:rsidRPr="005228DC" w:rsidR="7F003BFE">
              <w:rPr>
                <w:rFonts w:cs="Arial" w:asciiTheme="minorHAnsi" w:hAnsiTheme="minorHAnsi"/>
                <w:sz w:val="16"/>
                <w:szCs w:val="16"/>
              </w:rPr>
              <w:t xml:space="preserve"> </w:t>
            </w:r>
            <w:r w:rsidRPr="005228DC">
              <w:rPr>
                <w:rFonts w:cs="Arial" w:asciiTheme="minorHAnsi" w:hAnsiTheme="minorHAnsi"/>
                <w:sz w:val="16"/>
                <w:szCs w:val="16"/>
              </w:rPr>
              <w:t>Adverse events attributed to oral propranolol at a dose of 2 mg/kg/d raise concerns</w:t>
            </w:r>
            <w:r w:rsidRPr="005228DC" w:rsidR="6101DD9A">
              <w:rPr>
                <w:rFonts w:cs="Arial" w:asciiTheme="minorHAnsi" w:hAnsiTheme="minorHAnsi"/>
                <w:sz w:val="16"/>
                <w:szCs w:val="16"/>
              </w:rPr>
              <w:t xml:space="preserve"> </w:t>
            </w:r>
            <w:r w:rsidRPr="005228DC">
              <w:rPr>
                <w:rFonts w:cs="Arial" w:asciiTheme="minorHAnsi" w:hAnsiTheme="minorHAnsi"/>
                <w:sz w:val="16"/>
                <w:szCs w:val="16"/>
              </w:rPr>
              <w:t>regarding systemic administration of this drug for prevention of ROP at the given dose. There is insufficient evidence to determine the efficacy and safety of beta-blockers for prevention of ROP. [LOE I GOR D]</w:t>
            </w:r>
          </w:p>
          <w:p w:rsidRPr="005228DC" w:rsidR="0349FAD4" w:rsidP="0349FAD4" w:rsidRDefault="0349FAD4" w14:paraId="11A37A6A" w14:textId="2935C384">
            <w:pPr>
              <w:pStyle w:val="BodyText"/>
              <w:tabs>
                <w:tab w:val="left" w:pos="1168"/>
              </w:tabs>
              <w:rPr>
                <w:rFonts w:cs="Arial" w:asciiTheme="minorHAnsi" w:hAnsiTheme="minorHAnsi"/>
                <w:sz w:val="16"/>
                <w:szCs w:val="16"/>
              </w:rPr>
            </w:pPr>
          </w:p>
          <w:p w:rsidRPr="005228DC" w:rsidR="0B8D842D" w:rsidP="3A936897" w:rsidRDefault="14AADE10" w14:paraId="2C24E802" w14:textId="2F81013A">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Heart failure:</w:t>
            </w:r>
            <w:r w:rsidRPr="005228DC">
              <w:rPr>
                <w:rFonts w:cs="Arial" w:asciiTheme="minorHAnsi" w:hAnsiTheme="minorHAnsi"/>
                <w:sz w:val="16"/>
                <w:szCs w:val="16"/>
              </w:rPr>
              <w:t xml:space="preserve"> Two clinical trials have reported use of propranolol in infants with heart failure from congenital heart disease with left to right shunts [8, 9]. Buchhorn et al 2001</w:t>
            </w:r>
            <w:r w:rsidRPr="005228DC" w:rsidR="73D8B7EB">
              <w:rPr>
                <w:rFonts w:cs="Arial" w:asciiTheme="minorHAnsi" w:hAnsiTheme="minorHAnsi"/>
                <w:sz w:val="16"/>
                <w:szCs w:val="16"/>
              </w:rPr>
              <w:t xml:space="preserve"> </w:t>
            </w:r>
            <w:r w:rsidRPr="005228DC">
              <w:rPr>
                <w:rFonts w:cs="Arial" w:asciiTheme="minorHAnsi" w:hAnsiTheme="minorHAnsi"/>
                <w:sz w:val="16"/>
                <w:szCs w:val="16"/>
              </w:rPr>
              <w:t>[9] compared propranolol 1 to 2 mg/kg/day + digoxin and diuretics (n = 10) versus digoxin and diuretics alone (n = 10) and reported propranolol improved the Ross heart failure score, lowered renin levels and lowered mean heart rates, whilst digoxin and diuretic treated infants had unchanged mean heart rate, less decrease of symptoms and a significant increase of renin levels. Ahuja et al 2013 [8] compared propranolol 1 to 2 mg/kg/day + diuretics and digoxin (n = 40) versus diuretics and digoxin (n = 40) in infants with ventricular septal defect and congestive heart failure. Fourteen (35%) patients in the conventional arm and 10 (25%) in the beta-blocker arm reached the primary endpoint (composite endpoint of death, hospitalisation and referral for surgery). Worsening of heart failure occurred more commonly in the conventional treatment arm compared to the propranolol arm (27.5 vs 5%; p = 0.015). Two patients in the conventional treatment arm and one patient in the propranolol arm died. No episodes of bradycardia or bronchospasm were reported with propranolol treatment. A systematic review [10] of beta-blockers for congestive heart failure included 7 studies (420 paediatric participants). Aetiologies of heart failure and beta-blocker varied between studies. Participants had a background of dilated cardiomyopathy in 3 trials, and congenital heart disease in 5 trials. Two trials (Ahuja 2013; Buchhorn 2001) investigated propranolol; Ghader 2009 studied metoprolol, and 4 trials carvedilol (Azeka 2002; Huang 2013; Ontoseno 2014). No difference in mortality and heart transplantation rates were reported between beta-blocker and control groups in 3 trials (Ahuja 2013; Azeka 2002; Shaddy 2007). An improvement in heart failure was reported in 4 trials (Ahuja 2013; Azeka 2002; Buchhorn 2001; Huang 2013); although an improvement could not be shown in a larger trial of carvedilol that included 161 children aged 3 months to 17 years (Shaddy 2007). No severe adverse events were reported the studies, apart from one episode of complete atrioventricular block. There was a small improvement in echocardiographic parameters LVEF and LVFS (Azeka 2002; Huang 2013; Shaddy 2007). Conclusion: There is not enough evidence to support or discourage the use of beta-blockers in children or to propose a paediatric dosing scheme. However, the existing data suggest that children with congestive heart failure might benefit from treatment with beta-blockers.[10] [LOE I GOR C]</w:t>
            </w:r>
          </w:p>
          <w:p w:rsidRPr="005228DC" w:rsidR="0B8D842D" w:rsidP="0349FAD4" w:rsidRDefault="0B8D842D" w14:paraId="6E55DD73" w14:textId="3108A839">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lastRenderedPageBreak/>
              <w:t xml:space="preserve">Supraventricular tachycardia: </w:t>
            </w:r>
            <w:r w:rsidRPr="005228DC">
              <w:rPr>
                <w:rFonts w:cs="Arial" w:asciiTheme="minorHAnsi" w:hAnsiTheme="minorHAnsi"/>
                <w:sz w:val="16"/>
                <w:szCs w:val="16"/>
              </w:rPr>
              <w:t xml:space="preserve">A single RCT and 2 cohort studies have reported the effects of pharmacological treatment of SVT in infants and children. Sanatini et al 2012 [11] in a RCT of 61 infants &lt;4 months with SVT (atrioventricular reciprocating tachycardia or atrioventricular nodal re-entrant tachycardia excluding Wolff-Parkinson-White) compared digoxin (loading dose 30 micrograms/kg/day, maintenance 10.5 micrograms/kg/day) versus propranolol 0.5 mg/kg as a single dose then 1.0 mg/kg/dose 8 hourly. SVT recurred in 19% of patients on digoxin and 31% of patients on propranolol (P = 0.25). No first recurrence occurred after 110 days of treatment. The 6-month recurrence-free status was 79% for patients on digoxin and 67% for patients on propranolol (P = 0.34), and there were no first recurrences in either group between 6 and 12 months. There were no deaths and no serious adverse events related to study medication. Hornik et al 2014 [12] in a retrospective cohort of infants with SVT from the Pediatrix Medical Group neonatal ICU database compared 342 infants exposed to digoxin versus 142 infants exposed to propranolol. The incidence rate of treatment failure was 6.7/1,000 infant-days of exposure to digoxin and 15.4/1,000 infant-days of exposure to propranolol. Treatment failure was higher on propranolol when compared with that on digoxin (adjusted hazard ratio, 1.97; 95%CI 1.05–3.71). Hypotension was more frequent during exposure to digoxin versus propranolol (39.4 vs 11.1/1,000 infant-days; p &lt;0.001). There was no difference in frequency of other clinical adverse events. Bolin et al 2017 [13] reported a retrospective cohort of infants with SVT from the Pediatric Health Information System database admitted at ≤2 days of age with structurally normal hearts and treated with an antiarrhythmic medication. 2,657 neonates were identified with a median gestational age of 37 weeks (interquartile range 34 to 39). Digoxin and propranolol were most commonly prescribed; digoxin use steadily decreased to 23% of antiarrhythmic medication administrations over the study period, whereas propranolol increased to 77%. Multivariable comparisons revealed that the odds of mortality for neonates on propranolol were 0.32 times those on digoxin (95% CI 0.17 to 0.59; p &lt;0.001). Propranolol for the neonate with SVT is associated with lower in-hospital mortality and hospital costs compared with digoxin. </w:t>
            </w:r>
            <w:r w:rsidRPr="005228DC">
              <w:rPr>
                <w:rFonts w:cs="Arial" w:asciiTheme="minorHAnsi" w:hAnsiTheme="minorHAnsi"/>
                <w:b/>
                <w:bCs/>
                <w:i/>
                <w:iCs/>
                <w:sz w:val="16"/>
                <w:szCs w:val="16"/>
              </w:rPr>
              <w:t xml:space="preserve">Recommendation: </w:t>
            </w:r>
            <w:r w:rsidRPr="005228DC">
              <w:rPr>
                <w:rFonts w:cs="Arial" w:asciiTheme="minorHAnsi" w:hAnsiTheme="minorHAnsi"/>
                <w:sz w:val="16"/>
                <w:szCs w:val="16"/>
              </w:rPr>
              <w:t>ANZCOR recommendation for pharmacological management of specific dysrhythmias in the paediatric advanced life support guideline recommend adenosine as the drug of choice for SVT. Amiodarone may be used to treat haemodynamically stable or unstable SVT. Alternative drugs are procainamide, digoxin, a beta blocker or a calcium channel blocker. Calcium channel blockers should not be used to treat SVT in infants and should be avoided or used cautiously in children because they may induce hypotension and cardiac depression.[14] EHRA-AEPC Pediatric Cardiac Arrhythmias Consensus suggested dose for oral prophylactic propranolol for SVT and VT in infants: Propranolol 1–3 mg/kg in 3 divided doses daily.[15] [LOE II GOR C]</w:t>
            </w:r>
          </w:p>
          <w:p w:rsidRPr="005228DC" w:rsidR="0349FAD4" w:rsidP="0349FAD4" w:rsidRDefault="0349FAD4" w14:paraId="5F2AC122" w14:textId="70D10EDB">
            <w:pPr>
              <w:pStyle w:val="BodyText"/>
              <w:tabs>
                <w:tab w:val="left" w:pos="1168"/>
              </w:tabs>
              <w:rPr>
                <w:rFonts w:cs="Arial" w:asciiTheme="minorHAnsi" w:hAnsiTheme="minorHAnsi"/>
                <w:sz w:val="16"/>
                <w:szCs w:val="16"/>
              </w:rPr>
            </w:pPr>
          </w:p>
          <w:p w:rsidRPr="005228DC" w:rsidR="0B8D842D" w:rsidP="0349FAD4" w:rsidRDefault="0B8D842D" w14:paraId="0A30E3D1" w14:textId="6611C1D8">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Hypertension:</w:t>
            </w:r>
            <w:r w:rsidRPr="005228DC">
              <w:rPr>
                <w:rFonts w:cs="Arial" w:asciiTheme="minorHAnsi" w:hAnsiTheme="minorHAnsi"/>
                <w:sz w:val="16"/>
                <w:szCs w:val="16"/>
              </w:rPr>
              <w:t xml:space="preserve"> There are no clinical trials of antihypertensive use in newborn infants. In a retrospective survey of antihypertensive use in infants ≤32 weeks and ≤1500 g birth weight discharged from one of 348 neonatal intensive care units managed by the Pediatrix Medical Group, hydralazine was the most commonly prescribed antihypertensive drug (1280/2504, 51%), followed by the angiotensin converting enzyme inhibitors captopril (734/2504, 29%) and enalapril (457/2504, 18%) (Table 3). Propranolol was the most commonly used adrenergic receptor blocker (380/2504, 15%) while amlodipine was the most commonly used calcium channel blocker (193/2504, 8%). [16] In adults with hypertension, a systematic review found 13 RCTs that compared beta-blockers to placebo (4 RCTs, 23,613 participants), diuretics (5 RCTs, 18,241 participants), calcium-channel blockers (CCBs: 4 RCTs, 44,825 participants), and renin-angiotensin system (RAS) inhibitors (3 RCTs, 10,828 participants). The most common beta-blocker reported was atenolol. Initiating treatment of hypertension with beta-blockers leads to modest CVD reductions and little or no effects on mortality. These beta-blocker effects are inferior to those of other antihypertensive drugs. Recommendation: In a review of treatment of hypertension in paediatric patients, beta-blockers are not considered first-line management. If used, dosage recommendations were: Propranolol: Initial: 1–2 mg/kg/day up to 80 mg/day; Maximum: 4 mg/kg/day up to 640 mg/day; given in 2 to 3 divided doses.[17] (LOE IV GOR B]</w:t>
            </w:r>
          </w:p>
          <w:p w:rsidRPr="005228DC" w:rsidR="6151ED29" w:rsidP="0349FAD4" w:rsidRDefault="6151ED29" w14:paraId="6D939AD1" w14:textId="5B8E1FD8">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 xml:space="preserve">Safety: </w:t>
            </w:r>
            <w:r w:rsidRPr="005228DC">
              <w:rPr>
                <w:rFonts w:cs="Arial" w:asciiTheme="minorHAnsi" w:hAnsiTheme="minorHAnsi"/>
                <w:sz w:val="16"/>
                <w:szCs w:val="16"/>
              </w:rPr>
              <w:t>-adrenoceptor blockers are considered to be quite safe in recommended doses mainly because of their large therapeutic indices. One of their indications is chronic heart failure with reduced ejection fraction. However, their introduction may cause transient worsening of heart failure symptoms (e.g. too fast up-titration) due to their negative inotropic action. The initiation of treatment is recommended after stabilisation of heart failure symptoms. An increased risk of toxicity can be also the result of interactions with other drugs (see drug interactions). The manifestations of -blocker overdose include bradycardia, atrioventricular (AV) blockade, hypotension, left ventricular failure and cardiogenic shock.[18]</w:t>
            </w:r>
          </w:p>
          <w:p w:rsidRPr="005228DC" w:rsidR="6151ED29" w:rsidP="0349FAD4" w:rsidRDefault="6151ED29" w14:paraId="25D25092" w14:textId="0DD669AB">
            <w:pPr>
              <w:pStyle w:val="BodyText"/>
              <w:tabs>
                <w:tab w:val="left" w:pos="1168"/>
              </w:tabs>
              <w:rPr>
                <w:sz w:val="16"/>
                <w:szCs w:val="16"/>
              </w:rPr>
            </w:pPr>
            <w:r w:rsidRPr="005228DC">
              <w:rPr>
                <w:rFonts w:cs="Arial" w:asciiTheme="minorHAnsi" w:hAnsiTheme="minorHAnsi"/>
                <w:sz w:val="16"/>
                <w:szCs w:val="16"/>
              </w:rPr>
              <w:t xml:space="preserve"> </w:t>
            </w:r>
          </w:p>
          <w:p w:rsidRPr="005228DC" w:rsidR="6151ED29" w:rsidP="0349FAD4" w:rsidRDefault="6151ED29" w14:paraId="06D69063" w14:textId="644AFB3E">
            <w:pPr>
              <w:pStyle w:val="BodyText"/>
              <w:tabs>
                <w:tab w:val="left" w:pos="1168"/>
              </w:tabs>
              <w:rPr>
                <w:sz w:val="16"/>
                <w:szCs w:val="16"/>
              </w:rPr>
            </w:pPr>
            <w:r w:rsidRPr="005228DC">
              <w:rPr>
                <w:rFonts w:cs="Arial" w:asciiTheme="minorHAnsi" w:hAnsiTheme="minorHAnsi"/>
                <w:sz w:val="16"/>
                <w:szCs w:val="16"/>
              </w:rPr>
              <w:t>Reported adverse effects of oral propranolol include hypoglycaemia, bradycardia, hypotension, bronchospasm, sleep disturbance and gastrointestinal disorders. [1, 4] In clinical trials of propranolol versus placebo for prevention of ROP in preterm infants, there was no significant difference in arterial hypotension, bradycardia or bronchospasm requiring treatment or hypoglycaemia (glucose level &lt;2.5 mmol/L). However, the only infants with these adverse events in the included trials received propranolol. Propranolol dosage in one trial (Filippi at al 2013 [5]) was reduced by 50% in infants of less than 26 weeks’ gestation due to severe hypotension, bradycardia and apnoea in several extremely preterm infants. Meta-analysis from two trials did not indicate an effect of prophylactic oral beta-blockers on mortality or complications of preterm birth. [4] Meta-analysis of clinical trials of propranolol versus placebo for infantile haemangiomas found there was no significant difference in these serious adverse effects (5.3% versus 3.6% respectively).[1]</w:t>
            </w:r>
          </w:p>
          <w:p w:rsidRPr="005228DC" w:rsidR="0349FAD4" w:rsidP="0349FAD4" w:rsidRDefault="0349FAD4" w14:paraId="5D171942" w14:textId="40C00F0A">
            <w:pPr>
              <w:pStyle w:val="BodyText"/>
              <w:tabs>
                <w:tab w:val="left" w:pos="1168"/>
              </w:tabs>
              <w:rPr>
                <w:rFonts w:cs="Arial" w:asciiTheme="minorHAnsi" w:hAnsiTheme="minorHAnsi"/>
                <w:sz w:val="16"/>
                <w:szCs w:val="16"/>
              </w:rPr>
            </w:pPr>
          </w:p>
          <w:p w:rsidRPr="005228DC" w:rsidR="6151ED29" w:rsidP="0349FAD4" w:rsidRDefault="6151ED29" w14:paraId="33074CB6" w14:textId="053D12D1">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Tetralogy of Fallot cyanotic spells:</w:t>
            </w:r>
            <w:r w:rsidRPr="005228DC">
              <w:rPr>
                <w:rFonts w:cs="Arial" w:asciiTheme="minorHAnsi" w:hAnsiTheme="minorHAnsi"/>
                <w:sz w:val="16"/>
                <w:szCs w:val="16"/>
              </w:rPr>
              <w:t xml:space="preserve"> A review of case series of patient with tetralogy of Fallot cyanotic spells found 4 of the 6 case reviews reported a decrease in the number of recurring cyanotic spells in at least 66% of the participants following introduction of beta-blockers. Side effects reported included bradycardia, wheezing and death. [19] There was insufficient dosage reporting, but one study of 35 patients between the ages of 2 and 30 months receiving propranolol between 2.0 and 4.0 mg/kg/day reported treatment was successful in 80%.[20] [LOE IV GOR D]</w:t>
            </w:r>
          </w:p>
          <w:p w:rsidRPr="005228DC" w:rsidR="0349FAD4" w:rsidP="0349FAD4" w:rsidRDefault="0349FAD4" w14:paraId="0E0DE70E" w14:textId="6A377F74">
            <w:pPr>
              <w:pStyle w:val="BodyText"/>
              <w:tabs>
                <w:tab w:val="left" w:pos="1168"/>
              </w:tabs>
              <w:rPr>
                <w:rFonts w:cs="Arial" w:asciiTheme="minorHAnsi" w:hAnsiTheme="minorHAnsi"/>
                <w:sz w:val="16"/>
                <w:szCs w:val="16"/>
              </w:rPr>
            </w:pPr>
          </w:p>
          <w:p w:rsidRPr="005228DC" w:rsidR="6151ED29" w:rsidP="0349FAD4" w:rsidRDefault="6151ED29" w14:paraId="5AD9539F" w14:textId="6FB77000">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Phaeochromocytoma:</w:t>
            </w:r>
            <w:r w:rsidRPr="005228DC">
              <w:rPr>
                <w:rFonts w:cs="Arial" w:asciiTheme="minorHAnsi" w:hAnsiTheme="minorHAnsi"/>
                <w:sz w:val="16"/>
                <w:szCs w:val="16"/>
              </w:rPr>
              <w:t xml:space="preserve"> This is rare in infants. Case series describe successful pre-operative management of hypertension with a sequential combination of phenoxybenzamine (alpha-blocker) (0.2 to 4 mg/kg/day) and propranolol (1 to 10 mg/kg/day).[21, 22]</w:t>
            </w:r>
          </w:p>
          <w:p w:rsidRPr="005228DC" w:rsidR="0349FAD4" w:rsidP="0349FAD4" w:rsidRDefault="0349FAD4" w14:paraId="503525C6" w14:textId="35B7DDF1">
            <w:pPr>
              <w:pStyle w:val="BodyText"/>
              <w:tabs>
                <w:tab w:val="left" w:pos="1168"/>
              </w:tabs>
              <w:rPr>
                <w:rFonts w:cs="Arial" w:asciiTheme="minorHAnsi" w:hAnsiTheme="minorHAnsi"/>
                <w:sz w:val="16"/>
                <w:szCs w:val="16"/>
              </w:rPr>
            </w:pPr>
          </w:p>
          <w:p w:rsidRPr="005228DC" w:rsidR="6151ED29" w:rsidP="0349FAD4" w:rsidRDefault="6151ED29" w14:paraId="5B13AD8E" w14:textId="15B38123">
            <w:pPr>
              <w:pStyle w:val="BodyText"/>
              <w:tabs>
                <w:tab w:val="left" w:pos="1168"/>
              </w:tabs>
              <w:rPr>
                <w:rFonts w:cs="Arial" w:asciiTheme="minorHAnsi" w:hAnsiTheme="minorHAnsi"/>
                <w:sz w:val="16"/>
                <w:szCs w:val="16"/>
              </w:rPr>
            </w:pPr>
            <w:r w:rsidRPr="005228DC">
              <w:rPr>
                <w:rFonts w:cs="Arial" w:asciiTheme="minorHAnsi" w:hAnsiTheme="minorHAnsi"/>
                <w:b/>
                <w:bCs/>
                <w:sz w:val="16"/>
                <w:szCs w:val="16"/>
              </w:rPr>
              <w:t>Neonatal thyrotoxicosis:</w:t>
            </w:r>
            <w:r w:rsidRPr="005228DC">
              <w:rPr>
                <w:rFonts w:cs="Arial" w:asciiTheme="minorHAnsi" w:hAnsiTheme="minorHAnsi"/>
                <w:sz w:val="16"/>
                <w:szCs w:val="16"/>
              </w:rPr>
              <w:t xml:space="preserve"> Beta-blockers (propranolol 2 mg/kg/day divided in 2 doses for 1–2 weeks) are effective at controlling the symptoms such as tachycardia, hypertension, and poor feeding.33 Other suggested regimens included 8-hourly doses.34-37</w:t>
            </w:r>
          </w:p>
          <w:p w:rsidRPr="005228DC" w:rsidR="6151ED29" w:rsidP="0349FAD4" w:rsidRDefault="6151ED29" w14:paraId="48B6D2C6" w14:textId="25586A37">
            <w:pPr>
              <w:pStyle w:val="BodyText"/>
              <w:tabs>
                <w:tab w:val="left" w:pos="1168"/>
              </w:tabs>
              <w:rPr>
                <w:sz w:val="16"/>
                <w:szCs w:val="16"/>
              </w:rPr>
            </w:pPr>
            <w:r w:rsidRPr="005228DC">
              <w:rPr>
                <w:rFonts w:cs="Arial" w:asciiTheme="minorHAnsi" w:hAnsiTheme="minorHAnsi"/>
                <w:sz w:val="16"/>
                <w:szCs w:val="16"/>
              </w:rPr>
              <w:t xml:space="preserve"> </w:t>
            </w:r>
          </w:p>
          <w:p w:rsidRPr="005228DC" w:rsidR="6151ED29" w:rsidP="0349FAD4" w:rsidRDefault="6151ED29" w14:paraId="0BFAC9F6" w14:textId="46019BCD">
            <w:pPr>
              <w:pStyle w:val="BodyText"/>
              <w:tabs>
                <w:tab w:val="left" w:pos="1168"/>
              </w:tabs>
              <w:rPr>
                <w:rFonts w:cs="Arial" w:asciiTheme="minorHAnsi" w:hAnsiTheme="minorHAnsi"/>
                <w:b/>
                <w:bCs/>
                <w:sz w:val="16"/>
                <w:szCs w:val="16"/>
              </w:rPr>
            </w:pPr>
            <w:r w:rsidRPr="005228DC">
              <w:rPr>
                <w:rFonts w:cs="Arial" w:asciiTheme="minorHAnsi" w:hAnsiTheme="minorHAnsi"/>
                <w:b/>
                <w:bCs/>
                <w:sz w:val="16"/>
                <w:szCs w:val="16"/>
              </w:rPr>
              <w:t>Pharmacokinetics/pharmacodynamics:</w:t>
            </w:r>
          </w:p>
          <w:p w:rsidRPr="005228DC" w:rsidR="6151ED29" w:rsidP="0349FAD4" w:rsidRDefault="6151ED29" w14:paraId="7C944BAC" w14:textId="3CF9A3DA">
            <w:pPr>
              <w:pStyle w:val="BodyText"/>
              <w:tabs>
                <w:tab w:val="left" w:pos="1168"/>
              </w:tabs>
              <w:rPr>
                <w:sz w:val="16"/>
                <w:szCs w:val="16"/>
              </w:rPr>
            </w:pPr>
            <w:r w:rsidRPr="005228DC">
              <w:rPr>
                <w:rFonts w:cs="Arial" w:asciiTheme="minorHAnsi" w:hAnsiTheme="minorHAnsi"/>
                <w:sz w:val="16"/>
                <w:szCs w:val="16"/>
              </w:rPr>
              <w:t xml:space="preserve"> Propranolol is highly lipophilic and undergoes first-pass metabolism by the liver with only ∼25% of oral propranolol reaching the systemic circulation. Multiple pathways in the cytochrome P450 system are involved in propranolol’s metabolism.[23]</w:t>
            </w:r>
          </w:p>
          <w:p w:rsidRPr="005228DC" w:rsidR="6151ED29" w:rsidP="0349FAD4" w:rsidRDefault="6151ED29" w14:paraId="58181069" w14:textId="07D327D9">
            <w:pPr>
              <w:pStyle w:val="BodyText"/>
              <w:tabs>
                <w:tab w:val="left" w:pos="1168"/>
              </w:tabs>
              <w:rPr>
                <w:sz w:val="16"/>
                <w:szCs w:val="16"/>
              </w:rPr>
            </w:pPr>
            <w:r w:rsidRPr="005228DC">
              <w:rPr>
                <w:rFonts w:cs="Arial" w:asciiTheme="minorHAnsi" w:hAnsiTheme="minorHAnsi"/>
                <w:sz w:val="16"/>
                <w:szCs w:val="16"/>
              </w:rPr>
              <w:t xml:space="preserve"> Filippi et al 2013 [24] reported pharmacokinetic parameters at steady state in newborns treated with 0.5 mg/kg 6 hourly. The maximal (71.7 ± 29.8 ng/mL), minimal (42.2 ± 20.8 ng/mL) and average concentration (60.8 ± 25.0 ng/mL), time of maximal concentration</w:t>
            </w:r>
          </w:p>
          <w:p w:rsidRPr="005228DC" w:rsidR="6151ED29" w:rsidP="0349FAD4" w:rsidRDefault="6151ED29" w14:paraId="61AAE051" w14:textId="7B6E3F1C">
            <w:pPr>
              <w:pStyle w:val="BodyText"/>
              <w:tabs>
                <w:tab w:val="left" w:pos="1168"/>
              </w:tabs>
              <w:rPr>
                <w:sz w:val="16"/>
                <w:szCs w:val="16"/>
              </w:rPr>
            </w:pPr>
            <w:r w:rsidRPr="005228DC">
              <w:rPr>
                <w:rFonts w:cs="Arial" w:asciiTheme="minorHAnsi" w:hAnsiTheme="minorHAnsi"/>
                <w:sz w:val="16"/>
                <w:szCs w:val="16"/>
              </w:rPr>
              <w:t>(2.6 ± 0.9 hour) and area under the time-concentration curve (364.7 ± 150.2 ng/mL/hour) were similar to those observed in adults. In both dosing groups, elimination half-life was significantly longer (14.9 ± 4.3 and 15.9 ± 6.1 hours) and apparent total body clearance (27.2 ± 13.9 and 31.3 ± 13.3 mL/kg/min), lower than reported in adults, suggesting a slower metabolism in newborns. No differences were observed between newborns with different gestational age or different sex.</w:t>
            </w:r>
          </w:p>
          <w:p w:rsidRPr="005228DC" w:rsidR="0349FAD4" w:rsidP="0349FAD4" w:rsidRDefault="0349FAD4" w14:paraId="14412806" w14:textId="361E10D9">
            <w:pPr>
              <w:pStyle w:val="BodyText"/>
              <w:tabs>
                <w:tab w:val="left" w:pos="1168"/>
              </w:tabs>
              <w:rPr>
                <w:rFonts w:cs="Arial" w:asciiTheme="minorHAnsi" w:hAnsiTheme="minorHAnsi"/>
                <w:sz w:val="16"/>
                <w:szCs w:val="16"/>
              </w:rPr>
            </w:pPr>
          </w:p>
        </w:tc>
      </w:tr>
      <w:tr w:rsidR="0349FAD4" w:rsidTr="008074AA" w14:paraId="5BB22E87" w14:textId="77777777">
        <w:trPr>
          <w:trHeight w:val="361"/>
        </w:trPr>
        <w:tc>
          <w:tcPr>
            <w:tcW w:w="2026" w:type="dxa"/>
          </w:tcPr>
          <w:p w:rsidR="0349FAD4" w:rsidP="0349FAD4" w:rsidRDefault="0349FAD4" w14:paraId="2720E632" w14:textId="77777777">
            <w:pPr>
              <w:pStyle w:val="BodyText"/>
              <w:rPr>
                <w:rFonts w:cs="Arial" w:asciiTheme="minorHAnsi" w:hAnsiTheme="minorHAnsi"/>
                <w:b/>
                <w:bCs/>
                <w:sz w:val="20"/>
              </w:rPr>
            </w:pPr>
            <w:r w:rsidRPr="0349FAD4">
              <w:rPr>
                <w:rFonts w:asciiTheme="minorHAnsi" w:hAnsiTheme="minorHAnsi"/>
                <w:b/>
                <w:bCs/>
                <w:sz w:val="20"/>
              </w:rPr>
              <w:lastRenderedPageBreak/>
              <w:t>References</w:t>
            </w:r>
          </w:p>
        </w:tc>
        <w:tc>
          <w:tcPr>
            <w:tcW w:w="7892" w:type="dxa"/>
          </w:tcPr>
          <w:p w:rsidR="6114EC30" w:rsidP="0083246D" w:rsidRDefault="4E2F6946" w14:paraId="33C1449B" w14:textId="181F5008">
            <w:pPr>
              <w:pStyle w:val="ListParagraph"/>
              <w:numPr>
                <w:ilvl w:val="0"/>
                <w:numId w:val="2"/>
              </w:numPr>
            </w:pPr>
            <w:r w:rsidRPr="005228DC">
              <w:rPr>
                <w:rFonts w:asciiTheme="minorHAnsi" w:hAnsiTheme="minorHAnsi" w:eastAsiaTheme="minorEastAsia" w:cstheme="minorBidi"/>
                <w:sz w:val="16"/>
                <w:szCs w:val="16"/>
              </w:rPr>
              <w:t>Novoa M, Baselga E, Beltran S, Giraldo L, Shahbaz A, Pardo-Hernandez H, Arevalo-Rodriguez I. Interventions for infantile haemangiomas of the skin. Cochrane Database Syst Rev. 2018;4:CD006545.</w:t>
            </w:r>
            <w:r w:rsidRPr="005228DC" w:rsidR="6114EC30">
              <w:rPr>
                <w:rFonts w:asciiTheme="minorHAnsi" w:hAnsiTheme="minorHAnsi" w:eastAsiaTheme="minorEastAsia" w:cstheme="minorBidi"/>
                <w:sz w:val="16"/>
                <w:szCs w:val="16"/>
              </w:rPr>
              <w:t xml:space="preserve"> </w:t>
            </w:r>
          </w:p>
          <w:p w:rsidR="6114EC30" w:rsidP="0083246D" w:rsidRDefault="4E2F6946" w14:paraId="52180DD8" w14:textId="3DDAE04F">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Lou Y, Peng WJ, Cao Y, Cao DS, Xie J, Li HH. The effectiveness of propranolol in treating infantile haemangiomas: a meta-analysis including 35 studies. Br J Clin Pharmacol. 2014;78:44-57. </w:t>
            </w:r>
          </w:p>
          <w:p w:rsidR="6114EC30" w:rsidP="0083246D" w:rsidRDefault="4E2F6946" w14:paraId="646ACCFB" w14:textId="649319E4">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Broeks IJ, Hermans DJ, Dassel AC, van der Vleuten CJ, van Beynum IM. Propranolol treatment in life-threatening airway hemangiomas: a case series and review of literature. Int J Pediatr Otorhinolaryngol. 2013;77:1791-800. </w:t>
            </w:r>
          </w:p>
          <w:p w:rsidR="6114EC30" w:rsidP="0083246D" w:rsidRDefault="4E2F6946" w14:paraId="6CD0C511" w14:textId="2FE2EE7B">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Kaempfen S, Neumann RP, Jost K, Schulzke SM. Beta-blockers for prevention and treatment of retinopathy of prematurity in preterm infants. Cochrane Database Syst Rev. 2018;3:CD011893. </w:t>
            </w:r>
          </w:p>
          <w:p w:rsidR="6114EC30" w:rsidP="0083246D" w:rsidRDefault="4E2F6946" w14:paraId="63105423" w14:textId="4DE5F9CD">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Filippi L, Cavallaro G, Bagnoli P, Dal Monte M, Fiorini P, Donzelli G, Tinelli F, Araimo G, Cristofori G, la Marca G, Della Bona ML, La Torre A, Fortunato P, Furlanetto S, Osnaghi S, Mosca F. Oral propranolol for retinopathy of prematurity: risks, safety concerns, and perspectives. J Pediatr. 2013;163:1570-7 e6. </w:t>
            </w:r>
          </w:p>
          <w:p w:rsidR="6114EC30" w:rsidP="0083246D" w:rsidRDefault="4E2F6946" w14:paraId="7474995F" w14:textId="2BEA0F22">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Korkmaz L, Bastug O, Ozdemir A, Korkut S, Karaca C, Akin MA, Gunes T, Kurtoglu S, Ozturk MA. The Efficacy of Propranolol in Retinopathy of Prematurity and its Correlation with the Platelet Mass Index. Curr Eye Res. 2017;42:88-97. </w:t>
            </w:r>
          </w:p>
          <w:p w:rsidR="6114EC30" w:rsidP="0083246D" w:rsidRDefault="4E2F6946" w14:paraId="62F4B9E9" w14:textId="0EA690CB">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Sanghvi KP, Kabra NS, Padhi P, Singh U, Dash SK, Avasthi BS. Prophylactic propranolol for prevention of ROP and visual outcome at 1 year (PreROP trial). Arch Dis Child Fetal Neonatal Ed. 2017;102:F389-F94. </w:t>
            </w:r>
          </w:p>
          <w:p w:rsidR="6114EC30" w:rsidP="0083246D" w:rsidRDefault="4E2F6946" w14:paraId="560A32AC" w14:textId="4A0BE865">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Ahuja RS, Ramakrishnan S, Kothari SS, Bhatt K, Gupta SK, Juneja R, Saxena A, Bahl VK. Propranolol in infants with ventricular septal defect with heart failure(VSD-phf study). Annals of Pediatric Cardiology. 2013;6 (1):105-6. </w:t>
            </w:r>
          </w:p>
          <w:p w:rsidR="6114EC30" w:rsidP="0083246D" w:rsidRDefault="4E2F6946" w14:paraId="2500324E" w14:textId="2268DAAA">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Buchhorn R, Hulpke-Wette M, Hilgers R, Bartmus D, Wessel A, Bursch J. Propranolol treatment of congestive heart failure in infants with congenital heart disease: The CHF-PRO-INFANT Trial. Congestive heart failure in infants treated with propanol. Int J Cardiol. 2001;79:167-73. </w:t>
            </w:r>
          </w:p>
          <w:p w:rsidR="6114EC30" w:rsidP="0083246D" w:rsidRDefault="4E2F6946" w14:paraId="3DFF04AF" w14:textId="39C9E5B9">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Alabed S, Sabouni A, Al Dakhoul S, Bdaiwi Y, Frobel-Mercier AK. Beta-blockers for congestive heart failure in children. Cochrane Database Syst Rev. 2016:CD007037. </w:t>
            </w:r>
          </w:p>
          <w:p w:rsidR="005228DC" w:rsidP="0083246D" w:rsidRDefault="4E2F6946" w14:paraId="36E5A5CD" w14:textId="77777777">
            <w:pPr>
              <w:pStyle w:val="ListParagraph"/>
              <w:numPr>
                <w:ilvl w:val="0"/>
                <w:numId w:val="2"/>
              </w:numPr>
              <w:rPr>
                <w:rFonts w:asciiTheme="minorHAnsi" w:hAnsiTheme="minorHAnsi" w:eastAsiaTheme="minorEastAsia" w:cstheme="minorBidi"/>
                <w:sz w:val="16"/>
                <w:szCs w:val="16"/>
              </w:rPr>
            </w:pPr>
            <w:r w:rsidRPr="005228DC">
              <w:rPr>
                <w:rFonts w:asciiTheme="minorHAnsi" w:hAnsiTheme="minorHAnsi" w:eastAsiaTheme="minorEastAsia" w:cstheme="minorBidi"/>
                <w:sz w:val="16"/>
                <w:szCs w:val="16"/>
              </w:rPr>
              <w:t>Sanatani S, Potts JE, Reed JH, Saul JP, Stephenson EA, Gibbs KA, Anderson CC, Mackie AS, Ro PS, Tisma-Dupanovic S, Kanter RJ, Batra AS, Fournier A, Blaufox AD, Singh HR, Ross BA, Wong KK, Bar-Cohen Y, McCrindle BW, Etheridge SP. The study of antiarrhythmic medications in infancy (SAMIS): a multicenter, randomized controlled trial comparing the efficacy and safety of digoxin versus propranolol for prophylaxis of supraventricular tachycardia in infants. Circ Arrhythm Electrophysiol. 2012;5:984-91.</w:t>
            </w:r>
          </w:p>
          <w:p w:rsidRPr="005228DC" w:rsidR="6114EC30" w:rsidP="0083246D" w:rsidRDefault="4E2F6946" w14:paraId="0ED2562F" w14:textId="2F400230">
            <w:pPr>
              <w:pStyle w:val="ListParagraph"/>
              <w:numPr>
                <w:ilvl w:val="0"/>
                <w:numId w:val="2"/>
              </w:numPr>
              <w:rPr>
                <w:rFonts w:asciiTheme="minorHAnsi" w:hAnsiTheme="minorHAnsi" w:eastAsiaTheme="minorEastAsia" w:cstheme="minorBidi"/>
                <w:sz w:val="16"/>
                <w:szCs w:val="16"/>
              </w:rPr>
            </w:pPr>
            <w:r w:rsidRPr="005228DC">
              <w:rPr>
                <w:rFonts w:asciiTheme="minorHAnsi" w:hAnsiTheme="minorHAnsi" w:eastAsiaTheme="minorEastAsia" w:cstheme="minorBidi"/>
                <w:sz w:val="16"/>
                <w:szCs w:val="16"/>
              </w:rPr>
              <w:t xml:space="preserve">Hornik CP, Chu PY, Li JS, Clark RH, Smith PB, Hill KD. Comparative effectiveness of digoxin and propranolol for supraventricular tachycardia in infants. Pediatr Crit Care Med. 2014;15:839-45. </w:t>
            </w:r>
          </w:p>
          <w:p w:rsidR="6114EC30" w:rsidP="0083246D" w:rsidRDefault="4E2F6946" w14:paraId="27E6A23A" w14:textId="418F5F8E">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Bolin EH, Lang SM, Tang X, Collins RT. Propranolol Versus Digoxin in the Neonate for Supraventricular Tachycardia (from the Pediatric Health Information System). Am J Cardiol. 2017;119:1605-10. </w:t>
            </w:r>
          </w:p>
          <w:p w:rsidR="6114EC30" w:rsidP="0083246D" w:rsidRDefault="4E2F6946" w14:paraId="59A14E4D" w14:textId="3A20C6A7">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ANZCOR Guideline 12.5 – Management of Specific Dysrhythmias in Paediatric Advanced Life Support. https://resus.org.au/wpfb-file/anzcor-guideline-12-5-management-of-spec-dys-aug16-pdf/ 2016. </w:t>
            </w:r>
          </w:p>
          <w:p w:rsidR="6114EC30" w:rsidP="0083246D" w:rsidRDefault="4E2F6946" w14:paraId="7E0D09F3" w14:textId="23D607E3">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Brugada J, Blom N, Sarquella-Brugada G, Blomstrom-Lundqvist C, Deanfield J, Janousek J, Abrams D, Bauersfeld U, Brugada R, Drago F, De Groot N, Happonen JM, Hebe J, Yen Ho S, Marijon E, Paul T, Pfammatter JP, Rosenthal E. Pharmacological and non-pharmacological therapy for arrhythmias in the pediatric population: EHRA and AEPC-Arrhythmia Working Group joint consensus statement. Europace. 2013;15:1337-82. </w:t>
            </w:r>
          </w:p>
          <w:p w:rsidR="6114EC30" w:rsidP="0083246D" w:rsidRDefault="4E2F6946" w14:paraId="7D835BBE" w14:textId="4DA03A26">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Ravisankar S, Kuehn D, Clark RH, Greenberg RG, Smith PB, Hornik CP. Antihypertensive drug exposure in premature infants from 1997 to 2013. Cardiology in the Young. 2017;27:905-11. </w:t>
            </w:r>
          </w:p>
          <w:p w:rsidR="6114EC30" w:rsidP="0083246D" w:rsidRDefault="4E2F6946" w14:paraId="60B92531" w14:textId="347CDC1D">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Robinson RF, Nahata MC, Batisky DL, Mahan JD. Pharmacologic treatment of chronic pediatric hypertension. Paediatr Drugs. 2005;7:27-40. </w:t>
            </w:r>
          </w:p>
          <w:p w:rsidR="6114EC30" w:rsidP="0083246D" w:rsidRDefault="4E2F6946" w14:paraId="56A9266E" w14:textId="077D0C11">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lastRenderedPageBreak/>
              <w:t xml:space="preserve">Mladenka P, Applova L, Patocka J, Costa VM, Remiao F, Pourova J, Mladenka A, Karlickova J, Jahodar L, Voprsalova M, Varner KJ, Sterba M. Comprehensive review of cardiovascular toxicity of drugs and related agents. Medicinal Research Reviews. 2018;38:1332-403. </w:t>
            </w:r>
          </w:p>
          <w:p w:rsidR="6114EC30" w:rsidP="0083246D" w:rsidRDefault="4E2F6946" w14:paraId="40483607" w14:textId="59D4EA2F">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Fanous E, Mogyorosy G. Does the prophylactic and therapeutic use of beta-blockers in preoperative patients with tetralogy of Fallot significantly prevent and treat the occurrence of cyanotic spells? Interactive Cardiovascular and Thoracic Surgery. 2017;25:647-50. </w:t>
            </w:r>
          </w:p>
          <w:p w:rsidR="6114EC30" w:rsidP="0083246D" w:rsidRDefault="4E2F6946" w14:paraId="576EC117" w14:textId="3634D967">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Garson A, Jr., Gillette PC, McNamara DG. Propranolol: the preferred palliation for tetralogy of Fallot. Am J Cardiol. 1981;47:1098-104. </w:t>
            </w:r>
          </w:p>
          <w:p w:rsidR="6114EC30" w:rsidP="0083246D" w:rsidRDefault="4E2F6946" w14:paraId="6D482593" w14:textId="248510EC">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Deal JE, Sever PS, Barratt TM, Dillon MJ. Phaeochromocytoma - Investigation and management of 10 cases. Archives of Disease in Childhood. 1990;65:269-74.</w:t>
            </w:r>
            <w:r w:rsidR="6114EC30">
              <w:br/>
            </w:r>
            <w:r w:rsidRPr="3A936897">
              <w:rPr>
                <w:rFonts w:asciiTheme="minorHAnsi" w:hAnsiTheme="minorHAnsi" w:eastAsiaTheme="minorEastAsia" w:cstheme="minorBidi"/>
                <w:sz w:val="16"/>
                <w:szCs w:val="16"/>
              </w:rPr>
              <w:t xml:space="preserve"> </w:t>
            </w:r>
          </w:p>
          <w:p w:rsidR="6114EC30" w:rsidP="0083246D" w:rsidRDefault="4E2F6946" w14:paraId="0617A672" w14:textId="79F86827">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Romero M, Kapur G, Baracco R, Valentini RP, Mattoo TK, Jain A. Treatment of Hypertension in Children With Catecholamine-Secreting Tumors: A Systematic Approach. Journal of Clinical Hypertension. 2015;17:720-5. </w:t>
            </w:r>
          </w:p>
          <w:p w:rsidR="6114EC30" w:rsidP="0083246D" w:rsidRDefault="4E2F6946" w14:paraId="4659457A" w14:textId="7D98D10C">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Drolet BA, Frommelt PC, Chamlin SL, Haggstrom A, Bauman NM, Chiu YE, Chun RH, Garzon MC, Holland KE, Liberman L, MacLellan-Tobert S, Mancini AJ, Metry D, Puttgen KB, Seefeldt M, Sidbury R, Ward KM, Blei F, Baselga E, Cassidy L, Darrow DH, Joachim S, Kwon EKM, Martin K, Perkins J, Siegel DH, Boucek RJ, Frieden IJ. Initiation and use of propranolol for infantile hemangioma: Report of a consensus conference. Pediatrics. 2013;131:128-40. </w:t>
            </w:r>
          </w:p>
          <w:p w:rsidR="6114EC30" w:rsidP="0083246D" w:rsidRDefault="4E2F6946" w14:paraId="10FED81F" w14:textId="7DD1D520">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Filippi L, Cavallaro G, Fiorini P, Malvagia S, Della Bona ML, Giocaliere E, Bagnoli P, Dal Monte M, Mosca F, Donzelli G, la Marca G. Propranolol concentrations after oral administration in term and preterm neonates. J Matern Fetal Neonatal Med. 2013;26:833-40. </w:t>
            </w:r>
          </w:p>
          <w:p w:rsidR="6114EC30" w:rsidP="0083246D" w:rsidRDefault="4E2F6946" w14:paraId="2E23EAC8" w14:textId="33733697">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Australian Medicines Handbook. Accessed 05/09/2018: https://amhonline.amh.net.au.acs.hcn.com.au/ </w:t>
            </w:r>
          </w:p>
          <w:p w:rsidR="6114EC30" w:rsidP="0083246D" w:rsidRDefault="4E2F6946" w14:paraId="06736414" w14:textId="766C5982">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MIMSOnline. Accessed 05/09/2018: https://www.mimsonline.com.au.acs.hcn.com.au/ </w:t>
            </w:r>
          </w:p>
          <w:p w:rsidR="6114EC30" w:rsidP="0083246D" w:rsidRDefault="4E2F6946" w14:paraId="1F335690" w14:textId="29239000">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van der Kaay DC, Wasserman JD, Palmert MR. Management of neonates born to mothers with Graves’ disease. Pediatrics. 2016 Apr 1;137(4):e20151878. </w:t>
            </w:r>
          </w:p>
          <w:p w:rsidR="6114EC30" w:rsidP="0083246D" w:rsidRDefault="4E2F6946" w14:paraId="7B82B10A" w14:textId="3FD237D2">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LaFranchi S, Geffner ME, Hoppin AG. Evaluation and management of neonatal Graves’ disease. UptoDate online. Accessed on 11 April 2019.</w:t>
            </w:r>
          </w:p>
          <w:p w:rsidRPr="005228DC" w:rsidR="0349FAD4" w:rsidP="0083246D" w:rsidRDefault="4E2F6946" w14:paraId="62621997" w14:textId="0AAE6929">
            <w:pPr>
              <w:pStyle w:val="ListParagraph"/>
              <w:numPr>
                <w:ilvl w:val="0"/>
                <w:numId w:val="2"/>
              </w:numPr>
              <w:rPr>
                <w:rFonts w:asciiTheme="minorHAnsi" w:hAnsiTheme="minorHAnsi" w:eastAsiaTheme="minorEastAsia" w:cstheme="minorBidi"/>
                <w:sz w:val="16"/>
                <w:szCs w:val="16"/>
              </w:rPr>
            </w:pPr>
            <w:r w:rsidRPr="005228DC">
              <w:rPr>
                <w:rFonts w:asciiTheme="minorHAnsi" w:hAnsiTheme="minorHAnsi" w:eastAsiaTheme="minorEastAsia" w:cstheme="minorBidi"/>
                <w:sz w:val="16"/>
                <w:szCs w:val="16"/>
              </w:rPr>
              <w:t>Ogilvy-Stuart AL. Neonatal thyrotoxicosis. Neoreviews. 2017 Jul 1;18(7):e422-30.</w:t>
            </w:r>
          </w:p>
          <w:p w:rsidR="6114EC30" w:rsidP="0083246D" w:rsidRDefault="4E2F6946" w14:paraId="3E590900" w14:textId="399021A9">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 xml:space="preserve">Markham LA, Stevens DL. A case report of neonatal thyrotoxicosis due to maternal autoimmune hyperthyroidism. Adv Neonat Care. 2003;3:272-82; quiz 83-5. </w:t>
            </w:r>
          </w:p>
          <w:p w:rsidR="6114EC30" w:rsidP="0083246D" w:rsidRDefault="4E2F6946" w14:paraId="071D0D9E" w14:textId="0085DC11">
            <w:pPr>
              <w:pStyle w:val="ListParagraph"/>
              <w:numPr>
                <w:ilvl w:val="0"/>
                <w:numId w:val="2"/>
              </w:numPr>
              <w:rPr>
                <w:rFonts w:asciiTheme="minorHAnsi" w:hAnsiTheme="minorHAnsi" w:eastAsiaTheme="minorEastAsia" w:cstheme="minorBidi"/>
                <w:sz w:val="16"/>
                <w:szCs w:val="16"/>
              </w:rPr>
            </w:pPr>
            <w:r w:rsidRPr="3A936897">
              <w:rPr>
                <w:rFonts w:asciiTheme="minorHAnsi" w:hAnsiTheme="minorHAnsi" w:eastAsiaTheme="minorEastAsia" w:cstheme="minorBidi"/>
                <w:sz w:val="16"/>
                <w:szCs w:val="16"/>
              </w:rPr>
              <w:t>Smith C, Thomsett M, Choong C, Rodda C, McIntyre HD, Cotterill AM. Congenital thyrotoxicosis in premature infants. Clin Endocrinol (Oxf). 2001;54:371-6.</w:t>
            </w:r>
          </w:p>
          <w:p w:rsidR="0349FAD4" w:rsidP="0349FAD4" w:rsidRDefault="0349FAD4" w14:paraId="2130C440" w14:textId="1C531726">
            <w:pPr>
              <w:rPr>
                <w:rFonts w:asciiTheme="minorHAnsi" w:hAnsiTheme="minorHAnsi" w:eastAsiaTheme="minorEastAsia" w:cstheme="minorBidi"/>
                <w:sz w:val="16"/>
                <w:szCs w:val="16"/>
              </w:rPr>
            </w:pPr>
          </w:p>
        </w:tc>
      </w:tr>
    </w:tbl>
    <w:p w:rsidRPr="00E25790" w:rsidR="00115F48" w:rsidP="006F0321" w:rsidRDefault="00115F48" w14:paraId="268358F0" w14:textId="133D90A0"/>
    <w:tbl>
      <w:tblPr>
        <w:tblW w:w="0" w:type="auto"/>
        <w:tblInd w:w="-34" w:type="dxa"/>
        <w:tblLook w:val="04A0" w:firstRow="1" w:lastRow="0" w:firstColumn="1" w:lastColumn="0" w:noHBand="0" w:noVBand="1"/>
      </w:tblPr>
      <w:tblGrid>
        <w:gridCol w:w="4108"/>
        <w:gridCol w:w="4817"/>
      </w:tblGrid>
      <w:tr w:rsidR="0020431B" w:rsidTr="48F57877" w14:paraId="3272E78B"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700CB3FC" w14:textId="7065F9ED">
            <w:pPr>
              <w:spacing w:line="252" w:lineRule="auto"/>
              <w:rPr>
                <w:b/>
                <w:bCs/>
              </w:rPr>
            </w:pPr>
            <w:r w:rsidRPr="0349FAD4">
              <w:rPr>
                <w:b/>
                <w:bCs/>
              </w:rPr>
              <w:t>Original version Date:</w:t>
            </w:r>
            <w:r w:rsidRPr="0349FAD4" w:rsidR="5B3287EE">
              <w:rPr>
                <w:b/>
                <w:bCs/>
              </w:rPr>
              <w:t xml:space="preserve"> 15/04/2019</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3DFE5600" w14:textId="30D43D5E">
            <w:pPr>
              <w:spacing w:line="252" w:lineRule="auto"/>
              <w:rPr>
                <w:b/>
                <w:bCs/>
              </w:rPr>
            </w:pPr>
            <w:r w:rsidRPr="0349FAD4">
              <w:rPr>
                <w:b/>
                <w:bCs/>
              </w:rPr>
              <w:t>Author: NMF Consensus Group</w:t>
            </w:r>
          </w:p>
        </w:tc>
      </w:tr>
      <w:tr w:rsidR="007A0A41" w:rsidTr="48F57877" w14:paraId="7C822306"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2DD00538" w14:textId="0D5B046B">
            <w:pPr>
              <w:spacing w:line="252" w:lineRule="auto"/>
            </w:pPr>
            <w:r w:rsidRPr="0349FAD4">
              <w:rPr>
                <w:b/>
                <w:bCs/>
              </w:rPr>
              <w:t>Current Version number: 1</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449B50CB" w14:textId="508412B9">
            <w:pPr>
              <w:spacing w:line="252" w:lineRule="auto"/>
              <w:rPr>
                <w:b/>
                <w:bCs/>
              </w:rPr>
            </w:pPr>
            <w:r w:rsidRPr="0349FAD4">
              <w:rPr>
                <w:b/>
                <w:bCs/>
              </w:rPr>
              <w:t xml:space="preserve">Current Version Date: </w:t>
            </w:r>
            <w:r w:rsidRPr="0349FAD4" w:rsidR="3432BE2E">
              <w:rPr>
                <w:b/>
                <w:bCs/>
              </w:rPr>
              <w:t>15/04/2019</w:t>
            </w:r>
          </w:p>
        </w:tc>
      </w:tr>
      <w:tr w:rsidR="007A0A41" w:rsidTr="48F57877" w14:paraId="6C81D5B8"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6A6F3920" w14:textId="71640981">
            <w:pPr>
              <w:spacing w:line="252" w:lineRule="auto"/>
              <w:rPr>
                <w:b/>
                <w:bCs/>
              </w:rPr>
            </w:pPr>
            <w:r w:rsidRPr="0349FAD4">
              <w:rPr>
                <w:b/>
                <w:bCs/>
              </w:rPr>
              <w:t xml:space="preserve">Risk Rating: </w:t>
            </w:r>
            <w:r w:rsidRPr="0349FAD4" w:rsidR="45C9616C">
              <w:rPr>
                <w:b/>
                <w:bCs/>
              </w:rPr>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36813E63" w14:textId="23E94D35">
            <w:pPr>
              <w:spacing w:line="252" w:lineRule="auto"/>
              <w:rPr>
                <w:b/>
                <w:bCs/>
              </w:rPr>
            </w:pPr>
            <w:r w:rsidRPr="0349FAD4">
              <w:rPr>
                <w:b/>
                <w:bCs/>
              </w:rPr>
              <w:t xml:space="preserve">Due for Review: </w:t>
            </w:r>
            <w:r w:rsidRPr="0349FAD4" w:rsidR="29E60557">
              <w:rPr>
                <w:b/>
                <w:bCs/>
              </w:rPr>
              <w:t>15/04/2024</w:t>
            </w:r>
          </w:p>
        </w:tc>
      </w:tr>
      <w:tr w:rsidR="007A0A41" w:rsidTr="48F57877" w14:paraId="6C90FCE3"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7DDCB4A0" w14:textId="66EE7671">
            <w:pPr>
              <w:spacing w:line="252" w:lineRule="auto"/>
            </w:pPr>
            <w:r w:rsidRPr="48F57877">
              <w:rPr>
                <w:b/>
                <w:bCs/>
              </w:rPr>
              <w:t xml:space="preserve">Approval by: </w:t>
            </w:r>
            <w:r w:rsidRPr="48F57877" w:rsidR="6234544A">
              <w:rPr>
                <w:b/>
                <w:bCs/>
              </w:rPr>
              <w:t>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46EE7222" w14:textId="74E0B350">
            <w:pPr>
              <w:spacing w:line="252" w:lineRule="auto"/>
            </w:pPr>
            <w:r w:rsidRPr="0349FAD4">
              <w:rPr>
                <w:b/>
                <w:bCs/>
              </w:rPr>
              <w:t>Approval Date:</w:t>
            </w:r>
          </w:p>
        </w:tc>
      </w:tr>
    </w:tbl>
    <w:p w:rsidRPr="00E25790" w:rsidR="00115F48" w:rsidP="0349FAD4" w:rsidRDefault="00115F48" w14:paraId="00A57727" w14:textId="21CFB699"/>
    <w:p w:rsidRPr="00E25790" w:rsidR="00115F48" w:rsidP="006F0321" w:rsidRDefault="00115F48" w14:paraId="568263EA" w14:textId="77777777">
      <w:r w:rsidRPr="00E25790">
        <w:br w:type="page"/>
      </w:r>
    </w:p>
    <w:tbl>
      <w:tblPr>
        <w:tblW w:w="9049" w:type="dxa"/>
        <w:tblLayout w:type="fixed"/>
        <w:tblLook w:val="0000" w:firstRow="0" w:lastRow="0" w:firstColumn="0" w:lastColumn="0" w:noHBand="0" w:noVBand="0"/>
      </w:tblPr>
      <w:tblGrid>
        <w:gridCol w:w="4095"/>
        <w:gridCol w:w="4954"/>
      </w:tblGrid>
      <w:tr w:rsidRPr="00E25790" w:rsidR="00115F48" w:rsidTr="00FB1E38" w14:paraId="27269838"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115F48" w:rsidP="009469DB" w:rsidRDefault="00115F48" w14:paraId="633FF1A8" w14:textId="77777777">
            <w:pPr>
              <w:pStyle w:val="Heading1"/>
            </w:pPr>
            <w:bookmarkStart w:name="_Toc38106912" w:id="507"/>
            <w:bookmarkStart w:name="_Toc75340034" w:id="508"/>
            <w:r w:rsidRPr="00E25790">
              <w:lastRenderedPageBreak/>
              <w:t>Prostaglandin E1(Alprostadil)</w:t>
            </w:r>
            <w:bookmarkEnd w:id="507"/>
            <w:bookmarkEnd w:id="508"/>
            <w:r w:rsidRPr="00E25790">
              <w:t xml:space="preserve"> </w:t>
            </w:r>
            <w:r w:rsidRPr="00E25790">
              <w:fldChar w:fldCharType="begin"/>
            </w:r>
            <w:r w:rsidRPr="00E25790">
              <w:instrText>tc "Prostaglandin E1" \l 0</w:instrText>
            </w:r>
            <w:r w:rsidRPr="00E25790">
              <w:fldChar w:fldCharType="end"/>
            </w:r>
            <w:r w:rsidRPr="00E25790">
              <w:t xml:space="preserve"> </w:t>
            </w:r>
          </w:p>
        </w:tc>
      </w:tr>
      <w:tr w:rsidRPr="00E25790" w:rsidR="00115F48" w:rsidTr="00FB1E38" w14:paraId="518B82B7" w14:textId="77777777">
        <w:trPr>
          <w:cantSplit/>
          <w:trHeight w:val="480"/>
        </w:trPr>
        <w:tc>
          <w:tcPr>
            <w:tcW w:w="4095" w:type="dxa"/>
            <w:tcBorders>
              <w:top w:val="double" w:color="auto" w:sz="6" w:space="0"/>
              <w:left w:val="single" w:color="auto" w:sz="6" w:space="0"/>
              <w:bottom w:val="double" w:color="auto" w:sz="6" w:space="0"/>
              <w:right w:val="single" w:color="auto" w:sz="4" w:space="0"/>
            </w:tcBorders>
            <w:shd w:val="clear" w:color="auto" w:fill="FFFF00"/>
          </w:tcPr>
          <w:p w:rsidRPr="00E25790" w:rsidR="00115F48" w:rsidP="006F0321" w:rsidRDefault="00115F48" w14:paraId="0EAA5C30" w14:textId="77777777">
            <w:r w:rsidRPr="00E25790">
              <w:t>Revision Date</w:t>
            </w:r>
            <w:r w:rsidRPr="00E25790">
              <w:rPr>
                <w:b/>
              </w:rPr>
              <w:t xml:space="preserve"> : </w:t>
            </w:r>
            <w:r w:rsidRPr="00E25790" w:rsidR="0071607C">
              <w:rPr>
                <w:b/>
              </w:rPr>
              <w:t>28/10/2019</w:t>
            </w:r>
          </w:p>
        </w:tc>
        <w:tc>
          <w:tcPr>
            <w:tcW w:w="4954" w:type="dxa"/>
            <w:tcBorders>
              <w:top w:val="double" w:color="auto" w:sz="6" w:space="0"/>
              <w:left w:val="single" w:color="auto" w:sz="4" w:space="0"/>
              <w:bottom w:val="double" w:color="auto" w:sz="6" w:space="0"/>
              <w:right w:val="double" w:color="auto" w:sz="6" w:space="0"/>
            </w:tcBorders>
            <w:shd w:val="clear" w:color="auto" w:fill="FFFF00"/>
          </w:tcPr>
          <w:p w:rsidRPr="00E25790" w:rsidR="00115F48" w:rsidP="006F0321" w:rsidRDefault="00115F48" w14:paraId="389F479F" w14:textId="77777777">
            <w:r w:rsidRPr="00E25790">
              <w:t xml:space="preserve">Approved: </w:t>
            </w:r>
            <w:r w:rsidRPr="00E25790" w:rsidR="0071607C">
              <w:t>TC, KOH</w:t>
            </w:r>
          </w:p>
        </w:tc>
      </w:tr>
    </w:tbl>
    <w:p w:rsidRPr="00E25790" w:rsidR="00115F48" w:rsidP="006F0321" w:rsidRDefault="00115F48" w14:paraId="70228C28" w14:textId="77777777"/>
    <w:tbl>
      <w:tblPr>
        <w:tblW w:w="9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38"/>
        <w:gridCol w:w="7055"/>
      </w:tblGrid>
      <w:tr w:rsidRPr="0074216B" w:rsidR="0071607C" w:rsidTr="005228DC" w14:paraId="1FC94D51" w14:textId="77777777">
        <w:trPr>
          <w:trHeight w:val="70"/>
        </w:trPr>
        <w:tc>
          <w:tcPr>
            <w:tcW w:w="2438" w:type="dxa"/>
          </w:tcPr>
          <w:p w:rsidRPr="0071607C" w:rsidR="0071607C" w:rsidP="00FB1E38" w:rsidRDefault="0071607C" w14:paraId="7867C706" w14:textId="77777777">
            <w:pPr>
              <w:pStyle w:val="BodyText"/>
              <w:jc w:val="left"/>
            </w:pPr>
            <w:r w:rsidRPr="0071607C">
              <w:t>Alert</w:t>
            </w:r>
          </w:p>
        </w:tc>
        <w:tc>
          <w:tcPr>
            <w:tcW w:w="7055" w:type="dxa"/>
          </w:tcPr>
          <w:p w:rsidRPr="0071607C" w:rsidR="0071607C" w:rsidP="00FB1E38" w:rsidRDefault="0071607C" w14:paraId="404B31FB" w14:textId="77777777">
            <w:pPr>
              <w:pStyle w:val="BodyText"/>
              <w:jc w:val="left"/>
            </w:pPr>
            <w:r w:rsidRPr="0071607C">
              <w:t>1 microgram = 1000 nanograms.</w:t>
            </w:r>
          </w:p>
        </w:tc>
      </w:tr>
      <w:tr w:rsidRPr="0074216B" w:rsidR="0071607C" w:rsidTr="005228DC" w14:paraId="57AB935A" w14:textId="77777777">
        <w:trPr>
          <w:trHeight w:val="553"/>
        </w:trPr>
        <w:tc>
          <w:tcPr>
            <w:tcW w:w="2438" w:type="dxa"/>
          </w:tcPr>
          <w:p w:rsidRPr="0071607C" w:rsidR="0071607C" w:rsidP="00FB1E38" w:rsidRDefault="0071607C" w14:paraId="08A7DBD2" w14:textId="77777777">
            <w:pPr>
              <w:pStyle w:val="BodyText"/>
              <w:jc w:val="left"/>
            </w:pPr>
            <w:r w:rsidRPr="0071607C">
              <w:t xml:space="preserve">Indication                         </w:t>
            </w:r>
          </w:p>
          <w:p w:rsidRPr="0071607C" w:rsidR="0071607C" w:rsidP="00FB1E38" w:rsidRDefault="0071607C" w14:paraId="2AA8AE07" w14:textId="77777777">
            <w:pPr>
              <w:pStyle w:val="BodyText"/>
              <w:jc w:val="left"/>
            </w:pPr>
          </w:p>
        </w:tc>
        <w:tc>
          <w:tcPr>
            <w:tcW w:w="7055" w:type="dxa"/>
          </w:tcPr>
          <w:p w:rsidRPr="0071607C" w:rsidR="0071607C" w:rsidP="00FB1E38" w:rsidRDefault="0071607C" w14:paraId="242918DD" w14:textId="77777777">
            <w:r w:rsidRPr="0071607C">
              <w:t xml:space="preserve">For temporary maintenance of ductus arteriosus patency until corrective or palliative surgery can be performed in neonates with ductal-dependent congenital heart defects. </w:t>
            </w:r>
          </w:p>
        </w:tc>
      </w:tr>
      <w:tr w:rsidRPr="0074216B" w:rsidR="0071607C" w:rsidTr="005228DC" w14:paraId="66085E70" w14:textId="77777777">
        <w:trPr>
          <w:trHeight w:val="224"/>
        </w:trPr>
        <w:tc>
          <w:tcPr>
            <w:tcW w:w="2438" w:type="dxa"/>
          </w:tcPr>
          <w:p w:rsidRPr="0071607C" w:rsidR="0071607C" w:rsidP="00FB1E38" w:rsidRDefault="0071607C" w14:paraId="6C40BEF5" w14:textId="77777777">
            <w:pPr>
              <w:pStyle w:val="BodyText"/>
              <w:jc w:val="left"/>
            </w:pPr>
            <w:r w:rsidRPr="0071607C">
              <w:t>Action</w:t>
            </w:r>
          </w:p>
        </w:tc>
        <w:tc>
          <w:tcPr>
            <w:tcW w:w="7055" w:type="dxa"/>
          </w:tcPr>
          <w:p w:rsidRPr="0071607C" w:rsidR="0071607C" w:rsidP="00FB1E38" w:rsidRDefault="0071607C" w14:paraId="0AEA9FFD" w14:textId="77777777">
            <w:r w:rsidRPr="0071607C">
              <w:t xml:space="preserve">Relaxes the ductus arteriosus in early postnatal life and supports its patency. </w:t>
            </w:r>
          </w:p>
        </w:tc>
      </w:tr>
      <w:tr w:rsidRPr="0074216B" w:rsidR="0071607C" w:rsidTr="005228DC" w14:paraId="1F7D5044" w14:textId="77777777">
        <w:trPr>
          <w:trHeight w:val="266"/>
        </w:trPr>
        <w:tc>
          <w:tcPr>
            <w:tcW w:w="2438" w:type="dxa"/>
          </w:tcPr>
          <w:p w:rsidRPr="0071607C" w:rsidR="0071607C" w:rsidP="00FB1E38" w:rsidRDefault="0071607C" w14:paraId="6A1BCAFF" w14:textId="77777777">
            <w:pPr>
              <w:pStyle w:val="BodyText"/>
              <w:jc w:val="left"/>
            </w:pPr>
            <w:r w:rsidRPr="0071607C">
              <w:t xml:space="preserve">Drug Type                                   </w:t>
            </w:r>
          </w:p>
        </w:tc>
        <w:tc>
          <w:tcPr>
            <w:tcW w:w="7055" w:type="dxa"/>
          </w:tcPr>
          <w:p w:rsidRPr="0071607C" w:rsidR="0071607C" w:rsidP="00FB1E38" w:rsidRDefault="0071607C" w14:paraId="47479072" w14:textId="77777777">
            <w:pPr>
              <w:pStyle w:val="BodyText"/>
              <w:jc w:val="left"/>
            </w:pPr>
            <w:r w:rsidRPr="0071607C">
              <w:t>Prostaglandin E</w:t>
            </w:r>
            <w:r w:rsidRPr="0071607C">
              <w:rPr>
                <w:vertAlign w:val="subscript"/>
              </w:rPr>
              <w:t>1</w:t>
            </w:r>
            <w:r w:rsidRPr="0071607C">
              <w:t xml:space="preserve"> or PGE</w:t>
            </w:r>
            <w:r w:rsidRPr="0071607C">
              <w:rPr>
                <w:vertAlign w:val="subscript"/>
              </w:rPr>
              <w:t>1</w:t>
            </w:r>
          </w:p>
        </w:tc>
      </w:tr>
      <w:tr w:rsidRPr="0074216B" w:rsidR="0071607C" w:rsidTr="005228DC" w14:paraId="68485DE5" w14:textId="77777777">
        <w:trPr>
          <w:trHeight w:val="76"/>
        </w:trPr>
        <w:tc>
          <w:tcPr>
            <w:tcW w:w="2438" w:type="dxa"/>
          </w:tcPr>
          <w:p w:rsidRPr="0071607C" w:rsidR="0071607C" w:rsidP="00FB1E38" w:rsidRDefault="0071607C" w14:paraId="257CF4EE" w14:textId="77777777">
            <w:pPr>
              <w:pStyle w:val="BodyText"/>
              <w:jc w:val="left"/>
            </w:pPr>
            <w:r w:rsidRPr="0071607C">
              <w:t xml:space="preserve">Trade Name                  </w:t>
            </w:r>
          </w:p>
        </w:tc>
        <w:tc>
          <w:tcPr>
            <w:tcW w:w="7055" w:type="dxa"/>
          </w:tcPr>
          <w:p w:rsidRPr="0071607C" w:rsidR="0071607C" w:rsidP="00FB1E38" w:rsidRDefault="0071607C" w14:paraId="45CD1917" w14:textId="77777777">
            <w:pPr>
              <w:pStyle w:val="BodyText"/>
              <w:jc w:val="left"/>
            </w:pPr>
            <w:r w:rsidRPr="0071607C">
              <w:t>Prostin VR.</w:t>
            </w:r>
          </w:p>
        </w:tc>
      </w:tr>
      <w:tr w:rsidRPr="0074216B" w:rsidR="0071607C" w:rsidTr="005228DC" w14:paraId="4E9E68A8" w14:textId="77777777">
        <w:trPr>
          <w:trHeight w:val="70"/>
        </w:trPr>
        <w:tc>
          <w:tcPr>
            <w:tcW w:w="2438" w:type="dxa"/>
          </w:tcPr>
          <w:p w:rsidRPr="0071607C" w:rsidR="0071607C" w:rsidP="00FB1E38" w:rsidRDefault="0071607C" w14:paraId="3B471287" w14:textId="77777777">
            <w:pPr>
              <w:pStyle w:val="BodyText"/>
              <w:jc w:val="left"/>
            </w:pPr>
            <w:r w:rsidRPr="0071607C">
              <w:t xml:space="preserve">Presentation </w:t>
            </w:r>
          </w:p>
        </w:tc>
        <w:tc>
          <w:tcPr>
            <w:tcW w:w="7055" w:type="dxa"/>
          </w:tcPr>
          <w:p w:rsidRPr="0071607C" w:rsidR="0071607C" w:rsidP="00FB1E38" w:rsidRDefault="0071607C" w14:paraId="309E93F2" w14:textId="77777777">
            <w:pPr>
              <w:pStyle w:val="BodyText"/>
              <w:jc w:val="left"/>
            </w:pPr>
            <w:r w:rsidRPr="0071607C">
              <w:t>Ampoules (sterile solution) 500 microgram/mL 1 mL</w:t>
            </w:r>
          </w:p>
        </w:tc>
      </w:tr>
      <w:tr w:rsidRPr="0074216B" w:rsidR="0071607C" w:rsidTr="005228DC" w14:paraId="4A85B996" w14:textId="77777777">
        <w:trPr>
          <w:trHeight w:val="587"/>
        </w:trPr>
        <w:tc>
          <w:tcPr>
            <w:tcW w:w="2438" w:type="dxa"/>
          </w:tcPr>
          <w:p w:rsidRPr="0071607C" w:rsidR="0071607C" w:rsidP="00FB1E38" w:rsidRDefault="0071607C" w14:paraId="2E21C249" w14:textId="77777777">
            <w:pPr>
              <w:pStyle w:val="BodyText"/>
              <w:jc w:val="left"/>
            </w:pPr>
            <w:r w:rsidRPr="0071607C">
              <w:t xml:space="preserve">Dosage / Interval                           </w:t>
            </w:r>
          </w:p>
          <w:p w:rsidRPr="0071607C" w:rsidR="0071607C" w:rsidP="00FB1E38" w:rsidRDefault="0071607C" w14:paraId="60272869" w14:textId="77777777">
            <w:pPr>
              <w:pStyle w:val="BodyText"/>
              <w:jc w:val="left"/>
            </w:pPr>
          </w:p>
        </w:tc>
        <w:tc>
          <w:tcPr>
            <w:tcW w:w="7055" w:type="dxa"/>
          </w:tcPr>
          <w:p w:rsidRPr="0071607C" w:rsidR="0071607C" w:rsidP="00FB1E38" w:rsidRDefault="0071607C" w14:paraId="59461F55" w14:textId="77777777">
            <w:pPr>
              <w:pStyle w:val="BodyText"/>
              <w:jc w:val="left"/>
            </w:pPr>
            <w:r w:rsidRPr="0071607C">
              <w:t>Starting Dose</w:t>
            </w:r>
          </w:p>
          <w:p w:rsidRPr="0071607C" w:rsidR="0071607C" w:rsidP="00FB1E38" w:rsidRDefault="0071607C" w14:paraId="722CDBE3" w14:textId="77777777">
            <w:pPr>
              <w:pStyle w:val="BodyText"/>
              <w:jc w:val="left"/>
            </w:pPr>
            <w:r w:rsidRPr="0071607C">
              <w:t xml:space="preserve">Dose: 10 nanogram/kg/minute (range: 5 to 50 nanogram/kg/minute). </w:t>
            </w:r>
          </w:p>
          <w:p w:rsidRPr="0071607C" w:rsidR="0071607C" w:rsidP="00FB1E38" w:rsidRDefault="0071607C" w14:paraId="3DFC95C4" w14:textId="77777777">
            <w:pPr>
              <w:pStyle w:val="BodyText"/>
              <w:jc w:val="left"/>
              <w:rPr>
                <w:noProof/>
              </w:rPr>
            </w:pPr>
          </w:p>
          <w:p w:rsidRPr="0071607C" w:rsidR="0071607C" w:rsidP="00FB1E38" w:rsidRDefault="0071607C" w14:paraId="1E0A5540" w14:textId="77777777">
            <w:pPr>
              <w:pStyle w:val="BodyText"/>
              <w:jc w:val="left"/>
              <w:rPr>
                <w:noProof/>
              </w:rPr>
            </w:pPr>
            <w:r w:rsidRPr="0071607C">
              <w:rPr>
                <w:noProof/>
              </w:rPr>
              <w:t>For known congenital heart disease patients and prior to ductal closure: Start at 10 nanogram/kg/min.</w:t>
            </w:r>
          </w:p>
          <w:p w:rsidRPr="0071607C" w:rsidR="0071607C" w:rsidP="00FB1E38" w:rsidRDefault="0071607C" w14:paraId="0D7531F3" w14:textId="77777777">
            <w:pPr>
              <w:pStyle w:val="BodyText"/>
              <w:jc w:val="left"/>
            </w:pPr>
            <w:r w:rsidRPr="0071607C">
              <w:t xml:space="preserve"> </w:t>
            </w:r>
          </w:p>
          <w:p w:rsidRPr="0071607C" w:rsidR="0071607C" w:rsidP="00FB1E38" w:rsidRDefault="0071607C" w14:paraId="6409E582" w14:textId="77777777">
            <w:pPr>
              <w:pStyle w:val="BodyText"/>
              <w:jc w:val="left"/>
            </w:pPr>
            <w:r w:rsidRPr="0071607C">
              <w:t xml:space="preserve">If there is no clinical or echocardiographic response to the maximum dose of 50 nanogram/kg/min, then consult a paediatric cardiologist. Very rarely they may suggest a very short trial of up to 100 nanogram/kg/min. </w:t>
            </w:r>
          </w:p>
          <w:p w:rsidRPr="0071607C" w:rsidR="0071607C" w:rsidP="00FB1E38" w:rsidRDefault="0071607C" w14:paraId="6AB688D6" w14:textId="77777777">
            <w:pPr>
              <w:pStyle w:val="BodyText"/>
              <w:jc w:val="left"/>
            </w:pPr>
          </w:p>
          <w:p w:rsidRPr="0071607C" w:rsidR="0071607C" w:rsidP="00FB1E38" w:rsidRDefault="0071607C" w14:paraId="77AC670F" w14:textId="77777777">
            <w:pPr>
              <w:pStyle w:val="BodyText"/>
              <w:jc w:val="left"/>
            </w:pPr>
            <w:r w:rsidRPr="0071607C">
              <w:t>Maintenance Dose</w:t>
            </w:r>
          </w:p>
          <w:p w:rsidRPr="0071607C" w:rsidR="0071607C" w:rsidP="00FB1E38" w:rsidRDefault="0071607C" w14:paraId="2BFAAB2D" w14:textId="77777777">
            <w:pPr>
              <w:pStyle w:val="BodyText"/>
              <w:jc w:val="left"/>
            </w:pPr>
            <w:r w:rsidRPr="0071607C">
              <w:t>3-20 nanogram/kg/minute.</w:t>
            </w:r>
            <w:r w:rsidRPr="005C4743">
              <w:t xml:space="preserve"> </w:t>
            </w:r>
            <w:r w:rsidRPr="0071607C">
              <w:t>Aim is to be on the lowest dose that safely maintains ductal patency.</w:t>
            </w:r>
            <w:r w:rsidRPr="0071607C" w:rsidDel="00F83821">
              <w:t xml:space="preserve"> </w:t>
            </w:r>
          </w:p>
        </w:tc>
      </w:tr>
      <w:tr w:rsidRPr="0074216B" w:rsidR="0071607C" w:rsidTr="005228DC" w14:paraId="68015606" w14:textId="77777777">
        <w:trPr>
          <w:trHeight w:val="407"/>
        </w:trPr>
        <w:tc>
          <w:tcPr>
            <w:tcW w:w="2438" w:type="dxa"/>
          </w:tcPr>
          <w:p w:rsidRPr="0071607C" w:rsidR="0071607C" w:rsidP="00FB1E38" w:rsidRDefault="0071607C" w14:paraId="072D79FA" w14:textId="77777777">
            <w:pPr>
              <w:pStyle w:val="BodyText"/>
              <w:jc w:val="left"/>
            </w:pPr>
            <w:r w:rsidRPr="0071607C">
              <w:t>Maximum dose</w:t>
            </w:r>
          </w:p>
        </w:tc>
        <w:tc>
          <w:tcPr>
            <w:tcW w:w="7055" w:type="dxa"/>
          </w:tcPr>
          <w:p w:rsidRPr="0071607C" w:rsidR="0071607C" w:rsidP="00FB1E38" w:rsidRDefault="0071607C" w14:paraId="76AD0E0F" w14:textId="77777777">
            <w:pPr>
              <w:pStyle w:val="BodyText"/>
              <w:jc w:val="left"/>
            </w:pPr>
            <w:r w:rsidRPr="0071607C">
              <w:t xml:space="preserve">Higher doses </w:t>
            </w:r>
            <w:r w:rsidRPr="005C4743">
              <w:t>≥</w:t>
            </w:r>
            <w:r w:rsidRPr="0071607C">
              <w:t>50 nanogram/kg/minute may be needed to resuscitate infants with poor perfusion and oxygenation (‘grey baby’) and with ductal closure in suspected duct-dependent congenital heart disease.</w:t>
            </w:r>
            <w:r w:rsidRPr="005C4743">
              <w:t xml:space="preserve"> </w:t>
            </w:r>
          </w:p>
        </w:tc>
      </w:tr>
      <w:tr w:rsidRPr="0074216B" w:rsidR="0071607C" w:rsidTr="005228DC" w14:paraId="6640F0E0" w14:textId="77777777">
        <w:trPr>
          <w:trHeight w:val="346"/>
        </w:trPr>
        <w:tc>
          <w:tcPr>
            <w:tcW w:w="2438" w:type="dxa"/>
          </w:tcPr>
          <w:p w:rsidRPr="0071607C" w:rsidR="0071607C" w:rsidP="00FB1E38" w:rsidRDefault="0071607C" w14:paraId="164E18B2" w14:textId="77777777">
            <w:pPr>
              <w:pStyle w:val="BodyText"/>
              <w:jc w:val="left"/>
            </w:pPr>
            <w:r w:rsidRPr="0071607C">
              <w:t xml:space="preserve">Route          </w:t>
            </w:r>
          </w:p>
        </w:tc>
        <w:tc>
          <w:tcPr>
            <w:tcW w:w="7055" w:type="dxa"/>
          </w:tcPr>
          <w:p w:rsidRPr="0071607C" w:rsidR="0071607C" w:rsidP="00FB1E38" w:rsidRDefault="0071607C" w14:paraId="4D162973" w14:textId="77777777">
            <w:pPr>
              <w:pStyle w:val="BodyText"/>
              <w:jc w:val="left"/>
            </w:pPr>
            <w:r w:rsidRPr="0071607C">
              <w:t>Continuous IV infusion.</w:t>
            </w:r>
          </w:p>
        </w:tc>
      </w:tr>
      <w:tr w:rsidRPr="0074216B" w:rsidR="0071607C" w:rsidTr="005228DC" w14:paraId="2408850C" w14:textId="77777777">
        <w:trPr>
          <w:trHeight w:val="389"/>
        </w:trPr>
        <w:tc>
          <w:tcPr>
            <w:tcW w:w="2438" w:type="dxa"/>
          </w:tcPr>
          <w:p w:rsidRPr="0071607C" w:rsidR="0071607C" w:rsidP="00FB1E38" w:rsidRDefault="12A9890D" w14:paraId="2A003325" w14:textId="608CFF87">
            <w:pPr>
              <w:pStyle w:val="BodyText"/>
              <w:jc w:val="left"/>
              <w:rPr>
                <w:highlight w:val="cyan"/>
              </w:rPr>
            </w:pPr>
            <w:r>
              <w:t>Preparation/Dilution</w:t>
            </w:r>
          </w:p>
        </w:tc>
        <w:tc>
          <w:tcPr>
            <w:tcW w:w="7055" w:type="dxa"/>
          </w:tcPr>
          <w:p w:rsidRPr="0071607C" w:rsidR="0071607C" w:rsidP="00FB1E38" w:rsidRDefault="0071607C" w14:paraId="64B6D653" w14:textId="77777777">
            <w:pPr>
              <w:pStyle w:val="BodyText"/>
              <w:jc w:val="left"/>
            </w:pPr>
            <w:r w:rsidRPr="0071607C">
              <w:t>LOW concentration continuous IV infusion [use if attempting to avoid ventilation and keep ductus open]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571"/>
              <w:gridCol w:w="4420"/>
            </w:tblGrid>
            <w:tr w:rsidRPr="005C4743" w:rsidR="0071607C" w:rsidTr="003131C9" w14:paraId="0F584D99" w14:textId="77777777">
              <w:tc>
                <w:tcPr>
                  <w:tcW w:w="3571" w:type="dxa"/>
                  <w:shd w:val="clear" w:color="auto" w:fill="auto"/>
                </w:tcPr>
                <w:p w:rsidRPr="0071607C" w:rsidR="0071607C" w:rsidP="00FB1E38" w:rsidRDefault="0071607C" w14:paraId="55491DB8" w14:textId="77777777">
                  <w:pPr>
                    <w:pStyle w:val="BodyText"/>
                    <w:jc w:val="left"/>
                  </w:pPr>
                  <w:r w:rsidRPr="0071607C">
                    <w:t>Infusion strength</w:t>
                  </w:r>
                </w:p>
              </w:tc>
              <w:tc>
                <w:tcPr>
                  <w:tcW w:w="4420" w:type="dxa"/>
                  <w:shd w:val="clear" w:color="auto" w:fill="auto"/>
                </w:tcPr>
                <w:p w:rsidRPr="0071607C" w:rsidR="0071607C" w:rsidP="00FB1E38" w:rsidRDefault="0071607C" w14:paraId="71060770" w14:textId="77777777">
                  <w:pPr>
                    <w:pStyle w:val="BodyText"/>
                    <w:jc w:val="left"/>
                  </w:pPr>
                  <w:r w:rsidRPr="0071607C">
                    <w:t>Prescribed amount</w:t>
                  </w:r>
                </w:p>
              </w:tc>
            </w:tr>
            <w:tr w:rsidRPr="005C4743" w:rsidR="0071607C" w:rsidTr="003131C9" w14:paraId="529917E9" w14:textId="77777777">
              <w:tc>
                <w:tcPr>
                  <w:tcW w:w="3571" w:type="dxa"/>
                  <w:shd w:val="clear" w:color="auto" w:fill="auto"/>
                </w:tcPr>
                <w:p w:rsidRPr="0071607C" w:rsidR="0071607C" w:rsidP="00FB1E38" w:rsidRDefault="0071607C" w14:paraId="49A5AE70" w14:textId="77777777">
                  <w:pPr>
                    <w:pStyle w:val="BodyText"/>
                    <w:jc w:val="left"/>
                  </w:pPr>
                  <w:r w:rsidRPr="0071607C">
                    <w:t>1 mL/hour = 10 nanogram/kg/minute</w:t>
                  </w:r>
                </w:p>
              </w:tc>
              <w:tc>
                <w:tcPr>
                  <w:tcW w:w="4420" w:type="dxa"/>
                  <w:shd w:val="clear" w:color="auto" w:fill="auto"/>
                </w:tcPr>
                <w:p w:rsidRPr="0071607C" w:rsidR="0071607C" w:rsidP="00FB1E38" w:rsidRDefault="0071607C" w14:paraId="7421DFF1" w14:textId="77777777">
                  <w:pPr>
                    <w:pStyle w:val="BodyText"/>
                    <w:jc w:val="left"/>
                  </w:pPr>
                  <w:r w:rsidRPr="0071607C">
                    <w:t>30 microgram/kg alprostadil (Prostin VR, PGE</w:t>
                  </w:r>
                  <w:r w:rsidRPr="0071607C">
                    <w:rPr>
                      <w:vertAlign w:val="subscript"/>
                    </w:rPr>
                    <w:t>1</w:t>
                  </w:r>
                  <w:r w:rsidRPr="0071607C">
                    <w:t>) and make up to 50 mL</w:t>
                  </w:r>
                </w:p>
              </w:tc>
            </w:tr>
          </w:tbl>
          <w:p w:rsidRPr="0071607C" w:rsidR="0071607C" w:rsidP="00FB1E38" w:rsidRDefault="0071607C" w14:paraId="56372D1F" w14:textId="77777777">
            <w:pPr>
              <w:pStyle w:val="BodyText"/>
              <w:jc w:val="left"/>
            </w:pPr>
            <w:r w:rsidRPr="0071607C">
              <w:t xml:space="preserve">First dilution: Draw up 1 mL (500 microgram) of alprostadil and add 9 mL of sodium chloride 0.9% or glucose 5% to make a final volume of 10 mL with a concentration of 50 microgram/mL. </w:t>
            </w:r>
          </w:p>
          <w:p w:rsidRPr="0071607C" w:rsidR="0071607C" w:rsidP="00FB1E38" w:rsidRDefault="0071607C" w14:paraId="1DCAD22F" w14:textId="77777777">
            <w:pPr>
              <w:pStyle w:val="BodyText"/>
              <w:jc w:val="left"/>
              <w:rPr>
                <w:b/>
              </w:rPr>
            </w:pPr>
            <w:r w:rsidRPr="0071607C">
              <w:t xml:space="preserve">Second dilution: From this, draw up 0.6 mL/kg (30 microgram/kg) and dilute to 50 mL with sodium chloride 0.9% or glucose 5%. Infuse at rate of </w:t>
            </w:r>
            <w:r w:rsidRPr="0071607C">
              <w:rPr>
                <w:b/>
              </w:rPr>
              <w:t>1 mL/h = 10 nanogram/kg/minute.</w:t>
            </w:r>
          </w:p>
          <w:p w:rsidRPr="0071607C" w:rsidR="0071607C" w:rsidP="00FB1E38" w:rsidRDefault="0071607C" w14:paraId="08EE1956" w14:textId="77777777">
            <w:pPr>
              <w:pStyle w:val="BodyText"/>
              <w:jc w:val="left"/>
            </w:pPr>
          </w:p>
          <w:p w:rsidRPr="0071607C" w:rsidR="0071607C" w:rsidP="00FB1E38" w:rsidRDefault="0071607C" w14:paraId="314EBDED" w14:textId="77777777">
            <w:pPr>
              <w:pStyle w:val="BodyText"/>
              <w:jc w:val="left"/>
            </w:pPr>
            <w:r w:rsidRPr="0071607C">
              <w:lastRenderedPageBreak/>
              <w:t>HIGH concentration continuous IV infusion [consider if ductus closed and/or mechanically ventilated]</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18"/>
              <w:gridCol w:w="3118"/>
            </w:tblGrid>
            <w:tr w:rsidRPr="005C4743" w:rsidR="0071607C" w:rsidTr="00FB1E38" w14:paraId="0CF67778" w14:textId="77777777">
              <w:tc>
                <w:tcPr>
                  <w:tcW w:w="3118" w:type="dxa"/>
                  <w:shd w:val="clear" w:color="auto" w:fill="auto"/>
                </w:tcPr>
                <w:p w:rsidRPr="0071607C" w:rsidR="0071607C" w:rsidP="00FB1E38" w:rsidRDefault="0071607C" w14:paraId="34D90417" w14:textId="77777777">
                  <w:pPr>
                    <w:pStyle w:val="BodyText"/>
                    <w:jc w:val="left"/>
                  </w:pPr>
                  <w:r w:rsidRPr="0071607C">
                    <w:t>Infusion strength</w:t>
                  </w:r>
                </w:p>
              </w:tc>
              <w:tc>
                <w:tcPr>
                  <w:tcW w:w="3118" w:type="dxa"/>
                  <w:shd w:val="clear" w:color="auto" w:fill="auto"/>
                </w:tcPr>
                <w:p w:rsidRPr="0071607C" w:rsidR="0071607C" w:rsidP="00FB1E38" w:rsidRDefault="0071607C" w14:paraId="047EBBC7" w14:textId="77777777">
                  <w:pPr>
                    <w:pStyle w:val="BodyText"/>
                    <w:jc w:val="left"/>
                  </w:pPr>
                  <w:r w:rsidRPr="0071607C">
                    <w:t>Prescribed amount</w:t>
                  </w:r>
                </w:p>
              </w:tc>
            </w:tr>
            <w:tr w:rsidRPr="005C4743" w:rsidR="0071607C" w:rsidTr="00FB1E38" w14:paraId="1351B2C0" w14:textId="77777777">
              <w:trPr>
                <w:trHeight w:val="548"/>
              </w:trPr>
              <w:tc>
                <w:tcPr>
                  <w:tcW w:w="3118" w:type="dxa"/>
                  <w:shd w:val="clear" w:color="auto" w:fill="auto"/>
                </w:tcPr>
                <w:p w:rsidRPr="0071607C" w:rsidR="0071607C" w:rsidP="00FB1E38" w:rsidRDefault="0071607C" w14:paraId="6651F695" w14:textId="77777777">
                  <w:pPr>
                    <w:pStyle w:val="BodyText"/>
                    <w:jc w:val="left"/>
                  </w:pPr>
                  <w:r w:rsidRPr="0071607C">
                    <w:t>1 mL/hour = 50 nanogram/kg/minute</w:t>
                  </w:r>
                </w:p>
              </w:tc>
              <w:tc>
                <w:tcPr>
                  <w:tcW w:w="3118" w:type="dxa"/>
                  <w:shd w:val="clear" w:color="auto" w:fill="auto"/>
                </w:tcPr>
                <w:p w:rsidRPr="0071607C" w:rsidR="0071607C" w:rsidP="00FB1E38" w:rsidRDefault="0071607C" w14:paraId="716D909C" w14:textId="77777777">
                  <w:pPr>
                    <w:pStyle w:val="BodyText"/>
                    <w:jc w:val="left"/>
                  </w:pPr>
                  <w:r w:rsidRPr="0071607C">
                    <w:t>150 microgram/kg alprostadil (Prostin VR, PGE1) and make up to 50 mL</w:t>
                  </w:r>
                </w:p>
              </w:tc>
            </w:tr>
          </w:tbl>
          <w:p w:rsidRPr="0071607C" w:rsidR="0071607C" w:rsidP="00FB1E38" w:rsidRDefault="0071607C" w14:paraId="40432FD0" w14:textId="77777777">
            <w:pPr>
              <w:pStyle w:val="BodyText"/>
              <w:jc w:val="left"/>
            </w:pPr>
            <w:r w:rsidRPr="0071607C">
              <w:t>First dilution: Draw up 1 mL (500 microgram of alprostadil) and add 9 mL of sodium chloride 0.9% or glucose 5% to make a final volume of 10 mL with a concentration of 50 microgram/mL.</w:t>
            </w:r>
          </w:p>
          <w:p w:rsidRPr="0071607C" w:rsidR="0071607C" w:rsidP="00FB1E38" w:rsidRDefault="0071607C" w14:paraId="6C8E2403" w14:textId="77777777">
            <w:pPr>
              <w:pStyle w:val="BodyText"/>
              <w:jc w:val="left"/>
              <w:rPr>
                <w:b/>
              </w:rPr>
            </w:pPr>
            <w:r w:rsidRPr="0071607C">
              <w:t xml:space="preserve">Second dilution: From this, draw up 3 mL/kg (150 microgram/kg) and dilute to 50 mL with sodium chloride 0.9% or glucose 5%. Infusing at rate of </w:t>
            </w:r>
            <w:r w:rsidRPr="0071607C">
              <w:rPr>
                <w:b/>
              </w:rPr>
              <w:t>1 mL/h = 50 nanogram/kg/minute.</w:t>
            </w:r>
          </w:p>
        </w:tc>
      </w:tr>
      <w:tr w:rsidRPr="0074216B" w:rsidR="0071607C" w:rsidTr="005228DC" w14:paraId="46307BDF" w14:textId="77777777">
        <w:trPr>
          <w:trHeight w:val="210"/>
        </w:trPr>
        <w:tc>
          <w:tcPr>
            <w:tcW w:w="2438" w:type="dxa"/>
          </w:tcPr>
          <w:p w:rsidRPr="0071607C" w:rsidR="0071607C" w:rsidP="00FB1E38" w:rsidRDefault="0071607C" w14:paraId="75E4DDDF" w14:textId="77777777">
            <w:pPr>
              <w:pStyle w:val="BodyText"/>
              <w:jc w:val="left"/>
            </w:pPr>
            <w:r w:rsidRPr="0071607C">
              <w:lastRenderedPageBreak/>
              <w:t xml:space="preserve">Administration                 </w:t>
            </w:r>
          </w:p>
        </w:tc>
        <w:tc>
          <w:tcPr>
            <w:tcW w:w="7055" w:type="dxa"/>
          </w:tcPr>
          <w:p w:rsidRPr="0071607C" w:rsidR="0071607C" w:rsidP="00FB1E38" w:rsidRDefault="0071607C" w14:paraId="68209CE9" w14:textId="77777777">
            <w:pPr>
              <w:pStyle w:val="BodyText"/>
              <w:jc w:val="left"/>
            </w:pPr>
            <w:r w:rsidRPr="0071607C">
              <w:t xml:space="preserve">Continuous intravenous infusion. Ensure reliable intravenous access as short half-life. </w:t>
            </w:r>
          </w:p>
        </w:tc>
      </w:tr>
      <w:tr w:rsidRPr="0074216B" w:rsidR="0071607C" w:rsidTr="005228DC" w14:paraId="4821E805" w14:textId="77777777">
        <w:trPr>
          <w:trHeight w:val="221"/>
        </w:trPr>
        <w:tc>
          <w:tcPr>
            <w:tcW w:w="2438" w:type="dxa"/>
          </w:tcPr>
          <w:p w:rsidRPr="0071607C" w:rsidR="0071607C" w:rsidP="00FB1E38" w:rsidRDefault="0071607C" w14:paraId="4D0D0310" w14:textId="77777777">
            <w:pPr>
              <w:pStyle w:val="BodyText"/>
              <w:jc w:val="left"/>
            </w:pPr>
            <w:r w:rsidRPr="0071607C">
              <w:t xml:space="preserve">Monitoring                              </w:t>
            </w:r>
          </w:p>
          <w:p w:rsidRPr="0071607C" w:rsidR="0071607C" w:rsidP="00FB1E38" w:rsidRDefault="0071607C" w14:paraId="073B499E" w14:textId="77777777">
            <w:pPr>
              <w:pStyle w:val="BodyText"/>
              <w:jc w:val="left"/>
            </w:pPr>
          </w:p>
        </w:tc>
        <w:tc>
          <w:tcPr>
            <w:tcW w:w="7055" w:type="dxa"/>
          </w:tcPr>
          <w:p w:rsidRPr="0071607C" w:rsidR="0071607C" w:rsidP="00FB1E38" w:rsidRDefault="0071607C" w14:paraId="0883ECD9" w14:textId="77777777">
            <w:pPr>
              <w:pStyle w:val="BodyText"/>
              <w:jc w:val="left"/>
              <w:rPr>
                <w:rFonts w:cs="Arial"/>
              </w:rPr>
            </w:pPr>
            <w:r w:rsidRPr="0071607C">
              <w:t xml:space="preserve">Continuous pulse oximetry, heart rate, ECG and blood pressure monitoring. </w:t>
            </w:r>
            <w:r w:rsidRPr="0071607C">
              <w:br/>
            </w:r>
            <w:r w:rsidRPr="0071607C">
              <w:t xml:space="preserve">Assess urine output and peripheral perfusion frequently. </w:t>
            </w:r>
          </w:p>
        </w:tc>
      </w:tr>
      <w:tr w:rsidRPr="0074216B" w:rsidR="0071607C" w:rsidTr="005228DC" w14:paraId="39EE57E4" w14:textId="77777777">
        <w:trPr>
          <w:trHeight w:val="342"/>
        </w:trPr>
        <w:tc>
          <w:tcPr>
            <w:tcW w:w="2438" w:type="dxa"/>
          </w:tcPr>
          <w:p w:rsidRPr="0071607C" w:rsidR="0071607C" w:rsidP="00FB1E38" w:rsidRDefault="0071607C" w14:paraId="57CEE194" w14:textId="77777777">
            <w:pPr>
              <w:pStyle w:val="BodyText"/>
              <w:jc w:val="left"/>
            </w:pPr>
            <w:r w:rsidRPr="0071607C">
              <w:t xml:space="preserve">Contraindications                        </w:t>
            </w:r>
          </w:p>
        </w:tc>
        <w:tc>
          <w:tcPr>
            <w:tcW w:w="7055" w:type="dxa"/>
          </w:tcPr>
          <w:p w:rsidRPr="0071607C" w:rsidR="0071607C" w:rsidP="00FB1E38" w:rsidRDefault="0071607C" w14:paraId="36B0DBD5" w14:textId="77777777">
            <w:pPr>
              <w:pStyle w:val="BodyText"/>
              <w:jc w:val="left"/>
            </w:pPr>
          </w:p>
        </w:tc>
      </w:tr>
      <w:tr w:rsidRPr="0074216B" w:rsidR="0071607C" w:rsidTr="005228DC" w14:paraId="187D571B" w14:textId="77777777">
        <w:tc>
          <w:tcPr>
            <w:tcW w:w="2438" w:type="dxa"/>
          </w:tcPr>
          <w:p w:rsidRPr="0071607C" w:rsidR="0071607C" w:rsidP="00FB1E38" w:rsidRDefault="0071607C" w14:paraId="07AE93AF" w14:textId="77777777">
            <w:pPr>
              <w:pStyle w:val="BodyText"/>
              <w:jc w:val="left"/>
            </w:pPr>
            <w:r w:rsidRPr="0071607C">
              <w:br w:type="page"/>
            </w:r>
            <w:r w:rsidRPr="0071607C">
              <w:t>Precautions</w:t>
            </w:r>
          </w:p>
        </w:tc>
        <w:tc>
          <w:tcPr>
            <w:tcW w:w="7055" w:type="dxa"/>
          </w:tcPr>
          <w:p w:rsidRPr="0071607C" w:rsidR="0071607C" w:rsidP="00FB1E38" w:rsidRDefault="0071607C" w14:paraId="4F64497C" w14:textId="77777777">
            <w:pPr>
              <w:pStyle w:val="BodyText"/>
              <w:jc w:val="left"/>
            </w:pPr>
            <w:r w:rsidRPr="0071607C">
              <w:t xml:space="preserve">Ensure adequate cardiorespiratory monitoring and cardiorespiratory resuscitation equipment available for immediate use if necessary. </w:t>
            </w:r>
          </w:p>
          <w:p w:rsidRPr="0071607C" w:rsidR="0071607C" w:rsidP="00FB1E38" w:rsidRDefault="0071607C" w14:paraId="5563FAA1" w14:textId="77777777">
            <w:pPr>
              <w:pStyle w:val="BodyText"/>
              <w:jc w:val="left"/>
            </w:pPr>
            <w:r w:rsidRPr="0071607C">
              <w:t>Apnoea is frequent. Commencement of alprostadil ≤ 20 nanogram/kg/min and low maintenance dose reduces apnoea incidence.</w:t>
            </w:r>
          </w:p>
          <w:p w:rsidRPr="0071607C" w:rsidR="0071607C" w:rsidP="00FB1E38" w:rsidRDefault="0071607C" w14:paraId="7792D17F" w14:textId="77777777">
            <w:pPr>
              <w:pStyle w:val="BodyText"/>
              <w:jc w:val="left"/>
            </w:pPr>
            <w:r w:rsidRPr="0071607C">
              <w:t>Titrate to infant’s response (increased oxygenation, echo findings and side effects) - Aim is to be on the lowest dose that safely maintains the ductal patency.</w:t>
            </w:r>
          </w:p>
          <w:p w:rsidRPr="0071607C" w:rsidR="0071607C" w:rsidP="00FB1E38" w:rsidRDefault="0071607C" w14:paraId="567BDB43" w14:textId="77777777">
            <w:pPr>
              <w:pStyle w:val="BodyText"/>
              <w:jc w:val="left"/>
            </w:pPr>
            <w:r w:rsidRPr="0071607C">
              <w:t>Hyperosmolar – infuse at concentrations &lt; 20 microgram/mL.</w:t>
            </w:r>
          </w:p>
          <w:p w:rsidRPr="0071607C" w:rsidR="0071607C" w:rsidP="00FB1E38" w:rsidRDefault="0071607C" w14:paraId="6897895B" w14:textId="77777777">
            <w:pPr>
              <w:pStyle w:val="BodyText"/>
              <w:jc w:val="left"/>
            </w:pPr>
            <w:r w:rsidRPr="0071607C">
              <w:t>Neonates with total anomalous pulmonary venous return below the diaphragm – may precipitate pulmonary oedema because of increased pulmonary blood flow.</w:t>
            </w:r>
          </w:p>
        </w:tc>
      </w:tr>
      <w:tr w:rsidRPr="0074216B" w:rsidR="0071607C" w:rsidTr="005228DC" w14:paraId="6A09DE79" w14:textId="77777777">
        <w:trPr>
          <w:trHeight w:val="276"/>
        </w:trPr>
        <w:tc>
          <w:tcPr>
            <w:tcW w:w="2438" w:type="dxa"/>
          </w:tcPr>
          <w:p w:rsidRPr="0071607C" w:rsidR="0071607C" w:rsidP="00FB1E38" w:rsidRDefault="0071607C" w14:paraId="1B8361A1" w14:textId="77777777">
            <w:pPr>
              <w:pStyle w:val="BodyText"/>
              <w:jc w:val="left"/>
            </w:pPr>
            <w:r w:rsidRPr="0071607C">
              <w:t>Drug Interactions</w:t>
            </w:r>
          </w:p>
        </w:tc>
        <w:tc>
          <w:tcPr>
            <w:tcW w:w="7055" w:type="dxa"/>
          </w:tcPr>
          <w:p w:rsidRPr="0071607C" w:rsidR="0071607C" w:rsidP="00FB1E38" w:rsidRDefault="0071607C" w14:paraId="1A452785" w14:textId="77777777">
            <w:pPr>
              <w:pStyle w:val="BodyText"/>
              <w:jc w:val="left"/>
            </w:pPr>
            <w:r w:rsidRPr="0071607C">
              <w:t xml:space="preserve">Concomitant administration with heparin may result in an increased risk of bleeding. </w:t>
            </w:r>
          </w:p>
        </w:tc>
      </w:tr>
      <w:tr w:rsidRPr="0074216B" w:rsidR="0071607C" w:rsidTr="005228DC" w14:paraId="2036B062" w14:textId="77777777">
        <w:trPr>
          <w:trHeight w:val="416"/>
        </w:trPr>
        <w:tc>
          <w:tcPr>
            <w:tcW w:w="2438" w:type="dxa"/>
          </w:tcPr>
          <w:p w:rsidRPr="0071607C" w:rsidR="0071607C" w:rsidP="00FB1E38" w:rsidRDefault="0071607C" w14:paraId="17A8BAE6" w14:textId="77777777">
            <w:pPr>
              <w:pStyle w:val="BodyText"/>
              <w:jc w:val="left"/>
            </w:pPr>
            <w:r w:rsidRPr="0071607C">
              <w:t xml:space="preserve">Adverse Reactions         </w:t>
            </w:r>
          </w:p>
          <w:p w:rsidRPr="0071607C" w:rsidR="0071607C" w:rsidP="00FB1E38" w:rsidRDefault="0071607C" w14:paraId="3F16D575" w14:textId="77777777">
            <w:pPr>
              <w:pStyle w:val="BodyText"/>
              <w:jc w:val="left"/>
            </w:pPr>
          </w:p>
        </w:tc>
        <w:tc>
          <w:tcPr>
            <w:tcW w:w="7055" w:type="dxa"/>
          </w:tcPr>
          <w:p w:rsidRPr="0071607C" w:rsidR="0071607C" w:rsidP="00FB1E38" w:rsidRDefault="0071607C" w14:paraId="6A07C36A" w14:textId="77777777">
            <w:pPr>
              <w:pStyle w:val="BodyText"/>
              <w:jc w:val="left"/>
              <w:rPr>
                <w:noProof/>
              </w:rPr>
            </w:pPr>
            <w:r w:rsidRPr="0071607C">
              <w:t xml:space="preserve">Apnoea is frequent. Commencement of alprostadil ≤ 20 nanogram/kg/min and low maintenance dose reduces apnea incidence. Methylxanthines (caffeine or aminophylline) may be used to prevent or treat apnoea. </w:t>
            </w:r>
            <w:r w:rsidRPr="0071607C">
              <w:rPr>
                <w:noProof/>
              </w:rPr>
              <w:t>[4]</w:t>
            </w:r>
          </w:p>
          <w:p w:rsidRPr="0071607C" w:rsidR="0071607C" w:rsidP="00FB1E38" w:rsidRDefault="0071607C" w14:paraId="46E0B883" w14:textId="77777777">
            <w:pPr>
              <w:pStyle w:val="BodyText"/>
              <w:jc w:val="left"/>
            </w:pPr>
            <w:r w:rsidRPr="0071607C">
              <w:t xml:space="preserve">May lower blood pressure by relaxing the vascular smooth muscle causing vasodilatation and can elevate body temperature. </w:t>
            </w:r>
          </w:p>
          <w:p w:rsidRPr="0071607C" w:rsidR="0071607C" w:rsidP="00FB1E38" w:rsidRDefault="0071607C" w14:paraId="36134EDC" w14:textId="77777777">
            <w:pPr>
              <w:pStyle w:val="BodyText"/>
              <w:jc w:val="left"/>
            </w:pPr>
            <w:r w:rsidRPr="0071607C">
              <w:t xml:space="preserve">Other reported effects include abdominal distension, bradycardia, enterocolitis, vomiting and skin rash. [5] </w:t>
            </w:r>
          </w:p>
          <w:p w:rsidRPr="0071607C" w:rsidR="0071607C" w:rsidP="00FB1E38" w:rsidRDefault="0071607C" w14:paraId="1DC51C86" w14:textId="77777777">
            <w:pPr>
              <w:pStyle w:val="BodyText"/>
              <w:jc w:val="left"/>
            </w:pPr>
            <w:r w:rsidRPr="0071607C">
              <w:t>With prolonged use, skeletal changes [10] and hypertrophic pyloric stenosis [11, 12] have been reported.</w:t>
            </w:r>
          </w:p>
          <w:p w:rsidRPr="0071607C" w:rsidR="0071607C" w:rsidP="00FB1E38" w:rsidRDefault="0071607C" w14:paraId="2DE408E9" w14:textId="77777777">
            <w:pPr>
              <w:pStyle w:val="BodyText"/>
              <w:jc w:val="left"/>
              <w:rPr>
                <w:rFonts w:cs="Arial"/>
              </w:rPr>
            </w:pPr>
            <w:r w:rsidRPr="0071607C">
              <w:t xml:space="preserve">Extravasation may cause tissue necrosis. </w:t>
            </w:r>
          </w:p>
        </w:tc>
      </w:tr>
      <w:tr w:rsidRPr="0074216B" w:rsidR="0071607C" w:rsidTr="005228DC" w14:paraId="258BD839" w14:textId="77777777">
        <w:trPr>
          <w:trHeight w:val="396"/>
        </w:trPr>
        <w:tc>
          <w:tcPr>
            <w:tcW w:w="2438" w:type="dxa"/>
          </w:tcPr>
          <w:p w:rsidRPr="0071607C" w:rsidR="0071607C" w:rsidP="00FB1E38" w:rsidRDefault="0071607C" w14:paraId="6D195BFE" w14:textId="77777777">
            <w:pPr>
              <w:pStyle w:val="BodyText"/>
              <w:jc w:val="left"/>
            </w:pPr>
            <w:r w:rsidRPr="0071607C">
              <w:t>Compatibility</w:t>
            </w:r>
          </w:p>
          <w:p w:rsidRPr="0071607C" w:rsidR="0071607C" w:rsidP="00FB1E38" w:rsidRDefault="0071607C" w14:paraId="00EB088D" w14:textId="77777777">
            <w:pPr>
              <w:pStyle w:val="BodyText"/>
              <w:jc w:val="left"/>
            </w:pPr>
          </w:p>
        </w:tc>
        <w:tc>
          <w:tcPr>
            <w:tcW w:w="7055" w:type="dxa"/>
          </w:tcPr>
          <w:p w:rsidRPr="0071607C" w:rsidR="0071607C" w:rsidP="00FB1E38" w:rsidRDefault="0071607C" w14:paraId="53B3C4A4" w14:textId="77777777">
            <w:pPr>
              <w:pStyle w:val="BodyText"/>
              <w:jc w:val="left"/>
            </w:pPr>
            <w:r w:rsidRPr="0071607C">
              <w:lastRenderedPageBreak/>
              <w:t xml:space="preserve">Fluids: Glucose 5%, sodium chloride 0.9%. </w:t>
            </w:r>
          </w:p>
          <w:p w:rsidRPr="0071607C" w:rsidR="0071607C" w:rsidP="00FB1E38" w:rsidRDefault="0071607C" w14:paraId="328BA2FE" w14:textId="77777777">
            <w:pPr>
              <w:pStyle w:val="BodyText"/>
              <w:jc w:val="left"/>
            </w:pPr>
            <w:r w:rsidRPr="0071607C">
              <w:lastRenderedPageBreak/>
              <w:br/>
            </w:r>
            <w:r w:rsidRPr="0071607C">
              <w:t>Y-site: Amino acid solutions, ampicillin; cefazolin; cefotaxime; chlorothiazide; dobutamine; dopamine; fentanyl; gentamicin; methylprednisolone; nitroprusside; potassium chloride; tobramycin, vancomycin; vecuronium.</w:t>
            </w:r>
          </w:p>
          <w:p w:rsidRPr="0071607C" w:rsidR="0071607C" w:rsidP="00FB1E38" w:rsidRDefault="0071607C" w14:paraId="31F8C04B" w14:textId="77777777">
            <w:pPr>
              <w:pStyle w:val="BodyText"/>
              <w:jc w:val="left"/>
            </w:pPr>
          </w:p>
          <w:p w:rsidRPr="0071607C" w:rsidR="0071607C" w:rsidP="00FB1E38" w:rsidRDefault="0071607C" w14:paraId="2EF5C4CE" w14:textId="77777777">
            <w:pPr>
              <w:pStyle w:val="BodyText"/>
              <w:jc w:val="left"/>
            </w:pPr>
            <w:r w:rsidRPr="0071607C">
              <w:t xml:space="preserve">Syringe: Caffeine; dobutamine; dopamine; adrenaline (epinephrine); fentanyl; midazolam; morphine. </w:t>
            </w:r>
          </w:p>
        </w:tc>
      </w:tr>
      <w:tr w:rsidRPr="0074216B" w:rsidR="0071607C" w:rsidTr="005228DC" w14:paraId="0D057BA1" w14:textId="77777777">
        <w:trPr>
          <w:trHeight w:val="353"/>
        </w:trPr>
        <w:tc>
          <w:tcPr>
            <w:tcW w:w="2438" w:type="dxa"/>
          </w:tcPr>
          <w:p w:rsidRPr="0071607C" w:rsidR="0071607C" w:rsidP="00FB1E38" w:rsidRDefault="0071607C" w14:paraId="00F2BDD4" w14:textId="77777777">
            <w:pPr>
              <w:pStyle w:val="BodyText"/>
              <w:jc w:val="left"/>
            </w:pPr>
            <w:r w:rsidRPr="0071607C">
              <w:lastRenderedPageBreak/>
              <w:t xml:space="preserve">Incompatibility              </w:t>
            </w:r>
            <w:r w:rsidRPr="0071607C">
              <w:tab/>
            </w:r>
          </w:p>
        </w:tc>
        <w:tc>
          <w:tcPr>
            <w:tcW w:w="7055" w:type="dxa"/>
          </w:tcPr>
          <w:p w:rsidRPr="0071607C" w:rsidR="0071607C" w:rsidP="00FB1E38" w:rsidRDefault="0071607C" w14:paraId="7B692D8D" w14:textId="77777777">
            <w:pPr>
              <w:pStyle w:val="BodyText"/>
              <w:jc w:val="left"/>
              <w:rPr>
                <w:rFonts w:cs="Arial"/>
              </w:rPr>
            </w:pPr>
            <w:r w:rsidRPr="0071607C">
              <w:t>Y-site: Levofloxacin</w:t>
            </w:r>
          </w:p>
        </w:tc>
      </w:tr>
      <w:tr w:rsidRPr="0074216B" w:rsidR="0071607C" w:rsidTr="005228DC" w14:paraId="5C2BE806" w14:textId="77777777">
        <w:trPr>
          <w:trHeight w:val="137"/>
        </w:trPr>
        <w:tc>
          <w:tcPr>
            <w:tcW w:w="2438" w:type="dxa"/>
          </w:tcPr>
          <w:p w:rsidRPr="0071607C" w:rsidR="0071607C" w:rsidP="00FB1E38" w:rsidRDefault="0071607C" w14:paraId="266482D1" w14:textId="77777777">
            <w:pPr>
              <w:pStyle w:val="BodyText"/>
              <w:jc w:val="left"/>
            </w:pPr>
            <w:r w:rsidRPr="0071607C">
              <w:t xml:space="preserve">Stability                  </w:t>
            </w:r>
          </w:p>
        </w:tc>
        <w:tc>
          <w:tcPr>
            <w:tcW w:w="7055" w:type="dxa"/>
          </w:tcPr>
          <w:p w:rsidRPr="0071607C" w:rsidR="0071607C" w:rsidP="00FB1E38" w:rsidRDefault="0071607C" w14:paraId="78FB4FA8" w14:textId="77777777">
            <w:pPr>
              <w:pStyle w:val="BodyText"/>
              <w:jc w:val="left"/>
            </w:pPr>
            <w:r w:rsidRPr="0071607C">
              <w:t xml:space="preserve">Diluted solution stable for up to 24 hours. </w:t>
            </w:r>
          </w:p>
        </w:tc>
      </w:tr>
      <w:tr w:rsidRPr="0074216B" w:rsidR="0071607C" w:rsidTr="005228DC" w14:paraId="50F27BC0" w14:textId="77777777">
        <w:trPr>
          <w:trHeight w:val="143"/>
        </w:trPr>
        <w:tc>
          <w:tcPr>
            <w:tcW w:w="2438" w:type="dxa"/>
          </w:tcPr>
          <w:p w:rsidRPr="0071607C" w:rsidR="0071607C" w:rsidP="00FB1E38" w:rsidRDefault="0071607C" w14:paraId="1B712219" w14:textId="77777777">
            <w:pPr>
              <w:pStyle w:val="BodyText"/>
              <w:jc w:val="left"/>
            </w:pPr>
            <w:r w:rsidRPr="0071607C">
              <w:t xml:space="preserve">Storage             </w:t>
            </w:r>
          </w:p>
        </w:tc>
        <w:tc>
          <w:tcPr>
            <w:tcW w:w="7055" w:type="dxa"/>
          </w:tcPr>
          <w:p w:rsidRPr="0071607C" w:rsidR="0071607C" w:rsidP="00FB1E38" w:rsidRDefault="0071607C" w14:paraId="5E35CC7B" w14:textId="77777777">
            <w:pPr>
              <w:pStyle w:val="BodyText"/>
              <w:jc w:val="left"/>
              <w:rPr>
                <w:rFonts w:cs="Arial"/>
              </w:rPr>
            </w:pPr>
            <w:r w:rsidRPr="0071607C">
              <w:t>Ampoule: Store at 2 to 8°C. Do not freeze.</w:t>
            </w:r>
          </w:p>
        </w:tc>
      </w:tr>
      <w:tr w:rsidRPr="0074216B" w:rsidR="0071607C" w:rsidTr="005228DC" w14:paraId="56391E24" w14:textId="77777777">
        <w:trPr>
          <w:trHeight w:val="395"/>
        </w:trPr>
        <w:tc>
          <w:tcPr>
            <w:tcW w:w="2438" w:type="dxa"/>
          </w:tcPr>
          <w:p w:rsidRPr="0071607C" w:rsidR="0071607C" w:rsidP="00FB1E38" w:rsidRDefault="0071607C" w14:paraId="01825244" w14:textId="77777777">
            <w:pPr>
              <w:pStyle w:val="BodyText"/>
              <w:jc w:val="left"/>
            </w:pPr>
            <w:r w:rsidRPr="0071607C">
              <w:t xml:space="preserve">Special Comments       </w:t>
            </w:r>
          </w:p>
          <w:p w:rsidRPr="0071607C" w:rsidR="0071607C" w:rsidP="00FB1E38" w:rsidRDefault="0071607C" w14:paraId="7F9AA230" w14:textId="77777777">
            <w:pPr>
              <w:pStyle w:val="BodyText"/>
              <w:jc w:val="left"/>
            </w:pPr>
          </w:p>
        </w:tc>
        <w:tc>
          <w:tcPr>
            <w:tcW w:w="7055" w:type="dxa"/>
          </w:tcPr>
          <w:p w:rsidRPr="0071607C" w:rsidR="0071607C" w:rsidP="00FB1E38" w:rsidRDefault="0071607C" w14:paraId="6A4D0113" w14:textId="77777777">
            <w:pPr>
              <w:pStyle w:val="BodyText"/>
              <w:jc w:val="left"/>
            </w:pPr>
            <w:r w:rsidRPr="0071607C">
              <w:t xml:space="preserve">Do not use if cloudy (crystallised). </w:t>
            </w:r>
          </w:p>
          <w:p w:rsidRPr="0071607C" w:rsidR="0071607C" w:rsidP="00FB1E38" w:rsidRDefault="0071607C" w14:paraId="272F2207" w14:textId="77777777">
            <w:pPr>
              <w:pStyle w:val="BodyText"/>
              <w:jc w:val="left"/>
            </w:pPr>
            <w:r w:rsidRPr="0071607C">
              <w:t xml:space="preserve">Undiluted solution (500 microgram/mL) is hyperosmolar. Dilute before administration to a concentration of 20 microgram/mL or less. </w:t>
            </w:r>
          </w:p>
        </w:tc>
      </w:tr>
      <w:tr w:rsidRPr="0074216B" w:rsidR="0071607C" w:rsidTr="005228DC" w14:paraId="389AB886" w14:textId="77777777">
        <w:trPr>
          <w:trHeight w:val="1071"/>
        </w:trPr>
        <w:tc>
          <w:tcPr>
            <w:tcW w:w="2438" w:type="dxa"/>
          </w:tcPr>
          <w:p w:rsidRPr="0071607C" w:rsidR="0071607C" w:rsidP="00FB1E38" w:rsidRDefault="0071607C" w14:paraId="68461C60" w14:textId="77777777">
            <w:pPr>
              <w:pStyle w:val="BodyText"/>
              <w:jc w:val="left"/>
            </w:pPr>
            <w:r w:rsidRPr="0071607C">
              <w:t>Evidence summary</w:t>
            </w:r>
          </w:p>
        </w:tc>
        <w:tc>
          <w:tcPr>
            <w:tcW w:w="7055" w:type="dxa"/>
          </w:tcPr>
          <w:p w:rsidRPr="005228DC" w:rsidR="0071607C" w:rsidP="00FB1E38" w:rsidRDefault="0071607C" w14:paraId="64BB6BC9" w14:textId="77777777">
            <w:pPr>
              <w:pStyle w:val="BodyText"/>
              <w:jc w:val="left"/>
              <w:rPr>
                <w:sz w:val="16"/>
                <w:szCs w:val="16"/>
              </w:rPr>
            </w:pPr>
            <w:r w:rsidRPr="005228DC">
              <w:rPr>
                <w:sz w:val="16"/>
                <w:szCs w:val="16"/>
              </w:rPr>
              <w:t xml:space="preserve">Efficacy: </w:t>
            </w:r>
          </w:p>
          <w:p w:rsidRPr="005228DC" w:rsidR="0071607C" w:rsidP="00FB1E38" w:rsidRDefault="0071607C" w14:paraId="0522E0DB" w14:textId="77777777">
            <w:pPr>
              <w:pStyle w:val="BodyText"/>
              <w:jc w:val="left"/>
              <w:rPr>
                <w:sz w:val="16"/>
                <w:szCs w:val="16"/>
              </w:rPr>
            </w:pPr>
            <w:r w:rsidRPr="005228DC">
              <w:rPr>
                <w:b/>
                <w:sz w:val="16"/>
                <w:szCs w:val="16"/>
              </w:rPr>
              <w:t>Infants with ductal-dependent congenital heart defects:</w:t>
            </w:r>
            <w:r w:rsidRPr="005228DC">
              <w:rPr>
                <w:sz w:val="16"/>
                <w:szCs w:val="16"/>
              </w:rPr>
              <w:t xml:space="preserve"> No randomised controlled trials. </w:t>
            </w:r>
            <w:r w:rsidRPr="005228DC">
              <w:rPr>
                <w:sz w:val="16"/>
                <w:szCs w:val="16"/>
              </w:rPr>
              <w:br/>
            </w:r>
            <w:r w:rsidRPr="005228DC">
              <w:rPr>
                <w:sz w:val="16"/>
                <w:szCs w:val="16"/>
              </w:rPr>
              <w:t xml:space="preserve">Level III-3 studies report maintenance of oxygenation and ductal patency with doses of alprostadil 3 to 20 nanogram/kg/minute. </w:t>
            </w:r>
            <w:r w:rsidRPr="005228DC">
              <w:rPr>
                <w:noProof/>
                <w:sz w:val="16"/>
                <w:szCs w:val="16"/>
              </w:rPr>
              <w:t>[1, 3, 5, 6]</w:t>
            </w:r>
            <w:r w:rsidRPr="005228DC">
              <w:rPr>
                <w:sz w:val="16"/>
                <w:szCs w:val="16"/>
              </w:rPr>
              <w:t xml:space="preserve"> Level III-3 studies report lower rates of apnoea with alprostadil ≤ 20 nanogram/kg/minute </w:t>
            </w:r>
            <w:r w:rsidRPr="005228DC">
              <w:rPr>
                <w:noProof/>
                <w:sz w:val="16"/>
                <w:szCs w:val="16"/>
              </w:rPr>
              <w:t>[1, 3]</w:t>
            </w:r>
            <w:r w:rsidRPr="005228DC">
              <w:rPr>
                <w:sz w:val="16"/>
                <w:szCs w:val="16"/>
              </w:rPr>
              <w:t xml:space="preserve">. Use of methylxanthines reduced the incidence of apnoea in newborn infants with ductal-dependent congenital heart disease receiving alprostadil. </w:t>
            </w:r>
            <w:r w:rsidRPr="005228DC">
              <w:rPr>
                <w:noProof/>
                <w:sz w:val="16"/>
                <w:szCs w:val="16"/>
              </w:rPr>
              <w:t>[4]</w:t>
            </w:r>
            <w:r w:rsidRPr="005228DC">
              <w:rPr>
                <w:sz w:val="16"/>
                <w:szCs w:val="16"/>
              </w:rPr>
              <w:t xml:space="preserve"> (LOE II, GOR B). Infants on alprostadil infusions who are intubated for transport have higher rates of complications compared to non-intubated infants. </w:t>
            </w:r>
            <w:r w:rsidRPr="005228DC">
              <w:rPr>
                <w:noProof/>
                <w:sz w:val="16"/>
                <w:szCs w:val="16"/>
              </w:rPr>
              <w:t>[7]</w:t>
            </w:r>
            <w:r w:rsidRPr="005228DC">
              <w:rPr>
                <w:sz w:val="16"/>
                <w:szCs w:val="16"/>
              </w:rPr>
              <w:t xml:space="preserve"> (LOE III-3, GOR C) In infants undergoing balloon atrial septostomy, rapid withdrawal of alprostadil infusion may be associated with hypoxaemia. </w:t>
            </w:r>
            <w:r w:rsidRPr="005228DC">
              <w:rPr>
                <w:noProof/>
                <w:sz w:val="16"/>
                <w:szCs w:val="16"/>
              </w:rPr>
              <w:t>[8]</w:t>
            </w:r>
            <w:r w:rsidRPr="005228DC">
              <w:rPr>
                <w:sz w:val="16"/>
                <w:szCs w:val="16"/>
              </w:rPr>
              <w:t xml:space="preserve"> </w:t>
            </w:r>
          </w:p>
          <w:p w:rsidRPr="005228DC" w:rsidR="0071607C" w:rsidP="00FB1E38" w:rsidRDefault="0071607C" w14:paraId="2618D514" w14:textId="77777777">
            <w:pPr>
              <w:pStyle w:val="BodyText"/>
              <w:jc w:val="left"/>
              <w:rPr>
                <w:sz w:val="16"/>
                <w:szCs w:val="16"/>
              </w:rPr>
            </w:pPr>
            <w:r w:rsidRPr="005228DC">
              <w:rPr>
                <w:sz w:val="16"/>
                <w:szCs w:val="16"/>
              </w:rPr>
              <w:t xml:space="preserve">Pharmacokinetics: </w:t>
            </w:r>
          </w:p>
          <w:p w:rsidRPr="005228DC" w:rsidR="0071607C" w:rsidP="00FB1E38" w:rsidRDefault="0071607C" w14:paraId="21B3177D" w14:textId="77777777">
            <w:pPr>
              <w:pStyle w:val="BodyText"/>
              <w:jc w:val="left"/>
              <w:rPr>
                <w:sz w:val="16"/>
                <w:szCs w:val="16"/>
              </w:rPr>
            </w:pPr>
            <w:r w:rsidRPr="005228DC">
              <w:rPr>
                <w:sz w:val="16"/>
                <w:szCs w:val="16"/>
              </w:rPr>
              <w:t>Metabolism of PGE</w:t>
            </w:r>
            <w:r w:rsidRPr="005228DC">
              <w:rPr>
                <w:sz w:val="16"/>
                <w:szCs w:val="16"/>
                <w:vertAlign w:val="subscript"/>
              </w:rPr>
              <w:t>1</w:t>
            </w:r>
            <w:r w:rsidRPr="005228DC">
              <w:rPr>
                <w:sz w:val="16"/>
                <w:szCs w:val="16"/>
              </w:rPr>
              <w:t xml:space="preserve"> is an oxygen-dependent process, occurring in the pulmonary vascular bed and reduced in patients with pulmonary hypertension. </w:t>
            </w:r>
            <w:r w:rsidRPr="005228DC">
              <w:rPr>
                <w:noProof/>
                <w:sz w:val="16"/>
                <w:szCs w:val="16"/>
              </w:rPr>
              <w:t>[9]</w:t>
            </w:r>
            <w:r w:rsidRPr="005228DC">
              <w:rPr>
                <w:sz w:val="16"/>
                <w:szCs w:val="16"/>
              </w:rPr>
              <w:t xml:space="preserve"> There is an increased volume of distribution in patients on ECMO requiring increased infusion rates to maintain ductal patency. </w:t>
            </w:r>
            <w:r w:rsidRPr="005228DC">
              <w:rPr>
                <w:noProof/>
                <w:sz w:val="16"/>
                <w:szCs w:val="16"/>
              </w:rPr>
              <w:t>[10]</w:t>
            </w:r>
            <w:r w:rsidRPr="005228DC">
              <w:rPr>
                <w:sz w:val="16"/>
                <w:szCs w:val="16"/>
              </w:rPr>
              <w:t xml:space="preserve"> (LOE IV, GOR C)</w:t>
            </w:r>
          </w:p>
          <w:p w:rsidRPr="005228DC" w:rsidR="0071607C" w:rsidP="00FB1E38" w:rsidRDefault="0071607C" w14:paraId="6E98EB3A" w14:textId="77777777">
            <w:pPr>
              <w:pStyle w:val="BodyText"/>
              <w:jc w:val="left"/>
              <w:rPr>
                <w:sz w:val="16"/>
                <w:szCs w:val="16"/>
              </w:rPr>
            </w:pPr>
            <w:r w:rsidRPr="005228DC">
              <w:rPr>
                <w:sz w:val="16"/>
                <w:szCs w:val="16"/>
              </w:rPr>
              <w:t xml:space="preserve">Safety: </w:t>
            </w:r>
          </w:p>
          <w:p w:rsidRPr="005228DC" w:rsidR="0071607C" w:rsidP="00FB1E38" w:rsidRDefault="0071607C" w14:paraId="7B850195" w14:textId="77777777">
            <w:pPr>
              <w:pStyle w:val="BodyText"/>
              <w:jc w:val="left"/>
              <w:rPr>
                <w:rFonts w:cs="Arial"/>
                <w:sz w:val="16"/>
                <w:szCs w:val="16"/>
              </w:rPr>
            </w:pPr>
            <w:r w:rsidRPr="005228DC">
              <w:rPr>
                <w:sz w:val="16"/>
                <w:szCs w:val="16"/>
              </w:rPr>
              <w:t xml:space="preserve">Reported complications include apnoea (19%), abdominal distension (16%), bradycardia (13%), enterocolitis (6.5%), hypotension (6.5%), vomiting (5%), fever (1.6%) and skin rash (1.6%). </w:t>
            </w:r>
            <w:r w:rsidRPr="005228DC">
              <w:rPr>
                <w:noProof/>
                <w:sz w:val="16"/>
                <w:szCs w:val="16"/>
              </w:rPr>
              <w:t>[6]</w:t>
            </w:r>
            <w:r w:rsidRPr="005228DC">
              <w:rPr>
                <w:sz w:val="16"/>
                <w:szCs w:val="16"/>
              </w:rPr>
              <w:t xml:space="preserve"> (LOE III-3) With prolonged use, skeletal changes </w:t>
            </w:r>
            <w:r w:rsidRPr="005228DC">
              <w:rPr>
                <w:noProof/>
                <w:sz w:val="16"/>
                <w:szCs w:val="16"/>
              </w:rPr>
              <w:t>[11]</w:t>
            </w:r>
            <w:r w:rsidRPr="005228DC">
              <w:rPr>
                <w:sz w:val="16"/>
                <w:szCs w:val="16"/>
              </w:rPr>
              <w:t xml:space="preserve"> and hypertrophic pyloric stenosis </w:t>
            </w:r>
            <w:r w:rsidRPr="005228DC">
              <w:rPr>
                <w:noProof/>
                <w:sz w:val="16"/>
                <w:szCs w:val="16"/>
              </w:rPr>
              <w:t>[12, 13]</w:t>
            </w:r>
            <w:r w:rsidRPr="005228DC">
              <w:rPr>
                <w:sz w:val="16"/>
                <w:szCs w:val="16"/>
              </w:rPr>
              <w:t xml:space="preserve"> have been reported.</w:t>
            </w:r>
            <w:r w:rsidRPr="005228DC">
              <w:rPr>
                <w:rFonts w:cs="Arial"/>
                <w:sz w:val="16"/>
                <w:szCs w:val="16"/>
              </w:rPr>
              <w:t xml:space="preserve"> </w:t>
            </w:r>
          </w:p>
        </w:tc>
      </w:tr>
      <w:tr w:rsidRPr="0074216B" w:rsidR="0071607C" w:rsidTr="005228DC" w14:paraId="7F2130F1" w14:textId="77777777">
        <w:trPr>
          <w:trHeight w:val="361"/>
        </w:trPr>
        <w:tc>
          <w:tcPr>
            <w:tcW w:w="2438" w:type="dxa"/>
          </w:tcPr>
          <w:p w:rsidRPr="0071607C" w:rsidR="0071607C" w:rsidP="00FB1E38" w:rsidRDefault="0071607C" w14:paraId="22A5CF36" w14:textId="77777777">
            <w:pPr>
              <w:pStyle w:val="BodyText"/>
              <w:jc w:val="left"/>
            </w:pPr>
            <w:r w:rsidRPr="0071607C">
              <w:t>References</w:t>
            </w:r>
          </w:p>
        </w:tc>
        <w:tc>
          <w:tcPr>
            <w:tcW w:w="7055" w:type="dxa"/>
          </w:tcPr>
          <w:p w:rsidRPr="005228DC" w:rsidR="0071607C" w:rsidP="00FB1E38" w:rsidRDefault="0071607C" w14:paraId="4E0B1EFC" w14:textId="77777777">
            <w:pPr>
              <w:pStyle w:val="EndNoteBibliography"/>
              <w:rPr>
                <w:sz w:val="16"/>
                <w:szCs w:val="16"/>
              </w:rPr>
            </w:pPr>
            <w:bookmarkStart w:name="_ENREF_1" w:id="509"/>
            <w:r w:rsidRPr="005228DC">
              <w:rPr>
                <w:sz w:val="16"/>
                <w:szCs w:val="16"/>
              </w:rPr>
              <w:t>1. Huang FK, Lin CC, Huang TC, Weng KP, Liu PY, Chen YY, Wang HP, Ger LP, Hsieh KS. Reappraisal of the prostaglandin E</w:t>
            </w:r>
            <w:r w:rsidRPr="005228DC">
              <w:rPr>
                <w:sz w:val="16"/>
                <w:szCs w:val="16"/>
                <w:vertAlign w:val="subscript"/>
              </w:rPr>
              <w:t>1</w:t>
            </w:r>
            <w:r w:rsidRPr="005228DC">
              <w:rPr>
                <w:sz w:val="16"/>
                <w:szCs w:val="16"/>
              </w:rPr>
              <w:t xml:space="preserve"> dose for early newborns with patent ductus arteriosus-dependent pulmonary circulation. Pediatrics and neonatology. 2013;54:102-6.</w:t>
            </w:r>
            <w:bookmarkEnd w:id="509"/>
          </w:p>
          <w:p w:rsidRPr="005228DC" w:rsidR="0071607C" w:rsidP="00FB1E38" w:rsidRDefault="0071607C" w14:paraId="1BB0979E" w14:textId="77777777">
            <w:pPr>
              <w:pStyle w:val="EndNoteBibliography"/>
              <w:rPr>
                <w:sz w:val="16"/>
                <w:szCs w:val="16"/>
              </w:rPr>
            </w:pPr>
            <w:bookmarkStart w:name="_ENREF_2" w:id="510"/>
            <w:r w:rsidRPr="005228DC">
              <w:rPr>
                <w:sz w:val="16"/>
                <w:szCs w:val="16"/>
              </w:rPr>
              <w:t>2. Strobel AM, Lu le N. The Critically Ill Infant with Congenital Heart Disease. Emergency medicine clinics of North America. 2015;33:501-18.</w:t>
            </w:r>
            <w:bookmarkEnd w:id="510"/>
          </w:p>
          <w:p w:rsidRPr="005228DC" w:rsidR="0071607C" w:rsidP="00FB1E38" w:rsidRDefault="0071607C" w14:paraId="60B55BB8" w14:textId="77777777">
            <w:pPr>
              <w:pStyle w:val="EndNoteBibliography"/>
              <w:rPr>
                <w:sz w:val="16"/>
                <w:szCs w:val="16"/>
              </w:rPr>
            </w:pPr>
            <w:bookmarkStart w:name="_ENREF_3" w:id="511"/>
            <w:r w:rsidRPr="005228DC">
              <w:rPr>
                <w:sz w:val="16"/>
                <w:szCs w:val="16"/>
              </w:rPr>
              <w:t>3. Browning Carmo KA, Barr P, West M, Hopper NW, White JP, Badawi N. Transporting newborn infants with suspected duct dependent congenital heart disease on low-dose prostaglandin E</w:t>
            </w:r>
            <w:r w:rsidRPr="005228DC">
              <w:rPr>
                <w:sz w:val="16"/>
                <w:szCs w:val="16"/>
                <w:vertAlign w:val="subscript"/>
              </w:rPr>
              <w:t>1</w:t>
            </w:r>
            <w:r w:rsidRPr="005228DC">
              <w:rPr>
                <w:sz w:val="16"/>
                <w:szCs w:val="16"/>
              </w:rPr>
              <w:t xml:space="preserve"> without routine mechanical ventilation. Archives of disease in childhood Fetal and neonatal edition. 2007;92:F117-9.</w:t>
            </w:r>
            <w:bookmarkEnd w:id="511"/>
          </w:p>
          <w:p w:rsidRPr="005228DC" w:rsidR="0071607C" w:rsidP="00FB1E38" w:rsidRDefault="0071607C" w14:paraId="288C7B16" w14:textId="77777777">
            <w:pPr>
              <w:pStyle w:val="EndNoteBibliography"/>
              <w:rPr>
                <w:sz w:val="16"/>
                <w:szCs w:val="16"/>
              </w:rPr>
            </w:pPr>
            <w:bookmarkStart w:name="_ENREF_4" w:id="512"/>
            <w:r w:rsidRPr="005228DC">
              <w:rPr>
                <w:sz w:val="16"/>
                <w:szCs w:val="16"/>
              </w:rPr>
              <w:t>4. Lim DS, Kulik TJ, Kim DW, Charpie JR, Crowley DC, Maher KO. Aminophylline for the prevention of apnea during prostaglandin E</w:t>
            </w:r>
            <w:r w:rsidRPr="005228DC">
              <w:rPr>
                <w:sz w:val="16"/>
                <w:szCs w:val="16"/>
                <w:vertAlign w:val="subscript"/>
              </w:rPr>
              <w:t>1</w:t>
            </w:r>
            <w:r w:rsidRPr="005228DC">
              <w:rPr>
                <w:sz w:val="16"/>
                <w:szCs w:val="16"/>
              </w:rPr>
              <w:t xml:space="preserve"> infusion. Pediatrics. 2003;112:e27-9.</w:t>
            </w:r>
            <w:bookmarkEnd w:id="512"/>
          </w:p>
          <w:p w:rsidRPr="005228DC" w:rsidR="0071607C" w:rsidP="00FB1E38" w:rsidRDefault="0071607C" w14:paraId="305ABB48" w14:textId="77777777">
            <w:pPr>
              <w:pStyle w:val="EndNoteBibliography"/>
              <w:rPr>
                <w:sz w:val="16"/>
                <w:szCs w:val="16"/>
              </w:rPr>
            </w:pPr>
            <w:bookmarkStart w:name="_ENREF_5" w:id="513"/>
            <w:r w:rsidRPr="005228DC">
              <w:rPr>
                <w:sz w:val="16"/>
                <w:szCs w:val="16"/>
              </w:rPr>
              <w:t>5. Yucel IK, Cevik A, Bulut MO, Dedeoglu R, Demir IH, Erdem A, Celebi A. Efficacy of very low-dose prostaglandin E</w:t>
            </w:r>
            <w:r w:rsidRPr="005228DC">
              <w:rPr>
                <w:sz w:val="16"/>
                <w:szCs w:val="16"/>
                <w:vertAlign w:val="subscript"/>
              </w:rPr>
              <w:t>1</w:t>
            </w:r>
            <w:r w:rsidRPr="005228DC">
              <w:rPr>
                <w:sz w:val="16"/>
                <w:szCs w:val="16"/>
              </w:rPr>
              <w:t xml:space="preserve"> in duct-dependent congenital heart disease. Cardiology in the young. 2015;25:56-62.</w:t>
            </w:r>
            <w:bookmarkEnd w:id="513"/>
          </w:p>
          <w:p w:rsidRPr="005228DC" w:rsidR="0071607C" w:rsidP="00FB1E38" w:rsidRDefault="0071607C" w14:paraId="23CF8D27" w14:textId="77777777">
            <w:pPr>
              <w:pStyle w:val="EndNoteBibliography"/>
              <w:rPr>
                <w:sz w:val="16"/>
                <w:szCs w:val="16"/>
              </w:rPr>
            </w:pPr>
            <w:bookmarkStart w:name="_ENREF_6" w:id="514"/>
            <w:r w:rsidRPr="005228DC">
              <w:rPr>
                <w:sz w:val="16"/>
                <w:szCs w:val="16"/>
              </w:rPr>
              <w:t>6. Lucron H, Chipaux M, Bosser G, Le Tacon S, Lethor JP, Feillet F, Burger G, Monin P, Marcon F. [Complications of prostaglandin E1 treatment of congenital heart disease in paediatric medical intensive care]. Archives des maladies du coeur et des vaisseaux. 2005;98:524-30.</w:t>
            </w:r>
            <w:bookmarkEnd w:id="514"/>
          </w:p>
          <w:p w:rsidRPr="005228DC" w:rsidR="0071607C" w:rsidP="00FB1E38" w:rsidRDefault="0071607C" w14:paraId="6C66DC65" w14:textId="77777777">
            <w:pPr>
              <w:pStyle w:val="EndNoteBibliography"/>
              <w:rPr>
                <w:sz w:val="16"/>
                <w:szCs w:val="16"/>
              </w:rPr>
            </w:pPr>
            <w:bookmarkStart w:name="_ENREF_7" w:id="515"/>
            <w:r w:rsidRPr="005228DC">
              <w:rPr>
                <w:sz w:val="16"/>
                <w:szCs w:val="16"/>
              </w:rPr>
              <w:t>7. Meckler GD, Lowe C. To intubate or not to intubate? Transporting infants on prostaglandin E</w:t>
            </w:r>
            <w:r w:rsidRPr="005228DC">
              <w:rPr>
                <w:sz w:val="16"/>
                <w:szCs w:val="16"/>
                <w:vertAlign w:val="subscript"/>
              </w:rPr>
              <w:t>1</w:t>
            </w:r>
            <w:r w:rsidRPr="005228DC">
              <w:rPr>
                <w:sz w:val="16"/>
                <w:szCs w:val="16"/>
              </w:rPr>
              <w:t>. Pediatrics. 2009;123:e25-30.</w:t>
            </w:r>
            <w:bookmarkEnd w:id="515"/>
          </w:p>
          <w:p w:rsidRPr="005228DC" w:rsidR="0071607C" w:rsidP="00FB1E38" w:rsidRDefault="0071607C" w14:paraId="4121F69E" w14:textId="77777777">
            <w:pPr>
              <w:pStyle w:val="EndNoteBibliography"/>
              <w:rPr>
                <w:sz w:val="16"/>
                <w:szCs w:val="16"/>
              </w:rPr>
            </w:pPr>
            <w:bookmarkStart w:name="_ENREF_8" w:id="516"/>
            <w:r w:rsidRPr="005228DC">
              <w:rPr>
                <w:sz w:val="16"/>
                <w:szCs w:val="16"/>
              </w:rPr>
              <w:t>8. Finan E, Mak W, Bismilla Z, McNamara PJ. Early discontinuation of intravenous prostaglandin E</w:t>
            </w:r>
            <w:r w:rsidRPr="005228DC">
              <w:rPr>
                <w:sz w:val="16"/>
                <w:szCs w:val="16"/>
                <w:vertAlign w:val="subscript"/>
              </w:rPr>
              <w:t>1</w:t>
            </w:r>
            <w:r w:rsidRPr="005228DC">
              <w:rPr>
                <w:sz w:val="16"/>
                <w:szCs w:val="16"/>
              </w:rPr>
              <w:t xml:space="preserve"> after balloon atrial septostomy is associated with an increased risk of rebound hypoxemia. Journal of perinatology : official journal of the California Perinatal Association. 2008;28:341-6.</w:t>
            </w:r>
            <w:bookmarkEnd w:id="516"/>
          </w:p>
          <w:p w:rsidRPr="005228DC" w:rsidR="0071607C" w:rsidP="00FB1E38" w:rsidRDefault="0071607C" w14:paraId="4EFEE2D7" w14:textId="77777777">
            <w:pPr>
              <w:pStyle w:val="EndNoteBibliography"/>
              <w:rPr>
                <w:sz w:val="16"/>
                <w:szCs w:val="16"/>
              </w:rPr>
            </w:pPr>
            <w:bookmarkStart w:name="_ENREF_9" w:id="517"/>
            <w:r w:rsidRPr="005228DC">
              <w:rPr>
                <w:sz w:val="16"/>
                <w:szCs w:val="16"/>
              </w:rPr>
              <w:t>9. Arai K. [The intrapulmonary metabolism of prostaglandin E</w:t>
            </w:r>
            <w:r w:rsidRPr="005228DC">
              <w:rPr>
                <w:sz w:val="16"/>
                <w:szCs w:val="16"/>
                <w:vertAlign w:val="subscript"/>
              </w:rPr>
              <w:t>1</w:t>
            </w:r>
            <w:r w:rsidRPr="005228DC">
              <w:rPr>
                <w:sz w:val="16"/>
                <w:szCs w:val="16"/>
              </w:rPr>
              <w:t xml:space="preserve"> in patients with pulmonary hypertension]. Masui The Japanese journal of anesthesiology. 1995;44:536-41.</w:t>
            </w:r>
            <w:bookmarkEnd w:id="517"/>
          </w:p>
          <w:p w:rsidRPr="005228DC" w:rsidR="0071607C" w:rsidP="00FB1E38" w:rsidRDefault="0071607C" w14:paraId="23512AF9" w14:textId="77777777">
            <w:pPr>
              <w:pStyle w:val="EndNoteBibliography"/>
              <w:rPr>
                <w:sz w:val="16"/>
                <w:szCs w:val="16"/>
              </w:rPr>
            </w:pPr>
            <w:bookmarkStart w:name="_ENREF_10" w:id="518"/>
            <w:r w:rsidRPr="005228DC">
              <w:rPr>
                <w:sz w:val="16"/>
                <w:szCs w:val="16"/>
              </w:rPr>
              <w:t>10. Watt K, Li JS, Benjamin DK, Jr., Cohen-Wolkowiez M. Pediatric cardiovascular drug dosing in critically ill children and extracorporeal membrane oxygenation. Journal of cardiovascular pharmacology. 2011;58:126-32.</w:t>
            </w:r>
            <w:bookmarkEnd w:id="518"/>
          </w:p>
          <w:p w:rsidRPr="005228DC" w:rsidR="0071607C" w:rsidP="00FB1E38" w:rsidRDefault="0071607C" w14:paraId="7BEA5644" w14:textId="77777777">
            <w:pPr>
              <w:pStyle w:val="EndNoteBibliography"/>
              <w:rPr>
                <w:sz w:val="16"/>
                <w:szCs w:val="16"/>
              </w:rPr>
            </w:pPr>
            <w:bookmarkStart w:name="_ENREF_11" w:id="519"/>
            <w:r w:rsidRPr="005228DC">
              <w:rPr>
                <w:sz w:val="16"/>
                <w:szCs w:val="16"/>
              </w:rPr>
              <w:t>11. Kaufman MB, El-Chaar GM. Bone and tissue changes following prostaglandin therapy in neonates. The Annals of pharmacotherapy. 1996;30:269-74, 77.</w:t>
            </w:r>
            <w:bookmarkEnd w:id="519"/>
          </w:p>
          <w:p w:rsidRPr="005228DC" w:rsidR="0071607C" w:rsidP="00FB1E38" w:rsidRDefault="0071607C" w14:paraId="67FC574D" w14:textId="77777777">
            <w:pPr>
              <w:pStyle w:val="EndNoteBibliography"/>
              <w:rPr>
                <w:sz w:val="16"/>
                <w:szCs w:val="16"/>
              </w:rPr>
            </w:pPr>
            <w:bookmarkStart w:name="_ENREF_12" w:id="520"/>
            <w:r w:rsidRPr="005228DC">
              <w:rPr>
                <w:sz w:val="16"/>
                <w:szCs w:val="16"/>
              </w:rPr>
              <w:lastRenderedPageBreak/>
              <w:t>12. Perme T, Mali S, Vidmar I, Gvardijancic D, Blumauer R, Mishaly D, Grabnar I, Nemec G, Grosek S. Prolonged prostaglandin E</w:t>
            </w:r>
            <w:r w:rsidRPr="005228DC">
              <w:rPr>
                <w:sz w:val="16"/>
                <w:szCs w:val="16"/>
                <w:vertAlign w:val="subscript"/>
              </w:rPr>
              <w:t>1</w:t>
            </w:r>
            <w:r w:rsidRPr="005228DC">
              <w:rPr>
                <w:sz w:val="16"/>
                <w:szCs w:val="16"/>
              </w:rPr>
              <w:t xml:space="preserve"> therapy in a neonate with pulmonary atresia and ventricular septal defect and the development of antral foveolar hyperplasia and hypertrophic pyloric stenosis. Upsala journal of medical sciences. 2013;118:138-42.</w:t>
            </w:r>
            <w:bookmarkEnd w:id="520"/>
          </w:p>
          <w:p w:rsidRPr="005228DC" w:rsidR="0071607C" w:rsidP="00FB1E38" w:rsidRDefault="0071607C" w14:paraId="56AE14B1" w14:textId="77777777">
            <w:pPr>
              <w:pStyle w:val="EndNoteBibliography"/>
              <w:rPr>
                <w:sz w:val="16"/>
                <w:szCs w:val="16"/>
              </w:rPr>
            </w:pPr>
            <w:bookmarkStart w:name="_ENREF_13" w:id="521"/>
            <w:r w:rsidRPr="005228DC">
              <w:rPr>
                <w:sz w:val="16"/>
                <w:szCs w:val="16"/>
              </w:rPr>
              <w:t>13. Soyer T, Yalcin S, Bozkaya D, Yigit S, Tanyel FC. Transient hypertrophic pyloric stenosis due to prostoglandin infusion. Journal of perinatology : official journal of the California Perinatal Association. 2014;34:800-1.</w:t>
            </w:r>
            <w:bookmarkEnd w:id="521"/>
          </w:p>
          <w:p w:rsidRPr="005228DC" w:rsidR="0071607C" w:rsidP="00FB1E38" w:rsidRDefault="0071607C" w14:paraId="6F5C9D78" w14:textId="77777777">
            <w:pPr>
              <w:pStyle w:val="EndNoteBibliography"/>
              <w:rPr>
                <w:sz w:val="16"/>
                <w:szCs w:val="16"/>
              </w:rPr>
            </w:pPr>
            <w:r w:rsidRPr="005228DC">
              <w:rPr>
                <w:sz w:val="16"/>
                <w:szCs w:val="16"/>
              </w:rPr>
              <w:t>15. Australian Injectable Drugs Handbook, 6th Edition, Society of Hospital Pharmacists of Australia 2014</w:t>
            </w:r>
          </w:p>
          <w:p w:rsidRPr="005228DC" w:rsidR="0071607C" w:rsidP="00FB1E38" w:rsidRDefault="0071607C" w14:paraId="4F11F642" w14:textId="77777777">
            <w:pPr>
              <w:pStyle w:val="EndNoteBibliography"/>
              <w:rPr>
                <w:sz w:val="16"/>
                <w:szCs w:val="16"/>
              </w:rPr>
            </w:pPr>
            <w:r w:rsidRPr="005228DC">
              <w:rPr>
                <w:sz w:val="16"/>
                <w:szCs w:val="16"/>
              </w:rPr>
              <w:t>16. Micromedex solutions. Truven health analytics. Accessed via CIAP 14/12/15</w:t>
            </w:r>
          </w:p>
        </w:tc>
      </w:tr>
    </w:tbl>
    <w:p w:rsidRPr="00E25790" w:rsidR="0071607C" w:rsidP="006F0321" w:rsidRDefault="0071607C" w14:paraId="375F8E21"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74216B" w:rsidR="0071607C" w:rsidTr="00FB1E38" w14:paraId="045A5963" w14:textId="77777777">
        <w:tc>
          <w:tcPr>
            <w:tcW w:w="4535" w:type="dxa"/>
            <w:vAlign w:val="center"/>
          </w:tcPr>
          <w:p w:rsidRPr="0071607C" w:rsidR="0071607C" w:rsidP="00FB1E38" w:rsidRDefault="0071607C" w14:paraId="67DC5623" w14:textId="77777777">
            <w:r w:rsidRPr="0071607C">
              <w:t>Original version Date: 23/06/2016</w:t>
            </w:r>
          </w:p>
        </w:tc>
        <w:tc>
          <w:tcPr>
            <w:tcW w:w="4535" w:type="dxa"/>
            <w:vAlign w:val="center"/>
          </w:tcPr>
          <w:p w:rsidRPr="0071607C" w:rsidR="0071607C" w:rsidP="00FB1E38" w:rsidRDefault="0071607C" w14:paraId="0AE167DE" w14:textId="77777777">
            <w:r w:rsidRPr="0071607C">
              <w:t>Author: ANMF Consensus Group</w:t>
            </w:r>
          </w:p>
        </w:tc>
      </w:tr>
      <w:tr w:rsidRPr="0074216B" w:rsidR="0071607C" w:rsidTr="00FB1E38" w14:paraId="100170DE" w14:textId="77777777">
        <w:tc>
          <w:tcPr>
            <w:tcW w:w="4535" w:type="dxa"/>
            <w:vAlign w:val="center"/>
          </w:tcPr>
          <w:p w:rsidRPr="0071607C" w:rsidR="0071607C" w:rsidP="00FB1E38" w:rsidRDefault="0071607C" w14:paraId="1923E51D" w14:textId="77777777">
            <w:pPr>
              <w:rPr>
                <w:bCs/>
              </w:rPr>
            </w:pPr>
            <w:r w:rsidRPr="0071607C">
              <w:t>Current Version number:  1.1</w:t>
            </w:r>
          </w:p>
        </w:tc>
        <w:tc>
          <w:tcPr>
            <w:tcW w:w="4535" w:type="dxa"/>
            <w:vAlign w:val="center"/>
          </w:tcPr>
          <w:p w:rsidRPr="0071607C" w:rsidR="0071607C" w:rsidP="00FB1E38" w:rsidRDefault="0071607C" w14:paraId="11193B37" w14:textId="77777777">
            <w:r w:rsidRPr="0071607C">
              <w:t>Current Version Date:  28/10/2019</w:t>
            </w:r>
          </w:p>
        </w:tc>
      </w:tr>
      <w:tr w:rsidRPr="0074216B" w:rsidR="0071607C" w:rsidTr="00FB1E38" w14:paraId="0847224B" w14:textId="77777777">
        <w:tc>
          <w:tcPr>
            <w:tcW w:w="4535" w:type="dxa"/>
            <w:vAlign w:val="center"/>
          </w:tcPr>
          <w:p w:rsidRPr="0071607C" w:rsidR="0071607C" w:rsidP="00FB1E38" w:rsidRDefault="0071607C" w14:paraId="2253BDDB" w14:textId="5C5624D0">
            <w:r w:rsidRPr="0071607C">
              <w:t xml:space="preserve">Risk Rating: </w:t>
            </w:r>
            <w:r w:rsidR="005228DC">
              <w:t>Low</w:t>
            </w:r>
          </w:p>
        </w:tc>
        <w:tc>
          <w:tcPr>
            <w:tcW w:w="4535" w:type="dxa"/>
            <w:vAlign w:val="center"/>
          </w:tcPr>
          <w:p w:rsidRPr="0071607C" w:rsidR="0071607C" w:rsidP="00FB1E38" w:rsidRDefault="0071607C" w14:paraId="01A73FCC" w14:textId="467F7019">
            <w:r w:rsidRPr="0071607C">
              <w:t>Due for Review:  28/10/20</w:t>
            </w:r>
            <w:r w:rsidR="005228DC">
              <w:t>24</w:t>
            </w:r>
          </w:p>
        </w:tc>
      </w:tr>
      <w:tr w:rsidRPr="0074216B" w:rsidR="0071607C" w:rsidTr="00FB1E38" w14:paraId="7F9721A4" w14:textId="77777777">
        <w:trPr>
          <w:trHeight w:val="344"/>
        </w:trPr>
        <w:tc>
          <w:tcPr>
            <w:tcW w:w="4535" w:type="dxa"/>
            <w:tcBorders>
              <w:bottom w:val="single" w:color="auto" w:sz="4" w:space="0"/>
            </w:tcBorders>
            <w:vAlign w:val="center"/>
          </w:tcPr>
          <w:p w:rsidRPr="0071607C" w:rsidR="0071607C" w:rsidP="00FB1E38" w:rsidRDefault="0071607C" w14:paraId="2BFB5F08" w14:textId="77777777">
            <w:r w:rsidRPr="0071607C">
              <w:t>Approval by: DTC</w:t>
            </w:r>
          </w:p>
        </w:tc>
        <w:tc>
          <w:tcPr>
            <w:tcW w:w="4535" w:type="dxa"/>
            <w:tcBorders>
              <w:bottom w:val="single" w:color="auto" w:sz="4" w:space="0"/>
            </w:tcBorders>
            <w:vAlign w:val="center"/>
          </w:tcPr>
          <w:p w:rsidRPr="0071607C" w:rsidR="0071607C" w:rsidP="00FB1E38" w:rsidRDefault="0071607C" w14:paraId="65797555" w14:textId="33532B72">
            <w:r w:rsidRPr="0071607C">
              <w:t xml:space="preserve">Approval Date: </w:t>
            </w:r>
            <w:r w:rsidR="00260BC8">
              <w:t>APRIL 2021</w:t>
            </w:r>
          </w:p>
        </w:tc>
      </w:tr>
    </w:tbl>
    <w:p w:rsidRPr="00E25790" w:rsidR="0071607C" w:rsidP="006F0321" w:rsidRDefault="0071607C" w14:paraId="63F29E57" w14:textId="77777777"/>
    <w:p w:rsidRPr="00E25790" w:rsidR="00115F48" w:rsidP="006F0321" w:rsidRDefault="00115F48" w14:paraId="6DB162EB"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FB1E38" w14:paraId="54D3045B"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E25790" w:rsidR="00115F48" w:rsidP="009469DB" w:rsidRDefault="00115F48" w14:paraId="492CC01D" w14:textId="77777777">
            <w:pPr>
              <w:pStyle w:val="Heading1"/>
            </w:pPr>
            <w:bookmarkStart w:name="_Toc38106913" w:id="522"/>
            <w:bookmarkStart w:name="_Toc75340035" w:id="523"/>
            <w:r w:rsidRPr="00E25790">
              <w:lastRenderedPageBreak/>
              <w:t>Prostacyclin PGI</w:t>
            </w:r>
            <w:r w:rsidRPr="00E25790">
              <w:rPr>
                <w:vertAlign w:val="subscript"/>
              </w:rPr>
              <w:t>2</w:t>
            </w:r>
            <w:r w:rsidRPr="00E25790">
              <w:t>(Epoprostenol)</w:t>
            </w:r>
            <w:bookmarkEnd w:id="522"/>
            <w:bookmarkEnd w:id="523"/>
            <w:r w:rsidRPr="00E25790">
              <w:t xml:space="preserve"> </w:t>
            </w:r>
            <w:r w:rsidRPr="00E25790">
              <w:fldChar w:fldCharType="begin"/>
            </w:r>
            <w:r w:rsidRPr="00E25790">
              <w:instrText>tc "Prostacyclin PGI</w:instrText>
            </w:r>
            <w:r w:rsidRPr="00E25790">
              <w:rPr>
                <w:vertAlign w:val="subscript"/>
              </w:rPr>
              <w:instrText>2</w:instrText>
            </w:r>
            <w:r w:rsidRPr="00E25790">
              <w:instrText>" \l 0</w:instrText>
            </w:r>
            <w:r w:rsidRPr="00E25790">
              <w:fldChar w:fldCharType="end"/>
            </w:r>
            <w:r w:rsidRPr="00E25790">
              <w:t xml:space="preserve"> </w:t>
            </w:r>
          </w:p>
        </w:tc>
      </w:tr>
      <w:tr w:rsidRPr="00E25790" w:rsidR="00115F48" w:rsidTr="00FB1E38" w14:paraId="2852282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3E5AFF82" w14:textId="07BB173E">
            <w:r w:rsidRPr="00E25790">
              <w:t xml:space="preserve">Revision Date : </w:t>
            </w:r>
            <w:r w:rsidR="004C5270">
              <w:t>29-10-2020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44090002" w14:textId="2C1CB7A6">
            <w:r w:rsidRPr="00E25790">
              <w:t xml:space="preserve">Approved: </w:t>
            </w:r>
            <w:r w:rsidR="004C5270">
              <w:t>T</w:t>
            </w:r>
            <w:r w:rsidR="00B6685F">
              <w:t>Co, KOH</w:t>
            </w:r>
          </w:p>
        </w:tc>
      </w:tr>
    </w:tbl>
    <w:p w:rsidRPr="00E25790" w:rsidR="00115F48" w:rsidP="006F0321" w:rsidRDefault="00115F48" w14:paraId="72DAB7A1" w14:textId="77777777"/>
    <w:tbl>
      <w:tblPr>
        <w:tblW w:w="9490" w:type="dxa"/>
        <w:tblLayout w:type="fixed"/>
        <w:tblLook w:val="0000" w:firstRow="0" w:lastRow="0" w:firstColumn="0" w:lastColumn="0" w:noHBand="0" w:noVBand="0"/>
      </w:tblPr>
      <w:tblGrid>
        <w:gridCol w:w="2438"/>
        <w:gridCol w:w="7052"/>
      </w:tblGrid>
      <w:tr w:rsidRPr="00E25790" w:rsidR="004C5270" w:rsidTr="004C5270" w14:paraId="7BB5B663" w14:textId="77777777">
        <w:trPr>
          <w:cantSplit/>
          <w:trHeight w:val="1047"/>
        </w:trPr>
        <w:tc>
          <w:tcPr>
            <w:tcW w:w="2438" w:type="dxa"/>
            <w:tcBorders>
              <w:top w:val="single" w:color="auto" w:sz="6" w:space="0"/>
              <w:left w:val="single" w:color="auto" w:sz="6" w:space="0"/>
              <w:bottom w:val="single" w:color="auto" w:sz="6" w:space="0"/>
            </w:tcBorders>
          </w:tcPr>
          <w:p w:rsidRPr="00E25790" w:rsidR="004C5270" w:rsidP="00FE4186" w:rsidRDefault="004C5270" w14:paraId="0C27BEC9" w14:textId="77777777">
            <w:r w:rsidRPr="00E25790">
              <w:t>Indication :</w:t>
            </w:r>
          </w:p>
        </w:tc>
        <w:tc>
          <w:tcPr>
            <w:tcW w:w="7052" w:type="dxa"/>
            <w:tcBorders>
              <w:top w:val="single" w:color="auto" w:sz="6" w:space="0"/>
              <w:bottom w:val="single" w:color="auto" w:sz="6" w:space="0"/>
              <w:right w:val="single" w:color="auto" w:sz="6" w:space="0"/>
            </w:tcBorders>
          </w:tcPr>
          <w:p w:rsidRPr="00E25790" w:rsidR="004C5270" w:rsidP="00FE4186" w:rsidRDefault="004C5270" w14:paraId="6BCEE861" w14:textId="77777777">
            <w:r w:rsidRPr="00E25790">
              <w:t>Persistent pulmonary hypertension of the newborn unresponsive to usual ventilatory strategies</w:t>
            </w:r>
            <w:r>
              <w:t>, inhaled nitric oxide and appropriate inotropic support</w:t>
            </w:r>
            <w:r w:rsidRPr="00E25790">
              <w:t>.</w:t>
            </w:r>
          </w:p>
        </w:tc>
      </w:tr>
      <w:tr w:rsidRPr="00E25790" w:rsidR="004C5270" w:rsidTr="004C5270" w14:paraId="5DA29193"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0522FC90" w14:textId="77777777">
            <w:r w:rsidRPr="00E25790">
              <w:t>Dose :</w:t>
            </w:r>
          </w:p>
        </w:tc>
        <w:tc>
          <w:tcPr>
            <w:tcW w:w="7052" w:type="dxa"/>
            <w:tcBorders>
              <w:top w:val="single" w:color="auto" w:sz="6" w:space="0"/>
              <w:bottom w:val="single" w:color="auto" w:sz="6" w:space="0"/>
              <w:right w:val="single" w:color="auto" w:sz="6" w:space="0"/>
            </w:tcBorders>
          </w:tcPr>
          <w:p w:rsidR="004C5270" w:rsidP="00FE4186" w:rsidRDefault="004C5270" w14:paraId="2A3FD8E3" w14:textId="77777777">
            <w:r>
              <w:t>Initial dose 2nanograms/kg/minute</w:t>
            </w:r>
          </w:p>
          <w:p w:rsidR="004C5270" w:rsidP="00FE4186" w:rsidRDefault="004C5270" w14:paraId="6E703542" w14:textId="77777777">
            <w:r>
              <w:t>Titrate to clinical effect increasing by 1-2nanogram/kg/min not faster than 15minutely.</w:t>
            </w:r>
          </w:p>
          <w:p w:rsidR="004C5270" w:rsidP="00FE4186" w:rsidRDefault="004C5270" w14:paraId="61B8190A" w14:textId="77777777">
            <w:r>
              <w:t>Limited evidence for max dose for PPHN in neonates (UK guidance (BNF/NICE) state usual max 20nanograms/kg/min; rarely up to 40nanograms/kg/min)</w:t>
            </w:r>
          </w:p>
          <w:p w:rsidRPr="00E25790" w:rsidR="004C5270" w:rsidP="00FE4186" w:rsidRDefault="004C5270" w14:paraId="6EA57C68" w14:textId="77777777">
            <w:r>
              <w:t>Doses up to 80-150nanograms/kg/min used in adult and paediatric patients for chronic pulmonary arterial hypertension</w:t>
            </w:r>
          </w:p>
        </w:tc>
      </w:tr>
      <w:tr w:rsidRPr="00E25790" w:rsidR="004C5270" w:rsidTr="004C5270" w14:paraId="3952A91E"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40B78E8B" w14:textId="77777777">
            <w:r w:rsidRPr="00E25790">
              <w:t>Interval :</w:t>
            </w:r>
          </w:p>
        </w:tc>
        <w:tc>
          <w:tcPr>
            <w:tcW w:w="7052" w:type="dxa"/>
            <w:tcBorders>
              <w:top w:val="single" w:color="auto" w:sz="6" w:space="0"/>
              <w:bottom w:val="single" w:color="auto" w:sz="6" w:space="0"/>
              <w:right w:val="single" w:color="auto" w:sz="6" w:space="0"/>
            </w:tcBorders>
          </w:tcPr>
          <w:p w:rsidRPr="00E25790" w:rsidR="004C5270" w:rsidP="00FE4186" w:rsidRDefault="004C5270" w14:paraId="5CE431AD" w14:textId="77777777">
            <w:r w:rsidRPr="00E25790">
              <w:t>Continuous infusion</w:t>
            </w:r>
            <w:r>
              <w:t xml:space="preserve"> only</w:t>
            </w:r>
          </w:p>
        </w:tc>
      </w:tr>
      <w:tr w:rsidRPr="00E25790" w:rsidR="004C5270" w:rsidTr="004C5270" w14:paraId="217D3808"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332EB3A0" w14:textId="77777777">
            <w:r w:rsidRPr="00E25790">
              <w:t>Route :</w:t>
            </w:r>
          </w:p>
        </w:tc>
        <w:tc>
          <w:tcPr>
            <w:tcW w:w="7052" w:type="dxa"/>
            <w:tcBorders>
              <w:top w:val="single" w:color="auto" w:sz="6" w:space="0"/>
              <w:bottom w:val="single" w:color="auto" w:sz="6" w:space="0"/>
              <w:right w:val="single" w:color="auto" w:sz="6" w:space="0"/>
            </w:tcBorders>
          </w:tcPr>
          <w:p w:rsidRPr="00E25790" w:rsidR="004C5270" w:rsidP="00FE4186" w:rsidRDefault="004C5270" w14:paraId="21ADBECB" w14:textId="77777777">
            <w:r w:rsidRPr="00E25790">
              <w:t xml:space="preserve">I.V.  </w:t>
            </w:r>
            <w:r>
              <w:t>(</w:t>
            </w:r>
            <w:r w:rsidRPr="00E25790">
              <w:t>central venous line</w:t>
            </w:r>
            <w:r>
              <w:t xml:space="preserve"> strongly recommended)</w:t>
            </w:r>
          </w:p>
        </w:tc>
      </w:tr>
      <w:tr w:rsidRPr="00E25790" w:rsidR="004C5270" w:rsidTr="004C5270" w14:paraId="5881209B"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5BDB4CEB" w14:textId="77777777">
            <w:r w:rsidRPr="00E25790">
              <w:t>Total Daily Dose :</w:t>
            </w:r>
          </w:p>
        </w:tc>
        <w:tc>
          <w:tcPr>
            <w:tcW w:w="7052" w:type="dxa"/>
            <w:tcBorders>
              <w:top w:val="single" w:color="auto" w:sz="6" w:space="0"/>
              <w:bottom w:val="single" w:color="auto" w:sz="6" w:space="0"/>
              <w:right w:val="single" w:color="auto" w:sz="6" w:space="0"/>
            </w:tcBorders>
          </w:tcPr>
          <w:p w:rsidRPr="00E25790" w:rsidR="004C5270" w:rsidP="00FE4186" w:rsidRDefault="004C5270" w14:paraId="0722AE30" w14:textId="77777777"/>
        </w:tc>
      </w:tr>
      <w:tr w:rsidRPr="00E25790" w:rsidR="004C5270" w:rsidTr="004C5270" w14:paraId="13B41A74" w14:textId="77777777">
        <w:trPr>
          <w:cantSplit/>
          <w:trHeight w:val="1200"/>
        </w:trPr>
        <w:tc>
          <w:tcPr>
            <w:tcW w:w="2438" w:type="dxa"/>
            <w:tcBorders>
              <w:top w:val="single" w:color="auto" w:sz="6" w:space="0"/>
              <w:left w:val="single" w:color="auto" w:sz="6" w:space="0"/>
              <w:bottom w:val="single" w:color="auto" w:sz="6" w:space="0"/>
            </w:tcBorders>
          </w:tcPr>
          <w:p w:rsidRPr="00E25790" w:rsidR="004C5270" w:rsidP="00FE4186" w:rsidRDefault="004C5270" w14:paraId="6CCCCAD9" w14:textId="77777777">
            <w:r w:rsidRPr="00E25790">
              <w:t>Comments :</w:t>
            </w:r>
          </w:p>
        </w:tc>
        <w:tc>
          <w:tcPr>
            <w:tcW w:w="7052" w:type="dxa"/>
            <w:tcBorders>
              <w:top w:val="single" w:color="auto" w:sz="6" w:space="0"/>
              <w:bottom w:val="single" w:color="auto" w:sz="6" w:space="0"/>
              <w:right w:val="single" w:color="auto" w:sz="6" w:space="0"/>
            </w:tcBorders>
          </w:tcPr>
          <w:p w:rsidRPr="006C3A9F" w:rsidR="004C5270" w:rsidP="00FE4186" w:rsidRDefault="004C5270" w14:paraId="078EE04B" w14:textId="77777777">
            <w:pPr>
              <w:rPr>
                <w:b/>
              </w:rPr>
            </w:pPr>
            <w:r w:rsidRPr="006C3A9F">
              <w:rPr>
                <w:b/>
              </w:rPr>
              <w:t>Bolus doses (including line flushes) MUST NOT be given and may cause profound hypotension, shock and death</w:t>
            </w:r>
          </w:p>
          <w:p w:rsidR="004C5270" w:rsidP="00FE4186" w:rsidRDefault="004C5270" w14:paraId="0F3F61A9" w14:textId="77777777">
            <w:pPr>
              <w:rPr>
                <w:b/>
              </w:rPr>
            </w:pPr>
            <w:r w:rsidRPr="006C3A9F">
              <w:rPr>
                <w:b/>
              </w:rPr>
              <w:t>Infusion MUST NOT be abruptly stopped as this may cause rebound pulmonary hypertension and death</w:t>
            </w:r>
          </w:p>
          <w:p w:rsidRPr="00AC166A" w:rsidR="004C5270" w:rsidP="00FE4186" w:rsidRDefault="004C5270" w14:paraId="0D923DA8" w14:textId="77777777">
            <w:r w:rsidRPr="00AC166A">
              <w:t xml:space="preserve">Half-life is 3 minutes. </w:t>
            </w:r>
          </w:p>
          <w:p w:rsidR="004C5270" w:rsidP="00FE4186" w:rsidRDefault="004C5270" w14:paraId="3E53FE6B" w14:textId="77777777">
            <w:r w:rsidRPr="00E25790">
              <w:t xml:space="preserve">Most potent vasodilator known.  Use is restricted – ICU availability only. </w:t>
            </w:r>
          </w:p>
          <w:p w:rsidR="004C5270" w:rsidP="00FE4186" w:rsidRDefault="004C5270" w14:paraId="3754250A" w14:textId="77777777">
            <w:r>
              <w:t>Dedicated line is required to maintain alkaline pH of solution for drug stability</w:t>
            </w:r>
          </w:p>
          <w:p w:rsidR="004C5270" w:rsidP="00FE4186" w:rsidRDefault="004C5270" w14:paraId="321DC621" w14:textId="77777777">
            <w:r>
              <w:t>Diluent solution is highly alkaline (pH 12, this is essential for drug stability) and may cause tissue injury if extravasation occurs, central venous line recommended</w:t>
            </w:r>
          </w:p>
          <w:p w:rsidR="004C5270" w:rsidP="00FE4186" w:rsidRDefault="004C5270" w14:paraId="3B469D21" w14:textId="77777777">
            <w:r>
              <w:t>Causes systemic vasodilation;</w:t>
            </w:r>
            <w:r w:rsidRPr="00E25790">
              <w:t xml:space="preserve"> Latent hypovolaemia must be corrected before administering the medication. Causes profound hypotension in cases where volume loading is incomplete.</w:t>
            </w:r>
          </w:p>
          <w:p w:rsidR="004C5270" w:rsidP="00FE4186" w:rsidRDefault="004C5270" w14:paraId="1F06DD39" w14:textId="77777777">
            <w:r>
              <w:t>Concurrent use of vasoconstricting inotropic support recommended.</w:t>
            </w:r>
          </w:p>
          <w:p w:rsidR="004C5270" w:rsidP="00FE4186" w:rsidRDefault="004C5270" w14:paraId="65618C33" w14:textId="77777777">
            <w:r>
              <w:t>Monitor cardiovascular status including urine output continuously throughout treatment.</w:t>
            </w:r>
          </w:p>
          <w:p w:rsidRPr="00E25790" w:rsidR="004C5270" w:rsidP="00FE4186" w:rsidRDefault="004C5270" w14:paraId="6A4C7F14" w14:textId="77777777">
            <w:r>
              <w:t>Inhibits platelet aggregation and may affect clotting or cause bleeding. Consider head ultrasound prior to treatment and monitor for bleeding.</w:t>
            </w:r>
          </w:p>
        </w:tc>
      </w:tr>
      <w:tr w:rsidRPr="00E25790" w:rsidR="004C5270" w:rsidTr="004C5270" w14:paraId="1BA22266"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7F67951A" w14:textId="77777777">
            <w:r w:rsidRPr="00E25790">
              <w:lastRenderedPageBreak/>
              <w:t>Supplied as :</w:t>
            </w:r>
          </w:p>
        </w:tc>
        <w:tc>
          <w:tcPr>
            <w:tcW w:w="7052" w:type="dxa"/>
            <w:tcBorders>
              <w:top w:val="single" w:color="auto" w:sz="6" w:space="0"/>
              <w:bottom w:val="single" w:color="auto" w:sz="6" w:space="0"/>
              <w:right w:val="single" w:color="auto" w:sz="6" w:space="0"/>
            </w:tcBorders>
          </w:tcPr>
          <w:p w:rsidRPr="00E25790" w:rsidR="004C5270" w:rsidP="00FE4186" w:rsidRDefault="004C5270" w14:paraId="43CFF2CB" w14:textId="77777777">
            <w:r w:rsidRPr="00E25790">
              <w:t xml:space="preserve">Epoprostenol sodium 500 </w:t>
            </w:r>
            <w:r w:rsidRPr="00E25790">
              <w:rPr>
                <w:rFonts w:ascii="Symbol" w:hAnsi="Symbol" w:eastAsia="Symbol" w:cs="Symbol"/>
              </w:rPr>
              <w:t>m</w:t>
            </w:r>
            <w:r w:rsidRPr="00E25790">
              <w:t>g vial</w:t>
            </w:r>
            <w:r>
              <w:t xml:space="preserve"> (powder) with 2 x 50mL diluent (Flolan</w:t>
            </w:r>
            <w:r>
              <w:rPr>
                <w:rFonts w:cs="Calibri"/>
              </w:rPr>
              <w:t>™</w:t>
            </w:r>
            <w:r>
              <w:t>)</w:t>
            </w:r>
          </w:p>
        </w:tc>
      </w:tr>
      <w:tr w:rsidRPr="00E25790" w:rsidR="004C5270" w:rsidTr="004C5270" w14:paraId="73660D3E" w14:textId="77777777">
        <w:trPr>
          <w:cantSplit/>
          <w:trHeight w:val="960"/>
        </w:trPr>
        <w:tc>
          <w:tcPr>
            <w:tcW w:w="2438" w:type="dxa"/>
            <w:tcBorders>
              <w:top w:val="single" w:color="auto" w:sz="6" w:space="0"/>
              <w:left w:val="single" w:color="auto" w:sz="6" w:space="0"/>
              <w:bottom w:val="single" w:color="auto" w:sz="6" w:space="0"/>
            </w:tcBorders>
          </w:tcPr>
          <w:p w:rsidRPr="00E25790" w:rsidR="004C5270" w:rsidP="00FE4186" w:rsidRDefault="004C5270" w14:paraId="360E75ED" w14:textId="77777777">
            <w:r w:rsidRPr="00E25790">
              <w:t>Dilution :</w:t>
            </w:r>
          </w:p>
        </w:tc>
        <w:tc>
          <w:tcPr>
            <w:tcW w:w="7052" w:type="dxa"/>
            <w:tcBorders>
              <w:top w:val="single" w:color="auto" w:sz="6" w:space="0"/>
              <w:bottom w:val="single" w:color="auto" w:sz="6" w:space="0"/>
              <w:right w:val="single" w:color="auto" w:sz="6" w:space="0"/>
            </w:tcBorders>
          </w:tcPr>
          <w:p w:rsidR="004C5270" w:rsidP="00FE4186" w:rsidRDefault="004C5270" w14:paraId="63CEDAE4" w14:textId="77777777">
            <w:r w:rsidRPr="00CE09BA">
              <w:rPr>
                <w:b/>
              </w:rPr>
              <w:t>Must only be reconstituted in the diluent solution provided.</w:t>
            </w:r>
            <w:r w:rsidRPr="00E25790">
              <w:t xml:space="preserve">  Draw up 10 m</w:t>
            </w:r>
            <w:r>
              <w:t>L</w:t>
            </w:r>
            <w:r w:rsidRPr="00E25790">
              <w:t xml:space="preserve"> of diluent </w:t>
            </w:r>
            <w:r>
              <w:t>into a syringe,</w:t>
            </w:r>
            <w:r w:rsidRPr="00E25790">
              <w:t xml:space="preserve"> </w:t>
            </w:r>
            <w:r>
              <w:t xml:space="preserve">inject into vial and mix to </w:t>
            </w:r>
            <w:r w:rsidRPr="00E25790">
              <w:t xml:space="preserve">dissolve contents of vial.  </w:t>
            </w:r>
          </w:p>
          <w:p w:rsidRPr="00E25790" w:rsidR="004C5270" w:rsidP="00FE4186" w:rsidRDefault="004C5270" w14:paraId="11B035D9" w14:textId="77777777">
            <w:r w:rsidRPr="00E25790">
              <w:t xml:space="preserve">Draw up all of </w:t>
            </w:r>
            <w:r>
              <w:t>contents of the vial</w:t>
            </w:r>
            <w:r w:rsidRPr="00E25790">
              <w:t xml:space="preserve"> and </w:t>
            </w:r>
            <w:r>
              <w:t>return</w:t>
            </w:r>
            <w:r w:rsidRPr="00E25790">
              <w:t xml:space="preserve"> </w:t>
            </w:r>
            <w:r>
              <w:t>to</w:t>
            </w:r>
            <w:r w:rsidRPr="00E25790">
              <w:t xml:space="preserve"> the diluent vial (</w:t>
            </w:r>
            <w:r>
              <w:t>to make t</w:t>
            </w:r>
            <w:r w:rsidRPr="00E25790">
              <w:t>otal of 50 ml</w:t>
            </w:r>
            <w:r>
              <w:t xml:space="preserve"> of concentrated solution</w:t>
            </w:r>
            <w:r w:rsidRPr="00E25790">
              <w:t xml:space="preserve">).  </w:t>
            </w:r>
            <w:r>
              <w:t xml:space="preserve">Mix again. </w:t>
            </w:r>
            <w:r w:rsidRPr="00E25790">
              <w:t>This solution now contains 1</w:t>
            </w:r>
            <w:r w:rsidRPr="00E25790">
              <w:rPr>
                <w:u w:val="single"/>
              </w:rPr>
              <w:t>0,000 nanograms/m</w:t>
            </w:r>
            <w:r>
              <w:rPr>
                <w:u w:val="single"/>
              </w:rPr>
              <w:t>L</w:t>
            </w:r>
            <w:r w:rsidRPr="00E25790">
              <w:rPr>
                <w:u w:val="single"/>
              </w:rPr>
              <w:t xml:space="preserve"> (10</w:t>
            </w:r>
            <w:r w:rsidRPr="00E25790">
              <w:rPr>
                <w:rFonts w:ascii="Symbol" w:hAnsi="Symbol" w:eastAsia="Symbol" w:cs="Symbol"/>
                <w:u w:val="single"/>
              </w:rPr>
              <w:t>m</w:t>
            </w:r>
            <w:r w:rsidRPr="00E25790">
              <w:rPr>
                <w:u w:val="single"/>
              </w:rPr>
              <w:t>g/m</w:t>
            </w:r>
            <w:r>
              <w:rPr>
                <w:u w:val="single"/>
              </w:rPr>
              <w:t>L</w:t>
            </w:r>
            <w:r w:rsidRPr="00E25790">
              <w:rPr>
                <w:u w:val="single"/>
              </w:rPr>
              <w:t>)</w:t>
            </w:r>
            <w:r w:rsidRPr="00E25790">
              <w:t>.</w:t>
            </w:r>
          </w:p>
          <w:p w:rsidRPr="00CE09BA" w:rsidR="004C5270" w:rsidP="00FE4186" w:rsidRDefault="004C5270" w14:paraId="300E7138" w14:textId="77777777">
            <w:pPr>
              <w:pStyle w:val="BodyText2"/>
              <w:rPr>
                <w:b w:val="0"/>
              </w:rPr>
            </w:pPr>
            <w:r w:rsidRPr="00CE09BA">
              <w:rPr>
                <w:b w:val="0"/>
              </w:rPr>
              <w:t>Take ‘X’ m</w:t>
            </w:r>
            <w:r>
              <w:rPr>
                <w:b w:val="0"/>
              </w:rPr>
              <w:t>L</w:t>
            </w:r>
            <w:r w:rsidRPr="00CE09BA">
              <w:rPr>
                <w:b w:val="0"/>
              </w:rPr>
              <w:t xml:space="preserve"> of th</w:t>
            </w:r>
            <w:r>
              <w:rPr>
                <w:b w:val="0"/>
              </w:rPr>
              <w:t>e concentrated solu</w:t>
            </w:r>
            <w:r w:rsidRPr="00CE09BA">
              <w:rPr>
                <w:b w:val="0"/>
              </w:rPr>
              <w:t>tion and make up to 50 m</w:t>
            </w:r>
            <w:r>
              <w:rPr>
                <w:b w:val="0"/>
              </w:rPr>
              <w:t>L</w:t>
            </w:r>
            <w:r w:rsidRPr="00CE09BA">
              <w:rPr>
                <w:b w:val="0"/>
              </w:rPr>
              <w:t xml:space="preserve"> with the second vial of diluent.</w:t>
            </w:r>
          </w:p>
          <w:p w:rsidRPr="00E25790" w:rsidR="004C5270" w:rsidP="00FE4186" w:rsidRDefault="004C5270" w14:paraId="351A2B57" w14:textId="77777777">
            <w:r w:rsidRPr="00E25790">
              <w:t xml:space="preserve">‘X’ = </w:t>
            </w:r>
            <w:r>
              <w:t xml:space="preserve">6 x </w:t>
            </w:r>
            <w:r w:rsidRPr="00E25790">
              <w:t xml:space="preserve">Body Weight in kg </w:t>
            </w:r>
          </w:p>
          <w:p w:rsidR="004C5270" w:rsidP="00FE4186" w:rsidRDefault="004C5270" w14:paraId="47FD72B6" w14:textId="77777777">
            <w:pPr>
              <w:rPr>
                <w:lang w:val="de-DE"/>
              </w:rPr>
            </w:pPr>
            <w:r>
              <w:rPr>
                <w:lang w:val="de-DE"/>
              </w:rPr>
              <w:t xml:space="preserve">Final dilution- 1mL/hr = </w:t>
            </w:r>
            <w:r w:rsidRPr="00E25790">
              <w:rPr>
                <w:lang w:val="de-DE"/>
              </w:rPr>
              <w:t>20n</w:t>
            </w:r>
            <w:r>
              <w:rPr>
                <w:lang w:val="de-DE"/>
              </w:rPr>
              <w:t>anogram</w:t>
            </w:r>
            <w:r w:rsidRPr="00E25790">
              <w:rPr>
                <w:lang w:val="de-DE"/>
              </w:rPr>
              <w:t>/kg/mi</w:t>
            </w:r>
            <w:r>
              <w:rPr>
                <w:lang w:val="de-DE"/>
              </w:rPr>
              <w:t>n</w:t>
            </w:r>
          </w:p>
          <w:p w:rsidR="004C5270" w:rsidP="00FE4186" w:rsidRDefault="004C5270" w14:paraId="61267C3E" w14:textId="77777777">
            <w:pPr>
              <w:rPr>
                <w:lang w:val="de-DE"/>
              </w:rPr>
            </w:pPr>
            <w:r>
              <w:rPr>
                <w:lang w:val="de-DE"/>
              </w:rPr>
              <w:t>Administer infusion through 0.2 or 0.22micrometre in line filter</w:t>
            </w:r>
          </w:p>
          <w:p w:rsidRPr="00E25790" w:rsidR="004C5270" w:rsidP="00FE4186" w:rsidRDefault="004C5270" w14:paraId="1C794558" w14:textId="77777777">
            <w:pPr>
              <w:rPr>
                <w:lang w:val="de-DE"/>
              </w:rPr>
            </w:pPr>
            <w:r>
              <w:rPr>
                <w:lang w:val="de-DE"/>
              </w:rPr>
              <w:t>NOTE: these instructions pertain to the Flolan</w:t>
            </w:r>
            <w:r>
              <w:rPr>
                <w:rFonts w:cs="Calibri"/>
                <w:lang w:val="de-DE"/>
              </w:rPr>
              <w:t>™</w:t>
            </w:r>
            <w:r>
              <w:rPr>
                <w:lang w:val="de-DE"/>
              </w:rPr>
              <w:t xml:space="preserve"> brand only (pharmacy’s preferred supplier); if using Veletri</w:t>
            </w:r>
            <w:r>
              <w:rPr>
                <w:rFonts w:cs="Calibri"/>
                <w:lang w:val="de-DE"/>
              </w:rPr>
              <w:t>™</w:t>
            </w:r>
            <w:r>
              <w:rPr>
                <w:lang w:val="de-DE"/>
              </w:rPr>
              <w:t xml:space="preserve"> brand follow specific dilution instructions for that brand (final concentration of solution and dosage remain the same)</w:t>
            </w:r>
          </w:p>
        </w:tc>
      </w:tr>
      <w:tr w:rsidRPr="00E25790" w:rsidR="004C5270" w:rsidTr="004C5270" w14:paraId="53C8A4D0"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2D170048" w14:textId="77777777">
            <w:r w:rsidRPr="00E25790">
              <w:t>Stability :</w:t>
            </w:r>
          </w:p>
        </w:tc>
        <w:tc>
          <w:tcPr>
            <w:tcW w:w="7052" w:type="dxa"/>
            <w:tcBorders>
              <w:top w:val="single" w:color="auto" w:sz="6" w:space="0"/>
              <w:bottom w:val="single" w:color="auto" w:sz="6" w:space="0"/>
              <w:right w:val="single" w:color="auto" w:sz="6" w:space="0"/>
            </w:tcBorders>
          </w:tcPr>
          <w:p w:rsidRPr="00E25790" w:rsidR="004C5270" w:rsidP="00FE4186" w:rsidRDefault="004C5270" w14:paraId="66728E44" w14:textId="77777777">
            <w:r w:rsidRPr="00E25790">
              <w:t>The base solution is stable for 24 hours.</w:t>
            </w:r>
          </w:p>
        </w:tc>
      </w:tr>
      <w:tr w:rsidRPr="00E25790" w:rsidR="004C5270" w:rsidTr="004C5270" w14:paraId="4913D1DF"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53679ECC" w14:textId="77777777">
            <w:r w:rsidRPr="00E25790">
              <w:t>Storage :</w:t>
            </w:r>
          </w:p>
        </w:tc>
        <w:tc>
          <w:tcPr>
            <w:tcW w:w="7052" w:type="dxa"/>
            <w:tcBorders>
              <w:top w:val="single" w:color="auto" w:sz="6" w:space="0"/>
              <w:bottom w:val="single" w:color="auto" w:sz="6" w:space="0"/>
              <w:right w:val="single" w:color="auto" w:sz="6" w:space="0"/>
            </w:tcBorders>
          </w:tcPr>
          <w:p w:rsidRPr="00E25790" w:rsidR="004C5270" w:rsidP="00FE4186" w:rsidRDefault="004C5270" w14:paraId="4943CCC7" w14:textId="77777777">
            <w:r w:rsidRPr="00E25790">
              <w:t>Refrigerated, protect from light.</w:t>
            </w:r>
          </w:p>
        </w:tc>
      </w:tr>
      <w:tr w:rsidRPr="00E25790" w:rsidR="004C5270" w:rsidTr="004C5270" w14:paraId="70B16E9F"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18674137" w14:textId="77777777">
            <w:r w:rsidRPr="00E25790">
              <w:t>Incompatibility :</w:t>
            </w:r>
          </w:p>
        </w:tc>
        <w:tc>
          <w:tcPr>
            <w:tcW w:w="7052" w:type="dxa"/>
            <w:tcBorders>
              <w:top w:val="single" w:color="auto" w:sz="6" w:space="0"/>
              <w:bottom w:val="single" w:color="auto" w:sz="6" w:space="0"/>
              <w:right w:val="single" w:color="auto" w:sz="6" w:space="0"/>
            </w:tcBorders>
          </w:tcPr>
          <w:p w:rsidRPr="00E25790" w:rsidR="004C5270" w:rsidP="00FE4186" w:rsidRDefault="004C5270" w14:paraId="4C3D8F5B" w14:textId="77777777">
            <w:r>
              <w:t>Use dedicated line as mixing with other fluids will reduce pH and make solution unstable</w:t>
            </w:r>
          </w:p>
        </w:tc>
      </w:tr>
      <w:tr w:rsidRPr="00E25790" w:rsidR="004C5270" w:rsidTr="004C5270" w14:paraId="7393A783"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61EDBE6C" w14:textId="77777777">
            <w:r w:rsidRPr="00E25790">
              <w:t>Serum Levels :</w:t>
            </w:r>
          </w:p>
        </w:tc>
        <w:tc>
          <w:tcPr>
            <w:tcW w:w="7052" w:type="dxa"/>
            <w:tcBorders>
              <w:top w:val="single" w:color="auto" w:sz="6" w:space="0"/>
              <w:bottom w:val="single" w:color="auto" w:sz="6" w:space="0"/>
              <w:right w:val="single" w:color="auto" w:sz="6" w:space="0"/>
            </w:tcBorders>
          </w:tcPr>
          <w:p w:rsidRPr="00E25790" w:rsidR="004C5270" w:rsidP="00FE4186" w:rsidRDefault="004C5270" w14:paraId="78AF2E64" w14:textId="77777777">
            <w:r>
              <w:t>Not applicable</w:t>
            </w:r>
          </w:p>
        </w:tc>
      </w:tr>
      <w:tr w:rsidRPr="00E25790" w:rsidR="004C5270" w:rsidTr="004C5270" w14:paraId="15E8F33D" w14:textId="77777777">
        <w:trPr>
          <w:cantSplit/>
          <w:trHeight w:val="480"/>
        </w:trPr>
        <w:tc>
          <w:tcPr>
            <w:tcW w:w="2438" w:type="dxa"/>
            <w:tcBorders>
              <w:top w:val="single" w:color="auto" w:sz="6" w:space="0"/>
              <w:left w:val="single" w:color="auto" w:sz="6" w:space="0"/>
              <w:bottom w:val="single" w:color="auto" w:sz="6" w:space="0"/>
            </w:tcBorders>
          </w:tcPr>
          <w:p w:rsidRPr="00E25790" w:rsidR="004C5270" w:rsidP="00FE4186" w:rsidRDefault="004C5270" w14:paraId="028E5018" w14:textId="77777777">
            <w:r>
              <w:t>References:</w:t>
            </w:r>
          </w:p>
        </w:tc>
        <w:tc>
          <w:tcPr>
            <w:tcW w:w="7052" w:type="dxa"/>
            <w:tcBorders>
              <w:top w:val="single" w:color="auto" w:sz="6" w:space="0"/>
              <w:bottom w:val="single" w:color="auto" w:sz="6" w:space="0"/>
              <w:right w:val="single" w:color="auto" w:sz="6" w:space="0"/>
            </w:tcBorders>
          </w:tcPr>
          <w:p w:rsidR="004C5270" w:rsidP="001B0E05" w:rsidRDefault="004C5270" w14:paraId="28A353CE" w14:textId="77777777">
            <w:pPr>
              <w:pStyle w:val="ListParagraph"/>
              <w:numPr>
                <w:ilvl w:val="0"/>
                <w:numId w:val="87"/>
              </w:numPr>
            </w:pPr>
            <w:r>
              <w:t>Australian Injectable Drugs Handbook, 8</w:t>
            </w:r>
            <w:r w:rsidRPr="00132FAE">
              <w:rPr>
                <w:vertAlign w:val="superscript"/>
              </w:rPr>
              <w:t>th</w:t>
            </w:r>
            <w:r>
              <w:t xml:space="preserve"> edition;</w:t>
            </w:r>
          </w:p>
          <w:p w:rsidR="004C5270" w:rsidP="00FE4186" w:rsidRDefault="004C5270" w14:paraId="1CD2CA53" w14:textId="77777777">
            <w:r>
              <w:t xml:space="preserve">Epoprostenol Sodium Monograph </w:t>
            </w:r>
            <w:hyperlink w:history="1" r:id="rId73">
              <w:r w:rsidRPr="00F725FC">
                <w:rPr>
                  <w:rStyle w:val="Hyperlink"/>
                </w:rPr>
                <w:t>https://aidh.hcn.com.au/browse/e/epoprostenol_sodium</w:t>
              </w:r>
            </w:hyperlink>
          </w:p>
          <w:p w:rsidR="004C5270" w:rsidP="001B0E05" w:rsidRDefault="004C5270" w14:paraId="5DA89D61" w14:textId="77777777">
            <w:pPr>
              <w:pStyle w:val="ListParagraph"/>
              <w:numPr>
                <w:ilvl w:val="0"/>
                <w:numId w:val="87"/>
              </w:numPr>
            </w:pPr>
            <w:r>
              <w:t>National Institute for Health and Care Excellence, Pulmonary</w:t>
            </w:r>
          </w:p>
          <w:p w:rsidR="004C5270" w:rsidP="00FE4186" w:rsidRDefault="004C5270" w14:paraId="28AA7A2A" w14:textId="77777777">
            <w:r>
              <w:t xml:space="preserve">Hypertension in Neonates: Sildenafil, Evidence Summary, March 2016 </w:t>
            </w:r>
            <w:hyperlink w:history="1" r:id="rId74">
              <w:r w:rsidRPr="00F725FC">
                <w:rPr>
                  <w:rStyle w:val="Hyperlink"/>
                </w:rPr>
                <w:t>https://www.nice.org.uk/advice/esuom51/chapter/Key-points-from-the-evidence</w:t>
              </w:r>
            </w:hyperlink>
          </w:p>
          <w:p w:rsidR="004C5270" w:rsidP="001B0E05" w:rsidRDefault="004C5270" w14:paraId="2F1D74A0" w14:textId="77777777">
            <w:pPr>
              <w:pStyle w:val="ListParagraph"/>
              <w:numPr>
                <w:ilvl w:val="0"/>
                <w:numId w:val="87"/>
              </w:numPr>
            </w:pPr>
            <w:r>
              <w:t xml:space="preserve">AMH Children’s Dosing Companion, Epoprostenol July 2020 </w:t>
            </w:r>
          </w:p>
          <w:p w:rsidR="004C5270" w:rsidP="00FE4186" w:rsidRDefault="006B3E26" w14:paraId="180FF006" w14:textId="77777777">
            <w:hyperlink w:history="1" r:id="rId75">
              <w:r w:rsidRPr="00F725FC" w:rsidR="004C5270">
                <w:rPr>
                  <w:rStyle w:val="Hyperlink"/>
                </w:rPr>
                <w:t>https://childrens.amh.net.au/monographs/epoprostenol</w:t>
              </w:r>
            </w:hyperlink>
          </w:p>
          <w:p w:rsidR="004C5270" w:rsidP="001B0E05" w:rsidRDefault="004C5270" w14:paraId="3677DE1D" w14:textId="77777777">
            <w:pPr>
              <w:pStyle w:val="ListParagraph"/>
              <w:numPr>
                <w:ilvl w:val="0"/>
                <w:numId w:val="87"/>
              </w:numPr>
            </w:pPr>
            <w:r>
              <w:t xml:space="preserve">Australian Product Information Flolan (epoprostenol) powder </w:t>
            </w:r>
          </w:p>
          <w:p w:rsidR="004C5270" w:rsidP="00FE4186" w:rsidRDefault="004C5270" w14:paraId="2F90C066" w14:textId="77777777">
            <w:r>
              <w:t xml:space="preserve">for injection, GSK 2018 </w:t>
            </w:r>
            <w:hyperlink w:history="1" r:id="rId76">
              <w:r w:rsidRPr="00F725FC">
                <w:rPr>
                  <w:rStyle w:val="Hyperlink"/>
                </w:rPr>
                <w:t>https://au.gsk.com/media/383858/flolan_injection_pi_011_approved.pdf</w:t>
              </w:r>
            </w:hyperlink>
          </w:p>
          <w:p w:rsidRPr="00E25790" w:rsidR="004C5270" w:rsidP="00FE4186" w:rsidRDefault="004C5270" w14:paraId="5F31D5EE" w14:textId="77777777"/>
        </w:tc>
      </w:tr>
    </w:tbl>
    <w:p w:rsidRPr="00E25790" w:rsidR="00115F48" w:rsidP="006F0321" w:rsidRDefault="00115F48" w14:paraId="5D7A9909"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74216B" w:rsidR="00B6685F" w:rsidTr="00FE4186" w14:paraId="4F91B875" w14:textId="77777777">
        <w:tc>
          <w:tcPr>
            <w:tcW w:w="4535" w:type="dxa"/>
            <w:vAlign w:val="center"/>
          </w:tcPr>
          <w:p w:rsidRPr="0071607C" w:rsidR="00B6685F" w:rsidP="00FE4186" w:rsidRDefault="00B6685F" w14:paraId="7F728B1B" w14:textId="3C32764D">
            <w:r w:rsidRPr="0071607C">
              <w:t xml:space="preserve">Original version Date: </w:t>
            </w:r>
            <w:r>
              <w:t>2014</w:t>
            </w:r>
          </w:p>
        </w:tc>
        <w:tc>
          <w:tcPr>
            <w:tcW w:w="4535" w:type="dxa"/>
            <w:vAlign w:val="center"/>
          </w:tcPr>
          <w:p w:rsidRPr="0071607C" w:rsidR="00B6685F" w:rsidP="00FE4186" w:rsidRDefault="00B6685F" w14:paraId="684F919A" w14:textId="24F70568">
            <w:r w:rsidRPr="0071607C">
              <w:t xml:space="preserve">Author: </w:t>
            </w:r>
            <w:r>
              <w:t>AK, JD</w:t>
            </w:r>
          </w:p>
        </w:tc>
      </w:tr>
      <w:tr w:rsidRPr="0074216B" w:rsidR="00B6685F" w:rsidTr="00FE4186" w14:paraId="3EA959D2" w14:textId="77777777">
        <w:tc>
          <w:tcPr>
            <w:tcW w:w="4535" w:type="dxa"/>
            <w:vAlign w:val="center"/>
          </w:tcPr>
          <w:p w:rsidRPr="0071607C" w:rsidR="00B6685F" w:rsidP="00FE4186" w:rsidRDefault="00B6685F" w14:paraId="245E2F7B" w14:textId="0570D979">
            <w:pPr>
              <w:rPr>
                <w:bCs/>
              </w:rPr>
            </w:pPr>
            <w:r w:rsidRPr="0071607C">
              <w:t xml:space="preserve">Current Version number:  </w:t>
            </w:r>
            <w:r>
              <w:t>2</w:t>
            </w:r>
          </w:p>
        </w:tc>
        <w:tc>
          <w:tcPr>
            <w:tcW w:w="4535" w:type="dxa"/>
            <w:vAlign w:val="center"/>
          </w:tcPr>
          <w:p w:rsidRPr="0071607C" w:rsidR="00B6685F" w:rsidP="00FE4186" w:rsidRDefault="00B6685F" w14:paraId="4C504664" w14:textId="41D3E148">
            <w:r w:rsidRPr="0071607C">
              <w:t xml:space="preserve">Current Version Date:  </w:t>
            </w:r>
            <w:r>
              <w:t>29</w:t>
            </w:r>
            <w:r w:rsidRPr="0071607C">
              <w:t>/10/20</w:t>
            </w:r>
            <w:r>
              <w:t>20</w:t>
            </w:r>
          </w:p>
        </w:tc>
      </w:tr>
      <w:tr w:rsidRPr="0074216B" w:rsidR="00B6685F" w:rsidTr="00FE4186" w14:paraId="3954B30B" w14:textId="77777777">
        <w:tc>
          <w:tcPr>
            <w:tcW w:w="4535" w:type="dxa"/>
            <w:vAlign w:val="center"/>
          </w:tcPr>
          <w:p w:rsidRPr="0071607C" w:rsidR="00B6685F" w:rsidP="00FE4186" w:rsidRDefault="00B6685F" w14:paraId="01E7B1EC" w14:textId="77777777">
            <w:r w:rsidRPr="0071607C">
              <w:t xml:space="preserve">Risk Rating: </w:t>
            </w:r>
            <w:r>
              <w:t>Low</w:t>
            </w:r>
          </w:p>
        </w:tc>
        <w:tc>
          <w:tcPr>
            <w:tcW w:w="4535" w:type="dxa"/>
            <w:vAlign w:val="center"/>
          </w:tcPr>
          <w:p w:rsidRPr="0071607C" w:rsidR="00B6685F" w:rsidP="00FE4186" w:rsidRDefault="00B6685F" w14:paraId="30A15C0A" w14:textId="615668F1">
            <w:r w:rsidRPr="0071607C">
              <w:t xml:space="preserve">Due for Review:  </w:t>
            </w:r>
            <w:r>
              <w:t>29/10/2025</w:t>
            </w:r>
          </w:p>
        </w:tc>
      </w:tr>
      <w:tr w:rsidRPr="0074216B" w:rsidR="00B6685F" w:rsidTr="00FE4186" w14:paraId="30F28985" w14:textId="77777777">
        <w:trPr>
          <w:trHeight w:val="344"/>
        </w:trPr>
        <w:tc>
          <w:tcPr>
            <w:tcW w:w="4535" w:type="dxa"/>
            <w:tcBorders>
              <w:bottom w:val="single" w:color="auto" w:sz="4" w:space="0"/>
            </w:tcBorders>
            <w:vAlign w:val="center"/>
          </w:tcPr>
          <w:p w:rsidRPr="0071607C" w:rsidR="00B6685F" w:rsidP="00FE4186" w:rsidRDefault="00B6685F" w14:paraId="01657B73" w14:textId="77777777">
            <w:r w:rsidRPr="0071607C">
              <w:t>Approval by: DTC</w:t>
            </w:r>
          </w:p>
        </w:tc>
        <w:tc>
          <w:tcPr>
            <w:tcW w:w="4535" w:type="dxa"/>
            <w:tcBorders>
              <w:bottom w:val="single" w:color="auto" w:sz="4" w:space="0"/>
            </w:tcBorders>
            <w:vAlign w:val="center"/>
          </w:tcPr>
          <w:p w:rsidRPr="0071607C" w:rsidR="00B6685F" w:rsidP="00FE4186" w:rsidRDefault="00B6685F" w14:paraId="2D3DA513" w14:textId="2F1D1E0B">
            <w:r w:rsidRPr="0071607C">
              <w:t xml:space="preserve">Approval Date: </w:t>
            </w:r>
            <w:r w:rsidR="00260BC8">
              <w:t>APRIL 2021</w:t>
            </w:r>
          </w:p>
        </w:tc>
      </w:tr>
    </w:tbl>
    <w:p w:rsidRPr="00E25790" w:rsidR="00115F48" w:rsidP="006F0321" w:rsidRDefault="00115F48" w14:paraId="434DCCC1" w14:textId="77777777"/>
    <w:tbl>
      <w:tblPr>
        <w:tblW w:w="9049" w:type="dxa"/>
        <w:tblLayout w:type="fixed"/>
        <w:tblLook w:val="0000" w:firstRow="0" w:lastRow="0" w:firstColumn="0" w:lastColumn="0" w:noHBand="0" w:noVBand="0"/>
      </w:tblPr>
      <w:tblGrid>
        <w:gridCol w:w="4153"/>
        <w:gridCol w:w="4896"/>
      </w:tblGrid>
      <w:tr w:rsidRPr="00E25790" w:rsidR="00115F48" w:rsidTr="00FB1E38" w14:paraId="769770B7"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E478EA" w:rsidR="00115F48" w:rsidP="009469DB" w:rsidRDefault="00115F48" w14:paraId="2894FC15" w14:textId="77777777">
            <w:pPr>
              <w:pStyle w:val="Heading1"/>
            </w:pPr>
            <w:bookmarkStart w:name="_Toc495481162" w:id="524"/>
            <w:bookmarkStart w:name="_Toc495481288" w:id="525"/>
            <w:bookmarkStart w:name="_Toc495481413" w:id="526"/>
            <w:bookmarkStart w:name="_Toc495501594" w:id="527"/>
            <w:bookmarkStart w:name="_Toc38106914" w:id="528"/>
            <w:bookmarkStart w:name="_Toc75340036" w:id="529"/>
            <w:r w:rsidRPr="00E478EA">
              <w:lastRenderedPageBreak/>
              <w:t>Pyridoxine</w:t>
            </w:r>
            <w:bookmarkEnd w:id="524"/>
            <w:bookmarkEnd w:id="525"/>
            <w:bookmarkEnd w:id="526"/>
            <w:bookmarkEnd w:id="527"/>
            <w:bookmarkEnd w:id="528"/>
            <w:bookmarkEnd w:id="529"/>
            <w:r w:rsidRPr="00E478EA">
              <w:fldChar w:fldCharType="begin"/>
            </w:r>
            <w:r w:rsidRPr="00E478EA">
              <w:instrText>tc "Pyridoxine" \l 0</w:instrText>
            </w:r>
            <w:r w:rsidRPr="00E478EA">
              <w:fldChar w:fldCharType="end"/>
            </w:r>
          </w:p>
        </w:tc>
      </w:tr>
      <w:tr w:rsidRPr="00E25790" w:rsidR="00115F48" w:rsidTr="00FB1E38" w14:paraId="0697BC6E"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ACC1A70" w14:textId="40CBA4D2">
            <w:r w:rsidRPr="00E25790">
              <w:t xml:space="preserve">Revision Date : </w:t>
            </w:r>
            <w:r w:rsidR="00D95D8A">
              <w:rPr>
                <w:noProof/>
              </w:rPr>
              <w:t>07/12/2020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DF3C58" w14:paraId="731EFB33" w14:textId="2D970ECC">
            <w:r w:rsidRPr="00E25790">
              <w:t>Approved</w:t>
            </w:r>
            <w:r w:rsidRPr="00E25790" w:rsidR="00115F48">
              <w:t xml:space="preserve">: </w:t>
            </w:r>
            <w:r w:rsidR="00D95D8A">
              <w:t>NS</w:t>
            </w:r>
            <w:r w:rsidR="004D096D">
              <w:t>, KOH</w:t>
            </w:r>
          </w:p>
        </w:tc>
      </w:tr>
    </w:tbl>
    <w:p w:rsidRPr="00E25790" w:rsidR="00115F48" w:rsidP="006F0321" w:rsidRDefault="00115F48" w14:paraId="062486D4" w14:textId="77777777"/>
    <w:tbl>
      <w:tblPr>
        <w:tblW w:w="9064" w:type="dxa"/>
        <w:tblLayout w:type="fixed"/>
        <w:tblLook w:val="0000" w:firstRow="0" w:lastRow="0" w:firstColumn="0" w:lastColumn="0" w:noHBand="0" w:noVBand="0"/>
      </w:tblPr>
      <w:tblGrid>
        <w:gridCol w:w="2443"/>
        <w:gridCol w:w="6621"/>
      </w:tblGrid>
      <w:tr w:rsidRPr="00E25790" w:rsidR="00115F48" w:rsidTr="00FB1E38" w14:paraId="67470538"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425535B4" w14:textId="23E77F4C">
            <w:r w:rsidRPr="00E25790">
              <w:t>Indication:</w:t>
            </w:r>
          </w:p>
        </w:tc>
        <w:tc>
          <w:tcPr>
            <w:tcW w:w="6621" w:type="dxa"/>
            <w:tcBorders>
              <w:top w:val="single" w:color="auto" w:sz="6" w:space="0"/>
              <w:bottom w:val="single" w:color="auto" w:sz="6" w:space="0"/>
              <w:right w:val="single" w:color="auto" w:sz="6" w:space="0"/>
            </w:tcBorders>
          </w:tcPr>
          <w:p w:rsidR="00115F48" w:rsidP="006F0321" w:rsidRDefault="00115F48" w14:paraId="4341610B" w14:textId="3E4C5FB3"/>
          <w:p w:rsidRPr="00585959" w:rsidR="00585959" w:rsidP="00585959" w:rsidRDefault="00585959" w14:paraId="3E34B857" w14:textId="77777777">
            <w:r w:rsidRPr="00585959">
              <w:t>1)Pyridoxine-dependant seizures</w:t>
            </w:r>
          </w:p>
          <w:p w:rsidRPr="00585959" w:rsidR="00585959" w:rsidP="00585959" w:rsidRDefault="00585959" w14:paraId="0790B72D" w14:textId="77777777">
            <w:r w:rsidRPr="00585959">
              <w:t>2)Pyridoxine deficiency</w:t>
            </w:r>
          </w:p>
          <w:p w:rsidRPr="00585959" w:rsidR="00585959" w:rsidP="00585959" w:rsidRDefault="00585959" w14:paraId="55CFFD75" w14:textId="77777777">
            <w:r w:rsidRPr="00585959">
              <w:t xml:space="preserve">3)Homocystinuria </w:t>
            </w:r>
          </w:p>
          <w:p w:rsidRPr="00585959" w:rsidR="00585959" w:rsidP="00585959" w:rsidRDefault="00585959" w14:paraId="273B4F9E" w14:textId="77777777"/>
          <w:p w:rsidR="00585959" w:rsidP="00585959" w:rsidRDefault="00585959" w14:paraId="672A3B23" w14:textId="77777777">
            <w:r w:rsidRPr="00585959">
              <w:t>This is an SAS (Special Access Scheme) drug. The Consultant Neonatologist must complete an SAS form and return this to pharmacy if Pyridoxine is required.</w:t>
            </w:r>
          </w:p>
          <w:p w:rsidRPr="00E25790" w:rsidR="00585959" w:rsidP="00585959" w:rsidRDefault="00585959" w14:paraId="67F2C39B" w14:textId="53DD2D93"/>
        </w:tc>
      </w:tr>
      <w:tr w:rsidRPr="00E25790" w:rsidR="00115F48" w:rsidTr="00FB1E38" w14:paraId="043B5723"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AA03579" w14:textId="130024C8">
            <w:r w:rsidRPr="00E25790">
              <w:t>Dose:</w:t>
            </w:r>
          </w:p>
        </w:tc>
        <w:tc>
          <w:tcPr>
            <w:tcW w:w="6621" w:type="dxa"/>
            <w:tcBorders>
              <w:top w:val="single" w:color="auto" w:sz="6" w:space="0"/>
              <w:bottom w:val="single" w:color="auto" w:sz="6" w:space="0"/>
              <w:right w:val="single" w:color="auto" w:sz="6" w:space="0"/>
            </w:tcBorders>
          </w:tcPr>
          <w:p w:rsidR="00115F48" w:rsidP="006F0321" w:rsidRDefault="00115F48" w14:paraId="11223911" w14:textId="1C813255"/>
          <w:p w:rsidRPr="00C81DCE" w:rsidR="00C81DCE" w:rsidP="00C81DCE" w:rsidRDefault="00C81DCE" w14:paraId="68F3EE6E" w14:textId="77777777">
            <w:r w:rsidRPr="00C81DCE">
              <w:t>1)</w:t>
            </w:r>
            <w:r w:rsidRPr="00C81DCE">
              <w:rPr>
                <w:u w:val="single"/>
              </w:rPr>
              <w:t>Diagnostic dose</w:t>
            </w:r>
            <w:r w:rsidRPr="00C81DCE">
              <w:t xml:space="preserve">: 100mg IV/IM as a single dose (dose may be repeated after 10 minutes if required). If the diagnostic dose is effective, continue with a maintenance dose. </w:t>
            </w:r>
          </w:p>
          <w:p w:rsidRPr="00C81DCE" w:rsidR="00C81DCE" w:rsidP="00C81DCE" w:rsidRDefault="00C81DCE" w14:paraId="710EE712" w14:textId="77777777">
            <w:r w:rsidRPr="00C81DCE">
              <w:rPr>
                <w:u w:val="single"/>
              </w:rPr>
              <w:t>Maintenance oral dose</w:t>
            </w:r>
            <w:r w:rsidRPr="00C81DCE">
              <w:t>: 15-30 mg/kg/dose. Higher doses (100 to 200mg/day) may be needed during periods of intercurrent illness.</w:t>
            </w:r>
          </w:p>
          <w:p w:rsidRPr="00C81DCE" w:rsidR="00C81DCE" w:rsidP="00C81DCE" w:rsidRDefault="00C81DCE" w14:paraId="63C39A11" w14:textId="77777777"/>
          <w:p w:rsidRPr="00C81DCE" w:rsidR="00C81DCE" w:rsidP="00C81DCE" w:rsidRDefault="00C81DCE" w14:paraId="61FA7A2E" w14:textId="77777777">
            <w:r w:rsidRPr="00C81DCE">
              <w:t>2)Oral dose: 5 to 25mg/kg/day for 3 weeks and then 2.5 to 5 mg/day (usually given in a multivitamin product)</w:t>
            </w:r>
          </w:p>
          <w:p w:rsidRPr="00C81DCE" w:rsidR="00C81DCE" w:rsidP="00C81DCE" w:rsidRDefault="00C81DCE" w14:paraId="612E2827" w14:textId="77777777"/>
          <w:p w:rsidR="00C81DCE" w:rsidP="00C81DCE" w:rsidRDefault="00C81DCE" w14:paraId="4BD606F0" w14:textId="77777777">
            <w:r w:rsidRPr="00C81DCE">
              <w:t>3)Oral dose: 50 mg-100mg/day.</w:t>
            </w:r>
          </w:p>
          <w:p w:rsidRPr="00E25790" w:rsidR="00C81DCE" w:rsidP="00C81DCE" w:rsidRDefault="00C81DCE" w14:paraId="565489E7" w14:textId="37A18E1F"/>
        </w:tc>
      </w:tr>
      <w:tr w:rsidRPr="00E25790" w:rsidR="00115F48" w:rsidTr="00FB1E38" w14:paraId="67A142D6"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38A829F" w14:textId="23749F60">
            <w:r w:rsidRPr="00E25790">
              <w:t>Interval:</w:t>
            </w:r>
          </w:p>
        </w:tc>
        <w:tc>
          <w:tcPr>
            <w:tcW w:w="6621" w:type="dxa"/>
            <w:tcBorders>
              <w:top w:val="single" w:color="auto" w:sz="6" w:space="0"/>
              <w:bottom w:val="single" w:color="auto" w:sz="6" w:space="0"/>
              <w:right w:val="single" w:color="auto" w:sz="6" w:space="0"/>
            </w:tcBorders>
          </w:tcPr>
          <w:p w:rsidR="00115F48" w:rsidP="006F0321" w:rsidRDefault="00115F48" w14:paraId="65EB30A3" w14:textId="4C12FE11"/>
          <w:p w:rsidRPr="0010642D" w:rsidR="0010642D" w:rsidP="0010642D" w:rsidRDefault="0010642D" w14:paraId="0ED8BFC7" w14:textId="77777777">
            <w:r w:rsidRPr="0010642D">
              <w:t>1) and 2) daily</w:t>
            </w:r>
          </w:p>
          <w:p w:rsidRPr="00E25790" w:rsidR="0010642D" w:rsidP="0010642D" w:rsidRDefault="0010642D" w14:paraId="23C214B6" w14:textId="2C41E0FA">
            <w:r w:rsidRPr="0010642D">
              <w:t>3) daily or 12 hourly</w:t>
            </w:r>
          </w:p>
        </w:tc>
      </w:tr>
      <w:tr w:rsidRPr="00E25790" w:rsidR="00115F48" w:rsidTr="00FB1E38" w14:paraId="29BAA39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308DF8D7" w14:textId="0FA9A400">
            <w:r w:rsidRPr="00E25790">
              <w:t>Route:</w:t>
            </w:r>
          </w:p>
        </w:tc>
        <w:tc>
          <w:tcPr>
            <w:tcW w:w="6621" w:type="dxa"/>
            <w:tcBorders>
              <w:top w:val="single" w:color="auto" w:sz="6" w:space="0"/>
              <w:bottom w:val="single" w:color="auto" w:sz="6" w:space="0"/>
              <w:right w:val="single" w:color="auto" w:sz="6" w:space="0"/>
            </w:tcBorders>
          </w:tcPr>
          <w:p w:rsidR="00115F48" w:rsidP="006F0321" w:rsidRDefault="00115F48" w14:paraId="06312E9C" w14:textId="4B5B1539"/>
          <w:p w:rsidRPr="002B1176" w:rsidR="002B1176" w:rsidP="002B1176" w:rsidRDefault="002B1176" w14:paraId="27D5BD90" w14:textId="77777777">
            <w:r w:rsidRPr="002B1176">
              <w:t>1)I.V. or I.M (diagnostic dose). Oral (maintenance dose)</w:t>
            </w:r>
          </w:p>
          <w:p w:rsidRPr="00E25790" w:rsidR="002B1176" w:rsidP="002B1176" w:rsidRDefault="002B1176" w14:paraId="1F981DC4" w14:textId="38664BBB">
            <w:pPr>
              <w:spacing w:before="240"/>
            </w:pPr>
            <w:r w:rsidRPr="002B1176">
              <w:t>2</w:t>
            </w:r>
            <w:r>
              <w:t>)</w:t>
            </w:r>
            <w:r w:rsidRPr="002B1176">
              <w:t xml:space="preserve"> and 3)Oral</w:t>
            </w:r>
          </w:p>
        </w:tc>
      </w:tr>
      <w:tr w:rsidRPr="00E25790" w:rsidR="00115F48" w:rsidTr="00FB1E38" w14:paraId="46756B91"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823E62C" w14:textId="004A0181">
            <w:r w:rsidRPr="00E25790">
              <w:t>Total Daily Dose:</w:t>
            </w:r>
          </w:p>
        </w:tc>
        <w:tc>
          <w:tcPr>
            <w:tcW w:w="6621" w:type="dxa"/>
            <w:tcBorders>
              <w:top w:val="single" w:color="auto" w:sz="6" w:space="0"/>
              <w:bottom w:val="single" w:color="auto" w:sz="6" w:space="0"/>
              <w:right w:val="single" w:color="auto" w:sz="6" w:space="0"/>
            </w:tcBorders>
          </w:tcPr>
          <w:p w:rsidRPr="00E25790" w:rsidR="00115F48" w:rsidP="006F0321" w:rsidRDefault="00115F48" w14:paraId="144216E8" w14:textId="77777777">
            <w:r w:rsidRPr="00E25790">
              <w:t>10-100 mg</w:t>
            </w:r>
          </w:p>
        </w:tc>
      </w:tr>
      <w:tr w:rsidRPr="00E25790" w:rsidR="00115F48" w:rsidTr="00FB1E38" w14:paraId="60D37CD0"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21AC76BD" w14:textId="32286484">
            <w:r w:rsidRPr="00E25790">
              <w:t>Comments:</w:t>
            </w:r>
          </w:p>
        </w:tc>
        <w:tc>
          <w:tcPr>
            <w:tcW w:w="6621" w:type="dxa"/>
            <w:tcBorders>
              <w:top w:val="single" w:color="auto" w:sz="6" w:space="0"/>
              <w:bottom w:val="single" w:color="auto" w:sz="6" w:space="0"/>
              <w:right w:val="single" w:color="auto" w:sz="6" w:space="0"/>
            </w:tcBorders>
          </w:tcPr>
          <w:p w:rsidR="002B1176" w:rsidP="006F0321" w:rsidRDefault="00115F48" w14:paraId="4C128C02" w14:textId="77777777">
            <w:r w:rsidRPr="00E25790">
              <w:t>Differentiate between dependency and deficiency.</w:t>
            </w:r>
          </w:p>
          <w:p w:rsidR="0042755D" w:rsidP="006F0321" w:rsidRDefault="00115F48" w14:paraId="51F65DA9" w14:textId="52A4EDB3">
            <w:r w:rsidRPr="00E25790">
              <w:t>Infuse slowly over 1-2 minutes.</w:t>
            </w:r>
          </w:p>
          <w:p w:rsidR="00115F48" w:rsidP="006F0321" w:rsidRDefault="00115F48" w14:paraId="31588DFA" w14:textId="58B8A33D">
            <w:r w:rsidRPr="00E25790">
              <w:t>Perform th</w:t>
            </w:r>
            <w:r w:rsidR="0042755D">
              <w:t>e</w:t>
            </w:r>
            <w:r w:rsidRPr="00E25790">
              <w:t xml:space="preserve"> therapeutic test under continuous EEG monitoring.</w:t>
            </w:r>
          </w:p>
          <w:p w:rsidRPr="00E25790" w:rsidR="00DE3A19" w:rsidP="006F0321" w:rsidRDefault="00DE3A19" w14:paraId="7053FB10" w14:textId="2D4B89D0">
            <w:r>
              <w:t>Hypersensitivity and anaphylactic reactions may occur. Resuscitation facilities should be available as sedation, apnoea and respiratory distress may occur (especially when giving high doses intravenously).</w:t>
            </w:r>
          </w:p>
        </w:tc>
      </w:tr>
      <w:tr w:rsidRPr="00E25790" w:rsidR="00DE3A19" w:rsidTr="002F2CAD" w14:paraId="5C3CF91D" w14:textId="77777777">
        <w:trPr>
          <w:cantSplit/>
          <w:trHeight w:val="609"/>
        </w:trPr>
        <w:tc>
          <w:tcPr>
            <w:tcW w:w="2443" w:type="dxa"/>
            <w:tcBorders>
              <w:top w:val="single" w:color="auto" w:sz="6" w:space="0"/>
              <w:left w:val="single" w:color="auto" w:sz="6" w:space="0"/>
              <w:bottom w:val="single" w:color="auto" w:sz="6" w:space="0"/>
            </w:tcBorders>
          </w:tcPr>
          <w:p w:rsidRPr="00E25790" w:rsidR="00DE3A19" w:rsidP="006F0321" w:rsidRDefault="002F2CAD" w14:paraId="500D0846" w14:textId="3E6FDC45">
            <w:r>
              <w:lastRenderedPageBreak/>
              <w:t>Side effects</w:t>
            </w:r>
            <w:r w:rsidR="005B5EEF">
              <w:t>:</w:t>
            </w:r>
          </w:p>
        </w:tc>
        <w:tc>
          <w:tcPr>
            <w:tcW w:w="6621" w:type="dxa"/>
            <w:tcBorders>
              <w:top w:val="single" w:color="auto" w:sz="6" w:space="0"/>
              <w:bottom w:val="single" w:color="auto" w:sz="6" w:space="0"/>
              <w:right w:val="single" w:color="auto" w:sz="6" w:space="0"/>
            </w:tcBorders>
          </w:tcPr>
          <w:p w:rsidRPr="00E25790" w:rsidR="00DE3A19" w:rsidP="006F0321" w:rsidRDefault="002F2CAD" w14:paraId="1F034A10" w14:textId="7805B3B0">
            <w:r>
              <w:t>Sedation. Apnoeas</w:t>
            </w:r>
          </w:p>
        </w:tc>
      </w:tr>
      <w:tr w:rsidRPr="00E25790" w:rsidR="00115F48" w:rsidTr="00FB1E38" w14:paraId="7395D6C6"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C6815E6" w14:textId="3E5B35AD">
            <w:r w:rsidRPr="00E25790">
              <w:t>Supplied as:</w:t>
            </w:r>
          </w:p>
        </w:tc>
        <w:tc>
          <w:tcPr>
            <w:tcW w:w="6621" w:type="dxa"/>
            <w:tcBorders>
              <w:top w:val="single" w:color="auto" w:sz="6" w:space="0"/>
              <w:bottom w:val="single" w:color="auto" w:sz="6" w:space="0"/>
              <w:right w:val="single" w:color="auto" w:sz="6" w:space="0"/>
            </w:tcBorders>
          </w:tcPr>
          <w:p w:rsidRPr="00E25790" w:rsidR="00115F48" w:rsidP="006F0321" w:rsidRDefault="00CC25E1" w14:paraId="5FBD132F" w14:textId="16C52606">
            <w:r w:rsidRPr="00CC25E1">
              <w:t xml:space="preserve"> Ampoules 50mg/ml of Pyridoxine Hydrochloride</w:t>
            </w:r>
            <w:r w:rsidRPr="00E25790" w:rsidR="00115F48">
              <w:t>Tablets 25 mg and 100 mg.</w:t>
            </w:r>
          </w:p>
        </w:tc>
      </w:tr>
      <w:tr w:rsidRPr="00E25790" w:rsidR="00115F48" w:rsidTr="00FB1E38" w14:paraId="07835472" w14:textId="77777777">
        <w:trPr>
          <w:cantSplit/>
          <w:trHeight w:val="960"/>
        </w:trPr>
        <w:tc>
          <w:tcPr>
            <w:tcW w:w="2443" w:type="dxa"/>
            <w:tcBorders>
              <w:top w:val="single" w:color="auto" w:sz="6" w:space="0"/>
              <w:left w:val="single" w:color="auto" w:sz="6" w:space="0"/>
              <w:bottom w:val="single" w:color="auto" w:sz="6" w:space="0"/>
            </w:tcBorders>
          </w:tcPr>
          <w:p w:rsidRPr="00E25790" w:rsidR="00115F48" w:rsidP="006F0321" w:rsidRDefault="00115F48" w14:paraId="565D6EED" w14:textId="2450602A">
            <w:r w:rsidRPr="00E25790">
              <w:t>Dilution:</w:t>
            </w:r>
          </w:p>
        </w:tc>
        <w:tc>
          <w:tcPr>
            <w:tcW w:w="6621" w:type="dxa"/>
            <w:tcBorders>
              <w:top w:val="single" w:color="auto" w:sz="6" w:space="0"/>
              <w:bottom w:val="single" w:color="auto" w:sz="6" w:space="0"/>
              <w:right w:val="single" w:color="auto" w:sz="6" w:space="0"/>
            </w:tcBorders>
          </w:tcPr>
          <w:p w:rsidRPr="00E25790" w:rsidR="00115F48" w:rsidP="006F0321" w:rsidRDefault="00115F48" w14:paraId="597563D2" w14:textId="77777777">
            <w:r w:rsidRPr="00E25790">
              <w:t>Nil</w:t>
            </w:r>
          </w:p>
        </w:tc>
      </w:tr>
      <w:tr w:rsidRPr="00E25790" w:rsidR="00115F48" w:rsidTr="00FB1E38" w14:paraId="5115BFDD"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44B5522" w14:textId="3A85F6A3"/>
        </w:tc>
        <w:tc>
          <w:tcPr>
            <w:tcW w:w="6621" w:type="dxa"/>
            <w:tcBorders>
              <w:top w:val="single" w:color="auto" w:sz="6" w:space="0"/>
              <w:bottom w:val="single" w:color="auto" w:sz="6" w:space="0"/>
              <w:right w:val="single" w:color="auto" w:sz="6" w:space="0"/>
            </w:tcBorders>
          </w:tcPr>
          <w:p w:rsidRPr="00E25790" w:rsidR="00115F48" w:rsidP="006F0321" w:rsidRDefault="00115F48" w14:paraId="690DCA46" w14:textId="77777777"/>
        </w:tc>
      </w:tr>
      <w:tr w:rsidRPr="00E25790" w:rsidR="00115F48" w:rsidTr="00FB1E38" w14:paraId="767253CA"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4A6E525B" w14:textId="40539AB7">
            <w:r w:rsidRPr="00E25790">
              <w:t>Storage</w:t>
            </w:r>
            <w:r w:rsidR="00CC25E1">
              <w:t>/Stability</w:t>
            </w:r>
            <w:r w:rsidRPr="00E25790">
              <w:t>:</w:t>
            </w:r>
          </w:p>
        </w:tc>
        <w:tc>
          <w:tcPr>
            <w:tcW w:w="6621" w:type="dxa"/>
            <w:tcBorders>
              <w:top w:val="single" w:color="auto" w:sz="6" w:space="0"/>
              <w:bottom w:val="single" w:color="auto" w:sz="6" w:space="0"/>
              <w:right w:val="single" w:color="auto" w:sz="6" w:space="0"/>
            </w:tcBorders>
          </w:tcPr>
          <w:p w:rsidR="00115F48" w:rsidP="006F0321" w:rsidRDefault="00115F48" w14:paraId="416B610A" w14:textId="62632D9A"/>
          <w:p w:rsidRPr="000E43E4" w:rsidR="000E43E4" w:rsidP="000E43E4" w:rsidRDefault="000E43E4" w14:paraId="4F769F2A" w14:textId="77777777">
            <w:r w:rsidRPr="000E43E4">
              <w:t>1)IV Solution: store below 25</w:t>
            </w:r>
            <w:r w:rsidRPr="000E43E4">
              <w:rPr>
                <w:rFonts w:cs="Calibri"/>
              </w:rPr>
              <w:t>°</w:t>
            </w:r>
            <w:r w:rsidRPr="000E43E4">
              <w:t>C, protect from light.</w:t>
            </w:r>
          </w:p>
          <w:p w:rsidRPr="000E43E4" w:rsidR="000E43E4" w:rsidP="000E43E4" w:rsidRDefault="000E43E4" w14:paraId="14C4E2A1" w14:textId="77777777">
            <w:r w:rsidRPr="000E43E4">
              <w:t>Do not refrigerate or freeze.</w:t>
            </w:r>
          </w:p>
          <w:p w:rsidR="000E43E4" w:rsidP="000E43E4" w:rsidRDefault="000E43E4" w14:paraId="26EE1BFB" w14:textId="77777777">
            <w:r w:rsidRPr="000E43E4">
              <w:t>2)Oral tablets: Store at room temperature. Avoid excessive heat or moisture.</w:t>
            </w:r>
          </w:p>
          <w:p w:rsidRPr="00E25790" w:rsidR="000E43E4" w:rsidP="000E43E4" w:rsidRDefault="000E43E4" w14:paraId="055A5B6F" w14:textId="523A702C"/>
        </w:tc>
      </w:tr>
      <w:tr w:rsidRPr="00E25790" w:rsidR="00115F48" w:rsidTr="00FB1E38" w14:paraId="49781D72"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B055B81" w14:textId="77777777">
            <w:r w:rsidRPr="00E25790">
              <w:t>Compatibility:</w:t>
            </w:r>
          </w:p>
        </w:tc>
        <w:tc>
          <w:tcPr>
            <w:tcW w:w="6621" w:type="dxa"/>
            <w:tcBorders>
              <w:top w:val="single" w:color="auto" w:sz="6" w:space="0"/>
              <w:bottom w:val="single" w:color="auto" w:sz="6" w:space="0"/>
              <w:right w:val="single" w:color="auto" w:sz="6" w:space="0"/>
            </w:tcBorders>
          </w:tcPr>
          <w:p w:rsidRPr="00E25790" w:rsidR="00115F48" w:rsidP="006F0321" w:rsidRDefault="00115F48" w14:paraId="379425BA" w14:textId="34BE87DB">
            <w:r w:rsidRPr="00E25790">
              <w:t>5%</w:t>
            </w:r>
            <w:r w:rsidR="000E43E4">
              <w:t xml:space="preserve"> </w:t>
            </w:r>
            <w:r w:rsidRPr="00E25790">
              <w:t>D</w:t>
            </w:r>
            <w:r w:rsidR="000E43E4">
              <w:t>extrose</w:t>
            </w:r>
            <w:r w:rsidRPr="00E25790">
              <w:t>, N</w:t>
            </w:r>
            <w:r w:rsidR="000E43E4">
              <w:t xml:space="preserve">ormal </w:t>
            </w:r>
            <w:r w:rsidRPr="00E25790">
              <w:t>S</w:t>
            </w:r>
            <w:r w:rsidR="000E43E4">
              <w:t>aline</w:t>
            </w:r>
          </w:p>
        </w:tc>
      </w:tr>
      <w:tr w:rsidRPr="00E25790" w:rsidR="00115F48" w:rsidTr="00FB1E38" w14:paraId="4CA0E492"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00E8631" w14:textId="11D965F5">
            <w:r w:rsidRPr="00E25790">
              <w:t>Incompatibility:</w:t>
            </w:r>
          </w:p>
        </w:tc>
        <w:tc>
          <w:tcPr>
            <w:tcW w:w="6621" w:type="dxa"/>
            <w:tcBorders>
              <w:top w:val="single" w:color="auto" w:sz="6" w:space="0"/>
              <w:bottom w:val="single" w:color="auto" w:sz="6" w:space="0"/>
              <w:right w:val="single" w:color="auto" w:sz="6" w:space="0"/>
            </w:tcBorders>
          </w:tcPr>
          <w:p w:rsidRPr="00E25790" w:rsidR="00115F48" w:rsidP="006F0321" w:rsidRDefault="00115F48" w14:paraId="683ECF3A" w14:textId="5C2928E4">
            <w:r w:rsidRPr="00E25790">
              <w:t>Alkaline solutions</w:t>
            </w:r>
            <w:r w:rsidR="00FD1A7D">
              <w:t>, Cefazolin, Folic Acid, Furosemide, Ganciclovir, Hydrocortisone, Methylprednisolone, Phenobarbital.</w:t>
            </w:r>
          </w:p>
        </w:tc>
      </w:tr>
      <w:tr w:rsidRPr="00E25790" w:rsidR="00115F48" w:rsidTr="00FB1E38" w14:paraId="028BA1C8"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536DA295" w14:textId="32129835">
            <w:r w:rsidRPr="00E25790">
              <w:t>Serum Levels:</w:t>
            </w:r>
          </w:p>
        </w:tc>
        <w:tc>
          <w:tcPr>
            <w:tcW w:w="6621" w:type="dxa"/>
            <w:tcBorders>
              <w:top w:val="single" w:color="auto" w:sz="6" w:space="0"/>
              <w:bottom w:val="single" w:color="auto" w:sz="6" w:space="0"/>
              <w:right w:val="single" w:color="auto" w:sz="6" w:space="0"/>
            </w:tcBorders>
          </w:tcPr>
          <w:p w:rsidRPr="00E25790" w:rsidR="00115F48" w:rsidP="006F0321" w:rsidRDefault="00115F48" w14:paraId="30031D66" w14:textId="77777777"/>
        </w:tc>
      </w:tr>
      <w:tr w:rsidRPr="00E25790" w:rsidR="00FD1A7D" w:rsidTr="00FB1E38" w14:paraId="2481667D" w14:textId="77777777">
        <w:trPr>
          <w:cantSplit/>
          <w:trHeight w:val="480"/>
        </w:trPr>
        <w:tc>
          <w:tcPr>
            <w:tcW w:w="2443" w:type="dxa"/>
            <w:tcBorders>
              <w:top w:val="single" w:color="auto" w:sz="6" w:space="0"/>
              <w:left w:val="single" w:color="auto" w:sz="6" w:space="0"/>
              <w:bottom w:val="single" w:color="auto" w:sz="6" w:space="0"/>
            </w:tcBorders>
          </w:tcPr>
          <w:p w:rsidRPr="00E25790" w:rsidR="00FD1A7D" w:rsidP="006F0321" w:rsidRDefault="00FD1A7D" w14:paraId="68D055EB" w14:textId="2FCEE172">
            <w:r>
              <w:t>References:</w:t>
            </w:r>
          </w:p>
        </w:tc>
        <w:tc>
          <w:tcPr>
            <w:tcW w:w="6621" w:type="dxa"/>
            <w:tcBorders>
              <w:top w:val="single" w:color="auto" w:sz="6" w:space="0"/>
              <w:bottom w:val="single" w:color="auto" w:sz="6" w:space="0"/>
              <w:right w:val="single" w:color="auto" w:sz="6" w:space="0"/>
            </w:tcBorders>
          </w:tcPr>
          <w:p w:rsidRPr="005B5EEF" w:rsidR="005B5EEF" w:rsidP="005B5EEF" w:rsidRDefault="005B5EEF" w14:paraId="43E86244" w14:textId="77777777">
            <w:r w:rsidRPr="005B5EEF">
              <w:t>Australian Medicine handbook. Children Dosing Companion. July 2020.</w:t>
            </w:r>
          </w:p>
          <w:p w:rsidRPr="005B5EEF" w:rsidR="005B5EEF" w:rsidP="005B5EEF" w:rsidRDefault="005B5EEF" w14:paraId="450EA704" w14:textId="77777777">
            <w:r w:rsidRPr="005B5EEF">
              <w:t>Drug Doses. Frank Shann, 17</w:t>
            </w:r>
            <w:r w:rsidRPr="005B5EEF">
              <w:rPr>
                <w:vertAlign w:val="superscript"/>
              </w:rPr>
              <w:t>th</w:t>
            </w:r>
            <w:r w:rsidRPr="005B5EEF">
              <w:t xml:space="preserve"> Edition, 2017.</w:t>
            </w:r>
          </w:p>
          <w:p w:rsidRPr="005B5EEF" w:rsidR="005B5EEF" w:rsidP="005B5EEF" w:rsidRDefault="005B5EEF" w14:paraId="5E2A15E6" w14:textId="77777777">
            <w:r w:rsidRPr="005B5EEF">
              <w:t>Australian Injectable Drugs Handbook, 8th Edition.</w:t>
            </w:r>
          </w:p>
          <w:p w:rsidRPr="005B5EEF" w:rsidR="005B5EEF" w:rsidP="005B5EEF" w:rsidRDefault="005B5EEF" w14:paraId="0F970368" w14:textId="77777777">
            <w:r w:rsidRPr="005B5EEF">
              <w:t>Paediatric Injectable Guideline Online. The Royal Children’s Hospital Melbourne.</w:t>
            </w:r>
          </w:p>
          <w:p w:rsidRPr="005B5EEF" w:rsidR="005B5EEF" w:rsidP="005B5EEF" w:rsidRDefault="005B5EEF" w14:paraId="2F6A6102" w14:textId="77777777">
            <w:r w:rsidRPr="005B5EEF">
              <w:t>Uptodate 2020.</w:t>
            </w:r>
          </w:p>
          <w:p w:rsidRPr="005B5EEF" w:rsidR="005B5EEF" w:rsidP="005B5EEF" w:rsidRDefault="005B5EEF" w14:paraId="1F18545C" w14:textId="77777777">
            <w:r w:rsidRPr="005B5EEF">
              <w:t>Therapeutic Guidelines Limited. August 2020 edition.</w:t>
            </w:r>
          </w:p>
          <w:p w:rsidRPr="00E25790" w:rsidR="00FD1A7D" w:rsidP="006F0321" w:rsidRDefault="00FD1A7D" w14:paraId="1B7CF9A1" w14:textId="77777777"/>
        </w:tc>
      </w:tr>
    </w:tbl>
    <w:p w:rsidRPr="00E25790" w:rsidR="00115F48" w:rsidP="006F0321" w:rsidRDefault="00115F48" w14:paraId="41CA3353"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E25790" w:rsidR="0020431B" w:rsidTr="00F028F7" w14:paraId="008C1537" w14:textId="77777777">
        <w:tc>
          <w:tcPr>
            <w:tcW w:w="4535" w:type="dxa"/>
            <w:vAlign w:val="center"/>
          </w:tcPr>
          <w:p w:rsidRPr="00E25790" w:rsidR="00C83600" w:rsidP="009E664B" w:rsidRDefault="00C83600" w14:paraId="7F7216AF" w14:textId="195FF627">
            <w:r w:rsidRPr="00E25790">
              <w:t xml:space="preserve">Original version Date: </w:t>
            </w:r>
            <w:r>
              <w:t>9/1/2014</w:t>
            </w:r>
          </w:p>
        </w:tc>
        <w:tc>
          <w:tcPr>
            <w:tcW w:w="4535" w:type="dxa"/>
            <w:vAlign w:val="center"/>
          </w:tcPr>
          <w:p w:rsidRPr="00E25790" w:rsidR="00C83600" w:rsidP="009E664B" w:rsidRDefault="00C83600" w14:paraId="56DD3D78" w14:textId="32616A2A">
            <w:r w:rsidRPr="00E25790">
              <w:t xml:space="preserve">Author: </w:t>
            </w:r>
            <w:r w:rsidR="000C3154">
              <w:t>AK, JD</w:t>
            </w:r>
          </w:p>
        </w:tc>
      </w:tr>
      <w:tr w:rsidRPr="00E25790" w:rsidR="0020431B" w:rsidTr="00F028F7" w14:paraId="0BCC34EA" w14:textId="77777777">
        <w:tc>
          <w:tcPr>
            <w:tcW w:w="4535" w:type="dxa"/>
            <w:vAlign w:val="center"/>
          </w:tcPr>
          <w:p w:rsidRPr="00E25790" w:rsidR="00C83600" w:rsidP="009E664B" w:rsidRDefault="00C83600" w14:paraId="191692AF" w14:textId="562D73AE">
            <w:pPr>
              <w:rPr>
                <w:bCs/>
              </w:rPr>
            </w:pPr>
            <w:r w:rsidRPr="00E25790">
              <w:t xml:space="preserve">Current Version number:  </w:t>
            </w:r>
            <w:r w:rsidR="000C3154">
              <w:t>2</w:t>
            </w:r>
          </w:p>
        </w:tc>
        <w:tc>
          <w:tcPr>
            <w:tcW w:w="4535" w:type="dxa"/>
            <w:vAlign w:val="center"/>
          </w:tcPr>
          <w:p w:rsidRPr="00E25790" w:rsidR="00C83600" w:rsidP="009E664B" w:rsidRDefault="00C83600" w14:paraId="120603CB" w14:textId="3E092124">
            <w:r w:rsidRPr="00E25790">
              <w:t xml:space="preserve">Version Date:  </w:t>
            </w:r>
            <w:r w:rsidR="000C3154">
              <w:t>7/12/2020</w:t>
            </w:r>
          </w:p>
        </w:tc>
      </w:tr>
      <w:tr w:rsidRPr="00E25790" w:rsidR="0020431B" w:rsidTr="00F028F7" w14:paraId="7ECA5729" w14:textId="77777777">
        <w:tc>
          <w:tcPr>
            <w:tcW w:w="4535" w:type="dxa"/>
            <w:vAlign w:val="center"/>
          </w:tcPr>
          <w:p w:rsidRPr="00E25790" w:rsidR="00C83600" w:rsidP="009E664B" w:rsidRDefault="00C83600" w14:paraId="3416ACA5" w14:textId="77777777">
            <w:r w:rsidRPr="00E25790">
              <w:t>Risk Rating: Medium</w:t>
            </w:r>
          </w:p>
        </w:tc>
        <w:tc>
          <w:tcPr>
            <w:tcW w:w="4535" w:type="dxa"/>
            <w:vAlign w:val="center"/>
          </w:tcPr>
          <w:p w:rsidRPr="00E25790" w:rsidR="00C83600" w:rsidP="009E664B" w:rsidRDefault="00C83600" w14:paraId="64E9F78A" w14:textId="0999E63A">
            <w:r w:rsidRPr="00E25790">
              <w:t xml:space="preserve">Due for Review:  </w:t>
            </w:r>
            <w:r w:rsidR="000C3154">
              <w:t>7/12/2025</w:t>
            </w:r>
          </w:p>
        </w:tc>
      </w:tr>
      <w:tr w:rsidRPr="00E25790" w:rsidR="0020431B" w:rsidTr="00F028F7" w14:paraId="23AD75CC" w14:textId="77777777">
        <w:trPr>
          <w:trHeight w:val="344"/>
        </w:trPr>
        <w:tc>
          <w:tcPr>
            <w:tcW w:w="4535" w:type="dxa"/>
            <w:tcBorders>
              <w:bottom w:val="single" w:color="auto" w:sz="4" w:space="0"/>
            </w:tcBorders>
            <w:vAlign w:val="center"/>
          </w:tcPr>
          <w:p w:rsidRPr="00E25790" w:rsidR="00C83600" w:rsidP="009E664B" w:rsidRDefault="00C83600" w14:paraId="337EC950" w14:textId="77777777">
            <w:r w:rsidRPr="00E25790">
              <w:t>Approved by: DTC</w:t>
            </w:r>
          </w:p>
        </w:tc>
        <w:tc>
          <w:tcPr>
            <w:tcW w:w="4535" w:type="dxa"/>
            <w:tcBorders>
              <w:bottom w:val="single" w:color="auto" w:sz="4" w:space="0"/>
            </w:tcBorders>
            <w:vAlign w:val="center"/>
          </w:tcPr>
          <w:p w:rsidRPr="00E25790" w:rsidR="00C83600" w:rsidP="009E664B" w:rsidRDefault="00C83600" w14:paraId="21FDE100" w14:textId="75255639">
            <w:r w:rsidRPr="00E25790">
              <w:t xml:space="preserve">Approval Date: </w:t>
            </w:r>
            <w:r w:rsidR="00260BC8">
              <w:t>APRIL 2021</w:t>
            </w:r>
          </w:p>
        </w:tc>
      </w:tr>
    </w:tbl>
    <w:p w:rsidR="00115F48" w:rsidP="006F0321" w:rsidRDefault="00115F48" w14:paraId="051FBD71" w14:textId="6F8B0041"/>
    <w:p w:rsidR="00B6685F" w:rsidP="006F0321" w:rsidRDefault="00B6685F" w14:paraId="4295C35C" w14:textId="40FDD194"/>
    <w:p w:rsidR="00B6685F" w:rsidP="006F0321" w:rsidRDefault="00B6685F" w14:paraId="645DEED5" w14:textId="02A059F1"/>
    <w:p w:rsidR="00B6685F" w:rsidP="006F0321" w:rsidRDefault="00B6685F" w14:paraId="5CA72FFE" w14:textId="14E8FB05"/>
    <w:p w:rsidR="00B6685F" w:rsidP="006F0321" w:rsidRDefault="00B6685F" w14:paraId="48F2ADD5" w14:textId="21039501"/>
    <w:p w:rsidR="00B6685F" w:rsidP="006F0321" w:rsidRDefault="00B6685F" w14:paraId="21780BED" w14:textId="156E3E4B"/>
    <w:p w:rsidRPr="00E25790" w:rsidR="00B6685F" w:rsidP="006F0321" w:rsidRDefault="00B6685F" w14:paraId="415889C1" w14:textId="77777777"/>
    <w:p w:rsidRPr="00E25790" w:rsidR="00115F48" w:rsidP="006F0321" w:rsidRDefault="00115F48" w14:paraId="5245AD23" w14:textId="5F27FC61"/>
    <w:tbl>
      <w:tblPr>
        <w:tblW w:w="9049" w:type="dxa"/>
        <w:tblLayout w:type="fixed"/>
        <w:tblLook w:val="0000" w:firstRow="0" w:lastRow="0" w:firstColumn="0" w:lastColumn="0" w:noHBand="0" w:noVBand="0"/>
      </w:tblPr>
      <w:tblGrid>
        <w:gridCol w:w="4153"/>
        <w:gridCol w:w="4896"/>
      </w:tblGrid>
      <w:tr w:rsidRPr="00E25790" w:rsidR="00115F48" w:rsidTr="00FB1E38" w14:paraId="3DACBB02"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8C2A95" w:rsidR="00115F48" w:rsidP="009469DB" w:rsidRDefault="00115F48" w14:paraId="560FF812" w14:textId="77777777">
            <w:pPr>
              <w:pStyle w:val="Heading1"/>
            </w:pPr>
            <w:bookmarkStart w:name="_Toc495481163" w:id="530"/>
            <w:bookmarkStart w:name="_Toc495481289" w:id="531"/>
            <w:bookmarkStart w:name="_Toc495481414" w:id="532"/>
            <w:bookmarkStart w:name="_Toc495501595" w:id="533"/>
            <w:bookmarkStart w:name="_Toc38106915" w:id="534"/>
            <w:bookmarkStart w:name="_Toc75340037" w:id="535"/>
            <w:r w:rsidRPr="008C2A95">
              <w:lastRenderedPageBreak/>
              <w:t>Ranitidine</w:t>
            </w:r>
            <w:bookmarkEnd w:id="530"/>
            <w:bookmarkEnd w:id="531"/>
            <w:bookmarkEnd w:id="532"/>
            <w:bookmarkEnd w:id="533"/>
            <w:bookmarkEnd w:id="534"/>
            <w:bookmarkEnd w:id="535"/>
            <w:r w:rsidRPr="008C2A95">
              <w:fldChar w:fldCharType="begin"/>
            </w:r>
            <w:r w:rsidRPr="008C2A95">
              <w:instrText>tc "Ranitidine" \l 0</w:instrText>
            </w:r>
            <w:r w:rsidRPr="008C2A95">
              <w:fldChar w:fldCharType="end"/>
            </w:r>
          </w:p>
        </w:tc>
      </w:tr>
      <w:tr w:rsidRPr="00E25790" w:rsidR="00115F48" w:rsidTr="00FB1E38" w14:paraId="56F1D6BB"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68F07DB" w14:textId="7AE0EFBC">
            <w:r w:rsidRPr="00E25790">
              <w:t xml:space="preserve">Revision Date : </w:t>
            </w:r>
            <w:r w:rsidR="0056501A">
              <w:t>2-3-2020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82D2503" w14:textId="7E39F399">
            <w:r w:rsidRPr="00E25790">
              <w:t xml:space="preserve">Approved: </w:t>
            </w:r>
            <w:r w:rsidR="003045AD">
              <w:t>TC, KOH</w:t>
            </w:r>
          </w:p>
        </w:tc>
      </w:tr>
    </w:tbl>
    <w:p w:rsidRPr="00E25790" w:rsidR="00115F48" w:rsidP="006F0321" w:rsidRDefault="00115F48" w14:paraId="16C79A54" w14:textId="77777777"/>
    <w:tbl>
      <w:tblPr>
        <w:tblW w:w="534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42"/>
        <w:gridCol w:w="7592"/>
      </w:tblGrid>
      <w:tr w:rsidRPr="00DA1174" w:rsidR="006665D7" w:rsidTr="00FE4186" w14:paraId="56ED1C1F" w14:textId="77777777">
        <w:trPr>
          <w:trHeight w:val="363"/>
        </w:trPr>
        <w:tc>
          <w:tcPr>
            <w:tcW w:w="1060" w:type="pct"/>
          </w:tcPr>
          <w:p w:rsidRPr="00DA1174" w:rsidR="006665D7" w:rsidP="00FE4186" w:rsidRDefault="006665D7" w14:paraId="0500F58A" w14:textId="77777777">
            <w:pPr>
              <w:pStyle w:val="BodyText"/>
              <w:tabs>
                <w:tab w:val="center" w:pos="1476"/>
              </w:tabs>
              <w:rPr>
                <w:rFonts w:cs="Arial" w:asciiTheme="minorHAnsi" w:hAnsiTheme="minorHAnsi"/>
                <w:b/>
                <w:sz w:val="20"/>
              </w:rPr>
            </w:pPr>
            <w:r w:rsidRPr="00DA1174">
              <w:rPr>
                <w:rFonts w:cs="Arial" w:asciiTheme="minorHAnsi" w:hAnsiTheme="minorHAnsi"/>
                <w:b/>
                <w:sz w:val="20"/>
              </w:rPr>
              <w:t xml:space="preserve">Alert </w:t>
            </w:r>
          </w:p>
        </w:tc>
        <w:tc>
          <w:tcPr>
            <w:tcW w:w="3940" w:type="pct"/>
          </w:tcPr>
          <w:p w:rsidRPr="0056501A" w:rsidR="003045AD" w:rsidP="00FE4186" w:rsidRDefault="003045AD" w14:paraId="7AA67349" w14:textId="3F99061B">
            <w:pPr>
              <w:pStyle w:val="BodyText"/>
              <w:rPr>
                <w:rFonts w:cs="Arial" w:asciiTheme="minorHAnsi" w:hAnsiTheme="minorHAnsi"/>
                <w:color w:val="1F4E79" w:themeColor="accent5" w:themeShade="80"/>
                <w:sz w:val="20"/>
              </w:rPr>
            </w:pPr>
            <w:r w:rsidRPr="0056501A">
              <w:rPr>
                <w:rFonts w:cs="Arial" w:asciiTheme="minorHAnsi" w:hAnsiTheme="minorHAnsi"/>
                <w:color w:val="1F4E79" w:themeColor="accent5" w:themeShade="80"/>
                <w:sz w:val="20"/>
                <w:highlight w:val="yellow"/>
              </w:rPr>
              <w:t>Note: This medications licence is currently suspe</w:t>
            </w:r>
            <w:r w:rsidRPr="0056501A" w:rsidR="0056501A">
              <w:rPr>
                <w:rFonts w:cs="Arial" w:asciiTheme="minorHAnsi" w:hAnsiTheme="minorHAnsi"/>
                <w:color w:val="1F4E79" w:themeColor="accent5" w:themeShade="80"/>
                <w:sz w:val="20"/>
                <w:highlight w:val="yellow"/>
              </w:rPr>
              <w:t>nded from the</w:t>
            </w:r>
            <w:r w:rsidRPr="0056501A">
              <w:rPr>
                <w:rFonts w:cs="Arial" w:asciiTheme="minorHAnsi" w:hAnsiTheme="minorHAnsi"/>
                <w:color w:val="1F4E79" w:themeColor="accent5" w:themeShade="80"/>
                <w:sz w:val="20"/>
                <w:highlight w:val="yellow"/>
              </w:rPr>
              <w:t xml:space="preserve"> </w:t>
            </w:r>
            <w:r w:rsidRPr="0056501A" w:rsidR="0056501A">
              <w:rPr>
                <w:rFonts w:cs="Arial" w:asciiTheme="minorHAnsi" w:hAnsiTheme="minorHAnsi"/>
                <w:color w:val="1F4E79" w:themeColor="accent5" w:themeShade="80"/>
                <w:sz w:val="20"/>
                <w:highlight w:val="yellow"/>
              </w:rPr>
              <w:t xml:space="preserve">Australian Register of Therapeutic Goods </w:t>
            </w:r>
            <w:r w:rsidRPr="0056501A">
              <w:rPr>
                <w:rFonts w:cs="Arial" w:asciiTheme="minorHAnsi" w:hAnsiTheme="minorHAnsi"/>
                <w:color w:val="1F4E79" w:themeColor="accent5" w:themeShade="80"/>
                <w:sz w:val="20"/>
                <w:highlight w:val="yellow"/>
              </w:rPr>
              <w:t xml:space="preserve">and is </w:t>
            </w:r>
            <w:r w:rsidRPr="0056501A" w:rsidR="00117C6D">
              <w:rPr>
                <w:rFonts w:cs="Arial" w:asciiTheme="minorHAnsi" w:hAnsiTheme="minorHAnsi"/>
                <w:color w:val="1F4E79" w:themeColor="accent5" w:themeShade="80"/>
                <w:sz w:val="20"/>
                <w:highlight w:val="yellow"/>
              </w:rPr>
              <w:t>unavailable</w:t>
            </w:r>
            <w:r w:rsidRPr="0056501A" w:rsidR="000463EB">
              <w:rPr>
                <w:rFonts w:cs="Arial" w:asciiTheme="minorHAnsi" w:hAnsiTheme="minorHAnsi"/>
                <w:color w:val="1F4E79" w:themeColor="accent5" w:themeShade="80"/>
                <w:sz w:val="20"/>
                <w:highlight w:val="yellow"/>
              </w:rPr>
              <w:t xml:space="preserve"> for use in Australia</w:t>
            </w:r>
            <w:r w:rsidRPr="0056501A" w:rsidR="0056501A">
              <w:rPr>
                <w:rFonts w:cs="Arial" w:asciiTheme="minorHAnsi" w:hAnsiTheme="minorHAnsi"/>
                <w:color w:val="1F4E79" w:themeColor="accent5" w:themeShade="80"/>
                <w:sz w:val="20"/>
                <w:highlight w:val="yellow"/>
              </w:rPr>
              <w:t>.</w:t>
            </w:r>
          </w:p>
          <w:p w:rsidRPr="00DA1174" w:rsidR="006665D7" w:rsidP="00FE4186" w:rsidRDefault="006665D7" w14:paraId="10D85978" w14:textId="1043231B">
            <w:pPr>
              <w:pStyle w:val="BodyText"/>
              <w:rPr>
                <w:rFonts w:cs="Arial" w:asciiTheme="minorHAnsi" w:hAnsiTheme="minorHAnsi"/>
                <w:sz w:val="20"/>
              </w:rPr>
            </w:pPr>
            <w:r w:rsidRPr="00DA1174">
              <w:rPr>
                <w:rFonts w:cs="Arial" w:asciiTheme="minorHAnsi" w:hAnsiTheme="minorHAnsi"/>
                <w:sz w:val="20"/>
              </w:rPr>
              <w:t>Exposure to H</w:t>
            </w:r>
            <w:r w:rsidRPr="00147DC1">
              <w:rPr>
                <w:rFonts w:cs="Arial" w:asciiTheme="minorHAnsi" w:hAnsiTheme="minorHAnsi"/>
                <w:sz w:val="20"/>
                <w:vertAlign w:val="subscript"/>
              </w:rPr>
              <w:t>2</w:t>
            </w:r>
            <w:r w:rsidRPr="00DA1174">
              <w:rPr>
                <w:rFonts w:cs="Arial" w:asciiTheme="minorHAnsi" w:hAnsiTheme="minorHAnsi"/>
                <w:sz w:val="20"/>
              </w:rPr>
              <w:t xml:space="preserve"> receptor antagonists may be associated with increased risk of NEC, infections and mortality in preterm infants and its use needs to balance safety against risks.</w:t>
            </w:r>
          </w:p>
        </w:tc>
      </w:tr>
      <w:tr w:rsidRPr="00DA1174" w:rsidR="006665D7" w:rsidTr="00FE4186" w14:paraId="294DC512" w14:textId="77777777">
        <w:trPr>
          <w:trHeight w:val="553"/>
        </w:trPr>
        <w:tc>
          <w:tcPr>
            <w:tcW w:w="1060" w:type="pct"/>
          </w:tcPr>
          <w:p w:rsidRPr="00DA1174" w:rsidR="006665D7" w:rsidP="00FE4186" w:rsidRDefault="006665D7" w14:paraId="615CAEB2" w14:textId="77777777">
            <w:pPr>
              <w:pStyle w:val="BodyText"/>
              <w:rPr>
                <w:rFonts w:cs="Arial" w:asciiTheme="minorHAnsi" w:hAnsiTheme="minorHAnsi"/>
                <w:b/>
                <w:bCs/>
                <w:sz w:val="20"/>
              </w:rPr>
            </w:pPr>
            <w:r w:rsidRPr="00DA1174">
              <w:rPr>
                <w:rFonts w:cs="Arial" w:asciiTheme="minorHAnsi" w:hAnsiTheme="minorHAnsi"/>
                <w:b/>
                <w:bCs/>
                <w:sz w:val="20"/>
              </w:rPr>
              <w:t xml:space="preserve">Indication                         </w:t>
            </w:r>
          </w:p>
          <w:p w:rsidRPr="00DA1174" w:rsidR="006665D7" w:rsidP="00FE4186" w:rsidRDefault="006665D7" w14:paraId="3BA6CFE9" w14:textId="77777777">
            <w:pPr>
              <w:pStyle w:val="BodyText"/>
              <w:rPr>
                <w:rFonts w:cs="Arial" w:asciiTheme="minorHAnsi" w:hAnsiTheme="minorHAnsi"/>
                <w:sz w:val="20"/>
              </w:rPr>
            </w:pPr>
          </w:p>
        </w:tc>
        <w:tc>
          <w:tcPr>
            <w:tcW w:w="3940" w:type="pct"/>
          </w:tcPr>
          <w:p w:rsidRPr="00DA1174" w:rsidR="006665D7" w:rsidP="00FE4186" w:rsidRDefault="006665D7" w14:paraId="0982F10B" w14:textId="77777777">
            <w:pPr>
              <w:rPr>
                <w:rFonts w:asciiTheme="minorHAnsi" w:hAnsiTheme="minorHAnsi"/>
                <w:sz w:val="20"/>
              </w:rPr>
            </w:pPr>
            <w:r w:rsidRPr="00DA1174">
              <w:rPr>
                <w:rFonts w:asciiTheme="minorHAnsi" w:hAnsiTheme="minorHAnsi"/>
                <w:sz w:val="20"/>
              </w:rPr>
              <w:t>Treatment of gastroesophageal reflux disease (GORD)</w:t>
            </w:r>
          </w:p>
          <w:p w:rsidRPr="00DA1174" w:rsidR="006665D7" w:rsidP="00FE4186" w:rsidRDefault="006665D7" w14:paraId="7F65ECD6" w14:textId="77777777">
            <w:pPr>
              <w:rPr>
                <w:rFonts w:asciiTheme="minorHAnsi" w:hAnsiTheme="minorHAnsi"/>
                <w:sz w:val="20"/>
              </w:rPr>
            </w:pPr>
            <w:r w:rsidRPr="00DA1174">
              <w:rPr>
                <w:rFonts w:asciiTheme="minorHAnsi" w:hAnsiTheme="minorHAnsi"/>
                <w:sz w:val="20"/>
              </w:rPr>
              <w:t>Post-operative prophylaxis in congenital tracheoesophageal fistula and oesophageal atresia</w:t>
            </w:r>
          </w:p>
          <w:p w:rsidRPr="00DA1174" w:rsidR="006665D7" w:rsidP="00FE4186" w:rsidRDefault="006665D7" w14:paraId="043BD6A4" w14:textId="77777777">
            <w:pPr>
              <w:rPr>
                <w:rFonts w:asciiTheme="minorHAnsi" w:hAnsiTheme="minorHAnsi"/>
                <w:sz w:val="20"/>
              </w:rPr>
            </w:pPr>
            <w:r w:rsidRPr="00DA1174">
              <w:rPr>
                <w:rFonts w:asciiTheme="minorHAnsi" w:hAnsiTheme="minorHAnsi"/>
                <w:sz w:val="20"/>
              </w:rPr>
              <w:t>Prophylaxis to reduce stress gastric ulcers/gastrointestinal haemorrhage</w:t>
            </w:r>
          </w:p>
          <w:p w:rsidRPr="00DA1174" w:rsidR="006665D7" w:rsidP="00FE4186" w:rsidRDefault="006665D7" w14:paraId="06A5FFAA" w14:textId="77777777">
            <w:pPr>
              <w:rPr>
                <w:rFonts w:asciiTheme="minorHAnsi" w:hAnsiTheme="minorHAnsi"/>
                <w:sz w:val="20"/>
              </w:rPr>
            </w:pPr>
            <w:r w:rsidRPr="00DA1174">
              <w:rPr>
                <w:rFonts w:asciiTheme="minorHAnsi" w:hAnsiTheme="minorHAnsi"/>
                <w:sz w:val="20"/>
              </w:rPr>
              <w:t>Treatment of bradycardias attributed to GOR (not recommended)</w:t>
            </w:r>
          </w:p>
        </w:tc>
      </w:tr>
      <w:tr w:rsidRPr="00DA1174" w:rsidR="006665D7" w:rsidTr="00FE4186" w14:paraId="756A7E8F" w14:textId="77777777">
        <w:trPr>
          <w:trHeight w:val="472"/>
        </w:trPr>
        <w:tc>
          <w:tcPr>
            <w:tcW w:w="1060" w:type="pct"/>
          </w:tcPr>
          <w:p w:rsidRPr="00DA1174" w:rsidR="006665D7" w:rsidP="00FE4186" w:rsidRDefault="006665D7" w14:paraId="278E12BD" w14:textId="77777777">
            <w:pPr>
              <w:pStyle w:val="BodyText"/>
              <w:rPr>
                <w:rFonts w:cs="Arial" w:asciiTheme="minorHAnsi" w:hAnsiTheme="minorHAnsi"/>
                <w:b/>
                <w:bCs/>
                <w:sz w:val="20"/>
              </w:rPr>
            </w:pPr>
            <w:r w:rsidRPr="00DA1174">
              <w:rPr>
                <w:rFonts w:cs="Arial" w:asciiTheme="minorHAnsi" w:hAnsiTheme="minorHAnsi"/>
                <w:b/>
                <w:bCs/>
                <w:sz w:val="20"/>
              </w:rPr>
              <w:t>Action</w:t>
            </w:r>
          </w:p>
        </w:tc>
        <w:tc>
          <w:tcPr>
            <w:tcW w:w="3940" w:type="pct"/>
          </w:tcPr>
          <w:p w:rsidRPr="00DA1174" w:rsidR="006665D7" w:rsidP="00FE4186" w:rsidRDefault="006665D7" w14:paraId="1071B647" w14:textId="77777777">
            <w:pPr>
              <w:rPr>
                <w:rFonts w:cs="Arial" w:asciiTheme="minorHAnsi" w:hAnsiTheme="minorHAnsi"/>
                <w:sz w:val="20"/>
              </w:rPr>
            </w:pPr>
            <w:r w:rsidRPr="00DA1174">
              <w:rPr>
                <w:rFonts w:cs="Arial" w:asciiTheme="minorHAnsi" w:hAnsiTheme="minorHAnsi"/>
                <w:sz w:val="20"/>
              </w:rPr>
              <w:t xml:space="preserve">Ranitidine is a </w:t>
            </w:r>
            <w:r>
              <w:rPr>
                <w:rFonts w:cs="Arial" w:asciiTheme="minorHAnsi" w:hAnsiTheme="minorHAnsi"/>
                <w:sz w:val="20"/>
              </w:rPr>
              <w:t>h</w:t>
            </w:r>
            <w:r w:rsidRPr="00DA1174">
              <w:rPr>
                <w:rFonts w:cs="Arial" w:asciiTheme="minorHAnsi" w:hAnsiTheme="minorHAnsi"/>
                <w:sz w:val="20"/>
              </w:rPr>
              <w:t>istamine</w:t>
            </w:r>
            <w:r w:rsidRPr="00147DC1">
              <w:rPr>
                <w:rFonts w:cs="Arial" w:asciiTheme="minorHAnsi" w:hAnsiTheme="minorHAnsi"/>
                <w:sz w:val="20"/>
                <w:vertAlign w:val="subscript"/>
              </w:rPr>
              <w:t>2</w:t>
            </w:r>
            <w:r w:rsidRPr="00DA1174">
              <w:rPr>
                <w:rFonts w:cs="Arial" w:asciiTheme="minorHAnsi" w:hAnsiTheme="minorHAnsi"/>
                <w:sz w:val="20"/>
              </w:rPr>
              <w:t xml:space="preserve"> receptor antagonist. Ranitidine decreases acid secretion by inhibiting histamine</w:t>
            </w:r>
            <w:r w:rsidRPr="00147DC1">
              <w:rPr>
                <w:rFonts w:cs="Arial" w:asciiTheme="minorHAnsi" w:hAnsiTheme="minorHAnsi"/>
                <w:sz w:val="20"/>
                <w:vertAlign w:val="subscript"/>
              </w:rPr>
              <w:t>2</w:t>
            </w:r>
            <w:r w:rsidRPr="00DA1174">
              <w:rPr>
                <w:rFonts w:cs="Arial" w:asciiTheme="minorHAnsi" w:hAnsiTheme="minorHAnsi"/>
                <w:sz w:val="20"/>
              </w:rPr>
              <w:t xml:space="preserve"> receptors on gastric parietal cells.</w:t>
            </w:r>
          </w:p>
        </w:tc>
      </w:tr>
      <w:tr w:rsidRPr="00DA1174" w:rsidR="006665D7" w:rsidTr="00FE4186" w14:paraId="49BB06D5" w14:textId="77777777">
        <w:trPr>
          <w:trHeight w:val="266"/>
        </w:trPr>
        <w:tc>
          <w:tcPr>
            <w:tcW w:w="1060" w:type="pct"/>
          </w:tcPr>
          <w:p w:rsidRPr="00DA1174" w:rsidR="006665D7" w:rsidP="00FE4186" w:rsidRDefault="006665D7" w14:paraId="118619B4" w14:textId="77777777">
            <w:pPr>
              <w:pStyle w:val="BodyText"/>
              <w:rPr>
                <w:rFonts w:cs="Arial" w:asciiTheme="minorHAnsi" w:hAnsiTheme="minorHAnsi"/>
                <w:sz w:val="20"/>
              </w:rPr>
            </w:pPr>
            <w:r w:rsidRPr="00DA1174">
              <w:rPr>
                <w:rFonts w:cs="Arial" w:asciiTheme="minorHAnsi" w:hAnsiTheme="minorHAnsi"/>
                <w:b/>
                <w:bCs/>
                <w:sz w:val="20"/>
              </w:rPr>
              <w:t xml:space="preserve">Drug Type                                   </w:t>
            </w:r>
          </w:p>
        </w:tc>
        <w:tc>
          <w:tcPr>
            <w:tcW w:w="3940" w:type="pct"/>
          </w:tcPr>
          <w:p w:rsidRPr="00DA1174" w:rsidR="006665D7" w:rsidP="00FE4186" w:rsidRDefault="006665D7" w14:paraId="6094DBA4" w14:textId="77777777">
            <w:pPr>
              <w:pStyle w:val="BodyText"/>
              <w:rPr>
                <w:rFonts w:cs="Arial" w:asciiTheme="minorHAnsi" w:hAnsiTheme="minorHAnsi"/>
                <w:sz w:val="20"/>
              </w:rPr>
            </w:pPr>
            <w:r w:rsidRPr="00DA1174">
              <w:rPr>
                <w:rFonts w:cs="Arial" w:asciiTheme="minorHAnsi" w:hAnsiTheme="minorHAnsi"/>
                <w:sz w:val="20"/>
              </w:rPr>
              <w:t>Histamine</w:t>
            </w:r>
            <w:r w:rsidRPr="00147DC1">
              <w:rPr>
                <w:rFonts w:cs="Arial" w:asciiTheme="minorHAnsi" w:hAnsiTheme="minorHAnsi"/>
                <w:sz w:val="20"/>
                <w:vertAlign w:val="subscript"/>
              </w:rPr>
              <w:t>2</w:t>
            </w:r>
            <w:r w:rsidRPr="00DA1174">
              <w:rPr>
                <w:rFonts w:cs="Arial" w:asciiTheme="minorHAnsi" w:hAnsiTheme="minorHAnsi"/>
                <w:sz w:val="20"/>
              </w:rPr>
              <w:t xml:space="preserve"> receptor antagonist</w:t>
            </w:r>
          </w:p>
        </w:tc>
      </w:tr>
      <w:tr w:rsidRPr="00DA1174" w:rsidR="006665D7" w:rsidTr="00FE4186" w14:paraId="71C05F57" w14:textId="77777777">
        <w:trPr>
          <w:trHeight w:val="384"/>
        </w:trPr>
        <w:tc>
          <w:tcPr>
            <w:tcW w:w="1060" w:type="pct"/>
          </w:tcPr>
          <w:p w:rsidRPr="00DA1174" w:rsidR="006665D7" w:rsidP="00FE4186" w:rsidRDefault="006665D7" w14:paraId="2701F492" w14:textId="77777777">
            <w:pPr>
              <w:pStyle w:val="BodyText"/>
              <w:rPr>
                <w:rFonts w:cs="Arial" w:asciiTheme="minorHAnsi" w:hAnsiTheme="minorHAnsi"/>
                <w:b/>
                <w:bCs/>
                <w:sz w:val="20"/>
              </w:rPr>
            </w:pPr>
            <w:r w:rsidRPr="00DA1174">
              <w:rPr>
                <w:rFonts w:cs="Arial" w:asciiTheme="minorHAnsi" w:hAnsiTheme="minorHAnsi"/>
                <w:b/>
                <w:bCs/>
                <w:sz w:val="20"/>
              </w:rPr>
              <w:t xml:space="preserve">Trade Name                  </w:t>
            </w:r>
          </w:p>
        </w:tc>
        <w:tc>
          <w:tcPr>
            <w:tcW w:w="3940" w:type="pct"/>
          </w:tcPr>
          <w:p w:rsidR="006665D7" w:rsidP="00FE4186" w:rsidRDefault="006665D7" w14:paraId="11103AB1" w14:textId="77777777">
            <w:pPr>
              <w:pStyle w:val="BodyText"/>
              <w:rPr>
                <w:rFonts w:cs="Arial" w:asciiTheme="minorHAnsi" w:hAnsiTheme="minorHAnsi"/>
                <w:sz w:val="20"/>
              </w:rPr>
            </w:pPr>
            <w:r w:rsidRPr="00DA1174">
              <w:rPr>
                <w:rFonts w:cs="Arial" w:asciiTheme="minorHAnsi" w:hAnsiTheme="minorHAnsi"/>
                <w:sz w:val="20"/>
              </w:rPr>
              <w:t>APO-Ranitidine Tablets</w:t>
            </w:r>
            <w:r>
              <w:rPr>
                <w:rFonts w:cs="Arial" w:asciiTheme="minorHAnsi" w:hAnsiTheme="minorHAnsi"/>
                <w:sz w:val="20"/>
              </w:rPr>
              <w:t xml:space="preserve"> </w:t>
            </w:r>
            <w:r w:rsidRPr="00DA1174">
              <w:rPr>
                <w:rFonts w:cs="Arial" w:asciiTheme="minorHAnsi" w:hAnsiTheme="minorHAnsi"/>
                <w:sz w:val="20"/>
              </w:rPr>
              <w:t>[Apotex]</w:t>
            </w:r>
            <w:r>
              <w:rPr>
                <w:rFonts w:cs="Arial" w:asciiTheme="minorHAnsi" w:hAnsiTheme="minorHAnsi"/>
                <w:sz w:val="20"/>
              </w:rPr>
              <w:t>;</w:t>
            </w:r>
            <w:r w:rsidRPr="00DA1174">
              <w:rPr>
                <w:rFonts w:cs="Arial" w:asciiTheme="minorHAnsi" w:hAnsiTheme="minorHAnsi"/>
                <w:sz w:val="20"/>
              </w:rPr>
              <w:t xml:space="preserve"> </w:t>
            </w:r>
            <w:r>
              <w:rPr>
                <w:rFonts w:cs="Arial" w:asciiTheme="minorHAnsi" w:hAnsiTheme="minorHAnsi"/>
                <w:sz w:val="20"/>
              </w:rPr>
              <w:t>Ausran Tablets</w:t>
            </w:r>
            <w:r w:rsidRPr="00831B51">
              <w:rPr>
                <w:rFonts w:cs="Arial" w:asciiTheme="minorHAnsi" w:hAnsiTheme="minorHAnsi"/>
                <w:sz w:val="20"/>
              </w:rPr>
              <w:t xml:space="preserve"> [Aspen]</w:t>
            </w:r>
            <w:r>
              <w:rPr>
                <w:rFonts w:cs="Arial" w:asciiTheme="minorHAnsi" w:hAnsiTheme="minorHAnsi"/>
                <w:sz w:val="20"/>
              </w:rPr>
              <w:t>;</w:t>
            </w:r>
            <w:r w:rsidRPr="00DA1174">
              <w:rPr>
                <w:rFonts w:cs="Arial" w:asciiTheme="minorHAnsi" w:hAnsiTheme="minorHAnsi"/>
                <w:sz w:val="20"/>
              </w:rPr>
              <w:t xml:space="preserve"> </w:t>
            </w:r>
            <w:r w:rsidRPr="00831B51">
              <w:rPr>
                <w:rFonts w:cs="Arial" w:asciiTheme="minorHAnsi" w:hAnsiTheme="minorHAnsi"/>
                <w:sz w:val="20"/>
              </w:rPr>
              <w:t>Chemists</w:t>
            </w:r>
            <w:r>
              <w:rPr>
                <w:rFonts w:cs="Arial" w:asciiTheme="minorHAnsi" w:hAnsiTheme="minorHAnsi"/>
                <w:sz w:val="20"/>
              </w:rPr>
              <w:t>' Own Ranitidine Forte Tablets</w:t>
            </w:r>
            <w:r w:rsidRPr="00831B51">
              <w:rPr>
                <w:rFonts w:cs="Arial" w:asciiTheme="minorHAnsi" w:hAnsiTheme="minorHAnsi"/>
                <w:sz w:val="20"/>
              </w:rPr>
              <w:t xml:space="preserve"> [Chemists' Own]</w:t>
            </w:r>
            <w:r>
              <w:rPr>
                <w:rFonts w:cs="Arial" w:asciiTheme="minorHAnsi" w:hAnsiTheme="minorHAnsi"/>
                <w:sz w:val="20"/>
              </w:rPr>
              <w:t>;</w:t>
            </w:r>
            <w:r w:rsidRPr="00DA1174">
              <w:rPr>
                <w:rFonts w:cs="Arial" w:asciiTheme="minorHAnsi" w:hAnsiTheme="minorHAnsi"/>
                <w:sz w:val="20"/>
              </w:rPr>
              <w:t xml:space="preserve"> </w:t>
            </w:r>
            <w:r w:rsidRPr="00831B51">
              <w:rPr>
                <w:rFonts w:cs="Arial" w:asciiTheme="minorHAnsi" w:hAnsiTheme="minorHAnsi"/>
                <w:sz w:val="20"/>
              </w:rPr>
              <w:t>GenRx Ranitidine Tablets [Apotex]</w:t>
            </w:r>
            <w:r>
              <w:rPr>
                <w:rFonts w:cs="Arial" w:asciiTheme="minorHAnsi" w:hAnsiTheme="minorHAnsi"/>
                <w:sz w:val="20"/>
              </w:rPr>
              <w:t>;</w:t>
            </w:r>
            <w:r w:rsidRPr="00DA1174">
              <w:rPr>
                <w:rFonts w:cs="Arial" w:asciiTheme="minorHAnsi" w:hAnsiTheme="minorHAnsi"/>
                <w:sz w:val="20"/>
              </w:rPr>
              <w:t xml:space="preserve"> </w:t>
            </w:r>
            <w:r>
              <w:rPr>
                <w:rFonts w:cs="Arial" w:asciiTheme="minorHAnsi" w:hAnsiTheme="minorHAnsi"/>
                <w:sz w:val="20"/>
              </w:rPr>
              <w:t>Ranitidine Sandoz Tablets</w:t>
            </w:r>
            <w:r w:rsidRPr="00831B51">
              <w:rPr>
                <w:rFonts w:cs="Arial" w:asciiTheme="minorHAnsi" w:hAnsiTheme="minorHAnsi"/>
                <w:sz w:val="20"/>
              </w:rPr>
              <w:t xml:space="preserve"> [Sandoz]</w:t>
            </w:r>
            <w:r w:rsidRPr="00DA1174">
              <w:rPr>
                <w:rFonts w:cs="Arial" w:asciiTheme="minorHAnsi" w:hAnsiTheme="minorHAnsi"/>
                <w:sz w:val="20"/>
              </w:rPr>
              <w:t xml:space="preserve">, </w:t>
            </w:r>
            <w:r w:rsidRPr="00831B51">
              <w:rPr>
                <w:rFonts w:cs="Arial" w:asciiTheme="minorHAnsi" w:hAnsiTheme="minorHAnsi"/>
                <w:sz w:val="20"/>
              </w:rPr>
              <w:t>Zantac Dispersible tablets [Aspen]</w:t>
            </w:r>
            <w:r>
              <w:rPr>
                <w:rFonts w:cs="Arial" w:asciiTheme="minorHAnsi" w:hAnsiTheme="minorHAnsi"/>
                <w:sz w:val="20"/>
              </w:rPr>
              <w:t xml:space="preserve">; </w:t>
            </w:r>
            <w:r w:rsidRPr="00831B51">
              <w:rPr>
                <w:rFonts w:cs="Arial" w:asciiTheme="minorHAnsi" w:hAnsiTheme="minorHAnsi"/>
                <w:sz w:val="20"/>
              </w:rPr>
              <w:t>Zantac Effervescent tablets [Aspen]</w:t>
            </w:r>
            <w:r>
              <w:rPr>
                <w:rFonts w:cs="Arial" w:asciiTheme="minorHAnsi" w:hAnsiTheme="minorHAnsi"/>
                <w:sz w:val="20"/>
              </w:rPr>
              <w:t>;</w:t>
            </w:r>
            <w:r w:rsidRPr="00DA1174">
              <w:rPr>
                <w:rFonts w:cs="Arial" w:asciiTheme="minorHAnsi" w:hAnsiTheme="minorHAnsi"/>
                <w:sz w:val="20"/>
              </w:rPr>
              <w:t xml:space="preserve"> </w:t>
            </w:r>
            <w:r w:rsidRPr="00831B51">
              <w:rPr>
                <w:rFonts w:cs="Arial" w:asciiTheme="minorHAnsi" w:hAnsiTheme="minorHAnsi"/>
                <w:sz w:val="20"/>
              </w:rPr>
              <w:t xml:space="preserve">Zantac Syrup </w:t>
            </w:r>
            <w:r>
              <w:rPr>
                <w:rFonts w:cs="Arial" w:asciiTheme="minorHAnsi" w:hAnsiTheme="minorHAnsi"/>
                <w:sz w:val="20"/>
              </w:rPr>
              <w:t>[</w:t>
            </w:r>
            <w:r w:rsidRPr="00831B51">
              <w:rPr>
                <w:rFonts w:cs="Arial" w:asciiTheme="minorHAnsi" w:hAnsiTheme="minorHAnsi"/>
                <w:sz w:val="20"/>
              </w:rPr>
              <w:t>Aspen]</w:t>
            </w:r>
            <w:r>
              <w:rPr>
                <w:rFonts w:cs="Arial" w:asciiTheme="minorHAnsi" w:hAnsiTheme="minorHAnsi"/>
                <w:sz w:val="20"/>
              </w:rPr>
              <w:t xml:space="preserve">; </w:t>
            </w:r>
            <w:r w:rsidRPr="00831B51">
              <w:rPr>
                <w:rFonts w:cs="Arial" w:asciiTheme="minorHAnsi" w:hAnsiTheme="minorHAnsi"/>
                <w:sz w:val="20"/>
              </w:rPr>
              <w:t>Zantac Tablets [Aspen]</w:t>
            </w:r>
          </w:p>
          <w:p w:rsidRPr="00DA1174" w:rsidR="006665D7" w:rsidP="00FE4186" w:rsidRDefault="006665D7" w14:paraId="36A84DE0" w14:textId="77777777">
            <w:pPr>
              <w:pStyle w:val="BodyText"/>
              <w:rPr>
                <w:rFonts w:cs="Arial" w:asciiTheme="minorHAnsi" w:hAnsiTheme="minorHAnsi"/>
                <w:sz w:val="20"/>
              </w:rPr>
            </w:pPr>
            <w:r w:rsidRPr="00831B51">
              <w:rPr>
                <w:rFonts w:cs="Arial" w:asciiTheme="minorHAnsi" w:hAnsiTheme="minorHAnsi"/>
                <w:sz w:val="20"/>
              </w:rPr>
              <w:t>Ranitidine Sandoz Injection 50 mg/5 mL [Sandoz]</w:t>
            </w:r>
            <w:r>
              <w:rPr>
                <w:rFonts w:cs="Arial" w:asciiTheme="minorHAnsi" w:hAnsiTheme="minorHAnsi"/>
                <w:sz w:val="20"/>
              </w:rPr>
              <w:t xml:space="preserve">; </w:t>
            </w:r>
            <w:r w:rsidRPr="00831B51">
              <w:rPr>
                <w:rFonts w:cs="Arial" w:asciiTheme="minorHAnsi" w:hAnsiTheme="minorHAnsi"/>
                <w:sz w:val="20"/>
              </w:rPr>
              <w:t>Zantac Concentrate for injection [Aspen]</w:t>
            </w:r>
          </w:p>
        </w:tc>
      </w:tr>
      <w:tr w:rsidRPr="00DA1174" w:rsidR="006665D7" w:rsidTr="00FE4186" w14:paraId="4744DF39" w14:textId="77777777">
        <w:trPr>
          <w:trHeight w:val="403"/>
        </w:trPr>
        <w:tc>
          <w:tcPr>
            <w:tcW w:w="1060" w:type="pct"/>
          </w:tcPr>
          <w:p w:rsidRPr="00DA1174" w:rsidR="006665D7" w:rsidP="00FE4186" w:rsidRDefault="006665D7" w14:paraId="7C168C0E" w14:textId="77777777">
            <w:pPr>
              <w:pStyle w:val="BodyText"/>
              <w:rPr>
                <w:rFonts w:cs="Arial" w:asciiTheme="minorHAnsi" w:hAnsiTheme="minorHAnsi"/>
                <w:b/>
                <w:bCs/>
                <w:sz w:val="20"/>
              </w:rPr>
            </w:pPr>
            <w:r w:rsidRPr="00DA1174">
              <w:rPr>
                <w:rFonts w:cs="Arial" w:asciiTheme="minorHAnsi" w:hAnsiTheme="minorHAnsi"/>
                <w:b/>
                <w:bCs/>
                <w:sz w:val="20"/>
              </w:rPr>
              <w:t xml:space="preserve">Presentation </w:t>
            </w:r>
          </w:p>
        </w:tc>
        <w:tc>
          <w:tcPr>
            <w:tcW w:w="3940" w:type="pct"/>
          </w:tcPr>
          <w:p w:rsidRPr="00DA1174" w:rsidR="006665D7" w:rsidP="00FE4186" w:rsidRDefault="006665D7" w14:paraId="0807F43E" w14:textId="77777777">
            <w:pPr>
              <w:pStyle w:val="BodyText"/>
              <w:ind w:left="34"/>
              <w:rPr>
                <w:rFonts w:cs="Arial" w:asciiTheme="minorHAnsi" w:hAnsiTheme="minorHAnsi"/>
                <w:sz w:val="20"/>
              </w:rPr>
            </w:pPr>
            <w:r w:rsidRPr="00DA1174">
              <w:rPr>
                <w:rFonts w:cs="Arial" w:asciiTheme="minorHAnsi" w:hAnsiTheme="minorHAnsi"/>
                <w:sz w:val="20"/>
              </w:rPr>
              <w:t>150 mg tablet</w:t>
            </w:r>
          </w:p>
          <w:p w:rsidRPr="00DA1174" w:rsidR="006665D7" w:rsidP="00FE4186" w:rsidRDefault="006665D7" w14:paraId="3431AB71" w14:textId="77777777">
            <w:pPr>
              <w:pStyle w:val="BodyText"/>
              <w:ind w:left="34"/>
              <w:rPr>
                <w:rFonts w:cs="Arial" w:asciiTheme="minorHAnsi" w:hAnsiTheme="minorHAnsi"/>
                <w:sz w:val="20"/>
              </w:rPr>
            </w:pPr>
            <w:r w:rsidRPr="00DA1174">
              <w:rPr>
                <w:rFonts w:cs="Arial" w:asciiTheme="minorHAnsi" w:hAnsiTheme="minorHAnsi"/>
                <w:sz w:val="20"/>
              </w:rPr>
              <w:t xml:space="preserve">150 mg/10 mL liquid (contains </w:t>
            </w:r>
            <w:r>
              <w:rPr>
                <w:rFonts w:cs="Arial" w:asciiTheme="minorHAnsi" w:hAnsiTheme="minorHAnsi"/>
                <w:sz w:val="20"/>
              </w:rPr>
              <w:t>~</w:t>
            </w:r>
            <w:r w:rsidRPr="00DA1174">
              <w:rPr>
                <w:rFonts w:cs="Arial" w:asciiTheme="minorHAnsi" w:hAnsiTheme="minorHAnsi"/>
                <w:sz w:val="20"/>
              </w:rPr>
              <w:t>7.5% w/v ethanol</w:t>
            </w:r>
            <w:r>
              <w:rPr>
                <w:rFonts w:cs="Arial" w:asciiTheme="minorHAnsi" w:hAnsiTheme="minorHAnsi"/>
                <w:sz w:val="20"/>
              </w:rPr>
              <w:t>), 300 mL</w:t>
            </w:r>
          </w:p>
          <w:p w:rsidRPr="00DA1174" w:rsidR="006665D7" w:rsidP="00FE4186" w:rsidRDefault="006665D7" w14:paraId="708ADB60" w14:textId="77777777">
            <w:pPr>
              <w:pStyle w:val="BodyText"/>
              <w:ind w:left="34"/>
              <w:rPr>
                <w:rFonts w:cs="Arial" w:asciiTheme="minorHAnsi" w:hAnsiTheme="minorHAnsi"/>
                <w:sz w:val="20"/>
              </w:rPr>
            </w:pPr>
            <w:r w:rsidRPr="00DA1174">
              <w:rPr>
                <w:rFonts w:cs="Arial" w:asciiTheme="minorHAnsi" w:hAnsiTheme="minorHAnsi"/>
                <w:sz w:val="20"/>
              </w:rPr>
              <w:t xml:space="preserve">Zantac: </w:t>
            </w:r>
            <w:r>
              <w:rPr>
                <w:rFonts w:cs="Arial" w:asciiTheme="minorHAnsi" w:hAnsiTheme="minorHAnsi"/>
                <w:sz w:val="20"/>
              </w:rPr>
              <w:t>25</w:t>
            </w:r>
            <w:r w:rsidRPr="00DA1174">
              <w:rPr>
                <w:rFonts w:cs="Arial" w:asciiTheme="minorHAnsi" w:hAnsiTheme="minorHAnsi"/>
                <w:sz w:val="20"/>
              </w:rPr>
              <w:t xml:space="preserve"> mg/</w:t>
            </w:r>
            <w:r>
              <w:rPr>
                <w:rFonts w:cs="Arial" w:asciiTheme="minorHAnsi" w:hAnsiTheme="minorHAnsi"/>
                <w:sz w:val="20"/>
              </w:rPr>
              <w:t xml:space="preserve">mL, </w:t>
            </w:r>
            <w:r w:rsidRPr="00DA1174">
              <w:rPr>
                <w:rFonts w:cs="Arial" w:asciiTheme="minorHAnsi" w:hAnsiTheme="minorHAnsi"/>
                <w:sz w:val="20"/>
              </w:rPr>
              <w:t>2 mL injection</w:t>
            </w:r>
            <w:r>
              <w:rPr>
                <w:rFonts w:cs="Arial" w:asciiTheme="minorHAnsi" w:hAnsiTheme="minorHAnsi"/>
                <w:sz w:val="20"/>
              </w:rPr>
              <w:t xml:space="preserve"> (50 mg in 2 mL)</w:t>
            </w:r>
          </w:p>
          <w:p w:rsidRPr="00DA1174" w:rsidR="006665D7" w:rsidP="00FE4186" w:rsidRDefault="006665D7" w14:paraId="1A0EDD1A" w14:textId="77777777">
            <w:pPr>
              <w:pStyle w:val="BodyText"/>
              <w:ind w:left="34"/>
              <w:rPr>
                <w:rFonts w:cs="Arial" w:asciiTheme="minorHAnsi" w:hAnsiTheme="minorHAnsi"/>
                <w:sz w:val="20"/>
              </w:rPr>
            </w:pPr>
            <w:r w:rsidRPr="00DA1174">
              <w:rPr>
                <w:rFonts w:cs="Arial" w:asciiTheme="minorHAnsi" w:hAnsiTheme="minorHAnsi"/>
                <w:sz w:val="20"/>
              </w:rPr>
              <w:t xml:space="preserve">Ranitidine Sandoz: </w:t>
            </w:r>
            <w:r>
              <w:rPr>
                <w:rFonts w:cs="Arial" w:asciiTheme="minorHAnsi" w:hAnsiTheme="minorHAnsi"/>
                <w:sz w:val="20"/>
              </w:rPr>
              <w:t xml:space="preserve">10 </w:t>
            </w:r>
            <w:r w:rsidRPr="00DA1174">
              <w:rPr>
                <w:rFonts w:cs="Arial" w:asciiTheme="minorHAnsi" w:hAnsiTheme="minorHAnsi"/>
                <w:sz w:val="20"/>
              </w:rPr>
              <w:t>mg</w:t>
            </w:r>
            <w:r>
              <w:rPr>
                <w:rFonts w:cs="Arial" w:asciiTheme="minorHAnsi" w:hAnsiTheme="minorHAnsi"/>
                <w:sz w:val="20"/>
              </w:rPr>
              <w:t xml:space="preserve">/mL, </w:t>
            </w:r>
            <w:r w:rsidRPr="00DA1174">
              <w:rPr>
                <w:rFonts w:cs="Arial" w:asciiTheme="minorHAnsi" w:hAnsiTheme="minorHAnsi"/>
                <w:sz w:val="20"/>
              </w:rPr>
              <w:t>5 mL injection</w:t>
            </w:r>
            <w:r>
              <w:rPr>
                <w:rFonts w:cs="Arial" w:asciiTheme="minorHAnsi" w:hAnsiTheme="minorHAnsi"/>
                <w:sz w:val="20"/>
              </w:rPr>
              <w:t xml:space="preserve"> (50 mg in 5 mL)</w:t>
            </w:r>
          </w:p>
        </w:tc>
      </w:tr>
      <w:tr w:rsidRPr="00DA1174" w:rsidR="006665D7" w:rsidTr="00FE4186" w14:paraId="5C802326" w14:textId="77777777">
        <w:trPr>
          <w:trHeight w:val="587"/>
        </w:trPr>
        <w:tc>
          <w:tcPr>
            <w:tcW w:w="1060" w:type="pct"/>
          </w:tcPr>
          <w:p w:rsidRPr="00DA1174" w:rsidR="006665D7" w:rsidP="00FE4186" w:rsidRDefault="006665D7" w14:paraId="38347110" w14:textId="77777777">
            <w:pPr>
              <w:pStyle w:val="BodyText"/>
              <w:rPr>
                <w:rFonts w:cs="Arial" w:asciiTheme="minorHAnsi" w:hAnsiTheme="minorHAnsi"/>
                <w:b/>
                <w:bCs/>
                <w:sz w:val="20"/>
              </w:rPr>
            </w:pPr>
            <w:r w:rsidRPr="00DA1174">
              <w:rPr>
                <w:rFonts w:cs="Arial" w:asciiTheme="minorHAnsi" w:hAnsiTheme="minorHAnsi"/>
                <w:b/>
                <w:bCs/>
                <w:sz w:val="20"/>
              </w:rPr>
              <w:t xml:space="preserve">Dosage / Interval                           </w:t>
            </w:r>
          </w:p>
          <w:p w:rsidRPr="00DA1174" w:rsidR="006665D7" w:rsidP="00FE4186" w:rsidRDefault="006665D7" w14:paraId="4EE2471B" w14:textId="77777777">
            <w:pPr>
              <w:pStyle w:val="BodyText"/>
              <w:rPr>
                <w:rFonts w:cs="Arial" w:asciiTheme="minorHAnsi" w:hAnsiTheme="minorHAnsi"/>
                <w:sz w:val="20"/>
              </w:rPr>
            </w:pPr>
          </w:p>
        </w:tc>
        <w:tc>
          <w:tcPr>
            <w:tcW w:w="3940" w:type="pct"/>
          </w:tcPr>
          <w:p w:rsidRPr="00DA1174" w:rsidR="006665D7" w:rsidP="00FE4186" w:rsidRDefault="006665D7" w14:paraId="59CEBDE9" w14:textId="77777777">
            <w:pPr>
              <w:pStyle w:val="BodyText"/>
              <w:rPr>
                <w:rFonts w:asciiTheme="minorHAnsi" w:hAnsiTheme="minorHAnsi"/>
                <w:sz w:val="20"/>
              </w:rPr>
            </w:pPr>
            <w:r w:rsidRPr="00DA1174">
              <w:rPr>
                <w:rFonts w:asciiTheme="minorHAnsi" w:hAnsiTheme="minorHAnsi"/>
                <w:sz w:val="20"/>
              </w:rPr>
              <w:t>Oral: 2 mg/kg/dose every 8 hours</w:t>
            </w:r>
            <w:r w:rsidRPr="00DA1174">
              <w:rPr>
                <w:rFonts w:asciiTheme="minorHAnsi" w:hAnsiTheme="minorHAnsi"/>
                <w:sz w:val="20"/>
                <w:vertAlign w:val="superscript"/>
              </w:rPr>
              <w:t>21</w:t>
            </w:r>
          </w:p>
          <w:p w:rsidRPr="00DA1174" w:rsidR="006665D7" w:rsidP="00FE4186" w:rsidRDefault="006665D7" w14:paraId="6B586B15" w14:textId="77777777">
            <w:pPr>
              <w:pStyle w:val="BodyText"/>
              <w:rPr>
                <w:rFonts w:asciiTheme="minorHAnsi" w:hAnsiTheme="minorHAnsi"/>
                <w:sz w:val="20"/>
              </w:rPr>
            </w:pPr>
          </w:p>
          <w:p w:rsidRPr="00DA1174" w:rsidR="006665D7" w:rsidP="00FE4186" w:rsidRDefault="006665D7" w14:paraId="3A1103DC" w14:textId="77777777">
            <w:pPr>
              <w:pStyle w:val="BodyText"/>
              <w:rPr>
                <w:rFonts w:asciiTheme="minorHAnsi" w:hAnsiTheme="minorHAnsi"/>
                <w:sz w:val="20"/>
              </w:rPr>
            </w:pPr>
            <w:r w:rsidRPr="00DA1174">
              <w:rPr>
                <w:rFonts w:asciiTheme="minorHAnsi" w:hAnsiTheme="minorHAnsi"/>
                <w:sz w:val="20"/>
              </w:rPr>
              <w:t>IV Dose</w:t>
            </w:r>
            <w:r>
              <w:rPr>
                <w:rFonts w:asciiTheme="minorHAnsi" w:hAnsiTheme="minorHAnsi"/>
                <w:sz w:val="20"/>
              </w:rPr>
              <w:t>:</w:t>
            </w:r>
            <w:r w:rsidRPr="00DA1174">
              <w:rPr>
                <w:rFonts w:asciiTheme="minorHAnsi" w:hAnsiTheme="minorHAnsi"/>
                <w:sz w:val="20"/>
                <w:vertAlign w:val="superscript"/>
              </w:rPr>
              <w:t>20</w:t>
            </w:r>
          </w:p>
          <w:p w:rsidRPr="00DA1174" w:rsidR="006665D7" w:rsidP="00FE4186" w:rsidRDefault="006665D7" w14:paraId="39CDD2E2" w14:textId="77777777">
            <w:pPr>
              <w:pStyle w:val="BodyText"/>
              <w:ind w:left="720"/>
              <w:rPr>
                <w:rFonts w:asciiTheme="minorHAnsi" w:hAnsiTheme="minorHAnsi"/>
                <w:sz w:val="20"/>
              </w:rPr>
            </w:pPr>
            <w:r w:rsidRPr="00DA1174">
              <w:rPr>
                <w:rFonts w:asciiTheme="minorHAnsi" w:hAnsiTheme="minorHAnsi"/>
                <w:sz w:val="20"/>
              </w:rPr>
              <w:t xml:space="preserve">Term neonate </w:t>
            </w:r>
            <w:r>
              <w:rPr>
                <w:rFonts w:asciiTheme="minorHAnsi" w:hAnsiTheme="minorHAnsi"/>
                <w:sz w:val="20"/>
              </w:rPr>
              <w:t>—</w:t>
            </w:r>
            <w:r w:rsidRPr="00DA1174">
              <w:rPr>
                <w:rFonts w:asciiTheme="minorHAnsi" w:hAnsiTheme="minorHAnsi"/>
                <w:sz w:val="20"/>
              </w:rPr>
              <w:t xml:space="preserve"> 1.5 mg/kg/dose every 8 hours</w:t>
            </w:r>
          </w:p>
          <w:p w:rsidRPr="00DA1174" w:rsidR="006665D7" w:rsidP="00FE4186" w:rsidRDefault="006665D7" w14:paraId="281FF847" w14:textId="77777777">
            <w:pPr>
              <w:pStyle w:val="BodyText"/>
              <w:ind w:left="720"/>
              <w:rPr>
                <w:rFonts w:asciiTheme="minorHAnsi" w:hAnsiTheme="minorHAnsi"/>
                <w:sz w:val="20"/>
              </w:rPr>
            </w:pPr>
            <w:r w:rsidRPr="00DA1174">
              <w:rPr>
                <w:rFonts w:asciiTheme="minorHAnsi" w:hAnsiTheme="minorHAnsi"/>
                <w:sz w:val="20"/>
              </w:rPr>
              <w:t>Preterm (&lt;</w:t>
            </w:r>
            <w:r>
              <w:rPr>
                <w:rFonts w:asciiTheme="minorHAnsi" w:hAnsiTheme="minorHAnsi"/>
                <w:sz w:val="20"/>
              </w:rPr>
              <w:t xml:space="preserve"> </w:t>
            </w:r>
            <w:r w:rsidRPr="00DA1174">
              <w:rPr>
                <w:rFonts w:asciiTheme="minorHAnsi" w:hAnsiTheme="minorHAnsi"/>
                <w:sz w:val="20"/>
              </w:rPr>
              <w:t xml:space="preserve">37 weeks) neonate </w:t>
            </w:r>
            <w:r>
              <w:rPr>
                <w:rFonts w:asciiTheme="minorHAnsi" w:hAnsiTheme="minorHAnsi"/>
                <w:sz w:val="20"/>
              </w:rPr>
              <w:t>—</w:t>
            </w:r>
            <w:r w:rsidRPr="00DA1174">
              <w:rPr>
                <w:rFonts w:asciiTheme="minorHAnsi" w:hAnsiTheme="minorHAnsi"/>
                <w:sz w:val="20"/>
              </w:rPr>
              <w:t xml:space="preserve"> 0.5 mg/kg/dose every 12 hours</w:t>
            </w:r>
          </w:p>
          <w:p w:rsidRPr="00DA1174" w:rsidR="006665D7" w:rsidP="00FE4186" w:rsidRDefault="006665D7" w14:paraId="6D847CE7" w14:textId="77777777">
            <w:pPr>
              <w:pStyle w:val="BodyText"/>
              <w:rPr>
                <w:rFonts w:asciiTheme="minorHAnsi" w:hAnsiTheme="minorHAnsi"/>
                <w:sz w:val="20"/>
              </w:rPr>
            </w:pPr>
          </w:p>
          <w:p w:rsidRPr="00DA1174" w:rsidR="006665D7" w:rsidP="00FE4186" w:rsidRDefault="006665D7" w14:paraId="0EB8A434" w14:textId="77777777">
            <w:pPr>
              <w:pStyle w:val="BodyText"/>
              <w:rPr>
                <w:rFonts w:asciiTheme="minorHAnsi" w:hAnsiTheme="minorHAnsi"/>
                <w:sz w:val="20"/>
              </w:rPr>
            </w:pPr>
            <w:r w:rsidRPr="00DA1174">
              <w:rPr>
                <w:rFonts w:asciiTheme="minorHAnsi" w:hAnsiTheme="minorHAnsi"/>
                <w:sz w:val="20"/>
              </w:rPr>
              <w:t>Continuous IV infusion: 30</w:t>
            </w:r>
            <w:r>
              <w:rPr>
                <w:rFonts w:asciiTheme="minorHAnsi" w:hAnsiTheme="minorHAnsi"/>
                <w:sz w:val="20"/>
              </w:rPr>
              <w:t>–</w:t>
            </w:r>
            <w:r w:rsidRPr="00DA1174">
              <w:rPr>
                <w:rFonts w:asciiTheme="minorHAnsi" w:hAnsiTheme="minorHAnsi"/>
                <w:sz w:val="20"/>
              </w:rPr>
              <w:t>60 microg</w:t>
            </w:r>
            <w:r>
              <w:rPr>
                <w:rFonts w:asciiTheme="minorHAnsi" w:hAnsiTheme="minorHAnsi"/>
                <w:sz w:val="20"/>
              </w:rPr>
              <w:t>rams</w:t>
            </w:r>
            <w:r w:rsidRPr="00DA1174">
              <w:rPr>
                <w:rFonts w:asciiTheme="minorHAnsi" w:hAnsiTheme="minorHAnsi"/>
                <w:sz w:val="20"/>
              </w:rPr>
              <w:t>/kg/</w:t>
            </w:r>
            <w:r>
              <w:rPr>
                <w:rFonts w:asciiTheme="minorHAnsi" w:hAnsiTheme="minorHAnsi"/>
                <w:sz w:val="20"/>
              </w:rPr>
              <w:t>hour</w:t>
            </w:r>
            <w:r w:rsidRPr="00911177">
              <w:rPr>
                <w:rFonts w:asciiTheme="minorHAnsi" w:hAnsiTheme="minorHAnsi"/>
                <w:sz w:val="20"/>
                <w:vertAlign w:val="superscript"/>
              </w:rPr>
              <w:t>22</w:t>
            </w:r>
          </w:p>
        </w:tc>
      </w:tr>
      <w:tr w:rsidRPr="00DA1174" w:rsidR="006665D7" w:rsidTr="00FE4186" w14:paraId="214734DC" w14:textId="77777777">
        <w:trPr>
          <w:trHeight w:val="293"/>
        </w:trPr>
        <w:tc>
          <w:tcPr>
            <w:tcW w:w="1060" w:type="pct"/>
          </w:tcPr>
          <w:p w:rsidRPr="00DA1174" w:rsidR="006665D7" w:rsidP="00FE4186" w:rsidRDefault="006665D7" w14:paraId="3AD154DA" w14:textId="77777777">
            <w:pPr>
              <w:pStyle w:val="BodyText"/>
              <w:rPr>
                <w:rFonts w:asciiTheme="minorHAnsi" w:hAnsiTheme="minorHAnsi"/>
                <w:b/>
                <w:sz w:val="20"/>
              </w:rPr>
            </w:pPr>
            <w:r w:rsidRPr="00DA1174">
              <w:rPr>
                <w:rFonts w:asciiTheme="minorHAnsi" w:hAnsiTheme="minorHAnsi"/>
                <w:b/>
                <w:sz w:val="20"/>
              </w:rPr>
              <w:t>Maximum daily dose</w:t>
            </w:r>
          </w:p>
        </w:tc>
        <w:tc>
          <w:tcPr>
            <w:tcW w:w="3940" w:type="pct"/>
          </w:tcPr>
          <w:p w:rsidRPr="00DA1174" w:rsidR="006665D7" w:rsidP="00FE4186" w:rsidRDefault="006665D7" w14:paraId="0BB10631" w14:textId="77777777">
            <w:pPr>
              <w:pStyle w:val="BodyText"/>
              <w:rPr>
                <w:rFonts w:asciiTheme="minorHAnsi" w:hAnsiTheme="minorHAnsi"/>
                <w:sz w:val="20"/>
              </w:rPr>
            </w:pPr>
          </w:p>
        </w:tc>
      </w:tr>
      <w:tr w:rsidRPr="00DA1174" w:rsidR="006665D7" w:rsidTr="00FE4186" w14:paraId="683F5606" w14:textId="77777777">
        <w:trPr>
          <w:trHeight w:val="269"/>
        </w:trPr>
        <w:tc>
          <w:tcPr>
            <w:tcW w:w="1060" w:type="pct"/>
          </w:tcPr>
          <w:p w:rsidRPr="00DA1174" w:rsidR="006665D7" w:rsidP="00FE4186" w:rsidRDefault="006665D7" w14:paraId="43C39218" w14:textId="77777777">
            <w:pPr>
              <w:pStyle w:val="BodyText"/>
              <w:rPr>
                <w:rFonts w:cs="Arial" w:asciiTheme="minorHAnsi" w:hAnsiTheme="minorHAnsi"/>
                <w:b/>
                <w:bCs/>
                <w:sz w:val="20"/>
              </w:rPr>
            </w:pPr>
            <w:r w:rsidRPr="00DA1174">
              <w:rPr>
                <w:rFonts w:cs="Arial" w:asciiTheme="minorHAnsi" w:hAnsiTheme="minorHAnsi"/>
                <w:b/>
                <w:bCs/>
                <w:sz w:val="20"/>
              </w:rPr>
              <w:t xml:space="preserve">Route   </w:t>
            </w:r>
          </w:p>
        </w:tc>
        <w:tc>
          <w:tcPr>
            <w:tcW w:w="3940" w:type="pct"/>
          </w:tcPr>
          <w:p w:rsidRPr="00DA1174" w:rsidR="006665D7" w:rsidP="00FE4186" w:rsidRDefault="006665D7" w14:paraId="40C88912" w14:textId="77777777">
            <w:pPr>
              <w:pStyle w:val="BodyText"/>
              <w:rPr>
                <w:rFonts w:cs="Arial" w:asciiTheme="minorHAnsi" w:hAnsiTheme="minorHAnsi"/>
                <w:sz w:val="20"/>
              </w:rPr>
            </w:pPr>
            <w:r w:rsidRPr="00DA1174">
              <w:rPr>
                <w:rFonts w:cs="Arial" w:asciiTheme="minorHAnsi" w:hAnsiTheme="minorHAnsi"/>
                <w:sz w:val="20"/>
              </w:rPr>
              <w:t>PO, IV</w:t>
            </w:r>
          </w:p>
        </w:tc>
      </w:tr>
      <w:tr w:rsidRPr="00DA1174" w:rsidR="006665D7" w:rsidTr="00FE4186" w14:paraId="5D73B7BC" w14:textId="77777777">
        <w:trPr>
          <w:trHeight w:val="482"/>
        </w:trPr>
        <w:tc>
          <w:tcPr>
            <w:tcW w:w="1060" w:type="pct"/>
          </w:tcPr>
          <w:p w:rsidRPr="00DA1174" w:rsidR="006665D7" w:rsidP="00FE4186" w:rsidRDefault="006665D7" w14:paraId="60D3FFE4" w14:textId="77777777">
            <w:pPr>
              <w:pStyle w:val="BodyText"/>
              <w:rPr>
                <w:rFonts w:cs="Arial" w:asciiTheme="minorHAnsi" w:hAnsiTheme="minorHAnsi"/>
                <w:b/>
                <w:bCs/>
                <w:sz w:val="20"/>
                <w:highlight w:val="cyan"/>
              </w:rPr>
            </w:pPr>
            <w:r w:rsidRPr="00DA1174">
              <w:rPr>
                <w:rFonts w:cs="Arial" w:asciiTheme="minorHAnsi" w:hAnsiTheme="minorHAnsi"/>
                <w:b/>
                <w:bCs/>
                <w:sz w:val="20"/>
              </w:rPr>
              <w:t xml:space="preserve">Preparation/Dilution </w:t>
            </w:r>
            <w:r w:rsidRPr="00DA1174">
              <w:rPr>
                <w:rFonts w:cs="Arial" w:asciiTheme="minorHAnsi" w:hAnsiTheme="minorHAnsi"/>
                <w:b/>
                <w:bCs/>
                <w:sz w:val="20"/>
                <w:highlight w:val="cyan"/>
              </w:rPr>
              <w:t xml:space="preserve">                </w:t>
            </w:r>
          </w:p>
          <w:p w:rsidRPr="00DA1174" w:rsidR="006665D7" w:rsidP="00FE4186" w:rsidRDefault="006665D7" w14:paraId="400CB441" w14:textId="77777777">
            <w:pPr>
              <w:pStyle w:val="BodyText"/>
              <w:rPr>
                <w:rFonts w:cs="Arial" w:asciiTheme="minorHAnsi" w:hAnsiTheme="minorHAnsi"/>
                <w:sz w:val="20"/>
                <w:highlight w:val="cyan"/>
              </w:rPr>
            </w:pPr>
            <w:r w:rsidRPr="00DA1174">
              <w:rPr>
                <w:rFonts w:cs="Arial" w:asciiTheme="minorHAnsi" w:hAnsiTheme="minorHAnsi"/>
                <w:b/>
                <w:bCs/>
                <w:sz w:val="20"/>
                <w:highlight w:val="cyan"/>
              </w:rPr>
              <w:t xml:space="preserve">           </w:t>
            </w:r>
          </w:p>
        </w:tc>
        <w:tc>
          <w:tcPr>
            <w:tcW w:w="3940" w:type="pct"/>
          </w:tcPr>
          <w:p w:rsidRPr="00DA1174" w:rsidR="006665D7" w:rsidP="00FE4186" w:rsidRDefault="006665D7" w14:paraId="426C0711" w14:textId="77777777">
            <w:pPr>
              <w:pStyle w:val="BodyText"/>
              <w:rPr>
                <w:rFonts w:cs="Arial" w:asciiTheme="minorHAnsi" w:hAnsiTheme="minorHAnsi"/>
                <w:b/>
                <w:sz w:val="20"/>
              </w:rPr>
            </w:pPr>
            <w:r w:rsidRPr="00DA1174">
              <w:rPr>
                <w:rFonts w:cs="Arial" w:asciiTheme="minorHAnsi" w:hAnsiTheme="minorHAnsi"/>
                <w:b/>
                <w:sz w:val="20"/>
              </w:rPr>
              <w:t>Oral</w:t>
            </w:r>
          </w:p>
          <w:p w:rsidRPr="00DA1174" w:rsidR="006665D7" w:rsidP="00FE4186" w:rsidRDefault="006665D7" w14:paraId="4557EEC4" w14:textId="77777777">
            <w:pPr>
              <w:pStyle w:val="BodyText"/>
              <w:rPr>
                <w:rFonts w:cs="Arial" w:asciiTheme="minorHAnsi" w:hAnsiTheme="minorHAnsi"/>
                <w:sz w:val="20"/>
              </w:rPr>
            </w:pPr>
            <w:r w:rsidRPr="00DA1174">
              <w:rPr>
                <w:rFonts w:cs="Arial" w:asciiTheme="minorHAnsi" w:hAnsiTheme="minorHAnsi"/>
                <w:sz w:val="20"/>
              </w:rPr>
              <w:t xml:space="preserve">Administer undiluted. </w:t>
            </w:r>
          </w:p>
          <w:p w:rsidRPr="00DA1174" w:rsidR="006665D7" w:rsidP="00FE4186" w:rsidRDefault="006665D7" w14:paraId="596FBC01" w14:textId="77777777">
            <w:pPr>
              <w:pStyle w:val="BodyText"/>
              <w:rPr>
                <w:rFonts w:cs="Arial" w:asciiTheme="minorHAnsi" w:hAnsiTheme="minorHAnsi"/>
                <w:sz w:val="20"/>
              </w:rPr>
            </w:pPr>
          </w:p>
          <w:p w:rsidRPr="00DA1174" w:rsidR="006665D7" w:rsidP="00FE4186" w:rsidRDefault="006665D7" w14:paraId="2E8C544C" w14:textId="77777777">
            <w:pPr>
              <w:pStyle w:val="BodyText"/>
              <w:rPr>
                <w:rFonts w:cs="Arial" w:asciiTheme="minorHAnsi" w:hAnsiTheme="minorHAnsi"/>
                <w:b/>
                <w:sz w:val="20"/>
              </w:rPr>
            </w:pPr>
            <w:r w:rsidRPr="00DA1174">
              <w:rPr>
                <w:rFonts w:cs="Arial" w:asciiTheme="minorHAnsi" w:hAnsiTheme="minorHAnsi"/>
                <w:b/>
                <w:sz w:val="20"/>
              </w:rPr>
              <w:t>IV bolus</w:t>
            </w:r>
          </w:p>
          <w:p w:rsidRPr="00DA1174" w:rsidR="006665D7" w:rsidP="00FE4186" w:rsidRDefault="006665D7" w14:paraId="588AAA98" w14:textId="77777777">
            <w:pPr>
              <w:pStyle w:val="BodyText"/>
              <w:rPr>
                <w:rFonts w:cs="Arial" w:asciiTheme="minorHAnsi" w:hAnsiTheme="minorHAnsi"/>
                <w:sz w:val="20"/>
              </w:rPr>
            </w:pPr>
            <w:r w:rsidRPr="00DA1174">
              <w:rPr>
                <w:rFonts w:cs="Arial" w:asciiTheme="minorHAnsi" w:hAnsiTheme="minorHAnsi"/>
                <w:sz w:val="20"/>
              </w:rPr>
              <w:t>CAUTION: There are two vial concentrations available.</w:t>
            </w:r>
          </w:p>
          <w:p w:rsidRPr="00DA1174" w:rsidR="006665D7" w:rsidP="00FE4186" w:rsidRDefault="006665D7" w14:paraId="5ABF71E4" w14:textId="77777777">
            <w:pPr>
              <w:pStyle w:val="BodyText"/>
              <w:rPr>
                <w:rFonts w:cs="Arial" w:asciiTheme="minorHAnsi" w:hAnsiTheme="minorHAnsi"/>
                <w:sz w:val="20"/>
              </w:rPr>
            </w:pPr>
            <w:r w:rsidRPr="00DA1174">
              <w:rPr>
                <w:rFonts w:cs="Arial" w:asciiTheme="minorHAnsi" w:hAnsiTheme="minorHAnsi"/>
                <w:sz w:val="20"/>
              </w:rPr>
              <w:t>If using the 50 mg/2 mL injection draw up 1 mL (25 mg of ranitidine</w:t>
            </w:r>
            <w:r>
              <w:rPr>
                <w:rFonts w:cs="Arial" w:asciiTheme="minorHAnsi" w:hAnsiTheme="minorHAnsi"/>
                <w:sz w:val="20"/>
              </w:rPr>
              <w:t>)</w:t>
            </w:r>
            <w:r w:rsidRPr="00DA1174">
              <w:rPr>
                <w:rFonts w:cs="Arial" w:asciiTheme="minorHAnsi" w:hAnsiTheme="minorHAnsi"/>
                <w:sz w:val="20"/>
              </w:rPr>
              <w:t xml:space="preserve"> and </w:t>
            </w:r>
            <w:r>
              <w:rPr>
                <w:rFonts w:cs="Arial" w:asciiTheme="minorHAnsi" w:hAnsiTheme="minorHAnsi"/>
                <w:sz w:val="20"/>
              </w:rPr>
              <w:t>add 9mL of</w:t>
            </w:r>
            <w:r w:rsidRPr="00DA1174">
              <w:rPr>
                <w:rFonts w:cs="Arial" w:asciiTheme="minorHAnsi" w:hAnsiTheme="minorHAnsi"/>
                <w:sz w:val="20"/>
              </w:rPr>
              <w:t xml:space="preserve"> sodium chloride 0.9%, glucose 5% or glucose 10% to make a</w:t>
            </w:r>
            <w:r>
              <w:rPr>
                <w:rFonts w:cs="Arial" w:asciiTheme="minorHAnsi" w:hAnsiTheme="minorHAnsi"/>
                <w:sz w:val="20"/>
              </w:rPr>
              <w:t xml:space="preserve"> final volume of 10mL with a concentration of</w:t>
            </w:r>
            <w:r w:rsidRPr="00DA1174">
              <w:rPr>
                <w:rFonts w:cs="Arial" w:asciiTheme="minorHAnsi" w:hAnsiTheme="minorHAnsi"/>
                <w:sz w:val="20"/>
              </w:rPr>
              <w:t xml:space="preserve"> 2.5 mg/mL solution.</w:t>
            </w:r>
          </w:p>
          <w:p w:rsidRPr="00DA1174" w:rsidR="006665D7" w:rsidP="00FE4186" w:rsidRDefault="006665D7" w14:paraId="7D812E83" w14:textId="77777777">
            <w:pPr>
              <w:pStyle w:val="BodyText"/>
              <w:rPr>
                <w:rFonts w:cs="Arial" w:asciiTheme="minorHAnsi" w:hAnsiTheme="minorHAnsi"/>
                <w:sz w:val="20"/>
              </w:rPr>
            </w:pPr>
          </w:p>
          <w:p w:rsidRPr="00DA1174" w:rsidR="006665D7" w:rsidP="00FE4186" w:rsidRDefault="006665D7" w14:paraId="5FE24D00" w14:textId="77777777">
            <w:pPr>
              <w:pStyle w:val="BodyText"/>
              <w:rPr>
                <w:rFonts w:cs="Arial" w:asciiTheme="minorHAnsi" w:hAnsiTheme="minorHAnsi"/>
                <w:sz w:val="20"/>
              </w:rPr>
            </w:pPr>
            <w:r w:rsidRPr="00DA1174">
              <w:rPr>
                <w:rFonts w:cs="Arial" w:asciiTheme="minorHAnsi" w:hAnsiTheme="minorHAnsi"/>
                <w:sz w:val="20"/>
              </w:rPr>
              <w:t>If using 50 mg/5 mL injection, draw up 2.5 mL (25 mg of ranitidine</w:t>
            </w:r>
            <w:r>
              <w:rPr>
                <w:rFonts w:cs="Arial" w:asciiTheme="minorHAnsi" w:hAnsiTheme="minorHAnsi"/>
                <w:sz w:val="20"/>
              </w:rPr>
              <w:t>)</w:t>
            </w:r>
            <w:r w:rsidRPr="00DA1174">
              <w:rPr>
                <w:rFonts w:cs="Arial" w:asciiTheme="minorHAnsi" w:hAnsiTheme="minorHAnsi"/>
                <w:sz w:val="20"/>
              </w:rPr>
              <w:t xml:space="preserve"> and </w:t>
            </w:r>
            <w:r>
              <w:rPr>
                <w:rFonts w:cs="Arial" w:asciiTheme="minorHAnsi" w:hAnsiTheme="minorHAnsi"/>
                <w:sz w:val="20"/>
              </w:rPr>
              <w:t xml:space="preserve">add 7.5mL of </w:t>
            </w:r>
            <w:r w:rsidRPr="00DA1174">
              <w:rPr>
                <w:rFonts w:cs="Arial" w:asciiTheme="minorHAnsi" w:hAnsiTheme="minorHAnsi"/>
                <w:sz w:val="20"/>
              </w:rPr>
              <w:t xml:space="preserve">sodium chloride 0.9%, glucose 5% or glucose 10% to make a </w:t>
            </w:r>
            <w:r>
              <w:rPr>
                <w:rFonts w:cs="Arial" w:asciiTheme="minorHAnsi" w:hAnsiTheme="minorHAnsi"/>
                <w:sz w:val="20"/>
              </w:rPr>
              <w:t xml:space="preserve">final volume of 10mL with a concentration of </w:t>
            </w:r>
            <w:r w:rsidRPr="00DA1174">
              <w:rPr>
                <w:rFonts w:cs="Arial" w:asciiTheme="minorHAnsi" w:hAnsiTheme="minorHAnsi"/>
                <w:sz w:val="20"/>
              </w:rPr>
              <w:t>2.5 mg/mL solution.</w:t>
            </w:r>
          </w:p>
          <w:p w:rsidRPr="00DA1174" w:rsidR="006665D7" w:rsidP="00FE4186" w:rsidRDefault="006665D7" w14:paraId="07B0EB1F" w14:textId="77777777">
            <w:pPr>
              <w:pStyle w:val="BodyText"/>
              <w:rPr>
                <w:rFonts w:cs="Arial" w:asciiTheme="minorHAnsi" w:hAnsiTheme="minorHAnsi"/>
                <w:sz w:val="20"/>
              </w:rPr>
            </w:pPr>
          </w:p>
          <w:p w:rsidRPr="00DA1174" w:rsidR="006665D7" w:rsidP="00FE4186" w:rsidRDefault="006665D7" w14:paraId="2938A9E1" w14:textId="77777777">
            <w:pPr>
              <w:pStyle w:val="BodyText"/>
              <w:rPr>
                <w:rFonts w:cs="Arial" w:asciiTheme="minorHAnsi" w:hAnsiTheme="minorHAnsi"/>
                <w:b/>
                <w:sz w:val="20"/>
              </w:rPr>
            </w:pPr>
            <w:r w:rsidRPr="00DA1174">
              <w:rPr>
                <w:rFonts w:cs="Arial" w:asciiTheme="minorHAnsi" w:hAnsiTheme="minorHAnsi"/>
                <w:b/>
                <w:sz w:val="20"/>
              </w:rPr>
              <w:t>Continuous infusion</w:t>
            </w:r>
          </w:p>
          <w:p w:rsidRPr="00DA1174" w:rsidR="006665D7" w:rsidP="00FE4186" w:rsidRDefault="006665D7" w14:paraId="7DD9D741" w14:textId="77777777">
            <w:pPr>
              <w:pStyle w:val="BodyText"/>
              <w:rPr>
                <w:rFonts w:cs="Arial" w:asciiTheme="minorHAnsi" w:hAnsiTheme="minorHAnsi"/>
                <w:sz w:val="20"/>
              </w:rPr>
            </w:pPr>
            <w:r w:rsidRPr="00DA1174">
              <w:rPr>
                <w:rFonts w:cs="Arial" w:asciiTheme="minorHAnsi" w:hAnsiTheme="minorHAnsi"/>
                <w:sz w:val="20"/>
              </w:rPr>
              <w:lastRenderedPageBreak/>
              <w:t>Use the 50 mg/2 mL injection (</w:t>
            </w:r>
            <w:r>
              <w:rPr>
                <w:rFonts w:cs="Arial" w:asciiTheme="minorHAnsi" w:hAnsiTheme="minorHAnsi"/>
                <w:sz w:val="20"/>
              </w:rPr>
              <w:t>Z</w:t>
            </w:r>
            <w:r w:rsidRPr="00DA1174">
              <w:rPr>
                <w:rFonts w:cs="Arial" w:asciiTheme="minorHAnsi" w:hAnsiTheme="minorHAnsi"/>
                <w:sz w:val="20"/>
              </w:rPr>
              <w:t>antac) for IV infusion: Draw up 0.2 mL/kg (5 mg/kg of ranitidine</w:t>
            </w:r>
            <w:r>
              <w:rPr>
                <w:rFonts w:cs="Arial" w:asciiTheme="minorHAnsi" w:hAnsiTheme="minorHAnsi"/>
                <w:sz w:val="20"/>
              </w:rPr>
              <w:t>)</w:t>
            </w:r>
            <w:r w:rsidRPr="00DA1174">
              <w:rPr>
                <w:rFonts w:cs="Arial" w:asciiTheme="minorHAnsi" w:hAnsiTheme="minorHAnsi"/>
                <w:sz w:val="20"/>
              </w:rPr>
              <w:t xml:space="preserve"> and make up to 50</w:t>
            </w:r>
            <w:r>
              <w:rPr>
                <w:rFonts w:cs="Arial" w:asciiTheme="minorHAnsi" w:hAnsiTheme="minorHAnsi"/>
                <w:sz w:val="20"/>
              </w:rPr>
              <w:t xml:space="preserve"> </w:t>
            </w:r>
            <w:r w:rsidRPr="00DA1174">
              <w:rPr>
                <w:rFonts w:cs="Arial" w:asciiTheme="minorHAnsi" w:hAnsiTheme="minorHAnsi"/>
                <w:sz w:val="20"/>
              </w:rPr>
              <w:t>mL with sodium chloride 0.9%, glucose 5% or glucose 10%. Infus</w:t>
            </w:r>
            <w:r>
              <w:rPr>
                <w:rFonts w:cs="Arial" w:asciiTheme="minorHAnsi" w:hAnsiTheme="minorHAnsi"/>
                <w:sz w:val="20"/>
              </w:rPr>
              <w:t>e</w:t>
            </w:r>
            <w:r w:rsidRPr="00DA1174">
              <w:rPr>
                <w:rFonts w:cs="Arial" w:asciiTheme="minorHAnsi" w:hAnsiTheme="minorHAnsi"/>
                <w:sz w:val="20"/>
              </w:rPr>
              <w:t xml:space="preserve"> at a rate of 1 </w:t>
            </w:r>
            <w:r>
              <w:rPr>
                <w:rFonts w:cs="Arial" w:asciiTheme="minorHAnsi" w:hAnsiTheme="minorHAnsi"/>
                <w:sz w:val="20"/>
              </w:rPr>
              <w:t>mL</w:t>
            </w:r>
            <w:r w:rsidRPr="00DA1174">
              <w:rPr>
                <w:rFonts w:cs="Arial" w:asciiTheme="minorHAnsi" w:hAnsiTheme="minorHAnsi"/>
                <w:sz w:val="20"/>
              </w:rPr>
              <w:t>/hour = 100 microg/kg/hour</w:t>
            </w:r>
          </w:p>
          <w:p w:rsidRPr="00DA1174" w:rsidR="006665D7" w:rsidP="00FE4186" w:rsidRDefault="006665D7" w14:paraId="2923D37F" w14:textId="77777777">
            <w:pPr>
              <w:pStyle w:val="BodyText"/>
              <w:rPr>
                <w:rFonts w:cs="Arial" w:asciiTheme="minorHAnsi" w:hAnsiTheme="minorHAnsi"/>
                <w:sz w:val="20"/>
              </w:rPr>
            </w:pPr>
          </w:p>
          <w:p w:rsidRPr="00DA1174" w:rsidR="006665D7" w:rsidP="00FE4186" w:rsidRDefault="006665D7" w14:paraId="5E7584C7" w14:textId="77777777">
            <w:pPr>
              <w:pStyle w:val="BodyText"/>
              <w:rPr>
                <w:rFonts w:cs="Arial" w:asciiTheme="minorHAnsi" w:hAnsiTheme="minorHAnsi"/>
                <w:sz w:val="20"/>
              </w:rPr>
            </w:pPr>
            <w:r w:rsidRPr="00DA1174">
              <w:rPr>
                <w:rFonts w:cs="Arial" w:asciiTheme="minorHAnsi" w:hAnsiTheme="minorHAnsi"/>
                <w:sz w:val="20"/>
              </w:rPr>
              <w:t xml:space="preserve">Ranitidine Sandoz 50 mg/5 </w:t>
            </w:r>
            <w:r>
              <w:rPr>
                <w:rFonts w:cs="Arial" w:asciiTheme="minorHAnsi" w:hAnsiTheme="minorHAnsi"/>
                <w:sz w:val="20"/>
              </w:rPr>
              <w:t>mL</w:t>
            </w:r>
            <w:r w:rsidRPr="00DA1174">
              <w:rPr>
                <w:rFonts w:cs="Arial" w:asciiTheme="minorHAnsi" w:hAnsiTheme="minorHAnsi"/>
                <w:sz w:val="20"/>
              </w:rPr>
              <w:t xml:space="preserve"> injection has no stability data at room temperature and therefore not recommended for IV infusion.</w:t>
            </w:r>
          </w:p>
        </w:tc>
      </w:tr>
      <w:tr w:rsidRPr="00DA1174" w:rsidR="006665D7" w:rsidTr="00FE4186" w14:paraId="21769C23" w14:textId="77777777">
        <w:trPr>
          <w:trHeight w:val="390"/>
        </w:trPr>
        <w:tc>
          <w:tcPr>
            <w:tcW w:w="1060" w:type="pct"/>
          </w:tcPr>
          <w:p w:rsidRPr="00DA1174" w:rsidR="006665D7" w:rsidP="00FE4186" w:rsidRDefault="006665D7" w14:paraId="3B5C8149" w14:textId="77777777">
            <w:pPr>
              <w:pStyle w:val="BodyText"/>
              <w:rPr>
                <w:rFonts w:cs="Arial" w:asciiTheme="minorHAnsi" w:hAnsiTheme="minorHAnsi"/>
                <w:b/>
                <w:bCs/>
                <w:sz w:val="20"/>
              </w:rPr>
            </w:pPr>
            <w:r w:rsidRPr="00DA1174">
              <w:rPr>
                <w:rFonts w:cs="Arial" w:asciiTheme="minorHAnsi" w:hAnsiTheme="minorHAnsi"/>
                <w:b/>
                <w:bCs/>
                <w:sz w:val="20"/>
              </w:rPr>
              <w:lastRenderedPageBreak/>
              <w:t>Administration</w:t>
            </w:r>
          </w:p>
        </w:tc>
        <w:tc>
          <w:tcPr>
            <w:tcW w:w="3940" w:type="pct"/>
          </w:tcPr>
          <w:p w:rsidRPr="00DA1174" w:rsidR="006665D7" w:rsidP="00FE4186" w:rsidRDefault="006665D7" w14:paraId="66D8AD20" w14:textId="77777777">
            <w:pPr>
              <w:pStyle w:val="BodyText"/>
              <w:rPr>
                <w:rFonts w:cs="Arial" w:asciiTheme="minorHAnsi" w:hAnsiTheme="minorHAnsi"/>
                <w:sz w:val="20"/>
              </w:rPr>
            </w:pPr>
            <w:r w:rsidRPr="00DA1174">
              <w:rPr>
                <w:rFonts w:cs="Arial" w:asciiTheme="minorHAnsi" w:hAnsiTheme="minorHAnsi"/>
                <w:sz w:val="20"/>
              </w:rPr>
              <w:t>IV bolus: Administer dose over at least 5 minutes.</w:t>
            </w:r>
          </w:p>
        </w:tc>
      </w:tr>
      <w:tr w:rsidRPr="00DA1174" w:rsidR="006665D7" w:rsidTr="00FE4186" w14:paraId="7A6BBC37" w14:textId="77777777">
        <w:trPr>
          <w:trHeight w:val="221"/>
        </w:trPr>
        <w:tc>
          <w:tcPr>
            <w:tcW w:w="1060" w:type="pct"/>
          </w:tcPr>
          <w:p w:rsidRPr="00DA1174" w:rsidR="006665D7" w:rsidP="00FE4186" w:rsidRDefault="006665D7" w14:paraId="5E50B9B0" w14:textId="77777777">
            <w:pPr>
              <w:pStyle w:val="BodyText"/>
              <w:rPr>
                <w:rFonts w:cs="Arial" w:asciiTheme="minorHAnsi" w:hAnsiTheme="minorHAnsi"/>
                <w:b/>
                <w:bCs/>
                <w:sz w:val="20"/>
              </w:rPr>
            </w:pPr>
            <w:r w:rsidRPr="00DA1174">
              <w:rPr>
                <w:rFonts w:cs="Arial" w:asciiTheme="minorHAnsi" w:hAnsiTheme="minorHAnsi"/>
                <w:b/>
                <w:bCs/>
                <w:sz w:val="20"/>
              </w:rPr>
              <w:t xml:space="preserve">Monitoring                       </w:t>
            </w:r>
          </w:p>
        </w:tc>
        <w:tc>
          <w:tcPr>
            <w:tcW w:w="3940" w:type="pct"/>
          </w:tcPr>
          <w:p w:rsidRPr="00DA1174" w:rsidR="006665D7" w:rsidP="00FE4186" w:rsidRDefault="006665D7" w14:paraId="59F08002" w14:textId="77777777">
            <w:pPr>
              <w:pStyle w:val="BodyText"/>
              <w:rPr>
                <w:rFonts w:cs="Arial" w:asciiTheme="minorHAnsi" w:hAnsiTheme="minorHAnsi"/>
                <w:sz w:val="20"/>
              </w:rPr>
            </w:pPr>
            <w:r w:rsidRPr="00DA1174">
              <w:rPr>
                <w:rFonts w:cs="Arial" w:asciiTheme="minorHAnsi" w:hAnsiTheme="minorHAnsi"/>
                <w:sz w:val="20"/>
              </w:rPr>
              <w:t>Nil</w:t>
            </w:r>
          </w:p>
        </w:tc>
      </w:tr>
      <w:tr w:rsidRPr="00DA1174" w:rsidR="006665D7" w:rsidTr="00FE4186" w14:paraId="23152EE8" w14:textId="77777777">
        <w:trPr>
          <w:trHeight w:val="253"/>
        </w:trPr>
        <w:tc>
          <w:tcPr>
            <w:tcW w:w="1060" w:type="pct"/>
          </w:tcPr>
          <w:p w:rsidRPr="00DA1174" w:rsidR="006665D7" w:rsidP="00FE4186" w:rsidRDefault="006665D7" w14:paraId="122094FA" w14:textId="77777777">
            <w:pPr>
              <w:pStyle w:val="BodyText"/>
              <w:rPr>
                <w:rFonts w:cs="Arial" w:asciiTheme="minorHAnsi" w:hAnsiTheme="minorHAnsi"/>
                <w:b/>
                <w:bCs/>
                <w:sz w:val="20"/>
              </w:rPr>
            </w:pPr>
            <w:r w:rsidRPr="00DA1174">
              <w:rPr>
                <w:rFonts w:cs="Arial" w:asciiTheme="minorHAnsi" w:hAnsiTheme="minorHAnsi"/>
                <w:b/>
                <w:bCs/>
                <w:sz w:val="20"/>
              </w:rPr>
              <w:t xml:space="preserve">Contraindications         </w:t>
            </w:r>
          </w:p>
        </w:tc>
        <w:tc>
          <w:tcPr>
            <w:tcW w:w="3940" w:type="pct"/>
          </w:tcPr>
          <w:p w:rsidRPr="00DA1174" w:rsidR="006665D7" w:rsidP="00FE4186" w:rsidRDefault="006665D7" w14:paraId="06FFEC34" w14:textId="77777777">
            <w:pPr>
              <w:rPr>
                <w:rFonts w:cs="Arial" w:asciiTheme="minorHAnsi" w:hAnsiTheme="minorHAnsi"/>
                <w:sz w:val="20"/>
              </w:rPr>
            </w:pPr>
            <w:r w:rsidRPr="00DA1174">
              <w:rPr>
                <w:rFonts w:cs="Arial" w:asciiTheme="minorHAnsi" w:hAnsiTheme="minorHAnsi"/>
                <w:sz w:val="20"/>
              </w:rPr>
              <w:t>Patients with known hypersensitivity to any component of the preparation.</w:t>
            </w:r>
          </w:p>
        </w:tc>
      </w:tr>
      <w:tr w:rsidRPr="00DA1174" w:rsidR="006665D7" w:rsidTr="00FE4186" w14:paraId="260EE06A" w14:textId="77777777">
        <w:tc>
          <w:tcPr>
            <w:tcW w:w="1060" w:type="pct"/>
          </w:tcPr>
          <w:p w:rsidRPr="00DA1174" w:rsidR="006665D7" w:rsidP="00FE4186" w:rsidRDefault="006665D7" w14:paraId="7EB52D9B" w14:textId="77777777">
            <w:pPr>
              <w:pStyle w:val="BodyText"/>
              <w:rPr>
                <w:rFonts w:cs="Arial" w:asciiTheme="minorHAnsi" w:hAnsiTheme="minorHAnsi"/>
                <w:b/>
                <w:bCs/>
                <w:sz w:val="20"/>
              </w:rPr>
            </w:pPr>
            <w:r w:rsidRPr="00DA1174">
              <w:rPr>
                <w:rFonts w:asciiTheme="minorHAnsi" w:hAnsiTheme="minorHAnsi"/>
                <w:sz w:val="20"/>
              </w:rPr>
              <w:br w:type="page"/>
            </w:r>
            <w:r w:rsidRPr="00DA1174">
              <w:rPr>
                <w:rFonts w:cs="Arial" w:asciiTheme="minorHAnsi" w:hAnsiTheme="minorHAnsi"/>
                <w:b/>
                <w:bCs/>
                <w:sz w:val="20"/>
              </w:rPr>
              <w:t>Precautions</w:t>
            </w:r>
          </w:p>
        </w:tc>
        <w:tc>
          <w:tcPr>
            <w:tcW w:w="3940" w:type="pct"/>
          </w:tcPr>
          <w:p w:rsidRPr="00DA1174" w:rsidR="006665D7" w:rsidP="00FE4186" w:rsidRDefault="006665D7" w14:paraId="07A37D69" w14:textId="77777777">
            <w:pPr>
              <w:pStyle w:val="BodyText"/>
              <w:rPr>
                <w:rFonts w:cs="Arial" w:asciiTheme="minorHAnsi" w:hAnsiTheme="minorHAnsi"/>
                <w:sz w:val="20"/>
              </w:rPr>
            </w:pPr>
            <w:r w:rsidRPr="00DA1174">
              <w:rPr>
                <w:rFonts w:cs="Arial" w:asciiTheme="minorHAnsi" w:hAnsiTheme="minorHAnsi"/>
                <w:sz w:val="20"/>
              </w:rPr>
              <w:t>Caution should be observed in patients with hepatic dysfunction since ranitidine is metabolised by the liver.</w:t>
            </w:r>
            <w:r w:rsidRPr="00DA1174">
              <w:t xml:space="preserve"> </w:t>
            </w:r>
            <w:r w:rsidRPr="00DA1174">
              <w:rPr>
                <w:rFonts w:cs="Arial" w:asciiTheme="minorHAnsi" w:hAnsiTheme="minorHAnsi"/>
                <w:sz w:val="20"/>
              </w:rPr>
              <w:t xml:space="preserve">Ranitidine is excreted via the kidneys. In the presence of severe renal impairment, plasma </w:t>
            </w:r>
            <w:r>
              <w:rPr>
                <w:rFonts w:cs="Arial" w:asciiTheme="minorHAnsi" w:hAnsiTheme="minorHAnsi"/>
                <w:sz w:val="20"/>
              </w:rPr>
              <w:t>concentrations</w:t>
            </w:r>
            <w:r w:rsidRPr="00DA1174">
              <w:rPr>
                <w:rFonts w:cs="Arial" w:asciiTheme="minorHAnsi" w:hAnsiTheme="minorHAnsi"/>
                <w:sz w:val="20"/>
              </w:rPr>
              <w:t xml:space="preserve"> of ranitidine are increased and </w:t>
            </w:r>
            <w:r>
              <w:rPr>
                <w:rFonts w:cs="Arial" w:asciiTheme="minorHAnsi" w:hAnsiTheme="minorHAnsi"/>
                <w:sz w:val="20"/>
              </w:rPr>
              <w:t xml:space="preserve">elimination </w:t>
            </w:r>
            <w:r w:rsidRPr="00DA1174">
              <w:rPr>
                <w:rFonts w:cs="Arial" w:asciiTheme="minorHAnsi" w:hAnsiTheme="minorHAnsi"/>
                <w:sz w:val="20"/>
              </w:rPr>
              <w:t>prolonged. Bradycardia</w:t>
            </w:r>
            <w:r>
              <w:rPr>
                <w:rFonts w:cs="Arial" w:asciiTheme="minorHAnsi" w:hAnsiTheme="minorHAnsi"/>
                <w:sz w:val="20"/>
              </w:rPr>
              <w:t xml:space="preserve"> —</w:t>
            </w:r>
            <w:r w:rsidRPr="00DA1174">
              <w:rPr>
                <w:rFonts w:cs="Arial" w:asciiTheme="minorHAnsi" w:hAnsiTheme="minorHAnsi"/>
                <w:sz w:val="20"/>
              </w:rPr>
              <w:t xml:space="preserve"> ensure recommended rates of administration as not exceeded.</w:t>
            </w:r>
          </w:p>
        </w:tc>
      </w:tr>
      <w:tr w:rsidRPr="00DA1174" w:rsidR="006665D7" w:rsidTr="00FE4186" w14:paraId="03C143CC" w14:textId="77777777">
        <w:trPr>
          <w:trHeight w:val="565"/>
        </w:trPr>
        <w:tc>
          <w:tcPr>
            <w:tcW w:w="1060" w:type="pct"/>
          </w:tcPr>
          <w:p w:rsidRPr="00DA1174" w:rsidR="006665D7" w:rsidP="00FE4186" w:rsidRDefault="006665D7" w14:paraId="23C40FFC" w14:textId="77777777">
            <w:pPr>
              <w:pStyle w:val="BodyText"/>
              <w:rPr>
                <w:rFonts w:cs="Arial" w:asciiTheme="minorHAnsi" w:hAnsiTheme="minorHAnsi"/>
                <w:b/>
                <w:bCs/>
                <w:sz w:val="20"/>
              </w:rPr>
            </w:pPr>
            <w:r w:rsidRPr="00DA1174">
              <w:rPr>
                <w:rFonts w:cs="Arial" w:asciiTheme="minorHAnsi" w:hAnsiTheme="minorHAnsi"/>
                <w:b/>
                <w:bCs/>
                <w:sz w:val="20"/>
              </w:rPr>
              <w:t>Drug Interactions</w:t>
            </w:r>
          </w:p>
        </w:tc>
        <w:tc>
          <w:tcPr>
            <w:tcW w:w="3940" w:type="pct"/>
          </w:tcPr>
          <w:p w:rsidRPr="00DA1174" w:rsidR="006665D7" w:rsidP="00FE4186" w:rsidRDefault="006665D7" w14:paraId="33A60958" w14:textId="77777777">
            <w:pPr>
              <w:pStyle w:val="BodyText"/>
              <w:rPr>
                <w:rFonts w:cs="Arial" w:asciiTheme="minorHAnsi" w:hAnsiTheme="minorHAnsi"/>
                <w:sz w:val="20"/>
              </w:rPr>
            </w:pPr>
            <w:r w:rsidRPr="00DA1174">
              <w:rPr>
                <w:rFonts w:cs="Arial" w:asciiTheme="minorHAnsi" w:hAnsiTheme="minorHAnsi"/>
                <w:sz w:val="20"/>
              </w:rPr>
              <w:t>Amiodarone</w:t>
            </w:r>
            <w:r>
              <w:rPr>
                <w:rFonts w:cs="Arial" w:asciiTheme="minorHAnsi" w:hAnsiTheme="minorHAnsi"/>
                <w:sz w:val="20"/>
              </w:rPr>
              <w:t xml:space="preserve"> —</w:t>
            </w:r>
            <w:r w:rsidRPr="00DA1174">
              <w:rPr>
                <w:rFonts w:cs="Arial" w:asciiTheme="minorHAnsi" w:hAnsiTheme="minorHAnsi"/>
                <w:sz w:val="20"/>
              </w:rPr>
              <w:t xml:space="preserve"> concurrent use of amiodarone and ranitidine may result in increased amiodarone exposure.</w:t>
            </w:r>
          </w:p>
        </w:tc>
      </w:tr>
      <w:tr w:rsidRPr="00DA1174" w:rsidR="006665D7" w:rsidTr="00FE4186" w14:paraId="52DF4373" w14:textId="77777777">
        <w:trPr>
          <w:trHeight w:val="416"/>
        </w:trPr>
        <w:tc>
          <w:tcPr>
            <w:tcW w:w="1060" w:type="pct"/>
          </w:tcPr>
          <w:p w:rsidRPr="00DA1174" w:rsidR="006665D7" w:rsidP="00FE4186" w:rsidRDefault="006665D7" w14:paraId="28529FE2" w14:textId="77777777">
            <w:pPr>
              <w:pStyle w:val="BodyText"/>
              <w:rPr>
                <w:rFonts w:cs="Arial" w:asciiTheme="minorHAnsi" w:hAnsiTheme="minorHAnsi"/>
                <w:b/>
                <w:bCs/>
                <w:sz w:val="20"/>
              </w:rPr>
            </w:pPr>
            <w:r w:rsidRPr="00DA1174">
              <w:rPr>
                <w:rFonts w:cs="Arial" w:asciiTheme="minorHAnsi" w:hAnsiTheme="minorHAnsi"/>
                <w:b/>
                <w:bCs/>
                <w:sz w:val="20"/>
              </w:rPr>
              <w:t xml:space="preserve">Adverse Reactions         </w:t>
            </w:r>
          </w:p>
          <w:p w:rsidRPr="00DA1174" w:rsidR="006665D7" w:rsidP="00FE4186" w:rsidRDefault="006665D7" w14:paraId="04CC727A" w14:textId="77777777">
            <w:pPr>
              <w:pStyle w:val="BodyText"/>
              <w:rPr>
                <w:rFonts w:cs="Arial" w:asciiTheme="minorHAnsi" w:hAnsiTheme="minorHAnsi"/>
                <w:b/>
                <w:bCs/>
                <w:sz w:val="20"/>
              </w:rPr>
            </w:pPr>
          </w:p>
        </w:tc>
        <w:tc>
          <w:tcPr>
            <w:tcW w:w="3940" w:type="pct"/>
          </w:tcPr>
          <w:p w:rsidRPr="00DA1174" w:rsidR="006665D7" w:rsidP="00FE4186" w:rsidRDefault="006665D7" w14:paraId="32506FD6" w14:textId="77777777">
            <w:pPr>
              <w:pStyle w:val="BodyText"/>
              <w:rPr>
                <w:rFonts w:cs="Arial" w:asciiTheme="minorHAnsi" w:hAnsiTheme="minorHAnsi"/>
                <w:sz w:val="20"/>
              </w:rPr>
            </w:pPr>
            <w:r w:rsidRPr="00DA1174">
              <w:rPr>
                <w:rFonts w:cs="Arial" w:asciiTheme="minorHAnsi" w:hAnsiTheme="minorHAnsi"/>
                <w:sz w:val="20"/>
              </w:rPr>
              <w:t>Exposure to H</w:t>
            </w:r>
            <w:r w:rsidRPr="00147DC1">
              <w:rPr>
                <w:rFonts w:cs="Arial" w:asciiTheme="minorHAnsi" w:hAnsiTheme="minorHAnsi"/>
                <w:sz w:val="20"/>
                <w:vertAlign w:val="subscript"/>
              </w:rPr>
              <w:t>2</w:t>
            </w:r>
            <w:r w:rsidRPr="00DA1174">
              <w:rPr>
                <w:rFonts w:cs="Arial" w:asciiTheme="minorHAnsi" w:hAnsiTheme="minorHAnsi"/>
                <w:sz w:val="20"/>
              </w:rPr>
              <w:t xml:space="preserve"> receptor antagonists may be associated with increased risk of NEC in preterm infants.</w:t>
            </w:r>
            <w:r w:rsidRPr="00DA1174">
              <w:rPr>
                <w:rFonts w:cs="Arial" w:asciiTheme="minorHAnsi" w:hAnsiTheme="minorHAnsi"/>
                <w:sz w:val="20"/>
                <w:vertAlign w:val="superscript"/>
              </w:rPr>
              <w:t>8,10</w:t>
            </w:r>
            <w:r w:rsidRPr="00DA1174">
              <w:rPr>
                <w:rFonts w:cs="Arial" w:asciiTheme="minorHAnsi" w:hAnsiTheme="minorHAnsi"/>
                <w:sz w:val="20"/>
              </w:rPr>
              <w:t>,</w:t>
            </w:r>
            <w:r w:rsidRPr="00DA1174">
              <w:rPr>
                <w:rFonts w:cs="Arial" w:asciiTheme="minorHAnsi" w:hAnsiTheme="minorHAnsi"/>
                <w:sz w:val="20"/>
                <w:vertAlign w:val="superscript"/>
              </w:rPr>
              <w:t>18</w:t>
            </w:r>
            <w:r w:rsidRPr="00DA1174">
              <w:t xml:space="preserve"> </w:t>
            </w:r>
            <w:r w:rsidRPr="00DA1174">
              <w:rPr>
                <w:rFonts w:cs="Arial" w:asciiTheme="minorHAnsi" w:hAnsiTheme="minorHAnsi"/>
                <w:sz w:val="20"/>
              </w:rPr>
              <w:t xml:space="preserve">The use of ranitidine in infants admitted to the NICU </w:t>
            </w:r>
            <w:r>
              <w:rPr>
                <w:rFonts w:cs="Arial" w:asciiTheme="minorHAnsi" w:hAnsiTheme="minorHAnsi"/>
                <w:sz w:val="20"/>
              </w:rPr>
              <w:t>increases</w:t>
            </w:r>
            <w:r w:rsidRPr="00DA1174">
              <w:rPr>
                <w:rFonts w:cs="Arial" w:asciiTheme="minorHAnsi" w:hAnsiTheme="minorHAnsi"/>
                <w:sz w:val="20"/>
              </w:rPr>
              <w:t xml:space="preserve"> the risk of late-onset sepsis.</w:t>
            </w:r>
            <w:r w:rsidRPr="00DA1174">
              <w:rPr>
                <w:rFonts w:cs="Arial" w:asciiTheme="minorHAnsi" w:hAnsiTheme="minorHAnsi"/>
                <w:sz w:val="20"/>
                <w:vertAlign w:val="superscript"/>
              </w:rPr>
              <w:t>9,13,19</w:t>
            </w:r>
            <w:r w:rsidRPr="00DA1174">
              <w:t xml:space="preserve"> </w:t>
            </w:r>
            <w:r w:rsidRPr="00DA1174">
              <w:rPr>
                <w:rFonts w:cs="Arial" w:asciiTheme="minorHAnsi" w:hAnsiTheme="minorHAnsi"/>
                <w:sz w:val="20"/>
              </w:rPr>
              <w:t>Use of H</w:t>
            </w:r>
            <w:r w:rsidRPr="00147DC1">
              <w:rPr>
                <w:rFonts w:cs="Arial" w:asciiTheme="minorHAnsi" w:hAnsiTheme="minorHAnsi"/>
                <w:sz w:val="20"/>
                <w:vertAlign w:val="subscript"/>
              </w:rPr>
              <w:t>2</w:t>
            </w:r>
            <w:r w:rsidRPr="00DA1174">
              <w:rPr>
                <w:rFonts w:cs="Arial" w:asciiTheme="minorHAnsi" w:hAnsiTheme="minorHAnsi"/>
                <w:sz w:val="20"/>
              </w:rPr>
              <w:t xml:space="preserve"> blockers was an independent risk factor for </w:t>
            </w:r>
            <w:r w:rsidRPr="00147DC1">
              <w:rPr>
                <w:rFonts w:cs="Arial" w:asciiTheme="minorHAnsi" w:hAnsiTheme="minorHAnsi"/>
                <w:i/>
                <w:sz w:val="20"/>
              </w:rPr>
              <w:t>Candida parapsilosis</w:t>
            </w:r>
            <w:r w:rsidRPr="00DA1174">
              <w:rPr>
                <w:rFonts w:cs="Arial" w:asciiTheme="minorHAnsi" w:hAnsiTheme="minorHAnsi"/>
                <w:sz w:val="20"/>
              </w:rPr>
              <w:t>.</w:t>
            </w:r>
            <w:r w:rsidRPr="00DA1174">
              <w:rPr>
                <w:rFonts w:cs="Arial" w:asciiTheme="minorHAnsi" w:hAnsiTheme="minorHAnsi"/>
                <w:sz w:val="20"/>
                <w:vertAlign w:val="superscript"/>
              </w:rPr>
              <w:t>14</w:t>
            </w:r>
            <w:r w:rsidRPr="00DA1174">
              <w:rPr>
                <w:rFonts w:cs="Arial" w:asciiTheme="minorHAnsi" w:hAnsiTheme="minorHAnsi"/>
                <w:sz w:val="20"/>
              </w:rPr>
              <w:t xml:space="preserve"> </w:t>
            </w:r>
            <w:r>
              <w:rPr>
                <w:rFonts w:cs="Arial" w:asciiTheme="minorHAnsi" w:hAnsiTheme="minorHAnsi"/>
                <w:sz w:val="20"/>
              </w:rPr>
              <w:t>E</w:t>
            </w:r>
            <w:r w:rsidRPr="00DA1174">
              <w:rPr>
                <w:rFonts w:cs="Arial" w:asciiTheme="minorHAnsi" w:hAnsiTheme="minorHAnsi"/>
                <w:sz w:val="20"/>
              </w:rPr>
              <w:t xml:space="preserve">xposure to gastric acid-suppression therapy is associated with health care- and community-associated </w:t>
            </w:r>
            <w:r w:rsidRPr="00147DC1">
              <w:rPr>
                <w:rFonts w:cs="Arial" w:asciiTheme="minorHAnsi" w:hAnsiTheme="minorHAnsi"/>
                <w:i/>
                <w:sz w:val="20"/>
              </w:rPr>
              <w:t>Clostridium difficile</w:t>
            </w:r>
            <w:r w:rsidRPr="00DA1174">
              <w:rPr>
                <w:rFonts w:cs="Arial" w:asciiTheme="minorHAnsi" w:hAnsiTheme="minorHAnsi"/>
                <w:sz w:val="20"/>
              </w:rPr>
              <w:t xml:space="preserve"> infection in children.</w:t>
            </w:r>
            <w:r w:rsidRPr="00DA1174">
              <w:rPr>
                <w:rFonts w:cs="Arial" w:asciiTheme="minorHAnsi" w:hAnsiTheme="minorHAnsi"/>
                <w:sz w:val="20"/>
                <w:vertAlign w:val="superscript"/>
              </w:rPr>
              <w:t>5,6</w:t>
            </w:r>
            <w:r w:rsidRPr="00DA1174">
              <w:rPr>
                <w:rFonts w:cs="Arial" w:asciiTheme="minorHAnsi" w:hAnsiTheme="minorHAnsi"/>
                <w:sz w:val="20"/>
              </w:rPr>
              <w:t xml:space="preserve"> Transient and reversible changes in liver function tests</w:t>
            </w:r>
            <w:r>
              <w:rPr>
                <w:rFonts w:cs="Arial" w:asciiTheme="minorHAnsi" w:hAnsiTheme="minorHAnsi"/>
                <w:sz w:val="20"/>
              </w:rPr>
              <w:t xml:space="preserve"> may occur</w:t>
            </w:r>
            <w:r w:rsidRPr="00DA1174">
              <w:rPr>
                <w:rFonts w:cs="Arial" w:asciiTheme="minorHAnsi" w:hAnsiTheme="minorHAnsi"/>
                <w:sz w:val="20"/>
              </w:rPr>
              <w:t>. In some infants, H</w:t>
            </w:r>
            <w:r w:rsidRPr="00147DC1">
              <w:rPr>
                <w:rFonts w:cs="Arial" w:asciiTheme="minorHAnsi" w:hAnsiTheme="minorHAnsi"/>
                <w:sz w:val="20"/>
                <w:vertAlign w:val="subscript"/>
              </w:rPr>
              <w:t>2</w:t>
            </w:r>
            <w:r w:rsidRPr="00DA1174">
              <w:rPr>
                <w:rFonts w:cs="Arial" w:asciiTheme="minorHAnsi" w:hAnsiTheme="minorHAnsi"/>
                <w:sz w:val="20"/>
              </w:rPr>
              <w:t>RA therapy causes irritability, head banging, headache, somnolence and other side effects which, if interpreted as persistent symptoms of GERD, could result in an inappropriate increase in dosage.</w:t>
            </w:r>
            <w:r w:rsidRPr="00DA1174">
              <w:t xml:space="preserve"> </w:t>
            </w:r>
            <w:r w:rsidRPr="00DA1174">
              <w:rPr>
                <w:rFonts w:cs="Arial" w:asciiTheme="minorHAnsi" w:hAnsiTheme="minorHAnsi"/>
                <w:sz w:val="20"/>
              </w:rPr>
              <w:t>Therapy with gastric acidity inhibitors increases the risk of acute gastroenteritis and community-acquired pneumonia in children.</w:t>
            </w:r>
            <w:r w:rsidRPr="00DA1174">
              <w:rPr>
                <w:rFonts w:cs="Arial" w:asciiTheme="minorHAnsi" w:hAnsiTheme="minorHAnsi"/>
                <w:sz w:val="20"/>
                <w:vertAlign w:val="superscript"/>
              </w:rPr>
              <w:t>13</w:t>
            </w:r>
            <w:r w:rsidRPr="00DA1174">
              <w:rPr>
                <w:rFonts w:cs="Arial" w:asciiTheme="minorHAnsi" w:hAnsiTheme="minorHAnsi"/>
                <w:sz w:val="20"/>
              </w:rPr>
              <w:t xml:space="preserve">   </w:t>
            </w:r>
          </w:p>
        </w:tc>
      </w:tr>
      <w:tr w:rsidRPr="00DA1174" w:rsidR="006665D7" w:rsidTr="00FE4186" w14:paraId="2626FED7" w14:textId="77777777">
        <w:trPr>
          <w:trHeight w:val="396"/>
        </w:trPr>
        <w:tc>
          <w:tcPr>
            <w:tcW w:w="1060" w:type="pct"/>
          </w:tcPr>
          <w:p w:rsidRPr="00DA1174" w:rsidR="006665D7" w:rsidP="00FE4186" w:rsidRDefault="006665D7" w14:paraId="5A2B8365" w14:textId="77777777">
            <w:pPr>
              <w:pStyle w:val="BodyText"/>
              <w:rPr>
                <w:rFonts w:cs="Arial" w:asciiTheme="minorHAnsi" w:hAnsiTheme="minorHAnsi"/>
                <w:b/>
                <w:bCs/>
                <w:sz w:val="20"/>
              </w:rPr>
            </w:pPr>
            <w:r w:rsidRPr="00DA1174">
              <w:rPr>
                <w:rFonts w:cs="Arial" w:asciiTheme="minorHAnsi" w:hAnsiTheme="minorHAnsi"/>
                <w:b/>
                <w:bCs/>
                <w:sz w:val="20"/>
              </w:rPr>
              <w:t>Compatibility</w:t>
            </w:r>
          </w:p>
          <w:p w:rsidRPr="00DA1174" w:rsidR="006665D7" w:rsidP="00FE4186" w:rsidRDefault="006665D7" w14:paraId="525C93C1" w14:textId="77777777">
            <w:pPr>
              <w:pStyle w:val="BodyText"/>
              <w:rPr>
                <w:rFonts w:cs="Arial" w:asciiTheme="minorHAnsi" w:hAnsiTheme="minorHAnsi"/>
                <w:b/>
                <w:bCs/>
                <w:sz w:val="20"/>
              </w:rPr>
            </w:pPr>
          </w:p>
        </w:tc>
        <w:tc>
          <w:tcPr>
            <w:tcW w:w="3940" w:type="pct"/>
          </w:tcPr>
          <w:p w:rsidRPr="00DA1174" w:rsidR="006665D7" w:rsidP="00FE4186" w:rsidRDefault="006665D7" w14:paraId="449D39B1" w14:textId="77777777">
            <w:pPr>
              <w:pStyle w:val="BodyText"/>
              <w:rPr>
                <w:rFonts w:asciiTheme="minorHAnsi" w:hAnsiTheme="minorHAnsi"/>
                <w:color w:val="333333"/>
                <w:sz w:val="20"/>
                <w:shd w:val="clear" w:color="auto" w:fill="FFFFFF"/>
              </w:rPr>
            </w:pPr>
            <w:r w:rsidRPr="00DA1174">
              <w:rPr>
                <w:rFonts w:asciiTheme="minorHAnsi" w:hAnsiTheme="minorHAnsi"/>
                <w:sz w:val="20"/>
              </w:rPr>
              <w:t xml:space="preserve">Fluids: </w:t>
            </w:r>
            <w:r w:rsidRPr="00DA1174">
              <w:rPr>
                <w:rStyle w:val="apple-converted-space"/>
                <w:rFonts w:asciiTheme="minorHAnsi" w:hAnsiTheme="minorHAnsi"/>
                <w:color w:val="333333"/>
                <w:sz w:val="20"/>
                <w:shd w:val="clear" w:color="auto" w:fill="FFFFFF"/>
              </w:rPr>
              <w:t> </w:t>
            </w:r>
            <w:r w:rsidRPr="00DA1174">
              <w:rPr>
                <w:rFonts w:asciiTheme="minorHAnsi" w:hAnsiTheme="minorHAnsi"/>
                <w:color w:val="333333"/>
                <w:sz w:val="20"/>
                <w:shd w:val="clear" w:color="auto" w:fill="FFFFFF"/>
              </w:rPr>
              <w:t>Glucose 5%, glucose 10%, Hartmann’s, sodium bicarbonate 4.2%, sodium chloride 0.9%</w:t>
            </w:r>
          </w:p>
          <w:p w:rsidRPr="00DA1174" w:rsidR="006665D7" w:rsidP="00FE4186" w:rsidRDefault="006665D7" w14:paraId="5EBB0853" w14:textId="77777777">
            <w:pPr>
              <w:pStyle w:val="BodyText"/>
              <w:rPr>
                <w:rFonts w:asciiTheme="minorHAnsi" w:hAnsiTheme="minorHAnsi"/>
                <w:color w:val="333333"/>
                <w:sz w:val="20"/>
                <w:shd w:val="clear" w:color="auto" w:fill="FFFFFF"/>
              </w:rPr>
            </w:pPr>
          </w:p>
          <w:p w:rsidRPr="00DA1174" w:rsidR="006665D7" w:rsidP="00FE4186" w:rsidRDefault="006665D7" w14:paraId="483B4DDD" w14:textId="77777777">
            <w:pPr>
              <w:pStyle w:val="BodyText"/>
              <w:rPr>
                <w:sz w:val="16"/>
                <w:szCs w:val="16"/>
                <w:vertAlign w:val="superscript"/>
              </w:rPr>
            </w:pPr>
            <w:r w:rsidRPr="00DA1174">
              <w:rPr>
                <w:rFonts w:asciiTheme="minorHAnsi" w:hAnsiTheme="minorHAnsi"/>
                <w:color w:val="333333"/>
                <w:sz w:val="20"/>
                <w:shd w:val="clear" w:color="auto" w:fill="FFFFFF"/>
              </w:rPr>
              <w:t xml:space="preserve">Y-site: Aciclovir, adrenaline </w:t>
            </w:r>
            <w:r>
              <w:rPr>
                <w:rFonts w:asciiTheme="minorHAnsi" w:hAnsiTheme="minorHAnsi"/>
                <w:color w:val="333333"/>
                <w:sz w:val="20"/>
                <w:shd w:val="clear" w:color="auto" w:fill="FFFFFF"/>
              </w:rPr>
              <w:t xml:space="preserve">(epinephrine) </w:t>
            </w:r>
            <w:r w:rsidRPr="00DA1174">
              <w:rPr>
                <w:rFonts w:asciiTheme="minorHAnsi" w:hAnsiTheme="minorHAnsi"/>
                <w:color w:val="333333"/>
                <w:sz w:val="20"/>
                <w:shd w:val="clear" w:color="auto" w:fill="FFFFFF"/>
              </w:rPr>
              <w:t>hydrochloride, amifostine, aminophylline, anidulafungin, atracurium, aztreonam, bivalirudin, cefoxitin, ceftaroline fosamil, ciprofloxacin, cisatracurium, dexmedetomidine, dobutamine, dopamine, doripenem, esmolol, ethanol, filgrastim, fluconazole, foscarnet</w:t>
            </w:r>
            <w:r w:rsidRPr="00DA1174">
              <w:rPr>
                <w:rFonts w:asciiTheme="minorHAnsi" w:hAnsiTheme="minorHAnsi"/>
                <w:sz w:val="20"/>
                <w:vertAlign w:val="superscript"/>
              </w:rPr>
              <w:t>3</w:t>
            </w:r>
            <w:r w:rsidRPr="00DA1174">
              <w:rPr>
                <w:rFonts w:asciiTheme="minorHAnsi" w:hAnsiTheme="minorHAnsi"/>
                <w:color w:val="333333"/>
                <w:sz w:val="20"/>
                <w:shd w:val="clear" w:color="auto" w:fill="FFFFFF"/>
              </w:rPr>
              <w:t>, glyceryl trinitrate, granisetron, heparin sodium, labetalol, linezolid, lorazepam, midazolam, milrinone, pancuronium, piperacillin-tazobactam (EDTA-free), remifentanil, tigecycline, vecuronium, zidovudine</w:t>
            </w:r>
          </w:p>
        </w:tc>
      </w:tr>
      <w:tr w:rsidRPr="00DA1174" w:rsidR="006665D7" w:rsidTr="00FE4186" w14:paraId="4AFFF0A3" w14:textId="77777777">
        <w:trPr>
          <w:trHeight w:val="388"/>
        </w:trPr>
        <w:tc>
          <w:tcPr>
            <w:tcW w:w="1060" w:type="pct"/>
          </w:tcPr>
          <w:p w:rsidRPr="00DA1174" w:rsidR="006665D7" w:rsidP="00FE4186" w:rsidRDefault="006665D7" w14:paraId="410B32A1" w14:textId="77777777">
            <w:pPr>
              <w:pStyle w:val="BodyText"/>
              <w:rPr>
                <w:rFonts w:cs="Arial" w:asciiTheme="minorHAnsi" w:hAnsiTheme="minorHAnsi"/>
                <w:b/>
                <w:bCs/>
                <w:sz w:val="20"/>
              </w:rPr>
            </w:pPr>
            <w:r w:rsidRPr="00DA1174">
              <w:rPr>
                <w:rFonts w:cs="Arial" w:asciiTheme="minorHAnsi" w:hAnsiTheme="minorHAnsi"/>
                <w:b/>
                <w:bCs/>
                <w:sz w:val="20"/>
              </w:rPr>
              <w:t xml:space="preserve">Incompatibility      </w:t>
            </w:r>
          </w:p>
          <w:p w:rsidRPr="00DA1174" w:rsidR="006665D7" w:rsidP="00FE4186" w:rsidRDefault="006665D7" w14:paraId="65A230FD" w14:textId="77777777">
            <w:pPr>
              <w:pStyle w:val="BodyText"/>
              <w:rPr>
                <w:rFonts w:cs="Arial" w:asciiTheme="minorHAnsi" w:hAnsiTheme="minorHAnsi"/>
                <w:b/>
                <w:bCs/>
                <w:sz w:val="20"/>
              </w:rPr>
            </w:pPr>
            <w:r w:rsidRPr="00DA1174">
              <w:rPr>
                <w:rFonts w:cs="Arial" w:asciiTheme="minorHAnsi" w:hAnsiTheme="minorHAnsi"/>
                <w:b/>
                <w:bCs/>
                <w:sz w:val="20"/>
              </w:rPr>
              <w:t xml:space="preserve">               </w:t>
            </w:r>
            <w:r w:rsidRPr="00DA1174">
              <w:rPr>
                <w:rFonts w:cs="Arial" w:asciiTheme="minorHAnsi" w:hAnsiTheme="minorHAnsi"/>
                <w:b/>
                <w:bCs/>
                <w:sz w:val="20"/>
              </w:rPr>
              <w:tab/>
            </w:r>
          </w:p>
        </w:tc>
        <w:tc>
          <w:tcPr>
            <w:tcW w:w="3940" w:type="pct"/>
          </w:tcPr>
          <w:p w:rsidRPr="00DA1174" w:rsidR="006665D7" w:rsidP="00FE4186" w:rsidRDefault="006665D7" w14:paraId="1A3E4656" w14:textId="77777777">
            <w:pPr>
              <w:pStyle w:val="BodyText"/>
              <w:rPr>
                <w:rFonts w:cs="Arial" w:asciiTheme="minorHAnsi" w:hAnsiTheme="minorHAnsi"/>
                <w:sz w:val="20"/>
              </w:rPr>
            </w:pPr>
            <w:r w:rsidRPr="00DA1174">
              <w:rPr>
                <w:rFonts w:cs="Arial" w:asciiTheme="minorHAnsi" w:hAnsiTheme="minorHAnsi"/>
                <w:sz w:val="20"/>
              </w:rPr>
              <w:t>Fluids: TPN</w:t>
            </w:r>
          </w:p>
          <w:p w:rsidRPr="00DA1174" w:rsidR="006665D7" w:rsidP="00FE4186" w:rsidRDefault="006665D7" w14:paraId="621CFE59" w14:textId="77777777">
            <w:pPr>
              <w:pStyle w:val="BodyText"/>
              <w:rPr>
                <w:rFonts w:cs="Arial" w:asciiTheme="minorHAnsi" w:hAnsiTheme="minorHAnsi"/>
                <w:sz w:val="20"/>
              </w:rPr>
            </w:pPr>
          </w:p>
          <w:p w:rsidRPr="00DA1174" w:rsidR="006665D7" w:rsidP="00FE4186" w:rsidRDefault="006665D7" w14:paraId="0D568383" w14:textId="77777777">
            <w:pPr>
              <w:pStyle w:val="BodyText"/>
              <w:rPr>
                <w:rFonts w:cs="Arial" w:asciiTheme="minorHAnsi" w:hAnsiTheme="minorHAnsi"/>
                <w:sz w:val="20"/>
              </w:rPr>
            </w:pPr>
            <w:r w:rsidRPr="00DA1174">
              <w:rPr>
                <w:rFonts w:cs="Arial" w:asciiTheme="minorHAnsi" w:hAnsiTheme="minorHAnsi"/>
                <w:sz w:val="20"/>
              </w:rPr>
              <w:t xml:space="preserve">Y-site: </w:t>
            </w:r>
            <w:r w:rsidRPr="00DA1174">
              <w:rPr>
                <w:rFonts w:asciiTheme="minorHAnsi" w:hAnsiTheme="minorHAnsi"/>
                <w:color w:val="333333"/>
                <w:sz w:val="20"/>
                <w:shd w:val="clear" w:color="auto" w:fill="FFFFFF"/>
              </w:rPr>
              <w:t>Caspofungin, levomepromazine, phenobarbitone, sugammadex</w:t>
            </w:r>
          </w:p>
        </w:tc>
      </w:tr>
      <w:tr w:rsidRPr="00DA1174" w:rsidR="006665D7" w:rsidTr="00FE4186" w14:paraId="64CC3C4D" w14:textId="77777777">
        <w:trPr>
          <w:trHeight w:val="70"/>
        </w:trPr>
        <w:tc>
          <w:tcPr>
            <w:tcW w:w="1060" w:type="pct"/>
          </w:tcPr>
          <w:p w:rsidRPr="00DA1174" w:rsidR="006665D7" w:rsidP="00FE4186" w:rsidRDefault="006665D7" w14:paraId="57BF71F5" w14:textId="77777777">
            <w:pPr>
              <w:pStyle w:val="BodyText"/>
              <w:rPr>
                <w:rFonts w:cs="Arial" w:asciiTheme="minorHAnsi" w:hAnsiTheme="minorHAnsi"/>
                <w:b/>
                <w:bCs/>
                <w:sz w:val="20"/>
              </w:rPr>
            </w:pPr>
            <w:r w:rsidRPr="00DA1174">
              <w:rPr>
                <w:rFonts w:cs="Arial" w:asciiTheme="minorHAnsi" w:hAnsiTheme="minorHAnsi"/>
                <w:b/>
                <w:bCs/>
                <w:sz w:val="20"/>
              </w:rPr>
              <w:t xml:space="preserve">Stability                </w:t>
            </w:r>
          </w:p>
        </w:tc>
        <w:tc>
          <w:tcPr>
            <w:tcW w:w="3940" w:type="pct"/>
          </w:tcPr>
          <w:p w:rsidRPr="00DA1174" w:rsidR="006665D7" w:rsidP="00FE4186" w:rsidRDefault="006665D7" w14:paraId="6683AE8D" w14:textId="77777777">
            <w:pPr>
              <w:rPr>
                <w:rFonts w:cs="Arial"/>
                <w:sz w:val="20"/>
              </w:rPr>
            </w:pPr>
            <w:r w:rsidRPr="00DA1174">
              <w:rPr>
                <w:rFonts w:cs="Arial"/>
                <w:sz w:val="20"/>
              </w:rPr>
              <w:t>Diluted IV solution using 50 mg/2 mL injection: Stable for 24 hours</w:t>
            </w:r>
          </w:p>
        </w:tc>
      </w:tr>
      <w:tr w:rsidRPr="00DA1174" w:rsidR="006665D7" w:rsidTr="00FE4186" w14:paraId="773854DB" w14:textId="77777777">
        <w:trPr>
          <w:trHeight w:val="371"/>
        </w:trPr>
        <w:tc>
          <w:tcPr>
            <w:tcW w:w="1060" w:type="pct"/>
          </w:tcPr>
          <w:p w:rsidRPr="00DA1174" w:rsidR="006665D7" w:rsidP="00FE4186" w:rsidRDefault="006665D7" w14:paraId="0A323117" w14:textId="77777777">
            <w:pPr>
              <w:pStyle w:val="BodyText"/>
              <w:rPr>
                <w:rFonts w:cs="Arial" w:asciiTheme="minorHAnsi" w:hAnsiTheme="minorHAnsi"/>
                <w:b/>
                <w:bCs/>
                <w:sz w:val="20"/>
              </w:rPr>
            </w:pPr>
            <w:r w:rsidRPr="00DA1174">
              <w:rPr>
                <w:rFonts w:cs="Arial" w:asciiTheme="minorHAnsi" w:hAnsiTheme="minorHAnsi"/>
                <w:b/>
                <w:bCs/>
                <w:sz w:val="20"/>
              </w:rPr>
              <w:t xml:space="preserve">Storage             </w:t>
            </w:r>
          </w:p>
        </w:tc>
        <w:tc>
          <w:tcPr>
            <w:tcW w:w="3940" w:type="pct"/>
          </w:tcPr>
          <w:p w:rsidRPr="00DA1174" w:rsidR="006665D7" w:rsidP="00FE4186" w:rsidRDefault="006665D7" w14:paraId="4291EE09" w14:textId="77777777">
            <w:pPr>
              <w:pStyle w:val="BodyText"/>
              <w:rPr>
                <w:rFonts w:cs="Arial"/>
                <w:sz w:val="20"/>
              </w:rPr>
            </w:pPr>
            <w:r w:rsidRPr="00DA1174">
              <w:rPr>
                <w:rFonts w:cs="Arial" w:asciiTheme="minorHAnsi" w:hAnsiTheme="minorHAnsi"/>
                <w:sz w:val="20"/>
              </w:rPr>
              <w:t>Ampoule: Store below 25</w:t>
            </w:r>
            <w:r w:rsidRPr="00DA1174">
              <w:rPr>
                <w:rFonts w:cs="Helvetica" w:asciiTheme="minorHAnsi" w:hAnsiTheme="minorHAnsi"/>
                <w:color w:val="333333"/>
                <w:sz w:val="20"/>
                <w:shd w:val="clear" w:color="auto" w:fill="FFFFFF"/>
              </w:rPr>
              <w:t>°C</w:t>
            </w:r>
            <w:r w:rsidRPr="00DA1174">
              <w:rPr>
                <w:rFonts w:cs="Arial"/>
                <w:sz w:val="20"/>
              </w:rPr>
              <w:t xml:space="preserve"> and protect from light. </w:t>
            </w:r>
          </w:p>
          <w:p w:rsidRPr="00DA1174" w:rsidR="006665D7" w:rsidP="00FE4186" w:rsidRDefault="006665D7" w14:paraId="7365AF53" w14:textId="77777777">
            <w:pPr>
              <w:pStyle w:val="BodyText"/>
              <w:rPr>
                <w:rFonts w:cs="Helvetica" w:asciiTheme="minorHAnsi" w:hAnsiTheme="minorHAnsi"/>
                <w:color w:val="333333"/>
                <w:sz w:val="20"/>
                <w:shd w:val="clear" w:color="auto" w:fill="FFFFFF"/>
              </w:rPr>
            </w:pPr>
            <w:r w:rsidRPr="00DA1174">
              <w:rPr>
                <w:rFonts w:cs="Arial" w:asciiTheme="minorHAnsi" w:hAnsiTheme="minorHAnsi"/>
                <w:sz w:val="20"/>
              </w:rPr>
              <w:t>Tablets: Store below 30</w:t>
            </w:r>
            <w:r w:rsidRPr="00DA1174">
              <w:rPr>
                <w:rFonts w:cs="Helvetica" w:asciiTheme="minorHAnsi" w:hAnsiTheme="minorHAnsi"/>
                <w:color w:val="333333"/>
                <w:sz w:val="20"/>
                <w:shd w:val="clear" w:color="auto" w:fill="FFFFFF"/>
              </w:rPr>
              <w:t>°C.</w:t>
            </w:r>
          </w:p>
          <w:p w:rsidRPr="00DA1174" w:rsidR="006665D7" w:rsidP="00FE4186" w:rsidRDefault="006665D7" w14:paraId="1F03FE1D" w14:textId="77777777">
            <w:pPr>
              <w:pStyle w:val="BodyText"/>
              <w:rPr>
                <w:rFonts w:cs="Arial" w:asciiTheme="minorHAnsi" w:hAnsiTheme="minorHAnsi"/>
                <w:sz w:val="20"/>
              </w:rPr>
            </w:pPr>
            <w:r w:rsidRPr="00DA1174">
              <w:rPr>
                <w:rFonts w:cs="Helvetica" w:asciiTheme="minorHAnsi" w:hAnsiTheme="minorHAnsi"/>
                <w:color w:val="333333"/>
                <w:sz w:val="20"/>
                <w:shd w:val="clear" w:color="auto" w:fill="FFFFFF"/>
              </w:rPr>
              <w:t>Liquid: Store below 25°C.</w:t>
            </w:r>
          </w:p>
        </w:tc>
      </w:tr>
      <w:tr w:rsidRPr="00DA1174" w:rsidR="006665D7" w:rsidTr="00FE4186" w14:paraId="6426155D" w14:textId="77777777">
        <w:trPr>
          <w:trHeight w:val="395"/>
        </w:trPr>
        <w:tc>
          <w:tcPr>
            <w:tcW w:w="1060" w:type="pct"/>
          </w:tcPr>
          <w:p w:rsidRPr="00DA1174" w:rsidR="006665D7" w:rsidP="00FE4186" w:rsidRDefault="006665D7" w14:paraId="471C49D9" w14:textId="77777777">
            <w:pPr>
              <w:pStyle w:val="BodyText"/>
              <w:rPr>
                <w:rFonts w:cs="Arial" w:asciiTheme="minorHAnsi" w:hAnsiTheme="minorHAnsi"/>
                <w:b/>
                <w:bCs/>
                <w:sz w:val="20"/>
              </w:rPr>
            </w:pPr>
            <w:r w:rsidRPr="00DA1174">
              <w:rPr>
                <w:rFonts w:cs="Arial" w:asciiTheme="minorHAnsi" w:hAnsiTheme="minorHAnsi"/>
                <w:b/>
                <w:bCs/>
                <w:sz w:val="20"/>
              </w:rPr>
              <w:t>Special Comments</w:t>
            </w:r>
          </w:p>
        </w:tc>
        <w:tc>
          <w:tcPr>
            <w:tcW w:w="3940" w:type="pct"/>
          </w:tcPr>
          <w:p w:rsidRPr="00DA1174" w:rsidR="006665D7" w:rsidP="00FE4186" w:rsidRDefault="006665D7" w14:paraId="2349E014" w14:textId="77777777">
            <w:pPr>
              <w:pStyle w:val="BodyText"/>
              <w:rPr>
                <w:rFonts w:cs="Arial" w:asciiTheme="minorHAnsi" w:hAnsiTheme="minorHAnsi"/>
                <w:sz w:val="20"/>
              </w:rPr>
            </w:pPr>
          </w:p>
        </w:tc>
      </w:tr>
      <w:tr w:rsidRPr="00DA1174" w:rsidR="006665D7" w:rsidTr="00FE4186" w14:paraId="42E3873E" w14:textId="77777777">
        <w:trPr>
          <w:trHeight w:val="1071"/>
        </w:trPr>
        <w:tc>
          <w:tcPr>
            <w:tcW w:w="1060" w:type="pct"/>
          </w:tcPr>
          <w:p w:rsidRPr="00DA1174" w:rsidR="006665D7" w:rsidP="00FE4186" w:rsidRDefault="006665D7" w14:paraId="240E702C" w14:textId="77777777">
            <w:pPr>
              <w:pStyle w:val="BodyText"/>
              <w:rPr>
                <w:rFonts w:cs="Arial" w:asciiTheme="minorHAnsi" w:hAnsiTheme="minorHAnsi"/>
                <w:b/>
                <w:bCs/>
                <w:sz w:val="20"/>
              </w:rPr>
            </w:pPr>
            <w:r w:rsidRPr="00DA1174">
              <w:rPr>
                <w:rFonts w:cs="Arial" w:asciiTheme="minorHAnsi" w:hAnsiTheme="minorHAnsi"/>
                <w:b/>
                <w:bCs/>
                <w:sz w:val="20"/>
              </w:rPr>
              <w:t>Evidence summary</w:t>
            </w:r>
          </w:p>
        </w:tc>
        <w:tc>
          <w:tcPr>
            <w:tcW w:w="3940" w:type="pct"/>
          </w:tcPr>
          <w:p w:rsidRPr="00DA1174" w:rsidR="006665D7" w:rsidP="00FE4186" w:rsidRDefault="006665D7" w14:paraId="58F2043A" w14:textId="77777777">
            <w:pPr>
              <w:pStyle w:val="BodyText"/>
              <w:tabs>
                <w:tab w:val="left" w:pos="1168"/>
              </w:tabs>
              <w:rPr>
                <w:rFonts w:cs="Arial" w:asciiTheme="minorHAnsi" w:hAnsiTheme="minorHAnsi"/>
                <w:b/>
                <w:sz w:val="20"/>
                <w:u w:val="single"/>
              </w:rPr>
            </w:pPr>
            <w:r w:rsidRPr="00DA1174">
              <w:rPr>
                <w:rFonts w:cs="Arial" w:asciiTheme="minorHAnsi" w:hAnsiTheme="minorHAnsi"/>
                <w:b/>
                <w:sz w:val="20"/>
                <w:u w:val="single"/>
              </w:rPr>
              <w:t xml:space="preserve">Treatment of </w:t>
            </w:r>
            <w:r>
              <w:rPr>
                <w:rFonts w:cs="Arial" w:asciiTheme="minorHAnsi" w:hAnsiTheme="minorHAnsi"/>
                <w:b/>
                <w:sz w:val="20"/>
                <w:u w:val="single"/>
              </w:rPr>
              <w:t>g</w:t>
            </w:r>
            <w:r w:rsidRPr="00DA1174">
              <w:rPr>
                <w:rFonts w:cs="Arial" w:asciiTheme="minorHAnsi" w:hAnsiTheme="minorHAnsi"/>
                <w:b/>
                <w:sz w:val="20"/>
                <w:u w:val="single"/>
              </w:rPr>
              <w:t xml:space="preserve">astroesophageal </w:t>
            </w:r>
            <w:r>
              <w:rPr>
                <w:rFonts w:cs="Arial" w:asciiTheme="minorHAnsi" w:hAnsiTheme="minorHAnsi"/>
                <w:b/>
                <w:sz w:val="20"/>
                <w:u w:val="single"/>
              </w:rPr>
              <w:t>r</w:t>
            </w:r>
            <w:r w:rsidRPr="00DA1174">
              <w:rPr>
                <w:rFonts w:cs="Arial" w:asciiTheme="minorHAnsi" w:hAnsiTheme="minorHAnsi"/>
                <w:b/>
                <w:sz w:val="20"/>
                <w:u w:val="single"/>
              </w:rPr>
              <w:t xml:space="preserve">eflux </w:t>
            </w:r>
            <w:r>
              <w:rPr>
                <w:rFonts w:cs="Arial" w:asciiTheme="minorHAnsi" w:hAnsiTheme="minorHAnsi"/>
                <w:b/>
                <w:sz w:val="20"/>
                <w:u w:val="single"/>
              </w:rPr>
              <w:t>d</w:t>
            </w:r>
            <w:r w:rsidRPr="00DA1174">
              <w:rPr>
                <w:rFonts w:cs="Arial" w:asciiTheme="minorHAnsi" w:hAnsiTheme="minorHAnsi"/>
                <w:b/>
                <w:sz w:val="20"/>
                <w:u w:val="single"/>
              </w:rPr>
              <w:t>isease (GORD)</w:t>
            </w:r>
          </w:p>
          <w:p w:rsidRPr="00DA1174" w:rsidR="006665D7" w:rsidP="00FE4186" w:rsidRDefault="006665D7" w14:paraId="57990068" w14:textId="77777777">
            <w:pPr>
              <w:pStyle w:val="BodyText"/>
              <w:tabs>
                <w:tab w:val="left" w:pos="1168"/>
              </w:tabs>
              <w:rPr>
                <w:rFonts w:cs="Arial" w:asciiTheme="minorHAnsi" w:hAnsiTheme="minorHAnsi"/>
                <w:sz w:val="20"/>
                <w:u w:val="single"/>
              </w:rPr>
            </w:pPr>
            <w:r w:rsidRPr="00DA1174">
              <w:rPr>
                <w:rFonts w:cs="Arial" w:asciiTheme="minorHAnsi" w:hAnsiTheme="minorHAnsi"/>
                <w:sz w:val="20"/>
                <w:u w:val="single"/>
              </w:rPr>
              <w:t>NICE Guidelines</w:t>
            </w:r>
            <w:r w:rsidRPr="00DA1174">
              <w:rPr>
                <w:rFonts w:cs="Arial" w:asciiTheme="minorHAnsi" w:hAnsiTheme="minorHAnsi"/>
                <w:sz w:val="20"/>
                <w:u w:val="single"/>
                <w:vertAlign w:val="superscript"/>
              </w:rPr>
              <w:t>1</w:t>
            </w:r>
          </w:p>
          <w:p w:rsidRPr="00DA1174" w:rsidR="006665D7" w:rsidP="00FE4186" w:rsidRDefault="006665D7" w14:paraId="23B17FBB" w14:textId="77777777">
            <w:pPr>
              <w:pStyle w:val="BodyText"/>
              <w:tabs>
                <w:tab w:val="left" w:pos="1168"/>
              </w:tabs>
              <w:rPr>
                <w:rFonts w:cs="Arial" w:asciiTheme="minorHAnsi" w:hAnsiTheme="minorHAnsi"/>
                <w:sz w:val="20"/>
              </w:rPr>
            </w:pPr>
            <w:r w:rsidRPr="00DA1174">
              <w:rPr>
                <w:rFonts w:cs="Arial" w:asciiTheme="minorHAnsi" w:hAnsiTheme="minorHAnsi"/>
                <w:sz w:val="20"/>
              </w:rPr>
              <w:t>1. Do not offer acid-suppressing drugs, such as proton pump inhibitors (PPIs) or H</w:t>
            </w:r>
            <w:r w:rsidRPr="00147DC1">
              <w:rPr>
                <w:rFonts w:cs="Arial" w:asciiTheme="minorHAnsi" w:hAnsiTheme="minorHAnsi"/>
                <w:sz w:val="20"/>
                <w:vertAlign w:val="subscript"/>
              </w:rPr>
              <w:t>2</w:t>
            </w:r>
            <w:r w:rsidRPr="00DA1174">
              <w:rPr>
                <w:rFonts w:cs="Arial" w:asciiTheme="minorHAnsi" w:hAnsiTheme="minorHAnsi"/>
                <w:sz w:val="20"/>
              </w:rPr>
              <w:t xml:space="preserve"> receptor antagonists (H</w:t>
            </w:r>
            <w:r w:rsidRPr="00147DC1">
              <w:rPr>
                <w:rFonts w:cs="Arial" w:asciiTheme="minorHAnsi" w:hAnsiTheme="minorHAnsi"/>
                <w:sz w:val="20"/>
                <w:vertAlign w:val="subscript"/>
              </w:rPr>
              <w:t>2</w:t>
            </w:r>
            <w:r w:rsidRPr="00DA1174">
              <w:rPr>
                <w:rFonts w:cs="Arial" w:asciiTheme="minorHAnsi" w:hAnsiTheme="minorHAnsi"/>
                <w:sz w:val="20"/>
              </w:rPr>
              <w:t>RAs), to treat overt regurgitation in infants and children occurring as an isolated symptom.</w:t>
            </w:r>
          </w:p>
          <w:p w:rsidRPr="00DA1174" w:rsidR="006665D7" w:rsidP="00FE4186" w:rsidRDefault="006665D7" w14:paraId="6B7DFCA0" w14:textId="77777777">
            <w:pPr>
              <w:pStyle w:val="BodyText"/>
              <w:tabs>
                <w:tab w:val="left" w:pos="1168"/>
              </w:tabs>
              <w:rPr>
                <w:rFonts w:cs="Arial" w:asciiTheme="minorHAnsi" w:hAnsiTheme="minorHAnsi"/>
                <w:sz w:val="20"/>
              </w:rPr>
            </w:pPr>
            <w:r w:rsidRPr="00DA1174">
              <w:rPr>
                <w:rFonts w:cs="Arial" w:asciiTheme="minorHAnsi" w:hAnsiTheme="minorHAnsi"/>
                <w:sz w:val="20"/>
              </w:rPr>
              <w:t>2. Consider a 4-week trial of a PPI or H</w:t>
            </w:r>
            <w:r w:rsidRPr="00147DC1">
              <w:rPr>
                <w:rFonts w:cs="Arial" w:asciiTheme="minorHAnsi" w:hAnsiTheme="minorHAnsi"/>
                <w:sz w:val="20"/>
                <w:vertAlign w:val="subscript"/>
              </w:rPr>
              <w:t>2</w:t>
            </w:r>
            <w:r w:rsidRPr="00DA1174">
              <w:rPr>
                <w:rFonts w:cs="Arial" w:asciiTheme="minorHAnsi" w:hAnsiTheme="minorHAnsi"/>
                <w:sz w:val="20"/>
              </w:rPr>
              <w:t xml:space="preserve">RA for those who are unable to tell you about their symptoms (for example, infants and young children, and those with a neurodisability associated with expressive communication difficulties) who have overt regurgitation with 1 or more of the following: </w:t>
            </w:r>
            <w:r>
              <w:rPr>
                <w:rFonts w:cs="Arial" w:asciiTheme="minorHAnsi" w:hAnsiTheme="minorHAnsi"/>
                <w:sz w:val="20"/>
              </w:rPr>
              <w:t>U</w:t>
            </w:r>
            <w:r w:rsidRPr="00DA1174">
              <w:rPr>
                <w:rFonts w:cs="Arial" w:asciiTheme="minorHAnsi" w:hAnsiTheme="minorHAnsi"/>
                <w:sz w:val="20"/>
              </w:rPr>
              <w:t>nexplained feeding difficulties (for example refusing feeds, gagging or choking)</w:t>
            </w:r>
            <w:r>
              <w:rPr>
                <w:rFonts w:cs="Arial" w:asciiTheme="minorHAnsi" w:hAnsiTheme="minorHAnsi"/>
                <w:sz w:val="20"/>
              </w:rPr>
              <w:t>,</w:t>
            </w:r>
            <w:r w:rsidRPr="00DA1174">
              <w:rPr>
                <w:rFonts w:cs="Arial" w:asciiTheme="minorHAnsi" w:hAnsiTheme="minorHAnsi"/>
                <w:sz w:val="20"/>
              </w:rPr>
              <w:t xml:space="preserve"> distressed behaviour</w:t>
            </w:r>
            <w:r>
              <w:rPr>
                <w:rFonts w:cs="Arial" w:asciiTheme="minorHAnsi" w:hAnsiTheme="minorHAnsi"/>
                <w:sz w:val="20"/>
              </w:rPr>
              <w:t>,</w:t>
            </w:r>
            <w:r w:rsidRPr="00DA1174">
              <w:rPr>
                <w:rFonts w:cs="Arial" w:asciiTheme="minorHAnsi" w:hAnsiTheme="minorHAnsi"/>
                <w:sz w:val="20"/>
              </w:rPr>
              <w:t xml:space="preserve"> faltering growth.</w:t>
            </w:r>
          </w:p>
          <w:p w:rsidRPr="00DA1174" w:rsidR="006665D7" w:rsidP="00FE4186" w:rsidRDefault="006665D7" w14:paraId="5B518234" w14:textId="77777777">
            <w:pPr>
              <w:pStyle w:val="BodyText"/>
              <w:tabs>
                <w:tab w:val="left" w:pos="1168"/>
              </w:tabs>
              <w:rPr>
                <w:rFonts w:cs="Arial" w:asciiTheme="minorHAnsi" w:hAnsiTheme="minorHAnsi"/>
                <w:sz w:val="20"/>
              </w:rPr>
            </w:pPr>
            <w:r w:rsidRPr="00DA1174">
              <w:rPr>
                <w:rFonts w:cs="Arial" w:asciiTheme="minorHAnsi" w:hAnsiTheme="minorHAnsi"/>
                <w:sz w:val="20"/>
              </w:rPr>
              <w:lastRenderedPageBreak/>
              <w:t>3. Consider a 4-week trial of a PPI or H</w:t>
            </w:r>
            <w:r w:rsidRPr="00147DC1">
              <w:rPr>
                <w:rFonts w:cs="Arial" w:asciiTheme="minorHAnsi" w:hAnsiTheme="minorHAnsi"/>
                <w:sz w:val="20"/>
                <w:vertAlign w:val="subscript"/>
              </w:rPr>
              <w:t>2</w:t>
            </w:r>
            <w:r w:rsidRPr="00DA1174">
              <w:rPr>
                <w:rFonts w:cs="Arial" w:asciiTheme="minorHAnsi" w:hAnsiTheme="minorHAnsi"/>
                <w:sz w:val="20"/>
              </w:rPr>
              <w:t>RA for children and young people with persistent heartburn, retrosternal or epigastric pain.</w:t>
            </w:r>
          </w:p>
          <w:p w:rsidRPr="00DA1174" w:rsidR="006665D7" w:rsidP="00FE4186" w:rsidRDefault="006665D7" w14:paraId="60FCFD4C" w14:textId="77777777">
            <w:pPr>
              <w:pStyle w:val="BodyText"/>
              <w:tabs>
                <w:tab w:val="left" w:pos="1168"/>
              </w:tabs>
              <w:rPr>
                <w:rFonts w:cs="Arial" w:asciiTheme="minorHAnsi" w:hAnsiTheme="minorHAnsi"/>
                <w:sz w:val="20"/>
              </w:rPr>
            </w:pPr>
            <w:r w:rsidRPr="00DA1174">
              <w:rPr>
                <w:rFonts w:cs="Arial" w:asciiTheme="minorHAnsi" w:hAnsiTheme="minorHAnsi"/>
                <w:sz w:val="20"/>
              </w:rPr>
              <w:t>4. Assess the response to the 4-week trial of the PPI or H</w:t>
            </w:r>
            <w:r w:rsidRPr="00147DC1">
              <w:rPr>
                <w:rFonts w:cs="Arial" w:asciiTheme="minorHAnsi" w:hAnsiTheme="minorHAnsi"/>
                <w:sz w:val="20"/>
                <w:vertAlign w:val="subscript"/>
              </w:rPr>
              <w:t>2</w:t>
            </w:r>
            <w:r w:rsidRPr="00DA1174">
              <w:rPr>
                <w:rFonts w:cs="Arial" w:asciiTheme="minorHAnsi" w:hAnsiTheme="minorHAnsi"/>
                <w:sz w:val="20"/>
              </w:rPr>
              <w:t>RA, and consider referral to a specialist for possible endoscopy if the symptoms do not resolve or recur after stopping the treatment.</w:t>
            </w:r>
          </w:p>
          <w:p w:rsidRPr="00DA1174" w:rsidR="006665D7" w:rsidP="00FE4186" w:rsidRDefault="006665D7" w14:paraId="648E48D7" w14:textId="77777777">
            <w:pPr>
              <w:pStyle w:val="BodyText"/>
              <w:tabs>
                <w:tab w:val="left" w:pos="1168"/>
              </w:tabs>
              <w:rPr>
                <w:rFonts w:cs="Arial" w:asciiTheme="minorHAnsi" w:hAnsiTheme="minorHAnsi"/>
                <w:sz w:val="20"/>
              </w:rPr>
            </w:pPr>
            <w:r w:rsidRPr="00DA1174">
              <w:rPr>
                <w:rFonts w:cs="Arial" w:asciiTheme="minorHAnsi" w:hAnsiTheme="minorHAnsi"/>
                <w:sz w:val="20"/>
              </w:rPr>
              <w:t>5. When choosing between PPIs and H</w:t>
            </w:r>
            <w:r w:rsidRPr="00147DC1">
              <w:rPr>
                <w:rFonts w:cs="Arial" w:asciiTheme="minorHAnsi" w:hAnsiTheme="minorHAnsi"/>
                <w:sz w:val="20"/>
                <w:vertAlign w:val="subscript"/>
              </w:rPr>
              <w:t>2</w:t>
            </w:r>
            <w:r w:rsidRPr="00DA1174">
              <w:rPr>
                <w:rFonts w:cs="Arial" w:asciiTheme="minorHAnsi" w:hAnsiTheme="minorHAnsi"/>
                <w:sz w:val="20"/>
              </w:rPr>
              <w:t>RAs, take into account: the availability of age-appropriate preparations, the preference of the parent (or carer), child or young person (as appropriate) and local procurement costs.</w:t>
            </w:r>
          </w:p>
          <w:p w:rsidRPr="00DA1174" w:rsidR="006665D7" w:rsidP="00FE4186" w:rsidRDefault="006665D7" w14:paraId="418D4017" w14:textId="77777777">
            <w:pPr>
              <w:pStyle w:val="BodyText"/>
              <w:tabs>
                <w:tab w:val="left" w:pos="1168"/>
              </w:tabs>
              <w:rPr>
                <w:rFonts w:cs="Arial" w:asciiTheme="minorHAnsi" w:hAnsiTheme="minorHAnsi"/>
                <w:sz w:val="20"/>
              </w:rPr>
            </w:pPr>
            <w:r w:rsidRPr="00DA1174">
              <w:rPr>
                <w:rFonts w:cs="Arial" w:asciiTheme="minorHAnsi" w:hAnsiTheme="minorHAnsi"/>
                <w:sz w:val="20"/>
              </w:rPr>
              <w:t>6. Offer PPI or H</w:t>
            </w:r>
            <w:r w:rsidRPr="00147DC1">
              <w:rPr>
                <w:rFonts w:cs="Arial" w:asciiTheme="minorHAnsi" w:hAnsiTheme="minorHAnsi"/>
                <w:sz w:val="20"/>
                <w:vertAlign w:val="subscript"/>
              </w:rPr>
              <w:t>2</w:t>
            </w:r>
            <w:r w:rsidRPr="00DA1174">
              <w:rPr>
                <w:rFonts w:cs="Arial" w:asciiTheme="minorHAnsi" w:hAnsiTheme="minorHAnsi"/>
                <w:sz w:val="20"/>
              </w:rPr>
              <w:t>RA treatment to infants, children and young people with endoscopy-proven reflux oesophagitis and consider repeat endoscopic examinations as necessary to guide subsequent treatment.</w:t>
            </w:r>
          </w:p>
          <w:p w:rsidRPr="00DA1174" w:rsidR="006665D7" w:rsidP="00FE4186" w:rsidRDefault="006665D7" w14:paraId="62E07FFB" w14:textId="77777777">
            <w:pPr>
              <w:pStyle w:val="BodyText"/>
              <w:tabs>
                <w:tab w:val="left" w:pos="1168"/>
              </w:tabs>
              <w:rPr>
                <w:rFonts w:cs="Arial" w:asciiTheme="minorHAnsi" w:hAnsiTheme="minorHAnsi"/>
                <w:sz w:val="20"/>
              </w:rPr>
            </w:pPr>
            <w:r w:rsidRPr="00DA1174">
              <w:rPr>
                <w:rFonts w:cs="Arial" w:asciiTheme="minorHAnsi" w:hAnsiTheme="minorHAnsi"/>
                <w:sz w:val="20"/>
              </w:rPr>
              <w:t>7. Do not offer metoclopramide, domperidone or erythromycin to treat GOR or GORD without seeking specialist advice and taking into account their potential to cause adverse events.</w:t>
            </w:r>
          </w:p>
          <w:p w:rsidRPr="00DA1174" w:rsidR="006665D7" w:rsidP="00FE4186" w:rsidRDefault="006665D7" w14:paraId="599AA0EA" w14:textId="77777777">
            <w:pPr>
              <w:pStyle w:val="BodyText"/>
              <w:tabs>
                <w:tab w:val="left" w:pos="1168"/>
              </w:tabs>
              <w:rPr>
                <w:rFonts w:cs="Arial" w:asciiTheme="minorHAnsi" w:hAnsiTheme="minorHAnsi"/>
                <w:sz w:val="20"/>
                <w:u w:val="single"/>
              </w:rPr>
            </w:pPr>
            <w:r w:rsidRPr="00DA1174">
              <w:rPr>
                <w:rFonts w:cs="Arial" w:asciiTheme="minorHAnsi" w:hAnsiTheme="minorHAnsi"/>
                <w:sz w:val="20"/>
                <w:u w:val="single"/>
              </w:rPr>
              <w:t>ESPGHAN and NASPGHAN Guidelines</w:t>
            </w:r>
            <w:r w:rsidRPr="00DA1174">
              <w:rPr>
                <w:rFonts w:cs="Arial" w:asciiTheme="minorHAnsi" w:hAnsiTheme="minorHAnsi"/>
                <w:sz w:val="20"/>
                <w:u w:val="single"/>
                <w:vertAlign w:val="superscript"/>
              </w:rPr>
              <w:t>2</w:t>
            </w:r>
          </w:p>
          <w:p w:rsidRPr="00DA1174" w:rsidR="006665D7" w:rsidP="00FE4186" w:rsidRDefault="006665D7" w14:paraId="1C1C1DF5" w14:textId="77777777">
            <w:pPr>
              <w:pStyle w:val="BodyText"/>
              <w:tabs>
                <w:tab w:val="left" w:pos="1168"/>
              </w:tabs>
              <w:rPr>
                <w:rFonts w:cs="Arial" w:asciiTheme="minorHAnsi" w:hAnsiTheme="minorHAnsi"/>
                <w:sz w:val="20"/>
              </w:rPr>
            </w:pPr>
            <w:r w:rsidRPr="00DA1174">
              <w:rPr>
                <w:rFonts w:cs="Arial" w:asciiTheme="minorHAnsi" w:hAnsiTheme="minorHAnsi"/>
                <w:sz w:val="20"/>
              </w:rPr>
              <w:t>For healing of erosive esophagitis and relief of GERD symptoms, PPIs are superior to H</w:t>
            </w:r>
            <w:r w:rsidRPr="00147DC1">
              <w:rPr>
                <w:rFonts w:cs="Arial" w:asciiTheme="minorHAnsi" w:hAnsiTheme="minorHAnsi"/>
                <w:sz w:val="20"/>
                <w:vertAlign w:val="subscript"/>
              </w:rPr>
              <w:t>2</w:t>
            </w:r>
            <w:r w:rsidRPr="00DA1174">
              <w:rPr>
                <w:rFonts w:cs="Arial" w:asciiTheme="minorHAnsi" w:hAnsiTheme="minorHAnsi"/>
                <w:sz w:val="20"/>
              </w:rPr>
              <w:t>RAs. Both medications are superior to placebo. Administration of long-term acid suppression without a diagnosis is inadvisable. When acid suppression is required, the smallest effective dose should be used. Most patients require only once-daily PPI; routine use of twice-daily dose is not indicated. No PPI has been approved for use in infants &lt;</w:t>
            </w:r>
            <w:r>
              <w:rPr>
                <w:rFonts w:cs="Arial" w:asciiTheme="minorHAnsi" w:hAnsiTheme="minorHAnsi"/>
                <w:sz w:val="20"/>
              </w:rPr>
              <w:t xml:space="preserve"> </w:t>
            </w:r>
            <w:r w:rsidRPr="00DA1174">
              <w:rPr>
                <w:rFonts w:cs="Arial" w:asciiTheme="minorHAnsi" w:hAnsiTheme="minorHAnsi"/>
                <w:sz w:val="20"/>
              </w:rPr>
              <w:t>1 year of age and there are special concerns pertaining to prescription of PPIs in infants, as described in the Guideline.</w:t>
            </w:r>
          </w:p>
          <w:p w:rsidRPr="00DA1174" w:rsidR="006665D7" w:rsidP="00FE4186" w:rsidRDefault="006665D7" w14:paraId="7DB5F786" w14:textId="77777777">
            <w:pPr>
              <w:pStyle w:val="BodyText"/>
              <w:tabs>
                <w:tab w:val="left" w:pos="1168"/>
              </w:tabs>
              <w:rPr>
                <w:rFonts w:cs="Arial" w:asciiTheme="minorHAnsi" w:hAnsiTheme="minorHAnsi"/>
                <w:sz w:val="20"/>
              </w:rPr>
            </w:pPr>
            <w:r w:rsidRPr="00DA1174">
              <w:rPr>
                <w:rFonts w:cs="Arial" w:asciiTheme="minorHAnsi" w:hAnsiTheme="minorHAnsi"/>
                <w:sz w:val="20"/>
              </w:rPr>
              <w:t>H</w:t>
            </w:r>
            <w:r w:rsidRPr="00147DC1">
              <w:rPr>
                <w:rFonts w:cs="Arial" w:asciiTheme="minorHAnsi" w:hAnsiTheme="minorHAnsi"/>
                <w:sz w:val="20"/>
                <w:vertAlign w:val="subscript"/>
              </w:rPr>
              <w:t>2</w:t>
            </w:r>
            <w:r w:rsidRPr="00DA1174">
              <w:rPr>
                <w:rFonts w:cs="Arial" w:asciiTheme="minorHAnsi" w:hAnsiTheme="minorHAnsi"/>
                <w:sz w:val="20"/>
              </w:rPr>
              <w:t>RAs exhibit tachyphylaxis or tolerance but PPIs do not. Tachyphylaxis is a drawback to chronic use. H</w:t>
            </w:r>
            <w:r w:rsidRPr="00147DC1">
              <w:rPr>
                <w:rFonts w:cs="Arial" w:asciiTheme="minorHAnsi" w:hAnsiTheme="minorHAnsi"/>
                <w:sz w:val="20"/>
                <w:vertAlign w:val="subscript"/>
              </w:rPr>
              <w:t>2</w:t>
            </w:r>
            <w:r w:rsidRPr="00DA1174">
              <w:rPr>
                <w:rFonts w:cs="Arial" w:asciiTheme="minorHAnsi" w:hAnsiTheme="minorHAnsi"/>
                <w:sz w:val="20"/>
              </w:rPr>
              <w:t>RAs have a rapid onset of action and, like buffering agents, are useful for on-demand treatment.</w:t>
            </w:r>
          </w:p>
          <w:p w:rsidRPr="00DA1174" w:rsidR="006665D7" w:rsidP="00FE4186" w:rsidRDefault="006665D7" w14:paraId="48E5C05F" w14:textId="77777777">
            <w:pPr>
              <w:pStyle w:val="BodyText"/>
              <w:tabs>
                <w:tab w:val="left" w:pos="1168"/>
              </w:tabs>
              <w:rPr>
                <w:rFonts w:cs="Arial" w:asciiTheme="minorHAnsi" w:hAnsiTheme="minorHAnsi"/>
                <w:b/>
                <w:sz w:val="20"/>
                <w:u w:val="single"/>
              </w:rPr>
            </w:pPr>
          </w:p>
          <w:p w:rsidRPr="00DA1174" w:rsidR="006665D7" w:rsidP="00FE4186" w:rsidRDefault="006665D7" w14:paraId="3111DD8C" w14:textId="77777777">
            <w:pPr>
              <w:pStyle w:val="BodyText"/>
              <w:tabs>
                <w:tab w:val="left" w:pos="1168"/>
              </w:tabs>
              <w:rPr>
                <w:rFonts w:cs="Arial" w:asciiTheme="minorHAnsi" w:hAnsiTheme="minorHAnsi"/>
                <w:b/>
                <w:sz w:val="20"/>
                <w:u w:val="single"/>
              </w:rPr>
            </w:pPr>
            <w:r w:rsidRPr="00DA1174">
              <w:rPr>
                <w:rFonts w:cs="Arial" w:asciiTheme="minorHAnsi" w:hAnsiTheme="minorHAnsi"/>
                <w:b/>
                <w:sz w:val="20"/>
                <w:u w:val="single"/>
              </w:rPr>
              <w:t xml:space="preserve">Post-operative prophylaxis in congenital oesophageal </w:t>
            </w:r>
            <w:r>
              <w:rPr>
                <w:rFonts w:cs="Arial" w:asciiTheme="minorHAnsi" w:hAnsiTheme="minorHAnsi"/>
                <w:b/>
                <w:sz w:val="20"/>
                <w:u w:val="single"/>
              </w:rPr>
              <w:t>a</w:t>
            </w:r>
            <w:r w:rsidRPr="00DA1174">
              <w:rPr>
                <w:rFonts w:cs="Arial" w:asciiTheme="minorHAnsi" w:hAnsiTheme="minorHAnsi"/>
                <w:b/>
                <w:sz w:val="20"/>
                <w:u w:val="single"/>
              </w:rPr>
              <w:t xml:space="preserve">tresia and </w:t>
            </w:r>
            <w:r>
              <w:rPr>
                <w:rFonts w:cs="Arial" w:asciiTheme="minorHAnsi" w:hAnsiTheme="minorHAnsi"/>
                <w:b/>
                <w:sz w:val="20"/>
                <w:u w:val="single"/>
              </w:rPr>
              <w:t>t</w:t>
            </w:r>
            <w:r w:rsidRPr="00DA1174">
              <w:rPr>
                <w:rFonts w:cs="Arial" w:asciiTheme="minorHAnsi" w:hAnsiTheme="minorHAnsi"/>
                <w:b/>
                <w:sz w:val="20"/>
                <w:u w:val="single"/>
              </w:rPr>
              <w:t>racheoesophageal fistula</w:t>
            </w:r>
          </w:p>
          <w:p w:rsidRPr="00DA1174" w:rsidR="006665D7" w:rsidP="00FE4186" w:rsidRDefault="006665D7" w14:paraId="156CFFF4" w14:textId="77777777">
            <w:pPr>
              <w:pStyle w:val="BodyText"/>
              <w:tabs>
                <w:tab w:val="left" w:pos="1168"/>
              </w:tabs>
              <w:rPr>
                <w:rFonts w:cs="Arial" w:asciiTheme="minorHAnsi" w:hAnsiTheme="minorHAnsi"/>
                <w:sz w:val="20"/>
              </w:rPr>
            </w:pPr>
            <w:r w:rsidRPr="00DA1174">
              <w:rPr>
                <w:rFonts w:cs="Arial" w:asciiTheme="minorHAnsi" w:hAnsiTheme="minorHAnsi"/>
                <w:sz w:val="20"/>
              </w:rPr>
              <w:t>In a systematic review by Shawyer et al,</w:t>
            </w:r>
            <w:r w:rsidRPr="00DA1174">
              <w:rPr>
                <w:rFonts w:cs="Arial" w:asciiTheme="minorHAnsi" w:hAnsiTheme="minorHAnsi"/>
                <w:sz w:val="20"/>
                <w:vertAlign w:val="superscript"/>
              </w:rPr>
              <w:t>3</w:t>
            </w:r>
            <w:r w:rsidRPr="00DA1174">
              <w:rPr>
                <w:rFonts w:cs="Arial" w:asciiTheme="minorHAnsi" w:hAnsiTheme="minorHAnsi"/>
                <w:sz w:val="20"/>
              </w:rPr>
              <w:t xml:space="preserve"> of 25 articles (1,663 patients for analysis</w:t>
            </w:r>
            <w:r>
              <w:rPr>
                <w:rFonts w:cs="Arial" w:asciiTheme="minorHAnsi" w:hAnsiTheme="minorHAnsi"/>
                <w:sz w:val="20"/>
              </w:rPr>
              <w:t>)</w:t>
            </w:r>
            <w:r w:rsidRPr="00DA1174">
              <w:rPr>
                <w:rFonts w:cs="Arial" w:asciiTheme="minorHAnsi" w:hAnsiTheme="minorHAnsi"/>
                <w:sz w:val="20"/>
              </w:rPr>
              <w:t>, most were single</w:t>
            </w:r>
            <w:r>
              <w:rPr>
                <w:rFonts w:cs="Arial" w:asciiTheme="minorHAnsi" w:hAnsiTheme="minorHAnsi"/>
                <w:sz w:val="20"/>
              </w:rPr>
              <w:t xml:space="preserve"> </w:t>
            </w:r>
            <w:r w:rsidRPr="00DA1174">
              <w:rPr>
                <w:rFonts w:cs="Arial" w:asciiTheme="minorHAnsi" w:hAnsiTheme="minorHAnsi"/>
                <w:sz w:val="20"/>
              </w:rPr>
              <w:t>center studies (92 %) and retrospective (76 %); there were no randomi</w:t>
            </w:r>
            <w:r>
              <w:rPr>
                <w:rFonts w:cs="Arial" w:asciiTheme="minorHAnsi" w:hAnsiTheme="minorHAnsi"/>
                <w:sz w:val="20"/>
              </w:rPr>
              <w:t>s</w:t>
            </w:r>
            <w:r w:rsidRPr="00DA1174">
              <w:rPr>
                <w:rFonts w:cs="Arial" w:asciiTheme="minorHAnsi" w:hAnsiTheme="minorHAnsi"/>
                <w:sz w:val="20"/>
              </w:rPr>
              <w:t>ed contro</w:t>
            </w:r>
            <w:r>
              <w:rPr>
                <w:rFonts w:cs="Arial" w:asciiTheme="minorHAnsi" w:hAnsiTheme="minorHAnsi"/>
                <w:sz w:val="20"/>
              </w:rPr>
              <w:t>lld</w:t>
            </w:r>
            <w:r w:rsidRPr="00DA1174">
              <w:rPr>
                <w:rFonts w:cs="Arial" w:asciiTheme="minorHAnsi" w:hAnsiTheme="minorHAnsi"/>
                <w:sz w:val="20"/>
              </w:rPr>
              <w:t xml:space="preserve"> trials. The quality of literature regarding ant</w:t>
            </w:r>
            <w:r>
              <w:rPr>
                <w:rFonts w:cs="Arial" w:asciiTheme="minorHAnsi" w:hAnsiTheme="minorHAnsi"/>
                <w:sz w:val="20"/>
              </w:rPr>
              <w:t>i-r</w:t>
            </w:r>
            <w:r w:rsidRPr="00DA1174">
              <w:rPr>
                <w:rFonts w:cs="Arial" w:asciiTheme="minorHAnsi" w:hAnsiTheme="minorHAnsi"/>
                <w:sz w:val="20"/>
              </w:rPr>
              <w:t>eflux medication for GER post EA-TEF repair is poor.</w:t>
            </w:r>
          </w:p>
          <w:p w:rsidRPr="00DA1174" w:rsidR="006665D7" w:rsidP="00FE4186" w:rsidRDefault="006665D7" w14:paraId="11A4010B" w14:textId="77777777">
            <w:pPr>
              <w:pStyle w:val="BodyText"/>
              <w:tabs>
                <w:tab w:val="left" w:pos="1168"/>
              </w:tabs>
              <w:rPr>
                <w:rFonts w:cs="Arial" w:asciiTheme="minorHAnsi" w:hAnsiTheme="minorHAnsi"/>
                <w:sz w:val="20"/>
              </w:rPr>
            </w:pPr>
          </w:p>
          <w:p w:rsidRPr="00DA1174" w:rsidR="006665D7" w:rsidP="00FE4186" w:rsidRDefault="006665D7" w14:paraId="5BC8CED2" w14:textId="77777777">
            <w:pPr>
              <w:pStyle w:val="BodyText"/>
              <w:tabs>
                <w:tab w:val="left" w:pos="1168"/>
              </w:tabs>
              <w:rPr>
                <w:rFonts w:cs="Arial" w:asciiTheme="minorHAnsi" w:hAnsiTheme="minorHAnsi"/>
                <w:b/>
                <w:sz w:val="20"/>
                <w:u w:val="single"/>
              </w:rPr>
            </w:pPr>
            <w:r w:rsidRPr="00DA1174">
              <w:rPr>
                <w:rFonts w:cs="Arial" w:asciiTheme="minorHAnsi" w:hAnsiTheme="minorHAnsi"/>
                <w:b/>
                <w:sz w:val="20"/>
                <w:u w:val="single"/>
              </w:rPr>
              <w:t>Treatment of bradycardias attributed to GOR in preterm infants</w:t>
            </w:r>
          </w:p>
          <w:p w:rsidRPr="00DA1174" w:rsidR="006665D7" w:rsidP="00FE4186" w:rsidRDefault="006665D7" w14:paraId="41B34799" w14:textId="77777777">
            <w:pPr>
              <w:pStyle w:val="BodyText"/>
              <w:tabs>
                <w:tab w:val="left" w:pos="1168"/>
              </w:tabs>
              <w:rPr>
                <w:rFonts w:cs="Arial" w:asciiTheme="minorHAnsi" w:hAnsiTheme="minorHAnsi"/>
                <w:sz w:val="20"/>
              </w:rPr>
            </w:pPr>
            <w:r w:rsidRPr="00DA1174">
              <w:rPr>
                <w:rFonts w:cs="Arial" w:asciiTheme="minorHAnsi" w:hAnsiTheme="minorHAnsi"/>
                <w:sz w:val="20"/>
              </w:rPr>
              <w:t>Wheatley et al,</w:t>
            </w:r>
            <w:r w:rsidRPr="00DA1174">
              <w:rPr>
                <w:rFonts w:cs="Arial" w:asciiTheme="minorHAnsi" w:hAnsiTheme="minorHAnsi"/>
                <w:sz w:val="20"/>
                <w:vertAlign w:val="superscript"/>
              </w:rPr>
              <w:t>12</w:t>
            </w:r>
            <w:r w:rsidRPr="00DA1174">
              <w:rPr>
                <w:rFonts w:cs="Arial" w:asciiTheme="minorHAnsi" w:hAnsiTheme="minorHAnsi"/>
                <w:sz w:val="20"/>
              </w:rPr>
              <w:t xml:space="preserve"> in a randomi</w:t>
            </w:r>
            <w:r>
              <w:rPr>
                <w:rFonts w:cs="Arial" w:asciiTheme="minorHAnsi" w:hAnsiTheme="minorHAnsi"/>
                <w:sz w:val="20"/>
              </w:rPr>
              <w:t>s</w:t>
            </w:r>
            <w:r w:rsidRPr="00DA1174">
              <w:rPr>
                <w:rFonts w:cs="Arial" w:asciiTheme="minorHAnsi" w:hAnsiTheme="minorHAnsi"/>
                <w:sz w:val="20"/>
              </w:rPr>
              <w:t>ed, controlled, masked cross-over study, compared metoclopramide, 0.2 mg/kg/dose q 6 hours, and ranitidine, 2 mg/kg/dose q 8 hours, with saline placebo. Each infant served as his own control. Preterm infants having &gt;</w:t>
            </w:r>
            <w:r>
              <w:rPr>
                <w:rFonts w:cs="Arial" w:asciiTheme="minorHAnsi" w:hAnsiTheme="minorHAnsi"/>
                <w:sz w:val="20"/>
              </w:rPr>
              <w:t xml:space="preserve"> </w:t>
            </w:r>
            <w:r w:rsidRPr="00DA1174">
              <w:rPr>
                <w:rFonts w:cs="Arial" w:asciiTheme="minorHAnsi" w:hAnsiTheme="minorHAnsi"/>
                <w:sz w:val="20"/>
              </w:rPr>
              <w:t>3 bradycardi</w:t>
            </w:r>
            <w:r>
              <w:rPr>
                <w:rFonts w:cs="Arial" w:asciiTheme="minorHAnsi" w:hAnsiTheme="minorHAnsi"/>
                <w:sz w:val="20"/>
              </w:rPr>
              <w:t>c</w:t>
            </w:r>
            <w:r w:rsidRPr="00DA1174">
              <w:rPr>
                <w:rFonts w:cs="Arial" w:asciiTheme="minorHAnsi" w:hAnsiTheme="minorHAnsi"/>
                <w:sz w:val="20"/>
              </w:rPr>
              <w:t xml:space="preserve"> episodes per 2 days were eligible if the clinician intended to begin anti-reflux medications for bradycardia attributed to GER. Anti-reflux medications did not reduce, and may have increased, bradycardia episodes in preterm infants with GER. Ranitidine is not recommended for this indication.</w:t>
            </w:r>
          </w:p>
          <w:p w:rsidRPr="00DA1174" w:rsidR="006665D7" w:rsidP="00FE4186" w:rsidRDefault="006665D7" w14:paraId="15CE9559" w14:textId="77777777">
            <w:pPr>
              <w:pStyle w:val="BodyText"/>
              <w:tabs>
                <w:tab w:val="left" w:pos="1168"/>
              </w:tabs>
              <w:rPr>
                <w:rFonts w:cs="Arial" w:asciiTheme="minorHAnsi" w:hAnsiTheme="minorHAnsi"/>
                <w:b/>
                <w:sz w:val="20"/>
                <w:u w:val="single"/>
              </w:rPr>
            </w:pPr>
          </w:p>
          <w:p w:rsidRPr="00DA1174" w:rsidR="006665D7" w:rsidP="00FE4186" w:rsidRDefault="006665D7" w14:paraId="314425DD" w14:textId="77777777">
            <w:pPr>
              <w:pStyle w:val="BodyText"/>
              <w:tabs>
                <w:tab w:val="left" w:pos="1168"/>
              </w:tabs>
              <w:rPr>
                <w:rFonts w:cs="Arial" w:asciiTheme="minorHAnsi" w:hAnsiTheme="minorHAnsi"/>
                <w:b/>
                <w:sz w:val="20"/>
                <w:u w:val="single"/>
              </w:rPr>
            </w:pPr>
            <w:r w:rsidRPr="00DA1174">
              <w:rPr>
                <w:rFonts w:cs="Arial" w:asciiTheme="minorHAnsi" w:hAnsiTheme="minorHAnsi"/>
                <w:b/>
                <w:sz w:val="20"/>
                <w:u w:val="single"/>
              </w:rPr>
              <w:t>Prophylactic therapy to reduce stress ulcers/GI haemorrhage</w:t>
            </w:r>
          </w:p>
          <w:p w:rsidRPr="00DA1174" w:rsidR="006665D7" w:rsidP="00FE4186" w:rsidRDefault="006665D7" w14:paraId="1E6D6169" w14:textId="77777777">
            <w:pPr>
              <w:pStyle w:val="BodyText"/>
              <w:tabs>
                <w:tab w:val="left" w:pos="1168"/>
              </w:tabs>
              <w:rPr>
                <w:rFonts w:cs="Arial" w:asciiTheme="minorHAnsi" w:hAnsiTheme="minorHAnsi"/>
                <w:sz w:val="20"/>
              </w:rPr>
            </w:pPr>
            <w:r w:rsidRPr="00DA1174">
              <w:rPr>
                <w:rFonts w:cs="Arial" w:asciiTheme="minorHAnsi" w:hAnsiTheme="minorHAnsi"/>
                <w:sz w:val="20"/>
              </w:rPr>
              <w:t>In a RCT by Kuusela et al,</w:t>
            </w:r>
            <w:r w:rsidRPr="00DA1174">
              <w:rPr>
                <w:rFonts w:cs="Arial" w:asciiTheme="minorHAnsi" w:hAnsiTheme="minorHAnsi"/>
                <w:sz w:val="20"/>
                <w:vertAlign w:val="superscript"/>
              </w:rPr>
              <w:t>15</w:t>
            </w:r>
            <w:r w:rsidRPr="00DA1174">
              <w:rPr>
                <w:rFonts w:cs="Arial" w:asciiTheme="minorHAnsi" w:hAnsiTheme="minorHAnsi"/>
                <w:sz w:val="20"/>
              </w:rPr>
              <w:t xml:space="preserve"> ranitidine was given</w:t>
            </w:r>
            <w:r w:rsidRPr="00DA1174">
              <w:rPr>
                <w:rFonts w:cs="Arial" w:asciiTheme="minorHAnsi" w:hAnsiTheme="minorHAnsi"/>
                <w:b/>
                <w:sz w:val="20"/>
                <w:u w:val="single"/>
              </w:rPr>
              <w:t xml:space="preserve"> </w:t>
            </w:r>
            <w:r w:rsidRPr="00DA1174">
              <w:rPr>
                <w:rFonts w:cs="Arial" w:asciiTheme="minorHAnsi" w:hAnsiTheme="minorHAnsi"/>
                <w:sz w:val="20"/>
              </w:rPr>
              <w:t xml:space="preserve">prophylactically after birth for 4 days to 48 infants mechanically ventilated and treated in the neonatal ICU. The gastric mucosa was both visually and histologically evaluated after 3 to 6 days. In the 23 infants prophylactically treated with ranitidine, the gastric mucosa was visually classified as normal in 14 (61%) infants as compared with five (20%) of 25 controls (p &lt; </w:t>
            </w:r>
            <w:r>
              <w:rPr>
                <w:rFonts w:cs="Arial" w:asciiTheme="minorHAnsi" w:hAnsiTheme="minorHAnsi"/>
                <w:sz w:val="20"/>
              </w:rPr>
              <w:t>0</w:t>
            </w:r>
            <w:r w:rsidRPr="00DA1174">
              <w:rPr>
                <w:rFonts w:cs="Arial" w:asciiTheme="minorHAnsi" w:hAnsiTheme="minorHAnsi"/>
                <w:sz w:val="20"/>
              </w:rPr>
              <w:t>.004). Histologi</w:t>
            </w:r>
            <w:r>
              <w:rPr>
                <w:rFonts w:cs="Arial" w:asciiTheme="minorHAnsi" w:hAnsiTheme="minorHAnsi"/>
                <w:sz w:val="20"/>
              </w:rPr>
              <w:t>cal</w:t>
            </w:r>
            <w:r w:rsidRPr="00DA1174">
              <w:rPr>
                <w:rFonts w:cs="Arial" w:asciiTheme="minorHAnsi" w:hAnsiTheme="minorHAnsi"/>
                <w:sz w:val="20"/>
              </w:rPr>
              <w:t xml:space="preserve"> lesions showed parallel results(57% vs. 16%, p &lt; </w:t>
            </w:r>
            <w:r>
              <w:rPr>
                <w:rFonts w:cs="Arial" w:asciiTheme="minorHAnsi" w:hAnsiTheme="minorHAnsi"/>
                <w:sz w:val="20"/>
              </w:rPr>
              <w:t>0</w:t>
            </w:r>
            <w:r w:rsidRPr="00DA1174">
              <w:rPr>
                <w:rFonts w:cs="Arial" w:asciiTheme="minorHAnsi" w:hAnsiTheme="minorHAnsi"/>
                <w:sz w:val="20"/>
              </w:rPr>
              <w:t>.004). Eight gastric ulcers were diagnosed endoscopically in the control group vs. none in the treatment group. The ulcers were all clinically 'silent' at the time of endoscopy. According to logistic regression mode</w:t>
            </w:r>
            <w:r>
              <w:rPr>
                <w:rFonts w:cs="Arial" w:asciiTheme="minorHAnsi" w:hAnsiTheme="minorHAnsi"/>
                <w:sz w:val="20"/>
              </w:rPr>
              <w:t>ll</w:t>
            </w:r>
            <w:r w:rsidRPr="00DA1174">
              <w:rPr>
                <w:rFonts w:cs="Arial" w:asciiTheme="minorHAnsi" w:hAnsiTheme="minorHAnsi"/>
                <w:sz w:val="20"/>
              </w:rPr>
              <w:t xml:space="preserve">ing, the </w:t>
            </w:r>
            <w:r>
              <w:rPr>
                <w:rFonts w:cs="Arial" w:asciiTheme="minorHAnsi" w:hAnsiTheme="minorHAnsi"/>
                <w:sz w:val="20"/>
              </w:rPr>
              <w:t>relative</w:t>
            </w:r>
            <w:r w:rsidRPr="00DA1174">
              <w:rPr>
                <w:rFonts w:cs="Arial" w:asciiTheme="minorHAnsi" w:hAnsiTheme="minorHAnsi"/>
                <w:sz w:val="20"/>
              </w:rPr>
              <w:t xml:space="preserve"> risk for gastric mucosal lesions in infants receiving prophylactic ranitidine was 0.03 (95% confidence interval 0.003 to 0.178). </w:t>
            </w:r>
          </w:p>
          <w:p w:rsidRPr="00DA1174" w:rsidR="006665D7" w:rsidP="00FE4186" w:rsidRDefault="006665D7" w14:paraId="653EAF9E" w14:textId="77777777">
            <w:pPr>
              <w:pStyle w:val="BodyText"/>
              <w:tabs>
                <w:tab w:val="left" w:pos="1168"/>
              </w:tabs>
              <w:rPr>
                <w:rFonts w:cs="Arial" w:asciiTheme="minorHAnsi" w:hAnsiTheme="minorHAnsi"/>
                <w:sz w:val="20"/>
              </w:rPr>
            </w:pPr>
          </w:p>
          <w:p w:rsidRPr="00DA1174" w:rsidR="006665D7" w:rsidP="00FE4186" w:rsidRDefault="006665D7" w14:paraId="30E41C43" w14:textId="77777777">
            <w:pPr>
              <w:pStyle w:val="BodyText"/>
              <w:tabs>
                <w:tab w:val="left" w:pos="1168"/>
              </w:tabs>
              <w:rPr>
                <w:rFonts w:cs="Arial" w:asciiTheme="minorHAnsi" w:hAnsiTheme="minorHAnsi"/>
                <w:sz w:val="20"/>
              </w:rPr>
            </w:pPr>
            <w:r w:rsidRPr="00DA1174">
              <w:rPr>
                <w:rFonts w:cs="Arial" w:asciiTheme="minorHAnsi" w:hAnsiTheme="minorHAnsi"/>
                <w:sz w:val="20"/>
              </w:rPr>
              <w:lastRenderedPageBreak/>
              <w:t>Pourarian et al,</w:t>
            </w:r>
            <w:r w:rsidRPr="00DA1174">
              <w:rPr>
                <w:rFonts w:cs="Arial" w:asciiTheme="minorHAnsi" w:hAnsiTheme="minorHAnsi"/>
                <w:sz w:val="20"/>
                <w:vertAlign w:val="superscript"/>
              </w:rPr>
              <w:t>16</w:t>
            </w:r>
            <w:r w:rsidRPr="00DA1174">
              <w:rPr>
                <w:rFonts w:cs="Arial" w:asciiTheme="minorHAnsi" w:hAnsiTheme="minorHAnsi"/>
                <w:sz w:val="20"/>
              </w:rPr>
              <w:t xml:space="preserve"> in another RCT, evaluated the effects of short-term prophylactic ranitidine in controlling gastric pH and prevention of GI bleeding in 80 neonates. They were randomly divided into case and control groups and their gastric pH, stool occult blood and macroscopic bleeding were determined. Intravenous ranitidine was administrated (5 mg/kg/day) for four days in </w:t>
            </w:r>
            <w:r>
              <w:rPr>
                <w:rFonts w:cs="Arial" w:asciiTheme="minorHAnsi" w:hAnsiTheme="minorHAnsi"/>
                <w:sz w:val="20"/>
              </w:rPr>
              <w:t xml:space="preserve">the </w:t>
            </w:r>
            <w:r w:rsidRPr="00DA1174">
              <w:rPr>
                <w:rFonts w:cs="Arial" w:asciiTheme="minorHAnsi" w:hAnsiTheme="minorHAnsi"/>
                <w:sz w:val="20"/>
              </w:rPr>
              <w:t xml:space="preserve">case group. Their gastric pH was measured before, one </w:t>
            </w:r>
            <w:r>
              <w:rPr>
                <w:rFonts w:cs="Arial" w:asciiTheme="minorHAnsi" w:hAnsiTheme="minorHAnsi"/>
                <w:sz w:val="20"/>
              </w:rPr>
              <w:t>hour</w:t>
            </w:r>
            <w:r w:rsidRPr="00DA1174">
              <w:rPr>
                <w:rFonts w:cs="Arial" w:asciiTheme="minorHAnsi" w:hAnsiTheme="minorHAnsi"/>
                <w:sz w:val="20"/>
              </w:rPr>
              <w:t xml:space="preserve"> and two or three days after injection and prophylactic treatment was considered successful if gastric pH was &gt; 4. Upper GI bleeding was observed in 41% of all patients. After ranitidine, there was a significant increase in gastric pH which </w:t>
            </w:r>
            <w:r>
              <w:rPr>
                <w:rFonts w:cs="Arial" w:asciiTheme="minorHAnsi" w:hAnsiTheme="minorHAnsi"/>
                <w:sz w:val="20"/>
              </w:rPr>
              <w:t xml:space="preserve">was </w:t>
            </w:r>
            <w:r w:rsidRPr="00DA1174">
              <w:rPr>
                <w:rFonts w:cs="Arial" w:asciiTheme="minorHAnsi" w:hAnsiTheme="minorHAnsi"/>
                <w:sz w:val="20"/>
              </w:rPr>
              <w:t xml:space="preserve">accompanied </w:t>
            </w:r>
            <w:r>
              <w:rPr>
                <w:rFonts w:cs="Arial" w:asciiTheme="minorHAnsi" w:hAnsiTheme="minorHAnsi"/>
                <w:sz w:val="20"/>
              </w:rPr>
              <w:t>by</w:t>
            </w:r>
            <w:r w:rsidRPr="00DA1174">
              <w:rPr>
                <w:rFonts w:cs="Arial" w:asciiTheme="minorHAnsi" w:hAnsiTheme="minorHAnsi"/>
                <w:sz w:val="20"/>
              </w:rPr>
              <w:t xml:space="preserve"> </w:t>
            </w:r>
            <w:r>
              <w:rPr>
                <w:rFonts w:cs="Arial" w:asciiTheme="minorHAnsi" w:hAnsiTheme="minorHAnsi"/>
                <w:sz w:val="20"/>
              </w:rPr>
              <w:t>a</w:t>
            </w:r>
            <w:r w:rsidRPr="00DA1174">
              <w:rPr>
                <w:rFonts w:cs="Arial" w:asciiTheme="minorHAnsi" w:hAnsiTheme="minorHAnsi"/>
                <w:sz w:val="20"/>
              </w:rPr>
              <w:t xml:space="preserve"> reduction </w:t>
            </w:r>
            <w:r>
              <w:rPr>
                <w:rFonts w:cs="Arial" w:asciiTheme="minorHAnsi" w:hAnsiTheme="minorHAnsi"/>
                <w:sz w:val="20"/>
              </w:rPr>
              <w:t>in</w:t>
            </w:r>
            <w:r w:rsidRPr="00DA1174">
              <w:rPr>
                <w:rFonts w:cs="Arial" w:asciiTheme="minorHAnsi" w:hAnsiTheme="minorHAnsi"/>
                <w:sz w:val="20"/>
              </w:rPr>
              <w:t xml:space="preserve"> the frequency of upper GI bleeding. Furthermore, no significant changes were noted in </w:t>
            </w:r>
            <w:r>
              <w:rPr>
                <w:rFonts w:cs="Arial" w:asciiTheme="minorHAnsi" w:hAnsiTheme="minorHAnsi"/>
                <w:sz w:val="20"/>
              </w:rPr>
              <w:t xml:space="preserve">the </w:t>
            </w:r>
            <w:r w:rsidRPr="00DA1174">
              <w:rPr>
                <w:rFonts w:cs="Arial" w:asciiTheme="minorHAnsi" w:hAnsiTheme="minorHAnsi"/>
                <w:sz w:val="20"/>
              </w:rPr>
              <w:t xml:space="preserve">gastric pH of control group. </w:t>
            </w:r>
          </w:p>
          <w:p w:rsidRPr="00DA1174" w:rsidR="006665D7" w:rsidP="00FE4186" w:rsidRDefault="006665D7" w14:paraId="3A1D0457" w14:textId="77777777">
            <w:pPr>
              <w:pStyle w:val="BodyText"/>
              <w:tabs>
                <w:tab w:val="left" w:pos="1168"/>
              </w:tabs>
              <w:rPr>
                <w:rFonts w:cs="Arial" w:asciiTheme="minorHAnsi" w:hAnsiTheme="minorHAnsi"/>
                <w:b/>
                <w:sz w:val="20"/>
                <w:u w:val="single"/>
              </w:rPr>
            </w:pPr>
            <w:r w:rsidRPr="00DA1174">
              <w:rPr>
                <w:rFonts w:cs="Arial" w:asciiTheme="minorHAnsi" w:hAnsiTheme="minorHAnsi"/>
                <w:b/>
                <w:sz w:val="20"/>
                <w:u w:val="single"/>
              </w:rPr>
              <w:t>Pharmacokinetics</w:t>
            </w:r>
          </w:p>
          <w:p w:rsidRPr="00DA1174" w:rsidR="006665D7" w:rsidP="00FE4186" w:rsidRDefault="006665D7" w14:paraId="063C5AD2" w14:textId="77777777">
            <w:pPr>
              <w:pStyle w:val="BodyText"/>
              <w:tabs>
                <w:tab w:val="left" w:pos="1168"/>
              </w:tabs>
              <w:rPr>
                <w:rFonts w:cs="Arial" w:asciiTheme="minorHAnsi" w:hAnsiTheme="minorHAnsi"/>
                <w:sz w:val="20"/>
              </w:rPr>
            </w:pPr>
            <w:r w:rsidRPr="00DA1174">
              <w:rPr>
                <w:rFonts w:cs="Arial" w:asciiTheme="minorHAnsi" w:hAnsiTheme="minorHAnsi"/>
                <w:sz w:val="20"/>
              </w:rPr>
              <w:t>Preterm infants need significantly smaller doses of intravenous ranitidine than term neonates to keep their intraluminal gastric pH over 4. The required optimal dose of intravenous ranitidine for preterm infants is 0.5 mg/kg/body weight twice a day and that for term infants 1.5 mg/kg body weight three times a day.</w:t>
            </w:r>
            <w:r w:rsidRPr="00DA1174">
              <w:rPr>
                <w:rFonts w:cs="Arial" w:asciiTheme="minorHAnsi" w:hAnsiTheme="minorHAnsi"/>
                <w:sz w:val="20"/>
                <w:vertAlign w:val="superscript"/>
              </w:rPr>
              <w:t>20</w:t>
            </w:r>
          </w:p>
          <w:p w:rsidRPr="00DA1174" w:rsidR="006665D7" w:rsidP="00FE4186" w:rsidRDefault="006665D7" w14:paraId="5474DC44" w14:textId="77777777">
            <w:pPr>
              <w:pStyle w:val="BodyText"/>
              <w:tabs>
                <w:tab w:val="left" w:pos="1168"/>
              </w:tabs>
              <w:rPr>
                <w:rFonts w:cs="Arial" w:asciiTheme="minorHAnsi" w:hAnsiTheme="minorHAnsi"/>
                <w:sz w:val="20"/>
              </w:rPr>
            </w:pPr>
            <w:r w:rsidRPr="00DA1174">
              <w:rPr>
                <w:rFonts w:cs="Arial" w:asciiTheme="minorHAnsi" w:hAnsiTheme="minorHAnsi"/>
                <w:sz w:val="20"/>
              </w:rPr>
              <w:t>Ranitidine (2 mg/kg per dose orally) reduced the time that gastric pH was &lt;</w:t>
            </w:r>
            <w:r>
              <w:rPr>
                <w:rFonts w:cs="Arial" w:asciiTheme="minorHAnsi" w:hAnsiTheme="minorHAnsi"/>
                <w:sz w:val="20"/>
              </w:rPr>
              <w:t xml:space="preserve"> </w:t>
            </w:r>
            <w:r w:rsidRPr="00DA1174">
              <w:rPr>
                <w:rFonts w:cs="Arial" w:asciiTheme="minorHAnsi" w:hAnsiTheme="minorHAnsi"/>
                <w:sz w:val="20"/>
              </w:rPr>
              <w:t>4.0 by 44% when given twice daily and by 90% when given 3 times per day.</w:t>
            </w:r>
            <w:r w:rsidRPr="00DA1174">
              <w:rPr>
                <w:rFonts w:cs="Arial" w:asciiTheme="minorHAnsi" w:hAnsiTheme="minorHAnsi"/>
                <w:sz w:val="20"/>
                <w:vertAlign w:val="superscript"/>
              </w:rPr>
              <w:t>21</w:t>
            </w:r>
          </w:p>
          <w:p w:rsidRPr="00DA1174" w:rsidR="006665D7" w:rsidP="00FE4186" w:rsidRDefault="006665D7" w14:paraId="2232FC77" w14:textId="77777777">
            <w:pPr>
              <w:pStyle w:val="BodyText"/>
              <w:tabs>
                <w:tab w:val="left" w:pos="1168"/>
              </w:tabs>
              <w:rPr>
                <w:rFonts w:cs="Arial" w:asciiTheme="minorHAnsi" w:hAnsiTheme="minorHAnsi"/>
                <w:sz w:val="20"/>
                <w:vertAlign w:val="superscript"/>
              </w:rPr>
            </w:pPr>
            <w:r w:rsidRPr="00DA1174">
              <w:rPr>
                <w:rFonts w:cs="Arial" w:asciiTheme="minorHAnsi" w:hAnsiTheme="minorHAnsi"/>
                <w:sz w:val="20"/>
              </w:rPr>
              <w:t>Target serum ranitidine concentrations effective in reducing gastric acid output probably vary with the gestational and postnatal age of the patient and with the underlying medical disorder (for example, acute stress). Concentrations between 40 and 60 ng/</w:t>
            </w:r>
            <w:r>
              <w:rPr>
                <w:rFonts w:cs="Arial" w:asciiTheme="minorHAnsi" w:hAnsiTheme="minorHAnsi"/>
                <w:sz w:val="20"/>
              </w:rPr>
              <w:t>mL</w:t>
            </w:r>
            <w:r w:rsidRPr="00DA1174">
              <w:rPr>
                <w:rFonts w:cs="Arial" w:asciiTheme="minorHAnsi" w:hAnsiTheme="minorHAnsi"/>
                <w:sz w:val="20"/>
              </w:rPr>
              <w:t xml:space="preserve"> were found to suppress unstimulated gastric secretion by 90% in children aged </w:t>
            </w:r>
            <w:r>
              <w:rPr>
                <w:rFonts w:cs="Arial" w:asciiTheme="minorHAnsi" w:hAnsiTheme="minorHAnsi"/>
                <w:sz w:val="20"/>
              </w:rPr>
              <w:t>up</w:t>
            </w:r>
            <w:r w:rsidRPr="00DA1174">
              <w:rPr>
                <w:rFonts w:cs="Arial" w:asciiTheme="minorHAnsi" w:hAnsiTheme="minorHAnsi"/>
                <w:sz w:val="20"/>
              </w:rPr>
              <w:t xml:space="preserve"> to 16 years with peptic ulcer disease; Eddlestone et al found the gastric pH to be maintained above 3</w:t>
            </w:r>
            <w:r>
              <w:rPr>
                <w:rFonts w:cs="Arial" w:asciiTheme="minorHAnsi" w:hAnsiTheme="minorHAnsi"/>
                <w:sz w:val="20"/>
              </w:rPr>
              <w:t>–</w:t>
            </w:r>
            <w:r w:rsidRPr="00DA1174">
              <w:rPr>
                <w:rFonts w:cs="Arial" w:asciiTheme="minorHAnsi" w:hAnsiTheme="minorHAnsi"/>
                <w:sz w:val="20"/>
              </w:rPr>
              <w:t>5 by serum concentrations greater than 200 ng/</w:t>
            </w:r>
            <w:r>
              <w:rPr>
                <w:rFonts w:cs="Arial" w:asciiTheme="minorHAnsi" w:hAnsiTheme="minorHAnsi"/>
                <w:sz w:val="20"/>
              </w:rPr>
              <w:t>mL</w:t>
            </w:r>
            <w:r w:rsidRPr="00DA1174">
              <w:rPr>
                <w:rFonts w:cs="Arial" w:asciiTheme="minorHAnsi" w:hAnsiTheme="minorHAnsi"/>
                <w:sz w:val="20"/>
              </w:rPr>
              <w:t>. Concentrations greater than 100 and 200 ng/</w:t>
            </w:r>
            <w:r>
              <w:rPr>
                <w:rFonts w:cs="Arial" w:asciiTheme="minorHAnsi" w:hAnsiTheme="minorHAnsi"/>
                <w:sz w:val="20"/>
              </w:rPr>
              <w:t>mL</w:t>
            </w:r>
            <w:r w:rsidRPr="00DA1174">
              <w:rPr>
                <w:rFonts w:cs="Arial" w:asciiTheme="minorHAnsi" w:hAnsiTheme="minorHAnsi"/>
                <w:sz w:val="20"/>
              </w:rPr>
              <w:t xml:space="preserve"> could be expected for at least 12 hours after a single intravenous bolus of 1.6 and </w:t>
            </w:r>
            <w:r>
              <w:rPr>
                <w:rFonts w:cs="Arial" w:asciiTheme="minorHAnsi" w:hAnsiTheme="minorHAnsi"/>
                <w:sz w:val="20"/>
              </w:rPr>
              <w:t>3.3</w:t>
            </w:r>
            <w:r w:rsidRPr="00DA1174">
              <w:rPr>
                <w:rFonts w:cs="Arial" w:asciiTheme="minorHAnsi" w:hAnsiTheme="minorHAnsi"/>
                <w:sz w:val="20"/>
              </w:rPr>
              <w:t xml:space="preserve"> mg/kg respectively; the same average concentration range could be obtained at steady state by continuous intravenous infusion at a rate between 0 03</w:t>
            </w:r>
            <w:r>
              <w:rPr>
                <w:rFonts w:cs="Arial" w:asciiTheme="minorHAnsi" w:hAnsiTheme="minorHAnsi"/>
                <w:sz w:val="20"/>
              </w:rPr>
              <w:t>–</w:t>
            </w:r>
            <w:r w:rsidRPr="00DA1174">
              <w:rPr>
                <w:rFonts w:cs="Arial" w:asciiTheme="minorHAnsi" w:hAnsiTheme="minorHAnsi"/>
                <w:sz w:val="20"/>
              </w:rPr>
              <w:t>0.06 mg/kg/hour.</w:t>
            </w:r>
            <w:r w:rsidRPr="00DA1174">
              <w:rPr>
                <w:rFonts w:cs="Arial" w:asciiTheme="minorHAnsi" w:hAnsiTheme="minorHAnsi"/>
                <w:sz w:val="20"/>
                <w:vertAlign w:val="superscript"/>
              </w:rPr>
              <w:t>22</w:t>
            </w:r>
          </w:p>
          <w:p w:rsidRPr="00DA1174" w:rsidR="006665D7" w:rsidP="00FE4186" w:rsidRDefault="006665D7" w14:paraId="190C19F4" w14:textId="77777777">
            <w:pPr>
              <w:pStyle w:val="BodyText"/>
              <w:tabs>
                <w:tab w:val="left" w:pos="1168"/>
              </w:tabs>
              <w:rPr>
                <w:rFonts w:cs="Arial" w:asciiTheme="minorHAnsi" w:hAnsiTheme="minorHAnsi"/>
                <w:sz w:val="20"/>
                <w:vertAlign w:val="superscript"/>
              </w:rPr>
            </w:pPr>
          </w:p>
          <w:p w:rsidRPr="00DA1174" w:rsidR="006665D7" w:rsidP="00FE4186" w:rsidRDefault="006665D7" w14:paraId="004C6C61" w14:textId="77777777">
            <w:pPr>
              <w:pStyle w:val="BodyText"/>
              <w:tabs>
                <w:tab w:val="left" w:pos="1168"/>
              </w:tabs>
              <w:rPr>
                <w:rFonts w:cs="Arial" w:asciiTheme="minorHAnsi" w:hAnsiTheme="minorHAnsi"/>
                <w:b/>
                <w:sz w:val="20"/>
                <w:u w:val="single"/>
              </w:rPr>
            </w:pPr>
            <w:r w:rsidRPr="00DA1174">
              <w:rPr>
                <w:rFonts w:cs="Arial" w:asciiTheme="minorHAnsi" w:hAnsiTheme="minorHAnsi"/>
                <w:b/>
                <w:sz w:val="20"/>
                <w:u w:val="single"/>
              </w:rPr>
              <w:t>Safety</w:t>
            </w:r>
          </w:p>
          <w:p w:rsidRPr="00DA1174" w:rsidR="006665D7" w:rsidP="00FE4186" w:rsidRDefault="006665D7" w14:paraId="0EE66456" w14:textId="77777777">
            <w:pPr>
              <w:pStyle w:val="BodyText"/>
              <w:tabs>
                <w:tab w:val="left" w:pos="1168"/>
              </w:tabs>
              <w:rPr>
                <w:rFonts w:cs="Arial" w:asciiTheme="minorHAnsi" w:hAnsiTheme="minorHAnsi"/>
                <w:sz w:val="20"/>
              </w:rPr>
            </w:pPr>
            <w:r w:rsidRPr="00DA1174">
              <w:rPr>
                <w:rFonts w:cs="Arial" w:asciiTheme="minorHAnsi" w:hAnsiTheme="minorHAnsi"/>
                <w:sz w:val="20"/>
              </w:rPr>
              <w:t>More et al,</w:t>
            </w:r>
            <w:r w:rsidRPr="00DA1174">
              <w:rPr>
                <w:rFonts w:cs="Arial" w:asciiTheme="minorHAnsi" w:hAnsiTheme="minorHAnsi"/>
                <w:sz w:val="20"/>
                <w:vertAlign w:val="superscript"/>
              </w:rPr>
              <w:t>18</w:t>
            </w:r>
            <w:r w:rsidRPr="00DA1174">
              <w:rPr>
                <w:rFonts w:cs="Arial" w:asciiTheme="minorHAnsi" w:hAnsiTheme="minorHAnsi"/>
                <w:sz w:val="20"/>
              </w:rPr>
              <w:t xml:space="preserve"> performed a systematic review on the safety of H</w:t>
            </w:r>
            <w:r w:rsidRPr="00147DC1">
              <w:rPr>
                <w:rFonts w:cs="Arial" w:asciiTheme="minorHAnsi" w:hAnsiTheme="minorHAnsi"/>
                <w:sz w:val="20"/>
                <w:vertAlign w:val="subscript"/>
              </w:rPr>
              <w:t>2</w:t>
            </w:r>
            <w:r w:rsidRPr="00DA1174">
              <w:rPr>
                <w:rFonts w:cs="Arial" w:asciiTheme="minorHAnsi" w:hAnsiTheme="minorHAnsi"/>
                <w:sz w:val="20"/>
              </w:rPr>
              <w:t>-blockers in preterm infants. One case-control and one prospective cohort study (n = 11,346), both evaluating H</w:t>
            </w:r>
            <w:r w:rsidRPr="00147DC1">
              <w:rPr>
                <w:rFonts w:cs="Arial" w:asciiTheme="minorHAnsi" w:hAnsiTheme="minorHAnsi"/>
                <w:sz w:val="20"/>
                <w:vertAlign w:val="subscript"/>
              </w:rPr>
              <w:t>2</w:t>
            </w:r>
            <w:r w:rsidRPr="00DA1174">
              <w:rPr>
                <w:rFonts w:cs="Arial" w:asciiTheme="minorHAnsi" w:hAnsiTheme="minorHAnsi"/>
                <w:sz w:val="20"/>
              </w:rPr>
              <w:t>-blockers as IGA (</w:t>
            </w:r>
            <w:r>
              <w:rPr>
                <w:rFonts w:cs="Arial" w:asciiTheme="minorHAnsi" w:hAnsiTheme="minorHAnsi"/>
                <w:sz w:val="20"/>
              </w:rPr>
              <w:t>i</w:t>
            </w:r>
            <w:r w:rsidRPr="00DA1174">
              <w:rPr>
                <w:rFonts w:cs="Arial" w:asciiTheme="minorHAnsi" w:hAnsiTheme="minorHAnsi"/>
                <w:sz w:val="20"/>
              </w:rPr>
              <w:t xml:space="preserve">nhibitors of </w:t>
            </w:r>
            <w:r>
              <w:rPr>
                <w:rFonts w:cs="Arial" w:asciiTheme="minorHAnsi" w:hAnsiTheme="minorHAnsi"/>
                <w:sz w:val="20"/>
              </w:rPr>
              <w:t>g</w:t>
            </w:r>
            <w:r w:rsidRPr="00DA1174">
              <w:rPr>
                <w:rFonts w:cs="Arial" w:asciiTheme="minorHAnsi" w:hAnsiTheme="minorHAnsi"/>
                <w:sz w:val="20"/>
              </w:rPr>
              <w:t>astric acid), were included. Meta-analysis showed a significant association between NEC and IGA (odds ratio [OR]: 1.78, 95% confidence interval [CI]: 1.4</w:t>
            </w:r>
            <w:r>
              <w:rPr>
                <w:rFonts w:cs="Arial" w:asciiTheme="minorHAnsi" w:hAnsiTheme="minorHAnsi"/>
                <w:sz w:val="20"/>
              </w:rPr>
              <w:t>;</w:t>
            </w:r>
            <w:r w:rsidRPr="00DA1174">
              <w:rPr>
                <w:rFonts w:cs="Arial" w:asciiTheme="minorHAnsi" w:hAnsiTheme="minorHAnsi"/>
                <w:sz w:val="20"/>
              </w:rPr>
              <w:t xml:space="preserve"> 2.27, p &lt; 0.00001). The prospective cohort study found </w:t>
            </w:r>
            <w:r>
              <w:rPr>
                <w:rFonts w:cs="Arial" w:asciiTheme="minorHAnsi" w:hAnsiTheme="minorHAnsi"/>
                <w:sz w:val="20"/>
              </w:rPr>
              <w:t xml:space="preserve">a </w:t>
            </w:r>
            <w:r w:rsidRPr="00DA1174">
              <w:rPr>
                <w:rFonts w:cs="Arial" w:asciiTheme="minorHAnsi" w:hAnsiTheme="minorHAnsi"/>
                <w:sz w:val="20"/>
              </w:rPr>
              <w:t>higher incidence of infection (sepsis, pneumonia, urinary tract infection) with IGA (37.4% versus 9.8%, OR: 5.5, 95% CI: 2.9 to 10.4, p &lt; 0.001). Meta-analysis concluded that exposure to H</w:t>
            </w:r>
            <w:r w:rsidRPr="00147DC1">
              <w:rPr>
                <w:rFonts w:cs="Arial" w:asciiTheme="minorHAnsi" w:hAnsiTheme="minorHAnsi"/>
                <w:sz w:val="20"/>
                <w:vertAlign w:val="subscript"/>
              </w:rPr>
              <w:t>2</w:t>
            </w:r>
            <w:r w:rsidRPr="00DA1174">
              <w:rPr>
                <w:rFonts w:cs="Arial" w:asciiTheme="minorHAnsi" w:hAnsiTheme="minorHAnsi"/>
                <w:sz w:val="20"/>
              </w:rPr>
              <w:t xml:space="preserve"> receptor antagonists may be associated with increased risk of NEC and infections in preterm infants.(LOE ?1 or II, GOR B)</w:t>
            </w:r>
          </w:p>
          <w:p w:rsidRPr="00DA1174" w:rsidR="006665D7" w:rsidP="00FE4186" w:rsidRDefault="006665D7" w14:paraId="37A3F955" w14:textId="77777777">
            <w:pPr>
              <w:pStyle w:val="BodyText"/>
              <w:tabs>
                <w:tab w:val="left" w:pos="1168"/>
              </w:tabs>
              <w:rPr>
                <w:rFonts w:cs="Arial" w:asciiTheme="minorHAnsi" w:hAnsiTheme="minorHAnsi"/>
                <w:sz w:val="20"/>
                <w:vertAlign w:val="superscript"/>
              </w:rPr>
            </w:pPr>
            <w:r w:rsidRPr="00DA1174">
              <w:rPr>
                <w:rFonts w:cs="Arial" w:asciiTheme="minorHAnsi" w:hAnsiTheme="minorHAnsi"/>
                <w:sz w:val="20"/>
              </w:rPr>
              <w:t>Terrin G, et al,</w:t>
            </w:r>
            <w:r w:rsidRPr="00DA1174">
              <w:rPr>
                <w:rFonts w:cs="Arial" w:asciiTheme="minorHAnsi" w:hAnsiTheme="minorHAnsi"/>
                <w:sz w:val="20"/>
                <w:vertAlign w:val="superscript"/>
              </w:rPr>
              <w:t>9</w:t>
            </w:r>
            <w:r w:rsidRPr="00DA1174">
              <w:rPr>
                <w:rFonts w:cs="Arial" w:asciiTheme="minorHAnsi" w:hAnsiTheme="minorHAnsi"/>
                <w:sz w:val="20"/>
              </w:rPr>
              <w:t xml:space="preserve"> in a multicentre, prospective observational study involving 274 VLBW newborns with birth weight between 401 and 1500 g or gestational age between 24 and 32 weeks showed that risk of NEC was 6.6-fold higher in ranitidine-treated VLBW infants than in control subjects. Mortality rate was also significantly higher in newborns receiving ranitidine (9.9% vs 1.6%, P = </w:t>
            </w:r>
            <w:r>
              <w:rPr>
                <w:rFonts w:cs="Arial" w:asciiTheme="minorHAnsi" w:hAnsiTheme="minorHAnsi"/>
                <w:sz w:val="20"/>
              </w:rPr>
              <w:t>0</w:t>
            </w:r>
            <w:r w:rsidRPr="00DA1174">
              <w:rPr>
                <w:rFonts w:cs="Arial" w:asciiTheme="minorHAnsi" w:hAnsiTheme="minorHAnsi"/>
                <w:sz w:val="20"/>
              </w:rPr>
              <w:t>.003). (LOE II, GOR B) There were other retrospective case series reporting similar increas</w:t>
            </w:r>
            <w:r>
              <w:rPr>
                <w:rFonts w:cs="Arial" w:asciiTheme="minorHAnsi" w:hAnsiTheme="minorHAnsi"/>
                <w:sz w:val="20"/>
              </w:rPr>
              <w:t>es</w:t>
            </w:r>
            <w:r w:rsidRPr="00DA1174">
              <w:rPr>
                <w:rFonts w:cs="Arial" w:asciiTheme="minorHAnsi" w:hAnsiTheme="minorHAnsi"/>
                <w:sz w:val="20"/>
              </w:rPr>
              <w:t xml:space="preserve"> in NEC.</w:t>
            </w:r>
            <w:r w:rsidRPr="00DA1174">
              <w:rPr>
                <w:rFonts w:cs="Arial" w:asciiTheme="minorHAnsi" w:hAnsiTheme="minorHAnsi"/>
                <w:sz w:val="20"/>
                <w:vertAlign w:val="superscript"/>
              </w:rPr>
              <w:t>8,10</w:t>
            </w:r>
          </w:p>
          <w:p w:rsidRPr="00DA1174" w:rsidR="006665D7" w:rsidP="00FE4186" w:rsidRDefault="006665D7" w14:paraId="28A0FBAB" w14:textId="77777777">
            <w:pPr>
              <w:pStyle w:val="BodyText"/>
              <w:tabs>
                <w:tab w:val="left" w:pos="1168"/>
              </w:tabs>
              <w:rPr>
                <w:rFonts w:cs="Arial" w:asciiTheme="minorHAnsi" w:hAnsiTheme="minorHAnsi"/>
                <w:sz w:val="20"/>
              </w:rPr>
            </w:pPr>
            <w:r w:rsidRPr="00DA1174">
              <w:rPr>
                <w:rFonts w:cs="Arial" w:asciiTheme="minorHAnsi" w:hAnsiTheme="minorHAnsi"/>
                <w:sz w:val="20"/>
              </w:rPr>
              <w:t>Saiman et al, in a multicentre, prospective observational study involving 2157 infants in 6 NICUs in Canada showed that</w:t>
            </w:r>
            <w:r w:rsidRPr="00DA1174">
              <w:rPr>
                <w:rFonts w:cs="Arial" w:asciiTheme="minorHAnsi" w:hAnsiTheme="minorHAnsi"/>
                <w:b/>
                <w:sz w:val="20"/>
              </w:rPr>
              <w:t xml:space="preserve"> </w:t>
            </w:r>
            <w:r w:rsidRPr="00DA1174">
              <w:rPr>
                <w:rFonts w:cs="Arial" w:asciiTheme="minorHAnsi" w:hAnsiTheme="minorHAnsi"/>
                <w:sz w:val="20"/>
              </w:rPr>
              <w:t>H</w:t>
            </w:r>
            <w:r w:rsidRPr="00147DC1">
              <w:rPr>
                <w:rFonts w:cs="Arial" w:asciiTheme="minorHAnsi" w:hAnsiTheme="minorHAnsi"/>
                <w:sz w:val="20"/>
                <w:vertAlign w:val="subscript"/>
              </w:rPr>
              <w:t>2</w:t>
            </w:r>
            <w:r w:rsidRPr="00DA1174">
              <w:rPr>
                <w:rFonts w:cs="Arial" w:asciiTheme="minorHAnsi" w:hAnsiTheme="minorHAnsi"/>
                <w:sz w:val="20"/>
              </w:rPr>
              <w:t xml:space="preserve"> blockers was an independent risk factor for </w:t>
            </w:r>
            <w:r w:rsidRPr="00147DC1">
              <w:rPr>
                <w:rFonts w:cs="Arial" w:asciiTheme="minorHAnsi" w:hAnsiTheme="minorHAnsi"/>
                <w:i/>
                <w:sz w:val="20"/>
              </w:rPr>
              <w:t>C. parapsilosis</w:t>
            </w:r>
            <w:r w:rsidRPr="00DA1174">
              <w:rPr>
                <w:rFonts w:cs="Arial" w:asciiTheme="minorHAnsi" w:hAnsiTheme="minorHAnsi"/>
                <w:sz w:val="20"/>
              </w:rPr>
              <w:t>.</w:t>
            </w:r>
            <w:r w:rsidRPr="00DA1174">
              <w:rPr>
                <w:rFonts w:cs="Arial" w:asciiTheme="minorHAnsi" w:hAnsiTheme="minorHAnsi"/>
                <w:sz w:val="20"/>
                <w:vertAlign w:val="superscript"/>
              </w:rPr>
              <w:t>14</w:t>
            </w:r>
            <w:r w:rsidRPr="00DA1174">
              <w:rPr>
                <w:rFonts w:cs="Arial" w:asciiTheme="minorHAnsi" w:hAnsiTheme="minorHAnsi"/>
                <w:sz w:val="20"/>
              </w:rPr>
              <w:t xml:space="preserve"> (LOEII, GOR C)</w:t>
            </w:r>
          </w:p>
        </w:tc>
      </w:tr>
      <w:tr w:rsidRPr="00DA1174" w:rsidR="006665D7" w:rsidTr="00FE4186" w14:paraId="17CE3C94" w14:textId="77777777">
        <w:trPr>
          <w:trHeight w:val="361"/>
        </w:trPr>
        <w:tc>
          <w:tcPr>
            <w:tcW w:w="1060" w:type="pct"/>
          </w:tcPr>
          <w:p w:rsidRPr="00DA1174" w:rsidR="006665D7" w:rsidP="00FE4186" w:rsidRDefault="006665D7" w14:paraId="2DC8313D" w14:textId="77777777">
            <w:pPr>
              <w:pStyle w:val="BodyText"/>
              <w:rPr>
                <w:rFonts w:cs="Arial" w:asciiTheme="minorHAnsi" w:hAnsiTheme="minorHAnsi"/>
                <w:b/>
                <w:bCs/>
                <w:sz w:val="20"/>
              </w:rPr>
            </w:pPr>
            <w:r w:rsidRPr="00DA1174">
              <w:rPr>
                <w:rFonts w:asciiTheme="minorHAnsi" w:hAnsiTheme="minorHAnsi"/>
                <w:b/>
                <w:sz w:val="20"/>
              </w:rPr>
              <w:lastRenderedPageBreak/>
              <w:t>References</w:t>
            </w:r>
          </w:p>
        </w:tc>
        <w:tc>
          <w:tcPr>
            <w:tcW w:w="3940" w:type="pct"/>
          </w:tcPr>
          <w:p w:rsidRPr="00DA1174" w:rsidR="006665D7" w:rsidP="001B0E05" w:rsidRDefault="006665D7" w14:paraId="7415B139"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NICE Guideline 2015. Gastro-oesophageal reflux disease in children and young people: diagnosis and management. Published: 14 January 2015. nice.org.uk/guidance/ng1.</w:t>
            </w:r>
          </w:p>
          <w:p w:rsidRPr="00DA1174" w:rsidR="006665D7" w:rsidP="001B0E05" w:rsidRDefault="006665D7" w14:paraId="7F3CBD28"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Vandenplas Y, Rudolph CD, Di Lorenzo C, Hassall E,</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Liptak G, Mazur L, Sondheimer J, Staiano</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A, et al. Pediatric Gastroesophageal Reflux Clinical Practice Guidelines: Joint Recommendations of the North American Society of Pediatric Gastroenterology, Hepatology, and Nutrition and the European Society of Pediatric Gastroenterology, Hepatology, and Nutrition.</w:t>
            </w:r>
          </w:p>
          <w:p w:rsidRPr="00DA1174" w:rsidR="006665D7" w:rsidP="001B0E05" w:rsidRDefault="006665D7" w14:paraId="5831A5A2"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Shawyer AC, D'Souza J, Pemberton J, Flageole H. The management of postoperative reflux in congenital esophageal atresia-tracheoesophageal fistula: a systematic review.   Pediatr Surg Int 2014;30(10):987-96.</w:t>
            </w:r>
          </w:p>
          <w:p w:rsidRPr="00DA1174" w:rsidR="006665D7" w:rsidP="001B0E05" w:rsidRDefault="006665D7" w14:paraId="03AC2CAB"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lastRenderedPageBreak/>
              <w:t>Tighe</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M, Afzal</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NA, Bevan</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A,</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Hayen</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A,</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Munro</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A, Beattie RM. Pharmacological treatment of children with gastro-oesophageal reflux. Cochrane Database of Systematic Reviews 2014, Issue 11. Art. No.: CD008550. DOI: 10.1002/14651858.CD008550.pub2.</w:t>
            </w:r>
          </w:p>
          <w:p w:rsidRPr="00DA1174" w:rsidR="006665D7" w:rsidP="001B0E05" w:rsidRDefault="006665D7" w14:paraId="7F3A5669" w14:textId="77777777">
            <w:pPr>
              <w:numPr>
                <w:ilvl w:val="0"/>
                <w:numId w:val="68"/>
              </w:numPr>
              <w:contextualSpacing/>
              <w:rPr>
                <w:rFonts w:eastAsia="Arial Unicode MS" w:cs="Arial Unicode MS" w:asciiTheme="minorHAnsi" w:hAnsiTheme="minorHAnsi"/>
                <w:sz w:val="16"/>
                <w:szCs w:val="16"/>
              </w:rPr>
            </w:pPr>
            <w:r w:rsidRPr="00DA1174">
              <w:rPr>
                <w:rFonts w:eastAsia="Arial Unicode MS" w:cs="Arial Unicode MS" w:asciiTheme="minorHAnsi" w:hAnsiTheme="minorHAnsi"/>
                <w:sz w:val="16"/>
                <w:szCs w:val="16"/>
              </w:rPr>
              <w:t>Freedberg DE, Lamouse-Smith ES, Lightdale JR, Jin Z, Yang YX, Abrams JA. Use of Acid Suppression Medication is Associated With Risk for C. difficile Infection in Infants and Children: A Population-based Study.   Clin Infect Dis 2015;61(6):912-7.</w:t>
            </w:r>
          </w:p>
          <w:p w:rsidRPr="00DA1174" w:rsidR="006665D7" w:rsidP="001B0E05" w:rsidRDefault="006665D7" w14:paraId="7C12067B" w14:textId="77777777">
            <w:pPr>
              <w:numPr>
                <w:ilvl w:val="0"/>
                <w:numId w:val="68"/>
              </w:numPr>
              <w:contextualSpacing/>
              <w:rPr>
                <w:rFonts w:eastAsia="Arial Unicode MS" w:cs="Arial Unicode MS" w:asciiTheme="minorHAnsi" w:hAnsiTheme="minorHAnsi"/>
                <w:sz w:val="16"/>
                <w:szCs w:val="16"/>
              </w:rPr>
            </w:pPr>
            <w:r w:rsidRPr="00DA1174">
              <w:rPr>
                <w:rFonts w:eastAsia="Arial Unicode MS" w:cs="Arial Unicode MS" w:asciiTheme="minorHAnsi" w:hAnsiTheme="minorHAnsi"/>
                <w:sz w:val="16"/>
                <w:szCs w:val="16"/>
              </w:rPr>
              <w:t>Jimenez J, Drees M, Loveridge-Lenza B, Eppes S, del</w:t>
            </w:r>
            <w:r>
              <w:rPr>
                <w:rFonts w:eastAsia="Arial Unicode MS" w:cs="Arial Unicode MS" w:asciiTheme="minorHAnsi" w:hAnsiTheme="minorHAnsi"/>
                <w:sz w:val="16"/>
                <w:szCs w:val="16"/>
              </w:rPr>
              <w:t xml:space="preserve"> </w:t>
            </w:r>
            <w:r w:rsidRPr="00DA1174">
              <w:rPr>
                <w:rFonts w:eastAsia="Arial Unicode MS" w:cs="Arial Unicode MS" w:asciiTheme="minorHAnsi" w:hAnsiTheme="minorHAnsi"/>
                <w:sz w:val="16"/>
                <w:szCs w:val="16"/>
              </w:rPr>
              <w:t>Rosario F. Exposure to Gastric Acid-Suppression Therapy Is Associated With Health Care- and Community-Associated Clostridium difficile Infection in Children.   J Pediatr Gastroenterol Nutr 2015;61(2):208-11.</w:t>
            </w:r>
          </w:p>
          <w:p w:rsidRPr="00DA1174" w:rsidR="006665D7" w:rsidP="001B0E05" w:rsidRDefault="006665D7" w14:paraId="5A8FA520" w14:textId="77777777">
            <w:pPr>
              <w:numPr>
                <w:ilvl w:val="0"/>
                <w:numId w:val="68"/>
              </w:numPr>
              <w:contextualSpacing/>
              <w:rPr>
                <w:rFonts w:eastAsia="Arial Unicode MS" w:cs="Arial Unicode MS" w:asciiTheme="minorHAnsi" w:hAnsiTheme="minorHAnsi"/>
                <w:sz w:val="16"/>
                <w:szCs w:val="16"/>
              </w:rPr>
            </w:pPr>
            <w:r w:rsidRPr="00DA1174">
              <w:rPr>
                <w:rFonts w:eastAsia="Arial Unicode MS" w:cs="Arial Unicode MS" w:asciiTheme="minorHAnsi" w:hAnsiTheme="minorHAnsi"/>
                <w:sz w:val="16"/>
                <w:szCs w:val="16"/>
              </w:rPr>
              <w:t xml:space="preserve">Cohen S, Bueno de Mesquita M, Mimouni FB. Adverse effects reported in the use of gastroesophageal reflux disease treatments in children: a 10 years literature review.   Br J Clin Pharmacol 2015;80(2):200-8. </w:t>
            </w:r>
          </w:p>
          <w:p w:rsidRPr="00DA1174" w:rsidR="006665D7" w:rsidP="001B0E05" w:rsidRDefault="006665D7" w14:paraId="53BEB3FC"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Guillet R, Stoll BJ, Cotten CM, et al. Association of H2-blocker therapy and higher incidence of necrotizing enterocolitis in very low birth weight infants. Pediatrics 2006;117:e137–42.</w:t>
            </w:r>
          </w:p>
          <w:p w:rsidRPr="00DA1174" w:rsidR="006665D7" w:rsidP="001B0E05" w:rsidRDefault="006665D7" w14:paraId="560BB1F2"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 xml:space="preserve">Terrin G, Passariello A, De Curtis M, Manguso F, Salvia G, Lega L, Messina F, Paludetto R, Canani RB. Ranitidine is associated with infections, necrotizing enterocolitis, and fatal outcome in newborns.   Pediatrics 2012;129:e40-5. </w:t>
            </w:r>
          </w:p>
          <w:p w:rsidRPr="00DA1174" w:rsidR="006665D7" w:rsidP="001B0E05" w:rsidRDefault="006665D7" w14:paraId="19B6843B"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Bilali A, Galanis P, Bartsocas C, et al. H2-blocker therapy and incidence of necrotizing enterocolitis in preterm infants: a case-control study. Pediatr Neonatol 2013;54:141–2.</w:t>
            </w:r>
          </w:p>
          <w:p w:rsidRPr="00DA1174" w:rsidR="006665D7" w:rsidP="001B0E05" w:rsidRDefault="006665D7" w14:paraId="09FB93D1"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 xml:space="preserve">Chandrasekaran M, Fleming P. Question 1: does the use of ranitidine increase the risk of NEC in preterm infants?   Arch Dis Child 2014;99(4):390-2. </w:t>
            </w:r>
          </w:p>
          <w:p w:rsidRPr="00DA1174" w:rsidR="006665D7" w:rsidP="001B0E05" w:rsidRDefault="006665D7" w14:paraId="13627E3D"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Wheatley E, Kennedy KA. Cross-over trial of treatment for bradycardia attributed to gastroesophageal reflux in preterm infants.   J Pediatr 2009;155(4):516-21.</w:t>
            </w:r>
          </w:p>
          <w:p w:rsidRPr="00DA1174" w:rsidR="006665D7" w:rsidP="001B0E05" w:rsidRDefault="006665D7" w14:paraId="44919E4F"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Canani RB, Cirillo P, Roggero P, Romano C, Malamisura B, Terrin G, Passariello A, Manguso F, Morelli L, Guarino A, Working Group on Intestinal Infections of the Italian Society of Pediatric Gastroenterology, Hepatology and Nutrition (SIGENP). Therapy with gastric acidity inhibitors increases the risk of acute gastroenteritis and community-acquired pneumonia in children.   Pediatrics 2006;117(5):e817-20.</w:t>
            </w:r>
          </w:p>
          <w:p w:rsidRPr="00DA1174" w:rsidR="006665D7" w:rsidP="001B0E05" w:rsidRDefault="006665D7" w14:paraId="217326BA"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Saiman L, Ludington E, Dawson JD, et al. Risk factors for Candida species colonization of neonatal intensive care unit patients. Pediatr Infect Dis J 2001;20:1119–24.</w:t>
            </w:r>
          </w:p>
          <w:p w:rsidRPr="00DA1174" w:rsidR="006665D7" w:rsidP="001B0E05" w:rsidRDefault="006665D7" w14:paraId="59A161DE"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Kuusela, A. L., et al. "A randomized, controlled study of prophylactic ranitidine in preventing stress-induced gastric mucosal lesions in neonatal intensive care unit patients." Critical Care Medicine 1997; 25(2): 346-351.</w:t>
            </w:r>
          </w:p>
          <w:p w:rsidRPr="00DA1174" w:rsidR="006665D7" w:rsidP="001B0E05" w:rsidRDefault="006665D7" w14:paraId="1F34799C"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Pourarian, S., et al. "Prophylactic ranitidine in prevention of GI bleeding in neonatal intensive care units." Iranian Journal of Medical Sciences 2005;30(4): 178-181.</w:t>
            </w:r>
          </w:p>
          <w:p w:rsidRPr="00DA1174" w:rsidR="006665D7" w:rsidP="001B0E05" w:rsidRDefault="006665D7" w14:paraId="3B2A2818"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van der Pol, R., et al. "Efficacy and safety of histamine-2 receptor antagonists." JAMA Pediatrics 2014;168(10): 947-954.</w:t>
            </w:r>
          </w:p>
          <w:p w:rsidRPr="00DA1174" w:rsidR="006665D7" w:rsidP="001B0E05" w:rsidRDefault="006665D7" w14:paraId="5B50F310"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More, K., et al. "Association of inhibitors of gastric acid secretion and higher incidence of necrotizing enterocolitis in preterm very low-birth-weight infants." American Journal of Perinatology 2013;30(10): 849-856.</w:t>
            </w:r>
          </w:p>
          <w:p w:rsidRPr="00DA1174" w:rsidR="006665D7" w:rsidP="001B0E05" w:rsidRDefault="006665D7" w14:paraId="4B899E8E"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Bianconi, S., et al. "Ranitidine and late-onset sepsis in the neonatal intensive care unit." Journal of Perinatal Medicine 2007;35(2): 147-150.</w:t>
            </w:r>
          </w:p>
          <w:p w:rsidRPr="00DA1174" w:rsidR="006665D7" w:rsidP="001B0E05" w:rsidRDefault="006665D7" w14:paraId="79947D15"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Kuusela AL. Long term gastric pH monitoring for determining optimal dose of ranitidine for critically ill preterm and term neonates. Arch Dis Child Fetal Neonatal Ed 1998;78:F151–F153.</w:t>
            </w:r>
          </w:p>
          <w:p w:rsidRPr="00DA1174" w:rsidR="006665D7" w:rsidP="001B0E05" w:rsidRDefault="006665D7" w14:paraId="508F841E"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Sutphen</w:t>
            </w:r>
            <w:r>
              <w:rPr>
                <w:rFonts w:asciiTheme="minorHAnsi" w:hAnsiTheme="minorHAnsi" w:eastAsiaTheme="minorHAnsi" w:cstheme="minorBidi"/>
                <w:sz w:val="16"/>
                <w:szCs w:val="16"/>
              </w:rPr>
              <w:t xml:space="preserve"> </w:t>
            </w:r>
            <w:r w:rsidRPr="00DA1174">
              <w:rPr>
                <w:rFonts w:asciiTheme="minorHAnsi" w:hAnsiTheme="minorHAnsi" w:eastAsiaTheme="minorHAnsi" w:cstheme="minorBidi"/>
                <w:sz w:val="16"/>
                <w:szCs w:val="16"/>
              </w:rPr>
              <w:t>JL, Dillard VL. Effect of ranitidine on twenty-four-hour gastric acidity in infants. J pediatr 1989;114:472.</w:t>
            </w:r>
          </w:p>
          <w:p w:rsidRPr="00DA1174" w:rsidR="006665D7" w:rsidP="001B0E05" w:rsidRDefault="006665D7" w14:paraId="2CCC458C"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eastAsiaTheme="minorHAnsi" w:cstheme="minorBidi"/>
                <w:sz w:val="16"/>
                <w:szCs w:val="16"/>
              </w:rPr>
              <w:t>Fontana M, Massironi E, Rossi A, Vaglia P, Gancia GP, Tagliabue P, Principi N. Ranitidine pharmacokinetics in newborn infants. Archives of Disease in Childhood 1993;68(5 Spec No):602-3.</w:t>
            </w:r>
          </w:p>
          <w:p w:rsidRPr="00DA1174" w:rsidR="006665D7" w:rsidP="001B0E05" w:rsidRDefault="006665D7" w14:paraId="3394CCC0"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sz w:val="16"/>
                <w:szCs w:val="16"/>
              </w:rPr>
              <w:t>Australian Injectable Drugs Handbook, 6th Edition, Society of Hospital Pharmacists of Australia 2014.</w:t>
            </w:r>
          </w:p>
          <w:p w:rsidRPr="00DA1174" w:rsidR="006665D7" w:rsidP="001B0E05" w:rsidRDefault="006665D7" w14:paraId="6E7FA0C3" w14:textId="77777777">
            <w:pPr>
              <w:numPr>
                <w:ilvl w:val="0"/>
                <w:numId w:val="68"/>
              </w:numPr>
              <w:contextualSpacing/>
              <w:rPr>
                <w:rFonts w:asciiTheme="minorHAnsi" w:hAnsiTheme="minorHAnsi" w:eastAsiaTheme="minorHAnsi" w:cstheme="minorBidi"/>
                <w:sz w:val="16"/>
                <w:szCs w:val="16"/>
              </w:rPr>
            </w:pPr>
            <w:r w:rsidRPr="00DA1174">
              <w:rPr>
                <w:rFonts w:asciiTheme="minorHAnsi" w:hAnsiTheme="minorHAnsi"/>
                <w:sz w:val="16"/>
                <w:szCs w:val="16"/>
              </w:rPr>
              <w:t>Micromedex® 2.0, (electronic version). Truven Health Analytics, Greenwood Village, Colorado, USA. Available at: http://www.micromedexsolutions.com.acs.hcn.com.au/ (cited: 07/2016).</w:t>
            </w:r>
          </w:p>
          <w:p w:rsidRPr="00DA1174" w:rsidR="006665D7" w:rsidP="001B0E05" w:rsidRDefault="006665D7" w14:paraId="31474FD4" w14:textId="77777777">
            <w:pPr>
              <w:numPr>
                <w:ilvl w:val="0"/>
                <w:numId w:val="68"/>
              </w:numPr>
              <w:contextualSpacing/>
              <w:rPr>
                <w:rFonts w:asciiTheme="minorHAnsi" w:hAnsiTheme="minorHAnsi"/>
                <w:sz w:val="20"/>
              </w:rPr>
            </w:pPr>
            <w:r w:rsidRPr="00DA1174">
              <w:rPr>
                <w:rFonts w:asciiTheme="minorHAnsi" w:hAnsiTheme="minorHAnsi"/>
                <w:sz w:val="16"/>
                <w:szCs w:val="16"/>
              </w:rPr>
              <w:t>MIMS online available via CIAP (cited: 07/2016).</w:t>
            </w:r>
          </w:p>
        </w:tc>
      </w:tr>
    </w:tbl>
    <w:p w:rsidRPr="00E25790" w:rsidR="00115F48" w:rsidP="006F0321" w:rsidRDefault="00115F48" w14:paraId="7948A48E" w14:textId="77777777"/>
    <w:p w:rsidRPr="00E25790" w:rsidR="00115F48" w:rsidP="006F0321" w:rsidRDefault="00115F48" w14:paraId="72DDD8DD"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FB1E38" w14:paraId="72461ED0"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8C2A95" w:rsidR="00115F48" w:rsidP="009469DB" w:rsidRDefault="00115F48" w14:paraId="43D58B19" w14:textId="77777777">
            <w:pPr>
              <w:pStyle w:val="Heading1"/>
            </w:pPr>
            <w:bookmarkStart w:name="_Toc38106916" w:id="536"/>
            <w:bookmarkStart w:name="_Toc75340038" w:id="537"/>
            <w:r w:rsidRPr="008C2A95">
              <w:lastRenderedPageBreak/>
              <w:t>Recombinant Factor VIIa</w:t>
            </w:r>
            <w:bookmarkEnd w:id="536"/>
            <w:bookmarkEnd w:id="537"/>
            <w:r w:rsidRPr="008C2A95">
              <w:fldChar w:fldCharType="begin"/>
            </w:r>
            <w:r w:rsidRPr="008C2A95">
              <w:instrText>tc "CAP Trial" \l 0</w:instrText>
            </w:r>
            <w:r w:rsidRPr="008C2A95">
              <w:fldChar w:fldCharType="end"/>
            </w:r>
          </w:p>
        </w:tc>
      </w:tr>
      <w:tr w:rsidRPr="00E25790" w:rsidR="00115F48" w:rsidTr="00FB1E38" w14:paraId="4B32A59B"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718FE83" w14:textId="37DEEB2F">
            <w:r w:rsidRPr="00E25790">
              <w:t xml:space="preserve">Revision Date : </w:t>
            </w:r>
            <w:r w:rsidR="000642D3">
              <w:t>27/10/2020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D7065" w14:paraId="64E89F42" w14:textId="19E15A80">
            <w:r w:rsidRPr="00E25790">
              <w:t xml:space="preserve">Approved: </w:t>
            </w:r>
            <w:r w:rsidR="003B0D9B">
              <w:t>TCo, KOH</w:t>
            </w:r>
          </w:p>
        </w:tc>
      </w:tr>
    </w:tbl>
    <w:p w:rsidRPr="00E25790" w:rsidR="00115F48" w:rsidP="006F0321" w:rsidRDefault="00115F48" w14:paraId="71080419" w14:textId="77777777"/>
    <w:tbl>
      <w:tblPr>
        <w:tblW w:w="9064" w:type="dxa"/>
        <w:tblLayout w:type="fixed"/>
        <w:tblLook w:val="0000" w:firstRow="0" w:lastRow="0" w:firstColumn="0" w:lastColumn="0" w:noHBand="0" w:noVBand="0"/>
      </w:tblPr>
      <w:tblGrid>
        <w:gridCol w:w="2093"/>
        <w:gridCol w:w="6971"/>
      </w:tblGrid>
      <w:tr w:rsidRPr="00E25790" w:rsidR="00FF6AE5" w:rsidTr="009E664B" w14:paraId="7E69DF93" w14:textId="77777777">
        <w:trPr>
          <w:cantSplit/>
          <w:trHeight w:val="1200"/>
        </w:trPr>
        <w:tc>
          <w:tcPr>
            <w:tcW w:w="2093" w:type="dxa"/>
            <w:tcBorders>
              <w:top w:val="single" w:color="auto" w:sz="6" w:space="0"/>
              <w:left w:val="single" w:color="auto" w:sz="6" w:space="0"/>
              <w:bottom w:val="single" w:color="auto" w:sz="6" w:space="0"/>
            </w:tcBorders>
          </w:tcPr>
          <w:p w:rsidRPr="00E25790" w:rsidR="00FF6AE5" w:rsidP="009E664B" w:rsidRDefault="00FF6AE5" w14:paraId="51ED98CD" w14:textId="77777777">
            <w:r w:rsidRPr="00E25790">
              <w:t xml:space="preserve">Indication :  </w:t>
            </w:r>
          </w:p>
          <w:p w:rsidRPr="00E25790" w:rsidR="00FF6AE5" w:rsidP="009E664B" w:rsidRDefault="00FF6AE5" w14:paraId="230BCA64" w14:textId="77777777"/>
        </w:tc>
        <w:tc>
          <w:tcPr>
            <w:tcW w:w="6971" w:type="dxa"/>
            <w:tcBorders>
              <w:top w:val="single" w:color="auto" w:sz="6" w:space="0"/>
              <w:bottom w:val="single" w:color="auto" w:sz="6" w:space="0"/>
              <w:right w:val="single" w:color="auto" w:sz="6" w:space="0"/>
            </w:tcBorders>
          </w:tcPr>
          <w:p w:rsidRPr="00E25790" w:rsidR="00FF6AE5" w:rsidP="009E664B" w:rsidRDefault="00FF6AE5" w14:paraId="1660109C" w14:textId="77777777">
            <w:r w:rsidRPr="00E25790">
              <w:t xml:space="preserve">Ongoing microvascular bleeding and coagulopathy from any cause refractory to other corrective measures.   </w:t>
            </w:r>
            <w:r>
              <w:t>Requires</w:t>
            </w:r>
            <w:r w:rsidRPr="00E25790">
              <w:t xml:space="preserve"> </w:t>
            </w:r>
            <w:r>
              <w:t xml:space="preserve">active participation of both a </w:t>
            </w:r>
            <w:r w:rsidRPr="00E25790">
              <w:t xml:space="preserve">Consultant Neonatologist </w:t>
            </w:r>
            <w:r>
              <w:t xml:space="preserve">and the </w:t>
            </w:r>
            <w:r w:rsidRPr="00E25790">
              <w:t>On-Call Haematologist</w:t>
            </w:r>
            <w:r>
              <w:t xml:space="preserve"> in management (via the Paediatric Massive Transfusion Protocol)</w:t>
            </w:r>
            <w:r w:rsidRPr="00E25790">
              <w:t>. Supplies should come from transfusion service.</w:t>
            </w:r>
          </w:p>
        </w:tc>
      </w:tr>
      <w:tr w:rsidRPr="00E25790" w:rsidR="00FF6AE5" w:rsidTr="009E664B" w14:paraId="12A223D9"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3EB2FF5E" w14:textId="77777777">
            <w:r w:rsidRPr="00E25790">
              <w:t>Dose :</w:t>
            </w:r>
          </w:p>
        </w:tc>
        <w:tc>
          <w:tcPr>
            <w:tcW w:w="6971" w:type="dxa"/>
            <w:tcBorders>
              <w:top w:val="single" w:color="auto" w:sz="6" w:space="0"/>
              <w:bottom w:val="single" w:color="auto" w:sz="6" w:space="0"/>
              <w:right w:val="single" w:color="auto" w:sz="6" w:space="0"/>
            </w:tcBorders>
          </w:tcPr>
          <w:p w:rsidRPr="00E25790" w:rsidR="00FF6AE5" w:rsidP="009E664B" w:rsidRDefault="00FF6AE5" w14:paraId="73FB8174" w14:textId="77777777">
            <w:r w:rsidRPr="00E25790">
              <w:t>90 micrograms/kg.</w:t>
            </w:r>
          </w:p>
        </w:tc>
      </w:tr>
      <w:tr w:rsidRPr="00E25790" w:rsidR="00FF6AE5" w:rsidTr="009E664B" w14:paraId="0FF63E0F"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7145F41A" w14:textId="77777777">
            <w:r w:rsidRPr="00E25790">
              <w:t>Interval :</w:t>
            </w:r>
          </w:p>
        </w:tc>
        <w:tc>
          <w:tcPr>
            <w:tcW w:w="6971" w:type="dxa"/>
            <w:tcBorders>
              <w:top w:val="single" w:color="auto" w:sz="6" w:space="0"/>
              <w:bottom w:val="single" w:color="auto" w:sz="6" w:space="0"/>
              <w:right w:val="single" w:color="auto" w:sz="6" w:space="0"/>
            </w:tcBorders>
          </w:tcPr>
          <w:p w:rsidRPr="00E25790" w:rsidR="00FF6AE5" w:rsidP="009E664B" w:rsidRDefault="00FF6AE5" w14:paraId="23B27319" w14:textId="77777777">
            <w:r w:rsidRPr="00E25790">
              <w:t>Usually a single dose, but may be repeated 2 hourly if bleeding persists.</w:t>
            </w:r>
          </w:p>
        </w:tc>
      </w:tr>
      <w:tr w:rsidRPr="00E25790" w:rsidR="00FF6AE5" w:rsidTr="009E664B" w14:paraId="6DB3DFA2"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74B76CDC" w14:textId="77777777">
            <w:r w:rsidRPr="00E25790">
              <w:t>Route :</w:t>
            </w:r>
          </w:p>
        </w:tc>
        <w:tc>
          <w:tcPr>
            <w:tcW w:w="6971" w:type="dxa"/>
            <w:tcBorders>
              <w:top w:val="single" w:color="auto" w:sz="6" w:space="0"/>
              <w:bottom w:val="single" w:color="auto" w:sz="6" w:space="0"/>
              <w:right w:val="single" w:color="auto" w:sz="6" w:space="0"/>
            </w:tcBorders>
          </w:tcPr>
          <w:p w:rsidRPr="00E25790" w:rsidR="00FF6AE5" w:rsidP="009E664B" w:rsidRDefault="00FF6AE5" w14:paraId="3BD82297" w14:textId="77777777">
            <w:r w:rsidRPr="00E25790">
              <w:t>I.V. bolus injection over 2-5 minutes.</w:t>
            </w:r>
            <w:r>
              <w:t xml:space="preserve"> DO NOT filter</w:t>
            </w:r>
          </w:p>
        </w:tc>
      </w:tr>
      <w:tr w:rsidRPr="00E25790" w:rsidR="00FF6AE5" w:rsidTr="009E664B" w14:paraId="011730AF"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28972F75" w14:textId="77777777">
            <w:r w:rsidRPr="00E25790">
              <w:t>Total Daily Dose :</w:t>
            </w:r>
          </w:p>
        </w:tc>
        <w:tc>
          <w:tcPr>
            <w:tcW w:w="6971" w:type="dxa"/>
            <w:tcBorders>
              <w:top w:val="single" w:color="auto" w:sz="6" w:space="0"/>
              <w:bottom w:val="single" w:color="auto" w:sz="6" w:space="0"/>
              <w:right w:val="single" w:color="auto" w:sz="6" w:space="0"/>
            </w:tcBorders>
          </w:tcPr>
          <w:p w:rsidRPr="00E25790" w:rsidR="00FF6AE5" w:rsidP="009E664B" w:rsidRDefault="00FF6AE5" w14:paraId="4B045AAB" w14:textId="77777777">
            <w:r>
              <w:t>Guided by Haematologist, repeated dosing may be reasonable if ongoing bleeding and treatment futility not yet reached</w:t>
            </w:r>
          </w:p>
        </w:tc>
      </w:tr>
      <w:tr w:rsidRPr="00E25790" w:rsidR="00FF6AE5" w:rsidTr="009E664B" w14:paraId="499BC6FD" w14:textId="77777777">
        <w:trPr>
          <w:cantSplit/>
          <w:trHeight w:val="1200"/>
        </w:trPr>
        <w:tc>
          <w:tcPr>
            <w:tcW w:w="2093" w:type="dxa"/>
            <w:tcBorders>
              <w:top w:val="single" w:color="auto" w:sz="6" w:space="0"/>
              <w:left w:val="single" w:color="auto" w:sz="6" w:space="0"/>
              <w:bottom w:val="single" w:color="auto" w:sz="6" w:space="0"/>
            </w:tcBorders>
          </w:tcPr>
          <w:p w:rsidRPr="00E25790" w:rsidR="00FF6AE5" w:rsidP="009E664B" w:rsidRDefault="00FF6AE5" w14:paraId="71B365E4" w14:textId="77777777">
            <w:r w:rsidRPr="00E25790">
              <w:t>Comments :</w:t>
            </w:r>
          </w:p>
        </w:tc>
        <w:tc>
          <w:tcPr>
            <w:tcW w:w="6971" w:type="dxa"/>
            <w:tcBorders>
              <w:top w:val="single" w:color="auto" w:sz="6" w:space="0"/>
              <w:bottom w:val="single" w:color="auto" w:sz="6" w:space="0"/>
              <w:right w:val="single" w:color="auto" w:sz="6" w:space="0"/>
            </w:tcBorders>
          </w:tcPr>
          <w:p w:rsidR="00FF6AE5" w:rsidP="009E664B" w:rsidRDefault="00FF6AE5" w14:paraId="0A58BE24" w14:textId="77777777">
            <w:r w:rsidRPr="00E25790">
              <w:t>Complications to rFVIIa are rare. Thrombosis is uncommon. Hypersensitvity may occur, rash, fever, nausea and increased LFT’s have been reported.</w:t>
            </w:r>
          </w:p>
          <w:p w:rsidRPr="009975D0" w:rsidR="00FF6AE5" w:rsidP="009E664B" w:rsidRDefault="00FF6AE5" w14:paraId="09830FB9" w14:textId="77777777">
            <w:pPr>
              <w:rPr>
                <w:rFonts w:asciiTheme="minorHAnsi" w:hAnsiTheme="minorHAnsi" w:cstheme="minorHAnsi"/>
                <w:bCs/>
                <w:szCs w:val="24"/>
                <w:lang w:val="en-AU"/>
              </w:rPr>
            </w:pPr>
            <w:r w:rsidRPr="009975D0">
              <w:rPr>
                <w:rFonts w:asciiTheme="minorHAnsi" w:hAnsiTheme="minorHAnsi" w:cstheme="minorHAnsi"/>
                <w:bCs/>
                <w:szCs w:val="24"/>
              </w:rPr>
              <w:t xml:space="preserve">rFVIIa should </w:t>
            </w:r>
            <w:r w:rsidRPr="009975D0">
              <w:rPr>
                <w:rFonts w:asciiTheme="minorHAnsi" w:hAnsiTheme="minorHAnsi" w:cstheme="minorHAnsi"/>
                <w:b/>
                <w:bCs/>
                <w:szCs w:val="24"/>
              </w:rPr>
              <w:t>only</w:t>
            </w:r>
            <w:r w:rsidRPr="009975D0">
              <w:rPr>
                <w:rFonts w:asciiTheme="minorHAnsi" w:hAnsiTheme="minorHAnsi" w:cstheme="minorHAnsi"/>
                <w:bCs/>
                <w:szCs w:val="24"/>
              </w:rPr>
              <w:t xml:space="preserve"> be considered </w:t>
            </w:r>
            <w:r>
              <w:rPr>
                <w:rFonts w:asciiTheme="minorHAnsi" w:hAnsiTheme="minorHAnsi" w:cstheme="minorHAnsi"/>
                <w:bCs/>
                <w:szCs w:val="24"/>
              </w:rPr>
              <w:t>when there is ongoing bleeding (</w:t>
            </w:r>
            <w:r w:rsidRPr="009975D0">
              <w:rPr>
                <w:rFonts w:asciiTheme="minorHAnsi" w:hAnsiTheme="minorHAnsi" w:cstheme="minorHAnsi"/>
                <w:bCs/>
                <w:szCs w:val="24"/>
              </w:rPr>
              <w:t>failure to obtain haemostasis</w:t>
            </w:r>
            <w:r>
              <w:rPr>
                <w:rFonts w:asciiTheme="minorHAnsi" w:hAnsiTheme="minorHAnsi" w:cstheme="minorHAnsi"/>
                <w:bCs/>
                <w:szCs w:val="24"/>
              </w:rPr>
              <w:t>)</w:t>
            </w:r>
            <w:r w:rsidRPr="009975D0">
              <w:rPr>
                <w:rFonts w:asciiTheme="minorHAnsi" w:hAnsiTheme="minorHAnsi" w:cstheme="minorHAnsi"/>
                <w:bCs/>
                <w:szCs w:val="24"/>
              </w:rPr>
              <w:t xml:space="preserve">, </w:t>
            </w:r>
            <w:r>
              <w:rPr>
                <w:rFonts w:asciiTheme="minorHAnsi" w:hAnsiTheme="minorHAnsi" w:cstheme="minorHAnsi"/>
                <w:bCs/>
                <w:szCs w:val="24"/>
              </w:rPr>
              <w:t xml:space="preserve">and </w:t>
            </w:r>
            <w:r w:rsidRPr="009975D0">
              <w:rPr>
                <w:rFonts w:asciiTheme="minorHAnsi" w:hAnsiTheme="minorHAnsi" w:cstheme="minorHAnsi"/>
                <w:bCs/>
                <w:szCs w:val="24"/>
              </w:rPr>
              <w:t xml:space="preserve">where: </w:t>
            </w:r>
          </w:p>
          <w:p w:rsidRPr="009975D0" w:rsidR="00FF6AE5" w:rsidP="0045643C" w:rsidRDefault="00FF6AE5" w14:paraId="03FED8DE" w14:textId="77777777">
            <w:pPr>
              <w:pStyle w:val="ListBullet"/>
              <w:tabs>
                <w:tab w:val="clear" w:pos="360"/>
                <w:tab w:val="left" w:pos="720"/>
              </w:tabs>
              <w:rPr>
                <w:rFonts w:asciiTheme="minorHAnsi" w:hAnsiTheme="minorHAnsi" w:cstheme="minorHAnsi"/>
              </w:rPr>
            </w:pPr>
            <w:r w:rsidRPr="009975D0">
              <w:rPr>
                <w:rFonts w:asciiTheme="minorHAnsi" w:hAnsiTheme="minorHAnsi" w:cstheme="minorHAnsi"/>
              </w:rPr>
              <w:t xml:space="preserve">Adequate blood component replacement </w:t>
            </w:r>
            <w:r>
              <w:rPr>
                <w:rFonts w:asciiTheme="minorHAnsi" w:hAnsiTheme="minorHAnsi" w:cstheme="minorHAnsi"/>
              </w:rPr>
              <w:t xml:space="preserve">has occurred </w:t>
            </w:r>
            <w:r w:rsidRPr="009975D0">
              <w:rPr>
                <w:rFonts w:asciiTheme="minorHAnsi" w:hAnsiTheme="minorHAnsi" w:cstheme="minorHAnsi"/>
              </w:rPr>
              <w:t>(</w:t>
            </w:r>
            <w:r>
              <w:rPr>
                <w:rFonts w:asciiTheme="minorHAnsi" w:hAnsiTheme="minorHAnsi" w:cstheme="minorHAnsi"/>
              </w:rPr>
              <w:t xml:space="preserve">and </w:t>
            </w:r>
            <w:r w:rsidRPr="009975D0">
              <w:rPr>
                <w:rFonts w:asciiTheme="minorHAnsi" w:hAnsiTheme="minorHAnsi" w:cstheme="minorHAnsi"/>
              </w:rPr>
              <w:t>Platelets &gt;50, Fibrinogen &gt;2g/L</w:t>
            </w:r>
            <w:r>
              <w:rPr>
                <w:rFonts w:asciiTheme="minorHAnsi" w:hAnsiTheme="minorHAnsi" w:cstheme="minorHAnsi"/>
              </w:rPr>
              <w:t xml:space="preserve"> have been achieved</w:t>
            </w:r>
            <w:r w:rsidRPr="009975D0">
              <w:rPr>
                <w:rFonts w:asciiTheme="minorHAnsi" w:hAnsiTheme="minorHAnsi" w:cstheme="minorHAnsi"/>
              </w:rPr>
              <w:t>);</w:t>
            </w:r>
            <w:r>
              <w:rPr>
                <w:rFonts w:asciiTheme="minorHAnsi" w:hAnsiTheme="minorHAnsi" w:cstheme="minorHAnsi"/>
              </w:rPr>
              <w:t xml:space="preserve"> AND</w:t>
            </w:r>
          </w:p>
          <w:p w:rsidRPr="009975D0" w:rsidR="00FF6AE5" w:rsidP="0045643C" w:rsidRDefault="00FF6AE5" w14:paraId="62D27A03" w14:textId="77777777">
            <w:pPr>
              <w:pStyle w:val="ListBullet"/>
              <w:tabs>
                <w:tab w:val="clear" w:pos="360"/>
                <w:tab w:val="left" w:pos="720"/>
              </w:tabs>
              <w:rPr>
                <w:rFonts w:asciiTheme="minorHAnsi" w:hAnsiTheme="minorHAnsi" w:cstheme="minorHAnsi"/>
              </w:rPr>
            </w:pPr>
            <w:r w:rsidRPr="009975D0">
              <w:rPr>
                <w:rFonts w:asciiTheme="minorHAnsi" w:hAnsiTheme="minorHAnsi" w:cstheme="minorHAnsi"/>
              </w:rPr>
              <w:t>All appropriate surgical and embolisation procedures have been attempted</w:t>
            </w:r>
            <w:r>
              <w:rPr>
                <w:rFonts w:asciiTheme="minorHAnsi" w:hAnsiTheme="minorHAnsi" w:cstheme="minorHAnsi"/>
              </w:rPr>
              <w:t>; AND</w:t>
            </w:r>
          </w:p>
          <w:p w:rsidR="00FF6AE5" w:rsidP="0045643C" w:rsidRDefault="00FF6AE5" w14:paraId="3F9FBC3A" w14:textId="77777777">
            <w:pPr>
              <w:pStyle w:val="ListBullet"/>
              <w:tabs>
                <w:tab w:val="clear" w:pos="360"/>
                <w:tab w:val="left" w:pos="720"/>
              </w:tabs>
              <w:rPr>
                <w:rFonts w:asciiTheme="minorHAnsi" w:hAnsiTheme="minorHAnsi" w:cstheme="minorHAnsi"/>
              </w:rPr>
            </w:pPr>
            <w:r w:rsidRPr="009975D0">
              <w:rPr>
                <w:rFonts w:asciiTheme="minorHAnsi" w:hAnsiTheme="minorHAnsi" w:cstheme="minorHAnsi"/>
              </w:rPr>
              <w:t>pH&gt;7.2, temperature &gt;34°C</w:t>
            </w:r>
            <w:r>
              <w:rPr>
                <w:rFonts w:asciiTheme="minorHAnsi" w:hAnsiTheme="minorHAnsi" w:cstheme="minorHAnsi"/>
              </w:rPr>
              <w:t>, actively correct acidosis and hypothermia prior to administration; AND</w:t>
            </w:r>
          </w:p>
          <w:p w:rsidRPr="004A4719" w:rsidR="00FF6AE5" w:rsidP="0045643C" w:rsidRDefault="00FF6AE5" w14:paraId="6E04CF90" w14:textId="77777777">
            <w:pPr>
              <w:pStyle w:val="ListBullet"/>
              <w:tabs>
                <w:tab w:val="clear" w:pos="360"/>
                <w:tab w:val="left" w:pos="720"/>
              </w:tabs>
              <w:rPr>
                <w:rFonts w:asciiTheme="minorHAnsi" w:hAnsiTheme="minorHAnsi" w:cstheme="minorHAnsi"/>
              </w:rPr>
            </w:pPr>
            <w:r>
              <w:rPr>
                <w:rFonts w:asciiTheme="minorHAnsi" w:hAnsiTheme="minorHAnsi" w:cstheme="minorHAnsi"/>
              </w:rPr>
              <w:t>P</w:t>
            </w:r>
            <w:r w:rsidRPr="009975D0">
              <w:rPr>
                <w:rFonts w:asciiTheme="minorHAnsi" w:hAnsiTheme="minorHAnsi" w:cstheme="minorHAnsi"/>
              </w:rPr>
              <w:t>atient</w:t>
            </w:r>
            <w:r>
              <w:rPr>
                <w:rFonts w:asciiTheme="minorHAnsi" w:hAnsiTheme="minorHAnsi" w:cstheme="minorHAnsi"/>
              </w:rPr>
              <w:t xml:space="preserve"> continues to have a treatable condition (further treatment is not considered futile)</w:t>
            </w:r>
          </w:p>
        </w:tc>
      </w:tr>
      <w:tr w:rsidRPr="00E25790" w:rsidR="00FF6AE5" w:rsidTr="009E664B" w14:paraId="04CD0FEA"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782DC587" w14:textId="77777777">
            <w:r w:rsidRPr="00E25790">
              <w:t>Supplied as :</w:t>
            </w:r>
          </w:p>
        </w:tc>
        <w:tc>
          <w:tcPr>
            <w:tcW w:w="6971" w:type="dxa"/>
            <w:tcBorders>
              <w:top w:val="single" w:color="auto" w:sz="6" w:space="0"/>
              <w:bottom w:val="single" w:color="auto" w:sz="6" w:space="0"/>
              <w:right w:val="single" w:color="auto" w:sz="6" w:space="0"/>
            </w:tcBorders>
          </w:tcPr>
          <w:p w:rsidRPr="00E25790" w:rsidR="00FF6AE5" w:rsidP="009E664B" w:rsidRDefault="00FF6AE5" w14:paraId="0EFFC248" w14:textId="62DE012E">
            <w:r w:rsidRPr="00E25790">
              <w:t>Novoseven</w:t>
            </w:r>
            <w:r w:rsidRPr="00E25790">
              <w:rPr>
                <w:rFonts w:ascii="Symbol" w:hAnsi="Symbol" w:eastAsia="Symbol" w:cs="Symbol"/>
              </w:rPr>
              <w:t></w:t>
            </w:r>
            <w:r w:rsidRPr="00E25790">
              <w:t xml:space="preserve"> or Eptacog alfa 1mg vial</w:t>
            </w:r>
            <w:r>
              <w:t xml:space="preserve"> (powder) plus prefilled solvent syringe (1mg = 50,000IU)</w:t>
            </w:r>
          </w:p>
        </w:tc>
      </w:tr>
      <w:tr w:rsidRPr="00E25790" w:rsidR="00FF6AE5" w:rsidTr="009E664B" w14:paraId="5C1D3B82" w14:textId="77777777">
        <w:trPr>
          <w:cantSplit/>
          <w:trHeight w:val="960"/>
        </w:trPr>
        <w:tc>
          <w:tcPr>
            <w:tcW w:w="2093" w:type="dxa"/>
            <w:tcBorders>
              <w:top w:val="single" w:color="auto" w:sz="6" w:space="0"/>
              <w:left w:val="single" w:color="auto" w:sz="6" w:space="0"/>
              <w:bottom w:val="single" w:color="auto" w:sz="6" w:space="0"/>
            </w:tcBorders>
          </w:tcPr>
          <w:p w:rsidRPr="00E25790" w:rsidR="00FF6AE5" w:rsidP="009E664B" w:rsidRDefault="00FF6AE5" w14:paraId="49E8299F" w14:textId="77777777">
            <w:r w:rsidRPr="00E25790">
              <w:t>Dilution :</w:t>
            </w:r>
          </w:p>
        </w:tc>
        <w:tc>
          <w:tcPr>
            <w:tcW w:w="6971" w:type="dxa"/>
            <w:tcBorders>
              <w:top w:val="single" w:color="auto" w:sz="6" w:space="0"/>
              <w:bottom w:val="single" w:color="auto" w:sz="6" w:space="0"/>
              <w:right w:val="single" w:color="auto" w:sz="6" w:space="0"/>
            </w:tcBorders>
          </w:tcPr>
          <w:p w:rsidR="00FF6AE5" w:rsidP="009E664B" w:rsidRDefault="00FF6AE5" w14:paraId="6A9199A4" w14:textId="77777777">
            <w:r w:rsidRPr="00E25790">
              <w:t xml:space="preserve">Reconstitute 1mg vial with </w:t>
            </w:r>
            <w:r>
              <w:t xml:space="preserve">provided prefilled solvent syringe; </w:t>
            </w:r>
            <w:r w:rsidRPr="00E25790">
              <w:t xml:space="preserve">final concentration of </w:t>
            </w:r>
            <w:r>
              <w:t>1</w:t>
            </w:r>
            <w:r w:rsidRPr="00E25790">
              <w:t xml:space="preserve">mg/ml. Swirl </w:t>
            </w:r>
            <w:r w:rsidRPr="00483BB4">
              <w:rPr>
                <w:u w:val="single"/>
              </w:rPr>
              <w:t>gently</w:t>
            </w:r>
            <w:r>
              <w:t xml:space="preserve"> to dissolve and mix</w:t>
            </w:r>
            <w:r w:rsidRPr="00E25790">
              <w:t>.</w:t>
            </w:r>
            <w:r>
              <w:t xml:space="preserve"> Draw up 0.09mL/kg for administration to patient.</w:t>
            </w:r>
          </w:p>
          <w:p w:rsidRPr="00E25790" w:rsidR="00FF6AE5" w:rsidP="009E664B" w:rsidRDefault="00FF6AE5" w14:paraId="6EC02375" w14:textId="77777777">
            <w:r w:rsidRPr="00E25790">
              <w:t xml:space="preserve">The remainder of the solution may be used within </w:t>
            </w:r>
            <w:r>
              <w:t>24</w:t>
            </w:r>
            <w:r w:rsidRPr="00E25790">
              <w:t xml:space="preserve"> hours if repeat doses are required.</w:t>
            </w:r>
          </w:p>
        </w:tc>
      </w:tr>
      <w:tr w:rsidRPr="00E25790" w:rsidR="00FF6AE5" w:rsidTr="009E664B" w14:paraId="3048C0AC"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6880DBBE" w14:textId="77777777">
            <w:r w:rsidRPr="00E25790">
              <w:t>Stability :</w:t>
            </w:r>
          </w:p>
        </w:tc>
        <w:tc>
          <w:tcPr>
            <w:tcW w:w="6971" w:type="dxa"/>
            <w:tcBorders>
              <w:top w:val="single" w:color="auto" w:sz="6" w:space="0"/>
              <w:bottom w:val="single" w:color="auto" w:sz="6" w:space="0"/>
              <w:right w:val="single" w:color="auto" w:sz="6" w:space="0"/>
            </w:tcBorders>
          </w:tcPr>
          <w:p w:rsidRPr="00E25790" w:rsidR="00FF6AE5" w:rsidP="009E664B" w:rsidRDefault="00FF6AE5" w14:paraId="327AE8FB" w14:textId="77777777">
            <w:r>
              <w:t>24</w:t>
            </w:r>
            <w:r w:rsidRPr="00E25790">
              <w:t xml:space="preserve"> hours after reconstitution</w:t>
            </w:r>
          </w:p>
        </w:tc>
      </w:tr>
      <w:tr w:rsidRPr="00E25790" w:rsidR="00FF6AE5" w:rsidTr="009E664B" w14:paraId="1F568B41"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72145801" w14:textId="77777777">
            <w:r w:rsidRPr="00E25790">
              <w:t>Storage :</w:t>
            </w:r>
          </w:p>
        </w:tc>
        <w:tc>
          <w:tcPr>
            <w:tcW w:w="6971" w:type="dxa"/>
            <w:tcBorders>
              <w:top w:val="single" w:color="auto" w:sz="6" w:space="0"/>
              <w:bottom w:val="single" w:color="auto" w:sz="6" w:space="0"/>
              <w:right w:val="single" w:color="auto" w:sz="6" w:space="0"/>
            </w:tcBorders>
          </w:tcPr>
          <w:p w:rsidRPr="00E25790" w:rsidR="00FF6AE5" w:rsidP="009E664B" w:rsidRDefault="00FF6AE5" w14:paraId="1181102F" w14:textId="77777777">
            <w:r w:rsidRPr="00E25790">
              <w:t xml:space="preserve">Store in refrigerator. Protect from light. </w:t>
            </w:r>
            <w:r>
              <w:t xml:space="preserve">Do not freeze. </w:t>
            </w:r>
            <w:r w:rsidRPr="00E25790">
              <w:t>Do not use after expiry date.</w:t>
            </w:r>
          </w:p>
        </w:tc>
      </w:tr>
      <w:tr w:rsidRPr="00E25790" w:rsidR="00FF6AE5" w:rsidTr="009E664B" w14:paraId="1B55636F"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56290E95" w14:textId="77777777">
            <w:r w:rsidRPr="00E25790">
              <w:lastRenderedPageBreak/>
              <w:t>Incompatibility :</w:t>
            </w:r>
          </w:p>
        </w:tc>
        <w:tc>
          <w:tcPr>
            <w:tcW w:w="6971" w:type="dxa"/>
            <w:tcBorders>
              <w:top w:val="single" w:color="auto" w:sz="6" w:space="0"/>
              <w:bottom w:val="single" w:color="auto" w:sz="6" w:space="0"/>
              <w:right w:val="single" w:color="auto" w:sz="6" w:space="0"/>
            </w:tcBorders>
          </w:tcPr>
          <w:p w:rsidRPr="00E25790" w:rsidR="00FF6AE5" w:rsidP="009E664B" w:rsidRDefault="00FF6AE5" w14:paraId="00215F65" w14:textId="77777777">
            <w:r w:rsidRPr="00E25790">
              <w:t>Do not mix with infusion solutions</w:t>
            </w:r>
            <w:r>
              <w:t>, bolus injection only as close to patient as feasible</w:t>
            </w:r>
          </w:p>
        </w:tc>
      </w:tr>
      <w:tr w:rsidRPr="00E25790" w:rsidR="00FF6AE5" w:rsidTr="009E664B" w14:paraId="54F16463"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35D46694" w14:textId="77777777">
            <w:r w:rsidRPr="00E25790">
              <w:t>Serum Levels :</w:t>
            </w:r>
          </w:p>
        </w:tc>
        <w:tc>
          <w:tcPr>
            <w:tcW w:w="6971" w:type="dxa"/>
            <w:tcBorders>
              <w:top w:val="single" w:color="auto" w:sz="6" w:space="0"/>
              <w:bottom w:val="single" w:color="auto" w:sz="6" w:space="0"/>
              <w:right w:val="single" w:color="auto" w:sz="6" w:space="0"/>
            </w:tcBorders>
          </w:tcPr>
          <w:p w:rsidRPr="00E25790" w:rsidR="00FF6AE5" w:rsidP="009E664B" w:rsidRDefault="00FF6AE5" w14:paraId="3070080B" w14:textId="77777777">
            <w:r>
              <w:t>Not applicable</w:t>
            </w:r>
          </w:p>
        </w:tc>
      </w:tr>
      <w:tr w:rsidRPr="00E25790" w:rsidR="00FF6AE5" w:rsidTr="009E664B" w14:paraId="5F0A7B6F" w14:textId="77777777">
        <w:trPr>
          <w:cantSplit/>
          <w:trHeight w:val="480"/>
        </w:trPr>
        <w:tc>
          <w:tcPr>
            <w:tcW w:w="2093" w:type="dxa"/>
            <w:tcBorders>
              <w:top w:val="single" w:color="auto" w:sz="6" w:space="0"/>
              <w:left w:val="single" w:color="auto" w:sz="6" w:space="0"/>
              <w:bottom w:val="single" w:color="auto" w:sz="6" w:space="0"/>
            </w:tcBorders>
          </w:tcPr>
          <w:p w:rsidRPr="00E25790" w:rsidR="00FF6AE5" w:rsidP="009E664B" w:rsidRDefault="00FF6AE5" w14:paraId="4BA5145D" w14:textId="77777777">
            <w:r>
              <w:t>References:</w:t>
            </w:r>
          </w:p>
        </w:tc>
        <w:tc>
          <w:tcPr>
            <w:tcW w:w="6971" w:type="dxa"/>
            <w:tcBorders>
              <w:top w:val="single" w:color="auto" w:sz="6" w:space="0"/>
              <w:bottom w:val="single" w:color="auto" w:sz="6" w:space="0"/>
              <w:right w:val="single" w:color="auto" w:sz="6" w:space="0"/>
            </w:tcBorders>
          </w:tcPr>
          <w:p w:rsidR="00FF6AE5" w:rsidP="009E664B" w:rsidRDefault="00FF6AE5" w14:paraId="170B0AEE" w14:textId="77777777">
            <w:r>
              <w:t xml:space="preserve">Australian Product Information NovoSeven RT (eptacog alfa (activated)(bhk)) powder and solvent for solution for injection, Novo Nordisk 2018 </w:t>
            </w:r>
            <w:hyperlink w:history="1" r:id="rId77">
              <w:r w:rsidRPr="00F725FC">
                <w:rPr>
                  <w:rStyle w:val="Hyperlink"/>
                </w:rPr>
                <w:t>https://www.novonordisk.com.au/content/dam/nncorp/au/en/pdfs/NovoSeven%20RT%20pi8.pdf</w:t>
              </w:r>
            </w:hyperlink>
          </w:p>
          <w:p w:rsidR="00FF6AE5" w:rsidP="009E664B" w:rsidRDefault="00FF6AE5" w14:paraId="1DAF0974" w14:textId="77777777"/>
        </w:tc>
      </w:tr>
    </w:tbl>
    <w:p w:rsidRPr="00E25790" w:rsidR="00115F48" w:rsidP="006F0321" w:rsidRDefault="00115F48" w14:paraId="7D9D9F1F" w14:textId="77777777"/>
    <w:p w:rsidRPr="00E25790" w:rsidR="00115F48" w:rsidP="006F0321" w:rsidRDefault="00115F48" w14:paraId="22EE5596"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74216B" w:rsidR="00736936" w:rsidTr="009E664B" w14:paraId="5F6F7E83" w14:textId="77777777">
        <w:tc>
          <w:tcPr>
            <w:tcW w:w="4535" w:type="dxa"/>
            <w:vAlign w:val="center"/>
          </w:tcPr>
          <w:p w:rsidRPr="0071607C" w:rsidR="00736936" w:rsidP="009E664B" w:rsidRDefault="00736936" w14:paraId="3B6F17FE" w14:textId="4BFB5BDF">
            <w:r w:rsidRPr="0071607C">
              <w:t xml:space="preserve">Original version Date: </w:t>
            </w:r>
            <w:r>
              <w:t>9/1/2014</w:t>
            </w:r>
          </w:p>
        </w:tc>
        <w:tc>
          <w:tcPr>
            <w:tcW w:w="4535" w:type="dxa"/>
            <w:vAlign w:val="center"/>
          </w:tcPr>
          <w:p w:rsidRPr="0071607C" w:rsidR="00736936" w:rsidP="009E664B" w:rsidRDefault="00736936" w14:paraId="2FF830A9" w14:textId="12ED8BA0">
            <w:r w:rsidRPr="0071607C">
              <w:t xml:space="preserve">Author: </w:t>
            </w:r>
            <w:r>
              <w:t>AK, JD</w:t>
            </w:r>
          </w:p>
        </w:tc>
      </w:tr>
      <w:tr w:rsidRPr="0074216B" w:rsidR="00736936" w:rsidTr="009E664B" w14:paraId="066DBAA4" w14:textId="77777777">
        <w:tc>
          <w:tcPr>
            <w:tcW w:w="4535" w:type="dxa"/>
            <w:vAlign w:val="center"/>
          </w:tcPr>
          <w:p w:rsidRPr="0071607C" w:rsidR="00736936" w:rsidP="009E664B" w:rsidRDefault="00736936" w14:paraId="53554D7E" w14:textId="15F616F6">
            <w:pPr>
              <w:rPr>
                <w:bCs/>
              </w:rPr>
            </w:pPr>
            <w:r w:rsidRPr="0071607C">
              <w:t xml:space="preserve">Current Version number:  </w:t>
            </w:r>
            <w:r w:rsidR="009F220D">
              <w:t>2</w:t>
            </w:r>
          </w:p>
        </w:tc>
        <w:tc>
          <w:tcPr>
            <w:tcW w:w="4535" w:type="dxa"/>
            <w:vAlign w:val="center"/>
          </w:tcPr>
          <w:p w:rsidRPr="0071607C" w:rsidR="00736936" w:rsidP="009E664B" w:rsidRDefault="00736936" w14:paraId="0A8AB5D1" w14:textId="3752B0A6">
            <w:r w:rsidRPr="0071607C">
              <w:t>Current Version Date:  2</w:t>
            </w:r>
            <w:r w:rsidR="009F220D">
              <w:t>7</w:t>
            </w:r>
            <w:r w:rsidRPr="0071607C">
              <w:t>/10/20</w:t>
            </w:r>
            <w:r w:rsidR="009F220D">
              <w:t>20</w:t>
            </w:r>
          </w:p>
        </w:tc>
      </w:tr>
      <w:tr w:rsidRPr="0074216B" w:rsidR="00736936" w:rsidTr="009E664B" w14:paraId="0E6A63C8" w14:textId="77777777">
        <w:tc>
          <w:tcPr>
            <w:tcW w:w="4535" w:type="dxa"/>
            <w:vAlign w:val="center"/>
          </w:tcPr>
          <w:p w:rsidRPr="0071607C" w:rsidR="00736936" w:rsidP="009E664B" w:rsidRDefault="00736936" w14:paraId="3A9DE365" w14:textId="77777777">
            <w:r w:rsidRPr="0071607C">
              <w:t>Risk Rating: Medium</w:t>
            </w:r>
          </w:p>
        </w:tc>
        <w:tc>
          <w:tcPr>
            <w:tcW w:w="4535" w:type="dxa"/>
            <w:vAlign w:val="center"/>
          </w:tcPr>
          <w:p w:rsidRPr="0071607C" w:rsidR="00736936" w:rsidP="009E664B" w:rsidRDefault="00736936" w14:paraId="56296DE9" w14:textId="73829703">
            <w:r w:rsidRPr="0071607C">
              <w:t xml:space="preserve">Due for Review:  </w:t>
            </w:r>
            <w:r w:rsidR="009F220D">
              <w:t>27/10/2025</w:t>
            </w:r>
          </w:p>
        </w:tc>
      </w:tr>
      <w:tr w:rsidRPr="0074216B" w:rsidR="00736936" w:rsidTr="009E664B" w14:paraId="2988400E" w14:textId="77777777">
        <w:trPr>
          <w:trHeight w:val="344"/>
        </w:trPr>
        <w:tc>
          <w:tcPr>
            <w:tcW w:w="4535" w:type="dxa"/>
            <w:tcBorders>
              <w:bottom w:val="single" w:color="auto" w:sz="4" w:space="0"/>
            </w:tcBorders>
            <w:vAlign w:val="center"/>
          </w:tcPr>
          <w:p w:rsidRPr="0071607C" w:rsidR="00736936" w:rsidP="009E664B" w:rsidRDefault="00736936" w14:paraId="2282A4DC" w14:textId="77777777">
            <w:r w:rsidRPr="0071607C">
              <w:t>Approval by: DTC</w:t>
            </w:r>
          </w:p>
        </w:tc>
        <w:tc>
          <w:tcPr>
            <w:tcW w:w="4535" w:type="dxa"/>
            <w:tcBorders>
              <w:bottom w:val="single" w:color="auto" w:sz="4" w:space="0"/>
            </w:tcBorders>
            <w:vAlign w:val="center"/>
          </w:tcPr>
          <w:p w:rsidRPr="0071607C" w:rsidR="00736936" w:rsidP="009E664B" w:rsidRDefault="00736936" w14:paraId="08FB3E0D" w14:textId="56620604">
            <w:r w:rsidRPr="0071607C">
              <w:t xml:space="preserve">Approval Date: </w:t>
            </w:r>
            <w:r w:rsidR="00260BC8">
              <w:t>APRIL 2021</w:t>
            </w:r>
          </w:p>
        </w:tc>
      </w:tr>
    </w:tbl>
    <w:p w:rsidRPr="00E25790" w:rsidR="00115F48" w:rsidP="006F0321" w:rsidRDefault="00115F48" w14:paraId="2C560F92" w14:textId="77777777"/>
    <w:p w:rsidRPr="00E25790" w:rsidR="00115F48" w:rsidP="006F0321" w:rsidRDefault="00115F48" w14:paraId="7CA010BA" w14:textId="77777777"/>
    <w:p w:rsidRPr="00E25790" w:rsidR="00115F48" w:rsidP="006F0321" w:rsidRDefault="00115F48" w14:paraId="23AEB4B8"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FB1E38" w14:paraId="42A5E9FD"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8C2A95" w:rsidR="00115F48" w:rsidP="009469DB" w:rsidRDefault="00115F48" w14:paraId="0057C825" w14:textId="2784B3ED">
            <w:pPr>
              <w:pStyle w:val="Heading1"/>
            </w:pPr>
            <w:bookmarkStart w:name="_Toc495481164" w:id="538"/>
            <w:bookmarkStart w:name="_Toc495481290" w:id="539"/>
            <w:bookmarkStart w:name="_Toc495481415" w:id="540"/>
            <w:bookmarkStart w:name="_Toc495501596" w:id="541"/>
            <w:bookmarkStart w:name="_Toc38106917" w:id="542"/>
            <w:bookmarkStart w:name="_Toc75340039" w:id="543"/>
            <w:r w:rsidRPr="008C2A95">
              <w:lastRenderedPageBreak/>
              <w:t>Resonium A</w:t>
            </w:r>
            <w:bookmarkEnd w:id="538"/>
            <w:bookmarkEnd w:id="539"/>
            <w:bookmarkEnd w:id="540"/>
            <w:bookmarkEnd w:id="541"/>
            <w:bookmarkEnd w:id="542"/>
            <w:r w:rsidR="003E2F49">
              <w:t xml:space="preserve"> (Polysterene Sulfonate Resin)</w:t>
            </w:r>
            <w:bookmarkEnd w:id="543"/>
            <w:r w:rsidRPr="008C2A95">
              <w:fldChar w:fldCharType="begin"/>
            </w:r>
            <w:r w:rsidRPr="008C2A95">
              <w:instrText>tc "Resonium A" \l 0</w:instrText>
            </w:r>
            <w:r w:rsidRPr="008C2A95">
              <w:fldChar w:fldCharType="end"/>
            </w:r>
          </w:p>
        </w:tc>
      </w:tr>
      <w:tr w:rsidRPr="00E25790" w:rsidR="00115F48" w:rsidTr="00FB1E38" w14:paraId="20E415D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720E71BD" w14:textId="2226A036">
            <w:r w:rsidRPr="00E25790">
              <w:t xml:space="preserve">Revision Date : </w:t>
            </w:r>
            <w:r w:rsidR="003E2F49">
              <w:t>9-6</w:t>
            </w:r>
            <w:r w:rsidR="004F4F90">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2F2E5E4A" w14:textId="353734EE">
            <w:r w:rsidRPr="00E25790">
              <w:t xml:space="preserve">Approved: </w:t>
            </w:r>
            <w:r w:rsidR="004F4F90">
              <w:t>TC, KOH</w:t>
            </w:r>
          </w:p>
        </w:tc>
      </w:tr>
    </w:tbl>
    <w:p w:rsidRPr="00E25790" w:rsidR="00115F48" w:rsidP="006F0321" w:rsidRDefault="00115F48" w14:paraId="69260A6E" w14:textId="77777777"/>
    <w:tbl>
      <w:tblPr>
        <w:tblW w:w="1049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8788"/>
      </w:tblGrid>
      <w:tr w:rsidRPr="00026F20" w:rsidR="000E7BF2" w:rsidTr="00131848" w14:paraId="4CAF339C" w14:textId="77777777">
        <w:trPr>
          <w:trHeight w:val="70"/>
        </w:trPr>
        <w:tc>
          <w:tcPr>
            <w:tcW w:w="1702" w:type="dxa"/>
          </w:tcPr>
          <w:p w:rsidRPr="00B53E9B" w:rsidR="000E7BF2" w:rsidP="00131848" w:rsidRDefault="000E7BF2" w14:paraId="449FFC7C" w14:textId="77777777">
            <w:pPr>
              <w:pStyle w:val="BodyText"/>
              <w:tabs>
                <w:tab w:val="center" w:pos="1476"/>
              </w:tabs>
              <w:rPr>
                <w:rFonts w:cs="Arial"/>
                <w:b/>
                <w:sz w:val="20"/>
                <w:lang w:val="en-AU"/>
              </w:rPr>
            </w:pPr>
            <w:r w:rsidRPr="00B53E9B">
              <w:rPr>
                <w:rFonts w:cs="Arial"/>
                <w:b/>
                <w:sz w:val="20"/>
                <w:lang w:val="en-AU"/>
              </w:rPr>
              <w:t>Alert</w:t>
            </w:r>
            <w:r w:rsidRPr="00B53E9B">
              <w:rPr>
                <w:rFonts w:cs="Arial"/>
                <w:b/>
                <w:sz w:val="20"/>
                <w:lang w:val="en-AU"/>
              </w:rPr>
              <w:tab/>
            </w:r>
          </w:p>
        </w:tc>
        <w:tc>
          <w:tcPr>
            <w:tcW w:w="8788" w:type="dxa"/>
          </w:tcPr>
          <w:p w:rsidR="000E7BF2" w:rsidP="00131848" w:rsidRDefault="000E7BF2" w14:paraId="48A5E8E7" w14:textId="77777777">
            <w:pPr>
              <w:pStyle w:val="BodyText"/>
              <w:rPr>
                <w:rFonts w:cs="Arial"/>
                <w:sz w:val="20"/>
                <w:lang w:val="en-AU"/>
              </w:rPr>
            </w:pPr>
            <w:r>
              <w:rPr>
                <w:rFonts w:cs="Arial"/>
                <w:sz w:val="20"/>
                <w:lang w:val="en-AU"/>
              </w:rPr>
              <w:t>Insulin-glucose and salbutamol (albuterol</w:t>
            </w:r>
            <w:r>
              <w:rPr>
                <w:rStyle w:val="CommentReference"/>
                <w:lang w:val="en-AU"/>
              </w:rPr>
              <w:t xml:space="preserve">) </w:t>
            </w:r>
            <w:r>
              <w:rPr>
                <w:rFonts w:cs="Arial"/>
                <w:sz w:val="20"/>
                <w:lang w:val="en-AU"/>
              </w:rPr>
              <w:t>infusions are more effective and safer options for treatment of hyperkalaemia.</w:t>
            </w:r>
            <w:r>
              <w:rPr>
                <w:rFonts w:cs="Arial"/>
                <w:noProof/>
                <w:sz w:val="20"/>
                <w:lang w:val="en-AU"/>
              </w:rPr>
              <w:t>(1)</w:t>
            </w:r>
            <w:r>
              <w:rPr>
                <w:rFonts w:cs="Arial"/>
                <w:sz w:val="20"/>
                <w:lang w:val="en-AU"/>
              </w:rPr>
              <w:t xml:space="preserve"> </w:t>
            </w:r>
          </w:p>
          <w:p w:rsidR="000E7BF2" w:rsidP="00131848" w:rsidRDefault="000E7BF2" w14:paraId="1FE4C72D" w14:textId="77777777">
            <w:pPr>
              <w:pStyle w:val="BodyText"/>
              <w:rPr>
                <w:rFonts w:cs="Arial"/>
                <w:sz w:val="20"/>
                <w:lang w:val="en-AU"/>
              </w:rPr>
            </w:pPr>
            <w:r>
              <w:rPr>
                <w:rFonts w:cs="Arial"/>
                <w:sz w:val="20"/>
                <w:lang w:val="en-AU"/>
              </w:rPr>
              <w:t>Not for oral administration in neonates.</w:t>
            </w:r>
          </w:p>
          <w:p w:rsidRPr="006916BB" w:rsidR="000E7BF2" w:rsidP="00131848" w:rsidRDefault="000E7BF2" w14:paraId="26B9DA59" w14:textId="77777777">
            <w:pPr>
              <w:pStyle w:val="BodyText"/>
              <w:rPr>
                <w:rFonts w:asciiTheme="minorHAnsi" w:hAnsiTheme="minorHAnsi" w:cstheme="minorHAnsi"/>
                <w:sz w:val="20"/>
                <w:lang w:val="en-AU"/>
              </w:rPr>
            </w:pPr>
            <w:r>
              <w:rPr>
                <w:rFonts w:cs="Arial"/>
                <w:sz w:val="20"/>
                <w:lang w:val="en-AU"/>
              </w:rPr>
              <w:t>E</w:t>
            </w:r>
            <w:r w:rsidRPr="00C52ABF">
              <w:rPr>
                <w:rFonts w:cs="Arial"/>
                <w:sz w:val="20"/>
                <w:lang w:val="en-AU"/>
              </w:rPr>
              <w:t xml:space="preserve">ffective lowering of serum potassium with </w:t>
            </w:r>
            <w:r>
              <w:rPr>
                <w:rFonts w:cs="Arial"/>
                <w:sz w:val="20"/>
                <w:lang w:val="en-AU"/>
              </w:rPr>
              <w:t xml:space="preserve">Resonium </w:t>
            </w:r>
            <w:r w:rsidRPr="006916BB">
              <w:rPr>
                <w:rFonts w:cs="Arial"/>
                <w:b/>
                <w:bCs/>
                <w:sz w:val="20"/>
                <w:lang w:val="en-AU"/>
              </w:rPr>
              <w:t>may take hours</w:t>
            </w:r>
            <w:r>
              <w:rPr>
                <w:rFonts w:cs="Arial"/>
                <w:sz w:val="20"/>
                <w:lang w:val="en-AU"/>
              </w:rPr>
              <w:t xml:space="preserve">. </w:t>
            </w:r>
            <w:r w:rsidRPr="006916BB">
              <w:rPr>
                <w:rFonts w:asciiTheme="minorHAnsi" w:hAnsiTheme="minorHAnsi" w:cstheme="minorHAnsi"/>
                <w:color w:val="333333"/>
                <w:sz w:val="20"/>
              </w:rPr>
              <w:t>The efficiency of potassium exchange is unpredictable and variable.</w:t>
            </w:r>
          </w:p>
          <w:p w:rsidR="000E7BF2" w:rsidP="00131848" w:rsidRDefault="000E7BF2" w14:paraId="42FA495F" w14:textId="77777777">
            <w:pPr>
              <w:pStyle w:val="BodyText"/>
              <w:rPr>
                <w:rFonts w:cs="Arial"/>
                <w:sz w:val="20"/>
                <w:lang w:val="en-AU"/>
              </w:rPr>
            </w:pPr>
            <w:r>
              <w:rPr>
                <w:rFonts w:cs="Arial"/>
                <w:sz w:val="20"/>
                <w:lang w:val="en-AU"/>
              </w:rPr>
              <w:t xml:space="preserve">Available as sodium or calcium resins </w:t>
            </w:r>
          </w:p>
          <w:p w:rsidRPr="00026F20" w:rsidR="000E7BF2" w:rsidP="00131848" w:rsidRDefault="000E7BF2" w14:paraId="16DD8E77" w14:textId="77777777">
            <w:pPr>
              <w:pStyle w:val="BodyText"/>
              <w:rPr>
                <w:rFonts w:cs="Arial"/>
                <w:sz w:val="20"/>
                <w:lang w:val="en-AU"/>
              </w:rPr>
            </w:pPr>
            <w:r>
              <w:rPr>
                <w:rFonts w:cs="Arial"/>
                <w:sz w:val="20"/>
                <w:lang w:val="en-AU"/>
              </w:rPr>
              <w:t>Common international brand name for sodium polystyrene sulfonate is Kayexalate.</w:t>
            </w:r>
          </w:p>
        </w:tc>
      </w:tr>
      <w:tr w:rsidRPr="00A4414D" w:rsidR="000E7BF2" w:rsidTr="00131848" w14:paraId="08F0A5B6" w14:textId="77777777">
        <w:trPr>
          <w:trHeight w:val="72"/>
        </w:trPr>
        <w:tc>
          <w:tcPr>
            <w:tcW w:w="1702" w:type="dxa"/>
          </w:tcPr>
          <w:p w:rsidRPr="00B53E9B" w:rsidR="000E7BF2" w:rsidP="00131848" w:rsidRDefault="000E7BF2" w14:paraId="785BD357" w14:textId="77777777">
            <w:pPr>
              <w:pStyle w:val="BodyText"/>
              <w:rPr>
                <w:rFonts w:cs="Arial"/>
                <w:sz w:val="20"/>
                <w:lang w:val="en-AU"/>
              </w:rPr>
            </w:pPr>
            <w:r w:rsidRPr="00B53E9B">
              <w:rPr>
                <w:rFonts w:cs="Arial"/>
                <w:b/>
                <w:bCs/>
                <w:sz w:val="20"/>
                <w:lang w:val="en-AU"/>
              </w:rPr>
              <w:t>Indication</w:t>
            </w:r>
          </w:p>
        </w:tc>
        <w:tc>
          <w:tcPr>
            <w:tcW w:w="8788" w:type="dxa"/>
          </w:tcPr>
          <w:p w:rsidRPr="00A4414D" w:rsidR="000E7BF2" w:rsidP="00131848" w:rsidRDefault="000E7BF2" w14:paraId="75C7B17B" w14:textId="77777777">
            <w:pPr>
              <w:rPr>
                <w:sz w:val="20"/>
              </w:rPr>
            </w:pPr>
            <w:r>
              <w:rPr>
                <w:sz w:val="20"/>
              </w:rPr>
              <w:t>Hyperkalaemia (serum potassium greater than 6.5 mmol/L)</w:t>
            </w:r>
            <w:r>
              <w:rPr>
                <w:noProof/>
                <w:sz w:val="20"/>
              </w:rPr>
              <w:t>(1)</w:t>
            </w:r>
          </w:p>
        </w:tc>
      </w:tr>
      <w:tr w:rsidRPr="00A4414D" w:rsidR="000E7BF2" w:rsidTr="00131848" w14:paraId="57A95300" w14:textId="77777777">
        <w:trPr>
          <w:trHeight w:val="70"/>
        </w:trPr>
        <w:tc>
          <w:tcPr>
            <w:tcW w:w="1702" w:type="dxa"/>
          </w:tcPr>
          <w:p w:rsidRPr="00B53E9B" w:rsidR="000E7BF2" w:rsidP="00131848" w:rsidRDefault="000E7BF2" w14:paraId="1311EB7F" w14:textId="77777777">
            <w:pPr>
              <w:pStyle w:val="BodyText"/>
              <w:rPr>
                <w:rFonts w:cs="Arial"/>
                <w:b/>
                <w:bCs/>
                <w:sz w:val="20"/>
                <w:lang w:val="en-AU"/>
              </w:rPr>
            </w:pPr>
            <w:r w:rsidRPr="00B53E9B">
              <w:rPr>
                <w:rFonts w:cs="Arial"/>
                <w:b/>
                <w:bCs/>
                <w:sz w:val="20"/>
                <w:lang w:val="en-AU"/>
              </w:rPr>
              <w:t>Action</w:t>
            </w:r>
          </w:p>
        </w:tc>
        <w:tc>
          <w:tcPr>
            <w:tcW w:w="8788" w:type="dxa"/>
          </w:tcPr>
          <w:p w:rsidR="000E7BF2" w:rsidP="00131848" w:rsidRDefault="000E7BF2" w14:paraId="31841957" w14:textId="77777777">
            <w:pPr>
              <w:pStyle w:val="BodyText"/>
              <w:rPr>
                <w:rFonts w:cs="Arial"/>
                <w:sz w:val="20"/>
                <w:lang w:val="en-AU"/>
              </w:rPr>
            </w:pPr>
            <w:r>
              <w:rPr>
                <w:rFonts w:cs="Arial"/>
                <w:sz w:val="20"/>
              </w:rPr>
              <w:t>R</w:t>
            </w:r>
            <w:r w:rsidRPr="00A858DE">
              <w:rPr>
                <w:rFonts w:cs="Arial"/>
                <w:sz w:val="20"/>
              </w:rPr>
              <w:t xml:space="preserve">emoves potassium from body by exchanging it within the gut for </w:t>
            </w:r>
            <w:r>
              <w:rPr>
                <w:rFonts w:cs="Arial"/>
                <w:sz w:val="20"/>
                <w:lang w:val="en-AU"/>
              </w:rPr>
              <w:t>sodium/</w:t>
            </w:r>
            <w:r w:rsidRPr="00A858DE">
              <w:rPr>
                <w:rFonts w:cs="Arial"/>
                <w:sz w:val="20"/>
              </w:rPr>
              <w:t>calcium.</w:t>
            </w:r>
            <w:r>
              <w:rPr>
                <w:rFonts w:cs="Arial"/>
                <w:sz w:val="20"/>
                <w:lang w:val="en-AU"/>
              </w:rPr>
              <w:t xml:space="preserve"> </w:t>
            </w:r>
          </w:p>
          <w:p w:rsidRPr="00A4414D" w:rsidR="000E7BF2" w:rsidP="00131848" w:rsidRDefault="000E7BF2" w14:paraId="33CCECE8" w14:textId="77777777">
            <w:pPr>
              <w:pStyle w:val="BodyText"/>
              <w:rPr>
                <w:rFonts w:cs="Arial"/>
                <w:sz w:val="20"/>
              </w:rPr>
            </w:pPr>
            <w:r w:rsidRPr="006560B4">
              <w:rPr>
                <w:rFonts w:cs="Arial"/>
                <w:i/>
                <w:sz w:val="20"/>
                <w:lang w:val="en-AU"/>
              </w:rPr>
              <w:t>In vivo</w:t>
            </w:r>
            <w:r>
              <w:rPr>
                <w:rFonts w:cs="Arial"/>
                <w:sz w:val="20"/>
                <w:lang w:val="en-AU"/>
              </w:rPr>
              <w:t>, 1 gram of resin exchanges about 1 mmol of potassium.</w:t>
            </w:r>
            <w:r>
              <w:rPr>
                <w:rFonts w:cs="Arial"/>
                <w:noProof/>
                <w:sz w:val="20"/>
                <w:lang w:val="en-AU"/>
              </w:rPr>
              <w:t>(2)</w:t>
            </w:r>
          </w:p>
        </w:tc>
      </w:tr>
      <w:tr w:rsidRPr="00026F20" w:rsidR="000E7BF2" w:rsidTr="00131848" w14:paraId="5D1F72F1" w14:textId="77777777">
        <w:trPr>
          <w:trHeight w:val="266"/>
        </w:trPr>
        <w:tc>
          <w:tcPr>
            <w:tcW w:w="1702" w:type="dxa"/>
          </w:tcPr>
          <w:p w:rsidRPr="00B53E9B" w:rsidR="000E7BF2" w:rsidP="00131848" w:rsidRDefault="000E7BF2" w14:paraId="15E21539" w14:textId="77777777">
            <w:pPr>
              <w:pStyle w:val="BodyText"/>
              <w:rPr>
                <w:rFonts w:cs="Arial"/>
                <w:sz w:val="20"/>
                <w:lang w:val="en-AU"/>
              </w:rPr>
            </w:pPr>
            <w:r>
              <w:rPr>
                <w:rFonts w:cs="Arial"/>
                <w:b/>
                <w:bCs/>
                <w:sz w:val="20"/>
                <w:lang w:val="en-AU"/>
              </w:rPr>
              <w:t>Drug t</w:t>
            </w:r>
            <w:r w:rsidRPr="00B53E9B">
              <w:rPr>
                <w:rFonts w:cs="Arial"/>
                <w:b/>
                <w:bCs/>
                <w:sz w:val="20"/>
                <w:lang w:val="en-AU"/>
              </w:rPr>
              <w:t xml:space="preserve">ype                                   </w:t>
            </w:r>
          </w:p>
        </w:tc>
        <w:tc>
          <w:tcPr>
            <w:tcW w:w="8788" w:type="dxa"/>
          </w:tcPr>
          <w:p w:rsidRPr="00026F20" w:rsidR="000E7BF2" w:rsidP="00131848" w:rsidRDefault="000E7BF2" w14:paraId="1D54E69A" w14:textId="77777777">
            <w:pPr>
              <w:pStyle w:val="BodyText"/>
              <w:rPr>
                <w:rFonts w:cs="Arial"/>
                <w:sz w:val="20"/>
                <w:lang w:val="en-AU"/>
              </w:rPr>
            </w:pPr>
            <w:r>
              <w:rPr>
                <w:rFonts w:cs="Arial"/>
                <w:sz w:val="20"/>
                <w:lang w:val="en-AU"/>
              </w:rPr>
              <w:t xml:space="preserve">Cation exchange resin. </w:t>
            </w:r>
          </w:p>
        </w:tc>
      </w:tr>
      <w:tr w:rsidRPr="00026F20" w:rsidR="000E7BF2" w:rsidTr="00131848" w14:paraId="7952F740" w14:textId="77777777">
        <w:trPr>
          <w:trHeight w:val="114"/>
        </w:trPr>
        <w:tc>
          <w:tcPr>
            <w:tcW w:w="1702" w:type="dxa"/>
          </w:tcPr>
          <w:p w:rsidRPr="00B53E9B" w:rsidR="000E7BF2" w:rsidP="00131848" w:rsidRDefault="000E7BF2" w14:paraId="1A896EF4" w14:textId="77777777">
            <w:pPr>
              <w:pStyle w:val="BodyText"/>
              <w:rPr>
                <w:rFonts w:cs="Arial"/>
                <w:b/>
                <w:bCs/>
                <w:sz w:val="20"/>
                <w:lang w:val="en-AU"/>
              </w:rPr>
            </w:pPr>
            <w:r w:rsidRPr="00B53E9B">
              <w:rPr>
                <w:rFonts w:cs="Arial"/>
                <w:b/>
                <w:bCs/>
                <w:sz w:val="20"/>
                <w:lang w:val="en-AU"/>
              </w:rPr>
              <w:t>Trade</w:t>
            </w:r>
            <w:r>
              <w:rPr>
                <w:rFonts w:cs="Arial"/>
                <w:b/>
                <w:bCs/>
                <w:sz w:val="20"/>
                <w:lang w:val="en-AU"/>
              </w:rPr>
              <w:t xml:space="preserve"> n</w:t>
            </w:r>
            <w:r w:rsidRPr="00B53E9B">
              <w:rPr>
                <w:rFonts w:cs="Arial"/>
                <w:b/>
                <w:bCs/>
                <w:sz w:val="20"/>
                <w:lang w:val="en-AU"/>
              </w:rPr>
              <w:t xml:space="preserve">ame                  </w:t>
            </w:r>
          </w:p>
        </w:tc>
        <w:tc>
          <w:tcPr>
            <w:tcW w:w="8788" w:type="dxa"/>
          </w:tcPr>
          <w:p w:rsidRPr="006560B4" w:rsidR="000E7BF2" w:rsidP="00131848" w:rsidRDefault="000E7BF2" w14:paraId="25725398" w14:textId="77777777">
            <w:pPr>
              <w:pStyle w:val="BodyText"/>
              <w:rPr>
                <w:rFonts w:asciiTheme="minorHAnsi" w:hAnsiTheme="minorHAnsi" w:cstheme="minorHAnsi"/>
                <w:sz w:val="20"/>
                <w:lang w:val="en-AU"/>
              </w:rPr>
            </w:pPr>
            <w:r w:rsidRPr="006560B4">
              <w:rPr>
                <w:rFonts w:asciiTheme="minorHAnsi" w:hAnsiTheme="minorHAnsi" w:cstheme="minorHAnsi"/>
                <w:sz w:val="20"/>
                <w:lang w:val="en-AU"/>
              </w:rPr>
              <w:t xml:space="preserve">Resonium A </w:t>
            </w:r>
            <w:r>
              <w:rPr>
                <w:rFonts w:asciiTheme="minorHAnsi" w:hAnsiTheme="minorHAnsi" w:cstheme="minorHAnsi"/>
                <w:sz w:val="20"/>
                <w:lang w:val="en-AU"/>
              </w:rPr>
              <w:t>P</w:t>
            </w:r>
            <w:r w:rsidRPr="006560B4">
              <w:rPr>
                <w:rFonts w:asciiTheme="minorHAnsi" w:hAnsiTheme="minorHAnsi" w:cstheme="minorHAnsi"/>
                <w:sz w:val="20"/>
                <w:lang w:val="en-AU"/>
              </w:rPr>
              <w:t>owder for suspension</w:t>
            </w:r>
            <w:r w:rsidRPr="006560B4">
              <w:rPr>
                <w:rFonts w:asciiTheme="minorHAnsi" w:hAnsiTheme="minorHAnsi" w:cstheme="minorHAnsi"/>
                <w:sz w:val="20"/>
              </w:rPr>
              <w:t xml:space="preserve"> </w:t>
            </w:r>
            <w:r w:rsidRPr="006560B4">
              <w:rPr>
                <w:rFonts w:asciiTheme="minorHAnsi" w:hAnsiTheme="minorHAnsi" w:cstheme="minorHAnsi"/>
                <w:sz w:val="20"/>
                <w:lang w:val="en-AU"/>
              </w:rPr>
              <w:t>(Sodium polystyrene sulfonate)</w:t>
            </w:r>
          </w:p>
          <w:p w:rsidRPr="00026F20" w:rsidR="000E7BF2" w:rsidP="00131848" w:rsidRDefault="000E7BF2" w14:paraId="2DFDB69A" w14:textId="77777777">
            <w:pPr>
              <w:pStyle w:val="BodyText"/>
              <w:rPr>
                <w:rFonts w:cs="Arial"/>
                <w:sz w:val="20"/>
                <w:lang w:val="en-AU"/>
              </w:rPr>
            </w:pPr>
            <w:r w:rsidRPr="006560B4">
              <w:rPr>
                <w:rFonts w:asciiTheme="minorHAnsi" w:hAnsiTheme="minorHAnsi" w:cstheme="minorHAnsi"/>
                <w:sz w:val="20"/>
                <w:lang w:val="en-AU"/>
              </w:rPr>
              <w:t>Calcium Resonium Powder for suspension (Calcium polystyrene sulfonate)</w:t>
            </w:r>
          </w:p>
        </w:tc>
      </w:tr>
      <w:tr w:rsidRPr="00026F20" w:rsidR="000E7BF2" w:rsidTr="00131848" w14:paraId="345B2990" w14:textId="77777777">
        <w:trPr>
          <w:trHeight w:val="70"/>
        </w:trPr>
        <w:tc>
          <w:tcPr>
            <w:tcW w:w="1702" w:type="dxa"/>
          </w:tcPr>
          <w:p w:rsidRPr="00B53E9B" w:rsidR="000E7BF2" w:rsidP="00131848" w:rsidRDefault="000E7BF2" w14:paraId="7EE45320" w14:textId="77777777">
            <w:pPr>
              <w:pStyle w:val="BodyText"/>
              <w:rPr>
                <w:rFonts w:cs="Arial"/>
                <w:b/>
                <w:bCs/>
                <w:sz w:val="20"/>
                <w:lang w:val="en-AU"/>
              </w:rPr>
            </w:pPr>
            <w:r w:rsidRPr="00B53E9B">
              <w:rPr>
                <w:rFonts w:cs="Arial"/>
                <w:b/>
                <w:bCs/>
                <w:sz w:val="20"/>
                <w:lang w:val="en-AU"/>
              </w:rPr>
              <w:t xml:space="preserve">Presentation </w:t>
            </w:r>
          </w:p>
        </w:tc>
        <w:tc>
          <w:tcPr>
            <w:tcW w:w="8788" w:type="dxa"/>
          </w:tcPr>
          <w:p w:rsidR="000E7BF2" w:rsidP="00131848" w:rsidRDefault="000E7BF2" w14:paraId="1855DCA7" w14:textId="77777777">
            <w:pPr>
              <w:pStyle w:val="BodyText"/>
              <w:rPr>
                <w:rFonts w:cs="Arial"/>
                <w:sz w:val="20"/>
                <w:lang w:val="en-AU"/>
              </w:rPr>
            </w:pPr>
            <w:r>
              <w:rPr>
                <w:rFonts w:cs="Arial"/>
                <w:sz w:val="20"/>
                <w:lang w:val="en-AU"/>
              </w:rPr>
              <w:t>Resonium A p</w:t>
            </w:r>
            <w:r w:rsidRPr="001C3B9A">
              <w:rPr>
                <w:rFonts w:cs="Arial"/>
                <w:sz w:val="20"/>
                <w:lang w:val="en-AU"/>
              </w:rPr>
              <w:t xml:space="preserve">owder for suspension </w:t>
            </w:r>
            <w:r>
              <w:rPr>
                <w:rFonts w:cs="Arial"/>
                <w:sz w:val="20"/>
                <w:lang w:val="en-AU"/>
              </w:rPr>
              <w:t>– Sodium content is 4.1 mmol/g of Resonium A.</w:t>
            </w:r>
            <w:r>
              <w:rPr>
                <w:rFonts w:cs="Arial"/>
                <w:noProof/>
                <w:sz w:val="20"/>
                <w:lang w:val="en-AU"/>
              </w:rPr>
              <w:t>(2)</w:t>
            </w:r>
          </w:p>
          <w:p w:rsidRPr="00026F20" w:rsidR="000E7BF2" w:rsidP="00131848" w:rsidRDefault="000E7BF2" w14:paraId="30FEA70B" w14:textId="77777777">
            <w:pPr>
              <w:pStyle w:val="BodyText"/>
              <w:rPr>
                <w:rFonts w:cs="Arial"/>
                <w:sz w:val="20"/>
                <w:lang w:val="en-AU"/>
              </w:rPr>
            </w:pPr>
            <w:r>
              <w:rPr>
                <w:rFonts w:cs="Arial"/>
                <w:sz w:val="20"/>
                <w:lang w:val="en-AU"/>
              </w:rPr>
              <w:t>Calcium Resonium p</w:t>
            </w:r>
            <w:r w:rsidRPr="001C3B9A">
              <w:rPr>
                <w:rFonts w:cs="Arial"/>
                <w:sz w:val="20"/>
                <w:lang w:val="en-AU"/>
              </w:rPr>
              <w:t xml:space="preserve">owder for suspension </w:t>
            </w:r>
            <w:r>
              <w:rPr>
                <w:rFonts w:cs="Arial"/>
                <w:sz w:val="20"/>
                <w:lang w:val="en-AU"/>
              </w:rPr>
              <w:t>– Calcium content is 1.6-2.4 mmol/g of Resonium.</w:t>
            </w:r>
            <w:r>
              <w:rPr>
                <w:rFonts w:cs="Arial"/>
                <w:noProof/>
                <w:sz w:val="20"/>
                <w:lang w:val="en-AU"/>
              </w:rPr>
              <w:t>(2)</w:t>
            </w:r>
          </w:p>
        </w:tc>
      </w:tr>
      <w:tr w:rsidRPr="00026F20" w:rsidR="000E7BF2" w:rsidTr="00131848" w14:paraId="7C9B1F36" w14:textId="77777777">
        <w:trPr>
          <w:trHeight w:val="70"/>
        </w:trPr>
        <w:tc>
          <w:tcPr>
            <w:tcW w:w="1702" w:type="dxa"/>
          </w:tcPr>
          <w:p w:rsidRPr="00B53E9B" w:rsidR="000E7BF2" w:rsidP="00131848" w:rsidRDefault="000E7BF2" w14:paraId="2856479D" w14:textId="77777777">
            <w:pPr>
              <w:pStyle w:val="BodyText"/>
              <w:rPr>
                <w:rFonts w:cs="Arial"/>
                <w:b/>
                <w:bCs/>
                <w:sz w:val="20"/>
                <w:lang w:val="en-AU"/>
              </w:rPr>
            </w:pPr>
            <w:r>
              <w:rPr>
                <w:rFonts w:cs="Arial"/>
                <w:b/>
                <w:bCs/>
                <w:sz w:val="20"/>
                <w:lang w:val="en-AU"/>
              </w:rPr>
              <w:t>Dose</w:t>
            </w:r>
            <w:r w:rsidRPr="00B53E9B">
              <w:rPr>
                <w:rFonts w:cs="Arial"/>
                <w:b/>
                <w:bCs/>
                <w:sz w:val="20"/>
                <w:lang w:val="en-AU"/>
              </w:rPr>
              <w:t xml:space="preserve">                          </w:t>
            </w:r>
          </w:p>
        </w:tc>
        <w:tc>
          <w:tcPr>
            <w:tcW w:w="8788" w:type="dxa"/>
          </w:tcPr>
          <w:p w:rsidR="000E7BF2" w:rsidP="00131848" w:rsidRDefault="000E7BF2" w14:paraId="110624C2" w14:textId="77777777">
            <w:pPr>
              <w:pStyle w:val="BodyText"/>
              <w:rPr>
                <w:sz w:val="20"/>
                <w:lang w:val="en-AU"/>
              </w:rPr>
            </w:pPr>
            <w:r w:rsidRPr="00626313">
              <w:rPr>
                <w:b/>
                <w:sz w:val="20"/>
                <w:lang w:val="en-AU"/>
              </w:rPr>
              <w:t>Dose:</w:t>
            </w:r>
            <w:r>
              <w:rPr>
                <w:sz w:val="20"/>
                <w:lang w:val="en-AU"/>
              </w:rPr>
              <w:t xml:space="preserve"> 1 g/kg every 4-6 hours, followed by colonic irrigation 8-12 hours  after the last resin dose (see Administration section)</w:t>
            </w:r>
            <w:r>
              <w:rPr>
                <w:noProof/>
                <w:sz w:val="20"/>
                <w:lang w:val="en-AU"/>
              </w:rPr>
              <w:t>(3, 4)</w:t>
            </w:r>
          </w:p>
          <w:p w:rsidR="000E7BF2" w:rsidP="00131848" w:rsidRDefault="000E7BF2" w14:paraId="33BCEE55" w14:textId="77777777">
            <w:pPr>
              <w:pStyle w:val="BodyText"/>
              <w:rPr>
                <w:sz w:val="20"/>
                <w:lang w:val="en-AU"/>
              </w:rPr>
            </w:pPr>
            <w:r>
              <w:rPr>
                <w:b/>
                <w:sz w:val="20"/>
                <w:lang w:val="en-AU"/>
              </w:rPr>
              <w:t>Recommended resin</w:t>
            </w:r>
            <w:r w:rsidRPr="00626313">
              <w:rPr>
                <w:b/>
                <w:sz w:val="20"/>
                <w:lang w:val="en-AU"/>
              </w:rPr>
              <w:t>:</w:t>
            </w:r>
            <w:r>
              <w:rPr>
                <w:sz w:val="20"/>
                <w:lang w:val="en-AU"/>
              </w:rPr>
              <w:t xml:space="preserve"> </w:t>
            </w:r>
          </w:p>
          <w:p w:rsidR="000E7BF2" w:rsidP="00131848" w:rsidRDefault="000E7BF2" w14:paraId="72101422" w14:textId="77777777">
            <w:pPr>
              <w:pStyle w:val="BodyText"/>
              <w:ind w:left="720"/>
              <w:rPr>
                <w:sz w:val="20"/>
                <w:lang w:val="en-AU"/>
              </w:rPr>
            </w:pPr>
            <w:r w:rsidRPr="000C4782">
              <w:rPr>
                <w:b/>
                <w:sz w:val="20"/>
                <w:lang w:val="en-AU"/>
              </w:rPr>
              <w:t>Resonium A:</w:t>
            </w:r>
            <w:r>
              <w:rPr>
                <w:sz w:val="20"/>
                <w:lang w:val="en-AU"/>
              </w:rPr>
              <w:t xml:space="preserve"> if plasma sodium is normal or if plasma calcium is high. </w:t>
            </w:r>
          </w:p>
          <w:p w:rsidR="000E7BF2" w:rsidP="00131848" w:rsidRDefault="000E7BF2" w14:paraId="6DE153B6" w14:textId="77777777">
            <w:pPr>
              <w:pStyle w:val="BodyText"/>
              <w:ind w:left="720"/>
              <w:rPr>
                <w:sz w:val="20"/>
                <w:lang w:val="en-AU"/>
              </w:rPr>
            </w:pPr>
            <w:r w:rsidRPr="000C4782">
              <w:rPr>
                <w:b/>
                <w:sz w:val="20"/>
                <w:lang w:val="en-AU"/>
              </w:rPr>
              <w:t>Calcium Resonium:</w:t>
            </w:r>
            <w:r>
              <w:rPr>
                <w:sz w:val="20"/>
                <w:lang w:val="en-AU"/>
              </w:rPr>
              <w:t xml:space="preserve"> if plasma sodium is high.</w:t>
            </w:r>
          </w:p>
          <w:p w:rsidRPr="00026F20" w:rsidR="000E7BF2" w:rsidP="00131848" w:rsidRDefault="000E7BF2" w14:paraId="78555497" w14:textId="77777777">
            <w:pPr>
              <w:pStyle w:val="BodyText"/>
              <w:rPr>
                <w:sz w:val="20"/>
                <w:lang w:val="en-AU"/>
              </w:rPr>
            </w:pPr>
            <w:r w:rsidRPr="00626313">
              <w:rPr>
                <w:b/>
                <w:sz w:val="20"/>
                <w:lang w:val="en-AU"/>
              </w:rPr>
              <w:t>Duration</w:t>
            </w:r>
            <w:r>
              <w:rPr>
                <w:b/>
                <w:sz w:val="20"/>
                <w:lang w:val="en-AU"/>
              </w:rPr>
              <w:t xml:space="preserve"> of therapy</w:t>
            </w:r>
            <w:r w:rsidRPr="00626313">
              <w:rPr>
                <w:b/>
                <w:sz w:val="20"/>
                <w:lang w:val="en-AU"/>
              </w:rPr>
              <w:t>:</w:t>
            </w:r>
            <w:r>
              <w:rPr>
                <w:sz w:val="20"/>
                <w:lang w:val="en-AU"/>
              </w:rPr>
              <w:t xml:space="preserve"> Cease once serum potassium returns to normal (&lt;6 mmol/L)</w:t>
            </w:r>
          </w:p>
        </w:tc>
      </w:tr>
      <w:tr w:rsidRPr="00026F20" w:rsidR="000E7BF2" w:rsidTr="00131848" w14:paraId="268E86D7" w14:textId="77777777">
        <w:trPr>
          <w:trHeight w:val="70"/>
        </w:trPr>
        <w:tc>
          <w:tcPr>
            <w:tcW w:w="1702" w:type="dxa"/>
          </w:tcPr>
          <w:p w:rsidRPr="00B53E9B" w:rsidR="000E7BF2" w:rsidP="00131848" w:rsidRDefault="000E7BF2" w14:paraId="66094C48" w14:textId="77777777">
            <w:pPr>
              <w:pStyle w:val="BodyText"/>
              <w:rPr>
                <w:b/>
                <w:sz w:val="20"/>
                <w:lang w:val="en-AU"/>
              </w:rPr>
            </w:pPr>
            <w:r w:rsidRPr="00B53E9B">
              <w:rPr>
                <w:b/>
                <w:sz w:val="20"/>
                <w:lang w:val="en-AU"/>
              </w:rPr>
              <w:t>Dose adjustment</w:t>
            </w:r>
          </w:p>
        </w:tc>
        <w:tc>
          <w:tcPr>
            <w:tcW w:w="8788" w:type="dxa"/>
          </w:tcPr>
          <w:p w:rsidRPr="00026F20" w:rsidR="000E7BF2" w:rsidP="00131848" w:rsidRDefault="000E7BF2" w14:paraId="0DC05521" w14:textId="77777777">
            <w:pPr>
              <w:pStyle w:val="BodyText"/>
              <w:rPr>
                <w:sz w:val="20"/>
                <w:lang w:val="en-AU"/>
              </w:rPr>
            </w:pPr>
            <w:r>
              <w:rPr>
                <w:sz w:val="20"/>
                <w:lang w:val="en-AU"/>
              </w:rPr>
              <w:t>No specific information.</w:t>
            </w:r>
          </w:p>
        </w:tc>
      </w:tr>
      <w:tr w:rsidRPr="00026F20" w:rsidR="000E7BF2" w:rsidTr="00131848" w14:paraId="689564F0" w14:textId="77777777">
        <w:trPr>
          <w:trHeight w:val="113"/>
        </w:trPr>
        <w:tc>
          <w:tcPr>
            <w:tcW w:w="1702" w:type="dxa"/>
          </w:tcPr>
          <w:p w:rsidRPr="00B53E9B" w:rsidR="000E7BF2" w:rsidP="00131848" w:rsidRDefault="000E7BF2" w14:paraId="44D7B441" w14:textId="77777777">
            <w:pPr>
              <w:pStyle w:val="BodyText"/>
              <w:rPr>
                <w:b/>
                <w:sz w:val="20"/>
                <w:lang w:val="en-AU"/>
              </w:rPr>
            </w:pPr>
            <w:r w:rsidRPr="00B53E9B">
              <w:rPr>
                <w:b/>
                <w:sz w:val="20"/>
                <w:lang w:val="en-AU"/>
              </w:rPr>
              <w:t>Maximum dose</w:t>
            </w:r>
          </w:p>
        </w:tc>
        <w:tc>
          <w:tcPr>
            <w:tcW w:w="8788" w:type="dxa"/>
          </w:tcPr>
          <w:p w:rsidRPr="00026F20" w:rsidR="000E7BF2" w:rsidP="00131848" w:rsidRDefault="000E7BF2" w14:paraId="222B0CC3" w14:textId="77777777">
            <w:pPr>
              <w:pStyle w:val="BodyText"/>
              <w:rPr>
                <w:sz w:val="20"/>
                <w:lang w:val="en-AU"/>
              </w:rPr>
            </w:pPr>
          </w:p>
        </w:tc>
      </w:tr>
      <w:tr w:rsidRPr="00026F20" w:rsidR="000E7BF2" w:rsidTr="00131848" w14:paraId="54399AA3" w14:textId="77777777">
        <w:trPr>
          <w:trHeight w:val="144"/>
        </w:trPr>
        <w:tc>
          <w:tcPr>
            <w:tcW w:w="1702" w:type="dxa"/>
          </w:tcPr>
          <w:p w:rsidRPr="00B53E9B" w:rsidR="000E7BF2" w:rsidP="00131848" w:rsidRDefault="000E7BF2" w14:paraId="464E2BB2" w14:textId="77777777">
            <w:pPr>
              <w:pStyle w:val="BodyText"/>
              <w:rPr>
                <w:rFonts w:cs="Arial"/>
                <w:b/>
                <w:bCs/>
                <w:sz w:val="20"/>
                <w:lang w:val="en-AU"/>
              </w:rPr>
            </w:pPr>
            <w:r w:rsidRPr="00B53E9B">
              <w:rPr>
                <w:b/>
                <w:sz w:val="20"/>
                <w:lang w:val="en-AU"/>
              </w:rPr>
              <w:t>Total cumulative dose</w:t>
            </w:r>
          </w:p>
        </w:tc>
        <w:tc>
          <w:tcPr>
            <w:tcW w:w="8788" w:type="dxa"/>
          </w:tcPr>
          <w:p w:rsidRPr="00026F20" w:rsidR="000E7BF2" w:rsidP="00131848" w:rsidRDefault="000E7BF2" w14:paraId="3FEF23B5" w14:textId="77777777">
            <w:pPr>
              <w:pStyle w:val="BodyText"/>
              <w:rPr>
                <w:rFonts w:cs="Arial"/>
                <w:b/>
                <w:sz w:val="20"/>
                <w:lang w:val="en-AU"/>
              </w:rPr>
            </w:pPr>
          </w:p>
        </w:tc>
      </w:tr>
      <w:tr w:rsidRPr="000C4782" w:rsidR="000E7BF2" w:rsidTr="00131848" w14:paraId="7434A328" w14:textId="77777777">
        <w:trPr>
          <w:trHeight w:val="294"/>
        </w:trPr>
        <w:tc>
          <w:tcPr>
            <w:tcW w:w="1702" w:type="dxa"/>
          </w:tcPr>
          <w:p w:rsidRPr="00B53E9B" w:rsidR="000E7BF2" w:rsidP="00131848" w:rsidRDefault="000E7BF2" w14:paraId="40EE4EC9" w14:textId="77777777">
            <w:pPr>
              <w:pStyle w:val="BodyText"/>
              <w:rPr>
                <w:rFonts w:cs="Arial"/>
                <w:sz w:val="20"/>
                <w:lang w:val="en-AU"/>
              </w:rPr>
            </w:pPr>
            <w:r w:rsidRPr="00B53E9B">
              <w:rPr>
                <w:rFonts w:cs="Arial"/>
                <w:b/>
                <w:bCs/>
                <w:sz w:val="20"/>
                <w:lang w:val="en-AU"/>
              </w:rPr>
              <w:t xml:space="preserve">Route                                </w:t>
            </w:r>
          </w:p>
        </w:tc>
        <w:tc>
          <w:tcPr>
            <w:tcW w:w="8788" w:type="dxa"/>
          </w:tcPr>
          <w:p w:rsidRPr="000C4782" w:rsidR="000E7BF2" w:rsidP="00131848" w:rsidRDefault="000E7BF2" w14:paraId="11513A42" w14:textId="77777777">
            <w:pPr>
              <w:pStyle w:val="BodyText"/>
              <w:rPr>
                <w:lang w:val="en-AU"/>
              </w:rPr>
            </w:pPr>
            <w:r>
              <w:rPr>
                <w:rFonts w:cs="Arial"/>
                <w:sz w:val="20"/>
                <w:lang w:val="en-AU"/>
              </w:rPr>
              <w:t>Rectal</w:t>
            </w:r>
          </w:p>
        </w:tc>
      </w:tr>
      <w:tr w:rsidRPr="00026F20" w:rsidR="000E7BF2" w:rsidTr="00131848" w14:paraId="452E9993" w14:textId="77777777">
        <w:trPr>
          <w:trHeight w:val="93"/>
        </w:trPr>
        <w:tc>
          <w:tcPr>
            <w:tcW w:w="1702" w:type="dxa"/>
          </w:tcPr>
          <w:p w:rsidRPr="00B53E9B" w:rsidR="000E7BF2" w:rsidP="00131848" w:rsidRDefault="000E7BF2" w14:paraId="226423AE" w14:textId="77777777">
            <w:pPr>
              <w:pStyle w:val="BodyText"/>
              <w:rPr>
                <w:rFonts w:cs="Arial"/>
                <w:b/>
                <w:bCs/>
                <w:sz w:val="20"/>
                <w:highlight w:val="cyan"/>
                <w:lang w:val="en-AU"/>
              </w:rPr>
            </w:pPr>
            <w:r w:rsidRPr="00B53E9B">
              <w:rPr>
                <w:rFonts w:cs="Arial"/>
                <w:b/>
                <w:bCs/>
                <w:sz w:val="20"/>
                <w:lang w:val="en-AU"/>
              </w:rPr>
              <w:t>Preparation</w:t>
            </w:r>
            <w:r w:rsidRPr="00B53E9B">
              <w:rPr>
                <w:rFonts w:cs="Arial"/>
                <w:b/>
                <w:bCs/>
                <w:sz w:val="20"/>
                <w:highlight w:val="cyan"/>
                <w:lang w:val="en-AU"/>
              </w:rPr>
              <w:t xml:space="preserve">                </w:t>
            </w:r>
          </w:p>
        </w:tc>
        <w:tc>
          <w:tcPr>
            <w:tcW w:w="8788" w:type="dxa"/>
          </w:tcPr>
          <w:p w:rsidRPr="00026F20" w:rsidR="000E7BF2" w:rsidP="00131848" w:rsidRDefault="000E7BF2" w14:paraId="76B97E48" w14:textId="77777777">
            <w:pPr>
              <w:pStyle w:val="BodyText"/>
              <w:rPr>
                <w:rFonts w:cs="Arial"/>
                <w:sz w:val="20"/>
                <w:lang w:val="en-AU"/>
              </w:rPr>
            </w:pPr>
            <w:r>
              <w:rPr>
                <w:rFonts w:cs="Arial"/>
                <w:sz w:val="20"/>
                <w:lang w:val="en-AU"/>
              </w:rPr>
              <w:t>Dilute each gram/kg of Resonium with 3-5mL/kg of Water for Injection or glucose 10%.</w:t>
            </w:r>
          </w:p>
        </w:tc>
      </w:tr>
      <w:tr w:rsidRPr="00026F20" w:rsidR="000E7BF2" w:rsidTr="00131848" w14:paraId="6C66FE68" w14:textId="77777777">
        <w:trPr>
          <w:trHeight w:val="224"/>
        </w:trPr>
        <w:tc>
          <w:tcPr>
            <w:tcW w:w="1702" w:type="dxa"/>
          </w:tcPr>
          <w:p w:rsidRPr="00B53E9B" w:rsidR="000E7BF2" w:rsidP="00131848" w:rsidRDefault="000E7BF2" w14:paraId="27C67B57" w14:textId="77777777">
            <w:pPr>
              <w:pStyle w:val="BodyText"/>
              <w:rPr>
                <w:rFonts w:cs="Arial"/>
                <w:b/>
                <w:bCs/>
                <w:sz w:val="20"/>
                <w:lang w:val="en-AU"/>
              </w:rPr>
            </w:pPr>
            <w:r w:rsidRPr="00B53E9B">
              <w:rPr>
                <w:rFonts w:cs="Arial"/>
                <w:b/>
                <w:bCs/>
                <w:sz w:val="20"/>
                <w:lang w:val="en-AU"/>
              </w:rPr>
              <w:t xml:space="preserve">Administration                </w:t>
            </w:r>
          </w:p>
        </w:tc>
        <w:tc>
          <w:tcPr>
            <w:tcW w:w="8788" w:type="dxa"/>
            <w:vAlign w:val="center"/>
          </w:tcPr>
          <w:p w:rsidR="000E7BF2" w:rsidP="00131848" w:rsidRDefault="000E7BF2" w14:paraId="04767168" w14:textId="77777777">
            <w:pPr>
              <w:pStyle w:val="BodyText"/>
              <w:rPr>
                <w:rFonts w:cs="Arial"/>
                <w:b/>
                <w:bCs/>
                <w:sz w:val="20"/>
                <w:lang w:val="en-AU"/>
              </w:rPr>
            </w:pPr>
            <w:r>
              <w:rPr>
                <w:rFonts w:cs="Arial"/>
                <w:sz w:val="20"/>
                <w:lang w:val="en-AU"/>
              </w:rPr>
              <w:t xml:space="preserve">PR only, </w:t>
            </w:r>
            <w:r w:rsidRPr="00960FA8">
              <w:rPr>
                <w:rFonts w:cs="Arial"/>
                <w:b/>
                <w:bCs/>
                <w:sz w:val="20"/>
                <w:lang w:val="en-AU"/>
              </w:rPr>
              <w:t>should not be administered orally</w:t>
            </w:r>
            <w:r>
              <w:rPr>
                <w:rFonts w:cs="Arial"/>
                <w:b/>
                <w:bCs/>
                <w:sz w:val="20"/>
                <w:lang w:val="en-AU"/>
              </w:rPr>
              <w:t>.</w:t>
            </w:r>
          </w:p>
          <w:p w:rsidR="000E7BF2" w:rsidP="00131848" w:rsidRDefault="000E7BF2" w14:paraId="4EE94A1E" w14:textId="77777777">
            <w:pPr>
              <w:pStyle w:val="BodyText"/>
              <w:rPr>
                <w:rFonts w:cs="Arial"/>
                <w:b/>
                <w:bCs/>
                <w:sz w:val="20"/>
                <w:lang w:val="en-AU"/>
              </w:rPr>
            </w:pPr>
            <w:r>
              <w:rPr>
                <w:rFonts w:cs="Arial"/>
                <w:b/>
                <w:bCs/>
                <w:sz w:val="20"/>
                <w:lang w:val="en-AU"/>
              </w:rPr>
              <w:t>Aim to retain dose rectally for as long as possible, at least 30 minutes.</w:t>
            </w:r>
          </w:p>
          <w:p w:rsidRPr="00026F20" w:rsidR="000E7BF2" w:rsidP="00131848" w:rsidRDefault="000E7BF2" w14:paraId="66CD4899" w14:textId="77777777">
            <w:pPr>
              <w:pStyle w:val="BodyText"/>
              <w:rPr>
                <w:rFonts w:cs="Arial"/>
                <w:sz w:val="20"/>
                <w:lang w:val="en-AU"/>
              </w:rPr>
            </w:pPr>
            <w:r w:rsidRPr="00626313">
              <w:rPr>
                <w:b/>
                <w:sz w:val="20"/>
                <w:lang w:val="en-AU"/>
              </w:rPr>
              <w:t xml:space="preserve">Evacuation of resin:  </w:t>
            </w:r>
            <w:r>
              <w:rPr>
                <w:sz w:val="20"/>
                <w:lang w:val="en-AU"/>
              </w:rPr>
              <w:t>Evacuate Resonium 8-12 hours later with glycerine enema or 1 to 2 mL of sodium chloride 0.9%.</w:t>
            </w:r>
          </w:p>
        </w:tc>
      </w:tr>
      <w:tr w:rsidRPr="00026F20" w:rsidR="000E7BF2" w:rsidTr="00131848" w14:paraId="58674F73" w14:textId="77777777">
        <w:trPr>
          <w:trHeight w:val="215"/>
        </w:trPr>
        <w:tc>
          <w:tcPr>
            <w:tcW w:w="1702" w:type="dxa"/>
          </w:tcPr>
          <w:p w:rsidRPr="00B53E9B" w:rsidR="000E7BF2" w:rsidP="00131848" w:rsidRDefault="000E7BF2" w14:paraId="463ABA0A" w14:textId="77777777">
            <w:pPr>
              <w:pStyle w:val="BodyText"/>
              <w:rPr>
                <w:rFonts w:cs="Arial"/>
                <w:b/>
                <w:bCs/>
                <w:sz w:val="20"/>
                <w:lang w:val="en-AU"/>
              </w:rPr>
            </w:pPr>
            <w:r w:rsidRPr="00B53E9B">
              <w:rPr>
                <w:rFonts w:cs="Arial"/>
                <w:b/>
                <w:bCs/>
                <w:sz w:val="20"/>
                <w:lang w:val="en-AU"/>
              </w:rPr>
              <w:t xml:space="preserve">Monitoring                              </w:t>
            </w:r>
          </w:p>
        </w:tc>
        <w:tc>
          <w:tcPr>
            <w:tcW w:w="8788" w:type="dxa"/>
          </w:tcPr>
          <w:p w:rsidR="000E7BF2" w:rsidP="00131848" w:rsidRDefault="000E7BF2" w14:paraId="55FFFEF4" w14:textId="77777777">
            <w:pPr>
              <w:pStyle w:val="BodyText"/>
              <w:rPr>
                <w:rFonts w:cs="Arial"/>
                <w:sz w:val="20"/>
                <w:lang w:val="en-AU"/>
              </w:rPr>
            </w:pPr>
            <w:r>
              <w:rPr>
                <w:rFonts w:cs="Arial"/>
                <w:sz w:val="20"/>
                <w:lang w:val="en-AU"/>
              </w:rPr>
              <w:t>Serum electrolytes: potassium, sodium, calcium (hypercalcaemia) and magnesium (hypomagnesaemia).</w:t>
            </w:r>
          </w:p>
          <w:p w:rsidRPr="00026F20" w:rsidR="000E7BF2" w:rsidP="00131848" w:rsidRDefault="000E7BF2" w14:paraId="58E4B101" w14:textId="77777777">
            <w:pPr>
              <w:pStyle w:val="BodyText"/>
              <w:rPr>
                <w:rFonts w:cs="Arial"/>
                <w:sz w:val="20"/>
                <w:lang w:val="en-AU"/>
              </w:rPr>
            </w:pPr>
            <w:r>
              <w:rPr>
                <w:rFonts w:cs="Arial"/>
                <w:sz w:val="20"/>
                <w:lang w:val="en-AU"/>
              </w:rPr>
              <w:t>Cardiorespiratory and apnoea monitoring.</w:t>
            </w:r>
          </w:p>
        </w:tc>
      </w:tr>
      <w:tr w:rsidRPr="00026F20" w:rsidR="000E7BF2" w:rsidTr="00131848" w14:paraId="3512D25E" w14:textId="77777777">
        <w:trPr>
          <w:trHeight w:val="342"/>
        </w:trPr>
        <w:tc>
          <w:tcPr>
            <w:tcW w:w="1702" w:type="dxa"/>
          </w:tcPr>
          <w:p w:rsidRPr="00B53E9B" w:rsidR="000E7BF2" w:rsidP="00131848" w:rsidRDefault="000E7BF2" w14:paraId="0E5FD1B0" w14:textId="77777777">
            <w:pPr>
              <w:pStyle w:val="BodyText"/>
              <w:rPr>
                <w:rFonts w:cs="Arial"/>
                <w:b/>
                <w:bCs/>
                <w:sz w:val="20"/>
                <w:lang w:val="en-AU"/>
              </w:rPr>
            </w:pPr>
            <w:r w:rsidRPr="00B53E9B">
              <w:rPr>
                <w:rFonts w:cs="Arial"/>
                <w:b/>
                <w:bCs/>
                <w:sz w:val="20"/>
                <w:lang w:val="en-AU"/>
              </w:rPr>
              <w:t xml:space="preserve">Contraindications                        </w:t>
            </w:r>
          </w:p>
        </w:tc>
        <w:tc>
          <w:tcPr>
            <w:tcW w:w="8788" w:type="dxa"/>
          </w:tcPr>
          <w:p w:rsidR="000E7BF2" w:rsidP="00131848" w:rsidRDefault="000E7BF2" w14:paraId="0CFBF76D" w14:textId="77777777">
            <w:pPr>
              <w:pStyle w:val="BodyText"/>
              <w:rPr>
                <w:rFonts w:cs="Arial"/>
                <w:sz w:val="20"/>
                <w:lang w:val="en-AU"/>
              </w:rPr>
            </w:pPr>
            <w:r w:rsidRPr="00A37A36">
              <w:rPr>
                <w:rFonts w:cs="Arial"/>
                <w:sz w:val="20"/>
                <w:lang w:val="en-AU"/>
              </w:rPr>
              <w:t xml:space="preserve">Resonium </w:t>
            </w:r>
            <w:r>
              <w:rPr>
                <w:rFonts w:cs="Arial"/>
                <w:sz w:val="20"/>
                <w:lang w:val="en-AU"/>
              </w:rPr>
              <w:t xml:space="preserve">A and Calcium Resonium </w:t>
            </w:r>
            <w:r w:rsidRPr="006916BB">
              <w:rPr>
                <w:rFonts w:cs="Arial"/>
                <w:b/>
                <w:bCs/>
                <w:sz w:val="20"/>
                <w:lang w:val="en-AU"/>
              </w:rPr>
              <w:t>should not be administered orally</w:t>
            </w:r>
            <w:r w:rsidRPr="00A37A36">
              <w:rPr>
                <w:rFonts w:cs="Arial"/>
                <w:sz w:val="20"/>
                <w:lang w:val="en-AU"/>
              </w:rPr>
              <w:t xml:space="preserve"> to neonates</w:t>
            </w:r>
          </w:p>
          <w:p w:rsidR="000E7BF2" w:rsidP="00131848" w:rsidRDefault="000E7BF2" w14:paraId="394FC3B3" w14:textId="77777777">
            <w:pPr>
              <w:pStyle w:val="BodyText"/>
              <w:rPr>
                <w:rFonts w:cs="Arial"/>
                <w:sz w:val="20"/>
                <w:lang w:val="en-AU"/>
              </w:rPr>
            </w:pPr>
            <w:r>
              <w:rPr>
                <w:rFonts w:cs="Arial"/>
                <w:sz w:val="20"/>
                <w:lang w:val="en-AU"/>
              </w:rPr>
              <w:t>N</w:t>
            </w:r>
            <w:r w:rsidRPr="00A37A36">
              <w:rPr>
                <w:rFonts w:cs="Arial"/>
                <w:sz w:val="20"/>
                <w:lang w:val="en-AU"/>
              </w:rPr>
              <w:t>eonates with reduced gut motility (e.g. post-operatively or drug induced).</w:t>
            </w:r>
            <w:r>
              <w:rPr>
                <w:rFonts w:cs="Arial"/>
                <w:noProof/>
                <w:sz w:val="20"/>
                <w:lang w:val="en-AU"/>
              </w:rPr>
              <w:t>(2)</w:t>
            </w:r>
          </w:p>
          <w:p w:rsidRPr="00A858DE" w:rsidR="000E7BF2" w:rsidP="00131848" w:rsidRDefault="000E7BF2" w14:paraId="44137F39" w14:textId="77777777">
            <w:pPr>
              <w:pStyle w:val="BodyText"/>
              <w:rPr>
                <w:rFonts w:cs="Arial"/>
                <w:sz w:val="20"/>
                <w:lang w:val="en-AU"/>
              </w:rPr>
            </w:pPr>
            <w:r w:rsidRPr="00A858DE">
              <w:rPr>
                <w:rFonts w:cs="Arial"/>
                <w:sz w:val="20"/>
                <w:lang w:val="en-AU"/>
              </w:rPr>
              <w:t>History of hypersensitivity to polystyrene sulfonate resins.</w:t>
            </w:r>
          </w:p>
          <w:p w:rsidRPr="00A858DE" w:rsidR="000E7BF2" w:rsidP="00131848" w:rsidRDefault="000E7BF2" w14:paraId="3B047557" w14:textId="77777777">
            <w:pPr>
              <w:pStyle w:val="BodyText"/>
              <w:rPr>
                <w:rFonts w:cs="Arial"/>
                <w:sz w:val="20"/>
                <w:lang w:val="en-AU"/>
              </w:rPr>
            </w:pPr>
            <w:r w:rsidRPr="00A858DE">
              <w:rPr>
                <w:rFonts w:cs="Arial"/>
                <w:sz w:val="20"/>
                <w:lang w:val="en-AU"/>
              </w:rPr>
              <w:t>Serum potassium levels less than 5 mmol/L.</w:t>
            </w:r>
          </w:p>
          <w:p w:rsidRPr="00026F20" w:rsidR="000E7BF2" w:rsidP="00131848" w:rsidRDefault="000E7BF2" w14:paraId="351656F5" w14:textId="77777777">
            <w:pPr>
              <w:pStyle w:val="BodyText"/>
              <w:rPr>
                <w:rFonts w:cs="Arial"/>
                <w:sz w:val="20"/>
                <w:lang w:val="en-AU"/>
              </w:rPr>
            </w:pPr>
            <w:r w:rsidRPr="00A858DE">
              <w:rPr>
                <w:rFonts w:cs="Arial"/>
                <w:sz w:val="20"/>
                <w:lang w:val="en-AU"/>
              </w:rPr>
              <w:t>Obstructive bowel disease.</w:t>
            </w:r>
          </w:p>
        </w:tc>
      </w:tr>
      <w:tr w:rsidRPr="006916BB" w:rsidR="000E7BF2" w:rsidTr="00131848" w14:paraId="446F9F62" w14:textId="77777777">
        <w:tc>
          <w:tcPr>
            <w:tcW w:w="1702" w:type="dxa"/>
          </w:tcPr>
          <w:p w:rsidRPr="00B53E9B" w:rsidR="000E7BF2" w:rsidP="00131848" w:rsidRDefault="000E7BF2" w14:paraId="2E1D2010" w14:textId="77777777">
            <w:pPr>
              <w:pStyle w:val="BodyText"/>
              <w:rPr>
                <w:rFonts w:cs="Arial"/>
                <w:b/>
                <w:bCs/>
                <w:sz w:val="20"/>
                <w:lang w:val="en-AU"/>
              </w:rPr>
            </w:pPr>
            <w:r w:rsidRPr="00B53E9B">
              <w:rPr>
                <w:sz w:val="20"/>
                <w:lang w:val="en-AU"/>
              </w:rPr>
              <w:br w:type="page"/>
            </w:r>
            <w:r w:rsidRPr="00B53E9B">
              <w:rPr>
                <w:rFonts w:cs="Arial"/>
                <w:b/>
                <w:bCs/>
                <w:sz w:val="20"/>
                <w:lang w:val="en-AU"/>
              </w:rPr>
              <w:t>Precautions</w:t>
            </w:r>
          </w:p>
        </w:tc>
        <w:tc>
          <w:tcPr>
            <w:tcW w:w="8788" w:type="dxa"/>
          </w:tcPr>
          <w:p w:rsidR="000E7BF2" w:rsidP="00131848" w:rsidRDefault="000E7BF2" w14:paraId="2E63DD55" w14:textId="77777777">
            <w:pPr>
              <w:pStyle w:val="BodyText"/>
              <w:rPr>
                <w:rFonts w:asciiTheme="minorHAnsi" w:hAnsiTheme="minorHAnsi" w:cstheme="minorHAnsi"/>
                <w:color w:val="333333"/>
                <w:sz w:val="20"/>
              </w:rPr>
            </w:pPr>
            <w:r w:rsidRPr="006916BB">
              <w:rPr>
                <w:rStyle w:val="Emphasis"/>
                <w:rFonts w:asciiTheme="minorHAnsi" w:hAnsiTheme="minorHAnsi" w:cstheme="minorHAnsi"/>
                <w:color w:val="333333"/>
                <w:sz w:val="20"/>
              </w:rPr>
              <w:t>Hypercalcaemia, hyperparathyroidism</w:t>
            </w:r>
            <w:r>
              <w:rPr>
                <w:rStyle w:val="Emphasis"/>
                <w:rFonts w:asciiTheme="minorHAnsi" w:hAnsiTheme="minorHAnsi" w:cstheme="minorHAnsi"/>
                <w:color w:val="333333"/>
                <w:sz w:val="20"/>
                <w:lang w:val="en-AU"/>
              </w:rPr>
              <w:t xml:space="preserve">: </w:t>
            </w:r>
            <w:r>
              <w:rPr>
                <w:rFonts w:asciiTheme="minorHAnsi" w:hAnsiTheme="minorHAnsi" w:cstheme="minorHAnsi"/>
                <w:color w:val="333333"/>
                <w:sz w:val="20"/>
                <w:lang w:val="en-AU"/>
              </w:rPr>
              <w:t>A</w:t>
            </w:r>
            <w:r w:rsidRPr="006916BB">
              <w:rPr>
                <w:rFonts w:asciiTheme="minorHAnsi" w:hAnsiTheme="minorHAnsi" w:cstheme="minorHAnsi"/>
                <w:color w:val="333333"/>
                <w:sz w:val="20"/>
              </w:rPr>
              <w:t>void calcium resin.</w:t>
            </w:r>
          </w:p>
          <w:p w:rsidRPr="006916BB" w:rsidR="000E7BF2" w:rsidP="00131848" w:rsidRDefault="000E7BF2" w14:paraId="482EBF59" w14:textId="77777777">
            <w:pPr>
              <w:pStyle w:val="BodyText"/>
              <w:rPr>
                <w:rFonts w:asciiTheme="minorHAnsi" w:hAnsiTheme="minorHAnsi" w:cstheme="minorHAnsi"/>
                <w:sz w:val="20"/>
                <w:lang w:val="en-AU"/>
              </w:rPr>
            </w:pPr>
            <w:r w:rsidRPr="006B77F4">
              <w:rPr>
                <w:rFonts w:cs="Arial"/>
                <w:sz w:val="20"/>
                <w:lang w:val="en-AU"/>
              </w:rPr>
              <w:t>Congestive heart failure, hypernatr</w:t>
            </w:r>
            <w:r>
              <w:rPr>
                <w:rFonts w:cs="Arial"/>
                <w:sz w:val="20"/>
                <w:lang w:val="en-AU"/>
              </w:rPr>
              <w:t>a</w:t>
            </w:r>
            <w:r w:rsidRPr="006B77F4">
              <w:rPr>
                <w:rFonts w:cs="Arial"/>
                <w:sz w:val="20"/>
                <w:lang w:val="en-AU"/>
              </w:rPr>
              <w:t>emia, sodium overload</w:t>
            </w:r>
            <w:r>
              <w:rPr>
                <w:rFonts w:cs="Arial"/>
                <w:sz w:val="20"/>
                <w:lang w:val="en-AU"/>
              </w:rPr>
              <w:t>: Avoid sodium resin.</w:t>
            </w:r>
          </w:p>
        </w:tc>
      </w:tr>
      <w:tr w:rsidRPr="00026F20" w:rsidR="000E7BF2" w:rsidTr="00131848" w14:paraId="4E308C83" w14:textId="77777777">
        <w:trPr>
          <w:trHeight w:val="70"/>
        </w:trPr>
        <w:tc>
          <w:tcPr>
            <w:tcW w:w="1702" w:type="dxa"/>
          </w:tcPr>
          <w:p w:rsidRPr="00B53E9B" w:rsidR="000E7BF2" w:rsidP="00131848" w:rsidRDefault="000E7BF2" w14:paraId="09425B94" w14:textId="77777777">
            <w:pPr>
              <w:pStyle w:val="BodyText"/>
              <w:rPr>
                <w:rFonts w:cs="Arial"/>
                <w:b/>
                <w:bCs/>
                <w:sz w:val="20"/>
                <w:lang w:val="en-AU"/>
              </w:rPr>
            </w:pPr>
            <w:r w:rsidRPr="00B53E9B">
              <w:rPr>
                <w:rFonts w:cs="Arial"/>
                <w:b/>
                <w:bCs/>
                <w:sz w:val="20"/>
                <w:lang w:val="en-AU"/>
              </w:rPr>
              <w:t xml:space="preserve">Drug </w:t>
            </w:r>
            <w:r>
              <w:rPr>
                <w:rFonts w:cs="Arial"/>
                <w:b/>
                <w:bCs/>
                <w:sz w:val="20"/>
                <w:lang w:val="en-AU"/>
              </w:rPr>
              <w:t>i</w:t>
            </w:r>
            <w:r w:rsidRPr="00B53E9B">
              <w:rPr>
                <w:rFonts w:cs="Arial"/>
                <w:b/>
                <w:bCs/>
                <w:sz w:val="20"/>
                <w:lang w:val="en-AU"/>
              </w:rPr>
              <w:t>nteractions</w:t>
            </w:r>
          </w:p>
        </w:tc>
        <w:tc>
          <w:tcPr>
            <w:tcW w:w="8788" w:type="dxa"/>
          </w:tcPr>
          <w:p w:rsidRPr="00026F20" w:rsidR="000E7BF2" w:rsidP="00131848" w:rsidRDefault="000E7BF2" w14:paraId="51C00299" w14:textId="77777777">
            <w:pPr>
              <w:pStyle w:val="BodyText"/>
              <w:rPr>
                <w:rFonts w:cs="Arial"/>
                <w:sz w:val="20"/>
                <w:lang w:val="en-AU"/>
              </w:rPr>
            </w:pPr>
            <w:r>
              <w:rPr>
                <w:rFonts w:cs="Arial"/>
                <w:sz w:val="20"/>
                <w:lang w:val="en-AU"/>
              </w:rPr>
              <w:t>Not applicable.</w:t>
            </w:r>
          </w:p>
        </w:tc>
      </w:tr>
      <w:tr w:rsidRPr="00026F20" w:rsidR="000E7BF2" w:rsidTr="00131848" w14:paraId="1DD5C425" w14:textId="77777777">
        <w:trPr>
          <w:trHeight w:val="332"/>
        </w:trPr>
        <w:tc>
          <w:tcPr>
            <w:tcW w:w="1702" w:type="dxa"/>
          </w:tcPr>
          <w:p w:rsidRPr="00B53E9B" w:rsidR="000E7BF2" w:rsidP="00131848" w:rsidRDefault="000E7BF2" w14:paraId="378B4AC4" w14:textId="77777777">
            <w:pPr>
              <w:pStyle w:val="BodyText"/>
              <w:rPr>
                <w:rFonts w:cs="Arial"/>
                <w:b/>
                <w:bCs/>
                <w:sz w:val="20"/>
                <w:lang w:val="en-AU"/>
              </w:rPr>
            </w:pPr>
            <w:r>
              <w:rPr>
                <w:rFonts w:cs="Arial"/>
                <w:b/>
                <w:bCs/>
                <w:sz w:val="20"/>
                <w:lang w:val="en-AU"/>
              </w:rPr>
              <w:t>Adverse r</w:t>
            </w:r>
            <w:r w:rsidRPr="00B53E9B">
              <w:rPr>
                <w:rFonts w:cs="Arial"/>
                <w:b/>
                <w:bCs/>
                <w:sz w:val="20"/>
                <w:lang w:val="en-AU"/>
              </w:rPr>
              <w:t xml:space="preserve">eactions         </w:t>
            </w:r>
          </w:p>
        </w:tc>
        <w:tc>
          <w:tcPr>
            <w:tcW w:w="8788" w:type="dxa"/>
          </w:tcPr>
          <w:p w:rsidR="000E7BF2" w:rsidP="00131848" w:rsidRDefault="000E7BF2" w14:paraId="75C01E7C" w14:textId="77777777">
            <w:pPr>
              <w:pStyle w:val="BodyText"/>
              <w:rPr>
                <w:rFonts w:cs="Arial"/>
                <w:sz w:val="20"/>
                <w:lang w:val="en-AU"/>
              </w:rPr>
            </w:pPr>
            <w:r>
              <w:rPr>
                <w:rFonts w:cs="Arial"/>
                <w:sz w:val="20"/>
                <w:lang w:val="en-AU"/>
              </w:rPr>
              <w:t>Hypokalaemia, hypernatraemia, hypocalcaemia, hypercalcaemia, hypomagnesaemia.</w:t>
            </w:r>
          </w:p>
          <w:p w:rsidR="000E7BF2" w:rsidP="00131848" w:rsidRDefault="000E7BF2" w14:paraId="665E80B8" w14:textId="77777777">
            <w:pPr>
              <w:pStyle w:val="BodyText"/>
              <w:rPr>
                <w:rFonts w:cs="Arial"/>
                <w:sz w:val="20"/>
                <w:lang w:val="en-AU"/>
              </w:rPr>
            </w:pPr>
            <w:r>
              <w:rPr>
                <w:rFonts w:cs="Arial"/>
                <w:sz w:val="20"/>
                <w:lang w:val="en-AU"/>
              </w:rPr>
              <w:t>Water overload</w:t>
            </w:r>
          </w:p>
          <w:p w:rsidRPr="00026F20" w:rsidR="000E7BF2" w:rsidP="00131848" w:rsidRDefault="000E7BF2" w14:paraId="527CEE7B" w14:textId="77777777">
            <w:pPr>
              <w:pStyle w:val="BodyText"/>
              <w:rPr>
                <w:rFonts w:cs="Arial"/>
                <w:sz w:val="20"/>
                <w:lang w:val="en-AU"/>
              </w:rPr>
            </w:pPr>
            <w:r>
              <w:rPr>
                <w:rFonts w:cs="Arial"/>
                <w:sz w:val="20"/>
                <w:lang w:val="en-AU"/>
              </w:rPr>
              <w:t>Gastrointestinal: Perforation, haemorrhage, necrotising enterocolitis.</w:t>
            </w:r>
          </w:p>
        </w:tc>
      </w:tr>
      <w:tr w:rsidRPr="00026F20" w:rsidR="000E7BF2" w:rsidTr="00131848" w14:paraId="3000236D" w14:textId="77777777">
        <w:trPr>
          <w:trHeight w:val="180"/>
        </w:trPr>
        <w:tc>
          <w:tcPr>
            <w:tcW w:w="1702" w:type="dxa"/>
          </w:tcPr>
          <w:p w:rsidRPr="00B53E9B" w:rsidR="000E7BF2" w:rsidP="00131848" w:rsidRDefault="000E7BF2" w14:paraId="2CD282A7" w14:textId="77777777">
            <w:pPr>
              <w:pStyle w:val="BodyText"/>
              <w:rPr>
                <w:rFonts w:cs="Arial"/>
                <w:b/>
                <w:bCs/>
                <w:sz w:val="20"/>
                <w:lang w:val="en-AU"/>
              </w:rPr>
            </w:pPr>
            <w:r w:rsidRPr="00B53E9B">
              <w:rPr>
                <w:rFonts w:cs="Arial"/>
                <w:b/>
                <w:bCs/>
                <w:sz w:val="20"/>
                <w:lang w:val="en-AU"/>
              </w:rPr>
              <w:t>Compatibility</w:t>
            </w:r>
          </w:p>
        </w:tc>
        <w:tc>
          <w:tcPr>
            <w:tcW w:w="8788" w:type="dxa"/>
          </w:tcPr>
          <w:p w:rsidRPr="00026F20" w:rsidR="000E7BF2" w:rsidP="00131848" w:rsidRDefault="000E7BF2" w14:paraId="22EB17E3" w14:textId="77777777">
            <w:pPr>
              <w:pStyle w:val="BodyText"/>
              <w:rPr>
                <w:sz w:val="20"/>
                <w:lang w:val="en-AU"/>
              </w:rPr>
            </w:pPr>
            <w:r>
              <w:rPr>
                <w:sz w:val="20"/>
                <w:lang w:val="en-AU"/>
              </w:rPr>
              <w:t>Not applicable</w:t>
            </w:r>
          </w:p>
        </w:tc>
      </w:tr>
      <w:tr w:rsidRPr="00026F20" w:rsidR="000E7BF2" w:rsidTr="00131848" w14:paraId="1331CEEB" w14:textId="77777777">
        <w:trPr>
          <w:trHeight w:val="230"/>
        </w:trPr>
        <w:tc>
          <w:tcPr>
            <w:tcW w:w="1702" w:type="dxa"/>
          </w:tcPr>
          <w:p w:rsidRPr="00B53E9B" w:rsidR="000E7BF2" w:rsidP="00131848" w:rsidRDefault="000E7BF2" w14:paraId="105BDCC6" w14:textId="77777777">
            <w:pPr>
              <w:pStyle w:val="BodyText"/>
              <w:rPr>
                <w:rFonts w:cs="Arial"/>
                <w:b/>
                <w:bCs/>
                <w:sz w:val="20"/>
                <w:lang w:val="en-AU"/>
              </w:rPr>
            </w:pPr>
            <w:r w:rsidRPr="00B53E9B">
              <w:rPr>
                <w:rFonts w:cs="Arial"/>
                <w:b/>
                <w:bCs/>
                <w:sz w:val="20"/>
                <w:lang w:val="en-AU"/>
              </w:rPr>
              <w:t>Incompatibility</w:t>
            </w:r>
          </w:p>
        </w:tc>
        <w:tc>
          <w:tcPr>
            <w:tcW w:w="8788" w:type="dxa"/>
          </w:tcPr>
          <w:p w:rsidRPr="00026F20" w:rsidR="000E7BF2" w:rsidP="00131848" w:rsidRDefault="000E7BF2" w14:paraId="2F31590B" w14:textId="77777777">
            <w:pPr>
              <w:pStyle w:val="BodyText"/>
              <w:rPr>
                <w:rFonts w:cs="Arial"/>
                <w:sz w:val="20"/>
                <w:lang w:val="en-AU"/>
              </w:rPr>
            </w:pPr>
            <w:r>
              <w:rPr>
                <w:rFonts w:cs="Arial"/>
                <w:sz w:val="20"/>
                <w:lang w:val="en-AU"/>
              </w:rPr>
              <w:t>Not applicable</w:t>
            </w:r>
          </w:p>
        </w:tc>
      </w:tr>
      <w:tr w:rsidRPr="00026F20" w:rsidR="000E7BF2" w:rsidTr="00131848" w14:paraId="62C874FF" w14:textId="77777777">
        <w:trPr>
          <w:trHeight w:val="79"/>
        </w:trPr>
        <w:tc>
          <w:tcPr>
            <w:tcW w:w="1702" w:type="dxa"/>
          </w:tcPr>
          <w:p w:rsidRPr="00B53E9B" w:rsidR="000E7BF2" w:rsidP="00131848" w:rsidRDefault="000E7BF2" w14:paraId="78DBD1A1" w14:textId="77777777">
            <w:pPr>
              <w:pStyle w:val="BodyText"/>
              <w:rPr>
                <w:rFonts w:cs="Arial"/>
                <w:b/>
                <w:bCs/>
                <w:sz w:val="20"/>
                <w:lang w:val="en-AU"/>
              </w:rPr>
            </w:pPr>
            <w:r w:rsidRPr="00B53E9B">
              <w:rPr>
                <w:rFonts w:cs="Arial"/>
                <w:b/>
                <w:bCs/>
                <w:sz w:val="20"/>
                <w:lang w:val="en-AU"/>
              </w:rPr>
              <w:lastRenderedPageBreak/>
              <w:t xml:space="preserve">Stability   </w:t>
            </w:r>
          </w:p>
        </w:tc>
        <w:tc>
          <w:tcPr>
            <w:tcW w:w="8788" w:type="dxa"/>
          </w:tcPr>
          <w:p w:rsidR="000E7BF2" w:rsidP="00131848" w:rsidRDefault="000E7BF2" w14:paraId="2405F989" w14:textId="77777777">
            <w:pPr>
              <w:pStyle w:val="BodyText"/>
              <w:rPr>
                <w:rFonts w:cs="Arial"/>
                <w:sz w:val="20"/>
                <w:lang w:val="en-AU"/>
              </w:rPr>
            </w:pPr>
            <w:r w:rsidRPr="00A858DE">
              <w:rPr>
                <w:rFonts w:cs="Arial"/>
                <w:sz w:val="20"/>
                <w:lang w:val="en-AU"/>
              </w:rPr>
              <w:t xml:space="preserve">Suspensions of the resin should be freshly prepared and not stored beyond 24 hours. </w:t>
            </w:r>
          </w:p>
          <w:p w:rsidRPr="00026F20" w:rsidR="000E7BF2" w:rsidP="00131848" w:rsidRDefault="000E7BF2" w14:paraId="1442D3EA" w14:textId="77777777">
            <w:pPr>
              <w:pStyle w:val="BodyText"/>
              <w:rPr>
                <w:rFonts w:cs="Arial"/>
                <w:sz w:val="20"/>
                <w:lang w:val="en-AU"/>
              </w:rPr>
            </w:pPr>
            <w:r>
              <w:rPr>
                <w:rFonts w:cs="Arial"/>
                <w:sz w:val="20"/>
                <w:lang w:val="en-AU"/>
              </w:rPr>
              <w:t xml:space="preserve">Once reconstituted, Resonium A and Calcium Resonium </w:t>
            </w:r>
            <w:r w:rsidRPr="006374B8">
              <w:rPr>
                <w:rFonts w:cs="Arial"/>
                <w:sz w:val="20"/>
                <w:lang w:val="en-AU"/>
              </w:rPr>
              <w:t>is a cream to light brown coloured suspension in which small white particulates may remain visible.</w:t>
            </w:r>
          </w:p>
        </w:tc>
      </w:tr>
      <w:tr w:rsidRPr="00026F20" w:rsidR="000E7BF2" w:rsidTr="00131848" w14:paraId="621FFEC6" w14:textId="77777777">
        <w:trPr>
          <w:trHeight w:val="70"/>
        </w:trPr>
        <w:tc>
          <w:tcPr>
            <w:tcW w:w="1702" w:type="dxa"/>
          </w:tcPr>
          <w:p w:rsidRPr="00B53E9B" w:rsidR="000E7BF2" w:rsidP="00131848" w:rsidRDefault="000E7BF2" w14:paraId="3F3D554B" w14:textId="77777777">
            <w:pPr>
              <w:pStyle w:val="BodyText"/>
              <w:rPr>
                <w:rFonts w:cs="Arial"/>
                <w:b/>
                <w:bCs/>
                <w:sz w:val="20"/>
                <w:lang w:val="en-AU"/>
              </w:rPr>
            </w:pPr>
            <w:r w:rsidRPr="00B53E9B">
              <w:rPr>
                <w:rFonts w:cs="Arial"/>
                <w:b/>
                <w:bCs/>
                <w:sz w:val="20"/>
                <w:lang w:val="en-AU"/>
              </w:rPr>
              <w:t xml:space="preserve">Storage             </w:t>
            </w:r>
          </w:p>
        </w:tc>
        <w:tc>
          <w:tcPr>
            <w:tcW w:w="8788" w:type="dxa"/>
          </w:tcPr>
          <w:p w:rsidRPr="00026F20" w:rsidR="000E7BF2" w:rsidP="00131848" w:rsidRDefault="000E7BF2" w14:paraId="2EFE0559" w14:textId="77777777">
            <w:pPr>
              <w:pStyle w:val="BodyText"/>
              <w:rPr>
                <w:rFonts w:cs="Arial"/>
                <w:sz w:val="20"/>
                <w:lang w:val="en-AU"/>
              </w:rPr>
            </w:pPr>
            <w:r w:rsidRPr="00A858DE">
              <w:rPr>
                <w:rFonts w:cs="Arial"/>
                <w:sz w:val="20"/>
                <w:lang w:val="en-AU"/>
              </w:rPr>
              <w:t>Store below 30°C.</w:t>
            </w:r>
          </w:p>
        </w:tc>
      </w:tr>
      <w:tr w:rsidRPr="00026F20" w:rsidR="000E7BF2" w:rsidTr="00131848" w14:paraId="5F719AF8" w14:textId="77777777">
        <w:trPr>
          <w:trHeight w:val="70"/>
        </w:trPr>
        <w:tc>
          <w:tcPr>
            <w:tcW w:w="1702" w:type="dxa"/>
          </w:tcPr>
          <w:p w:rsidRPr="00B53E9B" w:rsidR="000E7BF2" w:rsidP="00131848" w:rsidRDefault="000E7BF2" w14:paraId="007DCACD" w14:textId="77777777">
            <w:pPr>
              <w:pStyle w:val="BodyText"/>
              <w:rPr>
                <w:rFonts w:cs="Arial"/>
                <w:b/>
                <w:bCs/>
                <w:sz w:val="20"/>
                <w:lang w:val="en-AU"/>
              </w:rPr>
            </w:pPr>
            <w:r w:rsidRPr="00B53E9B">
              <w:rPr>
                <w:rFonts w:cs="Arial"/>
                <w:b/>
                <w:bCs/>
                <w:sz w:val="20"/>
                <w:lang w:val="en-AU"/>
              </w:rPr>
              <w:t>Excipients</w:t>
            </w:r>
          </w:p>
        </w:tc>
        <w:tc>
          <w:tcPr>
            <w:tcW w:w="8788" w:type="dxa"/>
          </w:tcPr>
          <w:p w:rsidRPr="00026F20" w:rsidR="000E7BF2" w:rsidP="00131848" w:rsidRDefault="000E7BF2" w14:paraId="74D9B7EB" w14:textId="77777777">
            <w:pPr>
              <w:pStyle w:val="BodyText"/>
              <w:rPr>
                <w:rFonts w:cs="Arial"/>
                <w:sz w:val="20"/>
                <w:lang w:val="en-AU"/>
              </w:rPr>
            </w:pPr>
            <w:r>
              <w:rPr>
                <w:rFonts w:cs="Arial"/>
                <w:sz w:val="20"/>
                <w:lang w:val="en-AU"/>
              </w:rPr>
              <w:t xml:space="preserve">Resonium A and </w:t>
            </w:r>
            <w:r w:rsidRPr="00A858DE">
              <w:rPr>
                <w:rFonts w:cs="Arial"/>
                <w:sz w:val="20"/>
                <w:lang w:val="en-AU"/>
              </w:rPr>
              <w:t>Calcium Resonium</w:t>
            </w:r>
            <w:r>
              <w:rPr>
                <w:rFonts w:cs="Arial"/>
                <w:sz w:val="20"/>
                <w:lang w:val="en-AU"/>
              </w:rPr>
              <w:t xml:space="preserve">: </w:t>
            </w:r>
            <w:r w:rsidRPr="00A858DE">
              <w:rPr>
                <w:rFonts w:cs="Arial"/>
                <w:sz w:val="20"/>
                <w:lang w:val="en-AU"/>
              </w:rPr>
              <w:t>Saccharin sodium and vanillin.</w:t>
            </w:r>
          </w:p>
        </w:tc>
      </w:tr>
      <w:tr w:rsidRPr="00026F20" w:rsidR="000E7BF2" w:rsidTr="00131848" w14:paraId="02DF7BB5" w14:textId="77777777">
        <w:trPr>
          <w:trHeight w:val="270"/>
        </w:trPr>
        <w:tc>
          <w:tcPr>
            <w:tcW w:w="1702" w:type="dxa"/>
          </w:tcPr>
          <w:p w:rsidRPr="00B53E9B" w:rsidR="000E7BF2" w:rsidP="00131848" w:rsidRDefault="000E7BF2" w14:paraId="2453175A" w14:textId="77777777">
            <w:pPr>
              <w:pStyle w:val="BodyText"/>
              <w:rPr>
                <w:rFonts w:cs="Arial"/>
                <w:b/>
                <w:bCs/>
                <w:sz w:val="20"/>
                <w:lang w:val="en-AU"/>
              </w:rPr>
            </w:pPr>
            <w:r w:rsidRPr="00B53E9B">
              <w:rPr>
                <w:rFonts w:cs="Arial"/>
                <w:b/>
                <w:bCs/>
                <w:sz w:val="20"/>
                <w:lang w:val="en-AU"/>
              </w:rPr>
              <w:t xml:space="preserve">Special </w:t>
            </w:r>
            <w:r>
              <w:rPr>
                <w:rFonts w:cs="Arial"/>
                <w:b/>
                <w:bCs/>
                <w:sz w:val="20"/>
                <w:lang w:val="en-AU"/>
              </w:rPr>
              <w:t>c</w:t>
            </w:r>
            <w:r w:rsidRPr="00B53E9B">
              <w:rPr>
                <w:rFonts w:cs="Arial"/>
                <w:b/>
                <w:bCs/>
                <w:sz w:val="20"/>
                <w:lang w:val="en-AU"/>
              </w:rPr>
              <w:t xml:space="preserve">omments       </w:t>
            </w:r>
          </w:p>
        </w:tc>
        <w:tc>
          <w:tcPr>
            <w:tcW w:w="8788" w:type="dxa"/>
          </w:tcPr>
          <w:p w:rsidR="000E7BF2" w:rsidP="00131848" w:rsidRDefault="000E7BF2" w14:paraId="22B3A9D2" w14:textId="77777777">
            <w:pPr>
              <w:pStyle w:val="BodyText"/>
              <w:rPr>
                <w:rFonts w:cs="Arial"/>
                <w:sz w:val="20"/>
                <w:lang w:val="en-AU"/>
              </w:rPr>
            </w:pPr>
            <w:r>
              <w:rPr>
                <w:rFonts w:cs="Arial"/>
                <w:sz w:val="20"/>
                <w:lang w:val="en-AU"/>
              </w:rPr>
              <w:t>M</w:t>
            </w:r>
            <w:r w:rsidRPr="00DB208A">
              <w:rPr>
                <w:rFonts w:cs="Arial"/>
                <w:sz w:val="20"/>
                <w:lang w:val="en-AU"/>
              </w:rPr>
              <w:t>ild laxatives may be used to treat or prevent constipation; do not use sorbitol</w:t>
            </w:r>
            <w:r>
              <w:rPr>
                <w:rFonts w:cs="Arial"/>
                <w:sz w:val="20"/>
                <w:lang w:val="en-AU"/>
              </w:rPr>
              <w:t xml:space="preserve"> – a hyperosmotic laxative</w:t>
            </w:r>
            <w:r w:rsidRPr="00DB208A">
              <w:rPr>
                <w:rFonts w:cs="Arial"/>
                <w:sz w:val="20"/>
                <w:lang w:val="en-AU"/>
              </w:rPr>
              <w:t xml:space="preserve"> (risk of colonic necrosis) or magnesium-containing laxatives; stop treatment if significant constipation occurs</w:t>
            </w:r>
            <w:r>
              <w:rPr>
                <w:rFonts w:cs="Arial"/>
                <w:sz w:val="20"/>
                <w:lang w:val="en-AU"/>
              </w:rPr>
              <w:t>.</w:t>
            </w:r>
          </w:p>
          <w:p w:rsidRPr="00026F20" w:rsidR="000E7BF2" w:rsidP="00131848" w:rsidRDefault="000E7BF2" w14:paraId="618693C3" w14:textId="77777777">
            <w:pPr>
              <w:pStyle w:val="BodyText"/>
              <w:rPr>
                <w:rFonts w:cs="Arial"/>
                <w:sz w:val="20"/>
                <w:lang w:val="en-AU"/>
              </w:rPr>
            </w:pPr>
            <w:r>
              <w:rPr>
                <w:rFonts w:cs="Arial"/>
                <w:sz w:val="20"/>
                <w:lang w:val="en-AU"/>
              </w:rPr>
              <w:t>E</w:t>
            </w:r>
            <w:r w:rsidRPr="00DB208A">
              <w:rPr>
                <w:rFonts w:cs="Arial"/>
                <w:sz w:val="20"/>
                <w:lang w:val="en-AU"/>
              </w:rPr>
              <w:t>xcessive dosage or inadequate dilution could result in impaction of resin, particularly in early infancy</w:t>
            </w:r>
            <w:r>
              <w:rPr>
                <w:rFonts w:cs="Arial"/>
                <w:sz w:val="20"/>
                <w:lang w:val="en-AU"/>
              </w:rPr>
              <w:t>.</w:t>
            </w:r>
          </w:p>
        </w:tc>
      </w:tr>
      <w:tr w:rsidRPr="00026F20" w:rsidR="000E7BF2" w:rsidTr="00131848" w14:paraId="0F2D93AD" w14:textId="77777777">
        <w:trPr>
          <w:trHeight w:val="280"/>
        </w:trPr>
        <w:tc>
          <w:tcPr>
            <w:tcW w:w="1702" w:type="dxa"/>
          </w:tcPr>
          <w:p w:rsidRPr="00B53E9B" w:rsidR="000E7BF2" w:rsidP="00131848" w:rsidRDefault="000E7BF2" w14:paraId="52997664" w14:textId="77777777">
            <w:pPr>
              <w:pStyle w:val="BodyText"/>
              <w:rPr>
                <w:rFonts w:cs="Arial"/>
                <w:b/>
                <w:bCs/>
                <w:sz w:val="20"/>
                <w:lang w:val="en-AU"/>
              </w:rPr>
            </w:pPr>
            <w:r w:rsidRPr="00B53E9B">
              <w:rPr>
                <w:rFonts w:cs="Arial"/>
                <w:b/>
                <w:bCs/>
                <w:sz w:val="20"/>
                <w:lang w:val="en-AU"/>
              </w:rPr>
              <w:t xml:space="preserve">Evidence </w:t>
            </w:r>
          </w:p>
        </w:tc>
        <w:tc>
          <w:tcPr>
            <w:tcW w:w="8788" w:type="dxa"/>
          </w:tcPr>
          <w:p w:rsidRPr="000E7BF2" w:rsidR="000E7BF2" w:rsidP="00131848" w:rsidRDefault="000E7BF2" w14:paraId="645FB78A" w14:textId="77777777">
            <w:pPr>
              <w:pStyle w:val="BodyText"/>
              <w:tabs>
                <w:tab w:val="left" w:pos="1168"/>
              </w:tabs>
              <w:rPr>
                <w:rFonts w:cs="Arial"/>
                <w:b/>
                <w:sz w:val="16"/>
                <w:szCs w:val="16"/>
                <w:lang w:val="en-AU"/>
              </w:rPr>
            </w:pPr>
            <w:r w:rsidRPr="000E7BF2">
              <w:rPr>
                <w:rFonts w:cs="Arial"/>
                <w:b/>
                <w:sz w:val="16"/>
                <w:szCs w:val="16"/>
                <w:lang w:val="en-AU"/>
              </w:rPr>
              <w:t>Efficacy</w:t>
            </w:r>
          </w:p>
          <w:p w:rsidRPr="000E7BF2" w:rsidR="000E7BF2" w:rsidP="00131848" w:rsidRDefault="000E7BF2" w14:paraId="4711187A" w14:textId="77777777">
            <w:pPr>
              <w:pStyle w:val="BodyText"/>
              <w:tabs>
                <w:tab w:val="left" w:pos="1168"/>
              </w:tabs>
              <w:rPr>
                <w:rFonts w:cs="Arial"/>
                <w:sz w:val="16"/>
                <w:szCs w:val="16"/>
                <w:lang w:val="en-AU"/>
              </w:rPr>
            </w:pPr>
            <w:r w:rsidRPr="000E7BF2">
              <w:rPr>
                <w:rFonts w:cs="Arial"/>
                <w:sz w:val="16"/>
                <w:szCs w:val="16"/>
                <w:lang w:val="en-AU"/>
              </w:rPr>
              <w:t>No firm recommendations can be made on resonium for  the treatment of hyperkalemia because of limited information from small studies of uncertain quality,(LOE I; GOR B).</w:t>
            </w:r>
            <w:r w:rsidRPr="000E7BF2">
              <w:rPr>
                <w:rFonts w:cs="Arial"/>
                <w:noProof/>
                <w:sz w:val="16"/>
                <w:szCs w:val="16"/>
                <w:lang w:val="en-AU"/>
              </w:rPr>
              <w:t>(1)</w:t>
            </w:r>
            <w:r w:rsidRPr="000E7BF2">
              <w:rPr>
                <w:rFonts w:cs="Arial"/>
                <w:sz w:val="16"/>
                <w:szCs w:val="16"/>
                <w:lang w:val="en-AU"/>
              </w:rPr>
              <w:t xml:space="preserve"> Two small randomised trials identified in Cochrane review suggested that the combination of insulin and glucose is preferred over treatment with rectal cation-resin for hyperkalaemia in preterm infants.</w:t>
            </w:r>
            <w:r w:rsidRPr="000E7BF2">
              <w:rPr>
                <w:rFonts w:cs="Arial"/>
                <w:noProof/>
                <w:sz w:val="16"/>
                <w:szCs w:val="16"/>
                <w:lang w:val="en-AU"/>
              </w:rPr>
              <w:t>(1)</w:t>
            </w:r>
            <w:r w:rsidRPr="000E7BF2">
              <w:rPr>
                <w:rFonts w:cs="Arial"/>
                <w:sz w:val="16"/>
                <w:szCs w:val="16"/>
                <w:lang w:val="en-AU"/>
              </w:rPr>
              <w:t xml:space="preserve"> RCT by Malone et al enrolled 12 preterm infants </w:t>
            </w:r>
            <w:r w:rsidRPr="000E7BF2">
              <w:rPr>
                <w:rFonts w:cs="Calibri"/>
                <w:sz w:val="16"/>
                <w:szCs w:val="16"/>
                <w:lang w:val="en-AU"/>
              </w:rPr>
              <w:t>≤ 28 weeks GA.</w:t>
            </w:r>
            <w:r w:rsidRPr="000E7BF2">
              <w:rPr>
                <w:rFonts w:cs="Arial"/>
                <w:sz w:val="16"/>
                <w:szCs w:val="16"/>
                <w:lang w:val="en-AU"/>
              </w:rPr>
              <w:t xml:space="preserve"> Sodium polystyrene sulfonate (Kayexalate) was prepared in 25% sorbitol and administered rectally 1 g/kg every 6 hours in 5 infants and glucose-insulin infusion was administered in 7 infants. All 5 infants treated with Kayexalate had an increase in serum K</w:t>
            </w:r>
            <w:r w:rsidRPr="000E7BF2">
              <w:rPr>
                <w:rFonts w:cs="Arial"/>
                <w:sz w:val="16"/>
                <w:szCs w:val="16"/>
                <w:vertAlign w:val="superscript"/>
                <w:lang w:val="en-AU"/>
              </w:rPr>
              <w:t>+</w:t>
            </w:r>
            <w:r w:rsidRPr="000E7BF2">
              <w:rPr>
                <w:rFonts w:cs="Arial"/>
                <w:sz w:val="16"/>
                <w:szCs w:val="16"/>
                <w:lang w:val="en-AU"/>
              </w:rPr>
              <w:t xml:space="preserve"> concentration of more than 0.5 mmol/L within the first 6 hours of treatment, and treatment was considered to have failed. Hu et. al., enrolled 40 VLBW infants with non-oliguric hyperkalaemia and randomly divided them into insulin (RI) infusion group and Kayexalate group. In Kayexalate group (n=20), the dose of Kayexalate was 1g/kg given rectally every 4 hours. The duration of hyperkalaemia in RI group was significantly shorter in comparison to Kayexalate group. The incidence of grade II and above intraventricular haemorrhage (IVH) was significantly low in RI group (15% vs 50%). Sample sizes of the trials in this meta-analysis were very small to make any firm recommendations in clinical practice, but insulin and glucose infusion and albuterol infusion were found to be safer and more effective in comparison to cation exchange resin. </w:t>
            </w:r>
            <w:r w:rsidRPr="000E7BF2">
              <w:rPr>
                <w:rFonts w:cs="Arial"/>
                <w:noProof/>
                <w:sz w:val="16"/>
                <w:szCs w:val="16"/>
                <w:lang w:val="en-AU"/>
              </w:rPr>
              <w:t>(1, 3-5)</w:t>
            </w:r>
            <w:r w:rsidRPr="000E7BF2">
              <w:rPr>
                <w:rFonts w:cs="Arial"/>
                <w:sz w:val="16"/>
                <w:szCs w:val="16"/>
                <w:lang w:val="en-AU"/>
              </w:rPr>
              <w:t xml:space="preserve"> </w:t>
            </w:r>
          </w:p>
          <w:p w:rsidRPr="000E7BF2" w:rsidR="000E7BF2" w:rsidP="00131848" w:rsidRDefault="000E7BF2" w14:paraId="75E4D702" w14:textId="77777777">
            <w:pPr>
              <w:pStyle w:val="BodyText"/>
              <w:tabs>
                <w:tab w:val="left" w:pos="1168"/>
              </w:tabs>
              <w:rPr>
                <w:rFonts w:cs="Arial"/>
                <w:b/>
                <w:sz w:val="16"/>
                <w:szCs w:val="16"/>
                <w:lang w:val="en-AU"/>
              </w:rPr>
            </w:pPr>
            <w:r w:rsidRPr="000E7BF2">
              <w:rPr>
                <w:rFonts w:cs="Arial"/>
                <w:b/>
                <w:sz w:val="16"/>
                <w:szCs w:val="16"/>
                <w:lang w:val="en-AU"/>
              </w:rPr>
              <w:t>Safety</w:t>
            </w:r>
          </w:p>
          <w:p w:rsidRPr="000E7BF2" w:rsidR="000E7BF2" w:rsidP="00131848" w:rsidRDefault="000E7BF2" w14:paraId="67196DFF" w14:textId="77777777">
            <w:pPr>
              <w:pStyle w:val="BodyText"/>
              <w:tabs>
                <w:tab w:val="left" w:pos="1168"/>
              </w:tabs>
              <w:rPr>
                <w:rFonts w:cs="Arial"/>
                <w:sz w:val="16"/>
                <w:szCs w:val="16"/>
                <w:lang w:val="en-AU"/>
              </w:rPr>
            </w:pPr>
            <w:r w:rsidRPr="000E7BF2">
              <w:rPr>
                <w:rFonts w:cs="Arial"/>
                <w:sz w:val="16"/>
                <w:szCs w:val="16"/>
                <w:lang w:val="en-AU"/>
              </w:rPr>
              <w:t xml:space="preserve">Gastrointestinal haemorrhage and intestinal perforation and necrosis have been reported. </w:t>
            </w:r>
            <w:r w:rsidRPr="000E7BF2">
              <w:rPr>
                <w:rFonts w:cs="Arial"/>
                <w:noProof/>
                <w:sz w:val="16"/>
                <w:szCs w:val="16"/>
                <w:lang w:val="en-AU"/>
              </w:rPr>
              <w:t>(6-10)</w:t>
            </w:r>
            <w:r w:rsidRPr="000E7BF2">
              <w:rPr>
                <w:rFonts w:cs="Arial"/>
                <w:sz w:val="16"/>
                <w:szCs w:val="16"/>
                <w:lang w:val="en-AU"/>
              </w:rPr>
              <w:t xml:space="preserve"> Sorbitol used for Resonium enema preparation have been implicated for these complications. Incidence of </w:t>
            </w:r>
            <w:r w:rsidRPr="000E7BF2">
              <w:rPr>
                <w:rFonts w:cs="Calibri"/>
                <w:sz w:val="16"/>
                <w:szCs w:val="16"/>
                <w:lang w:val="en-AU"/>
              </w:rPr>
              <w:t xml:space="preserve">≥ </w:t>
            </w:r>
            <w:r w:rsidRPr="000E7BF2">
              <w:rPr>
                <w:rFonts w:cs="Arial"/>
                <w:sz w:val="16"/>
                <w:szCs w:val="16"/>
                <w:lang w:val="en-AU"/>
              </w:rPr>
              <w:t xml:space="preserve">grade 2 intraventricular haemorrhage was higher in Kayexalate group in comparison to glucose-insulin treated infants. </w:t>
            </w:r>
            <w:r w:rsidRPr="000E7BF2">
              <w:rPr>
                <w:rFonts w:cs="Arial"/>
                <w:noProof/>
                <w:sz w:val="16"/>
                <w:szCs w:val="16"/>
                <w:lang w:val="en-AU"/>
              </w:rPr>
              <w:t>(3)</w:t>
            </w:r>
            <w:r w:rsidRPr="000E7BF2">
              <w:rPr>
                <w:rFonts w:cs="Arial"/>
                <w:sz w:val="16"/>
                <w:szCs w:val="16"/>
                <w:lang w:val="en-AU"/>
              </w:rPr>
              <w:t xml:space="preserve"> </w:t>
            </w:r>
          </w:p>
          <w:p w:rsidRPr="000E7BF2" w:rsidR="000E7BF2" w:rsidP="00131848" w:rsidRDefault="000E7BF2" w14:paraId="559DBCA8" w14:textId="77777777">
            <w:pPr>
              <w:pStyle w:val="BodyText"/>
              <w:tabs>
                <w:tab w:val="left" w:pos="1168"/>
              </w:tabs>
              <w:rPr>
                <w:rFonts w:cs="Arial"/>
                <w:b/>
                <w:sz w:val="16"/>
                <w:szCs w:val="16"/>
                <w:lang w:val="en-AU"/>
              </w:rPr>
            </w:pPr>
            <w:r w:rsidRPr="000E7BF2">
              <w:rPr>
                <w:rFonts w:cs="Arial"/>
                <w:b/>
                <w:sz w:val="16"/>
                <w:szCs w:val="16"/>
                <w:lang w:val="en-AU"/>
              </w:rPr>
              <w:t>Pharmacokinetics</w:t>
            </w:r>
          </w:p>
          <w:p w:rsidRPr="000E7BF2" w:rsidR="000E7BF2" w:rsidP="00131848" w:rsidRDefault="000E7BF2" w14:paraId="1F5B5DE3" w14:textId="77777777">
            <w:pPr>
              <w:pStyle w:val="BodyText"/>
              <w:tabs>
                <w:tab w:val="left" w:pos="1168"/>
              </w:tabs>
              <w:rPr>
                <w:rFonts w:cs="Arial"/>
                <w:sz w:val="16"/>
                <w:szCs w:val="16"/>
                <w:lang w:val="en-AU"/>
              </w:rPr>
            </w:pPr>
            <w:r w:rsidRPr="000E7BF2">
              <w:rPr>
                <w:rFonts w:cs="Arial"/>
                <w:sz w:val="16"/>
                <w:szCs w:val="16"/>
                <w:lang w:val="en-AU"/>
              </w:rPr>
              <w:t>Polystyrene sulfonate is not absorbed from the gastrointestinal tract.</w:t>
            </w:r>
            <w:r w:rsidRPr="000E7BF2">
              <w:rPr>
                <w:rFonts w:cs="Arial"/>
                <w:noProof/>
                <w:sz w:val="16"/>
                <w:szCs w:val="16"/>
                <w:lang w:val="en-AU"/>
              </w:rPr>
              <w:t>(2)</w:t>
            </w:r>
          </w:p>
        </w:tc>
      </w:tr>
      <w:tr w:rsidRPr="006916BB" w:rsidR="000E7BF2" w:rsidTr="00131848" w14:paraId="3810CA1F" w14:textId="77777777">
        <w:trPr>
          <w:trHeight w:val="108"/>
        </w:trPr>
        <w:tc>
          <w:tcPr>
            <w:tcW w:w="1702" w:type="dxa"/>
          </w:tcPr>
          <w:p w:rsidRPr="00B53E9B" w:rsidR="000E7BF2" w:rsidP="00131848" w:rsidRDefault="000E7BF2" w14:paraId="62870EE4" w14:textId="77777777">
            <w:pPr>
              <w:pStyle w:val="BodyText"/>
              <w:rPr>
                <w:rFonts w:cs="Arial"/>
                <w:b/>
                <w:bCs/>
                <w:sz w:val="20"/>
                <w:lang w:val="en-AU"/>
              </w:rPr>
            </w:pPr>
            <w:r w:rsidRPr="00B53E9B">
              <w:rPr>
                <w:rFonts w:cs="Arial"/>
                <w:b/>
                <w:bCs/>
                <w:sz w:val="20"/>
                <w:lang w:val="en-AU"/>
              </w:rPr>
              <w:t>Practice points</w:t>
            </w:r>
          </w:p>
        </w:tc>
        <w:tc>
          <w:tcPr>
            <w:tcW w:w="8788" w:type="dxa"/>
          </w:tcPr>
          <w:p w:rsidRPr="000E7BF2" w:rsidR="000E7BF2" w:rsidP="00131848" w:rsidRDefault="000E7BF2" w14:paraId="72531FC2" w14:textId="77777777">
            <w:pPr>
              <w:pStyle w:val="BodyText"/>
              <w:tabs>
                <w:tab w:val="left" w:pos="1168"/>
              </w:tabs>
              <w:rPr>
                <w:rFonts w:cs="Arial"/>
                <w:sz w:val="16"/>
                <w:szCs w:val="16"/>
                <w:lang w:val="en-AU"/>
              </w:rPr>
            </w:pPr>
            <w:r w:rsidRPr="000E7BF2">
              <w:rPr>
                <w:rFonts w:cs="Arial"/>
                <w:sz w:val="16"/>
                <w:szCs w:val="16"/>
                <w:lang w:val="en-AU"/>
              </w:rPr>
              <w:t xml:space="preserve">There are safer and more effective interventions including insulin-glucose infusion and salbutamol (albuterol) infusion to treat hyperkalaemia. </w:t>
            </w:r>
            <w:r w:rsidRPr="000E7BF2">
              <w:rPr>
                <w:rFonts w:cs="Arial"/>
                <w:noProof/>
                <w:sz w:val="16"/>
                <w:szCs w:val="16"/>
                <w:lang w:val="en-AU"/>
              </w:rPr>
              <w:t>(1)</w:t>
            </w:r>
          </w:p>
          <w:p w:rsidRPr="000E7BF2" w:rsidR="000E7BF2" w:rsidP="00131848" w:rsidRDefault="000E7BF2" w14:paraId="79F65AFF" w14:textId="77777777">
            <w:pPr>
              <w:pStyle w:val="BodyText"/>
              <w:tabs>
                <w:tab w:val="left" w:pos="1168"/>
              </w:tabs>
              <w:rPr>
                <w:rFonts w:cs="Arial"/>
                <w:sz w:val="16"/>
                <w:szCs w:val="16"/>
                <w:lang w:val="en-AU"/>
              </w:rPr>
            </w:pPr>
            <w:r w:rsidRPr="000E7BF2">
              <w:rPr>
                <w:rFonts w:cs="Arial"/>
                <w:sz w:val="16"/>
                <w:szCs w:val="16"/>
                <w:lang w:val="en-AU"/>
              </w:rPr>
              <w:t xml:space="preserve">Resonium preparation in sorbitol enemas are hypertonic and associated with intestinal complications including necrosis and perforation. </w:t>
            </w:r>
            <w:r w:rsidRPr="000E7BF2">
              <w:rPr>
                <w:rFonts w:cs="Arial"/>
                <w:noProof/>
                <w:sz w:val="16"/>
                <w:szCs w:val="16"/>
                <w:lang w:val="en-AU"/>
              </w:rPr>
              <w:t>(6-9)</w:t>
            </w:r>
          </w:p>
          <w:p w:rsidRPr="000E7BF2" w:rsidR="000E7BF2" w:rsidP="00131848" w:rsidRDefault="000E7BF2" w14:paraId="7B0DDCD9" w14:textId="77777777">
            <w:pPr>
              <w:pStyle w:val="BodyText"/>
              <w:tabs>
                <w:tab w:val="left" w:pos="1168"/>
              </w:tabs>
              <w:rPr>
                <w:rFonts w:cs="Arial"/>
                <w:sz w:val="16"/>
                <w:szCs w:val="16"/>
                <w:lang w:val="en-AU"/>
              </w:rPr>
            </w:pPr>
            <w:r w:rsidRPr="000E7BF2">
              <w:rPr>
                <w:rFonts w:cs="Arial"/>
                <w:sz w:val="16"/>
                <w:szCs w:val="16"/>
                <w:lang w:val="en-AU"/>
              </w:rPr>
              <w:t xml:space="preserve">To reduce the likelihood of intestinal complications, evacuation of rectal Resonium by irrigation with either glycerine or 1 to 2 mL of 0.9% sodium chloride can be performed. </w:t>
            </w:r>
            <w:r w:rsidRPr="000E7BF2">
              <w:rPr>
                <w:rFonts w:cs="Arial"/>
                <w:noProof/>
                <w:sz w:val="16"/>
                <w:szCs w:val="16"/>
                <w:lang w:val="en-AU"/>
              </w:rPr>
              <w:t>(10, 11)</w:t>
            </w:r>
            <w:r w:rsidRPr="000E7BF2">
              <w:rPr>
                <w:rFonts w:cs="Arial"/>
                <w:sz w:val="16"/>
                <w:szCs w:val="16"/>
                <w:lang w:val="en-AU"/>
              </w:rPr>
              <w:t xml:space="preserve"> </w:t>
            </w:r>
          </w:p>
          <w:p w:rsidRPr="000E7BF2" w:rsidR="000E7BF2" w:rsidP="00131848" w:rsidRDefault="000E7BF2" w14:paraId="5DDE668B" w14:textId="77777777">
            <w:pPr>
              <w:pStyle w:val="BodyText"/>
              <w:tabs>
                <w:tab w:val="left" w:pos="1168"/>
              </w:tabs>
              <w:rPr>
                <w:rFonts w:asciiTheme="minorHAnsi" w:hAnsiTheme="minorHAnsi" w:cstheme="minorHAnsi"/>
                <w:sz w:val="16"/>
                <w:szCs w:val="16"/>
                <w:lang w:val="en-US"/>
              </w:rPr>
            </w:pPr>
            <w:r w:rsidRPr="000E7BF2">
              <w:rPr>
                <w:rFonts w:asciiTheme="minorHAnsi" w:hAnsiTheme="minorHAnsi" w:cstheme="minorHAnsi"/>
                <w:color w:val="333333"/>
                <w:sz w:val="16"/>
                <w:szCs w:val="16"/>
              </w:rPr>
              <w:t>In children and neonates particular care should be observed with rectal administration, as excessive dosage or inadequate dilution could result in impaction of the resin.</w:t>
            </w:r>
            <w:r w:rsidRPr="000E7BF2">
              <w:rPr>
                <w:rFonts w:asciiTheme="minorHAnsi" w:hAnsiTheme="minorHAnsi" w:cstheme="minorHAnsi"/>
                <w:color w:val="333333"/>
                <w:sz w:val="16"/>
                <w:szCs w:val="16"/>
              </w:rPr>
              <w:br/>
            </w:r>
            <w:r w:rsidRPr="000E7BF2">
              <w:rPr>
                <w:rFonts w:asciiTheme="minorHAnsi" w:hAnsiTheme="minorHAnsi" w:cstheme="minorHAnsi"/>
                <w:color w:val="333333"/>
                <w:sz w:val="16"/>
                <w:szCs w:val="16"/>
              </w:rPr>
              <w:t xml:space="preserve">Due to the risk of </w:t>
            </w:r>
            <w:r w:rsidRPr="000E7BF2">
              <w:rPr>
                <w:rFonts w:asciiTheme="minorHAnsi" w:hAnsiTheme="minorHAnsi" w:cstheme="minorHAnsi"/>
                <w:color w:val="333333"/>
                <w:sz w:val="16"/>
                <w:szCs w:val="16"/>
                <w:lang w:val="en-AU"/>
              </w:rPr>
              <w:t>GI</w:t>
            </w:r>
            <w:r w:rsidRPr="000E7BF2">
              <w:rPr>
                <w:rFonts w:asciiTheme="minorHAnsi" w:hAnsiTheme="minorHAnsi" w:cstheme="minorHAnsi"/>
                <w:color w:val="333333"/>
                <w:sz w:val="16"/>
                <w:szCs w:val="16"/>
              </w:rPr>
              <w:t xml:space="preserve"> haemorrhage, col</w:t>
            </w:r>
            <w:r w:rsidRPr="000E7BF2">
              <w:rPr>
                <w:rFonts w:asciiTheme="minorHAnsi" w:hAnsiTheme="minorHAnsi" w:cstheme="minorHAnsi"/>
                <w:color w:val="333333"/>
                <w:sz w:val="16"/>
                <w:szCs w:val="16"/>
                <w:lang w:val="en-AU"/>
              </w:rPr>
              <w:t>on</w:t>
            </w:r>
            <w:r w:rsidRPr="000E7BF2">
              <w:rPr>
                <w:rFonts w:asciiTheme="minorHAnsi" w:hAnsiTheme="minorHAnsi" w:cstheme="minorHAnsi"/>
                <w:color w:val="333333"/>
                <w:sz w:val="16"/>
                <w:szCs w:val="16"/>
              </w:rPr>
              <w:t xml:space="preserve">ic necrosis or sodium overload, particular care should be observed in </w:t>
            </w:r>
            <w:r w:rsidRPr="000E7BF2">
              <w:rPr>
                <w:rFonts w:asciiTheme="minorHAnsi" w:hAnsiTheme="minorHAnsi" w:cstheme="minorHAnsi"/>
                <w:color w:val="333333"/>
                <w:sz w:val="16"/>
                <w:szCs w:val="16"/>
                <w:lang w:val="en-AU"/>
              </w:rPr>
              <w:t>preterm</w:t>
            </w:r>
            <w:r w:rsidRPr="000E7BF2">
              <w:rPr>
                <w:rFonts w:asciiTheme="minorHAnsi" w:hAnsiTheme="minorHAnsi" w:cstheme="minorHAnsi"/>
                <w:color w:val="333333"/>
                <w:sz w:val="16"/>
                <w:szCs w:val="16"/>
              </w:rPr>
              <w:t xml:space="preserve"> infants or low birth weight infants.</w:t>
            </w:r>
          </w:p>
        </w:tc>
      </w:tr>
      <w:tr w:rsidRPr="006560B4" w:rsidR="000E7BF2" w:rsidTr="00131848" w14:paraId="4D3A2D0C" w14:textId="77777777">
        <w:trPr>
          <w:trHeight w:val="3457"/>
        </w:trPr>
        <w:tc>
          <w:tcPr>
            <w:tcW w:w="1702" w:type="dxa"/>
          </w:tcPr>
          <w:p w:rsidRPr="00B53E9B" w:rsidR="000E7BF2" w:rsidP="00131848" w:rsidRDefault="000E7BF2" w14:paraId="7726E91D" w14:textId="77777777">
            <w:pPr>
              <w:pStyle w:val="BodyText"/>
              <w:rPr>
                <w:rFonts w:cs="Arial"/>
                <w:b/>
                <w:bCs/>
                <w:sz w:val="20"/>
                <w:lang w:val="en-AU"/>
              </w:rPr>
            </w:pPr>
            <w:r w:rsidRPr="00B53E9B">
              <w:rPr>
                <w:b/>
                <w:sz w:val="20"/>
                <w:lang w:val="en-AU"/>
              </w:rPr>
              <w:t>References</w:t>
            </w:r>
          </w:p>
        </w:tc>
        <w:tc>
          <w:tcPr>
            <w:tcW w:w="8788" w:type="dxa"/>
          </w:tcPr>
          <w:p w:rsidRPr="000E7BF2" w:rsidR="000E7BF2" w:rsidP="001B0E05" w:rsidRDefault="000E7BF2" w14:paraId="2ACA0648" w14:textId="77777777">
            <w:pPr>
              <w:pStyle w:val="ListParagraph"/>
              <w:numPr>
                <w:ilvl w:val="0"/>
                <w:numId w:val="145"/>
              </w:numPr>
              <w:spacing w:after="160" w:line="259" w:lineRule="auto"/>
              <w:ind w:left="284" w:hanging="284"/>
              <w:rPr>
                <w:sz w:val="16"/>
                <w:szCs w:val="16"/>
              </w:rPr>
            </w:pPr>
            <w:r w:rsidRPr="000E7BF2">
              <w:rPr>
                <w:sz w:val="16"/>
                <w:szCs w:val="16"/>
              </w:rPr>
              <w:t>Vemgal P, Ohlsson A. Interventions for non‐oliguric hyperkalaemia in preterm neonates. Cochrane Database of Systematic Reviews. 2012(5).</w:t>
            </w:r>
          </w:p>
          <w:p w:rsidRPr="000E7BF2" w:rsidR="000E7BF2" w:rsidP="001B0E05" w:rsidRDefault="000E7BF2" w14:paraId="235FBEAA" w14:textId="77777777">
            <w:pPr>
              <w:pStyle w:val="ListParagraph"/>
              <w:numPr>
                <w:ilvl w:val="0"/>
                <w:numId w:val="145"/>
              </w:numPr>
              <w:spacing w:after="160" w:line="259" w:lineRule="auto"/>
              <w:ind w:left="284" w:hanging="284"/>
              <w:rPr>
                <w:sz w:val="16"/>
                <w:szCs w:val="16"/>
              </w:rPr>
            </w:pPr>
            <w:r w:rsidRPr="000E7BF2">
              <w:rPr>
                <w:sz w:val="16"/>
                <w:szCs w:val="16"/>
              </w:rPr>
              <w:t xml:space="preserve">Online M. Resonium A Powder for suspension and Calcium resonium powder for suspension. Accessed on 21 January 2021 </w:t>
            </w:r>
          </w:p>
          <w:p w:rsidRPr="000E7BF2" w:rsidR="000E7BF2" w:rsidP="001B0E05" w:rsidRDefault="000E7BF2" w14:paraId="2B2256AD" w14:textId="77777777">
            <w:pPr>
              <w:pStyle w:val="ListParagraph"/>
              <w:numPr>
                <w:ilvl w:val="0"/>
                <w:numId w:val="145"/>
              </w:numPr>
              <w:spacing w:after="160" w:line="259" w:lineRule="auto"/>
              <w:ind w:left="284" w:hanging="284"/>
              <w:rPr>
                <w:sz w:val="16"/>
                <w:szCs w:val="16"/>
              </w:rPr>
            </w:pPr>
            <w:r w:rsidRPr="000E7BF2">
              <w:rPr>
                <w:sz w:val="16"/>
                <w:szCs w:val="16"/>
              </w:rPr>
              <w:t>Hu P-S, Su B-H, Peng C-T, Tsai C-H. Glucose and insulin infusion versus kayexalate for the early treatment of non-oliguric hyperkalemia in very-low-birth-weight infants. Acta Paediatrica Taiwanica. 1999;40(5):314-8.</w:t>
            </w:r>
          </w:p>
          <w:p w:rsidRPr="000E7BF2" w:rsidR="000E7BF2" w:rsidP="001B0E05" w:rsidRDefault="000E7BF2" w14:paraId="5F63F94C" w14:textId="77777777">
            <w:pPr>
              <w:pStyle w:val="ListParagraph"/>
              <w:numPr>
                <w:ilvl w:val="0"/>
                <w:numId w:val="145"/>
              </w:numPr>
              <w:spacing w:after="160" w:line="259" w:lineRule="auto"/>
              <w:ind w:left="284" w:hanging="284"/>
              <w:rPr>
                <w:sz w:val="16"/>
                <w:szCs w:val="16"/>
              </w:rPr>
            </w:pPr>
            <w:r w:rsidRPr="000E7BF2">
              <w:rPr>
                <w:sz w:val="16"/>
                <w:szCs w:val="16"/>
              </w:rPr>
              <w:t>Malone TA. Glucose and insulin versus cation-exchange resin for the treatment of hyperkalemia in very low birth weight infants. The Journal of pediatrics. 1991;118(1):121-3.</w:t>
            </w:r>
          </w:p>
          <w:p w:rsidRPr="000E7BF2" w:rsidR="000E7BF2" w:rsidP="001B0E05" w:rsidRDefault="000E7BF2" w14:paraId="195FB945" w14:textId="77777777">
            <w:pPr>
              <w:pStyle w:val="ListParagraph"/>
              <w:numPr>
                <w:ilvl w:val="0"/>
                <w:numId w:val="145"/>
              </w:numPr>
              <w:spacing w:after="160" w:line="259" w:lineRule="auto"/>
              <w:ind w:left="284" w:hanging="284"/>
              <w:rPr>
                <w:sz w:val="16"/>
                <w:szCs w:val="16"/>
              </w:rPr>
            </w:pPr>
            <w:r w:rsidRPr="000E7BF2">
              <w:rPr>
                <w:sz w:val="16"/>
                <w:szCs w:val="16"/>
              </w:rPr>
              <w:t>Singh BS, Sadiq HF, Noguchi A, Keenan WJ. Efficacy of albuterol inhalation in treatment of hyperkalemia in premature neonates. The Journal of pediatrics. 2002;141(1):16-20.</w:t>
            </w:r>
          </w:p>
          <w:p w:rsidRPr="000E7BF2" w:rsidR="000E7BF2" w:rsidP="001B0E05" w:rsidRDefault="000E7BF2" w14:paraId="08534BAF" w14:textId="77777777">
            <w:pPr>
              <w:pStyle w:val="ListParagraph"/>
              <w:numPr>
                <w:ilvl w:val="0"/>
                <w:numId w:val="145"/>
              </w:numPr>
              <w:spacing w:after="160" w:line="259" w:lineRule="auto"/>
              <w:ind w:left="284" w:hanging="284"/>
              <w:rPr>
                <w:sz w:val="16"/>
                <w:szCs w:val="16"/>
              </w:rPr>
            </w:pPr>
            <w:r w:rsidRPr="000E7BF2">
              <w:rPr>
                <w:sz w:val="16"/>
                <w:szCs w:val="16"/>
              </w:rPr>
              <w:t>Lillemoe K, Romolo J, Hamilton SR, Pennington L, Burdick JF, Williams G. Intestinal necrosis due to sodium polystyrene (Kayexalate) in sorbitol enemas: clinical and experimental support for the hypothesis. Surgery. 1987;101(3):267-72.</w:t>
            </w:r>
          </w:p>
          <w:p w:rsidRPr="000E7BF2" w:rsidR="000E7BF2" w:rsidP="001B0E05" w:rsidRDefault="000E7BF2" w14:paraId="7E8B3437" w14:textId="77777777">
            <w:pPr>
              <w:pStyle w:val="ListParagraph"/>
              <w:numPr>
                <w:ilvl w:val="0"/>
                <w:numId w:val="145"/>
              </w:numPr>
              <w:spacing w:after="160" w:line="259" w:lineRule="auto"/>
              <w:ind w:left="284" w:hanging="284"/>
              <w:rPr>
                <w:sz w:val="16"/>
                <w:szCs w:val="16"/>
              </w:rPr>
            </w:pPr>
            <w:r w:rsidRPr="000E7BF2">
              <w:rPr>
                <w:sz w:val="16"/>
                <w:szCs w:val="16"/>
              </w:rPr>
              <w:t>Dardik A, Moesinger RC, Efron G, Barbul A, Harrison MG. Acute abdomen with colonic necrosis induced by Kayexalate-sorbitol. Southern medical journal. 2000;93(5):511-3.</w:t>
            </w:r>
          </w:p>
          <w:p w:rsidRPr="000E7BF2" w:rsidR="000E7BF2" w:rsidP="001B0E05" w:rsidRDefault="000E7BF2" w14:paraId="3D5F124C" w14:textId="77777777">
            <w:pPr>
              <w:pStyle w:val="ListParagraph"/>
              <w:numPr>
                <w:ilvl w:val="0"/>
                <w:numId w:val="145"/>
              </w:numPr>
              <w:spacing w:after="160" w:line="259" w:lineRule="auto"/>
              <w:ind w:left="284" w:hanging="284"/>
              <w:rPr>
                <w:sz w:val="16"/>
                <w:szCs w:val="16"/>
              </w:rPr>
            </w:pPr>
            <w:r w:rsidRPr="000E7BF2">
              <w:rPr>
                <w:sz w:val="16"/>
                <w:szCs w:val="16"/>
              </w:rPr>
              <w:t>Milley JR, Jung AL. Hematochezia associated with the use of hypertonic sodium polystyrene sulfonate enemas in premature infants. Journal of perinatology: official journal of the California Perinatal Association. 1995;15(2):139-42.</w:t>
            </w:r>
          </w:p>
          <w:p w:rsidRPr="000E7BF2" w:rsidR="000E7BF2" w:rsidP="001B0E05" w:rsidRDefault="000E7BF2" w14:paraId="034DD23E" w14:textId="77777777">
            <w:pPr>
              <w:pStyle w:val="ListParagraph"/>
              <w:numPr>
                <w:ilvl w:val="0"/>
                <w:numId w:val="145"/>
              </w:numPr>
              <w:spacing w:after="160" w:line="259" w:lineRule="auto"/>
              <w:ind w:left="284" w:hanging="284"/>
              <w:rPr>
                <w:sz w:val="16"/>
                <w:szCs w:val="16"/>
              </w:rPr>
            </w:pPr>
            <w:r w:rsidRPr="000E7BF2">
              <w:rPr>
                <w:sz w:val="16"/>
                <w:szCs w:val="16"/>
              </w:rPr>
              <w:t>Bennett LN, Myers TF, Lambert GH. Cecal perforation associated with sodium polystyrene sulfonate-sorbitol enemas in a 650 gram infant with hyperkalemia. American journal of perinatology. 1996;13(03):167-70.</w:t>
            </w:r>
          </w:p>
          <w:p w:rsidRPr="000E7BF2" w:rsidR="000E7BF2" w:rsidP="001B0E05" w:rsidRDefault="000E7BF2" w14:paraId="5B8745D3" w14:textId="77777777">
            <w:pPr>
              <w:pStyle w:val="ListParagraph"/>
              <w:numPr>
                <w:ilvl w:val="0"/>
                <w:numId w:val="145"/>
              </w:numPr>
              <w:spacing w:after="160" w:line="259" w:lineRule="auto"/>
              <w:ind w:left="284" w:hanging="284"/>
              <w:rPr>
                <w:sz w:val="16"/>
                <w:szCs w:val="16"/>
              </w:rPr>
            </w:pPr>
            <w:r w:rsidRPr="000E7BF2">
              <w:rPr>
                <w:sz w:val="16"/>
                <w:szCs w:val="16"/>
              </w:rPr>
              <w:t>Grammatikopoulos T, Greenough A, Pallidis C, Davenport M. Benefits and risks of calcium resonium therapy in hyperkalaemic preterm infants. Acta Paediatrica. 2003;92(1):118-20.</w:t>
            </w:r>
          </w:p>
          <w:p w:rsidRPr="000E7BF2" w:rsidR="000E7BF2" w:rsidP="001B0E05" w:rsidRDefault="000E7BF2" w14:paraId="6F8E9D6C" w14:textId="77777777">
            <w:pPr>
              <w:pStyle w:val="ListParagraph"/>
              <w:numPr>
                <w:ilvl w:val="0"/>
                <w:numId w:val="145"/>
              </w:numPr>
              <w:spacing w:after="160" w:line="259" w:lineRule="auto"/>
              <w:ind w:left="284" w:hanging="284"/>
              <w:rPr>
                <w:sz w:val="16"/>
                <w:szCs w:val="16"/>
              </w:rPr>
            </w:pPr>
            <w:r w:rsidRPr="000E7BF2">
              <w:rPr>
                <w:sz w:val="16"/>
                <w:szCs w:val="16"/>
              </w:rPr>
              <w:t>Yaseen H, Khalaf M, Dana A, Yaseen N, Darwich M. Salbutamol versus cation-exchange resin (kayexalate) for the treatment of nonoliguric hyperkalemia in preterm infants. Am J Perinatol. 2008;25(3):193-7.</w:t>
            </w:r>
          </w:p>
        </w:tc>
      </w:tr>
    </w:tbl>
    <w:p w:rsidRPr="00E25790" w:rsidR="00115F48" w:rsidP="006F0321" w:rsidRDefault="00115F48" w14:paraId="6F2625FB" w14:textId="77777777"/>
    <w:p w:rsidRPr="00E25790" w:rsidR="00115F48" w:rsidP="006F0321" w:rsidRDefault="00115F48" w14:paraId="258BF968"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74216B" w:rsidR="003449FC" w:rsidTr="00FE4186" w14:paraId="7A2EB0BB" w14:textId="77777777">
        <w:tc>
          <w:tcPr>
            <w:tcW w:w="4535" w:type="dxa"/>
            <w:vAlign w:val="center"/>
          </w:tcPr>
          <w:p w:rsidRPr="0071607C" w:rsidR="003449FC" w:rsidP="00FE4186" w:rsidRDefault="003449FC" w14:paraId="26574A81" w14:textId="77777777">
            <w:r w:rsidRPr="0071607C">
              <w:lastRenderedPageBreak/>
              <w:t xml:space="preserve">Original version Date: </w:t>
            </w:r>
            <w:r>
              <w:t>9/1/2014</w:t>
            </w:r>
          </w:p>
        </w:tc>
        <w:tc>
          <w:tcPr>
            <w:tcW w:w="4535" w:type="dxa"/>
            <w:vAlign w:val="center"/>
          </w:tcPr>
          <w:p w:rsidRPr="0071607C" w:rsidR="003449FC" w:rsidP="00FE4186" w:rsidRDefault="003449FC" w14:paraId="7DD1F19B" w14:textId="77777777">
            <w:r w:rsidRPr="0071607C">
              <w:t xml:space="preserve">Author: </w:t>
            </w:r>
            <w:r>
              <w:t>AK, JD</w:t>
            </w:r>
          </w:p>
        </w:tc>
      </w:tr>
      <w:tr w:rsidRPr="0074216B" w:rsidR="003449FC" w:rsidTr="00FE4186" w14:paraId="5D98855A" w14:textId="77777777">
        <w:tc>
          <w:tcPr>
            <w:tcW w:w="4535" w:type="dxa"/>
            <w:vAlign w:val="center"/>
          </w:tcPr>
          <w:p w:rsidRPr="0071607C" w:rsidR="003449FC" w:rsidP="00FE4186" w:rsidRDefault="003449FC" w14:paraId="6C3EE5A6" w14:textId="2D5801AA">
            <w:pPr>
              <w:rPr>
                <w:bCs/>
              </w:rPr>
            </w:pPr>
            <w:r w:rsidRPr="0071607C">
              <w:t xml:space="preserve">Current Version number:  </w:t>
            </w:r>
            <w:r w:rsidR="003E2F49">
              <w:t>3</w:t>
            </w:r>
          </w:p>
        </w:tc>
        <w:tc>
          <w:tcPr>
            <w:tcW w:w="4535" w:type="dxa"/>
            <w:vAlign w:val="center"/>
          </w:tcPr>
          <w:p w:rsidRPr="0071607C" w:rsidR="003449FC" w:rsidP="00FE4186" w:rsidRDefault="003449FC" w14:paraId="43FD0AEA" w14:textId="1BAD4C2D">
            <w:r w:rsidRPr="0071607C">
              <w:t xml:space="preserve">Current Version Date:  </w:t>
            </w:r>
            <w:r w:rsidR="003E2F49">
              <w:t>3</w:t>
            </w:r>
            <w:r>
              <w:t>/</w:t>
            </w:r>
            <w:r w:rsidR="003E2F49">
              <w:t>6</w:t>
            </w:r>
            <w:r>
              <w:t>/2021</w:t>
            </w:r>
          </w:p>
        </w:tc>
      </w:tr>
      <w:tr w:rsidRPr="0074216B" w:rsidR="003449FC" w:rsidTr="00FE4186" w14:paraId="513D2F90" w14:textId="77777777">
        <w:tc>
          <w:tcPr>
            <w:tcW w:w="4535" w:type="dxa"/>
            <w:vAlign w:val="center"/>
          </w:tcPr>
          <w:p w:rsidRPr="0071607C" w:rsidR="003449FC" w:rsidP="00FE4186" w:rsidRDefault="003449FC" w14:paraId="3F40BF70" w14:textId="6E3EE54A">
            <w:r w:rsidRPr="0071607C">
              <w:t xml:space="preserve">Risk Rating: </w:t>
            </w:r>
            <w:r>
              <w:t>Low</w:t>
            </w:r>
          </w:p>
        </w:tc>
        <w:tc>
          <w:tcPr>
            <w:tcW w:w="4535" w:type="dxa"/>
            <w:vAlign w:val="center"/>
          </w:tcPr>
          <w:p w:rsidRPr="0071607C" w:rsidR="003449FC" w:rsidP="00FE4186" w:rsidRDefault="003449FC" w14:paraId="31FCFB30" w14:textId="5C9694B4">
            <w:r w:rsidRPr="0071607C">
              <w:t xml:space="preserve">Due for Review:  </w:t>
            </w:r>
            <w:r w:rsidR="003E2F49">
              <w:t>3</w:t>
            </w:r>
            <w:r>
              <w:t>/</w:t>
            </w:r>
            <w:r w:rsidR="003E2F49">
              <w:t>6</w:t>
            </w:r>
            <w:r>
              <w:t>/2026</w:t>
            </w:r>
          </w:p>
        </w:tc>
      </w:tr>
      <w:tr w:rsidRPr="0074216B" w:rsidR="003449FC" w:rsidTr="00FE4186" w14:paraId="46CB09FE" w14:textId="77777777">
        <w:trPr>
          <w:trHeight w:val="344"/>
        </w:trPr>
        <w:tc>
          <w:tcPr>
            <w:tcW w:w="4535" w:type="dxa"/>
            <w:tcBorders>
              <w:bottom w:val="single" w:color="auto" w:sz="4" w:space="0"/>
            </w:tcBorders>
            <w:vAlign w:val="center"/>
          </w:tcPr>
          <w:p w:rsidRPr="0071607C" w:rsidR="003449FC" w:rsidP="00FE4186" w:rsidRDefault="003449FC" w14:paraId="335679F6" w14:textId="77777777">
            <w:r w:rsidRPr="0071607C">
              <w:t>Approval by: DTC</w:t>
            </w:r>
          </w:p>
        </w:tc>
        <w:tc>
          <w:tcPr>
            <w:tcW w:w="4535" w:type="dxa"/>
            <w:tcBorders>
              <w:bottom w:val="single" w:color="auto" w:sz="4" w:space="0"/>
            </w:tcBorders>
            <w:vAlign w:val="center"/>
          </w:tcPr>
          <w:p w:rsidRPr="0071607C" w:rsidR="003449FC" w:rsidP="00FE4186" w:rsidRDefault="003449FC" w14:paraId="17919342" w14:textId="40008C7A">
            <w:r w:rsidRPr="0071607C">
              <w:t xml:space="preserve">Approval Date: </w:t>
            </w:r>
            <w:r w:rsidR="003E2F49">
              <w:t>June</w:t>
            </w:r>
            <w:r w:rsidR="00260BC8">
              <w:t xml:space="preserve"> 2021</w:t>
            </w:r>
          </w:p>
        </w:tc>
      </w:tr>
    </w:tbl>
    <w:p w:rsidRPr="00E25790" w:rsidR="00115F48" w:rsidP="006F0321" w:rsidRDefault="00115F48" w14:paraId="05EBE1ED" w14:textId="77777777">
      <w:r w:rsidRPr="00E25790">
        <w:br w:type="page"/>
      </w:r>
    </w:p>
    <w:p w:rsidRPr="00E25790" w:rsidR="00115F48" w:rsidP="006F0321" w:rsidRDefault="00115F48" w14:paraId="154D8637" w14:textId="77777777"/>
    <w:tbl>
      <w:tblPr>
        <w:tblW w:w="9049" w:type="dxa"/>
        <w:tblLayout w:type="fixed"/>
        <w:tblLook w:val="0000" w:firstRow="0" w:lastRow="0" w:firstColumn="0" w:lastColumn="0" w:noHBand="0" w:noVBand="0"/>
      </w:tblPr>
      <w:tblGrid>
        <w:gridCol w:w="4153"/>
        <w:gridCol w:w="4896"/>
      </w:tblGrid>
      <w:tr w:rsidRPr="00E25790" w:rsidR="005B4A5E" w:rsidTr="00FB1E38" w14:paraId="6627277D"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8C2A95" w:rsidR="005B4A5E" w:rsidP="009469DB" w:rsidRDefault="005B4A5E" w14:paraId="14A702E7" w14:textId="77777777">
            <w:pPr>
              <w:pStyle w:val="Heading1"/>
            </w:pPr>
            <w:bookmarkStart w:name="_Toc38106919" w:id="544"/>
            <w:bookmarkStart w:name="_Toc75340040" w:id="545"/>
            <w:r w:rsidRPr="008C2A95">
              <w:t>Rotavirus Vaccine</w:t>
            </w:r>
            <w:bookmarkEnd w:id="544"/>
            <w:bookmarkEnd w:id="545"/>
          </w:p>
        </w:tc>
      </w:tr>
      <w:tr w:rsidRPr="00E25790" w:rsidR="005B4A5E" w:rsidTr="00FB1E38" w14:paraId="4ADFD89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5B4A5E" w:rsidP="006F0321" w:rsidRDefault="005B4A5E" w14:paraId="0722E2DF" w14:textId="77777777">
            <w:r w:rsidRPr="00E25790">
              <w:t>Revision Date</w:t>
            </w:r>
            <w:r w:rsidRPr="00E25790">
              <w:rPr>
                <w:b/>
              </w:rPr>
              <w:t xml:space="preserve"> : </w:t>
            </w:r>
            <w:r w:rsidRPr="00E25790" w:rsidR="006B444C">
              <w:rPr>
                <w:b/>
              </w:rPr>
              <w:t>24/9/2019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5B4A5E" w:rsidP="006F0321" w:rsidRDefault="005B4A5E" w14:paraId="60662D2C" w14:textId="77777777">
            <w:r w:rsidRPr="00E25790">
              <w:t xml:space="preserve">Approved: </w:t>
            </w:r>
            <w:r w:rsidRPr="00E25790" w:rsidR="006B444C">
              <w:t>TC, KOH</w:t>
            </w:r>
          </w:p>
        </w:tc>
      </w:tr>
    </w:tbl>
    <w:p w:rsidRPr="00E25790" w:rsidR="005B4A5E" w:rsidP="006F0321" w:rsidRDefault="005B4A5E" w14:paraId="0885BA88" w14:textId="77777777"/>
    <w:tbl>
      <w:tblPr>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382"/>
        <w:gridCol w:w="2414"/>
        <w:gridCol w:w="4843"/>
      </w:tblGrid>
      <w:tr w:rsidRPr="00E25790" w:rsidR="00043BF0" w:rsidTr="008D48AE" w14:paraId="6B0E65CB" w14:textId="77777777">
        <w:trPr>
          <w:trHeight w:val="1586"/>
        </w:trPr>
        <w:tc>
          <w:tcPr>
            <w:tcW w:w="2382" w:type="dxa"/>
          </w:tcPr>
          <w:p w:rsidRPr="00E25790" w:rsidR="006B444C" w:rsidP="006F0321" w:rsidRDefault="006B444C" w14:paraId="0D51AF6D" w14:textId="77777777">
            <w:r w:rsidRPr="00E25790">
              <w:t>Alert</w:t>
            </w:r>
            <w:r w:rsidRPr="00E25790">
              <w:tab/>
            </w:r>
          </w:p>
          <w:p w:rsidRPr="00E25790" w:rsidR="006B444C" w:rsidP="006F0321" w:rsidRDefault="006B444C" w14:paraId="11C3AF09" w14:textId="77777777">
            <w:r w:rsidRPr="00E25790">
              <w:t xml:space="preserve"> </w:t>
            </w:r>
          </w:p>
        </w:tc>
        <w:tc>
          <w:tcPr>
            <w:tcW w:w="7257" w:type="dxa"/>
            <w:gridSpan w:val="2"/>
          </w:tcPr>
          <w:p w:rsidRPr="00E25790" w:rsidR="006B444C" w:rsidP="006F0321" w:rsidRDefault="006B444C" w14:paraId="1B1E95DB" w14:textId="77777777">
            <w:r w:rsidRPr="00E25790">
              <w:t>ORAL ADMINISTRATION ONLY</w:t>
            </w:r>
            <w:r w:rsidRPr="00E25790">
              <w:br/>
            </w:r>
            <w:r w:rsidRPr="00E25790">
              <w:t>The first dose of rotavirus vaccine should be given to infants between 6 and 14 weeks chronological age (prior to turning 15 weeks chronological age) and the second dose by 24 weeks of age (prior to turning 25 weeks of age).</w:t>
            </w:r>
          </w:p>
          <w:p w:rsidRPr="00E25790" w:rsidR="006B444C" w:rsidP="006F0321" w:rsidRDefault="006B444C" w14:paraId="7F67C520" w14:textId="77777777">
            <w:r w:rsidRPr="00E25790">
              <w:t>The interval between dose 1 and 2 should not be less than 4 weeks.</w:t>
            </w:r>
          </w:p>
          <w:p w:rsidRPr="00E25790" w:rsidR="006B444C" w:rsidP="006F0321" w:rsidRDefault="006B444C" w14:paraId="4B026345" w14:textId="77777777">
            <w:r w:rsidRPr="00E25790">
              <w:t>From July 2017, only Rotarix will be made available under National Immunisation Program in Australia.</w:t>
            </w:r>
          </w:p>
          <w:p w:rsidRPr="00E25790" w:rsidR="006B444C" w:rsidP="006F0321" w:rsidRDefault="006B444C" w14:paraId="35A737A4" w14:textId="77777777">
            <w:pPr>
              <w:rPr>
                <w:rFonts w:cs="Arial"/>
                <w:b/>
              </w:rPr>
            </w:pPr>
            <w:r w:rsidRPr="00E25790">
              <w:t>Regular look up for any online updates by the Australian Immunisation Register is recommended.</w:t>
            </w:r>
          </w:p>
        </w:tc>
      </w:tr>
      <w:tr w:rsidRPr="00E25790" w:rsidR="00043BF0" w:rsidTr="008D48AE" w14:paraId="4FCDC677" w14:textId="77777777">
        <w:trPr>
          <w:trHeight w:val="70"/>
        </w:trPr>
        <w:tc>
          <w:tcPr>
            <w:tcW w:w="2382" w:type="dxa"/>
          </w:tcPr>
          <w:p w:rsidRPr="00E25790" w:rsidR="006B444C" w:rsidP="006F0321" w:rsidRDefault="006B444C" w14:paraId="22640712" w14:textId="77777777">
            <w:r w:rsidRPr="00E25790">
              <w:t xml:space="preserve">Indication      </w:t>
            </w:r>
          </w:p>
        </w:tc>
        <w:tc>
          <w:tcPr>
            <w:tcW w:w="7257" w:type="dxa"/>
            <w:gridSpan w:val="2"/>
          </w:tcPr>
          <w:p w:rsidRPr="00E25790" w:rsidR="006B444C" w:rsidP="006F0321" w:rsidRDefault="006B444C" w14:paraId="72700DC9" w14:textId="77777777">
            <w:pPr>
              <w:rPr>
                <w:lang w:val="en-AU"/>
              </w:rPr>
            </w:pPr>
            <w:r w:rsidRPr="00E25790">
              <w:rPr>
                <w:lang w:val="en-AU"/>
              </w:rPr>
              <w:t>Primary immunisation of infants against rotavirus gastroenteritis.</w:t>
            </w:r>
          </w:p>
        </w:tc>
      </w:tr>
      <w:tr w:rsidRPr="00E25790" w:rsidR="00043BF0" w:rsidTr="008D48AE" w14:paraId="68009070" w14:textId="77777777">
        <w:trPr>
          <w:trHeight w:val="561"/>
        </w:trPr>
        <w:tc>
          <w:tcPr>
            <w:tcW w:w="2382" w:type="dxa"/>
          </w:tcPr>
          <w:p w:rsidRPr="00E25790" w:rsidR="006B444C" w:rsidP="006F0321" w:rsidRDefault="006B444C" w14:paraId="2443932E" w14:textId="77777777">
            <w:r w:rsidRPr="00E25790">
              <w:t>Action</w:t>
            </w:r>
          </w:p>
        </w:tc>
        <w:tc>
          <w:tcPr>
            <w:tcW w:w="7257" w:type="dxa"/>
            <w:gridSpan w:val="2"/>
          </w:tcPr>
          <w:p w:rsidRPr="00E25790" w:rsidR="006B444C" w:rsidP="006F0321" w:rsidRDefault="006B444C" w14:paraId="4F721E48" w14:textId="77777777">
            <w:pPr>
              <w:rPr>
                <w:rFonts w:cs="Arial"/>
                <w:lang w:val="en-AU"/>
              </w:rPr>
            </w:pPr>
            <w:r w:rsidRPr="00E25790">
              <w:rPr>
                <w:lang w:val="en-AU"/>
              </w:rPr>
              <w:t>Live attenuated human rotavirus vaccine that induces protective immunity against the G1P(8) strain and some other non-G1 prevalent strains of rotavirus.</w:t>
            </w:r>
          </w:p>
        </w:tc>
      </w:tr>
      <w:tr w:rsidRPr="00E25790" w:rsidR="00043BF0" w:rsidTr="008D48AE" w14:paraId="16CF1719" w14:textId="77777777">
        <w:trPr>
          <w:trHeight w:val="70"/>
        </w:trPr>
        <w:tc>
          <w:tcPr>
            <w:tcW w:w="2382" w:type="dxa"/>
          </w:tcPr>
          <w:p w:rsidRPr="00E25790" w:rsidR="006B444C" w:rsidP="006F0321" w:rsidRDefault="006B444C" w14:paraId="78B2022F" w14:textId="77777777">
            <w:r w:rsidRPr="00E25790">
              <w:t xml:space="preserve">Drug Type                                   </w:t>
            </w:r>
          </w:p>
        </w:tc>
        <w:tc>
          <w:tcPr>
            <w:tcW w:w="7257" w:type="dxa"/>
            <w:gridSpan w:val="2"/>
          </w:tcPr>
          <w:p w:rsidRPr="00E25790" w:rsidR="006B444C" w:rsidP="006F0321" w:rsidRDefault="006B444C" w14:paraId="600ABBAF" w14:textId="77777777">
            <w:pPr>
              <w:rPr>
                <w:rFonts w:cs="Arial"/>
              </w:rPr>
            </w:pPr>
            <w:r w:rsidRPr="00E25790">
              <w:t>Vaccine.</w:t>
            </w:r>
          </w:p>
        </w:tc>
      </w:tr>
      <w:tr w:rsidRPr="00E25790" w:rsidR="00043BF0" w:rsidTr="008D48AE" w14:paraId="05BF8FA3" w14:textId="77777777">
        <w:trPr>
          <w:trHeight w:val="70"/>
        </w:trPr>
        <w:tc>
          <w:tcPr>
            <w:tcW w:w="2382" w:type="dxa"/>
          </w:tcPr>
          <w:p w:rsidRPr="00E25790" w:rsidR="006B444C" w:rsidP="006F0321" w:rsidRDefault="006B444C" w14:paraId="21B5CA7D" w14:textId="77777777">
            <w:r w:rsidRPr="00E25790">
              <w:t xml:space="preserve">Trade Name                  </w:t>
            </w:r>
          </w:p>
        </w:tc>
        <w:tc>
          <w:tcPr>
            <w:tcW w:w="7257" w:type="dxa"/>
            <w:gridSpan w:val="2"/>
          </w:tcPr>
          <w:p w:rsidRPr="00E25790" w:rsidR="006B444C" w:rsidP="006F0321" w:rsidRDefault="006B444C" w14:paraId="5625DDEC" w14:textId="77777777">
            <w:r w:rsidRPr="00E25790">
              <w:t>Rotarix</w:t>
            </w:r>
          </w:p>
        </w:tc>
      </w:tr>
      <w:tr w:rsidRPr="00E25790" w:rsidR="00043BF0" w:rsidTr="008D48AE" w14:paraId="03718F3B" w14:textId="77777777">
        <w:trPr>
          <w:trHeight w:val="101"/>
        </w:trPr>
        <w:tc>
          <w:tcPr>
            <w:tcW w:w="2382" w:type="dxa"/>
          </w:tcPr>
          <w:p w:rsidRPr="00E25790" w:rsidR="006B444C" w:rsidP="006F0321" w:rsidRDefault="006B444C" w14:paraId="20F61F15" w14:textId="77777777">
            <w:r w:rsidRPr="00E25790">
              <w:t xml:space="preserve">Presentation </w:t>
            </w:r>
          </w:p>
        </w:tc>
        <w:tc>
          <w:tcPr>
            <w:tcW w:w="7257" w:type="dxa"/>
            <w:gridSpan w:val="2"/>
          </w:tcPr>
          <w:p w:rsidRPr="00E25790" w:rsidR="006B444C" w:rsidP="006F0321" w:rsidRDefault="006B444C" w14:paraId="1D132B51" w14:textId="77777777">
            <w:r w:rsidRPr="00E25790">
              <w:t xml:space="preserve">1.5 mL oral suspension in an oral applicator with plunger stopper. </w:t>
            </w:r>
          </w:p>
        </w:tc>
      </w:tr>
      <w:tr w:rsidRPr="00E25790" w:rsidR="00043BF0" w:rsidTr="008D48AE" w14:paraId="67A7E5A5" w14:textId="77777777">
        <w:trPr>
          <w:trHeight w:val="314"/>
        </w:trPr>
        <w:tc>
          <w:tcPr>
            <w:tcW w:w="2382" w:type="dxa"/>
          </w:tcPr>
          <w:p w:rsidRPr="00E25790" w:rsidR="006B444C" w:rsidP="006F0321" w:rsidRDefault="006B444C" w14:paraId="369084E1" w14:textId="77777777">
            <w:pPr>
              <w:rPr>
                <w:rFonts w:cs="Arial"/>
                <w:bCs/>
              </w:rPr>
            </w:pPr>
            <w:r w:rsidRPr="00E25790">
              <w:t>Maximum Daily Dose</w:t>
            </w:r>
          </w:p>
        </w:tc>
        <w:tc>
          <w:tcPr>
            <w:tcW w:w="7257" w:type="dxa"/>
            <w:gridSpan w:val="2"/>
          </w:tcPr>
          <w:p w:rsidRPr="00E25790" w:rsidR="006B444C" w:rsidP="006F0321" w:rsidRDefault="006B444C" w14:paraId="6146794A" w14:textId="77777777">
            <w:r w:rsidRPr="00E25790">
              <w:t>See “Total Cumulative Dose”</w:t>
            </w:r>
          </w:p>
        </w:tc>
      </w:tr>
      <w:tr w:rsidRPr="00E25790" w:rsidR="00043BF0" w:rsidTr="008D48AE" w14:paraId="081BF004" w14:textId="77777777">
        <w:trPr>
          <w:trHeight w:val="117"/>
        </w:trPr>
        <w:tc>
          <w:tcPr>
            <w:tcW w:w="2382" w:type="dxa"/>
          </w:tcPr>
          <w:p w:rsidRPr="00E25790" w:rsidR="006B444C" w:rsidP="006F0321" w:rsidRDefault="006B444C" w14:paraId="2F21DC02" w14:textId="77777777">
            <w:pPr>
              <w:rPr>
                <w:rFonts w:cs="Arial"/>
                <w:bCs/>
              </w:rPr>
            </w:pPr>
            <w:r w:rsidRPr="00E25790">
              <w:t>Total Cumulative Dose</w:t>
            </w:r>
          </w:p>
        </w:tc>
        <w:tc>
          <w:tcPr>
            <w:tcW w:w="7257" w:type="dxa"/>
            <w:gridSpan w:val="2"/>
          </w:tcPr>
          <w:p w:rsidRPr="00E25790" w:rsidR="006B444C" w:rsidP="006F0321" w:rsidRDefault="006B444C" w14:paraId="4102163D" w14:textId="77777777">
            <w:r w:rsidRPr="00E25790">
              <w:t xml:space="preserve">Limited data on the safety of administering higher than the recommended dose. </w:t>
            </w:r>
          </w:p>
        </w:tc>
      </w:tr>
      <w:tr w:rsidRPr="00E25790" w:rsidR="00043BF0" w:rsidTr="008D48AE" w14:paraId="10099385" w14:textId="77777777">
        <w:trPr>
          <w:trHeight w:val="70"/>
        </w:trPr>
        <w:tc>
          <w:tcPr>
            <w:tcW w:w="2382" w:type="dxa"/>
          </w:tcPr>
          <w:p w:rsidRPr="00E25790" w:rsidR="006B444C" w:rsidP="006F0321" w:rsidRDefault="006B444C" w14:paraId="32D3725D" w14:textId="77777777">
            <w:r w:rsidRPr="00E25790">
              <w:t xml:space="preserve">Dosage / Interval                           </w:t>
            </w:r>
          </w:p>
          <w:p w:rsidRPr="00E25790" w:rsidR="006B444C" w:rsidP="006F0321" w:rsidRDefault="006B444C" w14:paraId="74D73A5D" w14:textId="77777777"/>
        </w:tc>
        <w:tc>
          <w:tcPr>
            <w:tcW w:w="7257" w:type="dxa"/>
            <w:gridSpan w:val="2"/>
          </w:tcPr>
          <w:p w:rsidRPr="00E25790" w:rsidR="006B444C" w:rsidP="006F0321" w:rsidRDefault="006B444C" w14:paraId="7FE70727" w14:textId="77777777">
            <w:r w:rsidRPr="00E25790">
              <w:t>1.5 mL orally.</w:t>
            </w:r>
          </w:p>
          <w:p w:rsidRPr="00E25790" w:rsidR="006B444C" w:rsidP="006F0321" w:rsidRDefault="006B444C" w14:paraId="5D0A6FA8" w14:textId="77777777">
            <w:r w:rsidRPr="00E25790">
              <w:rPr>
                <w:b/>
              </w:rPr>
              <w:t>Primary schedule:</w:t>
            </w:r>
            <w:r w:rsidRPr="00E25790">
              <w:t xml:space="preserve"> 2-dose course administered with 2- and 4-month immunisations i.e., dose 1 can be administered at 6 to 14 weeks of age and dose 2 can be administered at 14 to 24 weeks of age. </w:t>
            </w:r>
          </w:p>
          <w:p w:rsidRPr="00E25790" w:rsidR="006B444C" w:rsidP="006F0321" w:rsidRDefault="006B444C" w14:paraId="746A700C" w14:textId="77777777">
            <w:r w:rsidRPr="00E25790">
              <w:rPr>
                <w:b/>
              </w:rPr>
              <w:t>NOTE:</w:t>
            </w:r>
            <w:r w:rsidRPr="00E25790">
              <w:t xml:space="preserve"> Dosage interval between first and second doses must be greater than 4 weeks. </w:t>
            </w:r>
            <w:r w:rsidRPr="00E25790">
              <w:br/>
            </w:r>
          </w:p>
          <w:tbl>
            <w:tblPr>
              <w:tblW w:w="6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453"/>
              <w:gridCol w:w="1620"/>
              <w:gridCol w:w="1350"/>
              <w:gridCol w:w="1710"/>
            </w:tblGrid>
            <w:tr w:rsidRPr="00E25790" w:rsidR="006B444C" w:rsidTr="00F45A7B" w14:paraId="2F38E92B" w14:textId="77777777">
              <w:tc>
                <w:tcPr>
                  <w:tcW w:w="1453" w:type="dxa"/>
                  <w:shd w:val="clear" w:color="auto" w:fill="auto"/>
                </w:tcPr>
                <w:p w:rsidRPr="00E25790" w:rsidR="006B444C" w:rsidP="006F0321" w:rsidRDefault="006B444C" w14:paraId="32596B67" w14:textId="77777777">
                  <w:r w:rsidRPr="00E25790">
                    <w:t>Schedule</w:t>
                  </w:r>
                </w:p>
              </w:tc>
              <w:tc>
                <w:tcPr>
                  <w:tcW w:w="1620" w:type="dxa"/>
                  <w:shd w:val="clear" w:color="auto" w:fill="auto"/>
                </w:tcPr>
                <w:p w:rsidRPr="00E25790" w:rsidR="006B444C" w:rsidP="006F0321" w:rsidRDefault="006B444C" w14:paraId="2B7A2FC0" w14:textId="77777777">
                  <w:r w:rsidRPr="00E25790">
                    <w:t>Age limit for first dose</w:t>
                  </w:r>
                </w:p>
              </w:tc>
              <w:tc>
                <w:tcPr>
                  <w:tcW w:w="1350" w:type="dxa"/>
                  <w:shd w:val="clear" w:color="auto" w:fill="auto"/>
                </w:tcPr>
                <w:p w:rsidRPr="00E25790" w:rsidR="006B444C" w:rsidP="006F0321" w:rsidRDefault="006B444C" w14:paraId="0986B0B8" w14:textId="77777777">
                  <w:r w:rsidRPr="00E25790">
                    <w:t>Age limit for second dose</w:t>
                  </w:r>
                </w:p>
              </w:tc>
              <w:tc>
                <w:tcPr>
                  <w:tcW w:w="1710" w:type="dxa"/>
                  <w:shd w:val="clear" w:color="auto" w:fill="auto"/>
                </w:tcPr>
                <w:p w:rsidRPr="00E25790" w:rsidR="006B444C" w:rsidP="006F0321" w:rsidRDefault="006B444C" w14:paraId="0F363FC4" w14:textId="77777777">
                  <w:r w:rsidRPr="00E25790">
                    <w:t>Minimum interval between doses</w:t>
                  </w:r>
                </w:p>
              </w:tc>
            </w:tr>
            <w:tr w:rsidRPr="00E25790" w:rsidR="006B444C" w:rsidTr="00F45A7B" w14:paraId="591189B7" w14:textId="77777777">
              <w:tc>
                <w:tcPr>
                  <w:tcW w:w="1453" w:type="dxa"/>
                  <w:shd w:val="clear" w:color="auto" w:fill="auto"/>
                </w:tcPr>
                <w:p w:rsidRPr="00E25790" w:rsidR="006B444C" w:rsidP="006F0321" w:rsidRDefault="006B444C" w14:paraId="3555DB7B" w14:textId="77777777">
                  <w:r w:rsidRPr="00E25790">
                    <w:t>2 oral doses (1.5 mL/dose)</w:t>
                  </w:r>
                </w:p>
              </w:tc>
              <w:tc>
                <w:tcPr>
                  <w:tcW w:w="1620" w:type="dxa"/>
                  <w:shd w:val="clear" w:color="auto" w:fill="auto"/>
                </w:tcPr>
                <w:p w:rsidRPr="00E25790" w:rsidR="006B444C" w:rsidP="006F0321" w:rsidRDefault="006B444C" w14:paraId="39D1D4C0" w14:textId="77777777">
                  <w:r w:rsidRPr="00E25790">
                    <w:t>6–14 weeks</w:t>
                  </w:r>
                </w:p>
              </w:tc>
              <w:tc>
                <w:tcPr>
                  <w:tcW w:w="1350" w:type="dxa"/>
                  <w:shd w:val="clear" w:color="auto" w:fill="auto"/>
                </w:tcPr>
                <w:p w:rsidRPr="00E25790" w:rsidR="006B444C" w:rsidP="006F0321" w:rsidRDefault="006B444C" w14:paraId="41DBA623" w14:textId="77777777">
                  <w:r w:rsidRPr="00E25790">
                    <w:t>14–24 weeks</w:t>
                  </w:r>
                </w:p>
              </w:tc>
              <w:tc>
                <w:tcPr>
                  <w:tcW w:w="1710" w:type="dxa"/>
                  <w:shd w:val="clear" w:color="auto" w:fill="auto"/>
                </w:tcPr>
                <w:p w:rsidRPr="00E25790" w:rsidR="006B444C" w:rsidP="006F0321" w:rsidRDefault="006B444C" w14:paraId="22816522" w14:textId="77777777">
                  <w:r w:rsidRPr="00E25790">
                    <w:t>4 weeks</w:t>
                  </w:r>
                </w:p>
              </w:tc>
            </w:tr>
          </w:tbl>
          <w:p w:rsidRPr="00E25790" w:rsidR="006B444C" w:rsidP="006F0321" w:rsidRDefault="006B444C" w14:paraId="10DD0C72" w14:textId="77777777">
            <w:r w:rsidRPr="00E25790">
              <w:t>NOTE:  If most of the oral rotavirus vaccine has been regurgitated or vomited within minutes of administration, a single repeat dose can be administered during the same immunisation encounter. If an infant regurgitates or vomits only a small part of a vaccine dose, it is not necessary to repeat the dose.</w:t>
            </w:r>
            <w:r w:rsidRPr="00E25790">
              <w:br/>
            </w:r>
            <w:r w:rsidRPr="00E25790">
              <w:rPr>
                <w:b/>
              </w:rPr>
              <w:lastRenderedPageBreak/>
              <w:t>Catch-up schedule:</w:t>
            </w:r>
            <w:r w:rsidRPr="00E25790">
              <w:t xml:space="preserve"> If an infant has NOT had a dose of any rotavirus vaccine AND is ≥ 15 weeks then that infant is NOT ELIGIBLE to commence any rotavirus vaccination dose.</w:t>
            </w:r>
            <w:r w:rsidRPr="00E25790">
              <w:rPr>
                <w:vertAlign w:val="superscript"/>
              </w:rPr>
              <w:t>1</w:t>
            </w:r>
            <w:r w:rsidRPr="00E25790">
              <w:t xml:space="preserve"> </w:t>
            </w:r>
          </w:p>
          <w:p w:rsidRPr="00E25790" w:rsidR="006B444C" w:rsidP="006F0321" w:rsidRDefault="006B444C" w14:paraId="0B333886" w14:textId="77777777">
            <w:r w:rsidRPr="00E25790">
              <w:rPr>
                <w:b/>
              </w:rPr>
              <w:t>Preterm infants:</w:t>
            </w:r>
            <w:r w:rsidRPr="00E25790">
              <w:t xml:space="preserve"> Vaccine is administered at a chronologic age (without correction for prematurity) similar to term infants, if the infant is clinically stable.</w:t>
            </w:r>
            <w:r w:rsidRPr="00E25790">
              <w:rPr>
                <w:vertAlign w:val="superscript"/>
              </w:rPr>
              <w:t>1</w:t>
            </w:r>
            <w:r w:rsidRPr="00E25790">
              <w:t xml:space="preserve"> </w:t>
            </w:r>
          </w:p>
          <w:p w:rsidRPr="00E25790" w:rsidR="006B444C" w:rsidP="006F0321" w:rsidRDefault="006B444C" w14:paraId="470C2E9E" w14:textId="77777777">
            <w:r w:rsidRPr="00E25790">
              <w:rPr>
                <w:b/>
              </w:rPr>
              <w:t>Hospitalised infants:</w:t>
            </w:r>
            <w:r w:rsidRPr="00E25790">
              <w:t xml:space="preserve"> If standard infection control precautions are maintained and the infant is medically stable, vaccination should not be delayed, particularly if the delay would result in an infant being beyond the upper age limit for vaccination.</w:t>
            </w:r>
            <w:r w:rsidRPr="00E25790">
              <w:rPr>
                <w:vertAlign w:val="superscript"/>
              </w:rPr>
              <w:t>1</w:t>
            </w:r>
          </w:p>
          <w:p w:rsidRPr="00E25790" w:rsidR="006B444C" w:rsidP="006F0321" w:rsidRDefault="006B444C" w14:paraId="3965373E" w14:textId="77777777">
            <w:pPr>
              <w:rPr>
                <w:b/>
              </w:rPr>
            </w:pPr>
            <w:r w:rsidRPr="00E25790">
              <w:rPr>
                <w:b/>
              </w:rPr>
              <w:t>Systemic corticosteroid therapy:</w:t>
            </w:r>
            <w:r w:rsidRPr="00E25790">
              <w:t xml:space="preserve"> Rotavirus vaccine is not contraindicated in neonates on inhaled or systemic corticosteroids if they are otherwise medically stable. (personal communication with Australian Immunisation Registry experts Kristine Macartney and Jim Buttery).</w:t>
            </w:r>
            <w:r w:rsidRPr="00E25790">
              <w:rPr>
                <w:vertAlign w:val="superscript"/>
              </w:rPr>
              <w:t>1</w:t>
            </w:r>
            <w:r w:rsidRPr="00E25790">
              <w:t xml:space="preserve"> </w:t>
            </w:r>
          </w:p>
          <w:p w:rsidRPr="00E25790" w:rsidR="006B444C" w:rsidP="006F0321" w:rsidRDefault="006B444C" w14:paraId="7B05292D" w14:textId="77777777">
            <w:r w:rsidRPr="00E25790">
              <w:rPr>
                <w:b/>
              </w:rPr>
              <w:t>Other live vaccines:</w:t>
            </w:r>
            <w:r w:rsidRPr="00E25790">
              <w:t xml:space="preserve"> Rotavirus vaccine can be given at any time before or after the routine infant immunisations and at any time before or after BCG vaccine. The recommendation for administering live vaccines either at the same time or after an interval of four weeks only applies to injectable live viral vaccines and, therefore, not to BCG or to the oral rotavirus vaccines.</w:t>
            </w:r>
            <w:r w:rsidRPr="00E25790">
              <w:rPr>
                <w:vertAlign w:val="superscript"/>
              </w:rPr>
              <w:t>2</w:t>
            </w:r>
          </w:p>
        </w:tc>
      </w:tr>
      <w:tr w:rsidRPr="00E25790" w:rsidR="00043BF0" w:rsidTr="008D48AE" w14:paraId="43D5F3DA" w14:textId="77777777">
        <w:trPr>
          <w:trHeight w:val="231"/>
        </w:trPr>
        <w:tc>
          <w:tcPr>
            <w:tcW w:w="2382" w:type="dxa"/>
          </w:tcPr>
          <w:p w:rsidRPr="00E25790" w:rsidR="006B444C" w:rsidP="006F0321" w:rsidRDefault="006B444C" w14:paraId="5A6D05A5" w14:textId="77777777">
            <w:r w:rsidRPr="00E25790">
              <w:lastRenderedPageBreak/>
              <w:t xml:space="preserve">Route                                   </w:t>
            </w:r>
          </w:p>
        </w:tc>
        <w:tc>
          <w:tcPr>
            <w:tcW w:w="7257" w:type="dxa"/>
            <w:gridSpan w:val="2"/>
          </w:tcPr>
          <w:p w:rsidRPr="00E25790" w:rsidR="006B444C" w:rsidP="006F0321" w:rsidRDefault="006B444C" w14:paraId="237E6ADA" w14:textId="77777777">
            <w:r w:rsidRPr="00E25790">
              <w:t>Oral or via gastric tube</w:t>
            </w:r>
          </w:p>
        </w:tc>
      </w:tr>
      <w:tr w:rsidRPr="00E25790" w:rsidR="0020431B" w:rsidTr="008D48AE" w14:paraId="5101CA14" w14:textId="77777777">
        <w:trPr>
          <w:trHeight w:val="558"/>
        </w:trPr>
        <w:tc>
          <w:tcPr>
            <w:tcW w:w="2382" w:type="dxa"/>
          </w:tcPr>
          <w:p w:rsidRPr="00E25790" w:rsidR="006B444C" w:rsidP="006F0321" w:rsidRDefault="006B444C" w14:paraId="01F8D70E" w14:textId="77777777">
            <w:r w:rsidRPr="00E25790">
              <w:t xml:space="preserve">Administration                 </w:t>
            </w:r>
          </w:p>
          <w:p w:rsidRPr="00E25790" w:rsidR="006B444C" w:rsidP="006F0321" w:rsidRDefault="006B444C" w14:paraId="425ED3EE" w14:textId="77777777"/>
        </w:tc>
        <w:tc>
          <w:tcPr>
            <w:tcW w:w="7257" w:type="dxa"/>
            <w:gridSpan w:val="2"/>
            <w:vAlign w:val="center"/>
          </w:tcPr>
          <w:p w:rsidRPr="00E25790" w:rsidR="006B444C" w:rsidP="006F0321" w:rsidRDefault="006B444C" w14:paraId="4AF532DF" w14:textId="77777777">
            <w:r w:rsidRPr="00E25790">
              <w:t>Oral: Administer entire applicator or dosing tube content on inside of cheek with child in reclining position.</w:t>
            </w:r>
            <w:r w:rsidRPr="00E25790">
              <w:br/>
            </w:r>
            <w:r w:rsidRPr="00E25790">
              <w:t xml:space="preserve">Gastric tube: For infants who can’t take the vaccine orally, it can be administered via a gastric tube; flush with air to clear the tube. </w:t>
            </w:r>
          </w:p>
          <w:p w:rsidRPr="00E25790" w:rsidR="006B444C" w:rsidP="006F0321" w:rsidRDefault="006B444C" w14:paraId="3BAD6496" w14:textId="77777777">
            <w:r w:rsidRPr="00E25790">
              <w:t xml:space="preserve">Can be given with or without feeds. </w:t>
            </w:r>
          </w:p>
          <w:p w:rsidRPr="00E25790" w:rsidR="006B444C" w:rsidP="006F0321" w:rsidRDefault="006B444C" w14:paraId="05F8A497" w14:textId="77777777">
            <w:r w:rsidRPr="00E25790">
              <w:t>Record details of vaccination in patient's Personal Health Record ('Blue Book') and medication chart.</w:t>
            </w:r>
          </w:p>
          <w:p w:rsidRPr="00E25790" w:rsidR="006B444C" w:rsidP="006F0321" w:rsidRDefault="006B444C" w14:paraId="2ECEDD05" w14:textId="77777777">
            <w:pPr>
              <w:rPr>
                <w:rFonts w:cs="Arial"/>
              </w:rPr>
            </w:pPr>
            <w:r w:rsidRPr="00E25790">
              <w:t>Other vaccines can be given at the same time (refer to Drug interactions section).</w:t>
            </w:r>
          </w:p>
        </w:tc>
      </w:tr>
      <w:tr w:rsidRPr="00E25790" w:rsidR="00043BF0" w:rsidTr="008D48AE" w14:paraId="5AFB265F" w14:textId="77777777">
        <w:trPr>
          <w:trHeight w:val="183"/>
        </w:trPr>
        <w:tc>
          <w:tcPr>
            <w:tcW w:w="2382" w:type="dxa"/>
          </w:tcPr>
          <w:p w:rsidRPr="00E25790" w:rsidR="006B444C" w:rsidP="006F0321" w:rsidRDefault="006B444C" w14:paraId="4CB2431F" w14:textId="77777777">
            <w:r w:rsidRPr="00E25790">
              <w:t xml:space="preserve">Monitoring                              </w:t>
            </w:r>
          </w:p>
        </w:tc>
        <w:tc>
          <w:tcPr>
            <w:tcW w:w="7257" w:type="dxa"/>
            <w:gridSpan w:val="2"/>
          </w:tcPr>
          <w:p w:rsidRPr="00E25790" w:rsidR="006B444C" w:rsidP="006F0321" w:rsidRDefault="006B444C" w14:paraId="6DC5DEA4" w14:textId="77777777"/>
        </w:tc>
      </w:tr>
      <w:tr w:rsidRPr="00E25790" w:rsidR="00043BF0" w:rsidTr="008D48AE" w14:paraId="12D0652E" w14:textId="77777777">
        <w:trPr>
          <w:trHeight w:val="627"/>
        </w:trPr>
        <w:tc>
          <w:tcPr>
            <w:tcW w:w="2382" w:type="dxa"/>
          </w:tcPr>
          <w:p w:rsidRPr="00E25790" w:rsidR="006B444C" w:rsidP="006F0321" w:rsidRDefault="006B444C" w14:paraId="6FFC00D2" w14:textId="77777777">
            <w:r w:rsidRPr="00E25790">
              <w:t xml:space="preserve">Contraindications                           </w:t>
            </w:r>
          </w:p>
          <w:p w:rsidRPr="00E25790" w:rsidR="006B444C" w:rsidP="006F0321" w:rsidRDefault="006B444C" w14:paraId="31B87139" w14:textId="77777777"/>
        </w:tc>
        <w:tc>
          <w:tcPr>
            <w:tcW w:w="7257" w:type="dxa"/>
            <w:gridSpan w:val="2"/>
          </w:tcPr>
          <w:p w:rsidRPr="00E25790" w:rsidR="006B444C" w:rsidP="006F0321" w:rsidRDefault="006B444C" w14:paraId="0BDC7825" w14:textId="77777777">
            <w:r w:rsidRPr="00E25790">
              <w:t>Anaphylaxis following a previous dose of rotavirus vaccine.</w:t>
            </w:r>
            <w:r w:rsidRPr="00E25790">
              <w:br/>
            </w:r>
            <w:r w:rsidRPr="00E25790">
              <w:t>Anaphylaxis following any vaccine component.</w:t>
            </w:r>
            <w:r w:rsidRPr="00E25790">
              <w:br/>
            </w:r>
            <w:r w:rsidRPr="00E25790">
              <w:t>Previous history of intussusception or a congenital abnormality that may predispose to intussusception. Fatal intussusception after the second dose has been reported in infants with a history of intussusception after the first dose.</w:t>
            </w:r>
          </w:p>
          <w:p w:rsidRPr="00E25790" w:rsidR="006B444C" w:rsidP="006F0321" w:rsidRDefault="006B444C" w14:paraId="23F9CE27" w14:textId="77777777">
            <w:r w:rsidRPr="00E25790">
              <w:t xml:space="preserve">Severe Immunocompromise. </w:t>
            </w:r>
            <w:r w:rsidRPr="00E25790">
              <w:br/>
            </w:r>
            <w:r w:rsidRPr="00E25790">
              <w:t>Severe Combined Immunodeficiency (SCID).</w:t>
            </w:r>
            <w:r w:rsidRPr="00E25790">
              <w:br/>
            </w:r>
            <w:r w:rsidRPr="00E25790">
              <w:t xml:space="preserve">Do not administer to (i) infants older than 24 weeks of age as safety has not been demonstrated, particularly in relation to risk of intussusception, (ii) infants with malformation of the gastrointestinal tract that could predispose them to intussusception, (iii) hereditary </w:t>
            </w:r>
            <w:r w:rsidRPr="00E25790">
              <w:lastRenderedPageBreak/>
              <w:t>fructose intolerance, glucose/galactose malabsorption or sucrase-isomaltase insufficiency.</w:t>
            </w:r>
          </w:p>
          <w:p w:rsidRPr="00E25790" w:rsidR="006B444C" w:rsidP="006F0321" w:rsidRDefault="006B444C" w14:paraId="4166762D" w14:textId="77777777">
            <w:pPr>
              <w:rPr>
                <w:rFonts w:cs="Arial"/>
              </w:rPr>
            </w:pPr>
            <w:r w:rsidRPr="00E25790">
              <w:t>If infant is &gt; 14 weeks and inadvertently receives 1st dose of rotavirus vaccine, reassure parents and discuss minimally increased risk of intussusception. Provide information on symptoms/signs of intussusception. If infant is &lt; 25 weeks (upper limit for dose 2 of rotavirus vaccine), and minimum interval of 4 weeks between vaccine doses can be achieved, give a second dose of rotavirus vaccine</w:t>
            </w:r>
          </w:p>
        </w:tc>
      </w:tr>
      <w:tr w:rsidRPr="00E25790" w:rsidR="00043BF0" w:rsidTr="008D48AE" w14:paraId="65BF2FDF" w14:textId="77777777">
        <w:trPr>
          <w:trHeight w:val="627"/>
        </w:trPr>
        <w:tc>
          <w:tcPr>
            <w:tcW w:w="2382" w:type="dxa"/>
          </w:tcPr>
          <w:p w:rsidRPr="00E25790" w:rsidR="006B444C" w:rsidP="006F0321" w:rsidRDefault="006B444C" w14:paraId="5FC65E77" w14:textId="77777777">
            <w:r w:rsidRPr="00E25790">
              <w:lastRenderedPageBreak/>
              <w:t>Precautions</w:t>
            </w:r>
          </w:p>
        </w:tc>
        <w:tc>
          <w:tcPr>
            <w:tcW w:w="7257" w:type="dxa"/>
            <w:gridSpan w:val="2"/>
          </w:tcPr>
          <w:p w:rsidRPr="00E25790" w:rsidR="006B444C" w:rsidP="006F0321" w:rsidRDefault="006B444C" w14:paraId="5822E361" w14:textId="77777777">
            <w:r w:rsidRPr="00E25790">
              <w:t>Use with caution in infants with underlying conditions predisposing to severe rotavirus gastroenteritis (including metabolic disorders or chronic gastrointestinal disease e.g., Hirschsprung's disease, malabsorption syndromes or short gut syndrome).</w:t>
            </w:r>
            <w:r w:rsidRPr="00E25790">
              <w:br/>
            </w:r>
            <w:r w:rsidRPr="00E25790">
              <w:t>Severe acute gastroenteritis (e.g. necrotising enterocolitis)</w:t>
            </w:r>
          </w:p>
          <w:p w:rsidRPr="00E25790" w:rsidR="006B444C" w:rsidP="006F0321" w:rsidRDefault="006B444C" w14:paraId="4D79EC82" w14:textId="77777777">
            <w:r w:rsidRPr="00E25790">
              <w:t>Significant acute illness or temperature greater than 38°C (postpone vaccine until neonatologist approves).</w:t>
            </w:r>
            <w:r w:rsidRPr="00E25790">
              <w:br/>
            </w:r>
            <w:r w:rsidRPr="00E25790">
              <w:t>Use with caution in immunosuppressed infants (the theoretical risk for vaccine virus-associated disease is considered likely to be less than their risk from being exposed to disease from natural infection).</w:t>
            </w:r>
            <w:r w:rsidRPr="00E25790">
              <w:br/>
            </w:r>
            <w:r w:rsidRPr="00E25790">
              <w:t>Infants with a moderate to severe illness should be vaccinated after recovery. In addition to the factors mentioned above, this avoids superimposing potential adverse events related to vaccination on any concurrent illness.</w:t>
            </w:r>
            <w:r w:rsidRPr="00E25790">
              <w:br/>
            </w:r>
            <w:r w:rsidRPr="00E25790">
              <w:t>Minor infections, without fever or systemic upset, are not reasons to postpone vaccination.</w:t>
            </w:r>
          </w:p>
          <w:p w:rsidRPr="00E25790" w:rsidR="006B444C" w:rsidP="006F0321" w:rsidRDefault="006B444C" w14:paraId="5973231F" w14:textId="77777777">
            <w:r w:rsidRPr="00E25790">
              <w:t>Fever secondary to environmental factors is not a reason to postpone vaccination.</w:t>
            </w:r>
          </w:p>
          <w:p w:rsidRPr="00E25790" w:rsidR="006B444C" w:rsidP="006F0321" w:rsidRDefault="006B444C" w14:paraId="31174BAE" w14:textId="77777777">
            <w:r w:rsidRPr="00E25790">
              <w:t>Viral shedding in stools, particularly after the first dose, could pose a risk of transmission of virus to immunocompromised close contacts. Good hygiene practices and contact precautions MUST be observed at ALL times (i.e. washing hands regularly, especially after changing nappies).</w:t>
            </w:r>
          </w:p>
        </w:tc>
      </w:tr>
      <w:tr w:rsidRPr="00E25790" w:rsidR="00043BF0" w:rsidTr="008D48AE" w14:paraId="403E3A32" w14:textId="77777777">
        <w:trPr>
          <w:trHeight w:val="627"/>
        </w:trPr>
        <w:tc>
          <w:tcPr>
            <w:tcW w:w="2382" w:type="dxa"/>
          </w:tcPr>
          <w:p w:rsidRPr="00E25790" w:rsidR="006B444C" w:rsidP="006F0321" w:rsidRDefault="006B444C" w14:paraId="729C59CC" w14:textId="77777777">
            <w:r w:rsidRPr="00E25790">
              <w:t>Drug interactions</w:t>
            </w:r>
          </w:p>
        </w:tc>
        <w:tc>
          <w:tcPr>
            <w:tcW w:w="7257" w:type="dxa"/>
            <w:gridSpan w:val="2"/>
          </w:tcPr>
          <w:p w:rsidRPr="00E25790" w:rsidR="006B444C" w:rsidP="006F0321" w:rsidRDefault="006B444C" w14:paraId="732DD480" w14:textId="77777777">
            <w:r w:rsidRPr="00E25790">
              <w:t xml:space="preserve">Co-administration studies have demonstrated that rotavirus vaccine can be given concomitantly with any of the following vaccines: Diphtheria tetanus acellular pertussis vaccine (DTPa), </w:t>
            </w:r>
            <w:r w:rsidRPr="00E25790">
              <w:rPr>
                <w:i/>
              </w:rPr>
              <w:t>Haemophilus influenzae</w:t>
            </w:r>
            <w:r w:rsidRPr="00E25790">
              <w:t xml:space="preserve"> type b vaccine (Hib), inactivated polio vaccine (IPV), hepatitis B vaccine (HBV), hexavalent vaccines DTPa-HBV-IPV/Hib, pneumococcal conjugate vaccine and meningococcal serogroup C conjugate vaccine. The studies demonstrated that the immune responses and the safety profiles of the administered vaccines were unaffected.</w:t>
            </w:r>
            <w:r w:rsidRPr="00E25790">
              <w:rPr>
                <w:vertAlign w:val="superscript"/>
              </w:rPr>
              <w:t>1</w:t>
            </w:r>
          </w:p>
        </w:tc>
      </w:tr>
      <w:tr w:rsidRPr="00E25790" w:rsidR="00043BF0" w:rsidTr="008D48AE" w14:paraId="7D180FA8" w14:textId="77777777">
        <w:trPr>
          <w:trHeight w:val="426"/>
        </w:trPr>
        <w:tc>
          <w:tcPr>
            <w:tcW w:w="2382" w:type="dxa"/>
          </w:tcPr>
          <w:p w:rsidRPr="00E25790" w:rsidR="006B444C" w:rsidP="006F0321" w:rsidRDefault="006B444C" w14:paraId="2E4B6835" w14:textId="77777777">
            <w:r w:rsidRPr="00E25790">
              <w:t xml:space="preserve">Adverse Reactions    </w:t>
            </w:r>
          </w:p>
          <w:p w:rsidRPr="00E25790" w:rsidR="006B444C" w:rsidP="006F0321" w:rsidRDefault="006B444C" w14:paraId="1DE97D24" w14:textId="77777777"/>
        </w:tc>
        <w:tc>
          <w:tcPr>
            <w:tcW w:w="7257" w:type="dxa"/>
            <w:gridSpan w:val="2"/>
          </w:tcPr>
          <w:p w:rsidRPr="00E25790" w:rsidR="006B444C" w:rsidP="006F0321" w:rsidRDefault="006B444C" w14:paraId="21729749" w14:textId="77777777">
            <w:r w:rsidRPr="00E25790">
              <w:t>Diarrhoea and vomiting.</w:t>
            </w:r>
            <w:r w:rsidRPr="00E25790">
              <w:br/>
            </w:r>
            <w:r w:rsidRPr="00E25790">
              <w:br/>
            </w:r>
            <w:r w:rsidRPr="00E25790">
              <w:t>Intussusception—inform parents of the rare risk of intussusception and how to be alert for signs and symptoms.</w:t>
            </w:r>
          </w:p>
          <w:p w:rsidRPr="00E25790" w:rsidR="006B444C" w:rsidP="006F0321" w:rsidRDefault="006B444C" w14:paraId="442290C1" w14:textId="77777777">
            <w:r w:rsidRPr="00E25790">
              <w:t xml:space="preserve">Any suspected vaccine related adverse reactions should be reported to Therapeutic Goods Authority (more info: </w:t>
            </w:r>
            <w:r w:rsidRPr="00E25790">
              <w:lastRenderedPageBreak/>
              <w:t>https://www.tga.gov.au/form/national-adverse-events-following-immunisation-aefi-reporting-form)</w:t>
            </w:r>
          </w:p>
        </w:tc>
      </w:tr>
      <w:tr w:rsidRPr="00E25790" w:rsidR="00043BF0" w:rsidTr="008D48AE" w14:paraId="0BE3B814" w14:textId="77777777">
        <w:trPr>
          <w:trHeight w:val="70"/>
        </w:trPr>
        <w:tc>
          <w:tcPr>
            <w:tcW w:w="2382" w:type="dxa"/>
          </w:tcPr>
          <w:p w:rsidRPr="00E25790" w:rsidR="006B444C" w:rsidP="006F0321" w:rsidRDefault="006B444C" w14:paraId="1F1D8E2E" w14:textId="77777777">
            <w:r w:rsidRPr="00E25790">
              <w:lastRenderedPageBreak/>
              <w:t>Compatibility</w:t>
            </w:r>
          </w:p>
        </w:tc>
        <w:tc>
          <w:tcPr>
            <w:tcW w:w="7257" w:type="dxa"/>
            <w:gridSpan w:val="2"/>
          </w:tcPr>
          <w:p w:rsidRPr="00E25790" w:rsidR="006B444C" w:rsidP="006F0321" w:rsidRDefault="006B444C" w14:paraId="4BE42EC9" w14:textId="77777777">
            <w:r w:rsidRPr="00E25790">
              <w:t>Other vaccines can be given concomitantly.</w:t>
            </w:r>
          </w:p>
        </w:tc>
      </w:tr>
      <w:tr w:rsidRPr="00E25790" w:rsidR="00043BF0" w:rsidTr="008D48AE" w14:paraId="773A0ED6" w14:textId="77777777">
        <w:trPr>
          <w:trHeight w:val="70"/>
        </w:trPr>
        <w:tc>
          <w:tcPr>
            <w:tcW w:w="2382" w:type="dxa"/>
          </w:tcPr>
          <w:p w:rsidRPr="00E25790" w:rsidR="006B444C" w:rsidP="006F0321" w:rsidRDefault="006B444C" w14:paraId="3A198FB0" w14:textId="77777777">
            <w:r w:rsidRPr="00E25790">
              <w:t>Incompatibility</w:t>
            </w:r>
          </w:p>
        </w:tc>
        <w:tc>
          <w:tcPr>
            <w:tcW w:w="7257" w:type="dxa"/>
            <w:gridSpan w:val="2"/>
          </w:tcPr>
          <w:p w:rsidRPr="00E25790" w:rsidR="006B444C" w:rsidP="006F0321" w:rsidRDefault="006B444C" w14:paraId="01AA242A" w14:textId="77777777">
            <w:r w:rsidRPr="00E25790">
              <w:t>No information.</w:t>
            </w:r>
          </w:p>
        </w:tc>
      </w:tr>
      <w:tr w:rsidRPr="00E25790" w:rsidR="00043BF0" w:rsidTr="008D48AE" w14:paraId="2020DAD0" w14:textId="77777777">
        <w:trPr>
          <w:trHeight w:val="70"/>
        </w:trPr>
        <w:tc>
          <w:tcPr>
            <w:tcW w:w="2382" w:type="dxa"/>
          </w:tcPr>
          <w:p w:rsidRPr="00E25790" w:rsidR="006B444C" w:rsidP="006F0321" w:rsidRDefault="006B444C" w14:paraId="09580EB3" w14:textId="77777777">
            <w:r w:rsidRPr="00E25790">
              <w:t xml:space="preserve">Storage             </w:t>
            </w:r>
          </w:p>
        </w:tc>
        <w:tc>
          <w:tcPr>
            <w:tcW w:w="7257" w:type="dxa"/>
            <w:gridSpan w:val="2"/>
          </w:tcPr>
          <w:p w:rsidRPr="00E25790" w:rsidR="006B444C" w:rsidP="006F0321" w:rsidRDefault="006B444C" w14:paraId="123897B6" w14:textId="77777777">
            <w:pPr>
              <w:rPr>
                <w:rFonts w:cs="Arial"/>
              </w:rPr>
            </w:pPr>
            <w:r w:rsidRPr="00E25790">
              <w:t>Store between 2 and 8°C. Do NOT freeze as this reduces potency. Storage above or below the recommended temperature may decrease potency.</w:t>
            </w:r>
          </w:p>
        </w:tc>
      </w:tr>
      <w:tr w:rsidRPr="00E25790" w:rsidR="00043BF0" w:rsidTr="008D48AE" w14:paraId="07EE2367" w14:textId="77777777">
        <w:trPr>
          <w:trHeight w:val="110"/>
        </w:trPr>
        <w:tc>
          <w:tcPr>
            <w:tcW w:w="2382" w:type="dxa"/>
          </w:tcPr>
          <w:p w:rsidRPr="00E25790" w:rsidR="006B444C" w:rsidP="006F0321" w:rsidRDefault="006B444C" w14:paraId="27773229" w14:textId="77777777">
            <w:r w:rsidRPr="00E25790">
              <w:t xml:space="preserve">Special Comments       </w:t>
            </w:r>
          </w:p>
        </w:tc>
        <w:tc>
          <w:tcPr>
            <w:tcW w:w="7257" w:type="dxa"/>
            <w:gridSpan w:val="2"/>
          </w:tcPr>
          <w:p w:rsidRPr="00254485" w:rsidR="006B444C" w:rsidP="006F0321" w:rsidRDefault="006B444C" w14:paraId="22CC0525" w14:textId="77777777">
            <w:pPr>
              <w:rPr>
                <w:rFonts w:cs="Arial"/>
                <w:sz w:val="16"/>
                <w:szCs w:val="16"/>
              </w:rPr>
            </w:pPr>
            <w:r w:rsidRPr="00254485">
              <w:rPr>
                <w:sz w:val="16"/>
                <w:szCs w:val="16"/>
              </w:rPr>
              <w:t>RotaTeq and interchangeability of vaccine: As of July 2017, RotaTeq (pentavalent human-bovine reassortant rotavirus vaccine) is not used in Australia, but it is available globally. RotaTeq is given as a 3-dose course. Upper age limit for RotaTeq is prior to 33 weeks of age. An infant might have received 1 or 2 doses of RotaTeq overseas prior to arrival in Australia. Where possible the completion of the course of rotavirus vaccine should be with the same vaccine from the same manufacturer. If either dose 1 or dose 2 of the rotavirus vaccine is given as RotaTeq (pentavalent human-bovine reassortant rotavirus vaccine) a third dose of either rotavirus vaccine should be given, provided the upper age limit and inter-vaccine interval are observed.</w:t>
            </w:r>
          </w:p>
        </w:tc>
      </w:tr>
      <w:tr w:rsidRPr="00E25790" w:rsidR="00043BF0" w:rsidTr="008D48AE" w14:paraId="63B76F13" w14:textId="77777777">
        <w:trPr>
          <w:trHeight w:val="390"/>
        </w:trPr>
        <w:tc>
          <w:tcPr>
            <w:tcW w:w="2382" w:type="dxa"/>
          </w:tcPr>
          <w:p w:rsidRPr="00E25790" w:rsidR="006B444C" w:rsidP="006F0321" w:rsidRDefault="006B444C" w14:paraId="55D0DA6B" w14:textId="77777777">
            <w:r w:rsidRPr="00E25790">
              <w:t>Evidence summary</w:t>
            </w:r>
          </w:p>
        </w:tc>
        <w:tc>
          <w:tcPr>
            <w:tcW w:w="7257" w:type="dxa"/>
            <w:gridSpan w:val="2"/>
          </w:tcPr>
          <w:p w:rsidRPr="00254485" w:rsidR="006B444C" w:rsidP="006F0321" w:rsidRDefault="006B444C" w14:paraId="485816F5" w14:textId="77777777">
            <w:pPr>
              <w:rPr>
                <w:sz w:val="16"/>
                <w:szCs w:val="16"/>
              </w:rPr>
            </w:pPr>
            <w:r w:rsidRPr="00254485">
              <w:rPr>
                <w:sz w:val="16"/>
                <w:szCs w:val="16"/>
              </w:rPr>
              <w:t>Both rotavirus vaccines have similar efficacy (around 70%) against rotavirus gastroenteritis. The efficacy against severe rotavirus gastroenteritis is higher and ranged from 85% to 100% in clinical trials in many different countries.</w:t>
            </w:r>
            <w:r w:rsidRPr="00254485">
              <w:rPr>
                <w:sz w:val="16"/>
                <w:szCs w:val="16"/>
                <w:vertAlign w:val="superscript"/>
              </w:rPr>
              <w:t>1</w:t>
            </w:r>
            <w:r w:rsidRPr="00254485">
              <w:rPr>
                <w:sz w:val="16"/>
                <w:szCs w:val="16"/>
              </w:rPr>
              <w:t xml:space="preserve"> </w:t>
            </w:r>
          </w:p>
          <w:p w:rsidRPr="00254485" w:rsidR="006B444C" w:rsidP="006F0321" w:rsidRDefault="006B444C" w14:paraId="767597E8" w14:textId="77777777">
            <w:pPr>
              <w:rPr>
                <w:sz w:val="16"/>
                <w:szCs w:val="16"/>
              </w:rPr>
            </w:pPr>
          </w:p>
          <w:p w:rsidRPr="00254485" w:rsidR="006B444C" w:rsidP="006F0321" w:rsidRDefault="006B444C" w14:paraId="1851967F" w14:textId="77777777">
            <w:pPr>
              <w:rPr>
                <w:sz w:val="16"/>
                <w:szCs w:val="16"/>
              </w:rPr>
            </w:pPr>
            <w:r w:rsidRPr="00254485">
              <w:rPr>
                <w:sz w:val="16"/>
                <w:szCs w:val="16"/>
              </w:rPr>
              <w:t>Preterm infants: Rotavirus vaccine appears safe and equally immunogenic in preterm infants compared to term infants. Vaccine is administered at a chronologic age (without correction for prematurity) similar to term infants, if the infant is clinically stable.</w:t>
            </w:r>
            <w:r w:rsidRPr="00254485">
              <w:rPr>
                <w:sz w:val="16"/>
                <w:szCs w:val="16"/>
                <w:vertAlign w:val="superscript"/>
              </w:rPr>
              <w:t>1-3</w:t>
            </w:r>
            <w:r w:rsidRPr="00254485">
              <w:rPr>
                <w:sz w:val="16"/>
                <w:szCs w:val="16"/>
              </w:rPr>
              <w:t xml:space="preserve"> </w:t>
            </w:r>
          </w:p>
          <w:p w:rsidRPr="00254485" w:rsidR="006B444C" w:rsidP="006F0321" w:rsidRDefault="006B444C" w14:paraId="0D073951" w14:textId="77777777">
            <w:pPr>
              <w:rPr>
                <w:sz w:val="16"/>
                <w:szCs w:val="16"/>
              </w:rPr>
            </w:pPr>
          </w:p>
          <w:p w:rsidRPr="00254485" w:rsidR="006B444C" w:rsidP="006F0321" w:rsidRDefault="006B444C" w14:paraId="692E8E39" w14:textId="77777777">
            <w:pPr>
              <w:rPr>
                <w:sz w:val="16"/>
                <w:szCs w:val="16"/>
              </w:rPr>
            </w:pPr>
            <w:r w:rsidRPr="00254485">
              <w:rPr>
                <w:sz w:val="16"/>
                <w:szCs w:val="16"/>
              </w:rPr>
              <w:t>Hospitalised infants: If standard infection control precautions are maintained, administration of rotavirus vaccine to hospitalised infants, including hospitalised preterm infants, would be expected to carry a low risk for transmission of vaccine viruses. Furthermore, the rotavirus vaccine is highly attenuated and does not revert to a high virulence strain. Provided that the infant is medically stable, vaccination should not be delayed, particularly if the delay would result in an infant being beyond the upper age limit for vaccination. If a recently vaccinated infant is hospitalised for any reason, no precautions other than routine standard precautions need be taken to prevent the spread of vaccine virus in the hospital setting.</w:t>
            </w:r>
            <w:r w:rsidRPr="00254485">
              <w:rPr>
                <w:sz w:val="16"/>
                <w:szCs w:val="16"/>
                <w:vertAlign w:val="superscript"/>
              </w:rPr>
              <w:t>1,2</w:t>
            </w:r>
          </w:p>
          <w:p w:rsidRPr="00254485" w:rsidR="006B444C" w:rsidP="006F0321" w:rsidRDefault="006B444C" w14:paraId="3A130A95" w14:textId="77777777">
            <w:pPr>
              <w:rPr>
                <w:sz w:val="16"/>
                <w:szCs w:val="16"/>
              </w:rPr>
            </w:pPr>
          </w:p>
          <w:p w:rsidRPr="00254485" w:rsidR="006B444C" w:rsidP="006F0321" w:rsidRDefault="006B444C" w14:paraId="0789C2DC" w14:textId="77777777">
            <w:pPr>
              <w:rPr>
                <w:sz w:val="16"/>
                <w:szCs w:val="16"/>
              </w:rPr>
            </w:pPr>
            <w:r w:rsidRPr="00254485">
              <w:rPr>
                <w:sz w:val="16"/>
                <w:szCs w:val="16"/>
              </w:rPr>
              <w:t>Vaccine recipients may have a 1–3% higher risk of developing diarrhoea or vomiting in the week after vaccine administration. The incidence of fever, irritability and other adverse events was similar in both vaccine and placebo recipients in clinical trials.</w:t>
            </w:r>
            <w:r w:rsidRPr="00254485">
              <w:rPr>
                <w:sz w:val="16"/>
                <w:szCs w:val="16"/>
                <w:vertAlign w:val="superscript"/>
              </w:rPr>
              <w:t>1</w:t>
            </w:r>
            <w:r w:rsidRPr="00254485">
              <w:rPr>
                <w:sz w:val="16"/>
                <w:szCs w:val="16"/>
              </w:rPr>
              <w:t xml:space="preserve"> </w:t>
            </w:r>
          </w:p>
          <w:p w:rsidRPr="00254485" w:rsidR="006B444C" w:rsidP="006F0321" w:rsidRDefault="006B444C" w14:paraId="4B052566" w14:textId="77777777">
            <w:pPr>
              <w:rPr>
                <w:sz w:val="16"/>
                <w:szCs w:val="16"/>
              </w:rPr>
            </w:pPr>
          </w:p>
          <w:p w:rsidRPr="00254485" w:rsidR="006B444C" w:rsidP="006F0321" w:rsidRDefault="006B444C" w14:paraId="1F788BBB" w14:textId="77777777">
            <w:pPr>
              <w:rPr>
                <w:sz w:val="16"/>
                <w:szCs w:val="16"/>
              </w:rPr>
            </w:pPr>
            <w:r w:rsidRPr="00254485">
              <w:rPr>
                <w:sz w:val="16"/>
                <w:szCs w:val="16"/>
              </w:rPr>
              <w:t>Vomiting and diarrhoea have not been noted as important adverse events in post-marketing surveillance of rotavirus vaccines.</w:t>
            </w:r>
            <w:r w:rsidRPr="00254485">
              <w:rPr>
                <w:sz w:val="16"/>
                <w:szCs w:val="16"/>
              </w:rPr>
              <w:br/>
            </w:r>
          </w:p>
          <w:p w:rsidRPr="00254485" w:rsidR="006B444C" w:rsidP="006F0321" w:rsidRDefault="006B444C" w14:paraId="6E9537F5" w14:textId="77777777">
            <w:pPr>
              <w:rPr>
                <w:sz w:val="16"/>
                <w:szCs w:val="16"/>
              </w:rPr>
            </w:pPr>
            <w:r w:rsidRPr="00254485">
              <w:rPr>
                <w:sz w:val="16"/>
                <w:szCs w:val="16"/>
              </w:rPr>
              <w:t>The increased risk of intussusception after rotavirus vaccination is estimated at approximately 6 additional cases of intussusception among every 100,000 infants vaccinated, or 14 additional cases per year in Australia. The overall benefits of preventing gastroenteritis from rotavirus are much greater than the small risk of intussusception.</w:t>
            </w:r>
            <w:r w:rsidRPr="00254485">
              <w:rPr>
                <w:sz w:val="16"/>
                <w:szCs w:val="16"/>
                <w:vertAlign w:val="superscript"/>
              </w:rPr>
              <w:t>1</w:t>
            </w:r>
          </w:p>
          <w:p w:rsidRPr="00254485" w:rsidR="006B444C" w:rsidP="006F0321" w:rsidRDefault="006B444C" w14:paraId="6D90A697" w14:textId="77777777">
            <w:pPr>
              <w:rPr>
                <w:sz w:val="16"/>
                <w:szCs w:val="16"/>
              </w:rPr>
            </w:pPr>
          </w:p>
          <w:p w:rsidRPr="00254485" w:rsidR="006B444C" w:rsidP="006F0321" w:rsidRDefault="006B444C" w14:paraId="6153E0F8" w14:textId="77777777">
            <w:pPr>
              <w:rPr>
                <w:sz w:val="16"/>
                <w:szCs w:val="16"/>
              </w:rPr>
            </w:pPr>
            <w:r w:rsidRPr="00254485">
              <w:rPr>
                <w:sz w:val="16"/>
                <w:szCs w:val="16"/>
              </w:rPr>
              <w:t>Fatal intussusception after the second dose has been reported in infants with a history of intussusception after the first dose.</w:t>
            </w:r>
            <w:r w:rsidRPr="00254485">
              <w:rPr>
                <w:sz w:val="16"/>
                <w:szCs w:val="16"/>
                <w:vertAlign w:val="superscript"/>
              </w:rPr>
              <w:t>1</w:t>
            </w:r>
            <w:r w:rsidRPr="00254485">
              <w:rPr>
                <w:sz w:val="16"/>
                <w:szCs w:val="16"/>
              </w:rPr>
              <w:br/>
            </w:r>
          </w:p>
          <w:p w:rsidRPr="00254485" w:rsidR="006B444C" w:rsidP="006F0321" w:rsidRDefault="006B444C" w14:paraId="69EA7C82" w14:textId="77777777">
            <w:pPr>
              <w:rPr>
                <w:rFonts w:cs="Arial"/>
                <w:sz w:val="16"/>
                <w:szCs w:val="16"/>
              </w:rPr>
            </w:pPr>
            <w:r w:rsidRPr="00254485">
              <w:rPr>
                <w:sz w:val="16"/>
                <w:szCs w:val="16"/>
              </w:rPr>
              <w:t>Case reports indicate prolonged vaccine virus-associated gastrointestinal disease after rotavirus vaccination in infants with Severe Combined Immunodeficiency (SCID). As these infants are unlikely to generate a protective immune response to the vaccine and because of the potential harm, rotavirus vaccines are contraindicated for infants with SCID.</w:t>
            </w:r>
            <w:r w:rsidRPr="00254485">
              <w:rPr>
                <w:sz w:val="16"/>
                <w:szCs w:val="16"/>
                <w:vertAlign w:val="superscript"/>
              </w:rPr>
              <w:t>1</w:t>
            </w:r>
          </w:p>
        </w:tc>
      </w:tr>
      <w:tr w:rsidRPr="00E25790" w:rsidR="00043BF0" w:rsidTr="008D48AE" w14:paraId="06AA2D40" w14:textId="77777777">
        <w:trPr>
          <w:trHeight w:val="551"/>
        </w:trPr>
        <w:tc>
          <w:tcPr>
            <w:tcW w:w="2382" w:type="dxa"/>
          </w:tcPr>
          <w:p w:rsidRPr="00E25790" w:rsidR="006B444C" w:rsidP="006F0321" w:rsidRDefault="006B444C" w14:paraId="0F2D22AB" w14:textId="77777777">
            <w:pPr>
              <w:rPr>
                <w:rFonts w:cs="Arial"/>
                <w:bCs/>
              </w:rPr>
            </w:pPr>
            <w:r w:rsidRPr="00E25790">
              <w:t>References</w:t>
            </w:r>
          </w:p>
        </w:tc>
        <w:tc>
          <w:tcPr>
            <w:tcW w:w="7257" w:type="dxa"/>
            <w:gridSpan w:val="2"/>
          </w:tcPr>
          <w:p w:rsidRPr="00254485" w:rsidR="006B444C" w:rsidP="006F0321" w:rsidRDefault="006B444C" w14:paraId="5197A9C6" w14:textId="77777777">
            <w:pPr>
              <w:rPr>
                <w:sz w:val="16"/>
                <w:szCs w:val="16"/>
                <w:lang w:val="en-AU"/>
              </w:rPr>
            </w:pPr>
            <w:r w:rsidRPr="00254485">
              <w:rPr>
                <w:sz w:val="16"/>
                <w:szCs w:val="16"/>
                <w:lang w:val="en-AU"/>
              </w:rPr>
              <w:t>1. The Australian Immunisation Handbook. 10th Edition. Rotavirus. Updated 1 August 2017. www.immunise.health.gov.au accessed 09 January 2018.</w:t>
            </w:r>
          </w:p>
          <w:p w:rsidRPr="00254485" w:rsidR="006B444C" w:rsidP="006F0321" w:rsidRDefault="006B444C" w14:paraId="4258FEDA" w14:textId="77777777">
            <w:pPr>
              <w:rPr>
                <w:sz w:val="16"/>
                <w:szCs w:val="16"/>
                <w:lang w:val="en-AU"/>
              </w:rPr>
            </w:pPr>
            <w:r w:rsidRPr="00254485">
              <w:rPr>
                <w:sz w:val="16"/>
                <w:szCs w:val="16"/>
                <w:lang w:val="en-AU"/>
              </w:rPr>
              <w:t xml:space="preserve">2. Greenbook. United Kingdom Immunisation schedule. Immunisation against infectious disease. Update. Rotavirus. Chapter 27b. Accessed on 25 January 2018. </w:t>
            </w:r>
          </w:p>
          <w:p w:rsidRPr="00F45A7B" w:rsidR="006B444C" w:rsidP="006F0321" w:rsidRDefault="006B444C" w14:paraId="6B35B694" w14:textId="77777777">
            <w:pPr>
              <w:rPr>
                <w:lang w:val="en-AU"/>
              </w:rPr>
            </w:pPr>
            <w:r w:rsidRPr="00254485">
              <w:rPr>
                <w:sz w:val="16"/>
                <w:szCs w:val="16"/>
                <w:lang w:val="en-AU"/>
              </w:rPr>
              <w:t>3. Armstrong C. AAP updates on guidelines on rotavirus vaccination. Am Fam Physician 2010;81(4):552-553.</w:t>
            </w:r>
            <w:r w:rsidRPr="00F45A7B">
              <w:rPr>
                <w:lang w:val="en-AU"/>
              </w:rPr>
              <w:t xml:space="preserve"> </w:t>
            </w:r>
          </w:p>
        </w:tc>
      </w:tr>
      <w:tr w:rsidRPr="00E25790" w:rsidR="0020431B" w:rsidTr="008D48AE" w14:paraId="66506E33" w14:textId="77777777">
        <w:tc>
          <w:tcPr>
            <w:tcW w:w="4796" w:type="dxa"/>
            <w:gridSpan w:val="2"/>
            <w:vAlign w:val="center"/>
          </w:tcPr>
          <w:p w:rsidRPr="00E25790" w:rsidR="006B444C" w:rsidP="006F0321" w:rsidRDefault="006B444C" w14:paraId="4996AFDD" w14:textId="77777777">
            <w:pPr>
              <w:rPr>
                <w:lang w:val="en-AU"/>
              </w:rPr>
            </w:pPr>
            <w:r w:rsidRPr="00E25790">
              <w:rPr>
                <w:lang w:val="en-AU"/>
              </w:rPr>
              <w:t>Original version Date: 05/12/2015</w:t>
            </w:r>
          </w:p>
        </w:tc>
        <w:tc>
          <w:tcPr>
            <w:tcW w:w="4843" w:type="dxa"/>
            <w:vAlign w:val="center"/>
          </w:tcPr>
          <w:p w:rsidRPr="00E25790" w:rsidR="006B444C" w:rsidP="006F0321" w:rsidRDefault="006B444C" w14:paraId="34E5934B" w14:textId="77777777">
            <w:pPr>
              <w:rPr>
                <w:lang w:val="en-AU"/>
              </w:rPr>
            </w:pPr>
            <w:r w:rsidRPr="00E25790">
              <w:rPr>
                <w:lang w:val="en-AU"/>
              </w:rPr>
              <w:t>Author: NMF Consensus Group</w:t>
            </w:r>
          </w:p>
        </w:tc>
      </w:tr>
      <w:tr w:rsidRPr="00E25790" w:rsidR="0020431B" w:rsidTr="008D48AE" w14:paraId="7130770A" w14:textId="77777777">
        <w:tc>
          <w:tcPr>
            <w:tcW w:w="4796" w:type="dxa"/>
            <w:gridSpan w:val="2"/>
            <w:vAlign w:val="center"/>
          </w:tcPr>
          <w:p w:rsidRPr="00E25790" w:rsidR="006B444C" w:rsidP="006F0321" w:rsidRDefault="006B444C" w14:paraId="36A07F15" w14:textId="77777777">
            <w:pPr>
              <w:rPr>
                <w:bCs/>
                <w:lang w:val="en-AU"/>
              </w:rPr>
            </w:pPr>
            <w:r w:rsidRPr="00E25790">
              <w:rPr>
                <w:lang w:val="en-AU"/>
              </w:rPr>
              <w:t>Current Version number:  2.1</w:t>
            </w:r>
          </w:p>
        </w:tc>
        <w:tc>
          <w:tcPr>
            <w:tcW w:w="4843" w:type="dxa"/>
            <w:vAlign w:val="center"/>
          </w:tcPr>
          <w:p w:rsidRPr="00E25790" w:rsidR="006B444C" w:rsidP="006F0321" w:rsidRDefault="006B444C" w14:paraId="46381954" w14:textId="77777777">
            <w:pPr>
              <w:rPr>
                <w:lang w:val="en-AU"/>
              </w:rPr>
            </w:pPr>
            <w:r w:rsidRPr="00E25790">
              <w:rPr>
                <w:lang w:val="en-AU"/>
              </w:rPr>
              <w:t>Version Date:  24/09/2019</w:t>
            </w:r>
          </w:p>
        </w:tc>
      </w:tr>
      <w:tr w:rsidRPr="00E25790" w:rsidR="0020431B" w:rsidTr="008D48AE" w14:paraId="2C62F799" w14:textId="77777777">
        <w:tc>
          <w:tcPr>
            <w:tcW w:w="4796" w:type="dxa"/>
            <w:gridSpan w:val="2"/>
            <w:vAlign w:val="center"/>
          </w:tcPr>
          <w:p w:rsidRPr="00E25790" w:rsidR="006B444C" w:rsidP="006F0321" w:rsidRDefault="006B444C" w14:paraId="6B53BE6E" w14:textId="1197EAB1">
            <w:pPr>
              <w:rPr>
                <w:lang w:val="en-AU"/>
              </w:rPr>
            </w:pPr>
            <w:r w:rsidRPr="00E25790">
              <w:rPr>
                <w:lang w:val="en-AU"/>
              </w:rPr>
              <w:t xml:space="preserve">Risk Rating: </w:t>
            </w:r>
            <w:r w:rsidR="00254485">
              <w:rPr>
                <w:lang w:val="en-AU"/>
              </w:rPr>
              <w:t>Medium</w:t>
            </w:r>
          </w:p>
        </w:tc>
        <w:tc>
          <w:tcPr>
            <w:tcW w:w="4843" w:type="dxa"/>
            <w:vAlign w:val="center"/>
          </w:tcPr>
          <w:p w:rsidRPr="00E25790" w:rsidR="006B444C" w:rsidP="006F0321" w:rsidRDefault="006B444C" w14:paraId="06BD6F49" w14:textId="77777777">
            <w:pPr>
              <w:rPr>
                <w:lang w:val="en-AU"/>
              </w:rPr>
            </w:pPr>
            <w:r w:rsidRPr="00E25790">
              <w:rPr>
                <w:lang w:val="en-AU"/>
              </w:rPr>
              <w:t>Due for Review:  24/09/2022</w:t>
            </w:r>
          </w:p>
        </w:tc>
      </w:tr>
      <w:tr w:rsidRPr="00E25790" w:rsidR="0020431B" w:rsidTr="008D48AE" w14:paraId="27A2C848" w14:textId="77777777">
        <w:trPr>
          <w:trHeight w:val="344"/>
        </w:trPr>
        <w:tc>
          <w:tcPr>
            <w:tcW w:w="4796" w:type="dxa"/>
            <w:gridSpan w:val="2"/>
            <w:tcBorders>
              <w:bottom w:val="single" w:color="auto" w:sz="4" w:space="0"/>
            </w:tcBorders>
            <w:vAlign w:val="center"/>
          </w:tcPr>
          <w:p w:rsidRPr="00E25790" w:rsidR="006B444C" w:rsidP="006F0321" w:rsidRDefault="006B444C" w14:paraId="6BC16546" w14:textId="77777777">
            <w:pPr>
              <w:rPr>
                <w:lang w:val="en-AU"/>
              </w:rPr>
            </w:pPr>
            <w:r w:rsidRPr="00E25790">
              <w:rPr>
                <w:lang w:val="en-AU"/>
              </w:rPr>
              <w:t>Approval by: DTC</w:t>
            </w:r>
          </w:p>
        </w:tc>
        <w:tc>
          <w:tcPr>
            <w:tcW w:w="4843" w:type="dxa"/>
            <w:tcBorders>
              <w:bottom w:val="single" w:color="auto" w:sz="4" w:space="0"/>
            </w:tcBorders>
            <w:vAlign w:val="center"/>
          </w:tcPr>
          <w:p w:rsidRPr="00E25790" w:rsidR="006B444C" w:rsidP="006F0321" w:rsidRDefault="006B444C" w14:paraId="75570D36" w14:textId="77777777">
            <w:pPr>
              <w:rPr>
                <w:lang w:val="en-AU"/>
              </w:rPr>
            </w:pPr>
            <w:r w:rsidRPr="00E25790">
              <w:rPr>
                <w:lang w:val="en-AU"/>
              </w:rPr>
              <w:t xml:space="preserve">Approval Date: </w:t>
            </w:r>
            <w:r w:rsidRPr="00E25790" w:rsidR="008C2A95">
              <w:rPr>
                <w:lang w:val="en-AU"/>
              </w:rPr>
              <w:t>24/09/2019</w:t>
            </w:r>
          </w:p>
        </w:tc>
      </w:tr>
    </w:tbl>
    <w:p w:rsidRPr="00E25790" w:rsidR="00115F48" w:rsidP="0349FAD4" w:rsidRDefault="00115F48" w14:paraId="2AEA28C8" w14:textId="77777777">
      <w:r>
        <w:br w:type="page"/>
      </w:r>
    </w:p>
    <w:tbl>
      <w:tblPr>
        <w:tblW w:w="0" w:type="auto"/>
        <w:tblLook w:val="0000" w:firstRow="0" w:lastRow="0" w:firstColumn="0" w:lastColumn="0" w:noHBand="0" w:noVBand="0"/>
      </w:tblPr>
      <w:tblGrid>
        <w:gridCol w:w="4132"/>
        <w:gridCol w:w="4871"/>
      </w:tblGrid>
      <w:tr w:rsidR="0349FAD4" w:rsidTr="00254485" w14:paraId="2F7D9FB6" w14:textId="77777777">
        <w:trPr>
          <w:trHeight w:val="720"/>
        </w:trPr>
        <w:tc>
          <w:tcPr>
            <w:tcW w:w="9003" w:type="dxa"/>
            <w:gridSpan w:val="2"/>
            <w:tcBorders>
              <w:top w:val="double" w:color="auto" w:sz="6" w:space="0"/>
              <w:left w:val="double" w:color="auto" w:sz="6" w:space="0"/>
              <w:bottom w:val="double" w:color="auto" w:sz="6" w:space="0"/>
            </w:tcBorders>
            <w:shd w:val="clear" w:color="auto" w:fill="FFFF00"/>
          </w:tcPr>
          <w:p w:rsidR="246ACD88" w:rsidP="0349FAD4" w:rsidRDefault="246ACD88" w14:paraId="5371CB5A" w14:textId="4E70CC17">
            <w:pPr>
              <w:pStyle w:val="Heading1"/>
            </w:pPr>
            <w:bookmarkStart w:name="_Toc75340041" w:id="546"/>
            <w:r>
              <w:lastRenderedPageBreak/>
              <w:t>Salbutamol</w:t>
            </w:r>
            <w:bookmarkEnd w:id="546"/>
            <w:r>
              <w:fldChar w:fldCharType="begin"/>
            </w:r>
            <w:r>
              <w:instrText>tc "Omeprazole" \l 0</w:instrText>
            </w:r>
            <w:r>
              <w:fldChar w:fldCharType="end"/>
            </w:r>
          </w:p>
        </w:tc>
      </w:tr>
      <w:tr w:rsidR="0349FAD4" w:rsidTr="00254485" w14:paraId="087DEFE0" w14:textId="77777777">
        <w:trPr>
          <w:trHeight w:val="480"/>
        </w:trPr>
        <w:tc>
          <w:tcPr>
            <w:tcW w:w="4132" w:type="dxa"/>
            <w:tcBorders>
              <w:top w:val="double" w:color="auto" w:sz="6" w:space="0"/>
              <w:left w:val="double" w:color="auto" w:sz="6" w:space="0"/>
              <w:bottom w:val="double" w:color="auto" w:sz="6" w:space="0"/>
              <w:right w:val="single" w:color="auto" w:sz="6" w:space="0"/>
            </w:tcBorders>
            <w:shd w:val="clear" w:color="auto" w:fill="FFFF00"/>
          </w:tcPr>
          <w:p w:rsidR="0349FAD4" w:rsidRDefault="0349FAD4" w14:paraId="1579CC24" w14:textId="311123E0">
            <w:r>
              <w:t>Revision Date :</w:t>
            </w:r>
            <w:r w:rsidR="00730A5C">
              <w:t xml:space="preserve"> 16-11-2020</w:t>
            </w:r>
          </w:p>
        </w:tc>
        <w:tc>
          <w:tcPr>
            <w:tcW w:w="4871" w:type="dxa"/>
            <w:tcBorders>
              <w:top w:val="double" w:color="auto" w:sz="6" w:space="0"/>
              <w:left w:val="single" w:color="auto" w:sz="6" w:space="0"/>
              <w:bottom w:val="double" w:color="auto" w:sz="6" w:space="0"/>
              <w:right w:val="double" w:color="auto" w:sz="6" w:space="0"/>
            </w:tcBorders>
            <w:shd w:val="clear" w:color="auto" w:fill="FFFF00"/>
          </w:tcPr>
          <w:p w:rsidR="0349FAD4" w:rsidRDefault="0349FAD4" w14:paraId="67B8FB4A" w14:textId="6906F5AA">
            <w:r>
              <w:t>Approved: TC, KOH</w:t>
            </w:r>
          </w:p>
        </w:tc>
      </w:tr>
    </w:tbl>
    <w:p w:rsidRPr="00E25790" w:rsidR="00115F48" w:rsidP="006F0321" w:rsidRDefault="00115F48" w14:paraId="60830114" w14:textId="77777777"/>
    <w:tbl>
      <w:tblPr>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3"/>
        <w:gridCol w:w="7318"/>
      </w:tblGrid>
      <w:tr w:rsidR="0349FAD4" w:rsidTr="00730A5C" w14:paraId="144B15CD" w14:textId="77777777">
        <w:trPr>
          <w:trHeight w:val="363"/>
        </w:trPr>
        <w:tc>
          <w:tcPr>
            <w:tcW w:w="2033" w:type="dxa"/>
          </w:tcPr>
          <w:p w:rsidR="0349FAD4" w:rsidP="0349FAD4" w:rsidRDefault="0349FAD4" w14:paraId="6018FED0" w14:textId="77777777">
            <w:pPr>
              <w:pStyle w:val="BodyText"/>
              <w:tabs>
                <w:tab w:val="center" w:pos="1476"/>
              </w:tabs>
              <w:rPr>
                <w:rFonts w:cs="Arial" w:asciiTheme="minorHAnsi" w:hAnsiTheme="minorHAnsi"/>
                <w:b/>
                <w:bCs/>
                <w:sz w:val="20"/>
              </w:rPr>
            </w:pPr>
            <w:r w:rsidRPr="0349FAD4">
              <w:rPr>
                <w:rFonts w:cs="Arial" w:asciiTheme="minorHAnsi" w:hAnsiTheme="minorHAnsi"/>
                <w:b/>
                <w:bCs/>
                <w:sz w:val="20"/>
              </w:rPr>
              <w:t>Alert</w:t>
            </w:r>
          </w:p>
        </w:tc>
        <w:tc>
          <w:tcPr>
            <w:tcW w:w="7318" w:type="dxa"/>
          </w:tcPr>
          <w:p w:rsidR="270A05B4" w:rsidP="0349FAD4" w:rsidRDefault="270A05B4" w14:paraId="527B6DC3" w14:textId="35D3534A">
            <w:pPr>
              <w:pStyle w:val="BodyText"/>
              <w:rPr>
                <w:rFonts w:cs="Arial" w:asciiTheme="minorHAnsi" w:hAnsiTheme="minorHAnsi"/>
                <w:sz w:val="20"/>
              </w:rPr>
            </w:pPr>
            <w:r w:rsidRPr="0349FAD4">
              <w:rPr>
                <w:rFonts w:cs="Arial" w:asciiTheme="minorHAnsi" w:hAnsiTheme="minorHAnsi"/>
                <w:sz w:val="20"/>
              </w:rPr>
              <w:t xml:space="preserve">Use with caution; safety data in newborn infants are limited. </w:t>
            </w:r>
          </w:p>
          <w:p w:rsidR="270A05B4" w:rsidP="0349FAD4" w:rsidRDefault="270A05B4" w14:paraId="04CF5791" w14:textId="584386E6">
            <w:pPr>
              <w:pStyle w:val="BodyText"/>
            </w:pPr>
            <w:r w:rsidRPr="0349FAD4">
              <w:rPr>
                <w:rFonts w:cs="Arial" w:asciiTheme="minorHAnsi" w:hAnsiTheme="minorHAnsi"/>
                <w:sz w:val="20"/>
              </w:rPr>
              <w:t>Evidence in the treatment of respiratory disease and bronchospasm in neonates is poor.</w:t>
            </w:r>
          </w:p>
        </w:tc>
      </w:tr>
      <w:tr w:rsidR="0349FAD4" w:rsidTr="00730A5C" w14:paraId="71FFB1B8" w14:textId="77777777">
        <w:trPr>
          <w:trHeight w:val="553"/>
        </w:trPr>
        <w:tc>
          <w:tcPr>
            <w:tcW w:w="2033" w:type="dxa"/>
          </w:tcPr>
          <w:p w:rsidR="0349FAD4" w:rsidP="0349FAD4" w:rsidRDefault="0349FAD4" w14:paraId="0A38B2CA" w14:textId="77777777">
            <w:pPr>
              <w:pStyle w:val="BodyText"/>
              <w:rPr>
                <w:rFonts w:cs="Arial" w:asciiTheme="minorHAnsi" w:hAnsiTheme="minorHAnsi"/>
                <w:b/>
                <w:bCs/>
                <w:sz w:val="20"/>
              </w:rPr>
            </w:pPr>
            <w:r w:rsidRPr="0349FAD4">
              <w:rPr>
                <w:rFonts w:cs="Arial" w:asciiTheme="minorHAnsi" w:hAnsiTheme="minorHAnsi"/>
                <w:b/>
                <w:bCs/>
                <w:sz w:val="20"/>
              </w:rPr>
              <w:t xml:space="preserve">Indication                         </w:t>
            </w:r>
          </w:p>
          <w:p w:rsidR="0349FAD4" w:rsidP="0349FAD4" w:rsidRDefault="0349FAD4" w14:paraId="66A9F7F7" w14:textId="77777777">
            <w:pPr>
              <w:pStyle w:val="BodyText"/>
              <w:rPr>
                <w:rFonts w:cs="Arial" w:asciiTheme="minorHAnsi" w:hAnsiTheme="minorHAnsi"/>
                <w:sz w:val="20"/>
              </w:rPr>
            </w:pPr>
          </w:p>
        </w:tc>
        <w:tc>
          <w:tcPr>
            <w:tcW w:w="7318" w:type="dxa"/>
          </w:tcPr>
          <w:p w:rsidR="2F3D0DFE" w:rsidP="0349FAD4" w:rsidRDefault="2F3D0DFE" w14:paraId="13E42774" w14:textId="22658DED">
            <w:pPr>
              <w:rPr>
                <w:rFonts w:asciiTheme="minorHAnsi" w:hAnsiTheme="minorHAnsi"/>
                <w:sz w:val="20"/>
              </w:rPr>
            </w:pPr>
            <w:r w:rsidRPr="0349FAD4">
              <w:rPr>
                <w:rFonts w:asciiTheme="minorHAnsi" w:hAnsiTheme="minorHAnsi"/>
                <w:sz w:val="20"/>
              </w:rPr>
              <w:t>Hyperkalaemia</w:t>
            </w:r>
          </w:p>
          <w:p w:rsidR="2F3D0DFE" w:rsidP="0349FAD4" w:rsidRDefault="2F3D0DFE" w14:paraId="3788901F" w14:textId="03DAD49C">
            <w:r w:rsidRPr="0349FAD4">
              <w:rPr>
                <w:rFonts w:asciiTheme="minorHAnsi" w:hAnsiTheme="minorHAnsi"/>
                <w:sz w:val="20"/>
              </w:rPr>
              <w:t>Bronchospasm (evidence for efficacy is lacking)</w:t>
            </w:r>
          </w:p>
          <w:p w:rsidR="0349FAD4" w:rsidP="0349FAD4" w:rsidRDefault="0349FAD4" w14:paraId="4094A134" w14:textId="40E1F4A1">
            <w:pPr>
              <w:rPr>
                <w:rFonts w:asciiTheme="minorHAnsi" w:hAnsiTheme="minorHAnsi"/>
                <w:sz w:val="20"/>
              </w:rPr>
            </w:pPr>
          </w:p>
        </w:tc>
      </w:tr>
      <w:tr w:rsidR="0349FAD4" w:rsidTr="00730A5C" w14:paraId="456E6062" w14:textId="77777777">
        <w:trPr>
          <w:trHeight w:val="261"/>
        </w:trPr>
        <w:tc>
          <w:tcPr>
            <w:tcW w:w="2033" w:type="dxa"/>
          </w:tcPr>
          <w:p w:rsidR="0349FAD4" w:rsidP="0349FAD4" w:rsidRDefault="0349FAD4" w14:paraId="4BEE2BFA" w14:textId="77777777">
            <w:pPr>
              <w:pStyle w:val="BodyText"/>
              <w:rPr>
                <w:rFonts w:cs="Arial" w:asciiTheme="minorHAnsi" w:hAnsiTheme="minorHAnsi"/>
                <w:b/>
                <w:bCs/>
                <w:sz w:val="20"/>
              </w:rPr>
            </w:pPr>
            <w:r w:rsidRPr="0349FAD4">
              <w:rPr>
                <w:rFonts w:cs="Arial" w:asciiTheme="minorHAnsi" w:hAnsiTheme="minorHAnsi"/>
                <w:b/>
                <w:bCs/>
                <w:sz w:val="20"/>
              </w:rPr>
              <w:t>Action</w:t>
            </w:r>
          </w:p>
        </w:tc>
        <w:tc>
          <w:tcPr>
            <w:tcW w:w="7318" w:type="dxa"/>
          </w:tcPr>
          <w:p w:rsidR="14DEA6CC" w:rsidP="0349FAD4" w:rsidRDefault="14DEA6CC" w14:paraId="629E2768" w14:textId="406296C3">
            <w:pPr>
              <w:rPr>
                <w:rFonts w:cs="Arial" w:asciiTheme="minorHAnsi" w:hAnsiTheme="minorHAnsi"/>
                <w:sz w:val="20"/>
              </w:rPr>
            </w:pPr>
            <w:r w:rsidRPr="0349FAD4">
              <w:rPr>
                <w:rFonts w:cs="Arial" w:asciiTheme="minorHAnsi" w:hAnsiTheme="minorHAnsi"/>
                <w:sz w:val="20"/>
              </w:rPr>
              <w:t>Stimulates liver and muscle cyclic AMP production causing potassium flow into cells.</w:t>
            </w:r>
          </w:p>
        </w:tc>
      </w:tr>
      <w:tr w:rsidR="0349FAD4" w:rsidTr="00730A5C" w14:paraId="50CB8873" w14:textId="77777777">
        <w:trPr>
          <w:trHeight w:val="266"/>
        </w:trPr>
        <w:tc>
          <w:tcPr>
            <w:tcW w:w="2033" w:type="dxa"/>
          </w:tcPr>
          <w:p w:rsidR="0349FAD4" w:rsidP="0349FAD4" w:rsidRDefault="0349FAD4" w14:paraId="0A167A53" w14:textId="77777777">
            <w:pPr>
              <w:pStyle w:val="BodyText"/>
              <w:rPr>
                <w:rFonts w:cs="Arial" w:asciiTheme="minorHAnsi" w:hAnsiTheme="minorHAnsi"/>
                <w:sz w:val="20"/>
              </w:rPr>
            </w:pPr>
            <w:r w:rsidRPr="0349FAD4">
              <w:rPr>
                <w:rFonts w:cs="Arial" w:asciiTheme="minorHAnsi" w:hAnsiTheme="minorHAnsi"/>
                <w:b/>
                <w:bCs/>
                <w:sz w:val="20"/>
              </w:rPr>
              <w:t xml:space="preserve">Drug Type                                   </w:t>
            </w:r>
          </w:p>
        </w:tc>
        <w:tc>
          <w:tcPr>
            <w:tcW w:w="7318" w:type="dxa"/>
          </w:tcPr>
          <w:p w:rsidR="2F0DBB8D" w:rsidP="0349FAD4" w:rsidRDefault="2F0DBB8D" w14:paraId="5E1CC9C6" w14:textId="1E5FB0D4">
            <w:pPr>
              <w:pStyle w:val="BodyText"/>
              <w:rPr>
                <w:rFonts w:cs="Arial" w:asciiTheme="minorHAnsi" w:hAnsiTheme="minorHAnsi"/>
                <w:sz w:val="20"/>
              </w:rPr>
            </w:pPr>
            <w:r w:rsidRPr="0349FAD4">
              <w:rPr>
                <w:rFonts w:cs="Arial" w:asciiTheme="minorHAnsi" w:hAnsiTheme="minorHAnsi"/>
                <w:sz w:val="20"/>
              </w:rPr>
              <w:t>Sympathomimetic. β2-agonist.</w:t>
            </w:r>
          </w:p>
        </w:tc>
      </w:tr>
      <w:tr w:rsidR="0349FAD4" w:rsidTr="00730A5C" w14:paraId="507A0EB5" w14:textId="77777777">
        <w:trPr>
          <w:trHeight w:val="234"/>
        </w:trPr>
        <w:tc>
          <w:tcPr>
            <w:tcW w:w="2033" w:type="dxa"/>
          </w:tcPr>
          <w:p w:rsidR="0349FAD4" w:rsidP="0349FAD4" w:rsidRDefault="0349FAD4" w14:paraId="18328F4D" w14:textId="77777777">
            <w:pPr>
              <w:pStyle w:val="BodyText"/>
              <w:rPr>
                <w:rFonts w:cs="Arial" w:asciiTheme="minorHAnsi" w:hAnsiTheme="minorHAnsi"/>
                <w:b/>
                <w:bCs/>
                <w:sz w:val="20"/>
              </w:rPr>
            </w:pPr>
            <w:r w:rsidRPr="0349FAD4">
              <w:rPr>
                <w:rFonts w:cs="Arial" w:asciiTheme="minorHAnsi" w:hAnsiTheme="minorHAnsi"/>
                <w:b/>
                <w:bCs/>
                <w:sz w:val="20"/>
              </w:rPr>
              <w:t xml:space="preserve">Trade Name                  </w:t>
            </w:r>
          </w:p>
        </w:tc>
        <w:tc>
          <w:tcPr>
            <w:tcW w:w="7318" w:type="dxa"/>
          </w:tcPr>
          <w:p w:rsidR="740A2E11" w:rsidP="0349FAD4" w:rsidRDefault="740A2E11" w14:paraId="7492AD24" w14:textId="40A1773D">
            <w:pPr>
              <w:pStyle w:val="BodyText"/>
              <w:rPr>
                <w:rFonts w:cs="Arial" w:asciiTheme="minorHAnsi" w:hAnsiTheme="minorHAnsi"/>
                <w:sz w:val="20"/>
              </w:rPr>
            </w:pPr>
            <w:r w:rsidRPr="0349FAD4">
              <w:rPr>
                <w:rFonts w:cs="Arial" w:asciiTheme="minorHAnsi" w:hAnsiTheme="minorHAnsi"/>
                <w:sz w:val="20"/>
              </w:rPr>
              <w:t>IV: Ventolin Injection</w:t>
            </w:r>
          </w:p>
          <w:p w:rsidR="740A2E11" w:rsidP="0349FAD4" w:rsidRDefault="740A2E11" w14:paraId="2403D6C1" w14:textId="41C19070">
            <w:pPr>
              <w:pStyle w:val="BodyText"/>
              <w:rPr>
                <w:rFonts w:cs="Arial" w:asciiTheme="minorHAnsi" w:hAnsiTheme="minorHAnsi"/>
                <w:sz w:val="20"/>
              </w:rPr>
            </w:pPr>
            <w:r w:rsidRPr="0349FAD4">
              <w:rPr>
                <w:rFonts w:cs="Arial" w:asciiTheme="minorHAnsi" w:hAnsiTheme="minorHAnsi"/>
                <w:sz w:val="20"/>
              </w:rPr>
              <w:t>Inhalation: APO-Salbutamol 2.5, Asmol uni-dose 2.5, Butamol 2.5, Chemmart Salbutamol 2.5,</w:t>
            </w:r>
            <w:r w:rsidRPr="0349FAD4" w:rsidR="3EA599C5">
              <w:rPr>
                <w:rFonts w:cs="Arial" w:asciiTheme="minorHAnsi" w:hAnsiTheme="minorHAnsi"/>
                <w:sz w:val="20"/>
              </w:rPr>
              <w:t xml:space="preserve"> </w:t>
            </w:r>
            <w:r w:rsidRPr="0349FAD4">
              <w:rPr>
                <w:rFonts w:cs="Arial" w:asciiTheme="minorHAnsi" w:hAnsiTheme="minorHAnsi"/>
                <w:sz w:val="20"/>
              </w:rPr>
              <w:t>Pharmacor Salbutamol 2.5, Salbutamol Actavis 2.5, Salbutamol 2.5, Salbutamol Sandoz 2.5,</w:t>
            </w:r>
            <w:r w:rsidRPr="0349FAD4" w:rsidR="16E13DB3">
              <w:rPr>
                <w:rFonts w:cs="Arial" w:asciiTheme="minorHAnsi" w:hAnsiTheme="minorHAnsi"/>
                <w:sz w:val="20"/>
              </w:rPr>
              <w:t xml:space="preserve"> </w:t>
            </w:r>
            <w:r w:rsidRPr="0349FAD4">
              <w:rPr>
                <w:rFonts w:cs="Arial" w:asciiTheme="minorHAnsi" w:hAnsiTheme="minorHAnsi"/>
                <w:sz w:val="20"/>
              </w:rPr>
              <w:t>Salbutamol Sterinebs 2.5, Salbutamol-GA 2.5, Salbutamol-GA 2.5, Ventolin Nebules 2.5</w:t>
            </w:r>
          </w:p>
          <w:p w:rsidR="0349FAD4" w:rsidP="0349FAD4" w:rsidRDefault="0349FAD4" w14:paraId="5C236CE2" w14:textId="3BAEFD5F">
            <w:pPr>
              <w:pStyle w:val="BodyText"/>
              <w:rPr>
                <w:rFonts w:cs="Arial" w:asciiTheme="minorHAnsi" w:hAnsiTheme="minorHAnsi"/>
                <w:sz w:val="20"/>
              </w:rPr>
            </w:pPr>
          </w:p>
        </w:tc>
      </w:tr>
      <w:tr w:rsidR="0349FAD4" w:rsidTr="00730A5C" w14:paraId="7666F602" w14:textId="77777777">
        <w:trPr>
          <w:trHeight w:val="267"/>
        </w:trPr>
        <w:tc>
          <w:tcPr>
            <w:tcW w:w="2033" w:type="dxa"/>
          </w:tcPr>
          <w:p w:rsidR="0349FAD4" w:rsidP="0349FAD4" w:rsidRDefault="0349FAD4" w14:paraId="36044C60" w14:textId="77777777">
            <w:pPr>
              <w:pStyle w:val="BodyText"/>
              <w:rPr>
                <w:rFonts w:cs="Arial" w:asciiTheme="minorHAnsi" w:hAnsiTheme="minorHAnsi"/>
                <w:b/>
                <w:bCs/>
                <w:sz w:val="20"/>
              </w:rPr>
            </w:pPr>
            <w:r w:rsidRPr="0349FAD4">
              <w:rPr>
                <w:rFonts w:cs="Arial" w:asciiTheme="minorHAnsi" w:hAnsiTheme="minorHAnsi"/>
                <w:b/>
                <w:bCs/>
                <w:sz w:val="20"/>
              </w:rPr>
              <w:t xml:space="preserve">Presentation </w:t>
            </w:r>
          </w:p>
        </w:tc>
        <w:tc>
          <w:tcPr>
            <w:tcW w:w="7318" w:type="dxa"/>
          </w:tcPr>
          <w:p w:rsidR="341F0FD3" w:rsidP="0349FAD4" w:rsidRDefault="341F0FD3" w14:paraId="62A9BB08" w14:textId="4F69DED4">
            <w:pPr>
              <w:pStyle w:val="BodyText"/>
              <w:ind w:left="34"/>
              <w:rPr>
                <w:rFonts w:cs="Arial" w:asciiTheme="minorHAnsi" w:hAnsiTheme="minorHAnsi"/>
                <w:sz w:val="20"/>
              </w:rPr>
            </w:pPr>
            <w:r w:rsidRPr="0349FAD4">
              <w:rPr>
                <w:rFonts w:cs="Arial" w:asciiTheme="minorHAnsi" w:hAnsiTheme="minorHAnsi"/>
                <w:sz w:val="20"/>
              </w:rPr>
              <w:t>IV: 500 micrograms/mL ampoule</w:t>
            </w:r>
          </w:p>
          <w:p w:rsidR="341F0FD3" w:rsidP="0349FAD4" w:rsidRDefault="341F0FD3" w14:paraId="584CECEB" w14:textId="26D1A4BE">
            <w:pPr>
              <w:pStyle w:val="BodyText"/>
              <w:ind w:left="34"/>
              <w:rPr>
                <w:rFonts w:cs="Arial" w:asciiTheme="minorHAnsi" w:hAnsiTheme="minorHAnsi"/>
                <w:sz w:val="20"/>
              </w:rPr>
            </w:pPr>
            <w:r w:rsidRPr="0349FAD4">
              <w:rPr>
                <w:rFonts w:cs="Arial" w:asciiTheme="minorHAnsi" w:hAnsiTheme="minorHAnsi"/>
                <w:sz w:val="20"/>
              </w:rPr>
              <w:t>Inhalation: 1 mg/mL (2.5 mg in 2.5 mL) and 2 mg/mL (5 mg in 2.5 mL) inhalation solution ampoules.</w:t>
            </w:r>
          </w:p>
          <w:p w:rsidR="0349FAD4" w:rsidP="0349FAD4" w:rsidRDefault="0349FAD4" w14:paraId="043E171E" w14:textId="4A1B0A94">
            <w:pPr>
              <w:pStyle w:val="BodyText"/>
              <w:ind w:left="34"/>
              <w:rPr>
                <w:rFonts w:cs="Arial" w:asciiTheme="minorHAnsi" w:hAnsiTheme="minorHAnsi"/>
                <w:sz w:val="20"/>
              </w:rPr>
            </w:pPr>
          </w:p>
        </w:tc>
      </w:tr>
      <w:tr w:rsidR="0349FAD4" w:rsidTr="00730A5C" w14:paraId="0BE05891" w14:textId="77777777">
        <w:trPr>
          <w:trHeight w:val="273"/>
        </w:trPr>
        <w:tc>
          <w:tcPr>
            <w:tcW w:w="2033" w:type="dxa"/>
          </w:tcPr>
          <w:p w:rsidR="0349FAD4" w:rsidP="0349FAD4" w:rsidRDefault="0349FAD4" w14:paraId="3E983346" w14:textId="77777777">
            <w:pPr>
              <w:pStyle w:val="BodyText"/>
              <w:rPr>
                <w:rFonts w:cs="Arial" w:asciiTheme="minorHAnsi" w:hAnsiTheme="minorHAnsi"/>
                <w:b/>
                <w:bCs/>
                <w:sz w:val="20"/>
              </w:rPr>
            </w:pPr>
            <w:r w:rsidRPr="0349FAD4">
              <w:rPr>
                <w:rFonts w:cs="Arial" w:asciiTheme="minorHAnsi" w:hAnsiTheme="minorHAnsi"/>
                <w:b/>
                <w:bCs/>
                <w:sz w:val="20"/>
              </w:rPr>
              <w:t xml:space="preserve">Dosage / Interval                           </w:t>
            </w:r>
          </w:p>
        </w:tc>
        <w:tc>
          <w:tcPr>
            <w:tcW w:w="7318" w:type="dxa"/>
          </w:tcPr>
          <w:p w:rsidR="557DA5EF" w:rsidP="0349FAD4" w:rsidRDefault="557DA5EF" w14:paraId="7E05D874" w14:textId="32009A3E">
            <w:pPr>
              <w:pStyle w:val="BodyText"/>
              <w:rPr>
                <w:rFonts w:asciiTheme="minorHAnsi" w:hAnsiTheme="minorHAnsi"/>
                <w:b/>
                <w:bCs/>
                <w:sz w:val="20"/>
              </w:rPr>
            </w:pPr>
            <w:r w:rsidRPr="0349FAD4">
              <w:rPr>
                <w:rFonts w:asciiTheme="minorHAnsi" w:hAnsiTheme="minorHAnsi"/>
                <w:b/>
                <w:bCs/>
                <w:sz w:val="20"/>
              </w:rPr>
              <w:t>Intravenous:</w:t>
            </w:r>
          </w:p>
          <w:p w:rsidR="557DA5EF" w:rsidP="0349FAD4" w:rsidRDefault="557DA5EF" w14:paraId="0A711C9F" w14:textId="61D50BF5">
            <w:pPr>
              <w:pStyle w:val="BodyText"/>
            </w:pPr>
            <w:r w:rsidRPr="0349FAD4">
              <w:rPr>
                <w:rFonts w:asciiTheme="minorHAnsi" w:hAnsiTheme="minorHAnsi"/>
                <w:sz w:val="20"/>
              </w:rPr>
              <w:t xml:space="preserve">4–5 microgram/kg over 20 minutes. </w:t>
            </w:r>
          </w:p>
          <w:p w:rsidR="557DA5EF" w:rsidP="0349FAD4" w:rsidRDefault="557DA5EF" w14:paraId="790F256A" w14:textId="76DA7DEB">
            <w:pPr>
              <w:pStyle w:val="BodyText"/>
            </w:pPr>
            <w:r w:rsidRPr="0349FAD4">
              <w:rPr>
                <w:rFonts w:asciiTheme="minorHAnsi" w:hAnsiTheme="minorHAnsi"/>
                <w:sz w:val="20"/>
              </w:rPr>
              <w:t xml:space="preserve">Monitor serum potassium and heart rate (tachycardia) closely. If potassium critical or continues to rise, consider repeating dose every 4 hours9 or use of other strategy (insulin/glucose; addition of, rectal cation-resin). </w:t>
            </w:r>
          </w:p>
          <w:p w:rsidR="0349FAD4" w:rsidP="0349FAD4" w:rsidRDefault="0349FAD4" w14:paraId="63AC0B3A" w14:textId="0FF09240">
            <w:pPr>
              <w:pStyle w:val="BodyText"/>
              <w:rPr>
                <w:rFonts w:asciiTheme="minorHAnsi" w:hAnsiTheme="minorHAnsi"/>
                <w:sz w:val="20"/>
              </w:rPr>
            </w:pPr>
          </w:p>
          <w:p w:rsidR="557DA5EF" w:rsidP="0349FAD4" w:rsidRDefault="557DA5EF" w14:paraId="24AE2369" w14:textId="554DC54A">
            <w:pPr>
              <w:pStyle w:val="BodyText"/>
              <w:rPr>
                <w:rFonts w:asciiTheme="minorHAnsi" w:hAnsiTheme="minorHAnsi"/>
                <w:b/>
                <w:bCs/>
                <w:sz w:val="20"/>
              </w:rPr>
            </w:pPr>
            <w:r w:rsidRPr="0349FAD4">
              <w:rPr>
                <w:rFonts w:asciiTheme="minorHAnsi" w:hAnsiTheme="minorHAnsi"/>
                <w:b/>
                <w:bCs/>
                <w:sz w:val="20"/>
              </w:rPr>
              <w:t xml:space="preserve">Inhalation: </w:t>
            </w:r>
          </w:p>
          <w:p w:rsidR="557DA5EF" w:rsidP="0349FAD4" w:rsidRDefault="557DA5EF" w14:paraId="012938CC" w14:textId="5D42B94E">
            <w:pPr>
              <w:pStyle w:val="BodyText"/>
            </w:pPr>
            <w:r w:rsidRPr="0349FAD4">
              <w:rPr>
                <w:rFonts w:asciiTheme="minorHAnsi" w:hAnsiTheme="minorHAnsi"/>
                <w:sz w:val="20"/>
              </w:rPr>
              <w:t>400 microgram via nebulisation. Repeat two-hourly as required and titrated to response [serum, potassium or respiratory status] and heart rate [tachycardia].</w:t>
            </w:r>
          </w:p>
          <w:p w:rsidR="0349FAD4" w:rsidP="0349FAD4" w:rsidRDefault="0349FAD4" w14:paraId="40AEBADF" w14:textId="4BCF57DD">
            <w:pPr>
              <w:pStyle w:val="BodyText"/>
              <w:rPr>
                <w:rFonts w:asciiTheme="minorHAnsi" w:hAnsiTheme="minorHAnsi"/>
                <w:sz w:val="20"/>
              </w:rPr>
            </w:pPr>
          </w:p>
        </w:tc>
      </w:tr>
      <w:tr w:rsidR="0349FAD4" w:rsidTr="00730A5C" w14:paraId="08D7D39D" w14:textId="77777777">
        <w:trPr>
          <w:trHeight w:val="191"/>
        </w:trPr>
        <w:tc>
          <w:tcPr>
            <w:tcW w:w="2033" w:type="dxa"/>
          </w:tcPr>
          <w:p w:rsidR="0349FAD4" w:rsidP="0349FAD4" w:rsidRDefault="0349FAD4" w14:paraId="5A634414" w14:textId="77777777">
            <w:pPr>
              <w:pStyle w:val="BodyText"/>
              <w:rPr>
                <w:rFonts w:asciiTheme="minorHAnsi" w:hAnsiTheme="minorHAnsi"/>
                <w:b/>
                <w:bCs/>
                <w:sz w:val="20"/>
              </w:rPr>
            </w:pPr>
            <w:r w:rsidRPr="0349FAD4">
              <w:rPr>
                <w:rFonts w:asciiTheme="minorHAnsi" w:hAnsiTheme="minorHAnsi"/>
                <w:b/>
                <w:bCs/>
                <w:sz w:val="20"/>
              </w:rPr>
              <w:t>Maximum daily dose</w:t>
            </w:r>
          </w:p>
        </w:tc>
        <w:tc>
          <w:tcPr>
            <w:tcW w:w="7318" w:type="dxa"/>
          </w:tcPr>
          <w:p w:rsidR="0349FAD4" w:rsidP="0349FAD4" w:rsidRDefault="0349FAD4" w14:paraId="1DCACE05" w14:textId="72709F08">
            <w:pPr>
              <w:pStyle w:val="BodyText"/>
              <w:rPr>
                <w:rFonts w:asciiTheme="minorHAnsi" w:hAnsiTheme="minorHAnsi"/>
                <w:sz w:val="20"/>
              </w:rPr>
            </w:pPr>
          </w:p>
        </w:tc>
      </w:tr>
      <w:tr w:rsidR="0349FAD4" w:rsidTr="00730A5C" w14:paraId="2E66B8FF" w14:textId="77777777">
        <w:trPr>
          <w:trHeight w:val="209"/>
        </w:trPr>
        <w:tc>
          <w:tcPr>
            <w:tcW w:w="2033" w:type="dxa"/>
          </w:tcPr>
          <w:p w:rsidR="0349FAD4" w:rsidP="0349FAD4" w:rsidRDefault="0349FAD4" w14:paraId="2A539EF5" w14:textId="77777777">
            <w:pPr>
              <w:pStyle w:val="BodyText"/>
              <w:rPr>
                <w:rFonts w:cs="Arial" w:asciiTheme="minorHAnsi" w:hAnsiTheme="minorHAnsi"/>
                <w:b/>
                <w:bCs/>
                <w:sz w:val="20"/>
              </w:rPr>
            </w:pPr>
            <w:r w:rsidRPr="0349FAD4">
              <w:rPr>
                <w:rFonts w:cs="Arial" w:asciiTheme="minorHAnsi" w:hAnsiTheme="minorHAnsi"/>
                <w:b/>
                <w:bCs/>
                <w:sz w:val="20"/>
              </w:rPr>
              <w:t xml:space="preserve">Route        </w:t>
            </w:r>
          </w:p>
        </w:tc>
        <w:tc>
          <w:tcPr>
            <w:tcW w:w="7318" w:type="dxa"/>
          </w:tcPr>
          <w:p w:rsidR="52060006" w:rsidP="0349FAD4" w:rsidRDefault="52060006" w14:paraId="782F83CA" w14:textId="12C10619">
            <w:pPr>
              <w:pStyle w:val="BodyText"/>
              <w:rPr>
                <w:rFonts w:cs="Arial" w:asciiTheme="minorHAnsi" w:hAnsiTheme="minorHAnsi"/>
                <w:sz w:val="20"/>
              </w:rPr>
            </w:pPr>
            <w:r w:rsidRPr="0349FAD4">
              <w:rPr>
                <w:rFonts w:cs="Arial" w:asciiTheme="minorHAnsi" w:hAnsiTheme="minorHAnsi"/>
                <w:sz w:val="20"/>
              </w:rPr>
              <w:t>IV, inhalation</w:t>
            </w:r>
          </w:p>
        </w:tc>
      </w:tr>
      <w:tr w:rsidR="0349FAD4" w:rsidTr="00730A5C" w14:paraId="46583AB3" w14:textId="77777777">
        <w:trPr>
          <w:trHeight w:val="275"/>
        </w:trPr>
        <w:tc>
          <w:tcPr>
            <w:tcW w:w="2033" w:type="dxa"/>
          </w:tcPr>
          <w:p w:rsidR="0349FAD4" w:rsidP="3A936897" w:rsidRDefault="0349FAD4" w14:paraId="44A5072A" w14:textId="534CF4EB">
            <w:pPr>
              <w:pStyle w:val="BodyText"/>
              <w:rPr>
                <w:rFonts w:cs="Arial" w:asciiTheme="minorHAnsi" w:hAnsiTheme="minorHAnsi"/>
                <w:b/>
                <w:bCs/>
                <w:sz w:val="20"/>
                <w:highlight w:val="cyan"/>
              </w:rPr>
            </w:pPr>
            <w:r w:rsidRPr="3A936897">
              <w:rPr>
                <w:rFonts w:cs="Arial" w:asciiTheme="minorHAnsi" w:hAnsiTheme="minorHAnsi"/>
                <w:b/>
                <w:bCs/>
                <w:sz w:val="20"/>
              </w:rPr>
              <w:t>Preparation/Dilutio</w:t>
            </w:r>
            <w:r w:rsidRPr="3A936897" w:rsidR="444A39CC">
              <w:rPr>
                <w:rFonts w:cs="Arial" w:asciiTheme="minorHAnsi" w:hAnsiTheme="minorHAnsi"/>
                <w:b/>
                <w:bCs/>
                <w:sz w:val="20"/>
              </w:rPr>
              <w:t>n</w:t>
            </w:r>
          </w:p>
        </w:tc>
        <w:tc>
          <w:tcPr>
            <w:tcW w:w="7318" w:type="dxa"/>
          </w:tcPr>
          <w:p w:rsidR="2E9B0CA4" w:rsidP="0349FAD4" w:rsidRDefault="2E9B0CA4" w14:paraId="1DD7070A" w14:textId="6022662E">
            <w:pPr>
              <w:pStyle w:val="BodyText"/>
              <w:rPr>
                <w:rFonts w:cs="Arial" w:asciiTheme="minorHAnsi" w:hAnsiTheme="minorHAnsi"/>
                <w:b/>
                <w:bCs/>
                <w:sz w:val="20"/>
              </w:rPr>
            </w:pPr>
            <w:r w:rsidRPr="0349FAD4">
              <w:rPr>
                <w:rFonts w:cs="Arial" w:asciiTheme="minorHAnsi" w:hAnsiTheme="minorHAnsi"/>
                <w:b/>
                <w:bCs/>
                <w:sz w:val="20"/>
              </w:rPr>
              <w:t>IV:</w:t>
            </w:r>
          </w:p>
          <w:p w:rsidR="2E9B0CA4" w:rsidP="0349FAD4" w:rsidRDefault="2E9B0CA4" w14:paraId="155A1853" w14:textId="5438AC08">
            <w:pPr>
              <w:pStyle w:val="BodyText"/>
            </w:pPr>
            <w:r w:rsidRPr="0349FAD4">
              <w:rPr>
                <w:rFonts w:cs="Arial" w:asciiTheme="minorHAnsi" w:hAnsiTheme="minorHAnsi"/>
                <w:sz w:val="20"/>
              </w:rPr>
              <w:t>Draw up 0.4 mL (200 microgram of salbutamol) and add 19.6 mL of water for injection to make a 10 microgram/mL solution.</w:t>
            </w:r>
          </w:p>
          <w:p w:rsidR="2E9B0CA4" w:rsidP="0349FAD4" w:rsidRDefault="2E9B0CA4" w14:paraId="07DCA45C" w14:textId="2AC73F21">
            <w:pPr>
              <w:pStyle w:val="BodyText"/>
              <w:rPr>
                <w:rFonts w:cs="Arial" w:asciiTheme="minorHAnsi" w:hAnsiTheme="minorHAnsi"/>
                <w:b/>
                <w:bCs/>
                <w:sz w:val="20"/>
              </w:rPr>
            </w:pPr>
            <w:r w:rsidRPr="0349FAD4">
              <w:rPr>
                <w:rFonts w:cs="Arial" w:asciiTheme="minorHAnsi" w:hAnsiTheme="minorHAnsi"/>
                <w:b/>
                <w:bCs/>
                <w:sz w:val="20"/>
              </w:rPr>
              <w:t xml:space="preserve">FURTHER DILUTE </w:t>
            </w:r>
          </w:p>
          <w:p w:rsidR="2E9B0CA4" w:rsidP="0349FAD4" w:rsidRDefault="2E9B0CA4" w14:paraId="01CDEF09" w14:textId="2C5EE97D">
            <w:pPr>
              <w:pStyle w:val="BodyText"/>
            </w:pPr>
            <w:r w:rsidRPr="0349FAD4">
              <w:rPr>
                <w:rFonts w:cs="Arial" w:asciiTheme="minorHAnsi" w:hAnsiTheme="minorHAnsi"/>
                <w:sz w:val="20"/>
              </w:rPr>
              <w:t>Draw up 1 mL/kg of the above solution (10 microgram/kg of salbutamol) and add to water for</w:t>
            </w:r>
            <w:r w:rsidRPr="0349FAD4" w:rsidR="012161E2">
              <w:rPr>
                <w:rFonts w:cs="Arial" w:asciiTheme="minorHAnsi" w:hAnsiTheme="minorHAnsi"/>
                <w:sz w:val="20"/>
              </w:rPr>
              <w:t xml:space="preserve"> </w:t>
            </w:r>
            <w:r w:rsidRPr="0349FAD4">
              <w:rPr>
                <w:rFonts w:cs="Arial" w:asciiTheme="minorHAnsi" w:hAnsiTheme="minorHAnsi"/>
                <w:sz w:val="20"/>
              </w:rPr>
              <w:t>injection to make a final volume of 10mL with a final concentration of 1 microgram/kg/mL.</w:t>
            </w:r>
          </w:p>
          <w:p w:rsidR="2E9B0CA4" w:rsidP="0349FAD4" w:rsidRDefault="2E9B0CA4" w14:paraId="706248C7" w14:textId="672FA95F">
            <w:pPr>
              <w:pStyle w:val="BodyText"/>
            </w:pPr>
            <w:r w:rsidRPr="0349FAD4">
              <w:rPr>
                <w:rFonts w:cs="Arial" w:asciiTheme="minorHAnsi" w:hAnsiTheme="minorHAnsi"/>
                <w:sz w:val="20"/>
              </w:rPr>
              <w:t xml:space="preserve"> </w:t>
            </w:r>
          </w:p>
          <w:p w:rsidR="2E9B0CA4" w:rsidP="0349FAD4" w:rsidRDefault="2E9B0CA4" w14:paraId="3C4875E3" w14:textId="76EDC993">
            <w:pPr>
              <w:pStyle w:val="BodyText"/>
              <w:rPr>
                <w:rFonts w:cs="Arial" w:asciiTheme="minorHAnsi" w:hAnsiTheme="minorHAnsi"/>
                <w:b/>
                <w:bCs/>
                <w:sz w:val="20"/>
              </w:rPr>
            </w:pPr>
            <w:r w:rsidRPr="0349FAD4">
              <w:rPr>
                <w:rFonts w:cs="Arial" w:asciiTheme="minorHAnsi" w:hAnsiTheme="minorHAnsi"/>
                <w:b/>
                <w:bCs/>
                <w:sz w:val="20"/>
              </w:rPr>
              <w:t xml:space="preserve">Inhalation: </w:t>
            </w:r>
          </w:p>
          <w:p w:rsidR="2E9B0CA4" w:rsidP="0349FAD4" w:rsidRDefault="2E9B0CA4" w14:paraId="7DF0E487" w14:textId="6E43DA05">
            <w:pPr>
              <w:pStyle w:val="BodyText"/>
            </w:pPr>
            <w:r w:rsidRPr="0349FAD4">
              <w:rPr>
                <w:rFonts w:cs="Arial" w:asciiTheme="minorHAnsi" w:hAnsiTheme="minorHAnsi"/>
                <w:sz w:val="20"/>
              </w:rPr>
              <w:t>Draw up 0.4 mL (400 micrograms of salbutamol) from the 1 mg/mL inhalation ampoule and add 1.6 mL sodium chloride 0.9% to make a final volume of 2 mL with a final concentration of 0.2mg/mL.</w:t>
            </w:r>
          </w:p>
          <w:p w:rsidR="2E9B0CA4" w:rsidP="0349FAD4" w:rsidRDefault="2E9B0CA4" w14:paraId="6CD24798" w14:textId="1019D2BF">
            <w:pPr>
              <w:pStyle w:val="BodyText"/>
            </w:pPr>
            <w:r w:rsidRPr="0349FAD4">
              <w:rPr>
                <w:rFonts w:cs="Arial" w:asciiTheme="minorHAnsi" w:hAnsiTheme="minorHAnsi"/>
                <w:b/>
                <w:bCs/>
                <w:sz w:val="20"/>
              </w:rPr>
              <w:t>OR.</w:t>
            </w:r>
          </w:p>
          <w:p w:rsidR="2E9B0CA4" w:rsidP="0349FAD4" w:rsidRDefault="2E9B0CA4" w14:paraId="5ECE85CB" w14:textId="49667E39">
            <w:pPr>
              <w:pStyle w:val="BodyText"/>
              <w:rPr>
                <w:rFonts w:cs="Arial" w:asciiTheme="minorHAnsi" w:hAnsiTheme="minorHAnsi"/>
                <w:sz w:val="20"/>
              </w:rPr>
            </w:pPr>
            <w:r w:rsidRPr="0349FAD4">
              <w:rPr>
                <w:rFonts w:cs="Arial" w:asciiTheme="minorHAnsi" w:hAnsiTheme="minorHAnsi"/>
                <w:sz w:val="20"/>
              </w:rPr>
              <w:t>Draw up 0.2 mL (400 micrograms of salbutamol) from the 2 mg/mL inhalation ampoule and add 1.8 mL sodium chloride 0.9% to make a final volume of 2 mL with a final concentration of 0.2mg/mL.</w:t>
            </w:r>
          </w:p>
          <w:p w:rsidR="0349FAD4" w:rsidP="0349FAD4" w:rsidRDefault="0349FAD4" w14:paraId="028442E7" w14:textId="11A4F680">
            <w:pPr>
              <w:pStyle w:val="BodyText"/>
              <w:rPr>
                <w:rFonts w:cs="Arial" w:asciiTheme="minorHAnsi" w:hAnsiTheme="minorHAnsi"/>
                <w:sz w:val="20"/>
              </w:rPr>
            </w:pPr>
          </w:p>
        </w:tc>
      </w:tr>
      <w:tr w:rsidR="0349FAD4" w:rsidTr="00730A5C" w14:paraId="3B468A16" w14:textId="77777777">
        <w:trPr>
          <w:trHeight w:val="163"/>
        </w:trPr>
        <w:tc>
          <w:tcPr>
            <w:tcW w:w="2033" w:type="dxa"/>
          </w:tcPr>
          <w:p w:rsidR="0349FAD4" w:rsidP="0349FAD4" w:rsidRDefault="0349FAD4" w14:paraId="5E1A8659" w14:textId="77777777">
            <w:pPr>
              <w:pStyle w:val="BodyText"/>
              <w:rPr>
                <w:rFonts w:cs="Arial" w:asciiTheme="minorHAnsi" w:hAnsiTheme="minorHAnsi"/>
                <w:b/>
                <w:bCs/>
                <w:sz w:val="20"/>
              </w:rPr>
            </w:pPr>
            <w:r w:rsidRPr="0349FAD4">
              <w:rPr>
                <w:rFonts w:cs="Arial" w:asciiTheme="minorHAnsi" w:hAnsiTheme="minorHAnsi"/>
                <w:b/>
                <w:bCs/>
                <w:sz w:val="20"/>
              </w:rPr>
              <w:lastRenderedPageBreak/>
              <w:t xml:space="preserve">Administration    </w:t>
            </w:r>
          </w:p>
        </w:tc>
        <w:tc>
          <w:tcPr>
            <w:tcW w:w="7318" w:type="dxa"/>
          </w:tcPr>
          <w:p w:rsidR="79F19434" w:rsidP="0349FAD4" w:rsidRDefault="79F19434" w14:paraId="3A2388E5" w14:textId="25B530CB">
            <w:pPr>
              <w:pStyle w:val="BodyText"/>
              <w:rPr>
                <w:rFonts w:cs="Arial" w:asciiTheme="minorHAnsi" w:hAnsiTheme="minorHAnsi"/>
                <w:sz w:val="20"/>
              </w:rPr>
            </w:pPr>
            <w:r w:rsidRPr="0349FAD4">
              <w:rPr>
                <w:rFonts w:cs="Arial" w:asciiTheme="minorHAnsi" w:hAnsiTheme="minorHAnsi"/>
                <w:sz w:val="20"/>
              </w:rPr>
              <w:t>IV: Over 15–20 minutes via syringe driver.</w:t>
            </w:r>
          </w:p>
          <w:p w:rsidR="0349FAD4" w:rsidP="0349FAD4" w:rsidRDefault="0349FAD4" w14:paraId="406A5E20" w14:textId="2DBE52C5">
            <w:pPr>
              <w:pStyle w:val="BodyText"/>
              <w:rPr>
                <w:rFonts w:cs="Arial" w:asciiTheme="minorHAnsi" w:hAnsiTheme="minorHAnsi"/>
                <w:sz w:val="20"/>
              </w:rPr>
            </w:pPr>
          </w:p>
          <w:p w:rsidR="79F19434" w:rsidP="0349FAD4" w:rsidRDefault="79F19434" w14:paraId="0602874E" w14:textId="537C3730">
            <w:pPr>
              <w:pStyle w:val="BodyText"/>
              <w:rPr>
                <w:rFonts w:cs="Arial" w:asciiTheme="minorHAnsi" w:hAnsiTheme="minorHAnsi"/>
                <w:sz w:val="20"/>
              </w:rPr>
            </w:pPr>
            <w:r w:rsidRPr="0349FAD4">
              <w:rPr>
                <w:rFonts w:cs="Arial" w:asciiTheme="minorHAnsi" w:hAnsiTheme="minorHAnsi"/>
                <w:sz w:val="20"/>
              </w:rPr>
              <w:t>Inhalation: Via nebuliser over 10 minutes and discard remainder.</w:t>
            </w:r>
          </w:p>
          <w:p w:rsidR="0349FAD4" w:rsidP="0349FAD4" w:rsidRDefault="0349FAD4" w14:paraId="064299C3" w14:textId="5584DF60">
            <w:pPr>
              <w:pStyle w:val="BodyText"/>
              <w:rPr>
                <w:rFonts w:cs="Arial" w:asciiTheme="minorHAnsi" w:hAnsiTheme="minorHAnsi"/>
                <w:sz w:val="20"/>
              </w:rPr>
            </w:pPr>
          </w:p>
        </w:tc>
      </w:tr>
      <w:tr w:rsidR="0349FAD4" w:rsidTr="00730A5C" w14:paraId="479529D0" w14:textId="77777777">
        <w:trPr>
          <w:trHeight w:val="221"/>
        </w:trPr>
        <w:tc>
          <w:tcPr>
            <w:tcW w:w="2033" w:type="dxa"/>
          </w:tcPr>
          <w:p w:rsidR="0349FAD4" w:rsidP="0349FAD4" w:rsidRDefault="0349FAD4" w14:paraId="1B8FEFBA" w14:textId="77777777">
            <w:pPr>
              <w:pStyle w:val="BodyText"/>
              <w:rPr>
                <w:rFonts w:cs="Arial" w:asciiTheme="minorHAnsi" w:hAnsiTheme="minorHAnsi"/>
                <w:b/>
                <w:bCs/>
                <w:sz w:val="20"/>
              </w:rPr>
            </w:pPr>
            <w:r w:rsidRPr="0349FAD4">
              <w:rPr>
                <w:rFonts w:cs="Arial" w:asciiTheme="minorHAnsi" w:hAnsiTheme="minorHAnsi"/>
                <w:b/>
                <w:bCs/>
                <w:sz w:val="20"/>
              </w:rPr>
              <w:t xml:space="preserve">Monitoring                             </w:t>
            </w:r>
          </w:p>
        </w:tc>
        <w:tc>
          <w:tcPr>
            <w:tcW w:w="7318" w:type="dxa"/>
          </w:tcPr>
          <w:p w:rsidR="20F04E88" w:rsidP="3A936897" w:rsidRDefault="7BD2EA3F" w14:paraId="5EB37475" w14:textId="1BA87457">
            <w:pPr>
              <w:pStyle w:val="BodyText"/>
              <w:rPr>
                <w:rFonts w:cs="Arial" w:asciiTheme="minorHAnsi" w:hAnsiTheme="minorHAnsi"/>
                <w:vertAlign w:val="superscript"/>
              </w:rPr>
            </w:pPr>
            <w:r w:rsidRPr="3A936897">
              <w:rPr>
                <w:rFonts w:cs="Arial" w:asciiTheme="minorHAnsi" w:hAnsiTheme="minorHAnsi"/>
                <w:vertAlign w:val="superscript"/>
              </w:rPr>
              <w:t>Cardiac rate and rhythm,</w:t>
            </w:r>
            <w:r w:rsidRPr="3A936897" w:rsidR="41BD0DA8">
              <w:rPr>
                <w:rFonts w:cs="Arial" w:asciiTheme="minorHAnsi" w:hAnsiTheme="minorHAnsi"/>
                <w:vertAlign w:val="superscript"/>
              </w:rPr>
              <w:t xml:space="preserve"> </w:t>
            </w:r>
            <w:r w:rsidRPr="3A936897">
              <w:rPr>
                <w:rFonts w:cs="Arial" w:asciiTheme="minorHAnsi" w:hAnsiTheme="minorHAnsi"/>
                <w:vertAlign w:val="superscript"/>
              </w:rPr>
              <w:t>Serum potassium, blood glucose</w:t>
            </w:r>
          </w:p>
          <w:p w:rsidR="0349FAD4" w:rsidP="0349FAD4" w:rsidRDefault="0349FAD4" w14:paraId="79C8EB36" w14:textId="159B0BEC">
            <w:pPr>
              <w:pStyle w:val="BodyText"/>
              <w:rPr>
                <w:rFonts w:cs="Arial" w:asciiTheme="minorHAnsi" w:hAnsiTheme="minorHAnsi"/>
                <w:sz w:val="20"/>
                <w:vertAlign w:val="superscript"/>
              </w:rPr>
            </w:pPr>
          </w:p>
        </w:tc>
      </w:tr>
      <w:tr w:rsidR="0349FAD4" w:rsidTr="00730A5C" w14:paraId="113506D5" w14:textId="77777777">
        <w:trPr>
          <w:trHeight w:val="207"/>
        </w:trPr>
        <w:tc>
          <w:tcPr>
            <w:tcW w:w="2033" w:type="dxa"/>
          </w:tcPr>
          <w:p w:rsidR="0349FAD4" w:rsidP="0349FAD4" w:rsidRDefault="0349FAD4" w14:paraId="7A0D1E25" w14:textId="77777777">
            <w:pPr>
              <w:pStyle w:val="BodyText"/>
              <w:rPr>
                <w:rFonts w:cs="Arial" w:asciiTheme="minorHAnsi" w:hAnsiTheme="minorHAnsi"/>
                <w:b/>
                <w:bCs/>
                <w:sz w:val="20"/>
              </w:rPr>
            </w:pPr>
            <w:r w:rsidRPr="0349FAD4">
              <w:rPr>
                <w:rFonts w:cs="Arial" w:asciiTheme="minorHAnsi" w:hAnsiTheme="minorHAnsi"/>
                <w:b/>
                <w:bCs/>
                <w:sz w:val="20"/>
              </w:rPr>
              <w:t xml:space="preserve">Contraindications                        </w:t>
            </w:r>
          </w:p>
        </w:tc>
        <w:tc>
          <w:tcPr>
            <w:tcW w:w="7318" w:type="dxa"/>
          </w:tcPr>
          <w:p w:rsidR="0349FAD4" w:rsidP="0349FAD4" w:rsidRDefault="0349FAD4" w14:paraId="550E466B" w14:textId="180FFAFE">
            <w:pPr>
              <w:pStyle w:val="BodyText"/>
              <w:rPr>
                <w:rFonts w:cs="Arial" w:asciiTheme="minorHAnsi" w:hAnsiTheme="minorHAnsi"/>
                <w:sz w:val="20"/>
              </w:rPr>
            </w:pPr>
          </w:p>
        </w:tc>
      </w:tr>
      <w:tr w:rsidR="0349FAD4" w:rsidTr="00730A5C" w14:paraId="2136559F" w14:textId="77777777">
        <w:tc>
          <w:tcPr>
            <w:tcW w:w="2033" w:type="dxa"/>
          </w:tcPr>
          <w:p w:rsidR="0349FAD4" w:rsidP="0349FAD4" w:rsidRDefault="0349FAD4" w14:paraId="2A00F230" w14:textId="28E3114E">
            <w:pPr>
              <w:pStyle w:val="BodyText"/>
              <w:rPr>
                <w:rFonts w:cs="Arial" w:asciiTheme="minorHAnsi" w:hAnsiTheme="minorHAnsi"/>
                <w:b/>
                <w:bCs/>
                <w:sz w:val="20"/>
              </w:rPr>
            </w:pPr>
            <w:r w:rsidRPr="0349FAD4">
              <w:rPr>
                <w:rFonts w:cs="Arial" w:asciiTheme="minorHAnsi" w:hAnsiTheme="minorHAnsi"/>
                <w:b/>
                <w:bCs/>
                <w:sz w:val="20"/>
              </w:rPr>
              <w:t>Precautions</w:t>
            </w:r>
          </w:p>
        </w:tc>
        <w:tc>
          <w:tcPr>
            <w:tcW w:w="7318" w:type="dxa"/>
          </w:tcPr>
          <w:p w:rsidR="372309FD" w:rsidP="0349FAD4" w:rsidRDefault="372309FD" w14:paraId="288EC571" w14:textId="6937850A">
            <w:pPr>
              <w:pStyle w:val="BodyText"/>
              <w:rPr>
                <w:rFonts w:cs="Arial" w:asciiTheme="minorHAnsi" w:hAnsiTheme="minorHAnsi"/>
                <w:sz w:val="20"/>
              </w:rPr>
            </w:pPr>
            <w:r w:rsidRPr="0349FAD4">
              <w:rPr>
                <w:rFonts w:cs="Arial" w:asciiTheme="minorHAnsi" w:hAnsiTheme="minorHAnsi"/>
                <w:sz w:val="20"/>
              </w:rPr>
              <w:t>Infants with tachycardia</w:t>
            </w:r>
          </w:p>
        </w:tc>
      </w:tr>
      <w:tr w:rsidR="0349FAD4" w:rsidTr="00730A5C" w14:paraId="55CA83BE" w14:textId="77777777">
        <w:trPr>
          <w:trHeight w:val="276"/>
        </w:trPr>
        <w:tc>
          <w:tcPr>
            <w:tcW w:w="2033" w:type="dxa"/>
          </w:tcPr>
          <w:p w:rsidR="0349FAD4" w:rsidP="0349FAD4" w:rsidRDefault="0349FAD4" w14:paraId="2EC5A414" w14:textId="77777777">
            <w:pPr>
              <w:pStyle w:val="BodyText"/>
              <w:rPr>
                <w:rFonts w:cs="Arial" w:asciiTheme="minorHAnsi" w:hAnsiTheme="minorHAnsi"/>
                <w:b/>
                <w:bCs/>
                <w:sz w:val="20"/>
              </w:rPr>
            </w:pPr>
            <w:r w:rsidRPr="0349FAD4">
              <w:rPr>
                <w:rFonts w:cs="Arial" w:asciiTheme="minorHAnsi" w:hAnsiTheme="minorHAnsi"/>
                <w:b/>
                <w:bCs/>
                <w:sz w:val="20"/>
              </w:rPr>
              <w:t>Drug Interactions</w:t>
            </w:r>
          </w:p>
        </w:tc>
        <w:tc>
          <w:tcPr>
            <w:tcW w:w="7318" w:type="dxa"/>
          </w:tcPr>
          <w:p w:rsidR="1850844B" w:rsidP="0349FAD4" w:rsidRDefault="1850844B" w14:paraId="6D087E9B" w14:textId="0D4F13E9">
            <w:pPr>
              <w:pStyle w:val="BodyText"/>
              <w:rPr>
                <w:rFonts w:cs="Arial" w:asciiTheme="minorHAnsi" w:hAnsiTheme="minorHAnsi"/>
                <w:sz w:val="20"/>
              </w:rPr>
            </w:pPr>
            <w:r w:rsidRPr="0349FAD4">
              <w:rPr>
                <w:rFonts w:cs="Arial" w:asciiTheme="minorHAnsi" w:hAnsiTheme="minorHAnsi"/>
                <w:sz w:val="20"/>
              </w:rPr>
              <w:t>Non-selective beta-blockers may increase serum potassium.</w:t>
            </w:r>
          </w:p>
          <w:p w:rsidR="1850844B" w:rsidP="0349FAD4" w:rsidRDefault="1850844B" w14:paraId="11E0887C" w14:textId="3372DA9A">
            <w:pPr>
              <w:pStyle w:val="BodyText"/>
            </w:pPr>
            <w:r w:rsidRPr="0349FAD4">
              <w:rPr>
                <w:rFonts w:cs="Arial" w:asciiTheme="minorHAnsi" w:hAnsiTheme="minorHAnsi"/>
                <w:sz w:val="20"/>
              </w:rPr>
              <w:t>Diuretics (hydrochlorothiazide, furosemide) increase risk of hypokalaemia and ECG changes.</w:t>
            </w:r>
          </w:p>
          <w:p w:rsidR="1850844B" w:rsidP="0349FAD4" w:rsidRDefault="1850844B" w14:paraId="023C9B3B" w14:textId="4286E2B4">
            <w:pPr>
              <w:pStyle w:val="BodyText"/>
            </w:pPr>
            <w:r w:rsidRPr="0349FAD4">
              <w:rPr>
                <w:rFonts w:cs="Arial" w:asciiTheme="minorHAnsi" w:hAnsiTheme="minorHAnsi"/>
                <w:sz w:val="20"/>
              </w:rPr>
              <w:t>Salbutamol decreases digoxin concentrations.</w:t>
            </w:r>
          </w:p>
          <w:p w:rsidR="0349FAD4" w:rsidP="0349FAD4" w:rsidRDefault="0349FAD4" w14:paraId="1CC45BBD" w14:textId="2E095AAE">
            <w:pPr>
              <w:pStyle w:val="BodyText"/>
              <w:rPr>
                <w:rFonts w:cs="Arial" w:asciiTheme="minorHAnsi" w:hAnsiTheme="minorHAnsi"/>
                <w:sz w:val="20"/>
              </w:rPr>
            </w:pPr>
          </w:p>
        </w:tc>
      </w:tr>
      <w:tr w:rsidR="0349FAD4" w:rsidTr="00730A5C" w14:paraId="35577AE7" w14:textId="77777777">
        <w:trPr>
          <w:trHeight w:val="416"/>
        </w:trPr>
        <w:tc>
          <w:tcPr>
            <w:tcW w:w="2033" w:type="dxa"/>
          </w:tcPr>
          <w:p w:rsidR="0349FAD4" w:rsidP="0349FAD4" w:rsidRDefault="0349FAD4" w14:paraId="12A53449" w14:textId="77777777">
            <w:pPr>
              <w:pStyle w:val="BodyText"/>
              <w:rPr>
                <w:rFonts w:cs="Arial" w:asciiTheme="minorHAnsi" w:hAnsiTheme="minorHAnsi"/>
                <w:b/>
                <w:bCs/>
                <w:sz w:val="20"/>
              </w:rPr>
            </w:pPr>
            <w:r w:rsidRPr="0349FAD4">
              <w:rPr>
                <w:rFonts w:cs="Arial" w:asciiTheme="minorHAnsi" w:hAnsiTheme="minorHAnsi"/>
                <w:b/>
                <w:bCs/>
                <w:sz w:val="20"/>
              </w:rPr>
              <w:t xml:space="preserve">Adverse Reactions         </w:t>
            </w:r>
          </w:p>
          <w:p w:rsidR="0349FAD4" w:rsidP="0349FAD4" w:rsidRDefault="0349FAD4" w14:paraId="50B37739" w14:textId="77777777">
            <w:pPr>
              <w:pStyle w:val="BodyText"/>
              <w:rPr>
                <w:rFonts w:cs="Arial" w:asciiTheme="minorHAnsi" w:hAnsiTheme="minorHAnsi"/>
                <w:b/>
                <w:bCs/>
                <w:sz w:val="20"/>
              </w:rPr>
            </w:pPr>
          </w:p>
        </w:tc>
        <w:tc>
          <w:tcPr>
            <w:tcW w:w="7318" w:type="dxa"/>
          </w:tcPr>
          <w:p w:rsidR="012E8B8F" w:rsidP="0349FAD4" w:rsidRDefault="012E8B8F" w14:paraId="66D3D366" w14:textId="710DA3F7">
            <w:pPr>
              <w:pStyle w:val="BodyText"/>
              <w:rPr>
                <w:rFonts w:cs="Arial" w:asciiTheme="minorHAnsi" w:hAnsiTheme="minorHAnsi"/>
                <w:sz w:val="20"/>
              </w:rPr>
            </w:pPr>
            <w:r w:rsidRPr="0349FAD4">
              <w:rPr>
                <w:rFonts w:cs="Arial" w:asciiTheme="minorHAnsi" w:hAnsiTheme="minorHAnsi"/>
                <w:sz w:val="20"/>
              </w:rPr>
              <w:t>Tachycardia, tremor, hypokalaemia. There is some concern that a transient increase in serum potassium may occur in the first few minutes of treatment.8</w:t>
            </w:r>
          </w:p>
          <w:p w:rsidR="0349FAD4" w:rsidP="0349FAD4" w:rsidRDefault="0349FAD4" w14:paraId="2EEBF044" w14:textId="3DC7E4F7">
            <w:pPr>
              <w:pStyle w:val="BodyText"/>
              <w:rPr>
                <w:rFonts w:cs="Arial" w:asciiTheme="minorHAnsi" w:hAnsiTheme="minorHAnsi"/>
                <w:sz w:val="20"/>
              </w:rPr>
            </w:pPr>
          </w:p>
        </w:tc>
      </w:tr>
      <w:tr w:rsidR="0349FAD4" w:rsidTr="00730A5C" w14:paraId="4F858CAB" w14:textId="77777777">
        <w:trPr>
          <w:trHeight w:val="280"/>
        </w:trPr>
        <w:tc>
          <w:tcPr>
            <w:tcW w:w="2033" w:type="dxa"/>
          </w:tcPr>
          <w:p w:rsidR="0349FAD4" w:rsidP="0349FAD4" w:rsidRDefault="0349FAD4" w14:paraId="55BBFB82" w14:textId="77777777">
            <w:pPr>
              <w:pStyle w:val="BodyText"/>
              <w:rPr>
                <w:rFonts w:cs="Arial" w:asciiTheme="minorHAnsi" w:hAnsiTheme="minorHAnsi"/>
                <w:b/>
                <w:bCs/>
                <w:sz w:val="20"/>
              </w:rPr>
            </w:pPr>
            <w:r w:rsidRPr="0349FAD4">
              <w:rPr>
                <w:rFonts w:cs="Arial" w:asciiTheme="minorHAnsi" w:hAnsiTheme="minorHAnsi"/>
                <w:b/>
                <w:bCs/>
                <w:sz w:val="20"/>
              </w:rPr>
              <w:t>Compatibility</w:t>
            </w:r>
          </w:p>
        </w:tc>
        <w:tc>
          <w:tcPr>
            <w:tcW w:w="7318" w:type="dxa"/>
          </w:tcPr>
          <w:p w:rsidR="5FFCCC05" w:rsidP="0349FAD4" w:rsidRDefault="5FFCCC05" w14:paraId="5C59B425" w14:textId="368EBDFC">
            <w:pPr>
              <w:pStyle w:val="BodyText"/>
              <w:rPr>
                <w:rFonts w:asciiTheme="minorHAnsi" w:hAnsiTheme="minorHAnsi"/>
                <w:sz w:val="20"/>
              </w:rPr>
            </w:pPr>
            <w:r w:rsidRPr="0349FAD4">
              <w:rPr>
                <w:rFonts w:asciiTheme="minorHAnsi" w:hAnsiTheme="minorHAnsi"/>
                <w:sz w:val="20"/>
              </w:rPr>
              <w:t xml:space="preserve">IV fluids: Water for injection, glucose 5%, sodium chloride 0.9%, glucose 4% in sodium chloride 0.18%, lactated Ringer's injection  </w:t>
            </w:r>
          </w:p>
          <w:p w:rsidR="5FFCCC05" w:rsidP="0349FAD4" w:rsidRDefault="5FFCCC05" w14:paraId="08FADCCE" w14:textId="5459F032">
            <w:pPr>
              <w:pStyle w:val="BodyText"/>
            </w:pPr>
            <w:r w:rsidRPr="0349FAD4">
              <w:rPr>
                <w:rFonts w:asciiTheme="minorHAnsi" w:hAnsiTheme="minorHAnsi"/>
                <w:sz w:val="20"/>
              </w:rPr>
              <w:t xml:space="preserve">Y-site: Not recommended. Do not mix with any other drugs.  </w:t>
            </w:r>
          </w:p>
          <w:p w:rsidR="5FFCCC05" w:rsidP="0349FAD4" w:rsidRDefault="5FFCCC05" w14:paraId="2ECF60B7" w14:textId="4DB38622">
            <w:pPr>
              <w:pStyle w:val="BodyText"/>
              <w:rPr>
                <w:rFonts w:asciiTheme="minorHAnsi" w:hAnsiTheme="minorHAnsi"/>
                <w:sz w:val="20"/>
              </w:rPr>
            </w:pPr>
            <w:r w:rsidRPr="0349FAD4">
              <w:rPr>
                <w:rFonts w:asciiTheme="minorHAnsi" w:hAnsiTheme="minorHAnsi"/>
                <w:sz w:val="20"/>
              </w:rPr>
              <w:t>Inhalation: Sodium chloride 0.9%</w:t>
            </w:r>
          </w:p>
          <w:p w:rsidR="0349FAD4" w:rsidP="0349FAD4" w:rsidRDefault="0349FAD4" w14:paraId="07BFCE1B" w14:textId="6C72530C">
            <w:pPr>
              <w:pStyle w:val="BodyText"/>
              <w:rPr>
                <w:rFonts w:asciiTheme="minorHAnsi" w:hAnsiTheme="minorHAnsi"/>
                <w:sz w:val="20"/>
              </w:rPr>
            </w:pPr>
          </w:p>
        </w:tc>
      </w:tr>
      <w:tr w:rsidR="0349FAD4" w:rsidTr="00730A5C" w14:paraId="2042CC92" w14:textId="77777777">
        <w:trPr>
          <w:trHeight w:val="215"/>
        </w:trPr>
        <w:tc>
          <w:tcPr>
            <w:tcW w:w="2033" w:type="dxa"/>
          </w:tcPr>
          <w:p w:rsidR="0349FAD4" w:rsidP="0349FAD4" w:rsidRDefault="0349FAD4" w14:paraId="6B5B9B60" w14:textId="77777777">
            <w:pPr>
              <w:pStyle w:val="BodyText"/>
              <w:rPr>
                <w:rFonts w:cs="Arial" w:asciiTheme="minorHAnsi" w:hAnsiTheme="minorHAnsi"/>
                <w:b/>
                <w:bCs/>
                <w:sz w:val="20"/>
              </w:rPr>
            </w:pPr>
            <w:r w:rsidRPr="0349FAD4">
              <w:rPr>
                <w:rFonts w:cs="Arial" w:asciiTheme="minorHAnsi" w:hAnsiTheme="minorHAnsi"/>
                <w:b/>
                <w:bCs/>
                <w:sz w:val="20"/>
              </w:rPr>
              <w:t>Incompatibility</w:t>
            </w:r>
          </w:p>
        </w:tc>
        <w:tc>
          <w:tcPr>
            <w:tcW w:w="7318" w:type="dxa"/>
          </w:tcPr>
          <w:p w:rsidR="510BD4DC" w:rsidP="0349FAD4" w:rsidRDefault="510BD4DC" w14:paraId="0FE9E02A" w14:textId="64CC30C5">
            <w:pPr>
              <w:pStyle w:val="BodyText"/>
              <w:rPr>
                <w:rFonts w:cs="Arial" w:asciiTheme="minorHAnsi" w:hAnsiTheme="minorHAnsi"/>
                <w:sz w:val="20"/>
              </w:rPr>
            </w:pPr>
            <w:r w:rsidRPr="0349FAD4">
              <w:rPr>
                <w:rFonts w:cs="Arial" w:asciiTheme="minorHAnsi" w:hAnsiTheme="minorHAnsi"/>
                <w:sz w:val="20"/>
              </w:rPr>
              <w:t xml:space="preserve">IV fluids: No information. </w:t>
            </w:r>
          </w:p>
          <w:p w:rsidR="510BD4DC" w:rsidP="0349FAD4" w:rsidRDefault="510BD4DC" w14:paraId="5850BC5D" w14:textId="082C7C77">
            <w:pPr>
              <w:pStyle w:val="BodyText"/>
              <w:rPr>
                <w:rFonts w:cs="Arial" w:asciiTheme="minorHAnsi" w:hAnsiTheme="minorHAnsi"/>
                <w:sz w:val="20"/>
              </w:rPr>
            </w:pPr>
            <w:r w:rsidRPr="0349FAD4">
              <w:rPr>
                <w:rFonts w:cs="Arial" w:asciiTheme="minorHAnsi" w:hAnsiTheme="minorHAnsi"/>
                <w:sz w:val="20"/>
              </w:rPr>
              <w:t>Y-site: Pantoprazole.</w:t>
            </w:r>
          </w:p>
          <w:p w:rsidR="510BD4DC" w:rsidP="0349FAD4" w:rsidRDefault="510BD4DC" w14:paraId="0B4173D2" w14:textId="18E1E99A">
            <w:pPr>
              <w:pStyle w:val="BodyText"/>
            </w:pPr>
            <w:r w:rsidRPr="0349FAD4">
              <w:rPr>
                <w:rFonts w:cs="Arial" w:asciiTheme="minorHAnsi" w:hAnsiTheme="minorHAnsi"/>
                <w:sz w:val="20"/>
              </w:rPr>
              <w:t>Inhalation: No information</w:t>
            </w:r>
          </w:p>
          <w:p w:rsidR="0349FAD4" w:rsidP="0349FAD4" w:rsidRDefault="0349FAD4" w14:paraId="3533EAF8" w14:textId="4020C59D">
            <w:pPr>
              <w:pStyle w:val="BodyText"/>
              <w:rPr>
                <w:rFonts w:cs="Arial" w:asciiTheme="minorHAnsi" w:hAnsiTheme="minorHAnsi"/>
                <w:sz w:val="20"/>
              </w:rPr>
            </w:pPr>
          </w:p>
        </w:tc>
      </w:tr>
      <w:tr w:rsidR="0349FAD4" w:rsidTr="00730A5C" w14:paraId="22051B08" w14:textId="77777777">
        <w:trPr>
          <w:trHeight w:val="260"/>
        </w:trPr>
        <w:tc>
          <w:tcPr>
            <w:tcW w:w="2033" w:type="dxa"/>
          </w:tcPr>
          <w:p w:rsidR="0349FAD4" w:rsidP="0349FAD4" w:rsidRDefault="0349FAD4" w14:paraId="7993515B" w14:textId="77777777">
            <w:pPr>
              <w:pStyle w:val="BodyText"/>
              <w:rPr>
                <w:rFonts w:cs="Arial" w:asciiTheme="minorHAnsi" w:hAnsiTheme="minorHAnsi"/>
                <w:b/>
                <w:bCs/>
                <w:sz w:val="20"/>
              </w:rPr>
            </w:pPr>
            <w:r w:rsidRPr="0349FAD4">
              <w:rPr>
                <w:rFonts w:cs="Arial" w:asciiTheme="minorHAnsi" w:hAnsiTheme="minorHAnsi"/>
                <w:b/>
                <w:bCs/>
                <w:sz w:val="20"/>
              </w:rPr>
              <w:t xml:space="preserve">Stability </w:t>
            </w:r>
          </w:p>
        </w:tc>
        <w:tc>
          <w:tcPr>
            <w:tcW w:w="7318" w:type="dxa"/>
          </w:tcPr>
          <w:p w:rsidR="086C9256" w:rsidP="0349FAD4" w:rsidRDefault="086C9256" w14:paraId="4A1B3971" w14:textId="18FF043E">
            <w:pPr>
              <w:rPr>
                <w:rFonts w:cs="Arial" w:asciiTheme="minorHAnsi" w:hAnsiTheme="minorHAnsi"/>
                <w:sz w:val="20"/>
              </w:rPr>
            </w:pPr>
            <w:r w:rsidRPr="0349FAD4">
              <w:rPr>
                <w:rFonts w:cs="Arial" w:asciiTheme="minorHAnsi" w:hAnsiTheme="minorHAnsi"/>
                <w:sz w:val="20"/>
              </w:rPr>
              <w:t xml:space="preserve">IV: Ampoules should be used immediately after opening. Any unused solution should be discarded. Diluted solution stable for 24 hours below 25°C. </w:t>
            </w:r>
          </w:p>
          <w:p w:rsidR="0349FAD4" w:rsidP="0349FAD4" w:rsidRDefault="0349FAD4" w14:paraId="3BA0F30A" w14:textId="3831D063">
            <w:pPr>
              <w:rPr>
                <w:rFonts w:cs="Arial" w:asciiTheme="minorHAnsi" w:hAnsiTheme="minorHAnsi"/>
                <w:sz w:val="20"/>
              </w:rPr>
            </w:pPr>
          </w:p>
          <w:p w:rsidR="086C9256" w:rsidP="0349FAD4" w:rsidRDefault="086C9256" w14:paraId="186B8F85" w14:textId="59FA7ECD">
            <w:r w:rsidRPr="0349FAD4">
              <w:rPr>
                <w:rFonts w:cs="Arial" w:asciiTheme="minorHAnsi" w:hAnsiTheme="minorHAnsi"/>
                <w:sz w:val="20"/>
              </w:rPr>
              <w:t>Inhalation: Ampoules should be used immediately after opening. Any unused solution should be discarded.</w:t>
            </w:r>
          </w:p>
          <w:p w:rsidR="0349FAD4" w:rsidP="0349FAD4" w:rsidRDefault="0349FAD4" w14:paraId="4D2133CA" w14:textId="6F26101A">
            <w:pPr>
              <w:rPr>
                <w:rFonts w:cs="Arial" w:asciiTheme="minorHAnsi" w:hAnsiTheme="minorHAnsi"/>
                <w:sz w:val="20"/>
              </w:rPr>
            </w:pPr>
          </w:p>
        </w:tc>
      </w:tr>
      <w:tr w:rsidR="0349FAD4" w:rsidTr="00730A5C" w14:paraId="789209E0" w14:textId="77777777">
        <w:trPr>
          <w:trHeight w:val="265"/>
        </w:trPr>
        <w:tc>
          <w:tcPr>
            <w:tcW w:w="2033" w:type="dxa"/>
          </w:tcPr>
          <w:p w:rsidR="0349FAD4" w:rsidP="0349FAD4" w:rsidRDefault="0349FAD4" w14:paraId="084730BA" w14:textId="77777777">
            <w:pPr>
              <w:pStyle w:val="BodyText"/>
              <w:rPr>
                <w:rFonts w:cs="Arial" w:asciiTheme="minorHAnsi" w:hAnsiTheme="minorHAnsi"/>
                <w:b/>
                <w:bCs/>
                <w:sz w:val="20"/>
              </w:rPr>
            </w:pPr>
            <w:r w:rsidRPr="0349FAD4">
              <w:rPr>
                <w:rFonts w:cs="Arial" w:asciiTheme="minorHAnsi" w:hAnsiTheme="minorHAnsi"/>
                <w:b/>
                <w:bCs/>
                <w:sz w:val="20"/>
              </w:rPr>
              <w:t xml:space="preserve">Storage             </w:t>
            </w:r>
          </w:p>
        </w:tc>
        <w:tc>
          <w:tcPr>
            <w:tcW w:w="7318" w:type="dxa"/>
          </w:tcPr>
          <w:p w:rsidR="79D4FA5E" w:rsidP="0349FAD4" w:rsidRDefault="79D4FA5E" w14:paraId="1210EF73" w14:textId="6D662623">
            <w:pPr>
              <w:pStyle w:val="BodyText"/>
              <w:rPr>
                <w:rFonts w:cs="Arial" w:asciiTheme="minorHAnsi" w:hAnsiTheme="minorHAnsi"/>
                <w:sz w:val="20"/>
              </w:rPr>
            </w:pPr>
            <w:r w:rsidRPr="0349FAD4">
              <w:rPr>
                <w:rFonts w:cs="Arial" w:asciiTheme="minorHAnsi" w:hAnsiTheme="minorHAnsi"/>
                <w:sz w:val="20"/>
              </w:rPr>
              <w:t>IV ampoule: Store at room temperature below 30°C. Protect from light.</w:t>
            </w:r>
          </w:p>
          <w:p w:rsidR="0349FAD4" w:rsidP="0349FAD4" w:rsidRDefault="0349FAD4" w14:paraId="27D5AF5B" w14:textId="388C1D64">
            <w:pPr>
              <w:pStyle w:val="BodyText"/>
              <w:rPr>
                <w:rFonts w:cs="Arial" w:asciiTheme="minorHAnsi" w:hAnsiTheme="minorHAnsi"/>
                <w:sz w:val="20"/>
              </w:rPr>
            </w:pPr>
          </w:p>
          <w:p w:rsidR="79D4FA5E" w:rsidP="0349FAD4" w:rsidRDefault="79D4FA5E" w14:paraId="71FAB0AB" w14:textId="096A46DD">
            <w:pPr>
              <w:pStyle w:val="BodyText"/>
            </w:pPr>
            <w:r w:rsidRPr="0349FAD4">
              <w:rPr>
                <w:rFonts w:cs="Arial" w:asciiTheme="minorHAnsi" w:hAnsiTheme="minorHAnsi"/>
                <w:sz w:val="20"/>
              </w:rPr>
              <w:t>Inhalation ampoule: Store at room temperature below 25°C. Protect from light.</w:t>
            </w:r>
          </w:p>
          <w:p w:rsidR="0349FAD4" w:rsidP="0349FAD4" w:rsidRDefault="0349FAD4" w14:paraId="09BBCF31" w14:textId="0D6C5A33">
            <w:pPr>
              <w:pStyle w:val="BodyText"/>
              <w:rPr>
                <w:rFonts w:cs="Arial" w:asciiTheme="minorHAnsi" w:hAnsiTheme="minorHAnsi"/>
                <w:sz w:val="20"/>
              </w:rPr>
            </w:pPr>
          </w:p>
        </w:tc>
      </w:tr>
      <w:tr w:rsidR="0349FAD4" w:rsidTr="00730A5C" w14:paraId="3F4DF696" w14:textId="77777777">
        <w:trPr>
          <w:trHeight w:val="283"/>
        </w:trPr>
        <w:tc>
          <w:tcPr>
            <w:tcW w:w="2033" w:type="dxa"/>
          </w:tcPr>
          <w:p w:rsidR="0349FAD4" w:rsidP="0349FAD4" w:rsidRDefault="0349FAD4" w14:paraId="2B49E9DE" w14:textId="77777777">
            <w:pPr>
              <w:pStyle w:val="BodyText"/>
              <w:rPr>
                <w:rFonts w:cs="Arial" w:asciiTheme="minorHAnsi" w:hAnsiTheme="minorHAnsi"/>
                <w:b/>
                <w:bCs/>
                <w:sz w:val="20"/>
              </w:rPr>
            </w:pPr>
            <w:r w:rsidRPr="0349FAD4">
              <w:rPr>
                <w:rFonts w:cs="Arial" w:asciiTheme="minorHAnsi" w:hAnsiTheme="minorHAnsi"/>
                <w:b/>
                <w:bCs/>
                <w:sz w:val="20"/>
              </w:rPr>
              <w:t>Special Comments</w:t>
            </w:r>
          </w:p>
        </w:tc>
        <w:tc>
          <w:tcPr>
            <w:tcW w:w="7318" w:type="dxa"/>
          </w:tcPr>
          <w:p w:rsidR="5C8432F1" w:rsidP="0349FAD4" w:rsidRDefault="5C8432F1" w14:paraId="1890535A" w14:textId="1BDB19DC">
            <w:pPr>
              <w:pStyle w:val="BodyText"/>
              <w:rPr>
                <w:rFonts w:cs="Arial" w:asciiTheme="minorHAnsi" w:hAnsiTheme="minorHAnsi"/>
                <w:sz w:val="20"/>
              </w:rPr>
            </w:pPr>
            <w:r w:rsidRPr="0349FAD4">
              <w:rPr>
                <w:rFonts w:cs="Arial" w:asciiTheme="minorHAnsi" w:hAnsiTheme="minorHAnsi"/>
                <w:sz w:val="20"/>
              </w:rPr>
              <w:t xml:space="preserve"> Cross-check the correct strength of salbutamol intravenous and inhalation ampoules.</w:t>
            </w:r>
          </w:p>
          <w:p w:rsidR="0349FAD4" w:rsidP="0349FAD4" w:rsidRDefault="0349FAD4" w14:paraId="458D7D2E" w14:textId="64B1917A">
            <w:pPr>
              <w:pStyle w:val="BodyText"/>
              <w:rPr>
                <w:rFonts w:cs="Arial" w:asciiTheme="minorHAnsi" w:hAnsiTheme="minorHAnsi"/>
                <w:sz w:val="20"/>
              </w:rPr>
            </w:pPr>
          </w:p>
        </w:tc>
      </w:tr>
      <w:tr w:rsidR="0349FAD4" w:rsidTr="00730A5C" w14:paraId="3245DD5D" w14:textId="77777777">
        <w:trPr>
          <w:trHeight w:val="248"/>
        </w:trPr>
        <w:tc>
          <w:tcPr>
            <w:tcW w:w="2033" w:type="dxa"/>
          </w:tcPr>
          <w:p w:rsidR="0349FAD4" w:rsidP="0349FAD4" w:rsidRDefault="0349FAD4" w14:paraId="56CF21D2" w14:textId="77777777">
            <w:pPr>
              <w:pStyle w:val="BodyText"/>
              <w:rPr>
                <w:rFonts w:cs="Arial" w:asciiTheme="minorHAnsi" w:hAnsiTheme="minorHAnsi"/>
                <w:b/>
                <w:bCs/>
                <w:sz w:val="20"/>
              </w:rPr>
            </w:pPr>
            <w:r w:rsidRPr="0349FAD4">
              <w:rPr>
                <w:rFonts w:cs="Arial" w:asciiTheme="minorHAnsi" w:hAnsiTheme="minorHAnsi"/>
                <w:b/>
                <w:bCs/>
                <w:sz w:val="20"/>
              </w:rPr>
              <w:t>Evidence summary</w:t>
            </w:r>
          </w:p>
        </w:tc>
        <w:tc>
          <w:tcPr>
            <w:tcW w:w="7318" w:type="dxa"/>
          </w:tcPr>
          <w:p w:rsidRPr="00730A5C" w:rsidR="69053DFB" w:rsidP="0349FAD4" w:rsidRDefault="69053DFB" w14:paraId="670A99CF" w14:textId="2A24E7A7">
            <w:pPr>
              <w:pStyle w:val="BodyText"/>
              <w:tabs>
                <w:tab w:val="left" w:pos="1168"/>
              </w:tabs>
              <w:rPr>
                <w:rFonts w:cs="Arial" w:asciiTheme="minorHAnsi" w:hAnsiTheme="minorHAnsi"/>
                <w:b/>
                <w:bCs/>
                <w:sz w:val="16"/>
                <w:szCs w:val="16"/>
                <w:u w:val="single"/>
              </w:rPr>
            </w:pPr>
            <w:r w:rsidRPr="00730A5C">
              <w:rPr>
                <w:rFonts w:cs="Arial" w:asciiTheme="minorHAnsi" w:hAnsiTheme="minorHAnsi"/>
                <w:b/>
                <w:bCs/>
                <w:sz w:val="16"/>
                <w:szCs w:val="16"/>
                <w:u w:val="single"/>
              </w:rPr>
              <w:t>Efficacy and safety</w:t>
            </w:r>
          </w:p>
          <w:p w:rsidRPr="00730A5C" w:rsidR="69053DFB" w:rsidP="0349FAD4" w:rsidRDefault="69053DFB" w14:paraId="52422C1C" w14:textId="06F42836">
            <w:pPr>
              <w:pStyle w:val="BodyText"/>
              <w:tabs>
                <w:tab w:val="left" w:pos="1168"/>
              </w:tabs>
              <w:rPr>
                <w:rFonts w:cs="Arial" w:asciiTheme="minorHAnsi" w:hAnsiTheme="minorHAnsi"/>
                <w:sz w:val="16"/>
                <w:szCs w:val="16"/>
              </w:rPr>
            </w:pPr>
            <w:r w:rsidRPr="00730A5C">
              <w:rPr>
                <w:rFonts w:cs="Arial" w:asciiTheme="minorHAnsi" w:hAnsiTheme="minorHAnsi"/>
                <w:b/>
                <w:bCs/>
                <w:sz w:val="16"/>
                <w:szCs w:val="16"/>
              </w:rPr>
              <w:t>Treatment of hyperkalaemia:</w:t>
            </w:r>
            <w:r w:rsidRPr="00730A5C">
              <w:rPr>
                <w:rFonts w:cs="Arial" w:asciiTheme="minorHAnsi" w:hAnsiTheme="minorHAnsi"/>
                <w:sz w:val="16"/>
                <w:szCs w:val="16"/>
              </w:rPr>
              <w:t xml:space="preserve"> A systematic review identified one study (Singh et al., 2002) of 19 infants which compared inhaled salbutamol [albuterol] versus placebo for non-oliguric hyperkalaemia (serum K+ 5–7.5 mmol/L) in premature newborns.1 Inhaled salbutamol 400 microgram, repeated 2-hourly as required, reduced serum K+ from baseline at 4 hours (mean difference 0.69 mmol/L) and 8 hours (mean difference 0.59 mmol/L).1 All-cause mortality was not reduced and cardiac arrhythmia did not occur in either study group. </w:t>
            </w:r>
          </w:p>
          <w:p w:rsidRPr="00730A5C" w:rsidR="69053DFB" w:rsidP="0349FAD4" w:rsidRDefault="69053DFB" w14:paraId="0F1376A9" w14:textId="4B6AC9A9">
            <w:pPr>
              <w:pStyle w:val="BodyText"/>
              <w:tabs>
                <w:tab w:val="left" w:pos="1168"/>
              </w:tabs>
              <w:rPr>
                <w:rFonts w:cs="Arial" w:asciiTheme="minorHAnsi" w:hAnsiTheme="minorHAnsi"/>
                <w:sz w:val="16"/>
                <w:szCs w:val="16"/>
              </w:rPr>
            </w:pPr>
            <w:r w:rsidRPr="00730A5C">
              <w:rPr>
                <w:rFonts w:cs="Arial" w:asciiTheme="minorHAnsi" w:hAnsiTheme="minorHAnsi"/>
                <w:sz w:val="16"/>
                <w:szCs w:val="16"/>
              </w:rPr>
              <w:t>There was no significant</w:t>
            </w:r>
            <w:r w:rsidRPr="00730A5C" w:rsidR="1DBCEF85">
              <w:rPr>
                <w:rFonts w:cs="Arial" w:asciiTheme="minorHAnsi" w:hAnsiTheme="minorHAnsi"/>
                <w:sz w:val="16"/>
                <w:szCs w:val="16"/>
              </w:rPr>
              <w:t xml:space="preserve"> </w:t>
            </w:r>
            <w:r w:rsidRPr="00730A5C">
              <w:rPr>
                <w:rFonts w:cs="Arial" w:asciiTheme="minorHAnsi" w:hAnsiTheme="minorHAnsi"/>
                <w:sz w:val="16"/>
                <w:szCs w:val="16"/>
              </w:rPr>
              <w:t>difference in severe IVH, tremor, hyperglycaemia or pulmonary haemorrhage.1</w:t>
            </w:r>
          </w:p>
          <w:p w:rsidRPr="00730A5C" w:rsidR="0349FAD4" w:rsidP="0349FAD4" w:rsidRDefault="0349FAD4" w14:paraId="3DF2549C" w14:textId="635D66AB">
            <w:pPr>
              <w:pStyle w:val="BodyText"/>
              <w:tabs>
                <w:tab w:val="left" w:pos="1168"/>
              </w:tabs>
              <w:rPr>
                <w:rFonts w:cs="Arial" w:asciiTheme="minorHAnsi" w:hAnsiTheme="minorHAnsi"/>
                <w:sz w:val="16"/>
                <w:szCs w:val="16"/>
              </w:rPr>
            </w:pPr>
          </w:p>
          <w:p w:rsidRPr="00730A5C" w:rsidR="340156ED" w:rsidP="0349FAD4" w:rsidRDefault="340156ED" w14:paraId="29F67EDA" w14:textId="4FD8B698">
            <w:pPr>
              <w:pStyle w:val="BodyText"/>
              <w:tabs>
                <w:tab w:val="left" w:pos="1168"/>
              </w:tabs>
              <w:rPr>
                <w:rFonts w:cs="Arial" w:asciiTheme="minorHAnsi" w:hAnsiTheme="minorHAnsi"/>
                <w:sz w:val="16"/>
                <w:szCs w:val="16"/>
              </w:rPr>
            </w:pPr>
            <w:r w:rsidRPr="00730A5C">
              <w:rPr>
                <w:rFonts w:cs="Arial" w:asciiTheme="minorHAnsi" w:hAnsiTheme="minorHAnsi"/>
                <w:sz w:val="16"/>
                <w:szCs w:val="16"/>
              </w:rPr>
              <w:t>A number of case reports and case series have been published documenting the efficacy of salbutamol by infusion for treatment of hyperkalaemia in the newborn. Greenhough et al reported the use of IV salbutamol 4 microgram/kg over 20 minutes in 10 consecutive neonates with hyperkalaemia.2 The potassium fell in 7 of the 10 infants (range 0.7–1.8 mmol/L) but continued to rise in 3 infants, all of whom had a persistent metabolic acidosis.2</w:t>
            </w:r>
          </w:p>
          <w:p w:rsidRPr="00730A5C" w:rsidR="0349FAD4" w:rsidP="0349FAD4" w:rsidRDefault="0349FAD4" w14:paraId="52395BED" w14:textId="561973B9">
            <w:pPr>
              <w:pStyle w:val="BodyText"/>
              <w:tabs>
                <w:tab w:val="left" w:pos="1168"/>
              </w:tabs>
              <w:rPr>
                <w:rFonts w:cs="Arial" w:asciiTheme="minorHAnsi" w:hAnsiTheme="minorHAnsi"/>
                <w:sz w:val="16"/>
                <w:szCs w:val="16"/>
              </w:rPr>
            </w:pPr>
          </w:p>
          <w:p w:rsidRPr="00730A5C" w:rsidR="340156ED" w:rsidP="0349FAD4" w:rsidRDefault="340156ED" w14:paraId="2532EFA3" w14:textId="6488208E">
            <w:pPr>
              <w:pStyle w:val="BodyText"/>
              <w:tabs>
                <w:tab w:val="left" w:pos="1168"/>
              </w:tabs>
              <w:rPr>
                <w:rFonts w:cs="Arial" w:asciiTheme="minorHAnsi" w:hAnsiTheme="minorHAnsi"/>
                <w:sz w:val="16"/>
                <w:szCs w:val="16"/>
              </w:rPr>
            </w:pPr>
            <w:r w:rsidRPr="00730A5C">
              <w:rPr>
                <w:rFonts w:cs="Arial" w:asciiTheme="minorHAnsi" w:hAnsiTheme="minorHAnsi"/>
                <w:sz w:val="16"/>
                <w:szCs w:val="16"/>
              </w:rPr>
              <w:t xml:space="preserve">Murdoch et al reported on the use of IV salbutamol 4 microgram/kg over 20 minutes in 13 children (ages 0.01–16.7 years) with hyperkalaemia.3 The mean reduction in plasma potassium concentration was 1.48 mmol/L at 40 minutes and 1.64 mmol/L at 120 minutes.3 </w:t>
            </w:r>
          </w:p>
          <w:p w:rsidRPr="00730A5C" w:rsidR="0349FAD4" w:rsidP="0349FAD4" w:rsidRDefault="0349FAD4" w14:paraId="0989E7E6" w14:textId="34CFF79A">
            <w:pPr>
              <w:pStyle w:val="BodyText"/>
              <w:tabs>
                <w:tab w:val="left" w:pos="1168"/>
              </w:tabs>
              <w:rPr>
                <w:rFonts w:cs="Arial" w:asciiTheme="minorHAnsi" w:hAnsiTheme="minorHAnsi"/>
                <w:sz w:val="16"/>
                <w:szCs w:val="16"/>
              </w:rPr>
            </w:pPr>
          </w:p>
          <w:p w:rsidRPr="00730A5C" w:rsidR="340156ED" w:rsidP="0349FAD4" w:rsidRDefault="340156ED" w14:paraId="66279545" w14:textId="4D24243C">
            <w:pPr>
              <w:pStyle w:val="BodyText"/>
              <w:tabs>
                <w:tab w:val="left" w:pos="1168"/>
              </w:tabs>
              <w:rPr>
                <w:rFonts w:cs="Arial" w:asciiTheme="minorHAnsi" w:hAnsiTheme="minorHAnsi"/>
                <w:sz w:val="16"/>
                <w:szCs w:val="16"/>
              </w:rPr>
            </w:pPr>
            <w:r w:rsidRPr="00730A5C">
              <w:rPr>
                <w:rFonts w:cs="Arial" w:asciiTheme="minorHAnsi" w:hAnsiTheme="minorHAnsi"/>
                <w:sz w:val="16"/>
                <w:szCs w:val="16"/>
              </w:rPr>
              <w:lastRenderedPageBreak/>
              <w:t>Kemper et al reported on the use of IV salbutamol at 5 microgram/kg over 20 minutes in 15 children (ages 0.1–16 years) with hyperkalaemia.4 The mean reduction in plasma potassium concentration</w:t>
            </w:r>
            <w:r w:rsidRPr="00730A5C" w:rsidR="6D2B7028">
              <w:rPr>
                <w:rFonts w:cs="Arial" w:asciiTheme="minorHAnsi" w:hAnsiTheme="minorHAnsi"/>
                <w:sz w:val="16"/>
                <w:szCs w:val="16"/>
              </w:rPr>
              <w:t xml:space="preserve"> </w:t>
            </w:r>
            <w:r w:rsidRPr="00730A5C">
              <w:rPr>
                <w:rFonts w:cs="Arial" w:asciiTheme="minorHAnsi" w:hAnsiTheme="minorHAnsi"/>
                <w:sz w:val="16"/>
                <w:szCs w:val="16"/>
              </w:rPr>
              <w:t>was 0.87 mmol/L at 30 minutes and 1.69 mmol/L at 120 minutes. Transient tachycardia was detected in three patients.4</w:t>
            </w:r>
          </w:p>
          <w:p w:rsidRPr="00730A5C" w:rsidR="0349FAD4" w:rsidP="0349FAD4" w:rsidRDefault="0349FAD4" w14:paraId="29812674" w14:textId="33D6BAF9">
            <w:pPr>
              <w:pStyle w:val="BodyText"/>
              <w:tabs>
                <w:tab w:val="left" w:pos="1168"/>
              </w:tabs>
              <w:rPr>
                <w:rFonts w:cs="Arial" w:asciiTheme="minorHAnsi" w:hAnsiTheme="minorHAnsi"/>
                <w:sz w:val="16"/>
                <w:szCs w:val="16"/>
              </w:rPr>
            </w:pPr>
          </w:p>
          <w:p w:rsidRPr="00730A5C" w:rsidR="28A426B5" w:rsidP="0349FAD4" w:rsidRDefault="28A426B5" w14:paraId="0A8ABA22" w14:textId="77FA3904">
            <w:pPr>
              <w:pStyle w:val="BodyText"/>
              <w:tabs>
                <w:tab w:val="left" w:pos="1168"/>
              </w:tabs>
              <w:rPr>
                <w:rFonts w:cs="Arial" w:asciiTheme="minorHAnsi" w:hAnsiTheme="minorHAnsi"/>
                <w:sz w:val="16"/>
                <w:szCs w:val="16"/>
              </w:rPr>
            </w:pPr>
            <w:r w:rsidRPr="00730A5C">
              <w:rPr>
                <w:rFonts w:cs="Arial" w:asciiTheme="minorHAnsi" w:hAnsiTheme="minorHAnsi"/>
                <w:b/>
                <w:bCs/>
                <w:i/>
                <w:iCs/>
                <w:sz w:val="16"/>
                <w:szCs w:val="16"/>
              </w:rPr>
              <w:t>Recommendation:</w:t>
            </w:r>
            <w:r w:rsidRPr="00730A5C">
              <w:rPr>
                <w:rFonts w:cs="Arial" w:asciiTheme="minorHAnsi" w:hAnsiTheme="minorHAnsi"/>
                <w:sz w:val="16"/>
                <w:szCs w:val="16"/>
              </w:rPr>
              <w:t xml:space="preserve"> Salbutamol (either inhaled or intravenously administered) may be used in the treatment of hyperkalaemia in the neonate. Salbutamol may be useful in settings where hypoglycaemia limits the use of insulin. Salbutamol may have additive effects when used with insulin and glucose. Salbutamol appears to be generally safe with limited risk of tachycardia. (LOE II – II GOR B).</w:t>
            </w:r>
          </w:p>
          <w:p w:rsidRPr="00730A5C" w:rsidR="0349FAD4" w:rsidP="0349FAD4" w:rsidRDefault="0349FAD4" w14:paraId="19BB4B24" w14:textId="2C7F6896">
            <w:pPr>
              <w:pStyle w:val="BodyText"/>
              <w:tabs>
                <w:tab w:val="left" w:pos="1168"/>
              </w:tabs>
              <w:rPr>
                <w:rFonts w:cs="Arial" w:asciiTheme="minorHAnsi" w:hAnsiTheme="minorHAnsi"/>
                <w:sz w:val="16"/>
                <w:szCs w:val="16"/>
              </w:rPr>
            </w:pPr>
          </w:p>
          <w:p w:rsidRPr="00730A5C" w:rsidR="28A426B5" w:rsidP="0349FAD4" w:rsidRDefault="28A426B5" w14:paraId="0E7048AB" w14:textId="75EE98B2">
            <w:pPr>
              <w:pStyle w:val="BodyText"/>
              <w:tabs>
                <w:tab w:val="left" w:pos="1168"/>
              </w:tabs>
              <w:rPr>
                <w:rFonts w:cs="Arial" w:asciiTheme="minorHAnsi" w:hAnsiTheme="minorHAnsi"/>
                <w:sz w:val="16"/>
                <w:szCs w:val="16"/>
              </w:rPr>
            </w:pPr>
            <w:r w:rsidRPr="00730A5C">
              <w:rPr>
                <w:rFonts w:cs="Arial" w:asciiTheme="minorHAnsi" w:hAnsiTheme="minorHAnsi"/>
                <w:b/>
                <w:bCs/>
                <w:sz w:val="16"/>
                <w:szCs w:val="16"/>
              </w:rPr>
              <w:t>Treatment of respiratory disease:</w:t>
            </w:r>
            <w:r w:rsidRPr="00730A5C">
              <w:rPr>
                <w:rFonts w:cs="Arial" w:asciiTheme="minorHAnsi" w:hAnsiTheme="minorHAnsi"/>
                <w:sz w:val="16"/>
                <w:szCs w:val="16"/>
              </w:rPr>
              <w:t xml:space="preserve"> Systematic review of 3 trials including 140 infants comparing</w:t>
            </w:r>
            <w:r w:rsidRPr="00730A5C" w:rsidR="7173B691">
              <w:rPr>
                <w:rFonts w:cs="Arial" w:asciiTheme="minorHAnsi" w:hAnsiTheme="minorHAnsi"/>
                <w:sz w:val="16"/>
                <w:szCs w:val="16"/>
              </w:rPr>
              <w:t xml:space="preserve"> </w:t>
            </w:r>
            <w:r w:rsidRPr="00730A5C">
              <w:rPr>
                <w:rFonts w:cs="Arial" w:asciiTheme="minorHAnsi" w:hAnsiTheme="minorHAnsi"/>
                <w:sz w:val="16"/>
                <w:szCs w:val="16"/>
              </w:rPr>
              <w:t>salbutamol versus placebo in near term or term infants less than three days of age with transient</w:t>
            </w:r>
            <w:r w:rsidRPr="00730A5C" w:rsidR="4C7D0DB3">
              <w:rPr>
                <w:rFonts w:cs="Arial" w:asciiTheme="minorHAnsi" w:hAnsiTheme="minorHAnsi"/>
                <w:sz w:val="16"/>
                <w:szCs w:val="16"/>
              </w:rPr>
              <w:t xml:space="preserve"> </w:t>
            </w:r>
            <w:r w:rsidRPr="00730A5C">
              <w:rPr>
                <w:rFonts w:cs="Arial" w:asciiTheme="minorHAnsi" w:hAnsiTheme="minorHAnsi"/>
                <w:sz w:val="16"/>
                <w:szCs w:val="16"/>
              </w:rPr>
              <w:t xml:space="preserve">tachypnoea of the newborn found a reduction in the duration of oxygen therapy (MD -43.10 hours 95% CI -81.60 to -4.60), but no difference in the need for CPAP, mechanical ventilation or duration of hospital stay and tachypnoea. At present there is insufficient evidence to determine the efficacy and safety of salbutamol in the management of transient tachypnoea of the newborn.5 </w:t>
            </w:r>
          </w:p>
          <w:p w:rsidRPr="00730A5C" w:rsidR="0349FAD4" w:rsidP="0349FAD4" w:rsidRDefault="0349FAD4" w14:paraId="6BDC6895" w14:textId="23191E45">
            <w:pPr>
              <w:pStyle w:val="BodyText"/>
              <w:tabs>
                <w:tab w:val="left" w:pos="1168"/>
              </w:tabs>
              <w:rPr>
                <w:rFonts w:cs="Arial" w:asciiTheme="minorHAnsi" w:hAnsiTheme="minorHAnsi"/>
                <w:sz w:val="16"/>
                <w:szCs w:val="16"/>
              </w:rPr>
            </w:pPr>
          </w:p>
          <w:p w:rsidRPr="00730A5C" w:rsidR="28A426B5" w:rsidP="0349FAD4" w:rsidRDefault="28A426B5" w14:paraId="27D29EC2" w14:textId="5D9C9FB3">
            <w:pPr>
              <w:pStyle w:val="BodyText"/>
              <w:tabs>
                <w:tab w:val="left" w:pos="1168"/>
              </w:tabs>
              <w:rPr>
                <w:rFonts w:cs="Arial" w:asciiTheme="minorHAnsi" w:hAnsiTheme="minorHAnsi"/>
                <w:sz w:val="16"/>
                <w:szCs w:val="16"/>
              </w:rPr>
            </w:pPr>
            <w:r w:rsidRPr="00730A5C">
              <w:rPr>
                <w:rFonts w:cs="Arial" w:asciiTheme="minorHAnsi" w:hAnsiTheme="minorHAnsi"/>
                <w:sz w:val="16"/>
                <w:szCs w:val="16"/>
              </w:rPr>
              <w:t>Systematic review6 found a single study that reported prophylaxis of preterm infants at risk of</w:t>
            </w:r>
            <w:r w:rsidRPr="00730A5C" w:rsidR="6BB69089">
              <w:rPr>
                <w:rFonts w:cs="Arial" w:asciiTheme="minorHAnsi" w:hAnsiTheme="minorHAnsi"/>
                <w:sz w:val="16"/>
                <w:szCs w:val="16"/>
              </w:rPr>
              <w:t xml:space="preserve"> </w:t>
            </w:r>
            <w:r w:rsidRPr="00730A5C">
              <w:rPr>
                <w:rFonts w:cs="Arial" w:asciiTheme="minorHAnsi" w:hAnsiTheme="minorHAnsi"/>
                <w:sz w:val="16"/>
                <w:szCs w:val="16"/>
              </w:rPr>
              <w:t xml:space="preserve">chronic lung disease with salbutamol led to no difference in mortality (RR 1.08, 95% CI 0.50 to 2.31) or CLD (RR 1.03, 95% CI 0.78 to 1.37). There is no evidence for the use of salbutamol for prevention of chronic lung disease. </w:t>
            </w:r>
          </w:p>
          <w:p w:rsidRPr="00730A5C" w:rsidR="0349FAD4" w:rsidP="0349FAD4" w:rsidRDefault="0349FAD4" w14:paraId="095F7A2F" w14:textId="62019385">
            <w:pPr>
              <w:pStyle w:val="BodyText"/>
              <w:tabs>
                <w:tab w:val="left" w:pos="1168"/>
              </w:tabs>
              <w:rPr>
                <w:rFonts w:cs="Arial" w:asciiTheme="minorHAnsi" w:hAnsiTheme="minorHAnsi"/>
                <w:sz w:val="16"/>
                <w:szCs w:val="16"/>
              </w:rPr>
            </w:pPr>
          </w:p>
          <w:p w:rsidRPr="00730A5C" w:rsidR="28A426B5" w:rsidP="0349FAD4" w:rsidRDefault="28A426B5" w14:paraId="31F23C3E" w14:textId="76199442">
            <w:pPr>
              <w:pStyle w:val="BodyText"/>
              <w:tabs>
                <w:tab w:val="left" w:pos="1168"/>
              </w:tabs>
              <w:rPr>
                <w:rFonts w:cs="Arial" w:asciiTheme="minorHAnsi" w:hAnsiTheme="minorHAnsi"/>
                <w:sz w:val="16"/>
                <w:szCs w:val="16"/>
              </w:rPr>
            </w:pPr>
            <w:r w:rsidRPr="00730A5C">
              <w:rPr>
                <w:rFonts w:cs="Arial" w:asciiTheme="minorHAnsi" w:hAnsiTheme="minorHAnsi"/>
                <w:b/>
                <w:bCs/>
                <w:i/>
                <w:iCs/>
                <w:sz w:val="16"/>
                <w:szCs w:val="16"/>
              </w:rPr>
              <w:t>Recommendation:</w:t>
            </w:r>
            <w:r w:rsidRPr="00730A5C" w:rsidR="01F9E885">
              <w:rPr>
                <w:rFonts w:cs="Arial" w:asciiTheme="minorHAnsi" w:hAnsiTheme="minorHAnsi"/>
                <w:sz w:val="16"/>
                <w:szCs w:val="16"/>
              </w:rPr>
              <w:t xml:space="preserve"> </w:t>
            </w:r>
            <w:r w:rsidRPr="00730A5C">
              <w:rPr>
                <w:rFonts w:cs="Arial" w:asciiTheme="minorHAnsi" w:hAnsiTheme="minorHAnsi"/>
                <w:sz w:val="16"/>
                <w:szCs w:val="16"/>
              </w:rPr>
              <w:t>There is insufficient evidence to recommend use of nebulised salbutamol in</w:t>
            </w:r>
            <w:r w:rsidRPr="00730A5C" w:rsidR="1C3CC3BD">
              <w:rPr>
                <w:rFonts w:cs="Arial" w:asciiTheme="minorHAnsi" w:hAnsiTheme="minorHAnsi"/>
                <w:sz w:val="16"/>
                <w:szCs w:val="16"/>
              </w:rPr>
              <w:t xml:space="preserve"> </w:t>
            </w:r>
            <w:r w:rsidRPr="00730A5C">
              <w:rPr>
                <w:rFonts w:cs="Arial" w:asciiTheme="minorHAnsi" w:hAnsiTheme="minorHAnsi"/>
                <w:sz w:val="16"/>
                <w:szCs w:val="16"/>
              </w:rPr>
              <w:t>newborn infants with respiratory disease. (LOE I GOR C)</w:t>
            </w:r>
          </w:p>
          <w:p w:rsidRPr="00730A5C" w:rsidR="0349FAD4" w:rsidP="0349FAD4" w:rsidRDefault="0349FAD4" w14:paraId="42FAB110" w14:textId="10718050">
            <w:pPr>
              <w:pStyle w:val="BodyText"/>
              <w:tabs>
                <w:tab w:val="left" w:pos="1168"/>
              </w:tabs>
              <w:rPr>
                <w:rFonts w:cs="Arial" w:asciiTheme="minorHAnsi" w:hAnsiTheme="minorHAnsi"/>
                <w:sz w:val="16"/>
                <w:szCs w:val="16"/>
              </w:rPr>
            </w:pPr>
          </w:p>
          <w:p w:rsidRPr="00730A5C" w:rsidR="606EC9C9" w:rsidP="0349FAD4" w:rsidRDefault="606EC9C9" w14:paraId="01EED0ED" w14:textId="17041026">
            <w:pPr>
              <w:pStyle w:val="BodyText"/>
              <w:tabs>
                <w:tab w:val="left" w:pos="1168"/>
              </w:tabs>
              <w:rPr>
                <w:rFonts w:cs="Arial" w:asciiTheme="minorHAnsi" w:hAnsiTheme="minorHAnsi"/>
                <w:b/>
                <w:bCs/>
                <w:sz w:val="16"/>
                <w:szCs w:val="16"/>
                <w:u w:val="single"/>
              </w:rPr>
            </w:pPr>
            <w:r w:rsidRPr="00730A5C">
              <w:rPr>
                <w:rFonts w:cs="Arial" w:asciiTheme="minorHAnsi" w:hAnsiTheme="minorHAnsi"/>
                <w:b/>
                <w:bCs/>
                <w:sz w:val="16"/>
                <w:szCs w:val="16"/>
                <w:u w:val="single"/>
              </w:rPr>
              <w:t>Pharmacokinetics</w:t>
            </w:r>
          </w:p>
          <w:p w:rsidRPr="00730A5C" w:rsidR="606EC9C9" w:rsidP="0349FAD4" w:rsidRDefault="606EC9C9" w14:paraId="3CABB858" w14:textId="07E2EF9F">
            <w:pPr>
              <w:pStyle w:val="BodyText"/>
              <w:tabs>
                <w:tab w:val="left" w:pos="1168"/>
              </w:tabs>
              <w:rPr>
                <w:rFonts w:cs="Arial" w:asciiTheme="minorHAnsi" w:hAnsiTheme="minorHAnsi"/>
                <w:sz w:val="16"/>
                <w:szCs w:val="16"/>
              </w:rPr>
            </w:pPr>
            <w:r w:rsidRPr="00730A5C">
              <w:rPr>
                <w:rFonts w:cs="Arial" w:asciiTheme="minorHAnsi" w:hAnsiTheme="minorHAnsi"/>
                <w:sz w:val="16"/>
                <w:szCs w:val="16"/>
              </w:rPr>
              <w:t>Reports describing the pharmacokinetics of intravenous salbutamol in neonates and children are limited. Kirpalani et al studied the pharmacokinetics of a single dose of intravenous salbutamol in six preterm infants (GA 24 to 28 weeks), postnatal age 54 to 105 days, with bronchopulmonary dysplasia.7 The elimination half-life of salbutamol was 118 minutes (range 69 to 162 minutes) volume of distribution was 1291 mL/kg (range 246 to 2997) and clearance 7.5 mL/kg/min (range 2.46 to 20.1).7 The authors noted that the elimination half-life in their neonates was slightly shorter</w:t>
            </w:r>
            <w:r w:rsidRPr="00730A5C" w:rsidR="369D4003">
              <w:rPr>
                <w:rFonts w:cs="Arial" w:asciiTheme="minorHAnsi" w:hAnsiTheme="minorHAnsi"/>
                <w:sz w:val="16"/>
                <w:szCs w:val="16"/>
              </w:rPr>
              <w:t xml:space="preserve"> </w:t>
            </w:r>
            <w:r w:rsidRPr="00730A5C">
              <w:rPr>
                <w:rFonts w:cs="Arial" w:asciiTheme="minorHAnsi" w:hAnsiTheme="minorHAnsi"/>
                <w:sz w:val="16"/>
                <w:szCs w:val="16"/>
              </w:rPr>
              <w:t>than that of healthy adults.7</w:t>
            </w:r>
          </w:p>
          <w:p w:rsidRPr="00730A5C" w:rsidR="0349FAD4" w:rsidP="0349FAD4" w:rsidRDefault="0349FAD4" w14:paraId="02CEC6C8" w14:textId="3D585E19">
            <w:pPr>
              <w:pStyle w:val="BodyText"/>
              <w:tabs>
                <w:tab w:val="left" w:pos="1168"/>
              </w:tabs>
              <w:rPr>
                <w:rFonts w:cs="Arial" w:asciiTheme="minorHAnsi" w:hAnsiTheme="minorHAnsi"/>
                <w:sz w:val="16"/>
                <w:szCs w:val="16"/>
              </w:rPr>
            </w:pPr>
          </w:p>
        </w:tc>
      </w:tr>
      <w:tr w:rsidR="0349FAD4" w:rsidTr="00730A5C" w14:paraId="2D4D07FC" w14:textId="77777777">
        <w:trPr>
          <w:trHeight w:val="361"/>
        </w:trPr>
        <w:tc>
          <w:tcPr>
            <w:tcW w:w="2033" w:type="dxa"/>
          </w:tcPr>
          <w:p w:rsidR="0349FAD4" w:rsidP="0349FAD4" w:rsidRDefault="0349FAD4" w14:paraId="6EAD6FDD" w14:textId="77777777">
            <w:pPr>
              <w:pStyle w:val="BodyText"/>
              <w:rPr>
                <w:rFonts w:cs="Arial" w:asciiTheme="minorHAnsi" w:hAnsiTheme="minorHAnsi"/>
                <w:b/>
                <w:bCs/>
                <w:sz w:val="20"/>
              </w:rPr>
            </w:pPr>
            <w:r w:rsidRPr="0349FAD4">
              <w:rPr>
                <w:rFonts w:asciiTheme="minorHAnsi" w:hAnsiTheme="minorHAnsi"/>
                <w:b/>
                <w:bCs/>
                <w:sz w:val="20"/>
              </w:rPr>
              <w:lastRenderedPageBreak/>
              <w:t>References</w:t>
            </w:r>
          </w:p>
        </w:tc>
        <w:tc>
          <w:tcPr>
            <w:tcW w:w="7318" w:type="dxa"/>
          </w:tcPr>
          <w:p w:rsidR="2BC441ED" w:rsidP="0349FAD4" w:rsidRDefault="2BC441ED" w14:paraId="01A75812" w14:textId="587834C3">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Singh B, Sadiq H, Noguchi A and Keenan W. (2002). Efficacy of albuterol inhalation in treatment</w:t>
            </w:r>
          </w:p>
          <w:p w:rsidR="2BC441ED" w:rsidP="0349FAD4" w:rsidRDefault="2BC441ED" w14:paraId="1DCE9F95" w14:textId="3BA05085">
            <w:r w:rsidRPr="0349FAD4">
              <w:rPr>
                <w:rFonts w:asciiTheme="minorHAnsi" w:hAnsiTheme="minorHAnsi" w:eastAsiaTheme="minorEastAsia" w:cstheme="minorBidi"/>
                <w:sz w:val="16"/>
                <w:szCs w:val="16"/>
              </w:rPr>
              <w:t>of hyperkalemia in premature neonates. The Journal of Pediatrics, 141(1), pp.16-20.</w:t>
            </w:r>
          </w:p>
          <w:p w:rsidR="2BC441ED" w:rsidP="0349FAD4" w:rsidRDefault="2BC441ED" w14:paraId="0C49A70F" w14:textId="5EFA6F06">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2.  Greenough A, Emery E, Brooker R and Gamsu H (1992). Salbutamol infusion to treat neonatal</w:t>
            </w:r>
          </w:p>
          <w:p w:rsidR="2BC441ED" w:rsidP="0349FAD4" w:rsidRDefault="2BC441ED" w14:paraId="1ED73B64" w14:textId="26468800">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hyperkalaemia. Journal of Perinatal Medicine, 20(6), pp.437-441.</w:t>
            </w:r>
          </w:p>
          <w:p w:rsidR="2BC441ED" w:rsidP="0349FAD4" w:rsidRDefault="2BC441ED" w14:paraId="4F4345D2" w14:textId="1789D1C6">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 xml:space="preserve">3.  Murdoch I, Dos Anjos R and Haycock G. (1991). Treatment of hyperkalaemia with intravenous </w:t>
            </w:r>
          </w:p>
          <w:p w:rsidR="2BC441ED" w:rsidP="0349FAD4" w:rsidRDefault="2BC441ED" w14:paraId="48A1053D" w14:textId="701D018E">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salbutamol. Archives of Disease in Childhood, 66(4), pp.527-528.</w:t>
            </w:r>
          </w:p>
          <w:p w:rsidR="2BC441ED" w:rsidP="0349FAD4" w:rsidRDefault="2BC441ED" w14:paraId="1567AD4A" w14:textId="3DD0A0C0">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4.  Kemper M, Harps E, Hellwege H and Müller-Wiefel D. (1996). Effective treatment of acute</w:t>
            </w:r>
          </w:p>
          <w:p w:rsidR="2BC441ED" w:rsidP="0349FAD4" w:rsidRDefault="2BC441ED" w14:paraId="6F625039" w14:textId="63D23D8E">
            <w:r w:rsidRPr="0349FAD4">
              <w:rPr>
                <w:rFonts w:asciiTheme="minorHAnsi" w:hAnsiTheme="minorHAnsi" w:eastAsiaTheme="minorEastAsia" w:cstheme="minorBidi"/>
                <w:sz w:val="16"/>
                <w:szCs w:val="16"/>
              </w:rPr>
              <w:t xml:space="preserve">hyperkalaemia in childhood by short-term infusion of salbutamol. European Journal of </w:t>
            </w:r>
          </w:p>
          <w:p w:rsidR="2BC441ED" w:rsidP="0349FAD4" w:rsidRDefault="2BC441ED" w14:paraId="62343B1C" w14:textId="50BBD01B">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Pediatrics, 155(6), pp.495-497.</w:t>
            </w:r>
          </w:p>
          <w:p w:rsidR="2BC441ED" w:rsidP="0349FAD4" w:rsidRDefault="2BC441ED" w14:paraId="08CA59EA" w14:textId="13783B8F">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5.  Moresco L, Bruschettini M, Cohen A, Gaiero A, Calevo MG. Salbutamol for transient tachypnea</w:t>
            </w:r>
          </w:p>
          <w:p w:rsidR="2BC441ED" w:rsidP="0349FAD4" w:rsidRDefault="2BC441ED" w14:paraId="49D59A97" w14:textId="1C061EAF">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of the newborn. Cochrane Database Syst Rev. 2016.</w:t>
            </w:r>
          </w:p>
          <w:p w:rsidR="2BC441ED" w:rsidP="0349FAD4" w:rsidRDefault="2BC441ED" w14:paraId="29CD2EAB" w14:textId="7C5C7C46">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6.  Ng G, da Silva O, Ohlsson A. Bronchodilators for the prevention and treatment of chronic lung</w:t>
            </w:r>
          </w:p>
          <w:p w:rsidR="2BC441ED" w:rsidP="0349FAD4" w:rsidRDefault="2BC441ED" w14:paraId="0B3D88FB" w14:textId="62F947AA">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disease in preterm infants. Cochrane Database Syst Rev. 2016.</w:t>
            </w:r>
          </w:p>
          <w:p w:rsidR="2BC441ED" w:rsidP="0349FAD4" w:rsidRDefault="2BC441ED" w14:paraId="29FE86DB" w14:textId="6CAD5438">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 xml:space="preserve">7.  Kirpalani H, Doren G, Schmidt B, Tan Y, Santos R, Soldin S. (1990). Respiratory response and </w:t>
            </w:r>
          </w:p>
          <w:p w:rsidR="2BC441ED" w:rsidP="0349FAD4" w:rsidRDefault="2BC441ED" w14:paraId="15CC62E4" w14:textId="79005A87">
            <w:r w:rsidRPr="0349FAD4">
              <w:rPr>
                <w:rFonts w:asciiTheme="minorHAnsi" w:hAnsiTheme="minorHAnsi" w:eastAsiaTheme="minorEastAsia" w:cstheme="minorBidi"/>
                <w:sz w:val="16"/>
                <w:szCs w:val="16"/>
              </w:rPr>
              <w:t xml:space="preserve">pharmacokinetics of intravenous salbutamol in infants with bronchopulmonary dysplasia. </w:t>
            </w:r>
          </w:p>
          <w:p w:rsidR="2BC441ED" w:rsidP="0349FAD4" w:rsidRDefault="2BC441ED" w14:paraId="3978AAD5" w14:textId="463E9D7C">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Critical Care Medicine, 18(12), pp. 1374-1377.</w:t>
            </w:r>
          </w:p>
          <w:p w:rsidR="2BC441ED" w:rsidP="0349FAD4" w:rsidRDefault="2BC441ED" w14:paraId="1D282623" w14:textId="3F9D29D8">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 xml:space="preserve">8.  Mandelberg A, Krupnik Z, Houri S, Smetana S, Gilad E, Matas Z, Priel IE. Salbutamol metered- </w:t>
            </w:r>
          </w:p>
          <w:p w:rsidR="2BC441ED" w:rsidP="0349FAD4" w:rsidRDefault="2BC441ED" w14:paraId="236E0B9E" w14:textId="21283B93">
            <w:r w:rsidRPr="0349FAD4">
              <w:rPr>
                <w:rFonts w:asciiTheme="minorHAnsi" w:hAnsiTheme="minorHAnsi" w:eastAsiaTheme="minorEastAsia" w:cstheme="minorBidi"/>
                <w:sz w:val="16"/>
                <w:szCs w:val="16"/>
              </w:rPr>
              <w:t xml:space="preserve">dose inhaler with spacer for hyperkalemia: how fast? How safe?. CHEST Journal. 1999 Mar </w:t>
            </w:r>
          </w:p>
          <w:p w:rsidR="2BC441ED" w:rsidP="0349FAD4" w:rsidRDefault="2BC441ED" w14:paraId="142F4915" w14:textId="46CAEC6B">
            <w:pPr>
              <w:rPr>
                <w:rFonts w:asciiTheme="minorHAnsi" w:hAnsiTheme="minorHAnsi" w:eastAsiaTheme="minorEastAsia" w:cstheme="minorBidi"/>
                <w:sz w:val="16"/>
                <w:szCs w:val="16"/>
              </w:rPr>
            </w:pPr>
            <w:r w:rsidRPr="0349FAD4">
              <w:rPr>
                <w:rFonts w:asciiTheme="minorHAnsi" w:hAnsiTheme="minorHAnsi" w:eastAsiaTheme="minorEastAsia" w:cstheme="minorBidi"/>
                <w:sz w:val="16"/>
                <w:szCs w:val="16"/>
              </w:rPr>
              <w:t>1;115(3):617-22</w:t>
            </w:r>
          </w:p>
          <w:p w:rsidR="2BC441ED" w:rsidP="0349FAD4" w:rsidRDefault="2BC441ED" w14:paraId="3D31EE07" w14:textId="16B09E31">
            <w:r w:rsidRPr="0349FAD4">
              <w:rPr>
                <w:rFonts w:asciiTheme="minorHAnsi" w:hAnsiTheme="minorHAnsi" w:eastAsiaTheme="minorEastAsia" w:cstheme="minorBidi"/>
                <w:sz w:val="16"/>
                <w:szCs w:val="16"/>
              </w:rPr>
              <w:t xml:space="preserve">9.  Yaseen H, Khalaf M, Dana A, Yaseen N, Darwich M. Salbutamol versus cation-exchange resin </w:t>
            </w:r>
          </w:p>
          <w:p w:rsidR="2BC441ED" w:rsidP="0349FAD4" w:rsidRDefault="2BC441ED" w14:paraId="243EA2A9" w14:textId="023C33F7">
            <w:r w:rsidRPr="0349FAD4">
              <w:rPr>
                <w:rFonts w:asciiTheme="minorHAnsi" w:hAnsiTheme="minorHAnsi" w:eastAsiaTheme="minorEastAsia" w:cstheme="minorBidi"/>
                <w:sz w:val="16"/>
                <w:szCs w:val="16"/>
              </w:rPr>
              <w:t>(kayexalate) for the treatment of nonoliguric hyperkalemia in preterm infants. American journal,</w:t>
            </w:r>
            <w:r w:rsidRPr="0349FAD4" w:rsidR="7B1E6885">
              <w:rPr>
                <w:rFonts w:asciiTheme="minorHAnsi" w:hAnsiTheme="minorHAnsi" w:eastAsiaTheme="minorEastAsia" w:cstheme="minorBidi"/>
                <w:sz w:val="16"/>
                <w:szCs w:val="16"/>
              </w:rPr>
              <w:t xml:space="preserve"> </w:t>
            </w:r>
            <w:r w:rsidRPr="0349FAD4">
              <w:rPr>
                <w:rFonts w:asciiTheme="minorHAnsi" w:hAnsiTheme="minorHAnsi" w:eastAsiaTheme="minorEastAsia" w:cstheme="minorBidi"/>
                <w:sz w:val="16"/>
                <w:szCs w:val="16"/>
              </w:rPr>
              <w:t>f perinatology. 2008 Feb;25(03):193-7.</w:t>
            </w:r>
          </w:p>
          <w:p w:rsidR="0349FAD4" w:rsidP="0349FAD4" w:rsidRDefault="0349FAD4" w14:paraId="567CDDDB" w14:textId="6CCB3AC8">
            <w:pPr>
              <w:rPr>
                <w:rFonts w:asciiTheme="minorHAnsi" w:hAnsiTheme="minorHAnsi" w:eastAsiaTheme="minorEastAsia" w:cstheme="minorBidi"/>
                <w:sz w:val="16"/>
                <w:szCs w:val="16"/>
              </w:rPr>
            </w:pPr>
          </w:p>
        </w:tc>
      </w:tr>
    </w:tbl>
    <w:p w:rsidRPr="00E25790" w:rsidR="00115F48" w:rsidP="006F0321" w:rsidRDefault="00115F48" w14:paraId="6C4B7910" w14:textId="133D90A0"/>
    <w:tbl>
      <w:tblPr>
        <w:tblW w:w="0" w:type="auto"/>
        <w:tblInd w:w="-34" w:type="dxa"/>
        <w:tblLook w:val="04A0" w:firstRow="1" w:lastRow="0" w:firstColumn="1" w:lastColumn="0" w:noHBand="0" w:noVBand="1"/>
      </w:tblPr>
      <w:tblGrid>
        <w:gridCol w:w="4108"/>
        <w:gridCol w:w="4817"/>
      </w:tblGrid>
      <w:tr w:rsidR="0020431B" w:rsidTr="48F57877" w14:paraId="23CFCF0C"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3E904DC" w14:textId="5CEA41E2">
            <w:pPr>
              <w:spacing w:line="252" w:lineRule="auto"/>
              <w:rPr>
                <w:b/>
                <w:bCs/>
              </w:rPr>
            </w:pPr>
            <w:r w:rsidRPr="0349FAD4">
              <w:rPr>
                <w:b/>
                <w:bCs/>
              </w:rPr>
              <w:t xml:space="preserve">Original version Date: </w:t>
            </w:r>
            <w:r w:rsidRPr="0349FAD4" w:rsidR="45183E24">
              <w:rPr>
                <w:b/>
                <w:bCs/>
              </w:rPr>
              <w:t>18/05/2017</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BC650FB" w14:textId="378B21F1">
            <w:pPr>
              <w:spacing w:line="252" w:lineRule="auto"/>
              <w:rPr>
                <w:b/>
                <w:bCs/>
              </w:rPr>
            </w:pPr>
            <w:r w:rsidRPr="48F57877">
              <w:rPr>
                <w:b/>
                <w:bCs/>
              </w:rPr>
              <w:t>Author: NMF Consensus Group</w:t>
            </w:r>
          </w:p>
        </w:tc>
      </w:tr>
      <w:tr w:rsidR="007A0A41" w:rsidTr="48F57877" w14:paraId="11CA4101"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153A53C8" w14:textId="5510D69E">
            <w:pPr>
              <w:spacing w:line="252" w:lineRule="auto"/>
              <w:rPr>
                <w:b/>
                <w:bCs/>
              </w:rPr>
            </w:pPr>
            <w:r w:rsidRPr="0349FAD4">
              <w:rPr>
                <w:b/>
                <w:bCs/>
              </w:rPr>
              <w:t xml:space="preserve">Current Version number: </w:t>
            </w:r>
            <w:r w:rsidRPr="0349FAD4" w:rsidR="403E7438">
              <w:rPr>
                <w:b/>
                <w:bCs/>
              </w:rPr>
              <w:t>2.0</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679FA178" w14:textId="5B0B9D39">
            <w:pPr>
              <w:spacing w:line="252" w:lineRule="auto"/>
              <w:rPr>
                <w:b/>
                <w:bCs/>
              </w:rPr>
            </w:pPr>
            <w:r w:rsidRPr="0349FAD4">
              <w:rPr>
                <w:b/>
                <w:bCs/>
              </w:rPr>
              <w:t xml:space="preserve">Current Version Date: </w:t>
            </w:r>
            <w:r w:rsidRPr="0349FAD4" w:rsidR="0BB24545">
              <w:rPr>
                <w:b/>
                <w:bCs/>
              </w:rPr>
              <w:t>16/11/2020</w:t>
            </w:r>
          </w:p>
        </w:tc>
      </w:tr>
      <w:tr w:rsidR="007A0A41" w:rsidTr="48F57877" w14:paraId="00019EC0"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52EE9D05" w14:textId="31D9F267">
            <w:pPr>
              <w:spacing w:line="252" w:lineRule="auto"/>
              <w:rPr>
                <w:b/>
                <w:bCs/>
              </w:rPr>
            </w:pPr>
            <w:r w:rsidRPr="0349FAD4">
              <w:rPr>
                <w:b/>
                <w:bCs/>
              </w:rPr>
              <w:t xml:space="preserve">Risk Rating: </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794FFF00" w14:textId="7E5D2348">
            <w:pPr>
              <w:spacing w:line="252" w:lineRule="auto"/>
              <w:rPr>
                <w:b/>
                <w:bCs/>
              </w:rPr>
            </w:pPr>
            <w:r w:rsidRPr="0349FAD4">
              <w:rPr>
                <w:b/>
                <w:bCs/>
              </w:rPr>
              <w:t xml:space="preserve">Due for Review: </w:t>
            </w:r>
            <w:r w:rsidRPr="0349FAD4" w:rsidR="78A832D0">
              <w:rPr>
                <w:b/>
                <w:bCs/>
              </w:rPr>
              <w:t>16/11/2025</w:t>
            </w:r>
          </w:p>
        </w:tc>
      </w:tr>
      <w:tr w:rsidR="007A0A41" w:rsidTr="48F57877" w14:paraId="3E60289B"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48F57877" w:rsidRDefault="0349FAD4" w14:paraId="48698E34" w14:textId="6AF9C282">
            <w:pPr>
              <w:spacing w:line="252" w:lineRule="auto"/>
              <w:rPr>
                <w:b/>
                <w:bCs/>
              </w:rPr>
            </w:pPr>
            <w:r w:rsidRPr="48F57877">
              <w:rPr>
                <w:b/>
                <w:bCs/>
              </w:rPr>
              <w:t xml:space="preserve">Approval by: </w:t>
            </w:r>
            <w:r w:rsidRPr="48F57877" w:rsidR="4507FC8C">
              <w:rPr>
                <w:b/>
                <w:bCs/>
              </w:rPr>
              <w:t>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4D52F2D7" w14:textId="48F8F468">
            <w:pPr>
              <w:spacing w:line="252" w:lineRule="auto"/>
            </w:pPr>
            <w:r w:rsidRPr="0349FAD4">
              <w:rPr>
                <w:b/>
                <w:bCs/>
              </w:rPr>
              <w:t>Approval Date:</w:t>
            </w:r>
            <w:r w:rsidR="00730A5C">
              <w:rPr>
                <w:b/>
                <w:bCs/>
              </w:rPr>
              <w:t xml:space="preserve"> </w:t>
            </w:r>
            <w:r w:rsidR="00260BC8">
              <w:rPr>
                <w:b/>
                <w:bCs/>
              </w:rPr>
              <w:t>APRIL 2021</w:t>
            </w:r>
          </w:p>
        </w:tc>
      </w:tr>
    </w:tbl>
    <w:p w:rsidRPr="00E25790" w:rsidR="00115F48" w:rsidP="0349FAD4" w:rsidRDefault="00115F48" w14:paraId="1D9BFD3B" w14:textId="0910BA4D"/>
    <w:p w:rsidRPr="00E25790" w:rsidR="00115F48" w:rsidP="006F0321" w:rsidRDefault="00115F48" w14:paraId="758AF94E" w14:textId="77777777"/>
    <w:p w:rsidRPr="00E25790" w:rsidR="00115F48" w:rsidP="006F0321" w:rsidRDefault="00115F48" w14:paraId="6F8B2742" w14:textId="77777777"/>
    <w:p w:rsidRPr="00E25790" w:rsidR="00115F48" w:rsidP="006F0321" w:rsidRDefault="00115F48" w14:paraId="486E0DFB" w14:textId="6BB8084F"/>
    <w:tbl>
      <w:tblPr>
        <w:tblW w:w="9049" w:type="dxa"/>
        <w:tblLayout w:type="fixed"/>
        <w:tblLook w:val="04A0" w:firstRow="1" w:lastRow="0" w:firstColumn="1" w:lastColumn="0" w:noHBand="0" w:noVBand="1"/>
      </w:tblPr>
      <w:tblGrid>
        <w:gridCol w:w="4153"/>
        <w:gridCol w:w="4896"/>
      </w:tblGrid>
      <w:tr w:rsidRPr="00E25790" w:rsidR="006D7506" w:rsidTr="00FB1E38" w14:paraId="726D5682"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hideMark/>
          </w:tcPr>
          <w:p w:rsidRPr="00DA0C90" w:rsidR="006D7506" w:rsidP="009469DB" w:rsidRDefault="00420057" w14:paraId="547D9FEE" w14:textId="5CEB58CE">
            <w:pPr>
              <w:pStyle w:val="Heading1"/>
            </w:pPr>
            <w:bookmarkStart w:name="_Toc412201104" w:id="547"/>
            <w:bookmarkStart w:name="_Toc38106923" w:id="548"/>
            <w:bookmarkStart w:name="_Toc75340042" w:id="549"/>
            <w:r>
              <w:t>S</w:t>
            </w:r>
            <w:r w:rsidRPr="00DA0C90" w:rsidR="006D7506">
              <w:t>ildenafil</w:t>
            </w:r>
            <w:bookmarkEnd w:id="547"/>
            <w:bookmarkEnd w:id="548"/>
            <w:bookmarkEnd w:id="549"/>
            <w:r w:rsidRPr="00DA0C90" w:rsidR="006D7506">
              <w:fldChar w:fldCharType="begin"/>
            </w:r>
            <w:r w:rsidRPr="00DA0C90" w:rsidR="006D7506">
              <w:instrText>tc "CAP Trial" \l 0</w:instrText>
            </w:r>
            <w:r w:rsidRPr="00DA0C90" w:rsidR="006D7506">
              <w:fldChar w:fldCharType="end"/>
            </w:r>
          </w:p>
        </w:tc>
      </w:tr>
      <w:tr w:rsidRPr="00E25790" w:rsidR="006D7506" w:rsidTr="00FB1E38" w14:paraId="70014122"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hideMark/>
          </w:tcPr>
          <w:p w:rsidRPr="00E25790" w:rsidR="006D7506" w:rsidP="006F0321" w:rsidRDefault="006D7506" w14:paraId="679CAC64" w14:textId="7537AAFA">
            <w:r w:rsidRPr="00E25790">
              <w:t xml:space="preserve">Revision Date : </w:t>
            </w:r>
            <w:r w:rsidR="005015EA">
              <w:t>23-12-2020</w:t>
            </w:r>
          </w:p>
        </w:tc>
        <w:tc>
          <w:tcPr>
            <w:tcW w:w="4896" w:type="dxa"/>
            <w:tcBorders>
              <w:top w:val="double" w:color="auto" w:sz="6" w:space="0"/>
              <w:left w:val="single" w:color="auto" w:sz="6" w:space="0"/>
              <w:bottom w:val="double" w:color="auto" w:sz="6" w:space="0"/>
              <w:right w:val="double" w:color="auto" w:sz="6" w:space="0"/>
            </w:tcBorders>
            <w:shd w:val="clear" w:color="auto" w:fill="FFFF00"/>
            <w:hideMark/>
          </w:tcPr>
          <w:p w:rsidRPr="00E25790" w:rsidR="006D7506" w:rsidP="006F0321" w:rsidRDefault="006D7506" w14:paraId="008E5937" w14:textId="6E4B0BB3">
            <w:r w:rsidRPr="00E25790">
              <w:t xml:space="preserve">Approved:  </w:t>
            </w:r>
            <w:r w:rsidR="00F70F02">
              <w:t>TC/KOH</w:t>
            </w:r>
          </w:p>
        </w:tc>
      </w:tr>
    </w:tbl>
    <w:p w:rsidR="006D7506" w:rsidP="006F0321" w:rsidRDefault="006D7506" w14:paraId="7B2CB15B" w14:textId="77777777"/>
    <w:tbl>
      <w:tblPr>
        <w:tblW w:w="1037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967"/>
      </w:tblGrid>
      <w:tr w:rsidRPr="00AA5FF8" w:rsidR="00043BF0" w:rsidTr="3A936897" w14:paraId="24B50640" w14:textId="77777777">
        <w:trPr>
          <w:trHeight w:val="363"/>
        </w:trPr>
        <w:tc>
          <w:tcPr>
            <w:tcW w:w="2410" w:type="dxa"/>
          </w:tcPr>
          <w:p w:rsidRPr="00AA5FF8" w:rsidR="00DA554B" w:rsidP="00E525C7" w:rsidRDefault="00DA554B" w14:paraId="54445ABE" w14:textId="77777777">
            <w:pPr>
              <w:pStyle w:val="BodyText"/>
              <w:tabs>
                <w:tab w:val="center" w:pos="1476"/>
              </w:tabs>
              <w:rPr>
                <w:rFonts w:cs="Arial" w:asciiTheme="minorHAnsi" w:hAnsiTheme="minorHAnsi"/>
                <w:b/>
                <w:sz w:val="22"/>
                <w:szCs w:val="22"/>
              </w:rPr>
            </w:pPr>
            <w:r w:rsidRPr="00AA5FF8">
              <w:rPr>
                <w:rFonts w:cs="Arial" w:asciiTheme="minorHAnsi" w:hAnsiTheme="minorHAnsi"/>
                <w:b/>
                <w:sz w:val="22"/>
                <w:szCs w:val="22"/>
              </w:rPr>
              <w:t>Alert</w:t>
            </w:r>
            <w:r w:rsidRPr="00AA5FF8">
              <w:rPr>
                <w:rFonts w:cs="Arial" w:asciiTheme="minorHAnsi" w:hAnsiTheme="minorHAnsi"/>
                <w:b/>
                <w:sz w:val="22"/>
                <w:szCs w:val="22"/>
              </w:rPr>
              <w:tab/>
            </w:r>
          </w:p>
          <w:p w:rsidRPr="00AA5FF8" w:rsidR="00DA554B" w:rsidP="00E525C7" w:rsidRDefault="00DA554B" w14:paraId="5D59FECB" w14:textId="77777777">
            <w:pPr>
              <w:pStyle w:val="BodyText"/>
              <w:tabs>
                <w:tab w:val="center" w:pos="1476"/>
              </w:tabs>
              <w:rPr>
                <w:rFonts w:cs="Arial" w:asciiTheme="minorHAnsi" w:hAnsiTheme="minorHAnsi"/>
                <w:b/>
                <w:sz w:val="20"/>
              </w:rPr>
            </w:pPr>
            <w:r w:rsidRPr="00AA5FF8">
              <w:rPr>
                <w:rFonts w:cs="Arial" w:asciiTheme="minorHAnsi" w:hAnsiTheme="minorHAnsi"/>
                <w:b/>
                <w:sz w:val="20"/>
              </w:rPr>
              <w:t xml:space="preserve"> </w:t>
            </w:r>
          </w:p>
        </w:tc>
        <w:tc>
          <w:tcPr>
            <w:tcW w:w="7967" w:type="dxa"/>
          </w:tcPr>
          <w:p w:rsidRPr="00AA5FF8" w:rsidR="00DA554B" w:rsidP="00E525C7" w:rsidRDefault="00DA554B" w14:paraId="60908E6E" w14:textId="77777777">
            <w:pPr>
              <w:pStyle w:val="Default"/>
              <w:rPr>
                <w:rFonts w:asciiTheme="minorHAnsi" w:hAnsiTheme="minorHAnsi"/>
                <w:color w:val="auto"/>
                <w:sz w:val="20"/>
              </w:rPr>
            </w:pPr>
            <w:r w:rsidRPr="00AA5FF8">
              <w:rPr>
                <w:rFonts w:asciiTheme="minorHAnsi" w:hAnsiTheme="minorHAnsi"/>
                <w:color w:val="auto"/>
                <w:sz w:val="20"/>
                <w:szCs w:val="20"/>
              </w:rPr>
              <w:t xml:space="preserve">Data in neonates are limited. Use in neonates should be restricted and considered experimental. Further studies are needed. </w:t>
            </w:r>
          </w:p>
        </w:tc>
      </w:tr>
      <w:tr w:rsidRPr="00AA5FF8" w:rsidR="00043BF0" w:rsidTr="3A936897" w14:paraId="1025E6FD" w14:textId="77777777">
        <w:trPr>
          <w:trHeight w:val="553"/>
        </w:trPr>
        <w:tc>
          <w:tcPr>
            <w:tcW w:w="2410" w:type="dxa"/>
          </w:tcPr>
          <w:p w:rsidRPr="00AA5FF8" w:rsidR="00DA554B" w:rsidP="00E525C7" w:rsidRDefault="00DA554B" w14:paraId="4FBD9B7E" w14:textId="77777777">
            <w:pPr>
              <w:pStyle w:val="BodyText"/>
              <w:rPr>
                <w:rFonts w:cs="Arial" w:asciiTheme="minorHAnsi" w:hAnsiTheme="minorHAnsi"/>
                <w:b/>
                <w:bCs/>
                <w:szCs w:val="24"/>
              </w:rPr>
            </w:pPr>
            <w:r w:rsidRPr="00AA5FF8">
              <w:rPr>
                <w:rFonts w:cs="Arial" w:asciiTheme="minorHAnsi" w:hAnsiTheme="minorHAnsi"/>
                <w:b/>
                <w:bCs/>
                <w:szCs w:val="24"/>
              </w:rPr>
              <w:t xml:space="preserve">Indication                         </w:t>
            </w:r>
          </w:p>
          <w:p w:rsidRPr="00AA5FF8" w:rsidR="00DA554B" w:rsidP="00E525C7" w:rsidRDefault="00DA554B" w14:paraId="38030D3C" w14:textId="77777777">
            <w:pPr>
              <w:pStyle w:val="BodyText"/>
              <w:rPr>
                <w:rFonts w:cs="Arial" w:asciiTheme="minorHAnsi" w:hAnsiTheme="minorHAnsi"/>
                <w:sz w:val="20"/>
              </w:rPr>
            </w:pPr>
          </w:p>
        </w:tc>
        <w:tc>
          <w:tcPr>
            <w:tcW w:w="7967" w:type="dxa"/>
          </w:tcPr>
          <w:p w:rsidRPr="00AA5FF8" w:rsidR="00DA554B" w:rsidP="00E525C7" w:rsidRDefault="00DA554B" w14:paraId="681F962E"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Persistent Pulmonary Hypertension of the Neonate (PPHN): </w:t>
            </w:r>
          </w:p>
          <w:p w:rsidRPr="00AA5FF8" w:rsidR="00DA554B" w:rsidP="00E525C7" w:rsidRDefault="00DA554B" w14:paraId="1ED14552" w14:textId="77777777">
            <w:pPr>
              <w:pStyle w:val="Default"/>
              <w:ind w:left="720"/>
              <w:rPr>
                <w:rFonts w:asciiTheme="minorHAnsi" w:hAnsiTheme="minorHAnsi"/>
                <w:color w:val="auto"/>
                <w:sz w:val="20"/>
                <w:szCs w:val="20"/>
              </w:rPr>
            </w:pPr>
            <w:r w:rsidRPr="00AA5FF8">
              <w:rPr>
                <w:rFonts w:asciiTheme="minorHAnsi" w:hAnsiTheme="minorHAnsi"/>
                <w:color w:val="auto"/>
                <w:sz w:val="20"/>
                <w:szCs w:val="20"/>
              </w:rPr>
              <w:t xml:space="preserve">- refractory to inhaled nitric oxide (iNO) and other conventional therapies or </w:t>
            </w:r>
          </w:p>
          <w:p w:rsidRPr="00AA5FF8" w:rsidR="00DA554B" w:rsidP="00E525C7" w:rsidRDefault="00DA554B" w14:paraId="5D5D0FC3" w14:textId="77777777">
            <w:pPr>
              <w:pStyle w:val="Default"/>
              <w:ind w:left="720"/>
              <w:rPr>
                <w:rFonts w:asciiTheme="minorHAnsi" w:hAnsiTheme="minorHAnsi"/>
                <w:color w:val="auto"/>
                <w:sz w:val="20"/>
                <w:szCs w:val="20"/>
              </w:rPr>
            </w:pPr>
            <w:r w:rsidRPr="00AA5FF8">
              <w:rPr>
                <w:rFonts w:asciiTheme="minorHAnsi" w:hAnsiTheme="minorHAnsi"/>
                <w:color w:val="auto"/>
                <w:sz w:val="20"/>
                <w:szCs w:val="20"/>
              </w:rPr>
              <w:t xml:space="preserve">- those who are persistently unable to be weaned off inhaled nitric oxide or </w:t>
            </w:r>
          </w:p>
          <w:p w:rsidRPr="00AA5FF8" w:rsidR="00DA554B" w:rsidP="00E525C7" w:rsidRDefault="00DA554B" w14:paraId="563295CA" w14:textId="77777777">
            <w:pPr>
              <w:pStyle w:val="Default"/>
              <w:ind w:left="720"/>
              <w:rPr>
                <w:rFonts w:asciiTheme="minorHAnsi" w:hAnsiTheme="minorHAnsi"/>
                <w:color w:val="auto"/>
                <w:sz w:val="20"/>
                <w:szCs w:val="20"/>
              </w:rPr>
            </w:pPr>
            <w:r w:rsidRPr="00AA5FF8">
              <w:rPr>
                <w:rFonts w:asciiTheme="minorHAnsi" w:hAnsiTheme="minorHAnsi"/>
                <w:color w:val="auto"/>
                <w:sz w:val="20"/>
                <w:szCs w:val="20"/>
              </w:rPr>
              <w:t xml:space="preserve">- in situations where inhaled nitric oxide and high frequency ventilation are not available </w:t>
            </w:r>
          </w:p>
          <w:p w:rsidRPr="00AA5FF8" w:rsidR="00DA554B" w:rsidP="00E525C7" w:rsidRDefault="00DA554B" w14:paraId="6DA93A13" w14:textId="77777777">
            <w:pPr>
              <w:rPr>
                <w:rFonts w:asciiTheme="minorHAnsi" w:hAnsiTheme="minorHAnsi"/>
                <w:sz w:val="20"/>
              </w:rPr>
            </w:pPr>
            <w:r w:rsidRPr="00AA5FF8">
              <w:rPr>
                <w:rFonts w:asciiTheme="minorHAnsi" w:hAnsiTheme="minorHAnsi"/>
                <w:sz w:val="20"/>
              </w:rPr>
              <w:t xml:space="preserve">Chronic pulmonary hypertension secondary to respiratory, cardiac or chest wall disease. </w:t>
            </w:r>
          </w:p>
        </w:tc>
      </w:tr>
      <w:tr w:rsidRPr="00AA5FF8" w:rsidR="00043BF0" w:rsidTr="3A936897" w14:paraId="1C73AFFA" w14:textId="77777777">
        <w:trPr>
          <w:trHeight w:val="372"/>
        </w:trPr>
        <w:tc>
          <w:tcPr>
            <w:tcW w:w="2410" w:type="dxa"/>
          </w:tcPr>
          <w:p w:rsidRPr="00AA5FF8" w:rsidR="00DA554B" w:rsidP="00E525C7" w:rsidRDefault="00DA554B" w14:paraId="191B2399" w14:textId="77777777">
            <w:pPr>
              <w:pStyle w:val="BodyText"/>
              <w:rPr>
                <w:rFonts w:cs="Arial" w:asciiTheme="minorHAnsi" w:hAnsiTheme="minorHAnsi"/>
                <w:b/>
                <w:bCs/>
                <w:szCs w:val="24"/>
              </w:rPr>
            </w:pPr>
            <w:r w:rsidRPr="00AA5FF8">
              <w:rPr>
                <w:rFonts w:cs="Arial" w:asciiTheme="minorHAnsi" w:hAnsiTheme="minorHAnsi"/>
                <w:b/>
                <w:bCs/>
                <w:szCs w:val="24"/>
              </w:rPr>
              <w:t>Action</w:t>
            </w:r>
          </w:p>
        </w:tc>
        <w:tc>
          <w:tcPr>
            <w:tcW w:w="7967" w:type="dxa"/>
          </w:tcPr>
          <w:p w:rsidRPr="00AA5FF8" w:rsidR="00DA554B" w:rsidP="00E525C7" w:rsidRDefault="00DA554B" w14:paraId="41315416" w14:textId="77777777">
            <w:pPr>
              <w:pStyle w:val="Default"/>
              <w:rPr>
                <w:rFonts w:asciiTheme="minorHAnsi" w:hAnsiTheme="minorHAnsi"/>
                <w:color w:val="auto"/>
                <w:sz w:val="20"/>
                <w:szCs w:val="20"/>
              </w:rPr>
            </w:pPr>
            <w:r w:rsidRPr="00AA5FF8">
              <w:rPr>
                <w:rFonts w:asciiTheme="minorHAnsi" w:hAnsiTheme="minorHAnsi"/>
                <w:color w:val="auto"/>
                <w:sz w:val="20"/>
                <w:szCs w:val="20"/>
              </w:rPr>
              <w:t>Selective phosphodiesterase type 5 (PDE5) inhibitor. PDE5 is found in the smooth muscle of the pulmonary vasculature, where it is responsible for the degradation of cyclic guanosine monophosphate (cGMP). cGMP produces smooth muscle relaxation. Sildenafil increases cGMP within pulmonary vascular smooth muscle cells resulting in relaxation. In patients with pulmonary hypertension, this can lead to selective vasodilatation of the pulmonary vascular bed and, to a lesser degree, vasodilatation in the systemic circulation.</w:t>
            </w:r>
          </w:p>
        </w:tc>
      </w:tr>
      <w:tr w:rsidRPr="00AA5FF8" w:rsidR="00043BF0" w:rsidTr="3A936897" w14:paraId="461EA563" w14:textId="77777777">
        <w:trPr>
          <w:trHeight w:val="266"/>
        </w:trPr>
        <w:tc>
          <w:tcPr>
            <w:tcW w:w="2410" w:type="dxa"/>
          </w:tcPr>
          <w:p w:rsidRPr="00AA5FF8" w:rsidR="00DA554B" w:rsidP="00E525C7" w:rsidRDefault="00DA554B" w14:paraId="1D32D773" w14:textId="77777777">
            <w:pPr>
              <w:pStyle w:val="BodyText"/>
              <w:rPr>
                <w:rFonts w:cs="Arial" w:asciiTheme="minorHAnsi" w:hAnsiTheme="minorHAnsi"/>
                <w:szCs w:val="24"/>
              </w:rPr>
            </w:pPr>
            <w:r w:rsidRPr="00AA5FF8">
              <w:rPr>
                <w:rFonts w:cs="Arial" w:asciiTheme="minorHAnsi" w:hAnsiTheme="minorHAnsi"/>
                <w:b/>
                <w:bCs/>
                <w:szCs w:val="24"/>
              </w:rPr>
              <w:t xml:space="preserve">Drug Type                                   </w:t>
            </w:r>
          </w:p>
        </w:tc>
        <w:tc>
          <w:tcPr>
            <w:tcW w:w="7967" w:type="dxa"/>
          </w:tcPr>
          <w:p w:rsidRPr="00AA5FF8" w:rsidR="00DA554B" w:rsidP="00E525C7" w:rsidRDefault="00DA554B" w14:paraId="42801126" w14:textId="77777777">
            <w:pPr>
              <w:pStyle w:val="BodyText"/>
              <w:rPr>
                <w:rFonts w:cs="Arial" w:asciiTheme="minorHAnsi" w:hAnsiTheme="minorHAnsi"/>
                <w:sz w:val="20"/>
              </w:rPr>
            </w:pPr>
            <w:r w:rsidRPr="00AA5FF8">
              <w:rPr>
                <w:rFonts w:asciiTheme="minorHAnsi" w:hAnsiTheme="minorHAnsi"/>
                <w:sz w:val="20"/>
              </w:rPr>
              <w:t>Phosphodiesterase type 5 (PDE5) inhibitor.</w:t>
            </w:r>
          </w:p>
        </w:tc>
      </w:tr>
      <w:tr w:rsidRPr="00AA5FF8" w:rsidR="00043BF0" w:rsidTr="3A936897" w14:paraId="735B3A92" w14:textId="77777777">
        <w:trPr>
          <w:trHeight w:val="384"/>
        </w:trPr>
        <w:tc>
          <w:tcPr>
            <w:tcW w:w="2410" w:type="dxa"/>
          </w:tcPr>
          <w:p w:rsidRPr="00AA5FF8" w:rsidR="00DA554B" w:rsidP="00E525C7" w:rsidRDefault="00DA554B" w14:paraId="20BBA4DA" w14:textId="77777777">
            <w:pPr>
              <w:pStyle w:val="BodyText"/>
              <w:rPr>
                <w:rFonts w:cs="Arial" w:asciiTheme="minorHAnsi" w:hAnsiTheme="minorHAnsi"/>
                <w:b/>
                <w:bCs/>
                <w:szCs w:val="24"/>
              </w:rPr>
            </w:pPr>
            <w:r w:rsidRPr="00AA5FF8">
              <w:rPr>
                <w:rFonts w:cs="Arial" w:asciiTheme="minorHAnsi" w:hAnsiTheme="minorHAnsi"/>
                <w:b/>
                <w:bCs/>
                <w:szCs w:val="24"/>
              </w:rPr>
              <w:t xml:space="preserve">Trade Name                  </w:t>
            </w:r>
          </w:p>
        </w:tc>
        <w:tc>
          <w:tcPr>
            <w:tcW w:w="7967" w:type="dxa"/>
          </w:tcPr>
          <w:p w:rsidRPr="00AA5FF8" w:rsidR="00DA554B" w:rsidP="00E525C7" w:rsidRDefault="00DA554B" w14:paraId="59B00986" w14:textId="77777777">
            <w:pPr>
              <w:pStyle w:val="BodyText"/>
              <w:rPr>
                <w:rFonts w:asciiTheme="minorHAnsi" w:hAnsiTheme="minorHAnsi"/>
                <w:sz w:val="20"/>
              </w:rPr>
            </w:pPr>
            <w:r w:rsidRPr="00AA5FF8">
              <w:rPr>
                <w:rFonts w:asciiTheme="minorHAnsi" w:hAnsiTheme="minorHAnsi"/>
                <w:sz w:val="20"/>
              </w:rPr>
              <w:t>IV: Revatio</w:t>
            </w:r>
          </w:p>
          <w:p w:rsidRPr="00AA5FF8" w:rsidR="00DA554B" w:rsidP="00E525C7" w:rsidRDefault="00DA554B" w14:paraId="516A3AB6" w14:textId="77777777">
            <w:pPr>
              <w:pStyle w:val="BodyText"/>
              <w:rPr>
                <w:rFonts w:cs="Arial" w:asciiTheme="minorHAnsi" w:hAnsiTheme="minorHAnsi"/>
                <w:sz w:val="20"/>
              </w:rPr>
            </w:pPr>
            <w:r w:rsidRPr="00AA5FF8">
              <w:rPr>
                <w:rFonts w:asciiTheme="minorHAnsi" w:hAnsiTheme="minorHAnsi"/>
                <w:sz w:val="20"/>
              </w:rPr>
              <w:t>Oral: Pharmacy prepared</w:t>
            </w:r>
          </w:p>
        </w:tc>
      </w:tr>
      <w:tr w:rsidRPr="00AA5FF8" w:rsidR="00043BF0" w:rsidTr="3A936897" w14:paraId="543B7F57" w14:textId="77777777">
        <w:trPr>
          <w:trHeight w:val="403"/>
        </w:trPr>
        <w:tc>
          <w:tcPr>
            <w:tcW w:w="2410" w:type="dxa"/>
          </w:tcPr>
          <w:p w:rsidRPr="00AA5FF8" w:rsidR="00DA554B" w:rsidP="00E525C7" w:rsidRDefault="00DA554B" w14:paraId="0DE2E6CF" w14:textId="77777777">
            <w:pPr>
              <w:pStyle w:val="BodyText"/>
              <w:rPr>
                <w:rFonts w:cs="Arial" w:asciiTheme="minorHAnsi" w:hAnsiTheme="minorHAnsi"/>
                <w:b/>
                <w:bCs/>
                <w:szCs w:val="24"/>
              </w:rPr>
            </w:pPr>
            <w:r w:rsidRPr="00AA5FF8">
              <w:rPr>
                <w:rFonts w:cs="Arial" w:asciiTheme="minorHAnsi" w:hAnsiTheme="minorHAnsi"/>
                <w:b/>
                <w:bCs/>
                <w:szCs w:val="24"/>
              </w:rPr>
              <w:t xml:space="preserve">Presentation </w:t>
            </w:r>
          </w:p>
        </w:tc>
        <w:tc>
          <w:tcPr>
            <w:tcW w:w="7967" w:type="dxa"/>
          </w:tcPr>
          <w:p w:rsidRPr="00AA5FF8" w:rsidR="00DA554B" w:rsidP="00E525C7" w:rsidRDefault="00DA554B" w14:paraId="54BD38BD" w14:textId="77777777">
            <w:pPr>
              <w:pStyle w:val="BodyText"/>
              <w:rPr>
                <w:rFonts w:cs="Arial" w:asciiTheme="minorHAnsi" w:hAnsiTheme="minorHAnsi"/>
                <w:sz w:val="20"/>
              </w:rPr>
            </w:pPr>
            <w:r w:rsidRPr="00AA5FF8">
              <w:rPr>
                <w:rFonts w:cs="Arial" w:asciiTheme="minorHAnsi" w:hAnsiTheme="minorHAnsi"/>
                <w:sz w:val="20"/>
              </w:rPr>
              <w:t xml:space="preserve">IV: </w:t>
            </w:r>
            <w:r w:rsidRPr="00AA5FF8">
              <w:rPr>
                <w:rFonts w:asciiTheme="minorHAnsi" w:hAnsiTheme="minorHAnsi"/>
                <w:sz w:val="20"/>
              </w:rPr>
              <w:t xml:space="preserve">Vial for injection containing </w:t>
            </w:r>
            <w:r w:rsidRPr="00AA5FF8">
              <w:rPr>
                <w:rFonts w:asciiTheme="minorHAnsi" w:hAnsiTheme="minorHAnsi"/>
                <w:b/>
                <w:bCs/>
                <w:sz w:val="20"/>
              </w:rPr>
              <w:t xml:space="preserve">10 mg/12.5 mL </w:t>
            </w:r>
            <w:r w:rsidRPr="00AA5FF8">
              <w:rPr>
                <w:rFonts w:asciiTheme="minorHAnsi" w:hAnsiTheme="minorHAnsi"/>
                <w:sz w:val="20"/>
              </w:rPr>
              <w:t xml:space="preserve">= 0.8 mg/mL of sildenafil </w:t>
            </w:r>
          </w:p>
          <w:p w:rsidRPr="00AA5FF8" w:rsidR="00DA554B" w:rsidP="00E525C7" w:rsidRDefault="00DA554B" w14:paraId="7A368492" w14:textId="77777777">
            <w:pPr>
              <w:pStyle w:val="BodyText"/>
              <w:rPr>
                <w:rFonts w:cs="Arial" w:asciiTheme="minorHAnsi" w:hAnsiTheme="minorHAnsi"/>
                <w:sz w:val="20"/>
              </w:rPr>
            </w:pPr>
          </w:p>
          <w:p w:rsidRPr="00AA5FF8" w:rsidR="00DA554B" w:rsidP="00E525C7" w:rsidRDefault="00DA554B" w14:paraId="1888D40C" w14:textId="77777777">
            <w:pPr>
              <w:pStyle w:val="BodyText"/>
              <w:rPr>
                <w:rFonts w:cs="Arial" w:asciiTheme="minorHAnsi" w:hAnsiTheme="minorHAnsi"/>
                <w:sz w:val="20"/>
              </w:rPr>
            </w:pPr>
            <w:r w:rsidRPr="00AA5FF8">
              <w:rPr>
                <w:rFonts w:cs="Arial" w:asciiTheme="minorHAnsi" w:hAnsiTheme="minorHAnsi"/>
                <w:sz w:val="20"/>
              </w:rPr>
              <w:t>Oral: Pharmacy-prepared oral suspension</w:t>
            </w:r>
          </w:p>
        </w:tc>
      </w:tr>
      <w:tr w:rsidRPr="00AA5FF8" w:rsidR="00043BF0" w:rsidTr="3A936897" w14:paraId="097E5453" w14:textId="77777777">
        <w:trPr>
          <w:trHeight w:val="2682"/>
        </w:trPr>
        <w:tc>
          <w:tcPr>
            <w:tcW w:w="2410" w:type="dxa"/>
          </w:tcPr>
          <w:p w:rsidRPr="00AA5FF8" w:rsidR="00DA554B" w:rsidP="00E525C7" w:rsidRDefault="00DA554B" w14:paraId="0991022D" w14:textId="77777777">
            <w:pPr>
              <w:pStyle w:val="BodyText"/>
              <w:rPr>
                <w:rFonts w:cs="Arial" w:asciiTheme="minorHAnsi" w:hAnsiTheme="minorHAnsi"/>
                <w:b/>
                <w:bCs/>
                <w:szCs w:val="24"/>
              </w:rPr>
            </w:pPr>
            <w:r w:rsidRPr="00AA5FF8">
              <w:rPr>
                <w:rFonts w:cs="Arial" w:asciiTheme="minorHAnsi" w:hAnsiTheme="minorHAnsi"/>
                <w:b/>
                <w:bCs/>
                <w:szCs w:val="24"/>
              </w:rPr>
              <w:t xml:space="preserve">Dosage/Interval                           </w:t>
            </w:r>
          </w:p>
          <w:p w:rsidRPr="00AA5FF8" w:rsidR="00DA554B" w:rsidP="00E525C7" w:rsidRDefault="00DA554B" w14:paraId="1B0D3C76" w14:textId="77777777">
            <w:pPr>
              <w:pStyle w:val="BodyText"/>
              <w:rPr>
                <w:rFonts w:cs="Arial" w:asciiTheme="minorHAnsi" w:hAnsiTheme="minorHAnsi"/>
                <w:sz w:val="20"/>
              </w:rPr>
            </w:pPr>
          </w:p>
        </w:tc>
        <w:tc>
          <w:tcPr>
            <w:tcW w:w="7967" w:type="dxa"/>
          </w:tcPr>
          <w:p w:rsidRPr="00AA5FF8" w:rsidR="00DA554B" w:rsidP="00E525C7" w:rsidRDefault="00DA554B" w14:paraId="65D5329D" w14:textId="77777777">
            <w:pPr>
              <w:pStyle w:val="Default"/>
              <w:rPr>
                <w:rFonts w:asciiTheme="minorHAnsi" w:hAnsiTheme="minorHAnsi"/>
                <w:b/>
                <w:bCs/>
                <w:color w:val="auto"/>
                <w:sz w:val="20"/>
                <w:szCs w:val="20"/>
              </w:rPr>
            </w:pPr>
            <w:r w:rsidRPr="00AA5FF8">
              <w:rPr>
                <w:rFonts w:asciiTheme="minorHAnsi" w:hAnsiTheme="minorHAnsi"/>
                <w:b/>
                <w:bCs/>
                <w:color w:val="auto"/>
                <w:sz w:val="20"/>
                <w:szCs w:val="20"/>
              </w:rPr>
              <w:t xml:space="preserve">IV: </w:t>
            </w:r>
          </w:p>
          <w:p w:rsidRPr="00AA5FF8" w:rsidR="00DA554B" w:rsidP="00E525C7" w:rsidRDefault="00DA554B" w14:paraId="3F039045" w14:textId="77777777">
            <w:pPr>
              <w:pStyle w:val="Default"/>
              <w:rPr>
                <w:rFonts w:asciiTheme="minorHAnsi" w:hAnsiTheme="minorHAnsi"/>
                <w:color w:val="auto"/>
                <w:sz w:val="20"/>
                <w:szCs w:val="20"/>
              </w:rPr>
            </w:pPr>
            <w:r w:rsidRPr="00AA5FF8">
              <w:rPr>
                <w:rFonts w:asciiTheme="minorHAnsi" w:hAnsiTheme="minorHAnsi"/>
                <w:b/>
                <w:bCs/>
                <w:color w:val="auto"/>
                <w:sz w:val="20"/>
                <w:szCs w:val="20"/>
              </w:rPr>
              <w:t xml:space="preserve">Loading: </w:t>
            </w:r>
            <w:r w:rsidRPr="00AA5FF8">
              <w:rPr>
                <w:rFonts w:asciiTheme="minorHAnsi" w:hAnsiTheme="minorHAnsi"/>
                <w:color w:val="auto"/>
                <w:sz w:val="20"/>
                <w:szCs w:val="20"/>
              </w:rPr>
              <w:t xml:space="preserve">0.4 mg/kg administered </w:t>
            </w:r>
            <w:r w:rsidRPr="00AA5FF8">
              <w:rPr>
                <w:rFonts w:asciiTheme="minorHAnsi" w:hAnsiTheme="minorHAnsi"/>
                <w:b/>
                <w:bCs/>
                <w:color w:val="auto"/>
                <w:sz w:val="20"/>
                <w:szCs w:val="20"/>
              </w:rPr>
              <w:t xml:space="preserve">over THREE hours </w:t>
            </w:r>
            <w:r w:rsidRPr="00AA5FF8">
              <w:rPr>
                <w:rFonts w:asciiTheme="minorHAnsi" w:hAnsiTheme="minorHAnsi"/>
                <w:color w:val="auto"/>
                <w:sz w:val="20"/>
                <w:szCs w:val="20"/>
              </w:rPr>
              <w:t xml:space="preserve">followed by: </w:t>
            </w:r>
          </w:p>
          <w:p w:rsidRPr="00AA5FF8" w:rsidR="00DA554B" w:rsidP="00E525C7" w:rsidRDefault="00DA554B" w14:paraId="06C27BBD" w14:textId="77777777">
            <w:pPr>
              <w:pStyle w:val="BodyText"/>
              <w:rPr>
                <w:rFonts w:asciiTheme="minorHAnsi" w:hAnsiTheme="minorHAnsi"/>
                <w:sz w:val="20"/>
              </w:rPr>
            </w:pPr>
            <w:r w:rsidRPr="00AA5FF8">
              <w:rPr>
                <w:rFonts w:asciiTheme="minorHAnsi" w:hAnsiTheme="minorHAnsi"/>
                <w:b/>
                <w:bCs/>
                <w:sz w:val="20"/>
              </w:rPr>
              <w:t xml:space="preserve">Maintenance: </w:t>
            </w:r>
            <w:r w:rsidRPr="00AA5FF8">
              <w:rPr>
                <w:rFonts w:asciiTheme="minorHAnsi" w:hAnsiTheme="minorHAnsi"/>
                <w:sz w:val="20"/>
              </w:rPr>
              <w:t xml:space="preserve">1.6 mg/kg/day (0.067 mg/kg/hour) as a continuous infusion for up to 7 days. </w:t>
            </w:r>
            <w:r w:rsidRPr="00AA5FF8">
              <w:rPr>
                <w:rFonts w:asciiTheme="minorHAnsi" w:hAnsiTheme="minorHAnsi"/>
                <w:sz w:val="20"/>
              </w:rPr>
              <w:br/>
            </w:r>
          </w:p>
          <w:p w:rsidRPr="00AA5FF8" w:rsidR="00DA554B" w:rsidP="00E525C7" w:rsidRDefault="00DA554B" w14:paraId="6E11BEE0" w14:textId="77777777">
            <w:pPr>
              <w:pStyle w:val="BodyText"/>
              <w:rPr>
                <w:rFonts w:asciiTheme="minorHAnsi" w:hAnsiTheme="minorHAnsi"/>
                <w:b/>
                <w:sz w:val="20"/>
              </w:rPr>
            </w:pPr>
            <w:r w:rsidRPr="00AA5FF8">
              <w:rPr>
                <w:rFonts w:asciiTheme="minorHAnsi" w:hAnsiTheme="minorHAnsi"/>
                <w:b/>
                <w:sz w:val="20"/>
              </w:rPr>
              <w:t>PO:</w:t>
            </w:r>
          </w:p>
          <w:p w:rsidRPr="00AA5FF8" w:rsidR="00DA554B" w:rsidP="00E525C7" w:rsidRDefault="00DA554B" w14:paraId="39D48093"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Start at 0.5 to 1 mg/kg/dose given 6 to 8 hourly and titrate up to 2 mg/kg/dose according to response. </w:t>
            </w:r>
          </w:p>
          <w:p w:rsidRPr="00AA5FF8" w:rsidR="00DA554B" w:rsidP="00E525C7" w:rsidRDefault="00DA554B" w14:paraId="28556224" w14:textId="77777777">
            <w:pPr>
              <w:pStyle w:val="BodyText"/>
              <w:rPr>
                <w:rFonts w:asciiTheme="minorHAnsi" w:hAnsiTheme="minorHAnsi"/>
                <w:sz w:val="20"/>
              </w:rPr>
            </w:pPr>
            <w:r w:rsidRPr="00AA5FF8">
              <w:rPr>
                <w:rFonts w:asciiTheme="minorHAnsi" w:hAnsiTheme="minorHAnsi"/>
                <w:sz w:val="20"/>
              </w:rPr>
              <w:t xml:space="preserve">May increase up to maximum of 3 mg/kg/dose given 6 hourly. </w:t>
            </w:r>
          </w:p>
          <w:p w:rsidRPr="00AA5FF8" w:rsidR="00DA554B" w:rsidP="00E525C7" w:rsidRDefault="00DA554B" w14:paraId="6EA2D7A4" w14:textId="77777777">
            <w:pPr>
              <w:pStyle w:val="BodyText"/>
              <w:rPr>
                <w:rFonts w:asciiTheme="minorHAnsi" w:hAnsiTheme="minorHAnsi"/>
                <w:sz w:val="20"/>
              </w:rPr>
            </w:pPr>
          </w:p>
          <w:p w:rsidRPr="00AA5FF8" w:rsidR="00DA554B" w:rsidP="00E525C7" w:rsidRDefault="00DA554B" w14:paraId="7837A33D" w14:textId="77777777">
            <w:pPr>
              <w:pStyle w:val="Default"/>
              <w:rPr>
                <w:rFonts w:asciiTheme="minorHAnsi" w:hAnsiTheme="minorHAnsi"/>
                <w:color w:val="auto"/>
                <w:sz w:val="20"/>
              </w:rPr>
            </w:pPr>
            <w:r w:rsidRPr="00AA5FF8">
              <w:rPr>
                <w:rFonts w:asciiTheme="minorHAnsi" w:hAnsiTheme="minorHAnsi"/>
                <w:color w:val="auto"/>
                <w:sz w:val="20"/>
                <w:szCs w:val="20"/>
              </w:rPr>
              <w:t xml:space="preserve">To avoid the possible occurrence of sudden clinical deterioration during withdrawal of sildenafil, a gradual dose reduction should be considered when stopping sildenafil. </w:t>
            </w:r>
          </w:p>
        </w:tc>
      </w:tr>
      <w:tr w:rsidRPr="00AA5FF8" w:rsidR="00043BF0" w:rsidTr="3A936897" w14:paraId="1EEDA340" w14:textId="77777777">
        <w:trPr>
          <w:trHeight w:val="398"/>
        </w:trPr>
        <w:tc>
          <w:tcPr>
            <w:tcW w:w="2410" w:type="dxa"/>
          </w:tcPr>
          <w:p w:rsidRPr="00AA5FF8" w:rsidR="00DA554B" w:rsidP="00E525C7" w:rsidRDefault="00DA554B" w14:paraId="4E759CB0" w14:textId="77777777">
            <w:pPr>
              <w:pStyle w:val="BodyText"/>
              <w:rPr>
                <w:rFonts w:cs="Arial" w:asciiTheme="minorHAnsi" w:hAnsiTheme="minorHAnsi"/>
                <w:b/>
                <w:bCs/>
                <w:szCs w:val="24"/>
              </w:rPr>
            </w:pPr>
            <w:r w:rsidRPr="00AA5FF8">
              <w:rPr>
                <w:rFonts w:cs="Arial" w:asciiTheme="minorHAnsi" w:hAnsiTheme="minorHAnsi"/>
                <w:b/>
                <w:bCs/>
                <w:szCs w:val="24"/>
              </w:rPr>
              <w:t xml:space="preserve">Route                               </w:t>
            </w:r>
          </w:p>
        </w:tc>
        <w:tc>
          <w:tcPr>
            <w:tcW w:w="7967" w:type="dxa"/>
          </w:tcPr>
          <w:p w:rsidRPr="00AA5FF8" w:rsidR="00DA554B" w:rsidP="00E525C7" w:rsidRDefault="00DA554B" w14:paraId="1108F00B" w14:textId="77777777">
            <w:pPr>
              <w:pStyle w:val="BodyText"/>
              <w:rPr>
                <w:rFonts w:cs="Arial" w:asciiTheme="minorHAnsi" w:hAnsiTheme="minorHAnsi"/>
                <w:sz w:val="20"/>
              </w:rPr>
            </w:pPr>
            <w:r w:rsidRPr="00AA5FF8">
              <w:rPr>
                <w:rFonts w:cs="Arial" w:asciiTheme="minorHAnsi" w:hAnsiTheme="minorHAnsi"/>
                <w:sz w:val="20"/>
              </w:rPr>
              <w:t>IV, oral</w:t>
            </w:r>
          </w:p>
        </w:tc>
      </w:tr>
      <w:tr w:rsidRPr="00AA5FF8" w:rsidR="00043BF0" w:rsidTr="3A936897" w14:paraId="6D7E38B6" w14:textId="77777777">
        <w:trPr>
          <w:trHeight w:val="292"/>
        </w:trPr>
        <w:tc>
          <w:tcPr>
            <w:tcW w:w="2410" w:type="dxa"/>
          </w:tcPr>
          <w:p w:rsidRPr="00AA5FF8" w:rsidR="00DA554B" w:rsidP="3A936897" w:rsidRDefault="6341B60F" w14:paraId="1D9C8C25" w14:textId="597F02E1">
            <w:pPr>
              <w:pStyle w:val="BodyText"/>
              <w:rPr>
                <w:rFonts w:cs="Arial" w:asciiTheme="minorHAnsi" w:hAnsiTheme="minorHAnsi"/>
                <w:b/>
                <w:bCs/>
                <w:highlight w:val="cyan"/>
              </w:rPr>
            </w:pPr>
            <w:r w:rsidRPr="3A936897">
              <w:rPr>
                <w:rFonts w:cs="Arial" w:asciiTheme="minorHAnsi" w:hAnsiTheme="minorHAnsi"/>
                <w:b/>
                <w:bCs/>
              </w:rPr>
              <w:t>Prepara</w:t>
            </w:r>
            <w:r w:rsidRPr="3A936897" w:rsidR="2AA9A6E0">
              <w:rPr>
                <w:rFonts w:cs="Arial" w:asciiTheme="minorHAnsi" w:hAnsiTheme="minorHAnsi"/>
                <w:b/>
                <w:bCs/>
              </w:rPr>
              <w:t>tio</w:t>
            </w:r>
            <w:r w:rsidRPr="3A936897">
              <w:rPr>
                <w:rFonts w:cs="Arial" w:asciiTheme="minorHAnsi" w:hAnsiTheme="minorHAnsi"/>
                <w:b/>
                <w:bCs/>
              </w:rPr>
              <w:t xml:space="preserve">n/Dilution </w:t>
            </w:r>
          </w:p>
        </w:tc>
        <w:tc>
          <w:tcPr>
            <w:tcW w:w="7967" w:type="dxa"/>
          </w:tcPr>
          <w:p w:rsidRPr="00AA5FF8" w:rsidR="00DA554B" w:rsidP="00E525C7" w:rsidRDefault="00DA554B" w14:paraId="19B91C45" w14:textId="77777777">
            <w:pPr>
              <w:pStyle w:val="BodyText"/>
              <w:rPr>
                <w:rFonts w:cs="Arial" w:asciiTheme="minorHAnsi" w:hAnsiTheme="minorHAnsi"/>
                <w:sz w:val="20"/>
              </w:rPr>
            </w:pPr>
            <w:r w:rsidRPr="00AA5FF8">
              <w:rPr>
                <w:rFonts w:cs="Arial" w:asciiTheme="minorHAnsi" w:hAnsiTheme="minorHAnsi"/>
                <w:sz w:val="20"/>
              </w:rPr>
              <w:t>See below</w:t>
            </w:r>
          </w:p>
        </w:tc>
      </w:tr>
      <w:tr w:rsidRPr="00AA5FF8" w:rsidR="0020431B" w:rsidTr="3A936897" w14:paraId="682F9F1B" w14:textId="77777777">
        <w:trPr>
          <w:trHeight w:val="558"/>
        </w:trPr>
        <w:tc>
          <w:tcPr>
            <w:tcW w:w="2410" w:type="dxa"/>
          </w:tcPr>
          <w:p w:rsidRPr="00AA5FF8" w:rsidR="00DA554B" w:rsidP="00E525C7" w:rsidRDefault="00DA554B" w14:paraId="1E52A06B" w14:textId="77777777">
            <w:pPr>
              <w:pStyle w:val="BodyText"/>
              <w:rPr>
                <w:rFonts w:cs="Arial" w:asciiTheme="minorHAnsi" w:hAnsiTheme="minorHAnsi"/>
                <w:b/>
                <w:bCs/>
                <w:szCs w:val="24"/>
              </w:rPr>
            </w:pPr>
            <w:r w:rsidRPr="00AA5FF8">
              <w:rPr>
                <w:rFonts w:cs="Arial" w:asciiTheme="minorHAnsi" w:hAnsiTheme="minorHAnsi"/>
                <w:b/>
                <w:bCs/>
                <w:szCs w:val="24"/>
              </w:rPr>
              <w:t xml:space="preserve">Administration                 </w:t>
            </w:r>
          </w:p>
          <w:p w:rsidRPr="00AA5FF8" w:rsidR="00DA554B" w:rsidP="00E525C7" w:rsidRDefault="00DA554B" w14:paraId="62E0FDEA" w14:textId="77777777">
            <w:pPr>
              <w:pStyle w:val="BodyText"/>
              <w:rPr>
                <w:rFonts w:cs="Arial" w:asciiTheme="minorHAnsi" w:hAnsiTheme="minorHAnsi"/>
                <w:szCs w:val="24"/>
              </w:rPr>
            </w:pPr>
          </w:p>
        </w:tc>
        <w:tc>
          <w:tcPr>
            <w:tcW w:w="7967" w:type="dxa"/>
            <w:vAlign w:val="center"/>
          </w:tcPr>
          <w:p w:rsidRPr="00AA5FF8" w:rsidR="00DA554B" w:rsidP="00E525C7" w:rsidRDefault="00DA554B" w14:paraId="6C79DA10" w14:textId="77777777">
            <w:pPr>
              <w:pStyle w:val="BodyText"/>
              <w:rPr>
                <w:rFonts w:asciiTheme="minorHAnsi" w:hAnsiTheme="minorHAnsi"/>
                <w:b/>
                <w:sz w:val="20"/>
              </w:rPr>
            </w:pPr>
            <w:r w:rsidRPr="00AA5FF8">
              <w:rPr>
                <w:rFonts w:asciiTheme="minorHAnsi" w:hAnsiTheme="minorHAnsi"/>
                <w:b/>
                <w:sz w:val="20"/>
              </w:rPr>
              <w:t>IV infusion:</w:t>
            </w:r>
          </w:p>
          <w:p w:rsidRPr="00AA5FF8" w:rsidR="00DA554B" w:rsidP="00E525C7" w:rsidRDefault="00DA554B" w14:paraId="19AF92C6" w14:textId="77777777">
            <w:pPr>
              <w:pStyle w:val="BodyText"/>
              <w:rPr>
                <w:rFonts w:asciiTheme="minorHAnsi" w:hAnsiTheme="minorHAnsi"/>
                <w:b/>
                <w:sz w:val="20"/>
              </w:rPr>
            </w:pPr>
            <w:r w:rsidRPr="00AA5FF8">
              <w:rPr>
                <w:rFonts w:asciiTheme="minorHAnsi" w:hAnsiTheme="minorHAnsi"/>
                <w:b/>
                <w:sz w:val="20"/>
              </w:rPr>
              <w:t>Low concentration IV infusion (weight &gt; 2.5 kg)</w:t>
            </w:r>
          </w:p>
          <w:p w:rsidRPr="00AA5FF8" w:rsidR="00DA554B" w:rsidP="00E525C7" w:rsidRDefault="00DA554B" w14:paraId="7F9E6C40" w14:textId="77777777">
            <w:pPr>
              <w:pStyle w:val="BodyText"/>
              <w:rPr>
                <w:rFonts w:asciiTheme="minorHAnsi" w:hAnsiTheme="minorHAnsi"/>
                <w:sz w:val="20"/>
              </w:rPr>
            </w:pPr>
            <w:r>
              <w:rPr>
                <w:rFonts w:asciiTheme="minorHAnsi" w:hAnsiTheme="minorHAnsi"/>
                <w:sz w:val="20"/>
              </w:rPr>
              <w:t>Draw up 2.5mL/kg (</w:t>
            </w:r>
            <w:r w:rsidRPr="00AA5FF8">
              <w:rPr>
                <w:rFonts w:asciiTheme="minorHAnsi" w:hAnsiTheme="minorHAnsi"/>
                <w:sz w:val="20"/>
              </w:rPr>
              <w:t>2 mg/kg of sildenafil</w:t>
            </w:r>
            <w:r>
              <w:rPr>
                <w:rFonts w:asciiTheme="minorHAnsi" w:hAnsiTheme="minorHAnsi"/>
                <w:sz w:val="20"/>
              </w:rPr>
              <w:t>)</w:t>
            </w:r>
            <w:r w:rsidRPr="00AA5FF8">
              <w:rPr>
                <w:rFonts w:asciiTheme="minorHAnsi" w:hAnsiTheme="minorHAnsi"/>
                <w:sz w:val="20"/>
              </w:rPr>
              <w:t xml:space="preserve"> solution and make up to 15 mL using glucose 5% (preferred) or sodium chloride 0.9%. </w:t>
            </w:r>
          </w:p>
          <w:p w:rsidRPr="00AA5FF8" w:rsidR="00DA554B" w:rsidP="00E525C7" w:rsidRDefault="00DA554B" w14:paraId="7BABC789" w14:textId="77777777">
            <w:pPr>
              <w:pStyle w:val="BodyText"/>
              <w:rPr>
                <w:rFonts w:asciiTheme="minorHAnsi" w:hAnsiTheme="minorHAnsi"/>
                <w:sz w:val="20"/>
              </w:rPr>
            </w:pPr>
          </w:p>
          <w:p w:rsidRPr="00AA5FF8" w:rsidR="00DA554B" w:rsidP="00E525C7" w:rsidRDefault="00DA554B" w14:paraId="0812CF61" w14:textId="77777777">
            <w:pPr>
              <w:pStyle w:val="BodyText"/>
              <w:rPr>
                <w:rFonts w:asciiTheme="minorHAnsi" w:hAnsiTheme="minorHAnsi"/>
                <w:sz w:val="20"/>
              </w:rPr>
            </w:pPr>
            <w:r w:rsidRPr="00AA5FF8">
              <w:rPr>
                <w:rFonts w:asciiTheme="minorHAnsi" w:hAnsiTheme="minorHAnsi"/>
                <w:sz w:val="20"/>
              </w:rPr>
              <w:t xml:space="preserve">Infuse 1 mL/h </w:t>
            </w:r>
            <w:r w:rsidRPr="00AA5FF8">
              <w:rPr>
                <w:rFonts w:asciiTheme="minorHAnsi" w:hAnsiTheme="minorHAnsi"/>
                <w:b/>
                <w:sz w:val="20"/>
              </w:rPr>
              <w:t xml:space="preserve">for 3 hours </w:t>
            </w:r>
            <w:r w:rsidRPr="00AA5FF8">
              <w:rPr>
                <w:rFonts w:asciiTheme="minorHAnsi" w:hAnsiTheme="minorHAnsi"/>
                <w:sz w:val="20"/>
              </w:rPr>
              <w:t xml:space="preserve">(loading dose of 0.4 mg/kg) </w:t>
            </w:r>
            <w:r w:rsidRPr="00AA5FF8">
              <w:rPr>
                <w:rFonts w:asciiTheme="minorHAnsi" w:hAnsiTheme="minorHAnsi"/>
                <w:b/>
                <w:sz w:val="20"/>
              </w:rPr>
              <w:t>followed by</w:t>
            </w:r>
            <w:r w:rsidRPr="00AA5FF8">
              <w:rPr>
                <w:rFonts w:asciiTheme="minorHAnsi" w:hAnsiTheme="minorHAnsi"/>
                <w:sz w:val="20"/>
              </w:rPr>
              <w:t xml:space="preserve"> 0.5 mL/h (0.067 mg/kg/h)</w:t>
            </w:r>
          </w:p>
          <w:p w:rsidRPr="00AA5FF8" w:rsidR="00DA554B" w:rsidP="00E525C7" w:rsidRDefault="00DA554B" w14:paraId="54AA7269" w14:textId="77777777">
            <w:pPr>
              <w:pStyle w:val="BodyText"/>
              <w:rPr>
                <w:rFonts w:asciiTheme="minorHAnsi" w:hAnsiTheme="minorHAnsi"/>
                <w:sz w:val="20"/>
              </w:rPr>
            </w:pPr>
          </w:p>
          <w:p w:rsidRPr="00AA5FF8" w:rsidR="00DA554B" w:rsidP="00E525C7" w:rsidRDefault="00DA554B" w14:paraId="29F40C80" w14:textId="77777777">
            <w:pPr>
              <w:pStyle w:val="BodyText"/>
              <w:rPr>
                <w:b/>
                <w:sz w:val="20"/>
              </w:rPr>
            </w:pPr>
            <w:r w:rsidRPr="00AA5FF8">
              <w:rPr>
                <w:rFonts w:asciiTheme="minorHAnsi" w:hAnsiTheme="minorHAnsi"/>
                <w:b/>
                <w:sz w:val="20"/>
              </w:rPr>
              <w:t xml:space="preserve">High concentration IV Infusion (weight </w:t>
            </w:r>
            <w:r w:rsidRPr="00AA5FF8">
              <w:rPr>
                <w:b/>
                <w:sz w:val="20"/>
              </w:rPr>
              <w:t xml:space="preserve">≤ 2.5 kg) </w:t>
            </w:r>
          </w:p>
          <w:p w:rsidRPr="00AA5FF8" w:rsidR="00DA554B" w:rsidP="00E525C7" w:rsidRDefault="00DA554B" w14:paraId="129042A0" w14:textId="77777777">
            <w:pPr>
              <w:pStyle w:val="BodyText"/>
              <w:rPr>
                <w:sz w:val="20"/>
              </w:rPr>
            </w:pPr>
            <w:r>
              <w:rPr>
                <w:sz w:val="20"/>
              </w:rPr>
              <w:t>Draw up 4.2mL/kg (</w:t>
            </w:r>
            <w:r w:rsidRPr="00AA5FF8">
              <w:rPr>
                <w:sz w:val="20"/>
              </w:rPr>
              <w:t>3.36 mg</w:t>
            </w:r>
            <w:r w:rsidRPr="00AA5FF8" w:rsidDel="00D348DD">
              <w:rPr>
                <w:sz w:val="20"/>
              </w:rPr>
              <w:t xml:space="preserve"> </w:t>
            </w:r>
            <w:r w:rsidRPr="00AA5FF8">
              <w:rPr>
                <w:sz w:val="20"/>
              </w:rPr>
              <w:t>/kg of sildenafil</w:t>
            </w:r>
            <w:r>
              <w:rPr>
                <w:sz w:val="20"/>
              </w:rPr>
              <w:t>)</w:t>
            </w:r>
            <w:r w:rsidRPr="00AA5FF8">
              <w:rPr>
                <w:sz w:val="20"/>
              </w:rPr>
              <w:t xml:space="preserve"> solution and make up to 15 mL using glucose 5% (preferred) or sodium chloride 0.9%.</w:t>
            </w:r>
          </w:p>
          <w:p w:rsidRPr="00AA5FF8" w:rsidR="00DA554B" w:rsidP="00E525C7" w:rsidRDefault="00DA554B" w14:paraId="4358A979" w14:textId="77777777">
            <w:pPr>
              <w:pStyle w:val="BodyText"/>
              <w:rPr>
                <w:sz w:val="20"/>
              </w:rPr>
            </w:pPr>
          </w:p>
          <w:p w:rsidRPr="00AA5FF8" w:rsidR="00DA554B" w:rsidP="00E525C7" w:rsidRDefault="00DA554B" w14:paraId="3B6A6D62" w14:textId="77777777">
            <w:pPr>
              <w:pStyle w:val="BodyText"/>
              <w:rPr>
                <w:sz w:val="20"/>
              </w:rPr>
            </w:pPr>
            <w:r w:rsidRPr="00AA5FF8">
              <w:rPr>
                <w:sz w:val="20"/>
              </w:rPr>
              <w:lastRenderedPageBreak/>
              <w:t xml:space="preserve">Infuse 0.6 mL/h for </w:t>
            </w:r>
            <w:r w:rsidRPr="00AA5FF8">
              <w:rPr>
                <w:b/>
                <w:sz w:val="20"/>
              </w:rPr>
              <w:t>3 hours</w:t>
            </w:r>
            <w:r w:rsidRPr="00AA5FF8">
              <w:rPr>
                <w:sz w:val="20"/>
              </w:rPr>
              <w:t xml:space="preserve">(loading dose of 0.4 mg/kg) </w:t>
            </w:r>
            <w:r w:rsidRPr="00AA5FF8">
              <w:rPr>
                <w:b/>
                <w:sz w:val="20"/>
              </w:rPr>
              <w:t>followed by</w:t>
            </w:r>
            <w:r w:rsidRPr="00AA5FF8">
              <w:rPr>
                <w:sz w:val="20"/>
              </w:rPr>
              <w:t xml:space="preserve"> 0.3 mL/h (0.067 mg/kg/h)</w:t>
            </w:r>
          </w:p>
          <w:p w:rsidRPr="00AA5FF8" w:rsidR="00DA554B" w:rsidP="00E525C7" w:rsidRDefault="00DA554B" w14:paraId="7CF32E0D" w14:textId="77777777">
            <w:pPr>
              <w:pStyle w:val="BodyText"/>
              <w:rPr>
                <w:rFonts w:asciiTheme="minorHAnsi" w:hAnsiTheme="minorHAnsi"/>
                <w:sz w:val="20"/>
              </w:rPr>
            </w:pPr>
          </w:p>
          <w:p w:rsidRPr="00AA5FF8" w:rsidR="00DA554B" w:rsidP="00E525C7" w:rsidRDefault="00DA554B" w14:paraId="183AA6AE" w14:textId="77777777">
            <w:pPr>
              <w:pStyle w:val="BodyText"/>
              <w:rPr>
                <w:rFonts w:asciiTheme="minorHAnsi" w:hAnsiTheme="minorHAnsi"/>
                <w:b/>
                <w:sz w:val="20"/>
              </w:rPr>
            </w:pPr>
            <w:r w:rsidRPr="00AA5FF8">
              <w:rPr>
                <w:rFonts w:asciiTheme="minorHAnsi" w:hAnsiTheme="minorHAnsi"/>
                <w:b/>
                <w:sz w:val="20"/>
              </w:rPr>
              <w:t>Oral:</w:t>
            </w:r>
          </w:p>
          <w:p w:rsidRPr="00AA5FF8" w:rsidR="00DA554B" w:rsidP="00E525C7" w:rsidRDefault="00DA554B" w14:paraId="1D1921BA" w14:textId="77777777">
            <w:pPr>
              <w:pStyle w:val="BodyText"/>
              <w:rPr>
                <w:rFonts w:cs="Arial" w:asciiTheme="minorHAnsi" w:hAnsiTheme="minorHAnsi"/>
                <w:sz w:val="20"/>
              </w:rPr>
            </w:pPr>
            <w:r w:rsidRPr="00AA5FF8">
              <w:rPr>
                <w:rFonts w:asciiTheme="minorHAnsi" w:hAnsiTheme="minorHAnsi"/>
                <w:sz w:val="20"/>
              </w:rPr>
              <w:t>Shake well before drawing up the dose. Give via intragastric tube, preferably with feed to minimise risk of gastrointestinal irritation. If baby is not on enteral feeds or breast milk is not available, give dose via intragastric tube and flush with 0.5 mL water for injection.</w:t>
            </w:r>
          </w:p>
        </w:tc>
      </w:tr>
      <w:tr w:rsidRPr="00AA5FF8" w:rsidR="00043BF0" w:rsidTr="3A936897" w14:paraId="0708B878" w14:textId="77777777">
        <w:trPr>
          <w:trHeight w:val="221"/>
        </w:trPr>
        <w:tc>
          <w:tcPr>
            <w:tcW w:w="2410" w:type="dxa"/>
          </w:tcPr>
          <w:p w:rsidRPr="00AA5FF8" w:rsidR="00DA554B" w:rsidP="00E525C7" w:rsidRDefault="00DA554B" w14:paraId="05F7B40A" w14:textId="77777777">
            <w:pPr>
              <w:pStyle w:val="BodyText"/>
              <w:rPr>
                <w:rFonts w:cs="Arial" w:asciiTheme="minorHAnsi" w:hAnsiTheme="minorHAnsi"/>
                <w:b/>
                <w:bCs/>
                <w:szCs w:val="24"/>
              </w:rPr>
            </w:pPr>
            <w:r w:rsidRPr="00AA5FF8">
              <w:rPr>
                <w:rFonts w:cs="Arial" w:asciiTheme="minorHAnsi" w:hAnsiTheme="minorHAnsi"/>
                <w:b/>
                <w:bCs/>
                <w:szCs w:val="24"/>
              </w:rPr>
              <w:lastRenderedPageBreak/>
              <w:t xml:space="preserve">Monitoring                              </w:t>
            </w:r>
          </w:p>
          <w:p w:rsidRPr="00AA5FF8" w:rsidR="00DA554B" w:rsidP="00E525C7" w:rsidRDefault="00DA554B" w14:paraId="0AC2A653" w14:textId="77777777">
            <w:pPr>
              <w:pStyle w:val="BodyText"/>
              <w:rPr>
                <w:rFonts w:cs="Arial" w:asciiTheme="minorHAnsi" w:hAnsiTheme="minorHAnsi"/>
                <w:szCs w:val="24"/>
              </w:rPr>
            </w:pPr>
          </w:p>
        </w:tc>
        <w:tc>
          <w:tcPr>
            <w:tcW w:w="7967" w:type="dxa"/>
          </w:tcPr>
          <w:p w:rsidRPr="00AA5FF8" w:rsidR="00DA554B" w:rsidP="00E525C7" w:rsidRDefault="00DA554B" w14:paraId="68736497"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Heart rate, blood pressure and oxygenation. </w:t>
            </w:r>
          </w:p>
          <w:p w:rsidRPr="00AA5FF8" w:rsidR="00DA554B" w:rsidP="00E525C7" w:rsidRDefault="00DA554B" w14:paraId="2DE6D5AA"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Renal and hepatic function. </w:t>
            </w:r>
          </w:p>
          <w:p w:rsidRPr="00AA5FF8" w:rsidR="00DA554B" w:rsidP="00E525C7" w:rsidRDefault="00DA554B" w14:paraId="0B9FA850" w14:textId="77777777">
            <w:pPr>
              <w:pStyle w:val="BodyText"/>
              <w:rPr>
                <w:rFonts w:cs="Arial" w:asciiTheme="minorHAnsi" w:hAnsiTheme="minorHAnsi"/>
                <w:sz w:val="20"/>
              </w:rPr>
            </w:pPr>
            <w:r w:rsidRPr="00AA5FF8">
              <w:rPr>
                <w:rFonts w:asciiTheme="minorHAnsi" w:hAnsiTheme="minorHAnsi"/>
                <w:sz w:val="20"/>
              </w:rPr>
              <w:t>Consider monitoring with echocardiogram.</w:t>
            </w:r>
          </w:p>
        </w:tc>
      </w:tr>
      <w:tr w:rsidRPr="00AA5FF8" w:rsidR="00043BF0" w:rsidTr="3A936897" w14:paraId="7759E1DA" w14:textId="77777777">
        <w:trPr>
          <w:trHeight w:val="342"/>
        </w:trPr>
        <w:tc>
          <w:tcPr>
            <w:tcW w:w="2410" w:type="dxa"/>
          </w:tcPr>
          <w:p w:rsidRPr="00AA5FF8" w:rsidR="00DA554B" w:rsidP="00E525C7" w:rsidRDefault="00DA554B" w14:paraId="749977EE" w14:textId="77777777">
            <w:pPr>
              <w:pStyle w:val="BodyText"/>
              <w:rPr>
                <w:rFonts w:cs="Arial" w:asciiTheme="minorHAnsi" w:hAnsiTheme="minorHAnsi"/>
                <w:b/>
                <w:bCs/>
                <w:szCs w:val="24"/>
              </w:rPr>
            </w:pPr>
            <w:r w:rsidRPr="00AA5FF8">
              <w:rPr>
                <w:rFonts w:cs="Arial" w:asciiTheme="minorHAnsi" w:hAnsiTheme="minorHAnsi"/>
                <w:b/>
                <w:bCs/>
                <w:szCs w:val="24"/>
              </w:rPr>
              <w:t xml:space="preserve">Contraindications                        </w:t>
            </w:r>
          </w:p>
          <w:p w:rsidRPr="00AA5FF8" w:rsidR="00DA554B" w:rsidP="00E525C7" w:rsidRDefault="00DA554B" w14:paraId="3E9AE956" w14:textId="77777777">
            <w:pPr>
              <w:pStyle w:val="BodyText"/>
              <w:rPr>
                <w:rFonts w:cs="Arial" w:asciiTheme="minorHAnsi" w:hAnsiTheme="minorHAnsi"/>
                <w:szCs w:val="24"/>
              </w:rPr>
            </w:pPr>
          </w:p>
        </w:tc>
        <w:tc>
          <w:tcPr>
            <w:tcW w:w="7967" w:type="dxa"/>
          </w:tcPr>
          <w:p w:rsidRPr="00AA5FF8" w:rsidR="00DA554B" w:rsidP="00E525C7" w:rsidRDefault="00DA554B" w14:paraId="57F65617"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Hypersensitivity to sildenafil </w:t>
            </w:r>
          </w:p>
          <w:p w:rsidRPr="00AA5FF8" w:rsidR="00DA554B" w:rsidP="00E525C7" w:rsidRDefault="00DA554B" w14:paraId="2051A5FF" w14:textId="77777777">
            <w:pPr>
              <w:pStyle w:val="BodyText"/>
              <w:rPr>
                <w:rFonts w:cs="Arial" w:asciiTheme="minorHAnsi" w:hAnsiTheme="minorHAnsi"/>
                <w:sz w:val="20"/>
              </w:rPr>
            </w:pPr>
            <w:r w:rsidRPr="00AA5FF8">
              <w:rPr>
                <w:rFonts w:asciiTheme="minorHAnsi" w:hAnsiTheme="minorHAnsi"/>
                <w:sz w:val="20"/>
              </w:rPr>
              <w:t xml:space="preserve">Not to be used in patients taking organic nitrates of any form e.g. glyceryl trinitrate, isosorbide mononitrate, sodium nitroprusside </w:t>
            </w:r>
          </w:p>
        </w:tc>
      </w:tr>
      <w:tr w:rsidRPr="00AA5FF8" w:rsidR="00043BF0" w:rsidTr="3A936897" w14:paraId="36849396" w14:textId="77777777">
        <w:tc>
          <w:tcPr>
            <w:tcW w:w="2410" w:type="dxa"/>
          </w:tcPr>
          <w:p w:rsidRPr="00AA5FF8" w:rsidR="00DA554B" w:rsidP="00E525C7" w:rsidRDefault="00DA554B" w14:paraId="4E3A6D91" w14:textId="77777777">
            <w:pPr>
              <w:pStyle w:val="BodyText"/>
              <w:rPr>
                <w:rFonts w:cs="Arial" w:asciiTheme="minorHAnsi" w:hAnsiTheme="minorHAnsi"/>
                <w:b/>
                <w:bCs/>
                <w:szCs w:val="24"/>
              </w:rPr>
            </w:pPr>
            <w:r w:rsidRPr="00AA5FF8">
              <w:rPr>
                <w:rFonts w:asciiTheme="minorHAnsi" w:hAnsiTheme="minorHAnsi"/>
                <w:szCs w:val="24"/>
              </w:rPr>
              <w:br w:type="page"/>
            </w:r>
            <w:r w:rsidRPr="00AA5FF8">
              <w:rPr>
                <w:rFonts w:cs="Arial" w:asciiTheme="minorHAnsi" w:hAnsiTheme="minorHAnsi"/>
                <w:b/>
                <w:bCs/>
                <w:szCs w:val="24"/>
              </w:rPr>
              <w:t>Precautions</w:t>
            </w:r>
          </w:p>
        </w:tc>
        <w:tc>
          <w:tcPr>
            <w:tcW w:w="7967" w:type="dxa"/>
          </w:tcPr>
          <w:p w:rsidRPr="00AA5FF8" w:rsidR="00DA554B" w:rsidP="00E525C7" w:rsidRDefault="00DA554B" w14:paraId="328A39CE"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Use with caution in neonates with sepsis or uncontrolled hypotension. </w:t>
            </w:r>
          </w:p>
          <w:p w:rsidRPr="00AA5FF8" w:rsidR="00DA554B" w:rsidP="00E525C7" w:rsidRDefault="00DA554B" w14:paraId="7BD85D6A" w14:textId="77777777">
            <w:pPr>
              <w:pStyle w:val="BodyText"/>
              <w:rPr>
                <w:rFonts w:asciiTheme="minorHAnsi" w:hAnsiTheme="minorHAnsi"/>
                <w:sz w:val="20"/>
              </w:rPr>
            </w:pPr>
            <w:r w:rsidRPr="00AA5FF8">
              <w:rPr>
                <w:rFonts w:asciiTheme="minorHAnsi" w:hAnsiTheme="minorHAnsi"/>
                <w:sz w:val="20"/>
              </w:rPr>
              <w:t xml:space="preserve">Sildenafil clearance (in adults) is reduced in hepatic and severe renal impairment. </w:t>
            </w:r>
          </w:p>
        </w:tc>
      </w:tr>
      <w:tr w:rsidRPr="00AA5FF8" w:rsidR="00043BF0" w:rsidTr="3A936897" w14:paraId="127823AC" w14:textId="77777777">
        <w:trPr>
          <w:trHeight w:val="276"/>
        </w:trPr>
        <w:tc>
          <w:tcPr>
            <w:tcW w:w="2410" w:type="dxa"/>
          </w:tcPr>
          <w:p w:rsidRPr="00AA5FF8" w:rsidR="00DA554B" w:rsidP="00E525C7" w:rsidRDefault="00DA554B" w14:paraId="171EA082" w14:textId="77777777">
            <w:pPr>
              <w:pStyle w:val="BodyText"/>
              <w:rPr>
                <w:rFonts w:cs="Arial" w:asciiTheme="minorHAnsi" w:hAnsiTheme="minorHAnsi"/>
                <w:b/>
                <w:bCs/>
                <w:szCs w:val="24"/>
              </w:rPr>
            </w:pPr>
            <w:r w:rsidRPr="00AA5FF8">
              <w:rPr>
                <w:rFonts w:cs="Arial" w:asciiTheme="minorHAnsi" w:hAnsiTheme="minorHAnsi"/>
                <w:b/>
                <w:bCs/>
                <w:szCs w:val="24"/>
              </w:rPr>
              <w:t>Drug Interactions</w:t>
            </w:r>
          </w:p>
        </w:tc>
        <w:tc>
          <w:tcPr>
            <w:tcW w:w="7967" w:type="dxa"/>
          </w:tcPr>
          <w:p w:rsidRPr="00AA5FF8" w:rsidR="00DA554B" w:rsidP="00E525C7" w:rsidRDefault="00DA554B" w14:paraId="0D006BDA" w14:textId="77777777">
            <w:pPr>
              <w:pStyle w:val="Default"/>
              <w:rPr>
                <w:rFonts w:asciiTheme="minorHAnsi" w:hAnsiTheme="minorHAnsi"/>
                <w:color w:val="auto"/>
                <w:sz w:val="20"/>
                <w:szCs w:val="20"/>
              </w:rPr>
            </w:pPr>
            <w:r w:rsidRPr="00AA5FF8">
              <w:rPr>
                <w:rFonts w:asciiTheme="minorHAnsi" w:hAnsiTheme="minorHAnsi"/>
                <w:color w:val="auto"/>
                <w:sz w:val="20"/>
                <w:szCs w:val="20"/>
              </w:rPr>
              <w:t>Sildenafil metabolism is principally mediated by the cytochrome P450 (CYP) isoforms 3A4 (major route) and 2C9 (minor route). Inhibitors of these isoenzymes may reduce sildenafil clearance and inducers of these isoenzymes may increase sildenafil clearance. Thus, erythromycin and fluconazole may increase concentrations of sildenafil by reducing hepatic clearance and r</w:t>
            </w:r>
            <w:r w:rsidRPr="00AA5FF8">
              <w:rPr>
                <w:rFonts w:asciiTheme="minorHAnsi" w:hAnsiTheme="minorHAnsi"/>
                <w:color w:val="auto"/>
                <w:sz w:val="20"/>
              </w:rPr>
              <w:t>ifampicin may decrease concentrations by inducing its hepatic metabolism.</w:t>
            </w:r>
          </w:p>
          <w:p w:rsidRPr="00AA5FF8" w:rsidR="00DA554B" w:rsidP="00E525C7" w:rsidRDefault="00DA554B" w14:paraId="64364EC1" w14:textId="77777777">
            <w:pPr>
              <w:pStyle w:val="Default"/>
              <w:rPr>
                <w:rFonts w:asciiTheme="minorHAnsi" w:hAnsiTheme="minorHAnsi"/>
                <w:color w:val="auto"/>
                <w:sz w:val="20"/>
              </w:rPr>
            </w:pPr>
            <w:r w:rsidRPr="00AA5FF8">
              <w:rPr>
                <w:rFonts w:asciiTheme="minorHAnsi" w:hAnsiTheme="minorHAnsi"/>
                <w:color w:val="auto"/>
                <w:sz w:val="20"/>
                <w:szCs w:val="20"/>
              </w:rPr>
              <w:t xml:space="preserve">Avoid concomitant use of sildenafil with: Alprostadil (prostaglandin E1), other antihypertensives and vasodilators, as they may have their effects potentiated by sildenafil. </w:t>
            </w:r>
          </w:p>
        </w:tc>
      </w:tr>
      <w:tr w:rsidRPr="00AA5FF8" w:rsidR="00043BF0" w:rsidTr="3A936897" w14:paraId="6D9AD4FC" w14:textId="77777777">
        <w:trPr>
          <w:trHeight w:val="416"/>
        </w:trPr>
        <w:tc>
          <w:tcPr>
            <w:tcW w:w="2410" w:type="dxa"/>
          </w:tcPr>
          <w:p w:rsidRPr="00AA5FF8" w:rsidR="00DA554B" w:rsidP="00E525C7" w:rsidRDefault="00DA554B" w14:paraId="25FD43FE" w14:textId="77777777">
            <w:pPr>
              <w:pStyle w:val="BodyText"/>
              <w:rPr>
                <w:rFonts w:cs="Arial" w:asciiTheme="minorHAnsi" w:hAnsiTheme="minorHAnsi"/>
                <w:b/>
                <w:bCs/>
                <w:szCs w:val="24"/>
              </w:rPr>
            </w:pPr>
            <w:r w:rsidRPr="00AA5FF8">
              <w:rPr>
                <w:rFonts w:cs="Arial" w:asciiTheme="minorHAnsi" w:hAnsiTheme="minorHAnsi"/>
                <w:b/>
                <w:bCs/>
                <w:szCs w:val="24"/>
              </w:rPr>
              <w:t xml:space="preserve">Adverse Reactions         </w:t>
            </w:r>
          </w:p>
          <w:p w:rsidRPr="00AA5FF8" w:rsidR="00DA554B" w:rsidP="00E525C7" w:rsidRDefault="00DA554B" w14:paraId="00263E32" w14:textId="77777777">
            <w:pPr>
              <w:pStyle w:val="BodyText"/>
              <w:rPr>
                <w:rFonts w:cs="Arial" w:asciiTheme="minorHAnsi" w:hAnsiTheme="minorHAnsi"/>
                <w:b/>
                <w:bCs/>
                <w:szCs w:val="24"/>
              </w:rPr>
            </w:pPr>
          </w:p>
        </w:tc>
        <w:tc>
          <w:tcPr>
            <w:tcW w:w="7967" w:type="dxa"/>
          </w:tcPr>
          <w:p w:rsidRPr="00AA5FF8" w:rsidR="00DA554B" w:rsidP="00E525C7" w:rsidRDefault="00DA554B" w14:paraId="562CAC40"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Most concerning short-term adverse effects: Worsening oxygenation and systemic hypotension. </w:t>
            </w:r>
          </w:p>
          <w:p w:rsidRPr="00AA5FF8" w:rsidR="00DA554B" w:rsidP="00E525C7" w:rsidRDefault="00DA554B" w14:paraId="0AD8F3EA" w14:textId="77777777">
            <w:pPr>
              <w:pStyle w:val="Default"/>
              <w:rPr>
                <w:rFonts w:asciiTheme="minorHAnsi" w:hAnsiTheme="minorHAnsi"/>
                <w:color w:val="auto"/>
                <w:sz w:val="20"/>
                <w:szCs w:val="20"/>
              </w:rPr>
            </w:pPr>
            <w:r w:rsidRPr="00AA5FF8">
              <w:rPr>
                <w:rFonts w:asciiTheme="minorHAnsi" w:hAnsiTheme="minorHAnsi"/>
                <w:color w:val="auto"/>
                <w:sz w:val="20"/>
                <w:szCs w:val="20"/>
              </w:rPr>
              <w:t>Epistaxis, respiratory symptoms (cough and nasal congestion), diarrhoea and vomiting, gastroesophageal reflux and abdominal pain, headaches, tremors, erections, facial flushing, dizziness, irritability and (rarely) fever, skin disorders, pain in limbs and oedema have been reported in children on sildenafil. The Sildenafil in Treatment-Naïve Children, Aged 1-17 Years, With Pulmonary Arterial Hypertension long-term extension (STARTS-2) trial showed worse survival in children receiving high doses of sildenafil as monotherapy.</w:t>
            </w:r>
            <w:r w:rsidRPr="00AA5FF8">
              <w:rPr>
                <w:rFonts w:asciiTheme="minorHAnsi" w:hAnsiTheme="minorHAnsi"/>
                <w:color w:val="auto"/>
                <w:sz w:val="20"/>
                <w:szCs w:val="20"/>
                <w:vertAlign w:val="superscript"/>
              </w:rPr>
              <w:t>2</w:t>
            </w:r>
            <w:r w:rsidRPr="00AA5FF8">
              <w:rPr>
                <w:rFonts w:asciiTheme="minorHAnsi" w:hAnsiTheme="minorHAnsi"/>
                <w:color w:val="auto"/>
                <w:sz w:val="20"/>
                <w:szCs w:val="20"/>
              </w:rPr>
              <w:t xml:space="preserve"> A recent study conducted by Roldan and colleagues, found there was a statistically significant increase in adverse drug reaction (ADR) frequency in children receiving higher-than-recommended doses. However, it was not associated with a lower survival rate.</w:t>
            </w:r>
            <w:r w:rsidRPr="00AA5FF8">
              <w:rPr>
                <w:rFonts w:asciiTheme="minorHAnsi" w:hAnsiTheme="minorHAnsi"/>
                <w:color w:val="auto"/>
                <w:sz w:val="20"/>
                <w:szCs w:val="20"/>
                <w:vertAlign w:val="superscript"/>
              </w:rPr>
              <w:t>14</w:t>
            </w:r>
            <w:r w:rsidRPr="00AA5FF8">
              <w:rPr>
                <w:rFonts w:asciiTheme="minorHAnsi" w:hAnsiTheme="minorHAnsi"/>
                <w:color w:val="auto"/>
                <w:sz w:val="20"/>
                <w:szCs w:val="20"/>
              </w:rPr>
              <w:t xml:space="preserve"> </w:t>
            </w:r>
          </w:p>
          <w:p w:rsidRPr="00AA5FF8" w:rsidR="00DA554B" w:rsidP="00E525C7" w:rsidRDefault="00DA554B" w14:paraId="4011FFA5" w14:textId="77777777">
            <w:pPr>
              <w:pStyle w:val="Default"/>
              <w:rPr>
                <w:rFonts w:asciiTheme="minorHAnsi" w:hAnsiTheme="minorHAnsi"/>
                <w:color w:val="auto"/>
                <w:sz w:val="20"/>
                <w:szCs w:val="20"/>
              </w:rPr>
            </w:pPr>
            <w:r w:rsidRPr="00AA5FF8">
              <w:rPr>
                <w:rFonts w:asciiTheme="minorHAnsi" w:hAnsiTheme="minorHAnsi"/>
                <w:color w:val="auto"/>
                <w:sz w:val="20"/>
                <w:szCs w:val="20"/>
              </w:rPr>
              <w:t>Sildenafil has the potential to adversely affect vision.</w:t>
            </w:r>
            <w:r w:rsidRPr="00AA5FF8">
              <w:rPr>
                <w:rFonts w:asciiTheme="minorHAnsi" w:hAnsiTheme="minorHAnsi"/>
                <w:color w:val="auto"/>
                <w:sz w:val="20"/>
                <w:szCs w:val="20"/>
                <w:vertAlign w:val="superscript"/>
              </w:rPr>
              <w:t>13</w:t>
            </w:r>
          </w:p>
          <w:p w:rsidRPr="00AA5FF8" w:rsidR="00DA554B" w:rsidP="00E525C7" w:rsidRDefault="00DA554B" w14:paraId="0D893A28" w14:textId="77777777">
            <w:pPr>
              <w:pStyle w:val="Default"/>
              <w:rPr>
                <w:rFonts w:asciiTheme="minorHAnsi" w:hAnsiTheme="minorHAnsi"/>
                <w:color w:val="auto"/>
                <w:sz w:val="20"/>
                <w:szCs w:val="20"/>
              </w:rPr>
            </w:pPr>
            <w:r w:rsidRPr="00AA5FF8">
              <w:rPr>
                <w:rFonts w:asciiTheme="minorHAnsi" w:hAnsiTheme="minorHAnsi"/>
                <w:color w:val="auto"/>
                <w:sz w:val="20"/>
                <w:szCs w:val="20"/>
              </w:rPr>
              <w:t xml:space="preserve">Impaired liver function tests. </w:t>
            </w:r>
          </w:p>
          <w:p w:rsidRPr="00AA5FF8" w:rsidR="00DA554B" w:rsidP="00E525C7" w:rsidRDefault="00DA554B" w14:paraId="6488C282" w14:textId="77777777">
            <w:pPr>
              <w:pStyle w:val="BodyText"/>
              <w:rPr>
                <w:rFonts w:cs="Arial" w:asciiTheme="minorHAnsi" w:hAnsiTheme="minorHAnsi"/>
                <w:sz w:val="20"/>
              </w:rPr>
            </w:pPr>
            <w:r w:rsidRPr="00AA5FF8">
              <w:rPr>
                <w:rFonts w:asciiTheme="minorHAnsi" w:hAnsiTheme="minorHAnsi"/>
                <w:sz w:val="20"/>
              </w:rPr>
              <w:t xml:space="preserve">May increase the risk of severe retinopathy of prematurity if used in extremely preterm neonates. </w:t>
            </w:r>
          </w:p>
        </w:tc>
      </w:tr>
      <w:tr w:rsidRPr="00AA5FF8" w:rsidR="00043BF0" w:rsidTr="3A936897" w14:paraId="678B2ED2" w14:textId="77777777">
        <w:trPr>
          <w:trHeight w:val="270"/>
        </w:trPr>
        <w:tc>
          <w:tcPr>
            <w:tcW w:w="2410" w:type="dxa"/>
          </w:tcPr>
          <w:p w:rsidRPr="00AA5FF8" w:rsidR="00DA554B" w:rsidP="00E525C7" w:rsidRDefault="00DA554B" w14:paraId="67E9A6A1" w14:textId="77777777">
            <w:pPr>
              <w:pStyle w:val="BodyText"/>
              <w:rPr>
                <w:rFonts w:cs="Arial" w:asciiTheme="minorHAnsi" w:hAnsiTheme="minorHAnsi"/>
                <w:b/>
                <w:bCs/>
                <w:szCs w:val="24"/>
              </w:rPr>
            </w:pPr>
            <w:r w:rsidRPr="00AA5FF8">
              <w:rPr>
                <w:rFonts w:cs="Arial" w:asciiTheme="minorHAnsi" w:hAnsiTheme="minorHAnsi"/>
                <w:b/>
                <w:bCs/>
                <w:szCs w:val="24"/>
              </w:rPr>
              <w:t>Compatibility</w:t>
            </w:r>
          </w:p>
        </w:tc>
        <w:tc>
          <w:tcPr>
            <w:tcW w:w="7967" w:type="dxa"/>
          </w:tcPr>
          <w:p w:rsidRPr="00AA5FF8" w:rsidR="00DA554B" w:rsidP="00E525C7" w:rsidRDefault="00DA554B" w14:paraId="09AA5BAA" w14:textId="77777777">
            <w:pPr>
              <w:pStyle w:val="Default"/>
              <w:rPr>
                <w:rFonts w:asciiTheme="minorHAnsi" w:hAnsiTheme="minorHAnsi"/>
                <w:color w:val="auto"/>
                <w:sz w:val="20"/>
              </w:rPr>
            </w:pPr>
            <w:r w:rsidRPr="00AA5FF8">
              <w:rPr>
                <w:rFonts w:asciiTheme="minorHAnsi" w:hAnsiTheme="minorHAnsi"/>
                <w:color w:val="auto"/>
                <w:sz w:val="20"/>
                <w:szCs w:val="20"/>
              </w:rPr>
              <w:t>Glucose 5%, sodium chloride 0.9%.</w:t>
            </w:r>
          </w:p>
        </w:tc>
      </w:tr>
      <w:tr w:rsidRPr="00AA5FF8" w:rsidR="00043BF0" w:rsidTr="3A936897" w14:paraId="4A0C347A" w14:textId="77777777">
        <w:trPr>
          <w:trHeight w:val="206"/>
        </w:trPr>
        <w:tc>
          <w:tcPr>
            <w:tcW w:w="2410" w:type="dxa"/>
          </w:tcPr>
          <w:p w:rsidRPr="00AA5FF8" w:rsidR="00DA554B" w:rsidP="00E525C7" w:rsidRDefault="00DA554B" w14:paraId="6190129E" w14:textId="77777777">
            <w:pPr>
              <w:pStyle w:val="BodyText"/>
              <w:rPr>
                <w:rFonts w:cs="Arial" w:asciiTheme="minorHAnsi" w:hAnsiTheme="minorHAnsi"/>
                <w:b/>
                <w:bCs/>
                <w:szCs w:val="24"/>
              </w:rPr>
            </w:pPr>
            <w:r w:rsidRPr="00AA5FF8">
              <w:rPr>
                <w:rFonts w:cs="Arial" w:asciiTheme="minorHAnsi" w:hAnsiTheme="minorHAnsi"/>
                <w:b/>
                <w:bCs/>
                <w:szCs w:val="24"/>
              </w:rPr>
              <w:t xml:space="preserve">Incompatibility </w:t>
            </w:r>
          </w:p>
        </w:tc>
        <w:tc>
          <w:tcPr>
            <w:tcW w:w="7967" w:type="dxa"/>
          </w:tcPr>
          <w:p w:rsidRPr="00AA5FF8" w:rsidR="00DA554B" w:rsidP="00E525C7" w:rsidRDefault="00DA554B" w14:paraId="6F27198D" w14:textId="77777777">
            <w:pPr>
              <w:pStyle w:val="BodyText"/>
              <w:rPr>
                <w:rFonts w:cs="Arial" w:asciiTheme="minorHAnsi" w:hAnsiTheme="minorHAnsi"/>
                <w:sz w:val="20"/>
              </w:rPr>
            </w:pPr>
            <w:r w:rsidRPr="00AA5FF8">
              <w:rPr>
                <w:rFonts w:cs="Arial" w:asciiTheme="minorHAnsi" w:hAnsiTheme="minorHAnsi"/>
                <w:sz w:val="20"/>
              </w:rPr>
              <w:t xml:space="preserve">No data – </w:t>
            </w:r>
            <w:r w:rsidRPr="00AA5FF8">
              <w:rPr>
                <w:rFonts w:asciiTheme="minorHAnsi" w:hAnsiTheme="minorHAnsi"/>
                <w:sz w:val="20"/>
              </w:rPr>
              <w:t>where possible administer via dedicated line.</w:t>
            </w:r>
          </w:p>
        </w:tc>
      </w:tr>
      <w:tr w:rsidRPr="00AA5FF8" w:rsidR="00043BF0" w:rsidTr="3A936897" w14:paraId="1149094C" w14:textId="77777777">
        <w:trPr>
          <w:trHeight w:val="510"/>
        </w:trPr>
        <w:tc>
          <w:tcPr>
            <w:tcW w:w="2410" w:type="dxa"/>
          </w:tcPr>
          <w:p w:rsidRPr="00AA5FF8" w:rsidR="00DA554B" w:rsidP="00E525C7" w:rsidRDefault="00DA554B" w14:paraId="514608B5" w14:textId="77777777">
            <w:pPr>
              <w:pStyle w:val="BodyText"/>
              <w:rPr>
                <w:rFonts w:cs="Arial" w:asciiTheme="minorHAnsi" w:hAnsiTheme="minorHAnsi"/>
                <w:b/>
                <w:bCs/>
                <w:szCs w:val="24"/>
              </w:rPr>
            </w:pPr>
            <w:r w:rsidRPr="00AA5FF8">
              <w:rPr>
                <w:rFonts w:cs="Arial" w:asciiTheme="minorHAnsi" w:hAnsiTheme="minorHAnsi"/>
                <w:b/>
                <w:bCs/>
                <w:szCs w:val="24"/>
              </w:rPr>
              <w:t xml:space="preserve">Stability                  </w:t>
            </w:r>
          </w:p>
        </w:tc>
        <w:tc>
          <w:tcPr>
            <w:tcW w:w="7967" w:type="dxa"/>
          </w:tcPr>
          <w:p w:rsidRPr="00AA5FF8" w:rsidR="00DA554B" w:rsidP="00E525C7" w:rsidRDefault="00DA554B" w14:paraId="06C8E02C" w14:textId="77777777">
            <w:pPr>
              <w:pStyle w:val="BodyText"/>
              <w:rPr>
                <w:rFonts w:asciiTheme="minorHAnsi" w:hAnsiTheme="minorHAnsi"/>
                <w:sz w:val="20"/>
              </w:rPr>
            </w:pPr>
            <w:r w:rsidRPr="00AA5FF8">
              <w:rPr>
                <w:rFonts w:asciiTheme="minorHAnsi" w:hAnsiTheme="minorHAnsi"/>
                <w:sz w:val="20"/>
              </w:rPr>
              <w:t>IV – infusion should be changed every 24 hours.</w:t>
            </w:r>
          </w:p>
          <w:p w:rsidRPr="00AA5FF8" w:rsidR="00DA554B" w:rsidP="00E525C7" w:rsidRDefault="00DA554B" w14:paraId="634CB859" w14:textId="77777777">
            <w:pPr>
              <w:pStyle w:val="BodyText"/>
              <w:rPr>
                <w:rFonts w:cs="Arial" w:asciiTheme="minorHAnsi" w:hAnsiTheme="minorHAnsi"/>
                <w:sz w:val="20"/>
              </w:rPr>
            </w:pPr>
            <w:r w:rsidRPr="00AA5FF8">
              <w:rPr>
                <w:rFonts w:asciiTheme="minorHAnsi" w:hAnsiTheme="minorHAnsi"/>
                <w:sz w:val="20"/>
              </w:rPr>
              <w:t>Oral suspension – as per pharmacy advice.</w:t>
            </w:r>
          </w:p>
        </w:tc>
      </w:tr>
      <w:tr w:rsidRPr="00AA5FF8" w:rsidR="00043BF0" w:rsidTr="3A936897" w14:paraId="3E2A4D28" w14:textId="77777777">
        <w:trPr>
          <w:trHeight w:val="371"/>
        </w:trPr>
        <w:tc>
          <w:tcPr>
            <w:tcW w:w="2410" w:type="dxa"/>
          </w:tcPr>
          <w:p w:rsidRPr="00AA5FF8" w:rsidR="00DA554B" w:rsidP="00E525C7" w:rsidRDefault="00DA554B" w14:paraId="39F66FB8" w14:textId="77777777">
            <w:pPr>
              <w:pStyle w:val="BodyText"/>
              <w:rPr>
                <w:rFonts w:cs="Arial" w:asciiTheme="minorHAnsi" w:hAnsiTheme="minorHAnsi"/>
                <w:b/>
                <w:bCs/>
                <w:szCs w:val="24"/>
              </w:rPr>
            </w:pPr>
            <w:r w:rsidRPr="00AA5FF8">
              <w:rPr>
                <w:rFonts w:cs="Arial" w:asciiTheme="minorHAnsi" w:hAnsiTheme="minorHAnsi"/>
                <w:b/>
                <w:bCs/>
                <w:szCs w:val="24"/>
              </w:rPr>
              <w:t xml:space="preserve">Storage             </w:t>
            </w:r>
          </w:p>
        </w:tc>
        <w:tc>
          <w:tcPr>
            <w:tcW w:w="7967" w:type="dxa"/>
          </w:tcPr>
          <w:p w:rsidRPr="00AA5FF8" w:rsidR="00DA554B" w:rsidP="00E525C7" w:rsidRDefault="00DA554B" w14:paraId="3E28A7C8" w14:textId="77777777">
            <w:pPr>
              <w:pStyle w:val="BodyText"/>
              <w:rPr>
                <w:rFonts w:asciiTheme="minorHAnsi" w:hAnsiTheme="minorHAnsi"/>
                <w:sz w:val="20"/>
              </w:rPr>
            </w:pPr>
            <w:r w:rsidRPr="00AA5FF8">
              <w:rPr>
                <w:rFonts w:asciiTheme="minorHAnsi" w:hAnsiTheme="minorHAnsi"/>
                <w:sz w:val="20"/>
              </w:rPr>
              <w:t xml:space="preserve">IV − unopened vials at room temperature (20−25°C). </w:t>
            </w:r>
          </w:p>
          <w:p w:rsidRPr="00AA5FF8" w:rsidR="00DA554B" w:rsidP="00E525C7" w:rsidRDefault="00DA554B" w14:paraId="38B97780" w14:textId="77777777">
            <w:pPr>
              <w:pStyle w:val="BodyText"/>
              <w:rPr>
                <w:rFonts w:cs="Arial" w:asciiTheme="minorHAnsi" w:hAnsiTheme="minorHAnsi"/>
                <w:sz w:val="20"/>
              </w:rPr>
            </w:pPr>
            <w:r w:rsidRPr="00AA5FF8">
              <w:rPr>
                <w:rFonts w:asciiTheme="minorHAnsi" w:hAnsiTheme="minorHAnsi"/>
                <w:sz w:val="20"/>
              </w:rPr>
              <w:t>Oral suspension – refrigerate, do not freeze</w:t>
            </w:r>
          </w:p>
        </w:tc>
      </w:tr>
      <w:tr w:rsidRPr="00AA5FF8" w:rsidR="00043BF0" w:rsidTr="3A936897" w14:paraId="049B7F11" w14:textId="77777777">
        <w:trPr>
          <w:trHeight w:val="395"/>
        </w:trPr>
        <w:tc>
          <w:tcPr>
            <w:tcW w:w="2410" w:type="dxa"/>
          </w:tcPr>
          <w:p w:rsidRPr="00AA5FF8" w:rsidR="00DA554B" w:rsidP="00E525C7" w:rsidRDefault="00DA554B" w14:paraId="77DEC155" w14:textId="77777777">
            <w:pPr>
              <w:pStyle w:val="BodyText"/>
              <w:rPr>
                <w:rFonts w:cs="Arial" w:asciiTheme="minorHAnsi" w:hAnsiTheme="minorHAnsi"/>
                <w:b/>
                <w:bCs/>
                <w:szCs w:val="24"/>
              </w:rPr>
            </w:pPr>
            <w:r w:rsidRPr="00AA5FF8">
              <w:rPr>
                <w:rFonts w:cs="Arial" w:asciiTheme="minorHAnsi" w:hAnsiTheme="minorHAnsi"/>
                <w:b/>
                <w:bCs/>
                <w:szCs w:val="24"/>
              </w:rPr>
              <w:t xml:space="preserve">Special Comments       </w:t>
            </w:r>
          </w:p>
          <w:p w:rsidRPr="00AA5FF8" w:rsidR="00DA554B" w:rsidP="00E525C7" w:rsidRDefault="00DA554B" w14:paraId="37ABD6DC" w14:textId="77777777">
            <w:pPr>
              <w:pStyle w:val="BodyText"/>
              <w:rPr>
                <w:rFonts w:cs="Arial" w:asciiTheme="minorHAnsi" w:hAnsiTheme="minorHAnsi"/>
                <w:b/>
                <w:bCs/>
                <w:szCs w:val="24"/>
              </w:rPr>
            </w:pPr>
          </w:p>
        </w:tc>
        <w:tc>
          <w:tcPr>
            <w:tcW w:w="7967" w:type="dxa"/>
          </w:tcPr>
          <w:p w:rsidRPr="00AA5FF8" w:rsidR="00DA554B" w:rsidP="00E525C7" w:rsidRDefault="00DA554B" w14:paraId="565E8EDC" w14:textId="77777777">
            <w:pPr>
              <w:pStyle w:val="Default"/>
              <w:rPr>
                <w:rFonts w:asciiTheme="minorHAnsi" w:hAnsiTheme="minorHAnsi"/>
                <w:color w:val="auto"/>
                <w:sz w:val="20"/>
                <w:szCs w:val="20"/>
              </w:rPr>
            </w:pPr>
            <w:r w:rsidRPr="00AA5FF8">
              <w:rPr>
                <w:rFonts w:asciiTheme="minorHAnsi" w:hAnsiTheme="minorHAnsi"/>
                <w:color w:val="auto"/>
                <w:sz w:val="20"/>
                <w:szCs w:val="20"/>
              </w:rPr>
              <w:t>In paediatric patients with pulmonary arterial hypertension, an increased mortality risk was associated with long-term (&gt; 2 year) use. The mortality risk of long-term use in neonates is unknown.</w:t>
            </w:r>
            <w:r w:rsidRPr="00AA5FF8">
              <w:rPr>
                <w:rFonts w:asciiTheme="minorHAnsi" w:hAnsiTheme="minorHAnsi"/>
                <w:color w:val="auto"/>
                <w:sz w:val="20"/>
              </w:rPr>
              <w:t xml:space="preserve"> </w:t>
            </w:r>
          </w:p>
        </w:tc>
      </w:tr>
      <w:tr w:rsidRPr="00AA5FF8" w:rsidR="00043BF0" w:rsidTr="3A936897" w14:paraId="188AC8C0" w14:textId="77777777">
        <w:trPr>
          <w:trHeight w:val="1071"/>
        </w:trPr>
        <w:tc>
          <w:tcPr>
            <w:tcW w:w="2410" w:type="dxa"/>
          </w:tcPr>
          <w:p w:rsidRPr="00AA5FF8" w:rsidR="00DA554B" w:rsidP="00E525C7" w:rsidRDefault="00DA554B" w14:paraId="5C666D4A" w14:textId="77777777">
            <w:pPr>
              <w:pStyle w:val="BodyText"/>
              <w:rPr>
                <w:rFonts w:cs="Arial" w:asciiTheme="minorHAnsi" w:hAnsiTheme="minorHAnsi"/>
                <w:b/>
                <w:bCs/>
                <w:szCs w:val="24"/>
              </w:rPr>
            </w:pPr>
            <w:r w:rsidRPr="00AA5FF8">
              <w:rPr>
                <w:rFonts w:cs="Arial" w:asciiTheme="minorHAnsi" w:hAnsiTheme="minorHAnsi"/>
                <w:b/>
                <w:bCs/>
                <w:szCs w:val="24"/>
              </w:rPr>
              <w:t>Evidence summary</w:t>
            </w:r>
          </w:p>
        </w:tc>
        <w:tc>
          <w:tcPr>
            <w:tcW w:w="7967" w:type="dxa"/>
          </w:tcPr>
          <w:p w:rsidRPr="00F10A82" w:rsidR="00DA554B" w:rsidP="00E525C7" w:rsidRDefault="00DA554B" w14:paraId="607B9FF9"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Neonates with pulmonary hypertension</w:t>
            </w:r>
          </w:p>
          <w:p w:rsidRPr="00F10A82" w:rsidR="00DA554B" w:rsidP="00E525C7" w:rsidRDefault="00DA554B" w14:paraId="01B50979" w14:textId="77777777">
            <w:pPr>
              <w:pStyle w:val="BodyText"/>
              <w:tabs>
                <w:tab w:val="left" w:pos="1168"/>
              </w:tabs>
              <w:rPr>
                <w:rFonts w:cs="Arial" w:asciiTheme="minorHAnsi" w:hAnsiTheme="minorHAnsi"/>
                <w:b/>
                <w:sz w:val="16"/>
                <w:szCs w:val="16"/>
              </w:rPr>
            </w:pPr>
            <w:r w:rsidRPr="00F10A82">
              <w:rPr>
                <w:rFonts w:cs="Arial" w:asciiTheme="minorHAnsi" w:hAnsiTheme="minorHAnsi"/>
                <w:sz w:val="16"/>
                <w:szCs w:val="16"/>
              </w:rPr>
              <w:t>Shah et al</w:t>
            </w:r>
            <w:r w:rsidRPr="00F10A82">
              <w:rPr>
                <w:rFonts w:cs="Arial" w:asciiTheme="minorHAnsi" w:hAnsiTheme="minorHAnsi"/>
                <w:sz w:val="16"/>
                <w:szCs w:val="16"/>
                <w:vertAlign w:val="superscript"/>
              </w:rPr>
              <w:t>9</w:t>
            </w:r>
            <w:r w:rsidRPr="00F10A82">
              <w:rPr>
                <w:rFonts w:cs="Arial" w:asciiTheme="minorHAnsi" w:hAnsiTheme="minorHAnsi"/>
                <w:sz w:val="16"/>
                <w:szCs w:val="16"/>
              </w:rPr>
              <w:t xml:space="preserve"> performed a systematic review on sildenafil compared with placebo or other pulmonary vasodilators, irrespective of dose, route and duration of administration, in neonates with PPHN. Three eligible trials that enrolled 77 infants were identified. The methodological quality of the studies indicated low-moderate risk of bias. All studies were performed in resource-limited settings where iNO and high frequency ventilation were not available at the time of study. There was a significant reduction in mortality in the sildenafil group (typical RR 0.20, 95% CI 0.07 to 0.57; typical RD -0.38, 95% CI -0.60 to -0.16; Number needed to treat to benefit 3, 95% CI 2 to 6). Physiological parameters of oxygenation (oxygenation index, PaO</w:t>
            </w:r>
            <w:r w:rsidRPr="00F10A82">
              <w:rPr>
                <w:rFonts w:cs="Arial" w:asciiTheme="minorHAnsi" w:hAnsiTheme="minorHAnsi"/>
                <w:sz w:val="16"/>
                <w:szCs w:val="16"/>
                <w:vertAlign w:val="subscript"/>
              </w:rPr>
              <w:t>2</w:t>
            </w:r>
            <w:r w:rsidRPr="00F10A82">
              <w:rPr>
                <w:rFonts w:cs="Arial" w:asciiTheme="minorHAnsi" w:hAnsiTheme="minorHAnsi"/>
                <w:sz w:val="16"/>
                <w:szCs w:val="16"/>
              </w:rPr>
              <w:t xml:space="preserve">) suggested a steady improvement after the first dose of sildenafil. No clinically important side effects were identified. Sildenafil in the treatment of PPHN has significant potential especially in resource limited settings (LOEI, GOR B). </w:t>
            </w:r>
          </w:p>
          <w:p w:rsidRPr="00F10A82" w:rsidR="00DA554B" w:rsidP="00E525C7" w:rsidRDefault="00DA554B" w14:paraId="19391DA8"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lastRenderedPageBreak/>
              <w:t>The European Paediatric Pulmonary Vascular Disease Network’s consensus statement 2016: Oral sildenafil should be considered for treatment of PPHN and PH in BPD, especially if iNO is not available (LOE IIa GOR B). Intravenous sildenafil may be considered for treatment of PH, including PPHN, in critically ill patients, especially in those with an unsatisfactory response to iNO (LOE IIb GOR B).</w:t>
            </w:r>
            <w:r w:rsidRPr="00F10A82">
              <w:rPr>
                <w:rFonts w:cs="Arial" w:asciiTheme="minorHAnsi" w:hAnsiTheme="minorHAnsi"/>
                <w:sz w:val="16"/>
                <w:szCs w:val="16"/>
                <w:vertAlign w:val="superscript"/>
              </w:rPr>
              <w:t>4,5</w:t>
            </w:r>
          </w:p>
          <w:p w:rsidRPr="00F10A82" w:rsidR="00DA554B" w:rsidP="00E525C7" w:rsidRDefault="00DA554B" w14:paraId="3F338070" w14:textId="77777777">
            <w:pPr>
              <w:pStyle w:val="BodyText"/>
              <w:tabs>
                <w:tab w:val="left" w:pos="1168"/>
              </w:tabs>
              <w:rPr>
                <w:rFonts w:cs="Arial" w:asciiTheme="minorHAnsi" w:hAnsiTheme="minorHAnsi"/>
                <w:b/>
                <w:sz w:val="16"/>
                <w:szCs w:val="16"/>
              </w:rPr>
            </w:pPr>
          </w:p>
          <w:p w:rsidRPr="00F10A82" w:rsidR="00DA554B" w:rsidP="00E525C7" w:rsidRDefault="00DA554B" w14:paraId="35D32154"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Paediatric pulmonary hypertension</w:t>
            </w:r>
          </w:p>
          <w:p w:rsidRPr="00F10A82" w:rsidR="00DA554B" w:rsidP="00E525C7" w:rsidRDefault="00DA554B" w14:paraId="7FB268C8"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STARTS-1 trial performed by Barst et al,</w:t>
            </w:r>
            <w:r w:rsidRPr="00F10A82">
              <w:rPr>
                <w:rFonts w:cs="Arial" w:asciiTheme="minorHAnsi" w:hAnsiTheme="minorHAnsi"/>
                <w:sz w:val="16"/>
                <w:szCs w:val="16"/>
                <w:vertAlign w:val="superscript"/>
              </w:rPr>
              <w:t>1</w:t>
            </w:r>
            <w:r w:rsidRPr="00F10A82">
              <w:rPr>
                <w:rFonts w:cs="Arial" w:asciiTheme="minorHAnsi" w:hAnsiTheme="minorHAnsi"/>
                <w:sz w:val="16"/>
                <w:szCs w:val="16"/>
              </w:rPr>
              <w:t xml:space="preserve"> studied the effectiveness of oral sildenafil in children with pulmonary arterial hypertension. 238 children with a weight </w:t>
            </w:r>
            <w:r w:rsidRPr="00F10A82">
              <w:rPr>
                <w:sz w:val="16"/>
                <w:szCs w:val="16"/>
              </w:rPr>
              <w:t xml:space="preserve">≥ </w:t>
            </w:r>
            <w:r w:rsidRPr="00F10A82">
              <w:rPr>
                <w:rFonts w:cs="Arial" w:asciiTheme="minorHAnsi" w:hAnsiTheme="minorHAnsi"/>
                <w:sz w:val="16"/>
                <w:szCs w:val="16"/>
              </w:rPr>
              <w:t>8 kg were randomised to low-, medium-, or high-dose sildenafil or placebo orally 3 times daily for 16 weeks. The primary comparison was percent change from baseline in peak oxygen consumption for the 3 sildenafil doses combined versus placebo. Percent change in PV˙ O</w:t>
            </w:r>
            <w:r w:rsidRPr="00F10A82">
              <w:rPr>
                <w:rFonts w:cs="Arial" w:asciiTheme="minorHAnsi" w:hAnsiTheme="minorHAnsi"/>
                <w:sz w:val="16"/>
                <w:szCs w:val="16"/>
                <w:vertAlign w:val="subscript"/>
              </w:rPr>
              <w:t>2</w:t>
            </w:r>
            <w:r w:rsidRPr="00F10A82">
              <w:rPr>
                <w:rFonts w:cs="Arial" w:asciiTheme="minorHAnsi" w:hAnsiTheme="minorHAnsi"/>
                <w:sz w:val="16"/>
                <w:szCs w:val="16"/>
              </w:rPr>
              <w:t xml:space="preserve"> for the 3 sildenafil doses combined was only marginally significant; however, PV˙ O</w:t>
            </w:r>
            <w:r w:rsidRPr="00F10A82">
              <w:rPr>
                <w:rFonts w:cs="Arial" w:asciiTheme="minorHAnsi" w:hAnsiTheme="minorHAnsi"/>
                <w:sz w:val="16"/>
                <w:szCs w:val="16"/>
                <w:vertAlign w:val="subscript"/>
              </w:rPr>
              <w:t>2</w:t>
            </w:r>
            <w:r w:rsidRPr="00F10A82">
              <w:rPr>
                <w:rFonts w:cs="Arial" w:asciiTheme="minorHAnsi" w:hAnsiTheme="minorHAnsi"/>
                <w:sz w:val="16"/>
                <w:szCs w:val="16"/>
              </w:rPr>
              <w:t xml:space="preserve">, functional class and haemodynamic improvements with medium and high doses suggest efficacy with these doses. </w:t>
            </w:r>
          </w:p>
          <w:p w:rsidRPr="00F10A82" w:rsidR="00DA554B" w:rsidP="00E525C7" w:rsidRDefault="00DA554B" w14:paraId="7A6AB59E" w14:textId="77777777">
            <w:pPr>
              <w:pStyle w:val="BodyText"/>
              <w:tabs>
                <w:tab w:val="left" w:pos="1168"/>
              </w:tabs>
              <w:rPr>
                <w:rFonts w:cs="Arial" w:asciiTheme="minorHAnsi" w:hAnsiTheme="minorHAnsi"/>
                <w:sz w:val="16"/>
                <w:szCs w:val="16"/>
              </w:rPr>
            </w:pPr>
          </w:p>
          <w:p w:rsidRPr="00F10A82" w:rsidR="00DA554B" w:rsidP="00E525C7" w:rsidRDefault="00DA554B" w14:paraId="6AC65D11"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STARTS-2 was the extension of the STARTS-1 trial.</w:t>
            </w:r>
            <w:r w:rsidRPr="00F10A82">
              <w:rPr>
                <w:rFonts w:cs="Arial" w:asciiTheme="minorHAnsi" w:hAnsiTheme="minorHAnsi"/>
                <w:sz w:val="16"/>
                <w:szCs w:val="16"/>
                <w:vertAlign w:val="superscript"/>
              </w:rPr>
              <w:t>2</w:t>
            </w:r>
            <w:r w:rsidRPr="00F10A82">
              <w:rPr>
                <w:rFonts w:cs="Arial" w:asciiTheme="minorHAnsi" w:hAnsiTheme="minorHAnsi"/>
                <w:sz w:val="16"/>
                <w:szCs w:val="16"/>
              </w:rPr>
              <w:t xml:space="preserve">  In STARTS-2, sildenafil-treated patients continued STARTS-1 dosing; placebo-treated patients were randomised to 1 of the 3 sildenafil dose groups. Patients requiring additional pulmonary arterial hypertension–specific therapy discontinued study treatment; survival follow-up was attempted. Hazard ratios for mortality were 3.95 (95% confidence interval, 1.46–10.65) for high versus low and 1.92 (95% confidence interval, 0.65–5.65) for medium versus low dose; however, multiple analyses raised uncertainty about the survival/dose relationship. In summary, although children randomised to higher compared with lower sildenafil doses had an unexplained increased mortality, all sildenafil dose groups displayed favourable survival for children with pulmonary arterial hypertension. Combined with STARTS-1 data, the overall profile favoured the medium dose.</w:t>
            </w:r>
          </w:p>
          <w:p w:rsidRPr="00F10A82" w:rsidR="00DA554B" w:rsidP="00E525C7" w:rsidRDefault="00DA554B" w14:paraId="56ED39F4" w14:textId="77777777">
            <w:pPr>
              <w:pStyle w:val="BodyText"/>
              <w:tabs>
                <w:tab w:val="left" w:pos="1168"/>
              </w:tabs>
              <w:rPr>
                <w:rFonts w:cs="Arial" w:asciiTheme="minorHAnsi" w:hAnsiTheme="minorHAnsi"/>
                <w:sz w:val="16"/>
                <w:szCs w:val="16"/>
              </w:rPr>
            </w:pPr>
          </w:p>
          <w:p w:rsidRPr="00F10A82" w:rsidR="00DA554B" w:rsidP="00E525C7" w:rsidRDefault="00DA554B" w14:paraId="65D52B51"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Preterm infants at risk of BPD</w:t>
            </w:r>
          </w:p>
          <w:p w:rsidRPr="00F10A82" w:rsidR="00DA554B" w:rsidP="00E525C7" w:rsidRDefault="00DA554B" w14:paraId="3DEBAEEC"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Konig et al</w:t>
            </w:r>
            <w:r w:rsidRPr="00F10A82">
              <w:rPr>
                <w:rFonts w:cs="Arial" w:asciiTheme="minorHAnsi" w:hAnsiTheme="minorHAnsi"/>
                <w:sz w:val="16"/>
                <w:szCs w:val="16"/>
                <w:vertAlign w:val="superscript"/>
              </w:rPr>
              <w:t>6</w:t>
            </w:r>
            <w:r w:rsidRPr="00F10A82">
              <w:rPr>
                <w:rFonts w:cs="Arial" w:asciiTheme="minorHAnsi" w:hAnsiTheme="minorHAnsi"/>
                <w:sz w:val="16"/>
                <w:szCs w:val="16"/>
              </w:rPr>
              <w:t xml:space="preserve"> performed an RCT in preterm infants, &lt; 28 weeks gestational age, if they were mechanically ventilated on day 7 of life. Infants were randomised to a 4-week course of either oral sildenafil (3 mg/kg/day) or placebo solution. Twenty infants were randomised, 10 received sildenafil and 10 received placebo. Sildenafil did not reduce length of invasive (median 688 versus 227 h) or non-invasive ventilation (median 1609 versus 1416 h). More infants in the sildenafil group required postnatal steroid treatment. One infant developed hypotension following sildenafil administration and was excluded after three doses. Conclusion: Sildenafil as an early treatment for preterm infants at risk of BPD is not beneficial.</w:t>
            </w:r>
          </w:p>
          <w:p w:rsidRPr="00F10A82" w:rsidR="00DA554B" w:rsidP="00E525C7" w:rsidRDefault="00DA554B" w14:paraId="15A26E2D" w14:textId="77777777">
            <w:pPr>
              <w:pStyle w:val="BodyText"/>
              <w:tabs>
                <w:tab w:val="left" w:pos="1168"/>
              </w:tabs>
              <w:rPr>
                <w:rFonts w:cs="Arial" w:asciiTheme="minorHAnsi" w:hAnsiTheme="minorHAnsi"/>
                <w:sz w:val="16"/>
                <w:szCs w:val="16"/>
              </w:rPr>
            </w:pPr>
          </w:p>
          <w:p w:rsidRPr="00F10A82" w:rsidR="00DA554B" w:rsidP="00E525C7" w:rsidRDefault="00DA554B" w14:paraId="1369710B"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Prevention of rebound pulmonary HTN after weaning iNO</w:t>
            </w:r>
          </w:p>
          <w:p w:rsidRPr="00F10A82" w:rsidR="00DA554B" w:rsidP="00E525C7" w:rsidRDefault="00DA554B" w14:paraId="4F226B6B"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Namachivayam et al</w:t>
            </w:r>
            <w:r w:rsidRPr="00F10A82">
              <w:rPr>
                <w:rFonts w:cs="Arial" w:asciiTheme="minorHAnsi" w:hAnsiTheme="minorHAnsi"/>
                <w:sz w:val="16"/>
                <w:szCs w:val="16"/>
                <w:vertAlign w:val="superscript"/>
              </w:rPr>
              <w:t>8</w:t>
            </w:r>
            <w:r w:rsidRPr="00F10A82">
              <w:rPr>
                <w:rFonts w:cs="Arial" w:asciiTheme="minorHAnsi" w:hAnsiTheme="minorHAnsi"/>
                <w:sz w:val="16"/>
                <w:szCs w:val="16"/>
              </w:rPr>
              <w:t xml:space="preserve"> performed an RCT in 30 ventilated infants and children from varying respiratory conditions including BPD (average age 0.4 y) and receiving 10 ppm iNO. They were randomised to either 0.4 mg/kg as a single oral dose of sildenafil or placebo 1 h before discontinuing iNO. Rebound occurred in 10/14 of the placebo group and 0 out of 15 in the sildenafil group. Four placebo patients couldn’t be weaned off iNO, whereas all in the sildenafil group were successfully weaned (p = 0.042). A single oral dose of sildenafil may be considered for this particular scenario (LOE II, GOR C).</w:t>
            </w:r>
          </w:p>
          <w:p w:rsidRPr="00F10A82" w:rsidR="00DA554B" w:rsidP="00E525C7" w:rsidRDefault="00DA554B" w14:paraId="767FB917" w14:textId="77777777">
            <w:pPr>
              <w:pStyle w:val="BodyText"/>
              <w:tabs>
                <w:tab w:val="left" w:pos="1168"/>
              </w:tabs>
              <w:rPr>
                <w:rFonts w:cs="Arial" w:asciiTheme="minorHAnsi" w:hAnsiTheme="minorHAnsi"/>
                <w:b/>
                <w:sz w:val="16"/>
                <w:szCs w:val="16"/>
              </w:rPr>
            </w:pPr>
          </w:p>
          <w:p w:rsidRPr="00F10A82" w:rsidR="00DA554B" w:rsidP="00E525C7" w:rsidRDefault="00DA554B" w14:paraId="1CECA3AA"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Pre-op oral sildenafil for children with CHD prior to cardiopulmonary bypass</w:t>
            </w:r>
          </w:p>
          <w:p w:rsidRPr="00F10A82" w:rsidR="00DA554B" w:rsidP="00E525C7" w:rsidRDefault="00DA554B" w14:paraId="3D4F716C"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Vassalos et al,</w:t>
            </w:r>
            <w:r w:rsidRPr="00F10A82">
              <w:rPr>
                <w:rFonts w:cs="Arial" w:asciiTheme="minorHAnsi" w:hAnsiTheme="minorHAnsi"/>
                <w:sz w:val="16"/>
                <w:szCs w:val="16"/>
                <w:vertAlign w:val="superscript"/>
              </w:rPr>
              <w:t>12</w:t>
            </w:r>
            <w:r w:rsidRPr="00F10A82">
              <w:rPr>
                <w:rFonts w:cs="Arial" w:asciiTheme="minorHAnsi" w:hAnsiTheme="minorHAnsi"/>
                <w:sz w:val="16"/>
                <w:szCs w:val="16"/>
              </w:rPr>
              <w:t xml:space="preserve"> in a randomised trial, compared the effects of oral sildenafil (0.5 mg/kg) and placebo, administered the day before cardiac surgery, in 24 children. Postoperatively, mean pulmonary vascular resistance and oxygenation index remained unchanged, whilst oxygen delivery and bi-ventricular systolic function were significantly reduced in the sildenafil group. In this trial, pre-operative sildenafil did not affect postoperative pulmonary vascular resistance. There was, however, a negative impact on ventricular function and oxygenation. Therefore, sildenafil is not recommended for this particular indication. </w:t>
            </w:r>
          </w:p>
          <w:p w:rsidRPr="00F10A82" w:rsidR="00DA554B" w:rsidP="00E525C7" w:rsidRDefault="00DA554B" w14:paraId="2BBF0CB5" w14:textId="77777777">
            <w:pPr>
              <w:pStyle w:val="BodyText"/>
              <w:tabs>
                <w:tab w:val="left" w:pos="1168"/>
              </w:tabs>
              <w:rPr>
                <w:rFonts w:cs="Arial" w:asciiTheme="minorHAnsi" w:hAnsiTheme="minorHAnsi"/>
                <w:b/>
                <w:sz w:val="16"/>
                <w:szCs w:val="16"/>
              </w:rPr>
            </w:pPr>
          </w:p>
          <w:p w:rsidRPr="00F10A82" w:rsidR="00DA554B" w:rsidP="00E525C7" w:rsidRDefault="00DA554B" w14:paraId="5B5758BD"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Post-op sildenafil in infants after cardiac surgery</w:t>
            </w:r>
          </w:p>
          <w:p w:rsidRPr="00F10A82" w:rsidR="00DA554B" w:rsidP="00E525C7" w:rsidRDefault="00DA554B" w14:paraId="40F43476"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Stocker et al</w:t>
            </w:r>
            <w:r w:rsidRPr="00F10A82">
              <w:rPr>
                <w:rFonts w:cs="Arial" w:asciiTheme="minorHAnsi" w:hAnsiTheme="minorHAnsi"/>
                <w:sz w:val="16"/>
                <w:szCs w:val="16"/>
                <w:vertAlign w:val="superscript"/>
              </w:rPr>
              <w:t>11</w:t>
            </w:r>
            <w:r w:rsidRPr="00F10A82">
              <w:rPr>
                <w:rFonts w:cs="Arial" w:asciiTheme="minorHAnsi" w:hAnsiTheme="minorHAnsi"/>
                <w:sz w:val="16"/>
                <w:szCs w:val="16"/>
              </w:rPr>
              <w:t xml:space="preserve"> performed an RCT in 16 ventilated infants early after closure of ventricular or atrioventricular septal defects. They were randomly assigned to one of two groups. Seven infants received iNO (20 ppm) first, with the addition of intravenous sildenafil (0.35 mg/kg over 20 min) after 20 min. Eight infants received sildenafil first, iNO was added after 20 min. Intravenous sildenafil augmented the pulmonary vasodilator effects of iNO in infants early after cardiac surgery. However, sildenafil produced systemic hypotension and impaired oxygenation, which was not improved by iNO.</w:t>
            </w:r>
            <w:r w:rsidRPr="00F10A82">
              <w:rPr>
                <w:sz w:val="16"/>
                <w:szCs w:val="16"/>
              </w:rPr>
              <w:t xml:space="preserve"> </w:t>
            </w:r>
            <w:r w:rsidRPr="00F10A82">
              <w:rPr>
                <w:rFonts w:asciiTheme="minorHAnsi" w:hAnsiTheme="minorHAnsi"/>
                <w:sz w:val="16"/>
                <w:szCs w:val="16"/>
              </w:rPr>
              <w:t>S</w:t>
            </w:r>
            <w:r w:rsidRPr="00F10A82">
              <w:rPr>
                <w:rFonts w:cs="Arial" w:asciiTheme="minorHAnsi" w:hAnsiTheme="minorHAnsi"/>
                <w:sz w:val="16"/>
                <w:szCs w:val="16"/>
              </w:rPr>
              <w:t>ildenafil is not recommended for this particular indication.</w:t>
            </w:r>
          </w:p>
          <w:p w:rsidRPr="00F10A82" w:rsidR="00DA554B" w:rsidP="00E525C7" w:rsidRDefault="00DA554B" w14:paraId="738D589F" w14:textId="77777777">
            <w:pPr>
              <w:pStyle w:val="BodyText"/>
              <w:tabs>
                <w:tab w:val="left" w:pos="1168"/>
              </w:tabs>
              <w:rPr>
                <w:rFonts w:cs="Arial" w:asciiTheme="minorHAnsi" w:hAnsiTheme="minorHAnsi"/>
                <w:sz w:val="16"/>
                <w:szCs w:val="16"/>
              </w:rPr>
            </w:pPr>
          </w:p>
          <w:p w:rsidRPr="00F10A82" w:rsidR="00DA554B" w:rsidP="00E525C7" w:rsidRDefault="00DA554B" w14:paraId="108DD017"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The European Paediatric Pulmonary Vascular Disease Network Consensus 2016</w:t>
            </w:r>
            <w:r w:rsidRPr="00F10A82">
              <w:rPr>
                <w:rFonts w:cs="Arial" w:asciiTheme="minorHAnsi" w:hAnsiTheme="minorHAnsi"/>
                <w:sz w:val="16"/>
                <w:szCs w:val="16"/>
                <w:vertAlign w:val="superscript"/>
              </w:rPr>
              <w:t>7</w:t>
            </w:r>
            <w:r w:rsidRPr="00F10A82">
              <w:rPr>
                <w:rFonts w:cs="Arial" w:asciiTheme="minorHAnsi" w:hAnsiTheme="minorHAnsi"/>
                <w:sz w:val="16"/>
                <w:szCs w:val="16"/>
              </w:rPr>
              <w:t>: Beneficial haemodynamic effects of sildenafil have also been demonstrated in failing Fontan circulations. Sildenafil improved max. oxygen consumption (VO</w:t>
            </w:r>
            <w:r w:rsidRPr="00F10A82">
              <w:rPr>
                <w:rFonts w:cs="Arial" w:asciiTheme="minorHAnsi" w:hAnsiTheme="minorHAnsi"/>
                <w:sz w:val="16"/>
                <w:szCs w:val="16"/>
                <w:vertAlign w:val="subscript"/>
              </w:rPr>
              <w:t>2</w:t>
            </w:r>
            <w:r w:rsidRPr="00F10A82">
              <w:rPr>
                <w:rFonts w:cs="Arial" w:asciiTheme="minorHAnsi" w:hAnsiTheme="minorHAnsi"/>
                <w:sz w:val="16"/>
                <w:szCs w:val="16"/>
              </w:rPr>
              <w:t xml:space="preserve"> max.) and pulmonary blood flow in patients with Fontan circulation. Another randomised, crossover study showed that sildenafil therapy improved exercise tolerance and ventilatory efficiency in Fontan patients. </w:t>
            </w:r>
          </w:p>
          <w:p w:rsidRPr="00F10A82" w:rsidR="00DA554B" w:rsidP="00E525C7" w:rsidRDefault="00DA554B" w14:paraId="2B74AD71" w14:textId="77777777">
            <w:pPr>
              <w:pStyle w:val="BodyText"/>
              <w:tabs>
                <w:tab w:val="left" w:pos="1168"/>
              </w:tabs>
              <w:rPr>
                <w:rFonts w:cs="Arial" w:asciiTheme="minorHAnsi" w:hAnsiTheme="minorHAnsi"/>
                <w:b/>
                <w:sz w:val="16"/>
                <w:szCs w:val="16"/>
              </w:rPr>
            </w:pPr>
          </w:p>
          <w:p w:rsidRPr="00F10A82" w:rsidR="00DA554B" w:rsidP="00E525C7" w:rsidRDefault="00DA554B" w14:paraId="362E8C89"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Pharmacokinetics</w:t>
            </w:r>
          </w:p>
          <w:p w:rsidRPr="00F10A82" w:rsidR="00DA554B" w:rsidP="00E525C7" w:rsidRDefault="00DA554B" w14:paraId="32D23E5C"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Steinhorn et al</w:t>
            </w:r>
            <w:r w:rsidRPr="00F10A82">
              <w:rPr>
                <w:rFonts w:cs="Arial" w:asciiTheme="minorHAnsi" w:hAnsiTheme="minorHAnsi"/>
                <w:sz w:val="16"/>
                <w:szCs w:val="16"/>
                <w:vertAlign w:val="superscript"/>
              </w:rPr>
              <w:t>10</w:t>
            </w:r>
            <w:r w:rsidRPr="00F10A82">
              <w:rPr>
                <w:rFonts w:cs="Arial" w:asciiTheme="minorHAnsi" w:hAnsiTheme="minorHAnsi"/>
                <w:sz w:val="16"/>
                <w:szCs w:val="16"/>
              </w:rPr>
              <w:t xml:space="preserve"> performed a multicentre, open-label, dose-escalation, pilot, pharmacokinetics study of 36 near-term and term neonates with echo-confirmed idiopathic PHN or secondary PHN with MAS, RDS, sepsis or pneumonia and OI ≥ 15. The study included 8 sequential ‘‘step-up’’ dosing groups. Most infants received a loading dose of sildenafil to bring the plasma concentration of sildenafil to a target, followed by a maintenance infusion for the remainder of the study. The duration of IV sildenafil was for at least 48 hours and up to 7 days. They found sildenafil to be well tolerated, </w:t>
            </w:r>
            <w:r w:rsidRPr="00F10A82">
              <w:rPr>
                <w:rFonts w:cs="Arial" w:asciiTheme="minorHAnsi" w:hAnsiTheme="minorHAnsi"/>
                <w:sz w:val="16"/>
                <w:szCs w:val="16"/>
              </w:rPr>
              <w:lastRenderedPageBreak/>
              <w:t>particularly with a dosing regimen comprising a loading dose of 0.4 mg/kg delivered over 3 hours, followed by a maintenance infusion at 1.6 mg/kg/day.</w:t>
            </w:r>
          </w:p>
          <w:p w:rsidRPr="00F10A82" w:rsidR="00DA554B" w:rsidP="00E525C7" w:rsidRDefault="00DA554B" w14:paraId="46AF1A0D" w14:textId="77777777">
            <w:pPr>
              <w:pStyle w:val="BodyText"/>
              <w:tabs>
                <w:tab w:val="left" w:pos="1168"/>
              </w:tabs>
              <w:rPr>
                <w:rFonts w:cs="Arial" w:asciiTheme="minorHAnsi" w:hAnsiTheme="minorHAnsi"/>
                <w:sz w:val="16"/>
                <w:szCs w:val="16"/>
              </w:rPr>
            </w:pPr>
          </w:p>
          <w:p w:rsidRPr="00F10A82" w:rsidR="00DA554B" w:rsidP="00E525C7" w:rsidRDefault="00DA554B" w14:paraId="46873B44" w14:textId="77777777">
            <w:pPr>
              <w:pStyle w:val="BodyText"/>
              <w:tabs>
                <w:tab w:val="left" w:pos="1168"/>
              </w:tabs>
              <w:rPr>
                <w:rFonts w:cs="Arial" w:asciiTheme="minorHAnsi" w:hAnsiTheme="minorHAnsi"/>
                <w:b/>
                <w:sz w:val="16"/>
                <w:szCs w:val="16"/>
              </w:rPr>
            </w:pPr>
            <w:r w:rsidRPr="00F10A82">
              <w:rPr>
                <w:rFonts w:cs="Arial" w:asciiTheme="minorHAnsi" w:hAnsiTheme="minorHAnsi"/>
                <w:b/>
                <w:sz w:val="16"/>
                <w:szCs w:val="16"/>
              </w:rPr>
              <w:t>Sildenafil and retinopathy of prematurity</w:t>
            </w:r>
          </w:p>
          <w:p w:rsidRPr="00F10A82" w:rsidR="00DA554B" w:rsidP="00E525C7" w:rsidRDefault="00DA554B" w14:paraId="4CF971AD" w14:textId="77777777">
            <w:pPr>
              <w:pStyle w:val="BodyText"/>
              <w:tabs>
                <w:tab w:val="left" w:pos="1168"/>
              </w:tabs>
              <w:rPr>
                <w:rFonts w:cs="Arial" w:asciiTheme="minorHAnsi" w:hAnsiTheme="minorHAnsi"/>
                <w:sz w:val="16"/>
                <w:szCs w:val="16"/>
              </w:rPr>
            </w:pPr>
            <w:r w:rsidRPr="00F10A82">
              <w:rPr>
                <w:rFonts w:cs="Arial" w:asciiTheme="minorHAnsi" w:hAnsiTheme="minorHAnsi"/>
                <w:sz w:val="16"/>
                <w:szCs w:val="16"/>
              </w:rPr>
              <w:t>Sildenafil is 10 x more selective for PDE5 as compared to PDE6. PDE6 is found in the retina. If used in extremely preterm neonates, sildenafil may increase the risk of severe retinopathy of prematurity. A retrospective, case-controlled study (n = 68) in neonates born before 30 weeks gestation showed sildenafil use did not increase the risk of retinopathy of prematurity.</w:t>
            </w:r>
            <w:r w:rsidRPr="00F10A82">
              <w:rPr>
                <w:rFonts w:cs="Arial" w:asciiTheme="minorHAnsi" w:hAnsiTheme="minorHAnsi"/>
                <w:sz w:val="16"/>
                <w:szCs w:val="16"/>
                <w:vertAlign w:val="superscript"/>
              </w:rPr>
              <w:t>3</w:t>
            </w:r>
          </w:p>
        </w:tc>
      </w:tr>
      <w:tr w:rsidRPr="00AA5FF8" w:rsidR="00043BF0" w:rsidTr="3A936897" w14:paraId="24F570DB" w14:textId="77777777">
        <w:trPr>
          <w:trHeight w:val="361"/>
        </w:trPr>
        <w:tc>
          <w:tcPr>
            <w:tcW w:w="2410" w:type="dxa"/>
          </w:tcPr>
          <w:p w:rsidRPr="00AA5FF8" w:rsidR="00DA554B" w:rsidP="00E525C7" w:rsidRDefault="00DA554B" w14:paraId="1F442B7E" w14:textId="77777777">
            <w:pPr>
              <w:pStyle w:val="BodyText"/>
              <w:rPr>
                <w:rFonts w:cs="Arial" w:asciiTheme="minorHAnsi" w:hAnsiTheme="minorHAnsi"/>
                <w:b/>
                <w:bCs/>
                <w:szCs w:val="24"/>
              </w:rPr>
            </w:pPr>
            <w:r w:rsidRPr="00AA5FF8">
              <w:rPr>
                <w:rFonts w:asciiTheme="minorHAnsi" w:hAnsiTheme="minorHAnsi"/>
                <w:b/>
                <w:szCs w:val="24"/>
              </w:rPr>
              <w:lastRenderedPageBreak/>
              <w:t>References</w:t>
            </w:r>
          </w:p>
        </w:tc>
        <w:tc>
          <w:tcPr>
            <w:tcW w:w="7967" w:type="dxa"/>
          </w:tcPr>
          <w:p w:rsidRPr="00CF3BED" w:rsidR="00DA554B" w:rsidP="001B0E05" w:rsidRDefault="00DA554B" w14:paraId="15454E07"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b/>
                <w:sz w:val="16"/>
                <w:szCs w:val="16"/>
                <w:lang w:val="en-US"/>
              </w:rPr>
              <w:fldChar w:fldCharType="begin"/>
            </w:r>
            <w:r w:rsidRPr="00CF3BED">
              <w:rPr>
                <w:rFonts w:cs="Arial" w:asciiTheme="minorHAnsi" w:hAnsiTheme="minorHAnsi"/>
                <w:b/>
                <w:sz w:val="16"/>
                <w:szCs w:val="16"/>
                <w:lang w:val="en-US"/>
              </w:rPr>
              <w:instrText xml:space="preserve"> ADDIN EN.REFLIST </w:instrText>
            </w:r>
            <w:r w:rsidRPr="00CF3BED">
              <w:rPr>
                <w:rFonts w:cs="Arial" w:asciiTheme="minorHAnsi" w:hAnsiTheme="minorHAnsi"/>
                <w:b/>
                <w:sz w:val="16"/>
                <w:szCs w:val="16"/>
                <w:lang w:val="en-US"/>
              </w:rPr>
              <w:fldChar w:fldCharType="separate"/>
            </w:r>
            <w:r w:rsidRPr="00CF3BED">
              <w:rPr>
                <w:rFonts w:cs="Arial" w:asciiTheme="minorHAnsi" w:hAnsiTheme="minorHAnsi"/>
                <w:sz w:val="16"/>
                <w:szCs w:val="16"/>
                <w:lang w:val="en-US"/>
              </w:rPr>
              <w:t>1. Barst RJ, Ivy DD, Gaitan G, Szatmari A, Rudzinski A, Garcia AE, et al. A randomized, double-blind, placebo-controlled, dose-ranging study of oral sildenafil citrate in treatment-naive children with pulmonary arterial hypertension. Circulation. 2012;125(2):324-34.</w:t>
            </w:r>
          </w:p>
          <w:p w:rsidRPr="00CF3BED" w:rsidR="00DA554B" w:rsidP="001B0E05" w:rsidRDefault="00DA554B" w14:paraId="1ECF2070"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2. Barst RJ, Beghetti M, Pulido T, Layton G, Konourina I, Zhang M, et al. STARTS-2: long-term survival with oral sildenafil monotherapy in treatment-naive pediatric pulmonary arterial hypertension. Circulation 2014;129(19):1914-23.</w:t>
            </w:r>
          </w:p>
          <w:p w:rsidRPr="00CF3BED" w:rsidR="00DA554B" w:rsidP="001B0E05" w:rsidRDefault="00DA554B" w14:paraId="0B1C1D84"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3. Fang AY, Guy KJ, König K. The effect of sildenafil on retinopathy of prematurity in very preterm infants.</w:t>
            </w:r>
            <w:r w:rsidRPr="00CF3BED">
              <w:rPr>
                <w:sz w:val="16"/>
                <w:szCs w:val="16"/>
              </w:rPr>
              <w:t xml:space="preserve"> </w:t>
            </w:r>
            <w:r w:rsidRPr="00CF3BED">
              <w:rPr>
                <w:rFonts w:cs="Arial" w:asciiTheme="minorHAnsi" w:hAnsiTheme="minorHAnsi"/>
                <w:sz w:val="16"/>
                <w:szCs w:val="16"/>
                <w:lang w:val="en-US"/>
              </w:rPr>
              <w:t>J Perinatol. 2013 Mar;33(3):218-21.</w:t>
            </w:r>
          </w:p>
          <w:p w:rsidRPr="00CF3BED" w:rsidR="00DA554B" w:rsidP="001B0E05" w:rsidRDefault="00DA554B" w14:paraId="50A5069A"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4. Hansmann G, Apitz C. Treatment of children with pulmonary hypertension. Expert consensus statement on the diagnosis and treatment of paediatric pulmonary hypertension. The European Paediatric Pulmonary Vascular Disease Network, endorsed by ISHLT and DGPK.</w:t>
            </w:r>
            <w:r w:rsidRPr="00CF3BED">
              <w:rPr>
                <w:sz w:val="16"/>
                <w:szCs w:val="16"/>
              </w:rPr>
              <w:t xml:space="preserve"> </w:t>
            </w:r>
            <w:r w:rsidRPr="00CF3BED">
              <w:rPr>
                <w:rFonts w:cs="Arial" w:asciiTheme="minorHAnsi" w:hAnsiTheme="minorHAnsi"/>
                <w:sz w:val="16"/>
                <w:szCs w:val="16"/>
                <w:lang w:val="en-US"/>
              </w:rPr>
              <w:t>Heart 2016;102 Suppl 2:ii67-85.</w:t>
            </w:r>
          </w:p>
          <w:p w:rsidRPr="00CF3BED" w:rsidR="00DA554B" w:rsidP="001B0E05" w:rsidRDefault="00DA554B" w14:paraId="65FB1DE1"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5. Hilgendorff A, Apitz C, Bonnet D, Hansmann G. Pulmonary hypertension associated with acute or chronic lung diseases in the preterm and term neonate and infant. The European Paediatric Pulmonary Vascular Disease Network, endorsed by ISHLT and DGPK.   Heart 2016;102 Suppl 2ii49-56.</w:t>
            </w:r>
          </w:p>
          <w:p w:rsidRPr="00CF3BED" w:rsidR="00DA554B" w:rsidP="001B0E05" w:rsidRDefault="00DA554B" w14:paraId="6DB63C11"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6. König K, Barfield CP, Guy KJ, Drew SM, Andersen CC. The effect of sildenafil on evolving bronchopulmonary dysplasia in extremely preterm infants: a randomised controlled pilot study. J Matern Fetal Neonatal Med. 2014;27(5):439-44.</w:t>
            </w:r>
          </w:p>
          <w:p w:rsidRPr="00CF3BED" w:rsidR="00DA554B" w:rsidP="001B0E05" w:rsidRDefault="00DA554B" w14:paraId="032B57A2"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7. Kozlik-Feldmann R, Hansmann G, Bonnet D, Schranz D, Apitz C, Michel-Behnke I. Pulmonary hypertension in children with congenital heart disease (PAH-CHD, PPHVD-CHD). Expert consensus statement on the diagnosis and treatment of paediatric pulmonary hypertension. The European Paediatric Pulmonary Vascular Disease Network, endorsed by ISHLT and DGPK.   Heart 2016;102 Suppl 2ii42-8.</w:t>
            </w:r>
          </w:p>
          <w:p w:rsidRPr="00CF3BED" w:rsidR="00DA554B" w:rsidP="001B0E05" w:rsidRDefault="00DA554B" w14:paraId="30CD9448"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8. Namachivayam P, Theilen U, Butt WW, Cooper SM, Penny DJ, Shekerdemian LS. Sildenafil prevents rebound pulmonary hypertension after withdrawal of nitric oxide in children. Am J Respir Crit Care Med 2006;174(9):1042-7.</w:t>
            </w:r>
          </w:p>
          <w:p w:rsidRPr="00CF3BED" w:rsidR="00DA554B" w:rsidP="001B0E05" w:rsidRDefault="00DA554B" w14:paraId="59BE4B00"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 xml:space="preserve">9. Shah PS, Ohlsson A. Sildenafil for pulmonary hypertension in neonates. Cochrane Database Syst Rev. 2011 Aug 10;(8):CD005494. </w:t>
            </w:r>
          </w:p>
          <w:p w:rsidRPr="00CF3BED" w:rsidR="00DA554B" w:rsidP="00E525C7" w:rsidRDefault="00DA554B" w14:paraId="74501C5C" w14:textId="77777777">
            <w:pPr>
              <w:pStyle w:val="ListParagraph"/>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10. Steinhorn RH, Kinsella JP, Pierce C, Butrous G, Dilleen M, Oakes M, Wessel DL.</w:t>
            </w:r>
            <w:r w:rsidRPr="00CF3BED">
              <w:rPr>
                <w:sz w:val="16"/>
                <w:szCs w:val="16"/>
              </w:rPr>
              <w:t xml:space="preserve"> </w:t>
            </w:r>
            <w:r w:rsidRPr="00CF3BED">
              <w:rPr>
                <w:rFonts w:cs="Arial" w:asciiTheme="minorHAnsi" w:hAnsiTheme="minorHAnsi"/>
                <w:sz w:val="16"/>
                <w:szCs w:val="16"/>
                <w:lang w:val="en-US"/>
              </w:rPr>
              <w:t>Intravenous sildenafil in the treatment of neonates with persistent pulmonary hypertension. J Pediatr 2009 Dec;155(6):841-847.e1.</w:t>
            </w:r>
          </w:p>
          <w:p w:rsidRPr="00CF3BED" w:rsidR="00DA554B" w:rsidP="001B0E05" w:rsidRDefault="00DA554B" w14:paraId="405CDBB3" w14:textId="77777777">
            <w:pPr>
              <w:pStyle w:val="ListParagraph"/>
              <w:numPr>
                <w:ilvl w:val="0"/>
                <w:numId w:val="62"/>
              </w:numPr>
              <w:shd w:val="clear" w:color="auto" w:fill="FFFFFF"/>
              <w:ind w:left="0"/>
              <w:rPr>
                <w:rFonts w:cs="Arial" w:asciiTheme="minorHAnsi" w:hAnsiTheme="minorHAnsi"/>
                <w:sz w:val="16"/>
                <w:szCs w:val="16"/>
                <w:lang w:val="en-US"/>
              </w:rPr>
            </w:pPr>
            <w:r w:rsidRPr="00CF3BED">
              <w:rPr>
                <w:rFonts w:cs="Arial" w:asciiTheme="minorHAnsi" w:hAnsiTheme="minorHAnsi"/>
                <w:sz w:val="16"/>
                <w:szCs w:val="16"/>
                <w:lang w:val="en-US"/>
              </w:rPr>
              <w:t>11. Stocker C, Penny DJ, Brizard CP, Cochrane AD, Soto R, Shekerdemian LS. Intravenous sildenafil and inhaled nitric oxide: a randomised trial in infants after cardiac surgery. Intensive Care Med. 2003;29(11):1996-2003.</w:t>
            </w:r>
          </w:p>
          <w:p w:rsidRPr="00CF3BED" w:rsidR="00DA554B" w:rsidP="001B0E05" w:rsidRDefault="00DA554B" w14:paraId="4565399E" w14:textId="77777777">
            <w:pPr>
              <w:pStyle w:val="ListParagraph"/>
              <w:numPr>
                <w:ilvl w:val="0"/>
                <w:numId w:val="62"/>
              </w:numPr>
              <w:shd w:val="clear" w:color="auto" w:fill="FFFFFF"/>
              <w:ind w:left="0"/>
              <w:rPr>
                <w:rFonts w:asciiTheme="minorHAnsi" w:hAnsiTheme="minorHAnsi"/>
                <w:sz w:val="16"/>
                <w:szCs w:val="16"/>
              </w:rPr>
            </w:pPr>
            <w:r w:rsidRPr="00CF3BED">
              <w:rPr>
                <w:rFonts w:cs="Arial" w:asciiTheme="minorHAnsi" w:hAnsiTheme="minorHAnsi"/>
                <w:sz w:val="16"/>
                <w:szCs w:val="16"/>
                <w:lang w:val="en-US"/>
              </w:rPr>
              <w:t>12. Vassalos A, Peng E, Young D, Walker S, Pollock J, Macarthur K, Lyall F, Danton MH.</w:t>
            </w:r>
            <w:r w:rsidRPr="00CF3BED">
              <w:rPr>
                <w:sz w:val="16"/>
                <w:szCs w:val="16"/>
              </w:rPr>
              <w:t xml:space="preserve"> </w:t>
            </w:r>
            <w:r w:rsidRPr="00CF3BED">
              <w:rPr>
                <w:rFonts w:cs="Arial" w:asciiTheme="minorHAnsi" w:hAnsiTheme="minorHAnsi"/>
                <w:sz w:val="16"/>
                <w:szCs w:val="16"/>
                <w:lang w:val="en-US"/>
              </w:rPr>
              <w:t>Pre-operative sildenafil and pulmonary endothelial-related complications following cardiopulmonary bypass: a randomised trial in children undergoing cardiac surgery. Anaesthesia 2011;66(6):472-80.</w:t>
            </w:r>
            <w:r w:rsidRPr="00CF3BED">
              <w:rPr>
                <w:rFonts w:cs="Arial" w:asciiTheme="minorHAnsi" w:hAnsiTheme="minorHAnsi"/>
                <w:sz w:val="16"/>
                <w:szCs w:val="16"/>
              </w:rPr>
              <w:fldChar w:fldCharType="end"/>
            </w:r>
          </w:p>
          <w:p w:rsidRPr="00CF3BED" w:rsidR="00DA554B" w:rsidP="001B0E05" w:rsidRDefault="00DA554B" w14:paraId="57604933" w14:textId="77777777">
            <w:pPr>
              <w:pStyle w:val="ListParagraph"/>
              <w:numPr>
                <w:ilvl w:val="0"/>
                <w:numId w:val="62"/>
              </w:numPr>
              <w:shd w:val="clear" w:color="auto" w:fill="FFFFFF"/>
              <w:ind w:left="0"/>
              <w:rPr>
                <w:rFonts w:asciiTheme="minorHAnsi" w:hAnsiTheme="minorHAnsi"/>
                <w:sz w:val="16"/>
                <w:szCs w:val="16"/>
              </w:rPr>
            </w:pPr>
            <w:r w:rsidRPr="00CF3BED">
              <w:rPr>
                <w:rFonts w:cs="Arial" w:asciiTheme="minorHAnsi" w:hAnsiTheme="minorHAnsi"/>
                <w:sz w:val="16"/>
                <w:szCs w:val="16"/>
              </w:rPr>
              <w:t xml:space="preserve">13. Dhariwal AK, Bavdekar SB. Sildenafil in pediatric pulmonary arterial hypertension. J Postgrad Med. 2015 Jul-Sep;61(3):181-92. </w:t>
            </w:r>
          </w:p>
          <w:p w:rsidRPr="00AA5FF8" w:rsidR="00DA554B" w:rsidP="001B0E05" w:rsidRDefault="00DA554B" w14:paraId="23E50B76" w14:textId="77777777">
            <w:pPr>
              <w:pStyle w:val="ListParagraph"/>
              <w:numPr>
                <w:ilvl w:val="0"/>
                <w:numId w:val="62"/>
              </w:numPr>
              <w:shd w:val="clear" w:color="auto" w:fill="FFFFFF"/>
              <w:ind w:left="0"/>
              <w:rPr>
                <w:rFonts w:asciiTheme="minorHAnsi" w:hAnsiTheme="minorHAnsi"/>
                <w:sz w:val="20"/>
              </w:rPr>
            </w:pPr>
            <w:r w:rsidRPr="00CF3BED">
              <w:rPr>
                <w:rFonts w:cs="Arial" w:asciiTheme="minorHAnsi" w:hAnsiTheme="minorHAnsi"/>
                <w:sz w:val="16"/>
                <w:szCs w:val="16"/>
              </w:rPr>
              <w:t xml:space="preserve">14. </w:t>
            </w:r>
            <w:r w:rsidRPr="00CF3BED">
              <w:rPr>
                <w:rFonts w:asciiTheme="minorHAnsi" w:hAnsiTheme="minorHAnsi"/>
                <w:sz w:val="16"/>
                <w:szCs w:val="16"/>
              </w:rPr>
              <w:t>Roldan T, Deiros L, Romero JA, Gutierrez-Larraya F, Herrero A, Del Cerro MJ. Safety and tolerability of targeted therapies for pulmonary hypertension in children. Pediatric cardiology. 2014 Mar 1;35(3):490-8.</w:t>
            </w:r>
          </w:p>
        </w:tc>
      </w:tr>
    </w:tbl>
    <w:p w:rsidR="00DA554B" w:rsidP="006F0321" w:rsidRDefault="00DA554B" w14:paraId="27073E75" w14:textId="77777777"/>
    <w:p w:rsidRPr="00E25790" w:rsidR="00DA554B" w:rsidP="006F0321" w:rsidRDefault="00DA554B" w14:paraId="35032237" w14:textId="77777777"/>
    <w:tbl>
      <w:tblPr>
        <w:tblW w:w="0" w:type="auto"/>
        <w:tblInd w:w="-34" w:type="dxa"/>
        <w:tblLook w:val="04A0" w:firstRow="1" w:lastRow="0" w:firstColumn="1" w:lastColumn="0" w:noHBand="0" w:noVBand="1"/>
      </w:tblPr>
      <w:tblGrid>
        <w:gridCol w:w="4108"/>
        <w:gridCol w:w="4817"/>
      </w:tblGrid>
      <w:tr w:rsidR="00730A5C" w:rsidTr="00FE4186" w14:paraId="7912736B"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3A9F43F7" w14:textId="003404CB">
            <w:pPr>
              <w:spacing w:line="252" w:lineRule="auto"/>
              <w:rPr>
                <w:b/>
                <w:bCs/>
              </w:rPr>
            </w:pPr>
            <w:r w:rsidRPr="0349FAD4">
              <w:rPr>
                <w:b/>
                <w:bCs/>
              </w:rPr>
              <w:t xml:space="preserve">Original version Date: </w:t>
            </w:r>
            <w:r w:rsidR="00B26822">
              <w:rPr>
                <w:b/>
                <w:bCs/>
              </w:rPr>
              <w:t>6/10/2016</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0AFF23F0" w14:textId="77777777">
            <w:pPr>
              <w:spacing w:line="252" w:lineRule="auto"/>
              <w:rPr>
                <w:b/>
                <w:bCs/>
              </w:rPr>
            </w:pPr>
            <w:r w:rsidRPr="48F57877">
              <w:rPr>
                <w:b/>
                <w:bCs/>
              </w:rPr>
              <w:t>Author: NMF Consensus Group</w:t>
            </w:r>
          </w:p>
        </w:tc>
      </w:tr>
      <w:tr w:rsidR="00730A5C" w:rsidTr="00FE4186" w14:paraId="149D13DA"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53E2C9C7" w14:textId="77777777">
            <w:pPr>
              <w:spacing w:line="252" w:lineRule="auto"/>
              <w:rPr>
                <w:b/>
                <w:bCs/>
              </w:rPr>
            </w:pPr>
            <w:r w:rsidRPr="0349FAD4">
              <w:rPr>
                <w:b/>
                <w:bCs/>
              </w:rPr>
              <w:t>Current Version number: 2.0</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3E63C583" w14:textId="138FB81A">
            <w:pPr>
              <w:spacing w:line="252" w:lineRule="auto"/>
              <w:rPr>
                <w:b/>
                <w:bCs/>
              </w:rPr>
            </w:pPr>
            <w:r w:rsidRPr="0349FAD4">
              <w:rPr>
                <w:b/>
                <w:bCs/>
              </w:rPr>
              <w:t xml:space="preserve">Current Version Date: </w:t>
            </w:r>
            <w:r w:rsidR="00416047">
              <w:rPr>
                <w:b/>
                <w:bCs/>
              </w:rPr>
              <w:t>23/12/2020</w:t>
            </w:r>
          </w:p>
        </w:tc>
      </w:tr>
      <w:tr w:rsidR="00730A5C" w:rsidTr="00FE4186" w14:paraId="1C216DD3"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690F3CD4" w14:textId="7325886D">
            <w:pPr>
              <w:spacing w:line="252" w:lineRule="auto"/>
              <w:rPr>
                <w:b/>
                <w:bCs/>
              </w:rPr>
            </w:pPr>
            <w:r w:rsidRPr="0349FAD4">
              <w:rPr>
                <w:b/>
                <w:bCs/>
              </w:rPr>
              <w:t xml:space="preserve">Risk Rating: </w:t>
            </w:r>
            <w:r w:rsidR="00416047">
              <w:rPr>
                <w:b/>
                <w:bCs/>
              </w:rPr>
              <w:t>Medium</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089D786C" w14:textId="60FF6BD9">
            <w:pPr>
              <w:spacing w:line="252" w:lineRule="auto"/>
              <w:rPr>
                <w:b/>
                <w:bCs/>
              </w:rPr>
            </w:pPr>
            <w:r w:rsidRPr="0349FAD4">
              <w:rPr>
                <w:b/>
                <w:bCs/>
              </w:rPr>
              <w:t xml:space="preserve">Due for Review: </w:t>
            </w:r>
            <w:r w:rsidR="00416047">
              <w:rPr>
                <w:b/>
                <w:bCs/>
              </w:rPr>
              <w:t>23/12</w:t>
            </w:r>
            <w:r w:rsidRPr="0349FAD4">
              <w:rPr>
                <w:b/>
                <w:bCs/>
              </w:rPr>
              <w:t>/202</w:t>
            </w:r>
            <w:r w:rsidR="00416047">
              <w:rPr>
                <w:b/>
                <w:bCs/>
              </w:rPr>
              <w:t>3</w:t>
            </w:r>
          </w:p>
        </w:tc>
      </w:tr>
      <w:tr w:rsidR="00730A5C" w:rsidTr="00FE4186" w14:paraId="7F6EEE47"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497F0008" w14:textId="77777777">
            <w:pPr>
              <w:spacing w:line="252" w:lineRule="auto"/>
              <w:rPr>
                <w:b/>
                <w:bCs/>
              </w:rPr>
            </w:pPr>
            <w:r w:rsidRPr="48F57877">
              <w:rPr>
                <w:b/>
                <w:bCs/>
              </w:rPr>
              <w:t>Approval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0730A5C" w:rsidP="00FE4186" w:rsidRDefault="00730A5C" w14:paraId="28311E94" w14:textId="5046AFAB">
            <w:pPr>
              <w:spacing w:line="252" w:lineRule="auto"/>
            </w:pPr>
            <w:r w:rsidRPr="0349FAD4">
              <w:rPr>
                <w:b/>
                <w:bCs/>
              </w:rPr>
              <w:t>Approval Date:</w:t>
            </w:r>
            <w:r>
              <w:rPr>
                <w:b/>
                <w:bCs/>
              </w:rPr>
              <w:t xml:space="preserve"> </w:t>
            </w:r>
            <w:r w:rsidR="00260BC8">
              <w:rPr>
                <w:b/>
                <w:bCs/>
              </w:rPr>
              <w:t>APRIL 2021</w:t>
            </w:r>
          </w:p>
        </w:tc>
      </w:tr>
    </w:tbl>
    <w:p w:rsidR="00FB1E38" w:rsidP="006F0321" w:rsidRDefault="00FB1E38" w14:paraId="18966C23" w14:textId="77777777"/>
    <w:p w:rsidR="00FB1E38" w:rsidP="006F0321" w:rsidRDefault="00FB1E38" w14:paraId="5DBF26C5" w14:textId="77777777"/>
    <w:p w:rsidRPr="00E25790" w:rsidR="006D7506" w:rsidP="006F0321" w:rsidRDefault="006D7506" w14:paraId="32A2B526" w14:textId="77777777"/>
    <w:p w:rsidRPr="00E25790" w:rsidR="006D7506" w:rsidP="006F0321" w:rsidRDefault="006D7506" w14:paraId="270C37D1" w14:textId="77777777"/>
    <w:p w:rsidRPr="00E25790" w:rsidR="00115F48" w:rsidP="006F0321" w:rsidRDefault="00115F48" w14:paraId="1AC60B92" w14:textId="19785C5F">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943338" w14:paraId="086B8A75"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A0C90" w:rsidR="00115F48" w:rsidP="009469DB" w:rsidRDefault="00115F48" w14:paraId="3AB68DD2" w14:textId="77777777">
            <w:pPr>
              <w:pStyle w:val="Heading1"/>
            </w:pPr>
            <w:bookmarkStart w:name="_Toc495481169" w:id="550"/>
            <w:bookmarkStart w:name="_Toc495481295" w:id="551"/>
            <w:bookmarkStart w:name="_Toc495481420" w:id="552"/>
            <w:bookmarkStart w:name="_Toc495501601" w:id="553"/>
            <w:bookmarkStart w:name="_Toc38106924" w:id="554"/>
            <w:bookmarkStart w:name="_Toc75340043" w:id="555"/>
            <w:r w:rsidRPr="00DA0C90">
              <w:lastRenderedPageBreak/>
              <w:t>Sodium Bicarbonate</w:t>
            </w:r>
            <w:bookmarkEnd w:id="550"/>
            <w:bookmarkEnd w:id="551"/>
            <w:bookmarkEnd w:id="552"/>
            <w:bookmarkEnd w:id="553"/>
            <w:bookmarkEnd w:id="554"/>
            <w:bookmarkEnd w:id="555"/>
            <w:r w:rsidRPr="00DA0C90">
              <w:fldChar w:fldCharType="begin"/>
            </w:r>
            <w:r w:rsidRPr="00DA0C90">
              <w:instrText>tc "Sodium_Bicarbonate" \l 0</w:instrText>
            </w:r>
            <w:r w:rsidRPr="00DA0C90">
              <w:fldChar w:fldCharType="end"/>
            </w:r>
          </w:p>
        </w:tc>
      </w:tr>
      <w:tr w:rsidRPr="00E25790" w:rsidR="00115F48" w:rsidTr="00943338" w14:paraId="1F7CE96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0AB63D4" w14:textId="60C61BD4">
            <w:r w:rsidRPr="00E25790">
              <w:t>Revision Date :</w:t>
            </w:r>
            <w:r w:rsidR="00D0683F">
              <w:t xml:space="preserve"> April 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DF3C58" w14:paraId="6A216DC4" w14:textId="273D1AB1">
            <w:r w:rsidRPr="00E25790">
              <w:t>Approved</w:t>
            </w:r>
            <w:r w:rsidRPr="00E25790" w:rsidR="00115F48">
              <w:t xml:space="preserve">: </w:t>
            </w:r>
            <w:r w:rsidR="00D0683F">
              <w:t>TC, KOH, MOB</w:t>
            </w:r>
          </w:p>
        </w:tc>
      </w:tr>
    </w:tbl>
    <w:p w:rsidRPr="00E25790" w:rsidR="00115F48" w:rsidP="006F0321" w:rsidRDefault="00115F48" w14:paraId="16139952"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3A7895" w:rsidR="00BA63BF" w:rsidTr="00CC7E14" w14:paraId="1C057417" w14:textId="77777777">
        <w:trPr>
          <w:trHeight w:val="70"/>
        </w:trPr>
        <w:tc>
          <w:tcPr>
            <w:tcW w:w="1730" w:type="dxa"/>
          </w:tcPr>
          <w:p w:rsidRPr="00B53E9B" w:rsidR="00BA63BF" w:rsidP="00131848" w:rsidRDefault="00BA63BF" w14:paraId="240083B4" w14:textId="77777777">
            <w:pPr>
              <w:pStyle w:val="BodyText"/>
              <w:tabs>
                <w:tab w:val="center" w:pos="1476"/>
              </w:tabs>
              <w:rPr>
                <w:rFonts w:cs="Arial"/>
                <w:b/>
                <w:sz w:val="20"/>
              </w:rPr>
            </w:pPr>
            <w:r w:rsidRPr="00B53E9B">
              <w:rPr>
                <w:rFonts w:cs="Arial"/>
                <w:b/>
                <w:sz w:val="20"/>
              </w:rPr>
              <w:t>Alert</w:t>
            </w:r>
            <w:r w:rsidRPr="00B53E9B">
              <w:rPr>
                <w:rFonts w:cs="Arial"/>
                <w:b/>
                <w:sz w:val="20"/>
              </w:rPr>
              <w:tab/>
            </w:r>
          </w:p>
        </w:tc>
        <w:tc>
          <w:tcPr>
            <w:tcW w:w="7513" w:type="dxa"/>
          </w:tcPr>
          <w:p w:rsidRPr="004813A1" w:rsidR="00BA63BF" w:rsidP="00131848" w:rsidRDefault="00BA63BF" w14:paraId="42C9466A" w14:textId="77777777">
            <w:pPr>
              <w:pStyle w:val="BodyText"/>
              <w:rPr>
                <w:rFonts w:cs="Arial"/>
                <w:sz w:val="20"/>
              </w:rPr>
            </w:pPr>
            <w:r w:rsidRPr="004813A1">
              <w:rPr>
                <w:rFonts w:cs="Arial"/>
                <w:sz w:val="20"/>
              </w:rPr>
              <w:t>Rapid infusion is associated with increased incidence of intraventricular haemorrhage</w:t>
            </w:r>
            <w:r>
              <w:rPr>
                <w:rFonts w:cs="Arial"/>
                <w:sz w:val="20"/>
              </w:rPr>
              <w:t xml:space="preserve"> (IVH)</w:t>
            </w:r>
            <w:r w:rsidRPr="004813A1">
              <w:rPr>
                <w:rFonts w:cs="Arial"/>
                <w:sz w:val="20"/>
              </w:rPr>
              <w:t xml:space="preserve"> in preterm infants.</w:t>
            </w:r>
          </w:p>
          <w:p w:rsidR="00BA63BF" w:rsidP="00131848" w:rsidRDefault="00BA63BF" w14:paraId="3E9F28EC" w14:textId="77777777">
            <w:pPr>
              <w:pStyle w:val="BodyText"/>
              <w:rPr>
                <w:rFonts w:cs="Arial"/>
                <w:sz w:val="20"/>
              </w:rPr>
            </w:pPr>
            <w:r w:rsidRPr="004813A1">
              <w:rPr>
                <w:rFonts w:cs="Arial"/>
                <w:sz w:val="20"/>
              </w:rPr>
              <w:t>Avoid simultaneous administration of sodium bicarbonate and catecholamines through the same IV catheter or tubing as the sodium bicarbonate solution will inactive the catecholamine</w:t>
            </w:r>
            <w:r>
              <w:rPr>
                <w:rFonts w:cs="Arial"/>
                <w:sz w:val="20"/>
              </w:rPr>
              <w:t>.</w:t>
            </w:r>
          </w:p>
          <w:p w:rsidRPr="004813A1" w:rsidR="00BA63BF" w:rsidP="00131848" w:rsidRDefault="00BA63BF" w14:paraId="7AF1CC75" w14:textId="77777777">
            <w:pPr>
              <w:pStyle w:val="BodyText"/>
              <w:rPr>
                <w:rFonts w:cs="Arial"/>
                <w:sz w:val="20"/>
              </w:rPr>
            </w:pPr>
            <w:r>
              <w:rPr>
                <w:rFonts w:cs="Arial"/>
                <w:sz w:val="20"/>
              </w:rPr>
              <w:t xml:space="preserve">During prolonged resuscitation </w:t>
            </w:r>
            <w:r w:rsidRPr="004813A1">
              <w:rPr>
                <w:rFonts w:cs="Arial"/>
                <w:sz w:val="20"/>
              </w:rPr>
              <w:t xml:space="preserve">sodium bicarbonate should </w:t>
            </w:r>
            <w:r>
              <w:rPr>
                <w:rFonts w:cs="Arial"/>
                <w:sz w:val="20"/>
              </w:rPr>
              <w:t xml:space="preserve">only </w:t>
            </w:r>
            <w:r w:rsidRPr="004813A1">
              <w:rPr>
                <w:rFonts w:cs="Arial"/>
                <w:sz w:val="20"/>
              </w:rPr>
              <w:t>be given after adequate ventilation and circulation is established with CPR.</w:t>
            </w:r>
          </w:p>
          <w:p w:rsidR="00BA63BF" w:rsidP="00131848" w:rsidRDefault="00BA63BF" w14:paraId="293DA5D5" w14:textId="77777777">
            <w:pPr>
              <w:pStyle w:val="BodyText"/>
              <w:rPr>
                <w:rFonts w:cs="Arial"/>
                <w:sz w:val="20"/>
              </w:rPr>
            </w:pPr>
          </w:p>
          <w:p w:rsidRPr="00026F20" w:rsidR="00BA63BF" w:rsidP="00131848" w:rsidRDefault="00BA63BF" w14:paraId="3D0FA3A3" w14:textId="77777777">
            <w:pPr>
              <w:pStyle w:val="BodyText"/>
              <w:rPr>
                <w:rFonts w:cs="Arial"/>
                <w:sz w:val="20"/>
              </w:rPr>
            </w:pPr>
            <w:r w:rsidRPr="004813A1">
              <w:rPr>
                <w:rFonts w:cs="Arial"/>
                <w:sz w:val="20"/>
              </w:rPr>
              <w:t>Conversion factor for sodium bicarbonate: 1 mmol = 1 mEq</w:t>
            </w:r>
          </w:p>
        </w:tc>
      </w:tr>
      <w:tr w:rsidRPr="003A7895" w:rsidR="00BA63BF" w:rsidTr="00CC7E14" w14:paraId="21715010" w14:textId="77777777">
        <w:trPr>
          <w:trHeight w:val="72"/>
        </w:trPr>
        <w:tc>
          <w:tcPr>
            <w:tcW w:w="1730" w:type="dxa"/>
          </w:tcPr>
          <w:p w:rsidRPr="00B53E9B" w:rsidR="00BA63BF" w:rsidP="00131848" w:rsidRDefault="00BA63BF" w14:paraId="184361F6" w14:textId="77777777">
            <w:pPr>
              <w:pStyle w:val="BodyText"/>
              <w:rPr>
                <w:rFonts w:cs="Arial"/>
                <w:sz w:val="20"/>
              </w:rPr>
            </w:pPr>
            <w:r w:rsidRPr="00B53E9B">
              <w:rPr>
                <w:rFonts w:cs="Arial"/>
                <w:b/>
                <w:bCs/>
                <w:sz w:val="20"/>
              </w:rPr>
              <w:t>Indication</w:t>
            </w:r>
          </w:p>
        </w:tc>
        <w:tc>
          <w:tcPr>
            <w:tcW w:w="7513" w:type="dxa"/>
          </w:tcPr>
          <w:p w:rsidRPr="004813A1" w:rsidR="00BA63BF" w:rsidP="00131848" w:rsidRDefault="00BA63BF" w14:paraId="6C11D868" w14:textId="77777777">
            <w:pPr>
              <w:rPr>
                <w:sz w:val="20"/>
              </w:rPr>
            </w:pPr>
            <w:r w:rsidRPr="006E4CBC">
              <w:rPr>
                <w:sz w:val="20"/>
              </w:rPr>
              <w:t>Metabolic acidosis</w:t>
            </w:r>
          </w:p>
          <w:p w:rsidR="00BA63BF" w:rsidP="00131848" w:rsidRDefault="00BA63BF" w14:paraId="03A7F6E9" w14:textId="77777777">
            <w:pPr>
              <w:rPr>
                <w:sz w:val="20"/>
              </w:rPr>
            </w:pPr>
            <w:r w:rsidRPr="004813A1">
              <w:rPr>
                <w:sz w:val="20"/>
              </w:rPr>
              <w:t>Prolonged resuscitation</w:t>
            </w:r>
            <w:r>
              <w:rPr>
                <w:sz w:val="20"/>
              </w:rPr>
              <w:t xml:space="preserve"> </w:t>
            </w:r>
          </w:p>
          <w:p w:rsidR="00BA63BF" w:rsidP="00131848" w:rsidRDefault="00BA63BF" w14:paraId="5DB7F620" w14:textId="77777777">
            <w:pPr>
              <w:rPr>
                <w:sz w:val="20"/>
              </w:rPr>
            </w:pPr>
            <w:r w:rsidRPr="004813A1">
              <w:rPr>
                <w:sz w:val="20"/>
              </w:rPr>
              <w:t>Renal tubular acidosis</w:t>
            </w:r>
          </w:p>
          <w:p w:rsidRPr="004813A1" w:rsidR="00BA63BF" w:rsidP="00131848" w:rsidRDefault="00BA63BF" w14:paraId="756A0D47" w14:textId="77777777">
            <w:pPr>
              <w:rPr>
                <w:sz w:val="20"/>
              </w:rPr>
            </w:pPr>
            <w:r w:rsidRPr="004813A1">
              <w:rPr>
                <w:sz w:val="20"/>
              </w:rPr>
              <w:t>Chronic renal failure</w:t>
            </w:r>
          </w:p>
          <w:p w:rsidRPr="006A2FF0" w:rsidR="00BA63BF" w:rsidP="00131848" w:rsidRDefault="00BA63BF" w14:paraId="008C4CF7" w14:textId="77777777">
            <w:pPr>
              <w:rPr>
                <w:sz w:val="20"/>
              </w:rPr>
            </w:pPr>
            <w:r>
              <w:rPr>
                <w:sz w:val="20"/>
              </w:rPr>
              <w:t>Gastro-intestinal bicarbonate loss</w:t>
            </w:r>
          </w:p>
        </w:tc>
      </w:tr>
      <w:tr w:rsidRPr="003A7895" w:rsidR="00BA63BF" w:rsidTr="00CC7E14" w14:paraId="0E485745" w14:textId="77777777">
        <w:trPr>
          <w:trHeight w:val="70"/>
        </w:trPr>
        <w:tc>
          <w:tcPr>
            <w:tcW w:w="1730" w:type="dxa"/>
          </w:tcPr>
          <w:p w:rsidRPr="00B53E9B" w:rsidR="00BA63BF" w:rsidP="00131848" w:rsidRDefault="00BA63BF" w14:paraId="13192F5D" w14:textId="77777777">
            <w:pPr>
              <w:pStyle w:val="BodyText"/>
              <w:rPr>
                <w:rFonts w:cs="Arial"/>
                <w:b/>
                <w:bCs/>
                <w:sz w:val="20"/>
              </w:rPr>
            </w:pPr>
            <w:r w:rsidRPr="00B53E9B">
              <w:rPr>
                <w:rFonts w:cs="Arial"/>
                <w:b/>
                <w:bCs/>
                <w:sz w:val="20"/>
              </w:rPr>
              <w:t>Action</w:t>
            </w:r>
          </w:p>
        </w:tc>
        <w:tc>
          <w:tcPr>
            <w:tcW w:w="7513" w:type="dxa"/>
          </w:tcPr>
          <w:p w:rsidRPr="006A2FF0" w:rsidR="00BA63BF" w:rsidP="00131848" w:rsidRDefault="00BA63BF" w14:paraId="483AAE95" w14:textId="77777777">
            <w:pPr>
              <w:rPr>
                <w:rFonts w:cs="Arial"/>
                <w:sz w:val="20"/>
              </w:rPr>
            </w:pPr>
            <w:r w:rsidRPr="004813A1">
              <w:rPr>
                <w:rFonts w:cs="Arial"/>
                <w:sz w:val="20"/>
              </w:rPr>
              <w:t>Neutralises excess hydrogen ion and raises pH of the blood. Increases the excretion of free bicarbonate ions in urine, raising urinary pH.</w:t>
            </w:r>
          </w:p>
        </w:tc>
      </w:tr>
      <w:tr w:rsidRPr="003A7895" w:rsidR="00BA63BF" w:rsidTr="00CC7E14" w14:paraId="0AEEA022" w14:textId="77777777">
        <w:trPr>
          <w:trHeight w:val="266"/>
        </w:trPr>
        <w:tc>
          <w:tcPr>
            <w:tcW w:w="1730" w:type="dxa"/>
          </w:tcPr>
          <w:p w:rsidRPr="00B53E9B" w:rsidR="00BA63BF" w:rsidP="00131848" w:rsidRDefault="00BA63BF" w14:paraId="0848B8A7" w14:textId="77777777">
            <w:pPr>
              <w:pStyle w:val="BodyText"/>
              <w:rPr>
                <w:rFonts w:cs="Arial"/>
                <w:sz w:val="20"/>
              </w:rPr>
            </w:pPr>
            <w:r>
              <w:rPr>
                <w:rFonts w:cs="Arial"/>
                <w:b/>
                <w:bCs/>
                <w:sz w:val="20"/>
              </w:rPr>
              <w:t>Drug t</w:t>
            </w:r>
            <w:r w:rsidRPr="00B53E9B">
              <w:rPr>
                <w:rFonts w:cs="Arial"/>
                <w:b/>
                <w:bCs/>
                <w:sz w:val="20"/>
              </w:rPr>
              <w:t xml:space="preserve">ype                                   </w:t>
            </w:r>
          </w:p>
        </w:tc>
        <w:tc>
          <w:tcPr>
            <w:tcW w:w="7513" w:type="dxa"/>
          </w:tcPr>
          <w:p w:rsidRPr="006A2FF0" w:rsidR="00BA63BF" w:rsidP="00131848" w:rsidRDefault="00BA63BF" w14:paraId="68E09630" w14:textId="77777777">
            <w:pPr>
              <w:pStyle w:val="BodyText"/>
              <w:rPr>
                <w:rFonts w:cs="Arial"/>
                <w:sz w:val="20"/>
              </w:rPr>
            </w:pPr>
            <w:r>
              <w:rPr>
                <w:rFonts w:cs="Arial"/>
                <w:sz w:val="20"/>
              </w:rPr>
              <w:t>A</w:t>
            </w:r>
            <w:r w:rsidRPr="004813A1">
              <w:rPr>
                <w:rFonts w:cs="Arial"/>
                <w:sz w:val="20"/>
              </w:rPr>
              <w:t>lkalinising agent</w:t>
            </w:r>
          </w:p>
        </w:tc>
      </w:tr>
      <w:tr w:rsidRPr="003A7895" w:rsidR="00BA63BF" w:rsidTr="00CC7E14" w14:paraId="4F85EFFB" w14:textId="77777777">
        <w:trPr>
          <w:trHeight w:val="114"/>
        </w:trPr>
        <w:tc>
          <w:tcPr>
            <w:tcW w:w="1730" w:type="dxa"/>
          </w:tcPr>
          <w:p w:rsidRPr="00B53E9B" w:rsidR="00BA63BF" w:rsidP="00131848" w:rsidRDefault="00BA63BF" w14:paraId="7F81F304"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13" w:type="dxa"/>
          </w:tcPr>
          <w:p w:rsidRPr="006A2FF0" w:rsidR="00BA63BF" w:rsidP="00131848" w:rsidRDefault="00BA63BF" w14:paraId="3754E946" w14:textId="77777777">
            <w:pPr>
              <w:pStyle w:val="BodyText"/>
              <w:rPr>
                <w:rFonts w:cs="Arial"/>
                <w:sz w:val="20"/>
              </w:rPr>
            </w:pPr>
            <w:r w:rsidRPr="004813A1">
              <w:rPr>
                <w:rFonts w:cs="Arial"/>
                <w:sz w:val="20"/>
              </w:rPr>
              <w:t>Sodium Bicarbonate 8.4%</w:t>
            </w:r>
            <w:r>
              <w:rPr>
                <w:rFonts w:cs="Arial"/>
                <w:sz w:val="20"/>
              </w:rPr>
              <w:t xml:space="preserve"> </w:t>
            </w:r>
            <w:r w:rsidRPr="004813A1">
              <w:rPr>
                <w:rFonts w:cs="Arial"/>
                <w:sz w:val="20"/>
              </w:rPr>
              <w:t xml:space="preserve">Injection [Phebra]; </w:t>
            </w:r>
            <w:r>
              <w:rPr>
                <w:rFonts w:cs="Arial"/>
                <w:sz w:val="20"/>
              </w:rPr>
              <w:t>Pfizer (Australia) Sodium Bicarbonate 8.4% Injection BP</w:t>
            </w:r>
          </w:p>
        </w:tc>
      </w:tr>
      <w:tr w:rsidRPr="003A7895" w:rsidR="00BA63BF" w:rsidTr="00CC7E14" w14:paraId="1CDCAFB2" w14:textId="77777777">
        <w:trPr>
          <w:trHeight w:val="70"/>
        </w:trPr>
        <w:tc>
          <w:tcPr>
            <w:tcW w:w="1730" w:type="dxa"/>
          </w:tcPr>
          <w:p w:rsidRPr="00B53E9B" w:rsidR="00BA63BF" w:rsidP="00131848" w:rsidRDefault="00BA63BF" w14:paraId="605449F2" w14:textId="77777777">
            <w:pPr>
              <w:pStyle w:val="BodyText"/>
              <w:rPr>
                <w:rFonts w:cs="Arial"/>
                <w:b/>
                <w:bCs/>
                <w:sz w:val="20"/>
              </w:rPr>
            </w:pPr>
            <w:r w:rsidRPr="00B53E9B">
              <w:rPr>
                <w:rFonts w:cs="Arial"/>
                <w:b/>
                <w:bCs/>
                <w:sz w:val="20"/>
              </w:rPr>
              <w:t xml:space="preserve">Presentation </w:t>
            </w:r>
          </w:p>
        </w:tc>
        <w:tc>
          <w:tcPr>
            <w:tcW w:w="7513" w:type="dxa"/>
          </w:tcPr>
          <w:p w:rsidRPr="006A2FF0" w:rsidR="00BA63BF" w:rsidP="00131848" w:rsidRDefault="00BA63BF" w14:paraId="1CA5B9FC" w14:textId="77777777">
            <w:pPr>
              <w:pStyle w:val="BodyText"/>
              <w:rPr>
                <w:rFonts w:cs="Arial"/>
                <w:sz w:val="20"/>
              </w:rPr>
            </w:pPr>
            <w:r w:rsidRPr="004813A1">
              <w:rPr>
                <w:rFonts w:cs="Arial"/>
                <w:sz w:val="20"/>
              </w:rPr>
              <w:t>8.4% (1 mmol/mL) 10 mL</w:t>
            </w:r>
            <w:r>
              <w:rPr>
                <w:rFonts w:cs="Arial"/>
                <w:sz w:val="20"/>
              </w:rPr>
              <w:t xml:space="preserve"> or 100mL Vial</w:t>
            </w:r>
          </w:p>
        </w:tc>
      </w:tr>
      <w:tr w:rsidRPr="000E2236" w:rsidR="00BA63BF" w:rsidTr="00CC7E14" w14:paraId="19B2F73A" w14:textId="77777777">
        <w:trPr>
          <w:trHeight w:val="70"/>
        </w:trPr>
        <w:tc>
          <w:tcPr>
            <w:tcW w:w="1730" w:type="dxa"/>
          </w:tcPr>
          <w:p w:rsidRPr="00B53E9B" w:rsidR="00BA63BF" w:rsidP="00131848" w:rsidRDefault="00BA63BF" w14:paraId="594D0D83" w14:textId="77777777">
            <w:pPr>
              <w:pStyle w:val="BodyText"/>
              <w:rPr>
                <w:rFonts w:cs="Arial"/>
                <w:b/>
                <w:bCs/>
                <w:sz w:val="20"/>
              </w:rPr>
            </w:pPr>
            <w:r>
              <w:rPr>
                <w:rFonts w:cs="Arial"/>
                <w:b/>
                <w:bCs/>
                <w:sz w:val="20"/>
              </w:rPr>
              <w:t>Dose</w:t>
            </w:r>
            <w:r w:rsidRPr="00B53E9B">
              <w:rPr>
                <w:rFonts w:cs="Arial"/>
                <w:b/>
                <w:bCs/>
                <w:sz w:val="20"/>
              </w:rPr>
              <w:t xml:space="preserve">                          </w:t>
            </w:r>
          </w:p>
        </w:tc>
        <w:tc>
          <w:tcPr>
            <w:tcW w:w="7513" w:type="dxa"/>
          </w:tcPr>
          <w:p w:rsidRPr="004813A1" w:rsidR="00BA63BF" w:rsidP="00131848" w:rsidRDefault="00BA63BF" w14:paraId="7C0C5039" w14:textId="77777777">
            <w:pPr>
              <w:pStyle w:val="BodyText"/>
              <w:rPr>
                <w:sz w:val="20"/>
              </w:rPr>
            </w:pPr>
            <w:r w:rsidRPr="004813A1">
              <w:rPr>
                <w:sz w:val="20"/>
              </w:rPr>
              <w:t>1−2 mmol/kg</w:t>
            </w:r>
          </w:p>
          <w:p w:rsidRPr="004813A1" w:rsidR="00BA63BF" w:rsidP="00131848" w:rsidRDefault="00BA63BF" w14:paraId="7F6EA1A6" w14:textId="77777777">
            <w:pPr>
              <w:pStyle w:val="BodyText"/>
              <w:rPr>
                <w:sz w:val="20"/>
              </w:rPr>
            </w:pPr>
          </w:p>
          <w:p w:rsidRPr="004813A1" w:rsidR="00BA63BF" w:rsidP="00131848" w:rsidRDefault="00BA63BF" w14:paraId="523C62C0" w14:textId="77777777">
            <w:pPr>
              <w:pStyle w:val="BodyText"/>
              <w:rPr>
                <w:sz w:val="20"/>
              </w:rPr>
            </w:pPr>
            <w:r w:rsidRPr="004813A1">
              <w:rPr>
                <w:sz w:val="20"/>
              </w:rPr>
              <w:t xml:space="preserve">To calculate dosage required based on base deficit: </w:t>
            </w:r>
          </w:p>
          <w:p w:rsidRPr="004813A1" w:rsidR="00BA63BF" w:rsidP="00131848" w:rsidRDefault="00BA63BF" w14:paraId="71A54CEB" w14:textId="77777777">
            <w:pPr>
              <w:pStyle w:val="BodyText"/>
              <w:rPr>
                <w:sz w:val="20"/>
              </w:rPr>
            </w:pPr>
            <w:r w:rsidRPr="004813A1">
              <w:rPr>
                <w:sz w:val="20"/>
              </w:rPr>
              <w:t>Sodium bicarbonate dose (mEq) = 0.3 x weight (kg) x base deficit (mEq/L)</w:t>
            </w:r>
          </w:p>
          <w:p w:rsidRPr="00026F20" w:rsidR="00BA63BF" w:rsidP="00131848" w:rsidRDefault="00BA63BF" w14:paraId="6D84C629" w14:textId="77777777">
            <w:pPr>
              <w:pStyle w:val="BodyText"/>
              <w:rPr>
                <w:sz w:val="20"/>
              </w:rPr>
            </w:pPr>
            <w:r w:rsidRPr="004813A1">
              <w:rPr>
                <w:sz w:val="20"/>
              </w:rPr>
              <w:t xml:space="preserve">Administer half of the calculated dose, then </w:t>
            </w:r>
            <w:r>
              <w:rPr>
                <w:sz w:val="20"/>
              </w:rPr>
              <w:t>re-</w:t>
            </w:r>
            <w:r w:rsidRPr="004813A1">
              <w:rPr>
                <w:sz w:val="20"/>
              </w:rPr>
              <w:t>assess for</w:t>
            </w:r>
            <w:r>
              <w:rPr>
                <w:sz w:val="20"/>
              </w:rPr>
              <w:t xml:space="preserve"> the need of</w:t>
            </w:r>
            <w:r w:rsidRPr="004813A1">
              <w:rPr>
                <w:sz w:val="20"/>
              </w:rPr>
              <w:t xml:space="preserve"> remainder</w:t>
            </w:r>
            <w:r>
              <w:rPr>
                <w:sz w:val="20"/>
              </w:rPr>
              <w:t>.</w:t>
            </w:r>
            <w:r w:rsidRPr="004813A1">
              <w:rPr>
                <w:sz w:val="20"/>
              </w:rPr>
              <w:t xml:space="preserve"> </w:t>
            </w:r>
          </w:p>
        </w:tc>
      </w:tr>
      <w:tr w:rsidRPr="003A7895" w:rsidR="00BA63BF" w:rsidTr="00CC7E14" w14:paraId="4A95018D" w14:textId="77777777">
        <w:trPr>
          <w:trHeight w:val="233"/>
        </w:trPr>
        <w:tc>
          <w:tcPr>
            <w:tcW w:w="1730" w:type="dxa"/>
          </w:tcPr>
          <w:p w:rsidRPr="00B53E9B" w:rsidR="00BA63BF" w:rsidP="00131848" w:rsidRDefault="00BA63BF" w14:paraId="01C327F1" w14:textId="77777777">
            <w:pPr>
              <w:pStyle w:val="BodyText"/>
              <w:rPr>
                <w:b/>
                <w:sz w:val="20"/>
              </w:rPr>
            </w:pPr>
            <w:r w:rsidRPr="00B53E9B">
              <w:rPr>
                <w:b/>
                <w:sz w:val="20"/>
              </w:rPr>
              <w:t>Dose adjustment</w:t>
            </w:r>
          </w:p>
        </w:tc>
        <w:tc>
          <w:tcPr>
            <w:tcW w:w="7513" w:type="dxa"/>
          </w:tcPr>
          <w:p w:rsidRPr="00026F20" w:rsidR="00BA63BF" w:rsidP="00131848" w:rsidRDefault="00BA63BF" w14:paraId="36E0010C" w14:textId="77777777">
            <w:pPr>
              <w:pStyle w:val="BodyText"/>
              <w:rPr>
                <w:sz w:val="20"/>
              </w:rPr>
            </w:pPr>
          </w:p>
        </w:tc>
      </w:tr>
      <w:tr w:rsidRPr="003A7895" w:rsidR="00BA63BF" w:rsidTr="00CC7E14" w14:paraId="32813B92" w14:textId="77777777">
        <w:trPr>
          <w:trHeight w:val="113"/>
        </w:trPr>
        <w:tc>
          <w:tcPr>
            <w:tcW w:w="1730" w:type="dxa"/>
          </w:tcPr>
          <w:p w:rsidRPr="00B53E9B" w:rsidR="00BA63BF" w:rsidP="00131848" w:rsidRDefault="00BA63BF" w14:paraId="5169670C" w14:textId="77777777">
            <w:pPr>
              <w:pStyle w:val="BodyText"/>
              <w:rPr>
                <w:b/>
                <w:sz w:val="20"/>
              </w:rPr>
            </w:pPr>
            <w:r w:rsidRPr="00B53E9B">
              <w:rPr>
                <w:b/>
                <w:sz w:val="20"/>
              </w:rPr>
              <w:t>Maximum dose</w:t>
            </w:r>
          </w:p>
        </w:tc>
        <w:tc>
          <w:tcPr>
            <w:tcW w:w="7513" w:type="dxa"/>
          </w:tcPr>
          <w:p w:rsidRPr="00026F20" w:rsidR="00BA63BF" w:rsidP="00131848" w:rsidRDefault="00BA63BF" w14:paraId="53A3159E" w14:textId="77777777">
            <w:pPr>
              <w:pStyle w:val="BodyText"/>
              <w:rPr>
                <w:sz w:val="20"/>
              </w:rPr>
            </w:pPr>
          </w:p>
        </w:tc>
      </w:tr>
      <w:tr w:rsidRPr="003A7895" w:rsidR="00BA63BF" w:rsidTr="00CC7E14" w14:paraId="1352811C" w14:textId="77777777">
        <w:trPr>
          <w:trHeight w:val="144"/>
        </w:trPr>
        <w:tc>
          <w:tcPr>
            <w:tcW w:w="1730" w:type="dxa"/>
          </w:tcPr>
          <w:p w:rsidRPr="00B53E9B" w:rsidR="00BA63BF" w:rsidP="00131848" w:rsidRDefault="00BA63BF" w14:paraId="22D71C78" w14:textId="77777777">
            <w:pPr>
              <w:pStyle w:val="BodyText"/>
              <w:rPr>
                <w:rFonts w:cs="Arial"/>
                <w:b/>
                <w:bCs/>
                <w:sz w:val="20"/>
              </w:rPr>
            </w:pPr>
            <w:r w:rsidRPr="00B53E9B">
              <w:rPr>
                <w:b/>
                <w:sz w:val="20"/>
              </w:rPr>
              <w:t>Total cumulative dose</w:t>
            </w:r>
          </w:p>
        </w:tc>
        <w:tc>
          <w:tcPr>
            <w:tcW w:w="7513" w:type="dxa"/>
          </w:tcPr>
          <w:p w:rsidRPr="004B334F" w:rsidR="00BA63BF" w:rsidP="00131848" w:rsidRDefault="00BA63BF" w14:paraId="316BE590" w14:textId="77777777">
            <w:pPr>
              <w:pStyle w:val="BodyText"/>
              <w:rPr>
                <w:rFonts w:cs="Arial"/>
                <w:sz w:val="20"/>
              </w:rPr>
            </w:pPr>
          </w:p>
        </w:tc>
      </w:tr>
      <w:tr w:rsidRPr="003A7895" w:rsidR="00BA63BF" w:rsidTr="00CC7E14" w14:paraId="633F9392" w14:textId="77777777">
        <w:trPr>
          <w:trHeight w:val="294"/>
        </w:trPr>
        <w:tc>
          <w:tcPr>
            <w:tcW w:w="1730" w:type="dxa"/>
          </w:tcPr>
          <w:p w:rsidRPr="00B53E9B" w:rsidR="00BA63BF" w:rsidP="00131848" w:rsidRDefault="00BA63BF" w14:paraId="5F2FC0B3" w14:textId="77777777">
            <w:pPr>
              <w:pStyle w:val="BodyText"/>
              <w:rPr>
                <w:rFonts w:cs="Arial"/>
                <w:sz w:val="20"/>
              </w:rPr>
            </w:pPr>
            <w:r w:rsidRPr="00B53E9B">
              <w:rPr>
                <w:rFonts w:cs="Arial"/>
                <w:b/>
                <w:bCs/>
                <w:sz w:val="20"/>
              </w:rPr>
              <w:t xml:space="preserve">Route                                </w:t>
            </w:r>
          </w:p>
        </w:tc>
        <w:tc>
          <w:tcPr>
            <w:tcW w:w="7513" w:type="dxa"/>
          </w:tcPr>
          <w:p w:rsidRPr="004813A1" w:rsidR="00BA63BF" w:rsidP="00131848" w:rsidRDefault="00BA63BF" w14:paraId="46006F57" w14:textId="77777777">
            <w:pPr>
              <w:pStyle w:val="BodyText"/>
              <w:rPr>
                <w:rFonts w:cs="Arial"/>
                <w:sz w:val="20"/>
              </w:rPr>
            </w:pPr>
            <w:r w:rsidRPr="004813A1">
              <w:rPr>
                <w:rFonts w:cs="Arial"/>
                <w:sz w:val="20"/>
              </w:rPr>
              <w:t>IV</w:t>
            </w:r>
          </w:p>
          <w:p w:rsidRPr="00026F20" w:rsidR="00BA63BF" w:rsidP="00131848" w:rsidRDefault="00BA63BF" w14:paraId="19BC2E0E" w14:textId="77777777">
            <w:pPr>
              <w:pStyle w:val="BodyText"/>
              <w:rPr>
                <w:rFonts w:cs="Arial"/>
                <w:sz w:val="20"/>
              </w:rPr>
            </w:pPr>
            <w:r w:rsidRPr="004813A1">
              <w:rPr>
                <w:rFonts w:cs="Arial"/>
                <w:sz w:val="20"/>
              </w:rPr>
              <w:t>PO</w:t>
            </w:r>
          </w:p>
        </w:tc>
      </w:tr>
      <w:tr w:rsidRPr="003A7895" w:rsidR="00BA63BF" w:rsidTr="00CC7E14" w14:paraId="2F54CF06" w14:textId="77777777">
        <w:trPr>
          <w:trHeight w:val="93"/>
        </w:trPr>
        <w:tc>
          <w:tcPr>
            <w:tcW w:w="1730" w:type="dxa"/>
          </w:tcPr>
          <w:p w:rsidRPr="00B53E9B" w:rsidR="00BA63BF" w:rsidP="00131848" w:rsidRDefault="00BA63BF" w14:paraId="190D22A1"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13" w:type="dxa"/>
          </w:tcPr>
          <w:p w:rsidR="00BA63BF" w:rsidP="00131848" w:rsidRDefault="00BA63BF" w14:paraId="27F6451E" w14:textId="77777777">
            <w:pPr>
              <w:pStyle w:val="BodyText"/>
              <w:rPr>
                <w:rFonts w:cs="Arial"/>
                <w:sz w:val="20"/>
              </w:rPr>
            </w:pPr>
            <w:r w:rsidRPr="004813A1">
              <w:rPr>
                <w:sz w:val="20"/>
              </w:rPr>
              <w:t>Dilute to a maximum concentration of no greater than 0.5 mmol/mL (osmolarity = 1000 mOsm/L).</w:t>
            </w:r>
          </w:p>
          <w:p w:rsidRPr="00026F20" w:rsidR="00BA63BF" w:rsidP="00131848" w:rsidRDefault="00BA63BF" w14:paraId="2DC66671" w14:textId="77777777">
            <w:pPr>
              <w:pStyle w:val="BodyText"/>
              <w:rPr>
                <w:rFonts w:cs="Arial"/>
                <w:sz w:val="20"/>
              </w:rPr>
            </w:pPr>
            <w:r w:rsidRPr="0073444F">
              <w:rPr>
                <w:rFonts w:cs="Arial"/>
                <w:b/>
                <w:sz w:val="20"/>
              </w:rPr>
              <w:t>IV</w:t>
            </w:r>
            <w:r>
              <w:rPr>
                <w:rFonts w:cs="Arial"/>
                <w:b/>
                <w:sz w:val="20"/>
              </w:rPr>
              <w:t xml:space="preserve"> and Oral</w:t>
            </w:r>
            <w:r w:rsidRPr="004813A1">
              <w:rPr>
                <w:rFonts w:cs="Arial"/>
                <w:sz w:val="20"/>
              </w:rPr>
              <w:t xml:space="preserve">: Draw up 10 mL (10 mmol) </w:t>
            </w:r>
            <w:r>
              <w:rPr>
                <w:rFonts w:cs="Arial"/>
                <w:sz w:val="20"/>
              </w:rPr>
              <w:t xml:space="preserve">sodium bicarbonate </w:t>
            </w:r>
            <w:r w:rsidRPr="004813A1">
              <w:rPr>
                <w:rFonts w:cs="Arial"/>
                <w:sz w:val="20"/>
              </w:rPr>
              <w:t xml:space="preserve">and add 10 mL of water for injection </w:t>
            </w:r>
            <w:r>
              <w:rPr>
                <w:rFonts w:cs="Arial"/>
                <w:sz w:val="20"/>
              </w:rPr>
              <w:t xml:space="preserve">or glucose 5% or sodium chloride 0.9% </w:t>
            </w:r>
            <w:r w:rsidRPr="004813A1">
              <w:rPr>
                <w:rFonts w:cs="Arial"/>
                <w:sz w:val="20"/>
              </w:rPr>
              <w:t xml:space="preserve">to make a final volume of 20 mL with a concentration of 0.5 mmol/mL. </w:t>
            </w:r>
          </w:p>
        </w:tc>
      </w:tr>
      <w:tr w:rsidRPr="003A7895" w:rsidR="00BA63BF" w:rsidTr="00CC7E14" w14:paraId="3DBCE50F" w14:textId="77777777">
        <w:trPr>
          <w:trHeight w:val="224"/>
        </w:trPr>
        <w:tc>
          <w:tcPr>
            <w:tcW w:w="1730" w:type="dxa"/>
          </w:tcPr>
          <w:p w:rsidRPr="00B53E9B" w:rsidR="00BA63BF" w:rsidP="00131848" w:rsidRDefault="00BA63BF" w14:paraId="6396E814" w14:textId="77777777">
            <w:pPr>
              <w:pStyle w:val="BodyText"/>
              <w:rPr>
                <w:rFonts w:cs="Arial"/>
                <w:b/>
                <w:bCs/>
                <w:sz w:val="20"/>
              </w:rPr>
            </w:pPr>
            <w:r w:rsidRPr="00B53E9B">
              <w:rPr>
                <w:rFonts w:cs="Arial"/>
                <w:b/>
                <w:bCs/>
                <w:sz w:val="20"/>
              </w:rPr>
              <w:t xml:space="preserve">Administration                </w:t>
            </w:r>
          </w:p>
        </w:tc>
        <w:tc>
          <w:tcPr>
            <w:tcW w:w="7513" w:type="dxa"/>
            <w:vAlign w:val="center"/>
          </w:tcPr>
          <w:p w:rsidRPr="004813A1" w:rsidR="00BA63BF" w:rsidP="00131848" w:rsidRDefault="00BA63BF" w14:paraId="2F522B5F" w14:textId="77777777">
            <w:pPr>
              <w:pStyle w:val="BodyText"/>
              <w:rPr>
                <w:rFonts w:cs="Arial"/>
                <w:sz w:val="20"/>
              </w:rPr>
            </w:pPr>
            <w:r w:rsidRPr="004813A1">
              <w:rPr>
                <w:rFonts w:cs="Arial"/>
                <w:sz w:val="20"/>
              </w:rPr>
              <w:t xml:space="preserve">IV: Infuse over at least 30 minutes </w:t>
            </w:r>
            <w:r>
              <w:rPr>
                <w:rFonts w:cs="Arial"/>
                <w:sz w:val="20"/>
              </w:rPr>
              <w:t xml:space="preserve">preferably </w:t>
            </w:r>
            <w:r w:rsidRPr="004813A1">
              <w:rPr>
                <w:rFonts w:cs="Arial"/>
                <w:sz w:val="20"/>
              </w:rPr>
              <w:t>via central IV line</w:t>
            </w:r>
            <w:r>
              <w:rPr>
                <w:rFonts w:cs="Arial"/>
                <w:sz w:val="20"/>
              </w:rPr>
              <w:t>.</w:t>
            </w:r>
            <w:r>
              <w:t xml:space="preserve"> </w:t>
            </w:r>
            <w:r w:rsidRPr="0041394E">
              <w:rPr>
                <w:rFonts w:cs="Arial"/>
                <w:sz w:val="20"/>
              </w:rPr>
              <w:t>Flush the cannula and IV line with sodium chloride 0.9% following administration to avoid inactivation and precipitation of other medications.</w:t>
            </w:r>
          </w:p>
          <w:p w:rsidRPr="004813A1" w:rsidR="00BA63BF" w:rsidP="00131848" w:rsidRDefault="00BA63BF" w14:paraId="7E56A8C2" w14:textId="77777777">
            <w:pPr>
              <w:pStyle w:val="BodyText"/>
              <w:rPr>
                <w:rFonts w:cs="Arial"/>
                <w:sz w:val="20"/>
              </w:rPr>
            </w:pPr>
            <w:r w:rsidRPr="004813A1">
              <w:rPr>
                <w:rFonts w:cs="Arial"/>
                <w:sz w:val="20"/>
              </w:rPr>
              <w:t>Maximum rate in a medical emergency is 10 mmol/minute.</w:t>
            </w:r>
          </w:p>
          <w:p w:rsidRPr="00026F20" w:rsidR="00BA63BF" w:rsidP="00131848" w:rsidRDefault="00BA63BF" w14:paraId="5D952518" w14:textId="77777777">
            <w:pPr>
              <w:pStyle w:val="BodyText"/>
              <w:rPr>
                <w:rFonts w:cs="Arial"/>
                <w:sz w:val="20"/>
              </w:rPr>
            </w:pPr>
            <w:r>
              <w:rPr>
                <w:rFonts w:cs="Arial"/>
                <w:sz w:val="20"/>
              </w:rPr>
              <w:t>Oral</w:t>
            </w:r>
            <w:r w:rsidRPr="004813A1">
              <w:rPr>
                <w:rFonts w:cs="Arial"/>
                <w:sz w:val="20"/>
              </w:rPr>
              <w:t>: Administer 1–3 hours after feeds.</w:t>
            </w:r>
          </w:p>
        </w:tc>
      </w:tr>
      <w:tr w:rsidRPr="003A7895" w:rsidR="00BA63BF" w:rsidTr="00CC7E14" w14:paraId="2D0972D3" w14:textId="77777777">
        <w:trPr>
          <w:trHeight w:val="215"/>
        </w:trPr>
        <w:tc>
          <w:tcPr>
            <w:tcW w:w="1730" w:type="dxa"/>
          </w:tcPr>
          <w:p w:rsidRPr="00B53E9B" w:rsidR="00BA63BF" w:rsidP="00131848" w:rsidRDefault="00BA63BF" w14:paraId="12AC340A" w14:textId="77777777">
            <w:pPr>
              <w:pStyle w:val="BodyText"/>
              <w:rPr>
                <w:rFonts w:cs="Arial"/>
                <w:b/>
                <w:bCs/>
                <w:sz w:val="20"/>
              </w:rPr>
            </w:pPr>
            <w:r w:rsidRPr="00B53E9B">
              <w:rPr>
                <w:rFonts w:cs="Arial"/>
                <w:b/>
                <w:bCs/>
                <w:sz w:val="20"/>
              </w:rPr>
              <w:t xml:space="preserve">Monitoring                              </w:t>
            </w:r>
          </w:p>
        </w:tc>
        <w:tc>
          <w:tcPr>
            <w:tcW w:w="7513" w:type="dxa"/>
          </w:tcPr>
          <w:p w:rsidRPr="004813A1" w:rsidR="00BA63BF" w:rsidP="00131848" w:rsidRDefault="00BA63BF" w14:paraId="735510F6" w14:textId="77777777">
            <w:pPr>
              <w:pStyle w:val="BodyText"/>
              <w:rPr>
                <w:rFonts w:cs="Arial"/>
                <w:sz w:val="20"/>
              </w:rPr>
            </w:pPr>
            <w:r>
              <w:rPr>
                <w:rFonts w:cs="Arial"/>
                <w:sz w:val="20"/>
              </w:rPr>
              <w:t>A</w:t>
            </w:r>
            <w:r w:rsidRPr="004813A1">
              <w:rPr>
                <w:rFonts w:cs="Arial"/>
                <w:sz w:val="20"/>
              </w:rPr>
              <w:t>cid-base balance.</w:t>
            </w:r>
          </w:p>
          <w:p w:rsidRPr="00026F20" w:rsidR="00BA63BF" w:rsidP="00131848" w:rsidRDefault="00BA63BF" w14:paraId="2178A973" w14:textId="77777777">
            <w:pPr>
              <w:pStyle w:val="BodyText"/>
              <w:rPr>
                <w:rFonts w:cs="Arial"/>
                <w:sz w:val="20"/>
              </w:rPr>
            </w:pPr>
            <w:r>
              <w:rPr>
                <w:rFonts w:cs="Arial"/>
                <w:sz w:val="20"/>
              </w:rPr>
              <w:t>L</w:t>
            </w:r>
            <w:r w:rsidRPr="004813A1">
              <w:rPr>
                <w:rFonts w:cs="Arial"/>
                <w:sz w:val="20"/>
              </w:rPr>
              <w:t>ocal infusion site for signs of extravasation.</w:t>
            </w:r>
          </w:p>
        </w:tc>
      </w:tr>
      <w:tr w:rsidRPr="003A7895" w:rsidR="00BA63BF" w:rsidTr="00CC7E14" w14:paraId="40617B99" w14:textId="77777777">
        <w:trPr>
          <w:trHeight w:val="186"/>
        </w:trPr>
        <w:tc>
          <w:tcPr>
            <w:tcW w:w="1730" w:type="dxa"/>
          </w:tcPr>
          <w:p w:rsidRPr="00B53E9B" w:rsidR="00BA63BF" w:rsidP="00131848" w:rsidRDefault="00BA63BF" w14:paraId="5E86DE85" w14:textId="77777777">
            <w:pPr>
              <w:pStyle w:val="BodyText"/>
              <w:rPr>
                <w:rFonts w:cs="Arial"/>
                <w:b/>
                <w:bCs/>
                <w:sz w:val="20"/>
              </w:rPr>
            </w:pPr>
            <w:r w:rsidRPr="00B53E9B">
              <w:rPr>
                <w:rFonts w:cs="Arial"/>
                <w:b/>
                <w:bCs/>
                <w:sz w:val="20"/>
              </w:rPr>
              <w:t xml:space="preserve">Contraindications                        </w:t>
            </w:r>
          </w:p>
        </w:tc>
        <w:tc>
          <w:tcPr>
            <w:tcW w:w="7513" w:type="dxa"/>
          </w:tcPr>
          <w:p w:rsidRPr="00026F20" w:rsidR="00BA63BF" w:rsidP="00131848" w:rsidRDefault="00BA63BF" w14:paraId="7713744C" w14:textId="77777777">
            <w:pPr>
              <w:pStyle w:val="BodyText"/>
              <w:rPr>
                <w:rFonts w:cs="Arial"/>
                <w:sz w:val="20"/>
              </w:rPr>
            </w:pPr>
            <w:r w:rsidRPr="004813A1">
              <w:rPr>
                <w:rFonts w:cs="Arial"/>
                <w:sz w:val="20"/>
              </w:rPr>
              <w:t>Respiratory or metabolic alkalosis.</w:t>
            </w:r>
          </w:p>
        </w:tc>
      </w:tr>
      <w:tr w:rsidRPr="003A7895" w:rsidR="00BA63BF" w:rsidTr="00CC7E14" w14:paraId="17357E1C" w14:textId="77777777">
        <w:tc>
          <w:tcPr>
            <w:tcW w:w="1730" w:type="dxa"/>
          </w:tcPr>
          <w:p w:rsidRPr="00B53E9B" w:rsidR="00BA63BF" w:rsidP="00131848" w:rsidRDefault="00BA63BF" w14:paraId="76CF7D50" w14:textId="77777777">
            <w:pPr>
              <w:pStyle w:val="BodyText"/>
              <w:rPr>
                <w:rFonts w:cs="Arial"/>
                <w:b/>
                <w:bCs/>
                <w:sz w:val="20"/>
              </w:rPr>
            </w:pPr>
            <w:r w:rsidRPr="00B53E9B">
              <w:rPr>
                <w:sz w:val="20"/>
              </w:rPr>
              <w:br w:type="page"/>
            </w:r>
            <w:r w:rsidRPr="00B53E9B">
              <w:rPr>
                <w:rFonts w:cs="Arial"/>
                <w:b/>
                <w:bCs/>
                <w:sz w:val="20"/>
              </w:rPr>
              <w:t>Precautions</w:t>
            </w:r>
          </w:p>
        </w:tc>
        <w:tc>
          <w:tcPr>
            <w:tcW w:w="7513" w:type="dxa"/>
          </w:tcPr>
          <w:p w:rsidR="00BA63BF" w:rsidP="00131848" w:rsidRDefault="00BA63BF" w14:paraId="11075303" w14:textId="77777777">
            <w:pPr>
              <w:pStyle w:val="BodyText"/>
              <w:rPr>
                <w:rFonts w:cs="Arial"/>
                <w:sz w:val="20"/>
              </w:rPr>
            </w:pPr>
            <w:r w:rsidRPr="004813A1">
              <w:rPr>
                <w:rFonts w:cs="Arial"/>
                <w:sz w:val="20"/>
              </w:rPr>
              <w:t>Hypercarbia or hypernatraemia</w:t>
            </w:r>
            <w:r>
              <w:rPr>
                <w:rFonts w:cs="Arial"/>
                <w:sz w:val="20"/>
              </w:rPr>
              <w:t>.</w:t>
            </w:r>
          </w:p>
          <w:p w:rsidRPr="00026F20" w:rsidR="00BA63BF" w:rsidP="00131848" w:rsidRDefault="00BA63BF" w14:paraId="610851C3" w14:textId="77777777">
            <w:pPr>
              <w:pStyle w:val="BodyText"/>
              <w:rPr>
                <w:rFonts w:cs="Arial"/>
                <w:sz w:val="20"/>
              </w:rPr>
            </w:pPr>
            <w:r w:rsidRPr="0041394E">
              <w:rPr>
                <w:rFonts w:cs="Arial"/>
                <w:sz w:val="20"/>
              </w:rPr>
              <w:lastRenderedPageBreak/>
              <w:t>Slow administration rate is recommended to minimise the possibility of producing hypernatraemia, decreasing cerebrospinal fluid pressure and inducing intracranial haemorrhage.</w:t>
            </w:r>
          </w:p>
        </w:tc>
      </w:tr>
      <w:tr w:rsidRPr="003A7895" w:rsidR="00BA63BF" w:rsidTr="00CC7E14" w14:paraId="5071294B" w14:textId="77777777">
        <w:trPr>
          <w:trHeight w:val="70"/>
        </w:trPr>
        <w:tc>
          <w:tcPr>
            <w:tcW w:w="1730" w:type="dxa"/>
          </w:tcPr>
          <w:p w:rsidRPr="00B53E9B" w:rsidR="00BA63BF" w:rsidP="00131848" w:rsidRDefault="00BA63BF" w14:paraId="7A33AA98" w14:textId="77777777">
            <w:pPr>
              <w:pStyle w:val="BodyText"/>
              <w:rPr>
                <w:rFonts w:cs="Arial"/>
                <w:b/>
                <w:bCs/>
                <w:sz w:val="20"/>
              </w:rPr>
            </w:pPr>
            <w:r w:rsidRPr="00B53E9B">
              <w:rPr>
                <w:rFonts w:cs="Arial"/>
                <w:b/>
                <w:bCs/>
                <w:sz w:val="20"/>
              </w:rPr>
              <w:lastRenderedPageBreak/>
              <w:t xml:space="preserve">Drug </w:t>
            </w:r>
            <w:r>
              <w:rPr>
                <w:rFonts w:cs="Arial"/>
                <w:b/>
                <w:bCs/>
                <w:sz w:val="20"/>
              </w:rPr>
              <w:t>i</w:t>
            </w:r>
            <w:r w:rsidRPr="00B53E9B">
              <w:rPr>
                <w:rFonts w:cs="Arial"/>
                <w:b/>
                <w:bCs/>
                <w:sz w:val="20"/>
              </w:rPr>
              <w:t>nteractions</w:t>
            </w:r>
          </w:p>
        </w:tc>
        <w:tc>
          <w:tcPr>
            <w:tcW w:w="7513" w:type="dxa"/>
          </w:tcPr>
          <w:p w:rsidRPr="0041394E" w:rsidR="00BA63BF" w:rsidP="00131848" w:rsidRDefault="00BA63BF" w14:paraId="2B2492CA" w14:textId="77777777">
            <w:pPr>
              <w:pStyle w:val="BodyText"/>
              <w:rPr>
                <w:rFonts w:cs="Arial"/>
                <w:sz w:val="20"/>
              </w:rPr>
            </w:pPr>
            <w:r w:rsidRPr="0041394E">
              <w:rPr>
                <w:rFonts w:cs="Arial"/>
                <w:sz w:val="20"/>
              </w:rPr>
              <w:t>May decrease effectiveness of aspirin, phenobarbitone and lithium.</w:t>
            </w:r>
          </w:p>
          <w:p w:rsidRPr="0041394E" w:rsidR="00BA63BF" w:rsidP="00131848" w:rsidRDefault="00BA63BF" w14:paraId="352015BE" w14:textId="77777777">
            <w:pPr>
              <w:pStyle w:val="BodyText"/>
              <w:rPr>
                <w:rFonts w:cs="Arial"/>
                <w:sz w:val="20"/>
              </w:rPr>
            </w:pPr>
            <w:r w:rsidRPr="0041394E">
              <w:rPr>
                <w:rFonts w:cs="Arial"/>
                <w:sz w:val="20"/>
              </w:rPr>
              <w:t xml:space="preserve">May inactivate drugs such as benzylpenicillin, potassium, isoprenaline and suxamethonium on mixing. </w:t>
            </w:r>
          </w:p>
          <w:p w:rsidR="00BA63BF" w:rsidP="00131848" w:rsidRDefault="00BA63BF" w14:paraId="2AEEE301" w14:textId="77777777">
            <w:pPr>
              <w:pStyle w:val="BodyText"/>
              <w:rPr>
                <w:rFonts w:cs="Arial"/>
                <w:sz w:val="20"/>
              </w:rPr>
            </w:pPr>
            <w:r w:rsidRPr="0041394E">
              <w:rPr>
                <w:rFonts w:cs="Arial"/>
                <w:sz w:val="20"/>
              </w:rPr>
              <w:t xml:space="preserve">Hyperchloraemic alkalosis may occur if sodium bicarbonate is used in conjunction with potassium depleting diuretics such as furosemide and hydrochlorothiazide. </w:t>
            </w:r>
          </w:p>
          <w:p w:rsidRPr="004813A1" w:rsidR="00BA63BF" w:rsidP="00131848" w:rsidRDefault="00BA63BF" w14:paraId="2987740F" w14:textId="77777777">
            <w:pPr>
              <w:pStyle w:val="BodyText"/>
              <w:rPr>
                <w:rFonts w:cs="Arial"/>
                <w:sz w:val="20"/>
              </w:rPr>
            </w:pPr>
            <w:r w:rsidRPr="004813A1">
              <w:rPr>
                <w:rFonts w:cs="Arial"/>
                <w:sz w:val="20"/>
              </w:rPr>
              <w:t>Concurrent use of ketoconazole may decrease ketoconazole exposure.</w:t>
            </w:r>
          </w:p>
          <w:p w:rsidRPr="00026F20" w:rsidR="00BA63BF" w:rsidP="00131848" w:rsidRDefault="00BA63BF" w14:paraId="4C7C1CFE" w14:textId="77777777">
            <w:pPr>
              <w:pStyle w:val="BodyText"/>
              <w:rPr>
                <w:rFonts w:cs="Arial"/>
                <w:sz w:val="20"/>
              </w:rPr>
            </w:pPr>
            <w:r w:rsidRPr="004813A1">
              <w:rPr>
                <w:rFonts w:cs="Arial"/>
                <w:sz w:val="20"/>
              </w:rPr>
              <w:t>Avoid simultaneous administration of sodium bicarbonate and catecholamines (dopamine, dobutamine, adrenaline (epinephrine), noradrenaline (norepinephrine) through the same IV catheter or tubing as the sodium bicarbonate solution will inactive the catecholamine.</w:t>
            </w:r>
          </w:p>
        </w:tc>
      </w:tr>
      <w:tr w:rsidRPr="003A7895" w:rsidR="00BA63BF" w:rsidTr="00CC7E14" w14:paraId="7ADB72F1" w14:textId="77777777">
        <w:trPr>
          <w:trHeight w:val="332"/>
        </w:trPr>
        <w:tc>
          <w:tcPr>
            <w:tcW w:w="1730" w:type="dxa"/>
          </w:tcPr>
          <w:p w:rsidRPr="00B53E9B" w:rsidR="00BA63BF" w:rsidP="00131848" w:rsidRDefault="00BA63BF" w14:paraId="204A071A"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13" w:type="dxa"/>
          </w:tcPr>
          <w:p w:rsidRPr="004813A1" w:rsidR="00BA63BF" w:rsidP="00131848" w:rsidRDefault="00BA63BF" w14:paraId="52FF36A7" w14:textId="77777777">
            <w:pPr>
              <w:pStyle w:val="BodyText"/>
              <w:rPr>
                <w:rFonts w:cs="Arial"/>
                <w:sz w:val="20"/>
              </w:rPr>
            </w:pPr>
            <w:r w:rsidRPr="004813A1">
              <w:rPr>
                <w:rFonts w:cs="Arial"/>
                <w:sz w:val="20"/>
              </w:rPr>
              <w:t>Hypernatraemia, hyperosmolality, hypocalcaemia, hypokalaemia.</w:t>
            </w:r>
          </w:p>
          <w:p w:rsidRPr="004813A1" w:rsidR="00BA63BF" w:rsidP="00131848" w:rsidRDefault="00BA63BF" w14:paraId="23E08614" w14:textId="77777777">
            <w:pPr>
              <w:pStyle w:val="BodyText"/>
              <w:rPr>
                <w:rFonts w:cs="Arial"/>
                <w:sz w:val="20"/>
              </w:rPr>
            </w:pPr>
            <w:r w:rsidRPr="004813A1">
              <w:rPr>
                <w:rFonts w:cs="Arial"/>
                <w:sz w:val="20"/>
              </w:rPr>
              <w:t>May increase intracellular acidosis.</w:t>
            </w:r>
          </w:p>
          <w:p w:rsidRPr="004813A1" w:rsidR="00BA63BF" w:rsidP="00131848" w:rsidRDefault="00BA63BF" w14:paraId="778465D5" w14:textId="77777777">
            <w:pPr>
              <w:pStyle w:val="BodyText"/>
              <w:rPr>
                <w:rFonts w:cs="Arial"/>
                <w:sz w:val="20"/>
              </w:rPr>
            </w:pPr>
            <w:r w:rsidRPr="004813A1">
              <w:rPr>
                <w:rFonts w:cs="Arial"/>
                <w:sz w:val="20"/>
              </w:rPr>
              <w:t>If administered during inadequate ventilation, PaCO</w:t>
            </w:r>
            <w:r w:rsidRPr="009720BF">
              <w:rPr>
                <w:rFonts w:cs="Arial"/>
                <w:sz w:val="20"/>
                <w:vertAlign w:val="subscript"/>
              </w:rPr>
              <w:t>2</w:t>
            </w:r>
            <w:r>
              <w:rPr>
                <w:rFonts w:cs="Arial"/>
                <w:sz w:val="20"/>
              </w:rPr>
              <w:t xml:space="preserve"> may rise, </w:t>
            </w:r>
            <w:r w:rsidRPr="004813A1">
              <w:rPr>
                <w:rFonts w:cs="Arial"/>
                <w:sz w:val="20"/>
              </w:rPr>
              <w:t>exacerbating acidosis.</w:t>
            </w:r>
          </w:p>
          <w:p w:rsidRPr="004813A1" w:rsidR="00BA63BF" w:rsidP="00131848" w:rsidRDefault="00BA63BF" w14:paraId="2D43A1E7" w14:textId="77777777">
            <w:pPr>
              <w:pStyle w:val="BodyText"/>
              <w:rPr>
                <w:rFonts w:cs="Arial"/>
                <w:sz w:val="20"/>
              </w:rPr>
            </w:pPr>
            <w:r w:rsidRPr="004813A1">
              <w:rPr>
                <w:rFonts w:cs="Arial"/>
                <w:sz w:val="20"/>
              </w:rPr>
              <w:t xml:space="preserve">Rapid correction may be associated with IVH. </w:t>
            </w:r>
          </w:p>
          <w:p w:rsidRPr="004813A1" w:rsidR="00BA63BF" w:rsidP="00131848" w:rsidRDefault="00BA63BF" w14:paraId="16A6E8C5" w14:textId="77777777">
            <w:pPr>
              <w:pStyle w:val="BodyText"/>
              <w:rPr>
                <w:rFonts w:cs="Arial"/>
                <w:sz w:val="20"/>
              </w:rPr>
            </w:pPr>
            <w:r w:rsidRPr="004813A1">
              <w:rPr>
                <w:rFonts w:cs="Arial"/>
                <w:sz w:val="20"/>
              </w:rPr>
              <w:t xml:space="preserve">Local tissue necrosis </w:t>
            </w:r>
            <w:r>
              <w:rPr>
                <w:rFonts w:cs="Arial"/>
                <w:sz w:val="20"/>
              </w:rPr>
              <w:t xml:space="preserve">and </w:t>
            </w:r>
            <w:r w:rsidRPr="004813A1">
              <w:rPr>
                <w:rFonts w:cs="Arial"/>
                <w:sz w:val="20"/>
              </w:rPr>
              <w:t>thrombosis at site of administration</w:t>
            </w:r>
            <w:r>
              <w:rPr>
                <w:rFonts w:cs="Arial"/>
                <w:sz w:val="20"/>
              </w:rPr>
              <w:t>.</w:t>
            </w:r>
          </w:p>
          <w:p w:rsidRPr="004813A1" w:rsidR="00BA63BF" w:rsidP="00131848" w:rsidRDefault="00BA63BF" w14:paraId="1C3C9CD8" w14:textId="77777777">
            <w:pPr>
              <w:pStyle w:val="BodyText"/>
              <w:rPr>
                <w:rFonts w:cs="Arial"/>
                <w:sz w:val="20"/>
              </w:rPr>
            </w:pPr>
            <w:r w:rsidRPr="004813A1">
              <w:rPr>
                <w:rFonts w:cs="Arial"/>
                <w:sz w:val="20"/>
              </w:rPr>
              <w:t>Metabolic alkalosis and tetany.</w:t>
            </w:r>
          </w:p>
          <w:p w:rsidRPr="00026F20" w:rsidR="00BA63BF" w:rsidP="00131848" w:rsidRDefault="00BA63BF" w14:paraId="5C59C4B0" w14:textId="77777777">
            <w:pPr>
              <w:pStyle w:val="BodyText"/>
              <w:rPr>
                <w:rFonts w:cs="Arial"/>
                <w:sz w:val="20"/>
              </w:rPr>
            </w:pPr>
            <w:r w:rsidRPr="004813A1">
              <w:rPr>
                <w:rFonts w:cs="Arial"/>
                <w:sz w:val="20"/>
              </w:rPr>
              <w:t>Abdominal cramping, nausea, vomiting.</w:t>
            </w:r>
          </w:p>
        </w:tc>
      </w:tr>
      <w:tr w:rsidRPr="003A7895" w:rsidR="00BA63BF" w:rsidTr="00CC7E14" w14:paraId="6A3D12FB" w14:textId="77777777">
        <w:trPr>
          <w:trHeight w:val="180"/>
        </w:trPr>
        <w:tc>
          <w:tcPr>
            <w:tcW w:w="1730" w:type="dxa"/>
          </w:tcPr>
          <w:p w:rsidRPr="00B53E9B" w:rsidR="00BA63BF" w:rsidP="00131848" w:rsidRDefault="00BA63BF" w14:paraId="4FD5940A" w14:textId="77777777">
            <w:pPr>
              <w:pStyle w:val="BodyText"/>
              <w:rPr>
                <w:rFonts w:cs="Arial"/>
                <w:b/>
                <w:bCs/>
                <w:sz w:val="20"/>
              </w:rPr>
            </w:pPr>
            <w:r w:rsidRPr="00B53E9B">
              <w:rPr>
                <w:rFonts w:cs="Arial"/>
                <w:b/>
                <w:bCs/>
                <w:sz w:val="20"/>
              </w:rPr>
              <w:t>Compatibility</w:t>
            </w:r>
          </w:p>
        </w:tc>
        <w:tc>
          <w:tcPr>
            <w:tcW w:w="7513" w:type="dxa"/>
          </w:tcPr>
          <w:p w:rsidRPr="004813A1" w:rsidR="00BA63BF" w:rsidP="00131848" w:rsidRDefault="00BA63BF" w14:paraId="4F9D33A6" w14:textId="77777777">
            <w:pPr>
              <w:pStyle w:val="BodyText"/>
              <w:rPr>
                <w:sz w:val="20"/>
              </w:rPr>
            </w:pPr>
            <w:r w:rsidRPr="004813A1">
              <w:rPr>
                <w:sz w:val="20"/>
              </w:rPr>
              <w:t>Fluids: Glucose 5%, glucose 10%, glucose in sodium chloride solutions, sodium chloride 0.9%, sodium chloride 0.45%.</w:t>
            </w:r>
          </w:p>
          <w:p w:rsidRPr="004813A1" w:rsidR="00BA63BF" w:rsidP="00131848" w:rsidRDefault="00BA63BF" w14:paraId="5CD35659" w14:textId="77777777">
            <w:pPr>
              <w:pStyle w:val="BodyText"/>
              <w:rPr>
                <w:sz w:val="20"/>
              </w:rPr>
            </w:pPr>
          </w:p>
          <w:p w:rsidRPr="00026F20" w:rsidR="00BA63BF" w:rsidP="00131848" w:rsidRDefault="00BA63BF" w14:paraId="32A47584" w14:textId="77777777">
            <w:pPr>
              <w:pStyle w:val="BodyText"/>
              <w:rPr>
                <w:sz w:val="20"/>
              </w:rPr>
            </w:pPr>
            <w:r w:rsidRPr="004813A1">
              <w:rPr>
                <w:sz w:val="20"/>
              </w:rPr>
              <w:t xml:space="preserve">Y site: </w:t>
            </w:r>
            <w:r w:rsidRPr="0041394E">
              <w:rPr>
                <w:sz w:val="20"/>
              </w:rPr>
              <w:t>Aciclovir, amikacin, atropine, aztreonam, benzylpenicillin, cefalotin, cefazolin, ceftazidime, ceftriaxone, clindamycin, dexamethasone, dexmedetomidine, digoxin, esmolol, fentanyl, filgrastim, fluconazole, furosemide, gentamicin, heparin sodium, hydrocortisone sodium succinate, ibuprofen lysine, indometacin, insulin,</w:t>
            </w:r>
            <w:r w:rsidRPr="0041394E">
              <w:rPr>
                <w:sz w:val="20"/>
                <w:vertAlign w:val="superscript"/>
              </w:rPr>
              <w:t>14</w:t>
            </w:r>
            <w:r w:rsidRPr="0041394E">
              <w:rPr>
                <w:sz w:val="20"/>
              </w:rPr>
              <w:t xml:space="preserve"> lignocaine, linezolid, metronidazole, methylprednisolone sodium succinate, morphine, naloxone, octreotide</w:t>
            </w:r>
            <w:r>
              <w:rPr>
                <w:sz w:val="20"/>
              </w:rPr>
              <w:t>,</w:t>
            </w:r>
            <w:r w:rsidRPr="0041394E">
              <w:rPr>
                <w:sz w:val="20"/>
              </w:rPr>
              <w:t xml:space="preserve"> phenobarbitone, piperacillin/tazobactam, potassium chloride, protamine, pyridoxine, ranitidine, remifentanil, sodium nitroprusside, tobramycin, vancomycin,</w:t>
            </w:r>
            <w:r w:rsidRPr="0041394E">
              <w:rPr>
                <w:sz w:val="20"/>
                <w:vertAlign w:val="superscript"/>
              </w:rPr>
              <w:t>14</w:t>
            </w:r>
            <w:r w:rsidRPr="0041394E">
              <w:rPr>
                <w:sz w:val="20"/>
              </w:rPr>
              <w:t xml:space="preserve"> vasopressin, vecuronium</w:t>
            </w:r>
            <w:r>
              <w:rPr>
                <w:sz w:val="20"/>
              </w:rPr>
              <w:t>,</w:t>
            </w:r>
            <w:r>
              <w:t xml:space="preserve"> </w:t>
            </w:r>
            <w:r w:rsidRPr="0041394E">
              <w:rPr>
                <w:sz w:val="20"/>
              </w:rPr>
              <w:t>voriconazole.</w:t>
            </w:r>
            <w:r w:rsidRPr="0041394E">
              <w:rPr>
                <w:sz w:val="20"/>
                <w:vertAlign w:val="superscript"/>
              </w:rPr>
              <w:t>14</w:t>
            </w:r>
          </w:p>
        </w:tc>
      </w:tr>
      <w:tr w:rsidRPr="003A7895" w:rsidR="00BA63BF" w:rsidTr="00CC7E14" w14:paraId="25F866C8" w14:textId="77777777">
        <w:trPr>
          <w:trHeight w:val="230"/>
        </w:trPr>
        <w:tc>
          <w:tcPr>
            <w:tcW w:w="1730" w:type="dxa"/>
          </w:tcPr>
          <w:p w:rsidRPr="00B53E9B" w:rsidR="00BA63BF" w:rsidP="00131848" w:rsidRDefault="00BA63BF" w14:paraId="440E12B5" w14:textId="77777777">
            <w:pPr>
              <w:pStyle w:val="BodyText"/>
              <w:rPr>
                <w:rFonts w:cs="Arial"/>
                <w:b/>
                <w:bCs/>
                <w:sz w:val="20"/>
              </w:rPr>
            </w:pPr>
            <w:r w:rsidRPr="00B53E9B">
              <w:rPr>
                <w:rFonts w:cs="Arial"/>
                <w:b/>
                <w:bCs/>
                <w:sz w:val="20"/>
              </w:rPr>
              <w:t>Incompatibility</w:t>
            </w:r>
          </w:p>
        </w:tc>
        <w:tc>
          <w:tcPr>
            <w:tcW w:w="7513" w:type="dxa"/>
          </w:tcPr>
          <w:p w:rsidRPr="00026F20" w:rsidR="00BA63BF" w:rsidP="00131848" w:rsidRDefault="00BA63BF" w14:paraId="6AF07654" w14:textId="77777777">
            <w:pPr>
              <w:pStyle w:val="BodyText"/>
              <w:rPr>
                <w:rFonts w:cs="Arial"/>
                <w:sz w:val="20"/>
              </w:rPr>
            </w:pPr>
            <w:r w:rsidRPr="004813A1">
              <w:rPr>
                <w:rFonts w:cs="Arial"/>
                <w:sz w:val="20"/>
              </w:rPr>
              <w:t xml:space="preserve">Amino acid solution, adrenaline (epinephrine) hydrochloride, amiodarone, amoxicillin, amphotericin B, ampicillin, atracurium, calcium folinate, calcium salts, cefotaxime, cefoxitin, clonazepam, diazoxide, dobutamine, dopamine, ganciclovir, hydromorphone, imipenem-cilastatin, ketamine, labetalol, lipid emulsion, magnesium salts, metoclopramide, midazolam, noradrenaline (norepinephrine), suxamethonium, </w:t>
            </w:r>
            <w:r>
              <w:rPr>
                <w:rFonts w:cs="Arial"/>
                <w:sz w:val="20"/>
              </w:rPr>
              <w:t xml:space="preserve">thiamine, </w:t>
            </w:r>
            <w:r w:rsidRPr="004813A1">
              <w:rPr>
                <w:rFonts w:cs="Arial"/>
                <w:sz w:val="20"/>
              </w:rPr>
              <w:t>thiopentone.</w:t>
            </w:r>
          </w:p>
        </w:tc>
      </w:tr>
      <w:tr w:rsidRPr="003A7895" w:rsidR="00BA63BF" w:rsidTr="00CC7E14" w14:paraId="0BB36760" w14:textId="77777777">
        <w:trPr>
          <w:trHeight w:val="79"/>
        </w:trPr>
        <w:tc>
          <w:tcPr>
            <w:tcW w:w="1730" w:type="dxa"/>
          </w:tcPr>
          <w:p w:rsidRPr="00B53E9B" w:rsidR="00BA63BF" w:rsidP="00131848" w:rsidRDefault="00BA63BF" w14:paraId="458BE0A5" w14:textId="77777777">
            <w:pPr>
              <w:pStyle w:val="BodyText"/>
              <w:rPr>
                <w:rFonts w:cs="Arial"/>
                <w:b/>
                <w:bCs/>
                <w:sz w:val="20"/>
              </w:rPr>
            </w:pPr>
            <w:r w:rsidRPr="00B53E9B">
              <w:rPr>
                <w:rFonts w:cs="Arial"/>
                <w:b/>
                <w:bCs/>
                <w:sz w:val="20"/>
              </w:rPr>
              <w:t xml:space="preserve">Stability   </w:t>
            </w:r>
          </w:p>
        </w:tc>
        <w:tc>
          <w:tcPr>
            <w:tcW w:w="7513" w:type="dxa"/>
          </w:tcPr>
          <w:p w:rsidRPr="00026F20" w:rsidR="00BA63BF" w:rsidP="00131848" w:rsidRDefault="00BA63BF" w14:paraId="2235F98D" w14:textId="77777777">
            <w:pPr>
              <w:pStyle w:val="BodyText"/>
              <w:rPr>
                <w:rFonts w:cs="Arial"/>
                <w:sz w:val="20"/>
              </w:rPr>
            </w:pPr>
          </w:p>
        </w:tc>
      </w:tr>
      <w:tr w:rsidRPr="003A7895" w:rsidR="00BA63BF" w:rsidTr="00CC7E14" w14:paraId="5ED69477" w14:textId="77777777">
        <w:trPr>
          <w:trHeight w:val="70"/>
        </w:trPr>
        <w:tc>
          <w:tcPr>
            <w:tcW w:w="1730" w:type="dxa"/>
          </w:tcPr>
          <w:p w:rsidRPr="00B53E9B" w:rsidR="00BA63BF" w:rsidP="00131848" w:rsidRDefault="00BA63BF" w14:paraId="7C91767C" w14:textId="77777777">
            <w:pPr>
              <w:pStyle w:val="BodyText"/>
              <w:rPr>
                <w:rFonts w:cs="Arial"/>
                <w:b/>
                <w:bCs/>
                <w:sz w:val="20"/>
              </w:rPr>
            </w:pPr>
            <w:r w:rsidRPr="00B53E9B">
              <w:rPr>
                <w:rFonts w:cs="Arial"/>
                <w:b/>
                <w:bCs/>
                <w:sz w:val="20"/>
              </w:rPr>
              <w:t xml:space="preserve">Storage             </w:t>
            </w:r>
          </w:p>
        </w:tc>
        <w:tc>
          <w:tcPr>
            <w:tcW w:w="7513" w:type="dxa"/>
          </w:tcPr>
          <w:p w:rsidRPr="00026F20" w:rsidR="00BA63BF" w:rsidP="00131848" w:rsidRDefault="00BA63BF" w14:paraId="737B5E1E" w14:textId="77777777">
            <w:pPr>
              <w:pStyle w:val="BodyText"/>
              <w:rPr>
                <w:rFonts w:cs="Arial"/>
                <w:sz w:val="20"/>
              </w:rPr>
            </w:pPr>
            <w:r w:rsidRPr="004813A1">
              <w:rPr>
                <w:rFonts w:cs="Arial"/>
                <w:sz w:val="20"/>
              </w:rPr>
              <w:t>Store below 30°C. Diluted solutions may be stored for up to 24 hours at 2–8°C.</w:t>
            </w:r>
          </w:p>
        </w:tc>
      </w:tr>
      <w:tr w:rsidRPr="003A7895" w:rsidR="00BA63BF" w:rsidTr="00CC7E14" w14:paraId="3FE1A1FC" w14:textId="77777777">
        <w:trPr>
          <w:trHeight w:val="70"/>
        </w:trPr>
        <w:tc>
          <w:tcPr>
            <w:tcW w:w="1730" w:type="dxa"/>
          </w:tcPr>
          <w:p w:rsidRPr="00B53E9B" w:rsidR="00BA63BF" w:rsidP="00131848" w:rsidRDefault="00BA63BF" w14:paraId="690A84E6" w14:textId="77777777">
            <w:pPr>
              <w:pStyle w:val="BodyText"/>
              <w:rPr>
                <w:rFonts w:cs="Arial"/>
                <w:b/>
                <w:bCs/>
                <w:sz w:val="20"/>
              </w:rPr>
            </w:pPr>
            <w:r w:rsidRPr="00B53E9B">
              <w:rPr>
                <w:rFonts w:cs="Arial"/>
                <w:b/>
                <w:bCs/>
                <w:sz w:val="20"/>
              </w:rPr>
              <w:t>Excipients</w:t>
            </w:r>
          </w:p>
        </w:tc>
        <w:tc>
          <w:tcPr>
            <w:tcW w:w="7513" w:type="dxa"/>
          </w:tcPr>
          <w:p w:rsidRPr="0073444F" w:rsidR="00BA63BF" w:rsidP="00131848" w:rsidRDefault="00BA63BF" w14:paraId="53996C6E" w14:textId="77777777">
            <w:pPr>
              <w:pStyle w:val="BodyText"/>
              <w:rPr>
                <w:rFonts w:cs="Arial" w:asciiTheme="minorHAnsi" w:hAnsiTheme="minorHAnsi"/>
                <w:sz w:val="20"/>
              </w:rPr>
            </w:pPr>
            <w:r w:rsidRPr="0073444F">
              <w:rPr>
                <w:rFonts w:cs="Arial" w:asciiTheme="minorHAnsi" w:hAnsiTheme="minorHAnsi"/>
                <w:color w:val="333333"/>
                <w:sz w:val="20"/>
              </w:rPr>
              <w:t>Disodium edetate</w:t>
            </w:r>
            <w:r>
              <w:rPr>
                <w:rFonts w:cs="Arial" w:asciiTheme="minorHAnsi" w:hAnsiTheme="minorHAnsi"/>
                <w:color w:val="333333"/>
                <w:sz w:val="20"/>
              </w:rPr>
              <w:t>, water for injections.</w:t>
            </w:r>
          </w:p>
        </w:tc>
      </w:tr>
      <w:tr w:rsidRPr="003A7895" w:rsidR="00BA63BF" w:rsidTr="00CC7E14" w14:paraId="5FD7E866" w14:textId="77777777">
        <w:trPr>
          <w:trHeight w:val="270"/>
        </w:trPr>
        <w:tc>
          <w:tcPr>
            <w:tcW w:w="1730" w:type="dxa"/>
          </w:tcPr>
          <w:p w:rsidRPr="00B53E9B" w:rsidR="00BA63BF" w:rsidP="00131848" w:rsidRDefault="00BA63BF" w14:paraId="4E101B36"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13" w:type="dxa"/>
          </w:tcPr>
          <w:p w:rsidRPr="00026F20" w:rsidR="00BA63BF" w:rsidP="00131848" w:rsidRDefault="00BA63BF" w14:paraId="5AF0B836" w14:textId="77777777">
            <w:pPr>
              <w:pStyle w:val="BodyText"/>
              <w:rPr>
                <w:rFonts w:cs="Arial"/>
                <w:sz w:val="20"/>
              </w:rPr>
            </w:pPr>
            <w:r w:rsidRPr="004813A1">
              <w:rPr>
                <w:rFonts w:cs="Arial"/>
                <w:sz w:val="20"/>
              </w:rPr>
              <w:t>Rapid onset of action after IV administration.</w:t>
            </w:r>
          </w:p>
        </w:tc>
      </w:tr>
      <w:tr w:rsidRPr="003A7895" w:rsidR="00BA63BF" w:rsidTr="00CC7E14" w14:paraId="2A84BA29" w14:textId="77777777">
        <w:trPr>
          <w:trHeight w:val="280"/>
        </w:trPr>
        <w:tc>
          <w:tcPr>
            <w:tcW w:w="1730" w:type="dxa"/>
          </w:tcPr>
          <w:p w:rsidRPr="00B53E9B" w:rsidR="00BA63BF" w:rsidP="00131848" w:rsidRDefault="00BA63BF" w14:paraId="78FB89C3" w14:textId="77777777">
            <w:pPr>
              <w:pStyle w:val="BodyText"/>
              <w:rPr>
                <w:rFonts w:cs="Arial"/>
                <w:b/>
                <w:bCs/>
                <w:sz w:val="20"/>
              </w:rPr>
            </w:pPr>
            <w:r w:rsidRPr="00B53E9B">
              <w:rPr>
                <w:rFonts w:cs="Arial"/>
                <w:b/>
                <w:bCs/>
                <w:sz w:val="20"/>
              </w:rPr>
              <w:t xml:space="preserve">Evidence </w:t>
            </w:r>
          </w:p>
        </w:tc>
        <w:tc>
          <w:tcPr>
            <w:tcW w:w="7513" w:type="dxa"/>
          </w:tcPr>
          <w:p w:rsidRPr="00CC7E14" w:rsidR="00BA63BF" w:rsidP="00131848" w:rsidRDefault="00BA63BF" w14:paraId="64E0EF94" w14:textId="77777777">
            <w:pPr>
              <w:pStyle w:val="BodyText"/>
              <w:tabs>
                <w:tab w:val="left" w:pos="1168"/>
              </w:tabs>
              <w:rPr>
                <w:rFonts w:cs="Arial"/>
                <w:b/>
                <w:sz w:val="16"/>
                <w:szCs w:val="16"/>
                <w:u w:val="single"/>
              </w:rPr>
            </w:pPr>
            <w:r w:rsidRPr="00CC7E14">
              <w:rPr>
                <w:rFonts w:cs="Arial"/>
                <w:b/>
                <w:sz w:val="16"/>
                <w:szCs w:val="16"/>
                <w:u w:val="single"/>
              </w:rPr>
              <w:t>During resuscitation</w:t>
            </w:r>
          </w:p>
          <w:p w:rsidRPr="00CC7E14" w:rsidR="00BA63BF" w:rsidP="00131848" w:rsidRDefault="00BA63BF" w14:paraId="2453F6C8" w14:textId="77777777">
            <w:pPr>
              <w:pStyle w:val="BodyText"/>
              <w:tabs>
                <w:tab w:val="left" w:pos="1168"/>
              </w:tabs>
              <w:rPr>
                <w:rFonts w:cs="Arial"/>
                <w:sz w:val="16"/>
                <w:szCs w:val="16"/>
              </w:rPr>
            </w:pPr>
            <w:r w:rsidRPr="00CC7E14">
              <w:rPr>
                <w:rFonts w:cs="Arial"/>
                <w:sz w:val="16"/>
                <w:szCs w:val="16"/>
              </w:rPr>
              <w:t>There is insufficient evidence from randomised controlled trials to determine whether the infusion of sodium bicarbonate reduces mortality and morbidity in infants receiving resuscitation in the delivery room at birth.</w:t>
            </w:r>
            <w:r w:rsidRPr="00CC7E14">
              <w:rPr>
                <w:rFonts w:cs="Arial"/>
                <w:sz w:val="16"/>
                <w:szCs w:val="16"/>
                <w:vertAlign w:val="superscript"/>
              </w:rPr>
              <w:t>2</w:t>
            </w:r>
            <w:r w:rsidRPr="00CC7E14">
              <w:rPr>
                <w:rFonts w:cs="Arial"/>
                <w:sz w:val="16"/>
                <w:szCs w:val="16"/>
              </w:rPr>
              <w:t xml:space="preserve"> </w:t>
            </w:r>
          </w:p>
          <w:p w:rsidRPr="00CC7E14" w:rsidR="00BA63BF" w:rsidP="00131848" w:rsidRDefault="00BA63BF" w14:paraId="442F0D5B" w14:textId="77777777">
            <w:pPr>
              <w:pStyle w:val="BodyText"/>
              <w:tabs>
                <w:tab w:val="left" w:pos="1168"/>
              </w:tabs>
              <w:rPr>
                <w:rFonts w:cs="Arial"/>
                <w:sz w:val="16"/>
                <w:szCs w:val="16"/>
              </w:rPr>
            </w:pPr>
          </w:p>
          <w:p w:rsidRPr="00CC7E14" w:rsidR="00BA63BF" w:rsidP="00131848" w:rsidRDefault="00BA63BF" w14:paraId="5C202676" w14:textId="77777777">
            <w:pPr>
              <w:pStyle w:val="BodyText"/>
              <w:tabs>
                <w:tab w:val="left" w:pos="1168"/>
              </w:tabs>
              <w:rPr>
                <w:rFonts w:cs="Arial"/>
                <w:b/>
                <w:sz w:val="16"/>
                <w:szCs w:val="16"/>
                <w:u w:val="single"/>
              </w:rPr>
            </w:pPr>
            <w:r w:rsidRPr="00CC7E14">
              <w:rPr>
                <w:rFonts w:cs="Arial"/>
                <w:b/>
                <w:sz w:val="16"/>
                <w:szCs w:val="16"/>
                <w:u w:val="single"/>
              </w:rPr>
              <w:t>Preterm neonates with metabolic acidosis</w:t>
            </w:r>
          </w:p>
          <w:p w:rsidRPr="00CC7E14" w:rsidR="00BA63BF" w:rsidP="00131848" w:rsidRDefault="00BA63BF" w14:paraId="587064DE" w14:textId="77777777">
            <w:pPr>
              <w:pStyle w:val="BodyText"/>
              <w:tabs>
                <w:tab w:val="left" w:pos="1168"/>
              </w:tabs>
              <w:rPr>
                <w:rFonts w:cs="Arial"/>
                <w:sz w:val="16"/>
                <w:szCs w:val="16"/>
              </w:rPr>
            </w:pPr>
            <w:r w:rsidRPr="00CC7E14">
              <w:rPr>
                <w:rFonts w:cs="Arial"/>
                <w:sz w:val="16"/>
                <w:szCs w:val="16"/>
              </w:rPr>
              <w:t>Lawn et al, in their Cochrane review, found two small randomised controlled trails that fulfilled the eligibility criteria (Corbet 1977; Dixon 1999) and one unpublished pilot trial (Lawn 2005). Corbet 1977 compared treating infants with sodium bicarbonate infusion (N = 30) versus no treatment (N = 32) and did not find evidence of an effect on mortality [relative risk (RR) 1.39 (95% confidence interval 0.72 to 2.67)] or in the incidence of intra/periventricular haemorrhage [RR 1.24 (95% confidence interval 0.47 to 3.28)]. Addition of the unpublished data of Lawn 2005 does not change the overall estimate of effect on mortality [typical RR 1.45 (95%CI 0.82 to 2.56)]. Dixon 1999 compared treatment with sodium bicarbonate (N = 16) versus fluid bolus (N = 20). The primary outcome assessed was arterial blood pH/base excess two hours after the intervention. Other clinical outcomes were not reported. Neither trial assessed longer term neurodevelopmental outcomes. There is insufficient evidence from randomised controlled trials to determine whether infusion of base or fluid bolus reduces morbidity and mortality in preterm infants with metabolic acidosis.</w:t>
            </w:r>
          </w:p>
          <w:p w:rsidRPr="00CC7E14" w:rsidR="00BA63BF" w:rsidP="00131848" w:rsidRDefault="00BA63BF" w14:paraId="6ADA76FB" w14:textId="77777777">
            <w:pPr>
              <w:pStyle w:val="BodyText"/>
              <w:tabs>
                <w:tab w:val="left" w:pos="1168"/>
              </w:tabs>
              <w:rPr>
                <w:rFonts w:cs="Arial"/>
                <w:sz w:val="16"/>
                <w:szCs w:val="16"/>
              </w:rPr>
            </w:pPr>
          </w:p>
          <w:p w:rsidRPr="00CC7E14" w:rsidR="00BA63BF" w:rsidP="00131848" w:rsidRDefault="00BA63BF" w14:paraId="5A136F52" w14:textId="77777777">
            <w:pPr>
              <w:pStyle w:val="BodyText"/>
              <w:tabs>
                <w:tab w:val="left" w:pos="1168"/>
              </w:tabs>
              <w:rPr>
                <w:rFonts w:cs="Arial"/>
                <w:b/>
                <w:sz w:val="16"/>
                <w:szCs w:val="16"/>
                <w:u w:val="single"/>
              </w:rPr>
            </w:pPr>
            <w:r w:rsidRPr="00CC7E14">
              <w:rPr>
                <w:rFonts w:cs="Arial"/>
                <w:b/>
                <w:sz w:val="16"/>
                <w:szCs w:val="16"/>
                <w:u w:val="single"/>
              </w:rPr>
              <w:lastRenderedPageBreak/>
              <w:t>Rapid correction of metabolic acidemia in the first 24 hours of life in preterm neonates</w:t>
            </w:r>
          </w:p>
          <w:p w:rsidRPr="00CC7E14" w:rsidR="00BA63BF" w:rsidP="00131848" w:rsidRDefault="00BA63BF" w14:paraId="36A28B9C" w14:textId="77777777">
            <w:pPr>
              <w:pStyle w:val="BodyText"/>
              <w:tabs>
                <w:tab w:val="left" w:pos="1168"/>
              </w:tabs>
              <w:rPr>
                <w:rFonts w:cs="Arial"/>
                <w:sz w:val="16"/>
                <w:szCs w:val="16"/>
                <w:vertAlign w:val="superscript"/>
              </w:rPr>
            </w:pPr>
            <w:r w:rsidRPr="00CC7E14">
              <w:rPr>
                <w:rFonts w:cs="Arial"/>
                <w:sz w:val="16"/>
                <w:szCs w:val="16"/>
              </w:rPr>
              <w:t>There is no evidence available from randomised controlled trials to support or refute the rapid correction of metabolic acidaemia, in LBW infants in the first 24 hours of life, as compared with slow or no correction.</w:t>
            </w:r>
            <w:r w:rsidRPr="00CC7E14">
              <w:rPr>
                <w:rFonts w:cs="Arial"/>
                <w:sz w:val="16"/>
                <w:szCs w:val="16"/>
                <w:vertAlign w:val="superscript"/>
              </w:rPr>
              <w:t>4</w:t>
            </w:r>
          </w:p>
          <w:p w:rsidRPr="00CC7E14" w:rsidR="00BA63BF" w:rsidP="00131848" w:rsidRDefault="00BA63BF" w14:paraId="14D2ABF4" w14:textId="77777777">
            <w:pPr>
              <w:pStyle w:val="BodyText"/>
              <w:tabs>
                <w:tab w:val="left" w:pos="1168"/>
              </w:tabs>
              <w:rPr>
                <w:rFonts w:cs="Arial"/>
                <w:sz w:val="16"/>
                <w:szCs w:val="16"/>
              </w:rPr>
            </w:pPr>
          </w:p>
          <w:p w:rsidRPr="00CC7E14" w:rsidR="00BA63BF" w:rsidP="00131848" w:rsidRDefault="00BA63BF" w14:paraId="711B5FAB" w14:textId="77777777">
            <w:pPr>
              <w:pStyle w:val="BodyText"/>
              <w:tabs>
                <w:tab w:val="left" w:pos="1168"/>
              </w:tabs>
              <w:rPr>
                <w:rFonts w:cs="Arial"/>
                <w:b/>
                <w:sz w:val="16"/>
                <w:szCs w:val="16"/>
                <w:u w:val="single"/>
              </w:rPr>
            </w:pPr>
            <w:r w:rsidRPr="00CC7E14">
              <w:rPr>
                <w:rFonts w:cs="Arial"/>
                <w:b/>
                <w:sz w:val="16"/>
                <w:szCs w:val="16"/>
                <w:u w:val="single"/>
              </w:rPr>
              <w:t>Correction of chronic metabolic acidosis in chronic kidney conditions</w:t>
            </w:r>
          </w:p>
          <w:p w:rsidRPr="00CC7E14" w:rsidR="00BA63BF" w:rsidP="00131848" w:rsidRDefault="00BA63BF" w14:paraId="42320D85" w14:textId="77777777">
            <w:pPr>
              <w:pStyle w:val="BodyText"/>
              <w:tabs>
                <w:tab w:val="left" w:pos="1168"/>
              </w:tabs>
              <w:rPr>
                <w:rFonts w:cs="Arial"/>
                <w:sz w:val="16"/>
                <w:szCs w:val="16"/>
              </w:rPr>
            </w:pPr>
            <w:r w:rsidRPr="00CC7E14">
              <w:rPr>
                <w:rFonts w:cs="Arial"/>
                <w:sz w:val="16"/>
                <w:szCs w:val="16"/>
              </w:rPr>
              <w:t>Metabolic acidosis is a feature of chronic kidney disease (CKD) due to the reduced capacity of the kidney to synthesise ammonia and excrete hydrogen ions. It has adverse consequences on protein and muscle metabolism, bone turnover and the development of renal osteodystrophy. Metabolic acidosis may be corrected by oral bicarbonate supplementation or, in dialysis patients, by increasing the bicarbonate concentration in dialysate fluid. Roderick et al performed a Cochrane review to examine the benefits and harms of treating metabolic acidosis in patients with CKD, both prior to reaching end-stage renal disease (ESRD) and whilst on renal replacement therapy (RRT), with sodium bicarbonate or increasing the bicarbonate concentration of dialysate. They identified three trials in adult dialysis patients (n = 117). There were insufficient data for most outcomes for meta-analysis. In all three trials, acidosis improved in the intervention group though there was variation in achieved bicarbonate concentration. There was no evidence of effect on blood pressure or sodium concentrations. Some measures of nutritional status/protein metabolism (e.g. SGA, NP NA) were significantly improved by correction in the one trial that looked at these in detail. There was heterogeneity of the effect on serum albumin in two trials. Serum PTH fell significantly in the two trials that estimated this, with no significant effect on calcium or phosphate though both fell after correction. Complex bone markers were assessed in one study, with some evidence for a reduction in bone turnover in those with initial high bone turnover and an increase in low turnover patients. The studies were underpowered to assess clinical outcomes; in the one study that did there was some evidence for a reduction in hospitalisation after correction. In conclusion, the evidence for the benefits and risks of correcting metabolic acidosis is very limited with no RCTs in pre-ESRD patients, none in children and only three small trials in dialysis patients. These trials suggest there may be some beneficial effects on both protein and bone metabolism, but the trials were underpowered to provide robust evidence.</w:t>
            </w:r>
          </w:p>
          <w:p w:rsidRPr="00CC7E14" w:rsidR="00BA63BF" w:rsidP="00131848" w:rsidRDefault="00BA63BF" w14:paraId="153D7E76" w14:textId="77777777">
            <w:pPr>
              <w:pStyle w:val="BodyText"/>
              <w:tabs>
                <w:tab w:val="left" w:pos="1168"/>
              </w:tabs>
              <w:rPr>
                <w:rFonts w:cs="Arial"/>
                <w:sz w:val="16"/>
                <w:szCs w:val="16"/>
              </w:rPr>
            </w:pPr>
          </w:p>
          <w:p w:rsidRPr="00CC7E14" w:rsidR="00BA63BF" w:rsidP="00131848" w:rsidRDefault="00BA63BF" w14:paraId="732931DB" w14:textId="77777777">
            <w:pPr>
              <w:pStyle w:val="BodyText"/>
              <w:tabs>
                <w:tab w:val="left" w:pos="1168"/>
              </w:tabs>
              <w:rPr>
                <w:rFonts w:cs="Arial"/>
                <w:b/>
                <w:sz w:val="16"/>
                <w:szCs w:val="16"/>
                <w:u w:val="single"/>
              </w:rPr>
            </w:pPr>
            <w:r w:rsidRPr="00CC7E14">
              <w:rPr>
                <w:rFonts w:cs="Arial"/>
                <w:b/>
                <w:sz w:val="16"/>
                <w:szCs w:val="16"/>
                <w:u w:val="single"/>
              </w:rPr>
              <w:t>Slow infusion versus rapid IV bolus</w:t>
            </w:r>
          </w:p>
          <w:p w:rsidRPr="00CC7E14" w:rsidR="00BA63BF" w:rsidP="00131848" w:rsidRDefault="00BA63BF" w14:paraId="0E6A9938" w14:textId="77777777">
            <w:pPr>
              <w:pStyle w:val="BodyText"/>
              <w:tabs>
                <w:tab w:val="left" w:pos="1168"/>
              </w:tabs>
              <w:rPr>
                <w:rFonts w:cs="Arial"/>
                <w:sz w:val="16"/>
                <w:szCs w:val="16"/>
              </w:rPr>
            </w:pPr>
            <w:r w:rsidRPr="00CC7E14">
              <w:rPr>
                <w:rFonts w:cs="Arial"/>
                <w:sz w:val="16"/>
                <w:szCs w:val="16"/>
              </w:rPr>
              <w:t>van Alfen-van der Velden et al performed an RCT to study the effects of NaHCO</w:t>
            </w:r>
            <w:r w:rsidRPr="00CC7E14">
              <w:rPr>
                <w:rFonts w:cs="Arial"/>
                <w:sz w:val="16"/>
                <w:szCs w:val="16"/>
                <w:vertAlign w:val="subscript"/>
              </w:rPr>
              <w:t>3</w:t>
            </w:r>
            <w:r w:rsidRPr="00CC7E14">
              <w:rPr>
                <w:rFonts w:cs="Arial"/>
                <w:sz w:val="16"/>
                <w:szCs w:val="16"/>
              </w:rPr>
              <w:t xml:space="preserve"> administration on cerebral haemodynamics and oxygenation in preterm neonates. Twenty-nine preterm infants with metabolic acidosis were randomised into two groups (values are mean ± SD): In group A (GA 30.5 ± 1.7 weeks, b.w. 1,254 ± 425 g) NaHCO</w:t>
            </w:r>
            <w:r w:rsidRPr="00CC7E14">
              <w:rPr>
                <w:rFonts w:cs="Arial"/>
                <w:sz w:val="16"/>
                <w:szCs w:val="16"/>
                <w:vertAlign w:val="subscript"/>
              </w:rPr>
              <w:t>3</w:t>
            </w:r>
            <w:r w:rsidRPr="00CC7E14">
              <w:rPr>
                <w:rFonts w:cs="Arial"/>
                <w:sz w:val="16"/>
                <w:szCs w:val="16"/>
              </w:rPr>
              <w:t xml:space="preserve"> 4.2% was injected as a bolus. In group B (GA 30.3 ± 1.8 weeks, b.w. 1,179 ± 318 g) NaHCO</w:t>
            </w:r>
            <w:r w:rsidRPr="00CC7E14">
              <w:rPr>
                <w:rFonts w:cs="Arial"/>
                <w:sz w:val="16"/>
                <w:szCs w:val="16"/>
                <w:vertAlign w:val="subscript"/>
              </w:rPr>
              <w:t>3</w:t>
            </w:r>
            <w:r w:rsidRPr="00CC7E14">
              <w:rPr>
                <w:rFonts w:cs="Arial"/>
                <w:sz w:val="16"/>
                <w:szCs w:val="16"/>
              </w:rPr>
              <w:t xml:space="preserve"> 4.2% was administered over a 30-min period. Concentration changes of oxyhemoglobin (cO</w:t>
            </w:r>
            <w:r w:rsidRPr="00CC7E14">
              <w:rPr>
                <w:rFonts w:cs="Arial"/>
                <w:sz w:val="16"/>
                <w:szCs w:val="16"/>
                <w:vertAlign w:val="subscript"/>
              </w:rPr>
              <w:t>2</w:t>
            </w:r>
            <w:r w:rsidRPr="00CC7E14">
              <w:rPr>
                <w:rFonts w:cs="Arial"/>
                <w:sz w:val="16"/>
                <w:szCs w:val="16"/>
              </w:rPr>
              <w:t>Hb) and deoxyhemoglobin (cHHb) were assessed using near-infrared spectrophotometry. Changes in HbD (= cO2Hb – cHHb) represent changes in cerebral blood oxygenation and changes in ctHb (= cO2Hb + cHHb) reflect changes in cerebral blood volume. Cerebral blood flow velocity was intermittently measured using Doppler ultrasound. Longitudinal data analysis was performed using linear mixed models, to account for the fact that the repeated observations in each individual were correlated. Administration of NaHCO</w:t>
            </w:r>
            <w:r w:rsidRPr="00CC7E14">
              <w:rPr>
                <w:rFonts w:cs="Arial"/>
                <w:sz w:val="16"/>
                <w:szCs w:val="16"/>
                <w:vertAlign w:val="subscript"/>
              </w:rPr>
              <w:t>3</w:t>
            </w:r>
            <w:r w:rsidRPr="00CC7E14">
              <w:rPr>
                <w:rFonts w:cs="Arial"/>
                <w:sz w:val="16"/>
                <w:szCs w:val="16"/>
              </w:rPr>
              <w:t xml:space="preserve"> resulted in an increase of cerebral blood volume which was more evident if NaHCO</w:t>
            </w:r>
            <w:r w:rsidRPr="00CC7E14">
              <w:rPr>
                <w:rFonts w:cs="Arial"/>
                <w:sz w:val="16"/>
                <w:szCs w:val="16"/>
                <w:vertAlign w:val="subscript"/>
              </w:rPr>
              <w:t>3</w:t>
            </w:r>
            <w:r w:rsidRPr="00CC7E14">
              <w:rPr>
                <w:rFonts w:cs="Arial"/>
                <w:sz w:val="16"/>
                <w:szCs w:val="16"/>
              </w:rPr>
              <w:t xml:space="preserve"> was injected rapidly than when infused slowly. HbD and cerebral blood flow velocity did not show significant changes in either group. Conclusion: To minimise fluctuations in cerebral hemodynamics, slow infusion of sodium bicarbonate is preferable to rapid injection.</w:t>
            </w:r>
          </w:p>
        </w:tc>
      </w:tr>
      <w:tr w:rsidRPr="003A7895" w:rsidR="00BA63BF" w:rsidTr="00CC7E14" w14:paraId="65EE6FCB" w14:textId="77777777">
        <w:trPr>
          <w:trHeight w:val="108"/>
        </w:trPr>
        <w:tc>
          <w:tcPr>
            <w:tcW w:w="1730" w:type="dxa"/>
          </w:tcPr>
          <w:p w:rsidRPr="00B53E9B" w:rsidR="00BA63BF" w:rsidP="00131848" w:rsidRDefault="00BA63BF" w14:paraId="40E66EF1" w14:textId="77777777">
            <w:pPr>
              <w:pStyle w:val="BodyText"/>
              <w:rPr>
                <w:rFonts w:cs="Arial"/>
                <w:b/>
                <w:bCs/>
                <w:sz w:val="20"/>
              </w:rPr>
            </w:pPr>
            <w:r w:rsidRPr="00B53E9B">
              <w:rPr>
                <w:rFonts w:cs="Arial"/>
                <w:b/>
                <w:bCs/>
                <w:sz w:val="20"/>
              </w:rPr>
              <w:lastRenderedPageBreak/>
              <w:t>Practice points</w:t>
            </w:r>
          </w:p>
        </w:tc>
        <w:tc>
          <w:tcPr>
            <w:tcW w:w="7513" w:type="dxa"/>
          </w:tcPr>
          <w:p w:rsidRPr="00026F20" w:rsidR="00BA63BF" w:rsidP="00131848" w:rsidRDefault="00BA63BF" w14:paraId="633AE84B" w14:textId="77777777">
            <w:pPr>
              <w:pStyle w:val="BodyText"/>
              <w:tabs>
                <w:tab w:val="left" w:pos="1168"/>
              </w:tabs>
              <w:rPr>
                <w:rFonts w:cs="Arial"/>
                <w:sz w:val="20"/>
              </w:rPr>
            </w:pPr>
            <w:r>
              <w:rPr>
                <w:rFonts w:cs="Arial"/>
                <w:sz w:val="20"/>
              </w:rPr>
              <w:t xml:space="preserve">2020 </w:t>
            </w:r>
            <w:r w:rsidRPr="00C455AA">
              <w:rPr>
                <w:rFonts w:cs="Arial"/>
                <w:sz w:val="20"/>
              </w:rPr>
              <w:t>Neonatal Resuscitation Algorithm</w:t>
            </w:r>
            <w:r>
              <w:rPr>
                <w:rFonts w:cs="Arial"/>
                <w:sz w:val="20"/>
              </w:rPr>
              <w:t xml:space="preserve"> has made no recommendation for sodium bicarbonate for neonatal resuscitation.</w:t>
            </w:r>
            <w:r w:rsidRPr="00C455AA">
              <w:rPr>
                <w:rFonts w:cs="Arial"/>
                <w:sz w:val="20"/>
                <w:vertAlign w:val="superscript"/>
              </w:rPr>
              <w:t>1</w:t>
            </w:r>
          </w:p>
        </w:tc>
      </w:tr>
      <w:tr w:rsidRPr="003A7895" w:rsidR="00BA63BF" w:rsidTr="00CC7E14" w14:paraId="65E7CB05" w14:textId="77777777">
        <w:trPr>
          <w:trHeight w:val="70"/>
        </w:trPr>
        <w:tc>
          <w:tcPr>
            <w:tcW w:w="1730" w:type="dxa"/>
          </w:tcPr>
          <w:p w:rsidRPr="00B53E9B" w:rsidR="00BA63BF" w:rsidP="00131848" w:rsidRDefault="00BA63BF" w14:paraId="0743A3D4" w14:textId="77777777">
            <w:pPr>
              <w:pStyle w:val="BodyText"/>
              <w:rPr>
                <w:rFonts w:cs="Arial"/>
                <w:b/>
                <w:bCs/>
                <w:sz w:val="20"/>
              </w:rPr>
            </w:pPr>
            <w:r w:rsidRPr="00B53E9B">
              <w:rPr>
                <w:b/>
                <w:sz w:val="20"/>
              </w:rPr>
              <w:t>References</w:t>
            </w:r>
          </w:p>
        </w:tc>
        <w:tc>
          <w:tcPr>
            <w:tcW w:w="7513" w:type="dxa"/>
          </w:tcPr>
          <w:p w:rsidRPr="00CC7E14" w:rsidR="00BA63BF" w:rsidP="001B0E05" w:rsidRDefault="00BA63BF" w14:paraId="48F0B0C4" w14:textId="77777777">
            <w:pPr>
              <w:numPr>
                <w:ilvl w:val="0"/>
                <w:numId w:val="40"/>
              </w:numPr>
              <w:rPr>
                <w:sz w:val="16"/>
                <w:szCs w:val="16"/>
              </w:rPr>
            </w:pPr>
            <w:r w:rsidRPr="00CC7E14">
              <w:rPr>
                <w:sz w:val="16"/>
                <w:szCs w:val="16"/>
              </w:rPr>
              <w:t>Aziz K, Lee HC, Escobedo MB, Hoover AV, Kamath-Rayne BD, Kapadia VS, Magid DJ, Niermeyer S, Schmölzer GM, Szyld E, Weiner GM. Part 5: neonatal resuscitation: 2020 American heart association guidelines for cardiopulmonary resuscitation and emergency cardiovascular care. Circulation. 2020 Oct 20;142(16_Suppl_2):S524-50.</w:t>
            </w:r>
          </w:p>
          <w:p w:rsidRPr="00CC7E14" w:rsidR="00BA63BF" w:rsidP="001B0E05" w:rsidRDefault="00BA63BF" w14:paraId="54BA243F" w14:textId="77777777">
            <w:pPr>
              <w:numPr>
                <w:ilvl w:val="0"/>
                <w:numId w:val="40"/>
              </w:numPr>
              <w:rPr>
                <w:sz w:val="16"/>
                <w:szCs w:val="16"/>
              </w:rPr>
            </w:pPr>
            <w:r w:rsidRPr="00CC7E14">
              <w:rPr>
                <w:sz w:val="16"/>
                <w:szCs w:val="16"/>
              </w:rPr>
              <w:t>Beveridge CJE, Wilkinson AR. Sodium bicarbonate infusion during resuscitation of infants at birth. Cochrane Database of Systematic Reviews 2006, Issue 1. Art. No.: CD004864. DOI: 10.1002/14651858.CD004864.pub2.</w:t>
            </w:r>
          </w:p>
          <w:p w:rsidRPr="00CC7E14" w:rsidR="00BA63BF" w:rsidP="001B0E05" w:rsidRDefault="00BA63BF" w14:paraId="040D64F3" w14:textId="77777777">
            <w:pPr>
              <w:numPr>
                <w:ilvl w:val="0"/>
                <w:numId w:val="40"/>
              </w:numPr>
              <w:rPr>
                <w:sz w:val="16"/>
                <w:szCs w:val="16"/>
              </w:rPr>
            </w:pPr>
            <w:r w:rsidRPr="00CC7E14">
              <w:rPr>
                <w:sz w:val="16"/>
                <w:szCs w:val="16"/>
              </w:rPr>
              <w:t>Lawn CJ, Weir FJ, McGuire W. Base administration or fluid bolus for preventing morbidity and mortality in preterm infants with metabolic acidosis. Cochrane Database of Systematic Reviews 2005, Issue 2. Art. No.: CD003215. DOI: 10.1002/14651858.CD003215.pub2.</w:t>
            </w:r>
          </w:p>
          <w:p w:rsidRPr="00CC7E14" w:rsidR="00BA63BF" w:rsidP="001B0E05" w:rsidRDefault="00BA63BF" w14:paraId="10E66C83" w14:textId="77777777">
            <w:pPr>
              <w:numPr>
                <w:ilvl w:val="0"/>
                <w:numId w:val="40"/>
              </w:numPr>
              <w:rPr>
                <w:sz w:val="16"/>
                <w:szCs w:val="16"/>
              </w:rPr>
            </w:pPr>
            <w:r w:rsidRPr="00CC7E14">
              <w:rPr>
                <w:sz w:val="16"/>
                <w:szCs w:val="16"/>
              </w:rPr>
              <w:t>Kecskes Z, Davies MW. Rapid correction of early metabolic acidaemia in comparison with placebo, no intervention or slow correction in LBW infants. Cochrane Database of Systematic Reviews 2002, Issue 1. Art. No.: CD002976. DOI: 10.1002/14651858.CD002976.</w:t>
            </w:r>
          </w:p>
          <w:p w:rsidRPr="00CC7E14" w:rsidR="00BA63BF" w:rsidP="001B0E05" w:rsidRDefault="00BA63BF" w14:paraId="72DD93D6" w14:textId="77777777">
            <w:pPr>
              <w:numPr>
                <w:ilvl w:val="0"/>
                <w:numId w:val="40"/>
              </w:numPr>
              <w:rPr>
                <w:sz w:val="16"/>
                <w:szCs w:val="16"/>
              </w:rPr>
            </w:pPr>
            <w:r w:rsidRPr="00CC7E14">
              <w:rPr>
                <w:sz w:val="16"/>
                <w:szCs w:val="16"/>
              </w:rPr>
              <w:t xml:space="preserve">Roderick PJ, Willis NS, Blakeley S, Jones C, Tomson C. Correction of chronic metabolic acidosis for chronic kidney disease patients. Cochrane Database of Systematic Reviews 2007, Issue 1. Art. No.: CD001890. DOI: 10.1002/14651858.CD001890.pub3. </w:t>
            </w:r>
          </w:p>
          <w:p w:rsidRPr="00CC7E14" w:rsidR="00BA63BF" w:rsidP="001B0E05" w:rsidRDefault="00BA63BF" w14:paraId="397D6610" w14:textId="77777777">
            <w:pPr>
              <w:numPr>
                <w:ilvl w:val="0"/>
                <w:numId w:val="40"/>
              </w:numPr>
              <w:rPr>
                <w:sz w:val="16"/>
                <w:szCs w:val="16"/>
              </w:rPr>
            </w:pPr>
            <w:r w:rsidRPr="00CC7E14">
              <w:rPr>
                <w:sz w:val="16"/>
                <w:szCs w:val="16"/>
              </w:rPr>
              <w:t>Berg CS, Barnette AR, Myers BJ, Shimony MK, Barton AW, Inder TE. Sodium bicarbonate administration and outcome in preterm infants. J Pediatr 2010;157(4):684-7.</w:t>
            </w:r>
          </w:p>
          <w:p w:rsidRPr="00CC7E14" w:rsidR="00BA63BF" w:rsidP="001B0E05" w:rsidRDefault="00BA63BF" w14:paraId="1AC14E41" w14:textId="77777777">
            <w:pPr>
              <w:numPr>
                <w:ilvl w:val="0"/>
                <w:numId w:val="40"/>
              </w:numPr>
              <w:rPr>
                <w:sz w:val="16"/>
                <w:szCs w:val="16"/>
              </w:rPr>
            </w:pPr>
            <w:r w:rsidRPr="00CC7E14">
              <w:rPr>
                <w:sz w:val="16"/>
                <w:szCs w:val="16"/>
              </w:rPr>
              <w:t xml:space="preserve">Barnette AR, Myers BJ, Berg CS, Inder TE. Sodium intake and intraventricular hemorrhage in the preterm infant.   Ann Neurol 2010;67(6):817-23. </w:t>
            </w:r>
          </w:p>
          <w:p w:rsidRPr="00CC7E14" w:rsidR="00BA63BF" w:rsidP="001B0E05" w:rsidRDefault="00BA63BF" w14:paraId="04E3D04F" w14:textId="77777777">
            <w:pPr>
              <w:numPr>
                <w:ilvl w:val="0"/>
                <w:numId w:val="40"/>
              </w:numPr>
              <w:rPr>
                <w:sz w:val="16"/>
                <w:szCs w:val="16"/>
              </w:rPr>
            </w:pPr>
            <w:r w:rsidRPr="00CC7E14">
              <w:rPr>
                <w:sz w:val="16"/>
                <w:szCs w:val="16"/>
              </w:rPr>
              <w:t xml:space="preserve">van Alfen-van der Velden AA, Hopman JC, Klaessens JH, Feuth T, Sengers RC, Liem KD. Effects of rapid versus slow infusion of sodium bicarbonate on cerebral hemodynamics and oxygenation in preterm infants. Biol Neonate 2006;90(2):122-7. </w:t>
            </w:r>
          </w:p>
          <w:p w:rsidRPr="00CC7E14" w:rsidR="00BA63BF" w:rsidP="001B0E05" w:rsidRDefault="00BA63BF" w14:paraId="32BB1F1F" w14:textId="77777777">
            <w:pPr>
              <w:numPr>
                <w:ilvl w:val="0"/>
                <w:numId w:val="40"/>
              </w:numPr>
              <w:rPr>
                <w:sz w:val="16"/>
                <w:szCs w:val="16"/>
              </w:rPr>
            </w:pPr>
            <w:r w:rsidRPr="00CC7E14">
              <w:rPr>
                <w:sz w:val="16"/>
                <w:szCs w:val="16"/>
              </w:rPr>
              <w:t>Aschner, Judy L. and Poland, Ronald L. Sodium Bicarbonate: Basically Useless Therapy. Pediatrics 2008;122;831-835.</w:t>
            </w:r>
          </w:p>
          <w:p w:rsidRPr="00CC7E14" w:rsidR="00BA63BF" w:rsidP="001B0E05" w:rsidRDefault="00BA63BF" w14:paraId="4FA5B97C" w14:textId="77777777">
            <w:pPr>
              <w:numPr>
                <w:ilvl w:val="0"/>
                <w:numId w:val="40"/>
              </w:numPr>
              <w:rPr>
                <w:sz w:val="16"/>
                <w:szCs w:val="16"/>
              </w:rPr>
            </w:pPr>
            <w:r w:rsidRPr="00CC7E14">
              <w:rPr>
                <w:sz w:val="16"/>
                <w:szCs w:val="16"/>
              </w:rPr>
              <w:lastRenderedPageBreak/>
              <w:t>Wyckoff, Myra H. and Perlman, Jeffrey M. Use of High-Dose Epinephrine and Sodium Bicarbonate During Neonatal Resuscitation: Is There Proven Benefit? Clin Perinatol 33 (2006) 141– 151.</w:t>
            </w:r>
          </w:p>
          <w:p w:rsidRPr="00CC7E14" w:rsidR="00BA63BF" w:rsidP="001B0E05" w:rsidRDefault="00BA63BF" w14:paraId="23C99FFE" w14:textId="77777777">
            <w:pPr>
              <w:numPr>
                <w:ilvl w:val="0"/>
                <w:numId w:val="40"/>
              </w:numPr>
              <w:rPr>
                <w:sz w:val="16"/>
                <w:szCs w:val="16"/>
              </w:rPr>
            </w:pPr>
            <w:r w:rsidRPr="00CC7E14">
              <w:rPr>
                <w:sz w:val="16"/>
                <w:szCs w:val="16"/>
              </w:rPr>
              <w:t>Ammari, Amer N. and Schulze, Karl F. Uses and abuses of sodium bicarbonate in the neonatal intensive care unit. Current Opinion in Pediatrics 2002, 14:151–156.</w:t>
            </w:r>
          </w:p>
          <w:p w:rsidRPr="00CC7E14" w:rsidR="00BA63BF" w:rsidP="001B0E05" w:rsidRDefault="00BA63BF" w14:paraId="090B93DE" w14:textId="77777777">
            <w:pPr>
              <w:numPr>
                <w:ilvl w:val="0"/>
                <w:numId w:val="40"/>
              </w:numPr>
              <w:rPr>
                <w:sz w:val="16"/>
                <w:szCs w:val="16"/>
              </w:rPr>
            </w:pPr>
            <w:r w:rsidRPr="00CC7E14">
              <w:rPr>
                <w:sz w:val="16"/>
                <w:szCs w:val="16"/>
              </w:rPr>
              <w:t>Gehlbach BK, Schmidt GA: Bench to bedside review: Treating acid-base abnormalities in the intensive care unit. Crit Care 2004; 8:259.</w:t>
            </w:r>
          </w:p>
          <w:p w:rsidRPr="00CC7E14" w:rsidR="00BA63BF" w:rsidP="001B0E05" w:rsidRDefault="00BA63BF" w14:paraId="1C344ECB" w14:textId="77777777">
            <w:pPr>
              <w:numPr>
                <w:ilvl w:val="0"/>
                <w:numId w:val="40"/>
              </w:numPr>
              <w:rPr>
                <w:sz w:val="16"/>
                <w:szCs w:val="16"/>
              </w:rPr>
            </w:pPr>
            <w:r w:rsidRPr="00CC7E14">
              <w:rPr>
                <w:sz w:val="16"/>
                <w:szCs w:val="16"/>
              </w:rPr>
              <w:t>Fanconi S, Burger R, Ghelfi D, Uehlinger J, Arbenz U. Hemodynamic effects of sodium bicarbonate in critically ill neonates. Intensive Care Med. 1993;19(2):65-9.</w:t>
            </w:r>
          </w:p>
          <w:p w:rsidRPr="00CC7E14" w:rsidR="00BA63BF" w:rsidP="001B0E05" w:rsidRDefault="00BA63BF" w14:paraId="1DBF7C7E" w14:textId="77777777">
            <w:pPr>
              <w:pStyle w:val="ListParagraph"/>
              <w:numPr>
                <w:ilvl w:val="0"/>
                <w:numId w:val="40"/>
              </w:numPr>
              <w:rPr>
                <w:sz w:val="16"/>
                <w:szCs w:val="16"/>
              </w:rPr>
            </w:pPr>
            <w:r w:rsidRPr="00CC7E14">
              <w:rPr>
                <w:sz w:val="16"/>
                <w:szCs w:val="16"/>
              </w:rPr>
              <w:t>Micromedex online. Accessed online on 14 May 2021.</w:t>
            </w:r>
          </w:p>
          <w:p w:rsidRPr="00CC7E14" w:rsidR="00BA63BF" w:rsidP="001B0E05" w:rsidRDefault="00BA63BF" w14:paraId="5617B0D5" w14:textId="77777777">
            <w:pPr>
              <w:pStyle w:val="ListParagraph"/>
              <w:numPr>
                <w:ilvl w:val="0"/>
                <w:numId w:val="40"/>
              </w:numPr>
              <w:rPr>
                <w:sz w:val="16"/>
                <w:szCs w:val="16"/>
              </w:rPr>
            </w:pPr>
            <w:r w:rsidRPr="00CC7E14">
              <w:rPr>
                <w:sz w:val="16"/>
                <w:szCs w:val="16"/>
              </w:rPr>
              <w:t>Australian Injectable drugs handbook. Accessed online on 14 May 2021.</w:t>
            </w:r>
          </w:p>
        </w:tc>
      </w:tr>
    </w:tbl>
    <w:p w:rsidR="00115F48" w:rsidP="006F0321" w:rsidRDefault="00115F48" w14:paraId="2CA7BAEB" w14:textId="094682C5"/>
    <w:p w:rsidRPr="00E25790" w:rsidR="00BA63BF" w:rsidP="006F0321" w:rsidRDefault="00BA63BF" w14:paraId="7113736A"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137D38" w:rsidR="0020431B" w:rsidTr="00943338" w14:paraId="221C4C77" w14:textId="77777777">
        <w:tc>
          <w:tcPr>
            <w:tcW w:w="4535" w:type="dxa"/>
            <w:vAlign w:val="center"/>
          </w:tcPr>
          <w:p w:rsidRPr="00137D38" w:rsidR="00DA0C90" w:rsidP="00943338" w:rsidRDefault="00DA0C90" w14:paraId="39BA8A7C" w14:textId="77777777">
            <w:r w:rsidRPr="00137D38">
              <w:t xml:space="preserve">Original version Date: </w:t>
            </w:r>
            <w:r w:rsidRPr="008E604B">
              <w:t>24/08/2016</w:t>
            </w:r>
          </w:p>
        </w:tc>
        <w:tc>
          <w:tcPr>
            <w:tcW w:w="4535" w:type="dxa"/>
            <w:vAlign w:val="center"/>
          </w:tcPr>
          <w:p w:rsidRPr="00137D38" w:rsidR="00DA0C90" w:rsidP="00943338" w:rsidRDefault="00DA0C90" w14:paraId="445F9678" w14:textId="77777777">
            <w:r w:rsidRPr="00137D38">
              <w:t>Author: NMF Consensus Group</w:t>
            </w:r>
          </w:p>
        </w:tc>
      </w:tr>
      <w:tr w:rsidRPr="00137D38" w:rsidR="0020431B" w:rsidTr="00943338" w14:paraId="67AD71E9" w14:textId="77777777">
        <w:tc>
          <w:tcPr>
            <w:tcW w:w="4535" w:type="dxa"/>
            <w:vAlign w:val="center"/>
          </w:tcPr>
          <w:p w:rsidRPr="00137D38" w:rsidR="00DA0C90" w:rsidP="00943338" w:rsidRDefault="00DA0C90" w14:paraId="32AE4706" w14:textId="06B267AD">
            <w:pPr>
              <w:rPr>
                <w:bCs/>
              </w:rPr>
            </w:pPr>
            <w:r w:rsidRPr="00137D38">
              <w:t xml:space="preserve">Current Version number:  </w:t>
            </w:r>
            <w:r w:rsidR="00CC7E14">
              <w:t>2</w:t>
            </w:r>
          </w:p>
        </w:tc>
        <w:tc>
          <w:tcPr>
            <w:tcW w:w="4535" w:type="dxa"/>
            <w:vAlign w:val="center"/>
          </w:tcPr>
          <w:p w:rsidRPr="00137D38" w:rsidR="00DA0C90" w:rsidP="00943338" w:rsidRDefault="00DA0C90" w14:paraId="62E78A31" w14:textId="16D311FE">
            <w:r w:rsidRPr="00137D38">
              <w:t xml:space="preserve">Version Date:  </w:t>
            </w:r>
            <w:r w:rsidR="00CC7E14">
              <w:t>18-6-2021</w:t>
            </w:r>
          </w:p>
        </w:tc>
      </w:tr>
      <w:tr w:rsidRPr="00137D38" w:rsidR="0020431B" w:rsidTr="00943338" w14:paraId="1A828FB9" w14:textId="77777777">
        <w:tc>
          <w:tcPr>
            <w:tcW w:w="4535" w:type="dxa"/>
            <w:vAlign w:val="center"/>
          </w:tcPr>
          <w:p w:rsidRPr="00137D38" w:rsidR="00DA0C90" w:rsidP="00943338" w:rsidRDefault="00DA0C90" w14:paraId="03F7D802" w14:textId="77777777">
            <w:r w:rsidRPr="00137D38">
              <w:t xml:space="preserve">Risk Rating: </w:t>
            </w:r>
            <w:r w:rsidRPr="008E604B">
              <w:t>Medium</w:t>
            </w:r>
          </w:p>
        </w:tc>
        <w:tc>
          <w:tcPr>
            <w:tcW w:w="4535" w:type="dxa"/>
            <w:vAlign w:val="center"/>
          </w:tcPr>
          <w:p w:rsidRPr="00137D38" w:rsidR="00DA0C90" w:rsidP="00943338" w:rsidRDefault="00DA0C90" w14:paraId="56266877" w14:textId="3F49B388">
            <w:r w:rsidRPr="00137D38">
              <w:t xml:space="preserve">Due for Review:  </w:t>
            </w:r>
            <w:r w:rsidR="00F36CC3">
              <w:t>18-6-2026</w:t>
            </w:r>
          </w:p>
        </w:tc>
      </w:tr>
      <w:tr w:rsidRPr="00137D38" w:rsidR="0020431B" w:rsidTr="00943338" w14:paraId="00A8B1AB" w14:textId="77777777">
        <w:trPr>
          <w:trHeight w:val="344"/>
        </w:trPr>
        <w:tc>
          <w:tcPr>
            <w:tcW w:w="4535" w:type="dxa"/>
            <w:tcBorders>
              <w:bottom w:val="single" w:color="auto" w:sz="4" w:space="0"/>
            </w:tcBorders>
            <w:vAlign w:val="center"/>
          </w:tcPr>
          <w:p w:rsidRPr="00137D38" w:rsidR="00DA0C90" w:rsidP="00943338" w:rsidRDefault="00DA0C90" w14:paraId="1DD074AA" w14:textId="77777777">
            <w:r w:rsidRPr="00137D38">
              <w:t xml:space="preserve">Approval by: </w:t>
            </w:r>
            <w:r>
              <w:t>DTC</w:t>
            </w:r>
          </w:p>
        </w:tc>
        <w:tc>
          <w:tcPr>
            <w:tcW w:w="4535" w:type="dxa"/>
            <w:tcBorders>
              <w:bottom w:val="single" w:color="auto" w:sz="4" w:space="0"/>
            </w:tcBorders>
            <w:vAlign w:val="center"/>
          </w:tcPr>
          <w:p w:rsidRPr="00137D38" w:rsidR="00DA0C90" w:rsidP="00943338" w:rsidRDefault="00DA0C90" w14:paraId="61186A08" w14:textId="77777777">
            <w:r w:rsidRPr="00137D38">
              <w:t>Approval Date:</w:t>
            </w:r>
            <w:r>
              <w:t xml:space="preserve"> April 2020</w:t>
            </w:r>
          </w:p>
        </w:tc>
      </w:tr>
    </w:tbl>
    <w:p w:rsidRPr="00E25790" w:rsidR="00115F48" w:rsidP="006F0321" w:rsidRDefault="00115F48" w14:paraId="62B48ACA" w14:textId="77777777"/>
    <w:p w:rsidRPr="00E25790" w:rsidR="00115F48" w:rsidP="006F0321" w:rsidRDefault="00115F48" w14:paraId="433D64E4"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7B48BA" w:rsidTr="00943338" w14:paraId="2D3F87CC" w14:textId="77777777">
        <w:trPr>
          <w:cantSplit/>
          <w:trHeight w:val="806"/>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A0C90" w:rsidR="007B48BA" w:rsidP="009469DB" w:rsidRDefault="007B48BA" w14:paraId="25544749" w14:textId="7326A0DD">
            <w:pPr>
              <w:pStyle w:val="Heading1"/>
            </w:pPr>
            <w:bookmarkStart w:name="_Toc495481170" w:id="556"/>
            <w:bookmarkStart w:name="_Toc495481296" w:id="557"/>
            <w:bookmarkStart w:name="_Toc495481421" w:id="558"/>
            <w:bookmarkStart w:name="_Toc495501602" w:id="559"/>
            <w:bookmarkStart w:name="_Toc38106925" w:id="560"/>
            <w:bookmarkStart w:name="_Toc75340044" w:id="561"/>
            <w:r w:rsidRPr="00DA0C90">
              <w:lastRenderedPageBreak/>
              <w:t>Sodium Chloride 2</w:t>
            </w:r>
            <w:r w:rsidR="004F5CEB">
              <w:t>3.4</w:t>
            </w:r>
            <w:r w:rsidRPr="00DA0C90">
              <w:t>%</w:t>
            </w:r>
            <w:bookmarkEnd w:id="556"/>
            <w:bookmarkEnd w:id="557"/>
            <w:bookmarkEnd w:id="558"/>
            <w:bookmarkEnd w:id="559"/>
            <w:r w:rsidRPr="00DA0C90">
              <w:t xml:space="preserve"> (NaCl)</w:t>
            </w:r>
            <w:bookmarkEnd w:id="560"/>
            <w:bookmarkEnd w:id="561"/>
            <w:r w:rsidRPr="00DA0C90">
              <w:fldChar w:fldCharType="begin"/>
            </w:r>
            <w:r w:rsidRPr="00DA0C90">
              <w:instrText>tc "Sodium_Chloride" \l 0</w:instrText>
            </w:r>
            <w:r w:rsidRPr="00DA0C90">
              <w:fldChar w:fldCharType="end"/>
            </w:r>
          </w:p>
        </w:tc>
      </w:tr>
      <w:tr w:rsidRPr="00E25790" w:rsidR="007B48BA" w:rsidTr="00943338" w14:paraId="7AFA51B1"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7B48BA" w:rsidP="006F0321" w:rsidRDefault="007B48BA" w14:paraId="79497380" w14:textId="321EDAEE">
            <w:r w:rsidRPr="00E25790">
              <w:t xml:space="preserve">Revision Date : </w:t>
            </w:r>
            <w:r w:rsidR="009832D1">
              <w:t>18-2-2021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7B48BA" w:rsidP="006F0321" w:rsidRDefault="007B48BA" w14:paraId="11E0DFE7" w14:textId="41B54D4A">
            <w:r w:rsidRPr="00E25790">
              <w:t xml:space="preserve">Approved: TC, </w:t>
            </w:r>
            <w:r w:rsidR="00E759C6">
              <w:t>KOH</w:t>
            </w:r>
          </w:p>
        </w:tc>
      </w:tr>
    </w:tbl>
    <w:p w:rsidR="007B48BA" w:rsidP="006F0321" w:rsidRDefault="007B48BA" w14:paraId="701CFD04" w14:textId="72CBC7C8"/>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43"/>
        <w:gridCol w:w="7542"/>
      </w:tblGrid>
      <w:tr w:rsidRPr="003A7895" w:rsidR="00192AFA" w:rsidTr="00D673B4" w14:paraId="688CF263" w14:textId="77777777">
        <w:trPr>
          <w:trHeight w:val="70"/>
        </w:trPr>
        <w:tc>
          <w:tcPr>
            <w:tcW w:w="1843" w:type="dxa"/>
          </w:tcPr>
          <w:p w:rsidRPr="00B53E9B" w:rsidR="00192AFA" w:rsidP="00131848" w:rsidRDefault="00192AFA" w14:paraId="685BB70B" w14:textId="77777777">
            <w:pPr>
              <w:pStyle w:val="BodyText"/>
              <w:tabs>
                <w:tab w:val="center" w:pos="1476"/>
              </w:tabs>
              <w:rPr>
                <w:rFonts w:cs="Arial"/>
                <w:b/>
                <w:sz w:val="20"/>
              </w:rPr>
            </w:pPr>
            <w:r w:rsidRPr="00B53E9B">
              <w:rPr>
                <w:rFonts w:cs="Arial"/>
                <w:b/>
                <w:sz w:val="20"/>
              </w:rPr>
              <w:t>Alert</w:t>
            </w:r>
          </w:p>
        </w:tc>
        <w:tc>
          <w:tcPr>
            <w:tcW w:w="7542" w:type="dxa"/>
          </w:tcPr>
          <w:p w:rsidRPr="00BE68F4" w:rsidR="00192AFA" w:rsidP="00131848" w:rsidRDefault="00192AFA" w14:paraId="218A0627" w14:textId="77777777">
            <w:pPr>
              <w:pStyle w:val="BodyText"/>
              <w:rPr>
                <w:rFonts w:cs="Calibri"/>
                <w:sz w:val="20"/>
              </w:rPr>
            </w:pPr>
            <w:r>
              <w:rPr>
                <w:rFonts w:cs="Calibri"/>
                <w:sz w:val="20"/>
              </w:rPr>
              <w:t>Osmolarity</w:t>
            </w:r>
            <w:r w:rsidRPr="00BE68F4">
              <w:rPr>
                <w:rFonts w:cs="Calibri"/>
                <w:sz w:val="20"/>
              </w:rPr>
              <w:t>: Sodium chloride 23.4%: 8010 mOsm/L</w:t>
            </w:r>
            <w:r>
              <w:rPr>
                <w:rFonts w:cs="Calibri"/>
                <w:sz w:val="20"/>
                <w:vertAlign w:val="superscript"/>
              </w:rPr>
              <w:t>1</w:t>
            </w:r>
            <w:r>
              <w:rPr>
                <w:rFonts w:cs="Calibri"/>
                <w:sz w:val="20"/>
              </w:rPr>
              <w:t>.</w:t>
            </w:r>
            <w:r w:rsidRPr="00BE68F4">
              <w:rPr>
                <w:rFonts w:cs="Calibri"/>
                <w:sz w:val="20"/>
              </w:rPr>
              <w:t xml:space="preserve"> High risk of extravasation if administered undiluted</w:t>
            </w:r>
            <w:r>
              <w:rPr>
                <w:rFonts w:cs="Calibri"/>
                <w:sz w:val="20"/>
              </w:rPr>
              <w:t>.</w:t>
            </w:r>
          </w:p>
          <w:p w:rsidRPr="00BE68F4" w:rsidR="00192AFA" w:rsidP="00131848" w:rsidRDefault="00192AFA" w14:paraId="471AC1E3" w14:textId="77777777">
            <w:pPr>
              <w:pStyle w:val="BodyText"/>
              <w:rPr>
                <w:rFonts w:cs="Calibri"/>
                <w:sz w:val="20"/>
              </w:rPr>
            </w:pPr>
            <w:r w:rsidRPr="00BE68F4">
              <w:rPr>
                <w:rFonts w:cs="Calibri"/>
                <w:sz w:val="20"/>
              </w:rPr>
              <w:t>Sodium supplementation is not always appropriate and fluid restriction may be appropriate</w:t>
            </w:r>
            <w:r>
              <w:rPr>
                <w:rFonts w:cs="Calibri"/>
                <w:sz w:val="20"/>
              </w:rPr>
              <w:t xml:space="preserve"> </w:t>
            </w:r>
            <w:r w:rsidRPr="00BE68F4">
              <w:rPr>
                <w:rFonts w:cs="Calibri"/>
                <w:sz w:val="20"/>
              </w:rPr>
              <w:t xml:space="preserve">in the management of </w:t>
            </w:r>
            <w:r>
              <w:rPr>
                <w:rFonts w:cs="Calibri"/>
                <w:sz w:val="20"/>
              </w:rPr>
              <w:t>hyponatraemia</w:t>
            </w:r>
            <w:r w:rsidRPr="00BE68F4">
              <w:rPr>
                <w:rFonts w:cs="Calibri"/>
                <w:sz w:val="20"/>
              </w:rPr>
              <w:t xml:space="preserve">. Treatment should always be tailored to the cause. </w:t>
            </w:r>
          </w:p>
        </w:tc>
      </w:tr>
      <w:tr w:rsidRPr="003A7895" w:rsidR="00192AFA" w:rsidTr="00D673B4" w14:paraId="4613CBFF" w14:textId="77777777">
        <w:trPr>
          <w:trHeight w:val="72"/>
        </w:trPr>
        <w:tc>
          <w:tcPr>
            <w:tcW w:w="1843" w:type="dxa"/>
          </w:tcPr>
          <w:p w:rsidRPr="00B53E9B" w:rsidR="00192AFA" w:rsidP="00131848" w:rsidRDefault="00192AFA" w14:paraId="023BA067" w14:textId="77777777">
            <w:pPr>
              <w:pStyle w:val="BodyText"/>
              <w:rPr>
                <w:rFonts w:cs="Arial"/>
                <w:sz w:val="20"/>
              </w:rPr>
            </w:pPr>
            <w:r w:rsidRPr="00B53E9B">
              <w:rPr>
                <w:rFonts w:cs="Arial"/>
                <w:b/>
                <w:bCs/>
                <w:sz w:val="20"/>
              </w:rPr>
              <w:t>Indication</w:t>
            </w:r>
          </w:p>
        </w:tc>
        <w:tc>
          <w:tcPr>
            <w:tcW w:w="7542" w:type="dxa"/>
          </w:tcPr>
          <w:p w:rsidRPr="006B48A4" w:rsidR="00192AFA" w:rsidP="00131848" w:rsidRDefault="00192AFA" w14:paraId="44853A21" w14:textId="77777777">
            <w:pPr>
              <w:rPr>
                <w:rFonts w:cs="Calibri"/>
                <w:sz w:val="20"/>
              </w:rPr>
            </w:pPr>
            <w:r>
              <w:rPr>
                <w:rFonts w:cs="Calibri"/>
                <w:sz w:val="20"/>
              </w:rPr>
              <w:t>Treatment of hyponatraemia.</w:t>
            </w:r>
          </w:p>
        </w:tc>
      </w:tr>
      <w:tr w:rsidRPr="003A7895" w:rsidR="00192AFA" w:rsidTr="00D673B4" w14:paraId="2D189CEB" w14:textId="77777777">
        <w:trPr>
          <w:trHeight w:val="70"/>
        </w:trPr>
        <w:tc>
          <w:tcPr>
            <w:tcW w:w="1843" w:type="dxa"/>
          </w:tcPr>
          <w:p w:rsidRPr="00B53E9B" w:rsidR="00192AFA" w:rsidP="00131848" w:rsidRDefault="00192AFA" w14:paraId="0085D579" w14:textId="77777777">
            <w:pPr>
              <w:pStyle w:val="BodyText"/>
              <w:rPr>
                <w:rFonts w:cs="Arial"/>
                <w:b/>
                <w:bCs/>
                <w:sz w:val="20"/>
              </w:rPr>
            </w:pPr>
            <w:r w:rsidRPr="00B53E9B">
              <w:rPr>
                <w:rFonts w:cs="Arial"/>
                <w:b/>
                <w:bCs/>
                <w:sz w:val="20"/>
              </w:rPr>
              <w:t>Action</w:t>
            </w:r>
          </w:p>
        </w:tc>
        <w:tc>
          <w:tcPr>
            <w:tcW w:w="7542" w:type="dxa"/>
          </w:tcPr>
          <w:p w:rsidRPr="00344000" w:rsidR="00192AFA" w:rsidP="00131848" w:rsidRDefault="00192AFA" w14:paraId="295B42A6" w14:textId="77777777">
            <w:pPr>
              <w:rPr>
                <w:rFonts w:cs="Calibri"/>
                <w:sz w:val="20"/>
              </w:rPr>
            </w:pPr>
          </w:p>
        </w:tc>
      </w:tr>
      <w:tr w:rsidRPr="003A7895" w:rsidR="00192AFA" w:rsidTr="00D673B4" w14:paraId="5BB407AE" w14:textId="77777777">
        <w:trPr>
          <w:trHeight w:val="266"/>
        </w:trPr>
        <w:tc>
          <w:tcPr>
            <w:tcW w:w="1843" w:type="dxa"/>
          </w:tcPr>
          <w:p w:rsidRPr="00B53E9B" w:rsidR="00192AFA" w:rsidP="00131848" w:rsidRDefault="00192AFA" w14:paraId="2448B4B5" w14:textId="77777777">
            <w:pPr>
              <w:pStyle w:val="BodyText"/>
              <w:rPr>
                <w:rFonts w:cs="Arial"/>
                <w:sz w:val="20"/>
              </w:rPr>
            </w:pPr>
            <w:r>
              <w:rPr>
                <w:rFonts w:cs="Arial"/>
                <w:b/>
                <w:bCs/>
                <w:sz w:val="20"/>
              </w:rPr>
              <w:t>Drug t</w:t>
            </w:r>
            <w:r w:rsidRPr="00B53E9B">
              <w:rPr>
                <w:rFonts w:cs="Arial"/>
                <w:b/>
                <w:bCs/>
                <w:sz w:val="20"/>
              </w:rPr>
              <w:t>ype</w:t>
            </w:r>
          </w:p>
        </w:tc>
        <w:tc>
          <w:tcPr>
            <w:tcW w:w="7542" w:type="dxa"/>
          </w:tcPr>
          <w:p w:rsidRPr="00BE68F4" w:rsidR="00192AFA" w:rsidP="00131848" w:rsidRDefault="00192AFA" w14:paraId="144950F8" w14:textId="77777777">
            <w:pPr>
              <w:pStyle w:val="BodyText"/>
              <w:rPr>
                <w:rFonts w:cs="Calibri"/>
                <w:sz w:val="20"/>
              </w:rPr>
            </w:pPr>
            <w:r w:rsidRPr="00BE68F4">
              <w:rPr>
                <w:rFonts w:cs="Calibri"/>
                <w:sz w:val="20"/>
              </w:rPr>
              <w:t xml:space="preserve">Sodium chloride 23.4% contains 234 g/L sodium chloride, equivalent to </w:t>
            </w:r>
            <w:r w:rsidRPr="0054113A">
              <w:rPr>
                <w:rFonts w:cs="Calibri"/>
                <w:b/>
                <w:sz w:val="20"/>
              </w:rPr>
              <w:t>4 mmol/mL</w:t>
            </w:r>
            <w:r w:rsidRPr="00BE68F4">
              <w:rPr>
                <w:rFonts w:cs="Calibri"/>
                <w:sz w:val="20"/>
              </w:rPr>
              <w:t xml:space="preserve"> of sodium.</w:t>
            </w:r>
          </w:p>
        </w:tc>
      </w:tr>
      <w:tr w:rsidRPr="003A7895" w:rsidR="00192AFA" w:rsidTr="00D673B4" w14:paraId="17058E0E" w14:textId="77777777">
        <w:trPr>
          <w:trHeight w:val="114"/>
        </w:trPr>
        <w:tc>
          <w:tcPr>
            <w:tcW w:w="1843" w:type="dxa"/>
          </w:tcPr>
          <w:p w:rsidRPr="00B53E9B" w:rsidR="00192AFA" w:rsidP="00131848" w:rsidRDefault="00192AFA" w14:paraId="24978EA5"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42" w:type="dxa"/>
          </w:tcPr>
          <w:p w:rsidRPr="00BE68F4" w:rsidR="00192AFA" w:rsidP="00131848" w:rsidRDefault="00192AFA" w14:paraId="65480570" w14:textId="77777777">
            <w:pPr>
              <w:pStyle w:val="BodyText"/>
              <w:rPr>
                <w:rFonts w:cs="Calibri"/>
                <w:sz w:val="20"/>
              </w:rPr>
            </w:pPr>
            <w:r>
              <w:rPr>
                <w:rFonts w:cs="Calibri"/>
                <w:sz w:val="20"/>
              </w:rPr>
              <w:t>S</w:t>
            </w:r>
            <w:r w:rsidRPr="00BE68F4">
              <w:rPr>
                <w:rFonts w:cs="Calibri"/>
                <w:sz w:val="20"/>
              </w:rPr>
              <w:t>odium chloride 23.4%</w:t>
            </w:r>
            <w:r>
              <w:rPr>
                <w:rFonts w:cs="Calibri"/>
                <w:sz w:val="20"/>
              </w:rPr>
              <w:t>.</w:t>
            </w:r>
          </w:p>
        </w:tc>
      </w:tr>
      <w:tr w:rsidRPr="003A7895" w:rsidR="00192AFA" w:rsidTr="00D673B4" w14:paraId="2755DD05" w14:textId="77777777">
        <w:trPr>
          <w:trHeight w:val="70"/>
        </w:trPr>
        <w:tc>
          <w:tcPr>
            <w:tcW w:w="1843" w:type="dxa"/>
          </w:tcPr>
          <w:p w:rsidRPr="00B53E9B" w:rsidR="00192AFA" w:rsidP="00131848" w:rsidRDefault="00192AFA" w14:paraId="4B2765EF" w14:textId="77777777">
            <w:pPr>
              <w:pStyle w:val="BodyText"/>
              <w:rPr>
                <w:rFonts w:cs="Arial"/>
                <w:b/>
                <w:bCs/>
                <w:sz w:val="20"/>
              </w:rPr>
            </w:pPr>
            <w:r w:rsidRPr="00B53E9B">
              <w:rPr>
                <w:rFonts w:cs="Arial"/>
                <w:b/>
                <w:bCs/>
                <w:sz w:val="20"/>
              </w:rPr>
              <w:t xml:space="preserve">Presentation </w:t>
            </w:r>
          </w:p>
        </w:tc>
        <w:tc>
          <w:tcPr>
            <w:tcW w:w="7542" w:type="dxa"/>
          </w:tcPr>
          <w:p w:rsidRPr="00BE68F4" w:rsidR="00192AFA" w:rsidP="00131848" w:rsidRDefault="00192AFA" w14:paraId="417E5A2A" w14:textId="77777777">
            <w:pPr>
              <w:pStyle w:val="BodyText"/>
              <w:rPr>
                <w:rFonts w:cs="Calibri"/>
                <w:sz w:val="20"/>
              </w:rPr>
            </w:pPr>
            <w:r w:rsidRPr="00BE68F4">
              <w:rPr>
                <w:rFonts w:cs="Calibri"/>
                <w:sz w:val="20"/>
              </w:rPr>
              <w:t xml:space="preserve">Sodium chloride 23.4% </w:t>
            </w:r>
            <w:r>
              <w:rPr>
                <w:rFonts w:cs="Calibri"/>
                <w:sz w:val="20"/>
              </w:rPr>
              <w:t>–</w:t>
            </w:r>
            <w:r w:rsidRPr="00BE68F4">
              <w:rPr>
                <w:rFonts w:cs="Calibri"/>
                <w:sz w:val="20"/>
              </w:rPr>
              <w:t xml:space="preserve"> 10 mL vial</w:t>
            </w:r>
            <w:r>
              <w:rPr>
                <w:rFonts w:cs="Calibri"/>
                <w:sz w:val="20"/>
              </w:rPr>
              <w:t xml:space="preserve">. Can be used for both IV and oral routes. </w:t>
            </w:r>
          </w:p>
        </w:tc>
      </w:tr>
      <w:tr w:rsidRPr="000E2236" w:rsidR="00192AFA" w:rsidTr="00D673B4" w14:paraId="7CF4741F" w14:textId="77777777">
        <w:trPr>
          <w:trHeight w:val="70"/>
        </w:trPr>
        <w:tc>
          <w:tcPr>
            <w:tcW w:w="1843" w:type="dxa"/>
          </w:tcPr>
          <w:p w:rsidRPr="00B53E9B" w:rsidR="00192AFA" w:rsidP="00131848" w:rsidRDefault="00192AFA" w14:paraId="240CC18A" w14:textId="77777777">
            <w:pPr>
              <w:pStyle w:val="BodyText"/>
              <w:rPr>
                <w:rFonts w:cs="Arial"/>
                <w:b/>
                <w:bCs/>
                <w:sz w:val="20"/>
              </w:rPr>
            </w:pPr>
            <w:r>
              <w:rPr>
                <w:rFonts w:cs="Arial"/>
                <w:b/>
                <w:bCs/>
                <w:sz w:val="20"/>
              </w:rPr>
              <w:t>Dose</w:t>
            </w:r>
            <w:r w:rsidRPr="00B53E9B">
              <w:rPr>
                <w:rFonts w:cs="Arial"/>
                <w:b/>
                <w:bCs/>
                <w:sz w:val="20"/>
              </w:rPr>
              <w:t xml:space="preserve"> </w:t>
            </w:r>
          </w:p>
        </w:tc>
        <w:tc>
          <w:tcPr>
            <w:tcW w:w="7542" w:type="dxa"/>
          </w:tcPr>
          <w:p w:rsidRPr="00FC2467" w:rsidR="00192AFA" w:rsidP="00131848" w:rsidRDefault="00192AFA" w14:paraId="186991DE" w14:textId="77777777">
            <w:pPr>
              <w:pStyle w:val="BodyText"/>
              <w:rPr>
                <w:rFonts w:cs="Calibri"/>
                <w:b/>
                <w:sz w:val="20"/>
                <w:u w:val="single"/>
              </w:rPr>
            </w:pPr>
            <w:r w:rsidRPr="00FC2467">
              <w:rPr>
                <w:rFonts w:cs="Calibri"/>
                <w:b/>
                <w:sz w:val="20"/>
                <w:u w:val="single"/>
              </w:rPr>
              <w:t xml:space="preserve">Severe </w:t>
            </w:r>
            <w:r>
              <w:rPr>
                <w:rFonts w:cs="Calibri"/>
                <w:b/>
                <w:sz w:val="20"/>
                <w:u w:val="single"/>
              </w:rPr>
              <w:t>hyponatraemia</w:t>
            </w:r>
            <w:r w:rsidRPr="00FC2467">
              <w:rPr>
                <w:rFonts w:cs="Calibri"/>
                <w:b/>
                <w:sz w:val="20"/>
                <w:u w:val="single"/>
              </w:rPr>
              <w:t xml:space="preserve"> &lt;</w:t>
            </w:r>
            <w:r>
              <w:rPr>
                <w:rFonts w:cs="Calibri"/>
                <w:b/>
                <w:sz w:val="20"/>
                <w:u w:val="single"/>
              </w:rPr>
              <w:t xml:space="preserve"> </w:t>
            </w:r>
            <w:r w:rsidRPr="00FC2467">
              <w:rPr>
                <w:rFonts w:cs="Calibri"/>
                <w:b/>
                <w:sz w:val="20"/>
                <w:u w:val="single"/>
              </w:rPr>
              <w:t xml:space="preserve">120 mmol/L or symptomatic </w:t>
            </w:r>
            <w:r>
              <w:rPr>
                <w:rFonts w:cs="Calibri"/>
                <w:b/>
                <w:sz w:val="20"/>
                <w:u w:val="single"/>
              </w:rPr>
              <w:t>hyponatraemia</w:t>
            </w:r>
          </w:p>
          <w:p w:rsidRPr="00BE68F4" w:rsidR="00192AFA" w:rsidP="00131848" w:rsidRDefault="00192AFA" w14:paraId="250DB71C" w14:textId="77777777">
            <w:pPr>
              <w:pStyle w:val="BodyText"/>
              <w:rPr>
                <w:rFonts w:cs="Calibri"/>
                <w:b/>
                <w:sz w:val="20"/>
              </w:rPr>
            </w:pPr>
          </w:p>
          <w:p w:rsidRPr="00FC2467" w:rsidR="00192AFA" w:rsidP="00131848" w:rsidRDefault="00192AFA" w14:paraId="1A366F43" w14:textId="77777777">
            <w:pPr>
              <w:pStyle w:val="BodyText"/>
              <w:rPr>
                <w:rFonts w:cs="Calibri"/>
                <w:b/>
                <w:sz w:val="20"/>
              </w:rPr>
            </w:pPr>
            <w:r w:rsidRPr="00FC2467">
              <w:rPr>
                <w:rFonts w:cs="Calibri"/>
                <w:b/>
                <w:sz w:val="20"/>
              </w:rPr>
              <w:t>IV: CAUTION</w:t>
            </w:r>
            <w:r>
              <w:rPr>
                <w:rFonts w:cs="Calibri"/>
                <w:b/>
                <w:sz w:val="20"/>
              </w:rPr>
              <w:t>—</w:t>
            </w:r>
            <w:r w:rsidRPr="00FC2467">
              <w:rPr>
                <w:rFonts w:cs="Calibri"/>
                <w:b/>
                <w:sz w:val="20"/>
              </w:rPr>
              <w:t>CANNOT BE GIVEN UNDILUTED. REFER TO PREPARATION/DILUTION SECTION FOR DETAILS</w:t>
            </w:r>
          </w:p>
          <w:p w:rsidRPr="00BE68F4" w:rsidR="00192AFA" w:rsidP="00131848" w:rsidRDefault="00192AFA" w14:paraId="355718C2" w14:textId="77777777">
            <w:pPr>
              <w:pStyle w:val="BodyText"/>
              <w:rPr>
                <w:rFonts w:cs="Calibri"/>
                <w:sz w:val="20"/>
              </w:rPr>
            </w:pPr>
            <w:r>
              <w:rPr>
                <w:rFonts w:cs="Calibri"/>
                <w:sz w:val="20"/>
              </w:rPr>
              <w:t>Infuse</w:t>
            </w:r>
            <w:r w:rsidRPr="00BE68F4">
              <w:rPr>
                <w:rFonts w:cs="Calibri"/>
                <w:sz w:val="20"/>
              </w:rPr>
              <w:t xml:space="preserve"> sodium chloride at 0.4 mmol/kg/hour until symptoms abate or </w:t>
            </w:r>
            <w:r>
              <w:rPr>
                <w:rFonts w:cs="Calibri"/>
                <w:sz w:val="20"/>
              </w:rPr>
              <w:t xml:space="preserve">serum </w:t>
            </w:r>
            <w:r w:rsidRPr="00BE68F4">
              <w:rPr>
                <w:rFonts w:cs="Calibri"/>
                <w:sz w:val="20"/>
              </w:rPr>
              <w:t>sodium ≥</w:t>
            </w:r>
            <w:r>
              <w:rPr>
                <w:rFonts w:cs="Calibri"/>
                <w:sz w:val="20"/>
              </w:rPr>
              <w:t xml:space="preserve"> </w:t>
            </w:r>
            <w:r w:rsidRPr="00BE68F4">
              <w:rPr>
                <w:rFonts w:cs="Calibri"/>
                <w:sz w:val="20"/>
              </w:rPr>
              <w:t>120 mmol/</w:t>
            </w:r>
            <w:r>
              <w:rPr>
                <w:rFonts w:cs="Calibri"/>
                <w:sz w:val="20"/>
              </w:rPr>
              <w:t>L</w:t>
            </w:r>
          </w:p>
          <w:p w:rsidRPr="00BE68F4" w:rsidR="00192AFA" w:rsidP="00131848" w:rsidRDefault="00192AFA" w14:paraId="695DA5E3" w14:textId="77777777">
            <w:pPr>
              <w:pStyle w:val="BodyText"/>
              <w:rPr>
                <w:rFonts w:cs="Calibri"/>
                <w:sz w:val="20"/>
              </w:rPr>
            </w:pPr>
          </w:p>
          <w:p w:rsidRPr="00BE68F4" w:rsidR="00192AFA" w:rsidP="00131848" w:rsidRDefault="00192AFA" w14:paraId="48B1E662" w14:textId="77777777">
            <w:pPr>
              <w:pStyle w:val="BodyText"/>
              <w:rPr>
                <w:rFonts w:cs="Calibri"/>
                <w:sz w:val="20"/>
              </w:rPr>
            </w:pPr>
            <w:r w:rsidRPr="00BE68F4">
              <w:rPr>
                <w:rFonts w:cs="Calibri"/>
                <w:sz w:val="20"/>
              </w:rPr>
              <w:t xml:space="preserve">Then </w:t>
            </w:r>
            <w:r>
              <w:rPr>
                <w:rFonts w:cs="Calibri"/>
                <w:sz w:val="20"/>
              </w:rPr>
              <w:t>infuse</w:t>
            </w:r>
            <w:r w:rsidRPr="00BE68F4">
              <w:rPr>
                <w:rFonts w:cs="Calibri"/>
                <w:sz w:val="20"/>
              </w:rPr>
              <w:t xml:space="preserve"> sodium chloride at 0.15 mmol/kg/hour for 48 hours or until desired </w:t>
            </w:r>
            <w:r>
              <w:rPr>
                <w:rFonts w:cs="Calibri"/>
                <w:sz w:val="20"/>
              </w:rPr>
              <w:t xml:space="preserve">serum </w:t>
            </w:r>
            <w:r w:rsidRPr="00BE68F4">
              <w:rPr>
                <w:rFonts w:cs="Calibri"/>
                <w:sz w:val="20"/>
              </w:rPr>
              <w:t xml:space="preserve">sodium is achieved </w:t>
            </w:r>
          </w:p>
          <w:p w:rsidRPr="00BE68F4" w:rsidR="00192AFA" w:rsidP="00131848" w:rsidRDefault="00192AFA" w14:paraId="6BE00D2C" w14:textId="77777777">
            <w:pPr>
              <w:pStyle w:val="BodyText"/>
              <w:rPr>
                <w:rFonts w:cs="Calibri"/>
                <w:sz w:val="20"/>
              </w:rPr>
            </w:pPr>
          </w:p>
          <w:p w:rsidRPr="00BE68F4" w:rsidR="00192AFA" w:rsidP="00131848" w:rsidRDefault="00192AFA" w14:paraId="0D664D72" w14:textId="77777777">
            <w:pPr>
              <w:pStyle w:val="BodyText"/>
              <w:rPr>
                <w:rFonts w:cs="Calibri"/>
                <w:sz w:val="20"/>
              </w:rPr>
            </w:pPr>
            <w:r w:rsidRPr="00BE68F4">
              <w:rPr>
                <w:rFonts w:cs="Calibri"/>
                <w:sz w:val="20"/>
              </w:rPr>
              <w:t>Therapeutic goal is to increase</w:t>
            </w:r>
            <w:r>
              <w:rPr>
                <w:rFonts w:cs="Calibri"/>
                <w:sz w:val="20"/>
              </w:rPr>
              <w:t xml:space="preserve"> serum</w:t>
            </w:r>
            <w:r w:rsidRPr="00BE68F4">
              <w:rPr>
                <w:rFonts w:cs="Calibri"/>
                <w:sz w:val="20"/>
              </w:rPr>
              <w:t xml:space="preserve"> sodium</w:t>
            </w:r>
            <w:r>
              <w:rPr>
                <w:rFonts w:cs="Calibri"/>
                <w:sz w:val="20"/>
              </w:rPr>
              <w:t xml:space="preserve"> </w:t>
            </w:r>
            <w:r w:rsidRPr="00BE68F4">
              <w:rPr>
                <w:rFonts w:cs="Calibri"/>
                <w:sz w:val="20"/>
              </w:rPr>
              <w:t>by 7 mmol/L/day</w:t>
            </w:r>
            <w:r>
              <w:rPr>
                <w:rFonts w:cs="Calibri"/>
                <w:sz w:val="20"/>
              </w:rPr>
              <w:t>.</w:t>
            </w:r>
          </w:p>
          <w:p w:rsidRPr="00BE68F4" w:rsidR="00192AFA" w:rsidP="00131848" w:rsidRDefault="00192AFA" w14:paraId="28B5B6A7" w14:textId="77777777">
            <w:pPr>
              <w:pStyle w:val="BodyText"/>
              <w:rPr>
                <w:rFonts w:cs="Calibri"/>
                <w:sz w:val="20"/>
              </w:rPr>
            </w:pPr>
          </w:p>
          <w:p w:rsidRPr="00FC2467" w:rsidR="00192AFA" w:rsidP="00131848" w:rsidRDefault="00192AFA" w14:paraId="5E2CECE6" w14:textId="77777777">
            <w:pPr>
              <w:pStyle w:val="BodyText"/>
              <w:rPr>
                <w:rFonts w:cs="Calibri"/>
                <w:b/>
                <w:sz w:val="20"/>
                <w:u w:val="single"/>
              </w:rPr>
            </w:pPr>
            <w:r w:rsidRPr="00FC2467">
              <w:rPr>
                <w:rFonts w:cs="Calibri"/>
                <w:b/>
                <w:sz w:val="20"/>
                <w:u w:val="single"/>
              </w:rPr>
              <w:t>IV supplementation</w:t>
            </w:r>
          </w:p>
          <w:p w:rsidRPr="00BE68F4" w:rsidR="00192AFA" w:rsidP="00131848" w:rsidRDefault="00192AFA" w14:paraId="7C891149" w14:textId="77777777">
            <w:pPr>
              <w:pStyle w:val="BodyText"/>
              <w:ind w:left="720"/>
              <w:rPr>
                <w:rFonts w:cs="Calibri"/>
                <w:sz w:val="20"/>
              </w:rPr>
            </w:pPr>
            <w:r w:rsidRPr="00BE68F4">
              <w:rPr>
                <w:rFonts w:cs="Calibri"/>
                <w:sz w:val="20"/>
              </w:rPr>
              <w:t>Start at 2</w:t>
            </w:r>
            <w:r>
              <w:rPr>
                <w:rFonts w:cs="Calibri"/>
                <w:sz w:val="20"/>
              </w:rPr>
              <w:t>–</w:t>
            </w:r>
            <w:r w:rsidRPr="00BE68F4">
              <w:rPr>
                <w:rFonts w:cs="Calibri"/>
                <w:sz w:val="20"/>
              </w:rPr>
              <w:t>4 mmol/kg/day and increase as required</w:t>
            </w:r>
          </w:p>
          <w:p w:rsidRPr="00BE68F4" w:rsidR="00192AFA" w:rsidP="00131848" w:rsidRDefault="00192AFA" w14:paraId="316926A4" w14:textId="77777777">
            <w:pPr>
              <w:pStyle w:val="BodyText"/>
              <w:rPr>
                <w:rFonts w:cs="Calibri"/>
                <w:b/>
                <w:sz w:val="20"/>
              </w:rPr>
            </w:pPr>
          </w:p>
          <w:p w:rsidRPr="00FC2467" w:rsidR="00192AFA" w:rsidP="00131848" w:rsidRDefault="00192AFA" w14:paraId="29FC24A4" w14:textId="77777777">
            <w:pPr>
              <w:pStyle w:val="BodyText"/>
              <w:rPr>
                <w:rFonts w:cs="Calibri"/>
                <w:b/>
                <w:sz w:val="20"/>
                <w:u w:val="single"/>
              </w:rPr>
            </w:pPr>
            <w:r w:rsidRPr="00FC2467">
              <w:rPr>
                <w:rFonts w:cs="Calibri"/>
                <w:b/>
                <w:sz w:val="20"/>
                <w:u w:val="single"/>
              </w:rPr>
              <w:t>Oral supplementation</w:t>
            </w:r>
          </w:p>
          <w:p w:rsidRPr="00BE68F4" w:rsidR="00192AFA" w:rsidP="00131848" w:rsidRDefault="00192AFA" w14:paraId="491670DC" w14:textId="77777777">
            <w:pPr>
              <w:pStyle w:val="BodyText"/>
              <w:ind w:left="720"/>
              <w:rPr>
                <w:rFonts w:cs="Calibri"/>
                <w:sz w:val="20"/>
              </w:rPr>
            </w:pPr>
            <w:r w:rsidRPr="00BE68F4">
              <w:rPr>
                <w:rFonts w:cs="Calibri"/>
                <w:sz w:val="20"/>
              </w:rPr>
              <w:t>Start at 2</w:t>
            </w:r>
            <w:r>
              <w:rPr>
                <w:rFonts w:cs="Calibri"/>
                <w:sz w:val="20"/>
              </w:rPr>
              <w:t>–</w:t>
            </w:r>
            <w:r w:rsidRPr="00BE68F4">
              <w:rPr>
                <w:rFonts w:cs="Calibri"/>
                <w:sz w:val="20"/>
              </w:rPr>
              <w:t xml:space="preserve">4 mmol/kg/day </w:t>
            </w:r>
            <w:r>
              <w:rPr>
                <w:rFonts w:cs="Calibri"/>
                <w:sz w:val="20"/>
              </w:rPr>
              <w:t xml:space="preserve">(0.5–1 mL/kg/day) </w:t>
            </w:r>
            <w:r w:rsidRPr="00BE68F4">
              <w:rPr>
                <w:rFonts w:cs="Calibri"/>
                <w:sz w:val="20"/>
              </w:rPr>
              <w:t xml:space="preserve">and increase as required, divided into </w:t>
            </w:r>
            <w:r>
              <w:rPr>
                <w:rFonts w:cs="Calibri"/>
                <w:sz w:val="20"/>
              </w:rPr>
              <w:t>3–12</w:t>
            </w:r>
            <w:r w:rsidRPr="00BE68F4">
              <w:rPr>
                <w:rFonts w:cs="Calibri"/>
                <w:sz w:val="20"/>
              </w:rPr>
              <w:t xml:space="preserve"> doses.</w:t>
            </w:r>
          </w:p>
        </w:tc>
      </w:tr>
      <w:tr w:rsidRPr="003A7895" w:rsidR="00192AFA" w:rsidTr="00D673B4" w14:paraId="4D650F66" w14:textId="77777777">
        <w:trPr>
          <w:trHeight w:val="407"/>
        </w:trPr>
        <w:tc>
          <w:tcPr>
            <w:tcW w:w="1843" w:type="dxa"/>
          </w:tcPr>
          <w:p w:rsidRPr="00B53E9B" w:rsidR="00192AFA" w:rsidP="00131848" w:rsidRDefault="00192AFA" w14:paraId="4917BF0C" w14:textId="77777777">
            <w:pPr>
              <w:pStyle w:val="BodyText"/>
              <w:rPr>
                <w:b/>
                <w:sz w:val="20"/>
              </w:rPr>
            </w:pPr>
            <w:r w:rsidRPr="00B53E9B">
              <w:rPr>
                <w:b/>
                <w:sz w:val="20"/>
              </w:rPr>
              <w:t>Dose adjustment</w:t>
            </w:r>
          </w:p>
          <w:p w:rsidRPr="00B53E9B" w:rsidR="00192AFA" w:rsidP="00131848" w:rsidRDefault="00192AFA" w14:paraId="2F091DE1" w14:textId="77777777">
            <w:pPr>
              <w:pStyle w:val="BodyText"/>
              <w:rPr>
                <w:b/>
                <w:sz w:val="20"/>
              </w:rPr>
            </w:pPr>
          </w:p>
        </w:tc>
        <w:tc>
          <w:tcPr>
            <w:tcW w:w="7542" w:type="dxa"/>
          </w:tcPr>
          <w:p w:rsidRPr="0054113A" w:rsidR="00192AFA" w:rsidP="00131848" w:rsidRDefault="00192AFA" w14:paraId="0BCC1782" w14:textId="77777777">
            <w:pPr>
              <w:pStyle w:val="BodyText"/>
              <w:rPr>
                <w:sz w:val="20"/>
              </w:rPr>
            </w:pPr>
            <w:r w:rsidRPr="0054113A">
              <w:rPr>
                <w:sz w:val="20"/>
              </w:rPr>
              <w:t>Therapeutic hypothermia – No information.</w:t>
            </w:r>
          </w:p>
          <w:p w:rsidRPr="0054113A" w:rsidR="00192AFA" w:rsidP="00131848" w:rsidRDefault="00192AFA" w14:paraId="2FAE96BE" w14:textId="77777777">
            <w:pPr>
              <w:pStyle w:val="BodyText"/>
              <w:rPr>
                <w:sz w:val="20"/>
              </w:rPr>
            </w:pPr>
            <w:r w:rsidRPr="0054113A">
              <w:rPr>
                <w:sz w:val="20"/>
              </w:rPr>
              <w:t>ECMO – No information.</w:t>
            </w:r>
          </w:p>
          <w:p w:rsidRPr="0054113A" w:rsidR="00192AFA" w:rsidP="00131848" w:rsidRDefault="00192AFA" w14:paraId="57D9B98F" w14:textId="77777777">
            <w:pPr>
              <w:pStyle w:val="BodyText"/>
              <w:rPr>
                <w:sz w:val="20"/>
              </w:rPr>
            </w:pPr>
            <w:r w:rsidRPr="0054113A">
              <w:rPr>
                <w:sz w:val="20"/>
              </w:rPr>
              <w:t>Renal impairment – No information.</w:t>
            </w:r>
          </w:p>
          <w:p w:rsidRPr="00026F20" w:rsidR="00192AFA" w:rsidP="00131848" w:rsidRDefault="00192AFA" w14:paraId="56B0882D" w14:textId="77777777">
            <w:pPr>
              <w:pStyle w:val="BodyText"/>
              <w:rPr>
                <w:sz w:val="20"/>
              </w:rPr>
            </w:pPr>
            <w:r w:rsidRPr="0054113A">
              <w:rPr>
                <w:sz w:val="20"/>
              </w:rPr>
              <w:t>Hepatic impairment – No information.</w:t>
            </w:r>
          </w:p>
        </w:tc>
      </w:tr>
      <w:tr w:rsidRPr="003A7895" w:rsidR="00192AFA" w:rsidTr="00D673B4" w14:paraId="465F55B3" w14:textId="77777777">
        <w:trPr>
          <w:trHeight w:val="113"/>
        </w:trPr>
        <w:tc>
          <w:tcPr>
            <w:tcW w:w="1843" w:type="dxa"/>
          </w:tcPr>
          <w:p w:rsidRPr="00B53E9B" w:rsidR="00192AFA" w:rsidP="00131848" w:rsidRDefault="00192AFA" w14:paraId="390C88DB" w14:textId="77777777">
            <w:pPr>
              <w:pStyle w:val="BodyText"/>
              <w:rPr>
                <w:b/>
                <w:sz w:val="20"/>
              </w:rPr>
            </w:pPr>
            <w:r w:rsidRPr="00B53E9B">
              <w:rPr>
                <w:b/>
                <w:sz w:val="20"/>
              </w:rPr>
              <w:t>Maximum dose</w:t>
            </w:r>
          </w:p>
        </w:tc>
        <w:tc>
          <w:tcPr>
            <w:tcW w:w="7542" w:type="dxa"/>
          </w:tcPr>
          <w:p w:rsidRPr="00026F20" w:rsidR="00192AFA" w:rsidP="00131848" w:rsidRDefault="00192AFA" w14:paraId="30EB1A5E" w14:textId="77777777">
            <w:pPr>
              <w:pStyle w:val="BodyText"/>
              <w:rPr>
                <w:sz w:val="20"/>
              </w:rPr>
            </w:pPr>
          </w:p>
        </w:tc>
      </w:tr>
      <w:tr w:rsidRPr="003A7895" w:rsidR="00192AFA" w:rsidTr="00D673B4" w14:paraId="3D3B6C4A" w14:textId="77777777">
        <w:trPr>
          <w:trHeight w:val="144"/>
        </w:trPr>
        <w:tc>
          <w:tcPr>
            <w:tcW w:w="1843" w:type="dxa"/>
          </w:tcPr>
          <w:p w:rsidRPr="00B53E9B" w:rsidR="00192AFA" w:rsidP="00131848" w:rsidRDefault="00192AFA" w14:paraId="52678DCA" w14:textId="77777777">
            <w:pPr>
              <w:pStyle w:val="BodyText"/>
              <w:rPr>
                <w:rFonts w:cs="Arial"/>
                <w:b/>
                <w:bCs/>
                <w:sz w:val="20"/>
              </w:rPr>
            </w:pPr>
            <w:r w:rsidRPr="00B53E9B">
              <w:rPr>
                <w:b/>
                <w:sz w:val="20"/>
              </w:rPr>
              <w:t>Total cumulative dose</w:t>
            </w:r>
          </w:p>
        </w:tc>
        <w:tc>
          <w:tcPr>
            <w:tcW w:w="7542" w:type="dxa"/>
          </w:tcPr>
          <w:p w:rsidRPr="00026F20" w:rsidR="00192AFA" w:rsidP="00131848" w:rsidRDefault="00192AFA" w14:paraId="69B76F73" w14:textId="77777777">
            <w:pPr>
              <w:pStyle w:val="BodyText"/>
              <w:rPr>
                <w:rFonts w:cs="Arial"/>
                <w:b/>
                <w:sz w:val="20"/>
              </w:rPr>
            </w:pPr>
          </w:p>
        </w:tc>
      </w:tr>
      <w:tr w:rsidRPr="003A7895" w:rsidR="00192AFA" w:rsidTr="00D673B4" w14:paraId="35E7109F" w14:textId="77777777">
        <w:trPr>
          <w:trHeight w:val="294"/>
        </w:trPr>
        <w:tc>
          <w:tcPr>
            <w:tcW w:w="1843" w:type="dxa"/>
          </w:tcPr>
          <w:p w:rsidRPr="00B53E9B" w:rsidR="00192AFA" w:rsidP="00131848" w:rsidRDefault="00192AFA" w14:paraId="2BB620BC" w14:textId="77777777">
            <w:pPr>
              <w:pStyle w:val="BodyText"/>
              <w:rPr>
                <w:rFonts w:cs="Arial"/>
                <w:sz w:val="20"/>
              </w:rPr>
            </w:pPr>
            <w:r w:rsidRPr="00B53E9B">
              <w:rPr>
                <w:rFonts w:cs="Arial"/>
                <w:b/>
                <w:bCs/>
                <w:sz w:val="20"/>
              </w:rPr>
              <w:t xml:space="preserve">Route </w:t>
            </w:r>
          </w:p>
        </w:tc>
        <w:tc>
          <w:tcPr>
            <w:tcW w:w="7542" w:type="dxa"/>
          </w:tcPr>
          <w:p w:rsidRPr="00BE68F4" w:rsidR="00192AFA" w:rsidP="00131848" w:rsidRDefault="00192AFA" w14:paraId="05129B93" w14:textId="77777777">
            <w:pPr>
              <w:pStyle w:val="BodyText"/>
              <w:rPr>
                <w:rFonts w:cs="Calibri"/>
                <w:sz w:val="20"/>
              </w:rPr>
            </w:pPr>
            <w:r w:rsidRPr="00BE68F4">
              <w:rPr>
                <w:rFonts w:cs="Calibri"/>
                <w:sz w:val="20"/>
              </w:rPr>
              <w:t>IV, PO</w:t>
            </w:r>
          </w:p>
        </w:tc>
      </w:tr>
      <w:tr w:rsidRPr="003A7895" w:rsidR="00192AFA" w:rsidTr="00D673B4" w14:paraId="7C0AD66C" w14:textId="77777777">
        <w:trPr>
          <w:trHeight w:val="93"/>
        </w:trPr>
        <w:tc>
          <w:tcPr>
            <w:tcW w:w="1843" w:type="dxa"/>
          </w:tcPr>
          <w:p w:rsidRPr="00B53E9B" w:rsidR="00192AFA" w:rsidP="00131848" w:rsidRDefault="00192AFA" w14:paraId="7C7582C4"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42" w:type="dxa"/>
          </w:tcPr>
          <w:p w:rsidR="00192AFA" w:rsidP="00131848" w:rsidRDefault="00192AFA" w14:paraId="4326A5B2" w14:textId="77777777">
            <w:pPr>
              <w:rPr>
                <w:rFonts w:cs="Calibri"/>
                <w:b/>
                <w:sz w:val="20"/>
              </w:rPr>
            </w:pPr>
            <w:r>
              <w:rPr>
                <w:rFonts w:cs="Calibri"/>
                <w:b/>
                <w:sz w:val="20"/>
              </w:rPr>
              <w:t xml:space="preserve">IV infusion: </w:t>
            </w:r>
          </w:p>
          <w:p w:rsidR="00192AFA" w:rsidP="00131848" w:rsidRDefault="00192AFA" w14:paraId="3CAF6752" w14:textId="77777777">
            <w:pPr>
              <w:rPr>
                <w:rFonts w:cs="Calibri"/>
                <w:sz w:val="20"/>
              </w:rPr>
            </w:pPr>
            <w:r w:rsidRPr="00854773">
              <w:rPr>
                <w:rFonts w:cs="Calibri"/>
                <w:sz w:val="20"/>
              </w:rPr>
              <w:t xml:space="preserve">Draw up 5 mL </w:t>
            </w:r>
            <w:r>
              <w:rPr>
                <w:rFonts w:cs="Calibri"/>
                <w:sz w:val="20"/>
              </w:rPr>
              <w:t xml:space="preserve">(20 mmol sodium) of 23.4% sodium chloride </w:t>
            </w:r>
            <w:r w:rsidRPr="00854773">
              <w:rPr>
                <w:rFonts w:cs="Calibri"/>
                <w:sz w:val="20"/>
              </w:rPr>
              <w:t xml:space="preserve">and </w:t>
            </w:r>
            <w:r>
              <w:rPr>
                <w:rFonts w:cs="Calibri"/>
                <w:sz w:val="20"/>
              </w:rPr>
              <w:t xml:space="preserve">add 45 mL of water for injection to </w:t>
            </w:r>
            <w:r w:rsidRPr="00854773">
              <w:rPr>
                <w:rFonts w:cs="Calibri"/>
                <w:sz w:val="20"/>
              </w:rPr>
              <w:t xml:space="preserve">make a final volume of 50 mL </w:t>
            </w:r>
            <w:r>
              <w:rPr>
                <w:rFonts w:cs="Calibri"/>
                <w:sz w:val="20"/>
              </w:rPr>
              <w:t>with a final concentration of 0.4 mmol/mL</w:t>
            </w:r>
            <w:r w:rsidRPr="00854773">
              <w:rPr>
                <w:rFonts w:cs="Calibri"/>
                <w:sz w:val="20"/>
              </w:rPr>
              <w:t xml:space="preserve">. </w:t>
            </w:r>
          </w:p>
          <w:p w:rsidR="00192AFA" w:rsidP="00131848" w:rsidRDefault="00192AFA" w14:paraId="301B7D79" w14:textId="77777777">
            <w:pPr>
              <w:rPr>
                <w:rFonts w:cs="Calibri"/>
                <w:sz w:val="20"/>
              </w:rPr>
            </w:pPr>
            <w:r>
              <w:rPr>
                <w:rFonts w:cs="Calibri"/>
                <w:sz w:val="20"/>
              </w:rPr>
              <w:t xml:space="preserve">Infusion at </w:t>
            </w:r>
            <w:r w:rsidRPr="00854773">
              <w:rPr>
                <w:rFonts w:cs="Calibri"/>
                <w:sz w:val="20"/>
              </w:rPr>
              <w:t>1 mL/</w:t>
            </w:r>
            <w:r>
              <w:rPr>
                <w:rFonts w:cs="Calibri"/>
                <w:sz w:val="20"/>
              </w:rPr>
              <w:t>kg/</w:t>
            </w:r>
            <w:r w:rsidRPr="00854773">
              <w:rPr>
                <w:rFonts w:cs="Calibri"/>
                <w:sz w:val="20"/>
              </w:rPr>
              <w:t>hour = 0.4 mmol/kg/hour (9.6 mmol/kg/day).</w:t>
            </w:r>
          </w:p>
          <w:p w:rsidR="00192AFA" w:rsidP="00131848" w:rsidRDefault="00192AFA" w14:paraId="29A945C7" w14:textId="77777777">
            <w:pPr>
              <w:rPr>
                <w:rFonts w:cs="Calibri"/>
                <w:b/>
                <w:sz w:val="20"/>
                <w:u w:val="single"/>
              </w:rPr>
            </w:pPr>
            <w:r>
              <w:rPr>
                <w:rFonts w:cs="Calibri"/>
                <w:b/>
                <w:sz w:val="20"/>
                <w:u w:val="single"/>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431"/>
              <w:gridCol w:w="3433"/>
            </w:tblGrid>
            <w:tr w:rsidR="00192AFA" w:rsidTr="00D673B4" w14:paraId="4BF5DFA4" w14:textId="77777777">
              <w:tc>
                <w:tcPr>
                  <w:tcW w:w="3431" w:type="dxa"/>
                  <w:tcBorders>
                    <w:top w:val="single" w:color="auto" w:sz="4" w:space="0"/>
                    <w:left w:val="single" w:color="auto" w:sz="4" w:space="0"/>
                    <w:bottom w:val="single" w:color="auto" w:sz="4" w:space="0"/>
                    <w:right w:val="single" w:color="auto" w:sz="4" w:space="0"/>
                  </w:tcBorders>
                  <w:hideMark/>
                </w:tcPr>
                <w:p w:rsidRPr="00BE68F4" w:rsidR="00192AFA" w:rsidP="00131848" w:rsidRDefault="00192AFA" w14:paraId="5DE6AD52" w14:textId="77777777">
                  <w:pPr>
                    <w:pStyle w:val="BodyText"/>
                    <w:spacing w:line="276" w:lineRule="auto"/>
                    <w:jc w:val="center"/>
                    <w:rPr>
                      <w:rFonts w:cs="Arial"/>
                      <w:b/>
                      <w:sz w:val="20"/>
                    </w:rPr>
                  </w:pPr>
                  <w:r w:rsidRPr="00BE68F4">
                    <w:rPr>
                      <w:rFonts w:cs="Arial"/>
                      <w:b/>
                      <w:sz w:val="20"/>
                    </w:rPr>
                    <w:t xml:space="preserve">Infusion </w:t>
                  </w:r>
                  <w:r>
                    <w:rPr>
                      <w:rFonts w:cs="Arial"/>
                      <w:b/>
                      <w:sz w:val="20"/>
                    </w:rPr>
                    <w:t>Strength</w:t>
                  </w:r>
                </w:p>
              </w:tc>
              <w:tc>
                <w:tcPr>
                  <w:tcW w:w="3433" w:type="dxa"/>
                  <w:tcBorders>
                    <w:top w:val="single" w:color="auto" w:sz="4" w:space="0"/>
                    <w:left w:val="single" w:color="auto" w:sz="4" w:space="0"/>
                    <w:bottom w:val="single" w:color="auto" w:sz="4" w:space="0"/>
                    <w:right w:val="single" w:color="auto" w:sz="4" w:space="0"/>
                  </w:tcBorders>
                  <w:hideMark/>
                </w:tcPr>
                <w:p w:rsidRPr="00BE68F4" w:rsidR="00192AFA" w:rsidP="00131848" w:rsidRDefault="00192AFA" w14:paraId="75940E4F" w14:textId="77777777">
                  <w:pPr>
                    <w:pStyle w:val="BodyText"/>
                    <w:spacing w:line="276" w:lineRule="auto"/>
                    <w:jc w:val="center"/>
                    <w:rPr>
                      <w:rFonts w:cs="Arial"/>
                      <w:b/>
                      <w:sz w:val="20"/>
                    </w:rPr>
                  </w:pPr>
                  <w:r w:rsidRPr="00BE68F4">
                    <w:rPr>
                      <w:rFonts w:cs="Arial"/>
                      <w:b/>
                      <w:sz w:val="20"/>
                    </w:rPr>
                    <w:t>Prescribed amount</w:t>
                  </w:r>
                </w:p>
              </w:tc>
            </w:tr>
            <w:tr w:rsidR="00192AFA" w:rsidTr="00D673B4" w14:paraId="1E3DB402" w14:textId="77777777">
              <w:tc>
                <w:tcPr>
                  <w:tcW w:w="3431" w:type="dxa"/>
                  <w:tcBorders>
                    <w:top w:val="single" w:color="auto" w:sz="4" w:space="0"/>
                    <w:left w:val="single" w:color="auto" w:sz="4" w:space="0"/>
                    <w:bottom w:val="single" w:color="auto" w:sz="4" w:space="0"/>
                    <w:right w:val="single" w:color="auto" w:sz="4" w:space="0"/>
                  </w:tcBorders>
                  <w:hideMark/>
                </w:tcPr>
                <w:p w:rsidRPr="00BE68F4" w:rsidR="00192AFA" w:rsidP="00131848" w:rsidRDefault="00192AFA" w14:paraId="329162A2" w14:textId="77777777">
                  <w:pPr>
                    <w:pStyle w:val="BodyText"/>
                    <w:spacing w:line="276" w:lineRule="auto"/>
                    <w:rPr>
                      <w:rFonts w:cs="Arial"/>
                      <w:sz w:val="20"/>
                    </w:rPr>
                  </w:pPr>
                  <w:r w:rsidRPr="00BE68F4">
                    <w:rPr>
                      <w:rFonts w:cs="Arial"/>
                      <w:sz w:val="20"/>
                    </w:rPr>
                    <w:t>1 mL/kg/hour = 0.4 mmol/kg/hour</w:t>
                  </w:r>
                </w:p>
              </w:tc>
              <w:tc>
                <w:tcPr>
                  <w:tcW w:w="3433" w:type="dxa"/>
                  <w:tcBorders>
                    <w:top w:val="single" w:color="auto" w:sz="4" w:space="0"/>
                    <w:left w:val="single" w:color="auto" w:sz="4" w:space="0"/>
                    <w:bottom w:val="single" w:color="auto" w:sz="4" w:space="0"/>
                    <w:right w:val="single" w:color="auto" w:sz="4" w:space="0"/>
                  </w:tcBorders>
                  <w:hideMark/>
                </w:tcPr>
                <w:p w:rsidRPr="00BE68F4" w:rsidR="00192AFA" w:rsidP="00131848" w:rsidRDefault="00192AFA" w14:paraId="0E81A258" w14:textId="77777777">
                  <w:pPr>
                    <w:pStyle w:val="BodyText"/>
                    <w:spacing w:line="276" w:lineRule="auto"/>
                    <w:rPr>
                      <w:rFonts w:cs="Arial"/>
                      <w:sz w:val="20"/>
                    </w:rPr>
                  </w:pPr>
                  <w:r w:rsidRPr="00BE68F4">
                    <w:rPr>
                      <w:rFonts w:cs="Arial"/>
                      <w:sz w:val="20"/>
                    </w:rPr>
                    <w:t>5 mL of sodium chloride 23.4% and make up to 50 mL of water for injection</w:t>
                  </w:r>
                </w:p>
              </w:tc>
            </w:tr>
          </w:tbl>
          <w:p w:rsidRPr="00BE68F4" w:rsidR="00192AFA" w:rsidP="00131848" w:rsidRDefault="00192AFA" w14:paraId="402F6062" w14:textId="77777777">
            <w:pPr>
              <w:pStyle w:val="BodyText"/>
              <w:ind w:left="720"/>
              <w:rPr>
                <w:rFonts w:cs="Calibri"/>
                <w:sz w:val="20"/>
              </w:rPr>
            </w:pPr>
            <w:r w:rsidRPr="00BE68F4">
              <w:rPr>
                <w:rFonts w:cs="Calibri"/>
                <w:sz w:val="20"/>
              </w:rPr>
              <w:lastRenderedPageBreak/>
              <w:t>*1</w:t>
            </w:r>
            <w:r>
              <w:rPr>
                <w:rFonts w:cs="Calibri"/>
                <w:sz w:val="20"/>
              </w:rPr>
              <w:t xml:space="preserve"> mL</w:t>
            </w:r>
            <w:r w:rsidRPr="00BE68F4">
              <w:rPr>
                <w:rFonts w:cs="Calibri"/>
                <w:sz w:val="20"/>
              </w:rPr>
              <w:t>/kg of 0.4 mmol/</w:t>
            </w:r>
            <w:r>
              <w:rPr>
                <w:rFonts w:cs="Calibri"/>
                <w:sz w:val="20"/>
              </w:rPr>
              <w:t>m</w:t>
            </w:r>
            <w:r w:rsidRPr="00BE68F4">
              <w:rPr>
                <w:rFonts w:cs="Calibri"/>
                <w:sz w:val="20"/>
              </w:rPr>
              <w:t xml:space="preserve">L of sodium chloride will raise serum sodium by </w:t>
            </w:r>
            <w:r>
              <w:rPr>
                <w:rFonts w:cs="Calibri"/>
                <w:sz w:val="20"/>
              </w:rPr>
              <w:t>0.8</w:t>
            </w:r>
            <w:r w:rsidRPr="00BE68F4">
              <w:rPr>
                <w:rFonts w:cs="Calibri"/>
                <w:sz w:val="20"/>
              </w:rPr>
              <w:t xml:space="preserve"> mmol/L</w:t>
            </w:r>
            <w:r>
              <w:rPr>
                <w:rFonts w:cs="Calibri"/>
                <w:sz w:val="20"/>
              </w:rPr>
              <w:t>.</w:t>
            </w:r>
            <w:r>
              <w:rPr>
                <w:rFonts w:cs="Calibri"/>
                <w:sz w:val="20"/>
                <w:vertAlign w:val="superscript"/>
              </w:rPr>
              <w:t>2</w:t>
            </w:r>
          </w:p>
          <w:p w:rsidR="00192AFA" w:rsidP="00131848" w:rsidRDefault="00192AFA" w14:paraId="74915728" w14:textId="77777777">
            <w:pPr>
              <w:rPr>
                <w:rFonts w:cs="Calibri"/>
                <w:sz w:val="20"/>
              </w:rPr>
            </w:pPr>
          </w:p>
          <w:p w:rsidRPr="00344000" w:rsidR="00192AFA" w:rsidP="00131848" w:rsidRDefault="00192AFA" w14:paraId="06C98548" w14:textId="77777777">
            <w:pPr>
              <w:rPr>
                <w:rFonts w:cs="Calibri"/>
                <w:b/>
                <w:sz w:val="20"/>
              </w:rPr>
            </w:pPr>
            <w:r>
              <w:rPr>
                <w:rFonts w:cs="Calibri"/>
                <w:b/>
                <w:sz w:val="20"/>
              </w:rPr>
              <w:t xml:space="preserve">Oral: </w:t>
            </w:r>
            <w:r w:rsidRPr="00BC349C">
              <w:rPr>
                <w:rFonts w:cs="Calibri"/>
                <w:sz w:val="20"/>
              </w:rPr>
              <w:t>Sodium chloride</w:t>
            </w:r>
            <w:r>
              <w:rPr>
                <w:rFonts w:cs="Calibri"/>
                <w:sz w:val="20"/>
              </w:rPr>
              <w:t xml:space="preserve"> 23.4% vials or oral preparation supplied by pharmacy.</w:t>
            </w:r>
            <w:r w:rsidRPr="00BE68F4">
              <w:rPr>
                <w:rFonts w:cs="Calibri"/>
                <w:b/>
                <w:sz w:val="20"/>
              </w:rPr>
              <w:t xml:space="preserve"> </w:t>
            </w:r>
          </w:p>
        </w:tc>
      </w:tr>
      <w:tr w:rsidRPr="003A7895" w:rsidR="00192AFA" w:rsidTr="00D673B4" w14:paraId="4496AC6F" w14:textId="77777777">
        <w:trPr>
          <w:trHeight w:val="224"/>
        </w:trPr>
        <w:tc>
          <w:tcPr>
            <w:tcW w:w="1843" w:type="dxa"/>
          </w:tcPr>
          <w:p w:rsidRPr="00B53E9B" w:rsidR="00192AFA" w:rsidP="00131848" w:rsidRDefault="00192AFA" w14:paraId="46D0E113" w14:textId="77777777">
            <w:pPr>
              <w:pStyle w:val="BodyText"/>
              <w:rPr>
                <w:rFonts w:cs="Arial"/>
                <w:b/>
                <w:bCs/>
                <w:sz w:val="20"/>
              </w:rPr>
            </w:pPr>
            <w:r w:rsidRPr="00B53E9B">
              <w:rPr>
                <w:rFonts w:cs="Arial"/>
                <w:b/>
                <w:bCs/>
                <w:sz w:val="20"/>
              </w:rPr>
              <w:lastRenderedPageBreak/>
              <w:t xml:space="preserve">Administration </w:t>
            </w:r>
          </w:p>
        </w:tc>
        <w:tc>
          <w:tcPr>
            <w:tcW w:w="7542" w:type="dxa"/>
          </w:tcPr>
          <w:p w:rsidRPr="00BE68F4" w:rsidR="00192AFA" w:rsidP="00131848" w:rsidRDefault="00192AFA" w14:paraId="565768D9" w14:textId="77777777">
            <w:pPr>
              <w:pStyle w:val="BodyText"/>
              <w:rPr>
                <w:rFonts w:cs="Calibri"/>
                <w:b/>
                <w:sz w:val="20"/>
              </w:rPr>
            </w:pPr>
            <w:r w:rsidRPr="00BE68F4">
              <w:rPr>
                <w:rFonts w:cs="Calibri"/>
                <w:b/>
                <w:sz w:val="20"/>
              </w:rPr>
              <w:t xml:space="preserve">IV: </w:t>
            </w:r>
          </w:p>
          <w:p w:rsidRPr="00BE68F4" w:rsidR="00192AFA" w:rsidP="00131848" w:rsidRDefault="00192AFA" w14:paraId="725E2997" w14:textId="77777777">
            <w:pPr>
              <w:pStyle w:val="BodyText"/>
              <w:rPr>
                <w:rFonts w:cs="Calibri"/>
                <w:sz w:val="20"/>
              </w:rPr>
            </w:pPr>
            <w:r w:rsidRPr="00BE68F4">
              <w:rPr>
                <w:rFonts w:cs="Calibri"/>
                <w:sz w:val="20"/>
              </w:rPr>
              <w:t xml:space="preserve">Infusion only. Must be diluted as above prior to IV infusion. </w:t>
            </w:r>
          </w:p>
          <w:p w:rsidRPr="00BE68F4" w:rsidR="00192AFA" w:rsidP="00131848" w:rsidRDefault="00192AFA" w14:paraId="216E811D" w14:textId="77777777">
            <w:pPr>
              <w:pStyle w:val="BodyText"/>
              <w:rPr>
                <w:rFonts w:cs="Calibri"/>
                <w:b/>
                <w:sz w:val="20"/>
              </w:rPr>
            </w:pPr>
          </w:p>
          <w:p w:rsidR="00192AFA" w:rsidP="00131848" w:rsidRDefault="00192AFA" w14:paraId="275C07BC" w14:textId="77777777">
            <w:pPr>
              <w:pStyle w:val="BodyText"/>
              <w:rPr>
                <w:rFonts w:cs="Calibri"/>
                <w:b/>
                <w:sz w:val="20"/>
              </w:rPr>
            </w:pPr>
          </w:p>
          <w:p w:rsidRPr="00BE68F4" w:rsidR="00192AFA" w:rsidP="00131848" w:rsidRDefault="00192AFA" w14:paraId="10A174BE" w14:textId="77777777">
            <w:pPr>
              <w:pStyle w:val="BodyText"/>
              <w:rPr>
                <w:rFonts w:cs="Calibri"/>
                <w:b/>
                <w:sz w:val="20"/>
              </w:rPr>
            </w:pPr>
            <w:r w:rsidRPr="00BE68F4">
              <w:rPr>
                <w:rFonts w:cs="Calibri"/>
                <w:b/>
                <w:sz w:val="20"/>
              </w:rPr>
              <w:t xml:space="preserve">Oral: </w:t>
            </w:r>
          </w:p>
          <w:p w:rsidRPr="00BE68F4" w:rsidR="00192AFA" w:rsidP="00131848" w:rsidRDefault="00192AFA" w14:paraId="1D084E67" w14:textId="77777777">
            <w:pPr>
              <w:pStyle w:val="BodyText"/>
              <w:rPr>
                <w:rFonts w:cs="Calibri"/>
                <w:sz w:val="20"/>
              </w:rPr>
            </w:pPr>
            <w:r w:rsidRPr="0054113A">
              <w:rPr>
                <w:rFonts w:cs="Calibri"/>
                <w:b/>
                <w:sz w:val="20"/>
              </w:rPr>
              <w:t>To be given mixed with feeds</w:t>
            </w:r>
            <w:r w:rsidRPr="00BE68F4">
              <w:rPr>
                <w:rFonts w:cs="Calibri"/>
                <w:sz w:val="20"/>
              </w:rPr>
              <w:t>.</w:t>
            </w:r>
          </w:p>
          <w:p w:rsidRPr="0054113A" w:rsidR="00192AFA" w:rsidP="00131848" w:rsidRDefault="00192AFA" w14:paraId="62B493CB" w14:textId="77777777">
            <w:pPr>
              <w:pStyle w:val="BodyText"/>
              <w:rPr>
                <w:rFonts w:asciiTheme="minorHAnsi" w:hAnsiTheme="minorHAnsi" w:cstheme="minorHAnsi"/>
                <w:b/>
                <w:sz w:val="20"/>
              </w:rPr>
            </w:pPr>
            <w:r w:rsidRPr="0054113A">
              <w:rPr>
                <w:rFonts w:asciiTheme="minorHAnsi" w:hAnsiTheme="minorHAnsi" w:cstheme="minorHAnsi"/>
                <w:b/>
                <w:sz w:val="20"/>
              </w:rPr>
              <w:t>Divide the daily oral dose into 3–12 doses, aiming for a small but practical volume</w:t>
            </w:r>
            <w:r>
              <w:rPr>
                <w:rFonts w:asciiTheme="minorHAnsi" w:hAnsiTheme="minorHAnsi" w:cstheme="minorHAnsi"/>
                <w:b/>
                <w:sz w:val="20"/>
              </w:rPr>
              <w:t>.</w:t>
            </w:r>
          </w:p>
        </w:tc>
      </w:tr>
      <w:tr w:rsidRPr="003A7895" w:rsidR="00192AFA" w:rsidTr="00D673B4" w14:paraId="56BF5E0F" w14:textId="77777777">
        <w:trPr>
          <w:trHeight w:val="215"/>
        </w:trPr>
        <w:tc>
          <w:tcPr>
            <w:tcW w:w="1843" w:type="dxa"/>
          </w:tcPr>
          <w:p w:rsidRPr="00B53E9B" w:rsidR="00192AFA" w:rsidP="00131848" w:rsidRDefault="00192AFA" w14:paraId="6362086C" w14:textId="77777777">
            <w:pPr>
              <w:pStyle w:val="BodyText"/>
              <w:rPr>
                <w:rFonts w:cs="Arial"/>
                <w:b/>
                <w:bCs/>
                <w:sz w:val="20"/>
              </w:rPr>
            </w:pPr>
            <w:r w:rsidRPr="00B53E9B">
              <w:rPr>
                <w:rFonts w:cs="Arial"/>
                <w:b/>
                <w:bCs/>
                <w:sz w:val="20"/>
              </w:rPr>
              <w:t>Monitoring</w:t>
            </w:r>
          </w:p>
        </w:tc>
        <w:tc>
          <w:tcPr>
            <w:tcW w:w="7542" w:type="dxa"/>
          </w:tcPr>
          <w:p w:rsidRPr="00BE68F4" w:rsidR="00192AFA" w:rsidP="00131848" w:rsidRDefault="00192AFA" w14:paraId="42E9F8DE" w14:textId="77777777">
            <w:pPr>
              <w:pStyle w:val="BodyText"/>
              <w:rPr>
                <w:rFonts w:cs="Calibri"/>
                <w:sz w:val="20"/>
              </w:rPr>
            </w:pPr>
            <w:r w:rsidRPr="00BE68F4">
              <w:rPr>
                <w:rFonts w:cs="Calibri"/>
                <w:sz w:val="20"/>
              </w:rPr>
              <w:t xml:space="preserve">IV: </w:t>
            </w:r>
            <w:r>
              <w:rPr>
                <w:rFonts w:cs="Calibri"/>
                <w:sz w:val="20"/>
              </w:rPr>
              <w:t>L</w:t>
            </w:r>
            <w:r w:rsidRPr="00BE68F4">
              <w:rPr>
                <w:rFonts w:cs="Calibri"/>
                <w:sz w:val="20"/>
              </w:rPr>
              <w:t xml:space="preserve">ocal </w:t>
            </w:r>
            <w:r>
              <w:rPr>
                <w:rFonts w:cs="Calibri"/>
                <w:sz w:val="20"/>
              </w:rPr>
              <w:t xml:space="preserve">IV </w:t>
            </w:r>
            <w:r w:rsidRPr="00BE68F4">
              <w:rPr>
                <w:rFonts w:cs="Calibri"/>
                <w:sz w:val="20"/>
              </w:rPr>
              <w:t>site for signs of extravasation.</w:t>
            </w:r>
          </w:p>
          <w:p w:rsidRPr="00BE68F4" w:rsidR="00192AFA" w:rsidP="00131848" w:rsidRDefault="00192AFA" w14:paraId="24FD2A20" w14:textId="77777777">
            <w:pPr>
              <w:pStyle w:val="BodyText"/>
              <w:rPr>
                <w:rFonts w:cs="Calibri"/>
                <w:sz w:val="20"/>
              </w:rPr>
            </w:pPr>
            <w:r w:rsidRPr="00BE68F4">
              <w:rPr>
                <w:rFonts w:cs="Calibri"/>
                <w:sz w:val="20"/>
              </w:rPr>
              <w:t xml:space="preserve">Oral: </w:t>
            </w:r>
            <w:r>
              <w:rPr>
                <w:rFonts w:cs="Calibri"/>
                <w:sz w:val="20"/>
              </w:rPr>
              <w:t>S</w:t>
            </w:r>
            <w:r w:rsidRPr="00BE68F4">
              <w:rPr>
                <w:rFonts w:cs="Calibri"/>
                <w:sz w:val="20"/>
              </w:rPr>
              <w:t xml:space="preserve">igns of gastric irritation. </w:t>
            </w:r>
          </w:p>
          <w:p w:rsidRPr="00BE68F4" w:rsidR="00192AFA" w:rsidP="00131848" w:rsidRDefault="00192AFA" w14:paraId="1F45E06C" w14:textId="77777777">
            <w:pPr>
              <w:pStyle w:val="BodyText"/>
              <w:rPr>
                <w:rFonts w:cs="Calibri"/>
                <w:sz w:val="20"/>
              </w:rPr>
            </w:pPr>
            <w:r>
              <w:rPr>
                <w:rFonts w:cs="Calibri"/>
                <w:sz w:val="20"/>
              </w:rPr>
              <w:t>S</w:t>
            </w:r>
            <w:r w:rsidRPr="00BE68F4">
              <w:rPr>
                <w:rFonts w:cs="Calibri"/>
                <w:sz w:val="20"/>
              </w:rPr>
              <w:t>erum sodium as per clinical team’s recommendation.</w:t>
            </w:r>
          </w:p>
        </w:tc>
      </w:tr>
      <w:tr w:rsidRPr="003A7895" w:rsidR="00192AFA" w:rsidTr="00D673B4" w14:paraId="2BD8132B" w14:textId="77777777">
        <w:trPr>
          <w:trHeight w:val="342"/>
        </w:trPr>
        <w:tc>
          <w:tcPr>
            <w:tcW w:w="1843" w:type="dxa"/>
          </w:tcPr>
          <w:p w:rsidRPr="00B53E9B" w:rsidR="00192AFA" w:rsidP="00131848" w:rsidRDefault="00192AFA" w14:paraId="06884297" w14:textId="77777777">
            <w:pPr>
              <w:pStyle w:val="BodyText"/>
              <w:rPr>
                <w:rFonts w:cs="Arial"/>
                <w:b/>
                <w:bCs/>
                <w:sz w:val="20"/>
              </w:rPr>
            </w:pPr>
            <w:r w:rsidRPr="00B53E9B">
              <w:rPr>
                <w:rFonts w:cs="Arial"/>
                <w:b/>
                <w:bCs/>
                <w:sz w:val="20"/>
              </w:rPr>
              <w:t>Contraindications</w:t>
            </w:r>
          </w:p>
        </w:tc>
        <w:tc>
          <w:tcPr>
            <w:tcW w:w="7542" w:type="dxa"/>
          </w:tcPr>
          <w:p w:rsidRPr="00BE68F4" w:rsidR="00192AFA" w:rsidP="00131848" w:rsidRDefault="00192AFA" w14:paraId="346F45DE" w14:textId="77777777">
            <w:pPr>
              <w:pStyle w:val="BodyText"/>
              <w:rPr>
                <w:rFonts w:cs="Calibri"/>
                <w:sz w:val="20"/>
              </w:rPr>
            </w:pPr>
            <w:r w:rsidRPr="00BE68F4">
              <w:rPr>
                <w:rFonts w:cs="Calibri"/>
                <w:sz w:val="20"/>
              </w:rPr>
              <w:t>Oral: Infants who are not any enteral nutrition, acute gastrointestinal illness including ileus, necroti</w:t>
            </w:r>
            <w:r>
              <w:rPr>
                <w:rFonts w:cs="Calibri"/>
                <w:sz w:val="20"/>
              </w:rPr>
              <w:t>s</w:t>
            </w:r>
            <w:r w:rsidRPr="00BE68F4">
              <w:rPr>
                <w:rFonts w:cs="Calibri"/>
                <w:sz w:val="20"/>
              </w:rPr>
              <w:t>ing enterocolitis, intestinal obstruction.</w:t>
            </w:r>
          </w:p>
        </w:tc>
      </w:tr>
      <w:tr w:rsidRPr="003A7895" w:rsidR="00192AFA" w:rsidTr="00D673B4" w14:paraId="37D86466" w14:textId="77777777">
        <w:tc>
          <w:tcPr>
            <w:tcW w:w="1843" w:type="dxa"/>
          </w:tcPr>
          <w:p w:rsidRPr="00B53E9B" w:rsidR="00192AFA" w:rsidP="00131848" w:rsidRDefault="00192AFA" w14:paraId="1B6410F8" w14:textId="77777777">
            <w:pPr>
              <w:pStyle w:val="BodyText"/>
              <w:rPr>
                <w:rFonts w:cs="Arial"/>
                <w:b/>
                <w:bCs/>
                <w:sz w:val="20"/>
              </w:rPr>
            </w:pPr>
            <w:r w:rsidRPr="00B53E9B">
              <w:rPr>
                <w:sz w:val="20"/>
              </w:rPr>
              <w:br w:type="page"/>
            </w:r>
            <w:r w:rsidRPr="00B53E9B">
              <w:rPr>
                <w:rFonts w:cs="Arial"/>
                <w:b/>
                <w:bCs/>
                <w:sz w:val="20"/>
              </w:rPr>
              <w:t>Precautions</w:t>
            </w:r>
          </w:p>
        </w:tc>
        <w:tc>
          <w:tcPr>
            <w:tcW w:w="7542" w:type="dxa"/>
          </w:tcPr>
          <w:p w:rsidRPr="00344000" w:rsidR="00192AFA" w:rsidP="00131848" w:rsidRDefault="00192AFA" w14:paraId="68EBC458" w14:textId="77777777">
            <w:pPr>
              <w:pStyle w:val="Default"/>
              <w:rPr>
                <w:rFonts w:ascii="Calibri" w:hAnsi="Calibri" w:cs="Calibri"/>
                <w:sz w:val="20"/>
              </w:rPr>
            </w:pPr>
            <w:r>
              <w:rPr>
                <w:rFonts w:ascii="Calibri" w:hAnsi="Calibri" w:cs="Calibri"/>
                <w:sz w:val="20"/>
              </w:rPr>
              <w:t xml:space="preserve">Impaired renal function, cardiac insufficiency, pre-existing oedema with sodium retention. </w:t>
            </w:r>
          </w:p>
        </w:tc>
      </w:tr>
      <w:tr w:rsidRPr="003A7895" w:rsidR="00192AFA" w:rsidTr="00D673B4" w14:paraId="25D28112" w14:textId="77777777">
        <w:trPr>
          <w:trHeight w:val="70"/>
        </w:trPr>
        <w:tc>
          <w:tcPr>
            <w:tcW w:w="1843" w:type="dxa"/>
          </w:tcPr>
          <w:p w:rsidRPr="00B53E9B" w:rsidR="00192AFA" w:rsidP="00131848" w:rsidRDefault="00192AFA" w14:paraId="03905D46"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42" w:type="dxa"/>
          </w:tcPr>
          <w:p w:rsidRPr="00BE68F4" w:rsidR="00192AFA" w:rsidP="00131848" w:rsidRDefault="00192AFA" w14:paraId="5456ED17" w14:textId="77777777">
            <w:pPr>
              <w:pStyle w:val="BodyText"/>
              <w:rPr>
                <w:rFonts w:cs="Calibri"/>
                <w:sz w:val="20"/>
              </w:rPr>
            </w:pPr>
            <w:r w:rsidRPr="00BE68F4">
              <w:rPr>
                <w:rFonts w:cs="Calibri"/>
                <w:sz w:val="20"/>
              </w:rPr>
              <w:t>No information.</w:t>
            </w:r>
          </w:p>
        </w:tc>
      </w:tr>
      <w:tr w:rsidRPr="003A7895" w:rsidR="00192AFA" w:rsidTr="00D673B4" w14:paraId="149B6651" w14:textId="77777777">
        <w:trPr>
          <w:trHeight w:val="332"/>
        </w:trPr>
        <w:tc>
          <w:tcPr>
            <w:tcW w:w="1843" w:type="dxa"/>
          </w:tcPr>
          <w:p w:rsidRPr="00B53E9B" w:rsidR="00192AFA" w:rsidP="00131848" w:rsidRDefault="00192AFA" w14:paraId="17AE50BB"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42" w:type="dxa"/>
          </w:tcPr>
          <w:p w:rsidRPr="00BE68F4" w:rsidR="00192AFA" w:rsidP="00131848" w:rsidRDefault="00192AFA" w14:paraId="155BCA76" w14:textId="77777777">
            <w:pPr>
              <w:pStyle w:val="BodyText"/>
              <w:rPr>
                <w:rFonts w:cs="Calibri"/>
                <w:sz w:val="20"/>
              </w:rPr>
            </w:pPr>
            <w:r w:rsidRPr="00BE68F4">
              <w:rPr>
                <w:rFonts w:cs="Calibri"/>
                <w:sz w:val="20"/>
              </w:rPr>
              <w:t>Hypernatr</w:t>
            </w:r>
            <w:r>
              <w:rPr>
                <w:rFonts w:cs="Calibri"/>
                <w:sz w:val="20"/>
              </w:rPr>
              <w:t>ae</w:t>
            </w:r>
            <w:r w:rsidRPr="00BE68F4">
              <w:rPr>
                <w:rFonts w:cs="Calibri"/>
                <w:sz w:val="20"/>
              </w:rPr>
              <w:t>mia, volume overload, congestive heart failure, respiratory distress</w:t>
            </w:r>
            <w:r>
              <w:rPr>
                <w:rFonts w:cs="Calibri"/>
                <w:sz w:val="20"/>
              </w:rPr>
              <w:t>.</w:t>
            </w:r>
          </w:p>
          <w:p w:rsidRPr="00BE68F4" w:rsidR="00192AFA" w:rsidP="00131848" w:rsidRDefault="00192AFA" w14:paraId="7D72D101" w14:textId="77777777">
            <w:pPr>
              <w:pStyle w:val="BodyText"/>
              <w:rPr>
                <w:rFonts w:cs="Calibri"/>
                <w:sz w:val="20"/>
              </w:rPr>
            </w:pPr>
            <w:r w:rsidRPr="00BE68F4">
              <w:rPr>
                <w:rFonts w:cs="Calibri"/>
                <w:sz w:val="20"/>
              </w:rPr>
              <w:t>Hyperchlor</w:t>
            </w:r>
            <w:r>
              <w:rPr>
                <w:rFonts w:cs="Calibri"/>
                <w:sz w:val="20"/>
              </w:rPr>
              <w:t>ae</w:t>
            </w:r>
            <w:r w:rsidRPr="00BE68F4">
              <w:rPr>
                <w:rFonts w:cs="Calibri"/>
                <w:sz w:val="20"/>
              </w:rPr>
              <w:t>mia, hypercalciuria</w:t>
            </w:r>
            <w:r>
              <w:rPr>
                <w:rFonts w:cs="Calibri"/>
                <w:sz w:val="20"/>
              </w:rPr>
              <w:t>.</w:t>
            </w:r>
          </w:p>
          <w:p w:rsidRPr="00BE68F4" w:rsidR="00192AFA" w:rsidP="00131848" w:rsidRDefault="00192AFA" w14:paraId="38C8FFC9" w14:textId="77777777">
            <w:pPr>
              <w:pStyle w:val="BodyText"/>
              <w:rPr>
                <w:rFonts w:cs="Calibri"/>
                <w:sz w:val="20"/>
              </w:rPr>
            </w:pPr>
            <w:r w:rsidRPr="00BE68F4">
              <w:rPr>
                <w:rFonts w:cs="Calibri"/>
                <w:sz w:val="20"/>
              </w:rPr>
              <w:t>Disseminated intravascular coagulation (DIC) is associated with inadvertent injections of sodium chloride into blood vessels of the uterus or placenta due to hypernatr</w:t>
            </w:r>
            <w:r>
              <w:rPr>
                <w:rFonts w:cs="Calibri"/>
                <w:sz w:val="20"/>
              </w:rPr>
              <w:t>ae</w:t>
            </w:r>
            <w:r w:rsidRPr="00BE68F4">
              <w:rPr>
                <w:rFonts w:cs="Calibri"/>
                <w:sz w:val="20"/>
              </w:rPr>
              <w:t>mic shock. Not reported in infants.</w:t>
            </w:r>
          </w:p>
          <w:p w:rsidRPr="00BE68F4" w:rsidR="00192AFA" w:rsidP="00131848" w:rsidRDefault="00192AFA" w14:paraId="12099591" w14:textId="77777777">
            <w:pPr>
              <w:pStyle w:val="BodyText"/>
              <w:rPr>
                <w:rFonts w:cs="Calibri"/>
                <w:sz w:val="20"/>
              </w:rPr>
            </w:pPr>
            <w:r w:rsidRPr="00BE68F4">
              <w:rPr>
                <w:rFonts w:cs="Calibri"/>
                <w:sz w:val="20"/>
              </w:rPr>
              <w:t>Osmotic demyelinating syndrome.</w:t>
            </w:r>
          </w:p>
          <w:p w:rsidRPr="00BE68F4" w:rsidR="00192AFA" w:rsidP="00131848" w:rsidRDefault="00192AFA" w14:paraId="14BBA376" w14:textId="77777777">
            <w:pPr>
              <w:pStyle w:val="BodyText"/>
              <w:rPr>
                <w:rFonts w:cs="Calibri"/>
                <w:sz w:val="20"/>
              </w:rPr>
            </w:pPr>
            <w:r w:rsidRPr="00BE68F4">
              <w:rPr>
                <w:rFonts w:cs="Calibri"/>
                <w:sz w:val="20"/>
              </w:rPr>
              <w:t>Fever</w:t>
            </w:r>
          </w:p>
          <w:p w:rsidRPr="00BE68F4" w:rsidR="00192AFA" w:rsidP="00131848" w:rsidRDefault="00192AFA" w14:paraId="7D7A99CA" w14:textId="77777777">
            <w:pPr>
              <w:pStyle w:val="BodyText"/>
              <w:rPr>
                <w:rFonts w:cs="Calibri"/>
                <w:sz w:val="20"/>
              </w:rPr>
            </w:pPr>
            <w:r w:rsidRPr="00BE68F4">
              <w:rPr>
                <w:rFonts w:cs="Calibri"/>
                <w:sz w:val="20"/>
              </w:rPr>
              <w:t xml:space="preserve">IV site: </w:t>
            </w:r>
            <w:r>
              <w:rPr>
                <w:rFonts w:cs="Calibri"/>
                <w:sz w:val="20"/>
              </w:rPr>
              <w:t>E</w:t>
            </w:r>
            <w:r w:rsidRPr="00BE68F4">
              <w:rPr>
                <w:rFonts w:cs="Calibri"/>
                <w:sz w:val="20"/>
              </w:rPr>
              <w:t>xtravasation, phlebitis, venous thrombosis.</w:t>
            </w:r>
          </w:p>
          <w:p w:rsidRPr="00BE68F4" w:rsidR="00192AFA" w:rsidP="00131848" w:rsidRDefault="00192AFA" w14:paraId="636AD5DD" w14:textId="77777777">
            <w:pPr>
              <w:pStyle w:val="BodyText"/>
              <w:rPr>
                <w:rFonts w:cs="Calibri"/>
                <w:sz w:val="20"/>
              </w:rPr>
            </w:pPr>
            <w:r w:rsidRPr="00BE68F4">
              <w:rPr>
                <w:rFonts w:cs="Calibri"/>
                <w:sz w:val="20"/>
              </w:rPr>
              <w:t xml:space="preserve">Oral: </w:t>
            </w:r>
            <w:r>
              <w:rPr>
                <w:rFonts w:cs="Calibri"/>
                <w:sz w:val="20"/>
              </w:rPr>
              <w:t>G</w:t>
            </w:r>
            <w:r w:rsidRPr="00BE68F4">
              <w:rPr>
                <w:rFonts w:cs="Calibri"/>
                <w:sz w:val="20"/>
              </w:rPr>
              <w:t>astric irritation</w:t>
            </w:r>
            <w:r>
              <w:rPr>
                <w:rFonts w:cs="Calibri"/>
                <w:sz w:val="20"/>
              </w:rPr>
              <w:t>.</w:t>
            </w:r>
          </w:p>
        </w:tc>
      </w:tr>
      <w:tr w:rsidRPr="003A7895" w:rsidR="00192AFA" w:rsidTr="00D673B4" w14:paraId="369802C4" w14:textId="77777777">
        <w:trPr>
          <w:trHeight w:val="180"/>
        </w:trPr>
        <w:tc>
          <w:tcPr>
            <w:tcW w:w="1843" w:type="dxa"/>
          </w:tcPr>
          <w:p w:rsidRPr="00B53E9B" w:rsidR="00192AFA" w:rsidP="00131848" w:rsidRDefault="00192AFA" w14:paraId="28B0DB8A" w14:textId="77777777">
            <w:pPr>
              <w:pStyle w:val="BodyText"/>
              <w:rPr>
                <w:rFonts w:cs="Arial"/>
                <w:b/>
                <w:bCs/>
                <w:sz w:val="20"/>
              </w:rPr>
            </w:pPr>
            <w:r w:rsidRPr="00B53E9B">
              <w:rPr>
                <w:rFonts w:cs="Arial"/>
                <w:b/>
                <w:bCs/>
                <w:sz w:val="20"/>
              </w:rPr>
              <w:t>Compatibility</w:t>
            </w:r>
          </w:p>
        </w:tc>
        <w:tc>
          <w:tcPr>
            <w:tcW w:w="7542" w:type="dxa"/>
          </w:tcPr>
          <w:p w:rsidRPr="00BE68F4" w:rsidR="00192AFA" w:rsidP="00131848" w:rsidRDefault="00192AFA" w14:paraId="23E2F3C2" w14:textId="77777777">
            <w:pPr>
              <w:pStyle w:val="BodyText"/>
              <w:rPr>
                <w:rFonts w:cs="Calibri"/>
                <w:sz w:val="20"/>
              </w:rPr>
            </w:pPr>
            <w:r w:rsidRPr="00BE68F4">
              <w:rPr>
                <w:rFonts w:cs="Calibri"/>
                <w:b/>
                <w:sz w:val="20"/>
              </w:rPr>
              <w:t xml:space="preserve">IV Fluids: </w:t>
            </w:r>
            <w:r w:rsidRPr="00BE68F4">
              <w:rPr>
                <w:rFonts w:cs="Calibri"/>
                <w:sz w:val="20"/>
              </w:rPr>
              <w:t>Glucose 5%, glucose 10%, glucose 5% in sodium chloride 0.9%, glucose 5% in sodium chloride 0.45%, sodium chloride 0.9%, sodium chloride 0.45%.</w:t>
            </w:r>
          </w:p>
          <w:p w:rsidRPr="00BE68F4" w:rsidR="00192AFA" w:rsidP="00131848" w:rsidRDefault="00192AFA" w14:paraId="54AE1CE9" w14:textId="77777777">
            <w:pPr>
              <w:pStyle w:val="BodyText"/>
              <w:rPr>
                <w:rFonts w:cs="Calibri"/>
                <w:b/>
                <w:sz w:val="20"/>
              </w:rPr>
            </w:pPr>
            <w:r w:rsidRPr="00BE68F4">
              <w:rPr>
                <w:rFonts w:cs="Calibri"/>
                <w:sz w:val="20"/>
              </w:rPr>
              <w:t>Y site: No information</w:t>
            </w:r>
            <w:r>
              <w:rPr>
                <w:rFonts w:cs="Calibri"/>
                <w:sz w:val="20"/>
              </w:rPr>
              <w:t>.</w:t>
            </w:r>
          </w:p>
        </w:tc>
      </w:tr>
      <w:tr w:rsidRPr="003A7895" w:rsidR="00192AFA" w:rsidTr="00D673B4" w14:paraId="7018392F" w14:textId="77777777">
        <w:trPr>
          <w:trHeight w:val="230"/>
        </w:trPr>
        <w:tc>
          <w:tcPr>
            <w:tcW w:w="1843" w:type="dxa"/>
          </w:tcPr>
          <w:p w:rsidRPr="00B53E9B" w:rsidR="00192AFA" w:rsidP="00131848" w:rsidRDefault="00192AFA" w14:paraId="00AEF72B" w14:textId="77777777">
            <w:pPr>
              <w:pStyle w:val="BodyText"/>
              <w:rPr>
                <w:rFonts w:cs="Arial"/>
                <w:b/>
                <w:bCs/>
                <w:sz w:val="20"/>
              </w:rPr>
            </w:pPr>
            <w:r w:rsidRPr="00B53E9B">
              <w:rPr>
                <w:rFonts w:cs="Arial"/>
                <w:b/>
                <w:bCs/>
                <w:sz w:val="20"/>
              </w:rPr>
              <w:t>Incompatibility</w:t>
            </w:r>
          </w:p>
        </w:tc>
        <w:tc>
          <w:tcPr>
            <w:tcW w:w="7542" w:type="dxa"/>
          </w:tcPr>
          <w:p w:rsidRPr="00BE68F4" w:rsidR="00192AFA" w:rsidP="00131848" w:rsidRDefault="00192AFA" w14:paraId="534CD78E" w14:textId="77777777">
            <w:pPr>
              <w:pStyle w:val="BodyText"/>
              <w:rPr>
                <w:rFonts w:cs="Calibri"/>
                <w:sz w:val="20"/>
              </w:rPr>
            </w:pPr>
            <w:r w:rsidRPr="00BE68F4">
              <w:rPr>
                <w:rFonts w:cs="Calibri"/>
                <w:b/>
                <w:sz w:val="20"/>
              </w:rPr>
              <w:t>IV Fluids:</w:t>
            </w:r>
            <w:r w:rsidRPr="00BE68F4">
              <w:rPr>
                <w:rFonts w:cs="Calibri"/>
                <w:sz w:val="20"/>
              </w:rPr>
              <w:t xml:space="preserve"> Fat emulsion.</w:t>
            </w:r>
          </w:p>
          <w:p w:rsidRPr="00BE68F4" w:rsidR="00192AFA" w:rsidP="00131848" w:rsidRDefault="00192AFA" w14:paraId="45F63F80" w14:textId="77777777">
            <w:pPr>
              <w:pStyle w:val="BodyText"/>
              <w:rPr>
                <w:rFonts w:cs="Calibri"/>
                <w:sz w:val="20"/>
              </w:rPr>
            </w:pPr>
            <w:r w:rsidRPr="00BE68F4">
              <w:rPr>
                <w:rFonts w:cs="Calibri"/>
                <w:sz w:val="20"/>
              </w:rPr>
              <w:t>Y site: No information</w:t>
            </w:r>
            <w:r>
              <w:rPr>
                <w:rFonts w:cs="Calibri"/>
                <w:sz w:val="20"/>
              </w:rPr>
              <w:t>.</w:t>
            </w:r>
          </w:p>
          <w:p w:rsidRPr="00BE68F4" w:rsidR="00192AFA" w:rsidP="00131848" w:rsidRDefault="00192AFA" w14:paraId="12EED96F" w14:textId="77777777">
            <w:pPr>
              <w:pStyle w:val="BodyText"/>
              <w:rPr>
                <w:rFonts w:cs="Calibri"/>
                <w:sz w:val="20"/>
              </w:rPr>
            </w:pPr>
            <w:r w:rsidRPr="00BE68F4">
              <w:rPr>
                <w:rFonts w:cs="Calibri"/>
                <w:sz w:val="20"/>
              </w:rPr>
              <w:t>Amino Acid solutions</w:t>
            </w:r>
            <w:r>
              <w:rPr>
                <w:rFonts w:cs="Calibri"/>
                <w:sz w:val="20"/>
              </w:rPr>
              <w:t xml:space="preserve"> – </w:t>
            </w:r>
            <w:r w:rsidRPr="00BE68F4">
              <w:rPr>
                <w:rFonts w:cs="Calibri"/>
                <w:sz w:val="20"/>
              </w:rPr>
              <w:t>No information</w:t>
            </w:r>
            <w:r>
              <w:rPr>
                <w:rFonts w:cs="Calibri"/>
                <w:sz w:val="20"/>
              </w:rPr>
              <w:t>.</w:t>
            </w:r>
          </w:p>
        </w:tc>
      </w:tr>
      <w:tr w:rsidRPr="003A7895" w:rsidR="00192AFA" w:rsidTr="00D673B4" w14:paraId="2A98F590" w14:textId="77777777">
        <w:trPr>
          <w:trHeight w:val="79"/>
        </w:trPr>
        <w:tc>
          <w:tcPr>
            <w:tcW w:w="1843" w:type="dxa"/>
          </w:tcPr>
          <w:p w:rsidRPr="00B53E9B" w:rsidR="00192AFA" w:rsidP="00131848" w:rsidRDefault="00192AFA" w14:paraId="6C56B350" w14:textId="77777777">
            <w:pPr>
              <w:pStyle w:val="BodyText"/>
              <w:rPr>
                <w:rFonts w:cs="Arial"/>
                <w:b/>
                <w:bCs/>
                <w:sz w:val="20"/>
              </w:rPr>
            </w:pPr>
            <w:r w:rsidRPr="00B53E9B">
              <w:rPr>
                <w:rFonts w:cs="Arial"/>
                <w:b/>
                <w:bCs/>
                <w:sz w:val="20"/>
              </w:rPr>
              <w:t>Stability</w:t>
            </w:r>
          </w:p>
        </w:tc>
        <w:tc>
          <w:tcPr>
            <w:tcW w:w="7542" w:type="dxa"/>
          </w:tcPr>
          <w:p w:rsidR="00192AFA" w:rsidP="00131848" w:rsidRDefault="00192AFA" w14:paraId="5529EBFD" w14:textId="77777777">
            <w:pPr>
              <w:pStyle w:val="BodyText"/>
              <w:rPr>
                <w:rFonts w:cs="Calibri"/>
                <w:sz w:val="20"/>
              </w:rPr>
            </w:pPr>
            <w:r w:rsidRPr="00FC2467">
              <w:rPr>
                <w:rFonts w:cs="Calibri"/>
                <w:sz w:val="20"/>
                <w:u w:val="single"/>
              </w:rPr>
              <w:t>Oral solution</w:t>
            </w:r>
            <w:r>
              <w:rPr>
                <w:rFonts w:cs="Calibri"/>
                <w:sz w:val="20"/>
                <w:u w:val="single"/>
              </w:rPr>
              <w:t>:</w:t>
            </w:r>
            <w:r>
              <w:rPr>
                <w:rFonts w:cs="Calibri"/>
                <w:sz w:val="20"/>
              </w:rPr>
              <w:t xml:space="preserve"> Supplied by pharmacy has 7-day expiry from manufacture and 24 hours after opening. </w:t>
            </w:r>
          </w:p>
          <w:p w:rsidRPr="00BE68F4" w:rsidR="00192AFA" w:rsidP="00131848" w:rsidRDefault="00192AFA" w14:paraId="444F205A" w14:textId="77777777">
            <w:pPr>
              <w:pStyle w:val="BodyText"/>
              <w:rPr>
                <w:rFonts w:cs="Calibri"/>
                <w:sz w:val="20"/>
              </w:rPr>
            </w:pPr>
            <w:r w:rsidRPr="00FC2467">
              <w:rPr>
                <w:rFonts w:cs="Calibri"/>
                <w:sz w:val="20"/>
                <w:u w:val="single"/>
              </w:rPr>
              <w:t>Vials</w:t>
            </w:r>
            <w:r>
              <w:rPr>
                <w:rFonts w:cs="Calibri"/>
                <w:sz w:val="20"/>
              </w:rPr>
              <w:t>: 24-hour expiry after opening</w:t>
            </w:r>
          </w:p>
        </w:tc>
      </w:tr>
      <w:tr w:rsidRPr="003A7895" w:rsidR="00192AFA" w:rsidTr="00D673B4" w14:paraId="4EF1680D" w14:textId="77777777">
        <w:trPr>
          <w:trHeight w:val="70"/>
        </w:trPr>
        <w:tc>
          <w:tcPr>
            <w:tcW w:w="1843" w:type="dxa"/>
          </w:tcPr>
          <w:p w:rsidRPr="00B53E9B" w:rsidR="00192AFA" w:rsidP="00131848" w:rsidRDefault="00192AFA" w14:paraId="4911591F" w14:textId="77777777">
            <w:pPr>
              <w:pStyle w:val="BodyText"/>
              <w:rPr>
                <w:rFonts w:cs="Arial"/>
                <w:b/>
                <w:bCs/>
                <w:sz w:val="20"/>
              </w:rPr>
            </w:pPr>
            <w:r w:rsidRPr="00B53E9B">
              <w:rPr>
                <w:rFonts w:cs="Arial"/>
                <w:b/>
                <w:bCs/>
                <w:sz w:val="20"/>
              </w:rPr>
              <w:t xml:space="preserve">Storage </w:t>
            </w:r>
          </w:p>
        </w:tc>
        <w:tc>
          <w:tcPr>
            <w:tcW w:w="7542" w:type="dxa"/>
          </w:tcPr>
          <w:p w:rsidR="00192AFA" w:rsidP="00131848" w:rsidRDefault="00192AFA" w14:paraId="3994E2DD" w14:textId="77777777">
            <w:pPr>
              <w:pStyle w:val="BodyText"/>
              <w:rPr>
                <w:rFonts w:cs="Calibri"/>
                <w:sz w:val="20"/>
              </w:rPr>
            </w:pPr>
            <w:r w:rsidRPr="0054113A">
              <w:rPr>
                <w:rFonts w:cs="Calibri"/>
                <w:sz w:val="20"/>
              </w:rPr>
              <w:t>IV</w:t>
            </w:r>
            <w:r>
              <w:rPr>
                <w:rFonts w:cs="Calibri"/>
                <w:sz w:val="20"/>
              </w:rPr>
              <w:t xml:space="preserve">: </w:t>
            </w:r>
            <w:r w:rsidRPr="00BE68F4">
              <w:rPr>
                <w:rFonts w:cs="Calibri"/>
                <w:sz w:val="20"/>
              </w:rPr>
              <w:t>Store at room temperature, 20</w:t>
            </w:r>
            <w:r>
              <w:rPr>
                <w:rFonts w:cs="Calibri"/>
                <w:sz w:val="20"/>
              </w:rPr>
              <w:t>–</w:t>
            </w:r>
            <w:r w:rsidRPr="00BE68F4">
              <w:rPr>
                <w:rFonts w:cs="Calibri"/>
                <w:sz w:val="20"/>
              </w:rPr>
              <w:t>25</w:t>
            </w:r>
            <w:r>
              <w:rPr>
                <w:rFonts w:cs="Calibri"/>
                <w:sz w:val="20"/>
              </w:rPr>
              <w:t>°</w:t>
            </w:r>
            <w:r w:rsidRPr="00BE68F4">
              <w:rPr>
                <w:rFonts w:cs="Calibri"/>
                <w:sz w:val="20"/>
              </w:rPr>
              <w:t xml:space="preserve">C. </w:t>
            </w:r>
          </w:p>
          <w:p w:rsidR="00192AFA" w:rsidP="00131848" w:rsidRDefault="00192AFA" w14:paraId="1FD001A4" w14:textId="77777777">
            <w:pPr>
              <w:pStyle w:val="BodyText"/>
              <w:rPr>
                <w:rFonts w:cs="Calibri"/>
                <w:sz w:val="20"/>
              </w:rPr>
            </w:pPr>
            <w:r>
              <w:rPr>
                <w:rFonts w:cs="Calibri"/>
                <w:sz w:val="20"/>
              </w:rPr>
              <w:t>Oral solution: Refrigerate (2–8°</w:t>
            </w:r>
            <w:r w:rsidRPr="00BE68F4">
              <w:rPr>
                <w:rFonts w:cs="Calibri"/>
                <w:sz w:val="20"/>
              </w:rPr>
              <w:t>C</w:t>
            </w:r>
            <w:r>
              <w:rPr>
                <w:rFonts w:cs="Calibri"/>
                <w:sz w:val="20"/>
              </w:rPr>
              <w:t>)</w:t>
            </w:r>
          </w:p>
          <w:p w:rsidRPr="00BE68F4" w:rsidR="00192AFA" w:rsidP="00131848" w:rsidRDefault="00192AFA" w14:paraId="09DBC3C1" w14:textId="77777777">
            <w:pPr>
              <w:pStyle w:val="BodyText"/>
              <w:rPr>
                <w:rFonts w:cs="Calibri"/>
                <w:sz w:val="20"/>
              </w:rPr>
            </w:pPr>
            <w:r>
              <w:rPr>
                <w:rFonts w:cs="Calibri"/>
                <w:sz w:val="20"/>
              </w:rPr>
              <w:t xml:space="preserve">Vials: </w:t>
            </w:r>
            <w:r w:rsidRPr="00BE68F4">
              <w:rPr>
                <w:rFonts w:cs="Calibri"/>
                <w:sz w:val="20"/>
              </w:rPr>
              <w:t>Store at room temperature, 20</w:t>
            </w:r>
            <w:r>
              <w:rPr>
                <w:rFonts w:cs="Calibri"/>
                <w:sz w:val="20"/>
              </w:rPr>
              <w:t>–</w:t>
            </w:r>
            <w:r w:rsidRPr="00BE68F4">
              <w:rPr>
                <w:rFonts w:cs="Calibri"/>
                <w:sz w:val="20"/>
              </w:rPr>
              <w:t>25</w:t>
            </w:r>
            <w:r>
              <w:rPr>
                <w:rFonts w:cs="Calibri"/>
                <w:sz w:val="20"/>
              </w:rPr>
              <w:t>°</w:t>
            </w:r>
            <w:r w:rsidRPr="00BE68F4">
              <w:rPr>
                <w:rFonts w:cs="Calibri"/>
                <w:sz w:val="20"/>
              </w:rPr>
              <w:t>C</w:t>
            </w:r>
            <w:r>
              <w:rPr>
                <w:rFonts w:cs="Calibri"/>
                <w:sz w:val="20"/>
              </w:rPr>
              <w:t>, once opened refrigerate vials ((2–8°</w:t>
            </w:r>
            <w:r w:rsidRPr="00BE68F4">
              <w:rPr>
                <w:rFonts w:cs="Calibri"/>
                <w:sz w:val="20"/>
              </w:rPr>
              <w:t>C</w:t>
            </w:r>
            <w:r>
              <w:rPr>
                <w:rFonts w:cs="Calibri"/>
                <w:sz w:val="20"/>
              </w:rPr>
              <w:t>)</w:t>
            </w:r>
          </w:p>
        </w:tc>
      </w:tr>
      <w:tr w:rsidRPr="003A7895" w:rsidR="00192AFA" w:rsidTr="00D673B4" w14:paraId="582ABD36" w14:textId="77777777">
        <w:trPr>
          <w:trHeight w:val="70"/>
        </w:trPr>
        <w:tc>
          <w:tcPr>
            <w:tcW w:w="1843" w:type="dxa"/>
          </w:tcPr>
          <w:p w:rsidRPr="00B53E9B" w:rsidR="00192AFA" w:rsidP="00131848" w:rsidRDefault="00192AFA" w14:paraId="1E31A99E" w14:textId="77777777">
            <w:pPr>
              <w:pStyle w:val="BodyText"/>
              <w:rPr>
                <w:rFonts w:cs="Arial"/>
                <w:b/>
                <w:bCs/>
                <w:sz w:val="20"/>
              </w:rPr>
            </w:pPr>
            <w:r w:rsidRPr="00B53E9B">
              <w:rPr>
                <w:rFonts w:cs="Arial"/>
                <w:b/>
                <w:bCs/>
                <w:sz w:val="20"/>
              </w:rPr>
              <w:t>Excipients</w:t>
            </w:r>
          </w:p>
        </w:tc>
        <w:tc>
          <w:tcPr>
            <w:tcW w:w="7542" w:type="dxa"/>
          </w:tcPr>
          <w:p w:rsidRPr="00026F20" w:rsidR="00192AFA" w:rsidP="00131848" w:rsidRDefault="00192AFA" w14:paraId="7244E5A4" w14:textId="77777777">
            <w:pPr>
              <w:pStyle w:val="BodyText"/>
              <w:rPr>
                <w:rFonts w:cs="Arial"/>
                <w:sz w:val="20"/>
              </w:rPr>
            </w:pPr>
          </w:p>
        </w:tc>
      </w:tr>
      <w:tr w:rsidRPr="003A7895" w:rsidR="00192AFA" w:rsidTr="00D673B4" w14:paraId="46DD1F21" w14:textId="77777777">
        <w:trPr>
          <w:trHeight w:val="270"/>
        </w:trPr>
        <w:tc>
          <w:tcPr>
            <w:tcW w:w="1843" w:type="dxa"/>
          </w:tcPr>
          <w:p w:rsidRPr="00B53E9B" w:rsidR="00192AFA" w:rsidP="00131848" w:rsidRDefault="00192AFA" w14:paraId="7AA9AB89"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42" w:type="dxa"/>
          </w:tcPr>
          <w:p w:rsidR="00192AFA" w:rsidP="00131848" w:rsidRDefault="00192AFA" w14:paraId="5A26AEB0" w14:textId="77777777">
            <w:pPr>
              <w:pStyle w:val="Default"/>
              <w:rPr>
                <w:rFonts w:ascii="Calibri" w:hAnsi="Calibri" w:cs="Calibri"/>
                <w:sz w:val="20"/>
              </w:rPr>
            </w:pPr>
            <w:r>
              <w:rPr>
                <w:rFonts w:ascii="Calibri" w:hAnsi="Calibri" w:cs="Calibri"/>
                <w:sz w:val="20"/>
              </w:rPr>
              <w:t>Osmolarity of undiluted hypertonic sodium chloride is &gt; 1000 mOsm/L, posing the risk of extravasation for peripheral IV solutions.</w:t>
            </w:r>
            <w:r>
              <w:rPr>
                <w:rFonts w:ascii="Calibri" w:hAnsi="Calibri" w:cs="Calibri"/>
                <w:sz w:val="20"/>
                <w:vertAlign w:val="superscript"/>
              </w:rPr>
              <w:t>3,4</w:t>
            </w:r>
            <w:r>
              <w:rPr>
                <w:rFonts w:ascii="Calibri" w:hAnsi="Calibri" w:cs="Calibri"/>
                <w:sz w:val="20"/>
              </w:rPr>
              <w:t xml:space="preserve"> So, local consensus was to bring the osmolarity of IV preparation to 2.4% sodium chloride that has 0.4 mmol/mL of sodium and an estimated osmolality of 855 mOsm/L.</w:t>
            </w:r>
          </w:p>
          <w:p w:rsidR="00192AFA" w:rsidP="00131848" w:rsidRDefault="00192AFA" w14:paraId="190882F6" w14:textId="77777777">
            <w:pPr>
              <w:pStyle w:val="Default"/>
              <w:rPr>
                <w:rFonts w:ascii="Calibri" w:hAnsi="Calibri" w:cs="Calibri"/>
                <w:sz w:val="20"/>
              </w:rPr>
            </w:pPr>
          </w:p>
          <w:p w:rsidRPr="00344000" w:rsidR="00192AFA" w:rsidP="00131848" w:rsidRDefault="00192AFA" w14:paraId="7694D5DB" w14:textId="77777777">
            <w:pPr>
              <w:pStyle w:val="Default"/>
              <w:rPr>
                <w:rFonts w:ascii="Calibri" w:hAnsi="Calibri" w:cs="Calibri"/>
                <w:sz w:val="20"/>
              </w:rPr>
            </w:pPr>
            <w:r w:rsidRPr="00166584">
              <w:rPr>
                <w:rFonts w:ascii="Calibri" w:hAnsi="Calibri" w:cs="Calibri"/>
                <w:sz w:val="20"/>
              </w:rPr>
              <w:t>Total body water is traditionally calculated as weight x 0.6 in children. Greater total body water content in newborns should be considered and therefore should be calculated as weight x 0.75</w:t>
            </w:r>
            <w:r>
              <w:rPr>
                <w:rFonts w:ascii="Calibri" w:hAnsi="Calibri" w:cs="Calibri"/>
                <w:sz w:val="20"/>
              </w:rPr>
              <w:t>.</w:t>
            </w:r>
            <w:r>
              <w:rPr>
                <w:rFonts w:ascii="Calibri" w:hAnsi="Calibri" w:cs="Calibri"/>
                <w:sz w:val="20"/>
                <w:vertAlign w:val="superscript"/>
              </w:rPr>
              <w:t>2,5</w:t>
            </w:r>
            <w:r>
              <w:rPr>
                <w:rFonts w:ascii="Calibri" w:hAnsi="Calibri" w:cs="Calibri"/>
                <w:sz w:val="20"/>
              </w:rPr>
              <w:t xml:space="preserve"> </w:t>
            </w:r>
          </w:p>
        </w:tc>
      </w:tr>
      <w:tr w:rsidRPr="003A7895" w:rsidR="00192AFA" w:rsidTr="00D673B4" w14:paraId="597537AE" w14:textId="77777777">
        <w:trPr>
          <w:trHeight w:val="280"/>
        </w:trPr>
        <w:tc>
          <w:tcPr>
            <w:tcW w:w="1843" w:type="dxa"/>
          </w:tcPr>
          <w:p w:rsidRPr="00B53E9B" w:rsidR="00192AFA" w:rsidP="00131848" w:rsidRDefault="00192AFA" w14:paraId="2C001679" w14:textId="77777777">
            <w:pPr>
              <w:pStyle w:val="BodyText"/>
              <w:rPr>
                <w:rFonts w:cs="Arial"/>
                <w:b/>
                <w:bCs/>
                <w:sz w:val="20"/>
              </w:rPr>
            </w:pPr>
            <w:r w:rsidRPr="00B53E9B">
              <w:rPr>
                <w:rFonts w:cs="Arial"/>
                <w:b/>
                <w:bCs/>
                <w:sz w:val="20"/>
              </w:rPr>
              <w:t>Evidence</w:t>
            </w:r>
          </w:p>
        </w:tc>
        <w:tc>
          <w:tcPr>
            <w:tcW w:w="7542" w:type="dxa"/>
          </w:tcPr>
          <w:p w:rsidRPr="00D673B4" w:rsidR="00192AFA" w:rsidP="00131848" w:rsidRDefault="00192AFA" w14:paraId="1A6ADF80" w14:textId="77777777">
            <w:pPr>
              <w:autoSpaceDE w:val="0"/>
              <w:autoSpaceDN w:val="0"/>
              <w:adjustRightInd w:val="0"/>
              <w:rPr>
                <w:rFonts w:cs="Calibri"/>
                <w:sz w:val="16"/>
                <w:szCs w:val="16"/>
                <w:u w:val="single"/>
              </w:rPr>
            </w:pPr>
            <w:r w:rsidRPr="00D673B4">
              <w:rPr>
                <w:rFonts w:cs="Calibri"/>
                <w:sz w:val="16"/>
                <w:szCs w:val="16"/>
                <w:u w:val="single"/>
              </w:rPr>
              <w:t>IV correction for severe and/or symptomatic hyponatraemia</w:t>
            </w:r>
          </w:p>
          <w:p w:rsidRPr="00D673B4" w:rsidR="00192AFA" w:rsidP="00131848" w:rsidRDefault="00192AFA" w14:paraId="110CE62E" w14:textId="77777777">
            <w:pPr>
              <w:autoSpaceDE w:val="0"/>
              <w:autoSpaceDN w:val="0"/>
              <w:adjustRightInd w:val="0"/>
              <w:rPr>
                <w:rFonts w:cs="Calibri"/>
                <w:sz w:val="16"/>
                <w:szCs w:val="16"/>
              </w:rPr>
            </w:pPr>
            <w:r w:rsidRPr="00D673B4">
              <w:rPr>
                <w:rFonts w:cs="Calibri"/>
                <w:sz w:val="16"/>
                <w:szCs w:val="16"/>
              </w:rPr>
              <w:t>The body of evidence to base recommendations in this clinical setting is extremely limited, particularly in neonatal populations. Recommendations are based on expert opinion, which have been extrapolated from adult consensus guidelines</w:t>
            </w:r>
            <w:r w:rsidRPr="00D673B4">
              <w:rPr>
                <w:rFonts w:cs="Calibri"/>
                <w:sz w:val="16"/>
                <w:szCs w:val="16"/>
                <w:vertAlign w:val="superscript"/>
              </w:rPr>
              <w:t xml:space="preserve">6,7 </w:t>
            </w:r>
            <w:r w:rsidRPr="00D673B4">
              <w:rPr>
                <w:rFonts w:cs="Calibri"/>
                <w:sz w:val="16"/>
                <w:szCs w:val="16"/>
              </w:rPr>
              <w:t>and take into account specific neonatal safety concerns (see Safety below). In acute hyponatraemia, where the risk of sequelae is greater than that of osmotic demyelination, the correction should be rapid.</w:t>
            </w:r>
            <w:r w:rsidRPr="00D673B4">
              <w:rPr>
                <w:rFonts w:cs="Calibri"/>
                <w:sz w:val="16"/>
                <w:szCs w:val="16"/>
                <w:vertAlign w:val="superscript"/>
              </w:rPr>
              <w:t>8</w:t>
            </w:r>
            <w:r w:rsidRPr="00D673B4">
              <w:rPr>
                <w:rFonts w:cs="Calibri"/>
                <w:sz w:val="16"/>
                <w:szCs w:val="16"/>
              </w:rPr>
              <w:t xml:space="preserve"> </w:t>
            </w:r>
          </w:p>
          <w:p w:rsidRPr="00D673B4" w:rsidR="00192AFA" w:rsidP="00131848" w:rsidRDefault="00192AFA" w14:paraId="36E71A6C" w14:textId="77777777">
            <w:pPr>
              <w:autoSpaceDE w:val="0"/>
              <w:autoSpaceDN w:val="0"/>
              <w:adjustRightInd w:val="0"/>
              <w:rPr>
                <w:rFonts w:cs="Calibri"/>
                <w:sz w:val="16"/>
                <w:szCs w:val="16"/>
              </w:rPr>
            </w:pPr>
          </w:p>
          <w:p w:rsidRPr="00D673B4" w:rsidR="00192AFA" w:rsidP="00131848" w:rsidRDefault="00192AFA" w14:paraId="5AED856A" w14:textId="77777777">
            <w:pPr>
              <w:autoSpaceDE w:val="0"/>
              <w:autoSpaceDN w:val="0"/>
              <w:adjustRightInd w:val="0"/>
              <w:rPr>
                <w:rFonts w:cs="Calibri"/>
                <w:sz w:val="16"/>
                <w:szCs w:val="16"/>
              </w:rPr>
            </w:pPr>
            <w:r w:rsidRPr="00D673B4">
              <w:rPr>
                <w:rFonts w:cs="Calibri"/>
                <w:sz w:val="16"/>
                <w:szCs w:val="16"/>
              </w:rPr>
              <w:lastRenderedPageBreak/>
              <w:t>Aim to increase serum sodium by 1–2 mmol/L per hour until symptoms abate or a safe level of serum sodium is achieved (≥ 120 mmol/L).</w:t>
            </w:r>
            <w:r w:rsidRPr="00D673B4">
              <w:rPr>
                <w:rFonts w:cs="Calibri"/>
                <w:sz w:val="16"/>
                <w:szCs w:val="16"/>
                <w:vertAlign w:val="superscript"/>
              </w:rPr>
              <w:t>9</w:t>
            </w:r>
            <w:r w:rsidRPr="00D673B4">
              <w:rPr>
                <w:rFonts w:cs="Calibri"/>
                <w:sz w:val="16"/>
                <w:szCs w:val="16"/>
              </w:rPr>
              <w:t xml:space="preserve"> Once the safe level is achieved, suggested subsequent goals are 6–8 mmol/L in 24 hours, 12–14 mmol/L in 48 hours and 14–16 mmol/L in 72 hours.</w:t>
            </w:r>
            <w:r w:rsidRPr="00D673B4">
              <w:rPr>
                <w:rFonts w:cs="Calibri"/>
                <w:sz w:val="16"/>
                <w:szCs w:val="16"/>
                <w:vertAlign w:val="superscript"/>
              </w:rPr>
              <w:t>10</w:t>
            </w:r>
            <w:r w:rsidRPr="00D673B4">
              <w:rPr>
                <w:rFonts w:cs="Calibri"/>
                <w:sz w:val="16"/>
                <w:szCs w:val="16"/>
              </w:rPr>
              <w:t xml:space="preserve"> (LOE IV, GOR C)</w:t>
            </w:r>
          </w:p>
          <w:p w:rsidRPr="00D673B4" w:rsidR="00192AFA" w:rsidP="00131848" w:rsidRDefault="00192AFA" w14:paraId="652407BA" w14:textId="77777777">
            <w:pPr>
              <w:autoSpaceDE w:val="0"/>
              <w:autoSpaceDN w:val="0"/>
              <w:adjustRightInd w:val="0"/>
              <w:rPr>
                <w:rFonts w:cs="Calibri"/>
                <w:sz w:val="16"/>
                <w:szCs w:val="16"/>
              </w:rPr>
            </w:pPr>
          </w:p>
          <w:p w:rsidRPr="00D673B4" w:rsidR="00192AFA" w:rsidP="00131848" w:rsidRDefault="00192AFA" w14:paraId="32494AB4" w14:textId="77777777">
            <w:pPr>
              <w:autoSpaceDE w:val="0"/>
              <w:autoSpaceDN w:val="0"/>
              <w:adjustRightInd w:val="0"/>
              <w:rPr>
                <w:rFonts w:cs="Calibri"/>
                <w:sz w:val="16"/>
                <w:szCs w:val="16"/>
              </w:rPr>
            </w:pPr>
            <w:r w:rsidRPr="00D673B4">
              <w:rPr>
                <w:rFonts w:cs="Calibri"/>
                <w:sz w:val="16"/>
                <w:szCs w:val="16"/>
              </w:rPr>
              <w:t>Dosage and infusion rate recommendations in this formulary are extrapolated from the rate of rise expected with sodium chloride 3%</w:t>
            </w:r>
            <w:r w:rsidRPr="00D673B4">
              <w:rPr>
                <w:rFonts w:cs="Calibri"/>
                <w:sz w:val="16"/>
                <w:szCs w:val="16"/>
                <w:vertAlign w:val="superscript"/>
              </w:rPr>
              <w:t>2</w:t>
            </w:r>
            <w:r w:rsidRPr="00D673B4">
              <w:rPr>
                <w:rFonts w:cs="Calibri"/>
                <w:sz w:val="16"/>
                <w:szCs w:val="16"/>
              </w:rPr>
              <w:t xml:space="preserve"> and are as follows:</w:t>
            </w:r>
          </w:p>
          <w:p w:rsidRPr="00D673B4" w:rsidR="00192AFA" w:rsidP="00131848" w:rsidRDefault="00192AFA" w14:paraId="40C3B6F4" w14:textId="77777777">
            <w:pPr>
              <w:autoSpaceDE w:val="0"/>
              <w:autoSpaceDN w:val="0"/>
              <w:adjustRightInd w:val="0"/>
              <w:rPr>
                <w:rFonts w:cs="Calibri"/>
                <w:sz w:val="16"/>
                <w:szCs w:val="16"/>
              </w:rPr>
            </w:pPr>
            <w:r w:rsidRPr="00D673B4">
              <w:rPr>
                <w:rFonts w:cs="Calibri"/>
                <w:sz w:val="16"/>
                <w:szCs w:val="16"/>
              </w:rPr>
              <w:t>0.5 mmol/mL of sodium chloride (i.e. sodium chloride 3%), when administered at 1 mL/kg, will raise serum sodium by 1 mmol/L.</w:t>
            </w:r>
          </w:p>
          <w:p w:rsidRPr="00D673B4" w:rsidR="00192AFA" w:rsidP="00131848" w:rsidRDefault="00192AFA" w14:paraId="2F4E8722" w14:textId="77777777">
            <w:pPr>
              <w:autoSpaceDE w:val="0"/>
              <w:autoSpaceDN w:val="0"/>
              <w:adjustRightInd w:val="0"/>
              <w:rPr>
                <w:rFonts w:cs="Calibri"/>
                <w:sz w:val="16"/>
                <w:szCs w:val="16"/>
              </w:rPr>
            </w:pPr>
            <w:r w:rsidRPr="00D673B4">
              <w:rPr>
                <w:rFonts w:cs="Calibri"/>
                <w:sz w:val="16"/>
                <w:szCs w:val="16"/>
              </w:rPr>
              <w:t>0.4 mmol/mL of sodium chloride (i.e. diluted sodium chloride in this formulary), when administered at 1 mL/kg, will raise serum sodium by 0.8 mmol/L.</w:t>
            </w:r>
          </w:p>
          <w:p w:rsidRPr="00D673B4" w:rsidR="00192AFA" w:rsidP="00131848" w:rsidRDefault="00192AFA" w14:paraId="72A2EAAE" w14:textId="77777777">
            <w:pPr>
              <w:autoSpaceDE w:val="0"/>
              <w:autoSpaceDN w:val="0"/>
              <w:adjustRightInd w:val="0"/>
              <w:rPr>
                <w:rFonts w:cs="Calibri"/>
                <w:sz w:val="16"/>
                <w:szCs w:val="16"/>
              </w:rPr>
            </w:pPr>
          </w:p>
          <w:p w:rsidRPr="00D673B4" w:rsidR="00192AFA" w:rsidP="00131848" w:rsidRDefault="00192AFA" w14:paraId="6F12126A" w14:textId="77777777">
            <w:pPr>
              <w:autoSpaceDE w:val="0"/>
              <w:autoSpaceDN w:val="0"/>
              <w:adjustRightInd w:val="0"/>
              <w:rPr>
                <w:rFonts w:cs="Calibri"/>
                <w:sz w:val="16"/>
                <w:szCs w:val="16"/>
                <w:u w:val="single"/>
              </w:rPr>
            </w:pPr>
            <w:r w:rsidRPr="00D673B4">
              <w:rPr>
                <w:rFonts w:cs="Calibri"/>
                <w:sz w:val="16"/>
                <w:szCs w:val="16"/>
                <w:u w:val="single"/>
              </w:rPr>
              <w:t>Sodium deficit calculation</w:t>
            </w:r>
          </w:p>
          <w:p w:rsidRPr="00D673B4" w:rsidR="00192AFA" w:rsidP="00131848" w:rsidRDefault="00192AFA" w14:paraId="23595A6E" w14:textId="77777777">
            <w:pPr>
              <w:autoSpaceDE w:val="0"/>
              <w:autoSpaceDN w:val="0"/>
              <w:adjustRightInd w:val="0"/>
              <w:spacing w:before="100" w:after="100"/>
              <w:jc w:val="center"/>
              <w:rPr>
                <w:rFonts w:cs="Calibri"/>
                <w:sz w:val="16"/>
                <w:szCs w:val="16"/>
              </w:rPr>
            </w:pPr>
            <w:r w:rsidRPr="00D673B4">
              <w:rPr>
                <w:rFonts w:cs="Calibri"/>
                <w:sz w:val="16"/>
                <w:szCs w:val="16"/>
              </w:rPr>
              <w:t>Deficit in mmol = (desired sodium – serum sodium) x total body water</w:t>
            </w:r>
          </w:p>
          <w:p w:rsidRPr="00D673B4" w:rsidR="00192AFA" w:rsidP="00131848" w:rsidRDefault="00192AFA" w14:paraId="35EEF36C" w14:textId="77777777">
            <w:pPr>
              <w:autoSpaceDE w:val="0"/>
              <w:autoSpaceDN w:val="0"/>
              <w:adjustRightInd w:val="0"/>
              <w:rPr>
                <w:rFonts w:cs="Calibri"/>
                <w:sz w:val="16"/>
                <w:szCs w:val="16"/>
              </w:rPr>
            </w:pPr>
            <w:r w:rsidRPr="00D673B4">
              <w:rPr>
                <w:rFonts w:cs="Calibri"/>
                <w:sz w:val="16"/>
                <w:szCs w:val="16"/>
              </w:rPr>
              <w:t>Total body water is traditionally calculated as weight x 0.6 in children. Greater total body water content in newborns should be considered and therefore should be calculated as weight x 0.75.</w:t>
            </w:r>
            <w:r w:rsidRPr="00D673B4">
              <w:rPr>
                <w:rFonts w:cs="Calibri"/>
                <w:sz w:val="16"/>
                <w:szCs w:val="16"/>
                <w:vertAlign w:val="superscript"/>
              </w:rPr>
              <w:t>2,5</w:t>
            </w:r>
            <w:r w:rsidRPr="00D673B4">
              <w:rPr>
                <w:rFonts w:cs="Calibri"/>
                <w:sz w:val="16"/>
                <w:szCs w:val="16"/>
              </w:rPr>
              <w:t xml:space="preserve"> (LOE IV, GOR C)</w:t>
            </w:r>
          </w:p>
          <w:p w:rsidRPr="00D673B4" w:rsidR="00192AFA" w:rsidP="00131848" w:rsidRDefault="00192AFA" w14:paraId="2AFD3853" w14:textId="77777777">
            <w:pPr>
              <w:autoSpaceDE w:val="0"/>
              <w:autoSpaceDN w:val="0"/>
              <w:adjustRightInd w:val="0"/>
              <w:rPr>
                <w:rFonts w:cs="Calibri"/>
                <w:sz w:val="16"/>
                <w:szCs w:val="16"/>
              </w:rPr>
            </w:pPr>
          </w:p>
          <w:p w:rsidRPr="00D673B4" w:rsidR="00192AFA" w:rsidP="00131848" w:rsidRDefault="00192AFA" w14:paraId="4F668392" w14:textId="77777777">
            <w:pPr>
              <w:autoSpaceDE w:val="0"/>
              <w:autoSpaceDN w:val="0"/>
              <w:adjustRightInd w:val="0"/>
              <w:rPr>
                <w:rFonts w:cs="Calibri"/>
                <w:sz w:val="16"/>
                <w:szCs w:val="16"/>
                <w:u w:val="single"/>
              </w:rPr>
            </w:pPr>
            <w:r w:rsidRPr="00D673B4">
              <w:rPr>
                <w:rFonts w:cs="Calibri"/>
                <w:sz w:val="16"/>
                <w:szCs w:val="16"/>
                <w:u w:val="single"/>
              </w:rPr>
              <w:t xml:space="preserve">Oral supplementation </w:t>
            </w:r>
          </w:p>
          <w:p w:rsidRPr="00D673B4" w:rsidR="00192AFA" w:rsidP="00131848" w:rsidRDefault="00192AFA" w14:paraId="2AD25374" w14:textId="77777777">
            <w:pPr>
              <w:autoSpaceDE w:val="0"/>
              <w:autoSpaceDN w:val="0"/>
              <w:adjustRightInd w:val="0"/>
              <w:rPr>
                <w:rFonts w:cs="Calibri"/>
                <w:sz w:val="16"/>
                <w:szCs w:val="16"/>
              </w:rPr>
            </w:pPr>
            <w:r w:rsidRPr="00D673B4">
              <w:rPr>
                <w:rFonts w:cs="Calibri"/>
                <w:sz w:val="16"/>
                <w:szCs w:val="16"/>
              </w:rPr>
              <w:t>A randomised, controlled trial of 4 mmol/kg/d (0.4 mL/kg per dose of 2.5 mmol/mL sodium chloride) of sodium versus placebo from DOL 7 to 35 in infants born 24–31 weeks (53 infants) showed higher serum sodium levels and increased weight gain in the intervention group.</w:t>
            </w:r>
            <w:r w:rsidRPr="00D673B4">
              <w:rPr>
                <w:rFonts w:cs="Calibri"/>
                <w:sz w:val="16"/>
                <w:szCs w:val="16"/>
                <w:vertAlign w:val="superscript"/>
              </w:rPr>
              <w:t xml:space="preserve">11 </w:t>
            </w:r>
            <w:r w:rsidRPr="00D673B4">
              <w:rPr>
                <w:rFonts w:cs="Calibri"/>
                <w:sz w:val="16"/>
                <w:szCs w:val="16"/>
              </w:rPr>
              <w:t>A randomised, controlled trial of 4 mmol/kg/d (concentration not specified) of sodium versus placebo from DOL 4 to 14 in infants born at 29–34 weeks (20 infants) showed higher serum sodium levels and increased weight gain in the intervention group.</w:t>
            </w:r>
            <w:r w:rsidRPr="00D673B4">
              <w:rPr>
                <w:rFonts w:cs="Calibri"/>
                <w:sz w:val="16"/>
                <w:szCs w:val="16"/>
                <w:vertAlign w:val="superscript"/>
              </w:rPr>
              <w:t>12</w:t>
            </w:r>
            <w:r w:rsidRPr="00D673B4">
              <w:rPr>
                <w:rFonts w:cs="Calibri"/>
                <w:sz w:val="16"/>
                <w:szCs w:val="16"/>
              </w:rPr>
              <w:t xml:space="preserve"> There are also three case-control studies that report similar findings with respect to serum sodium levels and growth in preterm infants supplemented with oral sodium.</w:t>
            </w:r>
            <w:r w:rsidRPr="00D673B4">
              <w:rPr>
                <w:rFonts w:cs="Calibri"/>
                <w:sz w:val="16"/>
                <w:szCs w:val="16"/>
                <w:vertAlign w:val="superscript"/>
              </w:rPr>
              <w:t xml:space="preserve">13-15 </w:t>
            </w:r>
            <w:r w:rsidRPr="00D673B4">
              <w:rPr>
                <w:rFonts w:cs="Calibri"/>
                <w:sz w:val="16"/>
                <w:szCs w:val="16"/>
              </w:rPr>
              <w:t>A systematic review comparing higher versus lower sodium intake for preterm infants is in progress.</w:t>
            </w:r>
            <w:r w:rsidRPr="00D673B4">
              <w:rPr>
                <w:rFonts w:cs="Calibri"/>
                <w:sz w:val="16"/>
                <w:szCs w:val="16"/>
                <w:vertAlign w:val="superscript"/>
              </w:rPr>
              <w:t xml:space="preserve">16 </w:t>
            </w:r>
            <w:r w:rsidRPr="00D673B4">
              <w:rPr>
                <w:rFonts w:cs="Calibri"/>
                <w:sz w:val="16"/>
                <w:szCs w:val="16"/>
              </w:rPr>
              <w:t>These findings support the use of oral sodium supplements to correct hyponatraemia and potentially improve growth. (LOE II, GOR B)</w:t>
            </w:r>
          </w:p>
          <w:p w:rsidRPr="00D673B4" w:rsidR="00192AFA" w:rsidP="00131848" w:rsidRDefault="00192AFA" w14:paraId="61D853B1" w14:textId="77777777">
            <w:pPr>
              <w:autoSpaceDE w:val="0"/>
              <w:autoSpaceDN w:val="0"/>
              <w:adjustRightInd w:val="0"/>
              <w:rPr>
                <w:rFonts w:cs="Calibri"/>
                <w:sz w:val="16"/>
                <w:szCs w:val="16"/>
              </w:rPr>
            </w:pPr>
          </w:p>
          <w:p w:rsidRPr="00D673B4" w:rsidR="00192AFA" w:rsidP="00131848" w:rsidRDefault="00192AFA" w14:paraId="430FA33D" w14:textId="77777777">
            <w:pPr>
              <w:autoSpaceDE w:val="0"/>
              <w:autoSpaceDN w:val="0"/>
              <w:adjustRightInd w:val="0"/>
              <w:rPr>
                <w:rFonts w:cs="Calibri"/>
                <w:sz w:val="16"/>
                <w:szCs w:val="16"/>
                <w:u w:val="single"/>
              </w:rPr>
            </w:pPr>
            <w:r w:rsidRPr="00D673B4">
              <w:rPr>
                <w:rFonts w:cs="Calibri"/>
                <w:sz w:val="16"/>
                <w:szCs w:val="16"/>
                <w:u w:val="single"/>
              </w:rPr>
              <w:t>Safety</w:t>
            </w:r>
          </w:p>
          <w:p w:rsidRPr="00D673B4" w:rsidR="00192AFA" w:rsidP="00131848" w:rsidRDefault="00192AFA" w14:paraId="49F63141" w14:textId="77777777">
            <w:pPr>
              <w:autoSpaceDE w:val="0"/>
              <w:autoSpaceDN w:val="0"/>
              <w:adjustRightInd w:val="0"/>
              <w:rPr>
                <w:rFonts w:cs="Calibri"/>
                <w:sz w:val="16"/>
                <w:szCs w:val="16"/>
              </w:rPr>
            </w:pPr>
            <w:r w:rsidRPr="00D673B4">
              <w:rPr>
                <w:rFonts w:cs="Calibri"/>
                <w:sz w:val="16"/>
                <w:szCs w:val="16"/>
              </w:rPr>
              <w:t>An historical, case-control study identified 42/350 ELBW NICU admissions with an episode of hyponatraemia (Na &lt;125 mmol/L [range 113-124]) that lasted &gt;6 hours (median 1.5 days).</w:t>
            </w:r>
            <w:r w:rsidRPr="00D673B4">
              <w:rPr>
                <w:rFonts w:cs="Calibri"/>
                <w:sz w:val="16"/>
                <w:szCs w:val="16"/>
                <w:vertAlign w:val="superscript"/>
              </w:rPr>
              <w:t>17</w:t>
            </w:r>
            <w:r w:rsidRPr="00D673B4">
              <w:rPr>
                <w:rFonts w:cs="Calibri"/>
                <w:sz w:val="16"/>
                <w:szCs w:val="16"/>
              </w:rPr>
              <w:t xml:space="preserve"> Rates of abnormal head ultrasound (IVH or PVL) and abnormal neurological examination were higher in the hyponatremic group (p&lt; 0.03; p&lt; 0.001 respectively). Correction ≥ 0.5 mmol/L/h showed a trend toward higher rates of abnormal neurological examination. In paediatric and adult populations, multiple cohort studies and reviews have concluded that in patients with chronic hyponatraemia (≥ 48 hours), neurologic sequelae due to osmotic demyelination are associated with more rapid rates of correction.</w:t>
            </w:r>
            <w:r w:rsidRPr="00D673B4">
              <w:rPr>
                <w:rFonts w:cs="Calibri"/>
                <w:sz w:val="16"/>
                <w:szCs w:val="16"/>
                <w:vertAlign w:val="superscript"/>
              </w:rPr>
              <w:t>7,9</w:t>
            </w:r>
          </w:p>
          <w:p w:rsidRPr="00D673B4" w:rsidR="00192AFA" w:rsidP="00131848" w:rsidRDefault="00192AFA" w14:paraId="04CC5924" w14:textId="77777777">
            <w:pPr>
              <w:autoSpaceDE w:val="0"/>
              <w:autoSpaceDN w:val="0"/>
              <w:adjustRightInd w:val="0"/>
              <w:rPr>
                <w:rFonts w:cs="Calibri"/>
                <w:sz w:val="16"/>
                <w:szCs w:val="16"/>
              </w:rPr>
            </w:pPr>
            <w:r w:rsidRPr="00D673B4">
              <w:rPr>
                <w:rFonts w:cs="Calibri"/>
                <w:sz w:val="16"/>
                <w:szCs w:val="16"/>
              </w:rPr>
              <w:t xml:space="preserve"> </w:t>
            </w:r>
          </w:p>
          <w:p w:rsidRPr="00D673B4" w:rsidR="00192AFA" w:rsidP="00131848" w:rsidRDefault="00192AFA" w14:paraId="2E847B58" w14:textId="77777777">
            <w:pPr>
              <w:autoSpaceDE w:val="0"/>
              <w:autoSpaceDN w:val="0"/>
              <w:adjustRightInd w:val="0"/>
              <w:rPr>
                <w:rFonts w:cs="Calibri"/>
                <w:sz w:val="16"/>
                <w:szCs w:val="16"/>
              </w:rPr>
            </w:pPr>
            <w:r w:rsidRPr="00D673B4">
              <w:rPr>
                <w:rFonts w:cs="Calibri"/>
                <w:sz w:val="16"/>
                <w:szCs w:val="16"/>
              </w:rPr>
              <w:t>In summary, rapid correction of hyponatraemia may be detrimental to neurological outcome during myelination of the newborn brain.</w:t>
            </w:r>
            <w:r w:rsidRPr="00D673B4">
              <w:rPr>
                <w:rFonts w:cs="Calibri"/>
                <w:sz w:val="16"/>
                <w:szCs w:val="16"/>
                <w:vertAlign w:val="superscript"/>
              </w:rPr>
              <w:t>17</w:t>
            </w:r>
            <w:r w:rsidRPr="00D673B4">
              <w:rPr>
                <w:sz w:val="16"/>
                <w:szCs w:val="16"/>
              </w:rPr>
              <w:t xml:space="preserve"> </w:t>
            </w:r>
            <w:r w:rsidRPr="00D673B4">
              <w:rPr>
                <w:rFonts w:cs="Calibri"/>
                <w:sz w:val="16"/>
                <w:szCs w:val="16"/>
              </w:rPr>
              <w:t>In adult populations, osmotic demyelination syndrome can usually be avoided by limiting correction of chronic hyponatraemia to &lt; 10 to 12 mmol/L in 24 hours and to &lt; 18 mmol/L in 48 hours. These estimates should be regarded as approximate limits and not goals of therapy.</w:t>
            </w:r>
            <w:r w:rsidRPr="00D673B4">
              <w:rPr>
                <w:rFonts w:cs="Calibri"/>
                <w:sz w:val="16"/>
                <w:szCs w:val="16"/>
                <w:vertAlign w:val="superscript"/>
              </w:rPr>
              <w:t>7</w:t>
            </w:r>
            <w:r w:rsidRPr="00D673B4">
              <w:rPr>
                <w:rFonts w:cs="Calibri"/>
                <w:sz w:val="16"/>
                <w:szCs w:val="16"/>
              </w:rPr>
              <w:t xml:space="preserve"> (LOE IV, GOR C)</w:t>
            </w:r>
          </w:p>
          <w:p w:rsidRPr="00D673B4" w:rsidR="00192AFA" w:rsidP="00131848" w:rsidRDefault="00192AFA" w14:paraId="2B7C9A77" w14:textId="77777777">
            <w:pPr>
              <w:autoSpaceDE w:val="0"/>
              <w:autoSpaceDN w:val="0"/>
              <w:adjustRightInd w:val="0"/>
              <w:rPr>
                <w:rFonts w:cs="Calibri"/>
                <w:sz w:val="16"/>
                <w:szCs w:val="16"/>
              </w:rPr>
            </w:pPr>
          </w:p>
          <w:p w:rsidRPr="00D673B4" w:rsidR="00192AFA" w:rsidP="00131848" w:rsidRDefault="00192AFA" w14:paraId="663E833F" w14:textId="77777777">
            <w:pPr>
              <w:autoSpaceDE w:val="0"/>
              <w:autoSpaceDN w:val="0"/>
              <w:adjustRightInd w:val="0"/>
              <w:rPr>
                <w:rFonts w:cs="Calibri"/>
                <w:sz w:val="16"/>
                <w:szCs w:val="16"/>
              </w:rPr>
            </w:pPr>
            <w:r w:rsidRPr="00D673B4">
              <w:rPr>
                <w:rFonts w:cs="Calibri"/>
                <w:sz w:val="16"/>
                <w:szCs w:val="16"/>
                <w:u w:val="single"/>
              </w:rPr>
              <w:t>Osmolarity and Osmolar load</w:t>
            </w:r>
            <w:r w:rsidRPr="00D673B4">
              <w:rPr>
                <w:rFonts w:cs="Calibri"/>
                <w:sz w:val="16"/>
                <w:szCs w:val="16"/>
              </w:rPr>
              <w:t xml:space="preserve"> </w:t>
            </w:r>
          </w:p>
          <w:p w:rsidRPr="00D673B4" w:rsidR="00192AFA" w:rsidP="00131848" w:rsidRDefault="00192AFA" w14:paraId="073DF4B0" w14:textId="77777777">
            <w:pPr>
              <w:autoSpaceDE w:val="0"/>
              <w:autoSpaceDN w:val="0"/>
              <w:adjustRightInd w:val="0"/>
              <w:rPr>
                <w:rFonts w:cs="Calibri"/>
                <w:sz w:val="16"/>
                <w:szCs w:val="16"/>
              </w:rPr>
            </w:pPr>
            <w:r w:rsidRPr="00D673B4">
              <w:rPr>
                <w:rFonts w:cs="Calibri"/>
                <w:sz w:val="16"/>
                <w:szCs w:val="16"/>
              </w:rPr>
              <w:t>A retrospective, matched-cohort study of 352 children ≤ 18 years evaluated the incidence of phlebitis or infiltration associated with peripheral administration of parenteral nutrition with an osmolarity &gt; 1000 mOsm/L vs ≤ 1000 mOsm/L.</w:t>
            </w:r>
            <w:r w:rsidRPr="00D673B4">
              <w:rPr>
                <w:rFonts w:cs="Calibri"/>
                <w:sz w:val="16"/>
                <w:szCs w:val="16"/>
                <w:vertAlign w:val="superscript"/>
              </w:rPr>
              <w:t>18</w:t>
            </w:r>
            <w:r w:rsidRPr="00D673B4">
              <w:rPr>
                <w:rFonts w:cs="Calibri"/>
                <w:sz w:val="16"/>
                <w:szCs w:val="16"/>
              </w:rPr>
              <w:t xml:space="preserve"> There were 151 neonates in the study. There were no differences between patients who did or did not develop adverse events in terms of age or weight. Administration of PPN with osmolarity &gt; 1000 mOsm/L vs ≤ 1000 mOsm/L significantly increased infiltration (17% vs 7%; odds ratio [OR, 2.47]; 95% confidence interval [CI], 1.24–4.94; p = 0.01) and the combined composite end point of phlebitis or infiltration (45% vs 34%; OR, 1.65; 95% CI, 1.07–2.54; p = 0.02). In multivariate analysis, osmolarity &gt; 1000 mOsm/L vs ≤ 1000 mOsm/L was an independent risk factor for developing complications (OR, 1.67; 95% CI, 1.08–2.52; p = 0.02).</w:t>
            </w:r>
            <w:r w:rsidRPr="00D673B4">
              <w:rPr>
                <w:rFonts w:cs="Calibri"/>
                <w:sz w:val="16"/>
                <w:szCs w:val="16"/>
                <w:vertAlign w:val="superscript"/>
              </w:rPr>
              <w:t>18</w:t>
            </w:r>
            <w:r w:rsidRPr="00D673B4">
              <w:rPr>
                <w:rFonts w:cs="Calibri"/>
                <w:sz w:val="16"/>
                <w:szCs w:val="16"/>
              </w:rPr>
              <w:t xml:space="preserve"> (LOE III, GOR C)</w:t>
            </w:r>
          </w:p>
          <w:p w:rsidRPr="00D673B4" w:rsidR="00192AFA" w:rsidP="00131848" w:rsidRDefault="00192AFA" w14:paraId="6EE0AD85" w14:textId="77777777">
            <w:pPr>
              <w:autoSpaceDE w:val="0"/>
              <w:autoSpaceDN w:val="0"/>
              <w:adjustRightInd w:val="0"/>
              <w:rPr>
                <w:rFonts w:cs="Calibri"/>
                <w:sz w:val="16"/>
                <w:szCs w:val="16"/>
              </w:rPr>
            </w:pPr>
          </w:p>
          <w:p w:rsidRPr="00D673B4" w:rsidR="00192AFA" w:rsidP="00131848" w:rsidRDefault="00192AFA" w14:paraId="3C6DC040" w14:textId="77777777">
            <w:pPr>
              <w:autoSpaceDE w:val="0"/>
              <w:autoSpaceDN w:val="0"/>
              <w:adjustRightInd w:val="0"/>
              <w:rPr>
                <w:rFonts w:cs="Calibri"/>
                <w:sz w:val="16"/>
                <w:szCs w:val="16"/>
              </w:rPr>
            </w:pPr>
            <w:r w:rsidRPr="00D673B4">
              <w:rPr>
                <w:rFonts w:cs="Calibri"/>
                <w:sz w:val="16"/>
                <w:szCs w:val="16"/>
              </w:rPr>
              <w:t>A prospective, observational study in adults suggests that osmolar load (i.e. number of milliosmoles per hour, calculated as osmolarity x infusion rate) is a better predictor than osmolarity alone for phlebitis.</w:t>
            </w:r>
            <w:r w:rsidRPr="00D673B4">
              <w:rPr>
                <w:rFonts w:cs="Calibri"/>
                <w:sz w:val="16"/>
                <w:szCs w:val="16"/>
                <w:vertAlign w:val="superscript"/>
              </w:rPr>
              <w:t>19</w:t>
            </w:r>
            <w:r w:rsidRPr="00D673B4">
              <w:rPr>
                <w:rFonts w:cs="Calibri"/>
                <w:sz w:val="16"/>
                <w:szCs w:val="16"/>
              </w:rPr>
              <w:t xml:space="preserve"> They found an osmolarity rate of 84–99 mOsm/hour was associated with 4–27% rate of phlebitis. They did not report on other injuries such as extravasation. The infusion rates suggested in our formulary have low osmolar load and are considered to carry minimal risk of phlebitis (Consensus opinion).</w:t>
            </w:r>
          </w:p>
        </w:tc>
      </w:tr>
      <w:tr w:rsidRPr="003A7895" w:rsidR="00192AFA" w:rsidTr="00D673B4" w14:paraId="5001BAE5" w14:textId="77777777">
        <w:trPr>
          <w:trHeight w:val="108"/>
        </w:trPr>
        <w:tc>
          <w:tcPr>
            <w:tcW w:w="1843" w:type="dxa"/>
          </w:tcPr>
          <w:p w:rsidRPr="00B53E9B" w:rsidR="00192AFA" w:rsidP="00131848" w:rsidRDefault="00192AFA" w14:paraId="00E605A7" w14:textId="77777777">
            <w:pPr>
              <w:pStyle w:val="BodyText"/>
              <w:rPr>
                <w:rFonts w:cs="Arial"/>
                <w:b/>
                <w:bCs/>
                <w:sz w:val="20"/>
              </w:rPr>
            </w:pPr>
            <w:r w:rsidRPr="00B53E9B">
              <w:rPr>
                <w:rFonts w:cs="Arial"/>
                <w:b/>
                <w:bCs/>
                <w:sz w:val="20"/>
              </w:rPr>
              <w:lastRenderedPageBreak/>
              <w:t>Practice points</w:t>
            </w:r>
          </w:p>
        </w:tc>
        <w:tc>
          <w:tcPr>
            <w:tcW w:w="7542" w:type="dxa"/>
          </w:tcPr>
          <w:p w:rsidRPr="00026F20" w:rsidR="00192AFA" w:rsidP="00131848" w:rsidRDefault="00192AFA" w14:paraId="13737950" w14:textId="77777777">
            <w:pPr>
              <w:pStyle w:val="BodyText"/>
              <w:tabs>
                <w:tab w:val="left" w:pos="1168"/>
              </w:tabs>
              <w:rPr>
                <w:rFonts w:cs="Arial"/>
                <w:sz w:val="20"/>
              </w:rPr>
            </w:pPr>
          </w:p>
        </w:tc>
      </w:tr>
      <w:tr w:rsidRPr="003A7895" w:rsidR="00192AFA" w:rsidTr="00D673B4" w14:paraId="492B44D6" w14:textId="77777777">
        <w:trPr>
          <w:trHeight w:val="70"/>
        </w:trPr>
        <w:tc>
          <w:tcPr>
            <w:tcW w:w="1843" w:type="dxa"/>
          </w:tcPr>
          <w:p w:rsidRPr="00B53E9B" w:rsidR="00192AFA" w:rsidP="00131848" w:rsidRDefault="00192AFA" w14:paraId="6D6BB772" w14:textId="77777777">
            <w:pPr>
              <w:pStyle w:val="BodyText"/>
              <w:rPr>
                <w:rFonts w:cs="Arial"/>
                <w:b/>
                <w:bCs/>
                <w:sz w:val="20"/>
              </w:rPr>
            </w:pPr>
            <w:r w:rsidRPr="00B53E9B">
              <w:rPr>
                <w:b/>
                <w:sz w:val="20"/>
              </w:rPr>
              <w:t>References</w:t>
            </w:r>
          </w:p>
        </w:tc>
        <w:tc>
          <w:tcPr>
            <w:tcW w:w="7542" w:type="dxa"/>
          </w:tcPr>
          <w:p w:rsidRPr="00D673B4" w:rsidR="00192AFA" w:rsidP="00192AFA" w:rsidRDefault="00192AFA" w14:paraId="58698740" w14:textId="77777777">
            <w:pPr>
              <w:numPr>
                <w:ilvl w:val="0"/>
                <w:numId w:val="73"/>
              </w:numPr>
              <w:rPr>
                <w:rFonts w:cs="Calibri"/>
                <w:sz w:val="16"/>
                <w:szCs w:val="16"/>
              </w:rPr>
            </w:pPr>
            <w:r w:rsidRPr="00D673B4">
              <w:rPr>
                <w:rFonts w:cs="Calibri"/>
                <w:sz w:val="16"/>
                <w:szCs w:val="16"/>
              </w:rPr>
              <w:t>Micromedex solutions. Accessed on 18 July 2017.</w:t>
            </w:r>
          </w:p>
          <w:p w:rsidRPr="00D673B4" w:rsidR="00192AFA" w:rsidP="00192AFA" w:rsidRDefault="00192AFA" w14:paraId="63767F62" w14:textId="77777777">
            <w:pPr>
              <w:numPr>
                <w:ilvl w:val="0"/>
                <w:numId w:val="73"/>
              </w:numPr>
              <w:rPr>
                <w:rFonts w:cs="Calibri"/>
                <w:sz w:val="16"/>
                <w:szCs w:val="16"/>
              </w:rPr>
            </w:pPr>
            <w:r w:rsidRPr="00D673B4">
              <w:rPr>
                <w:rFonts w:cs="Calibri"/>
                <w:sz w:val="16"/>
                <w:szCs w:val="16"/>
              </w:rPr>
              <w:t xml:space="preserve">Zieg J. Evaluation and management of hyponatraemia in children. Acta Paediatr 2014;103:1027-34. </w:t>
            </w:r>
          </w:p>
          <w:p w:rsidRPr="00D673B4" w:rsidR="00192AFA" w:rsidP="00192AFA" w:rsidRDefault="00192AFA" w14:paraId="5401CA56" w14:textId="77777777">
            <w:pPr>
              <w:numPr>
                <w:ilvl w:val="0"/>
                <w:numId w:val="73"/>
              </w:numPr>
              <w:rPr>
                <w:rFonts w:cs="Calibri"/>
                <w:sz w:val="16"/>
                <w:szCs w:val="16"/>
              </w:rPr>
            </w:pPr>
            <w:r w:rsidRPr="00D673B4">
              <w:rPr>
                <w:rFonts w:cs="Calibri"/>
                <w:sz w:val="16"/>
                <w:szCs w:val="16"/>
              </w:rPr>
              <w:t>Dugan S, Le J, Jew RK. Maximum tolerated osmolarity for peripheral administration of parenteral nutrition in pediatric patients. Journal of Parenteral and Enteral Nutrition. 2014 Sep;38(7):847-51.</w:t>
            </w:r>
          </w:p>
          <w:p w:rsidRPr="00D673B4" w:rsidR="00192AFA" w:rsidP="00192AFA" w:rsidRDefault="00192AFA" w14:paraId="63BC291F" w14:textId="77777777">
            <w:pPr>
              <w:numPr>
                <w:ilvl w:val="0"/>
                <w:numId w:val="73"/>
              </w:numPr>
              <w:rPr>
                <w:rFonts w:cs="Calibri"/>
                <w:sz w:val="16"/>
                <w:szCs w:val="16"/>
              </w:rPr>
            </w:pPr>
            <w:r w:rsidRPr="00D673B4">
              <w:rPr>
                <w:rFonts w:cs="Calibri"/>
                <w:sz w:val="16"/>
                <w:szCs w:val="16"/>
              </w:rPr>
              <w:t>Timmer JG, Schipper HG. Peripheral venous nutrition: the equal relevance of volume load and osmolarity in relation to phlebitis. Clinical Nutrition. 1991 Apr 1;10(2):71-5.</w:t>
            </w:r>
          </w:p>
          <w:p w:rsidRPr="00D673B4" w:rsidR="00192AFA" w:rsidP="00192AFA" w:rsidRDefault="00192AFA" w14:paraId="448268F9" w14:textId="77777777">
            <w:pPr>
              <w:numPr>
                <w:ilvl w:val="0"/>
                <w:numId w:val="73"/>
              </w:numPr>
              <w:rPr>
                <w:rFonts w:cs="Calibri"/>
                <w:sz w:val="16"/>
                <w:szCs w:val="16"/>
              </w:rPr>
            </w:pPr>
            <w:r w:rsidRPr="00D673B4">
              <w:rPr>
                <w:rFonts w:cs="Calibri"/>
                <w:sz w:val="16"/>
                <w:szCs w:val="16"/>
              </w:rPr>
              <w:t>Modi N, Bétrémieux P, Midgley J, Hartnoll G.</w:t>
            </w:r>
            <w:r w:rsidRPr="00D673B4">
              <w:rPr>
                <w:sz w:val="16"/>
                <w:szCs w:val="16"/>
              </w:rPr>
              <w:t xml:space="preserve"> </w:t>
            </w:r>
            <w:r w:rsidRPr="00D673B4">
              <w:rPr>
                <w:rFonts w:cs="Calibri"/>
                <w:sz w:val="16"/>
                <w:szCs w:val="16"/>
              </w:rPr>
              <w:t>Postnatal weight loss and contraction of the extracellular compartment is triggered by atrial natriuretic peptide. Early Hum Dev 2000;59:201-8.</w:t>
            </w:r>
          </w:p>
          <w:p w:rsidRPr="00D673B4" w:rsidR="00192AFA" w:rsidP="00192AFA" w:rsidRDefault="00192AFA" w14:paraId="5A01E2B6" w14:textId="77777777">
            <w:pPr>
              <w:numPr>
                <w:ilvl w:val="0"/>
                <w:numId w:val="73"/>
              </w:numPr>
              <w:rPr>
                <w:rFonts w:cs="Calibri"/>
                <w:sz w:val="16"/>
                <w:szCs w:val="16"/>
              </w:rPr>
            </w:pPr>
            <w:r w:rsidRPr="00D673B4">
              <w:rPr>
                <w:rFonts w:cs="Calibri"/>
                <w:sz w:val="16"/>
                <w:szCs w:val="16"/>
              </w:rPr>
              <w:lastRenderedPageBreak/>
              <w:t>Spasovski G, Vanholder R, Allolio B, Annane D, Ball S, Bichet D, et al. Clinical practice guideline on diagnosis and treatment of hyponatraemia. Eur J Endocrinol 2014; 170: G1–47.</w:t>
            </w:r>
          </w:p>
          <w:p w:rsidRPr="00D673B4" w:rsidR="00192AFA" w:rsidP="00192AFA" w:rsidRDefault="00192AFA" w14:paraId="15633A2F" w14:textId="77777777">
            <w:pPr>
              <w:numPr>
                <w:ilvl w:val="0"/>
                <w:numId w:val="73"/>
              </w:numPr>
              <w:rPr>
                <w:rFonts w:cs="Calibri"/>
                <w:sz w:val="16"/>
                <w:szCs w:val="16"/>
              </w:rPr>
            </w:pPr>
            <w:r w:rsidRPr="00D673B4">
              <w:rPr>
                <w:rFonts w:cs="Calibri"/>
                <w:sz w:val="16"/>
                <w:szCs w:val="16"/>
              </w:rPr>
              <w:t>Verbalis JG, Goldsmith SR, Greenberg A, Schrier RW, Sterns RH. Hyponatremia treatment guidelines 2007: expert panel recommendations. Am J Med 2007;120:S1-21.</w:t>
            </w:r>
          </w:p>
          <w:p w:rsidRPr="00D673B4" w:rsidR="00192AFA" w:rsidP="00192AFA" w:rsidRDefault="00192AFA" w14:paraId="1ABBDD4A" w14:textId="77777777">
            <w:pPr>
              <w:numPr>
                <w:ilvl w:val="0"/>
                <w:numId w:val="73"/>
              </w:numPr>
              <w:rPr>
                <w:rFonts w:cs="Calibri"/>
                <w:sz w:val="16"/>
                <w:szCs w:val="16"/>
              </w:rPr>
            </w:pPr>
            <w:r w:rsidRPr="00D673B4">
              <w:rPr>
                <w:rFonts w:cs="Calibri"/>
                <w:sz w:val="16"/>
                <w:szCs w:val="16"/>
              </w:rPr>
              <w:t>Marcialis MA, Dessi A, Pintus MC, Irmesi R, Fanos V.</w:t>
            </w:r>
            <w:r w:rsidRPr="00D673B4">
              <w:rPr>
                <w:sz w:val="16"/>
                <w:szCs w:val="16"/>
              </w:rPr>
              <w:t xml:space="preserve"> </w:t>
            </w:r>
            <w:r w:rsidRPr="00D673B4">
              <w:rPr>
                <w:rFonts w:cs="Calibri"/>
                <w:sz w:val="16"/>
                <w:szCs w:val="16"/>
              </w:rPr>
              <w:t xml:space="preserve">Neonatal hyponatremia: differential diagnosis and treatment. J Matern Fetal Neonatal Med 2011;24:75-9. </w:t>
            </w:r>
          </w:p>
          <w:p w:rsidRPr="00D673B4" w:rsidR="00192AFA" w:rsidP="00192AFA" w:rsidRDefault="00192AFA" w14:paraId="34252CE9" w14:textId="77777777">
            <w:pPr>
              <w:numPr>
                <w:ilvl w:val="0"/>
                <w:numId w:val="73"/>
              </w:numPr>
              <w:rPr>
                <w:rFonts w:cs="Calibri"/>
                <w:sz w:val="16"/>
                <w:szCs w:val="16"/>
              </w:rPr>
            </w:pPr>
            <w:r w:rsidRPr="00D673B4">
              <w:rPr>
                <w:rFonts w:cs="Calibri"/>
                <w:sz w:val="16"/>
                <w:szCs w:val="16"/>
              </w:rPr>
              <w:t>Assadi F. Hyponatremia: a problem-solving approach to clinical cases. J Nephrol. 2012;25(4):473-80.</w:t>
            </w:r>
          </w:p>
          <w:p w:rsidRPr="00D673B4" w:rsidR="00192AFA" w:rsidP="00192AFA" w:rsidRDefault="00192AFA" w14:paraId="1138B5FF" w14:textId="77777777">
            <w:pPr>
              <w:numPr>
                <w:ilvl w:val="0"/>
                <w:numId w:val="73"/>
              </w:numPr>
              <w:rPr>
                <w:rFonts w:cs="Calibri"/>
                <w:sz w:val="16"/>
                <w:szCs w:val="16"/>
              </w:rPr>
            </w:pPr>
            <w:r w:rsidRPr="00D673B4">
              <w:rPr>
                <w:rFonts w:cs="Calibri"/>
                <w:sz w:val="16"/>
                <w:szCs w:val="16"/>
              </w:rPr>
              <w:t xml:space="preserve">Sterns RH, Nigwekar SU, Hix JK. The treatment of hyponatremia. Semin Nephrol 2009;29:282-99. </w:t>
            </w:r>
          </w:p>
          <w:p w:rsidRPr="00D673B4" w:rsidR="00192AFA" w:rsidP="00192AFA" w:rsidRDefault="00192AFA" w14:paraId="47AAB8D3" w14:textId="77777777">
            <w:pPr>
              <w:numPr>
                <w:ilvl w:val="0"/>
                <w:numId w:val="73"/>
              </w:numPr>
              <w:rPr>
                <w:rFonts w:cs="Calibri"/>
                <w:sz w:val="16"/>
                <w:szCs w:val="16"/>
              </w:rPr>
            </w:pPr>
            <w:r w:rsidRPr="00D673B4">
              <w:rPr>
                <w:rFonts w:cs="Calibri"/>
                <w:sz w:val="16"/>
                <w:szCs w:val="16"/>
              </w:rPr>
              <w:t>Isemann B, Mueller EW, Narendran V, Akinbi H. Impact of Early Sodium Supplementation on Hyponatremia and Growth in Premature Infants: A Randomized Controlled Trial. Jpen: Journal of Parenteral &amp; Enteral Nutrition 2016;40:342-9.</w:t>
            </w:r>
          </w:p>
          <w:p w:rsidRPr="00D673B4" w:rsidR="00192AFA" w:rsidP="00192AFA" w:rsidRDefault="00192AFA" w14:paraId="7B815189" w14:textId="77777777">
            <w:pPr>
              <w:numPr>
                <w:ilvl w:val="0"/>
                <w:numId w:val="73"/>
              </w:numPr>
              <w:rPr>
                <w:rFonts w:cs="Calibri"/>
                <w:sz w:val="16"/>
                <w:szCs w:val="16"/>
              </w:rPr>
            </w:pPr>
            <w:r w:rsidRPr="00D673B4">
              <w:rPr>
                <w:rFonts w:cs="Calibri"/>
                <w:sz w:val="16"/>
                <w:szCs w:val="16"/>
              </w:rPr>
              <w:t>Vanpee M, Herin P, Broberger U, Aperia A. Sodium supplementation optimizes weight gain in preterm infants. Acta Paediatr. 1995;84:1312-1314.</w:t>
            </w:r>
          </w:p>
          <w:p w:rsidRPr="00D673B4" w:rsidR="00192AFA" w:rsidP="00192AFA" w:rsidRDefault="00192AFA" w14:paraId="2B2201A3" w14:textId="77777777">
            <w:pPr>
              <w:numPr>
                <w:ilvl w:val="0"/>
                <w:numId w:val="73"/>
              </w:numPr>
              <w:rPr>
                <w:rFonts w:cs="Calibri"/>
                <w:sz w:val="16"/>
                <w:szCs w:val="16"/>
              </w:rPr>
            </w:pPr>
            <w:r w:rsidRPr="00D673B4">
              <w:rPr>
                <w:rFonts w:cs="Calibri"/>
                <w:sz w:val="16"/>
                <w:szCs w:val="16"/>
              </w:rPr>
              <w:t>Sulyok E, Rascher W, Baranyai Z, Ertl T, Kerekes L. Influence of NaCl supplementation on vasopressin secretion and water excretion in premature infants. Biology of the Neonate 1993;64:201-8.</w:t>
            </w:r>
          </w:p>
          <w:p w:rsidRPr="00D673B4" w:rsidR="00192AFA" w:rsidP="00192AFA" w:rsidRDefault="00192AFA" w14:paraId="52A59046" w14:textId="77777777">
            <w:pPr>
              <w:numPr>
                <w:ilvl w:val="0"/>
                <w:numId w:val="73"/>
              </w:numPr>
              <w:rPr>
                <w:rFonts w:cs="Calibri"/>
                <w:sz w:val="16"/>
                <w:szCs w:val="16"/>
              </w:rPr>
            </w:pPr>
            <w:r w:rsidRPr="00D673B4">
              <w:rPr>
                <w:rFonts w:cs="Calibri"/>
                <w:sz w:val="16"/>
                <w:szCs w:val="16"/>
              </w:rPr>
              <w:t>Ayisi RK, Mbiti MJ, Musoke RN, Orinda DA. Sodium supplementation in very low birth weight infants fed on their own mothers milk, I: effects on sodium homeostasis. East Afr Med J. 1992;69:591-595.</w:t>
            </w:r>
          </w:p>
          <w:p w:rsidRPr="00D673B4" w:rsidR="00192AFA" w:rsidP="00192AFA" w:rsidRDefault="00192AFA" w14:paraId="349CA0E7" w14:textId="77777777">
            <w:pPr>
              <w:numPr>
                <w:ilvl w:val="0"/>
                <w:numId w:val="73"/>
              </w:numPr>
              <w:rPr>
                <w:rFonts w:cs="Calibri"/>
                <w:sz w:val="16"/>
                <w:szCs w:val="16"/>
              </w:rPr>
            </w:pPr>
            <w:r w:rsidRPr="00D673B4">
              <w:rPr>
                <w:rFonts w:cs="Calibri"/>
                <w:sz w:val="16"/>
                <w:szCs w:val="16"/>
              </w:rPr>
              <w:t>Al-Dahhan J, Haycock GB, Nichol B, Chantler C, Stimmler L. Sodium homeostasis in term and preterm neonates. Arch Dis Child 1984;59:945-950.</w:t>
            </w:r>
          </w:p>
          <w:p w:rsidRPr="00D673B4" w:rsidR="00192AFA" w:rsidP="00192AFA" w:rsidRDefault="00192AFA" w14:paraId="77D57EBA" w14:textId="77777777">
            <w:pPr>
              <w:numPr>
                <w:ilvl w:val="0"/>
                <w:numId w:val="73"/>
              </w:numPr>
              <w:rPr>
                <w:rFonts w:cs="Calibri"/>
                <w:sz w:val="16"/>
                <w:szCs w:val="16"/>
              </w:rPr>
            </w:pPr>
            <w:r w:rsidRPr="00D673B4">
              <w:rPr>
                <w:rFonts w:cs="Calibri"/>
                <w:sz w:val="16"/>
                <w:szCs w:val="16"/>
              </w:rPr>
              <w:t>Chan W, Chua MYK, Teo E, Osborn DA, Birch P. Higher versus lower sodium intake for preterm infants (Protocol). Cochrane Database of Systematic Reviews 2017: CD012642.</w:t>
            </w:r>
          </w:p>
          <w:p w:rsidRPr="00D673B4" w:rsidR="00192AFA" w:rsidP="00192AFA" w:rsidRDefault="00192AFA" w14:paraId="546BAA58" w14:textId="77777777">
            <w:pPr>
              <w:numPr>
                <w:ilvl w:val="0"/>
                <w:numId w:val="73"/>
              </w:numPr>
              <w:rPr>
                <w:rFonts w:cs="Calibri"/>
                <w:sz w:val="16"/>
                <w:szCs w:val="16"/>
              </w:rPr>
            </w:pPr>
            <w:r w:rsidRPr="00D673B4">
              <w:rPr>
                <w:rFonts w:cs="Calibri"/>
                <w:sz w:val="16"/>
                <w:szCs w:val="16"/>
              </w:rPr>
              <w:t>Bhatty S, Tsirka A, Bigini-Quinn P, La Gamma EF. Does Hyponatremia Result in Pontine Myelinolysis and Neurological injury in Extremely Low Birth Weight (ELBW) Micropremies?† 825. Pediatric Research 1997;41:140.</w:t>
            </w:r>
          </w:p>
          <w:p w:rsidRPr="00D673B4" w:rsidR="00192AFA" w:rsidP="00192AFA" w:rsidRDefault="00192AFA" w14:paraId="4172C6B6" w14:textId="77777777">
            <w:pPr>
              <w:numPr>
                <w:ilvl w:val="0"/>
                <w:numId w:val="73"/>
              </w:numPr>
              <w:rPr>
                <w:rFonts w:cs="Calibri"/>
                <w:sz w:val="16"/>
                <w:szCs w:val="16"/>
              </w:rPr>
            </w:pPr>
            <w:r w:rsidRPr="00D673B4">
              <w:rPr>
                <w:rFonts w:cs="Calibri"/>
                <w:sz w:val="16"/>
                <w:szCs w:val="16"/>
              </w:rPr>
              <w:t>Clark E, Giambra BK, Hingl J, Doellman D, Tofani B, Johnson N. Reducing risk of harm from extravasation: a 3-tiered evidence-based list of pediatric peripheral intravenous infusates. Journal of Infusion Nursing 2013;36:37-45.</w:t>
            </w:r>
          </w:p>
          <w:p w:rsidRPr="00D673B4" w:rsidR="00192AFA" w:rsidP="00192AFA" w:rsidRDefault="00192AFA" w14:paraId="6B3E1EAA" w14:textId="77777777">
            <w:pPr>
              <w:numPr>
                <w:ilvl w:val="0"/>
                <w:numId w:val="73"/>
              </w:numPr>
              <w:rPr>
                <w:rFonts w:cs="Calibri"/>
                <w:sz w:val="16"/>
                <w:szCs w:val="16"/>
              </w:rPr>
            </w:pPr>
            <w:r w:rsidRPr="00D673B4">
              <w:rPr>
                <w:rFonts w:cs="Calibri"/>
                <w:sz w:val="16"/>
                <w:szCs w:val="16"/>
              </w:rPr>
              <w:t>Pereira-da-Silva L, Henriques G, Videira-Amaral JM, Rodrigues R, Ribeiro L, Virella D. Osmolality of solutions, emulsions and drugs that may have a high osmolality: aspects of their use in neonatal care. The Journal of Maternal-Fetal &amp; Neonatal Medicine 2002;11:333-338.</w:t>
            </w:r>
          </w:p>
        </w:tc>
      </w:tr>
    </w:tbl>
    <w:p w:rsidRPr="00E25790" w:rsidR="00192AFA" w:rsidP="006F0321" w:rsidRDefault="00192AFA" w14:paraId="0EBC497B" w14:textId="77777777"/>
    <w:p w:rsidRPr="0033538D" w:rsidR="00D0337A" w:rsidP="00D0337A" w:rsidRDefault="00D0337A" w14:paraId="3B71DBC9" w14:textId="77777777">
      <w:pPr>
        <w:rPr>
          <w:rFonts w:cs="Calibri"/>
          <w:b/>
          <w:bCs/>
          <w:sz w:val="20"/>
        </w:rPr>
      </w:pPr>
    </w:p>
    <w:tbl>
      <w:tblPr>
        <w:tblW w:w="938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678"/>
        <w:gridCol w:w="4707"/>
      </w:tblGrid>
      <w:tr w:rsidRPr="0033538D" w:rsidR="0020431B" w:rsidTr="00D673B4" w14:paraId="4E74ADEB" w14:textId="77777777">
        <w:tc>
          <w:tcPr>
            <w:tcW w:w="4678" w:type="dxa"/>
            <w:vAlign w:val="center"/>
          </w:tcPr>
          <w:p w:rsidRPr="0033538D" w:rsidR="00D0337A" w:rsidP="00E525C7" w:rsidRDefault="00D0337A" w14:paraId="1A0986F6" w14:textId="77777777">
            <w:pPr>
              <w:pStyle w:val="Title"/>
              <w:jc w:val="left"/>
              <w:rPr>
                <w:rFonts w:cs="Calibri"/>
                <w:sz w:val="20"/>
              </w:rPr>
            </w:pPr>
            <w:r w:rsidRPr="0033538D">
              <w:rPr>
                <w:rFonts w:cs="Calibri"/>
                <w:sz w:val="20"/>
              </w:rPr>
              <w:t xml:space="preserve">Original version Date: </w:t>
            </w:r>
            <w:r>
              <w:rPr>
                <w:rFonts w:cs="Calibri"/>
                <w:sz w:val="20"/>
              </w:rPr>
              <w:t>06/09/2017</w:t>
            </w:r>
          </w:p>
        </w:tc>
        <w:tc>
          <w:tcPr>
            <w:tcW w:w="4707" w:type="dxa"/>
            <w:vAlign w:val="center"/>
          </w:tcPr>
          <w:p w:rsidRPr="0033538D" w:rsidR="00D0337A" w:rsidP="00E525C7" w:rsidRDefault="00D0337A" w14:paraId="7A8B5624" w14:textId="77777777">
            <w:pPr>
              <w:pStyle w:val="Title"/>
              <w:jc w:val="left"/>
              <w:rPr>
                <w:rFonts w:cs="Calibri"/>
                <w:sz w:val="20"/>
              </w:rPr>
            </w:pPr>
            <w:r w:rsidRPr="0033538D">
              <w:rPr>
                <w:rFonts w:cs="Calibri"/>
                <w:sz w:val="20"/>
              </w:rPr>
              <w:t>Author: NMF Consensus Group</w:t>
            </w:r>
          </w:p>
        </w:tc>
      </w:tr>
      <w:tr w:rsidRPr="0033538D" w:rsidR="0020431B" w:rsidTr="00D673B4" w14:paraId="34F792B1" w14:textId="77777777">
        <w:tc>
          <w:tcPr>
            <w:tcW w:w="4678" w:type="dxa"/>
            <w:vAlign w:val="center"/>
          </w:tcPr>
          <w:p w:rsidRPr="0033538D" w:rsidR="00D0337A" w:rsidP="00E525C7" w:rsidRDefault="00D0337A" w14:paraId="6D410089" w14:textId="349A7492">
            <w:pPr>
              <w:pStyle w:val="Title"/>
              <w:jc w:val="left"/>
              <w:rPr>
                <w:rFonts w:cs="Calibri"/>
                <w:b w:val="0"/>
                <w:bCs/>
                <w:sz w:val="20"/>
              </w:rPr>
            </w:pPr>
            <w:r w:rsidRPr="0033538D">
              <w:rPr>
                <w:rFonts w:cs="Calibri"/>
                <w:sz w:val="20"/>
              </w:rPr>
              <w:t xml:space="preserve">Current Version number:  </w:t>
            </w:r>
            <w:r w:rsidR="009832D1">
              <w:rPr>
                <w:rFonts w:cs="Calibri"/>
                <w:sz w:val="20"/>
              </w:rPr>
              <w:t>3</w:t>
            </w:r>
          </w:p>
        </w:tc>
        <w:tc>
          <w:tcPr>
            <w:tcW w:w="4707" w:type="dxa"/>
            <w:vAlign w:val="center"/>
          </w:tcPr>
          <w:p w:rsidRPr="0033538D" w:rsidR="00D0337A" w:rsidP="00E525C7" w:rsidRDefault="00D0337A" w14:paraId="71BE84BF" w14:textId="4F19B442">
            <w:pPr>
              <w:pStyle w:val="Title"/>
              <w:jc w:val="left"/>
              <w:rPr>
                <w:rFonts w:cs="Calibri"/>
                <w:b w:val="0"/>
                <w:sz w:val="20"/>
              </w:rPr>
            </w:pPr>
            <w:r w:rsidRPr="0033538D">
              <w:rPr>
                <w:rFonts w:cs="Calibri"/>
                <w:sz w:val="20"/>
              </w:rPr>
              <w:t>Version Date:</w:t>
            </w:r>
            <w:r w:rsidRPr="0033538D">
              <w:rPr>
                <w:rFonts w:cs="Calibri"/>
                <w:b w:val="0"/>
                <w:sz w:val="20"/>
              </w:rPr>
              <w:t xml:space="preserve"> </w:t>
            </w:r>
            <w:r w:rsidR="009832D1">
              <w:rPr>
                <w:rFonts w:cs="Calibri"/>
                <w:b w:val="0"/>
                <w:sz w:val="20"/>
              </w:rPr>
              <w:t>18-2-2021</w:t>
            </w:r>
          </w:p>
        </w:tc>
      </w:tr>
      <w:tr w:rsidRPr="0033538D" w:rsidR="0020431B" w:rsidTr="00D673B4" w14:paraId="4A78BD02" w14:textId="77777777">
        <w:tc>
          <w:tcPr>
            <w:tcW w:w="4678" w:type="dxa"/>
            <w:vAlign w:val="center"/>
          </w:tcPr>
          <w:p w:rsidRPr="0033538D" w:rsidR="00D0337A" w:rsidP="00E525C7" w:rsidRDefault="00D0337A" w14:paraId="18C35B28" w14:textId="77777777">
            <w:pPr>
              <w:pStyle w:val="Title"/>
              <w:jc w:val="left"/>
              <w:rPr>
                <w:rFonts w:cs="Calibri"/>
                <w:b w:val="0"/>
                <w:sz w:val="20"/>
              </w:rPr>
            </w:pPr>
            <w:r w:rsidRPr="0033538D">
              <w:rPr>
                <w:rFonts w:cs="Calibri"/>
                <w:sz w:val="20"/>
              </w:rPr>
              <w:t>Risk Rating: Medium</w:t>
            </w:r>
          </w:p>
        </w:tc>
        <w:tc>
          <w:tcPr>
            <w:tcW w:w="4707" w:type="dxa"/>
            <w:vAlign w:val="center"/>
          </w:tcPr>
          <w:p w:rsidRPr="0033538D" w:rsidR="00D0337A" w:rsidP="00E525C7" w:rsidRDefault="00D0337A" w14:paraId="198CD29E" w14:textId="0A7436F9">
            <w:pPr>
              <w:pStyle w:val="Title"/>
              <w:jc w:val="left"/>
              <w:rPr>
                <w:rFonts w:cs="Calibri"/>
                <w:b w:val="0"/>
                <w:sz w:val="20"/>
              </w:rPr>
            </w:pPr>
            <w:r w:rsidRPr="0033538D">
              <w:rPr>
                <w:rFonts w:cs="Calibri"/>
                <w:sz w:val="20"/>
              </w:rPr>
              <w:t>Due for Review:</w:t>
            </w:r>
            <w:r w:rsidRPr="0033538D">
              <w:rPr>
                <w:rFonts w:cs="Calibri"/>
                <w:b w:val="0"/>
                <w:sz w:val="20"/>
              </w:rPr>
              <w:t xml:space="preserve"> </w:t>
            </w:r>
            <w:r w:rsidR="009832D1">
              <w:rPr>
                <w:rFonts w:cs="Calibri"/>
                <w:b w:val="0"/>
                <w:sz w:val="20"/>
              </w:rPr>
              <w:t>18-2-2026</w:t>
            </w:r>
          </w:p>
        </w:tc>
      </w:tr>
      <w:tr w:rsidRPr="0033538D" w:rsidR="0020431B" w:rsidTr="00D673B4" w14:paraId="04CB630C" w14:textId="77777777">
        <w:trPr>
          <w:trHeight w:val="344"/>
        </w:trPr>
        <w:tc>
          <w:tcPr>
            <w:tcW w:w="4678" w:type="dxa"/>
            <w:tcBorders>
              <w:bottom w:val="single" w:color="auto" w:sz="4" w:space="0"/>
            </w:tcBorders>
            <w:vAlign w:val="center"/>
          </w:tcPr>
          <w:p w:rsidRPr="0033538D" w:rsidR="00D0337A" w:rsidP="00E525C7" w:rsidRDefault="00D0337A" w14:paraId="14F7C5C1" w14:textId="77777777">
            <w:pPr>
              <w:rPr>
                <w:rFonts w:cs="Calibri"/>
                <w:b/>
                <w:sz w:val="20"/>
              </w:rPr>
            </w:pPr>
            <w:r w:rsidRPr="0033538D">
              <w:rPr>
                <w:rFonts w:cs="Calibri"/>
                <w:b/>
                <w:sz w:val="20"/>
              </w:rPr>
              <w:t xml:space="preserve">Approved by: </w:t>
            </w:r>
            <w:r>
              <w:rPr>
                <w:rFonts w:cs="Calibri"/>
                <w:b/>
                <w:sz w:val="20"/>
              </w:rPr>
              <w:t>DTC</w:t>
            </w:r>
          </w:p>
        </w:tc>
        <w:tc>
          <w:tcPr>
            <w:tcW w:w="4707" w:type="dxa"/>
            <w:tcBorders>
              <w:bottom w:val="single" w:color="auto" w:sz="4" w:space="0"/>
            </w:tcBorders>
            <w:vAlign w:val="center"/>
          </w:tcPr>
          <w:p w:rsidRPr="0033538D" w:rsidR="00D0337A" w:rsidP="00E525C7" w:rsidRDefault="00D0337A" w14:paraId="006A304B" w14:textId="73F400A2">
            <w:pPr>
              <w:pStyle w:val="Title"/>
              <w:jc w:val="left"/>
              <w:rPr>
                <w:rFonts w:cs="Calibri"/>
                <w:sz w:val="20"/>
              </w:rPr>
            </w:pPr>
            <w:r w:rsidRPr="0033538D">
              <w:rPr>
                <w:rFonts w:cs="Calibri"/>
                <w:sz w:val="20"/>
              </w:rPr>
              <w:t xml:space="preserve">Approval Date: </w:t>
            </w:r>
            <w:r w:rsidR="00260BC8">
              <w:rPr>
                <w:rFonts w:cs="Calibri"/>
                <w:sz w:val="20"/>
              </w:rPr>
              <w:t>APRIL 2021</w:t>
            </w:r>
          </w:p>
        </w:tc>
      </w:tr>
    </w:tbl>
    <w:p w:rsidRPr="0033538D" w:rsidR="00D0337A" w:rsidP="00D0337A" w:rsidRDefault="00D0337A" w14:paraId="09A386E0" w14:textId="77777777">
      <w:pPr>
        <w:rPr>
          <w:rFonts w:cs="Calibri"/>
          <w:sz w:val="20"/>
        </w:rPr>
      </w:pPr>
      <w:r w:rsidRPr="0033538D">
        <w:rPr>
          <w:rFonts w:cs="Calibri"/>
          <w:sz w:val="20"/>
        </w:rPr>
        <w:t xml:space="preserve"> </w:t>
      </w:r>
    </w:p>
    <w:p w:rsidRPr="00E25790" w:rsidR="005C4458" w:rsidP="006F0321" w:rsidRDefault="005C4458" w14:paraId="197D276A"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5C4458" w:rsidTr="00943338" w14:paraId="38816A0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A0C90" w:rsidR="005C4458" w:rsidP="009469DB" w:rsidRDefault="005C4458" w14:paraId="715DDA02" w14:textId="77777777">
            <w:pPr>
              <w:pStyle w:val="Heading1"/>
            </w:pPr>
            <w:bookmarkStart w:name="_Toc38106926" w:id="562"/>
            <w:bookmarkStart w:name="_Toc75340045" w:id="563"/>
            <w:r w:rsidRPr="00DA0C90">
              <w:lastRenderedPageBreak/>
              <w:t>Sotalol</w:t>
            </w:r>
            <w:bookmarkEnd w:id="562"/>
            <w:bookmarkEnd w:id="563"/>
            <w:r w:rsidRPr="00DA0C90">
              <w:fldChar w:fldCharType="begin"/>
            </w:r>
            <w:r w:rsidRPr="00DA0C90">
              <w:instrText>tc "CAP Trial" \l 0</w:instrText>
            </w:r>
            <w:r w:rsidRPr="00DA0C90">
              <w:fldChar w:fldCharType="end"/>
            </w:r>
          </w:p>
        </w:tc>
      </w:tr>
      <w:tr w:rsidRPr="00E25790" w:rsidR="005C4458" w:rsidTr="00943338" w14:paraId="49DD3DAD"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5C4458" w:rsidP="006F0321" w:rsidRDefault="005C4458" w14:paraId="57CD4637" w14:textId="5D1C7C93">
            <w:r w:rsidRPr="00E25790">
              <w:t xml:space="preserve">Revision Date : </w:t>
            </w:r>
            <w:r w:rsidR="00A90748">
              <w:t>9</w:t>
            </w:r>
            <w:r w:rsidR="00263EF0">
              <w:t>-</w:t>
            </w:r>
            <w:r w:rsidR="00A90748">
              <w:t>6</w:t>
            </w:r>
            <w:r w:rsidR="00263EF0">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5C4458" w:rsidP="006F0321" w:rsidRDefault="005C4458" w14:paraId="790B843E" w14:textId="3C844554">
            <w:r w:rsidRPr="00E25790">
              <w:t xml:space="preserve">Approved: </w:t>
            </w:r>
            <w:r w:rsidR="007C726E">
              <w:t>TC,KOH</w:t>
            </w:r>
          </w:p>
        </w:tc>
      </w:tr>
    </w:tbl>
    <w:p w:rsidRPr="00E25790" w:rsidR="005C4458" w:rsidP="006F0321" w:rsidRDefault="005C4458" w14:paraId="4793F921"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513"/>
      </w:tblGrid>
      <w:tr w:rsidRPr="003A7895" w:rsidR="009D5655" w:rsidTr="00A90748" w14:paraId="5A42533C" w14:textId="77777777">
        <w:trPr>
          <w:trHeight w:val="70"/>
        </w:trPr>
        <w:tc>
          <w:tcPr>
            <w:tcW w:w="1730" w:type="dxa"/>
          </w:tcPr>
          <w:p w:rsidRPr="00B53E9B" w:rsidR="009D5655" w:rsidP="00131848" w:rsidRDefault="009D5655" w14:paraId="75C19C79" w14:textId="77777777">
            <w:pPr>
              <w:pStyle w:val="BodyText"/>
              <w:tabs>
                <w:tab w:val="center" w:pos="1476"/>
              </w:tabs>
              <w:rPr>
                <w:rFonts w:cs="Arial"/>
                <w:b/>
                <w:sz w:val="20"/>
              </w:rPr>
            </w:pPr>
            <w:r w:rsidRPr="00B53E9B">
              <w:rPr>
                <w:rFonts w:cs="Arial"/>
                <w:b/>
                <w:sz w:val="20"/>
              </w:rPr>
              <w:t>Alert</w:t>
            </w:r>
          </w:p>
        </w:tc>
        <w:tc>
          <w:tcPr>
            <w:tcW w:w="7513" w:type="dxa"/>
          </w:tcPr>
          <w:p w:rsidRPr="00135FC6" w:rsidR="009D5655" w:rsidP="00131848" w:rsidRDefault="009D5655" w14:paraId="1F9CB7C2" w14:textId="77777777">
            <w:pPr>
              <w:pStyle w:val="BodyText"/>
              <w:rPr>
                <w:rFonts w:cs="Arial" w:asciiTheme="minorHAnsi" w:hAnsiTheme="minorHAnsi"/>
                <w:sz w:val="20"/>
              </w:rPr>
            </w:pPr>
            <w:r>
              <w:rPr>
                <w:rFonts w:cs="Arial" w:asciiTheme="minorHAnsi" w:hAnsiTheme="minorHAnsi"/>
                <w:sz w:val="20"/>
              </w:rPr>
              <w:t xml:space="preserve">Sotalol can prolong QTc interval. A 12-lead ECG is to be performed before and after the commencement of sotalol (see adverse reactions section). </w:t>
            </w:r>
          </w:p>
        </w:tc>
      </w:tr>
      <w:tr w:rsidRPr="003A7895" w:rsidR="009D5655" w:rsidTr="00A90748" w14:paraId="7A0F91D6" w14:textId="77777777">
        <w:trPr>
          <w:trHeight w:val="72"/>
        </w:trPr>
        <w:tc>
          <w:tcPr>
            <w:tcW w:w="1730" w:type="dxa"/>
          </w:tcPr>
          <w:p w:rsidRPr="00B53E9B" w:rsidR="009D5655" w:rsidP="00131848" w:rsidRDefault="009D5655" w14:paraId="3D8002C2" w14:textId="77777777">
            <w:pPr>
              <w:pStyle w:val="BodyText"/>
              <w:rPr>
                <w:rFonts w:cs="Arial"/>
                <w:sz w:val="20"/>
              </w:rPr>
            </w:pPr>
            <w:r w:rsidRPr="00B53E9B">
              <w:rPr>
                <w:rFonts w:cs="Arial"/>
                <w:b/>
                <w:bCs/>
                <w:sz w:val="20"/>
              </w:rPr>
              <w:t>Indication</w:t>
            </w:r>
          </w:p>
        </w:tc>
        <w:tc>
          <w:tcPr>
            <w:tcW w:w="7513" w:type="dxa"/>
          </w:tcPr>
          <w:p w:rsidRPr="00135FC6" w:rsidR="009D5655" w:rsidP="00131848" w:rsidRDefault="009D5655" w14:paraId="72F69DC5" w14:textId="77777777">
            <w:pPr>
              <w:rPr>
                <w:rFonts w:asciiTheme="minorHAnsi" w:hAnsiTheme="minorHAnsi"/>
                <w:sz w:val="20"/>
              </w:rPr>
            </w:pPr>
            <w:r w:rsidRPr="000D13DE">
              <w:rPr>
                <w:rFonts w:asciiTheme="minorHAnsi" w:hAnsiTheme="minorHAnsi"/>
                <w:sz w:val="20"/>
              </w:rPr>
              <w:t xml:space="preserve">For the maintenance of sinus rhythm in conditions such as </w:t>
            </w:r>
            <w:r>
              <w:rPr>
                <w:rFonts w:asciiTheme="minorHAnsi" w:hAnsiTheme="minorHAnsi"/>
                <w:sz w:val="20"/>
              </w:rPr>
              <w:t>supraventricular tachycardia (SVT)</w:t>
            </w:r>
            <w:r w:rsidRPr="000D13DE">
              <w:rPr>
                <w:rFonts w:asciiTheme="minorHAnsi" w:hAnsiTheme="minorHAnsi"/>
                <w:sz w:val="20"/>
              </w:rPr>
              <w:t xml:space="preserve"> and atrial tachycardia</w:t>
            </w:r>
            <w:r>
              <w:rPr>
                <w:rFonts w:asciiTheme="minorHAnsi" w:hAnsiTheme="minorHAnsi"/>
                <w:sz w:val="20"/>
              </w:rPr>
              <w:t xml:space="preserve"> after consultation with cardiologist</w:t>
            </w:r>
            <w:r w:rsidRPr="000D13DE">
              <w:rPr>
                <w:rFonts w:asciiTheme="minorHAnsi" w:hAnsiTheme="minorHAnsi"/>
                <w:sz w:val="20"/>
              </w:rPr>
              <w:t>.</w:t>
            </w:r>
          </w:p>
        </w:tc>
      </w:tr>
      <w:tr w:rsidRPr="003A7895" w:rsidR="009D5655" w:rsidTr="00A90748" w14:paraId="4F9FA5A2" w14:textId="77777777">
        <w:trPr>
          <w:trHeight w:val="310"/>
        </w:trPr>
        <w:tc>
          <w:tcPr>
            <w:tcW w:w="1730" w:type="dxa"/>
          </w:tcPr>
          <w:p w:rsidRPr="00B53E9B" w:rsidR="009D5655" w:rsidP="00131848" w:rsidRDefault="009D5655" w14:paraId="425AC7F0" w14:textId="77777777">
            <w:pPr>
              <w:pStyle w:val="BodyText"/>
              <w:rPr>
                <w:rFonts w:cs="Arial"/>
                <w:b/>
                <w:bCs/>
                <w:sz w:val="20"/>
              </w:rPr>
            </w:pPr>
            <w:r w:rsidRPr="00B53E9B">
              <w:rPr>
                <w:rFonts w:cs="Arial"/>
                <w:b/>
                <w:bCs/>
                <w:sz w:val="20"/>
              </w:rPr>
              <w:t>Action</w:t>
            </w:r>
          </w:p>
        </w:tc>
        <w:tc>
          <w:tcPr>
            <w:tcW w:w="7513" w:type="dxa"/>
          </w:tcPr>
          <w:p w:rsidRPr="00135FC6" w:rsidR="009D5655" w:rsidP="00131848" w:rsidRDefault="009D5655" w14:paraId="2FB50C25" w14:textId="77777777">
            <w:pPr>
              <w:rPr>
                <w:rFonts w:cs="Arial" w:asciiTheme="minorHAnsi" w:hAnsiTheme="minorHAnsi"/>
                <w:sz w:val="20"/>
              </w:rPr>
            </w:pPr>
            <w:r w:rsidRPr="000D13DE">
              <w:rPr>
                <w:rFonts w:cs="Arial" w:asciiTheme="minorHAnsi" w:hAnsiTheme="minorHAnsi"/>
                <w:sz w:val="20"/>
              </w:rPr>
              <w:t xml:space="preserve">Nonselective beta-blocking agent with class III effects at higher serum </w:t>
            </w:r>
            <w:r>
              <w:rPr>
                <w:rFonts w:cs="Arial" w:asciiTheme="minorHAnsi" w:hAnsiTheme="minorHAnsi"/>
                <w:sz w:val="20"/>
              </w:rPr>
              <w:t>concentrations</w:t>
            </w:r>
            <w:r w:rsidRPr="000D13DE">
              <w:rPr>
                <w:rFonts w:cs="Arial" w:asciiTheme="minorHAnsi" w:hAnsiTheme="minorHAnsi"/>
                <w:sz w:val="20"/>
              </w:rPr>
              <w:t xml:space="preserve">. </w:t>
            </w:r>
          </w:p>
        </w:tc>
      </w:tr>
      <w:tr w:rsidRPr="003A7895" w:rsidR="009D5655" w:rsidTr="00A90748" w14:paraId="20A4A730" w14:textId="77777777">
        <w:trPr>
          <w:trHeight w:val="266"/>
        </w:trPr>
        <w:tc>
          <w:tcPr>
            <w:tcW w:w="1730" w:type="dxa"/>
          </w:tcPr>
          <w:p w:rsidRPr="00B53E9B" w:rsidR="009D5655" w:rsidP="00131848" w:rsidRDefault="009D5655" w14:paraId="3AA2088D" w14:textId="77777777">
            <w:pPr>
              <w:pStyle w:val="BodyText"/>
              <w:rPr>
                <w:rFonts w:cs="Arial"/>
                <w:sz w:val="20"/>
              </w:rPr>
            </w:pPr>
            <w:r>
              <w:rPr>
                <w:rFonts w:cs="Arial"/>
                <w:b/>
                <w:bCs/>
                <w:sz w:val="20"/>
              </w:rPr>
              <w:t>Drug t</w:t>
            </w:r>
            <w:r w:rsidRPr="00B53E9B">
              <w:rPr>
                <w:rFonts w:cs="Arial"/>
                <w:b/>
                <w:bCs/>
                <w:sz w:val="20"/>
              </w:rPr>
              <w:t>ype</w:t>
            </w:r>
          </w:p>
        </w:tc>
        <w:tc>
          <w:tcPr>
            <w:tcW w:w="7513" w:type="dxa"/>
          </w:tcPr>
          <w:p w:rsidRPr="00135FC6" w:rsidR="009D5655" w:rsidP="00131848" w:rsidRDefault="009D5655" w14:paraId="752ED4BF" w14:textId="77777777">
            <w:pPr>
              <w:pStyle w:val="BodyText"/>
              <w:rPr>
                <w:rFonts w:cs="Arial" w:asciiTheme="minorHAnsi" w:hAnsiTheme="minorHAnsi"/>
                <w:sz w:val="20"/>
              </w:rPr>
            </w:pPr>
            <w:r>
              <w:rPr>
                <w:rFonts w:cs="Arial" w:asciiTheme="minorHAnsi" w:hAnsiTheme="minorHAnsi"/>
                <w:sz w:val="20"/>
              </w:rPr>
              <w:t>Antiarrhythmic.</w:t>
            </w:r>
          </w:p>
        </w:tc>
      </w:tr>
      <w:tr w:rsidRPr="003A7895" w:rsidR="009D5655" w:rsidTr="00A90748" w14:paraId="2C644FE4" w14:textId="77777777">
        <w:trPr>
          <w:trHeight w:val="114"/>
        </w:trPr>
        <w:tc>
          <w:tcPr>
            <w:tcW w:w="1730" w:type="dxa"/>
          </w:tcPr>
          <w:p w:rsidRPr="00B53E9B" w:rsidR="009D5655" w:rsidP="00131848" w:rsidRDefault="009D5655" w14:paraId="67AEA364"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13" w:type="dxa"/>
          </w:tcPr>
          <w:p w:rsidR="009D5655" w:rsidP="00131848" w:rsidRDefault="009D5655" w14:paraId="31BF340E" w14:textId="77777777">
            <w:pPr>
              <w:pStyle w:val="BodyText"/>
              <w:rPr>
                <w:rFonts w:cs="Arial" w:asciiTheme="minorHAnsi" w:hAnsiTheme="minorHAnsi"/>
                <w:sz w:val="20"/>
              </w:rPr>
            </w:pPr>
            <w:r>
              <w:rPr>
                <w:rFonts w:cs="Arial" w:asciiTheme="minorHAnsi" w:hAnsiTheme="minorHAnsi"/>
                <w:sz w:val="20"/>
              </w:rPr>
              <w:t>Oral: Suspension prepared by pharmacy.</w:t>
            </w:r>
          </w:p>
          <w:p w:rsidRPr="00135FC6" w:rsidR="009D5655" w:rsidP="00131848" w:rsidRDefault="009D5655" w14:paraId="0F3CD92D" w14:textId="77777777">
            <w:pPr>
              <w:pStyle w:val="BodyText"/>
              <w:rPr>
                <w:rFonts w:cs="Arial" w:asciiTheme="minorHAnsi" w:hAnsiTheme="minorHAnsi"/>
                <w:sz w:val="20"/>
              </w:rPr>
            </w:pPr>
            <w:r>
              <w:rPr>
                <w:rFonts w:cs="Arial" w:asciiTheme="minorHAnsi" w:hAnsiTheme="minorHAnsi"/>
                <w:sz w:val="20"/>
              </w:rPr>
              <w:t xml:space="preserve">IV: (1) </w:t>
            </w:r>
            <w:r w:rsidRPr="00613187">
              <w:rPr>
                <w:rFonts w:cs="Arial" w:asciiTheme="minorHAnsi" w:hAnsiTheme="minorHAnsi"/>
                <w:sz w:val="20"/>
              </w:rPr>
              <w:t>Sotacor</w:t>
            </w:r>
            <w:r>
              <w:rPr>
                <w:rFonts w:cs="Arial" w:asciiTheme="minorHAnsi" w:hAnsiTheme="minorHAnsi"/>
                <w:sz w:val="20"/>
              </w:rPr>
              <w:t xml:space="preserve"> Concentrate, (2) Sotalol-Carinopharm – SAS product.</w:t>
            </w:r>
          </w:p>
        </w:tc>
      </w:tr>
      <w:tr w:rsidRPr="003A7895" w:rsidR="009D5655" w:rsidTr="00A90748" w14:paraId="6496D19B" w14:textId="77777777">
        <w:trPr>
          <w:trHeight w:val="70"/>
        </w:trPr>
        <w:tc>
          <w:tcPr>
            <w:tcW w:w="1730" w:type="dxa"/>
          </w:tcPr>
          <w:p w:rsidRPr="00B53E9B" w:rsidR="009D5655" w:rsidP="00131848" w:rsidRDefault="009D5655" w14:paraId="1F59AEAE" w14:textId="77777777">
            <w:pPr>
              <w:pStyle w:val="BodyText"/>
              <w:rPr>
                <w:rFonts w:cs="Arial"/>
                <w:b/>
                <w:bCs/>
                <w:sz w:val="20"/>
              </w:rPr>
            </w:pPr>
            <w:r w:rsidRPr="00B53E9B">
              <w:rPr>
                <w:rFonts w:cs="Arial"/>
                <w:b/>
                <w:bCs/>
                <w:sz w:val="20"/>
              </w:rPr>
              <w:t xml:space="preserve">Presentation </w:t>
            </w:r>
          </w:p>
        </w:tc>
        <w:tc>
          <w:tcPr>
            <w:tcW w:w="7513" w:type="dxa"/>
          </w:tcPr>
          <w:p w:rsidR="009D5655" w:rsidP="00131848" w:rsidRDefault="009D5655" w14:paraId="4E8EFC50" w14:textId="77777777">
            <w:pPr>
              <w:pStyle w:val="BodyText"/>
              <w:rPr>
                <w:rFonts w:cs="Arial" w:asciiTheme="minorHAnsi" w:hAnsiTheme="minorHAnsi"/>
                <w:sz w:val="20"/>
              </w:rPr>
            </w:pPr>
            <w:r w:rsidRPr="00613187">
              <w:rPr>
                <w:rFonts w:cs="Arial" w:asciiTheme="minorHAnsi" w:hAnsiTheme="minorHAnsi"/>
                <w:sz w:val="20"/>
              </w:rPr>
              <w:t>Oral</w:t>
            </w:r>
            <w:r>
              <w:rPr>
                <w:rFonts w:cs="Arial" w:asciiTheme="minorHAnsi" w:hAnsiTheme="minorHAnsi"/>
                <w:sz w:val="20"/>
              </w:rPr>
              <w:t xml:space="preserve">: </w:t>
            </w:r>
            <w:r w:rsidRPr="00613187">
              <w:rPr>
                <w:rFonts w:cs="Arial" w:asciiTheme="minorHAnsi" w:hAnsiTheme="minorHAnsi"/>
                <w:sz w:val="20"/>
              </w:rPr>
              <w:t>5</w:t>
            </w:r>
            <w:r>
              <w:rPr>
                <w:rFonts w:cs="Arial" w:asciiTheme="minorHAnsi" w:hAnsiTheme="minorHAnsi"/>
                <w:sz w:val="20"/>
              </w:rPr>
              <w:t xml:space="preserve"> </w:t>
            </w:r>
            <w:r w:rsidRPr="00613187">
              <w:rPr>
                <w:rFonts w:cs="Arial" w:asciiTheme="minorHAnsi" w:hAnsiTheme="minorHAnsi"/>
                <w:sz w:val="20"/>
              </w:rPr>
              <w:t>mg/m</w:t>
            </w:r>
            <w:r>
              <w:rPr>
                <w:rFonts w:cs="Arial" w:asciiTheme="minorHAnsi" w:hAnsiTheme="minorHAnsi"/>
                <w:sz w:val="20"/>
              </w:rPr>
              <w:t>L</w:t>
            </w:r>
            <w:r w:rsidRPr="00613187">
              <w:rPr>
                <w:rFonts w:cs="Arial" w:asciiTheme="minorHAnsi" w:hAnsiTheme="minorHAnsi"/>
                <w:sz w:val="20"/>
              </w:rPr>
              <w:t xml:space="preserve"> suspension</w:t>
            </w:r>
            <w:r>
              <w:rPr>
                <w:rFonts w:cs="Arial" w:asciiTheme="minorHAnsi" w:hAnsiTheme="minorHAnsi"/>
                <w:sz w:val="20"/>
              </w:rPr>
              <w:t>.</w:t>
            </w:r>
          </w:p>
          <w:p w:rsidRPr="00135FC6" w:rsidR="009D5655" w:rsidP="00131848" w:rsidRDefault="009D5655" w14:paraId="5E725E41" w14:textId="77777777">
            <w:pPr>
              <w:pStyle w:val="BodyText"/>
              <w:ind w:left="34"/>
              <w:rPr>
                <w:rFonts w:cs="Arial" w:asciiTheme="minorHAnsi" w:hAnsiTheme="minorHAnsi"/>
                <w:sz w:val="20"/>
              </w:rPr>
            </w:pPr>
            <w:r>
              <w:rPr>
                <w:rFonts w:cs="Arial" w:asciiTheme="minorHAnsi" w:hAnsiTheme="minorHAnsi"/>
                <w:sz w:val="20"/>
              </w:rPr>
              <w:t xml:space="preserve">IV: </w:t>
            </w:r>
            <w:r w:rsidRPr="00FE7A30">
              <w:rPr>
                <w:rFonts w:cs="Arial" w:asciiTheme="minorHAnsi" w:hAnsiTheme="minorHAnsi"/>
                <w:sz w:val="20"/>
              </w:rPr>
              <w:t>40 mg/4 mL</w:t>
            </w:r>
            <w:r>
              <w:rPr>
                <w:rFonts w:cs="Arial" w:asciiTheme="minorHAnsi" w:hAnsiTheme="minorHAnsi"/>
                <w:sz w:val="20"/>
              </w:rPr>
              <w:t>.</w:t>
            </w:r>
          </w:p>
        </w:tc>
      </w:tr>
      <w:tr w:rsidRPr="000E2236" w:rsidR="009D5655" w:rsidTr="00A90748" w14:paraId="7C56D739" w14:textId="77777777">
        <w:trPr>
          <w:trHeight w:val="70"/>
        </w:trPr>
        <w:tc>
          <w:tcPr>
            <w:tcW w:w="1730" w:type="dxa"/>
          </w:tcPr>
          <w:p w:rsidRPr="00B53E9B" w:rsidR="009D5655" w:rsidP="00131848" w:rsidRDefault="009D5655" w14:paraId="08F41A07" w14:textId="77777777">
            <w:pPr>
              <w:pStyle w:val="BodyText"/>
              <w:rPr>
                <w:rFonts w:cs="Arial"/>
                <w:b/>
                <w:bCs/>
                <w:sz w:val="20"/>
              </w:rPr>
            </w:pPr>
            <w:r>
              <w:rPr>
                <w:rFonts w:cs="Arial"/>
                <w:b/>
                <w:bCs/>
                <w:sz w:val="20"/>
              </w:rPr>
              <w:t>Dose</w:t>
            </w:r>
            <w:r w:rsidRPr="00B53E9B">
              <w:rPr>
                <w:rFonts w:cs="Arial"/>
                <w:b/>
                <w:bCs/>
                <w:sz w:val="20"/>
              </w:rPr>
              <w:t xml:space="preserve"> </w:t>
            </w:r>
          </w:p>
        </w:tc>
        <w:tc>
          <w:tcPr>
            <w:tcW w:w="7513" w:type="dxa"/>
          </w:tcPr>
          <w:p w:rsidR="009D5655" w:rsidP="00131848" w:rsidRDefault="009D5655" w14:paraId="1797358B" w14:textId="77777777">
            <w:pPr>
              <w:pStyle w:val="BodyText"/>
              <w:rPr>
                <w:rFonts w:asciiTheme="minorHAnsi" w:hAnsiTheme="minorHAnsi"/>
                <w:sz w:val="20"/>
              </w:rPr>
            </w:pPr>
            <w:r>
              <w:rPr>
                <w:rFonts w:asciiTheme="minorHAnsi" w:hAnsiTheme="minorHAnsi"/>
                <w:sz w:val="20"/>
              </w:rPr>
              <w:t>T</w:t>
            </w:r>
            <w:r w:rsidRPr="00B0705C">
              <w:rPr>
                <w:rFonts w:asciiTheme="minorHAnsi" w:hAnsiTheme="minorHAnsi"/>
                <w:sz w:val="20"/>
              </w:rPr>
              <w:t xml:space="preserve">reatment </w:t>
            </w:r>
            <w:r>
              <w:rPr>
                <w:rFonts w:asciiTheme="minorHAnsi" w:hAnsiTheme="minorHAnsi"/>
                <w:sz w:val="20"/>
              </w:rPr>
              <w:t>via</w:t>
            </w:r>
            <w:r w:rsidRPr="00B0705C">
              <w:rPr>
                <w:rFonts w:asciiTheme="minorHAnsi" w:hAnsiTheme="minorHAnsi"/>
                <w:sz w:val="20"/>
              </w:rPr>
              <w:t xml:space="preserve"> the oral </w:t>
            </w:r>
            <w:r>
              <w:rPr>
                <w:rFonts w:asciiTheme="minorHAnsi" w:hAnsiTheme="minorHAnsi"/>
                <w:sz w:val="20"/>
              </w:rPr>
              <w:t xml:space="preserve">route </w:t>
            </w:r>
            <w:r w:rsidRPr="00B0705C">
              <w:rPr>
                <w:rFonts w:asciiTheme="minorHAnsi" w:hAnsiTheme="minorHAnsi"/>
                <w:sz w:val="20"/>
              </w:rPr>
              <w:t xml:space="preserve">is preferred. </w:t>
            </w:r>
          </w:p>
          <w:p w:rsidR="009D5655" w:rsidP="00131848" w:rsidRDefault="009D5655" w14:paraId="1EEDD56A" w14:textId="77777777">
            <w:pPr>
              <w:pStyle w:val="BodyText"/>
              <w:rPr>
                <w:rFonts w:asciiTheme="minorHAnsi" w:hAnsiTheme="minorHAnsi"/>
                <w:sz w:val="20"/>
              </w:rPr>
            </w:pPr>
            <w:r>
              <w:rPr>
                <w:rFonts w:asciiTheme="minorHAnsi" w:hAnsiTheme="minorHAnsi"/>
                <w:sz w:val="20"/>
              </w:rPr>
              <w:t xml:space="preserve">Oral: </w:t>
            </w:r>
            <w:r w:rsidRPr="00B0705C">
              <w:rPr>
                <w:rFonts w:asciiTheme="minorHAnsi" w:hAnsiTheme="minorHAnsi"/>
                <w:sz w:val="20"/>
              </w:rPr>
              <w:t xml:space="preserve">Starting dose 1 mg/kg/dose 12 hourly. Gradually increase every 3 to 4 days until adequate sinus rhythm is maintained. Doses greater than 4 mg/kg/day </w:t>
            </w:r>
            <w:r>
              <w:rPr>
                <w:rFonts w:asciiTheme="minorHAnsi" w:hAnsiTheme="minorHAnsi"/>
                <w:sz w:val="20"/>
              </w:rPr>
              <w:t>are</w:t>
            </w:r>
            <w:r w:rsidRPr="00B0705C">
              <w:rPr>
                <w:rFonts w:asciiTheme="minorHAnsi" w:hAnsiTheme="minorHAnsi"/>
                <w:sz w:val="20"/>
              </w:rPr>
              <w:t xml:space="preserve"> best administered 8 hourly.</w:t>
            </w:r>
          </w:p>
          <w:p w:rsidRPr="00026F20" w:rsidR="009D5655" w:rsidP="00131848" w:rsidRDefault="009D5655" w14:paraId="2520F4AA" w14:textId="77777777">
            <w:pPr>
              <w:pStyle w:val="BodyText"/>
              <w:ind w:left="360" w:hanging="331"/>
              <w:rPr>
                <w:sz w:val="20"/>
              </w:rPr>
            </w:pPr>
            <w:r>
              <w:rPr>
                <w:rFonts w:asciiTheme="minorHAnsi" w:hAnsiTheme="minorHAnsi"/>
                <w:sz w:val="20"/>
              </w:rPr>
              <w:t>IV</w:t>
            </w:r>
            <w:r w:rsidRPr="00613187">
              <w:rPr>
                <w:rFonts w:asciiTheme="minorHAnsi" w:hAnsiTheme="minorHAnsi"/>
                <w:sz w:val="20"/>
              </w:rPr>
              <w:t>: 0.5</w:t>
            </w:r>
            <w:r>
              <w:rPr>
                <w:rFonts w:asciiTheme="minorHAnsi" w:hAnsiTheme="minorHAnsi"/>
                <w:sz w:val="20"/>
              </w:rPr>
              <w:t>−</w:t>
            </w:r>
            <w:r w:rsidRPr="00613187">
              <w:rPr>
                <w:rFonts w:asciiTheme="minorHAnsi" w:hAnsiTheme="minorHAnsi"/>
                <w:sz w:val="20"/>
              </w:rPr>
              <w:t>1.5</w:t>
            </w:r>
            <w:r>
              <w:rPr>
                <w:rFonts w:asciiTheme="minorHAnsi" w:hAnsiTheme="minorHAnsi"/>
                <w:sz w:val="20"/>
              </w:rPr>
              <w:t xml:space="preserve"> </w:t>
            </w:r>
            <w:r w:rsidRPr="00613187">
              <w:rPr>
                <w:rFonts w:asciiTheme="minorHAnsi" w:hAnsiTheme="minorHAnsi"/>
                <w:sz w:val="20"/>
              </w:rPr>
              <w:t>mg/kg/dose 12 hourly by slow IV infusion over 10 minutes.</w:t>
            </w:r>
          </w:p>
        </w:tc>
      </w:tr>
      <w:tr w:rsidRPr="003A7895" w:rsidR="009D5655" w:rsidTr="00A90748" w14:paraId="63A901BC" w14:textId="77777777">
        <w:trPr>
          <w:trHeight w:val="407"/>
        </w:trPr>
        <w:tc>
          <w:tcPr>
            <w:tcW w:w="1730" w:type="dxa"/>
          </w:tcPr>
          <w:p w:rsidRPr="00B53E9B" w:rsidR="009D5655" w:rsidP="00131848" w:rsidRDefault="009D5655" w14:paraId="2A8BB220" w14:textId="77777777">
            <w:pPr>
              <w:pStyle w:val="BodyText"/>
              <w:rPr>
                <w:b/>
                <w:sz w:val="20"/>
              </w:rPr>
            </w:pPr>
            <w:r w:rsidRPr="00B53E9B">
              <w:rPr>
                <w:b/>
                <w:sz w:val="20"/>
              </w:rPr>
              <w:t>Dose adjustment</w:t>
            </w:r>
          </w:p>
        </w:tc>
        <w:tc>
          <w:tcPr>
            <w:tcW w:w="7513" w:type="dxa"/>
          </w:tcPr>
          <w:p w:rsidRPr="005505CB" w:rsidR="009D5655" w:rsidP="00131848" w:rsidRDefault="009D5655" w14:paraId="4C3D3863" w14:textId="77777777">
            <w:pPr>
              <w:pStyle w:val="BodyText"/>
              <w:rPr>
                <w:sz w:val="20"/>
                <w:vertAlign w:val="superscript"/>
              </w:rPr>
            </w:pPr>
            <w:r w:rsidRPr="009C5E78">
              <w:rPr>
                <w:sz w:val="20"/>
              </w:rPr>
              <w:t>Time to steady state increases with age and may be 1 week or longer in neonates</w:t>
            </w:r>
            <w:r>
              <w:rPr>
                <w:sz w:val="20"/>
              </w:rPr>
              <w:t>.</w:t>
            </w:r>
            <w:r>
              <w:rPr>
                <w:sz w:val="20"/>
                <w:vertAlign w:val="superscript"/>
              </w:rPr>
              <w:t>13</w:t>
            </w:r>
          </w:p>
        </w:tc>
      </w:tr>
      <w:tr w:rsidRPr="003A7895" w:rsidR="009D5655" w:rsidTr="00A90748" w14:paraId="6237F233" w14:textId="77777777">
        <w:trPr>
          <w:trHeight w:val="113"/>
        </w:trPr>
        <w:tc>
          <w:tcPr>
            <w:tcW w:w="1730" w:type="dxa"/>
          </w:tcPr>
          <w:p w:rsidRPr="00B53E9B" w:rsidR="009D5655" w:rsidP="00131848" w:rsidRDefault="009D5655" w14:paraId="65B465FB" w14:textId="77777777">
            <w:pPr>
              <w:pStyle w:val="BodyText"/>
              <w:rPr>
                <w:b/>
                <w:sz w:val="20"/>
              </w:rPr>
            </w:pPr>
            <w:r w:rsidRPr="00B53E9B">
              <w:rPr>
                <w:b/>
                <w:sz w:val="20"/>
              </w:rPr>
              <w:t>Maximum dose</w:t>
            </w:r>
          </w:p>
        </w:tc>
        <w:tc>
          <w:tcPr>
            <w:tcW w:w="7513" w:type="dxa"/>
          </w:tcPr>
          <w:p w:rsidRPr="00026F20" w:rsidR="009D5655" w:rsidP="00131848" w:rsidRDefault="009D5655" w14:paraId="54B94279" w14:textId="77777777">
            <w:pPr>
              <w:pStyle w:val="BodyText"/>
              <w:rPr>
                <w:sz w:val="20"/>
              </w:rPr>
            </w:pPr>
            <w:r>
              <w:rPr>
                <w:rFonts w:asciiTheme="minorHAnsi" w:hAnsiTheme="minorHAnsi"/>
                <w:sz w:val="20"/>
              </w:rPr>
              <w:t>4 mg/kg/day in neonatal period and 6 mg/kg/day beyond neonatal period.</w:t>
            </w:r>
            <w:r w:rsidRPr="00B0705C">
              <w:rPr>
                <w:rFonts w:asciiTheme="minorHAnsi" w:hAnsiTheme="minorHAnsi"/>
                <w:sz w:val="20"/>
              </w:rPr>
              <w:t xml:space="preserve"> I</w:t>
            </w:r>
            <w:r>
              <w:rPr>
                <w:rFonts w:asciiTheme="minorHAnsi" w:hAnsiTheme="minorHAnsi"/>
                <w:sz w:val="20"/>
              </w:rPr>
              <w:t>f</w:t>
            </w:r>
            <w:r w:rsidRPr="00B0705C">
              <w:rPr>
                <w:rFonts w:asciiTheme="minorHAnsi" w:hAnsiTheme="minorHAnsi"/>
                <w:sz w:val="20"/>
              </w:rPr>
              <w:t xml:space="preserve"> dosing higher than this</w:t>
            </w:r>
            <w:r>
              <w:rPr>
                <w:rFonts w:asciiTheme="minorHAnsi" w:hAnsiTheme="minorHAnsi"/>
                <w:sz w:val="20"/>
              </w:rPr>
              <w:t xml:space="preserve"> is being considered</w:t>
            </w:r>
            <w:r w:rsidRPr="00B0705C">
              <w:rPr>
                <w:rFonts w:asciiTheme="minorHAnsi" w:hAnsiTheme="minorHAnsi"/>
                <w:sz w:val="20"/>
              </w:rPr>
              <w:t>, consult a paediatric cardiologist.</w:t>
            </w:r>
          </w:p>
        </w:tc>
      </w:tr>
      <w:tr w:rsidRPr="003A7895" w:rsidR="009D5655" w:rsidTr="00A90748" w14:paraId="02215EDB" w14:textId="77777777">
        <w:trPr>
          <w:trHeight w:val="144"/>
        </w:trPr>
        <w:tc>
          <w:tcPr>
            <w:tcW w:w="1730" w:type="dxa"/>
          </w:tcPr>
          <w:p w:rsidRPr="00B53E9B" w:rsidR="009D5655" w:rsidP="00131848" w:rsidRDefault="009D5655" w14:paraId="17536AFE" w14:textId="77777777">
            <w:pPr>
              <w:pStyle w:val="BodyText"/>
              <w:rPr>
                <w:rFonts w:cs="Arial"/>
                <w:b/>
                <w:bCs/>
                <w:sz w:val="20"/>
              </w:rPr>
            </w:pPr>
            <w:r w:rsidRPr="00B53E9B">
              <w:rPr>
                <w:b/>
                <w:sz w:val="20"/>
              </w:rPr>
              <w:t>Total cumulative dose</w:t>
            </w:r>
          </w:p>
        </w:tc>
        <w:tc>
          <w:tcPr>
            <w:tcW w:w="7513" w:type="dxa"/>
          </w:tcPr>
          <w:p w:rsidRPr="002C0980" w:rsidR="009D5655" w:rsidP="00131848" w:rsidRDefault="009D5655" w14:paraId="763C4B4A" w14:textId="77777777">
            <w:pPr>
              <w:pStyle w:val="BodyText"/>
              <w:rPr>
                <w:rFonts w:cs="Arial"/>
                <w:sz w:val="20"/>
              </w:rPr>
            </w:pPr>
          </w:p>
        </w:tc>
      </w:tr>
      <w:tr w:rsidRPr="003A7895" w:rsidR="009D5655" w:rsidTr="00A90748" w14:paraId="2FE35721" w14:textId="77777777">
        <w:trPr>
          <w:trHeight w:val="294"/>
        </w:trPr>
        <w:tc>
          <w:tcPr>
            <w:tcW w:w="1730" w:type="dxa"/>
          </w:tcPr>
          <w:p w:rsidRPr="00B53E9B" w:rsidR="009D5655" w:rsidP="00131848" w:rsidRDefault="009D5655" w14:paraId="5540AC88" w14:textId="77777777">
            <w:pPr>
              <w:pStyle w:val="BodyText"/>
              <w:rPr>
                <w:rFonts w:cs="Arial"/>
                <w:sz w:val="20"/>
              </w:rPr>
            </w:pPr>
            <w:r w:rsidRPr="00B53E9B">
              <w:rPr>
                <w:rFonts w:cs="Arial"/>
                <w:b/>
                <w:bCs/>
                <w:sz w:val="20"/>
              </w:rPr>
              <w:t xml:space="preserve">Route </w:t>
            </w:r>
          </w:p>
        </w:tc>
        <w:tc>
          <w:tcPr>
            <w:tcW w:w="7513" w:type="dxa"/>
          </w:tcPr>
          <w:p w:rsidR="009D5655" w:rsidP="00131848" w:rsidRDefault="009D5655" w14:paraId="2D27C75C" w14:textId="77777777">
            <w:pPr>
              <w:pStyle w:val="BodyText"/>
              <w:rPr>
                <w:rFonts w:cs="Arial" w:asciiTheme="minorHAnsi" w:hAnsiTheme="minorHAnsi"/>
                <w:sz w:val="20"/>
              </w:rPr>
            </w:pPr>
            <w:r>
              <w:rPr>
                <w:rFonts w:cs="Arial" w:asciiTheme="minorHAnsi" w:hAnsiTheme="minorHAnsi"/>
                <w:sz w:val="20"/>
              </w:rPr>
              <w:t>Oral</w:t>
            </w:r>
          </w:p>
          <w:p w:rsidRPr="00026F20" w:rsidR="009D5655" w:rsidP="00131848" w:rsidRDefault="009D5655" w14:paraId="6A17D8C1" w14:textId="77777777">
            <w:pPr>
              <w:pStyle w:val="BodyText"/>
              <w:rPr>
                <w:rFonts w:cs="Arial"/>
                <w:sz w:val="20"/>
              </w:rPr>
            </w:pPr>
            <w:r>
              <w:rPr>
                <w:rFonts w:cs="Arial" w:asciiTheme="minorHAnsi" w:hAnsiTheme="minorHAnsi"/>
                <w:sz w:val="20"/>
              </w:rPr>
              <w:t>IV</w:t>
            </w:r>
          </w:p>
        </w:tc>
      </w:tr>
      <w:tr w:rsidRPr="003A7895" w:rsidR="009D5655" w:rsidTr="00A90748" w14:paraId="7261BAE1" w14:textId="77777777">
        <w:trPr>
          <w:trHeight w:val="93"/>
        </w:trPr>
        <w:tc>
          <w:tcPr>
            <w:tcW w:w="1730" w:type="dxa"/>
          </w:tcPr>
          <w:p w:rsidRPr="00B53E9B" w:rsidR="009D5655" w:rsidP="00131848" w:rsidRDefault="009D5655" w14:paraId="3F925FDC"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13" w:type="dxa"/>
          </w:tcPr>
          <w:p w:rsidR="009D5655" w:rsidP="00131848" w:rsidRDefault="009D5655" w14:paraId="6D7450B6" w14:textId="77777777">
            <w:pPr>
              <w:pStyle w:val="BodyText"/>
              <w:rPr>
                <w:rFonts w:cs="Arial" w:asciiTheme="minorHAnsi" w:hAnsiTheme="minorHAnsi"/>
                <w:sz w:val="20"/>
              </w:rPr>
            </w:pPr>
            <w:r w:rsidRPr="00613187">
              <w:rPr>
                <w:rFonts w:cs="Arial" w:asciiTheme="minorHAnsi" w:hAnsiTheme="minorHAnsi"/>
                <w:sz w:val="20"/>
              </w:rPr>
              <w:t>Oral: 5</w:t>
            </w:r>
            <w:r>
              <w:rPr>
                <w:rFonts w:cs="Arial" w:asciiTheme="minorHAnsi" w:hAnsiTheme="minorHAnsi"/>
                <w:sz w:val="20"/>
              </w:rPr>
              <w:t xml:space="preserve"> </w:t>
            </w:r>
            <w:r w:rsidRPr="00613187">
              <w:rPr>
                <w:rFonts w:cs="Arial" w:asciiTheme="minorHAnsi" w:hAnsiTheme="minorHAnsi"/>
                <w:sz w:val="20"/>
              </w:rPr>
              <w:t>mg/m</w:t>
            </w:r>
            <w:r>
              <w:rPr>
                <w:rFonts w:cs="Arial" w:asciiTheme="minorHAnsi" w:hAnsiTheme="minorHAnsi"/>
                <w:sz w:val="20"/>
              </w:rPr>
              <w:t>L</w:t>
            </w:r>
            <w:r w:rsidRPr="00613187">
              <w:rPr>
                <w:rFonts w:cs="Arial" w:asciiTheme="minorHAnsi" w:hAnsiTheme="minorHAnsi"/>
                <w:sz w:val="20"/>
              </w:rPr>
              <w:t xml:space="preserve"> suspension (prepared by pharmacy)</w:t>
            </w:r>
            <w:r>
              <w:rPr>
                <w:rFonts w:cs="Arial" w:asciiTheme="minorHAnsi" w:hAnsiTheme="minorHAnsi"/>
                <w:sz w:val="20"/>
              </w:rPr>
              <w:t>.</w:t>
            </w:r>
          </w:p>
          <w:p w:rsidRPr="00026F20" w:rsidR="009D5655" w:rsidP="00131848" w:rsidRDefault="009D5655" w14:paraId="2249557F" w14:textId="77777777">
            <w:pPr>
              <w:pStyle w:val="BodyText"/>
              <w:rPr>
                <w:rFonts w:cs="Arial"/>
                <w:sz w:val="20"/>
              </w:rPr>
            </w:pPr>
            <w:r>
              <w:rPr>
                <w:rFonts w:cs="Arial" w:asciiTheme="minorHAnsi" w:hAnsiTheme="minorHAnsi"/>
                <w:sz w:val="20"/>
              </w:rPr>
              <w:t xml:space="preserve">IV: </w:t>
            </w:r>
            <w:r w:rsidRPr="000C1A6F">
              <w:rPr>
                <w:rFonts w:cs="Arial" w:asciiTheme="minorHAnsi" w:hAnsiTheme="minorHAnsi"/>
                <w:sz w:val="20"/>
              </w:rPr>
              <w:t>Draw up 1</w:t>
            </w:r>
            <w:r>
              <w:rPr>
                <w:rFonts w:cs="Arial" w:asciiTheme="minorHAnsi" w:hAnsiTheme="minorHAnsi"/>
                <w:sz w:val="20"/>
              </w:rPr>
              <w:t xml:space="preserve"> </w:t>
            </w:r>
            <w:r w:rsidRPr="000C1A6F">
              <w:rPr>
                <w:rFonts w:cs="Arial" w:asciiTheme="minorHAnsi" w:hAnsiTheme="minorHAnsi"/>
                <w:sz w:val="20"/>
              </w:rPr>
              <w:t>mL of sotalol (10 mg) and add 4</w:t>
            </w:r>
            <w:r>
              <w:rPr>
                <w:rFonts w:cs="Arial" w:asciiTheme="minorHAnsi" w:hAnsiTheme="minorHAnsi"/>
                <w:sz w:val="20"/>
              </w:rPr>
              <w:t xml:space="preserve"> </w:t>
            </w:r>
            <w:r w:rsidRPr="000C1A6F">
              <w:rPr>
                <w:rFonts w:cs="Arial" w:asciiTheme="minorHAnsi" w:hAnsiTheme="minorHAnsi"/>
                <w:sz w:val="20"/>
              </w:rPr>
              <w:t xml:space="preserve">mL sodium chloride 0.9% to make a final volume of 5 mL solution </w:t>
            </w:r>
            <w:r>
              <w:rPr>
                <w:rFonts w:cs="Arial" w:asciiTheme="minorHAnsi" w:hAnsiTheme="minorHAnsi"/>
                <w:sz w:val="20"/>
              </w:rPr>
              <w:t xml:space="preserve">with </w:t>
            </w:r>
            <w:r w:rsidRPr="000C1A6F">
              <w:rPr>
                <w:rFonts w:cs="Arial" w:asciiTheme="minorHAnsi" w:hAnsiTheme="minorHAnsi"/>
                <w:sz w:val="20"/>
              </w:rPr>
              <w:t>a concentration of 2 mg/mL.</w:t>
            </w:r>
          </w:p>
        </w:tc>
      </w:tr>
      <w:tr w:rsidRPr="003A7895" w:rsidR="009D5655" w:rsidTr="00A90748" w14:paraId="34890ABB" w14:textId="77777777">
        <w:trPr>
          <w:trHeight w:val="224"/>
        </w:trPr>
        <w:tc>
          <w:tcPr>
            <w:tcW w:w="1730" w:type="dxa"/>
          </w:tcPr>
          <w:p w:rsidRPr="00B53E9B" w:rsidR="009D5655" w:rsidP="00131848" w:rsidRDefault="009D5655" w14:paraId="2A4B5076" w14:textId="77777777">
            <w:pPr>
              <w:pStyle w:val="BodyText"/>
              <w:rPr>
                <w:rFonts w:cs="Arial"/>
                <w:b/>
                <w:bCs/>
                <w:sz w:val="20"/>
              </w:rPr>
            </w:pPr>
            <w:r w:rsidRPr="00B53E9B">
              <w:rPr>
                <w:rFonts w:cs="Arial"/>
                <w:b/>
                <w:bCs/>
                <w:sz w:val="20"/>
              </w:rPr>
              <w:t xml:space="preserve">Administration </w:t>
            </w:r>
          </w:p>
        </w:tc>
        <w:tc>
          <w:tcPr>
            <w:tcW w:w="7513" w:type="dxa"/>
            <w:vAlign w:val="center"/>
          </w:tcPr>
          <w:p w:rsidR="009D5655" w:rsidP="00131848" w:rsidRDefault="009D5655" w14:paraId="265A891F" w14:textId="77777777">
            <w:pPr>
              <w:pStyle w:val="BodyText"/>
              <w:rPr>
                <w:rFonts w:cs="Arial" w:asciiTheme="minorHAnsi" w:hAnsiTheme="minorHAnsi"/>
                <w:sz w:val="20"/>
              </w:rPr>
            </w:pPr>
            <w:r>
              <w:rPr>
                <w:rFonts w:cs="Arial" w:asciiTheme="minorHAnsi" w:hAnsiTheme="minorHAnsi"/>
                <w:sz w:val="20"/>
              </w:rPr>
              <w:t>IV</w:t>
            </w:r>
            <w:r w:rsidRPr="009830B5">
              <w:rPr>
                <w:rFonts w:cs="Arial" w:asciiTheme="minorHAnsi" w:hAnsiTheme="minorHAnsi"/>
                <w:sz w:val="20"/>
              </w:rPr>
              <w:t xml:space="preserve">: </w:t>
            </w:r>
            <w:r>
              <w:rPr>
                <w:rFonts w:cs="Arial" w:asciiTheme="minorHAnsi" w:hAnsiTheme="minorHAnsi"/>
                <w:sz w:val="20"/>
              </w:rPr>
              <w:t>V</w:t>
            </w:r>
            <w:r w:rsidRPr="009830B5">
              <w:rPr>
                <w:rFonts w:cs="Arial" w:asciiTheme="minorHAnsi" w:hAnsiTheme="minorHAnsi"/>
                <w:sz w:val="20"/>
              </w:rPr>
              <w:t>ia peripheral or central</w:t>
            </w:r>
            <w:r>
              <w:rPr>
                <w:rFonts w:cs="Arial" w:asciiTheme="minorHAnsi" w:hAnsiTheme="minorHAnsi"/>
                <w:sz w:val="20"/>
              </w:rPr>
              <w:t xml:space="preserve"> </w:t>
            </w:r>
            <w:r w:rsidRPr="009830B5">
              <w:rPr>
                <w:rFonts w:cs="Arial" w:asciiTheme="minorHAnsi" w:hAnsiTheme="minorHAnsi"/>
                <w:sz w:val="20"/>
              </w:rPr>
              <w:t>cannula</w:t>
            </w:r>
            <w:r>
              <w:rPr>
                <w:rFonts w:cs="Arial" w:asciiTheme="minorHAnsi" w:hAnsiTheme="minorHAnsi"/>
                <w:sz w:val="20"/>
              </w:rPr>
              <w:t xml:space="preserve"> over 10 minutes</w:t>
            </w:r>
            <w:r w:rsidRPr="009830B5">
              <w:rPr>
                <w:rFonts w:cs="Arial" w:asciiTheme="minorHAnsi" w:hAnsiTheme="minorHAnsi"/>
                <w:sz w:val="20"/>
              </w:rPr>
              <w:t>.</w:t>
            </w:r>
            <w:r>
              <w:rPr>
                <w:rFonts w:cs="Arial" w:asciiTheme="minorHAnsi" w:hAnsiTheme="minorHAnsi"/>
                <w:sz w:val="20"/>
              </w:rPr>
              <w:t xml:space="preserve"> </w:t>
            </w:r>
            <w:r w:rsidRPr="00673A54">
              <w:rPr>
                <w:rFonts w:cs="Arial" w:asciiTheme="minorHAnsi" w:hAnsiTheme="minorHAnsi"/>
                <w:sz w:val="20"/>
              </w:rPr>
              <w:t xml:space="preserve">The cannula should be flushed with </w:t>
            </w:r>
            <w:r>
              <w:rPr>
                <w:rFonts w:cs="Arial" w:asciiTheme="minorHAnsi" w:hAnsiTheme="minorHAnsi"/>
                <w:sz w:val="20"/>
              </w:rPr>
              <w:t>sodium chloride 0.9%</w:t>
            </w:r>
            <w:r w:rsidRPr="00673A54">
              <w:rPr>
                <w:rFonts w:cs="Arial" w:asciiTheme="minorHAnsi" w:hAnsiTheme="minorHAnsi"/>
                <w:sz w:val="20"/>
              </w:rPr>
              <w:t xml:space="preserve"> pr</w:t>
            </w:r>
            <w:r>
              <w:rPr>
                <w:rFonts w:cs="Arial" w:asciiTheme="minorHAnsi" w:hAnsiTheme="minorHAnsi"/>
                <w:sz w:val="20"/>
              </w:rPr>
              <w:t>e- and post-administration.</w:t>
            </w:r>
          </w:p>
          <w:p w:rsidRPr="00026F20" w:rsidR="009D5655" w:rsidP="00131848" w:rsidRDefault="009D5655" w14:paraId="7A4B4453" w14:textId="77777777">
            <w:pPr>
              <w:pStyle w:val="BodyText"/>
              <w:rPr>
                <w:rFonts w:cs="Arial"/>
                <w:sz w:val="20"/>
              </w:rPr>
            </w:pPr>
            <w:r w:rsidRPr="009830B5">
              <w:rPr>
                <w:rFonts w:cs="Arial" w:asciiTheme="minorHAnsi" w:hAnsiTheme="minorHAnsi"/>
                <w:sz w:val="20"/>
              </w:rPr>
              <w:t xml:space="preserve">Oral: </w:t>
            </w:r>
            <w:r>
              <w:rPr>
                <w:rFonts w:cs="Arial" w:asciiTheme="minorHAnsi" w:hAnsiTheme="minorHAnsi"/>
                <w:sz w:val="20"/>
              </w:rPr>
              <w:t>P</w:t>
            </w:r>
            <w:r w:rsidRPr="009830B5">
              <w:rPr>
                <w:rFonts w:cs="Arial" w:asciiTheme="minorHAnsi" w:hAnsiTheme="minorHAnsi"/>
                <w:sz w:val="20"/>
              </w:rPr>
              <w:t>referably administered on an empty stomach</w:t>
            </w:r>
            <w:r>
              <w:rPr>
                <w:rFonts w:cs="Arial" w:asciiTheme="minorHAnsi" w:hAnsiTheme="minorHAnsi"/>
                <w:sz w:val="20"/>
              </w:rPr>
              <w:t>;</w:t>
            </w:r>
            <w:r w:rsidRPr="009830B5">
              <w:rPr>
                <w:rFonts w:cs="Arial" w:asciiTheme="minorHAnsi" w:hAnsiTheme="minorHAnsi"/>
                <w:sz w:val="20"/>
              </w:rPr>
              <w:t xml:space="preserve"> at least 30</w:t>
            </w:r>
            <w:r>
              <w:rPr>
                <w:rFonts w:cs="Arial" w:asciiTheme="minorHAnsi" w:hAnsiTheme="minorHAnsi"/>
                <w:sz w:val="20"/>
              </w:rPr>
              <w:t xml:space="preserve"> </w:t>
            </w:r>
            <w:r w:rsidRPr="009830B5">
              <w:rPr>
                <w:rFonts w:cs="Arial" w:asciiTheme="minorHAnsi" w:hAnsiTheme="minorHAnsi"/>
                <w:sz w:val="20"/>
              </w:rPr>
              <w:t xml:space="preserve">minutes before feeding. </w:t>
            </w:r>
          </w:p>
        </w:tc>
      </w:tr>
      <w:tr w:rsidRPr="003A7895" w:rsidR="009D5655" w:rsidTr="00A90748" w14:paraId="7CB61336" w14:textId="77777777">
        <w:trPr>
          <w:trHeight w:val="215"/>
        </w:trPr>
        <w:tc>
          <w:tcPr>
            <w:tcW w:w="1730" w:type="dxa"/>
          </w:tcPr>
          <w:p w:rsidRPr="00B53E9B" w:rsidR="009D5655" w:rsidP="00131848" w:rsidRDefault="009D5655" w14:paraId="086D750A" w14:textId="77777777">
            <w:pPr>
              <w:pStyle w:val="BodyText"/>
              <w:rPr>
                <w:rFonts w:cs="Arial"/>
                <w:b/>
                <w:bCs/>
                <w:sz w:val="20"/>
              </w:rPr>
            </w:pPr>
            <w:r w:rsidRPr="00B53E9B">
              <w:rPr>
                <w:rFonts w:cs="Arial"/>
                <w:b/>
                <w:bCs/>
                <w:sz w:val="20"/>
              </w:rPr>
              <w:t>Monitoring</w:t>
            </w:r>
          </w:p>
        </w:tc>
        <w:tc>
          <w:tcPr>
            <w:tcW w:w="7513" w:type="dxa"/>
          </w:tcPr>
          <w:p w:rsidR="009D5655" w:rsidP="00131848" w:rsidRDefault="009D5655" w14:paraId="6A2FB096" w14:textId="77777777">
            <w:pPr>
              <w:pStyle w:val="BodyText"/>
              <w:rPr>
                <w:rFonts w:cs="Arial" w:asciiTheme="minorHAnsi" w:hAnsiTheme="minorHAnsi"/>
                <w:sz w:val="20"/>
              </w:rPr>
            </w:pPr>
            <w:r w:rsidRPr="00C67A7B">
              <w:rPr>
                <w:rFonts w:cs="Arial" w:asciiTheme="minorHAnsi" w:hAnsiTheme="minorHAnsi"/>
                <w:sz w:val="20"/>
              </w:rPr>
              <w:t>Perform a</w:t>
            </w:r>
            <w:r>
              <w:rPr>
                <w:rFonts w:cs="Arial" w:asciiTheme="minorHAnsi" w:hAnsiTheme="minorHAnsi"/>
                <w:sz w:val="20"/>
              </w:rPr>
              <w:t xml:space="preserve"> baseline</w:t>
            </w:r>
            <w:r w:rsidRPr="00C67A7B">
              <w:rPr>
                <w:rFonts w:cs="Arial" w:asciiTheme="minorHAnsi" w:hAnsiTheme="minorHAnsi"/>
                <w:sz w:val="20"/>
              </w:rPr>
              <w:t xml:space="preserve"> 12</w:t>
            </w:r>
            <w:r>
              <w:rPr>
                <w:rFonts w:cs="Arial" w:asciiTheme="minorHAnsi" w:hAnsiTheme="minorHAnsi"/>
                <w:sz w:val="20"/>
              </w:rPr>
              <w:t>-</w:t>
            </w:r>
            <w:r w:rsidRPr="00C67A7B">
              <w:rPr>
                <w:rFonts w:cs="Arial" w:asciiTheme="minorHAnsi" w:hAnsiTheme="minorHAnsi"/>
                <w:sz w:val="20"/>
              </w:rPr>
              <w:t xml:space="preserve">lead ECG </w:t>
            </w:r>
            <w:r>
              <w:rPr>
                <w:rFonts w:cs="Arial" w:asciiTheme="minorHAnsi" w:hAnsiTheme="minorHAnsi"/>
                <w:sz w:val="20"/>
              </w:rPr>
              <w:t xml:space="preserve">before and after the first dose </w:t>
            </w:r>
            <w:r w:rsidRPr="00C67A7B">
              <w:rPr>
                <w:rFonts w:cs="Arial" w:asciiTheme="minorHAnsi" w:hAnsiTheme="minorHAnsi"/>
                <w:sz w:val="20"/>
              </w:rPr>
              <w:t xml:space="preserve">to assess for </w:t>
            </w:r>
            <w:r>
              <w:rPr>
                <w:rFonts w:cs="Arial" w:asciiTheme="minorHAnsi" w:hAnsiTheme="minorHAnsi"/>
                <w:sz w:val="20"/>
              </w:rPr>
              <w:t xml:space="preserve">any increase in </w:t>
            </w:r>
            <w:r w:rsidRPr="00C67A7B">
              <w:rPr>
                <w:rFonts w:cs="Arial" w:asciiTheme="minorHAnsi" w:hAnsiTheme="minorHAnsi"/>
                <w:sz w:val="20"/>
              </w:rPr>
              <w:t xml:space="preserve">QTc </w:t>
            </w:r>
            <w:r>
              <w:rPr>
                <w:rFonts w:cs="Arial" w:asciiTheme="minorHAnsi" w:hAnsiTheme="minorHAnsi"/>
                <w:sz w:val="20"/>
              </w:rPr>
              <w:t>interval.</w:t>
            </w:r>
            <w:r w:rsidRPr="00C67A7B">
              <w:rPr>
                <w:rFonts w:cs="Arial" w:asciiTheme="minorHAnsi" w:hAnsiTheme="minorHAnsi"/>
                <w:sz w:val="20"/>
              </w:rPr>
              <w:t xml:space="preserve"> </w:t>
            </w:r>
            <w:r>
              <w:rPr>
                <w:rFonts w:cs="Arial" w:asciiTheme="minorHAnsi" w:hAnsiTheme="minorHAnsi"/>
                <w:sz w:val="20"/>
              </w:rPr>
              <w:t xml:space="preserve">To be performed with </w:t>
            </w:r>
            <w:r w:rsidRPr="00C67A7B">
              <w:rPr>
                <w:rFonts w:cs="Arial" w:asciiTheme="minorHAnsi" w:hAnsiTheme="minorHAnsi"/>
                <w:sz w:val="20"/>
              </w:rPr>
              <w:t>the initial dose and after any increases in dose.</w:t>
            </w:r>
          </w:p>
          <w:p w:rsidR="009D5655" w:rsidP="00131848" w:rsidRDefault="009D5655" w14:paraId="42964DEC" w14:textId="77777777">
            <w:pPr>
              <w:pStyle w:val="BodyText"/>
              <w:rPr>
                <w:rFonts w:cs="Arial" w:asciiTheme="minorHAnsi" w:hAnsiTheme="minorHAnsi"/>
                <w:sz w:val="20"/>
              </w:rPr>
            </w:pPr>
            <w:r>
              <w:rPr>
                <w:rFonts w:cs="Arial" w:asciiTheme="minorHAnsi" w:hAnsiTheme="minorHAnsi"/>
                <w:sz w:val="20"/>
              </w:rPr>
              <w:t>For initiation of therapy and for intravenous treatment, i</w:t>
            </w:r>
            <w:r w:rsidRPr="00673A54">
              <w:rPr>
                <w:rFonts w:cs="Arial" w:asciiTheme="minorHAnsi" w:hAnsiTheme="minorHAnsi"/>
                <w:sz w:val="20"/>
              </w:rPr>
              <w:t xml:space="preserve">nfant should be on cardiorespiratory monitor. </w:t>
            </w:r>
          </w:p>
          <w:p w:rsidR="009D5655" w:rsidP="00131848" w:rsidRDefault="009D5655" w14:paraId="1B383200" w14:textId="77777777">
            <w:pPr>
              <w:pStyle w:val="BodyText"/>
              <w:rPr>
                <w:rFonts w:cs="Arial" w:asciiTheme="minorHAnsi" w:hAnsiTheme="minorHAnsi"/>
                <w:sz w:val="20"/>
              </w:rPr>
            </w:pPr>
            <w:r>
              <w:rPr>
                <w:rFonts w:cs="Arial" w:asciiTheme="minorHAnsi" w:hAnsiTheme="minorHAnsi"/>
                <w:sz w:val="20"/>
              </w:rPr>
              <w:t>Baseline serum creatinine.</w:t>
            </w:r>
          </w:p>
          <w:p w:rsidRPr="00135FC6" w:rsidR="009D5655" w:rsidP="00131848" w:rsidRDefault="009D5655" w14:paraId="55E2E69E" w14:textId="77777777">
            <w:pPr>
              <w:pStyle w:val="BodyText"/>
              <w:rPr>
                <w:rFonts w:cs="Arial" w:asciiTheme="minorHAnsi" w:hAnsiTheme="minorHAnsi"/>
                <w:sz w:val="20"/>
              </w:rPr>
            </w:pPr>
            <w:r>
              <w:rPr>
                <w:rFonts w:cs="Arial" w:asciiTheme="minorHAnsi" w:hAnsiTheme="minorHAnsi"/>
                <w:sz w:val="20"/>
              </w:rPr>
              <w:t xml:space="preserve">Blood pressure, heart rate, </w:t>
            </w:r>
            <w:r w:rsidRPr="00673A54">
              <w:rPr>
                <w:rFonts w:cs="Arial" w:asciiTheme="minorHAnsi" w:hAnsiTheme="minorHAnsi"/>
                <w:sz w:val="20"/>
              </w:rPr>
              <w:t>electrolytes, especially potassium and magnesium</w:t>
            </w:r>
            <w:r>
              <w:rPr>
                <w:rFonts w:cs="Arial" w:asciiTheme="minorHAnsi" w:hAnsiTheme="minorHAnsi"/>
                <w:sz w:val="20"/>
              </w:rPr>
              <w:t>.</w:t>
            </w:r>
          </w:p>
        </w:tc>
      </w:tr>
      <w:tr w:rsidRPr="003A7895" w:rsidR="009D5655" w:rsidTr="00A90748" w14:paraId="5E6EF0F4" w14:textId="77777777">
        <w:trPr>
          <w:trHeight w:val="342"/>
        </w:trPr>
        <w:tc>
          <w:tcPr>
            <w:tcW w:w="1730" w:type="dxa"/>
          </w:tcPr>
          <w:p w:rsidRPr="00B53E9B" w:rsidR="009D5655" w:rsidP="00131848" w:rsidRDefault="009D5655" w14:paraId="700BFA52" w14:textId="77777777">
            <w:pPr>
              <w:pStyle w:val="BodyText"/>
              <w:rPr>
                <w:rFonts w:cs="Arial"/>
                <w:b/>
                <w:bCs/>
                <w:sz w:val="20"/>
              </w:rPr>
            </w:pPr>
            <w:r w:rsidRPr="00B53E9B">
              <w:rPr>
                <w:rFonts w:cs="Arial"/>
                <w:b/>
                <w:bCs/>
                <w:sz w:val="20"/>
              </w:rPr>
              <w:t>Contraindications</w:t>
            </w:r>
          </w:p>
        </w:tc>
        <w:tc>
          <w:tcPr>
            <w:tcW w:w="7513" w:type="dxa"/>
          </w:tcPr>
          <w:p w:rsidRPr="00A06AD7" w:rsidR="009D5655" w:rsidP="00131848" w:rsidRDefault="009D5655" w14:paraId="168F17CC" w14:textId="77777777">
            <w:pPr>
              <w:pStyle w:val="BodyText"/>
              <w:rPr>
                <w:rFonts w:cs="Arial" w:asciiTheme="minorHAnsi" w:hAnsiTheme="minorHAnsi"/>
                <w:sz w:val="20"/>
              </w:rPr>
            </w:pPr>
            <w:r w:rsidRPr="00A06AD7">
              <w:rPr>
                <w:rFonts w:cs="Arial" w:asciiTheme="minorHAnsi" w:hAnsiTheme="minorHAnsi"/>
                <w:sz w:val="20"/>
              </w:rPr>
              <w:t>Bronchospasm</w:t>
            </w:r>
            <w:r>
              <w:rPr>
                <w:rFonts w:cs="Arial" w:asciiTheme="minorHAnsi" w:hAnsiTheme="minorHAnsi"/>
                <w:sz w:val="20"/>
              </w:rPr>
              <w:t>/</w:t>
            </w:r>
            <w:r w:rsidRPr="00A06AD7">
              <w:rPr>
                <w:rFonts w:cs="Arial" w:asciiTheme="minorHAnsi" w:hAnsiTheme="minorHAnsi"/>
                <w:sz w:val="20"/>
              </w:rPr>
              <w:t>asthma</w:t>
            </w:r>
            <w:r>
              <w:rPr>
                <w:rFonts w:cs="Arial" w:asciiTheme="minorHAnsi" w:hAnsiTheme="minorHAnsi"/>
                <w:sz w:val="20"/>
              </w:rPr>
              <w:t>.</w:t>
            </w:r>
          </w:p>
          <w:p w:rsidRPr="00A06AD7" w:rsidR="009D5655" w:rsidP="00131848" w:rsidRDefault="009D5655" w14:paraId="0A90B844" w14:textId="77777777">
            <w:pPr>
              <w:pStyle w:val="BodyText"/>
              <w:rPr>
                <w:rFonts w:cs="Arial" w:asciiTheme="minorHAnsi" w:hAnsiTheme="minorHAnsi"/>
                <w:sz w:val="20"/>
              </w:rPr>
            </w:pPr>
            <w:r w:rsidRPr="00A06AD7">
              <w:rPr>
                <w:rFonts w:cs="Arial" w:asciiTheme="minorHAnsi" w:hAnsiTheme="minorHAnsi"/>
                <w:sz w:val="20"/>
              </w:rPr>
              <w:t>Allergic disorders which suggest a predisposition to bronchospasm.</w:t>
            </w:r>
          </w:p>
          <w:p w:rsidRPr="00A06AD7" w:rsidR="009D5655" w:rsidP="00131848" w:rsidRDefault="009D5655" w14:paraId="6CF9C34B" w14:textId="77777777">
            <w:pPr>
              <w:pStyle w:val="BodyText"/>
              <w:rPr>
                <w:rFonts w:cs="Arial" w:asciiTheme="minorHAnsi" w:hAnsiTheme="minorHAnsi"/>
                <w:sz w:val="20"/>
              </w:rPr>
            </w:pPr>
            <w:r w:rsidRPr="00A06AD7">
              <w:rPr>
                <w:rFonts w:cs="Arial" w:asciiTheme="minorHAnsi" w:hAnsiTheme="minorHAnsi"/>
                <w:sz w:val="20"/>
              </w:rPr>
              <w:t>Right ventricular failure secondary to pulmonary hypertension.</w:t>
            </w:r>
          </w:p>
          <w:p w:rsidRPr="00A06AD7" w:rsidR="009D5655" w:rsidP="00131848" w:rsidRDefault="009D5655" w14:paraId="44C61619" w14:textId="77777777">
            <w:pPr>
              <w:pStyle w:val="BodyText"/>
              <w:rPr>
                <w:rFonts w:cs="Arial" w:asciiTheme="minorHAnsi" w:hAnsiTheme="minorHAnsi"/>
                <w:sz w:val="20"/>
              </w:rPr>
            </w:pPr>
            <w:r w:rsidRPr="00A06AD7">
              <w:rPr>
                <w:rFonts w:cs="Arial" w:asciiTheme="minorHAnsi" w:hAnsiTheme="minorHAnsi"/>
                <w:sz w:val="20"/>
              </w:rPr>
              <w:t>Significant right ventricular hypertrophy.</w:t>
            </w:r>
          </w:p>
          <w:p w:rsidRPr="00A06AD7" w:rsidR="009D5655" w:rsidP="00131848" w:rsidRDefault="009D5655" w14:paraId="7E4A8EAD" w14:textId="77777777">
            <w:pPr>
              <w:pStyle w:val="BodyText"/>
              <w:rPr>
                <w:rFonts w:cs="Arial" w:asciiTheme="minorHAnsi" w:hAnsiTheme="minorHAnsi"/>
                <w:sz w:val="20"/>
              </w:rPr>
            </w:pPr>
            <w:r w:rsidRPr="00A06AD7">
              <w:rPr>
                <w:rFonts w:cs="Arial" w:asciiTheme="minorHAnsi" w:hAnsiTheme="minorHAnsi"/>
                <w:sz w:val="20"/>
              </w:rPr>
              <w:t>Sinus bradycardia.</w:t>
            </w:r>
          </w:p>
          <w:p w:rsidRPr="00A06AD7" w:rsidR="009D5655" w:rsidP="00131848" w:rsidRDefault="009D5655" w14:paraId="0D507BA3" w14:textId="77777777">
            <w:pPr>
              <w:pStyle w:val="BodyText"/>
              <w:rPr>
                <w:rFonts w:cs="Arial" w:asciiTheme="minorHAnsi" w:hAnsiTheme="minorHAnsi"/>
                <w:sz w:val="20"/>
              </w:rPr>
            </w:pPr>
            <w:r w:rsidRPr="00A06AD7">
              <w:rPr>
                <w:rFonts w:cs="Arial" w:asciiTheme="minorHAnsi" w:hAnsiTheme="minorHAnsi"/>
                <w:sz w:val="20"/>
              </w:rPr>
              <w:t>Second</w:t>
            </w:r>
            <w:r>
              <w:rPr>
                <w:rFonts w:cs="Arial" w:asciiTheme="minorHAnsi" w:hAnsiTheme="minorHAnsi"/>
                <w:sz w:val="20"/>
              </w:rPr>
              <w:t>-</w:t>
            </w:r>
            <w:r w:rsidRPr="00A06AD7">
              <w:rPr>
                <w:rFonts w:cs="Arial" w:asciiTheme="minorHAnsi" w:hAnsiTheme="minorHAnsi"/>
                <w:sz w:val="20"/>
              </w:rPr>
              <w:t xml:space="preserve"> and third</w:t>
            </w:r>
            <w:r>
              <w:rPr>
                <w:rFonts w:cs="Arial" w:asciiTheme="minorHAnsi" w:hAnsiTheme="minorHAnsi"/>
                <w:sz w:val="20"/>
              </w:rPr>
              <w:t>-</w:t>
            </w:r>
            <w:r w:rsidRPr="00A06AD7">
              <w:rPr>
                <w:rFonts w:cs="Arial" w:asciiTheme="minorHAnsi" w:hAnsiTheme="minorHAnsi"/>
                <w:sz w:val="20"/>
              </w:rPr>
              <w:t>degree atrioventricular block or sick sinus syndrome unless a functioning pacemaker is present.</w:t>
            </w:r>
          </w:p>
          <w:p w:rsidRPr="00A06AD7" w:rsidR="009D5655" w:rsidP="00131848" w:rsidRDefault="009D5655" w14:paraId="63A3C832" w14:textId="77777777">
            <w:pPr>
              <w:pStyle w:val="BodyText"/>
              <w:rPr>
                <w:rFonts w:cs="Arial" w:asciiTheme="minorHAnsi" w:hAnsiTheme="minorHAnsi"/>
                <w:sz w:val="20"/>
              </w:rPr>
            </w:pPr>
            <w:r w:rsidRPr="00A06AD7">
              <w:rPr>
                <w:rFonts w:cs="Arial" w:asciiTheme="minorHAnsi" w:hAnsiTheme="minorHAnsi"/>
                <w:sz w:val="20"/>
              </w:rPr>
              <w:t>Shock</w:t>
            </w:r>
            <w:r>
              <w:rPr>
                <w:rFonts w:cs="Arial" w:asciiTheme="minorHAnsi" w:hAnsiTheme="minorHAnsi"/>
                <w:sz w:val="20"/>
              </w:rPr>
              <w:t>,</w:t>
            </w:r>
            <w:r w:rsidRPr="00A06AD7">
              <w:rPr>
                <w:rFonts w:cs="Arial" w:asciiTheme="minorHAnsi" w:hAnsiTheme="minorHAnsi"/>
                <w:sz w:val="20"/>
              </w:rPr>
              <w:t xml:space="preserve"> including cardiogenic and hypovolaemic shock.</w:t>
            </w:r>
          </w:p>
          <w:p w:rsidRPr="00A06AD7" w:rsidR="009D5655" w:rsidP="00131848" w:rsidRDefault="009D5655" w14:paraId="1D4417E8" w14:textId="77777777">
            <w:pPr>
              <w:pStyle w:val="BodyText"/>
              <w:rPr>
                <w:rFonts w:cs="Arial" w:asciiTheme="minorHAnsi" w:hAnsiTheme="minorHAnsi"/>
                <w:sz w:val="20"/>
              </w:rPr>
            </w:pPr>
            <w:r w:rsidRPr="00A06AD7">
              <w:rPr>
                <w:rFonts w:cs="Arial" w:asciiTheme="minorHAnsi" w:hAnsiTheme="minorHAnsi"/>
                <w:sz w:val="20"/>
              </w:rPr>
              <w:t>Uncontrolled congestive heart failure.</w:t>
            </w:r>
          </w:p>
          <w:p w:rsidRPr="00A06AD7" w:rsidR="009D5655" w:rsidP="00131848" w:rsidRDefault="009D5655" w14:paraId="5855EEC7" w14:textId="77777777">
            <w:pPr>
              <w:pStyle w:val="BodyText"/>
              <w:rPr>
                <w:rFonts w:cs="Arial" w:asciiTheme="minorHAnsi" w:hAnsiTheme="minorHAnsi"/>
                <w:sz w:val="20"/>
              </w:rPr>
            </w:pPr>
            <w:r w:rsidRPr="00A06AD7">
              <w:rPr>
                <w:rFonts w:cs="Arial" w:asciiTheme="minorHAnsi" w:hAnsiTheme="minorHAnsi"/>
                <w:sz w:val="20"/>
              </w:rPr>
              <w:t>Severe renal impairment.</w:t>
            </w:r>
          </w:p>
          <w:p w:rsidRPr="00A06AD7" w:rsidR="009D5655" w:rsidP="00131848" w:rsidRDefault="009D5655" w14:paraId="73B63DC7" w14:textId="77777777">
            <w:pPr>
              <w:pStyle w:val="BodyText"/>
              <w:rPr>
                <w:rFonts w:cs="Arial" w:asciiTheme="minorHAnsi" w:hAnsiTheme="minorHAnsi"/>
                <w:sz w:val="20"/>
              </w:rPr>
            </w:pPr>
            <w:r w:rsidRPr="00A06AD7">
              <w:rPr>
                <w:rFonts w:cs="Arial" w:asciiTheme="minorHAnsi" w:hAnsiTheme="minorHAnsi"/>
                <w:sz w:val="20"/>
              </w:rPr>
              <w:t>Congenital or acquired long QT syndromes.</w:t>
            </w:r>
          </w:p>
          <w:p w:rsidRPr="00A06AD7" w:rsidR="009D5655" w:rsidP="00131848" w:rsidRDefault="009D5655" w14:paraId="316CF44E" w14:textId="77777777">
            <w:pPr>
              <w:pStyle w:val="BodyText"/>
              <w:rPr>
                <w:rFonts w:cs="Arial" w:asciiTheme="minorHAnsi" w:hAnsiTheme="minorHAnsi"/>
                <w:sz w:val="20"/>
              </w:rPr>
            </w:pPr>
            <w:r w:rsidRPr="00A06AD7">
              <w:rPr>
                <w:rFonts w:cs="Arial" w:asciiTheme="minorHAnsi" w:hAnsiTheme="minorHAnsi"/>
                <w:sz w:val="20"/>
              </w:rPr>
              <w:lastRenderedPageBreak/>
              <w:t>Hypersensitivity to sotalol hydrochloride or the excipients.</w:t>
            </w:r>
          </w:p>
          <w:p w:rsidRPr="00135FC6" w:rsidR="009D5655" w:rsidP="00131848" w:rsidRDefault="009D5655" w14:paraId="3BE5154D" w14:textId="77777777">
            <w:pPr>
              <w:pStyle w:val="BodyText"/>
              <w:rPr>
                <w:rFonts w:cs="Arial" w:asciiTheme="minorHAnsi" w:hAnsiTheme="minorHAnsi"/>
                <w:sz w:val="20"/>
              </w:rPr>
            </w:pPr>
            <w:r w:rsidRPr="00A06AD7">
              <w:rPr>
                <w:rFonts w:cs="Arial" w:asciiTheme="minorHAnsi" w:hAnsiTheme="minorHAnsi"/>
                <w:sz w:val="20"/>
              </w:rPr>
              <w:t>Anaesthesia that produces myocardial depression.</w:t>
            </w:r>
          </w:p>
        </w:tc>
      </w:tr>
      <w:tr w:rsidRPr="003A7895" w:rsidR="009D5655" w:rsidTr="00A90748" w14:paraId="5E6F0184" w14:textId="77777777">
        <w:tc>
          <w:tcPr>
            <w:tcW w:w="1730" w:type="dxa"/>
          </w:tcPr>
          <w:p w:rsidRPr="00B53E9B" w:rsidR="009D5655" w:rsidP="00131848" w:rsidRDefault="009D5655" w14:paraId="611EB381" w14:textId="77777777">
            <w:pPr>
              <w:pStyle w:val="BodyText"/>
              <w:rPr>
                <w:rFonts w:cs="Arial"/>
                <w:b/>
                <w:bCs/>
                <w:sz w:val="20"/>
              </w:rPr>
            </w:pPr>
            <w:r w:rsidRPr="00B53E9B">
              <w:rPr>
                <w:sz w:val="20"/>
              </w:rPr>
              <w:lastRenderedPageBreak/>
              <w:br w:type="page"/>
            </w:r>
            <w:r w:rsidRPr="00B53E9B">
              <w:rPr>
                <w:rFonts w:cs="Arial"/>
                <w:b/>
                <w:bCs/>
                <w:sz w:val="20"/>
              </w:rPr>
              <w:t>Precautions</w:t>
            </w:r>
          </w:p>
        </w:tc>
        <w:tc>
          <w:tcPr>
            <w:tcW w:w="7513" w:type="dxa"/>
          </w:tcPr>
          <w:p w:rsidRPr="00673A54" w:rsidR="009D5655" w:rsidP="00131848" w:rsidRDefault="009D5655" w14:paraId="71D94728" w14:textId="77777777">
            <w:pPr>
              <w:pStyle w:val="BodyText"/>
              <w:rPr>
                <w:rFonts w:cs="Arial" w:asciiTheme="minorHAnsi" w:hAnsiTheme="minorHAnsi"/>
                <w:sz w:val="20"/>
              </w:rPr>
            </w:pPr>
            <w:r w:rsidRPr="00673A54">
              <w:rPr>
                <w:rFonts w:cs="Arial" w:asciiTheme="minorHAnsi" w:hAnsiTheme="minorHAnsi"/>
                <w:sz w:val="20"/>
              </w:rPr>
              <w:t>During intravenous administration</w:t>
            </w:r>
            <w:r>
              <w:rPr>
                <w:rFonts w:cs="Arial" w:asciiTheme="minorHAnsi" w:hAnsiTheme="minorHAnsi"/>
                <w:sz w:val="20"/>
              </w:rPr>
              <w:t>,</w:t>
            </w:r>
            <w:r w:rsidRPr="00673A54">
              <w:rPr>
                <w:rFonts w:cs="Arial" w:asciiTheme="minorHAnsi" w:hAnsiTheme="minorHAnsi"/>
                <w:sz w:val="20"/>
              </w:rPr>
              <w:t xml:space="preserve"> have resuscitation equipment nearby</w:t>
            </w:r>
            <w:r>
              <w:rPr>
                <w:rFonts w:cs="Arial" w:asciiTheme="minorHAnsi" w:hAnsiTheme="minorHAnsi"/>
                <w:sz w:val="20"/>
              </w:rPr>
              <w:t>. A</w:t>
            </w:r>
            <w:r w:rsidRPr="00673A54">
              <w:rPr>
                <w:rFonts w:cs="Arial" w:asciiTheme="minorHAnsi" w:hAnsiTheme="minorHAnsi"/>
                <w:sz w:val="20"/>
              </w:rPr>
              <w:t>tropine should</w:t>
            </w:r>
            <w:r>
              <w:rPr>
                <w:rFonts w:cs="Arial" w:asciiTheme="minorHAnsi" w:hAnsiTheme="minorHAnsi"/>
                <w:sz w:val="20"/>
              </w:rPr>
              <w:t xml:space="preserve"> </w:t>
            </w:r>
            <w:r w:rsidRPr="00673A54">
              <w:rPr>
                <w:rFonts w:cs="Arial" w:asciiTheme="minorHAnsi" w:hAnsiTheme="minorHAnsi"/>
                <w:sz w:val="20"/>
              </w:rPr>
              <w:t>be available for profound bradycardia</w:t>
            </w:r>
            <w:r>
              <w:rPr>
                <w:rFonts w:cs="Arial" w:asciiTheme="minorHAnsi" w:hAnsiTheme="minorHAnsi"/>
                <w:sz w:val="20"/>
              </w:rPr>
              <w:t>.</w:t>
            </w:r>
          </w:p>
          <w:p w:rsidR="009D5655" w:rsidP="00131848" w:rsidRDefault="009D5655" w14:paraId="378BCDEE" w14:textId="77777777">
            <w:pPr>
              <w:pStyle w:val="BodyText"/>
              <w:rPr>
                <w:rFonts w:cs="Arial" w:asciiTheme="minorHAnsi" w:hAnsiTheme="minorHAnsi"/>
                <w:sz w:val="20"/>
              </w:rPr>
            </w:pPr>
            <w:r w:rsidRPr="00673A54">
              <w:rPr>
                <w:rFonts w:cs="Arial" w:asciiTheme="minorHAnsi" w:hAnsiTheme="minorHAnsi"/>
                <w:sz w:val="20"/>
              </w:rPr>
              <w:t>Atropine 10</w:t>
            </w:r>
            <w:r>
              <w:rPr>
                <w:rFonts w:cs="Arial" w:asciiTheme="minorHAnsi" w:hAnsiTheme="minorHAnsi"/>
                <w:sz w:val="20"/>
              </w:rPr>
              <w:t>−</w:t>
            </w:r>
            <w:r w:rsidRPr="00673A54">
              <w:rPr>
                <w:rFonts w:cs="Arial" w:asciiTheme="minorHAnsi" w:hAnsiTheme="minorHAnsi"/>
                <w:sz w:val="20"/>
              </w:rPr>
              <w:t>30 microgram/kg/dose IV over 1 minute.</w:t>
            </w:r>
            <w:r>
              <w:rPr>
                <w:rFonts w:cs="Arial" w:asciiTheme="minorHAnsi" w:hAnsiTheme="minorHAnsi"/>
                <w:sz w:val="20"/>
              </w:rPr>
              <w:t xml:space="preserve"> </w:t>
            </w:r>
            <w:r w:rsidRPr="00673A54">
              <w:rPr>
                <w:rFonts w:cs="Arial" w:asciiTheme="minorHAnsi" w:hAnsiTheme="minorHAnsi"/>
                <w:sz w:val="20"/>
              </w:rPr>
              <w:t>Dose may be repeated every 10</w:t>
            </w:r>
            <w:r>
              <w:rPr>
                <w:rFonts w:cs="Arial" w:asciiTheme="minorHAnsi" w:hAnsiTheme="minorHAnsi"/>
                <w:sz w:val="20"/>
              </w:rPr>
              <w:t>−</w:t>
            </w:r>
            <w:r w:rsidRPr="00673A54">
              <w:rPr>
                <w:rFonts w:cs="Arial" w:asciiTheme="minorHAnsi" w:hAnsiTheme="minorHAnsi"/>
                <w:sz w:val="20"/>
              </w:rPr>
              <w:t>15 minutes to achieve desired effect, with a maximum total</w:t>
            </w:r>
            <w:r>
              <w:rPr>
                <w:rFonts w:cs="Arial" w:asciiTheme="minorHAnsi" w:hAnsiTheme="minorHAnsi"/>
                <w:sz w:val="20"/>
              </w:rPr>
              <w:t xml:space="preserve"> </w:t>
            </w:r>
            <w:r w:rsidRPr="00673A54">
              <w:rPr>
                <w:rFonts w:cs="Arial" w:asciiTheme="minorHAnsi" w:hAnsiTheme="minorHAnsi"/>
                <w:sz w:val="20"/>
              </w:rPr>
              <w:t>dose of 40 microgram/kg.</w:t>
            </w:r>
          </w:p>
          <w:p w:rsidR="009D5655" w:rsidP="00131848" w:rsidRDefault="009D5655" w14:paraId="0967FBCE" w14:textId="77777777">
            <w:pPr>
              <w:pStyle w:val="BodyText"/>
              <w:rPr>
                <w:rFonts w:cs="Arial" w:asciiTheme="minorHAnsi" w:hAnsiTheme="minorHAnsi"/>
                <w:sz w:val="20"/>
              </w:rPr>
            </w:pPr>
            <w:r w:rsidRPr="00A06AD7">
              <w:rPr>
                <w:rFonts w:cs="Arial" w:asciiTheme="minorHAnsi" w:hAnsiTheme="minorHAnsi"/>
                <w:sz w:val="20"/>
              </w:rPr>
              <w:t>No antiarrhythmic drug has been shown to reduce the incidence of sudden death in patients with supraventricular or asymptomatic ventricular arrhythmias.</w:t>
            </w:r>
            <w:r>
              <w:rPr>
                <w:rFonts w:cs="Arial" w:asciiTheme="minorHAnsi" w:hAnsiTheme="minorHAnsi"/>
                <w:sz w:val="20"/>
              </w:rPr>
              <w:t xml:space="preserve"> Sotalol is proarrhythmic in some situations and at higher doses. </w:t>
            </w:r>
          </w:p>
          <w:p w:rsidRPr="00135FC6" w:rsidR="009D5655" w:rsidP="00131848" w:rsidRDefault="009D5655" w14:paraId="7533C73A" w14:textId="77777777">
            <w:pPr>
              <w:pStyle w:val="BodyText"/>
              <w:rPr>
                <w:rFonts w:cs="Arial" w:asciiTheme="minorHAnsi" w:hAnsiTheme="minorHAnsi"/>
                <w:sz w:val="20"/>
              </w:rPr>
            </w:pPr>
            <w:r>
              <w:rPr>
                <w:rFonts w:cs="Arial" w:asciiTheme="minorHAnsi" w:hAnsiTheme="minorHAnsi"/>
                <w:sz w:val="20"/>
              </w:rPr>
              <w:t xml:space="preserve">Sotalol is renally excreted – use with caution in patients with renal impairment. </w:t>
            </w:r>
          </w:p>
        </w:tc>
      </w:tr>
      <w:tr w:rsidRPr="003A7895" w:rsidR="009D5655" w:rsidTr="00A90748" w14:paraId="0E5E0985" w14:textId="77777777">
        <w:trPr>
          <w:trHeight w:val="70"/>
        </w:trPr>
        <w:tc>
          <w:tcPr>
            <w:tcW w:w="1730" w:type="dxa"/>
          </w:tcPr>
          <w:p w:rsidRPr="00B53E9B" w:rsidR="009D5655" w:rsidP="00131848" w:rsidRDefault="009D5655" w14:paraId="639A121F"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13" w:type="dxa"/>
          </w:tcPr>
          <w:p w:rsidR="009D5655" w:rsidP="00131848" w:rsidRDefault="009D5655" w14:paraId="28B6220E" w14:textId="77777777">
            <w:pPr>
              <w:pStyle w:val="BodyText"/>
              <w:rPr>
                <w:rFonts w:cs="Arial" w:asciiTheme="minorHAnsi" w:hAnsiTheme="minorHAnsi"/>
                <w:sz w:val="20"/>
              </w:rPr>
            </w:pPr>
            <w:r>
              <w:rPr>
                <w:rFonts w:cs="Arial" w:asciiTheme="minorHAnsi" w:hAnsiTheme="minorHAnsi"/>
                <w:sz w:val="20"/>
              </w:rPr>
              <w:t xml:space="preserve">Sotalol clearance is reduced by alcohol. </w:t>
            </w:r>
          </w:p>
          <w:p w:rsidR="009D5655" w:rsidP="00131848" w:rsidRDefault="009D5655" w14:paraId="6E45310D" w14:textId="77777777">
            <w:pPr>
              <w:pStyle w:val="BodyText"/>
              <w:rPr>
                <w:rFonts w:cs="Arial" w:asciiTheme="minorHAnsi" w:hAnsiTheme="minorHAnsi"/>
                <w:sz w:val="20"/>
              </w:rPr>
            </w:pPr>
          </w:p>
          <w:p w:rsidR="009D5655" w:rsidP="00131848" w:rsidRDefault="009D5655" w14:paraId="6F77A1E0" w14:textId="77777777">
            <w:pPr>
              <w:pStyle w:val="BodyText"/>
              <w:rPr>
                <w:rFonts w:cs="Arial" w:asciiTheme="minorHAnsi" w:hAnsiTheme="minorHAnsi"/>
                <w:sz w:val="20"/>
              </w:rPr>
            </w:pPr>
            <w:r>
              <w:rPr>
                <w:rFonts w:cs="Arial" w:asciiTheme="minorHAnsi" w:hAnsiTheme="minorHAnsi"/>
                <w:sz w:val="20"/>
              </w:rPr>
              <w:t>Other interactions include: Insulin and oral hypoglycaemics (hypo- and hyperglycaemia); calcium channel blockers (hypotension, bradycardia, heart failure); clonidine (hypertension); drugs that prolong QTc interval.</w:t>
            </w:r>
          </w:p>
          <w:p w:rsidR="009D5655" w:rsidP="00131848" w:rsidRDefault="009D5655" w14:paraId="5B8A0CC7" w14:textId="77777777">
            <w:pPr>
              <w:pStyle w:val="BodyText"/>
              <w:rPr>
                <w:rFonts w:cs="Arial" w:asciiTheme="minorHAnsi" w:hAnsiTheme="minorHAnsi"/>
                <w:sz w:val="20"/>
              </w:rPr>
            </w:pPr>
            <w:r>
              <w:rPr>
                <w:rFonts w:cs="Arial" w:asciiTheme="minorHAnsi" w:hAnsiTheme="minorHAnsi"/>
                <w:sz w:val="20"/>
              </w:rPr>
              <w:t>Sotalol interactions have been reported with other antiarrhythmics: C</w:t>
            </w:r>
            <w:r w:rsidRPr="00D409E8">
              <w:rPr>
                <w:rFonts w:cs="Arial" w:asciiTheme="minorHAnsi" w:hAnsiTheme="minorHAnsi"/>
                <w:sz w:val="20"/>
              </w:rPr>
              <w:t>lass IA</w:t>
            </w:r>
            <w:r>
              <w:rPr>
                <w:rFonts w:cs="Arial" w:asciiTheme="minorHAnsi" w:hAnsiTheme="minorHAnsi"/>
                <w:sz w:val="20"/>
              </w:rPr>
              <w:t xml:space="preserve"> agents,</w:t>
            </w:r>
            <w:r w:rsidRPr="00D409E8">
              <w:rPr>
                <w:rFonts w:cs="Arial" w:asciiTheme="minorHAnsi" w:hAnsiTheme="minorHAnsi"/>
                <w:sz w:val="20"/>
              </w:rPr>
              <w:t xml:space="preserve"> disopyramide and</w:t>
            </w:r>
            <w:r>
              <w:rPr>
                <w:rFonts w:cs="Arial" w:asciiTheme="minorHAnsi" w:hAnsiTheme="minorHAnsi"/>
                <w:sz w:val="20"/>
              </w:rPr>
              <w:t xml:space="preserve"> </w:t>
            </w:r>
            <w:r w:rsidRPr="00D409E8">
              <w:rPr>
                <w:rFonts w:cs="Arial" w:asciiTheme="minorHAnsi" w:hAnsiTheme="minorHAnsi"/>
                <w:sz w:val="20"/>
              </w:rPr>
              <w:t>quinidine; class IB</w:t>
            </w:r>
            <w:r>
              <w:rPr>
                <w:rFonts w:cs="Arial" w:asciiTheme="minorHAnsi" w:hAnsiTheme="minorHAnsi"/>
                <w:sz w:val="20"/>
              </w:rPr>
              <w:t>,</w:t>
            </w:r>
            <w:r w:rsidRPr="00D409E8">
              <w:rPr>
                <w:rFonts w:cs="Arial" w:asciiTheme="minorHAnsi" w:hAnsiTheme="minorHAnsi"/>
                <w:sz w:val="20"/>
              </w:rPr>
              <w:t xml:space="preserve"> tocainide, mexiletine and lignocaine; </w:t>
            </w:r>
            <w:r>
              <w:rPr>
                <w:rFonts w:cs="Arial" w:asciiTheme="minorHAnsi" w:hAnsiTheme="minorHAnsi"/>
                <w:sz w:val="20"/>
              </w:rPr>
              <w:t xml:space="preserve">class </w:t>
            </w:r>
            <w:r w:rsidRPr="00D409E8">
              <w:rPr>
                <w:rFonts w:cs="Arial" w:asciiTheme="minorHAnsi" w:hAnsiTheme="minorHAnsi"/>
                <w:sz w:val="20"/>
              </w:rPr>
              <w:t>IC</w:t>
            </w:r>
            <w:r>
              <w:rPr>
                <w:rFonts w:cs="Arial" w:asciiTheme="minorHAnsi" w:hAnsiTheme="minorHAnsi"/>
                <w:sz w:val="20"/>
              </w:rPr>
              <w:t>,</w:t>
            </w:r>
            <w:r w:rsidRPr="00D409E8">
              <w:rPr>
                <w:rFonts w:cs="Arial" w:asciiTheme="minorHAnsi" w:hAnsiTheme="minorHAnsi"/>
                <w:sz w:val="20"/>
              </w:rPr>
              <w:t xml:space="preserve"> flecainide and propafenone;</w:t>
            </w:r>
            <w:r>
              <w:rPr>
                <w:rFonts w:cs="Arial" w:asciiTheme="minorHAnsi" w:hAnsiTheme="minorHAnsi"/>
                <w:sz w:val="20"/>
              </w:rPr>
              <w:t xml:space="preserve"> </w:t>
            </w:r>
            <w:r w:rsidRPr="00D409E8">
              <w:rPr>
                <w:rFonts w:cs="Arial" w:asciiTheme="minorHAnsi" w:hAnsiTheme="minorHAnsi"/>
                <w:sz w:val="20"/>
              </w:rPr>
              <w:t>class III</w:t>
            </w:r>
            <w:r>
              <w:rPr>
                <w:rFonts w:cs="Arial" w:asciiTheme="minorHAnsi" w:hAnsiTheme="minorHAnsi"/>
                <w:sz w:val="20"/>
              </w:rPr>
              <w:t>,</w:t>
            </w:r>
            <w:r w:rsidRPr="00D409E8">
              <w:rPr>
                <w:rFonts w:cs="Arial" w:asciiTheme="minorHAnsi" w:hAnsiTheme="minorHAnsi"/>
                <w:sz w:val="20"/>
              </w:rPr>
              <w:t xml:space="preserve"> amiodarone; and class IV antiarrhythmic agents. Concomitant use of </w:t>
            </w:r>
            <w:r>
              <w:rPr>
                <w:rFonts w:cs="Arial" w:asciiTheme="minorHAnsi" w:hAnsiTheme="minorHAnsi"/>
                <w:sz w:val="20"/>
              </w:rPr>
              <w:t>sotalol</w:t>
            </w:r>
            <w:r w:rsidRPr="00D409E8">
              <w:rPr>
                <w:rFonts w:cs="Arial" w:asciiTheme="minorHAnsi" w:hAnsiTheme="minorHAnsi"/>
                <w:sz w:val="20"/>
              </w:rPr>
              <w:t xml:space="preserve"> with these agents and with other beta-blocking drugs is not recommended.</w:t>
            </w:r>
          </w:p>
          <w:p w:rsidR="009D5655" w:rsidP="00131848" w:rsidRDefault="009D5655" w14:paraId="5A19189D" w14:textId="77777777">
            <w:pPr>
              <w:pStyle w:val="BodyText"/>
              <w:rPr>
                <w:rFonts w:cs="Arial" w:asciiTheme="minorHAnsi" w:hAnsiTheme="minorHAnsi"/>
                <w:sz w:val="20"/>
              </w:rPr>
            </w:pPr>
          </w:p>
          <w:p w:rsidRPr="00135FC6" w:rsidR="009D5655" w:rsidP="00131848" w:rsidRDefault="009D5655" w14:paraId="0FD23593" w14:textId="77777777">
            <w:pPr>
              <w:rPr>
                <w:rFonts w:cs="Arial" w:asciiTheme="minorHAnsi" w:hAnsiTheme="minorHAnsi"/>
                <w:sz w:val="20"/>
              </w:rPr>
            </w:pPr>
            <w:r>
              <w:rPr>
                <w:rFonts w:cs="Arial" w:asciiTheme="minorHAnsi" w:hAnsiTheme="minorHAnsi"/>
                <w:sz w:val="20"/>
              </w:rPr>
              <w:t xml:space="preserve">Concomitant use of sotalol and diuretics may increase the cardiotoxicity. </w:t>
            </w:r>
          </w:p>
        </w:tc>
      </w:tr>
      <w:tr w:rsidRPr="003A7895" w:rsidR="009D5655" w:rsidTr="00A90748" w14:paraId="7BF8F146" w14:textId="77777777">
        <w:trPr>
          <w:trHeight w:val="332"/>
        </w:trPr>
        <w:tc>
          <w:tcPr>
            <w:tcW w:w="1730" w:type="dxa"/>
          </w:tcPr>
          <w:p w:rsidRPr="00B53E9B" w:rsidR="009D5655" w:rsidP="00131848" w:rsidRDefault="009D5655" w14:paraId="489FE0DF"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13" w:type="dxa"/>
          </w:tcPr>
          <w:p w:rsidR="009D5655" w:rsidP="00131848" w:rsidRDefault="009D5655" w14:paraId="3882B5A3" w14:textId="77777777">
            <w:pPr>
              <w:pStyle w:val="BodyText"/>
              <w:rPr>
                <w:rFonts w:cs="Arial" w:asciiTheme="minorHAnsi" w:hAnsiTheme="minorHAnsi"/>
                <w:sz w:val="20"/>
              </w:rPr>
            </w:pPr>
            <w:r>
              <w:rPr>
                <w:rFonts w:cs="Arial" w:asciiTheme="minorHAnsi" w:hAnsiTheme="minorHAnsi"/>
                <w:sz w:val="20"/>
              </w:rPr>
              <w:t>Sotalol</w:t>
            </w:r>
            <w:r w:rsidRPr="00477D93">
              <w:rPr>
                <w:rFonts w:cs="Arial" w:asciiTheme="minorHAnsi" w:hAnsiTheme="minorHAnsi"/>
                <w:sz w:val="20"/>
              </w:rPr>
              <w:t xml:space="preserve"> is </w:t>
            </w:r>
            <w:r>
              <w:rPr>
                <w:rFonts w:cs="Arial" w:asciiTheme="minorHAnsi" w:hAnsiTheme="minorHAnsi"/>
                <w:sz w:val="20"/>
              </w:rPr>
              <w:t xml:space="preserve">usually </w:t>
            </w:r>
            <w:r w:rsidRPr="00477D93">
              <w:rPr>
                <w:rFonts w:cs="Arial" w:asciiTheme="minorHAnsi" w:hAnsiTheme="minorHAnsi"/>
                <w:sz w:val="20"/>
              </w:rPr>
              <w:t>well tolerated</w:t>
            </w:r>
            <w:r>
              <w:rPr>
                <w:rFonts w:cs="Arial" w:asciiTheme="minorHAnsi" w:hAnsiTheme="minorHAnsi"/>
                <w:sz w:val="20"/>
              </w:rPr>
              <w:t>. T</w:t>
            </w:r>
            <w:r w:rsidRPr="00477D93">
              <w:rPr>
                <w:rFonts w:cs="Arial" w:asciiTheme="minorHAnsi" w:hAnsiTheme="minorHAnsi"/>
                <w:sz w:val="20"/>
              </w:rPr>
              <w:t>he most frequent adverse events aris</w:t>
            </w:r>
            <w:r>
              <w:rPr>
                <w:rFonts w:cs="Arial" w:asciiTheme="minorHAnsi" w:hAnsiTheme="minorHAnsi"/>
                <w:sz w:val="20"/>
              </w:rPr>
              <w:t>e</w:t>
            </w:r>
            <w:r w:rsidRPr="00477D93">
              <w:rPr>
                <w:rFonts w:cs="Arial" w:asciiTheme="minorHAnsi" w:hAnsiTheme="minorHAnsi"/>
                <w:sz w:val="20"/>
              </w:rPr>
              <w:t xml:space="preserve"> from its beta-blockade properties. Adverse events are usually transient in nature </w:t>
            </w:r>
            <w:r>
              <w:rPr>
                <w:rFonts w:cs="Arial" w:asciiTheme="minorHAnsi" w:hAnsiTheme="minorHAnsi"/>
                <w:sz w:val="20"/>
              </w:rPr>
              <w:t>and</w:t>
            </w:r>
            <w:r w:rsidRPr="00477D93">
              <w:rPr>
                <w:rFonts w:cs="Arial" w:asciiTheme="minorHAnsi" w:hAnsiTheme="minorHAnsi"/>
                <w:sz w:val="20"/>
              </w:rPr>
              <w:t xml:space="preserve"> include dyspnoea, fatigue, dizziness, headache, fever, excessive bradycardia and/or hypotension. </w:t>
            </w:r>
            <w:r>
              <w:rPr>
                <w:rFonts w:cs="Arial" w:asciiTheme="minorHAnsi" w:hAnsiTheme="minorHAnsi"/>
                <w:sz w:val="20"/>
              </w:rPr>
              <w:t>T</w:t>
            </w:r>
            <w:r w:rsidRPr="00477D93">
              <w:rPr>
                <w:rFonts w:cs="Arial" w:asciiTheme="minorHAnsi" w:hAnsiTheme="minorHAnsi"/>
                <w:sz w:val="20"/>
              </w:rPr>
              <w:t xml:space="preserve">hese side effects usually disappear when the </w:t>
            </w:r>
            <w:r>
              <w:rPr>
                <w:rFonts w:cs="Arial" w:asciiTheme="minorHAnsi" w:hAnsiTheme="minorHAnsi"/>
                <w:sz w:val="20"/>
              </w:rPr>
              <w:t>dose</w:t>
            </w:r>
            <w:r w:rsidRPr="00477D93">
              <w:rPr>
                <w:rFonts w:cs="Arial" w:asciiTheme="minorHAnsi" w:hAnsiTheme="minorHAnsi"/>
                <w:sz w:val="20"/>
              </w:rPr>
              <w:t xml:space="preserve"> is reduced. </w:t>
            </w:r>
          </w:p>
          <w:p w:rsidR="009D5655" w:rsidP="00131848" w:rsidRDefault="009D5655" w14:paraId="097EF3E7" w14:textId="77777777">
            <w:pPr>
              <w:pStyle w:val="BodyText"/>
              <w:rPr>
                <w:rFonts w:cs="Arial" w:asciiTheme="minorHAnsi" w:hAnsiTheme="minorHAnsi"/>
                <w:sz w:val="20"/>
              </w:rPr>
            </w:pPr>
            <w:r>
              <w:rPr>
                <w:rFonts w:cs="Arial" w:asciiTheme="minorHAnsi" w:hAnsiTheme="minorHAnsi"/>
                <w:sz w:val="20"/>
              </w:rPr>
              <w:t>Sotalol may be</w:t>
            </w:r>
            <w:r w:rsidRPr="00477D93">
              <w:rPr>
                <w:rFonts w:cs="Arial" w:asciiTheme="minorHAnsi" w:hAnsiTheme="minorHAnsi"/>
                <w:sz w:val="20"/>
              </w:rPr>
              <w:t xml:space="preserve"> pro</w:t>
            </w:r>
            <w:r>
              <w:rPr>
                <w:rFonts w:cs="Arial" w:asciiTheme="minorHAnsi" w:hAnsiTheme="minorHAnsi"/>
                <w:sz w:val="20"/>
              </w:rPr>
              <w:t>-</w:t>
            </w:r>
            <w:r w:rsidRPr="00477D93">
              <w:rPr>
                <w:rFonts w:cs="Arial" w:asciiTheme="minorHAnsi" w:hAnsiTheme="minorHAnsi"/>
                <w:sz w:val="20"/>
              </w:rPr>
              <w:t>arrhythmi</w:t>
            </w:r>
            <w:r>
              <w:rPr>
                <w:rFonts w:cs="Arial" w:asciiTheme="minorHAnsi" w:hAnsiTheme="minorHAnsi"/>
                <w:sz w:val="20"/>
              </w:rPr>
              <w:t>c with prolongation of QTc interval.</w:t>
            </w:r>
          </w:p>
          <w:p w:rsidRPr="00135FC6" w:rsidR="009D5655" w:rsidP="00131848" w:rsidRDefault="009D5655" w14:paraId="665F958B" w14:textId="77777777">
            <w:pPr>
              <w:pStyle w:val="BodyText"/>
              <w:rPr>
                <w:rFonts w:cs="Arial" w:asciiTheme="minorHAnsi" w:hAnsiTheme="minorHAnsi"/>
                <w:sz w:val="20"/>
              </w:rPr>
            </w:pPr>
            <w:r>
              <w:rPr>
                <w:rFonts w:cs="Arial" w:asciiTheme="minorHAnsi" w:hAnsiTheme="minorHAnsi"/>
                <w:sz w:val="20"/>
              </w:rPr>
              <w:t xml:space="preserve">Uncommonly sotalol may be associated with torsades de pointes: </w:t>
            </w:r>
            <w:r>
              <w:rPr>
                <w:rFonts w:asciiTheme="minorHAnsi" w:hAnsiTheme="minorHAnsi"/>
                <w:sz w:val="20"/>
              </w:rPr>
              <w:t xml:space="preserve">Cease medication; correct electrolyte abnormalities; give </w:t>
            </w:r>
            <w:r w:rsidRPr="00673A54">
              <w:rPr>
                <w:rFonts w:asciiTheme="minorHAnsi" w:hAnsiTheme="minorHAnsi"/>
                <w:sz w:val="20"/>
              </w:rPr>
              <w:t>magnesium</w:t>
            </w:r>
            <w:r>
              <w:rPr>
                <w:rFonts w:asciiTheme="minorHAnsi" w:hAnsiTheme="minorHAnsi"/>
                <w:sz w:val="20"/>
              </w:rPr>
              <w:t xml:space="preserve"> </w:t>
            </w:r>
            <w:r w:rsidRPr="00673A54">
              <w:rPr>
                <w:rFonts w:asciiTheme="minorHAnsi" w:hAnsiTheme="minorHAnsi"/>
                <w:sz w:val="20"/>
              </w:rPr>
              <w:t>0.1–0.2 mmol/kg</w:t>
            </w:r>
            <w:r>
              <w:rPr>
                <w:rFonts w:asciiTheme="minorHAnsi" w:hAnsiTheme="minorHAnsi"/>
                <w:sz w:val="20"/>
              </w:rPr>
              <w:t xml:space="preserve"> =</w:t>
            </w:r>
            <w:r w:rsidRPr="00673A54">
              <w:rPr>
                <w:rFonts w:asciiTheme="minorHAnsi" w:hAnsiTheme="minorHAnsi"/>
                <w:sz w:val="20"/>
              </w:rPr>
              <w:t xml:space="preserve"> 25</w:t>
            </w:r>
            <w:r>
              <w:rPr>
                <w:rFonts w:asciiTheme="minorHAnsi" w:hAnsiTheme="minorHAnsi"/>
                <w:sz w:val="20"/>
              </w:rPr>
              <w:t>−</w:t>
            </w:r>
            <w:r w:rsidRPr="00673A54">
              <w:rPr>
                <w:rFonts w:asciiTheme="minorHAnsi" w:hAnsiTheme="minorHAnsi"/>
                <w:sz w:val="20"/>
              </w:rPr>
              <w:t>50 mg/kg IV</w:t>
            </w:r>
            <w:r>
              <w:rPr>
                <w:rFonts w:asciiTheme="minorHAnsi" w:hAnsiTheme="minorHAnsi"/>
                <w:sz w:val="20"/>
              </w:rPr>
              <w:t>.</w:t>
            </w:r>
            <w:r w:rsidRPr="005505CB">
              <w:rPr>
                <w:rFonts w:asciiTheme="minorHAnsi" w:hAnsiTheme="minorHAnsi"/>
                <w:sz w:val="20"/>
                <w:vertAlign w:val="superscript"/>
              </w:rPr>
              <w:t>1</w:t>
            </w:r>
          </w:p>
        </w:tc>
      </w:tr>
      <w:tr w:rsidRPr="003A7895" w:rsidR="009D5655" w:rsidTr="00A90748" w14:paraId="4084B1F4" w14:textId="77777777">
        <w:trPr>
          <w:trHeight w:val="180"/>
        </w:trPr>
        <w:tc>
          <w:tcPr>
            <w:tcW w:w="1730" w:type="dxa"/>
          </w:tcPr>
          <w:p w:rsidRPr="00B53E9B" w:rsidR="009D5655" w:rsidP="00131848" w:rsidRDefault="009D5655" w14:paraId="184D0D55" w14:textId="77777777">
            <w:pPr>
              <w:pStyle w:val="BodyText"/>
              <w:rPr>
                <w:rFonts w:cs="Arial"/>
                <w:b/>
                <w:bCs/>
                <w:sz w:val="20"/>
              </w:rPr>
            </w:pPr>
            <w:r w:rsidRPr="00B53E9B">
              <w:rPr>
                <w:rFonts w:cs="Arial"/>
                <w:b/>
                <w:bCs/>
                <w:sz w:val="20"/>
              </w:rPr>
              <w:t>Compatibility</w:t>
            </w:r>
          </w:p>
        </w:tc>
        <w:tc>
          <w:tcPr>
            <w:tcW w:w="7513" w:type="dxa"/>
          </w:tcPr>
          <w:p w:rsidR="009D5655" w:rsidP="00131848" w:rsidRDefault="009D5655" w14:paraId="5F0535F1" w14:textId="77777777">
            <w:pPr>
              <w:pStyle w:val="BodyText"/>
              <w:rPr>
                <w:rFonts w:asciiTheme="minorHAnsi" w:hAnsiTheme="minorHAnsi"/>
                <w:sz w:val="20"/>
              </w:rPr>
            </w:pPr>
            <w:r>
              <w:rPr>
                <w:rFonts w:asciiTheme="minorHAnsi" w:hAnsiTheme="minorHAnsi"/>
                <w:sz w:val="20"/>
              </w:rPr>
              <w:t>Fluids</w:t>
            </w:r>
            <w:r>
              <w:rPr>
                <w:rFonts w:asciiTheme="minorHAnsi" w:hAnsiTheme="minorHAnsi"/>
                <w:sz w:val="20"/>
                <w:vertAlign w:val="superscript"/>
              </w:rPr>
              <w:t>13</w:t>
            </w:r>
            <w:r>
              <w:rPr>
                <w:rFonts w:asciiTheme="minorHAnsi" w:hAnsiTheme="minorHAnsi"/>
                <w:sz w:val="20"/>
              </w:rPr>
              <w:t>: Glucose 5% and sodium chloride 0.9%</w:t>
            </w:r>
          </w:p>
          <w:p w:rsidRPr="00135FC6" w:rsidR="009D5655" w:rsidP="00131848" w:rsidRDefault="009D5655" w14:paraId="65F34400" w14:textId="77777777">
            <w:pPr>
              <w:pStyle w:val="BodyText"/>
              <w:rPr>
                <w:rFonts w:cs="Arial" w:asciiTheme="minorHAnsi" w:hAnsiTheme="minorHAnsi"/>
                <w:sz w:val="20"/>
              </w:rPr>
            </w:pPr>
            <w:r>
              <w:rPr>
                <w:rFonts w:asciiTheme="minorHAnsi" w:hAnsiTheme="minorHAnsi"/>
                <w:sz w:val="20"/>
              </w:rPr>
              <w:t>Y-site</w:t>
            </w:r>
            <w:r>
              <w:rPr>
                <w:rFonts w:asciiTheme="minorHAnsi" w:hAnsiTheme="minorHAnsi"/>
                <w:sz w:val="20"/>
                <w:vertAlign w:val="superscript"/>
              </w:rPr>
              <w:t>13</w:t>
            </w:r>
            <w:r>
              <w:rPr>
                <w:rFonts w:asciiTheme="minorHAnsi" w:hAnsiTheme="minorHAnsi"/>
                <w:sz w:val="20"/>
              </w:rPr>
              <w:t xml:space="preserve">: No information. Do not mix with other drugs. </w:t>
            </w:r>
          </w:p>
        </w:tc>
      </w:tr>
      <w:tr w:rsidRPr="003A7895" w:rsidR="009D5655" w:rsidTr="00A90748" w14:paraId="5977FA88" w14:textId="77777777">
        <w:trPr>
          <w:trHeight w:val="230"/>
        </w:trPr>
        <w:tc>
          <w:tcPr>
            <w:tcW w:w="1730" w:type="dxa"/>
          </w:tcPr>
          <w:p w:rsidRPr="00B53E9B" w:rsidR="009D5655" w:rsidP="00131848" w:rsidRDefault="009D5655" w14:paraId="3DABC471" w14:textId="77777777">
            <w:pPr>
              <w:pStyle w:val="BodyText"/>
              <w:rPr>
                <w:rFonts w:cs="Arial"/>
                <w:b/>
                <w:bCs/>
                <w:sz w:val="20"/>
              </w:rPr>
            </w:pPr>
            <w:r w:rsidRPr="00B53E9B">
              <w:rPr>
                <w:rFonts w:cs="Arial"/>
                <w:b/>
                <w:bCs/>
                <w:sz w:val="20"/>
              </w:rPr>
              <w:t>Incompatibility</w:t>
            </w:r>
          </w:p>
        </w:tc>
        <w:tc>
          <w:tcPr>
            <w:tcW w:w="7513" w:type="dxa"/>
          </w:tcPr>
          <w:p w:rsidRPr="00135FC6" w:rsidR="009D5655" w:rsidP="00131848" w:rsidRDefault="009D5655" w14:paraId="019C04FC" w14:textId="77777777">
            <w:pPr>
              <w:pStyle w:val="BodyText"/>
              <w:rPr>
                <w:rFonts w:cs="Arial" w:asciiTheme="minorHAnsi" w:hAnsiTheme="minorHAnsi"/>
                <w:sz w:val="20"/>
              </w:rPr>
            </w:pPr>
            <w:r>
              <w:rPr>
                <w:rFonts w:asciiTheme="minorHAnsi" w:hAnsiTheme="minorHAnsi"/>
                <w:sz w:val="20"/>
              </w:rPr>
              <w:t>Fluids and drugs</w:t>
            </w:r>
            <w:r>
              <w:rPr>
                <w:rFonts w:asciiTheme="minorHAnsi" w:hAnsiTheme="minorHAnsi"/>
                <w:sz w:val="20"/>
                <w:vertAlign w:val="superscript"/>
              </w:rPr>
              <w:t>13</w:t>
            </w:r>
            <w:r>
              <w:rPr>
                <w:rFonts w:asciiTheme="minorHAnsi" w:hAnsiTheme="minorHAnsi"/>
                <w:sz w:val="20"/>
              </w:rPr>
              <w:t>: No information.</w:t>
            </w:r>
          </w:p>
        </w:tc>
      </w:tr>
      <w:tr w:rsidRPr="003A7895" w:rsidR="009D5655" w:rsidTr="00A90748" w14:paraId="22B0E71F" w14:textId="77777777">
        <w:trPr>
          <w:trHeight w:val="79"/>
        </w:trPr>
        <w:tc>
          <w:tcPr>
            <w:tcW w:w="1730" w:type="dxa"/>
          </w:tcPr>
          <w:p w:rsidRPr="00B53E9B" w:rsidR="009D5655" w:rsidP="00131848" w:rsidRDefault="009D5655" w14:paraId="6AD31C14" w14:textId="77777777">
            <w:pPr>
              <w:pStyle w:val="BodyText"/>
              <w:rPr>
                <w:rFonts w:cs="Arial"/>
                <w:b/>
                <w:bCs/>
                <w:sz w:val="20"/>
              </w:rPr>
            </w:pPr>
            <w:r w:rsidRPr="00B53E9B">
              <w:rPr>
                <w:rFonts w:cs="Arial"/>
                <w:b/>
                <w:bCs/>
                <w:sz w:val="20"/>
              </w:rPr>
              <w:t>Stability</w:t>
            </w:r>
          </w:p>
        </w:tc>
        <w:tc>
          <w:tcPr>
            <w:tcW w:w="7513" w:type="dxa"/>
          </w:tcPr>
          <w:p w:rsidR="009D5655" w:rsidP="00131848" w:rsidRDefault="009D5655" w14:paraId="3FE92D6B" w14:textId="77777777">
            <w:pPr>
              <w:rPr>
                <w:rFonts w:cs="Arial" w:asciiTheme="minorHAnsi" w:hAnsiTheme="minorHAnsi"/>
                <w:sz w:val="20"/>
              </w:rPr>
            </w:pPr>
            <w:r>
              <w:rPr>
                <w:rFonts w:cs="Arial" w:asciiTheme="minorHAnsi" w:hAnsiTheme="minorHAnsi"/>
                <w:sz w:val="20"/>
              </w:rPr>
              <w:t>Diluted IV solution - stable at room temperature for 24 hours.</w:t>
            </w:r>
          </w:p>
          <w:p w:rsidRPr="00135FC6" w:rsidR="009D5655" w:rsidP="00131848" w:rsidRDefault="009D5655" w14:paraId="6F8028FA" w14:textId="77777777">
            <w:r>
              <w:rPr>
                <w:rFonts w:cs="Arial" w:asciiTheme="minorHAnsi" w:hAnsiTheme="minorHAnsi"/>
                <w:sz w:val="20"/>
              </w:rPr>
              <w:t>Oral suspension: check with local Pharmacy.</w:t>
            </w:r>
          </w:p>
        </w:tc>
      </w:tr>
      <w:tr w:rsidRPr="003A7895" w:rsidR="009D5655" w:rsidTr="00A90748" w14:paraId="5AC94DA0" w14:textId="77777777">
        <w:trPr>
          <w:trHeight w:val="70"/>
        </w:trPr>
        <w:tc>
          <w:tcPr>
            <w:tcW w:w="1730" w:type="dxa"/>
          </w:tcPr>
          <w:p w:rsidRPr="00B53E9B" w:rsidR="009D5655" w:rsidP="00131848" w:rsidRDefault="009D5655" w14:paraId="779F641A" w14:textId="77777777">
            <w:pPr>
              <w:pStyle w:val="BodyText"/>
              <w:rPr>
                <w:rFonts w:cs="Arial"/>
                <w:b/>
                <w:bCs/>
                <w:sz w:val="20"/>
              </w:rPr>
            </w:pPr>
            <w:r w:rsidRPr="00B53E9B">
              <w:rPr>
                <w:rFonts w:cs="Arial"/>
                <w:b/>
                <w:bCs/>
                <w:sz w:val="20"/>
              </w:rPr>
              <w:t xml:space="preserve">Storage </w:t>
            </w:r>
          </w:p>
        </w:tc>
        <w:tc>
          <w:tcPr>
            <w:tcW w:w="7513" w:type="dxa"/>
          </w:tcPr>
          <w:p w:rsidRPr="000C1A6F" w:rsidR="009D5655" w:rsidP="00131848" w:rsidRDefault="009D5655" w14:paraId="38D04377" w14:textId="77777777">
            <w:pPr>
              <w:pStyle w:val="BodyText"/>
              <w:rPr>
                <w:rFonts w:cs="Arial" w:asciiTheme="minorHAnsi" w:hAnsiTheme="minorHAnsi"/>
                <w:sz w:val="20"/>
              </w:rPr>
            </w:pPr>
            <w:r w:rsidRPr="000C1A6F">
              <w:rPr>
                <w:rFonts w:cs="Arial" w:asciiTheme="minorHAnsi" w:hAnsiTheme="minorHAnsi"/>
                <w:sz w:val="20"/>
              </w:rPr>
              <w:t xml:space="preserve">Ampoules: Store </w:t>
            </w:r>
            <w:r>
              <w:rPr>
                <w:rFonts w:cs="Arial" w:asciiTheme="minorHAnsi" w:hAnsiTheme="minorHAnsi"/>
                <w:sz w:val="20"/>
              </w:rPr>
              <w:t>below</w:t>
            </w:r>
            <w:r w:rsidRPr="000C1A6F">
              <w:rPr>
                <w:rFonts w:cs="Arial" w:asciiTheme="minorHAnsi" w:hAnsiTheme="minorHAnsi"/>
                <w:sz w:val="20"/>
              </w:rPr>
              <w:t xml:space="preserve"> 25°C. </w:t>
            </w:r>
          </w:p>
          <w:p w:rsidRPr="00135FC6" w:rsidR="009D5655" w:rsidP="00131848" w:rsidRDefault="009D5655" w14:paraId="28B8F630" w14:textId="77777777">
            <w:pPr>
              <w:pStyle w:val="BodyText"/>
              <w:rPr>
                <w:rFonts w:cs="Arial" w:asciiTheme="minorHAnsi" w:hAnsiTheme="minorHAnsi"/>
                <w:sz w:val="20"/>
              </w:rPr>
            </w:pPr>
            <w:r w:rsidRPr="000C1A6F">
              <w:rPr>
                <w:rFonts w:cs="Arial" w:asciiTheme="minorHAnsi" w:hAnsiTheme="minorHAnsi"/>
                <w:sz w:val="20"/>
              </w:rPr>
              <w:t xml:space="preserve">Oral suspension prepared by pharmacy: </w:t>
            </w:r>
            <w:r>
              <w:rPr>
                <w:rFonts w:cs="Arial" w:asciiTheme="minorHAnsi" w:hAnsiTheme="minorHAnsi"/>
                <w:sz w:val="20"/>
              </w:rPr>
              <w:t>Check with local Pharmacy.</w:t>
            </w:r>
          </w:p>
        </w:tc>
      </w:tr>
      <w:tr w:rsidRPr="003A7895" w:rsidR="009D5655" w:rsidTr="00A90748" w14:paraId="2EA86381" w14:textId="77777777">
        <w:trPr>
          <w:trHeight w:val="70"/>
        </w:trPr>
        <w:tc>
          <w:tcPr>
            <w:tcW w:w="1730" w:type="dxa"/>
          </w:tcPr>
          <w:p w:rsidRPr="00B53E9B" w:rsidR="009D5655" w:rsidP="00131848" w:rsidRDefault="009D5655" w14:paraId="77B3EA2F" w14:textId="77777777">
            <w:pPr>
              <w:pStyle w:val="BodyText"/>
              <w:rPr>
                <w:rFonts w:cs="Arial"/>
                <w:b/>
                <w:bCs/>
                <w:sz w:val="20"/>
              </w:rPr>
            </w:pPr>
            <w:r w:rsidRPr="00B53E9B">
              <w:rPr>
                <w:rFonts w:cs="Arial"/>
                <w:b/>
                <w:bCs/>
                <w:sz w:val="20"/>
              </w:rPr>
              <w:t>Excipients</w:t>
            </w:r>
          </w:p>
        </w:tc>
        <w:tc>
          <w:tcPr>
            <w:tcW w:w="7513" w:type="dxa"/>
          </w:tcPr>
          <w:p w:rsidR="009D5655" w:rsidP="00131848" w:rsidRDefault="009D5655" w14:paraId="4C2BFEF7" w14:textId="77777777">
            <w:pPr>
              <w:pStyle w:val="BodyText"/>
              <w:rPr>
                <w:rFonts w:asciiTheme="minorHAnsi" w:hAnsiTheme="minorHAnsi" w:cstheme="minorHAnsi"/>
                <w:sz w:val="20"/>
              </w:rPr>
            </w:pPr>
            <w:r>
              <w:rPr>
                <w:rFonts w:asciiTheme="minorHAnsi" w:hAnsiTheme="minorHAnsi" w:cstheme="minorHAnsi"/>
                <w:sz w:val="20"/>
              </w:rPr>
              <w:t>Oral: Dependent on local pharmacy compounding formula.</w:t>
            </w:r>
          </w:p>
          <w:p w:rsidRPr="008B2E44" w:rsidR="009D5655" w:rsidP="00131848" w:rsidRDefault="009D5655" w14:paraId="4EE1272A" w14:textId="77777777">
            <w:pPr>
              <w:pStyle w:val="BodyText"/>
              <w:rPr>
                <w:rFonts w:asciiTheme="minorHAnsi" w:hAnsiTheme="minorHAnsi" w:cstheme="minorHAnsi"/>
                <w:sz w:val="20"/>
              </w:rPr>
            </w:pPr>
            <w:r>
              <w:rPr>
                <w:rFonts w:asciiTheme="minorHAnsi" w:hAnsiTheme="minorHAnsi" w:cstheme="minorHAnsi"/>
                <w:sz w:val="20"/>
              </w:rPr>
              <w:t xml:space="preserve">IV SAS Sotalol-Carino product: </w:t>
            </w:r>
            <w:r w:rsidRPr="00CF47A1">
              <w:rPr>
                <w:rFonts w:asciiTheme="minorHAnsi" w:hAnsiTheme="minorHAnsi" w:cstheme="minorHAnsi"/>
                <w:sz w:val="20"/>
              </w:rPr>
              <w:t>Sodium chloride, acetic acid 99%, water for injections, sodium hydroxide solution 7.4%</w:t>
            </w:r>
            <w:r>
              <w:rPr>
                <w:rFonts w:asciiTheme="minorHAnsi" w:hAnsiTheme="minorHAnsi" w:cstheme="minorHAnsi"/>
                <w:sz w:val="20"/>
              </w:rPr>
              <w:t>.</w:t>
            </w:r>
          </w:p>
        </w:tc>
      </w:tr>
      <w:tr w:rsidRPr="003A7895" w:rsidR="009D5655" w:rsidTr="00A90748" w14:paraId="44DA789B" w14:textId="77777777">
        <w:trPr>
          <w:trHeight w:val="270"/>
        </w:trPr>
        <w:tc>
          <w:tcPr>
            <w:tcW w:w="1730" w:type="dxa"/>
          </w:tcPr>
          <w:p w:rsidRPr="00B53E9B" w:rsidR="009D5655" w:rsidP="00131848" w:rsidRDefault="009D5655" w14:paraId="0CFE1F43"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13" w:type="dxa"/>
          </w:tcPr>
          <w:p w:rsidRPr="00026F20" w:rsidR="009D5655" w:rsidP="00131848" w:rsidRDefault="009D5655" w14:paraId="0C020730" w14:textId="77777777">
            <w:pPr>
              <w:pStyle w:val="BodyText"/>
              <w:rPr>
                <w:rFonts w:cs="Arial"/>
                <w:sz w:val="20"/>
              </w:rPr>
            </w:pPr>
          </w:p>
        </w:tc>
      </w:tr>
      <w:tr w:rsidRPr="003A7895" w:rsidR="009D5655" w:rsidTr="00A90748" w14:paraId="5F3E0C04" w14:textId="77777777">
        <w:trPr>
          <w:trHeight w:val="280"/>
        </w:trPr>
        <w:tc>
          <w:tcPr>
            <w:tcW w:w="1730" w:type="dxa"/>
          </w:tcPr>
          <w:p w:rsidRPr="00B53E9B" w:rsidR="009D5655" w:rsidP="00131848" w:rsidRDefault="009D5655" w14:paraId="0C51A6AE" w14:textId="77777777">
            <w:pPr>
              <w:pStyle w:val="BodyText"/>
              <w:rPr>
                <w:rFonts w:cs="Arial"/>
                <w:b/>
                <w:bCs/>
                <w:sz w:val="20"/>
              </w:rPr>
            </w:pPr>
            <w:r w:rsidRPr="00B53E9B">
              <w:rPr>
                <w:rFonts w:cs="Arial"/>
                <w:b/>
                <w:bCs/>
                <w:sz w:val="20"/>
              </w:rPr>
              <w:t>Evidence</w:t>
            </w:r>
          </w:p>
        </w:tc>
        <w:tc>
          <w:tcPr>
            <w:tcW w:w="7513" w:type="dxa"/>
          </w:tcPr>
          <w:p w:rsidRPr="00A90748" w:rsidR="009D5655" w:rsidP="00131848" w:rsidRDefault="009D5655" w14:paraId="337428EB" w14:textId="77777777">
            <w:pPr>
              <w:pStyle w:val="BodyText"/>
              <w:tabs>
                <w:tab w:val="left" w:pos="1168"/>
              </w:tabs>
              <w:rPr>
                <w:rFonts w:asciiTheme="minorHAnsi" w:hAnsiTheme="minorHAnsi"/>
                <w:b/>
                <w:sz w:val="16"/>
                <w:szCs w:val="16"/>
              </w:rPr>
            </w:pPr>
            <w:r w:rsidRPr="00A90748">
              <w:rPr>
                <w:rFonts w:asciiTheme="minorHAnsi" w:hAnsiTheme="minorHAnsi"/>
                <w:b/>
                <w:sz w:val="16"/>
                <w:szCs w:val="16"/>
              </w:rPr>
              <w:t>Efficacy:</w:t>
            </w:r>
          </w:p>
          <w:p w:rsidRPr="00A90748" w:rsidR="009D5655" w:rsidP="00131848" w:rsidRDefault="009D5655" w14:paraId="0A5292B2" w14:textId="77777777">
            <w:pPr>
              <w:pStyle w:val="BodyText"/>
              <w:tabs>
                <w:tab w:val="left" w:pos="1168"/>
              </w:tabs>
              <w:rPr>
                <w:rFonts w:asciiTheme="minorHAnsi" w:hAnsiTheme="minorHAnsi"/>
                <w:sz w:val="16"/>
                <w:szCs w:val="16"/>
              </w:rPr>
            </w:pPr>
            <w:r w:rsidRPr="00A90748">
              <w:rPr>
                <w:rFonts w:asciiTheme="minorHAnsi" w:hAnsiTheme="minorHAnsi"/>
                <w:b/>
                <w:sz w:val="16"/>
                <w:szCs w:val="16"/>
              </w:rPr>
              <w:t xml:space="preserve">ARC (ANZCOR) treatment recommendations for supraventricular tachycardia: </w:t>
            </w:r>
            <w:r w:rsidRPr="00A90748">
              <w:rPr>
                <w:rFonts w:asciiTheme="minorHAnsi" w:hAnsiTheme="minorHAnsi"/>
                <w:sz w:val="16"/>
                <w:szCs w:val="16"/>
              </w:rPr>
              <w:t>Sotalol is not considered as a treatment option for acute treatment of infants with SVT. Adenosine is the drug of choice. Alternative drugs are procainamide, [Class B; LOE IV] digoxin, a beta blocker or a calcium channel blocker (calcium channel blockers should not be used to treat SVT in infants).</w:t>
            </w:r>
            <w:r w:rsidRPr="00A90748">
              <w:rPr>
                <w:rFonts w:asciiTheme="minorHAnsi" w:hAnsiTheme="minorHAnsi"/>
                <w:sz w:val="16"/>
                <w:szCs w:val="16"/>
                <w:vertAlign w:val="superscript"/>
              </w:rPr>
              <w:t>1</w:t>
            </w:r>
            <w:r w:rsidRPr="00A90748">
              <w:rPr>
                <w:rFonts w:asciiTheme="minorHAnsi" w:hAnsiTheme="minorHAnsi"/>
                <w:sz w:val="16"/>
                <w:szCs w:val="16"/>
              </w:rPr>
              <w:t xml:space="preserve"> </w:t>
            </w:r>
          </w:p>
          <w:p w:rsidRPr="00A90748" w:rsidR="009D5655" w:rsidP="00131848" w:rsidRDefault="009D5655" w14:paraId="1CD2698B" w14:textId="77777777">
            <w:pPr>
              <w:pStyle w:val="BodyText"/>
              <w:tabs>
                <w:tab w:val="left" w:pos="1168"/>
              </w:tabs>
              <w:rPr>
                <w:rFonts w:asciiTheme="minorHAnsi" w:hAnsiTheme="minorHAnsi"/>
                <w:sz w:val="16"/>
                <w:szCs w:val="16"/>
              </w:rPr>
            </w:pPr>
            <w:r w:rsidRPr="00A90748">
              <w:rPr>
                <w:rFonts w:asciiTheme="minorHAnsi" w:hAnsiTheme="minorHAnsi"/>
                <w:b/>
                <w:sz w:val="16"/>
                <w:szCs w:val="16"/>
              </w:rPr>
              <w:t>eTG Complete (Therapeutic Guidelines November 2015):</w:t>
            </w:r>
            <w:r w:rsidRPr="00A90748">
              <w:rPr>
                <w:rFonts w:asciiTheme="minorHAnsi" w:hAnsiTheme="minorHAnsi"/>
                <w:sz w:val="16"/>
                <w:szCs w:val="16"/>
              </w:rPr>
              <w:t xml:space="preserve"> There is no infant recommendation. Sotalol is a treatment option for: </w:t>
            </w:r>
          </w:p>
          <w:p w:rsidRPr="00A90748" w:rsidR="009D5655" w:rsidP="001B0E05" w:rsidRDefault="009D5655" w14:paraId="4F27B9C9" w14:textId="77777777">
            <w:pPr>
              <w:pStyle w:val="BodyText"/>
              <w:numPr>
                <w:ilvl w:val="0"/>
                <w:numId w:val="69"/>
              </w:numPr>
              <w:tabs>
                <w:tab w:val="left" w:pos="1168"/>
              </w:tabs>
              <w:overflowPunct w:val="0"/>
              <w:autoSpaceDE w:val="0"/>
              <w:autoSpaceDN w:val="0"/>
              <w:adjustRightInd w:val="0"/>
              <w:jc w:val="left"/>
              <w:textAlignment w:val="baseline"/>
              <w:rPr>
                <w:rFonts w:asciiTheme="minorHAnsi" w:hAnsiTheme="minorHAnsi"/>
                <w:sz w:val="16"/>
                <w:szCs w:val="16"/>
              </w:rPr>
            </w:pPr>
            <w:r w:rsidRPr="00A90748">
              <w:rPr>
                <w:rFonts w:asciiTheme="minorHAnsi" w:hAnsiTheme="minorHAnsi"/>
                <w:sz w:val="16"/>
                <w:szCs w:val="16"/>
              </w:rPr>
              <w:t xml:space="preserve">Paroxysmal supraventricular tachycardia (oral); </w:t>
            </w:r>
          </w:p>
          <w:p w:rsidRPr="00A90748" w:rsidR="009D5655" w:rsidP="001B0E05" w:rsidRDefault="009D5655" w14:paraId="420F2804" w14:textId="77777777">
            <w:pPr>
              <w:pStyle w:val="BodyText"/>
              <w:numPr>
                <w:ilvl w:val="0"/>
                <w:numId w:val="69"/>
              </w:numPr>
              <w:tabs>
                <w:tab w:val="left" w:pos="1168"/>
              </w:tabs>
              <w:overflowPunct w:val="0"/>
              <w:autoSpaceDE w:val="0"/>
              <w:autoSpaceDN w:val="0"/>
              <w:adjustRightInd w:val="0"/>
              <w:jc w:val="left"/>
              <w:textAlignment w:val="baseline"/>
              <w:rPr>
                <w:rFonts w:asciiTheme="minorHAnsi" w:hAnsiTheme="minorHAnsi"/>
                <w:sz w:val="16"/>
                <w:szCs w:val="16"/>
              </w:rPr>
            </w:pPr>
            <w:r w:rsidRPr="00A90748">
              <w:rPr>
                <w:rFonts w:asciiTheme="minorHAnsi" w:hAnsiTheme="minorHAnsi"/>
                <w:sz w:val="16"/>
                <w:szCs w:val="16"/>
              </w:rPr>
              <w:t xml:space="preserve">Non-sustained ventricular tachycardia if associated with symptoms or haemodynamic compromise (oral); </w:t>
            </w:r>
          </w:p>
          <w:p w:rsidRPr="00A90748" w:rsidR="009D5655" w:rsidP="001B0E05" w:rsidRDefault="009D5655" w14:paraId="5A7EECAE" w14:textId="77777777">
            <w:pPr>
              <w:pStyle w:val="BodyText"/>
              <w:numPr>
                <w:ilvl w:val="0"/>
                <w:numId w:val="69"/>
              </w:numPr>
              <w:tabs>
                <w:tab w:val="left" w:pos="1168"/>
              </w:tabs>
              <w:overflowPunct w:val="0"/>
              <w:autoSpaceDE w:val="0"/>
              <w:autoSpaceDN w:val="0"/>
              <w:adjustRightInd w:val="0"/>
              <w:jc w:val="left"/>
              <w:textAlignment w:val="baseline"/>
              <w:rPr>
                <w:rFonts w:asciiTheme="minorHAnsi" w:hAnsiTheme="minorHAnsi"/>
                <w:sz w:val="16"/>
                <w:szCs w:val="16"/>
              </w:rPr>
            </w:pPr>
            <w:r w:rsidRPr="00A90748">
              <w:rPr>
                <w:rFonts w:asciiTheme="minorHAnsi" w:hAnsiTheme="minorHAnsi"/>
                <w:sz w:val="16"/>
                <w:szCs w:val="16"/>
              </w:rPr>
              <w:t>Sustained ventricular tachycardia including if haemodynamically unstable (IV) and for ongoing treatment (oral).</w:t>
            </w:r>
          </w:p>
          <w:p w:rsidRPr="00A90748" w:rsidR="009D5655" w:rsidP="00131848" w:rsidRDefault="009D5655" w14:paraId="524AB723" w14:textId="77777777">
            <w:pPr>
              <w:pStyle w:val="BodyText"/>
              <w:tabs>
                <w:tab w:val="left" w:pos="1168"/>
              </w:tabs>
              <w:rPr>
                <w:rFonts w:asciiTheme="minorHAnsi" w:hAnsiTheme="minorHAnsi"/>
                <w:sz w:val="16"/>
                <w:szCs w:val="16"/>
              </w:rPr>
            </w:pPr>
            <w:r w:rsidRPr="00A90748">
              <w:rPr>
                <w:rFonts w:asciiTheme="minorHAnsi" w:hAnsiTheme="minorHAnsi"/>
                <w:b/>
                <w:sz w:val="16"/>
                <w:szCs w:val="16"/>
              </w:rPr>
              <w:t xml:space="preserve">2015 ACC/AHA/HRS guidelines: </w:t>
            </w:r>
            <w:r w:rsidRPr="00A90748">
              <w:rPr>
                <w:rFonts w:asciiTheme="minorHAnsi" w:hAnsiTheme="minorHAnsi"/>
                <w:sz w:val="16"/>
                <w:szCs w:val="16"/>
              </w:rPr>
              <w:t>There is no infant recommendation. Sotalol may be reasonable for ongoing management in patients with symptomatic SVT who are not candidates for, or prefer not to undergo, catheter ablation. (LOE II, GOR B)</w:t>
            </w:r>
          </w:p>
          <w:p w:rsidRPr="00A90748" w:rsidR="009D5655" w:rsidP="00131848" w:rsidRDefault="009D5655" w14:paraId="17609116" w14:textId="77777777">
            <w:pPr>
              <w:pStyle w:val="BodyText"/>
              <w:tabs>
                <w:tab w:val="left" w:pos="1168"/>
              </w:tabs>
              <w:rPr>
                <w:rFonts w:asciiTheme="minorHAnsi" w:hAnsiTheme="minorHAnsi"/>
                <w:b/>
                <w:sz w:val="16"/>
                <w:szCs w:val="16"/>
              </w:rPr>
            </w:pPr>
            <w:r w:rsidRPr="00A90748">
              <w:rPr>
                <w:rFonts w:asciiTheme="minorHAnsi" w:hAnsiTheme="minorHAnsi"/>
                <w:b/>
                <w:sz w:val="16"/>
                <w:szCs w:val="16"/>
              </w:rPr>
              <w:t xml:space="preserve">Sotalol for paroxysmal SVT: </w:t>
            </w:r>
            <w:r w:rsidRPr="00A90748">
              <w:rPr>
                <w:rFonts w:asciiTheme="minorHAnsi" w:hAnsiTheme="minorHAnsi"/>
                <w:sz w:val="16"/>
                <w:szCs w:val="16"/>
              </w:rPr>
              <w:t>In a single RCT in adults, sotalol was shown to be effective in reducing SVT recurrence and time to recurrence.</w:t>
            </w:r>
            <w:r w:rsidRPr="00A90748">
              <w:rPr>
                <w:rFonts w:asciiTheme="minorHAnsi" w:hAnsiTheme="minorHAnsi"/>
                <w:noProof/>
                <w:sz w:val="16"/>
                <w:szCs w:val="16"/>
                <w:vertAlign w:val="superscript"/>
              </w:rPr>
              <w:t>2</w:t>
            </w:r>
            <w:r w:rsidRPr="00A90748">
              <w:rPr>
                <w:rFonts w:asciiTheme="minorHAnsi" w:hAnsiTheme="minorHAnsi"/>
                <w:sz w:val="16"/>
                <w:szCs w:val="16"/>
              </w:rPr>
              <w:t xml:space="preserve"> In case series in neonates and children, paroxysmal SVT was completely or partially </w:t>
            </w:r>
            <w:r w:rsidRPr="00A90748">
              <w:rPr>
                <w:rFonts w:asciiTheme="minorHAnsi" w:hAnsiTheme="minorHAnsi"/>
                <w:sz w:val="16"/>
                <w:szCs w:val="16"/>
              </w:rPr>
              <w:lastRenderedPageBreak/>
              <w:t>controlled in 80–90% of patients.</w:t>
            </w:r>
            <w:r w:rsidRPr="00A90748">
              <w:rPr>
                <w:rFonts w:asciiTheme="minorHAnsi" w:hAnsiTheme="minorHAnsi"/>
                <w:noProof/>
                <w:sz w:val="16"/>
                <w:szCs w:val="16"/>
                <w:vertAlign w:val="superscript"/>
              </w:rPr>
              <w:t>3-6</w:t>
            </w:r>
            <w:r w:rsidRPr="00A90748">
              <w:rPr>
                <w:rFonts w:asciiTheme="minorHAnsi" w:hAnsiTheme="minorHAnsi"/>
                <w:sz w:val="16"/>
                <w:szCs w:val="16"/>
              </w:rPr>
              <w:t xml:space="preserve"> (LOE IV GOR C) Sotalol has been reported in combination with flecainide for treatment of refractory SVT in children &lt; 1 year of age.</w:t>
            </w:r>
            <w:r w:rsidRPr="00A90748">
              <w:rPr>
                <w:rFonts w:asciiTheme="minorHAnsi" w:hAnsiTheme="minorHAnsi"/>
                <w:noProof/>
                <w:sz w:val="16"/>
                <w:szCs w:val="16"/>
                <w:vertAlign w:val="superscript"/>
              </w:rPr>
              <w:t>6</w:t>
            </w:r>
            <w:r w:rsidRPr="00A90748">
              <w:rPr>
                <w:rFonts w:asciiTheme="minorHAnsi" w:hAnsiTheme="minorHAnsi"/>
                <w:sz w:val="16"/>
                <w:szCs w:val="16"/>
              </w:rPr>
              <w:t xml:space="preserve"> (LOE IV, GOR C)</w:t>
            </w:r>
          </w:p>
          <w:p w:rsidRPr="00A90748" w:rsidR="009D5655" w:rsidP="00131848" w:rsidRDefault="009D5655" w14:paraId="6EAAA486" w14:textId="77777777">
            <w:pPr>
              <w:pStyle w:val="BodyText"/>
              <w:tabs>
                <w:tab w:val="left" w:pos="1168"/>
              </w:tabs>
              <w:rPr>
                <w:rFonts w:asciiTheme="minorHAnsi" w:hAnsiTheme="minorHAnsi"/>
                <w:sz w:val="16"/>
                <w:szCs w:val="16"/>
              </w:rPr>
            </w:pPr>
            <w:r w:rsidRPr="00A90748">
              <w:rPr>
                <w:rFonts w:asciiTheme="minorHAnsi" w:hAnsiTheme="minorHAnsi"/>
                <w:b/>
                <w:sz w:val="16"/>
                <w:szCs w:val="16"/>
              </w:rPr>
              <w:t>Pharmacokinetics:</w:t>
            </w:r>
            <w:r w:rsidRPr="00A90748">
              <w:rPr>
                <w:rFonts w:asciiTheme="minorHAnsi" w:hAnsiTheme="minorHAnsi"/>
                <w:sz w:val="16"/>
                <w:szCs w:val="16"/>
              </w:rPr>
              <w:t xml:space="preserve"> Sotalol is mainly excreted unchanged, renally.</w:t>
            </w:r>
            <w:r w:rsidRPr="00A90748">
              <w:rPr>
                <w:rFonts w:asciiTheme="minorHAnsi" w:hAnsiTheme="minorHAnsi"/>
                <w:noProof/>
                <w:sz w:val="16"/>
                <w:szCs w:val="16"/>
                <w:vertAlign w:val="superscript"/>
              </w:rPr>
              <w:t>7</w:t>
            </w:r>
            <w:r w:rsidRPr="00A90748">
              <w:rPr>
                <w:rFonts w:asciiTheme="minorHAnsi" w:hAnsiTheme="minorHAnsi"/>
                <w:sz w:val="16"/>
                <w:szCs w:val="16"/>
              </w:rPr>
              <w:t xml:space="preserve"> Sotalol is rapidly absorbed, with mean peak concentrations 2 to 3 hours after administration; half-life 7 to 9 hours.</w:t>
            </w:r>
            <w:r w:rsidRPr="00A90748">
              <w:rPr>
                <w:rFonts w:asciiTheme="minorHAnsi" w:hAnsiTheme="minorHAnsi"/>
                <w:noProof/>
                <w:sz w:val="16"/>
                <w:szCs w:val="16"/>
                <w:vertAlign w:val="superscript"/>
              </w:rPr>
              <w:t>8</w:t>
            </w:r>
            <w:r w:rsidRPr="00A90748">
              <w:rPr>
                <w:rFonts w:asciiTheme="minorHAnsi" w:hAnsiTheme="minorHAnsi"/>
                <w:sz w:val="16"/>
                <w:szCs w:val="16"/>
              </w:rPr>
              <w:t xml:space="preserve"> Neonates have variable oral absorption of sotalol resulting in two-fold variation in plasma concentrations compared to children.</w:t>
            </w:r>
            <w:r w:rsidRPr="00A90748">
              <w:rPr>
                <w:rFonts w:asciiTheme="minorHAnsi" w:hAnsiTheme="minorHAnsi"/>
                <w:noProof/>
                <w:sz w:val="16"/>
                <w:szCs w:val="16"/>
                <w:vertAlign w:val="superscript"/>
              </w:rPr>
              <w:t>9</w:t>
            </w:r>
            <w:r w:rsidRPr="00A90748">
              <w:rPr>
                <w:rFonts w:asciiTheme="minorHAnsi" w:hAnsiTheme="minorHAnsi"/>
                <w:sz w:val="16"/>
                <w:szCs w:val="16"/>
              </w:rPr>
              <w:t xml:space="preserve"> Neonates show a higher sensitivity toward QTc interval prolongation compared with older patients.</w:t>
            </w:r>
            <w:r w:rsidRPr="00A90748">
              <w:rPr>
                <w:rFonts w:asciiTheme="minorHAnsi" w:hAnsiTheme="minorHAnsi"/>
                <w:noProof/>
                <w:sz w:val="16"/>
                <w:szCs w:val="16"/>
                <w:vertAlign w:val="superscript"/>
              </w:rPr>
              <w:t>5</w:t>
            </w:r>
            <w:r w:rsidRPr="00A90748">
              <w:rPr>
                <w:rFonts w:asciiTheme="minorHAnsi" w:hAnsiTheme="minorHAnsi"/>
                <w:sz w:val="16"/>
                <w:szCs w:val="16"/>
              </w:rPr>
              <w:t xml:space="preserve"> QTc and RR interval prolongation are linearly related to the sotalol plasma concentration.</w:t>
            </w:r>
            <w:r w:rsidRPr="00A90748">
              <w:rPr>
                <w:rFonts w:asciiTheme="minorHAnsi" w:hAnsiTheme="minorHAnsi"/>
                <w:noProof/>
                <w:sz w:val="16"/>
                <w:szCs w:val="16"/>
                <w:vertAlign w:val="superscript"/>
              </w:rPr>
              <w:t>7</w:t>
            </w:r>
          </w:p>
          <w:p w:rsidRPr="00A90748" w:rsidR="009D5655" w:rsidP="00131848" w:rsidRDefault="009D5655" w14:paraId="237696FA" w14:textId="77777777">
            <w:pPr>
              <w:pStyle w:val="BodyText"/>
              <w:tabs>
                <w:tab w:val="left" w:pos="1168"/>
              </w:tabs>
              <w:rPr>
                <w:rFonts w:asciiTheme="minorHAnsi" w:hAnsiTheme="minorHAnsi"/>
                <w:sz w:val="16"/>
                <w:szCs w:val="16"/>
              </w:rPr>
            </w:pPr>
            <w:r w:rsidRPr="00A90748">
              <w:rPr>
                <w:rFonts w:asciiTheme="minorHAnsi" w:hAnsiTheme="minorHAnsi"/>
                <w:b/>
                <w:sz w:val="16"/>
                <w:szCs w:val="16"/>
              </w:rPr>
              <w:t>Safety:</w:t>
            </w:r>
            <w:r w:rsidRPr="00A90748">
              <w:rPr>
                <w:rFonts w:asciiTheme="minorHAnsi" w:hAnsiTheme="minorHAnsi"/>
                <w:sz w:val="16"/>
                <w:szCs w:val="16"/>
              </w:rPr>
              <w:t xml:space="preserve"> </w:t>
            </w:r>
          </w:p>
          <w:p w:rsidRPr="00A90748" w:rsidR="009D5655" w:rsidP="00131848" w:rsidRDefault="009D5655" w14:paraId="178AB6AF" w14:textId="77777777">
            <w:pPr>
              <w:pStyle w:val="BodyText"/>
              <w:tabs>
                <w:tab w:val="left" w:pos="1168"/>
              </w:tabs>
              <w:rPr>
                <w:rFonts w:asciiTheme="minorHAnsi" w:hAnsiTheme="minorHAnsi"/>
                <w:sz w:val="16"/>
                <w:szCs w:val="16"/>
              </w:rPr>
            </w:pPr>
            <w:r w:rsidRPr="00A90748">
              <w:rPr>
                <w:rFonts w:asciiTheme="minorHAnsi" w:hAnsiTheme="minorHAnsi"/>
                <w:sz w:val="16"/>
                <w:szCs w:val="16"/>
              </w:rPr>
              <w:t xml:space="preserve">Side effects of sotalol reported in infants include prolongation of QTc interval, bradycardia/pauses, and torsades de pointes. </w:t>
            </w:r>
          </w:p>
          <w:p w:rsidRPr="00A90748" w:rsidR="009D5655" w:rsidP="00131848" w:rsidRDefault="009D5655" w14:paraId="3F8F2473" w14:textId="77777777">
            <w:pPr>
              <w:pStyle w:val="BodyText"/>
              <w:tabs>
                <w:tab w:val="left" w:pos="1168"/>
              </w:tabs>
              <w:rPr>
                <w:rFonts w:asciiTheme="minorHAnsi" w:hAnsiTheme="minorHAnsi"/>
                <w:sz w:val="16"/>
                <w:szCs w:val="16"/>
              </w:rPr>
            </w:pPr>
            <w:r w:rsidRPr="00A90748">
              <w:rPr>
                <w:rFonts w:asciiTheme="minorHAnsi" w:hAnsiTheme="minorHAnsi"/>
                <w:b/>
                <w:sz w:val="16"/>
                <w:szCs w:val="16"/>
              </w:rPr>
              <w:t xml:space="preserve">ANZCOR treatment recommendations for polymorphic ventricular tachycardia (torsades de pointes): </w:t>
            </w:r>
            <w:r w:rsidRPr="00A90748">
              <w:rPr>
                <w:rFonts w:asciiTheme="minorHAnsi" w:hAnsiTheme="minorHAnsi"/>
                <w:sz w:val="16"/>
                <w:szCs w:val="16"/>
              </w:rPr>
              <w:t>Cease medication associated with cause; correct electrolyte abnormalities; give magnesium 0.1–0.2 mmol/kg = 25–50 mg/kg IV.</w:t>
            </w:r>
            <w:r w:rsidRPr="00A90748">
              <w:rPr>
                <w:rFonts w:asciiTheme="minorHAnsi" w:hAnsiTheme="minorHAnsi"/>
                <w:noProof/>
                <w:sz w:val="16"/>
                <w:szCs w:val="16"/>
                <w:vertAlign w:val="superscript"/>
              </w:rPr>
              <w:t>1</w:t>
            </w:r>
          </w:p>
          <w:p w:rsidRPr="00A90748" w:rsidR="009D5655" w:rsidP="00131848" w:rsidRDefault="009D5655" w14:paraId="7176378D" w14:textId="77777777">
            <w:pPr>
              <w:pStyle w:val="BodyText"/>
              <w:tabs>
                <w:tab w:val="left" w:pos="1168"/>
              </w:tabs>
              <w:rPr>
                <w:rFonts w:cs="Arial"/>
                <w:sz w:val="16"/>
                <w:szCs w:val="16"/>
              </w:rPr>
            </w:pPr>
            <w:r w:rsidRPr="00A90748">
              <w:rPr>
                <w:rFonts w:cs="Arial" w:asciiTheme="minorHAnsi" w:hAnsiTheme="minorHAnsi"/>
                <w:b/>
                <w:sz w:val="16"/>
                <w:szCs w:val="16"/>
              </w:rPr>
              <w:t xml:space="preserve">Overdose guideline: </w:t>
            </w:r>
            <w:r w:rsidRPr="00A90748">
              <w:rPr>
                <w:rFonts w:cs="Arial" w:asciiTheme="minorHAnsi" w:hAnsiTheme="minorHAnsi"/>
                <w:sz w:val="16"/>
                <w:szCs w:val="16"/>
              </w:rPr>
              <w:t>A child ingesting &gt; 4 mg/kg of sotalol as a single dose requires emergency department evaluation.</w:t>
            </w:r>
            <w:r w:rsidRPr="00A90748">
              <w:rPr>
                <w:rFonts w:cs="Arial" w:asciiTheme="minorHAnsi" w:hAnsiTheme="minorHAnsi"/>
                <w:noProof/>
                <w:sz w:val="16"/>
                <w:szCs w:val="16"/>
                <w:vertAlign w:val="superscript"/>
              </w:rPr>
              <w:t>10, 11</w:t>
            </w:r>
            <w:r w:rsidRPr="00A90748">
              <w:rPr>
                <w:rFonts w:asciiTheme="minorHAnsi" w:hAnsiTheme="minorHAnsi"/>
                <w:b/>
                <w:sz w:val="16"/>
                <w:szCs w:val="16"/>
              </w:rPr>
              <w:t xml:space="preserve"> </w:t>
            </w:r>
          </w:p>
        </w:tc>
      </w:tr>
      <w:tr w:rsidRPr="003A7895" w:rsidR="009D5655" w:rsidTr="00A90748" w14:paraId="70275552" w14:textId="77777777">
        <w:trPr>
          <w:trHeight w:val="108"/>
        </w:trPr>
        <w:tc>
          <w:tcPr>
            <w:tcW w:w="1730" w:type="dxa"/>
          </w:tcPr>
          <w:p w:rsidRPr="00B53E9B" w:rsidR="009D5655" w:rsidP="00131848" w:rsidRDefault="009D5655" w14:paraId="6A5FCF97" w14:textId="77777777">
            <w:pPr>
              <w:pStyle w:val="BodyText"/>
              <w:rPr>
                <w:rFonts w:cs="Arial"/>
                <w:b/>
                <w:bCs/>
                <w:sz w:val="20"/>
              </w:rPr>
            </w:pPr>
            <w:r w:rsidRPr="00B53E9B">
              <w:rPr>
                <w:rFonts w:cs="Arial"/>
                <w:b/>
                <w:bCs/>
                <w:sz w:val="20"/>
              </w:rPr>
              <w:lastRenderedPageBreak/>
              <w:t>Practice points</w:t>
            </w:r>
          </w:p>
        </w:tc>
        <w:tc>
          <w:tcPr>
            <w:tcW w:w="7513" w:type="dxa"/>
          </w:tcPr>
          <w:p w:rsidRPr="00A90748" w:rsidR="009D5655" w:rsidP="00131848" w:rsidRDefault="009D5655" w14:paraId="78ABC166" w14:textId="77777777">
            <w:pPr>
              <w:pStyle w:val="BodyText"/>
              <w:tabs>
                <w:tab w:val="left" w:pos="1168"/>
              </w:tabs>
              <w:rPr>
                <w:rFonts w:cs="Arial"/>
                <w:sz w:val="16"/>
                <w:szCs w:val="16"/>
              </w:rPr>
            </w:pPr>
          </w:p>
        </w:tc>
      </w:tr>
      <w:tr w:rsidRPr="003A7895" w:rsidR="009D5655" w:rsidTr="00A90748" w14:paraId="4DA2CAAB" w14:textId="77777777">
        <w:trPr>
          <w:trHeight w:val="70"/>
        </w:trPr>
        <w:tc>
          <w:tcPr>
            <w:tcW w:w="1730" w:type="dxa"/>
          </w:tcPr>
          <w:p w:rsidRPr="00B53E9B" w:rsidR="009D5655" w:rsidP="00131848" w:rsidRDefault="009D5655" w14:paraId="300120F4" w14:textId="77777777">
            <w:pPr>
              <w:pStyle w:val="BodyText"/>
              <w:rPr>
                <w:rFonts w:cs="Arial"/>
                <w:b/>
                <w:bCs/>
                <w:sz w:val="20"/>
              </w:rPr>
            </w:pPr>
            <w:r w:rsidRPr="00B53E9B">
              <w:rPr>
                <w:b/>
                <w:sz w:val="20"/>
              </w:rPr>
              <w:t>References</w:t>
            </w:r>
          </w:p>
        </w:tc>
        <w:tc>
          <w:tcPr>
            <w:tcW w:w="7513" w:type="dxa"/>
          </w:tcPr>
          <w:p w:rsidRPr="00A90748" w:rsidR="009D5655" w:rsidP="00131848" w:rsidRDefault="009D5655" w14:paraId="3659F55A" w14:textId="77777777">
            <w:pPr>
              <w:pStyle w:val="EndNoteBibliography"/>
              <w:rPr>
                <w:rFonts w:asciiTheme="minorHAnsi" w:hAnsiTheme="minorHAnsi"/>
                <w:sz w:val="16"/>
                <w:szCs w:val="16"/>
              </w:rPr>
            </w:pPr>
            <w:r w:rsidRPr="00A90748">
              <w:rPr>
                <w:rFonts w:asciiTheme="minorHAnsi" w:hAnsiTheme="minorHAnsi"/>
                <w:sz w:val="16"/>
                <w:szCs w:val="16"/>
              </w:rPr>
              <w:t>1. Australian Resuscitation C, New Zealand Resuscitation C. Management of specific dysrhythmias in paediatric advanced life support. ARC and NZRC Guideline 2010. Emergency medicine Australasia: EMA. 2011;23:409-11.</w:t>
            </w:r>
          </w:p>
          <w:p w:rsidRPr="00A90748" w:rsidR="009D5655" w:rsidP="00131848" w:rsidRDefault="009D5655" w14:paraId="342646D4" w14:textId="77777777">
            <w:pPr>
              <w:pStyle w:val="EndNoteBibliography"/>
              <w:rPr>
                <w:rFonts w:asciiTheme="minorHAnsi" w:hAnsiTheme="minorHAnsi"/>
                <w:sz w:val="16"/>
                <w:szCs w:val="16"/>
              </w:rPr>
            </w:pPr>
            <w:r w:rsidRPr="00A90748">
              <w:rPr>
                <w:rFonts w:asciiTheme="minorHAnsi" w:hAnsiTheme="minorHAnsi"/>
                <w:sz w:val="16"/>
                <w:szCs w:val="16"/>
              </w:rPr>
              <w:t>2. Wanless RS, Anderson K, Joy M, Joseph SP. Multicenter comparative study of the efficacy and safety of sotalol in the prophylactic treatment of patients with paroxysmal supraventricular tachyarrhythmias. American heart journal. 1997;133:441-6.</w:t>
            </w:r>
          </w:p>
          <w:p w:rsidRPr="00A90748" w:rsidR="009D5655" w:rsidP="00131848" w:rsidRDefault="009D5655" w14:paraId="3B77F148" w14:textId="77777777">
            <w:pPr>
              <w:pStyle w:val="EndNoteBibliography"/>
              <w:rPr>
                <w:rFonts w:asciiTheme="minorHAnsi" w:hAnsiTheme="minorHAnsi"/>
                <w:sz w:val="16"/>
                <w:szCs w:val="16"/>
              </w:rPr>
            </w:pPr>
            <w:r w:rsidRPr="00A90748">
              <w:rPr>
                <w:rFonts w:asciiTheme="minorHAnsi" w:hAnsiTheme="minorHAnsi"/>
                <w:sz w:val="16"/>
                <w:szCs w:val="16"/>
              </w:rPr>
              <w:t>3. Celiker A, Ayabakan C, Ozer S, Ozme S. Sotalol in treatment of pediatric cardiac arrhythmias. Pediatrics international : official journal of the Japan Pediatric Society. 2001;43:624-30.</w:t>
            </w:r>
          </w:p>
          <w:p w:rsidRPr="00A90748" w:rsidR="009D5655" w:rsidP="00131848" w:rsidRDefault="009D5655" w14:paraId="03702ED4" w14:textId="77777777">
            <w:pPr>
              <w:pStyle w:val="EndNoteBibliography"/>
              <w:rPr>
                <w:rFonts w:asciiTheme="minorHAnsi" w:hAnsiTheme="minorHAnsi"/>
                <w:sz w:val="16"/>
                <w:szCs w:val="16"/>
              </w:rPr>
            </w:pPr>
            <w:r w:rsidRPr="00A90748">
              <w:rPr>
                <w:rFonts w:asciiTheme="minorHAnsi" w:hAnsiTheme="minorHAnsi"/>
                <w:sz w:val="16"/>
                <w:szCs w:val="16"/>
              </w:rPr>
              <w:t>4. Knudson JD, Cannon BC, Kim JJ, Moffett BS. High-dose sotalol is safe and effective in neonates and infants with refractory supraventricular tachyarrhythmias. Pediatric cardiology. 2011;32:896-903.</w:t>
            </w:r>
          </w:p>
          <w:p w:rsidRPr="00A90748" w:rsidR="009D5655" w:rsidP="00131848" w:rsidRDefault="009D5655" w14:paraId="01C11C10" w14:textId="77777777">
            <w:pPr>
              <w:pStyle w:val="EndNoteBibliography"/>
              <w:rPr>
                <w:rFonts w:asciiTheme="minorHAnsi" w:hAnsiTheme="minorHAnsi"/>
                <w:sz w:val="16"/>
                <w:szCs w:val="16"/>
              </w:rPr>
            </w:pPr>
            <w:r w:rsidRPr="00A90748">
              <w:rPr>
                <w:rFonts w:asciiTheme="minorHAnsi" w:hAnsiTheme="minorHAnsi"/>
                <w:sz w:val="16"/>
                <w:szCs w:val="16"/>
              </w:rPr>
              <w:t>5. Laer S, Elshoff JP, Meibohm B, Weil J, Mir TS, Zhang W, Hulpke-Wette M. Development of a safe and effective pediatric dosing regimen for sotalol based on population pharmacokinetics and pharmacodynamics in children with supraventricular tachycardia. Journal of the American College of Cardiology. 2005;46:1322-30.</w:t>
            </w:r>
          </w:p>
          <w:p w:rsidRPr="00A90748" w:rsidR="009D5655" w:rsidP="00131848" w:rsidRDefault="009D5655" w14:paraId="685E4942" w14:textId="77777777">
            <w:pPr>
              <w:pStyle w:val="EndNoteBibliography"/>
              <w:rPr>
                <w:rFonts w:asciiTheme="minorHAnsi" w:hAnsiTheme="minorHAnsi"/>
                <w:sz w:val="16"/>
                <w:szCs w:val="16"/>
              </w:rPr>
            </w:pPr>
            <w:r w:rsidRPr="00A90748">
              <w:rPr>
                <w:rFonts w:asciiTheme="minorHAnsi" w:hAnsiTheme="minorHAnsi"/>
                <w:sz w:val="16"/>
                <w:szCs w:val="16"/>
              </w:rPr>
              <w:t>6. Price JF, Kertesz NJ, Snyder CS, Friedman RA, Fenrich AL. Flecainide and sotalol: a new combination therapy for refractory supraventricular tachycardia in children &lt;1 year of age. Journal of the American College of Cardiology. 2002;39:517-20.</w:t>
            </w:r>
          </w:p>
          <w:p w:rsidRPr="00A90748" w:rsidR="009D5655" w:rsidP="00131848" w:rsidRDefault="009D5655" w14:paraId="042D52B5" w14:textId="77777777">
            <w:pPr>
              <w:pStyle w:val="EndNoteBibliography"/>
              <w:rPr>
                <w:rFonts w:asciiTheme="minorHAnsi" w:hAnsiTheme="minorHAnsi"/>
                <w:sz w:val="16"/>
                <w:szCs w:val="16"/>
              </w:rPr>
            </w:pPr>
            <w:r w:rsidRPr="00A90748">
              <w:rPr>
                <w:rFonts w:asciiTheme="minorHAnsi" w:hAnsiTheme="minorHAnsi"/>
                <w:sz w:val="16"/>
                <w:szCs w:val="16"/>
              </w:rPr>
              <w:t>7. Shi J, Ludden TM, Melikian AP, Gastonguay MR, Hinderling PH. Population pharmacokinetics and pharmacodynamics of sotalol in pediatric patients with supraventricular or ventricular tachyarrhythmia. Journal of pharmacokinetics and pharmacodynamics. 2001;28:555-75.</w:t>
            </w:r>
          </w:p>
          <w:p w:rsidRPr="00A90748" w:rsidR="009D5655" w:rsidP="00131848" w:rsidRDefault="009D5655" w14:paraId="59CA992F" w14:textId="77777777">
            <w:pPr>
              <w:pStyle w:val="EndNoteBibliography"/>
              <w:rPr>
                <w:rFonts w:asciiTheme="minorHAnsi" w:hAnsiTheme="minorHAnsi"/>
                <w:sz w:val="16"/>
                <w:szCs w:val="16"/>
              </w:rPr>
            </w:pPr>
            <w:r w:rsidRPr="00A90748">
              <w:rPr>
                <w:rFonts w:asciiTheme="minorHAnsi" w:hAnsiTheme="minorHAnsi"/>
                <w:sz w:val="16"/>
                <w:szCs w:val="16"/>
              </w:rPr>
              <w:t>8. Saul JP, Schaffer MS, Karpawich PP, Erickson CC, Epstein MR, Melikian AP, Shi J, Karara AH, Cai B, Hinderling PH. Single-dose pharmacokinetics of sotalol in a pediatric population with supraventricular and/or ventricular tachyarrhythmia. Journal of clinical pharmacology. 2001;41:35-43.</w:t>
            </w:r>
          </w:p>
          <w:p w:rsidRPr="00A90748" w:rsidR="009D5655" w:rsidP="00131848" w:rsidRDefault="009D5655" w14:paraId="4C637917" w14:textId="77777777">
            <w:pPr>
              <w:pStyle w:val="EndNoteBibliography"/>
              <w:rPr>
                <w:rFonts w:asciiTheme="minorHAnsi" w:hAnsiTheme="minorHAnsi"/>
                <w:sz w:val="16"/>
                <w:szCs w:val="16"/>
              </w:rPr>
            </w:pPr>
            <w:r w:rsidRPr="00A90748">
              <w:rPr>
                <w:rFonts w:asciiTheme="minorHAnsi" w:hAnsiTheme="minorHAnsi"/>
                <w:sz w:val="16"/>
                <w:szCs w:val="16"/>
              </w:rPr>
              <w:t>9. Khalil F, Laer S. Physiologically based pharmacokinetic models in the prediction of oral drug exposure over the entire pediatric age range-sotalol as a model drug. The AAPS journal. 2014;16:226-39.</w:t>
            </w:r>
          </w:p>
          <w:p w:rsidRPr="00A90748" w:rsidR="009D5655" w:rsidP="00131848" w:rsidRDefault="009D5655" w14:paraId="1F29391B" w14:textId="77777777">
            <w:pPr>
              <w:pStyle w:val="EndNoteBibliography"/>
              <w:rPr>
                <w:rFonts w:asciiTheme="minorHAnsi" w:hAnsiTheme="minorHAnsi"/>
                <w:sz w:val="16"/>
                <w:szCs w:val="16"/>
              </w:rPr>
            </w:pPr>
            <w:r w:rsidRPr="00A90748">
              <w:rPr>
                <w:rFonts w:asciiTheme="minorHAnsi" w:hAnsiTheme="minorHAnsi"/>
                <w:sz w:val="16"/>
                <w:szCs w:val="16"/>
              </w:rPr>
              <w:t>10. Hickey CN, Mycyk MB, Wahl MS. Can a poison center overdose guideline safely reduce pediatric emergency department visits for unintentional beta-blocker ingestions? American journal of therapeutics. 2012;19:346-50.</w:t>
            </w:r>
          </w:p>
          <w:p w:rsidRPr="00A90748" w:rsidR="009D5655" w:rsidP="00131848" w:rsidRDefault="009D5655" w14:paraId="0B807ACE" w14:textId="77777777">
            <w:pPr>
              <w:pStyle w:val="EndNoteBibliography"/>
              <w:rPr>
                <w:rFonts w:asciiTheme="minorHAnsi" w:hAnsiTheme="minorHAnsi"/>
                <w:sz w:val="16"/>
                <w:szCs w:val="16"/>
              </w:rPr>
            </w:pPr>
            <w:r w:rsidRPr="00A90748">
              <w:rPr>
                <w:rFonts w:asciiTheme="minorHAnsi" w:hAnsiTheme="minorHAnsi"/>
                <w:sz w:val="16"/>
                <w:szCs w:val="16"/>
              </w:rPr>
              <w:t>11. Wax PM, Erdman AR, Chyka PA, Keyes DC, Caravati EM, Booze L, Christianson G, Woolf A, Olson KR, Manoguerra AS, Scharman EJ, Troutman WG. beta-blocker ingestion: an evidence-based consensus guideline for out-of-hospital management. Clinical toxicology. 2005;43:131-46.</w:t>
            </w:r>
          </w:p>
          <w:p w:rsidRPr="00A90748" w:rsidR="009D5655" w:rsidP="00131848" w:rsidRDefault="009D5655" w14:paraId="5AF3FAF0" w14:textId="77777777">
            <w:pPr>
              <w:rPr>
                <w:rFonts w:asciiTheme="minorHAnsi" w:hAnsiTheme="minorHAnsi"/>
                <w:sz w:val="16"/>
                <w:szCs w:val="16"/>
              </w:rPr>
            </w:pPr>
            <w:r w:rsidRPr="00A90748">
              <w:rPr>
                <w:rFonts w:asciiTheme="minorHAnsi" w:hAnsiTheme="minorHAnsi"/>
                <w:sz w:val="16"/>
                <w:szCs w:val="16"/>
              </w:rPr>
              <w:t>12. Australian Injectable Drugs Handbook. Accessed online on 18 May 2021.</w:t>
            </w:r>
          </w:p>
          <w:p w:rsidRPr="00A90748" w:rsidR="009D5655" w:rsidP="00131848" w:rsidRDefault="009D5655" w14:paraId="5CEEBBAD" w14:textId="77777777">
            <w:pPr>
              <w:rPr>
                <w:sz w:val="16"/>
                <w:szCs w:val="16"/>
              </w:rPr>
            </w:pPr>
            <w:r w:rsidRPr="00A90748">
              <w:rPr>
                <w:rFonts w:asciiTheme="minorHAnsi" w:hAnsiTheme="minorHAnsi"/>
                <w:sz w:val="16"/>
                <w:szCs w:val="16"/>
              </w:rPr>
              <w:t>13. Micromedex. Accessed online on 18 May 2021.</w:t>
            </w:r>
          </w:p>
        </w:tc>
      </w:tr>
    </w:tbl>
    <w:p w:rsidR="005C4458" w:rsidP="006F0321" w:rsidRDefault="005C4458" w14:paraId="67BE5AED" w14:textId="3512C548"/>
    <w:p w:rsidR="009D5655" w:rsidP="006F0321" w:rsidRDefault="009D5655" w14:paraId="2C272BA1"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7C726E" w:rsidTr="007C726E" w14:paraId="3E82B4FD"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682F82B3" w14:textId="0FFD9924">
            <w:pPr>
              <w:spacing w:line="252" w:lineRule="auto"/>
              <w:rPr>
                <w:sz w:val="22"/>
                <w:lang w:val="en-AU"/>
              </w:rPr>
            </w:pPr>
            <w:r>
              <w:t>Original version Date: 18/07/2016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01B6024B" w14:textId="77777777">
            <w:pPr>
              <w:spacing w:line="252" w:lineRule="auto"/>
            </w:pPr>
            <w:r>
              <w:t>Author: NeoMed Consensus Group</w:t>
            </w:r>
          </w:p>
        </w:tc>
      </w:tr>
      <w:tr w:rsidR="007C726E" w:rsidTr="007C726E" w14:paraId="4DDF7D4A"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37661B2A" w14:textId="47DF2A5D">
            <w:pPr>
              <w:spacing w:line="252" w:lineRule="auto"/>
            </w:pPr>
            <w:r>
              <w:t xml:space="preserve">Current Version number:  </w:t>
            </w:r>
            <w:r w:rsidR="00A90748">
              <w:t>3</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632CEF26" w14:textId="5126EBB5">
            <w:pPr>
              <w:spacing w:line="252" w:lineRule="auto"/>
            </w:pPr>
            <w:r>
              <w:t xml:space="preserve">Current Version Date:  </w:t>
            </w:r>
            <w:r w:rsidR="00A90748">
              <w:t>9-6-2021</w:t>
            </w:r>
          </w:p>
        </w:tc>
      </w:tr>
      <w:tr w:rsidR="007C726E" w:rsidTr="007C726E" w14:paraId="60661FC1"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11D65CB9" w14:textId="3D112A68">
            <w:pPr>
              <w:spacing w:line="252" w:lineRule="auto"/>
            </w:pPr>
            <w:r>
              <w:t xml:space="preserve">Risk Rating: </w:t>
            </w:r>
            <w:r w:rsidR="00A90748">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67AFDAB4" w14:textId="07801C80">
            <w:pPr>
              <w:spacing w:line="252" w:lineRule="auto"/>
            </w:pPr>
            <w:r>
              <w:t xml:space="preserve">Due for Review:  </w:t>
            </w:r>
            <w:r w:rsidR="00A90748">
              <w:t>9-6-2026</w:t>
            </w:r>
          </w:p>
        </w:tc>
      </w:tr>
      <w:tr w:rsidR="007C726E" w:rsidTr="007C726E" w14:paraId="0F695589"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48DD0C53"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632EA47E" w14:textId="21E90406">
            <w:pPr>
              <w:spacing w:line="252" w:lineRule="auto"/>
            </w:pPr>
            <w:r>
              <w:t xml:space="preserve">Approval Date: </w:t>
            </w:r>
            <w:r w:rsidR="00A90748">
              <w:t>June</w:t>
            </w:r>
            <w:r w:rsidR="00260BC8">
              <w:t xml:space="preserve"> 2021</w:t>
            </w:r>
          </w:p>
        </w:tc>
      </w:tr>
    </w:tbl>
    <w:p w:rsidRPr="00E25790" w:rsidR="00115F48" w:rsidP="006F0321" w:rsidRDefault="00115F48" w14:paraId="0CB3321C" w14:textId="77777777"/>
    <w:p w:rsidR="0007778A" w:rsidRDefault="0007778A" w14:paraId="519600E3" w14:textId="77777777">
      <w:bookmarkStart w:name="_Toc495481171" w:id="564"/>
      <w:bookmarkStart w:name="_Toc495481297" w:id="565"/>
      <w:bookmarkStart w:name="_Toc495481422" w:id="566"/>
      <w:bookmarkStart w:name="_Toc495501603" w:id="567"/>
      <w:bookmarkStart w:name="_Toc38106927" w:id="568"/>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943338" w14:paraId="3CDEE7C0"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A0C90" w:rsidR="00115F48" w:rsidP="009469DB" w:rsidRDefault="00115F48" w14:paraId="02ACDE75" w14:textId="77777777">
            <w:pPr>
              <w:pStyle w:val="Heading1"/>
            </w:pPr>
            <w:bookmarkStart w:name="_Toc75340046" w:id="569"/>
            <w:r w:rsidRPr="00DA0C90">
              <w:lastRenderedPageBreak/>
              <w:t>Spironolactone</w:t>
            </w:r>
            <w:bookmarkEnd w:id="564"/>
            <w:bookmarkEnd w:id="565"/>
            <w:bookmarkEnd w:id="566"/>
            <w:bookmarkEnd w:id="567"/>
            <w:bookmarkEnd w:id="568"/>
            <w:bookmarkEnd w:id="569"/>
            <w:r w:rsidRPr="00DA0C90">
              <w:fldChar w:fldCharType="begin"/>
            </w:r>
            <w:r w:rsidRPr="00DA0C90">
              <w:instrText>tc "Spironolactone" \l 0</w:instrText>
            </w:r>
            <w:r w:rsidRPr="00DA0C90">
              <w:fldChar w:fldCharType="end"/>
            </w:r>
          </w:p>
        </w:tc>
      </w:tr>
      <w:tr w:rsidRPr="00E25790" w:rsidR="00115F48" w:rsidTr="00943338" w14:paraId="2E5B556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E6D81E6" w14:textId="37D6CF64">
            <w:r w:rsidRPr="00E25790">
              <w:t xml:space="preserve">Revision Date : </w:t>
            </w:r>
            <w:r w:rsidR="007C726E">
              <w:t>18/</w:t>
            </w:r>
            <w:r w:rsidR="00FB71A0">
              <w:t>6</w:t>
            </w:r>
            <w:r w:rsidR="003A3424">
              <w:t>/2021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A1D3A88" w14:textId="3A895006">
            <w:r w:rsidRPr="00E25790">
              <w:t xml:space="preserve">Approved: </w:t>
            </w:r>
            <w:r w:rsidR="007C726E">
              <w:t>TC, KOH</w:t>
            </w:r>
          </w:p>
        </w:tc>
      </w:tr>
    </w:tbl>
    <w:p w:rsidRPr="00E25790" w:rsidR="00115F48" w:rsidP="006F0321" w:rsidRDefault="00115F48" w14:paraId="00E88D77" w14:textId="77777777"/>
    <w:tbl>
      <w:tblPr>
        <w:tblW w:w="995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542"/>
      </w:tblGrid>
      <w:tr w:rsidRPr="003A7895" w:rsidR="00FB71A0" w:rsidTr="008D48AE" w14:paraId="1FF23187" w14:textId="77777777">
        <w:trPr>
          <w:trHeight w:val="70"/>
        </w:trPr>
        <w:tc>
          <w:tcPr>
            <w:tcW w:w="2410" w:type="dxa"/>
          </w:tcPr>
          <w:p w:rsidRPr="00B53E9B" w:rsidR="00FB71A0" w:rsidP="00131848" w:rsidRDefault="00FB71A0" w14:paraId="295F02BA" w14:textId="77777777">
            <w:pPr>
              <w:pStyle w:val="BodyText"/>
              <w:tabs>
                <w:tab w:val="center" w:pos="1476"/>
              </w:tabs>
              <w:rPr>
                <w:rFonts w:cs="Arial"/>
                <w:b/>
                <w:sz w:val="20"/>
              </w:rPr>
            </w:pPr>
            <w:r w:rsidRPr="00B53E9B">
              <w:rPr>
                <w:rFonts w:cs="Arial"/>
                <w:b/>
                <w:sz w:val="20"/>
              </w:rPr>
              <w:t>Alert</w:t>
            </w:r>
          </w:p>
        </w:tc>
        <w:tc>
          <w:tcPr>
            <w:tcW w:w="7542" w:type="dxa"/>
          </w:tcPr>
          <w:p w:rsidRPr="00717D91" w:rsidR="00FB71A0" w:rsidP="00131848" w:rsidRDefault="00FB71A0" w14:paraId="3CF862C7" w14:textId="77777777">
            <w:pPr>
              <w:pStyle w:val="BodyText"/>
              <w:rPr>
                <w:rFonts w:cs="Arial" w:asciiTheme="minorHAnsi" w:hAnsiTheme="minorHAnsi"/>
                <w:sz w:val="20"/>
              </w:rPr>
            </w:pPr>
            <w:r>
              <w:rPr>
                <w:rFonts w:cs="Arial" w:asciiTheme="minorHAnsi" w:hAnsiTheme="minorHAnsi"/>
                <w:sz w:val="20"/>
              </w:rPr>
              <w:t xml:space="preserve">Spironolactone is a potassium-sparing diuretic and concomitant intake of potassium or ACE inhibitors may lead to hyperkalemia. </w:t>
            </w:r>
          </w:p>
        </w:tc>
      </w:tr>
      <w:tr w:rsidRPr="003A7895" w:rsidR="00FB71A0" w:rsidTr="008D48AE" w14:paraId="73D71716" w14:textId="77777777">
        <w:trPr>
          <w:trHeight w:val="72"/>
        </w:trPr>
        <w:tc>
          <w:tcPr>
            <w:tcW w:w="2410" w:type="dxa"/>
          </w:tcPr>
          <w:p w:rsidRPr="00B53E9B" w:rsidR="00FB71A0" w:rsidP="00131848" w:rsidRDefault="00FB71A0" w14:paraId="2962DB97" w14:textId="77777777">
            <w:pPr>
              <w:pStyle w:val="BodyText"/>
              <w:rPr>
                <w:rFonts w:cs="Arial"/>
                <w:sz w:val="20"/>
              </w:rPr>
            </w:pPr>
            <w:r w:rsidRPr="00B53E9B">
              <w:rPr>
                <w:rFonts w:cs="Arial"/>
                <w:b/>
                <w:bCs/>
                <w:sz w:val="20"/>
              </w:rPr>
              <w:t>Indication</w:t>
            </w:r>
          </w:p>
        </w:tc>
        <w:tc>
          <w:tcPr>
            <w:tcW w:w="7542" w:type="dxa"/>
          </w:tcPr>
          <w:p w:rsidRPr="00717D91" w:rsidR="00FB71A0" w:rsidP="00131848" w:rsidRDefault="00FB71A0" w14:paraId="508EF7A3" w14:textId="77777777">
            <w:pPr>
              <w:rPr>
                <w:rFonts w:cs="Arial" w:asciiTheme="minorHAnsi" w:hAnsiTheme="minorHAnsi"/>
                <w:sz w:val="20"/>
              </w:rPr>
            </w:pPr>
            <w:r w:rsidRPr="00717D91">
              <w:rPr>
                <w:rFonts w:cs="Arial" w:asciiTheme="minorHAnsi" w:hAnsiTheme="minorHAnsi"/>
                <w:sz w:val="20"/>
              </w:rPr>
              <w:t xml:space="preserve">Diuretic primarily prescribed for its potassium-sparing effect. </w:t>
            </w:r>
          </w:p>
          <w:p w:rsidRPr="00717D91" w:rsidR="00FB71A0" w:rsidP="00131848" w:rsidRDefault="00FB71A0" w14:paraId="17BF0282" w14:textId="77777777">
            <w:pPr>
              <w:rPr>
                <w:rFonts w:cs="Arial" w:asciiTheme="minorHAnsi" w:hAnsiTheme="minorHAnsi"/>
                <w:sz w:val="20"/>
              </w:rPr>
            </w:pPr>
            <w:r w:rsidRPr="00717D91">
              <w:rPr>
                <w:rFonts w:cs="Arial" w:asciiTheme="minorHAnsi" w:hAnsiTheme="minorHAnsi"/>
                <w:sz w:val="20"/>
              </w:rPr>
              <w:t>For heart failure, in conjunction with f</w:t>
            </w:r>
            <w:r>
              <w:rPr>
                <w:rFonts w:cs="Arial" w:asciiTheme="minorHAnsi" w:hAnsiTheme="minorHAnsi"/>
                <w:sz w:val="20"/>
              </w:rPr>
              <w:t>u</w:t>
            </w:r>
            <w:r w:rsidRPr="00717D91">
              <w:rPr>
                <w:rFonts w:cs="Arial" w:asciiTheme="minorHAnsi" w:hAnsiTheme="minorHAnsi"/>
                <w:sz w:val="20"/>
              </w:rPr>
              <w:t>r</w:t>
            </w:r>
            <w:r>
              <w:rPr>
                <w:rFonts w:cs="Arial" w:asciiTheme="minorHAnsi" w:hAnsiTheme="minorHAnsi"/>
                <w:sz w:val="20"/>
              </w:rPr>
              <w:t>o</w:t>
            </w:r>
            <w:r w:rsidRPr="00717D91">
              <w:rPr>
                <w:rFonts w:cs="Arial" w:asciiTheme="minorHAnsi" w:hAnsiTheme="minorHAnsi"/>
                <w:sz w:val="20"/>
              </w:rPr>
              <w:t>semide</w:t>
            </w:r>
            <w:r>
              <w:rPr>
                <w:rFonts w:cs="Arial" w:asciiTheme="minorHAnsi" w:hAnsiTheme="minorHAnsi"/>
                <w:sz w:val="20"/>
              </w:rPr>
              <w:t>.</w:t>
            </w:r>
            <w:r w:rsidRPr="00717D91">
              <w:rPr>
                <w:rFonts w:cs="Arial" w:asciiTheme="minorHAnsi" w:hAnsiTheme="minorHAnsi"/>
                <w:sz w:val="20"/>
              </w:rPr>
              <w:t xml:space="preserve"> </w:t>
            </w:r>
          </w:p>
          <w:p w:rsidR="00FB71A0" w:rsidP="00131848" w:rsidRDefault="00FB71A0" w14:paraId="15CFE3FC" w14:textId="77777777">
            <w:pPr>
              <w:rPr>
                <w:rFonts w:cs="Arial" w:asciiTheme="minorHAnsi" w:hAnsiTheme="minorHAnsi"/>
                <w:sz w:val="20"/>
              </w:rPr>
            </w:pPr>
            <w:r w:rsidRPr="00717D91">
              <w:rPr>
                <w:rFonts w:cs="Arial" w:asciiTheme="minorHAnsi" w:hAnsiTheme="minorHAnsi"/>
                <w:sz w:val="20"/>
              </w:rPr>
              <w:t>For chronic lung disease, in conjunction with a thiazide diuretic.</w:t>
            </w:r>
          </w:p>
          <w:p w:rsidRPr="00717D91" w:rsidR="00FB71A0" w:rsidP="00131848" w:rsidRDefault="00FB71A0" w14:paraId="6369FB35" w14:textId="77777777">
            <w:pPr>
              <w:rPr>
                <w:rFonts w:asciiTheme="minorHAnsi" w:hAnsiTheme="minorHAnsi"/>
                <w:sz w:val="20"/>
              </w:rPr>
            </w:pPr>
            <w:r>
              <w:rPr>
                <w:rFonts w:cs="Arial" w:asciiTheme="minorHAnsi" w:hAnsiTheme="minorHAnsi"/>
                <w:sz w:val="20"/>
              </w:rPr>
              <w:t>Bartter syndrome and Gitelman Syndrome.</w:t>
            </w:r>
          </w:p>
        </w:tc>
      </w:tr>
      <w:tr w:rsidRPr="003A7895" w:rsidR="00FB71A0" w:rsidTr="008D48AE" w14:paraId="33E221FC" w14:textId="77777777">
        <w:trPr>
          <w:trHeight w:val="70"/>
        </w:trPr>
        <w:tc>
          <w:tcPr>
            <w:tcW w:w="2410" w:type="dxa"/>
          </w:tcPr>
          <w:p w:rsidRPr="00B53E9B" w:rsidR="00FB71A0" w:rsidP="00131848" w:rsidRDefault="00FB71A0" w14:paraId="1D9DAA58" w14:textId="77777777">
            <w:pPr>
              <w:pStyle w:val="BodyText"/>
              <w:rPr>
                <w:rFonts w:cs="Arial"/>
                <w:b/>
                <w:bCs/>
                <w:sz w:val="20"/>
              </w:rPr>
            </w:pPr>
            <w:r w:rsidRPr="00B53E9B">
              <w:rPr>
                <w:rFonts w:cs="Arial"/>
                <w:b/>
                <w:bCs/>
                <w:sz w:val="20"/>
              </w:rPr>
              <w:t>Action</w:t>
            </w:r>
          </w:p>
        </w:tc>
        <w:tc>
          <w:tcPr>
            <w:tcW w:w="7542" w:type="dxa"/>
          </w:tcPr>
          <w:p w:rsidRPr="00717D91" w:rsidR="00FB71A0" w:rsidP="00131848" w:rsidRDefault="00FB71A0" w14:paraId="449CB57B" w14:textId="77777777">
            <w:pPr>
              <w:rPr>
                <w:rFonts w:cs="Arial" w:asciiTheme="minorHAnsi" w:hAnsiTheme="minorHAnsi"/>
                <w:sz w:val="20"/>
              </w:rPr>
            </w:pPr>
            <w:r w:rsidRPr="00717D91">
              <w:rPr>
                <w:rFonts w:cs="Arial" w:asciiTheme="minorHAnsi" w:hAnsiTheme="minorHAnsi"/>
                <w:sz w:val="20"/>
              </w:rPr>
              <w:t>Spironolactone is a synthetic steroid that acts as a competitive aldosterone receptor antagonist, so inhibits sodium reabsorption and spares potassium</w:t>
            </w:r>
            <w:r>
              <w:rPr>
                <w:rFonts w:cs="Arial" w:asciiTheme="minorHAnsi" w:hAnsiTheme="minorHAnsi"/>
                <w:sz w:val="20"/>
              </w:rPr>
              <w:t xml:space="preserve">. It is </w:t>
            </w:r>
            <w:r w:rsidRPr="00717D91">
              <w:rPr>
                <w:rFonts w:cs="Arial" w:asciiTheme="minorHAnsi" w:hAnsiTheme="minorHAnsi"/>
                <w:sz w:val="20"/>
              </w:rPr>
              <w:t xml:space="preserve">a weak diuretic. </w:t>
            </w:r>
          </w:p>
          <w:p w:rsidRPr="00717D91" w:rsidR="00FB71A0" w:rsidP="00131848" w:rsidRDefault="00FB71A0" w14:paraId="4AEAFC69" w14:textId="77777777">
            <w:pPr>
              <w:rPr>
                <w:rFonts w:cs="Arial" w:asciiTheme="minorHAnsi" w:hAnsiTheme="minorHAnsi"/>
                <w:sz w:val="20"/>
              </w:rPr>
            </w:pPr>
            <w:r>
              <w:rPr>
                <w:rFonts w:cs="Arial" w:asciiTheme="minorHAnsi" w:hAnsiTheme="minorHAnsi"/>
                <w:sz w:val="20"/>
              </w:rPr>
              <w:t>It</w:t>
            </w:r>
            <w:r w:rsidRPr="00717D91">
              <w:rPr>
                <w:rFonts w:cs="Arial" w:asciiTheme="minorHAnsi" w:hAnsiTheme="minorHAnsi"/>
                <w:sz w:val="20"/>
              </w:rPr>
              <w:t xml:space="preserve"> </w:t>
            </w:r>
            <w:r>
              <w:rPr>
                <w:rFonts w:cs="Arial" w:asciiTheme="minorHAnsi" w:hAnsiTheme="minorHAnsi"/>
                <w:sz w:val="20"/>
              </w:rPr>
              <w:t xml:space="preserve">also inhibits </w:t>
            </w:r>
            <w:r w:rsidRPr="008423F9">
              <w:rPr>
                <w:rFonts w:cs="Arial" w:asciiTheme="minorHAnsi" w:hAnsiTheme="minorHAnsi"/>
                <w:sz w:val="20"/>
              </w:rPr>
              <w:t>the interaction between dihydrotestosterone and the intracellular androgen receptor</w:t>
            </w:r>
            <w:r>
              <w:rPr>
                <w:rFonts w:cs="Arial" w:asciiTheme="minorHAnsi" w:hAnsiTheme="minorHAnsi"/>
                <w:sz w:val="20"/>
              </w:rPr>
              <w:t xml:space="preserve"> resulting in moderate antiandrogenic activity</w:t>
            </w:r>
            <w:r w:rsidRPr="008423F9">
              <w:rPr>
                <w:rFonts w:cs="Arial" w:asciiTheme="minorHAnsi" w:hAnsiTheme="minorHAnsi"/>
                <w:sz w:val="20"/>
              </w:rPr>
              <w:t>.</w:t>
            </w:r>
          </w:p>
        </w:tc>
      </w:tr>
      <w:tr w:rsidRPr="003A7895" w:rsidR="00FB71A0" w:rsidTr="008D48AE" w14:paraId="56D8C585" w14:textId="77777777">
        <w:trPr>
          <w:trHeight w:val="266"/>
        </w:trPr>
        <w:tc>
          <w:tcPr>
            <w:tcW w:w="2410" w:type="dxa"/>
          </w:tcPr>
          <w:p w:rsidRPr="00B53E9B" w:rsidR="00FB71A0" w:rsidP="00131848" w:rsidRDefault="00FB71A0" w14:paraId="053E9239" w14:textId="77777777">
            <w:pPr>
              <w:pStyle w:val="BodyText"/>
              <w:rPr>
                <w:rFonts w:cs="Arial"/>
                <w:sz w:val="20"/>
              </w:rPr>
            </w:pPr>
            <w:r>
              <w:rPr>
                <w:rFonts w:cs="Arial"/>
                <w:b/>
                <w:bCs/>
                <w:sz w:val="20"/>
              </w:rPr>
              <w:t>Drug t</w:t>
            </w:r>
            <w:r w:rsidRPr="00B53E9B">
              <w:rPr>
                <w:rFonts w:cs="Arial"/>
                <w:b/>
                <w:bCs/>
                <w:sz w:val="20"/>
              </w:rPr>
              <w:t>ype</w:t>
            </w:r>
          </w:p>
        </w:tc>
        <w:tc>
          <w:tcPr>
            <w:tcW w:w="7542" w:type="dxa"/>
          </w:tcPr>
          <w:p w:rsidRPr="00717D91" w:rsidR="00FB71A0" w:rsidP="00131848" w:rsidRDefault="00FB71A0" w14:paraId="4C7C47BC" w14:textId="77777777">
            <w:pPr>
              <w:pStyle w:val="BodyText"/>
              <w:rPr>
                <w:rFonts w:cs="Arial" w:asciiTheme="minorHAnsi" w:hAnsiTheme="minorHAnsi"/>
                <w:sz w:val="20"/>
              </w:rPr>
            </w:pPr>
            <w:r>
              <w:rPr>
                <w:rFonts w:cs="Segoe UI" w:asciiTheme="minorHAnsi" w:hAnsiTheme="minorHAnsi" w:eastAsiaTheme="minorHAnsi"/>
                <w:sz w:val="20"/>
              </w:rPr>
              <w:t>N</w:t>
            </w:r>
            <w:r w:rsidRPr="00717D91">
              <w:rPr>
                <w:rFonts w:cs="Segoe UI" w:asciiTheme="minorHAnsi" w:hAnsiTheme="minorHAnsi" w:eastAsiaTheme="minorHAnsi"/>
                <w:sz w:val="20"/>
              </w:rPr>
              <w:t>on-selective mineralocorticoid receptor antagonist.</w:t>
            </w:r>
          </w:p>
        </w:tc>
      </w:tr>
      <w:tr w:rsidRPr="003A7895" w:rsidR="00FB71A0" w:rsidTr="008D48AE" w14:paraId="707119DA" w14:textId="77777777">
        <w:trPr>
          <w:trHeight w:val="114"/>
        </w:trPr>
        <w:tc>
          <w:tcPr>
            <w:tcW w:w="2410" w:type="dxa"/>
          </w:tcPr>
          <w:p w:rsidRPr="00B53E9B" w:rsidR="00FB71A0" w:rsidP="00131848" w:rsidRDefault="00FB71A0" w14:paraId="551E716E"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542" w:type="dxa"/>
          </w:tcPr>
          <w:p w:rsidRPr="00717D91" w:rsidR="00FB71A0" w:rsidP="00131848" w:rsidRDefault="00FB71A0" w14:paraId="0BF27B4E" w14:textId="77777777">
            <w:pPr>
              <w:pStyle w:val="BodyText"/>
              <w:rPr>
                <w:rFonts w:cs="Arial" w:asciiTheme="minorHAnsi" w:hAnsiTheme="minorHAnsi"/>
                <w:sz w:val="20"/>
              </w:rPr>
            </w:pPr>
            <w:r w:rsidRPr="00717D91">
              <w:rPr>
                <w:rFonts w:cs="Arial" w:asciiTheme="minorHAnsi" w:hAnsiTheme="minorHAnsi"/>
                <w:sz w:val="20"/>
              </w:rPr>
              <w:t>Aldactone</w:t>
            </w:r>
            <w:r>
              <w:rPr>
                <w:rFonts w:cs="Arial" w:asciiTheme="minorHAnsi" w:hAnsiTheme="minorHAnsi"/>
                <w:sz w:val="20"/>
              </w:rPr>
              <w:t>; Spiractin</w:t>
            </w:r>
          </w:p>
        </w:tc>
      </w:tr>
      <w:tr w:rsidRPr="003A7895" w:rsidR="00FB71A0" w:rsidTr="008D48AE" w14:paraId="568A8CB9" w14:textId="77777777">
        <w:trPr>
          <w:trHeight w:val="70"/>
        </w:trPr>
        <w:tc>
          <w:tcPr>
            <w:tcW w:w="2410" w:type="dxa"/>
          </w:tcPr>
          <w:p w:rsidRPr="00B53E9B" w:rsidR="00FB71A0" w:rsidP="00131848" w:rsidRDefault="00FB71A0" w14:paraId="3DF9BB14" w14:textId="77777777">
            <w:pPr>
              <w:pStyle w:val="BodyText"/>
              <w:rPr>
                <w:rFonts w:cs="Arial"/>
                <w:b/>
                <w:bCs/>
                <w:sz w:val="20"/>
              </w:rPr>
            </w:pPr>
            <w:r w:rsidRPr="00B53E9B">
              <w:rPr>
                <w:rFonts w:cs="Arial"/>
                <w:b/>
                <w:bCs/>
                <w:sz w:val="20"/>
              </w:rPr>
              <w:t xml:space="preserve">Presentation </w:t>
            </w:r>
          </w:p>
        </w:tc>
        <w:tc>
          <w:tcPr>
            <w:tcW w:w="7542" w:type="dxa"/>
          </w:tcPr>
          <w:p w:rsidRPr="00717D91" w:rsidR="00FB71A0" w:rsidP="00131848" w:rsidRDefault="00FB71A0" w14:paraId="308AC3E9" w14:textId="77777777">
            <w:pPr>
              <w:pStyle w:val="BodyText"/>
              <w:ind w:left="34"/>
              <w:rPr>
                <w:rFonts w:cs="Arial" w:asciiTheme="minorHAnsi" w:hAnsiTheme="minorHAnsi"/>
                <w:sz w:val="20"/>
              </w:rPr>
            </w:pPr>
            <w:r w:rsidRPr="005F16FE">
              <w:rPr>
                <w:rFonts w:cs="Arial" w:asciiTheme="minorHAnsi" w:hAnsiTheme="minorHAnsi"/>
                <w:sz w:val="20"/>
              </w:rPr>
              <w:t>Oral suspension prepared in pharmacy</w:t>
            </w:r>
            <w:r>
              <w:rPr>
                <w:rFonts w:cs="Arial" w:asciiTheme="minorHAnsi" w:hAnsiTheme="minorHAnsi"/>
                <w:sz w:val="20"/>
              </w:rPr>
              <w:t>: 1 mg/mL;</w:t>
            </w:r>
            <w:r w:rsidRPr="005F16FE">
              <w:rPr>
                <w:rFonts w:cs="Arial" w:asciiTheme="minorHAnsi" w:hAnsiTheme="minorHAnsi"/>
                <w:sz w:val="20"/>
              </w:rPr>
              <w:t xml:space="preserve"> 2.5 mg/mL</w:t>
            </w:r>
            <w:r>
              <w:rPr>
                <w:rFonts w:cs="Arial" w:asciiTheme="minorHAnsi" w:hAnsiTheme="minorHAnsi"/>
                <w:sz w:val="20"/>
              </w:rPr>
              <w:t>; 5 mg/mL.</w:t>
            </w:r>
          </w:p>
        </w:tc>
      </w:tr>
      <w:tr w:rsidRPr="000E2236" w:rsidR="00FB71A0" w:rsidTr="008D48AE" w14:paraId="3FC6673E" w14:textId="77777777">
        <w:trPr>
          <w:trHeight w:val="70"/>
        </w:trPr>
        <w:tc>
          <w:tcPr>
            <w:tcW w:w="2410" w:type="dxa"/>
          </w:tcPr>
          <w:p w:rsidRPr="00B53E9B" w:rsidR="00FB71A0" w:rsidP="00131848" w:rsidRDefault="00FB71A0" w14:paraId="1C456F33" w14:textId="77777777">
            <w:pPr>
              <w:pStyle w:val="BodyText"/>
              <w:rPr>
                <w:rFonts w:cs="Arial"/>
                <w:b/>
                <w:bCs/>
                <w:sz w:val="20"/>
              </w:rPr>
            </w:pPr>
            <w:r>
              <w:rPr>
                <w:rFonts w:cs="Arial"/>
                <w:b/>
                <w:bCs/>
                <w:sz w:val="20"/>
              </w:rPr>
              <w:t>Dose</w:t>
            </w:r>
            <w:r w:rsidRPr="00B53E9B">
              <w:rPr>
                <w:rFonts w:cs="Arial"/>
                <w:b/>
                <w:bCs/>
                <w:sz w:val="20"/>
              </w:rPr>
              <w:t xml:space="preserve"> </w:t>
            </w:r>
          </w:p>
        </w:tc>
        <w:tc>
          <w:tcPr>
            <w:tcW w:w="7542" w:type="dxa"/>
          </w:tcPr>
          <w:p w:rsidR="00FB71A0" w:rsidP="00131848" w:rsidRDefault="00FB71A0" w14:paraId="2EC7B0C6" w14:textId="77777777">
            <w:pPr>
              <w:pStyle w:val="BodyText"/>
              <w:rPr>
                <w:rFonts w:asciiTheme="minorHAnsi" w:hAnsiTheme="minorHAnsi"/>
                <w:sz w:val="20"/>
              </w:rPr>
            </w:pPr>
            <w:r>
              <w:rPr>
                <w:rFonts w:asciiTheme="minorHAnsi" w:hAnsiTheme="minorHAnsi"/>
                <w:sz w:val="20"/>
              </w:rPr>
              <w:t xml:space="preserve">1–3 mg/kg/dose 24 hourly. </w:t>
            </w:r>
          </w:p>
          <w:p w:rsidRPr="00717D91" w:rsidR="00FB71A0" w:rsidP="00131848" w:rsidRDefault="00FB71A0" w14:paraId="3DD56D14" w14:textId="77777777">
            <w:pPr>
              <w:pStyle w:val="BodyText"/>
              <w:rPr>
                <w:rFonts w:asciiTheme="minorHAnsi" w:hAnsiTheme="minorHAnsi"/>
                <w:sz w:val="20"/>
              </w:rPr>
            </w:pPr>
            <w:r>
              <w:rPr>
                <w:rFonts w:asciiTheme="minorHAnsi" w:hAnsiTheme="minorHAnsi"/>
                <w:sz w:val="20"/>
              </w:rPr>
              <w:t xml:space="preserve">Dose can be divided into different intervals. </w:t>
            </w:r>
          </w:p>
        </w:tc>
      </w:tr>
      <w:tr w:rsidRPr="003A7895" w:rsidR="00FB71A0" w:rsidTr="008D48AE" w14:paraId="0B4D8692" w14:textId="77777777">
        <w:trPr>
          <w:trHeight w:val="407"/>
        </w:trPr>
        <w:tc>
          <w:tcPr>
            <w:tcW w:w="2410" w:type="dxa"/>
          </w:tcPr>
          <w:p w:rsidRPr="00B53E9B" w:rsidR="00FB71A0" w:rsidP="00131848" w:rsidRDefault="00FB71A0" w14:paraId="39737A3C" w14:textId="77777777">
            <w:pPr>
              <w:pStyle w:val="BodyText"/>
              <w:rPr>
                <w:b/>
                <w:sz w:val="20"/>
              </w:rPr>
            </w:pPr>
            <w:r w:rsidRPr="00B53E9B">
              <w:rPr>
                <w:b/>
                <w:sz w:val="20"/>
              </w:rPr>
              <w:t>Dose adjustment</w:t>
            </w:r>
          </w:p>
        </w:tc>
        <w:tc>
          <w:tcPr>
            <w:tcW w:w="7542" w:type="dxa"/>
          </w:tcPr>
          <w:p w:rsidR="00FB71A0" w:rsidP="00131848" w:rsidRDefault="00FB71A0" w14:paraId="1E2518EE" w14:textId="77777777">
            <w:pPr>
              <w:pStyle w:val="BodyText"/>
              <w:rPr>
                <w:sz w:val="20"/>
              </w:rPr>
            </w:pPr>
            <w:r>
              <w:rPr>
                <w:sz w:val="20"/>
              </w:rPr>
              <w:t>Therapeutic hypothermia – Not applicable.</w:t>
            </w:r>
          </w:p>
          <w:p w:rsidR="00FB71A0" w:rsidP="00131848" w:rsidRDefault="00FB71A0" w14:paraId="103A20BB" w14:textId="77777777">
            <w:pPr>
              <w:pStyle w:val="BodyText"/>
              <w:rPr>
                <w:sz w:val="20"/>
              </w:rPr>
            </w:pPr>
            <w:r>
              <w:rPr>
                <w:sz w:val="20"/>
              </w:rPr>
              <w:t>Renal impairment – Refer to precautions section.</w:t>
            </w:r>
          </w:p>
          <w:p w:rsidRPr="00026F20" w:rsidR="00FB71A0" w:rsidP="00131848" w:rsidRDefault="00FB71A0" w14:paraId="2106573D" w14:textId="77777777">
            <w:pPr>
              <w:pStyle w:val="BodyText"/>
              <w:rPr>
                <w:sz w:val="20"/>
              </w:rPr>
            </w:pPr>
            <w:r>
              <w:rPr>
                <w:sz w:val="20"/>
              </w:rPr>
              <w:t>Hepatic impairment – Refer to precautions section.</w:t>
            </w:r>
          </w:p>
        </w:tc>
      </w:tr>
      <w:tr w:rsidRPr="003A7895" w:rsidR="00FB71A0" w:rsidTr="008D48AE" w14:paraId="1DE426B9" w14:textId="77777777">
        <w:trPr>
          <w:trHeight w:val="113"/>
        </w:trPr>
        <w:tc>
          <w:tcPr>
            <w:tcW w:w="2410" w:type="dxa"/>
          </w:tcPr>
          <w:p w:rsidRPr="00B53E9B" w:rsidR="00FB71A0" w:rsidP="00131848" w:rsidRDefault="00FB71A0" w14:paraId="3830467D" w14:textId="77777777">
            <w:pPr>
              <w:pStyle w:val="BodyText"/>
              <w:rPr>
                <w:b/>
                <w:sz w:val="20"/>
              </w:rPr>
            </w:pPr>
            <w:r w:rsidRPr="00B53E9B">
              <w:rPr>
                <w:b/>
                <w:sz w:val="20"/>
              </w:rPr>
              <w:t>Maximum dose</w:t>
            </w:r>
          </w:p>
        </w:tc>
        <w:tc>
          <w:tcPr>
            <w:tcW w:w="7542" w:type="dxa"/>
          </w:tcPr>
          <w:p w:rsidRPr="00026F20" w:rsidR="00FB71A0" w:rsidP="00131848" w:rsidRDefault="00FB71A0" w14:paraId="2F0CECC6" w14:textId="77777777">
            <w:pPr>
              <w:pStyle w:val="BodyText"/>
              <w:rPr>
                <w:sz w:val="20"/>
              </w:rPr>
            </w:pPr>
            <w:r>
              <w:rPr>
                <w:rFonts w:asciiTheme="minorHAnsi" w:hAnsiTheme="minorHAnsi"/>
                <w:sz w:val="20"/>
              </w:rPr>
              <w:t>3</w:t>
            </w:r>
            <w:r w:rsidRPr="00717D91">
              <w:rPr>
                <w:rFonts w:asciiTheme="minorHAnsi" w:hAnsiTheme="minorHAnsi"/>
                <w:sz w:val="20"/>
              </w:rPr>
              <w:t xml:space="preserve"> mg/kg/day</w:t>
            </w:r>
          </w:p>
        </w:tc>
      </w:tr>
      <w:tr w:rsidRPr="003A7895" w:rsidR="00FB71A0" w:rsidTr="008D48AE" w14:paraId="09C65341" w14:textId="77777777">
        <w:trPr>
          <w:trHeight w:val="144"/>
        </w:trPr>
        <w:tc>
          <w:tcPr>
            <w:tcW w:w="2410" w:type="dxa"/>
          </w:tcPr>
          <w:p w:rsidRPr="00B53E9B" w:rsidR="00FB71A0" w:rsidP="00131848" w:rsidRDefault="00FB71A0" w14:paraId="54AE42ED" w14:textId="77777777">
            <w:pPr>
              <w:pStyle w:val="BodyText"/>
              <w:rPr>
                <w:rFonts w:cs="Arial"/>
                <w:b/>
                <w:bCs/>
                <w:sz w:val="20"/>
              </w:rPr>
            </w:pPr>
            <w:r w:rsidRPr="00B53E9B">
              <w:rPr>
                <w:b/>
                <w:sz w:val="20"/>
              </w:rPr>
              <w:t>Total cumulative dose</w:t>
            </w:r>
          </w:p>
        </w:tc>
        <w:tc>
          <w:tcPr>
            <w:tcW w:w="7542" w:type="dxa"/>
          </w:tcPr>
          <w:p w:rsidRPr="00026F20" w:rsidR="00FB71A0" w:rsidP="00131848" w:rsidRDefault="00FB71A0" w14:paraId="3C4A4F05" w14:textId="77777777">
            <w:pPr>
              <w:pStyle w:val="BodyText"/>
              <w:rPr>
                <w:rFonts w:cs="Arial"/>
                <w:b/>
                <w:sz w:val="20"/>
              </w:rPr>
            </w:pPr>
          </w:p>
        </w:tc>
      </w:tr>
      <w:tr w:rsidRPr="003A7895" w:rsidR="00FB71A0" w:rsidTr="008D48AE" w14:paraId="23A38CBA" w14:textId="77777777">
        <w:trPr>
          <w:trHeight w:val="294"/>
        </w:trPr>
        <w:tc>
          <w:tcPr>
            <w:tcW w:w="2410" w:type="dxa"/>
          </w:tcPr>
          <w:p w:rsidRPr="00B53E9B" w:rsidR="00FB71A0" w:rsidP="00131848" w:rsidRDefault="00FB71A0" w14:paraId="18748F53" w14:textId="77777777">
            <w:pPr>
              <w:pStyle w:val="BodyText"/>
              <w:rPr>
                <w:rFonts w:cs="Arial"/>
                <w:sz w:val="20"/>
              </w:rPr>
            </w:pPr>
            <w:r w:rsidRPr="00B53E9B">
              <w:rPr>
                <w:rFonts w:cs="Arial"/>
                <w:b/>
                <w:bCs/>
                <w:sz w:val="20"/>
              </w:rPr>
              <w:t xml:space="preserve">Route </w:t>
            </w:r>
          </w:p>
        </w:tc>
        <w:tc>
          <w:tcPr>
            <w:tcW w:w="7542" w:type="dxa"/>
          </w:tcPr>
          <w:p w:rsidRPr="00717D91" w:rsidR="00FB71A0" w:rsidP="00131848" w:rsidRDefault="00FB71A0" w14:paraId="4AAB2B28" w14:textId="77777777">
            <w:pPr>
              <w:pStyle w:val="BodyText"/>
              <w:rPr>
                <w:rFonts w:cs="Arial" w:asciiTheme="minorHAnsi" w:hAnsiTheme="minorHAnsi"/>
                <w:sz w:val="20"/>
              </w:rPr>
            </w:pPr>
            <w:r w:rsidRPr="00717D91">
              <w:rPr>
                <w:rFonts w:cs="Arial" w:asciiTheme="minorHAnsi" w:hAnsiTheme="minorHAnsi"/>
                <w:sz w:val="20"/>
              </w:rPr>
              <w:t>Oral</w:t>
            </w:r>
          </w:p>
        </w:tc>
      </w:tr>
      <w:tr w:rsidRPr="003A7895" w:rsidR="00FB71A0" w:rsidTr="008D48AE" w14:paraId="40E3123F" w14:textId="77777777">
        <w:trPr>
          <w:trHeight w:val="93"/>
        </w:trPr>
        <w:tc>
          <w:tcPr>
            <w:tcW w:w="2410" w:type="dxa"/>
          </w:tcPr>
          <w:p w:rsidRPr="00B53E9B" w:rsidR="00FB71A0" w:rsidP="00131848" w:rsidRDefault="00FB71A0" w14:paraId="545A8453"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542" w:type="dxa"/>
          </w:tcPr>
          <w:p w:rsidRPr="00717D91" w:rsidR="00FB71A0" w:rsidP="00131848" w:rsidRDefault="00FB71A0" w14:paraId="2F934C4E" w14:textId="77777777">
            <w:pPr>
              <w:pStyle w:val="BodyText"/>
              <w:rPr>
                <w:rFonts w:cs="Arial" w:asciiTheme="minorHAnsi" w:hAnsiTheme="minorHAnsi"/>
                <w:sz w:val="20"/>
              </w:rPr>
            </w:pPr>
            <w:r>
              <w:rPr>
                <w:rFonts w:cs="Arial" w:asciiTheme="minorHAnsi" w:hAnsiTheme="minorHAnsi"/>
                <w:sz w:val="20"/>
              </w:rPr>
              <w:t>Oral suspension.</w:t>
            </w:r>
          </w:p>
        </w:tc>
      </w:tr>
      <w:tr w:rsidRPr="003A7895" w:rsidR="00FB71A0" w:rsidTr="008D48AE" w14:paraId="363BCC8B" w14:textId="77777777">
        <w:trPr>
          <w:trHeight w:val="224"/>
        </w:trPr>
        <w:tc>
          <w:tcPr>
            <w:tcW w:w="2410" w:type="dxa"/>
          </w:tcPr>
          <w:p w:rsidRPr="00B53E9B" w:rsidR="00FB71A0" w:rsidP="00131848" w:rsidRDefault="00FB71A0" w14:paraId="623FC06B" w14:textId="77777777">
            <w:pPr>
              <w:pStyle w:val="BodyText"/>
              <w:rPr>
                <w:rFonts w:cs="Arial"/>
                <w:b/>
                <w:bCs/>
                <w:sz w:val="20"/>
              </w:rPr>
            </w:pPr>
            <w:r w:rsidRPr="00B53E9B">
              <w:rPr>
                <w:rFonts w:cs="Arial"/>
                <w:b/>
                <w:bCs/>
                <w:sz w:val="20"/>
              </w:rPr>
              <w:t xml:space="preserve">Administration </w:t>
            </w:r>
          </w:p>
        </w:tc>
        <w:tc>
          <w:tcPr>
            <w:tcW w:w="7542" w:type="dxa"/>
          </w:tcPr>
          <w:p w:rsidRPr="00717D91" w:rsidR="00FB71A0" w:rsidP="00131848" w:rsidRDefault="00FB71A0" w14:paraId="42C5B84A" w14:textId="77777777">
            <w:pPr>
              <w:pStyle w:val="BodyText"/>
              <w:rPr>
                <w:rFonts w:cs="Arial" w:asciiTheme="minorHAnsi" w:hAnsiTheme="minorHAnsi"/>
                <w:sz w:val="20"/>
              </w:rPr>
            </w:pPr>
            <w:r>
              <w:rPr>
                <w:rFonts w:cs="Arial" w:asciiTheme="minorHAnsi" w:hAnsiTheme="minorHAnsi"/>
                <w:sz w:val="20"/>
              </w:rPr>
              <w:t xml:space="preserve">Administer undiluted </w:t>
            </w:r>
            <w:r w:rsidRPr="00717D91">
              <w:rPr>
                <w:rFonts w:cs="Arial" w:asciiTheme="minorHAnsi" w:hAnsiTheme="minorHAnsi"/>
                <w:sz w:val="20"/>
              </w:rPr>
              <w:t>with feeds.</w:t>
            </w:r>
          </w:p>
        </w:tc>
      </w:tr>
      <w:tr w:rsidRPr="003A7895" w:rsidR="00FB71A0" w:rsidTr="008D48AE" w14:paraId="5ED7A98E" w14:textId="77777777">
        <w:trPr>
          <w:trHeight w:val="215"/>
        </w:trPr>
        <w:tc>
          <w:tcPr>
            <w:tcW w:w="2410" w:type="dxa"/>
          </w:tcPr>
          <w:p w:rsidRPr="00B53E9B" w:rsidR="00FB71A0" w:rsidP="00131848" w:rsidRDefault="00FB71A0" w14:paraId="2F22CC49" w14:textId="77777777">
            <w:pPr>
              <w:pStyle w:val="BodyText"/>
              <w:rPr>
                <w:rFonts w:cs="Arial"/>
                <w:b/>
                <w:bCs/>
                <w:sz w:val="20"/>
              </w:rPr>
            </w:pPr>
            <w:r w:rsidRPr="00B53E9B">
              <w:rPr>
                <w:rFonts w:cs="Arial"/>
                <w:b/>
                <w:bCs/>
                <w:sz w:val="20"/>
              </w:rPr>
              <w:t>Monitoring</w:t>
            </w:r>
          </w:p>
        </w:tc>
        <w:tc>
          <w:tcPr>
            <w:tcW w:w="7542" w:type="dxa"/>
          </w:tcPr>
          <w:p w:rsidRPr="00717D91" w:rsidR="00FB71A0" w:rsidP="00131848" w:rsidRDefault="00FB71A0" w14:paraId="6503D38D" w14:textId="77777777">
            <w:pPr>
              <w:pStyle w:val="BodyText"/>
              <w:rPr>
                <w:rFonts w:cs="Arial" w:asciiTheme="minorHAnsi" w:hAnsiTheme="minorHAnsi"/>
                <w:sz w:val="20"/>
              </w:rPr>
            </w:pPr>
            <w:r w:rsidRPr="00717D91">
              <w:rPr>
                <w:rFonts w:cs="Arial" w:asciiTheme="minorHAnsi" w:hAnsiTheme="minorHAnsi"/>
                <w:sz w:val="20"/>
              </w:rPr>
              <w:t xml:space="preserve">Serum potassium at regular intervals. </w:t>
            </w:r>
          </w:p>
        </w:tc>
      </w:tr>
      <w:tr w:rsidRPr="003A7895" w:rsidR="00FB71A0" w:rsidTr="008D48AE" w14:paraId="28F9EB41" w14:textId="77777777">
        <w:trPr>
          <w:trHeight w:val="342"/>
        </w:trPr>
        <w:tc>
          <w:tcPr>
            <w:tcW w:w="2410" w:type="dxa"/>
          </w:tcPr>
          <w:p w:rsidRPr="00B53E9B" w:rsidR="00FB71A0" w:rsidP="00131848" w:rsidRDefault="00FB71A0" w14:paraId="1290848E" w14:textId="77777777">
            <w:pPr>
              <w:pStyle w:val="BodyText"/>
              <w:rPr>
                <w:rFonts w:cs="Arial"/>
                <w:b/>
                <w:bCs/>
                <w:sz w:val="20"/>
              </w:rPr>
            </w:pPr>
            <w:r w:rsidRPr="00B53E9B">
              <w:rPr>
                <w:rFonts w:cs="Arial"/>
                <w:b/>
                <w:bCs/>
                <w:sz w:val="20"/>
              </w:rPr>
              <w:t>Contraindications</w:t>
            </w:r>
          </w:p>
        </w:tc>
        <w:tc>
          <w:tcPr>
            <w:tcW w:w="7542" w:type="dxa"/>
          </w:tcPr>
          <w:p w:rsidR="00FB71A0" w:rsidP="00131848" w:rsidRDefault="00FB71A0" w14:paraId="4D39F881" w14:textId="77777777">
            <w:pPr>
              <w:pStyle w:val="BodyText"/>
              <w:rPr>
                <w:rFonts w:cs="Arial" w:asciiTheme="minorHAnsi" w:hAnsiTheme="minorHAnsi"/>
                <w:sz w:val="20"/>
              </w:rPr>
            </w:pPr>
            <w:r w:rsidRPr="00717D91">
              <w:rPr>
                <w:rFonts w:cs="Arial" w:asciiTheme="minorHAnsi" w:hAnsiTheme="minorHAnsi"/>
                <w:sz w:val="20"/>
              </w:rPr>
              <w:t>Hyperkalaemia</w:t>
            </w:r>
            <w:r>
              <w:rPr>
                <w:rFonts w:cs="Arial" w:asciiTheme="minorHAnsi" w:hAnsiTheme="minorHAnsi"/>
                <w:sz w:val="20"/>
              </w:rPr>
              <w:t>.</w:t>
            </w:r>
          </w:p>
          <w:p w:rsidR="00FB71A0" w:rsidP="00131848" w:rsidRDefault="00FB71A0" w14:paraId="43FF3A30" w14:textId="77777777">
            <w:pPr>
              <w:pStyle w:val="BodyText"/>
              <w:rPr>
                <w:rFonts w:cs="Arial" w:asciiTheme="minorHAnsi" w:hAnsiTheme="minorHAnsi"/>
                <w:sz w:val="20"/>
              </w:rPr>
            </w:pPr>
            <w:r>
              <w:rPr>
                <w:rFonts w:cs="Arial" w:asciiTheme="minorHAnsi" w:hAnsiTheme="minorHAnsi"/>
                <w:sz w:val="20"/>
              </w:rPr>
              <w:t>S</w:t>
            </w:r>
            <w:r w:rsidRPr="00717D91">
              <w:rPr>
                <w:rFonts w:cs="Arial" w:asciiTheme="minorHAnsi" w:hAnsiTheme="minorHAnsi"/>
                <w:sz w:val="20"/>
              </w:rPr>
              <w:t>ignificant renal impairment</w:t>
            </w:r>
            <w:r>
              <w:rPr>
                <w:rFonts w:cs="Arial" w:asciiTheme="minorHAnsi" w:hAnsiTheme="minorHAnsi"/>
                <w:sz w:val="20"/>
              </w:rPr>
              <w:t xml:space="preserve">. </w:t>
            </w:r>
          </w:p>
          <w:p w:rsidR="00FB71A0" w:rsidP="00131848" w:rsidRDefault="00FB71A0" w14:paraId="31682EA9" w14:textId="77777777">
            <w:pPr>
              <w:pStyle w:val="BodyText"/>
              <w:rPr>
                <w:rFonts w:cs="Arial" w:asciiTheme="minorHAnsi" w:hAnsiTheme="minorHAnsi"/>
                <w:sz w:val="20"/>
              </w:rPr>
            </w:pPr>
            <w:r>
              <w:rPr>
                <w:rFonts w:cs="Arial" w:asciiTheme="minorHAnsi" w:hAnsiTheme="minorHAnsi"/>
                <w:sz w:val="20"/>
              </w:rPr>
              <w:t>Anuria.</w:t>
            </w:r>
          </w:p>
          <w:p w:rsidRPr="00717D91" w:rsidR="00FB71A0" w:rsidP="00131848" w:rsidRDefault="00FB71A0" w14:paraId="04D2E077" w14:textId="77777777">
            <w:pPr>
              <w:pStyle w:val="BodyText"/>
              <w:rPr>
                <w:rFonts w:cs="Arial" w:asciiTheme="minorHAnsi" w:hAnsiTheme="minorHAnsi"/>
                <w:sz w:val="20"/>
              </w:rPr>
            </w:pPr>
            <w:r>
              <w:rPr>
                <w:rFonts w:cs="Arial" w:asciiTheme="minorHAnsi" w:hAnsiTheme="minorHAnsi"/>
                <w:sz w:val="20"/>
              </w:rPr>
              <w:t>A</w:t>
            </w:r>
            <w:r w:rsidRPr="00717D91">
              <w:rPr>
                <w:rFonts w:cs="Arial" w:asciiTheme="minorHAnsi" w:hAnsiTheme="minorHAnsi"/>
                <w:sz w:val="20"/>
              </w:rPr>
              <w:t>drenal insufficiency.</w:t>
            </w:r>
          </w:p>
        </w:tc>
      </w:tr>
      <w:tr w:rsidRPr="003A7895" w:rsidR="00FB71A0" w:rsidTr="008D48AE" w14:paraId="6B78B803" w14:textId="77777777">
        <w:tc>
          <w:tcPr>
            <w:tcW w:w="2410" w:type="dxa"/>
          </w:tcPr>
          <w:p w:rsidRPr="00B53E9B" w:rsidR="00FB71A0" w:rsidP="00131848" w:rsidRDefault="00FB71A0" w14:paraId="16C2F508" w14:textId="77777777">
            <w:pPr>
              <w:pStyle w:val="BodyText"/>
              <w:rPr>
                <w:rFonts w:cs="Arial"/>
                <w:b/>
                <w:bCs/>
                <w:sz w:val="20"/>
              </w:rPr>
            </w:pPr>
            <w:r w:rsidRPr="00B53E9B">
              <w:rPr>
                <w:sz w:val="20"/>
              </w:rPr>
              <w:br w:type="page"/>
            </w:r>
            <w:r w:rsidRPr="00B53E9B">
              <w:rPr>
                <w:rFonts w:cs="Arial"/>
                <w:b/>
                <w:bCs/>
                <w:sz w:val="20"/>
              </w:rPr>
              <w:t>Precautions</w:t>
            </w:r>
          </w:p>
        </w:tc>
        <w:tc>
          <w:tcPr>
            <w:tcW w:w="7542" w:type="dxa"/>
          </w:tcPr>
          <w:p w:rsidRPr="00717D91" w:rsidR="00FB71A0" w:rsidP="00131848" w:rsidRDefault="00FB71A0" w14:paraId="503EF445" w14:textId="77777777">
            <w:pPr>
              <w:pStyle w:val="BodyText"/>
              <w:rPr>
                <w:rFonts w:cs="Arial" w:asciiTheme="minorHAnsi" w:hAnsiTheme="minorHAnsi"/>
                <w:sz w:val="20"/>
              </w:rPr>
            </w:pPr>
            <w:r w:rsidRPr="00717D91">
              <w:rPr>
                <w:rFonts w:cs="Arial" w:asciiTheme="minorHAnsi" w:hAnsiTheme="minorHAnsi"/>
                <w:sz w:val="20"/>
              </w:rPr>
              <w:t xml:space="preserve">Use with caution in infants with renal </w:t>
            </w:r>
            <w:r>
              <w:rPr>
                <w:rFonts w:cs="Arial" w:asciiTheme="minorHAnsi" w:hAnsiTheme="minorHAnsi"/>
                <w:sz w:val="20"/>
              </w:rPr>
              <w:t>or</w:t>
            </w:r>
            <w:r w:rsidRPr="00717D91">
              <w:rPr>
                <w:rFonts w:cs="Arial" w:asciiTheme="minorHAnsi" w:hAnsiTheme="minorHAnsi"/>
                <w:sz w:val="20"/>
              </w:rPr>
              <w:t xml:space="preserve"> hepatic impairment. </w:t>
            </w:r>
          </w:p>
          <w:p w:rsidRPr="00717D91" w:rsidR="00FB71A0" w:rsidP="00131848" w:rsidRDefault="00FB71A0" w14:paraId="1A2DD608" w14:textId="77777777">
            <w:pPr>
              <w:pStyle w:val="BodyText"/>
              <w:rPr>
                <w:rFonts w:cs="Arial" w:asciiTheme="minorHAnsi" w:hAnsiTheme="minorHAnsi"/>
                <w:sz w:val="20"/>
              </w:rPr>
            </w:pPr>
            <w:r w:rsidRPr="00717D91">
              <w:rPr>
                <w:rFonts w:cs="Arial" w:asciiTheme="minorHAnsi" w:hAnsiTheme="minorHAnsi"/>
                <w:sz w:val="20"/>
              </w:rPr>
              <w:t>Monitor more frequently if infant</w:t>
            </w:r>
            <w:r>
              <w:rPr>
                <w:rFonts w:cs="Arial" w:asciiTheme="minorHAnsi" w:hAnsiTheme="minorHAnsi"/>
                <w:sz w:val="20"/>
              </w:rPr>
              <w:t xml:space="preserve"> is</w:t>
            </w:r>
            <w:r w:rsidRPr="00717D91">
              <w:rPr>
                <w:rFonts w:cs="Arial" w:asciiTheme="minorHAnsi" w:hAnsiTheme="minorHAnsi"/>
                <w:sz w:val="20"/>
              </w:rPr>
              <w:t xml:space="preserve"> also given pota</w:t>
            </w:r>
            <w:r>
              <w:rPr>
                <w:rFonts w:cs="Arial" w:asciiTheme="minorHAnsi" w:hAnsiTheme="minorHAnsi"/>
                <w:sz w:val="20"/>
              </w:rPr>
              <w:t>ssium.</w:t>
            </w:r>
          </w:p>
        </w:tc>
      </w:tr>
      <w:tr w:rsidRPr="003A7895" w:rsidR="00FB71A0" w:rsidTr="008D48AE" w14:paraId="24D516A4" w14:textId="77777777">
        <w:trPr>
          <w:trHeight w:val="70"/>
        </w:trPr>
        <w:tc>
          <w:tcPr>
            <w:tcW w:w="2410" w:type="dxa"/>
          </w:tcPr>
          <w:p w:rsidRPr="00B53E9B" w:rsidR="00FB71A0" w:rsidP="00131848" w:rsidRDefault="00FB71A0" w14:paraId="11383365"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542" w:type="dxa"/>
          </w:tcPr>
          <w:p w:rsidRPr="00717D91" w:rsidR="00FB71A0" w:rsidP="00131848" w:rsidRDefault="00FB71A0" w14:paraId="3418572D" w14:textId="77777777">
            <w:pPr>
              <w:pStyle w:val="BodyText"/>
              <w:rPr>
                <w:rFonts w:cs="Arial" w:asciiTheme="minorHAnsi" w:hAnsiTheme="minorHAnsi"/>
                <w:sz w:val="20"/>
              </w:rPr>
            </w:pPr>
            <w:r>
              <w:rPr>
                <w:rFonts w:cs="Arial" w:asciiTheme="minorHAnsi" w:hAnsiTheme="minorHAnsi"/>
                <w:sz w:val="20"/>
              </w:rPr>
              <w:t xml:space="preserve">Spironolactone increases the effects of ACE inhibitors (leading to hyperkalemia), digoxin and sotalol. </w:t>
            </w:r>
          </w:p>
        </w:tc>
      </w:tr>
      <w:tr w:rsidRPr="003A7895" w:rsidR="00FB71A0" w:rsidTr="008D48AE" w14:paraId="3BE4D4A4" w14:textId="77777777">
        <w:trPr>
          <w:trHeight w:val="332"/>
        </w:trPr>
        <w:tc>
          <w:tcPr>
            <w:tcW w:w="2410" w:type="dxa"/>
          </w:tcPr>
          <w:p w:rsidRPr="00B53E9B" w:rsidR="00FB71A0" w:rsidP="00131848" w:rsidRDefault="00FB71A0" w14:paraId="1DD25B63"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542" w:type="dxa"/>
          </w:tcPr>
          <w:p w:rsidRPr="00717D91" w:rsidR="00FB71A0" w:rsidP="00131848" w:rsidRDefault="00FB71A0" w14:paraId="2A089538" w14:textId="77777777">
            <w:pPr>
              <w:pStyle w:val="BodyText"/>
              <w:rPr>
                <w:rFonts w:cs="Arial" w:asciiTheme="minorHAnsi" w:hAnsiTheme="minorHAnsi"/>
                <w:sz w:val="20"/>
              </w:rPr>
            </w:pPr>
            <w:r w:rsidRPr="00717D91">
              <w:rPr>
                <w:rFonts w:cs="Arial" w:asciiTheme="minorHAnsi" w:hAnsiTheme="minorHAnsi"/>
                <w:sz w:val="20"/>
              </w:rPr>
              <w:t>Hyperkalaemia and metabolic acidosis.</w:t>
            </w:r>
          </w:p>
          <w:p w:rsidRPr="00717D91" w:rsidR="00FB71A0" w:rsidP="00131848" w:rsidRDefault="00FB71A0" w14:paraId="26515E49" w14:textId="77777777">
            <w:pPr>
              <w:pStyle w:val="BodyText"/>
              <w:rPr>
                <w:rFonts w:cs="Arial" w:asciiTheme="minorHAnsi" w:hAnsiTheme="minorHAnsi"/>
                <w:sz w:val="20"/>
              </w:rPr>
            </w:pPr>
            <w:r>
              <w:rPr>
                <w:rFonts w:cs="Arial" w:asciiTheme="minorHAnsi" w:hAnsiTheme="minorHAnsi"/>
                <w:sz w:val="20"/>
              </w:rPr>
              <w:t>Antia</w:t>
            </w:r>
            <w:r w:rsidRPr="00717D91">
              <w:rPr>
                <w:rFonts w:cs="Arial" w:asciiTheme="minorHAnsi" w:hAnsiTheme="minorHAnsi"/>
                <w:sz w:val="20"/>
              </w:rPr>
              <w:t xml:space="preserve">ndrogenic effects include reduced hirsutism and gynecomastia. </w:t>
            </w:r>
          </w:p>
          <w:p w:rsidRPr="00717D91" w:rsidR="00FB71A0" w:rsidP="00131848" w:rsidRDefault="00FB71A0" w14:paraId="1A9AE14D" w14:textId="77777777">
            <w:pPr>
              <w:pStyle w:val="BodyText"/>
              <w:rPr>
                <w:rFonts w:cs="Arial" w:asciiTheme="minorHAnsi" w:hAnsiTheme="minorHAnsi"/>
                <w:sz w:val="20"/>
              </w:rPr>
            </w:pPr>
            <w:r w:rsidRPr="00717D91">
              <w:rPr>
                <w:rFonts w:cs="Arial" w:asciiTheme="minorHAnsi" w:hAnsiTheme="minorHAnsi"/>
                <w:sz w:val="20"/>
              </w:rPr>
              <w:t xml:space="preserve">There is one case report of an ovarian cyst in a neonate on spironolactone. </w:t>
            </w:r>
          </w:p>
          <w:p w:rsidRPr="00717D91" w:rsidR="00FB71A0" w:rsidP="00131848" w:rsidRDefault="00FB71A0" w14:paraId="42C20517" w14:textId="77777777">
            <w:pPr>
              <w:pStyle w:val="BodyText"/>
              <w:rPr>
                <w:rFonts w:cs="Arial" w:asciiTheme="minorHAnsi" w:hAnsiTheme="minorHAnsi"/>
                <w:sz w:val="20"/>
              </w:rPr>
            </w:pPr>
            <w:r w:rsidRPr="00717D91">
              <w:rPr>
                <w:rFonts w:cs="Arial" w:asciiTheme="minorHAnsi" w:hAnsiTheme="minorHAnsi"/>
                <w:sz w:val="20"/>
              </w:rPr>
              <w:t>Spironolactone interferes with 17-hydroxyprogesterone measurement, which is used to screen neonates for congenital adrenal hyperplasia.</w:t>
            </w:r>
          </w:p>
          <w:p w:rsidRPr="00717D91" w:rsidR="00FB71A0" w:rsidP="00131848" w:rsidRDefault="00FB71A0" w14:paraId="284A0D16" w14:textId="77777777">
            <w:pPr>
              <w:pStyle w:val="BodyText"/>
              <w:rPr>
                <w:rFonts w:cs="Arial" w:asciiTheme="minorHAnsi" w:hAnsiTheme="minorHAnsi"/>
                <w:sz w:val="20"/>
              </w:rPr>
            </w:pPr>
            <w:r w:rsidRPr="00717D91">
              <w:rPr>
                <w:rFonts w:cs="Arial" w:asciiTheme="minorHAnsi" w:hAnsiTheme="minorHAnsi"/>
                <w:sz w:val="20"/>
              </w:rPr>
              <w:t xml:space="preserve">Reduces clearance of digoxin. </w:t>
            </w:r>
          </w:p>
        </w:tc>
      </w:tr>
      <w:tr w:rsidRPr="003A7895" w:rsidR="00FB71A0" w:rsidTr="008D48AE" w14:paraId="34C0622F" w14:textId="77777777">
        <w:trPr>
          <w:trHeight w:val="180"/>
        </w:trPr>
        <w:tc>
          <w:tcPr>
            <w:tcW w:w="2410" w:type="dxa"/>
          </w:tcPr>
          <w:p w:rsidRPr="00B53E9B" w:rsidR="00FB71A0" w:rsidP="00131848" w:rsidRDefault="00FB71A0" w14:paraId="54BE74A3" w14:textId="77777777">
            <w:pPr>
              <w:pStyle w:val="BodyText"/>
              <w:rPr>
                <w:rFonts w:cs="Arial"/>
                <w:b/>
                <w:bCs/>
                <w:sz w:val="20"/>
              </w:rPr>
            </w:pPr>
            <w:r w:rsidRPr="00B53E9B">
              <w:rPr>
                <w:rFonts w:cs="Arial"/>
                <w:b/>
                <w:bCs/>
                <w:sz w:val="20"/>
              </w:rPr>
              <w:t>Compatibility</w:t>
            </w:r>
          </w:p>
        </w:tc>
        <w:tc>
          <w:tcPr>
            <w:tcW w:w="7542" w:type="dxa"/>
          </w:tcPr>
          <w:p w:rsidRPr="00717D91" w:rsidR="00FB71A0" w:rsidP="00131848" w:rsidRDefault="00FB71A0" w14:paraId="298D81FC" w14:textId="77777777">
            <w:pPr>
              <w:pStyle w:val="BodyText"/>
              <w:rPr>
                <w:rFonts w:asciiTheme="minorHAnsi" w:hAnsiTheme="minorHAnsi"/>
                <w:sz w:val="20"/>
              </w:rPr>
            </w:pPr>
            <w:r>
              <w:rPr>
                <w:rFonts w:asciiTheme="minorHAnsi" w:hAnsiTheme="minorHAnsi"/>
                <w:sz w:val="20"/>
              </w:rPr>
              <w:t>N/A</w:t>
            </w:r>
          </w:p>
        </w:tc>
      </w:tr>
      <w:tr w:rsidRPr="003A7895" w:rsidR="00FB71A0" w:rsidTr="008D48AE" w14:paraId="17DCC60B" w14:textId="77777777">
        <w:trPr>
          <w:trHeight w:val="230"/>
        </w:trPr>
        <w:tc>
          <w:tcPr>
            <w:tcW w:w="2410" w:type="dxa"/>
          </w:tcPr>
          <w:p w:rsidRPr="00B53E9B" w:rsidR="00FB71A0" w:rsidP="00131848" w:rsidRDefault="00FB71A0" w14:paraId="53838368" w14:textId="77777777">
            <w:pPr>
              <w:pStyle w:val="BodyText"/>
              <w:rPr>
                <w:rFonts w:cs="Arial"/>
                <w:b/>
                <w:bCs/>
                <w:sz w:val="20"/>
              </w:rPr>
            </w:pPr>
            <w:r w:rsidRPr="00B53E9B">
              <w:rPr>
                <w:rFonts w:cs="Arial"/>
                <w:b/>
                <w:bCs/>
                <w:sz w:val="20"/>
              </w:rPr>
              <w:t>Incompatibility</w:t>
            </w:r>
          </w:p>
        </w:tc>
        <w:tc>
          <w:tcPr>
            <w:tcW w:w="7542" w:type="dxa"/>
          </w:tcPr>
          <w:p w:rsidRPr="00717D91" w:rsidR="00FB71A0" w:rsidP="00131848" w:rsidRDefault="00FB71A0" w14:paraId="775520EB" w14:textId="77777777">
            <w:pPr>
              <w:pStyle w:val="BodyText"/>
              <w:rPr>
                <w:rFonts w:cs="Arial" w:asciiTheme="minorHAnsi" w:hAnsiTheme="minorHAnsi"/>
                <w:sz w:val="20"/>
              </w:rPr>
            </w:pPr>
            <w:r>
              <w:rPr>
                <w:rFonts w:asciiTheme="minorHAnsi" w:hAnsiTheme="minorHAnsi"/>
                <w:sz w:val="20"/>
              </w:rPr>
              <w:t>N/A</w:t>
            </w:r>
          </w:p>
        </w:tc>
      </w:tr>
      <w:tr w:rsidRPr="003A7895" w:rsidR="00FB71A0" w:rsidTr="008D48AE" w14:paraId="529663EA" w14:textId="77777777">
        <w:trPr>
          <w:trHeight w:val="79"/>
        </w:trPr>
        <w:tc>
          <w:tcPr>
            <w:tcW w:w="2410" w:type="dxa"/>
          </w:tcPr>
          <w:p w:rsidRPr="00B53E9B" w:rsidR="00FB71A0" w:rsidP="00131848" w:rsidRDefault="00FB71A0" w14:paraId="0BA6526A" w14:textId="77777777">
            <w:pPr>
              <w:pStyle w:val="BodyText"/>
              <w:rPr>
                <w:rFonts w:cs="Arial"/>
                <w:b/>
                <w:bCs/>
                <w:sz w:val="20"/>
              </w:rPr>
            </w:pPr>
            <w:r w:rsidRPr="00B53E9B">
              <w:rPr>
                <w:rFonts w:cs="Arial"/>
                <w:b/>
                <w:bCs/>
                <w:sz w:val="20"/>
              </w:rPr>
              <w:t>Stability</w:t>
            </w:r>
          </w:p>
        </w:tc>
        <w:tc>
          <w:tcPr>
            <w:tcW w:w="7542" w:type="dxa"/>
          </w:tcPr>
          <w:p w:rsidRPr="00717D91" w:rsidR="00FB71A0" w:rsidP="00131848" w:rsidRDefault="00FB71A0" w14:paraId="06B46BC0" w14:textId="77777777">
            <w:pPr>
              <w:rPr>
                <w:rFonts w:cs="Arial" w:asciiTheme="minorHAnsi" w:hAnsiTheme="minorHAnsi"/>
                <w:sz w:val="20"/>
              </w:rPr>
            </w:pPr>
            <w:r w:rsidRPr="00717D91">
              <w:rPr>
                <w:rFonts w:cs="Arial" w:asciiTheme="minorHAnsi" w:hAnsiTheme="minorHAnsi"/>
                <w:sz w:val="20"/>
              </w:rPr>
              <w:t xml:space="preserve">Biochemical stability </w:t>
            </w:r>
            <w:r>
              <w:rPr>
                <w:rFonts w:cs="Arial" w:asciiTheme="minorHAnsi" w:hAnsiTheme="minorHAnsi"/>
                <w:sz w:val="20"/>
              </w:rPr>
              <w:t xml:space="preserve">when </w:t>
            </w:r>
            <w:r w:rsidRPr="00717D91">
              <w:rPr>
                <w:rFonts w:cs="Arial" w:asciiTheme="minorHAnsi" w:hAnsiTheme="minorHAnsi"/>
                <w:sz w:val="20"/>
              </w:rPr>
              <w:t>stored in solution for 1 month.</w:t>
            </w:r>
            <w:r w:rsidRPr="00D55213">
              <w:rPr>
                <w:rFonts w:cs="Arial" w:asciiTheme="minorHAnsi" w:hAnsiTheme="minorHAnsi"/>
                <w:sz w:val="20"/>
                <w:vertAlign w:val="superscript"/>
              </w:rPr>
              <w:t>1</w:t>
            </w:r>
            <w:r w:rsidRPr="00717D91">
              <w:rPr>
                <w:rFonts w:cs="Arial" w:asciiTheme="minorHAnsi" w:hAnsiTheme="minorHAnsi"/>
                <w:sz w:val="20"/>
              </w:rPr>
              <w:t xml:space="preserve"> </w:t>
            </w:r>
          </w:p>
        </w:tc>
      </w:tr>
      <w:tr w:rsidRPr="003A7895" w:rsidR="00FB71A0" w:rsidTr="008D48AE" w14:paraId="5A592470" w14:textId="77777777">
        <w:trPr>
          <w:trHeight w:val="70"/>
        </w:trPr>
        <w:tc>
          <w:tcPr>
            <w:tcW w:w="2410" w:type="dxa"/>
          </w:tcPr>
          <w:p w:rsidRPr="00B53E9B" w:rsidR="00FB71A0" w:rsidP="00131848" w:rsidRDefault="00FB71A0" w14:paraId="6E83E691" w14:textId="77777777">
            <w:pPr>
              <w:pStyle w:val="BodyText"/>
              <w:rPr>
                <w:rFonts w:cs="Arial"/>
                <w:b/>
                <w:bCs/>
                <w:sz w:val="20"/>
              </w:rPr>
            </w:pPr>
            <w:r w:rsidRPr="00B53E9B">
              <w:rPr>
                <w:rFonts w:cs="Arial"/>
                <w:b/>
                <w:bCs/>
                <w:sz w:val="20"/>
              </w:rPr>
              <w:t xml:space="preserve">Storage </w:t>
            </w:r>
          </w:p>
        </w:tc>
        <w:tc>
          <w:tcPr>
            <w:tcW w:w="7542" w:type="dxa"/>
          </w:tcPr>
          <w:p w:rsidRPr="00717D91" w:rsidR="00FB71A0" w:rsidP="00131848" w:rsidRDefault="00FB71A0" w14:paraId="55312B5B" w14:textId="77777777">
            <w:pPr>
              <w:pStyle w:val="BodyText"/>
              <w:rPr>
                <w:rFonts w:cs="Arial" w:asciiTheme="minorHAnsi" w:hAnsiTheme="minorHAnsi"/>
                <w:sz w:val="20"/>
              </w:rPr>
            </w:pPr>
            <w:r>
              <w:rPr>
                <w:rFonts w:cs="Arial" w:asciiTheme="minorHAnsi" w:hAnsiTheme="minorHAnsi"/>
                <w:sz w:val="20"/>
              </w:rPr>
              <w:t>Check with local pharmacy</w:t>
            </w:r>
            <w:r w:rsidRPr="00717D91">
              <w:rPr>
                <w:rFonts w:cs="Arial" w:asciiTheme="minorHAnsi" w:hAnsiTheme="minorHAnsi"/>
                <w:sz w:val="20"/>
              </w:rPr>
              <w:t>.</w:t>
            </w:r>
          </w:p>
        </w:tc>
      </w:tr>
      <w:tr w:rsidRPr="003A7895" w:rsidR="00FB71A0" w:rsidTr="008D48AE" w14:paraId="76442E34" w14:textId="77777777">
        <w:trPr>
          <w:trHeight w:val="70"/>
        </w:trPr>
        <w:tc>
          <w:tcPr>
            <w:tcW w:w="2410" w:type="dxa"/>
          </w:tcPr>
          <w:p w:rsidRPr="00B53E9B" w:rsidR="00FB71A0" w:rsidP="00131848" w:rsidRDefault="00FB71A0" w14:paraId="28D7C97C" w14:textId="77777777">
            <w:pPr>
              <w:pStyle w:val="BodyText"/>
              <w:rPr>
                <w:rFonts w:cs="Arial"/>
                <w:b/>
                <w:bCs/>
                <w:sz w:val="20"/>
              </w:rPr>
            </w:pPr>
            <w:r w:rsidRPr="00B53E9B">
              <w:rPr>
                <w:rFonts w:cs="Arial"/>
                <w:b/>
                <w:bCs/>
                <w:sz w:val="20"/>
              </w:rPr>
              <w:t>Excipients</w:t>
            </w:r>
          </w:p>
        </w:tc>
        <w:tc>
          <w:tcPr>
            <w:tcW w:w="7542" w:type="dxa"/>
          </w:tcPr>
          <w:p w:rsidRPr="00026F20" w:rsidR="00FB71A0" w:rsidP="00131848" w:rsidRDefault="00FB71A0" w14:paraId="795969FE" w14:textId="77777777">
            <w:pPr>
              <w:pStyle w:val="BodyText"/>
              <w:rPr>
                <w:rFonts w:cs="Arial"/>
                <w:sz w:val="20"/>
              </w:rPr>
            </w:pPr>
          </w:p>
        </w:tc>
      </w:tr>
      <w:tr w:rsidRPr="003A7895" w:rsidR="00FB71A0" w:rsidTr="008D48AE" w14:paraId="577CE6F7" w14:textId="77777777">
        <w:trPr>
          <w:trHeight w:val="270"/>
        </w:trPr>
        <w:tc>
          <w:tcPr>
            <w:tcW w:w="2410" w:type="dxa"/>
          </w:tcPr>
          <w:p w:rsidRPr="00B53E9B" w:rsidR="00FB71A0" w:rsidP="00131848" w:rsidRDefault="00FB71A0" w14:paraId="30AD87B0"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542" w:type="dxa"/>
          </w:tcPr>
          <w:p w:rsidRPr="00717D91" w:rsidR="00FB71A0" w:rsidP="00131848" w:rsidRDefault="00FB71A0" w14:paraId="0C3B3C17" w14:textId="77777777">
            <w:pPr>
              <w:pStyle w:val="BodyText"/>
              <w:rPr>
                <w:rFonts w:cs="Arial" w:asciiTheme="minorHAnsi" w:hAnsiTheme="minorHAnsi"/>
                <w:sz w:val="20"/>
              </w:rPr>
            </w:pPr>
            <w:r w:rsidRPr="00717D91">
              <w:rPr>
                <w:rFonts w:cs="Arial" w:asciiTheme="minorHAnsi" w:hAnsiTheme="minorHAnsi"/>
                <w:sz w:val="20"/>
              </w:rPr>
              <w:t>Pharmacokinetics not studied in infants. Absorption increased by food. Metabolised to active metabolites 7α-methylspironolactone and canrenone which are extensively bound to plasma protein at therapeutic concentrations and have extended half-lives.</w:t>
            </w:r>
          </w:p>
        </w:tc>
      </w:tr>
      <w:tr w:rsidRPr="003A7895" w:rsidR="00FB71A0" w:rsidTr="008D48AE" w14:paraId="7DD24061" w14:textId="77777777">
        <w:trPr>
          <w:trHeight w:val="280"/>
        </w:trPr>
        <w:tc>
          <w:tcPr>
            <w:tcW w:w="2410" w:type="dxa"/>
          </w:tcPr>
          <w:p w:rsidRPr="00B53E9B" w:rsidR="00FB71A0" w:rsidP="00131848" w:rsidRDefault="00FB71A0" w14:paraId="6DB57CCD" w14:textId="77777777">
            <w:pPr>
              <w:pStyle w:val="BodyText"/>
              <w:rPr>
                <w:rFonts w:cs="Arial"/>
                <w:b/>
                <w:bCs/>
                <w:sz w:val="20"/>
              </w:rPr>
            </w:pPr>
            <w:r w:rsidRPr="00B53E9B">
              <w:rPr>
                <w:rFonts w:cs="Arial"/>
                <w:b/>
                <w:bCs/>
                <w:sz w:val="20"/>
              </w:rPr>
              <w:lastRenderedPageBreak/>
              <w:t>Evidence</w:t>
            </w:r>
          </w:p>
        </w:tc>
        <w:tc>
          <w:tcPr>
            <w:tcW w:w="7542" w:type="dxa"/>
          </w:tcPr>
          <w:p w:rsidRPr="00DF39B4" w:rsidR="00FB71A0" w:rsidP="00131848" w:rsidRDefault="00FB71A0" w14:paraId="6681B3F7" w14:textId="77777777">
            <w:pPr>
              <w:pStyle w:val="BodyText"/>
              <w:tabs>
                <w:tab w:val="left" w:pos="1168"/>
              </w:tabs>
              <w:rPr>
                <w:rFonts w:cs="Arial" w:asciiTheme="minorHAnsi" w:hAnsiTheme="minorHAnsi"/>
                <w:b/>
                <w:sz w:val="16"/>
                <w:szCs w:val="16"/>
              </w:rPr>
            </w:pPr>
            <w:r w:rsidRPr="00DF39B4">
              <w:rPr>
                <w:rFonts w:cs="Arial" w:asciiTheme="minorHAnsi" w:hAnsiTheme="minorHAnsi"/>
                <w:b/>
                <w:sz w:val="16"/>
                <w:szCs w:val="16"/>
              </w:rPr>
              <w:t xml:space="preserve">Efficacy: </w:t>
            </w:r>
          </w:p>
          <w:p w:rsidRPr="00DF39B4" w:rsidR="00FB71A0" w:rsidP="00131848" w:rsidRDefault="00FB71A0" w14:paraId="18E1EF5D" w14:textId="77777777">
            <w:pPr>
              <w:pStyle w:val="BodyText"/>
              <w:tabs>
                <w:tab w:val="left" w:pos="1168"/>
              </w:tabs>
              <w:rPr>
                <w:rFonts w:cs="Arial" w:asciiTheme="minorHAnsi" w:hAnsiTheme="minorHAnsi"/>
                <w:sz w:val="16"/>
                <w:szCs w:val="16"/>
              </w:rPr>
            </w:pPr>
            <w:r w:rsidRPr="00DF39B4">
              <w:rPr>
                <w:rFonts w:cs="Arial" w:asciiTheme="minorHAnsi" w:hAnsiTheme="minorHAnsi"/>
                <w:b/>
                <w:sz w:val="16"/>
                <w:szCs w:val="16"/>
              </w:rPr>
              <w:t>In preterm infants &gt; 3 weeks of age with CLD</w:t>
            </w:r>
            <w:r w:rsidRPr="00DF39B4">
              <w:rPr>
                <w:rFonts w:cs="Arial" w:asciiTheme="minorHAnsi" w:hAnsiTheme="minorHAnsi"/>
                <w:sz w:val="16"/>
                <w:szCs w:val="16"/>
              </w:rPr>
              <w:t>: Acute and chronic administration of thiazide diuretic and spironolactone improved pulmonary mechanics.</w:t>
            </w:r>
            <w:r w:rsidRPr="00DF39B4">
              <w:rPr>
                <w:rFonts w:cs="Arial" w:asciiTheme="minorHAnsi" w:hAnsiTheme="minorHAnsi"/>
                <w:sz w:val="16"/>
                <w:szCs w:val="16"/>
                <w:vertAlign w:val="superscript"/>
              </w:rPr>
              <w:t>2</w:t>
            </w:r>
            <w:r w:rsidRPr="00DF39B4">
              <w:rPr>
                <w:rFonts w:cs="Arial" w:asciiTheme="minorHAnsi" w:hAnsiTheme="minorHAnsi"/>
                <w:sz w:val="16"/>
                <w:szCs w:val="16"/>
              </w:rPr>
              <w:t xml:space="preserve"> A single study showed thiazide and spironolactone decreased the risk of death in infants who did not have access to corticosteroids, bronchodilators or aminophylline.</w:t>
            </w:r>
            <w:r w:rsidRPr="00DF39B4">
              <w:rPr>
                <w:rFonts w:cs="Arial" w:asciiTheme="minorHAnsi" w:hAnsiTheme="minorHAnsi"/>
                <w:sz w:val="16"/>
                <w:szCs w:val="16"/>
                <w:vertAlign w:val="superscript"/>
              </w:rPr>
              <w:t>3</w:t>
            </w:r>
            <w:r w:rsidRPr="00DF39B4">
              <w:rPr>
                <w:rFonts w:cs="Arial" w:asciiTheme="minorHAnsi" w:hAnsiTheme="minorHAnsi"/>
                <w:sz w:val="16"/>
                <w:szCs w:val="16"/>
              </w:rPr>
              <w:t xml:space="preserve"> (LOE I, GOR C) Trials used spironolactone doses from 3 to 4 mg/kg/day. </w:t>
            </w:r>
          </w:p>
          <w:p w:rsidRPr="00DF39B4" w:rsidR="00FB71A0" w:rsidP="00131848" w:rsidRDefault="00FB71A0" w14:paraId="2EA87417" w14:textId="77777777">
            <w:pPr>
              <w:pStyle w:val="BodyText"/>
              <w:tabs>
                <w:tab w:val="left" w:pos="1168"/>
              </w:tabs>
              <w:rPr>
                <w:rFonts w:cs="Arial" w:asciiTheme="minorHAnsi" w:hAnsiTheme="minorHAnsi"/>
                <w:b/>
                <w:sz w:val="16"/>
                <w:szCs w:val="16"/>
              </w:rPr>
            </w:pPr>
            <w:r w:rsidRPr="00DF39B4">
              <w:rPr>
                <w:rFonts w:cs="Arial" w:asciiTheme="minorHAnsi" w:hAnsiTheme="minorHAnsi"/>
                <w:b/>
                <w:sz w:val="16"/>
                <w:szCs w:val="16"/>
              </w:rPr>
              <w:t xml:space="preserve">Heart failure: </w:t>
            </w:r>
            <w:r w:rsidRPr="00DF39B4">
              <w:rPr>
                <w:rFonts w:cs="Arial" w:asciiTheme="minorHAnsi" w:hAnsiTheme="minorHAnsi"/>
                <w:sz w:val="16"/>
                <w:szCs w:val="16"/>
              </w:rPr>
              <w:t>Spironolactone resulted in short-term improvement in heart failure secondary to congenital heart disease compared to potassium supplementation in infants treated with digoxin and a thiazide diuretic.</w:t>
            </w:r>
            <w:r w:rsidRPr="00DF39B4">
              <w:rPr>
                <w:rFonts w:cs="Arial" w:asciiTheme="minorHAnsi" w:hAnsiTheme="minorHAnsi"/>
                <w:sz w:val="16"/>
                <w:szCs w:val="16"/>
                <w:vertAlign w:val="superscript"/>
              </w:rPr>
              <w:t>4</w:t>
            </w:r>
            <w:r w:rsidRPr="00DF39B4">
              <w:rPr>
                <w:rFonts w:cs="Arial" w:asciiTheme="minorHAnsi" w:hAnsiTheme="minorHAnsi"/>
                <w:sz w:val="16"/>
                <w:szCs w:val="16"/>
              </w:rPr>
              <w:t xml:space="preserve"> (LOE II GOR C)</w:t>
            </w:r>
            <w:r w:rsidRPr="00DF39B4">
              <w:rPr>
                <w:rFonts w:cs="Arial" w:asciiTheme="minorHAnsi" w:hAnsiTheme="minorHAnsi"/>
                <w:b/>
                <w:sz w:val="16"/>
                <w:szCs w:val="16"/>
              </w:rPr>
              <w:t xml:space="preserve"> </w:t>
            </w:r>
            <w:r w:rsidRPr="00DF39B4">
              <w:rPr>
                <w:rFonts w:cs="Arial" w:asciiTheme="minorHAnsi" w:hAnsiTheme="minorHAnsi"/>
                <w:sz w:val="16"/>
                <w:szCs w:val="16"/>
              </w:rPr>
              <w:t>In adults with heart failure, the addition of aldosterone antagonists reduced mortality, hospitalisation rate, and hypokalaemia but increased creatinine and occurrence of hyperkalaemia.</w:t>
            </w:r>
            <w:r w:rsidRPr="00DF39B4">
              <w:rPr>
                <w:rFonts w:cs="Arial" w:asciiTheme="minorHAnsi" w:hAnsiTheme="minorHAnsi"/>
                <w:sz w:val="16"/>
                <w:szCs w:val="16"/>
                <w:vertAlign w:val="superscript"/>
              </w:rPr>
              <w:t>5,6</w:t>
            </w:r>
            <w:r w:rsidRPr="00DF39B4">
              <w:rPr>
                <w:rFonts w:cs="Arial" w:asciiTheme="minorHAnsi" w:hAnsiTheme="minorHAnsi"/>
                <w:sz w:val="16"/>
                <w:szCs w:val="16"/>
              </w:rPr>
              <w:t xml:space="preserve"> (LOE 1/adults GOR C)</w:t>
            </w:r>
          </w:p>
          <w:p w:rsidRPr="00DF39B4" w:rsidR="00FB71A0" w:rsidP="00131848" w:rsidRDefault="00FB71A0" w14:paraId="0F7A5DC4" w14:textId="77777777">
            <w:pPr>
              <w:pStyle w:val="BodyText"/>
              <w:tabs>
                <w:tab w:val="left" w:pos="1168"/>
              </w:tabs>
              <w:rPr>
                <w:rFonts w:cs="Segoe UI" w:asciiTheme="minorHAnsi" w:hAnsiTheme="minorHAnsi" w:eastAsiaTheme="minorHAnsi"/>
                <w:sz w:val="16"/>
                <w:szCs w:val="16"/>
              </w:rPr>
            </w:pPr>
            <w:r w:rsidRPr="00DF39B4">
              <w:rPr>
                <w:rFonts w:cs="Segoe UI" w:asciiTheme="minorHAnsi" w:hAnsiTheme="minorHAnsi" w:eastAsiaTheme="minorHAnsi"/>
                <w:b/>
                <w:sz w:val="16"/>
                <w:szCs w:val="16"/>
              </w:rPr>
              <w:t>Bartter syndrome and Gitelman syndrome:</w:t>
            </w:r>
            <w:r w:rsidRPr="00DF39B4">
              <w:rPr>
                <w:rFonts w:cs="Segoe UI" w:asciiTheme="minorHAnsi" w:hAnsiTheme="minorHAnsi" w:eastAsiaTheme="minorHAnsi"/>
                <w:sz w:val="16"/>
                <w:szCs w:val="16"/>
              </w:rPr>
              <w:t xml:space="preserve"> Spironolactone has been used to maintain serum potassium in patients with Bartter syndrome and Gitelman syndrome.</w:t>
            </w:r>
            <w:r w:rsidRPr="00DF39B4">
              <w:rPr>
                <w:rFonts w:cs="Segoe UI" w:asciiTheme="minorHAnsi" w:hAnsiTheme="minorHAnsi" w:eastAsiaTheme="minorHAnsi"/>
                <w:sz w:val="16"/>
                <w:szCs w:val="16"/>
                <w:vertAlign w:val="superscript"/>
              </w:rPr>
              <w:t>7</w:t>
            </w:r>
          </w:p>
          <w:p w:rsidRPr="00DF39B4" w:rsidR="00FB71A0" w:rsidP="00131848" w:rsidRDefault="00FB71A0" w14:paraId="646BDFA6" w14:textId="77777777">
            <w:pPr>
              <w:pStyle w:val="BodyText"/>
              <w:tabs>
                <w:tab w:val="left" w:pos="1168"/>
              </w:tabs>
              <w:rPr>
                <w:rFonts w:cs="Arial" w:asciiTheme="minorHAnsi" w:hAnsiTheme="minorHAnsi"/>
                <w:b/>
                <w:sz w:val="16"/>
                <w:szCs w:val="16"/>
              </w:rPr>
            </w:pPr>
            <w:r w:rsidRPr="00DF39B4">
              <w:rPr>
                <w:rFonts w:cs="Arial" w:asciiTheme="minorHAnsi" w:hAnsiTheme="minorHAnsi"/>
                <w:b/>
                <w:sz w:val="16"/>
                <w:szCs w:val="16"/>
              </w:rPr>
              <w:t xml:space="preserve">Pharmacokinetics and pharmacodynamics: </w:t>
            </w:r>
          </w:p>
          <w:p w:rsidRPr="00DF39B4" w:rsidR="00FB71A0" w:rsidP="00131848" w:rsidRDefault="00FB71A0" w14:paraId="196FCD08" w14:textId="77777777">
            <w:pPr>
              <w:pStyle w:val="BodyText"/>
              <w:tabs>
                <w:tab w:val="left" w:pos="1168"/>
              </w:tabs>
              <w:rPr>
                <w:rFonts w:cs="Segoe UI" w:asciiTheme="minorHAnsi" w:hAnsiTheme="minorHAnsi" w:eastAsiaTheme="minorHAnsi"/>
                <w:sz w:val="16"/>
                <w:szCs w:val="16"/>
              </w:rPr>
            </w:pPr>
            <w:r w:rsidRPr="00DF39B4">
              <w:rPr>
                <w:rFonts w:cs="Segoe UI" w:asciiTheme="minorHAnsi" w:hAnsiTheme="minorHAnsi" w:eastAsiaTheme="minorHAnsi"/>
                <w:sz w:val="16"/>
                <w:szCs w:val="16"/>
              </w:rPr>
              <w:t>Spironolactone is a non-selective mineralocorticoid receptor antagonist with moderate affinity for both progesterone and androgen receptors. Pharmacokinetics and pharmacodynamics have not been evaluated in newborn infants. In adults, absorption is estimated to be 80–90%. The onset of action for spironolactone is typically very slow, with a peak response sometimes occurring 48 hours or more after the first dose. Spironolactone is rapidly metabolised hepatically into a number of metabolites. The predominant metabolite, 7α-methylspironolactone, accounts for around 80% of the K</w:t>
            </w:r>
            <w:r w:rsidRPr="00DF39B4">
              <w:rPr>
                <w:rFonts w:cs="Segoe UI" w:asciiTheme="minorHAnsi" w:hAnsiTheme="minorHAnsi" w:eastAsiaTheme="minorHAnsi"/>
                <w:sz w:val="16"/>
                <w:szCs w:val="16"/>
                <w:vertAlign w:val="superscript"/>
              </w:rPr>
              <w:t>+</w:t>
            </w:r>
            <w:r w:rsidRPr="00DF39B4">
              <w:rPr>
                <w:rFonts w:cs="Segoe UI" w:asciiTheme="minorHAnsi" w:hAnsiTheme="minorHAnsi" w:eastAsiaTheme="minorHAnsi"/>
                <w:sz w:val="16"/>
                <w:szCs w:val="16"/>
              </w:rPr>
              <w:t>-sparing effect of spironolactone. Spironolactone (88%) and its canrenone metabolite (99%) are extensively bound to plasma protein at therapeutic concentrations. In normal volunteers, the mean t</w:t>
            </w:r>
            <w:r w:rsidRPr="00DF39B4">
              <w:rPr>
                <w:rFonts w:cs="Segoe UI" w:asciiTheme="minorHAnsi" w:hAnsiTheme="minorHAnsi" w:eastAsiaTheme="minorHAnsi"/>
                <w:sz w:val="16"/>
                <w:szCs w:val="16"/>
                <w:vertAlign w:val="subscript"/>
              </w:rPr>
              <w:t>½</w:t>
            </w:r>
            <w:r w:rsidRPr="00DF39B4">
              <w:rPr>
                <w:rFonts w:cs="Segoe UI" w:asciiTheme="minorHAnsi" w:hAnsiTheme="minorHAnsi" w:eastAsiaTheme="minorHAnsi"/>
                <w:sz w:val="16"/>
                <w:szCs w:val="16"/>
              </w:rPr>
              <w:t xml:space="preserve"> of spironolactone, canrenone, 7α-TMS and 6ß-hydroxy-7α-TMS were 1.4, 16.5, 13.8 and 15 hours, respectively. In cirrhotic patients, the t</w:t>
            </w:r>
            <w:r w:rsidRPr="00DF39B4">
              <w:rPr>
                <w:rFonts w:cs="Segoe UI" w:asciiTheme="minorHAnsi" w:hAnsiTheme="minorHAnsi" w:eastAsiaTheme="minorHAnsi"/>
                <w:sz w:val="16"/>
                <w:szCs w:val="16"/>
                <w:vertAlign w:val="subscript"/>
              </w:rPr>
              <w:t>½</w:t>
            </w:r>
            <w:r w:rsidRPr="00DF39B4">
              <w:rPr>
                <w:rFonts w:cs="Segoe UI" w:asciiTheme="minorHAnsi" w:hAnsiTheme="minorHAnsi" w:eastAsiaTheme="minorHAnsi"/>
                <w:sz w:val="16"/>
                <w:szCs w:val="16"/>
              </w:rPr>
              <w:t xml:space="preserve"> of spironolactone and its metabolites are increased. The pharmacokinetics of spironolactone and its metabolites have not been specifically studied in the setting of renal insufficiency or end-stage renal disease.</w:t>
            </w:r>
            <w:r w:rsidRPr="00DF39B4">
              <w:rPr>
                <w:rFonts w:cs="Segoe UI" w:asciiTheme="minorHAnsi" w:hAnsiTheme="minorHAnsi" w:eastAsiaTheme="minorHAnsi"/>
                <w:sz w:val="16"/>
                <w:szCs w:val="16"/>
                <w:vertAlign w:val="superscript"/>
              </w:rPr>
              <w:t>8,9</w:t>
            </w:r>
            <w:r w:rsidRPr="00DF39B4">
              <w:rPr>
                <w:rFonts w:cs="Segoe UI" w:asciiTheme="minorHAnsi" w:hAnsiTheme="minorHAnsi" w:eastAsiaTheme="minorHAnsi"/>
                <w:sz w:val="16"/>
                <w:szCs w:val="16"/>
              </w:rPr>
              <w:t xml:space="preserve"> </w:t>
            </w:r>
          </w:p>
          <w:p w:rsidRPr="00DF39B4" w:rsidR="00FB71A0" w:rsidP="00131848" w:rsidRDefault="00FB71A0" w14:paraId="71196AB2" w14:textId="77777777">
            <w:pPr>
              <w:pStyle w:val="BodyText"/>
              <w:tabs>
                <w:tab w:val="left" w:pos="1168"/>
              </w:tabs>
              <w:rPr>
                <w:rFonts w:cs="Arial" w:asciiTheme="minorHAnsi" w:hAnsiTheme="minorHAnsi"/>
                <w:b/>
                <w:sz w:val="16"/>
                <w:szCs w:val="16"/>
              </w:rPr>
            </w:pPr>
            <w:r w:rsidRPr="00DF39B4">
              <w:rPr>
                <w:rFonts w:cs="Arial" w:asciiTheme="minorHAnsi" w:hAnsiTheme="minorHAnsi"/>
                <w:b/>
                <w:sz w:val="16"/>
                <w:szCs w:val="16"/>
              </w:rPr>
              <w:t xml:space="preserve">Safety: </w:t>
            </w:r>
          </w:p>
          <w:p w:rsidRPr="00DF39B4" w:rsidR="00FB71A0" w:rsidP="00131848" w:rsidRDefault="00FB71A0" w14:paraId="771F10BE" w14:textId="77777777">
            <w:pPr>
              <w:pStyle w:val="BodyText"/>
              <w:tabs>
                <w:tab w:val="left" w:pos="1168"/>
              </w:tabs>
              <w:rPr>
                <w:rFonts w:cs="Arial" w:asciiTheme="minorHAnsi" w:hAnsiTheme="minorHAnsi"/>
                <w:sz w:val="16"/>
                <w:szCs w:val="16"/>
              </w:rPr>
            </w:pPr>
            <w:r w:rsidRPr="00DF39B4">
              <w:rPr>
                <w:rFonts w:cs="Arial" w:asciiTheme="minorHAnsi" w:hAnsiTheme="minorHAnsi"/>
                <w:sz w:val="16"/>
                <w:szCs w:val="16"/>
              </w:rPr>
              <w:t>Preterm infants receiving hydrochlorothiazide in combination with spironolactone may have an increased need for sodium and potassium supplementation.</w:t>
            </w:r>
            <w:r w:rsidRPr="00DF39B4">
              <w:rPr>
                <w:rFonts w:cs="Arial" w:asciiTheme="minorHAnsi" w:hAnsiTheme="minorHAnsi"/>
                <w:sz w:val="16"/>
                <w:szCs w:val="16"/>
                <w:vertAlign w:val="superscript"/>
              </w:rPr>
              <w:t>3</w:t>
            </w:r>
            <w:r w:rsidRPr="00DF39B4">
              <w:rPr>
                <w:rFonts w:cs="Arial" w:asciiTheme="minorHAnsi" w:hAnsiTheme="minorHAnsi"/>
                <w:sz w:val="16"/>
                <w:szCs w:val="16"/>
              </w:rPr>
              <w:t xml:space="preserve"> (LOE II GOR B) The addition of spironolactone to a thiazide diuretic did not reduce the requirement for supplemental electrolytes over 2 weeks in a small trial.</w:t>
            </w:r>
            <w:r w:rsidRPr="00DF39B4">
              <w:rPr>
                <w:rFonts w:cs="Arial" w:asciiTheme="minorHAnsi" w:hAnsiTheme="minorHAnsi"/>
                <w:sz w:val="16"/>
                <w:szCs w:val="16"/>
                <w:vertAlign w:val="superscript"/>
              </w:rPr>
              <w:t>10</w:t>
            </w:r>
            <w:r w:rsidRPr="00DF39B4">
              <w:rPr>
                <w:rFonts w:cs="Arial" w:asciiTheme="minorHAnsi" w:hAnsiTheme="minorHAnsi"/>
                <w:sz w:val="16"/>
                <w:szCs w:val="16"/>
              </w:rPr>
              <w:t xml:space="preserve"> (LOE II GOR C) Use of spironolactone in adults increases creatinine and the incidence of hyperkalaemia.</w:t>
            </w:r>
            <w:r w:rsidRPr="00DF39B4">
              <w:rPr>
                <w:rFonts w:cs="Arial" w:asciiTheme="minorHAnsi" w:hAnsiTheme="minorHAnsi"/>
                <w:sz w:val="16"/>
                <w:szCs w:val="16"/>
                <w:vertAlign w:val="superscript"/>
              </w:rPr>
              <w:t>5</w:t>
            </w:r>
            <w:r w:rsidRPr="00DF39B4">
              <w:rPr>
                <w:rFonts w:cs="Arial" w:asciiTheme="minorHAnsi" w:hAnsiTheme="minorHAnsi"/>
                <w:sz w:val="16"/>
                <w:szCs w:val="16"/>
              </w:rPr>
              <w:t xml:space="preserve"> (LOE I GOR C) Spironolactone reduced digoxin clearance in infants.</w:t>
            </w:r>
            <w:r w:rsidRPr="00DF39B4">
              <w:rPr>
                <w:rFonts w:cs="Arial" w:asciiTheme="minorHAnsi" w:hAnsiTheme="minorHAnsi"/>
                <w:sz w:val="16"/>
                <w:szCs w:val="16"/>
                <w:vertAlign w:val="superscript"/>
              </w:rPr>
              <w:t>11</w:t>
            </w:r>
            <w:r w:rsidRPr="00DF39B4">
              <w:rPr>
                <w:rFonts w:cs="Arial" w:asciiTheme="minorHAnsi" w:hAnsiTheme="minorHAnsi"/>
                <w:sz w:val="16"/>
                <w:szCs w:val="16"/>
              </w:rPr>
              <w:t xml:space="preserve"> (LOE IV GOR C)</w:t>
            </w:r>
          </w:p>
        </w:tc>
      </w:tr>
      <w:tr w:rsidRPr="003A7895" w:rsidR="00FB71A0" w:rsidTr="008D48AE" w14:paraId="10684B92" w14:textId="77777777">
        <w:trPr>
          <w:trHeight w:val="108"/>
        </w:trPr>
        <w:tc>
          <w:tcPr>
            <w:tcW w:w="2410" w:type="dxa"/>
          </w:tcPr>
          <w:p w:rsidRPr="00B53E9B" w:rsidR="00FB71A0" w:rsidP="00131848" w:rsidRDefault="00FB71A0" w14:paraId="05FCD715" w14:textId="77777777">
            <w:pPr>
              <w:pStyle w:val="BodyText"/>
              <w:rPr>
                <w:rFonts w:cs="Arial"/>
                <w:b/>
                <w:bCs/>
                <w:sz w:val="20"/>
              </w:rPr>
            </w:pPr>
            <w:r w:rsidRPr="00B53E9B">
              <w:rPr>
                <w:rFonts w:cs="Arial"/>
                <w:b/>
                <w:bCs/>
                <w:sz w:val="20"/>
              </w:rPr>
              <w:t>Practice points</w:t>
            </w:r>
          </w:p>
        </w:tc>
        <w:tc>
          <w:tcPr>
            <w:tcW w:w="7542" w:type="dxa"/>
          </w:tcPr>
          <w:p w:rsidRPr="00026F20" w:rsidR="00FB71A0" w:rsidP="00131848" w:rsidRDefault="00FB71A0" w14:paraId="4FD3EE42" w14:textId="77777777">
            <w:pPr>
              <w:pStyle w:val="BodyText"/>
              <w:tabs>
                <w:tab w:val="left" w:pos="1168"/>
              </w:tabs>
              <w:rPr>
                <w:rFonts w:cs="Arial"/>
                <w:sz w:val="20"/>
              </w:rPr>
            </w:pPr>
          </w:p>
        </w:tc>
      </w:tr>
      <w:tr w:rsidRPr="003A7895" w:rsidR="00FB71A0" w:rsidTr="008D48AE" w14:paraId="6A7FEE68" w14:textId="77777777">
        <w:trPr>
          <w:trHeight w:val="70"/>
        </w:trPr>
        <w:tc>
          <w:tcPr>
            <w:tcW w:w="2410" w:type="dxa"/>
          </w:tcPr>
          <w:p w:rsidRPr="00B53E9B" w:rsidR="00FB71A0" w:rsidP="00131848" w:rsidRDefault="00FB71A0" w14:paraId="0C27E19B" w14:textId="77777777">
            <w:pPr>
              <w:pStyle w:val="BodyText"/>
              <w:rPr>
                <w:rFonts w:cs="Arial"/>
                <w:b/>
                <w:bCs/>
                <w:sz w:val="20"/>
              </w:rPr>
            </w:pPr>
            <w:r w:rsidRPr="00B53E9B">
              <w:rPr>
                <w:b/>
                <w:sz w:val="20"/>
              </w:rPr>
              <w:t>References</w:t>
            </w:r>
          </w:p>
        </w:tc>
        <w:tc>
          <w:tcPr>
            <w:tcW w:w="7542" w:type="dxa"/>
          </w:tcPr>
          <w:p w:rsidRPr="00DF39B4" w:rsidR="00FB71A0" w:rsidP="00131848" w:rsidRDefault="00FB71A0" w14:paraId="7106A84F" w14:textId="77777777">
            <w:pPr>
              <w:pStyle w:val="EndNoteBibliography"/>
              <w:rPr>
                <w:rFonts w:asciiTheme="minorHAnsi" w:hAnsiTheme="minorHAnsi"/>
                <w:sz w:val="16"/>
                <w:szCs w:val="16"/>
              </w:rPr>
            </w:pPr>
            <w:r w:rsidRPr="00DF39B4">
              <w:rPr>
                <w:rFonts w:asciiTheme="minorHAnsi" w:hAnsiTheme="minorHAnsi"/>
                <w:sz w:val="16"/>
                <w:szCs w:val="16"/>
              </w:rPr>
              <w:t>1. Mathur LK, Wickman A. Stability of extemporaneously compounded spironolactone suspensions. Am J Hosp Pharm. 1989;46:2040-2.</w:t>
            </w:r>
          </w:p>
          <w:p w:rsidRPr="00DF39B4" w:rsidR="00FB71A0" w:rsidP="00131848" w:rsidRDefault="00FB71A0" w14:paraId="2773D6F6" w14:textId="77777777">
            <w:pPr>
              <w:pStyle w:val="EndNoteBibliography"/>
              <w:rPr>
                <w:rFonts w:asciiTheme="minorHAnsi" w:hAnsiTheme="minorHAnsi"/>
                <w:sz w:val="16"/>
                <w:szCs w:val="16"/>
              </w:rPr>
            </w:pPr>
            <w:r w:rsidRPr="00DF39B4">
              <w:rPr>
                <w:rFonts w:asciiTheme="minorHAnsi" w:hAnsiTheme="minorHAnsi"/>
                <w:sz w:val="16"/>
                <w:szCs w:val="16"/>
              </w:rPr>
              <w:t>2. Stewart A, Brion LP, Ambrosio-Perez I. Diuretics acting on the distal renal tubule for preterm infants with (or developing) chronic lung disease. Cochrane Database Syst Rev. 2011:CD001817.</w:t>
            </w:r>
          </w:p>
          <w:p w:rsidRPr="00DF39B4" w:rsidR="00FB71A0" w:rsidP="00131848" w:rsidRDefault="00FB71A0" w14:paraId="220A6360" w14:textId="77777777">
            <w:pPr>
              <w:pStyle w:val="EndNoteBibliography"/>
              <w:rPr>
                <w:rFonts w:asciiTheme="minorHAnsi" w:hAnsiTheme="minorHAnsi"/>
                <w:sz w:val="16"/>
                <w:szCs w:val="16"/>
              </w:rPr>
            </w:pPr>
            <w:r w:rsidRPr="00DF39B4">
              <w:rPr>
                <w:rFonts w:asciiTheme="minorHAnsi" w:hAnsiTheme="minorHAnsi"/>
                <w:sz w:val="16"/>
                <w:szCs w:val="16"/>
              </w:rPr>
              <w:t>3. Albersheim SG, Solimano AJ, Sharma AK, Smyth JA, Rotschild A, Wood BJ, Sheps SB. Randomized, double-blind, controlled trial of long-term diuretic therapy for bronchopulmonary dysplasia. J Pediatr. 1989;115:615-20.</w:t>
            </w:r>
          </w:p>
          <w:p w:rsidRPr="00DF39B4" w:rsidR="00FB71A0" w:rsidP="00131848" w:rsidRDefault="00FB71A0" w14:paraId="039322B6" w14:textId="77777777">
            <w:pPr>
              <w:pStyle w:val="EndNoteBibliography"/>
              <w:rPr>
                <w:rFonts w:asciiTheme="minorHAnsi" w:hAnsiTheme="minorHAnsi"/>
                <w:sz w:val="16"/>
                <w:szCs w:val="16"/>
              </w:rPr>
            </w:pPr>
            <w:r w:rsidRPr="00DF39B4">
              <w:rPr>
                <w:rFonts w:asciiTheme="minorHAnsi" w:hAnsiTheme="minorHAnsi"/>
                <w:sz w:val="16"/>
                <w:szCs w:val="16"/>
              </w:rPr>
              <w:t>4. Hobbins SM, Fowler RS, Rowe RD, Korey AG. Spironolactone therapy in infants with congestive heart failure secondary to congenital heart disease. Arch Dis Child. 1981;56:934-8.</w:t>
            </w:r>
          </w:p>
          <w:p w:rsidRPr="00DF39B4" w:rsidR="00FB71A0" w:rsidP="00131848" w:rsidRDefault="00FB71A0" w14:paraId="3EA74282" w14:textId="77777777">
            <w:pPr>
              <w:pStyle w:val="EndNoteBibliography"/>
              <w:rPr>
                <w:rFonts w:asciiTheme="minorHAnsi" w:hAnsiTheme="minorHAnsi"/>
                <w:sz w:val="16"/>
                <w:szCs w:val="16"/>
              </w:rPr>
            </w:pPr>
            <w:r w:rsidRPr="00DF39B4">
              <w:rPr>
                <w:rFonts w:asciiTheme="minorHAnsi" w:hAnsiTheme="minorHAnsi"/>
                <w:sz w:val="16"/>
                <w:szCs w:val="16"/>
              </w:rPr>
              <w:t>5. Hu LJ, Chen YQ, Deng SB, Du JL, She Q. Additional use of an aldosterone antagonist in patients with mild to moderate chronic heart failure: a systematic review and meta-analysis. Br J Clin Pharmacol. 2013;75:1202-12.</w:t>
            </w:r>
          </w:p>
          <w:p w:rsidRPr="00DF39B4" w:rsidR="00FB71A0" w:rsidP="00131848" w:rsidRDefault="00FB71A0" w14:paraId="31AF5D61" w14:textId="77777777">
            <w:pPr>
              <w:pStyle w:val="EndNoteBibliography"/>
              <w:rPr>
                <w:rFonts w:asciiTheme="minorHAnsi" w:hAnsiTheme="minorHAnsi"/>
                <w:sz w:val="16"/>
                <w:szCs w:val="16"/>
              </w:rPr>
            </w:pPr>
            <w:r w:rsidRPr="00DF39B4">
              <w:rPr>
                <w:rFonts w:asciiTheme="minorHAnsi" w:hAnsiTheme="minorHAnsi"/>
                <w:sz w:val="16"/>
                <w:szCs w:val="16"/>
              </w:rPr>
              <w:t>6. Anonymous. Effectiveness of spironolactone added to an angiotensin-converting enzyme inhibitor and a loop diuretic for severe chronic congestive heart failure (the Randomized Aldactone Evaluation Study [RALES]). Am J Cardiol. 1996;78:902-7.</w:t>
            </w:r>
          </w:p>
          <w:p w:rsidRPr="00DF39B4" w:rsidR="00FB71A0" w:rsidP="00131848" w:rsidRDefault="00FB71A0" w14:paraId="2F9E1826" w14:textId="77777777">
            <w:pPr>
              <w:pStyle w:val="EndNoteBibliography"/>
              <w:rPr>
                <w:rFonts w:asciiTheme="minorHAnsi" w:hAnsiTheme="minorHAnsi"/>
                <w:sz w:val="16"/>
                <w:szCs w:val="16"/>
              </w:rPr>
            </w:pPr>
            <w:r w:rsidRPr="00DF39B4">
              <w:rPr>
                <w:rFonts w:asciiTheme="minorHAnsi" w:hAnsiTheme="minorHAnsi"/>
                <w:sz w:val="16"/>
                <w:szCs w:val="16"/>
              </w:rPr>
              <w:t>7. Fremont OT, Chan JC. Understanding Bartter syndrome and Gitelman syndrome. World J Pediatr. 2012;8:25-30.</w:t>
            </w:r>
          </w:p>
          <w:p w:rsidRPr="00DF39B4" w:rsidR="00FB71A0" w:rsidP="00131848" w:rsidRDefault="00FB71A0" w14:paraId="5F112F56" w14:textId="77777777">
            <w:pPr>
              <w:pStyle w:val="EndNoteBibliography"/>
              <w:rPr>
                <w:rFonts w:asciiTheme="minorHAnsi" w:hAnsiTheme="minorHAnsi"/>
                <w:sz w:val="16"/>
                <w:szCs w:val="16"/>
              </w:rPr>
            </w:pPr>
            <w:r w:rsidRPr="00DF39B4">
              <w:rPr>
                <w:rFonts w:asciiTheme="minorHAnsi" w:hAnsiTheme="minorHAnsi"/>
                <w:sz w:val="16"/>
                <w:szCs w:val="16"/>
              </w:rPr>
              <w:t>8. Sica DA. Pharmacokinetics and pharmacodynamics of mineralocorticoid blocking agents and their effects on potassium homeostasis. Heart Fail Rev. 2005;10:23-9.</w:t>
            </w:r>
          </w:p>
          <w:p w:rsidRPr="00DF39B4" w:rsidR="00FB71A0" w:rsidP="00131848" w:rsidRDefault="00FB71A0" w14:paraId="3151E5A9" w14:textId="77777777">
            <w:pPr>
              <w:pStyle w:val="EndNoteBibliography"/>
              <w:rPr>
                <w:rFonts w:asciiTheme="minorHAnsi" w:hAnsiTheme="minorHAnsi"/>
                <w:sz w:val="16"/>
                <w:szCs w:val="16"/>
              </w:rPr>
            </w:pPr>
            <w:r w:rsidRPr="00DF39B4">
              <w:rPr>
                <w:rFonts w:asciiTheme="minorHAnsi" w:hAnsiTheme="minorHAnsi"/>
                <w:sz w:val="16"/>
                <w:szCs w:val="16"/>
              </w:rPr>
              <w:t>9. Karim A. Spironolactone: disposition, metabolism, pharmacodynamics, and bioavailability. Drug Metab Rev. 1978;8:151-88.</w:t>
            </w:r>
          </w:p>
          <w:p w:rsidRPr="00DF39B4" w:rsidR="00FB71A0" w:rsidP="00131848" w:rsidRDefault="00FB71A0" w14:paraId="2DE4620E" w14:textId="77777777">
            <w:pPr>
              <w:pStyle w:val="EndNoteBibliography"/>
              <w:rPr>
                <w:rFonts w:asciiTheme="minorHAnsi" w:hAnsiTheme="minorHAnsi"/>
                <w:sz w:val="16"/>
                <w:szCs w:val="16"/>
              </w:rPr>
            </w:pPr>
            <w:r w:rsidRPr="00DF39B4">
              <w:rPr>
                <w:rFonts w:asciiTheme="minorHAnsi" w:hAnsiTheme="minorHAnsi"/>
                <w:sz w:val="16"/>
                <w:szCs w:val="16"/>
              </w:rPr>
              <w:t>10. Hoffman DJ, Gerdes JS, Abbasi S. Pulmonary function and electrolyte balance following spironolactone treatment in preterm infants with chronic lung disease: a double-blind, placebo-controlled, randomized trial. J Perinatol. 2000;20:41-5.</w:t>
            </w:r>
          </w:p>
          <w:p w:rsidRPr="00DF39B4" w:rsidR="00FB71A0" w:rsidP="00131848" w:rsidRDefault="00FB71A0" w14:paraId="2D928EE0" w14:textId="77777777">
            <w:pPr>
              <w:pStyle w:val="EndNoteBibliography"/>
              <w:rPr>
                <w:rFonts w:asciiTheme="minorHAnsi" w:hAnsiTheme="minorHAnsi"/>
                <w:sz w:val="16"/>
                <w:szCs w:val="16"/>
              </w:rPr>
            </w:pPr>
            <w:r w:rsidRPr="00DF39B4">
              <w:rPr>
                <w:rFonts w:asciiTheme="minorHAnsi" w:hAnsiTheme="minorHAnsi"/>
                <w:sz w:val="16"/>
                <w:szCs w:val="16"/>
              </w:rPr>
              <w:t>11. Suematsu F, Minemoto M, Yukawa E, Higuchi S. Population analysis for the optimization of digoxin treatment in Japanese paediatric patients. J Clin Pharm Ther. 1999;24:203-8.</w:t>
            </w:r>
          </w:p>
        </w:tc>
      </w:tr>
    </w:tbl>
    <w:p w:rsidR="00115F48" w:rsidP="006F0321" w:rsidRDefault="00115F48" w14:paraId="5CD82E36" w14:textId="28CD052E"/>
    <w:p w:rsidR="000252CB" w:rsidP="006F0321" w:rsidRDefault="000252CB" w14:paraId="5C4C709A" w14:textId="77777777"/>
    <w:tbl>
      <w:tblPr>
        <w:tblW w:w="8925" w:type="dxa"/>
        <w:tblInd w:w="-34" w:type="dxa"/>
        <w:tblCellMar>
          <w:left w:w="0" w:type="dxa"/>
          <w:right w:w="0" w:type="dxa"/>
        </w:tblCellMar>
        <w:tblLook w:val="04A0" w:firstRow="1" w:lastRow="0" w:firstColumn="1" w:lastColumn="0" w:noHBand="0" w:noVBand="1"/>
      </w:tblPr>
      <w:tblGrid>
        <w:gridCol w:w="4108"/>
        <w:gridCol w:w="4817"/>
      </w:tblGrid>
      <w:tr w:rsidR="007C726E" w:rsidTr="007C726E" w14:paraId="2B4FF3EC"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554454D4" w14:textId="3978DD86">
            <w:pPr>
              <w:spacing w:line="252" w:lineRule="auto"/>
              <w:rPr>
                <w:sz w:val="22"/>
                <w:lang w:val="en-AU"/>
              </w:rPr>
            </w:pPr>
            <w:r>
              <w:t>Original version Date: 18/07/2016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39772840" w14:textId="77777777">
            <w:pPr>
              <w:spacing w:line="252" w:lineRule="auto"/>
            </w:pPr>
            <w:r>
              <w:t>Author: NeoMed Consensus Group</w:t>
            </w:r>
          </w:p>
        </w:tc>
      </w:tr>
      <w:tr w:rsidR="007C726E" w:rsidTr="007C726E" w14:paraId="27BA730F"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354D61F4" w14:textId="7DB1CEFF">
            <w:pPr>
              <w:spacing w:line="252" w:lineRule="auto"/>
            </w:pPr>
            <w:r>
              <w:t>Current Version number: </w:t>
            </w:r>
            <w:r w:rsidR="00FB71A0">
              <w:t>4</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74B39079" w14:textId="737E3EAA">
            <w:pPr>
              <w:spacing w:line="252" w:lineRule="auto"/>
            </w:pPr>
            <w:r>
              <w:t>Current Version Date:  18/0</w:t>
            </w:r>
            <w:r w:rsidR="00FB71A0">
              <w:t>6</w:t>
            </w:r>
            <w:r>
              <w:t>/20</w:t>
            </w:r>
            <w:r w:rsidR="009A7552">
              <w:t>21</w:t>
            </w:r>
          </w:p>
        </w:tc>
      </w:tr>
      <w:tr w:rsidR="007C726E" w:rsidTr="007C726E" w14:paraId="5FA6AAB9"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36DCDF17" w14:textId="1DDCB769">
            <w:pPr>
              <w:spacing w:line="252" w:lineRule="auto"/>
            </w:pPr>
            <w:r>
              <w:t xml:space="preserve">Risk Rating: </w:t>
            </w:r>
            <w:r w:rsidR="009A7552">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52674AA0" w14:textId="4F90CE5C">
            <w:pPr>
              <w:spacing w:line="252" w:lineRule="auto"/>
            </w:pPr>
            <w:r>
              <w:t>Due for Review:  18/0</w:t>
            </w:r>
            <w:r w:rsidR="00FB71A0">
              <w:t>6</w:t>
            </w:r>
            <w:r>
              <w:t>/20</w:t>
            </w:r>
            <w:r w:rsidR="009A7552">
              <w:t>26</w:t>
            </w:r>
          </w:p>
        </w:tc>
      </w:tr>
      <w:tr w:rsidR="007C726E" w:rsidTr="007C726E" w14:paraId="1275C303"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7C726E" w:rsidRDefault="007C726E" w14:paraId="17F069CE"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7C726E" w:rsidRDefault="007C726E" w14:paraId="7D17BB34" w14:textId="6EB0AB05">
            <w:pPr>
              <w:spacing w:line="252" w:lineRule="auto"/>
            </w:pPr>
            <w:r>
              <w:t xml:space="preserve">Approval Date: </w:t>
            </w:r>
            <w:r w:rsidR="00260BC8">
              <w:t>APRIL 2021</w:t>
            </w:r>
          </w:p>
        </w:tc>
      </w:tr>
    </w:tbl>
    <w:p w:rsidRPr="00E25790" w:rsidR="007C726E" w:rsidP="006F0321" w:rsidRDefault="007C726E" w14:paraId="76AA291D" w14:textId="77777777"/>
    <w:p w:rsidRPr="00E25790" w:rsidR="00115F48" w:rsidP="006F0321" w:rsidRDefault="00115F48" w14:paraId="300D2B2B" w14:textId="77777777"/>
    <w:tbl>
      <w:tblPr>
        <w:tblW w:w="0" w:type="auto"/>
        <w:tblLook w:val="0000" w:firstRow="0" w:lastRow="0" w:firstColumn="0" w:lastColumn="0" w:noHBand="0" w:noVBand="0"/>
      </w:tblPr>
      <w:tblGrid>
        <w:gridCol w:w="4132"/>
        <w:gridCol w:w="4871"/>
      </w:tblGrid>
      <w:tr w:rsidR="0349FAD4" w:rsidTr="0028412D" w14:paraId="4676BC09" w14:textId="77777777">
        <w:trPr>
          <w:trHeight w:val="720"/>
        </w:trPr>
        <w:tc>
          <w:tcPr>
            <w:tcW w:w="9003" w:type="dxa"/>
            <w:gridSpan w:val="2"/>
            <w:tcBorders>
              <w:top w:val="double" w:color="auto" w:sz="6" w:space="0"/>
              <w:left w:val="double" w:color="auto" w:sz="6" w:space="0"/>
              <w:bottom w:val="double" w:color="auto" w:sz="6" w:space="0"/>
            </w:tcBorders>
            <w:shd w:val="clear" w:color="auto" w:fill="FFFF00"/>
          </w:tcPr>
          <w:p w:rsidR="0349FAD4" w:rsidP="0349FAD4" w:rsidRDefault="0349FAD4" w14:paraId="65D92752" w14:textId="422A5007">
            <w:pPr>
              <w:pStyle w:val="Heading1"/>
            </w:pPr>
            <w:bookmarkStart w:name="_Toc75340047" w:id="570"/>
            <w:r>
              <w:lastRenderedPageBreak/>
              <w:t>S</w:t>
            </w:r>
            <w:r w:rsidR="624D8E20">
              <w:t>ucrose</w:t>
            </w:r>
            <w:bookmarkEnd w:id="570"/>
            <w:r>
              <w:fldChar w:fldCharType="begin"/>
            </w:r>
            <w:r>
              <w:instrText>tc "Omeprazole" \l 0</w:instrText>
            </w:r>
            <w:r>
              <w:fldChar w:fldCharType="end"/>
            </w:r>
          </w:p>
        </w:tc>
      </w:tr>
      <w:tr w:rsidR="0349FAD4" w:rsidTr="0028412D" w14:paraId="726EC717" w14:textId="77777777">
        <w:trPr>
          <w:trHeight w:val="480"/>
        </w:trPr>
        <w:tc>
          <w:tcPr>
            <w:tcW w:w="4132" w:type="dxa"/>
            <w:tcBorders>
              <w:top w:val="double" w:color="auto" w:sz="6" w:space="0"/>
              <w:left w:val="double" w:color="auto" w:sz="6" w:space="0"/>
              <w:bottom w:val="double" w:color="auto" w:sz="6" w:space="0"/>
              <w:right w:val="single" w:color="auto" w:sz="6" w:space="0"/>
            </w:tcBorders>
            <w:shd w:val="clear" w:color="auto" w:fill="FFFF00"/>
          </w:tcPr>
          <w:p w:rsidR="0349FAD4" w:rsidRDefault="0349FAD4" w14:paraId="6A1B2316" w14:textId="73850F74">
            <w:r>
              <w:t>Revision Date :</w:t>
            </w:r>
            <w:r w:rsidR="005B5D1D">
              <w:t xml:space="preserve"> 2-3-2021</w:t>
            </w:r>
          </w:p>
        </w:tc>
        <w:tc>
          <w:tcPr>
            <w:tcW w:w="4871" w:type="dxa"/>
            <w:tcBorders>
              <w:top w:val="double" w:color="auto" w:sz="6" w:space="0"/>
              <w:left w:val="single" w:color="auto" w:sz="6" w:space="0"/>
              <w:bottom w:val="double" w:color="auto" w:sz="6" w:space="0"/>
              <w:right w:val="double" w:color="auto" w:sz="6" w:space="0"/>
            </w:tcBorders>
            <w:shd w:val="clear" w:color="auto" w:fill="FFFF00"/>
          </w:tcPr>
          <w:p w:rsidR="0349FAD4" w:rsidRDefault="0349FAD4" w14:paraId="3ABCC8A1" w14:textId="6906F5AA">
            <w:r>
              <w:t>Approved: TC, KOH</w:t>
            </w:r>
          </w:p>
        </w:tc>
      </w:tr>
    </w:tbl>
    <w:p w:rsidRPr="00E25790" w:rsidR="00115F48" w:rsidP="006F0321" w:rsidRDefault="00115F48" w14:paraId="319028ED" w14:textId="77777777"/>
    <w:tbl>
      <w:tblPr>
        <w:tblW w:w="1009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410"/>
        <w:gridCol w:w="7684"/>
      </w:tblGrid>
      <w:tr w:rsidRPr="003A7895" w:rsidR="00E62515" w:rsidTr="008D48AE" w14:paraId="6211B2AE" w14:textId="77777777">
        <w:trPr>
          <w:trHeight w:val="93"/>
        </w:trPr>
        <w:tc>
          <w:tcPr>
            <w:tcW w:w="2410" w:type="dxa"/>
          </w:tcPr>
          <w:p w:rsidR="00E62515" w:rsidP="00FE4186" w:rsidRDefault="00E62515" w14:paraId="1E726FC2" w14:textId="77777777">
            <w:pPr>
              <w:pStyle w:val="BodyText"/>
              <w:rPr>
                <w:rFonts w:cs="Arial"/>
                <w:b/>
                <w:bCs/>
                <w:szCs w:val="24"/>
              </w:rPr>
            </w:pPr>
            <w:r>
              <w:rPr>
                <w:rFonts w:cs="Arial"/>
                <w:b/>
                <w:bCs/>
                <w:szCs w:val="24"/>
              </w:rPr>
              <w:t>Alert</w:t>
            </w:r>
          </w:p>
        </w:tc>
        <w:tc>
          <w:tcPr>
            <w:tcW w:w="7684" w:type="dxa"/>
          </w:tcPr>
          <w:p w:rsidR="00E62515" w:rsidP="00FE4186" w:rsidRDefault="00E62515" w14:paraId="27361D60" w14:textId="77777777">
            <w:pPr>
              <w:rPr>
                <w:sz w:val="20"/>
              </w:rPr>
            </w:pPr>
            <w:r w:rsidRPr="00017C20">
              <w:rPr>
                <w:sz w:val="20"/>
              </w:rPr>
              <w:t xml:space="preserve">Sucrose </w:t>
            </w:r>
            <w:r>
              <w:rPr>
                <w:sz w:val="20"/>
              </w:rPr>
              <w:t xml:space="preserve">for this purpose </w:t>
            </w:r>
            <w:r w:rsidRPr="00017C20">
              <w:rPr>
                <w:sz w:val="20"/>
              </w:rPr>
              <w:t xml:space="preserve">is </w:t>
            </w:r>
            <w:r>
              <w:rPr>
                <w:sz w:val="20"/>
              </w:rPr>
              <w:t>a medication</w:t>
            </w:r>
            <w:r w:rsidRPr="00017C20">
              <w:rPr>
                <w:sz w:val="20"/>
              </w:rPr>
              <w:t xml:space="preserve"> and needs to be prescribed and documented on the medication chart.</w:t>
            </w:r>
          </w:p>
        </w:tc>
      </w:tr>
      <w:tr w:rsidRPr="003A7895" w:rsidR="00E62515" w:rsidTr="008D48AE" w14:paraId="671A7CAB" w14:textId="77777777">
        <w:trPr>
          <w:trHeight w:val="210"/>
        </w:trPr>
        <w:tc>
          <w:tcPr>
            <w:tcW w:w="2410" w:type="dxa"/>
          </w:tcPr>
          <w:p w:rsidRPr="004147E0" w:rsidR="00E62515" w:rsidP="00FE4186" w:rsidRDefault="00E62515" w14:paraId="5C00B000" w14:textId="77777777">
            <w:pPr>
              <w:pStyle w:val="BodyText"/>
              <w:rPr>
                <w:rFonts w:cs="Arial"/>
                <w:b/>
                <w:bCs/>
                <w:szCs w:val="24"/>
              </w:rPr>
            </w:pPr>
            <w:r>
              <w:rPr>
                <w:rFonts w:cs="Arial"/>
                <w:b/>
                <w:bCs/>
                <w:szCs w:val="24"/>
              </w:rPr>
              <w:t xml:space="preserve">Indication </w:t>
            </w:r>
          </w:p>
        </w:tc>
        <w:tc>
          <w:tcPr>
            <w:tcW w:w="7684" w:type="dxa"/>
          </w:tcPr>
          <w:p w:rsidRPr="00A32820" w:rsidR="00E62515" w:rsidP="00FE4186" w:rsidRDefault="00E62515" w14:paraId="216CD455" w14:textId="77777777">
            <w:pPr>
              <w:rPr>
                <w:sz w:val="20"/>
              </w:rPr>
            </w:pPr>
            <w:r>
              <w:rPr>
                <w:sz w:val="20"/>
              </w:rPr>
              <w:t>Analgesia –relief of pain for infants undergoing minor procedures.</w:t>
            </w:r>
          </w:p>
        </w:tc>
      </w:tr>
      <w:tr w:rsidRPr="003A7895" w:rsidR="00E62515" w:rsidTr="008D48AE" w14:paraId="1DB05FE3" w14:textId="77777777">
        <w:trPr>
          <w:trHeight w:val="201"/>
        </w:trPr>
        <w:tc>
          <w:tcPr>
            <w:tcW w:w="2410" w:type="dxa"/>
          </w:tcPr>
          <w:p w:rsidRPr="003A7895" w:rsidR="00E62515" w:rsidP="00FE4186" w:rsidRDefault="00E62515" w14:paraId="7E2DAA5F" w14:textId="77777777">
            <w:pPr>
              <w:pStyle w:val="BodyText"/>
              <w:rPr>
                <w:rFonts w:cs="Arial"/>
                <w:b/>
                <w:bCs/>
                <w:szCs w:val="24"/>
              </w:rPr>
            </w:pPr>
            <w:r w:rsidRPr="003A7895">
              <w:rPr>
                <w:rFonts w:cs="Arial"/>
                <w:b/>
                <w:bCs/>
                <w:szCs w:val="24"/>
              </w:rPr>
              <w:t>Action</w:t>
            </w:r>
          </w:p>
        </w:tc>
        <w:tc>
          <w:tcPr>
            <w:tcW w:w="7684" w:type="dxa"/>
          </w:tcPr>
          <w:p w:rsidRPr="003B5F07" w:rsidR="00E62515" w:rsidP="00FE4186" w:rsidRDefault="00E62515" w14:paraId="38EE0130" w14:textId="77777777">
            <w:pPr>
              <w:rPr>
                <w:rFonts w:cs="Arial"/>
                <w:sz w:val="20"/>
              </w:rPr>
            </w:pPr>
            <w:r w:rsidRPr="003B5F07">
              <w:rPr>
                <w:rFonts w:cs="Arial"/>
                <w:sz w:val="20"/>
              </w:rPr>
              <w:t>Orally mediated increase in endogenous opioids.</w:t>
            </w:r>
          </w:p>
        </w:tc>
      </w:tr>
      <w:tr w:rsidRPr="003A7895" w:rsidR="00E62515" w:rsidTr="008D48AE" w14:paraId="454FC856" w14:textId="77777777">
        <w:trPr>
          <w:trHeight w:val="162"/>
        </w:trPr>
        <w:tc>
          <w:tcPr>
            <w:tcW w:w="2410" w:type="dxa"/>
          </w:tcPr>
          <w:p w:rsidRPr="003A7895" w:rsidR="00E62515" w:rsidP="00FE4186" w:rsidRDefault="00E62515" w14:paraId="125B4BF4" w14:textId="77777777">
            <w:pPr>
              <w:pStyle w:val="BodyText"/>
              <w:rPr>
                <w:rFonts w:cs="Arial"/>
                <w:b/>
                <w:bCs/>
                <w:szCs w:val="24"/>
              </w:rPr>
            </w:pPr>
            <w:r w:rsidRPr="003A7895">
              <w:rPr>
                <w:rFonts w:cs="Arial"/>
                <w:b/>
                <w:bCs/>
                <w:szCs w:val="24"/>
              </w:rPr>
              <w:t xml:space="preserve">Trade Name                  </w:t>
            </w:r>
          </w:p>
        </w:tc>
        <w:tc>
          <w:tcPr>
            <w:tcW w:w="7684" w:type="dxa"/>
          </w:tcPr>
          <w:p w:rsidRPr="008018F1" w:rsidR="00E62515" w:rsidP="00FE4186" w:rsidRDefault="00E62515" w14:paraId="537D83DD" w14:textId="77777777">
            <w:pPr>
              <w:pStyle w:val="BodyText"/>
              <w:rPr>
                <w:rFonts w:cs="Arial"/>
                <w:sz w:val="20"/>
              </w:rPr>
            </w:pPr>
            <w:r w:rsidRPr="008018F1">
              <w:rPr>
                <w:rFonts w:cs="Arial"/>
                <w:sz w:val="20"/>
              </w:rPr>
              <w:t>Sucrose Oral Solution 24% (Phebra)</w:t>
            </w:r>
          </w:p>
          <w:p w:rsidRPr="00A32820" w:rsidR="00E62515" w:rsidP="00FE4186" w:rsidRDefault="00E62515" w14:paraId="1138A648" w14:textId="77777777">
            <w:pPr>
              <w:pStyle w:val="BodyText"/>
              <w:rPr>
                <w:rFonts w:cs="Arial"/>
                <w:sz w:val="20"/>
              </w:rPr>
            </w:pPr>
            <w:r w:rsidRPr="008018F1">
              <w:rPr>
                <w:rFonts w:cs="Arial"/>
                <w:sz w:val="20"/>
              </w:rPr>
              <w:t>SweetUms 24% Sucrose (Atris)</w:t>
            </w:r>
          </w:p>
        </w:tc>
      </w:tr>
      <w:tr w:rsidRPr="003A7895" w:rsidR="00E62515" w:rsidTr="008D48AE" w14:paraId="653AFCD7" w14:textId="77777777">
        <w:trPr>
          <w:trHeight w:val="70"/>
        </w:trPr>
        <w:tc>
          <w:tcPr>
            <w:tcW w:w="2410" w:type="dxa"/>
          </w:tcPr>
          <w:p w:rsidRPr="003A7895" w:rsidR="00E62515" w:rsidP="00FE4186" w:rsidRDefault="00E62515" w14:paraId="20C55D37" w14:textId="77777777">
            <w:pPr>
              <w:pStyle w:val="BodyText"/>
              <w:rPr>
                <w:rFonts w:cs="Arial"/>
                <w:b/>
                <w:bCs/>
                <w:szCs w:val="24"/>
              </w:rPr>
            </w:pPr>
            <w:r w:rsidRPr="003A7895">
              <w:rPr>
                <w:rFonts w:cs="Arial"/>
                <w:b/>
                <w:bCs/>
                <w:szCs w:val="24"/>
              </w:rPr>
              <w:t xml:space="preserve">Presentation </w:t>
            </w:r>
          </w:p>
        </w:tc>
        <w:tc>
          <w:tcPr>
            <w:tcW w:w="7684" w:type="dxa"/>
          </w:tcPr>
          <w:p w:rsidRPr="00A32820" w:rsidR="00E62515" w:rsidP="00FE4186" w:rsidRDefault="00E62515" w14:paraId="4E95D5E1" w14:textId="77777777">
            <w:pPr>
              <w:pStyle w:val="BodyText"/>
              <w:ind w:left="34"/>
              <w:rPr>
                <w:rFonts w:cs="Arial"/>
                <w:sz w:val="20"/>
              </w:rPr>
            </w:pPr>
            <w:r>
              <w:rPr>
                <w:sz w:val="20"/>
              </w:rPr>
              <w:t>24% sucrose oral solution 1 mL.</w:t>
            </w:r>
          </w:p>
        </w:tc>
      </w:tr>
      <w:tr w:rsidRPr="003A7895" w:rsidR="00E62515" w:rsidTr="008D48AE" w14:paraId="12650635" w14:textId="77777777">
        <w:trPr>
          <w:trHeight w:val="498"/>
        </w:trPr>
        <w:tc>
          <w:tcPr>
            <w:tcW w:w="2410" w:type="dxa"/>
          </w:tcPr>
          <w:p w:rsidRPr="00EC60E0" w:rsidR="00E62515" w:rsidP="00FE4186" w:rsidRDefault="00E62515" w14:paraId="2302B7B9" w14:textId="77777777">
            <w:pPr>
              <w:pStyle w:val="BodyText"/>
              <w:rPr>
                <w:rFonts w:cs="Arial"/>
                <w:b/>
                <w:bCs/>
                <w:szCs w:val="24"/>
              </w:rPr>
            </w:pPr>
            <w:r w:rsidRPr="003A7895">
              <w:rPr>
                <w:rFonts w:cs="Arial"/>
                <w:b/>
                <w:bCs/>
                <w:szCs w:val="24"/>
              </w:rPr>
              <w:t xml:space="preserve">Dosage / Interval                          </w:t>
            </w:r>
          </w:p>
        </w:tc>
        <w:tc>
          <w:tcPr>
            <w:tcW w:w="7684" w:type="dxa"/>
          </w:tcPr>
          <w:p w:rsidR="00E62515" w:rsidP="00FE4186" w:rsidRDefault="00E62515" w14:paraId="3A4EF219" w14:textId="77777777">
            <w:pPr>
              <w:pStyle w:val="BodyText"/>
              <w:rPr>
                <w:rFonts w:cs="Arial"/>
                <w:sz w:val="20"/>
              </w:rPr>
            </w:pPr>
            <w:r>
              <w:rPr>
                <w:rFonts w:cs="Arial"/>
                <w:sz w:val="20"/>
              </w:rPr>
              <w:t>0.012–0.12 g (0.05–0.5 mL of 24% Sucrose)</w:t>
            </w:r>
          </w:p>
          <w:p w:rsidR="00E62515" w:rsidP="00FE4186" w:rsidRDefault="00E62515" w14:paraId="01AA8446" w14:textId="77777777">
            <w:pPr>
              <w:pStyle w:val="BodyText"/>
              <w:rPr>
                <w:rFonts w:cs="Arial"/>
                <w:sz w:val="20"/>
              </w:rPr>
            </w:pPr>
          </w:p>
          <w:p w:rsidRPr="00A32820" w:rsidR="00E62515" w:rsidP="00FE4186" w:rsidRDefault="00E62515" w14:paraId="05A12715" w14:textId="77777777">
            <w:pPr>
              <w:pStyle w:val="BodyText"/>
              <w:rPr>
                <w:rFonts w:cs="Arial"/>
                <w:sz w:val="20"/>
              </w:rPr>
            </w:pPr>
            <w:r>
              <w:rPr>
                <w:rFonts w:cs="Arial"/>
                <w:sz w:val="20"/>
              </w:rPr>
              <w:t xml:space="preserve">There are no published dose limits per day. There is a lack of long-term safety data in infants. Avoid excess usage in extreme to very preterm infants &lt; 31 weeks post-conceptual age (suggested maximum 1 mL cumulative dose per 24 hours). </w:t>
            </w:r>
          </w:p>
        </w:tc>
      </w:tr>
      <w:tr w:rsidRPr="003A7895" w:rsidR="00E62515" w:rsidTr="008D48AE" w14:paraId="509DB906" w14:textId="77777777">
        <w:trPr>
          <w:trHeight w:val="278"/>
        </w:trPr>
        <w:tc>
          <w:tcPr>
            <w:tcW w:w="2410" w:type="dxa"/>
          </w:tcPr>
          <w:p w:rsidRPr="00D943A8" w:rsidR="00E62515" w:rsidP="00FE4186" w:rsidRDefault="00E62515" w14:paraId="48ABE4DA" w14:textId="77777777">
            <w:pPr>
              <w:pStyle w:val="BodyText"/>
              <w:rPr>
                <w:rFonts w:cs="Arial"/>
                <w:b/>
                <w:bCs/>
                <w:szCs w:val="24"/>
              </w:rPr>
            </w:pPr>
            <w:r w:rsidRPr="003A7895">
              <w:rPr>
                <w:rFonts w:cs="Arial"/>
                <w:b/>
                <w:bCs/>
                <w:szCs w:val="24"/>
              </w:rPr>
              <w:t xml:space="preserve">Route                              </w:t>
            </w:r>
          </w:p>
        </w:tc>
        <w:tc>
          <w:tcPr>
            <w:tcW w:w="7684" w:type="dxa"/>
          </w:tcPr>
          <w:p w:rsidRPr="00A32820" w:rsidR="00E62515" w:rsidP="00FE4186" w:rsidRDefault="00E62515" w14:paraId="05776657" w14:textId="77777777">
            <w:pPr>
              <w:pStyle w:val="BodyText"/>
              <w:rPr>
                <w:rFonts w:cs="Arial"/>
                <w:sz w:val="20"/>
              </w:rPr>
            </w:pPr>
            <w:r>
              <w:rPr>
                <w:rFonts w:cs="Arial"/>
                <w:sz w:val="20"/>
              </w:rPr>
              <w:t>O</w:t>
            </w:r>
            <w:r w:rsidRPr="00A32820">
              <w:rPr>
                <w:rFonts w:cs="Arial"/>
                <w:sz w:val="20"/>
              </w:rPr>
              <w:t>ral</w:t>
            </w:r>
          </w:p>
        </w:tc>
      </w:tr>
      <w:tr w:rsidRPr="003A7895" w:rsidR="00E62515" w:rsidTr="008D48AE" w14:paraId="01127FC4" w14:textId="77777777">
        <w:trPr>
          <w:trHeight w:val="474"/>
        </w:trPr>
        <w:tc>
          <w:tcPr>
            <w:tcW w:w="2410" w:type="dxa"/>
          </w:tcPr>
          <w:p w:rsidRPr="00D943A8" w:rsidR="00E62515" w:rsidP="00FE4186" w:rsidRDefault="00E62515" w14:paraId="4DCFF578" w14:textId="77777777">
            <w:pPr>
              <w:pStyle w:val="BodyText"/>
              <w:rPr>
                <w:rFonts w:cs="Arial"/>
                <w:b/>
                <w:bCs/>
                <w:szCs w:val="24"/>
              </w:rPr>
            </w:pPr>
            <w:r w:rsidRPr="003A7895">
              <w:rPr>
                <w:rFonts w:cs="Arial"/>
                <w:b/>
                <w:bCs/>
                <w:szCs w:val="24"/>
              </w:rPr>
              <w:t xml:space="preserve">Administration                 </w:t>
            </w:r>
          </w:p>
        </w:tc>
        <w:tc>
          <w:tcPr>
            <w:tcW w:w="7684" w:type="dxa"/>
            <w:vAlign w:val="center"/>
          </w:tcPr>
          <w:p w:rsidR="00E62515" w:rsidP="00FE4186" w:rsidRDefault="00E62515" w14:paraId="3E08D1B6" w14:textId="77777777">
            <w:pPr>
              <w:pStyle w:val="BodyText"/>
              <w:rPr>
                <w:sz w:val="20"/>
              </w:rPr>
            </w:pPr>
            <w:r>
              <w:rPr>
                <w:rFonts w:cs="Arial"/>
                <w:sz w:val="20"/>
              </w:rPr>
              <w:t>Administer o</w:t>
            </w:r>
            <w:r w:rsidRPr="006620D1">
              <w:rPr>
                <w:rFonts w:cs="Arial"/>
                <w:sz w:val="20"/>
              </w:rPr>
              <w:t>nto buccal mucosa – under tongue or anterior tongue toward cheek</w:t>
            </w:r>
            <w:r>
              <w:rPr>
                <w:rFonts w:cs="Arial"/>
                <w:sz w:val="20"/>
              </w:rPr>
              <w:t>.</w:t>
            </w:r>
          </w:p>
          <w:p w:rsidR="00E62515" w:rsidP="00FE4186" w:rsidRDefault="00E62515" w14:paraId="73621A24" w14:textId="77777777">
            <w:pPr>
              <w:pStyle w:val="BodyText"/>
              <w:rPr>
                <w:sz w:val="20"/>
              </w:rPr>
            </w:pPr>
            <w:r>
              <w:rPr>
                <w:sz w:val="20"/>
              </w:rPr>
              <w:t>Do not administer directly into the stomach via an intra-gastric tube.</w:t>
            </w:r>
          </w:p>
          <w:p w:rsidR="00E62515" w:rsidP="00FE4186" w:rsidRDefault="00E62515" w14:paraId="1591CDEB" w14:textId="77777777">
            <w:pPr>
              <w:pStyle w:val="BodyText"/>
              <w:rPr>
                <w:sz w:val="20"/>
              </w:rPr>
            </w:pPr>
            <w:r>
              <w:rPr>
                <w:sz w:val="20"/>
              </w:rPr>
              <w:t>Two minutes prior to the painful procedure, administer a small volume of sucrose onto the anterior aspect of the infant’s tongue.</w:t>
            </w:r>
          </w:p>
          <w:p w:rsidR="00E62515" w:rsidP="00FE4186" w:rsidRDefault="00E62515" w14:paraId="15956726" w14:textId="77777777">
            <w:pPr>
              <w:pStyle w:val="BodyText"/>
              <w:rPr>
                <w:sz w:val="20"/>
              </w:rPr>
            </w:pPr>
            <w:r>
              <w:rPr>
                <w:sz w:val="20"/>
              </w:rPr>
              <w:t xml:space="preserve">Offer a pacifier if this is part of the infant’s care. Encourage non-nutritive sucking, as it may increase the pain relief effect.  </w:t>
            </w:r>
          </w:p>
          <w:p w:rsidR="00E62515" w:rsidP="00FE4186" w:rsidRDefault="00E62515" w14:paraId="1FA2C7D1" w14:textId="77777777">
            <w:pPr>
              <w:pStyle w:val="BodyText"/>
              <w:rPr>
                <w:sz w:val="20"/>
              </w:rPr>
            </w:pPr>
            <w:r>
              <w:rPr>
                <w:sz w:val="20"/>
              </w:rPr>
              <w:t>On commencement of the painful procedure, give another small volume to the infant.</w:t>
            </w:r>
          </w:p>
          <w:p w:rsidRPr="00A32820" w:rsidR="00E62515" w:rsidP="00FE4186" w:rsidRDefault="00E62515" w14:paraId="42D85A71" w14:textId="77777777">
            <w:pPr>
              <w:pStyle w:val="BodyText"/>
              <w:rPr>
                <w:rFonts w:cs="Arial"/>
                <w:sz w:val="20"/>
              </w:rPr>
            </w:pPr>
            <w:r>
              <w:rPr>
                <w:sz w:val="20"/>
              </w:rPr>
              <w:t>Continue to administer small volumes every 2 minutes or more frequently as required.</w:t>
            </w:r>
          </w:p>
        </w:tc>
      </w:tr>
      <w:tr w:rsidRPr="003A7895" w:rsidR="00E62515" w:rsidTr="008D48AE" w14:paraId="1BD82AB3" w14:textId="77777777">
        <w:trPr>
          <w:trHeight w:val="352"/>
        </w:trPr>
        <w:tc>
          <w:tcPr>
            <w:tcW w:w="2410" w:type="dxa"/>
          </w:tcPr>
          <w:p w:rsidRPr="00D943A8" w:rsidR="00E62515" w:rsidP="00FE4186" w:rsidRDefault="00E62515" w14:paraId="3DBC2618" w14:textId="77777777">
            <w:pPr>
              <w:pStyle w:val="BodyText"/>
              <w:rPr>
                <w:rFonts w:cs="Arial"/>
                <w:b/>
                <w:bCs/>
                <w:szCs w:val="24"/>
              </w:rPr>
            </w:pPr>
            <w:r>
              <w:rPr>
                <w:rFonts w:cs="Arial"/>
                <w:b/>
                <w:bCs/>
                <w:szCs w:val="24"/>
              </w:rPr>
              <w:t>Monitoring</w:t>
            </w:r>
          </w:p>
        </w:tc>
        <w:tc>
          <w:tcPr>
            <w:tcW w:w="7684" w:type="dxa"/>
          </w:tcPr>
          <w:p w:rsidRPr="00A32820" w:rsidR="00E62515" w:rsidP="00FE4186" w:rsidRDefault="00E62515" w14:paraId="760E40C8" w14:textId="77777777">
            <w:pPr>
              <w:pStyle w:val="BodyText"/>
              <w:rPr>
                <w:rFonts w:cs="Arial"/>
                <w:sz w:val="20"/>
              </w:rPr>
            </w:pPr>
            <w:r>
              <w:rPr>
                <w:rFonts w:cs="Arial"/>
                <w:sz w:val="20"/>
              </w:rPr>
              <w:t>Monitor for signs of gagging and choking.</w:t>
            </w:r>
            <w:r>
              <w:t xml:space="preserve"> </w:t>
            </w:r>
            <w:r>
              <w:rPr>
                <w:rFonts w:cs="Arial"/>
                <w:sz w:val="20"/>
              </w:rPr>
              <w:t>M</w:t>
            </w:r>
            <w:r w:rsidRPr="00017C20">
              <w:rPr>
                <w:rFonts w:cs="Arial"/>
                <w:sz w:val="20"/>
              </w:rPr>
              <w:t>onitor for effectiveness</w:t>
            </w:r>
            <w:r>
              <w:rPr>
                <w:rFonts w:cs="Arial"/>
                <w:sz w:val="20"/>
              </w:rPr>
              <w:t xml:space="preserve"> —</w:t>
            </w:r>
            <w:r w:rsidRPr="00017C20">
              <w:rPr>
                <w:rFonts w:cs="Arial"/>
                <w:sz w:val="20"/>
              </w:rPr>
              <w:t xml:space="preserve"> reduction in behavioural and physiological signs of pain</w:t>
            </w:r>
            <w:r>
              <w:rPr>
                <w:rFonts w:cs="Arial"/>
                <w:sz w:val="20"/>
              </w:rPr>
              <w:t>.</w:t>
            </w:r>
          </w:p>
        </w:tc>
      </w:tr>
      <w:tr w:rsidRPr="003A7895" w:rsidR="00E62515" w:rsidTr="008D48AE" w14:paraId="685BD55A" w14:textId="77777777">
        <w:trPr>
          <w:trHeight w:val="346"/>
        </w:trPr>
        <w:tc>
          <w:tcPr>
            <w:tcW w:w="2410" w:type="dxa"/>
          </w:tcPr>
          <w:p w:rsidRPr="00D943A8" w:rsidR="00E62515" w:rsidP="00FE4186" w:rsidRDefault="00E62515" w14:paraId="4EEADA30" w14:textId="77777777">
            <w:pPr>
              <w:pStyle w:val="BodyText"/>
              <w:rPr>
                <w:rFonts w:cs="Arial"/>
                <w:b/>
                <w:bCs/>
                <w:szCs w:val="24"/>
              </w:rPr>
            </w:pPr>
            <w:r w:rsidRPr="003A7895">
              <w:rPr>
                <w:rFonts w:cs="Arial"/>
                <w:b/>
                <w:bCs/>
                <w:szCs w:val="24"/>
              </w:rPr>
              <w:t xml:space="preserve">Contraindications                       </w:t>
            </w:r>
          </w:p>
        </w:tc>
        <w:tc>
          <w:tcPr>
            <w:tcW w:w="7684" w:type="dxa"/>
          </w:tcPr>
          <w:p w:rsidRPr="00A32820" w:rsidR="00E62515" w:rsidP="00FE4186" w:rsidRDefault="00E62515" w14:paraId="22C13004" w14:textId="77777777">
            <w:pPr>
              <w:pStyle w:val="BodyText"/>
              <w:rPr>
                <w:rFonts w:cs="Arial"/>
                <w:sz w:val="20"/>
              </w:rPr>
            </w:pPr>
            <w:r>
              <w:rPr>
                <w:sz w:val="20"/>
              </w:rPr>
              <w:t>Infants with known intolerance to sucrose or fructose.</w:t>
            </w:r>
          </w:p>
        </w:tc>
      </w:tr>
      <w:tr w:rsidRPr="003A7895" w:rsidR="00E62515" w:rsidTr="008D48AE" w14:paraId="6305D8D7" w14:textId="77777777">
        <w:tc>
          <w:tcPr>
            <w:tcW w:w="2410" w:type="dxa"/>
          </w:tcPr>
          <w:p w:rsidRPr="003A7895" w:rsidR="00E62515" w:rsidP="00FE4186" w:rsidRDefault="00E62515" w14:paraId="2614DDF9" w14:textId="77777777">
            <w:pPr>
              <w:pStyle w:val="BodyText"/>
              <w:rPr>
                <w:rFonts w:cs="Arial"/>
                <w:b/>
                <w:bCs/>
                <w:szCs w:val="24"/>
              </w:rPr>
            </w:pPr>
            <w:r w:rsidRPr="003A7895">
              <w:rPr>
                <w:szCs w:val="24"/>
              </w:rPr>
              <w:br w:type="page"/>
            </w:r>
            <w:r w:rsidRPr="003A7895">
              <w:rPr>
                <w:rFonts w:cs="Arial"/>
                <w:b/>
                <w:bCs/>
                <w:szCs w:val="24"/>
              </w:rPr>
              <w:t>Precautions</w:t>
            </w:r>
          </w:p>
        </w:tc>
        <w:tc>
          <w:tcPr>
            <w:tcW w:w="7684" w:type="dxa"/>
          </w:tcPr>
          <w:p w:rsidRPr="00A4414D" w:rsidR="00E62515" w:rsidP="00FE4186" w:rsidRDefault="00E62515" w14:paraId="0994721A" w14:textId="77777777">
            <w:pPr>
              <w:pStyle w:val="BodyText"/>
              <w:rPr>
                <w:rFonts w:cs="Arial"/>
                <w:sz w:val="20"/>
              </w:rPr>
            </w:pPr>
            <w:r>
              <w:rPr>
                <w:sz w:val="20"/>
              </w:rPr>
              <w:t>Use with caution in preterm neonates, intubated infants, infants who are muscle relaxed, infants with confirmed or suspected necrotising enterocolitis, infants with altered or impaired gag and swallow reflexes and infants who are nil by mouth.</w:t>
            </w:r>
          </w:p>
          <w:p w:rsidR="00E62515" w:rsidP="00FE4186" w:rsidRDefault="00E62515" w14:paraId="1EE9FE5A" w14:textId="77777777">
            <w:pPr>
              <w:rPr>
                <w:sz w:val="20"/>
              </w:rPr>
            </w:pPr>
            <w:r>
              <w:rPr>
                <w:sz w:val="20"/>
              </w:rPr>
              <w:t>Major procedures (e.g. insertion of a chest drain) requiring increased pain relief — consider other pain relief measures.</w:t>
            </w:r>
          </w:p>
          <w:p w:rsidRPr="00A4414D" w:rsidR="00E62515" w:rsidP="00FE4186" w:rsidRDefault="00E62515" w14:paraId="11CF914C" w14:textId="77777777">
            <w:pPr>
              <w:rPr>
                <w:rFonts w:cs="Arial"/>
                <w:sz w:val="20"/>
              </w:rPr>
            </w:pPr>
            <w:r>
              <w:rPr>
                <w:sz w:val="20"/>
              </w:rPr>
              <w:t>Infants requiring investigations for hypoglycaemia and inborn errors of metabolism.</w:t>
            </w:r>
          </w:p>
        </w:tc>
      </w:tr>
      <w:tr w:rsidRPr="003A7895" w:rsidR="00E62515" w:rsidTr="008D48AE" w14:paraId="7E300858" w14:textId="77777777">
        <w:trPr>
          <w:trHeight w:val="276"/>
        </w:trPr>
        <w:tc>
          <w:tcPr>
            <w:tcW w:w="2410" w:type="dxa"/>
          </w:tcPr>
          <w:p w:rsidRPr="003A7895" w:rsidR="00E62515" w:rsidP="00FE4186" w:rsidRDefault="00E62515" w14:paraId="725C8DD7" w14:textId="77777777">
            <w:pPr>
              <w:pStyle w:val="BodyText"/>
              <w:rPr>
                <w:rFonts w:cs="Arial"/>
                <w:b/>
                <w:bCs/>
                <w:szCs w:val="24"/>
              </w:rPr>
            </w:pPr>
            <w:r w:rsidRPr="003A7895">
              <w:rPr>
                <w:rFonts w:cs="Arial"/>
                <w:b/>
                <w:bCs/>
                <w:szCs w:val="24"/>
              </w:rPr>
              <w:t>Drug Interactions</w:t>
            </w:r>
          </w:p>
        </w:tc>
        <w:tc>
          <w:tcPr>
            <w:tcW w:w="7684" w:type="dxa"/>
          </w:tcPr>
          <w:p w:rsidRPr="00A4414D" w:rsidR="00E62515" w:rsidP="00FE4186" w:rsidRDefault="00E62515" w14:paraId="63BA53DC" w14:textId="77777777">
            <w:pPr>
              <w:pStyle w:val="BodyText"/>
              <w:rPr>
                <w:rFonts w:cs="Arial"/>
                <w:sz w:val="20"/>
              </w:rPr>
            </w:pPr>
            <w:r>
              <w:rPr>
                <w:sz w:val="20"/>
              </w:rPr>
              <w:t xml:space="preserve">Nil </w:t>
            </w:r>
          </w:p>
        </w:tc>
      </w:tr>
      <w:tr w:rsidRPr="003A7895" w:rsidR="00E62515" w:rsidTr="008D48AE" w14:paraId="22355954" w14:textId="77777777">
        <w:trPr>
          <w:trHeight w:val="429"/>
        </w:trPr>
        <w:tc>
          <w:tcPr>
            <w:tcW w:w="2410" w:type="dxa"/>
          </w:tcPr>
          <w:p w:rsidRPr="003A7895" w:rsidR="00E62515" w:rsidP="00FE4186" w:rsidRDefault="00E62515" w14:paraId="13BD079D" w14:textId="77777777">
            <w:pPr>
              <w:pStyle w:val="BodyText"/>
              <w:rPr>
                <w:rFonts w:cs="Arial"/>
                <w:b/>
                <w:bCs/>
                <w:szCs w:val="24"/>
              </w:rPr>
            </w:pPr>
            <w:r w:rsidRPr="003A7895">
              <w:rPr>
                <w:rFonts w:cs="Arial"/>
                <w:b/>
                <w:bCs/>
                <w:szCs w:val="24"/>
              </w:rPr>
              <w:t xml:space="preserve">Adverse Reactions         </w:t>
            </w:r>
          </w:p>
        </w:tc>
        <w:tc>
          <w:tcPr>
            <w:tcW w:w="7684" w:type="dxa"/>
          </w:tcPr>
          <w:p w:rsidRPr="00A32820" w:rsidR="00E62515" w:rsidP="00FE4186" w:rsidRDefault="00E62515" w14:paraId="55D9DE63" w14:textId="77777777">
            <w:pPr>
              <w:pStyle w:val="BodyText"/>
              <w:rPr>
                <w:rFonts w:cs="Arial"/>
                <w:sz w:val="20"/>
              </w:rPr>
            </w:pPr>
            <w:r>
              <w:rPr>
                <w:sz w:val="20"/>
              </w:rPr>
              <w:t>Sucrose is generally well tolerated. Administration may be associated with minor oxygen desaturation, choking, bradycardia and brief apnoeas.</w:t>
            </w:r>
            <w:r w:rsidRPr="009341A5">
              <w:rPr>
                <w:sz w:val="20"/>
                <w:vertAlign w:val="superscript"/>
              </w:rPr>
              <w:t>1</w:t>
            </w:r>
            <w:r>
              <w:rPr>
                <w:sz w:val="20"/>
              </w:rPr>
              <w:t xml:space="preserve"> </w:t>
            </w:r>
          </w:p>
        </w:tc>
      </w:tr>
      <w:tr w:rsidRPr="003A7895" w:rsidR="00E62515" w:rsidTr="008D48AE" w14:paraId="280D9228" w14:textId="77777777">
        <w:trPr>
          <w:trHeight w:val="241"/>
        </w:trPr>
        <w:tc>
          <w:tcPr>
            <w:tcW w:w="2410" w:type="dxa"/>
          </w:tcPr>
          <w:p w:rsidRPr="003A7895" w:rsidR="00E62515" w:rsidP="00FE4186" w:rsidRDefault="00E62515" w14:paraId="73B0AB6D" w14:textId="77777777">
            <w:pPr>
              <w:pStyle w:val="BodyText"/>
              <w:rPr>
                <w:rFonts w:cs="Arial"/>
                <w:b/>
                <w:bCs/>
                <w:szCs w:val="24"/>
              </w:rPr>
            </w:pPr>
            <w:r w:rsidRPr="003A7895">
              <w:rPr>
                <w:rFonts w:cs="Arial"/>
                <w:b/>
                <w:bCs/>
                <w:szCs w:val="24"/>
              </w:rPr>
              <w:t xml:space="preserve">Stability                  </w:t>
            </w:r>
          </w:p>
        </w:tc>
        <w:tc>
          <w:tcPr>
            <w:tcW w:w="7684" w:type="dxa"/>
          </w:tcPr>
          <w:p w:rsidRPr="00A32820" w:rsidR="00E62515" w:rsidP="00FE4186" w:rsidRDefault="00E62515" w14:paraId="5BAD727A" w14:textId="77777777">
            <w:pPr>
              <w:pStyle w:val="BodyText"/>
              <w:rPr>
                <w:sz w:val="20"/>
              </w:rPr>
            </w:pPr>
            <w:r>
              <w:rPr>
                <w:sz w:val="20"/>
              </w:rPr>
              <w:t>Single use only.</w:t>
            </w:r>
          </w:p>
        </w:tc>
      </w:tr>
      <w:tr w:rsidRPr="003A7895" w:rsidR="00E62515" w:rsidTr="008D48AE" w14:paraId="2D9510A0" w14:textId="77777777">
        <w:trPr>
          <w:trHeight w:val="216"/>
        </w:trPr>
        <w:tc>
          <w:tcPr>
            <w:tcW w:w="2410" w:type="dxa"/>
          </w:tcPr>
          <w:p w:rsidRPr="003A7895" w:rsidR="00E62515" w:rsidP="00FE4186" w:rsidRDefault="00E62515" w14:paraId="2BACC839" w14:textId="77777777">
            <w:pPr>
              <w:pStyle w:val="BodyText"/>
              <w:rPr>
                <w:rFonts w:cs="Arial"/>
                <w:b/>
                <w:bCs/>
                <w:szCs w:val="24"/>
              </w:rPr>
            </w:pPr>
            <w:r w:rsidRPr="003A7895">
              <w:rPr>
                <w:rFonts w:cs="Arial"/>
                <w:b/>
                <w:bCs/>
                <w:szCs w:val="24"/>
              </w:rPr>
              <w:t xml:space="preserve">Storage             </w:t>
            </w:r>
          </w:p>
        </w:tc>
        <w:tc>
          <w:tcPr>
            <w:tcW w:w="7684" w:type="dxa"/>
          </w:tcPr>
          <w:p w:rsidRPr="00A32820" w:rsidR="00E62515" w:rsidP="00FE4186" w:rsidRDefault="00E62515" w14:paraId="1E89F552" w14:textId="77777777">
            <w:pPr>
              <w:pStyle w:val="BodyText"/>
              <w:rPr>
                <w:rFonts w:cs="Arial"/>
                <w:sz w:val="20"/>
              </w:rPr>
            </w:pPr>
            <w:r w:rsidRPr="00A32820">
              <w:rPr>
                <w:sz w:val="20"/>
              </w:rPr>
              <w:t>Store below 25</w:t>
            </w:r>
            <w:r>
              <w:rPr>
                <w:sz w:val="20"/>
                <w:vertAlign w:val="superscript"/>
              </w:rPr>
              <w:t>◦</w:t>
            </w:r>
            <w:r w:rsidRPr="00A32820">
              <w:rPr>
                <w:sz w:val="20"/>
              </w:rPr>
              <w:t>C</w:t>
            </w:r>
            <w:r>
              <w:rPr>
                <w:sz w:val="20"/>
              </w:rPr>
              <w:t xml:space="preserve">. </w:t>
            </w:r>
          </w:p>
        </w:tc>
      </w:tr>
      <w:tr w:rsidRPr="003A7895" w:rsidR="00E62515" w:rsidTr="008D48AE" w14:paraId="6BB35D9D" w14:textId="77777777">
        <w:trPr>
          <w:trHeight w:val="207"/>
        </w:trPr>
        <w:tc>
          <w:tcPr>
            <w:tcW w:w="2410" w:type="dxa"/>
          </w:tcPr>
          <w:p w:rsidRPr="003A7895" w:rsidR="00E62515" w:rsidP="00FE4186" w:rsidRDefault="00E62515" w14:paraId="4AAB88B1" w14:textId="77777777">
            <w:pPr>
              <w:pStyle w:val="BodyText"/>
              <w:rPr>
                <w:rFonts w:cs="Arial"/>
                <w:b/>
                <w:bCs/>
                <w:szCs w:val="24"/>
              </w:rPr>
            </w:pPr>
            <w:r>
              <w:rPr>
                <w:rFonts w:cs="Arial"/>
                <w:b/>
                <w:bCs/>
                <w:szCs w:val="24"/>
              </w:rPr>
              <w:t>Special Comments</w:t>
            </w:r>
          </w:p>
        </w:tc>
        <w:tc>
          <w:tcPr>
            <w:tcW w:w="7684" w:type="dxa"/>
          </w:tcPr>
          <w:p w:rsidR="00E62515" w:rsidP="00FE4186" w:rsidRDefault="00E62515" w14:paraId="31A7BB7A" w14:textId="77777777">
            <w:pPr>
              <w:pStyle w:val="BodyText"/>
              <w:rPr>
                <w:sz w:val="20"/>
              </w:rPr>
            </w:pPr>
            <w:r>
              <w:rPr>
                <w:sz w:val="20"/>
              </w:rPr>
              <w:t>Breast milk is the first choice and sucrose is used when breast milk is not available.</w:t>
            </w:r>
          </w:p>
          <w:p w:rsidRPr="00A4414D" w:rsidR="00E62515" w:rsidP="00FE4186" w:rsidRDefault="00E62515" w14:paraId="0AD0149C" w14:textId="77777777">
            <w:pPr>
              <w:pStyle w:val="BodyText"/>
              <w:rPr>
                <w:rFonts w:cs="Arial"/>
                <w:sz w:val="20"/>
              </w:rPr>
            </w:pPr>
            <w:r w:rsidRPr="004147E0">
              <w:rPr>
                <w:sz w:val="20"/>
              </w:rPr>
              <w:t>Oral sucrose should be used in addition to other supportive non-pharmacological measures.</w:t>
            </w:r>
          </w:p>
        </w:tc>
      </w:tr>
      <w:tr w:rsidRPr="003A7895" w:rsidR="00E62515" w:rsidTr="008D48AE" w14:paraId="3BD0C8B6" w14:textId="77777777">
        <w:trPr>
          <w:trHeight w:val="93"/>
        </w:trPr>
        <w:tc>
          <w:tcPr>
            <w:tcW w:w="2410" w:type="dxa"/>
          </w:tcPr>
          <w:p w:rsidRPr="003A7895" w:rsidR="00E62515" w:rsidP="00FE4186" w:rsidRDefault="00E62515" w14:paraId="5B1B5209" w14:textId="77777777">
            <w:pPr>
              <w:pStyle w:val="BodyText"/>
              <w:rPr>
                <w:rFonts w:cs="Arial"/>
                <w:b/>
                <w:bCs/>
                <w:szCs w:val="24"/>
              </w:rPr>
            </w:pPr>
            <w:r>
              <w:rPr>
                <w:rFonts w:cs="Arial"/>
                <w:b/>
                <w:bCs/>
                <w:szCs w:val="24"/>
              </w:rPr>
              <w:t>Evidence Summary</w:t>
            </w:r>
            <w:r w:rsidRPr="003A7895">
              <w:rPr>
                <w:rFonts w:cs="Arial"/>
                <w:b/>
                <w:bCs/>
                <w:szCs w:val="24"/>
              </w:rPr>
              <w:t xml:space="preserve"> </w:t>
            </w:r>
          </w:p>
        </w:tc>
        <w:tc>
          <w:tcPr>
            <w:tcW w:w="7684" w:type="dxa"/>
          </w:tcPr>
          <w:p w:rsidRPr="00AB0434" w:rsidR="00E62515" w:rsidP="00FE4186" w:rsidRDefault="00E62515" w14:paraId="422702CE" w14:textId="77777777">
            <w:pPr>
              <w:pStyle w:val="BodyText"/>
              <w:rPr>
                <w:rFonts w:cs="Arial"/>
                <w:b/>
                <w:sz w:val="20"/>
              </w:rPr>
            </w:pPr>
            <w:r w:rsidRPr="00AB0434">
              <w:rPr>
                <w:rFonts w:cs="Arial"/>
                <w:b/>
                <w:sz w:val="20"/>
              </w:rPr>
              <w:t>Efficacy</w:t>
            </w:r>
          </w:p>
          <w:p w:rsidRPr="00436ECA" w:rsidR="00E62515" w:rsidP="00FE4186" w:rsidRDefault="00E62515" w14:paraId="6DA36303" w14:textId="77777777">
            <w:pPr>
              <w:pStyle w:val="BodyText"/>
              <w:rPr>
                <w:rFonts w:cs="Arial"/>
                <w:sz w:val="20"/>
              </w:rPr>
            </w:pPr>
            <w:r w:rsidRPr="00F4537D">
              <w:rPr>
                <w:rFonts w:cs="Arial"/>
                <w:sz w:val="20"/>
              </w:rPr>
              <w:t>Sucrose is effective for reducing procedural pain from single events such as heel lance, ven</w:t>
            </w:r>
            <w:r>
              <w:rPr>
                <w:rFonts w:cs="Arial"/>
                <w:sz w:val="20"/>
              </w:rPr>
              <w:t>e</w:t>
            </w:r>
            <w:r w:rsidRPr="00F4537D">
              <w:rPr>
                <w:rFonts w:cs="Arial"/>
                <w:sz w:val="20"/>
              </w:rPr>
              <w:t>puncture and intramuscular injection in</w:t>
            </w:r>
            <w:r>
              <w:rPr>
                <w:rFonts w:cs="Arial"/>
                <w:sz w:val="20"/>
              </w:rPr>
              <w:t xml:space="preserve"> </w:t>
            </w:r>
            <w:r w:rsidRPr="00F4537D">
              <w:rPr>
                <w:rFonts w:cs="Arial"/>
                <w:sz w:val="20"/>
              </w:rPr>
              <w:t>both preterm and term infants.</w:t>
            </w:r>
            <w:r>
              <w:t xml:space="preserve"> </w:t>
            </w:r>
            <w:r w:rsidRPr="00F4537D">
              <w:rPr>
                <w:rFonts w:asciiTheme="minorHAnsi" w:hAnsiTheme="minorHAnsi"/>
                <w:sz w:val="20"/>
              </w:rPr>
              <w:t>Sucrose</w:t>
            </w:r>
            <w:r>
              <w:rPr>
                <w:rFonts w:asciiTheme="minorHAnsi" w:hAnsiTheme="minorHAnsi"/>
                <w:sz w:val="20"/>
              </w:rPr>
              <w:t xml:space="preserve"> </w:t>
            </w:r>
            <w:r w:rsidRPr="00F4537D">
              <w:rPr>
                <w:rFonts w:asciiTheme="minorHAnsi" w:hAnsiTheme="minorHAnsi"/>
                <w:sz w:val="20"/>
              </w:rPr>
              <w:t>is not effective in reducing pain from circumcision. The effectiveness of sucrose for reducing pain/stress from other interventions such</w:t>
            </w:r>
            <w:r>
              <w:rPr>
                <w:rFonts w:asciiTheme="minorHAnsi" w:hAnsiTheme="minorHAnsi"/>
                <w:sz w:val="20"/>
              </w:rPr>
              <w:t xml:space="preserve"> </w:t>
            </w:r>
            <w:r w:rsidRPr="00F4537D">
              <w:rPr>
                <w:rFonts w:asciiTheme="minorHAnsi" w:hAnsiTheme="minorHAnsi"/>
                <w:sz w:val="20"/>
              </w:rPr>
              <w:t>as arterial puncture, subcutaneous injection, insertion of</w:t>
            </w:r>
            <w:r>
              <w:rPr>
                <w:rFonts w:asciiTheme="minorHAnsi" w:hAnsiTheme="minorHAnsi"/>
                <w:sz w:val="20"/>
              </w:rPr>
              <w:t xml:space="preserve"> </w:t>
            </w:r>
            <w:r w:rsidRPr="00F4537D">
              <w:rPr>
                <w:rFonts w:asciiTheme="minorHAnsi" w:hAnsiTheme="minorHAnsi"/>
                <w:sz w:val="20"/>
              </w:rPr>
              <w:t>nasogastric or orogastric tubes, bladder cathe</w:t>
            </w:r>
            <w:r>
              <w:rPr>
                <w:rFonts w:asciiTheme="minorHAnsi" w:hAnsiTheme="minorHAnsi"/>
                <w:sz w:val="20"/>
              </w:rPr>
              <w:t>te</w:t>
            </w:r>
            <w:r w:rsidRPr="00F4537D">
              <w:rPr>
                <w:rFonts w:asciiTheme="minorHAnsi" w:hAnsiTheme="minorHAnsi"/>
                <w:sz w:val="20"/>
              </w:rPr>
              <w:t>ri</w:t>
            </w:r>
            <w:r>
              <w:rPr>
                <w:rFonts w:asciiTheme="minorHAnsi" w:hAnsiTheme="minorHAnsi"/>
                <w:sz w:val="20"/>
              </w:rPr>
              <w:t>s</w:t>
            </w:r>
            <w:r w:rsidRPr="00F4537D">
              <w:rPr>
                <w:rFonts w:asciiTheme="minorHAnsi" w:hAnsiTheme="minorHAnsi"/>
                <w:sz w:val="20"/>
              </w:rPr>
              <w:t>ation, eye examinations and</w:t>
            </w:r>
            <w:r>
              <w:rPr>
                <w:rFonts w:asciiTheme="minorHAnsi" w:hAnsiTheme="minorHAnsi"/>
                <w:sz w:val="20"/>
              </w:rPr>
              <w:t xml:space="preserve"> </w:t>
            </w:r>
            <w:r w:rsidRPr="00F4537D">
              <w:rPr>
                <w:rFonts w:asciiTheme="minorHAnsi" w:hAnsiTheme="minorHAnsi"/>
                <w:sz w:val="20"/>
              </w:rPr>
              <w:t>echocardiography examinations are inconclusive.</w:t>
            </w:r>
            <w:r>
              <w:rPr>
                <w:rFonts w:asciiTheme="minorHAnsi" w:hAnsiTheme="minorHAnsi"/>
                <w:sz w:val="20"/>
              </w:rPr>
              <w:t xml:space="preserve"> For eye examinations, t</w:t>
            </w:r>
            <w:r w:rsidRPr="00D2762C">
              <w:rPr>
                <w:rFonts w:asciiTheme="minorHAnsi" w:hAnsiTheme="minorHAnsi"/>
                <w:sz w:val="20"/>
              </w:rPr>
              <w:t>here is limited evidence that sucrose</w:t>
            </w:r>
            <w:r>
              <w:rPr>
                <w:rFonts w:asciiTheme="minorHAnsi" w:hAnsiTheme="minorHAnsi"/>
                <w:sz w:val="20"/>
              </w:rPr>
              <w:t xml:space="preserve"> </w:t>
            </w:r>
            <w:r w:rsidRPr="00D2762C">
              <w:rPr>
                <w:rFonts w:asciiTheme="minorHAnsi" w:hAnsiTheme="minorHAnsi"/>
                <w:sz w:val="20"/>
              </w:rPr>
              <w:t>may confer some pain relief when</w:t>
            </w:r>
            <w:r>
              <w:rPr>
                <w:rFonts w:asciiTheme="minorHAnsi" w:hAnsiTheme="minorHAnsi"/>
                <w:sz w:val="20"/>
              </w:rPr>
              <w:t xml:space="preserve"> </w:t>
            </w:r>
            <w:r w:rsidRPr="00D2762C">
              <w:rPr>
                <w:rFonts w:asciiTheme="minorHAnsi" w:hAnsiTheme="minorHAnsi"/>
                <w:sz w:val="20"/>
              </w:rPr>
              <w:t xml:space="preserve">combined with other pain reducing </w:t>
            </w:r>
            <w:r w:rsidRPr="00D2762C">
              <w:rPr>
                <w:rFonts w:asciiTheme="minorHAnsi" w:hAnsiTheme="minorHAnsi"/>
                <w:sz w:val="20"/>
              </w:rPr>
              <w:lastRenderedPageBreak/>
              <w:t>interventions.</w:t>
            </w:r>
            <w:r w:rsidRPr="00AB0434">
              <w:rPr>
                <w:rFonts w:cs="Arial"/>
                <w:sz w:val="20"/>
                <w:vertAlign w:val="superscript"/>
              </w:rPr>
              <w:t>1</w:t>
            </w:r>
            <w:r>
              <w:rPr>
                <w:rFonts w:cs="Arial"/>
                <w:sz w:val="20"/>
              </w:rPr>
              <w:t xml:space="preserve"> (LOE I, GOR A). Combined intervention of sucrose and non-nutritive sucking are more effective in providing analgesia than single intervention in term neonates undergoing heel lance.</w:t>
            </w:r>
            <w:r>
              <w:rPr>
                <w:rFonts w:cs="Arial"/>
                <w:sz w:val="20"/>
                <w:vertAlign w:val="superscript"/>
              </w:rPr>
              <w:t xml:space="preserve">2 </w:t>
            </w:r>
            <w:r>
              <w:rPr>
                <w:rFonts w:cs="Arial"/>
                <w:sz w:val="20"/>
              </w:rPr>
              <w:t>(LOE II/GOR B). There were very few studies conducted in extremely preterm infants &lt; 27 weeks gestation. Sucrose is possibly effective in reducing pain from immunisations from 1 to 12 months.</w:t>
            </w:r>
            <w:r w:rsidRPr="005D1084">
              <w:rPr>
                <w:rFonts w:cs="Arial"/>
                <w:sz w:val="20"/>
                <w:vertAlign w:val="superscript"/>
              </w:rPr>
              <w:t xml:space="preserve"> </w:t>
            </w:r>
            <w:r>
              <w:rPr>
                <w:rFonts w:cs="Arial"/>
                <w:sz w:val="20"/>
              </w:rPr>
              <w:t xml:space="preserve"> (LOE I GOR B) </w:t>
            </w:r>
            <w:r w:rsidRPr="00436ECA">
              <w:rPr>
                <w:rFonts w:cs="Arial"/>
                <w:sz w:val="20"/>
              </w:rPr>
              <w:t>Administration of glucose/sucrose had similar effectiveness as breastfeeding for</w:t>
            </w:r>
            <w:r>
              <w:rPr>
                <w:rFonts w:cs="Arial"/>
                <w:sz w:val="20"/>
              </w:rPr>
              <w:t xml:space="preserve"> </w:t>
            </w:r>
            <w:r w:rsidRPr="00436ECA">
              <w:rPr>
                <w:rFonts w:cs="Arial"/>
                <w:sz w:val="20"/>
              </w:rPr>
              <w:t>reducing pain.</w:t>
            </w:r>
            <w:r>
              <w:rPr>
                <w:rFonts w:cs="Arial"/>
                <w:sz w:val="20"/>
                <w:vertAlign w:val="superscript"/>
              </w:rPr>
              <w:t>6</w:t>
            </w:r>
            <w:r>
              <w:rPr>
                <w:rFonts w:cs="Arial"/>
                <w:sz w:val="20"/>
              </w:rPr>
              <w:t xml:space="preserve"> (LOE I GOR B)</w:t>
            </w:r>
          </w:p>
          <w:p w:rsidR="00E62515" w:rsidP="00FE4186" w:rsidRDefault="00E62515" w14:paraId="301A638D" w14:textId="77777777">
            <w:pPr>
              <w:pStyle w:val="BodyText"/>
              <w:rPr>
                <w:rFonts w:cs="Arial"/>
                <w:sz w:val="20"/>
              </w:rPr>
            </w:pPr>
          </w:p>
          <w:p w:rsidRPr="00F91910" w:rsidR="00E62515" w:rsidP="00FE4186" w:rsidRDefault="00E62515" w14:paraId="7F69DCA1" w14:textId="77777777">
            <w:pPr>
              <w:pStyle w:val="BodyText"/>
              <w:rPr>
                <w:rFonts w:cs="Arial"/>
                <w:sz w:val="20"/>
              </w:rPr>
            </w:pPr>
            <w:r w:rsidRPr="005D1084">
              <w:rPr>
                <w:rFonts w:cs="Arial"/>
                <w:sz w:val="20"/>
              </w:rPr>
              <w:t>Precise sucrose dosing and age parameters are not</w:t>
            </w:r>
            <w:r>
              <w:rPr>
                <w:rFonts w:cs="Arial"/>
                <w:sz w:val="20"/>
              </w:rPr>
              <w:t xml:space="preserve"> </w:t>
            </w:r>
            <w:r w:rsidRPr="005D1084">
              <w:rPr>
                <w:rFonts w:cs="Arial"/>
                <w:sz w:val="20"/>
              </w:rPr>
              <w:t>well defined.</w:t>
            </w:r>
            <w:r>
              <w:rPr>
                <w:rFonts w:cs="Arial"/>
                <w:sz w:val="20"/>
              </w:rPr>
              <w:t xml:space="preserve"> There are no published dose limits per day.</w:t>
            </w:r>
            <w:r w:rsidRPr="005D1084">
              <w:rPr>
                <w:rFonts w:cs="Arial"/>
                <w:sz w:val="20"/>
                <w:vertAlign w:val="superscript"/>
              </w:rPr>
              <w:t>4</w:t>
            </w:r>
            <w:r>
              <w:rPr>
                <w:rFonts w:cs="Arial"/>
                <w:sz w:val="20"/>
              </w:rPr>
              <w:t xml:space="preserve"> </w:t>
            </w:r>
          </w:p>
          <w:p w:rsidR="00E62515" w:rsidP="00FE4186" w:rsidRDefault="00E62515" w14:paraId="1B420679" w14:textId="77777777">
            <w:pPr>
              <w:pStyle w:val="BodyText"/>
              <w:rPr>
                <w:rFonts w:cs="Arial"/>
                <w:sz w:val="20"/>
              </w:rPr>
            </w:pPr>
          </w:p>
          <w:p w:rsidR="00E62515" w:rsidP="00FE4186" w:rsidRDefault="00E62515" w14:paraId="4EFF1EB5" w14:textId="77777777">
            <w:pPr>
              <w:pStyle w:val="BodyText"/>
              <w:rPr>
                <w:rFonts w:cs="Arial"/>
                <w:b/>
                <w:sz w:val="20"/>
              </w:rPr>
            </w:pPr>
            <w:r w:rsidRPr="00F97026">
              <w:rPr>
                <w:rFonts w:cs="Arial"/>
                <w:b/>
                <w:sz w:val="20"/>
              </w:rPr>
              <w:t>Safety</w:t>
            </w:r>
          </w:p>
          <w:p w:rsidRPr="00284BCA" w:rsidR="00E62515" w:rsidP="00FE4186" w:rsidRDefault="00E62515" w14:paraId="2C49DBEC" w14:textId="77777777">
            <w:pPr>
              <w:pStyle w:val="BodyText"/>
              <w:rPr>
                <w:rFonts w:cs="Arial"/>
                <w:sz w:val="20"/>
              </w:rPr>
            </w:pPr>
            <w:r w:rsidRPr="00284BCA">
              <w:rPr>
                <w:rFonts w:cs="Arial"/>
                <w:sz w:val="20"/>
              </w:rPr>
              <w:t>Sucrose is generally well tolerated</w:t>
            </w:r>
            <w:r>
              <w:rPr>
                <w:rFonts w:cs="Arial"/>
                <w:sz w:val="20"/>
              </w:rPr>
              <w:t xml:space="preserve"> with r</w:t>
            </w:r>
            <w:r w:rsidRPr="00436ECA">
              <w:rPr>
                <w:rFonts w:cs="Arial"/>
                <w:sz w:val="20"/>
              </w:rPr>
              <w:t>eported adverse effects minor and similar in the sucrose and control groups.</w:t>
            </w:r>
            <w:r w:rsidRPr="00284BCA">
              <w:rPr>
                <w:rFonts w:cs="Arial"/>
                <w:sz w:val="20"/>
                <w:vertAlign w:val="superscript"/>
              </w:rPr>
              <w:t>1</w:t>
            </w:r>
            <w:r>
              <w:rPr>
                <w:rFonts w:cs="Arial"/>
                <w:sz w:val="20"/>
                <w:vertAlign w:val="superscript"/>
              </w:rPr>
              <w:t>,3</w:t>
            </w:r>
            <w:r>
              <w:rPr>
                <w:rFonts w:cs="Arial"/>
                <w:sz w:val="20"/>
              </w:rPr>
              <w:t xml:space="preserve"> (LOE I, GOR A). </w:t>
            </w:r>
            <w:r w:rsidRPr="003D3B7C">
              <w:rPr>
                <w:rFonts w:cs="Arial"/>
                <w:sz w:val="20"/>
              </w:rPr>
              <w:t>Additional research is needed to determine the effect of repeated sucrose administration on pain intensity</w:t>
            </w:r>
            <w:r>
              <w:rPr>
                <w:rFonts w:cs="Arial"/>
                <w:sz w:val="20"/>
              </w:rPr>
              <w:t>. There are no long-term studies on neurodevelopmental outcomes. However, Johnston et al observed neurobehavioural changes at term corrected age in infants &lt; 31 weeks post-conceptual age receiving a cumulative dose &gt; 1 mL in 24 hours (LOE II, GOR C).</w:t>
            </w:r>
            <w:r w:rsidRPr="009341A5">
              <w:rPr>
                <w:rFonts w:cs="Arial"/>
                <w:sz w:val="20"/>
                <w:vertAlign w:val="superscript"/>
              </w:rPr>
              <w:t>7,8</w:t>
            </w:r>
            <w:r>
              <w:rPr>
                <w:rFonts w:cs="Arial"/>
                <w:sz w:val="20"/>
              </w:rPr>
              <w:t xml:space="preserve"> </w:t>
            </w:r>
          </w:p>
          <w:p w:rsidR="00E62515" w:rsidP="00FE4186" w:rsidRDefault="00E62515" w14:paraId="2886C23B" w14:textId="77777777">
            <w:pPr>
              <w:pStyle w:val="BodyText"/>
              <w:rPr>
                <w:rFonts w:cs="Arial"/>
                <w:sz w:val="20"/>
              </w:rPr>
            </w:pPr>
          </w:p>
          <w:p w:rsidRPr="00284BCA" w:rsidR="00E62515" w:rsidP="00FE4186" w:rsidRDefault="00E62515" w14:paraId="54D60E93" w14:textId="77777777">
            <w:pPr>
              <w:pStyle w:val="BodyText"/>
              <w:rPr>
                <w:rFonts w:cs="Arial"/>
                <w:b/>
                <w:sz w:val="20"/>
              </w:rPr>
            </w:pPr>
            <w:r w:rsidRPr="00284BCA">
              <w:rPr>
                <w:rFonts w:cs="Arial"/>
                <w:b/>
                <w:sz w:val="20"/>
              </w:rPr>
              <w:t>Pharm</w:t>
            </w:r>
            <w:r>
              <w:rPr>
                <w:rFonts w:cs="Arial"/>
                <w:b/>
                <w:sz w:val="20"/>
              </w:rPr>
              <w:t>a</w:t>
            </w:r>
            <w:r w:rsidRPr="00284BCA">
              <w:rPr>
                <w:rFonts w:cs="Arial"/>
                <w:b/>
                <w:sz w:val="20"/>
              </w:rPr>
              <w:t>co</w:t>
            </w:r>
            <w:r>
              <w:rPr>
                <w:rFonts w:cs="Arial"/>
                <w:b/>
                <w:sz w:val="20"/>
              </w:rPr>
              <w:t>dynamics</w:t>
            </w:r>
          </w:p>
          <w:p w:rsidRPr="00C4486E" w:rsidR="00E62515" w:rsidP="00FE4186" w:rsidRDefault="00E62515" w14:paraId="32F9FFA2" w14:textId="77777777">
            <w:pPr>
              <w:pStyle w:val="BodyText"/>
              <w:rPr>
                <w:rFonts w:cs="Arial"/>
                <w:sz w:val="20"/>
              </w:rPr>
            </w:pPr>
            <w:r w:rsidRPr="00284BCA">
              <w:rPr>
                <w:sz w:val="20"/>
              </w:rPr>
              <w:t>The greatest analgesic effect occurs when sucrose is administered</w:t>
            </w:r>
            <w:r>
              <w:rPr>
                <w:sz w:val="20"/>
              </w:rPr>
              <w:t xml:space="preserve"> </w:t>
            </w:r>
            <w:r w:rsidRPr="00284BCA">
              <w:rPr>
                <w:sz w:val="20"/>
              </w:rPr>
              <w:t>approximately two minutes before the painful stimulus. The peak effect appears to occur at two minutes</w:t>
            </w:r>
            <w:r>
              <w:rPr>
                <w:sz w:val="20"/>
              </w:rPr>
              <w:t xml:space="preserve"> </w:t>
            </w:r>
            <w:r w:rsidRPr="00284BCA">
              <w:rPr>
                <w:sz w:val="20"/>
              </w:rPr>
              <w:t>and lasts approximately four minutes</w:t>
            </w:r>
            <w:r>
              <w:rPr>
                <w:sz w:val="20"/>
              </w:rPr>
              <w:t>.</w:t>
            </w:r>
            <w:r w:rsidRPr="00284BCA">
              <w:rPr>
                <w:sz w:val="20"/>
                <w:vertAlign w:val="superscript"/>
              </w:rPr>
              <w:t>1</w:t>
            </w:r>
          </w:p>
        </w:tc>
      </w:tr>
      <w:tr w:rsidRPr="003A7895" w:rsidR="00E62515" w:rsidTr="008D48AE" w14:paraId="098CDCD9" w14:textId="77777777">
        <w:trPr>
          <w:trHeight w:val="534"/>
        </w:trPr>
        <w:tc>
          <w:tcPr>
            <w:tcW w:w="2410" w:type="dxa"/>
          </w:tcPr>
          <w:p w:rsidRPr="003A7895" w:rsidR="00E62515" w:rsidP="00FE4186" w:rsidRDefault="00E62515" w14:paraId="53B0C64F" w14:textId="77777777">
            <w:pPr>
              <w:pStyle w:val="BodyText"/>
              <w:rPr>
                <w:rFonts w:cs="Arial"/>
                <w:b/>
                <w:bCs/>
                <w:szCs w:val="24"/>
              </w:rPr>
            </w:pPr>
            <w:r w:rsidRPr="003A7895">
              <w:rPr>
                <w:b/>
                <w:szCs w:val="24"/>
              </w:rPr>
              <w:lastRenderedPageBreak/>
              <w:t>References</w:t>
            </w:r>
          </w:p>
        </w:tc>
        <w:tc>
          <w:tcPr>
            <w:tcW w:w="7684" w:type="dxa"/>
          </w:tcPr>
          <w:p w:rsidR="00E62515" w:rsidP="00FE4186" w:rsidRDefault="00E62515" w14:paraId="3FB49685" w14:textId="77777777">
            <w:pPr>
              <w:autoSpaceDE w:val="0"/>
              <w:autoSpaceDN w:val="0"/>
              <w:adjustRightInd w:val="0"/>
              <w:rPr>
                <w:rFonts w:cs="AdvOT46dcae81" w:asciiTheme="minorHAnsi" w:hAnsiTheme="minorHAnsi"/>
                <w:color w:val="231F20"/>
                <w:sz w:val="20"/>
                <w:lang w:eastAsia="en-AU"/>
              </w:rPr>
            </w:pPr>
            <w:r>
              <w:rPr>
                <w:rFonts w:cs="AdvOT46dcae81" w:asciiTheme="minorHAnsi" w:hAnsiTheme="minorHAnsi"/>
                <w:color w:val="231F20"/>
                <w:sz w:val="20"/>
                <w:lang w:eastAsia="en-AU"/>
              </w:rPr>
              <w:t xml:space="preserve">1. </w:t>
            </w:r>
            <w:r w:rsidRPr="00F4537D">
              <w:rPr>
                <w:rFonts w:cs="AdvOT46dcae81" w:asciiTheme="minorHAnsi" w:hAnsiTheme="minorHAnsi"/>
                <w:color w:val="231F20"/>
                <w:sz w:val="20"/>
                <w:lang w:eastAsia="en-AU"/>
              </w:rPr>
              <w:t>Stevens B, Yamada J, Ohlsson A, Haliburton S, Shorkey A. Sucrose for analgesia in newborn infants undergoing painful</w:t>
            </w:r>
            <w:r>
              <w:rPr>
                <w:rFonts w:cs="AdvOT46dcae81" w:asciiTheme="minorHAnsi" w:hAnsiTheme="minorHAnsi"/>
                <w:color w:val="231F20"/>
                <w:sz w:val="20"/>
                <w:lang w:eastAsia="en-AU"/>
              </w:rPr>
              <w:t xml:space="preserve"> </w:t>
            </w:r>
            <w:r w:rsidRPr="00F4537D">
              <w:rPr>
                <w:rFonts w:cs="AdvOT46dcae81" w:asciiTheme="minorHAnsi" w:hAnsiTheme="minorHAnsi"/>
                <w:color w:val="231F20"/>
                <w:sz w:val="20"/>
                <w:lang w:eastAsia="en-AU"/>
              </w:rPr>
              <w:t>procedures. Cochrane Database of Systematic Reviews 2016, Issue 7. Art. No.: CD001069. DOI: 10.1002/14651858.CD001069.pub5.</w:t>
            </w:r>
          </w:p>
          <w:p w:rsidRPr="00F730AB" w:rsidR="00E62515" w:rsidP="00FE4186" w:rsidRDefault="00E62515" w14:paraId="0DFF53A5" w14:textId="77777777">
            <w:pPr>
              <w:autoSpaceDE w:val="0"/>
              <w:autoSpaceDN w:val="0"/>
              <w:adjustRightInd w:val="0"/>
              <w:rPr>
                <w:rFonts w:asciiTheme="minorHAnsi" w:hAnsiTheme="minorHAnsi"/>
                <w:sz w:val="20"/>
              </w:rPr>
            </w:pPr>
            <w:r>
              <w:rPr>
                <w:rFonts w:asciiTheme="minorHAnsi" w:hAnsiTheme="minorHAnsi"/>
                <w:sz w:val="20"/>
              </w:rPr>
              <w:t xml:space="preserve">2. </w:t>
            </w:r>
            <w:r w:rsidRPr="00F730AB">
              <w:rPr>
                <w:rFonts w:asciiTheme="minorHAnsi" w:hAnsiTheme="minorHAnsi"/>
                <w:sz w:val="20"/>
              </w:rPr>
              <w:t>Thakkar P, Arora K, Goyal K, Das RR, Javadekar B,</w:t>
            </w:r>
            <w:r>
              <w:rPr>
                <w:rFonts w:asciiTheme="minorHAnsi" w:hAnsiTheme="minorHAnsi"/>
                <w:sz w:val="20"/>
              </w:rPr>
              <w:t xml:space="preserve"> </w:t>
            </w:r>
            <w:r w:rsidRPr="00F730AB">
              <w:rPr>
                <w:rFonts w:asciiTheme="minorHAnsi" w:hAnsiTheme="minorHAnsi"/>
                <w:sz w:val="20"/>
              </w:rPr>
              <w:t>Aiyer S,</w:t>
            </w:r>
            <w:r>
              <w:rPr>
                <w:rFonts w:asciiTheme="minorHAnsi" w:hAnsiTheme="minorHAnsi"/>
                <w:sz w:val="20"/>
              </w:rPr>
              <w:t xml:space="preserve"> </w:t>
            </w:r>
            <w:r w:rsidRPr="00F730AB">
              <w:rPr>
                <w:rFonts w:asciiTheme="minorHAnsi" w:hAnsiTheme="minorHAnsi"/>
                <w:sz w:val="20"/>
              </w:rPr>
              <w:t xml:space="preserve">Panigrahi SK. </w:t>
            </w:r>
            <w:hyperlink w:history="1" r:id="rId78">
              <w:r w:rsidRPr="00F730AB">
                <w:rPr>
                  <w:rStyle w:val="Hyperlink"/>
                  <w:rFonts w:asciiTheme="minorHAnsi" w:hAnsiTheme="minorHAnsi"/>
                  <w:sz w:val="20"/>
                </w:rPr>
                <w:t>To</w:t>
              </w:r>
              <w:r>
                <w:rPr>
                  <w:rStyle w:val="Hyperlink"/>
                  <w:rFonts w:asciiTheme="minorHAnsi" w:hAnsiTheme="minorHAnsi"/>
                  <w:sz w:val="20"/>
                </w:rPr>
                <w:t xml:space="preserve"> evaluate and compare the efficacy of combined sucrose </w:t>
              </w:r>
              <w:r w:rsidRPr="00F730AB">
                <w:rPr>
                  <w:rStyle w:val="Hyperlink"/>
                  <w:rFonts w:asciiTheme="minorHAnsi" w:hAnsiTheme="minorHAnsi"/>
                  <w:sz w:val="20"/>
                </w:rPr>
                <w:t>and non-nutritive sucking for analgesia in newborns undergoing minor painful procedure: a randomized controlled trial.</w:t>
              </w:r>
            </w:hyperlink>
            <w:r w:rsidRPr="00F730AB">
              <w:rPr>
                <w:rFonts w:asciiTheme="minorHAnsi" w:hAnsiTheme="minorHAnsi"/>
                <w:sz w:val="20"/>
              </w:rPr>
              <w:t xml:space="preserve"> </w:t>
            </w:r>
            <w:r w:rsidRPr="00F730AB">
              <w:rPr>
                <w:rStyle w:val="jrnl"/>
                <w:rFonts w:asciiTheme="minorHAnsi" w:hAnsiTheme="minorHAnsi"/>
                <w:sz w:val="20"/>
              </w:rPr>
              <w:t>J Perinatol</w:t>
            </w:r>
            <w:r w:rsidRPr="00F730AB">
              <w:rPr>
                <w:rFonts w:asciiTheme="minorHAnsi" w:hAnsiTheme="minorHAnsi"/>
                <w:sz w:val="20"/>
              </w:rPr>
              <w:t>. 2016 Jan;36(1):67-70</w:t>
            </w:r>
          </w:p>
          <w:p w:rsidR="00E62515" w:rsidP="00FE4186" w:rsidRDefault="00E62515" w14:paraId="1738A6ED" w14:textId="77777777">
            <w:pPr>
              <w:rPr>
                <w:rFonts w:asciiTheme="minorHAnsi" w:hAnsiTheme="minorHAnsi"/>
                <w:sz w:val="20"/>
              </w:rPr>
            </w:pPr>
            <w:r>
              <w:rPr>
                <w:rFonts w:asciiTheme="minorHAnsi" w:hAnsiTheme="minorHAnsi"/>
                <w:sz w:val="20"/>
              </w:rPr>
              <w:t>3</w:t>
            </w:r>
            <w:r w:rsidRPr="00F730AB">
              <w:rPr>
                <w:rFonts w:asciiTheme="minorHAnsi" w:hAnsiTheme="minorHAnsi"/>
                <w:sz w:val="20"/>
              </w:rPr>
              <w:t>. Banga S, Datta V, Rehan HS, Bhakhri BK.</w:t>
            </w:r>
            <w:hyperlink w:history="1" r:id="rId79">
              <w:r>
                <w:rPr>
                  <w:rStyle w:val="Hyperlink"/>
                  <w:rFonts w:asciiTheme="minorHAnsi" w:hAnsiTheme="minorHAnsi"/>
                  <w:sz w:val="20"/>
                </w:rPr>
                <w:t xml:space="preserve"> Effect of Sucrose Analgesia</w:t>
              </w:r>
              <w:r w:rsidRPr="00F730AB">
                <w:rPr>
                  <w:rStyle w:val="Hyperlink"/>
                  <w:rFonts w:asciiTheme="minorHAnsi" w:hAnsiTheme="minorHAnsi"/>
                  <w:sz w:val="20"/>
                </w:rPr>
                <w:t xml:space="preserve"> for</w:t>
              </w:r>
              <w:r>
                <w:rPr>
                  <w:rStyle w:val="Hyperlink"/>
                  <w:rFonts w:asciiTheme="minorHAnsi" w:hAnsiTheme="minorHAnsi"/>
                  <w:sz w:val="20"/>
                </w:rPr>
                <w:t xml:space="preserve"> Repeated </w:t>
              </w:r>
              <w:r w:rsidRPr="00F730AB">
                <w:rPr>
                  <w:rStyle w:val="Hyperlink"/>
                  <w:rFonts w:asciiTheme="minorHAnsi" w:hAnsiTheme="minorHAnsi"/>
                  <w:sz w:val="20"/>
                </w:rPr>
                <w:t>Painful Procedures, on Short-term Neurobehavioral Outcome of Preterm Neonates: A Randomized Controlled Trial.</w:t>
              </w:r>
            </w:hyperlink>
            <w:r>
              <w:rPr>
                <w:rStyle w:val="Hyperlink"/>
                <w:rFonts w:asciiTheme="minorHAnsi" w:hAnsiTheme="minorHAnsi"/>
                <w:sz w:val="20"/>
              </w:rPr>
              <w:t xml:space="preserve"> </w:t>
            </w:r>
            <w:r w:rsidRPr="00F730AB">
              <w:rPr>
                <w:rStyle w:val="jrnl"/>
                <w:rFonts w:asciiTheme="minorHAnsi" w:hAnsiTheme="minorHAnsi"/>
                <w:sz w:val="20"/>
              </w:rPr>
              <w:t>J Trop Pediatr</w:t>
            </w:r>
            <w:r w:rsidRPr="00F730AB">
              <w:rPr>
                <w:rFonts w:asciiTheme="minorHAnsi" w:hAnsiTheme="minorHAnsi"/>
                <w:sz w:val="20"/>
              </w:rPr>
              <w:t>. 2015 Nov 27. pii: fmv079. [Epub ahead of print]</w:t>
            </w:r>
          </w:p>
          <w:p w:rsidR="00E62515" w:rsidP="00FE4186" w:rsidRDefault="00E62515" w14:paraId="73689E99" w14:textId="77777777">
            <w:pPr>
              <w:rPr>
                <w:rFonts w:asciiTheme="minorHAnsi" w:hAnsiTheme="minorHAnsi"/>
                <w:sz w:val="20"/>
              </w:rPr>
            </w:pPr>
            <w:r>
              <w:rPr>
                <w:rFonts w:asciiTheme="minorHAnsi" w:hAnsiTheme="minorHAnsi"/>
                <w:sz w:val="20"/>
              </w:rPr>
              <w:t xml:space="preserve">4. </w:t>
            </w:r>
            <w:r w:rsidRPr="005D1084">
              <w:rPr>
                <w:rFonts w:asciiTheme="minorHAnsi" w:hAnsiTheme="minorHAnsi"/>
                <w:sz w:val="20"/>
              </w:rPr>
              <w:t>Lefrak L, Burch K, Caravantes R, Knoerlein K, DeNolf N, Duncan J, Hampton F, Johnston C, Lockey D, Martin-Walters C, McLendon D. Sucrose analgesia: identifying potentially bet</w:t>
            </w:r>
            <w:r>
              <w:rPr>
                <w:rFonts w:asciiTheme="minorHAnsi" w:hAnsiTheme="minorHAnsi"/>
                <w:sz w:val="20"/>
              </w:rPr>
              <w:t>ter practices. Pediatrics 2006</w:t>
            </w:r>
            <w:r w:rsidRPr="005D1084">
              <w:rPr>
                <w:rFonts w:asciiTheme="minorHAnsi" w:hAnsiTheme="minorHAnsi"/>
                <w:sz w:val="20"/>
              </w:rPr>
              <w:t>;118(Supplement 2):S197-202.</w:t>
            </w:r>
          </w:p>
          <w:p w:rsidR="00E62515" w:rsidP="00FE4186" w:rsidRDefault="00E62515" w14:paraId="0F993EE2" w14:textId="77777777">
            <w:pPr>
              <w:rPr>
                <w:rFonts w:asciiTheme="minorHAnsi" w:hAnsiTheme="minorHAnsi"/>
                <w:sz w:val="20"/>
              </w:rPr>
            </w:pPr>
            <w:r>
              <w:rPr>
                <w:rFonts w:asciiTheme="minorHAnsi" w:hAnsiTheme="minorHAnsi"/>
                <w:sz w:val="20"/>
              </w:rPr>
              <w:t xml:space="preserve">5. </w:t>
            </w:r>
            <w:r w:rsidRPr="00F1101D">
              <w:rPr>
                <w:rFonts w:asciiTheme="minorHAnsi" w:hAnsiTheme="minorHAnsi"/>
                <w:sz w:val="20"/>
              </w:rPr>
              <w:t>Kassab M, Foster JP, Foureur M, Fowler C. Sweet-tasting solutions for needle-related procedural pain in infants one month to one year of age. Cochrane Database Syst Rev. 2012;12:CD008411</w:t>
            </w:r>
          </w:p>
          <w:p w:rsidR="00E62515" w:rsidP="00FE4186" w:rsidRDefault="00E62515" w14:paraId="050E1BC7" w14:textId="77777777">
            <w:pPr>
              <w:rPr>
                <w:rFonts w:asciiTheme="minorHAnsi" w:hAnsiTheme="minorHAnsi"/>
                <w:sz w:val="20"/>
              </w:rPr>
            </w:pPr>
            <w:r>
              <w:rPr>
                <w:rFonts w:asciiTheme="minorHAnsi" w:hAnsiTheme="minorHAnsi"/>
                <w:sz w:val="20"/>
              </w:rPr>
              <w:t xml:space="preserve">6. </w:t>
            </w:r>
            <w:r w:rsidRPr="00436ECA">
              <w:rPr>
                <w:rFonts w:asciiTheme="minorHAnsi" w:hAnsiTheme="minorHAnsi"/>
                <w:sz w:val="20"/>
              </w:rPr>
              <w:t>Shah PS, Herbozo C, Aliwalas LL, Shah VS. Breastfeeding or breast milk for procedural pain in neonates. Cochrane Database Syst Rev. 2012;12:CD004950.</w:t>
            </w:r>
          </w:p>
          <w:p w:rsidR="00E62515" w:rsidP="00FE4186" w:rsidRDefault="00E62515" w14:paraId="094C5333" w14:textId="77777777">
            <w:pPr>
              <w:rPr>
                <w:rFonts w:asciiTheme="minorHAnsi" w:hAnsiTheme="minorHAnsi"/>
                <w:sz w:val="20"/>
              </w:rPr>
            </w:pPr>
            <w:r>
              <w:rPr>
                <w:rFonts w:asciiTheme="minorHAnsi" w:hAnsiTheme="minorHAnsi"/>
                <w:sz w:val="20"/>
              </w:rPr>
              <w:t xml:space="preserve">7. </w:t>
            </w:r>
            <w:r w:rsidRPr="00567047">
              <w:rPr>
                <w:rFonts w:asciiTheme="minorHAnsi" w:hAnsiTheme="minorHAnsi"/>
                <w:sz w:val="20"/>
              </w:rPr>
              <w:t>Johnston CC, Filion F, Snider L, Limperopoulos C, Majnemer A, Pelausa E, Cake H, Stone S, Sherrard A, Boyer K. How much sucrose is too much sucrose? Pediatrics. 2007;119:226.</w:t>
            </w:r>
          </w:p>
          <w:p w:rsidRPr="00284BCA" w:rsidR="00E62515" w:rsidP="00FE4186" w:rsidRDefault="00E62515" w14:paraId="50207DF4" w14:textId="77777777">
            <w:pPr>
              <w:rPr>
                <w:rFonts w:asciiTheme="minorHAnsi" w:hAnsiTheme="minorHAnsi"/>
                <w:sz w:val="20"/>
              </w:rPr>
            </w:pPr>
            <w:r>
              <w:rPr>
                <w:rFonts w:asciiTheme="minorHAnsi" w:hAnsiTheme="minorHAnsi"/>
                <w:sz w:val="20"/>
              </w:rPr>
              <w:t xml:space="preserve">8. </w:t>
            </w:r>
            <w:r w:rsidRPr="00567047">
              <w:rPr>
                <w:rFonts w:asciiTheme="minorHAnsi" w:hAnsiTheme="minorHAnsi"/>
                <w:sz w:val="20"/>
              </w:rPr>
              <w:t>Johnston CC, Filion F, Snider L, Majnemer A, Limperopoulos C, Walker CD, Veilleux A, Pelausa E, Cake H, Stone S, Sherrard A, Boyer K. Routine sucrose analgesia during the first week of life in neonates younger than 31 weeks' postconceptional age. Pediatrics. 2002;110:523-8.</w:t>
            </w:r>
          </w:p>
        </w:tc>
      </w:tr>
    </w:tbl>
    <w:p w:rsidR="00115F48" w:rsidP="006F0321" w:rsidRDefault="00115F48" w14:paraId="666B89F3" w14:textId="34D9E930"/>
    <w:p w:rsidRPr="00E25790" w:rsidR="00E62515" w:rsidP="006F0321" w:rsidRDefault="00E62515" w14:paraId="26D397C7" w14:textId="77777777"/>
    <w:tbl>
      <w:tblPr>
        <w:tblW w:w="9050" w:type="dxa"/>
        <w:tblInd w:w="-34" w:type="dxa"/>
        <w:tblLook w:val="04A0" w:firstRow="1" w:lastRow="0" w:firstColumn="1" w:lastColumn="0" w:noHBand="0" w:noVBand="1"/>
      </w:tblPr>
      <w:tblGrid>
        <w:gridCol w:w="47"/>
        <w:gridCol w:w="4061"/>
        <w:gridCol w:w="71"/>
        <w:gridCol w:w="4746"/>
        <w:gridCol w:w="125"/>
      </w:tblGrid>
      <w:tr w:rsidR="0020431B" w:rsidTr="008D48AE" w14:paraId="76299CFC" w14:textId="77777777">
        <w:trPr>
          <w:gridAfter w:val="1"/>
          <w:wAfter w:w="125" w:type="dxa"/>
        </w:trPr>
        <w:tc>
          <w:tcPr>
            <w:tcW w:w="4108" w:type="dxa"/>
            <w:gridSpan w:val="2"/>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1DBAAB37" w14:textId="2FD46B18">
            <w:pPr>
              <w:spacing w:line="252" w:lineRule="auto"/>
              <w:rPr>
                <w:b/>
                <w:bCs/>
              </w:rPr>
            </w:pPr>
            <w:r w:rsidRPr="0349FAD4">
              <w:rPr>
                <w:b/>
                <w:bCs/>
              </w:rPr>
              <w:t xml:space="preserve">Original version Date: </w:t>
            </w:r>
            <w:r w:rsidRPr="0349FAD4" w:rsidR="3F52CF47">
              <w:rPr>
                <w:b/>
                <w:bCs/>
              </w:rPr>
              <w:t>27/02/2017</w:t>
            </w:r>
          </w:p>
        </w:tc>
        <w:tc>
          <w:tcPr>
            <w:tcW w:w="4817" w:type="dxa"/>
            <w:gridSpan w:val="2"/>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135750B2" w14:textId="5D9C8DF0">
            <w:pPr>
              <w:spacing w:line="252" w:lineRule="auto"/>
              <w:rPr>
                <w:b/>
                <w:bCs/>
              </w:rPr>
            </w:pPr>
            <w:r w:rsidRPr="48F57877">
              <w:rPr>
                <w:b/>
                <w:bCs/>
              </w:rPr>
              <w:t>Author: NMF Consensus Group</w:t>
            </w:r>
          </w:p>
        </w:tc>
      </w:tr>
      <w:tr w:rsidR="007A0A41" w:rsidTr="008D48AE" w14:paraId="2819C3E0" w14:textId="77777777">
        <w:trPr>
          <w:gridAfter w:val="1"/>
          <w:wAfter w:w="125" w:type="dxa"/>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5B4E1E48" w14:textId="5C6C6432">
            <w:pPr>
              <w:spacing w:line="252" w:lineRule="auto"/>
              <w:rPr>
                <w:b/>
                <w:bCs/>
              </w:rPr>
            </w:pPr>
            <w:r w:rsidRPr="0349FAD4">
              <w:rPr>
                <w:b/>
                <w:bCs/>
              </w:rPr>
              <w:t xml:space="preserve">Current Version number: </w:t>
            </w:r>
            <w:r w:rsidR="00BD31B3">
              <w:rPr>
                <w:b/>
                <w:bCs/>
              </w:rPr>
              <w:t>2</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163D357E" w14:textId="60AFE3A4">
            <w:pPr>
              <w:spacing w:line="252" w:lineRule="auto"/>
              <w:rPr>
                <w:b/>
                <w:bCs/>
              </w:rPr>
            </w:pPr>
            <w:r w:rsidRPr="0349FAD4">
              <w:rPr>
                <w:b/>
                <w:bCs/>
              </w:rPr>
              <w:t xml:space="preserve">Current Version Date: </w:t>
            </w:r>
            <w:r w:rsidR="00BD31B3">
              <w:rPr>
                <w:b/>
                <w:bCs/>
              </w:rPr>
              <w:t>2/3/2021</w:t>
            </w:r>
          </w:p>
        </w:tc>
      </w:tr>
      <w:tr w:rsidR="007A0A41" w:rsidTr="008D48AE" w14:paraId="7C292D62" w14:textId="77777777">
        <w:trPr>
          <w:gridAfter w:val="1"/>
          <w:wAfter w:w="125" w:type="dxa"/>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2C1899C4" w14:textId="2F19EB89">
            <w:pPr>
              <w:spacing w:line="252" w:lineRule="auto"/>
              <w:rPr>
                <w:b/>
                <w:bCs/>
              </w:rPr>
            </w:pPr>
            <w:r w:rsidRPr="0349FAD4">
              <w:rPr>
                <w:b/>
                <w:bCs/>
              </w:rPr>
              <w:t xml:space="preserve">Risk Rating: </w:t>
            </w:r>
            <w:r w:rsidRPr="0349FAD4" w:rsidR="4D178EA2">
              <w:rPr>
                <w:b/>
                <w:bCs/>
              </w:rPr>
              <w:t>Medium</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75F8B5B5" w14:textId="36D61E70">
            <w:pPr>
              <w:spacing w:line="252" w:lineRule="auto"/>
              <w:rPr>
                <w:b/>
                <w:bCs/>
              </w:rPr>
            </w:pPr>
            <w:r w:rsidRPr="0349FAD4">
              <w:rPr>
                <w:b/>
                <w:bCs/>
              </w:rPr>
              <w:t xml:space="preserve">Due for Review: </w:t>
            </w:r>
            <w:r w:rsidR="00BD31B3">
              <w:rPr>
                <w:b/>
                <w:bCs/>
              </w:rPr>
              <w:t>2/3/2024</w:t>
            </w:r>
          </w:p>
        </w:tc>
      </w:tr>
      <w:tr w:rsidR="007A0A41" w:rsidTr="008D48AE" w14:paraId="0220A347" w14:textId="77777777">
        <w:trPr>
          <w:gridAfter w:val="1"/>
          <w:wAfter w:w="125" w:type="dxa"/>
          <w:trHeight w:val="344"/>
        </w:trPr>
        <w:tc>
          <w:tcPr>
            <w:tcW w:w="4108"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5D15363B" w14:textId="0AF45C21">
            <w:pPr>
              <w:spacing w:line="252" w:lineRule="auto"/>
            </w:pPr>
            <w:r w:rsidRPr="48F57877">
              <w:rPr>
                <w:b/>
                <w:bCs/>
              </w:rPr>
              <w:t xml:space="preserve">Approval by: </w:t>
            </w:r>
            <w:r w:rsidRPr="48F57877" w:rsidR="6B9F1E93">
              <w:rPr>
                <w:b/>
                <w:bCs/>
              </w:rPr>
              <w:t>DTC</w:t>
            </w:r>
          </w:p>
        </w:tc>
        <w:tc>
          <w:tcPr>
            <w:tcW w:w="4817"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rsidR="0349FAD4" w:rsidP="0349FAD4" w:rsidRDefault="0349FAD4" w14:paraId="0466E814" w14:textId="652B5871">
            <w:pPr>
              <w:spacing w:line="252" w:lineRule="auto"/>
            </w:pPr>
            <w:r w:rsidRPr="0349FAD4">
              <w:rPr>
                <w:b/>
                <w:bCs/>
              </w:rPr>
              <w:t>Approval Date:</w:t>
            </w:r>
            <w:r w:rsidR="00260BC8">
              <w:rPr>
                <w:b/>
                <w:bCs/>
              </w:rPr>
              <w:t>APRIL 2021</w:t>
            </w:r>
          </w:p>
        </w:tc>
      </w:tr>
      <w:tr w:rsidR="40C113BF" w:rsidTr="008D48AE" w14:paraId="0DA49B2F" w14:textId="77777777">
        <w:tblPrEx>
          <w:tblLook w:val="0000" w:firstRow="0" w:lastRow="0" w:firstColumn="0" w:lastColumn="0" w:noHBand="0" w:noVBand="0"/>
        </w:tblPrEx>
        <w:trPr>
          <w:gridBefore w:val="1"/>
          <w:wBefore w:w="47" w:type="dxa"/>
          <w:trHeight w:val="720"/>
        </w:trPr>
        <w:tc>
          <w:tcPr>
            <w:tcW w:w="9003" w:type="dxa"/>
            <w:gridSpan w:val="4"/>
            <w:tcBorders>
              <w:top w:val="double" w:color="auto" w:sz="6" w:space="0"/>
              <w:left w:val="double" w:color="auto" w:sz="6" w:space="0"/>
              <w:bottom w:val="double" w:color="auto" w:sz="6" w:space="0"/>
            </w:tcBorders>
            <w:shd w:val="clear" w:color="auto" w:fill="FFFF00"/>
          </w:tcPr>
          <w:p w:rsidR="40C113BF" w:rsidP="40C113BF" w:rsidRDefault="40C113BF" w14:paraId="20C75B08" w14:textId="4DCC5872">
            <w:pPr>
              <w:pStyle w:val="Heading1"/>
            </w:pPr>
            <w:bookmarkStart w:name="_Toc75340048" w:id="571"/>
            <w:r>
              <w:lastRenderedPageBreak/>
              <w:t>Su</w:t>
            </w:r>
            <w:r w:rsidR="17A11356">
              <w:t>rvanta</w:t>
            </w:r>
            <w:bookmarkEnd w:id="571"/>
            <w:r>
              <w:fldChar w:fldCharType="begin"/>
            </w:r>
            <w:r>
              <w:instrText>tc "Omeprazole" \l 0</w:instrText>
            </w:r>
            <w:r>
              <w:fldChar w:fldCharType="end"/>
            </w:r>
          </w:p>
        </w:tc>
      </w:tr>
      <w:tr w:rsidR="40C113BF" w:rsidTr="008D48AE" w14:paraId="2FBC1E9B" w14:textId="77777777">
        <w:tblPrEx>
          <w:tblLook w:val="0000" w:firstRow="0" w:lastRow="0" w:firstColumn="0" w:lastColumn="0" w:noHBand="0" w:noVBand="0"/>
        </w:tblPrEx>
        <w:trPr>
          <w:gridBefore w:val="1"/>
          <w:wBefore w:w="47" w:type="dxa"/>
          <w:trHeight w:val="480"/>
        </w:trPr>
        <w:tc>
          <w:tcPr>
            <w:tcW w:w="4132" w:type="dxa"/>
            <w:gridSpan w:val="2"/>
            <w:tcBorders>
              <w:top w:val="double" w:color="auto" w:sz="6" w:space="0"/>
              <w:left w:val="double" w:color="auto" w:sz="6" w:space="0"/>
              <w:bottom w:val="double" w:color="auto" w:sz="6" w:space="0"/>
              <w:right w:val="single" w:color="auto" w:sz="6" w:space="0"/>
            </w:tcBorders>
            <w:shd w:val="clear" w:color="auto" w:fill="FFFF00"/>
          </w:tcPr>
          <w:p w:rsidR="40C113BF" w:rsidRDefault="40C113BF" w14:paraId="25DA1320" w14:textId="7C183251">
            <w:r>
              <w:t>Revision Date :</w:t>
            </w:r>
            <w:r w:rsidR="00BE23F0">
              <w:t xml:space="preserve"> 10-12-2020</w:t>
            </w:r>
          </w:p>
        </w:tc>
        <w:tc>
          <w:tcPr>
            <w:tcW w:w="4871" w:type="dxa"/>
            <w:gridSpan w:val="2"/>
            <w:tcBorders>
              <w:top w:val="double" w:color="auto" w:sz="6" w:space="0"/>
              <w:left w:val="single" w:color="auto" w:sz="6" w:space="0"/>
              <w:bottom w:val="double" w:color="auto" w:sz="6" w:space="0"/>
              <w:right w:val="double" w:color="auto" w:sz="6" w:space="0"/>
            </w:tcBorders>
            <w:shd w:val="clear" w:color="auto" w:fill="FFFF00"/>
          </w:tcPr>
          <w:p w:rsidR="40C113BF" w:rsidRDefault="40C113BF" w14:paraId="14436004" w14:textId="6906F5AA">
            <w:r>
              <w:t>Approved: TC, KOH</w:t>
            </w:r>
          </w:p>
        </w:tc>
      </w:tr>
    </w:tbl>
    <w:p w:rsidRPr="00E25790" w:rsidR="00115F48" w:rsidP="006F0321" w:rsidRDefault="00115F48" w14:paraId="0581C2AA" w14:textId="77777777"/>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031"/>
        <w:gridCol w:w="6985"/>
      </w:tblGrid>
      <w:tr w:rsidR="40C113BF" w:rsidTr="48F57877" w14:paraId="3DDE78BC" w14:textId="77777777">
        <w:trPr>
          <w:trHeight w:val="363"/>
        </w:trPr>
        <w:tc>
          <w:tcPr>
            <w:tcW w:w="2031" w:type="dxa"/>
          </w:tcPr>
          <w:p w:rsidR="40C113BF" w:rsidP="40C113BF" w:rsidRDefault="40C113BF" w14:paraId="2E0F82E3" w14:textId="77777777">
            <w:pPr>
              <w:pStyle w:val="BodyText"/>
              <w:tabs>
                <w:tab w:val="center" w:pos="1476"/>
              </w:tabs>
              <w:rPr>
                <w:rFonts w:cs="Arial" w:asciiTheme="minorHAnsi" w:hAnsiTheme="minorHAnsi"/>
                <w:b/>
                <w:bCs/>
                <w:sz w:val="20"/>
              </w:rPr>
            </w:pPr>
            <w:r w:rsidRPr="40C113BF">
              <w:rPr>
                <w:rFonts w:cs="Arial" w:asciiTheme="minorHAnsi" w:hAnsiTheme="minorHAnsi"/>
                <w:b/>
                <w:bCs/>
                <w:sz w:val="20"/>
              </w:rPr>
              <w:t>Alert</w:t>
            </w:r>
          </w:p>
        </w:tc>
        <w:tc>
          <w:tcPr>
            <w:tcW w:w="6985" w:type="dxa"/>
          </w:tcPr>
          <w:p w:rsidR="1DFACF51" w:rsidP="40C113BF" w:rsidRDefault="1DFACF51" w14:paraId="1026113C" w14:textId="56353033">
            <w:pPr>
              <w:pStyle w:val="BodyText"/>
              <w:rPr>
                <w:rFonts w:cs="Arial" w:asciiTheme="minorHAnsi" w:hAnsiTheme="minorHAnsi"/>
                <w:sz w:val="20"/>
              </w:rPr>
            </w:pPr>
            <w:r w:rsidRPr="40C113BF">
              <w:rPr>
                <w:rFonts w:cs="Arial" w:asciiTheme="minorHAnsi" w:hAnsiTheme="minorHAnsi"/>
                <w:sz w:val="20"/>
              </w:rPr>
              <w:t>This medication should only be administered by a medical officer or nurse practitioner.</w:t>
            </w:r>
          </w:p>
        </w:tc>
      </w:tr>
      <w:tr w:rsidR="40C113BF" w:rsidTr="48F57877" w14:paraId="7B24E3A4" w14:textId="77777777">
        <w:trPr>
          <w:trHeight w:val="553"/>
        </w:trPr>
        <w:tc>
          <w:tcPr>
            <w:tcW w:w="2031" w:type="dxa"/>
          </w:tcPr>
          <w:p w:rsidR="40C113BF" w:rsidP="40C113BF" w:rsidRDefault="40C113BF" w14:paraId="29461DDF" w14:textId="77777777">
            <w:pPr>
              <w:pStyle w:val="BodyText"/>
              <w:rPr>
                <w:rFonts w:cs="Arial" w:asciiTheme="minorHAnsi" w:hAnsiTheme="minorHAnsi"/>
                <w:b/>
                <w:bCs/>
                <w:sz w:val="20"/>
              </w:rPr>
            </w:pPr>
            <w:r w:rsidRPr="40C113BF">
              <w:rPr>
                <w:rFonts w:cs="Arial" w:asciiTheme="minorHAnsi" w:hAnsiTheme="minorHAnsi"/>
                <w:b/>
                <w:bCs/>
                <w:sz w:val="20"/>
              </w:rPr>
              <w:t xml:space="preserve">Indication                         </w:t>
            </w:r>
          </w:p>
          <w:p w:rsidR="40C113BF" w:rsidP="40C113BF" w:rsidRDefault="40C113BF" w14:paraId="22C10AF8" w14:textId="77777777">
            <w:pPr>
              <w:pStyle w:val="BodyText"/>
              <w:rPr>
                <w:rFonts w:cs="Arial" w:asciiTheme="minorHAnsi" w:hAnsiTheme="minorHAnsi"/>
                <w:sz w:val="20"/>
              </w:rPr>
            </w:pPr>
          </w:p>
        </w:tc>
        <w:tc>
          <w:tcPr>
            <w:tcW w:w="6985" w:type="dxa"/>
          </w:tcPr>
          <w:p w:rsidR="40C113BF" w:rsidP="03EBABA1" w:rsidRDefault="14B1E7E2" w14:paraId="308C32E1" w14:textId="2BC6B140">
            <w:pPr>
              <w:rPr>
                <w:rFonts w:asciiTheme="minorHAnsi" w:hAnsiTheme="minorHAnsi"/>
                <w:sz w:val="20"/>
              </w:rPr>
            </w:pPr>
            <w:r w:rsidRPr="03EBABA1">
              <w:rPr>
                <w:rFonts w:asciiTheme="minorHAnsi" w:hAnsiTheme="minorHAnsi"/>
                <w:sz w:val="20"/>
              </w:rPr>
              <w:t>Treatment and prophylaxis of respiratory distress syndrome (RDS).</w:t>
            </w:r>
          </w:p>
          <w:p w:rsidR="40C113BF" w:rsidP="03EBABA1" w:rsidRDefault="14B1E7E2" w14:paraId="043CBCEA" w14:textId="5E970AB5">
            <w:r w:rsidRPr="564361E5">
              <w:rPr>
                <w:rFonts w:asciiTheme="minorHAnsi" w:hAnsiTheme="minorHAnsi"/>
                <w:sz w:val="20"/>
              </w:rPr>
              <w:t>Treatment of meconium aspiration syndrome (MAS).</w:t>
            </w:r>
          </w:p>
          <w:p w:rsidR="40C113BF" w:rsidP="03EBABA1" w:rsidRDefault="40C113BF" w14:paraId="6993BCB7" w14:textId="02F7F2EE">
            <w:pPr>
              <w:rPr>
                <w:rFonts w:asciiTheme="minorHAnsi" w:hAnsiTheme="minorHAnsi"/>
                <w:sz w:val="20"/>
              </w:rPr>
            </w:pPr>
          </w:p>
        </w:tc>
      </w:tr>
      <w:tr w:rsidR="40C113BF" w:rsidTr="48F57877" w14:paraId="3B5E2271" w14:textId="77777777">
        <w:trPr>
          <w:trHeight w:val="261"/>
        </w:trPr>
        <w:tc>
          <w:tcPr>
            <w:tcW w:w="2031" w:type="dxa"/>
          </w:tcPr>
          <w:p w:rsidR="40C113BF" w:rsidP="40C113BF" w:rsidRDefault="40C113BF" w14:paraId="70D10652" w14:textId="77777777">
            <w:pPr>
              <w:pStyle w:val="BodyText"/>
              <w:rPr>
                <w:rFonts w:cs="Arial" w:asciiTheme="minorHAnsi" w:hAnsiTheme="minorHAnsi"/>
                <w:b/>
                <w:bCs/>
                <w:sz w:val="20"/>
              </w:rPr>
            </w:pPr>
            <w:r w:rsidRPr="40C113BF">
              <w:rPr>
                <w:rFonts w:cs="Arial" w:asciiTheme="minorHAnsi" w:hAnsiTheme="minorHAnsi"/>
                <w:b/>
                <w:bCs/>
                <w:sz w:val="20"/>
              </w:rPr>
              <w:t>Action</w:t>
            </w:r>
          </w:p>
        </w:tc>
        <w:tc>
          <w:tcPr>
            <w:tcW w:w="6985" w:type="dxa"/>
          </w:tcPr>
          <w:p w:rsidR="40C113BF" w:rsidP="564361E5" w:rsidRDefault="1E16913A" w14:paraId="2A2946BA" w14:textId="157620AE">
            <w:pPr>
              <w:rPr>
                <w:rFonts w:cs="Arial" w:asciiTheme="minorHAnsi" w:hAnsiTheme="minorHAnsi"/>
                <w:sz w:val="20"/>
              </w:rPr>
            </w:pPr>
            <w:r w:rsidRPr="564361E5">
              <w:rPr>
                <w:rFonts w:cs="Arial" w:asciiTheme="minorHAnsi" w:hAnsiTheme="minorHAnsi"/>
                <w:sz w:val="20"/>
              </w:rPr>
              <w:t>Lowers surface tension on alveolar surfaces during respiration and stabilises the alveoli against collapse at resting transpulmonary pressures.</w:t>
            </w:r>
          </w:p>
          <w:p w:rsidR="40C113BF" w:rsidP="564361E5" w:rsidRDefault="40C113BF" w14:paraId="5C9396A6" w14:textId="157620AE">
            <w:pPr>
              <w:rPr>
                <w:rFonts w:cs="Arial" w:asciiTheme="minorHAnsi" w:hAnsiTheme="minorHAnsi"/>
                <w:sz w:val="20"/>
              </w:rPr>
            </w:pPr>
          </w:p>
        </w:tc>
      </w:tr>
      <w:tr w:rsidR="40C113BF" w:rsidTr="48F57877" w14:paraId="3E7FE044" w14:textId="77777777">
        <w:trPr>
          <w:trHeight w:val="266"/>
        </w:trPr>
        <w:tc>
          <w:tcPr>
            <w:tcW w:w="2031" w:type="dxa"/>
          </w:tcPr>
          <w:p w:rsidR="40C113BF" w:rsidP="40C113BF" w:rsidRDefault="40C113BF" w14:paraId="7F93A383" w14:textId="77777777">
            <w:pPr>
              <w:pStyle w:val="BodyText"/>
              <w:rPr>
                <w:rFonts w:cs="Arial" w:asciiTheme="minorHAnsi" w:hAnsiTheme="minorHAnsi"/>
                <w:sz w:val="20"/>
              </w:rPr>
            </w:pPr>
            <w:r w:rsidRPr="40C113BF">
              <w:rPr>
                <w:rFonts w:cs="Arial" w:asciiTheme="minorHAnsi" w:hAnsiTheme="minorHAnsi"/>
                <w:b/>
                <w:bCs/>
                <w:sz w:val="20"/>
              </w:rPr>
              <w:t xml:space="preserve">Drug Type                                   </w:t>
            </w:r>
          </w:p>
        </w:tc>
        <w:tc>
          <w:tcPr>
            <w:tcW w:w="6985" w:type="dxa"/>
          </w:tcPr>
          <w:p w:rsidR="40C113BF" w:rsidP="564361E5" w:rsidRDefault="4FB67639" w14:paraId="3D6DA2CE" w14:textId="54868B3D">
            <w:pPr>
              <w:pStyle w:val="BodyText"/>
              <w:rPr>
                <w:rFonts w:cs="Arial" w:asciiTheme="minorHAnsi" w:hAnsiTheme="minorHAnsi"/>
                <w:sz w:val="20"/>
              </w:rPr>
            </w:pPr>
            <w:r w:rsidRPr="564361E5">
              <w:rPr>
                <w:rFonts w:cs="Arial" w:asciiTheme="minorHAnsi" w:hAnsiTheme="minorHAnsi"/>
                <w:sz w:val="20"/>
              </w:rPr>
              <w:t>Pulmonary surfactant</w:t>
            </w:r>
          </w:p>
        </w:tc>
      </w:tr>
      <w:tr w:rsidR="40C113BF" w:rsidTr="48F57877" w14:paraId="26C73A60" w14:textId="77777777">
        <w:trPr>
          <w:trHeight w:val="234"/>
        </w:trPr>
        <w:tc>
          <w:tcPr>
            <w:tcW w:w="2031" w:type="dxa"/>
          </w:tcPr>
          <w:p w:rsidR="40C113BF" w:rsidP="40C113BF" w:rsidRDefault="40C113BF" w14:paraId="5E410084" w14:textId="77777777">
            <w:pPr>
              <w:pStyle w:val="BodyText"/>
              <w:rPr>
                <w:rFonts w:cs="Arial" w:asciiTheme="minorHAnsi" w:hAnsiTheme="minorHAnsi"/>
                <w:b/>
                <w:bCs/>
                <w:sz w:val="20"/>
              </w:rPr>
            </w:pPr>
            <w:r w:rsidRPr="40C113BF">
              <w:rPr>
                <w:rFonts w:cs="Arial" w:asciiTheme="minorHAnsi" w:hAnsiTheme="minorHAnsi"/>
                <w:b/>
                <w:bCs/>
                <w:sz w:val="20"/>
              </w:rPr>
              <w:t xml:space="preserve">Trade Name                  </w:t>
            </w:r>
          </w:p>
        </w:tc>
        <w:tc>
          <w:tcPr>
            <w:tcW w:w="6985" w:type="dxa"/>
          </w:tcPr>
          <w:p w:rsidR="40C113BF" w:rsidP="564361E5" w:rsidRDefault="67126139" w14:paraId="32309059" w14:textId="13A2B8F5">
            <w:pPr>
              <w:pStyle w:val="BodyText"/>
              <w:rPr>
                <w:rFonts w:cs="Arial" w:asciiTheme="minorHAnsi" w:hAnsiTheme="minorHAnsi"/>
                <w:sz w:val="20"/>
              </w:rPr>
            </w:pPr>
            <w:r w:rsidRPr="564361E5">
              <w:rPr>
                <w:rFonts w:cs="Arial" w:asciiTheme="minorHAnsi" w:hAnsiTheme="minorHAnsi"/>
                <w:sz w:val="20"/>
              </w:rPr>
              <w:t>Survanta</w:t>
            </w:r>
          </w:p>
        </w:tc>
      </w:tr>
      <w:tr w:rsidR="40C113BF" w:rsidTr="48F57877" w14:paraId="0A215477" w14:textId="77777777">
        <w:trPr>
          <w:trHeight w:val="267"/>
        </w:trPr>
        <w:tc>
          <w:tcPr>
            <w:tcW w:w="2031" w:type="dxa"/>
          </w:tcPr>
          <w:p w:rsidR="40C113BF" w:rsidP="40C113BF" w:rsidRDefault="40C113BF" w14:paraId="204FE056" w14:textId="77777777">
            <w:pPr>
              <w:pStyle w:val="BodyText"/>
              <w:rPr>
                <w:rFonts w:cs="Arial" w:asciiTheme="minorHAnsi" w:hAnsiTheme="minorHAnsi"/>
                <w:b/>
                <w:bCs/>
                <w:sz w:val="20"/>
              </w:rPr>
            </w:pPr>
            <w:r w:rsidRPr="40C113BF">
              <w:rPr>
                <w:rFonts w:cs="Arial" w:asciiTheme="minorHAnsi" w:hAnsiTheme="minorHAnsi"/>
                <w:b/>
                <w:bCs/>
                <w:sz w:val="20"/>
              </w:rPr>
              <w:t xml:space="preserve">Presentation </w:t>
            </w:r>
          </w:p>
        </w:tc>
        <w:tc>
          <w:tcPr>
            <w:tcW w:w="6985" w:type="dxa"/>
          </w:tcPr>
          <w:p w:rsidR="40C113BF" w:rsidP="564361E5" w:rsidRDefault="7B364701" w14:paraId="3A3B55C6" w14:textId="65F9A626">
            <w:pPr>
              <w:pStyle w:val="BodyText"/>
              <w:ind w:left="34"/>
              <w:rPr>
                <w:rFonts w:cs="Arial" w:asciiTheme="minorHAnsi" w:hAnsiTheme="minorHAnsi"/>
                <w:sz w:val="20"/>
              </w:rPr>
            </w:pPr>
            <w:r w:rsidRPr="564361E5">
              <w:rPr>
                <w:rFonts w:cs="Arial" w:asciiTheme="minorHAnsi" w:hAnsiTheme="minorHAnsi"/>
                <w:sz w:val="20"/>
              </w:rPr>
              <w:t>Suspension for intra-tracheal use 200 mg/8mL</w:t>
            </w:r>
          </w:p>
        </w:tc>
      </w:tr>
      <w:tr w:rsidR="40C113BF" w:rsidTr="48F57877" w14:paraId="48027552" w14:textId="77777777">
        <w:trPr>
          <w:trHeight w:val="273"/>
        </w:trPr>
        <w:tc>
          <w:tcPr>
            <w:tcW w:w="2031" w:type="dxa"/>
          </w:tcPr>
          <w:p w:rsidR="40C113BF" w:rsidP="40C113BF" w:rsidRDefault="40C113BF" w14:paraId="2C97404D" w14:textId="77777777">
            <w:pPr>
              <w:pStyle w:val="BodyText"/>
              <w:rPr>
                <w:rFonts w:cs="Arial" w:asciiTheme="minorHAnsi" w:hAnsiTheme="minorHAnsi"/>
                <w:b/>
                <w:bCs/>
                <w:sz w:val="20"/>
              </w:rPr>
            </w:pPr>
            <w:r w:rsidRPr="40C113BF">
              <w:rPr>
                <w:rFonts w:cs="Arial" w:asciiTheme="minorHAnsi" w:hAnsiTheme="minorHAnsi"/>
                <w:b/>
                <w:bCs/>
                <w:sz w:val="20"/>
              </w:rPr>
              <w:t xml:space="preserve">Dosage / Interval                           </w:t>
            </w:r>
          </w:p>
        </w:tc>
        <w:tc>
          <w:tcPr>
            <w:tcW w:w="6985" w:type="dxa"/>
          </w:tcPr>
          <w:p w:rsidR="40C113BF" w:rsidP="564361E5" w:rsidRDefault="2E1C84A0" w14:paraId="0AD0FB9E" w14:textId="0C1AD579">
            <w:pPr>
              <w:pStyle w:val="BodyText"/>
              <w:rPr>
                <w:rFonts w:asciiTheme="minorHAnsi" w:hAnsiTheme="minorHAnsi"/>
                <w:b/>
                <w:bCs/>
                <w:sz w:val="20"/>
              </w:rPr>
            </w:pPr>
            <w:r w:rsidRPr="564361E5">
              <w:rPr>
                <w:rFonts w:asciiTheme="minorHAnsi" w:hAnsiTheme="minorHAnsi"/>
                <w:b/>
                <w:bCs/>
                <w:sz w:val="20"/>
              </w:rPr>
              <w:t>Respiratory distress syndrome</w:t>
            </w:r>
          </w:p>
          <w:p w:rsidR="40C113BF" w:rsidP="40C113BF" w:rsidRDefault="2E1C84A0" w14:paraId="1F510CBE" w14:textId="2FEECD35">
            <w:pPr>
              <w:pStyle w:val="BodyText"/>
            </w:pPr>
            <w:r w:rsidRPr="564361E5">
              <w:rPr>
                <w:rFonts w:asciiTheme="minorHAnsi" w:hAnsiTheme="minorHAnsi"/>
                <w:sz w:val="20"/>
              </w:rPr>
              <w:t>Single dose of 100 mg/kg</w:t>
            </w:r>
          </w:p>
          <w:p w:rsidR="40C113BF" w:rsidP="40C113BF" w:rsidRDefault="2E1C84A0" w14:paraId="4FD71A39" w14:textId="1CDD6CBF">
            <w:pPr>
              <w:pStyle w:val="BodyText"/>
            </w:pPr>
            <w:r w:rsidRPr="564361E5">
              <w:rPr>
                <w:rFonts w:asciiTheme="minorHAnsi" w:hAnsiTheme="minorHAnsi"/>
                <w:sz w:val="20"/>
              </w:rPr>
              <w:t>Dose may be repeated every 6 hours if required</w:t>
            </w:r>
          </w:p>
          <w:p w:rsidR="40C113BF" w:rsidP="40C113BF" w:rsidRDefault="2E1C84A0" w14:paraId="2D639B19" w14:textId="0499AB9D">
            <w:pPr>
              <w:pStyle w:val="BodyText"/>
            </w:pPr>
            <w:r w:rsidRPr="564361E5">
              <w:rPr>
                <w:rFonts w:asciiTheme="minorHAnsi" w:hAnsiTheme="minorHAnsi"/>
                <w:sz w:val="20"/>
              </w:rPr>
              <w:t>Maximum 4 doses in first 48 hours of life</w:t>
            </w:r>
          </w:p>
          <w:p w:rsidR="40C113BF" w:rsidP="564361E5" w:rsidRDefault="40C113BF" w14:paraId="58EAAAC3" w14:textId="3237FA25">
            <w:pPr>
              <w:pStyle w:val="BodyText"/>
              <w:rPr>
                <w:rFonts w:asciiTheme="minorHAnsi" w:hAnsiTheme="minorHAnsi"/>
                <w:b/>
                <w:bCs/>
                <w:sz w:val="20"/>
              </w:rPr>
            </w:pPr>
          </w:p>
          <w:p w:rsidR="40C113BF" w:rsidP="564361E5" w:rsidRDefault="2E1C84A0" w14:paraId="2550B5FC" w14:textId="60CD0F92">
            <w:pPr>
              <w:pStyle w:val="BodyText"/>
              <w:rPr>
                <w:rFonts w:asciiTheme="minorHAnsi" w:hAnsiTheme="minorHAnsi"/>
                <w:b/>
                <w:bCs/>
                <w:sz w:val="20"/>
              </w:rPr>
            </w:pPr>
            <w:r w:rsidRPr="564361E5">
              <w:rPr>
                <w:rFonts w:asciiTheme="minorHAnsi" w:hAnsiTheme="minorHAnsi"/>
                <w:b/>
                <w:bCs/>
                <w:sz w:val="20"/>
              </w:rPr>
              <w:t>Meconium aspiration syndrome</w:t>
            </w:r>
          </w:p>
          <w:p w:rsidR="40C113BF" w:rsidP="40C113BF" w:rsidRDefault="2E1C84A0" w14:paraId="2C8EBE7D" w14:textId="0CD3F3BF">
            <w:pPr>
              <w:pStyle w:val="BodyText"/>
            </w:pPr>
            <w:r w:rsidRPr="564361E5">
              <w:rPr>
                <w:rFonts w:asciiTheme="minorHAnsi" w:hAnsiTheme="minorHAnsi"/>
                <w:sz w:val="20"/>
              </w:rPr>
              <w:t>Single dose of 150 mg/kg</w:t>
            </w:r>
          </w:p>
          <w:p w:rsidR="40C113BF" w:rsidP="40C113BF" w:rsidRDefault="2E1C84A0" w14:paraId="3E7B1A83" w14:textId="738F4386">
            <w:pPr>
              <w:pStyle w:val="BodyText"/>
            </w:pPr>
            <w:r w:rsidRPr="564361E5">
              <w:rPr>
                <w:rFonts w:asciiTheme="minorHAnsi" w:hAnsiTheme="minorHAnsi"/>
                <w:sz w:val="20"/>
              </w:rPr>
              <w:t>Dose may be repeated every 6 hours if required</w:t>
            </w:r>
          </w:p>
          <w:p w:rsidR="40C113BF" w:rsidP="40C113BF" w:rsidRDefault="2E1C84A0" w14:paraId="11368F71" w14:textId="0AFA5E01">
            <w:pPr>
              <w:pStyle w:val="BodyText"/>
            </w:pPr>
            <w:r w:rsidRPr="564361E5">
              <w:rPr>
                <w:rFonts w:asciiTheme="minorHAnsi" w:hAnsiTheme="minorHAnsi"/>
                <w:sz w:val="20"/>
              </w:rPr>
              <w:t>Maximum of 4 doses</w:t>
            </w:r>
          </w:p>
          <w:p w:rsidR="40C113BF" w:rsidP="564361E5" w:rsidRDefault="40C113BF" w14:paraId="0947C3DB" w14:textId="2FE90F02">
            <w:pPr>
              <w:pStyle w:val="BodyText"/>
              <w:rPr>
                <w:rFonts w:asciiTheme="minorHAnsi" w:hAnsiTheme="minorHAnsi"/>
                <w:sz w:val="20"/>
              </w:rPr>
            </w:pPr>
          </w:p>
          <w:p w:rsidR="40C113BF" w:rsidP="40C113BF" w:rsidRDefault="2E1C84A0" w14:paraId="58FFF74A" w14:textId="72E22121">
            <w:pPr>
              <w:pStyle w:val="BodyText"/>
            </w:pPr>
            <w:r w:rsidRPr="564361E5">
              <w:rPr>
                <w:rFonts w:asciiTheme="minorHAnsi" w:hAnsiTheme="minorHAnsi"/>
                <w:sz w:val="20"/>
              </w:rPr>
              <w:t>Studies have used doses in the range 100−150 mg/kg/dose.</w:t>
            </w:r>
          </w:p>
          <w:p w:rsidR="40C113BF" w:rsidP="564361E5" w:rsidRDefault="40C113BF" w14:paraId="1966D74D" w14:textId="638E8CD5">
            <w:pPr>
              <w:pStyle w:val="BodyText"/>
              <w:rPr>
                <w:rFonts w:asciiTheme="minorHAnsi" w:hAnsiTheme="minorHAnsi"/>
                <w:sz w:val="20"/>
              </w:rPr>
            </w:pPr>
          </w:p>
        </w:tc>
      </w:tr>
      <w:tr w:rsidR="564361E5" w:rsidTr="48F57877" w14:paraId="153BA96D" w14:textId="77777777">
        <w:trPr>
          <w:trHeight w:val="273"/>
        </w:trPr>
        <w:tc>
          <w:tcPr>
            <w:tcW w:w="2031" w:type="dxa"/>
          </w:tcPr>
          <w:p w:rsidR="19BE68E7" w:rsidP="564361E5" w:rsidRDefault="19BE68E7" w14:paraId="43CC1F1F" w14:textId="578A93DD">
            <w:pPr>
              <w:pStyle w:val="BodyText"/>
              <w:rPr>
                <w:rFonts w:cs="Arial" w:asciiTheme="minorHAnsi" w:hAnsiTheme="minorHAnsi"/>
                <w:b/>
                <w:bCs/>
                <w:sz w:val="20"/>
              </w:rPr>
            </w:pPr>
            <w:r w:rsidRPr="564361E5">
              <w:rPr>
                <w:rFonts w:cs="Arial" w:asciiTheme="minorHAnsi" w:hAnsiTheme="minorHAnsi"/>
                <w:b/>
                <w:bCs/>
                <w:sz w:val="20"/>
              </w:rPr>
              <w:t>Dose adjustment</w:t>
            </w:r>
          </w:p>
        </w:tc>
        <w:tc>
          <w:tcPr>
            <w:tcW w:w="6985" w:type="dxa"/>
          </w:tcPr>
          <w:p w:rsidR="19BE68E7" w:rsidP="564361E5" w:rsidRDefault="19BE68E7" w14:paraId="67F4BCBD" w14:textId="597220EE">
            <w:pPr>
              <w:pStyle w:val="BodyText"/>
              <w:rPr>
                <w:rFonts w:asciiTheme="minorHAnsi" w:hAnsiTheme="minorHAnsi"/>
                <w:sz w:val="20"/>
              </w:rPr>
            </w:pPr>
            <w:r w:rsidRPr="564361E5">
              <w:rPr>
                <w:rFonts w:asciiTheme="minorHAnsi" w:hAnsiTheme="minorHAnsi"/>
                <w:sz w:val="20"/>
              </w:rPr>
              <w:t>Therapeutic hypothermia – Not applicable.</w:t>
            </w:r>
          </w:p>
          <w:p w:rsidR="19BE68E7" w:rsidP="564361E5" w:rsidRDefault="19BE68E7" w14:paraId="5111E6CC" w14:textId="26548457">
            <w:pPr>
              <w:pStyle w:val="BodyText"/>
              <w:rPr>
                <w:rFonts w:asciiTheme="minorHAnsi" w:hAnsiTheme="minorHAnsi"/>
                <w:sz w:val="20"/>
              </w:rPr>
            </w:pPr>
            <w:r w:rsidRPr="564361E5">
              <w:rPr>
                <w:rFonts w:asciiTheme="minorHAnsi" w:hAnsiTheme="minorHAnsi"/>
                <w:sz w:val="20"/>
              </w:rPr>
              <w:t>ECMO – Not applicable</w:t>
            </w:r>
          </w:p>
          <w:p w:rsidR="19BE68E7" w:rsidP="564361E5" w:rsidRDefault="19BE68E7" w14:paraId="058E22D7" w14:textId="40A1DDBF">
            <w:pPr>
              <w:pStyle w:val="BodyText"/>
              <w:rPr>
                <w:rFonts w:asciiTheme="minorHAnsi" w:hAnsiTheme="minorHAnsi"/>
                <w:sz w:val="20"/>
              </w:rPr>
            </w:pPr>
            <w:r w:rsidRPr="564361E5">
              <w:rPr>
                <w:rFonts w:asciiTheme="minorHAnsi" w:hAnsiTheme="minorHAnsi"/>
                <w:sz w:val="20"/>
              </w:rPr>
              <w:t>Renal impairment – No dose adjustment.</w:t>
            </w:r>
          </w:p>
          <w:p w:rsidR="19BE68E7" w:rsidP="564361E5" w:rsidRDefault="19BE68E7" w14:paraId="4476526B" w14:textId="0CECD257">
            <w:pPr>
              <w:pStyle w:val="BodyText"/>
              <w:rPr>
                <w:rFonts w:asciiTheme="minorHAnsi" w:hAnsiTheme="minorHAnsi"/>
                <w:sz w:val="20"/>
              </w:rPr>
            </w:pPr>
            <w:r w:rsidRPr="564361E5">
              <w:rPr>
                <w:rFonts w:asciiTheme="minorHAnsi" w:hAnsiTheme="minorHAnsi"/>
                <w:sz w:val="20"/>
              </w:rPr>
              <w:t>Hepatic impairment – No dose adjustment.</w:t>
            </w:r>
          </w:p>
          <w:p w:rsidR="564361E5" w:rsidP="564361E5" w:rsidRDefault="564361E5" w14:paraId="225A6869" w14:textId="66BDEFF3">
            <w:pPr>
              <w:pStyle w:val="BodyText"/>
              <w:rPr>
                <w:rFonts w:asciiTheme="minorHAnsi" w:hAnsiTheme="minorHAnsi"/>
                <w:b/>
                <w:bCs/>
                <w:sz w:val="20"/>
              </w:rPr>
            </w:pPr>
          </w:p>
        </w:tc>
      </w:tr>
      <w:tr w:rsidR="40C113BF" w:rsidTr="48F57877" w14:paraId="79F063B3" w14:textId="77777777">
        <w:trPr>
          <w:trHeight w:val="191"/>
        </w:trPr>
        <w:tc>
          <w:tcPr>
            <w:tcW w:w="2031" w:type="dxa"/>
          </w:tcPr>
          <w:p w:rsidR="40C113BF" w:rsidP="40C113BF" w:rsidRDefault="40C113BF" w14:paraId="11970203" w14:textId="77777777">
            <w:pPr>
              <w:pStyle w:val="BodyText"/>
              <w:rPr>
                <w:rFonts w:asciiTheme="minorHAnsi" w:hAnsiTheme="minorHAnsi"/>
                <w:b/>
                <w:bCs/>
                <w:sz w:val="20"/>
              </w:rPr>
            </w:pPr>
            <w:r w:rsidRPr="40C113BF">
              <w:rPr>
                <w:rFonts w:asciiTheme="minorHAnsi" w:hAnsiTheme="minorHAnsi"/>
                <w:b/>
                <w:bCs/>
                <w:sz w:val="20"/>
              </w:rPr>
              <w:t>Maximum daily dose</w:t>
            </w:r>
          </w:p>
        </w:tc>
        <w:tc>
          <w:tcPr>
            <w:tcW w:w="6985" w:type="dxa"/>
          </w:tcPr>
          <w:p w:rsidR="40C113BF" w:rsidP="564361E5" w:rsidRDefault="27FFEA6D" w14:paraId="0A71C030" w14:textId="49382A3F">
            <w:pPr>
              <w:pStyle w:val="BodyText"/>
              <w:rPr>
                <w:rFonts w:asciiTheme="minorHAnsi" w:hAnsiTheme="minorHAnsi"/>
                <w:sz w:val="20"/>
              </w:rPr>
            </w:pPr>
            <w:r w:rsidRPr="564361E5">
              <w:rPr>
                <w:rFonts w:asciiTheme="minorHAnsi" w:hAnsiTheme="minorHAnsi"/>
                <w:sz w:val="20"/>
              </w:rPr>
              <w:t>RDS: 400 mg/kg/day</w:t>
            </w:r>
          </w:p>
          <w:p w:rsidR="40C113BF" w:rsidP="40C113BF" w:rsidRDefault="27FFEA6D" w14:paraId="0D7B030B" w14:textId="57C5F792">
            <w:pPr>
              <w:pStyle w:val="BodyText"/>
            </w:pPr>
            <w:r w:rsidRPr="564361E5">
              <w:rPr>
                <w:rFonts w:asciiTheme="minorHAnsi" w:hAnsiTheme="minorHAnsi"/>
                <w:sz w:val="20"/>
              </w:rPr>
              <w:t>MAS: 600 mg/kg/day</w:t>
            </w:r>
          </w:p>
          <w:p w:rsidR="40C113BF" w:rsidP="564361E5" w:rsidRDefault="40C113BF" w14:paraId="3F037544" w14:textId="0EFF1284">
            <w:pPr>
              <w:pStyle w:val="BodyText"/>
              <w:rPr>
                <w:rFonts w:asciiTheme="minorHAnsi" w:hAnsiTheme="minorHAnsi"/>
                <w:sz w:val="20"/>
              </w:rPr>
            </w:pPr>
          </w:p>
        </w:tc>
      </w:tr>
      <w:tr w:rsidR="40C113BF" w:rsidTr="48F57877" w14:paraId="00B0B156" w14:textId="77777777">
        <w:trPr>
          <w:trHeight w:val="209"/>
        </w:trPr>
        <w:tc>
          <w:tcPr>
            <w:tcW w:w="2031" w:type="dxa"/>
          </w:tcPr>
          <w:p w:rsidR="40C113BF" w:rsidP="40C113BF" w:rsidRDefault="40C113BF" w14:paraId="29A41415" w14:textId="77777777">
            <w:pPr>
              <w:pStyle w:val="BodyText"/>
              <w:rPr>
                <w:rFonts w:cs="Arial" w:asciiTheme="minorHAnsi" w:hAnsiTheme="minorHAnsi"/>
                <w:b/>
                <w:bCs/>
                <w:sz w:val="20"/>
              </w:rPr>
            </w:pPr>
            <w:r w:rsidRPr="40C113BF">
              <w:rPr>
                <w:rFonts w:cs="Arial" w:asciiTheme="minorHAnsi" w:hAnsiTheme="minorHAnsi"/>
                <w:b/>
                <w:bCs/>
                <w:sz w:val="20"/>
              </w:rPr>
              <w:t xml:space="preserve">Route        </w:t>
            </w:r>
          </w:p>
        </w:tc>
        <w:tc>
          <w:tcPr>
            <w:tcW w:w="6985" w:type="dxa"/>
          </w:tcPr>
          <w:p w:rsidR="40C113BF" w:rsidP="564361E5" w:rsidRDefault="15C0F8D2" w14:paraId="26A8CCD5" w14:textId="7C05BBA0">
            <w:pPr>
              <w:pStyle w:val="BodyText"/>
              <w:rPr>
                <w:rFonts w:cs="Arial" w:asciiTheme="minorHAnsi" w:hAnsiTheme="minorHAnsi"/>
                <w:sz w:val="20"/>
              </w:rPr>
            </w:pPr>
            <w:r w:rsidRPr="564361E5">
              <w:rPr>
                <w:rFonts w:cs="Arial" w:asciiTheme="minorHAnsi" w:hAnsiTheme="minorHAnsi"/>
                <w:sz w:val="20"/>
              </w:rPr>
              <w:t>Intra-tracheal</w:t>
            </w:r>
          </w:p>
        </w:tc>
      </w:tr>
      <w:tr w:rsidR="40C113BF" w:rsidTr="48F57877" w14:paraId="5E1C2BD2" w14:textId="77777777">
        <w:trPr>
          <w:trHeight w:val="275"/>
        </w:trPr>
        <w:tc>
          <w:tcPr>
            <w:tcW w:w="2031" w:type="dxa"/>
          </w:tcPr>
          <w:p w:rsidR="40C113BF" w:rsidP="40C113BF" w:rsidRDefault="40C113BF" w14:paraId="0CD1977C" w14:textId="5B7F8A48">
            <w:pPr>
              <w:pStyle w:val="BodyText"/>
              <w:rPr>
                <w:rFonts w:cs="Arial" w:asciiTheme="minorHAnsi" w:hAnsiTheme="minorHAnsi"/>
                <w:b/>
                <w:bCs/>
                <w:sz w:val="20"/>
                <w:highlight w:val="cyan"/>
              </w:rPr>
            </w:pPr>
            <w:r w:rsidRPr="40C113BF">
              <w:rPr>
                <w:rFonts w:cs="Arial" w:asciiTheme="minorHAnsi" w:hAnsiTheme="minorHAnsi"/>
                <w:b/>
                <w:bCs/>
                <w:sz w:val="20"/>
              </w:rPr>
              <w:t>Preparation/Dilution</w:t>
            </w:r>
          </w:p>
        </w:tc>
        <w:tc>
          <w:tcPr>
            <w:tcW w:w="6985" w:type="dxa"/>
          </w:tcPr>
          <w:p w:rsidR="40C113BF" w:rsidP="564361E5" w:rsidRDefault="09255E17" w14:paraId="309DC311" w14:textId="7DA3C4F3">
            <w:pPr>
              <w:pStyle w:val="BodyText"/>
              <w:rPr>
                <w:rFonts w:cs="Arial" w:asciiTheme="minorHAnsi" w:hAnsiTheme="minorHAnsi"/>
                <w:sz w:val="20"/>
              </w:rPr>
            </w:pPr>
            <w:r w:rsidRPr="564361E5">
              <w:rPr>
                <w:rFonts w:cs="Arial" w:asciiTheme="minorHAnsi" w:hAnsiTheme="minorHAnsi"/>
                <w:sz w:val="20"/>
              </w:rPr>
              <w:t>Not applicable</w:t>
            </w:r>
          </w:p>
        </w:tc>
      </w:tr>
      <w:tr w:rsidR="40C113BF" w:rsidTr="48F57877" w14:paraId="78B4468F" w14:textId="77777777">
        <w:trPr>
          <w:trHeight w:val="163"/>
        </w:trPr>
        <w:tc>
          <w:tcPr>
            <w:tcW w:w="2031" w:type="dxa"/>
          </w:tcPr>
          <w:p w:rsidR="40C113BF" w:rsidP="40C113BF" w:rsidRDefault="40C113BF" w14:paraId="739C49F9" w14:textId="77777777">
            <w:pPr>
              <w:pStyle w:val="BodyText"/>
              <w:rPr>
                <w:rFonts w:cs="Arial" w:asciiTheme="minorHAnsi" w:hAnsiTheme="minorHAnsi"/>
                <w:b/>
                <w:bCs/>
                <w:sz w:val="20"/>
              </w:rPr>
            </w:pPr>
            <w:r w:rsidRPr="40C113BF">
              <w:rPr>
                <w:rFonts w:cs="Arial" w:asciiTheme="minorHAnsi" w:hAnsiTheme="minorHAnsi"/>
                <w:b/>
                <w:bCs/>
                <w:sz w:val="20"/>
              </w:rPr>
              <w:t xml:space="preserve">Administration    </w:t>
            </w:r>
          </w:p>
        </w:tc>
        <w:tc>
          <w:tcPr>
            <w:tcW w:w="6985" w:type="dxa"/>
          </w:tcPr>
          <w:p w:rsidR="40C113BF" w:rsidP="564361E5" w:rsidRDefault="06F5CF8D" w14:paraId="4F036066" w14:textId="181BEFFC">
            <w:pPr>
              <w:pStyle w:val="BodyText"/>
              <w:rPr>
                <w:rFonts w:cs="Arial" w:asciiTheme="minorHAnsi" w:hAnsiTheme="minorHAnsi"/>
                <w:sz w:val="20"/>
              </w:rPr>
            </w:pPr>
            <w:r w:rsidRPr="564361E5">
              <w:rPr>
                <w:rFonts w:cs="Arial" w:asciiTheme="minorHAnsi" w:hAnsiTheme="minorHAnsi"/>
                <w:sz w:val="20"/>
              </w:rPr>
              <w:t>This medication should only be administered by a medical officer or nurse practitioner.</w:t>
            </w:r>
          </w:p>
          <w:p w:rsidR="40C113BF" w:rsidP="564361E5" w:rsidRDefault="40C113BF" w14:paraId="3DC43C03" w14:textId="1117A26E">
            <w:pPr>
              <w:pStyle w:val="BodyText"/>
              <w:rPr>
                <w:rFonts w:cs="Arial" w:asciiTheme="minorHAnsi" w:hAnsiTheme="minorHAnsi"/>
                <w:sz w:val="20"/>
              </w:rPr>
            </w:pPr>
          </w:p>
          <w:p w:rsidR="40C113BF" w:rsidP="40C113BF" w:rsidRDefault="06F5CF8D" w14:paraId="48FE2744" w14:textId="7A01AEBD">
            <w:pPr>
              <w:pStyle w:val="BodyText"/>
            </w:pPr>
            <w:r w:rsidRPr="564361E5">
              <w:rPr>
                <w:rFonts w:cs="Arial" w:asciiTheme="minorHAnsi" w:hAnsiTheme="minorHAnsi"/>
                <w:sz w:val="20"/>
              </w:rPr>
              <w:t xml:space="preserve">Inspect product visually for discolouration prior to administration (suspension should be white to light brown).  </w:t>
            </w:r>
          </w:p>
          <w:p w:rsidR="40C113BF" w:rsidP="40C113BF" w:rsidRDefault="06F5CF8D" w14:paraId="406C6F05" w14:textId="32075C61">
            <w:pPr>
              <w:pStyle w:val="BodyText"/>
            </w:pPr>
            <w:r w:rsidRPr="564361E5">
              <w:rPr>
                <w:rFonts w:cs="Arial" w:asciiTheme="minorHAnsi" w:hAnsiTheme="minorHAnsi"/>
                <w:sz w:val="20"/>
              </w:rPr>
              <w:t>Before use, the vial should be slowly warmed to room temperature (can be warmed in hand for at least 8 minutes or stood at room temperature for at least 20 minutes) and gently turned upside down in order to obtain a uniform suspension. DO NOT SHAKE.</w:t>
            </w:r>
          </w:p>
          <w:p w:rsidR="40C113BF" w:rsidP="40C113BF" w:rsidRDefault="06F5CF8D" w14:paraId="5149163D" w14:textId="415CA0E1">
            <w:pPr>
              <w:pStyle w:val="BodyText"/>
            </w:pPr>
            <w:r w:rsidRPr="564361E5">
              <w:rPr>
                <w:rFonts w:cs="Arial" w:asciiTheme="minorHAnsi" w:hAnsiTheme="minorHAnsi"/>
                <w:sz w:val="20"/>
              </w:rPr>
              <w:t xml:space="preserve">Assess patency and position of endotracheal tube (ETT) prior to administration.,  </w:t>
            </w:r>
          </w:p>
          <w:p w:rsidR="40C113BF" w:rsidP="40C113BF" w:rsidRDefault="06F5CF8D" w14:paraId="0B7D6090" w14:textId="48B99293">
            <w:pPr>
              <w:pStyle w:val="BodyText"/>
            </w:pPr>
            <w:r w:rsidRPr="564361E5">
              <w:rPr>
                <w:rFonts w:cs="Arial" w:asciiTheme="minorHAnsi" w:hAnsiTheme="minorHAnsi"/>
                <w:sz w:val="20"/>
              </w:rPr>
              <w:t>Clear the trachea of secretions. Shorten a 5 French end-hole catheter so that the length of the</w:t>
            </w:r>
            <w:r w:rsidRPr="564361E5" w:rsidR="4ACC93F0">
              <w:rPr>
                <w:rFonts w:cs="Arial" w:asciiTheme="minorHAnsi" w:hAnsiTheme="minorHAnsi"/>
                <w:sz w:val="20"/>
              </w:rPr>
              <w:t xml:space="preserve"> </w:t>
            </w:r>
            <w:r w:rsidRPr="564361E5">
              <w:rPr>
                <w:rFonts w:cs="Arial" w:asciiTheme="minorHAnsi" w:hAnsiTheme="minorHAnsi"/>
                <w:sz w:val="20"/>
              </w:rPr>
              <w:t>catheter is 1 cm shorter than the ETT tube. Slowly withdraw the contents of the vial(s) into a</w:t>
            </w:r>
            <w:r w:rsidRPr="564361E5" w:rsidR="06BDB876">
              <w:rPr>
                <w:rFonts w:cs="Arial" w:asciiTheme="minorHAnsi" w:hAnsiTheme="minorHAnsi"/>
                <w:sz w:val="20"/>
              </w:rPr>
              <w:t xml:space="preserve"> </w:t>
            </w:r>
            <w:r w:rsidRPr="564361E5">
              <w:rPr>
                <w:rFonts w:cs="Arial" w:asciiTheme="minorHAnsi" w:hAnsiTheme="minorHAnsi"/>
                <w:sz w:val="20"/>
              </w:rPr>
              <w:t xml:space="preserve">syringe through a needle (≥ 20 gauge). Do not shake., </w:t>
            </w:r>
          </w:p>
          <w:p w:rsidR="40C113BF" w:rsidP="40C113BF" w:rsidRDefault="06F5CF8D" w14:paraId="52A3AE52" w14:textId="42B39DD7">
            <w:pPr>
              <w:pStyle w:val="BodyText"/>
            </w:pPr>
            <w:r w:rsidRPr="564361E5">
              <w:rPr>
                <w:rFonts w:cs="Arial" w:asciiTheme="minorHAnsi" w:hAnsiTheme="minorHAnsi"/>
                <w:sz w:val="20"/>
              </w:rPr>
              <w:lastRenderedPageBreak/>
              <w:t xml:space="preserve">Attach shortened catheter to syringe. Fill catheter with surfactant. </w:t>
            </w:r>
          </w:p>
          <w:p w:rsidR="40C113BF" w:rsidP="40C113BF" w:rsidRDefault="06F5CF8D" w14:paraId="21930215" w14:textId="20BA16A6">
            <w:pPr>
              <w:pStyle w:val="BodyText"/>
            </w:pPr>
            <w:r w:rsidRPr="564361E5">
              <w:rPr>
                <w:rFonts w:cs="Arial" w:asciiTheme="minorHAnsi" w:hAnsiTheme="minorHAnsi"/>
                <w:sz w:val="20"/>
              </w:rPr>
              <w:t>Administer in 1 to 2 aliquots as tolerated with the neonate in neutral supine position. If the infant</w:t>
            </w:r>
            <w:r w:rsidRPr="564361E5" w:rsidR="3663C37B">
              <w:rPr>
                <w:rFonts w:cs="Arial" w:asciiTheme="minorHAnsi" w:hAnsiTheme="minorHAnsi"/>
                <w:sz w:val="20"/>
              </w:rPr>
              <w:t xml:space="preserve"> </w:t>
            </w:r>
            <w:r w:rsidRPr="564361E5">
              <w:rPr>
                <w:rFonts w:cs="Arial" w:asciiTheme="minorHAnsi" w:hAnsiTheme="minorHAnsi"/>
                <w:sz w:val="20"/>
              </w:rPr>
              <w:t>is on a ventilator, the catheter can be inserted into the infant’s ETT without interrupting</w:t>
            </w:r>
            <w:r w:rsidRPr="564361E5" w:rsidR="2217B9C0">
              <w:rPr>
                <w:rFonts w:cs="Arial" w:asciiTheme="minorHAnsi" w:hAnsiTheme="minorHAnsi"/>
                <w:sz w:val="20"/>
              </w:rPr>
              <w:t xml:space="preserve"> </w:t>
            </w:r>
            <w:r w:rsidRPr="564361E5">
              <w:rPr>
                <w:rFonts w:cs="Arial" w:asciiTheme="minorHAnsi" w:hAnsiTheme="minorHAnsi"/>
                <w:sz w:val="20"/>
              </w:rPr>
              <w:t>ventilation by passing the catheter through a neonatal suction valve attached to the ETT. This i</w:t>
            </w:r>
            <w:r w:rsidRPr="564361E5" w:rsidR="3E42EC51">
              <w:rPr>
                <w:rFonts w:cs="Arial" w:asciiTheme="minorHAnsi" w:hAnsiTheme="minorHAnsi"/>
                <w:sz w:val="20"/>
              </w:rPr>
              <w:t xml:space="preserve">s </w:t>
            </w:r>
            <w:r w:rsidRPr="564361E5">
              <w:rPr>
                <w:rFonts w:cs="Arial" w:asciiTheme="minorHAnsi" w:hAnsiTheme="minorHAnsi"/>
                <w:sz w:val="20"/>
              </w:rPr>
              <w:t xml:space="preserve">especially useful in high-frequency ventilation when it potentially minimises de-recruitment. </w:t>
            </w:r>
          </w:p>
          <w:p w:rsidR="40C113BF" w:rsidP="40C113BF" w:rsidRDefault="06F5CF8D" w14:paraId="679FCEF5" w14:textId="41BA51A3">
            <w:pPr>
              <w:pStyle w:val="BodyText"/>
            </w:pPr>
            <w:r w:rsidRPr="564361E5">
              <w:rPr>
                <w:rFonts w:cs="Arial" w:asciiTheme="minorHAnsi" w:hAnsiTheme="minorHAnsi"/>
                <w:sz w:val="20"/>
              </w:rPr>
              <w:t>Alternatively, surfactant can be instilled through the catheter by briefly disconnecting the ETT</w:t>
            </w:r>
            <w:r w:rsidRPr="564361E5" w:rsidR="7387E588">
              <w:rPr>
                <w:rFonts w:cs="Arial" w:asciiTheme="minorHAnsi" w:hAnsiTheme="minorHAnsi"/>
                <w:sz w:val="20"/>
              </w:rPr>
              <w:t xml:space="preserve"> </w:t>
            </w:r>
            <w:r w:rsidRPr="564361E5">
              <w:rPr>
                <w:rFonts w:cs="Arial" w:asciiTheme="minorHAnsi" w:hAnsiTheme="minorHAnsi"/>
                <w:sz w:val="20"/>
              </w:rPr>
              <w:t xml:space="preserve">from the ventilator.  </w:t>
            </w:r>
          </w:p>
          <w:p w:rsidR="40C113BF" w:rsidP="40C113BF" w:rsidRDefault="06F5CF8D" w14:paraId="5C7E20D0" w14:textId="51E0D932">
            <w:pPr>
              <w:pStyle w:val="BodyText"/>
            </w:pPr>
            <w:r w:rsidRPr="564361E5">
              <w:rPr>
                <w:rFonts w:cs="Arial" w:asciiTheme="minorHAnsi" w:hAnsiTheme="minorHAnsi"/>
                <w:sz w:val="20"/>
              </w:rPr>
              <w:t>Approximately 2 mL of air should be used to push any remaining surfactant in the catheter into</w:t>
            </w:r>
            <w:r w:rsidRPr="564361E5" w:rsidR="1D888B54">
              <w:rPr>
                <w:rFonts w:cs="Arial" w:asciiTheme="minorHAnsi" w:hAnsiTheme="minorHAnsi"/>
                <w:sz w:val="20"/>
              </w:rPr>
              <w:t xml:space="preserve"> </w:t>
            </w:r>
            <w:r w:rsidRPr="564361E5">
              <w:rPr>
                <w:rFonts w:cs="Arial" w:asciiTheme="minorHAnsi" w:hAnsiTheme="minorHAnsi"/>
                <w:sz w:val="20"/>
              </w:rPr>
              <w:t>the lungs</w:t>
            </w:r>
            <w:r w:rsidRPr="564361E5" w:rsidR="4D7E898D">
              <w:rPr>
                <w:rFonts w:cs="Arial" w:asciiTheme="minorHAnsi" w:hAnsiTheme="minorHAnsi"/>
                <w:sz w:val="20"/>
              </w:rPr>
              <w:t>.</w:t>
            </w:r>
            <w:r w:rsidRPr="564361E5">
              <w:rPr>
                <w:rFonts w:cs="Arial" w:asciiTheme="minorHAnsi" w:hAnsiTheme="minorHAnsi"/>
                <w:sz w:val="20"/>
              </w:rPr>
              <w:t xml:space="preserve">  </w:t>
            </w:r>
          </w:p>
          <w:p w:rsidR="40C113BF" w:rsidP="564361E5" w:rsidRDefault="40C113BF" w14:paraId="51744C5D" w14:textId="33E0142E">
            <w:pPr>
              <w:pStyle w:val="BodyText"/>
              <w:rPr>
                <w:rFonts w:cs="Arial" w:asciiTheme="minorHAnsi" w:hAnsiTheme="minorHAnsi"/>
                <w:sz w:val="20"/>
              </w:rPr>
            </w:pPr>
          </w:p>
          <w:p w:rsidR="40C113BF" w:rsidP="40C113BF" w:rsidRDefault="06F5CF8D" w14:paraId="02A8C760" w14:textId="39465C8B">
            <w:pPr>
              <w:pStyle w:val="BodyText"/>
            </w:pPr>
            <w:r w:rsidRPr="564361E5">
              <w:rPr>
                <w:rFonts w:cs="Arial" w:asciiTheme="minorHAnsi" w:hAnsiTheme="minorHAnsi"/>
                <w:sz w:val="20"/>
              </w:rPr>
              <w:t xml:space="preserve">Please note: there are other administration methods available which are beyond the scope of this, </w:t>
            </w:r>
          </w:p>
          <w:p w:rsidR="40C113BF" w:rsidP="40C113BF" w:rsidRDefault="37310E8F" w14:paraId="46E21AC4" w14:textId="46D982BE">
            <w:pPr>
              <w:pStyle w:val="BodyText"/>
            </w:pPr>
            <w:r w:rsidRPr="48F57877">
              <w:rPr>
                <w:rFonts w:cs="Arial" w:asciiTheme="minorHAnsi" w:hAnsiTheme="minorHAnsi"/>
                <w:sz w:val="20"/>
              </w:rPr>
              <w:t xml:space="preserve">protocol. </w:t>
            </w:r>
          </w:p>
          <w:p w:rsidR="40C113BF" w:rsidP="564361E5" w:rsidRDefault="40C113BF" w14:paraId="5C48A435" w14:textId="498C7B7D">
            <w:pPr>
              <w:pStyle w:val="BodyText"/>
              <w:rPr>
                <w:rFonts w:cs="Arial" w:asciiTheme="minorHAnsi" w:hAnsiTheme="minorHAnsi"/>
                <w:sz w:val="20"/>
              </w:rPr>
            </w:pPr>
          </w:p>
        </w:tc>
      </w:tr>
      <w:tr w:rsidR="40C113BF" w:rsidTr="48F57877" w14:paraId="02864828" w14:textId="77777777">
        <w:trPr>
          <w:trHeight w:val="221"/>
        </w:trPr>
        <w:tc>
          <w:tcPr>
            <w:tcW w:w="2031" w:type="dxa"/>
          </w:tcPr>
          <w:p w:rsidR="40C113BF" w:rsidP="40C113BF" w:rsidRDefault="40C113BF" w14:paraId="5C98562F" w14:textId="77777777">
            <w:pPr>
              <w:pStyle w:val="BodyText"/>
              <w:rPr>
                <w:rFonts w:cs="Arial" w:asciiTheme="minorHAnsi" w:hAnsiTheme="minorHAnsi"/>
                <w:b/>
                <w:bCs/>
                <w:sz w:val="20"/>
              </w:rPr>
            </w:pPr>
            <w:r w:rsidRPr="40C113BF">
              <w:rPr>
                <w:rFonts w:cs="Arial" w:asciiTheme="minorHAnsi" w:hAnsiTheme="minorHAnsi"/>
                <w:b/>
                <w:bCs/>
                <w:sz w:val="20"/>
              </w:rPr>
              <w:lastRenderedPageBreak/>
              <w:t xml:space="preserve">Monitoring                             </w:t>
            </w:r>
          </w:p>
        </w:tc>
        <w:tc>
          <w:tcPr>
            <w:tcW w:w="6985" w:type="dxa"/>
          </w:tcPr>
          <w:p w:rsidR="40C113BF" w:rsidP="564361E5" w:rsidRDefault="1506C071" w14:paraId="605FDFAA" w14:textId="15F32C39">
            <w:pPr>
              <w:pStyle w:val="BodyText"/>
              <w:rPr>
                <w:rFonts w:cs="Arial" w:asciiTheme="minorHAnsi" w:hAnsiTheme="minorHAnsi"/>
                <w:sz w:val="28"/>
                <w:szCs w:val="28"/>
                <w:vertAlign w:val="superscript"/>
              </w:rPr>
            </w:pPr>
            <w:r w:rsidRPr="564361E5">
              <w:rPr>
                <w:rFonts w:cs="Arial" w:asciiTheme="minorHAnsi" w:hAnsiTheme="minorHAnsi"/>
                <w:sz w:val="28"/>
                <w:szCs w:val="28"/>
                <w:vertAlign w:val="superscript"/>
              </w:rPr>
              <w:t>Continuous oxygen saturation and cardiorespiratory monitoring.</w:t>
            </w:r>
          </w:p>
        </w:tc>
      </w:tr>
      <w:tr w:rsidR="40C113BF" w:rsidTr="48F57877" w14:paraId="2CC5BAC5" w14:textId="77777777">
        <w:trPr>
          <w:trHeight w:val="207"/>
        </w:trPr>
        <w:tc>
          <w:tcPr>
            <w:tcW w:w="2031" w:type="dxa"/>
          </w:tcPr>
          <w:p w:rsidR="40C113BF" w:rsidP="40C113BF" w:rsidRDefault="40C113BF" w14:paraId="11D4B442" w14:textId="77777777">
            <w:pPr>
              <w:pStyle w:val="BodyText"/>
              <w:rPr>
                <w:rFonts w:cs="Arial" w:asciiTheme="minorHAnsi" w:hAnsiTheme="minorHAnsi"/>
                <w:b/>
                <w:bCs/>
                <w:sz w:val="20"/>
              </w:rPr>
            </w:pPr>
            <w:r w:rsidRPr="40C113BF">
              <w:rPr>
                <w:rFonts w:cs="Arial" w:asciiTheme="minorHAnsi" w:hAnsiTheme="minorHAnsi"/>
                <w:b/>
                <w:bCs/>
                <w:sz w:val="20"/>
              </w:rPr>
              <w:t xml:space="preserve">Contraindications                        </w:t>
            </w:r>
          </w:p>
        </w:tc>
        <w:tc>
          <w:tcPr>
            <w:tcW w:w="6985" w:type="dxa"/>
          </w:tcPr>
          <w:p w:rsidR="40C113BF" w:rsidP="564361E5" w:rsidRDefault="02157301" w14:paraId="32575474" w14:textId="3B521C75">
            <w:pPr>
              <w:pStyle w:val="BodyText"/>
              <w:rPr>
                <w:rFonts w:cs="Arial" w:asciiTheme="minorHAnsi" w:hAnsiTheme="minorHAnsi"/>
                <w:sz w:val="20"/>
              </w:rPr>
            </w:pPr>
            <w:r w:rsidRPr="564361E5">
              <w:rPr>
                <w:rFonts w:cs="Arial" w:asciiTheme="minorHAnsi" w:hAnsiTheme="minorHAnsi"/>
                <w:sz w:val="20"/>
              </w:rPr>
              <w:t>None known</w:t>
            </w:r>
          </w:p>
        </w:tc>
      </w:tr>
      <w:tr w:rsidR="40C113BF" w:rsidTr="48F57877" w14:paraId="23962F7E" w14:textId="77777777">
        <w:tc>
          <w:tcPr>
            <w:tcW w:w="2031" w:type="dxa"/>
          </w:tcPr>
          <w:p w:rsidR="40C113BF" w:rsidP="40C113BF" w:rsidRDefault="40C113BF" w14:paraId="547DEF7A" w14:textId="28E3114E">
            <w:pPr>
              <w:pStyle w:val="BodyText"/>
              <w:rPr>
                <w:rFonts w:cs="Arial" w:asciiTheme="minorHAnsi" w:hAnsiTheme="minorHAnsi"/>
                <w:b/>
                <w:bCs/>
                <w:sz w:val="20"/>
              </w:rPr>
            </w:pPr>
            <w:r w:rsidRPr="40C113BF">
              <w:rPr>
                <w:rFonts w:cs="Arial" w:asciiTheme="minorHAnsi" w:hAnsiTheme="minorHAnsi"/>
                <w:b/>
                <w:bCs/>
                <w:sz w:val="20"/>
              </w:rPr>
              <w:t>Precautions</w:t>
            </w:r>
          </w:p>
        </w:tc>
        <w:tc>
          <w:tcPr>
            <w:tcW w:w="6985" w:type="dxa"/>
          </w:tcPr>
          <w:p w:rsidR="40C113BF" w:rsidP="564361E5" w:rsidRDefault="1696F5AF" w14:paraId="3BE16E9F" w14:textId="3CD50220">
            <w:pPr>
              <w:pStyle w:val="BodyText"/>
              <w:rPr>
                <w:rFonts w:cs="Arial" w:asciiTheme="minorHAnsi" w:hAnsiTheme="minorHAnsi"/>
                <w:sz w:val="20"/>
              </w:rPr>
            </w:pPr>
            <w:r w:rsidRPr="564361E5">
              <w:rPr>
                <w:rFonts w:cs="Arial" w:asciiTheme="minorHAnsi" w:hAnsiTheme="minorHAnsi"/>
                <w:sz w:val="20"/>
              </w:rPr>
              <w:t>Beractant can rapidly affect oxygenation and lung compliance. Therefore, its use should be restricted to a highly supervised clinical setting with immediate availability of clinicians experienced with intubation, ventilator management and general care of premature infants.</w:t>
            </w:r>
          </w:p>
          <w:p w:rsidR="40C113BF" w:rsidP="564361E5" w:rsidRDefault="40C113BF" w14:paraId="4DB33756" w14:textId="72DEF12A">
            <w:pPr>
              <w:pStyle w:val="BodyText"/>
              <w:rPr>
                <w:rFonts w:cs="Arial" w:asciiTheme="minorHAnsi" w:hAnsiTheme="minorHAnsi"/>
                <w:sz w:val="20"/>
              </w:rPr>
            </w:pPr>
          </w:p>
        </w:tc>
      </w:tr>
      <w:tr w:rsidR="40C113BF" w:rsidTr="48F57877" w14:paraId="7AC936EF" w14:textId="77777777">
        <w:trPr>
          <w:trHeight w:val="276"/>
        </w:trPr>
        <w:tc>
          <w:tcPr>
            <w:tcW w:w="2031" w:type="dxa"/>
          </w:tcPr>
          <w:p w:rsidR="40C113BF" w:rsidP="40C113BF" w:rsidRDefault="40C113BF" w14:paraId="4AA04C6A" w14:textId="77777777">
            <w:pPr>
              <w:pStyle w:val="BodyText"/>
              <w:rPr>
                <w:rFonts w:cs="Arial" w:asciiTheme="minorHAnsi" w:hAnsiTheme="minorHAnsi"/>
                <w:b/>
                <w:bCs/>
                <w:sz w:val="20"/>
              </w:rPr>
            </w:pPr>
            <w:r w:rsidRPr="40C113BF">
              <w:rPr>
                <w:rFonts w:cs="Arial" w:asciiTheme="minorHAnsi" w:hAnsiTheme="minorHAnsi"/>
                <w:b/>
                <w:bCs/>
                <w:sz w:val="20"/>
              </w:rPr>
              <w:t>Drug Interactions</w:t>
            </w:r>
          </w:p>
        </w:tc>
        <w:tc>
          <w:tcPr>
            <w:tcW w:w="6985" w:type="dxa"/>
          </w:tcPr>
          <w:p w:rsidR="40C113BF" w:rsidP="564361E5" w:rsidRDefault="22E88637" w14:paraId="7B739346" w14:textId="75977B76">
            <w:pPr>
              <w:pStyle w:val="BodyText"/>
              <w:rPr>
                <w:rFonts w:cs="Arial" w:asciiTheme="minorHAnsi" w:hAnsiTheme="minorHAnsi"/>
                <w:sz w:val="20"/>
              </w:rPr>
            </w:pPr>
            <w:r w:rsidRPr="564361E5">
              <w:rPr>
                <w:rFonts w:cs="Arial" w:asciiTheme="minorHAnsi" w:hAnsiTheme="minorHAnsi"/>
                <w:sz w:val="20"/>
              </w:rPr>
              <w:t>Not applicable</w:t>
            </w:r>
          </w:p>
        </w:tc>
      </w:tr>
      <w:tr w:rsidR="40C113BF" w:rsidTr="48F57877" w14:paraId="402BAA25" w14:textId="77777777">
        <w:trPr>
          <w:trHeight w:val="416"/>
        </w:trPr>
        <w:tc>
          <w:tcPr>
            <w:tcW w:w="2031" w:type="dxa"/>
          </w:tcPr>
          <w:p w:rsidR="40C113BF" w:rsidP="40C113BF" w:rsidRDefault="40C113BF" w14:paraId="19694023" w14:textId="77777777">
            <w:pPr>
              <w:pStyle w:val="BodyText"/>
              <w:rPr>
                <w:rFonts w:cs="Arial" w:asciiTheme="minorHAnsi" w:hAnsiTheme="minorHAnsi"/>
                <w:b/>
                <w:bCs/>
                <w:sz w:val="20"/>
              </w:rPr>
            </w:pPr>
            <w:r w:rsidRPr="40C113BF">
              <w:rPr>
                <w:rFonts w:cs="Arial" w:asciiTheme="minorHAnsi" w:hAnsiTheme="minorHAnsi"/>
                <w:b/>
                <w:bCs/>
                <w:sz w:val="20"/>
              </w:rPr>
              <w:t xml:space="preserve">Adverse Reactions         </w:t>
            </w:r>
          </w:p>
          <w:p w:rsidR="40C113BF" w:rsidP="40C113BF" w:rsidRDefault="40C113BF" w14:paraId="09C2A9FB" w14:textId="77777777">
            <w:pPr>
              <w:pStyle w:val="BodyText"/>
              <w:rPr>
                <w:rFonts w:cs="Arial" w:asciiTheme="minorHAnsi" w:hAnsiTheme="minorHAnsi"/>
                <w:b/>
                <w:bCs/>
                <w:sz w:val="20"/>
              </w:rPr>
            </w:pPr>
          </w:p>
        </w:tc>
        <w:tc>
          <w:tcPr>
            <w:tcW w:w="6985" w:type="dxa"/>
          </w:tcPr>
          <w:p w:rsidR="40C113BF" w:rsidP="564361E5" w:rsidRDefault="6F398F08" w14:paraId="3D9B5555" w14:textId="53064C8C">
            <w:pPr>
              <w:pStyle w:val="BodyText"/>
              <w:rPr>
                <w:rFonts w:cs="Arial" w:asciiTheme="minorHAnsi" w:hAnsiTheme="minorHAnsi"/>
                <w:sz w:val="20"/>
              </w:rPr>
            </w:pPr>
            <w:r w:rsidRPr="564361E5">
              <w:rPr>
                <w:rFonts w:cs="Arial" w:asciiTheme="minorHAnsi" w:hAnsiTheme="minorHAnsi"/>
                <w:sz w:val="20"/>
              </w:rPr>
              <w:t>Transient: Bradycardia, hypotension, endotracheal tube blockage and oxygen desaturation (these</w:t>
            </w:r>
            <w:r w:rsidRPr="564361E5" w:rsidR="0110BA3F">
              <w:rPr>
                <w:rFonts w:cs="Arial" w:asciiTheme="minorHAnsi" w:hAnsiTheme="minorHAnsi"/>
                <w:sz w:val="20"/>
              </w:rPr>
              <w:t xml:space="preserve"> </w:t>
            </w:r>
            <w:r w:rsidRPr="564361E5">
              <w:rPr>
                <w:rFonts w:cs="Arial" w:asciiTheme="minorHAnsi" w:hAnsiTheme="minorHAnsi"/>
                <w:sz w:val="20"/>
              </w:rPr>
              <w:t>events require stopping beractant administration and taking appropriate measures to alleviate the</w:t>
            </w:r>
            <w:r w:rsidRPr="564361E5" w:rsidR="36154661">
              <w:rPr>
                <w:rFonts w:cs="Arial" w:asciiTheme="minorHAnsi" w:hAnsiTheme="minorHAnsi"/>
                <w:sz w:val="20"/>
              </w:rPr>
              <w:t xml:space="preserve"> </w:t>
            </w:r>
            <w:r w:rsidRPr="564361E5">
              <w:rPr>
                <w:rFonts w:cs="Arial" w:asciiTheme="minorHAnsi" w:hAnsiTheme="minorHAnsi"/>
                <w:sz w:val="20"/>
              </w:rPr>
              <w:t>condition. After the patient is stable, dosing may proceed with appropriate monitoring). Ventilator</w:t>
            </w:r>
            <w:r w:rsidRPr="564361E5" w:rsidR="15B82992">
              <w:rPr>
                <w:rFonts w:cs="Arial" w:asciiTheme="minorHAnsi" w:hAnsiTheme="minorHAnsi"/>
                <w:sz w:val="20"/>
              </w:rPr>
              <w:t xml:space="preserve"> </w:t>
            </w:r>
            <w:r w:rsidRPr="564361E5">
              <w:rPr>
                <w:rFonts w:cs="Arial" w:asciiTheme="minorHAnsi" w:hAnsiTheme="minorHAnsi"/>
                <w:sz w:val="20"/>
              </w:rPr>
              <w:t>settings may need to be adjusted post-surfactant to accommodate increased lung compliance.</w:t>
            </w:r>
          </w:p>
          <w:p w:rsidR="40C113BF" w:rsidP="564361E5" w:rsidRDefault="40C113BF" w14:paraId="1DA8E1D1" w14:textId="6820C867">
            <w:pPr>
              <w:pStyle w:val="BodyText"/>
              <w:rPr>
                <w:rFonts w:cs="Arial" w:asciiTheme="minorHAnsi" w:hAnsiTheme="minorHAnsi"/>
                <w:sz w:val="20"/>
              </w:rPr>
            </w:pPr>
          </w:p>
        </w:tc>
      </w:tr>
      <w:tr w:rsidR="40C113BF" w:rsidTr="48F57877" w14:paraId="6B40525A" w14:textId="77777777">
        <w:trPr>
          <w:trHeight w:val="280"/>
        </w:trPr>
        <w:tc>
          <w:tcPr>
            <w:tcW w:w="2031" w:type="dxa"/>
          </w:tcPr>
          <w:p w:rsidR="40C113BF" w:rsidP="40C113BF" w:rsidRDefault="40C113BF" w14:paraId="4E14A7BF" w14:textId="77777777">
            <w:pPr>
              <w:pStyle w:val="BodyText"/>
              <w:rPr>
                <w:rFonts w:cs="Arial" w:asciiTheme="minorHAnsi" w:hAnsiTheme="minorHAnsi"/>
                <w:b/>
                <w:bCs/>
                <w:sz w:val="20"/>
              </w:rPr>
            </w:pPr>
            <w:r w:rsidRPr="40C113BF">
              <w:rPr>
                <w:rFonts w:cs="Arial" w:asciiTheme="minorHAnsi" w:hAnsiTheme="minorHAnsi"/>
                <w:b/>
                <w:bCs/>
                <w:sz w:val="20"/>
              </w:rPr>
              <w:t>Compatibility</w:t>
            </w:r>
          </w:p>
        </w:tc>
        <w:tc>
          <w:tcPr>
            <w:tcW w:w="6985" w:type="dxa"/>
          </w:tcPr>
          <w:p w:rsidR="40C113BF" w:rsidP="564361E5" w:rsidRDefault="15B32686" w14:paraId="2BA8FB50" w14:textId="2E1736B4">
            <w:pPr>
              <w:pStyle w:val="BodyText"/>
              <w:rPr>
                <w:rFonts w:asciiTheme="minorHAnsi" w:hAnsiTheme="minorHAnsi"/>
                <w:sz w:val="20"/>
              </w:rPr>
            </w:pPr>
            <w:r w:rsidRPr="564361E5">
              <w:rPr>
                <w:rFonts w:asciiTheme="minorHAnsi" w:hAnsiTheme="minorHAnsi"/>
                <w:sz w:val="20"/>
              </w:rPr>
              <w:t>Beractant should not be mixed with any other medications or fluids.</w:t>
            </w:r>
          </w:p>
          <w:p w:rsidR="40C113BF" w:rsidP="564361E5" w:rsidRDefault="40C113BF" w14:paraId="5F6582D9" w14:textId="312A16BB">
            <w:pPr>
              <w:pStyle w:val="BodyText"/>
              <w:rPr>
                <w:rFonts w:asciiTheme="minorHAnsi" w:hAnsiTheme="minorHAnsi"/>
                <w:sz w:val="20"/>
              </w:rPr>
            </w:pPr>
          </w:p>
        </w:tc>
      </w:tr>
      <w:tr w:rsidR="40C113BF" w:rsidTr="48F57877" w14:paraId="4121E138" w14:textId="77777777">
        <w:trPr>
          <w:trHeight w:val="215"/>
        </w:trPr>
        <w:tc>
          <w:tcPr>
            <w:tcW w:w="2031" w:type="dxa"/>
          </w:tcPr>
          <w:p w:rsidR="40C113BF" w:rsidP="40C113BF" w:rsidRDefault="40C113BF" w14:paraId="00DB01D0" w14:textId="77777777">
            <w:pPr>
              <w:pStyle w:val="BodyText"/>
              <w:rPr>
                <w:rFonts w:cs="Arial" w:asciiTheme="minorHAnsi" w:hAnsiTheme="minorHAnsi"/>
                <w:b/>
                <w:bCs/>
                <w:sz w:val="20"/>
              </w:rPr>
            </w:pPr>
            <w:r w:rsidRPr="40C113BF">
              <w:rPr>
                <w:rFonts w:cs="Arial" w:asciiTheme="minorHAnsi" w:hAnsiTheme="minorHAnsi"/>
                <w:b/>
                <w:bCs/>
                <w:sz w:val="20"/>
              </w:rPr>
              <w:t>Incompatibility</w:t>
            </w:r>
          </w:p>
        </w:tc>
        <w:tc>
          <w:tcPr>
            <w:tcW w:w="6985" w:type="dxa"/>
          </w:tcPr>
          <w:p w:rsidR="40C113BF" w:rsidP="564361E5" w:rsidRDefault="462200AD" w14:paraId="520DA25D" w14:textId="6355A83D">
            <w:pPr>
              <w:pStyle w:val="BodyText"/>
              <w:rPr>
                <w:rFonts w:cs="Arial" w:asciiTheme="minorHAnsi" w:hAnsiTheme="minorHAnsi"/>
                <w:sz w:val="20"/>
              </w:rPr>
            </w:pPr>
            <w:r w:rsidRPr="564361E5">
              <w:rPr>
                <w:rFonts w:cs="Arial" w:asciiTheme="minorHAnsi" w:hAnsiTheme="minorHAnsi"/>
                <w:sz w:val="20"/>
              </w:rPr>
              <w:t>No information.</w:t>
            </w:r>
          </w:p>
        </w:tc>
      </w:tr>
      <w:tr w:rsidR="40C113BF" w:rsidTr="48F57877" w14:paraId="6F9E4927" w14:textId="77777777">
        <w:trPr>
          <w:trHeight w:val="260"/>
        </w:trPr>
        <w:tc>
          <w:tcPr>
            <w:tcW w:w="2031" w:type="dxa"/>
          </w:tcPr>
          <w:p w:rsidR="40C113BF" w:rsidP="40C113BF" w:rsidRDefault="40C113BF" w14:paraId="5901BA7F" w14:textId="77777777">
            <w:pPr>
              <w:pStyle w:val="BodyText"/>
              <w:rPr>
                <w:rFonts w:cs="Arial" w:asciiTheme="minorHAnsi" w:hAnsiTheme="minorHAnsi"/>
                <w:b/>
                <w:bCs/>
                <w:sz w:val="20"/>
              </w:rPr>
            </w:pPr>
            <w:r w:rsidRPr="40C113BF">
              <w:rPr>
                <w:rFonts w:cs="Arial" w:asciiTheme="minorHAnsi" w:hAnsiTheme="minorHAnsi"/>
                <w:b/>
                <w:bCs/>
                <w:sz w:val="20"/>
              </w:rPr>
              <w:t xml:space="preserve">Stability </w:t>
            </w:r>
          </w:p>
        </w:tc>
        <w:tc>
          <w:tcPr>
            <w:tcW w:w="6985" w:type="dxa"/>
          </w:tcPr>
          <w:p w:rsidR="40C113BF" w:rsidP="564361E5" w:rsidRDefault="02F924C8" w14:paraId="0B062136" w14:textId="2C67BC49">
            <w:pPr>
              <w:rPr>
                <w:rFonts w:cs="Arial" w:asciiTheme="minorHAnsi" w:hAnsiTheme="minorHAnsi"/>
                <w:sz w:val="20"/>
              </w:rPr>
            </w:pPr>
            <w:r w:rsidRPr="564361E5">
              <w:rPr>
                <w:rFonts w:cs="Arial" w:asciiTheme="minorHAnsi" w:hAnsiTheme="minorHAnsi"/>
                <w:sz w:val="20"/>
              </w:rPr>
              <w:t>Vials are for single use only. DO NOT SHAKE.</w:t>
            </w:r>
          </w:p>
          <w:p w:rsidR="40C113BF" w:rsidP="564361E5" w:rsidRDefault="02F924C8" w14:paraId="43A666ED" w14:textId="046214EE">
            <w:r w:rsidRPr="564361E5">
              <w:rPr>
                <w:rFonts w:cs="Arial" w:asciiTheme="minorHAnsi" w:hAnsiTheme="minorHAnsi"/>
                <w:sz w:val="20"/>
              </w:rPr>
              <w:t>Unopened, unused vials of beractant that have warmed to room temperature can be returned to refrigerated storage within 8 hours for future use. Document on the packaging the date and time the product was removed from the fridge. Notify Pharmacy Department/NICU Pharmacist if this occurs. Do not warm to room temperature and return to refrigerated storage more than once.</w:t>
            </w:r>
          </w:p>
          <w:p w:rsidR="40C113BF" w:rsidP="564361E5" w:rsidRDefault="40C113BF" w14:paraId="380A475F" w14:textId="36E73AF5">
            <w:pPr>
              <w:rPr>
                <w:rFonts w:cs="Arial" w:asciiTheme="minorHAnsi" w:hAnsiTheme="minorHAnsi"/>
                <w:sz w:val="20"/>
              </w:rPr>
            </w:pPr>
          </w:p>
        </w:tc>
      </w:tr>
      <w:tr w:rsidR="40C113BF" w:rsidTr="48F57877" w14:paraId="5154B14E" w14:textId="77777777">
        <w:trPr>
          <w:trHeight w:val="265"/>
        </w:trPr>
        <w:tc>
          <w:tcPr>
            <w:tcW w:w="2031" w:type="dxa"/>
          </w:tcPr>
          <w:p w:rsidR="40C113BF" w:rsidP="40C113BF" w:rsidRDefault="40C113BF" w14:paraId="4C2093AB" w14:textId="77777777">
            <w:pPr>
              <w:pStyle w:val="BodyText"/>
              <w:rPr>
                <w:rFonts w:cs="Arial" w:asciiTheme="minorHAnsi" w:hAnsiTheme="minorHAnsi"/>
                <w:b/>
                <w:bCs/>
                <w:sz w:val="20"/>
              </w:rPr>
            </w:pPr>
            <w:r w:rsidRPr="40C113BF">
              <w:rPr>
                <w:rFonts w:cs="Arial" w:asciiTheme="minorHAnsi" w:hAnsiTheme="minorHAnsi"/>
                <w:b/>
                <w:bCs/>
                <w:sz w:val="20"/>
              </w:rPr>
              <w:t xml:space="preserve">Storage             </w:t>
            </w:r>
          </w:p>
        </w:tc>
        <w:tc>
          <w:tcPr>
            <w:tcW w:w="6985" w:type="dxa"/>
          </w:tcPr>
          <w:p w:rsidR="40C113BF" w:rsidP="564361E5" w:rsidRDefault="17833D58" w14:paraId="0A507650" w14:textId="15520386">
            <w:pPr>
              <w:pStyle w:val="BodyText"/>
              <w:rPr>
                <w:rFonts w:cs="Arial" w:asciiTheme="minorHAnsi" w:hAnsiTheme="minorHAnsi"/>
                <w:sz w:val="20"/>
              </w:rPr>
            </w:pPr>
            <w:r w:rsidRPr="564361E5">
              <w:rPr>
                <w:rFonts w:cs="Arial" w:asciiTheme="minorHAnsi" w:hAnsiTheme="minorHAnsi"/>
                <w:sz w:val="20"/>
              </w:rPr>
              <w:t>Store at 2−8°C. Protect from light.</w:t>
            </w:r>
          </w:p>
        </w:tc>
      </w:tr>
      <w:tr w:rsidR="40C113BF" w:rsidTr="48F57877" w14:paraId="42B4A115" w14:textId="77777777">
        <w:trPr>
          <w:trHeight w:val="283"/>
        </w:trPr>
        <w:tc>
          <w:tcPr>
            <w:tcW w:w="2031" w:type="dxa"/>
          </w:tcPr>
          <w:p w:rsidR="40C113BF" w:rsidP="40C113BF" w:rsidRDefault="40C113BF" w14:paraId="1AC06FEF" w14:textId="77777777">
            <w:pPr>
              <w:pStyle w:val="BodyText"/>
              <w:rPr>
                <w:rFonts w:cs="Arial" w:asciiTheme="minorHAnsi" w:hAnsiTheme="minorHAnsi"/>
                <w:b/>
                <w:bCs/>
                <w:sz w:val="20"/>
              </w:rPr>
            </w:pPr>
            <w:r w:rsidRPr="40C113BF">
              <w:rPr>
                <w:rFonts w:cs="Arial" w:asciiTheme="minorHAnsi" w:hAnsiTheme="minorHAnsi"/>
                <w:b/>
                <w:bCs/>
                <w:sz w:val="20"/>
              </w:rPr>
              <w:t>Special Comments</w:t>
            </w:r>
          </w:p>
        </w:tc>
        <w:tc>
          <w:tcPr>
            <w:tcW w:w="6985" w:type="dxa"/>
          </w:tcPr>
          <w:p w:rsidR="40C113BF" w:rsidP="564361E5" w:rsidRDefault="78A7A194" w14:paraId="4FD23149" w14:textId="42E60993">
            <w:pPr>
              <w:pStyle w:val="BodyText"/>
              <w:rPr>
                <w:rFonts w:cs="Arial" w:asciiTheme="minorHAnsi" w:hAnsiTheme="minorHAnsi"/>
                <w:sz w:val="20"/>
              </w:rPr>
            </w:pPr>
            <w:r w:rsidRPr="564361E5">
              <w:rPr>
                <w:rFonts w:cs="Arial" w:asciiTheme="minorHAnsi" w:hAnsiTheme="minorHAnsi"/>
                <w:sz w:val="20"/>
              </w:rPr>
              <w:t>Surfactant may alter amplitude-integrated electroencephalography (aEEG) recordings after administration.</w:t>
            </w:r>
          </w:p>
          <w:p w:rsidR="40C113BF" w:rsidP="564361E5" w:rsidRDefault="40C113BF" w14:paraId="4E141004" w14:textId="0E51CB3C">
            <w:pPr>
              <w:pStyle w:val="BodyText"/>
              <w:rPr>
                <w:rFonts w:cs="Arial" w:asciiTheme="minorHAnsi" w:hAnsiTheme="minorHAnsi"/>
                <w:sz w:val="20"/>
              </w:rPr>
            </w:pPr>
          </w:p>
        </w:tc>
      </w:tr>
      <w:tr w:rsidR="40C113BF" w:rsidTr="48F57877" w14:paraId="5FFEE2D2" w14:textId="77777777">
        <w:trPr>
          <w:trHeight w:val="248"/>
        </w:trPr>
        <w:tc>
          <w:tcPr>
            <w:tcW w:w="2031" w:type="dxa"/>
          </w:tcPr>
          <w:p w:rsidR="40C113BF" w:rsidP="40C113BF" w:rsidRDefault="40C113BF" w14:paraId="0540B57F" w14:textId="77777777">
            <w:pPr>
              <w:pStyle w:val="BodyText"/>
              <w:rPr>
                <w:rFonts w:cs="Arial" w:asciiTheme="minorHAnsi" w:hAnsiTheme="minorHAnsi"/>
                <w:b/>
                <w:bCs/>
                <w:sz w:val="20"/>
              </w:rPr>
            </w:pPr>
            <w:r w:rsidRPr="40C113BF">
              <w:rPr>
                <w:rFonts w:cs="Arial" w:asciiTheme="minorHAnsi" w:hAnsiTheme="minorHAnsi"/>
                <w:b/>
                <w:bCs/>
                <w:sz w:val="20"/>
              </w:rPr>
              <w:t>Evidence summary</w:t>
            </w:r>
          </w:p>
        </w:tc>
        <w:tc>
          <w:tcPr>
            <w:tcW w:w="6985" w:type="dxa"/>
          </w:tcPr>
          <w:p w:rsidR="40C113BF" w:rsidP="564361E5" w:rsidRDefault="4F6C8521" w14:paraId="56580AF1" w14:textId="001FDFF6">
            <w:pPr>
              <w:pStyle w:val="BodyText"/>
              <w:tabs>
                <w:tab w:val="left" w:pos="1168"/>
              </w:tabs>
              <w:rPr>
                <w:rFonts w:cs="Arial" w:asciiTheme="minorHAnsi" w:hAnsiTheme="minorHAnsi"/>
                <w:b/>
                <w:bCs/>
                <w:sz w:val="20"/>
              </w:rPr>
            </w:pPr>
            <w:r w:rsidRPr="564361E5">
              <w:rPr>
                <w:rFonts w:cs="Arial" w:asciiTheme="minorHAnsi" w:hAnsiTheme="minorHAnsi"/>
                <w:b/>
                <w:bCs/>
                <w:sz w:val="20"/>
              </w:rPr>
              <w:t>Prophylaxis versus rescue treatment</w:t>
            </w:r>
          </w:p>
          <w:p w:rsidR="40C113BF" w:rsidP="40C113BF" w:rsidRDefault="4F6C8521" w14:paraId="15CA1739" w14:textId="7DA22398">
            <w:pPr>
              <w:pStyle w:val="BodyText"/>
              <w:tabs>
                <w:tab w:val="left" w:pos="1168"/>
              </w:tabs>
            </w:pPr>
            <w:r w:rsidRPr="564361E5">
              <w:rPr>
                <w:rFonts w:cs="Arial" w:asciiTheme="minorHAnsi" w:hAnsiTheme="minorHAnsi"/>
                <w:sz w:val="20"/>
              </w:rPr>
              <w:t>A number of trials have previously demonstrated prophylactic administration of surfactantreduced mortality, rate of pneumothorax and interstitial emphysema over rescue treatment 5 (Grade A). Conversely, some recent trials suggest early initiation of CPAP and selective surfactant administration is associated with decreased chronic lung disease and mortality rates compared t</w:t>
            </w:r>
            <w:r w:rsidRPr="564361E5" w:rsidR="3F872DA8">
              <w:rPr>
                <w:rFonts w:cs="Arial" w:asciiTheme="minorHAnsi" w:hAnsiTheme="minorHAnsi"/>
                <w:sz w:val="20"/>
              </w:rPr>
              <w:t xml:space="preserve">o </w:t>
            </w:r>
            <w:r w:rsidRPr="564361E5">
              <w:rPr>
                <w:rFonts w:cs="Arial" w:asciiTheme="minorHAnsi" w:hAnsiTheme="minorHAnsi"/>
                <w:sz w:val="20"/>
              </w:rPr>
              <w:t xml:space="preserve">prophylactic surfactant use. However, it is thought that the recruited populations may not be, </w:t>
            </w:r>
          </w:p>
          <w:p w:rsidR="40C113BF" w:rsidP="40C113BF" w:rsidRDefault="416B4DC4" w14:paraId="2C471EE4" w14:textId="2FE30802">
            <w:pPr>
              <w:pStyle w:val="BodyText"/>
              <w:tabs>
                <w:tab w:val="left" w:pos="1168"/>
              </w:tabs>
            </w:pPr>
            <w:r w:rsidRPr="11366D88">
              <w:rPr>
                <w:rFonts w:cs="Arial" w:asciiTheme="minorHAnsi" w:hAnsiTheme="minorHAnsi"/>
                <w:sz w:val="20"/>
              </w:rPr>
              <w:t>applicable to all babies 8 (Level I, Grade C).</w:t>
            </w:r>
            <w:r w:rsidRPr="11366D88" w:rsidR="6FB2EC7D">
              <w:rPr>
                <w:rFonts w:cs="Arial" w:asciiTheme="minorHAnsi" w:hAnsiTheme="minorHAnsi"/>
                <w:sz w:val="20"/>
              </w:rPr>
              <w:t xml:space="preserve"> </w:t>
            </w:r>
            <w:r w:rsidRPr="11366D88">
              <w:rPr>
                <w:rFonts w:cs="Arial" w:asciiTheme="minorHAnsi" w:hAnsiTheme="minorHAnsi"/>
                <w:sz w:val="20"/>
              </w:rPr>
              <w:t>Therefore, the general consensus appears to favour early rescue treatment. However, if an</w:t>
            </w:r>
            <w:r w:rsidRPr="11366D88" w:rsidR="7FF59DB2">
              <w:rPr>
                <w:rFonts w:cs="Arial" w:asciiTheme="minorHAnsi" w:hAnsiTheme="minorHAnsi"/>
                <w:sz w:val="20"/>
              </w:rPr>
              <w:t xml:space="preserve"> </w:t>
            </w:r>
            <w:r w:rsidRPr="11366D88">
              <w:rPr>
                <w:rFonts w:cs="Arial" w:asciiTheme="minorHAnsi" w:hAnsiTheme="minorHAnsi"/>
                <w:sz w:val="20"/>
              </w:rPr>
              <w:t>extremely preterm infant requires immediate intubation for stabilisation or if the mother has not</w:t>
            </w:r>
            <w:r w:rsidRPr="11366D88" w:rsidR="3F3DE7B9">
              <w:rPr>
                <w:rFonts w:cs="Arial" w:asciiTheme="minorHAnsi" w:hAnsiTheme="minorHAnsi"/>
                <w:sz w:val="20"/>
              </w:rPr>
              <w:t xml:space="preserve"> </w:t>
            </w:r>
            <w:r w:rsidRPr="11366D88">
              <w:rPr>
                <w:rFonts w:cs="Arial" w:asciiTheme="minorHAnsi" w:hAnsiTheme="minorHAnsi"/>
                <w:sz w:val="20"/>
              </w:rPr>
              <w:t xml:space="preserve">had </w:t>
            </w:r>
            <w:r w:rsidRPr="11366D88">
              <w:rPr>
                <w:rFonts w:cs="Arial" w:asciiTheme="minorHAnsi" w:hAnsiTheme="minorHAnsi"/>
                <w:sz w:val="20"/>
              </w:rPr>
              <w:lastRenderedPageBreak/>
              <w:t>antenatal steroids, then surfactant should be administered before a formal diagnosis of RDS</w:t>
            </w:r>
            <w:r w:rsidRPr="11366D88" w:rsidR="1DB37522">
              <w:rPr>
                <w:rFonts w:cs="Arial" w:asciiTheme="minorHAnsi" w:hAnsiTheme="minorHAnsi"/>
                <w:sz w:val="20"/>
              </w:rPr>
              <w:t xml:space="preserve"> </w:t>
            </w:r>
            <w:r w:rsidRPr="11366D88">
              <w:rPr>
                <w:rFonts w:cs="Arial" w:asciiTheme="minorHAnsi" w:hAnsiTheme="minorHAnsi"/>
                <w:sz w:val="20"/>
              </w:rPr>
              <w:t xml:space="preserve">4,6 (Grade A). </w:t>
            </w:r>
          </w:p>
          <w:p w:rsidR="11366D88" w:rsidP="11366D88" w:rsidRDefault="11366D88" w14:paraId="73C73A62" w14:textId="0FCEBC95">
            <w:pPr>
              <w:pStyle w:val="BodyText"/>
              <w:tabs>
                <w:tab w:val="left" w:pos="1168"/>
              </w:tabs>
              <w:rPr>
                <w:rFonts w:cs="Arial" w:asciiTheme="minorHAnsi" w:hAnsiTheme="minorHAnsi"/>
                <w:sz w:val="20"/>
              </w:rPr>
            </w:pPr>
          </w:p>
          <w:p w:rsidR="40C113BF" w:rsidP="564361E5" w:rsidRDefault="4F6C8521" w14:paraId="0CAEBAD3" w14:textId="583514E7">
            <w:pPr>
              <w:pStyle w:val="BodyText"/>
              <w:tabs>
                <w:tab w:val="left" w:pos="1168"/>
              </w:tabs>
              <w:rPr>
                <w:rFonts w:cs="Arial" w:asciiTheme="minorHAnsi" w:hAnsiTheme="minorHAnsi"/>
                <w:b/>
                <w:bCs/>
                <w:sz w:val="20"/>
              </w:rPr>
            </w:pPr>
            <w:r w:rsidRPr="564361E5">
              <w:rPr>
                <w:rFonts w:cs="Arial" w:asciiTheme="minorHAnsi" w:hAnsiTheme="minorHAnsi"/>
                <w:b/>
                <w:bCs/>
                <w:sz w:val="20"/>
              </w:rPr>
              <w:t>High versus low initial dose</w:t>
            </w:r>
          </w:p>
          <w:p w:rsidR="40C113BF" w:rsidP="40C113BF" w:rsidRDefault="416B4DC4" w14:paraId="7DBEEFB5" w14:textId="4EEAF3B7">
            <w:pPr>
              <w:pStyle w:val="BodyText"/>
              <w:tabs>
                <w:tab w:val="left" w:pos="1168"/>
              </w:tabs>
            </w:pPr>
            <w:r w:rsidRPr="11366D88">
              <w:rPr>
                <w:rFonts w:cs="Arial" w:asciiTheme="minorHAnsi" w:hAnsiTheme="minorHAnsi"/>
                <w:sz w:val="20"/>
              </w:rPr>
              <w:t>Two randomised studies involving poractant comparing initial dose of 200 mg/kg versus</w:t>
            </w:r>
            <w:r w:rsidRPr="11366D88" w:rsidR="592CBB72">
              <w:rPr>
                <w:rFonts w:cs="Arial" w:asciiTheme="minorHAnsi" w:hAnsiTheme="minorHAnsi"/>
                <w:sz w:val="20"/>
              </w:rPr>
              <w:t xml:space="preserve"> </w:t>
            </w:r>
            <w:r w:rsidRPr="11366D88">
              <w:rPr>
                <w:rFonts w:cs="Arial" w:asciiTheme="minorHAnsi" w:hAnsiTheme="minorHAnsi"/>
                <w:sz w:val="20"/>
              </w:rPr>
              <w:t>100 mg/kg found no significant differences in long-term outcomes, although the higher dose</w:t>
            </w:r>
            <w:r w:rsidRPr="11366D88" w:rsidR="500A3D06">
              <w:rPr>
                <w:rFonts w:cs="Arial" w:asciiTheme="minorHAnsi" w:hAnsiTheme="minorHAnsi"/>
                <w:sz w:val="20"/>
              </w:rPr>
              <w:t xml:space="preserve"> </w:t>
            </w:r>
            <w:r w:rsidRPr="11366D88">
              <w:rPr>
                <w:rFonts w:cs="Arial" w:asciiTheme="minorHAnsi" w:hAnsiTheme="minorHAnsi"/>
                <w:sz w:val="20"/>
              </w:rPr>
              <w:t>offered short-term benefits in terms of early weaning of oxygen and ventilation 13,14 (Grade B</w:t>
            </w:r>
            <w:r w:rsidRPr="11366D88" w:rsidR="7C253C19">
              <w:rPr>
                <w:rFonts w:cs="Arial" w:asciiTheme="minorHAnsi" w:hAnsiTheme="minorHAnsi"/>
                <w:sz w:val="20"/>
              </w:rPr>
              <w:t xml:space="preserve"> </w:t>
            </w:r>
            <w:r w:rsidRPr="11366D88">
              <w:rPr>
                <w:rFonts w:cs="Arial" w:asciiTheme="minorHAnsi" w:hAnsiTheme="minorHAnsi"/>
                <w:sz w:val="20"/>
              </w:rPr>
              <w:t>level II). A meta-analysis comparing poractant 200 mg/kg, 100 mg/kg, and beractant 100 mg/kg</w:t>
            </w:r>
            <w:r w:rsidRPr="11366D88" w:rsidR="2E6C466D">
              <w:rPr>
                <w:rFonts w:cs="Arial" w:asciiTheme="minorHAnsi" w:hAnsiTheme="minorHAnsi"/>
                <w:sz w:val="20"/>
              </w:rPr>
              <w:t xml:space="preserve"> </w:t>
            </w:r>
            <w:r w:rsidRPr="11366D88">
              <w:rPr>
                <w:rFonts w:cs="Arial" w:asciiTheme="minorHAnsi" w:hAnsiTheme="minorHAnsi"/>
                <w:sz w:val="20"/>
              </w:rPr>
              <w:t>suggests a reduction in mortality favouring the higher dose of poractant 7 (Grade A).</w:t>
            </w:r>
          </w:p>
          <w:p w:rsidR="11366D88" w:rsidP="11366D88" w:rsidRDefault="11366D88" w14:paraId="512AD1D2" w14:textId="305F44EA">
            <w:pPr>
              <w:pStyle w:val="BodyText"/>
              <w:tabs>
                <w:tab w:val="left" w:pos="1168"/>
              </w:tabs>
              <w:rPr>
                <w:rFonts w:cs="Arial" w:asciiTheme="minorHAnsi" w:hAnsiTheme="minorHAnsi"/>
                <w:sz w:val="20"/>
              </w:rPr>
            </w:pPr>
          </w:p>
          <w:p w:rsidR="40C113BF" w:rsidP="564361E5" w:rsidRDefault="4F6C8521" w14:paraId="24693E7E" w14:textId="44FB09F1">
            <w:pPr>
              <w:pStyle w:val="BodyText"/>
              <w:tabs>
                <w:tab w:val="left" w:pos="1168"/>
              </w:tabs>
              <w:rPr>
                <w:rFonts w:cs="Arial" w:asciiTheme="minorHAnsi" w:hAnsiTheme="minorHAnsi"/>
                <w:b/>
                <w:bCs/>
                <w:sz w:val="20"/>
              </w:rPr>
            </w:pPr>
            <w:r w:rsidRPr="564361E5">
              <w:rPr>
                <w:rFonts w:cs="Arial" w:asciiTheme="minorHAnsi" w:hAnsiTheme="minorHAnsi"/>
                <w:b/>
                <w:bCs/>
                <w:sz w:val="20"/>
              </w:rPr>
              <w:t>Number of doses</w:t>
            </w:r>
          </w:p>
          <w:p w:rsidR="40C113BF" w:rsidP="40C113BF" w:rsidRDefault="416B4DC4" w14:paraId="4DC617B3" w14:textId="3CB18126">
            <w:pPr>
              <w:pStyle w:val="BodyText"/>
              <w:tabs>
                <w:tab w:val="left" w:pos="1168"/>
              </w:tabs>
            </w:pPr>
            <w:r w:rsidRPr="11366D88">
              <w:rPr>
                <w:rFonts w:cs="Arial" w:asciiTheme="minorHAnsi" w:hAnsiTheme="minorHAnsi"/>
                <w:sz w:val="20"/>
              </w:rPr>
              <w:t>Randomised trials suggest multiple doses are beneficial compared to a single dose9 (Grade A). Two</w:t>
            </w:r>
            <w:r w:rsidRPr="11366D88" w:rsidR="29CD121B">
              <w:rPr>
                <w:rFonts w:cs="Arial" w:asciiTheme="minorHAnsi" w:hAnsiTheme="minorHAnsi"/>
                <w:sz w:val="20"/>
              </w:rPr>
              <w:t xml:space="preserve"> </w:t>
            </w:r>
            <w:r w:rsidRPr="11366D88">
              <w:rPr>
                <w:rFonts w:cs="Arial" w:asciiTheme="minorHAnsi" w:hAnsiTheme="minorHAnsi"/>
                <w:sz w:val="20"/>
              </w:rPr>
              <w:t>of the trials used up to 3 doses 10,12 (Grade B) and one trial used 4 doses 11 (Level II).</w:t>
            </w:r>
          </w:p>
          <w:p w:rsidR="11366D88" w:rsidP="11366D88" w:rsidRDefault="11366D88" w14:paraId="09D44860" w14:textId="4E715B86">
            <w:pPr>
              <w:pStyle w:val="BodyText"/>
              <w:tabs>
                <w:tab w:val="left" w:pos="1168"/>
              </w:tabs>
              <w:rPr>
                <w:rFonts w:cs="Arial" w:asciiTheme="minorHAnsi" w:hAnsiTheme="minorHAnsi"/>
                <w:sz w:val="20"/>
              </w:rPr>
            </w:pPr>
          </w:p>
          <w:p w:rsidR="40C113BF" w:rsidP="564361E5" w:rsidRDefault="4F6C8521" w14:paraId="1B783038" w14:textId="7DA49AB0">
            <w:pPr>
              <w:pStyle w:val="BodyText"/>
              <w:tabs>
                <w:tab w:val="left" w:pos="1168"/>
              </w:tabs>
              <w:rPr>
                <w:rFonts w:cs="Arial" w:asciiTheme="minorHAnsi" w:hAnsiTheme="minorHAnsi"/>
                <w:b/>
                <w:bCs/>
                <w:sz w:val="20"/>
              </w:rPr>
            </w:pPr>
            <w:r w:rsidRPr="564361E5">
              <w:rPr>
                <w:rFonts w:cs="Arial" w:asciiTheme="minorHAnsi" w:hAnsiTheme="minorHAnsi"/>
                <w:b/>
                <w:bCs/>
                <w:sz w:val="20"/>
              </w:rPr>
              <w:t xml:space="preserve">Meconium aspiration syndrome </w:t>
            </w:r>
          </w:p>
          <w:p w:rsidR="40C113BF" w:rsidP="40C113BF" w:rsidRDefault="4F6C8521" w14:paraId="77377287" w14:textId="28FFE828">
            <w:pPr>
              <w:pStyle w:val="BodyText"/>
              <w:tabs>
                <w:tab w:val="left" w:pos="1168"/>
              </w:tabs>
            </w:pPr>
            <w:r w:rsidRPr="564361E5">
              <w:rPr>
                <w:rFonts w:cs="Arial" w:asciiTheme="minorHAnsi" w:hAnsiTheme="minorHAnsi"/>
                <w:sz w:val="20"/>
              </w:rPr>
              <w:t>A review of 4 randomised controlled trials found that surfactant administration (3 studies used</w:t>
            </w:r>
            <w:r w:rsidRPr="564361E5" w:rsidR="4BA82D8E">
              <w:rPr>
                <w:rFonts w:cs="Arial" w:asciiTheme="minorHAnsi" w:hAnsiTheme="minorHAnsi"/>
                <w:sz w:val="20"/>
              </w:rPr>
              <w:t xml:space="preserve"> </w:t>
            </w:r>
            <w:r w:rsidRPr="564361E5">
              <w:rPr>
                <w:rFonts w:cs="Arial" w:asciiTheme="minorHAnsi" w:hAnsiTheme="minorHAnsi"/>
                <w:sz w:val="20"/>
              </w:rPr>
              <w:t>beractant, 1 used poractant) in infants with MAS may reduce the severity of respiratory illness and</w:t>
            </w:r>
            <w:r w:rsidRPr="564361E5" w:rsidR="4CE18F3F">
              <w:rPr>
                <w:rFonts w:cs="Arial" w:asciiTheme="minorHAnsi" w:hAnsiTheme="minorHAnsi"/>
                <w:sz w:val="20"/>
              </w:rPr>
              <w:t xml:space="preserve"> </w:t>
            </w:r>
            <w:r w:rsidRPr="564361E5">
              <w:rPr>
                <w:rFonts w:cs="Arial" w:asciiTheme="minorHAnsi" w:hAnsiTheme="minorHAnsi"/>
                <w:sz w:val="20"/>
              </w:rPr>
              <w:t>reduce the need for extracorporeal membrane oxygenation (ECMO) 15-18 ( Grade A).</w:t>
            </w:r>
          </w:p>
          <w:p w:rsidR="40C113BF" w:rsidP="564361E5" w:rsidRDefault="4F6C8521" w14:paraId="5E2628D7" w14:textId="12C531B9">
            <w:pPr>
              <w:pStyle w:val="BodyText"/>
              <w:tabs>
                <w:tab w:val="left" w:pos="1168"/>
              </w:tabs>
              <w:rPr>
                <w:rFonts w:cs="Arial" w:asciiTheme="minorHAnsi" w:hAnsiTheme="minorHAnsi"/>
                <w:sz w:val="20"/>
              </w:rPr>
            </w:pPr>
            <w:r w:rsidRPr="564361E5">
              <w:rPr>
                <w:rFonts w:cs="Arial" w:asciiTheme="minorHAnsi" w:hAnsiTheme="minorHAnsi"/>
                <w:sz w:val="20"/>
              </w:rPr>
              <w:t>A review of 3 randomised trials found lung lavage with diluted surfactant in infants with MAS may</w:t>
            </w:r>
            <w:r w:rsidRPr="564361E5" w:rsidR="1E4A634C">
              <w:rPr>
                <w:rFonts w:cs="Arial" w:asciiTheme="minorHAnsi" w:hAnsiTheme="minorHAnsi"/>
                <w:sz w:val="20"/>
              </w:rPr>
              <w:t xml:space="preserve"> </w:t>
            </w:r>
            <w:r w:rsidRPr="564361E5">
              <w:rPr>
                <w:rFonts w:cs="Arial" w:asciiTheme="minorHAnsi" w:hAnsiTheme="minorHAnsi"/>
                <w:sz w:val="20"/>
              </w:rPr>
              <w:t>be beneficial (2 studies comparing diluted surfactant versus standard treatment found a</w:t>
            </w:r>
            <w:r w:rsidRPr="564361E5" w:rsidR="113E9F0F">
              <w:rPr>
                <w:rFonts w:cs="Arial" w:asciiTheme="minorHAnsi" w:hAnsiTheme="minorHAnsi"/>
                <w:sz w:val="20"/>
              </w:rPr>
              <w:t xml:space="preserve"> </w:t>
            </w:r>
            <w:r w:rsidRPr="564361E5">
              <w:rPr>
                <w:rFonts w:cs="Arial" w:asciiTheme="minorHAnsi" w:hAnsiTheme="minorHAnsi"/>
                <w:sz w:val="20"/>
              </w:rPr>
              <w:t>significant decrease in the combined outcome of death and use of ECMO in the treatment group;</w:t>
            </w:r>
            <w:r w:rsidRPr="564361E5" w:rsidR="66848277">
              <w:rPr>
                <w:rFonts w:cs="Arial" w:asciiTheme="minorHAnsi" w:hAnsiTheme="minorHAnsi"/>
                <w:sz w:val="20"/>
              </w:rPr>
              <w:t xml:space="preserve"> </w:t>
            </w:r>
            <w:r w:rsidRPr="564361E5">
              <w:rPr>
                <w:rFonts w:cs="Arial" w:asciiTheme="minorHAnsi" w:hAnsiTheme="minorHAnsi"/>
                <w:sz w:val="20"/>
              </w:rPr>
              <w:t>1 study compared surfactant lavage followed by surfactant bolus therapy versus surfactant bolus</w:t>
            </w:r>
            <w:r w:rsidRPr="564361E5" w:rsidR="765AEF2E">
              <w:rPr>
                <w:rFonts w:cs="Arial" w:asciiTheme="minorHAnsi" w:hAnsiTheme="minorHAnsi"/>
                <w:sz w:val="20"/>
              </w:rPr>
              <w:t xml:space="preserve"> </w:t>
            </w:r>
            <w:r w:rsidRPr="564361E5">
              <w:rPr>
                <w:rFonts w:cs="Arial" w:asciiTheme="minorHAnsi" w:hAnsiTheme="minorHAnsi"/>
                <w:sz w:val="20"/>
              </w:rPr>
              <w:t>alone and observed no differences in mortality, pneumothorax, duration of mechanical</w:t>
            </w:r>
            <w:r w:rsidRPr="564361E5" w:rsidR="2AA489B6">
              <w:rPr>
                <w:rFonts w:cs="Arial" w:asciiTheme="minorHAnsi" w:hAnsiTheme="minorHAnsi"/>
                <w:sz w:val="20"/>
              </w:rPr>
              <w:t xml:space="preserve"> </w:t>
            </w:r>
            <w:r w:rsidRPr="564361E5">
              <w:rPr>
                <w:rFonts w:cs="Arial" w:asciiTheme="minorHAnsi" w:hAnsiTheme="minorHAnsi"/>
                <w:sz w:val="20"/>
              </w:rPr>
              <w:t>ventilation, or duration of hospitalisation), but more evidence is needed 19.</w:t>
            </w:r>
          </w:p>
          <w:p w:rsidR="40C113BF" w:rsidP="564361E5" w:rsidRDefault="40C113BF" w14:paraId="6DC71835" w14:textId="7DCAC1B5">
            <w:pPr>
              <w:pStyle w:val="BodyText"/>
              <w:tabs>
                <w:tab w:val="left" w:pos="1168"/>
              </w:tabs>
              <w:rPr>
                <w:rFonts w:cs="Arial" w:asciiTheme="minorHAnsi" w:hAnsiTheme="minorHAnsi"/>
                <w:sz w:val="20"/>
              </w:rPr>
            </w:pPr>
          </w:p>
        </w:tc>
      </w:tr>
      <w:tr w:rsidR="40C113BF" w:rsidTr="48F57877" w14:paraId="616BDF1C" w14:textId="77777777">
        <w:trPr>
          <w:trHeight w:val="361"/>
        </w:trPr>
        <w:tc>
          <w:tcPr>
            <w:tcW w:w="2031" w:type="dxa"/>
          </w:tcPr>
          <w:p w:rsidR="40C113BF" w:rsidP="40C113BF" w:rsidRDefault="40C113BF" w14:paraId="69B2D697" w14:textId="77777777">
            <w:pPr>
              <w:pStyle w:val="BodyText"/>
              <w:rPr>
                <w:rFonts w:cs="Arial" w:asciiTheme="minorHAnsi" w:hAnsiTheme="minorHAnsi"/>
                <w:b/>
                <w:bCs/>
                <w:sz w:val="20"/>
              </w:rPr>
            </w:pPr>
            <w:r w:rsidRPr="40C113BF">
              <w:rPr>
                <w:rFonts w:asciiTheme="minorHAnsi" w:hAnsiTheme="minorHAnsi"/>
                <w:b/>
                <w:bCs/>
                <w:sz w:val="20"/>
              </w:rPr>
              <w:lastRenderedPageBreak/>
              <w:t>References</w:t>
            </w:r>
          </w:p>
        </w:tc>
        <w:tc>
          <w:tcPr>
            <w:tcW w:w="6985" w:type="dxa"/>
          </w:tcPr>
          <w:p w:rsidRPr="00BD31B3" w:rsidR="40C113BF" w:rsidP="0083246D" w:rsidRDefault="7D6A326C" w14:paraId="1A939A6D" w14:textId="1A0D308E">
            <w:pPr>
              <w:pStyle w:val="ListParagraph"/>
              <w:numPr>
                <w:ilvl w:val="0"/>
                <w:numId w:val="9"/>
              </w:numPr>
              <w:rPr>
                <w:rFonts w:asciiTheme="minorHAnsi" w:hAnsiTheme="minorHAnsi" w:eastAsiaTheme="minorEastAsia" w:cstheme="minorBidi"/>
                <w:sz w:val="20"/>
              </w:rPr>
            </w:pPr>
            <w:r w:rsidRPr="00BD31B3">
              <w:rPr>
                <w:rFonts w:asciiTheme="minorHAnsi" w:hAnsiTheme="minorHAnsi" w:eastAsiaTheme="minorEastAsia" w:cstheme="minorBidi"/>
                <w:sz w:val="20"/>
              </w:rPr>
              <w:t xml:space="preserve">Thomson Reuters, Neofax 2011, Poractant Alfa Monograph, page 308–309.   </w:t>
            </w:r>
          </w:p>
          <w:p w:rsidRPr="00BD31B3" w:rsidR="40C113BF" w:rsidP="0083246D" w:rsidRDefault="7D6A326C" w14:paraId="2179146A" w14:textId="3DAAC989">
            <w:pPr>
              <w:pStyle w:val="ListParagraph"/>
              <w:numPr>
                <w:ilvl w:val="0"/>
                <w:numId w:val="9"/>
              </w:numPr>
              <w:rPr>
                <w:rFonts w:asciiTheme="minorHAnsi" w:hAnsiTheme="minorHAnsi" w:eastAsiaTheme="minorEastAsia" w:cstheme="minorBidi"/>
                <w:sz w:val="20"/>
              </w:rPr>
            </w:pPr>
            <w:r w:rsidRPr="00BD31B3">
              <w:rPr>
                <w:rFonts w:asciiTheme="minorHAnsi" w:hAnsiTheme="minorHAnsi" w:eastAsiaTheme="minorEastAsia" w:cstheme="minorBidi"/>
                <w:sz w:val="20"/>
              </w:rPr>
              <w:t>Hey E. Neonatal Formulary 6, 2011, Surfactants, page 248–249</w:t>
            </w:r>
            <w:r w:rsidRPr="00BD31B3" w:rsidR="00BD31B3">
              <w:rPr>
                <w:rFonts w:asciiTheme="minorHAnsi" w:hAnsiTheme="minorHAnsi" w:eastAsiaTheme="minorEastAsia" w:cstheme="minorBidi"/>
                <w:sz w:val="20"/>
              </w:rPr>
              <w:t>.</w:t>
            </w:r>
            <w:r w:rsidRPr="00BD31B3">
              <w:rPr>
                <w:rFonts w:asciiTheme="minorHAnsi" w:hAnsiTheme="minorHAnsi" w:eastAsiaTheme="minorEastAsia" w:cstheme="minorBidi"/>
                <w:sz w:val="20"/>
              </w:rPr>
              <w:t xml:space="preserve"> </w:t>
            </w:r>
          </w:p>
          <w:p w:rsidRPr="00BD31B3" w:rsidR="40C113BF" w:rsidP="0083246D" w:rsidRDefault="7D6A326C" w14:paraId="7C6C93DB" w14:textId="19F01FE8">
            <w:pPr>
              <w:pStyle w:val="ListParagraph"/>
              <w:numPr>
                <w:ilvl w:val="0"/>
                <w:numId w:val="9"/>
              </w:numPr>
              <w:rPr>
                <w:rFonts w:asciiTheme="minorHAnsi" w:hAnsiTheme="minorHAnsi" w:eastAsiaTheme="minorEastAsia" w:cstheme="minorBidi"/>
                <w:sz w:val="20"/>
              </w:rPr>
            </w:pPr>
            <w:r w:rsidRPr="00BD31B3">
              <w:rPr>
                <w:rFonts w:asciiTheme="minorHAnsi" w:hAnsiTheme="minorHAnsi" w:eastAsiaTheme="minorEastAsia" w:cstheme="minorBidi"/>
                <w:sz w:val="20"/>
              </w:rPr>
              <w:t>MIMS, Curosurf Product Information, 2010, Ascent Pharma.</w:t>
            </w:r>
          </w:p>
          <w:p w:rsidRPr="00BD31B3" w:rsidR="40C113BF" w:rsidP="0083246D" w:rsidRDefault="7D6A326C" w14:paraId="072FEDF3" w14:textId="5847B9D7">
            <w:pPr>
              <w:pStyle w:val="ListParagraph"/>
              <w:numPr>
                <w:ilvl w:val="0"/>
                <w:numId w:val="9"/>
              </w:numPr>
              <w:rPr>
                <w:rFonts w:asciiTheme="minorHAnsi" w:hAnsiTheme="minorHAnsi" w:eastAsiaTheme="minorEastAsia" w:cstheme="minorBidi"/>
                <w:sz w:val="20"/>
              </w:rPr>
            </w:pPr>
            <w:r w:rsidRPr="00BD31B3">
              <w:rPr>
                <w:rFonts w:asciiTheme="minorHAnsi" w:hAnsiTheme="minorHAnsi" w:eastAsiaTheme="minorEastAsia" w:cstheme="minorBidi"/>
                <w:sz w:val="20"/>
              </w:rPr>
              <w:t xml:space="preserve"> Sweet et al. European Consensus Guidelines on the Management of Neonatal Respiratory, Distress Syndrome in Preterm Infants – 2013 Update, Neonatology 2013;103:353–368. </w:t>
            </w:r>
          </w:p>
          <w:p w:rsidRPr="00BD31B3" w:rsidR="40C113BF" w:rsidP="0083246D" w:rsidRDefault="7D6A326C" w14:paraId="650F47BB" w14:textId="36ABD97A">
            <w:pPr>
              <w:pStyle w:val="ListParagraph"/>
              <w:numPr>
                <w:ilvl w:val="0"/>
                <w:numId w:val="9"/>
              </w:numPr>
              <w:rPr>
                <w:rFonts w:eastAsia="Calibri" w:cs="Calibri"/>
                <w:color w:val="000000" w:themeColor="text1"/>
                <w:sz w:val="20"/>
              </w:rPr>
            </w:pPr>
            <w:r w:rsidRPr="00BD31B3">
              <w:rPr>
                <w:rFonts w:asciiTheme="minorHAnsi" w:hAnsiTheme="minorHAnsi" w:eastAsiaTheme="minorEastAsia" w:cstheme="minorBidi"/>
                <w:sz w:val="20"/>
              </w:rPr>
              <w:t xml:space="preserve"> Soll R, Özek E. Prophylactic animal derived surfactant extract for preventing morbidity and, mortality in preterm infants. Cochrane Database of Systematic Reviews 1997, Issue 4. Art. No.:</w:t>
            </w:r>
            <w:r w:rsidRPr="00BD31B3" w:rsidR="05308E12">
              <w:rPr>
                <w:rFonts w:asciiTheme="minorHAnsi" w:hAnsiTheme="minorHAnsi" w:eastAsiaTheme="minorEastAsia" w:cstheme="minorBidi"/>
                <w:sz w:val="20"/>
              </w:rPr>
              <w:t xml:space="preserve"> </w:t>
            </w:r>
            <w:r w:rsidRPr="00BD31B3">
              <w:rPr>
                <w:rFonts w:eastAsia="Calibri" w:cs="Calibri"/>
                <w:sz w:val="20"/>
              </w:rPr>
              <w:t>CD000511. DOI: 10.1002/14651858.CD000511.</w:t>
            </w:r>
          </w:p>
          <w:p w:rsidR="40C113BF" w:rsidP="0083246D" w:rsidRDefault="085036C3" w14:paraId="4E08F310" w14:textId="43F8DAF3">
            <w:pPr>
              <w:pStyle w:val="ListParagraph"/>
              <w:numPr>
                <w:ilvl w:val="0"/>
                <w:numId w:val="9"/>
              </w:numPr>
              <w:rPr>
                <w:rFonts w:eastAsia="Calibri" w:cs="Calibri"/>
                <w:color w:val="000000" w:themeColor="text1"/>
                <w:sz w:val="20"/>
              </w:rPr>
            </w:pPr>
            <w:r w:rsidRPr="77BEE3D0">
              <w:rPr>
                <w:rFonts w:eastAsia="Calibri" w:cs="Calibri"/>
                <w:color w:val="000000" w:themeColor="text1"/>
                <w:sz w:val="20"/>
              </w:rPr>
              <w:t>m</w:t>
            </w:r>
            <w:r w:rsidRPr="77BEE3D0" w:rsidR="7D6A326C">
              <w:rPr>
                <w:rFonts w:eastAsia="Calibri" w:cs="Calibri"/>
                <w:color w:val="000000" w:themeColor="text1"/>
                <w:sz w:val="20"/>
              </w:rPr>
              <w:t>Bahadue FL, Soll R. Early versus delayed selective surfactant treatment for neonatal respiratory distress syndrome. Cochrane Database of Systematic Reviews 2012, Issue 11. Art. No.: CD001456. DOI: 10.1002/14651858.CD001456.pub2.</w:t>
            </w:r>
            <w:r w:rsidRPr="77BEE3D0" w:rsidR="7D6A326C">
              <w:rPr>
                <w:rFonts w:eastAsia="Calibri" w:cs="Calibri"/>
                <w:color w:val="000000" w:themeColor="text1"/>
                <w:sz w:val="16"/>
                <w:szCs w:val="16"/>
              </w:rPr>
              <w:t xml:space="preserve"> </w:t>
            </w:r>
          </w:p>
          <w:p w:rsidR="40C113BF" w:rsidP="0083246D" w:rsidRDefault="7D6A326C" w14:paraId="5183BC0A" w14:textId="3CF48434">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t>Singh N, Hawley KL, Viswanathan K: Efficacy of porcine versus bovine surfactants for preterm newborns with respiratory distress syndrome: systematic review and meta-analysis. Pediatrics 2011; 128:e1588–e1595.</w:t>
            </w:r>
          </w:p>
          <w:p w:rsidR="40C113BF" w:rsidP="0083246D" w:rsidRDefault="7D6A326C" w14:paraId="090190BE" w14:textId="5F1133DF">
            <w:pPr>
              <w:pStyle w:val="ListParagraph"/>
              <w:numPr>
                <w:ilvl w:val="0"/>
                <w:numId w:val="9"/>
              </w:numPr>
              <w:spacing w:line="238" w:lineRule="auto"/>
              <w:rPr>
                <w:color w:val="000000" w:themeColor="text1"/>
                <w:sz w:val="20"/>
              </w:rPr>
            </w:pPr>
            <w:r w:rsidRPr="77BEE3D0">
              <w:rPr>
                <w:rFonts w:eastAsia="Calibri" w:cs="Calibri"/>
                <w:color w:val="000000" w:themeColor="text1"/>
                <w:sz w:val="20"/>
              </w:rPr>
              <w:t xml:space="preserve">Rojas-Reyes MX, Morley CJ, Soll R: Prophylactic versus selective use of surfactant in preventing morbidity and mortality in preterm infants. Cochrane Database of Systematic Reviews 2012:CD000510. </w:t>
            </w:r>
          </w:p>
          <w:p w:rsidR="40C113BF" w:rsidP="0083246D" w:rsidRDefault="7D6A326C" w14:paraId="552A0A86" w14:textId="31FFE04F">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t>Soll R, Ozek E: Multiple versus single doses of exogenous surfactant for the prevention or treatment of neonatal respiratory distress syndrome. Cochrane Database of Systematic Reviews 2009:CD000141.</w:t>
            </w:r>
            <w:r>
              <w:br/>
            </w:r>
            <w:r w:rsidRPr="77BEE3D0">
              <w:rPr>
                <w:rFonts w:eastAsia="Calibri" w:cs="Calibri"/>
                <w:color w:val="000000" w:themeColor="text1"/>
                <w:sz w:val="20"/>
              </w:rPr>
              <w:t xml:space="preserve"> </w:t>
            </w:r>
          </w:p>
          <w:p w:rsidR="40C113BF" w:rsidP="0083246D" w:rsidRDefault="7D6A326C" w14:paraId="0B2F47B9" w14:textId="63E87930">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lastRenderedPageBreak/>
              <w:t xml:space="preserve">Corbet A et al. Double-blind randomized trial of one versus three prophylactic doses of synthetic surfactant in 826 neonates weighing 700 to 1000 grams: effects on mortality rate. Journal of Pediatrics 1995;126:969–78. </w:t>
            </w:r>
          </w:p>
          <w:p w:rsidR="40C113BF" w:rsidP="0083246D" w:rsidRDefault="7D6A326C" w14:paraId="3556291F" w14:textId="46F41D69">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t xml:space="preserve">Dunn MS, Shennan AT, Possmayer F. Single- vs multiple-dose surfactant replacement therapy in neonates of 30 to 36 weeks’ gestation with respiratory distress syndrome. Pediatrics 1990;86:564–71. </w:t>
            </w:r>
          </w:p>
          <w:p w:rsidR="40C113BF" w:rsidP="0083246D" w:rsidRDefault="7D6A326C" w14:paraId="69165A38" w14:textId="44D1FAB4">
            <w:pPr>
              <w:pStyle w:val="ListParagraph"/>
              <w:numPr>
                <w:ilvl w:val="0"/>
                <w:numId w:val="9"/>
              </w:numPr>
              <w:rPr>
                <w:rFonts w:eastAsia="Calibri" w:cs="Calibri"/>
                <w:color w:val="000000" w:themeColor="text1"/>
                <w:sz w:val="20"/>
              </w:rPr>
            </w:pPr>
            <w:r w:rsidRPr="77BEE3D0">
              <w:rPr>
                <w:rFonts w:eastAsia="Calibri" w:cs="Calibri"/>
                <w:color w:val="000000" w:themeColor="text1"/>
                <w:sz w:val="20"/>
              </w:rPr>
              <w:t xml:space="preserve">Speer CP et al: Randomized European multicenter trial of surfactant replacement therapy for severe neonatal respiratory distress syndrome: single versus multiple doses of Curosurf. Pediatrics 1992; 89: 13–20. </w:t>
            </w:r>
          </w:p>
          <w:p w:rsidR="40C113BF" w:rsidP="0083246D" w:rsidRDefault="7D6A326C" w14:paraId="562E3DEE" w14:textId="73C4F755">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t xml:space="preserve">Halliday HL et al. (1993) Multicentre randomised trial comparing high and low dose surfactant regimens for the treatment of respiratory distress syndrome (the Curosurf 4 trial), Archives of Disease in Childhood; 69: 276-280. </w:t>
            </w:r>
          </w:p>
          <w:p w:rsidR="40C113BF" w:rsidP="0083246D" w:rsidRDefault="7D6A326C" w14:paraId="1F0E11C1" w14:textId="5A3FC000">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t xml:space="preserve">Figueras-Aloy J et al. Early administration of the second dose of surfactant (beractant) in the treatment of severe hyaline membrane disease. Acta Paediatr 2001;90:296–301. </w:t>
            </w:r>
          </w:p>
          <w:p w:rsidR="40C113BF" w:rsidP="0083246D" w:rsidRDefault="7D6A326C" w14:paraId="2558483C" w14:textId="071499AA">
            <w:pPr>
              <w:pStyle w:val="ListParagraph"/>
              <w:numPr>
                <w:ilvl w:val="0"/>
                <w:numId w:val="9"/>
              </w:numPr>
              <w:spacing w:line="238" w:lineRule="auto"/>
              <w:jc w:val="both"/>
              <w:rPr>
                <w:rFonts w:eastAsia="Calibri" w:cs="Calibri"/>
                <w:color w:val="000000" w:themeColor="text1"/>
                <w:sz w:val="20"/>
              </w:rPr>
            </w:pPr>
            <w:r w:rsidRPr="77BEE3D0">
              <w:rPr>
                <w:rFonts w:eastAsia="Calibri" w:cs="Calibri"/>
                <w:color w:val="000000" w:themeColor="text1"/>
                <w:sz w:val="20"/>
              </w:rPr>
              <w:t xml:space="preserve">El Shahed AI, Dargaville PA, Ohlsson A, Soll R, Surfactant for meconium aspiration syndrome in full term/near term infants (Review), Cochrane Database of Systematic Reviews 2007, Issue 3. Art. No.: CD002054. </w:t>
            </w:r>
          </w:p>
          <w:p w:rsidR="40C113BF" w:rsidP="0083246D" w:rsidRDefault="7D6A326C" w14:paraId="0FAFF3E3" w14:textId="0EAC1EFF">
            <w:pPr>
              <w:pStyle w:val="ListParagraph"/>
              <w:numPr>
                <w:ilvl w:val="0"/>
                <w:numId w:val="9"/>
              </w:numPr>
              <w:spacing w:line="238" w:lineRule="auto"/>
              <w:jc w:val="both"/>
              <w:rPr>
                <w:color w:val="000000" w:themeColor="text1"/>
                <w:sz w:val="20"/>
              </w:rPr>
            </w:pPr>
            <w:r w:rsidRPr="77BEE3D0">
              <w:rPr>
                <w:rFonts w:eastAsia="Calibri" w:cs="Calibri"/>
                <w:color w:val="000000" w:themeColor="text1"/>
                <w:sz w:val="20"/>
              </w:rPr>
              <w:t xml:space="preserve">Findlay RD et al. Surfactant Replacement Therapy for Meconium Aspiration Syndrome, Pediatrics 1996, 97(1):48–52. </w:t>
            </w:r>
          </w:p>
          <w:p w:rsidR="40C113BF" w:rsidP="0083246D" w:rsidRDefault="7D6A326C" w14:paraId="1C259FEC" w14:textId="063C4733">
            <w:pPr>
              <w:pStyle w:val="ListParagraph"/>
              <w:numPr>
                <w:ilvl w:val="0"/>
                <w:numId w:val="9"/>
              </w:numPr>
              <w:spacing w:line="238" w:lineRule="auto"/>
              <w:rPr>
                <w:rFonts w:eastAsia="Calibri" w:cs="Calibri"/>
                <w:color w:val="000000" w:themeColor="text1"/>
                <w:sz w:val="20"/>
              </w:rPr>
            </w:pPr>
            <w:r w:rsidRPr="77BEE3D0">
              <w:rPr>
                <w:rFonts w:eastAsia="Calibri" w:cs="Calibri"/>
                <w:color w:val="000000" w:themeColor="text1"/>
                <w:sz w:val="20"/>
              </w:rPr>
              <w:t xml:space="preserve">Lotze et al. Multicenter study of surfactant (beractant) use in the treatment of term infants with severe respiratory failure, The Journal of Pediatrics 1998, 132(1):40–47. </w:t>
            </w:r>
          </w:p>
          <w:p w:rsidR="40C113BF" w:rsidP="0083246D" w:rsidRDefault="7D6A326C" w14:paraId="2BAC6523" w14:textId="5664E1D8">
            <w:pPr>
              <w:pStyle w:val="ListParagraph"/>
              <w:numPr>
                <w:ilvl w:val="0"/>
                <w:numId w:val="9"/>
              </w:numPr>
              <w:jc w:val="both"/>
              <w:rPr>
                <w:rFonts w:eastAsia="Calibri" w:cs="Calibri"/>
                <w:color w:val="000000" w:themeColor="text1"/>
                <w:sz w:val="20"/>
              </w:rPr>
            </w:pPr>
            <w:r w:rsidRPr="77BEE3D0">
              <w:rPr>
                <w:rFonts w:eastAsia="Calibri" w:cs="Calibri"/>
                <w:color w:val="000000" w:themeColor="text1"/>
                <w:sz w:val="20"/>
              </w:rPr>
              <w:t xml:space="preserve">Chinese Collaborative Study Group for Neonatal Respiratory Diseases, Treatment of severe meconium aspiration syndrome with porcine surfactant: A multicentre, randomized, controlled trial, Acta Pædiatrica, 2005; 94: 896–902. </w:t>
            </w:r>
          </w:p>
          <w:p w:rsidR="40C113BF" w:rsidP="0083246D" w:rsidRDefault="7D6A326C" w14:paraId="51909AC0" w14:textId="7400194C">
            <w:pPr>
              <w:pStyle w:val="ListParagraph"/>
              <w:numPr>
                <w:ilvl w:val="0"/>
                <w:numId w:val="9"/>
              </w:numPr>
              <w:spacing w:line="250" w:lineRule="auto"/>
              <w:rPr>
                <w:rFonts w:asciiTheme="minorHAnsi" w:hAnsiTheme="minorHAnsi" w:eastAsiaTheme="minorEastAsia" w:cstheme="minorBidi"/>
                <w:sz w:val="16"/>
                <w:szCs w:val="16"/>
              </w:rPr>
            </w:pPr>
            <w:r w:rsidRPr="77BEE3D0">
              <w:rPr>
                <w:rFonts w:eastAsia="Calibri" w:cs="Calibri"/>
                <w:color w:val="000000" w:themeColor="text1"/>
                <w:sz w:val="20"/>
              </w:rPr>
              <w:t>Hahn S, Choi HJ, Soll R, Dargaville PA, Lung lavage for meconium aspiration syndrome in newborn infants (Review), Cochrane Database of Systematic Reviews 2013, Issue 4. Art. No.: CD003486.</w:t>
            </w:r>
          </w:p>
        </w:tc>
      </w:tr>
    </w:tbl>
    <w:p w:rsidRPr="00E25790" w:rsidR="00115F48" w:rsidP="006F0321" w:rsidRDefault="00115F48" w14:paraId="3ACC7E69" w14:textId="133D90A0"/>
    <w:tbl>
      <w:tblPr>
        <w:tblW w:w="0" w:type="auto"/>
        <w:tblInd w:w="-34" w:type="dxa"/>
        <w:tblLook w:val="04A0" w:firstRow="1" w:lastRow="0" w:firstColumn="1" w:lastColumn="0" w:noHBand="0" w:noVBand="1"/>
      </w:tblPr>
      <w:tblGrid>
        <w:gridCol w:w="4108"/>
        <w:gridCol w:w="4817"/>
      </w:tblGrid>
      <w:tr w:rsidR="0020431B" w:rsidTr="48F57877" w14:paraId="1EA00915"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40C113BF" w:rsidP="40C113BF" w:rsidRDefault="40C113BF" w14:paraId="052A04F4" w14:textId="6CFE8018">
            <w:pPr>
              <w:spacing w:line="252" w:lineRule="auto"/>
              <w:rPr>
                <w:b/>
                <w:bCs/>
              </w:rPr>
            </w:pPr>
            <w:r w:rsidRPr="564361E5">
              <w:rPr>
                <w:b/>
                <w:bCs/>
              </w:rPr>
              <w:t xml:space="preserve">Original version Date: </w:t>
            </w:r>
            <w:r w:rsidRPr="564361E5" w:rsidR="1C60933F">
              <w:rPr>
                <w:b/>
                <w:bCs/>
              </w:rPr>
              <w:t>27/10/2015</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40C113BF" w:rsidP="40C113BF" w:rsidRDefault="197337F5" w14:paraId="7226BE4B" w14:textId="1B203AE8">
            <w:pPr>
              <w:spacing w:line="252" w:lineRule="auto"/>
              <w:rPr>
                <w:b/>
                <w:bCs/>
              </w:rPr>
            </w:pPr>
            <w:r w:rsidRPr="48F57877">
              <w:rPr>
                <w:b/>
                <w:bCs/>
              </w:rPr>
              <w:t>Author: NMF Consensus Group</w:t>
            </w:r>
          </w:p>
        </w:tc>
      </w:tr>
      <w:tr w:rsidR="007A0A41" w:rsidTr="48F57877" w14:paraId="45E6D5FA"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40C113BF" w:rsidP="40C113BF" w:rsidRDefault="40C113BF" w14:paraId="6C265178" w14:textId="4C2FA2E0">
            <w:pPr>
              <w:spacing w:line="252" w:lineRule="auto"/>
              <w:rPr>
                <w:b/>
                <w:bCs/>
              </w:rPr>
            </w:pPr>
            <w:r w:rsidRPr="40C113BF">
              <w:rPr>
                <w:b/>
                <w:bCs/>
              </w:rPr>
              <w:t xml:space="preserve">Current Version number: </w:t>
            </w:r>
            <w:r w:rsidR="00BD31B3">
              <w:rPr>
                <w:b/>
                <w:bCs/>
              </w:rPr>
              <w:t>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40C113BF" w:rsidP="40C113BF" w:rsidRDefault="40C113BF" w14:paraId="18567451" w14:textId="04F6D708">
            <w:pPr>
              <w:spacing w:line="252" w:lineRule="auto"/>
              <w:rPr>
                <w:b/>
                <w:bCs/>
              </w:rPr>
            </w:pPr>
            <w:r w:rsidRPr="564361E5">
              <w:rPr>
                <w:b/>
                <w:bCs/>
              </w:rPr>
              <w:t xml:space="preserve">Current Version Date: </w:t>
            </w:r>
            <w:r w:rsidRPr="564361E5" w:rsidR="097492F0">
              <w:rPr>
                <w:b/>
                <w:bCs/>
              </w:rPr>
              <w:t>10/12/2020</w:t>
            </w:r>
          </w:p>
        </w:tc>
      </w:tr>
      <w:tr w:rsidR="007A0A41" w:rsidTr="48F57877" w14:paraId="6AC5A9B0"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40C113BF" w:rsidP="40C113BF" w:rsidRDefault="40C113BF" w14:paraId="4441F57D" w14:textId="68F1A1CA">
            <w:pPr>
              <w:spacing w:line="252" w:lineRule="auto"/>
              <w:rPr>
                <w:b/>
                <w:bCs/>
              </w:rPr>
            </w:pPr>
            <w:r w:rsidRPr="564361E5">
              <w:rPr>
                <w:b/>
                <w:bCs/>
              </w:rPr>
              <w:t xml:space="preserve">Risk Rating: </w:t>
            </w:r>
            <w:r w:rsidR="00BD31B3">
              <w:rPr>
                <w:b/>
                <w:bCs/>
              </w:rPr>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40C113BF" w:rsidP="40C113BF" w:rsidRDefault="40C113BF" w14:paraId="702480A8" w14:textId="50BA6031">
            <w:pPr>
              <w:spacing w:line="252" w:lineRule="auto"/>
              <w:rPr>
                <w:b/>
                <w:bCs/>
              </w:rPr>
            </w:pPr>
            <w:r w:rsidRPr="564361E5">
              <w:rPr>
                <w:b/>
                <w:bCs/>
              </w:rPr>
              <w:t xml:space="preserve">Due for Review: </w:t>
            </w:r>
            <w:r w:rsidRPr="564361E5" w:rsidR="0742E58C">
              <w:rPr>
                <w:b/>
                <w:bCs/>
              </w:rPr>
              <w:t>10/12/2025</w:t>
            </w:r>
          </w:p>
        </w:tc>
      </w:tr>
      <w:tr w:rsidR="007A0A41" w:rsidTr="48F57877" w14:paraId="0E78EEEB"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40C113BF" w:rsidP="40C113BF" w:rsidRDefault="197337F5" w14:paraId="2718A0CB" w14:textId="4A5AE6FD">
            <w:pPr>
              <w:spacing w:line="252" w:lineRule="auto"/>
            </w:pPr>
            <w:r w:rsidRPr="48F57877">
              <w:rPr>
                <w:b/>
                <w:bCs/>
              </w:rPr>
              <w:t xml:space="preserve">Approval by: </w:t>
            </w:r>
            <w:r w:rsidRPr="48F57877" w:rsidR="63599439">
              <w:rPr>
                <w:b/>
                <w:bCs/>
              </w:rPr>
              <w:t>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40C113BF" w:rsidP="40C113BF" w:rsidRDefault="40C113BF" w14:paraId="61E165B0" w14:textId="79F28281">
            <w:pPr>
              <w:spacing w:line="252" w:lineRule="auto"/>
            </w:pPr>
            <w:r w:rsidRPr="40C113BF">
              <w:rPr>
                <w:b/>
                <w:bCs/>
              </w:rPr>
              <w:t>Approval Date:</w:t>
            </w:r>
            <w:r w:rsidR="00BD31B3">
              <w:rPr>
                <w:b/>
                <w:bCs/>
              </w:rPr>
              <w:t xml:space="preserve"> </w:t>
            </w:r>
            <w:r w:rsidR="00260BC8">
              <w:rPr>
                <w:b/>
                <w:bCs/>
              </w:rPr>
              <w:t>APRIL 2021</w:t>
            </w:r>
          </w:p>
        </w:tc>
      </w:tr>
    </w:tbl>
    <w:p w:rsidRPr="00E25790" w:rsidR="00115F48" w:rsidP="40C113BF" w:rsidRDefault="00115F48" w14:paraId="0F4E9CE3" w14:textId="52E43DD3"/>
    <w:p w:rsidRPr="00E25790" w:rsidR="00115F48" w:rsidP="006F0321" w:rsidRDefault="00115F48" w14:paraId="4AA28295" w14:textId="77777777"/>
    <w:p w:rsidRPr="00E25790" w:rsidR="00115F48" w:rsidP="006F0321" w:rsidRDefault="00115F48" w14:paraId="57786E7C"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27DC6" w:rsidTr="00943338" w14:paraId="4C164314"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A0C90" w:rsidR="00127DC6" w:rsidP="009469DB" w:rsidRDefault="00127DC6" w14:paraId="42337B84" w14:textId="77777777">
            <w:pPr>
              <w:pStyle w:val="Heading1"/>
            </w:pPr>
            <w:bookmarkStart w:name="_Toc495481174" w:id="572"/>
            <w:bookmarkStart w:name="_Toc495481300" w:id="573"/>
            <w:bookmarkStart w:name="_Toc495481425" w:id="574"/>
            <w:bookmarkStart w:name="_Toc495501606" w:id="575"/>
            <w:bookmarkStart w:name="_Toc38106931" w:id="576"/>
            <w:bookmarkStart w:name="_Toc75340049" w:id="577"/>
            <w:r w:rsidRPr="00DA0C90">
              <w:lastRenderedPageBreak/>
              <w:t>Suxamethonium Chloride (Scoline)</w:t>
            </w:r>
            <w:bookmarkEnd w:id="572"/>
            <w:bookmarkEnd w:id="573"/>
            <w:bookmarkEnd w:id="574"/>
            <w:bookmarkEnd w:id="575"/>
            <w:bookmarkEnd w:id="576"/>
            <w:bookmarkEnd w:id="577"/>
            <w:r w:rsidRPr="00DA0C90">
              <w:fldChar w:fldCharType="begin"/>
            </w:r>
            <w:r w:rsidRPr="00DA0C90">
              <w:instrText>tc "Suxamethonium_Chloride_(Scoline)" \l 0</w:instrText>
            </w:r>
            <w:r w:rsidRPr="00DA0C90">
              <w:fldChar w:fldCharType="end"/>
            </w:r>
          </w:p>
        </w:tc>
      </w:tr>
      <w:tr w:rsidRPr="00E25790" w:rsidR="00127DC6" w:rsidTr="00943338" w14:paraId="017F127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27DC6" w:rsidP="006F0321" w:rsidRDefault="00127DC6" w14:paraId="0D184517" w14:textId="77777777">
            <w:r w:rsidRPr="00E25790">
              <w:t xml:space="preserve">Revision Date : </w:t>
            </w:r>
            <w:r w:rsidRPr="00E25790">
              <w:fldChar w:fldCharType="begin"/>
            </w:r>
            <w:r w:rsidRPr="00E25790">
              <w:instrText xml:space="preserve"> CREATEDATE  \@ "d MMMM yyyy" </w:instrText>
            </w:r>
            <w:r w:rsidRPr="00E25790">
              <w:fldChar w:fldCharType="separate"/>
            </w:r>
            <w:r w:rsidRPr="00E25790">
              <w:rPr>
                <w:noProof/>
              </w:rPr>
              <w:t>27 March 2014</w:t>
            </w:r>
            <w:r w:rsidRPr="00E25790">
              <w:fldChar w:fldCharType="end"/>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27DC6" w:rsidP="006F0321" w:rsidRDefault="00127DC6" w14:paraId="771F2944" w14:textId="77777777">
            <w:r w:rsidRPr="00E25790">
              <w:t>Approved: TC, LZ, JD</w:t>
            </w:r>
          </w:p>
        </w:tc>
      </w:tr>
    </w:tbl>
    <w:p w:rsidRPr="00E25790" w:rsidR="00127DC6" w:rsidP="006F0321" w:rsidRDefault="00127DC6" w14:paraId="02F3FCFB" w14:textId="77777777"/>
    <w:tbl>
      <w:tblPr>
        <w:tblW w:w="527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39"/>
        <w:gridCol w:w="7669"/>
      </w:tblGrid>
      <w:tr w:rsidRPr="00344000" w:rsidR="00DD0500" w:rsidTr="00FE4186" w14:paraId="31500408" w14:textId="77777777">
        <w:trPr>
          <w:trHeight w:val="248"/>
        </w:trPr>
        <w:tc>
          <w:tcPr>
            <w:tcW w:w="967" w:type="pct"/>
          </w:tcPr>
          <w:p w:rsidRPr="00344000" w:rsidR="00DD0500" w:rsidP="00FE4186" w:rsidRDefault="00DD0500" w14:paraId="1E8B0884" w14:textId="77777777">
            <w:pPr>
              <w:pStyle w:val="BodyText"/>
              <w:tabs>
                <w:tab w:val="center" w:pos="1476"/>
              </w:tabs>
              <w:rPr>
                <w:rFonts w:cs="Calibri"/>
                <w:b/>
                <w:sz w:val="20"/>
              </w:rPr>
            </w:pPr>
            <w:r w:rsidRPr="00344000">
              <w:rPr>
                <w:rFonts w:cs="Calibri"/>
                <w:b/>
                <w:sz w:val="20"/>
              </w:rPr>
              <w:t>Alert</w:t>
            </w:r>
            <w:r w:rsidRPr="00344000">
              <w:rPr>
                <w:rFonts w:cs="Calibri"/>
                <w:b/>
                <w:sz w:val="20"/>
              </w:rPr>
              <w:tab/>
            </w:r>
          </w:p>
        </w:tc>
        <w:tc>
          <w:tcPr>
            <w:tcW w:w="4033" w:type="pct"/>
          </w:tcPr>
          <w:p w:rsidR="00DD0500" w:rsidP="00FE4186" w:rsidRDefault="00DD0500" w14:paraId="56D27F27" w14:textId="77777777">
            <w:pPr>
              <w:pStyle w:val="BodyText"/>
              <w:rPr>
                <w:rFonts w:cs="Calibri"/>
                <w:sz w:val="20"/>
              </w:rPr>
            </w:pPr>
            <w:r>
              <w:rPr>
                <w:rFonts w:cs="Calibri"/>
                <w:sz w:val="20"/>
              </w:rPr>
              <w:t>Intubation, suction and ventilation equipment MUST be ready prior to administration of suxamethonium. A medical officer/nurse practitioner (preferably two personnel) experienced in advanced neonatal airway management techniques should be present when the medication is being administered.</w:t>
            </w:r>
          </w:p>
          <w:p w:rsidR="00DD0500" w:rsidP="00FE4186" w:rsidRDefault="00DD0500" w14:paraId="6464D4C8" w14:textId="77777777">
            <w:pPr>
              <w:pStyle w:val="BodyText"/>
              <w:rPr>
                <w:rFonts w:cs="Calibri"/>
                <w:sz w:val="20"/>
              </w:rPr>
            </w:pPr>
            <w:r w:rsidRPr="003F7350">
              <w:rPr>
                <w:rFonts w:cs="Calibri"/>
                <w:sz w:val="20"/>
              </w:rPr>
              <w:t xml:space="preserve">Risk of </w:t>
            </w:r>
            <w:r>
              <w:rPr>
                <w:rFonts w:cs="Calibri"/>
                <w:sz w:val="20"/>
              </w:rPr>
              <w:t>c</w:t>
            </w:r>
            <w:r w:rsidRPr="003F7350">
              <w:rPr>
                <w:rFonts w:cs="Calibri"/>
                <w:sz w:val="20"/>
              </w:rPr>
              <w:t xml:space="preserve">ardiac </w:t>
            </w:r>
            <w:r>
              <w:rPr>
                <w:rFonts w:cs="Calibri"/>
                <w:sz w:val="20"/>
              </w:rPr>
              <w:t>a</w:t>
            </w:r>
            <w:r w:rsidRPr="003F7350">
              <w:rPr>
                <w:rFonts w:cs="Calibri"/>
                <w:sz w:val="20"/>
              </w:rPr>
              <w:t xml:space="preserve">rrest from </w:t>
            </w:r>
            <w:r>
              <w:rPr>
                <w:rFonts w:cs="Calibri"/>
                <w:sz w:val="20"/>
              </w:rPr>
              <w:t>h</w:t>
            </w:r>
            <w:r w:rsidRPr="003F7350">
              <w:rPr>
                <w:rFonts w:cs="Calibri"/>
                <w:sz w:val="20"/>
              </w:rPr>
              <w:t xml:space="preserve">yperkalemic </w:t>
            </w:r>
            <w:r>
              <w:rPr>
                <w:rFonts w:cs="Calibri"/>
                <w:sz w:val="20"/>
              </w:rPr>
              <w:t>r</w:t>
            </w:r>
            <w:r w:rsidRPr="003F7350">
              <w:rPr>
                <w:rFonts w:cs="Calibri"/>
                <w:sz w:val="20"/>
              </w:rPr>
              <w:t>habdomyolysis</w:t>
            </w:r>
            <w:r>
              <w:rPr>
                <w:rFonts w:cs="Calibri"/>
                <w:sz w:val="20"/>
              </w:rPr>
              <w:t>.</w:t>
            </w:r>
          </w:p>
          <w:p w:rsidR="00DD0500" w:rsidP="00FE4186" w:rsidRDefault="00DD0500" w14:paraId="0B43DFCA" w14:textId="77777777">
            <w:pPr>
              <w:pStyle w:val="BodyText"/>
              <w:rPr>
                <w:rFonts w:asciiTheme="minorHAnsi" w:hAnsiTheme="minorHAnsi" w:cstheme="minorHAnsi"/>
                <w:sz w:val="20"/>
                <w:u w:val="single"/>
              </w:rPr>
            </w:pPr>
            <w:r>
              <w:rPr>
                <w:rFonts w:cs="Calibri"/>
                <w:sz w:val="20"/>
              </w:rPr>
              <w:t>There are two preparations.</w:t>
            </w:r>
            <w:r>
              <w:rPr>
                <w:rFonts w:asciiTheme="minorHAnsi" w:hAnsiTheme="minorHAnsi" w:cstheme="minorHAnsi"/>
                <w:sz w:val="20"/>
                <w:u w:val="single"/>
              </w:rPr>
              <w:t xml:space="preserve"> </w:t>
            </w:r>
          </w:p>
          <w:p w:rsidRPr="00344000" w:rsidR="00DD0500" w:rsidP="00FE4186" w:rsidRDefault="00DD0500" w14:paraId="45ED07C6" w14:textId="77777777">
            <w:pPr>
              <w:pStyle w:val="BodyText"/>
              <w:rPr>
                <w:rFonts w:cs="Calibri"/>
                <w:sz w:val="20"/>
              </w:rPr>
            </w:pPr>
            <w:r w:rsidRPr="008341CF">
              <w:rPr>
                <w:sz w:val="20"/>
              </w:rPr>
              <w:t xml:space="preserve">Chloride anhydrous salt </w:t>
            </w:r>
            <w:r>
              <w:rPr>
                <w:sz w:val="20"/>
              </w:rPr>
              <w:t xml:space="preserve">(SAS product) </w:t>
            </w:r>
            <w:r w:rsidRPr="008341CF">
              <w:rPr>
                <w:sz w:val="20"/>
              </w:rPr>
              <w:t xml:space="preserve">equates to 110mg in 2 mL of suxamethonium chloride which is 10% more suxamethonium than </w:t>
            </w:r>
            <w:r>
              <w:rPr>
                <w:sz w:val="20"/>
              </w:rPr>
              <w:t xml:space="preserve">suxamethonium chloride </w:t>
            </w:r>
            <w:r w:rsidRPr="008341CF">
              <w:rPr>
                <w:sz w:val="20"/>
              </w:rPr>
              <w:t>dihydrate salt</w:t>
            </w:r>
            <w:r>
              <w:rPr>
                <w:sz w:val="20"/>
              </w:rPr>
              <w:t xml:space="preserve"> (Australian TGA registered product)</w:t>
            </w:r>
          </w:p>
        </w:tc>
      </w:tr>
      <w:tr w:rsidRPr="00344000" w:rsidR="00DD0500" w:rsidTr="00FE4186" w14:paraId="378934FA" w14:textId="77777777">
        <w:trPr>
          <w:trHeight w:val="266"/>
        </w:trPr>
        <w:tc>
          <w:tcPr>
            <w:tcW w:w="967" w:type="pct"/>
          </w:tcPr>
          <w:p w:rsidRPr="00627210" w:rsidR="00DD0500" w:rsidP="00FE4186" w:rsidRDefault="00DD0500" w14:paraId="65B77D39" w14:textId="77777777">
            <w:pPr>
              <w:pStyle w:val="BodyText"/>
              <w:rPr>
                <w:rFonts w:cs="Calibri"/>
                <w:b/>
                <w:bCs/>
                <w:sz w:val="20"/>
              </w:rPr>
            </w:pPr>
            <w:r w:rsidRPr="00344000">
              <w:rPr>
                <w:rFonts w:cs="Calibri"/>
                <w:b/>
                <w:bCs/>
                <w:sz w:val="20"/>
              </w:rPr>
              <w:t xml:space="preserve">Indication                         </w:t>
            </w:r>
          </w:p>
        </w:tc>
        <w:tc>
          <w:tcPr>
            <w:tcW w:w="4033" w:type="pct"/>
          </w:tcPr>
          <w:p w:rsidRPr="00344000" w:rsidR="00DD0500" w:rsidP="00FE4186" w:rsidRDefault="00DD0500" w14:paraId="4B4BD723" w14:textId="77777777">
            <w:pPr>
              <w:pStyle w:val="BodyText"/>
              <w:rPr>
                <w:rFonts w:cs="Calibri"/>
                <w:sz w:val="20"/>
              </w:rPr>
            </w:pPr>
            <w:r>
              <w:rPr>
                <w:rFonts w:cs="Calibri"/>
                <w:sz w:val="20"/>
              </w:rPr>
              <w:t>Elective endotracheal intubation.</w:t>
            </w:r>
          </w:p>
        </w:tc>
      </w:tr>
      <w:tr w:rsidRPr="00344000" w:rsidR="00DD0500" w:rsidTr="00FE4186" w14:paraId="00D6213B" w14:textId="77777777">
        <w:trPr>
          <w:trHeight w:val="300"/>
        </w:trPr>
        <w:tc>
          <w:tcPr>
            <w:tcW w:w="967" w:type="pct"/>
          </w:tcPr>
          <w:p w:rsidRPr="00344000" w:rsidR="00DD0500" w:rsidP="00FE4186" w:rsidRDefault="00DD0500" w14:paraId="25C23DCD" w14:textId="77777777">
            <w:pPr>
              <w:pStyle w:val="BodyText"/>
              <w:rPr>
                <w:rFonts w:cs="Calibri"/>
                <w:b/>
                <w:bCs/>
                <w:sz w:val="20"/>
              </w:rPr>
            </w:pPr>
            <w:r w:rsidRPr="00344000">
              <w:rPr>
                <w:rFonts w:cs="Calibri"/>
                <w:b/>
                <w:bCs/>
                <w:sz w:val="20"/>
              </w:rPr>
              <w:t>Action</w:t>
            </w:r>
          </w:p>
        </w:tc>
        <w:tc>
          <w:tcPr>
            <w:tcW w:w="4033" w:type="pct"/>
          </w:tcPr>
          <w:p w:rsidRPr="00A814A2" w:rsidR="00DD0500" w:rsidP="00FE4186" w:rsidRDefault="00DD0500" w14:paraId="27C9B94A" w14:textId="77777777">
            <w:pPr>
              <w:rPr>
                <w:rFonts w:cs="Calibri"/>
                <w:sz w:val="20"/>
                <w:highlight w:val="yellow"/>
              </w:rPr>
            </w:pPr>
            <w:r w:rsidRPr="0086126A">
              <w:rPr>
                <w:rFonts w:cs="Calibri"/>
                <w:sz w:val="20"/>
              </w:rPr>
              <w:t>Short</w:t>
            </w:r>
            <w:r>
              <w:rPr>
                <w:rFonts w:cs="Calibri"/>
                <w:sz w:val="20"/>
              </w:rPr>
              <w:t>-</w:t>
            </w:r>
            <w:r w:rsidRPr="0086126A">
              <w:rPr>
                <w:rFonts w:cs="Calibri"/>
                <w:sz w:val="20"/>
              </w:rPr>
              <w:t>acting</w:t>
            </w:r>
            <w:r>
              <w:rPr>
                <w:rFonts w:cs="Calibri"/>
                <w:sz w:val="20"/>
              </w:rPr>
              <w:t>,</w:t>
            </w:r>
            <w:r w:rsidRPr="0086126A">
              <w:rPr>
                <w:rFonts w:cs="Calibri"/>
                <w:sz w:val="20"/>
              </w:rPr>
              <w:t xml:space="preserve"> depolarising </w:t>
            </w:r>
            <w:r w:rsidRPr="00446B61">
              <w:rPr>
                <w:rFonts w:cs="Calibri"/>
                <w:sz w:val="20"/>
              </w:rPr>
              <w:t>neuromuscular blocker. It acts as an acetylcholine antagonist at nicotinic acetylcholine receptors at neuromuscular junctions, resulting in persistent depolari</w:t>
            </w:r>
            <w:r>
              <w:rPr>
                <w:rFonts w:cs="Calibri"/>
                <w:sz w:val="20"/>
              </w:rPr>
              <w:t>s</w:t>
            </w:r>
            <w:r w:rsidRPr="00446B61">
              <w:rPr>
                <w:rFonts w:cs="Calibri"/>
                <w:sz w:val="20"/>
              </w:rPr>
              <w:t>ation of the motor end plate.</w:t>
            </w:r>
          </w:p>
        </w:tc>
      </w:tr>
      <w:tr w:rsidRPr="00344000" w:rsidR="00DD0500" w:rsidTr="00FE4186" w14:paraId="256CBF8D" w14:textId="77777777">
        <w:trPr>
          <w:trHeight w:val="137"/>
        </w:trPr>
        <w:tc>
          <w:tcPr>
            <w:tcW w:w="967" w:type="pct"/>
          </w:tcPr>
          <w:p w:rsidRPr="00344000" w:rsidR="00DD0500" w:rsidP="00FE4186" w:rsidRDefault="00DD0500" w14:paraId="31C583A4" w14:textId="77777777">
            <w:pPr>
              <w:pStyle w:val="BodyText"/>
              <w:rPr>
                <w:rFonts w:cs="Calibri"/>
                <w:sz w:val="20"/>
              </w:rPr>
            </w:pPr>
            <w:r w:rsidRPr="00344000">
              <w:rPr>
                <w:rFonts w:cs="Calibri"/>
                <w:b/>
                <w:bCs/>
                <w:sz w:val="20"/>
              </w:rPr>
              <w:t xml:space="preserve">Drug Type                                   </w:t>
            </w:r>
          </w:p>
        </w:tc>
        <w:tc>
          <w:tcPr>
            <w:tcW w:w="4033" w:type="pct"/>
          </w:tcPr>
          <w:p w:rsidRPr="003B0E39" w:rsidR="00DD0500" w:rsidP="00FE4186" w:rsidRDefault="00DD0500" w14:paraId="0157EEB1" w14:textId="77777777">
            <w:pPr>
              <w:autoSpaceDE w:val="0"/>
              <w:autoSpaceDN w:val="0"/>
              <w:adjustRightInd w:val="0"/>
              <w:rPr>
                <w:rFonts w:cs="Calibri"/>
                <w:sz w:val="20"/>
              </w:rPr>
            </w:pPr>
            <w:r w:rsidRPr="003B0E39">
              <w:rPr>
                <w:rFonts w:cs="Calibri"/>
                <w:sz w:val="20"/>
              </w:rPr>
              <w:t>Neuromuscular blocking agent (depolarising)</w:t>
            </w:r>
          </w:p>
        </w:tc>
      </w:tr>
      <w:tr w:rsidRPr="00344000" w:rsidR="00DD0500" w:rsidTr="00FE4186" w14:paraId="279E5152" w14:textId="77777777">
        <w:trPr>
          <w:trHeight w:val="129"/>
        </w:trPr>
        <w:tc>
          <w:tcPr>
            <w:tcW w:w="967" w:type="pct"/>
          </w:tcPr>
          <w:p w:rsidRPr="00344000" w:rsidR="00DD0500" w:rsidP="00FE4186" w:rsidRDefault="00DD0500" w14:paraId="57FD4BBE" w14:textId="77777777">
            <w:pPr>
              <w:pStyle w:val="BodyText"/>
              <w:rPr>
                <w:rFonts w:cs="Calibri"/>
                <w:b/>
                <w:bCs/>
                <w:sz w:val="20"/>
              </w:rPr>
            </w:pPr>
            <w:r w:rsidRPr="00344000">
              <w:rPr>
                <w:rFonts w:cs="Calibri"/>
                <w:b/>
                <w:bCs/>
                <w:sz w:val="20"/>
              </w:rPr>
              <w:t xml:space="preserve">Trade Name                  </w:t>
            </w:r>
          </w:p>
        </w:tc>
        <w:tc>
          <w:tcPr>
            <w:tcW w:w="4033" w:type="pct"/>
          </w:tcPr>
          <w:p w:rsidRPr="00344000" w:rsidR="00DD0500" w:rsidP="00FE4186" w:rsidRDefault="00DD0500" w14:paraId="2B4F989C" w14:textId="77777777">
            <w:pPr>
              <w:pStyle w:val="BodyText"/>
              <w:rPr>
                <w:rFonts w:cs="Calibri"/>
                <w:sz w:val="20"/>
              </w:rPr>
            </w:pPr>
            <w:r w:rsidRPr="008F1A9F">
              <w:rPr>
                <w:rFonts w:cs="Calibri"/>
                <w:sz w:val="20"/>
              </w:rPr>
              <w:t>Suxamethonium Chloride</w:t>
            </w:r>
            <w:r>
              <w:rPr>
                <w:rFonts w:cs="Calibri"/>
                <w:sz w:val="20"/>
              </w:rPr>
              <w:t xml:space="preserve"> (dihydrate)</w:t>
            </w:r>
            <w:r w:rsidRPr="008F1A9F">
              <w:rPr>
                <w:rFonts w:cs="Calibri"/>
                <w:sz w:val="20"/>
              </w:rPr>
              <w:t xml:space="preserve"> Injection BP</w:t>
            </w:r>
            <w:r>
              <w:rPr>
                <w:rFonts w:cs="Calibri"/>
                <w:sz w:val="20"/>
              </w:rPr>
              <w:t>, Succinolin Chloride (anhydrous) Injection,  MercuryPharma Suxamethonium Chloride (dihydrate) Injection</w:t>
            </w:r>
          </w:p>
        </w:tc>
      </w:tr>
      <w:tr w:rsidRPr="00505F89" w:rsidR="00DD0500" w:rsidTr="00FE4186" w14:paraId="36A6067C" w14:textId="77777777">
        <w:trPr>
          <w:trHeight w:val="277"/>
        </w:trPr>
        <w:tc>
          <w:tcPr>
            <w:tcW w:w="967" w:type="pct"/>
          </w:tcPr>
          <w:p w:rsidRPr="00344000" w:rsidR="00DD0500" w:rsidP="00FE4186" w:rsidRDefault="00DD0500" w14:paraId="7FA2768D" w14:textId="77777777">
            <w:pPr>
              <w:pStyle w:val="BodyText"/>
              <w:rPr>
                <w:rFonts w:cs="Calibri"/>
                <w:b/>
                <w:bCs/>
                <w:sz w:val="20"/>
              </w:rPr>
            </w:pPr>
            <w:r w:rsidRPr="00344000">
              <w:rPr>
                <w:rFonts w:cs="Calibri"/>
                <w:b/>
                <w:bCs/>
                <w:sz w:val="20"/>
              </w:rPr>
              <w:t xml:space="preserve">Presentation </w:t>
            </w:r>
          </w:p>
        </w:tc>
        <w:tc>
          <w:tcPr>
            <w:tcW w:w="4033" w:type="pct"/>
          </w:tcPr>
          <w:p w:rsidRPr="00344000" w:rsidR="00DD0500" w:rsidP="00FE4186" w:rsidRDefault="00DD0500" w14:paraId="16AAEF2B" w14:textId="77777777">
            <w:pPr>
              <w:pStyle w:val="BodyText"/>
              <w:rPr>
                <w:rFonts w:cs="Calibri"/>
                <w:sz w:val="20"/>
              </w:rPr>
            </w:pPr>
            <w:r w:rsidRPr="0086126A">
              <w:rPr>
                <w:rFonts w:cs="Calibri"/>
                <w:sz w:val="20"/>
              </w:rPr>
              <w:t xml:space="preserve">100 mg/2 ml ampoule. </w:t>
            </w:r>
            <w:r>
              <w:rPr>
                <w:rFonts w:cs="Calibri"/>
                <w:sz w:val="20"/>
              </w:rPr>
              <w:t>*See “Alert” section above to account for brand difference.</w:t>
            </w:r>
          </w:p>
        </w:tc>
      </w:tr>
      <w:tr w:rsidRPr="00344000" w:rsidR="00DD0500" w:rsidTr="00FE4186" w14:paraId="64E770F4" w14:textId="77777777">
        <w:trPr>
          <w:trHeight w:val="187"/>
        </w:trPr>
        <w:tc>
          <w:tcPr>
            <w:tcW w:w="967" w:type="pct"/>
          </w:tcPr>
          <w:p w:rsidRPr="00627210" w:rsidR="00DD0500" w:rsidP="00FE4186" w:rsidRDefault="00DD0500" w14:paraId="1A538FED" w14:textId="77777777">
            <w:pPr>
              <w:pStyle w:val="BodyText"/>
              <w:rPr>
                <w:rFonts w:cs="Calibri"/>
                <w:b/>
                <w:bCs/>
                <w:sz w:val="20"/>
              </w:rPr>
            </w:pPr>
            <w:r w:rsidRPr="00344000">
              <w:rPr>
                <w:rFonts w:cs="Calibri"/>
                <w:b/>
                <w:bCs/>
                <w:sz w:val="20"/>
              </w:rPr>
              <w:t>Dosage/Int</w:t>
            </w:r>
            <w:r>
              <w:rPr>
                <w:rFonts w:cs="Calibri"/>
                <w:b/>
                <w:bCs/>
                <w:sz w:val="20"/>
              </w:rPr>
              <w:t xml:space="preserve">erval                      </w:t>
            </w:r>
          </w:p>
        </w:tc>
        <w:tc>
          <w:tcPr>
            <w:tcW w:w="4033" w:type="pct"/>
          </w:tcPr>
          <w:p w:rsidR="00DD0500" w:rsidP="00FE4186" w:rsidRDefault="00DD0500" w14:paraId="12C53883" w14:textId="77777777">
            <w:pPr>
              <w:pStyle w:val="BodyText"/>
              <w:rPr>
                <w:rFonts w:cs="Calibri"/>
                <w:sz w:val="20"/>
              </w:rPr>
            </w:pPr>
            <w:r>
              <w:rPr>
                <w:rFonts w:cs="Calibri"/>
                <w:sz w:val="20"/>
              </w:rPr>
              <w:t>IV (preferred): 2 mg/kg (up to 3 mg/kg)</w:t>
            </w:r>
          </w:p>
          <w:p w:rsidRPr="00344000" w:rsidR="00DD0500" w:rsidP="00FE4186" w:rsidRDefault="00DD0500" w14:paraId="3315C305" w14:textId="77777777">
            <w:pPr>
              <w:pStyle w:val="BodyText"/>
              <w:rPr>
                <w:rFonts w:cs="Calibri"/>
                <w:sz w:val="20"/>
              </w:rPr>
            </w:pPr>
            <w:r>
              <w:rPr>
                <w:rFonts w:cs="Calibri"/>
                <w:sz w:val="20"/>
              </w:rPr>
              <w:t>IM (only if IV is not accessible): 3–4 mg/kg</w:t>
            </w:r>
            <w:r w:rsidRPr="00AE4D42">
              <w:rPr>
                <w:rFonts w:cs="Calibri"/>
                <w:sz w:val="20"/>
                <w:vertAlign w:val="superscript"/>
              </w:rPr>
              <w:t>9</w:t>
            </w:r>
            <w:r>
              <w:rPr>
                <w:rFonts w:cs="Calibri"/>
                <w:sz w:val="20"/>
              </w:rPr>
              <w:t xml:space="preserve"> (onset of action can be delayed up to 3 minutes and duration of action is up to 15 minutes)</w:t>
            </w:r>
          </w:p>
        </w:tc>
      </w:tr>
      <w:tr w:rsidRPr="00344000" w:rsidR="00DD0500" w:rsidTr="00FE4186" w14:paraId="65908945" w14:textId="77777777">
        <w:trPr>
          <w:trHeight w:val="187"/>
        </w:trPr>
        <w:tc>
          <w:tcPr>
            <w:tcW w:w="967" w:type="pct"/>
          </w:tcPr>
          <w:p w:rsidRPr="00344000" w:rsidR="00DD0500" w:rsidP="00FE4186" w:rsidRDefault="00DD0500" w14:paraId="1DE52E30" w14:textId="77777777">
            <w:pPr>
              <w:pStyle w:val="BodyText"/>
              <w:rPr>
                <w:rFonts w:cs="Calibri"/>
                <w:b/>
                <w:bCs/>
                <w:sz w:val="20"/>
              </w:rPr>
            </w:pPr>
            <w:r w:rsidRPr="00771F76">
              <w:rPr>
                <w:rFonts w:cs="Calibri"/>
                <w:b/>
                <w:bCs/>
                <w:sz w:val="20"/>
              </w:rPr>
              <w:t>Dose adjustments</w:t>
            </w:r>
          </w:p>
        </w:tc>
        <w:tc>
          <w:tcPr>
            <w:tcW w:w="4033" w:type="pct"/>
          </w:tcPr>
          <w:p w:rsidRPr="00771F76" w:rsidR="00DD0500" w:rsidP="00FE4186" w:rsidRDefault="00DD0500" w14:paraId="7C29B057" w14:textId="77777777">
            <w:pPr>
              <w:pStyle w:val="BodyText"/>
              <w:rPr>
                <w:rFonts w:cs="Calibri"/>
                <w:sz w:val="20"/>
              </w:rPr>
            </w:pPr>
            <w:r w:rsidRPr="00771F76">
              <w:rPr>
                <w:rFonts w:cs="Calibri"/>
                <w:sz w:val="20"/>
              </w:rPr>
              <w:t xml:space="preserve">Therapeutic hypothermia: </w:t>
            </w:r>
            <w:r>
              <w:rPr>
                <w:rFonts w:cs="Calibri"/>
                <w:sz w:val="20"/>
              </w:rPr>
              <w:t>No information on the dose adjustment, but has been used.</w:t>
            </w:r>
          </w:p>
          <w:p w:rsidRPr="00771F76" w:rsidR="00DD0500" w:rsidP="00FE4186" w:rsidRDefault="00DD0500" w14:paraId="665EEFB1" w14:textId="77777777">
            <w:pPr>
              <w:pStyle w:val="BodyText"/>
              <w:rPr>
                <w:rFonts w:cs="Calibri"/>
                <w:sz w:val="20"/>
              </w:rPr>
            </w:pPr>
            <w:r w:rsidRPr="00771F76">
              <w:rPr>
                <w:rFonts w:cs="Calibri"/>
                <w:sz w:val="20"/>
              </w:rPr>
              <w:t xml:space="preserve">ECMO: </w:t>
            </w:r>
            <w:r>
              <w:rPr>
                <w:rFonts w:cs="Calibri"/>
                <w:sz w:val="20"/>
              </w:rPr>
              <w:t>Not applicable.</w:t>
            </w:r>
          </w:p>
          <w:p w:rsidRPr="00771F76" w:rsidR="00DD0500" w:rsidP="00FE4186" w:rsidRDefault="00DD0500" w14:paraId="631E3D54" w14:textId="77777777">
            <w:pPr>
              <w:pStyle w:val="BodyText"/>
              <w:rPr>
                <w:rFonts w:cs="Calibri"/>
                <w:sz w:val="20"/>
              </w:rPr>
            </w:pPr>
            <w:r>
              <w:rPr>
                <w:rFonts w:cs="Calibri"/>
                <w:sz w:val="20"/>
              </w:rPr>
              <w:t xml:space="preserve">Renal impairment: use with caution as use associated with hyperkalaemia. </w:t>
            </w:r>
          </w:p>
          <w:p w:rsidR="00DD0500" w:rsidP="00FE4186" w:rsidRDefault="00DD0500" w14:paraId="1A23AC2A" w14:textId="77777777">
            <w:pPr>
              <w:pStyle w:val="BodyText"/>
              <w:rPr>
                <w:rFonts w:cs="Calibri"/>
                <w:sz w:val="20"/>
              </w:rPr>
            </w:pPr>
            <w:r w:rsidRPr="00771F76">
              <w:rPr>
                <w:rFonts w:cs="Calibri"/>
                <w:sz w:val="20"/>
              </w:rPr>
              <w:t>Hepatic</w:t>
            </w:r>
            <w:r>
              <w:rPr>
                <w:rFonts w:cs="Calibri"/>
                <w:sz w:val="20"/>
              </w:rPr>
              <w:t xml:space="preserve"> impairment</w:t>
            </w:r>
            <w:r w:rsidRPr="00771F76">
              <w:rPr>
                <w:rFonts w:cs="Calibri"/>
                <w:sz w:val="20"/>
              </w:rPr>
              <w:t xml:space="preserve">: </w:t>
            </w:r>
            <w:r>
              <w:rPr>
                <w:rFonts w:cs="Calibri"/>
                <w:sz w:val="20"/>
              </w:rPr>
              <w:t xml:space="preserve">may prolong duration of action. Avoid repeated doses. </w:t>
            </w:r>
          </w:p>
        </w:tc>
      </w:tr>
      <w:tr w:rsidRPr="00344000" w:rsidR="00DD0500" w:rsidTr="00FE4186" w14:paraId="2AAB48AF" w14:textId="77777777">
        <w:trPr>
          <w:trHeight w:val="205"/>
        </w:trPr>
        <w:tc>
          <w:tcPr>
            <w:tcW w:w="967" w:type="pct"/>
          </w:tcPr>
          <w:p w:rsidRPr="00627210" w:rsidR="00DD0500" w:rsidP="00FE4186" w:rsidRDefault="00DD0500" w14:paraId="74EEF6E0" w14:textId="77777777">
            <w:pPr>
              <w:pStyle w:val="BodyText"/>
              <w:rPr>
                <w:rFonts w:cs="Calibri"/>
                <w:b/>
                <w:bCs/>
                <w:sz w:val="20"/>
              </w:rPr>
            </w:pPr>
            <w:r w:rsidRPr="00344000">
              <w:rPr>
                <w:rFonts w:cs="Calibri"/>
                <w:b/>
                <w:bCs/>
                <w:sz w:val="20"/>
              </w:rPr>
              <w:t xml:space="preserve">Route    </w:t>
            </w:r>
          </w:p>
        </w:tc>
        <w:tc>
          <w:tcPr>
            <w:tcW w:w="4033" w:type="pct"/>
          </w:tcPr>
          <w:p w:rsidRPr="00344000" w:rsidR="00DD0500" w:rsidP="00FE4186" w:rsidRDefault="00DD0500" w14:paraId="0E81F546" w14:textId="77777777">
            <w:pPr>
              <w:autoSpaceDE w:val="0"/>
              <w:autoSpaceDN w:val="0"/>
              <w:adjustRightInd w:val="0"/>
              <w:rPr>
                <w:rFonts w:cs="Calibri"/>
                <w:sz w:val="20"/>
              </w:rPr>
            </w:pPr>
            <w:r>
              <w:rPr>
                <w:rFonts w:cs="Calibri"/>
                <w:sz w:val="20"/>
              </w:rPr>
              <w:t>IV, IM</w:t>
            </w:r>
          </w:p>
        </w:tc>
      </w:tr>
      <w:tr w:rsidRPr="00344000" w:rsidR="00DD0500" w:rsidTr="00FE4186" w14:paraId="5759B2C5" w14:textId="77777777">
        <w:trPr>
          <w:trHeight w:val="305"/>
        </w:trPr>
        <w:tc>
          <w:tcPr>
            <w:tcW w:w="967" w:type="pct"/>
          </w:tcPr>
          <w:p w:rsidRPr="00344000" w:rsidR="00DD0500" w:rsidP="00FE4186" w:rsidRDefault="00DD0500" w14:paraId="08103BA4" w14:textId="77777777">
            <w:pPr>
              <w:rPr>
                <w:rFonts w:cs="Calibri"/>
                <w:b/>
                <w:sz w:val="20"/>
              </w:rPr>
            </w:pPr>
            <w:r w:rsidRPr="00344000">
              <w:rPr>
                <w:rFonts w:cs="Calibri"/>
                <w:b/>
                <w:sz w:val="20"/>
              </w:rPr>
              <w:t>Maximum Dose</w:t>
            </w:r>
          </w:p>
        </w:tc>
        <w:tc>
          <w:tcPr>
            <w:tcW w:w="4033" w:type="pct"/>
          </w:tcPr>
          <w:p w:rsidRPr="00344000" w:rsidR="00DD0500" w:rsidP="00FE4186" w:rsidRDefault="00DD0500" w14:paraId="71CCC2CA" w14:textId="77777777">
            <w:pPr>
              <w:rPr>
                <w:rFonts w:cs="Calibri"/>
                <w:sz w:val="20"/>
              </w:rPr>
            </w:pPr>
            <w:r>
              <w:rPr>
                <w:rFonts w:cs="Calibri"/>
                <w:sz w:val="20"/>
              </w:rPr>
              <w:t xml:space="preserve">IV: 3 mg/kg/dose; IM: 4 mg/kg/dose </w:t>
            </w:r>
          </w:p>
        </w:tc>
      </w:tr>
      <w:tr w:rsidRPr="00344000" w:rsidR="00DD0500" w:rsidTr="00FE4186" w14:paraId="0481BC60" w14:textId="77777777">
        <w:trPr>
          <w:trHeight w:val="227"/>
        </w:trPr>
        <w:tc>
          <w:tcPr>
            <w:tcW w:w="967" w:type="pct"/>
          </w:tcPr>
          <w:p w:rsidRPr="006B3442" w:rsidR="00DD0500" w:rsidP="00FE4186" w:rsidRDefault="00DD0500" w14:paraId="272C2548" w14:textId="77777777">
            <w:pPr>
              <w:pStyle w:val="BodyText"/>
              <w:rPr>
                <w:rFonts w:cs="Calibri"/>
                <w:b/>
                <w:bCs/>
                <w:sz w:val="20"/>
                <w:highlight w:val="cyan"/>
              </w:rPr>
            </w:pPr>
            <w:r w:rsidRPr="00344000">
              <w:rPr>
                <w:rFonts w:cs="Calibri"/>
                <w:b/>
                <w:bCs/>
                <w:sz w:val="20"/>
              </w:rPr>
              <w:t xml:space="preserve">Preparation </w:t>
            </w:r>
            <w:r w:rsidRPr="00344000">
              <w:rPr>
                <w:rFonts w:cs="Calibri"/>
                <w:b/>
                <w:bCs/>
                <w:sz w:val="20"/>
                <w:highlight w:val="cyan"/>
              </w:rPr>
              <w:t xml:space="preserve">               </w:t>
            </w:r>
          </w:p>
        </w:tc>
        <w:tc>
          <w:tcPr>
            <w:tcW w:w="4033" w:type="pct"/>
          </w:tcPr>
          <w:p w:rsidR="00DD0500" w:rsidP="00FE4186" w:rsidRDefault="00DD0500" w14:paraId="639EFC58" w14:textId="77777777">
            <w:pPr>
              <w:pStyle w:val="BodyText"/>
              <w:rPr>
                <w:rFonts w:cs="Calibri"/>
                <w:sz w:val="20"/>
              </w:rPr>
            </w:pPr>
            <w:r>
              <w:rPr>
                <w:rFonts w:cs="Calibri"/>
                <w:sz w:val="20"/>
              </w:rPr>
              <w:t>IV:</w:t>
            </w:r>
          </w:p>
          <w:p w:rsidR="00DD0500" w:rsidP="00FE4186" w:rsidRDefault="00DD0500" w14:paraId="654396DB" w14:textId="77777777">
            <w:pPr>
              <w:pStyle w:val="BodyText"/>
              <w:rPr>
                <w:rFonts w:cs="Calibri"/>
                <w:sz w:val="20"/>
              </w:rPr>
            </w:pPr>
            <w:r>
              <w:rPr>
                <w:rFonts w:cs="Calibri"/>
                <w:sz w:val="20"/>
              </w:rPr>
              <w:t>Dihydrate salt: Draw up 1 mL (50 mg of suxamethonium) and add 9 mL sodium chloride 0.9% to make final volume 10 mL with a concentration of 5 mg/mL.</w:t>
            </w:r>
          </w:p>
          <w:p w:rsidR="00DD0500" w:rsidP="00FE4186" w:rsidRDefault="00DD0500" w14:paraId="6CFF360F" w14:textId="77777777">
            <w:pPr>
              <w:pStyle w:val="BodyText"/>
              <w:rPr>
                <w:rFonts w:cs="Calibri"/>
                <w:sz w:val="20"/>
              </w:rPr>
            </w:pPr>
          </w:p>
          <w:p w:rsidR="00DD0500" w:rsidP="00FE4186" w:rsidRDefault="00DD0500" w14:paraId="15C9C9E0" w14:textId="77777777">
            <w:pPr>
              <w:pStyle w:val="BodyText"/>
              <w:rPr>
                <w:rFonts w:cs="Calibri"/>
                <w:sz w:val="20"/>
              </w:rPr>
            </w:pPr>
            <w:r>
              <w:rPr>
                <w:rFonts w:cs="Calibri"/>
                <w:sz w:val="20"/>
              </w:rPr>
              <w:t>Anhydrous salt: Draw up 0.9 mL (50 mg of suxamethonium) and add 9.1 mL sodium chloride 0.9% to make a final volume of 10 mL with concentration of 5 mg/mL.</w:t>
            </w:r>
          </w:p>
          <w:p w:rsidR="00DD0500" w:rsidP="00FE4186" w:rsidRDefault="00DD0500" w14:paraId="7952438E" w14:textId="77777777">
            <w:pPr>
              <w:pStyle w:val="BodyText"/>
              <w:rPr>
                <w:rFonts w:cs="Calibri"/>
                <w:sz w:val="20"/>
              </w:rPr>
            </w:pPr>
          </w:p>
          <w:p w:rsidRPr="00344000" w:rsidR="00DD0500" w:rsidP="00FE4186" w:rsidRDefault="00DD0500" w14:paraId="63F68CBB" w14:textId="77777777">
            <w:pPr>
              <w:pStyle w:val="BodyText"/>
              <w:rPr>
                <w:rFonts w:cs="Calibri"/>
                <w:b/>
                <w:sz w:val="20"/>
              </w:rPr>
            </w:pPr>
            <w:r>
              <w:rPr>
                <w:rFonts w:cs="Calibri"/>
                <w:sz w:val="20"/>
              </w:rPr>
              <w:t xml:space="preserve">IM: Administer undiluted. </w:t>
            </w:r>
          </w:p>
        </w:tc>
      </w:tr>
      <w:tr w:rsidRPr="00344000" w:rsidR="00DD0500" w:rsidTr="00FE4186" w14:paraId="21920EAB" w14:textId="77777777">
        <w:trPr>
          <w:trHeight w:val="135"/>
        </w:trPr>
        <w:tc>
          <w:tcPr>
            <w:tcW w:w="967" w:type="pct"/>
          </w:tcPr>
          <w:p w:rsidRPr="00627210" w:rsidR="00DD0500" w:rsidP="00FE4186" w:rsidRDefault="00DD0500" w14:paraId="00246B92" w14:textId="77777777">
            <w:pPr>
              <w:pStyle w:val="BodyText"/>
              <w:rPr>
                <w:rFonts w:cs="Calibri"/>
                <w:b/>
                <w:bCs/>
                <w:sz w:val="20"/>
              </w:rPr>
            </w:pPr>
            <w:r w:rsidRPr="00344000">
              <w:rPr>
                <w:rFonts w:cs="Calibri"/>
                <w:b/>
                <w:bCs/>
                <w:sz w:val="20"/>
              </w:rPr>
              <w:t xml:space="preserve">Administration                 </w:t>
            </w:r>
          </w:p>
        </w:tc>
        <w:tc>
          <w:tcPr>
            <w:tcW w:w="4033" w:type="pct"/>
          </w:tcPr>
          <w:p w:rsidR="00DD0500" w:rsidP="00FE4186" w:rsidRDefault="00DD0500" w14:paraId="103F7877" w14:textId="77777777">
            <w:pPr>
              <w:pStyle w:val="BodyText"/>
              <w:rPr>
                <w:rFonts w:cs="Calibri"/>
                <w:sz w:val="20"/>
              </w:rPr>
            </w:pPr>
            <w:r>
              <w:rPr>
                <w:rFonts w:cs="Calibri"/>
                <w:sz w:val="20"/>
              </w:rPr>
              <w:t xml:space="preserve">IV: </w:t>
            </w:r>
            <w:r w:rsidRPr="0086126A">
              <w:rPr>
                <w:rFonts w:cs="Calibri"/>
                <w:sz w:val="20"/>
              </w:rPr>
              <w:t>Rapid injection at proximal cannula site.</w:t>
            </w:r>
          </w:p>
          <w:p w:rsidRPr="00344000" w:rsidR="00DD0500" w:rsidP="00FE4186" w:rsidRDefault="00DD0500" w14:paraId="6DFD1817" w14:textId="77777777">
            <w:pPr>
              <w:pStyle w:val="BodyText"/>
              <w:rPr>
                <w:rFonts w:cs="Calibri"/>
                <w:sz w:val="20"/>
              </w:rPr>
            </w:pPr>
            <w:r>
              <w:rPr>
                <w:rFonts w:cs="Calibri"/>
                <w:sz w:val="20"/>
              </w:rPr>
              <w:t>IM: Administer in anterior thigh muscle.</w:t>
            </w:r>
          </w:p>
        </w:tc>
      </w:tr>
      <w:tr w:rsidRPr="00344000" w:rsidR="00DD0500" w:rsidTr="00FE4186" w14:paraId="26FEC38A" w14:textId="77777777">
        <w:trPr>
          <w:trHeight w:val="70"/>
        </w:trPr>
        <w:tc>
          <w:tcPr>
            <w:tcW w:w="967" w:type="pct"/>
          </w:tcPr>
          <w:p w:rsidRPr="00344000" w:rsidR="00DD0500" w:rsidP="00FE4186" w:rsidRDefault="00DD0500" w14:paraId="7B4979C7" w14:textId="77777777">
            <w:pPr>
              <w:pStyle w:val="BodyText"/>
              <w:rPr>
                <w:rFonts w:cs="Calibri"/>
                <w:sz w:val="20"/>
              </w:rPr>
            </w:pPr>
            <w:r w:rsidRPr="00344000">
              <w:rPr>
                <w:rFonts w:cs="Calibri"/>
                <w:b/>
                <w:bCs/>
                <w:sz w:val="20"/>
              </w:rPr>
              <w:t xml:space="preserve">Monitoring                         </w:t>
            </w:r>
          </w:p>
        </w:tc>
        <w:tc>
          <w:tcPr>
            <w:tcW w:w="4033" w:type="pct"/>
          </w:tcPr>
          <w:p w:rsidRPr="00344000" w:rsidR="00DD0500" w:rsidP="00FE4186" w:rsidRDefault="00DD0500" w14:paraId="4CD1C852" w14:textId="77777777">
            <w:pPr>
              <w:pStyle w:val="BodyText"/>
              <w:rPr>
                <w:rFonts w:cs="Calibri"/>
                <w:sz w:val="20"/>
              </w:rPr>
            </w:pPr>
            <w:r>
              <w:rPr>
                <w:rFonts w:cs="Calibri"/>
                <w:sz w:val="20"/>
              </w:rPr>
              <w:t xml:space="preserve">Continuous cardiorespiratory monitoring. </w:t>
            </w:r>
            <w:r w:rsidRPr="003F7350">
              <w:rPr>
                <w:rFonts w:cs="Calibri"/>
                <w:sz w:val="20"/>
              </w:rPr>
              <w:t xml:space="preserve">Monitor </w:t>
            </w:r>
            <w:r>
              <w:rPr>
                <w:rFonts w:cs="Calibri"/>
                <w:sz w:val="20"/>
              </w:rPr>
              <w:t xml:space="preserve">temperature, </w:t>
            </w:r>
            <w:r w:rsidRPr="003F7350">
              <w:rPr>
                <w:rFonts w:cs="Calibri"/>
                <w:sz w:val="20"/>
              </w:rPr>
              <w:t xml:space="preserve">blood pressure, oxygenation </w:t>
            </w:r>
            <w:r>
              <w:rPr>
                <w:rFonts w:cs="Calibri"/>
                <w:sz w:val="20"/>
              </w:rPr>
              <w:t>and assisted ventilator status.</w:t>
            </w:r>
            <w:r w:rsidRPr="003F7350">
              <w:rPr>
                <w:rFonts w:cs="Calibri"/>
                <w:sz w:val="20"/>
              </w:rPr>
              <w:t xml:space="preserve"> </w:t>
            </w:r>
          </w:p>
        </w:tc>
      </w:tr>
      <w:tr w:rsidRPr="00344000" w:rsidR="00DD0500" w:rsidTr="00FE4186" w14:paraId="2A0BAA4A" w14:textId="77777777">
        <w:trPr>
          <w:trHeight w:val="441"/>
        </w:trPr>
        <w:tc>
          <w:tcPr>
            <w:tcW w:w="967" w:type="pct"/>
          </w:tcPr>
          <w:p w:rsidRPr="00B10B3E" w:rsidR="00DD0500" w:rsidP="00FE4186" w:rsidRDefault="00DD0500" w14:paraId="16A03F21" w14:textId="77777777">
            <w:pPr>
              <w:pStyle w:val="BodyText"/>
              <w:rPr>
                <w:rFonts w:cs="Calibri"/>
                <w:b/>
                <w:bCs/>
                <w:sz w:val="20"/>
              </w:rPr>
            </w:pPr>
            <w:r w:rsidRPr="00344000">
              <w:rPr>
                <w:rFonts w:cs="Calibri"/>
                <w:b/>
                <w:bCs/>
                <w:sz w:val="20"/>
              </w:rPr>
              <w:t>Contraindicat</w:t>
            </w:r>
            <w:r>
              <w:rPr>
                <w:rFonts w:cs="Calibri"/>
                <w:b/>
                <w:bCs/>
                <w:sz w:val="20"/>
              </w:rPr>
              <w:t xml:space="preserve">ions             </w:t>
            </w:r>
          </w:p>
        </w:tc>
        <w:tc>
          <w:tcPr>
            <w:tcW w:w="4033" w:type="pct"/>
          </w:tcPr>
          <w:p w:rsidR="00DD0500" w:rsidP="00FE4186" w:rsidRDefault="00DD0500" w14:paraId="1CA29F18" w14:textId="77777777">
            <w:pPr>
              <w:pStyle w:val="BodyText"/>
              <w:rPr>
                <w:rFonts w:cs="Calibri"/>
                <w:sz w:val="20"/>
              </w:rPr>
            </w:pPr>
            <w:r>
              <w:rPr>
                <w:rFonts w:cs="Calibri"/>
                <w:sz w:val="20"/>
              </w:rPr>
              <w:t>Hyperkalaemia</w:t>
            </w:r>
          </w:p>
          <w:p w:rsidR="00DD0500" w:rsidP="00FE4186" w:rsidRDefault="00DD0500" w14:paraId="25BE27D9" w14:textId="77777777">
            <w:pPr>
              <w:pStyle w:val="BodyText"/>
              <w:rPr>
                <w:rFonts w:cs="Calibri"/>
                <w:sz w:val="20"/>
              </w:rPr>
            </w:pPr>
            <w:r>
              <w:rPr>
                <w:rFonts w:cs="Calibri"/>
                <w:sz w:val="20"/>
              </w:rPr>
              <w:t>Family history of malignant hyperthermia</w:t>
            </w:r>
          </w:p>
          <w:p w:rsidR="00DD0500" w:rsidP="00FE4186" w:rsidRDefault="00DD0500" w14:paraId="0B0B784B" w14:textId="77777777">
            <w:pPr>
              <w:pStyle w:val="BodyText"/>
              <w:rPr>
                <w:rFonts w:cs="Calibri"/>
                <w:sz w:val="20"/>
              </w:rPr>
            </w:pPr>
            <w:r>
              <w:rPr>
                <w:rFonts w:cs="Calibri"/>
                <w:sz w:val="20"/>
              </w:rPr>
              <w:t>Skeletal muscle myopathy</w:t>
            </w:r>
          </w:p>
          <w:p w:rsidRPr="00344000" w:rsidR="00DD0500" w:rsidP="00FE4186" w:rsidRDefault="00DD0500" w14:paraId="52127B29" w14:textId="77777777">
            <w:pPr>
              <w:pStyle w:val="BodyText"/>
              <w:rPr>
                <w:rFonts w:cs="Calibri"/>
                <w:sz w:val="20"/>
              </w:rPr>
            </w:pPr>
            <w:r>
              <w:rPr>
                <w:rFonts w:cs="Calibri"/>
                <w:sz w:val="20"/>
              </w:rPr>
              <w:t>Hypersensitivity to suxamethonium</w:t>
            </w:r>
          </w:p>
        </w:tc>
      </w:tr>
      <w:tr w:rsidRPr="00344000" w:rsidR="00DD0500" w:rsidTr="00FE4186" w14:paraId="10E60BB3" w14:textId="77777777">
        <w:trPr>
          <w:trHeight w:val="1771"/>
        </w:trPr>
        <w:tc>
          <w:tcPr>
            <w:tcW w:w="967" w:type="pct"/>
          </w:tcPr>
          <w:p w:rsidRPr="00344000" w:rsidR="00DD0500" w:rsidP="00FE4186" w:rsidRDefault="00DD0500" w14:paraId="1C909CEC" w14:textId="77777777">
            <w:pPr>
              <w:pStyle w:val="BodyText"/>
              <w:rPr>
                <w:rFonts w:cs="Calibri"/>
                <w:b/>
                <w:bCs/>
                <w:sz w:val="20"/>
              </w:rPr>
            </w:pPr>
            <w:r w:rsidRPr="00344000">
              <w:rPr>
                <w:rFonts w:cs="Calibri"/>
                <w:sz w:val="20"/>
              </w:rPr>
              <w:lastRenderedPageBreak/>
              <w:br w:type="page"/>
            </w:r>
            <w:r w:rsidRPr="00344000">
              <w:rPr>
                <w:rFonts w:cs="Calibri"/>
                <w:b/>
                <w:bCs/>
                <w:sz w:val="20"/>
              </w:rPr>
              <w:t>Precautions</w:t>
            </w:r>
          </w:p>
        </w:tc>
        <w:tc>
          <w:tcPr>
            <w:tcW w:w="4033" w:type="pct"/>
          </w:tcPr>
          <w:p w:rsidR="00DD0500" w:rsidP="00FE4186" w:rsidRDefault="00DD0500" w14:paraId="72E0BA83" w14:textId="77777777">
            <w:pPr>
              <w:pStyle w:val="BodyText"/>
              <w:rPr>
                <w:rFonts w:cs="Calibri"/>
                <w:sz w:val="20"/>
              </w:rPr>
            </w:pPr>
            <w:r w:rsidRPr="003F7350">
              <w:rPr>
                <w:rFonts w:cs="Calibri"/>
                <w:sz w:val="20"/>
              </w:rPr>
              <w:t>Anaphylaxis: Severe anaphylactic reactions (some life-threatening and fatal) have been reported. Cross-sensitivity with other neuromuscular-blocking agents may occur; use extreme caution in patients with p</w:t>
            </w:r>
            <w:r>
              <w:rPr>
                <w:rFonts w:cs="Calibri"/>
                <w:sz w:val="20"/>
              </w:rPr>
              <w:t>revious anaphylactic reactions.</w:t>
            </w:r>
          </w:p>
          <w:p w:rsidRPr="003F7350" w:rsidR="00DD0500" w:rsidP="00FE4186" w:rsidRDefault="00DD0500" w14:paraId="326016F2" w14:textId="77777777">
            <w:pPr>
              <w:pStyle w:val="BodyText"/>
              <w:rPr>
                <w:rFonts w:cs="Calibri"/>
                <w:sz w:val="20"/>
              </w:rPr>
            </w:pPr>
            <w:r w:rsidRPr="003F7350">
              <w:rPr>
                <w:rFonts w:cs="Calibri"/>
                <w:sz w:val="20"/>
              </w:rPr>
              <w:t>Bradycardia: May increase vagal tone.</w:t>
            </w:r>
            <w:r>
              <w:rPr>
                <w:rFonts w:cs="Calibri"/>
                <w:sz w:val="20"/>
              </w:rPr>
              <w:t xml:space="preserve"> </w:t>
            </w:r>
            <w:r w:rsidRPr="003F7350">
              <w:rPr>
                <w:rFonts w:cs="Calibri"/>
                <w:sz w:val="20"/>
              </w:rPr>
              <w:t xml:space="preserve">Risk of bradycardia may be increased with second dose and may occur more </w:t>
            </w:r>
            <w:r>
              <w:rPr>
                <w:rFonts w:cs="Calibri"/>
                <w:sz w:val="20"/>
              </w:rPr>
              <w:t xml:space="preserve">often </w:t>
            </w:r>
            <w:r w:rsidRPr="003F7350">
              <w:rPr>
                <w:rFonts w:cs="Calibri"/>
                <w:sz w:val="20"/>
              </w:rPr>
              <w:t>in children. Occurrence may be reduced by pre-treating with anticholinergic agents (e.g</w:t>
            </w:r>
            <w:r>
              <w:rPr>
                <w:rFonts w:cs="Calibri"/>
                <w:sz w:val="20"/>
              </w:rPr>
              <w:t>.</w:t>
            </w:r>
            <w:r w:rsidRPr="003F7350">
              <w:rPr>
                <w:rFonts w:cs="Calibri"/>
                <w:sz w:val="20"/>
              </w:rPr>
              <w:t xml:space="preserve"> atropine).</w:t>
            </w:r>
          </w:p>
          <w:p w:rsidRPr="003F7350" w:rsidR="00DD0500" w:rsidP="00FE4186" w:rsidRDefault="00DD0500" w14:paraId="2B5D165C" w14:textId="77777777">
            <w:pPr>
              <w:pStyle w:val="BodyText"/>
              <w:rPr>
                <w:rFonts w:cs="Calibri"/>
                <w:sz w:val="20"/>
              </w:rPr>
            </w:pPr>
            <w:r>
              <w:rPr>
                <w:rFonts w:cs="Calibri"/>
                <w:sz w:val="20"/>
              </w:rPr>
              <w:t>M</w:t>
            </w:r>
            <w:r w:rsidRPr="003F7350">
              <w:rPr>
                <w:rFonts w:cs="Calibri"/>
                <w:sz w:val="20"/>
              </w:rPr>
              <w:t>ay Increase intraocular pressure</w:t>
            </w:r>
            <w:r>
              <w:rPr>
                <w:rFonts w:cs="Calibri"/>
                <w:sz w:val="20"/>
              </w:rPr>
              <w:t>.</w:t>
            </w:r>
            <w:r w:rsidRPr="003F7350">
              <w:rPr>
                <w:rFonts w:cs="Calibri"/>
                <w:sz w:val="20"/>
              </w:rPr>
              <w:t xml:space="preserve"> </w:t>
            </w:r>
          </w:p>
          <w:p w:rsidRPr="003F7350" w:rsidR="00DD0500" w:rsidP="00FE4186" w:rsidRDefault="00DD0500" w14:paraId="2D2F9619" w14:textId="77777777">
            <w:pPr>
              <w:pStyle w:val="BodyText"/>
              <w:rPr>
                <w:rFonts w:cs="Calibri"/>
                <w:sz w:val="20"/>
              </w:rPr>
            </w:pPr>
            <w:r w:rsidRPr="003F7350">
              <w:rPr>
                <w:rFonts w:cs="Calibri"/>
                <w:sz w:val="20"/>
              </w:rPr>
              <w:t>May cause a transient increase in intracranial pressure.</w:t>
            </w:r>
          </w:p>
          <w:p w:rsidRPr="003F7350" w:rsidR="00DD0500" w:rsidP="00FE4186" w:rsidRDefault="00DD0500" w14:paraId="159E0C49" w14:textId="77777777">
            <w:pPr>
              <w:pStyle w:val="BodyText"/>
              <w:rPr>
                <w:rFonts w:cs="Calibri"/>
                <w:sz w:val="20"/>
              </w:rPr>
            </w:pPr>
            <w:r w:rsidRPr="003F7350">
              <w:rPr>
                <w:rFonts w:cs="Calibri"/>
                <w:sz w:val="20"/>
              </w:rPr>
              <w:t>May increase intragastric pressure, which could result in regurgitation and possible aspiration of stomach contents.</w:t>
            </w:r>
          </w:p>
          <w:p w:rsidRPr="00344000" w:rsidR="00DD0500" w:rsidP="00FE4186" w:rsidRDefault="00DD0500" w14:paraId="6B49FFC5" w14:textId="77777777">
            <w:pPr>
              <w:pStyle w:val="BodyText"/>
              <w:rPr>
                <w:rFonts w:cs="Calibri"/>
                <w:sz w:val="20"/>
              </w:rPr>
            </w:pPr>
            <w:r w:rsidRPr="003F7350">
              <w:rPr>
                <w:rFonts w:cs="Calibri"/>
                <w:sz w:val="20"/>
              </w:rPr>
              <w:t>Malignant hyperthermia: Use may be associated with acute onset of malignant hyperthermia; risk may be increased with concomitant administration of volatile an</w:t>
            </w:r>
            <w:r>
              <w:rPr>
                <w:rFonts w:cs="Calibri"/>
                <w:sz w:val="20"/>
              </w:rPr>
              <w:t>a</w:t>
            </w:r>
            <w:r w:rsidRPr="003F7350">
              <w:rPr>
                <w:rFonts w:cs="Calibri"/>
                <w:sz w:val="20"/>
              </w:rPr>
              <w:t>esthetics.</w:t>
            </w:r>
          </w:p>
        </w:tc>
      </w:tr>
      <w:tr w:rsidRPr="00344000" w:rsidR="00DD0500" w:rsidTr="00FE4186" w14:paraId="3AB91A89" w14:textId="77777777">
        <w:trPr>
          <w:trHeight w:val="176"/>
        </w:trPr>
        <w:tc>
          <w:tcPr>
            <w:tcW w:w="967" w:type="pct"/>
          </w:tcPr>
          <w:p w:rsidRPr="00344000" w:rsidR="00DD0500" w:rsidP="00FE4186" w:rsidRDefault="00DD0500" w14:paraId="645B917D" w14:textId="77777777">
            <w:pPr>
              <w:pStyle w:val="BodyText"/>
              <w:rPr>
                <w:rFonts w:cs="Calibri"/>
                <w:b/>
                <w:bCs/>
                <w:sz w:val="20"/>
              </w:rPr>
            </w:pPr>
            <w:r w:rsidRPr="00344000">
              <w:rPr>
                <w:rFonts w:cs="Calibri"/>
                <w:b/>
                <w:bCs/>
                <w:sz w:val="20"/>
              </w:rPr>
              <w:t>Drug Interactions</w:t>
            </w:r>
          </w:p>
        </w:tc>
        <w:tc>
          <w:tcPr>
            <w:tcW w:w="4033" w:type="pct"/>
          </w:tcPr>
          <w:p w:rsidRPr="003F7350" w:rsidR="00DD0500" w:rsidP="00FE4186" w:rsidRDefault="00DD0500" w14:paraId="27E962D8" w14:textId="77777777">
            <w:pPr>
              <w:pStyle w:val="BodyText"/>
              <w:rPr>
                <w:rFonts w:cs="Calibri"/>
                <w:sz w:val="20"/>
              </w:rPr>
            </w:pPr>
            <w:r w:rsidRPr="003F7350">
              <w:rPr>
                <w:rFonts w:cs="Calibri"/>
                <w:sz w:val="20"/>
              </w:rPr>
              <w:t xml:space="preserve">May enhance the effect of </w:t>
            </w:r>
            <w:r>
              <w:rPr>
                <w:rFonts w:cs="Calibri"/>
                <w:sz w:val="20"/>
              </w:rPr>
              <w:t>other a</w:t>
            </w:r>
            <w:r w:rsidRPr="003F7350">
              <w:rPr>
                <w:rFonts w:cs="Calibri"/>
                <w:sz w:val="20"/>
              </w:rPr>
              <w:t>gents</w:t>
            </w:r>
            <w:r w:rsidRPr="003F7350" w:rsidDel="008F1A9F">
              <w:rPr>
                <w:rFonts w:cs="Calibri"/>
                <w:sz w:val="20"/>
              </w:rPr>
              <w:t xml:space="preserve"> </w:t>
            </w:r>
            <w:r>
              <w:rPr>
                <w:rFonts w:cs="Calibri"/>
                <w:sz w:val="20"/>
              </w:rPr>
              <w:t>with n</w:t>
            </w:r>
            <w:r w:rsidRPr="003F7350">
              <w:rPr>
                <w:rFonts w:cs="Calibri"/>
                <w:sz w:val="20"/>
              </w:rPr>
              <w:t>euromuscular-</w:t>
            </w:r>
            <w:r>
              <w:rPr>
                <w:rFonts w:cs="Calibri"/>
                <w:sz w:val="20"/>
              </w:rPr>
              <w:t>b</w:t>
            </w:r>
            <w:r w:rsidRPr="003F7350">
              <w:rPr>
                <w:rFonts w:cs="Calibri"/>
                <w:sz w:val="20"/>
              </w:rPr>
              <w:t>locking</w:t>
            </w:r>
            <w:r>
              <w:rPr>
                <w:rFonts w:cs="Calibri"/>
                <w:sz w:val="20"/>
              </w:rPr>
              <w:t xml:space="preserve"> properties</w:t>
            </w:r>
            <w:r w:rsidRPr="003F7350">
              <w:rPr>
                <w:rFonts w:cs="Calibri"/>
                <w:sz w:val="20"/>
              </w:rPr>
              <w:t xml:space="preserve">:  </w:t>
            </w:r>
            <w:r>
              <w:rPr>
                <w:rFonts w:cs="Calibri"/>
                <w:sz w:val="20"/>
              </w:rPr>
              <w:t>a</w:t>
            </w:r>
            <w:r w:rsidRPr="003F7350">
              <w:rPr>
                <w:rFonts w:cs="Calibri"/>
                <w:sz w:val="20"/>
              </w:rPr>
              <w:t xml:space="preserve">cetylcholinesterase </w:t>
            </w:r>
            <w:r>
              <w:rPr>
                <w:rFonts w:cs="Calibri"/>
                <w:sz w:val="20"/>
              </w:rPr>
              <w:t>i</w:t>
            </w:r>
            <w:r w:rsidRPr="003F7350">
              <w:rPr>
                <w:rFonts w:cs="Calibri"/>
                <w:sz w:val="20"/>
              </w:rPr>
              <w:t>nhibitors</w:t>
            </w:r>
            <w:r>
              <w:rPr>
                <w:rFonts w:cs="Calibri"/>
                <w:sz w:val="20"/>
              </w:rPr>
              <w:t>;</w:t>
            </w:r>
            <w:r w:rsidRPr="003F7350">
              <w:rPr>
                <w:rFonts w:cs="Calibri"/>
                <w:sz w:val="20"/>
              </w:rPr>
              <w:t xml:space="preserve"> </w:t>
            </w:r>
            <w:r>
              <w:rPr>
                <w:rFonts w:cs="Calibri"/>
                <w:sz w:val="20"/>
              </w:rPr>
              <w:t>m</w:t>
            </w:r>
            <w:r w:rsidRPr="003F7350">
              <w:rPr>
                <w:rFonts w:cs="Calibri"/>
                <w:sz w:val="20"/>
              </w:rPr>
              <w:t xml:space="preserve">agnesium, </w:t>
            </w:r>
            <w:r>
              <w:rPr>
                <w:rFonts w:cs="Calibri"/>
                <w:sz w:val="20"/>
              </w:rPr>
              <w:t>q</w:t>
            </w:r>
            <w:r w:rsidRPr="003F7350">
              <w:rPr>
                <w:rFonts w:cs="Calibri"/>
                <w:sz w:val="20"/>
              </w:rPr>
              <w:t xml:space="preserve">uinidine, </w:t>
            </w:r>
            <w:r>
              <w:rPr>
                <w:rFonts w:cs="Calibri"/>
                <w:sz w:val="20"/>
              </w:rPr>
              <w:t>q</w:t>
            </w:r>
            <w:r w:rsidRPr="003F7350">
              <w:rPr>
                <w:rFonts w:cs="Calibri"/>
                <w:sz w:val="20"/>
              </w:rPr>
              <w:t xml:space="preserve">uinine, </w:t>
            </w:r>
            <w:r>
              <w:rPr>
                <w:rFonts w:cs="Calibri"/>
                <w:sz w:val="20"/>
              </w:rPr>
              <w:t>v</w:t>
            </w:r>
            <w:r w:rsidRPr="003F7350">
              <w:rPr>
                <w:rFonts w:cs="Calibri"/>
                <w:sz w:val="20"/>
              </w:rPr>
              <w:t xml:space="preserve">ancomycin, </w:t>
            </w:r>
            <w:r>
              <w:rPr>
                <w:rFonts w:cs="Calibri"/>
                <w:sz w:val="20"/>
              </w:rPr>
              <w:t>c</w:t>
            </w:r>
            <w:r w:rsidRPr="003F7350">
              <w:rPr>
                <w:rFonts w:cs="Calibri"/>
                <w:sz w:val="20"/>
              </w:rPr>
              <w:t>yclophosphamide</w:t>
            </w:r>
            <w:r>
              <w:rPr>
                <w:rFonts w:cs="Calibri"/>
                <w:sz w:val="20"/>
              </w:rPr>
              <w:t xml:space="preserve"> </w:t>
            </w:r>
            <w:r w:rsidRPr="00EE126E">
              <w:rPr>
                <w:rFonts w:cs="Calibri"/>
                <w:sz w:val="20"/>
              </w:rPr>
              <w:t>monohydrate</w:t>
            </w:r>
            <w:r w:rsidRPr="003F7350">
              <w:rPr>
                <w:rFonts w:cs="Calibri"/>
                <w:sz w:val="20"/>
              </w:rPr>
              <w:t xml:space="preserve">, </w:t>
            </w:r>
            <w:r w:rsidRPr="00EE126E">
              <w:rPr>
                <w:rFonts w:cs="Calibri"/>
                <w:sz w:val="20"/>
              </w:rPr>
              <w:t>ciclosporin</w:t>
            </w:r>
            <w:r w:rsidRPr="003F7350">
              <w:rPr>
                <w:rFonts w:cs="Calibri"/>
                <w:sz w:val="20"/>
              </w:rPr>
              <w:t xml:space="preserve">, </w:t>
            </w:r>
            <w:r>
              <w:rPr>
                <w:rFonts w:cs="Calibri"/>
                <w:sz w:val="20"/>
              </w:rPr>
              <w:t>e</w:t>
            </w:r>
            <w:r w:rsidRPr="003F7350">
              <w:rPr>
                <w:rFonts w:cs="Calibri"/>
                <w:sz w:val="20"/>
              </w:rPr>
              <w:t xml:space="preserve">smolol, </w:t>
            </w:r>
            <w:r>
              <w:rPr>
                <w:rFonts w:cs="Calibri"/>
                <w:sz w:val="20"/>
              </w:rPr>
              <w:t>l</w:t>
            </w:r>
            <w:r w:rsidRPr="003F7350">
              <w:rPr>
                <w:rFonts w:cs="Calibri"/>
                <w:sz w:val="20"/>
              </w:rPr>
              <w:t xml:space="preserve">incosamide, </w:t>
            </w:r>
            <w:r>
              <w:rPr>
                <w:rFonts w:cs="Calibri"/>
                <w:sz w:val="20"/>
              </w:rPr>
              <w:t>l</w:t>
            </w:r>
            <w:r w:rsidRPr="003F7350">
              <w:rPr>
                <w:rFonts w:cs="Calibri"/>
                <w:sz w:val="20"/>
              </w:rPr>
              <w:t>oop diuretics</w:t>
            </w:r>
            <w:r>
              <w:rPr>
                <w:rFonts w:cs="Calibri"/>
                <w:sz w:val="20"/>
              </w:rPr>
              <w:t>.</w:t>
            </w:r>
          </w:p>
          <w:p w:rsidRPr="003F7350" w:rsidR="00DD0500" w:rsidP="00FE4186" w:rsidRDefault="00DD0500" w14:paraId="3F81CAAA" w14:textId="77777777">
            <w:pPr>
              <w:pStyle w:val="BodyText"/>
              <w:rPr>
                <w:rFonts w:cs="Calibri"/>
                <w:sz w:val="20"/>
              </w:rPr>
            </w:pPr>
            <w:r w:rsidRPr="003F7350">
              <w:rPr>
                <w:rFonts w:cs="Calibri"/>
                <w:sz w:val="20"/>
              </w:rPr>
              <w:t xml:space="preserve">Aminoglycosides: May enhance the respiratory depressant effect of </w:t>
            </w:r>
            <w:r>
              <w:rPr>
                <w:rFonts w:cs="Calibri"/>
                <w:sz w:val="20"/>
              </w:rPr>
              <w:t>aminoglycosides</w:t>
            </w:r>
            <w:r w:rsidRPr="003F7350">
              <w:rPr>
                <w:rFonts w:cs="Calibri"/>
                <w:sz w:val="20"/>
              </w:rPr>
              <w:t>.</w:t>
            </w:r>
          </w:p>
          <w:p w:rsidRPr="003F7350" w:rsidR="00DD0500" w:rsidP="00FE4186" w:rsidRDefault="00DD0500" w14:paraId="7148BF8F" w14:textId="77777777">
            <w:pPr>
              <w:pStyle w:val="BodyText"/>
              <w:rPr>
                <w:rFonts w:cs="Calibri"/>
                <w:sz w:val="20"/>
              </w:rPr>
            </w:pPr>
            <w:r w:rsidRPr="003F7350">
              <w:rPr>
                <w:rFonts w:cs="Calibri"/>
                <w:sz w:val="20"/>
              </w:rPr>
              <w:t xml:space="preserve">Opioid analgesics: Suxamethonium may enhance the bradycardic effect of </w:t>
            </w:r>
            <w:r>
              <w:rPr>
                <w:rFonts w:cs="Calibri"/>
                <w:sz w:val="20"/>
              </w:rPr>
              <w:t>o</w:t>
            </w:r>
            <w:r w:rsidRPr="003F7350">
              <w:rPr>
                <w:rFonts w:cs="Calibri"/>
                <w:sz w:val="20"/>
              </w:rPr>
              <w:t xml:space="preserve">pioid analgesics. </w:t>
            </w:r>
          </w:p>
          <w:p w:rsidRPr="00344000" w:rsidR="00DD0500" w:rsidP="00FE4186" w:rsidRDefault="00DD0500" w14:paraId="0EE9CF0F" w14:textId="77777777">
            <w:pPr>
              <w:pStyle w:val="BodyText"/>
              <w:rPr>
                <w:rFonts w:cs="Calibri"/>
                <w:sz w:val="20"/>
              </w:rPr>
            </w:pPr>
            <w:r w:rsidRPr="003F7350">
              <w:rPr>
                <w:rFonts w:cs="Calibri"/>
                <w:sz w:val="20"/>
              </w:rPr>
              <w:t xml:space="preserve">Cardiac </w:t>
            </w:r>
            <w:r>
              <w:rPr>
                <w:rFonts w:cs="Calibri"/>
                <w:sz w:val="20"/>
              </w:rPr>
              <w:t>g</w:t>
            </w:r>
            <w:r w:rsidRPr="003F7350">
              <w:rPr>
                <w:rFonts w:cs="Calibri"/>
                <w:sz w:val="20"/>
              </w:rPr>
              <w:t xml:space="preserve">lycosides: </w:t>
            </w:r>
            <w:r>
              <w:rPr>
                <w:rFonts w:cs="Calibri"/>
                <w:sz w:val="20"/>
              </w:rPr>
              <w:t>M</w:t>
            </w:r>
            <w:r w:rsidRPr="003F7350">
              <w:rPr>
                <w:rFonts w:cs="Calibri"/>
                <w:sz w:val="20"/>
              </w:rPr>
              <w:t xml:space="preserve">ay enhance the arrhythmogenic effect of </w:t>
            </w:r>
            <w:r>
              <w:rPr>
                <w:rFonts w:cs="Calibri"/>
                <w:sz w:val="20"/>
              </w:rPr>
              <w:t>c</w:t>
            </w:r>
            <w:r w:rsidRPr="003F7350">
              <w:rPr>
                <w:rFonts w:cs="Calibri"/>
                <w:sz w:val="20"/>
              </w:rPr>
              <w:t xml:space="preserve">ardiac </w:t>
            </w:r>
            <w:r>
              <w:rPr>
                <w:rFonts w:cs="Calibri"/>
                <w:sz w:val="20"/>
              </w:rPr>
              <w:t>g</w:t>
            </w:r>
            <w:r w:rsidRPr="003F7350">
              <w:rPr>
                <w:rFonts w:cs="Calibri"/>
                <w:sz w:val="20"/>
              </w:rPr>
              <w:t>lycosides</w:t>
            </w:r>
          </w:p>
        </w:tc>
      </w:tr>
      <w:tr w:rsidRPr="00344000" w:rsidR="00DD0500" w:rsidTr="00FE4186" w14:paraId="56782923" w14:textId="77777777">
        <w:trPr>
          <w:trHeight w:val="1949"/>
        </w:trPr>
        <w:tc>
          <w:tcPr>
            <w:tcW w:w="967" w:type="pct"/>
          </w:tcPr>
          <w:p w:rsidRPr="00344000" w:rsidR="00DD0500" w:rsidP="00FE4186" w:rsidRDefault="00DD0500" w14:paraId="6A3BDA6D" w14:textId="77777777">
            <w:pPr>
              <w:pStyle w:val="BodyText"/>
              <w:rPr>
                <w:rFonts w:cs="Calibri"/>
                <w:b/>
                <w:bCs/>
                <w:sz w:val="20"/>
              </w:rPr>
            </w:pPr>
            <w:r w:rsidRPr="00344000">
              <w:rPr>
                <w:rFonts w:cs="Calibri"/>
                <w:b/>
                <w:bCs/>
                <w:sz w:val="20"/>
              </w:rPr>
              <w:t xml:space="preserve">Adverse Reactions         </w:t>
            </w:r>
          </w:p>
          <w:p w:rsidRPr="00344000" w:rsidR="00DD0500" w:rsidP="00FE4186" w:rsidRDefault="00DD0500" w14:paraId="15376D94" w14:textId="77777777">
            <w:pPr>
              <w:pStyle w:val="BodyText"/>
              <w:rPr>
                <w:rFonts w:cs="Calibri"/>
                <w:b/>
                <w:bCs/>
                <w:sz w:val="20"/>
              </w:rPr>
            </w:pPr>
          </w:p>
        </w:tc>
        <w:tc>
          <w:tcPr>
            <w:tcW w:w="4033" w:type="pct"/>
          </w:tcPr>
          <w:p w:rsidRPr="003F7350" w:rsidR="00DD0500" w:rsidP="00FE4186" w:rsidRDefault="00DD0500" w14:paraId="0A73826A" w14:textId="77777777">
            <w:pPr>
              <w:autoSpaceDE w:val="0"/>
              <w:autoSpaceDN w:val="0"/>
              <w:adjustRightInd w:val="0"/>
              <w:rPr>
                <w:rFonts w:cs="Calibri"/>
                <w:sz w:val="20"/>
              </w:rPr>
            </w:pPr>
            <w:r w:rsidRPr="003F7350">
              <w:rPr>
                <w:rFonts w:cs="Calibri"/>
                <w:sz w:val="20"/>
              </w:rPr>
              <w:t xml:space="preserve">Bradycardia </w:t>
            </w:r>
            <w:r>
              <w:rPr>
                <w:rFonts w:cs="Calibri"/>
                <w:sz w:val="20"/>
              </w:rPr>
              <w:t xml:space="preserve">is </w:t>
            </w:r>
            <w:r w:rsidRPr="003F7350">
              <w:rPr>
                <w:rFonts w:cs="Calibri"/>
                <w:sz w:val="20"/>
              </w:rPr>
              <w:t>common in neonates and children, especially after a second dose of suxamethonium. May be prevented by administration of atropine prior to administration of suxamethonium.</w:t>
            </w:r>
          </w:p>
          <w:p w:rsidRPr="003F7350" w:rsidR="00DD0500" w:rsidP="00FE4186" w:rsidRDefault="00DD0500" w14:paraId="0C5EC01A" w14:textId="77777777">
            <w:pPr>
              <w:autoSpaceDE w:val="0"/>
              <w:autoSpaceDN w:val="0"/>
              <w:adjustRightInd w:val="0"/>
              <w:rPr>
                <w:rFonts w:cs="Calibri"/>
                <w:sz w:val="20"/>
              </w:rPr>
            </w:pPr>
            <w:r w:rsidRPr="003F7350">
              <w:rPr>
                <w:rFonts w:cs="Calibri"/>
                <w:sz w:val="20"/>
              </w:rPr>
              <w:t>Hyperkalaemia</w:t>
            </w:r>
          </w:p>
          <w:p w:rsidRPr="003F7350" w:rsidR="00DD0500" w:rsidP="00FE4186" w:rsidRDefault="00DD0500" w14:paraId="29FC63A3" w14:textId="77777777">
            <w:pPr>
              <w:autoSpaceDE w:val="0"/>
              <w:autoSpaceDN w:val="0"/>
              <w:adjustRightInd w:val="0"/>
              <w:rPr>
                <w:rFonts w:cs="Calibri"/>
                <w:sz w:val="20"/>
              </w:rPr>
            </w:pPr>
            <w:r w:rsidRPr="003F7350">
              <w:rPr>
                <w:rFonts w:cs="Calibri"/>
                <w:sz w:val="20"/>
              </w:rPr>
              <w:t xml:space="preserve">Prolonged paralysis in infants with deficiency of pseudocholinesterase. </w:t>
            </w:r>
          </w:p>
          <w:p w:rsidRPr="003F7350" w:rsidR="00DD0500" w:rsidP="00FE4186" w:rsidRDefault="00DD0500" w14:paraId="528734E9" w14:textId="77777777">
            <w:pPr>
              <w:autoSpaceDE w:val="0"/>
              <w:autoSpaceDN w:val="0"/>
              <w:adjustRightInd w:val="0"/>
              <w:rPr>
                <w:rFonts w:cs="Calibri"/>
                <w:sz w:val="20"/>
              </w:rPr>
            </w:pPr>
            <w:r w:rsidRPr="003F7350">
              <w:rPr>
                <w:rFonts w:cs="Calibri"/>
                <w:sz w:val="20"/>
              </w:rPr>
              <w:t>Hypersensitivity reactions</w:t>
            </w:r>
          </w:p>
          <w:p w:rsidRPr="003F7350" w:rsidR="00DD0500" w:rsidP="00FE4186" w:rsidRDefault="00DD0500" w14:paraId="2805C08A" w14:textId="77777777">
            <w:pPr>
              <w:autoSpaceDE w:val="0"/>
              <w:autoSpaceDN w:val="0"/>
              <w:adjustRightInd w:val="0"/>
              <w:rPr>
                <w:rFonts w:cs="Calibri"/>
                <w:sz w:val="20"/>
              </w:rPr>
            </w:pPr>
            <w:r w:rsidRPr="003F7350">
              <w:rPr>
                <w:rFonts w:cs="Calibri"/>
                <w:sz w:val="20"/>
              </w:rPr>
              <w:t>Malignant hyperthermia</w:t>
            </w:r>
          </w:p>
          <w:p w:rsidRPr="00344000" w:rsidR="00DD0500" w:rsidP="00FE4186" w:rsidRDefault="00DD0500" w14:paraId="7FB82534" w14:textId="77777777">
            <w:pPr>
              <w:pStyle w:val="BodyText"/>
              <w:rPr>
                <w:rFonts w:cs="Calibri"/>
                <w:sz w:val="20"/>
              </w:rPr>
            </w:pPr>
            <w:r w:rsidRPr="003F7350">
              <w:rPr>
                <w:rFonts w:cs="Calibri"/>
                <w:sz w:val="20"/>
              </w:rPr>
              <w:t>Management of suxamethonium overdose and/or toxicity is supportive</w:t>
            </w:r>
            <w:r>
              <w:rPr>
                <w:rFonts w:cs="Calibri"/>
                <w:sz w:val="20"/>
              </w:rPr>
              <w:t>.</w:t>
            </w:r>
            <w:r w:rsidRPr="003F7350">
              <w:rPr>
                <w:rFonts w:cs="Calibri"/>
                <w:sz w:val="20"/>
              </w:rPr>
              <w:t xml:space="preserve"> </w:t>
            </w:r>
          </w:p>
        </w:tc>
      </w:tr>
      <w:tr w:rsidRPr="00344000" w:rsidR="00DD0500" w:rsidTr="00FE4186" w14:paraId="614ECE57" w14:textId="77777777">
        <w:trPr>
          <w:trHeight w:val="128"/>
        </w:trPr>
        <w:tc>
          <w:tcPr>
            <w:tcW w:w="967" w:type="pct"/>
          </w:tcPr>
          <w:p w:rsidRPr="00344000" w:rsidR="00DD0500" w:rsidP="00FE4186" w:rsidRDefault="00DD0500" w14:paraId="5ACEF742" w14:textId="77777777">
            <w:pPr>
              <w:pStyle w:val="BodyText"/>
              <w:rPr>
                <w:rFonts w:cs="Calibri"/>
                <w:b/>
                <w:bCs/>
                <w:sz w:val="20"/>
              </w:rPr>
            </w:pPr>
            <w:r>
              <w:rPr>
                <w:rFonts w:cs="Calibri"/>
                <w:b/>
                <w:bCs/>
                <w:sz w:val="20"/>
              </w:rPr>
              <w:t>Compatibility</w:t>
            </w:r>
          </w:p>
        </w:tc>
        <w:tc>
          <w:tcPr>
            <w:tcW w:w="4033" w:type="pct"/>
          </w:tcPr>
          <w:p w:rsidRPr="003F7350" w:rsidR="00DD0500" w:rsidP="00FE4186" w:rsidRDefault="00DD0500" w14:paraId="50F08D1F" w14:textId="77777777">
            <w:pPr>
              <w:pStyle w:val="BodyText"/>
              <w:rPr>
                <w:rFonts w:cs="Calibri"/>
                <w:sz w:val="20"/>
              </w:rPr>
            </w:pPr>
            <w:r>
              <w:rPr>
                <w:rFonts w:cs="Calibri"/>
                <w:sz w:val="20"/>
              </w:rPr>
              <w:t>Dextrose 5%, dextrose 10%, sodium chloride 0.9%, dextrose 5% in sodium chloride 0.9%, dextrose 5% in sodium chloride 0.45%, sodium chloride 0.45%.</w:t>
            </w:r>
            <w:r w:rsidRPr="003F7350">
              <w:rPr>
                <w:rFonts w:cs="Calibri"/>
                <w:sz w:val="20"/>
              </w:rPr>
              <w:t xml:space="preserve"> </w:t>
            </w:r>
          </w:p>
          <w:p w:rsidRPr="005C0C81" w:rsidR="00DD0500" w:rsidP="00FE4186" w:rsidRDefault="00DD0500" w14:paraId="3762B88D" w14:textId="77777777">
            <w:pPr>
              <w:pStyle w:val="BodyText"/>
              <w:rPr>
                <w:rFonts w:cs="Calibri"/>
                <w:sz w:val="20"/>
              </w:rPr>
            </w:pPr>
            <w:r w:rsidRPr="003F7350">
              <w:rPr>
                <w:rFonts w:cs="Calibri"/>
                <w:sz w:val="20"/>
              </w:rPr>
              <w:t xml:space="preserve">Y-site administration: </w:t>
            </w:r>
            <w:r>
              <w:rPr>
                <w:rFonts w:cs="Calibri"/>
                <w:sz w:val="20"/>
              </w:rPr>
              <w:t>p</w:t>
            </w:r>
            <w:r w:rsidRPr="003F7350">
              <w:rPr>
                <w:rFonts w:cs="Calibri"/>
                <w:sz w:val="20"/>
              </w:rPr>
              <w:t xml:space="preserve">otassium chloride, </w:t>
            </w:r>
            <w:r>
              <w:rPr>
                <w:rFonts w:cs="Calibri"/>
                <w:sz w:val="20"/>
              </w:rPr>
              <w:t>propofol</w:t>
            </w:r>
            <w:r w:rsidRPr="003F7350">
              <w:rPr>
                <w:rFonts w:cs="Calibri"/>
                <w:sz w:val="20"/>
              </w:rPr>
              <w:t xml:space="preserve">, </w:t>
            </w:r>
            <w:r>
              <w:rPr>
                <w:rFonts w:cs="Calibri"/>
                <w:sz w:val="20"/>
              </w:rPr>
              <w:t>v</w:t>
            </w:r>
            <w:r w:rsidRPr="003F7350">
              <w:rPr>
                <w:rFonts w:cs="Calibri"/>
                <w:sz w:val="20"/>
              </w:rPr>
              <w:t>itamin B complex with C.</w:t>
            </w:r>
          </w:p>
        </w:tc>
      </w:tr>
      <w:tr w:rsidRPr="00344000" w:rsidR="00DD0500" w:rsidTr="00FE4186" w14:paraId="38041E24" w14:textId="77777777">
        <w:trPr>
          <w:trHeight w:val="78"/>
        </w:trPr>
        <w:tc>
          <w:tcPr>
            <w:tcW w:w="967" w:type="pct"/>
          </w:tcPr>
          <w:p w:rsidRPr="00344000" w:rsidR="00DD0500" w:rsidP="00FE4186" w:rsidRDefault="00DD0500" w14:paraId="274EC6A2" w14:textId="77777777">
            <w:pPr>
              <w:pStyle w:val="BodyText"/>
              <w:rPr>
                <w:rFonts w:cs="Calibri"/>
                <w:b/>
                <w:bCs/>
                <w:sz w:val="20"/>
              </w:rPr>
            </w:pPr>
            <w:r w:rsidRPr="00344000">
              <w:rPr>
                <w:rFonts w:cs="Calibri"/>
                <w:b/>
                <w:bCs/>
                <w:sz w:val="20"/>
              </w:rPr>
              <w:t>Incompatibility</w:t>
            </w:r>
            <w:r>
              <w:rPr>
                <w:rFonts w:cs="Calibri"/>
                <w:b/>
                <w:bCs/>
                <w:sz w:val="20"/>
              </w:rPr>
              <w:t xml:space="preserve"> </w:t>
            </w:r>
            <w:r w:rsidRPr="00344000">
              <w:rPr>
                <w:rFonts w:cs="Calibri"/>
                <w:b/>
                <w:bCs/>
                <w:sz w:val="20"/>
              </w:rPr>
              <w:t xml:space="preserve"> </w:t>
            </w:r>
            <w:r w:rsidRPr="00344000">
              <w:rPr>
                <w:rFonts w:cs="Calibri"/>
                <w:b/>
                <w:bCs/>
                <w:sz w:val="20"/>
              </w:rPr>
              <w:tab/>
            </w:r>
          </w:p>
        </w:tc>
        <w:tc>
          <w:tcPr>
            <w:tcW w:w="4033" w:type="pct"/>
          </w:tcPr>
          <w:p w:rsidRPr="00FE281B" w:rsidR="00DD0500" w:rsidP="00FE4186" w:rsidRDefault="00DD0500" w14:paraId="14270554" w14:textId="77777777">
            <w:pPr>
              <w:pStyle w:val="BodyText"/>
              <w:rPr>
                <w:rFonts w:cs="Calibri"/>
                <w:sz w:val="20"/>
              </w:rPr>
            </w:pPr>
            <w:r w:rsidRPr="00FE281B">
              <w:rPr>
                <w:rFonts w:cs="Calibri"/>
                <w:sz w:val="20"/>
              </w:rPr>
              <w:t>Y site administration: Amino</w:t>
            </w:r>
            <w:r>
              <w:rPr>
                <w:rFonts w:cs="Calibri"/>
                <w:sz w:val="20"/>
              </w:rPr>
              <w:t xml:space="preserve"> </w:t>
            </w:r>
            <w:r w:rsidRPr="00FE281B">
              <w:rPr>
                <w:rFonts w:cs="Calibri"/>
                <w:sz w:val="20"/>
              </w:rPr>
              <w:t>acid solution, lipid emulsion, heparin, alkaline solutions with pH &gt; 8.5.</w:t>
            </w:r>
          </w:p>
        </w:tc>
      </w:tr>
      <w:tr w:rsidRPr="00344000" w:rsidR="00DD0500" w:rsidTr="00FE4186" w14:paraId="47ADDF90" w14:textId="77777777">
        <w:trPr>
          <w:trHeight w:val="215"/>
        </w:trPr>
        <w:tc>
          <w:tcPr>
            <w:tcW w:w="967" w:type="pct"/>
          </w:tcPr>
          <w:p w:rsidRPr="00344000" w:rsidR="00DD0500" w:rsidP="00FE4186" w:rsidRDefault="00DD0500" w14:paraId="11050E84" w14:textId="77777777">
            <w:pPr>
              <w:pStyle w:val="BodyText"/>
              <w:rPr>
                <w:rFonts w:cs="Calibri"/>
                <w:b/>
                <w:bCs/>
                <w:sz w:val="20"/>
              </w:rPr>
            </w:pPr>
            <w:r w:rsidRPr="00344000">
              <w:rPr>
                <w:rFonts w:cs="Calibri"/>
                <w:b/>
                <w:bCs/>
                <w:sz w:val="20"/>
              </w:rPr>
              <w:t xml:space="preserve">Stability                  </w:t>
            </w:r>
          </w:p>
        </w:tc>
        <w:tc>
          <w:tcPr>
            <w:tcW w:w="4033" w:type="pct"/>
          </w:tcPr>
          <w:p w:rsidRPr="00C14179" w:rsidR="00DD0500" w:rsidP="00FE4186" w:rsidRDefault="00DD0500" w14:paraId="0A0AA3B7" w14:textId="77777777">
            <w:pPr>
              <w:shd w:val="clear" w:color="auto" w:fill="FFFFFF"/>
              <w:rPr>
                <w:rFonts w:cs="Helvetica" w:asciiTheme="minorHAnsi" w:hAnsiTheme="minorHAnsi"/>
                <w:sz w:val="20"/>
                <w:lang w:val="en" w:eastAsia="en-AU"/>
              </w:rPr>
            </w:pPr>
            <w:r w:rsidRPr="008F1A9F">
              <w:rPr>
                <w:rFonts w:cs="Calibri"/>
                <w:sz w:val="20"/>
              </w:rPr>
              <w:t>Suxamethonium Chloride</w:t>
            </w:r>
            <w:r>
              <w:rPr>
                <w:rFonts w:cs="Calibri"/>
                <w:sz w:val="20"/>
              </w:rPr>
              <w:t xml:space="preserve"> (dihydrate)</w:t>
            </w:r>
            <w:r w:rsidRPr="008F1A9F">
              <w:rPr>
                <w:rFonts w:cs="Calibri"/>
                <w:sz w:val="20"/>
              </w:rPr>
              <w:t xml:space="preserve"> Injection BP</w:t>
            </w:r>
            <w:r>
              <w:rPr>
                <w:rFonts w:cs="Calibri"/>
                <w:sz w:val="20"/>
              </w:rPr>
              <w:t xml:space="preserve"> brand</w:t>
            </w:r>
            <w:r w:rsidRPr="00C14179">
              <w:rPr>
                <w:rFonts w:cs="Helvetica" w:asciiTheme="minorHAnsi" w:hAnsiTheme="minorHAnsi"/>
                <w:sz w:val="20"/>
                <w:lang w:val="en" w:eastAsia="en-AU"/>
              </w:rPr>
              <w:t xml:space="preserve">: </w:t>
            </w:r>
            <w:r>
              <w:rPr>
                <w:rFonts w:cs="Helvetica" w:asciiTheme="minorHAnsi" w:hAnsiTheme="minorHAnsi"/>
                <w:sz w:val="20"/>
                <w:lang w:val="en" w:eastAsia="en-AU"/>
              </w:rPr>
              <w:t>once removed from fridge, is s</w:t>
            </w:r>
            <w:r w:rsidRPr="00C14179">
              <w:rPr>
                <w:rFonts w:cs="Helvetica" w:asciiTheme="minorHAnsi" w:hAnsiTheme="minorHAnsi"/>
                <w:sz w:val="20"/>
                <w:lang w:val="en" w:eastAsia="en-AU"/>
              </w:rPr>
              <w:t>table below 25 °C for 1 month</w:t>
            </w:r>
            <w:r>
              <w:rPr>
                <w:rFonts w:cs="Helvetica" w:asciiTheme="minorHAnsi" w:hAnsiTheme="minorHAnsi"/>
                <w:sz w:val="20"/>
                <w:lang w:val="en" w:eastAsia="en-AU"/>
              </w:rPr>
              <w:t xml:space="preserve"> only</w:t>
            </w:r>
            <w:r w:rsidRPr="00C14179">
              <w:rPr>
                <w:rFonts w:cs="Helvetica" w:asciiTheme="minorHAnsi" w:hAnsiTheme="minorHAnsi"/>
                <w:sz w:val="20"/>
                <w:lang w:val="en" w:eastAsia="en-AU"/>
              </w:rPr>
              <w:t>. Discard any unused product after that time, do not return to the fridge</w:t>
            </w:r>
            <w:r>
              <w:rPr>
                <w:rFonts w:cs="Helvetica" w:asciiTheme="minorHAnsi" w:hAnsiTheme="minorHAnsi"/>
                <w:sz w:val="20"/>
                <w:lang w:val="en" w:eastAsia="en-AU"/>
              </w:rPr>
              <w:t>.</w:t>
            </w:r>
            <w:r w:rsidRPr="00C14179">
              <w:rPr>
                <w:rFonts w:cs="Helvetica" w:asciiTheme="minorHAnsi" w:hAnsiTheme="minorHAnsi"/>
                <w:sz w:val="20"/>
                <w:lang w:val="en" w:eastAsia="en-AU"/>
              </w:rPr>
              <w:t xml:space="preserve"> </w:t>
            </w:r>
          </w:p>
          <w:p w:rsidRPr="00C14179" w:rsidR="00DD0500" w:rsidP="00FE4186" w:rsidRDefault="00DD0500" w14:paraId="55375B14" w14:textId="77777777">
            <w:pPr>
              <w:shd w:val="clear" w:color="auto" w:fill="FFFFFF"/>
              <w:rPr>
                <w:rFonts w:ascii="Helvetica" w:hAnsi="Helvetica" w:cs="Helvetica"/>
                <w:sz w:val="21"/>
                <w:szCs w:val="21"/>
                <w:lang w:val="en" w:eastAsia="en-AU"/>
              </w:rPr>
            </w:pPr>
            <w:r w:rsidRPr="00C14179">
              <w:rPr>
                <w:rFonts w:cs="Helvetica" w:asciiTheme="minorHAnsi" w:hAnsiTheme="minorHAnsi"/>
                <w:sz w:val="20"/>
                <w:lang w:val="en" w:eastAsia="en-AU"/>
              </w:rPr>
              <w:t>Infusion solution: use within 24 hours</w:t>
            </w:r>
            <w:r w:rsidRPr="00C14179">
              <w:rPr>
                <w:rFonts w:ascii="Helvetica" w:hAnsi="Helvetica" w:cs="Helvetica"/>
                <w:sz w:val="21"/>
                <w:szCs w:val="21"/>
                <w:lang w:val="en" w:eastAsia="en-AU"/>
              </w:rPr>
              <w:t xml:space="preserve"> </w:t>
            </w:r>
          </w:p>
        </w:tc>
      </w:tr>
      <w:tr w:rsidRPr="00344000" w:rsidR="00DD0500" w:rsidTr="00FE4186" w14:paraId="42F4A18C" w14:textId="77777777">
        <w:trPr>
          <w:trHeight w:val="183"/>
        </w:trPr>
        <w:tc>
          <w:tcPr>
            <w:tcW w:w="967" w:type="pct"/>
          </w:tcPr>
          <w:p w:rsidRPr="00344000" w:rsidR="00DD0500" w:rsidP="00FE4186" w:rsidRDefault="00DD0500" w14:paraId="74667439" w14:textId="77777777">
            <w:pPr>
              <w:pStyle w:val="BodyText"/>
              <w:rPr>
                <w:rFonts w:cs="Calibri"/>
                <w:b/>
                <w:bCs/>
                <w:sz w:val="20"/>
              </w:rPr>
            </w:pPr>
            <w:r w:rsidRPr="00344000">
              <w:rPr>
                <w:rFonts w:cs="Calibri"/>
                <w:b/>
                <w:bCs/>
                <w:sz w:val="20"/>
              </w:rPr>
              <w:t xml:space="preserve">Storage        </w:t>
            </w:r>
          </w:p>
        </w:tc>
        <w:tc>
          <w:tcPr>
            <w:tcW w:w="4033" w:type="pct"/>
          </w:tcPr>
          <w:p w:rsidR="00DD0500" w:rsidP="00FE4186" w:rsidRDefault="00DD0500" w14:paraId="1985918A" w14:textId="77777777">
            <w:pPr>
              <w:pStyle w:val="BodyText"/>
              <w:rPr>
                <w:rFonts w:cs="Calibri"/>
                <w:sz w:val="20"/>
              </w:rPr>
            </w:pPr>
            <w:r>
              <w:rPr>
                <w:rFonts w:cs="Calibri"/>
                <w:sz w:val="20"/>
              </w:rPr>
              <w:t>Re</w:t>
            </w:r>
            <w:r w:rsidRPr="00191960">
              <w:rPr>
                <w:rFonts w:cs="Calibri"/>
                <w:sz w:val="20"/>
              </w:rPr>
              <w:t>frigeration at 2°C to 8°C</w:t>
            </w:r>
            <w:r>
              <w:rPr>
                <w:rFonts w:cs="Calibri"/>
                <w:sz w:val="20"/>
              </w:rPr>
              <w:t xml:space="preserve">. DO NOT FREEZE. </w:t>
            </w:r>
          </w:p>
          <w:p w:rsidRPr="00344000" w:rsidR="00DD0500" w:rsidP="00FE4186" w:rsidRDefault="00DD0500" w14:paraId="342D2517" w14:textId="77777777">
            <w:pPr>
              <w:pStyle w:val="BodyText"/>
              <w:rPr>
                <w:rFonts w:cs="Calibri"/>
                <w:sz w:val="20"/>
              </w:rPr>
            </w:pPr>
            <w:r>
              <w:rPr>
                <w:rFonts w:cs="Calibri"/>
                <w:sz w:val="20"/>
              </w:rPr>
              <w:t>For Succinolin and MercuryPharma brands: protect from light.</w:t>
            </w:r>
          </w:p>
        </w:tc>
      </w:tr>
      <w:tr w:rsidRPr="00344000" w:rsidR="00DD0500" w:rsidTr="00FE4186" w14:paraId="47CDDFE2" w14:textId="77777777">
        <w:trPr>
          <w:trHeight w:val="808"/>
        </w:trPr>
        <w:tc>
          <w:tcPr>
            <w:tcW w:w="967" w:type="pct"/>
          </w:tcPr>
          <w:p w:rsidRPr="00344000" w:rsidR="00DD0500" w:rsidP="00FE4186" w:rsidRDefault="00DD0500" w14:paraId="3DE6488F" w14:textId="77777777">
            <w:pPr>
              <w:pStyle w:val="BodyText"/>
              <w:rPr>
                <w:rFonts w:cs="Calibri"/>
                <w:b/>
                <w:bCs/>
                <w:sz w:val="20"/>
              </w:rPr>
            </w:pPr>
            <w:r w:rsidRPr="00344000">
              <w:rPr>
                <w:rFonts w:cs="Calibri"/>
                <w:b/>
                <w:bCs/>
                <w:sz w:val="20"/>
              </w:rPr>
              <w:t xml:space="preserve">Special Comments       </w:t>
            </w:r>
          </w:p>
          <w:p w:rsidRPr="00344000" w:rsidR="00DD0500" w:rsidP="00FE4186" w:rsidRDefault="00DD0500" w14:paraId="467A617A" w14:textId="77777777">
            <w:pPr>
              <w:pStyle w:val="BodyText"/>
              <w:rPr>
                <w:rFonts w:cs="Calibri"/>
                <w:b/>
                <w:bCs/>
                <w:sz w:val="20"/>
              </w:rPr>
            </w:pPr>
          </w:p>
        </w:tc>
        <w:tc>
          <w:tcPr>
            <w:tcW w:w="4033" w:type="pct"/>
          </w:tcPr>
          <w:p w:rsidRPr="003F7350" w:rsidR="00DD0500" w:rsidP="00FE4186" w:rsidRDefault="00DD0500" w14:paraId="5FFA62C1" w14:textId="77777777">
            <w:pPr>
              <w:autoSpaceDE w:val="0"/>
              <w:autoSpaceDN w:val="0"/>
              <w:adjustRightInd w:val="0"/>
              <w:rPr>
                <w:rFonts w:cs="Calibri"/>
                <w:sz w:val="20"/>
              </w:rPr>
            </w:pPr>
            <w:r w:rsidRPr="003F7350">
              <w:rPr>
                <w:rFonts w:cs="Calibri"/>
                <w:sz w:val="20"/>
              </w:rPr>
              <w:t xml:space="preserve">Poorly absorbed from gastrointestinal tract </w:t>
            </w:r>
            <w:r>
              <w:rPr>
                <w:rFonts w:cs="Calibri"/>
                <w:sz w:val="20"/>
              </w:rPr>
              <w:t>–</w:t>
            </w:r>
            <w:r w:rsidRPr="003F7350">
              <w:rPr>
                <w:rFonts w:cs="Calibri"/>
                <w:sz w:val="20"/>
              </w:rPr>
              <w:t xml:space="preserve"> must be given IM or IV. </w:t>
            </w:r>
          </w:p>
          <w:p w:rsidRPr="003F7350" w:rsidR="00DD0500" w:rsidP="00FE4186" w:rsidRDefault="00DD0500" w14:paraId="23AB735C" w14:textId="77777777">
            <w:pPr>
              <w:autoSpaceDE w:val="0"/>
              <w:autoSpaceDN w:val="0"/>
              <w:adjustRightInd w:val="0"/>
              <w:rPr>
                <w:rFonts w:cs="Calibri"/>
                <w:sz w:val="20"/>
              </w:rPr>
            </w:pPr>
            <w:r w:rsidRPr="003F7350">
              <w:rPr>
                <w:rFonts w:cs="Calibri"/>
                <w:sz w:val="20"/>
              </w:rPr>
              <w:t xml:space="preserve">Rapidly and completely hydrolysed by hepatic and plasma pseudocholinesterase. </w:t>
            </w:r>
          </w:p>
          <w:p w:rsidRPr="003F7350" w:rsidR="00DD0500" w:rsidP="00FE4186" w:rsidRDefault="00DD0500" w14:paraId="037563D2" w14:textId="77777777">
            <w:pPr>
              <w:autoSpaceDE w:val="0"/>
              <w:autoSpaceDN w:val="0"/>
              <w:adjustRightInd w:val="0"/>
              <w:rPr>
                <w:rFonts w:cs="Calibri"/>
                <w:sz w:val="20"/>
              </w:rPr>
            </w:pPr>
            <w:r w:rsidRPr="003F7350">
              <w:rPr>
                <w:rFonts w:cs="Calibri"/>
                <w:sz w:val="20"/>
              </w:rPr>
              <w:t>Very rapid onset (</w:t>
            </w:r>
            <w:r>
              <w:rPr>
                <w:rFonts w:cs="Calibri"/>
                <w:sz w:val="20"/>
              </w:rPr>
              <w:t>30–60 seconds</w:t>
            </w:r>
            <w:r w:rsidRPr="003F7350">
              <w:rPr>
                <w:rFonts w:cs="Calibri"/>
                <w:sz w:val="20"/>
              </w:rPr>
              <w:t>)</w:t>
            </w:r>
            <w:r>
              <w:rPr>
                <w:rFonts w:cs="Calibri"/>
                <w:sz w:val="20"/>
              </w:rPr>
              <w:t xml:space="preserve"> and short duration of action (3–5 minutes) with IV administration. </w:t>
            </w:r>
            <w:r w:rsidRPr="003F7350">
              <w:rPr>
                <w:rFonts w:cs="Calibri"/>
                <w:sz w:val="20"/>
              </w:rPr>
              <w:t>Continuous administration over a prolonged period of time may result in irreversible block</w:t>
            </w:r>
            <w:r>
              <w:rPr>
                <w:rFonts w:cs="Calibri"/>
                <w:sz w:val="20"/>
              </w:rPr>
              <w:t>ade</w:t>
            </w:r>
            <w:r w:rsidRPr="003F7350">
              <w:rPr>
                <w:rFonts w:cs="Calibri"/>
                <w:sz w:val="20"/>
              </w:rPr>
              <w:t xml:space="preserve"> (phase II block). </w:t>
            </w:r>
          </w:p>
          <w:p w:rsidRPr="00344000" w:rsidR="00DD0500" w:rsidP="00FE4186" w:rsidRDefault="00DD0500" w14:paraId="49832922" w14:textId="77777777">
            <w:pPr>
              <w:autoSpaceDE w:val="0"/>
              <w:autoSpaceDN w:val="0"/>
              <w:adjustRightInd w:val="0"/>
              <w:rPr>
                <w:rFonts w:cs="Calibri"/>
                <w:sz w:val="20"/>
              </w:rPr>
            </w:pPr>
            <w:r w:rsidRPr="003F7350">
              <w:rPr>
                <w:rFonts w:cs="Calibri"/>
                <w:sz w:val="20"/>
              </w:rPr>
              <w:t>Should not be used without additional sedation.</w:t>
            </w:r>
          </w:p>
        </w:tc>
      </w:tr>
      <w:tr w:rsidRPr="00344000" w:rsidR="00DD0500" w:rsidTr="00FE4186" w14:paraId="0319220F" w14:textId="77777777">
        <w:trPr>
          <w:trHeight w:val="265"/>
        </w:trPr>
        <w:tc>
          <w:tcPr>
            <w:tcW w:w="967" w:type="pct"/>
          </w:tcPr>
          <w:p w:rsidRPr="00344000" w:rsidR="00DD0500" w:rsidP="00FE4186" w:rsidRDefault="00DD0500" w14:paraId="4012B579" w14:textId="77777777">
            <w:pPr>
              <w:pStyle w:val="BodyText"/>
              <w:rPr>
                <w:rFonts w:cs="Calibri"/>
                <w:b/>
                <w:bCs/>
                <w:sz w:val="20"/>
              </w:rPr>
            </w:pPr>
            <w:r w:rsidRPr="00344000">
              <w:rPr>
                <w:rFonts w:cs="Calibri"/>
                <w:b/>
                <w:bCs/>
                <w:sz w:val="20"/>
              </w:rPr>
              <w:t>Evidence summary</w:t>
            </w:r>
          </w:p>
        </w:tc>
        <w:tc>
          <w:tcPr>
            <w:tcW w:w="4033" w:type="pct"/>
          </w:tcPr>
          <w:p w:rsidRPr="00AE32E0" w:rsidR="00DD0500" w:rsidP="00FE4186" w:rsidRDefault="00DD0500" w14:paraId="28C8AAAA" w14:textId="77777777">
            <w:pPr>
              <w:rPr>
                <w:b/>
                <w:sz w:val="16"/>
                <w:szCs w:val="16"/>
              </w:rPr>
            </w:pPr>
            <w:r w:rsidRPr="00AE32E0">
              <w:rPr>
                <w:b/>
                <w:sz w:val="16"/>
                <w:szCs w:val="16"/>
              </w:rPr>
              <w:t>Efficacy</w:t>
            </w:r>
          </w:p>
          <w:p w:rsidRPr="00AE32E0" w:rsidR="00DD0500" w:rsidP="00FE4186" w:rsidRDefault="00DD0500" w14:paraId="35480F14" w14:textId="77777777">
            <w:pPr>
              <w:rPr>
                <w:sz w:val="16"/>
                <w:szCs w:val="16"/>
              </w:rPr>
            </w:pPr>
            <w:r w:rsidRPr="00AE32E0">
              <w:rPr>
                <w:sz w:val="16"/>
                <w:szCs w:val="16"/>
              </w:rPr>
              <w:t>Suxamethonium in combination with other drugs (analgesics and vagolytic agents) resulted in superior intubation conditions and a shorter procedure duration</w:t>
            </w:r>
            <w:r w:rsidRPr="00AE32E0">
              <w:rPr>
                <w:sz w:val="16"/>
                <w:szCs w:val="16"/>
                <w:vertAlign w:val="superscript"/>
              </w:rPr>
              <w:t>1-6</w:t>
            </w:r>
            <w:r w:rsidRPr="00AE32E0">
              <w:rPr>
                <w:sz w:val="16"/>
                <w:szCs w:val="16"/>
              </w:rPr>
              <w:t>. (Level II, Grade A)</w:t>
            </w:r>
          </w:p>
          <w:p w:rsidRPr="00AE32E0" w:rsidR="00DD0500" w:rsidP="00FE4186" w:rsidRDefault="00DD0500" w14:paraId="28774B82" w14:textId="77777777">
            <w:pPr>
              <w:rPr>
                <w:sz w:val="16"/>
                <w:szCs w:val="16"/>
              </w:rPr>
            </w:pPr>
            <w:r w:rsidRPr="00AE32E0">
              <w:rPr>
                <w:sz w:val="16"/>
                <w:szCs w:val="16"/>
              </w:rPr>
              <w:t>For laparoscopic pyloromyotomy in term infants using propofol, sevoflurane and no intraoperative opioid, succinylcholine may be the neuromuscular blocking drug of choice, provided no contraindication is present</w:t>
            </w:r>
            <w:r w:rsidRPr="00AE32E0">
              <w:rPr>
                <w:sz w:val="16"/>
                <w:szCs w:val="16"/>
                <w:vertAlign w:val="superscript"/>
              </w:rPr>
              <w:t>4</w:t>
            </w:r>
            <w:r w:rsidRPr="00AE32E0">
              <w:rPr>
                <w:sz w:val="16"/>
                <w:szCs w:val="16"/>
              </w:rPr>
              <w:t>. (Level III-3, Grade B)</w:t>
            </w:r>
          </w:p>
          <w:p w:rsidRPr="00AE32E0" w:rsidR="00DD0500" w:rsidP="00FE4186" w:rsidRDefault="00DD0500" w14:paraId="03987A85" w14:textId="77777777">
            <w:pPr>
              <w:rPr>
                <w:sz w:val="16"/>
                <w:szCs w:val="16"/>
              </w:rPr>
            </w:pPr>
          </w:p>
          <w:p w:rsidRPr="00AE32E0" w:rsidR="00DD0500" w:rsidP="00FE4186" w:rsidRDefault="00DD0500" w14:paraId="0BA0EDF4" w14:textId="77777777">
            <w:pPr>
              <w:rPr>
                <w:b/>
                <w:sz w:val="16"/>
                <w:szCs w:val="16"/>
              </w:rPr>
            </w:pPr>
            <w:r w:rsidRPr="00AE32E0">
              <w:rPr>
                <w:b/>
                <w:sz w:val="16"/>
                <w:szCs w:val="16"/>
              </w:rPr>
              <w:t>Safety</w:t>
            </w:r>
          </w:p>
          <w:p w:rsidRPr="00AE32E0" w:rsidR="00DD0500" w:rsidP="00FE4186" w:rsidRDefault="00DD0500" w14:paraId="37D54E82" w14:textId="77777777">
            <w:pPr>
              <w:rPr>
                <w:sz w:val="16"/>
                <w:szCs w:val="16"/>
              </w:rPr>
            </w:pPr>
            <w:r w:rsidRPr="00AE32E0">
              <w:rPr>
                <w:sz w:val="16"/>
                <w:szCs w:val="16"/>
              </w:rPr>
              <w:t>Suxamethonium has been very widely used, but has several rare side effects and causes an increase in blood pressure, simultaneously with depolarisation.</w:t>
            </w:r>
            <w:r w:rsidRPr="00AE32E0">
              <w:rPr>
                <w:sz w:val="16"/>
                <w:szCs w:val="16"/>
                <w:vertAlign w:val="superscript"/>
              </w:rPr>
              <w:t>1,2</w:t>
            </w:r>
            <w:r w:rsidRPr="00AE32E0">
              <w:rPr>
                <w:sz w:val="16"/>
                <w:szCs w:val="16"/>
              </w:rPr>
              <w:t xml:space="preserve"> (Level II Grade B)</w:t>
            </w:r>
          </w:p>
          <w:p w:rsidRPr="00AE32E0" w:rsidR="00DD0500" w:rsidP="00FE4186" w:rsidRDefault="00DD0500" w14:paraId="0D3192CB" w14:textId="77777777">
            <w:pPr>
              <w:rPr>
                <w:sz w:val="16"/>
                <w:szCs w:val="16"/>
              </w:rPr>
            </w:pPr>
            <w:r w:rsidRPr="00AE32E0">
              <w:rPr>
                <w:sz w:val="16"/>
                <w:szCs w:val="16"/>
              </w:rPr>
              <w:t xml:space="preserve">Hyperkalaemia may occur, but major elevations are uncommon. It may trigger malignant hyperkalaemia, a rare autosomal dominant disorder of skeletal muscles that remain asymptomatic unless triggering substances are </w:t>
            </w:r>
            <w:r w:rsidRPr="00AE32E0">
              <w:rPr>
                <w:sz w:val="16"/>
                <w:szCs w:val="16"/>
              </w:rPr>
              <w:lastRenderedPageBreak/>
              <w:t>given. It should not be used in infants with hyperkalaemia or family history of malignant hyperthermia.</w:t>
            </w:r>
            <w:r w:rsidRPr="00AE32E0">
              <w:rPr>
                <w:sz w:val="16"/>
                <w:szCs w:val="16"/>
                <w:vertAlign w:val="superscript"/>
              </w:rPr>
              <w:t>1</w:t>
            </w:r>
            <w:r w:rsidRPr="00AE32E0">
              <w:rPr>
                <w:sz w:val="16"/>
                <w:szCs w:val="16"/>
              </w:rPr>
              <w:t xml:space="preserve"> (Level IV Grade D)</w:t>
            </w:r>
          </w:p>
          <w:p w:rsidRPr="00AE32E0" w:rsidR="00DD0500" w:rsidP="00FE4186" w:rsidRDefault="00DD0500" w14:paraId="41D926C0" w14:textId="77777777">
            <w:pPr>
              <w:rPr>
                <w:sz w:val="16"/>
                <w:szCs w:val="16"/>
              </w:rPr>
            </w:pPr>
            <w:r w:rsidRPr="00AE32E0">
              <w:rPr>
                <w:sz w:val="16"/>
                <w:szCs w:val="16"/>
              </w:rPr>
              <w:t>It can cause prolonged neuromuscular blockade requiring ventilation  until spontaneous resolution occurs in infants with pseudocholinesterase deficiency.</w:t>
            </w:r>
            <w:r w:rsidRPr="00AE32E0">
              <w:rPr>
                <w:sz w:val="16"/>
                <w:szCs w:val="16"/>
                <w:vertAlign w:val="superscript"/>
              </w:rPr>
              <w:t>7</w:t>
            </w:r>
            <w:r w:rsidRPr="00AE32E0">
              <w:rPr>
                <w:sz w:val="16"/>
                <w:szCs w:val="16"/>
              </w:rPr>
              <w:t xml:space="preserve"> (Level IV Grade D)</w:t>
            </w:r>
          </w:p>
          <w:p w:rsidRPr="00AE32E0" w:rsidR="00DD0500" w:rsidP="00FE4186" w:rsidRDefault="00DD0500" w14:paraId="42B065A6" w14:textId="77777777">
            <w:pPr>
              <w:rPr>
                <w:sz w:val="16"/>
                <w:szCs w:val="16"/>
              </w:rPr>
            </w:pPr>
          </w:p>
          <w:p w:rsidRPr="00AE32E0" w:rsidR="00DD0500" w:rsidP="00FE4186" w:rsidRDefault="00DD0500" w14:paraId="0438593D" w14:textId="77777777">
            <w:pPr>
              <w:rPr>
                <w:b/>
                <w:sz w:val="16"/>
                <w:szCs w:val="16"/>
              </w:rPr>
            </w:pPr>
            <w:r w:rsidRPr="00AE32E0">
              <w:rPr>
                <w:b/>
                <w:sz w:val="16"/>
                <w:szCs w:val="16"/>
              </w:rPr>
              <w:t>Pharmacokinetics</w:t>
            </w:r>
          </w:p>
          <w:p w:rsidRPr="00AE32E0" w:rsidR="00DD0500" w:rsidP="00FE4186" w:rsidRDefault="00DD0500" w14:paraId="00C43B07" w14:textId="77777777">
            <w:pPr>
              <w:rPr>
                <w:sz w:val="16"/>
                <w:szCs w:val="16"/>
              </w:rPr>
            </w:pPr>
            <w:r w:rsidRPr="00AE32E0">
              <w:rPr>
                <w:sz w:val="16"/>
                <w:szCs w:val="16"/>
              </w:rPr>
              <w:t>Suxamethonium has a rapid onset of action (30 seconds) and a short duration of action (3 to 6 minutes) with IV administration. The increased dose (2–3 mg/kg vs. 1 mg/kg in adults) requirement of succinylcholine in younger patients is thought to be due to its rapid distribution into an enlarged volume of extracellular fluid rather than an altered response to the action of the drug at neuromuscular junction nicotinic acetylcholine receptors.</w:t>
            </w:r>
            <w:r w:rsidRPr="00AE32E0">
              <w:rPr>
                <w:sz w:val="16"/>
                <w:szCs w:val="16"/>
                <w:vertAlign w:val="superscript"/>
              </w:rPr>
              <w:t>8</w:t>
            </w:r>
            <w:r w:rsidRPr="00AE32E0">
              <w:rPr>
                <w:sz w:val="16"/>
                <w:szCs w:val="16"/>
              </w:rPr>
              <w:t xml:space="preserve"> (Level III Grade C)</w:t>
            </w:r>
          </w:p>
        </w:tc>
      </w:tr>
      <w:tr w:rsidRPr="00344000" w:rsidR="00DD0500" w:rsidTr="00FE4186" w14:paraId="46077FAB" w14:textId="77777777">
        <w:trPr>
          <w:trHeight w:val="265"/>
        </w:trPr>
        <w:tc>
          <w:tcPr>
            <w:tcW w:w="967" w:type="pct"/>
          </w:tcPr>
          <w:p w:rsidRPr="00344000" w:rsidR="00DD0500" w:rsidP="00FE4186" w:rsidRDefault="00DD0500" w14:paraId="763C5ADC" w14:textId="77777777">
            <w:pPr>
              <w:pStyle w:val="BodyText"/>
              <w:rPr>
                <w:rFonts w:cs="Calibri"/>
                <w:b/>
                <w:bCs/>
                <w:sz w:val="20"/>
              </w:rPr>
            </w:pPr>
            <w:r>
              <w:rPr>
                <w:rFonts w:cs="Calibri"/>
                <w:b/>
                <w:bCs/>
                <w:sz w:val="20"/>
              </w:rPr>
              <w:lastRenderedPageBreak/>
              <w:t>Practice points</w:t>
            </w:r>
          </w:p>
        </w:tc>
        <w:tc>
          <w:tcPr>
            <w:tcW w:w="4033" w:type="pct"/>
          </w:tcPr>
          <w:p w:rsidRPr="00AE32E0" w:rsidR="00DD0500" w:rsidP="00FE4186" w:rsidRDefault="00DD0500" w14:paraId="0476A538" w14:textId="77777777">
            <w:pPr>
              <w:rPr>
                <w:sz w:val="16"/>
                <w:szCs w:val="16"/>
              </w:rPr>
            </w:pPr>
            <w:r w:rsidRPr="00AE32E0">
              <w:rPr>
                <w:sz w:val="16"/>
                <w:szCs w:val="16"/>
              </w:rPr>
              <w:t>Suxamethonium in combination with other drugs (analgesics and vagolytic agents) resulted in superior intubation conditions and a shorter procedure duration.</w:t>
            </w:r>
            <w:r w:rsidRPr="00AE32E0">
              <w:rPr>
                <w:sz w:val="16"/>
                <w:szCs w:val="16"/>
                <w:vertAlign w:val="superscript"/>
              </w:rPr>
              <w:t>1-6</w:t>
            </w:r>
            <w:r w:rsidRPr="00AE32E0">
              <w:rPr>
                <w:sz w:val="16"/>
                <w:szCs w:val="16"/>
              </w:rPr>
              <w:t>(Level II, Grade A)</w:t>
            </w:r>
          </w:p>
          <w:p w:rsidRPr="00AE32E0" w:rsidR="00DD0500" w:rsidP="00FE4186" w:rsidRDefault="00DD0500" w14:paraId="56AD00E0" w14:textId="77777777">
            <w:pPr>
              <w:rPr>
                <w:sz w:val="16"/>
                <w:szCs w:val="16"/>
              </w:rPr>
            </w:pPr>
            <w:r w:rsidRPr="00AE32E0">
              <w:rPr>
                <w:sz w:val="16"/>
                <w:szCs w:val="16"/>
              </w:rPr>
              <w:t>Chloride anhydrous salt equates to 110mg in 2 mL of suxamethonium chloride which is 10% more suxamethonium than suxamethonium chloride dihydrate salt.</w:t>
            </w:r>
          </w:p>
        </w:tc>
      </w:tr>
      <w:tr w:rsidRPr="00344000" w:rsidR="00DD0500" w:rsidTr="00FE4186" w14:paraId="6CFE120D" w14:textId="77777777">
        <w:trPr>
          <w:trHeight w:val="283"/>
        </w:trPr>
        <w:tc>
          <w:tcPr>
            <w:tcW w:w="967" w:type="pct"/>
          </w:tcPr>
          <w:p w:rsidRPr="00344000" w:rsidR="00DD0500" w:rsidP="00FE4186" w:rsidRDefault="00DD0500" w14:paraId="28B9AB59" w14:textId="77777777">
            <w:pPr>
              <w:pStyle w:val="BodyText"/>
              <w:rPr>
                <w:rFonts w:cs="Calibri"/>
                <w:b/>
                <w:bCs/>
                <w:sz w:val="20"/>
              </w:rPr>
            </w:pPr>
            <w:r w:rsidRPr="00344000">
              <w:rPr>
                <w:rFonts w:cs="Calibri"/>
                <w:b/>
                <w:sz w:val="20"/>
              </w:rPr>
              <w:t>References</w:t>
            </w:r>
          </w:p>
        </w:tc>
        <w:tc>
          <w:tcPr>
            <w:tcW w:w="4033" w:type="pct"/>
          </w:tcPr>
          <w:p w:rsidRPr="00AE32E0" w:rsidR="00DD0500" w:rsidP="001B0E05" w:rsidRDefault="00DD0500" w14:paraId="75EF4235" w14:textId="77777777">
            <w:pPr>
              <w:pStyle w:val="BodyText"/>
              <w:numPr>
                <w:ilvl w:val="0"/>
                <w:numId w:val="74"/>
              </w:numPr>
              <w:overflowPunct w:val="0"/>
              <w:autoSpaceDE w:val="0"/>
              <w:autoSpaceDN w:val="0"/>
              <w:adjustRightInd w:val="0"/>
              <w:jc w:val="left"/>
              <w:textAlignment w:val="baseline"/>
              <w:rPr>
                <w:noProof/>
                <w:sz w:val="16"/>
                <w:szCs w:val="16"/>
                <w:lang w:val="en-US"/>
              </w:rPr>
            </w:pPr>
            <w:r w:rsidRPr="00AE32E0">
              <w:rPr>
                <w:noProof/>
                <w:sz w:val="16"/>
                <w:szCs w:val="16"/>
                <w:lang w:val="en-US"/>
              </w:rPr>
              <w:t>Barrington K. Premedication for endotracheal intubation in the newborn infant. Paediatrics &amp; child health 2011;16(3):159-171.</w:t>
            </w:r>
          </w:p>
          <w:p w:rsidRPr="00AE32E0" w:rsidR="00DD0500" w:rsidP="001B0E05" w:rsidRDefault="00DD0500" w14:paraId="76CBD307" w14:textId="77777777">
            <w:pPr>
              <w:pStyle w:val="BodyText"/>
              <w:numPr>
                <w:ilvl w:val="0"/>
                <w:numId w:val="74"/>
              </w:numPr>
              <w:overflowPunct w:val="0"/>
              <w:autoSpaceDE w:val="0"/>
              <w:autoSpaceDN w:val="0"/>
              <w:adjustRightInd w:val="0"/>
              <w:jc w:val="left"/>
              <w:textAlignment w:val="baseline"/>
              <w:rPr>
                <w:noProof/>
                <w:sz w:val="16"/>
                <w:szCs w:val="16"/>
                <w:lang w:val="en-US"/>
              </w:rPr>
            </w:pPr>
            <w:r w:rsidRPr="00AE32E0">
              <w:rPr>
                <w:noProof/>
                <w:sz w:val="16"/>
                <w:szCs w:val="16"/>
                <w:lang w:val="en-US"/>
              </w:rPr>
              <w:t>Barrington KJ, Finer NN, Etches PC. Succinylcholine and atropine for premedication of the newborn infant before nasotracheal intubation: a randomized, controlled trial. Critical care medicine 1989;17(12):1293-1296.</w:t>
            </w:r>
          </w:p>
          <w:p w:rsidRPr="00AE32E0" w:rsidR="00DD0500" w:rsidP="001B0E05" w:rsidRDefault="00DD0500" w14:paraId="046BA36A" w14:textId="77777777">
            <w:pPr>
              <w:pStyle w:val="BodyText"/>
              <w:numPr>
                <w:ilvl w:val="0"/>
                <w:numId w:val="74"/>
              </w:numPr>
              <w:overflowPunct w:val="0"/>
              <w:autoSpaceDE w:val="0"/>
              <w:autoSpaceDN w:val="0"/>
              <w:adjustRightInd w:val="0"/>
              <w:jc w:val="left"/>
              <w:textAlignment w:val="baseline"/>
              <w:rPr>
                <w:noProof/>
                <w:sz w:val="16"/>
                <w:szCs w:val="16"/>
                <w:lang w:val="en-US"/>
              </w:rPr>
            </w:pPr>
            <w:r w:rsidRPr="00AE32E0">
              <w:rPr>
                <w:noProof/>
                <w:sz w:val="16"/>
                <w:szCs w:val="16"/>
                <w:lang w:val="en-US"/>
              </w:rPr>
              <w:t xml:space="preserve">Ghanta S, Abdel-Latif ME, Lui K, Ravindranathan H, Awad J, Oei J. Propofol compared with the morphine, atropine, and suxamethonium regimen as induction agents for neonatal endotracheal intubation: a randomized, controlled trial. Pediatrics 2007;119(6):e1248-1255. </w:t>
            </w:r>
          </w:p>
          <w:p w:rsidRPr="00AE32E0" w:rsidR="00DD0500" w:rsidP="001B0E05" w:rsidRDefault="00DD0500" w14:paraId="3068D454" w14:textId="77777777">
            <w:pPr>
              <w:pStyle w:val="BodyText"/>
              <w:numPr>
                <w:ilvl w:val="0"/>
                <w:numId w:val="74"/>
              </w:numPr>
              <w:overflowPunct w:val="0"/>
              <w:autoSpaceDE w:val="0"/>
              <w:autoSpaceDN w:val="0"/>
              <w:adjustRightInd w:val="0"/>
              <w:jc w:val="left"/>
              <w:textAlignment w:val="baseline"/>
              <w:rPr>
                <w:noProof/>
                <w:sz w:val="16"/>
                <w:szCs w:val="16"/>
                <w:lang w:val="en-US"/>
              </w:rPr>
            </w:pPr>
            <w:r w:rsidRPr="00AE32E0">
              <w:rPr>
                <w:noProof/>
                <w:sz w:val="16"/>
                <w:szCs w:val="16"/>
                <w:lang w:val="en-US"/>
              </w:rPr>
              <w:t xml:space="preserve">Ghazal E, Amin A, Wu A, Felema B, Applegate RL, 2nd. Impact of rocuronium vs succinylcholine neuromuscular blocking drug choice for laparoscopic pyloromyotomy: is there a difference in time to transport to recovery? Paediatr Anaesth 2013;23(4):316-321. </w:t>
            </w:r>
          </w:p>
          <w:p w:rsidRPr="00AE32E0" w:rsidR="00DD0500" w:rsidP="001B0E05" w:rsidRDefault="00DD0500" w14:paraId="40A6648C" w14:textId="77777777">
            <w:pPr>
              <w:pStyle w:val="BodyText"/>
              <w:numPr>
                <w:ilvl w:val="0"/>
                <w:numId w:val="74"/>
              </w:numPr>
              <w:overflowPunct w:val="0"/>
              <w:autoSpaceDE w:val="0"/>
              <w:autoSpaceDN w:val="0"/>
              <w:adjustRightInd w:val="0"/>
              <w:jc w:val="left"/>
              <w:textAlignment w:val="baseline"/>
              <w:rPr>
                <w:noProof/>
                <w:sz w:val="16"/>
                <w:szCs w:val="16"/>
                <w:lang w:val="en-US"/>
              </w:rPr>
            </w:pPr>
            <w:r w:rsidRPr="00AE32E0">
              <w:rPr>
                <w:noProof/>
                <w:sz w:val="16"/>
                <w:szCs w:val="16"/>
                <w:lang w:val="en-US"/>
              </w:rPr>
              <w:t xml:space="preserve">Norman E, Wikstrom S, Hellstrom-Westas L, Turpeinen U, Hamalainen E, Fellman V. Rapid sequence induction is superior to morphine for intubation of preterm infants: a randomized controlled trial. The Journal of pediatrics 2011;159(6):893-899 e891. </w:t>
            </w:r>
          </w:p>
          <w:p w:rsidRPr="00AE32E0" w:rsidR="00DD0500" w:rsidP="001B0E05" w:rsidRDefault="00DD0500" w14:paraId="4A6C1405" w14:textId="77777777">
            <w:pPr>
              <w:pStyle w:val="BodyText"/>
              <w:numPr>
                <w:ilvl w:val="0"/>
                <w:numId w:val="74"/>
              </w:numPr>
              <w:overflowPunct w:val="0"/>
              <w:autoSpaceDE w:val="0"/>
              <w:autoSpaceDN w:val="0"/>
              <w:adjustRightInd w:val="0"/>
              <w:jc w:val="left"/>
              <w:textAlignment w:val="baseline"/>
              <w:rPr>
                <w:noProof/>
                <w:sz w:val="16"/>
                <w:szCs w:val="16"/>
                <w:lang w:val="en-US"/>
              </w:rPr>
            </w:pPr>
            <w:r w:rsidRPr="00AE32E0">
              <w:rPr>
                <w:noProof/>
                <w:sz w:val="16"/>
                <w:szCs w:val="16"/>
                <w:lang w:val="en-US"/>
              </w:rPr>
              <w:t>Oei J, Hari R, Butha T, Lui K. Facilitation of neonatal nasotracheal intubation with premedication: a randomized controlled trial. Journal of paediatrics and child health 2002;38(2):146-150.</w:t>
            </w:r>
          </w:p>
          <w:p w:rsidRPr="00AE32E0" w:rsidR="00DD0500" w:rsidP="001B0E05" w:rsidRDefault="00DD0500" w14:paraId="2F48D065" w14:textId="77777777">
            <w:pPr>
              <w:pStyle w:val="BodyText"/>
              <w:numPr>
                <w:ilvl w:val="0"/>
                <w:numId w:val="74"/>
              </w:numPr>
              <w:overflowPunct w:val="0"/>
              <w:autoSpaceDE w:val="0"/>
              <w:autoSpaceDN w:val="0"/>
              <w:adjustRightInd w:val="0"/>
              <w:jc w:val="left"/>
              <w:textAlignment w:val="baseline"/>
              <w:rPr>
                <w:rFonts w:asciiTheme="minorHAnsi" w:hAnsiTheme="minorHAnsi"/>
                <w:sz w:val="16"/>
                <w:szCs w:val="16"/>
              </w:rPr>
            </w:pPr>
            <w:r w:rsidRPr="00AE32E0">
              <w:rPr>
                <w:noProof/>
                <w:sz w:val="16"/>
                <w:szCs w:val="16"/>
                <w:lang w:val="en-US"/>
              </w:rPr>
              <w:t>Ho VW, Osiovich H. A case of pseudocholinesterase deficiency in the neonate. American journal of perinatology. 1999;16(7):351-353.</w:t>
            </w:r>
          </w:p>
          <w:p w:rsidRPr="00AE32E0" w:rsidR="00DD0500" w:rsidP="001B0E05" w:rsidRDefault="00DD0500" w14:paraId="176F7E99" w14:textId="77777777">
            <w:pPr>
              <w:pStyle w:val="BodyText"/>
              <w:numPr>
                <w:ilvl w:val="0"/>
                <w:numId w:val="74"/>
              </w:numPr>
              <w:overflowPunct w:val="0"/>
              <w:autoSpaceDE w:val="0"/>
              <w:autoSpaceDN w:val="0"/>
              <w:adjustRightInd w:val="0"/>
              <w:jc w:val="left"/>
              <w:textAlignment w:val="baseline"/>
              <w:rPr>
                <w:rFonts w:asciiTheme="minorHAnsi" w:hAnsiTheme="minorHAnsi"/>
                <w:sz w:val="16"/>
                <w:szCs w:val="16"/>
              </w:rPr>
            </w:pPr>
            <w:r w:rsidRPr="00AE32E0">
              <w:rPr>
                <w:noProof/>
                <w:sz w:val="16"/>
                <w:szCs w:val="16"/>
                <w:lang w:val="en-US"/>
              </w:rPr>
              <w:t>Meakin G, McKiernan EP, Morris P, Baker RD. Dose-response curves for suxamethonium in neonates, infants and children. British journal of anaesthesia 1989;62(6):655-658.</w:t>
            </w:r>
          </w:p>
          <w:p w:rsidRPr="00AE32E0" w:rsidR="00DD0500" w:rsidP="001B0E05" w:rsidRDefault="00DD0500" w14:paraId="2B586722" w14:textId="77777777">
            <w:pPr>
              <w:pStyle w:val="BodyText"/>
              <w:numPr>
                <w:ilvl w:val="0"/>
                <w:numId w:val="74"/>
              </w:numPr>
              <w:overflowPunct w:val="0"/>
              <w:autoSpaceDE w:val="0"/>
              <w:autoSpaceDN w:val="0"/>
              <w:adjustRightInd w:val="0"/>
              <w:jc w:val="left"/>
              <w:textAlignment w:val="baseline"/>
              <w:rPr>
                <w:rFonts w:asciiTheme="minorHAnsi" w:hAnsiTheme="minorHAnsi"/>
                <w:sz w:val="16"/>
                <w:szCs w:val="16"/>
              </w:rPr>
            </w:pPr>
            <w:r w:rsidRPr="00AE32E0">
              <w:rPr>
                <w:noProof/>
                <w:sz w:val="16"/>
                <w:szCs w:val="16"/>
                <w:lang w:val="en-US"/>
              </w:rPr>
              <w:t xml:space="preserve">Micromedex. Accessed on 8 December 2016.  </w:t>
            </w:r>
          </w:p>
          <w:p w:rsidRPr="00AE32E0" w:rsidR="00DD0500" w:rsidP="001B0E05" w:rsidRDefault="00DD0500" w14:paraId="79795BFD" w14:textId="77777777">
            <w:pPr>
              <w:pStyle w:val="BodyText"/>
              <w:numPr>
                <w:ilvl w:val="0"/>
                <w:numId w:val="74"/>
              </w:numPr>
              <w:overflowPunct w:val="0"/>
              <w:autoSpaceDE w:val="0"/>
              <w:autoSpaceDN w:val="0"/>
              <w:adjustRightInd w:val="0"/>
              <w:jc w:val="left"/>
              <w:textAlignment w:val="baseline"/>
              <w:rPr>
                <w:rFonts w:asciiTheme="minorHAnsi" w:hAnsiTheme="minorHAnsi"/>
                <w:sz w:val="16"/>
                <w:szCs w:val="16"/>
              </w:rPr>
            </w:pPr>
            <w:r w:rsidRPr="00AE32E0">
              <w:rPr>
                <w:rFonts w:asciiTheme="minorHAnsi" w:hAnsiTheme="minorHAnsi"/>
                <w:sz w:val="16"/>
                <w:szCs w:val="16"/>
              </w:rPr>
              <w:t xml:space="preserve">Australian Injectable Drugs Handbook 8th Ed accessed on www.aidh.hcn.com.au on 28th May 2020. </w:t>
            </w:r>
          </w:p>
          <w:p w:rsidRPr="00AE32E0" w:rsidR="00DD0500" w:rsidP="001B0E05" w:rsidRDefault="00DD0500" w14:paraId="3FCAF48B" w14:textId="77777777">
            <w:pPr>
              <w:pStyle w:val="BodyText"/>
              <w:numPr>
                <w:ilvl w:val="0"/>
                <w:numId w:val="74"/>
              </w:numPr>
              <w:overflowPunct w:val="0"/>
              <w:autoSpaceDE w:val="0"/>
              <w:autoSpaceDN w:val="0"/>
              <w:adjustRightInd w:val="0"/>
              <w:jc w:val="left"/>
              <w:textAlignment w:val="baseline"/>
              <w:rPr>
                <w:rFonts w:asciiTheme="minorHAnsi" w:hAnsiTheme="minorHAnsi"/>
                <w:sz w:val="16"/>
                <w:szCs w:val="16"/>
              </w:rPr>
            </w:pPr>
            <w:r w:rsidRPr="00AE32E0">
              <w:rPr>
                <w:rFonts w:asciiTheme="minorHAnsi" w:hAnsiTheme="minorHAnsi"/>
                <w:sz w:val="16"/>
                <w:szCs w:val="16"/>
              </w:rPr>
              <w:t>Suxamethonium Chloride 50mg/mL Solution for Injection Product Information. Revised 2018. MercuryPharma</w:t>
            </w:r>
          </w:p>
          <w:p w:rsidRPr="00AE32E0" w:rsidR="00DD0500" w:rsidP="001B0E05" w:rsidRDefault="00DD0500" w14:paraId="6814473E" w14:textId="77777777">
            <w:pPr>
              <w:pStyle w:val="BodyText"/>
              <w:numPr>
                <w:ilvl w:val="0"/>
                <w:numId w:val="74"/>
              </w:numPr>
              <w:overflowPunct w:val="0"/>
              <w:autoSpaceDE w:val="0"/>
              <w:autoSpaceDN w:val="0"/>
              <w:adjustRightInd w:val="0"/>
              <w:jc w:val="left"/>
              <w:textAlignment w:val="baseline"/>
              <w:rPr>
                <w:rFonts w:asciiTheme="minorHAnsi" w:hAnsiTheme="minorHAnsi"/>
                <w:sz w:val="16"/>
                <w:szCs w:val="16"/>
              </w:rPr>
            </w:pPr>
            <w:r w:rsidRPr="00AE32E0">
              <w:rPr>
                <w:rFonts w:asciiTheme="minorHAnsi" w:hAnsiTheme="minorHAnsi"/>
                <w:sz w:val="16"/>
                <w:szCs w:val="16"/>
              </w:rPr>
              <w:t xml:space="preserve">Succinolin Product Information 2015 accessed via </w:t>
            </w:r>
            <w:hyperlink w:history="1" r:id="rId80">
              <w:r w:rsidRPr="00AE32E0">
                <w:rPr>
                  <w:rStyle w:val="Hyperlink"/>
                  <w:rFonts w:asciiTheme="minorHAnsi" w:hAnsiTheme="minorHAnsi"/>
                  <w:sz w:val="16"/>
                  <w:szCs w:val="16"/>
                </w:rPr>
                <w:t>https://www.hps.com.au/wp-content/uploads/2015/05/SUX100-Succinolin-Suxamethonium-Injection-%E2%80%93-Product-Information.pdf</w:t>
              </w:r>
            </w:hyperlink>
            <w:r w:rsidRPr="00AE32E0">
              <w:rPr>
                <w:rFonts w:asciiTheme="minorHAnsi" w:hAnsiTheme="minorHAnsi"/>
                <w:sz w:val="16"/>
                <w:szCs w:val="16"/>
              </w:rPr>
              <w:fldChar w:fldCharType="begin"/>
            </w:r>
            <w:r w:rsidRPr="00AE32E0">
              <w:rPr>
                <w:rFonts w:asciiTheme="minorHAnsi" w:hAnsiTheme="minorHAnsi"/>
                <w:sz w:val="16"/>
                <w:szCs w:val="16"/>
              </w:rPr>
              <w:instrText xml:space="preserve"> ADDIN EN.REFLIST </w:instrText>
            </w:r>
            <w:r w:rsidRPr="00AE32E0">
              <w:rPr>
                <w:rFonts w:asciiTheme="minorHAnsi" w:hAnsiTheme="minorHAnsi"/>
                <w:sz w:val="16"/>
                <w:szCs w:val="16"/>
              </w:rPr>
              <w:fldChar w:fldCharType="end"/>
            </w:r>
          </w:p>
        </w:tc>
      </w:tr>
    </w:tbl>
    <w:p w:rsidR="003B73BB" w:rsidP="003B73BB" w:rsidRDefault="003B73BB" w14:paraId="2BEFFEC1" w14:textId="77777777">
      <w:pPr>
        <w:rPr>
          <w:rFonts w:cs="Calibri"/>
          <w:b/>
          <w:bCs/>
          <w:sz w:val="20"/>
        </w:rPr>
      </w:pPr>
    </w:p>
    <w:p w:rsidR="004B5570" w:rsidP="003B73BB" w:rsidRDefault="004B5570" w14:paraId="192A89AF" w14:textId="77777777">
      <w:pPr>
        <w:rPr>
          <w:rFonts w:cs="Calibri"/>
          <w:b/>
          <w:bCs/>
          <w:sz w:val="20"/>
        </w:rPr>
      </w:pPr>
    </w:p>
    <w:tbl>
      <w:tblPr>
        <w:tblW w:w="8925" w:type="dxa"/>
        <w:tblInd w:w="-34" w:type="dxa"/>
        <w:tblCellMar>
          <w:left w:w="0" w:type="dxa"/>
          <w:right w:w="0" w:type="dxa"/>
        </w:tblCellMar>
        <w:tblLook w:val="04A0" w:firstRow="1" w:lastRow="0" w:firstColumn="1" w:lastColumn="0" w:noHBand="0" w:noVBand="1"/>
      </w:tblPr>
      <w:tblGrid>
        <w:gridCol w:w="4108"/>
        <w:gridCol w:w="4817"/>
      </w:tblGrid>
      <w:tr w:rsidR="004B5570" w:rsidTr="00E525C7" w14:paraId="150AA047" w14:textId="77777777">
        <w:tc>
          <w:tcPr>
            <w:tcW w:w="4111"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25212022" w14:textId="50A3AA55">
            <w:pPr>
              <w:spacing w:line="252" w:lineRule="auto"/>
              <w:rPr>
                <w:sz w:val="22"/>
                <w:lang w:val="en-AU"/>
              </w:rPr>
            </w:pPr>
            <w:r>
              <w:t>Original version Date: 12/12/2016</w:t>
            </w:r>
          </w:p>
        </w:tc>
        <w:tc>
          <w:tcPr>
            <w:tcW w:w="48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02DA8AC7" w14:textId="77777777">
            <w:pPr>
              <w:spacing w:line="252" w:lineRule="auto"/>
            </w:pPr>
            <w:r>
              <w:t>Author: NeoMed Consensus Group</w:t>
            </w:r>
          </w:p>
        </w:tc>
      </w:tr>
      <w:tr w:rsidR="004B5570" w:rsidTr="00E525C7" w14:paraId="4F768E78"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53B38F2C" w14:textId="3B165861">
            <w:pPr>
              <w:spacing w:line="252" w:lineRule="auto"/>
            </w:pPr>
            <w:r>
              <w:t>Current Version number: 2</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2A88717D" w14:textId="3753B0BA">
            <w:pPr>
              <w:spacing w:line="252" w:lineRule="auto"/>
            </w:pPr>
            <w:r>
              <w:t xml:space="preserve">Current Version Date:  </w:t>
            </w:r>
            <w:r>
              <w:rPr>
                <w:rFonts w:cs="Calibri"/>
                <w:sz w:val="20"/>
              </w:rPr>
              <w:t>15/06/2020</w:t>
            </w:r>
          </w:p>
        </w:tc>
      </w:tr>
      <w:tr w:rsidR="004B5570" w:rsidTr="00E525C7" w14:paraId="664DB151" w14:textId="77777777">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12446511" w14:textId="36F7BA8E">
            <w:pPr>
              <w:spacing w:line="252" w:lineRule="auto"/>
            </w:pPr>
            <w:r>
              <w:t xml:space="preserve">Risk Rating: </w:t>
            </w:r>
            <w:r w:rsidR="0051114A">
              <w:t>Low</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64E5FDFD" w14:textId="5D1AB6CF">
            <w:pPr>
              <w:spacing w:line="252" w:lineRule="auto"/>
            </w:pPr>
            <w:r>
              <w:t xml:space="preserve">Due for Review:  </w:t>
            </w:r>
            <w:r w:rsidR="00B075DD">
              <w:t>15/6/2025</w:t>
            </w:r>
          </w:p>
        </w:tc>
      </w:tr>
      <w:tr w:rsidR="004B5570" w:rsidTr="00E525C7" w14:paraId="3016B7B8" w14:textId="77777777">
        <w:trPr>
          <w:trHeight w:val="344"/>
        </w:trPr>
        <w:tc>
          <w:tcPr>
            <w:tcW w:w="4111"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4D986B88" w14:textId="77777777">
            <w:pPr>
              <w:spacing w:line="252" w:lineRule="auto"/>
            </w:pPr>
            <w:r>
              <w:t>Approved by: DTC</w:t>
            </w:r>
          </w:p>
        </w:tc>
        <w:tc>
          <w:tcPr>
            <w:tcW w:w="482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004B5570" w:rsidP="00E525C7" w:rsidRDefault="004B5570" w14:paraId="6B622AF4" w14:textId="065618F7">
            <w:pPr>
              <w:spacing w:line="252" w:lineRule="auto"/>
            </w:pPr>
            <w:r>
              <w:t xml:space="preserve">Approval Date: </w:t>
            </w:r>
            <w:r w:rsidR="00260BC8">
              <w:t>APRIL 2021</w:t>
            </w:r>
          </w:p>
        </w:tc>
      </w:tr>
    </w:tbl>
    <w:p w:rsidR="004B5570" w:rsidP="003B73BB" w:rsidRDefault="004B5570" w14:paraId="22978F9E" w14:textId="77777777">
      <w:pPr>
        <w:rPr>
          <w:rFonts w:cs="Calibri"/>
          <w:b/>
          <w:bCs/>
          <w:sz w:val="20"/>
        </w:rPr>
      </w:pPr>
    </w:p>
    <w:p w:rsidRPr="00344000" w:rsidR="004B5570" w:rsidP="003B73BB" w:rsidRDefault="004B5570" w14:paraId="1EA46E1D" w14:textId="77777777">
      <w:pPr>
        <w:rPr>
          <w:rFonts w:cs="Calibri"/>
          <w:b/>
          <w:bCs/>
          <w:sz w:val="20"/>
        </w:rPr>
      </w:pPr>
    </w:p>
    <w:p w:rsidRPr="00471C54" w:rsidR="003B73BB" w:rsidP="003B73BB" w:rsidRDefault="003B73BB" w14:paraId="0F3F211F" w14:textId="77777777">
      <w:pPr>
        <w:rPr>
          <w:rFonts w:cs="Calibri"/>
          <w:sz w:val="20"/>
        </w:rPr>
      </w:pPr>
    </w:p>
    <w:p w:rsidRPr="00E25790" w:rsidR="00115F48" w:rsidP="006F0321" w:rsidRDefault="00115F48" w14:paraId="5C09BBBB" w14:textId="77777777"/>
    <w:p w:rsidRPr="00E25790" w:rsidR="00127DC6" w:rsidP="006F0321" w:rsidRDefault="00127DC6" w14:paraId="7C73E2DA" w14:textId="77777777"/>
    <w:p w:rsidR="00943338" w:rsidRDefault="00943338" w14:paraId="04D2B0F2" w14:textId="77777777">
      <w:bookmarkStart w:name="_Toc38106932" w:id="578"/>
      <w:r>
        <w:rPr>
          <w:b/>
        </w:rPr>
        <w:br w:type="page"/>
      </w:r>
    </w:p>
    <w:tbl>
      <w:tblPr>
        <w:tblW w:w="0" w:type="auto"/>
        <w:tblLook w:val="0000" w:firstRow="0" w:lastRow="0" w:firstColumn="0" w:lastColumn="0" w:noHBand="0" w:noVBand="0"/>
      </w:tblPr>
      <w:tblGrid>
        <w:gridCol w:w="4121"/>
        <w:gridCol w:w="4859"/>
      </w:tblGrid>
      <w:tr w:rsidR="04B29ADB" w:rsidTr="006B13A0" w14:paraId="7DBA4ACE" w14:textId="77777777">
        <w:trPr>
          <w:trHeight w:val="720"/>
        </w:trPr>
        <w:tc>
          <w:tcPr>
            <w:tcW w:w="8980" w:type="dxa"/>
            <w:gridSpan w:val="2"/>
            <w:tcBorders>
              <w:top w:val="double" w:color="auto" w:sz="6" w:space="0"/>
              <w:left w:val="double" w:color="auto" w:sz="6" w:space="0"/>
              <w:bottom w:val="double" w:color="auto" w:sz="6" w:space="0"/>
              <w:right w:val="double" w:color="auto" w:sz="6" w:space="0"/>
            </w:tcBorders>
            <w:shd w:val="clear" w:color="auto" w:fill="FFFF00"/>
          </w:tcPr>
          <w:p w:rsidR="19FEE8D7" w:rsidP="04B29ADB" w:rsidRDefault="19FEE8D7" w14:paraId="5BDF04BD" w14:textId="3341F85D">
            <w:pPr>
              <w:pStyle w:val="Heading1"/>
            </w:pPr>
            <w:bookmarkStart w:name="_Toc75340050" w:id="579"/>
            <w:bookmarkEnd w:id="578"/>
            <w:r>
              <w:lastRenderedPageBreak/>
              <w:t>Levothyroxine (Thyroxine) Oral</w:t>
            </w:r>
            <w:bookmarkEnd w:id="579"/>
            <w:r>
              <w:fldChar w:fldCharType="begin"/>
            </w:r>
            <w:r>
              <w:instrText>tc "Suxamethonium_Chloride_(Scoline)" \l 0</w:instrText>
            </w:r>
            <w:r>
              <w:fldChar w:fldCharType="end"/>
            </w:r>
          </w:p>
        </w:tc>
      </w:tr>
      <w:tr w:rsidR="04B29ADB" w:rsidTr="006B13A0" w14:paraId="243BE4CD" w14:textId="77777777">
        <w:trPr>
          <w:trHeight w:val="480"/>
        </w:trPr>
        <w:tc>
          <w:tcPr>
            <w:tcW w:w="4121" w:type="dxa"/>
            <w:tcBorders>
              <w:top w:val="double" w:color="auto" w:sz="6" w:space="0"/>
              <w:left w:val="double" w:color="auto" w:sz="6" w:space="0"/>
              <w:bottom w:val="double" w:color="auto" w:sz="6" w:space="0"/>
              <w:right w:val="single" w:color="auto" w:sz="6" w:space="0"/>
            </w:tcBorders>
            <w:shd w:val="clear" w:color="auto" w:fill="FFFF00"/>
          </w:tcPr>
          <w:p w:rsidR="04B29ADB" w:rsidP="04B29ADB" w:rsidRDefault="04B29ADB" w14:paraId="58EFC000" w14:textId="25B0E47D">
            <w:pPr>
              <w:rPr>
                <w:noProof/>
              </w:rPr>
            </w:pPr>
            <w:r>
              <w:t xml:space="preserve">Revision Date : </w:t>
            </w:r>
            <w:r w:rsidR="001525BF">
              <w:t>26-2-2021</w:t>
            </w:r>
          </w:p>
        </w:tc>
        <w:tc>
          <w:tcPr>
            <w:tcW w:w="4859" w:type="dxa"/>
            <w:tcBorders>
              <w:top w:val="double" w:color="auto" w:sz="6" w:space="0"/>
              <w:left w:val="single" w:color="auto" w:sz="6" w:space="0"/>
              <w:bottom w:val="double" w:color="auto" w:sz="6" w:space="0"/>
              <w:right w:val="double" w:color="auto" w:sz="6" w:space="0"/>
            </w:tcBorders>
            <w:shd w:val="clear" w:color="auto" w:fill="FFFF00"/>
          </w:tcPr>
          <w:p w:rsidR="04B29ADB" w:rsidRDefault="04B29ADB" w14:paraId="5EC4DA72" w14:textId="2E4022FA">
            <w:r>
              <w:t>Approved: TC</w:t>
            </w:r>
            <w:r w:rsidR="006B13A0">
              <w:t>, KOH</w:t>
            </w:r>
          </w:p>
        </w:tc>
      </w:tr>
    </w:tbl>
    <w:p w:rsidRPr="00E25790" w:rsidR="00115F48" w:rsidP="006F0321" w:rsidRDefault="00115F48" w14:paraId="2EA9DCE1" w14:textId="77777777"/>
    <w:tbl>
      <w:tblPr>
        <w:tblW w:w="5660" w:type="pct"/>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02"/>
        <w:gridCol w:w="8504"/>
      </w:tblGrid>
      <w:tr w:rsidRPr="001279F9" w:rsidR="001525BF" w:rsidTr="00FE4186" w14:paraId="7E9D4F19" w14:textId="77777777">
        <w:trPr>
          <w:trHeight w:val="235"/>
        </w:trPr>
        <w:tc>
          <w:tcPr>
            <w:tcW w:w="834" w:type="pct"/>
          </w:tcPr>
          <w:p w:rsidRPr="001279F9" w:rsidR="001525BF" w:rsidP="00FE4186" w:rsidRDefault="001525BF" w14:paraId="50CE9C52" w14:textId="77777777">
            <w:pPr>
              <w:pStyle w:val="BodyText"/>
              <w:tabs>
                <w:tab w:val="center" w:pos="1476"/>
              </w:tabs>
              <w:rPr>
                <w:rFonts w:cs="Arial" w:asciiTheme="minorHAnsi" w:hAnsiTheme="minorHAnsi"/>
                <w:b/>
                <w:sz w:val="20"/>
              </w:rPr>
            </w:pPr>
            <w:r w:rsidRPr="001279F9">
              <w:rPr>
                <w:rFonts w:cs="Arial" w:asciiTheme="minorHAnsi" w:hAnsiTheme="minorHAnsi"/>
                <w:b/>
                <w:sz w:val="20"/>
              </w:rPr>
              <w:t>Alert</w:t>
            </w:r>
            <w:r w:rsidRPr="001279F9">
              <w:rPr>
                <w:rFonts w:cs="Arial" w:asciiTheme="minorHAnsi" w:hAnsiTheme="minorHAnsi"/>
                <w:b/>
                <w:sz w:val="20"/>
              </w:rPr>
              <w:tab/>
            </w:r>
          </w:p>
        </w:tc>
        <w:tc>
          <w:tcPr>
            <w:tcW w:w="4166" w:type="pct"/>
          </w:tcPr>
          <w:p w:rsidR="001525BF" w:rsidP="00FE4186" w:rsidRDefault="001525BF" w14:paraId="214FD1A7" w14:textId="77777777">
            <w:pPr>
              <w:pStyle w:val="BodyText"/>
              <w:rPr>
                <w:rFonts w:cs="Arial" w:asciiTheme="minorHAnsi" w:hAnsiTheme="minorHAnsi"/>
                <w:sz w:val="20"/>
              </w:rPr>
            </w:pPr>
            <w:r>
              <w:rPr>
                <w:rFonts w:cs="Arial" w:asciiTheme="minorHAnsi" w:hAnsiTheme="minorHAnsi"/>
                <w:sz w:val="20"/>
              </w:rPr>
              <w:t>L</w:t>
            </w:r>
            <w:r w:rsidRPr="001E4588">
              <w:rPr>
                <w:rFonts w:cs="Arial" w:asciiTheme="minorHAnsi" w:hAnsiTheme="minorHAnsi"/>
                <w:sz w:val="20"/>
              </w:rPr>
              <w:t>evothyroxine sodium</w:t>
            </w:r>
            <w:r>
              <w:rPr>
                <w:rFonts w:cs="Arial" w:asciiTheme="minorHAnsi" w:hAnsiTheme="minorHAnsi"/>
                <w:sz w:val="20"/>
              </w:rPr>
              <w:t xml:space="preserve"> is the </w:t>
            </w:r>
            <w:r w:rsidRPr="001E4588">
              <w:rPr>
                <w:rFonts w:cs="Arial" w:asciiTheme="minorHAnsi" w:hAnsiTheme="minorHAnsi"/>
                <w:sz w:val="20"/>
              </w:rPr>
              <w:t xml:space="preserve">International Nonproprietary Name </w:t>
            </w:r>
            <w:r>
              <w:rPr>
                <w:rFonts w:cs="Arial" w:asciiTheme="minorHAnsi" w:hAnsiTheme="minorHAnsi"/>
                <w:sz w:val="20"/>
              </w:rPr>
              <w:t>for thyroxine sodium.</w:t>
            </w:r>
          </w:p>
          <w:p w:rsidR="001525BF" w:rsidP="00FE4186" w:rsidRDefault="001525BF" w14:paraId="0E2AC1AC" w14:textId="77777777">
            <w:pPr>
              <w:pStyle w:val="BodyText"/>
              <w:rPr>
                <w:rFonts w:cs="Arial" w:asciiTheme="minorHAnsi" w:hAnsiTheme="minorHAnsi"/>
                <w:sz w:val="20"/>
              </w:rPr>
            </w:pPr>
            <w:r>
              <w:rPr>
                <w:rFonts w:cs="Arial" w:asciiTheme="minorHAnsi" w:hAnsiTheme="minorHAnsi"/>
                <w:sz w:val="20"/>
              </w:rPr>
              <w:t xml:space="preserve">Three different brands are available: Eutroxsig, Oroxine and Eltroxin. </w:t>
            </w:r>
          </w:p>
          <w:p w:rsidRPr="00CA1D9F" w:rsidR="001525BF" w:rsidP="00FE4186" w:rsidRDefault="001525BF" w14:paraId="19549A56" w14:textId="77777777">
            <w:pPr>
              <w:pStyle w:val="BodyText"/>
              <w:rPr>
                <w:rFonts w:cs="Arial" w:asciiTheme="minorHAnsi" w:hAnsiTheme="minorHAnsi"/>
                <w:b/>
                <w:sz w:val="20"/>
              </w:rPr>
            </w:pPr>
            <w:r w:rsidRPr="00CA1D9F">
              <w:rPr>
                <w:rFonts w:cs="Arial" w:asciiTheme="minorHAnsi" w:hAnsiTheme="minorHAnsi"/>
                <w:b/>
                <w:sz w:val="20"/>
              </w:rPr>
              <w:t xml:space="preserve">Eltroxin is not bioequivalent on a same dose basis with Eutroxsig or Oroxine. </w:t>
            </w:r>
          </w:p>
          <w:p w:rsidRPr="001279F9" w:rsidR="001525BF" w:rsidP="00FE4186" w:rsidRDefault="001525BF" w14:paraId="5DB18738" w14:textId="77777777">
            <w:pPr>
              <w:pStyle w:val="BodyText"/>
              <w:rPr>
                <w:rFonts w:cs="Arial" w:asciiTheme="minorHAnsi" w:hAnsiTheme="minorHAnsi"/>
                <w:sz w:val="20"/>
              </w:rPr>
            </w:pPr>
            <w:r w:rsidRPr="002307FB">
              <w:rPr>
                <w:rFonts w:cs="Arial" w:asciiTheme="minorHAnsi" w:hAnsiTheme="minorHAnsi"/>
                <w:sz w:val="20"/>
              </w:rPr>
              <w:t>Prescribers should not to interchange Eltroxin and Eutroxsig or Oroxine unless a decision has been made to switch products and there is a plan for monitoring TSH levels and review of dose. The patient should be informed of the same</w:t>
            </w:r>
            <w:r>
              <w:rPr>
                <w:rFonts w:cs="Arial" w:asciiTheme="minorHAnsi" w:hAnsiTheme="minorHAnsi"/>
                <w:sz w:val="20"/>
              </w:rPr>
              <w:t>.</w:t>
            </w:r>
            <w:r w:rsidRPr="002307FB">
              <w:rPr>
                <w:rFonts w:cs="Arial" w:asciiTheme="minorHAnsi" w:hAnsiTheme="minorHAnsi"/>
                <w:sz w:val="20"/>
              </w:rPr>
              <w:t>[1, 2]</w:t>
            </w:r>
          </w:p>
        </w:tc>
      </w:tr>
      <w:tr w:rsidRPr="001279F9" w:rsidR="001525BF" w:rsidTr="00FE4186" w14:paraId="3AB9017C" w14:textId="77777777">
        <w:trPr>
          <w:trHeight w:val="70"/>
        </w:trPr>
        <w:tc>
          <w:tcPr>
            <w:tcW w:w="834" w:type="pct"/>
          </w:tcPr>
          <w:p w:rsidRPr="001279F9" w:rsidR="001525BF" w:rsidP="00FE4186" w:rsidRDefault="001525BF" w14:paraId="73F07787" w14:textId="77777777">
            <w:pPr>
              <w:pStyle w:val="BodyText"/>
              <w:rPr>
                <w:rFonts w:cs="Arial" w:asciiTheme="minorHAnsi" w:hAnsiTheme="minorHAnsi"/>
                <w:sz w:val="20"/>
              </w:rPr>
            </w:pPr>
            <w:r w:rsidRPr="001279F9">
              <w:rPr>
                <w:rFonts w:cs="Arial" w:asciiTheme="minorHAnsi" w:hAnsiTheme="minorHAnsi"/>
                <w:b/>
                <w:bCs/>
                <w:sz w:val="20"/>
              </w:rPr>
              <w:t xml:space="preserve">Indication </w:t>
            </w:r>
          </w:p>
        </w:tc>
        <w:tc>
          <w:tcPr>
            <w:tcW w:w="4166" w:type="pct"/>
          </w:tcPr>
          <w:p w:rsidRPr="001279F9" w:rsidR="001525BF" w:rsidP="00FE4186" w:rsidRDefault="001525BF" w14:paraId="6B266336" w14:textId="77777777">
            <w:pPr>
              <w:rPr>
                <w:rFonts w:cs="Arial" w:asciiTheme="minorHAnsi" w:hAnsiTheme="minorHAnsi"/>
                <w:sz w:val="20"/>
                <w:lang w:eastAsia="en-AU"/>
              </w:rPr>
            </w:pPr>
            <w:r w:rsidRPr="001279F9">
              <w:rPr>
                <w:rFonts w:cs="Arial" w:asciiTheme="minorHAnsi" w:hAnsiTheme="minorHAnsi"/>
                <w:sz w:val="20"/>
                <w:lang w:eastAsia="en-AU"/>
              </w:rPr>
              <w:t>Thyroid hormone deficiency</w:t>
            </w:r>
          </w:p>
        </w:tc>
      </w:tr>
      <w:tr w:rsidRPr="001279F9" w:rsidR="001525BF" w:rsidTr="00FE4186" w14:paraId="41AB3B80" w14:textId="77777777">
        <w:trPr>
          <w:trHeight w:val="432"/>
        </w:trPr>
        <w:tc>
          <w:tcPr>
            <w:tcW w:w="834" w:type="pct"/>
          </w:tcPr>
          <w:p w:rsidRPr="001279F9" w:rsidR="001525BF" w:rsidP="00FE4186" w:rsidRDefault="001525BF" w14:paraId="667AB70E" w14:textId="77777777">
            <w:pPr>
              <w:pStyle w:val="BodyText"/>
              <w:rPr>
                <w:rFonts w:cs="Arial" w:asciiTheme="minorHAnsi" w:hAnsiTheme="minorHAnsi"/>
                <w:b/>
                <w:bCs/>
                <w:sz w:val="20"/>
              </w:rPr>
            </w:pPr>
            <w:r w:rsidRPr="001279F9">
              <w:rPr>
                <w:rFonts w:cs="Arial" w:asciiTheme="minorHAnsi" w:hAnsiTheme="minorHAnsi"/>
                <w:b/>
                <w:bCs/>
                <w:sz w:val="20"/>
              </w:rPr>
              <w:t>Action</w:t>
            </w:r>
          </w:p>
        </w:tc>
        <w:tc>
          <w:tcPr>
            <w:tcW w:w="4166" w:type="pct"/>
          </w:tcPr>
          <w:p w:rsidRPr="001279F9" w:rsidR="001525BF" w:rsidP="00FE4186" w:rsidRDefault="001525BF" w14:paraId="0CCD7918" w14:textId="77777777">
            <w:pPr>
              <w:rPr>
                <w:rFonts w:cs="Arial" w:asciiTheme="minorHAnsi" w:hAnsiTheme="minorHAnsi"/>
                <w:sz w:val="20"/>
              </w:rPr>
            </w:pPr>
            <w:r w:rsidRPr="001279F9">
              <w:rPr>
                <w:rFonts w:cs="Arial" w:asciiTheme="minorHAnsi" w:hAnsiTheme="minorHAnsi"/>
                <w:sz w:val="20"/>
              </w:rPr>
              <w:t>Levothyroxine exerts effects on most organ systems and is particularly important in the development of the central nervous system. Increases the metabolic rate of body tissues. Also involved in the regulation of cell growth and differentiation.</w:t>
            </w:r>
          </w:p>
        </w:tc>
      </w:tr>
      <w:tr w:rsidRPr="001279F9" w:rsidR="001525BF" w:rsidTr="00FE4186" w14:paraId="0302C22C" w14:textId="77777777">
        <w:trPr>
          <w:trHeight w:val="266"/>
        </w:trPr>
        <w:tc>
          <w:tcPr>
            <w:tcW w:w="834" w:type="pct"/>
          </w:tcPr>
          <w:p w:rsidRPr="001279F9" w:rsidR="001525BF" w:rsidP="00FE4186" w:rsidRDefault="001525BF" w14:paraId="611676AA" w14:textId="77777777">
            <w:pPr>
              <w:pStyle w:val="BodyText"/>
              <w:rPr>
                <w:rFonts w:cs="Arial" w:asciiTheme="minorHAnsi" w:hAnsiTheme="minorHAnsi"/>
                <w:sz w:val="20"/>
              </w:rPr>
            </w:pPr>
            <w:r w:rsidRPr="001279F9">
              <w:rPr>
                <w:rFonts w:cs="Arial" w:asciiTheme="minorHAnsi" w:hAnsiTheme="minorHAnsi"/>
                <w:b/>
                <w:bCs/>
                <w:sz w:val="20"/>
              </w:rPr>
              <w:t xml:space="preserve">Drug Type                                   </w:t>
            </w:r>
          </w:p>
        </w:tc>
        <w:tc>
          <w:tcPr>
            <w:tcW w:w="4166" w:type="pct"/>
          </w:tcPr>
          <w:p w:rsidRPr="001279F9" w:rsidR="001525BF" w:rsidP="00FE4186" w:rsidRDefault="001525BF" w14:paraId="35D33771" w14:textId="77777777">
            <w:pPr>
              <w:pStyle w:val="BodyText"/>
              <w:rPr>
                <w:rFonts w:cs="Arial" w:asciiTheme="minorHAnsi" w:hAnsiTheme="minorHAnsi"/>
                <w:sz w:val="20"/>
              </w:rPr>
            </w:pPr>
            <w:r w:rsidRPr="001279F9">
              <w:rPr>
                <w:rFonts w:cs="Arial" w:asciiTheme="minorHAnsi" w:hAnsiTheme="minorHAnsi"/>
                <w:sz w:val="20"/>
              </w:rPr>
              <w:t xml:space="preserve">Levothyroxine sodium </w:t>
            </w:r>
            <w:r>
              <w:rPr>
                <w:rFonts w:cs="Arial" w:asciiTheme="minorHAnsi" w:hAnsiTheme="minorHAnsi"/>
                <w:sz w:val="20"/>
              </w:rPr>
              <w:t>previously</w:t>
            </w:r>
            <w:r w:rsidRPr="001279F9">
              <w:rPr>
                <w:rFonts w:cs="Arial" w:asciiTheme="minorHAnsi" w:hAnsiTheme="minorHAnsi"/>
                <w:sz w:val="20"/>
              </w:rPr>
              <w:t xml:space="preserve"> known as thyroxine sodium, is </w:t>
            </w:r>
            <w:r>
              <w:rPr>
                <w:rFonts w:cs="Arial" w:asciiTheme="minorHAnsi" w:hAnsiTheme="minorHAnsi"/>
                <w:sz w:val="20"/>
              </w:rPr>
              <w:t>the</w:t>
            </w:r>
            <w:r w:rsidRPr="001279F9">
              <w:rPr>
                <w:rFonts w:cs="Arial" w:asciiTheme="minorHAnsi" w:hAnsiTheme="minorHAnsi"/>
                <w:sz w:val="20"/>
              </w:rPr>
              <w:t xml:space="preserve"> monosodium salt of the lev</w:t>
            </w:r>
            <w:r>
              <w:rPr>
                <w:rFonts w:cs="Arial" w:asciiTheme="minorHAnsi" w:hAnsiTheme="minorHAnsi"/>
                <w:sz w:val="20"/>
              </w:rPr>
              <w:t>o-</w:t>
            </w:r>
            <w:r w:rsidRPr="001279F9">
              <w:rPr>
                <w:rFonts w:cs="Arial" w:asciiTheme="minorHAnsi" w:hAnsiTheme="minorHAnsi"/>
                <w:sz w:val="20"/>
              </w:rPr>
              <w:t xml:space="preserve"> isomer of thyroxine, the principal secretion of the thyroid gland</w:t>
            </w:r>
          </w:p>
        </w:tc>
      </w:tr>
      <w:tr w:rsidRPr="001279F9" w:rsidR="001525BF" w:rsidTr="00FE4186" w14:paraId="67561164" w14:textId="77777777">
        <w:trPr>
          <w:trHeight w:val="284"/>
        </w:trPr>
        <w:tc>
          <w:tcPr>
            <w:tcW w:w="834" w:type="pct"/>
          </w:tcPr>
          <w:p w:rsidRPr="001279F9" w:rsidR="001525BF" w:rsidP="00FE4186" w:rsidRDefault="001525BF" w14:paraId="1BDFB67A" w14:textId="77777777">
            <w:pPr>
              <w:pStyle w:val="BodyText"/>
              <w:rPr>
                <w:rFonts w:cs="Arial" w:asciiTheme="minorHAnsi" w:hAnsiTheme="minorHAnsi"/>
                <w:b/>
                <w:bCs/>
                <w:sz w:val="20"/>
              </w:rPr>
            </w:pPr>
            <w:r w:rsidRPr="001279F9">
              <w:rPr>
                <w:rFonts w:cs="Arial" w:asciiTheme="minorHAnsi" w:hAnsiTheme="minorHAnsi"/>
                <w:b/>
                <w:bCs/>
                <w:sz w:val="20"/>
              </w:rPr>
              <w:t xml:space="preserve">Trade Name                  </w:t>
            </w:r>
          </w:p>
        </w:tc>
        <w:tc>
          <w:tcPr>
            <w:tcW w:w="4166" w:type="pct"/>
          </w:tcPr>
          <w:p w:rsidRPr="001279F9" w:rsidR="001525BF" w:rsidP="00FE4186" w:rsidRDefault="001525BF" w14:paraId="70682B67" w14:textId="77777777">
            <w:pPr>
              <w:pStyle w:val="BodyText"/>
              <w:rPr>
                <w:rFonts w:cs="Arial" w:asciiTheme="minorHAnsi" w:hAnsiTheme="minorHAnsi"/>
                <w:sz w:val="20"/>
              </w:rPr>
            </w:pPr>
            <w:r w:rsidRPr="001279F9">
              <w:rPr>
                <w:rFonts w:cs="Arial" w:asciiTheme="minorHAnsi" w:hAnsiTheme="minorHAnsi"/>
                <w:sz w:val="20"/>
              </w:rPr>
              <w:t xml:space="preserve">Eltroxin tablets, Eutroxsig tablets, Oroxine tablets. </w:t>
            </w:r>
          </w:p>
        </w:tc>
      </w:tr>
      <w:tr w:rsidRPr="001279F9" w:rsidR="001525BF" w:rsidTr="00FE4186" w14:paraId="1E1D17FA" w14:textId="77777777">
        <w:trPr>
          <w:trHeight w:val="185"/>
        </w:trPr>
        <w:tc>
          <w:tcPr>
            <w:tcW w:w="834" w:type="pct"/>
          </w:tcPr>
          <w:p w:rsidRPr="001279F9" w:rsidR="001525BF" w:rsidP="00FE4186" w:rsidRDefault="001525BF" w14:paraId="6BE616A5" w14:textId="77777777">
            <w:pPr>
              <w:pStyle w:val="BodyText"/>
              <w:rPr>
                <w:rFonts w:cs="Arial" w:asciiTheme="minorHAnsi" w:hAnsiTheme="minorHAnsi"/>
                <w:b/>
                <w:bCs/>
                <w:sz w:val="20"/>
              </w:rPr>
            </w:pPr>
            <w:r w:rsidRPr="001279F9">
              <w:rPr>
                <w:rFonts w:cs="Arial" w:asciiTheme="minorHAnsi" w:hAnsiTheme="minorHAnsi"/>
                <w:b/>
                <w:bCs/>
                <w:sz w:val="20"/>
              </w:rPr>
              <w:t xml:space="preserve">Presentation </w:t>
            </w:r>
          </w:p>
        </w:tc>
        <w:tc>
          <w:tcPr>
            <w:tcW w:w="4166" w:type="pct"/>
          </w:tcPr>
          <w:p w:rsidRPr="001279F9" w:rsidR="001525BF" w:rsidP="00FE4186" w:rsidRDefault="001525BF" w14:paraId="74FFB8AA" w14:textId="77777777">
            <w:pPr>
              <w:pStyle w:val="BodyText"/>
              <w:ind w:left="34"/>
              <w:rPr>
                <w:rFonts w:cs="Arial" w:asciiTheme="minorHAnsi" w:hAnsiTheme="minorHAnsi"/>
                <w:sz w:val="20"/>
              </w:rPr>
            </w:pPr>
            <w:r w:rsidRPr="001279F9">
              <w:rPr>
                <w:rFonts w:cs="Arial" w:asciiTheme="minorHAnsi" w:hAnsiTheme="minorHAnsi"/>
                <w:sz w:val="20"/>
              </w:rPr>
              <w:t>Eutroxsig and Oroxine tablets</w:t>
            </w:r>
            <w:r>
              <w:rPr>
                <w:rFonts w:cs="Arial" w:asciiTheme="minorHAnsi" w:hAnsiTheme="minorHAnsi"/>
                <w:sz w:val="20"/>
              </w:rPr>
              <w:t>:</w:t>
            </w:r>
            <w:r w:rsidRPr="001279F9">
              <w:rPr>
                <w:rFonts w:cs="Arial" w:asciiTheme="minorHAnsi" w:hAnsiTheme="minorHAnsi"/>
                <w:sz w:val="20"/>
              </w:rPr>
              <w:t xml:space="preserve"> 50 microgram, 75 microgram, 100 microgram, 200 microgram tablets </w:t>
            </w:r>
          </w:p>
          <w:p w:rsidRPr="001279F9" w:rsidR="001525BF" w:rsidP="00FE4186" w:rsidRDefault="001525BF" w14:paraId="115C545C" w14:textId="77777777">
            <w:pPr>
              <w:pStyle w:val="BodyText"/>
              <w:ind w:left="34"/>
              <w:rPr>
                <w:rFonts w:cs="Arial" w:asciiTheme="minorHAnsi" w:hAnsiTheme="minorHAnsi"/>
                <w:sz w:val="20"/>
              </w:rPr>
            </w:pPr>
            <w:r w:rsidRPr="001279F9">
              <w:rPr>
                <w:rFonts w:cs="Arial" w:asciiTheme="minorHAnsi" w:hAnsiTheme="minorHAnsi"/>
                <w:sz w:val="20"/>
              </w:rPr>
              <w:t>Eltroxin tablets</w:t>
            </w:r>
            <w:r>
              <w:rPr>
                <w:rFonts w:cs="Arial" w:asciiTheme="minorHAnsi" w:hAnsiTheme="minorHAnsi"/>
                <w:sz w:val="20"/>
              </w:rPr>
              <w:t>:</w:t>
            </w:r>
            <w:r w:rsidRPr="001279F9">
              <w:rPr>
                <w:rFonts w:cs="Arial" w:asciiTheme="minorHAnsi" w:hAnsiTheme="minorHAnsi"/>
                <w:sz w:val="20"/>
              </w:rPr>
              <w:t xml:space="preserve"> 25 microgram, 50 microgram, 75 microgram, 100 microgram, 125 microgram, 200 microgram tablets.</w:t>
            </w:r>
          </w:p>
        </w:tc>
      </w:tr>
      <w:tr w:rsidRPr="001279F9" w:rsidR="001525BF" w:rsidTr="00FE4186" w14:paraId="69B487F1" w14:textId="77777777">
        <w:trPr>
          <w:trHeight w:val="1143"/>
        </w:trPr>
        <w:tc>
          <w:tcPr>
            <w:tcW w:w="834" w:type="pct"/>
          </w:tcPr>
          <w:p w:rsidRPr="001279F9" w:rsidR="001525BF" w:rsidP="00FE4186" w:rsidRDefault="001525BF" w14:paraId="5D2DA165" w14:textId="77777777">
            <w:pPr>
              <w:pStyle w:val="BodyText"/>
              <w:rPr>
                <w:rFonts w:cs="Arial" w:asciiTheme="minorHAnsi" w:hAnsiTheme="minorHAnsi"/>
                <w:b/>
                <w:bCs/>
                <w:sz w:val="20"/>
              </w:rPr>
            </w:pPr>
            <w:r>
              <w:rPr>
                <w:rFonts w:cs="Arial" w:asciiTheme="minorHAnsi" w:hAnsiTheme="minorHAnsi"/>
                <w:b/>
                <w:bCs/>
                <w:sz w:val="20"/>
              </w:rPr>
              <w:t>Dosage</w:t>
            </w:r>
            <w:r w:rsidRPr="001279F9">
              <w:rPr>
                <w:rFonts w:cs="Arial" w:asciiTheme="minorHAnsi" w:hAnsiTheme="minorHAnsi"/>
                <w:b/>
                <w:bCs/>
                <w:sz w:val="20"/>
              </w:rPr>
              <w:t xml:space="preserve">                      </w:t>
            </w:r>
          </w:p>
          <w:p w:rsidRPr="001279F9" w:rsidR="001525BF" w:rsidP="00FE4186" w:rsidRDefault="001525BF" w14:paraId="3A9575C9" w14:textId="77777777">
            <w:pPr>
              <w:pStyle w:val="BodyText"/>
              <w:rPr>
                <w:rFonts w:cs="Arial" w:asciiTheme="minorHAnsi" w:hAnsiTheme="minorHAnsi"/>
                <w:sz w:val="20"/>
              </w:rPr>
            </w:pPr>
          </w:p>
        </w:tc>
        <w:tc>
          <w:tcPr>
            <w:tcW w:w="4166" w:type="pct"/>
          </w:tcPr>
          <w:p w:rsidRPr="001279F9" w:rsidR="001525BF" w:rsidP="00FE4186" w:rsidRDefault="001525BF" w14:paraId="12D46E8C" w14:textId="77777777">
            <w:pPr>
              <w:pStyle w:val="BodyText"/>
              <w:rPr>
                <w:rFonts w:cs="Arial" w:asciiTheme="minorHAnsi" w:hAnsiTheme="minorHAnsi"/>
                <w:sz w:val="20"/>
              </w:rPr>
            </w:pPr>
            <w:r w:rsidRPr="001279F9">
              <w:rPr>
                <w:rFonts w:cs="Arial" w:asciiTheme="minorHAnsi" w:hAnsiTheme="minorHAnsi"/>
                <w:b/>
                <w:sz w:val="20"/>
              </w:rPr>
              <w:t>Starting dose:</w:t>
            </w:r>
            <w:r w:rsidRPr="001279F9">
              <w:rPr>
                <w:rFonts w:cs="Arial" w:asciiTheme="minorHAnsi" w:hAnsiTheme="minorHAnsi"/>
                <w:sz w:val="20"/>
              </w:rPr>
              <w:t xml:space="preserve"> 10 to 15 microgram/kg/dose DAILY.</w:t>
            </w:r>
            <w:r w:rsidRPr="001279F9">
              <w:rPr>
                <w:rFonts w:cs="Arial" w:asciiTheme="minorHAnsi" w:hAnsiTheme="minorHAnsi"/>
                <w:noProof/>
                <w:sz w:val="20"/>
              </w:rPr>
              <w:t>[2]</w:t>
            </w:r>
            <w:r w:rsidRPr="001279F9" w:rsidDel="00B74726">
              <w:rPr>
                <w:rFonts w:cs="Arial" w:asciiTheme="minorHAnsi" w:hAnsiTheme="minorHAnsi"/>
                <w:sz w:val="20"/>
              </w:rPr>
              <w:t xml:space="preserve"> </w:t>
            </w:r>
          </w:p>
          <w:p w:rsidR="001525BF" w:rsidP="00FE4186" w:rsidRDefault="001525BF" w14:paraId="7AA1B21E" w14:textId="77777777">
            <w:pPr>
              <w:pStyle w:val="BodyText"/>
              <w:rPr>
                <w:rFonts w:cs="Arial" w:asciiTheme="minorHAnsi" w:hAnsiTheme="minorHAnsi"/>
                <w:b/>
                <w:sz w:val="20"/>
              </w:rPr>
            </w:pPr>
          </w:p>
          <w:p w:rsidR="001525BF" w:rsidP="00FE4186" w:rsidRDefault="001525BF" w14:paraId="283B311F" w14:textId="77777777">
            <w:pPr>
              <w:pStyle w:val="BodyText"/>
              <w:rPr>
                <w:rFonts w:cs="Arial" w:asciiTheme="minorHAnsi" w:hAnsiTheme="minorHAnsi"/>
                <w:sz w:val="20"/>
              </w:rPr>
            </w:pPr>
            <w:r w:rsidRPr="001279F9">
              <w:rPr>
                <w:rFonts w:cs="Arial" w:asciiTheme="minorHAnsi" w:hAnsiTheme="minorHAnsi"/>
                <w:b/>
                <w:sz w:val="20"/>
              </w:rPr>
              <w:t>Maintenance dose:</w:t>
            </w:r>
            <w:r w:rsidRPr="001279F9">
              <w:rPr>
                <w:rFonts w:cs="Arial" w:asciiTheme="minorHAnsi" w:hAnsiTheme="minorHAnsi"/>
                <w:sz w:val="20"/>
              </w:rPr>
              <w:t xml:space="preserve"> 8 to 10 microgram/kg/dose DAILY. </w:t>
            </w:r>
          </w:p>
          <w:p w:rsidRPr="001279F9" w:rsidR="001525BF" w:rsidP="00FE4186" w:rsidRDefault="001525BF" w14:paraId="01D82E6F" w14:textId="77777777">
            <w:pPr>
              <w:pStyle w:val="BodyText"/>
              <w:rPr>
                <w:rFonts w:cs="Arial" w:asciiTheme="minorHAnsi" w:hAnsiTheme="minorHAnsi"/>
                <w:sz w:val="20"/>
              </w:rPr>
            </w:pPr>
          </w:p>
          <w:p w:rsidRPr="001279F9" w:rsidR="001525BF" w:rsidP="00FE4186" w:rsidRDefault="001525BF" w14:paraId="5D7A0654" w14:textId="77777777">
            <w:pPr>
              <w:pStyle w:val="BodyText"/>
              <w:rPr>
                <w:rFonts w:cs="Arial" w:asciiTheme="minorHAnsi" w:hAnsiTheme="minorHAnsi"/>
                <w:sz w:val="20"/>
              </w:rPr>
            </w:pPr>
            <w:r w:rsidRPr="001279F9">
              <w:rPr>
                <w:rFonts w:cs="Arial" w:asciiTheme="minorHAnsi" w:hAnsiTheme="minorHAnsi"/>
                <w:b/>
                <w:sz w:val="20"/>
              </w:rPr>
              <w:t>Severe congenital hypothyroidism</w:t>
            </w:r>
            <w:r w:rsidRPr="001279F9">
              <w:rPr>
                <w:rFonts w:cs="Arial" w:asciiTheme="minorHAnsi" w:hAnsiTheme="minorHAnsi"/>
                <w:sz w:val="20"/>
              </w:rPr>
              <w:t xml:space="preserve"> [</w:t>
            </w:r>
            <w:r w:rsidRPr="00261CA0">
              <w:rPr>
                <w:rFonts w:cs="Arial" w:asciiTheme="minorHAnsi" w:hAnsiTheme="minorHAnsi"/>
                <w:sz w:val="20"/>
              </w:rPr>
              <w:t>free T4</w:t>
            </w:r>
            <w:r w:rsidRPr="001279F9">
              <w:rPr>
                <w:rFonts w:cs="Arial" w:asciiTheme="minorHAnsi" w:hAnsiTheme="minorHAnsi"/>
                <w:sz w:val="20"/>
              </w:rPr>
              <w:t xml:space="preserve"> &lt;5 pmol/L] </w:t>
            </w:r>
            <w:r>
              <w:rPr>
                <w:rFonts w:cs="Arial" w:asciiTheme="minorHAnsi" w:hAnsiTheme="minorHAnsi"/>
                <w:sz w:val="20"/>
              </w:rPr>
              <w:t>–</w:t>
            </w:r>
            <w:r w:rsidRPr="001279F9">
              <w:rPr>
                <w:rFonts w:cs="Arial" w:asciiTheme="minorHAnsi" w:hAnsiTheme="minorHAnsi"/>
                <w:sz w:val="20"/>
              </w:rPr>
              <w:t>Start with highest initial dose.</w:t>
            </w:r>
          </w:p>
          <w:p w:rsidRPr="001279F9" w:rsidR="001525BF" w:rsidP="00FE4186" w:rsidRDefault="001525BF" w14:paraId="2D51B297" w14:textId="77777777">
            <w:pPr>
              <w:pStyle w:val="BodyText"/>
              <w:rPr>
                <w:rFonts w:cs="Arial" w:asciiTheme="minorHAnsi" w:hAnsiTheme="minorHAnsi"/>
                <w:sz w:val="20"/>
              </w:rPr>
            </w:pPr>
          </w:p>
          <w:p w:rsidRPr="001279F9" w:rsidR="001525BF" w:rsidP="00FE4186" w:rsidRDefault="001525BF" w14:paraId="323D0ED1" w14:textId="77777777">
            <w:pPr>
              <w:pStyle w:val="BodyText"/>
              <w:rPr>
                <w:rFonts w:cs="Arial" w:asciiTheme="minorHAnsi" w:hAnsiTheme="minorHAnsi"/>
                <w:sz w:val="20"/>
              </w:rPr>
            </w:pPr>
            <w:r w:rsidRPr="001279F9">
              <w:rPr>
                <w:rFonts w:cs="Arial" w:asciiTheme="minorHAnsi" w:hAnsiTheme="minorHAnsi"/>
                <w:sz w:val="20"/>
              </w:rPr>
              <w:t xml:space="preserve">Round dose to nearest half </w:t>
            </w:r>
            <w:r>
              <w:rPr>
                <w:rFonts w:cs="Arial" w:asciiTheme="minorHAnsi" w:hAnsiTheme="minorHAnsi"/>
                <w:sz w:val="20"/>
              </w:rPr>
              <w:t xml:space="preserve">or whole </w:t>
            </w:r>
            <w:r w:rsidRPr="001279F9">
              <w:rPr>
                <w:rFonts w:cs="Arial" w:asciiTheme="minorHAnsi" w:hAnsiTheme="minorHAnsi"/>
                <w:sz w:val="20"/>
              </w:rPr>
              <w:t xml:space="preserve">tablet where possible, particularly for discharge eg 25 microgram or 50 microgram. </w:t>
            </w:r>
          </w:p>
          <w:p w:rsidRPr="001279F9" w:rsidR="001525BF" w:rsidP="00FE4186" w:rsidRDefault="001525BF" w14:paraId="6B6E3819" w14:textId="77777777">
            <w:pPr>
              <w:pStyle w:val="BodyText"/>
              <w:rPr>
                <w:rFonts w:cs="Arial" w:asciiTheme="minorHAnsi" w:hAnsiTheme="minorHAnsi"/>
                <w:sz w:val="20"/>
              </w:rPr>
            </w:pPr>
          </w:p>
          <w:p w:rsidRPr="007B23A5" w:rsidR="001525BF" w:rsidP="00FE4186" w:rsidRDefault="001525BF" w14:paraId="7E6AFE8E" w14:textId="77777777">
            <w:pPr>
              <w:pStyle w:val="BodyText"/>
              <w:rPr>
                <w:rFonts w:cs="Arial" w:asciiTheme="minorHAnsi" w:hAnsiTheme="minorHAnsi"/>
                <w:b/>
                <w:sz w:val="20"/>
              </w:rPr>
            </w:pPr>
            <w:r>
              <w:rPr>
                <w:rFonts w:cs="Arial" w:asciiTheme="minorHAnsi" w:hAnsiTheme="minorHAnsi"/>
                <w:b/>
                <w:sz w:val="20"/>
              </w:rPr>
              <w:t>Refer to</w:t>
            </w:r>
            <w:r w:rsidRPr="007B23A5">
              <w:rPr>
                <w:rFonts w:cs="Arial" w:asciiTheme="minorHAnsi" w:hAnsiTheme="minorHAnsi"/>
                <w:b/>
                <w:sz w:val="20"/>
              </w:rPr>
              <w:t xml:space="preserve"> monitoring </w:t>
            </w:r>
            <w:r>
              <w:rPr>
                <w:rFonts w:cs="Arial" w:asciiTheme="minorHAnsi" w:hAnsiTheme="minorHAnsi"/>
                <w:b/>
                <w:sz w:val="20"/>
              </w:rPr>
              <w:t xml:space="preserve">section </w:t>
            </w:r>
            <w:r w:rsidRPr="007B23A5">
              <w:rPr>
                <w:rFonts w:cs="Arial" w:asciiTheme="minorHAnsi" w:hAnsiTheme="minorHAnsi"/>
                <w:b/>
                <w:sz w:val="20"/>
              </w:rPr>
              <w:t>for goals of therapy.</w:t>
            </w:r>
          </w:p>
        </w:tc>
      </w:tr>
      <w:tr w:rsidRPr="001279F9" w:rsidR="001525BF" w:rsidTr="00FE4186" w14:paraId="37FDCA9F" w14:textId="77777777">
        <w:trPr>
          <w:trHeight w:val="70"/>
        </w:trPr>
        <w:tc>
          <w:tcPr>
            <w:tcW w:w="834" w:type="pct"/>
          </w:tcPr>
          <w:p w:rsidRPr="001279F9" w:rsidR="001525BF" w:rsidP="00FE4186" w:rsidRDefault="001525BF" w14:paraId="4DD01A37" w14:textId="77777777">
            <w:pPr>
              <w:pStyle w:val="BodyText"/>
              <w:rPr>
                <w:rFonts w:cs="Arial" w:asciiTheme="minorHAnsi" w:hAnsiTheme="minorHAnsi"/>
                <w:sz w:val="20"/>
              </w:rPr>
            </w:pPr>
            <w:r w:rsidRPr="001279F9">
              <w:rPr>
                <w:rFonts w:cs="Arial" w:asciiTheme="minorHAnsi" w:hAnsiTheme="minorHAnsi"/>
                <w:b/>
                <w:bCs/>
                <w:sz w:val="20"/>
              </w:rPr>
              <w:t>Route</w:t>
            </w:r>
          </w:p>
        </w:tc>
        <w:tc>
          <w:tcPr>
            <w:tcW w:w="4166" w:type="pct"/>
          </w:tcPr>
          <w:p w:rsidRPr="001279F9" w:rsidR="001525BF" w:rsidP="00FE4186" w:rsidRDefault="001525BF" w14:paraId="438A9EE0" w14:textId="77777777">
            <w:pPr>
              <w:pStyle w:val="BodyText"/>
              <w:rPr>
                <w:rFonts w:cs="Arial" w:asciiTheme="minorHAnsi" w:hAnsiTheme="minorHAnsi"/>
                <w:sz w:val="20"/>
              </w:rPr>
            </w:pPr>
            <w:r w:rsidRPr="001279F9">
              <w:rPr>
                <w:rFonts w:cs="Arial" w:asciiTheme="minorHAnsi" w:hAnsiTheme="minorHAnsi"/>
                <w:sz w:val="20"/>
              </w:rPr>
              <w:t>PO</w:t>
            </w:r>
          </w:p>
        </w:tc>
      </w:tr>
      <w:tr w:rsidRPr="001279F9" w:rsidR="001525BF" w:rsidTr="00FE4186" w14:paraId="1BAEB7D5" w14:textId="77777777">
        <w:trPr>
          <w:trHeight w:val="204"/>
        </w:trPr>
        <w:tc>
          <w:tcPr>
            <w:tcW w:w="834" w:type="pct"/>
          </w:tcPr>
          <w:p w:rsidRPr="001279F9" w:rsidR="001525BF" w:rsidP="00FE4186" w:rsidRDefault="001525BF" w14:paraId="1E530809" w14:textId="77777777">
            <w:pPr>
              <w:rPr>
                <w:rFonts w:asciiTheme="minorHAnsi" w:hAnsiTheme="minorHAnsi"/>
                <w:b/>
                <w:sz w:val="20"/>
              </w:rPr>
            </w:pPr>
            <w:r w:rsidRPr="001279F9">
              <w:rPr>
                <w:rFonts w:asciiTheme="minorHAnsi" w:hAnsiTheme="minorHAnsi"/>
                <w:b/>
                <w:sz w:val="20"/>
              </w:rPr>
              <w:t>Maximum Daily Dose</w:t>
            </w:r>
          </w:p>
        </w:tc>
        <w:tc>
          <w:tcPr>
            <w:tcW w:w="4166" w:type="pct"/>
          </w:tcPr>
          <w:p w:rsidRPr="001279F9" w:rsidR="001525BF" w:rsidP="00FE4186" w:rsidRDefault="001525BF" w14:paraId="726805AD" w14:textId="77777777">
            <w:pPr>
              <w:rPr>
                <w:rFonts w:cs="Arial" w:asciiTheme="minorHAnsi" w:hAnsiTheme="minorHAnsi"/>
                <w:sz w:val="20"/>
              </w:rPr>
            </w:pPr>
          </w:p>
        </w:tc>
      </w:tr>
      <w:tr w:rsidRPr="001279F9" w:rsidR="001525BF" w:rsidTr="00FE4186" w14:paraId="1B453020" w14:textId="77777777">
        <w:trPr>
          <w:trHeight w:val="70"/>
        </w:trPr>
        <w:tc>
          <w:tcPr>
            <w:tcW w:w="834" w:type="pct"/>
          </w:tcPr>
          <w:p w:rsidRPr="001279F9" w:rsidR="001525BF" w:rsidP="00FE4186" w:rsidRDefault="001525BF" w14:paraId="18CF3522" w14:textId="77777777">
            <w:pPr>
              <w:pStyle w:val="BodyText"/>
              <w:rPr>
                <w:rFonts w:cs="Arial" w:asciiTheme="minorHAnsi" w:hAnsiTheme="minorHAnsi"/>
                <w:b/>
                <w:bCs/>
                <w:sz w:val="20"/>
                <w:highlight w:val="cyan"/>
              </w:rPr>
            </w:pPr>
            <w:r>
              <w:rPr>
                <w:rFonts w:cs="Arial" w:asciiTheme="minorHAnsi" w:hAnsiTheme="minorHAnsi"/>
                <w:b/>
                <w:bCs/>
                <w:sz w:val="20"/>
              </w:rPr>
              <w:t>Preparation</w:t>
            </w:r>
            <w:r w:rsidRPr="001279F9">
              <w:rPr>
                <w:rFonts w:cs="Arial" w:asciiTheme="minorHAnsi" w:hAnsiTheme="minorHAnsi"/>
                <w:b/>
                <w:bCs/>
                <w:sz w:val="20"/>
                <w:highlight w:val="cyan"/>
              </w:rPr>
              <w:t xml:space="preserve">                </w:t>
            </w:r>
          </w:p>
        </w:tc>
        <w:tc>
          <w:tcPr>
            <w:tcW w:w="4166" w:type="pct"/>
          </w:tcPr>
          <w:p w:rsidR="001525BF" w:rsidP="001B0E05" w:rsidRDefault="001525BF" w14:paraId="60360927" w14:textId="77777777">
            <w:pPr>
              <w:pStyle w:val="BodyText"/>
              <w:numPr>
                <w:ilvl w:val="0"/>
                <w:numId w:val="131"/>
              </w:numPr>
              <w:overflowPunct w:val="0"/>
              <w:autoSpaceDE w:val="0"/>
              <w:autoSpaceDN w:val="0"/>
              <w:adjustRightInd w:val="0"/>
              <w:ind w:left="392"/>
              <w:jc w:val="left"/>
              <w:textAlignment w:val="baseline"/>
              <w:rPr>
                <w:rFonts w:asciiTheme="minorHAnsi" w:hAnsiTheme="minorHAnsi" w:cstheme="minorHAnsi"/>
                <w:sz w:val="20"/>
              </w:rPr>
            </w:pPr>
            <w:r w:rsidRPr="00202FEF">
              <w:rPr>
                <w:rFonts w:asciiTheme="minorHAnsi" w:hAnsiTheme="minorHAnsi" w:cstheme="minorHAnsi"/>
                <w:sz w:val="20"/>
              </w:rPr>
              <w:t xml:space="preserve">Oral compounded suspension is </w:t>
            </w:r>
            <w:r w:rsidRPr="00C022A1">
              <w:rPr>
                <w:rFonts w:asciiTheme="minorHAnsi" w:hAnsiTheme="minorHAnsi" w:cstheme="minorHAnsi"/>
                <w:sz w:val="20"/>
                <w:u w:val="single"/>
              </w:rPr>
              <w:t>not</w:t>
            </w:r>
            <w:r w:rsidRPr="00202FEF">
              <w:rPr>
                <w:rFonts w:asciiTheme="minorHAnsi" w:hAnsiTheme="minorHAnsi" w:cstheme="minorHAnsi"/>
                <w:sz w:val="20"/>
              </w:rPr>
              <w:t xml:space="preserve"> advised. Tablet freshly dispersed in water immediately prior to administration is recommended.</w:t>
            </w:r>
            <w:r>
              <w:rPr>
                <w:rFonts w:asciiTheme="minorHAnsi" w:hAnsiTheme="minorHAnsi" w:cstheme="minorHAnsi"/>
                <w:sz w:val="20"/>
              </w:rPr>
              <w:t xml:space="preserve"> Dose to be rounded to the nearest half/whole tablet where possible and disperse/administer using method 1 or 2 below. Tablets can be difficult to quarter with a tablet cutter. </w:t>
            </w:r>
          </w:p>
          <w:p w:rsidRPr="001D289E" w:rsidR="001525BF" w:rsidP="001B0E05" w:rsidRDefault="001525BF" w14:paraId="140A1907" w14:textId="77777777">
            <w:pPr>
              <w:pStyle w:val="BodyText"/>
              <w:numPr>
                <w:ilvl w:val="0"/>
                <w:numId w:val="131"/>
              </w:numPr>
              <w:overflowPunct w:val="0"/>
              <w:autoSpaceDE w:val="0"/>
              <w:autoSpaceDN w:val="0"/>
              <w:adjustRightInd w:val="0"/>
              <w:ind w:left="392"/>
              <w:jc w:val="left"/>
              <w:textAlignment w:val="baseline"/>
              <w:rPr>
                <w:rFonts w:asciiTheme="minorHAnsi" w:hAnsiTheme="minorHAnsi" w:cstheme="minorHAnsi"/>
                <w:sz w:val="20"/>
              </w:rPr>
            </w:pPr>
            <w:r>
              <w:rPr>
                <w:rFonts w:asciiTheme="minorHAnsi" w:hAnsiTheme="minorHAnsi" w:cstheme="minorHAnsi"/>
                <w:sz w:val="20"/>
              </w:rPr>
              <w:t xml:space="preserve">Method 3 is for preparing a 10 microgram/mL dispersion just prior to administration and should only be used for administering small doses where a tablet/tablet portion cannot be used. Method 3 is for inpatient use only. </w:t>
            </w:r>
          </w:p>
          <w:p w:rsidR="001525BF" w:rsidP="00FE4186" w:rsidRDefault="001525BF" w14:paraId="626EDEAF" w14:textId="77777777">
            <w:pPr>
              <w:rPr>
                <w:rFonts w:eastAsia="Calibri" w:asciiTheme="minorHAnsi" w:hAnsiTheme="minorHAnsi" w:cstheme="minorHAnsi"/>
                <w:color w:val="000000"/>
                <w:sz w:val="20"/>
                <w:u w:val="single"/>
                <w:lang w:eastAsia="en-AU"/>
              </w:rPr>
            </w:pPr>
          </w:p>
          <w:p w:rsidRPr="00C33164" w:rsidR="001525BF" w:rsidP="00FE4186" w:rsidRDefault="001525BF" w14:paraId="5261C1CE" w14:textId="77777777">
            <w:p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u w:val="single"/>
                <w:lang w:eastAsia="en-AU"/>
              </w:rPr>
              <w:t xml:space="preserve">Method </w:t>
            </w:r>
            <w:r>
              <w:rPr>
                <w:rFonts w:eastAsia="Calibri" w:asciiTheme="minorHAnsi" w:hAnsiTheme="minorHAnsi" w:cstheme="minorHAnsi"/>
                <w:color w:val="000000"/>
                <w:sz w:val="20"/>
                <w:u w:val="single"/>
                <w:lang w:eastAsia="en-AU"/>
              </w:rPr>
              <w:t>1</w:t>
            </w:r>
            <w:r w:rsidRPr="00202FEF">
              <w:rPr>
                <w:rFonts w:eastAsia="Calibri" w:asciiTheme="minorHAnsi" w:hAnsiTheme="minorHAnsi" w:cstheme="minorHAnsi"/>
                <w:color w:val="000000"/>
                <w:sz w:val="20"/>
                <w:u w:val="single"/>
                <w:lang w:eastAsia="en-AU"/>
              </w:rPr>
              <w:t xml:space="preserve"> </w:t>
            </w:r>
            <w:r w:rsidRPr="00D948FA">
              <w:rPr>
                <w:rFonts w:eastAsia="Calibri" w:asciiTheme="minorHAnsi" w:hAnsiTheme="minorHAnsi" w:cstheme="minorHAnsi"/>
                <w:color w:val="000000"/>
                <w:sz w:val="20"/>
                <w:lang w:eastAsia="en-AU"/>
              </w:rPr>
              <w:t xml:space="preserve">– </w:t>
            </w:r>
            <w:r w:rsidRPr="00202FEF">
              <w:rPr>
                <w:rFonts w:asciiTheme="minorHAnsi" w:hAnsiTheme="minorHAnsi" w:cstheme="minorHAnsi"/>
                <w:sz w:val="20"/>
              </w:rPr>
              <w:t>round dose to the nearest</w:t>
            </w:r>
            <w:r>
              <w:rPr>
                <w:rFonts w:asciiTheme="minorHAnsi" w:hAnsiTheme="minorHAnsi" w:cstheme="minorHAnsi"/>
                <w:sz w:val="20"/>
              </w:rPr>
              <w:t xml:space="preserve"> </w:t>
            </w:r>
            <w:r w:rsidRPr="00202FEF">
              <w:rPr>
                <w:rFonts w:asciiTheme="minorHAnsi" w:hAnsiTheme="minorHAnsi" w:cstheme="minorHAnsi"/>
                <w:sz w:val="20"/>
              </w:rPr>
              <w:t>half or whole tablet</w:t>
            </w:r>
            <w:r w:rsidRPr="00C33164">
              <w:rPr>
                <w:rFonts w:eastAsia="Calibri" w:asciiTheme="minorHAnsi" w:hAnsiTheme="minorHAnsi" w:cstheme="minorHAnsi"/>
                <w:color w:val="000000"/>
                <w:sz w:val="20"/>
                <w:lang w:eastAsia="en-AU"/>
              </w:rPr>
              <w:t>:</w:t>
            </w:r>
          </w:p>
          <w:p w:rsidRPr="004519E5" w:rsidR="001525BF" w:rsidP="001B0E05" w:rsidRDefault="001525BF" w14:paraId="0B54DAB3" w14:textId="77777777">
            <w:pPr>
              <w:pStyle w:val="ListParagraph"/>
              <w:numPr>
                <w:ilvl w:val="0"/>
                <w:numId w:val="130"/>
              </w:numPr>
              <w:rPr>
                <w:rFonts w:eastAsia="Calibri" w:asciiTheme="minorHAnsi" w:hAnsiTheme="minorHAnsi" w:cstheme="minorHAnsi"/>
                <w:color w:val="000000"/>
                <w:sz w:val="20"/>
                <w:lang w:eastAsia="en-AU"/>
              </w:rPr>
            </w:pPr>
            <w:r>
              <w:rPr>
                <w:rFonts w:asciiTheme="minorHAnsi" w:hAnsiTheme="minorHAnsi" w:cstheme="minorHAnsi"/>
                <w:sz w:val="20"/>
              </w:rPr>
              <w:t>If required, halve tablet using a tablet cutter.</w:t>
            </w:r>
          </w:p>
          <w:p w:rsidR="001525BF" w:rsidP="001B0E05" w:rsidRDefault="001525BF" w14:paraId="5156B6DB" w14:textId="77777777">
            <w:pPr>
              <w:pStyle w:val="ListParagraph"/>
              <w:numPr>
                <w:ilvl w:val="0"/>
                <w:numId w:val="130"/>
              </w:numPr>
              <w:rPr>
                <w:rFonts w:eastAsia="Calibri" w:asciiTheme="minorHAnsi" w:hAnsiTheme="minorHAnsi" w:cstheme="minorHAnsi"/>
                <w:color w:val="000000"/>
                <w:sz w:val="20"/>
                <w:lang w:eastAsia="en-AU"/>
              </w:rPr>
            </w:pPr>
            <w:r>
              <w:rPr>
                <w:rFonts w:eastAsia="Calibri" w:asciiTheme="minorHAnsi" w:hAnsiTheme="minorHAnsi" w:cstheme="minorHAnsi"/>
                <w:color w:val="000000"/>
                <w:sz w:val="20"/>
                <w:lang w:eastAsia="en-AU"/>
              </w:rPr>
              <w:t xml:space="preserve">Use tablet crusher to crush tablet/tablet portion. </w:t>
            </w:r>
          </w:p>
          <w:p w:rsidR="001525BF" w:rsidP="001B0E05" w:rsidRDefault="001525BF" w14:paraId="06B1C162" w14:textId="77777777">
            <w:pPr>
              <w:pStyle w:val="ListParagraph"/>
              <w:numPr>
                <w:ilvl w:val="0"/>
                <w:numId w:val="130"/>
              </w:numPr>
              <w:rPr>
                <w:rFonts w:eastAsia="Calibri" w:asciiTheme="minorHAnsi" w:hAnsiTheme="minorHAnsi" w:cstheme="minorHAnsi"/>
                <w:color w:val="000000"/>
                <w:sz w:val="20"/>
                <w:lang w:eastAsia="en-AU"/>
              </w:rPr>
            </w:pPr>
            <w:r>
              <w:rPr>
                <w:rFonts w:eastAsia="Calibri" w:asciiTheme="minorHAnsi" w:hAnsiTheme="minorHAnsi" w:cstheme="minorHAnsi"/>
                <w:color w:val="000000"/>
                <w:sz w:val="20"/>
                <w:lang w:eastAsia="en-AU"/>
              </w:rPr>
              <w:t>Add approximately 1 mL of water (sterile/freshly boiled and cooled)</w:t>
            </w:r>
            <w:r w:rsidRPr="00202FEF">
              <w:rPr>
                <w:rFonts w:eastAsia="Calibri" w:asciiTheme="minorHAnsi" w:hAnsiTheme="minorHAnsi" w:cstheme="minorHAnsi"/>
                <w:color w:val="000000"/>
                <w:sz w:val="20"/>
                <w:lang w:eastAsia="en-AU"/>
              </w:rPr>
              <w:t xml:space="preserve"> </w:t>
            </w:r>
            <w:r>
              <w:rPr>
                <w:rFonts w:eastAsia="Calibri" w:asciiTheme="minorHAnsi" w:hAnsiTheme="minorHAnsi" w:cstheme="minorHAnsi"/>
                <w:color w:val="000000"/>
                <w:sz w:val="20"/>
                <w:lang w:eastAsia="en-AU"/>
              </w:rPr>
              <w:t xml:space="preserve">to powder in tablet crusher and mix well. </w:t>
            </w:r>
          </w:p>
          <w:p w:rsidR="001525BF" w:rsidP="001B0E05" w:rsidRDefault="001525BF" w14:paraId="6C548D90" w14:textId="77777777">
            <w:pPr>
              <w:pStyle w:val="ListParagraph"/>
              <w:numPr>
                <w:ilvl w:val="0"/>
                <w:numId w:val="130"/>
              </w:numPr>
              <w:rPr>
                <w:rFonts w:eastAsia="Calibri" w:asciiTheme="minorHAnsi" w:hAnsiTheme="minorHAnsi" w:cstheme="minorHAnsi"/>
                <w:color w:val="000000"/>
                <w:sz w:val="20"/>
                <w:lang w:eastAsia="en-AU"/>
              </w:rPr>
            </w:pPr>
            <w:r>
              <w:rPr>
                <w:rFonts w:eastAsia="Calibri" w:asciiTheme="minorHAnsi" w:hAnsiTheme="minorHAnsi" w:cstheme="minorHAnsi"/>
                <w:color w:val="000000"/>
                <w:sz w:val="20"/>
                <w:lang w:eastAsia="en-AU"/>
              </w:rPr>
              <w:t xml:space="preserve">Draw up suspension in oral syringe/dispenser. </w:t>
            </w:r>
          </w:p>
          <w:p w:rsidR="001525BF" w:rsidP="001B0E05" w:rsidRDefault="001525BF" w14:paraId="02C7B9AA" w14:textId="77777777">
            <w:pPr>
              <w:pStyle w:val="ListParagraph"/>
              <w:numPr>
                <w:ilvl w:val="0"/>
                <w:numId w:val="130"/>
              </w:numPr>
              <w:rPr>
                <w:rFonts w:eastAsia="Calibri" w:asciiTheme="minorHAnsi" w:hAnsiTheme="minorHAnsi" w:cstheme="minorHAnsi"/>
                <w:color w:val="000000"/>
                <w:sz w:val="20"/>
                <w:lang w:eastAsia="en-AU"/>
              </w:rPr>
            </w:pPr>
            <w:r>
              <w:rPr>
                <w:rFonts w:eastAsia="Calibri" w:asciiTheme="minorHAnsi" w:hAnsiTheme="minorHAnsi" w:cstheme="minorHAnsi"/>
                <w:color w:val="000000"/>
                <w:sz w:val="20"/>
                <w:lang w:eastAsia="en-AU"/>
              </w:rPr>
              <w:t xml:space="preserve">Rinse tablet cutter with a few drops of water and add to oral syringe/dispenser. Make sure as much as possible of the suspension is transferred to ensure an accurate dose. </w:t>
            </w:r>
          </w:p>
          <w:p w:rsidR="001525BF" w:rsidP="001B0E05" w:rsidRDefault="001525BF" w14:paraId="432A550C" w14:textId="77777777">
            <w:pPr>
              <w:pStyle w:val="ListParagraph"/>
              <w:numPr>
                <w:ilvl w:val="0"/>
                <w:numId w:val="130"/>
              </w:numPr>
              <w:rPr>
                <w:rFonts w:eastAsia="Calibri" w:asciiTheme="minorHAnsi" w:hAnsiTheme="minorHAnsi" w:cstheme="minorHAnsi"/>
                <w:color w:val="000000"/>
                <w:sz w:val="20"/>
                <w:lang w:eastAsia="en-AU"/>
              </w:rPr>
            </w:pPr>
            <w:r w:rsidRPr="00202FEF">
              <w:rPr>
                <w:rFonts w:eastAsia="Calibri" w:asciiTheme="minorHAnsi" w:hAnsiTheme="minorHAnsi" w:cstheme="minorHAnsi"/>
                <w:b/>
                <w:color w:val="000000"/>
                <w:sz w:val="20"/>
                <w:lang w:eastAsia="en-AU"/>
              </w:rPr>
              <w:t>Do not allow suspension to settle before administration.</w:t>
            </w:r>
            <w:r>
              <w:rPr>
                <w:rFonts w:eastAsia="Calibri" w:asciiTheme="minorHAnsi" w:hAnsiTheme="minorHAnsi" w:cstheme="minorHAnsi"/>
                <w:b/>
                <w:color w:val="000000"/>
                <w:sz w:val="20"/>
                <w:lang w:eastAsia="en-AU"/>
              </w:rPr>
              <w:t xml:space="preserve"> </w:t>
            </w:r>
          </w:p>
          <w:p w:rsidRPr="00C33164" w:rsidR="001525BF" w:rsidP="001B0E05" w:rsidRDefault="001525BF" w14:paraId="4A0D803B" w14:textId="77777777">
            <w:pPr>
              <w:pStyle w:val="ListParagraph"/>
              <w:numPr>
                <w:ilvl w:val="0"/>
                <w:numId w:val="130"/>
              </w:numPr>
              <w:rPr>
                <w:rFonts w:eastAsia="Calibri" w:asciiTheme="minorHAnsi" w:hAnsiTheme="minorHAnsi" w:cstheme="minorHAnsi"/>
                <w:color w:val="000000"/>
                <w:sz w:val="20"/>
                <w:lang w:eastAsia="en-AU"/>
              </w:rPr>
            </w:pPr>
            <w:r>
              <w:rPr>
                <w:rFonts w:eastAsia="Calibri" w:asciiTheme="minorHAnsi" w:hAnsiTheme="minorHAnsi" w:cstheme="minorHAnsi"/>
                <w:color w:val="000000"/>
                <w:sz w:val="20"/>
                <w:lang w:eastAsia="en-AU"/>
              </w:rPr>
              <w:lastRenderedPageBreak/>
              <w:t xml:space="preserve">Draw a small amount of air into the oral syringe/dispenser. </w:t>
            </w:r>
            <w:r w:rsidRPr="00202FEF">
              <w:rPr>
                <w:rFonts w:eastAsia="Calibri" w:asciiTheme="minorHAnsi" w:hAnsiTheme="minorHAnsi" w:cstheme="minorHAnsi"/>
                <w:color w:val="000000"/>
                <w:sz w:val="20"/>
                <w:lang w:eastAsia="en-AU"/>
              </w:rPr>
              <w:t xml:space="preserve">Administer the </w:t>
            </w:r>
            <w:r>
              <w:rPr>
                <w:rFonts w:eastAsia="Calibri" w:asciiTheme="minorHAnsi" w:hAnsiTheme="minorHAnsi" w:cstheme="minorHAnsi"/>
                <w:color w:val="000000"/>
                <w:sz w:val="20"/>
                <w:lang w:eastAsia="en-AU"/>
              </w:rPr>
              <w:t xml:space="preserve">contents of the oral syringe/dispenser immediately with the tip pointing down, using the small pocket of air to push all the liquid out of the syringe/oral dispenser. </w:t>
            </w:r>
          </w:p>
          <w:p w:rsidRPr="00202FEF" w:rsidR="001525BF" w:rsidP="00FE4186" w:rsidRDefault="001525BF" w14:paraId="02FD443C" w14:textId="77777777">
            <w:pPr>
              <w:pStyle w:val="BodyText"/>
              <w:rPr>
                <w:rFonts w:asciiTheme="minorHAnsi" w:hAnsiTheme="minorHAnsi" w:cstheme="minorHAnsi"/>
                <w:sz w:val="20"/>
              </w:rPr>
            </w:pPr>
          </w:p>
          <w:p w:rsidRPr="00202FEF" w:rsidR="001525BF" w:rsidP="00FE4186" w:rsidRDefault="001525BF" w14:paraId="492F5B62" w14:textId="77777777">
            <w:pPr>
              <w:pStyle w:val="BodyText"/>
              <w:rPr>
                <w:rFonts w:asciiTheme="minorHAnsi" w:hAnsiTheme="minorHAnsi" w:cstheme="minorHAnsi"/>
                <w:sz w:val="20"/>
              </w:rPr>
            </w:pPr>
            <w:r w:rsidRPr="00202FEF">
              <w:rPr>
                <w:rFonts w:asciiTheme="minorHAnsi" w:hAnsiTheme="minorHAnsi" w:cstheme="minorHAnsi"/>
                <w:sz w:val="20"/>
                <w:u w:val="single"/>
              </w:rPr>
              <w:t xml:space="preserve">Method </w:t>
            </w:r>
            <w:r>
              <w:rPr>
                <w:rFonts w:asciiTheme="minorHAnsi" w:hAnsiTheme="minorHAnsi" w:cstheme="minorHAnsi"/>
                <w:sz w:val="20"/>
                <w:u w:val="single"/>
              </w:rPr>
              <w:t>2</w:t>
            </w:r>
            <w:r w:rsidRPr="00202FEF">
              <w:rPr>
                <w:rFonts w:asciiTheme="minorHAnsi" w:hAnsiTheme="minorHAnsi" w:cstheme="minorHAnsi"/>
                <w:sz w:val="20"/>
                <w:u w:val="single"/>
              </w:rPr>
              <w:t xml:space="preserve"> </w:t>
            </w:r>
            <w:r w:rsidRPr="00B41405">
              <w:rPr>
                <w:rFonts w:asciiTheme="minorHAnsi" w:hAnsiTheme="minorHAnsi" w:cstheme="minorHAnsi"/>
                <w:sz w:val="20"/>
              </w:rPr>
              <w:t>–</w:t>
            </w:r>
            <w:r w:rsidRPr="00202FEF">
              <w:rPr>
                <w:rFonts w:asciiTheme="minorHAnsi" w:hAnsiTheme="minorHAnsi" w:cstheme="minorHAnsi"/>
                <w:sz w:val="20"/>
              </w:rPr>
              <w:t xml:space="preserve"> round dose to the nearest</w:t>
            </w:r>
            <w:r>
              <w:rPr>
                <w:rFonts w:asciiTheme="minorHAnsi" w:hAnsiTheme="minorHAnsi" w:cstheme="minorHAnsi"/>
                <w:sz w:val="20"/>
              </w:rPr>
              <w:t xml:space="preserve"> </w:t>
            </w:r>
            <w:r w:rsidRPr="00202FEF">
              <w:rPr>
                <w:rFonts w:asciiTheme="minorHAnsi" w:hAnsiTheme="minorHAnsi" w:cstheme="minorHAnsi"/>
                <w:sz w:val="20"/>
              </w:rPr>
              <w:t>half or whole tablet:</w:t>
            </w:r>
          </w:p>
          <w:p w:rsidRPr="006760E7" w:rsidR="001525BF" w:rsidP="001B0E05" w:rsidRDefault="001525BF" w14:paraId="38D1912D" w14:textId="77777777">
            <w:pPr>
              <w:pStyle w:val="BodyText"/>
              <w:numPr>
                <w:ilvl w:val="0"/>
                <w:numId w:val="128"/>
              </w:numPr>
              <w:overflowPunct w:val="0"/>
              <w:autoSpaceDE w:val="0"/>
              <w:autoSpaceDN w:val="0"/>
              <w:adjustRightInd w:val="0"/>
              <w:jc w:val="left"/>
              <w:textAlignment w:val="baseline"/>
              <w:rPr>
                <w:rFonts w:asciiTheme="minorHAnsi" w:hAnsiTheme="minorHAnsi" w:cstheme="minorHAnsi"/>
                <w:sz w:val="20"/>
              </w:rPr>
            </w:pPr>
            <w:r w:rsidRPr="006760E7">
              <w:rPr>
                <w:rFonts w:asciiTheme="minorHAnsi" w:hAnsiTheme="minorHAnsi" w:cstheme="minorHAnsi"/>
                <w:sz w:val="20"/>
              </w:rPr>
              <w:t xml:space="preserve">Remove plunger from oral syringe/dispenser. </w:t>
            </w:r>
          </w:p>
          <w:p w:rsidRPr="006760E7" w:rsidR="001525BF" w:rsidP="001B0E05" w:rsidRDefault="001525BF" w14:paraId="5ABB3C45" w14:textId="77777777">
            <w:pPr>
              <w:pStyle w:val="BodyText"/>
              <w:numPr>
                <w:ilvl w:val="0"/>
                <w:numId w:val="128"/>
              </w:numPr>
              <w:overflowPunct w:val="0"/>
              <w:autoSpaceDE w:val="0"/>
              <w:autoSpaceDN w:val="0"/>
              <w:adjustRightInd w:val="0"/>
              <w:jc w:val="left"/>
              <w:textAlignment w:val="baseline"/>
              <w:rPr>
                <w:rFonts w:eastAsia="Calibri" w:asciiTheme="minorHAnsi" w:hAnsiTheme="minorHAnsi" w:cstheme="minorHAnsi"/>
                <w:color w:val="000000"/>
                <w:sz w:val="20"/>
                <w:lang w:eastAsia="en-AU"/>
              </w:rPr>
            </w:pPr>
            <w:r>
              <w:rPr>
                <w:rFonts w:asciiTheme="minorHAnsi" w:hAnsiTheme="minorHAnsi" w:cstheme="minorHAnsi"/>
                <w:sz w:val="20"/>
              </w:rPr>
              <w:t xml:space="preserve">If required, halve or quarter tablet using a tablet cutter. </w:t>
            </w:r>
          </w:p>
          <w:p w:rsidRPr="00202FEF" w:rsidR="001525BF" w:rsidP="001B0E05" w:rsidRDefault="001525BF" w14:paraId="5C04037F" w14:textId="77777777">
            <w:pPr>
              <w:pStyle w:val="BodyText"/>
              <w:numPr>
                <w:ilvl w:val="0"/>
                <w:numId w:val="128"/>
              </w:numPr>
              <w:overflowPunct w:val="0"/>
              <w:autoSpaceDE w:val="0"/>
              <w:autoSpaceDN w:val="0"/>
              <w:adjustRightInd w:val="0"/>
              <w:jc w:val="left"/>
              <w:textAlignment w:val="baseline"/>
              <w:rPr>
                <w:rFonts w:eastAsia="Calibri" w:asciiTheme="minorHAnsi" w:hAnsiTheme="minorHAnsi" w:cstheme="minorHAnsi"/>
                <w:color w:val="000000"/>
                <w:sz w:val="20"/>
                <w:lang w:eastAsia="en-AU"/>
              </w:rPr>
            </w:pPr>
            <w:r w:rsidRPr="00202FEF">
              <w:rPr>
                <w:rFonts w:asciiTheme="minorHAnsi" w:hAnsiTheme="minorHAnsi" w:cstheme="minorHAnsi"/>
                <w:sz w:val="20"/>
              </w:rPr>
              <w:t>Place tablet</w:t>
            </w:r>
            <w:r>
              <w:rPr>
                <w:rFonts w:asciiTheme="minorHAnsi" w:hAnsiTheme="minorHAnsi" w:cstheme="minorHAnsi"/>
                <w:sz w:val="20"/>
              </w:rPr>
              <w:t>/tablet portion</w:t>
            </w:r>
            <w:r w:rsidRPr="00202FEF">
              <w:rPr>
                <w:rFonts w:asciiTheme="minorHAnsi" w:hAnsiTheme="minorHAnsi" w:cstheme="minorHAnsi"/>
                <w:sz w:val="20"/>
              </w:rPr>
              <w:t xml:space="preserve"> into </w:t>
            </w:r>
            <w:r w:rsidRPr="00202FEF">
              <w:rPr>
                <w:rFonts w:eastAsia="Calibri" w:asciiTheme="minorHAnsi" w:hAnsiTheme="minorHAnsi" w:cstheme="minorHAnsi"/>
                <w:color w:val="000000"/>
                <w:sz w:val="20"/>
                <w:lang w:eastAsia="en-AU"/>
              </w:rPr>
              <w:t>the barrel of the oral syringe/dispenser and replace the plunger.</w:t>
            </w:r>
          </w:p>
          <w:p w:rsidRPr="00202FEF" w:rsidR="001525BF" w:rsidP="001B0E05" w:rsidRDefault="001525BF" w14:paraId="21071693" w14:textId="77777777">
            <w:pPr>
              <w:pStyle w:val="BodyText"/>
              <w:numPr>
                <w:ilvl w:val="0"/>
                <w:numId w:val="128"/>
              </w:numPr>
              <w:overflowPunct w:val="0"/>
              <w:autoSpaceDE w:val="0"/>
              <w:autoSpaceDN w:val="0"/>
              <w:adjustRightInd w:val="0"/>
              <w:jc w:val="left"/>
              <w:textAlignment w:val="baseline"/>
              <w:rPr>
                <w:rFonts w:eastAsia="Calibri" w:asciiTheme="minorHAnsi" w:hAnsiTheme="minorHAnsi" w:cstheme="minorHAnsi"/>
                <w:color w:val="000000"/>
                <w:sz w:val="20"/>
                <w:lang w:eastAsia="en-AU"/>
              </w:rPr>
            </w:pPr>
            <w:r>
              <w:rPr>
                <w:rFonts w:eastAsia="Calibri" w:asciiTheme="minorHAnsi" w:hAnsiTheme="minorHAnsi" w:cstheme="minorHAnsi"/>
                <w:color w:val="000000"/>
                <w:sz w:val="20"/>
                <w:lang w:eastAsia="en-AU"/>
              </w:rPr>
              <w:t>Draw up 1–</w:t>
            </w:r>
            <w:r w:rsidRPr="00202FEF">
              <w:rPr>
                <w:rFonts w:eastAsia="Calibri" w:asciiTheme="minorHAnsi" w:hAnsiTheme="minorHAnsi" w:cstheme="minorHAnsi"/>
                <w:color w:val="000000"/>
                <w:sz w:val="20"/>
                <w:lang w:eastAsia="en-AU"/>
              </w:rPr>
              <w:t>5</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mL of water</w:t>
            </w:r>
            <w:r>
              <w:rPr>
                <w:rFonts w:eastAsia="Calibri" w:asciiTheme="minorHAnsi" w:hAnsiTheme="minorHAnsi" w:cstheme="minorHAnsi"/>
                <w:color w:val="000000"/>
                <w:sz w:val="20"/>
                <w:lang w:eastAsia="en-AU"/>
              </w:rPr>
              <w:t xml:space="preserve"> (sterile/freshly boiled and cooled)</w:t>
            </w:r>
            <w:r w:rsidRPr="00202FEF">
              <w:rPr>
                <w:rFonts w:eastAsia="Calibri" w:asciiTheme="minorHAnsi" w:hAnsiTheme="minorHAnsi" w:cstheme="minorHAnsi"/>
                <w:color w:val="000000"/>
                <w:sz w:val="20"/>
                <w:lang w:eastAsia="en-AU"/>
              </w:rPr>
              <w:t xml:space="preserve"> into the syringe.</w:t>
            </w:r>
          </w:p>
          <w:p w:rsidR="001525BF" w:rsidP="001B0E05" w:rsidRDefault="001525BF" w14:paraId="27F9CD69" w14:textId="77777777">
            <w:pPr>
              <w:pStyle w:val="BodyText"/>
              <w:numPr>
                <w:ilvl w:val="0"/>
                <w:numId w:val="128"/>
              </w:numPr>
              <w:overflowPunct w:val="0"/>
              <w:autoSpaceDE w:val="0"/>
              <w:autoSpaceDN w:val="0"/>
              <w:adjustRightInd w:val="0"/>
              <w:jc w:val="left"/>
              <w:textAlignment w:val="baseline"/>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Cap the oral syringe/dispenser and shake unt</w:t>
            </w:r>
            <w:r>
              <w:rPr>
                <w:rFonts w:eastAsia="Calibri" w:asciiTheme="minorHAnsi" w:hAnsiTheme="minorHAnsi" w:cstheme="minorHAnsi"/>
                <w:color w:val="000000"/>
                <w:sz w:val="20"/>
                <w:lang w:eastAsia="en-AU"/>
              </w:rPr>
              <w:t>il tablet is fully dispersed</w:t>
            </w:r>
            <w:r w:rsidRPr="00202FEF">
              <w:rPr>
                <w:rFonts w:eastAsia="Calibri" w:asciiTheme="minorHAnsi" w:hAnsiTheme="minorHAnsi" w:cstheme="minorHAnsi"/>
                <w:color w:val="000000"/>
                <w:sz w:val="20"/>
                <w:lang w:eastAsia="en-AU"/>
              </w:rPr>
              <w:t>.</w:t>
            </w:r>
            <w:r>
              <w:rPr>
                <w:rFonts w:eastAsia="Calibri" w:asciiTheme="minorHAnsi" w:hAnsiTheme="minorHAnsi" w:cstheme="minorHAnsi"/>
                <w:color w:val="000000"/>
                <w:sz w:val="20"/>
                <w:lang w:eastAsia="en-AU"/>
              </w:rPr>
              <w:t xml:space="preserve"> This may take up to 2 minutes.</w:t>
            </w:r>
            <w:r w:rsidRPr="00202FEF">
              <w:rPr>
                <w:rFonts w:eastAsia="Calibri" w:asciiTheme="minorHAnsi" w:hAnsiTheme="minorHAnsi" w:cstheme="minorHAnsi"/>
                <w:color w:val="000000"/>
                <w:sz w:val="20"/>
                <w:lang w:eastAsia="en-AU"/>
              </w:rPr>
              <w:t xml:space="preserve"> </w:t>
            </w:r>
          </w:p>
          <w:p w:rsidRPr="00202FEF" w:rsidR="001525BF" w:rsidP="001B0E05" w:rsidRDefault="001525BF" w14:paraId="3549FDFA" w14:textId="77777777">
            <w:pPr>
              <w:pStyle w:val="BodyText"/>
              <w:numPr>
                <w:ilvl w:val="0"/>
                <w:numId w:val="128"/>
              </w:numPr>
              <w:overflowPunct w:val="0"/>
              <w:autoSpaceDE w:val="0"/>
              <w:autoSpaceDN w:val="0"/>
              <w:adjustRightInd w:val="0"/>
              <w:jc w:val="left"/>
              <w:textAlignment w:val="baseline"/>
              <w:rPr>
                <w:rFonts w:eastAsia="Calibri" w:asciiTheme="minorHAnsi" w:hAnsiTheme="minorHAnsi" w:cstheme="minorHAnsi"/>
                <w:color w:val="000000"/>
                <w:sz w:val="20"/>
                <w:lang w:eastAsia="en-AU"/>
              </w:rPr>
            </w:pPr>
            <w:r w:rsidRPr="00202FEF">
              <w:rPr>
                <w:rFonts w:eastAsia="Calibri" w:asciiTheme="minorHAnsi" w:hAnsiTheme="minorHAnsi" w:cstheme="minorHAnsi"/>
                <w:b/>
                <w:color w:val="000000"/>
                <w:sz w:val="20"/>
                <w:lang w:eastAsia="en-AU"/>
              </w:rPr>
              <w:t>Do not allow suspension to settle before administration.</w:t>
            </w:r>
            <w:r w:rsidRPr="00202FEF">
              <w:rPr>
                <w:rFonts w:eastAsia="Calibri" w:asciiTheme="minorHAnsi" w:hAnsiTheme="minorHAnsi" w:cstheme="minorHAnsi"/>
                <w:color w:val="000000"/>
                <w:sz w:val="20"/>
                <w:lang w:eastAsia="en-AU"/>
              </w:rPr>
              <w:t xml:space="preserve"> </w:t>
            </w:r>
          </w:p>
          <w:p w:rsidRPr="00202FEF" w:rsidR="001525BF" w:rsidP="001B0E05" w:rsidRDefault="001525BF" w14:paraId="72A12893" w14:textId="77777777">
            <w:pPr>
              <w:pStyle w:val="BodyText"/>
              <w:numPr>
                <w:ilvl w:val="0"/>
                <w:numId w:val="128"/>
              </w:numPr>
              <w:overflowPunct w:val="0"/>
              <w:autoSpaceDE w:val="0"/>
              <w:autoSpaceDN w:val="0"/>
              <w:adjustRightInd w:val="0"/>
              <w:jc w:val="left"/>
              <w:textAlignment w:val="baseline"/>
              <w:rPr>
                <w:rFonts w:asciiTheme="minorHAnsi" w:hAnsiTheme="minorHAnsi" w:cstheme="minorHAnsi"/>
                <w:sz w:val="20"/>
              </w:rPr>
            </w:pPr>
            <w:r>
              <w:rPr>
                <w:rFonts w:eastAsia="Calibri" w:asciiTheme="minorHAnsi" w:hAnsiTheme="minorHAnsi" w:cstheme="minorHAnsi"/>
                <w:color w:val="000000"/>
                <w:sz w:val="20"/>
                <w:lang w:eastAsia="en-AU"/>
              </w:rPr>
              <w:t xml:space="preserve">Draw a small amount of air into the oral syringe/dispenser. </w:t>
            </w:r>
            <w:r w:rsidRPr="00202FEF">
              <w:rPr>
                <w:rFonts w:eastAsia="Calibri" w:asciiTheme="minorHAnsi" w:hAnsiTheme="minorHAnsi" w:cstheme="minorHAnsi"/>
                <w:color w:val="000000"/>
                <w:sz w:val="20"/>
                <w:lang w:eastAsia="en-AU"/>
              </w:rPr>
              <w:t xml:space="preserve">Administer the </w:t>
            </w:r>
            <w:r>
              <w:rPr>
                <w:rFonts w:eastAsia="Calibri" w:asciiTheme="minorHAnsi" w:hAnsiTheme="minorHAnsi" w:cstheme="minorHAnsi"/>
                <w:color w:val="000000"/>
                <w:sz w:val="20"/>
                <w:lang w:eastAsia="en-AU"/>
              </w:rPr>
              <w:t xml:space="preserve">contents of the oral syringe/dispenser immediately with the tip pointing down, using the small pocket of air to push all the liquid out of the syringe/oral dispenser. </w:t>
            </w:r>
            <w:r w:rsidRPr="00202FEF">
              <w:rPr>
                <w:rFonts w:eastAsia="Calibri" w:asciiTheme="minorHAnsi" w:hAnsiTheme="minorHAnsi" w:cstheme="minorHAnsi"/>
                <w:color w:val="000000"/>
                <w:sz w:val="20"/>
                <w:lang w:eastAsia="en-AU"/>
              </w:rPr>
              <w:t xml:space="preserve"> </w:t>
            </w:r>
          </w:p>
          <w:p w:rsidRPr="00202FEF" w:rsidR="001525BF" w:rsidP="00FE4186" w:rsidRDefault="001525BF" w14:paraId="2B9E778E" w14:textId="77777777">
            <w:pPr>
              <w:rPr>
                <w:rFonts w:eastAsia="Calibri" w:asciiTheme="minorHAnsi" w:hAnsiTheme="minorHAnsi" w:cstheme="minorHAnsi"/>
                <w:color w:val="000000"/>
                <w:sz w:val="20"/>
                <w:lang w:eastAsia="en-AU"/>
              </w:rPr>
            </w:pPr>
          </w:p>
          <w:p w:rsidRPr="00202FEF" w:rsidR="001525BF" w:rsidP="00FE4186" w:rsidRDefault="001525BF" w14:paraId="795D48A4" w14:textId="77777777">
            <w:pPr>
              <w:rPr>
                <w:rFonts w:eastAsia="Calibri" w:asciiTheme="minorHAnsi" w:hAnsiTheme="minorHAnsi" w:cstheme="minorHAnsi"/>
                <w:color w:val="000000"/>
                <w:sz w:val="20"/>
                <w:lang w:eastAsia="en-AU"/>
              </w:rPr>
            </w:pPr>
            <w:r w:rsidRPr="00B41405">
              <w:rPr>
                <w:rFonts w:eastAsia="Calibri" w:asciiTheme="minorHAnsi" w:hAnsiTheme="minorHAnsi" w:cstheme="minorHAnsi"/>
                <w:color w:val="000000"/>
                <w:sz w:val="20"/>
                <w:u w:val="single"/>
                <w:lang w:eastAsia="en-AU"/>
              </w:rPr>
              <w:t>Method 3</w:t>
            </w:r>
            <w:r>
              <w:rPr>
                <w:rFonts w:eastAsia="Calibri" w:asciiTheme="minorHAnsi" w:hAnsiTheme="minorHAnsi" w:cstheme="minorHAnsi"/>
                <w:color w:val="000000"/>
                <w:sz w:val="20"/>
                <w:u w:val="single"/>
                <w:lang w:eastAsia="en-AU"/>
              </w:rPr>
              <w:t xml:space="preserve"> </w:t>
            </w:r>
            <w:r w:rsidRPr="00B41405">
              <w:rPr>
                <w:rFonts w:eastAsia="Calibri" w:asciiTheme="minorHAnsi" w:hAnsiTheme="minorHAnsi" w:cstheme="minorHAnsi"/>
                <w:color w:val="000000"/>
                <w:sz w:val="20"/>
                <w:lang w:eastAsia="en-AU"/>
              </w:rPr>
              <w:t xml:space="preserve">– </w:t>
            </w:r>
            <w:r>
              <w:rPr>
                <w:rFonts w:eastAsia="Calibri" w:asciiTheme="minorHAnsi" w:hAnsiTheme="minorHAnsi" w:cstheme="minorHAnsi"/>
                <w:color w:val="000000"/>
                <w:sz w:val="20"/>
                <w:lang w:eastAsia="en-AU"/>
              </w:rPr>
              <w:t>For inpatient use only. R</w:t>
            </w:r>
            <w:r w:rsidRPr="00202FEF">
              <w:rPr>
                <w:rFonts w:eastAsia="Calibri" w:asciiTheme="minorHAnsi" w:hAnsiTheme="minorHAnsi" w:cstheme="minorHAnsi"/>
                <w:color w:val="000000"/>
                <w:sz w:val="20"/>
                <w:lang w:eastAsia="en-AU"/>
              </w:rPr>
              <w:t xml:space="preserve">eserve this method for </w:t>
            </w:r>
            <w:r>
              <w:rPr>
                <w:rFonts w:eastAsia="Calibri" w:asciiTheme="minorHAnsi" w:hAnsiTheme="minorHAnsi" w:cstheme="minorHAnsi"/>
                <w:color w:val="000000"/>
                <w:sz w:val="20"/>
                <w:lang w:eastAsia="en-AU"/>
              </w:rPr>
              <w:t xml:space="preserve">small </w:t>
            </w:r>
            <w:r w:rsidRPr="00202FEF">
              <w:rPr>
                <w:rFonts w:eastAsia="Calibri" w:asciiTheme="minorHAnsi" w:hAnsiTheme="minorHAnsi" w:cstheme="minorHAnsi"/>
                <w:color w:val="000000"/>
                <w:sz w:val="20"/>
                <w:lang w:eastAsia="en-AU"/>
              </w:rPr>
              <w:t xml:space="preserve">doses which cannot be rounded to a half or whole tablet: </w:t>
            </w:r>
          </w:p>
          <w:p w:rsidRPr="00202FEF" w:rsidR="001525BF" w:rsidP="001B0E05" w:rsidRDefault="001525BF" w14:paraId="0AB8B56A"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Remove the plunger from a 5 mL oral syringe/dispenser.</w:t>
            </w:r>
          </w:p>
          <w:p w:rsidRPr="00202FEF" w:rsidR="001525BF" w:rsidP="001B0E05" w:rsidRDefault="001525BF" w14:paraId="6B146478"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Place one 50</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m</w:t>
            </w:r>
            <w:r>
              <w:rPr>
                <w:rFonts w:eastAsia="Calibri" w:asciiTheme="minorHAnsi" w:hAnsiTheme="minorHAnsi" w:cstheme="minorHAnsi"/>
                <w:color w:val="000000"/>
                <w:sz w:val="20"/>
                <w:lang w:eastAsia="en-AU"/>
              </w:rPr>
              <w:t>i</w:t>
            </w:r>
            <w:r w:rsidRPr="00202FEF">
              <w:rPr>
                <w:rFonts w:eastAsia="Calibri" w:asciiTheme="minorHAnsi" w:hAnsiTheme="minorHAnsi" w:cstheme="minorHAnsi"/>
                <w:color w:val="000000"/>
                <w:sz w:val="20"/>
                <w:lang w:eastAsia="en-AU"/>
              </w:rPr>
              <w:t>c</w:t>
            </w:r>
            <w:r>
              <w:rPr>
                <w:rFonts w:eastAsia="Calibri" w:asciiTheme="minorHAnsi" w:hAnsiTheme="minorHAnsi" w:cstheme="minorHAnsi"/>
                <w:color w:val="000000"/>
                <w:sz w:val="20"/>
                <w:lang w:eastAsia="en-AU"/>
              </w:rPr>
              <w:t>ro</w:t>
            </w:r>
            <w:r w:rsidRPr="00202FEF">
              <w:rPr>
                <w:rFonts w:eastAsia="Calibri" w:asciiTheme="minorHAnsi" w:hAnsiTheme="minorHAnsi" w:cstheme="minorHAnsi"/>
                <w:color w:val="000000"/>
                <w:sz w:val="20"/>
                <w:lang w:eastAsia="en-AU"/>
              </w:rPr>
              <w:t>g</w:t>
            </w:r>
            <w:r>
              <w:rPr>
                <w:rFonts w:eastAsia="Calibri" w:asciiTheme="minorHAnsi" w:hAnsiTheme="minorHAnsi" w:cstheme="minorHAnsi"/>
                <w:color w:val="000000"/>
                <w:sz w:val="20"/>
                <w:lang w:eastAsia="en-AU"/>
              </w:rPr>
              <w:t>ram</w:t>
            </w:r>
            <w:r w:rsidRPr="00202FEF">
              <w:rPr>
                <w:rFonts w:eastAsia="Calibri" w:asciiTheme="minorHAnsi" w:hAnsiTheme="minorHAnsi" w:cstheme="minorHAnsi"/>
                <w:color w:val="000000"/>
                <w:sz w:val="20"/>
                <w:lang w:eastAsia="en-AU"/>
              </w:rPr>
              <w:t xml:space="preserve"> tablet into the barrel of the oral syringe/dispenser and replace the plunger.</w:t>
            </w:r>
          </w:p>
          <w:p w:rsidRPr="00202FEF" w:rsidR="001525BF" w:rsidP="001B0E05" w:rsidRDefault="001525BF" w14:paraId="085F3BF2"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Draw up exactly 5</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mL of water</w:t>
            </w:r>
            <w:r>
              <w:rPr>
                <w:rFonts w:eastAsia="Calibri" w:asciiTheme="minorHAnsi" w:hAnsiTheme="minorHAnsi" w:cstheme="minorHAnsi"/>
                <w:color w:val="000000"/>
                <w:sz w:val="20"/>
                <w:lang w:eastAsia="en-AU"/>
              </w:rPr>
              <w:t xml:space="preserve"> (sterile/freshly boiled and cooled) </w:t>
            </w:r>
            <w:r w:rsidRPr="00202FEF">
              <w:rPr>
                <w:rFonts w:eastAsia="Calibri" w:asciiTheme="minorHAnsi" w:hAnsiTheme="minorHAnsi" w:cstheme="minorHAnsi"/>
                <w:color w:val="000000"/>
                <w:sz w:val="20"/>
                <w:lang w:eastAsia="en-AU"/>
              </w:rPr>
              <w:t>into the oral syringe/dispenser.</w:t>
            </w:r>
          </w:p>
          <w:p w:rsidRPr="00202FEF" w:rsidR="001525BF" w:rsidP="001B0E05" w:rsidRDefault="001525BF" w14:paraId="488B5934"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Cap the oral syringe/dispenser and shake unt</w:t>
            </w:r>
            <w:r>
              <w:rPr>
                <w:rFonts w:eastAsia="Calibri" w:asciiTheme="minorHAnsi" w:hAnsiTheme="minorHAnsi" w:cstheme="minorHAnsi"/>
                <w:color w:val="000000"/>
                <w:sz w:val="20"/>
                <w:lang w:eastAsia="en-AU"/>
              </w:rPr>
              <w:t>il tablet is fully dispersed</w:t>
            </w:r>
            <w:r w:rsidRPr="00202FEF">
              <w:rPr>
                <w:rFonts w:eastAsia="Calibri" w:asciiTheme="minorHAnsi" w:hAnsiTheme="minorHAnsi" w:cstheme="minorHAnsi"/>
                <w:color w:val="000000"/>
                <w:sz w:val="20"/>
                <w:lang w:eastAsia="en-AU"/>
              </w:rPr>
              <w:t>. This may take up to 2 minutes.</w:t>
            </w:r>
          </w:p>
          <w:p w:rsidRPr="00202FEF" w:rsidR="001525BF" w:rsidP="001B0E05" w:rsidRDefault="001525BF" w14:paraId="24E9F2C3"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The resulting</w:t>
            </w:r>
            <w:r>
              <w:rPr>
                <w:rFonts w:eastAsia="Calibri" w:asciiTheme="minorHAnsi" w:hAnsiTheme="minorHAnsi" w:cstheme="minorHAnsi"/>
                <w:color w:val="000000"/>
                <w:sz w:val="20"/>
                <w:lang w:eastAsia="en-AU"/>
              </w:rPr>
              <w:t xml:space="preserve"> suspension</w:t>
            </w:r>
            <w:r w:rsidRPr="00202FEF">
              <w:rPr>
                <w:rFonts w:eastAsia="Calibri" w:asciiTheme="minorHAnsi" w:hAnsiTheme="minorHAnsi" w:cstheme="minorHAnsi"/>
                <w:color w:val="000000"/>
                <w:sz w:val="20"/>
                <w:lang w:eastAsia="en-AU"/>
              </w:rPr>
              <w:t xml:space="preserve"> </w:t>
            </w:r>
            <w:r>
              <w:rPr>
                <w:rFonts w:eastAsia="Calibri" w:asciiTheme="minorHAnsi" w:hAnsiTheme="minorHAnsi" w:cstheme="minorHAnsi"/>
                <w:color w:val="000000"/>
                <w:sz w:val="20"/>
                <w:lang w:eastAsia="en-AU"/>
              </w:rPr>
              <w:t>concentration is</w:t>
            </w:r>
            <w:r w:rsidRPr="00202FEF">
              <w:rPr>
                <w:rFonts w:eastAsia="Calibri" w:asciiTheme="minorHAnsi" w:hAnsiTheme="minorHAnsi" w:cstheme="minorHAnsi"/>
                <w:color w:val="000000"/>
                <w:sz w:val="20"/>
                <w:lang w:eastAsia="en-AU"/>
              </w:rPr>
              <w:t xml:space="preserve"> 10</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m</w:t>
            </w:r>
            <w:r>
              <w:rPr>
                <w:rFonts w:eastAsia="Calibri" w:asciiTheme="minorHAnsi" w:hAnsiTheme="minorHAnsi" w:cstheme="minorHAnsi"/>
                <w:color w:val="000000"/>
                <w:sz w:val="20"/>
                <w:lang w:eastAsia="en-AU"/>
              </w:rPr>
              <w:t>i</w:t>
            </w:r>
            <w:r w:rsidRPr="00202FEF">
              <w:rPr>
                <w:rFonts w:eastAsia="Calibri" w:asciiTheme="minorHAnsi" w:hAnsiTheme="minorHAnsi" w:cstheme="minorHAnsi"/>
                <w:color w:val="000000"/>
                <w:sz w:val="20"/>
                <w:lang w:eastAsia="en-AU"/>
              </w:rPr>
              <w:t>c</w:t>
            </w:r>
            <w:r>
              <w:rPr>
                <w:rFonts w:eastAsia="Calibri" w:asciiTheme="minorHAnsi" w:hAnsiTheme="minorHAnsi" w:cstheme="minorHAnsi"/>
                <w:color w:val="000000"/>
                <w:sz w:val="20"/>
                <w:lang w:eastAsia="en-AU"/>
              </w:rPr>
              <w:t>ro</w:t>
            </w:r>
            <w:r w:rsidRPr="00202FEF">
              <w:rPr>
                <w:rFonts w:eastAsia="Calibri" w:asciiTheme="minorHAnsi" w:hAnsiTheme="minorHAnsi" w:cstheme="minorHAnsi"/>
                <w:color w:val="000000"/>
                <w:sz w:val="20"/>
                <w:lang w:eastAsia="en-AU"/>
              </w:rPr>
              <w:t>g</w:t>
            </w:r>
            <w:r>
              <w:rPr>
                <w:rFonts w:eastAsia="Calibri" w:asciiTheme="minorHAnsi" w:hAnsiTheme="minorHAnsi" w:cstheme="minorHAnsi"/>
                <w:color w:val="000000"/>
                <w:sz w:val="20"/>
                <w:lang w:eastAsia="en-AU"/>
              </w:rPr>
              <w:t>ram/mL</w:t>
            </w:r>
            <w:r w:rsidRPr="00202FEF">
              <w:rPr>
                <w:rFonts w:eastAsia="Calibri" w:asciiTheme="minorHAnsi" w:hAnsiTheme="minorHAnsi" w:cstheme="minorHAnsi"/>
                <w:color w:val="000000"/>
                <w:sz w:val="20"/>
                <w:lang w:eastAsia="en-AU"/>
              </w:rPr>
              <w:t>.</w:t>
            </w:r>
          </w:p>
          <w:p w:rsidRPr="00202FEF" w:rsidR="001525BF" w:rsidP="001B0E05" w:rsidRDefault="001525BF" w14:paraId="3E12F8A2"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b/>
                <w:color w:val="000000"/>
                <w:sz w:val="20"/>
                <w:lang w:eastAsia="en-AU"/>
              </w:rPr>
              <w:t>Do not allow suspension to settle before discarding the excess</w:t>
            </w:r>
            <w:r w:rsidRPr="00202FEF">
              <w:rPr>
                <w:rFonts w:eastAsia="Calibri" w:asciiTheme="minorHAnsi" w:hAnsiTheme="minorHAnsi" w:cstheme="minorHAnsi"/>
                <w:color w:val="000000"/>
                <w:sz w:val="20"/>
                <w:lang w:eastAsia="en-AU"/>
              </w:rPr>
              <w:t>.</w:t>
            </w:r>
          </w:p>
          <w:p w:rsidR="001525BF" w:rsidP="001B0E05" w:rsidRDefault="001525BF" w14:paraId="78D937DD" w14:textId="77777777">
            <w:pPr>
              <w:pStyle w:val="ListParagraph"/>
              <w:numPr>
                <w:ilvl w:val="0"/>
                <w:numId w:val="129"/>
              </w:numPr>
              <w:rPr>
                <w:rFonts w:eastAsia="Calibri" w:asciiTheme="minorHAnsi" w:hAnsiTheme="minorHAnsi" w:cstheme="minorHAnsi"/>
                <w:color w:val="000000"/>
                <w:sz w:val="20"/>
                <w:lang w:eastAsia="en-AU"/>
              </w:rPr>
            </w:pPr>
            <w:r w:rsidRPr="00202FEF">
              <w:rPr>
                <w:rFonts w:eastAsia="Calibri" w:asciiTheme="minorHAnsi" w:hAnsiTheme="minorHAnsi" w:cstheme="minorHAnsi"/>
                <w:color w:val="000000"/>
                <w:sz w:val="20"/>
                <w:lang w:eastAsia="en-AU"/>
              </w:rPr>
              <w:t>Immediately discard any excess from the syringe, leaving only dose to be administered in the syringe (eg if 10</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m</w:t>
            </w:r>
            <w:r>
              <w:rPr>
                <w:rFonts w:eastAsia="Calibri" w:asciiTheme="minorHAnsi" w:hAnsiTheme="minorHAnsi" w:cstheme="minorHAnsi"/>
                <w:color w:val="000000"/>
                <w:sz w:val="20"/>
                <w:lang w:eastAsia="en-AU"/>
              </w:rPr>
              <w:t>i</w:t>
            </w:r>
            <w:r w:rsidRPr="00202FEF">
              <w:rPr>
                <w:rFonts w:eastAsia="Calibri" w:asciiTheme="minorHAnsi" w:hAnsiTheme="minorHAnsi" w:cstheme="minorHAnsi"/>
                <w:color w:val="000000"/>
                <w:sz w:val="20"/>
                <w:lang w:eastAsia="en-AU"/>
              </w:rPr>
              <w:t>c</w:t>
            </w:r>
            <w:r>
              <w:rPr>
                <w:rFonts w:eastAsia="Calibri" w:asciiTheme="minorHAnsi" w:hAnsiTheme="minorHAnsi" w:cstheme="minorHAnsi"/>
                <w:color w:val="000000"/>
                <w:sz w:val="20"/>
                <w:lang w:eastAsia="en-AU"/>
              </w:rPr>
              <w:t>ro</w:t>
            </w:r>
            <w:r w:rsidRPr="00202FEF">
              <w:rPr>
                <w:rFonts w:eastAsia="Calibri" w:asciiTheme="minorHAnsi" w:hAnsiTheme="minorHAnsi" w:cstheme="minorHAnsi"/>
                <w:color w:val="000000"/>
                <w:sz w:val="20"/>
                <w:lang w:eastAsia="en-AU"/>
              </w:rPr>
              <w:t>g</w:t>
            </w:r>
            <w:r>
              <w:rPr>
                <w:rFonts w:eastAsia="Calibri" w:asciiTheme="minorHAnsi" w:hAnsiTheme="minorHAnsi" w:cstheme="minorHAnsi"/>
                <w:color w:val="000000"/>
                <w:sz w:val="20"/>
                <w:lang w:eastAsia="en-AU"/>
              </w:rPr>
              <w:t>ram</w:t>
            </w:r>
            <w:r w:rsidRPr="00202FEF">
              <w:rPr>
                <w:rFonts w:eastAsia="Calibri" w:asciiTheme="minorHAnsi" w:hAnsiTheme="minorHAnsi" w:cstheme="minorHAnsi"/>
                <w:color w:val="000000"/>
                <w:sz w:val="20"/>
                <w:lang w:eastAsia="en-AU"/>
              </w:rPr>
              <w:t xml:space="preserve"> is to be delivered, dispose of 4</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mL, leaving only 1</w:t>
            </w:r>
            <w:r>
              <w:rPr>
                <w:rFonts w:eastAsia="Calibri" w:asciiTheme="minorHAnsi" w:hAnsiTheme="minorHAnsi" w:cstheme="minorHAnsi"/>
                <w:color w:val="000000"/>
                <w:sz w:val="20"/>
                <w:lang w:eastAsia="en-AU"/>
              </w:rPr>
              <w:t xml:space="preserve"> </w:t>
            </w:r>
            <w:r w:rsidRPr="00202FEF">
              <w:rPr>
                <w:rFonts w:eastAsia="Calibri" w:asciiTheme="minorHAnsi" w:hAnsiTheme="minorHAnsi" w:cstheme="minorHAnsi"/>
                <w:color w:val="000000"/>
                <w:sz w:val="20"/>
                <w:lang w:eastAsia="en-AU"/>
              </w:rPr>
              <w:t xml:space="preserve">mL in the syringe). </w:t>
            </w:r>
          </w:p>
          <w:p w:rsidRPr="00202FEF" w:rsidR="001525BF" w:rsidP="001B0E05" w:rsidRDefault="001525BF" w14:paraId="40411165" w14:textId="77777777">
            <w:pPr>
              <w:pStyle w:val="ListParagraph"/>
              <w:numPr>
                <w:ilvl w:val="0"/>
                <w:numId w:val="129"/>
              </w:numPr>
              <w:rPr>
                <w:rFonts w:asciiTheme="minorHAnsi" w:hAnsiTheme="minorHAnsi" w:cstheme="minorHAnsi"/>
                <w:sz w:val="20"/>
              </w:rPr>
            </w:pPr>
            <w:r w:rsidRPr="00202FEF">
              <w:rPr>
                <w:rFonts w:eastAsia="Calibri" w:asciiTheme="minorHAnsi" w:hAnsiTheme="minorHAnsi" w:cstheme="minorHAnsi"/>
                <w:color w:val="000000"/>
                <w:sz w:val="20"/>
                <w:lang w:eastAsia="en-AU"/>
              </w:rPr>
              <w:t>Administer the medication immediately</w:t>
            </w:r>
            <w:r>
              <w:rPr>
                <w:rFonts w:eastAsia="Calibri" w:asciiTheme="minorHAnsi" w:hAnsiTheme="minorHAnsi" w:cstheme="minorHAnsi"/>
                <w:color w:val="000000"/>
                <w:sz w:val="20"/>
                <w:lang w:eastAsia="en-AU"/>
              </w:rPr>
              <w:t>, just before a feed</w:t>
            </w:r>
            <w:r w:rsidRPr="00202FEF">
              <w:rPr>
                <w:rFonts w:eastAsia="Calibri" w:asciiTheme="minorHAnsi" w:hAnsiTheme="minorHAnsi" w:cstheme="minorHAnsi"/>
                <w:color w:val="000000"/>
                <w:sz w:val="20"/>
                <w:lang w:eastAsia="en-AU"/>
              </w:rPr>
              <w:t>.</w:t>
            </w:r>
          </w:p>
        </w:tc>
      </w:tr>
      <w:tr w:rsidRPr="001279F9" w:rsidR="001525BF" w:rsidTr="00FE4186" w14:paraId="33CAF734" w14:textId="77777777">
        <w:trPr>
          <w:trHeight w:val="410"/>
        </w:trPr>
        <w:tc>
          <w:tcPr>
            <w:tcW w:w="834" w:type="pct"/>
          </w:tcPr>
          <w:p w:rsidRPr="001279F9" w:rsidR="001525BF" w:rsidP="00FE4186" w:rsidRDefault="001525BF" w14:paraId="48540CB2" w14:textId="77777777">
            <w:pPr>
              <w:pStyle w:val="BodyText"/>
              <w:rPr>
                <w:rFonts w:cs="Arial" w:asciiTheme="minorHAnsi" w:hAnsiTheme="minorHAnsi"/>
                <w:b/>
                <w:bCs/>
                <w:sz w:val="20"/>
              </w:rPr>
            </w:pPr>
            <w:r w:rsidRPr="001279F9">
              <w:rPr>
                <w:rFonts w:cs="Arial" w:asciiTheme="minorHAnsi" w:hAnsiTheme="minorHAnsi"/>
                <w:b/>
                <w:bCs/>
                <w:sz w:val="20"/>
              </w:rPr>
              <w:lastRenderedPageBreak/>
              <w:t xml:space="preserve">Administration                 </w:t>
            </w:r>
          </w:p>
        </w:tc>
        <w:tc>
          <w:tcPr>
            <w:tcW w:w="4166" w:type="pct"/>
          </w:tcPr>
          <w:p w:rsidR="001525BF" w:rsidP="00FE4186" w:rsidRDefault="001525BF" w14:paraId="5B77F708" w14:textId="77777777">
            <w:pPr>
              <w:pStyle w:val="BodyText"/>
              <w:rPr>
                <w:rFonts w:cs="Arial" w:asciiTheme="minorHAnsi" w:hAnsiTheme="minorHAnsi"/>
                <w:sz w:val="20"/>
              </w:rPr>
            </w:pPr>
            <w:r w:rsidRPr="001279F9">
              <w:rPr>
                <w:rFonts w:cs="Arial" w:asciiTheme="minorHAnsi" w:hAnsiTheme="minorHAnsi"/>
                <w:sz w:val="20"/>
              </w:rPr>
              <w:t xml:space="preserve">Can be administered in the morning or evening, </w:t>
            </w:r>
            <w:r>
              <w:rPr>
                <w:rFonts w:cs="Arial" w:asciiTheme="minorHAnsi" w:hAnsiTheme="minorHAnsi"/>
                <w:sz w:val="20"/>
              </w:rPr>
              <w:t>preferably before</w:t>
            </w:r>
            <w:r w:rsidRPr="001279F9">
              <w:rPr>
                <w:rFonts w:cs="Arial" w:asciiTheme="minorHAnsi" w:hAnsiTheme="minorHAnsi"/>
                <w:sz w:val="20"/>
              </w:rPr>
              <w:t xml:space="preserve"> feed. Should be administered in the same way</w:t>
            </w:r>
            <w:r>
              <w:rPr>
                <w:rFonts w:cs="Arial" w:asciiTheme="minorHAnsi" w:hAnsiTheme="minorHAnsi"/>
                <w:sz w:val="20"/>
              </w:rPr>
              <w:t>, at the same time</w:t>
            </w:r>
            <w:r w:rsidRPr="001279F9">
              <w:rPr>
                <w:rFonts w:cs="Arial" w:asciiTheme="minorHAnsi" w:hAnsiTheme="minorHAnsi"/>
                <w:sz w:val="20"/>
              </w:rPr>
              <w:t xml:space="preserve"> every day.</w:t>
            </w:r>
            <w:r>
              <w:rPr>
                <w:rFonts w:cs="Arial" w:asciiTheme="minorHAnsi" w:hAnsiTheme="minorHAnsi"/>
                <w:sz w:val="20"/>
              </w:rPr>
              <w:t xml:space="preserve"> </w:t>
            </w:r>
          </w:p>
          <w:p w:rsidRPr="001279F9" w:rsidR="001525BF" w:rsidP="00FE4186" w:rsidRDefault="001525BF" w14:paraId="244CDD1A" w14:textId="77777777">
            <w:pPr>
              <w:pStyle w:val="BodyText"/>
              <w:rPr>
                <w:rFonts w:cs="Arial" w:asciiTheme="minorHAnsi" w:hAnsiTheme="minorHAnsi"/>
                <w:sz w:val="20"/>
              </w:rPr>
            </w:pPr>
            <w:r>
              <w:rPr>
                <w:rFonts w:cs="Arial" w:asciiTheme="minorHAnsi" w:hAnsiTheme="minorHAnsi"/>
                <w:sz w:val="20"/>
              </w:rPr>
              <w:t>Levothyroxine</w:t>
            </w:r>
            <w:r w:rsidRPr="007B23A5">
              <w:rPr>
                <w:rFonts w:cs="Arial" w:asciiTheme="minorHAnsi" w:hAnsiTheme="minorHAnsi"/>
                <w:sz w:val="20"/>
              </w:rPr>
              <w:t xml:space="preserve"> should not be mixed with substances that interfere with gastrointestinal absorption, such as soy protein formula, concentrated iron or calcium [ensure at least a 2</w:t>
            </w:r>
            <w:r>
              <w:rPr>
                <w:rFonts w:cs="Arial" w:asciiTheme="minorHAnsi" w:hAnsiTheme="minorHAnsi"/>
                <w:sz w:val="20"/>
              </w:rPr>
              <w:t>-</w:t>
            </w:r>
            <w:r w:rsidRPr="007B23A5">
              <w:rPr>
                <w:rFonts w:cs="Arial" w:asciiTheme="minorHAnsi" w:hAnsiTheme="minorHAnsi"/>
                <w:sz w:val="20"/>
              </w:rPr>
              <w:t>hour interval].</w:t>
            </w:r>
          </w:p>
        </w:tc>
      </w:tr>
      <w:tr w:rsidRPr="001279F9" w:rsidR="001525BF" w:rsidTr="00FE4186" w14:paraId="555CE86E" w14:textId="77777777">
        <w:trPr>
          <w:trHeight w:val="407"/>
        </w:trPr>
        <w:tc>
          <w:tcPr>
            <w:tcW w:w="834" w:type="pct"/>
          </w:tcPr>
          <w:p w:rsidRPr="001279F9" w:rsidR="001525BF" w:rsidP="00FE4186" w:rsidRDefault="001525BF" w14:paraId="0C7A47AE" w14:textId="77777777">
            <w:pPr>
              <w:pStyle w:val="BodyText"/>
              <w:rPr>
                <w:rFonts w:cs="Arial" w:asciiTheme="minorHAnsi" w:hAnsiTheme="minorHAnsi"/>
                <w:b/>
                <w:bCs/>
                <w:sz w:val="20"/>
              </w:rPr>
            </w:pPr>
            <w:r w:rsidRPr="001279F9">
              <w:rPr>
                <w:rFonts w:cs="Arial" w:asciiTheme="minorHAnsi" w:hAnsiTheme="minorHAnsi"/>
                <w:b/>
                <w:bCs/>
                <w:sz w:val="20"/>
              </w:rPr>
              <w:t xml:space="preserve">Monitoring                              </w:t>
            </w:r>
          </w:p>
          <w:p w:rsidRPr="001279F9" w:rsidR="001525BF" w:rsidP="00FE4186" w:rsidRDefault="001525BF" w14:paraId="4A1CA41E" w14:textId="77777777">
            <w:pPr>
              <w:pStyle w:val="BodyText"/>
              <w:rPr>
                <w:rFonts w:cs="Arial" w:asciiTheme="minorHAnsi" w:hAnsiTheme="minorHAnsi"/>
                <w:sz w:val="20"/>
              </w:rPr>
            </w:pPr>
          </w:p>
        </w:tc>
        <w:tc>
          <w:tcPr>
            <w:tcW w:w="4166" w:type="pct"/>
          </w:tcPr>
          <w:p w:rsidR="001525BF" w:rsidP="00FE4186" w:rsidRDefault="001525BF" w14:paraId="47D0FECC" w14:textId="77777777">
            <w:r>
              <w:rPr>
                <w:rFonts w:cs="Arial" w:asciiTheme="minorHAnsi" w:hAnsiTheme="minorHAnsi"/>
                <w:sz w:val="20"/>
                <w:lang w:eastAsia="en-AU"/>
              </w:rPr>
              <w:t>The goal of initial therapy is</w:t>
            </w:r>
            <w:r w:rsidRPr="001279F9">
              <w:rPr>
                <w:rFonts w:cs="Arial" w:asciiTheme="minorHAnsi" w:hAnsiTheme="minorHAnsi"/>
                <w:sz w:val="20"/>
                <w:lang w:eastAsia="en-AU"/>
              </w:rPr>
              <w:t xml:space="preserve"> to </w:t>
            </w:r>
            <w:r>
              <w:rPr>
                <w:rFonts w:cs="Arial" w:asciiTheme="minorHAnsi" w:hAnsiTheme="minorHAnsi"/>
                <w:sz w:val="20"/>
                <w:lang w:eastAsia="en-AU"/>
              </w:rPr>
              <w:t>raise</w:t>
            </w:r>
            <w:r w:rsidRPr="001279F9">
              <w:rPr>
                <w:rFonts w:cs="Arial" w:asciiTheme="minorHAnsi" w:hAnsiTheme="minorHAnsi"/>
                <w:sz w:val="20"/>
                <w:lang w:eastAsia="en-AU"/>
              </w:rPr>
              <w:t xml:space="preserve"> free T4 concentration </w:t>
            </w:r>
            <w:r>
              <w:rPr>
                <w:rFonts w:cs="Arial" w:asciiTheme="minorHAnsi" w:hAnsiTheme="minorHAnsi"/>
                <w:sz w:val="20"/>
                <w:lang w:eastAsia="en-AU"/>
              </w:rPr>
              <w:t>to</w:t>
            </w:r>
            <w:r w:rsidRPr="001279F9">
              <w:rPr>
                <w:rFonts w:cs="Arial" w:asciiTheme="minorHAnsi" w:hAnsiTheme="minorHAnsi"/>
                <w:sz w:val="20"/>
                <w:lang w:eastAsia="en-AU"/>
              </w:rPr>
              <w:t xml:space="preserve"> the upper end of the normal range within 2 weeks of starting therapy and </w:t>
            </w:r>
            <w:r>
              <w:rPr>
                <w:rFonts w:cs="Arial" w:asciiTheme="minorHAnsi" w:hAnsiTheme="minorHAnsi"/>
                <w:sz w:val="20"/>
                <w:lang w:eastAsia="en-AU"/>
              </w:rPr>
              <w:t xml:space="preserve">decrease </w:t>
            </w:r>
            <w:r w:rsidRPr="001279F9">
              <w:rPr>
                <w:rFonts w:cs="Arial" w:asciiTheme="minorHAnsi" w:hAnsiTheme="minorHAnsi"/>
                <w:sz w:val="20"/>
                <w:lang w:eastAsia="en-AU"/>
              </w:rPr>
              <w:t xml:space="preserve">the TSH </w:t>
            </w:r>
            <w:r>
              <w:rPr>
                <w:rFonts w:cs="Arial" w:asciiTheme="minorHAnsi" w:hAnsiTheme="minorHAnsi"/>
                <w:sz w:val="20"/>
                <w:lang w:eastAsia="en-AU"/>
              </w:rPr>
              <w:t xml:space="preserve">to </w:t>
            </w:r>
            <w:r w:rsidRPr="001279F9">
              <w:rPr>
                <w:rFonts w:cs="Arial" w:asciiTheme="minorHAnsi" w:hAnsiTheme="minorHAnsi"/>
                <w:sz w:val="20"/>
                <w:lang w:eastAsia="en-AU"/>
              </w:rPr>
              <w:t>&lt;20 mU/L within the first month.</w:t>
            </w:r>
            <w:r w:rsidRPr="001279F9">
              <w:rPr>
                <w:rFonts w:cs="Arial" w:asciiTheme="minorHAnsi" w:hAnsiTheme="minorHAnsi"/>
                <w:noProof/>
                <w:sz w:val="20"/>
                <w:lang w:eastAsia="en-AU"/>
              </w:rPr>
              <w:t>[1, 2]</w:t>
            </w:r>
            <w:r>
              <w:t xml:space="preserve"> </w:t>
            </w:r>
          </w:p>
          <w:p w:rsidRPr="001279F9" w:rsidR="001525BF" w:rsidP="00FE4186" w:rsidRDefault="001525BF" w14:paraId="37CBA12A" w14:textId="77777777">
            <w:pPr>
              <w:rPr>
                <w:rFonts w:cs="Arial" w:asciiTheme="minorHAnsi" w:hAnsiTheme="minorHAnsi"/>
                <w:sz w:val="20"/>
                <w:lang w:eastAsia="en-AU"/>
              </w:rPr>
            </w:pPr>
            <w:r>
              <w:rPr>
                <w:rFonts w:cs="Arial" w:asciiTheme="minorHAnsi" w:hAnsiTheme="minorHAnsi"/>
                <w:noProof/>
                <w:sz w:val="20"/>
                <w:lang w:eastAsia="en-AU"/>
              </w:rPr>
              <w:t>The g</w:t>
            </w:r>
            <w:r w:rsidRPr="0072367E">
              <w:rPr>
                <w:rFonts w:cs="Arial" w:asciiTheme="minorHAnsi" w:hAnsiTheme="minorHAnsi"/>
                <w:noProof/>
                <w:sz w:val="20"/>
                <w:lang w:eastAsia="en-AU"/>
              </w:rPr>
              <w:t>oal of maintenance therapy is to normalise the TSH and aim for free T4 in the upper half of the normal range.[2]</w:t>
            </w:r>
          </w:p>
          <w:p w:rsidRPr="001279F9" w:rsidR="001525BF" w:rsidP="00FE4186" w:rsidRDefault="001525BF" w14:paraId="19F2A5EC" w14:textId="77777777">
            <w:pPr>
              <w:rPr>
                <w:rFonts w:cs="Arial" w:asciiTheme="minorHAnsi" w:hAnsiTheme="minorHAnsi"/>
                <w:sz w:val="20"/>
                <w:lang w:eastAsia="en-AU"/>
              </w:rPr>
            </w:pPr>
            <w:r w:rsidRPr="001279F9">
              <w:rPr>
                <w:rFonts w:cs="Arial" w:asciiTheme="minorHAnsi" w:hAnsiTheme="minorHAnsi"/>
                <w:sz w:val="20"/>
                <w:lang w:eastAsia="en-AU"/>
              </w:rPr>
              <w:t>The baby is re-examined and repeat thyroid tests are performed at two weeks after starting therapy, at 6 weeks, at 3 months and 2</w:t>
            </w:r>
            <w:r>
              <w:rPr>
                <w:rFonts w:cs="Arial" w:asciiTheme="minorHAnsi" w:hAnsiTheme="minorHAnsi"/>
                <w:sz w:val="20"/>
                <w:lang w:eastAsia="en-AU"/>
              </w:rPr>
              <w:t>–</w:t>
            </w:r>
            <w:r w:rsidRPr="001279F9">
              <w:rPr>
                <w:rFonts w:cs="Arial" w:asciiTheme="minorHAnsi" w:hAnsiTheme="minorHAnsi"/>
                <w:sz w:val="20"/>
                <w:lang w:eastAsia="en-AU"/>
              </w:rPr>
              <w:t>3</w:t>
            </w:r>
            <w:r>
              <w:rPr>
                <w:rFonts w:cs="Arial" w:asciiTheme="minorHAnsi" w:hAnsiTheme="minorHAnsi"/>
                <w:sz w:val="20"/>
                <w:lang w:eastAsia="en-AU"/>
              </w:rPr>
              <w:t>-</w:t>
            </w:r>
            <w:r w:rsidRPr="001279F9">
              <w:rPr>
                <w:rFonts w:cs="Arial" w:asciiTheme="minorHAnsi" w:hAnsiTheme="minorHAnsi"/>
                <w:sz w:val="20"/>
                <w:lang w:eastAsia="en-AU"/>
              </w:rPr>
              <w:t xml:space="preserve">monthly for the first year of life. </w:t>
            </w:r>
          </w:p>
          <w:p w:rsidRPr="001279F9" w:rsidR="001525BF" w:rsidP="00FE4186" w:rsidRDefault="001525BF" w14:paraId="0CD40429" w14:textId="77777777">
            <w:pPr>
              <w:rPr>
                <w:rFonts w:cs="Arial" w:asciiTheme="minorHAnsi" w:hAnsiTheme="minorHAnsi"/>
                <w:sz w:val="20"/>
                <w:lang w:eastAsia="en-AU"/>
              </w:rPr>
            </w:pPr>
            <w:r w:rsidRPr="001279F9">
              <w:rPr>
                <w:rFonts w:cs="Arial" w:asciiTheme="minorHAnsi" w:hAnsiTheme="minorHAnsi"/>
                <w:sz w:val="20"/>
                <w:lang w:eastAsia="en-AU"/>
              </w:rPr>
              <w:t xml:space="preserve">More frequent review may be necessary if problems arise. </w:t>
            </w:r>
          </w:p>
          <w:p w:rsidRPr="001279F9" w:rsidR="001525BF" w:rsidP="00FE4186" w:rsidRDefault="001525BF" w14:paraId="3CB05FED" w14:textId="77777777">
            <w:pPr>
              <w:rPr>
                <w:rFonts w:cs="Arial" w:asciiTheme="minorHAnsi" w:hAnsiTheme="minorHAnsi"/>
                <w:sz w:val="20"/>
                <w:lang w:eastAsia="en-AU"/>
              </w:rPr>
            </w:pPr>
            <w:r w:rsidRPr="001279F9">
              <w:rPr>
                <w:rFonts w:cs="Arial" w:asciiTheme="minorHAnsi" w:hAnsiTheme="minorHAnsi"/>
                <w:sz w:val="20"/>
                <w:lang w:eastAsia="en-AU"/>
              </w:rPr>
              <w:t>Thereafter, clinical examination and thyroid function testing occurs three</w:t>
            </w:r>
            <w:r>
              <w:rPr>
                <w:rFonts w:cs="Arial" w:asciiTheme="minorHAnsi" w:hAnsiTheme="minorHAnsi"/>
                <w:sz w:val="20"/>
                <w:lang w:eastAsia="en-AU"/>
              </w:rPr>
              <w:t>-</w:t>
            </w:r>
            <w:r w:rsidRPr="001279F9">
              <w:rPr>
                <w:rFonts w:cs="Arial" w:asciiTheme="minorHAnsi" w:hAnsiTheme="minorHAnsi"/>
                <w:sz w:val="20"/>
                <w:lang w:eastAsia="en-AU"/>
              </w:rPr>
              <w:t>monthly unless there has been a significant dose change, a change to or from soy-based formula or there is a clinical indication. Reviews can be done at about four</w:t>
            </w:r>
            <w:r>
              <w:rPr>
                <w:rFonts w:cs="Arial" w:asciiTheme="minorHAnsi" w:hAnsiTheme="minorHAnsi"/>
                <w:sz w:val="20"/>
                <w:lang w:eastAsia="en-AU"/>
              </w:rPr>
              <w:t>-</w:t>
            </w:r>
            <w:r w:rsidRPr="001279F9">
              <w:rPr>
                <w:rFonts w:cs="Arial" w:asciiTheme="minorHAnsi" w:hAnsiTheme="minorHAnsi"/>
                <w:sz w:val="20"/>
                <w:lang w:eastAsia="en-AU"/>
              </w:rPr>
              <w:t>monthly intervals after the age of three years and in older children fou</w:t>
            </w:r>
            <w:r>
              <w:rPr>
                <w:rFonts w:cs="Arial" w:asciiTheme="minorHAnsi" w:hAnsiTheme="minorHAnsi"/>
                <w:sz w:val="20"/>
                <w:lang w:eastAsia="en-AU"/>
              </w:rPr>
              <w:t>r-</w:t>
            </w:r>
            <w:r w:rsidRPr="001279F9">
              <w:rPr>
                <w:rFonts w:cs="Arial" w:asciiTheme="minorHAnsi" w:hAnsiTheme="minorHAnsi"/>
                <w:sz w:val="20"/>
                <w:lang w:eastAsia="en-AU"/>
              </w:rPr>
              <w:t xml:space="preserve"> to six</w:t>
            </w:r>
            <w:r>
              <w:rPr>
                <w:rFonts w:cs="Arial" w:asciiTheme="minorHAnsi" w:hAnsiTheme="minorHAnsi"/>
                <w:sz w:val="20"/>
                <w:lang w:eastAsia="en-AU"/>
              </w:rPr>
              <w:t>-</w:t>
            </w:r>
            <w:r w:rsidRPr="001279F9">
              <w:rPr>
                <w:rFonts w:cs="Arial" w:asciiTheme="minorHAnsi" w:hAnsiTheme="minorHAnsi"/>
                <w:sz w:val="20"/>
                <w:lang w:eastAsia="en-AU"/>
              </w:rPr>
              <w:t>monthly.</w:t>
            </w:r>
            <w:r w:rsidRPr="001279F9">
              <w:rPr>
                <w:rFonts w:cs="Arial" w:asciiTheme="minorHAnsi" w:hAnsiTheme="minorHAnsi"/>
                <w:noProof/>
                <w:sz w:val="20"/>
                <w:lang w:eastAsia="en-AU"/>
              </w:rPr>
              <w:t>[1]</w:t>
            </w:r>
          </w:p>
        </w:tc>
      </w:tr>
      <w:tr w:rsidRPr="001279F9" w:rsidR="001525BF" w:rsidTr="00FE4186" w14:paraId="29731D84" w14:textId="77777777">
        <w:trPr>
          <w:trHeight w:val="330"/>
        </w:trPr>
        <w:tc>
          <w:tcPr>
            <w:tcW w:w="834" w:type="pct"/>
          </w:tcPr>
          <w:p w:rsidRPr="001279F9" w:rsidR="001525BF" w:rsidP="00FE4186" w:rsidRDefault="001525BF" w14:paraId="684D9BED" w14:textId="77777777">
            <w:pPr>
              <w:pStyle w:val="BodyText"/>
              <w:rPr>
                <w:rFonts w:cs="Arial" w:asciiTheme="minorHAnsi" w:hAnsiTheme="minorHAnsi"/>
                <w:sz w:val="20"/>
              </w:rPr>
            </w:pPr>
            <w:r w:rsidRPr="001279F9">
              <w:rPr>
                <w:rFonts w:cs="Arial" w:asciiTheme="minorHAnsi" w:hAnsiTheme="minorHAnsi"/>
                <w:b/>
                <w:bCs/>
                <w:sz w:val="20"/>
              </w:rPr>
              <w:t>Contraindications</w:t>
            </w:r>
          </w:p>
        </w:tc>
        <w:tc>
          <w:tcPr>
            <w:tcW w:w="4166" w:type="pct"/>
          </w:tcPr>
          <w:p w:rsidRPr="001279F9" w:rsidR="001525BF" w:rsidP="00FE4186" w:rsidRDefault="001525BF" w14:paraId="0463B662" w14:textId="77777777">
            <w:pPr>
              <w:pStyle w:val="BodyText"/>
              <w:rPr>
                <w:rFonts w:cs="Arial" w:asciiTheme="minorHAnsi" w:hAnsiTheme="minorHAnsi"/>
                <w:sz w:val="20"/>
              </w:rPr>
            </w:pPr>
            <w:r w:rsidRPr="001279F9">
              <w:rPr>
                <w:rFonts w:cs="Arial" w:asciiTheme="minorHAnsi" w:hAnsiTheme="minorHAnsi"/>
                <w:sz w:val="20"/>
              </w:rPr>
              <w:t xml:space="preserve">Known hypersensitivity to levothyroxine.  </w:t>
            </w:r>
          </w:p>
          <w:p w:rsidRPr="001279F9" w:rsidR="001525BF" w:rsidP="00FE4186" w:rsidRDefault="001525BF" w14:paraId="00587492" w14:textId="77777777">
            <w:pPr>
              <w:pStyle w:val="BodyText"/>
              <w:rPr>
                <w:rFonts w:cs="Arial" w:asciiTheme="minorHAnsi" w:hAnsiTheme="minorHAnsi"/>
                <w:sz w:val="20"/>
              </w:rPr>
            </w:pPr>
            <w:r w:rsidRPr="001279F9">
              <w:rPr>
                <w:rFonts w:cs="Arial" w:asciiTheme="minorHAnsi" w:hAnsiTheme="minorHAnsi"/>
                <w:sz w:val="20"/>
              </w:rPr>
              <w:t>Untreated hyperthyroidism.</w:t>
            </w:r>
          </w:p>
          <w:p w:rsidRPr="001279F9" w:rsidR="001525BF" w:rsidP="00FE4186" w:rsidRDefault="001525BF" w14:paraId="5C7CA389" w14:textId="77777777">
            <w:pPr>
              <w:pStyle w:val="BodyText"/>
              <w:rPr>
                <w:rFonts w:cs="Arial" w:asciiTheme="minorHAnsi" w:hAnsiTheme="minorHAnsi"/>
                <w:sz w:val="20"/>
              </w:rPr>
            </w:pPr>
            <w:r w:rsidRPr="001279F9">
              <w:rPr>
                <w:rFonts w:cs="Arial" w:asciiTheme="minorHAnsi" w:hAnsiTheme="minorHAnsi"/>
                <w:sz w:val="20"/>
              </w:rPr>
              <w:t>Uncorrected primary or secondary adrenal insufficiency.</w:t>
            </w:r>
          </w:p>
          <w:p w:rsidRPr="001279F9" w:rsidR="001525BF" w:rsidP="00FE4186" w:rsidRDefault="001525BF" w14:paraId="349A95D7" w14:textId="77777777">
            <w:pPr>
              <w:pStyle w:val="BodyText"/>
              <w:rPr>
                <w:rFonts w:cs="Arial" w:asciiTheme="minorHAnsi" w:hAnsiTheme="minorHAnsi"/>
                <w:sz w:val="20"/>
              </w:rPr>
            </w:pPr>
            <w:r w:rsidRPr="001279F9">
              <w:rPr>
                <w:rFonts w:cs="Arial" w:asciiTheme="minorHAnsi" w:hAnsiTheme="minorHAnsi"/>
                <w:sz w:val="20"/>
              </w:rPr>
              <w:t>Acute myocardial infarction.</w:t>
            </w:r>
          </w:p>
        </w:tc>
      </w:tr>
      <w:tr w:rsidRPr="001279F9" w:rsidR="001525BF" w:rsidTr="00FE4186" w14:paraId="4B6EB056" w14:textId="77777777">
        <w:tc>
          <w:tcPr>
            <w:tcW w:w="834" w:type="pct"/>
          </w:tcPr>
          <w:p w:rsidRPr="001279F9" w:rsidR="001525BF" w:rsidP="00FE4186" w:rsidRDefault="001525BF" w14:paraId="40402493" w14:textId="77777777">
            <w:pPr>
              <w:pStyle w:val="BodyText"/>
              <w:rPr>
                <w:rFonts w:cs="Arial" w:asciiTheme="minorHAnsi" w:hAnsiTheme="minorHAnsi"/>
                <w:b/>
                <w:bCs/>
                <w:sz w:val="20"/>
              </w:rPr>
            </w:pPr>
            <w:r w:rsidRPr="001279F9">
              <w:rPr>
                <w:rFonts w:asciiTheme="minorHAnsi" w:hAnsiTheme="minorHAnsi"/>
                <w:sz w:val="20"/>
              </w:rPr>
              <w:br w:type="page"/>
            </w:r>
            <w:r w:rsidRPr="001279F9">
              <w:rPr>
                <w:rFonts w:cs="Arial" w:asciiTheme="minorHAnsi" w:hAnsiTheme="minorHAnsi"/>
                <w:b/>
                <w:bCs/>
                <w:sz w:val="20"/>
              </w:rPr>
              <w:t>Precautions</w:t>
            </w:r>
          </w:p>
        </w:tc>
        <w:tc>
          <w:tcPr>
            <w:tcW w:w="4166" w:type="pct"/>
          </w:tcPr>
          <w:p w:rsidRPr="001279F9" w:rsidR="001525BF" w:rsidP="00FE4186" w:rsidRDefault="001525BF" w14:paraId="77C7EA26" w14:textId="77777777">
            <w:pPr>
              <w:pStyle w:val="BodyText"/>
              <w:rPr>
                <w:rFonts w:cs="Arial" w:asciiTheme="minorHAnsi" w:hAnsiTheme="minorHAnsi"/>
                <w:sz w:val="20"/>
              </w:rPr>
            </w:pPr>
            <w:r w:rsidRPr="001279F9">
              <w:rPr>
                <w:rFonts w:cs="Arial" w:asciiTheme="minorHAnsi" w:hAnsiTheme="minorHAnsi"/>
                <w:sz w:val="20"/>
              </w:rPr>
              <w:t xml:space="preserve">In pre-existing cardiac insufficiency, introduce </w:t>
            </w:r>
            <w:r>
              <w:rPr>
                <w:rFonts w:cs="Arial" w:asciiTheme="minorHAnsi" w:hAnsiTheme="minorHAnsi"/>
                <w:sz w:val="20"/>
              </w:rPr>
              <w:t>levothyroxine</w:t>
            </w:r>
            <w:r w:rsidRPr="001279F9">
              <w:rPr>
                <w:rFonts w:cs="Arial" w:asciiTheme="minorHAnsi" w:hAnsiTheme="minorHAnsi"/>
                <w:sz w:val="20"/>
              </w:rPr>
              <w:t xml:space="preserve"> at 50% of the target replacement dose and increase after 2 weeks based on free T4 levels.</w:t>
            </w:r>
          </w:p>
        </w:tc>
      </w:tr>
      <w:tr w:rsidRPr="001279F9" w:rsidR="001525BF" w:rsidTr="00FE4186" w14:paraId="1CFA2DA8" w14:textId="77777777">
        <w:trPr>
          <w:trHeight w:val="396"/>
        </w:trPr>
        <w:tc>
          <w:tcPr>
            <w:tcW w:w="834" w:type="pct"/>
          </w:tcPr>
          <w:p w:rsidRPr="001279F9" w:rsidR="001525BF" w:rsidP="00FE4186" w:rsidRDefault="001525BF" w14:paraId="706FA8E2" w14:textId="77777777">
            <w:pPr>
              <w:pStyle w:val="BodyText"/>
              <w:rPr>
                <w:rFonts w:cs="Arial" w:asciiTheme="minorHAnsi" w:hAnsiTheme="minorHAnsi"/>
                <w:b/>
                <w:bCs/>
                <w:sz w:val="20"/>
              </w:rPr>
            </w:pPr>
            <w:r w:rsidRPr="001279F9">
              <w:rPr>
                <w:rFonts w:cs="Arial" w:asciiTheme="minorHAnsi" w:hAnsiTheme="minorHAnsi"/>
                <w:b/>
                <w:bCs/>
                <w:sz w:val="20"/>
              </w:rPr>
              <w:lastRenderedPageBreak/>
              <w:t>Drug Interactions</w:t>
            </w:r>
          </w:p>
        </w:tc>
        <w:tc>
          <w:tcPr>
            <w:tcW w:w="4166" w:type="pct"/>
          </w:tcPr>
          <w:p w:rsidRPr="001279F9" w:rsidR="001525BF" w:rsidP="00FE4186" w:rsidRDefault="001525BF" w14:paraId="06AED78C" w14:textId="77777777">
            <w:pPr>
              <w:pStyle w:val="BodyText"/>
              <w:rPr>
                <w:rFonts w:cs="Arial" w:asciiTheme="minorHAnsi" w:hAnsiTheme="minorHAnsi"/>
                <w:sz w:val="20"/>
              </w:rPr>
            </w:pPr>
            <w:r w:rsidRPr="001279F9">
              <w:rPr>
                <w:rFonts w:cs="Arial" w:asciiTheme="minorHAnsi" w:hAnsiTheme="minorHAnsi"/>
                <w:sz w:val="20"/>
              </w:rPr>
              <w:t xml:space="preserve">Ketamine </w:t>
            </w:r>
            <w:r>
              <w:rPr>
                <w:rFonts w:cs="Arial" w:asciiTheme="minorHAnsi" w:hAnsiTheme="minorHAnsi"/>
                <w:sz w:val="20"/>
              </w:rPr>
              <w:t>–</w:t>
            </w:r>
            <w:r w:rsidRPr="001279F9">
              <w:rPr>
                <w:rFonts w:cs="Arial" w:asciiTheme="minorHAnsi" w:hAnsiTheme="minorHAnsi"/>
                <w:sz w:val="20"/>
              </w:rPr>
              <w:t xml:space="preserve"> Concurrent use may result in marked hypertension and tachycardia.</w:t>
            </w:r>
          </w:p>
          <w:p w:rsidRPr="001279F9" w:rsidR="001525BF" w:rsidP="00FE4186" w:rsidRDefault="001525BF" w14:paraId="7C8FC9A2" w14:textId="77777777">
            <w:pPr>
              <w:pStyle w:val="BodyText"/>
              <w:rPr>
                <w:rFonts w:cs="Arial" w:asciiTheme="minorHAnsi" w:hAnsiTheme="minorHAnsi"/>
                <w:sz w:val="20"/>
              </w:rPr>
            </w:pPr>
            <w:r w:rsidRPr="001279F9">
              <w:rPr>
                <w:rFonts w:cs="Arial" w:asciiTheme="minorHAnsi" w:hAnsiTheme="minorHAnsi"/>
                <w:sz w:val="20"/>
              </w:rPr>
              <w:t xml:space="preserve">Glucocorticoids </w:t>
            </w:r>
            <w:r>
              <w:rPr>
                <w:rFonts w:cs="Arial" w:asciiTheme="minorHAnsi" w:hAnsiTheme="minorHAnsi"/>
                <w:sz w:val="20"/>
              </w:rPr>
              <w:t>–</w:t>
            </w:r>
            <w:r w:rsidRPr="001279F9">
              <w:rPr>
                <w:rFonts w:cs="Arial" w:asciiTheme="minorHAnsi" w:hAnsiTheme="minorHAnsi"/>
                <w:sz w:val="20"/>
              </w:rPr>
              <w:t xml:space="preserve"> can decrease serum </w:t>
            </w:r>
            <w:r>
              <w:rPr>
                <w:rFonts w:cs="Arial" w:asciiTheme="minorHAnsi" w:hAnsiTheme="minorHAnsi"/>
                <w:sz w:val="20"/>
              </w:rPr>
              <w:t>thyroglobulin</w:t>
            </w:r>
            <w:r w:rsidRPr="001279F9">
              <w:rPr>
                <w:rFonts w:cs="Arial" w:asciiTheme="minorHAnsi" w:hAnsiTheme="minorHAnsi"/>
                <w:sz w:val="20"/>
              </w:rPr>
              <w:t xml:space="preserve"> concentration, affect deiodinase activity, decrease TSH secretion.</w:t>
            </w:r>
          </w:p>
          <w:p w:rsidRPr="001279F9" w:rsidR="001525BF" w:rsidP="00FE4186" w:rsidRDefault="001525BF" w14:paraId="33373966" w14:textId="77777777">
            <w:pPr>
              <w:pStyle w:val="BodyText"/>
              <w:rPr>
                <w:rFonts w:cs="Arial" w:asciiTheme="minorHAnsi" w:hAnsiTheme="minorHAnsi"/>
                <w:sz w:val="20"/>
              </w:rPr>
            </w:pPr>
            <w:r w:rsidRPr="001279F9">
              <w:rPr>
                <w:rFonts w:cs="Arial" w:asciiTheme="minorHAnsi" w:hAnsiTheme="minorHAnsi"/>
                <w:sz w:val="20"/>
              </w:rPr>
              <w:t>Ferrous sulphate, calcium carbonate, PPIs, H</w:t>
            </w:r>
            <w:r w:rsidRPr="00A200EA">
              <w:rPr>
                <w:rFonts w:cs="Arial" w:asciiTheme="minorHAnsi" w:hAnsiTheme="minorHAnsi"/>
                <w:sz w:val="20"/>
                <w:vertAlign w:val="subscript"/>
              </w:rPr>
              <w:t>2</w:t>
            </w:r>
            <w:r w:rsidRPr="001279F9">
              <w:rPr>
                <w:rFonts w:cs="Arial" w:asciiTheme="minorHAnsi" w:hAnsiTheme="minorHAnsi"/>
                <w:sz w:val="20"/>
              </w:rPr>
              <w:t xml:space="preserve"> blockers and bile acid sequestrants can affect </w:t>
            </w:r>
            <w:r>
              <w:rPr>
                <w:rFonts w:cs="Arial" w:asciiTheme="minorHAnsi" w:hAnsiTheme="minorHAnsi"/>
                <w:sz w:val="20"/>
              </w:rPr>
              <w:t>levot</w:t>
            </w:r>
            <w:r w:rsidRPr="001279F9">
              <w:rPr>
                <w:rFonts w:cs="Arial" w:asciiTheme="minorHAnsi" w:hAnsiTheme="minorHAnsi"/>
                <w:sz w:val="20"/>
              </w:rPr>
              <w:t xml:space="preserve">hyroxine absorption. </w:t>
            </w:r>
          </w:p>
          <w:p w:rsidRPr="001279F9" w:rsidR="001525BF" w:rsidP="00FE4186" w:rsidRDefault="001525BF" w14:paraId="68A1C71C" w14:textId="77777777">
            <w:pPr>
              <w:pStyle w:val="BodyText"/>
              <w:rPr>
                <w:rFonts w:cs="Arial" w:asciiTheme="minorHAnsi" w:hAnsiTheme="minorHAnsi"/>
                <w:sz w:val="20"/>
              </w:rPr>
            </w:pPr>
            <w:r w:rsidRPr="001279F9">
              <w:rPr>
                <w:rFonts w:cs="Arial" w:asciiTheme="minorHAnsi" w:hAnsiTheme="minorHAnsi"/>
                <w:sz w:val="20"/>
              </w:rPr>
              <w:t xml:space="preserve">Phenytoin, phenobarbital, carbamazepine – can affect thyroid hormone metabolism therefore increasing </w:t>
            </w:r>
            <w:r>
              <w:rPr>
                <w:rFonts w:cs="Arial" w:asciiTheme="minorHAnsi" w:hAnsiTheme="minorHAnsi"/>
                <w:sz w:val="20"/>
              </w:rPr>
              <w:t>levot</w:t>
            </w:r>
            <w:r w:rsidRPr="001279F9">
              <w:rPr>
                <w:rFonts w:cs="Arial" w:asciiTheme="minorHAnsi" w:hAnsiTheme="minorHAnsi"/>
                <w:sz w:val="20"/>
              </w:rPr>
              <w:t>hyroxine requirements.</w:t>
            </w:r>
          </w:p>
          <w:p w:rsidRPr="001279F9" w:rsidR="001525BF" w:rsidP="00FE4186" w:rsidRDefault="001525BF" w14:paraId="21605AD6" w14:textId="77777777">
            <w:pPr>
              <w:pStyle w:val="BodyText"/>
              <w:rPr>
                <w:rFonts w:cs="Arial" w:asciiTheme="minorHAnsi" w:hAnsiTheme="minorHAnsi"/>
                <w:sz w:val="20"/>
              </w:rPr>
            </w:pPr>
            <w:r w:rsidRPr="001279F9">
              <w:rPr>
                <w:rFonts w:cs="Arial" w:asciiTheme="minorHAnsi" w:hAnsiTheme="minorHAnsi"/>
                <w:sz w:val="20"/>
              </w:rPr>
              <w:t xml:space="preserve">Dopamine, </w:t>
            </w:r>
            <w:r>
              <w:rPr>
                <w:rFonts w:cs="Arial" w:asciiTheme="minorHAnsi" w:hAnsiTheme="minorHAnsi"/>
                <w:sz w:val="20"/>
              </w:rPr>
              <w:t>d</w:t>
            </w:r>
            <w:r w:rsidRPr="001279F9">
              <w:rPr>
                <w:rFonts w:cs="Arial" w:asciiTheme="minorHAnsi" w:hAnsiTheme="minorHAnsi"/>
                <w:sz w:val="20"/>
              </w:rPr>
              <w:t xml:space="preserve">obutamine, </w:t>
            </w:r>
            <w:r>
              <w:rPr>
                <w:rFonts w:cs="Arial" w:asciiTheme="minorHAnsi" w:hAnsiTheme="minorHAnsi"/>
                <w:sz w:val="20"/>
              </w:rPr>
              <w:t>growth hormone</w:t>
            </w:r>
            <w:r w:rsidRPr="001279F9">
              <w:rPr>
                <w:rFonts w:cs="Arial" w:asciiTheme="minorHAnsi" w:hAnsiTheme="minorHAnsi"/>
                <w:sz w:val="20"/>
              </w:rPr>
              <w:t xml:space="preserve"> – can decrease TSH secretion</w:t>
            </w:r>
          </w:p>
          <w:p w:rsidRPr="001279F9" w:rsidR="001525BF" w:rsidP="00FE4186" w:rsidRDefault="001525BF" w14:paraId="0889792B" w14:textId="77777777">
            <w:pPr>
              <w:pStyle w:val="BodyText"/>
              <w:rPr>
                <w:rFonts w:cs="Arial" w:asciiTheme="minorHAnsi" w:hAnsiTheme="minorHAnsi"/>
                <w:sz w:val="20"/>
              </w:rPr>
            </w:pPr>
            <w:r w:rsidRPr="001279F9">
              <w:rPr>
                <w:rFonts w:cs="Arial" w:asciiTheme="minorHAnsi" w:hAnsiTheme="minorHAnsi"/>
                <w:sz w:val="20"/>
              </w:rPr>
              <w:t>Radioiodine contrast agents and topical iodine application: may lead to transient hypothyroidism associated with low free T4, low free T3 and variable TSH (the Wolff–Chaikoff effect).</w:t>
            </w:r>
            <w:r w:rsidRPr="001279F9">
              <w:rPr>
                <w:rFonts w:cs="Arial" w:asciiTheme="minorHAnsi" w:hAnsiTheme="minorHAnsi"/>
                <w:noProof/>
                <w:sz w:val="20"/>
              </w:rPr>
              <w:t>[3-5]</w:t>
            </w:r>
          </w:p>
        </w:tc>
      </w:tr>
      <w:tr w:rsidRPr="001279F9" w:rsidR="001525BF" w:rsidTr="00FE4186" w14:paraId="4250B0BB" w14:textId="77777777">
        <w:trPr>
          <w:trHeight w:val="240"/>
        </w:trPr>
        <w:tc>
          <w:tcPr>
            <w:tcW w:w="834" w:type="pct"/>
          </w:tcPr>
          <w:p w:rsidRPr="001279F9" w:rsidR="001525BF" w:rsidP="00FE4186" w:rsidRDefault="001525BF" w14:paraId="44B64100" w14:textId="77777777">
            <w:pPr>
              <w:pStyle w:val="BodyText"/>
              <w:rPr>
                <w:rFonts w:cs="Arial" w:asciiTheme="minorHAnsi" w:hAnsiTheme="minorHAnsi"/>
                <w:b/>
                <w:bCs/>
                <w:sz w:val="20"/>
              </w:rPr>
            </w:pPr>
            <w:r w:rsidRPr="001279F9">
              <w:rPr>
                <w:rFonts w:cs="Arial" w:asciiTheme="minorHAnsi" w:hAnsiTheme="minorHAnsi"/>
                <w:b/>
                <w:bCs/>
                <w:sz w:val="20"/>
              </w:rPr>
              <w:t xml:space="preserve">Adverse Reactions   </w:t>
            </w:r>
          </w:p>
        </w:tc>
        <w:tc>
          <w:tcPr>
            <w:tcW w:w="4166" w:type="pct"/>
          </w:tcPr>
          <w:p w:rsidRPr="001279F9" w:rsidR="001525BF" w:rsidP="00FE4186" w:rsidRDefault="001525BF" w14:paraId="1EE874F8" w14:textId="77777777">
            <w:pPr>
              <w:pStyle w:val="BodyText"/>
              <w:rPr>
                <w:rFonts w:cs="Arial" w:asciiTheme="minorHAnsi" w:hAnsiTheme="minorHAnsi"/>
                <w:sz w:val="20"/>
              </w:rPr>
            </w:pPr>
            <w:r w:rsidRPr="001279F9">
              <w:rPr>
                <w:rFonts w:cs="Arial" w:asciiTheme="minorHAnsi" w:hAnsiTheme="minorHAnsi"/>
                <w:sz w:val="20"/>
              </w:rPr>
              <w:t>Uncommon.</w:t>
            </w:r>
          </w:p>
          <w:p w:rsidRPr="001279F9" w:rsidR="001525BF" w:rsidP="00FE4186" w:rsidRDefault="001525BF" w14:paraId="56DC0B02" w14:textId="77777777">
            <w:pPr>
              <w:pStyle w:val="BodyText"/>
              <w:rPr>
                <w:rFonts w:cs="Arial" w:asciiTheme="minorHAnsi" w:hAnsiTheme="minorHAnsi"/>
                <w:sz w:val="20"/>
              </w:rPr>
            </w:pPr>
            <w:r w:rsidRPr="001279F9">
              <w:rPr>
                <w:rFonts w:cs="Arial" w:asciiTheme="minorHAnsi" w:hAnsiTheme="minorHAnsi"/>
                <w:sz w:val="20"/>
              </w:rPr>
              <w:t xml:space="preserve">Too high </w:t>
            </w:r>
            <w:r>
              <w:rPr>
                <w:rFonts w:cs="Arial" w:asciiTheme="minorHAnsi" w:hAnsiTheme="minorHAnsi"/>
                <w:sz w:val="20"/>
              </w:rPr>
              <w:t xml:space="preserve">a </w:t>
            </w:r>
            <w:r w:rsidRPr="001279F9">
              <w:rPr>
                <w:rFonts w:cs="Arial" w:asciiTheme="minorHAnsi" w:hAnsiTheme="minorHAnsi"/>
                <w:sz w:val="20"/>
              </w:rPr>
              <w:t xml:space="preserve">replacement </w:t>
            </w:r>
            <w:r>
              <w:rPr>
                <w:rFonts w:cs="Arial" w:asciiTheme="minorHAnsi" w:hAnsiTheme="minorHAnsi"/>
                <w:sz w:val="20"/>
              </w:rPr>
              <w:t>dose</w:t>
            </w:r>
            <w:r w:rsidRPr="001279F9">
              <w:rPr>
                <w:rFonts w:cs="Arial" w:asciiTheme="minorHAnsi" w:hAnsiTheme="minorHAnsi"/>
                <w:sz w:val="20"/>
              </w:rPr>
              <w:t xml:space="preserve"> can cause manifestations of thyrotoxicosis.</w:t>
            </w:r>
          </w:p>
          <w:p w:rsidRPr="001279F9" w:rsidR="001525BF" w:rsidP="00FE4186" w:rsidRDefault="001525BF" w14:paraId="529F3F6A" w14:textId="77777777">
            <w:pPr>
              <w:pStyle w:val="BodyText"/>
              <w:rPr>
                <w:rFonts w:cs="Arial" w:asciiTheme="minorHAnsi" w:hAnsiTheme="minorHAnsi"/>
                <w:sz w:val="20"/>
              </w:rPr>
            </w:pPr>
            <w:r w:rsidRPr="001279F9">
              <w:rPr>
                <w:rFonts w:cs="Arial" w:asciiTheme="minorHAnsi" w:hAnsiTheme="minorHAnsi"/>
                <w:sz w:val="20"/>
              </w:rPr>
              <w:t>Overtreatment with levothyroxine may cause craniosynostosis, accelerated growth and maturation, disturbed sleep patterns and effects on temperament. There can also be behaviou</w:t>
            </w:r>
            <w:r>
              <w:rPr>
                <w:rFonts w:cs="Arial" w:asciiTheme="minorHAnsi" w:hAnsiTheme="minorHAnsi"/>
                <w:sz w:val="20"/>
              </w:rPr>
              <w:t>ral</w:t>
            </w:r>
            <w:r w:rsidRPr="001279F9">
              <w:rPr>
                <w:rFonts w:cs="Arial" w:asciiTheme="minorHAnsi" w:hAnsiTheme="minorHAnsi"/>
                <w:sz w:val="20"/>
              </w:rPr>
              <w:t xml:space="preserve"> problems (social withdrawal, hyperactivity, conduct problems and anxiety) in children treated with initial starting doses of </w:t>
            </w:r>
            <w:r>
              <w:rPr>
                <w:rFonts w:cs="Arial" w:asciiTheme="minorHAnsi" w:hAnsiTheme="minorHAnsi"/>
                <w:sz w:val="20"/>
              </w:rPr>
              <w:t>levot</w:t>
            </w:r>
            <w:r w:rsidRPr="001279F9">
              <w:rPr>
                <w:rFonts w:cs="Arial" w:asciiTheme="minorHAnsi" w:hAnsiTheme="minorHAnsi"/>
                <w:sz w:val="20"/>
              </w:rPr>
              <w:t xml:space="preserve">hyroxine &gt;10 microgram/kg/day. Overtreatment should be avoided by careful monitoring. </w:t>
            </w:r>
            <w:r w:rsidRPr="001279F9">
              <w:rPr>
                <w:rFonts w:cs="Arial" w:asciiTheme="minorHAnsi" w:hAnsiTheme="minorHAnsi"/>
                <w:noProof/>
                <w:sz w:val="20"/>
              </w:rPr>
              <w:t>[2]</w:t>
            </w:r>
            <w:r w:rsidRPr="001279F9">
              <w:rPr>
                <w:rFonts w:cs="Arial" w:asciiTheme="minorHAnsi" w:hAnsiTheme="minorHAnsi"/>
                <w:sz w:val="20"/>
              </w:rPr>
              <w:t xml:space="preserve"> </w:t>
            </w:r>
          </w:p>
        </w:tc>
      </w:tr>
      <w:tr w:rsidRPr="001279F9" w:rsidR="001525BF" w:rsidTr="00FE4186" w14:paraId="1DC18F62" w14:textId="77777777">
        <w:trPr>
          <w:trHeight w:val="162"/>
        </w:trPr>
        <w:tc>
          <w:tcPr>
            <w:tcW w:w="834" w:type="pct"/>
          </w:tcPr>
          <w:p w:rsidRPr="001279F9" w:rsidR="001525BF" w:rsidP="00FE4186" w:rsidRDefault="001525BF" w14:paraId="2C98CD00" w14:textId="77777777">
            <w:pPr>
              <w:pStyle w:val="BodyText"/>
              <w:rPr>
                <w:rFonts w:cs="Arial" w:asciiTheme="minorHAnsi" w:hAnsiTheme="minorHAnsi"/>
                <w:b/>
                <w:bCs/>
                <w:sz w:val="20"/>
              </w:rPr>
            </w:pPr>
            <w:r w:rsidRPr="001279F9">
              <w:rPr>
                <w:rFonts w:cs="Arial" w:asciiTheme="minorHAnsi" w:hAnsiTheme="minorHAnsi"/>
                <w:b/>
                <w:bCs/>
                <w:sz w:val="20"/>
              </w:rPr>
              <w:t>Compatibility</w:t>
            </w:r>
          </w:p>
        </w:tc>
        <w:tc>
          <w:tcPr>
            <w:tcW w:w="4166" w:type="pct"/>
          </w:tcPr>
          <w:p w:rsidRPr="001279F9" w:rsidR="001525BF" w:rsidP="00FE4186" w:rsidRDefault="001525BF" w14:paraId="7CFD5562" w14:textId="77777777">
            <w:pPr>
              <w:pStyle w:val="BodyText"/>
              <w:rPr>
                <w:rFonts w:cs="Arial" w:asciiTheme="minorHAnsi" w:hAnsiTheme="minorHAnsi"/>
                <w:sz w:val="20"/>
              </w:rPr>
            </w:pPr>
            <w:r w:rsidRPr="001279F9">
              <w:rPr>
                <w:rFonts w:cs="Arial" w:asciiTheme="minorHAnsi" w:hAnsiTheme="minorHAnsi"/>
                <w:sz w:val="20"/>
              </w:rPr>
              <w:t>Not applicable.</w:t>
            </w:r>
          </w:p>
        </w:tc>
      </w:tr>
      <w:tr w:rsidRPr="001279F9" w:rsidR="001525BF" w:rsidTr="00FE4186" w14:paraId="67360BC5" w14:textId="77777777">
        <w:trPr>
          <w:trHeight w:val="98"/>
        </w:trPr>
        <w:tc>
          <w:tcPr>
            <w:tcW w:w="834" w:type="pct"/>
          </w:tcPr>
          <w:p w:rsidRPr="001279F9" w:rsidR="001525BF" w:rsidP="00FE4186" w:rsidRDefault="001525BF" w14:paraId="25A662F8" w14:textId="77777777">
            <w:pPr>
              <w:pStyle w:val="BodyText"/>
              <w:rPr>
                <w:rFonts w:cs="Arial" w:asciiTheme="minorHAnsi" w:hAnsiTheme="minorHAnsi"/>
                <w:b/>
                <w:bCs/>
                <w:sz w:val="20"/>
              </w:rPr>
            </w:pPr>
            <w:r w:rsidRPr="001279F9">
              <w:rPr>
                <w:rFonts w:cs="Arial" w:asciiTheme="minorHAnsi" w:hAnsiTheme="minorHAnsi"/>
                <w:b/>
                <w:bCs/>
                <w:sz w:val="20"/>
              </w:rPr>
              <w:t xml:space="preserve">Incompatibility  </w:t>
            </w:r>
          </w:p>
        </w:tc>
        <w:tc>
          <w:tcPr>
            <w:tcW w:w="4166" w:type="pct"/>
          </w:tcPr>
          <w:p w:rsidRPr="001279F9" w:rsidR="001525BF" w:rsidP="00FE4186" w:rsidRDefault="001525BF" w14:paraId="7B2F78B1" w14:textId="77777777">
            <w:pPr>
              <w:pStyle w:val="BodyText"/>
              <w:rPr>
                <w:rFonts w:cs="Arial" w:asciiTheme="minorHAnsi" w:hAnsiTheme="minorHAnsi"/>
                <w:sz w:val="20"/>
              </w:rPr>
            </w:pPr>
            <w:r w:rsidRPr="001279F9">
              <w:rPr>
                <w:rFonts w:cs="Arial" w:asciiTheme="minorHAnsi" w:hAnsiTheme="minorHAnsi"/>
                <w:sz w:val="20"/>
              </w:rPr>
              <w:t>Not applicable.</w:t>
            </w:r>
          </w:p>
        </w:tc>
      </w:tr>
      <w:tr w:rsidRPr="001279F9" w:rsidR="001525BF" w:rsidTr="00FE4186" w14:paraId="0823B353" w14:textId="77777777">
        <w:trPr>
          <w:trHeight w:val="70"/>
        </w:trPr>
        <w:tc>
          <w:tcPr>
            <w:tcW w:w="834" w:type="pct"/>
          </w:tcPr>
          <w:p w:rsidRPr="001279F9" w:rsidR="001525BF" w:rsidP="00FE4186" w:rsidRDefault="001525BF" w14:paraId="1F6E6CF2" w14:textId="77777777">
            <w:pPr>
              <w:pStyle w:val="BodyText"/>
              <w:rPr>
                <w:rFonts w:cs="Arial" w:asciiTheme="minorHAnsi" w:hAnsiTheme="minorHAnsi"/>
                <w:b/>
                <w:bCs/>
                <w:sz w:val="20"/>
              </w:rPr>
            </w:pPr>
            <w:r w:rsidRPr="001279F9">
              <w:rPr>
                <w:rFonts w:cs="Arial" w:asciiTheme="minorHAnsi" w:hAnsiTheme="minorHAnsi"/>
                <w:b/>
                <w:bCs/>
                <w:sz w:val="20"/>
              </w:rPr>
              <w:t xml:space="preserve">Stability                  </w:t>
            </w:r>
          </w:p>
        </w:tc>
        <w:tc>
          <w:tcPr>
            <w:tcW w:w="4166" w:type="pct"/>
          </w:tcPr>
          <w:p w:rsidRPr="001279F9" w:rsidR="001525BF" w:rsidP="00FE4186" w:rsidRDefault="001525BF" w14:paraId="6A56345D" w14:textId="77777777">
            <w:pPr>
              <w:pStyle w:val="NoSpacing"/>
              <w:rPr>
                <w:rFonts w:asciiTheme="minorHAnsi" w:hAnsiTheme="minorHAnsi"/>
                <w:sz w:val="20"/>
                <w:szCs w:val="20"/>
              </w:rPr>
            </w:pPr>
            <w:r w:rsidRPr="001279F9">
              <w:rPr>
                <w:rFonts w:asciiTheme="minorHAnsi" w:hAnsiTheme="minorHAnsi"/>
                <w:sz w:val="20"/>
                <w:szCs w:val="20"/>
              </w:rPr>
              <w:t>Tablets: discard unused portion.</w:t>
            </w:r>
          </w:p>
        </w:tc>
      </w:tr>
      <w:tr w:rsidRPr="001279F9" w:rsidR="001525BF" w:rsidTr="00FE4186" w14:paraId="1C105E5E" w14:textId="77777777">
        <w:trPr>
          <w:trHeight w:val="203"/>
        </w:trPr>
        <w:tc>
          <w:tcPr>
            <w:tcW w:w="834" w:type="pct"/>
          </w:tcPr>
          <w:p w:rsidRPr="001279F9" w:rsidR="001525BF" w:rsidP="00FE4186" w:rsidRDefault="001525BF" w14:paraId="5CA31AF7" w14:textId="77777777">
            <w:pPr>
              <w:pStyle w:val="BodyText"/>
              <w:rPr>
                <w:rFonts w:cs="Arial" w:asciiTheme="minorHAnsi" w:hAnsiTheme="minorHAnsi"/>
                <w:b/>
                <w:bCs/>
                <w:sz w:val="20"/>
              </w:rPr>
            </w:pPr>
            <w:r w:rsidRPr="001279F9">
              <w:rPr>
                <w:rFonts w:cs="Arial" w:asciiTheme="minorHAnsi" w:hAnsiTheme="minorHAnsi"/>
                <w:b/>
                <w:bCs/>
                <w:sz w:val="20"/>
              </w:rPr>
              <w:t xml:space="preserve">Storage             </w:t>
            </w:r>
          </w:p>
        </w:tc>
        <w:tc>
          <w:tcPr>
            <w:tcW w:w="4166" w:type="pct"/>
          </w:tcPr>
          <w:p w:rsidR="001525BF" w:rsidP="00FE4186" w:rsidRDefault="001525BF" w14:paraId="784E6F30" w14:textId="77777777">
            <w:pPr>
              <w:pStyle w:val="BodyText"/>
              <w:rPr>
                <w:rFonts w:asciiTheme="minorHAnsi" w:hAnsiTheme="minorHAnsi"/>
                <w:sz w:val="20"/>
              </w:rPr>
            </w:pPr>
            <w:r>
              <w:rPr>
                <w:rFonts w:asciiTheme="minorHAnsi" w:hAnsiTheme="minorHAnsi"/>
                <w:sz w:val="20"/>
              </w:rPr>
              <w:t>Eutroxsig and Oroxine t</w:t>
            </w:r>
            <w:r w:rsidRPr="001279F9">
              <w:rPr>
                <w:rFonts w:asciiTheme="minorHAnsi" w:hAnsiTheme="minorHAnsi"/>
                <w:sz w:val="20"/>
              </w:rPr>
              <w:t>ablets: Store at 2</w:t>
            </w:r>
            <w:r>
              <w:rPr>
                <w:rFonts w:asciiTheme="minorHAnsi" w:hAnsiTheme="minorHAnsi"/>
                <w:sz w:val="20"/>
              </w:rPr>
              <w:t>–</w:t>
            </w:r>
            <w:r w:rsidRPr="001279F9">
              <w:rPr>
                <w:rFonts w:asciiTheme="minorHAnsi" w:hAnsiTheme="minorHAnsi"/>
                <w:sz w:val="20"/>
              </w:rPr>
              <w:t xml:space="preserve">8°C. Tablets may be stored below 25°C for up to </w:t>
            </w:r>
            <w:r>
              <w:rPr>
                <w:rFonts w:asciiTheme="minorHAnsi" w:hAnsiTheme="minorHAnsi"/>
                <w:sz w:val="20"/>
              </w:rPr>
              <w:t>14</w:t>
            </w:r>
            <w:r w:rsidRPr="001279F9">
              <w:rPr>
                <w:rFonts w:asciiTheme="minorHAnsi" w:hAnsiTheme="minorHAnsi"/>
                <w:sz w:val="20"/>
              </w:rPr>
              <w:t xml:space="preserve"> days. Please refer to special comments section for further details. Protect from light.</w:t>
            </w:r>
          </w:p>
          <w:p w:rsidRPr="001279F9" w:rsidR="001525BF" w:rsidP="00FE4186" w:rsidRDefault="001525BF" w14:paraId="740C6F22" w14:textId="77777777">
            <w:pPr>
              <w:pStyle w:val="BodyText"/>
              <w:rPr>
                <w:rFonts w:cs="Arial" w:asciiTheme="minorHAnsi" w:hAnsiTheme="minorHAnsi"/>
                <w:sz w:val="20"/>
              </w:rPr>
            </w:pPr>
            <w:r>
              <w:rPr>
                <w:rFonts w:asciiTheme="minorHAnsi" w:hAnsiTheme="minorHAnsi"/>
                <w:sz w:val="20"/>
              </w:rPr>
              <w:t>Eltroxin tablets: Store below 25</w:t>
            </w:r>
            <w:r w:rsidRPr="001279F9">
              <w:rPr>
                <w:rFonts w:asciiTheme="minorHAnsi" w:hAnsiTheme="minorHAnsi"/>
                <w:sz w:val="20"/>
              </w:rPr>
              <w:t>°C</w:t>
            </w:r>
            <w:r>
              <w:rPr>
                <w:rFonts w:asciiTheme="minorHAnsi" w:hAnsiTheme="minorHAnsi"/>
                <w:sz w:val="20"/>
              </w:rPr>
              <w:t xml:space="preserve">. </w:t>
            </w:r>
            <w:r w:rsidRPr="001279F9">
              <w:rPr>
                <w:rFonts w:asciiTheme="minorHAnsi" w:hAnsiTheme="minorHAnsi"/>
                <w:sz w:val="20"/>
              </w:rPr>
              <w:t>Protect from light.</w:t>
            </w:r>
          </w:p>
        </w:tc>
      </w:tr>
      <w:tr w:rsidRPr="001279F9" w:rsidR="001525BF" w:rsidTr="00FE4186" w14:paraId="227A7EE4" w14:textId="77777777">
        <w:trPr>
          <w:trHeight w:val="222"/>
        </w:trPr>
        <w:tc>
          <w:tcPr>
            <w:tcW w:w="834" w:type="pct"/>
          </w:tcPr>
          <w:p w:rsidRPr="001279F9" w:rsidR="001525BF" w:rsidP="00FE4186" w:rsidRDefault="001525BF" w14:paraId="3B010F18" w14:textId="77777777">
            <w:pPr>
              <w:pStyle w:val="BodyText"/>
              <w:rPr>
                <w:rFonts w:cs="Arial" w:asciiTheme="minorHAnsi" w:hAnsiTheme="minorHAnsi"/>
                <w:b/>
                <w:bCs/>
                <w:sz w:val="20"/>
              </w:rPr>
            </w:pPr>
            <w:r w:rsidRPr="001279F9">
              <w:rPr>
                <w:rFonts w:cs="Arial" w:asciiTheme="minorHAnsi" w:hAnsiTheme="minorHAnsi"/>
                <w:b/>
                <w:bCs/>
                <w:sz w:val="20"/>
              </w:rPr>
              <w:t xml:space="preserve">Special Comments   </w:t>
            </w:r>
          </w:p>
        </w:tc>
        <w:tc>
          <w:tcPr>
            <w:tcW w:w="4166" w:type="pct"/>
          </w:tcPr>
          <w:p w:rsidRPr="001525BF" w:rsidR="001525BF" w:rsidP="00FE4186" w:rsidRDefault="001525BF" w14:paraId="32ACE87B" w14:textId="77777777">
            <w:pPr>
              <w:pStyle w:val="BodyText"/>
              <w:rPr>
                <w:rFonts w:cs="Arial" w:asciiTheme="minorHAnsi" w:hAnsiTheme="minorHAnsi"/>
                <w:sz w:val="16"/>
                <w:szCs w:val="16"/>
              </w:rPr>
            </w:pPr>
            <w:r w:rsidRPr="001525BF">
              <w:rPr>
                <w:rFonts w:cs="Arial" w:asciiTheme="minorHAnsi" w:hAnsiTheme="minorHAnsi"/>
                <w:sz w:val="16"/>
                <w:szCs w:val="16"/>
              </w:rPr>
              <w:t>Milk, calcium, iron, multivitamin supplements – may influence the absorption of levothyroxine.</w:t>
            </w:r>
          </w:p>
          <w:p w:rsidRPr="001525BF" w:rsidR="001525BF" w:rsidP="00FE4186" w:rsidRDefault="001525BF" w14:paraId="2E5F8B94" w14:textId="77777777">
            <w:pPr>
              <w:pStyle w:val="NoSpacing"/>
              <w:rPr>
                <w:rFonts w:cs="Arial" w:asciiTheme="minorHAnsi" w:hAnsiTheme="minorHAnsi"/>
                <w:sz w:val="16"/>
                <w:szCs w:val="16"/>
              </w:rPr>
            </w:pPr>
            <w:r w:rsidRPr="001525BF">
              <w:rPr>
                <w:rFonts w:cs="Arial" w:asciiTheme="minorHAnsi" w:hAnsiTheme="minorHAnsi"/>
                <w:sz w:val="16"/>
                <w:szCs w:val="16"/>
              </w:rPr>
              <w:t>For many years, two levothyroxine preparations have been marketed in Australia, Oroxine and Eutroxsig (both marketed by Aspen Pharmaceuticals), available in 50, 75, 100 and 200 microgram tablets. These preparations are identical, and so it has been immaterial which is dispensed to patients, and brand switching has not been problematic. A new preparation, Eltroxin (also marketed by Aspen) is now available which features a wider range of tablet strengths (25, 50, 75, 100, 125, and 200 microgram) and (unlike Oroxine/Eutroxsig) does not require refrigeration. This may allow more accurate daily dosing for patients and may be more convenient.</w:t>
            </w:r>
            <w:r w:rsidRPr="001525BF">
              <w:rPr>
                <w:rFonts w:cs="Arial" w:asciiTheme="minorHAnsi" w:hAnsiTheme="minorHAnsi"/>
                <w:noProof/>
                <w:sz w:val="16"/>
                <w:szCs w:val="16"/>
              </w:rPr>
              <w:t>[6]</w:t>
            </w:r>
            <w:r w:rsidRPr="001525BF">
              <w:rPr>
                <w:rFonts w:asciiTheme="minorHAnsi" w:hAnsiTheme="minorHAnsi"/>
                <w:sz w:val="16"/>
                <w:szCs w:val="16"/>
              </w:rPr>
              <w:t xml:space="preserve"> However, </w:t>
            </w:r>
            <w:r w:rsidRPr="001525BF">
              <w:rPr>
                <w:rFonts w:cs="Arial" w:asciiTheme="minorHAnsi" w:hAnsiTheme="minorHAnsi"/>
                <w:sz w:val="16"/>
                <w:szCs w:val="16"/>
              </w:rPr>
              <w:t xml:space="preserve">Eltroxin is not bioequivalent on a same dose basis with Eutroxsig/ Oroxine. If a decision is made to switch a patient from Eutroxsig/ Oroxine to Eltroxin, then prescribers should have a plan for monitoring TSH. Prescribers should be aware that dose adjustment may be required. Prescribers should tell their patients not to interchange Eltroxin and Eutroxsig/ Oroxine unless a decision has been made to switch products and there is a plan for monitoring TSH levels and review of dose. </w:t>
            </w:r>
            <w:r w:rsidRPr="001525BF">
              <w:rPr>
                <w:rFonts w:cs="Arial" w:asciiTheme="minorHAnsi" w:hAnsiTheme="minorHAnsi"/>
                <w:noProof/>
                <w:sz w:val="16"/>
                <w:szCs w:val="16"/>
              </w:rPr>
              <w:t>[1, 2, 6]</w:t>
            </w:r>
          </w:p>
        </w:tc>
      </w:tr>
      <w:tr w:rsidRPr="001279F9" w:rsidR="001525BF" w:rsidTr="00FE4186" w14:paraId="7DE77989" w14:textId="77777777">
        <w:trPr>
          <w:trHeight w:val="807"/>
        </w:trPr>
        <w:tc>
          <w:tcPr>
            <w:tcW w:w="834" w:type="pct"/>
          </w:tcPr>
          <w:p w:rsidRPr="001279F9" w:rsidR="001525BF" w:rsidP="00FE4186" w:rsidRDefault="001525BF" w14:paraId="5062A74D" w14:textId="77777777">
            <w:pPr>
              <w:pStyle w:val="BodyText"/>
              <w:rPr>
                <w:rFonts w:cs="Arial" w:asciiTheme="minorHAnsi" w:hAnsiTheme="minorHAnsi"/>
                <w:b/>
                <w:bCs/>
                <w:sz w:val="20"/>
              </w:rPr>
            </w:pPr>
            <w:r>
              <w:rPr>
                <w:rFonts w:cs="Arial" w:asciiTheme="minorHAnsi" w:hAnsiTheme="minorHAnsi"/>
                <w:b/>
                <w:bCs/>
                <w:sz w:val="20"/>
              </w:rPr>
              <w:t>Evidence</w:t>
            </w:r>
          </w:p>
        </w:tc>
        <w:tc>
          <w:tcPr>
            <w:tcW w:w="4166" w:type="pct"/>
          </w:tcPr>
          <w:p w:rsidRPr="001525BF" w:rsidR="001525BF" w:rsidP="00FE4186" w:rsidRDefault="001525BF" w14:paraId="73B910D5"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Routine newborn screening</w:t>
            </w:r>
          </w:p>
          <w:p w:rsidRPr="001525BF" w:rsidR="001525BF" w:rsidP="00FE4186" w:rsidRDefault="001525BF" w14:paraId="1DC7AFBF" w14:textId="77777777">
            <w:pPr>
              <w:pStyle w:val="BodyText"/>
              <w:rPr>
                <w:rFonts w:cs="Arial" w:asciiTheme="minorHAnsi" w:hAnsiTheme="minorHAnsi"/>
                <w:sz w:val="16"/>
                <w:szCs w:val="16"/>
              </w:rPr>
            </w:pPr>
            <w:r w:rsidRPr="001525BF">
              <w:rPr>
                <w:rFonts w:cs="Arial" w:asciiTheme="minorHAnsi" w:hAnsiTheme="minorHAnsi"/>
                <w:sz w:val="16"/>
                <w:szCs w:val="16"/>
              </w:rPr>
              <w:t>Newborn screening is recommended on all neonates at approximately 2–5 days after birth.</w:t>
            </w:r>
            <w:r w:rsidRPr="001525BF">
              <w:rPr>
                <w:rFonts w:cs="Arial" w:asciiTheme="minorHAnsi" w:hAnsiTheme="minorHAnsi"/>
                <w:noProof/>
                <w:sz w:val="16"/>
                <w:szCs w:val="16"/>
              </w:rPr>
              <w:t>[1, 2, 7]</w:t>
            </w:r>
            <w:r w:rsidRPr="001525BF">
              <w:rPr>
                <w:rFonts w:cs="Arial" w:asciiTheme="minorHAnsi" w:hAnsiTheme="minorHAnsi"/>
                <w:sz w:val="16"/>
                <w:szCs w:val="16"/>
              </w:rPr>
              <w:t xml:space="preserve"> In Australasia, the primary screening test for congenital hypothyroidism is a TSH assay. This detects newborns with primary hypothyroidism, but not those with central congenital hypothyroidism who have a normal or low TSH. Conventional newborn screening capillary TSH cut offs (10 to 15 mU/L) fail to detect all infants with congenital hypothyroidism, particularly in sick and very low birthweight or premature infants.</w:t>
            </w:r>
            <w:r w:rsidRPr="001525BF">
              <w:rPr>
                <w:rFonts w:cs="Arial" w:asciiTheme="minorHAnsi" w:hAnsiTheme="minorHAnsi"/>
                <w:noProof/>
                <w:sz w:val="16"/>
                <w:szCs w:val="16"/>
              </w:rPr>
              <w:t>[8-10]</w:t>
            </w:r>
            <w:r w:rsidRPr="001525BF">
              <w:rPr>
                <w:rFonts w:cs="Arial" w:asciiTheme="minorHAnsi" w:hAnsiTheme="minorHAnsi"/>
                <w:sz w:val="16"/>
                <w:szCs w:val="16"/>
              </w:rPr>
              <w:t xml:space="preserve"> TSH screening should be repeated in very low birth weight or premature infants a few weeks after the initial specimen to detect those babies where immaturity of the hypothalamic-pituitary- thyroid axis may initially mask primary congenital hypothyroidism. It is recommended that the test be repeated two weeks after birth in babies 1000–1500 g and at four weeks in those &lt;1000 g.</w:t>
            </w:r>
            <w:r w:rsidRPr="001525BF">
              <w:rPr>
                <w:rFonts w:cs="Arial" w:asciiTheme="minorHAnsi" w:hAnsiTheme="minorHAnsi"/>
                <w:noProof/>
                <w:sz w:val="16"/>
                <w:szCs w:val="16"/>
              </w:rPr>
              <w:t>[1]</w:t>
            </w:r>
          </w:p>
          <w:p w:rsidRPr="001525BF" w:rsidR="001525BF" w:rsidP="00FE4186" w:rsidRDefault="001525BF" w14:paraId="10ADE950" w14:textId="77777777">
            <w:pPr>
              <w:pStyle w:val="BodyText"/>
              <w:rPr>
                <w:rFonts w:cs="Arial" w:asciiTheme="minorHAnsi" w:hAnsiTheme="minorHAnsi"/>
                <w:sz w:val="16"/>
                <w:szCs w:val="16"/>
              </w:rPr>
            </w:pPr>
          </w:p>
          <w:p w:rsidRPr="001525BF" w:rsidR="001525BF" w:rsidP="00FE4186" w:rsidRDefault="001525BF" w14:paraId="7ADC5B01" w14:textId="77777777">
            <w:pPr>
              <w:pStyle w:val="BodyText"/>
              <w:rPr>
                <w:rFonts w:cs="Arial" w:asciiTheme="minorHAnsi" w:hAnsiTheme="minorHAnsi"/>
                <w:sz w:val="16"/>
                <w:szCs w:val="16"/>
                <w:u w:val="single"/>
              </w:rPr>
            </w:pPr>
            <w:r w:rsidRPr="001525BF">
              <w:rPr>
                <w:rFonts w:cs="Arial" w:asciiTheme="minorHAnsi" w:hAnsiTheme="minorHAnsi"/>
                <w:b/>
                <w:sz w:val="16"/>
                <w:szCs w:val="16"/>
                <w:u w:val="single"/>
              </w:rPr>
              <w:t>Capillary TSH and free T4 correlation</w:t>
            </w:r>
          </w:p>
          <w:p w:rsidRPr="001525BF" w:rsidR="001525BF" w:rsidP="00FE4186" w:rsidRDefault="001525BF" w14:paraId="729C375C" w14:textId="77777777">
            <w:pPr>
              <w:pStyle w:val="BodyText"/>
              <w:rPr>
                <w:rFonts w:cs="Arial" w:asciiTheme="minorHAnsi" w:hAnsiTheme="minorHAnsi"/>
                <w:sz w:val="16"/>
                <w:szCs w:val="16"/>
              </w:rPr>
            </w:pPr>
            <w:r w:rsidRPr="001525BF">
              <w:rPr>
                <w:rFonts w:cs="Arial" w:asciiTheme="minorHAnsi" w:hAnsiTheme="minorHAnsi"/>
                <w:sz w:val="16"/>
                <w:szCs w:val="16"/>
              </w:rPr>
              <w:t xml:space="preserve">A </w:t>
            </w:r>
            <w:r w:rsidRPr="001525BF">
              <w:rPr>
                <w:rFonts w:cs="Arial" w:asciiTheme="minorHAnsi" w:hAnsiTheme="minorHAnsi"/>
                <w:sz w:val="16"/>
                <w:szCs w:val="16"/>
                <w:u w:val="single"/>
              </w:rPr>
              <w:t>newborn screening</w:t>
            </w:r>
            <w:r w:rsidRPr="001525BF">
              <w:rPr>
                <w:rFonts w:cs="Arial" w:asciiTheme="minorHAnsi" w:hAnsiTheme="minorHAnsi"/>
                <w:sz w:val="16"/>
                <w:szCs w:val="16"/>
              </w:rPr>
              <w:t xml:space="preserve"> capillary TSH threshold &gt;40 mU/L has 90.3% sensitivity and 65.9% specificity for predicting a venous fT4 of &lt;10 pmol/L (moderate hypothyroidism), whereas a TSH &gt;20 mU/L has 96% sensitivity and 36% specificity.</w:t>
            </w:r>
            <w:r w:rsidRPr="001525BF">
              <w:rPr>
                <w:rFonts w:cs="Arial" w:asciiTheme="minorHAnsi" w:hAnsiTheme="minorHAnsi"/>
                <w:noProof/>
                <w:sz w:val="16"/>
                <w:szCs w:val="16"/>
              </w:rPr>
              <w:t>[11]</w:t>
            </w:r>
            <w:r w:rsidRPr="001525BF">
              <w:rPr>
                <w:rFonts w:cs="Arial" w:asciiTheme="minorHAnsi" w:hAnsiTheme="minorHAnsi"/>
                <w:sz w:val="16"/>
                <w:szCs w:val="16"/>
              </w:rPr>
              <w:t xml:space="preserve"> If the capillary TSH concentration from newborn screening is &gt;40 mU/L whole blood, The European Society for Paediatric Endocrinology recommends starting treatment as soon as a good venous sample can be obtained without waiting for the venous blood test result, unless venous thyroid function test (TFT) results are available on the same day. If capillary TSH concentration is &lt;40 mU/l of whole blood, the clinician may wait for the results of venous TFT, provided that these results are available on the following day.</w:t>
            </w:r>
            <w:r w:rsidRPr="001525BF">
              <w:rPr>
                <w:rFonts w:cs="Arial" w:asciiTheme="minorHAnsi" w:hAnsiTheme="minorHAnsi"/>
                <w:noProof/>
                <w:sz w:val="16"/>
                <w:szCs w:val="16"/>
              </w:rPr>
              <w:t>[2]</w:t>
            </w:r>
            <w:r w:rsidRPr="001525BF">
              <w:rPr>
                <w:rFonts w:cs="Arial" w:asciiTheme="minorHAnsi" w:hAnsiTheme="minorHAnsi"/>
                <w:sz w:val="16"/>
                <w:szCs w:val="16"/>
              </w:rPr>
              <w:t xml:space="preserve"> </w:t>
            </w:r>
          </w:p>
          <w:p w:rsidRPr="001525BF" w:rsidR="001525BF" w:rsidP="00FE4186" w:rsidRDefault="001525BF" w14:paraId="6E04CA51" w14:textId="77777777">
            <w:pPr>
              <w:pStyle w:val="BodyText"/>
              <w:rPr>
                <w:rFonts w:cs="Arial" w:asciiTheme="minorHAnsi" w:hAnsiTheme="minorHAnsi"/>
                <w:sz w:val="16"/>
                <w:szCs w:val="16"/>
              </w:rPr>
            </w:pPr>
          </w:p>
          <w:p w:rsidRPr="001525BF" w:rsidR="001525BF" w:rsidP="00FE4186" w:rsidRDefault="001525BF" w14:paraId="48D2760B" w14:textId="77777777">
            <w:pPr>
              <w:pStyle w:val="BodyText"/>
              <w:rPr>
                <w:rFonts w:cs="Arial" w:asciiTheme="minorHAnsi" w:hAnsiTheme="minorHAnsi"/>
                <w:sz w:val="16"/>
                <w:szCs w:val="16"/>
              </w:rPr>
            </w:pPr>
            <w:r w:rsidRPr="001525BF">
              <w:rPr>
                <w:rFonts w:cs="Arial" w:asciiTheme="minorHAnsi" w:hAnsiTheme="minorHAnsi"/>
                <w:sz w:val="16"/>
                <w:szCs w:val="16"/>
              </w:rPr>
              <w:t>There is also insufficient evidence to determine the accuracy of a heel prick (capillary) TSH and fT4 for diagnosis of congenital hypothyroidism (ie predicting a simultaneously taken venous TSH and free T4). Limited data in school-age Down Syndrome children suggests a capillary sample may underestimate the venous TSH, although only a single child had a fT4 &lt;10 pmol/L.</w:t>
            </w:r>
            <w:r w:rsidRPr="001525BF">
              <w:rPr>
                <w:rFonts w:cs="Arial" w:asciiTheme="minorHAnsi" w:hAnsiTheme="minorHAnsi"/>
                <w:noProof/>
                <w:sz w:val="16"/>
                <w:szCs w:val="16"/>
              </w:rPr>
              <w:t>[12]</w:t>
            </w:r>
            <w:r w:rsidRPr="001525BF">
              <w:rPr>
                <w:rFonts w:cs="Arial" w:asciiTheme="minorHAnsi" w:hAnsiTheme="minorHAnsi"/>
                <w:sz w:val="16"/>
                <w:szCs w:val="16"/>
              </w:rPr>
              <w:t xml:space="preserve"> Conclusion: A venous TSH and fT4 sample is preferred for diagnosis of congenital hypothyroidism.</w:t>
            </w:r>
          </w:p>
          <w:p w:rsidRPr="001525BF" w:rsidR="001525BF" w:rsidP="00FE4186" w:rsidRDefault="001525BF" w14:paraId="4D075E22" w14:textId="77777777">
            <w:pPr>
              <w:pStyle w:val="BodyText"/>
              <w:rPr>
                <w:rFonts w:cs="Arial" w:asciiTheme="minorHAnsi" w:hAnsiTheme="minorHAnsi"/>
                <w:sz w:val="16"/>
                <w:szCs w:val="16"/>
              </w:rPr>
            </w:pPr>
          </w:p>
          <w:p w:rsidRPr="001525BF" w:rsidR="001525BF" w:rsidP="00FE4186" w:rsidRDefault="001525BF" w14:paraId="2EB32BE6"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Replacement therapy for hypothyroidism</w:t>
            </w:r>
          </w:p>
          <w:p w:rsidRPr="001525BF" w:rsidR="001525BF" w:rsidP="00FE4186" w:rsidRDefault="001525BF" w14:paraId="2AA7DF76" w14:textId="77777777">
            <w:pPr>
              <w:pStyle w:val="BodyText"/>
              <w:rPr>
                <w:rFonts w:cs="Arial" w:asciiTheme="minorHAnsi" w:hAnsiTheme="minorHAnsi"/>
                <w:sz w:val="16"/>
                <w:szCs w:val="16"/>
              </w:rPr>
            </w:pPr>
            <w:r w:rsidRPr="001525BF">
              <w:rPr>
                <w:rFonts w:cs="Arial" w:asciiTheme="minorHAnsi" w:hAnsiTheme="minorHAnsi"/>
                <w:sz w:val="16"/>
                <w:szCs w:val="16"/>
              </w:rPr>
              <w:t xml:space="preserve">The European Society for Paediatric Endocrinology consensus group on congenital hypothyroidism defined the severity of hypothyroidism in terms of fT4 ranges, with &lt;5 pmol/L as severe, 5–10 pmol/L as moderate and 10–15 pmol/L as mild hypothyroidism. The goal of newborn screening for congenital hypothyroidism is to ensure that affected infants start treatment </w:t>
            </w:r>
            <w:r w:rsidRPr="001525BF">
              <w:rPr>
                <w:rFonts w:cs="Arial" w:asciiTheme="minorHAnsi" w:hAnsiTheme="minorHAnsi"/>
                <w:sz w:val="16"/>
                <w:szCs w:val="16"/>
              </w:rPr>
              <w:lastRenderedPageBreak/>
              <w:t xml:space="preserve">as soon as possible, so that neurological impairment is either prevented or minimised. The European Society for Paediatric Endocrinology (ESPE) consensus states that thyroxine treatment should be started as soon as possible and not later than within the first 2 weeks of life. </w:t>
            </w:r>
            <w:r w:rsidRPr="001525BF">
              <w:rPr>
                <w:rFonts w:cs="Arial" w:asciiTheme="minorHAnsi" w:hAnsiTheme="minorHAnsi"/>
                <w:noProof/>
                <w:sz w:val="16"/>
                <w:szCs w:val="16"/>
              </w:rPr>
              <w:t>[2]</w:t>
            </w:r>
          </w:p>
          <w:p w:rsidRPr="001525BF" w:rsidR="001525BF" w:rsidP="00FE4186" w:rsidRDefault="001525BF" w14:paraId="05348198" w14:textId="77777777">
            <w:pPr>
              <w:pStyle w:val="BodyText"/>
              <w:rPr>
                <w:rFonts w:cs="Arial" w:asciiTheme="minorHAnsi" w:hAnsiTheme="minorHAnsi"/>
                <w:sz w:val="16"/>
                <w:szCs w:val="16"/>
              </w:rPr>
            </w:pPr>
          </w:p>
          <w:p w:rsidRPr="001525BF" w:rsidR="001525BF" w:rsidP="00FE4186" w:rsidRDefault="001525BF" w14:paraId="4A5C61E2" w14:textId="77777777">
            <w:pPr>
              <w:pStyle w:val="BodyText"/>
              <w:rPr>
                <w:rFonts w:cs="Arial" w:asciiTheme="minorHAnsi" w:hAnsiTheme="minorHAnsi"/>
                <w:sz w:val="16"/>
                <w:szCs w:val="16"/>
              </w:rPr>
            </w:pPr>
            <w:r w:rsidRPr="001525BF">
              <w:rPr>
                <w:rFonts w:cs="Arial" w:asciiTheme="minorHAnsi" w:hAnsiTheme="minorHAnsi"/>
                <w:sz w:val="16"/>
                <w:szCs w:val="16"/>
              </w:rPr>
              <w:t>The criteria for recall and arrangements for evaluation vary according to country and newborn screening program.</w:t>
            </w:r>
            <w:r w:rsidRPr="001525BF">
              <w:rPr>
                <w:rFonts w:cs="Arial" w:asciiTheme="minorHAnsi" w:hAnsiTheme="minorHAnsi"/>
                <w:noProof/>
                <w:sz w:val="16"/>
                <w:szCs w:val="16"/>
              </w:rPr>
              <w:t>[1, 7, 13-16]</w:t>
            </w:r>
            <w:r w:rsidRPr="001525BF">
              <w:rPr>
                <w:rFonts w:cs="Arial" w:asciiTheme="minorHAnsi" w:hAnsiTheme="minorHAnsi"/>
                <w:sz w:val="16"/>
                <w:szCs w:val="16"/>
              </w:rPr>
              <w:t xml:space="preserve"> For TSH levels triggering immediate recall for diagnostic testing, there should be immediate notification by phone to the responsible health team, followed by electronic and printed notification giving details of the mother and baby and screening results.</w:t>
            </w:r>
            <w:r w:rsidRPr="001525BF">
              <w:rPr>
                <w:rFonts w:cs="Arial" w:asciiTheme="minorHAnsi" w:hAnsiTheme="minorHAnsi"/>
                <w:noProof/>
                <w:sz w:val="16"/>
                <w:szCs w:val="16"/>
              </w:rPr>
              <w:t>[1, 14]</w:t>
            </w:r>
            <w:r w:rsidRPr="001525BF">
              <w:rPr>
                <w:rFonts w:cs="Arial" w:asciiTheme="minorHAnsi" w:hAnsiTheme="minorHAnsi"/>
                <w:sz w:val="16"/>
                <w:szCs w:val="16"/>
              </w:rPr>
              <w:t xml:space="preserve"> For TSH levels triggering recall for repeat capillary screening, there should be electronic and printed notification giving details of the mother and baby and screening results to enable retesting within 7–10 days.</w:t>
            </w:r>
            <w:r w:rsidRPr="001525BF">
              <w:rPr>
                <w:rFonts w:cs="Arial" w:asciiTheme="minorHAnsi" w:hAnsiTheme="minorHAnsi"/>
                <w:noProof/>
                <w:sz w:val="16"/>
                <w:szCs w:val="16"/>
              </w:rPr>
              <w:t>[1, 14]</w:t>
            </w:r>
            <w:r w:rsidRPr="001525BF">
              <w:rPr>
                <w:rFonts w:cs="Arial" w:asciiTheme="minorHAnsi" w:hAnsiTheme="minorHAnsi"/>
                <w:sz w:val="16"/>
                <w:szCs w:val="16"/>
              </w:rPr>
              <w:t xml:space="preserve"> The UK National Screening Committee recommend </w:t>
            </w:r>
            <w:r w:rsidRPr="001525BF">
              <w:rPr>
                <w:rFonts w:asciiTheme="minorHAnsi" w:hAnsiTheme="minorHAnsi"/>
                <w:sz w:val="16"/>
                <w:szCs w:val="16"/>
              </w:rPr>
              <w:t xml:space="preserve">standards for initiation of treatment for congenital hypothyroidism </w:t>
            </w:r>
            <w:r w:rsidRPr="001525BF">
              <w:rPr>
                <w:rFonts w:cs="Arial" w:asciiTheme="minorHAnsi" w:hAnsiTheme="minorHAnsi"/>
                <w:sz w:val="16"/>
                <w:szCs w:val="16"/>
              </w:rPr>
              <w:t>suspected on initial screening sample by 17 days of age and, for infants suspected on a repeat blood spot sample that follows a borderline TSH, treatment is initiated by 24 days of age.</w:t>
            </w:r>
            <w:r w:rsidRPr="001525BF">
              <w:rPr>
                <w:rFonts w:cs="Arial" w:asciiTheme="minorHAnsi" w:hAnsiTheme="minorHAnsi"/>
                <w:noProof/>
                <w:sz w:val="16"/>
                <w:szCs w:val="16"/>
              </w:rPr>
              <w:t>[17]</w:t>
            </w:r>
          </w:p>
          <w:p w:rsidRPr="001525BF" w:rsidR="001525BF" w:rsidP="00FE4186" w:rsidRDefault="001525BF" w14:paraId="552407BF" w14:textId="77777777">
            <w:pPr>
              <w:pStyle w:val="BodyText"/>
              <w:rPr>
                <w:rFonts w:cs="Arial" w:asciiTheme="minorHAnsi" w:hAnsiTheme="minorHAnsi"/>
                <w:sz w:val="16"/>
                <w:szCs w:val="16"/>
              </w:rPr>
            </w:pPr>
          </w:p>
          <w:p w:rsidRPr="001525BF" w:rsidR="001525BF" w:rsidP="00FE4186" w:rsidRDefault="001525BF" w14:paraId="624A12C3"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Higher versus lower dose of thyroxine replacement therapy for hypothyroidism</w:t>
            </w:r>
          </w:p>
          <w:p w:rsidRPr="001525BF" w:rsidR="001525BF" w:rsidP="00FE4186" w:rsidRDefault="001525BF" w14:paraId="4EBE9DA7" w14:textId="77777777">
            <w:pPr>
              <w:pStyle w:val="BodyText"/>
              <w:rPr>
                <w:rFonts w:cs="Arial" w:asciiTheme="minorHAnsi" w:hAnsiTheme="minorHAnsi"/>
                <w:sz w:val="16"/>
                <w:szCs w:val="16"/>
              </w:rPr>
            </w:pPr>
            <w:r w:rsidRPr="001525BF">
              <w:rPr>
                <w:rFonts w:cs="Arial" w:asciiTheme="minorHAnsi" w:hAnsiTheme="minorHAnsi"/>
                <w:sz w:val="16"/>
                <w:szCs w:val="16"/>
              </w:rPr>
              <w:t>The Australian Paediatric Endocrine Group guidelines recommend levothyroxine treatment is started as soon as the diagnosis has been confirmed by thyroid function tests (preferably the same day as the evaluation). A recommended starting dose is 10 microgram/kg/day. Dosage needs to be adjusted at follow-up visits with the aim of increasing the free T4 concentration to the upper end of the normal range within 2 weeks of starting therapy and decreasing the TSH to &lt;20 mU/L within the first month.</w:t>
            </w:r>
            <w:r w:rsidRPr="001525BF">
              <w:rPr>
                <w:rFonts w:cs="Arial" w:asciiTheme="minorHAnsi" w:hAnsiTheme="minorHAnsi"/>
                <w:noProof/>
                <w:sz w:val="16"/>
                <w:szCs w:val="16"/>
              </w:rPr>
              <w:t>[1]</w:t>
            </w:r>
            <w:r w:rsidRPr="001525BF">
              <w:rPr>
                <w:rFonts w:cs="Arial" w:asciiTheme="minorHAnsi" w:hAnsiTheme="minorHAnsi"/>
                <w:sz w:val="16"/>
                <w:szCs w:val="16"/>
              </w:rPr>
              <w:t xml:space="preserve"> </w:t>
            </w:r>
          </w:p>
          <w:p w:rsidRPr="001525BF" w:rsidR="001525BF" w:rsidP="00FE4186" w:rsidRDefault="001525BF" w14:paraId="01B2EF35" w14:textId="77777777">
            <w:pPr>
              <w:pStyle w:val="BodyText"/>
              <w:rPr>
                <w:rFonts w:cs="Arial" w:asciiTheme="minorHAnsi" w:hAnsiTheme="minorHAnsi"/>
                <w:sz w:val="16"/>
                <w:szCs w:val="16"/>
                <w:vertAlign w:val="superscript"/>
              </w:rPr>
            </w:pPr>
          </w:p>
          <w:p w:rsidRPr="001525BF" w:rsidR="001525BF" w:rsidP="00FE4186" w:rsidRDefault="001525BF" w14:paraId="488F6812" w14:textId="77777777">
            <w:pPr>
              <w:pStyle w:val="BodyText"/>
              <w:rPr>
                <w:rFonts w:cs="Arial" w:asciiTheme="minorHAnsi" w:hAnsiTheme="minorHAnsi"/>
                <w:sz w:val="16"/>
                <w:szCs w:val="16"/>
              </w:rPr>
            </w:pPr>
            <w:r w:rsidRPr="001525BF">
              <w:rPr>
                <w:rFonts w:cs="Arial" w:asciiTheme="minorHAnsi" w:hAnsiTheme="minorHAnsi"/>
                <w:sz w:val="16"/>
                <w:szCs w:val="16"/>
              </w:rPr>
              <w:t xml:space="preserve">A systematic review of high versus low dose of initial thyroid hormone replacement for congenital hypothyroidism identified only one RCT evaluating the effects of high (10 to 15 microgram/kg/day) versus low dose (5 to 9.9 microgram/kg/day) of initial thyroid hormone replacement for CHT. </w:t>
            </w:r>
            <w:r w:rsidRPr="001525BF">
              <w:rPr>
                <w:rFonts w:cs="Arial" w:asciiTheme="minorHAnsi" w:hAnsiTheme="minorHAnsi"/>
                <w:noProof/>
                <w:sz w:val="16"/>
                <w:szCs w:val="16"/>
              </w:rPr>
              <w:t>[18]</w:t>
            </w:r>
            <w:r w:rsidRPr="001525BF">
              <w:rPr>
                <w:rFonts w:cs="Arial" w:asciiTheme="minorHAnsi" w:hAnsiTheme="minorHAnsi"/>
                <w:sz w:val="16"/>
                <w:szCs w:val="16"/>
              </w:rPr>
              <w:t xml:space="preserve"> The single RCT </w:t>
            </w:r>
            <w:r w:rsidRPr="001525BF">
              <w:rPr>
                <w:rFonts w:cs="Arial" w:asciiTheme="minorHAnsi" w:hAnsiTheme="minorHAnsi"/>
                <w:noProof/>
                <w:sz w:val="16"/>
                <w:szCs w:val="16"/>
              </w:rPr>
              <w:t>[19, 20]</w:t>
            </w:r>
            <w:r w:rsidRPr="001525BF">
              <w:rPr>
                <w:rFonts w:cs="Arial" w:asciiTheme="minorHAnsi" w:hAnsiTheme="minorHAnsi"/>
                <w:sz w:val="16"/>
                <w:szCs w:val="16"/>
              </w:rPr>
              <w:t xml:space="preserve"> reported initial dosing of 50 microgram/day (12–17 microgram/kg per day) raised serum T4 and free T4 concentrations to target range by 3 days and normalised TSH by 2 weeks of therapy. Infants commenced on higher initial levothyroxine doses (50 microgram) had full-scale IQ scores 11 points higher than those started on lower (37.5 microgram</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 xml:space="preserve">g) initial doses. However, verbal IQ, performance IQ, and achievement scores did not differ. (LOE II) </w:t>
            </w:r>
          </w:p>
          <w:p w:rsidRPr="001525BF" w:rsidR="001525BF" w:rsidP="00FE4186" w:rsidRDefault="001525BF" w14:paraId="40984DA3" w14:textId="77777777">
            <w:pPr>
              <w:pStyle w:val="BodyText"/>
              <w:rPr>
                <w:rFonts w:cs="Arial" w:asciiTheme="minorHAnsi" w:hAnsiTheme="minorHAnsi"/>
                <w:sz w:val="16"/>
                <w:szCs w:val="16"/>
              </w:rPr>
            </w:pPr>
          </w:p>
          <w:p w:rsidRPr="001525BF" w:rsidR="001525BF" w:rsidP="00FE4186" w:rsidRDefault="001525BF" w14:paraId="2DE7418E" w14:textId="77777777">
            <w:pPr>
              <w:pStyle w:val="BodyText"/>
              <w:rPr>
                <w:rFonts w:cs="Arial" w:asciiTheme="minorHAnsi" w:hAnsiTheme="minorHAnsi"/>
                <w:sz w:val="16"/>
                <w:szCs w:val="16"/>
              </w:rPr>
            </w:pPr>
            <w:r w:rsidRPr="001525BF">
              <w:rPr>
                <w:rFonts w:cs="Arial" w:asciiTheme="minorHAnsi" w:hAnsiTheme="minorHAnsi"/>
                <w:sz w:val="16"/>
                <w:szCs w:val="16"/>
              </w:rPr>
              <w:t>A systematic review of controlled studies</w:t>
            </w:r>
            <w:r w:rsidRPr="001525BF">
              <w:rPr>
                <w:rFonts w:asciiTheme="minorHAnsi" w:hAnsiTheme="minorHAnsi"/>
                <w:sz w:val="16"/>
                <w:szCs w:val="16"/>
              </w:rPr>
              <w:t xml:space="preserve"> </w:t>
            </w:r>
            <w:r w:rsidRPr="001525BF">
              <w:rPr>
                <w:rFonts w:cs="Arial" w:asciiTheme="minorHAnsi" w:hAnsiTheme="minorHAnsi"/>
                <w:sz w:val="16"/>
                <w:szCs w:val="16"/>
              </w:rPr>
              <w:t>that reported an association between cognitive outcome, severity of CHT and dosage at start of treatment found 11 studies that reported outcomes on 438 patients with CH: 156 with severe CHT (initial serum T4 ≤2 mg/dL or fT4 ≤3 pmol/L) and 282 with moderate or mild CHT (initial serum T4 &gt;2 mg/dL or fT4 &gt;3 pmol/L) [23–32]. The initial levothyroxine dose was classified as high (&gt;10 microgram</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/kg), median (8 to 10 microgram</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/kg) or low (&lt;8 microgram</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/kg). Patients with severe CH treated with a low initial levothyroxine</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dose had significantly lower IQ scores than patients with moderate/mild CH (pooled mean difference, 26.0; 95% CI: 29.1, 23.0) as well as patients with severe CH treated with a median levothyroxine</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dose (pooled mean difference, 29.2; 95% CI: 215.1, 23.3). Only in the subgroup treated with a high initial levothyroxine</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dose &gt;10 microgram</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/kg per day was there no significant IQ difference between patients affected by severe CH vs mild/moderate CH. (LOE III – 2) A second systematic review of controlled studies found 17 studies that assessed the starting treatment dose in children with CHT.</w:t>
            </w:r>
            <w:r w:rsidRPr="001525BF">
              <w:rPr>
                <w:rFonts w:cs="Arial" w:asciiTheme="minorHAnsi" w:hAnsiTheme="minorHAnsi"/>
                <w:noProof/>
                <w:sz w:val="16"/>
                <w:szCs w:val="16"/>
              </w:rPr>
              <w:t>[21]</w:t>
            </w:r>
            <w:r w:rsidRPr="001525BF">
              <w:rPr>
                <w:rFonts w:cs="Arial" w:asciiTheme="minorHAnsi" w:hAnsiTheme="minorHAnsi"/>
                <w:sz w:val="16"/>
                <w:szCs w:val="16"/>
              </w:rPr>
              <w:t xml:space="preserve"> Although most studies favoured a high initial treatment dose, some studies reported an increased incidence of overtreatment with high-dose thyroxine. In addition, one study reported that although infants initiated on higher dose levothyroxine had better performances and indexes of intelligence, verbal ability, and memory, they also had more behavioural problems, including increased anxiety, poorer concentration and social withdrawal.</w:t>
            </w:r>
            <w:r w:rsidRPr="001525BF">
              <w:rPr>
                <w:rFonts w:cs="Arial" w:asciiTheme="minorHAnsi" w:hAnsiTheme="minorHAnsi"/>
                <w:noProof/>
                <w:sz w:val="16"/>
                <w:szCs w:val="16"/>
              </w:rPr>
              <w:t>[22]</w:t>
            </w:r>
            <w:r w:rsidRPr="001525BF">
              <w:rPr>
                <w:rFonts w:cs="Arial" w:asciiTheme="minorHAnsi" w:hAnsiTheme="minorHAnsi"/>
                <w:sz w:val="16"/>
                <w:szCs w:val="16"/>
              </w:rPr>
              <w:t xml:space="preserve"> </w:t>
            </w:r>
          </w:p>
          <w:p w:rsidRPr="001525BF" w:rsidR="001525BF" w:rsidP="00FE4186" w:rsidRDefault="001525BF" w14:paraId="1BCAA82C" w14:textId="77777777">
            <w:pPr>
              <w:pStyle w:val="BodyText"/>
              <w:rPr>
                <w:rFonts w:cs="Arial" w:asciiTheme="minorHAnsi" w:hAnsiTheme="minorHAnsi"/>
                <w:b/>
                <w:sz w:val="16"/>
                <w:szCs w:val="16"/>
              </w:rPr>
            </w:pPr>
          </w:p>
          <w:p w:rsidRPr="001525BF" w:rsidR="001525BF" w:rsidP="00FE4186" w:rsidRDefault="001525BF" w14:paraId="48A273AE" w14:textId="77777777">
            <w:pPr>
              <w:pStyle w:val="BodyText"/>
              <w:rPr>
                <w:rFonts w:cs="Arial" w:asciiTheme="minorHAnsi" w:hAnsiTheme="minorHAnsi"/>
                <w:sz w:val="16"/>
                <w:szCs w:val="16"/>
              </w:rPr>
            </w:pPr>
            <w:r w:rsidRPr="001525BF">
              <w:rPr>
                <w:rFonts w:cs="Arial" w:asciiTheme="minorHAnsi" w:hAnsiTheme="minorHAnsi"/>
                <w:b/>
                <w:sz w:val="16"/>
                <w:szCs w:val="16"/>
              </w:rPr>
              <w:t>Conclusion:</w:t>
            </w:r>
            <w:r w:rsidRPr="001525BF">
              <w:rPr>
                <w:rFonts w:cs="Arial" w:asciiTheme="minorHAnsi" w:hAnsiTheme="minorHAnsi"/>
                <w:sz w:val="16"/>
                <w:szCs w:val="16"/>
              </w:rPr>
              <w:t xml:space="preserve"> The European Society for Paediatric Endocrinology recommends an initial levothyroxine dose of 10–15 microgram</w:t>
            </w:r>
            <w:r w:rsidRPr="001525BF" w:rsidDel="00BB2CEB">
              <w:rPr>
                <w:rFonts w:cs="Arial" w:asciiTheme="minorHAnsi" w:hAnsiTheme="minorHAnsi"/>
                <w:sz w:val="16"/>
                <w:szCs w:val="16"/>
              </w:rPr>
              <w:t xml:space="preserve"> </w:t>
            </w:r>
            <w:r w:rsidRPr="001525BF">
              <w:rPr>
                <w:rFonts w:cs="Arial" w:asciiTheme="minorHAnsi" w:hAnsiTheme="minorHAnsi"/>
                <w:sz w:val="16"/>
                <w:szCs w:val="16"/>
              </w:rPr>
              <w:t xml:space="preserve">/kg per day. Infants with severe disease, as defined by a very low pretreatment T4 or free T4 concentration, should be treated with the highest initial dose. Overtreatment should be avoided by careful monitoring. </w:t>
            </w:r>
            <w:r w:rsidRPr="001525BF">
              <w:rPr>
                <w:rFonts w:cs="Arial" w:asciiTheme="minorHAnsi" w:hAnsiTheme="minorHAnsi"/>
                <w:noProof/>
                <w:sz w:val="16"/>
                <w:szCs w:val="16"/>
              </w:rPr>
              <w:t>[2]</w:t>
            </w:r>
            <w:r w:rsidRPr="001525BF">
              <w:rPr>
                <w:rFonts w:cs="Arial" w:asciiTheme="minorHAnsi" w:hAnsiTheme="minorHAnsi"/>
                <w:sz w:val="16"/>
                <w:szCs w:val="16"/>
              </w:rPr>
              <w:t xml:space="preserve"> </w:t>
            </w:r>
          </w:p>
          <w:p w:rsidRPr="001525BF" w:rsidR="001525BF" w:rsidP="00FE4186" w:rsidRDefault="001525BF" w14:paraId="1B3CAFEE" w14:textId="77777777">
            <w:pPr>
              <w:pStyle w:val="BodyText"/>
              <w:rPr>
                <w:rFonts w:cs="Arial" w:asciiTheme="minorHAnsi" w:hAnsiTheme="minorHAnsi"/>
                <w:sz w:val="16"/>
                <w:szCs w:val="16"/>
              </w:rPr>
            </w:pPr>
          </w:p>
          <w:p w:rsidRPr="001525BF" w:rsidR="001525BF" w:rsidP="00FE4186" w:rsidRDefault="001525BF" w14:paraId="02360F83"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Postnatal thyroid hormones for preterm infants with transient hypothyroxinaemia</w:t>
            </w:r>
          </w:p>
          <w:p w:rsidRPr="001525BF" w:rsidR="001525BF" w:rsidP="00FE4186" w:rsidRDefault="001525BF" w14:paraId="6EFDC418" w14:textId="77777777">
            <w:pPr>
              <w:pStyle w:val="BodyText"/>
              <w:rPr>
                <w:rFonts w:cs="Arial" w:asciiTheme="minorHAnsi" w:hAnsiTheme="minorHAnsi"/>
                <w:sz w:val="16"/>
                <w:szCs w:val="16"/>
              </w:rPr>
            </w:pPr>
            <w:r w:rsidRPr="001525BF">
              <w:rPr>
                <w:rFonts w:cs="Arial" w:asciiTheme="minorHAnsi" w:hAnsiTheme="minorHAnsi"/>
                <w:sz w:val="16"/>
                <w:szCs w:val="16"/>
              </w:rPr>
              <w:t>A systematic review by Osborn DA et al 2007</w:t>
            </w:r>
            <w:r w:rsidRPr="001525BF">
              <w:rPr>
                <w:rFonts w:asciiTheme="minorHAnsi" w:hAnsiTheme="minorHAnsi"/>
                <w:sz w:val="16"/>
                <w:szCs w:val="16"/>
              </w:rPr>
              <w:t xml:space="preserve"> found only one eligible study providing </w:t>
            </w:r>
            <w:r w:rsidRPr="001525BF">
              <w:rPr>
                <w:rFonts w:cs="Arial" w:asciiTheme="minorHAnsi" w:hAnsiTheme="minorHAnsi"/>
                <w:sz w:val="16"/>
                <w:szCs w:val="16"/>
              </w:rPr>
              <w:t>insufficient evidence to determine whether use of thyroid hormones for treatment of preterm infants with transient hypothyroxinaemia (low T4, normal TSH) results in changes in neonatal morbidity and mortality or reductions in neurodevelopmental impairments.</w:t>
            </w:r>
            <w:r w:rsidRPr="001525BF">
              <w:rPr>
                <w:rFonts w:cs="Arial" w:asciiTheme="minorHAnsi" w:hAnsiTheme="minorHAnsi"/>
                <w:noProof/>
                <w:sz w:val="16"/>
                <w:szCs w:val="16"/>
              </w:rPr>
              <w:t>[23]</w:t>
            </w:r>
            <w:r w:rsidRPr="001525BF">
              <w:rPr>
                <w:rFonts w:cs="Arial" w:asciiTheme="minorHAnsi" w:hAnsiTheme="minorHAnsi"/>
                <w:sz w:val="16"/>
                <w:szCs w:val="16"/>
              </w:rPr>
              <w:t xml:space="preserve"> (LOE I)</w:t>
            </w:r>
          </w:p>
          <w:p w:rsidRPr="001525BF" w:rsidR="001525BF" w:rsidP="00FE4186" w:rsidRDefault="001525BF" w14:paraId="1858ACB5" w14:textId="77777777">
            <w:pPr>
              <w:pStyle w:val="BodyText"/>
              <w:rPr>
                <w:rFonts w:cs="Arial" w:asciiTheme="minorHAnsi" w:hAnsiTheme="minorHAnsi"/>
                <w:sz w:val="16"/>
                <w:szCs w:val="16"/>
              </w:rPr>
            </w:pPr>
          </w:p>
          <w:p w:rsidRPr="001525BF" w:rsidR="001525BF" w:rsidP="00FE4186" w:rsidRDefault="001525BF" w14:paraId="1CE65A06"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Thyroid hormones for preventing neurodevelopmental impairment in preterm infants</w:t>
            </w:r>
          </w:p>
          <w:p w:rsidRPr="001525BF" w:rsidR="001525BF" w:rsidP="00FE4186" w:rsidRDefault="001525BF" w14:paraId="4C18497B" w14:textId="77777777">
            <w:pPr>
              <w:pStyle w:val="BodyText"/>
              <w:rPr>
                <w:rFonts w:cs="Arial" w:asciiTheme="minorHAnsi" w:hAnsiTheme="minorHAnsi"/>
                <w:sz w:val="16"/>
                <w:szCs w:val="16"/>
              </w:rPr>
            </w:pPr>
            <w:r w:rsidRPr="001525BF">
              <w:rPr>
                <w:rFonts w:cs="Arial" w:asciiTheme="minorHAnsi" w:hAnsiTheme="minorHAnsi"/>
                <w:sz w:val="16"/>
                <w:szCs w:val="16"/>
              </w:rPr>
              <w:t xml:space="preserve">A systematic review by Osborn DA 2001 that included 9 studies found no support for the use of thyroid hormones in preterm infants to reduce neonatal mortality, improve neurodevelopmental outcome or to reduce the severity of respiratory distress syndrome. </w:t>
            </w:r>
            <w:r w:rsidRPr="001525BF">
              <w:rPr>
                <w:rFonts w:cs="Arial" w:asciiTheme="minorHAnsi" w:hAnsiTheme="minorHAnsi"/>
                <w:noProof/>
                <w:sz w:val="16"/>
                <w:szCs w:val="16"/>
              </w:rPr>
              <w:t>[24]</w:t>
            </w:r>
            <w:r w:rsidRPr="001525BF">
              <w:rPr>
                <w:rFonts w:cs="Arial" w:asciiTheme="minorHAnsi" w:hAnsiTheme="minorHAnsi"/>
                <w:sz w:val="16"/>
                <w:szCs w:val="16"/>
              </w:rPr>
              <w:t xml:space="preserve"> A subgroup analysis of data from one RCT (van Wassenaer 1997) which showed benefits in infants 24–25 weeks gestation was not pre-specified.</w:t>
            </w:r>
            <w:r w:rsidRPr="001525BF">
              <w:rPr>
                <w:rFonts w:cs="Arial" w:asciiTheme="minorHAnsi" w:hAnsiTheme="minorHAnsi"/>
                <w:noProof/>
                <w:sz w:val="16"/>
                <w:szCs w:val="16"/>
              </w:rPr>
              <w:t>[25-27]</w:t>
            </w:r>
            <w:r w:rsidRPr="001525BF">
              <w:rPr>
                <w:rFonts w:cs="Arial" w:asciiTheme="minorHAnsi" w:hAnsiTheme="minorHAnsi"/>
                <w:sz w:val="16"/>
                <w:szCs w:val="16"/>
              </w:rPr>
              <w:t xml:space="preserve"> </w:t>
            </w:r>
          </w:p>
          <w:p w:rsidRPr="001525BF" w:rsidR="001525BF" w:rsidP="00FE4186" w:rsidRDefault="001525BF" w14:paraId="5AC7E174" w14:textId="77777777">
            <w:pPr>
              <w:pStyle w:val="BodyText"/>
              <w:rPr>
                <w:rFonts w:cs="Arial" w:asciiTheme="minorHAnsi" w:hAnsiTheme="minorHAnsi"/>
                <w:sz w:val="16"/>
                <w:szCs w:val="16"/>
              </w:rPr>
            </w:pPr>
            <w:r w:rsidRPr="001525BF">
              <w:rPr>
                <w:rFonts w:cs="Arial" w:asciiTheme="minorHAnsi" w:hAnsiTheme="minorHAnsi"/>
                <w:b/>
                <w:sz w:val="16"/>
                <w:szCs w:val="16"/>
              </w:rPr>
              <w:t>Conclusion:</w:t>
            </w:r>
            <w:r w:rsidRPr="001525BF">
              <w:rPr>
                <w:rFonts w:cs="Arial" w:asciiTheme="minorHAnsi" w:hAnsiTheme="minorHAnsi"/>
                <w:sz w:val="16"/>
                <w:szCs w:val="16"/>
              </w:rPr>
              <w:t xml:space="preserve"> Prophylactic thyroid hormone supplementation in preterm infants and for treatment of transient hypothyroxinaemia should only be used in the context of an adequately powered clinical trial. (LOE I GOR D) </w:t>
            </w:r>
          </w:p>
          <w:p w:rsidRPr="001525BF" w:rsidR="001525BF" w:rsidP="00FE4186" w:rsidRDefault="001525BF" w14:paraId="4120FCF3" w14:textId="77777777">
            <w:pPr>
              <w:pStyle w:val="BodyText"/>
              <w:rPr>
                <w:rFonts w:cs="Arial" w:asciiTheme="minorHAnsi" w:hAnsiTheme="minorHAnsi"/>
                <w:sz w:val="16"/>
                <w:szCs w:val="16"/>
              </w:rPr>
            </w:pPr>
          </w:p>
          <w:p w:rsidRPr="001525BF" w:rsidR="001525BF" w:rsidP="00FE4186" w:rsidRDefault="001525BF" w14:paraId="2994E001"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 xml:space="preserve">Replacement therapy in Down syndrome </w:t>
            </w:r>
          </w:p>
          <w:p w:rsidRPr="001525BF" w:rsidR="001525BF" w:rsidP="00FE4186" w:rsidRDefault="001525BF" w14:paraId="4F624527" w14:textId="77777777">
            <w:pPr>
              <w:pStyle w:val="BodyText"/>
              <w:rPr>
                <w:rFonts w:cs="Arial" w:asciiTheme="minorHAnsi" w:hAnsiTheme="minorHAnsi"/>
                <w:sz w:val="16"/>
                <w:szCs w:val="16"/>
              </w:rPr>
            </w:pPr>
            <w:r w:rsidRPr="001525BF">
              <w:rPr>
                <w:rFonts w:cs="Arial" w:asciiTheme="minorHAnsi" w:hAnsiTheme="minorHAnsi"/>
                <w:sz w:val="16"/>
                <w:szCs w:val="16"/>
              </w:rPr>
              <w:t>A single RCT assessed the effect of thyroxine 8 microgram</w:t>
            </w:r>
            <w:r w:rsidRPr="001525BF" w:rsidDel="00A45213">
              <w:rPr>
                <w:rFonts w:cs="Arial" w:asciiTheme="minorHAnsi" w:hAnsiTheme="minorHAnsi"/>
                <w:sz w:val="16"/>
                <w:szCs w:val="16"/>
              </w:rPr>
              <w:t xml:space="preserve"> </w:t>
            </w:r>
            <w:r w:rsidRPr="001525BF">
              <w:rPr>
                <w:rFonts w:cs="Arial" w:asciiTheme="minorHAnsi" w:hAnsiTheme="minorHAnsi"/>
                <w:sz w:val="16"/>
                <w:szCs w:val="16"/>
              </w:rPr>
              <w:t>/kg per day</w:t>
            </w:r>
            <w:r w:rsidRPr="001525BF" w:rsidDel="00E309B4">
              <w:rPr>
                <w:rFonts w:cs="Arial" w:asciiTheme="minorHAnsi" w:hAnsiTheme="minorHAnsi"/>
                <w:sz w:val="16"/>
                <w:szCs w:val="16"/>
              </w:rPr>
              <w:t xml:space="preserve"> </w:t>
            </w:r>
            <w:r w:rsidRPr="001525BF">
              <w:rPr>
                <w:rFonts w:cs="Arial" w:asciiTheme="minorHAnsi" w:hAnsiTheme="minorHAnsi"/>
                <w:sz w:val="16"/>
                <w:szCs w:val="16"/>
              </w:rPr>
              <w:t>in 196 Down Syndrome infants with normal newborn congenital hypothyroidism screening.</w:t>
            </w:r>
            <w:r w:rsidRPr="001525BF">
              <w:rPr>
                <w:rFonts w:cs="Arial" w:asciiTheme="minorHAnsi" w:hAnsiTheme="minorHAnsi"/>
                <w:noProof/>
                <w:sz w:val="16"/>
                <w:szCs w:val="16"/>
              </w:rPr>
              <w:t>[28, 29]</w:t>
            </w:r>
            <w:r w:rsidRPr="001525BF">
              <w:rPr>
                <w:rFonts w:cs="Arial" w:asciiTheme="minorHAnsi" w:hAnsiTheme="minorHAnsi"/>
                <w:sz w:val="16"/>
                <w:szCs w:val="16"/>
              </w:rPr>
              <w:t xml:space="preserve"> Thyroxine-treated children had a smaller delay in motor developmental age (−0.7 months, 95% CI −1.4 to 0), but not mental developmental age (−0.7 months, 95% CI −1.5 to 0.2) at 24 months. Levothyroxine-treated children had greater gains in length (1.1 cm, 95% CI 0.2 to 2.0) and weight (378 g, 95% CI 55 to 701). However, at a mean age of 10.7 years, 123 infants were assessed as having no difference in mental or motor development, communication skills or fine-motor coordination. Levothyroxine-treated children had a larger HC (50.4 vs 49.8 cm, P 0.04) and tended to be taller (133.2 vs 131.1 cm, P0.06). The differences were greater in children with TSH ≥5 IU/L (HC: levothyroxine50.5 vs placebo 49.7 cm, P 0.01; height: levothyroxine133.8 vs placebo 130.8 cm, P 0.02), but were not found in children with TSH &lt;5 mIU/L. </w:t>
            </w:r>
          </w:p>
          <w:p w:rsidRPr="001525BF" w:rsidR="001525BF" w:rsidP="00FE4186" w:rsidRDefault="001525BF" w14:paraId="0803CB41" w14:textId="77777777">
            <w:pPr>
              <w:pStyle w:val="BodyText"/>
              <w:rPr>
                <w:rFonts w:cs="Arial" w:asciiTheme="minorHAnsi" w:hAnsiTheme="minorHAnsi"/>
                <w:sz w:val="16"/>
                <w:szCs w:val="16"/>
              </w:rPr>
            </w:pPr>
            <w:r w:rsidRPr="001525BF">
              <w:rPr>
                <w:rFonts w:cs="Arial" w:asciiTheme="minorHAnsi" w:hAnsiTheme="minorHAnsi"/>
                <w:b/>
                <w:sz w:val="16"/>
                <w:szCs w:val="16"/>
              </w:rPr>
              <w:lastRenderedPageBreak/>
              <w:t>Conclusion:</w:t>
            </w:r>
            <w:r w:rsidRPr="001525BF">
              <w:rPr>
                <w:rFonts w:cs="Arial" w:asciiTheme="minorHAnsi" w:hAnsiTheme="minorHAnsi"/>
                <w:sz w:val="16"/>
                <w:szCs w:val="16"/>
              </w:rPr>
              <w:t xml:space="preserve"> Administration of levothyroxine to young children with DS to stimulate general mental or motor development later in life cannot be recommended. However, levothyroxinetreatment may increase growth, especially in children with elevated neonatal plasma TSH concentrations.</w:t>
            </w:r>
            <w:r w:rsidRPr="001525BF">
              <w:rPr>
                <w:rFonts w:cs="Arial" w:asciiTheme="minorHAnsi" w:hAnsiTheme="minorHAnsi"/>
                <w:noProof/>
                <w:sz w:val="16"/>
                <w:szCs w:val="16"/>
              </w:rPr>
              <w:t>[28]</w:t>
            </w:r>
            <w:r w:rsidRPr="001525BF" w:rsidDel="00E309B4">
              <w:rPr>
                <w:rFonts w:cs="Arial" w:asciiTheme="minorHAnsi" w:hAnsiTheme="minorHAnsi"/>
                <w:sz w:val="16"/>
                <w:szCs w:val="16"/>
              </w:rPr>
              <w:t xml:space="preserve"> </w:t>
            </w:r>
            <w:r w:rsidRPr="001525BF">
              <w:rPr>
                <w:rFonts w:cs="Arial" w:asciiTheme="minorHAnsi" w:hAnsiTheme="minorHAnsi"/>
                <w:sz w:val="16"/>
                <w:szCs w:val="16"/>
              </w:rPr>
              <w:t>LOE II GOR D</w:t>
            </w:r>
          </w:p>
          <w:p w:rsidRPr="001525BF" w:rsidR="001525BF" w:rsidP="00FE4186" w:rsidRDefault="001525BF" w14:paraId="1499272D" w14:textId="77777777">
            <w:pPr>
              <w:pStyle w:val="BodyText"/>
              <w:rPr>
                <w:rFonts w:cs="Arial" w:asciiTheme="minorHAnsi" w:hAnsiTheme="minorHAnsi"/>
                <w:sz w:val="16"/>
                <w:szCs w:val="16"/>
              </w:rPr>
            </w:pPr>
          </w:p>
          <w:p w:rsidRPr="001525BF" w:rsidR="001525BF" w:rsidP="00FE4186" w:rsidRDefault="001525BF" w14:paraId="5280A36B" w14:textId="77777777">
            <w:pPr>
              <w:pStyle w:val="NoSpacing"/>
              <w:rPr>
                <w:b/>
                <w:sz w:val="16"/>
                <w:szCs w:val="16"/>
              </w:rPr>
            </w:pPr>
            <w:r w:rsidRPr="001525BF">
              <w:rPr>
                <w:b/>
                <w:sz w:val="16"/>
                <w:szCs w:val="16"/>
              </w:rPr>
              <w:t>Thyroid hormones in infants undergoing cardiac surgery</w:t>
            </w:r>
          </w:p>
          <w:p w:rsidRPr="001525BF" w:rsidR="001525BF" w:rsidP="00FE4186" w:rsidRDefault="001525BF" w14:paraId="2C0A10F2" w14:textId="77777777">
            <w:pPr>
              <w:pStyle w:val="NoSpacing"/>
              <w:rPr>
                <w:rFonts w:asciiTheme="minorHAnsi" w:hAnsiTheme="minorHAnsi"/>
                <w:sz w:val="16"/>
                <w:szCs w:val="16"/>
              </w:rPr>
            </w:pPr>
            <w:r w:rsidRPr="001525BF">
              <w:rPr>
                <w:sz w:val="16"/>
                <w:szCs w:val="16"/>
              </w:rPr>
              <w:t xml:space="preserve">Thyroid hormone has been tested during and after cardiac surgery with the hypothesis that it may enhance cardiac contractility of the uninjured or failing myocardium in situations where thyroid metabolism is impaired. There is a single trial of oral thyroxine in in infants undergoing cardiac surgery [30]. </w:t>
            </w:r>
            <w:r w:rsidRPr="001525BF">
              <w:rPr>
                <w:rFonts w:asciiTheme="minorHAnsi" w:hAnsiTheme="minorHAnsi"/>
                <w:i/>
                <w:sz w:val="16"/>
                <w:szCs w:val="16"/>
              </w:rPr>
              <w:t>Talwar et al 2018</w:t>
            </w:r>
            <w:r w:rsidRPr="001525BF">
              <w:rPr>
                <w:rFonts w:asciiTheme="minorHAnsi" w:hAnsiTheme="minorHAnsi"/>
                <w:sz w:val="16"/>
                <w:szCs w:val="16"/>
              </w:rPr>
              <w:t xml:space="preserve"> in infants undergoing open-heart surgery compared oral thyroxin 5 microgram/kg 12 hours before surgery and once daily for the remainder of ICU stay versus placebo. Oral thyroxin supplementation improves the cardiac index, reduced inotrope requirement, duration of mechanical ventilation, ICU and hospital stay and therapeutic intervention scoring system score.</w:t>
            </w:r>
          </w:p>
          <w:p w:rsidRPr="001525BF" w:rsidR="001525BF" w:rsidP="00FE4186" w:rsidRDefault="001525BF" w14:paraId="1938DBEC" w14:textId="77777777">
            <w:pPr>
              <w:pStyle w:val="BodyText"/>
              <w:rPr>
                <w:rFonts w:cs="Arial" w:asciiTheme="minorHAnsi" w:hAnsiTheme="minorHAnsi"/>
                <w:b/>
                <w:sz w:val="16"/>
                <w:szCs w:val="16"/>
                <w:u w:val="single"/>
              </w:rPr>
            </w:pPr>
          </w:p>
          <w:p w:rsidRPr="001525BF" w:rsidR="001525BF" w:rsidP="00FE4186" w:rsidRDefault="001525BF" w14:paraId="3559B591" w14:textId="77777777">
            <w:pPr>
              <w:pStyle w:val="BodyText"/>
              <w:rPr>
                <w:rFonts w:cs="Arial" w:asciiTheme="minorHAnsi" w:hAnsiTheme="minorHAnsi"/>
                <w:b/>
                <w:sz w:val="16"/>
                <w:szCs w:val="16"/>
                <w:u w:val="single"/>
              </w:rPr>
            </w:pPr>
            <w:r w:rsidRPr="001525BF">
              <w:rPr>
                <w:rFonts w:cs="Arial" w:asciiTheme="minorHAnsi" w:hAnsiTheme="minorHAnsi"/>
                <w:b/>
                <w:sz w:val="16"/>
                <w:szCs w:val="16"/>
                <w:u w:val="single"/>
              </w:rPr>
              <w:t>Pharmacokinetics/pharmacodynamics</w:t>
            </w:r>
          </w:p>
          <w:p w:rsidRPr="001525BF" w:rsidR="001525BF" w:rsidP="00FE4186" w:rsidRDefault="001525BF" w14:paraId="4D97446E" w14:textId="77777777">
            <w:pPr>
              <w:pStyle w:val="BodyText"/>
              <w:rPr>
                <w:rFonts w:cs="Arial" w:asciiTheme="minorHAnsi" w:hAnsiTheme="minorHAnsi"/>
                <w:sz w:val="16"/>
                <w:szCs w:val="16"/>
              </w:rPr>
            </w:pPr>
            <w:r w:rsidRPr="001525BF">
              <w:rPr>
                <w:rFonts w:cs="Arial" w:asciiTheme="minorHAnsi" w:hAnsiTheme="minorHAnsi"/>
                <w:sz w:val="16"/>
                <w:szCs w:val="16"/>
              </w:rPr>
              <w:t>Triiodothyronine (T3) is the biologically active hormone, but there is no evidence that combined therapy with levothyroxine and liothyronine is more beneficial than treatment withlevothyroxine alone, probably due to the high degree of efficiency of endogenous deiodinases which break T4 down into T3.</w:t>
            </w:r>
            <w:r w:rsidRPr="001525BF">
              <w:rPr>
                <w:rFonts w:cs="Arial" w:asciiTheme="minorHAnsi" w:hAnsiTheme="minorHAnsi"/>
                <w:noProof/>
                <w:sz w:val="16"/>
                <w:szCs w:val="16"/>
              </w:rPr>
              <w:t>[2]</w:t>
            </w:r>
            <w:r w:rsidRPr="001525BF">
              <w:rPr>
                <w:rFonts w:cs="Arial" w:asciiTheme="minorHAnsi" w:hAnsiTheme="minorHAnsi"/>
                <w:sz w:val="16"/>
                <w:szCs w:val="16"/>
              </w:rPr>
              <w:t xml:space="preserve"> levothyroxine is available in tablet but not licensed as a liquid form in Australia. Liquid preparations may be better absorbed, particularly in patients with malabsorption and in newborn infants in whom lower TSH levels were reported.</w:t>
            </w:r>
            <w:r w:rsidRPr="001525BF">
              <w:rPr>
                <w:rFonts w:cs="Arial" w:asciiTheme="minorHAnsi" w:hAnsiTheme="minorHAnsi"/>
                <w:noProof/>
                <w:sz w:val="16"/>
                <w:szCs w:val="16"/>
              </w:rPr>
              <w:t>[31-31]</w:t>
            </w:r>
            <w:r w:rsidRPr="001525BF">
              <w:rPr>
                <w:rFonts w:cs="Arial" w:asciiTheme="minorHAnsi" w:hAnsiTheme="minorHAnsi"/>
                <w:sz w:val="16"/>
                <w:szCs w:val="16"/>
              </w:rPr>
              <w:t xml:space="preserve"> Suspensions prepared by pharmacists may not allow reliable dosing.</w:t>
            </w:r>
            <w:r w:rsidRPr="001525BF">
              <w:rPr>
                <w:rFonts w:cs="Arial" w:asciiTheme="minorHAnsi" w:hAnsiTheme="minorHAnsi"/>
                <w:noProof/>
                <w:sz w:val="16"/>
                <w:szCs w:val="16"/>
              </w:rPr>
              <w:t>[2]</w:t>
            </w:r>
            <w:r w:rsidRPr="001525BF">
              <w:rPr>
                <w:rFonts w:cs="Arial" w:asciiTheme="minorHAnsi" w:hAnsiTheme="minorHAnsi"/>
                <w:sz w:val="16"/>
                <w:szCs w:val="16"/>
              </w:rPr>
              <w:t xml:space="preserve"> Brand and generic levothyroxine are not bioequivalent so it is prudent to use a brand preparation, particularly in severe cases.</w:t>
            </w:r>
            <w:r w:rsidRPr="001525BF">
              <w:rPr>
                <w:rFonts w:cs="Arial" w:asciiTheme="minorHAnsi" w:hAnsiTheme="minorHAnsi"/>
                <w:noProof/>
                <w:sz w:val="16"/>
                <w:szCs w:val="16"/>
              </w:rPr>
              <w:t>[2, 34]</w:t>
            </w:r>
            <w:r w:rsidRPr="001525BF">
              <w:rPr>
                <w:rFonts w:cs="Arial" w:asciiTheme="minorHAnsi" w:hAnsiTheme="minorHAnsi"/>
                <w:sz w:val="16"/>
                <w:szCs w:val="16"/>
              </w:rPr>
              <w:t xml:space="preserve">  </w:t>
            </w:r>
          </w:p>
          <w:p w:rsidRPr="001525BF" w:rsidR="001525BF" w:rsidP="00FE4186" w:rsidRDefault="001525BF" w14:paraId="3F29181D" w14:textId="77777777">
            <w:pPr>
              <w:rPr>
                <w:rFonts w:cs="Arial" w:asciiTheme="minorHAnsi" w:hAnsiTheme="minorHAnsi"/>
                <w:sz w:val="16"/>
                <w:szCs w:val="16"/>
              </w:rPr>
            </w:pPr>
            <w:r w:rsidRPr="001525BF">
              <w:rPr>
                <w:rFonts w:cs="Arial" w:asciiTheme="minorHAnsi" w:hAnsiTheme="minorHAnsi"/>
                <w:sz w:val="16"/>
                <w:szCs w:val="16"/>
              </w:rPr>
              <w:t xml:space="preserve">Peak concentrations occur 2 to 4 hours after oral administration. Therefore blood for thyroid function tests should preferably be taken immediately before a dose is due </w:t>
            </w:r>
            <w:r w:rsidRPr="001525BF">
              <w:rPr>
                <w:rFonts w:cs="Arial" w:asciiTheme="minorHAnsi" w:hAnsiTheme="minorHAnsi"/>
                <w:noProof/>
                <w:sz w:val="16"/>
                <w:szCs w:val="16"/>
              </w:rPr>
              <w:t>[1].</w:t>
            </w:r>
            <w:r w:rsidRPr="001525BF">
              <w:rPr>
                <w:rFonts w:cs="Arial" w:asciiTheme="minorHAnsi" w:hAnsiTheme="minorHAnsi"/>
                <w:sz w:val="16"/>
                <w:szCs w:val="16"/>
              </w:rPr>
              <w:t xml:space="preserve"> Fasting will increase the extent of absorption, whereas malabsorption may decrease absorption. </w:t>
            </w:r>
          </w:p>
          <w:p w:rsidRPr="001525BF" w:rsidR="001525BF" w:rsidP="00FE4186" w:rsidRDefault="001525BF" w14:paraId="268ED672" w14:textId="77777777">
            <w:pPr>
              <w:rPr>
                <w:rFonts w:cs="Arial" w:asciiTheme="minorHAnsi" w:hAnsiTheme="minorHAnsi"/>
                <w:sz w:val="16"/>
                <w:szCs w:val="16"/>
              </w:rPr>
            </w:pPr>
            <w:r w:rsidRPr="001525BF">
              <w:rPr>
                <w:rFonts w:cs="Arial" w:asciiTheme="minorHAnsi" w:hAnsiTheme="minorHAnsi"/>
                <w:sz w:val="16"/>
                <w:szCs w:val="16"/>
              </w:rPr>
              <w:t>The daily levothyroxine tablet should be crushed and mixed with water, expressed breast milk, or formula. Although it is recommended to administer levothyroxine on an empty stomach and avoid food for 30–60 min, this is not practical in an infant. levothyroxine should not be mixed with substances that interfere with gastrointestinal absorption, such as soy protein formula, concentrated iron, or calcium.</w:t>
            </w:r>
            <w:r w:rsidRPr="001525BF">
              <w:rPr>
                <w:rFonts w:cs="Arial" w:asciiTheme="minorHAnsi" w:hAnsiTheme="minorHAnsi"/>
                <w:noProof/>
                <w:sz w:val="16"/>
                <w:szCs w:val="16"/>
              </w:rPr>
              <w:t>[16]</w:t>
            </w:r>
            <w:r w:rsidRPr="001525BF">
              <w:rPr>
                <w:rFonts w:cs="Arial" w:asciiTheme="minorHAnsi" w:hAnsiTheme="minorHAnsi"/>
                <w:sz w:val="16"/>
                <w:szCs w:val="16"/>
              </w:rPr>
              <w:t xml:space="preserve"> </w:t>
            </w:r>
          </w:p>
          <w:p w:rsidRPr="001525BF" w:rsidR="001525BF" w:rsidP="00FE4186" w:rsidRDefault="001525BF" w14:paraId="50C598F2" w14:textId="77777777">
            <w:pPr>
              <w:rPr>
                <w:rFonts w:asciiTheme="minorHAnsi" w:hAnsiTheme="minorHAnsi"/>
                <w:sz w:val="16"/>
                <w:szCs w:val="16"/>
              </w:rPr>
            </w:pPr>
            <w:r w:rsidRPr="001525BF">
              <w:rPr>
                <w:rFonts w:cs="Arial" w:asciiTheme="minorHAnsi" w:hAnsiTheme="minorHAnsi"/>
                <w:sz w:val="16"/>
                <w:szCs w:val="16"/>
              </w:rPr>
              <w:t>Levothyroxine sodium is variably but adequately absorbed from the gastrointestinal tract following oral administration. Approximately 50 to 80% of levothyroxine sodium is absorbed.</w:t>
            </w:r>
            <w:r w:rsidRPr="001525BF">
              <w:rPr>
                <w:rFonts w:cs="Arial" w:asciiTheme="minorHAnsi" w:hAnsiTheme="minorHAnsi"/>
                <w:noProof/>
                <w:sz w:val="16"/>
                <w:szCs w:val="16"/>
              </w:rPr>
              <w:t>[2]</w:t>
            </w:r>
            <w:r w:rsidRPr="001525BF">
              <w:rPr>
                <w:rFonts w:cs="Arial" w:asciiTheme="minorHAnsi" w:hAnsiTheme="minorHAnsi"/>
                <w:sz w:val="16"/>
                <w:szCs w:val="16"/>
              </w:rPr>
              <w:t xml:space="preserve"> </w:t>
            </w:r>
            <w:r w:rsidRPr="001525BF">
              <w:rPr>
                <w:rFonts w:asciiTheme="minorHAnsi" w:hAnsiTheme="minorHAnsi"/>
                <w:sz w:val="16"/>
                <w:szCs w:val="16"/>
              </w:rPr>
              <w:t>Elimination half-life is about 6–7 days.</w:t>
            </w:r>
            <w:r w:rsidRPr="001525BF">
              <w:rPr>
                <w:rFonts w:asciiTheme="minorHAnsi" w:hAnsiTheme="minorHAnsi"/>
                <w:noProof/>
                <w:sz w:val="16"/>
                <w:szCs w:val="16"/>
              </w:rPr>
              <w:t>[35, 36]</w:t>
            </w:r>
            <w:r w:rsidRPr="001525BF">
              <w:rPr>
                <w:rFonts w:asciiTheme="minorHAnsi" w:hAnsiTheme="minorHAnsi"/>
                <w:sz w:val="16"/>
                <w:szCs w:val="16"/>
              </w:rPr>
              <w:t xml:space="preserve"> </w:t>
            </w:r>
          </w:p>
          <w:p w:rsidRPr="001525BF" w:rsidR="001525BF" w:rsidP="00FE4186" w:rsidRDefault="001525BF" w14:paraId="47896B55" w14:textId="77777777">
            <w:pPr>
              <w:pStyle w:val="BodyText"/>
              <w:rPr>
                <w:rFonts w:cs="Arial" w:asciiTheme="minorHAnsi" w:hAnsiTheme="minorHAnsi"/>
                <w:sz w:val="16"/>
                <w:szCs w:val="16"/>
              </w:rPr>
            </w:pPr>
            <w:r w:rsidRPr="001525BF">
              <w:rPr>
                <w:rFonts w:cs="Arial" w:asciiTheme="minorHAnsi" w:hAnsiTheme="minorHAnsi"/>
                <w:sz w:val="16"/>
                <w:szCs w:val="16"/>
              </w:rPr>
              <w:t xml:space="preserve">Commencing thyroxine 10 to 15 microgram/kg/day </w:t>
            </w:r>
            <w:r w:rsidRPr="001525BF">
              <w:rPr>
                <w:rFonts w:cs="Sabon-Roman" w:asciiTheme="minorHAnsi" w:hAnsiTheme="minorHAnsi"/>
                <w:sz w:val="16"/>
                <w:szCs w:val="16"/>
                <w:lang w:eastAsia="en-AU"/>
              </w:rPr>
              <w:t xml:space="preserve">will normalise serum free T4 or T4 in 3 days and TSH in 2 to 4 weeks </w:t>
            </w:r>
            <w:r w:rsidRPr="001525BF">
              <w:rPr>
                <w:rFonts w:cs="Arial" w:asciiTheme="minorHAnsi" w:hAnsiTheme="minorHAnsi"/>
                <w:sz w:val="16"/>
                <w:szCs w:val="16"/>
              </w:rPr>
              <w:t>following the initiation of therapy.</w:t>
            </w:r>
            <w:r w:rsidRPr="001525BF">
              <w:rPr>
                <w:rFonts w:cs="Arial" w:asciiTheme="minorHAnsi" w:hAnsiTheme="minorHAnsi"/>
                <w:noProof/>
                <w:sz w:val="16"/>
                <w:szCs w:val="16"/>
              </w:rPr>
              <w:t>[16]</w:t>
            </w:r>
            <w:r w:rsidRPr="001525BF">
              <w:rPr>
                <w:rFonts w:cs="Arial" w:asciiTheme="minorHAnsi" w:hAnsiTheme="minorHAnsi"/>
                <w:sz w:val="16"/>
                <w:szCs w:val="16"/>
              </w:rPr>
              <w:t xml:space="preserve"> </w:t>
            </w:r>
          </w:p>
        </w:tc>
      </w:tr>
      <w:tr w:rsidRPr="001279F9" w:rsidR="001525BF" w:rsidTr="00FE4186" w14:paraId="42C3433C" w14:textId="77777777">
        <w:trPr>
          <w:trHeight w:val="360"/>
        </w:trPr>
        <w:tc>
          <w:tcPr>
            <w:tcW w:w="834" w:type="pct"/>
          </w:tcPr>
          <w:p w:rsidRPr="001279F9" w:rsidR="001525BF" w:rsidP="00FE4186" w:rsidRDefault="001525BF" w14:paraId="342E7EEC" w14:textId="77777777">
            <w:pPr>
              <w:pStyle w:val="BodyText"/>
              <w:rPr>
                <w:rFonts w:cs="Arial" w:asciiTheme="minorHAnsi" w:hAnsiTheme="minorHAnsi"/>
                <w:b/>
                <w:bCs/>
                <w:sz w:val="20"/>
              </w:rPr>
            </w:pPr>
            <w:r w:rsidRPr="001279F9">
              <w:rPr>
                <w:rFonts w:asciiTheme="minorHAnsi" w:hAnsiTheme="minorHAnsi"/>
                <w:b/>
                <w:sz w:val="20"/>
              </w:rPr>
              <w:lastRenderedPageBreak/>
              <w:t>References</w:t>
            </w:r>
          </w:p>
        </w:tc>
        <w:tc>
          <w:tcPr>
            <w:tcW w:w="4166" w:type="pct"/>
          </w:tcPr>
          <w:p w:rsidRPr="001525BF" w:rsidR="001525BF" w:rsidP="00FE4186" w:rsidRDefault="001525BF" w14:paraId="76C7EAD7" w14:textId="77777777">
            <w:pPr>
              <w:pStyle w:val="EndNoteBibliography"/>
              <w:rPr>
                <w:rFonts w:asciiTheme="minorHAnsi" w:hAnsiTheme="minorHAnsi"/>
                <w:sz w:val="16"/>
                <w:szCs w:val="16"/>
              </w:rPr>
            </w:pPr>
            <w:r w:rsidRPr="001525BF">
              <w:rPr>
                <w:rFonts w:asciiTheme="minorHAnsi" w:hAnsiTheme="minorHAnsi"/>
                <w:sz w:val="16"/>
                <w:szCs w:val="16"/>
              </w:rPr>
              <w:t>1. Australian Paediatric Endocrine Group (APEG). Guidelines for management of congenital hypothyroidism. December 2007. Accessed on 29 May 2018.</w:t>
            </w:r>
          </w:p>
          <w:p w:rsidRPr="001525BF" w:rsidR="001525BF" w:rsidP="00FE4186" w:rsidRDefault="001525BF" w14:paraId="6E892267" w14:textId="77777777">
            <w:pPr>
              <w:pStyle w:val="EndNoteBibliography"/>
              <w:rPr>
                <w:rFonts w:asciiTheme="minorHAnsi" w:hAnsiTheme="minorHAnsi"/>
                <w:sz w:val="16"/>
                <w:szCs w:val="16"/>
              </w:rPr>
            </w:pPr>
            <w:r w:rsidRPr="001525BF">
              <w:rPr>
                <w:rFonts w:asciiTheme="minorHAnsi" w:hAnsiTheme="minorHAnsi"/>
                <w:sz w:val="16"/>
                <w:szCs w:val="16"/>
              </w:rPr>
              <w:t>2. Leger J, Olivieri A, Donaldson M, Torresani T, Krude H, van Vliet G, Polak M, Butler G. European Society for Paediatric Endocrinology consensus guidelines on screening, diagnosis, and management of congenital hypothyroidism. J Clin Endocrinol Metab. 2014;99:363-84.</w:t>
            </w:r>
          </w:p>
          <w:p w:rsidRPr="001525BF" w:rsidR="001525BF" w:rsidP="00FE4186" w:rsidRDefault="001525BF" w14:paraId="1DF9C3A1" w14:textId="77777777">
            <w:pPr>
              <w:pStyle w:val="EndNoteBibliography"/>
              <w:rPr>
                <w:rFonts w:asciiTheme="minorHAnsi" w:hAnsiTheme="minorHAnsi"/>
                <w:sz w:val="16"/>
                <w:szCs w:val="16"/>
              </w:rPr>
            </w:pPr>
            <w:r w:rsidRPr="001525BF">
              <w:rPr>
                <w:rFonts w:asciiTheme="minorHAnsi" w:hAnsiTheme="minorHAnsi"/>
                <w:sz w:val="16"/>
                <w:szCs w:val="16"/>
              </w:rPr>
              <w:t>3. Aitken J, Williams FLR. A systematic review of thyroid dysfunction in preterm neonates exposed to topical iodine. Archives of Disease in Childhood: Fetal and Neonatal Edition. 2014;99:F21-F8.</w:t>
            </w:r>
          </w:p>
          <w:p w:rsidRPr="001525BF" w:rsidR="001525BF" w:rsidP="00FE4186" w:rsidRDefault="001525BF" w14:paraId="11D2B4DC" w14:textId="77777777">
            <w:pPr>
              <w:pStyle w:val="EndNoteBibliography"/>
              <w:rPr>
                <w:rFonts w:asciiTheme="minorHAnsi" w:hAnsiTheme="minorHAnsi"/>
                <w:sz w:val="16"/>
                <w:szCs w:val="16"/>
              </w:rPr>
            </w:pPr>
            <w:r w:rsidRPr="001525BF">
              <w:rPr>
                <w:rFonts w:asciiTheme="minorHAnsi" w:hAnsiTheme="minorHAnsi"/>
                <w:sz w:val="16"/>
                <w:szCs w:val="16"/>
              </w:rPr>
              <w:t>4. l'Allemand D, Gruters A, Beyer P, Weber B. Iodine in contrast agents and skin disinfectants is the major cause for hypothyroidism in premature infants during intensive care. Horm Res. 1987;28:42-9.</w:t>
            </w:r>
          </w:p>
          <w:p w:rsidRPr="001525BF" w:rsidR="001525BF" w:rsidP="00FE4186" w:rsidRDefault="001525BF" w14:paraId="5B710654" w14:textId="77777777">
            <w:pPr>
              <w:pStyle w:val="EndNoteBibliography"/>
              <w:rPr>
                <w:rFonts w:asciiTheme="minorHAnsi" w:hAnsiTheme="minorHAnsi"/>
                <w:sz w:val="16"/>
                <w:szCs w:val="16"/>
              </w:rPr>
            </w:pPr>
            <w:r w:rsidRPr="001525BF">
              <w:rPr>
                <w:rFonts w:asciiTheme="minorHAnsi" w:hAnsiTheme="minorHAnsi"/>
                <w:sz w:val="16"/>
                <w:szCs w:val="16"/>
              </w:rPr>
              <w:t>5. Smerdely P, Lim A, Boyages SC, Waite K, Wu D, Roberts V, Leslie G, Arnold J, John E, Eastman CJ. Topical iodine-containing antiseptics and neonatal hypothyroidism in very-low-birthweight infants. Lancet. 1989;2:661-4.</w:t>
            </w:r>
          </w:p>
          <w:p w:rsidRPr="001525BF" w:rsidR="001525BF" w:rsidP="00FE4186" w:rsidRDefault="001525BF" w14:paraId="1A0CBD61" w14:textId="77777777">
            <w:pPr>
              <w:pStyle w:val="EndNoteBibliography"/>
              <w:rPr>
                <w:rFonts w:asciiTheme="minorHAnsi" w:hAnsiTheme="minorHAnsi"/>
                <w:sz w:val="16"/>
                <w:szCs w:val="16"/>
              </w:rPr>
            </w:pPr>
            <w:r w:rsidRPr="001525BF">
              <w:rPr>
                <w:rFonts w:asciiTheme="minorHAnsi" w:hAnsiTheme="minorHAnsi"/>
                <w:sz w:val="16"/>
                <w:szCs w:val="16"/>
              </w:rPr>
              <w:t>6. Endocrine Society of Australia statement on thyroxine preparations available in Australia. https://endocrinesociety.org.au/position-statements.asp.</w:t>
            </w:r>
          </w:p>
          <w:p w:rsidRPr="001525BF" w:rsidR="001525BF" w:rsidP="00FE4186" w:rsidRDefault="001525BF" w14:paraId="75C9E530" w14:textId="77777777">
            <w:pPr>
              <w:pStyle w:val="EndNoteBibliography"/>
              <w:rPr>
                <w:rFonts w:asciiTheme="minorHAnsi" w:hAnsiTheme="minorHAnsi"/>
                <w:sz w:val="16"/>
                <w:szCs w:val="16"/>
              </w:rPr>
            </w:pPr>
            <w:r w:rsidRPr="001525BF">
              <w:rPr>
                <w:rFonts w:asciiTheme="minorHAnsi" w:hAnsiTheme="minorHAnsi"/>
                <w:sz w:val="16"/>
                <w:szCs w:val="16"/>
              </w:rPr>
              <w:t>7. American Academy of P, Rose SR, Section on E, Committee on Genetics ATA, Brown RS, Public Health Committee LWPES, Foley T, Kaplowitz PB, Kaye CI, Sundararajan S, Varma SK. Update of newborn screening and therapy for congenital hypothyroidism. Pediatrics. 2006;117:2290-303.</w:t>
            </w:r>
          </w:p>
          <w:p w:rsidRPr="001525BF" w:rsidR="001525BF" w:rsidP="00FE4186" w:rsidRDefault="001525BF" w14:paraId="5D6A500E" w14:textId="77777777">
            <w:pPr>
              <w:pStyle w:val="EndNoteBibliography"/>
              <w:rPr>
                <w:rFonts w:asciiTheme="minorHAnsi" w:hAnsiTheme="minorHAnsi"/>
                <w:sz w:val="16"/>
                <w:szCs w:val="16"/>
              </w:rPr>
            </w:pPr>
            <w:r w:rsidRPr="001525BF">
              <w:rPr>
                <w:rFonts w:asciiTheme="minorHAnsi" w:hAnsiTheme="minorHAnsi"/>
                <w:sz w:val="16"/>
                <w:szCs w:val="16"/>
              </w:rPr>
              <w:t>8. Hashemipour M, Hovsepian S, Ansari A, Keikha M, Khalighinejad P, Niknam N. Screening of congenital hypothyroidism in preterm, low birth weight and very low birth weight neonates: A systematic review. Pediatrics and Neonatology. 2018;59:3-14.</w:t>
            </w:r>
          </w:p>
          <w:p w:rsidRPr="001525BF" w:rsidR="001525BF" w:rsidP="00FE4186" w:rsidRDefault="001525BF" w14:paraId="528E1F66" w14:textId="77777777">
            <w:pPr>
              <w:pStyle w:val="EndNoteBibliography"/>
              <w:rPr>
                <w:rFonts w:asciiTheme="minorHAnsi" w:hAnsiTheme="minorHAnsi"/>
                <w:sz w:val="16"/>
                <w:szCs w:val="16"/>
              </w:rPr>
            </w:pPr>
            <w:r w:rsidRPr="001525BF">
              <w:rPr>
                <w:rFonts w:asciiTheme="minorHAnsi" w:hAnsiTheme="minorHAnsi"/>
                <w:sz w:val="16"/>
                <w:szCs w:val="16"/>
              </w:rPr>
              <w:t>9. Srinivasan R, Harigopal S, Turner S, Cheetham T. Permanent and transient congenital hypothyroidism in preterm infants. Acta Paediatrica, International Journal of Paediatrics.</w:t>
            </w:r>
          </w:p>
          <w:p w:rsidRPr="001525BF" w:rsidR="001525BF" w:rsidP="00FE4186" w:rsidRDefault="001525BF" w14:paraId="31575EA0" w14:textId="77777777">
            <w:pPr>
              <w:pStyle w:val="EndNoteBibliography"/>
              <w:rPr>
                <w:rFonts w:asciiTheme="minorHAnsi" w:hAnsiTheme="minorHAnsi"/>
                <w:sz w:val="16"/>
                <w:szCs w:val="16"/>
              </w:rPr>
            </w:pPr>
            <w:r w:rsidRPr="001525BF">
              <w:rPr>
                <w:rFonts w:asciiTheme="minorHAnsi" w:hAnsiTheme="minorHAnsi"/>
                <w:sz w:val="16"/>
                <w:szCs w:val="16"/>
              </w:rPr>
              <w:t>10. Jones JH, Smith S, Dorrian C, Mason A, Shaikh MG. Permanent congenital hypothyroidism with blood spot thyroid stimulating hormone &lt;10 mU/L. Archives of Disease in Childhood. 2018;103:65-7.</w:t>
            </w:r>
          </w:p>
          <w:p w:rsidRPr="001525BF" w:rsidR="001525BF" w:rsidP="00FE4186" w:rsidRDefault="001525BF" w14:paraId="7FD60067" w14:textId="77777777">
            <w:pPr>
              <w:pStyle w:val="EndNoteBibliography"/>
              <w:rPr>
                <w:rFonts w:asciiTheme="minorHAnsi" w:hAnsiTheme="minorHAnsi"/>
                <w:sz w:val="16"/>
                <w:szCs w:val="16"/>
              </w:rPr>
            </w:pPr>
            <w:r w:rsidRPr="001525BF">
              <w:rPr>
                <w:rFonts w:asciiTheme="minorHAnsi" w:hAnsiTheme="minorHAnsi"/>
                <w:sz w:val="16"/>
                <w:szCs w:val="16"/>
              </w:rPr>
              <w:t>11. Pokrovska T, Jones J, Shaikh MG, Smith S, Donaldson MD. How well does the capillary thyroid-stimulating hormone test for newborn thyroid screening predict the venous free thyroxine level? Arch Dis Child. 2016;101:539-45.</w:t>
            </w:r>
          </w:p>
          <w:p w:rsidRPr="001525BF" w:rsidR="001525BF" w:rsidP="00FE4186" w:rsidRDefault="001525BF" w14:paraId="4FDA7F48" w14:textId="77777777">
            <w:pPr>
              <w:pStyle w:val="EndNoteBibliography"/>
              <w:rPr>
                <w:rFonts w:asciiTheme="minorHAnsi" w:hAnsiTheme="minorHAnsi"/>
                <w:sz w:val="16"/>
                <w:szCs w:val="16"/>
              </w:rPr>
            </w:pPr>
            <w:r w:rsidRPr="001525BF">
              <w:rPr>
                <w:rFonts w:asciiTheme="minorHAnsi" w:hAnsiTheme="minorHAnsi"/>
                <w:sz w:val="16"/>
                <w:szCs w:val="16"/>
              </w:rPr>
              <w:t>12. McGowan S, Jones J, McMillan D, McLaughlin K, Smith S, Leyland K, Charleton P, Donaldson M, Scottish Down Syndrome Screening G. Screening for hypothyroidism in Down syndrome using the capillary thyroid stimulating hormone method. J Pediatr. 2015;166:1013-7.e2.</w:t>
            </w:r>
          </w:p>
          <w:p w:rsidRPr="001525BF" w:rsidR="001525BF" w:rsidP="00FE4186" w:rsidRDefault="001525BF" w14:paraId="0C51BD68" w14:textId="77777777">
            <w:pPr>
              <w:pStyle w:val="EndNoteBibliography"/>
              <w:rPr>
                <w:rFonts w:asciiTheme="minorHAnsi" w:hAnsiTheme="minorHAnsi"/>
                <w:sz w:val="16"/>
                <w:szCs w:val="16"/>
              </w:rPr>
            </w:pPr>
            <w:r w:rsidRPr="001525BF">
              <w:rPr>
                <w:rFonts w:asciiTheme="minorHAnsi" w:hAnsiTheme="minorHAnsi"/>
                <w:sz w:val="16"/>
                <w:szCs w:val="16"/>
              </w:rPr>
              <w:t>13. Mehran L, Khalili D, Yarahmadi S, Amouzegar A, Mojarrad M, Ajang N, Azizi F. Worldwide recall rate in newborn screening programs for congenital hypothyroidism. International Journal of Endocrinology and Metabolism. 2017;15.</w:t>
            </w:r>
          </w:p>
          <w:p w:rsidRPr="001525BF" w:rsidR="001525BF" w:rsidP="00FE4186" w:rsidRDefault="001525BF" w14:paraId="36DC06DD" w14:textId="77777777">
            <w:pPr>
              <w:pStyle w:val="EndNoteBibliography"/>
              <w:rPr>
                <w:rFonts w:asciiTheme="minorHAnsi" w:hAnsiTheme="minorHAnsi"/>
                <w:sz w:val="16"/>
                <w:szCs w:val="16"/>
              </w:rPr>
            </w:pPr>
            <w:r w:rsidRPr="001525BF">
              <w:rPr>
                <w:rFonts w:asciiTheme="minorHAnsi" w:hAnsiTheme="minorHAnsi"/>
                <w:sz w:val="16"/>
                <w:szCs w:val="16"/>
              </w:rPr>
              <w:t>14. Mansour C, Ouarezki Y, Jones J, Fitch M, Smith S, Mason A, Donaldson M. Trends in Scottish newborn screening programme for congenital hypothyroidism 1980-2014: strategies for reducing age at notification after initial and repeat sampling. Archives of Disease in Childhood. 2017;102:936-41.</w:t>
            </w:r>
          </w:p>
          <w:p w:rsidRPr="001525BF" w:rsidR="001525BF" w:rsidP="00FE4186" w:rsidRDefault="001525BF" w14:paraId="32001C16" w14:textId="77777777">
            <w:pPr>
              <w:pStyle w:val="EndNoteBibliography"/>
              <w:rPr>
                <w:rFonts w:asciiTheme="minorHAnsi" w:hAnsiTheme="minorHAnsi"/>
                <w:sz w:val="16"/>
                <w:szCs w:val="16"/>
              </w:rPr>
            </w:pPr>
            <w:r w:rsidRPr="001525BF">
              <w:rPr>
                <w:rFonts w:asciiTheme="minorHAnsi" w:hAnsiTheme="minorHAnsi"/>
                <w:sz w:val="16"/>
                <w:szCs w:val="16"/>
              </w:rPr>
              <w:t>15. Leger J, Olivieri A, Donaldson M, Torresani T, Krude H, van Vliet G, Polak M, Butler G, Espe Pes Slep Jspe Apeg Appes I, Congenital Hypothyroidism Consensus Conference G. European Society for Paediatric Endocrinology consensus guidelines on screening, diagnosis, and management of congenital hypothyroidism. Horm Res Paediatr. 2014;81:80-103.</w:t>
            </w:r>
          </w:p>
          <w:p w:rsidRPr="001525BF" w:rsidR="001525BF" w:rsidP="00FE4186" w:rsidRDefault="001525BF" w14:paraId="49423CA0" w14:textId="77777777">
            <w:pPr>
              <w:pStyle w:val="EndNoteBibliography"/>
              <w:rPr>
                <w:rFonts w:asciiTheme="minorHAnsi" w:hAnsiTheme="minorHAnsi"/>
                <w:sz w:val="16"/>
                <w:szCs w:val="16"/>
              </w:rPr>
            </w:pPr>
            <w:r w:rsidRPr="001525BF">
              <w:rPr>
                <w:rFonts w:asciiTheme="minorHAnsi" w:hAnsiTheme="minorHAnsi"/>
                <w:sz w:val="16"/>
                <w:szCs w:val="16"/>
              </w:rPr>
              <w:t>16. LaFranchi SH. Approach to the diagnosis and treatment of neonatal hypothyroidism. Journal of Clinical Endocrinology and Metabolism. 2011;96:2959-67.</w:t>
            </w:r>
          </w:p>
          <w:p w:rsidRPr="001525BF" w:rsidR="001525BF" w:rsidP="00FE4186" w:rsidRDefault="001525BF" w14:paraId="0D1CAEA7" w14:textId="77777777">
            <w:pPr>
              <w:pStyle w:val="EndNoteBibliography"/>
              <w:rPr>
                <w:rFonts w:asciiTheme="minorHAnsi" w:hAnsiTheme="minorHAnsi"/>
                <w:sz w:val="16"/>
                <w:szCs w:val="16"/>
              </w:rPr>
            </w:pPr>
            <w:r w:rsidRPr="001525BF">
              <w:rPr>
                <w:rFonts w:asciiTheme="minorHAnsi" w:hAnsiTheme="minorHAnsi"/>
                <w:sz w:val="16"/>
                <w:szCs w:val="16"/>
              </w:rPr>
              <w:lastRenderedPageBreak/>
              <w:t>17. UK Newborn Screening Programme Centre (2013) Congenital Hypothyroidism: Initial Clinical Referral Standards and Guidelines. In: A Laboratory Guide to Newborn Screening in the UK for Congenital Hypothyroidism (pp29-35). https://www. gov. uk/government/ publications/ congenital- hypothyroidism- screening- laboratory- handbook.</w:t>
            </w:r>
          </w:p>
          <w:p w:rsidRPr="001525BF" w:rsidR="001525BF" w:rsidP="00FE4186" w:rsidRDefault="001525BF" w14:paraId="2064FF0F" w14:textId="77777777">
            <w:pPr>
              <w:pStyle w:val="EndNoteBibliography"/>
              <w:rPr>
                <w:rFonts w:asciiTheme="minorHAnsi" w:hAnsiTheme="minorHAnsi"/>
                <w:sz w:val="16"/>
                <w:szCs w:val="16"/>
              </w:rPr>
            </w:pPr>
            <w:r w:rsidRPr="001525BF">
              <w:rPr>
                <w:rFonts w:asciiTheme="minorHAnsi" w:hAnsiTheme="minorHAnsi"/>
                <w:sz w:val="16"/>
                <w:szCs w:val="16"/>
              </w:rPr>
              <w:t>18. Ng SM, Anand D, Weindling AM. High versus low dose of initial thyroid hormone replacement for congenital hypothyroidism. Cochrane Database Syst Rev. 2009:CD006972.</w:t>
            </w:r>
          </w:p>
          <w:p w:rsidRPr="001525BF" w:rsidR="001525BF" w:rsidP="00FE4186" w:rsidRDefault="001525BF" w14:paraId="5D999360" w14:textId="77777777">
            <w:pPr>
              <w:pStyle w:val="EndNoteBibliography"/>
              <w:rPr>
                <w:rFonts w:asciiTheme="minorHAnsi" w:hAnsiTheme="minorHAnsi"/>
                <w:sz w:val="16"/>
                <w:szCs w:val="16"/>
              </w:rPr>
            </w:pPr>
            <w:r w:rsidRPr="001525BF">
              <w:rPr>
                <w:rFonts w:asciiTheme="minorHAnsi" w:hAnsiTheme="minorHAnsi"/>
                <w:sz w:val="16"/>
                <w:szCs w:val="16"/>
              </w:rPr>
              <w:t>19. Selva KA, Harper A, Downs A, Blasco PA, Lafranchi SH. Neurodevelopmental outcomes in congenital hypothyroidism: comparison of initial T4 dose and time to reach target T4 and TSH. J Pediatr. 2005;147:775-80.</w:t>
            </w:r>
          </w:p>
          <w:p w:rsidRPr="001525BF" w:rsidR="001525BF" w:rsidP="00FE4186" w:rsidRDefault="001525BF" w14:paraId="67B7BB2A" w14:textId="77777777">
            <w:pPr>
              <w:pStyle w:val="EndNoteBibliography"/>
              <w:rPr>
                <w:rFonts w:asciiTheme="minorHAnsi" w:hAnsiTheme="minorHAnsi"/>
                <w:sz w:val="16"/>
                <w:szCs w:val="16"/>
              </w:rPr>
            </w:pPr>
            <w:r w:rsidRPr="001525BF">
              <w:rPr>
                <w:rFonts w:asciiTheme="minorHAnsi" w:hAnsiTheme="minorHAnsi"/>
                <w:sz w:val="16"/>
                <w:szCs w:val="16"/>
              </w:rPr>
              <w:t>20. Selva KA, Mandel SH, Rien L, Sesser D, Miyahira R, Skeels M, Nelson JC, Lafranchi SH. Initial treatment dose of L-thyroxine in congenital hypothyroidism. J Pediatr. 2002;141:786-92.</w:t>
            </w:r>
          </w:p>
          <w:p w:rsidRPr="001525BF" w:rsidR="001525BF" w:rsidP="00FE4186" w:rsidRDefault="001525BF" w14:paraId="0E942CAD" w14:textId="77777777">
            <w:pPr>
              <w:pStyle w:val="EndNoteBibliography"/>
              <w:rPr>
                <w:rFonts w:asciiTheme="minorHAnsi" w:hAnsiTheme="minorHAnsi"/>
                <w:sz w:val="16"/>
                <w:szCs w:val="16"/>
              </w:rPr>
            </w:pPr>
            <w:r w:rsidRPr="001525BF">
              <w:rPr>
                <w:rFonts w:asciiTheme="minorHAnsi" w:hAnsiTheme="minorHAnsi"/>
                <w:sz w:val="16"/>
                <w:szCs w:val="16"/>
              </w:rPr>
              <w:t>21. Rahmani K, Yarahmadi S, Etemad K, Koosha A, Mehrabi Y, Aghang N, Soori H. Congenital hypothyroidism: Optimal initial dosage and time of initiation of treatment: A systematic review. International Journal of Endocrinology and Metabolism. 2016;14 (3) (no pagination).</w:t>
            </w:r>
          </w:p>
          <w:p w:rsidRPr="001525BF" w:rsidR="001525BF" w:rsidP="00FE4186" w:rsidRDefault="001525BF" w14:paraId="6582AA55" w14:textId="77777777">
            <w:pPr>
              <w:pStyle w:val="EndNoteBibliography"/>
              <w:rPr>
                <w:rFonts w:asciiTheme="minorHAnsi" w:hAnsiTheme="minorHAnsi"/>
                <w:sz w:val="16"/>
                <w:szCs w:val="16"/>
              </w:rPr>
            </w:pPr>
            <w:r w:rsidRPr="001525BF">
              <w:rPr>
                <w:rFonts w:asciiTheme="minorHAnsi" w:hAnsiTheme="minorHAnsi"/>
                <w:sz w:val="16"/>
                <w:szCs w:val="16"/>
              </w:rPr>
              <w:t>22. Rovet JF, Ehrlich RM. Long-term effects of L-thyroxine therapy for congenital hypothyroidism. J Pediatr. 1995;126:380-6.</w:t>
            </w:r>
          </w:p>
          <w:p w:rsidRPr="001525BF" w:rsidR="001525BF" w:rsidP="00FE4186" w:rsidRDefault="001525BF" w14:paraId="60CD75A3" w14:textId="77777777">
            <w:pPr>
              <w:pStyle w:val="EndNoteBibliography"/>
              <w:rPr>
                <w:rFonts w:asciiTheme="minorHAnsi" w:hAnsiTheme="minorHAnsi"/>
                <w:sz w:val="16"/>
                <w:szCs w:val="16"/>
              </w:rPr>
            </w:pPr>
            <w:r w:rsidRPr="001525BF">
              <w:rPr>
                <w:rFonts w:asciiTheme="minorHAnsi" w:hAnsiTheme="minorHAnsi"/>
                <w:sz w:val="16"/>
                <w:szCs w:val="16"/>
              </w:rPr>
              <w:t>23. Osborn DA, Hunt RW. Postnatal thyroid hormones for preterm infants with transient hypothyroxinaemia. Cochrane Database Syst Rev. 2007:CD005945.</w:t>
            </w:r>
          </w:p>
          <w:p w:rsidRPr="001525BF" w:rsidR="001525BF" w:rsidP="00FE4186" w:rsidRDefault="001525BF" w14:paraId="4526EA99" w14:textId="77777777">
            <w:pPr>
              <w:pStyle w:val="EndNoteBibliography"/>
              <w:rPr>
                <w:rFonts w:asciiTheme="minorHAnsi" w:hAnsiTheme="minorHAnsi"/>
                <w:sz w:val="16"/>
                <w:szCs w:val="16"/>
              </w:rPr>
            </w:pPr>
            <w:r w:rsidRPr="001525BF">
              <w:rPr>
                <w:rFonts w:asciiTheme="minorHAnsi" w:hAnsiTheme="minorHAnsi"/>
                <w:sz w:val="16"/>
                <w:szCs w:val="16"/>
              </w:rPr>
              <w:t>24. Osborn DA, Hunt RW. Prophylactic postnatal thyroid hormones for prevention of morbidity and mortality in preterm infants. Cochrane Database Syst Rev. 2007:CD005948.</w:t>
            </w:r>
          </w:p>
          <w:p w:rsidRPr="001525BF" w:rsidR="001525BF" w:rsidP="00FE4186" w:rsidRDefault="001525BF" w14:paraId="0102B725" w14:textId="77777777">
            <w:pPr>
              <w:pStyle w:val="EndNoteBibliography"/>
              <w:rPr>
                <w:rFonts w:asciiTheme="minorHAnsi" w:hAnsiTheme="minorHAnsi"/>
                <w:sz w:val="16"/>
                <w:szCs w:val="16"/>
              </w:rPr>
            </w:pPr>
            <w:r w:rsidRPr="001525BF">
              <w:rPr>
                <w:rFonts w:asciiTheme="minorHAnsi" w:hAnsiTheme="minorHAnsi"/>
                <w:sz w:val="16"/>
                <w:szCs w:val="16"/>
              </w:rPr>
              <w:t>25. Briet JM, van Wassenaer AG, Dekker FW, de Vijlder JJ, van Baar A, Kok JH. Neonatal thyroxine supplementation in very preterm children: developmental outcome evaluated at early school age. Pediatrics. 2001;107:712-8.</w:t>
            </w:r>
          </w:p>
          <w:p w:rsidRPr="001525BF" w:rsidR="001525BF" w:rsidP="00FE4186" w:rsidRDefault="001525BF" w14:paraId="6038A576" w14:textId="77777777">
            <w:pPr>
              <w:pStyle w:val="EndNoteBibliography"/>
              <w:rPr>
                <w:rFonts w:asciiTheme="minorHAnsi" w:hAnsiTheme="minorHAnsi"/>
                <w:sz w:val="16"/>
                <w:szCs w:val="16"/>
              </w:rPr>
            </w:pPr>
            <w:r w:rsidRPr="001525BF">
              <w:rPr>
                <w:rFonts w:asciiTheme="minorHAnsi" w:hAnsiTheme="minorHAnsi"/>
                <w:sz w:val="16"/>
                <w:szCs w:val="16"/>
              </w:rPr>
              <w:t>26. van Wassenaer AG, Kok JH, de Vijlder JJ, Briet JM, Smit BJ, Tamminga P, van Baar A, Dekker FW, Vulsma T. Effects of thyroxine supplementation on neurologic development in infants born at less than 30 weeks' gestation. N Engl J Med. 1997;336:21-6.</w:t>
            </w:r>
          </w:p>
          <w:p w:rsidRPr="001525BF" w:rsidR="001525BF" w:rsidP="00FE4186" w:rsidRDefault="001525BF" w14:paraId="78308159" w14:textId="77777777">
            <w:pPr>
              <w:pStyle w:val="EndNoteBibliography"/>
              <w:rPr>
                <w:rFonts w:asciiTheme="minorHAnsi" w:hAnsiTheme="minorHAnsi"/>
                <w:sz w:val="16"/>
                <w:szCs w:val="16"/>
              </w:rPr>
            </w:pPr>
            <w:r w:rsidRPr="001525BF">
              <w:rPr>
                <w:rFonts w:asciiTheme="minorHAnsi" w:hAnsiTheme="minorHAnsi"/>
                <w:sz w:val="16"/>
                <w:szCs w:val="16"/>
              </w:rPr>
              <w:t>27. van Wassenaer AG, Westera J, Houtzager BA, Kok JH. Ten-year follow-up of children born at &lt;30 weeks' gestational age supplemented with thyroxine in the neonatal period in a randomized, controlled trial. Pediatrics. 2005;116:e613-8.</w:t>
            </w:r>
          </w:p>
          <w:p w:rsidRPr="001525BF" w:rsidR="001525BF" w:rsidP="00FE4186" w:rsidRDefault="001525BF" w14:paraId="77DF24B2" w14:textId="77777777">
            <w:pPr>
              <w:pStyle w:val="EndNoteBibliography"/>
              <w:rPr>
                <w:rFonts w:asciiTheme="minorHAnsi" w:hAnsiTheme="minorHAnsi"/>
                <w:sz w:val="16"/>
                <w:szCs w:val="16"/>
              </w:rPr>
            </w:pPr>
            <w:r w:rsidRPr="001525BF">
              <w:rPr>
                <w:rFonts w:asciiTheme="minorHAnsi" w:hAnsiTheme="minorHAnsi"/>
                <w:sz w:val="16"/>
                <w:szCs w:val="16"/>
              </w:rPr>
              <w:t>28. Marchal JP, Maurice-Stam H, Ikelaar NA, Klouwer FCC, Verhorstert KWJ, Witteveen ME, Houtzager BA, Grootenhuis MA, Van Trotsenburg ASP. Effects of early thyroxine treatment on development and growth at age 10.7 years: Follow-up of a randomized placebo-controlled trial in children with Down's syndrome. Journal of Clinical Endocrinology and Metabolism. 2014;99:E2722-E9.</w:t>
            </w:r>
          </w:p>
          <w:p w:rsidRPr="001525BF" w:rsidR="001525BF" w:rsidP="00FE4186" w:rsidRDefault="001525BF" w14:paraId="468FBA1F" w14:textId="77777777">
            <w:pPr>
              <w:pStyle w:val="EndNoteBibliography"/>
              <w:rPr>
                <w:rFonts w:asciiTheme="minorHAnsi" w:hAnsiTheme="minorHAnsi"/>
                <w:sz w:val="16"/>
                <w:szCs w:val="16"/>
              </w:rPr>
            </w:pPr>
            <w:r w:rsidRPr="001525BF">
              <w:rPr>
                <w:rFonts w:asciiTheme="minorHAnsi" w:hAnsiTheme="minorHAnsi"/>
                <w:sz w:val="16"/>
                <w:szCs w:val="16"/>
              </w:rPr>
              <w:t>29. Van Trotsenburg ASP, Vulsma T, Rutgers Van Rozenburg-Marres SL, Van Baar AL, Ridder JCD, Heymans HSA, Tijssen JGP, De Vijlder JJM. The effect of thyroxine treatment started in the neonatal period on development and growth of two-year-old down syndrome children: A randomized clinical trial. Journal of Clinical Endocrinology and Metabolism. 2005;90:3304-11.</w:t>
            </w:r>
          </w:p>
          <w:p w:rsidRPr="001525BF" w:rsidR="001525BF" w:rsidP="00FE4186" w:rsidRDefault="001525BF" w14:paraId="12E4220A" w14:textId="77777777">
            <w:pPr>
              <w:pStyle w:val="EndNoteBibliography"/>
              <w:rPr>
                <w:rFonts w:asciiTheme="minorHAnsi" w:hAnsiTheme="minorHAnsi"/>
                <w:sz w:val="16"/>
                <w:szCs w:val="16"/>
              </w:rPr>
            </w:pPr>
            <w:r w:rsidRPr="001525BF">
              <w:rPr>
                <w:rFonts w:asciiTheme="minorHAnsi" w:hAnsiTheme="minorHAnsi"/>
                <w:sz w:val="16"/>
                <w:szCs w:val="16"/>
              </w:rPr>
              <w:t>30. Talwar S, Bhoje A, Khadagawat R, Chaturvedi P, Sreenivas V, Makhija N, Sahu M, Choudhary SK, Airan B. Oral thyroxin supplementation in infants undergoing cardiac surgery: A double blind placebo controlled randomized clinical trial. Journal of Thoracic and Cardiovascular Surgery. 2018.</w:t>
            </w:r>
          </w:p>
          <w:p w:rsidRPr="001525BF" w:rsidR="001525BF" w:rsidP="00FE4186" w:rsidRDefault="001525BF" w14:paraId="54FA86E3" w14:textId="77777777">
            <w:pPr>
              <w:pStyle w:val="EndNoteBibliography"/>
              <w:rPr>
                <w:rFonts w:asciiTheme="minorHAnsi" w:hAnsiTheme="minorHAnsi"/>
                <w:sz w:val="16"/>
                <w:szCs w:val="16"/>
              </w:rPr>
            </w:pPr>
            <w:r w:rsidRPr="001525BF">
              <w:rPr>
                <w:rFonts w:asciiTheme="minorHAnsi" w:hAnsiTheme="minorHAnsi"/>
                <w:sz w:val="16"/>
                <w:szCs w:val="16"/>
              </w:rPr>
              <w:t>31. Virili C, Giovanella L, Fallahi P, Antonelli A, Santaguida MG, Centanni M, Trimboli P. Levothyroxine therapy: Changes of TSH levels by switching patients from tablet to liquid formulation. A systematic review and meta-analysis. Frontiers in Endocrinology. 2018;9 (JAN) (no pagination).</w:t>
            </w:r>
          </w:p>
          <w:p w:rsidRPr="001525BF" w:rsidR="001525BF" w:rsidP="00FE4186" w:rsidRDefault="001525BF" w14:paraId="2A15A794" w14:textId="77777777">
            <w:pPr>
              <w:pStyle w:val="EndNoteBibliography"/>
              <w:rPr>
                <w:rFonts w:asciiTheme="minorHAnsi" w:hAnsiTheme="minorHAnsi"/>
                <w:sz w:val="16"/>
                <w:szCs w:val="16"/>
              </w:rPr>
            </w:pPr>
            <w:r w:rsidRPr="001525BF">
              <w:rPr>
                <w:rFonts w:asciiTheme="minorHAnsi" w:hAnsiTheme="minorHAnsi"/>
                <w:sz w:val="16"/>
                <w:szCs w:val="16"/>
              </w:rPr>
              <w:t>32. Laurent I, Tang S, Astere M, Wang KR, Deng S, Xiao L, Li QF. Liquid L-thyroxine versus tablet L-thyroxine in patients on L- thyroxine replacement or suppressive therapy: a meta-analysis. Endocrine. 2018;61:28-35.</w:t>
            </w:r>
          </w:p>
          <w:p w:rsidRPr="001525BF" w:rsidR="001525BF" w:rsidP="00FE4186" w:rsidRDefault="001525BF" w14:paraId="1BCAAEF0" w14:textId="77777777">
            <w:pPr>
              <w:pStyle w:val="EndNoteBibliography"/>
              <w:rPr>
                <w:rFonts w:asciiTheme="minorHAnsi" w:hAnsiTheme="minorHAnsi"/>
                <w:sz w:val="16"/>
                <w:szCs w:val="16"/>
              </w:rPr>
            </w:pPr>
            <w:r w:rsidRPr="001525BF">
              <w:rPr>
                <w:rFonts w:asciiTheme="minorHAnsi" w:hAnsiTheme="minorHAnsi"/>
                <w:sz w:val="16"/>
                <w:szCs w:val="16"/>
              </w:rPr>
              <w:t>33. Peroni E, Vigone MC, Mora S, Bassi LA, Pozzi C, Passoni A, Weber G. Congenital hypothyroidism treatment in infants: A comparative study between liquid and tablet formulations of levothyroxine. Hormone Research in Paediatrics. 2014;81:50-4.</w:t>
            </w:r>
          </w:p>
          <w:p w:rsidRPr="001525BF" w:rsidR="001525BF" w:rsidP="00FE4186" w:rsidRDefault="001525BF" w14:paraId="49A5DC51" w14:textId="77777777">
            <w:pPr>
              <w:pStyle w:val="EndNoteBibliography"/>
              <w:rPr>
                <w:rFonts w:asciiTheme="minorHAnsi" w:hAnsiTheme="minorHAnsi"/>
                <w:sz w:val="16"/>
                <w:szCs w:val="16"/>
              </w:rPr>
            </w:pPr>
            <w:r w:rsidRPr="001525BF">
              <w:rPr>
                <w:rFonts w:asciiTheme="minorHAnsi" w:hAnsiTheme="minorHAnsi"/>
                <w:sz w:val="16"/>
                <w:szCs w:val="16"/>
              </w:rPr>
              <w:t>34. Carswell JM, Gordon JH, Popovsky E, Hale A, Brown RS. Generic and brand-name L-thyroxine are not bioequivalent for children with severe congenital hypothyroidism. J Clin Endocrinol Metab. 2013;98:610-7.</w:t>
            </w:r>
          </w:p>
          <w:p w:rsidRPr="001525BF" w:rsidR="001525BF" w:rsidP="00FE4186" w:rsidRDefault="001525BF" w14:paraId="7B01F2ED" w14:textId="77777777">
            <w:pPr>
              <w:pStyle w:val="EndNoteBibliography"/>
              <w:rPr>
                <w:rFonts w:asciiTheme="minorHAnsi" w:hAnsiTheme="minorHAnsi"/>
                <w:sz w:val="16"/>
                <w:szCs w:val="16"/>
              </w:rPr>
            </w:pPr>
            <w:r w:rsidRPr="001525BF">
              <w:rPr>
                <w:rFonts w:asciiTheme="minorHAnsi" w:hAnsiTheme="minorHAnsi"/>
                <w:sz w:val="16"/>
                <w:szCs w:val="16"/>
              </w:rPr>
              <w:t>35. Micromedex. Accessed online on 29 May 2018.</w:t>
            </w:r>
          </w:p>
          <w:p w:rsidRPr="001525BF" w:rsidR="001525BF" w:rsidP="00FE4186" w:rsidRDefault="001525BF" w14:paraId="14D176B2" w14:textId="77777777">
            <w:pPr>
              <w:pStyle w:val="EndNoteBibliography"/>
              <w:rPr>
                <w:rFonts w:asciiTheme="minorHAnsi" w:hAnsiTheme="minorHAnsi"/>
                <w:sz w:val="16"/>
                <w:szCs w:val="16"/>
              </w:rPr>
            </w:pPr>
            <w:r w:rsidRPr="001525BF">
              <w:rPr>
                <w:rFonts w:asciiTheme="minorHAnsi" w:hAnsiTheme="minorHAnsi"/>
                <w:sz w:val="16"/>
                <w:szCs w:val="16"/>
              </w:rPr>
              <w:t>36. MIMS Australia. Eutroxsig and Eltroxin. Accessed on 29 May 2018.</w:t>
            </w:r>
          </w:p>
        </w:tc>
      </w:tr>
    </w:tbl>
    <w:p w:rsidRPr="00E25790" w:rsidR="00115F48" w:rsidP="04B29ADB" w:rsidRDefault="00115F48" w14:paraId="0717EA29" w14:textId="77777777">
      <w:pPr>
        <w:rPr>
          <w:rFonts w:cs="Calibri"/>
          <w:b/>
          <w:bCs/>
          <w:sz w:val="20"/>
        </w:rPr>
      </w:pPr>
    </w:p>
    <w:p w:rsidRPr="00E25790" w:rsidR="00115F48" w:rsidP="04B29ADB" w:rsidRDefault="00115F48" w14:paraId="5C431C0C" w14:textId="77777777">
      <w:pPr>
        <w:rPr>
          <w:rFonts w:cs="Calibri"/>
          <w:b/>
          <w:bCs/>
          <w:sz w:val="20"/>
        </w:rPr>
      </w:pPr>
    </w:p>
    <w:tbl>
      <w:tblPr>
        <w:tblW w:w="0" w:type="auto"/>
        <w:tblInd w:w="-34" w:type="dxa"/>
        <w:tblLook w:val="04A0" w:firstRow="1" w:lastRow="0" w:firstColumn="1" w:lastColumn="0" w:noHBand="0" w:noVBand="1"/>
      </w:tblPr>
      <w:tblGrid>
        <w:gridCol w:w="4108"/>
        <w:gridCol w:w="4817"/>
      </w:tblGrid>
      <w:tr w:rsidR="0020431B" w:rsidTr="48F57877" w14:paraId="3A2773D8"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04B29ADB" w:rsidP="04B29ADB" w:rsidRDefault="595D7709" w14:paraId="7DCB5F53" w14:textId="7B82D5E8">
            <w:pPr>
              <w:spacing w:line="252" w:lineRule="auto"/>
              <w:rPr>
                <w:b/>
                <w:bCs/>
              </w:rPr>
            </w:pPr>
            <w:r w:rsidRPr="77BEE3D0">
              <w:rPr>
                <w:b/>
                <w:bCs/>
              </w:rPr>
              <w:t xml:space="preserve">Original version Date: </w:t>
            </w:r>
            <w:r w:rsidRPr="77BEE3D0" w:rsidR="1BA9B65F">
              <w:rPr>
                <w:b/>
                <w:bCs/>
              </w:rPr>
              <w:t>24/07/2018</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04B29ADB" w:rsidP="04B29ADB" w:rsidRDefault="04B29ADB" w14:paraId="539F8A91" w14:textId="40098513">
            <w:pPr>
              <w:spacing w:line="252" w:lineRule="auto"/>
              <w:rPr>
                <w:b/>
                <w:bCs/>
              </w:rPr>
            </w:pPr>
            <w:r w:rsidRPr="04B29ADB">
              <w:rPr>
                <w:b/>
                <w:bCs/>
              </w:rPr>
              <w:t>Author: NMF Consensus Group</w:t>
            </w:r>
          </w:p>
        </w:tc>
      </w:tr>
      <w:tr w:rsidR="007A0A41" w:rsidTr="48F57877" w14:paraId="70B9DBBD"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4B29ADB" w:rsidP="04B29ADB" w:rsidRDefault="595D7709" w14:paraId="477D32CF" w14:textId="1BCD8C64">
            <w:pPr>
              <w:spacing w:line="252" w:lineRule="auto"/>
              <w:rPr>
                <w:b/>
                <w:bCs/>
              </w:rPr>
            </w:pPr>
            <w:r w:rsidRPr="77BEE3D0">
              <w:rPr>
                <w:b/>
                <w:bCs/>
              </w:rPr>
              <w:t>Current Version number: </w:t>
            </w:r>
            <w:r w:rsidR="00376BB8">
              <w:rPr>
                <w:b/>
                <w:bCs/>
              </w:rPr>
              <w:t>3</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4B29ADB" w:rsidP="77BEE3D0" w:rsidRDefault="595D7709" w14:paraId="2C6B9AD4" w14:textId="30DACC9E">
            <w:pPr>
              <w:spacing w:line="252" w:lineRule="auto"/>
              <w:rPr>
                <w:b/>
                <w:bCs/>
              </w:rPr>
            </w:pPr>
            <w:r w:rsidRPr="77BEE3D0">
              <w:rPr>
                <w:b/>
                <w:bCs/>
              </w:rPr>
              <w:t xml:space="preserve">Current Version Date:  </w:t>
            </w:r>
            <w:r w:rsidR="00376BB8">
              <w:rPr>
                <w:b/>
                <w:bCs/>
              </w:rPr>
              <w:t>26/2/2021</w:t>
            </w:r>
          </w:p>
        </w:tc>
      </w:tr>
      <w:tr w:rsidR="007A0A41" w:rsidTr="48F57877" w14:paraId="2F4093F0"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4B29ADB" w:rsidP="04B29ADB" w:rsidRDefault="595D7709" w14:paraId="4D61DD44" w14:textId="028F4A61">
            <w:pPr>
              <w:spacing w:line="252" w:lineRule="auto"/>
              <w:rPr>
                <w:b/>
                <w:bCs/>
              </w:rPr>
            </w:pPr>
            <w:r w:rsidRPr="77BEE3D0">
              <w:rPr>
                <w:b/>
                <w:bCs/>
              </w:rPr>
              <w:t xml:space="preserve">Risk Rating: </w:t>
            </w:r>
            <w:r w:rsidRPr="77BEE3D0" w:rsidR="136F843B">
              <w:rPr>
                <w:b/>
                <w:bCs/>
              </w:rPr>
              <w:t>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4B29ADB" w:rsidP="04B29ADB" w:rsidRDefault="595D7709" w14:paraId="71F39D69" w14:textId="7C512261">
            <w:pPr>
              <w:spacing w:line="252" w:lineRule="auto"/>
              <w:rPr>
                <w:b/>
                <w:bCs/>
              </w:rPr>
            </w:pPr>
            <w:r w:rsidRPr="77BEE3D0">
              <w:rPr>
                <w:b/>
                <w:bCs/>
              </w:rPr>
              <w:t xml:space="preserve">Due for Review:  </w:t>
            </w:r>
            <w:r w:rsidR="00376BB8">
              <w:rPr>
                <w:b/>
                <w:bCs/>
              </w:rPr>
              <w:t>26/2/2026</w:t>
            </w:r>
          </w:p>
        </w:tc>
      </w:tr>
      <w:tr w:rsidR="007A0A41" w:rsidTr="48F57877" w14:paraId="35154BCF"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04B29ADB" w:rsidP="04B29ADB" w:rsidRDefault="3D63792C" w14:paraId="2C760FCE" w14:textId="11624791">
            <w:pPr>
              <w:spacing w:line="252" w:lineRule="auto"/>
              <w:rPr>
                <w:b/>
                <w:bCs/>
              </w:rPr>
            </w:pPr>
            <w:r w:rsidRPr="48F57877">
              <w:rPr>
                <w:b/>
                <w:bCs/>
              </w:rPr>
              <w:t xml:space="preserve">Approved by: </w:t>
            </w:r>
            <w:r w:rsidRPr="48F57877" w:rsidR="6833FDA4">
              <w:rPr>
                <w:b/>
                <w:bCs/>
              </w:rPr>
              <w:t>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04B29ADB" w:rsidP="04B29ADB" w:rsidRDefault="04B29ADB" w14:paraId="5E279C75" w14:textId="550DB0CD">
            <w:pPr>
              <w:spacing w:line="252" w:lineRule="auto"/>
              <w:rPr>
                <w:b/>
                <w:bCs/>
              </w:rPr>
            </w:pPr>
            <w:r w:rsidRPr="04B29ADB">
              <w:rPr>
                <w:b/>
                <w:bCs/>
              </w:rPr>
              <w:t>Approval Date:</w:t>
            </w:r>
          </w:p>
        </w:tc>
      </w:tr>
    </w:tbl>
    <w:p w:rsidRPr="00E25790" w:rsidR="00115F48" w:rsidP="04B29ADB" w:rsidRDefault="00115F48" w14:paraId="48092351" w14:textId="327E59E1"/>
    <w:p w:rsidR="04B29ADB" w:rsidP="04B29ADB" w:rsidRDefault="04B29ADB" w14:paraId="75DBA757" w14:textId="37091AE5"/>
    <w:p w:rsidRPr="00E25790" w:rsidR="00115F48" w:rsidP="48F57877" w:rsidRDefault="00115F48" w14:paraId="237EDA55" w14:textId="3B6F0B66">
      <w:r>
        <w:br w:type="page"/>
      </w:r>
    </w:p>
    <w:p w:rsidRPr="00E25790" w:rsidR="00115F48" w:rsidP="006F0321" w:rsidRDefault="00115F48" w14:paraId="546CE964" w14:textId="24F57850"/>
    <w:tbl>
      <w:tblPr>
        <w:tblW w:w="9049" w:type="dxa"/>
        <w:tblLayout w:type="fixed"/>
        <w:tblLook w:val="0000" w:firstRow="0" w:lastRow="0" w:firstColumn="0" w:lastColumn="0" w:noHBand="0" w:noVBand="0"/>
      </w:tblPr>
      <w:tblGrid>
        <w:gridCol w:w="4153"/>
        <w:gridCol w:w="4896"/>
      </w:tblGrid>
      <w:tr w:rsidRPr="00E25790" w:rsidR="00115F48" w:rsidTr="00943338" w14:paraId="2005D795"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DA0C90" w:rsidR="00115F48" w:rsidP="009469DB" w:rsidRDefault="00115F48" w14:paraId="7142856F" w14:textId="77777777">
            <w:pPr>
              <w:pStyle w:val="Heading1"/>
            </w:pPr>
            <w:bookmarkStart w:name="_Toc495481177" w:id="580"/>
            <w:bookmarkStart w:name="_Toc495481303" w:id="581"/>
            <w:bookmarkStart w:name="_Toc495481428" w:id="582"/>
            <w:bookmarkStart w:name="_Toc495501609" w:id="583"/>
            <w:bookmarkStart w:name="_Toc38106936" w:id="584"/>
            <w:bookmarkStart w:name="_Toc75340051" w:id="585"/>
            <w:r w:rsidRPr="00DA0C90">
              <w:t>Tobramycin</w:t>
            </w:r>
            <w:bookmarkEnd w:id="580"/>
            <w:bookmarkEnd w:id="581"/>
            <w:bookmarkEnd w:id="582"/>
            <w:bookmarkEnd w:id="583"/>
            <w:bookmarkEnd w:id="584"/>
            <w:bookmarkEnd w:id="585"/>
            <w:r w:rsidRPr="00DA0C90">
              <w:fldChar w:fldCharType="begin"/>
            </w:r>
            <w:r w:rsidRPr="00DA0C90">
              <w:instrText>tc "Tobramycin" \l 0</w:instrText>
            </w:r>
            <w:r w:rsidRPr="00DA0C90">
              <w:fldChar w:fldCharType="end"/>
            </w:r>
          </w:p>
        </w:tc>
      </w:tr>
      <w:tr w:rsidRPr="00E25790" w:rsidR="00115F48" w:rsidTr="00943338" w14:paraId="372D6D63"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1B2C241B" w14:textId="02AEBA6B">
            <w:r w:rsidRPr="00E25790">
              <w:t xml:space="preserve">Revision Date : </w:t>
            </w:r>
            <w:r w:rsidR="00C27552">
              <w:t>29-10-2020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771E366" w14:textId="1BBD295E">
            <w:r w:rsidRPr="00E25790">
              <w:t xml:space="preserve">Approved: </w:t>
            </w:r>
            <w:r w:rsidR="00C27552">
              <w:t>TC, KOH</w:t>
            </w:r>
          </w:p>
        </w:tc>
      </w:tr>
    </w:tbl>
    <w:p w:rsidRPr="00E25790" w:rsidR="00115F48" w:rsidP="006F0321" w:rsidRDefault="00115F48" w14:paraId="64CA44AE" w14:textId="77777777"/>
    <w:tbl>
      <w:tblPr>
        <w:tblW w:w="924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730"/>
        <w:gridCol w:w="7513"/>
      </w:tblGrid>
      <w:tr w:rsidRPr="003B78EA" w:rsidR="00155469" w:rsidTr="004C4A84" w14:paraId="274B0BC2" w14:textId="77777777">
        <w:trPr>
          <w:trHeight w:val="70"/>
        </w:trPr>
        <w:tc>
          <w:tcPr>
            <w:tcW w:w="1730" w:type="dxa"/>
          </w:tcPr>
          <w:p w:rsidRPr="003B78EA" w:rsidR="00155469" w:rsidP="00FE4186" w:rsidRDefault="00155469" w14:paraId="286F0997" w14:textId="77777777">
            <w:pPr>
              <w:pStyle w:val="BodyText"/>
              <w:tabs>
                <w:tab w:val="center" w:pos="1476"/>
              </w:tabs>
              <w:rPr>
                <w:rFonts w:asciiTheme="minorHAnsi" w:hAnsiTheme="minorHAnsi" w:cstheme="minorHAnsi"/>
                <w:b/>
                <w:sz w:val="20"/>
              </w:rPr>
            </w:pPr>
            <w:r w:rsidRPr="003B78EA">
              <w:rPr>
                <w:rFonts w:asciiTheme="minorHAnsi" w:hAnsiTheme="minorHAnsi" w:cstheme="minorHAnsi"/>
                <w:b/>
                <w:sz w:val="20"/>
              </w:rPr>
              <w:t>Alert</w:t>
            </w:r>
            <w:r w:rsidRPr="003B78EA">
              <w:rPr>
                <w:rFonts w:asciiTheme="minorHAnsi" w:hAnsiTheme="minorHAnsi" w:cstheme="minorHAnsi"/>
                <w:b/>
                <w:sz w:val="20"/>
              </w:rPr>
              <w:tab/>
            </w:r>
          </w:p>
        </w:tc>
        <w:tc>
          <w:tcPr>
            <w:tcW w:w="7513" w:type="dxa"/>
          </w:tcPr>
          <w:p w:rsidRPr="003B78EA" w:rsidR="00155469" w:rsidP="00FE4186" w:rsidRDefault="00155469" w14:paraId="46CFA71E" w14:textId="77777777">
            <w:pPr>
              <w:pStyle w:val="BodyText"/>
              <w:rPr>
                <w:rFonts w:asciiTheme="minorHAnsi" w:hAnsiTheme="minorHAnsi" w:cstheme="minorHAnsi"/>
                <w:sz w:val="20"/>
              </w:rPr>
            </w:pPr>
            <w:r w:rsidRPr="009F3AFC">
              <w:rPr>
                <w:rFonts w:asciiTheme="minorHAnsi" w:hAnsiTheme="minorHAnsi" w:cstheme="minorHAnsi"/>
                <w:sz w:val="20"/>
              </w:rPr>
              <w:t xml:space="preserve">Aminoglycosides </w:t>
            </w:r>
            <w:r>
              <w:rPr>
                <w:rFonts w:asciiTheme="minorHAnsi" w:hAnsiTheme="minorHAnsi" w:cstheme="minorHAnsi"/>
                <w:sz w:val="20"/>
              </w:rPr>
              <w:t>can</w:t>
            </w:r>
            <w:r w:rsidRPr="009F3AFC">
              <w:rPr>
                <w:rFonts w:asciiTheme="minorHAnsi" w:hAnsiTheme="minorHAnsi" w:cstheme="minorHAnsi"/>
                <w:sz w:val="20"/>
              </w:rPr>
              <w:t xml:space="preserve"> be inactivated by penicillin and cephalosporin antibiotics. </w:t>
            </w:r>
            <w:r>
              <w:rPr>
                <w:rFonts w:asciiTheme="minorHAnsi" w:hAnsiTheme="minorHAnsi" w:cstheme="minorHAnsi"/>
                <w:sz w:val="20"/>
              </w:rPr>
              <w:t>As commonly co-prescribed, w</w:t>
            </w:r>
            <w:r w:rsidRPr="009F3AFC">
              <w:rPr>
                <w:rFonts w:asciiTheme="minorHAnsi" w:hAnsiTheme="minorHAnsi" w:cstheme="minorHAnsi"/>
                <w:sz w:val="20"/>
              </w:rPr>
              <w:t>here feasible, give at separate sites or separate the administration time of the antibiotics.</w:t>
            </w:r>
          </w:p>
        </w:tc>
      </w:tr>
      <w:tr w:rsidRPr="003B78EA" w:rsidR="00155469" w:rsidTr="004C4A84" w14:paraId="073C7BFE" w14:textId="77777777">
        <w:trPr>
          <w:trHeight w:val="72"/>
        </w:trPr>
        <w:tc>
          <w:tcPr>
            <w:tcW w:w="1730" w:type="dxa"/>
          </w:tcPr>
          <w:p w:rsidRPr="003B78EA" w:rsidR="00155469" w:rsidP="00FE4186" w:rsidRDefault="00155469" w14:paraId="050ECD80" w14:textId="77777777">
            <w:pPr>
              <w:pStyle w:val="BodyText"/>
              <w:rPr>
                <w:rFonts w:asciiTheme="minorHAnsi" w:hAnsiTheme="minorHAnsi" w:cstheme="minorHAnsi"/>
                <w:sz w:val="20"/>
              </w:rPr>
            </w:pPr>
            <w:r w:rsidRPr="003B78EA">
              <w:rPr>
                <w:rFonts w:asciiTheme="minorHAnsi" w:hAnsiTheme="minorHAnsi" w:cstheme="minorHAnsi"/>
                <w:b/>
                <w:bCs/>
                <w:sz w:val="20"/>
              </w:rPr>
              <w:t>Indication</w:t>
            </w:r>
          </w:p>
        </w:tc>
        <w:tc>
          <w:tcPr>
            <w:tcW w:w="7513" w:type="dxa"/>
          </w:tcPr>
          <w:p w:rsidRPr="003B78EA" w:rsidR="00155469" w:rsidP="00FE4186" w:rsidRDefault="00155469" w14:paraId="23EE4792" w14:textId="77777777">
            <w:pPr>
              <w:rPr>
                <w:rFonts w:asciiTheme="minorHAnsi" w:hAnsiTheme="minorHAnsi" w:cstheme="minorHAnsi"/>
                <w:sz w:val="20"/>
              </w:rPr>
            </w:pPr>
            <w:r w:rsidRPr="003B78EA">
              <w:rPr>
                <w:rFonts w:asciiTheme="minorHAnsi" w:hAnsiTheme="minorHAnsi" w:cstheme="minorHAnsi"/>
                <w:sz w:val="20"/>
              </w:rPr>
              <w:t>Treatment of gram</w:t>
            </w:r>
            <w:r>
              <w:rPr>
                <w:rFonts w:asciiTheme="minorHAnsi" w:hAnsiTheme="minorHAnsi" w:cstheme="minorHAnsi"/>
                <w:sz w:val="20"/>
              </w:rPr>
              <w:t>-</w:t>
            </w:r>
            <w:r w:rsidRPr="003B78EA">
              <w:rPr>
                <w:rFonts w:asciiTheme="minorHAnsi" w:hAnsiTheme="minorHAnsi" w:cstheme="minorHAnsi"/>
                <w:sz w:val="20"/>
              </w:rPr>
              <w:t>negative infections</w:t>
            </w:r>
            <w:r>
              <w:rPr>
                <w:rFonts w:asciiTheme="minorHAnsi" w:hAnsiTheme="minorHAnsi" w:cstheme="minorHAnsi"/>
                <w:sz w:val="20"/>
              </w:rPr>
              <w:t>,</w:t>
            </w:r>
            <w:r w:rsidRPr="003B78EA">
              <w:rPr>
                <w:rFonts w:asciiTheme="minorHAnsi" w:hAnsiTheme="minorHAnsi" w:cstheme="minorHAnsi"/>
                <w:sz w:val="20"/>
              </w:rPr>
              <w:t xml:space="preserve"> including susceptible Pseudomonas aeruginosa</w:t>
            </w:r>
          </w:p>
        </w:tc>
      </w:tr>
      <w:tr w:rsidRPr="003B78EA" w:rsidR="00155469" w:rsidTr="004C4A84" w14:paraId="740D463A" w14:textId="77777777">
        <w:trPr>
          <w:trHeight w:val="70"/>
        </w:trPr>
        <w:tc>
          <w:tcPr>
            <w:tcW w:w="1730" w:type="dxa"/>
          </w:tcPr>
          <w:p w:rsidRPr="003B78EA" w:rsidR="00155469" w:rsidP="00FE4186" w:rsidRDefault="00155469" w14:paraId="366D6B7B" w14:textId="77777777">
            <w:pPr>
              <w:pStyle w:val="BodyText"/>
              <w:rPr>
                <w:rFonts w:asciiTheme="minorHAnsi" w:hAnsiTheme="minorHAnsi" w:cstheme="minorHAnsi"/>
                <w:b/>
                <w:bCs/>
                <w:sz w:val="20"/>
              </w:rPr>
            </w:pPr>
            <w:r w:rsidRPr="003B78EA">
              <w:rPr>
                <w:rFonts w:asciiTheme="minorHAnsi" w:hAnsiTheme="minorHAnsi" w:cstheme="minorHAnsi"/>
                <w:b/>
                <w:bCs/>
                <w:sz w:val="20"/>
              </w:rPr>
              <w:t>Action</w:t>
            </w:r>
          </w:p>
        </w:tc>
        <w:tc>
          <w:tcPr>
            <w:tcW w:w="7513" w:type="dxa"/>
          </w:tcPr>
          <w:p w:rsidRPr="003B78EA" w:rsidR="00155469" w:rsidP="00FE4186" w:rsidRDefault="00155469" w14:paraId="1EC12DF8" w14:textId="77777777">
            <w:pPr>
              <w:rPr>
                <w:rFonts w:asciiTheme="minorHAnsi" w:hAnsiTheme="minorHAnsi" w:cstheme="minorHAnsi"/>
                <w:sz w:val="20"/>
              </w:rPr>
            </w:pPr>
            <w:r w:rsidRPr="003B78EA">
              <w:rPr>
                <w:rFonts w:asciiTheme="minorHAnsi" w:hAnsiTheme="minorHAnsi" w:cstheme="minorHAnsi"/>
                <w:sz w:val="20"/>
              </w:rPr>
              <w:t xml:space="preserve">Aminoglycoside </w:t>
            </w:r>
          </w:p>
        </w:tc>
      </w:tr>
      <w:tr w:rsidRPr="003B78EA" w:rsidR="00155469" w:rsidTr="004C4A84" w14:paraId="70B7B6B3" w14:textId="77777777">
        <w:trPr>
          <w:trHeight w:val="266"/>
        </w:trPr>
        <w:tc>
          <w:tcPr>
            <w:tcW w:w="1730" w:type="dxa"/>
          </w:tcPr>
          <w:p w:rsidRPr="003B78EA" w:rsidR="00155469" w:rsidP="00FE4186" w:rsidRDefault="00155469" w14:paraId="3C4C15AF" w14:textId="77777777">
            <w:pPr>
              <w:pStyle w:val="BodyText"/>
              <w:rPr>
                <w:rFonts w:asciiTheme="minorHAnsi" w:hAnsiTheme="minorHAnsi" w:cstheme="minorHAnsi"/>
                <w:sz w:val="20"/>
              </w:rPr>
            </w:pPr>
            <w:r w:rsidRPr="003B78EA">
              <w:rPr>
                <w:rFonts w:asciiTheme="minorHAnsi" w:hAnsiTheme="minorHAnsi" w:cstheme="minorHAnsi"/>
                <w:b/>
                <w:bCs/>
                <w:sz w:val="20"/>
              </w:rPr>
              <w:t xml:space="preserve">Drug type                                   </w:t>
            </w:r>
          </w:p>
        </w:tc>
        <w:tc>
          <w:tcPr>
            <w:tcW w:w="7513" w:type="dxa"/>
          </w:tcPr>
          <w:p w:rsidRPr="003B78EA" w:rsidR="00155469" w:rsidP="00FE4186" w:rsidRDefault="00155469" w14:paraId="4DE8A2BB" w14:textId="77777777">
            <w:pPr>
              <w:pStyle w:val="BodyText"/>
              <w:rPr>
                <w:rFonts w:asciiTheme="minorHAnsi" w:hAnsiTheme="minorHAnsi" w:cstheme="minorHAnsi"/>
                <w:sz w:val="20"/>
              </w:rPr>
            </w:pPr>
            <w:r w:rsidRPr="003B78EA">
              <w:rPr>
                <w:rFonts w:asciiTheme="minorHAnsi" w:hAnsiTheme="minorHAnsi" w:cstheme="minorHAnsi"/>
                <w:sz w:val="20"/>
              </w:rPr>
              <w:t>Antibiotic</w:t>
            </w:r>
          </w:p>
        </w:tc>
      </w:tr>
      <w:tr w:rsidRPr="003B78EA" w:rsidR="00155469" w:rsidTr="004C4A84" w14:paraId="71E29406" w14:textId="77777777">
        <w:trPr>
          <w:trHeight w:val="114"/>
        </w:trPr>
        <w:tc>
          <w:tcPr>
            <w:tcW w:w="1730" w:type="dxa"/>
          </w:tcPr>
          <w:p w:rsidRPr="003B78EA" w:rsidR="00155469" w:rsidP="00FE4186" w:rsidRDefault="00155469" w14:paraId="52E8D7E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Trade name                  </w:t>
            </w:r>
          </w:p>
        </w:tc>
        <w:tc>
          <w:tcPr>
            <w:tcW w:w="7513" w:type="dxa"/>
          </w:tcPr>
          <w:p w:rsidRPr="003B78EA" w:rsidR="00155469" w:rsidP="00FE4186" w:rsidRDefault="00155469" w14:paraId="49AFA1E4" w14:textId="77777777">
            <w:pPr>
              <w:pStyle w:val="BodyText"/>
              <w:rPr>
                <w:rFonts w:asciiTheme="minorHAnsi" w:hAnsiTheme="minorHAnsi" w:cstheme="minorHAnsi"/>
                <w:sz w:val="20"/>
              </w:rPr>
            </w:pPr>
            <w:r>
              <w:rPr>
                <w:rFonts w:asciiTheme="minorHAnsi" w:hAnsiTheme="minorHAnsi" w:cstheme="minorHAnsi"/>
                <w:sz w:val="20"/>
              </w:rPr>
              <w:t>Tobramycin-PF Injection (Pfizer – preservative free), DBL Tobramycin, Tobra-Day, Tobramycin Injection (Pfizer), Tobramycin Mylan</w:t>
            </w:r>
          </w:p>
        </w:tc>
      </w:tr>
      <w:tr w:rsidRPr="003B78EA" w:rsidR="00155469" w:rsidTr="004C4A84" w14:paraId="10E3FD7E" w14:textId="77777777">
        <w:trPr>
          <w:trHeight w:val="70"/>
        </w:trPr>
        <w:tc>
          <w:tcPr>
            <w:tcW w:w="1730" w:type="dxa"/>
          </w:tcPr>
          <w:p w:rsidRPr="003B78EA" w:rsidR="00155469" w:rsidP="00FE4186" w:rsidRDefault="00155469" w14:paraId="1C558F1C"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Presentation </w:t>
            </w:r>
          </w:p>
        </w:tc>
        <w:tc>
          <w:tcPr>
            <w:tcW w:w="7513" w:type="dxa"/>
          </w:tcPr>
          <w:p w:rsidRPr="003B78EA" w:rsidR="00155469" w:rsidP="00FE4186" w:rsidRDefault="00155469" w14:paraId="195FF26D" w14:textId="77777777">
            <w:pPr>
              <w:pStyle w:val="BodyText"/>
              <w:rPr>
                <w:rFonts w:asciiTheme="minorHAnsi" w:hAnsiTheme="minorHAnsi" w:cstheme="minorHAnsi"/>
                <w:sz w:val="20"/>
              </w:rPr>
            </w:pPr>
            <w:r>
              <w:rPr>
                <w:rFonts w:asciiTheme="minorHAnsi" w:hAnsiTheme="minorHAnsi" w:cstheme="minorHAnsi"/>
                <w:sz w:val="20"/>
              </w:rPr>
              <w:t>80mg/2mL ampoule</w:t>
            </w:r>
          </w:p>
        </w:tc>
      </w:tr>
      <w:tr w:rsidRPr="003B78EA" w:rsidR="00155469" w:rsidTr="004C4A84" w14:paraId="5EB590B5" w14:textId="77777777">
        <w:trPr>
          <w:trHeight w:val="70"/>
        </w:trPr>
        <w:tc>
          <w:tcPr>
            <w:tcW w:w="1730" w:type="dxa"/>
          </w:tcPr>
          <w:p w:rsidRPr="003B78EA" w:rsidR="00155469" w:rsidP="00FE4186" w:rsidRDefault="00155469" w14:paraId="15807F9A"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Dose                          </w:t>
            </w:r>
          </w:p>
        </w:tc>
        <w:tc>
          <w:tcPr>
            <w:tcW w:w="7513" w:type="dxa"/>
          </w:tcPr>
          <w:p w:rsidRPr="003B78EA" w:rsidR="00155469" w:rsidP="00FE4186" w:rsidRDefault="00155469" w14:paraId="7DABEC97" w14:textId="77777777">
            <w:pPr>
              <w:pStyle w:val="BodyText"/>
              <w:rPr>
                <w:rFonts w:asciiTheme="minorHAnsi" w:hAnsiTheme="minorHAnsi" w:cstheme="minorHAnsi"/>
                <w:sz w:val="20"/>
              </w:rPr>
            </w:pPr>
            <w:r w:rsidRPr="003B78EA">
              <w:rPr>
                <w:rFonts w:asciiTheme="minorHAnsi" w:hAnsiTheme="minorHAnsi" w:cstheme="minorHAnsi"/>
                <w:sz w:val="20"/>
              </w:rPr>
              <w:t>5 mg/kg/dose with dosing interval as follows</w:t>
            </w:r>
            <w:r>
              <w:rPr>
                <w:rFonts w:asciiTheme="minorHAnsi" w:hAnsiTheme="minorHAnsi" w:cstheme="minorHAnsi"/>
                <w:sz w:val="20"/>
              </w:rPr>
              <w:t xml:space="preserve"> (1)</w:t>
            </w:r>
          </w:p>
          <w:p w:rsidRPr="003B78EA" w:rsidR="00155469" w:rsidP="00FE4186" w:rsidRDefault="00155469" w14:paraId="47A05F28" w14:textId="77777777">
            <w:pPr>
              <w:pStyle w:val="BodyText"/>
              <w:rPr>
                <w:rFonts w:asciiTheme="minorHAnsi" w:hAnsiTheme="minorHAnsi" w:cstheme="minorHAnsi"/>
                <w:sz w:val="20"/>
              </w:rPr>
            </w:pPr>
          </w:p>
          <w:tbl>
            <w:tblPr>
              <w:tblStyle w:val="TableGrid"/>
              <w:tblW w:w="4882" w:type="pct"/>
              <w:tblLook w:val="04A0" w:firstRow="1" w:lastRow="0" w:firstColumn="1" w:lastColumn="0" w:noHBand="0" w:noVBand="1"/>
            </w:tblPr>
            <w:tblGrid>
              <w:gridCol w:w="1347"/>
              <w:gridCol w:w="905"/>
              <w:gridCol w:w="1033"/>
              <w:gridCol w:w="1054"/>
              <w:gridCol w:w="1399"/>
              <w:gridCol w:w="1377"/>
            </w:tblGrid>
            <w:tr w:rsidRPr="003B78EA" w:rsidR="00155469" w:rsidTr="00FE4186" w14:paraId="6DFAEF38" w14:textId="77777777">
              <w:tc>
                <w:tcPr>
                  <w:tcW w:w="946" w:type="pct"/>
                </w:tcPr>
                <w:p w:rsidRPr="003B78EA" w:rsidR="00155469" w:rsidP="00FE4186" w:rsidRDefault="00155469" w14:paraId="6E6F5693" w14:textId="77777777">
                  <w:pPr>
                    <w:pStyle w:val="BodyText"/>
                    <w:tabs>
                      <w:tab w:val="left" w:pos="1695"/>
                    </w:tabs>
                    <w:rPr>
                      <w:rFonts w:asciiTheme="minorHAnsi" w:hAnsiTheme="minorHAnsi" w:cstheme="minorHAnsi"/>
                      <w:sz w:val="20"/>
                    </w:rPr>
                  </w:pPr>
                  <w:r>
                    <w:rPr>
                      <w:rFonts w:asciiTheme="minorHAnsi" w:hAnsiTheme="minorHAnsi" w:cstheme="minorHAnsi"/>
                      <w:sz w:val="20"/>
                    </w:rPr>
                    <w:t>Current Bodyweight</w:t>
                  </w:r>
                  <w:r w:rsidRPr="003B78EA">
                    <w:rPr>
                      <w:rFonts w:asciiTheme="minorHAnsi" w:hAnsiTheme="minorHAnsi" w:cstheme="minorHAnsi"/>
                      <w:sz w:val="20"/>
                    </w:rPr>
                    <w:tab/>
                  </w:r>
                </w:p>
              </w:tc>
              <w:tc>
                <w:tcPr>
                  <w:tcW w:w="2103" w:type="pct"/>
                  <w:gridSpan w:val="3"/>
                </w:tcPr>
                <w:p w:rsidRPr="00012E00" w:rsidR="00155469" w:rsidP="00FE4186" w:rsidRDefault="00155469" w14:paraId="40592576" w14:textId="77777777">
                  <w:pPr>
                    <w:pStyle w:val="BodyText"/>
                    <w:jc w:val="center"/>
                    <w:rPr>
                      <w:rFonts w:asciiTheme="minorHAnsi" w:hAnsiTheme="minorHAnsi" w:cstheme="minorHAnsi"/>
                      <w:b/>
                      <w:sz w:val="20"/>
                    </w:rPr>
                  </w:pPr>
                  <w:r w:rsidRPr="00012E00">
                    <w:rPr>
                      <w:rFonts w:asciiTheme="minorHAnsi" w:hAnsiTheme="minorHAnsi" w:cstheme="minorHAnsi"/>
                      <w:b/>
                      <w:sz w:val="20"/>
                    </w:rPr>
                    <w:t>&lt;1200 g</w:t>
                  </w:r>
                </w:p>
              </w:tc>
              <w:tc>
                <w:tcPr>
                  <w:tcW w:w="1951" w:type="pct"/>
                  <w:gridSpan w:val="2"/>
                </w:tcPr>
                <w:p w:rsidRPr="00012E00" w:rsidR="00155469" w:rsidP="00FE4186" w:rsidRDefault="00155469" w14:paraId="36FEF49D" w14:textId="77777777">
                  <w:pPr>
                    <w:pStyle w:val="BodyText"/>
                    <w:jc w:val="center"/>
                    <w:rPr>
                      <w:rFonts w:asciiTheme="minorHAnsi" w:hAnsiTheme="minorHAnsi" w:cstheme="minorHAnsi"/>
                      <w:b/>
                      <w:sz w:val="20"/>
                    </w:rPr>
                  </w:pPr>
                  <w:r w:rsidRPr="00012E00">
                    <w:rPr>
                      <w:rFonts w:asciiTheme="minorHAnsi" w:hAnsiTheme="minorHAnsi" w:cstheme="minorHAnsi"/>
                      <w:b/>
                      <w:sz w:val="20"/>
                    </w:rPr>
                    <w:t>≥1200 g</w:t>
                  </w:r>
                </w:p>
              </w:tc>
            </w:tr>
            <w:tr w:rsidRPr="003B78EA" w:rsidR="00155469" w:rsidTr="00FE4186" w14:paraId="31BCBFFD" w14:textId="77777777">
              <w:tc>
                <w:tcPr>
                  <w:tcW w:w="946" w:type="pct"/>
                </w:tcPr>
                <w:p w:rsidRPr="003B78EA" w:rsidR="00155469" w:rsidP="00FE4186" w:rsidRDefault="00155469" w14:paraId="4EB81C6C" w14:textId="77777777">
                  <w:pPr>
                    <w:pStyle w:val="BodyText"/>
                    <w:rPr>
                      <w:rFonts w:asciiTheme="minorHAnsi" w:hAnsiTheme="minorHAnsi" w:cstheme="minorHAnsi"/>
                      <w:sz w:val="20"/>
                    </w:rPr>
                  </w:pPr>
                  <w:r>
                    <w:rPr>
                      <w:rFonts w:asciiTheme="minorHAnsi" w:hAnsiTheme="minorHAnsi" w:cstheme="minorHAnsi"/>
                      <w:sz w:val="20"/>
                    </w:rPr>
                    <w:t>Postnatal Age</w:t>
                  </w:r>
                </w:p>
              </w:tc>
              <w:tc>
                <w:tcPr>
                  <w:tcW w:w="636" w:type="pct"/>
                </w:tcPr>
                <w:p w:rsidRPr="00012E00" w:rsidR="00155469" w:rsidP="00FE4186" w:rsidRDefault="00155469" w14:paraId="0827366D" w14:textId="77777777">
                  <w:pPr>
                    <w:pStyle w:val="BodyText"/>
                    <w:rPr>
                      <w:rFonts w:asciiTheme="minorHAnsi" w:hAnsiTheme="minorHAnsi" w:cstheme="minorHAnsi"/>
                      <w:b/>
                      <w:sz w:val="20"/>
                    </w:rPr>
                  </w:pPr>
                  <w:r w:rsidRPr="00012E00">
                    <w:rPr>
                      <w:rFonts w:asciiTheme="minorHAnsi" w:hAnsiTheme="minorHAnsi" w:cstheme="minorHAnsi"/>
                      <w:b/>
                      <w:sz w:val="20"/>
                    </w:rPr>
                    <w:t>≤7 days</w:t>
                  </w:r>
                </w:p>
              </w:tc>
              <w:tc>
                <w:tcPr>
                  <w:tcW w:w="726" w:type="pct"/>
                </w:tcPr>
                <w:p w:rsidRPr="00012E00" w:rsidR="00155469" w:rsidP="00FE4186" w:rsidRDefault="00155469" w14:paraId="635FA93F" w14:textId="77777777">
                  <w:pPr>
                    <w:pStyle w:val="BodyText"/>
                    <w:rPr>
                      <w:rFonts w:asciiTheme="minorHAnsi" w:hAnsiTheme="minorHAnsi" w:cstheme="minorHAnsi"/>
                      <w:b/>
                      <w:sz w:val="20"/>
                    </w:rPr>
                  </w:pPr>
                  <w:r w:rsidRPr="00012E00">
                    <w:rPr>
                      <w:rFonts w:asciiTheme="minorHAnsi" w:hAnsiTheme="minorHAnsi" w:cstheme="minorHAnsi"/>
                      <w:b/>
                      <w:sz w:val="20"/>
                    </w:rPr>
                    <w:t>8-30 days</w:t>
                  </w:r>
                </w:p>
              </w:tc>
              <w:tc>
                <w:tcPr>
                  <w:tcW w:w="741" w:type="pct"/>
                </w:tcPr>
                <w:p w:rsidRPr="00012E00" w:rsidR="00155469" w:rsidP="00FE4186" w:rsidRDefault="00155469" w14:paraId="67ECB1D2" w14:textId="77777777">
                  <w:pPr>
                    <w:pStyle w:val="BodyText"/>
                    <w:rPr>
                      <w:rFonts w:asciiTheme="minorHAnsi" w:hAnsiTheme="minorHAnsi" w:cstheme="minorHAnsi"/>
                      <w:b/>
                      <w:sz w:val="20"/>
                    </w:rPr>
                  </w:pPr>
                  <w:r w:rsidRPr="00012E00">
                    <w:rPr>
                      <w:rFonts w:asciiTheme="minorHAnsi" w:hAnsiTheme="minorHAnsi" w:cstheme="minorHAnsi"/>
                      <w:b/>
                      <w:sz w:val="20"/>
                    </w:rPr>
                    <w:t>&gt;30 days</w:t>
                  </w:r>
                </w:p>
              </w:tc>
              <w:tc>
                <w:tcPr>
                  <w:tcW w:w="983" w:type="pct"/>
                </w:tcPr>
                <w:p w:rsidRPr="00012E00" w:rsidR="00155469" w:rsidP="00FE4186" w:rsidRDefault="00155469" w14:paraId="7E6EC09E" w14:textId="77777777">
                  <w:pPr>
                    <w:pStyle w:val="BodyText"/>
                    <w:rPr>
                      <w:rFonts w:asciiTheme="minorHAnsi" w:hAnsiTheme="minorHAnsi" w:cstheme="minorHAnsi"/>
                      <w:b/>
                      <w:sz w:val="20"/>
                    </w:rPr>
                  </w:pPr>
                  <w:r w:rsidRPr="00012E00">
                    <w:rPr>
                      <w:rFonts w:asciiTheme="minorHAnsi" w:hAnsiTheme="minorHAnsi" w:cstheme="minorHAnsi"/>
                      <w:b/>
                      <w:sz w:val="20"/>
                    </w:rPr>
                    <w:t>≤7 days</w:t>
                  </w:r>
                </w:p>
              </w:tc>
              <w:tc>
                <w:tcPr>
                  <w:tcW w:w="968" w:type="pct"/>
                </w:tcPr>
                <w:p w:rsidRPr="00012E00" w:rsidR="00155469" w:rsidP="00FE4186" w:rsidRDefault="00155469" w14:paraId="79E06CD9" w14:textId="77777777">
                  <w:pPr>
                    <w:pStyle w:val="BodyText"/>
                    <w:rPr>
                      <w:rFonts w:asciiTheme="minorHAnsi" w:hAnsiTheme="minorHAnsi" w:cstheme="minorHAnsi"/>
                      <w:b/>
                      <w:sz w:val="20"/>
                    </w:rPr>
                  </w:pPr>
                  <w:r w:rsidRPr="00012E00">
                    <w:rPr>
                      <w:rFonts w:asciiTheme="minorHAnsi" w:hAnsiTheme="minorHAnsi" w:cstheme="minorHAnsi"/>
                      <w:b/>
                      <w:sz w:val="20"/>
                    </w:rPr>
                    <w:t>&gt;7 days</w:t>
                  </w:r>
                </w:p>
              </w:tc>
            </w:tr>
            <w:tr w:rsidRPr="003B78EA" w:rsidR="00155469" w:rsidTr="00FE4186" w14:paraId="03B71561" w14:textId="77777777">
              <w:tc>
                <w:tcPr>
                  <w:tcW w:w="946" w:type="pct"/>
                </w:tcPr>
                <w:p w:rsidRPr="003B78EA" w:rsidR="00155469" w:rsidP="00FE4186" w:rsidRDefault="00155469" w14:paraId="311E09D4" w14:textId="77777777">
                  <w:pPr>
                    <w:pStyle w:val="BodyText"/>
                    <w:rPr>
                      <w:rFonts w:asciiTheme="minorHAnsi" w:hAnsiTheme="minorHAnsi" w:cstheme="minorHAnsi"/>
                      <w:sz w:val="20"/>
                    </w:rPr>
                  </w:pPr>
                  <w:r w:rsidRPr="003B78EA">
                    <w:rPr>
                      <w:rFonts w:asciiTheme="minorHAnsi" w:hAnsiTheme="minorHAnsi" w:cstheme="minorHAnsi"/>
                      <w:sz w:val="20"/>
                    </w:rPr>
                    <w:t xml:space="preserve">Dose </w:t>
                  </w:r>
                  <w:r>
                    <w:rPr>
                      <w:rFonts w:asciiTheme="minorHAnsi" w:hAnsiTheme="minorHAnsi" w:cstheme="minorHAnsi"/>
                      <w:sz w:val="20"/>
                    </w:rPr>
                    <w:t>i</w:t>
                  </w:r>
                  <w:r w:rsidRPr="003B78EA">
                    <w:rPr>
                      <w:rFonts w:asciiTheme="minorHAnsi" w:hAnsiTheme="minorHAnsi" w:cstheme="minorHAnsi"/>
                      <w:sz w:val="20"/>
                    </w:rPr>
                    <w:t>nterval</w:t>
                  </w:r>
                  <w:r>
                    <w:rPr>
                      <w:rFonts w:asciiTheme="minorHAnsi" w:hAnsiTheme="minorHAnsi" w:cstheme="minorHAnsi"/>
                      <w:sz w:val="20"/>
                    </w:rPr>
                    <w:t>*</w:t>
                  </w:r>
                </w:p>
              </w:tc>
              <w:tc>
                <w:tcPr>
                  <w:tcW w:w="636" w:type="pct"/>
                </w:tcPr>
                <w:p w:rsidRPr="003B78EA" w:rsidR="00155469" w:rsidP="00FE4186" w:rsidRDefault="00155469" w14:paraId="686BD757" w14:textId="77777777">
                  <w:pPr>
                    <w:pStyle w:val="BodyText"/>
                    <w:rPr>
                      <w:rFonts w:asciiTheme="minorHAnsi" w:hAnsiTheme="minorHAnsi" w:cstheme="minorHAnsi"/>
                      <w:sz w:val="20"/>
                    </w:rPr>
                  </w:pPr>
                  <w:r w:rsidRPr="003B78EA">
                    <w:rPr>
                      <w:rFonts w:asciiTheme="minorHAnsi" w:hAnsiTheme="minorHAnsi" w:cstheme="minorHAnsi"/>
                      <w:sz w:val="20"/>
                    </w:rPr>
                    <w:t>48 h</w:t>
                  </w:r>
                  <w:r>
                    <w:rPr>
                      <w:rFonts w:asciiTheme="minorHAnsi" w:hAnsiTheme="minorHAnsi" w:cstheme="minorHAnsi"/>
                      <w:sz w:val="20"/>
                    </w:rPr>
                    <w:t>ourly</w:t>
                  </w:r>
                </w:p>
              </w:tc>
              <w:tc>
                <w:tcPr>
                  <w:tcW w:w="726" w:type="pct"/>
                </w:tcPr>
                <w:p w:rsidRPr="003B78EA" w:rsidR="00155469" w:rsidP="00FE4186" w:rsidRDefault="00155469" w14:paraId="0C310FD5" w14:textId="77777777">
                  <w:pPr>
                    <w:pStyle w:val="BodyText"/>
                    <w:rPr>
                      <w:rFonts w:asciiTheme="minorHAnsi" w:hAnsiTheme="minorHAnsi" w:cstheme="minorHAnsi"/>
                      <w:sz w:val="20"/>
                    </w:rPr>
                  </w:pPr>
                  <w:r w:rsidRPr="003B78EA">
                    <w:rPr>
                      <w:rFonts w:asciiTheme="minorHAnsi" w:hAnsiTheme="minorHAnsi" w:cstheme="minorHAnsi"/>
                      <w:sz w:val="20"/>
                    </w:rPr>
                    <w:t>36 h</w:t>
                  </w:r>
                  <w:r>
                    <w:rPr>
                      <w:rFonts w:asciiTheme="minorHAnsi" w:hAnsiTheme="minorHAnsi" w:cstheme="minorHAnsi"/>
                      <w:sz w:val="20"/>
                    </w:rPr>
                    <w:t>ourly</w:t>
                  </w:r>
                </w:p>
              </w:tc>
              <w:tc>
                <w:tcPr>
                  <w:tcW w:w="741" w:type="pct"/>
                </w:tcPr>
                <w:p w:rsidRPr="003B78EA" w:rsidR="00155469" w:rsidP="00FE4186" w:rsidRDefault="00155469" w14:paraId="51390F15" w14:textId="77777777">
                  <w:pPr>
                    <w:pStyle w:val="BodyText"/>
                    <w:rPr>
                      <w:rFonts w:asciiTheme="minorHAnsi" w:hAnsiTheme="minorHAnsi" w:cstheme="minorHAnsi"/>
                      <w:sz w:val="20"/>
                    </w:rPr>
                  </w:pPr>
                  <w:r w:rsidRPr="003B78EA">
                    <w:rPr>
                      <w:rFonts w:asciiTheme="minorHAnsi" w:hAnsiTheme="minorHAnsi" w:cstheme="minorHAnsi"/>
                      <w:sz w:val="20"/>
                    </w:rPr>
                    <w:t>24 h</w:t>
                  </w:r>
                  <w:r>
                    <w:rPr>
                      <w:rFonts w:asciiTheme="minorHAnsi" w:hAnsiTheme="minorHAnsi" w:cstheme="minorHAnsi"/>
                      <w:sz w:val="20"/>
                    </w:rPr>
                    <w:t>ourly</w:t>
                  </w:r>
                </w:p>
              </w:tc>
              <w:tc>
                <w:tcPr>
                  <w:tcW w:w="983" w:type="pct"/>
                </w:tcPr>
                <w:p w:rsidRPr="003B78EA" w:rsidR="00155469" w:rsidP="00FE4186" w:rsidRDefault="00155469" w14:paraId="15047505" w14:textId="77777777">
                  <w:pPr>
                    <w:pStyle w:val="BodyText"/>
                    <w:rPr>
                      <w:rFonts w:asciiTheme="minorHAnsi" w:hAnsiTheme="minorHAnsi" w:cstheme="minorHAnsi"/>
                      <w:sz w:val="20"/>
                    </w:rPr>
                  </w:pPr>
                  <w:r w:rsidRPr="003B78EA">
                    <w:rPr>
                      <w:rFonts w:asciiTheme="minorHAnsi" w:hAnsiTheme="minorHAnsi" w:cstheme="minorHAnsi"/>
                      <w:sz w:val="20"/>
                    </w:rPr>
                    <w:t>36 h</w:t>
                  </w:r>
                  <w:r>
                    <w:rPr>
                      <w:rFonts w:asciiTheme="minorHAnsi" w:hAnsiTheme="minorHAnsi" w:cstheme="minorHAnsi"/>
                      <w:sz w:val="20"/>
                    </w:rPr>
                    <w:t>ourly</w:t>
                  </w:r>
                </w:p>
              </w:tc>
              <w:tc>
                <w:tcPr>
                  <w:tcW w:w="968" w:type="pct"/>
                </w:tcPr>
                <w:p w:rsidRPr="003B78EA" w:rsidR="00155469" w:rsidP="00FE4186" w:rsidRDefault="00155469" w14:paraId="6709F2DE" w14:textId="77777777">
                  <w:pPr>
                    <w:pStyle w:val="BodyText"/>
                    <w:rPr>
                      <w:rFonts w:asciiTheme="minorHAnsi" w:hAnsiTheme="minorHAnsi" w:cstheme="minorHAnsi"/>
                      <w:sz w:val="20"/>
                    </w:rPr>
                  </w:pPr>
                  <w:r w:rsidRPr="003B78EA">
                    <w:rPr>
                      <w:rFonts w:asciiTheme="minorHAnsi" w:hAnsiTheme="minorHAnsi" w:cstheme="minorHAnsi"/>
                      <w:sz w:val="20"/>
                    </w:rPr>
                    <w:t>24 h</w:t>
                  </w:r>
                  <w:r>
                    <w:rPr>
                      <w:rFonts w:asciiTheme="minorHAnsi" w:hAnsiTheme="minorHAnsi" w:cstheme="minorHAnsi"/>
                      <w:sz w:val="20"/>
                    </w:rPr>
                    <w:t>ourly</w:t>
                  </w:r>
                </w:p>
              </w:tc>
            </w:tr>
          </w:tbl>
          <w:p w:rsidR="00155469" w:rsidP="00FE4186" w:rsidRDefault="00155469" w14:paraId="21BBDED7" w14:textId="77777777">
            <w:pPr>
              <w:pStyle w:val="BodyText"/>
              <w:rPr>
                <w:rFonts w:asciiTheme="minorHAnsi" w:hAnsiTheme="minorHAnsi" w:cstheme="minorHAnsi"/>
                <w:sz w:val="20"/>
              </w:rPr>
            </w:pPr>
          </w:p>
          <w:p w:rsidR="00155469" w:rsidP="00FE4186" w:rsidRDefault="00155469" w14:paraId="3F60A536" w14:textId="77777777">
            <w:pPr>
              <w:overflowPunct w:val="0"/>
              <w:autoSpaceDE w:val="0"/>
              <w:autoSpaceDN w:val="0"/>
              <w:adjustRightInd w:val="0"/>
              <w:jc w:val="both"/>
              <w:textAlignment w:val="baseline"/>
              <w:rPr>
                <w:sz w:val="20"/>
              </w:rPr>
            </w:pPr>
            <w:r>
              <w:rPr>
                <w:b/>
                <w:sz w:val="20"/>
              </w:rPr>
              <w:t>*Extend</w:t>
            </w:r>
            <w:r w:rsidRPr="00880AA4">
              <w:rPr>
                <w:b/>
                <w:sz w:val="20"/>
              </w:rPr>
              <w:t xml:space="preserve"> dose interval by 12 hours</w:t>
            </w:r>
            <w:r w:rsidRPr="00880AA4">
              <w:rPr>
                <w:sz w:val="20"/>
              </w:rPr>
              <w:t xml:space="preserve"> </w:t>
            </w:r>
            <w:r>
              <w:rPr>
                <w:sz w:val="20"/>
              </w:rPr>
              <w:t xml:space="preserve">in </w:t>
            </w:r>
          </w:p>
          <w:p w:rsidRPr="006D38ED" w:rsidR="00155469" w:rsidP="001B0E05" w:rsidRDefault="00155469" w14:paraId="79AEF0EA" w14:textId="77777777">
            <w:pPr>
              <w:pStyle w:val="ListParagraph"/>
              <w:numPr>
                <w:ilvl w:val="0"/>
                <w:numId w:val="133"/>
              </w:numPr>
              <w:overflowPunct w:val="0"/>
              <w:autoSpaceDE w:val="0"/>
              <w:autoSpaceDN w:val="0"/>
              <w:adjustRightInd w:val="0"/>
              <w:jc w:val="both"/>
              <w:textAlignment w:val="baseline"/>
              <w:rPr>
                <w:sz w:val="20"/>
              </w:rPr>
            </w:pPr>
            <w:r w:rsidRPr="006D38ED">
              <w:rPr>
                <w:sz w:val="20"/>
              </w:rPr>
              <w:t>Perinatal asphyxia and therapeutic hypothermia</w:t>
            </w:r>
            <w:r>
              <w:rPr>
                <w:sz w:val="20"/>
              </w:rPr>
              <w:t xml:space="preserve"> (2,3,4)</w:t>
            </w:r>
            <w:r w:rsidRPr="006D38ED">
              <w:rPr>
                <w:sz w:val="20"/>
              </w:rPr>
              <w:t xml:space="preserve">. </w:t>
            </w:r>
          </w:p>
          <w:p w:rsidRPr="003B78EA" w:rsidR="00155469" w:rsidP="001B0E05" w:rsidRDefault="00155469" w14:paraId="475D3B37" w14:textId="77777777">
            <w:pPr>
              <w:pStyle w:val="BodyText"/>
              <w:numPr>
                <w:ilvl w:val="0"/>
                <w:numId w:val="133"/>
              </w:numPr>
              <w:overflowPunct w:val="0"/>
              <w:autoSpaceDE w:val="0"/>
              <w:autoSpaceDN w:val="0"/>
              <w:adjustRightInd w:val="0"/>
              <w:jc w:val="left"/>
              <w:textAlignment w:val="baseline"/>
              <w:rPr>
                <w:rFonts w:asciiTheme="minorHAnsi" w:hAnsiTheme="minorHAnsi" w:cstheme="minorHAnsi"/>
                <w:sz w:val="20"/>
              </w:rPr>
            </w:pPr>
            <w:r>
              <w:rPr>
                <w:sz w:val="20"/>
                <w:szCs w:val="24"/>
              </w:rPr>
              <w:t>Concurrent</w:t>
            </w:r>
            <w:r w:rsidRPr="00880AA4">
              <w:rPr>
                <w:sz w:val="20"/>
                <w:szCs w:val="24"/>
              </w:rPr>
              <w:t xml:space="preserve"> cycl</w:t>
            </w:r>
            <w:r>
              <w:rPr>
                <w:sz w:val="20"/>
                <w:szCs w:val="24"/>
              </w:rPr>
              <w:t>o-oxygenase inhibitors (indomet</w:t>
            </w:r>
            <w:r w:rsidRPr="00880AA4">
              <w:rPr>
                <w:sz w:val="20"/>
                <w:szCs w:val="24"/>
              </w:rPr>
              <w:t>acin or ibuprofen</w:t>
            </w:r>
            <w:r>
              <w:rPr>
                <w:sz w:val="20"/>
                <w:szCs w:val="24"/>
              </w:rPr>
              <w:t xml:space="preserve">) </w:t>
            </w:r>
            <w:r w:rsidRPr="00FC2624">
              <w:rPr>
                <w:sz w:val="20"/>
                <w:szCs w:val="24"/>
              </w:rPr>
              <w:t>(</w:t>
            </w:r>
            <w:r>
              <w:rPr>
                <w:sz w:val="20"/>
                <w:szCs w:val="24"/>
              </w:rPr>
              <w:t>4,5)</w:t>
            </w:r>
          </w:p>
        </w:tc>
      </w:tr>
      <w:tr w:rsidRPr="003B78EA" w:rsidR="00155469" w:rsidTr="004C4A84" w14:paraId="69250BD9" w14:textId="77777777">
        <w:trPr>
          <w:trHeight w:val="407"/>
        </w:trPr>
        <w:tc>
          <w:tcPr>
            <w:tcW w:w="1730" w:type="dxa"/>
          </w:tcPr>
          <w:p w:rsidRPr="003B78EA" w:rsidR="00155469" w:rsidP="00FE4186" w:rsidRDefault="00155469" w14:paraId="767D66E3" w14:textId="77777777">
            <w:pPr>
              <w:pStyle w:val="BodyText"/>
              <w:rPr>
                <w:rFonts w:asciiTheme="minorHAnsi" w:hAnsiTheme="minorHAnsi" w:cstheme="minorHAnsi"/>
                <w:b/>
                <w:sz w:val="20"/>
              </w:rPr>
            </w:pPr>
            <w:r w:rsidRPr="003B78EA">
              <w:rPr>
                <w:rFonts w:asciiTheme="minorHAnsi" w:hAnsiTheme="minorHAnsi" w:cstheme="minorHAnsi"/>
                <w:b/>
                <w:sz w:val="20"/>
              </w:rPr>
              <w:t>Dose adjustment</w:t>
            </w:r>
          </w:p>
          <w:p w:rsidRPr="003B78EA" w:rsidR="00155469" w:rsidP="00FE4186" w:rsidRDefault="00155469" w14:paraId="43E10B53" w14:textId="77777777">
            <w:pPr>
              <w:pStyle w:val="BodyText"/>
              <w:rPr>
                <w:rFonts w:asciiTheme="minorHAnsi" w:hAnsiTheme="minorHAnsi" w:cstheme="minorHAnsi"/>
                <w:b/>
                <w:sz w:val="20"/>
              </w:rPr>
            </w:pPr>
          </w:p>
        </w:tc>
        <w:tc>
          <w:tcPr>
            <w:tcW w:w="7513" w:type="dxa"/>
          </w:tcPr>
          <w:p w:rsidRPr="003B78EA" w:rsidR="00155469" w:rsidP="00FE4186" w:rsidRDefault="00155469" w14:paraId="2B7C488B" w14:textId="77777777">
            <w:pPr>
              <w:pStyle w:val="BodyText"/>
              <w:rPr>
                <w:rFonts w:asciiTheme="minorHAnsi" w:hAnsiTheme="minorHAnsi" w:cstheme="minorHAnsi"/>
                <w:sz w:val="20"/>
              </w:rPr>
            </w:pPr>
            <w:r w:rsidRPr="006D38ED">
              <w:rPr>
                <w:rFonts w:asciiTheme="minorHAnsi" w:hAnsiTheme="minorHAnsi" w:cstheme="minorHAnsi"/>
                <w:b/>
                <w:sz w:val="20"/>
              </w:rPr>
              <w:t>Therapeutic hypothermia</w:t>
            </w:r>
            <w:r w:rsidRPr="003B78EA">
              <w:rPr>
                <w:rFonts w:asciiTheme="minorHAnsi" w:hAnsiTheme="minorHAnsi" w:cstheme="minorHAnsi"/>
                <w:sz w:val="20"/>
              </w:rPr>
              <w:t xml:space="preserve"> – </w:t>
            </w:r>
            <w:r>
              <w:rPr>
                <w:rFonts w:asciiTheme="minorHAnsi" w:hAnsiTheme="minorHAnsi" w:cstheme="minorHAnsi"/>
                <w:sz w:val="20"/>
              </w:rPr>
              <w:t xml:space="preserve">Extend the dosing interval by 12 hours. </w:t>
            </w:r>
            <w:r w:rsidRPr="003B78EA">
              <w:rPr>
                <w:rFonts w:asciiTheme="minorHAnsi" w:hAnsiTheme="minorHAnsi" w:cstheme="minorHAnsi"/>
                <w:sz w:val="20"/>
              </w:rPr>
              <w:t xml:space="preserve">Measure trough concentration before </w:t>
            </w:r>
            <w:r>
              <w:rPr>
                <w:rFonts w:asciiTheme="minorHAnsi" w:hAnsiTheme="minorHAnsi" w:cstheme="minorHAnsi"/>
                <w:sz w:val="20"/>
              </w:rPr>
              <w:t>every</w:t>
            </w:r>
            <w:r w:rsidRPr="003B78EA">
              <w:rPr>
                <w:rFonts w:asciiTheme="minorHAnsi" w:hAnsiTheme="minorHAnsi" w:cstheme="minorHAnsi"/>
                <w:sz w:val="20"/>
              </w:rPr>
              <w:t xml:space="preserve"> dose</w:t>
            </w:r>
            <w:r>
              <w:rPr>
                <w:rFonts w:asciiTheme="minorHAnsi" w:hAnsiTheme="minorHAnsi" w:cstheme="minorHAnsi"/>
                <w:sz w:val="20"/>
              </w:rPr>
              <w:t xml:space="preserve">. (2,6-8) </w:t>
            </w:r>
          </w:p>
          <w:p w:rsidRPr="003B78EA" w:rsidR="00155469" w:rsidP="00FE4186" w:rsidRDefault="00155469" w14:paraId="59F7CAB8" w14:textId="77777777">
            <w:pPr>
              <w:pStyle w:val="BodyText"/>
              <w:rPr>
                <w:rFonts w:asciiTheme="minorHAnsi" w:hAnsiTheme="minorHAnsi" w:cstheme="minorHAnsi"/>
                <w:sz w:val="20"/>
              </w:rPr>
            </w:pPr>
            <w:r w:rsidRPr="006D38ED">
              <w:rPr>
                <w:rFonts w:asciiTheme="minorHAnsi" w:hAnsiTheme="minorHAnsi" w:cstheme="minorHAnsi"/>
                <w:b/>
                <w:sz w:val="20"/>
              </w:rPr>
              <w:t>ECMO</w:t>
            </w:r>
            <w:r w:rsidRPr="00880AA4">
              <w:rPr>
                <w:rFonts w:asciiTheme="minorHAnsi" w:hAnsiTheme="minorHAnsi" w:cstheme="minorHAnsi"/>
                <w:sz w:val="20"/>
              </w:rPr>
              <w:t xml:space="preserve"> - </w:t>
            </w:r>
            <w:r>
              <w:rPr>
                <w:rFonts w:asciiTheme="minorHAnsi" w:hAnsiTheme="minorHAnsi" w:cstheme="minorHAnsi"/>
                <w:sz w:val="20"/>
              </w:rPr>
              <w:t>Measure trough concentration before 2</w:t>
            </w:r>
            <w:r w:rsidRPr="00584521">
              <w:rPr>
                <w:rFonts w:asciiTheme="minorHAnsi" w:hAnsiTheme="minorHAnsi" w:cstheme="minorHAnsi"/>
                <w:sz w:val="20"/>
                <w:vertAlign w:val="superscript"/>
              </w:rPr>
              <w:t>nd</w:t>
            </w:r>
            <w:r>
              <w:rPr>
                <w:rFonts w:asciiTheme="minorHAnsi" w:hAnsiTheme="minorHAnsi" w:cstheme="minorHAnsi"/>
                <w:sz w:val="20"/>
              </w:rPr>
              <w:t xml:space="preserve"> dose. (9)</w:t>
            </w:r>
          </w:p>
          <w:p w:rsidRPr="003B78EA" w:rsidR="00155469" w:rsidP="00FE4186" w:rsidRDefault="00155469" w14:paraId="1228E6F6" w14:textId="77777777">
            <w:pPr>
              <w:pStyle w:val="BodyText"/>
              <w:rPr>
                <w:rFonts w:asciiTheme="minorHAnsi" w:hAnsiTheme="minorHAnsi" w:cstheme="minorHAnsi"/>
                <w:sz w:val="20"/>
              </w:rPr>
            </w:pPr>
            <w:r w:rsidRPr="006D38ED">
              <w:rPr>
                <w:rFonts w:asciiTheme="minorHAnsi" w:hAnsiTheme="minorHAnsi" w:cstheme="minorHAnsi"/>
                <w:b/>
                <w:sz w:val="20"/>
              </w:rPr>
              <w:t>Renal impairment</w:t>
            </w:r>
            <w:r w:rsidRPr="003B78EA">
              <w:rPr>
                <w:rFonts w:asciiTheme="minorHAnsi" w:hAnsiTheme="minorHAnsi" w:cstheme="minorHAnsi"/>
                <w:sz w:val="20"/>
              </w:rPr>
              <w:t xml:space="preserve"> – Measure trough concentration before </w:t>
            </w:r>
            <w:r>
              <w:rPr>
                <w:rFonts w:asciiTheme="minorHAnsi" w:hAnsiTheme="minorHAnsi" w:cstheme="minorHAnsi"/>
                <w:sz w:val="20"/>
              </w:rPr>
              <w:t>every dose.</w:t>
            </w:r>
            <w:r w:rsidRPr="003B78EA">
              <w:rPr>
                <w:rFonts w:asciiTheme="minorHAnsi" w:hAnsiTheme="minorHAnsi" w:cstheme="minorHAnsi"/>
                <w:sz w:val="20"/>
              </w:rPr>
              <w:t xml:space="preserve"> (</w:t>
            </w:r>
            <w:r>
              <w:rPr>
                <w:rFonts w:asciiTheme="minorHAnsi" w:hAnsiTheme="minorHAnsi" w:cstheme="minorHAnsi"/>
                <w:sz w:val="20"/>
              </w:rPr>
              <w:t>10)</w:t>
            </w:r>
          </w:p>
          <w:p w:rsidRPr="003B78EA" w:rsidR="00155469" w:rsidP="00FE4186" w:rsidRDefault="00155469" w14:paraId="46313758" w14:textId="77777777">
            <w:pPr>
              <w:pStyle w:val="BodyText"/>
              <w:rPr>
                <w:rFonts w:asciiTheme="minorHAnsi" w:hAnsiTheme="minorHAnsi" w:cstheme="minorHAnsi"/>
                <w:sz w:val="20"/>
              </w:rPr>
            </w:pPr>
            <w:r w:rsidRPr="006D38ED">
              <w:rPr>
                <w:rFonts w:asciiTheme="minorHAnsi" w:hAnsiTheme="minorHAnsi" w:cstheme="minorHAnsi"/>
                <w:b/>
                <w:sz w:val="20"/>
              </w:rPr>
              <w:t>Hepatic impairment</w:t>
            </w:r>
            <w:r w:rsidRPr="003B78EA">
              <w:rPr>
                <w:rFonts w:asciiTheme="minorHAnsi" w:hAnsiTheme="minorHAnsi" w:cstheme="minorHAnsi"/>
                <w:sz w:val="20"/>
              </w:rPr>
              <w:t xml:space="preserve"> – No specific dose adjustment.</w:t>
            </w:r>
          </w:p>
        </w:tc>
      </w:tr>
      <w:tr w:rsidRPr="003B78EA" w:rsidR="00155469" w:rsidTr="004C4A84" w14:paraId="304A7EB4" w14:textId="77777777">
        <w:trPr>
          <w:trHeight w:val="113"/>
        </w:trPr>
        <w:tc>
          <w:tcPr>
            <w:tcW w:w="1730" w:type="dxa"/>
          </w:tcPr>
          <w:p w:rsidRPr="003B78EA" w:rsidR="00155469" w:rsidP="00FE4186" w:rsidRDefault="00155469" w14:paraId="4D447EB7" w14:textId="77777777">
            <w:pPr>
              <w:pStyle w:val="BodyText"/>
              <w:rPr>
                <w:rFonts w:asciiTheme="minorHAnsi" w:hAnsiTheme="minorHAnsi" w:cstheme="minorHAnsi"/>
                <w:b/>
                <w:sz w:val="20"/>
              </w:rPr>
            </w:pPr>
            <w:r w:rsidRPr="003B78EA">
              <w:rPr>
                <w:rFonts w:asciiTheme="minorHAnsi" w:hAnsiTheme="minorHAnsi" w:cstheme="minorHAnsi"/>
                <w:b/>
                <w:sz w:val="20"/>
              </w:rPr>
              <w:t>Maximum dose</w:t>
            </w:r>
          </w:p>
        </w:tc>
        <w:tc>
          <w:tcPr>
            <w:tcW w:w="7513" w:type="dxa"/>
          </w:tcPr>
          <w:p w:rsidRPr="003B78EA" w:rsidR="00155469" w:rsidP="00FE4186" w:rsidRDefault="00155469" w14:paraId="57BE081F" w14:textId="77777777">
            <w:pPr>
              <w:pStyle w:val="BodyText"/>
              <w:rPr>
                <w:rFonts w:asciiTheme="minorHAnsi" w:hAnsiTheme="minorHAnsi" w:cstheme="minorHAnsi"/>
                <w:sz w:val="20"/>
              </w:rPr>
            </w:pPr>
            <w:r>
              <w:rPr>
                <w:rFonts w:asciiTheme="minorHAnsi" w:hAnsiTheme="minorHAnsi" w:cstheme="minorHAnsi"/>
                <w:sz w:val="20"/>
              </w:rPr>
              <w:t>No information.</w:t>
            </w:r>
          </w:p>
        </w:tc>
      </w:tr>
      <w:tr w:rsidRPr="003B78EA" w:rsidR="00155469" w:rsidTr="004C4A84" w14:paraId="29823EFB" w14:textId="77777777">
        <w:trPr>
          <w:trHeight w:val="144"/>
        </w:trPr>
        <w:tc>
          <w:tcPr>
            <w:tcW w:w="1730" w:type="dxa"/>
          </w:tcPr>
          <w:p w:rsidRPr="003B78EA" w:rsidR="00155469" w:rsidP="00FE4186" w:rsidRDefault="00155469" w14:paraId="34EB9961" w14:textId="77777777">
            <w:pPr>
              <w:pStyle w:val="BodyText"/>
              <w:rPr>
                <w:rFonts w:asciiTheme="minorHAnsi" w:hAnsiTheme="minorHAnsi" w:cstheme="minorHAnsi"/>
                <w:b/>
                <w:bCs/>
                <w:sz w:val="20"/>
              </w:rPr>
            </w:pPr>
            <w:r w:rsidRPr="003B78EA">
              <w:rPr>
                <w:rFonts w:asciiTheme="minorHAnsi" w:hAnsiTheme="minorHAnsi" w:cstheme="minorHAnsi"/>
                <w:b/>
                <w:sz w:val="20"/>
              </w:rPr>
              <w:t>Total cumulative dose</w:t>
            </w:r>
          </w:p>
        </w:tc>
        <w:tc>
          <w:tcPr>
            <w:tcW w:w="7513" w:type="dxa"/>
          </w:tcPr>
          <w:p w:rsidRPr="003B78EA" w:rsidR="00155469" w:rsidP="00FE4186" w:rsidRDefault="00155469" w14:paraId="4D67FDD9" w14:textId="77777777">
            <w:pPr>
              <w:pStyle w:val="BodyText"/>
              <w:rPr>
                <w:rFonts w:asciiTheme="minorHAnsi" w:hAnsiTheme="minorHAnsi" w:cstheme="minorHAnsi"/>
                <w:b/>
                <w:sz w:val="20"/>
              </w:rPr>
            </w:pPr>
            <w:r>
              <w:rPr>
                <w:rFonts w:asciiTheme="minorHAnsi" w:hAnsiTheme="minorHAnsi" w:cstheme="minorHAnsi"/>
                <w:b/>
                <w:sz w:val="20"/>
              </w:rPr>
              <w:t>No information.</w:t>
            </w:r>
          </w:p>
        </w:tc>
      </w:tr>
      <w:tr w:rsidRPr="003B78EA" w:rsidR="00155469" w:rsidTr="004C4A84" w14:paraId="11E6AA71" w14:textId="77777777">
        <w:trPr>
          <w:trHeight w:val="294"/>
        </w:trPr>
        <w:tc>
          <w:tcPr>
            <w:tcW w:w="1730" w:type="dxa"/>
          </w:tcPr>
          <w:p w:rsidRPr="003B78EA" w:rsidR="00155469" w:rsidP="00FE4186" w:rsidRDefault="00155469" w14:paraId="04B6F229" w14:textId="77777777">
            <w:pPr>
              <w:pStyle w:val="BodyText"/>
              <w:rPr>
                <w:rFonts w:asciiTheme="minorHAnsi" w:hAnsiTheme="minorHAnsi" w:cstheme="minorHAnsi"/>
                <w:sz w:val="20"/>
              </w:rPr>
            </w:pPr>
            <w:r w:rsidRPr="003B78EA">
              <w:rPr>
                <w:rFonts w:asciiTheme="minorHAnsi" w:hAnsiTheme="minorHAnsi" w:cstheme="minorHAnsi"/>
                <w:b/>
                <w:bCs/>
                <w:sz w:val="20"/>
              </w:rPr>
              <w:t xml:space="preserve">Route                                </w:t>
            </w:r>
          </w:p>
        </w:tc>
        <w:tc>
          <w:tcPr>
            <w:tcW w:w="7513" w:type="dxa"/>
          </w:tcPr>
          <w:p w:rsidRPr="003B78EA" w:rsidR="00155469" w:rsidP="00FE4186" w:rsidRDefault="00155469" w14:paraId="7974D39A" w14:textId="77777777">
            <w:pPr>
              <w:pStyle w:val="BodyText"/>
              <w:rPr>
                <w:rFonts w:asciiTheme="minorHAnsi" w:hAnsiTheme="minorHAnsi" w:cstheme="minorHAnsi"/>
                <w:sz w:val="20"/>
              </w:rPr>
            </w:pPr>
            <w:r w:rsidRPr="003B78EA">
              <w:rPr>
                <w:rFonts w:asciiTheme="minorHAnsi" w:hAnsiTheme="minorHAnsi" w:cstheme="minorHAnsi"/>
                <w:sz w:val="20"/>
              </w:rPr>
              <w:t>IV</w:t>
            </w:r>
          </w:p>
        </w:tc>
      </w:tr>
      <w:tr w:rsidRPr="003B78EA" w:rsidR="00155469" w:rsidTr="004C4A84" w14:paraId="1ABCB621" w14:textId="77777777">
        <w:trPr>
          <w:trHeight w:val="93"/>
        </w:trPr>
        <w:tc>
          <w:tcPr>
            <w:tcW w:w="1730" w:type="dxa"/>
          </w:tcPr>
          <w:p w:rsidRPr="003B78EA" w:rsidR="00155469" w:rsidP="00FE4186" w:rsidRDefault="00155469" w14:paraId="59256F51" w14:textId="77777777">
            <w:pPr>
              <w:pStyle w:val="BodyText"/>
              <w:rPr>
                <w:rFonts w:asciiTheme="minorHAnsi" w:hAnsiTheme="minorHAnsi" w:cstheme="minorHAnsi"/>
                <w:b/>
                <w:bCs/>
                <w:sz w:val="20"/>
                <w:highlight w:val="cyan"/>
              </w:rPr>
            </w:pPr>
            <w:r w:rsidRPr="003B78EA">
              <w:rPr>
                <w:rFonts w:asciiTheme="minorHAnsi" w:hAnsiTheme="minorHAnsi" w:cstheme="minorHAnsi"/>
                <w:b/>
                <w:bCs/>
                <w:sz w:val="20"/>
              </w:rPr>
              <w:t>Preparation</w:t>
            </w:r>
            <w:r w:rsidRPr="003B78EA">
              <w:rPr>
                <w:rFonts w:asciiTheme="minorHAnsi" w:hAnsiTheme="minorHAnsi" w:cstheme="minorHAnsi"/>
                <w:b/>
                <w:bCs/>
                <w:sz w:val="20"/>
                <w:highlight w:val="cyan"/>
              </w:rPr>
              <w:t xml:space="preserve">                </w:t>
            </w:r>
          </w:p>
        </w:tc>
        <w:tc>
          <w:tcPr>
            <w:tcW w:w="7513" w:type="dxa"/>
          </w:tcPr>
          <w:p w:rsidRPr="003B78EA" w:rsidR="00155469" w:rsidP="00FE4186" w:rsidRDefault="00155469" w14:paraId="0C2C4E18" w14:textId="77777777">
            <w:pPr>
              <w:pStyle w:val="BodyText"/>
              <w:rPr>
                <w:rFonts w:asciiTheme="minorHAnsi" w:hAnsiTheme="minorHAnsi" w:cstheme="minorHAnsi"/>
                <w:sz w:val="20"/>
              </w:rPr>
            </w:pPr>
            <w:r>
              <w:rPr>
                <w:rFonts w:asciiTheme="minorHAnsi" w:hAnsiTheme="minorHAnsi" w:cstheme="minorHAnsi"/>
                <w:sz w:val="20"/>
              </w:rPr>
              <w:t>Draw up</w:t>
            </w:r>
            <w:r w:rsidRPr="007F4B77">
              <w:rPr>
                <w:rFonts w:asciiTheme="minorHAnsi" w:hAnsiTheme="minorHAnsi" w:cstheme="minorHAnsi"/>
                <w:sz w:val="20"/>
              </w:rPr>
              <w:t xml:space="preserve"> 1 mL (40 mg</w:t>
            </w:r>
            <w:r>
              <w:rPr>
                <w:rFonts w:asciiTheme="minorHAnsi" w:hAnsiTheme="minorHAnsi" w:cstheme="minorHAnsi"/>
                <w:sz w:val="20"/>
              </w:rPr>
              <w:t xml:space="preserve"> of tobramycin</w:t>
            </w:r>
            <w:r w:rsidRPr="007F4B77">
              <w:rPr>
                <w:rFonts w:asciiTheme="minorHAnsi" w:hAnsiTheme="minorHAnsi" w:cstheme="minorHAnsi"/>
                <w:sz w:val="20"/>
              </w:rPr>
              <w:t xml:space="preserve">) </w:t>
            </w:r>
            <w:r>
              <w:rPr>
                <w:rFonts w:asciiTheme="minorHAnsi" w:hAnsiTheme="minorHAnsi" w:cstheme="minorHAnsi"/>
                <w:sz w:val="20"/>
              </w:rPr>
              <w:t xml:space="preserve">and add </w:t>
            </w:r>
            <w:r w:rsidRPr="007F4B77">
              <w:rPr>
                <w:rFonts w:asciiTheme="minorHAnsi" w:hAnsiTheme="minorHAnsi" w:cstheme="minorHAnsi"/>
                <w:sz w:val="20"/>
              </w:rPr>
              <w:t>to 19 mL sodium chloride 0.9%</w:t>
            </w:r>
            <w:r>
              <w:rPr>
                <w:rFonts w:asciiTheme="minorHAnsi" w:hAnsiTheme="minorHAnsi" w:cstheme="minorHAnsi"/>
                <w:sz w:val="20"/>
              </w:rPr>
              <w:t xml:space="preserve"> or glucose 5%</w:t>
            </w:r>
            <w:r w:rsidRPr="007F4B77">
              <w:rPr>
                <w:rFonts w:asciiTheme="minorHAnsi" w:hAnsiTheme="minorHAnsi" w:cstheme="minorHAnsi"/>
                <w:sz w:val="20"/>
              </w:rPr>
              <w:t xml:space="preserve"> to make a final volume of 20 mL with a </w:t>
            </w:r>
            <w:r>
              <w:rPr>
                <w:rFonts w:asciiTheme="minorHAnsi" w:hAnsiTheme="minorHAnsi" w:cstheme="minorHAnsi"/>
                <w:sz w:val="20"/>
              </w:rPr>
              <w:t xml:space="preserve">final </w:t>
            </w:r>
            <w:r w:rsidRPr="007F4B77">
              <w:rPr>
                <w:rFonts w:asciiTheme="minorHAnsi" w:hAnsiTheme="minorHAnsi" w:cstheme="minorHAnsi"/>
                <w:sz w:val="20"/>
              </w:rPr>
              <w:t>concentration of 2 mg/mL.</w:t>
            </w:r>
          </w:p>
        </w:tc>
      </w:tr>
      <w:tr w:rsidRPr="003B78EA" w:rsidR="00155469" w:rsidTr="004C4A84" w14:paraId="2F14CC84" w14:textId="77777777">
        <w:trPr>
          <w:trHeight w:val="224"/>
        </w:trPr>
        <w:tc>
          <w:tcPr>
            <w:tcW w:w="1730" w:type="dxa"/>
          </w:tcPr>
          <w:p w:rsidRPr="003B78EA" w:rsidR="00155469" w:rsidP="00FE4186" w:rsidRDefault="00155469" w14:paraId="54A3C76F"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Administration                </w:t>
            </w:r>
          </w:p>
        </w:tc>
        <w:tc>
          <w:tcPr>
            <w:tcW w:w="7513" w:type="dxa"/>
            <w:vAlign w:val="center"/>
          </w:tcPr>
          <w:p w:rsidRPr="003B78EA" w:rsidR="00155469" w:rsidP="00FE4186" w:rsidRDefault="00155469" w14:paraId="2A26D70D" w14:textId="77777777">
            <w:pPr>
              <w:pStyle w:val="BodyText"/>
              <w:rPr>
                <w:rFonts w:asciiTheme="minorHAnsi" w:hAnsiTheme="minorHAnsi" w:cstheme="minorHAnsi"/>
                <w:sz w:val="20"/>
              </w:rPr>
            </w:pPr>
            <w:r w:rsidRPr="003B78EA">
              <w:rPr>
                <w:rFonts w:asciiTheme="minorHAnsi" w:hAnsiTheme="minorHAnsi" w:cstheme="minorHAnsi"/>
                <w:sz w:val="20"/>
              </w:rPr>
              <w:t>Infusion over 30 minutes</w:t>
            </w:r>
            <w:r>
              <w:rPr>
                <w:rFonts w:asciiTheme="minorHAnsi" w:hAnsiTheme="minorHAnsi" w:cstheme="minorHAnsi"/>
                <w:sz w:val="20"/>
              </w:rPr>
              <w:t xml:space="preserve"> (20-60 minutes)</w:t>
            </w:r>
            <w:r w:rsidRPr="003B78EA">
              <w:rPr>
                <w:rFonts w:asciiTheme="minorHAnsi" w:hAnsiTheme="minorHAnsi" w:cstheme="minorHAnsi"/>
                <w:sz w:val="20"/>
              </w:rPr>
              <w:t xml:space="preserve"> (</w:t>
            </w:r>
            <w:r>
              <w:rPr>
                <w:rFonts w:asciiTheme="minorHAnsi" w:hAnsiTheme="minorHAnsi" w:cstheme="minorHAnsi"/>
                <w:sz w:val="20"/>
              </w:rPr>
              <w:t>1,10,11)</w:t>
            </w:r>
          </w:p>
        </w:tc>
      </w:tr>
      <w:tr w:rsidRPr="003B78EA" w:rsidR="00155469" w:rsidTr="004C4A84" w14:paraId="79E50FA0" w14:textId="77777777">
        <w:trPr>
          <w:trHeight w:val="215"/>
        </w:trPr>
        <w:tc>
          <w:tcPr>
            <w:tcW w:w="1730" w:type="dxa"/>
          </w:tcPr>
          <w:p w:rsidRPr="003B78EA" w:rsidR="00155469" w:rsidP="00FE4186" w:rsidRDefault="00155469" w14:paraId="4BF69FAC"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Monitoring                              </w:t>
            </w:r>
          </w:p>
        </w:tc>
        <w:tc>
          <w:tcPr>
            <w:tcW w:w="7513" w:type="dxa"/>
          </w:tcPr>
          <w:p w:rsidR="00155469" w:rsidP="00FE4186" w:rsidRDefault="00155469" w14:paraId="4F585A68" w14:textId="77777777">
            <w:pPr>
              <w:pStyle w:val="BodyText"/>
              <w:rPr>
                <w:rFonts w:asciiTheme="minorHAnsi" w:hAnsiTheme="minorHAnsi" w:cstheme="minorHAnsi"/>
                <w:sz w:val="20"/>
              </w:rPr>
            </w:pPr>
            <w:r w:rsidRPr="003B78EA">
              <w:rPr>
                <w:rFonts w:asciiTheme="minorHAnsi" w:hAnsiTheme="minorHAnsi" w:cstheme="minorHAnsi"/>
                <w:sz w:val="20"/>
              </w:rPr>
              <w:t>Urine output, urine analysis, blood urea</w:t>
            </w:r>
            <w:r>
              <w:rPr>
                <w:rFonts w:asciiTheme="minorHAnsi" w:hAnsiTheme="minorHAnsi" w:cstheme="minorHAnsi"/>
                <w:sz w:val="20"/>
              </w:rPr>
              <w:t>,</w:t>
            </w:r>
            <w:r w:rsidRPr="003B78EA">
              <w:rPr>
                <w:rFonts w:asciiTheme="minorHAnsi" w:hAnsiTheme="minorHAnsi" w:cstheme="minorHAnsi"/>
                <w:sz w:val="20"/>
              </w:rPr>
              <w:t xml:space="preserve"> nitrogen and creatinine</w:t>
            </w:r>
          </w:p>
          <w:p w:rsidRPr="003B78EA" w:rsidR="00155469" w:rsidP="00FE4186" w:rsidRDefault="00155469" w14:paraId="0B912838" w14:textId="77777777">
            <w:pPr>
              <w:pStyle w:val="BodyText"/>
              <w:rPr>
                <w:rFonts w:asciiTheme="minorHAnsi" w:hAnsiTheme="minorHAnsi" w:cstheme="minorHAnsi"/>
                <w:sz w:val="20"/>
              </w:rPr>
            </w:pPr>
            <w:r>
              <w:rPr>
                <w:rFonts w:asciiTheme="minorHAnsi" w:hAnsiTheme="minorHAnsi" w:cstheme="minorHAnsi"/>
                <w:sz w:val="20"/>
              </w:rPr>
              <w:t>Anaphylaxis</w:t>
            </w:r>
          </w:p>
          <w:p w:rsidR="00155469" w:rsidP="00FE4186" w:rsidRDefault="00155469" w14:paraId="5AC0970D" w14:textId="77777777">
            <w:pPr>
              <w:pStyle w:val="BodyText"/>
              <w:rPr>
                <w:rFonts w:asciiTheme="minorHAnsi" w:hAnsiTheme="minorHAnsi" w:cstheme="minorHAnsi"/>
                <w:sz w:val="20"/>
              </w:rPr>
            </w:pPr>
            <w:r w:rsidRPr="003B78EA">
              <w:rPr>
                <w:rFonts w:asciiTheme="minorHAnsi" w:hAnsiTheme="minorHAnsi" w:cstheme="minorHAnsi"/>
                <w:sz w:val="20"/>
              </w:rPr>
              <w:t>Trough concentrations</w:t>
            </w:r>
            <w:r>
              <w:rPr>
                <w:rFonts w:asciiTheme="minorHAnsi" w:hAnsiTheme="minorHAnsi" w:cstheme="minorHAnsi"/>
                <w:sz w:val="20"/>
              </w:rPr>
              <w:t xml:space="preserve"> </w:t>
            </w:r>
            <w:r w:rsidRPr="003B78EA">
              <w:rPr>
                <w:rFonts w:asciiTheme="minorHAnsi" w:hAnsiTheme="minorHAnsi" w:cstheme="minorHAnsi"/>
                <w:sz w:val="20"/>
              </w:rPr>
              <w:t>– Target</w:t>
            </w:r>
            <w:r>
              <w:rPr>
                <w:rFonts w:asciiTheme="minorHAnsi" w:hAnsiTheme="minorHAnsi" w:cstheme="minorHAnsi"/>
                <w:sz w:val="20"/>
              </w:rPr>
              <w:t>ed</w:t>
            </w:r>
            <w:r w:rsidRPr="003B78EA">
              <w:rPr>
                <w:rFonts w:asciiTheme="minorHAnsi" w:hAnsiTheme="minorHAnsi" w:cstheme="minorHAnsi"/>
                <w:sz w:val="20"/>
              </w:rPr>
              <w:t xml:space="preserve"> &lt;2 mg/L (</w:t>
            </w:r>
            <w:r>
              <w:rPr>
                <w:rFonts w:asciiTheme="minorHAnsi" w:hAnsiTheme="minorHAnsi" w:cstheme="minorHAnsi"/>
                <w:sz w:val="20"/>
              </w:rPr>
              <w:t>1,10</w:t>
            </w:r>
            <w:r w:rsidRPr="003B78EA">
              <w:rPr>
                <w:rFonts w:asciiTheme="minorHAnsi" w:hAnsiTheme="minorHAnsi" w:cstheme="minorHAnsi"/>
                <w:sz w:val="20"/>
              </w:rPr>
              <w:t xml:space="preserve">). </w:t>
            </w:r>
          </w:p>
          <w:p w:rsidRPr="003B78EA" w:rsidR="00155469" w:rsidP="00FE4186" w:rsidRDefault="00155469" w14:paraId="296FBC18" w14:textId="77777777">
            <w:pPr>
              <w:pStyle w:val="BodyText"/>
              <w:rPr>
                <w:rFonts w:asciiTheme="minorHAnsi" w:hAnsiTheme="minorHAnsi" w:cstheme="minorHAnsi"/>
                <w:sz w:val="20"/>
              </w:rPr>
            </w:pPr>
            <w:r w:rsidRPr="006D38ED">
              <w:rPr>
                <w:rFonts w:asciiTheme="minorHAnsi" w:hAnsiTheme="minorHAnsi" w:cstheme="minorHAnsi"/>
                <w:i/>
                <w:sz w:val="20"/>
              </w:rPr>
              <w:t>Trough concentrations are not required routinely unless</w:t>
            </w:r>
            <w:r>
              <w:rPr>
                <w:rFonts w:asciiTheme="minorHAnsi" w:hAnsiTheme="minorHAnsi" w:cstheme="minorHAnsi"/>
                <w:sz w:val="20"/>
              </w:rPr>
              <w:t>:</w:t>
            </w:r>
            <w:r w:rsidRPr="003B78EA">
              <w:rPr>
                <w:rFonts w:asciiTheme="minorHAnsi" w:hAnsiTheme="minorHAnsi" w:cstheme="minorHAnsi"/>
                <w:sz w:val="20"/>
              </w:rPr>
              <w:t xml:space="preserve"> </w:t>
            </w:r>
          </w:p>
          <w:p w:rsidRPr="003B78EA" w:rsidR="00155469" w:rsidP="001B0E05" w:rsidRDefault="00155469" w14:paraId="3E8FAD8D" w14:textId="77777777">
            <w:pPr>
              <w:pStyle w:val="BodyText"/>
              <w:numPr>
                <w:ilvl w:val="0"/>
                <w:numId w:val="102"/>
              </w:numPr>
              <w:overflowPunct w:val="0"/>
              <w:autoSpaceDE w:val="0"/>
              <w:autoSpaceDN w:val="0"/>
              <w:adjustRightInd w:val="0"/>
              <w:ind w:left="572" w:hanging="283"/>
              <w:jc w:val="left"/>
              <w:textAlignment w:val="baseline"/>
              <w:rPr>
                <w:rFonts w:asciiTheme="minorHAnsi" w:hAnsiTheme="minorHAnsi" w:cstheme="minorHAnsi"/>
                <w:sz w:val="20"/>
              </w:rPr>
            </w:pPr>
            <w:r w:rsidRPr="003B78EA">
              <w:rPr>
                <w:rFonts w:asciiTheme="minorHAnsi" w:hAnsiTheme="minorHAnsi" w:cstheme="minorHAnsi"/>
                <w:sz w:val="20"/>
              </w:rPr>
              <w:t>duration of therapy</w:t>
            </w:r>
            <w:r>
              <w:rPr>
                <w:rFonts w:asciiTheme="minorHAnsi" w:hAnsiTheme="minorHAnsi" w:cstheme="minorHAnsi"/>
                <w:sz w:val="20"/>
              </w:rPr>
              <w:t xml:space="preserve"> is</w:t>
            </w:r>
            <w:r w:rsidRPr="003B78EA">
              <w:rPr>
                <w:rFonts w:asciiTheme="minorHAnsi" w:hAnsiTheme="minorHAnsi" w:cstheme="minorHAnsi"/>
                <w:sz w:val="20"/>
              </w:rPr>
              <w:t xml:space="preserve"> longer than 5 days</w:t>
            </w:r>
            <w:r>
              <w:rPr>
                <w:rFonts w:asciiTheme="minorHAnsi" w:hAnsiTheme="minorHAnsi" w:cstheme="minorHAnsi"/>
                <w:sz w:val="20"/>
              </w:rPr>
              <w:t xml:space="preserve"> –prior to dose on day 5 (10),</w:t>
            </w:r>
          </w:p>
          <w:p w:rsidR="00155469" w:rsidP="001B0E05" w:rsidRDefault="00155469" w14:paraId="2901C2FB" w14:textId="77777777">
            <w:pPr>
              <w:pStyle w:val="BodyText"/>
              <w:numPr>
                <w:ilvl w:val="0"/>
                <w:numId w:val="102"/>
              </w:numPr>
              <w:overflowPunct w:val="0"/>
              <w:autoSpaceDE w:val="0"/>
              <w:autoSpaceDN w:val="0"/>
              <w:adjustRightInd w:val="0"/>
              <w:ind w:left="572" w:hanging="283"/>
              <w:jc w:val="left"/>
              <w:textAlignment w:val="baseline"/>
              <w:rPr>
                <w:rFonts w:asciiTheme="minorHAnsi" w:hAnsiTheme="minorHAnsi" w:cstheme="minorHAnsi"/>
                <w:sz w:val="20"/>
              </w:rPr>
            </w:pPr>
            <w:r w:rsidRPr="00FC2624">
              <w:rPr>
                <w:rFonts w:asciiTheme="minorHAnsi" w:hAnsiTheme="minorHAnsi" w:cstheme="minorHAnsi"/>
                <w:sz w:val="20"/>
              </w:rPr>
              <w:t>renal impairment or perinatal hypoxia with Apgar &lt;5 at 5 minutes and/or concomitant use of nephrotoxic agents (</w:t>
            </w:r>
            <w:r>
              <w:rPr>
                <w:rFonts w:asciiTheme="minorHAnsi" w:hAnsiTheme="minorHAnsi" w:cstheme="minorHAnsi"/>
                <w:sz w:val="20"/>
              </w:rPr>
              <w:t>10)</w:t>
            </w:r>
            <w:r w:rsidRPr="00FC2624">
              <w:rPr>
                <w:rFonts w:asciiTheme="minorHAnsi" w:hAnsiTheme="minorHAnsi" w:cstheme="minorHAnsi"/>
                <w:sz w:val="20"/>
              </w:rPr>
              <w:t xml:space="preserve"> or therapeutic hypothermia (</w:t>
            </w:r>
            <w:r>
              <w:rPr>
                <w:rFonts w:asciiTheme="minorHAnsi" w:hAnsiTheme="minorHAnsi" w:cstheme="minorHAnsi"/>
                <w:sz w:val="20"/>
              </w:rPr>
              <w:t xml:space="preserve">10) - </w:t>
            </w:r>
            <w:r w:rsidRPr="00FC2624">
              <w:rPr>
                <w:rFonts w:asciiTheme="minorHAnsi" w:hAnsiTheme="minorHAnsi" w:cstheme="minorHAnsi"/>
                <w:sz w:val="20"/>
              </w:rPr>
              <w:t xml:space="preserve">prior to every </w:t>
            </w:r>
            <w:r w:rsidRPr="00DB291B">
              <w:rPr>
                <w:rFonts w:asciiTheme="minorHAnsi" w:hAnsiTheme="minorHAnsi" w:cstheme="minorHAnsi"/>
                <w:sz w:val="20"/>
              </w:rPr>
              <w:t>dose</w:t>
            </w:r>
            <w:r w:rsidRPr="00FC2624">
              <w:rPr>
                <w:rFonts w:asciiTheme="minorHAnsi" w:hAnsiTheme="minorHAnsi" w:cstheme="minorHAnsi"/>
                <w:sz w:val="20"/>
              </w:rPr>
              <w:t>.</w:t>
            </w:r>
          </w:p>
          <w:p w:rsidR="00155469" w:rsidP="00FE4186" w:rsidRDefault="00155469" w14:paraId="43A1D8F9" w14:textId="77777777">
            <w:pPr>
              <w:pStyle w:val="BodyText"/>
              <w:rPr>
                <w:rFonts w:asciiTheme="minorHAnsi" w:hAnsiTheme="minorHAnsi" w:cstheme="minorHAnsi"/>
                <w:sz w:val="20"/>
              </w:rPr>
            </w:pPr>
            <w:r>
              <w:rPr>
                <w:rFonts w:asciiTheme="minorHAnsi" w:hAnsiTheme="minorHAnsi" w:cstheme="minorHAnsi"/>
                <w:sz w:val="20"/>
              </w:rPr>
              <w:t xml:space="preserve">If trough concentration </w:t>
            </w:r>
            <w:r>
              <w:rPr>
                <w:rFonts w:cs="Calibri"/>
                <w:sz w:val="20"/>
              </w:rPr>
              <w:t>≥</w:t>
            </w:r>
            <w:r>
              <w:rPr>
                <w:rFonts w:asciiTheme="minorHAnsi" w:hAnsiTheme="minorHAnsi" w:cstheme="minorHAnsi"/>
                <w:sz w:val="20"/>
              </w:rPr>
              <w:t>2 mg/L (</w:t>
            </w:r>
            <w:r>
              <w:rPr>
                <w:rFonts w:cs="Calibri"/>
                <w:sz w:val="20"/>
              </w:rPr>
              <w:t>µ</w:t>
            </w:r>
            <w:r>
              <w:rPr>
                <w:rFonts w:asciiTheme="minorHAnsi" w:hAnsiTheme="minorHAnsi" w:cstheme="minorHAnsi"/>
                <w:sz w:val="20"/>
              </w:rPr>
              <w:t>g/mL), withhold the dose, repeat trough concentrations before the subsequent dosing and discuss with infectious disease specialist/clinical microbiologist for either extended dosing interval or alternate antibiotic.</w:t>
            </w:r>
          </w:p>
          <w:p w:rsidR="00155469" w:rsidP="00FE4186" w:rsidRDefault="00155469" w14:paraId="330D8E5E" w14:textId="77777777">
            <w:pPr>
              <w:pStyle w:val="BodyText"/>
              <w:rPr>
                <w:rFonts w:asciiTheme="minorHAnsi" w:hAnsiTheme="minorHAnsi" w:cstheme="minorHAnsi"/>
                <w:sz w:val="20"/>
              </w:rPr>
            </w:pPr>
          </w:p>
          <w:p w:rsidRPr="007F4B77" w:rsidR="00155469" w:rsidP="00FE4186" w:rsidRDefault="00155469" w14:paraId="2A1B71AF" w14:textId="77777777">
            <w:pPr>
              <w:pStyle w:val="BodyText"/>
              <w:rPr>
                <w:rFonts w:asciiTheme="minorHAnsi" w:hAnsiTheme="minorHAnsi" w:cstheme="minorHAnsi"/>
                <w:sz w:val="20"/>
              </w:rPr>
            </w:pPr>
            <w:r w:rsidRPr="003B78EA">
              <w:rPr>
                <w:rFonts w:asciiTheme="minorHAnsi" w:hAnsiTheme="minorHAnsi" w:cstheme="minorHAnsi"/>
                <w:sz w:val="20"/>
              </w:rPr>
              <w:lastRenderedPageBreak/>
              <w:t xml:space="preserve">Peak concentrations </w:t>
            </w:r>
            <w:r>
              <w:rPr>
                <w:rFonts w:asciiTheme="minorHAnsi" w:hAnsiTheme="minorHAnsi" w:cstheme="minorHAnsi"/>
                <w:sz w:val="20"/>
              </w:rPr>
              <w:t xml:space="preserve">– </w:t>
            </w:r>
            <w:r w:rsidRPr="00611426">
              <w:rPr>
                <w:rFonts w:asciiTheme="minorHAnsi" w:hAnsiTheme="minorHAnsi" w:cstheme="minorHAnsi"/>
                <w:sz w:val="20"/>
              </w:rPr>
              <w:t>Not required routinely. Target peak concentrations: 5-12 mg/L, to be measured 2 hours after the end of transfusion</w:t>
            </w:r>
            <w:r>
              <w:rPr>
                <w:rFonts w:asciiTheme="minorHAnsi" w:hAnsiTheme="minorHAnsi" w:cstheme="minorHAnsi"/>
                <w:sz w:val="20"/>
              </w:rPr>
              <w:t>.</w:t>
            </w:r>
            <w:r w:rsidRPr="00611426">
              <w:rPr>
                <w:rFonts w:asciiTheme="minorHAnsi" w:hAnsiTheme="minorHAnsi" w:cstheme="minorHAnsi"/>
                <w:sz w:val="20"/>
              </w:rPr>
              <w:t xml:space="preserve"> (</w:t>
            </w:r>
            <w:r>
              <w:rPr>
                <w:rFonts w:asciiTheme="minorHAnsi" w:hAnsiTheme="minorHAnsi" w:cstheme="minorHAnsi"/>
                <w:sz w:val="20"/>
              </w:rPr>
              <w:t>1)</w:t>
            </w:r>
          </w:p>
        </w:tc>
      </w:tr>
      <w:tr w:rsidRPr="003B78EA" w:rsidR="00155469" w:rsidTr="004C4A84" w14:paraId="05973FFF" w14:textId="77777777">
        <w:trPr>
          <w:trHeight w:val="342"/>
        </w:trPr>
        <w:tc>
          <w:tcPr>
            <w:tcW w:w="1730" w:type="dxa"/>
          </w:tcPr>
          <w:p w:rsidRPr="003B78EA" w:rsidR="00155469" w:rsidP="00FE4186" w:rsidRDefault="00155469" w14:paraId="63957126"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 xml:space="preserve">Contraindications                        </w:t>
            </w:r>
          </w:p>
        </w:tc>
        <w:tc>
          <w:tcPr>
            <w:tcW w:w="7513" w:type="dxa"/>
          </w:tcPr>
          <w:p w:rsidRPr="003B78EA" w:rsidR="00155469" w:rsidP="00FE4186" w:rsidRDefault="00155469" w14:paraId="77229ABD" w14:textId="77777777">
            <w:pPr>
              <w:pStyle w:val="BodyText"/>
              <w:rPr>
                <w:rFonts w:asciiTheme="minorHAnsi" w:hAnsiTheme="minorHAnsi" w:cstheme="minorHAnsi"/>
                <w:sz w:val="20"/>
              </w:rPr>
            </w:pPr>
            <w:r w:rsidRPr="003B78EA">
              <w:rPr>
                <w:rFonts w:asciiTheme="minorHAnsi" w:hAnsiTheme="minorHAnsi" w:cstheme="minorHAnsi"/>
                <w:sz w:val="20"/>
              </w:rPr>
              <w:t>Hypersensitivity to aminoglycosides</w:t>
            </w:r>
            <w:r>
              <w:rPr>
                <w:rFonts w:asciiTheme="minorHAnsi" w:hAnsiTheme="minorHAnsi" w:cstheme="minorHAnsi"/>
                <w:sz w:val="20"/>
              </w:rPr>
              <w:t>.</w:t>
            </w:r>
          </w:p>
        </w:tc>
      </w:tr>
      <w:tr w:rsidRPr="003B78EA" w:rsidR="00155469" w:rsidTr="004C4A84" w14:paraId="3779B36C" w14:textId="77777777">
        <w:tc>
          <w:tcPr>
            <w:tcW w:w="1730" w:type="dxa"/>
          </w:tcPr>
          <w:p w:rsidRPr="003B78EA" w:rsidR="00155469" w:rsidP="00FE4186" w:rsidRDefault="00155469" w14:paraId="167ECC84" w14:textId="77777777">
            <w:pPr>
              <w:pStyle w:val="BodyText"/>
              <w:rPr>
                <w:rFonts w:asciiTheme="minorHAnsi" w:hAnsiTheme="minorHAnsi" w:cstheme="minorHAnsi"/>
                <w:b/>
                <w:bCs/>
                <w:sz w:val="20"/>
              </w:rPr>
            </w:pPr>
            <w:r w:rsidRPr="003B78EA">
              <w:rPr>
                <w:rFonts w:asciiTheme="minorHAnsi" w:hAnsiTheme="minorHAnsi" w:cstheme="minorHAnsi"/>
                <w:sz w:val="20"/>
              </w:rPr>
              <w:br w:type="page"/>
            </w:r>
            <w:r w:rsidRPr="003B78EA">
              <w:rPr>
                <w:rFonts w:asciiTheme="minorHAnsi" w:hAnsiTheme="minorHAnsi" w:cstheme="minorHAnsi"/>
                <w:b/>
                <w:bCs/>
                <w:sz w:val="20"/>
              </w:rPr>
              <w:t>Precautions</w:t>
            </w:r>
          </w:p>
        </w:tc>
        <w:tc>
          <w:tcPr>
            <w:tcW w:w="7513" w:type="dxa"/>
          </w:tcPr>
          <w:p w:rsidRPr="003B78EA" w:rsidR="00155469" w:rsidP="00FE4186" w:rsidRDefault="00155469" w14:paraId="1978A43F" w14:textId="77777777">
            <w:pPr>
              <w:pStyle w:val="BodyText"/>
              <w:rPr>
                <w:rFonts w:asciiTheme="minorHAnsi" w:hAnsiTheme="minorHAnsi" w:cstheme="minorHAnsi"/>
                <w:sz w:val="20"/>
              </w:rPr>
            </w:pPr>
            <w:r w:rsidRPr="003B78EA">
              <w:rPr>
                <w:rFonts w:asciiTheme="minorHAnsi" w:hAnsiTheme="minorHAnsi" w:cstheme="minorHAnsi"/>
                <w:sz w:val="20"/>
              </w:rPr>
              <w:t>Renal impairment</w:t>
            </w:r>
          </w:p>
          <w:p w:rsidRPr="003B78EA" w:rsidR="00155469" w:rsidP="00FE4186" w:rsidRDefault="00155469" w14:paraId="4441B285" w14:textId="77777777">
            <w:pPr>
              <w:pStyle w:val="BodyText"/>
              <w:rPr>
                <w:rFonts w:asciiTheme="minorHAnsi" w:hAnsiTheme="minorHAnsi" w:cstheme="minorHAnsi"/>
                <w:sz w:val="20"/>
              </w:rPr>
            </w:pPr>
            <w:r w:rsidRPr="003B78EA">
              <w:rPr>
                <w:rFonts w:asciiTheme="minorHAnsi" w:hAnsiTheme="minorHAnsi" w:cstheme="minorHAnsi"/>
                <w:sz w:val="20"/>
              </w:rPr>
              <w:t>Auditory impairment</w:t>
            </w:r>
          </w:p>
          <w:p w:rsidRPr="003B78EA" w:rsidR="00155469" w:rsidP="00FE4186" w:rsidRDefault="00155469" w14:paraId="276A638C" w14:textId="77777777">
            <w:pPr>
              <w:pStyle w:val="BodyText"/>
              <w:rPr>
                <w:rFonts w:asciiTheme="minorHAnsi" w:hAnsiTheme="minorHAnsi" w:cstheme="minorHAnsi"/>
                <w:sz w:val="20"/>
              </w:rPr>
            </w:pPr>
            <w:r w:rsidRPr="003B78EA">
              <w:rPr>
                <w:rFonts w:asciiTheme="minorHAnsi" w:hAnsiTheme="minorHAnsi" w:cstheme="minorHAnsi"/>
                <w:sz w:val="20"/>
              </w:rPr>
              <w:t>Myasthenia gravis</w:t>
            </w:r>
            <w:r>
              <w:rPr>
                <w:rFonts w:asciiTheme="minorHAnsi" w:hAnsiTheme="minorHAnsi" w:cstheme="minorHAnsi"/>
                <w:sz w:val="20"/>
              </w:rPr>
              <w:t xml:space="preserve"> (maternal)</w:t>
            </w:r>
            <w:r w:rsidRPr="003B78EA">
              <w:rPr>
                <w:rFonts w:asciiTheme="minorHAnsi" w:hAnsiTheme="minorHAnsi" w:cstheme="minorHAnsi"/>
                <w:sz w:val="20"/>
              </w:rPr>
              <w:t xml:space="preserve"> and other conditions with neurotransmission depression – May cause </w:t>
            </w:r>
            <w:r>
              <w:rPr>
                <w:rFonts w:asciiTheme="minorHAnsi" w:hAnsiTheme="minorHAnsi" w:cstheme="minorHAnsi"/>
                <w:sz w:val="20"/>
              </w:rPr>
              <w:t xml:space="preserve">or prolong </w:t>
            </w:r>
            <w:r w:rsidRPr="003B78EA">
              <w:rPr>
                <w:rFonts w:asciiTheme="minorHAnsi" w:hAnsiTheme="minorHAnsi" w:cstheme="minorHAnsi"/>
                <w:sz w:val="20"/>
              </w:rPr>
              <w:t>neuromuscular blockade and respiratory paralysis</w:t>
            </w:r>
          </w:p>
        </w:tc>
      </w:tr>
      <w:tr w:rsidRPr="003B78EA" w:rsidR="00155469" w:rsidTr="004C4A84" w14:paraId="3DF52AAF" w14:textId="77777777">
        <w:trPr>
          <w:trHeight w:val="70"/>
        </w:trPr>
        <w:tc>
          <w:tcPr>
            <w:tcW w:w="1730" w:type="dxa"/>
          </w:tcPr>
          <w:p w:rsidRPr="003B78EA" w:rsidR="00155469" w:rsidP="00FE4186" w:rsidRDefault="00155469" w14:paraId="52E50D9A" w14:textId="77777777">
            <w:pPr>
              <w:pStyle w:val="BodyText"/>
              <w:rPr>
                <w:rFonts w:asciiTheme="minorHAnsi" w:hAnsiTheme="minorHAnsi" w:cstheme="minorHAnsi"/>
                <w:b/>
                <w:bCs/>
                <w:sz w:val="20"/>
              </w:rPr>
            </w:pPr>
            <w:r w:rsidRPr="003B78EA">
              <w:rPr>
                <w:rFonts w:asciiTheme="minorHAnsi" w:hAnsiTheme="minorHAnsi" w:cstheme="minorHAnsi"/>
                <w:b/>
                <w:bCs/>
                <w:sz w:val="20"/>
              </w:rPr>
              <w:t>Drug interactions</w:t>
            </w:r>
          </w:p>
        </w:tc>
        <w:tc>
          <w:tcPr>
            <w:tcW w:w="7513" w:type="dxa"/>
          </w:tcPr>
          <w:p w:rsidRPr="001E13E2" w:rsidR="00155469" w:rsidP="00FE4186" w:rsidRDefault="00155469" w14:paraId="38479ED8" w14:textId="77777777">
            <w:pPr>
              <w:pStyle w:val="BodyText"/>
              <w:rPr>
                <w:rFonts w:asciiTheme="minorHAnsi" w:hAnsiTheme="minorHAnsi" w:cstheme="minorHAnsi"/>
                <w:sz w:val="20"/>
              </w:rPr>
            </w:pPr>
            <w:r w:rsidRPr="001E13E2">
              <w:rPr>
                <w:rFonts w:asciiTheme="minorHAnsi" w:hAnsiTheme="minorHAnsi" w:cstheme="minorHAnsi"/>
                <w:sz w:val="20"/>
              </w:rPr>
              <w:t>Muscle relaxants and anaesthesia: May exacerbate neuromuscular blockade and respiratory paralysis.</w:t>
            </w:r>
          </w:p>
          <w:p w:rsidRPr="001E13E2" w:rsidR="00155469" w:rsidP="00FE4186" w:rsidRDefault="00155469" w14:paraId="2EA58C67" w14:textId="77777777">
            <w:pPr>
              <w:pStyle w:val="BodyText"/>
              <w:rPr>
                <w:rFonts w:asciiTheme="minorHAnsi" w:hAnsiTheme="minorHAnsi" w:cstheme="minorHAnsi"/>
                <w:sz w:val="20"/>
              </w:rPr>
            </w:pPr>
            <w:r w:rsidRPr="001E13E2">
              <w:rPr>
                <w:rFonts w:asciiTheme="minorHAnsi" w:hAnsiTheme="minorHAnsi" w:cstheme="minorHAnsi"/>
                <w:sz w:val="20"/>
              </w:rPr>
              <w:t>Potent diuretics: Do not give tobramycin in conjunction with ethacrynic acid, fu</w:t>
            </w:r>
            <w:r>
              <w:rPr>
                <w:rFonts w:asciiTheme="minorHAnsi" w:hAnsiTheme="minorHAnsi" w:cstheme="minorHAnsi"/>
                <w:sz w:val="20"/>
              </w:rPr>
              <w:t>ro</w:t>
            </w:r>
            <w:r w:rsidRPr="001E13E2">
              <w:rPr>
                <w:rFonts w:asciiTheme="minorHAnsi" w:hAnsiTheme="minorHAnsi" w:cstheme="minorHAnsi"/>
                <w:sz w:val="20"/>
              </w:rPr>
              <w:t>semide or other potent diuretics which may themselves cause ototoxicity or enhance aminoglycoside toxicity by altering antibiotic concentrations in serum and tissue.</w:t>
            </w:r>
          </w:p>
          <w:p w:rsidRPr="001E13E2" w:rsidR="00155469" w:rsidP="00FE4186" w:rsidRDefault="00155469" w14:paraId="20080D48" w14:textId="77777777">
            <w:pPr>
              <w:pStyle w:val="BodyText"/>
              <w:rPr>
                <w:rFonts w:asciiTheme="minorHAnsi" w:hAnsiTheme="minorHAnsi" w:cstheme="minorHAnsi"/>
                <w:sz w:val="20"/>
              </w:rPr>
            </w:pPr>
            <w:r w:rsidRPr="001E13E2">
              <w:rPr>
                <w:rFonts w:asciiTheme="minorHAnsi" w:hAnsiTheme="minorHAnsi" w:cstheme="minorHAnsi"/>
                <w:sz w:val="20"/>
              </w:rPr>
              <w:t>Other neurotoxic and/or nephrotoxic agents: Avoid concurrent or sequential use of neurotoxic and/or nephrotoxic antibiotics, particularly other aminoglycosides, amphotericin B, vancomycin, ibuprofen.</w:t>
            </w:r>
          </w:p>
          <w:p w:rsidRPr="003B78EA" w:rsidR="00155469" w:rsidP="00FE4186" w:rsidRDefault="00155469" w14:paraId="6FF25008" w14:textId="77777777">
            <w:pPr>
              <w:pStyle w:val="BodyText"/>
              <w:rPr>
                <w:rFonts w:asciiTheme="minorHAnsi" w:hAnsiTheme="minorHAnsi" w:cstheme="minorHAnsi"/>
                <w:sz w:val="20"/>
              </w:rPr>
            </w:pPr>
            <w:r w:rsidRPr="001E13E2">
              <w:rPr>
                <w:rFonts w:asciiTheme="minorHAnsi" w:hAnsiTheme="minorHAnsi" w:cstheme="minorHAnsi"/>
                <w:sz w:val="20"/>
              </w:rPr>
              <w:t>Penicillins and cephalosporins: Aminoglycosides may be inactivated by solutions containing penicillin and cephalosporin antibiotics. Where feasible, give at separate sites or separate the administration time of the antibiotics. If this is not possible, flush the line well before and after giving each antibiotic. In renal impairment separate the administration of the antibiotics for the longest duration that is practical.</w:t>
            </w:r>
          </w:p>
        </w:tc>
      </w:tr>
      <w:tr w:rsidRPr="003B78EA" w:rsidR="00155469" w:rsidTr="004C4A84" w14:paraId="396EB16D" w14:textId="77777777">
        <w:trPr>
          <w:trHeight w:val="332"/>
        </w:trPr>
        <w:tc>
          <w:tcPr>
            <w:tcW w:w="1730" w:type="dxa"/>
          </w:tcPr>
          <w:p w:rsidRPr="003B78EA" w:rsidR="00155469" w:rsidP="00FE4186" w:rsidRDefault="00155469" w14:paraId="01734515"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Adverse reactions         </w:t>
            </w:r>
          </w:p>
        </w:tc>
        <w:tc>
          <w:tcPr>
            <w:tcW w:w="7513" w:type="dxa"/>
          </w:tcPr>
          <w:p w:rsidRPr="003B78EA" w:rsidR="00155469" w:rsidP="00FE4186" w:rsidRDefault="00155469" w14:paraId="3E2DF160" w14:textId="77777777">
            <w:pPr>
              <w:pStyle w:val="BodyText"/>
              <w:rPr>
                <w:rFonts w:asciiTheme="minorHAnsi" w:hAnsiTheme="minorHAnsi" w:cstheme="minorHAnsi"/>
                <w:sz w:val="20"/>
              </w:rPr>
            </w:pPr>
            <w:r w:rsidRPr="003B78EA">
              <w:rPr>
                <w:rFonts w:asciiTheme="minorHAnsi" w:hAnsiTheme="minorHAnsi" w:cstheme="minorHAnsi"/>
                <w:sz w:val="20"/>
              </w:rPr>
              <w:t>Renal: Increased blood urea nitrogen, increased serum creatinine, oliguria</w:t>
            </w:r>
            <w:r>
              <w:rPr>
                <w:rFonts w:asciiTheme="minorHAnsi" w:hAnsiTheme="minorHAnsi" w:cstheme="minorHAnsi"/>
                <w:sz w:val="20"/>
              </w:rPr>
              <w:t>, nephrotoxicity</w:t>
            </w:r>
          </w:p>
          <w:p w:rsidRPr="003B78EA" w:rsidR="00155469" w:rsidP="00FE4186" w:rsidRDefault="00155469" w14:paraId="0391B2F1" w14:textId="77777777">
            <w:pPr>
              <w:pStyle w:val="BodyText"/>
              <w:rPr>
                <w:rFonts w:asciiTheme="minorHAnsi" w:hAnsiTheme="minorHAnsi" w:cstheme="minorHAnsi"/>
                <w:sz w:val="20"/>
              </w:rPr>
            </w:pPr>
            <w:r w:rsidRPr="003B78EA">
              <w:rPr>
                <w:rFonts w:asciiTheme="minorHAnsi" w:hAnsiTheme="minorHAnsi" w:cstheme="minorHAnsi"/>
                <w:sz w:val="20"/>
              </w:rPr>
              <w:t xml:space="preserve">Ototoxicity: </w:t>
            </w:r>
            <w:r>
              <w:rPr>
                <w:rFonts w:asciiTheme="minorHAnsi" w:hAnsiTheme="minorHAnsi" w:cstheme="minorHAnsi"/>
                <w:sz w:val="20"/>
              </w:rPr>
              <w:t>A</w:t>
            </w:r>
            <w:r w:rsidRPr="003B78EA">
              <w:rPr>
                <w:rFonts w:asciiTheme="minorHAnsi" w:hAnsiTheme="minorHAnsi" w:cstheme="minorHAnsi"/>
                <w:sz w:val="20"/>
              </w:rPr>
              <w:t>uditory and vestibular impairment</w:t>
            </w:r>
            <w:r>
              <w:rPr>
                <w:rFonts w:asciiTheme="minorHAnsi" w:hAnsiTheme="minorHAnsi" w:cstheme="minorHAnsi"/>
                <w:sz w:val="20"/>
              </w:rPr>
              <w:t>, h</w:t>
            </w:r>
            <w:r w:rsidRPr="003B78EA">
              <w:rPr>
                <w:rFonts w:asciiTheme="minorHAnsi" w:hAnsiTheme="minorHAnsi" w:cstheme="minorHAnsi"/>
                <w:sz w:val="20"/>
              </w:rPr>
              <w:t>earing loss.</w:t>
            </w:r>
          </w:p>
          <w:p w:rsidRPr="003B78EA" w:rsidR="00155469" w:rsidP="00FE4186" w:rsidRDefault="00155469" w14:paraId="078A75EF" w14:textId="77777777">
            <w:pPr>
              <w:pStyle w:val="BodyText"/>
              <w:rPr>
                <w:rFonts w:asciiTheme="minorHAnsi" w:hAnsiTheme="minorHAnsi" w:cstheme="minorHAnsi"/>
                <w:sz w:val="20"/>
              </w:rPr>
            </w:pPr>
            <w:r w:rsidRPr="003B78EA">
              <w:rPr>
                <w:rFonts w:asciiTheme="minorHAnsi" w:hAnsiTheme="minorHAnsi" w:cstheme="minorHAnsi"/>
                <w:sz w:val="20"/>
              </w:rPr>
              <w:t>Endocrine: Decreased serum calcium, magnesium, potassium</w:t>
            </w:r>
            <w:r>
              <w:rPr>
                <w:rFonts w:asciiTheme="minorHAnsi" w:hAnsiTheme="minorHAnsi" w:cstheme="minorHAnsi"/>
                <w:sz w:val="20"/>
              </w:rPr>
              <w:t xml:space="preserve"> and</w:t>
            </w:r>
            <w:r w:rsidRPr="003B78EA">
              <w:rPr>
                <w:rFonts w:asciiTheme="minorHAnsi" w:hAnsiTheme="minorHAnsi" w:cstheme="minorHAnsi"/>
                <w:sz w:val="20"/>
              </w:rPr>
              <w:t xml:space="preserve"> sodium</w:t>
            </w:r>
          </w:p>
          <w:p w:rsidRPr="003B78EA" w:rsidR="00155469" w:rsidP="00FE4186" w:rsidRDefault="00155469" w14:paraId="65DB1602" w14:textId="77777777">
            <w:pPr>
              <w:pStyle w:val="BodyText"/>
              <w:rPr>
                <w:rFonts w:asciiTheme="minorHAnsi" w:hAnsiTheme="minorHAnsi" w:cstheme="minorHAnsi"/>
                <w:sz w:val="20"/>
              </w:rPr>
            </w:pPr>
            <w:r w:rsidRPr="003B78EA">
              <w:rPr>
                <w:rFonts w:asciiTheme="minorHAnsi" w:hAnsiTheme="minorHAnsi" w:cstheme="minorHAnsi"/>
                <w:sz w:val="20"/>
              </w:rPr>
              <w:t xml:space="preserve">Dermatologic: </w:t>
            </w:r>
            <w:r>
              <w:rPr>
                <w:rFonts w:asciiTheme="minorHAnsi" w:hAnsiTheme="minorHAnsi" w:cstheme="minorHAnsi"/>
                <w:sz w:val="20"/>
              </w:rPr>
              <w:t>D</w:t>
            </w:r>
            <w:r w:rsidRPr="003B78EA">
              <w:rPr>
                <w:rFonts w:asciiTheme="minorHAnsi" w:hAnsiTheme="minorHAnsi" w:cstheme="minorHAnsi"/>
                <w:sz w:val="20"/>
              </w:rPr>
              <w:t>ermatitis, rash, urticarial</w:t>
            </w:r>
          </w:p>
          <w:p w:rsidRPr="003B78EA" w:rsidR="00155469" w:rsidP="00FE4186" w:rsidRDefault="00155469" w14:paraId="20E82FCF" w14:textId="77777777">
            <w:pPr>
              <w:pStyle w:val="BodyText"/>
              <w:rPr>
                <w:rFonts w:asciiTheme="minorHAnsi" w:hAnsiTheme="minorHAnsi" w:cstheme="minorHAnsi"/>
                <w:sz w:val="20"/>
              </w:rPr>
            </w:pPr>
            <w:r w:rsidRPr="003B78EA">
              <w:rPr>
                <w:rFonts w:asciiTheme="minorHAnsi" w:hAnsiTheme="minorHAnsi" w:cstheme="minorHAnsi"/>
                <w:sz w:val="20"/>
              </w:rPr>
              <w:t xml:space="preserve">Central nervous system: </w:t>
            </w:r>
            <w:r>
              <w:rPr>
                <w:rFonts w:asciiTheme="minorHAnsi" w:hAnsiTheme="minorHAnsi" w:cstheme="minorHAnsi"/>
                <w:sz w:val="20"/>
              </w:rPr>
              <w:t>L</w:t>
            </w:r>
            <w:r w:rsidRPr="003B78EA">
              <w:rPr>
                <w:rFonts w:asciiTheme="minorHAnsi" w:hAnsiTheme="minorHAnsi" w:cstheme="minorHAnsi"/>
                <w:sz w:val="20"/>
              </w:rPr>
              <w:t>ethargy</w:t>
            </w:r>
          </w:p>
          <w:p w:rsidRPr="003B78EA" w:rsidR="00155469" w:rsidP="00FE4186" w:rsidRDefault="00155469" w14:paraId="067ECCF4" w14:textId="77777777">
            <w:pPr>
              <w:pStyle w:val="BodyText"/>
              <w:rPr>
                <w:rFonts w:asciiTheme="minorHAnsi" w:hAnsiTheme="minorHAnsi" w:cstheme="minorHAnsi"/>
                <w:sz w:val="20"/>
              </w:rPr>
            </w:pPr>
            <w:r w:rsidRPr="003B78EA">
              <w:rPr>
                <w:rFonts w:asciiTheme="minorHAnsi" w:hAnsiTheme="minorHAnsi" w:cstheme="minorHAnsi"/>
                <w:sz w:val="20"/>
              </w:rPr>
              <w:t>Haematologic: Anaemia, leucocytosis, leukocytope</w:t>
            </w:r>
            <w:r>
              <w:rPr>
                <w:rFonts w:asciiTheme="minorHAnsi" w:hAnsiTheme="minorHAnsi" w:cstheme="minorHAnsi"/>
                <w:sz w:val="20"/>
              </w:rPr>
              <w:t>n</w:t>
            </w:r>
            <w:r w:rsidRPr="003B78EA">
              <w:rPr>
                <w:rFonts w:asciiTheme="minorHAnsi" w:hAnsiTheme="minorHAnsi" w:cstheme="minorHAnsi"/>
                <w:sz w:val="20"/>
              </w:rPr>
              <w:t>ia, thrombocytopenia</w:t>
            </w:r>
          </w:p>
          <w:p w:rsidRPr="003B78EA" w:rsidR="00155469" w:rsidP="00FE4186" w:rsidRDefault="00155469" w14:paraId="49895B52" w14:textId="77777777">
            <w:pPr>
              <w:pStyle w:val="BodyText"/>
              <w:rPr>
                <w:rFonts w:asciiTheme="minorHAnsi" w:hAnsiTheme="minorHAnsi" w:cstheme="minorHAnsi"/>
                <w:sz w:val="20"/>
              </w:rPr>
            </w:pPr>
            <w:r w:rsidRPr="003B78EA">
              <w:rPr>
                <w:rFonts w:asciiTheme="minorHAnsi" w:hAnsiTheme="minorHAnsi" w:cstheme="minorHAnsi"/>
                <w:sz w:val="20"/>
              </w:rPr>
              <w:t>Gastrointestinal: Diarrh</w:t>
            </w:r>
            <w:r>
              <w:rPr>
                <w:rFonts w:asciiTheme="minorHAnsi" w:hAnsiTheme="minorHAnsi" w:cstheme="minorHAnsi"/>
                <w:sz w:val="20"/>
              </w:rPr>
              <w:t>o</w:t>
            </w:r>
            <w:r w:rsidRPr="003B78EA">
              <w:rPr>
                <w:rFonts w:asciiTheme="minorHAnsi" w:hAnsiTheme="minorHAnsi" w:cstheme="minorHAnsi"/>
                <w:sz w:val="20"/>
              </w:rPr>
              <w:t>ea, vomiting</w:t>
            </w:r>
          </w:p>
          <w:p w:rsidRPr="003B78EA" w:rsidR="00155469" w:rsidP="00FE4186" w:rsidRDefault="00155469" w14:paraId="358138D9" w14:textId="77777777">
            <w:pPr>
              <w:pStyle w:val="BodyText"/>
              <w:rPr>
                <w:rFonts w:asciiTheme="minorHAnsi" w:hAnsiTheme="minorHAnsi" w:cstheme="minorHAnsi"/>
                <w:sz w:val="20"/>
              </w:rPr>
            </w:pPr>
            <w:r w:rsidRPr="003B78EA">
              <w:rPr>
                <w:rFonts w:asciiTheme="minorHAnsi" w:hAnsiTheme="minorHAnsi" w:cstheme="minorHAnsi"/>
                <w:sz w:val="20"/>
              </w:rPr>
              <w:t xml:space="preserve">Local: Pain at injection site. </w:t>
            </w:r>
          </w:p>
        </w:tc>
      </w:tr>
      <w:tr w:rsidRPr="003B78EA" w:rsidR="00155469" w:rsidTr="004C4A84" w14:paraId="0ABBC14B" w14:textId="77777777">
        <w:trPr>
          <w:trHeight w:val="180"/>
        </w:trPr>
        <w:tc>
          <w:tcPr>
            <w:tcW w:w="1730" w:type="dxa"/>
          </w:tcPr>
          <w:p w:rsidRPr="003B78EA" w:rsidR="00155469" w:rsidP="00FE4186" w:rsidRDefault="00155469" w14:paraId="66997F35" w14:textId="77777777">
            <w:pPr>
              <w:pStyle w:val="BodyText"/>
              <w:rPr>
                <w:rFonts w:asciiTheme="minorHAnsi" w:hAnsiTheme="minorHAnsi" w:cstheme="minorHAnsi"/>
                <w:b/>
                <w:bCs/>
                <w:sz w:val="20"/>
              </w:rPr>
            </w:pPr>
            <w:r w:rsidRPr="003B78EA">
              <w:rPr>
                <w:rFonts w:asciiTheme="minorHAnsi" w:hAnsiTheme="minorHAnsi" w:cstheme="minorHAnsi"/>
                <w:b/>
                <w:bCs/>
                <w:sz w:val="20"/>
              </w:rPr>
              <w:t>Compatibility</w:t>
            </w:r>
          </w:p>
        </w:tc>
        <w:tc>
          <w:tcPr>
            <w:tcW w:w="7513" w:type="dxa"/>
          </w:tcPr>
          <w:p w:rsidRPr="001E13E2" w:rsidR="00155469" w:rsidP="00FE4186" w:rsidRDefault="00155469" w14:paraId="29B20193" w14:textId="77777777">
            <w:pPr>
              <w:pStyle w:val="BodyText"/>
              <w:rPr>
                <w:rFonts w:asciiTheme="minorHAnsi" w:hAnsiTheme="minorHAnsi" w:cstheme="minorHAnsi"/>
                <w:sz w:val="20"/>
              </w:rPr>
            </w:pPr>
            <w:r w:rsidRPr="001E13E2">
              <w:rPr>
                <w:rFonts w:asciiTheme="minorHAnsi" w:hAnsiTheme="minorHAnsi" w:cstheme="minorHAnsi"/>
                <w:sz w:val="20"/>
              </w:rPr>
              <w:t>Fluids: Glucose 5%, glucose 10%, Hartmann’s, mannitol, Ringer’s, sodium chloride 0.9%, glucose in sodium chloride solutions.</w:t>
            </w:r>
          </w:p>
          <w:p w:rsidRPr="003B78EA" w:rsidR="00155469" w:rsidP="00FE4186" w:rsidRDefault="00155469" w14:paraId="2CF33EC4" w14:textId="77777777">
            <w:pPr>
              <w:pStyle w:val="BodyText"/>
              <w:rPr>
                <w:rFonts w:asciiTheme="minorHAnsi" w:hAnsiTheme="minorHAnsi" w:cstheme="minorHAnsi"/>
                <w:sz w:val="20"/>
              </w:rPr>
            </w:pPr>
            <w:r w:rsidRPr="001E13E2">
              <w:rPr>
                <w:rFonts w:asciiTheme="minorHAnsi" w:hAnsiTheme="minorHAnsi" w:cstheme="minorHAnsi"/>
                <w:sz w:val="20"/>
              </w:rPr>
              <w:t>Y-site: Aciclovir, calcium chloride, calcium gluconate,  ciprofloxacin, dobutamine, dopamine, fluconazole, furosemide (frusemide), adrenaline (epinephrine), linezolid, magnesium sulfate, metronidazole, morphine sulfate, noradrenaline (norepinephrine), sodium bicarbonate, vecuronium, zidovudine</w:t>
            </w:r>
          </w:p>
        </w:tc>
      </w:tr>
      <w:tr w:rsidRPr="003B78EA" w:rsidR="00155469" w:rsidTr="004C4A84" w14:paraId="161AF4E7" w14:textId="77777777">
        <w:trPr>
          <w:trHeight w:val="230"/>
        </w:trPr>
        <w:tc>
          <w:tcPr>
            <w:tcW w:w="1730" w:type="dxa"/>
          </w:tcPr>
          <w:p w:rsidRPr="003B78EA" w:rsidR="00155469" w:rsidP="00FE4186" w:rsidRDefault="00155469" w14:paraId="5FF316C9" w14:textId="77777777">
            <w:pPr>
              <w:pStyle w:val="BodyText"/>
              <w:rPr>
                <w:rFonts w:asciiTheme="minorHAnsi" w:hAnsiTheme="minorHAnsi" w:cstheme="minorHAnsi"/>
                <w:b/>
                <w:bCs/>
                <w:sz w:val="20"/>
              </w:rPr>
            </w:pPr>
            <w:r w:rsidRPr="003B78EA">
              <w:rPr>
                <w:rFonts w:asciiTheme="minorHAnsi" w:hAnsiTheme="minorHAnsi" w:cstheme="minorHAnsi"/>
                <w:b/>
                <w:bCs/>
                <w:sz w:val="20"/>
              </w:rPr>
              <w:t>Incompatibility</w:t>
            </w:r>
          </w:p>
        </w:tc>
        <w:tc>
          <w:tcPr>
            <w:tcW w:w="7513" w:type="dxa"/>
          </w:tcPr>
          <w:p w:rsidRPr="003B78EA" w:rsidR="00155469" w:rsidP="00FE4186" w:rsidRDefault="00155469" w14:paraId="0BBE143C" w14:textId="77777777">
            <w:pPr>
              <w:pStyle w:val="BodyText"/>
              <w:rPr>
                <w:rFonts w:asciiTheme="minorHAnsi" w:hAnsiTheme="minorHAnsi" w:cstheme="minorHAnsi"/>
                <w:sz w:val="20"/>
              </w:rPr>
            </w:pPr>
            <w:r w:rsidRPr="001E13E2">
              <w:rPr>
                <w:rFonts w:asciiTheme="minorHAnsi" w:hAnsiTheme="minorHAnsi" w:cstheme="minorHAnsi"/>
                <w:sz w:val="20"/>
              </w:rPr>
              <w:t>Penicillins and cephalosporins, allopurinol, amphotericin (all formulations), azathioprine, azithromycin, clindamycin, dexamethasone, diazepam, diazoxide, folic acid, heparin sodium, indomethacin, lansoprazole, pantoprazole, pentamidine, phenytoin, piperacillin/tazobactam, propofol,  sulfamethoxazole/trimethoprim</w:t>
            </w:r>
          </w:p>
        </w:tc>
      </w:tr>
      <w:tr w:rsidRPr="003B78EA" w:rsidR="00155469" w:rsidTr="004C4A84" w14:paraId="348724F4" w14:textId="77777777">
        <w:trPr>
          <w:trHeight w:val="79"/>
        </w:trPr>
        <w:tc>
          <w:tcPr>
            <w:tcW w:w="1730" w:type="dxa"/>
          </w:tcPr>
          <w:p w:rsidRPr="003B78EA" w:rsidR="00155469" w:rsidP="00FE4186" w:rsidRDefault="00155469" w14:paraId="2331F0C0"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Stability   </w:t>
            </w:r>
          </w:p>
        </w:tc>
        <w:tc>
          <w:tcPr>
            <w:tcW w:w="7513" w:type="dxa"/>
          </w:tcPr>
          <w:p w:rsidRPr="003B78EA" w:rsidR="00155469" w:rsidP="00FE4186" w:rsidRDefault="00155469" w14:paraId="4DEDBD62" w14:textId="77777777">
            <w:pPr>
              <w:pStyle w:val="BodyText"/>
              <w:rPr>
                <w:rFonts w:asciiTheme="minorHAnsi" w:hAnsiTheme="minorHAnsi" w:cstheme="minorHAnsi"/>
                <w:sz w:val="20"/>
              </w:rPr>
            </w:pPr>
            <w:r w:rsidRPr="00CE2C4B">
              <w:rPr>
                <w:rFonts w:asciiTheme="minorHAnsi" w:hAnsiTheme="minorHAnsi" w:cstheme="minorHAnsi"/>
                <w:sz w:val="20"/>
              </w:rPr>
              <w:t>Administer immediately, discard unused portion.</w:t>
            </w:r>
          </w:p>
        </w:tc>
      </w:tr>
      <w:tr w:rsidRPr="003B78EA" w:rsidR="00155469" w:rsidTr="004C4A84" w14:paraId="5D888588" w14:textId="77777777">
        <w:trPr>
          <w:trHeight w:val="70"/>
        </w:trPr>
        <w:tc>
          <w:tcPr>
            <w:tcW w:w="1730" w:type="dxa"/>
          </w:tcPr>
          <w:p w:rsidRPr="003B78EA" w:rsidR="00155469" w:rsidP="00FE4186" w:rsidRDefault="00155469" w14:paraId="3FA18200"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Storage             </w:t>
            </w:r>
          </w:p>
        </w:tc>
        <w:tc>
          <w:tcPr>
            <w:tcW w:w="7513" w:type="dxa"/>
          </w:tcPr>
          <w:p w:rsidR="00155469" w:rsidP="00FE4186" w:rsidRDefault="00155469" w14:paraId="32052047" w14:textId="77777777">
            <w:pPr>
              <w:pStyle w:val="BodyText"/>
              <w:rPr>
                <w:rFonts w:asciiTheme="minorHAnsi" w:hAnsiTheme="minorHAnsi" w:cstheme="minorHAnsi"/>
                <w:sz w:val="20"/>
              </w:rPr>
            </w:pPr>
            <w:r>
              <w:rPr>
                <w:rFonts w:asciiTheme="minorHAnsi" w:hAnsiTheme="minorHAnsi" w:cstheme="minorHAnsi"/>
                <w:sz w:val="20"/>
              </w:rPr>
              <w:t>Tobramycin-PF and Tobra-Day: Refrigerate at 2-8</w:t>
            </w:r>
            <w:r>
              <w:rPr>
                <w:rFonts w:cs="Calibri"/>
                <w:sz w:val="20"/>
              </w:rPr>
              <w:t>°</w:t>
            </w:r>
            <w:r>
              <w:rPr>
                <w:rFonts w:asciiTheme="minorHAnsi" w:hAnsiTheme="minorHAnsi" w:cstheme="minorHAnsi"/>
                <w:sz w:val="20"/>
              </w:rPr>
              <w:t>C. Protect from light</w:t>
            </w:r>
          </w:p>
          <w:p w:rsidRPr="003B78EA" w:rsidR="00155469" w:rsidP="00FE4186" w:rsidRDefault="00155469" w14:paraId="09B41B50" w14:textId="77777777">
            <w:pPr>
              <w:pStyle w:val="BodyText"/>
              <w:rPr>
                <w:rFonts w:asciiTheme="minorHAnsi" w:hAnsiTheme="minorHAnsi" w:cstheme="minorHAnsi"/>
                <w:sz w:val="20"/>
              </w:rPr>
            </w:pPr>
            <w:r>
              <w:rPr>
                <w:rFonts w:asciiTheme="minorHAnsi" w:hAnsiTheme="minorHAnsi" w:cstheme="minorHAnsi"/>
                <w:sz w:val="20"/>
              </w:rPr>
              <w:t>All other brands: Store at room temperature below 25</w:t>
            </w:r>
            <w:r>
              <w:rPr>
                <w:rFonts w:cs="Calibri"/>
                <w:sz w:val="20"/>
              </w:rPr>
              <w:t>°</w:t>
            </w:r>
            <w:r>
              <w:rPr>
                <w:rFonts w:asciiTheme="minorHAnsi" w:hAnsiTheme="minorHAnsi" w:cstheme="minorHAnsi"/>
                <w:sz w:val="20"/>
              </w:rPr>
              <w:t>C. Protect from light.</w:t>
            </w:r>
          </w:p>
        </w:tc>
      </w:tr>
      <w:tr w:rsidRPr="003B78EA" w:rsidR="00155469" w:rsidTr="004C4A84" w14:paraId="66F888F3" w14:textId="77777777">
        <w:trPr>
          <w:trHeight w:val="70"/>
        </w:trPr>
        <w:tc>
          <w:tcPr>
            <w:tcW w:w="1730" w:type="dxa"/>
          </w:tcPr>
          <w:p w:rsidRPr="003B78EA" w:rsidR="00155469" w:rsidP="00FE4186" w:rsidRDefault="00155469" w14:paraId="59779875" w14:textId="77777777">
            <w:pPr>
              <w:pStyle w:val="BodyText"/>
              <w:rPr>
                <w:rFonts w:asciiTheme="minorHAnsi" w:hAnsiTheme="minorHAnsi" w:cstheme="minorHAnsi"/>
                <w:b/>
                <w:bCs/>
                <w:sz w:val="20"/>
              </w:rPr>
            </w:pPr>
            <w:r w:rsidRPr="003B78EA">
              <w:rPr>
                <w:rFonts w:asciiTheme="minorHAnsi" w:hAnsiTheme="minorHAnsi" w:cstheme="minorHAnsi"/>
                <w:b/>
                <w:bCs/>
                <w:sz w:val="20"/>
              </w:rPr>
              <w:t>Excipients</w:t>
            </w:r>
          </w:p>
        </w:tc>
        <w:tc>
          <w:tcPr>
            <w:tcW w:w="7513" w:type="dxa"/>
          </w:tcPr>
          <w:p w:rsidRPr="00711ED5" w:rsidR="00155469" w:rsidP="00FE4186" w:rsidRDefault="00155469" w14:paraId="5C20A97A" w14:textId="77777777">
            <w:pPr>
              <w:pStyle w:val="BodyText"/>
              <w:rPr>
                <w:rFonts w:asciiTheme="minorHAnsi" w:hAnsiTheme="minorHAnsi" w:cstheme="minorHAnsi"/>
                <w:sz w:val="20"/>
              </w:rPr>
            </w:pPr>
            <w:r w:rsidRPr="00711ED5">
              <w:rPr>
                <w:rFonts w:asciiTheme="minorHAnsi" w:hAnsiTheme="minorHAnsi" w:cstheme="minorHAnsi"/>
                <w:sz w:val="20"/>
              </w:rPr>
              <w:t>Tobramyci</w:t>
            </w:r>
            <w:r>
              <w:rPr>
                <w:rFonts w:asciiTheme="minorHAnsi" w:hAnsiTheme="minorHAnsi" w:cstheme="minorHAnsi"/>
                <w:sz w:val="20"/>
              </w:rPr>
              <w:t>n-PF: Disodium edetate.</w:t>
            </w:r>
          </w:p>
          <w:p w:rsidR="00155469" w:rsidP="00FE4186" w:rsidRDefault="00155469" w14:paraId="6C129984" w14:textId="77777777">
            <w:pPr>
              <w:pStyle w:val="BodyText"/>
              <w:rPr>
                <w:rFonts w:asciiTheme="minorHAnsi" w:hAnsiTheme="minorHAnsi" w:cstheme="minorHAnsi"/>
                <w:sz w:val="20"/>
              </w:rPr>
            </w:pPr>
            <w:r>
              <w:rPr>
                <w:rFonts w:asciiTheme="minorHAnsi" w:hAnsiTheme="minorHAnsi" w:cstheme="minorHAnsi"/>
                <w:sz w:val="20"/>
              </w:rPr>
              <w:t>DBL: S</w:t>
            </w:r>
            <w:r w:rsidRPr="00711ED5">
              <w:rPr>
                <w:rFonts w:asciiTheme="minorHAnsi" w:hAnsiTheme="minorHAnsi" w:cstheme="minorHAnsi"/>
                <w:sz w:val="20"/>
              </w:rPr>
              <w:t xml:space="preserve">odium metabisulfite, disodium edetate, sulfuric acid and/or sodium hydroxide. </w:t>
            </w:r>
          </w:p>
          <w:p w:rsidRPr="00711ED5" w:rsidR="00155469" w:rsidP="00FE4186" w:rsidRDefault="00155469" w14:paraId="209841E2" w14:textId="77777777">
            <w:pPr>
              <w:pStyle w:val="BodyText"/>
              <w:rPr>
                <w:rFonts w:asciiTheme="minorHAnsi" w:hAnsiTheme="minorHAnsi" w:cstheme="minorHAnsi"/>
                <w:sz w:val="20"/>
              </w:rPr>
            </w:pPr>
            <w:r w:rsidRPr="00711ED5">
              <w:rPr>
                <w:rFonts w:asciiTheme="minorHAnsi" w:hAnsiTheme="minorHAnsi" w:cstheme="minorHAnsi"/>
                <w:sz w:val="20"/>
              </w:rPr>
              <w:t>Pfize</w:t>
            </w:r>
            <w:r>
              <w:rPr>
                <w:rFonts w:asciiTheme="minorHAnsi" w:hAnsiTheme="minorHAnsi" w:cstheme="minorHAnsi"/>
                <w:sz w:val="20"/>
              </w:rPr>
              <w:t>r: S</w:t>
            </w:r>
            <w:r w:rsidRPr="00711ED5">
              <w:rPr>
                <w:rFonts w:asciiTheme="minorHAnsi" w:hAnsiTheme="minorHAnsi" w:cstheme="minorHAnsi"/>
                <w:sz w:val="20"/>
              </w:rPr>
              <w:t>odium metabisulfite, disodium edetate, sulfuric acid and/or sodium hydroxide</w:t>
            </w:r>
            <w:r>
              <w:rPr>
                <w:rFonts w:asciiTheme="minorHAnsi" w:hAnsiTheme="minorHAnsi" w:cstheme="minorHAnsi"/>
                <w:sz w:val="20"/>
              </w:rPr>
              <w:t>, phenol.</w:t>
            </w:r>
          </w:p>
          <w:p w:rsidRPr="003B78EA" w:rsidR="00155469" w:rsidP="00FE4186" w:rsidRDefault="00155469" w14:paraId="0C24485B" w14:textId="77777777">
            <w:pPr>
              <w:pStyle w:val="BodyText"/>
              <w:rPr>
                <w:rFonts w:asciiTheme="minorHAnsi" w:hAnsiTheme="minorHAnsi" w:cstheme="minorHAnsi"/>
                <w:sz w:val="20"/>
              </w:rPr>
            </w:pPr>
            <w:r>
              <w:rPr>
                <w:rFonts w:asciiTheme="minorHAnsi" w:hAnsiTheme="minorHAnsi" w:cstheme="minorHAnsi"/>
                <w:sz w:val="20"/>
              </w:rPr>
              <w:t>Tobra-Day: S</w:t>
            </w:r>
            <w:r w:rsidRPr="00711ED5">
              <w:rPr>
                <w:rFonts w:asciiTheme="minorHAnsi" w:hAnsiTheme="minorHAnsi" w:cstheme="minorHAnsi"/>
                <w:sz w:val="20"/>
              </w:rPr>
              <w:t>ulfuric acid and sodium hydroxide.</w:t>
            </w:r>
          </w:p>
        </w:tc>
      </w:tr>
      <w:tr w:rsidRPr="003B78EA" w:rsidR="00155469" w:rsidTr="004C4A84" w14:paraId="7D3D4875" w14:textId="77777777">
        <w:trPr>
          <w:trHeight w:val="270"/>
        </w:trPr>
        <w:tc>
          <w:tcPr>
            <w:tcW w:w="1730" w:type="dxa"/>
          </w:tcPr>
          <w:p w:rsidRPr="003B78EA" w:rsidR="00155469" w:rsidP="00FE4186" w:rsidRDefault="00155469" w14:paraId="67AAAD77"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Special comments       </w:t>
            </w:r>
          </w:p>
        </w:tc>
        <w:tc>
          <w:tcPr>
            <w:tcW w:w="7513" w:type="dxa"/>
          </w:tcPr>
          <w:p w:rsidRPr="003B78EA" w:rsidR="00155469" w:rsidP="00FE4186" w:rsidRDefault="00155469" w14:paraId="19CD8A3F" w14:textId="77777777">
            <w:pPr>
              <w:pStyle w:val="BodyText"/>
              <w:rPr>
                <w:rFonts w:asciiTheme="minorHAnsi" w:hAnsiTheme="minorHAnsi" w:cstheme="minorHAnsi"/>
                <w:sz w:val="20"/>
              </w:rPr>
            </w:pPr>
          </w:p>
        </w:tc>
      </w:tr>
      <w:tr w:rsidRPr="003B78EA" w:rsidR="00155469" w:rsidTr="004C4A84" w14:paraId="2CA722D1" w14:textId="77777777">
        <w:trPr>
          <w:trHeight w:val="280"/>
        </w:trPr>
        <w:tc>
          <w:tcPr>
            <w:tcW w:w="1730" w:type="dxa"/>
          </w:tcPr>
          <w:p w:rsidRPr="003B78EA" w:rsidR="00155469" w:rsidP="00FE4186" w:rsidRDefault="00155469" w14:paraId="3311ABD6" w14:textId="77777777">
            <w:pPr>
              <w:pStyle w:val="BodyText"/>
              <w:rPr>
                <w:rFonts w:asciiTheme="minorHAnsi" w:hAnsiTheme="minorHAnsi" w:cstheme="minorHAnsi"/>
                <w:b/>
                <w:bCs/>
                <w:sz w:val="20"/>
              </w:rPr>
            </w:pPr>
            <w:r w:rsidRPr="003B78EA">
              <w:rPr>
                <w:rFonts w:asciiTheme="minorHAnsi" w:hAnsiTheme="minorHAnsi" w:cstheme="minorHAnsi"/>
                <w:b/>
                <w:bCs/>
                <w:sz w:val="20"/>
              </w:rPr>
              <w:t xml:space="preserve">Evidence </w:t>
            </w:r>
          </w:p>
        </w:tc>
        <w:tc>
          <w:tcPr>
            <w:tcW w:w="7513" w:type="dxa"/>
          </w:tcPr>
          <w:p w:rsidRPr="003B78EA" w:rsidR="00155469" w:rsidP="00FE4186" w:rsidRDefault="00155469" w14:paraId="47FA09FB" w14:textId="77777777">
            <w:pPr>
              <w:pStyle w:val="BodyText"/>
              <w:tabs>
                <w:tab w:val="left" w:pos="1168"/>
              </w:tabs>
              <w:rPr>
                <w:rFonts w:asciiTheme="minorHAnsi" w:hAnsiTheme="minorHAnsi" w:cstheme="minorHAnsi"/>
                <w:b/>
                <w:sz w:val="20"/>
              </w:rPr>
            </w:pPr>
            <w:r w:rsidRPr="003B78EA">
              <w:rPr>
                <w:rFonts w:asciiTheme="minorHAnsi" w:hAnsiTheme="minorHAnsi" w:cstheme="minorHAnsi"/>
                <w:b/>
                <w:sz w:val="20"/>
              </w:rPr>
              <w:t>Efficacy</w:t>
            </w:r>
          </w:p>
          <w:p w:rsidR="00155469" w:rsidP="00FE4186" w:rsidRDefault="00155469" w14:paraId="5E5DC8D5" w14:textId="77777777">
            <w:pPr>
              <w:pStyle w:val="BodyText"/>
              <w:tabs>
                <w:tab w:val="left" w:pos="1168"/>
              </w:tabs>
              <w:rPr>
                <w:rFonts w:asciiTheme="minorHAnsi" w:hAnsiTheme="minorHAnsi" w:cstheme="minorHAnsi"/>
                <w:sz w:val="20"/>
              </w:rPr>
            </w:pPr>
            <w:r>
              <w:rPr>
                <w:rFonts w:asciiTheme="minorHAnsi" w:hAnsiTheme="minorHAnsi" w:cstheme="minorHAnsi"/>
                <w:sz w:val="20"/>
              </w:rPr>
              <w:t xml:space="preserve">Avent et al. (1) </w:t>
            </w:r>
            <w:r w:rsidRPr="003B78EA">
              <w:rPr>
                <w:rFonts w:asciiTheme="minorHAnsi" w:hAnsiTheme="minorHAnsi" w:cstheme="minorHAnsi"/>
                <w:sz w:val="20"/>
              </w:rPr>
              <w:t>compared once</w:t>
            </w:r>
            <w:r>
              <w:rPr>
                <w:rFonts w:asciiTheme="minorHAnsi" w:hAnsiTheme="minorHAnsi" w:cstheme="minorHAnsi"/>
                <w:sz w:val="20"/>
              </w:rPr>
              <w:t xml:space="preserve"> </w:t>
            </w:r>
            <w:r w:rsidRPr="003B78EA">
              <w:rPr>
                <w:rFonts w:asciiTheme="minorHAnsi" w:hAnsiTheme="minorHAnsi" w:cstheme="minorHAnsi"/>
                <w:sz w:val="20"/>
              </w:rPr>
              <w:t>daily</w:t>
            </w:r>
            <w:r>
              <w:rPr>
                <w:rFonts w:asciiTheme="minorHAnsi" w:hAnsiTheme="minorHAnsi" w:cstheme="minorHAnsi"/>
                <w:sz w:val="20"/>
              </w:rPr>
              <w:t xml:space="preserve"> </w:t>
            </w:r>
            <w:r w:rsidRPr="003B78EA">
              <w:rPr>
                <w:rFonts w:asciiTheme="minorHAnsi" w:hAnsiTheme="minorHAnsi" w:cstheme="minorHAnsi"/>
                <w:sz w:val="20"/>
              </w:rPr>
              <w:t>dosage regimens with the more traditional</w:t>
            </w:r>
            <w:r>
              <w:rPr>
                <w:rFonts w:asciiTheme="minorHAnsi" w:hAnsiTheme="minorHAnsi" w:cstheme="minorHAnsi"/>
                <w:sz w:val="20"/>
              </w:rPr>
              <w:t xml:space="preserve"> </w:t>
            </w:r>
            <w:r w:rsidRPr="003B78EA">
              <w:rPr>
                <w:rFonts w:asciiTheme="minorHAnsi" w:hAnsiTheme="minorHAnsi" w:cstheme="minorHAnsi"/>
                <w:sz w:val="20"/>
              </w:rPr>
              <w:t>multiple daily dosing regimens</w:t>
            </w:r>
            <w:r>
              <w:rPr>
                <w:rFonts w:asciiTheme="minorHAnsi" w:hAnsiTheme="minorHAnsi" w:cstheme="minorHAnsi"/>
                <w:sz w:val="20"/>
              </w:rPr>
              <w:t xml:space="preserve"> in 120 neonates</w:t>
            </w:r>
            <w:r w:rsidRPr="003B78EA">
              <w:rPr>
                <w:rFonts w:asciiTheme="minorHAnsi" w:hAnsiTheme="minorHAnsi" w:cstheme="minorHAnsi"/>
                <w:sz w:val="20"/>
              </w:rPr>
              <w:t>.</w:t>
            </w:r>
            <w:r>
              <w:rPr>
                <w:rFonts w:asciiTheme="minorHAnsi" w:hAnsiTheme="minorHAnsi" w:cstheme="minorHAnsi"/>
                <w:sz w:val="20"/>
              </w:rPr>
              <w:t xml:space="preserve"> </w:t>
            </w:r>
            <w:r w:rsidRPr="003B78EA">
              <w:rPr>
                <w:rFonts w:asciiTheme="minorHAnsi" w:hAnsiTheme="minorHAnsi" w:cstheme="minorHAnsi"/>
                <w:sz w:val="20"/>
              </w:rPr>
              <w:t xml:space="preserve">The new </w:t>
            </w:r>
            <w:r>
              <w:rPr>
                <w:rFonts w:asciiTheme="minorHAnsi" w:hAnsiTheme="minorHAnsi" w:cstheme="minorHAnsi"/>
                <w:sz w:val="20"/>
              </w:rPr>
              <w:t xml:space="preserve">dosing regimen was </w:t>
            </w:r>
            <w:r w:rsidRPr="003B78EA">
              <w:rPr>
                <w:rFonts w:asciiTheme="minorHAnsi" w:hAnsiTheme="minorHAnsi" w:cstheme="minorHAnsi"/>
                <w:sz w:val="20"/>
              </w:rPr>
              <w:t>5</w:t>
            </w:r>
            <w:r>
              <w:rPr>
                <w:rFonts w:asciiTheme="minorHAnsi" w:hAnsiTheme="minorHAnsi" w:cstheme="minorHAnsi"/>
                <w:sz w:val="20"/>
              </w:rPr>
              <w:t xml:space="preserve"> </w:t>
            </w:r>
            <w:r w:rsidRPr="003B78EA">
              <w:rPr>
                <w:rFonts w:asciiTheme="minorHAnsi" w:hAnsiTheme="minorHAnsi" w:cstheme="minorHAnsi"/>
                <w:sz w:val="20"/>
              </w:rPr>
              <w:t>mg/kg once daily dosing for infants</w:t>
            </w:r>
            <w:r>
              <w:rPr>
                <w:rFonts w:asciiTheme="minorHAnsi" w:hAnsiTheme="minorHAnsi" w:cstheme="minorHAnsi"/>
                <w:sz w:val="20"/>
              </w:rPr>
              <w:t xml:space="preserve"> with bodyweight </w:t>
            </w:r>
            <w:r w:rsidRPr="003B78EA">
              <w:rPr>
                <w:rFonts w:asciiTheme="minorHAnsi" w:hAnsiTheme="minorHAnsi" w:cstheme="minorHAnsi"/>
                <w:sz w:val="20"/>
              </w:rPr>
              <w:t>&lt;1200 g who are &gt;30 days of age and for infants</w:t>
            </w:r>
            <w:r>
              <w:rPr>
                <w:rFonts w:asciiTheme="minorHAnsi" w:hAnsiTheme="minorHAnsi" w:cstheme="minorHAnsi"/>
                <w:sz w:val="20"/>
              </w:rPr>
              <w:t xml:space="preserve"> with bodyweight </w:t>
            </w:r>
            <w:r w:rsidRPr="003B78EA">
              <w:rPr>
                <w:rFonts w:asciiTheme="minorHAnsi" w:hAnsiTheme="minorHAnsi" w:cstheme="minorHAnsi"/>
                <w:sz w:val="20"/>
              </w:rPr>
              <w:t xml:space="preserve"> ≥1200 g who are &gt;7 days of age. </w:t>
            </w:r>
            <w:r>
              <w:rPr>
                <w:rFonts w:asciiTheme="minorHAnsi" w:hAnsiTheme="minorHAnsi" w:cstheme="minorHAnsi"/>
                <w:sz w:val="20"/>
              </w:rPr>
              <w:t xml:space="preserve">Multiple daily regimen was </w:t>
            </w:r>
            <w:r w:rsidRPr="003B78EA">
              <w:rPr>
                <w:rFonts w:asciiTheme="minorHAnsi" w:hAnsiTheme="minorHAnsi" w:cstheme="minorHAnsi"/>
                <w:sz w:val="20"/>
              </w:rPr>
              <w:t>2.5 mg/kg</w:t>
            </w:r>
            <w:r>
              <w:rPr>
                <w:rFonts w:asciiTheme="minorHAnsi" w:hAnsiTheme="minorHAnsi" w:cstheme="minorHAnsi"/>
                <w:sz w:val="20"/>
              </w:rPr>
              <w:t xml:space="preserve"> 8-24 </w:t>
            </w:r>
            <w:r>
              <w:rPr>
                <w:rFonts w:asciiTheme="minorHAnsi" w:hAnsiTheme="minorHAnsi" w:cstheme="minorHAnsi"/>
                <w:sz w:val="20"/>
              </w:rPr>
              <w:lastRenderedPageBreak/>
              <w:t xml:space="preserve">hourly based on the gestational and postnatal age. Drug concentrations were more likely to be within therapeutic range with </w:t>
            </w:r>
            <w:r w:rsidRPr="003B78EA">
              <w:rPr>
                <w:rFonts w:asciiTheme="minorHAnsi" w:hAnsiTheme="minorHAnsi" w:cstheme="minorHAnsi"/>
                <w:sz w:val="20"/>
              </w:rPr>
              <w:t>increasing the dose</w:t>
            </w:r>
            <w:r>
              <w:rPr>
                <w:rFonts w:asciiTheme="minorHAnsi" w:hAnsiTheme="minorHAnsi" w:cstheme="minorHAnsi"/>
                <w:sz w:val="20"/>
              </w:rPr>
              <w:t xml:space="preserve"> </w:t>
            </w:r>
            <w:r w:rsidRPr="003B78EA">
              <w:rPr>
                <w:rFonts w:asciiTheme="minorHAnsi" w:hAnsiTheme="minorHAnsi" w:cstheme="minorHAnsi"/>
                <w:sz w:val="20"/>
              </w:rPr>
              <w:t>and extending the dosing intervals</w:t>
            </w:r>
            <w:r>
              <w:rPr>
                <w:rFonts w:asciiTheme="minorHAnsi" w:hAnsiTheme="minorHAnsi" w:cstheme="minorHAnsi"/>
                <w:sz w:val="20"/>
              </w:rPr>
              <w:t>.</w:t>
            </w:r>
            <w:r w:rsidRPr="003B78EA">
              <w:rPr>
                <w:rFonts w:asciiTheme="minorHAnsi" w:hAnsiTheme="minorHAnsi" w:cstheme="minorHAnsi"/>
                <w:sz w:val="20"/>
              </w:rPr>
              <w:t xml:space="preserve"> </w:t>
            </w:r>
          </w:p>
          <w:p w:rsidR="00155469" w:rsidP="00FE4186" w:rsidRDefault="00155469" w14:paraId="4EEE8DBC" w14:textId="77777777">
            <w:pPr>
              <w:pStyle w:val="BodyText"/>
              <w:tabs>
                <w:tab w:val="left" w:pos="1168"/>
              </w:tabs>
              <w:rPr>
                <w:rFonts w:asciiTheme="minorHAnsi" w:hAnsiTheme="minorHAnsi" w:cstheme="minorHAnsi"/>
                <w:sz w:val="20"/>
              </w:rPr>
            </w:pPr>
          </w:p>
          <w:p w:rsidR="00155469" w:rsidP="00FE4186" w:rsidRDefault="00155469" w14:paraId="30C056E4" w14:textId="77777777">
            <w:pPr>
              <w:pStyle w:val="BodyText"/>
              <w:tabs>
                <w:tab w:val="left" w:pos="1168"/>
              </w:tabs>
              <w:rPr>
                <w:rFonts w:asciiTheme="minorHAnsi" w:hAnsiTheme="minorHAnsi" w:cstheme="minorHAnsi"/>
                <w:sz w:val="20"/>
              </w:rPr>
            </w:pPr>
            <w:r>
              <w:rPr>
                <w:rFonts w:asciiTheme="minorHAnsi" w:hAnsiTheme="minorHAnsi" w:cstheme="minorHAnsi"/>
                <w:sz w:val="20"/>
              </w:rPr>
              <w:t>Dehoog et al. (10) studied extended dosing regimen restricted to neonates within the first week of life. Neonates</w:t>
            </w:r>
            <w:r w:rsidRPr="00E668A4">
              <w:rPr>
                <w:rFonts w:asciiTheme="minorHAnsi" w:hAnsiTheme="minorHAnsi" w:cstheme="minorHAnsi"/>
                <w:sz w:val="20"/>
              </w:rPr>
              <w:t xml:space="preserve"> received tobramycin, 4 mg/kg per dose, with a gestational</w:t>
            </w:r>
            <w:r>
              <w:rPr>
                <w:rFonts w:asciiTheme="minorHAnsi" w:hAnsiTheme="minorHAnsi" w:cstheme="minorHAnsi"/>
                <w:sz w:val="20"/>
              </w:rPr>
              <w:t xml:space="preserve"> </w:t>
            </w:r>
            <w:r w:rsidRPr="00E668A4">
              <w:rPr>
                <w:rFonts w:asciiTheme="minorHAnsi" w:hAnsiTheme="minorHAnsi" w:cstheme="minorHAnsi"/>
                <w:sz w:val="20"/>
              </w:rPr>
              <w:t>age–related initial interval of 48 hours (&lt;32 weeks), 36 hours (32-36 weeks), and 24 hours (≥37</w:t>
            </w:r>
            <w:r>
              <w:rPr>
                <w:rFonts w:asciiTheme="minorHAnsi" w:hAnsiTheme="minorHAnsi" w:cstheme="minorHAnsi"/>
                <w:sz w:val="20"/>
              </w:rPr>
              <w:t xml:space="preserve"> </w:t>
            </w:r>
            <w:r w:rsidRPr="00E668A4">
              <w:rPr>
                <w:rFonts w:asciiTheme="minorHAnsi" w:hAnsiTheme="minorHAnsi" w:cstheme="minorHAnsi"/>
                <w:sz w:val="20"/>
              </w:rPr>
              <w:t xml:space="preserve">weeks). The target serum peak and trough serum concentrations were 5 to 10 mg/L and 0.5 mg/L, </w:t>
            </w:r>
            <w:r>
              <w:rPr>
                <w:rFonts w:asciiTheme="minorHAnsi" w:hAnsiTheme="minorHAnsi" w:cstheme="minorHAnsi"/>
                <w:sz w:val="20"/>
              </w:rPr>
              <w:t>r</w:t>
            </w:r>
            <w:r w:rsidRPr="00E668A4">
              <w:rPr>
                <w:rFonts w:asciiTheme="minorHAnsi" w:hAnsiTheme="minorHAnsi" w:cstheme="minorHAnsi"/>
                <w:sz w:val="20"/>
              </w:rPr>
              <w:t>espectively.</w:t>
            </w:r>
            <w:r>
              <w:rPr>
                <w:rFonts w:asciiTheme="minorHAnsi" w:hAnsiTheme="minorHAnsi" w:cstheme="minorHAnsi"/>
                <w:sz w:val="20"/>
              </w:rPr>
              <w:t xml:space="preserve"> </w:t>
            </w:r>
            <w:r w:rsidRPr="00E668A4">
              <w:rPr>
                <w:rFonts w:asciiTheme="minorHAnsi" w:hAnsiTheme="minorHAnsi" w:cstheme="minorHAnsi"/>
                <w:sz w:val="20"/>
              </w:rPr>
              <w:t>Peak serum concentrations were above 5 mg/L in 9</w:t>
            </w:r>
            <w:r>
              <w:rPr>
                <w:rFonts w:asciiTheme="minorHAnsi" w:hAnsiTheme="minorHAnsi" w:cstheme="minorHAnsi"/>
                <w:sz w:val="20"/>
              </w:rPr>
              <w:t>1</w:t>
            </w:r>
            <w:r w:rsidRPr="00E668A4">
              <w:rPr>
                <w:rFonts w:asciiTheme="minorHAnsi" w:hAnsiTheme="minorHAnsi" w:cstheme="minorHAnsi"/>
                <w:sz w:val="20"/>
              </w:rPr>
              <w:t>% of cases, and trough serum</w:t>
            </w:r>
            <w:r>
              <w:rPr>
                <w:rFonts w:asciiTheme="minorHAnsi" w:hAnsiTheme="minorHAnsi" w:cstheme="minorHAnsi"/>
                <w:sz w:val="20"/>
              </w:rPr>
              <w:t xml:space="preserve"> </w:t>
            </w:r>
            <w:r w:rsidRPr="00E668A4">
              <w:rPr>
                <w:rFonts w:asciiTheme="minorHAnsi" w:hAnsiTheme="minorHAnsi" w:cstheme="minorHAnsi"/>
                <w:sz w:val="20"/>
              </w:rPr>
              <w:t xml:space="preserve">concentrations were above 1 mg/L in 25.5% of cases. </w:t>
            </w:r>
            <w:r>
              <w:rPr>
                <w:rFonts w:asciiTheme="minorHAnsi" w:hAnsiTheme="minorHAnsi" w:cstheme="minorHAnsi"/>
                <w:sz w:val="20"/>
              </w:rPr>
              <w:t>In their study, r</w:t>
            </w:r>
            <w:r w:rsidRPr="00E668A4">
              <w:rPr>
                <w:rFonts w:asciiTheme="minorHAnsi" w:hAnsiTheme="minorHAnsi" w:cstheme="minorHAnsi"/>
                <w:sz w:val="20"/>
              </w:rPr>
              <w:t>outine early therapeutic drug monitoring d</w:t>
            </w:r>
            <w:r>
              <w:rPr>
                <w:rFonts w:asciiTheme="minorHAnsi" w:hAnsiTheme="minorHAnsi" w:cstheme="minorHAnsi"/>
                <w:sz w:val="20"/>
              </w:rPr>
              <w:t>id</w:t>
            </w:r>
            <w:r w:rsidRPr="00E668A4">
              <w:rPr>
                <w:rFonts w:asciiTheme="minorHAnsi" w:hAnsiTheme="minorHAnsi" w:cstheme="minorHAnsi"/>
                <w:sz w:val="20"/>
              </w:rPr>
              <w:t xml:space="preserve"> not improve the model-based prediction of initial</w:t>
            </w:r>
            <w:r>
              <w:rPr>
                <w:rFonts w:asciiTheme="minorHAnsi" w:hAnsiTheme="minorHAnsi" w:cstheme="minorHAnsi"/>
                <w:sz w:val="20"/>
              </w:rPr>
              <w:t xml:space="preserve"> </w:t>
            </w:r>
            <w:r w:rsidRPr="00E668A4">
              <w:rPr>
                <w:rFonts w:asciiTheme="minorHAnsi" w:hAnsiTheme="minorHAnsi" w:cstheme="minorHAnsi"/>
                <w:sz w:val="20"/>
              </w:rPr>
              <w:t>tobramycin dosing intervals</w:t>
            </w:r>
            <w:r>
              <w:rPr>
                <w:rFonts w:asciiTheme="minorHAnsi" w:hAnsiTheme="minorHAnsi" w:cstheme="minorHAnsi"/>
                <w:sz w:val="20"/>
              </w:rPr>
              <w:t>.</w:t>
            </w:r>
          </w:p>
          <w:p w:rsidR="00155469" w:rsidP="00FE4186" w:rsidRDefault="00155469" w14:paraId="5DD22A64" w14:textId="77777777">
            <w:pPr>
              <w:pStyle w:val="BodyText"/>
              <w:tabs>
                <w:tab w:val="left" w:pos="1168"/>
              </w:tabs>
              <w:rPr>
                <w:rFonts w:asciiTheme="minorHAnsi" w:hAnsiTheme="minorHAnsi" w:cstheme="minorHAnsi"/>
                <w:b/>
                <w:sz w:val="20"/>
              </w:rPr>
            </w:pPr>
          </w:p>
          <w:p w:rsidRPr="003B78EA" w:rsidR="00155469" w:rsidP="00FE4186" w:rsidRDefault="00155469" w14:paraId="62B115B1" w14:textId="77777777">
            <w:pPr>
              <w:pStyle w:val="BodyText"/>
              <w:tabs>
                <w:tab w:val="left" w:pos="1168"/>
              </w:tabs>
              <w:rPr>
                <w:rFonts w:asciiTheme="minorHAnsi" w:hAnsiTheme="minorHAnsi" w:cstheme="minorHAnsi"/>
                <w:b/>
                <w:sz w:val="20"/>
              </w:rPr>
            </w:pPr>
            <w:r w:rsidRPr="003B78EA">
              <w:rPr>
                <w:rFonts w:asciiTheme="minorHAnsi" w:hAnsiTheme="minorHAnsi" w:cstheme="minorHAnsi"/>
                <w:b/>
                <w:sz w:val="20"/>
              </w:rPr>
              <w:t>Safety</w:t>
            </w:r>
          </w:p>
          <w:p w:rsidRPr="00F6277F" w:rsidR="00155469" w:rsidP="00FE4186" w:rsidRDefault="00155469" w14:paraId="3E9A1F90" w14:textId="77777777">
            <w:pPr>
              <w:pStyle w:val="BodyText"/>
              <w:tabs>
                <w:tab w:val="left" w:pos="1168"/>
              </w:tabs>
              <w:rPr>
                <w:rFonts w:asciiTheme="minorHAnsi" w:hAnsiTheme="minorHAnsi" w:cstheme="minorHAnsi"/>
                <w:sz w:val="20"/>
              </w:rPr>
            </w:pPr>
            <w:r>
              <w:rPr>
                <w:rFonts w:asciiTheme="minorHAnsi" w:hAnsiTheme="minorHAnsi" w:cstheme="minorHAnsi"/>
                <w:sz w:val="20"/>
              </w:rPr>
              <w:t>O</w:t>
            </w:r>
            <w:r w:rsidRPr="00CF6336">
              <w:rPr>
                <w:rFonts w:asciiTheme="minorHAnsi" w:hAnsiTheme="minorHAnsi" w:cstheme="minorHAnsi"/>
                <w:sz w:val="20"/>
              </w:rPr>
              <w:t>totoxicity is usually irreversible.</w:t>
            </w:r>
            <w:r>
              <w:rPr>
                <w:rFonts w:asciiTheme="minorHAnsi" w:hAnsiTheme="minorHAnsi" w:cstheme="minorHAnsi"/>
                <w:sz w:val="20"/>
              </w:rPr>
              <w:t xml:space="preserve"> (14). </w:t>
            </w:r>
            <w:r w:rsidRPr="00F6277F">
              <w:rPr>
                <w:rFonts w:asciiTheme="minorHAnsi" w:hAnsiTheme="minorHAnsi" w:cstheme="minorHAnsi"/>
                <w:sz w:val="20"/>
              </w:rPr>
              <w:t>Reports about ototoxicity in</w:t>
            </w:r>
            <w:r>
              <w:rPr>
                <w:rFonts w:asciiTheme="minorHAnsi" w:hAnsiTheme="minorHAnsi" w:cstheme="minorHAnsi"/>
                <w:sz w:val="20"/>
              </w:rPr>
              <w:t xml:space="preserve"> </w:t>
            </w:r>
            <w:r w:rsidRPr="00F6277F">
              <w:rPr>
                <w:rFonts w:asciiTheme="minorHAnsi" w:hAnsiTheme="minorHAnsi" w:cstheme="minorHAnsi"/>
                <w:sz w:val="20"/>
              </w:rPr>
              <w:t xml:space="preserve">neonates are contradictory. Some </w:t>
            </w:r>
            <w:r>
              <w:rPr>
                <w:rFonts w:asciiTheme="minorHAnsi" w:hAnsiTheme="minorHAnsi" w:cstheme="minorHAnsi"/>
                <w:sz w:val="20"/>
              </w:rPr>
              <w:t>studies</w:t>
            </w:r>
            <w:r w:rsidRPr="00F6277F">
              <w:rPr>
                <w:rFonts w:asciiTheme="minorHAnsi" w:hAnsiTheme="minorHAnsi" w:cstheme="minorHAnsi"/>
                <w:sz w:val="20"/>
              </w:rPr>
              <w:t xml:space="preserve"> report</w:t>
            </w:r>
            <w:r>
              <w:rPr>
                <w:rFonts w:asciiTheme="minorHAnsi" w:hAnsiTheme="minorHAnsi" w:cstheme="minorHAnsi"/>
                <w:sz w:val="20"/>
              </w:rPr>
              <w:t xml:space="preserve"> </w:t>
            </w:r>
            <w:r w:rsidRPr="00F6277F">
              <w:rPr>
                <w:rFonts w:asciiTheme="minorHAnsi" w:hAnsiTheme="minorHAnsi" w:cstheme="minorHAnsi"/>
                <w:sz w:val="20"/>
              </w:rPr>
              <w:t>no relation,</w:t>
            </w:r>
            <w:r>
              <w:rPr>
                <w:rFonts w:asciiTheme="minorHAnsi" w:hAnsiTheme="minorHAnsi" w:cstheme="minorHAnsi"/>
                <w:sz w:val="20"/>
              </w:rPr>
              <w:t xml:space="preserve"> (15-17)</w:t>
            </w:r>
            <w:r w:rsidRPr="00F6277F">
              <w:rPr>
                <w:rFonts w:asciiTheme="minorHAnsi" w:hAnsiTheme="minorHAnsi" w:cstheme="minorHAnsi"/>
                <w:sz w:val="20"/>
              </w:rPr>
              <w:t xml:space="preserve"> whereas others </w:t>
            </w:r>
            <w:r>
              <w:rPr>
                <w:rFonts w:asciiTheme="minorHAnsi" w:hAnsiTheme="minorHAnsi" w:cstheme="minorHAnsi"/>
                <w:sz w:val="20"/>
              </w:rPr>
              <w:t>reported</w:t>
            </w:r>
            <w:r w:rsidRPr="00F6277F">
              <w:rPr>
                <w:rFonts w:asciiTheme="minorHAnsi" w:hAnsiTheme="minorHAnsi" w:cstheme="minorHAnsi"/>
                <w:sz w:val="20"/>
              </w:rPr>
              <w:t xml:space="preserve"> a higher</w:t>
            </w:r>
            <w:r>
              <w:rPr>
                <w:rFonts w:asciiTheme="minorHAnsi" w:hAnsiTheme="minorHAnsi" w:cstheme="minorHAnsi"/>
                <w:sz w:val="20"/>
              </w:rPr>
              <w:t xml:space="preserve"> </w:t>
            </w:r>
            <w:r w:rsidRPr="00F6277F">
              <w:rPr>
                <w:rFonts w:asciiTheme="minorHAnsi" w:hAnsiTheme="minorHAnsi" w:cstheme="minorHAnsi"/>
                <w:sz w:val="20"/>
              </w:rPr>
              <w:t>incidence.</w:t>
            </w:r>
            <w:r>
              <w:rPr>
                <w:rFonts w:asciiTheme="minorHAnsi" w:hAnsiTheme="minorHAnsi" w:cstheme="minorHAnsi"/>
                <w:sz w:val="20"/>
              </w:rPr>
              <w:t xml:space="preserve"> (18-20) Oto</w:t>
            </w:r>
            <w:r w:rsidRPr="00F6277F">
              <w:rPr>
                <w:rFonts w:asciiTheme="minorHAnsi" w:hAnsiTheme="minorHAnsi" w:cstheme="minorHAnsi"/>
                <w:sz w:val="20"/>
              </w:rPr>
              <w:t>toxicity usually occurs in patients</w:t>
            </w:r>
            <w:r>
              <w:rPr>
                <w:rFonts w:asciiTheme="minorHAnsi" w:hAnsiTheme="minorHAnsi" w:cstheme="minorHAnsi"/>
                <w:sz w:val="20"/>
              </w:rPr>
              <w:t xml:space="preserve"> </w:t>
            </w:r>
            <w:r w:rsidRPr="00F6277F">
              <w:rPr>
                <w:rFonts w:asciiTheme="minorHAnsi" w:hAnsiTheme="minorHAnsi" w:cstheme="minorHAnsi"/>
                <w:sz w:val="20"/>
              </w:rPr>
              <w:t>who have received either long or repeated courses</w:t>
            </w:r>
            <w:r>
              <w:rPr>
                <w:rFonts w:asciiTheme="minorHAnsi" w:hAnsiTheme="minorHAnsi" w:cstheme="minorHAnsi"/>
                <w:sz w:val="20"/>
              </w:rPr>
              <w:t xml:space="preserve"> </w:t>
            </w:r>
            <w:r w:rsidRPr="00F6277F">
              <w:rPr>
                <w:rFonts w:asciiTheme="minorHAnsi" w:hAnsiTheme="minorHAnsi" w:cstheme="minorHAnsi"/>
                <w:sz w:val="20"/>
              </w:rPr>
              <w:t>of</w:t>
            </w:r>
            <w:r>
              <w:rPr>
                <w:rFonts w:asciiTheme="minorHAnsi" w:hAnsiTheme="minorHAnsi" w:cstheme="minorHAnsi"/>
                <w:sz w:val="20"/>
              </w:rPr>
              <w:t xml:space="preserve"> a</w:t>
            </w:r>
            <w:r w:rsidRPr="00F6277F">
              <w:rPr>
                <w:rFonts w:asciiTheme="minorHAnsi" w:hAnsiTheme="minorHAnsi" w:cstheme="minorHAnsi"/>
                <w:sz w:val="20"/>
              </w:rPr>
              <w:t>minoglycosides.</w:t>
            </w:r>
            <w:r>
              <w:rPr>
                <w:rFonts w:asciiTheme="minorHAnsi" w:hAnsiTheme="minorHAnsi" w:cstheme="minorHAnsi"/>
                <w:sz w:val="20"/>
              </w:rPr>
              <w:t xml:space="preserve"> (21)</w:t>
            </w:r>
            <w:r w:rsidRPr="00F6277F">
              <w:rPr>
                <w:rFonts w:asciiTheme="minorHAnsi" w:hAnsiTheme="minorHAnsi" w:cstheme="minorHAnsi"/>
                <w:sz w:val="20"/>
              </w:rPr>
              <w:t xml:space="preserve"> </w:t>
            </w:r>
          </w:p>
          <w:p w:rsidR="00155469" w:rsidP="00FE4186" w:rsidRDefault="00155469" w14:paraId="39B99F3F" w14:textId="77777777">
            <w:pPr>
              <w:pStyle w:val="BodyText"/>
              <w:tabs>
                <w:tab w:val="left" w:pos="1168"/>
              </w:tabs>
              <w:rPr>
                <w:rFonts w:asciiTheme="minorHAnsi" w:hAnsiTheme="minorHAnsi" w:cstheme="minorHAnsi"/>
                <w:sz w:val="20"/>
              </w:rPr>
            </w:pPr>
          </w:p>
          <w:p w:rsidR="00155469" w:rsidP="00FE4186" w:rsidRDefault="00155469" w14:paraId="211EF5C0" w14:textId="77777777">
            <w:pPr>
              <w:pStyle w:val="BodyText"/>
              <w:tabs>
                <w:tab w:val="left" w:pos="1168"/>
              </w:tabs>
              <w:rPr>
                <w:rFonts w:asciiTheme="minorHAnsi" w:hAnsiTheme="minorHAnsi" w:cstheme="minorHAnsi"/>
                <w:sz w:val="20"/>
              </w:rPr>
            </w:pPr>
            <w:r w:rsidRPr="003B78EA">
              <w:rPr>
                <w:rFonts w:asciiTheme="minorHAnsi" w:hAnsiTheme="minorHAnsi" w:cstheme="minorHAnsi"/>
                <w:sz w:val="20"/>
              </w:rPr>
              <w:t xml:space="preserve">Trials evaluating extended dosing regimens did not find any </w:t>
            </w:r>
            <w:r>
              <w:rPr>
                <w:rFonts w:asciiTheme="minorHAnsi" w:hAnsiTheme="minorHAnsi" w:cstheme="minorHAnsi"/>
                <w:sz w:val="20"/>
              </w:rPr>
              <w:t>nep</w:t>
            </w:r>
            <w:r w:rsidRPr="003B78EA">
              <w:rPr>
                <w:rFonts w:asciiTheme="minorHAnsi" w:hAnsiTheme="minorHAnsi" w:cstheme="minorHAnsi"/>
                <w:sz w:val="20"/>
              </w:rPr>
              <w:t>hrotoxicity as determined by serum creatinine, blood urea nitrogen, urine output, and B2 microglobulin. (</w:t>
            </w:r>
            <w:r>
              <w:rPr>
                <w:rFonts w:asciiTheme="minorHAnsi" w:hAnsiTheme="minorHAnsi" w:cstheme="minorHAnsi"/>
                <w:sz w:val="20"/>
              </w:rPr>
              <w:t>1,10)</w:t>
            </w:r>
            <w:r w:rsidRPr="003B78EA">
              <w:rPr>
                <w:rFonts w:asciiTheme="minorHAnsi" w:hAnsiTheme="minorHAnsi" w:cstheme="minorHAnsi"/>
                <w:sz w:val="20"/>
              </w:rPr>
              <w:t xml:space="preserve"> </w:t>
            </w:r>
            <w:r>
              <w:rPr>
                <w:rFonts w:asciiTheme="minorHAnsi" w:hAnsiTheme="minorHAnsi" w:cstheme="minorHAnsi"/>
                <w:sz w:val="20"/>
              </w:rPr>
              <w:t>However sample size in these studies were not powered to detect any significant adverse renal outcomes.</w:t>
            </w:r>
          </w:p>
          <w:p w:rsidR="00155469" w:rsidP="00FE4186" w:rsidRDefault="00155469" w14:paraId="3BC693A1" w14:textId="77777777">
            <w:pPr>
              <w:pStyle w:val="BodyText"/>
              <w:tabs>
                <w:tab w:val="left" w:pos="1168"/>
              </w:tabs>
              <w:rPr>
                <w:rFonts w:asciiTheme="minorHAnsi" w:hAnsiTheme="minorHAnsi" w:cstheme="minorHAnsi"/>
                <w:sz w:val="20"/>
              </w:rPr>
            </w:pPr>
          </w:p>
          <w:p w:rsidRPr="003B78EA" w:rsidR="00155469" w:rsidP="00FE4186" w:rsidRDefault="00155469" w14:paraId="4C1A48E6" w14:textId="77777777">
            <w:pPr>
              <w:pStyle w:val="BodyText"/>
              <w:tabs>
                <w:tab w:val="left" w:pos="1168"/>
              </w:tabs>
              <w:rPr>
                <w:rFonts w:asciiTheme="minorHAnsi" w:hAnsiTheme="minorHAnsi" w:cstheme="minorHAnsi"/>
                <w:sz w:val="20"/>
              </w:rPr>
            </w:pPr>
            <w:r>
              <w:rPr>
                <w:rFonts w:asciiTheme="minorHAnsi" w:hAnsiTheme="minorHAnsi" w:cstheme="minorHAnsi"/>
                <w:sz w:val="20"/>
              </w:rPr>
              <w:t>Dehoog et al. 2003 studied a</w:t>
            </w:r>
            <w:r w:rsidRPr="00407E92">
              <w:rPr>
                <w:rFonts w:asciiTheme="minorHAnsi" w:hAnsiTheme="minorHAnsi" w:cstheme="minorHAnsi"/>
                <w:sz w:val="20"/>
              </w:rPr>
              <w:t xml:space="preserve">utomated auditory brainstem response (A-ABR) </w:t>
            </w:r>
            <w:r>
              <w:rPr>
                <w:rFonts w:asciiTheme="minorHAnsi" w:hAnsiTheme="minorHAnsi" w:cstheme="minorHAnsi"/>
                <w:sz w:val="20"/>
              </w:rPr>
              <w:t xml:space="preserve">in neonates </w:t>
            </w:r>
            <w:r w:rsidRPr="00407E92">
              <w:rPr>
                <w:rFonts w:asciiTheme="minorHAnsi" w:hAnsiTheme="minorHAnsi" w:cstheme="minorHAnsi"/>
                <w:sz w:val="20"/>
              </w:rPr>
              <w:t>in relation to exposure to tobramycin</w:t>
            </w:r>
            <w:r>
              <w:rPr>
                <w:rFonts w:asciiTheme="minorHAnsi" w:hAnsiTheme="minorHAnsi" w:cstheme="minorHAnsi"/>
                <w:sz w:val="20"/>
              </w:rPr>
              <w:t xml:space="preserve"> and vancomycin. </w:t>
            </w:r>
            <w:r w:rsidRPr="00407E92">
              <w:rPr>
                <w:rFonts w:asciiTheme="minorHAnsi" w:hAnsiTheme="minorHAnsi" w:cstheme="minorHAnsi"/>
                <w:sz w:val="20"/>
              </w:rPr>
              <w:t>Exposure to vancomycin, tobramycin, or furosemide or a combination,</w:t>
            </w:r>
            <w:r>
              <w:rPr>
                <w:rFonts w:asciiTheme="minorHAnsi" w:hAnsiTheme="minorHAnsi" w:cstheme="minorHAnsi"/>
                <w:sz w:val="20"/>
              </w:rPr>
              <w:t xml:space="preserve"> </w:t>
            </w:r>
            <w:r w:rsidRPr="00407E92">
              <w:rPr>
                <w:rFonts w:asciiTheme="minorHAnsi" w:hAnsiTheme="minorHAnsi" w:cstheme="minorHAnsi"/>
                <w:sz w:val="20"/>
              </w:rPr>
              <w:t>was not related to failure to</w:t>
            </w:r>
            <w:r>
              <w:rPr>
                <w:rFonts w:asciiTheme="minorHAnsi" w:hAnsiTheme="minorHAnsi" w:cstheme="minorHAnsi"/>
                <w:sz w:val="20"/>
              </w:rPr>
              <w:t xml:space="preserve"> </w:t>
            </w:r>
            <w:r w:rsidRPr="00407E92">
              <w:rPr>
                <w:rFonts w:asciiTheme="minorHAnsi" w:hAnsiTheme="minorHAnsi" w:cstheme="minorHAnsi"/>
                <w:sz w:val="20"/>
              </w:rPr>
              <w:t>pass A-ABR screening. Ototoxic medication was not the most probable risk factor in any of the patients with serum concentrations</w:t>
            </w:r>
            <w:r>
              <w:rPr>
                <w:rFonts w:asciiTheme="minorHAnsi" w:hAnsiTheme="minorHAnsi" w:cstheme="minorHAnsi"/>
                <w:sz w:val="20"/>
              </w:rPr>
              <w:t xml:space="preserve"> </w:t>
            </w:r>
            <w:r w:rsidRPr="00407E92">
              <w:rPr>
                <w:rFonts w:asciiTheme="minorHAnsi" w:hAnsiTheme="minorHAnsi" w:cstheme="minorHAnsi"/>
                <w:sz w:val="20"/>
              </w:rPr>
              <w:t>outside the therapeutic range.</w:t>
            </w:r>
            <w:r>
              <w:rPr>
                <w:rFonts w:asciiTheme="minorHAnsi" w:hAnsiTheme="minorHAnsi" w:cstheme="minorHAnsi"/>
                <w:sz w:val="20"/>
              </w:rPr>
              <w:t xml:space="preserve"> The r</w:t>
            </w:r>
            <w:r w:rsidRPr="00407E92">
              <w:rPr>
                <w:rFonts w:asciiTheme="minorHAnsi" w:hAnsiTheme="minorHAnsi" w:cstheme="minorHAnsi"/>
                <w:sz w:val="20"/>
              </w:rPr>
              <w:t xml:space="preserve">outine therapeutic drug monitoring of vancomycin and tobramycin </w:t>
            </w:r>
            <w:r>
              <w:rPr>
                <w:rFonts w:asciiTheme="minorHAnsi" w:hAnsiTheme="minorHAnsi" w:cstheme="minorHAnsi"/>
                <w:sz w:val="20"/>
              </w:rPr>
              <w:t>was</w:t>
            </w:r>
            <w:r w:rsidRPr="00407E92">
              <w:rPr>
                <w:rFonts w:asciiTheme="minorHAnsi" w:hAnsiTheme="minorHAnsi" w:cstheme="minorHAnsi"/>
                <w:sz w:val="20"/>
              </w:rPr>
              <w:t xml:space="preserve"> not</w:t>
            </w:r>
            <w:r>
              <w:rPr>
                <w:rFonts w:asciiTheme="minorHAnsi" w:hAnsiTheme="minorHAnsi" w:cstheme="minorHAnsi"/>
                <w:sz w:val="20"/>
              </w:rPr>
              <w:t xml:space="preserve"> </w:t>
            </w:r>
            <w:r w:rsidRPr="00407E92">
              <w:rPr>
                <w:rFonts w:asciiTheme="minorHAnsi" w:hAnsiTheme="minorHAnsi" w:cstheme="minorHAnsi"/>
                <w:sz w:val="20"/>
              </w:rPr>
              <w:t xml:space="preserve">helpful in detecting </w:t>
            </w:r>
            <w:r>
              <w:rPr>
                <w:rFonts w:asciiTheme="minorHAnsi" w:hAnsiTheme="minorHAnsi" w:cstheme="minorHAnsi"/>
                <w:sz w:val="20"/>
              </w:rPr>
              <w:t>neonates</w:t>
            </w:r>
            <w:r w:rsidRPr="00407E92">
              <w:rPr>
                <w:rFonts w:asciiTheme="minorHAnsi" w:hAnsiTheme="minorHAnsi" w:cstheme="minorHAnsi"/>
                <w:sz w:val="20"/>
              </w:rPr>
              <w:t xml:space="preserve"> at risk for clinically important hearing loss</w:t>
            </w:r>
            <w:r>
              <w:rPr>
                <w:rFonts w:asciiTheme="minorHAnsi" w:hAnsiTheme="minorHAnsi" w:cstheme="minorHAnsi"/>
                <w:sz w:val="20"/>
              </w:rPr>
              <w:t>. (22)</w:t>
            </w:r>
          </w:p>
          <w:p w:rsidR="00155469" w:rsidP="00FE4186" w:rsidRDefault="00155469" w14:paraId="276B8F59" w14:textId="77777777">
            <w:pPr>
              <w:pStyle w:val="BodyText"/>
              <w:tabs>
                <w:tab w:val="left" w:pos="1168"/>
              </w:tabs>
              <w:rPr>
                <w:rFonts w:asciiTheme="minorHAnsi" w:hAnsiTheme="minorHAnsi" w:cstheme="minorHAnsi"/>
                <w:b/>
                <w:sz w:val="20"/>
              </w:rPr>
            </w:pPr>
          </w:p>
          <w:p w:rsidR="00155469" w:rsidP="00FE4186" w:rsidRDefault="00155469" w14:paraId="64672378" w14:textId="77777777">
            <w:pPr>
              <w:pStyle w:val="BodyText"/>
              <w:tabs>
                <w:tab w:val="left" w:pos="1168"/>
              </w:tabs>
              <w:rPr>
                <w:rFonts w:asciiTheme="minorHAnsi" w:hAnsiTheme="minorHAnsi" w:cstheme="minorHAnsi"/>
                <w:sz w:val="20"/>
              </w:rPr>
            </w:pPr>
            <w:r w:rsidRPr="006E32BB">
              <w:rPr>
                <w:rFonts w:asciiTheme="minorHAnsi" w:hAnsiTheme="minorHAnsi" w:cstheme="minorHAnsi"/>
                <w:sz w:val="20"/>
                <w:u w:val="single"/>
              </w:rPr>
              <w:t>MT-RNR1 genotype</w:t>
            </w:r>
            <w:r w:rsidRPr="00DB291B">
              <w:rPr>
                <w:rFonts w:asciiTheme="minorHAnsi" w:hAnsiTheme="minorHAnsi" w:cstheme="minorHAnsi"/>
                <w:sz w:val="20"/>
              </w:rPr>
              <w:t>:</w:t>
            </w:r>
            <w:r>
              <w:rPr>
                <w:rFonts w:asciiTheme="minorHAnsi" w:hAnsiTheme="minorHAnsi" w:cstheme="minorHAnsi"/>
                <w:sz w:val="20"/>
              </w:rPr>
              <w:t xml:space="preserve"> MT-RNR1 gene mutation is one of the common causes of hereditary hearing loss, particularly in Asian population. I</w:t>
            </w:r>
            <w:r w:rsidRPr="000A3E5D">
              <w:rPr>
                <w:rFonts w:asciiTheme="minorHAnsi" w:hAnsiTheme="minorHAnsi" w:cstheme="minorHAnsi"/>
                <w:sz w:val="20"/>
              </w:rPr>
              <w:t xml:space="preserve">n individuals who carry </w:t>
            </w:r>
            <w:r>
              <w:rPr>
                <w:rFonts w:asciiTheme="minorHAnsi" w:hAnsiTheme="minorHAnsi" w:cstheme="minorHAnsi"/>
                <w:sz w:val="20"/>
              </w:rPr>
              <w:t xml:space="preserve">mutations in </w:t>
            </w:r>
            <w:r w:rsidRPr="000A3E5D">
              <w:rPr>
                <w:rFonts w:asciiTheme="minorHAnsi" w:hAnsiTheme="minorHAnsi" w:cstheme="minorHAnsi"/>
                <w:sz w:val="20"/>
              </w:rPr>
              <w:t>MT-RNR1</w:t>
            </w:r>
            <w:r>
              <w:rPr>
                <w:rFonts w:asciiTheme="minorHAnsi" w:hAnsiTheme="minorHAnsi" w:cstheme="minorHAnsi"/>
                <w:sz w:val="20"/>
              </w:rPr>
              <w:t xml:space="preserve"> gene</w:t>
            </w:r>
            <w:r w:rsidRPr="000A3E5D">
              <w:rPr>
                <w:rFonts w:asciiTheme="minorHAnsi" w:hAnsiTheme="minorHAnsi" w:cstheme="minorHAnsi"/>
                <w:sz w:val="20"/>
              </w:rPr>
              <w:t xml:space="preserve">, a single dose of gentamicin can result in hearing loss. </w:t>
            </w:r>
            <w:r>
              <w:rPr>
                <w:rFonts w:asciiTheme="minorHAnsi" w:hAnsiTheme="minorHAnsi" w:cstheme="minorHAnsi"/>
                <w:sz w:val="20"/>
              </w:rPr>
              <w:t xml:space="preserve">(23,24) Tobramycin share similar drug behaviour as gentamicin and this caution can therefore be extended to tobramycin. </w:t>
            </w:r>
          </w:p>
          <w:p w:rsidR="00155469" w:rsidP="00FE4186" w:rsidRDefault="00155469" w14:paraId="63C8A023" w14:textId="77777777">
            <w:pPr>
              <w:pStyle w:val="BodyText"/>
              <w:tabs>
                <w:tab w:val="left" w:pos="1168"/>
              </w:tabs>
              <w:rPr>
                <w:rFonts w:asciiTheme="minorHAnsi" w:hAnsiTheme="minorHAnsi" w:cstheme="minorHAnsi"/>
                <w:sz w:val="20"/>
              </w:rPr>
            </w:pPr>
          </w:p>
          <w:p w:rsidR="00155469" w:rsidP="00FE4186" w:rsidRDefault="00155469" w14:paraId="22B44DFC" w14:textId="77777777">
            <w:pPr>
              <w:pStyle w:val="BodyText"/>
              <w:tabs>
                <w:tab w:val="left" w:pos="1168"/>
              </w:tabs>
              <w:rPr>
                <w:rFonts w:asciiTheme="minorHAnsi" w:hAnsiTheme="minorHAnsi" w:cstheme="minorHAnsi"/>
                <w:sz w:val="20"/>
              </w:rPr>
            </w:pPr>
            <w:r w:rsidRPr="00DB291B">
              <w:rPr>
                <w:rFonts w:asciiTheme="minorHAnsi" w:hAnsiTheme="minorHAnsi" w:cstheme="minorHAnsi"/>
                <w:sz w:val="20"/>
                <w:u w:val="single"/>
              </w:rPr>
              <w:t>Intraventricular antibiotics</w:t>
            </w:r>
            <w:r>
              <w:rPr>
                <w:rFonts w:asciiTheme="minorHAnsi" w:hAnsiTheme="minorHAnsi" w:cstheme="minorHAnsi"/>
                <w:sz w:val="20"/>
              </w:rPr>
              <w:t xml:space="preserve">: </w:t>
            </w:r>
            <w:r w:rsidRPr="007615F4">
              <w:rPr>
                <w:rFonts w:asciiTheme="minorHAnsi" w:hAnsiTheme="minorHAnsi" w:cstheme="minorHAnsi"/>
                <w:sz w:val="20"/>
              </w:rPr>
              <w:t>In infants with meningitis and ventriculitis, intraventricular antibiotics in combination resulted in a three‐fold increase</w:t>
            </w:r>
            <w:r>
              <w:rPr>
                <w:rFonts w:asciiTheme="minorHAnsi" w:hAnsiTheme="minorHAnsi" w:cstheme="minorHAnsi"/>
                <w:sz w:val="20"/>
              </w:rPr>
              <w:t xml:space="preserve"> in </w:t>
            </w:r>
            <w:r w:rsidRPr="007615F4">
              <w:rPr>
                <w:rFonts w:asciiTheme="minorHAnsi" w:hAnsiTheme="minorHAnsi" w:cstheme="minorHAnsi"/>
                <w:sz w:val="20"/>
              </w:rPr>
              <w:t>mortality compared to standard treatment with intravenous antibiotics alone.</w:t>
            </w:r>
            <w:r>
              <w:rPr>
                <w:rFonts w:asciiTheme="minorHAnsi" w:hAnsiTheme="minorHAnsi" w:cstheme="minorHAnsi"/>
                <w:sz w:val="20"/>
              </w:rPr>
              <w:t xml:space="preserve"> (25)</w:t>
            </w:r>
          </w:p>
          <w:p w:rsidR="00155469" w:rsidP="00FE4186" w:rsidRDefault="00155469" w14:paraId="7A208C44" w14:textId="77777777">
            <w:pPr>
              <w:pStyle w:val="BodyText"/>
              <w:tabs>
                <w:tab w:val="left" w:pos="1168"/>
              </w:tabs>
              <w:rPr>
                <w:rFonts w:asciiTheme="minorHAnsi" w:hAnsiTheme="minorHAnsi" w:cstheme="minorHAnsi"/>
                <w:b/>
                <w:sz w:val="20"/>
              </w:rPr>
            </w:pPr>
          </w:p>
          <w:p w:rsidRPr="003B78EA" w:rsidR="00155469" w:rsidP="00FE4186" w:rsidRDefault="00155469" w14:paraId="4DB21718" w14:textId="77777777">
            <w:pPr>
              <w:pStyle w:val="BodyText"/>
              <w:tabs>
                <w:tab w:val="left" w:pos="1168"/>
              </w:tabs>
              <w:rPr>
                <w:rFonts w:asciiTheme="minorHAnsi" w:hAnsiTheme="minorHAnsi" w:cstheme="minorHAnsi"/>
                <w:b/>
                <w:sz w:val="20"/>
              </w:rPr>
            </w:pPr>
            <w:r w:rsidRPr="003B78EA">
              <w:rPr>
                <w:rFonts w:asciiTheme="minorHAnsi" w:hAnsiTheme="minorHAnsi" w:cstheme="minorHAnsi"/>
                <w:b/>
                <w:sz w:val="20"/>
              </w:rPr>
              <w:t>Pharmacokinetics</w:t>
            </w:r>
          </w:p>
          <w:p w:rsidRPr="003B78EA" w:rsidR="00155469" w:rsidP="00FE4186" w:rsidRDefault="00155469" w14:paraId="442CE071" w14:textId="77777777">
            <w:pPr>
              <w:pStyle w:val="BodyText"/>
              <w:tabs>
                <w:tab w:val="left" w:pos="1168"/>
              </w:tabs>
              <w:rPr>
                <w:rFonts w:asciiTheme="minorHAnsi" w:hAnsiTheme="minorHAnsi" w:cstheme="minorHAnsi"/>
                <w:sz w:val="20"/>
              </w:rPr>
            </w:pPr>
            <w:r>
              <w:rPr>
                <w:rFonts w:asciiTheme="minorHAnsi" w:hAnsiTheme="minorHAnsi" w:cstheme="minorHAnsi"/>
                <w:sz w:val="20"/>
              </w:rPr>
              <w:t>Tobramycin and gentamicin share similar drug behaviour in terms of volume distribution and clearance.</w:t>
            </w:r>
            <w:r>
              <w:t xml:space="preserve"> </w:t>
            </w:r>
            <w:r>
              <w:rPr>
                <w:rFonts w:asciiTheme="minorHAnsi" w:hAnsiTheme="minorHAnsi" w:cstheme="minorHAnsi"/>
                <w:sz w:val="20"/>
              </w:rPr>
              <w:t xml:space="preserve">Main differences are that </w:t>
            </w:r>
            <w:r w:rsidRPr="004D3692">
              <w:rPr>
                <w:rFonts w:asciiTheme="minorHAnsi" w:hAnsiTheme="minorHAnsi" w:cstheme="minorHAnsi"/>
                <w:sz w:val="20"/>
              </w:rPr>
              <w:t>tobramycin clearance and volume</w:t>
            </w:r>
            <w:r>
              <w:rPr>
                <w:rFonts w:asciiTheme="minorHAnsi" w:hAnsiTheme="minorHAnsi" w:cstheme="minorHAnsi"/>
                <w:sz w:val="20"/>
              </w:rPr>
              <w:t xml:space="preserve"> </w:t>
            </w:r>
            <w:r w:rsidRPr="004D3692">
              <w:rPr>
                <w:rFonts w:asciiTheme="minorHAnsi" w:hAnsiTheme="minorHAnsi" w:cstheme="minorHAnsi"/>
                <w:sz w:val="20"/>
              </w:rPr>
              <w:t>of distribution are higher than the respective pharmacokinetic</w:t>
            </w:r>
            <w:r>
              <w:rPr>
                <w:rFonts w:asciiTheme="minorHAnsi" w:hAnsiTheme="minorHAnsi" w:cstheme="minorHAnsi"/>
                <w:sz w:val="20"/>
              </w:rPr>
              <w:t xml:space="preserve"> </w:t>
            </w:r>
            <w:r w:rsidRPr="004D3692">
              <w:rPr>
                <w:rFonts w:asciiTheme="minorHAnsi" w:hAnsiTheme="minorHAnsi" w:cstheme="minorHAnsi"/>
                <w:sz w:val="20"/>
              </w:rPr>
              <w:t>parameters for gentamicin in neonates.</w:t>
            </w:r>
            <w:r>
              <w:rPr>
                <w:rFonts w:asciiTheme="minorHAnsi" w:hAnsiTheme="minorHAnsi" w:cstheme="minorHAnsi"/>
                <w:sz w:val="20"/>
              </w:rPr>
              <w:t xml:space="preserve"> (26) </w:t>
            </w:r>
            <w:r w:rsidRPr="003B78EA">
              <w:rPr>
                <w:rFonts w:asciiTheme="minorHAnsi" w:hAnsiTheme="minorHAnsi" w:cstheme="minorHAnsi"/>
                <w:sz w:val="20"/>
              </w:rPr>
              <w:t>Avent et al</w:t>
            </w:r>
            <w:r>
              <w:rPr>
                <w:rFonts w:asciiTheme="minorHAnsi" w:hAnsiTheme="minorHAnsi" w:cstheme="minorHAnsi"/>
                <w:sz w:val="20"/>
              </w:rPr>
              <w:t>.</w:t>
            </w:r>
            <w:r w:rsidRPr="003B78EA">
              <w:rPr>
                <w:rFonts w:asciiTheme="minorHAnsi" w:hAnsiTheme="minorHAnsi" w:cstheme="minorHAnsi"/>
                <w:sz w:val="20"/>
              </w:rPr>
              <w:t xml:space="preserve"> using the dose regimen recommended in this formulary found only 3% had a subtherapeutic level &lt;5 µg/mL and only </w:t>
            </w:r>
            <w:r>
              <w:rPr>
                <w:rFonts w:asciiTheme="minorHAnsi" w:hAnsiTheme="minorHAnsi" w:cstheme="minorHAnsi"/>
                <w:sz w:val="20"/>
              </w:rPr>
              <w:t>3%</w:t>
            </w:r>
            <w:r w:rsidRPr="003B78EA">
              <w:rPr>
                <w:rFonts w:asciiTheme="minorHAnsi" w:hAnsiTheme="minorHAnsi" w:cstheme="minorHAnsi"/>
                <w:sz w:val="20"/>
              </w:rPr>
              <w:t xml:space="preserve"> exceeded upper therapeutic range of 12 μg/mL</w:t>
            </w:r>
            <w:r>
              <w:rPr>
                <w:rFonts w:asciiTheme="minorHAnsi" w:hAnsiTheme="minorHAnsi" w:cstheme="minorHAnsi"/>
                <w:sz w:val="20"/>
              </w:rPr>
              <w:t>.</w:t>
            </w:r>
            <w:r w:rsidRPr="003B78EA">
              <w:rPr>
                <w:rFonts w:asciiTheme="minorHAnsi" w:hAnsiTheme="minorHAnsi" w:cstheme="minorHAnsi"/>
                <w:sz w:val="20"/>
              </w:rPr>
              <w:t xml:space="preserve"> </w:t>
            </w:r>
            <w:r>
              <w:rPr>
                <w:rFonts w:asciiTheme="minorHAnsi" w:hAnsiTheme="minorHAnsi" w:cstheme="minorHAnsi"/>
                <w:sz w:val="20"/>
              </w:rPr>
              <w:t xml:space="preserve">(1) </w:t>
            </w:r>
            <w:r w:rsidRPr="003B78EA">
              <w:rPr>
                <w:rFonts w:asciiTheme="minorHAnsi" w:hAnsiTheme="minorHAnsi" w:cstheme="minorHAnsi"/>
                <w:sz w:val="20"/>
              </w:rPr>
              <w:t xml:space="preserve">de Hoog et al. 2002 administered 4 mg/kg tobramycin to neonates </w:t>
            </w:r>
            <w:r>
              <w:rPr>
                <w:rFonts w:asciiTheme="minorHAnsi" w:hAnsiTheme="minorHAnsi" w:cstheme="minorHAnsi"/>
                <w:sz w:val="20"/>
              </w:rPr>
              <w:t xml:space="preserve">within 7 days of life </w:t>
            </w:r>
            <w:r w:rsidRPr="003B78EA">
              <w:rPr>
                <w:rFonts w:asciiTheme="minorHAnsi" w:hAnsiTheme="minorHAnsi" w:cstheme="minorHAnsi"/>
                <w:sz w:val="20"/>
              </w:rPr>
              <w:t xml:space="preserve">with dosing interval of 48 h (&lt;32 weeks), 36 h (32-36 weeks) and 24 h (≥37 weeks). Using these dosages, the majority of infants had tobramycin peak concentrations from 5 to 10 μg/mL and trough concentrations from 0.5 to 1 μg/mL. </w:t>
            </w:r>
            <w:r>
              <w:rPr>
                <w:rFonts w:asciiTheme="minorHAnsi" w:hAnsiTheme="minorHAnsi" w:cstheme="minorHAnsi"/>
                <w:sz w:val="20"/>
              </w:rPr>
              <w:t>(10)</w:t>
            </w:r>
          </w:p>
          <w:p w:rsidR="00155469" w:rsidP="00FE4186" w:rsidRDefault="00155469" w14:paraId="08AB1809" w14:textId="77777777">
            <w:pPr>
              <w:pStyle w:val="BodyText"/>
              <w:tabs>
                <w:tab w:val="left" w:pos="1168"/>
              </w:tabs>
              <w:rPr>
                <w:rFonts w:asciiTheme="minorHAnsi" w:hAnsiTheme="minorHAnsi" w:cstheme="minorHAnsi"/>
                <w:sz w:val="20"/>
              </w:rPr>
            </w:pPr>
            <w:r w:rsidRPr="006E32BB">
              <w:rPr>
                <w:rFonts w:asciiTheme="minorHAnsi" w:hAnsiTheme="minorHAnsi" w:cstheme="minorHAnsi"/>
                <w:sz w:val="20"/>
                <w:u w:val="single"/>
              </w:rPr>
              <w:t>Central nervous system (CNS)</w:t>
            </w:r>
            <w:r w:rsidRPr="00DB291B">
              <w:rPr>
                <w:rFonts w:asciiTheme="minorHAnsi" w:hAnsiTheme="minorHAnsi" w:cstheme="minorHAnsi"/>
                <w:sz w:val="20"/>
              </w:rPr>
              <w:t>:</w:t>
            </w:r>
            <w:r>
              <w:rPr>
                <w:rFonts w:asciiTheme="minorHAnsi" w:hAnsiTheme="minorHAnsi" w:cstheme="minorHAnsi"/>
                <w:sz w:val="20"/>
              </w:rPr>
              <w:t xml:space="preserve"> Intravenous a</w:t>
            </w:r>
            <w:r w:rsidRPr="003B78EA">
              <w:rPr>
                <w:rFonts w:asciiTheme="minorHAnsi" w:hAnsiTheme="minorHAnsi" w:cstheme="minorHAnsi"/>
                <w:sz w:val="20"/>
              </w:rPr>
              <w:t>minoglycosides have poor CNS penetration</w:t>
            </w:r>
            <w:r>
              <w:rPr>
                <w:rFonts w:asciiTheme="minorHAnsi" w:hAnsiTheme="minorHAnsi" w:cstheme="minorHAnsi"/>
                <w:sz w:val="20"/>
              </w:rPr>
              <w:t>.</w:t>
            </w:r>
            <w:r w:rsidRPr="003B78EA">
              <w:rPr>
                <w:rFonts w:asciiTheme="minorHAnsi" w:hAnsiTheme="minorHAnsi" w:cstheme="minorHAnsi"/>
                <w:sz w:val="20"/>
              </w:rPr>
              <w:t xml:space="preserve"> (</w:t>
            </w:r>
            <w:r>
              <w:rPr>
                <w:rFonts w:asciiTheme="minorHAnsi" w:hAnsiTheme="minorHAnsi" w:cstheme="minorHAnsi"/>
                <w:sz w:val="20"/>
              </w:rPr>
              <w:t>27)</w:t>
            </w:r>
            <w:r w:rsidRPr="003B78EA">
              <w:rPr>
                <w:rFonts w:asciiTheme="minorHAnsi" w:hAnsiTheme="minorHAnsi" w:cstheme="minorHAnsi"/>
                <w:sz w:val="20"/>
              </w:rPr>
              <w:t xml:space="preserve"> </w:t>
            </w:r>
            <w:r>
              <w:rPr>
                <w:rFonts w:asciiTheme="minorHAnsi" w:hAnsiTheme="minorHAnsi" w:cstheme="minorHAnsi"/>
                <w:sz w:val="20"/>
              </w:rPr>
              <w:t xml:space="preserve">Data are limited </w:t>
            </w:r>
            <w:r w:rsidRPr="003B78EA">
              <w:rPr>
                <w:rFonts w:asciiTheme="minorHAnsi" w:hAnsiTheme="minorHAnsi" w:cstheme="minorHAnsi"/>
                <w:sz w:val="20"/>
              </w:rPr>
              <w:t>on the CSF penetration of tobramycin in neonates and children</w:t>
            </w:r>
            <w:r>
              <w:rPr>
                <w:rFonts w:asciiTheme="minorHAnsi" w:hAnsiTheme="minorHAnsi" w:cstheme="minorHAnsi"/>
                <w:sz w:val="20"/>
              </w:rPr>
              <w:t>.</w:t>
            </w:r>
            <w:r w:rsidRPr="003B78EA">
              <w:rPr>
                <w:rFonts w:asciiTheme="minorHAnsi" w:hAnsiTheme="minorHAnsi" w:cstheme="minorHAnsi"/>
                <w:sz w:val="20"/>
              </w:rPr>
              <w:t xml:space="preserve"> In neonates with septicaemia</w:t>
            </w:r>
            <w:r>
              <w:rPr>
                <w:rFonts w:asciiTheme="minorHAnsi" w:hAnsiTheme="minorHAnsi" w:cstheme="minorHAnsi"/>
                <w:sz w:val="20"/>
              </w:rPr>
              <w:t xml:space="preserve"> </w:t>
            </w:r>
            <w:r w:rsidRPr="003B78EA">
              <w:rPr>
                <w:rFonts w:asciiTheme="minorHAnsi" w:hAnsiTheme="minorHAnsi" w:cstheme="minorHAnsi"/>
                <w:sz w:val="20"/>
              </w:rPr>
              <w:t xml:space="preserve">or meningitis, CSF concentrations were below 0.5 mg/L in 13 of </w:t>
            </w:r>
            <w:r w:rsidRPr="003B78EA">
              <w:rPr>
                <w:rFonts w:asciiTheme="minorHAnsi" w:hAnsiTheme="minorHAnsi" w:cstheme="minorHAnsi"/>
                <w:sz w:val="20"/>
              </w:rPr>
              <w:lastRenderedPageBreak/>
              <w:t>17 neonates after intravenous tobramycin despite measurable serum concentrations</w:t>
            </w:r>
            <w:r>
              <w:rPr>
                <w:rFonts w:asciiTheme="minorHAnsi" w:hAnsiTheme="minorHAnsi" w:cstheme="minorHAnsi"/>
                <w:sz w:val="20"/>
              </w:rPr>
              <w:t>.</w:t>
            </w:r>
            <w:r w:rsidRPr="003B78EA">
              <w:rPr>
                <w:rFonts w:asciiTheme="minorHAnsi" w:hAnsiTheme="minorHAnsi" w:cstheme="minorHAnsi"/>
                <w:sz w:val="20"/>
              </w:rPr>
              <w:t xml:space="preserve"> (</w:t>
            </w:r>
            <w:r>
              <w:rPr>
                <w:rFonts w:asciiTheme="minorHAnsi" w:hAnsiTheme="minorHAnsi" w:cstheme="minorHAnsi"/>
                <w:sz w:val="20"/>
              </w:rPr>
              <w:t>28)</w:t>
            </w:r>
            <w:r w:rsidRPr="003B78EA">
              <w:rPr>
                <w:rFonts w:asciiTheme="minorHAnsi" w:hAnsiTheme="minorHAnsi" w:cstheme="minorHAnsi"/>
                <w:sz w:val="20"/>
              </w:rPr>
              <w:t xml:space="preserve"> There is a case report of post-shunt revision Pseudomonas meningitis/ ventriculitis that was treated by intraventricular tobramycin (1-5 mg daily intrathecally with a target trough CSF concentration of 5-10 µg/L) in conjunction with intravenous tobramycin and ceftazidime</w:t>
            </w:r>
            <w:r>
              <w:rPr>
                <w:rFonts w:asciiTheme="minorHAnsi" w:hAnsiTheme="minorHAnsi" w:cstheme="minorHAnsi"/>
                <w:sz w:val="20"/>
              </w:rPr>
              <w:t xml:space="preserve"> (29</w:t>
            </w:r>
            <w:r w:rsidRPr="003B78EA">
              <w:rPr>
                <w:rFonts w:asciiTheme="minorHAnsi" w:hAnsiTheme="minorHAnsi" w:cstheme="minorHAnsi"/>
                <w:sz w:val="20"/>
              </w:rPr>
              <w:t>). However, possible toxicities associated with administering aminoglycosides directly into the CSF and the relationship between CSF concentration and toxicity have not been studied.</w:t>
            </w:r>
          </w:p>
          <w:p w:rsidR="00155469" w:rsidP="00FE4186" w:rsidRDefault="00155469" w14:paraId="26C5C19A" w14:textId="77777777">
            <w:pPr>
              <w:pStyle w:val="BodyText"/>
              <w:tabs>
                <w:tab w:val="left" w:pos="1168"/>
              </w:tabs>
              <w:rPr>
                <w:rFonts w:asciiTheme="minorHAnsi" w:hAnsiTheme="minorHAnsi" w:cstheme="minorHAnsi"/>
                <w:sz w:val="20"/>
              </w:rPr>
            </w:pPr>
            <w:r w:rsidRPr="00584521">
              <w:rPr>
                <w:rFonts w:asciiTheme="minorHAnsi" w:hAnsiTheme="minorHAnsi" w:cstheme="minorHAnsi"/>
                <w:sz w:val="20"/>
                <w:u w:val="single"/>
              </w:rPr>
              <w:t>Aminoglycosides and therapeutic hypothermia</w:t>
            </w:r>
            <w:r>
              <w:rPr>
                <w:rFonts w:asciiTheme="minorHAnsi" w:hAnsiTheme="minorHAnsi" w:cstheme="minorHAnsi"/>
                <w:sz w:val="20"/>
                <w:u w:val="single"/>
              </w:rPr>
              <w:t xml:space="preserve"> (TH)</w:t>
            </w:r>
            <w:r>
              <w:rPr>
                <w:rFonts w:asciiTheme="minorHAnsi" w:hAnsiTheme="minorHAnsi" w:cstheme="minorHAnsi"/>
                <w:sz w:val="20"/>
              </w:rPr>
              <w:t xml:space="preserve">: Pharmacokinetic data for aminoglycosides in TH are available for gentamicin and amikacin. Same principle can be applied to tobramycin. Aminoglycoside clearance is significantly lower in TH. (2,6,7,8,30) </w:t>
            </w:r>
          </w:p>
          <w:p w:rsidR="00155469" w:rsidP="00FE4186" w:rsidRDefault="00155469" w14:paraId="0BA0EA7E" w14:textId="77777777">
            <w:pPr>
              <w:pStyle w:val="BodyText"/>
              <w:tabs>
                <w:tab w:val="left" w:pos="1168"/>
              </w:tabs>
              <w:rPr>
                <w:rFonts w:asciiTheme="minorHAnsi" w:hAnsiTheme="minorHAnsi" w:cstheme="minorHAnsi"/>
                <w:sz w:val="20"/>
              </w:rPr>
            </w:pPr>
            <w:r w:rsidRPr="00584521">
              <w:rPr>
                <w:rFonts w:asciiTheme="minorHAnsi" w:hAnsiTheme="minorHAnsi" w:cstheme="minorHAnsi"/>
                <w:sz w:val="20"/>
                <w:u w:val="single"/>
              </w:rPr>
              <w:t>Aminoglycosides and ECMO</w:t>
            </w:r>
            <w:r>
              <w:rPr>
                <w:rFonts w:asciiTheme="minorHAnsi" w:hAnsiTheme="minorHAnsi" w:cstheme="minorHAnsi"/>
                <w:sz w:val="20"/>
              </w:rPr>
              <w:t xml:space="preserve">: </w:t>
            </w:r>
            <w:r w:rsidRPr="006229DA">
              <w:rPr>
                <w:rFonts w:asciiTheme="minorHAnsi" w:hAnsiTheme="minorHAnsi" w:cstheme="minorHAnsi"/>
                <w:sz w:val="20"/>
              </w:rPr>
              <w:t>During</w:t>
            </w:r>
            <w:r>
              <w:rPr>
                <w:rFonts w:asciiTheme="minorHAnsi" w:hAnsiTheme="minorHAnsi" w:cstheme="minorHAnsi"/>
                <w:sz w:val="20"/>
              </w:rPr>
              <w:t xml:space="preserve"> </w:t>
            </w:r>
            <w:r w:rsidRPr="006229DA">
              <w:rPr>
                <w:rFonts w:asciiTheme="minorHAnsi" w:hAnsiTheme="minorHAnsi" w:cstheme="minorHAnsi"/>
                <w:sz w:val="20"/>
              </w:rPr>
              <w:t xml:space="preserve">ECMO, gentamicin </w:t>
            </w:r>
            <w:r>
              <w:rPr>
                <w:rFonts w:asciiTheme="minorHAnsi" w:hAnsiTheme="minorHAnsi" w:cstheme="minorHAnsi"/>
                <w:sz w:val="20"/>
              </w:rPr>
              <w:t>has</w:t>
            </w:r>
            <w:r w:rsidRPr="006229DA">
              <w:rPr>
                <w:rFonts w:asciiTheme="minorHAnsi" w:hAnsiTheme="minorHAnsi" w:cstheme="minorHAnsi"/>
                <w:sz w:val="20"/>
              </w:rPr>
              <w:t xml:space="preserve"> an increased</w:t>
            </w:r>
            <w:r>
              <w:rPr>
                <w:rFonts w:asciiTheme="minorHAnsi" w:hAnsiTheme="minorHAnsi" w:cstheme="minorHAnsi"/>
                <w:sz w:val="20"/>
              </w:rPr>
              <w:t xml:space="preserve"> volume of distribution (</w:t>
            </w:r>
            <w:r w:rsidRPr="006229DA">
              <w:rPr>
                <w:rFonts w:asciiTheme="minorHAnsi" w:hAnsiTheme="minorHAnsi" w:cstheme="minorHAnsi"/>
                <w:sz w:val="20"/>
              </w:rPr>
              <w:t>Vd</w:t>
            </w:r>
            <w:r>
              <w:rPr>
                <w:rFonts w:asciiTheme="minorHAnsi" w:hAnsiTheme="minorHAnsi" w:cstheme="minorHAnsi"/>
                <w:sz w:val="20"/>
              </w:rPr>
              <w:t>)</w:t>
            </w:r>
            <w:r w:rsidRPr="006229DA">
              <w:rPr>
                <w:rFonts w:asciiTheme="minorHAnsi" w:hAnsiTheme="minorHAnsi" w:cstheme="minorHAnsi"/>
                <w:sz w:val="20"/>
              </w:rPr>
              <w:t xml:space="preserve">, and decreased </w:t>
            </w:r>
            <w:r>
              <w:rPr>
                <w:rFonts w:asciiTheme="minorHAnsi" w:hAnsiTheme="minorHAnsi" w:cstheme="minorHAnsi"/>
                <w:sz w:val="20"/>
              </w:rPr>
              <w:t>clearance (</w:t>
            </w:r>
            <w:r w:rsidRPr="006229DA">
              <w:rPr>
                <w:rFonts w:asciiTheme="minorHAnsi" w:hAnsiTheme="minorHAnsi" w:cstheme="minorHAnsi"/>
                <w:sz w:val="20"/>
              </w:rPr>
              <w:t>Cl</w:t>
            </w:r>
            <w:r>
              <w:rPr>
                <w:rFonts w:asciiTheme="minorHAnsi" w:hAnsiTheme="minorHAnsi" w:cstheme="minorHAnsi"/>
                <w:sz w:val="20"/>
              </w:rPr>
              <w:t>)</w:t>
            </w:r>
            <w:r w:rsidRPr="006229DA">
              <w:rPr>
                <w:rFonts w:asciiTheme="minorHAnsi" w:hAnsiTheme="minorHAnsi" w:cstheme="minorHAnsi"/>
                <w:sz w:val="20"/>
              </w:rPr>
              <w:t>, leading to a prolonged</w:t>
            </w:r>
            <w:r>
              <w:rPr>
                <w:rFonts w:asciiTheme="minorHAnsi" w:hAnsiTheme="minorHAnsi" w:cstheme="minorHAnsi"/>
                <w:sz w:val="20"/>
              </w:rPr>
              <w:t xml:space="preserve"> </w:t>
            </w:r>
            <w:r w:rsidRPr="006229DA">
              <w:rPr>
                <w:rFonts w:asciiTheme="minorHAnsi" w:hAnsiTheme="minorHAnsi" w:cstheme="minorHAnsi"/>
                <w:sz w:val="20"/>
              </w:rPr>
              <w:t>elimination half-life. The renal dysfunction, which</w:t>
            </w:r>
            <w:r>
              <w:rPr>
                <w:rFonts w:asciiTheme="minorHAnsi" w:hAnsiTheme="minorHAnsi" w:cstheme="minorHAnsi"/>
                <w:sz w:val="20"/>
              </w:rPr>
              <w:t xml:space="preserve"> </w:t>
            </w:r>
            <w:r w:rsidRPr="006229DA">
              <w:rPr>
                <w:rFonts w:asciiTheme="minorHAnsi" w:hAnsiTheme="minorHAnsi" w:cstheme="minorHAnsi"/>
                <w:sz w:val="20"/>
              </w:rPr>
              <w:t xml:space="preserve">is a common condition during ECMO, </w:t>
            </w:r>
            <w:r>
              <w:rPr>
                <w:rFonts w:asciiTheme="minorHAnsi" w:hAnsiTheme="minorHAnsi" w:cstheme="minorHAnsi"/>
                <w:sz w:val="20"/>
              </w:rPr>
              <w:t>is probably</w:t>
            </w:r>
            <w:r w:rsidRPr="006229DA">
              <w:rPr>
                <w:rFonts w:asciiTheme="minorHAnsi" w:hAnsiTheme="minorHAnsi" w:cstheme="minorHAnsi"/>
                <w:sz w:val="20"/>
              </w:rPr>
              <w:t xml:space="preserve"> the main determinant of the prolonged</w:t>
            </w:r>
            <w:r>
              <w:rPr>
                <w:rFonts w:asciiTheme="minorHAnsi" w:hAnsiTheme="minorHAnsi" w:cstheme="minorHAnsi"/>
                <w:sz w:val="20"/>
              </w:rPr>
              <w:t xml:space="preserve"> </w:t>
            </w:r>
            <w:r w:rsidRPr="006229DA">
              <w:rPr>
                <w:rFonts w:asciiTheme="minorHAnsi" w:hAnsiTheme="minorHAnsi" w:cstheme="minorHAnsi"/>
                <w:sz w:val="20"/>
              </w:rPr>
              <w:t>elimination half-life of gentamicin</w:t>
            </w:r>
            <w:r>
              <w:rPr>
                <w:rFonts w:asciiTheme="minorHAnsi" w:hAnsiTheme="minorHAnsi" w:cstheme="minorHAnsi"/>
                <w:sz w:val="20"/>
              </w:rPr>
              <w:t xml:space="preserve">. </w:t>
            </w:r>
            <w:r w:rsidRPr="006229DA">
              <w:rPr>
                <w:rFonts w:asciiTheme="minorHAnsi" w:hAnsiTheme="minorHAnsi" w:cstheme="minorHAnsi"/>
                <w:sz w:val="20"/>
              </w:rPr>
              <w:t>Given the concentration</w:t>
            </w:r>
            <w:r>
              <w:rPr>
                <w:rFonts w:asciiTheme="minorHAnsi" w:hAnsiTheme="minorHAnsi" w:cstheme="minorHAnsi"/>
                <w:sz w:val="20"/>
              </w:rPr>
              <w:t xml:space="preserve"> </w:t>
            </w:r>
            <w:r w:rsidRPr="006229DA">
              <w:rPr>
                <w:rFonts w:asciiTheme="minorHAnsi" w:hAnsiTheme="minorHAnsi" w:cstheme="minorHAnsi"/>
                <w:sz w:val="20"/>
              </w:rPr>
              <w:t>dependent</w:t>
            </w:r>
            <w:r>
              <w:rPr>
                <w:rFonts w:asciiTheme="minorHAnsi" w:hAnsiTheme="minorHAnsi" w:cstheme="minorHAnsi"/>
                <w:sz w:val="20"/>
              </w:rPr>
              <w:t xml:space="preserve"> </w:t>
            </w:r>
            <w:r w:rsidRPr="006229DA">
              <w:rPr>
                <w:rFonts w:asciiTheme="minorHAnsi" w:hAnsiTheme="minorHAnsi" w:cstheme="minorHAnsi"/>
                <w:sz w:val="20"/>
              </w:rPr>
              <w:t>antimicrobial activity of aminoglycosides, it is</w:t>
            </w:r>
            <w:r>
              <w:rPr>
                <w:rFonts w:asciiTheme="minorHAnsi" w:hAnsiTheme="minorHAnsi" w:cstheme="minorHAnsi"/>
                <w:sz w:val="20"/>
              </w:rPr>
              <w:t xml:space="preserve"> </w:t>
            </w:r>
            <w:r w:rsidRPr="006229DA">
              <w:rPr>
                <w:rFonts w:asciiTheme="minorHAnsi" w:hAnsiTheme="minorHAnsi" w:cstheme="minorHAnsi"/>
                <w:sz w:val="20"/>
              </w:rPr>
              <w:t xml:space="preserve">recommended to perform </w:t>
            </w:r>
            <w:r>
              <w:rPr>
                <w:rFonts w:asciiTheme="minorHAnsi" w:hAnsiTheme="minorHAnsi" w:cstheme="minorHAnsi"/>
                <w:sz w:val="20"/>
              </w:rPr>
              <w:t>therapeutic drug monitoring (</w:t>
            </w:r>
            <w:r w:rsidRPr="006229DA">
              <w:rPr>
                <w:rFonts w:asciiTheme="minorHAnsi" w:hAnsiTheme="minorHAnsi" w:cstheme="minorHAnsi"/>
                <w:sz w:val="20"/>
              </w:rPr>
              <w:t>TDM</w:t>
            </w:r>
            <w:r>
              <w:rPr>
                <w:rFonts w:asciiTheme="minorHAnsi" w:hAnsiTheme="minorHAnsi" w:cstheme="minorHAnsi"/>
                <w:sz w:val="20"/>
              </w:rPr>
              <w:t>)</w:t>
            </w:r>
            <w:r w:rsidRPr="006229DA">
              <w:rPr>
                <w:rFonts w:asciiTheme="minorHAnsi" w:hAnsiTheme="minorHAnsi" w:cstheme="minorHAnsi"/>
                <w:sz w:val="20"/>
              </w:rPr>
              <w:t xml:space="preserve"> to ensure adequate</w:t>
            </w:r>
            <w:r>
              <w:rPr>
                <w:rFonts w:asciiTheme="minorHAnsi" w:hAnsiTheme="minorHAnsi" w:cstheme="minorHAnsi"/>
                <w:sz w:val="20"/>
              </w:rPr>
              <w:t xml:space="preserve"> </w:t>
            </w:r>
            <w:r w:rsidRPr="006229DA">
              <w:rPr>
                <w:rFonts w:asciiTheme="minorHAnsi" w:hAnsiTheme="minorHAnsi" w:cstheme="minorHAnsi"/>
                <w:sz w:val="20"/>
              </w:rPr>
              <w:t>antimicrobial exposure.</w:t>
            </w:r>
            <w:r>
              <w:rPr>
                <w:rFonts w:asciiTheme="minorHAnsi" w:hAnsiTheme="minorHAnsi" w:cstheme="minorHAnsi"/>
                <w:sz w:val="20"/>
              </w:rPr>
              <w:t xml:space="preserve"> (9). Same principle can be applied to tobramycin. </w:t>
            </w:r>
          </w:p>
          <w:p w:rsidRPr="003B78EA" w:rsidR="00155469" w:rsidP="00FE4186" w:rsidRDefault="00155469" w14:paraId="3750AA6F" w14:textId="77777777">
            <w:pPr>
              <w:pStyle w:val="BodyText"/>
              <w:tabs>
                <w:tab w:val="left" w:pos="1168"/>
              </w:tabs>
              <w:rPr>
                <w:rFonts w:asciiTheme="minorHAnsi" w:hAnsiTheme="minorHAnsi" w:cstheme="minorHAnsi"/>
                <w:sz w:val="20"/>
              </w:rPr>
            </w:pPr>
            <w:r w:rsidRPr="007D4AAF">
              <w:rPr>
                <w:rFonts w:asciiTheme="minorHAnsi" w:hAnsiTheme="minorHAnsi" w:cstheme="minorHAnsi"/>
                <w:sz w:val="20"/>
                <w:u w:val="single"/>
              </w:rPr>
              <w:t>Aminoglycosides and cyclo-oxygen</w:t>
            </w:r>
            <w:r>
              <w:rPr>
                <w:rFonts w:asciiTheme="minorHAnsi" w:hAnsiTheme="minorHAnsi" w:cstheme="minorHAnsi"/>
                <w:sz w:val="20"/>
                <w:u w:val="single"/>
              </w:rPr>
              <w:t>as</w:t>
            </w:r>
            <w:r w:rsidRPr="007D4AAF">
              <w:rPr>
                <w:rFonts w:asciiTheme="minorHAnsi" w:hAnsiTheme="minorHAnsi" w:cstheme="minorHAnsi"/>
                <w:sz w:val="20"/>
                <w:u w:val="single"/>
              </w:rPr>
              <w:t>e inh</w:t>
            </w:r>
            <w:r>
              <w:rPr>
                <w:rFonts w:asciiTheme="minorHAnsi" w:hAnsiTheme="minorHAnsi" w:cstheme="minorHAnsi"/>
                <w:sz w:val="20"/>
                <w:u w:val="single"/>
              </w:rPr>
              <w:t>i</w:t>
            </w:r>
            <w:r w:rsidRPr="007D4AAF">
              <w:rPr>
                <w:rFonts w:asciiTheme="minorHAnsi" w:hAnsiTheme="minorHAnsi" w:cstheme="minorHAnsi"/>
                <w:sz w:val="20"/>
                <w:u w:val="single"/>
              </w:rPr>
              <w:t>bitors</w:t>
            </w:r>
            <w:r>
              <w:rPr>
                <w:rFonts w:asciiTheme="minorHAnsi" w:hAnsiTheme="minorHAnsi" w:cstheme="minorHAnsi"/>
                <w:sz w:val="20"/>
              </w:rPr>
              <w:t xml:space="preserve">: </w:t>
            </w:r>
            <w:r w:rsidRPr="007D4AAF">
              <w:rPr>
                <w:rFonts w:asciiTheme="minorHAnsi" w:hAnsiTheme="minorHAnsi" w:cstheme="minorHAnsi"/>
                <w:sz w:val="20"/>
              </w:rPr>
              <w:t>Renal drug clearance of aminoglycos</w:t>
            </w:r>
            <w:r>
              <w:rPr>
                <w:rFonts w:asciiTheme="minorHAnsi" w:hAnsiTheme="minorHAnsi" w:cstheme="minorHAnsi"/>
                <w:sz w:val="20"/>
              </w:rPr>
              <w:t>id</w:t>
            </w:r>
            <w:r w:rsidRPr="007D4AAF">
              <w:rPr>
                <w:rFonts w:asciiTheme="minorHAnsi" w:hAnsiTheme="minorHAnsi" w:cstheme="minorHAnsi"/>
                <w:sz w:val="20"/>
              </w:rPr>
              <w:t>es is lo</w:t>
            </w:r>
            <w:r>
              <w:rPr>
                <w:rFonts w:asciiTheme="minorHAnsi" w:hAnsiTheme="minorHAnsi" w:cstheme="minorHAnsi"/>
                <w:sz w:val="20"/>
              </w:rPr>
              <w:t>wer in infants on cyclo-oxygenas</w:t>
            </w:r>
            <w:r w:rsidRPr="007D4AAF">
              <w:rPr>
                <w:rFonts w:asciiTheme="minorHAnsi" w:hAnsiTheme="minorHAnsi" w:cstheme="minorHAnsi"/>
                <w:sz w:val="20"/>
              </w:rPr>
              <w:t>e inh</w:t>
            </w:r>
            <w:r>
              <w:rPr>
                <w:rFonts w:asciiTheme="minorHAnsi" w:hAnsiTheme="minorHAnsi" w:cstheme="minorHAnsi"/>
                <w:sz w:val="20"/>
              </w:rPr>
              <w:t>i</w:t>
            </w:r>
            <w:r w:rsidRPr="007D4AAF">
              <w:rPr>
                <w:rFonts w:asciiTheme="minorHAnsi" w:hAnsiTheme="minorHAnsi" w:cstheme="minorHAnsi"/>
                <w:sz w:val="20"/>
              </w:rPr>
              <w:t>bitors. (</w:t>
            </w:r>
            <w:r>
              <w:rPr>
                <w:rFonts w:asciiTheme="minorHAnsi" w:hAnsiTheme="minorHAnsi" w:cstheme="minorHAnsi"/>
                <w:sz w:val="20"/>
              </w:rPr>
              <w:t>4,5</w:t>
            </w:r>
            <w:r w:rsidRPr="007D4AAF">
              <w:rPr>
                <w:rFonts w:asciiTheme="minorHAnsi" w:hAnsiTheme="minorHAnsi" w:cstheme="minorHAnsi"/>
                <w:sz w:val="20"/>
              </w:rPr>
              <w:t xml:space="preserve">)  </w:t>
            </w:r>
          </w:p>
        </w:tc>
      </w:tr>
      <w:tr w:rsidRPr="003B78EA" w:rsidR="00155469" w:rsidTr="004C4A84" w14:paraId="2A2DB808" w14:textId="77777777">
        <w:trPr>
          <w:trHeight w:val="108"/>
        </w:trPr>
        <w:tc>
          <w:tcPr>
            <w:tcW w:w="1730" w:type="dxa"/>
          </w:tcPr>
          <w:p w:rsidRPr="003B78EA" w:rsidR="00155469" w:rsidP="00FE4186" w:rsidRDefault="00155469" w14:paraId="22EF7223" w14:textId="77777777">
            <w:pPr>
              <w:pStyle w:val="BodyText"/>
              <w:rPr>
                <w:rFonts w:asciiTheme="minorHAnsi" w:hAnsiTheme="minorHAnsi" w:cstheme="minorHAnsi"/>
                <w:b/>
                <w:bCs/>
                <w:sz w:val="20"/>
              </w:rPr>
            </w:pPr>
            <w:r w:rsidRPr="003B78EA">
              <w:rPr>
                <w:rFonts w:asciiTheme="minorHAnsi" w:hAnsiTheme="minorHAnsi" w:cstheme="minorHAnsi"/>
                <w:b/>
                <w:bCs/>
                <w:sz w:val="20"/>
              </w:rPr>
              <w:lastRenderedPageBreak/>
              <w:t>Practice points</w:t>
            </w:r>
          </w:p>
        </w:tc>
        <w:tc>
          <w:tcPr>
            <w:tcW w:w="7513" w:type="dxa"/>
          </w:tcPr>
          <w:p w:rsidRPr="004C4A84" w:rsidR="00155469" w:rsidP="00FE4186" w:rsidRDefault="00155469" w14:paraId="56FA63C2" w14:textId="77777777">
            <w:pPr>
              <w:pStyle w:val="BodyText"/>
              <w:tabs>
                <w:tab w:val="left" w:pos="1168"/>
              </w:tabs>
              <w:rPr>
                <w:rFonts w:asciiTheme="minorHAnsi" w:hAnsiTheme="minorHAnsi" w:cstheme="minorHAnsi"/>
                <w:b/>
                <w:sz w:val="16"/>
                <w:szCs w:val="16"/>
              </w:rPr>
            </w:pPr>
            <w:r w:rsidRPr="004C4A84">
              <w:rPr>
                <w:rFonts w:asciiTheme="minorHAnsi" w:hAnsiTheme="minorHAnsi" w:cstheme="minorHAnsi"/>
                <w:b/>
                <w:sz w:val="16"/>
                <w:szCs w:val="16"/>
              </w:rPr>
              <w:t>Dose</w:t>
            </w:r>
          </w:p>
          <w:p w:rsidRPr="004C4A84" w:rsidR="00155469" w:rsidP="00FE4186" w:rsidRDefault="00155469" w14:paraId="5ED1E869" w14:textId="77777777">
            <w:pPr>
              <w:pStyle w:val="BodyText"/>
              <w:tabs>
                <w:tab w:val="left" w:pos="1168"/>
              </w:tabs>
              <w:rPr>
                <w:rFonts w:asciiTheme="minorHAnsi" w:hAnsiTheme="minorHAnsi" w:cstheme="minorHAnsi"/>
                <w:b/>
                <w:sz w:val="16"/>
                <w:szCs w:val="16"/>
              </w:rPr>
            </w:pPr>
            <w:r w:rsidRPr="004C4A84">
              <w:rPr>
                <w:rFonts w:asciiTheme="minorHAnsi" w:hAnsiTheme="minorHAnsi" w:cstheme="minorHAnsi"/>
                <w:sz w:val="16"/>
                <w:szCs w:val="16"/>
              </w:rPr>
              <w:t>Recommended dose regimen is based on Avent et al. 2002 in view of generalisability across all gestational and postnatal age groups. (1) (LOE III-3, GOR B)</w:t>
            </w:r>
          </w:p>
          <w:p w:rsidRPr="004C4A84" w:rsidR="00155469" w:rsidP="00FE4186" w:rsidRDefault="00155469" w14:paraId="35CDE34E"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b/>
                <w:sz w:val="16"/>
                <w:szCs w:val="16"/>
              </w:rPr>
              <w:t>Dose adjustment</w:t>
            </w:r>
          </w:p>
          <w:p w:rsidRPr="004C4A84" w:rsidR="00155469" w:rsidP="00FE4186" w:rsidRDefault="00155469" w14:paraId="3695F50A" w14:textId="77777777">
            <w:pPr>
              <w:pStyle w:val="BodyText"/>
              <w:tabs>
                <w:tab w:val="left" w:pos="1168"/>
              </w:tabs>
              <w:rPr>
                <w:rFonts w:asciiTheme="minorHAnsi" w:hAnsiTheme="minorHAnsi" w:cstheme="minorHAnsi"/>
                <w:b/>
                <w:sz w:val="16"/>
                <w:szCs w:val="16"/>
              </w:rPr>
            </w:pPr>
            <w:r w:rsidRPr="004C4A84">
              <w:rPr>
                <w:rFonts w:asciiTheme="minorHAnsi" w:hAnsiTheme="minorHAnsi" w:cstheme="minorHAnsi"/>
                <w:sz w:val="16"/>
                <w:szCs w:val="16"/>
              </w:rPr>
              <w:t>An increased dosing interval is recommended in therapeutic hypothermia. (2,6,7,8,30) (LOE IV, GOR C)</w:t>
            </w:r>
          </w:p>
          <w:p w:rsidRPr="004C4A84" w:rsidR="00155469" w:rsidP="00FE4186" w:rsidRDefault="00155469" w14:paraId="31E641F9"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An increased dosing interval is recommended in infants on cyclo-oxygenase inhibitors. (4,5) (LOE IV, GOR B)</w:t>
            </w:r>
          </w:p>
          <w:p w:rsidRPr="004C4A84" w:rsidR="00155469" w:rsidP="00FE4186" w:rsidRDefault="00155469" w14:paraId="697DAFEB" w14:textId="77777777">
            <w:pPr>
              <w:pStyle w:val="BodyText"/>
              <w:tabs>
                <w:tab w:val="left" w:pos="1168"/>
              </w:tabs>
              <w:rPr>
                <w:rFonts w:asciiTheme="minorHAnsi" w:hAnsiTheme="minorHAnsi" w:cstheme="minorHAnsi"/>
                <w:b/>
                <w:sz w:val="16"/>
                <w:szCs w:val="16"/>
              </w:rPr>
            </w:pPr>
            <w:r w:rsidRPr="004C4A84">
              <w:rPr>
                <w:rFonts w:asciiTheme="minorHAnsi" w:hAnsiTheme="minorHAnsi" w:cstheme="minorHAnsi"/>
                <w:b/>
                <w:sz w:val="16"/>
                <w:szCs w:val="16"/>
              </w:rPr>
              <w:t>Monitoring</w:t>
            </w:r>
          </w:p>
          <w:p w:rsidRPr="004C4A84" w:rsidR="00155469" w:rsidP="00FE4186" w:rsidRDefault="00155469" w14:paraId="15D2A8A2"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Trough and peak concentrations are not required routinely. (1) (LOE III-3, GOR B)</w:t>
            </w:r>
          </w:p>
          <w:p w:rsidRPr="004C4A84" w:rsidR="00155469" w:rsidP="00FE4186" w:rsidRDefault="00155469" w14:paraId="4D9C15A9"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Duration of therapy &gt;5 days – Perform trough concentration prior to dose on day 5. (10) (LOE IV, GOR B)</w:t>
            </w:r>
          </w:p>
          <w:p w:rsidRPr="004C4A84" w:rsidR="00155469" w:rsidP="00FE4186" w:rsidRDefault="00155469" w14:paraId="77F7C0D1"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Perinatal hypoxia – Perform trough concentrations prior to every dose. (10) (LOE IV, GOR B)</w:t>
            </w:r>
          </w:p>
          <w:p w:rsidRPr="004C4A84" w:rsidR="00155469" w:rsidP="00FE4186" w:rsidRDefault="00155469" w14:paraId="76AD1C9D"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Renal impairment – Perform trough concentrations prior to every dose. (10) (LOE IV, GOR B)</w:t>
            </w:r>
          </w:p>
          <w:p w:rsidRPr="004C4A84" w:rsidR="00155469" w:rsidP="00FE4186" w:rsidRDefault="00155469" w14:paraId="6A2FBBA1"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Concomitant use of other nephrotoxic agents – Perform trough concentrations prior to every dose. (10) (LOE IV, GOR B)</w:t>
            </w:r>
          </w:p>
          <w:p w:rsidRPr="004C4A84" w:rsidR="00155469" w:rsidP="00FE4186" w:rsidRDefault="00155469" w14:paraId="443DEE6C"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ECMO – Perform trough concentration before 2</w:t>
            </w:r>
            <w:r w:rsidRPr="004C4A84">
              <w:rPr>
                <w:rFonts w:asciiTheme="minorHAnsi" w:hAnsiTheme="minorHAnsi" w:cstheme="minorHAnsi"/>
                <w:sz w:val="16"/>
                <w:szCs w:val="16"/>
                <w:vertAlign w:val="superscript"/>
              </w:rPr>
              <w:t>nd</w:t>
            </w:r>
            <w:r w:rsidRPr="004C4A84">
              <w:rPr>
                <w:rFonts w:asciiTheme="minorHAnsi" w:hAnsiTheme="minorHAnsi" w:cstheme="minorHAnsi"/>
                <w:sz w:val="16"/>
                <w:szCs w:val="16"/>
              </w:rPr>
              <w:t xml:space="preserve"> dose. (9) (LOE IV, GOR C)</w:t>
            </w:r>
          </w:p>
          <w:p w:rsidRPr="004C4A84" w:rsidR="00155469" w:rsidP="00FE4186" w:rsidRDefault="00155469" w14:paraId="16F08465" w14:textId="77777777">
            <w:pPr>
              <w:pStyle w:val="BodyText"/>
              <w:tabs>
                <w:tab w:val="left" w:pos="1168"/>
              </w:tabs>
              <w:rPr>
                <w:rFonts w:asciiTheme="minorHAnsi" w:hAnsiTheme="minorHAnsi" w:cstheme="minorHAnsi"/>
                <w:b/>
                <w:sz w:val="16"/>
                <w:szCs w:val="16"/>
              </w:rPr>
            </w:pPr>
            <w:r w:rsidRPr="004C4A84">
              <w:rPr>
                <w:rFonts w:asciiTheme="minorHAnsi" w:hAnsiTheme="minorHAnsi" w:cstheme="minorHAnsi"/>
                <w:b/>
                <w:sz w:val="16"/>
                <w:szCs w:val="16"/>
              </w:rPr>
              <w:t>Route</w:t>
            </w:r>
          </w:p>
          <w:p w:rsidRPr="004C4A84" w:rsidR="00155469" w:rsidP="00FE4186" w:rsidRDefault="00155469" w14:paraId="2413E465" w14:textId="77777777">
            <w:pPr>
              <w:pStyle w:val="BodyText"/>
              <w:tabs>
                <w:tab w:val="left" w:pos="1168"/>
              </w:tabs>
              <w:rPr>
                <w:rFonts w:asciiTheme="minorHAnsi" w:hAnsiTheme="minorHAnsi" w:cstheme="minorHAnsi"/>
                <w:sz w:val="16"/>
                <w:szCs w:val="16"/>
              </w:rPr>
            </w:pPr>
            <w:r w:rsidRPr="004C4A84">
              <w:rPr>
                <w:rFonts w:asciiTheme="minorHAnsi" w:hAnsiTheme="minorHAnsi" w:cstheme="minorHAnsi"/>
                <w:sz w:val="16"/>
                <w:szCs w:val="16"/>
              </w:rPr>
              <w:t>Intraventricular antibiotics are associated with increased mortality and should be avoided. (LOE II, GOR B)</w:t>
            </w:r>
          </w:p>
        </w:tc>
      </w:tr>
      <w:tr w:rsidRPr="003B78EA" w:rsidR="00155469" w:rsidTr="004C4A84" w14:paraId="63B29B1C" w14:textId="77777777">
        <w:trPr>
          <w:trHeight w:val="70"/>
        </w:trPr>
        <w:tc>
          <w:tcPr>
            <w:tcW w:w="1730" w:type="dxa"/>
          </w:tcPr>
          <w:p w:rsidRPr="003B78EA" w:rsidR="00155469" w:rsidP="00FE4186" w:rsidRDefault="00155469" w14:paraId="36F9CD5E" w14:textId="77777777">
            <w:pPr>
              <w:pStyle w:val="BodyText"/>
              <w:rPr>
                <w:rFonts w:asciiTheme="minorHAnsi" w:hAnsiTheme="minorHAnsi" w:cstheme="minorHAnsi"/>
                <w:b/>
                <w:bCs/>
                <w:sz w:val="20"/>
              </w:rPr>
            </w:pPr>
            <w:r w:rsidRPr="003B78EA">
              <w:rPr>
                <w:rFonts w:asciiTheme="minorHAnsi" w:hAnsiTheme="minorHAnsi" w:cstheme="minorHAnsi"/>
                <w:b/>
                <w:sz w:val="20"/>
              </w:rPr>
              <w:t>References</w:t>
            </w:r>
          </w:p>
        </w:tc>
        <w:tc>
          <w:tcPr>
            <w:tcW w:w="7513" w:type="dxa"/>
          </w:tcPr>
          <w:p w:rsidRPr="004C4A84" w:rsidR="00155469" w:rsidP="001B0E05" w:rsidRDefault="00155469" w14:paraId="28486D69"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Avent ML, Kinney JS, Istre GR, Whitfield JM. Gentamicin and tobramycin in neonates: comparison of a new extended dosing interval regimen with a traditional multiple daily dosing regimen. American journal of perinatology. 2002;19(08):413-20.</w:t>
            </w:r>
          </w:p>
          <w:p w:rsidRPr="004C4A84" w:rsidR="00155469" w:rsidP="001B0E05" w:rsidRDefault="00155469" w14:paraId="7D9A1BF3"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Cristea S, Smits A, Kulo A, Knibbe CA, Van Weissenbruch M, Krekels EH, Allegaert K. Amikacin pharmacokinetics to optimize dosing in neonates with perinatal asphyxia treated with hypothermia. Antimicrobial agents and chemotherapy. 2017;61(12):e01282-17.</w:t>
            </w:r>
          </w:p>
          <w:p w:rsidRPr="004C4A84" w:rsidR="00155469" w:rsidP="001B0E05" w:rsidRDefault="00155469" w14:paraId="1C2F2C12"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Smits A, Kulo A, van den Anker J, Allegaert K. The amikacin research program: a stepwise approach to validate dosing regimens in neonates. Expert Opin Drug Metab Toxicol 2017;13:157-66.</w:t>
            </w:r>
          </w:p>
          <w:p w:rsidRPr="004C4A84" w:rsidR="00155469" w:rsidP="001B0E05" w:rsidRDefault="00155469" w14:paraId="58BA6C81"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Smits A, De Cock RF, Allegaert K, Vanhaesebrouck S, Danhof M, Knibbe CA. Prospective Evaluation of a Model-Based Dosing Regimen for Amikacin in Preterm and Term Neonates in Clinical Practice. Antimicrob Agents Chemother 2015;59:6344-51.</w:t>
            </w:r>
          </w:p>
          <w:p w:rsidRPr="004C4A84" w:rsidR="00155469" w:rsidP="001B0E05" w:rsidRDefault="00155469" w14:paraId="02E17306"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Allegaert K. The impact of ibuprofen or indomethacin on renal drug clearance in neonates. The Journal of Maternal-Fetal &amp; Neonatal Medicine. 2009;22(sup3):88-91.</w:t>
            </w:r>
          </w:p>
          <w:p w:rsidRPr="004C4A84" w:rsidR="00155469" w:rsidP="001B0E05" w:rsidRDefault="00155469" w14:paraId="1E065EB6"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Lutz IC, Allegaert K, de Hoon JN, Marynissen H. Pharmacokinetics during therapeutic hypothermia for neonatal hypoxic ischaemic encephalopathy: a literature review. BMJ paediatrics open 2020;4(1).</w:t>
            </w:r>
          </w:p>
          <w:p w:rsidRPr="004C4A84" w:rsidR="00155469" w:rsidP="001B0E05" w:rsidRDefault="00155469" w14:paraId="756C2211"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Frymoyer A, Lee S, Bonifacio SL, Meng L, Lucas SS, Guglielmo BJ, Sun Y, Verotta D. Every 36-h gentamicin dosing in neonates with hypoxic–ischemic encephalopathy receiving hypothermia. Journal of Perinatology. 2013;33(10):778-82.</w:t>
            </w:r>
          </w:p>
          <w:p w:rsidRPr="004C4A84" w:rsidR="00155469" w:rsidP="001B0E05" w:rsidRDefault="00155469" w14:paraId="5063CEA0"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Bijleveld YA, De Haan TR, Van Der Lee HJ, Groenendaal F, Dijk PH, Van Heijst A, De Jonge RC, Dijkman KP, Van Straaten HL, Rijken M, Zonnenberg IA. Altered gentamicin pharmacokinetics in term neonates undergoing controlled hypothermia. British journal of clinical pharmacology. 2016;81(6):1067-77.</w:t>
            </w:r>
          </w:p>
          <w:p w:rsidRPr="004C4A84" w:rsidR="00155469" w:rsidP="001B0E05" w:rsidRDefault="00155469" w14:paraId="1FFAB20F" w14:textId="77777777">
            <w:pPr>
              <w:numPr>
                <w:ilvl w:val="0"/>
                <w:numId w:val="132"/>
              </w:numPr>
              <w:spacing w:after="160" w:line="259" w:lineRule="auto"/>
              <w:contextualSpacing/>
              <w:rPr>
                <w:rFonts w:asciiTheme="minorHAnsi" w:hAnsiTheme="minorHAnsi" w:cstheme="minorHAnsi"/>
                <w:sz w:val="16"/>
                <w:szCs w:val="16"/>
              </w:rPr>
            </w:pPr>
            <w:r w:rsidRPr="004C4A84">
              <w:rPr>
                <w:rFonts w:asciiTheme="minorHAnsi" w:hAnsiTheme="minorHAnsi" w:cstheme="minorHAnsi"/>
                <w:sz w:val="16"/>
                <w:szCs w:val="16"/>
              </w:rPr>
              <w:t>Raffaeli G, Pokorna P, Allegaert K, Mosca F, Cavallaro G, Wildschut E, Tibboel D. Drug disposition and pharmacotherapy in neonatal ECMO: from fragmented data to integrated knowledge. Frontiers in pediatrics. 2019;7:360.</w:t>
            </w:r>
          </w:p>
          <w:p w:rsidRPr="004C4A84" w:rsidR="00155469" w:rsidP="001B0E05" w:rsidRDefault="00155469" w14:paraId="6F8DAC6F"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lang w:val="nl-BE"/>
              </w:rPr>
              <w:lastRenderedPageBreak/>
              <w:t xml:space="preserve">de Hoog M, Mouton JW, Schoemaker RC, Verduin CM, van den Anker JN. </w:t>
            </w:r>
            <w:r w:rsidRPr="004C4A84">
              <w:rPr>
                <w:rFonts w:asciiTheme="minorHAnsi" w:hAnsiTheme="minorHAnsi" w:eastAsiaTheme="minorHAnsi" w:cstheme="minorHAnsi"/>
                <w:sz w:val="16"/>
                <w:szCs w:val="16"/>
              </w:rPr>
              <w:t>Extended‐interval dosing of tobramycin in neonates: Implications for therapeutic drug monitoring. Clinical Pharmacology &amp; Therapeutics 2002;71(5):349-58.</w:t>
            </w:r>
          </w:p>
          <w:p w:rsidRPr="004C4A84" w:rsidR="00155469" w:rsidP="001B0E05" w:rsidRDefault="00155469" w14:paraId="291D0700"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Tobramycin. Australian Injectable Drugs Handbook 8</w:t>
            </w:r>
            <w:r w:rsidRPr="004C4A84">
              <w:rPr>
                <w:rFonts w:asciiTheme="minorHAnsi" w:hAnsiTheme="minorHAnsi" w:eastAsiaTheme="minorHAnsi" w:cstheme="minorHAnsi"/>
                <w:sz w:val="16"/>
                <w:szCs w:val="16"/>
                <w:vertAlign w:val="superscript"/>
              </w:rPr>
              <w:t>th</w:t>
            </w:r>
            <w:r w:rsidRPr="004C4A84">
              <w:rPr>
                <w:rFonts w:asciiTheme="minorHAnsi" w:hAnsiTheme="minorHAnsi" w:eastAsiaTheme="minorHAnsi" w:cstheme="minorHAnsi"/>
                <w:sz w:val="16"/>
                <w:szCs w:val="16"/>
              </w:rPr>
              <w:t xml:space="preserve"> edition. Accessed on 8 September 2020.</w:t>
            </w:r>
          </w:p>
          <w:p w:rsidRPr="004C4A84" w:rsidR="00155469" w:rsidP="001B0E05" w:rsidRDefault="00155469" w14:paraId="59A25B66"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MIMS online. Tobramycin. Accessed on 26 August 2020.</w:t>
            </w:r>
          </w:p>
          <w:p w:rsidRPr="004C4A84" w:rsidR="00155469" w:rsidP="001B0E05" w:rsidRDefault="00155469" w14:paraId="44992E13"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rPr>
              <w:t>Micromedex online. Tobramycin. Accessed on 25</w:t>
            </w:r>
            <w:r w:rsidRPr="004C4A84">
              <w:rPr>
                <w:rFonts w:asciiTheme="minorHAnsi" w:hAnsiTheme="minorHAnsi" w:eastAsiaTheme="minorHAnsi" w:cstheme="minorHAnsi"/>
                <w:sz w:val="16"/>
                <w:szCs w:val="16"/>
                <w:vertAlign w:val="superscript"/>
              </w:rPr>
              <w:t>th</w:t>
            </w:r>
            <w:r w:rsidRPr="004C4A84">
              <w:rPr>
                <w:rFonts w:asciiTheme="minorHAnsi" w:hAnsiTheme="minorHAnsi" w:eastAsiaTheme="minorHAnsi" w:cstheme="minorHAnsi"/>
                <w:sz w:val="16"/>
                <w:szCs w:val="16"/>
              </w:rPr>
              <w:t xml:space="preserve"> August 2020.</w:t>
            </w:r>
          </w:p>
          <w:p w:rsidRPr="004C4A84" w:rsidR="00155469" w:rsidP="001B0E05" w:rsidRDefault="00155469" w14:paraId="43895675"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 xml:space="preserve">de Hoog M, Schoemaker RC, Mouton JW, van den Anker JN. </w:t>
            </w:r>
            <w:r w:rsidRPr="004C4A84">
              <w:rPr>
                <w:rFonts w:asciiTheme="minorHAnsi" w:hAnsiTheme="minorHAnsi" w:eastAsiaTheme="minorHAnsi" w:cstheme="minorHAnsi"/>
                <w:sz w:val="16"/>
                <w:szCs w:val="16"/>
              </w:rPr>
              <w:t>Tobramycin population pharmacokinetics in neonates. Clinical Pharmacology &amp; Therapeutics 1997;62(4):392-9.</w:t>
            </w:r>
          </w:p>
          <w:p w:rsidRPr="004C4A84" w:rsidR="00155469" w:rsidP="001B0E05" w:rsidRDefault="00155469" w14:paraId="06C6B241"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McCracken GH Jr. Aminoglycoside toxicity in infants and children. Am J Med 1986;8O(suppl 6B):172-8.</w:t>
            </w:r>
          </w:p>
          <w:p w:rsidRPr="004C4A84" w:rsidR="00155469" w:rsidP="001B0E05" w:rsidRDefault="00155469" w14:paraId="0FB122BC"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Colding H, Andersen EA, Prytz S, Wulffsberg H, Andersen GE. Auditory function after continuous infusion of gentamicin to high-risk newborns. Acta Paediatr Stand 1989;78:840-3.</w:t>
            </w:r>
          </w:p>
          <w:p w:rsidRPr="004C4A84" w:rsidR="00155469" w:rsidP="001B0E05" w:rsidRDefault="00155469" w14:paraId="198E45D7"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Adelman C, Linder N, Levi H. Auditory nerve and brain stem evoked response thresholds in infants treated with gentamicin as neonates. Ann Otol Rhinol Laryngol 1989;98(4 pt 1):283-6.</w:t>
            </w:r>
          </w:p>
          <w:p w:rsidRPr="004C4A84" w:rsidR="00155469" w:rsidP="001B0E05" w:rsidRDefault="00155469" w14:paraId="0219FDC9"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Kohelet D, Usher M, Arbel E, Arlazoroff A, Goldberg M. Effect of gentamicin on the auditory brainstem evoked response in term infants: a preliminary report. Pediatr Res 1990;28:232-4.</w:t>
            </w:r>
          </w:p>
          <w:p w:rsidRPr="004C4A84" w:rsidR="00155469" w:rsidP="001B0E05" w:rsidRDefault="00155469" w14:paraId="3A29AFBB"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Salamy A, Eldredge L, Tooley WI-I. Neonatal status and hearing loss in high-risk infants [see omments]. J Pediatr 1989;114:847-52.</w:t>
            </w:r>
          </w:p>
          <w:p w:rsidRPr="004C4A84" w:rsidR="00155469" w:rsidP="001B0E05" w:rsidRDefault="00155469" w14:paraId="6C477D1D"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Tsai CH, Tsai FJ. Auditory brainstem responses in term neonates treated with gentamicin. Acta Paediatr Sin 1992;33:417-22.</w:t>
            </w:r>
          </w:p>
          <w:p w:rsidRPr="004C4A84" w:rsidR="00155469" w:rsidP="001B0E05" w:rsidRDefault="00155469" w14:paraId="0D97ACC3"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McCormack JP, Jewesson PJ. A critical reevaluation of the “therapeutic range” of aminoglycosides. Clinical infectious diseases 1992;14(1):320-39.</w:t>
            </w:r>
          </w:p>
          <w:p w:rsidRPr="004C4A84" w:rsidR="00155469" w:rsidP="001B0E05" w:rsidRDefault="00155469" w14:paraId="0ECB659F"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lang w:val="nl-BE"/>
              </w:rPr>
              <w:t>de Hoog M, van Zanten BA, Hop WC, Overbosch E, Weisglas-Kuperus N, van den Anker JN. Newborn hearing screening: tobramycin and vancomycin are not risk factors for hearing loss. The Journal of pediatrics. 2003;142(1):41-6.</w:t>
            </w:r>
          </w:p>
          <w:p w:rsidRPr="004C4A84" w:rsidR="00155469" w:rsidP="001B0E05" w:rsidRDefault="00155469" w14:paraId="2C0641C1"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Wang, X., Hong, Y., Cai, P., Tang, N., Chen, Y., Yan, T., Liu, Y., Huang, Q., Li, Q., 2017. Rapid and Reliable Detection of Nonsyndromic Hearing Loss Mutations by Multicolor Melting Curve Analysis. Scientific Reports.. doi:10.1038/srep42894</w:t>
            </w:r>
          </w:p>
          <w:p w:rsidRPr="004C4A84" w:rsidR="00155469" w:rsidP="001B0E05" w:rsidRDefault="00155469" w14:paraId="07155D69"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Dean L. Gentamicin Therapy and MT-RNR1 Genotype. In: Pratt VM, McLeod HL, Rubinstein WS, et al., eds. Medical Genetics Summaries. Bethesda (MD): National Center for Biotechnology Information (US); April 29, 2015.</w:t>
            </w:r>
          </w:p>
          <w:p w:rsidRPr="004C4A84" w:rsidR="00155469" w:rsidP="001B0E05" w:rsidRDefault="00155469" w14:paraId="59AD45E2"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Shah SS, Ohlsson A, Shah VS. Intraventricular antibiotics for bacterial meningitis in neonates. Cochrane Database of Systematic Reviews 2012, Issue 7. Art. No.: CD004496. DOI: 10.1002/14651858.CD004496.pub3.</w:t>
            </w:r>
          </w:p>
          <w:p w:rsidRPr="004C4A84" w:rsidR="00155469" w:rsidP="001B0E05" w:rsidRDefault="00155469" w14:paraId="675EC68A"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Valitalo PA, van den Anker JN, Allegaert K, de Cock RF, de Hoog M, Simons SH, Mouton JW, Knibbe CA. Novel model-based dosing guidelines for gentamicin and tobramycin in preterm and term neonates. Journal of Antimicrobial Chemotherapy. 2015 Jul 1;70(7):2074-7.</w:t>
            </w:r>
          </w:p>
          <w:p w:rsidRPr="004C4A84" w:rsidR="00155469" w:rsidP="001B0E05" w:rsidRDefault="00155469" w14:paraId="39F39B5D"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Sullins AK, Abdel-Rahman SM. Pharmacokinetics of antibacterial agents in the CSF of children and adolescents. Pediatric Drugs. 2013 Apr 1;15(2):93-117.</w:t>
            </w:r>
          </w:p>
          <w:p w:rsidRPr="004C4A84" w:rsidR="00155469" w:rsidP="001B0E05" w:rsidRDefault="00155469" w14:paraId="519C0298" w14:textId="77777777">
            <w:pPr>
              <w:numPr>
                <w:ilvl w:val="0"/>
                <w:numId w:val="132"/>
              </w:numPr>
              <w:spacing w:after="160" w:line="259" w:lineRule="auto"/>
              <w:contextualSpacing/>
              <w:rPr>
                <w:rFonts w:asciiTheme="minorHAnsi" w:hAnsiTheme="minorHAnsi" w:eastAsiaTheme="minorHAnsi" w:cstheme="minorHAnsi"/>
                <w:sz w:val="16"/>
                <w:szCs w:val="16"/>
                <w:lang w:val="nl-BE"/>
              </w:rPr>
            </w:pPr>
            <w:r w:rsidRPr="004C4A84">
              <w:rPr>
                <w:rFonts w:asciiTheme="minorHAnsi" w:hAnsiTheme="minorHAnsi" w:eastAsiaTheme="minorHAnsi" w:cstheme="minorHAnsi"/>
                <w:sz w:val="16"/>
                <w:szCs w:val="16"/>
                <w:lang w:val="nl-BE"/>
              </w:rPr>
              <w:t>Tessin I, Trollfors B, Thiringer K, et al. Concentrations of ceftazidime, tobramycin and ampicillin in the cerebrospinal fluid of newborn infants. Eur J Pediatr. 1989;148:679–81.</w:t>
            </w:r>
          </w:p>
          <w:p w:rsidRPr="004C4A84" w:rsidR="00155469" w:rsidP="001B0E05" w:rsidRDefault="00155469" w14:paraId="691C69D1"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lang w:val="nl-BE"/>
              </w:rPr>
              <w:t>Masvosva P, Buckingham SC, Einhaus, et al. Intraventricular and intravenous tobramycin with ceftazidime for ventriculitis secondary to pseudomonas aeruginosa. J Pediatr Pharmacol Ther. 2003;8:137–43.</w:t>
            </w:r>
          </w:p>
          <w:p w:rsidRPr="004C4A84" w:rsidR="00155469" w:rsidP="001B0E05" w:rsidRDefault="00155469" w14:paraId="021466A6" w14:textId="77777777">
            <w:pPr>
              <w:numPr>
                <w:ilvl w:val="0"/>
                <w:numId w:val="132"/>
              </w:numPr>
              <w:spacing w:after="160" w:line="259" w:lineRule="auto"/>
              <w:contextualSpacing/>
              <w:rPr>
                <w:rFonts w:asciiTheme="minorHAnsi" w:hAnsiTheme="minorHAnsi" w:eastAsiaTheme="minorHAnsi" w:cstheme="minorHAnsi"/>
                <w:sz w:val="16"/>
                <w:szCs w:val="16"/>
              </w:rPr>
            </w:pPr>
            <w:r w:rsidRPr="004C4A84">
              <w:rPr>
                <w:rFonts w:asciiTheme="minorHAnsi" w:hAnsiTheme="minorHAnsi" w:eastAsiaTheme="minorHAnsi" w:cstheme="minorHAnsi"/>
                <w:sz w:val="16"/>
                <w:szCs w:val="16"/>
                <w:lang w:val="nl-BE"/>
              </w:rPr>
              <w:t>Choi DW, Park JH, Lee SY, An SH. Effect of hypothermia treatment on gentamicin pharmacokinetics in neonates with hypoxic-ischaemic encephalopathy: A systematic review and meta-analysis. Journal of Clinical Pharmacy and Therapeutics. 2018;43(4):484-92.</w:t>
            </w:r>
          </w:p>
        </w:tc>
      </w:tr>
    </w:tbl>
    <w:p w:rsidRPr="00E25790" w:rsidR="00115F48" w:rsidP="006F0321" w:rsidRDefault="00115F48" w14:paraId="7609060B" w14:textId="77777777"/>
    <w:tbl>
      <w:tblPr>
        <w:tblW w:w="0" w:type="auto"/>
        <w:tblInd w:w="-34" w:type="dxa"/>
        <w:tblLook w:val="04A0" w:firstRow="1" w:lastRow="0" w:firstColumn="1" w:lastColumn="0" w:noHBand="0" w:noVBand="1"/>
      </w:tblPr>
      <w:tblGrid>
        <w:gridCol w:w="4108"/>
        <w:gridCol w:w="4817"/>
      </w:tblGrid>
      <w:tr w:rsidRPr="00E043DB" w:rsidR="00E043DB" w:rsidTr="00FE4186" w14:paraId="0148653A"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28CB31CC" w14:textId="2B2C4CED">
            <w:pPr>
              <w:spacing w:line="252" w:lineRule="auto"/>
              <w:rPr>
                <w:lang w:val="en-AU"/>
              </w:rPr>
            </w:pPr>
            <w:r w:rsidRPr="00E043DB">
              <w:t>Original version Date: 2014</w:t>
            </w:r>
          </w:p>
        </w:tc>
        <w:tc>
          <w:tcPr>
            <w:tcW w:w="481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16421C67" w14:textId="77777777">
            <w:pPr>
              <w:spacing w:line="252" w:lineRule="auto"/>
            </w:pPr>
            <w:r w:rsidRPr="00E043DB">
              <w:t>Author: NMF Consensus Group</w:t>
            </w:r>
          </w:p>
        </w:tc>
      </w:tr>
      <w:tr w:rsidRPr="00E043DB" w:rsidR="00E043DB" w:rsidTr="00FE4186" w14:paraId="73CE15F5"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51601253" w14:textId="46B5777D">
            <w:pPr>
              <w:spacing w:line="252" w:lineRule="auto"/>
            </w:pPr>
            <w:r w:rsidRPr="00E043DB">
              <w:t>Current Version number: 2</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6DABD317" w14:textId="68E8B533">
            <w:pPr>
              <w:spacing w:line="252" w:lineRule="auto"/>
              <w:rPr>
                <w:rFonts w:cs="Calibri"/>
                <w:sz w:val="20"/>
              </w:rPr>
            </w:pPr>
            <w:r w:rsidRPr="00E043DB">
              <w:t>Current Version Date:  29/10/2020</w:t>
            </w:r>
          </w:p>
        </w:tc>
      </w:tr>
      <w:tr w:rsidRPr="00E043DB" w:rsidR="00E043DB" w:rsidTr="00FE4186" w14:paraId="3202B36C"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442D5AE7" w14:textId="55D046CB">
            <w:pPr>
              <w:spacing w:line="252" w:lineRule="auto"/>
            </w:pPr>
            <w:r w:rsidRPr="00E043DB">
              <w:t>Risk Rating: Low</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1B053659" w14:textId="62050F71">
            <w:pPr>
              <w:spacing w:line="252" w:lineRule="auto"/>
            </w:pPr>
            <w:r w:rsidRPr="00E043DB">
              <w:t>Due for Review:  29/10/2025</w:t>
            </w:r>
          </w:p>
        </w:tc>
      </w:tr>
      <w:tr w:rsidRPr="00E043DB" w:rsidR="00E043DB" w:rsidTr="00FE4186" w14:paraId="6625CA12"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2CAA0DD4" w14:textId="77777777">
            <w:pPr>
              <w:spacing w:line="252" w:lineRule="auto"/>
            </w:pPr>
            <w:r w:rsidRPr="00E043DB">
              <w:t>Approved by: DTC</w:t>
            </w:r>
          </w:p>
        </w:tc>
        <w:tc>
          <w:tcPr>
            <w:tcW w:w="4817" w:type="dxa"/>
            <w:tcBorders>
              <w:top w:val="nil"/>
              <w:left w:val="nil"/>
              <w:bottom w:val="single" w:color="auto" w:sz="8" w:space="0"/>
              <w:right w:val="single" w:color="auto" w:sz="8" w:space="0"/>
            </w:tcBorders>
            <w:tcMar>
              <w:top w:w="0" w:type="dxa"/>
              <w:left w:w="108" w:type="dxa"/>
              <w:bottom w:w="0" w:type="dxa"/>
              <w:right w:w="108" w:type="dxa"/>
            </w:tcMar>
            <w:vAlign w:val="center"/>
          </w:tcPr>
          <w:p w:rsidRPr="00E043DB" w:rsidR="00E043DB" w:rsidP="00FE4186" w:rsidRDefault="00E043DB" w14:paraId="12E13E75" w14:textId="77777777">
            <w:pPr>
              <w:spacing w:line="252" w:lineRule="auto"/>
            </w:pPr>
            <w:r w:rsidRPr="00E043DB">
              <w:t xml:space="preserve">Approval Date: </w:t>
            </w:r>
          </w:p>
        </w:tc>
      </w:tr>
    </w:tbl>
    <w:p w:rsidRPr="00E25790" w:rsidR="00115F48" w:rsidP="006F0321" w:rsidRDefault="00115F48" w14:paraId="5339C0B7" w14:textId="77777777"/>
    <w:p w:rsidRPr="00E25790" w:rsidR="00EF6AB6" w:rsidP="006F0321" w:rsidRDefault="00EF6AB6" w14:paraId="67385F63" w14:textId="165E1795">
      <w:r>
        <w:br w:type="page"/>
      </w:r>
    </w:p>
    <w:tbl>
      <w:tblPr>
        <w:tblW w:w="0" w:type="auto"/>
        <w:tblLook w:val="0000" w:firstRow="0" w:lastRow="0" w:firstColumn="0" w:lastColumn="0" w:noHBand="0" w:noVBand="0"/>
      </w:tblPr>
      <w:tblGrid>
        <w:gridCol w:w="4121"/>
        <w:gridCol w:w="4859"/>
      </w:tblGrid>
      <w:tr w:rsidR="11366D88" w:rsidTr="04B29ADB" w14:paraId="6311BEB2" w14:textId="77777777">
        <w:trPr>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6038B06D" w:rsidP="11366D88" w:rsidRDefault="6038B06D" w14:paraId="191E96C7" w14:textId="13187478">
            <w:pPr>
              <w:pStyle w:val="Heading1"/>
            </w:pPr>
            <w:bookmarkStart w:name="_Toc75340052" w:id="586"/>
            <w:r>
              <w:lastRenderedPageBreak/>
              <w:t>Ursodeoxycholic Acid</w:t>
            </w:r>
            <w:bookmarkEnd w:id="586"/>
            <w:r>
              <w:fldChar w:fldCharType="begin"/>
            </w:r>
            <w:r>
              <w:instrText>tc "Suxamethonium_Chloride_(Scoline)" \l 0</w:instrText>
            </w:r>
            <w:r>
              <w:fldChar w:fldCharType="end"/>
            </w:r>
          </w:p>
        </w:tc>
      </w:tr>
      <w:tr w:rsidR="11366D88" w:rsidTr="04B29ADB" w14:paraId="4AA6DEE1" w14:textId="77777777">
        <w:trPr>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11366D88" w:rsidP="11366D88" w:rsidRDefault="11366D88" w14:paraId="36D0E2A1" w14:textId="20C5DCDF">
            <w:pPr>
              <w:rPr>
                <w:noProof/>
              </w:rPr>
            </w:pPr>
            <w:r>
              <w:t xml:space="preserve">Revision Date : </w:t>
            </w:r>
            <w:r w:rsidR="00280D08">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11366D88" w:rsidRDefault="11366D88" w14:paraId="2FDCF78E" w14:textId="30C4BF53">
            <w:r>
              <w:t xml:space="preserve">Approved: </w:t>
            </w:r>
            <w:r w:rsidR="4FC5CBC3">
              <w:t>TC</w:t>
            </w:r>
            <w:r w:rsidR="00E043DB">
              <w:t>, KOH</w:t>
            </w:r>
          </w:p>
        </w:tc>
      </w:tr>
    </w:tbl>
    <w:p w:rsidRPr="00E25790" w:rsidR="00EF6AB6" w:rsidP="006F0321" w:rsidRDefault="00EF6AB6" w14:paraId="694C205D" w14:textId="77777777"/>
    <w:tbl>
      <w:tblPr>
        <w:tblW w:w="964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2"/>
        <w:gridCol w:w="7938"/>
      </w:tblGrid>
      <w:tr w:rsidRPr="00135FC6" w:rsidR="00A95F5C" w:rsidTr="00280D08" w14:paraId="5C82BD8F" w14:textId="77777777">
        <w:trPr>
          <w:trHeight w:val="70"/>
        </w:trPr>
        <w:tc>
          <w:tcPr>
            <w:tcW w:w="1702" w:type="dxa"/>
          </w:tcPr>
          <w:p w:rsidRPr="00B53E9B" w:rsidR="00A95F5C" w:rsidP="00131848" w:rsidRDefault="00A95F5C" w14:paraId="665E8053" w14:textId="77777777">
            <w:pPr>
              <w:pStyle w:val="BodyText"/>
              <w:tabs>
                <w:tab w:val="center" w:pos="1476"/>
              </w:tabs>
              <w:rPr>
                <w:rFonts w:cs="Arial"/>
                <w:b/>
                <w:sz w:val="20"/>
              </w:rPr>
            </w:pPr>
            <w:r w:rsidRPr="00B53E9B">
              <w:rPr>
                <w:rFonts w:cs="Arial"/>
                <w:b/>
                <w:sz w:val="20"/>
              </w:rPr>
              <w:t>Alert</w:t>
            </w:r>
          </w:p>
        </w:tc>
        <w:tc>
          <w:tcPr>
            <w:tcW w:w="7938" w:type="dxa"/>
          </w:tcPr>
          <w:p w:rsidRPr="00135FC6" w:rsidR="00A95F5C" w:rsidP="00131848" w:rsidRDefault="00A95F5C" w14:paraId="526DE1F8" w14:textId="77777777">
            <w:pPr>
              <w:pStyle w:val="BodyText"/>
              <w:rPr>
                <w:rFonts w:cs="Arial" w:asciiTheme="minorHAnsi" w:hAnsiTheme="minorHAnsi"/>
                <w:sz w:val="20"/>
              </w:rPr>
            </w:pPr>
            <w:r>
              <w:rPr>
                <w:rFonts w:cs="Arial" w:asciiTheme="minorHAnsi" w:hAnsiTheme="minorHAnsi"/>
                <w:sz w:val="20"/>
              </w:rPr>
              <w:t>Hyperosmolar suspension. In-house suspension has an osmolality of 1030 mOsm/kg.(15)</w:t>
            </w:r>
          </w:p>
        </w:tc>
      </w:tr>
      <w:tr w:rsidRPr="00135FC6" w:rsidR="00A95F5C" w:rsidTr="00280D08" w14:paraId="15CE1F38" w14:textId="77777777">
        <w:trPr>
          <w:trHeight w:val="72"/>
        </w:trPr>
        <w:tc>
          <w:tcPr>
            <w:tcW w:w="1702" w:type="dxa"/>
          </w:tcPr>
          <w:p w:rsidRPr="00B53E9B" w:rsidR="00A95F5C" w:rsidP="00131848" w:rsidRDefault="00A95F5C" w14:paraId="1EAF0851" w14:textId="77777777">
            <w:pPr>
              <w:pStyle w:val="BodyText"/>
              <w:rPr>
                <w:rFonts w:cs="Arial"/>
                <w:sz w:val="20"/>
              </w:rPr>
            </w:pPr>
            <w:r w:rsidRPr="00B53E9B">
              <w:rPr>
                <w:rFonts w:cs="Arial"/>
                <w:b/>
                <w:bCs/>
                <w:sz w:val="20"/>
              </w:rPr>
              <w:t>Indication</w:t>
            </w:r>
          </w:p>
        </w:tc>
        <w:tc>
          <w:tcPr>
            <w:tcW w:w="7938" w:type="dxa"/>
          </w:tcPr>
          <w:p w:rsidR="00A95F5C" w:rsidP="00131848" w:rsidRDefault="00A95F5C" w14:paraId="3BDEDE72" w14:textId="77777777">
            <w:pPr>
              <w:rPr>
                <w:sz w:val="20"/>
              </w:rPr>
            </w:pPr>
            <w:r>
              <w:rPr>
                <w:sz w:val="20"/>
              </w:rPr>
              <w:t>Treatment of neonatal cholestatic liver disease</w:t>
            </w:r>
          </w:p>
          <w:p w:rsidRPr="00135FC6" w:rsidR="00A95F5C" w:rsidP="00131848" w:rsidRDefault="00A95F5C" w14:paraId="70089F24" w14:textId="77777777">
            <w:pPr>
              <w:rPr>
                <w:rFonts w:asciiTheme="minorHAnsi" w:hAnsiTheme="minorHAnsi"/>
                <w:sz w:val="20"/>
              </w:rPr>
            </w:pPr>
            <w:r>
              <w:rPr>
                <w:sz w:val="20"/>
              </w:rPr>
              <w:t>Adjuvant therapy for unconjugated hyperbilirubinemia has been reported</w:t>
            </w:r>
          </w:p>
        </w:tc>
      </w:tr>
      <w:tr w:rsidRPr="00135FC6" w:rsidR="00A95F5C" w:rsidTr="00280D08" w14:paraId="337F3041" w14:textId="77777777">
        <w:trPr>
          <w:trHeight w:val="70"/>
        </w:trPr>
        <w:tc>
          <w:tcPr>
            <w:tcW w:w="1702" w:type="dxa"/>
          </w:tcPr>
          <w:p w:rsidRPr="00B53E9B" w:rsidR="00A95F5C" w:rsidP="00131848" w:rsidRDefault="00A95F5C" w14:paraId="1F9053A1" w14:textId="77777777">
            <w:pPr>
              <w:pStyle w:val="BodyText"/>
              <w:rPr>
                <w:rFonts w:cs="Arial"/>
                <w:b/>
                <w:bCs/>
                <w:sz w:val="20"/>
              </w:rPr>
            </w:pPr>
            <w:r w:rsidRPr="00B53E9B">
              <w:rPr>
                <w:rFonts w:cs="Arial"/>
                <w:b/>
                <w:bCs/>
                <w:sz w:val="20"/>
              </w:rPr>
              <w:t>Action</w:t>
            </w:r>
          </w:p>
        </w:tc>
        <w:tc>
          <w:tcPr>
            <w:tcW w:w="7938" w:type="dxa"/>
          </w:tcPr>
          <w:p w:rsidRPr="00135FC6" w:rsidR="00A95F5C" w:rsidP="00131848" w:rsidRDefault="00A95F5C" w14:paraId="7EE5085F" w14:textId="77777777">
            <w:pPr>
              <w:rPr>
                <w:rFonts w:cs="Arial" w:asciiTheme="minorHAnsi" w:hAnsiTheme="minorHAnsi"/>
                <w:sz w:val="20"/>
              </w:rPr>
            </w:pPr>
            <w:r>
              <w:rPr>
                <w:rFonts w:cs="Arial"/>
                <w:sz w:val="20"/>
              </w:rPr>
              <w:t>N</w:t>
            </w:r>
            <w:r w:rsidRPr="004227B2">
              <w:rPr>
                <w:rFonts w:cs="Arial"/>
                <w:sz w:val="20"/>
              </w:rPr>
              <w:t xml:space="preserve">aturally occurring </w:t>
            </w:r>
            <w:r w:rsidRPr="00CC31BA">
              <w:rPr>
                <w:rFonts w:cs="Arial"/>
                <w:b/>
                <w:sz w:val="20"/>
              </w:rPr>
              <w:t>hydrophilic</w:t>
            </w:r>
            <w:r w:rsidRPr="004227B2">
              <w:rPr>
                <w:rFonts w:cs="Arial"/>
                <w:sz w:val="20"/>
              </w:rPr>
              <w:t xml:space="preserve"> bile acid. Oral administration increases </w:t>
            </w:r>
            <w:r>
              <w:rPr>
                <w:rFonts w:cs="Arial"/>
                <w:sz w:val="20"/>
              </w:rPr>
              <w:t xml:space="preserve">hydrophilic bile acid, </w:t>
            </w:r>
            <w:r w:rsidRPr="004227B2">
              <w:rPr>
                <w:rFonts w:cs="Arial"/>
                <w:sz w:val="20"/>
              </w:rPr>
              <w:t xml:space="preserve">replacing/displacing toxic concentrations of endogenous hydrophobic bile acids that tend to accumulate in </w:t>
            </w:r>
            <w:r>
              <w:rPr>
                <w:rFonts w:cs="Arial"/>
                <w:sz w:val="20"/>
              </w:rPr>
              <w:t>cholestasis.</w:t>
            </w:r>
            <w:r w:rsidRPr="004227B2">
              <w:rPr>
                <w:rFonts w:cs="Arial"/>
                <w:sz w:val="20"/>
              </w:rPr>
              <w:t xml:space="preserve"> </w:t>
            </w:r>
            <w:r>
              <w:rPr>
                <w:rFonts w:cs="Arial"/>
                <w:sz w:val="20"/>
              </w:rPr>
              <w:t>Other actions</w:t>
            </w:r>
            <w:r w:rsidRPr="004227B2">
              <w:rPr>
                <w:rFonts w:cs="Arial"/>
                <w:sz w:val="20"/>
              </w:rPr>
              <w:t xml:space="preserve"> include protection of the injured bile duct epithelial cells (cholangiocytes) against toxic effects of bile acids, inhibition of apoptosis of hepatocytes, immunomodulatory effects, and stimulation of bile secretion by hepatocytes and cholangiocytes</w:t>
            </w:r>
            <w:r>
              <w:rPr>
                <w:rFonts w:cs="Arial"/>
                <w:sz w:val="20"/>
              </w:rPr>
              <w:t>.(8,9)</w:t>
            </w:r>
          </w:p>
        </w:tc>
      </w:tr>
      <w:tr w:rsidRPr="00135FC6" w:rsidR="00A95F5C" w:rsidTr="00280D08" w14:paraId="6D5B944A" w14:textId="77777777">
        <w:trPr>
          <w:trHeight w:val="266"/>
        </w:trPr>
        <w:tc>
          <w:tcPr>
            <w:tcW w:w="1702" w:type="dxa"/>
          </w:tcPr>
          <w:p w:rsidRPr="00B53E9B" w:rsidR="00A95F5C" w:rsidP="00131848" w:rsidRDefault="00A95F5C" w14:paraId="316AFE50" w14:textId="77777777">
            <w:pPr>
              <w:pStyle w:val="BodyText"/>
              <w:rPr>
                <w:rFonts w:cs="Arial"/>
                <w:sz w:val="20"/>
              </w:rPr>
            </w:pPr>
            <w:r>
              <w:rPr>
                <w:rFonts w:cs="Arial"/>
                <w:b/>
                <w:bCs/>
                <w:sz w:val="20"/>
              </w:rPr>
              <w:t>Drug t</w:t>
            </w:r>
            <w:r w:rsidRPr="00B53E9B">
              <w:rPr>
                <w:rFonts w:cs="Arial"/>
                <w:b/>
                <w:bCs/>
                <w:sz w:val="20"/>
              </w:rPr>
              <w:t>ype</w:t>
            </w:r>
          </w:p>
        </w:tc>
        <w:tc>
          <w:tcPr>
            <w:tcW w:w="7938" w:type="dxa"/>
          </w:tcPr>
          <w:p w:rsidRPr="00135FC6" w:rsidR="00A95F5C" w:rsidP="00131848" w:rsidRDefault="00A95F5C" w14:paraId="70AB0E96" w14:textId="77777777">
            <w:pPr>
              <w:pStyle w:val="BodyText"/>
              <w:rPr>
                <w:rFonts w:cs="Arial" w:asciiTheme="minorHAnsi" w:hAnsiTheme="minorHAnsi"/>
                <w:sz w:val="20"/>
              </w:rPr>
            </w:pPr>
            <w:r>
              <w:rPr>
                <w:rFonts w:cs="Arial"/>
                <w:sz w:val="20"/>
              </w:rPr>
              <w:t>Bile acid</w:t>
            </w:r>
          </w:p>
        </w:tc>
      </w:tr>
      <w:tr w:rsidRPr="00135FC6" w:rsidR="00A95F5C" w:rsidTr="00280D08" w14:paraId="295072A6" w14:textId="77777777">
        <w:trPr>
          <w:trHeight w:val="114"/>
        </w:trPr>
        <w:tc>
          <w:tcPr>
            <w:tcW w:w="1702" w:type="dxa"/>
          </w:tcPr>
          <w:p w:rsidRPr="00B53E9B" w:rsidR="00A95F5C" w:rsidP="00131848" w:rsidRDefault="00A95F5C" w14:paraId="6D54C833"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938" w:type="dxa"/>
          </w:tcPr>
          <w:p w:rsidRPr="00135FC6" w:rsidR="00A95F5C" w:rsidP="00131848" w:rsidRDefault="00A95F5C" w14:paraId="68914D54" w14:textId="77777777">
            <w:pPr>
              <w:pStyle w:val="BodyText"/>
              <w:rPr>
                <w:rFonts w:cs="Arial" w:asciiTheme="minorHAnsi" w:hAnsiTheme="minorHAnsi"/>
                <w:sz w:val="20"/>
              </w:rPr>
            </w:pPr>
            <w:r>
              <w:rPr>
                <w:rFonts w:cs="Arial"/>
                <w:sz w:val="20"/>
              </w:rPr>
              <w:t xml:space="preserve">Ursofalk Suspension </w:t>
            </w:r>
            <w:r w:rsidRPr="00C33319">
              <w:rPr>
                <w:rFonts w:cs="Arial"/>
                <w:sz w:val="20"/>
              </w:rPr>
              <w:t>[</w:t>
            </w:r>
            <w:r>
              <w:rPr>
                <w:rFonts w:cs="Arial"/>
                <w:sz w:val="20"/>
              </w:rPr>
              <w:t>Dr Falk Pharma</w:t>
            </w:r>
            <w:r w:rsidRPr="00C33319">
              <w:rPr>
                <w:rFonts w:cs="Arial"/>
                <w:sz w:val="20"/>
              </w:rPr>
              <w:t>]</w:t>
            </w:r>
            <w:r>
              <w:rPr>
                <w:rFonts w:cs="Arial"/>
                <w:sz w:val="20"/>
              </w:rPr>
              <w:t xml:space="preserve"> (8) or suspension compounded by local pharmacy</w:t>
            </w:r>
          </w:p>
        </w:tc>
      </w:tr>
      <w:tr w:rsidRPr="00135FC6" w:rsidR="00A95F5C" w:rsidTr="00280D08" w14:paraId="2A063B86" w14:textId="77777777">
        <w:trPr>
          <w:trHeight w:val="70"/>
        </w:trPr>
        <w:tc>
          <w:tcPr>
            <w:tcW w:w="1702" w:type="dxa"/>
          </w:tcPr>
          <w:p w:rsidRPr="00B53E9B" w:rsidR="00A95F5C" w:rsidP="00131848" w:rsidRDefault="00A95F5C" w14:paraId="0E4B09B3" w14:textId="77777777">
            <w:pPr>
              <w:pStyle w:val="BodyText"/>
              <w:rPr>
                <w:rFonts w:cs="Arial"/>
                <w:b/>
                <w:bCs/>
                <w:sz w:val="20"/>
              </w:rPr>
            </w:pPr>
            <w:r w:rsidRPr="00B53E9B">
              <w:rPr>
                <w:rFonts w:cs="Arial"/>
                <w:b/>
                <w:bCs/>
                <w:sz w:val="20"/>
              </w:rPr>
              <w:t xml:space="preserve">Presentation </w:t>
            </w:r>
          </w:p>
        </w:tc>
        <w:tc>
          <w:tcPr>
            <w:tcW w:w="7938" w:type="dxa"/>
          </w:tcPr>
          <w:p w:rsidRPr="00135FC6" w:rsidR="00A95F5C" w:rsidP="00131848" w:rsidRDefault="00A95F5C" w14:paraId="6FBFBEC3" w14:textId="77777777">
            <w:pPr>
              <w:pStyle w:val="BodyText"/>
              <w:rPr>
                <w:rFonts w:cs="Arial" w:asciiTheme="minorHAnsi" w:hAnsiTheme="minorHAnsi"/>
                <w:sz w:val="20"/>
              </w:rPr>
            </w:pPr>
            <w:r w:rsidRPr="00C949FB">
              <w:rPr>
                <w:rFonts w:cs="Arial"/>
                <w:sz w:val="20"/>
              </w:rPr>
              <w:t>50</w:t>
            </w:r>
            <w:r>
              <w:rPr>
                <w:rFonts w:cs="Arial"/>
                <w:sz w:val="20"/>
              </w:rPr>
              <w:t xml:space="preserve"> </w:t>
            </w:r>
            <w:r w:rsidRPr="00C949FB">
              <w:rPr>
                <w:rFonts w:cs="Arial"/>
                <w:sz w:val="20"/>
              </w:rPr>
              <w:t>mg/mL oral suspension</w:t>
            </w:r>
            <w:r>
              <w:rPr>
                <w:rFonts w:cs="Arial"/>
                <w:sz w:val="20"/>
              </w:rPr>
              <w:t xml:space="preserve"> </w:t>
            </w:r>
          </w:p>
        </w:tc>
      </w:tr>
      <w:tr w:rsidRPr="00026F20" w:rsidR="00A95F5C" w:rsidTr="00280D08" w14:paraId="3DD34F20" w14:textId="77777777">
        <w:trPr>
          <w:trHeight w:val="70"/>
        </w:trPr>
        <w:tc>
          <w:tcPr>
            <w:tcW w:w="1702" w:type="dxa"/>
          </w:tcPr>
          <w:p w:rsidRPr="00B53E9B" w:rsidR="00A95F5C" w:rsidP="00131848" w:rsidRDefault="00A95F5C" w14:paraId="4C2640BF" w14:textId="77777777">
            <w:pPr>
              <w:pStyle w:val="BodyText"/>
              <w:rPr>
                <w:rFonts w:cs="Arial"/>
                <w:b/>
                <w:bCs/>
                <w:sz w:val="20"/>
              </w:rPr>
            </w:pPr>
            <w:r>
              <w:rPr>
                <w:rFonts w:cs="Arial"/>
                <w:b/>
                <w:bCs/>
                <w:sz w:val="20"/>
              </w:rPr>
              <w:t>Dose</w:t>
            </w:r>
            <w:r w:rsidRPr="00B53E9B">
              <w:rPr>
                <w:rFonts w:cs="Arial"/>
                <w:b/>
                <w:bCs/>
                <w:sz w:val="20"/>
              </w:rPr>
              <w:t xml:space="preserve"> </w:t>
            </w:r>
          </w:p>
        </w:tc>
        <w:tc>
          <w:tcPr>
            <w:tcW w:w="7938" w:type="dxa"/>
          </w:tcPr>
          <w:p w:rsidRPr="00427BCF" w:rsidR="00A95F5C" w:rsidP="00131848" w:rsidRDefault="00A95F5C" w14:paraId="728EBAA6" w14:textId="77777777">
            <w:pPr>
              <w:pStyle w:val="BodyText"/>
              <w:rPr>
                <w:rFonts w:cs="Arial"/>
                <w:b/>
                <w:sz w:val="20"/>
              </w:rPr>
            </w:pPr>
            <w:r w:rsidRPr="00427BCF">
              <w:rPr>
                <w:rFonts w:cs="Arial"/>
                <w:b/>
                <w:sz w:val="20"/>
              </w:rPr>
              <w:t>Neonatal cholestasis</w:t>
            </w:r>
          </w:p>
          <w:p w:rsidR="00A95F5C" w:rsidP="00131848" w:rsidRDefault="00A95F5C" w14:paraId="689B5548" w14:textId="77777777">
            <w:pPr>
              <w:pStyle w:val="BodyText"/>
              <w:ind w:left="720"/>
              <w:rPr>
                <w:rFonts w:cs="Arial"/>
                <w:sz w:val="20"/>
              </w:rPr>
            </w:pPr>
            <w:r>
              <w:rPr>
                <w:rFonts w:cs="Arial"/>
                <w:sz w:val="20"/>
              </w:rPr>
              <w:t xml:space="preserve">10-15 </w:t>
            </w:r>
            <w:r w:rsidRPr="00C949FB">
              <w:rPr>
                <w:rFonts w:cs="Arial"/>
                <w:sz w:val="20"/>
              </w:rPr>
              <w:t>mg/kg/d</w:t>
            </w:r>
            <w:r>
              <w:rPr>
                <w:rFonts w:cs="Arial"/>
                <w:sz w:val="20"/>
              </w:rPr>
              <w:t>ose</w:t>
            </w:r>
            <w:r w:rsidRPr="00C949FB">
              <w:rPr>
                <w:rFonts w:cs="Arial"/>
                <w:sz w:val="20"/>
              </w:rPr>
              <w:t xml:space="preserve"> </w:t>
            </w:r>
            <w:r>
              <w:rPr>
                <w:rFonts w:cs="Arial"/>
                <w:sz w:val="20"/>
              </w:rPr>
              <w:t>12 hourly (1-5)</w:t>
            </w:r>
          </w:p>
          <w:p w:rsidR="00A95F5C" w:rsidP="00131848" w:rsidRDefault="00A95F5C" w14:paraId="2A23A969" w14:textId="77777777">
            <w:pPr>
              <w:pStyle w:val="BodyText"/>
              <w:rPr>
                <w:rFonts w:cs="Arial"/>
                <w:sz w:val="20"/>
              </w:rPr>
            </w:pPr>
          </w:p>
          <w:p w:rsidRPr="00427BCF" w:rsidR="00A95F5C" w:rsidP="00131848" w:rsidRDefault="00A95F5C" w14:paraId="3526FD75" w14:textId="77777777">
            <w:pPr>
              <w:pStyle w:val="BodyText"/>
              <w:rPr>
                <w:rFonts w:cs="Arial"/>
                <w:b/>
                <w:sz w:val="20"/>
              </w:rPr>
            </w:pPr>
            <w:r w:rsidRPr="00427BCF">
              <w:rPr>
                <w:rFonts w:cs="Arial"/>
                <w:b/>
                <w:sz w:val="20"/>
              </w:rPr>
              <w:t>Adjuvant to phototherapy in term neonates</w:t>
            </w:r>
            <w:r>
              <w:rPr>
                <w:rFonts w:cs="Arial"/>
                <w:b/>
                <w:sz w:val="20"/>
              </w:rPr>
              <w:t xml:space="preserve"> has been reported.</w:t>
            </w:r>
          </w:p>
          <w:p w:rsidRPr="00026F20" w:rsidR="00A95F5C" w:rsidP="00131848" w:rsidRDefault="00A95F5C" w14:paraId="33D642F4" w14:textId="77777777">
            <w:pPr>
              <w:pStyle w:val="BodyText"/>
              <w:ind w:left="720"/>
              <w:rPr>
                <w:sz w:val="20"/>
              </w:rPr>
            </w:pPr>
            <w:r>
              <w:rPr>
                <w:rFonts w:cs="Arial"/>
                <w:sz w:val="20"/>
              </w:rPr>
              <w:t>5 mg/kg/dose 12 hourly (until phototherapy is ceased)(10-14)</w:t>
            </w:r>
          </w:p>
        </w:tc>
      </w:tr>
      <w:tr w:rsidRPr="0093583A" w:rsidR="00A95F5C" w:rsidTr="00280D08" w14:paraId="1B3A0037" w14:textId="77777777">
        <w:trPr>
          <w:trHeight w:val="95"/>
        </w:trPr>
        <w:tc>
          <w:tcPr>
            <w:tcW w:w="1702" w:type="dxa"/>
          </w:tcPr>
          <w:p w:rsidRPr="00B53E9B" w:rsidR="00A95F5C" w:rsidP="00131848" w:rsidRDefault="00A95F5C" w14:paraId="6E8F5936" w14:textId="77777777">
            <w:pPr>
              <w:pStyle w:val="BodyText"/>
              <w:rPr>
                <w:b/>
                <w:sz w:val="20"/>
              </w:rPr>
            </w:pPr>
            <w:r w:rsidRPr="00B53E9B">
              <w:rPr>
                <w:b/>
                <w:sz w:val="20"/>
              </w:rPr>
              <w:t>Dose adjustment</w:t>
            </w:r>
          </w:p>
        </w:tc>
        <w:tc>
          <w:tcPr>
            <w:tcW w:w="7938" w:type="dxa"/>
          </w:tcPr>
          <w:p w:rsidRPr="0093583A" w:rsidR="00A95F5C" w:rsidP="00131848" w:rsidRDefault="00A95F5C" w14:paraId="0C5E5D9D" w14:textId="77777777">
            <w:pPr>
              <w:pStyle w:val="BodyText"/>
              <w:rPr>
                <w:sz w:val="20"/>
              </w:rPr>
            </w:pPr>
            <w:r>
              <w:rPr>
                <w:sz w:val="20"/>
              </w:rPr>
              <w:t>No information.</w:t>
            </w:r>
          </w:p>
        </w:tc>
      </w:tr>
      <w:tr w:rsidRPr="00026F20" w:rsidR="00A95F5C" w:rsidTr="00280D08" w14:paraId="28E8DC3D" w14:textId="77777777">
        <w:trPr>
          <w:trHeight w:val="113"/>
        </w:trPr>
        <w:tc>
          <w:tcPr>
            <w:tcW w:w="1702" w:type="dxa"/>
          </w:tcPr>
          <w:p w:rsidRPr="00B53E9B" w:rsidR="00A95F5C" w:rsidP="00131848" w:rsidRDefault="00A95F5C" w14:paraId="1B270FF4" w14:textId="77777777">
            <w:pPr>
              <w:pStyle w:val="BodyText"/>
              <w:rPr>
                <w:b/>
                <w:sz w:val="20"/>
              </w:rPr>
            </w:pPr>
            <w:r w:rsidRPr="00B53E9B">
              <w:rPr>
                <w:b/>
                <w:sz w:val="20"/>
              </w:rPr>
              <w:t xml:space="preserve">Maximum </w:t>
            </w:r>
            <w:r>
              <w:rPr>
                <w:b/>
                <w:sz w:val="20"/>
              </w:rPr>
              <w:t xml:space="preserve">daily </w:t>
            </w:r>
            <w:r w:rsidRPr="00B53E9B">
              <w:rPr>
                <w:b/>
                <w:sz w:val="20"/>
              </w:rPr>
              <w:t>dose</w:t>
            </w:r>
          </w:p>
        </w:tc>
        <w:tc>
          <w:tcPr>
            <w:tcW w:w="7938" w:type="dxa"/>
          </w:tcPr>
          <w:p w:rsidRPr="00026F20" w:rsidR="00A95F5C" w:rsidP="00131848" w:rsidRDefault="00A95F5C" w14:paraId="449BD28A" w14:textId="77777777">
            <w:pPr>
              <w:pStyle w:val="BodyText"/>
              <w:rPr>
                <w:sz w:val="20"/>
              </w:rPr>
            </w:pPr>
            <w:r>
              <w:rPr>
                <w:sz w:val="20"/>
              </w:rPr>
              <w:t>30 mg/kg</w:t>
            </w:r>
          </w:p>
        </w:tc>
      </w:tr>
      <w:tr w:rsidRPr="002C0980" w:rsidR="00A95F5C" w:rsidTr="00280D08" w14:paraId="06D5C93F" w14:textId="77777777">
        <w:trPr>
          <w:trHeight w:val="144"/>
        </w:trPr>
        <w:tc>
          <w:tcPr>
            <w:tcW w:w="1702" w:type="dxa"/>
          </w:tcPr>
          <w:p w:rsidRPr="00B53E9B" w:rsidR="00A95F5C" w:rsidP="00131848" w:rsidRDefault="00A95F5C" w14:paraId="0855DD6A" w14:textId="77777777">
            <w:pPr>
              <w:pStyle w:val="BodyText"/>
              <w:rPr>
                <w:rFonts w:cs="Arial"/>
                <w:b/>
                <w:bCs/>
                <w:sz w:val="20"/>
              </w:rPr>
            </w:pPr>
            <w:r w:rsidRPr="00B53E9B">
              <w:rPr>
                <w:b/>
                <w:sz w:val="20"/>
              </w:rPr>
              <w:t>Total cumulative dose</w:t>
            </w:r>
          </w:p>
        </w:tc>
        <w:tc>
          <w:tcPr>
            <w:tcW w:w="7938" w:type="dxa"/>
          </w:tcPr>
          <w:p w:rsidRPr="002C0980" w:rsidR="00A95F5C" w:rsidP="00131848" w:rsidRDefault="00A95F5C" w14:paraId="611BE966" w14:textId="77777777">
            <w:pPr>
              <w:pStyle w:val="BodyText"/>
              <w:rPr>
                <w:rFonts w:cs="Arial"/>
                <w:sz w:val="20"/>
              </w:rPr>
            </w:pPr>
          </w:p>
        </w:tc>
      </w:tr>
      <w:tr w:rsidRPr="00026F20" w:rsidR="00A95F5C" w:rsidTr="00280D08" w14:paraId="35A1AEB9" w14:textId="77777777">
        <w:trPr>
          <w:trHeight w:val="294"/>
        </w:trPr>
        <w:tc>
          <w:tcPr>
            <w:tcW w:w="1702" w:type="dxa"/>
          </w:tcPr>
          <w:p w:rsidRPr="00B53E9B" w:rsidR="00A95F5C" w:rsidP="00131848" w:rsidRDefault="00A95F5C" w14:paraId="52962B89" w14:textId="77777777">
            <w:pPr>
              <w:pStyle w:val="BodyText"/>
              <w:rPr>
                <w:rFonts w:cs="Arial"/>
                <w:sz w:val="20"/>
              </w:rPr>
            </w:pPr>
            <w:r w:rsidRPr="00B53E9B">
              <w:rPr>
                <w:rFonts w:cs="Arial"/>
                <w:b/>
                <w:bCs/>
                <w:sz w:val="20"/>
              </w:rPr>
              <w:t xml:space="preserve">Route </w:t>
            </w:r>
          </w:p>
        </w:tc>
        <w:tc>
          <w:tcPr>
            <w:tcW w:w="7938" w:type="dxa"/>
          </w:tcPr>
          <w:p w:rsidRPr="00026F20" w:rsidR="00A95F5C" w:rsidP="00131848" w:rsidRDefault="00A95F5C" w14:paraId="661102B4" w14:textId="77777777">
            <w:pPr>
              <w:pStyle w:val="BodyText"/>
              <w:rPr>
                <w:rFonts w:cs="Arial"/>
                <w:sz w:val="20"/>
              </w:rPr>
            </w:pPr>
            <w:r>
              <w:rPr>
                <w:rFonts w:cs="Arial"/>
                <w:sz w:val="20"/>
              </w:rPr>
              <w:t>Oral/intragastric</w:t>
            </w:r>
          </w:p>
        </w:tc>
      </w:tr>
      <w:tr w:rsidRPr="00026F20" w:rsidR="00A95F5C" w:rsidTr="00280D08" w14:paraId="068C2065" w14:textId="77777777">
        <w:trPr>
          <w:trHeight w:val="93"/>
        </w:trPr>
        <w:tc>
          <w:tcPr>
            <w:tcW w:w="1702" w:type="dxa"/>
          </w:tcPr>
          <w:p w:rsidRPr="00B53E9B" w:rsidR="00A95F5C" w:rsidP="00131848" w:rsidRDefault="00A95F5C" w14:paraId="16B8C84D"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938" w:type="dxa"/>
          </w:tcPr>
          <w:p w:rsidRPr="00026F20" w:rsidR="00A95F5C" w:rsidP="00131848" w:rsidRDefault="00A95F5C" w14:paraId="49E8E453" w14:textId="77777777">
            <w:pPr>
              <w:pStyle w:val="BodyText"/>
              <w:rPr>
                <w:rFonts w:cs="Arial"/>
                <w:sz w:val="20"/>
              </w:rPr>
            </w:pPr>
            <w:r>
              <w:rPr>
                <w:rFonts w:cs="Arial"/>
                <w:sz w:val="20"/>
              </w:rPr>
              <w:t>Not applicable</w:t>
            </w:r>
          </w:p>
        </w:tc>
      </w:tr>
      <w:tr w:rsidRPr="00437BE4" w:rsidR="00A95F5C" w:rsidTr="00280D08" w14:paraId="3BA4E8E0" w14:textId="77777777">
        <w:trPr>
          <w:trHeight w:val="224"/>
        </w:trPr>
        <w:tc>
          <w:tcPr>
            <w:tcW w:w="1702" w:type="dxa"/>
          </w:tcPr>
          <w:p w:rsidRPr="00B53E9B" w:rsidR="00A95F5C" w:rsidP="00131848" w:rsidRDefault="00A95F5C" w14:paraId="48C366CE" w14:textId="77777777">
            <w:pPr>
              <w:pStyle w:val="BodyText"/>
              <w:rPr>
                <w:rFonts w:cs="Arial"/>
                <w:b/>
                <w:bCs/>
                <w:sz w:val="20"/>
              </w:rPr>
            </w:pPr>
            <w:r w:rsidRPr="00B53E9B">
              <w:rPr>
                <w:rFonts w:cs="Arial"/>
                <w:b/>
                <w:bCs/>
                <w:sz w:val="20"/>
              </w:rPr>
              <w:t xml:space="preserve">Administration </w:t>
            </w:r>
          </w:p>
        </w:tc>
        <w:tc>
          <w:tcPr>
            <w:tcW w:w="7938" w:type="dxa"/>
          </w:tcPr>
          <w:p w:rsidRPr="00C949FB" w:rsidR="00A95F5C" w:rsidP="00131848" w:rsidRDefault="00A95F5C" w14:paraId="0B4BDBCF" w14:textId="77777777">
            <w:pPr>
              <w:rPr>
                <w:rFonts w:cs="Calibri"/>
                <w:sz w:val="20"/>
                <w:lang w:eastAsia="en-AU"/>
              </w:rPr>
            </w:pPr>
            <w:r w:rsidRPr="00C949FB">
              <w:rPr>
                <w:rFonts w:cs="Calibri"/>
                <w:sz w:val="20"/>
                <w:lang w:eastAsia="en-AU"/>
              </w:rPr>
              <w:t xml:space="preserve">Oral or </w:t>
            </w:r>
            <w:r>
              <w:rPr>
                <w:rFonts w:cs="Calibri"/>
                <w:sz w:val="20"/>
                <w:lang w:eastAsia="en-AU"/>
              </w:rPr>
              <w:t>intragastric</w:t>
            </w:r>
            <w:r w:rsidRPr="00C949FB">
              <w:rPr>
                <w:rFonts w:cs="Calibri"/>
                <w:sz w:val="20"/>
                <w:lang w:eastAsia="en-AU"/>
              </w:rPr>
              <w:t>.</w:t>
            </w:r>
          </w:p>
          <w:p w:rsidRPr="00437BE4" w:rsidR="00A95F5C" w:rsidP="00131848" w:rsidRDefault="00A95F5C" w14:paraId="783C480C" w14:textId="77777777">
            <w:pPr>
              <w:pStyle w:val="BodyText"/>
              <w:rPr>
                <w:rFonts w:cs="Calibri"/>
                <w:sz w:val="20"/>
                <w:lang w:eastAsia="en-AU"/>
              </w:rPr>
            </w:pPr>
            <w:r w:rsidRPr="00C949FB">
              <w:rPr>
                <w:rFonts w:cs="Calibri"/>
                <w:sz w:val="20"/>
                <w:lang w:eastAsia="en-AU"/>
              </w:rPr>
              <w:t xml:space="preserve">Administer mixed with </w:t>
            </w:r>
            <w:r>
              <w:rPr>
                <w:rFonts w:cs="Calibri"/>
                <w:sz w:val="20"/>
                <w:lang w:eastAsia="en-AU"/>
              </w:rPr>
              <w:t>1-2 mL</w:t>
            </w:r>
            <w:r w:rsidRPr="00C949FB">
              <w:rPr>
                <w:rFonts w:cs="Calibri"/>
                <w:sz w:val="20"/>
                <w:lang w:eastAsia="en-AU"/>
              </w:rPr>
              <w:t xml:space="preserve"> of milk</w:t>
            </w:r>
            <w:r>
              <w:rPr>
                <w:rFonts w:cs="Calibri"/>
                <w:sz w:val="20"/>
                <w:lang w:eastAsia="en-AU"/>
              </w:rPr>
              <w:t xml:space="preserve">/sterile water </w:t>
            </w:r>
            <w:r w:rsidRPr="00C949FB">
              <w:rPr>
                <w:rFonts w:cs="Calibri"/>
                <w:sz w:val="20"/>
                <w:lang w:eastAsia="en-AU"/>
              </w:rPr>
              <w:t xml:space="preserve">into infant’s mouth through a feeding teat or via </w:t>
            </w:r>
            <w:r>
              <w:rPr>
                <w:rFonts w:cs="Calibri"/>
                <w:sz w:val="20"/>
                <w:lang w:eastAsia="en-AU"/>
              </w:rPr>
              <w:t>intragastric</w:t>
            </w:r>
            <w:r w:rsidRPr="00C949FB">
              <w:rPr>
                <w:rFonts w:cs="Calibri"/>
                <w:sz w:val="20"/>
                <w:lang w:eastAsia="en-AU"/>
              </w:rPr>
              <w:t xml:space="preserve"> tube.</w:t>
            </w:r>
          </w:p>
        </w:tc>
      </w:tr>
      <w:tr w:rsidRPr="00135FC6" w:rsidR="00A95F5C" w:rsidTr="00280D08" w14:paraId="03AEFAE7" w14:textId="77777777">
        <w:trPr>
          <w:trHeight w:val="215"/>
        </w:trPr>
        <w:tc>
          <w:tcPr>
            <w:tcW w:w="1702" w:type="dxa"/>
          </w:tcPr>
          <w:p w:rsidRPr="00B53E9B" w:rsidR="00A95F5C" w:rsidP="00131848" w:rsidRDefault="00A95F5C" w14:paraId="40869E3C" w14:textId="77777777">
            <w:pPr>
              <w:pStyle w:val="BodyText"/>
              <w:rPr>
                <w:rFonts w:cs="Arial"/>
                <w:b/>
                <w:bCs/>
                <w:sz w:val="20"/>
              </w:rPr>
            </w:pPr>
            <w:r w:rsidRPr="00B53E9B">
              <w:rPr>
                <w:rFonts w:cs="Arial"/>
                <w:b/>
                <w:bCs/>
                <w:sz w:val="20"/>
              </w:rPr>
              <w:t>Monitoring</w:t>
            </w:r>
          </w:p>
        </w:tc>
        <w:tc>
          <w:tcPr>
            <w:tcW w:w="7938" w:type="dxa"/>
          </w:tcPr>
          <w:p w:rsidRPr="00C949FB" w:rsidR="00A95F5C" w:rsidP="00131848" w:rsidRDefault="00A95F5C" w14:paraId="07713ADE" w14:textId="77777777">
            <w:pPr>
              <w:rPr>
                <w:rFonts w:cs="Calibri"/>
                <w:sz w:val="20"/>
                <w:lang w:eastAsia="en-AU"/>
              </w:rPr>
            </w:pPr>
            <w:r>
              <w:rPr>
                <w:rFonts w:cs="Calibri"/>
                <w:sz w:val="20"/>
                <w:lang w:eastAsia="en-AU"/>
              </w:rPr>
              <w:t>L</w:t>
            </w:r>
            <w:r w:rsidRPr="00C949FB">
              <w:rPr>
                <w:rFonts w:cs="Calibri"/>
                <w:sz w:val="20"/>
                <w:lang w:eastAsia="en-AU"/>
              </w:rPr>
              <w:t xml:space="preserve">iver function and </w:t>
            </w:r>
            <w:r>
              <w:rPr>
                <w:rFonts w:cs="Calibri"/>
                <w:sz w:val="20"/>
                <w:lang w:eastAsia="en-AU"/>
              </w:rPr>
              <w:t xml:space="preserve">total and direct </w:t>
            </w:r>
            <w:r w:rsidRPr="00C949FB">
              <w:rPr>
                <w:rFonts w:cs="Calibri"/>
                <w:sz w:val="20"/>
                <w:lang w:eastAsia="en-AU"/>
              </w:rPr>
              <w:t>serum bilirubin.</w:t>
            </w:r>
          </w:p>
          <w:p w:rsidRPr="00135FC6" w:rsidR="00A95F5C" w:rsidP="00131848" w:rsidRDefault="00A95F5C" w14:paraId="1DEC0CAD" w14:textId="77777777">
            <w:pPr>
              <w:pStyle w:val="BodyText"/>
              <w:rPr>
                <w:rFonts w:cs="Arial" w:asciiTheme="minorHAnsi" w:hAnsiTheme="minorHAnsi"/>
                <w:sz w:val="20"/>
              </w:rPr>
            </w:pPr>
            <w:r w:rsidRPr="00C949FB">
              <w:rPr>
                <w:rFonts w:cs="Calibri"/>
                <w:sz w:val="20"/>
                <w:lang w:eastAsia="en-AU"/>
              </w:rPr>
              <w:t>Observe stool colour.</w:t>
            </w:r>
          </w:p>
        </w:tc>
      </w:tr>
      <w:tr w:rsidRPr="00135FC6" w:rsidR="00A95F5C" w:rsidTr="00280D08" w14:paraId="07AB7732" w14:textId="77777777">
        <w:trPr>
          <w:trHeight w:val="342"/>
        </w:trPr>
        <w:tc>
          <w:tcPr>
            <w:tcW w:w="1702" w:type="dxa"/>
          </w:tcPr>
          <w:p w:rsidRPr="00B53E9B" w:rsidR="00A95F5C" w:rsidP="00131848" w:rsidRDefault="00A95F5C" w14:paraId="6ADC3047" w14:textId="77777777">
            <w:pPr>
              <w:pStyle w:val="BodyText"/>
              <w:rPr>
                <w:rFonts w:cs="Arial"/>
                <w:b/>
                <w:bCs/>
                <w:sz w:val="20"/>
              </w:rPr>
            </w:pPr>
            <w:r w:rsidRPr="00B53E9B">
              <w:rPr>
                <w:rFonts w:cs="Arial"/>
                <w:b/>
                <w:bCs/>
                <w:sz w:val="20"/>
              </w:rPr>
              <w:t>Contraindications</w:t>
            </w:r>
          </w:p>
        </w:tc>
        <w:tc>
          <w:tcPr>
            <w:tcW w:w="7938" w:type="dxa"/>
          </w:tcPr>
          <w:p w:rsidR="00A95F5C" w:rsidP="00131848" w:rsidRDefault="00A95F5C" w14:paraId="1C35151F" w14:textId="77777777">
            <w:pPr>
              <w:pStyle w:val="BodyText"/>
              <w:rPr>
                <w:rFonts w:cs="Arial"/>
                <w:sz w:val="20"/>
              </w:rPr>
            </w:pPr>
            <w:r w:rsidRPr="00C949FB">
              <w:rPr>
                <w:rFonts w:cs="Arial"/>
                <w:sz w:val="20"/>
              </w:rPr>
              <w:t>Hypersensitivity to ursodeoxycholic acid</w:t>
            </w:r>
            <w:r>
              <w:rPr>
                <w:rFonts w:cs="Arial"/>
                <w:sz w:val="20"/>
              </w:rPr>
              <w:t>.</w:t>
            </w:r>
          </w:p>
          <w:p w:rsidRPr="00135FC6" w:rsidR="00A95F5C" w:rsidP="00131848" w:rsidRDefault="00A95F5C" w14:paraId="3B780D85" w14:textId="77777777">
            <w:pPr>
              <w:pStyle w:val="BodyText"/>
              <w:rPr>
                <w:rFonts w:cs="Arial" w:asciiTheme="minorHAnsi" w:hAnsiTheme="minorHAnsi"/>
                <w:sz w:val="20"/>
              </w:rPr>
            </w:pPr>
            <w:r>
              <w:rPr>
                <w:rFonts w:cs="Arial"/>
                <w:sz w:val="20"/>
              </w:rPr>
              <w:t>Complete biliary obstruction.</w:t>
            </w:r>
          </w:p>
        </w:tc>
      </w:tr>
      <w:tr w:rsidRPr="00135FC6" w:rsidR="00A95F5C" w:rsidTr="00280D08" w14:paraId="16C0566B" w14:textId="77777777">
        <w:tc>
          <w:tcPr>
            <w:tcW w:w="1702" w:type="dxa"/>
          </w:tcPr>
          <w:p w:rsidRPr="00B53E9B" w:rsidR="00A95F5C" w:rsidP="00131848" w:rsidRDefault="00A95F5C" w14:paraId="58085E67" w14:textId="77777777">
            <w:pPr>
              <w:pStyle w:val="BodyText"/>
              <w:rPr>
                <w:rFonts w:cs="Arial"/>
                <w:b/>
                <w:bCs/>
                <w:sz w:val="20"/>
              </w:rPr>
            </w:pPr>
            <w:r w:rsidRPr="00B53E9B">
              <w:rPr>
                <w:sz w:val="20"/>
              </w:rPr>
              <w:br w:type="page"/>
            </w:r>
            <w:r w:rsidRPr="00B53E9B">
              <w:rPr>
                <w:rFonts w:cs="Arial"/>
                <w:b/>
                <w:bCs/>
                <w:sz w:val="20"/>
              </w:rPr>
              <w:t>Precautions</w:t>
            </w:r>
          </w:p>
        </w:tc>
        <w:tc>
          <w:tcPr>
            <w:tcW w:w="7938" w:type="dxa"/>
          </w:tcPr>
          <w:p w:rsidRPr="00135FC6" w:rsidR="00A95F5C" w:rsidP="00131848" w:rsidRDefault="00A95F5C" w14:paraId="541A79D2" w14:textId="77777777">
            <w:pPr>
              <w:pStyle w:val="BodyText"/>
              <w:rPr>
                <w:rFonts w:cs="Arial" w:asciiTheme="minorHAnsi" w:hAnsiTheme="minorHAnsi"/>
                <w:sz w:val="20"/>
              </w:rPr>
            </w:pPr>
          </w:p>
        </w:tc>
      </w:tr>
      <w:tr w:rsidRPr="00135FC6" w:rsidR="00A95F5C" w:rsidTr="00280D08" w14:paraId="4C8350AF" w14:textId="77777777">
        <w:trPr>
          <w:trHeight w:val="70"/>
        </w:trPr>
        <w:tc>
          <w:tcPr>
            <w:tcW w:w="1702" w:type="dxa"/>
          </w:tcPr>
          <w:p w:rsidRPr="00B53E9B" w:rsidR="00A95F5C" w:rsidP="00131848" w:rsidRDefault="00A95F5C" w14:paraId="6BBFF446"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938" w:type="dxa"/>
          </w:tcPr>
          <w:p w:rsidRPr="00135FC6" w:rsidR="00A95F5C" w:rsidP="00131848" w:rsidRDefault="00A95F5C" w14:paraId="3E0B247B" w14:textId="77777777">
            <w:pPr>
              <w:rPr>
                <w:rFonts w:cs="Arial" w:asciiTheme="minorHAnsi" w:hAnsiTheme="minorHAnsi"/>
                <w:sz w:val="20"/>
              </w:rPr>
            </w:pPr>
            <w:r w:rsidRPr="00C949FB">
              <w:rPr>
                <w:rFonts w:cs="Calibri"/>
                <w:sz w:val="20"/>
                <w:lang w:eastAsia="en-AU"/>
              </w:rPr>
              <w:t>Antacids which contain aluminium bind to ursodeoxycholic acid and reduce its absorption.</w:t>
            </w:r>
          </w:p>
        </w:tc>
      </w:tr>
      <w:tr w:rsidRPr="00CC31BA" w:rsidR="00A95F5C" w:rsidTr="00280D08" w14:paraId="4E872F95" w14:textId="77777777">
        <w:trPr>
          <w:trHeight w:val="332"/>
        </w:trPr>
        <w:tc>
          <w:tcPr>
            <w:tcW w:w="1702" w:type="dxa"/>
          </w:tcPr>
          <w:p w:rsidRPr="00B53E9B" w:rsidR="00A95F5C" w:rsidP="00131848" w:rsidRDefault="00A95F5C" w14:paraId="64BB26C8"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938" w:type="dxa"/>
          </w:tcPr>
          <w:p w:rsidR="00A95F5C" w:rsidP="00131848" w:rsidRDefault="00A95F5C" w14:paraId="7ACBC55B" w14:textId="77777777">
            <w:pPr>
              <w:pStyle w:val="BodyText"/>
              <w:rPr>
                <w:rFonts w:cs="Calibri"/>
                <w:sz w:val="20"/>
              </w:rPr>
            </w:pPr>
            <w:r>
              <w:rPr>
                <w:rFonts w:cs="Calibri"/>
                <w:sz w:val="20"/>
              </w:rPr>
              <w:t>Adult data (9)</w:t>
            </w:r>
          </w:p>
          <w:p w:rsidRPr="00F80785" w:rsidR="00A95F5C" w:rsidP="00131848" w:rsidRDefault="00A95F5C" w14:paraId="765F3A2D" w14:textId="77777777">
            <w:pPr>
              <w:pStyle w:val="BodyText"/>
              <w:ind w:left="720"/>
              <w:rPr>
                <w:rFonts w:cs="Calibri"/>
                <w:sz w:val="20"/>
              </w:rPr>
            </w:pPr>
            <w:r w:rsidRPr="00F80785">
              <w:rPr>
                <w:rFonts w:cs="Calibri"/>
                <w:sz w:val="20"/>
              </w:rPr>
              <w:t>Dermatologic: Rash</w:t>
            </w:r>
          </w:p>
          <w:p w:rsidRPr="00F80785" w:rsidR="00A95F5C" w:rsidP="00131848" w:rsidRDefault="00A95F5C" w14:paraId="3E47D5F2" w14:textId="77777777">
            <w:pPr>
              <w:pStyle w:val="BodyText"/>
              <w:ind w:left="720"/>
              <w:rPr>
                <w:rFonts w:cs="Calibri"/>
                <w:sz w:val="20"/>
              </w:rPr>
            </w:pPr>
            <w:r w:rsidRPr="00F80785">
              <w:rPr>
                <w:rFonts w:cs="Calibri"/>
                <w:sz w:val="20"/>
              </w:rPr>
              <w:t>Gastrointestinal: Constipation</w:t>
            </w:r>
            <w:r>
              <w:rPr>
                <w:rFonts w:cs="Calibri"/>
                <w:sz w:val="20"/>
              </w:rPr>
              <w:t>, d</w:t>
            </w:r>
            <w:r w:rsidRPr="00F80785">
              <w:rPr>
                <w:rFonts w:cs="Calibri"/>
                <w:sz w:val="20"/>
              </w:rPr>
              <w:t>iarrh</w:t>
            </w:r>
            <w:r>
              <w:rPr>
                <w:rFonts w:cs="Calibri"/>
                <w:sz w:val="20"/>
              </w:rPr>
              <w:t>o</w:t>
            </w:r>
            <w:r w:rsidRPr="00F80785">
              <w:rPr>
                <w:rFonts w:cs="Calibri"/>
                <w:sz w:val="20"/>
              </w:rPr>
              <w:t>ea</w:t>
            </w:r>
            <w:r>
              <w:rPr>
                <w:rFonts w:cs="Calibri"/>
                <w:sz w:val="20"/>
              </w:rPr>
              <w:t>, i</w:t>
            </w:r>
            <w:r w:rsidRPr="00F80785">
              <w:rPr>
                <w:rFonts w:cs="Calibri"/>
                <w:sz w:val="20"/>
              </w:rPr>
              <w:t xml:space="preserve">ndigestion, </w:t>
            </w:r>
            <w:r>
              <w:rPr>
                <w:rFonts w:cs="Calibri"/>
                <w:sz w:val="20"/>
              </w:rPr>
              <w:t>v</w:t>
            </w:r>
            <w:r w:rsidRPr="00F80785">
              <w:rPr>
                <w:rFonts w:cs="Calibri"/>
                <w:sz w:val="20"/>
              </w:rPr>
              <w:t>omiting</w:t>
            </w:r>
          </w:p>
          <w:p w:rsidRPr="00F80785" w:rsidR="00A95F5C" w:rsidP="00131848" w:rsidRDefault="00A95F5C" w14:paraId="64E779A8" w14:textId="77777777">
            <w:pPr>
              <w:pStyle w:val="BodyText"/>
              <w:ind w:left="720"/>
              <w:rPr>
                <w:rFonts w:cs="Calibri"/>
                <w:sz w:val="20"/>
              </w:rPr>
            </w:pPr>
            <w:r w:rsidRPr="00F80785">
              <w:rPr>
                <w:rFonts w:cs="Calibri"/>
                <w:sz w:val="20"/>
              </w:rPr>
              <w:t>Musculoskeletal</w:t>
            </w:r>
            <w:r>
              <w:rPr>
                <w:rFonts w:cs="Calibri"/>
                <w:sz w:val="20"/>
              </w:rPr>
              <w:t xml:space="preserve"> pain</w:t>
            </w:r>
          </w:p>
          <w:p w:rsidRPr="00F80785" w:rsidR="00A95F5C" w:rsidP="00131848" w:rsidRDefault="00A95F5C" w14:paraId="1F330C95" w14:textId="77777777">
            <w:pPr>
              <w:pStyle w:val="BodyText"/>
              <w:ind w:left="720"/>
              <w:rPr>
                <w:rFonts w:cs="Calibri"/>
                <w:sz w:val="20"/>
              </w:rPr>
            </w:pPr>
            <w:r w:rsidRPr="00F80785">
              <w:rPr>
                <w:rFonts w:cs="Calibri"/>
                <w:sz w:val="20"/>
              </w:rPr>
              <w:t xml:space="preserve">Respiratory: Bronchitis, </w:t>
            </w:r>
            <w:r>
              <w:rPr>
                <w:rFonts w:cs="Calibri"/>
                <w:sz w:val="20"/>
              </w:rPr>
              <w:t>c</w:t>
            </w:r>
            <w:r w:rsidRPr="00F80785">
              <w:rPr>
                <w:rFonts w:cs="Calibri"/>
                <w:sz w:val="20"/>
              </w:rPr>
              <w:t>ough</w:t>
            </w:r>
            <w:r>
              <w:rPr>
                <w:rFonts w:cs="Calibri"/>
                <w:sz w:val="20"/>
              </w:rPr>
              <w:t>, p</w:t>
            </w:r>
            <w:r w:rsidRPr="00F80785">
              <w:rPr>
                <w:rFonts w:cs="Calibri"/>
                <w:sz w:val="20"/>
              </w:rPr>
              <w:t xml:space="preserve">haryngitis, </w:t>
            </w:r>
            <w:r>
              <w:rPr>
                <w:rFonts w:cs="Calibri"/>
                <w:sz w:val="20"/>
              </w:rPr>
              <w:t>u</w:t>
            </w:r>
            <w:r w:rsidRPr="00F80785">
              <w:rPr>
                <w:rFonts w:cs="Calibri"/>
                <w:sz w:val="20"/>
              </w:rPr>
              <w:t>pper respiratory infection</w:t>
            </w:r>
          </w:p>
          <w:p w:rsidRPr="00CC31BA" w:rsidR="00A95F5C" w:rsidP="00131848" w:rsidRDefault="00A95F5C" w14:paraId="04766ED9" w14:textId="77777777">
            <w:pPr>
              <w:pStyle w:val="BodyText"/>
              <w:ind w:left="720"/>
              <w:rPr>
                <w:rFonts w:cs="Calibri"/>
                <w:sz w:val="20"/>
              </w:rPr>
            </w:pPr>
            <w:r w:rsidRPr="00F80785">
              <w:rPr>
                <w:rFonts w:cs="Calibri"/>
                <w:sz w:val="20"/>
              </w:rPr>
              <w:t>Immunologic: Hypersensitivity reaction</w:t>
            </w:r>
          </w:p>
        </w:tc>
      </w:tr>
      <w:tr w:rsidRPr="00135FC6" w:rsidR="00A95F5C" w:rsidTr="00280D08" w14:paraId="122D2E98" w14:textId="77777777">
        <w:trPr>
          <w:trHeight w:val="180"/>
        </w:trPr>
        <w:tc>
          <w:tcPr>
            <w:tcW w:w="1702" w:type="dxa"/>
          </w:tcPr>
          <w:p w:rsidRPr="00B53E9B" w:rsidR="00A95F5C" w:rsidP="00131848" w:rsidRDefault="00A95F5C" w14:paraId="33393C2C" w14:textId="77777777">
            <w:pPr>
              <w:pStyle w:val="BodyText"/>
              <w:rPr>
                <w:rFonts w:cs="Arial"/>
                <w:b/>
                <w:bCs/>
                <w:sz w:val="20"/>
              </w:rPr>
            </w:pPr>
            <w:r w:rsidRPr="00B53E9B">
              <w:rPr>
                <w:rFonts w:cs="Arial"/>
                <w:b/>
                <w:bCs/>
                <w:sz w:val="20"/>
              </w:rPr>
              <w:t>Compatibility</w:t>
            </w:r>
          </w:p>
        </w:tc>
        <w:tc>
          <w:tcPr>
            <w:tcW w:w="7938" w:type="dxa"/>
          </w:tcPr>
          <w:p w:rsidRPr="00135FC6" w:rsidR="00A95F5C" w:rsidP="00131848" w:rsidRDefault="00A95F5C" w14:paraId="35C6440B" w14:textId="77777777">
            <w:pPr>
              <w:pStyle w:val="BodyText"/>
              <w:rPr>
                <w:rFonts w:cs="Arial" w:asciiTheme="minorHAnsi" w:hAnsiTheme="minorHAnsi"/>
                <w:sz w:val="20"/>
              </w:rPr>
            </w:pPr>
            <w:r>
              <w:rPr>
                <w:rFonts w:cs="Arial"/>
                <w:sz w:val="20"/>
              </w:rPr>
              <w:t>Not applicable</w:t>
            </w:r>
          </w:p>
        </w:tc>
      </w:tr>
      <w:tr w:rsidRPr="00135FC6" w:rsidR="00A95F5C" w:rsidTr="00280D08" w14:paraId="5C128096" w14:textId="77777777">
        <w:trPr>
          <w:trHeight w:val="230"/>
        </w:trPr>
        <w:tc>
          <w:tcPr>
            <w:tcW w:w="1702" w:type="dxa"/>
          </w:tcPr>
          <w:p w:rsidRPr="00B53E9B" w:rsidR="00A95F5C" w:rsidP="00131848" w:rsidRDefault="00A95F5C" w14:paraId="6A613377" w14:textId="77777777">
            <w:pPr>
              <w:pStyle w:val="BodyText"/>
              <w:rPr>
                <w:rFonts w:cs="Arial"/>
                <w:b/>
                <w:bCs/>
                <w:sz w:val="20"/>
              </w:rPr>
            </w:pPr>
            <w:r w:rsidRPr="00B53E9B">
              <w:rPr>
                <w:rFonts w:cs="Arial"/>
                <w:b/>
                <w:bCs/>
                <w:sz w:val="20"/>
              </w:rPr>
              <w:t>Incompatibility</w:t>
            </w:r>
          </w:p>
        </w:tc>
        <w:tc>
          <w:tcPr>
            <w:tcW w:w="7938" w:type="dxa"/>
          </w:tcPr>
          <w:p w:rsidRPr="00135FC6" w:rsidR="00A95F5C" w:rsidP="00131848" w:rsidRDefault="00A95F5C" w14:paraId="2E00498D" w14:textId="77777777">
            <w:pPr>
              <w:pStyle w:val="BodyText"/>
              <w:rPr>
                <w:rFonts w:cs="Arial" w:asciiTheme="minorHAnsi" w:hAnsiTheme="minorHAnsi"/>
                <w:sz w:val="20"/>
              </w:rPr>
            </w:pPr>
            <w:r>
              <w:rPr>
                <w:rFonts w:cs="Arial"/>
                <w:sz w:val="20"/>
              </w:rPr>
              <w:t>Not applicable</w:t>
            </w:r>
          </w:p>
        </w:tc>
      </w:tr>
      <w:tr w:rsidRPr="00135FC6" w:rsidR="00A95F5C" w:rsidTr="00280D08" w14:paraId="7ADC6D54" w14:textId="77777777">
        <w:trPr>
          <w:trHeight w:val="79"/>
        </w:trPr>
        <w:tc>
          <w:tcPr>
            <w:tcW w:w="1702" w:type="dxa"/>
          </w:tcPr>
          <w:p w:rsidRPr="00B53E9B" w:rsidR="00A95F5C" w:rsidP="00131848" w:rsidRDefault="00A95F5C" w14:paraId="4CDBD694" w14:textId="77777777">
            <w:pPr>
              <w:pStyle w:val="BodyText"/>
              <w:rPr>
                <w:rFonts w:cs="Arial"/>
                <w:b/>
                <w:bCs/>
                <w:sz w:val="20"/>
              </w:rPr>
            </w:pPr>
            <w:r w:rsidRPr="00B53E9B">
              <w:rPr>
                <w:rFonts w:cs="Arial"/>
                <w:b/>
                <w:bCs/>
                <w:sz w:val="20"/>
              </w:rPr>
              <w:t>Stability</w:t>
            </w:r>
          </w:p>
        </w:tc>
        <w:tc>
          <w:tcPr>
            <w:tcW w:w="7938" w:type="dxa"/>
          </w:tcPr>
          <w:p w:rsidRPr="00135FC6" w:rsidR="00A95F5C" w:rsidP="00131848" w:rsidRDefault="00A95F5C" w14:paraId="28C3CEAC" w14:textId="77777777">
            <w:pPr>
              <w:pStyle w:val="BodyText"/>
              <w:rPr>
                <w:rFonts w:cs="Arial" w:asciiTheme="minorHAnsi" w:hAnsiTheme="minorHAnsi"/>
                <w:sz w:val="20"/>
              </w:rPr>
            </w:pPr>
            <w:r w:rsidRPr="00C949FB">
              <w:rPr>
                <w:rFonts w:cs="Arial"/>
                <w:sz w:val="20"/>
              </w:rPr>
              <w:t>Discard 4 months after opening.</w:t>
            </w:r>
          </w:p>
        </w:tc>
      </w:tr>
      <w:tr w:rsidRPr="00135FC6" w:rsidR="00A95F5C" w:rsidTr="00280D08" w14:paraId="57958AB4" w14:textId="77777777">
        <w:trPr>
          <w:trHeight w:val="70"/>
        </w:trPr>
        <w:tc>
          <w:tcPr>
            <w:tcW w:w="1702" w:type="dxa"/>
          </w:tcPr>
          <w:p w:rsidRPr="00B53E9B" w:rsidR="00A95F5C" w:rsidP="00131848" w:rsidRDefault="00A95F5C" w14:paraId="755B2F57" w14:textId="77777777">
            <w:pPr>
              <w:pStyle w:val="BodyText"/>
              <w:rPr>
                <w:rFonts w:cs="Arial"/>
                <w:b/>
                <w:bCs/>
                <w:sz w:val="20"/>
              </w:rPr>
            </w:pPr>
            <w:r w:rsidRPr="00B53E9B">
              <w:rPr>
                <w:rFonts w:cs="Arial"/>
                <w:b/>
                <w:bCs/>
                <w:sz w:val="20"/>
              </w:rPr>
              <w:t xml:space="preserve">Storage </w:t>
            </w:r>
          </w:p>
        </w:tc>
        <w:tc>
          <w:tcPr>
            <w:tcW w:w="7938" w:type="dxa"/>
          </w:tcPr>
          <w:p w:rsidRPr="00135FC6" w:rsidR="00A95F5C" w:rsidP="00131848" w:rsidRDefault="00A95F5C" w14:paraId="46341850" w14:textId="77777777">
            <w:pPr>
              <w:pStyle w:val="BodyText"/>
              <w:rPr>
                <w:rFonts w:cs="Arial" w:asciiTheme="minorHAnsi" w:hAnsiTheme="minorHAnsi"/>
                <w:sz w:val="20"/>
              </w:rPr>
            </w:pPr>
            <w:r w:rsidRPr="00C949FB">
              <w:rPr>
                <w:rFonts w:cs="Arial"/>
                <w:sz w:val="20"/>
              </w:rPr>
              <w:t>Store below 25</w:t>
            </w:r>
            <w:r>
              <w:rPr>
                <w:rFonts w:cs="Calibri"/>
                <w:sz w:val="20"/>
              </w:rPr>
              <w:t>°</w:t>
            </w:r>
            <w:r w:rsidRPr="00C949FB">
              <w:rPr>
                <w:rFonts w:cs="Arial"/>
                <w:sz w:val="20"/>
              </w:rPr>
              <w:t>C.</w:t>
            </w:r>
          </w:p>
        </w:tc>
      </w:tr>
      <w:tr w:rsidRPr="00891EC3" w:rsidR="00A95F5C" w:rsidTr="00280D08" w14:paraId="4770F2C2" w14:textId="77777777">
        <w:trPr>
          <w:trHeight w:val="70"/>
        </w:trPr>
        <w:tc>
          <w:tcPr>
            <w:tcW w:w="1702" w:type="dxa"/>
          </w:tcPr>
          <w:p w:rsidRPr="00B53E9B" w:rsidR="00A95F5C" w:rsidP="00131848" w:rsidRDefault="00A95F5C" w14:paraId="1EF70CD6" w14:textId="77777777">
            <w:pPr>
              <w:pStyle w:val="BodyText"/>
              <w:rPr>
                <w:rFonts w:cs="Arial"/>
                <w:b/>
                <w:bCs/>
                <w:sz w:val="20"/>
              </w:rPr>
            </w:pPr>
            <w:r w:rsidRPr="00B53E9B">
              <w:rPr>
                <w:rFonts w:cs="Arial"/>
                <w:b/>
                <w:bCs/>
                <w:sz w:val="20"/>
              </w:rPr>
              <w:t>Excipients</w:t>
            </w:r>
          </w:p>
        </w:tc>
        <w:tc>
          <w:tcPr>
            <w:tcW w:w="7938" w:type="dxa"/>
          </w:tcPr>
          <w:p w:rsidRPr="00891EC3" w:rsidR="00A95F5C" w:rsidP="00131848" w:rsidRDefault="00A95F5C" w14:paraId="06B4215F" w14:textId="77777777">
            <w:pPr>
              <w:pStyle w:val="BodyText"/>
              <w:rPr>
                <w:rFonts w:asciiTheme="minorHAnsi" w:hAnsiTheme="minorHAnsi" w:cstheme="minorHAnsi"/>
                <w:sz w:val="20"/>
              </w:rPr>
            </w:pPr>
            <w:r>
              <w:rPr>
                <w:rFonts w:asciiTheme="minorHAnsi" w:hAnsiTheme="minorHAnsi" w:cstheme="minorHAnsi"/>
                <w:color w:val="333333"/>
                <w:sz w:val="20"/>
              </w:rPr>
              <w:t xml:space="preserve">Ursofalk suspension: </w:t>
            </w:r>
            <w:r w:rsidRPr="00692B1D">
              <w:rPr>
                <w:rFonts w:asciiTheme="minorHAnsi" w:hAnsiTheme="minorHAnsi" w:cstheme="minorHAnsi"/>
                <w:color w:val="333333"/>
                <w:sz w:val="20"/>
              </w:rPr>
              <w:t>benzoic acid, purified water, xylitol, glycerol, Avicel RC-591, propylene glycol, sodium citrate dihydrate, sodium cyclamate, citric acid, sodium chloride and 87017 lemon flavour</w:t>
            </w:r>
          </w:p>
        </w:tc>
      </w:tr>
      <w:tr w:rsidRPr="00026F20" w:rsidR="00A95F5C" w:rsidTr="00280D08" w14:paraId="2302A428" w14:textId="77777777">
        <w:trPr>
          <w:trHeight w:val="270"/>
        </w:trPr>
        <w:tc>
          <w:tcPr>
            <w:tcW w:w="1702" w:type="dxa"/>
          </w:tcPr>
          <w:p w:rsidRPr="00B53E9B" w:rsidR="00A95F5C" w:rsidP="00131848" w:rsidRDefault="00A95F5C" w14:paraId="531DCDA0" w14:textId="77777777">
            <w:pPr>
              <w:pStyle w:val="BodyText"/>
              <w:rPr>
                <w:rFonts w:cs="Arial"/>
                <w:b/>
                <w:bCs/>
                <w:sz w:val="20"/>
              </w:rPr>
            </w:pPr>
            <w:r w:rsidRPr="00B53E9B">
              <w:rPr>
                <w:rFonts w:cs="Arial"/>
                <w:b/>
                <w:bCs/>
                <w:sz w:val="20"/>
              </w:rPr>
              <w:lastRenderedPageBreak/>
              <w:t xml:space="preserve">Special </w:t>
            </w:r>
            <w:r>
              <w:rPr>
                <w:rFonts w:cs="Arial"/>
                <w:b/>
                <w:bCs/>
                <w:sz w:val="20"/>
              </w:rPr>
              <w:t>c</w:t>
            </w:r>
            <w:r w:rsidRPr="00B53E9B">
              <w:rPr>
                <w:rFonts w:cs="Arial"/>
                <w:b/>
                <w:bCs/>
                <w:sz w:val="20"/>
              </w:rPr>
              <w:t xml:space="preserve">omments </w:t>
            </w:r>
          </w:p>
        </w:tc>
        <w:tc>
          <w:tcPr>
            <w:tcW w:w="7938" w:type="dxa"/>
          </w:tcPr>
          <w:p w:rsidRPr="00026F20" w:rsidR="00A95F5C" w:rsidP="00131848" w:rsidRDefault="00A95F5C" w14:paraId="3966421A" w14:textId="77777777">
            <w:pPr>
              <w:pStyle w:val="BodyText"/>
              <w:rPr>
                <w:rFonts w:cs="Arial"/>
                <w:sz w:val="20"/>
              </w:rPr>
            </w:pPr>
          </w:p>
        </w:tc>
      </w:tr>
      <w:tr w:rsidRPr="00795BE3" w:rsidR="00A95F5C" w:rsidTr="00280D08" w14:paraId="392252B4" w14:textId="77777777">
        <w:trPr>
          <w:trHeight w:val="280"/>
        </w:trPr>
        <w:tc>
          <w:tcPr>
            <w:tcW w:w="1702" w:type="dxa"/>
          </w:tcPr>
          <w:p w:rsidRPr="00B53E9B" w:rsidR="00A95F5C" w:rsidP="00131848" w:rsidRDefault="00A95F5C" w14:paraId="37605BAA" w14:textId="77777777">
            <w:pPr>
              <w:pStyle w:val="BodyText"/>
              <w:rPr>
                <w:rFonts w:cs="Arial"/>
                <w:b/>
                <w:bCs/>
                <w:sz w:val="20"/>
              </w:rPr>
            </w:pPr>
            <w:r w:rsidRPr="00B53E9B">
              <w:rPr>
                <w:rFonts w:cs="Arial"/>
                <w:b/>
                <w:bCs/>
                <w:sz w:val="20"/>
              </w:rPr>
              <w:t>Evidence</w:t>
            </w:r>
          </w:p>
        </w:tc>
        <w:tc>
          <w:tcPr>
            <w:tcW w:w="7938" w:type="dxa"/>
          </w:tcPr>
          <w:p w:rsidRPr="00A95F5C" w:rsidR="00A95F5C" w:rsidP="00131848" w:rsidRDefault="00A95F5C" w14:paraId="06A94707" w14:textId="77777777">
            <w:pPr>
              <w:rPr>
                <w:rFonts w:cs="Calibri"/>
                <w:b/>
                <w:sz w:val="16"/>
                <w:szCs w:val="16"/>
              </w:rPr>
            </w:pPr>
            <w:r w:rsidRPr="00A95F5C">
              <w:rPr>
                <w:rFonts w:cs="Calibri"/>
                <w:b/>
                <w:sz w:val="16"/>
                <w:szCs w:val="16"/>
              </w:rPr>
              <w:t>Efficacy</w:t>
            </w:r>
          </w:p>
          <w:p w:rsidRPr="00A95F5C" w:rsidR="00A95F5C" w:rsidP="00131848" w:rsidRDefault="00A95F5C" w14:paraId="271688D9" w14:textId="77777777">
            <w:pPr>
              <w:rPr>
                <w:rFonts w:cs="Calibri"/>
                <w:sz w:val="16"/>
                <w:szCs w:val="16"/>
              </w:rPr>
            </w:pPr>
            <w:r w:rsidRPr="00A95F5C">
              <w:rPr>
                <w:rFonts w:cs="Calibri"/>
                <w:b/>
                <w:sz w:val="16"/>
                <w:szCs w:val="16"/>
              </w:rPr>
              <w:t>Treatment of parenteral nutrition associated cholestasis (PNAC):</w:t>
            </w:r>
            <w:r w:rsidRPr="00A95F5C">
              <w:rPr>
                <w:rFonts w:cs="Calibri"/>
                <w:sz w:val="16"/>
                <w:szCs w:val="16"/>
              </w:rPr>
              <w:t xml:space="preserve"> A cross-over randomised controlled trial compared the effectiveness of phenobarbital versus ursodeoxycholic acid (UDCA) in reducing the direct serum bilirubin levels in preterm neonates with PNAC. Infants randomly received one of the two interventions: UDCA (10 mg/kg/day every 12 hours) or phenobarbital (3 mg/kg/day, every 24 h) for 7 days, continuing with 7 days of wash-out to return to their initial state and to subsequently receive the other treatment. UDCA therapy resulted in decrease in serum bilirubin. Phenobarbital had no effect in reducing bilirubin concentration.</w:t>
            </w:r>
            <w:r w:rsidRPr="00A95F5C">
              <w:rPr>
                <w:rFonts w:cs="Calibri"/>
                <w:noProof/>
                <w:sz w:val="16"/>
                <w:szCs w:val="16"/>
              </w:rPr>
              <w:t>(1)</w:t>
            </w:r>
            <w:r w:rsidRPr="00A95F5C">
              <w:rPr>
                <w:rFonts w:cs="Calibri"/>
                <w:sz w:val="16"/>
                <w:szCs w:val="16"/>
              </w:rPr>
              <w:t xml:space="preserve"> A few retrospective studies reported the effect of UDCA in very-low-birth-weight (VLBW) infants with PNAC. Chen et al reported significantly shorter duration of cholestasis and lower peak bilirubin levels with UDCA dosages of 10-30 mg/kg/day.</w:t>
            </w:r>
            <w:r w:rsidRPr="00A95F5C">
              <w:rPr>
                <w:rFonts w:cs="Calibri"/>
                <w:noProof/>
                <w:sz w:val="16"/>
                <w:szCs w:val="16"/>
              </w:rPr>
              <w:t>(2)</w:t>
            </w:r>
            <w:r w:rsidRPr="00A95F5C">
              <w:rPr>
                <w:rFonts w:cs="Calibri"/>
                <w:sz w:val="16"/>
                <w:szCs w:val="16"/>
              </w:rPr>
              <w:t xml:space="preserve"> Thibault et al reported significantly faster rate of decline in bilirubin and significant weight gain with UDCA. The median (interquartile range) dose and duration of UDCA therapy were 25 (20-29.4) mg/kg/day and 35 (22-64) days.</w:t>
            </w:r>
            <w:r w:rsidRPr="00A95F5C">
              <w:rPr>
                <w:rFonts w:cs="Calibri"/>
                <w:noProof/>
                <w:sz w:val="16"/>
                <w:szCs w:val="16"/>
              </w:rPr>
              <w:t>(3)</w:t>
            </w:r>
            <w:r w:rsidRPr="00A95F5C">
              <w:rPr>
                <w:rFonts w:cs="Calibri"/>
                <w:sz w:val="16"/>
                <w:szCs w:val="16"/>
              </w:rPr>
              <w:t xml:space="preserve"> Al-Hathlol et al reported improvement in liver function tests with UDCA of 15-20 mg/kg/day in a small cohort of preterm infants with intractable PNAC.  There was a significant reduction in serum levels of direct bilirubin, total bilirubin and AST. Serum ALP, ALT and GGT showed a non-significant improvement. Serum direct bilirubin was noted as the first marker to respond to UDCA therapy.</w:t>
            </w:r>
            <w:r w:rsidRPr="00A95F5C">
              <w:rPr>
                <w:rFonts w:cs="Calibri"/>
                <w:noProof/>
                <w:sz w:val="16"/>
                <w:szCs w:val="16"/>
              </w:rPr>
              <w:t>(4)</w:t>
            </w:r>
            <w:r w:rsidRPr="00A95F5C">
              <w:rPr>
                <w:rFonts w:cs="Calibri"/>
                <w:sz w:val="16"/>
                <w:szCs w:val="16"/>
              </w:rPr>
              <w:t xml:space="preserve"> </w:t>
            </w:r>
          </w:p>
          <w:p w:rsidRPr="00A95F5C" w:rsidR="00A95F5C" w:rsidP="00131848" w:rsidRDefault="00A95F5C" w14:paraId="268CB43E" w14:textId="77777777">
            <w:pPr>
              <w:rPr>
                <w:rFonts w:cs="Calibri"/>
                <w:sz w:val="16"/>
                <w:szCs w:val="16"/>
              </w:rPr>
            </w:pPr>
            <w:r w:rsidRPr="00A95F5C">
              <w:rPr>
                <w:rFonts w:cs="Calibri"/>
                <w:b/>
                <w:sz w:val="16"/>
                <w:szCs w:val="16"/>
              </w:rPr>
              <w:t>Treatment of neonatal cholestasis from diverse etiologies:</w:t>
            </w:r>
            <w:r w:rsidRPr="00A95F5C">
              <w:rPr>
                <w:rFonts w:cs="Calibri"/>
                <w:sz w:val="16"/>
                <w:szCs w:val="16"/>
              </w:rPr>
              <w:t xml:space="preserve"> Lewis et al compared the effectiveness of ursodiol and phenobarbital for the treatment of cholestasis in neonates. UDCA was significantly more effective in reducing direct bilirubin than phenobarbital. Phenobarbital, has limited efficacy for the reduction of direct bilirubin in infants with cholestasis. There was no improvement in direct bilirubin in the majority of infants treated with phenobarbital.</w:t>
            </w:r>
            <w:r w:rsidRPr="00A95F5C">
              <w:rPr>
                <w:rFonts w:cs="Calibri"/>
                <w:noProof/>
                <w:sz w:val="16"/>
                <w:szCs w:val="16"/>
              </w:rPr>
              <w:t>(5)</w:t>
            </w:r>
          </w:p>
          <w:p w:rsidRPr="00A95F5C" w:rsidR="00A95F5C" w:rsidP="00131848" w:rsidRDefault="00A95F5C" w14:paraId="7EEB65F8" w14:textId="77777777">
            <w:pPr>
              <w:rPr>
                <w:rFonts w:cs="Calibri"/>
                <w:sz w:val="16"/>
                <w:szCs w:val="16"/>
              </w:rPr>
            </w:pPr>
            <w:r w:rsidRPr="00A95F5C">
              <w:rPr>
                <w:rFonts w:cs="Calibri"/>
                <w:b/>
                <w:sz w:val="16"/>
                <w:szCs w:val="16"/>
              </w:rPr>
              <w:t>Prevention of PNAC:</w:t>
            </w:r>
            <w:r w:rsidRPr="00A95F5C">
              <w:rPr>
                <w:rFonts w:cs="Calibri"/>
                <w:sz w:val="16"/>
                <w:szCs w:val="16"/>
              </w:rPr>
              <w:t xml:space="preserve"> A pilot trial by Arsanoglu et al administered UDCA 5 mg/kg/day beginning on day 3 of life in very preterm infants on PN from day 1 of life. The dose was increased to 10 mg/kg/day with initiation of enteral feeds and dose was further increased to 20 mg/kg/day once enteral feeds reached 120 mL/kg/day. Primary aim was to reduce fecal fat excretion and time to reach full enteral feeds. Secondary outcomes included liver enzymes. UDCA treatment showed no significant benefit in fecal fat excretion and time to reach full enteral feeds. However, Ƴ -glutamyl transferase (GGT), the earliest sensitive marker for cholestasis, declined significantly in UDCA treated infants.</w:t>
            </w:r>
            <w:r w:rsidRPr="00A95F5C">
              <w:rPr>
                <w:rFonts w:cs="Calibri"/>
                <w:noProof/>
                <w:sz w:val="16"/>
                <w:szCs w:val="16"/>
              </w:rPr>
              <w:t>(6)</w:t>
            </w:r>
            <w:r w:rsidRPr="00A95F5C">
              <w:rPr>
                <w:rFonts w:cs="Calibri"/>
                <w:sz w:val="16"/>
                <w:szCs w:val="16"/>
              </w:rPr>
              <w:t xml:space="preserve"> A double blind, randomized, controlled trial in which three groups of preterm infants (birth weight &lt;1500 g) were randomized to erythromycin (12.5 mg/kg/day), UDCA (5 mg/kg every 6 h) or placebo treatment. Time to achieve full feeding was significantly shorter in the erythromycin group. GGT level was slightly lower in UDCA groups than erythromycin.</w:t>
            </w:r>
            <w:r w:rsidRPr="00A95F5C">
              <w:rPr>
                <w:sz w:val="16"/>
                <w:szCs w:val="16"/>
              </w:rPr>
              <w:t xml:space="preserve"> </w:t>
            </w:r>
            <w:r w:rsidRPr="00A95F5C">
              <w:rPr>
                <w:rFonts w:cs="Calibri"/>
                <w:sz w:val="16"/>
                <w:szCs w:val="16"/>
              </w:rPr>
              <w:t>The maximum serum total bilirubin and conjugated bilirubin levels, serum alanine aminotransferase and aspartate aminotransferase levels did not differ significantly among three groups. This trial suggested that prophylactic usage of UDCA could be considered in infants with prolonged parenteral nutrition.</w:t>
            </w:r>
            <w:r w:rsidRPr="00A95F5C">
              <w:rPr>
                <w:rFonts w:cs="Calibri"/>
                <w:noProof/>
                <w:sz w:val="16"/>
                <w:szCs w:val="16"/>
              </w:rPr>
              <w:t>(7)</w:t>
            </w:r>
          </w:p>
          <w:p w:rsidRPr="00A95F5C" w:rsidR="00A95F5C" w:rsidP="00131848" w:rsidRDefault="00A95F5C" w14:paraId="27B3C4D2" w14:textId="77777777">
            <w:pPr>
              <w:rPr>
                <w:rFonts w:cs="Calibri"/>
                <w:sz w:val="16"/>
                <w:szCs w:val="16"/>
              </w:rPr>
            </w:pPr>
            <w:r w:rsidRPr="00A95F5C">
              <w:rPr>
                <w:rFonts w:cs="Calibri"/>
                <w:b/>
                <w:sz w:val="16"/>
                <w:szCs w:val="16"/>
              </w:rPr>
              <w:t xml:space="preserve">Adjuvant therapy for unconjugated hyperbilirubinemia: </w:t>
            </w:r>
            <w:r w:rsidRPr="00A95F5C">
              <w:rPr>
                <w:rFonts w:cs="Calibri"/>
                <w:sz w:val="16"/>
                <w:szCs w:val="16"/>
              </w:rPr>
              <w:t xml:space="preserve">Several RCTs demonstrated faster decline in total serum bilirubin when UDCA was given in addition to phototherapy in term neonates. Hassan et al enrolled 200 term neonates with indirect hyperbilirubinemia under phototherapy and randomly divided into two groups, group A (n=100) received Ursodiol 10 mg/kg/day orally divided 12 hourly after day 3 of life in addition to phototherapy, while group B (n=100) received only phototherapy. </w:t>
            </w:r>
          </w:p>
          <w:p w:rsidRPr="00A95F5C" w:rsidR="00A95F5C" w:rsidP="00131848" w:rsidRDefault="00A95F5C" w14:paraId="36926B28" w14:textId="77777777">
            <w:pPr>
              <w:rPr>
                <w:rFonts w:cs="Calibri"/>
                <w:sz w:val="16"/>
                <w:szCs w:val="16"/>
              </w:rPr>
            </w:pPr>
            <w:r w:rsidRPr="00A95F5C">
              <w:rPr>
                <w:rFonts w:cs="Calibri"/>
                <w:sz w:val="16"/>
                <w:szCs w:val="16"/>
              </w:rPr>
              <w:t>Total serum bilirubin at 12, 24 and 36 hours after therapy were significantly less in UDCA group and the duration of phototherapy was also significantly less.(10) In a double blind RCT, Honar et al enrolled 80 term neonates &gt;3 days old under phototherapy and randomly divided into 2 groups. The intervention group received UDCA 10 mg/kg/day divided every 12 hours in addition to phototherapy, whereas the control group (n=40) received only phototherapy. Total serum bilirubin levels at 12, 24 and 48 hours after the beginning of therapy were significantly less and duration of phototherapy was significantly less in UDCA group.(11)</w:t>
            </w:r>
            <w:r w:rsidRPr="00A95F5C">
              <w:rPr>
                <w:sz w:val="16"/>
                <w:szCs w:val="16"/>
              </w:rPr>
              <w:t xml:space="preserve"> </w:t>
            </w:r>
            <w:r w:rsidRPr="00A95F5C">
              <w:rPr>
                <w:rFonts w:asciiTheme="minorHAnsi" w:hAnsiTheme="minorHAnsi" w:cstheme="minorHAnsi"/>
                <w:sz w:val="16"/>
                <w:szCs w:val="16"/>
              </w:rPr>
              <w:t>Jafari et al randomised 96</w:t>
            </w:r>
            <w:r w:rsidRPr="00A95F5C">
              <w:rPr>
                <w:rFonts w:cs="Calibri"/>
                <w:sz w:val="16"/>
                <w:szCs w:val="16"/>
              </w:rPr>
              <w:t xml:space="preserve"> term neonates from 24 hours to 14 days of age under phototherapy into 3 Groups receiving either phototherapy only or UDCA at 10mg/kg/day or 20mg/kg/day in 12 hourly doses along with phototherapy. There was a higher rate of fall in serum bilirubin and less duration of phototherapy required in children receiving UDCA. However, there was no difference in the group receiving 10mg vs 20 mg /kg/day.(12) In a double blind RCT by Shahramian et al, term neonates of 3-5 days age under phototherapy were randomly divided into intervention (phototherapy+ UDCA) and control (phototherapy alone) groups. The intervention group received 15 mg/kg UDCA daily. Total serum bilirubin levels at 24, 48 and 72 hours after therapy were significantly less in UDCA group. The ratio of neonates with total bilirubin&lt; 10 mg/dL were 28% and 55% after 48 hours, and 64% and 90% after 72 hours of therapy initiation in phototherapy alone and phototherapy+ UDCA groups respectively (P&lt; 0.001). The mean reduction of direct bilirubin was not significantly different between the groups.(13) In a RCT by Akefi et al, 220 term neonates receiving phototherapy for non-haemolytic jaundice were randomly assigned to phototherapy group (Control group) and phototherapy plus UDCA group (Intervention group) as</w:t>
            </w:r>
          </w:p>
          <w:p w:rsidRPr="00A95F5C" w:rsidR="00A95F5C" w:rsidP="00131848" w:rsidRDefault="00A95F5C" w14:paraId="2A25A038" w14:textId="77777777">
            <w:pPr>
              <w:rPr>
                <w:rFonts w:cs="Calibri"/>
                <w:sz w:val="16"/>
                <w:szCs w:val="16"/>
              </w:rPr>
            </w:pPr>
            <w:r w:rsidRPr="00A95F5C">
              <w:rPr>
                <w:rFonts w:cs="Calibri"/>
                <w:sz w:val="16"/>
                <w:szCs w:val="16"/>
              </w:rPr>
              <w:t>10mg/kg/day in 2 divided doses. The mean age of the control and intervention group was 5.3 and</w:t>
            </w:r>
          </w:p>
          <w:p w:rsidRPr="00A95F5C" w:rsidR="00A95F5C" w:rsidP="00131848" w:rsidRDefault="00A95F5C" w14:paraId="00805126" w14:textId="77777777">
            <w:pPr>
              <w:rPr>
                <w:rFonts w:cs="Calibri"/>
                <w:sz w:val="16"/>
                <w:szCs w:val="16"/>
              </w:rPr>
            </w:pPr>
            <w:r w:rsidRPr="00A95F5C">
              <w:rPr>
                <w:rFonts w:cs="Calibri"/>
                <w:sz w:val="16"/>
                <w:szCs w:val="16"/>
              </w:rPr>
              <w:t xml:space="preserve">4.9 days, respectively. Reduction in total bilirubin level was significantly more in UDCA group. However, there was no significant difference in mean of the duration of phototherapy. </w:t>
            </w:r>
          </w:p>
          <w:p w:rsidRPr="00A95F5C" w:rsidR="00A95F5C" w:rsidP="00131848" w:rsidRDefault="00A95F5C" w14:paraId="55B5D93F" w14:textId="77777777">
            <w:pPr>
              <w:rPr>
                <w:rFonts w:cs="Calibri"/>
                <w:sz w:val="16"/>
                <w:szCs w:val="16"/>
              </w:rPr>
            </w:pPr>
            <w:r w:rsidRPr="00A95F5C">
              <w:rPr>
                <w:rFonts w:cs="Calibri"/>
                <w:b/>
                <w:sz w:val="16"/>
                <w:szCs w:val="16"/>
              </w:rPr>
              <w:t>Safety</w:t>
            </w:r>
            <w:r w:rsidRPr="00A95F5C">
              <w:rPr>
                <w:rFonts w:cs="Calibri"/>
                <w:sz w:val="16"/>
                <w:szCs w:val="16"/>
              </w:rPr>
              <w:t xml:space="preserve"> </w:t>
            </w:r>
          </w:p>
          <w:p w:rsidRPr="00A95F5C" w:rsidR="00A95F5C" w:rsidP="00131848" w:rsidRDefault="00A95F5C" w14:paraId="3C5C39CD" w14:textId="77777777">
            <w:pPr>
              <w:rPr>
                <w:rFonts w:cs="Calibri"/>
                <w:sz w:val="16"/>
                <w:szCs w:val="16"/>
              </w:rPr>
            </w:pPr>
            <w:r w:rsidRPr="00A95F5C">
              <w:rPr>
                <w:rFonts w:cs="Calibri"/>
                <w:sz w:val="16"/>
                <w:szCs w:val="16"/>
              </w:rPr>
              <w:t>UDCA is well tolerated with no significant adverse effects reported in neonatal studies (1-7)</w:t>
            </w:r>
          </w:p>
        </w:tc>
      </w:tr>
      <w:tr w:rsidRPr="00026F20" w:rsidR="00A95F5C" w:rsidTr="00280D08" w14:paraId="21D4DDBD" w14:textId="77777777">
        <w:trPr>
          <w:trHeight w:val="108"/>
        </w:trPr>
        <w:tc>
          <w:tcPr>
            <w:tcW w:w="1702" w:type="dxa"/>
          </w:tcPr>
          <w:p w:rsidRPr="00B53E9B" w:rsidR="00A95F5C" w:rsidP="00131848" w:rsidRDefault="00A95F5C" w14:paraId="74CB8613" w14:textId="77777777">
            <w:pPr>
              <w:pStyle w:val="BodyText"/>
              <w:rPr>
                <w:rFonts w:cs="Arial"/>
                <w:b/>
                <w:bCs/>
                <w:sz w:val="20"/>
              </w:rPr>
            </w:pPr>
            <w:r w:rsidRPr="00B53E9B">
              <w:rPr>
                <w:rFonts w:cs="Arial"/>
                <w:b/>
                <w:bCs/>
                <w:sz w:val="20"/>
              </w:rPr>
              <w:t>Practice points</w:t>
            </w:r>
          </w:p>
        </w:tc>
        <w:tc>
          <w:tcPr>
            <w:tcW w:w="7938" w:type="dxa"/>
          </w:tcPr>
          <w:p w:rsidR="00A95F5C" w:rsidP="00131848" w:rsidRDefault="00A95F5C" w14:paraId="3EE37A11" w14:textId="77777777">
            <w:pPr>
              <w:pStyle w:val="BodyText"/>
              <w:tabs>
                <w:tab w:val="left" w:pos="1168"/>
              </w:tabs>
              <w:rPr>
                <w:rFonts w:cs="Arial"/>
                <w:sz w:val="20"/>
              </w:rPr>
            </w:pPr>
            <w:r>
              <w:rPr>
                <w:rFonts w:cs="Arial"/>
                <w:sz w:val="20"/>
              </w:rPr>
              <w:t>UDCA is effective in reducing direct serum bilirubin and duration of PNAC in neonates. (LOE III-2; GOR B)(</w:t>
            </w:r>
            <w:r>
              <w:rPr>
                <w:rFonts w:cs="Arial"/>
                <w:noProof/>
                <w:sz w:val="20"/>
              </w:rPr>
              <w:t>(1-5)</w:t>
            </w:r>
          </w:p>
          <w:p w:rsidR="00A95F5C" w:rsidP="00131848" w:rsidRDefault="00A95F5C" w14:paraId="37CEBF0F" w14:textId="77777777">
            <w:pPr>
              <w:pStyle w:val="BodyText"/>
              <w:tabs>
                <w:tab w:val="left" w:pos="1168"/>
              </w:tabs>
              <w:rPr>
                <w:rFonts w:cs="Arial"/>
                <w:noProof/>
                <w:sz w:val="20"/>
              </w:rPr>
            </w:pPr>
            <w:r>
              <w:rPr>
                <w:rFonts w:cs="Arial"/>
                <w:sz w:val="20"/>
              </w:rPr>
              <w:t>Prophylactic usage of UDCA can be considered in infants with prolonged PN. (LOE III-2; GOR D)</w:t>
            </w:r>
            <w:r>
              <w:rPr>
                <w:rFonts w:cs="Arial"/>
                <w:noProof/>
                <w:sz w:val="20"/>
              </w:rPr>
              <w:t>(6, 7)</w:t>
            </w:r>
          </w:p>
          <w:p w:rsidRPr="00026F20" w:rsidR="00A95F5C" w:rsidP="00131848" w:rsidRDefault="00A95F5C" w14:paraId="118476F9" w14:textId="77777777">
            <w:pPr>
              <w:pStyle w:val="BodyText"/>
              <w:tabs>
                <w:tab w:val="left" w:pos="1168"/>
              </w:tabs>
              <w:rPr>
                <w:rFonts w:cs="Arial"/>
                <w:sz w:val="20"/>
              </w:rPr>
            </w:pPr>
            <w:r>
              <w:rPr>
                <w:rFonts w:cs="Arial"/>
                <w:noProof/>
                <w:sz w:val="20"/>
              </w:rPr>
              <w:lastRenderedPageBreak/>
              <w:t>UDCA may be considered as an additive therapy to phototherapy in term neonates with indirect hyperbilirunemia to facilitate faster decline in total serum bilirubin. (LOE II: GOR C) (10-14)</w:t>
            </w:r>
          </w:p>
        </w:tc>
      </w:tr>
      <w:tr w:rsidRPr="00CC31BA" w:rsidR="00A95F5C" w:rsidTr="00280D08" w14:paraId="62505B0D" w14:textId="77777777">
        <w:trPr>
          <w:trHeight w:val="70"/>
        </w:trPr>
        <w:tc>
          <w:tcPr>
            <w:tcW w:w="1702" w:type="dxa"/>
          </w:tcPr>
          <w:p w:rsidRPr="00B53E9B" w:rsidR="00A95F5C" w:rsidP="00131848" w:rsidRDefault="00A95F5C" w14:paraId="7E4B66BC" w14:textId="77777777">
            <w:pPr>
              <w:pStyle w:val="BodyText"/>
              <w:rPr>
                <w:rFonts w:cs="Arial"/>
                <w:b/>
                <w:bCs/>
                <w:sz w:val="20"/>
              </w:rPr>
            </w:pPr>
            <w:r w:rsidRPr="00B53E9B">
              <w:rPr>
                <w:b/>
                <w:sz w:val="20"/>
              </w:rPr>
              <w:lastRenderedPageBreak/>
              <w:t>References</w:t>
            </w:r>
          </w:p>
        </w:tc>
        <w:tc>
          <w:tcPr>
            <w:tcW w:w="7938" w:type="dxa"/>
          </w:tcPr>
          <w:p w:rsidRPr="00A95F5C" w:rsidR="00A95F5C" w:rsidP="00A95F5C" w:rsidRDefault="00A95F5C" w14:paraId="2DB13AA7" w14:textId="77777777">
            <w:pPr>
              <w:pStyle w:val="NoSpacing"/>
              <w:numPr>
                <w:ilvl w:val="0"/>
                <w:numId w:val="162"/>
              </w:numPr>
              <w:rPr>
                <w:sz w:val="16"/>
                <w:szCs w:val="16"/>
              </w:rPr>
            </w:pPr>
            <w:r w:rsidRPr="00A95F5C">
              <w:rPr>
                <w:sz w:val="16"/>
                <w:szCs w:val="16"/>
              </w:rPr>
              <w:t>Maldonado SR, Téllez NCG, Yescas-Buendía G, FernanCarrocera L, Echaniz-Aviles O, Ríos ERR. Effectiveness of ursodeoxycholic acid vs phenobarbital for the treatment of neonatal cholestasis: a cross-randomized clinical trial. Bol Med Hosp Infant Mex. 2010;67:418-23.</w:t>
            </w:r>
          </w:p>
          <w:p w:rsidRPr="00A95F5C" w:rsidR="00A95F5C" w:rsidP="00A95F5C" w:rsidRDefault="00A95F5C" w14:paraId="0323D1FE" w14:textId="77777777">
            <w:pPr>
              <w:pStyle w:val="NoSpacing"/>
              <w:numPr>
                <w:ilvl w:val="0"/>
                <w:numId w:val="162"/>
              </w:numPr>
              <w:rPr>
                <w:sz w:val="16"/>
                <w:szCs w:val="16"/>
              </w:rPr>
            </w:pPr>
            <w:r w:rsidRPr="00A95F5C">
              <w:rPr>
                <w:sz w:val="16"/>
                <w:szCs w:val="16"/>
              </w:rPr>
              <w:t>Chen C-Y, Tsao P-N, Chen H-L, Chou H-C, Hsieh W-S, Chang M-H. Ursodeoxycholic acid (UDCA) therapy in very-low-birth-weight infants with parenteral nutrition-associated cholestasis. The Journal of Pediatrics. 2004;145(3):317-21.</w:t>
            </w:r>
          </w:p>
          <w:p w:rsidRPr="00A95F5C" w:rsidR="00A95F5C" w:rsidP="00A95F5C" w:rsidRDefault="00A95F5C" w14:paraId="103BAF07" w14:textId="77777777">
            <w:pPr>
              <w:pStyle w:val="NoSpacing"/>
              <w:numPr>
                <w:ilvl w:val="0"/>
                <w:numId w:val="162"/>
              </w:numPr>
              <w:rPr>
                <w:sz w:val="16"/>
                <w:szCs w:val="16"/>
              </w:rPr>
            </w:pPr>
            <w:r w:rsidRPr="00A95F5C">
              <w:rPr>
                <w:sz w:val="16"/>
                <w:szCs w:val="16"/>
              </w:rPr>
              <w:t>Thibault M, McMahon J, Faubert G, Charbonneau J, Malo J, Ferreira E, et al. Parenteral nutrition-associated liver disease: a retrospective study of ursodeoxycholic Acid use in neonates. The Journal of Pediatric Pharmacology and Therapeutics. 2014;19(1):42-8.</w:t>
            </w:r>
          </w:p>
          <w:p w:rsidRPr="00A95F5C" w:rsidR="00A95F5C" w:rsidP="00A95F5C" w:rsidRDefault="00A95F5C" w14:paraId="5CB66A66" w14:textId="77777777">
            <w:pPr>
              <w:pStyle w:val="NoSpacing"/>
              <w:numPr>
                <w:ilvl w:val="0"/>
                <w:numId w:val="162"/>
              </w:numPr>
              <w:rPr>
                <w:sz w:val="16"/>
                <w:szCs w:val="16"/>
              </w:rPr>
            </w:pPr>
            <w:r w:rsidRPr="00A95F5C">
              <w:rPr>
                <w:sz w:val="16"/>
                <w:szCs w:val="16"/>
              </w:rPr>
              <w:t>Al-Hathlol K, Al-Madani A, Al-Saif S, Abulaimoun B, Al-Tawil K, El-Demerdash A. Ursodeoxycholic acid therapy for intractable total parenteral nutrition-associated cholestasis in surgical very low birth weight infants. Singapore medical journal. 2006;47(2):147.</w:t>
            </w:r>
          </w:p>
          <w:p w:rsidRPr="00A95F5C" w:rsidR="00A95F5C" w:rsidP="00A95F5C" w:rsidRDefault="00A95F5C" w14:paraId="5D1CA724" w14:textId="77777777">
            <w:pPr>
              <w:pStyle w:val="NoSpacing"/>
              <w:numPr>
                <w:ilvl w:val="0"/>
                <w:numId w:val="162"/>
              </w:numPr>
              <w:rPr>
                <w:sz w:val="16"/>
                <w:szCs w:val="16"/>
              </w:rPr>
            </w:pPr>
            <w:r w:rsidRPr="00A95F5C">
              <w:rPr>
                <w:sz w:val="16"/>
                <w:szCs w:val="16"/>
              </w:rPr>
              <w:t>Lewis T, Kuye S, Sherman A. Ursodeoxycholic acid versus phenobarbital for cholestasis in the Neonatal Intensive Care Unit. BMC pediatrics. 2018;18(1):1-6.</w:t>
            </w:r>
          </w:p>
          <w:p w:rsidRPr="00A95F5C" w:rsidR="00A95F5C" w:rsidP="00A95F5C" w:rsidRDefault="00A95F5C" w14:paraId="2F44F2FC" w14:textId="77777777">
            <w:pPr>
              <w:pStyle w:val="NoSpacing"/>
              <w:numPr>
                <w:ilvl w:val="0"/>
                <w:numId w:val="162"/>
              </w:numPr>
              <w:rPr>
                <w:sz w:val="16"/>
                <w:szCs w:val="16"/>
              </w:rPr>
            </w:pPr>
            <w:r w:rsidRPr="00A95F5C">
              <w:rPr>
                <w:sz w:val="16"/>
                <w:szCs w:val="16"/>
              </w:rPr>
              <w:t>Arslanoglu S, Moro GE, Tauschel H-D, Boehm G. Ursodeoxycholic acid treatment in preterm infants: a pilot study for the prevention of cholestasis associated with total parenteral nutrition. Journal of pediatric gastroenterology and nutrition. 2008;46(2):228-31.</w:t>
            </w:r>
          </w:p>
          <w:p w:rsidRPr="00A95F5C" w:rsidR="00A95F5C" w:rsidP="00A95F5C" w:rsidRDefault="00A95F5C" w14:paraId="032A7E66" w14:textId="77777777">
            <w:pPr>
              <w:pStyle w:val="NoSpacing"/>
              <w:numPr>
                <w:ilvl w:val="0"/>
                <w:numId w:val="162"/>
              </w:numPr>
              <w:rPr>
                <w:sz w:val="16"/>
                <w:szCs w:val="16"/>
              </w:rPr>
            </w:pPr>
            <w:r w:rsidRPr="00A95F5C">
              <w:rPr>
                <w:sz w:val="16"/>
                <w:szCs w:val="16"/>
              </w:rPr>
              <w:t>Gokmen T, Oguz S, Bozdag S, Erdeve O, Uras N, Dilmen U. A controlled trial of erythromycin and UDCA in premature infants during parenteral nutrition in minimizing feeding intolerance and liver function abnormalities. Journal of Perinatology. 2012;32(2):123-8.</w:t>
            </w:r>
          </w:p>
          <w:p w:rsidRPr="00A95F5C" w:rsidR="00A95F5C" w:rsidP="00A95F5C" w:rsidRDefault="00A95F5C" w14:paraId="103FC229" w14:textId="77777777">
            <w:pPr>
              <w:pStyle w:val="NoSpacing"/>
              <w:numPr>
                <w:ilvl w:val="0"/>
                <w:numId w:val="162"/>
              </w:numPr>
              <w:rPr>
                <w:sz w:val="16"/>
                <w:szCs w:val="16"/>
              </w:rPr>
            </w:pPr>
            <w:r w:rsidRPr="00A95F5C">
              <w:rPr>
                <w:sz w:val="16"/>
                <w:szCs w:val="16"/>
              </w:rPr>
              <w:t>Product Information: Ursofalk Suspension. MIMSOnline. Accessed on 31 March 2021.</w:t>
            </w:r>
          </w:p>
          <w:p w:rsidRPr="00A95F5C" w:rsidR="00A95F5C" w:rsidP="00A95F5C" w:rsidRDefault="00A95F5C" w14:paraId="79084DB9" w14:textId="77777777">
            <w:pPr>
              <w:pStyle w:val="NoSpacing"/>
              <w:numPr>
                <w:ilvl w:val="0"/>
                <w:numId w:val="162"/>
              </w:numPr>
              <w:rPr>
                <w:sz w:val="16"/>
                <w:szCs w:val="16"/>
              </w:rPr>
            </w:pPr>
            <w:r w:rsidRPr="00A95F5C">
              <w:rPr>
                <w:sz w:val="16"/>
                <w:szCs w:val="16"/>
              </w:rPr>
              <w:t>Micromedex. Ursodeoxycholic acid. Accessed on 3 April 2021.</w:t>
            </w:r>
          </w:p>
          <w:p w:rsidRPr="00A95F5C" w:rsidR="00A95F5C" w:rsidP="00A95F5C" w:rsidRDefault="00A95F5C" w14:paraId="4E9AB734" w14:textId="77777777">
            <w:pPr>
              <w:pStyle w:val="NoSpacing"/>
              <w:numPr>
                <w:ilvl w:val="0"/>
                <w:numId w:val="162"/>
              </w:numPr>
              <w:rPr>
                <w:sz w:val="16"/>
                <w:szCs w:val="16"/>
              </w:rPr>
            </w:pPr>
            <w:r w:rsidRPr="00A95F5C">
              <w:rPr>
                <w:sz w:val="16"/>
                <w:szCs w:val="16"/>
              </w:rPr>
              <w:t>Hassan AM, Abdulrahman A, Husain RH. Effect of Ursodeoxycholic acid in lowering neonatal indirect hyperbilirubinemia: a randomized controlled trial. Merit Res J Med Med Sci. 2015;3(9):402-5.</w:t>
            </w:r>
          </w:p>
          <w:p w:rsidRPr="00A95F5C" w:rsidR="00A95F5C" w:rsidP="00A95F5C" w:rsidRDefault="00A95F5C" w14:paraId="20732F9E" w14:textId="77777777">
            <w:pPr>
              <w:pStyle w:val="NoSpacing"/>
              <w:numPr>
                <w:ilvl w:val="0"/>
                <w:numId w:val="162"/>
              </w:numPr>
              <w:rPr>
                <w:sz w:val="16"/>
                <w:szCs w:val="16"/>
              </w:rPr>
            </w:pPr>
            <w:r w:rsidRPr="00A95F5C">
              <w:rPr>
                <w:sz w:val="16"/>
                <w:szCs w:val="16"/>
              </w:rPr>
              <w:t>Honar N, Saadi EG, Saki F, Pishva N, Shakibazad N, Teshnizi SH. Effect of ursodeoxycholic acid on indirect hyperbilirubinemia in neonates treated with phototherapy. Journal of pediatric gastroenterology and nutrition. 2016 Jan 1;62(1):97-100.</w:t>
            </w:r>
          </w:p>
          <w:p w:rsidRPr="00A95F5C" w:rsidR="00A95F5C" w:rsidP="00A95F5C" w:rsidRDefault="00A95F5C" w14:paraId="7DF67F2F" w14:textId="77777777">
            <w:pPr>
              <w:pStyle w:val="NoSpacing"/>
              <w:numPr>
                <w:ilvl w:val="0"/>
                <w:numId w:val="162"/>
              </w:numPr>
              <w:rPr>
                <w:sz w:val="16"/>
                <w:szCs w:val="16"/>
              </w:rPr>
            </w:pPr>
            <w:r w:rsidRPr="00A95F5C">
              <w:rPr>
                <w:sz w:val="16"/>
                <w:szCs w:val="16"/>
              </w:rPr>
              <w:t>Jafari S, Khan KA, Bhatnagar S, Srivastava G, Nanda C, Chandra A. Role of ursodeoxycholic acid in neonates with indirect hyperbilirubinemia-an open labelled randomized control trial. Int J of Contemp Pediatr. 2018 Mar;5(2):432-5.</w:t>
            </w:r>
          </w:p>
          <w:p w:rsidRPr="00A95F5C" w:rsidR="00A95F5C" w:rsidP="00A95F5C" w:rsidRDefault="00A95F5C" w14:paraId="747A3684" w14:textId="77777777">
            <w:pPr>
              <w:pStyle w:val="NoSpacing"/>
              <w:numPr>
                <w:ilvl w:val="0"/>
                <w:numId w:val="162"/>
              </w:numPr>
              <w:rPr>
                <w:sz w:val="16"/>
                <w:szCs w:val="16"/>
              </w:rPr>
            </w:pPr>
            <w:r w:rsidRPr="00A95F5C">
              <w:rPr>
                <w:sz w:val="16"/>
                <w:szCs w:val="16"/>
              </w:rPr>
              <w:t>Shahramian I, Tabrizian K, Ostadrahimi P, Afshari M, Soleymanifar M, Bazi A. Therapeutic effects of ursodeoxycholic acid in neonatal indirect hyperbilirubinemia: a randomized double-blind clinical trial. Archives of Anesthesiology and Critical Care. 2019 Jul 2;5(3):99-103.</w:t>
            </w:r>
          </w:p>
          <w:p w:rsidRPr="00A95F5C" w:rsidR="00A95F5C" w:rsidP="00A95F5C" w:rsidRDefault="00A95F5C" w14:paraId="0F8A5D51" w14:textId="77777777">
            <w:pPr>
              <w:pStyle w:val="NoSpacing"/>
              <w:numPr>
                <w:ilvl w:val="0"/>
                <w:numId w:val="162"/>
              </w:numPr>
              <w:rPr>
                <w:sz w:val="16"/>
                <w:szCs w:val="16"/>
              </w:rPr>
            </w:pPr>
            <w:r w:rsidRPr="00A95F5C">
              <w:rPr>
                <w:sz w:val="16"/>
                <w:szCs w:val="16"/>
              </w:rPr>
              <w:t>Akefi R, Hashemi SM, Alinejad S, Almasi-Hashiani A. The effect of ursodeoxycholic acid on indirect hyperbilirubinemia in neonates treated with phototherapy: a randomized clinical trial. The Journal of Maternal-Fetal &amp; Neonatal Medicine. 2020 Nov 10:1-6.</w:t>
            </w:r>
          </w:p>
          <w:p w:rsidRPr="00A95F5C" w:rsidR="00A95F5C" w:rsidP="00A95F5C" w:rsidRDefault="00A95F5C" w14:paraId="4A2AAD8A" w14:textId="77777777">
            <w:pPr>
              <w:pStyle w:val="NoSpacing"/>
              <w:numPr>
                <w:ilvl w:val="0"/>
                <w:numId w:val="162"/>
              </w:numPr>
              <w:rPr>
                <w:sz w:val="16"/>
                <w:szCs w:val="16"/>
              </w:rPr>
            </w:pPr>
            <w:r w:rsidRPr="00A95F5C">
              <w:rPr>
                <w:sz w:val="16"/>
                <w:szCs w:val="16"/>
              </w:rPr>
              <w:t>Shah DD, Kuzmov A, Clausen D, Siu A, Robinson CA, Kimler K, Meyers R, Shah P. Osmolality of Commonly Used Oral Medications in the Neonatal Intensive Care Unit. The Journal of Pediatric Pharmacology and Therapeutics. 2021;26(2):172-8.</w:t>
            </w:r>
          </w:p>
        </w:tc>
      </w:tr>
    </w:tbl>
    <w:p w:rsidR="00EF6AB6" w:rsidP="11366D88" w:rsidRDefault="00EF6AB6" w14:paraId="26432180" w14:textId="4B729745">
      <w:pPr>
        <w:rPr>
          <w:rFonts w:cs="Calibri"/>
          <w:b/>
          <w:bCs/>
          <w:sz w:val="20"/>
        </w:rPr>
      </w:pPr>
    </w:p>
    <w:p w:rsidRPr="00E25790" w:rsidR="00A95F5C" w:rsidP="11366D88" w:rsidRDefault="00A95F5C" w14:paraId="06222127" w14:textId="77777777">
      <w:pPr>
        <w:rPr>
          <w:rFonts w:cs="Calibri"/>
          <w:b/>
          <w:bCs/>
          <w:sz w:val="20"/>
        </w:rPr>
      </w:pPr>
    </w:p>
    <w:tbl>
      <w:tblPr>
        <w:tblW w:w="9096" w:type="dxa"/>
        <w:tblInd w:w="-34" w:type="dxa"/>
        <w:tblLook w:val="04A0" w:firstRow="1" w:lastRow="0" w:firstColumn="1" w:lastColumn="0" w:noHBand="0" w:noVBand="1"/>
      </w:tblPr>
      <w:tblGrid>
        <w:gridCol w:w="4108"/>
        <w:gridCol w:w="4988"/>
      </w:tblGrid>
      <w:tr w:rsidR="0020431B" w:rsidTr="0025647E" w14:paraId="1A4ACB50" w14:textId="77777777">
        <w:tc>
          <w:tcPr>
            <w:tcW w:w="410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2C5D4302" w14:textId="1DB3B47A">
            <w:pPr>
              <w:spacing w:line="252" w:lineRule="auto"/>
              <w:rPr>
                <w:sz w:val="20"/>
                <w:lang w:val="en-AU"/>
              </w:rPr>
            </w:pPr>
            <w:r w:rsidRPr="00356BFE">
              <w:rPr>
                <w:sz w:val="20"/>
              </w:rPr>
              <w:t xml:space="preserve">Original version Date: </w:t>
            </w:r>
            <w:r w:rsidRPr="00356BFE" w:rsidR="0ABA502E">
              <w:rPr>
                <w:sz w:val="20"/>
              </w:rPr>
              <w:t>16/10/2016</w:t>
            </w:r>
          </w:p>
        </w:tc>
        <w:tc>
          <w:tcPr>
            <w:tcW w:w="498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0A19FBF8" w14:textId="40098513">
            <w:pPr>
              <w:spacing w:line="252" w:lineRule="auto"/>
              <w:rPr>
                <w:sz w:val="20"/>
              </w:rPr>
            </w:pPr>
            <w:r w:rsidRPr="00356BFE">
              <w:rPr>
                <w:sz w:val="20"/>
              </w:rPr>
              <w:t xml:space="preserve">Author: </w:t>
            </w:r>
            <w:r w:rsidRPr="00356BFE" w:rsidR="095FBD16">
              <w:rPr>
                <w:sz w:val="20"/>
              </w:rPr>
              <w:t>NMF Consensus Group</w:t>
            </w:r>
          </w:p>
        </w:tc>
      </w:tr>
      <w:tr w:rsidR="007A0A41" w:rsidTr="0025647E" w14:paraId="40D6D7B5"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455C1718" w14:textId="1F422F78">
            <w:pPr>
              <w:spacing w:line="252" w:lineRule="auto"/>
              <w:rPr>
                <w:sz w:val="20"/>
              </w:rPr>
            </w:pPr>
            <w:r w:rsidRPr="00356BFE">
              <w:rPr>
                <w:sz w:val="20"/>
              </w:rPr>
              <w:t>Current Version number: </w:t>
            </w:r>
            <w:r w:rsidR="00A95F5C">
              <w:rPr>
                <w:sz w:val="20"/>
              </w:rPr>
              <w:t>2</w:t>
            </w:r>
          </w:p>
        </w:tc>
        <w:tc>
          <w:tcPr>
            <w:tcW w:w="4988" w:type="dxa"/>
            <w:tcBorders>
              <w:top w:val="nil"/>
              <w:left w:val="nil"/>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22DD0E11" w14:textId="3B0C8ADE">
            <w:pPr>
              <w:spacing w:line="252" w:lineRule="auto"/>
              <w:rPr>
                <w:rFonts w:cs="Calibri"/>
                <w:sz w:val="20"/>
              </w:rPr>
            </w:pPr>
            <w:r w:rsidRPr="00356BFE">
              <w:rPr>
                <w:sz w:val="20"/>
              </w:rPr>
              <w:t xml:space="preserve">Current Version Date:  </w:t>
            </w:r>
            <w:r w:rsidR="00A95F5C">
              <w:rPr>
                <w:sz w:val="20"/>
              </w:rPr>
              <w:t>18-6-2021</w:t>
            </w:r>
          </w:p>
        </w:tc>
      </w:tr>
      <w:tr w:rsidR="007A0A41" w:rsidTr="0025647E" w14:paraId="11D8044F" w14:textId="77777777">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0B241181" w14:textId="2558D832">
            <w:pPr>
              <w:spacing w:line="252" w:lineRule="auto"/>
              <w:rPr>
                <w:sz w:val="20"/>
              </w:rPr>
            </w:pPr>
            <w:r w:rsidRPr="00356BFE">
              <w:rPr>
                <w:sz w:val="20"/>
              </w:rPr>
              <w:t xml:space="preserve">Risk Rating: </w:t>
            </w:r>
            <w:r w:rsidR="00A95F5C">
              <w:rPr>
                <w:sz w:val="20"/>
              </w:rPr>
              <w:t>Low</w:t>
            </w:r>
          </w:p>
        </w:tc>
        <w:tc>
          <w:tcPr>
            <w:tcW w:w="4988" w:type="dxa"/>
            <w:tcBorders>
              <w:top w:val="nil"/>
              <w:left w:val="nil"/>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17238A39" w14:textId="426C5A3C">
            <w:pPr>
              <w:spacing w:line="252" w:lineRule="auto"/>
              <w:rPr>
                <w:sz w:val="20"/>
              </w:rPr>
            </w:pPr>
            <w:r w:rsidRPr="00356BFE">
              <w:rPr>
                <w:sz w:val="20"/>
              </w:rPr>
              <w:t xml:space="preserve">Due for Review:  </w:t>
            </w:r>
            <w:r w:rsidR="00A95F5C">
              <w:rPr>
                <w:sz w:val="20"/>
              </w:rPr>
              <w:t>18-6-2026</w:t>
            </w:r>
          </w:p>
        </w:tc>
      </w:tr>
      <w:tr w:rsidR="007A0A41" w:rsidTr="0025647E" w14:paraId="7F273CE0" w14:textId="77777777">
        <w:trPr>
          <w:trHeight w:val="344"/>
        </w:trPr>
        <w:tc>
          <w:tcPr>
            <w:tcW w:w="410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4DDC036B" w14:paraId="3A62C802" w14:textId="5EAC4A3D">
            <w:pPr>
              <w:spacing w:line="252" w:lineRule="auto"/>
              <w:rPr>
                <w:sz w:val="20"/>
              </w:rPr>
            </w:pPr>
            <w:r w:rsidRPr="00356BFE">
              <w:rPr>
                <w:sz w:val="20"/>
              </w:rPr>
              <w:t xml:space="preserve">Approved by: </w:t>
            </w:r>
            <w:r w:rsidRPr="00356BFE" w:rsidR="28E5DB5E">
              <w:rPr>
                <w:sz w:val="20"/>
              </w:rPr>
              <w:t>DTC</w:t>
            </w:r>
          </w:p>
        </w:tc>
        <w:tc>
          <w:tcPr>
            <w:tcW w:w="4988" w:type="dxa"/>
            <w:tcBorders>
              <w:top w:val="nil"/>
              <w:left w:val="nil"/>
              <w:bottom w:val="single" w:color="auto" w:sz="8" w:space="0"/>
              <w:right w:val="single" w:color="auto" w:sz="8" w:space="0"/>
            </w:tcBorders>
            <w:tcMar>
              <w:top w:w="0" w:type="dxa"/>
              <w:left w:w="108" w:type="dxa"/>
              <w:bottom w:w="0" w:type="dxa"/>
              <w:right w:w="108" w:type="dxa"/>
            </w:tcMar>
            <w:vAlign w:val="center"/>
          </w:tcPr>
          <w:p w:rsidRPr="00356BFE" w:rsidR="11366D88" w:rsidP="04B29ADB" w:rsidRDefault="11366D88" w14:paraId="0D3C8D74" w14:textId="4C01540F">
            <w:pPr>
              <w:spacing w:line="252" w:lineRule="auto"/>
              <w:rPr>
                <w:sz w:val="20"/>
              </w:rPr>
            </w:pPr>
            <w:r w:rsidRPr="00356BFE">
              <w:rPr>
                <w:sz w:val="20"/>
              </w:rPr>
              <w:t xml:space="preserve">Approval Date: </w:t>
            </w:r>
            <w:r w:rsidR="00260BC8">
              <w:rPr>
                <w:sz w:val="20"/>
              </w:rPr>
              <w:t>APRIL 2021</w:t>
            </w:r>
          </w:p>
        </w:tc>
      </w:tr>
    </w:tbl>
    <w:p w:rsidR="000F3F24" w:rsidP="006F0321" w:rsidRDefault="000F3F24" w14:paraId="0ACDD241" w14:textId="22CCA1B4"/>
    <w:p w:rsidR="008D48AE" w:rsidP="006F0321" w:rsidRDefault="008D48AE" w14:paraId="1F643B67" w14:textId="63479D0E"/>
    <w:p w:rsidR="008D48AE" w:rsidP="006F0321" w:rsidRDefault="008D48AE" w14:paraId="4D611C98" w14:textId="2192CC63"/>
    <w:p w:rsidR="008D48AE" w:rsidP="006F0321" w:rsidRDefault="008D48AE" w14:paraId="17B7AB4A" w14:textId="7C32E7A2"/>
    <w:p w:rsidR="008D48AE" w:rsidP="006F0321" w:rsidRDefault="008D48AE" w14:paraId="47ED2311" w14:textId="6F672EB2"/>
    <w:p w:rsidR="008D48AE" w:rsidP="006F0321" w:rsidRDefault="008D48AE" w14:paraId="6477559A" w14:textId="511BE75C"/>
    <w:p w:rsidR="008D48AE" w:rsidP="006F0321" w:rsidRDefault="008D48AE" w14:paraId="36879C46" w14:textId="0B82F9D5"/>
    <w:p w:rsidR="008D48AE" w:rsidP="006F0321" w:rsidRDefault="008D48AE" w14:paraId="3AB71009" w14:textId="1BEEF0D4"/>
    <w:p w:rsidR="008D48AE" w:rsidP="006F0321" w:rsidRDefault="008D48AE" w14:paraId="3899BA66" w14:textId="77777777"/>
    <w:tbl>
      <w:tblPr>
        <w:tblW w:w="9096" w:type="dxa"/>
        <w:tblInd w:w="-34" w:type="dxa"/>
        <w:tblLook w:val="0000" w:firstRow="0" w:lastRow="0" w:firstColumn="0" w:lastColumn="0" w:noHBand="0" w:noVBand="0"/>
      </w:tblPr>
      <w:tblGrid>
        <w:gridCol w:w="4175"/>
        <w:gridCol w:w="4921"/>
      </w:tblGrid>
      <w:tr w:rsidRPr="00E25790" w:rsidR="008D48AE" w:rsidTr="00EB7031" w14:paraId="607EE8C6" w14:textId="77777777">
        <w:trPr>
          <w:cantSplit/>
          <w:trHeight w:val="720"/>
        </w:trPr>
        <w:tc>
          <w:tcPr>
            <w:tcW w:w="9049" w:type="dxa"/>
            <w:gridSpan w:val="2"/>
            <w:tcBorders>
              <w:top w:val="double" w:color="auto" w:sz="6" w:space="0"/>
              <w:left w:val="double" w:color="auto" w:sz="6" w:space="0"/>
              <w:bottom w:val="double" w:color="auto" w:sz="6" w:space="0"/>
            </w:tcBorders>
            <w:shd w:val="clear" w:color="auto" w:fill="FFFF00"/>
          </w:tcPr>
          <w:p w:rsidRPr="00DA0C90" w:rsidR="008D48AE" w:rsidP="00EB7031" w:rsidRDefault="008D48AE" w14:paraId="774D0327" w14:textId="77777777">
            <w:pPr>
              <w:pStyle w:val="Heading1"/>
            </w:pPr>
            <w:bookmarkStart w:name="_Toc75340053" w:id="587"/>
            <w:r w:rsidRPr="00DA0C90">
              <w:lastRenderedPageBreak/>
              <w:t>Val</w:t>
            </w:r>
            <w:r>
              <w:t>gancyclovir</w:t>
            </w:r>
            <w:bookmarkEnd w:id="587"/>
            <w:r w:rsidRPr="00DA0C90">
              <w:fldChar w:fldCharType="begin"/>
            </w:r>
            <w:r w:rsidRPr="00DA0C90">
              <w:instrText>tc "Valproate" \l 0</w:instrText>
            </w:r>
            <w:r w:rsidRPr="00DA0C90">
              <w:fldChar w:fldCharType="end"/>
            </w:r>
          </w:p>
        </w:tc>
      </w:tr>
      <w:tr w:rsidRPr="00E25790" w:rsidR="008D48AE" w:rsidTr="00EB7031" w14:paraId="6F01F8A6"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8D48AE" w:rsidP="00EB7031" w:rsidRDefault="008D48AE" w14:paraId="7FB4ECA3" w14:textId="77777777">
            <w:pPr>
              <w:rPr>
                <w:highlight w:val="yellow"/>
              </w:rPr>
            </w:pPr>
            <w:r w:rsidRPr="00E25790">
              <w:rPr>
                <w:highlight w:val="yellow"/>
              </w:rPr>
              <w:t>Revision Date</w:t>
            </w:r>
            <w:r w:rsidRPr="00E25790">
              <w:rPr>
                <w:b/>
                <w:highlight w:val="yellow"/>
              </w:rPr>
              <w:t xml:space="preserve"> : </w:t>
            </w:r>
            <w:r>
              <w:rPr>
                <w:b/>
              </w:rPr>
              <w:t>9-6-2021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8D48AE" w:rsidP="00EB7031" w:rsidRDefault="008D48AE" w14:paraId="5AE71AF4" w14:textId="77777777">
            <w:pPr>
              <w:rPr>
                <w:highlight w:val="yellow"/>
              </w:rPr>
            </w:pPr>
            <w:r w:rsidRPr="00E25790">
              <w:t xml:space="preserve">Approved: </w:t>
            </w:r>
            <w:r>
              <w:t>TC, KOH</w:t>
            </w:r>
          </w:p>
        </w:tc>
      </w:tr>
    </w:tbl>
    <w:p w:rsidR="008D48AE" w:rsidP="006F0321" w:rsidRDefault="008D48AE" w14:paraId="527AA568" w14:textId="77777777"/>
    <w:tbl>
      <w:tblPr>
        <w:tblW w:w="966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938"/>
      </w:tblGrid>
      <w:tr w:rsidRPr="003A7895" w:rsidR="00347517" w:rsidTr="008D48AE" w14:paraId="505940E9" w14:textId="77777777">
        <w:trPr>
          <w:trHeight w:val="70"/>
        </w:trPr>
        <w:tc>
          <w:tcPr>
            <w:tcW w:w="1730" w:type="dxa"/>
          </w:tcPr>
          <w:p w:rsidRPr="00B53E9B" w:rsidR="00347517" w:rsidP="00131848" w:rsidRDefault="00347517" w14:paraId="529A5286" w14:textId="77777777">
            <w:pPr>
              <w:pStyle w:val="BodyText"/>
              <w:tabs>
                <w:tab w:val="center" w:pos="1476"/>
              </w:tabs>
              <w:rPr>
                <w:rFonts w:cs="Arial"/>
                <w:b/>
                <w:sz w:val="20"/>
              </w:rPr>
            </w:pPr>
            <w:r w:rsidRPr="00B53E9B">
              <w:rPr>
                <w:rFonts w:cs="Arial"/>
                <w:b/>
                <w:sz w:val="20"/>
              </w:rPr>
              <w:t>Alert</w:t>
            </w:r>
          </w:p>
        </w:tc>
        <w:tc>
          <w:tcPr>
            <w:tcW w:w="7938" w:type="dxa"/>
          </w:tcPr>
          <w:p w:rsidRPr="00343D93" w:rsidR="00347517" w:rsidP="00131848" w:rsidRDefault="00347517" w14:paraId="055CB35A" w14:textId="77777777">
            <w:pPr>
              <w:pStyle w:val="BodyText"/>
              <w:rPr>
                <w:rFonts w:cs="Arial"/>
                <w:b/>
                <w:sz w:val="20"/>
              </w:rPr>
            </w:pPr>
            <w:r>
              <w:rPr>
                <w:rFonts w:cs="Arial"/>
                <w:b/>
                <w:sz w:val="20"/>
              </w:rPr>
              <w:t>C</w:t>
            </w:r>
            <w:r w:rsidRPr="00343D93">
              <w:rPr>
                <w:rFonts w:cs="Arial"/>
                <w:b/>
                <w:sz w:val="20"/>
              </w:rPr>
              <w:t>ytotoxic agent.</w:t>
            </w:r>
          </w:p>
        </w:tc>
      </w:tr>
      <w:tr w:rsidRPr="003A7895" w:rsidR="00347517" w:rsidTr="008D48AE" w14:paraId="178A6B98" w14:textId="77777777">
        <w:trPr>
          <w:trHeight w:val="72"/>
        </w:trPr>
        <w:tc>
          <w:tcPr>
            <w:tcW w:w="1730" w:type="dxa"/>
          </w:tcPr>
          <w:p w:rsidRPr="00B53E9B" w:rsidR="00347517" w:rsidP="00131848" w:rsidRDefault="00347517" w14:paraId="0B1C13D9" w14:textId="77777777">
            <w:pPr>
              <w:pStyle w:val="BodyText"/>
              <w:rPr>
                <w:rFonts w:cs="Arial"/>
                <w:sz w:val="20"/>
              </w:rPr>
            </w:pPr>
            <w:r w:rsidRPr="00B53E9B">
              <w:rPr>
                <w:rFonts w:cs="Arial"/>
                <w:b/>
                <w:bCs/>
                <w:sz w:val="20"/>
              </w:rPr>
              <w:t>Indication</w:t>
            </w:r>
          </w:p>
        </w:tc>
        <w:tc>
          <w:tcPr>
            <w:tcW w:w="7938" w:type="dxa"/>
          </w:tcPr>
          <w:p w:rsidRPr="000566BD" w:rsidR="00347517" w:rsidP="00131848" w:rsidRDefault="00347517" w14:paraId="4F322035" w14:textId="77777777">
            <w:pPr>
              <w:rPr>
                <w:rFonts w:asciiTheme="minorHAnsi" w:hAnsiTheme="minorHAnsi" w:cstheme="minorHAnsi"/>
                <w:sz w:val="20"/>
              </w:rPr>
            </w:pPr>
            <w:r w:rsidRPr="000566BD">
              <w:rPr>
                <w:rFonts w:asciiTheme="minorHAnsi" w:hAnsiTheme="minorHAnsi" w:cstheme="minorHAnsi"/>
                <w:sz w:val="20"/>
              </w:rPr>
              <w:t>1</w:t>
            </w:r>
            <w:r>
              <w:rPr>
                <w:rFonts w:asciiTheme="minorHAnsi" w:hAnsiTheme="minorHAnsi" w:cstheme="minorHAnsi"/>
                <w:sz w:val="20"/>
              </w:rPr>
              <w:t>.</w:t>
            </w:r>
            <w:r w:rsidRPr="000566BD">
              <w:rPr>
                <w:rFonts w:asciiTheme="minorHAnsi" w:hAnsiTheme="minorHAnsi" w:cstheme="minorHAnsi"/>
                <w:sz w:val="20"/>
              </w:rPr>
              <w:t xml:space="preserve"> Treatment of severe or moderately severe, symptomatic congenital CMV, or</w:t>
            </w:r>
          </w:p>
          <w:p w:rsidRPr="00471D8E" w:rsidR="00347517" w:rsidP="00131848" w:rsidRDefault="00347517" w14:paraId="510A69D2" w14:textId="77777777">
            <w:pPr>
              <w:rPr>
                <w:rFonts w:ascii="Calibri Light" w:hAnsi="Calibri Light" w:cs="Calibri Light"/>
                <w:sz w:val="20"/>
              </w:rPr>
            </w:pPr>
            <w:r w:rsidRPr="000566BD">
              <w:rPr>
                <w:rFonts w:asciiTheme="minorHAnsi" w:hAnsiTheme="minorHAnsi" w:cstheme="minorHAnsi"/>
                <w:sz w:val="20"/>
              </w:rPr>
              <w:t>2</w:t>
            </w:r>
            <w:r>
              <w:rPr>
                <w:rFonts w:asciiTheme="minorHAnsi" w:hAnsiTheme="minorHAnsi" w:cstheme="minorHAnsi"/>
                <w:sz w:val="20"/>
              </w:rPr>
              <w:t>.</w:t>
            </w:r>
            <w:r w:rsidRPr="000566BD">
              <w:rPr>
                <w:rFonts w:asciiTheme="minorHAnsi" w:hAnsiTheme="minorHAnsi" w:cstheme="minorHAnsi"/>
                <w:sz w:val="20"/>
              </w:rPr>
              <w:t xml:space="preserve"> Treatment of acute severe CMV disease.</w:t>
            </w:r>
            <w:r w:rsidRPr="00471D8E">
              <w:rPr>
                <w:rFonts w:ascii="Calibri Light" w:hAnsi="Calibri Light" w:cs="Calibri Light"/>
                <w:sz w:val="20"/>
              </w:rPr>
              <w:t xml:space="preserve"> </w:t>
            </w:r>
          </w:p>
        </w:tc>
      </w:tr>
      <w:tr w:rsidRPr="003A7895" w:rsidR="00347517" w:rsidTr="008D48AE" w14:paraId="393E1805" w14:textId="77777777">
        <w:trPr>
          <w:trHeight w:val="70"/>
        </w:trPr>
        <w:tc>
          <w:tcPr>
            <w:tcW w:w="1730" w:type="dxa"/>
          </w:tcPr>
          <w:p w:rsidRPr="00B53E9B" w:rsidR="00347517" w:rsidP="00131848" w:rsidRDefault="00347517" w14:paraId="344E5294" w14:textId="77777777">
            <w:pPr>
              <w:pStyle w:val="BodyText"/>
              <w:rPr>
                <w:rFonts w:cs="Arial"/>
                <w:b/>
                <w:bCs/>
                <w:sz w:val="20"/>
              </w:rPr>
            </w:pPr>
            <w:r w:rsidRPr="00B53E9B">
              <w:rPr>
                <w:rFonts w:cs="Arial"/>
                <w:b/>
                <w:bCs/>
                <w:sz w:val="20"/>
              </w:rPr>
              <w:t>Action</w:t>
            </w:r>
          </w:p>
        </w:tc>
        <w:tc>
          <w:tcPr>
            <w:tcW w:w="7938" w:type="dxa"/>
          </w:tcPr>
          <w:p w:rsidRPr="00414C29" w:rsidR="00347517" w:rsidP="00131848" w:rsidRDefault="00347517" w14:paraId="3BC2BF9F" w14:textId="77777777">
            <w:pPr>
              <w:rPr>
                <w:rFonts w:cs="Arial"/>
                <w:sz w:val="20"/>
              </w:rPr>
            </w:pPr>
            <w:r w:rsidRPr="00414C29">
              <w:rPr>
                <w:rFonts w:cs="Arial"/>
                <w:sz w:val="20"/>
              </w:rPr>
              <w:t>Valganciclovir is an L-valyl ester salt (prodrug) of ganciclovir which, after oral administration, is rapidly converted to ganciclovir by intestinal and hepatic esterases. Synthetic nucleoside analogue of 2-deoxyguanosine that inhibits replication of herpes viruses. Sensitive human viruses include cytomegalovirus, herpes simplex virus 1 and 2, herpes virus type 6, 7 and 8, Epstein-Barr virus, varicella zoster virus and hepatitis B virus.</w:t>
            </w:r>
          </w:p>
        </w:tc>
      </w:tr>
      <w:tr w:rsidRPr="003A7895" w:rsidR="00347517" w:rsidTr="008D48AE" w14:paraId="1ECCE2AF" w14:textId="77777777">
        <w:trPr>
          <w:trHeight w:val="266"/>
        </w:trPr>
        <w:tc>
          <w:tcPr>
            <w:tcW w:w="1730" w:type="dxa"/>
          </w:tcPr>
          <w:p w:rsidRPr="00B53E9B" w:rsidR="00347517" w:rsidP="00131848" w:rsidRDefault="00347517" w14:paraId="1E2C48D1" w14:textId="77777777">
            <w:pPr>
              <w:pStyle w:val="BodyText"/>
              <w:rPr>
                <w:rFonts w:cs="Arial"/>
                <w:sz w:val="20"/>
              </w:rPr>
            </w:pPr>
            <w:r>
              <w:rPr>
                <w:rFonts w:cs="Arial"/>
                <w:b/>
                <w:bCs/>
                <w:sz w:val="20"/>
              </w:rPr>
              <w:t>Drug t</w:t>
            </w:r>
            <w:r w:rsidRPr="00B53E9B">
              <w:rPr>
                <w:rFonts w:cs="Arial"/>
                <w:b/>
                <w:bCs/>
                <w:sz w:val="20"/>
              </w:rPr>
              <w:t>ype</w:t>
            </w:r>
          </w:p>
        </w:tc>
        <w:tc>
          <w:tcPr>
            <w:tcW w:w="7938" w:type="dxa"/>
          </w:tcPr>
          <w:p w:rsidRPr="00414C29" w:rsidR="00347517" w:rsidP="00131848" w:rsidRDefault="00347517" w14:paraId="23F23AF7" w14:textId="77777777">
            <w:pPr>
              <w:pStyle w:val="BodyText"/>
              <w:rPr>
                <w:rFonts w:cs="Arial"/>
                <w:sz w:val="20"/>
              </w:rPr>
            </w:pPr>
            <w:r w:rsidRPr="00414C29">
              <w:rPr>
                <w:rFonts w:cs="Arial"/>
                <w:sz w:val="20"/>
              </w:rPr>
              <w:t>Antiviral</w:t>
            </w:r>
          </w:p>
        </w:tc>
      </w:tr>
      <w:tr w:rsidRPr="003A7895" w:rsidR="00347517" w:rsidTr="008D48AE" w14:paraId="21681694" w14:textId="77777777">
        <w:trPr>
          <w:trHeight w:val="114"/>
        </w:trPr>
        <w:tc>
          <w:tcPr>
            <w:tcW w:w="1730" w:type="dxa"/>
          </w:tcPr>
          <w:p w:rsidRPr="00B53E9B" w:rsidR="00347517" w:rsidP="00131848" w:rsidRDefault="00347517" w14:paraId="35211BF5"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7938" w:type="dxa"/>
          </w:tcPr>
          <w:p w:rsidRPr="00414C29" w:rsidR="00347517" w:rsidP="00131848" w:rsidRDefault="00347517" w14:paraId="523A4B50" w14:textId="77777777">
            <w:pPr>
              <w:pStyle w:val="BodyText"/>
              <w:rPr>
                <w:rFonts w:cs="Arial"/>
                <w:sz w:val="20"/>
              </w:rPr>
            </w:pPr>
            <w:r w:rsidRPr="00414C29">
              <w:rPr>
                <w:rFonts w:cs="Arial"/>
                <w:sz w:val="20"/>
              </w:rPr>
              <w:t>Valcyte</w:t>
            </w:r>
          </w:p>
        </w:tc>
      </w:tr>
      <w:tr w:rsidRPr="003A7895" w:rsidR="00347517" w:rsidTr="008D48AE" w14:paraId="5B25B39B" w14:textId="77777777">
        <w:trPr>
          <w:trHeight w:val="70"/>
        </w:trPr>
        <w:tc>
          <w:tcPr>
            <w:tcW w:w="1730" w:type="dxa"/>
          </w:tcPr>
          <w:p w:rsidRPr="00B53E9B" w:rsidR="00347517" w:rsidP="00131848" w:rsidRDefault="00347517" w14:paraId="3136EF6D" w14:textId="77777777">
            <w:pPr>
              <w:pStyle w:val="BodyText"/>
              <w:rPr>
                <w:rFonts w:cs="Arial"/>
                <w:b/>
                <w:bCs/>
                <w:sz w:val="20"/>
              </w:rPr>
            </w:pPr>
            <w:r w:rsidRPr="00B53E9B">
              <w:rPr>
                <w:rFonts w:cs="Arial"/>
                <w:b/>
                <w:bCs/>
                <w:sz w:val="20"/>
              </w:rPr>
              <w:t xml:space="preserve">Presentation </w:t>
            </w:r>
          </w:p>
        </w:tc>
        <w:tc>
          <w:tcPr>
            <w:tcW w:w="7938" w:type="dxa"/>
          </w:tcPr>
          <w:p w:rsidR="00347517" w:rsidP="00131848" w:rsidRDefault="00347517" w14:paraId="238C0343" w14:textId="77777777">
            <w:pPr>
              <w:pStyle w:val="BodyText"/>
              <w:rPr>
                <w:rFonts w:cs="Arial"/>
                <w:sz w:val="20"/>
              </w:rPr>
            </w:pPr>
            <w:r w:rsidRPr="00414C29">
              <w:rPr>
                <w:rFonts w:cs="Arial"/>
                <w:sz w:val="20"/>
              </w:rPr>
              <w:t xml:space="preserve">Valganciclovir hydrochloride powder for oral solution. </w:t>
            </w:r>
          </w:p>
          <w:p w:rsidRPr="00414C29" w:rsidR="00347517" w:rsidP="00131848" w:rsidRDefault="00347517" w14:paraId="4D65F2F0" w14:textId="77777777">
            <w:pPr>
              <w:pStyle w:val="BodyText"/>
              <w:rPr>
                <w:rFonts w:cs="Arial"/>
                <w:sz w:val="20"/>
              </w:rPr>
            </w:pPr>
            <w:r w:rsidRPr="00414C29">
              <w:rPr>
                <w:rFonts w:cs="Arial"/>
                <w:sz w:val="20"/>
              </w:rPr>
              <w:t xml:space="preserve">The reconstituted solution contains 50 mg/mL valganciclovir and appears clear, colourless to brownish-yellow in colour. </w:t>
            </w:r>
          </w:p>
        </w:tc>
      </w:tr>
      <w:tr w:rsidRPr="000E2236" w:rsidR="00347517" w:rsidTr="008D48AE" w14:paraId="09156DD8" w14:textId="77777777">
        <w:trPr>
          <w:trHeight w:val="70"/>
        </w:trPr>
        <w:tc>
          <w:tcPr>
            <w:tcW w:w="1730" w:type="dxa"/>
          </w:tcPr>
          <w:p w:rsidRPr="00B53E9B" w:rsidR="00347517" w:rsidP="00131848" w:rsidRDefault="00347517" w14:paraId="50683A04" w14:textId="77777777">
            <w:pPr>
              <w:pStyle w:val="BodyText"/>
              <w:rPr>
                <w:rFonts w:cs="Arial"/>
                <w:b/>
                <w:bCs/>
                <w:sz w:val="20"/>
              </w:rPr>
            </w:pPr>
            <w:r>
              <w:rPr>
                <w:rFonts w:cs="Arial"/>
                <w:b/>
                <w:bCs/>
                <w:sz w:val="20"/>
              </w:rPr>
              <w:t>Dose</w:t>
            </w:r>
            <w:r w:rsidRPr="00B53E9B">
              <w:rPr>
                <w:rFonts w:cs="Arial"/>
                <w:b/>
                <w:bCs/>
                <w:sz w:val="20"/>
              </w:rPr>
              <w:t xml:space="preserve"> </w:t>
            </w:r>
          </w:p>
        </w:tc>
        <w:tc>
          <w:tcPr>
            <w:tcW w:w="7938" w:type="dxa"/>
          </w:tcPr>
          <w:p w:rsidRPr="00414C29" w:rsidR="00347517" w:rsidP="00131848" w:rsidRDefault="00347517" w14:paraId="49869D32" w14:textId="77777777">
            <w:pPr>
              <w:spacing w:after="120"/>
              <w:rPr>
                <w:rFonts w:cs="Arial"/>
                <w:sz w:val="20"/>
              </w:rPr>
            </w:pPr>
            <w:r w:rsidRPr="00414C29">
              <w:rPr>
                <w:rFonts w:cs="Arial"/>
                <w:sz w:val="20"/>
              </w:rPr>
              <w:t>16</w:t>
            </w:r>
            <w:r>
              <w:rPr>
                <w:rFonts w:cs="Arial"/>
                <w:sz w:val="20"/>
              </w:rPr>
              <w:t xml:space="preserve"> </w:t>
            </w:r>
            <w:r w:rsidRPr="00414C29">
              <w:rPr>
                <w:rFonts w:cs="Arial"/>
                <w:sz w:val="20"/>
              </w:rPr>
              <w:t>mg/kg/dose 12 hourly</w:t>
            </w:r>
            <w:r>
              <w:rPr>
                <w:rFonts w:cs="Arial"/>
                <w:sz w:val="20"/>
              </w:rPr>
              <w:t xml:space="preserve">* </w:t>
            </w:r>
          </w:p>
          <w:p w:rsidRPr="00D03D00" w:rsidR="00347517" w:rsidP="00131848" w:rsidRDefault="00347517" w14:paraId="4C4956AA" w14:textId="77777777">
            <w:pPr>
              <w:pStyle w:val="BodyText"/>
              <w:rPr>
                <w:sz w:val="20"/>
              </w:rPr>
            </w:pPr>
            <w:r>
              <w:rPr>
                <w:sz w:val="20"/>
              </w:rPr>
              <w:t xml:space="preserve">*In acute, severe CMV disease including hepatitis, use IV ganciclovir as initial therapy and change over to oral valganciclovir once clinically stable and able to tolerate oral feeds. </w:t>
            </w:r>
          </w:p>
          <w:p w:rsidR="00347517" w:rsidP="00131848" w:rsidRDefault="00347517" w14:paraId="348E86E2" w14:textId="77777777">
            <w:pPr>
              <w:pStyle w:val="BodyText"/>
              <w:rPr>
                <w:sz w:val="20"/>
              </w:rPr>
            </w:pPr>
          </w:p>
          <w:p w:rsidRPr="00D03D00" w:rsidR="00347517" w:rsidP="00131848" w:rsidRDefault="00347517" w14:paraId="5AD95EBF" w14:textId="77777777">
            <w:pPr>
              <w:pStyle w:val="BodyText"/>
              <w:rPr>
                <w:sz w:val="20"/>
              </w:rPr>
            </w:pPr>
            <w:r w:rsidRPr="00D03D00">
              <w:rPr>
                <w:sz w:val="20"/>
              </w:rPr>
              <w:t>Duration of treatment:</w:t>
            </w:r>
          </w:p>
          <w:p w:rsidR="00347517" w:rsidP="001B0E05" w:rsidRDefault="00347517" w14:paraId="6014ACA3" w14:textId="77777777">
            <w:pPr>
              <w:pStyle w:val="BodyText"/>
              <w:numPr>
                <w:ilvl w:val="0"/>
                <w:numId w:val="45"/>
              </w:numPr>
              <w:overflowPunct w:val="0"/>
              <w:autoSpaceDE w:val="0"/>
              <w:autoSpaceDN w:val="0"/>
              <w:adjustRightInd w:val="0"/>
              <w:jc w:val="left"/>
              <w:textAlignment w:val="baseline"/>
              <w:rPr>
                <w:sz w:val="20"/>
              </w:rPr>
            </w:pPr>
            <w:r w:rsidRPr="00DF63EB">
              <w:rPr>
                <w:sz w:val="20"/>
              </w:rPr>
              <w:t>Treatment of severe or moderately severe</w:t>
            </w:r>
            <w:r>
              <w:rPr>
                <w:sz w:val="20"/>
              </w:rPr>
              <w:t>,</w:t>
            </w:r>
            <w:r w:rsidRPr="00DF63EB">
              <w:rPr>
                <w:sz w:val="20"/>
              </w:rPr>
              <w:t xml:space="preserve"> symptomatic congenital CMV</w:t>
            </w:r>
            <w:r>
              <w:rPr>
                <w:sz w:val="20"/>
              </w:rPr>
              <w:t xml:space="preserve"> – maximum 6 months.</w:t>
            </w:r>
          </w:p>
          <w:p w:rsidRPr="00414C29" w:rsidR="00347517" w:rsidP="001B0E05" w:rsidRDefault="00347517" w14:paraId="142FCE99" w14:textId="77777777">
            <w:pPr>
              <w:pStyle w:val="BodyText"/>
              <w:numPr>
                <w:ilvl w:val="0"/>
                <w:numId w:val="45"/>
              </w:numPr>
              <w:overflowPunct w:val="0"/>
              <w:autoSpaceDE w:val="0"/>
              <w:autoSpaceDN w:val="0"/>
              <w:adjustRightInd w:val="0"/>
              <w:jc w:val="left"/>
              <w:textAlignment w:val="baseline"/>
              <w:rPr>
                <w:sz w:val="20"/>
              </w:rPr>
            </w:pPr>
            <w:r w:rsidRPr="00DF63EB">
              <w:rPr>
                <w:sz w:val="20"/>
              </w:rPr>
              <w:t>Treatment of acute severe CMV disease</w:t>
            </w:r>
            <w:r>
              <w:rPr>
                <w:sz w:val="20"/>
              </w:rPr>
              <w:t xml:space="preserve"> – as per the disease progress and response.</w:t>
            </w:r>
          </w:p>
        </w:tc>
      </w:tr>
      <w:tr w:rsidRPr="003A7895" w:rsidR="00347517" w:rsidTr="008D48AE" w14:paraId="19C0EF9B" w14:textId="77777777">
        <w:trPr>
          <w:trHeight w:val="407"/>
        </w:trPr>
        <w:tc>
          <w:tcPr>
            <w:tcW w:w="1730" w:type="dxa"/>
          </w:tcPr>
          <w:p w:rsidRPr="00B53E9B" w:rsidR="00347517" w:rsidP="00131848" w:rsidRDefault="00347517" w14:paraId="1623BC08" w14:textId="77777777">
            <w:pPr>
              <w:pStyle w:val="BodyText"/>
              <w:rPr>
                <w:b/>
                <w:sz w:val="20"/>
              </w:rPr>
            </w:pPr>
            <w:r w:rsidRPr="00B53E9B">
              <w:rPr>
                <w:b/>
                <w:sz w:val="20"/>
              </w:rPr>
              <w:t>Dose adjustment</w:t>
            </w:r>
            <w:r>
              <w:rPr>
                <w:sz w:val="20"/>
              </w:rPr>
              <w:t xml:space="preserve"> </w:t>
            </w:r>
          </w:p>
        </w:tc>
        <w:tc>
          <w:tcPr>
            <w:tcW w:w="7938" w:type="dxa"/>
          </w:tcPr>
          <w:p w:rsidR="00347517" w:rsidP="00131848" w:rsidRDefault="00347517" w14:paraId="73F13A19" w14:textId="77777777">
            <w:pPr>
              <w:pStyle w:val="BodyText"/>
              <w:rPr>
                <w:sz w:val="20"/>
              </w:rPr>
            </w:pPr>
            <w:r>
              <w:rPr>
                <w:sz w:val="20"/>
              </w:rPr>
              <w:t>Therapeutic hypothermia - Insufficient data to make recommendations.</w:t>
            </w:r>
          </w:p>
          <w:p w:rsidR="00347517" w:rsidP="00131848" w:rsidRDefault="00347517" w14:paraId="084EBDF5" w14:textId="77777777">
            <w:pPr>
              <w:pStyle w:val="BodyText"/>
              <w:rPr>
                <w:sz w:val="20"/>
              </w:rPr>
            </w:pPr>
            <w:r>
              <w:rPr>
                <w:sz w:val="20"/>
              </w:rPr>
              <w:t xml:space="preserve">ECMO - </w:t>
            </w:r>
            <w:r w:rsidRPr="00816CD8">
              <w:rPr>
                <w:sz w:val="20"/>
              </w:rPr>
              <w:t>Insufficient data to make recommendations</w:t>
            </w:r>
            <w:r>
              <w:rPr>
                <w:sz w:val="20"/>
              </w:rPr>
              <w:t>.</w:t>
            </w:r>
          </w:p>
          <w:p w:rsidR="00347517" w:rsidP="00131848" w:rsidRDefault="00347517" w14:paraId="4FDA10A2" w14:textId="77777777">
            <w:pPr>
              <w:pStyle w:val="BodyText"/>
              <w:rPr>
                <w:sz w:val="20"/>
              </w:rPr>
            </w:pPr>
            <w:r>
              <w:rPr>
                <w:sz w:val="20"/>
              </w:rPr>
              <w:t>Renal impairment - Reduce dosage according to the severity of renal insufficiency</w:t>
            </w:r>
            <w:r w:rsidRPr="000566BD">
              <w:rPr>
                <w:sz w:val="20"/>
                <w:vertAlign w:val="superscript"/>
              </w:rPr>
              <w:t>13</w:t>
            </w:r>
            <w:r>
              <w:rPr>
                <w:sz w:val="20"/>
              </w:rPr>
              <w:t xml:space="preserve">  </w:t>
            </w:r>
          </w:p>
          <w:p w:rsidRPr="00026F20" w:rsidR="00347517" w:rsidP="00131848" w:rsidRDefault="00347517" w14:paraId="7BBCEC44" w14:textId="77777777">
            <w:pPr>
              <w:pStyle w:val="BodyText"/>
              <w:rPr>
                <w:sz w:val="20"/>
              </w:rPr>
            </w:pPr>
            <w:r>
              <w:rPr>
                <w:sz w:val="20"/>
              </w:rPr>
              <w:t xml:space="preserve">Hepatic impairment - </w:t>
            </w:r>
            <w:r w:rsidRPr="00816CD8">
              <w:rPr>
                <w:sz w:val="20"/>
              </w:rPr>
              <w:t>Insufficient data to make recommendations</w:t>
            </w:r>
            <w:r>
              <w:rPr>
                <w:sz w:val="20"/>
              </w:rPr>
              <w:t>.</w:t>
            </w:r>
          </w:p>
        </w:tc>
      </w:tr>
      <w:tr w:rsidRPr="003A7895" w:rsidR="00347517" w:rsidTr="008D48AE" w14:paraId="1840CD53" w14:textId="77777777">
        <w:trPr>
          <w:trHeight w:val="113"/>
        </w:trPr>
        <w:tc>
          <w:tcPr>
            <w:tcW w:w="1730" w:type="dxa"/>
          </w:tcPr>
          <w:p w:rsidRPr="00B53E9B" w:rsidR="00347517" w:rsidP="00131848" w:rsidRDefault="00347517" w14:paraId="19B4CD60" w14:textId="77777777">
            <w:pPr>
              <w:pStyle w:val="BodyText"/>
              <w:rPr>
                <w:b/>
                <w:sz w:val="20"/>
              </w:rPr>
            </w:pPr>
            <w:r w:rsidRPr="00B53E9B">
              <w:rPr>
                <w:b/>
                <w:sz w:val="20"/>
              </w:rPr>
              <w:t>Maximum dose</w:t>
            </w:r>
          </w:p>
        </w:tc>
        <w:tc>
          <w:tcPr>
            <w:tcW w:w="7938" w:type="dxa"/>
          </w:tcPr>
          <w:p w:rsidRPr="00026F20" w:rsidR="00347517" w:rsidP="00131848" w:rsidRDefault="00347517" w14:paraId="48379AF7" w14:textId="77777777">
            <w:pPr>
              <w:pStyle w:val="BodyText"/>
              <w:rPr>
                <w:sz w:val="20"/>
              </w:rPr>
            </w:pPr>
          </w:p>
        </w:tc>
      </w:tr>
      <w:tr w:rsidRPr="003A7895" w:rsidR="00347517" w:rsidTr="008D48AE" w14:paraId="7BFFF35E" w14:textId="77777777">
        <w:trPr>
          <w:trHeight w:val="144"/>
        </w:trPr>
        <w:tc>
          <w:tcPr>
            <w:tcW w:w="1730" w:type="dxa"/>
          </w:tcPr>
          <w:p w:rsidRPr="00B53E9B" w:rsidR="00347517" w:rsidP="00131848" w:rsidRDefault="00347517" w14:paraId="0911A998" w14:textId="77777777">
            <w:pPr>
              <w:pStyle w:val="BodyText"/>
              <w:rPr>
                <w:rFonts w:cs="Arial"/>
                <w:b/>
                <w:bCs/>
                <w:sz w:val="20"/>
              </w:rPr>
            </w:pPr>
            <w:r w:rsidRPr="00B53E9B">
              <w:rPr>
                <w:b/>
                <w:sz w:val="20"/>
              </w:rPr>
              <w:t>Total cumulative dose</w:t>
            </w:r>
          </w:p>
        </w:tc>
        <w:tc>
          <w:tcPr>
            <w:tcW w:w="7938" w:type="dxa"/>
          </w:tcPr>
          <w:p w:rsidRPr="00026F20" w:rsidR="00347517" w:rsidP="00131848" w:rsidRDefault="00347517" w14:paraId="05A3E7CA" w14:textId="77777777">
            <w:pPr>
              <w:pStyle w:val="BodyText"/>
              <w:rPr>
                <w:rFonts w:cs="Arial"/>
                <w:b/>
                <w:sz w:val="20"/>
              </w:rPr>
            </w:pPr>
          </w:p>
        </w:tc>
      </w:tr>
      <w:tr w:rsidRPr="003A7895" w:rsidR="00347517" w:rsidTr="008D48AE" w14:paraId="753C48BD" w14:textId="77777777">
        <w:trPr>
          <w:trHeight w:val="294"/>
        </w:trPr>
        <w:tc>
          <w:tcPr>
            <w:tcW w:w="1730" w:type="dxa"/>
          </w:tcPr>
          <w:p w:rsidRPr="00B53E9B" w:rsidR="00347517" w:rsidP="00131848" w:rsidRDefault="00347517" w14:paraId="252845D3" w14:textId="77777777">
            <w:pPr>
              <w:pStyle w:val="BodyText"/>
              <w:rPr>
                <w:rFonts w:cs="Arial"/>
                <w:sz w:val="20"/>
              </w:rPr>
            </w:pPr>
            <w:r w:rsidRPr="00B53E9B">
              <w:rPr>
                <w:rFonts w:cs="Arial"/>
                <w:b/>
                <w:bCs/>
                <w:sz w:val="20"/>
              </w:rPr>
              <w:t xml:space="preserve">Route </w:t>
            </w:r>
          </w:p>
        </w:tc>
        <w:tc>
          <w:tcPr>
            <w:tcW w:w="7938" w:type="dxa"/>
          </w:tcPr>
          <w:p w:rsidRPr="00026F20" w:rsidR="00347517" w:rsidP="00131848" w:rsidRDefault="00347517" w14:paraId="150B800E" w14:textId="77777777">
            <w:pPr>
              <w:pStyle w:val="BodyText"/>
              <w:rPr>
                <w:rFonts w:cs="Arial"/>
                <w:sz w:val="20"/>
              </w:rPr>
            </w:pPr>
            <w:r w:rsidRPr="00414C29">
              <w:rPr>
                <w:rFonts w:cs="Arial"/>
                <w:sz w:val="20"/>
              </w:rPr>
              <w:t>Oral</w:t>
            </w:r>
          </w:p>
        </w:tc>
      </w:tr>
      <w:tr w:rsidRPr="003A7895" w:rsidR="00347517" w:rsidTr="008D48AE" w14:paraId="6EAA1FF1" w14:textId="77777777">
        <w:trPr>
          <w:trHeight w:val="93"/>
        </w:trPr>
        <w:tc>
          <w:tcPr>
            <w:tcW w:w="1730" w:type="dxa"/>
          </w:tcPr>
          <w:p w:rsidRPr="00B53E9B" w:rsidR="00347517" w:rsidP="00131848" w:rsidRDefault="00347517" w14:paraId="24BF6895"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7938" w:type="dxa"/>
          </w:tcPr>
          <w:p w:rsidRPr="00414C29" w:rsidR="00347517" w:rsidP="00131848" w:rsidRDefault="00347517" w14:paraId="5E1BE196" w14:textId="77777777">
            <w:pPr>
              <w:pStyle w:val="BodyText"/>
              <w:rPr>
                <w:rFonts w:cs="Arial"/>
                <w:sz w:val="20"/>
              </w:rPr>
            </w:pPr>
            <w:r>
              <w:rPr>
                <w:rFonts w:cs="Arial"/>
                <w:b/>
                <w:sz w:val="20"/>
              </w:rPr>
              <w:t>C</w:t>
            </w:r>
            <w:r w:rsidRPr="00343D93">
              <w:rPr>
                <w:rFonts w:cs="Arial"/>
                <w:b/>
                <w:sz w:val="20"/>
              </w:rPr>
              <w:t>ytotoxic agent.</w:t>
            </w:r>
            <w:r w:rsidRPr="00414C29">
              <w:rPr>
                <w:rFonts w:cs="Arial"/>
                <w:sz w:val="20"/>
              </w:rPr>
              <w:t xml:space="preserve"> Refer to local policy in regard to safety precautions/facilities required to reconstitute the powder for oral solution. </w:t>
            </w:r>
          </w:p>
        </w:tc>
      </w:tr>
      <w:tr w:rsidRPr="003A7895" w:rsidR="00347517" w:rsidTr="008D48AE" w14:paraId="2E101EF0" w14:textId="77777777">
        <w:trPr>
          <w:trHeight w:val="224"/>
        </w:trPr>
        <w:tc>
          <w:tcPr>
            <w:tcW w:w="1730" w:type="dxa"/>
          </w:tcPr>
          <w:p w:rsidRPr="00B53E9B" w:rsidR="00347517" w:rsidP="00131848" w:rsidRDefault="00347517" w14:paraId="0F984256" w14:textId="77777777">
            <w:pPr>
              <w:pStyle w:val="BodyText"/>
              <w:rPr>
                <w:rFonts w:cs="Arial"/>
                <w:b/>
                <w:bCs/>
                <w:sz w:val="20"/>
              </w:rPr>
            </w:pPr>
            <w:r w:rsidRPr="00B53E9B">
              <w:rPr>
                <w:rFonts w:cs="Arial"/>
                <w:b/>
                <w:bCs/>
                <w:sz w:val="20"/>
              </w:rPr>
              <w:t xml:space="preserve">Administration </w:t>
            </w:r>
          </w:p>
        </w:tc>
        <w:tc>
          <w:tcPr>
            <w:tcW w:w="7938" w:type="dxa"/>
          </w:tcPr>
          <w:p w:rsidRPr="00414C29" w:rsidR="00347517" w:rsidP="00131848" w:rsidRDefault="00347517" w14:paraId="5F35925D" w14:textId="77777777">
            <w:pPr>
              <w:rPr>
                <w:rFonts w:cs="Arial"/>
                <w:b/>
                <w:sz w:val="20"/>
              </w:rPr>
            </w:pPr>
            <w:r w:rsidRPr="00414C29">
              <w:rPr>
                <w:rFonts w:cs="Arial"/>
                <w:b/>
                <w:sz w:val="20"/>
              </w:rPr>
              <w:t>Follow full cytotoxic precautions as per local policy.</w:t>
            </w:r>
          </w:p>
          <w:p w:rsidRPr="00414C29" w:rsidR="00347517" w:rsidP="00131848" w:rsidRDefault="00347517" w14:paraId="253CF1AC" w14:textId="77777777">
            <w:pPr>
              <w:rPr>
                <w:rFonts w:cs="Arial"/>
                <w:sz w:val="20"/>
              </w:rPr>
            </w:pPr>
            <w:r w:rsidRPr="00414C29">
              <w:rPr>
                <w:rFonts w:cs="Arial"/>
                <w:sz w:val="20"/>
              </w:rPr>
              <w:t>Should be given with feeds and can be given with other medications.</w:t>
            </w:r>
          </w:p>
        </w:tc>
      </w:tr>
      <w:tr w:rsidRPr="003A7895" w:rsidR="00347517" w:rsidTr="008D48AE" w14:paraId="30C9C7B2" w14:textId="77777777">
        <w:trPr>
          <w:trHeight w:val="215"/>
        </w:trPr>
        <w:tc>
          <w:tcPr>
            <w:tcW w:w="1730" w:type="dxa"/>
          </w:tcPr>
          <w:p w:rsidRPr="00B53E9B" w:rsidR="00347517" w:rsidP="00131848" w:rsidRDefault="00347517" w14:paraId="3B7FB3A8" w14:textId="77777777">
            <w:pPr>
              <w:pStyle w:val="BodyText"/>
              <w:rPr>
                <w:rFonts w:cs="Arial"/>
                <w:b/>
                <w:bCs/>
                <w:sz w:val="20"/>
              </w:rPr>
            </w:pPr>
            <w:r w:rsidRPr="00B53E9B">
              <w:rPr>
                <w:rFonts w:cs="Arial"/>
                <w:b/>
                <w:bCs/>
                <w:sz w:val="20"/>
              </w:rPr>
              <w:t>Monitoring</w:t>
            </w:r>
          </w:p>
        </w:tc>
        <w:tc>
          <w:tcPr>
            <w:tcW w:w="7938" w:type="dxa"/>
          </w:tcPr>
          <w:p w:rsidRPr="00DF63EB" w:rsidR="00347517" w:rsidP="00131848" w:rsidRDefault="00347517" w14:paraId="2D1BFF09" w14:textId="77777777">
            <w:pPr>
              <w:rPr>
                <w:rFonts w:cs="Arial"/>
                <w:sz w:val="20"/>
              </w:rPr>
            </w:pPr>
            <w:r>
              <w:rPr>
                <w:rFonts w:cs="Arial"/>
                <w:sz w:val="20"/>
              </w:rPr>
              <w:t>Baseline f</w:t>
            </w:r>
            <w:r w:rsidRPr="00DF63EB">
              <w:rPr>
                <w:rFonts w:cs="Arial"/>
                <w:sz w:val="20"/>
              </w:rPr>
              <w:t>ull blood count</w:t>
            </w:r>
            <w:r>
              <w:rPr>
                <w:rFonts w:cs="Arial"/>
                <w:sz w:val="20"/>
              </w:rPr>
              <w:t xml:space="preserve">, particularly </w:t>
            </w:r>
            <w:r w:rsidRPr="00DF63EB">
              <w:rPr>
                <w:rFonts w:cs="Arial"/>
                <w:sz w:val="20"/>
              </w:rPr>
              <w:t>neutrophil count</w:t>
            </w:r>
            <w:r>
              <w:rPr>
                <w:rFonts w:cs="Arial"/>
                <w:sz w:val="20"/>
              </w:rPr>
              <w:t>,</w:t>
            </w:r>
            <w:r w:rsidRPr="00DF63EB">
              <w:rPr>
                <w:rFonts w:cs="Arial"/>
                <w:sz w:val="20"/>
              </w:rPr>
              <w:t xml:space="preserve"> should be followed weekly for 6 weeks, then at week 8, then monthly for the duration of therapy.</w:t>
            </w:r>
          </w:p>
          <w:p w:rsidRPr="00DF63EB" w:rsidR="00347517" w:rsidP="00131848" w:rsidRDefault="00347517" w14:paraId="2613CF4B" w14:textId="77777777">
            <w:pPr>
              <w:rPr>
                <w:rFonts w:cs="Arial"/>
                <w:sz w:val="20"/>
              </w:rPr>
            </w:pPr>
            <w:r w:rsidRPr="00DF63EB">
              <w:rPr>
                <w:rFonts w:cs="Arial"/>
                <w:sz w:val="20"/>
              </w:rPr>
              <w:t>Liver function tests monthly throughout therapy.</w:t>
            </w:r>
          </w:p>
          <w:p w:rsidR="00347517" w:rsidP="00131848" w:rsidRDefault="00347517" w14:paraId="61042D9C" w14:textId="77777777">
            <w:pPr>
              <w:pStyle w:val="BodyText"/>
              <w:rPr>
                <w:rFonts w:cs="Arial"/>
                <w:sz w:val="20"/>
              </w:rPr>
            </w:pPr>
            <w:r w:rsidRPr="00DF63EB">
              <w:rPr>
                <w:rFonts w:cs="Arial"/>
                <w:sz w:val="20"/>
              </w:rPr>
              <w:t>Renal function tests.</w:t>
            </w:r>
          </w:p>
          <w:p w:rsidRPr="00414C29" w:rsidR="00347517" w:rsidP="00131848" w:rsidRDefault="00347517" w14:paraId="7856B0CE" w14:textId="77777777">
            <w:pPr>
              <w:pStyle w:val="BodyText"/>
              <w:rPr>
                <w:rFonts w:cs="Arial"/>
                <w:sz w:val="20"/>
              </w:rPr>
            </w:pPr>
            <w:r>
              <w:rPr>
                <w:rFonts w:cs="Arial"/>
                <w:sz w:val="20"/>
              </w:rPr>
              <w:t>Blood CMV viral load as required</w:t>
            </w:r>
          </w:p>
        </w:tc>
      </w:tr>
      <w:tr w:rsidRPr="003A7895" w:rsidR="00347517" w:rsidTr="008D48AE" w14:paraId="7F79ACC9" w14:textId="77777777">
        <w:trPr>
          <w:trHeight w:val="342"/>
        </w:trPr>
        <w:tc>
          <w:tcPr>
            <w:tcW w:w="1730" w:type="dxa"/>
          </w:tcPr>
          <w:p w:rsidRPr="00B53E9B" w:rsidR="00347517" w:rsidP="00131848" w:rsidRDefault="00347517" w14:paraId="47FED10E" w14:textId="77777777">
            <w:pPr>
              <w:pStyle w:val="BodyText"/>
              <w:rPr>
                <w:rFonts w:cs="Arial"/>
                <w:b/>
                <w:bCs/>
                <w:sz w:val="20"/>
              </w:rPr>
            </w:pPr>
            <w:r w:rsidRPr="00B53E9B">
              <w:rPr>
                <w:rFonts w:cs="Arial"/>
                <w:b/>
                <w:bCs/>
                <w:sz w:val="20"/>
              </w:rPr>
              <w:t>Contraindications</w:t>
            </w:r>
          </w:p>
        </w:tc>
        <w:tc>
          <w:tcPr>
            <w:tcW w:w="7938" w:type="dxa"/>
          </w:tcPr>
          <w:p w:rsidRPr="00414C29" w:rsidR="00347517" w:rsidP="00131848" w:rsidRDefault="00347517" w14:paraId="15A6D450" w14:textId="77777777">
            <w:pPr>
              <w:spacing w:after="120"/>
              <w:rPr>
                <w:rFonts w:cs="Arial"/>
                <w:sz w:val="20"/>
              </w:rPr>
            </w:pPr>
            <w:r w:rsidRPr="00414C29">
              <w:rPr>
                <w:rFonts w:cs="Arial"/>
                <w:sz w:val="20"/>
              </w:rPr>
              <w:t>Hypersensitivity to</w:t>
            </w:r>
            <w:r>
              <w:rPr>
                <w:rFonts w:cs="Arial"/>
                <w:sz w:val="20"/>
              </w:rPr>
              <w:t xml:space="preserve"> </w:t>
            </w:r>
            <w:r w:rsidRPr="00414C29">
              <w:rPr>
                <w:rFonts w:cs="Arial"/>
                <w:sz w:val="20"/>
              </w:rPr>
              <w:t>valganciclovir</w:t>
            </w:r>
            <w:r>
              <w:rPr>
                <w:rFonts w:cs="Arial"/>
                <w:sz w:val="20"/>
              </w:rPr>
              <w:t>,</w:t>
            </w:r>
            <w:r w:rsidRPr="00414C29">
              <w:rPr>
                <w:rFonts w:cs="Arial"/>
                <w:sz w:val="20"/>
              </w:rPr>
              <w:t xml:space="preserve"> ganciclovir </w:t>
            </w:r>
            <w:r>
              <w:rPr>
                <w:rFonts w:cs="Arial"/>
                <w:sz w:val="20"/>
              </w:rPr>
              <w:t>or to any of the excipients.</w:t>
            </w:r>
          </w:p>
          <w:p w:rsidRPr="000566BD" w:rsidR="00347517" w:rsidP="00131848" w:rsidRDefault="00347517" w14:paraId="3C2BCCD1" w14:textId="77777777">
            <w:pPr>
              <w:pStyle w:val="BodyText"/>
              <w:rPr>
                <w:rFonts w:asciiTheme="minorHAnsi" w:hAnsiTheme="minorHAnsi" w:cstheme="minorHAnsi"/>
                <w:sz w:val="20"/>
              </w:rPr>
            </w:pPr>
            <w:r w:rsidRPr="000566BD">
              <w:rPr>
                <w:rFonts w:asciiTheme="minorHAnsi" w:hAnsiTheme="minorHAnsi" w:cstheme="minorHAnsi"/>
                <w:sz w:val="20"/>
              </w:rPr>
              <w:t>Patients with:</w:t>
            </w:r>
          </w:p>
          <w:p w:rsidRPr="000566BD" w:rsidR="00347517" w:rsidP="001B0E05" w:rsidRDefault="00347517" w14:paraId="775D39E6" w14:textId="77777777">
            <w:pPr>
              <w:pStyle w:val="BodyText"/>
              <w:numPr>
                <w:ilvl w:val="0"/>
                <w:numId w:val="25"/>
              </w:numPr>
              <w:overflowPunct w:val="0"/>
              <w:autoSpaceDE w:val="0"/>
              <w:autoSpaceDN w:val="0"/>
              <w:adjustRightInd w:val="0"/>
              <w:ind w:left="173" w:hanging="173"/>
              <w:jc w:val="left"/>
              <w:textAlignment w:val="baseline"/>
              <w:rPr>
                <w:rFonts w:asciiTheme="minorHAnsi" w:hAnsiTheme="minorHAnsi" w:cstheme="minorHAnsi"/>
                <w:sz w:val="20"/>
              </w:rPr>
            </w:pPr>
            <w:r w:rsidRPr="000566BD">
              <w:rPr>
                <w:rFonts w:asciiTheme="minorHAnsi" w:hAnsiTheme="minorHAnsi" w:cstheme="minorHAnsi"/>
                <w:sz w:val="20"/>
              </w:rPr>
              <w:t>absolute neutrophil count below 0.5 x 10</w:t>
            </w:r>
            <w:r w:rsidRPr="000566BD">
              <w:rPr>
                <w:rFonts w:asciiTheme="minorHAnsi" w:hAnsiTheme="minorHAnsi" w:cstheme="minorHAnsi"/>
                <w:sz w:val="20"/>
                <w:vertAlign w:val="superscript"/>
              </w:rPr>
              <w:t>9</w:t>
            </w:r>
            <w:r w:rsidRPr="000566BD">
              <w:rPr>
                <w:rFonts w:asciiTheme="minorHAnsi" w:hAnsiTheme="minorHAnsi" w:cstheme="minorHAnsi"/>
                <w:sz w:val="20"/>
              </w:rPr>
              <w:t xml:space="preserve">/L, or </w:t>
            </w:r>
          </w:p>
          <w:p w:rsidRPr="000566BD" w:rsidR="00347517" w:rsidP="001B0E05" w:rsidRDefault="00347517" w14:paraId="4E8333CD" w14:textId="77777777">
            <w:pPr>
              <w:pStyle w:val="BodyText"/>
              <w:numPr>
                <w:ilvl w:val="0"/>
                <w:numId w:val="25"/>
              </w:numPr>
              <w:overflowPunct w:val="0"/>
              <w:autoSpaceDE w:val="0"/>
              <w:autoSpaceDN w:val="0"/>
              <w:adjustRightInd w:val="0"/>
              <w:ind w:left="173" w:hanging="173"/>
              <w:jc w:val="left"/>
              <w:textAlignment w:val="baseline"/>
              <w:rPr>
                <w:rFonts w:asciiTheme="minorHAnsi" w:hAnsiTheme="minorHAnsi" w:cstheme="minorHAnsi"/>
                <w:sz w:val="20"/>
              </w:rPr>
            </w:pPr>
            <w:r w:rsidRPr="000566BD">
              <w:rPr>
                <w:rFonts w:asciiTheme="minorHAnsi" w:hAnsiTheme="minorHAnsi" w:cstheme="minorHAnsi"/>
                <w:sz w:val="20"/>
              </w:rPr>
              <w:t>platelet count below 25 x 10</w:t>
            </w:r>
            <w:r w:rsidRPr="000566BD">
              <w:rPr>
                <w:rFonts w:asciiTheme="minorHAnsi" w:hAnsiTheme="minorHAnsi" w:cstheme="minorHAnsi"/>
                <w:sz w:val="20"/>
                <w:vertAlign w:val="superscript"/>
              </w:rPr>
              <w:t>9</w:t>
            </w:r>
            <w:r w:rsidRPr="000566BD">
              <w:rPr>
                <w:rFonts w:asciiTheme="minorHAnsi" w:hAnsiTheme="minorHAnsi" w:cstheme="minorHAnsi"/>
                <w:sz w:val="20"/>
              </w:rPr>
              <w:t>/L unless thrombocytopenia is related to CMV disease, or</w:t>
            </w:r>
          </w:p>
          <w:p w:rsidRPr="0077292A" w:rsidR="00347517" w:rsidP="001B0E05" w:rsidRDefault="00347517" w14:paraId="1A671412" w14:textId="77777777">
            <w:pPr>
              <w:pStyle w:val="BodyText"/>
              <w:numPr>
                <w:ilvl w:val="0"/>
                <w:numId w:val="25"/>
              </w:numPr>
              <w:overflowPunct w:val="0"/>
              <w:autoSpaceDE w:val="0"/>
              <w:autoSpaceDN w:val="0"/>
              <w:adjustRightInd w:val="0"/>
              <w:ind w:left="173" w:hanging="173"/>
              <w:jc w:val="left"/>
              <w:textAlignment w:val="baseline"/>
              <w:rPr>
                <w:rFonts w:cs="Arial"/>
                <w:sz w:val="20"/>
              </w:rPr>
            </w:pPr>
            <w:r w:rsidRPr="000566BD">
              <w:rPr>
                <w:rFonts w:asciiTheme="minorHAnsi" w:hAnsiTheme="minorHAnsi" w:cstheme="minorHAnsi"/>
                <w:sz w:val="20"/>
              </w:rPr>
              <w:t>haemoglobin less than 80 g/L (8 g/dL).</w:t>
            </w:r>
            <w:r w:rsidRPr="00471D8E">
              <w:rPr>
                <w:rFonts w:ascii="Calibri Light" w:hAnsi="Calibri Light" w:cs="Calibri Light"/>
                <w:sz w:val="20"/>
              </w:rPr>
              <w:t xml:space="preserve"> </w:t>
            </w:r>
          </w:p>
        </w:tc>
      </w:tr>
      <w:tr w:rsidRPr="003A7895" w:rsidR="00347517" w:rsidTr="008D48AE" w14:paraId="34EBB057" w14:textId="77777777">
        <w:tc>
          <w:tcPr>
            <w:tcW w:w="1730" w:type="dxa"/>
          </w:tcPr>
          <w:p w:rsidRPr="00B53E9B" w:rsidR="00347517" w:rsidP="00131848" w:rsidRDefault="00347517" w14:paraId="79E68856" w14:textId="77777777">
            <w:pPr>
              <w:pStyle w:val="BodyText"/>
              <w:rPr>
                <w:rFonts w:cs="Arial"/>
                <w:b/>
                <w:bCs/>
                <w:sz w:val="20"/>
              </w:rPr>
            </w:pPr>
            <w:r w:rsidRPr="00B53E9B">
              <w:rPr>
                <w:sz w:val="20"/>
              </w:rPr>
              <w:lastRenderedPageBreak/>
              <w:br w:type="page"/>
            </w:r>
            <w:r w:rsidRPr="00B53E9B">
              <w:rPr>
                <w:rFonts w:cs="Arial"/>
                <w:b/>
                <w:bCs/>
                <w:sz w:val="20"/>
              </w:rPr>
              <w:t>Precautions</w:t>
            </w:r>
          </w:p>
        </w:tc>
        <w:tc>
          <w:tcPr>
            <w:tcW w:w="7938" w:type="dxa"/>
          </w:tcPr>
          <w:p w:rsidR="00347517" w:rsidP="00131848" w:rsidRDefault="00347517" w14:paraId="1C094C0C" w14:textId="77777777">
            <w:pPr>
              <w:pStyle w:val="BodyText"/>
              <w:rPr>
                <w:rFonts w:cs="Arial"/>
                <w:sz w:val="20"/>
              </w:rPr>
            </w:pPr>
            <w:r>
              <w:rPr>
                <w:rFonts w:cs="Arial"/>
                <w:sz w:val="20"/>
              </w:rPr>
              <w:t>Active component of valganciclovir (i.e. ganciclovir)</w:t>
            </w:r>
            <w:r w:rsidRPr="00DF63EB">
              <w:rPr>
                <w:rFonts w:cs="Arial"/>
                <w:sz w:val="20"/>
              </w:rPr>
              <w:t xml:space="preserve"> has both gonadal toxicity and carcinogenicity in animal models and its long-term safety after administration to young children is not established.</w:t>
            </w:r>
            <w:r>
              <w:rPr>
                <w:rFonts w:cs="Arial"/>
                <w:sz w:val="20"/>
              </w:rPr>
              <w:t xml:space="preserve"> </w:t>
            </w:r>
          </w:p>
          <w:p w:rsidR="00347517" w:rsidP="00131848" w:rsidRDefault="00347517" w14:paraId="2BB72521" w14:textId="77777777">
            <w:pPr>
              <w:pStyle w:val="BodyText"/>
              <w:rPr>
                <w:rFonts w:cs="Arial"/>
                <w:sz w:val="20"/>
              </w:rPr>
            </w:pPr>
            <w:r>
              <w:rPr>
                <w:rFonts w:cs="Arial"/>
                <w:sz w:val="20"/>
              </w:rPr>
              <w:t xml:space="preserve">Renal insufficiency. </w:t>
            </w:r>
          </w:p>
          <w:p w:rsidRPr="00414C29" w:rsidR="00347517" w:rsidP="00131848" w:rsidRDefault="00347517" w14:paraId="2C182261" w14:textId="77777777">
            <w:pPr>
              <w:pStyle w:val="BodyText"/>
              <w:rPr>
                <w:rFonts w:cs="Arial"/>
                <w:sz w:val="20"/>
              </w:rPr>
            </w:pPr>
            <w:r>
              <w:rPr>
                <w:rFonts w:cs="Arial"/>
                <w:sz w:val="20"/>
              </w:rPr>
              <w:t>Due to the similarity of the chemical structure of ganciclovir and that of acyclovir, a cross-hypersensitivity reaction between these drugs is possible. Caution should be used when prescribing valganciclovir to patients with known hypersensitivity to aciclovir or to it’s prodrug valaciclovir.</w:t>
            </w:r>
          </w:p>
        </w:tc>
      </w:tr>
      <w:tr w:rsidRPr="003A7895" w:rsidR="00347517" w:rsidTr="008D48AE" w14:paraId="501524F1" w14:textId="77777777">
        <w:trPr>
          <w:trHeight w:val="70"/>
        </w:trPr>
        <w:tc>
          <w:tcPr>
            <w:tcW w:w="1730" w:type="dxa"/>
          </w:tcPr>
          <w:p w:rsidRPr="00B53E9B" w:rsidR="00347517" w:rsidP="00131848" w:rsidRDefault="00347517" w14:paraId="50D8CFEC"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7938" w:type="dxa"/>
          </w:tcPr>
          <w:p w:rsidR="00347517" w:rsidP="00131848" w:rsidRDefault="00347517" w14:paraId="28AD742A" w14:textId="77777777">
            <w:pPr>
              <w:pStyle w:val="BodyText"/>
              <w:rPr>
                <w:rFonts w:cs="Arial"/>
                <w:sz w:val="20"/>
              </w:rPr>
            </w:pPr>
            <w:r w:rsidRPr="00414C29">
              <w:rPr>
                <w:rFonts w:cs="Arial"/>
                <w:sz w:val="20"/>
              </w:rPr>
              <w:t xml:space="preserve">Convulsions have been reported in patients </w:t>
            </w:r>
            <w:r>
              <w:rPr>
                <w:rFonts w:cs="Arial"/>
                <w:sz w:val="20"/>
              </w:rPr>
              <w:t>receiving</w:t>
            </w:r>
            <w:r w:rsidRPr="00414C29">
              <w:rPr>
                <w:rFonts w:cs="Arial"/>
                <w:sz w:val="20"/>
              </w:rPr>
              <w:t xml:space="preserve"> ganciclovir (metabolite of valganciclovir) and imipenem-cilastatin concurrently.</w:t>
            </w:r>
          </w:p>
          <w:p w:rsidR="00347517" w:rsidP="00131848" w:rsidRDefault="00347517" w14:paraId="214E4A86" w14:textId="77777777">
            <w:pPr>
              <w:pStyle w:val="BodyText"/>
              <w:rPr>
                <w:rFonts w:cs="Arial"/>
                <w:sz w:val="20"/>
              </w:rPr>
            </w:pPr>
            <w:r w:rsidRPr="00C04145">
              <w:rPr>
                <w:rFonts w:cs="Arial"/>
                <w:sz w:val="20"/>
              </w:rPr>
              <w:t>Concurrent use of tacrolimus and ganciclovir increases nephrotoxicity.</w:t>
            </w:r>
          </w:p>
          <w:p w:rsidR="00347517" w:rsidP="00131848" w:rsidRDefault="00347517" w14:paraId="538DB34C" w14:textId="77777777">
            <w:pPr>
              <w:rPr>
                <w:rFonts w:asciiTheme="minorHAnsi" w:hAnsiTheme="minorHAnsi" w:cstheme="minorHAnsi"/>
                <w:sz w:val="20"/>
                <w:lang w:eastAsia="en-AU"/>
              </w:rPr>
            </w:pPr>
            <w:r w:rsidRPr="0030246A">
              <w:rPr>
                <w:rFonts w:asciiTheme="minorHAnsi" w:hAnsiTheme="minorHAnsi" w:cstheme="minorHAnsi"/>
                <w:sz w:val="20"/>
                <w:lang w:eastAsia="en-AU"/>
              </w:rPr>
              <w:t>A pharmacodynamic interaction may occur during concomitant administration of</w:t>
            </w:r>
            <w:r>
              <w:rPr>
                <w:rFonts w:asciiTheme="minorHAnsi" w:hAnsiTheme="minorHAnsi" w:cstheme="minorHAnsi"/>
                <w:sz w:val="20"/>
                <w:lang w:eastAsia="en-AU"/>
              </w:rPr>
              <w:t xml:space="preserve"> zidovudine and valganciclovir (both have the potential to cause neutropenia and anaemia) and </w:t>
            </w:r>
            <w:r w:rsidRPr="0030246A">
              <w:rPr>
                <w:rFonts w:asciiTheme="minorHAnsi" w:hAnsiTheme="minorHAnsi" w:cstheme="minorHAnsi"/>
                <w:sz w:val="20"/>
                <w:lang w:eastAsia="en-AU"/>
              </w:rPr>
              <w:t>some patients may not tolerate concomitant therapy at full dosage.</w:t>
            </w:r>
          </w:p>
          <w:p w:rsidRPr="000566BD" w:rsidR="00347517" w:rsidP="00131848" w:rsidRDefault="00347517" w14:paraId="7E24426C" w14:textId="77777777">
            <w:pPr>
              <w:rPr>
                <w:rFonts w:asciiTheme="minorHAnsi" w:hAnsiTheme="minorHAnsi" w:cstheme="minorHAnsi"/>
                <w:sz w:val="20"/>
                <w:lang w:eastAsia="en-AU"/>
              </w:rPr>
            </w:pPr>
            <w:r>
              <w:rPr>
                <w:rFonts w:asciiTheme="minorHAnsi" w:hAnsiTheme="minorHAnsi" w:cstheme="minorHAnsi"/>
                <w:sz w:val="20"/>
                <w:lang w:eastAsia="en-AU"/>
              </w:rPr>
              <w:t>Note: interaction studies have only been performed in adults.</w:t>
            </w:r>
          </w:p>
        </w:tc>
      </w:tr>
      <w:tr w:rsidRPr="003A7895" w:rsidR="00347517" w:rsidTr="008D48AE" w14:paraId="60E10932" w14:textId="77777777">
        <w:trPr>
          <w:trHeight w:val="332"/>
        </w:trPr>
        <w:tc>
          <w:tcPr>
            <w:tcW w:w="1730" w:type="dxa"/>
          </w:tcPr>
          <w:p w:rsidRPr="00B53E9B" w:rsidR="00347517" w:rsidP="00131848" w:rsidRDefault="00347517" w14:paraId="56370731"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7938" w:type="dxa"/>
          </w:tcPr>
          <w:p w:rsidRPr="005A64A0" w:rsidR="00347517" w:rsidP="00131848" w:rsidRDefault="00347517" w14:paraId="181BD43F" w14:textId="77777777">
            <w:pPr>
              <w:spacing w:after="120"/>
              <w:rPr>
                <w:rFonts w:cs="Arial" w:asciiTheme="minorHAnsi" w:hAnsiTheme="minorHAnsi"/>
                <w:sz w:val="20"/>
              </w:rPr>
            </w:pPr>
            <w:r w:rsidRPr="005A64A0">
              <w:rPr>
                <w:rFonts w:cs="Arial" w:asciiTheme="minorHAnsi" w:hAnsiTheme="minorHAnsi"/>
                <w:sz w:val="20"/>
              </w:rPr>
              <w:t>Commonly causes neutropenia. If absolute neutrophil count (ANC) falls below 0.5 x 10</w:t>
            </w:r>
            <w:r w:rsidRPr="005A64A0">
              <w:rPr>
                <w:rFonts w:cs="Arial" w:asciiTheme="minorHAnsi" w:hAnsiTheme="minorHAnsi"/>
                <w:sz w:val="20"/>
                <w:vertAlign w:val="superscript"/>
              </w:rPr>
              <w:t>9</w:t>
            </w:r>
            <w:r w:rsidRPr="005A64A0">
              <w:rPr>
                <w:rFonts w:cs="Arial" w:asciiTheme="minorHAnsi" w:hAnsiTheme="minorHAnsi"/>
                <w:sz w:val="20"/>
              </w:rPr>
              <w:t>/L,</w:t>
            </w:r>
            <w:r>
              <w:rPr>
                <w:rFonts w:cs="Arial" w:asciiTheme="minorHAnsi" w:hAnsiTheme="minorHAnsi"/>
                <w:sz w:val="20"/>
              </w:rPr>
              <w:t xml:space="preserve"> and if it is thought not to be due to CMV disease, </w:t>
            </w:r>
            <w:r w:rsidRPr="005A64A0">
              <w:rPr>
                <w:rFonts w:cs="Arial" w:asciiTheme="minorHAnsi" w:hAnsiTheme="minorHAnsi"/>
                <w:sz w:val="20"/>
              </w:rPr>
              <w:t>withhold medication until ANC is above 0.75 x 10</w:t>
            </w:r>
            <w:r w:rsidRPr="005A64A0">
              <w:rPr>
                <w:rFonts w:cs="Arial" w:asciiTheme="minorHAnsi" w:hAnsiTheme="minorHAnsi"/>
                <w:sz w:val="20"/>
                <w:vertAlign w:val="superscript"/>
              </w:rPr>
              <w:t>9</w:t>
            </w:r>
            <w:r w:rsidRPr="005A64A0">
              <w:rPr>
                <w:rFonts w:cs="Arial" w:asciiTheme="minorHAnsi" w:hAnsiTheme="minorHAnsi"/>
                <w:sz w:val="20"/>
              </w:rPr>
              <w:t>/L</w:t>
            </w:r>
            <w:r>
              <w:rPr>
                <w:rFonts w:cs="Arial" w:asciiTheme="minorHAnsi" w:hAnsiTheme="minorHAnsi"/>
                <w:sz w:val="20"/>
              </w:rPr>
              <w:t>,</w:t>
            </w:r>
            <w:r w:rsidRPr="005A64A0">
              <w:rPr>
                <w:rFonts w:cs="Arial" w:asciiTheme="minorHAnsi" w:hAnsiTheme="minorHAnsi"/>
                <w:sz w:val="20"/>
              </w:rPr>
              <w:t xml:space="preserve"> then restart medication at half dose. If ANC falls below 0.5 x 10</w:t>
            </w:r>
            <w:r w:rsidRPr="005A64A0">
              <w:rPr>
                <w:rFonts w:cs="Arial" w:asciiTheme="minorHAnsi" w:hAnsiTheme="minorHAnsi"/>
                <w:sz w:val="20"/>
                <w:vertAlign w:val="superscript"/>
              </w:rPr>
              <w:t>9</w:t>
            </w:r>
            <w:r w:rsidRPr="005A64A0">
              <w:rPr>
                <w:rFonts w:cs="Arial" w:asciiTheme="minorHAnsi" w:hAnsiTheme="minorHAnsi"/>
                <w:sz w:val="20"/>
              </w:rPr>
              <w:t xml:space="preserve">/L again, </w:t>
            </w:r>
            <w:r>
              <w:rPr>
                <w:rFonts w:cs="Arial" w:asciiTheme="minorHAnsi" w:hAnsiTheme="minorHAnsi"/>
                <w:sz w:val="20"/>
              </w:rPr>
              <w:t xml:space="preserve">consider </w:t>
            </w:r>
            <w:r w:rsidRPr="005A64A0">
              <w:rPr>
                <w:rFonts w:cs="Arial" w:asciiTheme="minorHAnsi" w:hAnsiTheme="minorHAnsi"/>
                <w:sz w:val="20"/>
              </w:rPr>
              <w:t>discontinu</w:t>
            </w:r>
            <w:r>
              <w:rPr>
                <w:rFonts w:cs="Arial" w:asciiTheme="minorHAnsi" w:hAnsiTheme="minorHAnsi"/>
                <w:sz w:val="20"/>
              </w:rPr>
              <w:t>ing</w:t>
            </w:r>
            <w:r w:rsidRPr="005A64A0">
              <w:rPr>
                <w:rFonts w:cs="Arial" w:asciiTheme="minorHAnsi" w:hAnsiTheme="minorHAnsi"/>
                <w:sz w:val="20"/>
              </w:rPr>
              <w:t xml:space="preserve"> the medication. </w:t>
            </w:r>
          </w:p>
          <w:p w:rsidRPr="00414C29" w:rsidR="00347517" w:rsidP="00131848" w:rsidRDefault="00347517" w14:paraId="7EAA2882" w14:textId="77777777">
            <w:pPr>
              <w:pStyle w:val="BodyText"/>
              <w:rPr>
                <w:rFonts w:cs="Arial"/>
                <w:sz w:val="20"/>
              </w:rPr>
            </w:pPr>
            <w:r w:rsidRPr="005A64A0">
              <w:rPr>
                <w:rFonts w:cs="Arial" w:asciiTheme="minorHAnsi" w:hAnsiTheme="minorHAnsi"/>
                <w:sz w:val="20"/>
              </w:rPr>
              <w:t xml:space="preserve">Can also cause anaemia and thrombocytopenia. </w:t>
            </w:r>
            <w:r>
              <w:rPr>
                <w:rFonts w:cs="Arial" w:asciiTheme="minorHAnsi" w:hAnsiTheme="minorHAnsi"/>
                <w:sz w:val="20"/>
              </w:rPr>
              <w:t>Discontinue</w:t>
            </w:r>
            <w:r w:rsidRPr="005A64A0">
              <w:rPr>
                <w:rFonts w:cs="Arial" w:asciiTheme="minorHAnsi" w:hAnsiTheme="minorHAnsi"/>
                <w:sz w:val="20"/>
              </w:rPr>
              <w:t xml:space="preserve"> medication if platelet count below 25 x 10</w:t>
            </w:r>
            <w:r w:rsidRPr="005A64A0">
              <w:rPr>
                <w:rFonts w:cs="Arial" w:asciiTheme="minorHAnsi" w:hAnsiTheme="minorHAnsi"/>
                <w:sz w:val="20"/>
                <w:vertAlign w:val="superscript"/>
              </w:rPr>
              <w:t>9</w:t>
            </w:r>
            <w:r w:rsidRPr="005A64A0">
              <w:rPr>
                <w:rFonts w:cs="Arial" w:asciiTheme="minorHAnsi" w:hAnsiTheme="minorHAnsi"/>
                <w:sz w:val="20"/>
              </w:rPr>
              <w:t>/L or haemoglobin less than 80 g/L</w:t>
            </w:r>
            <w:r>
              <w:rPr>
                <w:rFonts w:cs="Arial" w:asciiTheme="minorHAnsi" w:hAnsiTheme="minorHAnsi"/>
                <w:sz w:val="20"/>
              </w:rPr>
              <w:t xml:space="preserve"> occurs and is thought not to be due to CMV disease</w:t>
            </w:r>
            <w:r w:rsidRPr="005A64A0">
              <w:rPr>
                <w:rFonts w:cs="Arial" w:asciiTheme="minorHAnsi" w:hAnsiTheme="minorHAnsi"/>
                <w:sz w:val="20"/>
              </w:rPr>
              <w:t>.</w:t>
            </w:r>
          </w:p>
        </w:tc>
      </w:tr>
      <w:tr w:rsidRPr="003A7895" w:rsidR="00347517" w:rsidTr="008D48AE" w14:paraId="7EDE5C5C" w14:textId="77777777">
        <w:trPr>
          <w:trHeight w:val="180"/>
        </w:trPr>
        <w:tc>
          <w:tcPr>
            <w:tcW w:w="1730" w:type="dxa"/>
          </w:tcPr>
          <w:p w:rsidRPr="00B53E9B" w:rsidR="00347517" w:rsidP="00131848" w:rsidRDefault="00347517" w14:paraId="342ABAAD" w14:textId="77777777">
            <w:pPr>
              <w:pStyle w:val="BodyText"/>
              <w:rPr>
                <w:rFonts w:cs="Arial"/>
                <w:b/>
                <w:bCs/>
                <w:sz w:val="20"/>
              </w:rPr>
            </w:pPr>
            <w:r w:rsidRPr="00B53E9B">
              <w:rPr>
                <w:rFonts w:cs="Arial"/>
                <w:b/>
                <w:bCs/>
                <w:sz w:val="20"/>
              </w:rPr>
              <w:t>Compatibility</w:t>
            </w:r>
          </w:p>
        </w:tc>
        <w:tc>
          <w:tcPr>
            <w:tcW w:w="7938" w:type="dxa"/>
          </w:tcPr>
          <w:p w:rsidRPr="00026F20" w:rsidR="00347517" w:rsidP="00131848" w:rsidRDefault="00347517" w14:paraId="66484DD2" w14:textId="77777777">
            <w:pPr>
              <w:pStyle w:val="BodyText"/>
              <w:rPr>
                <w:sz w:val="20"/>
              </w:rPr>
            </w:pPr>
            <w:r>
              <w:rPr>
                <w:sz w:val="20"/>
              </w:rPr>
              <w:t>Not applicable</w:t>
            </w:r>
          </w:p>
        </w:tc>
      </w:tr>
      <w:tr w:rsidRPr="003A7895" w:rsidR="00347517" w:rsidTr="008D48AE" w14:paraId="69F989E1" w14:textId="77777777">
        <w:trPr>
          <w:trHeight w:val="230"/>
        </w:trPr>
        <w:tc>
          <w:tcPr>
            <w:tcW w:w="1730" w:type="dxa"/>
          </w:tcPr>
          <w:p w:rsidRPr="00B53E9B" w:rsidR="00347517" w:rsidP="00131848" w:rsidRDefault="00347517" w14:paraId="338A24EB" w14:textId="77777777">
            <w:pPr>
              <w:pStyle w:val="BodyText"/>
              <w:rPr>
                <w:rFonts w:cs="Arial"/>
                <w:b/>
                <w:bCs/>
                <w:sz w:val="20"/>
              </w:rPr>
            </w:pPr>
            <w:r w:rsidRPr="00B53E9B">
              <w:rPr>
                <w:rFonts w:cs="Arial"/>
                <w:b/>
                <w:bCs/>
                <w:sz w:val="20"/>
              </w:rPr>
              <w:t>Incompatibility</w:t>
            </w:r>
          </w:p>
        </w:tc>
        <w:tc>
          <w:tcPr>
            <w:tcW w:w="7938" w:type="dxa"/>
          </w:tcPr>
          <w:p w:rsidRPr="00026F20" w:rsidR="00347517" w:rsidP="00131848" w:rsidRDefault="00347517" w14:paraId="55B709A3" w14:textId="77777777">
            <w:pPr>
              <w:pStyle w:val="BodyText"/>
              <w:rPr>
                <w:rFonts w:cs="Arial"/>
                <w:sz w:val="20"/>
              </w:rPr>
            </w:pPr>
            <w:r>
              <w:rPr>
                <w:rFonts w:cs="Arial"/>
                <w:sz w:val="20"/>
              </w:rPr>
              <w:t>Not applicable</w:t>
            </w:r>
          </w:p>
        </w:tc>
      </w:tr>
      <w:tr w:rsidRPr="003A7895" w:rsidR="00347517" w:rsidTr="008D48AE" w14:paraId="155CD1FF" w14:textId="77777777">
        <w:trPr>
          <w:trHeight w:val="79"/>
        </w:trPr>
        <w:tc>
          <w:tcPr>
            <w:tcW w:w="1730" w:type="dxa"/>
          </w:tcPr>
          <w:p w:rsidRPr="00B53E9B" w:rsidR="00347517" w:rsidP="00131848" w:rsidRDefault="00347517" w14:paraId="252B6A83" w14:textId="77777777">
            <w:pPr>
              <w:pStyle w:val="BodyText"/>
              <w:rPr>
                <w:rFonts w:cs="Arial"/>
                <w:b/>
                <w:bCs/>
                <w:sz w:val="20"/>
              </w:rPr>
            </w:pPr>
            <w:r w:rsidRPr="00B53E9B">
              <w:rPr>
                <w:rFonts w:cs="Arial"/>
                <w:b/>
                <w:bCs/>
                <w:sz w:val="20"/>
              </w:rPr>
              <w:t>Stability</w:t>
            </w:r>
          </w:p>
        </w:tc>
        <w:tc>
          <w:tcPr>
            <w:tcW w:w="7938" w:type="dxa"/>
          </w:tcPr>
          <w:p w:rsidRPr="00414C29" w:rsidR="00347517" w:rsidP="00131848" w:rsidRDefault="00347517" w14:paraId="0DA1DB0A" w14:textId="77777777">
            <w:pPr>
              <w:pStyle w:val="BodyText"/>
              <w:rPr>
                <w:rFonts w:cs="Arial"/>
                <w:sz w:val="20"/>
              </w:rPr>
            </w:pPr>
            <w:r w:rsidRPr="00414C29">
              <w:rPr>
                <w:rFonts w:cs="Arial"/>
                <w:sz w:val="20"/>
              </w:rPr>
              <w:t>The reconstituted solution should be discarded 49 days after reconstitution.</w:t>
            </w:r>
          </w:p>
        </w:tc>
      </w:tr>
      <w:tr w:rsidRPr="003A7895" w:rsidR="00347517" w:rsidTr="008D48AE" w14:paraId="51DA65C9" w14:textId="77777777">
        <w:trPr>
          <w:trHeight w:val="70"/>
        </w:trPr>
        <w:tc>
          <w:tcPr>
            <w:tcW w:w="1730" w:type="dxa"/>
          </w:tcPr>
          <w:p w:rsidRPr="00B53E9B" w:rsidR="00347517" w:rsidP="00131848" w:rsidRDefault="00347517" w14:paraId="24F0E26E" w14:textId="77777777">
            <w:pPr>
              <w:pStyle w:val="BodyText"/>
              <w:rPr>
                <w:rFonts w:cs="Arial"/>
                <w:b/>
                <w:bCs/>
                <w:sz w:val="20"/>
              </w:rPr>
            </w:pPr>
            <w:r w:rsidRPr="00B53E9B">
              <w:rPr>
                <w:rFonts w:cs="Arial"/>
                <w:b/>
                <w:bCs/>
                <w:sz w:val="20"/>
              </w:rPr>
              <w:t xml:space="preserve">Storage </w:t>
            </w:r>
          </w:p>
        </w:tc>
        <w:tc>
          <w:tcPr>
            <w:tcW w:w="7938" w:type="dxa"/>
          </w:tcPr>
          <w:p w:rsidRPr="00414C29" w:rsidR="00347517" w:rsidP="00131848" w:rsidRDefault="00347517" w14:paraId="482B51AE" w14:textId="77777777">
            <w:pPr>
              <w:spacing w:after="120"/>
              <w:rPr>
                <w:rFonts w:cs="Arial"/>
                <w:sz w:val="20"/>
              </w:rPr>
            </w:pPr>
            <w:r w:rsidRPr="00414C29">
              <w:rPr>
                <w:rFonts w:cs="Arial"/>
                <w:sz w:val="20"/>
              </w:rPr>
              <w:t xml:space="preserve">Store powder for reconstitution below </w:t>
            </w:r>
            <w:r>
              <w:rPr>
                <w:rFonts w:cs="Arial"/>
                <w:sz w:val="20"/>
              </w:rPr>
              <w:t>30</w:t>
            </w:r>
            <w:r w:rsidRPr="00414C29">
              <w:rPr>
                <w:rFonts w:cs="Arial"/>
                <w:sz w:val="20"/>
              </w:rPr>
              <w:t xml:space="preserve">°C. </w:t>
            </w:r>
          </w:p>
          <w:p w:rsidRPr="00414C29" w:rsidR="00347517" w:rsidP="00131848" w:rsidRDefault="00347517" w14:paraId="40E95122" w14:textId="77777777">
            <w:pPr>
              <w:pStyle w:val="BodyText"/>
              <w:rPr>
                <w:rFonts w:cs="Arial"/>
                <w:sz w:val="20"/>
              </w:rPr>
            </w:pPr>
            <w:r w:rsidRPr="00414C29">
              <w:rPr>
                <w:rFonts w:cs="Arial"/>
                <w:sz w:val="20"/>
              </w:rPr>
              <w:t>After reconstitution, the solution should be stored in the refrigerator (2-8°C). Do not freeze.</w:t>
            </w:r>
          </w:p>
        </w:tc>
      </w:tr>
      <w:tr w:rsidRPr="003A7895" w:rsidR="00347517" w:rsidTr="008D48AE" w14:paraId="6D6DF166" w14:textId="77777777">
        <w:trPr>
          <w:trHeight w:val="70"/>
        </w:trPr>
        <w:tc>
          <w:tcPr>
            <w:tcW w:w="1730" w:type="dxa"/>
          </w:tcPr>
          <w:p w:rsidRPr="00B53E9B" w:rsidR="00347517" w:rsidP="00131848" w:rsidRDefault="00347517" w14:paraId="427FA118" w14:textId="77777777">
            <w:pPr>
              <w:pStyle w:val="BodyText"/>
              <w:rPr>
                <w:rFonts w:cs="Arial"/>
                <w:b/>
                <w:bCs/>
                <w:sz w:val="20"/>
              </w:rPr>
            </w:pPr>
            <w:r w:rsidRPr="00B53E9B">
              <w:rPr>
                <w:rFonts w:cs="Arial"/>
                <w:b/>
                <w:bCs/>
                <w:sz w:val="20"/>
              </w:rPr>
              <w:t>Excipients</w:t>
            </w:r>
          </w:p>
        </w:tc>
        <w:tc>
          <w:tcPr>
            <w:tcW w:w="7938" w:type="dxa"/>
          </w:tcPr>
          <w:p w:rsidRPr="000566BD" w:rsidR="00347517" w:rsidP="00131848" w:rsidRDefault="00347517" w14:paraId="3553DDBA" w14:textId="77777777">
            <w:pPr>
              <w:pStyle w:val="BodyText"/>
              <w:rPr>
                <w:rFonts w:asciiTheme="minorHAnsi" w:hAnsiTheme="minorHAnsi" w:cstheme="minorHAnsi"/>
                <w:sz w:val="20"/>
              </w:rPr>
            </w:pPr>
            <w:r w:rsidRPr="000566BD">
              <w:rPr>
                <w:rFonts w:asciiTheme="minorHAnsi" w:hAnsiTheme="minorHAnsi" w:cstheme="minorHAnsi"/>
                <w:sz w:val="20"/>
              </w:rPr>
              <w:t>Povidone, fumaric acid, sodium benzoate (E211), saccharin sodium, mannitol, tutti-frutti flavour.</w:t>
            </w:r>
          </w:p>
        </w:tc>
      </w:tr>
      <w:tr w:rsidRPr="003A7895" w:rsidR="00347517" w:rsidTr="008D48AE" w14:paraId="6718117E" w14:textId="77777777">
        <w:trPr>
          <w:trHeight w:val="270"/>
        </w:trPr>
        <w:tc>
          <w:tcPr>
            <w:tcW w:w="1730" w:type="dxa"/>
          </w:tcPr>
          <w:p w:rsidRPr="00B53E9B" w:rsidR="00347517" w:rsidP="00131848" w:rsidRDefault="00347517" w14:paraId="2DD2C52D"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7938" w:type="dxa"/>
          </w:tcPr>
          <w:p w:rsidRPr="000566BD" w:rsidR="00347517" w:rsidP="00131848" w:rsidRDefault="00347517" w14:paraId="09E31137" w14:textId="77777777">
            <w:pPr>
              <w:pStyle w:val="BodyText"/>
              <w:rPr>
                <w:rFonts w:asciiTheme="minorHAnsi" w:hAnsiTheme="minorHAnsi" w:cstheme="minorHAnsi"/>
                <w:sz w:val="20"/>
              </w:rPr>
            </w:pPr>
          </w:p>
        </w:tc>
      </w:tr>
      <w:tr w:rsidRPr="003A7895" w:rsidR="00347517" w:rsidTr="008D48AE" w14:paraId="2D4DDAE8" w14:textId="77777777">
        <w:trPr>
          <w:trHeight w:val="280"/>
        </w:trPr>
        <w:tc>
          <w:tcPr>
            <w:tcW w:w="1730" w:type="dxa"/>
          </w:tcPr>
          <w:p w:rsidRPr="00B53E9B" w:rsidR="00347517" w:rsidP="00131848" w:rsidRDefault="00347517" w14:paraId="2163F68D" w14:textId="77777777">
            <w:pPr>
              <w:pStyle w:val="BodyText"/>
              <w:rPr>
                <w:rFonts w:cs="Arial"/>
                <w:b/>
                <w:bCs/>
                <w:sz w:val="20"/>
              </w:rPr>
            </w:pPr>
            <w:r w:rsidRPr="00B53E9B">
              <w:rPr>
                <w:rFonts w:cs="Arial"/>
                <w:b/>
                <w:bCs/>
                <w:sz w:val="20"/>
              </w:rPr>
              <w:t>Evidence</w:t>
            </w:r>
          </w:p>
        </w:tc>
        <w:tc>
          <w:tcPr>
            <w:tcW w:w="7938" w:type="dxa"/>
          </w:tcPr>
          <w:p w:rsidRPr="0025647E" w:rsidR="00347517" w:rsidP="00131848" w:rsidRDefault="00347517" w14:paraId="12F648A8" w14:textId="77777777">
            <w:pPr>
              <w:spacing w:after="120"/>
              <w:rPr>
                <w:rFonts w:ascii="Calibri Light" w:hAnsi="Calibri Light"/>
                <w:b/>
                <w:sz w:val="16"/>
                <w:szCs w:val="16"/>
              </w:rPr>
            </w:pPr>
            <w:r w:rsidRPr="0025647E">
              <w:rPr>
                <w:rFonts w:ascii="Calibri Light" w:hAnsi="Calibri Light"/>
                <w:b/>
                <w:sz w:val="16"/>
                <w:szCs w:val="16"/>
              </w:rPr>
              <w:t>Efficacy and safety:</w:t>
            </w:r>
          </w:p>
          <w:p w:rsidRPr="0025647E" w:rsidR="00347517" w:rsidP="00131848" w:rsidRDefault="00347517" w14:paraId="0D4E08CF" w14:textId="77777777">
            <w:pPr>
              <w:spacing w:after="120"/>
              <w:rPr>
                <w:rFonts w:cs="Arial"/>
                <w:noProof/>
                <w:sz w:val="16"/>
                <w:szCs w:val="16"/>
              </w:rPr>
            </w:pPr>
            <w:r w:rsidRPr="0025647E">
              <w:rPr>
                <w:rFonts w:ascii="Calibri Light" w:hAnsi="Calibri Light" w:cs="Arial"/>
                <w:b/>
                <w:sz w:val="16"/>
                <w:szCs w:val="16"/>
              </w:rPr>
              <w:t xml:space="preserve">Symptomatic congenital cytomegalovirus disease: </w:t>
            </w:r>
            <w:r w:rsidRPr="0025647E">
              <w:rPr>
                <w:rFonts w:cs="Arial"/>
                <w:sz w:val="16"/>
                <w:szCs w:val="16"/>
              </w:rPr>
              <w:t>A randomised controlled trial (RCT) in infants ≥ 32 weeks GA of 6 weeks IV ganciclovir 6 mg/kg every 12 hours demonstrated more infants had improved hearing or maintained normal hearing between baseline and 6 months in the IV ganciclovir group versus placebo (84% vs 59%, p=0.06) and fewer infants had worsening hearing (0% vs 41%, p &lt; 0.01).</w:t>
            </w:r>
            <w:r w:rsidRPr="0025647E">
              <w:rPr>
                <w:rFonts w:cs="Arial"/>
                <w:noProof/>
                <w:sz w:val="16"/>
                <w:szCs w:val="16"/>
                <w:vertAlign w:val="superscript"/>
              </w:rPr>
              <w:t>1</w:t>
            </w:r>
            <w:r w:rsidRPr="0025647E">
              <w:rPr>
                <w:rFonts w:cs="Arial"/>
                <w:sz w:val="16"/>
                <w:szCs w:val="16"/>
              </w:rPr>
              <w:t xml:space="preserve"> This effect is sustained at 1 year of age, when 21% infants in the treatment group had worsening hearing versus 68% in the placebo group (p &lt; 0.01).</w:t>
            </w:r>
            <w:r w:rsidRPr="0025647E">
              <w:rPr>
                <w:rFonts w:cs="Arial"/>
                <w:noProof/>
                <w:sz w:val="16"/>
                <w:szCs w:val="16"/>
                <w:vertAlign w:val="superscript"/>
              </w:rPr>
              <w:t>1</w:t>
            </w:r>
            <w:r w:rsidRPr="0025647E">
              <w:rPr>
                <w:rFonts w:cs="Arial"/>
                <w:sz w:val="16"/>
                <w:szCs w:val="16"/>
              </w:rPr>
              <w:t xml:space="preserve"> Two-thirds of the treatment group developed significant neutropenia</w:t>
            </w:r>
            <w:r w:rsidRPr="0025647E">
              <w:rPr>
                <w:rFonts w:cs="Arial"/>
                <w:noProof/>
                <w:sz w:val="16"/>
                <w:szCs w:val="16"/>
                <w:vertAlign w:val="superscript"/>
              </w:rPr>
              <w:t>1</w:t>
            </w:r>
            <w:r w:rsidRPr="0025647E">
              <w:rPr>
                <w:rFonts w:cs="Arial"/>
                <w:sz w:val="16"/>
                <w:szCs w:val="16"/>
              </w:rPr>
              <w:t>. At 12 months infants treated with 6 weeks IV ganciclovir had fewer developmental delays.</w:t>
            </w:r>
            <w:r w:rsidRPr="0025647E">
              <w:rPr>
                <w:rFonts w:cs="Arial"/>
                <w:noProof/>
                <w:sz w:val="16"/>
                <w:szCs w:val="16"/>
                <w:vertAlign w:val="superscript"/>
              </w:rPr>
              <w:t>2</w:t>
            </w:r>
            <w:r w:rsidRPr="0025647E">
              <w:rPr>
                <w:rFonts w:cs="Arial"/>
                <w:noProof/>
                <w:sz w:val="16"/>
                <w:szCs w:val="16"/>
              </w:rPr>
              <w:t xml:space="preserve"> [Ganciclovir: LOE II GORR B]</w:t>
            </w:r>
          </w:p>
          <w:p w:rsidRPr="0025647E" w:rsidR="00347517" w:rsidP="00131848" w:rsidRDefault="00347517" w14:paraId="05B4B463" w14:textId="77777777">
            <w:pPr>
              <w:spacing w:after="120"/>
              <w:rPr>
                <w:rFonts w:cs="Arial"/>
                <w:sz w:val="16"/>
                <w:szCs w:val="16"/>
              </w:rPr>
            </w:pPr>
            <w:r w:rsidRPr="0025647E">
              <w:rPr>
                <w:rFonts w:cs="Arial"/>
                <w:noProof/>
                <w:sz w:val="16"/>
                <w:szCs w:val="16"/>
              </w:rPr>
              <w:t xml:space="preserve">An RCT of oral valganciclovir 16 mg/kg 12 hourly for 6 months versus 6 weeks in neonates ≥ 32 weeks and ≤ 30 days of age and weighing at least 1800 g at the initiation of therapy reported </w:t>
            </w:r>
            <w:r w:rsidRPr="0025647E">
              <w:rPr>
                <w:rFonts w:cs="Arial"/>
                <w:sz w:val="16"/>
                <w:szCs w:val="16"/>
              </w:rPr>
              <w:t>better total-ear hearing at 12 months in patients treated for 6 months compared to 6 weeks (73% vs. 57%, P = 0.01), which is modestly maintained at 24 months (77% vs. 64%, P = 0.04), without an increase in neutropenia. The 6-month group had better neurodevelopment scores at 24 months.</w:t>
            </w:r>
            <w:r w:rsidRPr="0025647E">
              <w:rPr>
                <w:rFonts w:cs="Arial"/>
                <w:noProof/>
                <w:sz w:val="16"/>
                <w:szCs w:val="16"/>
                <w:vertAlign w:val="superscript"/>
              </w:rPr>
              <w:t>3</w:t>
            </w:r>
            <w:r w:rsidRPr="0025647E">
              <w:rPr>
                <w:rFonts w:cs="Arial"/>
                <w:sz w:val="16"/>
                <w:szCs w:val="16"/>
              </w:rPr>
              <w:t xml:space="preserve"> Valganciclovir treatment was associated with neutropenia,</w:t>
            </w:r>
            <w:r w:rsidRPr="0025647E">
              <w:rPr>
                <w:rFonts w:cs="Arial"/>
                <w:noProof/>
                <w:sz w:val="16"/>
                <w:szCs w:val="16"/>
                <w:vertAlign w:val="superscript"/>
              </w:rPr>
              <w:t>3</w:t>
            </w:r>
            <w:r w:rsidRPr="0025647E">
              <w:rPr>
                <w:sz w:val="16"/>
                <w:szCs w:val="16"/>
              </w:rPr>
              <w:t xml:space="preserve"> </w:t>
            </w:r>
            <w:r w:rsidRPr="0025647E">
              <w:rPr>
                <w:rFonts w:cs="Arial"/>
                <w:sz w:val="16"/>
                <w:szCs w:val="16"/>
              </w:rPr>
              <w:t>although the incidence was markedly lower than previously observed with intravenous ganciclovir.</w:t>
            </w:r>
            <w:r w:rsidRPr="0025647E">
              <w:rPr>
                <w:rFonts w:cs="Arial"/>
                <w:noProof/>
                <w:sz w:val="16"/>
                <w:szCs w:val="16"/>
                <w:vertAlign w:val="superscript"/>
              </w:rPr>
              <w:t>1, 2</w:t>
            </w:r>
            <w:r w:rsidRPr="0025647E">
              <w:rPr>
                <w:rFonts w:cs="Arial"/>
                <w:sz w:val="16"/>
                <w:szCs w:val="16"/>
              </w:rPr>
              <w:t xml:space="preserve"> [LOE II GOR B]</w:t>
            </w:r>
          </w:p>
          <w:p w:rsidRPr="0025647E" w:rsidR="00347517" w:rsidP="00131848" w:rsidRDefault="00347517" w14:paraId="0078DC83" w14:textId="77777777">
            <w:pPr>
              <w:rPr>
                <w:rFonts w:asciiTheme="minorHAnsi" w:hAnsiTheme="minorHAnsi"/>
                <w:sz w:val="16"/>
                <w:szCs w:val="16"/>
                <w:vertAlign w:val="superscript"/>
              </w:rPr>
            </w:pPr>
            <w:r w:rsidRPr="0025647E">
              <w:rPr>
                <w:rFonts w:asciiTheme="minorHAnsi" w:hAnsiTheme="minorHAnsi"/>
                <w:sz w:val="16"/>
                <w:szCs w:val="16"/>
              </w:rPr>
              <w:t>There are case reports of the use of oral valganciclovir in extreme preterm infants.</w:t>
            </w:r>
            <w:r w:rsidRPr="0025647E">
              <w:rPr>
                <w:rFonts w:asciiTheme="minorHAnsi" w:hAnsiTheme="minorHAnsi"/>
                <w:sz w:val="16"/>
                <w:szCs w:val="16"/>
                <w:vertAlign w:val="superscript"/>
              </w:rPr>
              <w:t>9-12</w:t>
            </w:r>
          </w:p>
          <w:p w:rsidRPr="0025647E" w:rsidR="00347517" w:rsidP="00131848" w:rsidRDefault="00347517" w14:paraId="37B036F3" w14:textId="77777777">
            <w:pPr>
              <w:rPr>
                <w:rFonts w:cs="Arial" w:asciiTheme="minorHAnsi" w:hAnsiTheme="minorHAnsi"/>
                <w:sz w:val="16"/>
                <w:szCs w:val="16"/>
              </w:rPr>
            </w:pPr>
          </w:p>
          <w:p w:rsidRPr="0025647E" w:rsidR="00347517" w:rsidP="00131848" w:rsidRDefault="00347517" w14:paraId="7E38EC4E" w14:textId="77777777">
            <w:pPr>
              <w:spacing w:after="120"/>
              <w:rPr>
                <w:rFonts w:cs="Arial"/>
                <w:b/>
                <w:sz w:val="16"/>
                <w:szCs w:val="16"/>
              </w:rPr>
            </w:pPr>
            <w:r w:rsidRPr="0025647E">
              <w:rPr>
                <w:rFonts w:cs="Arial"/>
                <w:b/>
                <w:sz w:val="16"/>
                <w:szCs w:val="16"/>
              </w:rPr>
              <w:t>International Congenital Cytomegalovirus Recommendations Group:</w:t>
            </w:r>
            <w:r w:rsidRPr="0025647E">
              <w:rPr>
                <w:sz w:val="16"/>
                <w:szCs w:val="16"/>
              </w:rPr>
              <w:t xml:space="preserve"> Ganciclovir is now available as an oral prodrug, valganciclovir. A recent RCT now recommends valganciclovir treatment for congenitally-infected neonates ≥ 32 weeks of life, with moderate to severe symptomatic disease, to be commenced within the first month of life and for 6 months. Antiviral therapy should not be administered to neonates with asymptomatic congenital cytomegalovirus infections.  Antiviral therapy is not routinely recommended for asymptomatic congenital cytomegalovirus infection with isolated sensorineural hearing loss, or for neonates with mildly symptomatic congenital cytomegalovirus infection.</w:t>
            </w:r>
            <w:r w:rsidRPr="0025647E">
              <w:rPr>
                <w:rFonts w:cs="Arial"/>
                <w:noProof/>
                <w:sz w:val="16"/>
                <w:szCs w:val="16"/>
                <w:vertAlign w:val="superscript"/>
              </w:rPr>
              <w:t>4</w:t>
            </w:r>
            <w:r w:rsidRPr="0025647E">
              <w:rPr>
                <w:rFonts w:cs="Arial"/>
                <w:sz w:val="16"/>
                <w:szCs w:val="16"/>
              </w:rPr>
              <w:t xml:space="preserve">  [LOE II, GOR B]</w:t>
            </w:r>
          </w:p>
          <w:p w:rsidRPr="0025647E" w:rsidR="00347517" w:rsidP="00131848" w:rsidRDefault="00347517" w14:paraId="68CE6472" w14:textId="77777777">
            <w:pPr>
              <w:rPr>
                <w:rFonts w:cs="Arial"/>
                <w:b/>
                <w:sz w:val="16"/>
                <w:szCs w:val="16"/>
              </w:rPr>
            </w:pPr>
            <w:r w:rsidRPr="0025647E">
              <w:rPr>
                <w:rFonts w:cs="Arial"/>
                <w:b/>
                <w:sz w:val="16"/>
                <w:szCs w:val="16"/>
              </w:rPr>
              <w:t>Pharmacokinetics:</w:t>
            </w:r>
          </w:p>
          <w:p w:rsidRPr="0025647E" w:rsidR="00347517" w:rsidP="00131848" w:rsidRDefault="00347517" w14:paraId="50F049D9" w14:textId="77777777">
            <w:pPr>
              <w:rPr>
                <w:rFonts w:cs="Arial"/>
                <w:sz w:val="16"/>
                <w:szCs w:val="16"/>
              </w:rPr>
            </w:pPr>
            <w:r w:rsidRPr="0025647E">
              <w:rPr>
                <w:rFonts w:cs="Arial"/>
                <w:sz w:val="16"/>
                <w:szCs w:val="16"/>
              </w:rPr>
              <w:t xml:space="preserve">A pharmacokinetic study showed that oral valganciclovir 16 mg/kg </w:t>
            </w:r>
            <w:r w:rsidRPr="0025647E">
              <w:rPr>
                <w:rFonts w:eastAsia="Calibri" w:cs="Segoe UI"/>
                <w:sz w:val="16"/>
                <w:szCs w:val="16"/>
                <w:lang w:eastAsia="en-AU"/>
              </w:rPr>
              <w:t>every 12 hours</w:t>
            </w:r>
            <w:r w:rsidRPr="0025647E">
              <w:rPr>
                <w:rFonts w:cs="Arial"/>
                <w:sz w:val="16"/>
                <w:szCs w:val="16"/>
              </w:rPr>
              <w:t xml:space="preserve"> achieved similar concentrations to IV ganciclovir 6 mg/kg </w:t>
            </w:r>
            <w:r w:rsidRPr="0025647E">
              <w:rPr>
                <w:rFonts w:eastAsia="Calibri" w:cs="Segoe UI"/>
                <w:sz w:val="16"/>
                <w:szCs w:val="16"/>
                <w:lang w:eastAsia="en-AU"/>
              </w:rPr>
              <w:t>every 12 hours</w:t>
            </w:r>
            <w:r w:rsidRPr="0025647E">
              <w:rPr>
                <w:rFonts w:cs="Arial"/>
                <w:sz w:val="16"/>
                <w:szCs w:val="16"/>
              </w:rPr>
              <w:t>. Only a marginal decrease in AUC</w:t>
            </w:r>
            <w:r w:rsidRPr="0025647E">
              <w:rPr>
                <w:rFonts w:cs="Arial"/>
                <w:sz w:val="16"/>
                <w:szCs w:val="16"/>
                <w:vertAlign w:val="subscript"/>
              </w:rPr>
              <w:t>12</w:t>
            </w:r>
            <w:r w:rsidRPr="0025647E">
              <w:rPr>
                <w:rFonts w:cs="Arial"/>
                <w:sz w:val="16"/>
                <w:szCs w:val="16"/>
              </w:rPr>
              <w:t xml:space="preserve"> over time was noted after administration of </w:t>
            </w:r>
            <w:r w:rsidRPr="0025647E">
              <w:rPr>
                <w:rFonts w:cs="Arial"/>
                <w:sz w:val="16"/>
                <w:szCs w:val="16"/>
              </w:rPr>
              <w:lastRenderedPageBreak/>
              <w:t>the valganciclovir oral solution despite increased clearance, due to increased bioavailability, by 32% over the same period. The oral bioavailability of valganciclovir averaged 41.1% (95% CI, 30.8%–51.4%).</w:t>
            </w:r>
            <w:r w:rsidRPr="0025647E">
              <w:rPr>
                <w:rFonts w:cs="Arial"/>
                <w:noProof/>
                <w:sz w:val="16"/>
                <w:szCs w:val="16"/>
                <w:vertAlign w:val="superscript"/>
              </w:rPr>
              <w:t>5</w:t>
            </w:r>
            <w:r w:rsidRPr="0025647E">
              <w:rPr>
                <w:rFonts w:cs="Arial"/>
                <w:sz w:val="16"/>
                <w:szCs w:val="16"/>
              </w:rPr>
              <w:t xml:space="preserve"> [LOE III, GOR B]</w:t>
            </w:r>
          </w:p>
        </w:tc>
      </w:tr>
      <w:tr w:rsidRPr="003A7895" w:rsidR="00347517" w:rsidTr="008D48AE" w14:paraId="4774663C" w14:textId="77777777">
        <w:trPr>
          <w:trHeight w:val="108"/>
        </w:trPr>
        <w:tc>
          <w:tcPr>
            <w:tcW w:w="1730" w:type="dxa"/>
          </w:tcPr>
          <w:p w:rsidRPr="00B53E9B" w:rsidR="00347517" w:rsidP="00131848" w:rsidRDefault="00347517" w14:paraId="1ED3BE4A" w14:textId="77777777">
            <w:pPr>
              <w:pStyle w:val="BodyText"/>
              <w:rPr>
                <w:rFonts w:cs="Arial"/>
                <w:b/>
                <w:bCs/>
                <w:sz w:val="20"/>
              </w:rPr>
            </w:pPr>
            <w:r w:rsidRPr="00B53E9B">
              <w:rPr>
                <w:rFonts w:cs="Arial"/>
                <w:b/>
                <w:bCs/>
                <w:sz w:val="20"/>
              </w:rPr>
              <w:lastRenderedPageBreak/>
              <w:t>Practice points</w:t>
            </w:r>
          </w:p>
        </w:tc>
        <w:tc>
          <w:tcPr>
            <w:tcW w:w="7938" w:type="dxa"/>
          </w:tcPr>
          <w:p w:rsidRPr="0025647E" w:rsidR="00347517" w:rsidP="00131848" w:rsidRDefault="00347517" w14:paraId="3C37E5B7" w14:textId="77777777">
            <w:pPr>
              <w:pStyle w:val="BodyText"/>
              <w:tabs>
                <w:tab w:val="left" w:pos="1168"/>
              </w:tabs>
              <w:rPr>
                <w:rFonts w:cs="Arial"/>
                <w:sz w:val="16"/>
                <w:szCs w:val="16"/>
              </w:rPr>
            </w:pPr>
          </w:p>
        </w:tc>
      </w:tr>
      <w:tr w:rsidRPr="003A7895" w:rsidR="00347517" w:rsidTr="008D48AE" w14:paraId="642AF594" w14:textId="77777777">
        <w:trPr>
          <w:trHeight w:val="70"/>
        </w:trPr>
        <w:tc>
          <w:tcPr>
            <w:tcW w:w="1730" w:type="dxa"/>
          </w:tcPr>
          <w:p w:rsidRPr="00B53E9B" w:rsidR="00347517" w:rsidP="00131848" w:rsidRDefault="00347517" w14:paraId="5782F3F2" w14:textId="77777777">
            <w:pPr>
              <w:pStyle w:val="BodyText"/>
              <w:rPr>
                <w:rFonts w:cs="Arial"/>
                <w:b/>
                <w:bCs/>
                <w:sz w:val="20"/>
              </w:rPr>
            </w:pPr>
            <w:r w:rsidRPr="00B53E9B">
              <w:rPr>
                <w:b/>
                <w:sz w:val="20"/>
              </w:rPr>
              <w:t>References</w:t>
            </w:r>
          </w:p>
        </w:tc>
        <w:tc>
          <w:tcPr>
            <w:tcW w:w="7938" w:type="dxa"/>
          </w:tcPr>
          <w:p w:rsidRPr="0025647E" w:rsidR="00347517" w:rsidP="001B0E05" w:rsidRDefault="00347517" w14:paraId="55D5772F" w14:textId="77777777">
            <w:pPr>
              <w:pStyle w:val="EndNoteBibliography"/>
              <w:numPr>
                <w:ilvl w:val="0"/>
                <w:numId w:val="46"/>
              </w:numPr>
              <w:rPr>
                <w:rFonts w:cs="Arial"/>
                <w:sz w:val="16"/>
                <w:szCs w:val="16"/>
              </w:rPr>
            </w:pPr>
            <w:r w:rsidRPr="0025647E">
              <w:rPr>
                <w:rFonts w:cs="Arial"/>
                <w:sz w:val="16"/>
                <w:szCs w:val="16"/>
              </w:rPr>
              <w:t>Kimberlin DW, Lin CY, Sanchez PJ, Demmler GJ, Dankner W, Shelton M, Jacobs RF, Vaudry W, Pass RF, Kiell JM, Soong SJ, Whitley RJ. Effect of ganciclovir therapy on hearing in symptomatic congenital cytomegalovirus disease involving the central nervous system: A randomized, controlled trial. Journal of Pediatrics. 2003;143:16-25.</w:t>
            </w:r>
          </w:p>
          <w:p w:rsidRPr="0025647E" w:rsidR="00347517" w:rsidP="001B0E05" w:rsidRDefault="00347517" w14:paraId="794A31F8" w14:textId="77777777">
            <w:pPr>
              <w:pStyle w:val="EndNoteBibliography"/>
              <w:numPr>
                <w:ilvl w:val="0"/>
                <w:numId w:val="46"/>
              </w:numPr>
              <w:rPr>
                <w:rFonts w:cs="Arial"/>
                <w:sz w:val="16"/>
                <w:szCs w:val="16"/>
              </w:rPr>
            </w:pPr>
            <w:r w:rsidRPr="0025647E">
              <w:rPr>
                <w:rFonts w:cs="Arial"/>
                <w:sz w:val="16"/>
                <w:szCs w:val="16"/>
              </w:rPr>
              <w:t>Oliver SE, Cloud GA, Sanchez PJ, Demmler GJ, Dankner W, Shelton M, Jacobs RF, Vaudry W, Pass RF, Soong Sj, Whitley RJ, Kimberlin DW. Neurodevelopmental outcomes following ganciclovir therapy in symptomatic congenital cytomegalovirus infections involving the central nervous system. Journal of Clinical Virology. 2009;46:S22-S6.</w:t>
            </w:r>
          </w:p>
          <w:p w:rsidRPr="0025647E" w:rsidR="00347517" w:rsidP="001B0E05" w:rsidRDefault="00347517" w14:paraId="2E6BE683" w14:textId="77777777">
            <w:pPr>
              <w:pStyle w:val="EndNoteBibliography"/>
              <w:numPr>
                <w:ilvl w:val="0"/>
                <w:numId w:val="46"/>
              </w:numPr>
              <w:rPr>
                <w:rFonts w:cs="Arial"/>
                <w:sz w:val="16"/>
                <w:szCs w:val="16"/>
              </w:rPr>
            </w:pPr>
            <w:r w:rsidRPr="0025647E">
              <w:rPr>
                <w:rFonts w:cs="Arial"/>
                <w:sz w:val="16"/>
                <w:szCs w:val="16"/>
              </w:rPr>
              <w:t>Kimberlin DW, Jester PM, Sanchez PJ, Ahmed A, Arav-Boger R, Michaels MG, Ashouri N, Englund JA, Estrada B, Jacobs RF, Romero JR, Sood SK, Whitworth MS, Abzug MJ, Caserta MT, Fowler S, Lujan-Zilbermann J, Storch GA, DeBiasi RL, Han JY, Palmer A, Weiner LB, Bocchini JA, Dennehy PH, Finn A, Griffiths PD, Luck S, Gutierrez K, Halasa N, Homans J, Shane AL, Sharland M, Simonsen K, Vanchiere JA, Woods CR, Sabo DL, Aban I, Kuo H, James SH, Prichard MN, Griffin J, Giles D, Acosta EP, Whitley RJ. Valganciclovir for symptomatic congenital cytomegalovirus disease. New England Journal of Medicine. 2015;372:933-43.</w:t>
            </w:r>
          </w:p>
          <w:p w:rsidRPr="0025647E" w:rsidR="00347517" w:rsidP="001B0E05" w:rsidRDefault="00347517" w14:paraId="7C770D52" w14:textId="77777777">
            <w:pPr>
              <w:pStyle w:val="EndNoteBibliography"/>
              <w:numPr>
                <w:ilvl w:val="0"/>
                <w:numId w:val="46"/>
              </w:numPr>
              <w:rPr>
                <w:rFonts w:cs="Arial"/>
                <w:sz w:val="16"/>
                <w:szCs w:val="16"/>
              </w:rPr>
            </w:pPr>
            <w:r w:rsidRPr="0025647E">
              <w:rPr>
                <w:rFonts w:cs="Arial"/>
                <w:sz w:val="16"/>
                <w:szCs w:val="16"/>
              </w:rPr>
              <w:t>Rawlinson WD, Boppana SB, Fowler KB, Kimberlin DW, Lazzarotto T, Alain S, Daly K, Doutre S, Gibson L, Giles ML, Greenlee J, Hamilton ST, Harrison GJ, Hui L, Jones CA, Palasanthiran P, Schleiss MR, Shand AW, van Zuylen WJ. Congenital cytomegalovirus infection in pregnancy and the neonate: consensus recommendations for prevention, diagnosis, and therapy. The Lancet Infectious Diseases. 2017;17:e177-e88.</w:t>
            </w:r>
          </w:p>
          <w:p w:rsidRPr="0025647E" w:rsidR="00347517" w:rsidP="001B0E05" w:rsidRDefault="00347517" w14:paraId="7E470BE8" w14:textId="77777777">
            <w:pPr>
              <w:pStyle w:val="EndNoteBibliography"/>
              <w:numPr>
                <w:ilvl w:val="0"/>
                <w:numId w:val="46"/>
              </w:numPr>
              <w:rPr>
                <w:rFonts w:cs="Arial"/>
                <w:sz w:val="16"/>
                <w:szCs w:val="16"/>
              </w:rPr>
            </w:pPr>
            <w:r w:rsidRPr="0025647E">
              <w:rPr>
                <w:rFonts w:cs="Arial"/>
                <w:sz w:val="16"/>
                <w:szCs w:val="16"/>
              </w:rPr>
              <w:t>Kimberlin DW, Acosta EP, Sanchez PJ, Sood S, Agrawal V, Homans J, Jacobs RF, Lang D, Romero JR, Griffin J, Cloud GA, Lakeman FD, Whitley RJ, National Institute of A, Infectious Diseases Collaborative Antiviral Study G. Pharmacokinetic and pharmacodynamic assessment of oral valganciclovir in the treatment of symptomatic congenital cytomegalovirus disease. J Infect Dis. 2008;197:836-45.5. SHPA, Ganciclovir monograph, Australian Injectable Handbook 7</w:t>
            </w:r>
            <w:r w:rsidRPr="0025647E">
              <w:rPr>
                <w:rFonts w:cs="Arial"/>
                <w:sz w:val="16"/>
                <w:szCs w:val="16"/>
                <w:vertAlign w:val="superscript"/>
              </w:rPr>
              <w:t>th</w:t>
            </w:r>
            <w:r w:rsidRPr="0025647E">
              <w:rPr>
                <w:rFonts w:cs="Arial"/>
                <w:sz w:val="16"/>
                <w:szCs w:val="16"/>
              </w:rPr>
              <w:t xml:space="preserve"> Ed, 2017.</w:t>
            </w:r>
          </w:p>
          <w:p w:rsidRPr="0025647E" w:rsidR="00347517" w:rsidP="001B0E05" w:rsidRDefault="00347517" w14:paraId="06A0ACB6" w14:textId="77777777">
            <w:pPr>
              <w:pStyle w:val="EndNoteBibliography"/>
              <w:numPr>
                <w:ilvl w:val="0"/>
                <w:numId w:val="46"/>
              </w:numPr>
              <w:rPr>
                <w:rFonts w:cs="Arial"/>
                <w:sz w:val="16"/>
                <w:szCs w:val="16"/>
              </w:rPr>
            </w:pPr>
            <w:r w:rsidRPr="0025647E">
              <w:rPr>
                <w:rFonts w:cs="Arial"/>
                <w:sz w:val="16"/>
                <w:szCs w:val="16"/>
              </w:rPr>
              <w:t>Roche, Valcyte monograph, MIMs, 2017.</w:t>
            </w:r>
          </w:p>
          <w:p w:rsidRPr="0025647E" w:rsidR="00347517" w:rsidP="001B0E05" w:rsidRDefault="00347517" w14:paraId="5D0E651B" w14:textId="77777777">
            <w:pPr>
              <w:pStyle w:val="EndNoteBibliography"/>
              <w:numPr>
                <w:ilvl w:val="0"/>
                <w:numId w:val="46"/>
              </w:numPr>
              <w:rPr>
                <w:rFonts w:cs="Arial"/>
                <w:sz w:val="16"/>
                <w:szCs w:val="16"/>
              </w:rPr>
            </w:pPr>
            <w:r w:rsidRPr="0025647E">
              <w:rPr>
                <w:rFonts w:cs="Arial"/>
                <w:sz w:val="16"/>
                <w:szCs w:val="16"/>
              </w:rPr>
              <w:t>Roche, Cymevene monograph, MIMs, 2017.</w:t>
            </w:r>
          </w:p>
          <w:p w:rsidRPr="0025647E" w:rsidR="00347517" w:rsidP="001B0E05" w:rsidRDefault="00347517" w14:paraId="0C49B659" w14:textId="77777777">
            <w:pPr>
              <w:pStyle w:val="EndNoteBibliography"/>
              <w:numPr>
                <w:ilvl w:val="0"/>
                <w:numId w:val="46"/>
              </w:numPr>
              <w:rPr>
                <w:rFonts w:cs="Arial"/>
                <w:sz w:val="16"/>
                <w:szCs w:val="16"/>
              </w:rPr>
            </w:pPr>
            <w:r w:rsidRPr="0025647E">
              <w:rPr>
                <w:rFonts w:cs="Arial"/>
                <w:sz w:val="16"/>
                <w:szCs w:val="16"/>
              </w:rPr>
              <w:t xml:space="preserve">Trissel's 2 Clinical Pharmaceutics Database (Parenteral Compatibility), Ganciclovir monograph, accessed via Micromedex, 26/07/2017. </w:t>
            </w:r>
          </w:p>
          <w:p w:rsidRPr="0025647E" w:rsidR="00347517" w:rsidP="001B0E05" w:rsidRDefault="00347517" w14:paraId="02E51947" w14:textId="77777777">
            <w:pPr>
              <w:pStyle w:val="EndNoteBibliography"/>
              <w:numPr>
                <w:ilvl w:val="0"/>
                <w:numId w:val="46"/>
              </w:numPr>
              <w:rPr>
                <w:rFonts w:cs="Arial"/>
                <w:sz w:val="16"/>
                <w:szCs w:val="16"/>
              </w:rPr>
            </w:pPr>
            <w:r w:rsidRPr="0025647E">
              <w:rPr>
                <w:rFonts w:cs="Arial"/>
                <w:sz w:val="16"/>
                <w:szCs w:val="16"/>
              </w:rPr>
              <w:t>El-Sayed MF, Goldfarb DM, Fulford M, Pernica JM. Severe late-onset multisystem cytomegalovirus infection in a premature neonate previously treated for congenital infection. BMC Pediatr. 2013;13:142.</w:t>
            </w:r>
          </w:p>
          <w:p w:rsidRPr="0025647E" w:rsidR="00347517" w:rsidP="001B0E05" w:rsidRDefault="00347517" w14:paraId="2A075AF6" w14:textId="77777777">
            <w:pPr>
              <w:pStyle w:val="EndNoteBibliography"/>
              <w:numPr>
                <w:ilvl w:val="0"/>
                <w:numId w:val="46"/>
              </w:numPr>
              <w:rPr>
                <w:rFonts w:cs="Arial"/>
                <w:sz w:val="16"/>
                <w:szCs w:val="16"/>
              </w:rPr>
            </w:pPr>
            <w:r w:rsidRPr="0025647E">
              <w:rPr>
                <w:rFonts w:cs="Arial"/>
                <w:sz w:val="16"/>
                <w:szCs w:val="16"/>
              </w:rPr>
              <w:t>Fischer C, Meylan P, Bickle Graz M, Gudinchet F, Vaudaux B, Berger C, Roth-Kleiner M. Severe postnatally acquired cytomegalovirus infection presenting with colitis, pneumonitis and sepsis-like syndrome in an extremely low birthweight infant. Neonatology. 2010;97:339-45.</w:t>
            </w:r>
          </w:p>
          <w:p w:rsidRPr="0025647E" w:rsidR="00347517" w:rsidP="001B0E05" w:rsidRDefault="00347517" w14:paraId="7739629D" w14:textId="77777777">
            <w:pPr>
              <w:pStyle w:val="EndNoteBibliography"/>
              <w:numPr>
                <w:ilvl w:val="0"/>
                <w:numId w:val="46"/>
              </w:numPr>
              <w:rPr>
                <w:rFonts w:cs="Arial"/>
                <w:sz w:val="16"/>
                <w:szCs w:val="16"/>
              </w:rPr>
            </w:pPr>
            <w:r w:rsidRPr="0025647E">
              <w:rPr>
                <w:rFonts w:cs="Arial"/>
                <w:sz w:val="16"/>
                <w:szCs w:val="16"/>
              </w:rPr>
              <w:t>Mehler K, Oberthuer A, Lang-Roth R, Kribs A. High rate of symptomatic cytomegalovirus infection in extremely low gestational age preterm infants of 22-24 weeks' gestation after transmission via breast milk. Neonatology. 2014;105:27-32.</w:t>
            </w:r>
          </w:p>
          <w:p w:rsidRPr="0025647E" w:rsidR="00347517" w:rsidP="001B0E05" w:rsidRDefault="00347517" w14:paraId="6F890A4F" w14:textId="77777777">
            <w:pPr>
              <w:pStyle w:val="EndNoteBibliography"/>
              <w:numPr>
                <w:ilvl w:val="0"/>
                <w:numId w:val="46"/>
              </w:numPr>
              <w:rPr>
                <w:rFonts w:cs="Arial"/>
                <w:sz w:val="16"/>
                <w:szCs w:val="16"/>
              </w:rPr>
            </w:pPr>
            <w:r w:rsidRPr="0025647E">
              <w:rPr>
                <w:rFonts w:cs="Arial"/>
                <w:sz w:val="16"/>
                <w:szCs w:val="16"/>
              </w:rPr>
              <w:t>Muller A, Eis-Hubinger AM, Brandhorst G, Heep A, Bartmann P, Franz AR. Oral valganciclovir for symptomatic congenital cytomegalovirus infection in an extremely low birth weight infant. J Perinatol. 2008;28:74-6.</w:t>
            </w:r>
          </w:p>
          <w:p w:rsidRPr="0025647E" w:rsidR="00347517" w:rsidP="001B0E05" w:rsidRDefault="00347517" w14:paraId="775D5A7A" w14:textId="77777777">
            <w:pPr>
              <w:pStyle w:val="EndNoteBibliography"/>
              <w:numPr>
                <w:ilvl w:val="0"/>
                <w:numId w:val="46"/>
              </w:numPr>
              <w:rPr>
                <w:rFonts w:cs="Arial"/>
                <w:sz w:val="16"/>
                <w:szCs w:val="16"/>
              </w:rPr>
            </w:pPr>
            <w:r w:rsidRPr="0025647E">
              <w:rPr>
                <w:rFonts w:cs="Arial"/>
                <w:sz w:val="16"/>
                <w:szCs w:val="16"/>
              </w:rPr>
              <w:t>Nguyen T, Oualha M, Briand C, et al. Population Pharmacokinetics of Intravenous Ganciclovir and Oral Valganciclovir in a Pediatric Population To Optimize Dosing Regimens. Antimicrob Agents Chemother. 2021 Feb 17;65(3):e02254-20.</w:t>
            </w:r>
          </w:p>
          <w:p w:rsidRPr="0025647E" w:rsidR="00347517" w:rsidP="001B0E05" w:rsidRDefault="00347517" w14:paraId="5364FC2C" w14:textId="77777777">
            <w:pPr>
              <w:pStyle w:val="EndNoteBibliography"/>
              <w:numPr>
                <w:ilvl w:val="0"/>
                <w:numId w:val="46"/>
              </w:numPr>
              <w:rPr>
                <w:rFonts w:cs="Arial"/>
                <w:sz w:val="16"/>
                <w:szCs w:val="16"/>
              </w:rPr>
            </w:pPr>
            <w:r w:rsidRPr="0025647E">
              <w:rPr>
                <w:rFonts w:cs="Arial"/>
                <w:sz w:val="16"/>
                <w:szCs w:val="16"/>
              </w:rPr>
              <w:t>Valcyte. Product information. Accessed via MIMS online on 21 May 2021.</w:t>
            </w:r>
          </w:p>
        </w:tc>
      </w:tr>
    </w:tbl>
    <w:p w:rsidR="000F3F24" w:rsidP="006F0321" w:rsidRDefault="000F3F24" w14:paraId="42E2F7C8" w14:textId="77777777"/>
    <w:p w:rsidR="000F3F24" w:rsidP="006F0321" w:rsidRDefault="000F3F24" w14:paraId="32DC0DA3" w14:textId="77777777"/>
    <w:tbl>
      <w:tblPr>
        <w:tblW w:w="90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414C29" w:rsidR="000F3F24" w:rsidTr="00943338" w14:paraId="04FF9325" w14:textId="77777777">
        <w:tc>
          <w:tcPr>
            <w:tcW w:w="4535" w:type="dxa"/>
            <w:vAlign w:val="center"/>
          </w:tcPr>
          <w:p w:rsidRPr="00414C29" w:rsidR="000F3F24" w:rsidP="00943338" w:rsidRDefault="000F3F24" w14:paraId="3F03F437" w14:textId="77777777">
            <w:r w:rsidRPr="00414C29">
              <w:t xml:space="preserve">Original version Date: </w:t>
            </w:r>
            <w:r>
              <w:t>18/09/2017</w:t>
            </w:r>
          </w:p>
        </w:tc>
        <w:tc>
          <w:tcPr>
            <w:tcW w:w="4535" w:type="dxa"/>
            <w:vAlign w:val="center"/>
          </w:tcPr>
          <w:p w:rsidRPr="00414C29" w:rsidR="000F3F24" w:rsidP="00943338" w:rsidRDefault="000F3F24" w14:paraId="15BCBF32" w14:textId="77777777">
            <w:r w:rsidRPr="00414C29">
              <w:t>Author:</w:t>
            </w:r>
            <w:r>
              <w:t xml:space="preserve"> Jing</w:t>
            </w:r>
            <w:r w:rsidRPr="00414C29">
              <w:t xml:space="preserve"> Xiao </w:t>
            </w:r>
          </w:p>
        </w:tc>
      </w:tr>
      <w:tr w:rsidRPr="00414C29" w:rsidR="000F3F24" w:rsidTr="00943338" w14:paraId="0C80FEC0" w14:textId="77777777">
        <w:tc>
          <w:tcPr>
            <w:tcW w:w="4535" w:type="dxa"/>
            <w:vAlign w:val="center"/>
          </w:tcPr>
          <w:p w:rsidRPr="00414C29" w:rsidR="000F3F24" w:rsidP="00943338" w:rsidRDefault="000F3F24" w14:paraId="5BBCABD6" w14:textId="370B0515">
            <w:pPr>
              <w:rPr>
                <w:bCs/>
              </w:rPr>
            </w:pPr>
            <w:r w:rsidRPr="00414C29">
              <w:t xml:space="preserve">Current Version number:  </w:t>
            </w:r>
            <w:r w:rsidR="0025647E">
              <w:t>2</w:t>
            </w:r>
          </w:p>
        </w:tc>
        <w:tc>
          <w:tcPr>
            <w:tcW w:w="4535" w:type="dxa"/>
            <w:vAlign w:val="center"/>
          </w:tcPr>
          <w:p w:rsidRPr="00414C29" w:rsidR="000F3F24" w:rsidP="00943338" w:rsidRDefault="000F3F24" w14:paraId="70190FD3" w14:textId="51F0CB30">
            <w:r w:rsidRPr="00414C29">
              <w:t xml:space="preserve">Current Version Date:  </w:t>
            </w:r>
            <w:r w:rsidR="000A66DB">
              <w:t>9-6-2021</w:t>
            </w:r>
          </w:p>
        </w:tc>
      </w:tr>
      <w:tr w:rsidRPr="00414C29" w:rsidR="000F3F24" w:rsidTr="00943338" w14:paraId="1D22C92D" w14:textId="77777777">
        <w:tc>
          <w:tcPr>
            <w:tcW w:w="4535" w:type="dxa"/>
            <w:vAlign w:val="center"/>
          </w:tcPr>
          <w:p w:rsidRPr="00414C29" w:rsidR="000F3F24" w:rsidP="00943338" w:rsidRDefault="000F3F24" w14:paraId="4BB9D135" w14:textId="77777777">
            <w:r w:rsidRPr="00414C29">
              <w:t xml:space="preserve">Risk Rating: </w:t>
            </w:r>
            <w:r>
              <w:t>Medium</w:t>
            </w:r>
          </w:p>
        </w:tc>
        <w:tc>
          <w:tcPr>
            <w:tcW w:w="4535" w:type="dxa"/>
            <w:vAlign w:val="center"/>
          </w:tcPr>
          <w:p w:rsidRPr="00414C29" w:rsidR="000F3F24" w:rsidP="00943338" w:rsidRDefault="000F3F24" w14:paraId="329BC6B5" w14:textId="03D09B7D">
            <w:r w:rsidRPr="00414C29">
              <w:t xml:space="preserve">Due for Review: </w:t>
            </w:r>
            <w:r w:rsidR="000A66DB">
              <w:t>9-6-2026</w:t>
            </w:r>
          </w:p>
        </w:tc>
      </w:tr>
      <w:tr w:rsidRPr="00414C29" w:rsidR="000F3F24" w:rsidTr="00943338" w14:paraId="740B4F3E" w14:textId="77777777">
        <w:trPr>
          <w:trHeight w:val="344"/>
        </w:trPr>
        <w:tc>
          <w:tcPr>
            <w:tcW w:w="4535" w:type="dxa"/>
            <w:tcBorders>
              <w:bottom w:val="single" w:color="auto" w:sz="4" w:space="0"/>
            </w:tcBorders>
            <w:vAlign w:val="center"/>
          </w:tcPr>
          <w:p w:rsidRPr="00414C29" w:rsidR="000F3F24" w:rsidP="00943338" w:rsidRDefault="000F3F24" w14:paraId="5A8C7865" w14:textId="77777777">
            <w:r w:rsidRPr="00414C29">
              <w:t xml:space="preserve">Approval by: </w:t>
            </w:r>
            <w:r>
              <w:t>DTC</w:t>
            </w:r>
          </w:p>
        </w:tc>
        <w:tc>
          <w:tcPr>
            <w:tcW w:w="4535" w:type="dxa"/>
            <w:tcBorders>
              <w:bottom w:val="single" w:color="auto" w:sz="4" w:space="0"/>
            </w:tcBorders>
            <w:vAlign w:val="center"/>
          </w:tcPr>
          <w:p w:rsidRPr="00414C29" w:rsidR="000F3F24" w:rsidP="00943338" w:rsidRDefault="000F3F24" w14:paraId="59F3AB9B" w14:textId="7702FB68">
            <w:r w:rsidRPr="00414C29">
              <w:t>Approval Date:</w:t>
            </w:r>
            <w:r>
              <w:t xml:space="preserve"> </w:t>
            </w:r>
            <w:r w:rsidR="000A66DB">
              <w:t>June 2021</w:t>
            </w:r>
          </w:p>
        </w:tc>
      </w:tr>
    </w:tbl>
    <w:p w:rsidR="000F3F24" w:rsidP="006F0321" w:rsidRDefault="000F3F24" w14:paraId="70EBF9FA" w14:textId="77777777"/>
    <w:p w:rsidR="00115F48" w:rsidP="006F0321" w:rsidRDefault="00115F48" w14:paraId="7594EBD9" w14:textId="7732071C"/>
    <w:p w:rsidR="008D48AE" w:rsidP="006F0321" w:rsidRDefault="008D48AE" w14:paraId="5547A206" w14:textId="4B65683F"/>
    <w:p w:rsidR="008D48AE" w:rsidP="006F0321" w:rsidRDefault="008D48AE" w14:paraId="0C5D18CC" w14:textId="7D1349A7"/>
    <w:p w:rsidR="008D48AE" w:rsidP="006F0321" w:rsidRDefault="008D48AE" w14:paraId="67FD9370" w14:textId="7D4FD36E"/>
    <w:p w:rsidR="008D48AE" w:rsidP="006F0321" w:rsidRDefault="008D48AE" w14:paraId="7A6F3106" w14:textId="639890CD"/>
    <w:p w:rsidR="008D48AE" w:rsidP="006F0321" w:rsidRDefault="008D48AE" w14:paraId="6EF7F724" w14:textId="06A23F89"/>
    <w:p w:rsidRPr="00E25790" w:rsidR="008D48AE" w:rsidP="006F0321" w:rsidRDefault="008D48AE" w14:paraId="196C2298" w14:textId="77777777"/>
    <w:tbl>
      <w:tblPr>
        <w:tblW w:w="9049"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896"/>
      </w:tblGrid>
      <w:tr w:rsidRPr="00E25790" w:rsidR="00A62305" w:rsidTr="00943338" w14:paraId="79EFAE65" w14:textId="77777777">
        <w:trPr>
          <w:cantSplit/>
          <w:trHeight w:val="720"/>
        </w:trPr>
        <w:tc>
          <w:tcPr>
            <w:tcW w:w="9049" w:type="dxa"/>
            <w:gridSpan w:val="2"/>
            <w:shd w:val="clear" w:color="auto" w:fill="FF6600"/>
          </w:tcPr>
          <w:p w:rsidRPr="00A62305" w:rsidR="00A62305" w:rsidP="009469DB" w:rsidRDefault="00A62305" w14:paraId="646B0D72" w14:textId="77777777">
            <w:pPr>
              <w:pStyle w:val="Heading1"/>
            </w:pPr>
            <w:bookmarkStart w:name="_Toc38106940" w:id="588"/>
            <w:bookmarkStart w:name="_Toc75340054" w:id="589"/>
            <w:r w:rsidRPr="00A62305">
              <w:lastRenderedPageBreak/>
              <w:t>Vancomycin</w:t>
            </w:r>
            <w:r>
              <w:t>-Continuous</w:t>
            </w:r>
            <w:bookmarkEnd w:id="588"/>
            <w:bookmarkEnd w:id="589"/>
            <w:r w:rsidRPr="00A62305">
              <w:fldChar w:fldCharType="begin"/>
            </w:r>
            <w:r w:rsidRPr="00A62305">
              <w:instrText>tc "Vancomycin" \l 0</w:instrText>
            </w:r>
            <w:r w:rsidRPr="00A62305">
              <w:fldChar w:fldCharType="end"/>
            </w:r>
          </w:p>
        </w:tc>
      </w:tr>
      <w:tr w:rsidRPr="00E25790" w:rsidR="00A62305" w:rsidTr="00943338" w14:paraId="3B52FD92" w14:textId="77777777">
        <w:trPr>
          <w:cantSplit/>
          <w:trHeight w:val="480"/>
        </w:trPr>
        <w:tc>
          <w:tcPr>
            <w:tcW w:w="4153" w:type="dxa"/>
            <w:shd w:val="clear" w:color="auto" w:fill="FF6600"/>
          </w:tcPr>
          <w:p w:rsidRPr="00E25790" w:rsidR="00A62305" w:rsidP="006F0321" w:rsidRDefault="00A62305" w14:paraId="7B024CAD" w14:textId="6BC57DF8">
            <w:r w:rsidRPr="00E25790">
              <w:t>Revision Date</w:t>
            </w:r>
            <w:r w:rsidRPr="00E25790">
              <w:rPr>
                <w:b/>
              </w:rPr>
              <w:t xml:space="preserve"> : </w:t>
            </w:r>
            <w:r w:rsidR="005D210D">
              <w:rPr>
                <w:b/>
              </w:rPr>
              <w:t>16-11-2020</w:t>
            </w:r>
          </w:p>
        </w:tc>
        <w:tc>
          <w:tcPr>
            <w:tcW w:w="4896" w:type="dxa"/>
            <w:shd w:val="clear" w:color="auto" w:fill="FF6600"/>
          </w:tcPr>
          <w:p w:rsidRPr="00E25790" w:rsidR="00A62305" w:rsidP="006F0321" w:rsidRDefault="00A62305" w14:paraId="22448FF2" w14:textId="77777777">
            <w:r w:rsidRPr="00E25790">
              <w:t>Approved: TC, KOH</w:t>
            </w:r>
          </w:p>
        </w:tc>
      </w:tr>
    </w:tbl>
    <w:p w:rsidR="00115F48" w:rsidP="006F0321" w:rsidRDefault="00115F48" w14:paraId="79D6AEE4" w14:textId="77777777"/>
    <w:tbl>
      <w:tblPr>
        <w:tblW w:w="1035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02"/>
        <w:gridCol w:w="8051"/>
      </w:tblGrid>
      <w:tr w:rsidRPr="00C359C8" w:rsidR="00C359C8" w:rsidTr="00C359C8" w14:paraId="48E6C3C4" w14:textId="77777777">
        <w:tc>
          <w:tcPr>
            <w:tcW w:w="1730" w:type="dxa"/>
          </w:tcPr>
          <w:p w:rsidRPr="00C359C8" w:rsidR="00C359C8" w:rsidP="00C359C8" w:rsidRDefault="00C359C8" w14:paraId="48CBED8E" w14:textId="77777777">
            <w:pPr>
              <w:tabs>
                <w:tab w:val="center" w:pos="1476"/>
              </w:tabs>
              <w:overflowPunct w:val="0"/>
              <w:autoSpaceDE w:val="0"/>
              <w:autoSpaceDN w:val="0"/>
              <w:adjustRightInd w:val="0"/>
              <w:textAlignment w:val="baseline"/>
              <w:rPr>
                <w:rFonts w:cs="Arial"/>
                <w:b/>
                <w:sz w:val="22"/>
                <w:szCs w:val="22"/>
                <w:lang w:val="en-AU"/>
              </w:rPr>
            </w:pPr>
            <w:r w:rsidRPr="00C359C8">
              <w:rPr>
                <w:rFonts w:cs="Arial"/>
                <w:b/>
                <w:sz w:val="22"/>
                <w:szCs w:val="22"/>
                <w:lang w:val="en-AU"/>
              </w:rPr>
              <w:t>Alert</w:t>
            </w:r>
            <w:r w:rsidRPr="00C359C8">
              <w:rPr>
                <w:rFonts w:cs="Arial"/>
                <w:b/>
                <w:sz w:val="22"/>
                <w:szCs w:val="22"/>
                <w:lang w:val="en-AU"/>
              </w:rPr>
              <w:tab/>
            </w:r>
          </w:p>
          <w:p w:rsidRPr="00C359C8" w:rsidR="00C359C8" w:rsidP="00C359C8" w:rsidRDefault="00C359C8" w14:paraId="52653016" w14:textId="77777777">
            <w:pPr>
              <w:tabs>
                <w:tab w:val="center" w:pos="1476"/>
              </w:tabs>
              <w:overflowPunct w:val="0"/>
              <w:autoSpaceDE w:val="0"/>
              <w:autoSpaceDN w:val="0"/>
              <w:adjustRightInd w:val="0"/>
              <w:textAlignment w:val="baseline"/>
              <w:rPr>
                <w:rFonts w:cs="Arial"/>
                <w:b/>
                <w:sz w:val="20"/>
                <w:lang w:val="en-AU"/>
              </w:rPr>
            </w:pPr>
            <w:r w:rsidRPr="00C359C8">
              <w:rPr>
                <w:rFonts w:cs="Arial"/>
                <w:b/>
                <w:sz w:val="20"/>
                <w:lang w:val="en-AU"/>
              </w:rPr>
              <w:t xml:space="preserve"> </w:t>
            </w:r>
          </w:p>
        </w:tc>
        <w:tc>
          <w:tcPr>
            <w:tcW w:w="8623" w:type="dxa"/>
          </w:tcPr>
          <w:p w:rsidRPr="00C359C8" w:rsidR="00C359C8" w:rsidP="00C359C8" w:rsidRDefault="00C359C8" w14:paraId="0EF28B1F" w14:textId="77777777">
            <w:pPr>
              <w:overflowPunct w:val="0"/>
              <w:autoSpaceDE w:val="0"/>
              <w:autoSpaceDN w:val="0"/>
              <w:adjustRightInd w:val="0"/>
              <w:textAlignment w:val="baseline"/>
              <w:rPr>
                <w:sz w:val="20"/>
                <w:lang w:val="en-AU"/>
              </w:rPr>
            </w:pPr>
            <w:r w:rsidRPr="00C359C8">
              <w:rPr>
                <w:sz w:val="20"/>
                <w:lang w:val="en-AU"/>
              </w:rPr>
              <w:t>S4-High risk medicine.</w:t>
            </w:r>
          </w:p>
          <w:p w:rsidRPr="00C359C8" w:rsidR="00C359C8" w:rsidP="00C359C8" w:rsidRDefault="00C359C8" w14:paraId="09CFD08C" w14:textId="77777777">
            <w:pPr>
              <w:overflowPunct w:val="0"/>
              <w:autoSpaceDE w:val="0"/>
              <w:autoSpaceDN w:val="0"/>
              <w:adjustRightInd w:val="0"/>
              <w:textAlignment w:val="baseline"/>
              <w:rPr>
                <w:sz w:val="20"/>
                <w:lang w:val="en-AU"/>
              </w:rPr>
            </w:pPr>
            <w:r w:rsidRPr="00C359C8">
              <w:rPr>
                <w:sz w:val="20"/>
                <w:lang w:val="en-AU"/>
              </w:rPr>
              <w:t>Antimicrobial Stewardship Team recommends this drug is listed as Restricted.</w:t>
            </w:r>
          </w:p>
          <w:p w:rsidRPr="00C359C8" w:rsidR="00C359C8" w:rsidP="00C359C8" w:rsidRDefault="00C359C8" w14:paraId="04804BC0" w14:textId="77777777">
            <w:pPr>
              <w:overflowPunct w:val="0"/>
              <w:autoSpaceDE w:val="0"/>
              <w:autoSpaceDN w:val="0"/>
              <w:adjustRightInd w:val="0"/>
              <w:textAlignment w:val="baseline"/>
              <w:rPr>
                <w:sz w:val="20"/>
                <w:lang w:val="en-AU"/>
              </w:rPr>
            </w:pPr>
            <w:r w:rsidRPr="00C359C8">
              <w:rPr>
                <w:sz w:val="20"/>
                <w:lang w:val="en-AU"/>
              </w:rPr>
              <w:t xml:space="preserve">Continuous infusion regimen optimises achievement of steady state target concentration with fewer dose adjustments and a lower total daily dose in comparison to intermittent regimen. </w:t>
            </w:r>
          </w:p>
        </w:tc>
      </w:tr>
      <w:tr w:rsidRPr="00C359C8" w:rsidR="00C359C8" w:rsidTr="00C359C8" w14:paraId="09D19AE1" w14:textId="77777777">
        <w:trPr>
          <w:trHeight w:val="567"/>
        </w:trPr>
        <w:tc>
          <w:tcPr>
            <w:tcW w:w="1730" w:type="dxa"/>
          </w:tcPr>
          <w:p w:rsidRPr="00C359C8" w:rsidR="00C359C8" w:rsidP="00C359C8" w:rsidRDefault="00C359C8" w14:paraId="57F106D3"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Indication                         </w:t>
            </w:r>
          </w:p>
          <w:p w:rsidRPr="00C359C8" w:rsidR="00C359C8" w:rsidP="00C359C8" w:rsidRDefault="00C359C8" w14:paraId="549FB793" w14:textId="77777777">
            <w:pPr>
              <w:overflowPunct w:val="0"/>
              <w:autoSpaceDE w:val="0"/>
              <w:autoSpaceDN w:val="0"/>
              <w:adjustRightInd w:val="0"/>
              <w:textAlignment w:val="baseline"/>
              <w:rPr>
                <w:rFonts w:cs="Arial"/>
                <w:sz w:val="20"/>
                <w:lang w:val="en-AU"/>
              </w:rPr>
            </w:pPr>
          </w:p>
        </w:tc>
        <w:tc>
          <w:tcPr>
            <w:tcW w:w="8623" w:type="dxa"/>
          </w:tcPr>
          <w:p w:rsidRPr="00C359C8" w:rsidR="00C359C8" w:rsidP="00C359C8" w:rsidRDefault="00C359C8" w14:paraId="0E5263F6" w14:textId="77777777">
            <w:pPr>
              <w:rPr>
                <w:sz w:val="20"/>
                <w:lang w:val="en-AU"/>
              </w:rPr>
            </w:pPr>
            <w:r w:rsidRPr="00C359C8">
              <w:rPr>
                <w:sz w:val="20"/>
                <w:lang w:val="en-AU"/>
              </w:rPr>
              <w:t>Infections due to susceptible strains of Staphylococci (including MRSA), Streptococci, Enterococci, Diptheroids, Listeria monocytogenes, Actinomyces, Bacillus spp.</w:t>
            </w:r>
          </w:p>
        </w:tc>
      </w:tr>
      <w:tr w:rsidRPr="00C359C8" w:rsidR="00C359C8" w:rsidTr="00C359C8" w14:paraId="16253653" w14:textId="77777777">
        <w:trPr>
          <w:trHeight w:val="575"/>
        </w:trPr>
        <w:tc>
          <w:tcPr>
            <w:tcW w:w="1730" w:type="dxa"/>
          </w:tcPr>
          <w:p w:rsidRPr="00C359C8" w:rsidR="00C359C8" w:rsidP="00C359C8" w:rsidRDefault="00C359C8" w14:paraId="492F5A4B"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Action</w:t>
            </w:r>
          </w:p>
        </w:tc>
        <w:tc>
          <w:tcPr>
            <w:tcW w:w="8623" w:type="dxa"/>
          </w:tcPr>
          <w:p w:rsidRPr="00C359C8" w:rsidR="00C359C8" w:rsidP="00C359C8" w:rsidRDefault="00C359C8" w14:paraId="38A7BDB2" w14:textId="77777777">
            <w:pPr>
              <w:rPr>
                <w:rFonts w:cs="Arial"/>
                <w:sz w:val="20"/>
                <w:lang w:val="en-AU"/>
              </w:rPr>
            </w:pPr>
            <w:r w:rsidRPr="00C359C8">
              <w:rPr>
                <w:sz w:val="20"/>
                <w:lang w:val="en-AU"/>
              </w:rPr>
              <w:t>Bactericidal agent which interferes with cell wall synthesis, inhibits RNA synthesis and alters plasma membrane function.</w:t>
            </w:r>
          </w:p>
        </w:tc>
      </w:tr>
      <w:tr w:rsidRPr="00C359C8" w:rsidR="00C359C8" w:rsidTr="00C359C8" w14:paraId="31777393" w14:textId="77777777">
        <w:trPr>
          <w:trHeight w:val="272"/>
        </w:trPr>
        <w:tc>
          <w:tcPr>
            <w:tcW w:w="1730" w:type="dxa"/>
          </w:tcPr>
          <w:p w:rsidRPr="00C359C8" w:rsidR="00C359C8" w:rsidP="00C359C8" w:rsidRDefault="00C359C8" w14:paraId="2CA1CDC5" w14:textId="77777777">
            <w:pPr>
              <w:overflowPunct w:val="0"/>
              <w:autoSpaceDE w:val="0"/>
              <w:autoSpaceDN w:val="0"/>
              <w:adjustRightInd w:val="0"/>
              <w:textAlignment w:val="baseline"/>
              <w:rPr>
                <w:rFonts w:cs="Arial"/>
                <w:szCs w:val="24"/>
                <w:lang w:val="en-AU"/>
              </w:rPr>
            </w:pPr>
            <w:r w:rsidRPr="00C359C8">
              <w:rPr>
                <w:rFonts w:cs="Arial"/>
                <w:b/>
                <w:bCs/>
                <w:szCs w:val="24"/>
                <w:lang w:val="en-AU"/>
              </w:rPr>
              <w:t xml:space="preserve">Drug Type                                   </w:t>
            </w:r>
          </w:p>
        </w:tc>
        <w:tc>
          <w:tcPr>
            <w:tcW w:w="8623" w:type="dxa"/>
          </w:tcPr>
          <w:p w:rsidRPr="00C359C8" w:rsidR="00C359C8" w:rsidP="00C359C8" w:rsidRDefault="00C359C8" w14:paraId="565FBA35" w14:textId="77777777">
            <w:pPr>
              <w:overflowPunct w:val="0"/>
              <w:autoSpaceDE w:val="0"/>
              <w:autoSpaceDN w:val="0"/>
              <w:adjustRightInd w:val="0"/>
              <w:textAlignment w:val="baseline"/>
              <w:rPr>
                <w:rFonts w:cs="Arial"/>
                <w:sz w:val="20"/>
                <w:lang w:val="en-AU"/>
              </w:rPr>
            </w:pPr>
            <w:r w:rsidRPr="00C359C8">
              <w:rPr>
                <w:sz w:val="20"/>
                <w:lang w:val="en-AU"/>
              </w:rPr>
              <w:t>Glycopeptide antibiotic.</w:t>
            </w:r>
          </w:p>
        </w:tc>
      </w:tr>
      <w:tr w:rsidRPr="00C359C8" w:rsidR="00C359C8" w:rsidTr="00C359C8" w14:paraId="4672C9E6" w14:textId="77777777">
        <w:trPr>
          <w:trHeight w:val="405"/>
        </w:trPr>
        <w:tc>
          <w:tcPr>
            <w:tcW w:w="1730" w:type="dxa"/>
          </w:tcPr>
          <w:p w:rsidRPr="00C359C8" w:rsidR="00C359C8" w:rsidP="00C359C8" w:rsidRDefault="00C359C8" w14:paraId="4E998C98"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Trade Name                  </w:t>
            </w:r>
          </w:p>
        </w:tc>
        <w:tc>
          <w:tcPr>
            <w:tcW w:w="8623" w:type="dxa"/>
          </w:tcPr>
          <w:p w:rsidRPr="00C359C8" w:rsidR="00C359C8" w:rsidP="00C359C8" w:rsidRDefault="00C359C8" w14:paraId="73B373EA" w14:textId="77777777">
            <w:pPr>
              <w:overflowPunct w:val="0"/>
              <w:autoSpaceDE w:val="0"/>
              <w:autoSpaceDN w:val="0"/>
              <w:adjustRightInd w:val="0"/>
              <w:textAlignment w:val="baseline"/>
              <w:rPr>
                <w:rFonts w:cs="Arial"/>
                <w:sz w:val="20"/>
                <w:lang w:val="en-AU"/>
              </w:rPr>
            </w:pPr>
            <w:r w:rsidRPr="00C359C8">
              <w:rPr>
                <w:sz w:val="20"/>
                <w:lang w:val="en-AU"/>
              </w:rPr>
              <w:t>Vancomycin Sandoz Vycin.</w:t>
            </w:r>
            <w:r w:rsidRPr="00C359C8">
              <w:rPr>
                <w:sz w:val="20"/>
                <w:lang w:val="x-none"/>
              </w:rPr>
              <w:t xml:space="preserve"> DBL Vancomycin Hydrochloride, Vancocin CP, Vancomycin Alphapharm, Vancomycin AN powder for infusion.</w:t>
            </w:r>
          </w:p>
        </w:tc>
      </w:tr>
      <w:tr w:rsidRPr="00C359C8" w:rsidR="00C359C8" w:rsidTr="00C359C8" w14:paraId="18D3DD4F" w14:textId="77777777">
        <w:trPr>
          <w:trHeight w:val="370"/>
        </w:trPr>
        <w:tc>
          <w:tcPr>
            <w:tcW w:w="1730" w:type="dxa"/>
          </w:tcPr>
          <w:p w:rsidRPr="00C359C8" w:rsidR="00C359C8" w:rsidP="00C359C8" w:rsidRDefault="00C359C8" w14:paraId="3CB859FE"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Presentation </w:t>
            </w:r>
          </w:p>
        </w:tc>
        <w:tc>
          <w:tcPr>
            <w:tcW w:w="8623" w:type="dxa"/>
          </w:tcPr>
          <w:p w:rsidRPr="00C359C8" w:rsidR="00C359C8" w:rsidP="00C359C8" w:rsidRDefault="00C359C8" w14:paraId="07612C29" w14:textId="77777777">
            <w:pPr>
              <w:overflowPunct w:val="0"/>
              <w:autoSpaceDE w:val="0"/>
              <w:autoSpaceDN w:val="0"/>
              <w:adjustRightInd w:val="0"/>
              <w:ind w:left="34"/>
              <w:textAlignment w:val="baseline"/>
              <w:rPr>
                <w:rFonts w:cs="Arial"/>
                <w:sz w:val="20"/>
                <w:lang w:val="en-AU"/>
              </w:rPr>
            </w:pPr>
            <w:r w:rsidRPr="00C359C8">
              <w:rPr>
                <w:rFonts w:cs="Arial"/>
                <w:sz w:val="20"/>
                <w:lang w:val="en-AU"/>
              </w:rPr>
              <w:t>Vancomycin hydrochloride 500 mg vial</w:t>
            </w:r>
          </w:p>
          <w:p w:rsidRPr="00C359C8" w:rsidR="00C359C8" w:rsidP="00C359C8" w:rsidRDefault="00C359C8" w14:paraId="35E7CDED" w14:textId="77777777">
            <w:pPr>
              <w:overflowPunct w:val="0"/>
              <w:autoSpaceDE w:val="0"/>
              <w:autoSpaceDN w:val="0"/>
              <w:adjustRightInd w:val="0"/>
              <w:ind w:left="34"/>
              <w:textAlignment w:val="baseline"/>
              <w:rPr>
                <w:rFonts w:cs="Arial"/>
                <w:sz w:val="20"/>
                <w:lang w:val="en-AU"/>
              </w:rPr>
            </w:pPr>
            <w:r w:rsidRPr="00C359C8">
              <w:rPr>
                <w:rFonts w:cs="Arial"/>
                <w:sz w:val="20"/>
                <w:lang w:val="en-AU"/>
              </w:rPr>
              <w:t>Vancomycin hydrochloride 1000 mg vial</w:t>
            </w:r>
          </w:p>
        </w:tc>
      </w:tr>
      <w:tr w:rsidRPr="00C359C8" w:rsidR="00C359C8" w:rsidTr="00C359C8" w14:paraId="5672212C" w14:textId="77777777">
        <w:trPr>
          <w:trHeight w:val="3804"/>
        </w:trPr>
        <w:tc>
          <w:tcPr>
            <w:tcW w:w="1730" w:type="dxa"/>
          </w:tcPr>
          <w:p w:rsidRPr="00C359C8" w:rsidR="00C359C8" w:rsidP="00C359C8" w:rsidRDefault="00C359C8" w14:paraId="12DDDBDF"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Dosage / Interval                           </w:t>
            </w:r>
          </w:p>
          <w:p w:rsidRPr="00C359C8" w:rsidR="00C359C8" w:rsidP="00C359C8" w:rsidRDefault="00C359C8" w14:paraId="6448A804" w14:textId="77777777">
            <w:pPr>
              <w:overflowPunct w:val="0"/>
              <w:autoSpaceDE w:val="0"/>
              <w:autoSpaceDN w:val="0"/>
              <w:adjustRightInd w:val="0"/>
              <w:textAlignment w:val="baseline"/>
              <w:rPr>
                <w:rFonts w:cs="Arial"/>
                <w:sz w:val="20"/>
                <w:lang w:val="en-AU"/>
              </w:rPr>
            </w:pPr>
          </w:p>
        </w:tc>
        <w:tc>
          <w:tcPr>
            <w:tcW w:w="8623" w:type="dxa"/>
          </w:tcPr>
          <w:p w:rsidRPr="00C359C8" w:rsidR="00C359C8" w:rsidP="00C359C8" w:rsidRDefault="00C359C8" w14:paraId="52628F86" w14:textId="77777777">
            <w:pPr>
              <w:overflowPunct w:val="0"/>
              <w:autoSpaceDE w:val="0"/>
              <w:autoSpaceDN w:val="0"/>
              <w:adjustRightInd w:val="0"/>
              <w:textAlignment w:val="baseline"/>
              <w:rPr>
                <w:rFonts w:cs="Arial"/>
                <w:sz w:val="20"/>
                <w:lang w:val="en-AU"/>
              </w:rPr>
            </w:pPr>
            <w:r w:rsidRPr="00C359C8">
              <w:rPr>
                <w:rFonts w:cs="Arial"/>
                <w:sz w:val="20"/>
                <w:lang w:val="en-AU"/>
              </w:rPr>
              <w:t>Loading dose 15 mg/kg over 1 hour, immediately followed by</w:t>
            </w:r>
          </w:p>
          <w:p w:rsidRPr="00C359C8" w:rsidR="00C359C8" w:rsidP="00C359C8" w:rsidRDefault="00C359C8" w14:paraId="2A28DB00" w14:textId="77777777">
            <w:pPr>
              <w:overflowPunct w:val="0"/>
              <w:autoSpaceDE w:val="0"/>
              <w:autoSpaceDN w:val="0"/>
              <w:adjustRightInd w:val="0"/>
              <w:textAlignment w:val="baseline"/>
              <w:rPr>
                <w:rFonts w:cs="Arial"/>
                <w:sz w:val="20"/>
                <w:lang w:val="en-AU"/>
              </w:rPr>
            </w:pPr>
            <w:r w:rsidRPr="00C359C8">
              <w:rPr>
                <w:rFonts w:cs="Arial"/>
                <w:sz w:val="20"/>
                <w:lang w:val="en-AU"/>
              </w:rPr>
              <w:t>Continuous infusion as per the table below:*</w:t>
            </w:r>
          </w:p>
          <w:tbl>
            <w:tblPr>
              <w:tblW w:w="7796"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01"/>
              <w:gridCol w:w="1985"/>
              <w:gridCol w:w="4110"/>
            </w:tblGrid>
            <w:tr w:rsidRPr="00C359C8" w:rsidR="00C359C8" w:rsidTr="00FE4186" w14:paraId="3A075FED" w14:textId="77777777">
              <w:trPr>
                <w:trHeight w:val="256"/>
              </w:trPr>
              <w:tc>
                <w:tcPr>
                  <w:tcW w:w="1701" w:type="dxa"/>
                  <w:shd w:val="clear" w:color="auto" w:fill="auto"/>
                </w:tcPr>
                <w:p w:rsidRPr="00C359C8" w:rsidR="00C359C8" w:rsidP="00C359C8" w:rsidRDefault="00C359C8" w14:paraId="7C66683C" w14:textId="77777777">
                  <w:pPr>
                    <w:overflowPunct w:val="0"/>
                    <w:autoSpaceDE w:val="0"/>
                    <w:autoSpaceDN w:val="0"/>
                    <w:adjustRightInd w:val="0"/>
                    <w:textAlignment w:val="baseline"/>
                    <w:rPr>
                      <w:rFonts w:cs="Arial"/>
                      <w:sz w:val="20"/>
                      <w:lang w:val="en-AU"/>
                    </w:rPr>
                  </w:pPr>
                  <w:r w:rsidRPr="00C359C8">
                    <w:rPr>
                      <w:rFonts w:cs="Arial"/>
                      <w:sz w:val="20"/>
                      <w:lang w:val="en-AU"/>
                    </w:rPr>
                    <w:t>Serum Creatinine</w:t>
                  </w:r>
                </w:p>
                <w:p w:rsidRPr="00C359C8" w:rsidR="00C359C8" w:rsidP="00C359C8" w:rsidRDefault="00C359C8" w14:paraId="7FB9D2CF" w14:textId="77777777">
                  <w:pPr>
                    <w:overflowPunct w:val="0"/>
                    <w:autoSpaceDE w:val="0"/>
                    <w:autoSpaceDN w:val="0"/>
                    <w:adjustRightInd w:val="0"/>
                    <w:textAlignment w:val="baseline"/>
                    <w:rPr>
                      <w:rFonts w:cs="Arial"/>
                      <w:sz w:val="20"/>
                      <w:lang w:val="en-AU"/>
                    </w:rPr>
                  </w:pPr>
                  <w:r w:rsidRPr="00C359C8">
                    <w:rPr>
                      <w:rFonts w:cs="Arial"/>
                      <w:sz w:val="20"/>
                      <w:lang w:val="en-AU"/>
                    </w:rPr>
                    <w:t>(micromol/L)</w:t>
                  </w:r>
                </w:p>
              </w:tc>
              <w:tc>
                <w:tcPr>
                  <w:tcW w:w="1985" w:type="dxa"/>
                  <w:shd w:val="clear" w:color="auto" w:fill="auto"/>
                </w:tcPr>
                <w:p w:rsidRPr="00C359C8" w:rsidR="00C359C8" w:rsidP="00C359C8" w:rsidRDefault="00C359C8" w14:paraId="16D949B6" w14:textId="77777777">
                  <w:pPr>
                    <w:overflowPunct w:val="0"/>
                    <w:autoSpaceDE w:val="0"/>
                    <w:autoSpaceDN w:val="0"/>
                    <w:adjustRightInd w:val="0"/>
                    <w:textAlignment w:val="baseline"/>
                    <w:rPr>
                      <w:rFonts w:cs="Arial"/>
                      <w:sz w:val="20"/>
                      <w:lang w:val="en-AU"/>
                    </w:rPr>
                  </w:pPr>
                  <w:r w:rsidRPr="00C359C8">
                    <w:rPr>
                      <w:rFonts w:cs="Arial"/>
                      <w:sz w:val="20"/>
                      <w:lang w:val="en-AU"/>
                    </w:rPr>
                    <w:t>Corrected gestational age (CGA)</w:t>
                  </w:r>
                </w:p>
              </w:tc>
              <w:tc>
                <w:tcPr>
                  <w:tcW w:w="4110" w:type="dxa"/>
                  <w:shd w:val="clear" w:color="auto" w:fill="auto"/>
                </w:tcPr>
                <w:p w:rsidRPr="00C359C8" w:rsidR="00C359C8" w:rsidP="00C359C8" w:rsidRDefault="00C359C8" w14:paraId="28ED7DFF" w14:textId="77777777">
                  <w:pPr>
                    <w:overflowPunct w:val="0"/>
                    <w:autoSpaceDE w:val="0"/>
                    <w:autoSpaceDN w:val="0"/>
                    <w:adjustRightInd w:val="0"/>
                    <w:textAlignment w:val="baseline"/>
                    <w:rPr>
                      <w:rFonts w:cs="Arial"/>
                      <w:sz w:val="20"/>
                      <w:lang w:val="en-AU"/>
                    </w:rPr>
                  </w:pPr>
                  <w:r w:rsidRPr="00C359C8">
                    <w:rPr>
                      <w:rFonts w:cs="Arial"/>
                      <w:sz w:val="20"/>
                      <w:lang w:val="en-AU"/>
                    </w:rPr>
                    <w:t xml:space="preserve">Dose </w:t>
                  </w:r>
                </w:p>
              </w:tc>
            </w:tr>
            <w:tr w:rsidRPr="00C359C8" w:rsidR="00C359C8" w:rsidTr="00FE4186" w14:paraId="0A4FB07A" w14:textId="77777777">
              <w:trPr>
                <w:trHeight w:val="256"/>
              </w:trPr>
              <w:tc>
                <w:tcPr>
                  <w:tcW w:w="1701" w:type="dxa"/>
                  <w:shd w:val="clear" w:color="auto" w:fill="auto"/>
                </w:tcPr>
                <w:p w:rsidRPr="00C359C8" w:rsidR="00C359C8" w:rsidP="00C359C8" w:rsidRDefault="00C359C8" w14:paraId="47F7DB18" w14:textId="77777777">
                  <w:pPr>
                    <w:overflowPunct w:val="0"/>
                    <w:autoSpaceDE w:val="0"/>
                    <w:autoSpaceDN w:val="0"/>
                    <w:adjustRightInd w:val="0"/>
                    <w:textAlignment w:val="baseline"/>
                    <w:rPr>
                      <w:rFonts w:cs="Arial"/>
                      <w:sz w:val="20"/>
                      <w:lang w:val="en-AU"/>
                    </w:rPr>
                  </w:pPr>
                  <w:r w:rsidRPr="00C359C8">
                    <w:rPr>
                      <w:rFonts w:cs="Arial"/>
                      <w:sz w:val="20"/>
                      <w:lang w:val="en-AU"/>
                    </w:rPr>
                    <w:t>&lt;40</w:t>
                  </w:r>
                </w:p>
              </w:tc>
              <w:tc>
                <w:tcPr>
                  <w:tcW w:w="1985" w:type="dxa"/>
                  <w:shd w:val="clear" w:color="auto" w:fill="auto"/>
                </w:tcPr>
                <w:p w:rsidRPr="00C359C8" w:rsidR="00C359C8" w:rsidP="00C359C8" w:rsidRDefault="00C359C8" w14:paraId="0A9CF2F3" w14:textId="77777777">
                  <w:pPr>
                    <w:overflowPunct w:val="0"/>
                    <w:autoSpaceDE w:val="0"/>
                    <w:autoSpaceDN w:val="0"/>
                    <w:adjustRightInd w:val="0"/>
                    <w:textAlignment w:val="baseline"/>
                    <w:rPr>
                      <w:rFonts w:cs="Arial"/>
                      <w:sz w:val="20"/>
                      <w:lang w:val="en-AU"/>
                    </w:rPr>
                  </w:pPr>
                  <w:r w:rsidRPr="00C359C8">
                    <w:rPr>
                      <w:rFonts w:cs="Arial"/>
                      <w:sz w:val="20"/>
                      <w:lang w:val="en-AU"/>
                    </w:rPr>
                    <w:t>≥40 weeks</w:t>
                  </w:r>
                </w:p>
              </w:tc>
              <w:tc>
                <w:tcPr>
                  <w:tcW w:w="4110" w:type="dxa"/>
                  <w:shd w:val="clear" w:color="auto" w:fill="auto"/>
                </w:tcPr>
                <w:p w:rsidRPr="00C359C8" w:rsidR="00C359C8" w:rsidP="00C359C8" w:rsidRDefault="00C359C8" w14:paraId="422115D7" w14:textId="77777777">
                  <w:pPr>
                    <w:overflowPunct w:val="0"/>
                    <w:autoSpaceDE w:val="0"/>
                    <w:autoSpaceDN w:val="0"/>
                    <w:adjustRightInd w:val="0"/>
                    <w:textAlignment w:val="baseline"/>
                    <w:rPr>
                      <w:rFonts w:cs="Arial"/>
                      <w:sz w:val="20"/>
                      <w:lang w:val="en-AU"/>
                    </w:rPr>
                  </w:pPr>
                  <w:r w:rsidRPr="00C359C8">
                    <w:rPr>
                      <w:rFonts w:cs="Arial"/>
                      <w:b/>
                      <w:sz w:val="20"/>
                      <w:lang w:val="en-AU"/>
                    </w:rPr>
                    <w:t xml:space="preserve">2.1 mg/kg/hour </w:t>
                  </w:r>
                  <w:r w:rsidRPr="00C359C8">
                    <w:rPr>
                      <w:rFonts w:cs="Arial"/>
                      <w:sz w:val="20"/>
                      <w:lang w:val="en-AU"/>
                    </w:rPr>
                    <w:t>(equivalent to 50 mg/kg/day)</w:t>
                  </w:r>
                </w:p>
              </w:tc>
            </w:tr>
            <w:tr w:rsidRPr="00C359C8" w:rsidR="00C359C8" w:rsidTr="00FE4186" w14:paraId="48E90117" w14:textId="77777777">
              <w:trPr>
                <w:trHeight w:val="256"/>
              </w:trPr>
              <w:tc>
                <w:tcPr>
                  <w:tcW w:w="1701" w:type="dxa"/>
                  <w:shd w:val="clear" w:color="auto" w:fill="auto"/>
                </w:tcPr>
                <w:p w:rsidRPr="00C359C8" w:rsidR="00C359C8" w:rsidP="00C359C8" w:rsidRDefault="00C359C8" w14:paraId="2E31E3DB" w14:textId="77777777">
                  <w:pPr>
                    <w:overflowPunct w:val="0"/>
                    <w:autoSpaceDE w:val="0"/>
                    <w:autoSpaceDN w:val="0"/>
                    <w:adjustRightInd w:val="0"/>
                    <w:textAlignment w:val="baseline"/>
                    <w:rPr>
                      <w:rFonts w:cs="Arial"/>
                      <w:sz w:val="20"/>
                      <w:lang w:val="en-AU"/>
                    </w:rPr>
                  </w:pPr>
                  <w:r w:rsidRPr="00C359C8">
                    <w:rPr>
                      <w:rFonts w:cs="Arial"/>
                      <w:sz w:val="20"/>
                      <w:lang w:val="en-AU"/>
                    </w:rPr>
                    <w:t>&lt;40</w:t>
                  </w:r>
                </w:p>
              </w:tc>
              <w:tc>
                <w:tcPr>
                  <w:tcW w:w="1985" w:type="dxa"/>
                  <w:shd w:val="clear" w:color="auto" w:fill="auto"/>
                </w:tcPr>
                <w:p w:rsidRPr="00C359C8" w:rsidR="00C359C8" w:rsidP="00C359C8" w:rsidRDefault="00C359C8" w14:paraId="4AFF107D" w14:textId="77777777">
                  <w:pPr>
                    <w:overflowPunct w:val="0"/>
                    <w:autoSpaceDE w:val="0"/>
                    <w:autoSpaceDN w:val="0"/>
                    <w:adjustRightInd w:val="0"/>
                    <w:textAlignment w:val="baseline"/>
                    <w:rPr>
                      <w:rFonts w:cs="Arial"/>
                      <w:sz w:val="20"/>
                      <w:lang w:val="en-AU"/>
                    </w:rPr>
                  </w:pPr>
                  <w:r w:rsidRPr="00C359C8">
                    <w:rPr>
                      <w:rFonts w:cs="Arial"/>
                      <w:sz w:val="20"/>
                      <w:lang w:val="en-AU"/>
                    </w:rPr>
                    <w:t>&lt;40 weeks</w:t>
                  </w:r>
                </w:p>
              </w:tc>
              <w:tc>
                <w:tcPr>
                  <w:tcW w:w="4110" w:type="dxa"/>
                  <w:shd w:val="clear" w:color="auto" w:fill="auto"/>
                </w:tcPr>
                <w:p w:rsidRPr="00C359C8" w:rsidR="00C359C8" w:rsidP="00C359C8" w:rsidRDefault="00C359C8" w14:paraId="362873A3" w14:textId="77777777">
                  <w:pPr>
                    <w:overflowPunct w:val="0"/>
                    <w:autoSpaceDE w:val="0"/>
                    <w:autoSpaceDN w:val="0"/>
                    <w:adjustRightInd w:val="0"/>
                    <w:textAlignment w:val="baseline"/>
                    <w:rPr>
                      <w:rFonts w:cs="Arial"/>
                      <w:sz w:val="20"/>
                      <w:lang w:val="en-AU"/>
                    </w:rPr>
                  </w:pPr>
                  <w:r w:rsidRPr="00C359C8">
                    <w:rPr>
                      <w:rFonts w:cs="Arial"/>
                      <w:b/>
                      <w:sz w:val="20"/>
                      <w:lang w:val="en-AU"/>
                    </w:rPr>
                    <w:t xml:space="preserve">1.7 mg/kg/hour </w:t>
                  </w:r>
                  <w:r w:rsidRPr="00C359C8">
                    <w:rPr>
                      <w:rFonts w:cs="Arial"/>
                      <w:sz w:val="20"/>
                      <w:lang w:val="en-AU"/>
                    </w:rPr>
                    <w:t>(equivalent to 40 mg/kg/day)</w:t>
                  </w:r>
                </w:p>
              </w:tc>
            </w:tr>
            <w:tr w:rsidRPr="00C359C8" w:rsidR="00C359C8" w:rsidTr="00FE4186" w14:paraId="094EDF4B" w14:textId="77777777">
              <w:trPr>
                <w:trHeight w:val="256"/>
              </w:trPr>
              <w:tc>
                <w:tcPr>
                  <w:tcW w:w="1701" w:type="dxa"/>
                  <w:shd w:val="clear" w:color="auto" w:fill="auto"/>
                </w:tcPr>
                <w:p w:rsidRPr="00C359C8" w:rsidR="00C359C8" w:rsidP="00C359C8" w:rsidRDefault="00C359C8" w14:paraId="2DDBB722" w14:textId="77777777">
                  <w:pPr>
                    <w:overflowPunct w:val="0"/>
                    <w:autoSpaceDE w:val="0"/>
                    <w:autoSpaceDN w:val="0"/>
                    <w:adjustRightInd w:val="0"/>
                    <w:textAlignment w:val="baseline"/>
                    <w:rPr>
                      <w:rFonts w:cs="Arial"/>
                      <w:sz w:val="20"/>
                      <w:lang w:val="en-AU"/>
                    </w:rPr>
                  </w:pPr>
                  <w:r w:rsidRPr="00C359C8">
                    <w:rPr>
                      <w:rFonts w:cs="Arial"/>
                      <w:sz w:val="20"/>
                      <w:lang w:val="en-AU"/>
                    </w:rPr>
                    <w:t>40–60</w:t>
                  </w:r>
                </w:p>
              </w:tc>
              <w:tc>
                <w:tcPr>
                  <w:tcW w:w="1985" w:type="dxa"/>
                  <w:shd w:val="clear" w:color="auto" w:fill="auto"/>
                </w:tcPr>
                <w:p w:rsidRPr="00C359C8" w:rsidR="00C359C8" w:rsidP="00C359C8" w:rsidRDefault="00C359C8" w14:paraId="610D5CC8" w14:textId="77777777">
                  <w:pPr>
                    <w:overflowPunct w:val="0"/>
                    <w:autoSpaceDE w:val="0"/>
                    <w:autoSpaceDN w:val="0"/>
                    <w:adjustRightInd w:val="0"/>
                    <w:textAlignment w:val="baseline"/>
                    <w:rPr>
                      <w:rFonts w:cs="Arial"/>
                      <w:sz w:val="20"/>
                      <w:lang w:val="en-AU"/>
                    </w:rPr>
                  </w:pPr>
                  <w:r w:rsidRPr="00C359C8">
                    <w:rPr>
                      <w:rFonts w:cs="Arial"/>
                      <w:sz w:val="20"/>
                      <w:lang w:val="en-AU"/>
                    </w:rPr>
                    <w:t>All</w:t>
                  </w:r>
                </w:p>
              </w:tc>
              <w:tc>
                <w:tcPr>
                  <w:tcW w:w="4110" w:type="dxa"/>
                  <w:shd w:val="clear" w:color="auto" w:fill="auto"/>
                </w:tcPr>
                <w:p w:rsidRPr="00C359C8" w:rsidR="00C359C8" w:rsidP="00C359C8" w:rsidRDefault="00C359C8" w14:paraId="58AD3ECB" w14:textId="77777777">
                  <w:pPr>
                    <w:overflowPunct w:val="0"/>
                    <w:autoSpaceDE w:val="0"/>
                    <w:autoSpaceDN w:val="0"/>
                    <w:adjustRightInd w:val="0"/>
                    <w:textAlignment w:val="baseline"/>
                    <w:rPr>
                      <w:rFonts w:cs="Arial"/>
                      <w:sz w:val="20"/>
                      <w:lang w:val="en-AU"/>
                    </w:rPr>
                  </w:pPr>
                  <w:r w:rsidRPr="00C359C8">
                    <w:rPr>
                      <w:rFonts w:cs="Arial"/>
                      <w:b/>
                      <w:sz w:val="20"/>
                      <w:lang w:val="en-AU"/>
                    </w:rPr>
                    <w:t xml:space="preserve">1.25 mg/kg/hour </w:t>
                  </w:r>
                  <w:r w:rsidRPr="00C359C8">
                    <w:rPr>
                      <w:rFonts w:cs="Arial"/>
                      <w:sz w:val="20"/>
                      <w:lang w:val="en-AU"/>
                    </w:rPr>
                    <w:t>(equivalent to 30 mg/kg/day)</w:t>
                  </w:r>
                </w:p>
              </w:tc>
            </w:tr>
            <w:tr w:rsidRPr="00C359C8" w:rsidR="00C359C8" w:rsidTr="00FE4186" w14:paraId="0A8F2048" w14:textId="77777777">
              <w:trPr>
                <w:trHeight w:val="256"/>
              </w:trPr>
              <w:tc>
                <w:tcPr>
                  <w:tcW w:w="1701" w:type="dxa"/>
                  <w:shd w:val="clear" w:color="auto" w:fill="auto"/>
                </w:tcPr>
                <w:p w:rsidRPr="00C359C8" w:rsidR="00C359C8" w:rsidP="00C359C8" w:rsidRDefault="00C359C8" w14:paraId="31D90927" w14:textId="77777777">
                  <w:pPr>
                    <w:overflowPunct w:val="0"/>
                    <w:autoSpaceDE w:val="0"/>
                    <w:autoSpaceDN w:val="0"/>
                    <w:adjustRightInd w:val="0"/>
                    <w:textAlignment w:val="baseline"/>
                    <w:rPr>
                      <w:rFonts w:cs="Arial"/>
                      <w:sz w:val="20"/>
                      <w:lang w:val="en-AU"/>
                    </w:rPr>
                  </w:pPr>
                  <w:r w:rsidRPr="00C359C8">
                    <w:rPr>
                      <w:rFonts w:cs="Arial"/>
                      <w:sz w:val="20"/>
                      <w:lang w:val="en-AU"/>
                    </w:rPr>
                    <w:t>&gt;60</w:t>
                  </w:r>
                </w:p>
              </w:tc>
              <w:tc>
                <w:tcPr>
                  <w:tcW w:w="1985" w:type="dxa"/>
                  <w:shd w:val="clear" w:color="auto" w:fill="auto"/>
                </w:tcPr>
                <w:p w:rsidRPr="00C359C8" w:rsidR="00C359C8" w:rsidP="00C359C8" w:rsidRDefault="00C359C8" w14:paraId="6E40ECE4" w14:textId="77777777">
                  <w:pPr>
                    <w:overflowPunct w:val="0"/>
                    <w:autoSpaceDE w:val="0"/>
                    <w:autoSpaceDN w:val="0"/>
                    <w:adjustRightInd w:val="0"/>
                    <w:textAlignment w:val="baseline"/>
                    <w:rPr>
                      <w:rFonts w:cs="Arial"/>
                      <w:sz w:val="20"/>
                      <w:lang w:val="en-AU"/>
                    </w:rPr>
                  </w:pPr>
                  <w:r w:rsidRPr="00C359C8">
                    <w:rPr>
                      <w:rFonts w:cs="Arial"/>
                      <w:sz w:val="20"/>
                      <w:lang w:val="en-AU"/>
                    </w:rPr>
                    <w:t>All</w:t>
                  </w:r>
                </w:p>
              </w:tc>
              <w:tc>
                <w:tcPr>
                  <w:tcW w:w="4110" w:type="dxa"/>
                  <w:shd w:val="clear" w:color="auto" w:fill="auto"/>
                </w:tcPr>
                <w:p w:rsidRPr="00C359C8" w:rsidR="00C359C8" w:rsidP="00C359C8" w:rsidRDefault="00C359C8" w14:paraId="4BCCCADB" w14:textId="77777777">
                  <w:pPr>
                    <w:overflowPunct w:val="0"/>
                    <w:autoSpaceDE w:val="0"/>
                    <w:autoSpaceDN w:val="0"/>
                    <w:adjustRightInd w:val="0"/>
                    <w:textAlignment w:val="baseline"/>
                    <w:rPr>
                      <w:rFonts w:cs="Arial"/>
                      <w:sz w:val="20"/>
                      <w:lang w:val="en-AU"/>
                    </w:rPr>
                  </w:pPr>
                  <w:r w:rsidRPr="00C359C8">
                    <w:rPr>
                      <w:rFonts w:cs="Arial"/>
                      <w:b/>
                      <w:sz w:val="20"/>
                      <w:lang w:val="en-AU"/>
                    </w:rPr>
                    <w:t xml:space="preserve">0.8 mg/kg/hour </w:t>
                  </w:r>
                  <w:r w:rsidRPr="00C359C8">
                    <w:rPr>
                      <w:rFonts w:cs="Arial"/>
                      <w:sz w:val="20"/>
                      <w:lang w:val="en-AU"/>
                    </w:rPr>
                    <w:t>(equivalent to 20 mg/kg/day)</w:t>
                  </w:r>
                </w:p>
              </w:tc>
            </w:tr>
          </w:tbl>
          <w:p w:rsidRPr="00C359C8" w:rsidR="00C359C8" w:rsidP="00C359C8" w:rsidRDefault="00C359C8" w14:paraId="2FD63323" w14:textId="77777777">
            <w:pPr>
              <w:overflowPunct w:val="0"/>
              <w:autoSpaceDE w:val="0"/>
              <w:autoSpaceDN w:val="0"/>
              <w:adjustRightInd w:val="0"/>
              <w:ind w:left="34" w:hanging="34"/>
              <w:textAlignment w:val="baseline"/>
              <w:rPr>
                <w:rFonts w:cs="Arial"/>
                <w:sz w:val="20"/>
                <w:lang w:val="en-AU"/>
              </w:rPr>
            </w:pPr>
            <w:r w:rsidRPr="00C359C8">
              <w:rPr>
                <w:rFonts w:cs="Arial"/>
                <w:sz w:val="20"/>
                <w:lang w:val="en-AU"/>
              </w:rPr>
              <w:t>Example: 3kg baby at 41 weeks corrected gestational age with serum Cr 37 = 2.1 mg/kg/hour x 3.0 kg = 6.3mg/hour</w:t>
            </w:r>
          </w:p>
          <w:p w:rsidRPr="00C359C8" w:rsidR="00C359C8" w:rsidP="00C359C8" w:rsidRDefault="00C359C8" w14:paraId="47749C68" w14:textId="77777777">
            <w:pPr>
              <w:overflowPunct w:val="0"/>
              <w:autoSpaceDE w:val="0"/>
              <w:autoSpaceDN w:val="0"/>
              <w:adjustRightInd w:val="0"/>
              <w:textAlignment w:val="baseline"/>
              <w:rPr>
                <w:rFonts w:cs="Arial"/>
                <w:sz w:val="20"/>
                <w:lang w:val="en-AU"/>
              </w:rPr>
            </w:pPr>
          </w:p>
          <w:p w:rsidRPr="00C359C8" w:rsidR="00C359C8" w:rsidP="00C359C8" w:rsidRDefault="00C359C8" w14:paraId="5FA121B0" w14:textId="77777777">
            <w:pPr>
              <w:overflowPunct w:val="0"/>
              <w:autoSpaceDE w:val="0"/>
              <w:autoSpaceDN w:val="0"/>
              <w:adjustRightInd w:val="0"/>
              <w:textAlignment w:val="baseline"/>
              <w:rPr>
                <w:rFonts w:cs="Arial"/>
                <w:sz w:val="20"/>
                <w:lang w:val="en-AU"/>
              </w:rPr>
            </w:pPr>
            <w:r w:rsidRPr="00C359C8">
              <w:rPr>
                <w:rFonts w:cs="Arial"/>
                <w:sz w:val="20"/>
                <w:lang w:val="en-AU"/>
              </w:rPr>
              <w:t xml:space="preserve">Measure vancomycin concentration 24 hours (18–30 hours) and 48 hours after the commencement of infusion and then every 3 days. </w:t>
            </w:r>
          </w:p>
          <w:p w:rsidRPr="00C359C8" w:rsidR="00C359C8" w:rsidP="00C359C8" w:rsidRDefault="00C359C8" w14:paraId="439649F5" w14:textId="77777777">
            <w:pPr>
              <w:overflowPunct w:val="0"/>
              <w:autoSpaceDE w:val="0"/>
              <w:autoSpaceDN w:val="0"/>
              <w:adjustRightInd w:val="0"/>
              <w:textAlignment w:val="baseline"/>
              <w:rPr>
                <w:rFonts w:cs="Arial"/>
                <w:sz w:val="20"/>
                <w:lang w:val="en-AU"/>
              </w:rPr>
            </w:pPr>
            <w:r w:rsidRPr="00C359C8">
              <w:rPr>
                <w:rFonts w:cs="Arial"/>
                <w:sz w:val="20"/>
                <w:lang w:val="en-AU"/>
              </w:rPr>
              <w:t xml:space="preserve">See dose adjustment in </w:t>
            </w:r>
            <w:r w:rsidRPr="00C359C8">
              <w:rPr>
                <w:rFonts w:cs="Arial"/>
                <w:b/>
                <w:sz w:val="20"/>
                <w:lang w:val="en-AU"/>
              </w:rPr>
              <w:t>Monitoring</w:t>
            </w:r>
            <w:r w:rsidRPr="00C359C8">
              <w:rPr>
                <w:rFonts w:cs="Arial"/>
                <w:sz w:val="20"/>
                <w:lang w:val="en-AU"/>
              </w:rPr>
              <w:t xml:space="preserve"> section.</w:t>
            </w:r>
          </w:p>
          <w:p w:rsidRPr="00C359C8" w:rsidR="00C359C8" w:rsidP="00C359C8" w:rsidRDefault="00C359C8" w14:paraId="77A020DB" w14:textId="77777777">
            <w:pPr>
              <w:overflowPunct w:val="0"/>
              <w:autoSpaceDE w:val="0"/>
              <w:autoSpaceDN w:val="0"/>
              <w:adjustRightInd w:val="0"/>
              <w:textAlignment w:val="baseline"/>
              <w:rPr>
                <w:rFonts w:cs="Arial"/>
                <w:sz w:val="20"/>
                <w:lang w:val="en-AU"/>
              </w:rPr>
            </w:pPr>
          </w:p>
          <w:p w:rsidRPr="00C359C8" w:rsidR="00C359C8" w:rsidP="00C359C8" w:rsidRDefault="00C359C8" w14:paraId="55195E21" w14:textId="77777777">
            <w:pPr>
              <w:overflowPunct w:val="0"/>
              <w:autoSpaceDE w:val="0"/>
              <w:autoSpaceDN w:val="0"/>
              <w:adjustRightInd w:val="0"/>
              <w:textAlignment w:val="baseline"/>
              <w:rPr>
                <w:rFonts w:cs="Arial"/>
                <w:sz w:val="20"/>
                <w:lang w:val="en-AU"/>
              </w:rPr>
            </w:pPr>
            <w:r w:rsidRPr="00C359C8">
              <w:rPr>
                <w:rFonts w:cs="Arial"/>
                <w:b/>
                <w:sz w:val="20"/>
                <w:lang w:val="en-AU"/>
              </w:rPr>
              <w:t>Prescription order</w:t>
            </w:r>
            <w:r w:rsidRPr="00C359C8">
              <w:rPr>
                <w:rFonts w:cs="Arial"/>
                <w:sz w:val="20"/>
                <w:lang w:val="en-AU"/>
              </w:rPr>
              <w:t xml:space="preserve">: </w:t>
            </w:r>
          </w:p>
          <w:p w:rsidRPr="00C359C8" w:rsidR="00C359C8" w:rsidP="001B0E05" w:rsidRDefault="00C359C8" w14:paraId="493CF978" w14:textId="77777777">
            <w:pPr>
              <w:numPr>
                <w:ilvl w:val="0"/>
                <w:numId w:val="134"/>
              </w:numPr>
              <w:overflowPunct w:val="0"/>
              <w:autoSpaceDE w:val="0"/>
              <w:autoSpaceDN w:val="0"/>
              <w:adjustRightInd w:val="0"/>
              <w:textAlignment w:val="baseline"/>
              <w:rPr>
                <w:rFonts w:cs="Arial"/>
                <w:sz w:val="20"/>
                <w:lang w:val="en-AU"/>
              </w:rPr>
            </w:pPr>
            <w:r w:rsidRPr="00C359C8">
              <w:rPr>
                <w:rFonts w:cs="Arial"/>
                <w:sz w:val="20"/>
                <w:lang w:val="en-AU"/>
              </w:rPr>
              <w:t>loading dose on ONCE ONLY section of the medication chart</w:t>
            </w:r>
          </w:p>
          <w:p w:rsidRPr="00C359C8" w:rsidR="00C359C8" w:rsidP="001B0E05" w:rsidRDefault="00C359C8" w14:paraId="433B567F" w14:textId="77777777">
            <w:pPr>
              <w:numPr>
                <w:ilvl w:val="0"/>
                <w:numId w:val="134"/>
              </w:numPr>
              <w:overflowPunct w:val="0"/>
              <w:autoSpaceDE w:val="0"/>
              <w:autoSpaceDN w:val="0"/>
              <w:adjustRightInd w:val="0"/>
              <w:textAlignment w:val="baseline"/>
              <w:rPr>
                <w:rFonts w:cs="Arial"/>
                <w:sz w:val="20"/>
                <w:lang w:val="en-AU"/>
              </w:rPr>
            </w:pPr>
            <w:r w:rsidRPr="00C359C8">
              <w:rPr>
                <w:rFonts w:cs="Arial"/>
                <w:sz w:val="20"/>
                <w:lang w:val="en-AU"/>
              </w:rPr>
              <w:t>Infusion dose in mg/kg/hour on fluid chart.</w:t>
            </w:r>
          </w:p>
        </w:tc>
      </w:tr>
      <w:tr w:rsidRPr="00C359C8" w:rsidR="00C359C8" w:rsidTr="00C359C8" w14:paraId="606D9A68" w14:textId="77777777">
        <w:trPr>
          <w:trHeight w:val="278"/>
        </w:trPr>
        <w:tc>
          <w:tcPr>
            <w:tcW w:w="1730" w:type="dxa"/>
          </w:tcPr>
          <w:p w:rsidRPr="00C359C8" w:rsidR="00C359C8" w:rsidP="00C359C8" w:rsidRDefault="00C359C8" w14:paraId="736F896C"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Dose adjustment</w:t>
            </w:r>
          </w:p>
        </w:tc>
        <w:tc>
          <w:tcPr>
            <w:tcW w:w="8623" w:type="dxa"/>
          </w:tcPr>
          <w:p w:rsidRPr="00C359C8" w:rsidR="00C359C8" w:rsidP="00C359C8" w:rsidRDefault="00C359C8" w14:paraId="18F7D86B" w14:textId="77777777">
            <w:pPr>
              <w:overflowPunct w:val="0"/>
              <w:autoSpaceDE w:val="0"/>
              <w:autoSpaceDN w:val="0"/>
              <w:adjustRightInd w:val="0"/>
              <w:textAlignment w:val="baseline"/>
              <w:rPr>
                <w:rFonts w:cs="Arial"/>
                <w:sz w:val="20"/>
                <w:lang w:val="en-AU"/>
              </w:rPr>
            </w:pPr>
            <w:r w:rsidRPr="00C359C8">
              <w:rPr>
                <w:rFonts w:cs="Arial"/>
                <w:b/>
                <w:sz w:val="20"/>
                <w:lang w:val="en-AU"/>
              </w:rPr>
              <w:t>Therapeutic hypothermia</w:t>
            </w:r>
            <w:r w:rsidRPr="00C359C8">
              <w:rPr>
                <w:rFonts w:cs="Arial"/>
                <w:sz w:val="20"/>
                <w:lang w:val="en-AU"/>
              </w:rPr>
              <w:t xml:space="preserve"> - Refer to vancomycin intermittent version.</w:t>
            </w:r>
          </w:p>
          <w:p w:rsidRPr="00C359C8" w:rsidR="00C359C8" w:rsidP="00C359C8" w:rsidRDefault="00C359C8" w14:paraId="77362ECD" w14:textId="77777777">
            <w:pPr>
              <w:overflowPunct w:val="0"/>
              <w:autoSpaceDE w:val="0"/>
              <w:autoSpaceDN w:val="0"/>
              <w:adjustRightInd w:val="0"/>
              <w:textAlignment w:val="baseline"/>
              <w:rPr>
                <w:rFonts w:cs="Arial"/>
                <w:sz w:val="20"/>
                <w:lang w:val="en-AU"/>
              </w:rPr>
            </w:pPr>
            <w:r w:rsidRPr="00C359C8">
              <w:rPr>
                <w:rFonts w:cs="Arial"/>
                <w:b/>
                <w:sz w:val="20"/>
                <w:lang w:val="en-AU"/>
              </w:rPr>
              <w:t>ECMO</w:t>
            </w:r>
            <w:r w:rsidRPr="00C359C8">
              <w:rPr>
                <w:rFonts w:cs="Arial"/>
                <w:sz w:val="20"/>
                <w:lang w:val="en-AU"/>
              </w:rPr>
              <w:t>- Refer to vancomycin intermittent version.</w:t>
            </w:r>
          </w:p>
          <w:p w:rsidRPr="00C359C8" w:rsidR="00C359C8" w:rsidP="00C359C8" w:rsidRDefault="00C359C8" w14:paraId="74AE5592" w14:textId="77777777">
            <w:pPr>
              <w:overflowPunct w:val="0"/>
              <w:autoSpaceDE w:val="0"/>
              <w:autoSpaceDN w:val="0"/>
              <w:adjustRightInd w:val="0"/>
              <w:textAlignment w:val="baseline"/>
              <w:rPr>
                <w:rFonts w:cs="Arial"/>
                <w:sz w:val="20"/>
                <w:lang w:val="en-AU"/>
              </w:rPr>
            </w:pPr>
            <w:r w:rsidRPr="00C359C8">
              <w:rPr>
                <w:rFonts w:cs="Arial"/>
                <w:b/>
                <w:sz w:val="20"/>
                <w:lang w:val="en-AU"/>
              </w:rPr>
              <w:t>Renal impairment</w:t>
            </w:r>
            <w:r w:rsidRPr="00C359C8">
              <w:rPr>
                <w:rFonts w:cs="Arial"/>
                <w:sz w:val="20"/>
                <w:lang w:val="en-AU"/>
              </w:rPr>
              <w:t xml:space="preserve"> – Refer to dosing section.</w:t>
            </w:r>
          </w:p>
          <w:p w:rsidRPr="00C359C8" w:rsidR="00C359C8" w:rsidP="00C359C8" w:rsidRDefault="00C359C8" w14:paraId="5F15BFD8" w14:textId="77777777">
            <w:pPr>
              <w:overflowPunct w:val="0"/>
              <w:autoSpaceDE w:val="0"/>
              <w:autoSpaceDN w:val="0"/>
              <w:adjustRightInd w:val="0"/>
              <w:textAlignment w:val="baseline"/>
              <w:rPr>
                <w:rFonts w:cs="Arial"/>
                <w:sz w:val="20"/>
                <w:lang w:val="en-AU"/>
              </w:rPr>
            </w:pPr>
            <w:r w:rsidRPr="00C359C8">
              <w:rPr>
                <w:rFonts w:cs="Arial"/>
                <w:b/>
                <w:sz w:val="20"/>
                <w:lang w:val="en-AU"/>
              </w:rPr>
              <w:t>Hepatic impairment</w:t>
            </w:r>
            <w:r w:rsidRPr="00C359C8">
              <w:rPr>
                <w:rFonts w:cs="Arial"/>
                <w:sz w:val="20"/>
                <w:lang w:val="en-AU"/>
              </w:rPr>
              <w:t xml:space="preserve"> – Refer to vancomycin intermittent version.</w:t>
            </w:r>
          </w:p>
        </w:tc>
      </w:tr>
      <w:tr w:rsidRPr="00C359C8" w:rsidR="00C359C8" w:rsidTr="00C359C8" w14:paraId="683039B5" w14:textId="77777777">
        <w:trPr>
          <w:trHeight w:val="278"/>
        </w:trPr>
        <w:tc>
          <w:tcPr>
            <w:tcW w:w="1730" w:type="dxa"/>
          </w:tcPr>
          <w:p w:rsidRPr="00C359C8" w:rsidR="00C359C8" w:rsidP="00C359C8" w:rsidRDefault="00C359C8" w14:paraId="67C978EC"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Route                              </w:t>
            </w:r>
          </w:p>
        </w:tc>
        <w:tc>
          <w:tcPr>
            <w:tcW w:w="8623" w:type="dxa"/>
          </w:tcPr>
          <w:p w:rsidRPr="00C359C8" w:rsidR="00C359C8" w:rsidP="00C359C8" w:rsidRDefault="00C359C8" w14:paraId="3730DA37" w14:textId="77777777">
            <w:pPr>
              <w:overflowPunct w:val="0"/>
              <w:autoSpaceDE w:val="0"/>
              <w:autoSpaceDN w:val="0"/>
              <w:adjustRightInd w:val="0"/>
              <w:textAlignment w:val="baseline"/>
              <w:rPr>
                <w:rFonts w:cs="Arial"/>
                <w:sz w:val="20"/>
                <w:lang w:val="en-AU"/>
              </w:rPr>
            </w:pPr>
            <w:r w:rsidRPr="00C359C8">
              <w:rPr>
                <w:rFonts w:cs="Arial"/>
                <w:sz w:val="20"/>
                <w:lang w:val="en-AU"/>
              </w:rPr>
              <w:t>IV</w:t>
            </w:r>
          </w:p>
        </w:tc>
      </w:tr>
      <w:tr w:rsidRPr="00C359C8" w:rsidR="00C359C8" w:rsidTr="00C359C8" w14:paraId="5B52E65C" w14:textId="77777777">
        <w:trPr>
          <w:trHeight w:val="861"/>
        </w:trPr>
        <w:tc>
          <w:tcPr>
            <w:tcW w:w="1730" w:type="dxa"/>
          </w:tcPr>
          <w:p w:rsidRPr="00C359C8" w:rsidR="00C359C8" w:rsidP="00C359C8" w:rsidRDefault="00C359C8" w14:paraId="1D22CAC5" w14:textId="77777777">
            <w:pPr>
              <w:overflowPunct w:val="0"/>
              <w:autoSpaceDE w:val="0"/>
              <w:autoSpaceDN w:val="0"/>
              <w:adjustRightInd w:val="0"/>
              <w:textAlignment w:val="baseline"/>
              <w:rPr>
                <w:rFonts w:cs="Arial"/>
                <w:b/>
                <w:bCs/>
                <w:szCs w:val="24"/>
                <w:highlight w:val="cyan"/>
                <w:lang w:val="en-AU"/>
              </w:rPr>
            </w:pPr>
            <w:r w:rsidRPr="00C359C8">
              <w:rPr>
                <w:rFonts w:cs="Arial"/>
                <w:b/>
                <w:bCs/>
                <w:szCs w:val="24"/>
                <w:lang w:val="en-AU"/>
              </w:rPr>
              <w:t xml:space="preserve">Preparation/Dilution </w:t>
            </w:r>
            <w:r w:rsidRPr="00C359C8">
              <w:rPr>
                <w:rFonts w:cs="Arial"/>
                <w:b/>
                <w:bCs/>
                <w:szCs w:val="24"/>
                <w:highlight w:val="cyan"/>
                <w:lang w:val="en-AU"/>
              </w:rPr>
              <w:t xml:space="preserve">                </w:t>
            </w:r>
          </w:p>
          <w:p w:rsidRPr="00C359C8" w:rsidR="00C359C8" w:rsidP="00C359C8" w:rsidRDefault="00C359C8" w14:paraId="5AC99E43" w14:textId="77777777">
            <w:pPr>
              <w:overflowPunct w:val="0"/>
              <w:autoSpaceDE w:val="0"/>
              <w:autoSpaceDN w:val="0"/>
              <w:adjustRightInd w:val="0"/>
              <w:textAlignment w:val="baseline"/>
              <w:rPr>
                <w:rFonts w:cs="Arial"/>
                <w:sz w:val="20"/>
                <w:highlight w:val="cyan"/>
                <w:lang w:val="en-AU"/>
              </w:rPr>
            </w:pPr>
            <w:r w:rsidRPr="00C359C8">
              <w:rPr>
                <w:rFonts w:cs="Arial"/>
                <w:b/>
                <w:bCs/>
                <w:sz w:val="20"/>
                <w:highlight w:val="cyan"/>
                <w:lang w:val="en-AU"/>
              </w:rPr>
              <w:t xml:space="preserve">           </w:t>
            </w:r>
          </w:p>
        </w:tc>
        <w:tc>
          <w:tcPr>
            <w:tcW w:w="8623" w:type="dxa"/>
          </w:tcPr>
          <w:p w:rsidRPr="00C359C8" w:rsidR="00C359C8" w:rsidP="00C359C8" w:rsidRDefault="00C359C8" w14:paraId="03C9611C" w14:textId="77777777">
            <w:pPr>
              <w:overflowPunct w:val="0"/>
              <w:autoSpaceDE w:val="0"/>
              <w:autoSpaceDN w:val="0"/>
              <w:adjustRightInd w:val="0"/>
              <w:textAlignment w:val="baseline"/>
              <w:rPr>
                <w:rFonts w:cs="Arial"/>
                <w:b/>
                <w:sz w:val="20"/>
                <w:u w:val="single"/>
                <w:lang w:val="x-none"/>
              </w:rPr>
            </w:pPr>
            <w:r w:rsidRPr="00C359C8">
              <w:rPr>
                <w:rFonts w:cs="Arial"/>
                <w:b/>
                <w:sz w:val="20"/>
                <w:u w:val="single"/>
                <w:lang w:val="x-none"/>
              </w:rPr>
              <w:t>500mg VIAL</w:t>
            </w:r>
          </w:p>
          <w:p w:rsidRPr="00C359C8" w:rsidR="00C359C8" w:rsidP="00C359C8" w:rsidRDefault="00C359C8" w14:paraId="5F9F30CF" w14:textId="77777777">
            <w:pPr>
              <w:overflowPunct w:val="0"/>
              <w:autoSpaceDE w:val="0"/>
              <w:autoSpaceDN w:val="0"/>
              <w:adjustRightInd w:val="0"/>
              <w:textAlignment w:val="baseline"/>
              <w:rPr>
                <w:rFonts w:cs="Arial"/>
                <w:sz w:val="20"/>
                <w:lang w:val="x-none"/>
              </w:rPr>
            </w:pPr>
            <w:r w:rsidRPr="00C359C8">
              <w:rPr>
                <w:rFonts w:cs="Arial"/>
                <w:sz w:val="20"/>
                <w:lang w:val="x-none"/>
              </w:rPr>
              <w:t xml:space="preserve">Add 10 mL of water for injection to the 500 mg vial to make a 50 mg/mL solution </w:t>
            </w:r>
          </w:p>
          <w:p w:rsidRPr="00C359C8" w:rsidR="00C359C8" w:rsidP="00C359C8" w:rsidRDefault="00C359C8" w14:paraId="79205388" w14:textId="77777777">
            <w:pPr>
              <w:overflowPunct w:val="0"/>
              <w:autoSpaceDE w:val="0"/>
              <w:autoSpaceDN w:val="0"/>
              <w:adjustRightInd w:val="0"/>
              <w:textAlignment w:val="baseline"/>
              <w:rPr>
                <w:rFonts w:cs="Arial"/>
                <w:b/>
                <w:sz w:val="20"/>
                <w:lang w:val="x-none"/>
              </w:rPr>
            </w:pPr>
            <w:r w:rsidRPr="00C359C8">
              <w:rPr>
                <w:rFonts w:cs="Arial"/>
                <w:b/>
                <w:sz w:val="20"/>
                <w:lang w:val="x-none"/>
              </w:rPr>
              <w:t>FURTHER DILUTE</w:t>
            </w:r>
          </w:p>
          <w:p w:rsidRPr="00C359C8" w:rsidR="00C359C8" w:rsidP="00C359C8" w:rsidRDefault="00C359C8" w14:paraId="68317C8B" w14:textId="77777777">
            <w:pPr>
              <w:overflowPunct w:val="0"/>
              <w:autoSpaceDE w:val="0"/>
              <w:autoSpaceDN w:val="0"/>
              <w:adjustRightInd w:val="0"/>
              <w:textAlignment w:val="baseline"/>
              <w:rPr>
                <w:rFonts w:cs="Arial"/>
                <w:sz w:val="20"/>
                <w:lang w:val="x-none"/>
              </w:rPr>
            </w:pPr>
            <w:r w:rsidRPr="00C359C8">
              <w:rPr>
                <w:rFonts w:cs="Arial"/>
                <w:sz w:val="20"/>
                <w:lang w:val="x-none"/>
              </w:rPr>
              <w:t xml:space="preserve">Draw up </w:t>
            </w:r>
            <w:r w:rsidRPr="00C359C8">
              <w:rPr>
                <w:rFonts w:cs="Arial"/>
                <w:sz w:val="20"/>
                <w:lang w:val="en-AU"/>
              </w:rPr>
              <w:t>5</w:t>
            </w:r>
            <w:r w:rsidRPr="00C359C8">
              <w:rPr>
                <w:rFonts w:cs="Arial"/>
                <w:sz w:val="20"/>
                <w:lang w:val="x-none"/>
              </w:rPr>
              <w:t xml:space="preserve"> mL (</w:t>
            </w:r>
            <w:r w:rsidRPr="00C359C8">
              <w:rPr>
                <w:rFonts w:cs="Arial"/>
                <w:sz w:val="20"/>
                <w:lang w:val="en-AU"/>
              </w:rPr>
              <w:t>250</w:t>
            </w:r>
            <w:r w:rsidRPr="00C359C8">
              <w:rPr>
                <w:rFonts w:cs="Arial"/>
                <w:sz w:val="20"/>
                <w:lang w:val="x-none"/>
              </w:rPr>
              <w:t xml:space="preserve"> mg of vancomycin) of the above solution and add </w:t>
            </w:r>
            <w:r w:rsidRPr="00C359C8">
              <w:rPr>
                <w:rFonts w:cs="Arial"/>
                <w:sz w:val="20"/>
                <w:lang w:val="en-AU"/>
              </w:rPr>
              <w:t>45</w:t>
            </w:r>
            <w:r w:rsidRPr="00C359C8">
              <w:rPr>
                <w:rFonts w:cs="Arial"/>
                <w:sz w:val="20"/>
                <w:lang w:val="x-none"/>
              </w:rPr>
              <w:t xml:space="preserve"> mL glucose 5% or sodium chloride 0.9% to make a final volume of </w:t>
            </w:r>
            <w:r w:rsidRPr="00C359C8">
              <w:rPr>
                <w:rFonts w:cs="Arial"/>
                <w:sz w:val="20"/>
                <w:lang w:val="en-AU"/>
              </w:rPr>
              <w:t>5</w:t>
            </w:r>
            <w:r w:rsidRPr="00C359C8">
              <w:rPr>
                <w:rFonts w:cs="Arial"/>
                <w:sz w:val="20"/>
                <w:lang w:val="x-none"/>
              </w:rPr>
              <w:t>0 mL with a final concentration of 5 mg/mL.</w:t>
            </w:r>
          </w:p>
          <w:p w:rsidRPr="00C359C8" w:rsidR="00C359C8" w:rsidP="00C359C8" w:rsidRDefault="00C359C8" w14:paraId="4D83CF51" w14:textId="77777777">
            <w:pPr>
              <w:overflowPunct w:val="0"/>
              <w:autoSpaceDE w:val="0"/>
              <w:autoSpaceDN w:val="0"/>
              <w:adjustRightInd w:val="0"/>
              <w:textAlignment w:val="baseline"/>
              <w:rPr>
                <w:rFonts w:cs="Arial"/>
                <w:sz w:val="20"/>
                <w:lang w:val="x-none"/>
              </w:rPr>
            </w:pPr>
          </w:p>
          <w:p w:rsidRPr="00C359C8" w:rsidR="00C359C8" w:rsidP="00C359C8" w:rsidRDefault="00C359C8" w14:paraId="54B522B4" w14:textId="77777777">
            <w:pPr>
              <w:overflowPunct w:val="0"/>
              <w:autoSpaceDE w:val="0"/>
              <w:autoSpaceDN w:val="0"/>
              <w:adjustRightInd w:val="0"/>
              <w:textAlignment w:val="baseline"/>
              <w:rPr>
                <w:rFonts w:cs="Arial"/>
                <w:b/>
                <w:sz w:val="20"/>
                <w:u w:val="single"/>
                <w:lang w:val="x-none"/>
              </w:rPr>
            </w:pPr>
            <w:r w:rsidRPr="00C359C8">
              <w:rPr>
                <w:rFonts w:cs="Arial"/>
                <w:b/>
                <w:sz w:val="20"/>
                <w:u w:val="single"/>
                <w:lang w:val="x-none"/>
              </w:rPr>
              <w:t>1g VIAL</w:t>
            </w:r>
          </w:p>
          <w:p w:rsidRPr="00C359C8" w:rsidR="00C359C8" w:rsidP="00C359C8" w:rsidRDefault="00C359C8" w14:paraId="440129C8" w14:textId="77777777">
            <w:pPr>
              <w:overflowPunct w:val="0"/>
              <w:autoSpaceDE w:val="0"/>
              <w:autoSpaceDN w:val="0"/>
              <w:adjustRightInd w:val="0"/>
              <w:textAlignment w:val="baseline"/>
              <w:rPr>
                <w:rFonts w:cs="Arial"/>
                <w:sz w:val="20"/>
                <w:lang w:val="x-none"/>
              </w:rPr>
            </w:pPr>
            <w:r w:rsidRPr="00C359C8">
              <w:rPr>
                <w:rFonts w:cs="Arial"/>
                <w:sz w:val="20"/>
                <w:lang w:val="x-none"/>
              </w:rPr>
              <w:t xml:space="preserve">Add 20 mL of water for injection to the 1g vial to make a 50 mg/mL solution </w:t>
            </w:r>
          </w:p>
          <w:p w:rsidRPr="00C359C8" w:rsidR="00C359C8" w:rsidP="00C359C8" w:rsidRDefault="00C359C8" w14:paraId="7BACC80D" w14:textId="77777777">
            <w:pPr>
              <w:overflowPunct w:val="0"/>
              <w:autoSpaceDE w:val="0"/>
              <w:autoSpaceDN w:val="0"/>
              <w:adjustRightInd w:val="0"/>
              <w:textAlignment w:val="baseline"/>
              <w:rPr>
                <w:rFonts w:cs="Arial"/>
                <w:b/>
                <w:sz w:val="20"/>
                <w:lang w:val="x-none"/>
              </w:rPr>
            </w:pPr>
            <w:r w:rsidRPr="00C359C8">
              <w:rPr>
                <w:rFonts w:cs="Arial"/>
                <w:b/>
                <w:sz w:val="20"/>
                <w:lang w:val="x-none"/>
              </w:rPr>
              <w:t>FURTHER DILUTE</w:t>
            </w:r>
          </w:p>
          <w:p w:rsidRPr="00C359C8" w:rsidR="00C359C8" w:rsidP="00C359C8" w:rsidRDefault="00C359C8" w14:paraId="2E83983B" w14:textId="77777777">
            <w:pPr>
              <w:overflowPunct w:val="0"/>
              <w:autoSpaceDE w:val="0"/>
              <w:autoSpaceDN w:val="0"/>
              <w:adjustRightInd w:val="0"/>
              <w:textAlignment w:val="baseline"/>
              <w:rPr>
                <w:rFonts w:cs="Arial"/>
                <w:sz w:val="20"/>
                <w:lang w:val="x-none"/>
              </w:rPr>
            </w:pPr>
            <w:r w:rsidRPr="00C359C8">
              <w:rPr>
                <w:rFonts w:cs="Arial"/>
                <w:sz w:val="20"/>
                <w:lang w:val="x-none"/>
              </w:rPr>
              <w:lastRenderedPageBreak/>
              <w:t xml:space="preserve">Draw up </w:t>
            </w:r>
            <w:r w:rsidRPr="00C359C8">
              <w:rPr>
                <w:rFonts w:cs="Arial"/>
                <w:sz w:val="20"/>
                <w:lang w:val="en-AU"/>
              </w:rPr>
              <w:t>5</w:t>
            </w:r>
            <w:r w:rsidRPr="00C359C8">
              <w:rPr>
                <w:rFonts w:cs="Arial"/>
                <w:sz w:val="20"/>
                <w:lang w:val="x-none"/>
              </w:rPr>
              <w:t xml:space="preserve"> mL (</w:t>
            </w:r>
            <w:r w:rsidRPr="00C359C8">
              <w:rPr>
                <w:rFonts w:cs="Arial"/>
                <w:sz w:val="20"/>
                <w:lang w:val="en-AU"/>
              </w:rPr>
              <w:t>250</w:t>
            </w:r>
            <w:r w:rsidRPr="00C359C8">
              <w:rPr>
                <w:rFonts w:cs="Arial"/>
                <w:sz w:val="20"/>
                <w:lang w:val="x-none"/>
              </w:rPr>
              <w:t xml:space="preserve"> mg of vancomycin) of the above solution and add </w:t>
            </w:r>
            <w:r w:rsidRPr="00C359C8">
              <w:rPr>
                <w:rFonts w:cs="Arial"/>
                <w:sz w:val="20"/>
                <w:lang w:val="en-AU"/>
              </w:rPr>
              <w:t>45</w:t>
            </w:r>
            <w:r w:rsidRPr="00C359C8">
              <w:rPr>
                <w:rFonts w:cs="Arial"/>
                <w:sz w:val="20"/>
                <w:lang w:val="x-none"/>
              </w:rPr>
              <w:t xml:space="preserve"> mL glucose 5% or sodium chloride 0.9% to make a final volume of </w:t>
            </w:r>
            <w:r w:rsidRPr="00C359C8">
              <w:rPr>
                <w:rFonts w:cs="Arial"/>
                <w:sz w:val="20"/>
                <w:lang w:val="en-AU"/>
              </w:rPr>
              <w:t>5</w:t>
            </w:r>
            <w:r w:rsidRPr="00C359C8">
              <w:rPr>
                <w:rFonts w:cs="Arial"/>
                <w:sz w:val="20"/>
                <w:lang w:val="x-none"/>
              </w:rPr>
              <w:t>0 mL with a final concentration of 5 mg/mL.</w:t>
            </w:r>
          </w:p>
          <w:p w:rsidRPr="00C359C8" w:rsidR="00C359C8" w:rsidP="00C359C8" w:rsidRDefault="00C359C8" w14:paraId="0973CC81" w14:textId="77777777">
            <w:pPr>
              <w:overflowPunct w:val="0"/>
              <w:autoSpaceDE w:val="0"/>
              <w:autoSpaceDN w:val="0"/>
              <w:adjustRightInd w:val="0"/>
              <w:textAlignment w:val="baseline"/>
              <w:rPr>
                <w:rFonts w:cs="Arial"/>
                <w:sz w:val="20"/>
                <w:lang w:val="x-none"/>
              </w:rPr>
            </w:pPr>
          </w:p>
          <w:p w:rsidRPr="00C359C8" w:rsidR="00C359C8" w:rsidP="00C359C8" w:rsidRDefault="00C359C8" w14:paraId="3A7925C3" w14:textId="77777777">
            <w:pPr>
              <w:overflowPunct w:val="0"/>
              <w:autoSpaceDE w:val="0"/>
              <w:autoSpaceDN w:val="0"/>
              <w:adjustRightInd w:val="0"/>
              <w:textAlignment w:val="baseline"/>
              <w:rPr>
                <w:rFonts w:cs="Arial"/>
                <w:i/>
                <w:sz w:val="20"/>
                <w:lang w:val="en-AU"/>
              </w:rPr>
            </w:pPr>
            <w:r w:rsidRPr="00C359C8">
              <w:rPr>
                <w:rFonts w:cs="Arial"/>
                <w:b/>
                <w:szCs w:val="24"/>
                <w:u w:val="single"/>
                <w:lang w:val="x-none"/>
              </w:rPr>
              <w:t>Special circumstances</w:t>
            </w:r>
            <w:r w:rsidRPr="00C359C8">
              <w:rPr>
                <w:rFonts w:cs="Arial"/>
                <w:i/>
                <w:sz w:val="20"/>
                <w:lang w:val="x-none"/>
              </w:rPr>
              <w:t xml:space="preserve"> To prepare 10 mg/mL concentration</w:t>
            </w:r>
          </w:p>
          <w:p w:rsidRPr="00C359C8" w:rsidR="00C359C8" w:rsidP="00C359C8" w:rsidRDefault="00C359C8" w14:paraId="54AA8CD2" w14:textId="77777777">
            <w:pPr>
              <w:overflowPunct w:val="0"/>
              <w:autoSpaceDE w:val="0"/>
              <w:autoSpaceDN w:val="0"/>
              <w:adjustRightInd w:val="0"/>
              <w:textAlignment w:val="baseline"/>
              <w:rPr>
                <w:rFonts w:cs="Arial"/>
                <w:sz w:val="20"/>
                <w:lang w:val="x-none"/>
              </w:rPr>
            </w:pPr>
            <w:r w:rsidRPr="00C359C8">
              <w:rPr>
                <w:rFonts w:cs="Arial"/>
                <w:b/>
                <w:sz w:val="20"/>
                <w:lang w:val="x-none"/>
              </w:rPr>
              <w:t>For fluid restricted infants,</w:t>
            </w:r>
            <w:r w:rsidRPr="00C359C8">
              <w:rPr>
                <w:rFonts w:cs="Arial"/>
                <w:sz w:val="20"/>
                <w:lang w:val="x-none"/>
              </w:rPr>
              <w:t xml:space="preserve"> vancomycin can be diluted to 10 mg/mL solution, however this dilution increases the risk of infusion-related events (see adverse reactions).</w:t>
            </w:r>
          </w:p>
          <w:p w:rsidRPr="00C359C8" w:rsidR="00C359C8" w:rsidP="00C359C8" w:rsidRDefault="00C359C8" w14:paraId="2DE92C1B" w14:textId="77777777">
            <w:pPr>
              <w:overflowPunct w:val="0"/>
              <w:autoSpaceDE w:val="0"/>
              <w:autoSpaceDN w:val="0"/>
              <w:adjustRightInd w:val="0"/>
              <w:textAlignment w:val="baseline"/>
              <w:rPr>
                <w:rFonts w:cs="Arial"/>
                <w:b/>
                <w:i/>
                <w:sz w:val="20"/>
                <w:u w:val="single"/>
                <w:lang w:val="x-none"/>
              </w:rPr>
            </w:pPr>
            <w:r w:rsidRPr="00C359C8">
              <w:rPr>
                <w:rFonts w:cs="Arial"/>
                <w:b/>
                <w:i/>
                <w:sz w:val="20"/>
                <w:u w:val="single"/>
                <w:lang w:val="x-none"/>
              </w:rPr>
              <w:t xml:space="preserve">500mg VIAL </w:t>
            </w:r>
          </w:p>
          <w:p w:rsidRPr="00C359C8" w:rsidR="00C359C8" w:rsidP="00C359C8" w:rsidRDefault="00C359C8" w14:paraId="654DDD26" w14:textId="77777777">
            <w:pPr>
              <w:overflowPunct w:val="0"/>
              <w:autoSpaceDE w:val="0"/>
              <w:autoSpaceDN w:val="0"/>
              <w:adjustRightInd w:val="0"/>
              <w:textAlignment w:val="baseline"/>
              <w:rPr>
                <w:rFonts w:cs="Arial"/>
                <w:i/>
                <w:sz w:val="20"/>
                <w:lang w:val="x-none"/>
              </w:rPr>
            </w:pPr>
            <w:r w:rsidRPr="00C359C8">
              <w:rPr>
                <w:rFonts w:cs="Arial"/>
                <w:i/>
                <w:sz w:val="20"/>
                <w:lang w:val="x-none"/>
              </w:rPr>
              <w:t xml:space="preserve"> Add 10 mL of water for injection to the 500 mg vial to make a 50 mg/mL solution</w:t>
            </w:r>
          </w:p>
          <w:p w:rsidRPr="00C359C8" w:rsidR="00C359C8" w:rsidP="00C359C8" w:rsidRDefault="00C359C8" w14:paraId="7729F6BC" w14:textId="77777777">
            <w:pPr>
              <w:overflowPunct w:val="0"/>
              <w:autoSpaceDE w:val="0"/>
              <w:autoSpaceDN w:val="0"/>
              <w:adjustRightInd w:val="0"/>
              <w:textAlignment w:val="baseline"/>
              <w:rPr>
                <w:rFonts w:cs="Arial"/>
                <w:b/>
                <w:i/>
                <w:sz w:val="20"/>
                <w:lang w:val="x-none"/>
              </w:rPr>
            </w:pPr>
            <w:r w:rsidRPr="00C359C8">
              <w:rPr>
                <w:rFonts w:cs="Arial"/>
                <w:b/>
                <w:i/>
                <w:sz w:val="20"/>
                <w:lang w:val="x-none"/>
              </w:rPr>
              <w:t>Further Dilute</w:t>
            </w:r>
          </w:p>
          <w:p w:rsidRPr="00C359C8" w:rsidR="00C359C8" w:rsidP="00C359C8" w:rsidRDefault="00C359C8" w14:paraId="1FEB74C6" w14:textId="77777777">
            <w:pPr>
              <w:overflowPunct w:val="0"/>
              <w:autoSpaceDE w:val="0"/>
              <w:autoSpaceDN w:val="0"/>
              <w:adjustRightInd w:val="0"/>
              <w:textAlignment w:val="baseline"/>
              <w:rPr>
                <w:rFonts w:cs="Arial"/>
                <w:i/>
                <w:sz w:val="20"/>
                <w:lang w:val="x-none"/>
              </w:rPr>
            </w:pPr>
            <w:r w:rsidRPr="00C359C8">
              <w:rPr>
                <w:rFonts w:cs="Arial"/>
                <w:i/>
                <w:sz w:val="20"/>
                <w:lang w:val="x-none"/>
              </w:rPr>
              <w:t xml:space="preserve">Draw up </w:t>
            </w:r>
            <w:r w:rsidRPr="00C359C8">
              <w:rPr>
                <w:rFonts w:cs="Arial"/>
                <w:i/>
                <w:sz w:val="20"/>
                <w:lang w:val="en-AU"/>
              </w:rPr>
              <w:t>10</w:t>
            </w:r>
            <w:r w:rsidRPr="00C359C8">
              <w:rPr>
                <w:rFonts w:cs="Arial"/>
                <w:i/>
                <w:sz w:val="20"/>
                <w:lang w:val="x-none"/>
              </w:rPr>
              <w:t xml:space="preserve"> mL (</w:t>
            </w:r>
            <w:r w:rsidRPr="00C359C8">
              <w:rPr>
                <w:rFonts w:cs="Arial"/>
                <w:i/>
                <w:sz w:val="20"/>
                <w:lang w:val="en-AU"/>
              </w:rPr>
              <w:t>5</w:t>
            </w:r>
            <w:r w:rsidRPr="00C359C8">
              <w:rPr>
                <w:rFonts w:cs="Arial"/>
                <w:i/>
                <w:sz w:val="20"/>
                <w:lang w:val="x-none"/>
              </w:rPr>
              <w:t xml:space="preserve">00 mg of vancomycin) of the above solution and add </w:t>
            </w:r>
            <w:r w:rsidRPr="00C359C8">
              <w:rPr>
                <w:rFonts w:cs="Arial"/>
                <w:i/>
                <w:sz w:val="20"/>
                <w:lang w:val="en-AU"/>
              </w:rPr>
              <w:t>40</w:t>
            </w:r>
            <w:r w:rsidRPr="00C359C8">
              <w:rPr>
                <w:rFonts w:cs="Arial"/>
                <w:i/>
                <w:sz w:val="20"/>
                <w:lang w:val="x-none"/>
              </w:rPr>
              <w:t xml:space="preserve"> mL glucose 5% or sodium chloride 0.9% to make a final volume of </w:t>
            </w:r>
            <w:r w:rsidRPr="00C359C8">
              <w:rPr>
                <w:rFonts w:cs="Arial"/>
                <w:i/>
                <w:sz w:val="20"/>
                <w:lang w:val="en-AU"/>
              </w:rPr>
              <w:t>5</w:t>
            </w:r>
            <w:r w:rsidRPr="00C359C8">
              <w:rPr>
                <w:rFonts w:cs="Arial"/>
                <w:i/>
                <w:sz w:val="20"/>
                <w:lang w:val="x-none"/>
              </w:rPr>
              <w:t>0 mL with a final concentration of 10 mg/mL.</w:t>
            </w:r>
          </w:p>
          <w:p w:rsidRPr="00C359C8" w:rsidR="00C359C8" w:rsidP="00C359C8" w:rsidRDefault="00C359C8" w14:paraId="26EB87C1" w14:textId="77777777">
            <w:pPr>
              <w:overflowPunct w:val="0"/>
              <w:autoSpaceDE w:val="0"/>
              <w:autoSpaceDN w:val="0"/>
              <w:adjustRightInd w:val="0"/>
              <w:textAlignment w:val="baseline"/>
              <w:rPr>
                <w:rFonts w:cs="Arial"/>
                <w:i/>
                <w:sz w:val="20"/>
                <w:lang w:val="x-none"/>
              </w:rPr>
            </w:pPr>
            <w:r w:rsidRPr="00C359C8">
              <w:rPr>
                <w:rFonts w:cs="Arial"/>
                <w:i/>
                <w:sz w:val="20"/>
                <w:lang w:val="x-none"/>
              </w:rPr>
              <w:t>To prepare 10 mg/mL concentration</w:t>
            </w:r>
          </w:p>
          <w:p w:rsidRPr="00C359C8" w:rsidR="00C359C8" w:rsidP="00C359C8" w:rsidRDefault="00C359C8" w14:paraId="34C3B6F4" w14:textId="77777777">
            <w:pPr>
              <w:overflowPunct w:val="0"/>
              <w:autoSpaceDE w:val="0"/>
              <w:autoSpaceDN w:val="0"/>
              <w:adjustRightInd w:val="0"/>
              <w:textAlignment w:val="baseline"/>
              <w:rPr>
                <w:rFonts w:cs="Arial"/>
                <w:b/>
                <w:i/>
                <w:sz w:val="20"/>
                <w:u w:val="single"/>
                <w:lang w:val="x-none"/>
              </w:rPr>
            </w:pPr>
            <w:r w:rsidRPr="00C359C8">
              <w:rPr>
                <w:rFonts w:cs="Arial"/>
                <w:b/>
                <w:i/>
                <w:sz w:val="20"/>
                <w:u w:val="single"/>
                <w:lang w:val="x-none"/>
              </w:rPr>
              <w:t>1g VIAL</w:t>
            </w:r>
          </w:p>
          <w:p w:rsidRPr="00C359C8" w:rsidR="00C359C8" w:rsidP="00C359C8" w:rsidRDefault="00C359C8" w14:paraId="534E7F30" w14:textId="77777777">
            <w:pPr>
              <w:overflowPunct w:val="0"/>
              <w:autoSpaceDE w:val="0"/>
              <w:autoSpaceDN w:val="0"/>
              <w:adjustRightInd w:val="0"/>
              <w:textAlignment w:val="baseline"/>
              <w:rPr>
                <w:rFonts w:cs="Arial"/>
                <w:i/>
                <w:sz w:val="20"/>
                <w:lang w:val="x-none"/>
              </w:rPr>
            </w:pPr>
            <w:r w:rsidRPr="00C359C8">
              <w:rPr>
                <w:rFonts w:cs="Arial"/>
                <w:i/>
                <w:sz w:val="20"/>
                <w:lang w:val="x-none"/>
              </w:rPr>
              <w:t xml:space="preserve"> Add 20 mL of water for injection to the 1g vial to make a 50 mg/mL solution</w:t>
            </w:r>
          </w:p>
          <w:p w:rsidRPr="00C359C8" w:rsidR="00C359C8" w:rsidP="00C359C8" w:rsidRDefault="00C359C8" w14:paraId="05723865" w14:textId="77777777">
            <w:pPr>
              <w:overflowPunct w:val="0"/>
              <w:autoSpaceDE w:val="0"/>
              <w:autoSpaceDN w:val="0"/>
              <w:adjustRightInd w:val="0"/>
              <w:textAlignment w:val="baseline"/>
              <w:rPr>
                <w:rFonts w:cs="Arial"/>
                <w:b/>
                <w:i/>
                <w:sz w:val="20"/>
                <w:lang w:val="x-none"/>
              </w:rPr>
            </w:pPr>
            <w:r w:rsidRPr="00C359C8">
              <w:rPr>
                <w:rFonts w:cs="Arial"/>
                <w:b/>
                <w:i/>
                <w:sz w:val="20"/>
                <w:lang w:val="x-none"/>
              </w:rPr>
              <w:t>Further Dilute</w:t>
            </w:r>
          </w:p>
          <w:p w:rsidRPr="00C359C8" w:rsidR="00C359C8" w:rsidP="00C359C8" w:rsidRDefault="00C359C8" w14:paraId="09EA3A02" w14:textId="77777777">
            <w:pPr>
              <w:overflowPunct w:val="0"/>
              <w:autoSpaceDE w:val="0"/>
              <w:autoSpaceDN w:val="0"/>
              <w:adjustRightInd w:val="0"/>
              <w:textAlignment w:val="baseline"/>
              <w:rPr>
                <w:rFonts w:cs="Arial"/>
                <w:sz w:val="20"/>
                <w:lang w:val="en-AU"/>
              </w:rPr>
            </w:pPr>
            <w:r w:rsidRPr="00C359C8">
              <w:rPr>
                <w:rFonts w:cs="Arial"/>
                <w:i/>
                <w:sz w:val="20"/>
                <w:lang w:val="x-none"/>
              </w:rPr>
              <w:t xml:space="preserve">Draw up </w:t>
            </w:r>
            <w:r w:rsidRPr="00C359C8">
              <w:rPr>
                <w:rFonts w:cs="Arial"/>
                <w:i/>
                <w:sz w:val="20"/>
                <w:lang w:val="en-AU"/>
              </w:rPr>
              <w:t>10</w:t>
            </w:r>
            <w:r w:rsidRPr="00C359C8">
              <w:rPr>
                <w:rFonts w:cs="Arial"/>
                <w:i/>
                <w:sz w:val="20"/>
                <w:lang w:val="x-none"/>
              </w:rPr>
              <w:t xml:space="preserve"> mL (</w:t>
            </w:r>
            <w:r w:rsidRPr="00C359C8">
              <w:rPr>
                <w:rFonts w:cs="Arial"/>
                <w:i/>
                <w:sz w:val="20"/>
                <w:lang w:val="en-AU"/>
              </w:rPr>
              <w:t>5</w:t>
            </w:r>
            <w:r w:rsidRPr="00C359C8">
              <w:rPr>
                <w:rFonts w:cs="Arial"/>
                <w:i/>
                <w:sz w:val="20"/>
                <w:lang w:val="x-none"/>
              </w:rPr>
              <w:t xml:space="preserve">00 mg of vancomycin) of the above solution and add </w:t>
            </w:r>
            <w:r w:rsidRPr="00C359C8">
              <w:rPr>
                <w:rFonts w:cs="Arial"/>
                <w:i/>
                <w:sz w:val="20"/>
                <w:lang w:val="en-AU"/>
              </w:rPr>
              <w:t>40</w:t>
            </w:r>
            <w:r w:rsidRPr="00C359C8">
              <w:rPr>
                <w:rFonts w:cs="Arial"/>
                <w:i/>
                <w:sz w:val="20"/>
                <w:lang w:val="x-none"/>
              </w:rPr>
              <w:t xml:space="preserve"> mL glucose 5% or sodium chloride 0.9% to make a final volume of </w:t>
            </w:r>
            <w:r w:rsidRPr="00C359C8">
              <w:rPr>
                <w:rFonts w:cs="Arial"/>
                <w:i/>
                <w:sz w:val="20"/>
                <w:lang w:val="en-AU"/>
              </w:rPr>
              <w:t>5</w:t>
            </w:r>
            <w:r w:rsidRPr="00C359C8">
              <w:rPr>
                <w:rFonts w:cs="Arial"/>
                <w:i/>
                <w:sz w:val="20"/>
                <w:lang w:val="x-none"/>
              </w:rPr>
              <w:t>0 mL with a final concentration of 10 mg/mL.</w:t>
            </w:r>
          </w:p>
          <w:p w:rsidRPr="00C359C8" w:rsidR="00C359C8" w:rsidP="00C359C8" w:rsidRDefault="00C359C8" w14:paraId="79C024DB" w14:textId="77777777">
            <w:pPr>
              <w:overflowPunct w:val="0"/>
              <w:autoSpaceDE w:val="0"/>
              <w:autoSpaceDN w:val="0"/>
              <w:adjustRightInd w:val="0"/>
              <w:textAlignment w:val="baseline"/>
              <w:rPr>
                <w:sz w:val="20"/>
                <w:lang w:val="en-AU"/>
              </w:rPr>
            </w:pPr>
            <w:r w:rsidRPr="00C359C8">
              <w:rPr>
                <w:sz w:val="20"/>
                <w:lang w:val="en-AU"/>
              </w:rPr>
              <w:t xml:space="preserve"> </w:t>
            </w:r>
          </w:p>
        </w:tc>
      </w:tr>
      <w:tr w:rsidRPr="00C359C8" w:rsidR="00C359C8" w:rsidTr="00C359C8" w14:paraId="23A66321" w14:textId="77777777">
        <w:trPr>
          <w:trHeight w:val="310"/>
        </w:trPr>
        <w:tc>
          <w:tcPr>
            <w:tcW w:w="1730" w:type="dxa"/>
          </w:tcPr>
          <w:p w:rsidRPr="00C359C8" w:rsidR="00C359C8" w:rsidP="00C359C8" w:rsidRDefault="00C359C8" w14:paraId="165C3A8E"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lastRenderedPageBreak/>
              <w:t xml:space="preserve">Administration                 </w:t>
            </w:r>
          </w:p>
        </w:tc>
        <w:tc>
          <w:tcPr>
            <w:tcW w:w="8623" w:type="dxa"/>
            <w:vAlign w:val="center"/>
          </w:tcPr>
          <w:p w:rsidRPr="00C359C8" w:rsidR="00C359C8" w:rsidP="00C359C8" w:rsidRDefault="00C359C8" w14:paraId="6B3F18F9" w14:textId="77777777">
            <w:pPr>
              <w:overflowPunct w:val="0"/>
              <w:autoSpaceDE w:val="0"/>
              <w:autoSpaceDN w:val="0"/>
              <w:adjustRightInd w:val="0"/>
              <w:textAlignment w:val="baseline"/>
              <w:rPr>
                <w:sz w:val="20"/>
                <w:lang w:val="en-AU"/>
              </w:rPr>
            </w:pPr>
            <w:r w:rsidRPr="00C359C8">
              <w:rPr>
                <w:sz w:val="20"/>
                <w:lang w:val="en-AU"/>
              </w:rPr>
              <w:t>Loading dose: IV infusion over ONE hour.</w:t>
            </w:r>
          </w:p>
          <w:p w:rsidRPr="00C359C8" w:rsidR="00C359C8" w:rsidP="00C359C8" w:rsidRDefault="00C359C8" w14:paraId="6EADFBEB" w14:textId="77777777">
            <w:pPr>
              <w:overflowPunct w:val="0"/>
              <w:autoSpaceDE w:val="0"/>
              <w:autoSpaceDN w:val="0"/>
              <w:adjustRightInd w:val="0"/>
              <w:textAlignment w:val="baseline"/>
              <w:rPr>
                <w:rFonts w:cs="Arial"/>
                <w:sz w:val="20"/>
                <w:lang w:val="en-AU"/>
              </w:rPr>
            </w:pPr>
            <w:r w:rsidRPr="00C359C8">
              <w:rPr>
                <w:sz w:val="20"/>
                <w:lang w:val="en-AU"/>
              </w:rPr>
              <w:t xml:space="preserve">Maintenance infusion: Continuous IV infusion. </w:t>
            </w:r>
            <w:r w:rsidRPr="00C359C8">
              <w:rPr>
                <w:b/>
                <w:sz w:val="20"/>
                <w:lang w:val="en-AU"/>
              </w:rPr>
              <w:t xml:space="preserve">Change solution every 24 hours. </w:t>
            </w:r>
          </w:p>
        </w:tc>
      </w:tr>
      <w:tr w:rsidRPr="00C359C8" w:rsidR="00C359C8" w:rsidTr="00C359C8" w14:paraId="0E206EDF" w14:textId="77777777">
        <w:trPr>
          <w:trHeight w:val="2003"/>
        </w:trPr>
        <w:tc>
          <w:tcPr>
            <w:tcW w:w="1730" w:type="dxa"/>
          </w:tcPr>
          <w:p w:rsidRPr="00C359C8" w:rsidR="00C359C8" w:rsidP="00C359C8" w:rsidRDefault="00C359C8" w14:paraId="4135AD19"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Monitoring                              </w:t>
            </w:r>
          </w:p>
          <w:p w:rsidRPr="00C359C8" w:rsidR="00C359C8" w:rsidP="00C359C8" w:rsidRDefault="00C359C8" w14:paraId="433E7631" w14:textId="77777777">
            <w:pPr>
              <w:overflowPunct w:val="0"/>
              <w:autoSpaceDE w:val="0"/>
              <w:autoSpaceDN w:val="0"/>
              <w:adjustRightInd w:val="0"/>
              <w:textAlignment w:val="baseline"/>
              <w:rPr>
                <w:rFonts w:cs="Arial"/>
                <w:szCs w:val="24"/>
                <w:lang w:val="en-AU"/>
              </w:rPr>
            </w:pPr>
          </w:p>
        </w:tc>
        <w:tc>
          <w:tcPr>
            <w:tcW w:w="8623" w:type="dxa"/>
          </w:tcPr>
          <w:p w:rsidRPr="00C359C8" w:rsidR="00C359C8" w:rsidP="00C359C8" w:rsidRDefault="00C359C8" w14:paraId="4E491509" w14:textId="77777777">
            <w:pPr>
              <w:overflowPunct w:val="0"/>
              <w:autoSpaceDE w:val="0"/>
              <w:autoSpaceDN w:val="0"/>
              <w:rPr>
                <w:rFonts w:eastAsia="Calibri" w:cs="Calibri"/>
                <w:sz w:val="20"/>
                <w:lang w:val="en-AU"/>
              </w:rPr>
            </w:pPr>
            <w:r w:rsidRPr="00C359C8">
              <w:rPr>
                <w:rFonts w:eastAsia="Calibri" w:cs="Calibri"/>
                <w:sz w:val="20"/>
                <w:lang w:val="en-AU"/>
              </w:rPr>
              <w:t>Renal function, full blood count, hearing function and serum vancomycin concentrations.</w:t>
            </w:r>
            <w:r w:rsidRPr="00C359C8">
              <w:rPr>
                <w:rFonts w:eastAsia="Calibri" w:cs="Calibri"/>
                <w:sz w:val="20"/>
                <w:lang w:val="en-AU"/>
              </w:rPr>
              <w:br/>
            </w:r>
          </w:p>
          <w:p w:rsidRPr="00C359C8" w:rsidR="00C359C8" w:rsidP="00C359C8" w:rsidRDefault="00C359C8" w14:paraId="64B8CEF0" w14:textId="77777777">
            <w:pPr>
              <w:overflowPunct w:val="0"/>
              <w:autoSpaceDE w:val="0"/>
              <w:autoSpaceDN w:val="0"/>
              <w:adjustRightInd w:val="0"/>
              <w:textAlignment w:val="baseline"/>
              <w:rPr>
                <w:sz w:val="20"/>
                <w:lang w:val="x-none"/>
              </w:rPr>
            </w:pPr>
            <w:r w:rsidRPr="00C359C8">
              <w:rPr>
                <w:sz w:val="20"/>
                <w:lang w:val="x-none"/>
              </w:rPr>
              <w:t xml:space="preserve">Target </w:t>
            </w:r>
            <w:r w:rsidRPr="00C359C8">
              <w:rPr>
                <w:b/>
                <w:sz w:val="20"/>
                <w:lang w:val="x-none"/>
              </w:rPr>
              <w:t>trough concentration</w:t>
            </w:r>
            <w:r w:rsidRPr="00C359C8">
              <w:rPr>
                <w:sz w:val="20"/>
                <w:lang w:val="x-none"/>
              </w:rPr>
              <w:t xml:space="preserve"> 10─20 mg/L </w:t>
            </w:r>
          </w:p>
          <w:p w:rsidRPr="00C359C8" w:rsidR="00C359C8" w:rsidP="00C359C8" w:rsidRDefault="00C359C8" w14:paraId="20E7B0C5" w14:textId="77777777">
            <w:pPr>
              <w:overflowPunct w:val="0"/>
              <w:autoSpaceDE w:val="0"/>
              <w:autoSpaceDN w:val="0"/>
              <w:adjustRightInd w:val="0"/>
              <w:textAlignment w:val="baseline"/>
              <w:rPr>
                <w:sz w:val="20"/>
                <w:lang w:val="x-none"/>
              </w:rPr>
            </w:pPr>
            <w:r w:rsidRPr="00C359C8">
              <w:rPr>
                <w:sz w:val="20"/>
                <w:lang w:val="x-none"/>
              </w:rPr>
              <w:t>Aim for higher trough level</w:t>
            </w:r>
            <w:r w:rsidRPr="00C359C8">
              <w:rPr>
                <w:sz w:val="20"/>
                <w:lang w:val="en-AU"/>
              </w:rPr>
              <w:t xml:space="preserve"> of</w:t>
            </w:r>
            <w:r w:rsidRPr="00C359C8">
              <w:rPr>
                <w:sz w:val="20"/>
                <w:lang w:val="x-none"/>
              </w:rPr>
              <w:t xml:space="preserve"> 15─20 mg/L in suspected severe sepsis e.g., MRSA, bone infection, meningitis, endocarditis.</w:t>
            </w:r>
          </w:p>
          <w:p w:rsidRPr="00C359C8" w:rsidR="00C359C8" w:rsidP="00C359C8" w:rsidRDefault="00C359C8" w14:paraId="73753866" w14:textId="77777777">
            <w:pPr>
              <w:overflowPunct w:val="0"/>
              <w:autoSpaceDE w:val="0"/>
              <w:autoSpaceDN w:val="0"/>
              <w:rPr>
                <w:rFonts w:eastAsia="Calibri" w:cs="Calibri"/>
                <w:sz w:val="20"/>
                <w:lang w:val="en-AU"/>
              </w:rPr>
            </w:pPr>
            <w:r w:rsidRPr="00C359C8">
              <w:rPr>
                <w:rFonts w:eastAsia="Calibri" w:cs="Calibri"/>
                <w:sz w:val="20"/>
                <w:lang w:val="en-AU"/>
              </w:rPr>
              <w:t>Measure vancomycin concentration 24 hours (18–30 hours) after commencement of infusion AND 24 hours after each change of infusion rate.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46"/>
              <w:gridCol w:w="1275"/>
              <w:gridCol w:w="1276"/>
              <w:gridCol w:w="3119"/>
            </w:tblGrid>
            <w:tr w:rsidRPr="00C359C8" w:rsidR="00C359C8" w:rsidTr="00FE4186" w14:paraId="2D4E63B1" w14:textId="77777777">
              <w:tc>
                <w:tcPr>
                  <w:tcW w:w="1447" w:type="dxa"/>
                  <w:vAlign w:val="center"/>
                </w:tcPr>
                <w:p w:rsidRPr="00C359C8" w:rsidR="00C359C8" w:rsidP="00C359C8" w:rsidRDefault="00C359C8" w14:paraId="7301A227" w14:textId="77777777">
                  <w:pPr>
                    <w:overflowPunct w:val="0"/>
                    <w:autoSpaceDE w:val="0"/>
                    <w:autoSpaceDN w:val="0"/>
                    <w:jc w:val="center"/>
                    <w:rPr>
                      <w:rFonts w:eastAsia="Calibri" w:cs="Calibri"/>
                      <w:sz w:val="20"/>
                      <w:lang w:val="en-AU"/>
                    </w:rPr>
                  </w:pPr>
                  <w:r w:rsidRPr="00C359C8">
                    <w:rPr>
                      <w:rFonts w:eastAsia="Calibri" w:cs="Calibri"/>
                      <w:sz w:val="20"/>
                      <w:lang w:val="en-AU"/>
                    </w:rPr>
                    <w:t>Level 1</w:t>
                  </w:r>
                </w:p>
                <w:p w:rsidRPr="00C359C8" w:rsidR="00C359C8" w:rsidP="00C359C8" w:rsidRDefault="00C359C8" w14:paraId="20B6B12C" w14:textId="77777777">
                  <w:pPr>
                    <w:overflowPunct w:val="0"/>
                    <w:autoSpaceDE w:val="0"/>
                    <w:autoSpaceDN w:val="0"/>
                    <w:jc w:val="center"/>
                    <w:rPr>
                      <w:rFonts w:eastAsia="Calibri" w:cs="Calibri"/>
                      <w:sz w:val="20"/>
                      <w:lang w:val="en-AU"/>
                    </w:rPr>
                  </w:pPr>
                  <w:r w:rsidRPr="00C359C8">
                    <w:rPr>
                      <w:rFonts w:eastAsia="Calibri" w:cs="Calibri"/>
                      <w:sz w:val="20"/>
                      <w:lang w:val="en-AU"/>
                    </w:rPr>
                    <w:t>24 hours after commencement</w:t>
                  </w:r>
                </w:p>
              </w:tc>
              <w:tc>
                <w:tcPr>
                  <w:tcW w:w="1275" w:type="dxa"/>
                  <w:vAlign w:val="center"/>
                </w:tcPr>
                <w:p w:rsidRPr="00C359C8" w:rsidR="00C359C8" w:rsidP="00C359C8" w:rsidRDefault="00C359C8" w14:paraId="1BB7BA55" w14:textId="77777777">
                  <w:pPr>
                    <w:overflowPunct w:val="0"/>
                    <w:autoSpaceDE w:val="0"/>
                    <w:autoSpaceDN w:val="0"/>
                    <w:jc w:val="center"/>
                    <w:rPr>
                      <w:rFonts w:eastAsia="Calibri" w:cs="Calibri"/>
                      <w:sz w:val="20"/>
                      <w:lang w:val="en-AU"/>
                    </w:rPr>
                  </w:pPr>
                  <w:r w:rsidRPr="00C359C8">
                    <w:rPr>
                      <w:rFonts w:eastAsia="Calibri" w:cs="Calibri"/>
                      <w:sz w:val="20"/>
                      <w:lang w:val="en-AU"/>
                    </w:rPr>
                    <w:t>Dose</w:t>
                  </w:r>
                </w:p>
              </w:tc>
              <w:tc>
                <w:tcPr>
                  <w:tcW w:w="1276" w:type="dxa"/>
                  <w:vAlign w:val="center"/>
                </w:tcPr>
                <w:p w:rsidRPr="00C359C8" w:rsidR="00C359C8" w:rsidP="00C359C8" w:rsidRDefault="00C359C8" w14:paraId="7273FE15" w14:textId="77777777">
                  <w:pPr>
                    <w:overflowPunct w:val="0"/>
                    <w:autoSpaceDE w:val="0"/>
                    <w:autoSpaceDN w:val="0"/>
                    <w:jc w:val="center"/>
                    <w:rPr>
                      <w:rFonts w:eastAsia="Calibri" w:cs="Calibri"/>
                      <w:sz w:val="20"/>
                      <w:lang w:val="en-AU"/>
                    </w:rPr>
                  </w:pPr>
                  <w:r w:rsidRPr="00C359C8">
                    <w:rPr>
                      <w:rFonts w:eastAsia="Calibri" w:cs="Calibri"/>
                      <w:sz w:val="20"/>
                      <w:lang w:val="en-AU"/>
                    </w:rPr>
                    <w:t>Level 2</w:t>
                  </w:r>
                </w:p>
                <w:p w:rsidRPr="00C359C8" w:rsidR="00C359C8" w:rsidP="00C359C8" w:rsidRDefault="00C359C8" w14:paraId="66E7561A" w14:textId="77777777">
                  <w:pPr>
                    <w:overflowPunct w:val="0"/>
                    <w:autoSpaceDE w:val="0"/>
                    <w:autoSpaceDN w:val="0"/>
                    <w:jc w:val="center"/>
                    <w:rPr>
                      <w:rFonts w:eastAsia="Calibri" w:cs="Calibri"/>
                      <w:sz w:val="20"/>
                      <w:lang w:val="en-AU"/>
                    </w:rPr>
                  </w:pPr>
                </w:p>
              </w:tc>
              <w:tc>
                <w:tcPr>
                  <w:tcW w:w="3119" w:type="dxa"/>
                  <w:vAlign w:val="center"/>
                </w:tcPr>
                <w:p w:rsidRPr="00C359C8" w:rsidR="00C359C8" w:rsidP="00C359C8" w:rsidRDefault="00C359C8" w14:paraId="53DF01A1" w14:textId="77777777">
                  <w:pPr>
                    <w:overflowPunct w:val="0"/>
                    <w:autoSpaceDE w:val="0"/>
                    <w:autoSpaceDN w:val="0"/>
                    <w:jc w:val="center"/>
                    <w:rPr>
                      <w:rFonts w:eastAsia="Calibri" w:cs="Calibri"/>
                      <w:sz w:val="20"/>
                      <w:lang w:val="en-AU"/>
                    </w:rPr>
                  </w:pPr>
                  <w:r w:rsidRPr="00C359C8">
                    <w:rPr>
                      <w:rFonts w:eastAsia="Calibri" w:cs="Calibri"/>
                      <w:sz w:val="20"/>
                      <w:lang w:val="en-AU"/>
                    </w:rPr>
                    <w:t>Consecutive levels</w:t>
                  </w:r>
                </w:p>
              </w:tc>
            </w:tr>
            <w:tr w:rsidRPr="00C359C8" w:rsidR="00C359C8" w:rsidTr="00FE4186" w14:paraId="3D6AB79C" w14:textId="77777777">
              <w:tc>
                <w:tcPr>
                  <w:tcW w:w="1447" w:type="dxa"/>
                  <w:vAlign w:val="center"/>
                </w:tcPr>
                <w:p w:rsidRPr="00C359C8" w:rsidR="00C359C8" w:rsidP="00C359C8" w:rsidRDefault="00C359C8" w14:paraId="33534DDA" w14:textId="77777777">
                  <w:pPr>
                    <w:overflowPunct w:val="0"/>
                    <w:autoSpaceDE w:val="0"/>
                    <w:autoSpaceDN w:val="0"/>
                    <w:jc w:val="center"/>
                    <w:rPr>
                      <w:rFonts w:eastAsia="Calibri" w:cs="Calibri"/>
                      <w:sz w:val="20"/>
                      <w:lang w:val="en-AU"/>
                    </w:rPr>
                  </w:pPr>
                  <w:r w:rsidRPr="00C359C8">
                    <w:rPr>
                      <w:rFonts w:eastAsia="Calibri" w:cs="Calibri"/>
                      <w:sz w:val="20"/>
                      <w:lang w:val="en-AU"/>
                    </w:rPr>
                    <w:t>15-25mg/mL</w:t>
                  </w:r>
                </w:p>
              </w:tc>
              <w:tc>
                <w:tcPr>
                  <w:tcW w:w="1275" w:type="dxa"/>
                  <w:vAlign w:val="center"/>
                </w:tcPr>
                <w:p w:rsidRPr="00C359C8" w:rsidR="00C359C8" w:rsidP="00C359C8" w:rsidRDefault="00C359C8" w14:paraId="1DDE61CA" w14:textId="77777777">
                  <w:pPr>
                    <w:overflowPunct w:val="0"/>
                    <w:autoSpaceDE w:val="0"/>
                    <w:autoSpaceDN w:val="0"/>
                    <w:jc w:val="center"/>
                    <w:rPr>
                      <w:rFonts w:eastAsia="Calibri" w:cs="Calibri"/>
                      <w:sz w:val="20"/>
                      <w:lang w:val="en-AU"/>
                    </w:rPr>
                  </w:pPr>
                  <w:r w:rsidRPr="00C359C8">
                    <w:rPr>
                      <w:rFonts w:eastAsia="Calibri" w:cs="Calibri"/>
                      <w:sz w:val="20"/>
                      <w:lang w:val="en-AU"/>
                    </w:rPr>
                    <w:t>Same</w:t>
                  </w:r>
                </w:p>
              </w:tc>
              <w:tc>
                <w:tcPr>
                  <w:tcW w:w="1276" w:type="dxa"/>
                </w:tcPr>
                <w:p w:rsidRPr="00C359C8" w:rsidR="00C359C8" w:rsidP="00C359C8" w:rsidRDefault="00C359C8" w14:paraId="775A41B2" w14:textId="77777777">
                  <w:pPr>
                    <w:overflowPunct w:val="0"/>
                    <w:autoSpaceDE w:val="0"/>
                    <w:autoSpaceDN w:val="0"/>
                    <w:rPr>
                      <w:rFonts w:eastAsia="Calibri" w:cs="Calibri"/>
                      <w:sz w:val="20"/>
                      <w:lang w:val="en-AU"/>
                    </w:rPr>
                  </w:pPr>
                  <w:r w:rsidRPr="00C359C8">
                    <w:rPr>
                      <w:rFonts w:eastAsia="Calibri" w:cs="Calibri"/>
                      <w:sz w:val="20"/>
                      <w:lang w:val="en-AU"/>
                    </w:rPr>
                    <w:t>48 hours</w:t>
                  </w:r>
                </w:p>
                <w:p w:rsidRPr="00C359C8" w:rsidR="00C359C8" w:rsidP="00C359C8" w:rsidRDefault="00C359C8" w14:paraId="5C973629" w14:textId="77777777">
                  <w:pPr>
                    <w:overflowPunct w:val="0"/>
                    <w:autoSpaceDE w:val="0"/>
                    <w:autoSpaceDN w:val="0"/>
                    <w:rPr>
                      <w:rFonts w:eastAsia="Calibri" w:cs="Calibri"/>
                      <w:sz w:val="20"/>
                      <w:lang w:val="en-AU"/>
                    </w:rPr>
                  </w:pPr>
                  <w:r w:rsidRPr="00C359C8">
                    <w:rPr>
                      <w:rFonts w:eastAsia="Calibri" w:cs="Calibri"/>
                      <w:sz w:val="20"/>
                      <w:lang w:val="en-AU"/>
                    </w:rPr>
                    <w:t>After first level</w:t>
                  </w:r>
                </w:p>
              </w:tc>
              <w:tc>
                <w:tcPr>
                  <w:tcW w:w="3119" w:type="dxa"/>
                </w:tcPr>
                <w:p w:rsidRPr="00C359C8" w:rsidR="00C359C8" w:rsidP="00C359C8" w:rsidRDefault="00C359C8" w14:paraId="30059D56" w14:textId="77777777">
                  <w:pPr>
                    <w:overflowPunct w:val="0"/>
                    <w:autoSpaceDE w:val="0"/>
                    <w:autoSpaceDN w:val="0"/>
                    <w:rPr>
                      <w:rFonts w:eastAsia="Calibri" w:cs="Calibri"/>
                      <w:sz w:val="20"/>
                      <w:lang w:val="en-AU"/>
                    </w:rPr>
                  </w:pPr>
                  <w:r w:rsidRPr="00C359C8">
                    <w:rPr>
                      <w:rFonts w:eastAsia="Calibri" w:cs="Calibri"/>
                      <w:sz w:val="20"/>
                      <w:lang w:val="en-AU"/>
                    </w:rPr>
                    <w:t>Day 6, day 9, day 12, day15</w:t>
                  </w:r>
                </w:p>
                <w:p w:rsidRPr="00C359C8" w:rsidR="00C359C8" w:rsidP="00C359C8" w:rsidRDefault="00C359C8" w14:paraId="6271A8EF" w14:textId="77777777">
                  <w:pPr>
                    <w:overflowPunct w:val="0"/>
                    <w:autoSpaceDE w:val="0"/>
                    <w:autoSpaceDN w:val="0"/>
                    <w:rPr>
                      <w:rFonts w:eastAsia="Calibri" w:cs="Calibri"/>
                      <w:sz w:val="20"/>
                      <w:lang w:val="en-AU"/>
                    </w:rPr>
                  </w:pPr>
                  <w:r w:rsidRPr="00C359C8">
                    <w:rPr>
                      <w:rFonts w:eastAsia="Calibri" w:cs="Calibri"/>
                      <w:sz w:val="20"/>
                      <w:lang w:val="en-AU"/>
                    </w:rPr>
                    <w:t xml:space="preserve">Every 3 days </w:t>
                  </w:r>
                </w:p>
              </w:tc>
            </w:tr>
            <w:tr w:rsidRPr="00C359C8" w:rsidR="00C359C8" w:rsidTr="00FE4186" w14:paraId="621704EA" w14:textId="77777777">
              <w:tc>
                <w:tcPr>
                  <w:tcW w:w="1447" w:type="dxa"/>
                  <w:vAlign w:val="center"/>
                </w:tcPr>
                <w:p w:rsidRPr="00C359C8" w:rsidR="00C359C8" w:rsidP="00C359C8" w:rsidRDefault="00C359C8" w14:paraId="4212ACE5" w14:textId="77777777">
                  <w:pPr>
                    <w:overflowPunct w:val="0"/>
                    <w:autoSpaceDE w:val="0"/>
                    <w:autoSpaceDN w:val="0"/>
                    <w:jc w:val="center"/>
                    <w:rPr>
                      <w:rFonts w:eastAsia="Calibri" w:cs="Calibri"/>
                      <w:sz w:val="20"/>
                      <w:lang w:val="en-AU"/>
                    </w:rPr>
                  </w:pPr>
                  <w:r w:rsidRPr="00C359C8">
                    <w:rPr>
                      <w:rFonts w:eastAsia="Calibri" w:cs="Calibri"/>
                      <w:sz w:val="20"/>
                      <w:lang w:val="en-AU"/>
                    </w:rPr>
                    <w:t>&lt;15mg/mL</w:t>
                  </w:r>
                </w:p>
              </w:tc>
              <w:tc>
                <w:tcPr>
                  <w:tcW w:w="1275" w:type="dxa"/>
                  <w:vAlign w:val="center"/>
                </w:tcPr>
                <w:p w:rsidRPr="00C359C8" w:rsidR="00C359C8" w:rsidP="00C359C8" w:rsidRDefault="00C359C8" w14:paraId="617FA322" w14:textId="77777777">
                  <w:pPr>
                    <w:overflowPunct w:val="0"/>
                    <w:autoSpaceDE w:val="0"/>
                    <w:autoSpaceDN w:val="0"/>
                    <w:jc w:val="center"/>
                    <w:rPr>
                      <w:rFonts w:eastAsia="Calibri" w:cs="Calibri"/>
                      <w:sz w:val="20"/>
                      <w:lang w:val="en-AU"/>
                    </w:rPr>
                  </w:pPr>
                  <w:r w:rsidRPr="00C359C8">
                    <w:rPr>
                      <w:rFonts w:eastAsia="Calibri" w:cs="Calibri"/>
                      <w:sz w:val="20"/>
                      <w:lang w:val="en-AU"/>
                    </w:rPr>
                    <w:t>Increase</w:t>
                  </w:r>
                </w:p>
              </w:tc>
              <w:tc>
                <w:tcPr>
                  <w:tcW w:w="1276" w:type="dxa"/>
                </w:tcPr>
                <w:p w:rsidRPr="00C359C8" w:rsidR="00C359C8" w:rsidP="00C359C8" w:rsidRDefault="00C359C8" w14:paraId="78A2364D" w14:textId="77777777">
                  <w:pPr>
                    <w:overflowPunct w:val="0"/>
                    <w:autoSpaceDE w:val="0"/>
                    <w:autoSpaceDN w:val="0"/>
                    <w:rPr>
                      <w:rFonts w:eastAsia="Calibri" w:cs="Calibri"/>
                      <w:sz w:val="20"/>
                      <w:lang w:val="en-AU"/>
                    </w:rPr>
                  </w:pPr>
                  <w:r w:rsidRPr="00C359C8">
                    <w:rPr>
                      <w:rFonts w:eastAsia="Calibri" w:cs="Calibri"/>
                      <w:sz w:val="20"/>
                      <w:lang w:val="en-AU"/>
                    </w:rPr>
                    <w:t>24 hours</w:t>
                  </w:r>
                </w:p>
                <w:p w:rsidRPr="00C359C8" w:rsidR="00C359C8" w:rsidP="00C359C8" w:rsidRDefault="00C359C8" w14:paraId="020A17D8" w14:textId="77777777">
                  <w:pPr>
                    <w:overflowPunct w:val="0"/>
                    <w:autoSpaceDE w:val="0"/>
                    <w:autoSpaceDN w:val="0"/>
                    <w:rPr>
                      <w:rFonts w:eastAsia="Calibri" w:cs="Calibri"/>
                      <w:sz w:val="20"/>
                      <w:lang w:val="en-AU"/>
                    </w:rPr>
                  </w:pPr>
                  <w:r w:rsidRPr="00C359C8">
                    <w:rPr>
                      <w:rFonts w:eastAsia="Calibri" w:cs="Calibri"/>
                      <w:sz w:val="20"/>
                      <w:lang w:val="en-AU"/>
                    </w:rPr>
                    <w:t>After dose adjustment</w:t>
                  </w:r>
                </w:p>
              </w:tc>
              <w:tc>
                <w:tcPr>
                  <w:tcW w:w="3119" w:type="dxa"/>
                </w:tcPr>
                <w:p w:rsidRPr="00C359C8" w:rsidR="00C359C8" w:rsidP="00C359C8" w:rsidRDefault="00C359C8" w14:paraId="58417449" w14:textId="77777777">
                  <w:pPr>
                    <w:overflowPunct w:val="0"/>
                    <w:autoSpaceDE w:val="0"/>
                    <w:autoSpaceDN w:val="0"/>
                    <w:rPr>
                      <w:rFonts w:eastAsia="Calibri" w:cs="Calibri"/>
                      <w:sz w:val="20"/>
                      <w:lang w:val="en-AU"/>
                    </w:rPr>
                  </w:pPr>
                  <w:r w:rsidRPr="00C359C8">
                    <w:rPr>
                      <w:rFonts w:eastAsia="Calibri" w:cs="Calibri"/>
                      <w:sz w:val="20"/>
                      <w:lang w:val="en-AU"/>
                    </w:rPr>
                    <w:t>48 hours if targeted level achieved followed by every 3 days</w:t>
                  </w:r>
                </w:p>
              </w:tc>
            </w:tr>
            <w:tr w:rsidRPr="00C359C8" w:rsidR="00C359C8" w:rsidTr="00FE4186" w14:paraId="118F3A01" w14:textId="77777777">
              <w:tc>
                <w:tcPr>
                  <w:tcW w:w="1447" w:type="dxa"/>
                  <w:vAlign w:val="center"/>
                </w:tcPr>
                <w:p w:rsidRPr="00C359C8" w:rsidR="00C359C8" w:rsidP="00C359C8" w:rsidRDefault="00C359C8" w14:paraId="2824612C" w14:textId="77777777">
                  <w:pPr>
                    <w:overflowPunct w:val="0"/>
                    <w:autoSpaceDE w:val="0"/>
                    <w:autoSpaceDN w:val="0"/>
                    <w:jc w:val="center"/>
                    <w:rPr>
                      <w:rFonts w:eastAsia="Calibri" w:cs="Calibri"/>
                      <w:sz w:val="20"/>
                      <w:lang w:val="en-AU"/>
                    </w:rPr>
                  </w:pPr>
                  <w:r w:rsidRPr="00C359C8">
                    <w:rPr>
                      <w:rFonts w:eastAsia="Calibri" w:cs="Calibri"/>
                      <w:sz w:val="20"/>
                      <w:lang w:val="en-AU"/>
                    </w:rPr>
                    <w:t>&gt;25mg/mL</w:t>
                  </w:r>
                </w:p>
              </w:tc>
              <w:tc>
                <w:tcPr>
                  <w:tcW w:w="1275" w:type="dxa"/>
                  <w:vAlign w:val="center"/>
                </w:tcPr>
                <w:p w:rsidRPr="00C359C8" w:rsidR="00C359C8" w:rsidP="00C359C8" w:rsidRDefault="00C359C8" w14:paraId="16B0987F" w14:textId="77777777">
                  <w:pPr>
                    <w:overflowPunct w:val="0"/>
                    <w:autoSpaceDE w:val="0"/>
                    <w:autoSpaceDN w:val="0"/>
                    <w:jc w:val="center"/>
                    <w:rPr>
                      <w:rFonts w:eastAsia="Calibri" w:cs="Calibri"/>
                      <w:sz w:val="20"/>
                      <w:lang w:val="en-AU"/>
                    </w:rPr>
                  </w:pPr>
                  <w:r w:rsidRPr="00C359C8">
                    <w:rPr>
                      <w:rFonts w:eastAsia="Calibri" w:cs="Calibri"/>
                      <w:sz w:val="20"/>
                      <w:lang w:val="en-AU"/>
                    </w:rPr>
                    <w:t>Decrease</w:t>
                  </w:r>
                </w:p>
              </w:tc>
              <w:tc>
                <w:tcPr>
                  <w:tcW w:w="1276" w:type="dxa"/>
                </w:tcPr>
                <w:p w:rsidRPr="00C359C8" w:rsidR="00C359C8" w:rsidP="00C359C8" w:rsidRDefault="00C359C8" w14:paraId="0FD70CDE" w14:textId="77777777">
                  <w:pPr>
                    <w:overflowPunct w:val="0"/>
                    <w:autoSpaceDE w:val="0"/>
                    <w:autoSpaceDN w:val="0"/>
                    <w:rPr>
                      <w:rFonts w:eastAsia="Calibri" w:cs="Calibri"/>
                      <w:sz w:val="20"/>
                      <w:lang w:val="en-AU"/>
                    </w:rPr>
                  </w:pPr>
                  <w:r w:rsidRPr="00C359C8">
                    <w:rPr>
                      <w:rFonts w:eastAsia="Calibri" w:cs="Calibri"/>
                      <w:sz w:val="20"/>
                      <w:lang w:val="en-AU"/>
                    </w:rPr>
                    <w:t>24 hours</w:t>
                  </w:r>
                </w:p>
                <w:p w:rsidRPr="00C359C8" w:rsidR="00C359C8" w:rsidP="00C359C8" w:rsidRDefault="00C359C8" w14:paraId="48155420" w14:textId="77777777">
                  <w:pPr>
                    <w:overflowPunct w:val="0"/>
                    <w:autoSpaceDE w:val="0"/>
                    <w:autoSpaceDN w:val="0"/>
                    <w:rPr>
                      <w:rFonts w:eastAsia="Calibri" w:cs="Calibri"/>
                      <w:sz w:val="20"/>
                      <w:lang w:val="en-AU"/>
                    </w:rPr>
                  </w:pPr>
                  <w:r w:rsidRPr="00C359C8">
                    <w:rPr>
                      <w:rFonts w:eastAsia="Calibri" w:cs="Calibri"/>
                      <w:sz w:val="20"/>
                      <w:lang w:val="en-AU"/>
                    </w:rPr>
                    <w:t>After dose adjustment</w:t>
                  </w:r>
                </w:p>
              </w:tc>
              <w:tc>
                <w:tcPr>
                  <w:tcW w:w="3119" w:type="dxa"/>
                </w:tcPr>
                <w:p w:rsidRPr="00C359C8" w:rsidR="00C359C8" w:rsidP="00C359C8" w:rsidRDefault="00C359C8" w14:paraId="7549214B" w14:textId="77777777">
                  <w:pPr>
                    <w:overflowPunct w:val="0"/>
                    <w:autoSpaceDE w:val="0"/>
                    <w:autoSpaceDN w:val="0"/>
                    <w:rPr>
                      <w:rFonts w:eastAsia="Calibri" w:cs="Calibri"/>
                      <w:sz w:val="20"/>
                      <w:lang w:val="en-AU"/>
                    </w:rPr>
                  </w:pPr>
                  <w:r w:rsidRPr="00C359C8">
                    <w:rPr>
                      <w:rFonts w:eastAsia="Calibri" w:cs="Calibri"/>
                      <w:sz w:val="20"/>
                      <w:lang w:val="en-AU"/>
                    </w:rPr>
                    <w:t>48 hours if targeted level achieved followed by every 3 days</w:t>
                  </w:r>
                </w:p>
              </w:tc>
            </w:tr>
          </w:tbl>
          <w:p w:rsidRPr="00C359C8" w:rsidR="00C359C8" w:rsidP="00C359C8" w:rsidRDefault="00C359C8" w14:paraId="3EB0E04D" w14:textId="77777777">
            <w:pPr>
              <w:overflowPunct w:val="0"/>
              <w:autoSpaceDE w:val="0"/>
              <w:autoSpaceDN w:val="0"/>
              <w:rPr>
                <w:rFonts w:eastAsia="Calibri" w:cs="Calibri"/>
                <w:sz w:val="20"/>
                <w:lang w:val="en-AU"/>
              </w:rPr>
            </w:pPr>
          </w:p>
          <w:p w:rsidRPr="00C359C8" w:rsidR="00C359C8" w:rsidP="00C359C8" w:rsidRDefault="00C359C8" w14:paraId="2299BCB2" w14:textId="77777777">
            <w:pPr>
              <w:rPr>
                <w:rFonts w:eastAsia="Calibri" w:cs="Calibri"/>
                <w:sz w:val="20"/>
                <w:lang w:val="en-AU"/>
              </w:rPr>
            </w:pPr>
            <w:r w:rsidRPr="00C359C8">
              <w:rPr>
                <w:rFonts w:eastAsia="Calibri" w:cs="Calibri"/>
                <w:sz w:val="20"/>
                <w:lang w:val="en-AU"/>
              </w:rPr>
              <w:t>Repeat steady state level more frequently if</w:t>
            </w:r>
          </w:p>
          <w:p w:rsidRPr="00C359C8" w:rsidR="00C359C8" w:rsidP="001B0E05" w:rsidRDefault="00C359C8" w14:paraId="7EE8C084" w14:textId="77777777">
            <w:pPr>
              <w:numPr>
                <w:ilvl w:val="0"/>
                <w:numId w:val="135"/>
              </w:numPr>
              <w:rPr>
                <w:rFonts w:eastAsia="Calibri" w:cs="Calibri"/>
                <w:sz w:val="20"/>
                <w:lang w:val="en-AU"/>
              </w:rPr>
            </w:pPr>
            <w:r w:rsidRPr="00C359C8">
              <w:rPr>
                <w:rFonts w:eastAsia="Calibri" w:cs="Calibri"/>
                <w:sz w:val="20"/>
                <w:lang w:val="en-AU"/>
              </w:rPr>
              <w:t xml:space="preserve">10% change in body weight OR </w:t>
            </w:r>
          </w:p>
          <w:p w:rsidRPr="00C359C8" w:rsidR="00C359C8" w:rsidP="001B0E05" w:rsidRDefault="00C359C8" w14:paraId="422E8F93" w14:textId="77777777">
            <w:pPr>
              <w:numPr>
                <w:ilvl w:val="0"/>
                <w:numId w:val="135"/>
              </w:numPr>
              <w:rPr>
                <w:rFonts w:eastAsia="Calibri" w:cs="Calibri"/>
                <w:sz w:val="20"/>
                <w:lang w:val="en-AU"/>
              </w:rPr>
            </w:pPr>
            <w:r w:rsidRPr="00C359C8">
              <w:rPr>
                <w:rFonts w:eastAsia="Calibri" w:cs="Calibri"/>
                <w:sz w:val="20"/>
                <w:lang w:val="en-AU"/>
              </w:rPr>
              <w:t xml:space="preserve">25% change in serum creatinine OR </w:t>
            </w:r>
          </w:p>
          <w:p w:rsidRPr="00C359C8" w:rsidR="00C359C8" w:rsidP="001B0E05" w:rsidRDefault="00C359C8" w14:paraId="0F46CB8E" w14:textId="77777777">
            <w:pPr>
              <w:numPr>
                <w:ilvl w:val="0"/>
                <w:numId w:val="135"/>
              </w:numPr>
              <w:rPr>
                <w:rFonts w:eastAsia="Calibri" w:cs="Calibri"/>
                <w:sz w:val="20"/>
                <w:lang w:val="en-AU"/>
              </w:rPr>
            </w:pPr>
            <w:r w:rsidRPr="00C359C8">
              <w:rPr>
                <w:rFonts w:eastAsia="Calibri" w:cs="Calibri"/>
                <w:sz w:val="20"/>
                <w:lang w:val="en-AU"/>
              </w:rPr>
              <w:t xml:space="preserve">age-related dose adjustment OR </w:t>
            </w:r>
          </w:p>
          <w:p w:rsidRPr="00C359C8" w:rsidR="00C359C8" w:rsidP="001B0E05" w:rsidRDefault="00C359C8" w14:paraId="29FBAF33" w14:textId="77777777">
            <w:pPr>
              <w:numPr>
                <w:ilvl w:val="0"/>
                <w:numId w:val="135"/>
              </w:numPr>
              <w:rPr>
                <w:rFonts w:eastAsia="Calibri" w:cs="Calibri"/>
                <w:sz w:val="20"/>
                <w:lang w:val="en-AU"/>
              </w:rPr>
            </w:pPr>
            <w:r w:rsidRPr="00C359C8">
              <w:rPr>
                <w:rFonts w:eastAsia="Calibri" w:cs="Calibri"/>
                <w:sz w:val="20"/>
                <w:lang w:val="en-AU"/>
              </w:rPr>
              <w:t>interruption in IV infusion OR</w:t>
            </w:r>
          </w:p>
          <w:p w:rsidRPr="00C359C8" w:rsidR="00C359C8" w:rsidP="001B0E05" w:rsidRDefault="00C359C8" w14:paraId="377CFC3D" w14:textId="77777777">
            <w:pPr>
              <w:numPr>
                <w:ilvl w:val="0"/>
                <w:numId w:val="135"/>
              </w:numPr>
              <w:ind w:left="34" w:firstLine="326"/>
              <w:rPr>
                <w:rFonts w:eastAsia="Calibri" w:cs="Calibri"/>
                <w:sz w:val="20"/>
                <w:lang w:val="en-AU"/>
              </w:rPr>
            </w:pPr>
            <w:r w:rsidRPr="00C359C8">
              <w:rPr>
                <w:rFonts w:eastAsia="Calibri" w:cs="Calibri"/>
                <w:sz w:val="20"/>
                <w:lang w:val="en-AU"/>
              </w:rPr>
              <w:t>infant receives indomethacin.</w:t>
            </w:r>
            <w:r w:rsidRPr="00C359C8">
              <w:rPr>
                <w:rFonts w:eastAsia="Calibri" w:cs="Calibri"/>
                <w:sz w:val="20"/>
                <w:lang w:val="en-AU"/>
              </w:rPr>
              <w:br/>
            </w:r>
          </w:p>
          <w:p w:rsidRPr="00C359C8" w:rsidR="00C359C8" w:rsidP="00C359C8" w:rsidRDefault="00C359C8" w14:paraId="50E5794A" w14:textId="77777777">
            <w:pPr>
              <w:ind w:left="34"/>
              <w:rPr>
                <w:rFonts w:eastAsia="Calibri" w:cs="Calibri"/>
                <w:sz w:val="20"/>
                <w:lang w:val="en-AU"/>
              </w:rPr>
            </w:pPr>
            <w:r w:rsidRPr="00C359C8">
              <w:rPr>
                <w:rFonts w:eastAsia="Calibri" w:cs="Calibri"/>
                <w:sz w:val="20"/>
                <w:lang w:val="en-AU"/>
              </w:rPr>
              <w:t xml:space="preserve">If vancomycin level &lt;15 or &gt;25 mg/L: Adjust dose using below calculation: </w:t>
            </w:r>
            <w:r w:rsidRPr="00C359C8">
              <w:rPr>
                <w:rFonts w:eastAsia="Calibri" w:cs="Calibri"/>
                <w:sz w:val="20"/>
                <w:lang w:val="en-AU"/>
              </w:rPr>
              <w:br/>
            </w:r>
            <w:r w:rsidRPr="00C359C8">
              <w:rPr>
                <w:rFonts w:eastAsia="Calibri" w:cs="Calibri"/>
                <w:sz w:val="20"/>
                <w:lang w:val="en-AU"/>
              </w:rPr>
              <w:t>Adjusted dose (mg/kg/hour) = last maintenance dose (mg/kg/hour) x (20mg/mL ÷ last vancomycin concentration)</w:t>
            </w:r>
          </w:p>
          <w:p w:rsidRPr="00C359C8" w:rsidR="00C359C8" w:rsidP="00C359C8" w:rsidRDefault="00C359C8" w14:paraId="0E6AF084" w14:textId="77777777">
            <w:pPr>
              <w:ind w:left="360"/>
              <w:rPr>
                <w:rFonts w:eastAsia="Calibri" w:cs="Calibri"/>
                <w:i/>
                <w:iCs/>
                <w:sz w:val="20"/>
                <w:lang w:val="en-AU"/>
              </w:rPr>
            </w:pPr>
            <w:r w:rsidRPr="00C359C8">
              <w:rPr>
                <w:rFonts w:eastAsia="Calibri" w:cs="Calibri"/>
                <w:i/>
                <w:iCs/>
                <w:sz w:val="20"/>
                <w:lang w:val="en-AU"/>
              </w:rPr>
              <w:t>For example:</w:t>
            </w:r>
          </w:p>
          <w:p w:rsidRPr="00C359C8" w:rsidR="00C359C8" w:rsidP="001B0E05" w:rsidRDefault="00C359C8" w14:paraId="3799A942" w14:textId="77777777">
            <w:pPr>
              <w:numPr>
                <w:ilvl w:val="0"/>
                <w:numId w:val="136"/>
              </w:numPr>
              <w:rPr>
                <w:rFonts w:eastAsia="Calibri" w:cs="Calibri"/>
                <w:i/>
                <w:iCs/>
                <w:sz w:val="20"/>
                <w:lang w:val="en-AU"/>
              </w:rPr>
            </w:pPr>
            <w:r w:rsidRPr="00C359C8">
              <w:rPr>
                <w:rFonts w:eastAsia="Calibri" w:cs="Calibri"/>
                <w:i/>
                <w:iCs/>
                <w:sz w:val="20"/>
                <w:lang w:val="en-AU"/>
              </w:rPr>
              <w:t xml:space="preserve">Last dose was 2.1 mg/kg/hour and the last vancomycin concentration was 12 mg/L: </w:t>
            </w:r>
            <w:r w:rsidRPr="00C359C8">
              <w:rPr>
                <w:rFonts w:eastAsia="Calibri" w:cs="Calibri"/>
                <w:i/>
                <w:iCs/>
                <w:sz w:val="20"/>
                <w:lang w:val="en-AU"/>
              </w:rPr>
              <w:br/>
            </w:r>
            <w:r w:rsidRPr="00C359C8">
              <w:rPr>
                <w:rFonts w:eastAsia="Calibri" w:cs="Calibri"/>
                <w:i/>
                <w:iCs/>
                <w:sz w:val="20"/>
                <w:lang w:val="en-AU"/>
              </w:rPr>
              <w:t>Adjusted dose: 2.1 mg/kg/hour x (20 mg/L ÷ 12 mg/L) = 3.5 mg/kg/hour</w:t>
            </w:r>
          </w:p>
          <w:p w:rsidRPr="00C359C8" w:rsidR="00C359C8" w:rsidP="001B0E05" w:rsidRDefault="00C359C8" w14:paraId="1CFF1063" w14:textId="77777777">
            <w:pPr>
              <w:numPr>
                <w:ilvl w:val="0"/>
                <w:numId w:val="136"/>
              </w:numPr>
              <w:rPr>
                <w:rFonts w:eastAsia="Calibri" w:cs="Calibri"/>
                <w:i/>
                <w:iCs/>
                <w:sz w:val="20"/>
                <w:lang w:val="en-AU"/>
              </w:rPr>
            </w:pPr>
            <w:r w:rsidRPr="00C359C8">
              <w:rPr>
                <w:rFonts w:eastAsia="Calibri" w:cs="Calibri"/>
                <w:i/>
                <w:iCs/>
                <w:sz w:val="20"/>
                <w:lang w:val="en-AU"/>
              </w:rPr>
              <w:lastRenderedPageBreak/>
              <w:t>L</w:t>
            </w:r>
            <w:r w:rsidRPr="00C359C8">
              <w:rPr>
                <w:rFonts w:eastAsia="Calibri" w:cs="Calibri"/>
                <w:i/>
                <w:iCs/>
                <w:color w:val="1F497D"/>
                <w:sz w:val="20"/>
                <w:lang w:val="en-AU"/>
              </w:rPr>
              <w:t>a</w:t>
            </w:r>
            <w:r w:rsidRPr="00C359C8">
              <w:rPr>
                <w:rFonts w:eastAsia="Calibri" w:cs="Calibri"/>
                <w:i/>
                <w:iCs/>
                <w:sz w:val="20"/>
                <w:lang w:val="en-AU"/>
              </w:rPr>
              <w:t xml:space="preserve">st dose was 2.1 mg/kg/hour and the last vancomycin concentration was 28 mg/L: </w:t>
            </w:r>
            <w:r w:rsidRPr="00C359C8">
              <w:rPr>
                <w:rFonts w:eastAsia="Calibri" w:cs="Calibri"/>
                <w:i/>
                <w:iCs/>
                <w:sz w:val="20"/>
                <w:lang w:val="en-AU"/>
              </w:rPr>
              <w:br/>
            </w:r>
            <w:r w:rsidRPr="00C359C8">
              <w:rPr>
                <w:rFonts w:eastAsia="Calibri" w:cs="Calibri"/>
                <w:i/>
                <w:iCs/>
                <w:sz w:val="20"/>
                <w:lang w:val="en-AU"/>
              </w:rPr>
              <w:t>Adjusted dose: 2.1 mg/kg/hour x (20 mg/L ÷ 28 mg/L) = 1.5 mg/kg/hour</w:t>
            </w:r>
          </w:p>
          <w:p w:rsidRPr="00C359C8" w:rsidR="00C359C8" w:rsidP="00C359C8" w:rsidRDefault="00C359C8" w14:paraId="00245D6A" w14:textId="77777777">
            <w:pPr>
              <w:rPr>
                <w:rFonts w:eastAsia="Calibri" w:cs="Calibri"/>
                <w:b/>
                <w:bCs/>
                <w:sz w:val="20"/>
                <w:lang w:val="en-AU"/>
              </w:rPr>
            </w:pPr>
            <w:r w:rsidRPr="00C359C8">
              <w:rPr>
                <w:rFonts w:eastAsia="Calibri" w:cs="Calibri"/>
                <w:b/>
                <w:bCs/>
                <w:sz w:val="20"/>
                <w:lang w:val="en-AU"/>
              </w:rPr>
              <w:t>Adjustment to &gt; 4.2 mg/kg/hour (100mg/kg/day) should be in consultation with pharmacist and consultant.</w:t>
            </w:r>
          </w:p>
        </w:tc>
      </w:tr>
      <w:tr w:rsidRPr="00C359C8" w:rsidR="00C359C8" w:rsidTr="00C359C8" w14:paraId="3E1190B6" w14:textId="77777777">
        <w:trPr>
          <w:trHeight w:val="70"/>
        </w:trPr>
        <w:tc>
          <w:tcPr>
            <w:tcW w:w="1730" w:type="dxa"/>
          </w:tcPr>
          <w:p w:rsidRPr="00C359C8" w:rsidR="00C359C8" w:rsidP="00C359C8" w:rsidRDefault="00C359C8" w14:paraId="0D4A1FCE"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lastRenderedPageBreak/>
              <w:t xml:space="preserve">Contraindications                          </w:t>
            </w:r>
          </w:p>
        </w:tc>
        <w:tc>
          <w:tcPr>
            <w:tcW w:w="8623" w:type="dxa"/>
          </w:tcPr>
          <w:p w:rsidRPr="00C359C8" w:rsidR="00C359C8" w:rsidP="00C359C8" w:rsidRDefault="00C359C8" w14:paraId="6FB2EBEB" w14:textId="77777777">
            <w:pPr>
              <w:overflowPunct w:val="0"/>
              <w:autoSpaceDE w:val="0"/>
              <w:autoSpaceDN w:val="0"/>
              <w:adjustRightInd w:val="0"/>
              <w:textAlignment w:val="baseline"/>
              <w:rPr>
                <w:rFonts w:cs="Arial"/>
                <w:sz w:val="20"/>
                <w:lang w:val="en-AU"/>
              </w:rPr>
            </w:pPr>
            <w:r w:rsidRPr="00C359C8">
              <w:rPr>
                <w:sz w:val="20"/>
                <w:lang w:val="en-AU"/>
              </w:rPr>
              <w:t>Known hypersensitivity to vancomycin.</w:t>
            </w:r>
          </w:p>
        </w:tc>
      </w:tr>
      <w:tr w:rsidRPr="00C359C8" w:rsidR="00C359C8" w:rsidTr="00C359C8" w14:paraId="42CF1B14" w14:textId="77777777">
        <w:tc>
          <w:tcPr>
            <w:tcW w:w="1730" w:type="dxa"/>
          </w:tcPr>
          <w:p w:rsidRPr="00C359C8" w:rsidR="00C359C8" w:rsidP="00C359C8" w:rsidRDefault="00C359C8" w14:paraId="42E96936" w14:textId="77777777">
            <w:pPr>
              <w:overflowPunct w:val="0"/>
              <w:autoSpaceDE w:val="0"/>
              <w:autoSpaceDN w:val="0"/>
              <w:adjustRightInd w:val="0"/>
              <w:textAlignment w:val="baseline"/>
              <w:rPr>
                <w:rFonts w:cs="Arial"/>
                <w:b/>
                <w:bCs/>
                <w:szCs w:val="24"/>
                <w:lang w:val="en-AU"/>
              </w:rPr>
            </w:pPr>
            <w:r w:rsidRPr="00C359C8">
              <w:rPr>
                <w:szCs w:val="24"/>
                <w:lang w:val="en-AU"/>
              </w:rPr>
              <w:br w:type="page"/>
            </w:r>
            <w:r w:rsidRPr="00C359C8">
              <w:rPr>
                <w:rFonts w:cs="Arial"/>
                <w:b/>
                <w:bCs/>
                <w:szCs w:val="24"/>
                <w:lang w:val="en-AU"/>
              </w:rPr>
              <w:t>Precautions</w:t>
            </w:r>
          </w:p>
        </w:tc>
        <w:tc>
          <w:tcPr>
            <w:tcW w:w="8623" w:type="dxa"/>
          </w:tcPr>
          <w:p w:rsidRPr="00C359C8" w:rsidR="00C359C8" w:rsidP="00C359C8" w:rsidRDefault="00C359C8" w14:paraId="0F762752" w14:textId="77777777">
            <w:pPr>
              <w:overflowPunct w:val="0"/>
              <w:autoSpaceDE w:val="0"/>
              <w:autoSpaceDN w:val="0"/>
              <w:adjustRightInd w:val="0"/>
              <w:textAlignment w:val="baseline"/>
              <w:rPr>
                <w:rFonts w:cs="Arial"/>
                <w:sz w:val="20"/>
                <w:lang w:val="en-AU"/>
              </w:rPr>
            </w:pPr>
            <w:r w:rsidRPr="00C359C8">
              <w:rPr>
                <w:sz w:val="20"/>
                <w:lang w:val="en-AU"/>
              </w:rPr>
              <w:t>Use with caution in patients with renal impairment or those receiving other nephrotoxic, neurotoxic or ototoxic drugs.</w:t>
            </w:r>
          </w:p>
        </w:tc>
      </w:tr>
      <w:tr w:rsidRPr="00C359C8" w:rsidR="00C359C8" w:rsidTr="00C359C8" w14:paraId="1743013F" w14:textId="77777777">
        <w:trPr>
          <w:trHeight w:val="532"/>
        </w:trPr>
        <w:tc>
          <w:tcPr>
            <w:tcW w:w="1730" w:type="dxa"/>
          </w:tcPr>
          <w:p w:rsidRPr="00C359C8" w:rsidR="00C359C8" w:rsidP="00C359C8" w:rsidRDefault="00C359C8" w14:paraId="1E4EA124"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Drug Interactions</w:t>
            </w:r>
          </w:p>
        </w:tc>
        <w:tc>
          <w:tcPr>
            <w:tcW w:w="8623" w:type="dxa"/>
          </w:tcPr>
          <w:p w:rsidRPr="00C359C8" w:rsidR="00C359C8" w:rsidP="00C359C8" w:rsidRDefault="00C359C8" w14:paraId="49889182" w14:textId="77777777">
            <w:pPr>
              <w:overflowPunct w:val="0"/>
              <w:autoSpaceDE w:val="0"/>
              <w:autoSpaceDN w:val="0"/>
              <w:adjustRightInd w:val="0"/>
              <w:textAlignment w:val="baseline"/>
              <w:rPr>
                <w:rFonts w:cs="Arial"/>
                <w:sz w:val="20"/>
                <w:lang w:val="en-AU"/>
              </w:rPr>
            </w:pPr>
            <w:r w:rsidRPr="00C359C8">
              <w:rPr>
                <w:sz w:val="20"/>
                <w:lang w:val="en-AU"/>
              </w:rPr>
              <w:t>Neurotoxic and nephrotoxic drugs – concurrent use of these agents may contribute to the additive neurotoxic and nephrotoxic effects.</w:t>
            </w:r>
            <w:r w:rsidRPr="00C359C8">
              <w:rPr>
                <w:sz w:val="20"/>
                <w:lang w:val="en-AU"/>
              </w:rPr>
              <w:br/>
            </w:r>
            <w:r w:rsidRPr="00C359C8">
              <w:rPr>
                <w:sz w:val="20"/>
                <w:lang w:val="en-AU"/>
              </w:rPr>
              <w:t>Diuretics – potent diuretics (e.g. furosemide [frusemide]) may add to the ototoxic effect.</w:t>
            </w:r>
            <w:r w:rsidRPr="00C359C8">
              <w:rPr>
                <w:sz w:val="20"/>
                <w:lang w:val="en-AU"/>
              </w:rPr>
              <w:br/>
            </w:r>
            <w:r w:rsidRPr="00C359C8">
              <w:rPr>
                <w:sz w:val="20"/>
                <w:lang w:val="en-AU"/>
              </w:rPr>
              <w:t>Neuromuscular blocking agents (e.g. pancuronium, suxamethonium, vecuronium) – vancomycin may enhance neuromuscular blockade.</w:t>
            </w:r>
            <w:r w:rsidRPr="00C359C8">
              <w:rPr>
                <w:sz w:val="20"/>
                <w:lang w:val="en-AU"/>
              </w:rPr>
              <w:br/>
            </w:r>
            <w:r w:rsidRPr="00C359C8">
              <w:rPr>
                <w:sz w:val="20"/>
                <w:lang w:val="en-AU"/>
              </w:rPr>
              <w:t>Vancomycin may be combined with an aminoglycoside, cephalosporin or rifampicin for synergistic activity.</w:t>
            </w:r>
          </w:p>
        </w:tc>
      </w:tr>
      <w:tr w:rsidRPr="00C359C8" w:rsidR="00C359C8" w:rsidTr="00C359C8" w14:paraId="2D94A005" w14:textId="77777777">
        <w:trPr>
          <w:trHeight w:val="2963"/>
        </w:trPr>
        <w:tc>
          <w:tcPr>
            <w:tcW w:w="1730" w:type="dxa"/>
          </w:tcPr>
          <w:p w:rsidRPr="00C359C8" w:rsidR="00C359C8" w:rsidP="00C359C8" w:rsidRDefault="00C359C8" w14:paraId="00937946"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Adverse Reactions         </w:t>
            </w:r>
          </w:p>
          <w:p w:rsidRPr="00C359C8" w:rsidR="00C359C8" w:rsidP="00C359C8" w:rsidRDefault="00C359C8" w14:paraId="34A02C6D" w14:textId="77777777">
            <w:pPr>
              <w:overflowPunct w:val="0"/>
              <w:autoSpaceDE w:val="0"/>
              <w:autoSpaceDN w:val="0"/>
              <w:adjustRightInd w:val="0"/>
              <w:textAlignment w:val="baseline"/>
              <w:rPr>
                <w:rFonts w:cs="Arial"/>
                <w:b/>
                <w:bCs/>
                <w:szCs w:val="24"/>
                <w:lang w:val="en-AU"/>
              </w:rPr>
            </w:pPr>
          </w:p>
        </w:tc>
        <w:tc>
          <w:tcPr>
            <w:tcW w:w="8623" w:type="dxa"/>
          </w:tcPr>
          <w:p w:rsidRPr="00C359C8" w:rsidR="00C359C8" w:rsidP="00C359C8" w:rsidRDefault="00C359C8" w14:paraId="7FD51BB3" w14:textId="77777777">
            <w:pPr>
              <w:overflowPunct w:val="0"/>
              <w:autoSpaceDE w:val="0"/>
              <w:autoSpaceDN w:val="0"/>
              <w:adjustRightInd w:val="0"/>
              <w:textAlignment w:val="baseline"/>
              <w:rPr>
                <w:rFonts w:cs="Arial"/>
                <w:sz w:val="20"/>
                <w:lang w:val="en-AU"/>
              </w:rPr>
            </w:pPr>
            <w:r w:rsidRPr="00C359C8">
              <w:rPr>
                <w:sz w:val="20"/>
                <w:lang w:val="en-AU"/>
              </w:rPr>
              <w:t>Infusion related events: Rapid infusion may cause red man syndrome – a predominately histamine mediated reaction with pruritus, tachycardia, hypotension and rash. It appears rapidly and usually dissipates in 30─60 minutes, but may persist for several hours. Increasing the infusion time usually eliminates the risk for subsequent doses.</w:t>
            </w:r>
            <w:r w:rsidRPr="00C359C8">
              <w:rPr>
                <w:sz w:val="20"/>
                <w:lang w:val="en-AU"/>
              </w:rPr>
              <w:br/>
            </w:r>
            <w:r w:rsidRPr="00C359C8">
              <w:rPr>
                <w:sz w:val="20"/>
                <w:lang w:val="en-AU"/>
              </w:rPr>
              <w:t>Anaphylactic reactions may occur. Severe reactions may require treatment with adrenaline (epinephrine), corticosteroids and oxygen.</w:t>
            </w:r>
            <w:r w:rsidRPr="00C359C8">
              <w:rPr>
                <w:sz w:val="20"/>
                <w:lang w:val="en-AU"/>
              </w:rPr>
              <w:br/>
            </w:r>
            <w:r w:rsidRPr="00C359C8">
              <w:rPr>
                <w:sz w:val="20"/>
                <w:lang w:val="en-AU"/>
              </w:rPr>
              <w:t>Phlebitis and tissue irritation with necrosis may occur, especially after extravasation. Intramuscular injection is not recommended.</w:t>
            </w:r>
            <w:r w:rsidRPr="00C359C8">
              <w:rPr>
                <w:sz w:val="20"/>
                <w:lang w:val="en-AU"/>
              </w:rPr>
              <w:br/>
            </w:r>
            <w:r w:rsidRPr="00C359C8">
              <w:rPr>
                <w:sz w:val="20"/>
                <w:lang w:val="en-AU"/>
              </w:rPr>
              <w:t>Neurotoxicity, ototoxicity and nephrotoxicity ─ these are more pronounced with the addition of other medications such as aminoglycosides or furosemide (frusemide).</w:t>
            </w:r>
            <w:r w:rsidRPr="00C359C8">
              <w:rPr>
                <w:sz w:val="20"/>
                <w:lang w:val="en-AU"/>
              </w:rPr>
              <w:br/>
            </w:r>
            <w:r w:rsidRPr="00C359C8">
              <w:rPr>
                <w:sz w:val="20"/>
                <w:lang w:val="en-AU"/>
              </w:rPr>
              <w:t>Neutropenia and thrombocytopenia have been reported in adults; risk is increased with prolonged therapy &gt;1 week and they appear to be reversible when vancomycin is discontinued.</w:t>
            </w:r>
          </w:p>
        </w:tc>
      </w:tr>
      <w:tr w:rsidRPr="00C359C8" w:rsidR="00C359C8" w:rsidTr="00C359C8" w14:paraId="0EEFD496" w14:textId="77777777">
        <w:trPr>
          <w:trHeight w:val="1060"/>
        </w:trPr>
        <w:tc>
          <w:tcPr>
            <w:tcW w:w="1730" w:type="dxa"/>
          </w:tcPr>
          <w:p w:rsidRPr="00C359C8" w:rsidR="00C359C8" w:rsidP="00C359C8" w:rsidRDefault="00C359C8" w14:paraId="39CBB6F5"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Compatibility</w:t>
            </w:r>
          </w:p>
          <w:p w:rsidRPr="00C359C8" w:rsidR="00C359C8" w:rsidP="00C359C8" w:rsidRDefault="00C359C8" w14:paraId="5736B85C" w14:textId="77777777">
            <w:pPr>
              <w:overflowPunct w:val="0"/>
              <w:autoSpaceDE w:val="0"/>
              <w:autoSpaceDN w:val="0"/>
              <w:adjustRightInd w:val="0"/>
              <w:textAlignment w:val="baseline"/>
              <w:rPr>
                <w:rFonts w:cs="Arial"/>
                <w:b/>
                <w:bCs/>
                <w:szCs w:val="24"/>
                <w:lang w:val="en-AU"/>
              </w:rPr>
            </w:pPr>
          </w:p>
        </w:tc>
        <w:tc>
          <w:tcPr>
            <w:tcW w:w="8623" w:type="dxa"/>
          </w:tcPr>
          <w:p w:rsidRPr="008D48AE" w:rsidR="00C359C8" w:rsidP="00C359C8" w:rsidRDefault="00C359C8" w14:paraId="694B75B7" w14:textId="77777777">
            <w:pPr>
              <w:overflowPunct w:val="0"/>
              <w:autoSpaceDE w:val="0"/>
              <w:autoSpaceDN w:val="0"/>
              <w:adjustRightInd w:val="0"/>
              <w:textAlignment w:val="baseline"/>
              <w:rPr>
                <w:rFonts w:cs="Arial"/>
                <w:sz w:val="16"/>
                <w:szCs w:val="16"/>
                <w:lang w:val="en-AU"/>
              </w:rPr>
            </w:pPr>
            <w:r w:rsidRPr="008D48AE">
              <w:rPr>
                <w:sz w:val="16"/>
                <w:szCs w:val="16"/>
                <w:lang w:val="en-AU"/>
              </w:rPr>
              <w:t>Fluids: Glucose 5%, glucose 10%, sodium chloride 0.9%.</w:t>
            </w:r>
            <w:r w:rsidRPr="008D48AE">
              <w:rPr>
                <w:sz w:val="16"/>
                <w:szCs w:val="16"/>
                <w:lang w:val="en-AU"/>
              </w:rPr>
              <w:br/>
            </w:r>
            <w:r w:rsidRPr="008D48AE">
              <w:rPr>
                <w:sz w:val="16"/>
                <w:szCs w:val="16"/>
                <w:lang w:val="en-AU"/>
              </w:rPr>
              <w:br/>
            </w:r>
            <w:r w:rsidRPr="008D48AE">
              <w:rPr>
                <w:sz w:val="16"/>
                <w:szCs w:val="16"/>
                <w:lang w:val="en-AU"/>
              </w:rPr>
              <w:t>Y site: Amino acid solutions and fat emulsions, aciclovir, adrenaline (epinephrine) hydrochloride, amifostine, amiodarone, anidulafungin, atracurium, caspofungin, cisatracurium, dobutamine, dopamine, dexmedetomidine, esmolol, filgrastim, fluconazole, gentamicin, granisetron, hydromorphone, insulin regular, labetalol, linezolid, magnesium sulfate, meropenem, midazolam, milrinone, morphine sulfate, mycophenolate mofetil, noradrenaline (norepinephrine), palonosetron, pancuronium, pethidine, potassium chloride, remifentanil, tigecycline, vecuronium, zidovudine.</w:t>
            </w:r>
          </w:p>
        </w:tc>
      </w:tr>
      <w:tr w:rsidRPr="00C359C8" w:rsidR="00C359C8" w:rsidTr="00C359C8" w14:paraId="23BCEEF5" w14:textId="77777777">
        <w:tc>
          <w:tcPr>
            <w:tcW w:w="1730" w:type="dxa"/>
          </w:tcPr>
          <w:p w:rsidRPr="00C359C8" w:rsidR="00C359C8" w:rsidP="00C359C8" w:rsidRDefault="00C359C8" w14:paraId="21BB2F93"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Incompatibility      </w:t>
            </w:r>
          </w:p>
          <w:p w:rsidRPr="00C359C8" w:rsidR="00C359C8" w:rsidP="00C359C8" w:rsidRDefault="00C359C8" w14:paraId="251CCCE8" w14:textId="77777777">
            <w:pPr>
              <w:overflowPunct w:val="0"/>
              <w:autoSpaceDE w:val="0"/>
              <w:autoSpaceDN w:val="0"/>
              <w:adjustRightInd w:val="0"/>
              <w:textAlignment w:val="baseline"/>
              <w:rPr>
                <w:rFonts w:cs="Arial"/>
                <w:b/>
                <w:bCs/>
                <w:sz w:val="20"/>
                <w:lang w:val="en-AU"/>
              </w:rPr>
            </w:pPr>
            <w:r w:rsidRPr="00C359C8">
              <w:rPr>
                <w:rFonts w:cs="Arial"/>
                <w:b/>
                <w:bCs/>
                <w:sz w:val="20"/>
                <w:lang w:val="en-AU"/>
              </w:rPr>
              <w:t xml:space="preserve">               </w:t>
            </w:r>
            <w:r w:rsidRPr="00C359C8">
              <w:rPr>
                <w:rFonts w:cs="Arial"/>
                <w:b/>
                <w:bCs/>
                <w:sz w:val="20"/>
                <w:lang w:val="en-AU"/>
              </w:rPr>
              <w:tab/>
            </w:r>
          </w:p>
        </w:tc>
        <w:tc>
          <w:tcPr>
            <w:tcW w:w="8623" w:type="dxa"/>
          </w:tcPr>
          <w:p w:rsidRPr="008D48AE" w:rsidR="00C359C8" w:rsidP="00C359C8" w:rsidRDefault="00C359C8" w14:paraId="5CEDA417" w14:textId="77777777">
            <w:pPr>
              <w:overflowPunct w:val="0"/>
              <w:autoSpaceDE w:val="0"/>
              <w:autoSpaceDN w:val="0"/>
              <w:adjustRightInd w:val="0"/>
              <w:textAlignment w:val="baseline"/>
              <w:rPr>
                <w:rFonts w:cs="Arial"/>
                <w:sz w:val="16"/>
                <w:szCs w:val="16"/>
                <w:lang w:val="en-AU"/>
              </w:rPr>
            </w:pPr>
            <w:r w:rsidRPr="008D48AE">
              <w:rPr>
                <w:rFonts w:cs="Arial"/>
                <w:sz w:val="16"/>
                <w:szCs w:val="16"/>
                <w:lang w:val="en-AU"/>
              </w:rPr>
              <w:t>Y-site: Albumin, aminophylline, azathioprine, beta-lactam antibiotics (e.g. penicillins, cephalosporins), bivalirudin, calcium folinate, chloramphenicol, daptomycin, foscarnet, furosemide (frusemide), ganciclovir, heparin sodium, indometacin, ketorolac, methylprednisolone sodium succinate, moxifloxacin, omeprazole, rocuronium, sodium bicarbonate, sodium valproate, streptokinase, urokinase.</w:t>
            </w:r>
          </w:p>
        </w:tc>
      </w:tr>
      <w:tr w:rsidRPr="00C359C8" w:rsidR="00C359C8" w:rsidTr="00C359C8" w14:paraId="34C13149" w14:textId="77777777">
        <w:trPr>
          <w:trHeight w:val="266"/>
        </w:trPr>
        <w:tc>
          <w:tcPr>
            <w:tcW w:w="1730" w:type="dxa"/>
          </w:tcPr>
          <w:p w:rsidRPr="00C359C8" w:rsidR="00C359C8" w:rsidP="00C359C8" w:rsidRDefault="00C359C8" w14:paraId="2227F65C"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Stability                  </w:t>
            </w:r>
          </w:p>
        </w:tc>
        <w:tc>
          <w:tcPr>
            <w:tcW w:w="8623" w:type="dxa"/>
          </w:tcPr>
          <w:p w:rsidRPr="00C359C8" w:rsidR="00C359C8" w:rsidP="00C359C8" w:rsidRDefault="00C359C8" w14:paraId="7222FA97" w14:textId="77777777">
            <w:pPr>
              <w:overflowPunct w:val="0"/>
              <w:autoSpaceDE w:val="0"/>
              <w:autoSpaceDN w:val="0"/>
              <w:adjustRightInd w:val="0"/>
              <w:textAlignment w:val="baseline"/>
              <w:rPr>
                <w:sz w:val="20"/>
                <w:lang w:val="en-AU"/>
              </w:rPr>
            </w:pPr>
            <w:r w:rsidRPr="00C359C8">
              <w:rPr>
                <w:sz w:val="20"/>
                <w:lang w:val="en-AU"/>
              </w:rPr>
              <w:t xml:space="preserve">Administer immediately, discard unused portion of reconstituted solution. </w:t>
            </w:r>
          </w:p>
          <w:p w:rsidRPr="00C359C8" w:rsidR="00C359C8" w:rsidP="00C359C8" w:rsidRDefault="00C359C8" w14:paraId="42F46486" w14:textId="77777777">
            <w:pPr>
              <w:overflowPunct w:val="0"/>
              <w:autoSpaceDE w:val="0"/>
              <w:autoSpaceDN w:val="0"/>
              <w:adjustRightInd w:val="0"/>
              <w:textAlignment w:val="baseline"/>
              <w:rPr>
                <w:rFonts w:cs="Arial"/>
                <w:sz w:val="20"/>
                <w:lang w:val="en-AU"/>
              </w:rPr>
            </w:pPr>
            <w:r w:rsidRPr="00C359C8">
              <w:rPr>
                <w:rFonts w:cs="Arial"/>
                <w:sz w:val="20"/>
                <w:lang w:val="en-AU"/>
              </w:rPr>
              <w:t xml:space="preserve">Infusion solution is stable for 24 hours below 25°C. </w:t>
            </w:r>
          </w:p>
        </w:tc>
      </w:tr>
      <w:tr w:rsidRPr="00C359C8" w:rsidR="00C359C8" w:rsidTr="00C359C8" w14:paraId="72FA61A2" w14:textId="77777777">
        <w:trPr>
          <w:trHeight w:val="243"/>
        </w:trPr>
        <w:tc>
          <w:tcPr>
            <w:tcW w:w="1730" w:type="dxa"/>
          </w:tcPr>
          <w:p w:rsidRPr="00C359C8" w:rsidR="00C359C8" w:rsidP="00C359C8" w:rsidRDefault="00C359C8" w14:paraId="728C97BB"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Storage             </w:t>
            </w:r>
          </w:p>
        </w:tc>
        <w:tc>
          <w:tcPr>
            <w:tcW w:w="8623" w:type="dxa"/>
          </w:tcPr>
          <w:p w:rsidRPr="00C359C8" w:rsidR="00C359C8" w:rsidP="00C359C8" w:rsidRDefault="00C359C8" w14:paraId="16A5D573" w14:textId="77777777">
            <w:pPr>
              <w:overflowPunct w:val="0"/>
              <w:autoSpaceDE w:val="0"/>
              <w:autoSpaceDN w:val="0"/>
              <w:adjustRightInd w:val="0"/>
              <w:textAlignment w:val="baseline"/>
              <w:rPr>
                <w:rFonts w:cs="Arial"/>
                <w:sz w:val="20"/>
                <w:lang w:val="en-AU"/>
              </w:rPr>
            </w:pPr>
            <w:r w:rsidRPr="00C359C8">
              <w:rPr>
                <w:sz w:val="20"/>
                <w:lang w:val="en-AU"/>
              </w:rPr>
              <w:t>Store below 25°C. Protect from light.</w:t>
            </w:r>
          </w:p>
        </w:tc>
      </w:tr>
      <w:tr w:rsidRPr="00C359C8" w:rsidR="00C359C8" w:rsidTr="00C359C8" w14:paraId="53E9FC4D" w14:textId="77777777">
        <w:trPr>
          <w:trHeight w:val="237"/>
        </w:trPr>
        <w:tc>
          <w:tcPr>
            <w:tcW w:w="1730" w:type="dxa"/>
          </w:tcPr>
          <w:p w:rsidRPr="00C359C8" w:rsidR="00C359C8" w:rsidP="00C359C8" w:rsidRDefault="00C359C8" w14:paraId="0A808149"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 xml:space="preserve">Special Comments       </w:t>
            </w:r>
          </w:p>
        </w:tc>
        <w:tc>
          <w:tcPr>
            <w:tcW w:w="8623" w:type="dxa"/>
          </w:tcPr>
          <w:p w:rsidRPr="00C359C8" w:rsidR="00C359C8" w:rsidP="00C359C8" w:rsidRDefault="00C359C8" w14:paraId="7EEC83B0" w14:textId="77777777">
            <w:pPr>
              <w:overflowPunct w:val="0"/>
              <w:autoSpaceDE w:val="0"/>
              <w:autoSpaceDN w:val="0"/>
              <w:adjustRightInd w:val="0"/>
              <w:textAlignment w:val="baseline"/>
              <w:rPr>
                <w:sz w:val="20"/>
                <w:lang w:val="en-AU"/>
              </w:rPr>
            </w:pPr>
            <w:r w:rsidRPr="00C359C8">
              <w:rPr>
                <w:sz w:val="20"/>
                <w:lang w:val="en-AU"/>
              </w:rPr>
              <w:t>If IV infusion is interrupted frequently or for longer periods of time, recommend changing over to intermittent regimen.</w:t>
            </w:r>
          </w:p>
          <w:p w:rsidRPr="00C359C8" w:rsidR="00C359C8" w:rsidP="00C359C8" w:rsidRDefault="00C359C8" w14:paraId="528503A7" w14:textId="77777777">
            <w:pPr>
              <w:overflowPunct w:val="0"/>
              <w:autoSpaceDE w:val="0"/>
              <w:autoSpaceDN w:val="0"/>
              <w:adjustRightInd w:val="0"/>
              <w:textAlignment w:val="baseline"/>
              <w:rPr>
                <w:sz w:val="20"/>
                <w:lang w:val="en-AU"/>
              </w:rPr>
            </w:pPr>
            <w:r w:rsidRPr="00C359C8">
              <w:rPr>
                <w:sz w:val="20"/>
                <w:lang w:val="en-AU"/>
              </w:rPr>
              <w:t xml:space="preserve">In severe sepsis, if the IV infusion is interrupted for short duration (e.g. up to 4 hours), consider giving the missed dose over an hour followed by the continuous infusion at the original rate. </w:t>
            </w:r>
          </w:p>
        </w:tc>
      </w:tr>
      <w:tr w:rsidRPr="00C359C8" w:rsidR="00C359C8" w:rsidTr="00C359C8" w14:paraId="4F2E65C8" w14:textId="77777777">
        <w:trPr>
          <w:trHeight w:val="272"/>
        </w:trPr>
        <w:tc>
          <w:tcPr>
            <w:tcW w:w="1730" w:type="dxa"/>
          </w:tcPr>
          <w:p w:rsidRPr="00C359C8" w:rsidR="00C359C8" w:rsidP="00C359C8" w:rsidRDefault="00C359C8" w14:paraId="5280FF9F" w14:textId="77777777">
            <w:pPr>
              <w:overflowPunct w:val="0"/>
              <w:autoSpaceDE w:val="0"/>
              <w:autoSpaceDN w:val="0"/>
              <w:adjustRightInd w:val="0"/>
              <w:textAlignment w:val="baseline"/>
              <w:rPr>
                <w:rFonts w:cs="Arial"/>
                <w:b/>
                <w:bCs/>
                <w:szCs w:val="24"/>
                <w:lang w:val="en-AU"/>
              </w:rPr>
            </w:pPr>
            <w:r w:rsidRPr="00C359C8">
              <w:rPr>
                <w:rFonts w:cs="Arial"/>
                <w:b/>
                <w:bCs/>
                <w:szCs w:val="24"/>
                <w:lang w:val="en-AU"/>
              </w:rPr>
              <w:t>Evidence summary</w:t>
            </w:r>
          </w:p>
        </w:tc>
        <w:tc>
          <w:tcPr>
            <w:tcW w:w="8623" w:type="dxa"/>
          </w:tcPr>
          <w:p w:rsidRPr="00C359C8" w:rsidR="00C359C8" w:rsidP="00C359C8" w:rsidRDefault="00C359C8" w14:paraId="39DB54F3" w14:textId="77777777">
            <w:pPr>
              <w:overflowPunct w:val="0"/>
              <w:autoSpaceDE w:val="0"/>
              <w:autoSpaceDN w:val="0"/>
              <w:adjustRightInd w:val="0"/>
              <w:textAlignment w:val="baseline"/>
              <w:rPr>
                <w:rFonts w:cs="Arial"/>
                <w:b/>
                <w:sz w:val="16"/>
                <w:szCs w:val="16"/>
                <w:lang w:val="en-AU"/>
              </w:rPr>
            </w:pPr>
            <w:r w:rsidRPr="00C359C8">
              <w:rPr>
                <w:rFonts w:cs="Arial"/>
                <w:b/>
                <w:sz w:val="16"/>
                <w:szCs w:val="16"/>
                <w:lang w:val="en-AU"/>
              </w:rPr>
              <w:t>Pharmacokinetics/pharmacodynamics:</w:t>
            </w:r>
          </w:p>
          <w:p w:rsidRPr="00C359C8" w:rsidR="00C359C8" w:rsidP="00C359C8" w:rsidRDefault="00C359C8" w14:paraId="2E56AE1E"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Vancomycin is water-soluble, has limited plasma protein binding and is mainly eliminated renally by glomerular filtration, although its elimination is further modulated by renal tubular transport.[1]</w:t>
            </w:r>
          </w:p>
          <w:p w:rsidRPr="00C359C8" w:rsidR="00C359C8" w:rsidP="00C359C8" w:rsidRDefault="00C359C8" w14:paraId="4E628572"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 xml:space="preserve">Vancomycin is active against Gram-positive bacteria. </w:t>
            </w:r>
            <w:r w:rsidRPr="00C359C8">
              <w:rPr>
                <w:rFonts w:cs="Arial"/>
                <w:i/>
                <w:sz w:val="16"/>
                <w:szCs w:val="16"/>
                <w:lang w:val="en-AU"/>
              </w:rPr>
              <w:t>Staphylococcus epidermis</w:t>
            </w:r>
            <w:r w:rsidRPr="00C359C8">
              <w:rPr>
                <w:rFonts w:cs="Arial"/>
                <w:sz w:val="16"/>
                <w:szCs w:val="16"/>
                <w:lang w:val="en-AU"/>
              </w:rPr>
              <w:t xml:space="preserve">, including methicillin-resistant strains, is inhibited by vancomycin concentrations of 1–4 mg/mL; </w:t>
            </w:r>
            <w:r w:rsidRPr="00C359C8">
              <w:rPr>
                <w:rFonts w:cs="Arial"/>
                <w:i/>
                <w:sz w:val="16"/>
                <w:szCs w:val="16"/>
                <w:lang w:val="en-AU"/>
              </w:rPr>
              <w:t>Staphylococcus pyogenes</w:t>
            </w:r>
            <w:r w:rsidRPr="00C359C8">
              <w:rPr>
                <w:rFonts w:cs="Arial"/>
                <w:sz w:val="16"/>
                <w:szCs w:val="16"/>
                <w:lang w:val="en-AU"/>
              </w:rPr>
              <w:t xml:space="preserve">, </w:t>
            </w:r>
            <w:r w:rsidRPr="00C359C8">
              <w:rPr>
                <w:rFonts w:cs="Arial"/>
                <w:i/>
                <w:sz w:val="16"/>
                <w:szCs w:val="16"/>
                <w:lang w:val="en-AU"/>
              </w:rPr>
              <w:t>Streptococcus pneumoniae</w:t>
            </w:r>
            <w:r w:rsidRPr="00C359C8">
              <w:rPr>
                <w:rFonts w:cs="Arial"/>
                <w:sz w:val="16"/>
                <w:szCs w:val="16"/>
                <w:lang w:val="en-AU"/>
              </w:rPr>
              <w:t xml:space="preserve">, and </w:t>
            </w:r>
            <w:r w:rsidRPr="00C359C8">
              <w:rPr>
                <w:rFonts w:cs="Arial"/>
                <w:i/>
                <w:sz w:val="16"/>
                <w:szCs w:val="16"/>
                <w:lang w:val="en-AU"/>
              </w:rPr>
              <w:t>Streptococcus viridans</w:t>
            </w:r>
            <w:r w:rsidRPr="00C359C8">
              <w:rPr>
                <w:rFonts w:cs="Arial"/>
                <w:sz w:val="16"/>
                <w:szCs w:val="16"/>
                <w:lang w:val="en-AU"/>
              </w:rPr>
              <w:t xml:space="preserve"> are susceptible to 2 mg/mL; </w:t>
            </w:r>
            <w:r w:rsidRPr="00C359C8">
              <w:rPr>
                <w:rFonts w:cs="Arial"/>
                <w:i/>
                <w:sz w:val="16"/>
                <w:szCs w:val="16"/>
                <w:lang w:val="en-AU"/>
              </w:rPr>
              <w:t>Bacillus</w:t>
            </w:r>
            <w:r w:rsidRPr="00C359C8">
              <w:rPr>
                <w:rFonts w:cs="Arial"/>
                <w:sz w:val="16"/>
                <w:szCs w:val="16"/>
                <w:lang w:val="en-AU"/>
              </w:rPr>
              <w:t xml:space="preserve"> spp. are inhibited by 2 mg/mL, </w:t>
            </w:r>
            <w:r w:rsidRPr="00C359C8">
              <w:rPr>
                <w:rFonts w:cs="Arial"/>
                <w:i/>
                <w:sz w:val="16"/>
                <w:szCs w:val="16"/>
                <w:lang w:val="en-AU"/>
              </w:rPr>
              <w:t>Corynebacterium</w:t>
            </w:r>
            <w:r w:rsidRPr="00C359C8">
              <w:rPr>
                <w:rFonts w:cs="Arial"/>
                <w:sz w:val="16"/>
                <w:szCs w:val="16"/>
                <w:lang w:val="en-AU"/>
              </w:rPr>
              <w:t xml:space="preserve"> spp. by 0.04–3.1 mg/mL and </w:t>
            </w:r>
            <w:r w:rsidRPr="00C359C8">
              <w:rPr>
                <w:rFonts w:cs="Arial"/>
                <w:i/>
                <w:sz w:val="16"/>
                <w:szCs w:val="16"/>
                <w:lang w:val="en-AU"/>
              </w:rPr>
              <w:t>Clostridium</w:t>
            </w:r>
            <w:r w:rsidRPr="00C359C8">
              <w:rPr>
                <w:rFonts w:cs="Arial"/>
                <w:sz w:val="16"/>
                <w:szCs w:val="16"/>
                <w:lang w:val="en-AU"/>
              </w:rPr>
              <w:t xml:space="preserve"> spp. by 0.39–6 mg/mL.[1] </w:t>
            </w:r>
          </w:p>
          <w:p w:rsidRPr="00C359C8" w:rsidR="00C359C8" w:rsidP="00C359C8" w:rsidRDefault="00C359C8" w14:paraId="34A64A5F"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lastRenderedPageBreak/>
              <w:t>Pharmacokinetic studies demonstrate variability that is only in part explained by weight, age or creatinine.[1-4] These studies report that current dosage regimens typically achieve therapeutic target ranges for CoNS, MSSA and MRSA with MIC ≤1 microg/mL 50 to 60% of the time.[2] This variability necessitates the use of therapeutic drug monitoring (TDM) of trough concentrations to ensure effectiveness and avoid nephrotoxicity. In contrast, the quantification of peak concentrations provides no additional monitoring value.[1]</w:t>
            </w:r>
          </w:p>
          <w:p w:rsidRPr="00C359C8" w:rsidR="00C359C8" w:rsidP="00C359C8" w:rsidRDefault="00C359C8" w14:paraId="6A7FDDD3"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Because vancomycin activity is primarily time-dependent, the 24 hour area under the curve (AUC</w:t>
            </w:r>
            <w:r w:rsidRPr="00C359C8">
              <w:rPr>
                <w:rFonts w:cs="Arial"/>
                <w:sz w:val="16"/>
                <w:szCs w:val="16"/>
                <w:vertAlign w:val="subscript"/>
                <w:lang w:val="en-AU"/>
              </w:rPr>
              <w:t>0–24</w:t>
            </w:r>
            <w:r w:rsidRPr="00C359C8">
              <w:rPr>
                <w:rFonts w:cs="Arial"/>
                <w:sz w:val="16"/>
                <w:szCs w:val="16"/>
                <w:lang w:val="en-AU"/>
              </w:rPr>
              <w:t>) divided by the MIC (AUC</w:t>
            </w:r>
            <w:r w:rsidRPr="00C359C8">
              <w:rPr>
                <w:rFonts w:cs="Arial"/>
                <w:sz w:val="16"/>
                <w:szCs w:val="16"/>
                <w:vertAlign w:val="subscript"/>
                <w:lang w:val="en-AU"/>
              </w:rPr>
              <w:t>0–24</w:t>
            </w:r>
            <w:r w:rsidRPr="00C359C8">
              <w:rPr>
                <w:rFonts w:cs="Arial"/>
                <w:sz w:val="16"/>
                <w:szCs w:val="16"/>
                <w:lang w:val="en-AU"/>
              </w:rPr>
              <w:t>/MIC) is a better predictor of efficacy. In adults with MIC values less than 1 mg/ml, trough concentrations &gt;10 mg/mL result in AUC</w:t>
            </w:r>
            <w:r w:rsidRPr="00C359C8">
              <w:rPr>
                <w:rFonts w:cs="Arial"/>
                <w:sz w:val="16"/>
                <w:szCs w:val="16"/>
                <w:vertAlign w:val="subscript"/>
                <w:lang w:val="en-AU"/>
              </w:rPr>
              <w:t>0-24</w:t>
            </w:r>
            <w:r w:rsidRPr="00C359C8">
              <w:rPr>
                <w:rFonts w:cs="Arial"/>
                <w:sz w:val="16"/>
                <w:szCs w:val="16"/>
                <w:lang w:val="en-AU"/>
              </w:rPr>
              <w:t xml:space="preserve">/MIC values of &gt;400.[1] </w:t>
            </w:r>
          </w:p>
          <w:p w:rsidRPr="00C359C8" w:rsidR="00C359C8" w:rsidP="00C359C8" w:rsidRDefault="00C359C8" w14:paraId="466DD426"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The elimination half life of vancomycin has been reported to range from 3.5 to 10 hours, decreasing with increasing gestation and postnatal age, and significantly longer in infants with a patent ductus arteriosus and with indomethacin treatment. [19]</w:t>
            </w:r>
          </w:p>
          <w:p w:rsidRPr="00C359C8" w:rsidR="00C359C8" w:rsidP="00C359C8" w:rsidRDefault="00C359C8" w14:paraId="7E70903D"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 xml:space="preserve">In neonates, an RCT [5] compared intermittent intravenous (IV) dosing using the British National  Formulary (BNF) dosage guidance [15 mg/kg/dose: &lt;29 weeks 24-hourly; 29 to 35 weeks 12-hourly; 36 to 44 weeks 8-hourly; &gt;44 weeks 6-hourly] versus continuous IV [loading dose of 15 mg/kg over 1 hour then continuous infusion: S creatinine &lt;40 micromol/L, cGA ≥40 = 50 mg/kg/day; S creatinine &lt;40 micromol/L, cGA &lt;40 = 40 mg/kg/day; S creatinine 40–60 micromol/L, cGA All = 30 mg/kg/day; S creatinine &gt;60 micromol/L, cGA All = 20 mg/kg/day). The target trough concentration for intermittent IV dosing was 10 to 20 mg/L and steady state concentration for continuous IV 15 to 25 mg/L. Target concentrations at the first steady state concentration were higher for continuous IV compared with intermittent IV (45/53 (85%) vs 21/51 (41%); p &lt;0.001)). Fewer dose adjustments and a lower total daily dose were required to achieve target concentrations with continuous IV compared to intermittent IV. No nephrotoxicity or red man syndrome occurred in either group. [LOE II] </w:t>
            </w:r>
          </w:p>
          <w:p w:rsidRPr="00C359C8" w:rsidR="00C359C8" w:rsidP="00C359C8" w:rsidRDefault="00C359C8" w14:paraId="3F5A7D94"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There are few case reports of vancomycin cerebrospinal fluid concentrations with reported CSF penetration rates ranging from 7 to 42%.[1]</w:t>
            </w:r>
          </w:p>
          <w:p w:rsidRPr="00C359C8" w:rsidR="00C359C8" w:rsidP="00C359C8" w:rsidRDefault="00C359C8" w14:paraId="0D9075B4" w14:textId="77777777">
            <w:pPr>
              <w:overflowPunct w:val="0"/>
              <w:autoSpaceDE w:val="0"/>
              <w:autoSpaceDN w:val="0"/>
              <w:adjustRightInd w:val="0"/>
              <w:textAlignment w:val="baseline"/>
              <w:rPr>
                <w:rFonts w:cs="Arial"/>
                <w:sz w:val="16"/>
                <w:szCs w:val="16"/>
                <w:lang w:val="en-AU"/>
              </w:rPr>
            </w:pPr>
          </w:p>
          <w:p w:rsidRPr="00C359C8" w:rsidR="00C359C8" w:rsidP="00C359C8" w:rsidRDefault="00C359C8" w14:paraId="7A00332F"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Efficacy:</w:t>
            </w:r>
            <w:r w:rsidRPr="00C359C8">
              <w:rPr>
                <w:rFonts w:cs="Arial"/>
                <w:sz w:val="16"/>
                <w:szCs w:val="16"/>
                <w:lang w:val="en-AU"/>
              </w:rPr>
              <w:t xml:space="preserve"> Clinical trials of vancomycin in newborn infants are largely underpowered so the relative efficacy of various antibiotic strategies is unclear. Concerns regarding the potential for antibiotic resistance developing result in recommendations to avoid the use of prophylactic antibiotics and reduce the duration of antibiotic therapy where possible.[6, 7]</w:t>
            </w:r>
          </w:p>
          <w:p w:rsidRPr="00C359C8" w:rsidR="00C359C8" w:rsidP="00C359C8" w:rsidRDefault="00C359C8" w14:paraId="74B88623"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Treatment of neonatal suspected sepsis:</w:t>
            </w:r>
            <w:r w:rsidRPr="00C359C8">
              <w:rPr>
                <w:rFonts w:cs="Arial"/>
                <w:sz w:val="16"/>
                <w:szCs w:val="16"/>
                <w:lang w:val="en-AU"/>
              </w:rPr>
              <w:t xml:space="preserve"> Two RCTs have compared the efficacy of vancomycin with other antibiotics in newborns with suspected sepsis.[8, 9] Deville et al 2003 [9] reported 63 neonates randomised 2:1 to linezolid (n = 43) or vancomycin (n = 20) with no significant difference in clinical cure rates (78% vs. 61%; P = 0.196). Ceriani Cernadas et al 2014 [8] reported 109 newborns randomised to cefazolin (52) or vancomycin (57) with no significant difference in rate of adequate outcome (no clinical signs, negative culture and normal laboratory test: cefazolin 92% versus vancomycin 86%) or mortality (cefazolin 7 (13.5%) versus vancomycin 11 (19.2%); p =0.45). </w:t>
            </w:r>
          </w:p>
          <w:p w:rsidRPr="00C359C8" w:rsidR="00C359C8" w:rsidP="00C359C8" w:rsidRDefault="00C359C8" w14:paraId="65FED47D"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 xml:space="preserve">Gwee et al 2018 [5] compared intermittent intravenous (IV) dosing using the British Neonatal Formulary (BNF) dosage guidance versus continuous IV [loading dose of 15 mg/kg over 1 hour then continuous infusion). There was no difference in time to clearance of organism or mortality although this study was not powered to detect this. </w:t>
            </w:r>
          </w:p>
          <w:p w:rsidRPr="00C359C8" w:rsidR="00C359C8" w:rsidP="00C359C8" w:rsidRDefault="00C359C8" w14:paraId="7C2AAF46" w14:textId="77777777">
            <w:pPr>
              <w:overflowPunct w:val="0"/>
              <w:autoSpaceDE w:val="0"/>
              <w:autoSpaceDN w:val="0"/>
              <w:adjustRightInd w:val="0"/>
              <w:textAlignment w:val="baseline"/>
              <w:rPr>
                <w:rFonts w:cs="Arial"/>
                <w:sz w:val="16"/>
                <w:szCs w:val="16"/>
                <w:lang w:val="en-AU"/>
              </w:rPr>
            </w:pPr>
          </w:p>
          <w:p w:rsidRPr="00C359C8" w:rsidR="00C359C8" w:rsidP="00C359C8" w:rsidRDefault="00C359C8" w14:paraId="0C9317E7"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Intraventricular antibiotics for bacterial meningitis in neonates:</w:t>
            </w:r>
            <w:r w:rsidRPr="00C359C8">
              <w:rPr>
                <w:rFonts w:cs="Arial"/>
                <w:sz w:val="16"/>
                <w:szCs w:val="16"/>
                <w:lang w:val="en-AU"/>
              </w:rPr>
              <w:t xml:space="preserve"> In a single trial that enrolled infants with Gram‐negative meningitis and ventriculitis, the use of intraventricular gentamicin in addition to intravenous antibiotics resulted in a three‐fold increased RR for mortality compared to standard treatment with intravenous antibiotics alone. No trial used intraventricular vancomycin. Based on this result, intraventricular antibiotics as tested in this trial should be avoided.[10] Arnell et al 2007 [11] reported 10 children (0 to 15 years) with intraventricular shunt infections initially treated with IV antibiotics for at least 3 days, but this treatment did not sterilise the CSF. After externalisation of the ventricular catheter, high-dose intraventricular treatment with daily instillations of vancomycin or gentamicin with trough concentrations held at high levels of 7 to 17 mg/L for both antibiotic agents resulted in quick sterilisation of the CSF, a low relapse rate and survival of all patients. The intraventricular vancomycin dose varied between 1 and 10 mg per day. [LOE IV]</w:t>
            </w:r>
          </w:p>
          <w:p w:rsidRPr="00C359C8" w:rsidR="00C359C8" w:rsidP="00C359C8" w:rsidRDefault="00C359C8" w14:paraId="0208BBFC"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Prevention of infection:</w:t>
            </w:r>
            <w:r w:rsidRPr="00C359C8">
              <w:rPr>
                <w:rFonts w:cs="Arial"/>
                <w:sz w:val="16"/>
                <w:szCs w:val="16"/>
                <w:lang w:val="en-AU"/>
              </w:rPr>
              <w:t xml:space="preserve"> Systematic review of 2 RCTs found prophylactic systemic antibiotics in neonates with a central venous catheter reduces the rate of proven or suspected septicaemia. However, there was no significant difference in mortality. There is a lack of data on long-term neurodevelopmental outcome and the potentially significant disadvantages of this approach such as the selection of resistant organisms. The routine use of prophylactic antibiotics in infants with central venous catheters in neonatal units cannot currently be recommended. [12] [LOE I GOR D] Three other RCTs have also reported similar effects of prophylactic vancomycin in infants with or with central lines.[13-15]</w:t>
            </w:r>
          </w:p>
          <w:p w:rsidRPr="00C359C8" w:rsidR="00C359C8" w:rsidP="00C359C8" w:rsidRDefault="00C359C8" w14:paraId="24205577" w14:textId="77777777">
            <w:pPr>
              <w:overflowPunct w:val="0"/>
              <w:autoSpaceDE w:val="0"/>
              <w:autoSpaceDN w:val="0"/>
              <w:adjustRightInd w:val="0"/>
              <w:textAlignment w:val="baseline"/>
              <w:rPr>
                <w:rFonts w:cs="Arial"/>
                <w:sz w:val="16"/>
                <w:szCs w:val="16"/>
                <w:lang w:val="en-AU"/>
              </w:rPr>
            </w:pPr>
          </w:p>
          <w:p w:rsidRPr="00C359C8" w:rsidR="00C359C8" w:rsidP="00C359C8" w:rsidRDefault="00C359C8" w14:paraId="077B8270"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Newborn infants with necrotising enterocolitis:</w:t>
            </w:r>
            <w:r w:rsidRPr="00C359C8">
              <w:rPr>
                <w:rFonts w:cs="Arial"/>
                <w:sz w:val="16"/>
                <w:szCs w:val="16"/>
                <w:lang w:val="en-AU"/>
              </w:rPr>
              <w:t xml:space="preserve"> No trial included use of vancomycin.[16] </w:t>
            </w:r>
          </w:p>
          <w:p w:rsidRPr="00C359C8" w:rsidR="00C359C8" w:rsidP="00C359C8" w:rsidRDefault="00C359C8" w14:paraId="2847C2C1"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Prevention of necrotising enterocolitis:</w:t>
            </w:r>
            <w:r w:rsidRPr="00C359C8">
              <w:rPr>
                <w:rFonts w:cs="Arial"/>
                <w:sz w:val="16"/>
                <w:szCs w:val="16"/>
                <w:lang w:val="en-AU"/>
              </w:rPr>
              <w:t xml:space="preserve"> Prophylactic oral vancomycin reduced the incidence of NEC in low birth weight infants. However, concerns about adverse outcomes persist, particularly related to the development of resistant bacteria. [17, 18] [LOE II GOR D]</w:t>
            </w:r>
          </w:p>
          <w:p w:rsidRPr="00C359C8" w:rsidR="00C359C8" w:rsidP="00C359C8" w:rsidRDefault="00C359C8" w14:paraId="64072533" w14:textId="77777777">
            <w:pPr>
              <w:overflowPunct w:val="0"/>
              <w:autoSpaceDE w:val="0"/>
              <w:autoSpaceDN w:val="0"/>
              <w:adjustRightInd w:val="0"/>
              <w:textAlignment w:val="baseline"/>
              <w:rPr>
                <w:rFonts w:cs="Arial"/>
                <w:sz w:val="16"/>
                <w:szCs w:val="16"/>
                <w:lang w:val="en-AU"/>
              </w:rPr>
            </w:pPr>
          </w:p>
          <w:p w:rsidRPr="00C359C8" w:rsidR="00C359C8" w:rsidP="00C359C8" w:rsidRDefault="00C359C8" w14:paraId="012B137C" w14:textId="77777777">
            <w:pPr>
              <w:overflowPunct w:val="0"/>
              <w:autoSpaceDE w:val="0"/>
              <w:autoSpaceDN w:val="0"/>
              <w:adjustRightInd w:val="0"/>
              <w:textAlignment w:val="baseline"/>
              <w:rPr>
                <w:rFonts w:cs="Arial"/>
                <w:sz w:val="16"/>
                <w:szCs w:val="16"/>
                <w:lang w:val="en-AU"/>
              </w:rPr>
            </w:pPr>
            <w:r w:rsidRPr="00C359C8">
              <w:rPr>
                <w:rFonts w:cs="Arial"/>
                <w:b/>
                <w:sz w:val="16"/>
                <w:szCs w:val="16"/>
                <w:lang w:val="en-AU"/>
              </w:rPr>
              <w:t>Safety:</w:t>
            </w:r>
            <w:r w:rsidRPr="00C359C8">
              <w:rPr>
                <w:rFonts w:cs="Arial"/>
                <w:sz w:val="16"/>
                <w:szCs w:val="16"/>
                <w:lang w:val="en-AU"/>
              </w:rPr>
              <w:t xml:space="preserve"> Risk factors for developing nephrotoxicity are the following: Trough concentrations &gt;10 mg/ml, concomitant treatment with aminoglycosides, piperacillin/tazobactam and/or prolonged therapy (&gt;21 days).[1] </w:t>
            </w:r>
          </w:p>
          <w:p w:rsidRPr="00C359C8" w:rsidR="00C359C8" w:rsidP="00C359C8" w:rsidRDefault="00C359C8" w14:paraId="6C973C7C"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t xml:space="preserve">Other risk factors include high peak concentrations, high total dose, pre-existing renal failure and concurrent treatment with amphotericin and/or furosemide (frusemide). However, the role of these factors in the neonatal population is not well-established. Proper vancomycin TDM minimised both glomerular and tubular nephrotoxicity in two studies in children and neonates. In most cases, nephrotoxicity is reversible, even after high doses. In contrast, there is no proven association between TDM and ototoxicity prevention.[1] </w:t>
            </w:r>
          </w:p>
          <w:p w:rsidRPr="00C359C8" w:rsidR="00C359C8" w:rsidP="00C359C8" w:rsidRDefault="00C359C8" w14:paraId="00F842FC" w14:textId="77777777">
            <w:pPr>
              <w:overflowPunct w:val="0"/>
              <w:autoSpaceDE w:val="0"/>
              <w:autoSpaceDN w:val="0"/>
              <w:adjustRightInd w:val="0"/>
              <w:textAlignment w:val="baseline"/>
              <w:rPr>
                <w:rFonts w:cs="Arial"/>
                <w:sz w:val="16"/>
                <w:szCs w:val="16"/>
                <w:lang w:val="en-AU"/>
              </w:rPr>
            </w:pPr>
            <w:r w:rsidRPr="00C359C8">
              <w:rPr>
                <w:rFonts w:cs="Arial"/>
                <w:sz w:val="16"/>
                <w:szCs w:val="16"/>
                <w:lang w:val="en-AU"/>
              </w:rPr>
              <w:lastRenderedPageBreak/>
              <w:t>Gwee et al 2018 [5] compared intermittent intravenous (IV) dosing using the British Neonatal Formulary (BNF) dosage guidance versus continuous IV [loading dose of 15 mg/kg over 1 hour then continuous infusion). No nephrotoxicity or red man syndrome occurred in either group.</w:t>
            </w:r>
          </w:p>
        </w:tc>
      </w:tr>
      <w:tr w:rsidRPr="00C359C8" w:rsidR="00C359C8" w:rsidTr="00C359C8" w14:paraId="708EF71E" w14:textId="77777777">
        <w:trPr>
          <w:trHeight w:val="391"/>
        </w:trPr>
        <w:tc>
          <w:tcPr>
            <w:tcW w:w="1730" w:type="dxa"/>
          </w:tcPr>
          <w:p w:rsidRPr="00C359C8" w:rsidR="00C359C8" w:rsidP="00C359C8" w:rsidRDefault="00C359C8" w14:paraId="42039840" w14:textId="77777777">
            <w:pPr>
              <w:overflowPunct w:val="0"/>
              <w:autoSpaceDE w:val="0"/>
              <w:autoSpaceDN w:val="0"/>
              <w:adjustRightInd w:val="0"/>
              <w:textAlignment w:val="baseline"/>
              <w:rPr>
                <w:b/>
                <w:szCs w:val="24"/>
                <w:lang w:val="en-AU"/>
              </w:rPr>
            </w:pPr>
            <w:r w:rsidRPr="00C359C8">
              <w:rPr>
                <w:b/>
                <w:szCs w:val="24"/>
                <w:lang w:val="en-AU"/>
              </w:rPr>
              <w:lastRenderedPageBreak/>
              <w:t>Practice points</w:t>
            </w:r>
          </w:p>
        </w:tc>
        <w:tc>
          <w:tcPr>
            <w:tcW w:w="8623" w:type="dxa"/>
          </w:tcPr>
          <w:p w:rsidRPr="00C359C8" w:rsidR="00C359C8" w:rsidP="00C359C8" w:rsidRDefault="00C359C8" w14:paraId="1EF4B874" w14:textId="77777777">
            <w:pPr>
              <w:rPr>
                <w:sz w:val="16"/>
                <w:szCs w:val="16"/>
                <w:lang w:val="en-AU"/>
              </w:rPr>
            </w:pPr>
            <w:r w:rsidRPr="00C359C8">
              <w:rPr>
                <w:sz w:val="16"/>
                <w:szCs w:val="16"/>
                <w:lang w:val="en-AU"/>
              </w:rPr>
              <w:t>This is the first time the consensus group has introduced a continuous infusion regimen for vancomycin after publication of a RCT comparing continuous and intermittent regimen in newborn infants. [5]</w:t>
            </w:r>
          </w:p>
          <w:p w:rsidRPr="00C359C8" w:rsidR="00C359C8" w:rsidP="00C359C8" w:rsidRDefault="00C359C8" w14:paraId="2D54EE84" w14:textId="77777777">
            <w:pPr>
              <w:rPr>
                <w:sz w:val="16"/>
                <w:szCs w:val="16"/>
                <w:lang w:val="en-AU"/>
              </w:rPr>
            </w:pPr>
          </w:p>
          <w:p w:rsidRPr="00C359C8" w:rsidR="00C359C8" w:rsidP="00C359C8" w:rsidRDefault="00C359C8" w14:paraId="2E4F1685" w14:textId="77777777">
            <w:pPr>
              <w:rPr>
                <w:sz w:val="16"/>
                <w:szCs w:val="16"/>
                <w:lang w:val="en-AU"/>
              </w:rPr>
            </w:pPr>
            <w:r w:rsidRPr="00C359C8">
              <w:rPr>
                <w:sz w:val="16"/>
                <w:szCs w:val="16"/>
                <w:lang w:val="en-AU"/>
              </w:rPr>
              <w:t>A continuous regimen was reported to optimise achievement of steady state target concentrations with fewer dose adjustments and a lower total daily dose compared to an intermittent regimen. However, the participants’ mean birth weight (2271 g), gestation at birth (34 weeks) and current weight (2549 g) were relatively higher than populations treated by many perinatal centres. However, there are practical issues in terms of intravenous access for continuous infusion in extremely premature infants. The consensus group considered that whilst continuous infusion has better pharmacokinetic efficacy the group is not able to recommend a preferred regimen.</w:t>
            </w:r>
          </w:p>
          <w:p w:rsidRPr="00C359C8" w:rsidR="00C359C8" w:rsidP="00C359C8" w:rsidRDefault="00C359C8" w14:paraId="2B1FBA9E" w14:textId="77777777">
            <w:pPr>
              <w:rPr>
                <w:sz w:val="16"/>
                <w:szCs w:val="16"/>
                <w:lang w:val="en-AU"/>
              </w:rPr>
            </w:pPr>
          </w:p>
          <w:p w:rsidRPr="00C359C8" w:rsidR="00C359C8" w:rsidP="00C359C8" w:rsidRDefault="00C359C8" w14:paraId="7B47121E" w14:textId="77777777">
            <w:pPr>
              <w:rPr>
                <w:sz w:val="16"/>
                <w:szCs w:val="16"/>
                <w:lang w:val="en-AU"/>
              </w:rPr>
            </w:pPr>
            <w:r w:rsidRPr="00C359C8">
              <w:rPr>
                <w:sz w:val="16"/>
                <w:szCs w:val="16"/>
                <w:lang w:val="en-AU"/>
              </w:rPr>
              <w:t>In this revised version, monitoring section has been further improved: Vancomycin level is not a steady state at 24 hours. Half-life varies between 3.5 to 10 hours in newborns and is longer in renal impairment, PDA, indomethacin. Also, a level at 24 hours, then 3 days later as suggested in the previous version may miss some very high steady state levels which could occur after the 50 hour mark. Changes were made in this updated version to address this issue suggesting to measure at 24 hours, then 48 hours and then every 3 days.</w:t>
            </w:r>
          </w:p>
        </w:tc>
      </w:tr>
      <w:tr w:rsidRPr="00C359C8" w:rsidR="00C359C8" w:rsidTr="00C359C8" w14:paraId="72D5637B" w14:textId="77777777">
        <w:trPr>
          <w:trHeight w:val="391"/>
        </w:trPr>
        <w:tc>
          <w:tcPr>
            <w:tcW w:w="1730" w:type="dxa"/>
          </w:tcPr>
          <w:p w:rsidRPr="00C359C8" w:rsidR="00C359C8" w:rsidP="00C359C8" w:rsidRDefault="00C359C8" w14:paraId="37AB1B3B" w14:textId="77777777">
            <w:pPr>
              <w:overflowPunct w:val="0"/>
              <w:autoSpaceDE w:val="0"/>
              <w:autoSpaceDN w:val="0"/>
              <w:adjustRightInd w:val="0"/>
              <w:textAlignment w:val="baseline"/>
              <w:rPr>
                <w:rFonts w:cs="Arial"/>
                <w:b/>
                <w:bCs/>
                <w:szCs w:val="24"/>
                <w:lang w:val="en-AU"/>
              </w:rPr>
            </w:pPr>
            <w:r w:rsidRPr="00C359C8">
              <w:rPr>
                <w:b/>
                <w:szCs w:val="24"/>
                <w:lang w:val="en-AU"/>
              </w:rPr>
              <w:t>References</w:t>
            </w:r>
          </w:p>
        </w:tc>
        <w:tc>
          <w:tcPr>
            <w:tcW w:w="8623" w:type="dxa"/>
          </w:tcPr>
          <w:p w:rsidRPr="00C359C8" w:rsidR="00C359C8" w:rsidP="00C359C8" w:rsidRDefault="00C359C8" w14:paraId="3A407E7A" w14:textId="77777777">
            <w:pPr>
              <w:rPr>
                <w:noProof/>
                <w:sz w:val="16"/>
                <w:szCs w:val="16"/>
                <w:lang w:val="en-AU"/>
              </w:rPr>
            </w:pPr>
            <w:r w:rsidRPr="00C359C8">
              <w:rPr>
                <w:sz w:val="16"/>
                <w:szCs w:val="16"/>
                <w:lang w:val="en-AU"/>
              </w:rPr>
              <w:t xml:space="preserve">1. </w:t>
            </w:r>
            <w:r w:rsidRPr="00C359C8">
              <w:rPr>
                <w:noProof/>
                <w:sz w:val="16"/>
                <w:szCs w:val="16"/>
                <w:lang w:val="en-AU"/>
              </w:rPr>
              <w:t>Pacifici GM, Allegaert K. Clinical pharmacokinetics of vancomycin in the neonate: a review. Clinics. 2012;67:831-7.</w:t>
            </w:r>
          </w:p>
          <w:p w:rsidRPr="00C359C8" w:rsidR="00C359C8" w:rsidP="00C359C8" w:rsidRDefault="00C359C8" w14:paraId="5740D234" w14:textId="77777777">
            <w:pPr>
              <w:rPr>
                <w:noProof/>
                <w:sz w:val="16"/>
                <w:szCs w:val="16"/>
                <w:lang w:val="en-AU"/>
              </w:rPr>
            </w:pPr>
            <w:r w:rsidRPr="00C359C8">
              <w:rPr>
                <w:noProof/>
                <w:sz w:val="16"/>
                <w:szCs w:val="16"/>
                <w:lang w:val="en-AU"/>
              </w:rPr>
              <w:t>2. Bhongsatiern J, Stockmann C, Roberts JK, Yu T, Korgenski KE, Spigarelli MG, Desai PB, Sherwin CM. Evaluation of Vancomycin Use in Late-Onset Neonatal Sepsis Using the Area Under the Concentration-Time Curve to the Minimum Inhibitory Concentration &gt;=400 Target. Ther Drug Monit. 2015;37:756-65.</w:t>
            </w:r>
          </w:p>
          <w:p w:rsidRPr="00C359C8" w:rsidR="00C359C8" w:rsidP="00C359C8" w:rsidRDefault="00C359C8" w14:paraId="6CCD0475" w14:textId="77777777">
            <w:pPr>
              <w:rPr>
                <w:noProof/>
                <w:sz w:val="16"/>
                <w:szCs w:val="16"/>
                <w:lang w:val="en-AU"/>
              </w:rPr>
            </w:pPr>
            <w:r w:rsidRPr="00C359C8">
              <w:rPr>
                <w:noProof/>
                <w:sz w:val="16"/>
                <w:szCs w:val="16"/>
                <w:lang w:val="en-AU"/>
              </w:rPr>
              <w:t>3. Kato H, Hagihara M, Nishiyama N, Koizumi Y, Mikamo H, Matsuura K, Yamagishi Y. Assessment of optimal initial dosing regimen with vancomycin pharmacokinetics model in very low birth weight neonates. J Infect Chemother. 2017;23:154-60.</w:t>
            </w:r>
          </w:p>
          <w:p w:rsidRPr="00C359C8" w:rsidR="00C359C8" w:rsidP="00C359C8" w:rsidRDefault="00C359C8" w14:paraId="1030E81B" w14:textId="77777777">
            <w:pPr>
              <w:rPr>
                <w:noProof/>
                <w:sz w:val="16"/>
                <w:szCs w:val="16"/>
                <w:lang w:val="en-AU"/>
              </w:rPr>
            </w:pPr>
            <w:r w:rsidRPr="00C359C8">
              <w:rPr>
                <w:noProof/>
                <w:sz w:val="16"/>
                <w:szCs w:val="16"/>
                <w:lang w:val="en-AU"/>
              </w:rPr>
              <w:t>4. Kim J, Walker SA, Iaboni DC, Walker SE, Elligsen M, Dunn MS, Allen VG, Simor A. Determination of vancomycin pharmacokinetics in neonates to develop practical initial dosing recommendations. Antimicrob Agents Chemother. 2014;58:2830-40.</w:t>
            </w:r>
          </w:p>
          <w:p w:rsidRPr="00C359C8" w:rsidR="00C359C8" w:rsidP="00C359C8" w:rsidRDefault="00C359C8" w14:paraId="3F4500FE" w14:textId="77777777">
            <w:pPr>
              <w:rPr>
                <w:noProof/>
                <w:sz w:val="16"/>
                <w:szCs w:val="16"/>
                <w:lang w:val="en-AU"/>
              </w:rPr>
            </w:pPr>
            <w:r w:rsidRPr="00C359C8">
              <w:rPr>
                <w:noProof/>
                <w:sz w:val="16"/>
                <w:szCs w:val="16"/>
                <w:lang w:val="en-AU"/>
              </w:rPr>
              <w:t>5. Gwee A, Cranswick N, McMullan B, Perkins E, Bolisetty S, Gardiner K, Daley A, Ward M, Chiletti R, Donath S, Hunt R. Continuous Versus Intermittent Vancomycin Infusions in Infants: A Randomized Controlled Trial. Pediatrics. 2019 Feb 1;143(2):e20182179.</w:t>
            </w:r>
          </w:p>
          <w:p w:rsidRPr="00C359C8" w:rsidR="00C359C8" w:rsidP="00C359C8" w:rsidRDefault="00C359C8" w14:paraId="5543D80E" w14:textId="77777777">
            <w:pPr>
              <w:rPr>
                <w:noProof/>
                <w:sz w:val="16"/>
                <w:szCs w:val="16"/>
                <w:lang w:val="en-AU"/>
              </w:rPr>
            </w:pPr>
            <w:r w:rsidRPr="00C359C8">
              <w:rPr>
                <w:noProof/>
                <w:sz w:val="16"/>
                <w:szCs w:val="16"/>
                <w:lang w:val="en-AU"/>
              </w:rPr>
              <w:t>6. Clinical Excellence Commission, 2018, Newborn Antibiotic Guideline for early and late onset sepsis during birth episode of care. Revised June 2018. Sydney: Clinical Excellence Commission.</w:t>
            </w:r>
          </w:p>
          <w:p w:rsidRPr="00C359C8" w:rsidR="00C359C8" w:rsidP="00C359C8" w:rsidRDefault="00C359C8" w14:paraId="26C46B60" w14:textId="77777777">
            <w:pPr>
              <w:rPr>
                <w:noProof/>
                <w:sz w:val="16"/>
                <w:szCs w:val="16"/>
                <w:lang w:val="en-AU"/>
              </w:rPr>
            </w:pPr>
            <w:r w:rsidRPr="00C359C8">
              <w:rPr>
                <w:noProof/>
                <w:sz w:val="16"/>
                <w:szCs w:val="16"/>
                <w:lang w:val="en-AU"/>
              </w:rPr>
              <w:t>7. Clinical Excellence Commission, 2018, Paediatric Antibiotic Guidelines for Severe Sepsis &amp; Septic Shock &amp; Unwell Neonates. Revised July 2018. Sydney: Clinical Excellence Commission.</w:t>
            </w:r>
          </w:p>
          <w:p w:rsidRPr="00C359C8" w:rsidR="00C359C8" w:rsidP="00C359C8" w:rsidRDefault="00C359C8" w14:paraId="585816FE" w14:textId="77777777">
            <w:pPr>
              <w:rPr>
                <w:noProof/>
                <w:sz w:val="16"/>
                <w:szCs w:val="16"/>
                <w:lang w:val="en-AU"/>
              </w:rPr>
            </w:pPr>
            <w:r w:rsidRPr="00C359C8">
              <w:rPr>
                <w:noProof/>
                <w:sz w:val="16"/>
                <w:szCs w:val="16"/>
                <w:lang w:val="en-AU"/>
              </w:rPr>
              <w:t>8. Ceriani Cernadas JM, Fernandez Jonusas S, Marquez M, Garsd A, Mariani G. Clinical outcome of neonates with nosocomial suspected sepsis treated with cefazolin or vancomycin: a non-inferiority, randomized, controlled trial. Arch Argent Pediatr. 2014;112:308-14.</w:t>
            </w:r>
          </w:p>
          <w:p w:rsidRPr="00C359C8" w:rsidR="00C359C8" w:rsidP="00C359C8" w:rsidRDefault="00C359C8" w14:paraId="4676F54D" w14:textId="77777777">
            <w:pPr>
              <w:rPr>
                <w:noProof/>
                <w:sz w:val="16"/>
                <w:szCs w:val="16"/>
                <w:lang w:val="en-AU"/>
              </w:rPr>
            </w:pPr>
            <w:r w:rsidRPr="00C359C8">
              <w:rPr>
                <w:noProof/>
                <w:sz w:val="16"/>
                <w:szCs w:val="16"/>
                <w:lang w:val="en-AU"/>
              </w:rPr>
              <w:t>9. Deville JG, Adler S, Azimi PH, Jantausch BA, Morfin MR, Beltran S, Edge-Padbury B, Naberhuis-Stehouwer S, Bruss JB. Linezolid versus vancomycin in the treatment of known or suspected resistant gram-positive infections in neonates. Pediatr Infect Dis J. 2003;22:S158-63.</w:t>
            </w:r>
          </w:p>
          <w:p w:rsidRPr="00C359C8" w:rsidR="00C359C8" w:rsidP="00C359C8" w:rsidRDefault="00C359C8" w14:paraId="5CAD5B72" w14:textId="77777777">
            <w:pPr>
              <w:rPr>
                <w:noProof/>
                <w:sz w:val="16"/>
                <w:szCs w:val="16"/>
                <w:lang w:val="en-AU"/>
              </w:rPr>
            </w:pPr>
            <w:r w:rsidRPr="00C359C8">
              <w:rPr>
                <w:noProof/>
                <w:sz w:val="16"/>
                <w:szCs w:val="16"/>
                <w:lang w:val="en-AU"/>
              </w:rPr>
              <w:t>10. Shah SS, Ohlsson A, Shah VS. Intraventricular antibiotics for bacterial meningitis in neonates. Cochrane Database Syst Rev. 2012.</w:t>
            </w:r>
          </w:p>
          <w:p w:rsidRPr="00C359C8" w:rsidR="00C359C8" w:rsidP="00C359C8" w:rsidRDefault="00C359C8" w14:paraId="019A0167" w14:textId="77777777">
            <w:pPr>
              <w:rPr>
                <w:noProof/>
                <w:sz w:val="16"/>
                <w:szCs w:val="16"/>
                <w:lang w:val="en-AU"/>
              </w:rPr>
            </w:pPr>
            <w:r w:rsidRPr="00C359C8">
              <w:rPr>
                <w:noProof/>
                <w:sz w:val="16"/>
                <w:szCs w:val="16"/>
                <w:lang w:val="en-AU"/>
              </w:rPr>
              <w:t>11. Arnell K, Enblad P, Wester T, Sjolin J. Treatment of cerebrospinal fluid shunt infections in children using systemic and intraventricular antibiotic therapy in combination with externalization of the ventricular catheter: efficacy in 34 consecutively treated infections. J Neurosurg. 2007;107:213-9.</w:t>
            </w:r>
          </w:p>
          <w:p w:rsidRPr="00C359C8" w:rsidR="00C359C8" w:rsidP="00C359C8" w:rsidRDefault="00C359C8" w14:paraId="0C348FDB" w14:textId="77777777">
            <w:pPr>
              <w:rPr>
                <w:noProof/>
                <w:sz w:val="16"/>
                <w:szCs w:val="16"/>
                <w:lang w:val="en-AU"/>
              </w:rPr>
            </w:pPr>
            <w:r w:rsidRPr="00C359C8">
              <w:rPr>
                <w:noProof/>
                <w:sz w:val="16"/>
                <w:szCs w:val="16"/>
                <w:lang w:val="en-AU"/>
              </w:rPr>
              <w:t>12. Jardine LA, Inglis GDT, Davies MW. Prophylactic systemic antibiotics to reduce morbidity and mortality in neonates with central venous catheters. Cochrane Database Syst Rev. 2008.</w:t>
            </w:r>
          </w:p>
          <w:p w:rsidRPr="00C359C8" w:rsidR="00C359C8" w:rsidP="00C359C8" w:rsidRDefault="00C359C8" w14:paraId="577F8A51" w14:textId="77777777">
            <w:pPr>
              <w:rPr>
                <w:noProof/>
                <w:sz w:val="16"/>
                <w:szCs w:val="16"/>
                <w:lang w:val="en-AU"/>
              </w:rPr>
            </w:pPr>
            <w:r w:rsidRPr="00C359C8">
              <w:rPr>
                <w:noProof/>
                <w:sz w:val="16"/>
                <w:szCs w:val="16"/>
                <w:lang w:val="en-AU"/>
              </w:rPr>
              <w:t>13. Baier RJ, Bocchini JA, Jr., Brown EG. Selective use of vancomycin to prevent coagulase-negative staphylococcal nosocomial bacteremia in high risk very low birth weight infants. Pediatr Infect Dis J. 1998;17:179-83.</w:t>
            </w:r>
          </w:p>
          <w:p w:rsidRPr="00C359C8" w:rsidR="00C359C8" w:rsidP="00C359C8" w:rsidRDefault="00C359C8" w14:paraId="52EA2EE3" w14:textId="77777777">
            <w:pPr>
              <w:rPr>
                <w:noProof/>
                <w:sz w:val="16"/>
                <w:szCs w:val="16"/>
                <w:lang w:val="en-AU"/>
              </w:rPr>
            </w:pPr>
            <w:r w:rsidRPr="00C359C8">
              <w:rPr>
                <w:noProof/>
                <w:sz w:val="16"/>
                <w:szCs w:val="16"/>
                <w:lang w:val="en-AU"/>
              </w:rPr>
              <w:t>14. Kacica MA, Horgan MJ, Ochoa L, Sandler R, Lepow ML, Venezia RA. Prevention of gram-positive sepsis in neonates weighing less than 1500 grams. J Pediatr. 1994;125:253-8.</w:t>
            </w:r>
          </w:p>
          <w:p w:rsidRPr="00C359C8" w:rsidR="00C359C8" w:rsidP="00C359C8" w:rsidRDefault="00C359C8" w14:paraId="7D159A5F" w14:textId="77777777">
            <w:pPr>
              <w:rPr>
                <w:noProof/>
                <w:sz w:val="16"/>
                <w:szCs w:val="16"/>
                <w:lang w:val="en-AU"/>
              </w:rPr>
            </w:pPr>
            <w:r w:rsidRPr="00C359C8">
              <w:rPr>
                <w:noProof/>
                <w:sz w:val="16"/>
                <w:szCs w:val="16"/>
                <w:lang w:val="en-AU"/>
              </w:rPr>
              <w:t>15. Moller JC, Nelskamp I, Jensen R, Reiss I, Kohl M, Gatermann S, Iven H, Gortner L. Comparison of vancomycin and teicoplanin for prophylaxis of sepsis with coagulase negative staphylococci (CONS) in very low birth weight (VLBW) infants. J Perinat Med. 1997;25:361-7.</w:t>
            </w:r>
          </w:p>
          <w:p w:rsidRPr="00C359C8" w:rsidR="00C359C8" w:rsidP="00C359C8" w:rsidRDefault="00C359C8" w14:paraId="40D01B88" w14:textId="77777777">
            <w:pPr>
              <w:rPr>
                <w:noProof/>
                <w:sz w:val="16"/>
                <w:szCs w:val="16"/>
                <w:lang w:val="en-AU"/>
              </w:rPr>
            </w:pPr>
            <w:r w:rsidRPr="00C359C8">
              <w:rPr>
                <w:noProof/>
                <w:sz w:val="16"/>
                <w:szCs w:val="16"/>
                <w:lang w:val="en-AU"/>
              </w:rPr>
              <w:t>16. Shah D, Sinn JKH. Antibiotic regimens for the empirical treatment of newborn infants with necrotising enterocolitis. Cochrane Database Syst Rev. 2012.</w:t>
            </w:r>
          </w:p>
          <w:p w:rsidRPr="00C359C8" w:rsidR="00C359C8" w:rsidP="00C359C8" w:rsidRDefault="00C359C8" w14:paraId="0ABD1557" w14:textId="77777777">
            <w:pPr>
              <w:rPr>
                <w:noProof/>
                <w:sz w:val="16"/>
                <w:szCs w:val="16"/>
                <w:lang w:val="en-AU"/>
              </w:rPr>
            </w:pPr>
            <w:r w:rsidRPr="00C359C8">
              <w:rPr>
                <w:noProof/>
                <w:sz w:val="16"/>
                <w:szCs w:val="16"/>
                <w:lang w:val="en-AU"/>
              </w:rPr>
              <w:t>17. Bury RG, Tudehope D. Enteral antibiotics for preventing necrotizing enterocolitis in low birthweight or preterm infants. Cochrane Database Syst Rev. 2001.</w:t>
            </w:r>
          </w:p>
          <w:p w:rsidRPr="00C359C8" w:rsidR="00C359C8" w:rsidP="00C359C8" w:rsidRDefault="00C359C8" w14:paraId="12E8516C" w14:textId="77777777">
            <w:pPr>
              <w:rPr>
                <w:noProof/>
                <w:sz w:val="16"/>
                <w:szCs w:val="16"/>
                <w:lang w:val="en-AU"/>
              </w:rPr>
            </w:pPr>
            <w:r w:rsidRPr="00C359C8">
              <w:rPr>
                <w:noProof/>
                <w:sz w:val="16"/>
                <w:szCs w:val="16"/>
                <w:lang w:val="en-AU"/>
              </w:rPr>
              <w:t>18. Siu YK, Ng PC, Fung SC, Lee CH, Wong MY, Fok TF, So KW, Cheung KL, Wong W, Cheng AF. Double blind, randomised, placebo controlled study of oral vancomycin in prevention of necrotising enterocolitis in preterm, very low birthweight infants. Arch Dis Child Fetal Neonatal Ed. 1998;79:F105-9.</w:t>
            </w:r>
          </w:p>
          <w:p w:rsidRPr="00C359C8" w:rsidR="00C359C8" w:rsidP="00C359C8" w:rsidRDefault="00C359C8" w14:paraId="75885327" w14:textId="77777777">
            <w:pPr>
              <w:rPr>
                <w:noProof/>
                <w:sz w:val="16"/>
                <w:szCs w:val="16"/>
                <w:lang w:val="en-AU"/>
              </w:rPr>
            </w:pPr>
            <w:r w:rsidRPr="00C359C8">
              <w:rPr>
                <w:noProof/>
                <w:sz w:val="16"/>
                <w:szCs w:val="16"/>
                <w:lang w:val="en-AU"/>
              </w:rPr>
              <w:t>19. de Hoog M, Mouton JW, van den Anker JN. Vancomycin: pharmacokinetics and administration regimens in neonates. Clinical Pharmacokinetics. 2004;43:417-40.</w:t>
            </w:r>
          </w:p>
          <w:p w:rsidRPr="00C359C8" w:rsidR="00C359C8" w:rsidP="00C359C8" w:rsidRDefault="00C359C8" w14:paraId="09EB04D8" w14:textId="77777777">
            <w:pPr>
              <w:rPr>
                <w:noProof/>
                <w:sz w:val="16"/>
                <w:szCs w:val="16"/>
                <w:lang w:val="en-AU"/>
              </w:rPr>
            </w:pPr>
            <w:r w:rsidRPr="00C359C8">
              <w:rPr>
                <w:sz w:val="16"/>
                <w:szCs w:val="16"/>
                <w:lang w:val="en-AU"/>
              </w:rPr>
              <w:t>20.</w:t>
            </w:r>
            <w:r w:rsidRPr="00C359C8">
              <w:rPr>
                <w:noProof/>
                <w:sz w:val="16"/>
                <w:szCs w:val="16"/>
                <w:lang w:val="en-AU"/>
              </w:rPr>
              <w:t xml:space="preserve">  Australian Injectable Drugs Handbook 7th Edition - AIDH (Australian I.V. Medicines) Accessed 06/12/2018.</w:t>
            </w:r>
          </w:p>
          <w:p w:rsidRPr="00C359C8" w:rsidR="00C359C8" w:rsidP="00C359C8" w:rsidRDefault="00C359C8" w14:paraId="182587BF" w14:textId="77777777">
            <w:pPr>
              <w:rPr>
                <w:sz w:val="16"/>
                <w:szCs w:val="16"/>
                <w:lang w:val="en-AU"/>
              </w:rPr>
            </w:pPr>
            <w:r w:rsidRPr="00C359C8">
              <w:rPr>
                <w:noProof/>
                <w:sz w:val="16"/>
                <w:szCs w:val="16"/>
                <w:lang w:val="en-AU"/>
              </w:rPr>
              <w:t>21.  Micromedex online. Accessed 06/12/2018.</w:t>
            </w:r>
          </w:p>
        </w:tc>
      </w:tr>
    </w:tbl>
    <w:p w:rsidR="00A62305" w:rsidP="006F0321" w:rsidRDefault="00A62305" w14:paraId="59186A94" w14:textId="48DABD6B"/>
    <w:p w:rsidR="00C359C8" w:rsidP="006F0321" w:rsidRDefault="00C359C8" w14:paraId="0AA19D52" w14:textId="77777777"/>
    <w:tbl>
      <w:tblPr>
        <w:tblW w:w="513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685"/>
        <w:gridCol w:w="4571"/>
      </w:tblGrid>
      <w:tr w:rsidRPr="00A62305" w:rsidR="00A62305" w:rsidTr="00E617D2" w14:paraId="74000B25" w14:textId="77777777">
        <w:tc>
          <w:tcPr>
            <w:tcW w:w="2531" w:type="pct"/>
            <w:vAlign w:val="center"/>
          </w:tcPr>
          <w:p w:rsidRPr="00A62305" w:rsidR="00A62305" w:rsidP="006F0321" w:rsidRDefault="00A62305" w14:paraId="18BDA1E2" w14:textId="77777777">
            <w:pPr>
              <w:rPr>
                <w:lang w:val="en-AU"/>
              </w:rPr>
            </w:pPr>
            <w:r w:rsidRPr="00A62305">
              <w:rPr>
                <w:lang w:val="en-AU"/>
              </w:rPr>
              <w:t>Original version Date: 20/05/2019</w:t>
            </w:r>
          </w:p>
        </w:tc>
        <w:tc>
          <w:tcPr>
            <w:tcW w:w="2469" w:type="pct"/>
            <w:vAlign w:val="center"/>
          </w:tcPr>
          <w:p w:rsidRPr="00A62305" w:rsidR="00A62305" w:rsidP="006F0321" w:rsidRDefault="00A62305" w14:paraId="3DF82714" w14:textId="77777777">
            <w:pPr>
              <w:rPr>
                <w:lang w:val="en-AU"/>
              </w:rPr>
            </w:pPr>
            <w:r w:rsidRPr="00A62305">
              <w:rPr>
                <w:lang w:val="en-AU"/>
              </w:rPr>
              <w:t>Author: ANMF Consensus Group</w:t>
            </w:r>
          </w:p>
        </w:tc>
      </w:tr>
      <w:tr w:rsidRPr="00A62305" w:rsidR="00A62305" w:rsidTr="00E617D2" w14:paraId="79A8DB2F" w14:textId="77777777">
        <w:tc>
          <w:tcPr>
            <w:tcW w:w="2531" w:type="pct"/>
            <w:vAlign w:val="center"/>
          </w:tcPr>
          <w:p w:rsidRPr="00A62305" w:rsidR="00A62305" w:rsidP="006F0321" w:rsidRDefault="00A62305" w14:paraId="40B88553" w14:textId="5A89C625">
            <w:pPr>
              <w:rPr>
                <w:bCs/>
                <w:lang w:val="en-AU"/>
              </w:rPr>
            </w:pPr>
            <w:r w:rsidRPr="00A62305">
              <w:rPr>
                <w:lang w:val="en-AU"/>
              </w:rPr>
              <w:t xml:space="preserve">Current Version number:  </w:t>
            </w:r>
            <w:r w:rsidR="001B74B2">
              <w:rPr>
                <w:lang w:val="en-AU"/>
              </w:rPr>
              <w:t>2</w:t>
            </w:r>
          </w:p>
        </w:tc>
        <w:tc>
          <w:tcPr>
            <w:tcW w:w="2469" w:type="pct"/>
            <w:vAlign w:val="center"/>
          </w:tcPr>
          <w:p w:rsidRPr="00A62305" w:rsidR="00A62305" w:rsidP="006F0321" w:rsidRDefault="00A62305" w14:paraId="01DF96CD" w14:textId="0A42DBE1">
            <w:pPr>
              <w:rPr>
                <w:lang w:val="en-AU"/>
              </w:rPr>
            </w:pPr>
            <w:r w:rsidRPr="00A62305">
              <w:rPr>
                <w:lang w:val="en-AU"/>
              </w:rPr>
              <w:t xml:space="preserve">Version Date:  </w:t>
            </w:r>
            <w:r w:rsidR="001B74B2">
              <w:rPr>
                <w:lang w:val="en-AU"/>
              </w:rPr>
              <w:t>16</w:t>
            </w:r>
            <w:r w:rsidR="00AD3569">
              <w:rPr>
                <w:lang w:val="en-AU"/>
              </w:rPr>
              <w:t>/</w:t>
            </w:r>
            <w:r w:rsidR="001B74B2">
              <w:rPr>
                <w:lang w:val="en-AU"/>
              </w:rPr>
              <w:t>11</w:t>
            </w:r>
            <w:r w:rsidR="00AD3569">
              <w:rPr>
                <w:lang w:val="en-AU"/>
              </w:rPr>
              <w:t>/</w:t>
            </w:r>
            <w:r w:rsidR="001B74B2">
              <w:rPr>
                <w:lang w:val="en-AU"/>
              </w:rPr>
              <w:t>2020</w:t>
            </w:r>
          </w:p>
        </w:tc>
      </w:tr>
      <w:tr w:rsidRPr="00A62305" w:rsidR="00A62305" w:rsidTr="00E617D2" w14:paraId="5E4165B2" w14:textId="77777777">
        <w:tc>
          <w:tcPr>
            <w:tcW w:w="2531" w:type="pct"/>
            <w:vAlign w:val="center"/>
          </w:tcPr>
          <w:p w:rsidRPr="00A62305" w:rsidR="00A62305" w:rsidP="006F0321" w:rsidRDefault="00A62305" w14:paraId="5DED9A6D" w14:textId="4A2911EC">
            <w:pPr>
              <w:rPr>
                <w:lang w:val="en-AU"/>
              </w:rPr>
            </w:pPr>
            <w:r w:rsidRPr="00A62305">
              <w:rPr>
                <w:lang w:val="en-AU"/>
              </w:rPr>
              <w:t xml:space="preserve">Risk Rating: </w:t>
            </w:r>
            <w:r w:rsidR="00AD3569">
              <w:rPr>
                <w:lang w:val="en-AU"/>
              </w:rPr>
              <w:t>Low</w:t>
            </w:r>
          </w:p>
        </w:tc>
        <w:tc>
          <w:tcPr>
            <w:tcW w:w="2469" w:type="pct"/>
            <w:vAlign w:val="center"/>
          </w:tcPr>
          <w:p w:rsidRPr="00A62305" w:rsidR="00A62305" w:rsidP="006F0321" w:rsidRDefault="00A62305" w14:paraId="7F4A3E35" w14:textId="024780D4">
            <w:pPr>
              <w:rPr>
                <w:lang w:val="en-AU"/>
              </w:rPr>
            </w:pPr>
            <w:r w:rsidRPr="00A62305">
              <w:rPr>
                <w:lang w:val="en-AU"/>
              </w:rPr>
              <w:t xml:space="preserve">Due for Review: </w:t>
            </w:r>
            <w:r w:rsidR="00AD3569">
              <w:rPr>
                <w:lang w:val="en-AU"/>
              </w:rPr>
              <w:t>16/11/2025</w:t>
            </w:r>
          </w:p>
        </w:tc>
      </w:tr>
      <w:tr w:rsidRPr="00A62305" w:rsidR="00A62305" w:rsidTr="00E617D2" w14:paraId="131D8C9D" w14:textId="77777777">
        <w:trPr>
          <w:trHeight w:val="143"/>
        </w:trPr>
        <w:tc>
          <w:tcPr>
            <w:tcW w:w="2531" w:type="pct"/>
            <w:tcBorders>
              <w:bottom w:val="single" w:color="auto" w:sz="4" w:space="0"/>
            </w:tcBorders>
            <w:vAlign w:val="center"/>
          </w:tcPr>
          <w:p w:rsidRPr="00A62305" w:rsidR="00A62305" w:rsidP="006F0321" w:rsidRDefault="00A62305" w14:paraId="0DE753FB" w14:textId="77777777">
            <w:pPr>
              <w:rPr>
                <w:lang w:val="en-AU"/>
              </w:rPr>
            </w:pPr>
            <w:r w:rsidRPr="00A62305">
              <w:rPr>
                <w:lang w:val="en-AU"/>
              </w:rPr>
              <w:t>Approval by: DTC</w:t>
            </w:r>
          </w:p>
        </w:tc>
        <w:tc>
          <w:tcPr>
            <w:tcW w:w="2469" w:type="pct"/>
            <w:tcBorders>
              <w:bottom w:val="single" w:color="auto" w:sz="4" w:space="0"/>
            </w:tcBorders>
            <w:vAlign w:val="center"/>
          </w:tcPr>
          <w:p w:rsidRPr="00A62305" w:rsidR="00A62305" w:rsidP="006F0321" w:rsidRDefault="00A62305" w14:paraId="7E8D7063" w14:textId="0172D065">
            <w:pPr>
              <w:rPr>
                <w:lang w:val="en-AU"/>
              </w:rPr>
            </w:pPr>
            <w:r w:rsidRPr="00A62305">
              <w:rPr>
                <w:lang w:val="en-AU"/>
              </w:rPr>
              <w:t xml:space="preserve">Approval Date: </w:t>
            </w:r>
            <w:r w:rsidR="00260BC8">
              <w:rPr>
                <w:lang w:val="en-AU"/>
              </w:rPr>
              <w:t>APRIL 2021</w:t>
            </w:r>
          </w:p>
        </w:tc>
      </w:tr>
    </w:tbl>
    <w:p w:rsidR="00A62305" w:rsidP="006F0321" w:rsidRDefault="00A62305" w14:paraId="6FA8263E" w14:textId="77777777"/>
    <w:p w:rsidR="00A62305" w:rsidP="006F0321" w:rsidRDefault="00A62305" w14:paraId="20D0161B" w14:textId="77777777"/>
    <w:p w:rsidR="00A62305" w:rsidP="006F0321" w:rsidRDefault="00A62305" w14:paraId="69ECCDC4" w14:textId="77777777"/>
    <w:p w:rsidR="00943338" w:rsidRDefault="00943338" w14:paraId="3C9ECEBD" w14:textId="77777777">
      <w:bookmarkStart w:name="_Toc495481180" w:id="590"/>
      <w:bookmarkStart w:name="_Toc495481306" w:id="591"/>
      <w:bookmarkStart w:name="_Toc495481431" w:id="592"/>
      <w:bookmarkStart w:name="_Toc495501612" w:id="593"/>
      <w:bookmarkStart w:name="_Toc38106941" w:id="594"/>
      <w:r>
        <w:rPr>
          <w:b/>
        </w:rPr>
        <w:br w:type="page"/>
      </w:r>
    </w:p>
    <w:tbl>
      <w:tblPr>
        <w:tblW w:w="8929" w:type="dxa"/>
        <w:tblInd w:w="120" w:type="dxa"/>
        <w:tblBorders>
          <w:top w:val="double" w:color="auto" w:sz="6" w:space="0"/>
          <w:left w:val="double" w:color="auto" w:sz="6" w:space="0"/>
          <w:bottom w:val="double" w:color="auto" w:sz="6" w:space="0"/>
          <w:right w:val="double" w:color="auto" w:sz="6" w:space="0"/>
          <w:insideH w:val="double" w:color="auto" w:sz="6" w:space="0"/>
          <w:insideV w:val="double" w:color="auto" w:sz="6" w:space="0"/>
        </w:tblBorders>
        <w:shd w:val="clear" w:color="auto" w:fill="FF6600"/>
        <w:tblLayout w:type="fixed"/>
        <w:tblLook w:val="0000" w:firstRow="0" w:lastRow="0" w:firstColumn="0" w:lastColumn="0" w:noHBand="0" w:noVBand="0"/>
      </w:tblPr>
      <w:tblGrid>
        <w:gridCol w:w="4153"/>
        <w:gridCol w:w="4776"/>
      </w:tblGrid>
      <w:tr w:rsidRPr="00E25790" w:rsidR="00115F48" w:rsidTr="00943338" w14:paraId="206DE2A3" w14:textId="77777777">
        <w:trPr>
          <w:cantSplit/>
          <w:trHeight w:val="720"/>
        </w:trPr>
        <w:tc>
          <w:tcPr>
            <w:tcW w:w="8929" w:type="dxa"/>
            <w:gridSpan w:val="2"/>
            <w:shd w:val="clear" w:color="auto" w:fill="FF6600"/>
          </w:tcPr>
          <w:p w:rsidRPr="00A62305" w:rsidR="00115F48" w:rsidP="009469DB" w:rsidRDefault="00115F48" w14:paraId="336E1023" w14:textId="77777777">
            <w:pPr>
              <w:pStyle w:val="Heading1"/>
            </w:pPr>
            <w:bookmarkStart w:name="_Toc75340055" w:id="595"/>
            <w:r w:rsidRPr="00A62305">
              <w:lastRenderedPageBreak/>
              <w:t>Vancomycin</w:t>
            </w:r>
            <w:bookmarkEnd w:id="590"/>
            <w:bookmarkEnd w:id="591"/>
            <w:bookmarkEnd w:id="592"/>
            <w:bookmarkEnd w:id="593"/>
            <w:r w:rsidR="00A62305">
              <w:t>-Intermittent</w:t>
            </w:r>
            <w:bookmarkEnd w:id="594"/>
            <w:bookmarkEnd w:id="595"/>
            <w:r w:rsidRPr="00A62305">
              <w:fldChar w:fldCharType="begin"/>
            </w:r>
            <w:r w:rsidRPr="00A62305">
              <w:instrText>tc "Vancomycin" \l 0</w:instrText>
            </w:r>
            <w:r w:rsidRPr="00A62305">
              <w:fldChar w:fldCharType="end"/>
            </w:r>
          </w:p>
        </w:tc>
      </w:tr>
      <w:tr w:rsidRPr="00E25790" w:rsidR="00115F48" w:rsidTr="00943338" w14:paraId="267EF65B" w14:textId="77777777">
        <w:trPr>
          <w:cantSplit/>
          <w:trHeight w:val="480"/>
        </w:trPr>
        <w:tc>
          <w:tcPr>
            <w:tcW w:w="4153" w:type="dxa"/>
            <w:shd w:val="clear" w:color="auto" w:fill="FF6600"/>
          </w:tcPr>
          <w:p w:rsidRPr="00E25790" w:rsidR="00115F48" w:rsidP="006F0321" w:rsidRDefault="00115F48" w14:paraId="329C4B7A" w14:textId="66035FAB">
            <w:r w:rsidRPr="00E25790">
              <w:t>Revision Date</w:t>
            </w:r>
            <w:r w:rsidRPr="00E25790">
              <w:rPr>
                <w:b/>
              </w:rPr>
              <w:t xml:space="preserve"> : </w:t>
            </w:r>
            <w:r w:rsidR="0075711E">
              <w:rPr>
                <w:b/>
              </w:rPr>
              <w:t>16-11-2020</w:t>
            </w:r>
          </w:p>
        </w:tc>
        <w:tc>
          <w:tcPr>
            <w:tcW w:w="4776" w:type="dxa"/>
            <w:shd w:val="clear" w:color="auto" w:fill="FF6600"/>
          </w:tcPr>
          <w:p w:rsidRPr="00E25790" w:rsidR="00115F48" w:rsidP="006F0321" w:rsidRDefault="00115F48" w14:paraId="31084D01" w14:textId="77777777">
            <w:r w:rsidRPr="00E25790">
              <w:t xml:space="preserve">Approved: </w:t>
            </w:r>
            <w:r w:rsidRPr="00E25790" w:rsidR="00603BB4">
              <w:t>TC, KOH</w:t>
            </w:r>
          </w:p>
        </w:tc>
      </w:tr>
    </w:tbl>
    <w:p w:rsidRPr="00E25790" w:rsidR="00115F48" w:rsidP="006F0321" w:rsidRDefault="00115F48" w14:paraId="6FBDD679"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72"/>
        <w:gridCol w:w="8363"/>
      </w:tblGrid>
      <w:tr w:rsidRPr="003A7895" w:rsidR="006468C2" w:rsidTr="008D48AE" w14:paraId="79327FBC" w14:textId="77777777">
        <w:trPr>
          <w:trHeight w:val="70"/>
        </w:trPr>
        <w:tc>
          <w:tcPr>
            <w:tcW w:w="1872" w:type="dxa"/>
          </w:tcPr>
          <w:p w:rsidRPr="00B53E9B" w:rsidR="006468C2" w:rsidP="00FE4186" w:rsidRDefault="006468C2" w14:paraId="1D5A2C24" w14:textId="77777777">
            <w:pPr>
              <w:pStyle w:val="BodyText"/>
              <w:tabs>
                <w:tab w:val="center" w:pos="1476"/>
              </w:tabs>
              <w:rPr>
                <w:rFonts w:cs="Arial"/>
                <w:b/>
                <w:sz w:val="20"/>
              </w:rPr>
            </w:pPr>
            <w:r w:rsidRPr="00B53E9B">
              <w:rPr>
                <w:rFonts w:cs="Arial"/>
                <w:b/>
                <w:sz w:val="20"/>
              </w:rPr>
              <w:t>Alert</w:t>
            </w:r>
            <w:r w:rsidRPr="00B53E9B">
              <w:rPr>
                <w:rFonts w:cs="Arial"/>
                <w:b/>
                <w:sz w:val="20"/>
              </w:rPr>
              <w:tab/>
            </w:r>
          </w:p>
        </w:tc>
        <w:tc>
          <w:tcPr>
            <w:tcW w:w="8363" w:type="dxa"/>
          </w:tcPr>
          <w:p w:rsidR="006468C2" w:rsidP="00FE4186" w:rsidRDefault="006468C2" w14:paraId="275C1395" w14:textId="77777777">
            <w:pPr>
              <w:pStyle w:val="BodyText"/>
              <w:rPr>
                <w:rFonts w:cs="Arial"/>
                <w:sz w:val="20"/>
              </w:rPr>
            </w:pPr>
            <w:r>
              <w:rPr>
                <w:rFonts w:cs="Arial"/>
                <w:sz w:val="20"/>
              </w:rPr>
              <w:t>S4 - High risk medicine</w:t>
            </w:r>
          </w:p>
          <w:p w:rsidRPr="008F47C9" w:rsidR="006468C2" w:rsidP="00FE4186" w:rsidRDefault="006468C2" w14:paraId="1267FEF1" w14:textId="77777777">
            <w:pPr>
              <w:pStyle w:val="BodyText"/>
              <w:rPr>
                <w:rFonts w:cs="Arial"/>
                <w:sz w:val="20"/>
              </w:rPr>
            </w:pPr>
            <w:r w:rsidRPr="008F47C9">
              <w:rPr>
                <w:rFonts w:cs="Arial"/>
                <w:sz w:val="20"/>
              </w:rPr>
              <w:t xml:space="preserve">Antimicrobial Stewardship Team recommends this drug is listed </w:t>
            </w:r>
            <w:r>
              <w:rPr>
                <w:rFonts w:cs="Arial"/>
                <w:sz w:val="20"/>
              </w:rPr>
              <w:t xml:space="preserve">as: </w:t>
            </w:r>
            <w:r w:rsidRPr="008F47C9">
              <w:rPr>
                <w:rFonts w:cs="Arial"/>
                <w:sz w:val="20"/>
              </w:rPr>
              <w:t>Restricted.</w:t>
            </w:r>
          </w:p>
          <w:p w:rsidRPr="00026F20" w:rsidR="006468C2" w:rsidP="00FE4186" w:rsidRDefault="006468C2" w14:paraId="3AAC25CA" w14:textId="77777777">
            <w:pPr>
              <w:pStyle w:val="BodyText"/>
              <w:rPr>
                <w:rFonts w:cs="Arial"/>
                <w:sz w:val="20"/>
              </w:rPr>
            </w:pPr>
            <w:r w:rsidRPr="008F47C9">
              <w:rPr>
                <w:rFonts w:cs="Arial"/>
                <w:sz w:val="20"/>
              </w:rPr>
              <w:t>Continuous infusion regimen optimises achievement of steady state target concentration with fewer dose adjustments and a lower total daily dose in comparison to intermittent regimen.</w:t>
            </w:r>
          </w:p>
        </w:tc>
      </w:tr>
      <w:tr w:rsidRPr="003A7895" w:rsidR="006468C2" w:rsidTr="008D48AE" w14:paraId="6A4267D8" w14:textId="77777777">
        <w:trPr>
          <w:trHeight w:val="72"/>
        </w:trPr>
        <w:tc>
          <w:tcPr>
            <w:tcW w:w="1872" w:type="dxa"/>
          </w:tcPr>
          <w:p w:rsidRPr="00B53E9B" w:rsidR="006468C2" w:rsidP="00FE4186" w:rsidRDefault="006468C2" w14:paraId="215B48D5" w14:textId="77777777">
            <w:pPr>
              <w:pStyle w:val="BodyText"/>
              <w:rPr>
                <w:rFonts w:cs="Arial"/>
                <w:sz w:val="20"/>
              </w:rPr>
            </w:pPr>
            <w:r w:rsidRPr="00B53E9B">
              <w:rPr>
                <w:rFonts w:cs="Arial"/>
                <w:b/>
                <w:bCs/>
                <w:sz w:val="20"/>
              </w:rPr>
              <w:t>Indication</w:t>
            </w:r>
          </w:p>
        </w:tc>
        <w:tc>
          <w:tcPr>
            <w:tcW w:w="8363" w:type="dxa"/>
          </w:tcPr>
          <w:p w:rsidR="006468C2" w:rsidP="00FE4186" w:rsidRDefault="006468C2" w14:paraId="4605DED5" w14:textId="77777777">
            <w:pPr>
              <w:tabs>
                <w:tab w:val="left" w:pos="5"/>
              </w:tabs>
              <w:rPr>
                <w:sz w:val="20"/>
              </w:rPr>
            </w:pPr>
            <w:r>
              <w:rPr>
                <w:sz w:val="20"/>
              </w:rPr>
              <w:tab/>
            </w:r>
            <w:r w:rsidRPr="008F47C9">
              <w:rPr>
                <w:sz w:val="20"/>
              </w:rPr>
              <w:t>Infections due to susceptible strains of Staphylococci (including MRSA), Streptococci, Enterococci, Diptheroids, Listeria monocytogenes, Actinomyces, Bacillus sp</w:t>
            </w:r>
          </w:p>
        </w:tc>
      </w:tr>
      <w:tr w:rsidRPr="003A7895" w:rsidR="006468C2" w:rsidTr="008D48AE" w14:paraId="37FAFA92" w14:textId="77777777">
        <w:trPr>
          <w:trHeight w:val="70"/>
        </w:trPr>
        <w:tc>
          <w:tcPr>
            <w:tcW w:w="1872" w:type="dxa"/>
          </w:tcPr>
          <w:p w:rsidRPr="00B53E9B" w:rsidR="006468C2" w:rsidP="00FE4186" w:rsidRDefault="006468C2" w14:paraId="1096BAD7" w14:textId="77777777">
            <w:pPr>
              <w:pStyle w:val="BodyText"/>
              <w:rPr>
                <w:rFonts w:cs="Arial"/>
                <w:b/>
                <w:bCs/>
                <w:sz w:val="20"/>
              </w:rPr>
            </w:pPr>
            <w:r w:rsidRPr="00B53E9B">
              <w:rPr>
                <w:rFonts w:cs="Arial"/>
                <w:b/>
                <w:bCs/>
                <w:sz w:val="20"/>
              </w:rPr>
              <w:t>Action</w:t>
            </w:r>
          </w:p>
        </w:tc>
        <w:tc>
          <w:tcPr>
            <w:tcW w:w="8363" w:type="dxa"/>
          </w:tcPr>
          <w:p w:rsidRPr="00A4414D" w:rsidR="006468C2" w:rsidP="00FE4186" w:rsidRDefault="006468C2" w14:paraId="018A76C4" w14:textId="77777777">
            <w:pPr>
              <w:rPr>
                <w:rFonts w:cs="Arial"/>
                <w:sz w:val="20"/>
              </w:rPr>
            </w:pPr>
            <w:r w:rsidRPr="008F47C9">
              <w:rPr>
                <w:rFonts w:cs="Arial"/>
                <w:sz w:val="20"/>
              </w:rPr>
              <w:t>Bactericidal agent which interferes with cell wall synthesis, inhibits RNA synthesis and alters plasma membrane function.</w:t>
            </w:r>
          </w:p>
        </w:tc>
      </w:tr>
      <w:tr w:rsidRPr="003A7895" w:rsidR="006468C2" w:rsidTr="008D48AE" w14:paraId="369705FA" w14:textId="77777777">
        <w:trPr>
          <w:trHeight w:val="266"/>
        </w:trPr>
        <w:tc>
          <w:tcPr>
            <w:tcW w:w="1872" w:type="dxa"/>
          </w:tcPr>
          <w:p w:rsidRPr="00B53E9B" w:rsidR="006468C2" w:rsidP="00FE4186" w:rsidRDefault="006468C2" w14:paraId="326B83D0" w14:textId="77777777">
            <w:pPr>
              <w:pStyle w:val="BodyText"/>
              <w:rPr>
                <w:rFonts w:cs="Arial"/>
                <w:sz w:val="20"/>
              </w:rPr>
            </w:pPr>
            <w:r>
              <w:rPr>
                <w:rFonts w:cs="Arial"/>
                <w:b/>
                <w:bCs/>
                <w:sz w:val="20"/>
              </w:rPr>
              <w:t>Drug t</w:t>
            </w:r>
            <w:r w:rsidRPr="00B53E9B">
              <w:rPr>
                <w:rFonts w:cs="Arial"/>
                <w:b/>
                <w:bCs/>
                <w:sz w:val="20"/>
              </w:rPr>
              <w:t xml:space="preserve">ype                                   </w:t>
            </w:r>
          </w:p>
        </w:tc>
        <w:tc>
          <w:tcPr>
            <w:tcW w:w="8363" w:type="dxa"/>
          </w:tcPr>
          <w:p w:rsidRPr="00377CD0" w:rsidR="006468C2" w:rsidP="00FE4186" w:rsidRDefault="006468C2" w14:paraId="61ACA085" w14:textId="77777777">
            <w:pPr>
              <w:pStyle w:val="BodyText"/>
              <w:rPr>
                <w:rFonts w:cs="Arial"/>
                <w:sz w:val="20"/>
              </w:rPr>
            </w:pPr>
            <w:r w:rsidRPr="00377CD0">
              <w:rPr>
                <w:sz w:val="20"/>
              </w:rPr>
              <w:t>Glycopeptide antibiotic</w:t>
            </w:r>
            <w:r>
              <w:rPr>
                <w:sz w:val="20"/>
              </w:rPr>
              <w:t>.</w:t>
            </w:r>
          </w:p>
        </w:tc>
      </w:tr>
      <w:tr w:rsidRPr="003A7895" w:rsidR="006468C2" w:rsidTr="008D48AE" w14:paraId="261BB516" w14:textId="77777777">
        <w:trPr>
          <w:trHeight w:val="114"/>
        </w:trPr>
        <w:tc>
          <w:tcPr>
            <w:tcW w:w="1872" w:type="dxa"/>
          </w:tcPr>
          <w:p w:rsidRPr="00B53E9B" w:rsidR="006468C2" w:rsidP="00FE4186" w:rsidRDefault="006468C2" w14:paraId="5ACD24BB"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363" w:type="dxa"/>
          </w:tcPr>
          <w:p w:rsidRPr="00377CD0" w:rsidR="006468C2" w:rsidP="00FE4186" w:rsidRDefault="006468C2" w14:paraId="0B06FCC4" w14:textId="77777777">
            <w:pPr>
              <w:pStyle w:val="BodyText"/>
              <w:rPr>
                <w:rFonts w:cs="Arial"/>
                <w:sz w:val="20"/>
              </w:rPr>
            </w:pPr>
            <w:r w:rsidRPr="00553237">
              <w:rPr>
                <w:sz w:val="20"/>
              </w:rPr>
              <w:t>DBL Vancomycin Hydrochloride</w:t>
            </w:r>
            <w:r>
              <w:rPr>
                <w:sz w:val="20"/>
              </w:rPr>
              <w:t xml:space="preserve">, </w:t>
            </w:r>
            <w:r w:rsidRPr="00377CD0">
              <w:rPr>
                <w:sz w:val="20"/>
              </w:rPr>
              <w:t>Vancocin CP, Vancomycin Alphapharm, Va</w:t>
            </w:r>
            <w:r>
              <w:rPr>
                <w:sz w:val="20"/>
              </w:rPr>
              <w:t>n</w:t>
            </w:r>
            <w:r w:rsidRPr="00377CD0">
              <w:rPr>
                <w:sz w:val="20"/>
              </w:rPr>
              <w:t xml:space="preserve">comycin </w:t>
            </w:r>
            <w:r>
              <w:rPr>
                <w:sz w:val="20"/>
              </w:rPr>
              <w:t xml:space="preserve">AN powder for infusion. </w:t>
            </w:r>
            <w:r w:rsidRPr="00183800">
              <w:rPr>
                <w:sz w:val="20"/>
              </w:rPr>
              <w:t>Vancomycin Sandoz Vycin</w:t>
            </w:r>
          </w:p>
        </w:tc>
      </w:tr>
      <w:tr w:rsidRPr="003A7895" w:rsidR="006468C2" w:rsidTr="008D48AE" w14:paraId="14546816" w14:textId="77777777">
        <w:trPr>
          <w:trHeight w:val="70"/>
        </w:trPr>
        <w:tc>
          <w:tcPr>
            <w:tcW w:w="1872" w:type="dxa"/>
          </w:tcPr>
          <w:p w:rsidRPr="00B53E9B" w:rsidR="006468C2" w:rsidP="00FE4186" w:rsidRDefault="006468C2" w14:paraId="0FFEC438" w14:textId="77777777">
            <w:pPr>
              <w:pStyle w:val="BodyText"/>
              <w:rPr>
                <w:rFonts w:cs="Arial"/>
                <w:b/>
                <w:bCs/>
                <w:sz w:val="20"/>
              </w:rPr>
            </w:pPr>
            <w:r w:rsidRPr="00B53E9B">
              <w:rPr>
                <w:rFonts w:cs="Arial"/>
                <w:b/>
                <w:bCs/>
                <w:sz w:val="20"/>
              </w:rPr>
              <w:t xml:space="preserve">Presentation </w:t>
            </w:r>
          </w:p>
        </w:tc>
        <w:tc>
          <w:tcPr>
            <w:tcW w:w="8363" w:type="dxa"/>
          </w:tcPr>
          <w:p w:rsidR="006468C2" w:rsidP="00FE4186" w:rsidRDefault="006468C2" w14:paraId="3BBA46CD" w14:textId="77777777">
            <w:pPr>
              <w:pStyle w:val="BodyText"/>
              <w:ind w:left="34"/>
              <w:rPr>
                <w:rFonts w:cs="Arial"/>
                <w:sz w:val="20"/>
              </w:rPr>
            </w:pPr>
            <w:r>
              <w:rPr>
                <w:rFonts w:cs="Arial"/>
                <w:sz w:val="20"/>
              </w:rPr>
              <w:t>Vancomycin h</w:t>
            </w:r>
            <w:r w:rsidRPr="00377CD0">
              <w:rPr>
                <w:rFonts w:cs="Arial"/>
                <w:sz w:val="20"/>
              </w:rPr>
              <w:t>ydrochloride</w:t>
            </w:r>
            <w:r>
              <w:rPr>
                <w:rFonts w:cs="Arial"/>
                <w:sz w:val="20"/>
              </w:rPr>
              <w:t xml:space="preserve"> 500 mg</w:t>
            </w:r>
            <w:r w:rsidRPr="00377CD0">
              <w:rPr>
                <w:rFonts w:cs="Arial"/>
                <w:sz w:val="20"/>
              </w:rPr>
              <w:t xml:space="preserve"> </w:t>
            </w:r>
            <w:r>
              <w:rPr>
                <w:rFonts w:cs="Arial"/>
                <w:sz w:val="20"/>
              </w:rPr>
              <w:t>vial</w:t>
            </w:r>
          </w:p>
          <w:p w:rsidRPr="00377CD0" w:rsidR="006468C2" w:rsidP="00FE4186" w:rsidRDefault="006468C2" w14:paraId="743AF19F" w14:textId="77777777">
            <w:pPr>
              <w:pStyle w:val="BodyText"/>
              <w:ind w:left="34"/>
              <w:rPr>
                <w:rFonts w:cs="Arial"/>
                <w:sz w:val="20"/>
              </w:rPr>
            </w:pPr>
            <w:r>
              <w:rPr>
                <w:rFonts w:cs="Arial"/>
                <w:sz w:val="20"/>
              </w:rPr>
              <w:t>Vancomycin h</w:t>
            </w:r>
            <w:r w:rsidRPr="00377CD0">
              <w:rPr>
                <w:rFonts w:cs="Arial"/>
                <w:sz w:val="20"/>
              </w:rPr>
              <w:t>ydrochloride</w:t>
            </w:r>
            <w:r>
              <w:rPr>
                <w:rFonts w:cs="Arial"/>
                <w:sz w:val="20"/>
              </w:rPr>
              <w:t xml:space="preserve"> 1000 mg</w:t>
            </w:r>
            <w:r w:rsidRPr="00377CD0">
              <w:rPr>
                <w:rFonts w:cs="Arial"/>
                <w:sz w:val="20"/>
              </w:rPr>
              <w:t xml:space="preserve"> </w:t>
            </w:r>
            <w:r>
              <w:rPr>
                <w:rFonts w:cs="Arial"/>
                <w:sz w:val="20"/>
              </w:rPr>
              <w:t>vial</w:t>
            </w:r>
          </w:p>
        </w:tc>
      </w:tr>
      <w:tr w:rsidRPr="000E2236" w:rsidR="006468C2" w:rsidTr="008D48AE" w14:paraId="6C853839" w14:textId="77777777">
        <w:trPr>
          <w:trHeight w:val="70"/>
        </w:trPr>
        <w:tc>
          <w:tcPr>
            <w:tcW w:w="1872" w:type="dxa"/>
          </w:tcPr>
          <w:p w:rsidRPr="00B53E9B" w:rsidR="006468C2" w:rsidP="00FE4186" w:rsidRDefault="006468C2" w14:paraId="0529C945" w14:textId="77777777">
            <w:pPr>
              <w:pStyle w:val="BodyText"/>
              <w:rPr>
                <w:rFonts w:cs="Arial"/>
                <w:b/>
                <w:bCs/>
                <w:sz w:val="20"/>
              </w:rPr>
            </w:pPr>
            <w:r>
              <w:rPr>
                <w:rFonts w:cs="Arial"/>
                <w:b/>
                <w:bCs/>
                <w:sz w:val="20"/>
              </w:rPr>
              <w:t>Dose</w:t>
            </w:r>
            <w:r w:rsidRPr="00B53E9B">
              <w:rPr>
                <w:rFonts w:cs="Arial"/>
                <w:b/>
                <w:bCs/>
                <w:sz w:val="20"/>
              </w:rPr>
              <w:t xml:space="preserve">                          </w:t>
            </w:r>
          </w:p>
        </w:tc>
        <w:tc>
          <w:tcPr>
            <w:tcW w:w="8363" w:type="dxa"/>
          </w:tcPr>
          <w:p w:rsidR="006468C2" w:rsidP="00FE4186" w:rsidRDefault="006468C2" w14:paraId="2F1B152A" w14:textId="77777777">
            <w:pPr>
              <w:pStyle w:val="BodyText"/>
              <w:rPr>
                <w:rFonts w:cs="Arial"/>
                <w:b/>
                <w:sz w:val="22"/>
                <w:szCs w:val="22"/>
              </w:rPr>
            </w:pPr>
            <w:r w:rsidRPr="00C57FDF">
              <w:rPr>
                <w:rFonts w:cs="Arial"/>
                <w:b/>
                <w:szCs w:val="24"/>
              </w:rPr>
              <w:t>Standard dose</w:t>
            </w:r>
            <w:r w:rsidRPr="000A44AF">
              <w:rPr>
                <w:rFonts w:cs="Arial"/>
                <w:b/>
                <w:sz w:val="22"/>
                <w:szCs w:val="22"/>
              </w:rPr>
              <w:t xml:space="preserve">: </w:t>
            </w:r>
            <w:r>
              <w:rPr>
                <w:rFonts w:cs="Arial"/>
                <w:b/>
                <w:sz w:val="22"/>
                <w:szCs w:val="22"/>
              </w:rPr>
              <w:t>1</w:t>
            </w:r>
            <w:r w:rsidRPr="000A44AF">
              <w:rPr>
                <w:rFonts w:cs="Arial"/>
                <w:b/>
                <w:sz w:val="22"/>
                <w:szCs w:val="22"/>
              </w:rPr>
              <w:t>5</w:t>
            </w:r>
            <w:r>
              <w:rPr>
                <w:rFonts w:cs="Arial"/>
                <w:b/>
                <w:sz w:val="22"/>
                <w:szCs w:val="22"/>
              </w:rPr>
              <w:t xml:space="preserve"> </w:t>
            </w:r>
            <w:r w:rsidRPr="000A44AF">
              <w:rPr>
                <w:rFonts w:cs="Arial"/>
                <w:b/>
                <w:sz w:val="22"/>
                <w:szCs w:val="22"/>
              </w:rPr>
              <w:t>mg/kg</w:t>
            </w:r>
            <w:r>
              <w:rPr>
                <w:rFonts w:cs="Arial"/>
                <w:b/>
                <w:sz w:val="22"/>
                <w:szCs w:val="22"/>
              </w:rPr>
              <w:t>/dose. D</w:t>
            </w:r>
            <w:r w:rsidRPr="000A44AF">
              <w:rPr>
                <w:rFonts w:cs="Arial"/>
                <w:b/>
                <w:sz w:val="22"/>
                <w:szCs w:val="22"/>
              </w:rPr>
              <w:t>osing interval as per table below</w:t>
            </w:r>
            <w:r w:rsidRPr="001F7312">
              <w:rPr>
                <w:rFonts w:cs="Arial"/>
                <w:sz w:val="22"/>
                <w:szCs w:val="22"/>
                <w:vertAlign w:val="superscript"/>
              </w:rPr>
              <w:t>24</w:t>
            </w:r>
            <w:r>
              <w:rPr>
                <w:rFonts w:cs="Arial"/>
                <w:b/>
                <w:sz w:val="22"/>
                <w:szCs w:val="22"/>
              </w:rPr>
              <w:t xml:space="preserve"> </w:t>
            </w:r>
          </w:p>
          <w:p w:rsidRPr="000A44AF" w:rsidR="006468C2" w:rsidP="00FE4186" w:rsidRDefault="006468C2" w14:paraId="3D07AF78" w14:textId="77777777">
            <w:pPr>
              <w:pStyle w:val="BodyText"/>
              <w:rPr>
                <w:rFonts w:cs="Arial"/>
                <w:b/>
                <w:sz w:val="22"/>
                <w:szCs w:val="22"/>
              </w:rPr>
            </w:pPr>
          </w:p>
          <w:tbl>
            <w:tblPr>
              <w:tblW w:w="6515"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13"/>
              <w:gridCol w:w="1559"/>
              <w:gridCol w:w="1843"/>
            </w:tblGrid>
            <w:tr w:rsidRPr="000A44AF" w:rsidR="006468C2" w:rsidTr="0075711E" w14:paraId="28AC04EE" w14:textId="77777777">
              <w:trPr>
                <w:trHeight w:val="248"/>
              </w:trPr>
              <w:tc>
                <w:tcPr>
                  <w:tcW w:w="4672" w:type="dxa"/>
                  <w:gridSpan w:val="2"/>
                  <w:vAlign w:val="center"/>
                </w:tcPr>
                <w:p w:rsidRPr="00C00DCB" w:rsidR="006468C2" w:rsidP="00FE4186" w:rsidRDefault="006468C2" w14:paraId="6AE365CF" w14:textId="77777777">
                  <w:pPr>
                    <w:pStyle w:val="BodyText"/>
                    <w:jc w:val="center"/>
                    <w:rPr>
                      <w:rFonts w:cs="Arial"/>
                      <w:b/>
                      <w:sz w:val="22"/>
                      <w:szCs w:val="22"/>
                    </w:rPr>
                  </w:pPr>
                  <w:r w:rsidRPr="00C00DCB">
                    <w:rPr>
                      <w:rFonts w:cs="Arial"/>
                      <w:b/>
                      <w:sz w:val="22"/>
                      <w:szCs w:val="22"/>
                    </w:rPr>
                    <w:t>Method</w:t>
                  </w:r>
                </w:p>
              </w:tc>
              <w:tc>
                <w:tcPr>
                  <w:tcW w:w="1843" w:type="dxa"/>
                  <w:vMerge w:val="restart"/>
                  <w:vAlign w:val="center"/>
                </w:tcPr>
                <w:p w:rsidRPr="00C00DCB" w:rsidR="006468C2" w:rsidP="00FE4186" w:rsidRDefault="006468C2" w14:paraId="30C5A086" w14:textId="77777777">
                  <w:pPr>
                    <w:pStyle w:val="BodyText"/>
                    <w:jc w:val="center"/>
                    <w:rPr>
                      <w:rFonts w:cs="Arial"/>
                      <w:b/>
                      <w:sz w:val="22"/>
                      <w:szCs w:val="22"/>
                    </w:rPr>
                  </w:pPr>
                  <w:r w:rsidRPr="00C00DCB">
                    <w:rPr>
                      <w:rFonts w:cs="Arial"/>
                      <w:b/>
                      <w:sz w:val="22"/>
                      <w:szCs w:val="22"/>
                    </w:rPr>
                    <w:t>Interval</w:t>
                  </w:r>
                </w:p>
              </w:tc>
            </w:tr>
            <w:tr w:rsidRPr="000A44AF" w:rsidR="006468C2" w:rsidTr="0075711E" w14:paraId="4957FD0C" w14:textId="77777777">
              <w:trPr>
                <w:trHeight w:val="247"/>
              </w:trPr>
              <w:tc>
                <w:tcPr>
                  <w:tcW w:w="3113" w:type="dxa"/>
                  <w:vAlign w:val="center"/>
                </w:tcPr>
                <w:p w:rsidRPr="00C00DCB" w:rsidR="006468C2" w:rsidP="00FE4186" w:rsidRDefault="006468C2" w14:paraId="6A45E68A" w14:textId="77777777">
                  <w:pPr>
                    <w:pStyle w:val="BodyText"/>
                    <w:jc w:val="center"/>
                    <w:rPr>
                      <w:rFonts w:cs="Arial"/>
                      <w:b/>
                      <w:sz w:val="22"/>
                      <w:szCs w:val="22"/>
                    </w:rPr>
                  </w:pPr>
                  <w:r w:rsidRPr="00C00DCB">
                    <w:rPr>
                      <w:rFonts w:cs="Arial"/>
                      <w:b/>
                      <w:sz w:val="22"/>
                      <w:szCs w:val="22"/>
                    </w:rPr>
                    <w:t>Corrected Gestational Age/Postmenstrual Age</w:t>
                  </w:r>
                </w:p>
              </w:tc>
              <w:tc>
                <w:tcPr>
                  <w:tcW w:w="1559" w:type="dxa"/>
                  <w:vAlign w:val="center"/>
                </w:tcPr>
                <w:p w:rsidRPr="00C00DCB" w:rsidR="006468C2" w:rsidP="00FE4186" w:rsidRDefault="006468C2" w14:paraId="16AA324C" w14:textId="77777777">
                  <w:pPr>
                    <w:pStyle w:val="BodyText"/>
                    <w:jc w:val="center"/>
                    <w:rPr>
                      <w:rFonts w:cs="Arial"/>
                      <w:b/>
                      <w:sz w:val="22"/>
                      <w:szCs w:val="22"/>
                    </w:rPr>
                  </w:pPr>
                  <w:r w:rsidRPr="00C00DCB">
                    <w:rPr>
                      <w:rFonts w:cs="Arial"/>
                      <w:b/>
                      <w:sz w:val="22"/>
                      <w:szCs w:val="22"/>
                    </w:rPr>
                    <w:t xml:space="preserve">Postnatal Age </w:t>
                  </w:r>
                </w:p>
              </w:tc>
              <w:tc>
                <w:tcPr>
                  <w:tcW w:w="1843" w:type="dxa"/>
                  <w:vMerge/>
                  <w:vAlign w:val="center"/>
                </w:tcPr>
                <w:p w:rsidRPr="00C00DCB" w:rsidR="006468C2" w:rsidP="00FE4186" w:rsidRDefault="006468C2" w14:paraId="1A58523F" w14:textId="77777777">
                  <w:pPr>
                    <w:pStyle w:val="BodyText"/>
                    <w:jc w:val="center"/>
                    <w:rPr>
                      <w:rFonts w:cs="Arial"/>
                      <w:b/>
                      <w:sz w:val="22"/>
                      <w:szCs w:val="22"/>
                    </w:rPr>
                  </w:pPr>
                </w:p>
              </w:tc>
            </w:tr>
            <w:tr w:rsidRPr="000A44AF" w:rsidR="006468C2" w:rsidTr="0075711E" w14:paraId="274A37F3" w14:textId="77777777">
              <w:tc>
                <w:tcPr>
                  <w:tcW w:w="3113" w:type="dxa"/>
                </w:tcPr>
                <w:p w:rsidRPr="00C00DCB" w:rsidR="006468C2" w:rsidP="00FE4186" w:rsidRDefault="006468C2" w14:paraId="4F939E1C" w14:textId="77777777">
                  <w:pPr>
                    <w:pStyle w:val="BodyText"/>
                    <w:rPr>
                      <w:sz w:val="22"/>
                      <w:szCs w:val="22"/>
                    </w:rPr>
                  </w:pPr>
                  <w:r w:rsidRPr="00C00DCB">
                    <w:rPr>
                      <w:sz w:val="22"/>
                      <w:szCs w:val="22"/>
                    </w:rPr>
                    <w:t>&lt;</w:t>
                  </w:r>
                  <w:r>
                    <w:rPr>
                      <w:sz w:val="22"/>
                      <w:szCs w:val="22"/>
                    </w:rPr>
                    <w:t xml:space="preserve"> </w:t>
                  </w:r>
                  <w:r w:rsidRPr="00C00DCB">
                    <w:rPr>
                      <w:sz w:val="22"/>
                      <w:szCs w:val="22"/>
                    </w:rPr>
                    <w:t>30</w:t>
                  </w:r>
                  <w:r w:rsidRPr="00C00DCB">
                    <w:rPr>
                      <w:sz w:val="22"/>
                      <w:szCs w:val="22"/>
                      <w:vertAlign w:val="superscript"/>
                    </w:rPr>
                    <w:t>+0</w:t>
                  </w:r>
                  <w:r w:rsidRPr="00C00DCB">
                    <w:rPr>
                      <w:sz w:val="22"/>
                      <w:szCs w:val="22"/>
                    </w:rPr>
                    <w:t xml:space="preserve"> weeks</w:t>
                  </w:r>
                </w:p>
              </w:tc>
              <w:tc>
                <w:tcPr>
                  <w:tcW w:w="1559" w:type="dxa"/>
                </w:tcPr>
                <w:p w:rsidRPr="00C00DCB" w:rsidR="006468C2" w:rsidP="00FE4186" w:rsidRDefault="006468C2" w14:paraId="6D256F76" w14:textId="77777777">
                  <w:pPr>
                    <w:pStyle w:val="BodyText"/>
                    <w:rPr>
                      <w:sz w:val="22"/>
                      <w:szCs w:val="22"/>
                    </w:rPr>
                  </w:pPr>
                  <w:r>
                    <w:rPr>
                      <w:sz w:val="22"/>
                      <w:szCs w:val="22"/>
                    </w:rPr>
                    <w:t>0─2 days</w:t>
                  </w:r>
                </w:p>
              </w:tc>
              <w:tc>
                <w:tcPr>
                  <w:tcW w:w="1843" w:type="dxa"/>
                </w:tcPr>
                <w:p w:rsidRPr="00C00DCB" w:rsidR="006468C2" w:rsidP="00FE4186" w:rsidRDefault="006468C2" w14:paraId="5031F328" w14:textId="77777777">
                  <w:pPr>
                    <w:pStyle w:val="BodyText"/>
                    <w:rPr>
                      <w:sz w:val="22"/>
                      <w:szCs w:val="22"/>
                    </w:rPr>
                  </w:pPr>
                  <w:r>
                    <w:rPr>
                      <w:sz w:val="22"/>
                      <w:szCs w:val="22"/>
                    </w:rPr>
                    <w:t>18 hourly</w:t>
                  </w:r>
                </w:p>
              </w:tc>
            </w:tr>
            <w:tr w:rsidRPr="000A44AF" w:rsidR="006468C2" w:rsidTr="0075711E" w14:paraId="07EB154A" w14:textId="77777777">
              <w:tc>
                <w:tcPr>
                  <w:tcW w:w="3113" w:type="dxa"/>
                </w:tcPr>
                <w:p w:rsidRPr="00C00DCB" w:rsidR="006468C2" w:rsidP="00FE4186" w:rsidRDefault="006468C2" w14:paraId="655126C3" w14:textId="77777777">
                  <w:pPr>
                    <w:pStyle w:val="BodyText"/>
                    <w:rPr>
                      <w:rFonts w:cs="Arial"/>
                      <w:sz w:val="22"/>
                      <w:szCs w:val="22"/>
                    </w:rPr>
                  </w:pPr>
                  <w:r w:rsidRPr="00C00DCB">
                    <w:rPr>
                      <w:sz w:val="22"/>
                      <w:szCs w:val="22"/>
                    </w:rPr>
                    <w:t>&lt;</w:t>
                  </w:r>
                  <w:r>
                    <w:rPr>
                      <w:sz w:val="22"/>
                      <w:szCs w:val="22"/>
                    </w:rPr>
                    <w:t xml:space="preserve"> </w:t>
                  </w:r>
                  <w:r w:rsidRPr="00C00DCB">
                    <w:rPr>
                      <w:sz w:val="22"/>
                      <w:szCs w:val="22"/>
                    </w:rPr>
                    <w:t>30</w:t>
                  </w:r>
                  <w:r w:rsidRPr="00C00DCB">
                    <w:rPr>
                      <w:sz w:val="22"/>
                      <w:szCs w:val="22"/>
                      <w:vertAlign w:val="superscript"/>
                    </w:rPr>
                    <w:t>+0</w:t>
                  </w:r>
                  <w:r w:rsidRPr="00C00DCB">
                    <w:rPr>
                      <w:sz w:val="22"/>
                      <w:szCs w:val="22"/>
                    </w:rPr>
                    <w:t xml:space="preserve"> weeks  </w:t>
                  </w:r>
                </w:p>
              </w:tc>
              <w:tc>
                <w:tcPr>
                  <w:tcW w:w="1559" w:type="dxa"/>
                </w:tcPr>
                <w:p w:rsidRPr="00C00DCB" w:rsidR="006468C2" w:rsidP="00FE4186" w:rsidRDefault="006468C2" w14:paraId="7548FD99" w14:textId="77777777">
                  <w:pPr>
                    <w:pStyle w:val="BodyText"/>
                    <w:rPr>
                      <w:rFonts w:cs="Arial"/>
                      <w:sz w:val="22"/>
                      <w:szCs w:val="22"/>
                    </w:rPr>
                  </w:pPr>
                  <w:r>
                    <w:rPr>
                      <w:sz w:val="22"/>
                      <w:szCs w:val="22"/>
                    </w:rPr>
                    <w:t>3+</w:t>
                  </w:r>
                  <w:r w:rsidRPr="00C00DCB">
                    <w:rPr>
                      <w:sz w:val="22"/>
                      <w:szCs w:val="22"/>
                    </w:rPr>
                    <w:t xml:space="preserve"> days </w:t>
                  </w:r>
                </w:p>
              </w:tc>
              <w:tc>
                <w:tcPr>
                  <w:tcW w:w="1843" w:type="dxa"/>
                </w:tcPr>
                <w:p w:rsidRPr="00C00DCB" w:rsidR="006468C2" w:rsidP="00FE4186" w:rsidRDefault="006468C2" w14:paraId="0C35D2F7" w14:textId="77777777">
                  <w:pPr>
                    <w:pStyle w:val="BodyText"/>
                    <w:rPr>
                      <w:rFonts w:cs="Arial"/>
                      <w:sz w:val="22"/>
                      <w:szCs w:val="22"/>
                    </w:rPr>
                  </w:pPr>
                  <w:r>
                    <w:rPr>
                      <w:sz w:val="22"/>
                      <w:szCs w:val="22"/>
                    </w:rPr>
                    <w:t>12</w:t>
                  </w:r>
                  <w:r w:rsidRPr="00C00DCB">
                    <w:rPr>
                      <w:sz w:val="22"/>
                      <w:szCs w:val="22"/>
                    </w:rPr>
                    <w:t xml:space="preserve"> hourly</w:t>
                  </w:r>
                </w:p>
              </w:tc>
            </w:tr>
            <w:tr w:rsidRPr="000A44AF" w:rsidR="006468C2" w:rsidTr="0075711E" w14:paraId="4E2E14DC" w14:textId="77777777">
              <w:tc>
                <w:tcPr>
                  <w:tcW w:w="3113" w:type="dxa"/>
                </w:tcPr>
                <w:p w:rsidRPr="00C00DCB" w:rsidR="006468C2" w:rsidP="00FE4186" w:rsidRDefault="006468C2" w14:paraId="609C7D44" w14:textId="77777777">
                  <w:pPr>
                    <w:pStyle w:val="BodyText"/>
                    <w:rPr>
                      <w:rFonts w:cs="Arial"/>
                      <w:sz w:val="22"/>
                      <w:szCs w:val="22"/>
                    </w:rPr>
                  </w:pPr>
                  <w:r w:rsidRPr="00C00DCB">
                    <w:rPr>
                      <w:sz w:val="22"/>
                      <w:szCs w:val="22"/>
                    </w:rPr>
                    <w:t>30</w:t>
                  </w:r>
                  <w:r w:rsidRPr="00C00DCB">
                    <w:rPr>
                      <w:sz w:val="22"/>
                      <w:szCs w:val="22"/>
                      <w:vertAlign w:val="superscript"/>
                    </w:rPr>
                    <w:t>+0</w:t>
                  </w:r>
                  <w:r>
                    <w:rPr>
                      <w:sz w:val="22"/>
                      <w:szCs w:val="22"/>
                    </w:rPr>
                    <w:t>─</w:t>
                  </w:r>
                  <w:r w:rsidRPr="00C00DCB">
                    <w:rPr>
                      <w:sz w:val="22"/>
                      <w:szCs w:val="22"/>
                    </w:rPr>
                    <w:t>36</w:t>
                  </w:r>
                  <w:r w:rsidRPr="00C00DCB">
                    <w:rPr>
                      <w:sz w:val="22"/>
                      <w:szCs w:val="22"/>
                      <w:vertAlign w:val="superscript"/>
                    </w:rPr>
                    <w:t>+6</w:t>
                  </w:r>
                  <w:r w:rsidRPr="00C00DCB">
                    <w:rPr>
                      <w:sz w:val="22"/>
                      <w:szCs w:val="22"/>
                    </w:rPr>
                    <w:t xml:space="preserve"> weeks  </w:t>
                  </w:r>
                </w:p>
              </w:tc>
              <w:tc>
                <w:tcPr>
                  <w:tcW w:w="1559" w:type="dxa"/>
                </w:tcPr>
                <w:p w:rsidRPr="00C00DCB" w:rsidR="006468C2" w:rsidP="00FE4186" w:rsidRDefault="006468C2" w14:paraId="6E7E7B2F" w14:textId="77777777">
                  <w:pPr>
                    <w:pStyle w:val="BodyText"/>
                    <w:rPr>
                      <w:rFonts w:cs="Arial"/>
                      <w:sz w:val="22"/>
                      <w:szCs w:val="22"/>
                    </w:rPr>
                  </w:pPr>
                  <w:r>
                    <w:rPr>
                      <w:sz w:val="22"/>
                      <w:szCs w:val="22"/>
                    </w:rPr>
                    <w:t>0─</w:t>
                  </w:r>
                  <w:r w:rsidRPr="00C00DCB">
                    <w:rPr>
                      <w:sz w:val="22"/>
                      <w:szCs w:val="22"/>
                    </w:rPr>
                    <w:t>14 days</w:t>
                  </w:r>
                </w:p>
              </w:tc>
              <w:tc>
                <w:tcPr>
                  <w:tcW w:w="1843" w:type="dxa"/>
                </w:tcPr>
                <w:p w:rsidRPr="00C00DCB" w:rsidR="006468C2" w:rsidP="00FE4186" w:rsidRDefault="006468C2" w14:paraId="05489FFB" w14:textId="77777777">
                  <w:pPr>
                    <w:rPr>
                      <w:sz w:val="22"/>
                      <w:szCs w:val="22"/>
                    </w:rPr>
                  </w:pPr>
                  <w:r w:rsidRPr="00C00DCB">
                    <w:rPr>
                      <w:sz w:val="22"/>
                      <w:szCs w:val="22"/>
                    </w:rPr>
                    <w:t>12 hourly</w:t>
                  </w:r>
                </w:p>
              </w:tc>
            </w:tr>
            <w:tr w:rsidRPr="000A44AF" w:rsidR="006468C2" w:rsidTr="0075711E" w14:paraId="0988D094" w14:textId="77777777">
              <w:tc>
                <w:tcPr>
                  <w:tcW w:w="3113" w:type="dxa"/>
                </w:tcPr>
                <w:p w:rsidRPr="00C00DCB" w:rsidR="006468C2" w:rsidP="00FE4186" w:rsidRDefault="006468C2" w14:paraId="58E309FF" w14:textId="77777777">
                  <w:pPr>
                    <w:pStyle w:val="BodyText"/>
                    <w:rPr>
                      <w:rFonts w:cs="Arial"/>
                      <w:sz w:val="22"/>
                      <w:szCs w:val="22"/>
                    </w:rPr>
                  </w:pPr>
                  <w:r w:rsidRPr="00C00DCB">
                    <w:rPr>
                      <w:sz w:val="22"/>
                      <w:szCs w:val="22"/>
                    </w:rPr>
                    <w:t>30</w:t>
                  </w:r>
                  <w:r w:rsidRPr="00C00DCB">
                    <w:rPr>
                      <w:sz w:val="22"/>
                      <w:szCs w:val="22"/>
                      <w:vertAlign w:val="superscript"/>
                    </w:rPr>
                    <w:t>+0</w:t>
                  </w:r>
                  <w:r>
                    <w:rPr>
                      <w:sz w:val="22"/>
                      <w:szCs w:val="22"/>
                    </w:rPr>
                    <w:t>─</w:t>
                  </w:r>
                  <w:r w:rsidRPr="00C00DCB">
                    <w:rPr>
                      <w:sz w:val="22"/>
                      <w:szCs w:val="22"/>
                    </w:rPr>
                    <w:t>36</w:t>
                  </w:r>
                  <w:r w:rsidRPr="00C00DCB">
                    <w:rPr>
                      <w:sz w:val="22"/>
                      <w:szCs w:val="22"/>
                      <w:vertAlign w:val="superscript"/>
                    </w:rPr>
                    <w:t>+6</w:t>
                  </w:r>
                  <w:r w:rsidRPr="00C00DCB">
                    <w:rPr>
                      <w:sz w:val="22"/>
                      <w:szCs w:val="22"/>
                    </w:rPr>
                    <w:t xml:space="preserve"> weeks </w:t>
                  </w:r>
                </w:p>
              </w:tc>
              <w:tc>
                <w:tcPr>
                  <w:tcW w:w="1559" w:type="dxa"/>
                </w:tcPr>
                <w:p w:rsidRPr="00C00DCB" w:rsidR="006468C2" w:rsidP="00FE4186" w:rsidRDefault="006468C2" w14:paraId="19035FD2" w14:textId="77777777">
                  <w:pPr>
                    <w:pStyle w:val="BodyText"/>
                    <w:rPr>
                      <w:rFonts w:cs="Arial"/>
                      <w:sz w:val="22"/>
                      <w:szCs w:val="22"/>
                    </w:rPr>
                  </w:pPr>
                  <w:r w:rsidRPr="00C00DCB">
                    <w:rPr>
                      <w:sz w:val="22"/>
                      <w:szCs w:val="22"/>
                    </w:rPr>
                    <w:t>15+ days</w:t>
                  </w:r>
                </w:p>
              </w:tc>
              <w:tc>
                <w:tcPr>
                  <w:tcW w:w="1843" w:type="dxa"/>
                </w:tcPr>
                <w:p w:rsidRPr="00C00DCB" w:rsidR="006468C2" w:rsidP="00FE4186" w:rsidRDefault="006468C2" w14:paraId="317FA925" w14:textId="77777777">
                  <w:pPr>
                    <w:pStyle w:val="BodyText"/>
                    <w:rPr>
                      <w:rFonts w:cs="Arial"/>
                      <w:sz w:val="22"/>
                      <w:szCs w:val="22"/>
                    </w:rPr>
                  </w:pPr>
                  <w:r w:rsidRPr="00C00DCB">
                    <w:rPr>
                      <w:sz w:val="22"/>
                      <w:szCs w:val="22"/>
                    </w:rPr>
                    <w:t>8 hourly</w:t>
                  </w:r>
                </w:p>
              </w:tc>
            </w:tr>
            <w:tr w:rsidRPr="000A44AF" w:rsidR="006468C2" w:rsidTr="0075711E" w14:paraId="4C2B1679" w14:textId="77777777">
              <w:tc>
                <w:tcPr>
                  <w:tcW w:w="3113" w:type="dxa"/>
                </w:tcPr>
                <w:p w:rsidRPr="00C00DCB" w:rsidR="006468C2" w:rsidP="00FE4186" w:rsidRDefault="006468C2" w14:paraId="60B672F7" w14:textId="77777777">
                  <w:pPr>
                    <w:pStyle w:val="BodyText"/>
                    <w:rPr>
                      <w:sz w:val="22"/>
                      <w:szCs w:val="22"/>
                    </w:rPr>
                  </w:pPr>
                  <w:r w:rsidRPr="00C00DCB">
                    <w:rPr>
                      <w:sz w:val="22"/>
                      <w:szCs w:val="22"/>
                    </w:rPr>
                    <w:t>37</w:t>
                  </w:r>
                  <w:r w:rsidRPr="00C00DCB">
                    <w:rPr>
                      <w:sz w:val="22"/>
                      <w:szCs w:val="22"/>
                      <w:vertAlign w:val="superscript"/>
                    </w:rPr>
                    <w:t>+0</w:t>
                  </w:r>
                  <w:r>
                    <w:rPr>
                      <w:sz w:val="22"/>
                      <w:szCs w:val="22"/>
                    </w:rPr>
                    <w:t>─</w:t>
                  </w:r>
                  <w:r w:rsidRPr="00C00DCB">
                    <w:rPr>
                      <w:sz w:val="22"/>
                      <w:szCs w:val="22"/>
                    </w:rPr>
                    <w:t>44</w:t>
                  </w:r>
                  <w:r w:rsidRPr="00C00DCB">
                    <w:rPr>
                      <w:sz w:val="22"/>
                      <w:szCs w:val="22"/>
                      <w:vertAlign w:val="superscript"/>
                    </w:rPr>
                    <w:t>+6</w:t>
                  </w:r>
                  <w:r w:rsidRPr="00C00DCB">
                    <w:rPr>
                      <w:sz w:val="22"/>
                      <w:szCs w:val="22"/>
                    </w:rPr>
                    <w:t xml:space="preserve"> weeks </w:t>
                  </w:r>
                </w:p>
              </w:tc>
              <w:tc>
                <w:tcPr>
                  <w:tcW w:w="1559" w:type="dxa"/>
                </w:tcPr>
                <w:p w:rsidRPr="00C00DCB" w:rsidR="006468C2" w:rsidP="00FE4186" w:rsidRDefault="006468C2" w14:paraId="52654638" w14:textId="77777777">
                  <w:pPr>
                    <w:pStyle w:val="BodyText"/>
                    <w:rPr>
                      <w:sz w:val="22"/>
                      <w:szCs w:val="22"/>
                    </w:rPr>
                  </w:pPr>
                  <w:r>
                    <w:rPr>
                      <w:sz w:val="22"/>
                      <w:szCs w:val="22"/>
                    </w:rPr>
                    <w:t>0─</w:t>
                  </w:r>
                  <w:r w:rsidRPr="00C00DCB">
                    <w:rPr>
                      <w:sz w:val="22"/>
                      <w:szCs w:val="22"/>
                    </w:rPr>
                    <w:t>7 days</w:t>
                  </w:r>
                </w:p>
              </w:tc>
              <w:tc>
                <w:tcPr>
                  <w:tcW w:w="1843" w:type="dxa"/>
                </w:tcPr>
                <w:p w:rsidRPr="00C00DCB" w:rsidR="006468C2" w:rsidP="00FE4186" w:rsidRDefault="006468C2" w14:paraId="1243C00B" w14:textId="77777777">
                  <w:pPr>
                    <w:pStyle w:val="BodyText"/>
                    <w:rPr>
                      <w:sz w:val="22"/>
                      <w:szCs w:val="22"/>
                    </w:rPr>
                  </w:pPr>
                  <w:r w:rsidRPr="00C00DCB">
                    <w:rPr>
                      <w:sz w:val="22"/>
                      <w:szCs w:val="22"/>
                    </w:rPr>
                    <w:t>12 hourly</w:t>
                  </w:r>
                </w:p>
              </w:tc>
            </w:tr>
            <w:tr w:rsidRPr="000A44AF" w:rsidR="006468C2" w:rsidTr="0075711E" w14:paraId="614222B9" w14:textId="77777777">
              <w:tc>
                <w:tcPr>
                  <w:tcW w:w="3113" w:type="dxa"/>
                </w:tcPr>
                <w:p w:rsidRPr="00C00DCB" w:rsidR="006468C2" w:rsidP="00FE4186" w:rsidRDefault="006468C2" w14:paraId="2C0A0DCE" w14:textId="77777777">
                  <w:pPr>
                    <w:pStyle w:val="BodyText"/>
                    <w:rPr>
                      <w:sz w:val="22"/>
                      <w:szCs w:val="22"/>
                    </w:rPr>
                  </w:pPr>
                  <w:r w:rsidRPr="00C00DCB">
                    <w:rPr>
                      <w:sz w:val="22"/>
                      <w:szCs w:val="22"/>
                    </w:rPr>
                    <w:t>37</w:t>
                  </w:r>
                  <w:r w:rsidRPr="00C00DCB">
                    <w:rPr>
                      <w:sz w:val="22"/>
                      <w:szCs w:val="22"/>
                      <w:vertAlign w:val="superscript"/>
                    </w:rPr>
                    <w:t>+0</w:t>
                  </w:r>
                  <w:r>
                    <w:rPr>
                      <w:sz w:val="22"/>
                      <w:szCs w:val="22"/>
                    </w:rPr>
                    <w:t>─</w:t>
                  </w:r>
                  <w:r w:rsidRPr="00C00DCB">
                    <w:rPr>
                      <w:sz w:val="22"/>
                      <w:szCs w:val="22"/>
                    </w:rPr>
                    <w:t>44</w:t>
                  </w:r>
                  <w:r w:rsidRPr="00C00DCB">
                    <w:rPr>
                      <w:sz w:val="22"/>
                      <w:szCs w:val="22"/>
                      <w:vertAlign w:val="superscript"/>
                    </w:rPr>
                    <w:t>+6</w:t>
                  </w:r>
                  <w:r w:rsidRPr="00C00DCB">
                    <w:rPr>
                      <w:sz w:val="22"/>
                      <w:szCs w:val="22"/>
                    </w:rPr>
                    <w:t xml:space="preserve"> weeks </w:t>
                  </w:r>
                </w:p>
              </w:tc>
              <w:tc>
                <w:tcPr>
                  <w:tcW w:w="1559" w:type="dxa"/>
                </w:tcPr>
                <w:p w:rsidRPr="00C00DCB" w:rsidR="006468C2" w:rsidP="00FE4186" w:rsidRDefault="006468C2" w14:paraId="18C05641" w14:textId="77777777">
                  <w:pPr>
                    <w:pStyle w:val="BodyText"/>
                    <w:rPr>
                      <w:sz w:val="22"/>
                      <w:szCs w:val="22"/>
                    </w:rPr>
                  </w:pPr>
                  <w:r w:rsidRPr="00C00DCB">
                    <w:rPr>
                      <w:sz w:val="22"/>
                      <w:szCs w:val="22"/>
                    </w:rPr>
                    <w:t>8+ days</w:t>
                  </w:r>
                </w:p>
              </w:tc>
              <w:tc>
                <w:tcPr>
                  <w:tcW w:w="1843" w:type="dxa"/>
                </w:tcPr>
                <w:p w:rsidRPr="00C00DCB" w:rsidR="006468C2" w:rsidP="00FE4186" w:rsidRDefault="006468C2" w14:paraId="25B9BADB" w14:textId="77777777">
                  <w:pPr>
                    <w:pStyle w:val="BodyText"/>
                    <w:rPr>
                      <w:sz w:val="22"/>
                      <w:szCs w:val="22"/>
                    </w:rPr>
                  </w:pPr>
                  <w:r w:rsidRPr="00C00DCB">
                    <w:rPr>
                      <w:sz w:val="22"/>
                      <w:szCs w:val="22"/>
                    </w:rPr>
                    <w:t>8 hourly</w:t>
                  </w:r>
                </w:p>
              </w:tc>
            </w:tr>
            <w:tr w:rsidRPr="000A44AF" w:rsidR="006468C2" w:rsidTr="0075711E" w14:paraId="6630F99B" w14:textId="77777777">
              <w:tc>
                <w:tcPr>
                  <w:tcW w:w="3113" w:type="dxa"/>
                </w:tcPr>
                <w:p w:rsidRPr="00C00DCB" w:rsidR="006468C2" w:rsidP="00FE4186" w:rsidRDefault="006468C2" w14:paraId="413AF1C4" w14:textId="77777777">
                  <w:pPr>
                    <w:pStyle w:val="BodyText"/>
                    <w:rPr>
                      <w:sz w:val="22"/>
                      <w:szCs w:val="22"/>
                    </w:rPr>
                  </w:pPr>
                  <w:r w:rsidRPr="00C00DCB">
                    <w:rPr>
                      <w:sz w:val="22"/>
                      <w:szCs w:val="22"/>
                    </w:rPr>
                    <w:t>≥ 45</w:t>
                  </w:r>
                  <w:r w:rsidRPr="00C00DCB">
                    <w:rPr>
                      <w:sz w:val="22"/>
                      <w:szCs w:val="22"/>
                      <w:vertAlign w:val="superscript"/>
                    </w:rPr>
                    <w:t>+0</w:t>
                  </w:r>
                  <w:r w:rsidRPr="00C00DCB">
                    <w:rPr>
                      <w:sz w:val="22"/>
                      <w:szCs w:val="22"/>
                    </w:rPr>
                    <w:t xml:space="preserve"> weeks </w:t>
                  </w:r>
                </w:p>
              </w:tc>
              <w:tc>
                <w:tcPr>
                  <w:tcW w:w="1559" w:type="dxa"/>
                </w:tcPr>
                <w:p w:rsidRPr="00C00DCB" w:rsidR="006468C2" w:rsidP="00FE4186" w:rsidRDefault="006468C2" w14:paraId="0D59CEE3" w14:textId="77777777">
                  <w:pPr>
                    <w:pStyle w:val="BodyText"/>
                    <w:rPr>
                      <w:sz w:val="22"/>
                      <w:szCs w:val="22"/>
                    </w:rPr>
                  </w:pPr>
                  <w:r w:rsidRPr="00C00DCB">
                    <w:rPr>
                      <w:sz w:val="22"/>
                      <w:szCs w:val="22"/>
                    </w:rPr>
                    <w:t>0+ days</w:t>
                  </w:r>
                </w:p>
              </w:tc>
              <w:tc>
                <w:tcPr>
                  <w:tcW w:w="1843" w:type="dxa"/>
                </w:tcPr>
                <w:p w:rsidRPr="00C00DCB" w:rsidR="006468C2" w:rsidP="00FE4186" w:rsidRDefault="006468C2" w14:paraId="49629668" w14:textId="77777777">
                  <w:pPr>
                    <w:pStyle w:val="BodyText"/>
                    <w:rPr>
                      <w:sz w:val="22"/>
                      <w:szCs w:val="22"/>
                    </w:rPr>
                  </w:pPr>
                  <w:r w:rsidRPr="00C00DCB">
                    <w:rPr>
                      <w:sz w:val="22"/>
                      <w:szCs w:val="22"/>
                    </w:rPr>
                    <w:t>6 hourly</w:t>
                  </w:r>
                </w:p>
              </w:tc>
            </w:tr>
          </w:tbl>
          <w:p w:rsidR="006468C2" w:rsidP="00FE4186" w:rsidRDefault="006468C2" w14:paraId="7FE4A9BD" w14:textId="77777777">
            <w:pPr>
              <w:pStyle w:val="BodyText"/>
              <w:rPr>
                <w:sz w:val="20"/>
              </w:rPr>
            </w:pPr>
          </w:p>
          <w:p w:rsidRPr="003C6FAE" w:rsidR="006468C2" w:rsidP="00FE4186" w:rsidRDefault="006468C2" w14:paraId="0250B039" w14:textId="77777777">
            <w:pPr>
              <w:pStyle w:val="BodyText"/>
              <w:rPr>
                <w:sz w:val="20"/>
              </w:rPr>
            </w:pPr>
            <w:r w:rsidRPr="000809DD">
              <w:rPr>
                <w:b/>
                <w:szCs w:val="24"/>
              </w:rPr>
              <w:t>Severe sepsis:</w:t>
            </w:r>
            <w:r>
              <w:rPr>
                <w:sz w:val="20"/>
              </w:rPr>
              <w:t xml:space="preserve"> </w:t>
            </w:r>
            <w:r w:rsidRPr="00D943A8">
              <w:rPr>
                <w:sz w:val="20"/>
              </w:rPr>
              <w:t>Consider giving a loading dose of 20</w:t>
            </w:r>
            <w:r>
              <w:rPr>
                <w:sz w:val="20"/>
              </w:rPr>
              <w:t xml:space="preserve"> </w:t>
            </w:r>
            <w:r w:rsidRPr="00D943A8">
              <w:rPr>
                <w:sz w:val="20"/>
              </w:rPr>
              <w:t xml:space="preserve">mg/kg/dose in suspected severe sepsis </w:t>
            </w:r>
            <w:r>
              <w:rPr>
                <w:sz w:val="20"/>
              </w:rPr>
              <w:t xml:space="preserve">including </w:t>
            </w:r>
            <w:r w:rsidRPr="00D943A8">
              <w:rPr>
                <w:sz w:val="20"/>
              </w:rPr>
              <w:t>MRSA, bone infection, meningitis, endocardit</w:t>
            </w:r>
            <w:r>
              <w:rPr>
                <w:sz w:val="20"/>
              </w:rPr>
              <w:t>is. However, data in neonates are</w:t>
            </w:r>
            <w:r w:rsidRPr="00D943A8">
              <w:rPr>
                <w:sz w:val="20"/>
              </w:rPr>
              <w:t xml:space="preserve"> limited.</w:t>
            </w:r>
          </w:p>
        </w:tc>
      </w:tr>
      <w:tr w:rsidRPr="003A7895" w:rsidR="006468C2" w:rsidTr="008D48AE" w14:paraId="0CB2B056" w14:textId="77777777">
        <w:trPr>
          <w:trHeight w:val="407"/>
        </w:trPr>
        <w:tc>
          <w:tcPr>
            <w:tcW w:w="1872" w:type="dxa"/>
          </w:tcPr>
          <w:p w:rsidRPr="00B53E9B" w:rsidR="006468C2" w:rsidP="00FE4186" w:rsidRDefault="006468C2" w14:paraId="4DCAC16B" w14:textId="77777777">
            <w:pPr>
              <w:pStyle w:val="BodyText"/>
              <w:rPr>
                <w:b/>
                <w:sz w:val="20"/>
              </w:rPr>
            </w:pPr>
            <w:r w:rsidRPr="00B53E9B">
              <w:rPr>
                <w:b/>
                <w:sz w:val="20"/>
              </w:rPr>
              <w:t xml:space="preserve">Dose </w:t>
            </w:r>
            <w:r>
              <w:rPr>
                <w:b/>
                <w:sz w:val="20"/>
              </w:rPr>
              <w:t>adjustment</w:t>
            </w:r>
          </w:p>
          <w:p w:rsidRPr="00B53E9B" w:rsidR="006468C2" w:rsidP="00FE4186" w:rsidRDefault="006468C2" w14:paraId="766B0733" w14:textId="77777777">
            <w:pPr>
              <w:pStyle w:val="BodyText"/>
              <w:rPr>
                <w:b/>
                <w:sz w:val="20"/>
              </w:rPr>
            </w:pPr>
          </w:p>
        </w:tc>
        <w:tc>
          <w:tcPr>
            <w:tcW w:w="8363" w:type="dxa"/>
          </w:tcPr>
          <w:p w:rsidRPr="00F4011D" w:rsidR="006468C2" w:rsidP="00FE4186" w:rsidRDefault="006468C2" w14:paraId="03002DDC" w14:textId="77777777">
            <w:pPr>
              <w:pStyle w:val="BodyText"/>
              <w:rPr>
                <w:b/>
                <w:sz w:val="20"/>
              </w:rPr>
            </w:pPr>
            <w:r w:rsidRPr="00F4011D">
              <w:rPr>
                <w:b/>
                <w:sz w:val="20"/>
              </w:rPr>
              <w:t xml:space="preserve">Renal Impairment: </w:t>
            </w:r>
          </w:p>
          <w:p w:rsidRPr="0026541F" w:rsidR="006468C2" w:rsidP="001B0E05" w:rsidRDefault="006468C2" w14:paraId="38EC0DFD" w14:textId="77777777">
            <w:pPr>
              <w:pStyle w:val="BodyText"/>
              <w:numPr>
                <w:ilvl w:val="0"/>
                <w:numId w:val="137"/>
              </w:numPr>
              <w:overflowPunct w:val="0"/>
              <w:autoSpaceDE w:val="0"/>
              <w:autoSpaceDN w:val="0"/>
              <w:adjustRightInd w:val="0"/>
              <w:jc w:val="left"/>
              <w:textAlignment w:val="baseline"/>
              <w:rPr>
                <w:rFonts w:cs="Arial"/>
                <w:sz w:val="20"/>
              </w:rPr>
            </w:pPr>
            <w:r w:rsidRPr="0026541F">
              <w:rPr>
                <w:rFonts w:eastAsia="Calibri"/>
                <w:sz w:val="20"/>
              </w:rPr>
              <w:t xml:space="preserve">For infants with renal impairment, consider using an antibiotic without nephrotoxicity in consultation with an infectious diseases specialist. </w:t>
            </w:r>
          </w:p>
          <w:p w:rsidRPr="0026541F" w:rsidR="006468C2" w:rsidP="001B0E05" w:rsidRDefault="006468C2" w14:paraId="52E17E2D" w14:textId="77777777">
            <w:pPr>
              <w:pStyle w:val="BodyText"/>
              <w:numPr>
                <w:ilvl w:val="0"/>
                <w:numId w:val="137"/>
              </w:numPr>
              <w:overflowPunct w:val="0"/>
              <w:autoSpaceDE w:val="0"/>
              <w:autoSpaceDN w:val="0"/>
              <w:adjustRightInd w:val="0"/>
              <w:jc w:val="left"/>
              <w:textAlignment w:val="baseline"/>
              <w:rPr>
                <w:rFonts w:cs="Arial"/>
                <w:sz w:val="20"/>
              </w:rPr>
            </w:pPr>
            <w:r w:rsidRPr="0026541F">
              <w:rPr>
                <w:rFonts w:eastAsia="Calibri"/>
                <w:sz w:val="20"/>
              </w:rPr>
              <w:t>If vancomycin is used, perform a trough level before the 2</w:t>
            </w:r>
            <w:r w:rsidRPr="0026541F">
              <w:rPr>
                <w:rFonts w:eastAsia="Calibri"/>
                <w:sz w:val="20"/>
                <w:vertAlign w:val="superscript"/>
              </w:rPr>
              <w:t>nd</w:t>
            </w:r>
            <w:r w:rsidRPr="0026541F">
              <w:rPr>
                <w:rFonts w:eastAsia="Calibri"/>
                <w:sz w:val="20"/>
              </w:rPr>
              <w:t xml:space="preserve"> dose. </w:t>
            </w:r>
          </w:p>
          <w:p w:rsidRPr="0026541F" w:rsidR="006468C2" w:rsidP="001B0E05" w:rsidRDefault="006468C2" w14:paraId="2FB257F8" w14:textId="77777777">
            <w:pPr>
              <w:pStyle w:val="BodyText"/>
              <w:numPr>
                <w:ilvl w:val="0"/>
                <w:numId w:val="137"/>
              </w:numPr>
              <w:overflowPunct w:val="0"/>
              <w:autoSpaceDE w:val="0"/>
              <w:autoSpaceDN w:val="0"/>
              <w:adjustRightInd w:val="0"/>
              <w:jc w:val="left"/>
              <w:textAlignment w:val="baseline"/>
              <w:rPr>
                <w:sz w:val="20"/>
              </w:rPr>
            </w:pPr>
            <w:r w:rsidRPr="0026541F">
              <w:rPr>
                <w:rFonts w:eastAsia="Calibri"/>
                <w:sz w:val="20"/>
              </w:rPr>
              <w:t>Adjust the dosage interval</w:t>
            </w:r>
            <w:r w:rsidRPr="0026541F">
              <w:rPr>
                <w:rFonts w:eastAsia="Calibri"/>
                <w:sz w:val="20"/>
                <w:vertAlign w:val="superscript"/>
              </w:rPr>
              <w:t>5, 21</w:t>
            </w:r>
            <w:r w:rsidRPr="0026541F">
              <w:rPr>
                <w:rFonts w:eastAsia="Calibri"/>
                <w:sz w:val="20"/>
              </w:rPr>
              <w:t xml:space="preserve"> to achieve a trough level 10─20 mg/L (higher trough level 15─20 mg/L in severe sepsis). Repeat trough level before the next dose after each dosage adjustment or before every 3</w:t>
            </w:r>
            <w:r w:rsidRPr="0026541F">
              <w:rPr>
                <w:rFonts w:eastAsia="Calibri"/>
                <w:sz w:val="20"/>
                <w:vertAlign w:val="superscript"/>
              </w:rPr>
              <w:t>rd</w:t>
            </w:r>
            <w:r w:rsidRPr="0026541F">
              <w:rPr>
                <w:rFonts w:eastAsia="Calibri"/>
                <w:sz w:val="20"/>
              </w:rPr>
              <w:t xml:space="preserve"> dose for infants within the target range.</w:t>
            </w:r>
          </w:p>
          <w:p w:rsidRPr="0026541F" w:rsidR="006468C2" w:rsidP="00FE4186" w:rsidRDefault="006468C2" w14:paraId="67E593D7" w14:textId="77777777">
            <w:pPr>
              <w:pStyle w:val="BodyText"/>
              <w:rPr>
                <w:sz w:val="20"/>
              </w:rPr>
            </w:pPr>
            <w:r w:rsidRPr="00F4011D">
              <w:rPr>
                <w:b/>
                <w:sz w:val="20"/>
              </w:rPr>
              <w:t>Hepatic impairment:</w:t>
            </w:r>
            <w:r w:rsidRPr="0026541F">
              <w:rPr>
                <w:sz w:val="20"/>
              </w:rPr>
              <w:t xml:space="preserve"> Not applicable.</w:t>
            </w:r>
          </w:p>
          <w:p w:rsidRPr="0026541F" w:rsidR="006468C2" w:rsidP="00FE4186" w:rsidRDefault="006468C2" w14:paraId="6D659BA2" w14:textId="77777777">
            <w:pPr>
              <w:pStyle w:val="BodyText"/>
              <w:rPr>
                <w:sz w:val="20"/>
              </w:rPr>
            </w:pPr>
            <w:r w:rsidRPr="00F4011D">
              <w:rPr>
                <w:b/>
                <w:sz w:val="20"/>
              </w:rPr>
              <w:t>Therapeutic hypothermia:</w:t>
            </w:r>
            <w:r w:rsidRPr="0026541F">
              <w:rPr>
                <w:sz w:val="20"/>
              </w:rPr>
              <w:t xml:space="preserve"> Measure trough concentration prior to 2</w:t>
            </w:r>
            <w:r w:rsidRPr="0026541F">
              <w:rPr>
                <w:sz w:val="20"/>
                <w:vertAlign w:val="superscript"/>
              </w:rPr>
              <w:t>nd</w:t>
            </w:r>
            <w:r w:rsidRPr="0026541F">
              <w:rPr>
                <w:sz w:val="20"/>
              </w:rPr>
              <w:t xml:space="preserve"> dose.</w:t>
            </w:r>
            <w:r w:rsidRPr="0026541F">
              <w:rPr>
                <w:sz w:val="20"/>
                <w:vertAlign w:val="superscript"/>
              </w:rPr>
              <w:t>27</w:t>
            </w:r>
          </w:p>
          <w:p w:rsidRPr="00D057A4" w:rsidR="006468C2" w:rsidP="00FE4186" w:rsidRDefault="006468C2" w14:paraId="6E1091B5" w14:textId="77777777">
            <w:pPr>
              <w:pStyle w:val="BodyText"/>
              <w:rPr>
                <w:sz w:val="20"/>
              </w:rPr>
            </w:pPr>
            <w:r w:rsidRPr="00F4011D">
              <w:rPr>
                <w:b/>
                <w:sz w:val="20"/>
              </w:rPr>
              <w:t>ECMO:</w:t>
            </w:r>
            <w:r w:rsidRPr="0026541F">
              <w:rPr>
                <w:sz w:val="20"/>
              </w:rPr>
              <w:t xml:space="preserve"> Current evidence is insufficient to recommend a specific dose adjustment.</w:t>
            </w:r>
          </w:p>
        </w:tc>
      </w:tr>
      <w:tr w:rsidRPr="003A7895" w:rsidR="006468C2" w:rsidTr="008D48AE" w14:paraId="322060D2" w14:textId="77777777">
        <w:trPr>
          <w:trHeight w:val="113"/>
        </w:trPr>
        <w:tc>
          <w:tcPr>
            <w:tcW w:w="1872" w:type="dxa"/>
          </w:tcPr>
          <w:p w:rsidRPr="00B53E9B" w:rsidR="006468C2" w:rsidP="00FE4186" w:rsidRDefault="006468C2" w14:paraId="3E239627" w14:textId="77777777">
            <w:pPr>
              <w:pStyle w:val="BodyText"/>
              <w:rPr>
                <w:b/>
                <w:sz w:val="20"/>
              </w:rPr>
            </w:pPr>
            <w:r w:rsidRPr="00B53E9B">
              <w:rPr>
                <w:b/>
                <w:sz w:val="20"/>
              </w:rPr>
              <w:t>Maximum dose</w:t>
            </w:r>
          </w:p>
        </w:tc>
        <w:tc>
          <w:tcPr>
            <w:tcW w:w="8363" w:type="dxa"/>
          </w:tcPr>
          <w:p w:rsidRPr="00026F20" w:rsidR="006468C2" w:rsidP="00FE4186" w:rsidRDefault="006468C2" w14:paraId="764437DF" w14:textId="77777777">
            <w:pPr>
              <w:pStyle w:val="BodyText"/>
              <w:rPr>
                <w:sz w:val="20"/>
              </w:rPr>
            </w:pPr>
            <w:r>
              <w:rPr>
                <w:sz w:val="20"/>
              </w:rPr>
              <w:t>Not applicable</w:t>
            </w:r>
          </w:p>
        </w:tc>
      </w:tr>
      <w:tr w:rsidRPr="003A7895" w:rsidR="006468C2" w:rsidTr="008D48AE" w14:paraId="74CF0DF7" w14:textId="77777777">
        <w:trPr>
          <w:trHeight w:val="144"/>
        </w:trPr>
        <w:tc>
          <w:tcPr>
            <w:tcW w:w="1872" w:type="dxa"/>
          </w:tcPr>
          <w:p w:rsidRPr="00B53E9B" w:rsidR="006468C2" w:rsidP="00FE4186" w:rsidRDefault="006468C2" w14:paraId="1F2F270B" w14:textId="77777777">
            <w:pPr>
              <w:pStyle w:val="BodyText"/>
              <w:rPr>
                <w:rFonts w:cs="Arial"/>
                <w:b/>
                <w:bCs/>
                <w:sz w:val="20"/>
              </w:rPr>
            </w:pPr>
            <w:r w:rsidRPr="00B53E9B">
              <w:rPr>
                <w:b/>
                <w:sz w:val="20"/>
              </w:rPr>
              <w:t>Total cumulative dose</w:t>
            </w:r>
          </w:p>
        </w:tc>
        <w:tc>
          <w:tcPr>
            <w:tcW w:w="8363" w:type="dxa"/>
          </w:tcPr>
          <w:p w:rsidRPr="008F47C9" w:rsidR="006468C2" w:rsidP="00FE4186" w:rsidRDefault="006468C2" w14:paraId="6EF980CC" w14:textId="77777777">
            <w:pPr>
              <w:pStyle w:val="BodyText"/>
              <w:rPr>
                <w:rFonts w:cs="Arial"/>
                <w:sz w:val="20"/>
              </w:rPr>
            </w:pPr>
            <w:r w:rsidRPr="008F47C9">
              <w:rPr>
                <w:rFonts w:cs="Arial"/>
                <w:sz w:val="20"/>
              </w:rPr>
              <w:t>Not applicable</w:t>
            </w:r>
          </w:p>
        </w:tc>
      </w:tr>
      <w:tr w:rsidRPr="003A7895" w:rsidR="006468C2" w:rsidTr="008D48AE" w14:paraId="6B763529" w14:textId="77777777">
        <w:trPr>
          <w:trHeight w:val="294"/>
        </w:trPr>
        <w:tc>
          <w:tcPr>
            <w:tcW w:w="1872" w:type="dxa"/>
          </w:tcPr>
          <w:p w:rsidRPr="00B53E9B" w:rsidR="006468C2" w:rsidP="00FE4186" w:rsidRDefault="006468C2" w14:paraId="4657A04F" w14:textId="77777777">
            <w:pPr>
              <w:pStyle w:val="BodyText"/>
              <w:rPr>
                <w:rFonts w:cs="Arial"/>
                <w:sz w:val="20"/>
              </w:rPr>
            </w:pPr>
            <w:r w:rsidRPr="00B53E9B">
              <w:rPr>
                <w:rFonts w:cs="Arial"/>
                <w:b/>
                <w:bCs/>
                <w:sz w:val="20"/>
              </w:rPr>
              <w:t xml:space="preserve">Route                                </w:t>
            </w:r>
          </w:p>
        </w:tc>
        <w:tc>
          <w:tcPr>
            <w:tcW w:w="8363" w:type="dxa"/>
          </w:tcPr>
          <w:p w:rsidRPr="00026F20" w:rsidR="006468C2" w:rsidP="00FE4186" w:rsidRDefault="006468C2" w14:paraId="2AADDFFA" w14:textId="77777777">
            <w:pPr>
              <w:pStyle w:val="BodyText"/>
              <w:rPr>
                <w:rFonts w:cs="Arial"/>
                <w:sz w:val="20"/>
              </w:rPr>
            </w:pPr>
            <w:r>
              <w:rPr>
                <w:rFonts w:cs="Arial"/>
                <w:sz w:val="20"/>
              </w:rPr>
              <w:t>IV</w:t>
            </w:r>
          </w:p>
        </w:tc>
      </w:tr>
      <w:tr w:rsidRPr="003A7895" w:rsidR="006468C2" w:rsidTr="008D48AE" w14:paraId="7FD436C5" w14:textId="77777777">
        <w:trPr>
          <w:trHeight w:val="93"/>
        </w:trPr>
        <w:tc>
          <w:tcPr>
            <w:tcW w:w="1872" w:type="dxa"/>
          </w:tcPr>
          <w:p w:rsidRPr="00B53E9B" w:rsidR="006468C2" w:rsidP="00FE4186" w:rsidRDefault="006468C2" w14:paraId="30E260B4"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363" w:type="dxa"/>
          </w:tcPr>
          <w:p w:rsidRPr="003C6FAE" w:rsidR="006468C2" w:rsidP="00FE4186" w:rsidRDefault="006468C2" w14:paraId="77A4A823" w14:textId="77777777">
            <w:pPr>
              <w:pStyle w:val="BodyText"/>
              <w:rPr>
                <w:rFonts w:cs="Arial"/>
                <w:b/>
                <w:sz w:val="20"/>
                <w:u w:val="single"/>
              </w:rPr>
            </w:pPr>
            <w:r w:rsidRPr="003C6FAE">
              <w:rPr>
                <w:rFonts w:cs="Arial"/>
                <w:b/>
                <w:sz w:val="20"/>
                <w:u w:val="single"/>
              </w:rPr>
              <w:t>500mg VIAL</w:t>
            </w:r>
          </w:p>
          <w:p w:rsidRPr="008F47C9" w:rsidR="006468C2" w:rsidP="00FE4186" w:rsidRDefault="006468C2" w14:paraId="02D34340" w14:textId="77777777">
            <w:pPr>
              <w:pStyle w:val="BodyText"/>
              <w:rPr>
                <w:rFonts w:cs="Arial"/>
                <w:sz w:val="20"/>
              </w:rPr>
            </w:pPr>
            <w:r w:rsidRPr="008F47C9">
              <w:rPr>
                <w:rFonts w:cs="Arial"/>
                <w:sz w:val="20"/>
              </w:rPr>
              <w:t xml:space="preserve">Add 10 mL of water for injection to the 500 mg </w:t>
            </w:r>
            <w:r>
              <w:rPr>
                <w:rFonts w:cs="Arial"/>
                <w:sz w:val="20"/>
              </w:rPr>
              <w:t xml:space="preserve">vial </w:t>
            </w:r>
            <w:r w:rsidRPr="008F47C9">
              <w:rPr>
                <w:rFonts w:cs="Arial"/>
                <w:sz w:val="20"/>
              </w:rPr>
              <w:t xml:space="preserve">to make a 50 mg/mL solution </w:t>
            </w:r>
          </w:p>
          <w:p w:rsidR="006468C2" w:rsidP="00FE4186" w:rsidRDefault="006468C2" w14:paraId="7DC79D87" w14:textId="77777777">
            <w:pPr>
              <w:pStyle w:val="BodyText"/>
              <w:rPr>
                <w:rFonts w:cs="Arial"/>
                <w:b/>
                <w:sz w:val="20"/>
              </w:rPr>
            </w:pPr>
            <w:r w:rsidRPr="003C6FAE">
              <w:rPr>
                <w:rFonts w:cs="Arial"/>
                <w:b/>
                <w:sz w:val="20"/>
              </w:rPr>
              <w:lastRenderedPageBreak/>
              <w:t>FURTHER DILUTE</w:t>
            </w:r>
          </w:p>
          <w:p w:rsidRPr="008F47C9" w:rsidR="006468C2" w:rsidP="00FE4186" w:rsidRDefault="006468C2" w14:paraId="6DF3357C" w14:textId="77777777">
            <w:pPr>
              <w:pStyle w:val="BodyText"/>
              <w:rPr>
                <w:rFonts w:cs="Arial"/>
                <w:sz w:val="20"/>
              </w:rPr>
            </w:pPr>
            <w:r w:rsidRPr="008F47C9">
              <w:rPr>
                <w:rFonts w:cs="Arial"/>
                <w:sz w:val="20"/>
              </w:rPr>
              <w:t>Draw up 2 mL (100 mg of vancomycin) of the above solution and add 18 mL glucose 5% or sodium chloride 0.9% to make a final volume of 20 mL with a final concentration of 5 mg/mL.</w:t>
            </w:r>
          </w:p>
          <w:p w:rsidRPr="008F47C9" w:rsidR="006468C2" w:rsidP="00FE4186" w:rsidRDefault="006468C2" w14:paraId="2657C71E" w14:textId="77777777">
            <w:pPr>
              <w:pStyle w:val="BodyText"/>
              <w:rPr>
                <w:rFonts w:cs="Arial"/>
                <w:sz w:val="20"/>
              </w:rPr>
            </w:pPr>
          </w:p>
          <w:p w:rsidRPr="003C6FAE" w:rsidR="006468C2" w:rsidP="00FE4186" w:rsidRDefault="006468C2" w14:paraId="107E8120" w14:textId="77777777">
            <w:pPr>
              <w:pStyle w:val="BodyText"/>
              <w:rPr>
                <w:rFonts w:cs="Arial"/>
                <w:b/>
                <w:sz w:val="20"/>
                <w:u w:val="single"/>
              </w:rPr>
            </w:pPr>
            <w:r w:rsidRPr="003C6FAE">
              <w:rPr>
                <w:rFonts w:cs="Arial"/>
                <w:b/>
                <w:sz w:val="20"/>
                <w:u w:val="single"/>
              </w:rPr>
              <w:t>1g VIAL</w:t>
            </w:r>
          </w:p>
          <w:p w:rsidRPr="008F47C9" w:rsidR="006468C2" w:rsidP="00FE4186" w:rsidRDefault="006468C2" w14:paraId="602C5714" w14:textId="77777777">
            <w:pPr>
              <w:pStyle w:val="BodyText"/>
              <w:rPr>
                <w:rFonts w:cs="Arial"/>
                <w:sz w:val="20"/>
              </w:rPr>
            </w:pPr>
            <w:r w:rsidRPr="008F47C9">
              <w:rPr>
                <w:rFonts w:cs="Arial"/>
                <w:sz w:val="20"/>
              </w:rPr>
              <w:t xml:space="preserve">Add 20 mL of water for injection to the 1g </w:t>
            </w:r>
            <w:r>
              <w:rPr>
                <w:rFonts w:cs="Arial"/>
                <w:sz w:val="20"/>
              </w:rPr>
              <w:t xml:space="preserve">vial </w:t>
            </w:r>
            <w:r w:rsidRPr="008F47C9">
              <w:rPr>
                <w:rFonts w:cs="Arial"/>
                <w:sz w:val="20"/>
              </w:rPr>
              <w:t xml:space="preserve">to make a 50 mg/mL solution </w:t>
            </w:r>
          </w:p>
          <w:p w:rsidR="006468C2" w:rsidP="00FE4186" w:rsidRDefault="006468C2" w14:paraId="20158BC9" w14:textId="77777777">
            <w:pPr>
              <w:pStyle w:val="BodyText"/>
              <w:rPr>
                <w:rFonts w:cs="Arial"/>
                <w:b/>
                <w:sz w:val="20"/>
              </w:rPr>
            </w:pPr>
            <w:r w:rsidRPr="003C6FAE">
              <w:rPr>
                <w:rFonts w:cs="Arial"/>
                <w:b/>
                <w:sz w:val="20"/>
              </w:rPr>
              <w:t>FURTHER DILUTE</w:t>
            </w:r>
          </w:p>
          <w:p w:rsidRPr="008F47C9" w:rsidR="006468C2" w:rsidP="00FE4186" w:rsidRDefault="006468C2" w14:paraId="75A0589C" w14:textId="77777777">
            <w:pPr>
              <w:pStyle w:val="BodyText"/>
              <w:rPr>
                <w:rFonts w:cs="Arial"/>
                <w:sz w:val="20"/>
              </w:rPr>
            </w:pPr>
            <w:r w:rsidRPr="008F47C9">
              <w:rPr>
                <w:rFonts w:cs="Arial"/>
                <w:sz w:val="20"/>
              </w:rPr>
              <w:t>Draw up 2 mL (100 mg of vancomycin) of the above solution and add 18 mL glucose 5% or sodium chloride 0.9% to make a final volume of 20 mL with a final concentration of 5 mg/mL.</w:t>
            </w:r>
          </w:p>
          <w:p w:rsidRPr="008F47C9" w:rsidR="006468C2" w:rsidP="00FE4186" w:rsidRDefault="006468C2" w14:paraId="23745A86" w14:textId="77777777">
            <w:pPr>
              <w:pStyle w:val="BodyText"/>
              <w:rPr>
                <w:rFonts w:cs="Arial"/>
                <w:sz w:val="20"/>
              </w:rPr>
            </w:pPr>
          </w:p>
          <w:p w:rsidRPr="008F47C9" w:rsidR="006468C2" w:rsidP="00FE4186" w:rsidRDefault="006468C2" w14:paraId="41C19847" w14:textId="77777777">
            <w:pPr>
              <w:pStyle w:val="BodyText"/>
              <w:rPr>
                <w:rFonts w:cs="Arial"/>
                <w:sz w:val="20"/>
              </w:rPr>
            </w:pPr>
            <w:r>
              <w:rPr>
                <w:rFonts w:cs="Arial"/>
                <w:b/>
                <w:szCs w:val="24"/>
                <w:u w:val="single"/>
              </w:rPr>
              <w:t>Fluid restriction</w:t>
            </w:r>
            <w:r w:rsidRPr="00996101">
              <w:rPr>
                <w:rFonts w:cs="Arial"/>
                <w:i/>
                <w:sz w:val="20"/>
              </w:rPr>
              <w:t xml:space="preserve"> </w:t>
            </w:r>
            <w:r w:rsidRPr="00F7052B">
              <w:rPr>
                <w:rFonts w:cs="Arial"/>
                <w:b/>
                <w:i/>
                <w:sz w:val="20"/>
              </w:rPr>
              <w:t>To prepare 10 mg/mL concentration</w:t>
            </w:r>
          </w:p>
          <w:p w:rsidRPr="0026541F" w:rsidR="006468C2" w:rsidP="00FE4186" w:rsidRDefault="006468C2" w14:paraId="3AFBAE37" w14:textId="77777777">
            <w:pPr>
              <w:pStyle w:val="BodyText"/>
              <w:rPr>
                <w:rFonts w:cs="Arial"/>
                <w:b/>
                <w:szCs w:val="24"/>
                <w:u w:val="single"/>
              </w:rPr>
            </w:pPr>
          </w:p>
          <w:p w:rsidRPr="008F47C9" w:rsidR="006468C2" w:rsidP="00FE4186" w:rsidRDefault="006468C2" w14:paraId="64574653" w14:textId="77777777">
            <w:pPr>
              <w:pStyle w:val="BodyText"/>
              <w:rPr>
                <w:rFonts w:cs="Arial"/>
                <w:sz w:val="20"/>
              </w:rPr>
            </w:pPr>
            <w:r>
              <w:rPr>
                <w:rFonts w:cs="Arial"/>
                <w:sz w:val="20"/>
              </w:rPr>
              <w:t>V</w:t>
            </w:r>
            <w:r w:rsidRPr="008F47C9">
              <w:rPr>
                <w:rFonts w:cs="Arial"/>
                <w:sz w:val="20"/>
              </w:rPr>
              <w:t>ancomycin can be diluted to 10 mg/mL</w:t>
            </w:r>
            <w:r>
              <w:rPr>
                <w:rFonts w:cs="Arial"/>
                <w:sz w:val="20"/>
              </w:rPr>
              <w:t xml:space="preserve"> solution</w:t>
            </w:r>
            <w:r w:rsidRPr="008F47C9">
              <w:rPr>
                <w:rFonts w:cs="Arial"/>
                <w:sz w:val="20"/>
              </w:rPr>
              <w:t>, however this dilution increases the risk of infusion-related events (see adverse reactions).</w:t>
            </w:r>
          </w:p>
          <w:p w:rsidRPr="00F7052B" w:rsidR="006468C2" w:rsidP="00FE4186" w:rsidRDefault="006468C2" w14:paraId="0331CFE6" w14:textId="77777777">
            <w:pPr>
              <w:pStyle w:val="BodyText"/>
              <w:rPr>
                <w:rFonts w:cs="Arial"/>
                <w:b/>
                <w:i/>
                <w:sz w:val="20"/>
                <w:u w:val="single"/>
              </w:rPr>
            </w:pPr>
            <w:r w:rsidRPr="00F7052B">
              <w:rPr>
                <w:rFonts w:cs="Arial"/>
                <w:b/>
                <w:i/>
                <w:sz w:val="20"/>
                <w:u w:val="single"/>
              </w:rPr>
              <w:t>500mg VIAL</w:t>
            </w:r>
            <w:r>
              <w:rPr>
                <w:rFonts w:cs="Arial"/>
                <w:b/>
                <w:i/>
                <w:sz w:val="20"/>
                <w:u w:val="single"/>
              </w:rPr>
              <w:t xml:space="preserve"> </w:t>
            </w:r>
          </w:p>
          <w:p w:rsidRPr="00F7052B" w:rsidR="006468C2" w:rsidP="00FE4186" w:rsidRDefault="006468C2" w14:paraId="290153B1" w14:textId="77777777">
            <w:pPr>
              <w:pStyle w:val="BodyText"/>
              <w:rPr>
                <w:rFonts w:cs="Arial"/>
                <w:i/>
                <w:sz w:val="20"/>
              </w:rPr>
            </w:pPr>
            <w:r w:rsidRPr="00F7052B">
              <w:rPr>
                <w:rFonts w:cs="Arial"/>
                <w:i/>
                <w:sz w:val="20"/>
              </w:rPr>
              <w:t xml:space="preserve"> Add 10 mL of water for injection to the 500 mg vial to make a 50 mg/mL solution</w:t>
            </w:r>
          </w:p>
          <w:p w:rsidR="006468C2" w:rsidP="00FE4186" w:rsidRDefault="006468C2" w14:paraId="32F47C6E" w14:textId="77777777">
            <w:pPr>
              <w:pStyle w:val="BodyText"/>
              <w:rPr>
                <w:rFonts w:cs="Arial"/>
                <w:b/>
                <w:i/>
                <w:sz w:val="20"/>
              </w:rPr>
            </w:pPr>
            <w:r w:rsidRPr="00F7052B">
              <w:rPr>
                <w:rFonts w:cs="Arial"/>
                <w:b/>
                <w:i/>
                <w:sz w:val="20"/>
              </w:rPr>
              <w:t>Further Dilute</w:t>
            </w:r>
          </w:p>
          <w:p w:rsidRPr="00F7052B" w:rsidR="006468C2" w:rsidP="00FE4186" w:rsidRDefault="006468C2" w14:paraId="68564B3F" w14:textId="77777777">
            <w:pPr>
              <w:pStyle w:val="BodyText"/>
              <w:rPr>
                <w:rFonts w:cs="Arial"/>
                <w:i/>
                <w:sz w:val="20"/>
              </w:rPr>
            </w:pPr>
            <w:r w:rsidRPr="00F7052B">
              <w:rPr>
                <w:rFonts w:cs="Arial"/>
                <w:i/>
                <w:sz w:val="20"/>
              </w:rPr>
              <w:t xml:space="preserve">Draw up 4 mL </w:t>
            </w:r>
            <w:r w:rsidRPr="00996101">
              <w:rPr>
                <w:rFonts w:cs="Arial"/>
                <w:i/>
                <w:sz w:val="20"/>
              </w:rPr>
              <w:t xml:space="preserve">(200 mg of vancomycin) </w:t>
            </w:r>
            <w:r w:rsidRPr="00F7052B">
              <w:rPr>
                <w:rFonts w:cs="Arial"/>
                <w:i/>
                <w:sz w:val="20"/>
              </w:rPr>
              <w:t>of the above solution and add 16 mL glucose 5% or sodium chloride 0.9% to make a final volume of 20 mL with a final concentration of 10 mg/mL.</w:t>
            </w:r>
          </w:p>
          <w:p w:rsidRPr="00F7052B" w:rsidR="006468C2" w:rsidP="00FE4186" w:rsidRDefault="006468C2" w14:paraId="51918E12" w14:textId="77777777">
            <w:pPr>
              <w:pStyle w:val="BodyText"/>
              <w:rPr>
                <w:rFonts w:cs="Arial"/>
                <w:i/>
                <w:sz w:val="20"/>
              </w:rPr>
            </w:pPr>
            <w:r w:rsidRPr="00996101">
              <w:rPr>
                <w:rFonts w:cs="Arial"/>
                <w:i/>
                <w:sz w:val="20"/>
              </w:rPr>
              <w:t>To prepare 10 mg/mL concentration</w:t>
            </w:r>
          </w:p>
          <w:p w:rsidRPr="00F7052B" w:rsidR="006468C2" w:rsidP="00FE4186" w:rsidRDefault="006468C2" w14:paraId="58042EBD" w14:textId="77777777">
            <w:pPr>
              <w:pStyle w:val="BodyText"/>
              <w:rPr>
                <w:rFonts w:cs="Arial"/>
                <w:b/>
                <w:i/>
                <w:sz w:val="20"/>
                <w:u w:val="single"/>
              </w:rPr>
            </w:pPr>
            <w:r w:rsidRPr="00F7052B">
              <w:rPr>
                <w:rFonts w:cs="Arial"/>
                <w:b/>
                <w:i/>
                <w:sz w:val="20"/>
                <w:u w:val="single"/>
              </w:rPr>
              <w:t>1g VIAL</w:t>
            </w:r>
          </w:p>
          <w:p w:rsidRPr="00F7052B" w:rsidR="006468C2" w:rsidP="00FE4186" w:rsidRDefault="006468C2" w14:paraId="3381FF93" w14:textId="77777777">
            <w:pPr>
              <w:pStyle w:val="BodyText"/>
              <w:rPr>
                <w:rFonts w:cs="Arial"/>
                <w:i/>
                <w:sz w:val="20"/>
              </w:rPr>
            </w:pPr>
            <w:r w:rsidRPr="00F7052B">
              <w:rPr>
                <w:rFonts w:cs="Arial"/>
                <w:i/>
                <w:sz w:val="20"/>
              </w:rPr>
              <w:t xml:space="preserve"> Add 20 mL of water for injection to the 1g vial to make a 50 mg/mL solution</w:t>
            </w:r>
          </w:p>
          <w:p w:rsidR="006468C2" w:rsidP="00FE4186" w:rsidRDefault="006468C2" w14:paraId="1D3667FF" w14:textId="77777777">
            <w:pPr>
              <w:pStyle w:val="BodyText"/>
              <w:rPr>
                <w:rFonts w:cs="Arial"/>
                <w:b/>
                <w:i/>
                <w:sz w:val="20"/>
              </w:rPr>
            </w:pPr>
            <w:r w:rsidRPr="00F7052B">
              <w:rPr>
                <w:rFonts w:cs="Arial"/>
                <w:b/>
                <w:i/>
                <w:sz w:val="20"/>
              </w:rPr>
              <w:t>Further Dilute</w:t>
            </w:r>
          </w:p>
          <w:p w:rsidRPr="00026F20" w:rsidR="006468C2" w:rsidP="00FE4186" w:rsidRDefault="006468C2" w14:paraId="4B4060F3" w14:textId="77777777">
            <w:pPr>
              <w:pStyle w:val="BodyText"/>
              <w:rPr>
                <w:rFonts w:cs="Arial"/>
                <w:sz w:val="20"/>
              </w:rPr>
            </w:pPr>
            <w:r w:rsidRPr="00F7052B">
              <w:rPr>
                <w:rFonts w:cs="Arial"/>
                <w:i/>
                <w:sz w:val="20"/>
              </w:rPr>
              <w:t xml:space="preserve">Draw up 4 mL </w:t>
            </w:r>
            <w:r w:rsidRPr="00996101">
              <w:rPr>
                <w:rFonts w:cs="Arial"/>
                <w:i/>
                <w:sz w:val="20"/>
              </w:rPr>
              <w:t xml:space="preserve">(200 mg of vancomycin) </w:t>
            </w:r>
            <w:r w:rsidRPr="00F7052B">
              <w:rPr>
                <w:rFonts w:cs="Arial"/>
                <w:i/>
                <w:sz w:val="20"/>
              </w:rPr>
              <w:t>of the above solution and add 16 mL glucose 5% or sodium chloride 0.9% to make a final volume of 20 mL with a final concentration of 10 mg/mL.</w:t>
            </w:r>
          </w:p>
        </w:tc>
      </w:tr>
      <w:tr w:rsidRPr="003A7895" w:rsidR="006468C2" w:rsidTr="008D48AE" w14:paraId="1A85C1F7" w14:textId="77777777">
        <w:trPr>
          <w:trHeight w:val="224"/>
        </w:trPr>
        <w:tc>
          <w:tcPr>
            <w:tcW w:w="1872" w:type="dxa"/>
          </w:tcPr>
          <w:p w:rsidRPr="00B53E9B" w:rsidR="006468C2" w:rsidP="00FE4186" w:rsidRDefault="006468C2" w14:paraId="0B46245F" w14:textId="77777777">
            <w:pPr>
              <w:pStyle w:val="BodyText"/>
              <w:rPr>
                <w:rFonts w:cs="Arial"/>
                <w:b/>
                <w:bCs/>
                <w:sz w:val="20"/>
              </w:rPr>
            </w:pPr>
            <w:r w:rsidRPr="00B53E9B">
              <w:rPr>
                <w:rFonts w:cs="Arial"/>
                <w:b/>
                <w:bCs/>
                <w:sz w:val="20"/>
              </w:rPr>
              <w:lastRenderedPageBreak/>
              <w:t xml:space="preserve">Administration                </w:t>
            </w:r>
          </w:p>
        </w:tc>
        <w:tc>
          <w:tcPr>
            <w:tcW w:w="8363" w:type="dxa"/>
            <w:vAlign w:val="center"/>
          </w:tcPr>
          <w:p w:rsidR="006468C2" w:rsidP="00FE4186" w:rsidRDefault="006468C2" w14:paraId="1CEE0D48" w14:textId="77777777">
            <w:pPr>
              <w:pStyle w:val="BodyText"/>
              <w:rPr>
                <w:sz w:val="20"/>
              </w:rPr>
            </w:pPr>
            <w:r w:rsidRPr="00377CD0">
              <w:rPr>
                <w:sz w:val="20"/>
              </w:rPr>
              <w:t>IV infusion over ONE hour.</w:t>
            </w:r>
          </w:p>
          <w:p w:rsidRPr="00377CD0" w:rsidR="006468C2" w:rsidP="00FE4186" w:rsidRDefault="006468C2" w14:paraId="7380428B" w14:textId="77777777">
            <w:pPr>
              <w:pStyle w:val="BodyText"/>
              <w:rPr>
                <w:rFonts w:cs="Arial"/>
                <w:sz w:val="20"/>
              </w:rPr>
            </w:pPr>
            <w:r>
              <w:rPr>
                <w:rFonts w:cs="Arial"/>
                <w:sz w:val="20"/>
              </w:rPr>
              <w:t>A</w:t>
            </w:r>
            <w:r w:rsidRPr="003E799C">
              <w:rPr>
                <w:rFonts w:cs="Arial"/>
                <w:sz w:val="20"/>
              </w:rPr>
              <w:t xml:space="preserve">dequately flush the intravenous lines </w:t>
            </w:r>
            <w:r>
              <w:rPr>
                <w:rFonts w:cs="Arial"/>
                <w:sz w:val="20"/>
              </w:rPr>
              <w:t xml:space="preserve">before and after administration of vancomycin. </w:t>
            </w:r>
          </w:p>
        </w:tc>
      </w:tr>
      <w:tr w:rsidRPr="003A7895" w:rsidR="006468C2" w:rsidTr="008D48AE" w14:paraId="1395CBFA" w14:textId="77777777">
        <w:trPr>
          <w:trHeight w:val="2153"/>
        </w:trPr>
        <w:tc>
          <w:tcPr>
            <w:tcW w:w="1872" w:type="dxa"/>
          </w:tcPr>
          <w:p w:rsidRPr="00B53E9B" w:rsidR="006468C2" w:rsidP="00FE4186" w:rsidRDefault="006468C2" w14:paraId="186ED0C3" w14:textId="77777777">
            <w:pPr>
              <w:pStyle w:val="BodyText"/>
              <w:rPr>
                <w:rFonts w:cs="Arial"/>
                <w:b/>
                <w:bCs/>
                <w:sz w:val="20"/>
              </w:rPr>
            </w:pPr>
            <w:r w:rsidRPr="00B53E9B">
              <w:rPr>
                <w:rFonts w:cs="Arial"/>
                <w:b/>
                <w:bCs/>
                <w:sz w:val="20"/>
              </w:rPr>
              <w:t xml:space="preserve">Monitoring                              </w:t>
            </w:r>
          </w:p>
        </w:tc>
        <w:tc>
          <w:tcPr>
            <w:tcW w:w="8363" w:type="dxa"/>
          </w:tcPr>
          <w:p w:rsidR="006468C2" w:rsidP="00FE4186" w:rsidRDefault="006468C2" w14:paraId="6E4B8CDF" w14:textId="77777777">
            <w:pPr>
              <w:pStyle w:val="BodyText"/>
              <w:rPr>
                <w:sz w:val="20"/>
              </w:rPr>
            </w:pPr>
            <w:r>
              <w:rPr>
                <w:sz w:val="20"/>
              </w:rPr>
              <w:t>R</w:t>
            </w:r>
            <w:r w:rsidRPr="00377CD0">
              <w:rPr>
                <w:sz w:val="20"/>
              </w:rPr>
              <w:t>enal function, full blood count, hearing function and serum vancomycin con</w:t>
            </w:r>
            <w:r>
              <w:rPr>
                <w:sz w:val="20"/>
              </w:rPr>
              <w:t>centrations.</w:t>
            </w:r>
            <w:r>
              <w:rPr>
                <w:sz w:val="20"/>
              </w:rPr>
              <w:br/>
            </w:r>
            <w:r w:rsidRPr="005A3F9E">
              <w:rPr>
                <w:sz w:val="20"/>
              </w:rPr>
              <w:t xml:space="preserve">Target </w:t>
            </w:r>
            <w:r w:rsidRPr="00984393">
              <w:rPr>
                <w:b/>
                <w:sz w:val="20"/>
              </w:rPr>
              <w:t>trough concentration</w:t>
            </w:r>
            <w:r>
              <w:rPr>
                <w:sz w:val="20"/>
              </w:rPr>
              <w:t xml:space="preserve"> </w:t>
            </w:r>
            <w:r w:rsidRPr="005A3F9E">
              <w:rPr>
                <w:sz w:val="20"/>
              </w:rPr>
              <w:t xml:space="preserve">10─20 mg/L </w:t>
            </w:r>
          </w:p>
          <w:p w:rsidR="006468C2" w:rsidP="00FE4186" w:rsidRDefault="006468C2" w14:paraId="63684484" w14:textId="77777777">
            <w:pPr>
              <w:pStyle w:val="BodyText"/>
              <w:rPr>
                <w:sz w:val="20"/>
              </w:rPr>
            </w:pPr>
            <w:r>
              <w:rPr>
                <w:sz w:val="20"/>
              </w:rPr>
              <w:t>A</w:t>
            </w:r>
            <w:r w:rsidRPr="005A3F9E">
              <w:rPr>
                <w:sz w:val="20"/>
              </w:rPr>
              <w:t>im for higher trough level</w:t>
            </w:r>
            <w:r>
              <w:rPr>
                <w:sz w:val="20"/>
              </w:rPr>
              <w:t xml:space="preserve"> of </w:t>
            </w:r>
            <w:r w:rsidRPr="005A3F9E">
              <w:rPr>
                <w:sz w:val="20"/>
              </w:rPr>
              <w:t>15─20 mg/L in suspected severe sepsis e.g., MRSA, bone infection, meningitis, endocarditis.</w:t>
            </w:r>
          </w:p>
          <w:p w:rsidR="006468C2" w:rsidP="00FE4186" w:rsidRDefault="006468C2" w14:paraId="32195F62" w14:textId="77777777">
            <w:pPr>
              <w:pStyle w:val="BodyText"/>
              <w:rPr>
                <w:b/>
                <w:sz w:val="20"/>
              </w:rPr>
            </w:pPr>
            <w:r w:rsidRPr="005A3F9E">
              <w:rPr>
                <w:b/>
                <w:sz w:val="20"/>
              </w:rPr>
              <w:t xml:space="preserve">Measure trough vancomycin concentration immediately prior to 3rd dose with the exception of: </w:t>
            </w:r>
          </w:p>
          <w:p w:rsidR="006468C2" w:rsidP="00FE4186" w:rsidRDefault="006468C2" w14:paraId="126D0DDE" w14:textId="77777777">
            <w:pPr>
              <w:pStyle w:val="BodyText"/>
              <w:rPr>
                <w:sz w:val="20"/>
              </w:rPr>
            </w:pPr>
            <w:r w:rsidRPr="00F7052B">
              <w:rPr>
                <w:sz w:val="20"/>
              </w:rPr>
              <w:t>1</w:t>
            </w:r>
            <w:r>
              <w:rPr>
                <w:b/>
                <w:sz w:val="20"/>
              </w:rPr>
              <w:t xml:space="preserve">. </w:t>
            </w:r>
            <w:r w:rsidRPr="005A3F9E">
              <w:rPr>
                <w:sz w:val="20"/>
              </w:rPr>
              <w:t>&lt;29</w:t>
            </w:r>
            <w:r w:rsidRPr="00601BD0">
              <w:rPr>
                <w:sz w:val="20"/>
                <w:vertAlign w:val="superscript"/>
              </w:rPr>
              <w:t>+0</w:t>
            </w:r>
            <w:r w:rsidRPr="005A3F9E">
              <w:rPr>
                <w:sz w:val="20"/>
              </w:rPr>
              <w:t xml:space="preserve"> CGA weeks – before 2nd dose, </w:t>
            </w:r>
          </w:p>
          <w:p w:rsidR="006468C2" w:rsidP="00FE4186" w:rsidRDefault="006468C2" w14:paraId="7CB9BA43" w14:textId="77777777">
            <w:pPr>
              <w:pStyle w:val="BodyText"/>
              <w:rPr>
                <w:sz w:val="20"/>
              </w:rPr>
            </w:pPr>
            <w:r w:rsidRPr="005A3F9E">
              <w:rPr>
                <w:sz w:val="20"/>
              </w:rPr>
              <w:t>2</w:t>
            </w:r>
            <w:r>
              <w:rPr>
                <w:sz w:val="20"/>
              </w:rPr>
              <w:t>.</w:t>
            </w:r>
            <w:r w:rsidRPr="005A3F9E">
              <w:rPr>
                <w:sz w:val="20"/>
              </w:rPr>
              <w:t xml:space="preserve"> therapeutic hypothermia </w:t>
            </w:r>
            <w:r>
              <w:rPr>
                <w:sz w:val="20"/>
              </w:rPr>
              <w:t>– before 2</w:t>
            </w:r>
            <w:r w:rsidRPr="00873733">
              <w:rPr>
                <w:sz w:val="20"/>
                <w:vertAlign w:val="superscript"/>
              </w:rPr>
              <w:t>nd</w:t>
            </w:r>
            <w:r>
              <w:rPr>
                <w:sz w:val="20"/>
              </w:rPr>
              <w:t xml:space="preserve"> dose </w:t>
            </w:r>
            <w:r w:rsidRPr="005A3F9E">
              <w:rPr>
                <w:sz w:val="20"/>
              </w:rPr>
              <w:t>and</w:t>
            </w:r>
          </w:p>
          <w:p w:rsidR="006468C2" w:rsidP="00FE4186" w:rsidRDefault="006468C2" w14:paraId="7C2B9A84" w14:textId="77777777">
            <w:pPr>
              <w:pStyle w:val="BodyText"/>
              <w:rPr>
                <w:sz w:val="20"/>
              </w:rPr>
            </w:pPr>
            <w:r>
              <w:rPr>
                <w:sz w:val="20"/>
              </w:rPr>
              <w:t>3.</w:t>
            </w:r>
            <w:r w:rsidRPr="005A3F9E">
              <w:rPr>
                <w:sz w:val="20"/>
              </w:rPr>
              <w:t xml:space="preserve"> renal impairment – </w:t>
            </w:r>
            <w:r>
              <w:rPr>
                <w:sz w:val="20"/>
              </w:rPr>
              <w:t>before 2</w:t>
            </w:r>
            <w:r w:rsidRPr="00601BD0">
              <w:rPr>
                <w:sz w:val="20"/>
                <w:vertAlign w:val="superscript"/>
              </w:rPr>
              <w:t>nd</w:t>
            </w:r>
            <w:r>
              <w:rPr>
                <w:sz w:val="20"/>
              </w:rPr>
              <w:t xml:space="preserve"> dose, but refer to renal impairment section below</w:t>
            </w:r>
            <w:r w:rsidRPr="005A3F9E">
              <w:rPr>
                <w:sz w:val="20"/>
              </w:rPr>
              <w:t xml:space="preserve">. </w:t>
            </w:r>
          </w:p>
          <w:p w:rsidRPr="00F7052B" w:rsidR="006468C2" w:rsidP="00FE4186" w:rsidRDefault="006468C2" w14:paraId="2FD3B5A9" w14:textId="77777777">
            <w:pPr>
              <w:pStyle w:val="BodyText"/>
              <w:rPr>
                <w:b/>
                <w:sz w:val="20"/>
              </w:rPr>
            </w:pPr>
            <w:r w:rsidRPr="00F7052B">
              <w:rPr>
                <w:b/>
                <w:sz w:val="20"/>
              </w:rPr>
              <w:t xml:space="preserve">Check concentration prior to the 4th dose after any change in dose or frequency. </w:t>
            </w:r>
          </w:p>
          <w:p w:rsidR="006468C2" w:rsidP="00FE4186" w:rsidRDefault="006468C2" w14:paraId="67ECEA09" w14:textId="77777777">
            <w:pPr>
              <w:pStyle w:val="BodyText"/>
              <w:rPr>
                <w:sz w:val="20"/>
              </w:rPr>
            </w:pPr>
            <w:r w:rsidRPr="005A3F9E">
              <w:rPr>
                <w:sz w:val="20"/>
              </w:rPr>
              <w:t xml:space="preserve">Once target trough levels are reached, measure trough levels every 3 days prior to </w:t>
            </w:r>
            <w:r>
              <w:rPr>
                <w:sz w:val="20"/>
              </w:rPr>
              <w:t>consecutive</w:t>
            </w:r>
            <w:r w:rsidRPr="005A3F9E">
              <w:rPr>
                <w:sz w:val="20"/>
              </w:rPr>
              <w:t xml:space="preserve"> dose</w:t>
            </w:r>
            <w:r>
              <w:rPr>
                <w:sz w:val="20"/>
              </w:rPr>
              <w:t>s</w:t>
            </w:r>
            <w:r w:rsidRPr="005A3F9E">
              <w:rPr>
                <w:sz w:val="20"/>
              </w:rPr>
              <w:t xml:space="preserve">. </w:t>
            </w:r>
          </w:p>
          <w:p w:rsidRPr="005A3F9E" w:rsidR="006468C2" w:rsidP="00FE4186" w:rsidRDefault="006468C2" w14:paraId="06DB4CB7" w14:textId="77777777">
            <w:pPr>
              <w:pStyle w:val="BodyText"/>
              <w:rPr>
                <w:sz w:val="20"/>
              </w:rPr>
            </w:pPr>
            <w:r w:rsidRPr="005A3F9E">
              <w:rPr>
                <w:sz w:val="20"/>
              </w:rPr>
              <w:t xml:space="preserve">More frequent monitoring may be required in renal impairment, </w:t>
            </w:r>
            <w:r>
              <w:rPr>
                <w:sz w:val="20"/>
              </w:rPr>
              <w:t>in</w:t>
            </w:r>
            <w:r w:rsidRPr="005A3F9E">
              <w:rPr>
                <w:sz w:val="20"/>
              </w:rPr>
              <w:t>fants receiving other nephrotoxic drugs or suspected severe sepsis.</w:t>
            </w:r>
          </w:p>
          <w:p w:rsidR="006468C2" w:rsidP="00FE4186" w:rsidRDefault="006468C2" w14:paraId="261ABC1C" w14:textId="77777777">
            <w:pPr>
              <w:pStyle w:val="BodyText"/>
              <w:rPr>
                <w:sz w:val="20"/>
              </w:rPr>
            </w:pPr>
            <w:r w:rsidRPr="005A3F9E">
              <w:rPr>
                <w:sz w:val="20"/>
              </w:rPr>
              <w:t xml:space="preserve"> </w:t>
            </w:r>
          </w:p>
          <w:p w:rsidRPr="005A3F9E" w:rsidR="006468C2" w:rsidP="00FE4186" w:rsidRDefault="006468C2" w14:paraId="6AAF376A" w14:textId="77777777">
            <w:pPr>
              <w:pStyle w:val="BodyText"/>
              <w:rPr>
                <w:sz w:val="20"/>
              </w:rPr>
            </w:pPr>
            <w:r w:rsidRPr="005A3F9E">
              <w:rPr>
                <w:sz w:val="20"/>
              </w:rPr>
              <w:t xml:space="preserve">If a </w:t>
            </w:r>
            <w:r w:rsidRPr="00F7052B">
              <w:rPr>
                <w:b/>
                <w:sz w:val="20"/>
              </w:rPr>
              <w:t>peak concentration</w:t>
            </w:r>
            <w:r w:rsidRPr="005A3F9E">
              <w:rPr>
                <w:sz w:val="20"/>
              </w:rPr>
              <w:t xml:space="preserve"> is required to guide dosing, perform this 1 hour after completion of infusion, and target a peak concentration 20-40 mg/L. [22]</w:t>
            </w:r>
          </w:p>
          <w:p w:rsidRPr="005A3F9E" w:rsidR="006468C2" w:rsidP="00FE4186" w:rsidRDefault="006468C2" w14:paraId="5EEDD504" w14:textId="77777777">
            <w:pPr>
              <w:pStyle w:val="BodyText"/>
              <w:rPr>
                <w:b/>
                <w:sz w:val="20"/>
              </w:rPr>
            </w:pPr>
          </w:p>
          <w:p w:rsidR="006468C2" w:rsidP="00FE4186" w:rsidRDefault="006468C2" w14:paraId="6511EFCA" w14:textId="77777777">
            <w:pPr>
              <w:pStyle w:val="BodyText"/>
              <w:rPr>
                <w:b/>
                <w:sz w:val="20"/>
              </w:rPr>
            </w:pPr>
            <w:r w:rsidRPr="005A3F9E">
              <w:rPr>
                <w:b/>
                <w:sz w:val="20"/>
              </w:rPr>
              <w:t>Recommended adjustment based on trough concentration:</w:t>
            </w:r>
          </w:p>
          <w:tbl>
            <w:tblPr>
              <w:tblStyle w:val="TableGrid"/>
              <w:tblW w:w="0" w:type="auto"/>
              <w:tblLayout w:type="fixed"/>
              <w:tblLook w:val="04A0" w:firstRow="1" w:lastRow="0" w:firstColumn="1" w:lastColumn="0" w:noHBand="0" w:noVBand="1"/>
            </w:tblPr>
            <w:tblGrid>
              <w:gridCol w:w="1276"/>
              <w:gridCol w:w="1441"/>
              <w:gridCol w:w="992"/>
              <w:gridCol w:w="2410"/>
            </w:tblGrid>
            <w:tr w:rsidR="006468C2" w:rsidTr="0075711E" w14:paraId="456F771E" w14:textId="77777777">
              <w:tc>
                <w:tcPr>
                  <w:tcW w:w="1276" w:type="dxa"/>
                  <w:vAlign w:val="center"/>
                </w:tcPr>
                <w:p w:rsidR="006468C2" w:rsidP="00FE4186" w:rsidRDefault="006468C2" w14:paraId="7C290374" w14:textId="77777777">
                  <w:pPr>
                    <w:pStyle w:val="BodyText"/>
                    <w:jc w:val="center"/>
                    <w:rPr>
                      <w:b/>
                      <w:sz w:val="16"/>
                      <w:szCs w:val="16"/>
                    </w:rPr>
                  </w:pPr>
                  <w:r w:rsidRPr="00F7052B">
                    <w:rPr>
                      <w:b/>
                      <w:sz w:val="16"/>
                      <w:szCs w:val="16"/>
                    </w:rPr>
                    <w:t>Trough</w:t>
                  </w:r>
                </w:p>
                <w:p w:rsidRPr="00F7052B" w:rsidR="006468C2" w:rsidP="00FE4186" w:rsidRDefault="006468C2" w14:paraId="4C7668A2" w14:textId="77777777">
                  <w:pPr>
                    <w:pStyle w:val="BodyText"/>
                    <w:jc w:val="center"/>
                    <w:rPr>
                      <w:b/>
                      <w:sz w:val="16"/>
                      <w:szCs w:val="16"/>
                    </w:rPr>
                  </w:pPr>
                  <w:r w:rsidRPr="00F7052B">
                    <w:rPr>
                      <w:b/>
                      <w:sz w:val="16"/>
                      <w:szCs w:val="16"/>
                    </w:rPr>
                    <w:t>concentration</w:t>
                  </w:r>
                </w:p>
              </w:tc>
              <w:tc>
                <w:tcPr>
                  <w:tcW w:w="1441" w:type="dxa"/>
                  <w:vAlign w:val="center"/>
                </w:tcPr>
                <w:p w:rsidRPr="00F7052B" w:rsidR="006468C2" w:rsidP="00FE4186" w:rsidRDefault="006468C2" w14:paraId="7598F37A" w14:textId="77777777">
                  <w:pPr>
                    <w:pStyle w:val="BodyText"/>
                    <w:jc w:val="center"/>
                    <w:rPr>
                      <w:b/>
                      <w:sz w:val="16"/>
                      <w:szCs w:val="16"/>
                    </w:rPr>
                  </w:pPr>
                  <w:r>
                    <w:rPr>
                      <w:b/>
                      <w:sz w:val="16"/>
                      <w:szCs w:val="16"/>
                    </w:rPr>
                    <w:t>Daily dose</w:t>
                  </w:r>
                </w:p>
              </w:tc>
              <w:tc>
                <w:tcPr>
                  <w:tcW w:w="992" w:type="dxa"/>
                  <w:vAlign w:val="center"/>
                </w:tcPr>
                <w:p w:rsidR="006468C2" w:rsidP="00FE4186" w:rsidRDefault="006468C2" w14:paraId="07C18D5A" w14:textId="77777777">
                  <w:pPr>
                    <w:pStyle w:val="BodyText"/>
                    <w:jc w:val="center"/>
                    <w:rPr>
                      <w:b/>
                      <w:sz w:val="16"/>
                      <w:szCs w:val="16"/>
                    </w:rPr>
                  </w:pPr>
                  <w:r>
                    <w:rPr>
                      <w:b/>
                      <w:sz w:val="16"/>
                      <w:szCs w:val="16"/>
                    </w:rPr>
                    <w:t>Frequency</w:t>
                  </w:r>
                </w:p>
                <w:p w:rsidRPr="00F7052B" w:rsidR="006468C2" w:rsidP="00FE4186" w:rsidRDefault="006468C2" w14:paraId="27587D41" w14:textId="77777777">
                  <w:pPr>
                    <w:pStyle w:val="BodyText"/>
                    <w:jc w:val="center"/>
                    <w:rPr>
                      <w:b/>
                      <w:sz w:val="16"/>
                      <w:szCs w:val="16"/>
                    </w:rPr>
                  </w:pPr>
                  <w:r>
                    <w:rPr>
                      <w:b/>
                      <w:sz w:val="18"/>
                      <w:szCs w:val="18"/>
                    </w:rPr>
                    <w:t>Preferred</w:t>
                  </w:r>
                </w:p>
              </w:tc>
              <w:tc>
                <w:tcPr>
                  <w:tcW w:w="2410" w:type="dxa"/>
                  <w:vAlign w:val="center"/>
                </w:tcPr>
                <w:p w:rsidRPr="00F7052B" w:rsidR="006468C2" w:rsidP="00FE4186" w:rsidRDefault="006468C2" w14:paraId="08C9EC00" w14:textId="77777777">
                  <w:pPr>
                    <w:pStyle w:val="BodyText"/>
                    <w:jc w:val="center"/>
                    <w:rPr>
                      <w:b/>
                      <w:sz w:val="16"/>
                      <w:szCs w:val="16"/>
                    </w:rPr>
                  </w:pPr>
                  <w:r>
                    <w:rPr>
                      <w:b/>
                      <w:sz w:val="16"/>
                      <w:szCs w:val="16"/>
                    </w:rPr>
                    <w:t>Example</w:t>
                  </w:r>
                </w:p>
              </w:tc>
            </w:tr>
            <w:tr w:rsidR="006468C2" w:rsidTr="0075711E" w14:paraId="130E6969" w14:textId="77777777">
              <w:tc>
                <w:tcPr>
                  <w:tcW w:w="1276" w:type="dxa"/>
                </w:tcPr>
                <w:p w:rsidRPr="00F7052B" w:rsidR="006468C2" w:rsidP="00FE4186" w:rsidRDefault="006468C2" w14:paraId="60399FCD" w14:textId="77777777">
                  <w:pPr>
                    <w:pStyle w:val="BodyText"/>
                    <w:rPr>
                      <w:b/>
                      <w:sz w:val="18"/>
                      <w:szCs w:val="18"/>
                    </w:rPr>
                  </w:pPr>
                  <w:r w:rsidRPr="00F7052B">
                    <w:rPr>
                      <w:b/>
                      <w:sz w:val="18"/>
                      <w:szCs w:val="18"/>
                    </w:rPr>
                    <w:t>&lt;5</w:t>
                  </w:r>
                  <w:r>
                    <w:rPr>
                      <w:b/>
                      <w:sz w:val="18"/>
                      <w:szCs w:val="18"/>
                    </w:rPr>
                    <w:t xml:space="preserve"> </w:t>
                  </w:r>
                  <w:r w:rsidRPr="00F7052B">
                    <w:rPr>
                      <w:b/>
                      <w:sz w:val="18"/>
                      <w:szCs w:val="18"/>
                    </w:rPr>
                    <w:t>mg/L</w:t>
                  </w:r>
                </w:p>
              </w:tc>
              <w:tc>
                <w:tcPr>
                  <w:tcW w:w="1441" w:type="dxa"/>
                </w:tcPr>
                <w:p w:rsidRPr="00F7052B" w:rsidR="006468C2" w:rsidP="00FE4186" w:rsidRDefault="006468C2" w14:paraId="1DB45683" w14:textId="77777777">
                  <w:pPr>
                    <w:pStyle w:val="BodyText"/>
                    <w:rPr>
                      <w:b/>
                      <w:sz w:val="18"/>
                      <w:szCs w:val="18"/>
                    </w:rPr>
                  </w:pPr>
                  <w:r w:rsidRPr="00F7052B">
                    <w:rPr>
                      <w:b/>
                      <w:sz w:val="18"/>
                      <w:szCs w:val="18"/>
                    </w:rPr>
                    <w:t>Increase by 50-75%</w:t>
                  </w:r>
                </w:p>
              </w:tc>
              <w:tc>
                <w:tcPr>
                  <w:tcW w:w="992" w:type="dxa"/>
                </w:tcPr>
                <w:p w:rsidRPr="00F7052B" w:rsidR="006468C2" w:rsidP="00FE4186" w:rsidRDefault="006468C2" w14:paraId="2A67ADAB" w14:textId="77777777">
                  <w:pPr>
                    <w:pStyle w:val="BodyText"/>
                    <w:rPr>
                      <w:b/>
                      <w:sz w:val="18"/>
                      <w:szCs w:val="18"/>
                    </w:rPr>
                  </w:pPr>
                  <w:r>
                    <w:rPr>
                      <w:b/>
                      <w:sz w:val="18"/>
                      <w:szCs w:val="18"/>
                    </w:rPr>
                    <w:t>Increase</w:t>
                  </w:r>
                </w:p>
              </w:tc>
              <w:tc>
                <w:tcPr>
                  <w:tcW w:w="2410" w:type="dxa"/>
                </w:tcPr>
                <w:p w:rsidRPr="00F7052B" w:rsidR="006468C2" w:rsidP="00FE4186" w:rsidRDefault="006468C2" w14:paraId="667E36EF" w14:textId="77777777">
                  <w:pPr>
                    <w:pStyle w:val="BodyText"/>
                    <w:rPr>
                      <w:b/>
                      <w:sz w:val="18"/>
                      <w:szCs w:val="18"/>
                    </w:rPr>
                  </w:pPr>
                  <w:r>
                    <w:rPr>
                      <w:b/>
                      <w:sz w:val="18"/>
                      <w:szCs w:val="18"/>
                    </w:rPr>
                    <w:t>Current daily dose X 1.5-1.75 = NEW DAILY DOSE</w:t>
                  </w:r>
                </w:p>
              </w:tc>
            </w:tr>
            <w:tr w:rsidR="006468C2" w:rsidTr="0075711E" w14:paraId="230E4881" w14:textId="77777777">
              <w:tc>
                <w:tcPr>
                  <w:tcW w:w="1276" w:type="dxa"/>
                </w:tcPr>
                <w:p w:rsidRPr="00F7052B" w:rsidR="006468C2" w:rsidP="00FE4186" w:rsidRDefault="006468C2" w14:paraId="2AEE9AEA" w14:textId="77777777">
                  <w:pPr>
                    <w:pStyle w:val="BodyText"/>
                    <w:rPr>
                      <w:b/>
                      <w:sz w:val="18"/>
                      <w:szCs w:val="18"/>
                    </w:rPr>
                  </w:pPr>
                  <w:r>
                    <w:rPr>
                      <w:b/>
                      <w:sz w:val="18"/>
                      <w:szCs w:val="18"/>
                    </w:rPr>
                    <w:t>5-9.9 mg/L</w:t>
                  </w:r>
                </w:p>
              </w:tc>
              <w:tc>
                <w:tcPr>
                  <w:tcW w:w="1441" w:type="dxa"/>
                </w:tcPr>
                <w:p w:rsidRPr="00F7052B" w:rsidR="006468C2" w:rsidP="00FE4186" w:rsidRDefault="006468C2" w14:paraId="1EB9DE93" w14:textId="77777777">
                  <w:pPr>
                    <w:pStyle w:val="BodyText"/>
                    <w:rPr>
                      <w:b/>
                      <w:sz w:val="18"/>
                      <w:szCs w:val="18"/>
                    </w:rPr>
                  </w:pPr>
                  <w:r w:rsidRPr="008E3AF3">
                    <w:rPr>
                      <w:b/>
                      <w:sz w:val="18"/>
                      <w:szCs w:val="18"/>
                    </w:rPr>
                    <w:t xml:space="preserve">Increase by </w:t>
                  </w:r>
                  <w:r>
                    <w:rPr>
                      <w:b/>
                      <w:sz w:val="18"/>
                      <w:szCs w:val="18"/>
                    </w:rPr>
                    <w:t>25-50</w:t>
                  </w:r>
                  <w:r w:rsidRPr="008E3AF3">
                    <w:rPr>
                      <w:b/>
                      <w:sz w:val="18"/>
                      <w:szCs w:val="18"/>
                    </w:rPr>
                    <w:t>%</w:t>
                  </w:r>
                </w:p>
              </w:tc>
              <w:tc>
                <w:tcPr>
                  <w:tcW w:w="992" w:type="dxa"/>
                </w:tcPr>
                <w:p w:rsidRPr="00F7052B" w:rsidR="006468C2" w:rsidP="00FE4186" w:rsidRDefault="006468C2" w14:paraId="5B9C5F87" w14:textId="77777777">
                  <w:pPr>
                    <w:pStyle w:val="BodyText"/>
                    <w:rPr>
                      <w:b/>
                      <w:sz w:val="18"/>
                      <w:szCs w:val="18"/>
                    </w:rPr>
                  </w:pPr>
                  <w:r>
                    <w:rPr>
                      <w:b/>
                      <w:sz w:val="18"/>
                      <w:szCs w:val="18"/>
                    </w:rPr>
                    <w:t>Increase</w:t>
                  </w:r>
                </w:p>
              </w:tc>
              <w:tc>
                <w:tcPr>
                  <w:tcW w:w="2410" w:type="dxa"/>
                </w:tcPr>
                <w:p w:rsidRPr="00F7052B" w:rsidR="006468C2" w:rsidP="00FE4186" w:rsidRDefault="006468C2" w14:paraId="1909ABBE" w14:textId="77777777">
                  <w:pPr>
                    <w:pStyle w:val="BodyText"/>
                    <w:rPr>
                      <w:b/>
                      <w:sz w:val="18"/>
                      <w:szCs w:val="18"/>
                    </w:rPr>
                  </w:pPr>
                  <w:r>
                    <w:rPr>
                      <w:b/>
                      <w:sz w:val="18"/>
                      <w:szCs w:val="18"/>
                    </w:rPr>
                    <w:t xml:space="preserve">Current daily dose X 1.25-1.5 = NEW DAILY DOSE </w:t>
                  </w:r>
                </w:p>
              </w:tc>
            </w:tr>
            <w:tr w:rsidR="006468C2" w:rsidTr="0075711E" w14:paraId="4055E724" w14:textId="77777777">
              <w:tc>
                <w:tcPr>
                  <w:tcW w:w="1276" w:type="dxa"/>
                </w:tcPr>
                <w:p w:rsidRPr="00F7052B" w:rsidR="006468C2" w:rsidP="00FE4186" w:rsidRDefault="006468C2" w14:paraId="76004458" w14:textId="77777777">
                  <w:pPr>
                    <w:pStyle w:val="BodyText"/>
                    <w:rPr>
                      <w:b/>
                      <w:sz w:val="18"/>
                      <w:szCs w:val="18"/>
                    </w:rPr>
                  </w:pPr>
                  <w:r>
                    <w:rPr>
                      <w:b/>
                      <w:sz w:val="18"/>
                      <w:szCs w:val="18"/>
                    </w:rPr>
                    <w:t>10-20 mg/L</w:t>
                  </w:r>
                </w:p>
              </w:tc>
              <w:tc>
                <w:tcPr>
                  <w:tcW w:w="1441" w:type="dxa"/>
                </w:tcPr>
                <w:p w:rsidRPr="00F7052B" w:rsidR="006468C2" w:rsidP="00FE4186" w:rsidRDefault="006468C2" w14:paraId="034AC8C0" w14:textId="77777777">
                  <w:pPr>
                    <w:pStyle w:val="BodyText"/>
                    <w:rPr>
                      <w:b/>
                      <w:sz w:val="18"/>
                      <w:szCs w:val="18"/>
                    </w:rPr>
                  </w:pPr>
                  <w:r>
                    <w:rPr>
                      <w:b/>
                      <w:sz w:val="18"/>
                      <w:szCs w:val="18"/>
                    </w:rPr>
                    <w:t>No Change</w:t>
                  </w:r>
                </w:p>
              </w:tc>
              <w:tc>
                <w:tcPr>
                  <w:tcW w:w="992" w:type="dxa"/>
                </w:tcPr>
                <w:p w:rsidRPr="00F7052B" w:rsidR="006468C2" w:rsidP="00FE4186" w:rsidRDefault="006468C2" w14:paraId="67042D10" w14:textId="77777777">
                  <w:pPr>
                    <w:pStyle w:val="BodyText"/>
                    <w:rPr>
                      <w:b/>
                      <w:sz w:val="18"/>
                      <w:szCs w:val="18"/>
                    </w:rPr>
                  </w:pPr>
                  <w:r>
                    <w:rPr>
                      <w:b/>
                      <w:sz w:val="18"/>
                      <w:szCs w:val="18"/>
                    </w:rPr>
                    <w:t>-</w:t>
                  </w:r>
                </w:p>
              </w:tc>
              <w:tc>
                <w:tcPr>
                  <w:tcW w:w="2410" w:type="dxa"/>
                </w:tcPr>
                <w:p w:rsidRPr="00F7052B" w:rsidR="006468C2" w:rsidP="00FE4186" w:rsidRDefault="006468C2" w14:paraId="2641AB50" w14:textId="77777777">
                  <w:pPr>
                    <w:pStyle w:val="BodyText"/>
                    <w:rPr>
                      <w:b/>
                      <w:sz w:val="18"/>
                      <w:szCs w:val="18"/>
                    </w:rPr>
                  </w:pPr>
                  <w:r>
                    <w:rPr>
                      <w:b/>
                      <w:sz w:val="18"/>
                      <w:szCs w:val="18"/>
                    </w:rPr>
                    <w:t>-</w:t>
                  </w:r>
                </w:p>
              </w:tc>
            </w:tr>
            <w:tr w:rsidR="006468C2" w:rsidTr="0075711E" w14:paraId="20D9A32A" w14:textId="77777777">
              <w:tc>
                <w:tcPr>
                  <w:tcW w:w="1276" w:type="dxa"/>
                </w:tcPr>
                <w:p w:rsidRPr="00F7052B" w:rsidR="006468C2" w:rsidP="00FE4186" w:rsidRDefault="006468C2" w14:paraId="3A912A11" w14:textId="77777777">
                  <w:pPr>
                    <w:pStyle w:val="BodyText"/>
                    <w:rPr>
                      <w:b/>
                      <w:sz w:val="18"/>
                      <w:szCs w:val="18"/>
                    </w:rPr>
                  </w:pPr>
                  <w:r>
                    <w:rPr>
                      <w:b/>
                      <w:sz w:val="18"/>
                      <w:szCs w:val="18"/>
                    </w:rPr>
                    <w:t>20.1-30 mg/L</w:t>
                  </w:r>
                </w:p>
              </w:tc>
              <w:tc>
                <w:tcPr>
                  <w:tcW w:w="1441" w:type="dxa"/>
                </w:tcPr>
                <w:p w:rsidRPr="00F7052B" w:rsidR="006468C2" w:rsidP="00FE4186" w:rsidRDefault="006468C2" w14:paraId="6E07ADC8" w14:textId="77777777">
                  <w:pPr>
                    <w:pStyle w:val="BodyText"/>
                    <w:rPr>
                      <w:b/>
                      <w:sz w:val="18"/>
                      <w:szCs w:val="18"/>
                    </w:rPr>
                  </w:pPr>
                  <w:r>
                    <w:rPr>
                      <w:b/>
                      <w:sz w:val="18"/>
                      <w:szCs w:val="18"/>
                    </w:rPr>
                    <w:t>Decrease by 10-30%</w:t>
                  </w:r>
                </w:p>
              </w:tc>
              <w:tc>
                <w:tcPr>
                  <w:tcW w:w="992" w:type="dxa"/>
                </w:tcPr>
                <w:p w:rsidRPr="00F7052B" w:rsidR="006468C2" w:rsidP="00FE4186" w:rsidRDefault="006468C2" w14:paraId="37A2C92B" w14:textId="77777777">
                  <w:pPr>
                    <w:pStyle w:val="BodyText"/>
                    <w:rPr>
                      <w:b/>
                      <w:sz w:val="18"/>
                      <w:szCs w:val="18"/>
                    </w:rPr>
                  </w:pPr>
                  <w:r>
                    <w:rPr>
                      <w:b/>
                      <w:sz w:val="18"/>
                      <w:szCs w:val="18"/>
                    </w:rPr>
                    <w:t xml:space="preserve">Decrease </w:t>
                  </w:r>
                </w:p>
              </w:tc>
              <w:tc>
                <w:tcPr>
                  <w:tcW w:w="2410" w:type="dxa"/>
                </w:tcPr>
                <w:p w:rsidRPr="00F7052B" w:rsidR="006468C2" w:rsidP="00FE4186" w:rsidRDefault="006468C2" w14:paraId="7B0C45AB" w14:textId="77777777">
                  <w:pPr>
                    <w:pStyle w:val="BodyText"/>
                    <w:rPr>
                      <w:b/>
                      <w:sz w:val="18"/>
                      <w:szCs w:val="18"/>
                    </w:rPr>
                  </w:pPr>
                  <w:r>
                    <w:rPr>
                      <w:b/>
                      <w:sz w:val="18"/>
                      <w:szCs w:val="18"/>
                    </w:rPr>
                    <w:t>Current daily dose X 0.9-0.7 = NEW DAILY DOSE</w:t>
                  </w:r>
                </w:p>
              </w:tc>
            </w:tr>
            <w:tr w:rsidR="006468C2" w:rsidTr="0075711E" w14:paraId="584A5C44" w14:textId="77777777">
              <w:trPr>
                <w:trHeight w:val="342"/>
              </w:trPr>
              <w:tc>
                <w:tcPr>
                  <w:tcW w:w="1276" w:type="dxa"/>
                  <w:vMerge w:val="restart"/>
                  <w:vAlign w:val="center"/>
                </w:tcPr>
                <w:p w:rsidRPr="00F7052B" w:rsidR="006468C2" w:rsidP="00FE4186" w:rsidRDefault="006468C2" w14:paraId="5855476A" w14:textId="77777777">
                  <w:pPr>
                    <w:pStyle w:val="BodyText"/>
                    <w:rPr>
                      <w:b/>
                      <w:sz w:val="18"/>
                      <w:szCs w:val="18"/>
                    </w:rPr>
                  </w:pPr>
                  <w:r>
                    <w:rPr>
                      <w:b/>
                      <w:sz w:val="18"/>
                      <w:szCs w:val="18"/>
                    </w:rPr>
                    <w:t>&gt;30 mg/L</w:t>
                  </w:r>
                </w:p>
              </w:tc>
              <w:tc>
                <w:tcPr>
                  <w:tcW w:w="1441" w:type="dxa"/>
                </w:tcPr>
                <w:p w:rsidRPr="00F7052B" w:rsidR="006468C2" w:rsidP="00FE4186" w:rsidRDefault="006468C2" w14:paraId="5AA1A072" w14:textId="77777777">
                  <w:pPr>
                    <w:pStyle w:val="BodyText"/>
                    <w:rPr>
                      <w:b/>
                      <w:sz w:val="18"/>
                      <w:szCs w:val="18"/>
                    </w:rPr>
                  </w:pPr>
                  <w:r>
                    <w:rPr>
                      <w:b/>
                      <w:sz w:val="18"/>
                      <w:szCs w:val="18"/>
                    </w:rPr>
                    <w:t>WITHOLD DOSE</w:t>
                  </w:r>
                </w:p>
              </w:tc>
              <w:tc>
                <w:tcPr>
                  <w:tcW w:w="992" w:type="dxa"/>
                </w:tcPr>
                <w:p w:rsidRPr="00F7052B" w:rsidR="006468C2" w:rsidP="00FE4186" w:rsidRDefault="006468C2" w14:paraId="059527AF" w14:textId="77777777">
                  <w:pPr>
                    <w:pStyle w:val="BodyText"/>
                    <w:rPr>
                      <w:b/>
                      <w:sz w:val="18"/>
                      <w:szCs w:val="18"/>
                    </w:rPr>
                  </w:pPr>
                </w:p>
              </w:tc>
              <w:tc>
                <w:tcPr>
                  <w:tcW w:w="2410" w:type="dxa"/>
                </w:tcPr>
                <w:p w:rsidRPr="00F7052B" w:rsidR="006468C2" w:rsidP="00FE4186" w:rsidRDefault="006468C2" w14:paraId="46201820" w14:textId="77777777">
                  <w:pPr>
                    <w:pStyle w:val="BodyText"/>
                    <w:rPr>
                      <w:b/>
                      <w:sz w:val="18"/>
                      <w:szCs w:val="18"/>
                    </w:rPr>
                  </w:pPr>
                </w:p>
              </w:tc>
            </w:tr>
            <w:tr w:rsidR="006468C2" w:rsidTr="0075711E" w14:paraId="6E55B1AB" w14:textId="77777777">
              <w:trPr>
                <w:trHeight w:val="442"/>
              </w:trPr>
              <w:tc>
                <w:tcPr>
                  <w:tcW w:w="1276" w:type="dxa"/>
                  <w:vMerge/>
                </w:tcPr>
                <w:p w:rsidR="006468C2" w:rsidP="00FE4186" w:rsidRDefault="006468C2" w14:paraId="37C271F9" w14:textId="77777777">
                  <w:pPr>
                    <w:pStyle w:val="BodyText"/>
                    <w:rPr>
                      <w:b/>
                      <w:sz w:val="18"/>
                      <w:szCs w:val="18"/>
                    </w:rPr>
                  </w:pPr>
                </w:p>
              </w:tc>
              <w:tc>
                <w:tcPr>
                  <w:tcW w:w="1441" w:type="dxa"/>
                </w:tcPr>
                <w:p w:rsidR="006468C2" w:rsidP="00FE4186" w:rsidRDefault="006468C2" w14:paraId="399B2C0F" w14:textId="77777777">
                  <w:pPr>
                    <w:pStyle w:val="BodyText"/>
                    <w:rPr>
                      <w:b/>
                      <w:sz w:val="18"/>
                      <w:szCs w:val="18"/>
                    </w:rPr>
                  </w:pPr>
                  <w:r>
                    <w:rPr>
                      <w:b/>
                      <w:sz w:val="18"/>
                      <w:szCs w:val="18"/>
                    </w:rPr>
                    <w:t>Repeat trough level 24 hourly until concentration 10-20mg/L</w:t>
                  </w:r>
                </w:p>
              </w:tc>
              <w:tc>
                <w:tcPr>
                  <w:tcW w:w="992" w:type="dxa"/>
                </w:tcPr>
                <w:p w:rsidRPr="008E3AF3" w:rsidR="006468C2" w:rsidP="00FE4186" w:rsidRDefault="006468C2" w14:paraId="10F603AF" w14:textId="77777777">
                  <w:pPr>
                    <w:pStyle w:val="BodyText"/>
                    <w:rPr>
                      <w:b/>
                      <w:sz w:val="18"/>
                      <w:szCs w:val="18"/>
                    </w:rPr>
                  </w:pPr>
                  <w:r>
                    <w:rPr>
                      <w:b/>
                      <w:sz w:val="18"/>
                      <w:szCs w:val="18"/>
                    </w:rPr>
                    <w:t>Decrease</w:t>
                  </w:r>
                </w:p>
              </w:tc>
              <w:tc>
                <w:tcPr>
                  <w:tcW w:w="2410" w:type="dxa"/>
                </w:tcPr>
                <w:p w:rsidRPr="008E3AF3" w:rsidR="006468C2" w:rsidP="00FE4186" w:rsidRDefault="006468C2" w14:paraId="48F807F2" w14:textId="77777777">
                  <w:pPr>
                    <w:pStyle w:val="BodyText"/>
                    <w:rPr>
                      <w:b/>
                      <w:sz w:val="18"/>
                      <w:szCs w:val="18"/>
                    </w:rPr>
                  </w:pPr>
                  <w:r>
                    <w:rPr>
                      <w:b/>
                      <w:sz w:val="18"/>
                      <w:szCs w:val="18"/>
                    </w:rPr>
                    <w:t>Current daily dose X 0.5 = NEW DAILY DOSE</w:t>
                  </w:r>
                </w:p>
              </w:tc>
            </w:tr>
          </w:tbl>
          <w:p w:rsidRPr="004C6D8E" w:rsidR="006468C2" w:rsidP="00FE4186" w:rsidRDefault="006468C2" w14:paraId="688DD665" w14:textId="77777777">
            <w:pPr>
              <w:pStyle w:val="BodyText"/>
              <w:rPr>
                <w:b/>
                <w:sz w:val="20"/>
              </w:rPr>
            </w:pPr>
            <w:r>
              <w:rPr>
                <w:b/>
                <w:sz w:val="20"/>
              </w:rPr>
              <w:t>Changing frequency of administration is preferred against changing dose.</w:t>
            </w:r>
          </w:p>
          <w:p w:rsidRPr="005A3F9E" w:rsidR="006468C2" w:rsidP="00FE4186" w:rsidRDefault="006468C2" w14:paraId="2466C27A" w14:textId="77777777">
            <w:pPr>
              <w:pStyle w:val="BodyText"/>
              <w:rPr>
                <w:sz w:val="20"/>
              </w:rPr>
            </w:pPr>
            <w:r w:rsidRPr="005A3F9E">
              <w:rPr>
                <w:sz w:val="20"/>
              </w:rPr>
              <w:t>&lt; 5 mg/L − increase total daily dose by 50–75% (i.e. 1.5-1.75 times)) by either increasing frequency (preferred) or increasing each dose.</w:t>
            </w:r>
          </w:p>
          <w:p w:rsidRPr="005A3F9E" w:rsidR="006468C2" w:rsidP="00FE4186" w:rsidRDefault="006468C2" w14:paraId="153F775F" w14:textId="77777777">
            <w:pPr>
              <w:pStyle w:val="BodyText"/>
              <w:rPr>
                <w:sz w:val="20"/>
              </w:rPr>
            </w:pPr>
            <w:r w:rsidRPr="005A3F9E">
              <w:rPr>
                <w:sz w:val="20"/>
              </w:rPr>
              <w:t>5–9.9 mg/L − increase total daily dose by 25–50% (i.e. 1.25-1.5 times) by either increasing frequency (preferred) or increasing each dose.</w:t>
            </w:r>
          </w:p>
          <w:p w:rsidRPr="005A3F9E" w:rsidR="006468C2" w:rsidP="00FE4186" w:rsidRDefault="006468C2" w14:paraId="3ED34211" w14:textId="77777777">
            <w:pPr>
              <w:pStyle w:val="BodyText"/>
              <w:rPr>
                <w:sz w:val="20"/>
              </w:rPr>
            </w:pPr>
            <w:r w:rsidRPr="005A3F9E">
              <w:rPr>
                <w:sz w:val="20"/>
              </w:rPr>
              <w:t>10–20 mg/L − no change in dose required.</w:t>
            </w:r>
          </w:p>
          <w:p w:rsidRPr="005A3F9E" w:rsidR="006468C2" w:rsidP="00FE4186" w:rsidRDefault="006468C2" w14:paraId="499A55C0" w14:textId="77777777">
            <w:pPr>
              <w:pStyle w:val="BodyText"/>
              <w:rPr>
                <w:sz w:val="20"/>
              </w:rPr>
            </w:pPr>
            <w:r w:rsidRPr="005A3F9E">
              <w:rPr>
                <w:sz w:val="20"/>
              </w:rPr>
              <w:t>20.1–30 mg/L − decrease total daily dose by 10–30% (i.e. 0.9-0.7 times) by decreasing frequency (preferred) or decreasing each dose.</w:t>
            </w:r>
          </w:p>
          <w:p w:rsidRPr="005A3F9E" w:rsidR="006468C2" w:rsidP="00FE4186" w:rsidRDefault="006468C2" w14:paraId="40D87CD8" w14:textId="77777777">
            <w:pPr>
              <w:pStyle w:val="BodyText"/>
              <w:rPr>
                <w:sz w:val="20"/>
              </w:rPr>
            </w:pPr>
            <w:r w:rsidRPr="005A3F9E">
              <w:rPr>
                <w:sz w:val="20"/>
              </w:rPr>
              <w:t xml:space="preserve">&gt; 30 mg/L − withhold dose. Repeat trough concentration 24 hourly until plasma concentration is 10–20 mg/L, then restart at a dose decreased by 50% (i.e. 0.5 times) by decreasing frequency (preferred) or decreasing each dose. </w:t>
            </w:r>
          </w:p>
          <w:p w:rsidRPr="005A3F9E" w:rsidR="006468C2" w:rsidP="00FE4186" w:rsidRDefault="006468C2" w14:paraId="4C3A38FE" w14:textId="77777777">
            <w:pPr>
              <w:pStyle w:val="BodyText"/>
              <w:rPr>
                <w:b/>
                <w:sz w:val="20"/>
              </w:rPr>
            </w:pPr>
          </w:p>
          <w:p w:rsidRPr="005A3F9E" w:rsidR="006468C2" w:rsidP="00FE4186" w:rsidRDefault="006468C2" w14:paraId="70A94FE6" w14:textId="77777777">
            <w:pPr>
              <w:pStyle w:val="BodyText"/>
              <w:rPr>
                <w:b/>
                <w:sz w:val="20"/>
              </w:rPr>
            </w:pPr>
            <w:r w:rsidRPr="005A3F9E">
              <w:rPr>
                <w:b/>
                <w:sz w:val="20"/>
              </w:rPr>
              <w:t>Example for adjusting dose by increasing / decreasing frequency:</w:t>
            </w:r>
          </w:p>
          <w:p w:rsidRPr="005A3F9E" w:rsidR="006468C2" w:rsidP="00FE4186" w:rsidRDefault="006468C2" w14:paraId="2A6B0C6A" w14:textId="77777777">
            <w:pPr>
              <w:pStyle w:val="BodyText"/>
              <w:rPr>
                <w:sz w:val="20"/>
              </w:rPr>
            </w:pPr>
            <w:r w:rsidRPr="005A3F9E">
              <w:rPr>
                <w:sz w:val="20"/>
              </w:rPr>
              <w:t xml:space="preserve">Calculate current total daily dose (e.g. 15 mg 8 hourly = 45 mg/day). </w:t>
            </w:r>
          </w:p>
          <w:p w:rsidRPr="005A3F9E" w:rsidR="006468C2" w:rsidP="00FE4186" w:rsidRDefault="006468C2" w14:paraId="67C7FAAC" w14:textId="77777777">
            <w:pPr>
              <w:pStyle w:val="BodyText"/>
              <w:rPr>
                <w:sz w:val="20"/>
              </w:rPr>
            </w:pPr>
            <w:r w:rsidRPr="005A3F9E">
              <w:rPr>
                <w:sz w:val="20"/>
              </w:rPr>
              <w:t xml:space="preserve">If trough &lt;5 mg/L – Increase total daily dose by 1.5 times (i.e. 45 x 1.5 = 67.5 mg/day) and decide on achieving this total daily dose by either increasing the frequency or increasing the dose. : </w:t>
            </w:r>
          </w:p>
          <w:p w:rsidRPr="005A3F9E" w:rsidR="006468C2" w:rsidP="00FE4186" w:rsidRDefault="006468C2" w14:paraId="7DE89337" w14:textId="77777777">
            <w:pPr>
              <w:pStyle w:val="BodyText"/>
              <w:rPr>
                <w:sz w:val="20"/>
              </w:rPr>
            </w:pPr>
          </w:p>
          <w:p w:rsidRPr="005A3F9E" w:rsidR="006468C2" w:rsidP="00FE4186" w:rsidRDefault="006468C2" w14:paraId="5E64930C" w14:textId="77777777">
            <w:pPr>
              <w:pStyle w:val="BodyText"/>
              <w:rPr>
                <w:b/>
                <w:sz w:val="20"/>
              </w:rPr>
            </w:pPr>
            <w:r w:rsidRPr="005A3F9E">
              <w:rPr>
                <w:sz w:val="20"/>
              </w:rPr>
              <w:t xml:space="preserve">If trough 20.1–30 mg/L  -  Decrease total daily dose to </w:t>
            </w:r>
            <w:r>
              <w:rPr>
                <w:sz w:val="20"/>
              </w:rPr>
              <w:t>0.7</w:t>
            </w:r>
            <w:r w:rsidRPr="005A3F9E">
              <w:rPr>
                <w:sz w:val="20"/>
              </w:rPr>
              <w:t xml:space="preserve"> times (i.e. 45 x </w:t>
            </w:r>
            <w:r>
              <w:rPr>
                <w:sz w:val="20"/>
              </w:rPr>
              <w:t>0.7</w:t>
            </w:r>
            <w:r w:rsidRPr="005A3F9E">
              <w:rPr>
                <w:sz w:val="20"/>
              </w:rPr>
              <w:t xml:space="preserve"> = </w:t>
            </w:r>
            <w:r>
              <w:rPr>
                <w:sz w:val="20"/>
              </w:rPr>
              <w:t>31</w:t>
            </w:r>
            <w:r w:rsidRPr="005A3F9E">
              <w:rPr>
                <w:sz w:val="20"/>
              </w:rPr>
              <w:t>.5 mg/day) and decide on achieving this total daily dose by either decreasing the frequency or decreasing the dose.</w:t>
            </w:r>
          </w:p>
          <w:p w:rsidRPr="005A3F9E" w:rsidR="006468C2" w:rsidP="00FE4186" w:rsidRDefault="006468C2" w14:paraId="536A2D1E" w14:textId="77777777">
            <w:pPr>
              <w:pStyle w:val="BodyText"/>
              <w:rPr>
                <w:b/>
                <w:sz w:val="20"/>
              </w:rPr>
            </w:pPr>
          </w:p>
          <w:p w:rsidRPr="005A3F9E" w:rsidR="006468C2" w:rsidP="00FE4186" w:rsidRDefault="006468C2" w14:paraId="2B51B81C" w14:textId="77777777">
            <w:pPr>
              <w:pStyle w:val="BodyText"/>
              <w:rPr>
                <w:b/>
                <w:sz w:val="20"/>
              </w:rPr>
            </w:pPr>
            <w:r w:rsidRPr="005A3F9E">
              <w:rPr>
                <w:b/>
                <w:sz w:val="20"/>
              </w:rPr>
              <w:t xml:space="preserve">Renal impairment </w:t>
            </w:r>
          </w:p>
          <w:p w:rsidRPr="005A3F9E" w:rsidR="006468C2" w:rsidP="00FE4186" w:rsidRDefault="006468C2" w14:paraId="7910C656" w14:textId="77777777">
            <w:pPr>
              <w:pStyle w:val="ColorfulList-Accent11"/>
              <w:spacing w:line="240" w:lineRule="auto"/>
              <w:ind w:left="0"/>
              <w:outlineLvl w:val="1"/>
              <w:rPr>
                <w:bCs/>
                <w:color w:val="000000"/>
              </w:rPr>
            </w:pPr>
            <w:r w:rsidRPr="005A3F9E">
              <w:t xml:space="preserve">For infants with renal impairment, consider using antibiotic without nephrotoxicity in consultation with an infectious diseases specialist. If vancomycin is used, perform a trough concentration before the 2nd dose, irrespective of corrected gestational age. </w:t>
            </w:r>
          </w:p>
        </w:tc>
      </w:tr>
      <w:tr w:rsidRPr="003A7895" w:rsidR="006468C2" w:rsidTr="008D48AE" w14:paraId="287B57F5" w14:textId="77777777">
        <w:trPr>
          <w:trHeight w:val="342"/>
        </w:trPr>
        <w:tc>
          <w:tcPr>
            <w:tcW w:w="1872" w:type="dxa"/>
          </w:tcPr>
          <w:p w:rsidRPr="00B53E9B" w:rsidR="006468C2" w:rsidP="00FE4186" w:rsidRDefault="006468C2" w14:paraId="74BEFDAC" w14:textId="77777777">
            <w:pPr>
              <w:pStyle w:val="BodyText"/>
              <w:rPr>
                <w:rFonts w:cs="Arial"/>
                <w:b/>
                <w:bCs/>
                <w:sz w:val="20"/>
              </w:rPr>
            </w:pPr>
            <w:r w:rsidRPr="00B53E9B">
              <w:rPr>
                <w:rFonts w:cs="Arial"/>
                <w:b/>
                <w:bCs/>
                <w:sz w:val="20"/>
              </w:rPr>
              <w:lastRenderedPageBreak/>
              <w:t xml:space="preserve">Contraindications                        </w:t>
            </w:r>
          </w:p>
        </w:tc>
        <w:tc>
          <w:tcPr>
            <w:tcW w:w="8363" w:type="dxa"/>
          </w:tcPr>
          <w:p w:rsidRPr="00377CD0" w:rsidR="006468C2" w:rsidP="00FE4186" w:rsidRDefault="006468C2" w14:paraId="5E16B71A" w14:textId="77777777">
            <w:pPr>
              <w:pStyle w:val="BodyText"/>
              <w:rPr>
                <w:rFonts w:cs="Arial"/>
                <w:sz w:val="20"/>
              </w:rPr>
            </w:pPr>
            <w:r w:rsidRPr="00377CD0">
              <w:rPr>
                <w:sz w:val="20"/>
              </w:rPr>
              <w:t>Known hypersensitivity to vancomycin</w:t>
            </w:r>
            <w:r>
              <w:rPr>
                <w:sz w:val="20"/>
              </w:rPr>
              <w:t>.</w:t>
            </w:r>
          </w:p>
        </w:tc>
      </w:tr>
      <w:tr w:rsidRPr="003A7895" w:rsidR="006468C2" w:rsidTr="008D48AE" w14:paraId="76557752" w14:textId="77777777">
        <w:tc>
          <w:tcPr>
            <w:tcW w:w="1872" w:type="dxa"/>
          </w:tcPr>
          <w:p w:rsidRPr="00B53E9B" w:rsidR="006468C2" w:rsidP="00FE4186" w:rsidRDefault="006468C2" w14:paraId="1EEA20FB" w14:textId="77777777">
            <w:pPr>
              <w:pStyle w:val="BodyText"/>
              <w:rPr>
                <w:rFonts w:cs="Arial"/>
                <w:b/>
                <w:bCs/>
                <w:sz w:val="20"/>
              </w:rPr>
            </w:pPr>
            <w:r w:rsidRPr="00B53E9B">
              <w:rPr>
                <w:sz w:val="20"/>
              </w:rPr>
              <w:br w:type="page"/>
            </w:r>
            <w:r w:rsidRPr="00B53E9B">
              <w:rPr>
                <w:rFonts w:cs="Arial"/>
                <w:b/>
                <w:bCs/>
                <w:sz w:val="20"/>
              </w:rPr>
              <w:t>Precautions</w:t>
            </w:r>
          </w:p>
        </w:tc>
        <w:tc>
          <w:tcPr>
            <w:tcW w:w="8363" w:type="dxa"/>
          </w:tcPr>
          <w:p w:rsidRPr="00377CD0" w:rsidR="006468C2" w:rsidP="00FE4186" w:rsidRDefault="006468C2" w14:paraId="170001E5" w14:textId="77777777">
            <w:pPr>
              <w:pStyle w:val="BodyText"/>
              <w:rPr>
                <w:rFonts w:cs="Arial"/>
                <w:sz w:val="20"/>
              </w:rPr>
            </w:pPr>
            <w:r w:rsidRPr="00377CD0">
              <w:rPr>
                <w:sz w:val="20"/>
              </w:rPr>
              <w:t>Use with caution in patients with renal impairment or those receiving other nephrotoxic, neurotoxic or ototoxic drugs</w:t>
            </w:r>
            <w:r>
              <w:rPr>
                <w:sz w:val="20"/>
              </w:rPr>
              <w:t>.</w:t>
            </w:r>
          </w:p>
        </w:tc>
      </w:tr>
      <w:tr w:rsidRPr="003A7895" w:rsidR="006468C2" w:rsidTr="008D48AE" w14:paraId="1740266A" w14:textId="77777777">
        <w:trPr>
          <w:trHeight w:val="70"/>
        </w:trPr>
        <w:tc>
          <w:tcPr>
            <w:tcW w:w="1872" w:type="dxa"/>
          </w:tcPr>
          <w:p w:rsidRPr="00B53E9B" w:rsidR="006468C2" w:rsidP="00FE4186" w:rsidRDefault="006468C2" w14:paraId="47CF696B"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363" w:type="dxa"/>
          </w:tcPr>
          <w:p w:rsidRPr="00377CD0" w:rsidR="006468C2" w:rsidP="00FE4186" w:rsidRDefault="006468C2" w14:paraId="7B0C059C" w14:textId="77777777">
            <w:pPr>
              <w:pStyle w:val="BodyText"/>
              <w:rPr>
                <w:rFonts w:cs="Arial"/>
                <w:sz w:val="20"/>
              </w:rPr>
            </w:pPr>
            <w:r w:rsidRPr="00377CD0">
              <w:rPr>
                <w:sz w:val="20"/>
              </w:rPr>
              <w:t>Neurotoxic and nephro</w:t>
            </w:r>
            <w:r>
              <w:rPr>
                <w:sz w:val="20"/>
              </w:rPr>
              <w:t xml:space="preserve">toxic drugs </w:t>
            </w:r>
            <w:r w:rsidRPr="00377CD0">
              <w:rPr>
                <w:sz w:val="20"/>
              </w:rPr>
              <w:t>– concurrent use of these agents may contribute to the additive neurotoxic and</w:t>
            </w:r>
            <w:r>
              <w:rPr>
                <w:sz w:val="20"/>
              </w:rPr>
              <w:t xml:space="preserve"> nephrotoxic effects.</w:t>
            </w:r>
            <w:r>
              <w:rPr>
                <w:sz w:val="20"/>
              </w:rPr>
              <w:br/>
            </w:r>
            <w:r>
              <w:rPr>
                <w:sz w:val="20"/>
              </w:rPr>
              <w:t xml:space="preserve">Diuretics </w:t>
            </w:r>
            <w:r w:rsidRPr="00377CD0">
              <w:rPr>
                <w:sz w:val="20"/>
              </w:rPr>
              <w:t>– potent diuretic</w:t>
            </w:r>
            <w:r>
              <w:rPr>
                <w:sz w:val="20"/>
              </w:rPr>
              <w:t>s (e.g., furosemide) may add to</w:t>
            </w:r>
            <w:r w:rsidRPr="00377CD0">
              <w:rPr>
                <w:sz w:val="20"/>
              </w:rPr>
              <w:t xml:space="preserve"> the ototoxic e</w:t>
            </w:r>
            <w:r>
              <w:rPr>
                <w:sz w:val="20"/>
              </w:rPr>
              <w:t>ffect</w:t>
            </w:r>
            <w:r w:rsidRPr="00377CD0">
              <w:rPr>
                <w:sz w:val="20"/>
              </w:rPr>
              <w:t>.</w:t>
            </w:r>
            <w:r w:rsidRPr="00377CD0">
              <w:rPr>
                <w:sz w:val="20"/>
              </w:rPr>
              <w:br/>
            </w:r>
            <w:r w:rsidRPr="00377CD0">
              <w:rPr>
                <w:sz w:val="20"/>
              </w:rPr>
              <w:t>Neuromuscular blocking agents (e.g. pancuronium, suxamethonium, vecuronium) – vancomycin may enhance neuromuscular blockade.</w:t>
            </w:r>
            <w:r w:rsidRPr="00377CD0">
              <w:rPr>
                <w:sz w:val="20"/>
              </w:rPr>
              <w:br/>
            </w:r>
            <w:r w:rsidRPr="00377CD0">
              <w:rPr>
                <w:sz w:val="20"/>
              </w:rPr>
              <w:t>Vancomycin may be combined with an aminoglycoside, cephalosporin or rifampicin for synergistic activity</w:t>
            </w:r>
            <w:r>
              <w:rPr>
                <w:sz w:val="20"/>
              </w:rPr>
              <w:t>.</w:t>
            </w:r>
          </w:p>
        </w:tc>
      </w:tr>
      <w:tr w:rsidRPr="003A7895" w:rsidR="006468C2" w:rsidTr="008D48AE" w14:paraId="70F619BB" w14:textId="77777777">
        <w:trPr>
          <w:trHeight w:val="332"/>
        </w:trPr>
        <w:tc>
          <w:tcPr>
            <w:tcW w:w="1872" w:type="dxa"/>
          </w:tcPr>
          <w:p w:rsidRPr="00B53E9B" w:rsidR="006468C2" w:rsidP="00FE4186" w:rsidRDefault="006468C2" w14:paraId="130E63FD"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363" w:type="dxa"/>
          </w:tcPr>
          <w:p w:rsidRPr="00377CD0" w:rsidR="006468C2" w:rsidP="00FE4186" w:rsidRDefault="006468C2" w14:paraId="2A1E8C38" w14:textId="77777777">
            <w:pPr>
              <w:pStyle w:val="BodyText"/>
              <w:rPr>
                <w:rFonts w:cs="Arial"/>
                <w:sz w:val="20"/>
              </w:rPr>
            </w:pPr>
            <w:r>
              <w:rPr>
                <w:sz w:val="20"/>
              </w:rPr>
              <w:t>Infusion-related events: R</w:t>
            </w:r>
            <w:r w:rsidRPr="00377CD0">
              <w:rPr>
                <w:sz w:val="20"/>
              </w:rPr>
              <w:t xml:space="preserve">apid infusion may cause red man syndrome – </w:t>
            </w:r>
            <w:r>
              <w:rPr>
                <w:sz w:val="20"/>
              </w:rPr>
              <w:t>a predominately histamine-mediated reaction with pruritu</w:t>
            </w:r>
            <w:r w:rsidRPr="00377CD0">
              <w:rPr>
                <w:sz w:val="20"/>
              </w:rPr>
              <w:t xml:space="preserve">s, tachycardia, hypotension and rash. It appears rapidly and </w:t>
            </w:r>
            <w:r>
              <w:rPr>
                <w:sz w:val="20"/>
              </w:rPr>
              <w:t xml:space="preserve">usually </w:t>
            </w:r>
            <w:r w:rsidRPr="00377CD0">
              <w:rPr>
                <w:sz w:val="20"/>
              </w:rPr>
              <w:t>dissipates in 30</w:t>
            </w:r>
            <w:r>
              <w:rPr>
                <w:sz w:val="20"/>
              </w:rPr>
              <w:t>─</w:t>
            </w:r>
            <w:r w:rsidRPr="00377CD0">
              <w:rPr>
                <w:sz w:val="20"/>
              </w:rPr>
              <w:t>60</w:t>
            </w:r>
            <w:r>
              <w:rPr>
                <w:sz w:val="20"/>
              </w:rPr>
              <w:t xml:space="preserve"> </w:t>
            </w:r>
            <w:r w:rsidRPr="00377CD0">
              <w:rPr>
                <w:sz w:val="20"/>
              </w:rPr>
              <w:t>minutes, but may persist for several hours. Increasing the infusion time usually eliminates the risk for subsequent doses.</w:t>
            </w:r>
            <w:r w:rsidRPr="00377CD0">
              <w:rPr>
                <w:sz w:val="20"/>
              </w:rPr>
              <w:br/>
            </w:r>
            <w:r w:rsidRPr="00377CD0">
              <w:rPr>
                <w:sz w:val="20"/>
              </w:rPr>
              <w:t>Anaphylactic reactions may occur. Severe reactions may require treatment with adrenaline</w:t>
            </w:r>
            <w:r>
              <w:rPr>
                <w:sz w:val="20"/>
              </w:rPr>
              <w:t xml:space="preserve"> (epinephrine)</w:t>
            </w:r>
            <w:r w:rsidRPr="00377CD0">
              <w:rPr>
                <w:sz w:val="20"/>
              </w:rPr>
              <w:t>, corticosteroids or oxygen.</w:t>
            </w:r>
            <w:r w:rsidRPr="00377CD0">
              <w:rPr>
                <w:sz w:val="20"/>
              </w:rPr>
              <w:br/>
            </w:r>
            <w:r w:rsidRPr="00377CD0">
              <w:rPr>
                <w:sz w:val="20"/>
              </w:rPr>
              <w:t>Phlebitis and tissue irritation and necrosis may occur, especially after extravasation. Intramuscular injection is not recommended.</w:t>
            </w:r>
            <w:r w:rsidRPr="00377CD0">
              <w:rPr>
                <w:sz w:val="20"/>
              </w:rPr>
              <w:br/>
            </w:r>
            <w:r w:rsidRPr="00377CD0">
              <w:rPr>
                <w:sz w:val="20"/>
              </w:rPr>
              <w:t>Neurotoxicity,</w:t>
            </w:r>
            <w:r>
              <w:rPr>
                <w:sz w:val="20"/>
              </w:rPr>
              <w:t xml:space="preserve"> ototoxicity and nephrotoxicity ─</w:t>
            </w:r>
            <w:r w:rsidRPr="00377CD0">
              <w:rPr>
                <w:sz w:val="20"/>
              </w:rPr>
              <w:t xml:space="preserve"> these are more pronounced with the addition of other medications such as aminoglycosides or f</w:t>
            </w:r>
            <w:r>
              <w:rPr>
                <w:sz w:val="20"/>
              </w:rPr>
              <w:t>uro</w:t>
            </w:r>
            <w:r w:rsidRPr="00377CD0">
              <w:rPr>
                <w:sz w:val="20"/>
              </w:rPr>
              <w:t>semide.</w:t>
            </w:r>
            <w:r w:rsidRPr="00377CD0">
              <w:rPr>
                <w:sz w:val="20"/>
              </w:rPr>
              <w:br/>
            </w:r>
            <w:r w:rsidRPr="00377CD0">
              <w:rPr>
                <w:sz w:val="20"/>
              </w:rPr>
              <w:t>Neut</w:t>
            </w:r>
            <w:r>
              <w:rPr>
                <w:sz w:val="20"/>
              </w:rPr>
              <w:t>ropenia and thrombocytopenia have</w:t>
            </w:r>
            <w:r w:rsidRPr="00377CD0">
              <w:rPr>
                <w:sz w:val="20"/>
              </w:rPr>
              <w:t xml:space="preserve"> been reported in adults</w:t>
            </w:r>
            <w:r>
              <w:rPr>
                <w:sz w:val="20"/>
              </w:rPr>
              <w:t>. R</w:t>
            </w:r>
            <w:r w:rsidRPr="00377CD0">
              <w:rPr>
                <w:sz w:val="20"/>
              </w:rPr>
              <w:t xml:space="preserve">isk is increased with prolonged therapy &gt;1 week </w:t>
            </w:r>
            <w:r>
              <w:rPr>
                <w:sz w:val="20"/>
              </w:rPr>
              <w:t>but they</w:t>
            </w:r>
            <w:r w:rsidRPr="00377CD0">
              <w:rPr>
                <w:sz w:val="20"/>
              </w:rPr>
              <w:t xml:space="preserve"> </w:t>
            </w:r>
            <w:r>
              <w:rPr>
                <w:sz w:val="20"/>
              </w:rPr>
              <w:t xml:space="preserve">appear </w:t>
            </w:r>
            <w:r w:rsidRPr="00377CD0">
              <w:rPr>
                <w:sz w:val="20"/>
              </w:rPr>
              <w:t>to be reversible when vancomycin is discontinued.</w:t>
            </w:r>
          </w:p>
        </w:tc>
      </w:tr>
      <w:tr w:rsidRPr="003A7895" w:rsidR="006468C2" w:rsidTr="008D48AE" w14:paraId="0463954E" w14:textId="77777777">
        <w:trPr>
          <w:trHeight w:val="180"/>
        </w:trPr>
        <w:tc>
          <w:tcPr>
            <w:tcW w:w="1872" w:type="dxa"/>
          </w:tcPr>
          <w:p w:rsidRPr="00B53E9B" w:rsidR="006468C2" w:rsidP="00FE4186" w:rsidRDefault="006468C2" w14:paraId="2C460F86" w14:textId="77777777">
            <w:pPr>
              <w:pStyle w:val="BodyText"/>
              <w:rPr>
                <w:rFonts w:cs="Arial"/>
                <w:b/>
                <w:bCs/>
                <w:sz w:val="20"/>
              </w:rPr>
            </w:pPr>
            <w:r w:rsidRPr="00B53E9B">
              <w:rPr>
                <w:rFonts w:cs="Arial"/>
                <w:b/>
                <w:bCs/>
                <w:sz w:val="20"/>
              </w:rPr>
              <w:t>Compatibility</w:t>
            </w:r>
          </w:p>
        </w:tc>
        <w:tc>
          <w:tcPr>
            <w:tcW w:w="8363" w:type="dxa"/>
          </w:tcPr>
          <w:p w:rsidRPr="008D48AE" w:rsidR="006468C2" w:rsidP="00FE4186" w:rsidRDefault="006468C2" w14:paraId="16CE536F" w14:textId="77777777">
            <w:pPr>
              <w:pStyle w:val="BodyText"/>
              <w:rPr>
                <w:rFonts w:cs="Arial"/>
                <w:sz w:val="16"/>
                <w:szCs w:val="16"/>
              </w:rPr>
            </w:pPr>
            <w:r w:rsidRPr="008D48AE">
              <w:rPr>
                <w:sz w:val="16"/>
                <w:szCs w:val="16"/>
              </w:rPr>
              <w:t>Fluids: Glucose 5%, glucose 10%, sodium chloride 0.9%.</w:t>
            </w:r>
            <w:r w:rsidRPr="008D48AE">
              <w:rPr>
                <w:sz w:val="16"/>
                <w:szCs w:val="16"/>
              </w:rPr>
              <w:br/>
            </w:r>
            <w:r w:rsidRPr="008D48AE">
              <w:rPr>
                <w:sz w:val="16"/>
                <w:szCs w:val="16"/>
              </w:rPr>
              <w:br/>
            </w:r>
            <w:r w:rsidRPr="008D48AE">
              <w:rPr>
                <w:sz w:val="16"/>
                <w:szCs w:val="16"/>
              </w:rPr>
              <w:lastRenderedPageBreak/>
              <w:t>Y site: amino acid solutions and fat emulsions, aciclovir, adrenaline (epinephrine) hydrochloride, amifostine, amiodarone, anidulafungin, atracurium, caspofungin, cisatracurium, dobutamine, dopamine, dexmedetomidine, esmolol, filgrastim, fluconazole, gentamicin, granisetron, hydromorphone, insulin regular, labetalol, linezolid, magnesium sulfate, meropenem, midazolam, milrinone, morphine sulfate, mycophenolate mofetil, noradrenaline (norepinephrine), palonosetron, pancuronium, pethidine, potassium chloride, remifentanil, tigecycline, vecuronium, zidovudine.</w:t>
            </w:r>
          </w:p>
        </w:tc>
      </w:tr>
      <w:tr w:rsidRPr="003A7895" w:rsidR="006468C2" w:rsidTr="008D48AE" w14:paraId="58128132" w14:textId="77777777">
        <w:trPr>
          <w:trHeight w:val="230"/>
        </w:trPr>
        <w:tc>
          <w:tcPr>
            <w:tcW w:w="1872" w:type="dxa"/>
          </w:tcPr>
          <w:p w:rsidRPr="00B53E9B" w:rsidR="006468C2" w:rsidP="00FE4186" w:rsidRDefault="006468C2" w14:paraId="7B638BDA" w14:textId="77777777">
            <w:pPr>
              <w:pStyle w:val="BodyText"/>
              <w:rPr>
                <w:rFonts w:cs="Arial"/>
                <w:b/>
                <w:bCs/>
                <w:sz w:val="20"/>
              </w:rPr>
            </w:pPr>
            <w:r w:rsidRPr="00B53E9B">
              <w:rPr>
                <w:rFonts w:cs="Arial"/>
                <w:b/>
                <w:bCs/>
                <w:sz w:val="20"/>
              </w:rPr>
              <w:lastRenderedPageBreak/>
              <w:t>Incompatibility</w:t>
            </w:r>
          </w:p>
        </w:tc>
        <w:tc>
          <w:tcPr>
            <w:tcW w:w="8363" w:type="dxa"/>
          </w:tcPr>
          <w:p w:rsidRPr="008D48AE" w:rsidR="006468C2" w:rsidP="00FE4186" w:rsidRDefault="006468C2" w14:paraId="34F92514" w14:textId="77777777">
            <w:pPr>
              <w:pStyle w:val="BodyText"/>
              <w:rPr>
                <w:sz w:val="16"/>
                <w:szCs w:val="16"/>
              </w:rPr>
            </w:pPr>
            <w:r w:rsidRPr="008D48AE">
              <w:rPr>
                <w:sz w:val="16"/>
                <w:szCs w:val="16"/>
              </w:rPr>
              <w:t>Fluids: No information.</w:t>
            </w:r>
          </w:p>
          <w:p w:rsidRPr="008D48AE" w:rsidR="006468C2" w:rsidP="00FE4186" w:rsidRDefault="006468C2" w14:paraId="551045E8" w14:textId="77777777">
            <w:pPr>
              <w:pStyle w:val="BodyText"/>
              <w:rPr>
                <w:sz w:val="16"/>
                <w:szCs w:val="16"/>
              </w:rPr>
            </w:pPr>
          </w:p>
          <w:p w:rsidRPr="008D48AE" w:rsidR="006468C2" w:rsidP="00FE4186" w:rsidRDefault="006468C2" w14:paraId="6C56C6B8" w14:textId="77777777">
            <w:pPr>
              <w:pStyle w:val="BodyText"/>
              <w:rPr>
                <w:rFonts w:cs="Arial"/>
                <w:sz w:val="16"/>
                <w:szCs w:val="16"/>
              </w:rPr>
            </w:pPr>
            <w:r w:rsidRPr="008D48AE">
              <w:rPr>
                <w:rFonts w:cs="Arial"/>
                <w:sz w:val="16"/>
                <w:szCs w:val="16"/>
              </w:rPr>
              <w:t>Y-site: albumin, aminophylline, azathioprine, beta-lactam antibiotics (eg. penicillins, cephalosporins), bivalirudin, calcium folinate, chloramphenicol, daptomycin, foscarnet, furosemide, ganciclovir, heparin sodium, indometacin, ketorolac, methylprednisolone sodium succinate, moxifloxacin, omeprazole, rocuronium, sodium bicarbonate, sodium valproate, streptokinase, urokinase.</w:t>
            </w:r>
          </w:p>
        </w:tc>
      </w:tr>
      <w:tr w:rsidRPr="003A7895" w:rsidR="006468C2" w:rsidTr="008D48AE" w14:paraId="651E2B21" w14:textId="77777777">
        <w:trPr>
          <w:trHeight w:val="79"/>
        </w:trPr>
        <w:tc>
          <w:tcPr>
            <w:tcW w:w="1872" w:type="dxa"/>
          </w:tcPr>
          <w:p w:rsidRPr="00B53E9B" w:rsidR="006468C2" w:rsidP="00FE4186" w:rsidRDefault="006468C2" w14:paraId="58F33AD9" w14:textId="77777777">
            <w:pPr>
              <w:pStyle w:val="BodyText"/>
              <w:rPr>
                <w:rFonts w:cs="Arial"/>
                <w:b/>
                <w:bCs/>
                <w:sz w:val="20"/>
              </w:rPr>
            </w:pPr>
            <w:r w:rsidRPr="00B53E9B">
              <w:rPr>
                <w:rFonts w:cs="Arial"/>
                <w:b/>
                <w:bCs/>
                <w:sz w:val="20"/>
              </w:rPr>
              <w:t xml:space="preserve">Stability   </w:t>
            </w:r>
          </w:p>
        </w:tc>
        <w:tc>
          <w:tcPr>
            <w:tcW w:w="8363" w:type="dxa"/>
          </w:tcPr>
          <w:p w:rsidRPr="00377CD0" w:rsidR="006468C2" w:rsidP="00FE4186" w:rsidRDefault="006468C2" w14:paraId="06256EF4" w14:textId="77777777">
            <w:pPr>
              <w:pStyle w:val="BodyText"/>
              <w:rPr>
                <w:rFonts w:cs="Arial"/>
                <w:sz w:val="20"/>
              </w:rPr>
            </w:pPr>
            <w:r w:rsidRPr="00377CD0">
              <w:rPr>
                <w:sz w:val="20"/>
              </w:rPr>
              <w:t>Administer immediately, discard unused portion of reconstituted solution</w:t>
            </w:r>
            <w:r>
              <w:rPr>
                <w:sz w:val="20"/>
              </w:rPr>
              <w:t>.</w:t>
            </w:r>
          </w:p>
        </w:tc>
      </w:tr>
      <w:tr w:rsidRPr="003A7895" w:rsidR="006468C2" w:rsidTr="008D48AE" w14:paraId="284725A2" w14:textId="77777777">
        <w:trPr>
          <w:trHeight w:val="70"/>
        </w:trPr>
        <w:tc>
          <w:tcPr>
            <w:tcW w:w="1872" w:type="dxa"/>
          </w:tcPr>
          <w:p w:rsidRPr="00B53E9B" w:rsidR="006468C2" w:rsidP="00FE4186" w:rsidRDefault="006468C2" w14:paraId="51697C6F" w14:textId="77777777">
            <w:pPr>
              <w:pStyle w:val="BodyText"/>
              <w:rPr>
                <w:rFonts w:cs="Arial"/>
                <w:b/>
                <w:bCs/>
                <w:sz w:val="20"/>
              </w:rPr>
            </w:pPr>
            <w:r w:rsidRPr="00B53E9B">
              <w:rPr>
                <w:rFonts w:cs="Arial"/>
                <w:b/>
                <w:bCs/>
                <w:sz w:val="20"/>
              </w:rPr>
              <w:t xml:space="preserve">Storage             </w:t>
            </w:r>
          </w:p>
        </w:tc>
        <w:tc>
          <w:tcPr>
            <w:tcW w:w="8363" w:type="dxa"/>
          </w:tcPr>
          <w:p w:rsidRPr="00377CD0" w:rsidR="006468C2" w:rsidP="00FE4186" w:rsidRDefault="006468C2" w14:paraId="56D79A4B" w14:textId="77777777">
            <w:pPr>
              <w:pStyle w:val="BodyText"/>
              <w:rPr>
                <w:rFonts w:cs="Arial"/>
                <w:sz w:val="20"/>
              </w:rPr>
            </w:pPr>
            <w:r>
              <w:rPr>
                <w:sz w:val="20"/>
              </w:rPr>
              <w:t>Store below 25</w:t>
            </w:r>
            <w:r w:rsidRPr="00377CD0">
              <w:rPr>
                <w:sz w:val="20"/>
              </w:rPr>
              <w:t>°</w:t>
            </w:r>
            <w:r>
              <w:rPr>
                <w:sz w:val="20"/>
              </w:rPr>
              <w:t xml:space="preserve">C. </w:t>
            </w:r>
            <w:r w:rsidRPr="00377CD0">
              <w:rPr>
                <w:sz w:val="20"/>
              </w:rPr>
              <w:t>Protect from light.</w:t>
            </w:r>
          </w:p>
        </w:tc>
      </w:tr>
      <w:tr w:rsidRPr="003A7895" w:rsidR="006468C2" w:rsidTr="008D48AE" w14:paraId="0C5EF64A" w14:textId="77777777">
        <w:trPr>
          <w:trHeight w:val="70"/>
        </w:trPr>
        <w:tc>
          <w:tcPr>
            <w:tcW w:w="1872" w:type="dxa"/>
          </w:tcPr>
          <w:p w:rsidRPr="00B53E9B" w:rsidR="006468C2" w:rsidP="00FE4186" w:rsidRDefault="006468C2" w14:paraId="4C7B9164" w14:textId="77777777">
            <w:pPr>
              <w:pStyle w:val="BodyText"/>
              <w:rPr>
                <w:rFonts w:cs="Arial"/>
                <w:b/>
                <w:bCs/>
                <w:sz w:val="20"/>
              </w:rPr>
            </w:pPr>
            <w:r w:rsidRPr="00B53E9B">
              <w:rPr>
                <w:rFonts w:cs="Arial"/>
                <w:b/>
                <w:bCs/>
                <w:sz w:val="20"/>
              </w:rPr>
              <w:t>Excipients</w:t>
            </w:r>
          </w:p>
        </w:tc>
        <w:tc>
          <w:tcPr>
            <w:tcW w:w="8363" w:type="dxa"/>
          </w:tcPr>
          <w:p w:rsidRPr="00026F20" w:rsidR="006468C2" w:rsidP="00FE4186" w:rsidRDefault="006468C2" w14:paraId="3B85857E" w14:textId="77777777">
            <w:pPr>
              <w:pStyle w:val="BodyText"/>
              <w:rPr>
                <w:rFonts w:cs="Arial"/>
                <w:sz w:val="20"/>
              </w:rPr>
            </w:pPr>
            <w:r w:rsidRPr="00553237">
              <w:rPr>
                <w:rFonts w:cs="Arial"/>
                <w:sz w:val="20"/>
              </w:rPr>
              <w:t>DBL Vancomycin Hydrochloride, Vancocin CP</w:t>
            </w:r>
            <w:r>
              <w:rPr>
                <w:rFonts w:cs="Arial"/>
                <w:sz w:val="20"/>
              </w:rPr>
              <w:t>: Disodium acetate.</w:t>
            </w:r>
          </w:p>
        </w:tc>
      </w:tr>
      <w:tr w:rsidRPr="003A7895" w:rsidR="006468C2" w:rsidTr="008D48AE" w14:paraId="4074C63E" w14:textId="77777777">
        <w:trPr>
          <w:trHeight w:val="270"/>
        </w:trPr>
        <w:tc>
          <w:tcPr>
            <w:tcW w:w="1872" w:type="dxa"/>
          </w:tcPr>
          <w:p w:rsidRPr="00B53E9B" w:rsidR="006468C2" w:rsidP="00FE4186" w:rsidRDefault="006468C2" w14:paraId="321B1B3F"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363" w:type="dxa"/>
          </w:tcPr>
          <w:p w:rsidRPr="00377CD0" w:rsidR="006468C2" w:rsidP="00FE4186" w:rsidRDefault="006468C2" w14:paraId="54F119BA" w14:textId="77777777">
            <w:pPr>
              <w:pStyle w:val="BodyText"/>
              <w:rPr>
                <w:rFonts w:cs="Arial"/>
                <w:sz w:val="20"/>
              </w:rPr>
            </w:pPr>
            <w:r w:rsidRPr="00377CD0">
              <w:rPr>
                <w:sz w:val="20"/>
              </w:rPr>
              <w:t>Extravasation may cause tissue necrosis</w:t>
            </w:r>
            <w:r>
              <w:rPr>
                <w:sz w:val="20"/>
              </w:rPr>
              <w:t>.</w:t>
            </w:r>
          </w:p>
        </w:tc>
      </w:tr>
      <w:tr w:rsidRPr="003A7895" w:rsidR="006468C2" w:rsidTr="008D48AE" w14:paraId="3EFF62CE" w14:textId="77777777">
        <w:trPr>
          <w:trHeight w:val="280"/>
        </w:trPr>
        <w:tc>
          <w:tcPr>
            <w:tcW w:w="1872" w:type="dxa"/>
          </w:tcPr>
          <w:p w:rsidRPr="00B53E9B" w:rsidR="006468C2" w:rsidP="00FE4186" w:rsidRDefault="006468C2" w14:paraId="5AE611E9" w14:textId="77777777">
            <w:pPr>
              <w:pStyle w:val="BodyText"/>
              <w:rPr>
                <w:rFonts w:cs="Arial"/>
                <w:b/>
                <w:bCs/>
                <w:sz w:val="20"/>
              </w:rPr>
            </w:pPr>
            <w:r w:rsidRPr="00B53E9B">
              <w:rPr>
                <w:rFonts w:cs="Arial"/>
                <w:b/>
                <w:bCs/>
                <w:sz w:val="20"/>
              </w:rPr>
              <w:t xml:space="preserve">Evidence </w:t>
            </w:r>
          </w:p>
        </w:tc>
        <w:tc>
          <w:tcPr>
            <w:tcW w:w="8363" w:type="dxa"/>
          </w:tcPr>
          <w:p w:rsidRPr="00E624F7" w:rsidR="006468C2" w:rsidP="00FE4186" w:rsidRDefault="006468C2" w14:paraId="474A0C3C" w14:textId="77777777">
            <w:pPr>
              <w:pStyle w:val="BodyText"/>
              <w:rPr>
                <w:rFonts w:cs="Arial"/>
                <w:b/>
                <w:sz w:val="16"/>
                <w:szCs w:val="16"/>
              </w:rPr>
            </w:pPr>
            <w:r w:rsidRPr="00E624F7">
              <w:rPr>
                <w:rFonts w:cs="Arial"/>
                <w:b/>
                <w:sz w:val="16"/>
                <w:szCs w:val="16"/>
              </w:rPr>
              <w:t>Pharmacokinetics/pharmacodynamics:</w:t>
            </w:r>
          </w:p>
          <w:p w:rsidRPr="00E624F7" w:rsidR="006468C2" w:rsidP="00FE4186" w:rsidRDefault="006468C2" w14:paraId="7EC4258C" w14:textId="77777777">
            <w:pPr>
              <w:pStyle w:val="BodyText"/>
              <w:rPr>
                <w:rFonts w:cs="Arial"/>
                <w:sz w:val="16"/>
                <w:szCs w:val="16"/>
              </w:rPr>
            </w:pPr>
            <w:r w:rsidRPr="00E624F7">
              <w:rPr>
                <w:rFonts w:cs="Arial"/>
                <w:sz w:val="16"/>
                <w:szCs w:val="16"/>
              </w:rPr>
              <w:t>Vancomycin is water-soluble, has a limited plasma protein binding capacity and is mainly eliminated renally by glomerular filtration, although its elimination is further modulated by renal tubular transport.[1]</w:t>
            </w:r>
          </w:p>
          <w:p w:rsidRPr="00E624F7" w:rsidR="006468C2" w:rsidP="00FE4186" w:rsidRDefault="006468C2" w14:paraId="45E15E33" w14:textId="77777777">
            <w:pPr>
              <w:pStyle w:val="BodyText"/>
              <w:rPr>
                <w:rFonts w:cs="Arial"/>
                <w:sz w:val="16"/>
                <w:szCs w:val="16"/>
              </w:rPr>
            </w:pPr>
            <w:r w:rsidRPr="00E624F7">
              <w:rPr>
                <w:rFonts w:cs="Arial"/>
                <w:sz w:val="16"/>
                <w:szCs w:val="16"/>
              </w:rPr>
              <w:t xml:space="preserve">Vancomycin is active against gram-positive bacteria. </w:t>
            </w:r>
            <w:r w:rsidRPr="00E624F7">
              <w:rPr>
                <w:rFonts w:cs="Arial"/>
                <w:i/>
                <w:sz w:val="16"/>
                <w:szCs w:val="16"/>
              </w:rPr>
              <w:t>Staphylococcus epidermis</w:t>
            </w:r>
            <w:r w:rsidRPr="00E624F7">
              <w:rPr>
                <w:rFonts w:cs="Arial"/>
                <w:sz w:val="16"/>
                <w:szCs w:val="16"/>
              </w:rPr>
              <w:t xml:space="preserve">, including methicillin-resistant strains, are inhibited by vancomycin concentrations of 1–4 mg/mL; </w:t>
            </w:r>
            <w:r w:rsidRPr="00E624F7">
              <w:rPr>
                <w:rFonts w:cs="Arial"/>
                <w:i/>
                <w:sz w:val="16"/>
                <w:szCs w:val="16"/>
              </w:rPr>
              <w:t>Staphylococcus pyogenes</w:t>
            </w:r>
            <w:r w:rsidRPr="00E624F7">
              <w:rPr>
                <w:rFonts w:cs="Arial"/>
                <w:sz w:val="16"/>
                <w:szCs w:val="16"/>
              </w:rPr>
              <w:t xml:space="preserve">, </w:t>
            </w:r>
            <w:r w:rsidRPr="00E624F7">
              <w:rPr>
                <w:rFonts w:cs="Arial"/>
                <w:i/>
                <w:sz w:val="16"/>
                <w:szCs w:val="16"/>
              </w:rPr>
              <w:t>Streptococcus pneumoniae</w:t>
            </w:r>
            <w:r w:rsidRPr="00E624F7">
              <w:rPr>
                <w:rFonts w:cs="Arial"/>
                <w:sz w:val="16"/>
                <w:szCs w:val="16"/>
              </w:rPr>
              <w:t xml:space="preserve">, and </w:t>
            </w:r>
            <w:r w:rsidRPr="00E624F7">
              <w:rPr>
                <w:rFonts w:cs="Arial"/>
                <w:i/>
                <w:sz w:val="16"/>
                <w:szCs w:val="16"/>
              </w:rPr>
              <w:t>Streptococcus viridans</w:t>
            </w:r>
            <w:r w:rsidRPr="00E624F7">
              <w:rPr>
                <w:rFonts w:cs="Arial"/>
                <w:sz w:val="16"/>
                <w:szCs w:val="16"/>
              </w:rPr>
              <w:t xml:space="preserve"> are susceptible to 2 mg/mL; </w:t>
            </w:r>
            <w:r w:rsidRPr="00E624F7">
              <w:rPr>
                <w:rFonts w:cs="Arial"/>
                <w:i/>
                <w:sz w:val="16"/>
                <w:szCs w:val="16"/>
              </w:rPr>
              <w:t>Bacillus</w:t>
            </w:r>
            <w:r w:rsidRPr="00E624F7">
              <w:rPr>
                <w:rFonts w:cs="Arial"/>
                <w:sz w:val="16"/>
                <w:szCs w:val="16"/>
              </w:rPr>
              <w:t xml:space="preserve"> spp. are inhibited by 2 mg/mL, and </w:t>
            </w:r>
            <w:r w:rsidRPr="00E624F7">
              <w:rPr>
                <w:rFonts w:cs="Arial"/>
                <w:i/>
                <w:sz w:val="16"/>
                <w:szCs w:val="16"/>
              </w:rPr>
              <w:t>Clostridium</w:t>
            </w:r>
            <w:r w:rsidRPr="00E624F7">
              <w:rPr>
                <w:rFonts w:cs="Arial"/>
                <w:sz w:val="16"/>
                <w:szCs w:val="16"/>
              </w:rPr>
              <w:t xml:space="preserve"> spp. by 0.39–6 mg/mL.[1] </w:t>
            </w:r>
          </w:p>
          <w:p w:rsidRPr="00E624F7" w:rsidR="006468C2" w:rsidP="00FE4186" w:rsidRDefault="006468C2" w14:paraId="71E7AB8F" w14:textId="77777777">
            <w:pPr>
              <w:pStyle w:val="BodyText"/>
              <w:rPr>
                <w:rFonts w:cs="Arial"/>
                <w:sz w:val="16"/>
                <w:szCs w:val="16"/>
              </w:rPr>
            </w:pPr>
            <w:r w:rsidRPr="00E624F7">
              <w:rPr>
                <w:rFonts w:cs="Arial"/>
                <w:sz w:val="16"/>
                <w:szCs w:val="16"/>
              </w:rPr>
              <w:t>Pharmacokinetic studies demonstrate variability, which is only in part explained by weight, age, or creatinine level.[1-4] This variability necessitates the use of therapeutic drug monitoring (TDM) of trough concentrations to ensure effectiveness and avoid nephrotoxicity. In contrast, the quantification of peak concentrations may provide no additional monitoring value.[1]</w:t>
            </w:r>
          </w:p>
          <w:p w:rsidRPr="00E624F7" w:rsidR="006468C2" w:rsidP="00FE4186" w:rsidRDefault="006468C2" w14:paraId="5FAD6F67" w14:textId="77777777">
            <w:pPr>
              <w:pStyle w:val="BodyText"/>
              <w:rPr>
                <w:rFonts w:cs="Arial"/>
                <w:sz w:val="16"/>
                <w:szCs w:val="16"/>
              </w:rPr>
            </w:pPr>
            <w:r w:rsidRPr="00E624F7">
              <w:rPr>
                <w:rFonts w:cs="Arial"/>
                <w:sz w:val="16"/>
                <w:szCs w:val="16"/>
              </w:rPr>
              <w:t xml:space="preserve">Because vancomycin activity against </w:t>
            </w:r>
            <w:r w:rsidRPr="00E624F7">
              <w:rPr>
                <w:rFonts w:cs="Arial"/>
                <w:i/>
                <w:sz w:val="16"/>
                <w:szCs w:val="16"/>
              </w:rPr>
              <w:t>S. aureus</w:t>
            </w:r>
            <w:r w:rsidRPr="00E624F7">
              <w:rPr>
                <w:rFonts w:cs="Arial"/>
                <w:sz w:val="16"/>
                <w:szCs w:val="16"/>
              </w:rPr>
              <w:t xml:space="preserve"> is primarily exposure-dependent, the 24-hour area under the concentration-time curve (AUC</w:t>
            </w:r>
            <w:r w:rsidRPr="00E624F7">
              <w:rPr>
                <w:rFonts w:cs="Arial"/>
                <w:sz w:val="16"/>
                <w:szCs w:val="16"/>
                <w:vertAlign w:val="subscript"/>
              </w:rPr>
              <w:t>0-24</w:t>
            </w:r>
            <w:r w:rsidRPr="00E624F7">
              <w:rPr>
                <w:rFonts w:cs="Arial"/>
                <w:sz w:val="16"/>
                <w:szCs w:val="16"/>
              </w:rPr>
              <w:t>) divided by the MIC (AUC</w:t>
            </w:r>
            <w:r w:rsidRPr="00E624F7">
              <w:rPr>
                <w:rFonts w:cs="Arial"/>
                <w:sz w:val="16"/>
                <w:szCs w:val="16"/>
                <w:vertAlign w:val="subscript"/>
              </w:rPr>
              <w:t>0-24</w:t>
            </w:r>
            <w:r w:rsidRPr="00E624F7">
              <w:rPr>
                <w:rFonts w:cs="Arial"/>
                <w:sz w:val="16"/>
                <w:szCs w:val="16"/>
              </w:rPr>
              <w:t>/MIC) is a better predictor of efficacy. In adults with</w:t>
            </w:r>
            <w:r w:rsidRPr="00E624F7">
              <w:rPr>
                <w:rFonts w:cs="Arial"/>
                <w:i/>
                <w:sz w:val="16"/>
                <w:szCs w:val="16"/>
              </w:rPr>
              <w:t xml:space="preserve"> S. aureus</w:t>
            </w:r>
            <w:r w:rsidRPr="00E624F7">
              <w:rPr>
                <w:rFonts w:cs="Arial"/>
                <w:sz w:val="16"/>
                <w:szCs w:val="16"/>
              </w:rPr>
              <w:t xml:space="preserve"> MIC values less than 1 mg/ml, trough concentrations &gt;10 mg/ml result in AUC</w:t>
            </w:r>
            <w:r w:rsidRPr="00E624F7">
              <w:rPr>
                <w:rFonts w:cs="Arial"/>
                <w:sz w:val="16"/>
                <w:szCs w:val="16"/>
                <w:vertAlign w:val="subscript"/>
              </w:rPr>
              <w:t>0-24</w:t>
            </w:r>
            <w:r w:rsidRPr="00E624F7">
              <w:rPr>
                <w:rFonts w:cs="Arial"/>
                <w:sz w:val="16"/>
                <w:szCs w:val="16"/>
              </w:rPr>
              <w:t xml:space="preserve">/MIC values &gt;400.[1] </w:t>
            </w:r>
          </w:p>
          <w:p w:rsidRPr="00E624F7" w:rsidR="006468C2" w:rsidP="00FE4186" w:rsidRDefault="006468C2" w14:paraId="1B97B656" w14:textId="77777777">
            <w:pPr>
              <w:pStyle w:val="BodyText"/>
              <w:rPr>
                <w:rFonts w:cs="Arial"/>
                <w:sz w:val="16"/>
                <w:szCs w:val="16"/>
              </w:rPr>
            </w:pPr>
            <w:r w:rsidRPr="00E624F7">
              <w:rPr>
                <w:rFonts w:cs="Arial"/>
                <w:sz w:val="16"/>
                <w:szCs w:val="16"/>
              </w:rPr>
              <w:t xml:space="preserve">In neonates, an RCT [5] compared intermittent intravenous (IV) dosing using the British Neonatal Formulary (BNF) dosage guideline versus continuous IV [loading dose of 15 mg/kg over 1 hour then continuous infusion: </w:t>
            </w:r>
          </w:p>
          <w:p w:rsidRPr="00E624F7" w:rsidR="006468C2" w:rsidP="00FE4186" w:rsidRDefault="006468C2" w14:paraId="263AB4A5" w14:textId="77777777">
            <w:pPr>
              <w:pStyle w:val="BodyText"/>
              <w:rPr>
                <w:rFonts w:cs="Arial"/>
                <w:sz w:val="16"/>
                <w:szCs w:val="16"/>
              </w:rPr>
            </w:pPr>
            <w:r w:rsidRPr="00E624F7">
              <w:rPr>
                <w:rFonts w:cs="Arial"/>
                <w:sz w:val="16"/>
                <w:szCs w:val="16"/>
              </w:rPr>
              <w:t>S creatinine &lt;40 micromol/L &amp; cGA ≥40 = 50 mg/kg/day;</w:t>
            </w:r>
          </w:p>
          <w:p w:rsidRPr="00E624F7" w:rsidR="006468C2" w:rsidP="00FE4186" w:rsidRDefault="006468C2" w14:paraId="3530E8A5" w14:textId="77777777">
            <w:pPr>
              <w:pStyle w:val="BodyText"/>
              <w:rPr>
                <w:rFonts w:cs="Arial"/>
                <w:sz w:val="16"/>
                <w:szCs w:val="16"/>
              </w:rPr>
            </w:pPr>
            <w:r w:rsidRPr="00E624F7">
              <w:rPr>
                <w:rFonts w:cs="Arial"/>
                <w:sz w:val="16"/>
                <w:szCs w:val="16"/>
              </w:rPr>
              <w:t xml:space="preserve">S creatinine &lt;40 micromol/L &amp; cGA &lt;40 = 40 mg/kg/day; </w:t>
            </w:r>
          </w:p>
          <w:p w:rsidRPr="00E624F7" w:rsidR="006468C2" w:rsidP="00FE4186" w:rsidRDefault="006468C2" w14:paraId="3059DF74" w14:textId="77777777">
            <w:pPr>
              <w:pStyle w:val="BodyText"/>
              <w:rPr>
                <w:rFonts w:cs="Arial"/>
                <w:sz w:val="16"/>
                <w:szCs w:val="16"/>
              </w:rPr>
            </w:pPr>
            <w:r w:rsidRPr="00E624F7">
              <w:rPr>
                <w:rFonts w:cs="Arial"/>
                <w:sz w:val="16"/>
                <w:szCs w:val="16"/>
              </w:rPr>
              <w:t xml:space="preserve">S creatinine 40-60 micromol/L &amp; cGA All = 30 mg/kg/day; </w:t>
            </w:r>
          </w:p>
          <w:p w:rsidRPr="00E624F7" w:rsidR="006468C2" w:rsidP="00FE4186" w:rsidRDefault="006468C2" w14:paraId="02DE32FF" w14:textId="77777777">
            <w:pPr>
              <w:pStyle w:val="BodyText"/>
              <w:rPr>
                <w:rFonts w:cs="Arial"/>
                <w:sz w:val="16"/>
                <w:szCs w:val="16"/>
              </w:rPr>
            </w:pPr>
            <w:r w:rsidRPr="00E624F7">
              <w:rPr>
                <w:rFonts w:cs="Arial"/>
                <w:sz w:val="16"/>
                <w:szCs w:val="16"/>
              </w:rPr>
              <w:t>S creatinine &gt;60 micromol/L &amp; cGA All = 20 mg/kg/day.</w:t>
            </w:r>
          </w:p>
          <w:p w:rsidRPr="00E624F7" w:rsidR="006468C2" w:rsidP="00FE4186" w:rsidRDefault="006468C2" w14:paraId="2157098D" w14:textId="77777777">
            <w:pPr>
              <w:pStyle w:val="BodyText"/>
              <w:rPr>
                <w:rFonts w:cs="Arial"/>
                <w:sz w:val="16"/>
                <w:szCs w:val="16"/>
              </w:rPr>
            </w:pPr>
          </w:p>
          <w:p w:rsidRPr="00E624F7" w:rsidR="006468C2" w:rsidP="00FE4186" w:rsidRDefault="006468C2" w14:paraId="23162072" w14:textId="77777777">
            <w:pPr>
              <w:pStyle w:val="BodyText"/>
              <w:rPr>
                <w:rFonts w:cs="Arial"/>
                <w:sz w:val="16"/>
                <w:szCs w:val="16"/>
              </w:rPr>
            </w:pPr>
            <w:r w:rsidRPr="00E624F7">
              <w:rPr>
                <w:rFonts w:cs="Arial"/>
                <w:sz w:val="16"/>
                <w:szCs w:val="16"/>
              </w:rPr>
              <w:t xml:space="preserve">The target trough level for intermittent IV dosing was 10 to 20 mg/L and steady-state level for continuous IV 15 to 25mg/L. Target concentrations at the first steady-state level was higher for continuous IV compared with intermittent IV (45/53 (85%) vs 21/51 (41%); p &lt;0.001). Fewer dose adjustments were required in the continuous IV. The mean daily dose required to achieve target concentrations was lower with continuous IV (40.6 vs 60.6 mg/kg/day; p=0.01). No nephrotoxicity or red man syndrome occurred in either group. Conclusion: Continuous infusion of vancomycin achieves target concentrations more reliably at a lower total daily dose. [LOE II] </w:t>
            </w:r>
          </w:p>
          <w:p w:rsidRPr="00E624F7" w:rsidR="006468C2" w:rsidP="00FE4186" w:rsidRDefault="006468C2" w14:paraId="22E78511" w14:textId="77777777">
            <w:pPr>
              <w:pStyle w:val="BodyText"/>
              <w:rPr>
                <w:rFonts w:cs="Arial"/>
                <w:sz w:val="16"/>
                <w:szCs w:val="16"/>
              </w:rPr>
            </w:pPr>
            <w:r w:rsidRPr="00E624F7">
              <w:rPr>
                <w:rFonts w:cs="Arial"/>
                <w:sz w:val="16"/>
                <w:szCs w:val="16"/>
              </w:rPr>
              <w:t>There are few case reports of vancomycin cerebrospinal fluid concentrations with reported CSF penetration rates ranging from 7 to 42%.[1]</w:t>
            </w:r>
          </w:p>
          <w:p w:rsidRPr="00E624F7" w:rsidR="006468C2" w:rsidP="00FE4186" w:rsidRDefault="006468C2" w14:paraId="26E893E0" w14:textId="77777777">
            <w:pPr>
              <w:pStyle w:val="BodyText"/>
              <w:rPr>
                <w:rFonts w:cs="Arial"/>
                <w:sz w:val="16"/>
                <w:szCs w:val="16"/>
              </w:rPr>
            </w:pPr>
            <w:r w:rsidRPr="00E624F7">
              <w:rPr>
                <w:rFonts w:cs="Arial"/>
                <w:sz w:val="16"/>
                <w:szCs w:val="16"/>
              </w:rPr>
              <w:t>For peak-trough dosing of intermittent vancomycin, dosing has typically been designed to achieve a peak concentration 20-40 mg/L and a trough 10-15 or 15-20 mg/L, depending on the severity of the infection and the nature of the pathogen. [22] Peak concentrations &gt;40 mg/L are rarely reported except in infants with impaired renal function. [23] Patients with renal failure and other special subpopulations, such as patients exposed to ECMO or indomethacin, need to be monitored more closely. [23]</w:t>
            </w:r>
          </w:p>
          <w:p w:rsidRPr="00E624F7" w:rsidR="006468C2" w:rsidP="00FE4186" w:rsidRDefault="006468C2" w14:paraId="437DC2C7" w14:textId="77777777">
            <w:pPr>
              <w:pStyle w:val="BodyText"/>
              <w:rPr>
                <w:rFonts w:cs="Arial"/>
                <w:sz w:val="16"/>
                <w:szCs w:val="16"/>
              </w:rPr>
            </w:pPr>
            <w:r w:rsidRPr="00E624F7">
              <w:rPr>
                <w:rFonts w:cs="Arial"/>
                <w:sz w:val="16"/>
                <w:szCs w:val="16"/>
              </w:rPr>
              <w:t>Multiple studies of vancomycin use have found that previously recommended dosing regimens often do not achieve designated therapeutic ranges.[24] Overall, population pharmacokinetic models contain sufficient levels of unexplained variability to warrant continued TDM for post hoc dose adjustment to achieve a given pharmacodynamic  target concentration.[24] However, an external validation analysis across multiple population pharmacokinetic models found that most models led to ‘acceptable’ vancomycin concentrations in neonates.[25] The ANMF has adapted the documented regimen of Roberts et al 2014.[24]</w:t>
            </w:r>
          </w:p>
          <w:p w:rsidRPr="00E624F7" w:rsidR="006468C2" w:rsidP="00FE4186" w:rsidRDefault="006468C2" w14:paraId="4AA6344B" w14:textId="77777777">
            <w:pPr>
              <w:pStyle w:val="BodyText"/>
              <w:rPr>
                <w:rFonts w:cs="Arial"/>
                <w:b/>
                <w:sz w:val="16"/>
                <w:szCs w:val="16"/>
              </w:rPr>
            </w:pPr>
          </w:p>
          <w:p w:rsidRPr="00E624F7" w:rsidR="006468C2" w:rsidP="00FE4186" w:rsidRDefault="006468C2" w14:paraId="6530FF94" w14:textId="77777777">
            <w:pPr>
              <w:pStyle w:val="BodyText"/>
              <w:rPr>
                <w:rFonts w:cs="Arial"/>
                <w:sz w:val="16"/>
                <w:szCs w:val="16"/>
              </w:rPr>
            </w:pPr>
            <w:r w:rsidRPr="00E624F7">
              <w:rPr>
                <w:rFonts w:cs="Arial"/>
                <w:b/>
                <w:sz w:val="16"/>
                <w:szCs w:val="16"/>
              </w:rPr>
              <w:t>Efficacy:</w:t>
            </w:r>
            <w:r w:rsidRPr="00E624F7">
              <w:rPr>
                <w:rFonts w:cs="Arial"/>
                <w:sz w:val="16"/>
                <w:szCs w:val="16"/>
              </w:rPr>
              <w:t xml:space="preserve"> </w:t>
            </w:r>
          </w:p>
          <w:p w:rsidRPr="00E624F7" w:rsidR="006468C2" w:rsidP="00FE4186" w:rsidRDefault="006468C2" w14:paraId="23C9C4E8" w14:textId="77777777">
            <w:pPr>
              <w:pStyle w:val="BodyText"/>
              <w:rPr>
                <w:rFonts w:cs="Arial"/>
                <w:sz w:val="16"/>
                <w:szCs w:val="16"/>
              </w:rPr>
            </w:pPr>
            <w:r w:rsidRPr="00E624F7">
              <w:rPr>
                <w:rFonts w:cs="Arial"/>
                <w:sz w:val="16"/>
                <w:szCs w:val="16"/>
              </w:rPr>
              <w:t>Clinical trials of vancomycin in newborn infants are largely underpowered so the relative efficacy of various antibiotic strategies is unclear. Concerns regarding the potential for antibiotic resistance developing result in recommendations to avoid the use of prophylactic antibiotics and limit the duration of antibiotics where possible.[6, 7]</w:t>
            </w:r>
          </w:p>
          <w:p w:rsidRPr="00E624F7" w:rsidR="006468C2" w:rsidP="00FE4186" w:rsidRDefault="006468C2" w14:paraId="0E93C097" w14:textId="77777777">
            <w:pPr>
              <w:pStyle w:val="BodyText"/>
              <w:rPr>
                <w:rFonts w:cs="Arial"/>
                <w:sz w:val="16"/>
                <w:szCs w:val="16"/>
              </w:rPr>
            </w:pPr>
          </w:p>
          <w:p w:rsidRPr="00E624F7" w:rsidR="006468C2" w:rsidP="00FE4186" w:rsidRDefault="006468C2" w14:paraId="55501F32" w14:textId="77777777">
            <w:pPr>
              <w:pStyle w:val="BodyText"/>
              <w:rPr>
                <w:rFonts w:cs="Arial"/>
                <w:sz w:val="16"/>
                <w:szCs w:val="16"/>
              </w:rPr>
            </w:pPr>
            <w:r w:rsidRPr="00E624F7">
              <w:rPr>
                <w:rFonts w:cs="Arial"/>
                <w:b/>
                <w:sz w:val="16"/>
                <w:szCs w:val="16"/>
              </w:rPr>
              <w:t>Treatment of neonatal suspected sepsis:</w:t>
            </w:r>
            <w:r w:rsidRPr="00E624F7">
              <w:rPr>
                <w:rFonts w:cs="Arial"/>
                <w:sz w:val="16"/>
                <w:szCs w:val="16"/>
              </w:rPr>
              <w:t xml:space="preserve"> Two RCTs have compared the efficacy of vancomycin to other antibiotics in newborns with suspected sepsis [8, 9] Deville et al 2003 [9] reported 63 neonates randomised 2:1 to linezolid (n = 43) or vancomycin (n = 20) with no significant difference in clinical cure rates (78% vs. 61%; P = 0.196). Cernadas et al 2014 [8] reported 109 newborns randomised to cefazolin (52) or vancomycin (57) with no significant difference in rate of adequate outcome (no clinical signs, negative culture and normal laboratory test: cefazolin 92% versus vancomycin 86%) or mortality (cefazolin 7 (13.5%) versus vancomycin 11 (19.2%); p=0.45). </w:t>
            </w:r>
          </w:p>
          <w:p w:rsidRPr="00E624F7" w:rsidR="006468C2" w:rsidP="00FE4186" w:rsidRDefault="006468C2" w14:paraId="7DC99FCC" w14:textId="77777777">
            <w:pPr>
              <w:pStyle w:val="BodyText"/>
              <w:rPr>
                <w:rFonts w:cs="Arial"/>
                <w:sz w:val="16"/>
                <w:szCs w:val="16"/>
              </w:rPr>
            </w:pPr>
            <w:r w:rsidRPr="00E624F7">
              <w:rPr>
                <w:rFonts w:cs="Arial"/>
                <w:sz w:val="16"/>
                <w:szCs w:val="16"/>
              </w:rPr>
              <w:lastRenderedPageBreak/>
              <w:t xml:space="preserve">Gwee et al 2018 [5] compared intermittent intravenous (IV) dosing using the British Neonatal Formulary (BNF) dosage guidance versus continuous IV [loading dose of 15mg/kg over 1 hour then continuous infusion). There was no difference in time to clearance of organism or mortality. </w:t>
            </w:r>
          </w:p>
          <w:p w:rsidRPr="00E624F7" w:rsidR="006468C2" w:rsidP="00FE4186" w:rsidRDefault="006468C2" w14:paraId="3B043EC2" w14:textId="77777777">
            <w:pPr>
              <w:pStyle w:val="BodyText"/>
              <w:rPr>
                <w:rFonts w:cs="Arial"/>
                <w:sz w:val="16"/>
                <w:szCs w:val="16"/>
              </w:rPr>
            </w:pPr>
          </w:p>
          <w:p w:rsidRPr="00E624F7" w:rsidR="006468C2" w:rsidP="00FE4186" w:rsidRDefault="006468C2" w14:paraId="2CE876D0" w14:textId="77777777">
            <w:pPr>
              <w:pStyle w:val="BodyText"/>
              <w:rPr>
                <w:rFonts w:cs="Arial"/>
                <w:sz w:val="16"/>
                <w:szCs w:val="16"/>
              </w:rPr>
            </w:pPr>
            <w:r w:rsidRPr="00E624F7">
              <w:rPr>
                <w:rFonts w:cs="Arial"/>
                <w:b/>
                <w:sz w:val="16"/>
                <w:szCs w:val="16"/>
              </w:rPr>
              <w:t>Intraventricular antibiotics for bacterial meningitis in neonates:</w:t>
            </w:r>
            <w:r w:rsidRPr="00E624F7">
              <w:rPr>
                <w:rFonts w:cs="Arial"/>
                <w:sz w:val="16"/>
                <w:szCs w:val="16"/>
              </w:rPr>
              <w:t xml:space="preserve"> In a single trial that enrolled infants with gram‐negative meningitis and ventriculitis, the use of intraventricular gentamicin in addition to intravenous antibiotics resulted in a three‐fold increased RR for mortality compared to standard treatment with intravenous antibiotics alone. No trial used intraventricular vancomycin. Based on this result, intraventricular antibiotics as tested in this trial should be avoided.[10] Arnell et al 2007 [11] reported 10 children (0 to 15 years) with intraventricular shunt infections initially treated with IV antibiotics for at least 3 days, but this treatment did not sterilise the CSF. After externalisation of the ventricular catheter, high-dose intraventricular treatment with daily instillations of vancomycin or gentamicin with trough concentrations held at high levels of 7 to 17 mg/L for both antibiotic agents resulted in quick sterilisation of the CSF, a low relapse rate, and survival of all patients. The intraventricular vancomycin dose varied between 1 and 10 mg per day. [LOE IV]</w:t>
            </w:r>
          </w:p>
          <w:p w:rsidRPr="00E624F7" w:rsidR="006468C2" w:rsidP="00FE4186" w:rsidRDefault="006468C2" w14:paraId="6D22D756" w14:textId="77777777">
            <w:pPr>
              <w:pStyle w:val="BodyText"/>
              <w:rPr>
                <w:rFonts w:cs="Arial"/>
                <w:sz w:val="16"/>
                <w:szCs w:val="16"/>
              </w:rPr>
            </w:pPr>
          </w:p>
          <w:p w:rsidRPr="00E624F7" w:rsidR="006468C2" w:rsidP="00FE4186" w:rsidRDefault="006468C2" w14:paraId="6CABECE9" w14:textId="77777777">
            <w:pPr>
              <w:pStyle w:val="BodyText"/>
              <w:rPr>
                <w:rFonts w:cs="Arial"/>
                <w:sz w:val="16"/>
                <w:szCs w:val="16"/>
              </w:rPr>
            </w:pPr>
            <w:r w:rsidRPr="00E624F7">
              <w:rPr>
                <w:rFonts w:cs="Arial"/>
                <w:b/>
                <w:sz w:val="16"/>
                <w:szCs w:val="16"/>
              </w:rPr>
              <w:t>Prevention of infection:</w:t>
            </w:r>
            <w:r w:rsidRPr="00E624F7">
              <w:rPr>
                <w:rFonts w:cs="Arial"/>
                <w:sz w:val="16"/>
                <w:szCs w:val="16"/>
              </w:rPr>
              <w:t xml:space="preserve"> Systematic review of 2 RCTs found prophylactic systemic antibiotics in neonates with a central venous catheter reduces the rate of proven or suspected septicaemia. However, there was no significant difference in mortality, a lack of data on long-term neurodevelopmental outcome and of data pertaining to the potentially significant disadvantages of this approach such as the selection of resistant organisms. The routine use of prophylactic antibiotics in infants with central venous catheters in neonatal units cannot currently be recommended. [12] [LOE I GOR D] Three other RCTs have also reported similar effects of prophylactic vancomycin in infants with or without central lines.[13-15]</w:t>
            </w:r>
          </w:p>
          <w:p w:rsidRPr="00E624F7" w:rsidR="006468C2" w:rsidP="00FE4186" w:rsidRDefault="006468C2" w14:paraId="1AAC8B6D" w14:textId="77777777">
            <w:pPr>
              <w:pStyle w:val="BodyText"/>
              <w:rPr>
                <w:rFonts w:cs="Arial"/>
                <w:sz w:val="16"/>
                <w:szCs w:val="16"/>
              </w:rPr>
            </w:pPr>
          </w:p>
          <w:p w:rsidRPr="00E624F7" w:rsidR="006468C2" w:rsidP="00FE4186" w:rsidRDefault="006468C2" w14:paraId="686D93E9" w14:textId="77777777">
            <w:pPr>
              <w:pStyle w:val="BodyText"/>
              <w:rPr>
                <w:rFonts w:cs="Arial"/>
                <w:sz w:val="16"/>
                <w:szCs w:val="16"/>
              </w:rPr>
            </w:pPr>
            <w:r w:rsidRPr="00E624F7">
              <w:rPr>
                <w:rFonts w:cs="Arial"/>
                <w:b/>
                <w:sz w:val="16"/>
                <w:szCs w:val="16"/>
              </w:rPr>
              <w:t>Newborn infants with necrotising enterocolitis:</w:t>
            </w:r>
            <w:r w:rsidRPr="00E624F7">
              <w:rPr>
                <w:rFonts w:cs="Arial"/>
                <w:sz w:val="16"/>
                <w:szCs w:val="16"/>
              </w:rPr>
              <w:t xml:space="preserve"> No trial included use of vancomycin.[16] </w:t>
            </w:r>
          </w:p>
          <w:p w:rsidRPr="00E624F7" w:rsidR="006468C2" w:rsidP="00FE4186" w:rsidRDefault="006468C2" w14:paraId="4ED03E24" w14:textId="77777777">
            <w:pPr>
              <w:pStyle w:val="BodyText"/>
              <w:rPr>
                <w:rFonts w:cs="Arial"/>
                <w:sz w:val="16"/>
                <w:szCs w:val="16"/>
              </w:rPr>
            </w:pPr>
            <w:r w:rsidRPr="00E624F7">
              <w:rPr>
                <w:rFonts w:cs="Arial"/>
                <w:b/>
                <w:sz w:val="16"/>
                <w:szCs w:val="16"/>
              </w:rPr>
              <w:t>Prevention of necrotising enterocolitis:</w:t>
            </w:r>
            <w:r w:rsidRPr="00E624F7">
              <w:rPr>
                <w:rFonts w:cs="Arial"/>
                <w:sz w:val="16"/>
                <w:szCs w:val="16"/>
              </w:rPr>
              <w:t xml:space="preserve"> Prophylactic oral vancomycin reduced the incidence of NEC in low birth weight infants. However concerns about adverse outcomes persist, particularly related to the development of resistant bacteria. [17, 18] [LOE II GOR D]</w:t>
            </w:r>
          </w:p>
          <w:p w:rsidRPr="00E624F7" w:rsidR="006468C2" w:rsidP="00FE4186" w:rsidRDefault="006468C2" w14:paraId="25ECC585" w14:textId="77777777">
            <w:pPr>
              <w:pStyle w:val="BodyText"/>
              <w:rPr>
                <w:rFonts w:cs="Arial"/>
                <w:sz w:val="16"/>
                <w:szCs w:val="16"/>
              </w:rPr>
            </w:pPr>
          </w:p>
          <w:p w:rsidRPr="00E624F7" w:rsidR="006468C2" w:rsidP="00FE4186" w:rsidRDefault="006468C2" w14:paraId="07623C03" w14:textId="77777777">
            <w:pPr>
              <w:pStyle w:val="BodyText"/>
              <w:rPr>
                <w:rFonts w:cs="Arial"/>
                <w:sz w:val="16"/>
                <w:szCs w:val="16"/>
              </w:rPr>
            </w:pPr>
            <w:r w:rsidRPr="00E624F7">
              <w:rPr>
                <w:rFonts w:cs="Arial"/>
                <w:b/>
                <w:sz w:val="16"/>
                <w:szCs w:val="16"/>
              </w:rPr>
              <w:t>Therapeutic hypothermia (TH):</w:t>
            </w:r>
            <w:r w:rsidRPr="00E624F7">
              <w:rPr>
                <w:rFonts w:cs="Arial"/>
                <w:sz w:val="16"/>
                <w:szCs w:val="16"/>
              </w:rPr>
              <w:t xml:space="preserve"> There are no published data regarding the use of vancomycin during treatment with TH in neonates. A population pharmacokinetic study from children who were being treated with TH post cardiac arrest compared with normothermic controls indicated that in patients with normal renal function vancomycin clearance was reduced by 25%.</w:t>
            </w:r>
            <w:r w:rsidRPr="00E624F7">
              <w:rPr>
                <w:rFonts w:cs="Arial"/>
                <w:sz w:val="16"/>
                <w:szCs w:val="16"/>
                <w:vertAlign w:val="superscript"/>
              </w:rPr>
              <w:t>27</w:t>
            </w:r>
            <w:r w:rsidRPr="00E624F7">
              <w:rPr>
                <w:rFonts w:cs="Arial"/>
                <w:sz w:val="16"/>
                <w:szCs w:val="16"/>
              </w:rPr>
              <w:t xml:space="preserve">  </w:t>
            </w:r>
          </w:p>
          <w:p w:rsidRPr="00E624F7" w:rsidR="006468C2" w:rsidP="00FE4186" w:rsidRDefault="006468C2" w14:paraId="5EA4F782" w14:textId="77777777">
            <w:pPr>
              <w:pStyle w:val="BodyText"/>
              <w:rPr>
                <w:rFonts w:cs="Arial"/>
                <w:sz w:val="16"/>
                <w:szCs w:val="16"/>
              </w:rPr>
            </w:pPr>
            <w:r w:rsidRPr="00E624F7">
              <w:rPr>
                <w:rFonts w:cs="Arial"/>
                <w:sz w:val="16"/>
                <w:szCs w:val="16"/>
              </w:rPr>
              <w:t>ANMF group Recommendation: In infants being treated with TH measure a trough concentration immediately prior to the second dose.</w:t>
            </w:r>
          </w:p>
          <w:p w:rsidRPr="00E624F7" w:rsidR="006468C2" w:rsidP="00FE4186" w:rsidRDefault="006468C2" w14:paraId="79B82DCF" w14:textId="77777777">
            <w:pPr>
              <w:pStyle w:val="BodyText"/>
              <w:rPr>
                <w:rFonts w:cs="Arial"/>
                <w:b/>
                <w:sz w:val="16"/>
                <w:szCs w:val="16"/>
              </w:rPr>
            </w:pPr>
          </w:p>
          <w:p w:rsidRPr="00E624F7" w:rsidR="006468C2" w:rsidP="00FE4186" w:rsidRDefault="006468C2" w14:paraId="29C25A82" w14:textId="77777777">
            <w:pPr>
              <w:pStyle w:val="BodyText"/>
              <w:rPr>
                <w:rFonts w:cs="Arial"/>
                <w:sz w:val="16"/>
                <w:szCs w:val="16"/>
              </w:rPr>
            </w:pPr>
            <w:r w:rsidRPr="00E624F7">
              <w:rPr>
                <w:rFonts w:cs="Arial"/>
                <w:b/>
                <w:sz w:val="16"/>
                <w:szCs w:val="16"/>
              </w:rPr>
              <w:t>Safety:</w:t>
            </w:r>
            <w:r w:rsidRPr="00E624F7">
              <w:rPr>
                <w:rFonts w:cs="Arial"/>
                <w:sz w:val="16"/>
                <w:szCs w:val="16"/>
              </w:rPr>
              <w:t xml:space="preserve"> </w:t>
            </w:r>
          </w:p>
          <w:p w:rsidRPr="00E624F7" w:rsidR="006468C2" w:rsidP="00FE4186" w:rsidRDefault="006468C2" w14:paraId="2016EDE4" w14:textId="77777777">
            <w:pPr>
              <w:pStyle w:val="BodyText"/>
              <w:rPr>
                <w:rFonts w:cs="Arial"/>
                <w:sz w:val="16"/>
                <w:szCs w:val="16"/>
              </w:rPr>
            </w:pPr>
            <w:r w:rsidRPr="00E624F7">
              <w:rPr>
                <w:rFonts w:cs="Arial"/>
                <w:sz w:val="16"/>
                <w:szCs w:val="16"/>
              </w:rPr>
              <w:t xml:space="preserve">Risk factors for developing nephrotoxicity are the following: trough concentrations &gt;10 mg/ml, concomitant treatment with aminoglycosides, piperacillin/tazobactam and/or prolonged therapy (&gt;21 days).[1] </w:t>
            </w:r>
          </w:p>
          <w:p w:rsidRPr="00E624F7" w:rsidR="006468C2" w:rsidP="00FE4186" w:rsidRDefault="006468C2" w14:paraId="2AB1144E" w14:textId="77777777">
            <w:pPr>
              <w:pStyle w:val="BodyText"/>
              <w:rPr>
                <w:rFonts w:cs="Arial"/>
                <w:sz w:val="16"/>
                <w:szCs w:val="16"/>
              </w:rPr>
            </w:pPr>
            <w:r w:rsidRPr="00E624F7">
              <w:rPr>
                <w:rFonts w:cs="Arial"/>
                <w:sz w:val="16"/>
                <w:szCs w:val="16"/>
              </w:rPr>
              <w:t xml:space="preserve">Other risk factors include high peak concentrations, high total dose, pre-existing renal failure, and concurrent treatment with amphotericin and/or furosemide. However, the role of these factors in the neonatal population is not well-established. Proper vancomycin TDM minimised both glomerular and tubular nephrotoxicity in two studies in children and neonates. In most cases, nephrotoxicity is reversible, even after high doses. In contrast, there is no proven association between TDM and ototoxicity prevention.[1] </w:t>
            </w:r>
          </w:p>
          <w:p w:rsidRPr="00E624F7" w:rsidR="006468C2" w:rsidP="00FE4186" w:rsidRDefault="006468C2" w14:paraId="6664AAF5" w14:textId="77777777">
            <w:pPr>
              <w:pStyle w:val="BodyText"/>
              <w:rPr>
                <w:rFonts w:cs="Arial"/>
                <w:sz w:val="16"/>
                <w:szCs w:val="16"/>
              </w:rPr>
            </w:pPr>
            <w:r w:rsidRPr="00E624F7">
              <w:rPr>
                <w:rFonts w:cs="Arial"/>
                <w:sz w:val="16"/>
                <w:szCs w:val="16"/>
              </w:rPr>
              <w:t>Gwee et al 2018 [5] compared intermittent intravenous (IV) dosing using the British Neonatal Formulary (BNF) dosage guidance versus continuous IV [loading dose of 15 mg/kg over 1 hour then continuous infusion). No nephrotoxicity or red man syndrome occurred in either group.</w:t>
            </w:r>
          </w:p>
        </w:tc>
      </w:tr>
      <w:tr w:rsidRPr="003A7895" w:rsidR="006468C2" w:rsidTr="008D48AE" w14:paraId="30695502" w14:textId="77777777">
        <w:trPr>
          <w:trHeight w:val="108"/>
        </w:trPr>
        <w:tc>
          <w:tcPr>
            <w:tcW w:w="1872" w:type="dxa"/>
          </w:tcPr>
          <w:p w:rsidRPr="00B53E9B" w:rsidR="006468C2" w:rsidP="00FE4186" w:rsidRDefault="006468C2" w14:paraId="667E3E98" w14:textId="77777777">
            <w:pPr>
              <w:pStyle w:val="BodyText"/>
              <w:rPr>
                <w:rFonts w:cs="Arial"/>
                <w:b/>
                <w:bCs/>
                <w:sz w:val="20"/>
              </w:rPr>
            </w:pPr>
            <w:r w:rsidRPr="00B53E9B">
              <w:rPr>
                <w:rFonts w:cs="Arial"/>
                <w:b/>
                <w:bCs/>
                <w:sz w:val="20"/>
              </w:rPr>
              <w:lastRenderedPageBreak/>
              <w:t>Practice points</w:t>
            </w:r>
          </w:p>
        </w:tc>
        <w:tc>
          <w:tcPr>
            <w:tcW w:w="8363" w:type="dxa"/>
          </w:tcPr>
          <w:p w:rsidRPr="00E624F7" w:rsidR="006468C2" w:rsidP="00FE4186" w:rsidRDefault="006468C2" w14:paraId="14342B2F" w14:textId="77777777">
            <w:pPr>
              <w:pStyle w:val="BodyText"/>
              <w:tabs>
                <w:tab w:val="left" w:pos="1168"/>
              </w:tabs>
              <w:rPr>
                <w:rFonts w:cs="Arial"/>
                <w:sz w:val="16"/>
                <w:szCs w:val="16"/>
              </w:rPr>
            </w:pPr>
          </w:p>
        </w:tc>
      </w:tr>
      <w:tr w:rsidRPr="003A7895" w:rsidR="006468C2" w:rsidTr="008D48AE" w14:paraId="7431EBC9" w14:textId="77777777">
        <w:trPr>
          <w:trHeight w:val="11940"/>
        </w:trPr>
        <w:tc>
          <w:tcPr>
            <w:tcW w:w="1872" w:type="dxa"/>
          </w:tcPr>
          <w:p w:rsidRPr="00B53E9B" w:rsidR="006468C2" w:rsidP="00FE4186" w:rsidRDefault="006468C2" w14:paraId="53EF0AA3" w14:textId="77777777">
            <w:pPr>
              <w:pStyle w:val="BodyText"/>
              <w:rPr>
                <w:rFonts w:cs="Arial"/>
                <w:b/>
                <w:bCs/>
                <w:sz w:val="20"/>
              </w:rPr>
            </w:pPr>
            <w:r w:rsidRPr="00B53E9B">
              <w:rPr>
                <w:b/>
                <w:sz w:val="20"/>
              </w:rPr>
              <w:lastRenderedPageBreak/>
              <w:t>References</w:t>
            </w:r>
          </w:p>
        </w:tc>
        <w:tc>
          <w:tcPr>
            <w:tcW w:w="8363" w:type="dxa"/>
          </w:tcPr>
          <w:p w:rsidRPr="00E624F7" w:rsidR="006468C2" w:rsidP="001B0E05" w:rsidRDefault="006468C2" w14:paraId="1477F20C" w14:textId="77777777">
            <w:pPr>
              <w:numPr>
                <w:ilvl w:val="0"/>
                <w:numId w:val="138"/>
              </w:numPr>
              <w:rPr>
                <w:sz w:val="16"/>
                <w:szCs w:val="16"/>
                <w:lang w:val="en-US"/>
              </w:rPr>
            </w:pPr>
            <w:r w:rsidRPr="00E624F7">
              <w:rPr>
                <w:sz w:val="16"/>
                <w:szCs w:val="16"/>
                <w:lang w:val="en-US"/>
              </w:rPr>
              <w:t>Pacifici GM, Allegaert K. Clinical pharmacokinetics of vancomycin in the neonate: a review. Clinics. 2012;67:831-7.</w:t>
            </w:r>
          </w:p>
          <w:p w:rsidRPr="00E624F7" w:rsidR="006468C2" w:rsidP="001B0E05" w:rsidRDefault="006468C2" w14:paraId="588D803D" w14:textId="77777777">
            <w:pPr>
              <w:numPr>
                <w:ilvl w:val="0"/>
                <w:numId w:val="138"/>
              </w:numPr>
              <w:rPr>
                <w:sz w:val="16"/>
                <w:szCs w:val="16"/>
                <w:lang w:val="en-US"/>
              </w:rPr>
            </w:pPr>
            <w:r w:rsidRPr="00E624F7">
              <w:rPr>
                <w:sz w:val="16"/>
                <w:szCs w:val="16"/>
                <w:lang w:val="en-US"/>
              </w:rPr>
              <w:t>Bhongsatiern J, Stockmann C, Roberts JK, Yu T, Korgenski KE, Spigarelli MG, Desai PB, Sherwin CM. Evaluation of Vancomycin Use in Late-Onset Neonatal Sepsis Using the Area Under the Concentration-Time Curve to the Minimum Inhibitory Concentration &gt;=400 Target. Ther Drug Monit. 2015;37:756-65.</w:t>
            </w:r>
          </w:p>
          <w:p w:rsidRPr="00E624F7" w:rsidR="006468C2" w:rsidP="001B0E05" w:rsidRDefault="006468C2" w14:paraId="477D81BF" w14:textId="77777777">
            <w:pPr>
              <w:numPr>
                <w:ilvl w:val="0"/>
                <w:numId w:val="138"/>
              </w:numPr>
              <w:rPr>
                <w:sz w:val="16"/>
                <w:szCs w:val="16"/>
                <w:lang w:val="en-US"/>
              </w:rPr>
            </w:pPr>
            <w:r w:rsidRPr="00E624F7">
              <w:rPr>
                <w:sz w:val="16"/>
                <w:szCs w:val="16"/>
                <w:lang w:val="en-US"/>
              </w:rPr>
              <w:t>Kato H, Hagihara M, Nishiyama N, Koizumi Y, Mikamo H, Matsuura K, Yamagishi Y. Assessment of optimal initial dosing regimen with vancomycin pharmacokinetics model in very low birth weight neonates. J Infect Chemother. 2017;23:154-60.</w:t>
            </w:r>
          </w:p>
          <w:p w:rsidRPr="00E624F7" w:rsidR="006468C2" w:rsidP="001B0E05" w:rsidRDefault="006468C2" w14:paraId="34E75135" w14:textId="77777777">
            <w:pPr>
              <w:numPr>
                <w:ilvl w:val="0"/>
                <w:numId w:val="138"/>
              </w:numPr>
              <w:rPr>
                <w:sz w:val="16"/>
                <w:szCs w:val="16"/>
                <w:lang w:val="en-US"/>
              </w:rPr>
            </w:pPr>
            <w:r w:rsidRPr="00E624F7">
              <w:rPr>
                <w:sz w:val="16"/>
                <w:szCs w:val="16"/>
                <w:lang w:val="en-US"/>
              </w:rPr>
              <w:t>Kim J, Walker SA, Iaboni DC, Walker SE, Elligsen M, Dunn MS, Allen VG, Simor A. Determination of vancomycin pharmacokinetics in neonates to develop practical initial dosing recommendations. Antimicrob Agents Chemother. 2014;58:2830-40.</w:t>
            </w:r>
          </w:p>
          <w:p w:rsidRPr="00E624F7" w:rsidR="006468C2" w:rsidP="001B0E05" w:rsidRDefault="006468C2" w14:paraId="29232969" w14:textId="77777777">
            <w:pPr>
              <w:numPr>
                <w:ilvl w:val="0"/>
                <w:numId w:val="138"/>
              </w:numPr>
              <w:rPr>
                <w:sz w:val="16"/>
                <w:szCs w:val="16"/>
                <w:lang w:val="en-US"/>
              </w:rPr>
            </w:pPr>
            <w:r w:rsidRPr="00E624F7">
              <w:rPr>
                <w:sz w:val="16"/>
                <w:szCs w:val="16"/>
                <w:lang w:val="en-US"/>
              </w:rPr>
              <w:t>Gwee A, Cranswick N, McMullan B, Perkins E, Bolisetty S, Gardiner K, Daley A, Ward M, Chiletti R, Donath S, Hunt R. Continuous Versus Intermittent Vancomycin Infusions in Infants: A Randomized Controlled Trial. Pediatrics. 2019 Feb 1;143(2):e20182179..</w:t>
            </w:r>
          </w:p>
          <w:p w:rsidRPr="00E624F7" w:rsidR="006468C2" w:rsidP="001B0E05" w:rsidRDefault="006468C2" w14:paraId="44F85BBD" w14:textId="77777777">
            <w:pPr>
              <w:numPr>
                <w:ilvl w:val="0"/>
                <w:numId w:val="138"/>
              </w:numPr>
              <w:rPr>
                <w:sz w:val="16"/>
                <w:szCs w:val="16"/>
                <w:lang w:val="en-US"/>
              </w:rPr>
            </w:pPr>
            <w:r w:rsidRPr="00E624F7">
              <w:rPr>
                <w:sz w:val="16"/>
                <w:szCs w:val="16"/>
                <w:lang w:val="en-US"/>
              </w:rPr>
              <w:t>Clinical Excellence Commission, 2018, Newborn Antibiotic Guideline for early and late onset sepsis during birth episode of care. Revised June 2018. Sydney: Clinical Excellence Commission.</w:t>
            </w:r>
          </w:p>
          <w:p w:rsidRPr="00E624F7" w:rsidR="006468C2" w:rsidP="001B0E05" w:rsidRDefault="006468C2" w14:paraId="06E43D27" w14:textId="77777777">
            <w:pPr>
              <w:numPr>
                <w:ilvl w:val="0"/>
                <w:numId w:val="138"/>
              </w:numPr>
              <w:rPr>
                <w:sz w:val="16"/>
                <w:szCs w:val="16"/>
                <w:lang w:val="en-US"/>
              </w:rPr>
            </w:pPr>
            <w:r w:rsidRPr="00E624F7">
              <w:rPr>
                <w:sz w:val="16"/>
                <w:szCs w:val="16"/>
                <w:lang w:val="en-US"/>
              </w:rPr>
              <w:t>Clinical Excellence Commission, 2018, Paediatric Antibiotic Guidelines for Severe Sepsis &amp; Septic Shock &amp; Unwell Neonates. Revised July 2018. Sydney: Clinical Excellence Commission.</w:t>
            </w:r>
          </w:p>
          <w:p w:rsidRPr="00E624F7" w:rsidR="006468C2" w:rsidP="001B0E05" w:rsidRDefault="006468C2" w14:paraId="7D0AAC53" w14:textId="77777777">
            <w:pPr>
              <w:numPr>
                <w:ilvl w:val="0"/>
                <w:numId w:val="138"/>
              </w:numPr>
              <w:rPr>
                <w:sz w:val="16"/>
                <w:szCs w:val="16"/>
                <w:lang w:val="en-US"/>
              </w:rPr>
            </w:pPr>
            <w:r w:rsidRPr="00E624F7">
              <w:rPr>
                <w:sz w:val="16"/>
                <w:szCs w:val="16"/>
                <w:lang w:val="en-US"/>
              </w:rPr>
              <w:t>Ceriani Cernadas JM, Fernandez Jonusas S, Marquez M, Garsd A, Mariani G. Clinical outcome of neonates with nosocomial suspected sepsis treated with cefazolin or vancomycin: a non-inferiority, randomized, controlled trial. Arch Argent Pediatr. 2014;112:308-14.</w:t>
            </w:r>
          </w:p>
          <w:p w:rsidRPr="00E624F7" w:rsidR="006468C2" w:rsidP="001B0E05" w:rsidRDefault="006468C2" w14:paraId="1D81DDF9" w14:textId="77777777">
            <w:pPr>
              <w:numPr>
                <w:ilvl w:val="0"/>
                <w:numId w:val="138"/>
              </w:numPr>
              <w:rPr>
                <w:sz w:val="16"/>
                <w:szCs w:val="16"/>
                <w:lang w:val="en-US"/>
              </w:rPr>
            </w:pPr>
            <w:r w:rsidRPr="00E624F7">
              <w:rPr>
                <w:sz w:val="16"/>
                <w:szCs w:val="16"/>
                <w:lang w:val="en-US"/>
              </w:rPr>
              <w:t>Deville JG, Adler S, Azimi PH, Jantausch BA, Morfin MR, Beltran S, Edge-Padbury B, Naberhuis-Stehouwer S, Bruss JB. Linezolid versus vancomycin in the treatment of known or suspected resistant gram-positive infections in neonates. Pediatr Infect Dis J. 2003;22:S158-63.</w:t>
            </w:r>
          </w:p>
          <w:p w:rsidRPr="00E624F7" w:rsidR="006468C2" w:rsidP="001B0E05" w:rsidRDefault="006468C2" w14:paraId="1A2D49A3" w14:textId="77777777">
            <w:pPr>
              <w:numPr>
                <w:ilvl w:val="0"/>
                <w:numId w:val="138"/>
              </w:numPr>
              <w:rPr>
                <w:sz w:val="16"/>
                <w:szCs w:val="16"/>
                <w:lang w:val="en-US"/>
              </w:rPr>
            </w:pPr>
            <w:r w:rsidRPr="00E624F7">
              <w:rPr>
                <w:sz w:val="16"/>
                <w:szCs w:val="16"/>
                <w:lang w:val="en-US"/>
              </w:rPr>
              <w:t>Shah SS, Ohlsson A, Shah VS. Intraventricular antibiotics for bacterial meningitis in neonates. Cochrane Database Syst Rev. 2012.</w:t>
            </w:r>
          </w:p>
          <w:p w:rsidRPr="00E624F7" w:rsidR="006468C2" w:rsidP="001B0E05" w:rsidRDefault="006468C2" w14:paraId="566EC42F" w14:textId="77777777">
            <w:pPr>
              <w:numPr>
                <w:ilvl w:val="0"/>
                <w:numId w:val="138"/>
              </w:numPr>
              <w:rPr>
                <w:sz w:val="16"/>
                <w:szCs w:val="16"/>
                <w:lang w:val="en-US"/>
              </w:rPr>
            </w:pPr>
            <w:r w:rsidRPr="00E624F7">
              <w:rPr>
                <w:sz w:val="16"/>
                <w:szCs w:val="16"/>
                <w:lang w:val="en-US"/>
              </w:rPr>
              <w:t>Arnell K, Enblad P, Wester T, Sjolin J. Treatment of cerebrospinal fluid shunt infections in children using systemic and intraventricular antibiotic therapy in combination with externalization of the ventricular catheter: efficacy in 34 consecutively treated infections. J Neurosurg. 2007;107:213-9.</w:t>
            </w:r>
          </w:p>
          <w:p w:rsidRPr="00E624F7" w:rsidR="006468C2" w:rsidP="001B0E05" w:rsidRDefault="006468C2" w14:paraId="72693456" w14:textId="77777777">
            <w:pPr>
              <w:numPr>
                <w:ilvl w:val="0"/>
                <w:numId w:val="138"/>
              </w:numPr>
              <w:rPr>
                <w:sz w:val="16"/>
                <w:szCs w:val="16"/>
                <w:lang w:val="en-US"/>
              </w:rPr>
            </w:pPr>
            <w:r w:rsidRPr="00E624F7">
              <w:rPr>
                <w:sz w:val="16"/>
                <w:szCs w:val="16"/>
                <w:lang w:val="en-US"/>
              </w:rPr>
              <w:t>Jardine LA, Inglis GDT, Davies MW. Prophylactic systemic antibiotics to reduce morbidity and mortality in neonates with central venous catheters. Cochrane Database Syst Rev. 2008.</w:t>
            </w:r>
          </w:p>
          <w:p w:rsidRPr="00E624F7" w:rsidR="006468C2" w:rsidP="001B0E05" w:rsidRDefault="006468C2" w14:paraId="4909AB59" w14:textId="77777777">
            <w:pPr>
              <w:numPr>
                <w:ilvl w:val="0"/>
                <w:numId w:val="138"/>
              </w:numPr>
              <w:rPr>
                <w:sz w:val="16"/>
                <w:szCs w:val="16"/>
                <w:lang w:val="en-US"/>
              </w:rPr>
            </w:pPr>
            <w:r w:rsidRPr="00E624F7">
              <w:rPr>
                <w:sz w:val="16"/>
                <w:szCs w:val="16"/>
                <w:lang w:val="en-US"/>
              </w:rPr>
              <w:t>Baier RJ, Bocchini JA, Jr., Brown EG. Selective use of vancomycin to prevent coagulase-negative staphylococcal nosocomial bacteremia in high risk very low birth weight infants. Pediatr Infect Dis J. 1998;17:179-83.</w:t>
            </w:r>
          </w:p>
          <w:p w:rsidRPr="00E624F7" w:rsidR="006468C2" w:rsidP="001B0E05" w:rsidRDefault="006468C2" w14:paraId="12FF4296" w14:textId="77777777">
            <w:pPr>
              <w:numPr>
                <w:ilvl w:val="0"/>
                <w:numId w:val="138"/>
              </w:numPr>
              <w:rPr>
                <w:sz w:val="16"/>
                <w:szCs w:val="16"/>
                <w:lang w:val="en-US"/>
              </w:rPr>
            </w:pPr>
            <w:r w:rsidRPr="00E624F7">
              <w:rPr>
                <w:sz w:val="16"/>
                <w:szCs w:val="16"/>
                <w:lang w:val="en-US"/>
              </w:rPr>
              <w:t>Kacica MA, Horgan MJ, Ochoa L, Sandler R, Lepow ML, Venezia RA. Prevention of gram-positive sepsis in neonates weighing less than 1500 grams. J Pediatr. 1994;125:253-8.</w:t>
            </w:r>
          </w:p>
          <w:p w:rsidRPr="00E624F7" w:rsidR="006468C2" w:rsidP="001B0E05" w:rsidRDefault="006468C2" w14:paraId="65AA3262" w14:textId="77777777">
            <w:pPr>
              <w:numPr>
                <w:ilvl w:val="0"/>
                <w:numId w:val="138"/>
              </w:numPr>
              <w:rPr>
                <w:sz w:val="16"/>
                <w:szCs w:val="16"/>
                <w:lang w:val="en-US"/>
              </w:rPr>
            </w:pPr>
            <w:r w:rsidRPr="00E624F7">
              <w:rPr>
                <w:sz w:val="16"/>
                <w:szCs w:val="16"/>
                <w:lang w:val="en-US"/>
              </w:rPr>
              <w:t>Moller JC, Nelskamp I, Jensen R, Reiss I, Kohl M, Gatermann S, Iven H, Gortner L. Comparison of vancomycin and teicoplanin for prophylaxis of sepsis with coagulase negative staphylococci (CONS) in very low birth weight (VLBW) infants. J Perinat Med. 1997;25:361-7.</w:t>
            </w:r>
          </w:p>
          <w:p w:rsidRPr="00E624F7" w:rsidR="006468C2" w:rsidP="001B0E05" w:rsidRDefault="006468C2" w14:paraId="4D5BB4CA" w14:textId="77777777">
            <w:pPr>
              <w:numPr>
                <w:ilvl w:val="0"/>
                <w:numId w:val="138"/>
              </w:numPr>
              <w:rPr>
                <w:sz w:val="16"/>
                <w:szCs w:val="16"/>
                <w:lang w:val="en-US"/>
              </w:rPr>
            </w:pPr>
            <w:r w:rsidRPr="00E624F7">
              <w:rPr>
                <w:sz w:val="16"/>
                <w:szCs w:val="16"/>
                <w:lang w:val="en-US"/>
              </w:rPr>
              <w:t>Shah D, Sinn JKH. Antibiotic regimens for the empirical treatment of newborn infants with necrotising enterocolitis. Cochrane Database Syst Rev. 2012.</w:t>
            </w:r>
          </w:p>
          <w:p w:rsidRPr="00E624F7" w:rsidR="006468C2" w:rsidP="001B0E05" w:rsidRDefault="006468C2" w14:paraId="52338565" w14:textId="77777777">
            <w:pPr>
              <w:numPr>
                <w:ilvl w:val="0"/>
                <w:numId w:val="138"/>
              </w:numPr>
              <w:rPr>
                <w:sz w:val="16"/>
                <w:szCs w:val="16"/>
                <w:lang w:val="en-US"/>
              </w:rPr>
            </w:pPr>
            <w:r w:rsidRPr="00E624F7">
              <w:rPr>
                <w:sz w:val="16"/>
                <w:szCs w:val="16"/>
                <w:lang w:val="en-US"/>
              </w:rPr>
              <w:t>Bury RG, Tudehope D. Enteral antibiotics for preventing necrotizing enterocolitis in low birthweight or preterm infants. Cochrane Database Syst Rev. 2001.</w:t>
            </w:r>
          </w:p>
          <w:p w:rsidRPr="00E624F7" w:rsidR="006468C2" w:rsidP="001B0E05" w:rsidRDefault="006468C2" w14:paraId="1D914FA1" w14:textId="77777777">
            <w:pPr>
              <w:numPr>
                <w:ilvl w:val="0"/>
                <w:numId w:val="138"/>
              </w:numPr>
              <w:rPr>
                <w:sz w:val="16"/>
                <w:szCs w:val="16"/>
                <w:lang w:val="en-US"/>
              </w:rPr>
            </w:pPr>
            <w:r w:rsidRPr="00E624F7">
              <w:rPr>
                <w:sz w:val="16"/>
                <w:szCs w:val="16"/>
                <w:lang w:val="en-US"/>
              </w:rPr>
              <w:t>Siu YK, Ng PC, Fung SC, Lee CH, Wong MY, Fok TF, So KW, Cheung KL, Wong W, Cheng AF. Double blind, randomised, placebo controlled study of oral vancomycin in prevention of necrotising enterocolitis in preterm, very low birthweight infants. Arch Dis Child Fetal Neonatal Ed. 1998;79:F105-9.</w:t>
            </w:r>
          </w:p>
          <w:p w:rsidRPr="00E624F7" w:rsidR="006468C2" w:rsidP="001B0E05" w:rsidRDefault="006468C2" w14:paraId="6AA8A874" w14:textId="77777777">
            <w:pPr>
              <w:numPr>
                <w:ilvl w:val="0"/>
                <w:numId w:val="138"/>
              </w:numPr>
              <w:rPr>
                <w:sz w:val="16"/>
                <w:szCs w:val="16"/>
              </w:rPr>
            </w:pPr>
            <w:r w:rsidRPr="00E624F7">
              <w:rPr>
                <w:sz w:val="16"/>
                <w:szCs w:val="16"/>
              </w:rPr>
              <w:t>Australian Injectable Drugs Handbook 7th Edition - AIDH (Australian I.V. Medicines) Accessed 06/12/2018.</w:t>
            </w:r>
          </w:p>
          <w:p w:rsidRPr="00E624F7" w:rsidR="006468C2" w:rsidP="001B0E05" w:rsidRDefault="006468C2" w14:paraId="63536998" w14:textId="77777777">
            <w:pPr>
              <w:numPr>
                <w:ilvl w:val="0"/>
                <w:numId w:val="138"/>
              </w:numPr>
              <w:rPr>
                <w:sz w:val="16"/>
                <w:szCs w:val="16"/>
              </w:rPr>
            </w:pPr>
            <w:r w:rsidRPr="00E624F7">
              <w:rPr>
                <w:sz w:val="16"/>
                <w:szCs w:val="16"/>
              </w:rPr>
              <w:t>Micromedex online. Accessed 06/12/2018.</w:t>
            </w:r>
          </w:p>
          <w:p w:rsidRPr="00E624F7" w:rsidR="006468C2" w:rsidP="001B0E05" w:rsidRDefault="006468C2" w14:paraId="1206C4F0" w14:textId="77777777">
            <w:pPr>
              <w:numPr>
                <w:ilvl w:val="0"/>
                <w:numId w:val="138"/>
              </w:numPr>
              <w:rPr>
                <w:sz w:val="16"/>
                <w:szCs w:val="16"/>
              </w:rPr>
            </w:pPr>
            <w:r w:rsidRPr="00E624F7">
              <w:rPr>
                <w:sz w:val="16"/>
                <w:szCs w:val="16"/>
              </w:rPr>
              <w:t>Aronoff GR, Bennett WM, Berns JS, et al, Drug Prescribing in Renal Failure: Dosing Guidelines for Adults and Children, 5th ed. Philadelphia, PA: American College of Physicians; 2007, 154.</w:t>
            </w:r>
          </w:p>
          <w:p w:rsidRPr="00E624F7" w:rsidR="006468C2" w:rsidP="001B0E05" w:rsidRDefault="006468C2" w14:paraId="28BDE110" w14:textId="77777777">
            <w:pPr>
              <w:numPr>
                <w:ilvl w:val="0"/>
                <w:numId w:val="138"/>
              </w:numPr>
              <w:rPr>
                <w:sz w:val="16"/>
                <w:szCs w:val="16"/>
              </w:rPr>
            </w:pPr>
            <w:r w:rsidRPr="00E624F7">
              <w:rPr>
                <w:sz w:val="16"/>
                <w:szCs w:val="16"/>
              </w:rPr>
              <w:t>Brown DL, Lalla CD, Masselink AJ. AUC versus peak-trough dosing of vancomycin: applying new pharmacokinetic paradigms to an old drug. Ther Drug Monit. 2013; 35:443-9.</w:t>
            </w:r>
          </w:p>
          <w:p w:rsidRPr="00E624F7" w:rsidR="006468C2" w:rsidP="001B0E05" w:rsidRDefault="006468C2" w14:paraId="176FED4B" w14:textId="77777777">
            <w:pPr>
              <w:numPr>
                <w:ilvl w:val="0"/>
                <w:numId w:val="138"/>
              </w:numPr>
              <w:rPr>
                <w:sz w:val="16"/>
                <w:szCs w:val="16"/>
              </w:rPr>
            </w:pPr>
            <w:r w:rsidRPr="00E624F7">
              <w:rPr>
                <w:sz w:val="16"/>
                <w:szCs w:val="16"/>
              </w:rPr>
              <w:t>de Hoog M, Mouton JW, van den Anker JN. Vancomycin: pharmacokinetics and administration regimens in neonates. Clinical Pharmacokinetics. 2004; 43:417-40.</w:t>
            </w:r>
          </w:p>
          <w:p w:rsidRPr="00E624F7" w:rsidR="006468C2" w:rsidP="001B0E05" w:rsidRDefault="006468C2" w14:paraId="3BEF1EDA" w14:textId="77777777">
            <w:pPr>
              <w:numPr>
                <w:ilvl w:val="0"/>
                <w:numId w:val="138"/>
              </w:numPr>
              <w:rPr>
                <w:sz w:val="16"/>
                <w:szCs w:val="16"/>
              </w:rPr>
            </w:pPr>
            <w:r w:rsidRPr="00E624F7">
              <w:rPr>
                <w:sz w:val="16"/>
                <w:szCs w:val="16"/>
              </w:rPr>
              <w:t>Roberts JK, Stockmann C, Constance JE, Stiers J, Spigarelli MG, Ward RM, Sherwin CMT. Pharmacokinetics and pharmacodynamics of antibacterials, antifungals, and antivirals used most frequently in neonates and infants. Clinical Pharmacokinetics. 2014;53:581-610.</w:t>
            </w:r>
          </w:p>
          <w:p w:rsidRPr="00E624F7" w:rsidR="006468C2" w:rsidP="001B0E05" w:rsidRDefault="006468C2" w14:paraId="5F7F6B68" w14:textId="77777777">
            <w:pPr>
              <w:numPr>
                <w:ilvl w:val="0"/>
                <w:numId w:val="138"/>
              </w:numPr>
              <w:rPr>
                <w:sz w:val="16"/>
                <w:szCs w:val="16"/>
              </w:rPr>
            </w:pPr>
            <w:r w:rsidRPr="00E624F7">
              <w:rPr>
                <w:sz w:val="16"/>
                <w:szCs w:val="16"/>
              </w:rPr>
              <w:t>Marsot A, Boulamery A, Bruguerolle B, Simon N. Vancomycin: a review of population pharmacokinetic analyses. Marsot A, Boulamery A, Bruguerolle B, Simon N. Vancomycin: a review of population pharmacokinetic analyses. Clin Pharmacokinet. 2012;51:1-13. Clin Pharmacokinet. 2012;51:1-13.</w:t>
            </w:r>
          </w:p>
          <w:p w:rsidRPr="00E624F7" w:rsidR="006468C2" w:rsidP="001B0E05" w:rsidRDefault="006468C2" w14:paraId="3648694C" w14:textId="77777777">
            <w:pPr>
              <w:numPr>
                <w:ilvl w:val="0"/>
                <w:numId w:val="138"/>
              </w:numPr>
              <w:rPr>
                <w:sz w:val="16"/>
                <w:szCs w:val="16"/>
              </w:rPr>
            </w:pPr>
            <w:r w:rsidRPr="00E624F7">
              <w:rPr>
                <w:sz w:val="16"/>
                <w:szCs w:val="16"/>
              </w:rPr>
              <w:t>MIMS Australia online. Accessed on 14 January 2020.</w:t>
            </w:r>
          </w:p>
          <w:p w:rsidRPr="00E624F7" w:rsidR="006468C2" w:rsidP="001B0E05" w:rsidRDefault="006468C2" w14:paraId="12FC4D66" w14:textId="77777777">
            <w:pPr>
              <w:numPr>
                <w:ilvl w:val="0"/>
                <w:numId w:val="138"/>
              </w:numPr>
              <w:rPr>
                <w:sz w:val="16"/>
                <w:szCs w:val="16"/>
              </w:rPr>
            </w:pPr>
            <w:r w:rsidRPr="00E624F7">
              <w:rPr>
                <w:sz w:val="16"/>
                <w:szCs w:val="16"/>
              </w:rPr>
              <w:t>Zane NR, Reedy MD, Gastonguay MR, Himebauch AS, Ramsey EZ, Topjian AA, et al. A Population pharmacokinetic analysis to study the effect of therapeutic hypothermia on vancomycin disposition in children resuscitated from cardiac arrest. Pediatric Critical Care Medicine. 2017;18(7):e290-e7.</w:t>
            </w:r>
          </w:p>
        </w:tc>
      </w:tr>
    </w:tbl>
    <w:p w:rsidR="009D17AB" w:rsidP="006F0321" w:rsidRDefault="009D17AB" w14:paraId="06F468DA" w14:textId="78FF80C5"/>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66"/>
      </w:tblGrid>
      <w:tr w:rsidRPr="005F43A2" w:rsidR="00790A46" w:rsidTr="008D48AE" w14:paraId="016F58BD" w14:textId="77777777">
        <w:tc>
          <w:tcPr>
            <w:tcW w:w="4535" w:type="dxa"/>
            <w:vAlign w:val="center"/>
          </w:tcPr>
          <w:p w:rsidRPr="007245EB" w:rsidR="00790A46" w:rsidP="00FE4186" w:rsidRDefault="00790A46" w14:paraId="1A71465C" w14:textId="57317C18">
            <w:r w:rsidRPr="007245EB">
              <w:t xml:space="preserve">Original version Date: </w:t>
            </w:r>
            <w:r w:rsidR="00534F6D">
              <w:t>8/8/2015</w:t>
            </w:r>
          </w:p>
        </w:tc>
        <w:tc>
          <w:tcPr>
            <w:tcW w:w="4566" w:type="dxa"/>
            <w:vAlign w:val="center"/>
          </w:tcPr>
          <w:p w:rsidRPr="007245EB" w:rsidR="00790A46" w:rsidP="00FE4186" w:rsidRDefault="00790A46" w14:paraId="06A4F59E" w14:textId="77777777">
            <w:r w:rsidRPr="007245EB">
              <w:t>Author: NMF Consensus Group</w:t>
            </w:r>
          </w:p>
        </w:tc>
      </w:tr>
      <w:tr w:rsidRPr="005F43A2" w:rsidR="00790A46" w:rsidTr="008D48AE" w14:paraId="7B12F7BC" w14:textId="77777777">
        <w:tc>
          <w:tcPr>
            <w:tcW w:w="4535" w:type="dxa"/>
            <w:vAlign w:val="center"/>
          </w:tcPr>
          <w:p w:rsidRPr="007245EB" w:rsidR="00790A46" w:rsidP="00FE4186" w:rsidRDefault="00790A46" w14:paraId="27ABEFD4" w14:textId="786EC2AA">
            <w:pPr>
              <w:rPr>
                <w:bCs/>
              </w:rPr>
            </w:pPr>
            <w:r w:rsidRPr="007245EB">
              <w:t xml:space="preserve">Current Version number:  </w:t>
            </w:r>
            <w:r w:rsidR="00AA0A5F">
              <w:t>9</w:t>
            </w:r>
          </w:p>
        </w:tc>
        <w:tc>
          <w:tcPr>
            <w:tcW w:w="4566" w:type="dxa"/>
            <w:vAlign w:val="center"/>
          </w:tcPr>
          <w:p w:rsidRPr="007245EB" w:rsidR="00790A46" w:rsidP="00FE4186" w:rsidRDefault="00790A46" w14:paraId="0A1C4F18" w14:textId="6ED80BA9">
            <w:r w:rsidRPr="007245EB">
              <w:t xml:space="preserve">Current Version Date:  </w:t>
            </w:r>
            <w:r w:rsidR="00AA0A5F">
              <w:t>16/11/2020</w:t>
            </w:r>
          </w:p>
        </w:tc>
      </w:tr>
      <w:tr w:rsidRPr="005F43A2" w:rsidR="00790A46" w:rsidTr="008D48AE" w14:paraId="3AFC6B35" w14:textId="77777777">
        <w:tc>
          <w:tcPr>
            <w:tcW w:w="4535" w:type="dxa"/>
            <w:vAlign w:val="center"/>
          </w:tcPr>
          <w:p w:rsidRPr="007245EB" w:rsidR="00790A46" w:rsidP="00FE4186" w:rsidRDefault="00790A46" w14:paraId="21B6EFB5" w14:textId="3CC19707">
            <w:r w:rsidRPr="007245EB">
              <w:lastRenderedPageBreak/>
              <w:t xml:space="preserve">Risk Rating: </w:t>
            </w:r>
            <w:r w:rsidR="00AA0A5F">
              <w:t>Low</w:t>
            </w:r>
          </w:p>
        </w:tc>
        <w:tc>
          <w:tcPr>
            <w:tcW w:w="4566" w:type="dxa"/>
            <w:vAlign w:val="center"/>
          </w:tcPr>
          <w:p w:rsidRPr="007245EB" w:rsidR="00790A46" w:rsidP="00FE4186" w:rsidRDefault="00790A46" w14:paraId="0216AD21" w14:textId="76EC21F3">
            <w:r w:rsidRPr="007245EB">
              <w:t xml:space="preserve">Due for Review:  </w:t>
            </w:r>
            <w:r w:rsidR="00AA0A5F">
              <w:t>16/11/2025</w:t>
            </w:r>
          </w:p>
        </w:tc>
      </w:tr>
      <w:tr w:rsidRPr="005F43A2" w:rsidR="00790A46" w:rsidTr="008D48AE" w14:paraId="43D3A01D" w14:textId="77777777">
        <w:trPr>
          <w:trHeight w:val="344"/>
        </w:trPr>
        <w:tc>
          <w:tcPr>
            <w:tcW w:w="4535" w:type="dxa"/>
            <w:tcBorders>
              <w:bottom w:val="single" w:color="auto" w:sz="4" w:space="0"/>
            </w:tcBorders>
            <w:vAlign w:val="center"/>
          </w:tcPr>
          <w:p w:rsidRPr="007245EB" w:rsidR="00790A46" w:rsidP="00FE4186" w:rsidRDefault="00790A46" w14:paraId="00A9AE25" w14:textId="77777777">
            <w:r w:rsidRPr="007245EB">
              <w:t>Approval by: DTC</w:t>
            </w:r>
          </w:p>
        </w:tc>
        <w:tc>
          <w:tcPr>
            <w:tcW w:w="4566" w:type="dxa"/>
            <w:tcBorders>
              <w:bottom w:val="single" w:color="auto" w:sz="4" w:space="0"/>
            </w:tcBorders>
            <w:vAlign w:val="center"/>
          </w:tcPr>
          <w:p w:rsidRPr="007245EB" w:rsidR="00790A46" w:rsidP="00FE4186" w:rsidRDefault="00790A46" w14:paraId="088A7C6A" w14:textId="2CC8EFDF">
            <w:r w:rsidRPr="007245EB">
              <w:t xml:space="preserve">Approval Date: </w:t>
            </w:r>
            <w:r w:rsidR="00260BC8">
              <w:t>APRIL 2021</w:t>
            </w:r>
          </w:p>
        </w:tc>
      </w:tr>
    </w:tbl>
    <w:p w:rsidR="00790A46" w:rsidP="006F0321" w:rsidRDefault="00790A46" w14:paraId="7CFBF342" w14:textId="69CBC1E7"/>
    <w:p w:rsidR="00AA0A5F" w:rsidP="006F0321" w:rsidRDefault="00AA0A5F" w14:paraId="48DABD5E" w14:textId="0A9FA20F"/>
    <w:p w:rsidR="00AA0A5F" w:rsidP="006F0321" w:rsidRDefault="00AA0A5F" w14:paraId="2918C3EF" w14:textId="3621814A"/>
    <w:p w:rsidR="00AA0A5F" w:rsidP="006F0321" w:rsidRDefault="00AA0A5F" w14:paraId="3E69C914" w14:textId="7B53CBE5"/>
    <w:p w:rsidR="00AA0A5F" w:rsidP="006F0321" w:rsidRDefault="00AA0A5F" w14:paraId="58C202E8" w14:textId="25F65BB8"/>
    <w:p w:rsidR="00AA0A5F" w:rsidP="006F0321" w:rsidRDefault="00AA0A5F" w14:paraId="772968B9" w14:textId="0AA37AF8"/>
    <w:p w:rsidR="00AA0A5F" w:rsidP="006F0321" w:rsidRDefault="00AA0A5F" w14:paraId="3CB13604" w14:textId="7571FA96"/>
    <w:p w:rsidR="00AA0A5F" w:rsidP="006F0321" w:rsidRDefault="00AA0A5F" w14:paraId="30A7431B" w14:textId="1BC62AF8"/>
    <w:p w:rsidR="00AA0A5F" w:rsidP="006F0321" w:rsidRDefault="00AA0A5F" w14:paraId="1C6B1C80" w14:textId="54311B03"/>
    <w:p w:rsidR="00AA0A5F" w:rsidP="006F0321" w:rsidRDefault="00AA0A5F" w14:paraId="7AE62AFC" w14:textId="6B0C1123"/>
    <w:p w:rsidR="00AA0A5F" w:rsidP="006F0321" w:rsidRDefault="00AA0A5F" w14:paraId="48FA54D7" w14:textId="46958FF3"/>
    <w:p w:rsidR="00AA0A5F" w:rsidP="006F0321" w:rsidRDefault="00AA0A5F" w14:paraId="72C040EE" w14:textId="5487DAA1"/>
    <w:p w:rsidR="00AA0A5F" w:rsidP="006F0321" w:rsidRDefault="00AA0A5F" w14:paraId="7ADB292D" w14:textId="44C7A99F"/>
    <w:p w:rsidR="00AA0A5F" w:rsidP="006F0321" w:rsidRDefault="00AA0A5F" w14:paraId="3AC2FF6B" w14:textId="65CD90B9"/>
    <w:p w:rsidR="00AA0A5F" w:rsidP="006F0321" w:rsidRDefault="00AA0A5F" w14:paraId="1A35F5C8" w14:textId="2322B4B4"/>
    <w:p w:rsidR="00AA0A5F" w:rsidP="006F0321" w:rsidRDefault="00AA0A5F" w14:paraId="057B15F7" w14:textId="5E065D86"/>
    <w:p w:rsidR="00AA0A5F" w:rsidP="006F0321" w:rsidRDefault="00AA0A5F" w14:paraId="353ED1BF" w14:textId="46014DB9"/>
    <w:p w:rsidR="00AA0A5F" w:rsidP="006F0321" w:rsidRDefault="00AA0A5F" w14:paraId="3B0F9B08" w14:textId="60BB602A"/>
    <w:p w:rsidR="00AA0A5F" w:rsidP="006F0321" w:rsidRDefault="00AA0A5F" w14:paraId="0F65186E" w14:textId="34670064"/>
    <w:p w:rsidR="00AA0A5F" w:rsidP="006F0321" w:rsidRDefault="00AA0A5F" w14:paraId="6E86BA4B" w14:textId="41A5B167"/>
    <w:p w:rsidR="00AA0A5F" w:rsidP="006F0321" w:rsidRDefault="00AA0A5F" w14:paraId="0C939476" w14:textId="14B336C1"/>
    <w:p w:rsidR="00AA0A5F" w:rsidP="006F0321" w:rsidRDefault="00AA0A5F" w14:paraId="3A485352" w14:textId="03B13607"/>
    <w:p w:rsidR="00AA0A5F" w:rsidP="006F0321" w:rsidRDefault="00AA0A5F" w14:paraId="407257BA" w14:textId="7D9C4259"/>
    <w:p w:rsidR="00AA0A5F" w:rsidP="006F0321" w:rsidRDefault="00AA0A5F" w14:paraId="6EAA50FB" w14:textId="16F1A8BE"/>
    <w:p w:rsidR="00AA0A5F" w:rsidP="006F0321" w:rsidRDefault="00AA0A5F" w14:paraId="4FE348BB" w14:textId="5D6A0141"/>
    <w:p w:rsidR="00AA0A5F" w:rsidP="006F0321" w:rsidRDefault="00AA0A5F" w14:paraId="46BEF3DA" w14:textId="269DD8D9"/>
    <w:p w:rsidR="00AA0A5F" w:rsidP="006F0321" w:rsidRDefault="00AA0A5F" w14:paraId="1094D0D4" w14:textId="381C203F"/>
    <w:p w:rsidR="00AA0A5F" w:rsidP="006F0321" w:rsidRDefault="00AA0A5F" w14:paraId="2A0DD273" w14:textId="6F4F5D24"/>
    <w:p w:rsidR="00AA0A5F" w:rsidP="006F0321" w:rsidRDefault="00AA0A5F" w14:paraId="52B52656" w14:textId="0A8C9F9D"/>
    <w:p w:rsidR="00AA0A5F" w:rsidP="006F0321" w:rsidRDefault="00AA0A5F" w14:paraId="4FD412DD" w14:textId="15E49768"/>
    <w:p w:rsidR="00AA0A5F" w:rsidP="006F0321" w:rsidRDefault="00AA0A5F" w14:paraId="7D913291" w14:textId="464DD0F2"/>
    <w:p w:rsidR="00AA0A5F" w:rsidP="006F0321" w:rsidRDefault="00AA0A5F" w14:paraId="3255BFE3" w14:textId="1EAF377E"/>
    <w:p w:rsidR="00AA0A5F" w:rsidP="006F0321" w:rsidRDefault="00AA0A5F" w14:paraId="42F08FF3" w14:textId="21CF3971"/>
    <w:p w:rsidR="00AA0A5F" w:rsidP="006F0321" w:rsidRDefault="00AA0A5F" w14:paraId="25DB6790" w14:textId="6D20CC09"/>
    <w:p w:rsidR="00AA0A5F" w:rsidP="006F0321" w:rsidRDefault="00AA0A5F" w14:paraId="1E407579" w14:textId="29E774B5"/>
    <w:p w:rsidR="00AA0A5F" w:rsidP="006F0321" w:rsidRDefault="00AA0A5F" w14:paraId="2F74FDC0" w14:textId="363778DB"/>
    <w:p w:rsidR="00AA0A5F" w:rsidP="006F0321" w:rsidRDefault="00AA0A5F" w14:paraId="092435B0" w14:textId="2FE97275"/>
    <w:p w:rsidR="008D48AE" w:rsidP="006F0321" w:rsidRDefault="008D48AE" w14:paraId="29D8B498" w14:textId="7994E6A2"/>
    <w:p w:rsidR="008D48AE" w:rsidP="006F0321" w:rsidRDefault="008D48AE" w14:paraId="6060D6A0" w14:textId="77777777"/>
    <w:p w:rsidR="00AA0A5F" w:rsidP="006F0321" w:rsidRDefault="00AA0A5F" w14:paraId="3BD413F8" w14:textId="77777777"/>
    <w:p w:rsidRPr="00E25790" w:rsidR="00790A46" w:rsidP="006F0321" w:rsidRDefault="00790A46" w14:paraId="2C9DE548" w14:textId="77777777"/>
    <w:tbl>
      <w:tblPr>
        <w:tblW w:w="9049" w:type="dxa"/>
        <w:tblLayout w:type="fixed"/>
        <w:tblLook w:val="0000" w:firstRow="0" w:lastRow="0" w:firstColumn="0" w:lastColumn="0" w:noHBand="0" w:noVBand="0"/>
      </w:tblPr>
      <w:tblGrid>
        <w:gridCol w:w="4153"/>
        <w:gridCol w:w="4896"/>
      </w:tblGrid>
      <w:tr w:rsidRPr="00E25790" w:rsidR="00E617D2" w:rsidTr="00943338" w14:paraId="26956BB2"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E617D2" w:rsidP="009469DB" w:rsidRDefault="00E617D2" w14:paraId="37572E3B" w14:textId="77777777">
            <w:pPr>
              <w:pStyle w:val="Heading1"/>
            </w:pPr>
            <w:bookmarkStart w:name="_Toc38106942" w:id="596"/>
            <w:bookmarkStart w:name="_Toc75340056" w:id="597"/>
            <w:r w:rsidRPr="006A160B">
              <w:lastRenderedPageBreak/>
              <w:t>V</w:t>
            </w:r>
            <w:r>
              <w:t>asopressin</w:t>
            </w:r>
            <w:bookmarkEnd w:id="596"/>
            <w:bookmarkEnd w:id="597"/>
            <w:r w:rsidRPr="006A160B">
              <w:fldChar w:fldCharType="begin"/>
            </w:r>
            <w:r w:rsidRPr="006A160B">
              <w:instrText>tc "Vecuronium" \l 0</w:instrText>
            </w:r>
            <w:r w:rsidRPr="006A160B">
              <w:fldChar w:fldCharType="end"/>
            </w:r>
          </w:p>
        </w:tc>
      </w:tr>
      <w:tr w:rsidRPr="00E25790" w:rsidR="00E617D2" w:rsidTr="00943338" w14:paraId="790F6BED"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E617D2" w:rsidP="006F0321" w:rsidRDefault="00E617D2" w14:paraId="4D515279" w14:textId="1FE29EB1">
            <w:r w:rsidRPr="00E25790">
              <w:t>Revision Date</w:t>
            </w:r>
            <w:r w:rsidRPr="00E25790">
              <w:rPr>
                <w:b/>
              </w:rPr>
              <w:t xml:space="preserve"> : </w:t>
            </w:r>
            <w:r w:rsidR="00961818">
              <w:rPr>
                <w:b/>
              </w:rPr>
              <w:t>18-6-2021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E617D2" w:rsidP="006F0321" w:rsidRDefault="00E617D2" w14:paraId="43D5B862" w14:textId="77777777">
            <w:r w:rsidRPr="00E25790">
              <w:t xml:space="preserve">Approved: </w:t>
            </w:r>
            <w:r>
              <w:t>TC, KOH</w:t>
            </w:r>
          </w:p>
        </w:tc>
      </w:tr>
    </w:tbl>
    <w:p w:rsidR="00115F48" w:rsidP="006F0321" w:rsidRDefault="00115F48" w14:paraId="5FAC6B9E" w14:textId="77777777"/>
    <w:tbl>
      <w:tblPr>
        <w:tblW w:w="5817"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1"/>
        <w:gridCol w:w="8788"/>
      </w:tblGrid>
      <w:tr w:rsidRPr="005F43A2" w:rsidR="00C33F51" w:rsidTr="008D48AE" w14:paraId="2F33A1FE" w14:textId="77777777">
        <w:trPr>
          <w:trHeight w:val="363"/>
        </w:trPr>
        <w:tc>
          <w:tcPr>
            <w:tcW w:w="811" w:type="pct"/>
          </w:tcPr>
          <w:p w:rsidRPr="005F43A2" w:rsidR="00C33F51" w:rsidP="00131848" w:rsidRDefault="00C33F51" w14:paraId="3EB1BD85" w14:textId="77777777">
            <w:pPr>
              <w:pStyle w:val="BodyText"/>
              <w:tabs>
                <w:tab w:val="center" w:pos="1476"/>
              </w:tabs>
              <w:rPr>
                <w:rFonts w:cs="Arial" w:asciiTheme="minorHAnsi" w:hAnsiTheme="minorHAnsi"/>
                <w:b/>
                <w:sz w:val="20"/>
              </w:rPr>
            </w:pPr>
            <w:r w:rsidRPr="005F43A2">
              <w:rPr>
                <w:rFonts w:cs="Arial" w:asciiTheme="minorHAnsi" w:hAnsiTheme="minorHAnsi"/>
                <w:b/>
                <w:sz w:val="20"/>
              </w:rPr>
              <w:t>Alert</w:t>
            </w:r>
          </w:p>
          <w:p w:rsidRPr="005F43A2" w:rsidR="00C33F51" w:rsidP="00131848" w:rsidRDefault="00C33F51" w14:paraId="43C07161" w14:textId="77777777">
            <w:pPr>
              <w:pStyle w:val="BodyText"/>
              <w:tabs>
                <w:tab w:val="center" w:pos="1476"/>
              </w:tabs>
              <w:rPr>
                <w:rFonts w:cs="Arial" w:asciiTheme="minorHAnsi" w:hAnsiTheme="minorHAnsi"/>
                <w:b/>
                <w:sz w:val="20"/>
              </w:rPr>
            </w:pPr>
            <w:r w:rsidRPr="005F43A2">
              <w:rPr>
                <w:rFonts w:cs="Arial" w:asciiTheme="minorHAnsi" w:hAnsiTheme="minorHAnsi"/>
                <w:b/>
                <w:sz w:val="20"/>
              </w:rPr>
              <w:t xml:space="preserve"> </w:t>
            </w:r>
          </w:p>
        </w:tc>
        <w:tc>
          <w:tcPr>
            <w:tcW w:w="4189" w:type="pct"/>
          </w:tcPr>
          <w:p w:rsidRPr="002B50BB" w:rsidR="00C33F51" w:rsidP="00131848" w:rsidRDefault="00C33F51" w14:paraId="48CA7CD1" w14:textId="77777777">
            <w:pPr>
              <w:overflowPunct w:val="0"/>
              <w:autoSpaceDE w:val="0"/>
              <w:autoSpaceDN w:val="0"/>
              <w:rPr>
                <w:rFonts w:eastAsia="Calibri"/>
                <w:b/>
                <w:bCs/>
                <w:sz w:val="20"/>
              </w:rPr>
            </w:pPr>
            <w:r>
              <w:rPr>
                <w:rFonts w:eastAsia="Calibri"/>
                <w:b/>
                <w:bCs/>
                <w:sz w:val="20"/>
              </w:rPr>
              <w:t>Note: 1 unit = 1000 milliunits</w:t>
            </w:r>
          </w:p>
          <w:p w:rsidRPr="005F43A2" w:rsidR="00C33F51" w:rsidP="00131848" w:rsidRDefault="00C33F51" w14:paraId="1B232AF4" w14:textId="77777777">
            <w:pPr>
              <w:pStyle w:val="BodyText"/>
              <w:rPr>
                <w:rFonts w:cs="Arial" w:asciiTheme="minorHAnsi" w:hAnsiTheme="minorHAnsi"/>
                <w:sz w:val="20"/>
              </w:rPr>
            </w:pPr>
            <w:r w:rsidRPr="005F43A2">
              <w:rPr>
                <w:rFonts w:cs="Arial" w:asciiTheme="minorHAnsi" w:hAnsiTheme="minorHAnsi"/>
                <w:sz w:val="20"/>
              </w:rPr>
              <w:t>When using for diabetes insipidus (DI), Paediatric Endocrine consultation should be obtained. M</w:t>
            </w:r>
            <w:r w:rsidRPr="005F43A2">
              <w:rPr>
                <w:rFonts w:asciiTheme="minorHAnsi" w:hAnsiTheme="minorHAnsi"/>
                <w:sz w:val="20"/>
              </w:rPr>
              <w:t>anagement should be in intensive care where monitoring and expertise are readily available.</w:t>
            </w:r>
          </w:p>
        </w:tc>
      </w:tr>
      <w:tr w:rsidRPr="005F43A2" w:rsidR="00C33F51" w:rsidTr="008D48AE" w14:paraId="17DD0AD7" w14:textId="77777777">
        <w:trPr>
          <w:trHeight w:val="184"/>
        </w:trPr>
        <w:tc>
          <w:tcPr>
            <w:tcW w:w="811" w:type="pct"/>
          </w:tcPr>
          <w:p w:rsidRPr="005F43A2" w:rsidR="00C33F51" w:rsidP="00131848" w:rsidRDefault="00C33F51" w14:paraId="6ADA4E75" w14:textId="77777777">
            <w:pPr>
              <w:pStyle w:val="BodyText"/>
              <w:rPr>
                <w:rFonts w:cs="Arial" w:asciiTheme="minorHAnsi" w:hAnsiTheme="minorHAnsi"/>
                <w:sz w:val="20"/>
              </w:rPr>
            </w:pPr>
            <w:r w:rsidRPr="005F43A2">
              <w:rPr>
                <w:rFonts w:cs="Arial" w:asciiTheme="minorHAnsi" w:hAnsiTheme="minorHAnsi"/>
                <w:b/>
                <w:bCs/>
                <w:sz w:val="20"/>
              </w:rPr>
              <w:t xml:space="preserve">Indication </w:t>
            </w:r>
          </w:p>
        </w:tc>
        <w:tc>
          <w:tcPr>
            <w:tcW w:w="4189" w:type="pct"/>
          </w:tcPr>
          <w:p w:rsidRPr="005F43A2" w:rsidR="00C33F51" w:rsidP="00C33F51" w:rsidRDefault="00C33F51" w14:paraId="5400DFC1" w14:textId="77777777">
            <w:pPr>
              <w:pStyle w:val="ListParagraph"/>
              <w:numPr>
                <w:ilvl w:val="0"/>
                <w:numId w:val="44"/>
              </w:numPr>
              <w:rPr>
                <w:rFonts w:asciiTheme="minorHAnsi" w:hAnsiTheme="minorHAnsi"/>
                <w:sz w:val="20"/>
              </w:rPr>
            </w:pPr>
            <w:r w:rsidRPr="005F43A2">
              <w:rPr>
                <w:rFonts w:asciiTheme="minorHAnsi" w:hAnsiTheme="minorHAnsi"/>
                <w:sz w:val="20"/>
              </w:rPr>
              <w:t xml:space="preserve">Treatment of refractory hypotension. </w:t>
            </w:r>
          </w:p>
          <w:p w:rsidRPr="005F43A2" w:rsidR="00C33F51" w:rsidP="00C33F51" w:rsidRDefault="00C33F51" w14:paraId="4094D5B1" w14:textId="77777777">
            <w:pPr>
              <w:pStyle w:val="ListParagraph"/>
              <w:numPr>
                <w:ilvl w:val="0"/>
                <w:numId w:val="44"/>
              </w:numPr>
              <w:rPr>
                <w:rFonts w:asciiTheme="minorHAnsi" w:hAnsiTheme="minorHAnsi"/>
                <w:sz w:val="20"/>
              </w:rPr>
            </w:pPr>
            <w:r w:rsidRPr="005F43A2">
              <w:rPr>
                <w:rFonts w:asciiTheme="minorHAnsi" w:hAnsiTheme="minorHAnsi"/>
                <w:sz w:val="20"/>
              </w:rPr>
              <w:t>Adjunctive treatment of pulmonary hypertension.</w:t>
            </w:r>
          </w:p>
          <w:p w:rsidRPr="005F43A2" w:rsidR="00C33F51" w:rsidP="00C33F51" w:rsidRDefault="00C33F51" w14:paraId="28D6B454" w14:textId="77777777">
            <w:pPr>
              <w:pStyle w:val="ListParagraph"/>
              <w:numPr>
                <w:ilvl w:val="0"/>
                <w:numId w:val="44"/>
              </w:numPr>
              <w:rPr>
                <w:rFonts w:asciiTheme="minorHAnsi" w:hAnsiTheme="minorHAnsi"/>
                <w:sz w:val="20"/>
              </w:rPr>
            </w:pPr>
            <w:r w:rsidRPr="005F43A2">
              <w:rPr>
                <w:rFonts w:asciiTheme="minorHAnsi" w:hAnsiTheme="minorHAnsi"/>
                <w:sz w:val="20"/>
              </w:rPr>
              <w:t>Acute antidiuretic hormone (ADH) replacement when diagnosis of diabetes insipidus established. [The drug of choice for the treatment of diabetes insipidus is desmopressin (dDAVP). An argipressin infusion should be considered in the initial management of post-surgical or post-traumatic DI.]</w:t>
            </w:r>
          </w:p>
          <w:p w:rsidRPr="005F43A2" w:rsidR="00C33F51" w:rsidP="00C33F51" w:rsidRDefault="00C33F51" w14:paraId="4FD0C9DD" w14:textId="77777777">
            <w:pPr>
              <w:pStyle w:val="ListParagraph"/>
              <w:numPr>
                <w:ilvl w:val="0"/>
                <w:numId w:val="44"/>
              </w:numPr>
              <w:rPr>
                <w:rFonts w:asciiTheme="minorHAnsi" w:hAnsiTheme="minorHAnsi"/>
                <w:sz w:val="20"/>
              </w:rPr>
            </w:pPr>
            <w:r w:rsidRPr="005F43A2">
              <w:rPr>
                <w:rFonts w:asciiTheme="minorHAnsi" w:hAnsiTheme="minorHAnsi"/>
                <w:sz w:val="20"/>
              </w:rPr>
              <w:t>Adjunct in acute massive haemorrhage of gastrointestinal tract or oesophageal varices (specialist use only) [Terlipressin or octreotide preferred].</w:t>
            </w:r>
          </w:p>
        </w:tc>
      </w:tr>
      <w:tr w:rsidRPr="005F43A2" w:rsidR="00C33F51" w:rsidTr="008D48AE" w14:paraId="7690CA59" w14:textId="77777777">
        <w:trPr>
          <w:trHeight w:val="320"/>
        </w:trPr>
        <w:tc>
          <w:tcPr>
            <w:tcW w:w="811" w:type="pct"/>
          </w:tcPr>
          <w:p w:rsidRPr="005F43A2" w:rsidR="00C33F51" w:rsidP="00131848" w:rsidRDefault="00C33F51" w14:paraId="15F58EA2" w14:textId="77777777">
            <w:pPr>
              <w:pStyle w:val="BodyText"/>
              <w:rPr>
                <w:rFonts w:cs="Arial" w:asciiTheme="minorHAnsi" w:hAnsiTheme="minorHAnsi"/>
                <w:b/>
                <w:bCs/>
                <w:sz w:val="20"/>
              </w:rPr>
            </w:pPr>
            <w:r w:rsidRPr="005F43A2">
              <w:rPr>
                <w:rFonts w:cs="Arial" w:asciiTheme="minorHAnsi" w:hAnsiTheme="minorHAnsi"/>
                <w:b/>
                <w:bCs/>
                <w:sz w:val="20"/>
              </w:rPr>
              <w:t>Action</w:t>
            </w:r>
          </w:p>
        </w:tc>
        <w:tc>
          <w:tcPr>
            <w:tcW w:w="4189" w:type="pct"/>
          </w:tcPr>
          <w:p w:rsidRPr="005F43A2" w:rsidR="00C33F51" w:rsidP="00131848" w:rsidRDefault="00C33F51" w14:paraId="086D9CFE" w14:textId="77777777">
            <w:pPr>
              <w:pStyle w:val="BodyText"/>
              <w:rPr>
                <w:rFonts w:cs="Arial" w:asciiTheme="minorHAnsi" w:hAnsiTheme="minorHAnsi"/>
                <w:sz w:val="20"/>
              </w:rPr>
            </w:pPr>
            <w:r w:rsidRPr="005F43A2">
              <w:rPr>
                <w:rFonts w:cs="Arial" w:asciiTheme="minorHAnsi" w:hAnsiTheme="minorHAnsi"/>
                <w:sz w:val="20"/>
              </w:rPr>
              <w:t>Antidiuretic hormone secreted by the posterior pituitary. Its release is mediated either by high serum osmolality or by a hypotension/low right atrial pressure baroreflex. Argipressin acts via V</w:t>
            </w:r>
            <w:r w:rsidRPr="005F43A2">
              <w:rPr>
                <w:rFonts w:cs="Arial" w:asciiTheme="minorHAnsi" w:hAnsiTheme="minorHAnsi"/>
                <w:sz w:val="20"/>
                <w:vertAlign w:val="subscript"/>
              </w:rPr>
              <w:t>1A</w:t>
            </w:r>
            <w:r w:rsidRPr="005F43A2">
              <w:rPr>
                <w:rFonts w:cs="Arial" w:asciiTheme="minorHAnsi" w:hAnsiTheme="minorHAnsi"/>
                <w:sz w:val="20"/>
              </w:rPr>
              <w:t xml:space="preserve"> receptors in blood vessels, causing vasoconstriction, and via V</w:t>
            </w:r>
            <w:r w:rsidRPr="000A2254">
              <w:rPr>
                <w:rFonts w:cs="Arial" w:asciiTheme="minorHAnsi" w:hAnsiTheme="minorHAnsi"/>
                <w:sz w:val="20"/>
                <w:vertAlign w:val="subscript"/>
              </w:rPr>
              <w:t>2</w:t>
            </w:r>
            <w:r w:rsidRPr="005F43A2">
              <w:rPr>
                <w:rFonts w:cs="Arial" w:asciiTheme="minorHAnsi" w:hAnsiTheme="minorHAnsi"/>
                <w:sz w:val="20"/>
              </w:rPr>
              <w:t xml:space="preserve"> receptors in the renal tubules, causing anti-diuresis. </w:t>
            </w:r>
          </w:p>
          <w:p w:rsidRPr="005F43A2" w:rsidR="00C33F51" w:rsidP="00131848" w:rsidRDefault="00C33F51" w14:paraId="702C8254" w14:textId="77777777">
            <w:pPr>
              <w:pStyle w:val="BodyText"/>
              <w:rPr>
                <w:rFonts w:cs="Arial" w:asciiTheme="minorHAnsi" w:hAnsiTheme="minorHAnsi"/>
                <w:sz w:val="20"/>
                <w:vertAlign w:val="superscript"/>
              </w:rPr>
            </w:pPr>
            <w:r>
              <w:rPr>
                <w:rFonts w:cs="Arial" w:asciiTheme="minorHAnsi" w:hAnsiTheme="minorHAnsi"/>
                <w:sz w:val="20"/>
              </w:rPr>
              <w:t>P</w:t>
            </w:r>
            <w:r w:rsidRPr="005F43A2">
              <w:rPr>
                <w:rFonts w:cs="Arial" w:asciiTheme="minorHAnsi" w:hAnsiTheme="minorHAnsi"/>
                <w:sz w:val="20"/>
              </w:rPr>
              <w:t>rovokes vasodilatation in some vascular beds via its action on oxytocin receptors.</w:t>
            </w:r>
          </w:p>
        </w:tc>
      </w:tr>
      <w:tr w:rsidRPr="005F43A2" w:rsidR="00C33F51" w:rsidTr="008D48AE" w14:paraId="35F2219D" w14:textId="77777777">
        <w:trPr>
          <w:trHeight w:val="266"/>
        </w:trPr>
        <w:tc>
          <w:tcPr>
            <w:tcW w:w="811" w:type="pct"/>
          </w:tcPr>
          <w:p w:rsidRPr="005F43A2" w:rsidR="00C33F51" w:rsidP="00131848" w:rsidRDefault="00C33F51" w14:paraId="2BAF9FA9" w14:textId="77777777">
            <w:pPr>
              <w:pStyle w:val="BodyText"/>
              <w:rPr>
                <w:rFonts w:cs="Arial" w:asciiTheme="minorHAnsi" w:hAnsiTheme="minorHAnsi"/>
                <w:sz w:val="20"/>
              </w:rPr>
            </w:pPr>
            <w:r w:rsidRPr="005F43A2">
              <w:rPr>
                <w:rFonts w:cs="Arial" w:asciiTheme="minorHAnsi" w:hAnsiTheme="minorHAnsi"/>
                <w:b/>
                <w:bCs/>
                <w:sz w:val="20"/>
              </w:rPr>
              <w:t xml:space="preserve">Drug Type                                   </w:t>
            </w:r>
          </w:p>
        </w:tc>
        <w:tc>
          <w:tcPr>
            <w:tcW w:w="4189" w:type="pct"/>
          </w:tcPr>
          <w:p w:rsidRPr="005F43A2" w:rsidR="00C33F51" w:rsidP="00131848" w:rsidRDefault="00C33F51" w14:paraId="0B8CDC75" w14:textId="77777777">
            <w:pPr>
              <w:pStyle w:val="BodyText"/>
              <w:rPr>
                <w:rFonts w:cs="Arial" w:asciiTheme="minorHAnsi" w:hAnsiTheme="minorHAnsi"/>
                <w:sz w:val="20"/>
              </w:rPr>
            </w:pPr>
            <w:r w:rsidRPr="005F43A2">
              <w:rPr>
                <w:rFonts w:cs="Arial" w:asciiTheme="minorHAnsi" w:hAnsiTheme="minorHAnsi"/>
                <w:sz w:val="20"/>
              </w:rPr>
              <w:t xml:space="preserve">Vasopressor. </w:t>
            </w:r>
          </w:p>
        </w:tc>
      </w:tr>
      <w:tr w:rsidRPr="005F43A2" w:rsidR="00C33F51" w:rsidTr="008D48AE" w14:paraId="32AE7A45" w14:textId="77777777">
        <w:trPr>
          <w:trHeight w:val="177"/>
        </w:trPr>
        <w:tc>
          <w:tcPr>
            <w:tcW w:w="811" w:type="pct"/>
          </w:tcPr>
          <w:p w:rsidRPr="005F43A2" w:rsidR="00C33F51" w:rsidP="00131848" w:rsidRDefault="00C33F51" w14:paraId="250044DA" w14:textId="77777777">
            <w:pPr>
              <w:pStyle w:val="BodyText"/>
              <w:rPr>
                <w:rFonts w:cs="Arial" w:asciiTheme="minorHAnsi" w:hAnsiTheme="minorHAnsi"/>
                <w:b/>
                <w:bCs/>
                <w:sz w:val="20"/>
              </w:rPr>
            </w:pPr>
            <w:r w:rsidRPr="005F43A2">
              <w:rPr>
                <w:rFonts w:cs="Arial" w:asciiTheme="minorHAnsi" w:hAnsiTheme="minorHAnsi"/>
                <w:b/>
                <w:bCs/>
                <w:sz w:val="20"/>
              </w:rPr>
              <w:t>Trade Name</w:t>
            </w:r>
          </w:p>
        </w:tc>
        <w:tc>
          <w:tcPr>
            <w:tcW w:w="4189" w:type="pct"/>
          </w:tcPr>
          <w:p w:rsidRPr="005F43A2" w:rsidR="00C33F51" w:rsidP="00131848" w:rsidRDefault="00C33F51" w14:paraId="165E173F" w14:textId="77777777">
            <w:pPr>
              <w:pStyle w:val="BodyText"/>
              <w:rPr>
                <w:rFonts w:cs="Arial" w:asciiTheme="minorHAnsi" w:hAnsiTheme="minorHAnsi"/>
                <w:sz w:val="20"/>
              </w:rPr>
            </w:pPr>
            <w:r w:rsidRPr="005F43A2">
              <w:rPr>
                <w:rFonts w:cs="Arial" w:asciiTheme="minorHAnsi" w:hAnsiTheme="minorHAnsi"/>
                <w:sz w:val="20"/>
              </w:rPr>
              <w:t>Pitressin.</w:t>
            </w:r>
          </w:p>
        </w:tc>
      </w:tr>
      <w:tr w:rsidRPr="005F43A2" w:rsidR="00C33F51" w:rsidTr="008D48AE" w14:paraId="1C7812A2" w14:textId="77777777">
        <w:trPr>
          <w:trHeight w:val="281"/>
        </w:trPr>
        <w:tc>
          <w:tcPr>
            <w:tcW w:w="811" w:type="pct"/>
          </w:tcPr>
          <w:p w:rsidRPr="005F43A2" w:rsidR="00C33F51" w:rsidP="00131848" w:rsidRDefault="00C33F51" w14:paraId="6A956D40" w14:textId="77777777">
            <w:pPr>
              <w:pStyle w:val="BodyText"/>
              <w:rPr>
                <w:rFonts w:cs="Arial" w:asciiTheme="minorHAnsi" w:hAnsiTheme="minorHAnsi"/>
                <w:b/>
                <w:bCs/>
                <w:sz w:val="20"/>
              </w:rPr>
            </w:pPr>
            <w:r w:rsidRPr="005F43A2">
              <w:rPr>
                <w:rFonts w:cs="Arial" w:asciiTheme="minorHAnsi" w:hAnsiTheme="minorHAnsi"/>
                <w:b/>
                <w:bCs/>
                <w:sz w:val="20"/>
              </w:rPr>
              <w:t xml:space="preserve">Presentation </w:t>
            </w:r>
          </w:p>
        </w:tc>
        <w:tc>
          <w:tcPr>
            <w:tcW w:w="4189" w:type="pct"/>
          </w:tcPr>
          <w:p w:rsidRPr="005F43A2" w:rsidR="00C33F51" w:rsidP="00131848" w:rsidRDefault="00C33F51" w14:paraId="018D1555" w14:textId="77777777">
            <w:pPr>
              <w:pStyle w:val="BodyText"/>
              <w:ind w:left="34"/>
              <w:rPr>
                <w:rFonts w:cs="Arial" w:asciiTheme="minorHAnsi" w:hAnsiTheme="minorHAnsi"/>
                <w:sz w:val="20"/>
              </w:rPr>
            </w:pPr>
            <w:r w:rsidRPr="005F43A2">
              <w:rPr>
                <w:rFonts w:cs="Arial" w:asciiTheme="minorHAnsi" w:hAnsiTheme="minorHAnsi"/>
                <w:sz w:val="20"/>
              </w:rPr>
              <w:t>20 unit/1 mL</w:t>
            </w:r>
            <w:r>
              <w:rPr>
                <w:rFonts w:cs="Arial" w:asciiTheme="minorHAnsi" w:hAnsiTheme="minorHAnsi"/>
                <w:sz w:val="20"/>
              </w:rPr>
              <w:t xml:space="preserve"> ampoule</w:t>
            </w:r>
          </w:p>
        </w:tc>
      </w:tr>
      <w:tr w:rsidRPr="005F43A2" w:rsidR="00C33F51" w:rsidTr="008D48AE" w14:paraId="053DEC60" w14:textId="77777777">
        <w:trPr>
          <w:trHeight w:val="587"/>
        </w:trPr>
        <w:tc>
          <w:tcPr>
            <w:tcW w:w="811" w:type="pct"/>
          </w:tcPr>
          <w:p w:rsidRPr="005F43A2" w:rsidR="00C33F51" w:rsidP="00131848" w:rsidRDefault="00C33F51" w14:paraId="456F7F88" w14:textId="77777777">
            <w:pPr>
              <w:pStyle w:val="BodyText"/>
              <w:rPr>
                <w:rFonts w:cs="Arial" w:asciiTheme="minorHAnsi" w:hAnsiTheme="minorHAnsi"/>
                <w:b/>
                <w:bCs/>
                <w:sz w:val="20"/>
              </w:rPr>
            </w:pPr>
            <w:r>
              <w:rPr>
                <w:rFonts w:cs="Arial" w:asciiTheme="minorHAnsi" w:hAnsiTheme="minorHAnsi"/>
                <w:b/>
                <w:bCs/>
                <w:sz w:val="20"/>
              </w:rPr>
              <w:t>Dose</w:t>
            </w:r>
          </w:p>
          <w:p w:rsidRPr="005F43A2" w:rsidR="00C33F51" w:rsidP="00131848" w:rsidRDefault="00C33F51" w14:paraId="617C6FF7" w14:textId="77777777">
            <w:pPr>
              <w:pStyle w:val="BodyText"/>
              <w:rPr>
                <w:rFonts w:cs="Arial" w:asciiTheme="minorHAnsi" w:hAnsiTheme="minorHAnsi"/>
                <w:sz w:val="20"/>
              </w:rPr>
            </w:pPr>
          </w:p>
        </w:tc>
        <w:tc>
          <w:tcPr>
            <w:tcW w:w="4189" w:type="pct"/>
          </w:tcPr>
          <w:p w:rsidRPr="005F43A2" w:rsidR="00C33F51" w:rsidP="00131848" w:rsidRDefault="00C33F51" w14:paraId="7DE039EF" w14:textId="77777777">
            <w:pPr>
              <w:pStyle w:val="BodyText"/>
              <w:rPr>
                <w:rFonts w:asciiTheme="minorHAnsi" w:hAnsiTheme="minorHAnsi"/>
                <w:b/>
                <w:sz w:val="20"/>
              </w:rPr>
            </w:pPr>
            <w:r w:rsidRPr="005F43A2">
              <w:rPr>
                <w:rFonts w:asciiTheme="minorHAnsi" w:hAnsiTheme="minorHAnsi"/>
                <w:b/>
                <w:sz w:val="20"/>
              </w:rPr>
              <w:t xml:space="preserve">For hypotension: </w:t>
            </w:r>
          </w:p>
          <w:p w:rsidRPr="005F43A2" w:rsidR="00C33F51" w:rsidP="00131848" w:rsidRDefault="00C33F51" w14:paraId="1E1B728C" w14:textId="77777777">
            <w:pPr>
              <w:pStyle w:val="BodyText"/>
              <w:rPr>
                <w:rFonts w:asciiTheme="minorHAnsi" w:hAnsiTheme="minorHAnsi"/>
                <w:sz w:val="20"/>
              </w:rPr>
            </w:pPr>
            <w:r>
              <w:rPr>
                <w:rFonts w:asciiTheme="minorHAnsi" w:hAnsiTheme="minorHAnsi"/>
                <w:sz w:val="20"/>
              </w:rPr>
              <w:t>10-50 milliunit</w:t>
            </w:r>
            <w:r w:rsidRPr="005F43A2">
              <w:rPr>
                <w:rFonts w:asciiTheme="minorHAnsi" w:hAnsiTheme="minorHAnsi"/>
                <w:sz w:val="20"/>
              </w:rPr>
              <w:t>/kg/hour infusion</w:t>
            </w:r>
            <w:r>
              <w:rPr>
                <w:rFonts w:asciiTheme="minorHAnsi" w:hAnsiTheme="minorHAnsi"/>
                <w:sz w:val="20"/>
              </w:rPr>
              <w:t>.</w:t>
            </w:r>
            <w:r w:rsidRPr="005F43A2">
              <w:rPr>
                <w:rFonts w:asciiTheme="minorHAnsi" w:hAnsiTheme="minorHAnsi"/>
                <w:sz w:val="20"/>
              </w:rPr>
              <w:t xml:space="preserve"> </w:t>
            </w:r>
          </w:p>
          <w:p w:rsidR="00C33F51" w:rsidP="00131848" w:rsidRDefault="00C33F51" w14:paraId="1E062DEB" w14:textId="77777777">
            <w:pPr>
              <w:pStyle w:val="BodyText"/>
              <w:rPr>
                <w:rFonts w:asciiTheme="minorHAnsi" w:hAnsiTheme="minorHAnsi"/>
                <w:b/>
                <w:sz w:val="20"/>
              </w:rPr>
            </w:pPr>
          </w:p>
          <w:p w:rsidRPr="005F43A2" w:rsidR="00C33F51" w:rsidP="00131848" w:rsidRDefault="00C33F51" w14:paraId="6E1C47AA" w14:textId="77777777">
            <w:pPr>
              <w:pStyle w:val="BodyText"/>
              <w:rPr>
                <w:rFonts w:asciiTheme="minorHAnsi" w:hAnsiTheme="minorHAnsi"/>
                <w:b/>
                <w:sz w:val="20"/>
              </w:rPr>
            </w:pPr>
            <w:r w:rsidRPr="005F43A2">
              <w:rPr>
                <w:rFonts w:asciiTheme="minorHAnsi" w:hAnsiTheme="minorHAnsi"/>
                <w:b/>
                <w:sz w:val="20"/>
              </w:rPr>
              <w:t>For pulmonary hypertension:</w:t>
            </w:r>
          </w:p>
          <w:p w:rsidRPr="005F43A2" w:rsidR="00C33F51" w:rsidP="00131848" w:rsidRDefault="00C33F51" w14:paraId="4DF646E8" w14:textId="77777777">
            <w:pPr>
              <w:pStyle w:val="BodyText"/>
              <w:rPr>
                <w:rFonts w:asciiTheme="minorHAnsi" w:hAnsiTheme="minorHAnsi"/>
                <w:sz w:val="20"/>
              </w:rPr>
            </w:pPr>
            <w:r>
              <w:rPr>
                <w:rFonts w:asciiTheme="minorHAnsi" w:hAnsiTheme="minorHAnsi"/>
                <w:sz w:val="20"/>
              </w:rPr>
              <w:t>10-20 milliunit</w:t>
            </w:r>
            <w:r w:rsidRPr="005F43A2">
              <w:rPr>
                <w:rFonts w:asciiTheme="minorHAnsi" w:hAnsiTheme="minorHAnsi"/>
                <w:sz w:val="20"/>
              </w:rPr>
              <w:t xml:space="preserve">/kg/hour (can be commenced at </w:t>
            </w:r>
            <w:r>
              <w:rPr>
                <w:rFonts w:asciiTheme="minorHAnsi" w:hAnsiTheme="minorHAnsi"/>
                <w:sz w:val="20"/>
              </w:rPr>
              <w:t>6 milliunit</w:t>
            </w:r>
            <w:r w:rsidRPr="005F43A2">
              <w:rPr>
                <w:rFonts w:asciiTheme="minorHAnsi" w:hAnsiTheme="minorHAnsi"/>
                <w:sz w:val="20"/>
              </w:rPr>
              <w:t xml:space="preserve">/kg/hour to a maximum </w:t>
            </w:r>
            <w:r>
              <w:rPr>
                <w:rFonts w:asciiTheme="minorHAnsi" w:hAnsiTheme="minorHAnsi"/>
                <w:sz w:val="20"/>
              </w:rPr>
              <w:t>70 milliunit</w:t>
            </w:r>
            <w:r w:rsidRPr="005F43A2">
              <w:rPr>
                <w:rFonts w:asciiTheme="minorHAnsi" w:hAnsiTheme="minorHAnsi"/>
                <w:sz w:val="20"/>
              </w:rPr>
              <w:t>/kg/hour)</w:t>
            </w:r>
          </w:p>
          <w:p w:rsidR="00C33F51" w:rsidP="00131848" w:rsidRDefault="00C33F51" w14:paraId="7C0B1FC0" w14:textId="77777777">
            <w:pPr>
              <w:pStyle w:val="BodyText"/>
              <w:rPr>
                <w:rFonts w:asciiTheme="minorHAnsi" w:hAnsiTheme="minorHAnsi"/>
                <w:b/>
                <w:sz w:val="20"/>
              </w:rPr>
            </w:pPr>
          </w:p>
          <w:p w:rsidRPr="005F43A2" w:rsidR="00C33F51" w:rsidP="00131848" w:rsidRDefault="00C33F51" w14:paraId="51CDF10D" w14:textId="77777777">
            <w:pPr>
              <w:pStyle w:val="BodyText"/>
              <w:rPr>
                <w:rFonts w:asciiTheme="minorHAnsi" w:hAnsiTheme="minorHAnsi"/>
                <w:b/>
                <w:sz w:val="20"/>
              </w:rPr>
            </w:pPr>
            <w:r w:rsidRPr="005F43A2">
              <w:rPr>
                <w:rFonts w:asciiTheme="minorHAnsi" w:hAnsiTheme="minorHAnsi"/>
                <w:b/>
                <w:sz w:val="20"/>
              </w:rPr>
              <w:t xml:space="preserve">For diabetes insipidus: </w:t>
            </w:r>
          </w:p>
          <w:p w:rsidRPr="005F43A2" w:rsidR="00C33F51" w:rsidP="00131848" w:rsidRDefault="00C33F51" w14:paraId="64A55391" w14:textId="77777777">
            <w:pPr>
              <w:pStyle w:val="BodyText"/>
              <w:rPr>
                <w:rFonts w:asciiTheme="minorHAnsi" w:hAnsiTheme="minorHAnsi"/>
                <w:sz w:val="20"/>
              </w:rPr>
            </w:pPr>
            <w:r w:rsidRPr="005F43A2">
              <w:rPr>
                <w:rFonts w:asciiTheme="minorHAnsi" w:hAnsiTheme="minorHAnsi"/>
                <w:sz w:val="20"/>
              </w:rPr>
              <w:t>Starting dose: 0.5 milliunit/kg/hour</w:t>
            </w:r>
          </w:p>
          <w:p w:rsidRPr="005F43A2" w:rsidR="00C33F51" w:rsidP="00131848" w:rsidRDefault="00C33F51" w14:paraId="3583C555" w14:textId="77777777">
            <w:pPr>
              <w:pStyle w:val="BodyText"/>
              <w:rPr>
                <w:rFonts w:asciiTheme="minorHAnsi" w:hAnsiTheme="minorHAnsi"/>
                <w:sz w:val="20"/>
              </w:rPr>
            </w:pPr>
            <w:r w:rsidRPr="005F43A2">
              <w:rPr>
                <w:rFonts w:asciiTheme="minorHAnsi" w:hAnsiTheme="minorHAnsi"/>
                <w:sz w:val="20"/>
              </w:rPr>
              <w:t>Dose range: 0.5 to 1 milliunit/kg/hour. May increase to 2 milliunit/kg/hour.</w:t>
            </w:r>
          </w:p>
          <w:p w:rsidRPr="005F43A2" w:rsidR="00C33F51" w:rsidP="00131848" w:rsidRDefault="00C33F51" w14:paraId="1B3617B0" w14:textId="77777777">
            <w:pPr>
              <w:pStyle w:val="BodyText"/>
              <w:rPr>
                <w:rFonts w:asciiTheme="minorHAnsi" w:hAnsiTheme="minorHAnsi"/>
                <w:sz w:val="20"/>
              </w:rPr>
            </w:pPr>
            <w:r w:rsidRPr="005F43A2">
              <w:rPr>
                <w:rFonts w:asciiTheme="minorHAnsi" w:hAnsiTheme="minorHAnsi"/>
                <w:sz w:val="20"/>
              </w:rPr>
              <w:t>The final wean may be from 0.5 to 0.25 milliunit/kg/hour</w:t>
            </w:r>
            <w:r>
              <w:rPr>
                <w:rFonts w:asciiTheme="minorHAnsi" w:hAnsiTheme="minorHAnsi"/>
                <w:sz w:val="20"/>
              </w:rPr>
              <w:t>.</w:t>
            </w:r>
          </w:p>
          <w:p w:rsidR="00C33F51" w:rsidP="00131848" w:rsidRDefault="00C33F51" w14:paraId="05376B32" w14:textId="77777777">
            <w:pPr>
              <w:pStyle w:val="BodyText"/>
              <w:rPr>
                <w:rFonts w:asciiTheme="minorHAnsi" w:hAnsiTheme="minorHAnsi"/>
                <w:b/>
                <w:sz w:val="20"/>
              </w:rPr>
            </w:pPr>
          </w:p>
          <w:p w:rsidRPr="005F43A2" w:rsidR="00C33F51" w:rsidP="00131848" w:rsidRDefault="00C33F51" w14:paraId="3A180FBE" w14:textId="77777777">
            <w:pPr>
              <w:pStyle w:val="BodyText"/>
              <w:rPr>
                <w:rFonts w:asciiTheme="minorHAnsi" w:hAnsiTheme="minorHAnsi"/>
                <w:b/>
                <w:sz w:val="20"/>
              </w:rPr>
            </w:pPr>
            <w:r w:rsidRPr="005F43A2">
              <w:rPr>
                <w:rFonts w:asciiTheme="minorHAnsi" w:hAnsiTheme="minorHAnsi"/>
                <w:b/>
                <w:sz w:val="20"/>
              </w:rPr>
              <w:t>For acute massive gastrointestinal bleeding:</w:t>
            </w:r>
          </w:p>
          <w:p w:rsidRPr="005F43A2" w:rsidR="00C33F51" w:rsidP="00131848" w:rsidRDefault="00C33F51" w14:paraId="4820B6CD" w14:textId="77777777">
            <w:pPr>
              <w:pStyle w:val="BodyText"/>
              <w:rPr>
                <w:rFonts w:asciiTheme="minorHAnsi" w:hAnsiTheme="minorHAnsi"/>
                <w:sz w:val="20"/>
              </w:rPr>
            </w:pPr>
            <w:r w:rsidRPr="005F43A2">
              <w:rPr>
                <w:rFonts w:asciiTheme="minorHAnsi" w:hAnsiTheme="minorHAnsi"/>
                <w:sz w:val="20"/>
              </w:rPr>
              <w:t>May not be best agent for this indication.</w:t>
            </w:r>
          </w:p>
          <w:p w:rsidRPr="005F43A2" w:rsidR="00C33F51" w:rsidP="00131848" w:rsidRDefault="00C33F51" w14:paraId="2A11BAF4" w14:textId="77777777">
            <w:pPr>
              <w:pStyle w:val="BodyText"/>
              <w:rPr>
                <w:rFonts w:asciiTheme="minorHAnsi" w:hAnsiTheme="minorHAnsi"/>
                <w:sz w:val="20"/>
              </w:rPr>
            </w:pPr>
            <w:r w:rsidRPr="005F43A2">
              <w:rPr>
                <w:rFonts w:asciiTheme="minorHAnsi" w:hAnsiTheme="minorHAnsi"/>
                <w:sz w:val="20"/>
              </w:rPr>
              <w:t xml:space="preserve">Commence argipressin </w:t>
            </w:r>
            <w:r>
              <w:rPr>
                <w:rFonts w:asciiTheme="minorHAnsi" w:hAnsiTheme="minorHAnsi"/>
                <w:sz w:val="20"/>
              </w:rPr>
              <w:t>120milli</w:t>
            </w:r>
            <w:r w:rsidRPr="005F43A2">
              <w:rPr>
                <w:rFonts w:asciiTheme="minorHAnsi" w:hAnsiTheme="minorHAnsi"/>
                <w:sz w:val="20"/>
              </w:rPr>
              <w:t xml:space="preserve">unit/kg/hour. Increase (titrate) over 2 hours to maximal dose of </w:t>
            </w:r>
            <w:r>
              <w:rPr>
                <w:rFonts w:asciiTheme="minorHAnsi" w:hAnsiTheme="minorHAnsi"/>
                <w:sz w:val="20"/>
              </w:rPr>
              <w:t>600 milliunit</w:t>
            </w:r>
            <w:r w:rsidRPr="005F43A2">
              <w:rPr>
                <w:rFonts w:asciiTheme="minorHAnsi" w:hAnsiTheme="minorHAnsi"/>
                <w:sz w:val="20"/>
              </w:rPr>
              <w:t xml:space="preserve">/kg/hour. Monitor carefully for side effects including fluid retention, electrolyte abnormalities, hypertension and cardiac arrhythmias. If bleeding not controlled at dose </w:t>
            </w:r>
            <w:r>
              <w:rPr>
                <w:rFonts w:asciiTheme="minorHAnsi" w:hAnsiTheme="minorHAnsi"/>
                <w:sz w:val="20"/>
              </w:rPr>
              <w:t>600 milliunit</w:t>
            </w:r>
            <w:r w:rsidRPr="005F43A2">
              <w:rPr>
                <w:rFonts w:asciiTheme="minorHAnsi" w:hAnsiTheme="minorHAnsi"/>
                <w:sz w:val="20"/>
              </w:rPr>
              <w:t>/kg/hour (</w:t>
            </w:r>
            <w:r>
              <w:rPr>
                <w:rFonts w:asciiTheme="minorHAnsi" w:hAnsiTheme="minorHAnsi"/>
                <w:sz w:val="20"/>
              </w:rPr>
              <w:t>10milli</w:t>
            </w:r>
            <w:r w:rsidRPr="005F43A2">
              <w:rPr>
                <w:rFonts w:asciiTheme="minorHAnsi" w:hAnsiTheme="minorHAnsi"/>
                <w:sz w:val="20"/>
              </w:rPr>
              <w:t xml:space="preserve">unit/kg/minute) then unlikely to be controlled at higher doses and other measures should be used. </w:t>
            </w:r>
          </w:p>
        </w:tc>
      </w:tr>
      <w:tr w:rsidRPr="005F43A2" w:rsidR="00C33F51" w:rsidTr="008D48AE" w14:paraId="75ECE668" w14:textId="77777777">
        <w:trPr>
          <w:trHeight w:val="117"/>
        </w:trPr>
        <w:tc>
          <w:tcPr>
            <w:tcW w:w="811" w:type="pct"/>
          </w:tcPr>
          <w:p w:rsidR="00C33F51" w:rsidP="00131848" w:rsidRDefault="00C33F51" w14:paraId="33A1C829" w14:textId="77777777">
            <w:pPr>
              <w:pStyle w:val="BodyText"/>
              <w:rPr>
                <w:rFonts w:cs="Arial" w:asciiTheme="minorHAnsi" w:hAnsiTheme="minorHAnsi"/>
                <w:b/>
                <w:bCs/>
                <w:sz w:val="20"/>
              </w:rPr>
            </w:pPr>
            <w:r>
              <w:rPr>
                <w:rFonts w:cs="Arial" w:asciiTheme="minorHAnsi" w:hAnsiTheme="minorHAnsi"/>
                <w:b/>
                <w:bCs/>
                <w:sz w:val="20"/>
              </w:rPr>
              <w:t>Dose adjustment</w:t>
            </w:r>
          </w:p>
        </w:tc>
        <w:tc>
          <w:tcPr>
            <w:tcW w:w="4189" w:type="pct"/>
          </w:tcPr>
          <w:p w:rsidRPr="002B50BB" w:rsidR="00C33F51" w:rsidP="00131848" w:rsidRDefault="00C33F51" w14:paraId="6088A9F4" w14:textId="77777777">
            <w:pPr>
              <w:pStyle w:val="BodyText"/>
              <w:rPr>
                <w:rFonts w:asciiTheme="minorHAnsi" w:hAnsiTheme="minorHAnsi"/>
                <w:sz w:val="20"/>
              </w:rPr>
            </w:pPr>
          </w:p>
        </w:tc>
      </w:tr>
      <w:tr w:rsidRPr="005F43A2" w:rsidR="00C33F51" w:rsidTr="008D48AE" w14:paraId="4F459E07" w14:textId="77777777">
        <w:trPr>
          <w:trHeight w:val="407"/>
        </w:trPr>
        <w:tc>
          <w:tcPr>
            <w:tcW w:w="811" w:type="pct"/>
          </w:tcPr>
          <w:p w:rsidRPr="005F43A2" w:rsidR="00C33F51" w:rsidP="00131848" w:rsidRDefault="00C33F51" w14:paraId="1C500BC9" w14:textId="77777777">
            <w:pPr>
              <w:pStyle w:val="BodyText"/>
              <w:rPr>
                <w:rFonts w:asciiTheme="minorHAnsi" w:hAnsiTheme="minorHAnsi"/>
                <w:b/>
                <w:sz w:val="20"/>
              </w:rPr>
            </w:pPr>
            <w:r w:rsidRPr="005F43A2">
              <w:rPr>
                <w:rFonts w:asciiTheme="minorHAnsi" w:hAnsiTheme="minorHAnsi"/>
                <w:b/>
                <w:sz w:val="20"/>
              </w:rPr>
              <w:t>Maximum dose</w:t>
            </w:r>
          </w:p>
        </w:tc>
        <w:tc>
          <w:tcPr>
            <w:tcW w:w="4189" w:type="pct"/>
          </w:tcPr>
          <w:p w:rsidRPr="005F43A2" w:rsidR="00C33F51" w:rsidP="00131848" w:rsidRDefault="00C33F51" w14:paraId="45E0D5FE" w14:textId="77777777">
            <w:pPr>
              <w:pStyle w:val="BodyText"/>
              <w:rPr>
                <w:rFonts w:asciiTheme="minorHAnsi" w:hAnsiTheme="minorHAnsi"/>
                <w:sz w:val="20"/>
              </w:rPr>
            </w:pPr>
            <w:r w:rsidRPr="005F43A2">
              <w:rPr>
                <w:rFonts w:asciiTheme="minorHAnsi" w:hAnsiTheme="minorHAnsi"/>
                <w:sz w:val="20"/>
              </w:rPr>
              <w:t xml:space="preserve">For hypotension: </w:t>
            </w:r>
            <w:r>
              <w:rPr>
                <w:rFonts w:asciiTheme="minorHAnsi" w:hAnsiTheme="minorHAnsi"/>
                <w:sz w:val="20"/>
              </w:rPr>
              <w:t>120 milliunit</w:t>
            </w:r>
            <w:r w:rsidRPr="005F43A2">
              <w:rPr>
                <w:rFonts w:asciiTheme="minorHAnsi" w:hAnsiTheme="minorHAnsi"/>
                <w:sz w:val="20"/>
              </w:rPr>
              <w:t>/kg/hour (</w:t>
            </w:r>
            <w:r>
              <w:rPr>
                <w:rFonts w:asciiTheme="minorHAnsi" w:hAnsiTheme="minorHAnsi"/>
                <w:sz w:val="20"/>
              </w:rPr>
              <w:t>2 milliunit</w:t>
            </w:r>
            <w:r w:rsidRPr="005F43A2">
              <w:rPr>
                <w:rFonts w:asciiTheme="minorHAnsi" w:hAnsiTheme="minorHAnsi"/>
                <w:sz w:val="20"/>
              </w:rPr>
              <w:t xml:space="preserve">/kg/minute). [Note up to </w:t>
            </w:r>
            <w:r>
              <w:rPr>
                <w:rFonts w:asciiTheme="minorHAnsi" w:hAnsiTheme="minorHAnsi"/>
                <w:sz w:val="20"/>
              </w:rPr>
              <w:t>480 milliunit</w:t>
            </w:r>
            <w:r w:rsidRPr="005F43A2">
              <w:rPr>
                <w:rFonts w:asciiTheme="minorHAnsi" w:hAnsiTheme="minorHAnsi"/>
                <w:sz w:val="20"/>
              </w:rPr>
              <w:t>/kg/hour (</w:t>
            </w:r>
            <w:r>
              <w:rPr>
                <w:rFonts w:asciiTheme="minorHAnsi" w:hAnsiTheme="minorHAnsi"/>
                <w:sz w:val="20"/>
              </w:rPr>
              <w:t>8 milliunit</w:t>
            </w:r>
            <w:r w:rsidRPr="005F43A2">
              <w:rPr>
                <w:rFonts w:asciiTheme="minorHAnsi" w:hAnsiTheme="minorHAnsi"/>
                <w:sz w:val="20"/>
              </w:rPr>
              <w:t>/kg/minute) has been reported.]</w:t>
            </w:r>
          </w:p>
          <w:p w:rsidRPr="005F43A2" w:rsidR="00C33F51" w:rsidP="00131848" w:rsidRDefault="00C33F51" w14:paraId="5D7E3F0C" w14:textId="77777777">
            <w:pPr>
              <w:pStyle w:val="BodyText"/>
              <w:rPr>
                <w:rFonts w:asciiTheme="minorHAnsi" w:hAnsiTheme="minorHAnsi"/>
                <w:sz w:val="20"/>
              </w:rPr>
            </w:pPr>
            <w:r w:rsidRPr="005F43A2">
              <w:rPr>
                <w:rFonts w:asciiTheme="minorHAnsi" w:hAnsiTheme="minorHAnsi"/>
                <w:sz w:val="20"/>
              </w:rPr>
              <w:t xml:space="preserve">For acute massive gastrointestinal bleeding: </w:t>
            </w:r>
            <w:r>
              <w:rPr>
                <w:rFonts w:asciiTheme="minorHAnsi" w:hAnsiTheme="minorHAnsi"/>
                <w:sz w:val="20"/>
              </w:rPr>
              <w:t>600 milliunit</w:t>
            </w:r>
            <w:r w:rsidRPr="005F43A2">
              <w:rPr>
                <w:rFonts w:asciiTheme="minorHAnsi" w:hAnsiTheme="minorHAnsi"/>
                <w:sz w:val="20"/>
              </w:rPr>
              <w:t>/kg/hour (</w:t>
            </w:r>
            <w:r>
              <w:rPr>
                <w:rFonts w:asciiTheme="minorHAnsi" w:hAnsiTheme="minorHAnsi"/>
                <w:sz w:val="20"/>
              </w:rPr>
              <w:t>10 milliunit</w:t>
            </w:r>
            <w:r w:rsidRPr="005F43A2">
              <w:rPr>
                <w:rFonts w:asciiTheme="minorHAnsi" w:hAnsiTheme="minorHAnsi"/>
                <w:sz w:val="20"/>
              </w:rPr>
              <w:t>/kg/min).</w:t>
            </w:r>
          </w:p>
        </w:tc>
      </w:tr>
      <w:tr w:rsidRPr="005F43A2" w:rsidR="00C33F51" w:rsidTr="008D48AE" w14:paraId="43A0D9F7" w14:textId="77777777">
        <w:trPr>
          <w:trHeight w:val="407"/>
        </w:trPr>
        <w:tc>
          <w:tcPr>
            <w:tcW w:w="811" w:type="pct"/>
          </w:tcPr>
          <w:p w:rsidRPr="005F43A2" w:rsidR="00C33F51" w:rsidP="00131848" w:rsidRDefault="00C33F51" w14:paraId="3CCC573F" w14:textId="77777777">
            <w:pPr>
              <w:pStyle w:val="BodyText"/>
              <w:rPr>
                <w:rFonts w:asciiTheme="minorHAnsi" w:hAnsiTheme="minorHAnsi"/>
                <w:b/>
                <w:sz w:val="20"/>
              </w:rPr>
            </w:pPr>
            <w:r>
              <w:rPr>
                <w:rFonts w:asciiTheme="minorHAnsi" w:hAnsiTheme="minorHAnsi"/>
                <w:b/>
                <w:sz w:val="20"/>
              </w:rPr>
              <w:t>Total cumulative dose</w:t>
            </w:r>
          </w:p>
        </w:tc>
        <w:tc>
          <w:tcPr>
            <w:tcW w:w="4189" w:type="pct"/>
          </w:tcPr>
          <w:p w:rsidRPr="005F43A2" w:rsidR="00C33F51" w:rsidP="00131848" w:rsidRDefault="00C33F51" w14:paraId="063BEA86" w14:textId="77777777">
            <w:pPr>
              <w:pStyle w:val="BodyText"/>
              <w:rPr>
                <w:rFonts w:asciiTheme="minorHAnsi" w:hAnsiTheme="minorHAnsi"/>
                <w:sz w:val="20"/>
              </w:rPr>
            </w:pPr>
          </w:p>
        </w:tc>
      </w:tr>
      <w:tr w:rsidRPr="005F43A2" w:rsidR="00C33F51" w:rsidTr="008D48AE" w14:paraId="7D1E8929" w14:textId="77777777">
        <w:trPr>
          <w:trHeight w:val="198"/>
        </w:trPr>
        <w:tc>
          <w:tcPr>
            <w:tcW w:w="811" w:type="pct"/>
          </w:tcPr>
          <w:p w:rsidRPr="00EA1989" w:rsidR="00C33F51" w:rsidP="00131848" w:rsidRDefault="00C33F51" w14:paraId="0CD6B6EB" w14:textId="77777777">
            <w:pPr>
              <w:pStyle w:val="BodyText"/>
              <w:rPr>
                <w:rFonts w:cs="Arial" w:asciiTheme="minorHAnsi" w:hAnsiTheme="minorHAnsi"/>
                <w:b/>
                <w:bCs/>
                <w:sz w:val="20"/>
              </w:rPr>
            </w:pPr>
            <w:r w:rsidRPr="005F43A2">
              <w:rPr>
                <w:rFonts w:cs="Arial" w:asciiTheme="minorHAnsi" w:hAnsiTheme="minorHAnsi"/>
                <w:b/>
                <w:bCs/>
                <w:sz w:val="20"/>
              </w:rPr>
              <w:t>Route</w:t>
            </w:r>
            <w:r>
              <w:rPr>
                <w:rFonts w:cs="Arial" w:asciiTheme="minorHAnsi" w:hAnsiTheme="minorHAnsi"/>
                <w:b/>
                <w:bCs/>
                <w:sz w:val="20"/>
              </w:rPr>
              <w:t xml:space="preserve">                               </w:t>
            </w:r>
            <w:r w:rsidRPr="005F43A2">
              <w:rPr>
                <w:rFonts w:cs="Arial" w:asciiTheme="minorHAnsi" w:hAnsiTheme="minorHAnsi"/>
                <w:b/>
                <w:bCs/>
                <w:sz w:val="20"/>
              </w:rPr>
              <w:t xml:space="preserve">     </w:t>
            </w:r>
          </w:p>
        </w:tc>
        <w:tc>
          <w:tcPr>
            <w:tcW w:w="4189" w:type="pct"/>
          </w:tcPr>
          <w:p w:rsidRPr="005F43A2" w:rsidR="00C33F51" w:rsidP="00131848" w:rsidRDefault="00C33F51" w14:paraId="24341536" w14:textId="77777777">
            <w:pPr>
              <w:pStyle w:val="BodyText"/>
              <w:rPr>
                <w:rFonts w:cs="Arial" w:asciiTheme="minorHAnsi" w:hAnsiTheme="minorHAnsi"/>
                <w:sz w:val="20"/>
              </w:rPr>
            </w:pPr>
            <w:r w:rsidRPr="005F43A2">
              <w:rPr>
                <w:rFonts w:cs="Arial" w:asciiTheme="minorHAnsi" w:hAnsiTheme="minorHAnsi"/>
                <w:sz w:val="20"/>
              </w:rPr>
              <w:t>Continuous IV infusion.</w:t>
            </w:r>
          </w:p>
        </w:tc>
      </w:tr>
      <w:tr w:rsidRPr="005F43A2" w:rsidR="00C33F51" w:rsidTr="008D48AE" w14:paraId="6A01D27B" w14:textId="77777777">
        <w:trPr>
          <w:trHeight w:val="1523"/>
        </w:trPr>
        <w:tc>
          <w:tcPr>
            <w:tcW w:w="811" w:type="pct"/>
          </w:tcPr>
          <w:p w:rsidRPr="005F43A2" w:rsidR="00C33F51" w:rsidP="00131848" w:rsidRDefault="00C33F51" w14:paraId="1780F437" w14:textId="77777777">
            <w:pPr>
              <w:pStyle w:val="BodyText"/>
              <w:rPr>
                <w:rFonts w:cs="Arial" w:asciiTheme="minorHAnsi" w:hAnsiTheme="minorHAnsi"/>
                <w:b/>
                <w:bCs/>
                <w:sz w:val="20"/>
              </w:rPr>
            </w:pPr>
            <w:r w:rsidRPr="005F43A2">
              <w:rPr>
                <w:rFonts w:cs="Arial" w:asciiTheme="minorHAnsi" w:hAnsiTheme="minorHAnsi"/>
                <w:b/>
                <w:bCs/>
                <w:sz w:val="20"/>
              </w:rPr>
              <w:lastRenderedPageBreak/>
              <w:t>Preparation</w:t>
            </w:r>
          </w:p>
          <w:p w:rsidRPr="005F43A2" w:rsidR="00C33F51" w:rsidP="00131848" w:rsidRDefault="00C33F51" w14:paraId="4925A172" w14:textId="77777777">
            <w:pPr>
              <w:pStyle w:val="BodyText"/>
              <w:rPr>
                <w:rFonts w:cs="Arial" w:asciiTheme="minorHAnsi" w:hAnsiTheme="minorHAnsi"/>
                <w:sz w:val="20"/>
              </w:rPr>
            </w:pPr>
            <w:r w:rsidRPr="005F43A2">
              <w:rPr>
                <w:rFonts w:cs="Arial" w:asciiTheme="minorHAnsi" w:hAnsiTheme="minorHAnsi"/>
                <w:b/>
                <w:bCs/>
                <w:sz w:val="20"/>
              </w:rPr>
              <w:t xml:space="preserve"> </w:t>
            </w:r>
          </w:p>
        </w:tc>
        <w:tc>
          <w:tcPr>
            <w:tcW w:w="4189" w:type="pct"/>
          </w:tcPr>
          <w:p w:rsidRPr="002B50BB" w:rsidR="00C33F51" w:rsidP="00131848" w:rsidRDefault="00C33F51" w14:paraId="43AF667C" w14:textId="77777777">
            <w:pPr>
              <w:overflowPunct w:val="0"/>
              <w:autoSpaceDE w:val="0"/>
              <w:autoSpaceDN w:val="0"/>
              <w:rPr>
                <w:rFonts w:eastAsia="Calibri"/>
                <w:b/>
                <w:bCs/>
                <w:sz w:val="20"/>
              </w:rPr>
            </w:pPr>
            <w:r w:rsidRPr="005F43A2">
              <w:rPr>
                <w:rFonts w:eastAsia="Calibri"/>
                <w:b/>
                <w:bCs/>
                <w:sz w:val="20"/>
              </w:rPr>
              <w:t>Note: 1 unit = 1000 milliunits.</w:t>
            </w:r>
          </w:p>
          <w:p w:rsidR="00C33F51" w:rsidP="00131848" w:rsidRDefault="00C33F51" w14:paraId="3AFB753E" w14:textId="77777777">
            <w:pPr>
              <w:pStyle w:val="BodyText"/>
              <w:rPr>
                <w:rFonts w:cs="Arial" w:asciiTheme="minorHAnsi" w:hAnsiTheme="minorHAnsi"/>
                <w:b/>
                <w:sz w:val="20"/>
              </w:rPr>
            </w:pPr>
          </w:p>
          <w:p w:rsidRPr="005F43A2" w:rsidR="00C33F51" w:rsidP="00131848" w:rsidRDefault="00C33F51" w14:paraId="5BCDAF54" w14:textId="77777777">
            <w:pPr>
              <w:pStyle w:val="BodyText"/>
              <w:rPr>
                <w:rFonts w:cs="Arial" w:asciiTheme="minorHAnsi" w:hAnsiTheme="minorHAnsi"/>
                <w:b/>
                <w:sz w:val="20"/>
              </w:rPr>
            </w:pPr>
            <w:r w:rsidRPr="002B50BB">
              <w:rPr>
                <w:rFonts w:cs="Arial" w:asciiTheme="minorHAnsi" w:hAnsiTheme="minorHAnsi"/>
                <w:b/>
                <w:sz w:val="20"/>
                <w:u w:val="single"/>
              </w:rPr>
              <w:t>HYPOTENSION/PULMONARY HYPERTENSION</w:t>
            </w:r>
            <w:r w:rsidRPr="005F43A2">
              <w:rPr>
                <w:rFonts w:cs="Arial" w:asciiTheme="minorHAnsi" w:hAnsiTheme="minorHAnsi"/>
                <w:b/>
                <w:sz w:val="20"/>
              </w:rPr>
              <w:t>:</w:t>
            </w:r>
          </w:p>
          <w:p w:rsidRPr="005F43A2" w:rsidR="00C33F51" w:rsidP="00131848" w:rsidRDefault="00C33F51" w14:paraId="7CCC0141" w14:textId="77777777">
            <w:pPr>
              <w:pStyle w:val="BodyText"/>
              <w:rPr>
                <w:rFonts w:cs="Arial" w:asciiTheme="minorHAnsi" w:hAnsiTheme="minorHAnsi"/>
                <w:b/>
                <w:sz w:val="20"/>
              </w:rPr>
            </w:pPr>
            <w:r w:rsidRPr="005F43A2">
              <w:rPr>
                <w:rFonts w:cs="Arial" w:asciiTheme="minorHAnsi" w:hAnsiTheme="minorHAnsi"/>
                <w:b/>
                <w:sz w:val="20"/>
              </w:rPr>
              <w:t>Single strength continuous IV infusion</w:t>
            </w:r>
          </w:p>
          <w:tbl>
            <w:tblPr>
              <w:tblW w:w="73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035"/>
              <w:gridCol w:w="4339"/>
            </w:tblGrid>
            <w:tr w:rsidRPr="005F43A2" w:rsidR="00C33F51" w:rsidTr="00131848" w14:paraId="54765E71" w14:textId="77777777">
              <w:trPr>
                <w:trHeight w:val="253"/>
              </w:trPr>
              <w:tc>
                <w:tcPr>
                  <w:tcW w:w="3035" w:type="dxa"/>
                  <w:shd w:val="clear" w:color="auto" w:fill="auto"/>
                </w:tcPr>
                <w:p w:rsidRPr="005F43A2" w:rsidR="00C33F51" w:rsidP="00131848" w:rsidRDefault="00C33F51" w14:paraId="39590F5A" w14:textId="77777777">
                  <w:pPr>
                    <w:pStyle w:val="BodyText"/>
                    <w:rPr>
                      <w:rFonts w:cs="Arial" w:asciiTheme="minorHAnsi" w:hAnsiTheme="minorHAnsi"/>
                      <w:b/>
                      <w:sz w:val="20"/>
                    </w:rPr>
                  </w:pPr>
                  <w:r w:rsidRPr="005F43A2">
                    <w:rPr>
                      <w:rFonts w:cs="Arial" w:asciiTheme="minorHAnsi" w:hAnsiTheme="minorHAnsi"/>
                      <w:b/>
                      <w:sz w:val="20"/>
                    </w:rPr>
                    <w:t>Infusion strength</w:t>
                  </w:r>
                </w:p>
              </w:tc>
              <w:tc>
                <w:tcPr>
                  <w:tcW w:w="4339" w:type="dxa"/>
                  <w:shd w:val="clear" w:color="auto" w:fill="auto"/>
                </w:tcPr>
                <w:p w:rsidRPr="005F43A2" w:rsidR="00C33F51" w:rsidP="00131848" w:rsidRDefault="00C33F51" w14:paraId="28AEC989" w14:textId="77777777">
                  <w:pPr>
                    <w:pStyle w:val="BodyText"/>
                    <w:rPr>
                      <w:rFonts w:cs="Arial" w:asciiTheme="minorHAnsi" w:hAnsiTheme="minorHAnsi"/>
                      <w:b/>
                      <w:sz w:val="20"/>
                    </w:rPr>
                  </w:pPr>
                  <w:r w:rsidRPr="005F43A2">
                    <w:rPr>
                      <w:rFonts w:cs="Arial" w:asciiTheme="minorHAnsi" w:hAnsiTheme="minorHAnsi"/>
                      <w:b/>
                      <w:sz w:val="20"/>
                    </w:rPr>
                    <w:t>Prescribed amount</w:t>
                  </w:r>
                </w:p>
              </w:tc>
            </w:tr>
            <w:tr w:rsidRPr="005F43A2" w:rsidR="00C33F51" w:rsidTr="00131848" w14:paraId="77BCF68B" w14:textId="77777777">
              <w:trPr>
                <w:trHeight w:val="253"/>
              </w:trPr>
              <w:tc>
                <w:tcPr>
                  <w:tcW w:w="3035" w:type="dxa"/>
                  <w:shd w:val="clear" w:color="auto" w:fill="auto"/>
                </w:tcPr>
                <w:p w:rsidRPr="005F43A2" w:rsidR="00C33F51" w:rsidP="00131848" w:rsidRDefault="00C33F51" w14:paraId="5C11EE70" w14:textId="77777777">
                  <w:pPr>
                    <w:pStyle w:val="BodyText"/>
                    <w:rPr>
                      <w:rFonts w:cs="Arial" w:asciiTheme="minorHAnsi" w:hAnsiTheme="minorHAnsi"/>
                      <w:sz w:val="20"/>
                    </w:rPr>
                  </w:pPr>
                  <w:r w:rsidRPr="005F43A2">
                    <w:rPr>
                      <w:rFonts w:cs="Arial" w:asciiTheme="minorHAnsi" w:hAnsiTheme="minorHAnsi"/>
                      <w:b/>
                      <w:sz w:val="20"/>
                    </w:rPr>
                    <w:t xml:space="preserve">1 mL/hour = </w:t>
                  </w:r>
                  <w:r>
                    <w:rPr>
                      <w:rFonts w:cs="Arial" w:asciiTheme="minorHAnsi" w:hAnsiTheme="minorHAnsi"/>
                      <w:b/>
                      <w:sz w:val="20"/>
                    </w:rPr>
                    <w:t>50 milliunit</w:t>
                  </w:r>
                  <w:r w:rsidRPr="005F43A2">
                    <w:rPr>
                      <w:rFonts w:cs="Arial" w:asciiTheme="minorHAnsi" w:hAnsiTheme="minorHAnsi"/>
                      <w:b/>
                      <w:sz w:val="20"/>
                    </w:rPr>
                    <w:t>/kg/hour</w:t>
                  </w:r>
                  <w:r w:rsidRPr="005F43A2">
                    <w:rPr>
                      <w:rFonts w:cs="Arial" w:asciiTheme="minorHAnsi" w:hAnsiTheme="minorHAnsi"/>
                      <w:sz w:val="20"/>
                    </w:rPr>
                    <w:t xml:space="preserve"> </w:t>
                  </w:r>
                </w:p>
              </w:tc>
              <w:tc>
                <w:tcPr>
                  <w:tcW w:w="4339" w:type="dxa"/>
                  <w:shd w:val="clear" w:color="auto" w:fill="auto"/>
                </w:tcPr>
                <w:p w:rsidRPr="005F43A2" w:rsidR="00C33F51" w:rsidP="00131848" w:rsidRDefault="00C33F51" w14:paraId="36F53347" w14:textId="77777777">
                  <w:pPr>
                    <w:pStyle w:val="BodyText"/>
                    <w:rPr>
                      <w:rFonts w:cs="Arial" w:asciiTheme="minorHAnsi" w:hAnsiTheme="minorHAnsi"/>
                      <w:sz w:val="20"/>
                    </w:rPr>
                  </w:pPr>
                  <w:r w:rsidRPr="005F43A2">
                    <w:rPr>
                      <w:rFonts w:cs="Arial" w:asciiTheme="minorHAnsi" w:hAnsiTheme="minorHAnsi"/>
                      <w:sz w:val="20"/>
                    </w:rPr>
                    <w:t>2.5 unit/kg argipressin and make up to 50 mL</w:t>
                  </w:r>
                </w:p>
              </w:tc>
            </w:tr>
          </w:tbl>
          <w:p w:rsidRPr="005F43A2" w:rsidR="00C33F51" w:rsidP="00131848" w:rsidRDefault="00C33F51" w14:paraId="274B24D7" w14:textId="77777777">
            <w:pPr>
              <w:pStyle w:val="BodyText"/>
              <w:rPr>
                <w:rFonts w:asciiTheme="minorHAnsi" w:hAnsiTheme="minorHAnsi"/>
                <w:sz w:val="20"/>
              </w:rPr>
            </w:pPr>
          </w:p>
          <w:p w:rsidRPr="005F43A2" w:rsidR="00C33F51" w:rsidP="00131848" w:rsidRDefault="00C33F51" w14:paraId="08D106C7" w14:textId="77777777">
            <w:pPr>
              <w:pStyle w:val="BodyText"/>
              <w:rPr>
                <w:rFonts w:asciiTheme="minorHAnsi" w:hAnsiTheme="minorHAnsi"/>
                <w:sz w:val="20"/>
              </w:rPr>
            </w:pPr>
            <w:r w:rsidRPr="005F43A2">
              <w:rPr>
                <w:rFonts w:asciiTheme="minorHAnsi" w:hAnsiTheme="minorHAnsi"/>
                <w:sz w:val="20"/>
              </w:rPr>
              <w:t xml:space="preserve">Draw up 0.125 mL/kg argipressin (2.5 unit/kg) and </w:t>
            </w:r>
            <w:r>
              <w:rPr>
                <w:rFonts w:asciiTheme="minorHAnsi" w:hAnsiTheme="minorHAnsi"/>
                <w:sz w:val="20"/>
              </w:rPr>
              <w:t>add</w:t>
            </w:r>
            <w:r w:rsidRPr="005F43A2">
              <w:rPr>
                <w:rFonts w:asciiTheme="minorHAnsi" w:hAnsiTheme="minorHAnsi"/>
                <w:sz w:val="20"/>
              </w:rPr>
              <w:t xml:space="preserve"> sodium chloride 0.9% or glucose 5% </w:t>
            </w:r>
            <w:r>
              <w:rPr>
                <w:rFonts w:asciiTheme="minorHAnsi" w:hAnsiTheme="minorHAnsi"/>
                <w:sz w:val="20"/>
              </w:rPr>
              <w:t>to make a final volume of 50 mL with a final concentration of 50 milliunit</w:t>
            </w:r>
            <w:r w:rsidRPr="005F43A2">
              <w:rPr>
                <w:rFonts w:asciiTheme="minorHAnsi" w:hAnsiTheme="minorHAnsi"/>
                <w:sz w:val="20"/>
              </w:rPr>
              <w:t>/kg/mL</w:t>
            </w:r>
            <w:r>
              <w:rPr>
                <w:rFonts w:asciiTheme="minorHAnsi" w:hAnsiTheme="minorHAnsi"/>
                <w:sz w:val="20"/>
              </w:rPr>
              <w:t>.</w:t>
            </w:r>
          </w:p>
          <w:p w:rsidRPr="005F43A2" w:rsidR="00C33F51" w:rsidP="00131848" w:rsidRDefault="00C33F51" w14:paraId="55FDBC62" w14:textId="77777777">
            <w:pPr>
              <w:pStyle w:val="BodyText"/>
              <w:rPr>
                <w:rFonts w:asciiTheme="minorHAnsi" w:hAnsiTheme="minorHAnsi"/>
                <w:sz w:val="20"/>
              </w:rPr>
            </w:pPr>
            <w:r w:rsidRPr="005F43A2">
              <w:rPr>
                <w:rFonts w:asciiTheme="minorHAnsi" w:hAnsiTheme="minorHAnsi"/>
                <w:sz w:val="20"/>
              </w:rPr>
              <w:t xml:space="preserve">Infusing at a rate of </w:t>
            </w:r>
            <w:r w:rsidRPr="005F43A2">
              <w:rPr>
                <w:rFonts w:cs="Arial" w:asciiTheme="minorHAnsi" w:hAnsiTheme="minorHAnsi"/>
                <w:b/>
                <w:sz w:val="20"/>
              </w:rPr>
              <w:t xml:space="preserve">1 mL/hour = </w:t>
            </w:r>
            <w:r>
              <w:rPr>
                <w:rFonts w:cs="Arial" w:asciiTheme="minorHAnsi" w:hAnsiTheme="minorHAnsi"/>
                <w:b/>
                <w:sz w:val="20"/>
              </w:rPr>
              <w:t>50 milliunit</w:t>
            </w:r>
            <w:r w:rsidRPr="005F43A2">
              <w:rPr>
                <w:rFonts w:cs="Arial" w:asciiTheme="minorHAnsi" w:hAnsiTheme="minorHAnsi"/>
                <w:b/>
                <w:sz w:val="20"/>
              </w:rPr>
              <w:t>/kg/hour.</w:t>
            </w:r>
          </w:p>
          <w:p w:rsidRPr="005F43A2" w:rsidR="00C33F51" w:rsidP="00131848" w:rsidRDefault="00C33F51" w14:paraId="0230EF5F" w14:textId="77777777">
            <w:pPr>
              <w:pStyle w:val="BodyText"/>
              <w:rPr>
                <w:rFonts w:cs="Arial" w:asciiTheme="minorHAnsi" w:hAnsiTheme="minorHAnsi"/>
                <w:b/>
                <w:sz w:val="20"/>
              </w:rPr>
            </w:pPr>
          </w:p>
          <w:p w:rsidRPr="005F43A2" w:rsidR="00C33F51" w:rsidP="00131848" w:rsidRDefault="00C33F51" w14:paraId="2A5BB4FA" w14:textId="77777777">
            <w:pPr>
              <w:pStyle w:val="BodyText"/>
              <w:rPr>
                <w:rFonts w:cs="Arial" w:asciiTheme="minorHAnsi" w:hAnsiTheme="minorHAnsi"/>
                <w:b/>
                <w:sz w:val="20"/>
              </w:rPr>
            </w:pPr>
            <w:r w:rsidRPr="005F43A2">
              <w:rPr>
                <w:rFonts w:cs="Arial" w:asciiTheme="minorHAnsi" w:hAnsiTheme="minorHAnsi"/>
                <w:b/>
                <w:sz w:val="20"/>
              </w:rPr>
              <w:t>DOUBLE STRENGTH continuous IV infusion</w:t>
            </w:r>
          </w:p>
          <w:tbl>
            <w:tblPr>
              <w:tblW w:w="7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030"/>
              <w:gridCol w:w="4374"/>
            </w:tblGrid>
            <w:tr w:rsidRPr="005F43A2" w:rsidR="00C33F51" w:rsidTr="00131848" w14:paraId="078894ED" w14:textId="77777777">
              <w:trPr>
                <w:trHeight w:val="253"/>
              </w:trPr>
              <w:tc>
                <w:tcPr>
                  <w:tcW w:w="3030" w:type="dxa"/>
                  <w:shd w:val="clear" w:color="auto" w:fill="auto"/>
                </w:tcPr>
                <w:p w:rsidRPr="005F43A2" w:rsidR="00C33F51" w:rsidP="00131848" w:rsidRDefault="00C33F51" w14:paraId="1B3AADC5" w14:textId="77777777">
                  <w:pPr>
                    <w:pStyle w:val="BodyText"/>
                    <w:rPr>
                      <w:rFonts w:cs="Arial" w:asciiTheme="minorHAnsi" w:hAnsiTheme="minorHAnsi"/>
                      <w:b/>
                      <w:sz w:val="20"/>
                    </w:rPr>
                  </w:pPr>
                  <w:r w:rsidRPr="005F43A2">
                    <w:rPr>
                      <w:rFonts w:cs="Arial" w:asciiTheme="minorHAnsi" w:hAnsiTheme="minorHAnsi"/>
                      <w:b/>
                      <w:sz w:val="20"/>
                    </w:rPr>
                    <w:t>Infusion strength</w:t>
                  </w:r>
                </w:p>
              </w:tc>
              <w:tc>
                <w:tcPr>
                  <w:tcW w:w="4374" w:type="dxa"/>
                  <w:shd w:val="clear" w:color="auto" w:fill="auto"/>
                </w:tcPr>
                <w:p w:rsidRPr="005F43A2" w:rsidR="00C33F51" w:rsidP="00131848" w:rsidRDefault="00C33F51" w14:paraId="35292BF8" w14:textId="77777777">
                  <w:pPr>
                    <w:pStyle w:val="BodyText"/>
                    <w:rPr>
                      <w:rFonts w:cs="Arial" w:asciiTheme="minorHAnsi" w:hAnsiTheme="minorHAnsi"/>
                      <w:b/>
                      <w:sz w:val="20"/>
                    </w:rPr>
                  </w:pPr>
                  <w:r w:rsidRPr="005F43A2">
                    <w:rPr>
                      <w:rFonts w:cs="Arial" w:asciiTheme="minorHAnsi" w:hAnsiTheme="minorHAnsi"/>
                      <w:b/>
                      <w:sz w:val="20"/>
                    </w:rPr>
                    <w:t>Prescribed amount</w:t>
                  </w:r>
                </w:p>
              </w:tc>
            </w:tr>
            <w:tr w:rsidRPr="005F43A2" w:rsidR="00C33F51" w:rsidTr="00131848" w14:paraId="51618C5A" w14:textId="77777777">
              <w:trPr>
                <w:trHeight w:val="253"/>
              </w:trPr>
              <w:tc>
                <w:tcPr>
                  <w:tcW w:w="3030" w:type="dxa"/>
                  <w:shd w:val="clear" w:color="auto" w:fill="auto"/>
                </w:tcPr>
                <w:p w:rsidRPr="005F43A2" w:rsidR="00C33F51" w:rsidP="00131848" w:rsidRDefault="00C33F51" w14:paraId="1DC5F4AF" w14:textId="77777777">
                  <w:pPr>
                    <w:pStyle w:val="BodyText"/>
                    <w:rPr>
                      <w:rFonts w:cs="Arial" w:asciiTheme="minorHAnsi" w:hAnsiTheme="minorHAnsi"/>
                      <w:sz w:val="20"/>
                    </w:rPr>
                  </w:pPr>
                  <w:r w:rsidRPr="005F43A2">
                    <w:rPr>
                      <w:rFonts w:asciiTheme="minorHAnsi" w:hAnsiTheme="minorHAnsi"/>
                      <w:b/>
                      <w:sz w:val="20"/>
                    </w:rPr>
                    <w:t>1</w:t>
                  </w:r>
                  <w:r w:rsidRPr="005F43A2">
                    <w:rPr>
                      <w:rFonts w:cs="Arial" w:asciiTheme="minorHAnsi" w:hAnsiTheme="minorHAnsi"/>
                      <w:b/>
                      <w:sz w:val="20"/>
                    </w:rPr>
                    <w:t xml:space="preserve"> mL/hour = </w:t>
                  </w:r>
                  <w:r>
                    <w:rPr>
                      <w:rFonts w:cs="Arial" w:asciiTheme="minorHAnsi" w:hAnsiTheme="minorHAnsi"/>
                      <w:b/>
                      <w:sz w:val="20"/>
                    </w:rPr>
                    <w:t>100 milliunit</w:t>
                  </w:r>
                  <w:r w:rsidRPr="005F43A2">
                    <w:rPr>
                      <w:rFonts w:cs="Arial" w:asciiTheme="minorHAnsi" w:hAnsiTheme="minorHAnsi"/>
                      <w:b/>
                      <w:sz w:val="20"/>
                    </w:rPr>
                    <w:t>/kg/hour</w:t>
                  </w:r>
                </w:p>
              </w:tc>
              <w:tc>
                <w:tcPr>
                  <w:tcW w:w="4374" w:type="dxa"/>
                  <w:shd w:val="clear" w:color="auto" w:fill="auto"/>
                </w:tcPr>
                <w:p w:rsidRPr="005F43A2" w:rsidR="00C33F51" w:rsidP="00131848" w:rsidRDefault="00C33F51" w14:paraId="4E4893F9" w14:textId="77777777">
                  <w:pPr>
                    <w:pStyle w:val="BodyText"/>
                    <w:rPr>
                      <w:rFonts w:cs="Arial" w:asciiTheme="minorHAnsi" w:hAnsiTheme="minorHAnsi"/>
                      <w:sz w:val="20"/>
                    </w:rPr>
                  </w:pPr>
                  <w:r w:rsidRPr="005F43A2">
                    <w:rPr>
                      <w:rFonts w:cs="Arial" w:asciiTheme="minorHAnsi" w:hAnsiTheme="minorHAnsi"/>
                      <w:sz w:val="20"/>
                    </w:rPr>
                    <w:t>5 unit/kg argipressin and make up to 50 mL</w:t>
                  </w:r>
                </w:p>
              </w:tc>
            </w:tr>
          </w:tbl>
          <w:p w:rsidRPr="005F43A2" w:rsidR="00C33F51" w:rsidP="00131848" w:rsidRDefault="00C33F51" w14:paraId="26522AD2" w14:textId="77777777">
            <w:pPr>
              <w:pStyle w:val="BodyText"/>
              <w:rPr>
                <w:rFonts w:asciiTheme="minorHAnsi" w:hAnsiTheme="minorHAnsi"/>
                <w:sz w:val="20"/>
              </w:rPr>
            </w:pPr>
          </w:p>
          <w:p w:rsidRPr="005F43A2" w:rsidR="00C33F51" w:rsidP="00131848" w:rsidRDefault="00C33F51" w14:paraId="394170C3" w14:textId="77777777">
            <w:pPr>
              <w:pStyle w:val="BodyText"/>
              <w:rPr>
                <w:rFonts w:asciiTheme="minorHAnsi" w:hAnsiTheme="minorHAnsi"/>
                <w:sz w:val="20"/>
              </w:rPr>
            </w:pPr>
            <w:r>
              <w:rPr>
                <w:rFonts w:asciiTheme="minorHAnsi" w:hAnsiTheme="minorHAnsi"/>
                <w:sz w:val="20"/>
              </w:rPr>
              <w:t>D</w:t>
            </w:r>
            <w:r w:rsidRPr="005F43A2">
              <w:rPr>
                <w:rFonts w:asciiTheme="minorHAnsi" w:hAnsiTheme="minorHAnsi"/>
                <w:sz w:val="20"/>
              </w:rPr>
              <w:t xml:space="preserve">raw up 0.25 mL/kg argipressin (5 unit/kg) and </w:t>
            </w:r>
            <w:r>
              <w:rPr>
                <w:rFonts w:asciiTheme="minorHAnsi" w:hAnsiTheme="minorHAnsi"/>
                <w:sz w:val="20"/>
              </w:rPr>
              <w:t xml:space="preserve">add </w:t>
            </w:r>
            <w:r w:rsidRPr="005F43A2">
              <w:rPr>
                <w:rFonts w:asciiTheme="minorHAnsi" w:hAnsiTheme="minorHAnsi"/>
                <w:sz w:val="20"/>
              </w:rPr>
              <w:t>sodium chloride 0.9% or glucose 5%</w:t>
            </w:r>
            <w:r>
              <w:rPr>
                <w:rFonts w:asciiTheme="minorHAnsi" w:hAnsiTheme="minorHAnsi"/>
                <w:sz w:val="20"/>
              </w:rPr>
              <w:t xml:space="preserve"> to make a final volume of 50 mL</w:t>
            </w:r>
            <w:r w:rsidRPr="005F43A2">
              <w:rPr>
                <w:rFonts w:asciiTheme="minorHAnsi" w:hAnsiTheme="minorHAnsi"/>
                <w:sz w:val="20"/>
              </w:rPr>
              <w:t xml:space="preserve"> </w:t>
            </w:r>
            <w:r>
              <w:rPr>
                <w:rFonts w:asciiTheme="minorHAnsi" w:hAnsiTheme="minorHAnsi"/>
                <w:sz w:val="20"/>
              </w:rPr>
              <w:t>with a final concentration of 100 milli</w:t>
            </w:r>
            <w:r w:rsidRPr="005F43A2">
              <w:rPr>
                <w:rFonts w:asciiTheme="minorHAnsi" w:hAnsiTheme="minorHAnsi"/>
                <w:sz w:val="20"/>
              </w:rPr>
              <w:t>unit/kg/mL</w:t>
            </w:r>
            <w:r>
              <w:rPr>
                <w:rFonts w:asciiTheme="minorHAnsi" w:hAnsiTheme="minorHAnsi"/>
                <w:sz w:val="20"/>
              </w:rPr>
              <w:t>.</w:t>
            </w:r>
            <w:r w:rsidRPr="005F43A2">
              <w:rPr>
                <w:rFonts w:asciiTheme="minorHAnsi" w:hAnsiTheme="minorHAnsi"/>
                <w:sz w:val="20"/>
              </w:rPr>
              <w:t xml:space="preserve"> </w:t>
            </w:r>
          </w:p>
          <w:p w:rsidRPr="005F43A2" w:rsidR="00C33F51" w:rsidP="00131848" w:rsidRDefault="00C33F51" w14:paraId="1E8FC4B4" w14:textId="77777777">
            <w:pPr>
              <w:pStyle w:val="BodyText"/>
              <w:rPr>
                <w:rFonts w:cs="Arial" w:asciiTheme="minorHAnsi" w:hAnsiTheme="minorHAnsi"/>
                <w:b/>
                <w:sz w:val="20"/>
              </w:rPr>
            </w:pPr>
            <w:r w:rsidRPr="005F43A2">
              <w:rPr>
                <w:rFonts w:asciiTheme="minorHAnsi" w:hAnsiTheme="minorHAnsi"/>
                <w:sz w:val="20"/>
              </w:rPr>
              <w:t xml:space="preserve">Infusing at a rate of </w:t>
            </w:r>
            <w:r w:rsidRPr="005F43A2">
              <w:rPr>
                <w:rFonts w:asciiTheme="minorHAnsi" w:hAnsiTheme="minorHAnsi"/>
                <w:b/>
                <w:sz w:val="20"/>
              </w:rPr>
              <w:t>1</w:t>
            </w:r>
            <w:r w:rsidRPr="005F43A2">
              <w:rPr>
                <w:rFonts w:cs="Arial" w:asciiTheme="minorHAnsi" w:hAnsiTheme="minorHAnsi"/>
                <w:b/>
                <w:sz w:val="20"/>
              </w:rPr>
              <w:t xml:space="preserve"> mL/hour = </w:t>
            </w:r>
            <w:r>
              <w:rPr>
                <w:rFonts w:cs="Arial" w:asciiTheme="minorHAnsi" w:hAnsiTheme="minorHAnsi"/>
                <w:b/>
                <w:sz w:val="20"/>
              </w:rPr>
              <w:t>100 milliunit</w:t>
            </w:r>
            <w:r w:rsidRPr="005F43A2">
              <w:rPr>
                <w:rFonts w:cs="Arial" w:asciiTheme="minorHAnsi" w:hAnsiTheme="minorHAnsi"/>
                <w:b/>
                <w:sz w:val="20"/>
              </w:rPr>
              <w:t>/kg/hour.</w:t>
            </w:r>
          </w:p>
          <w:p w:rsidRPr="005F43A2" w:rsidR="00C33F51" w:rsidP="00131848" w:rsidRDefault="00C33F51" w14:paraId="0C79FB65" w14:textId="77777777">
            <w:pPr>
              <w:pStyle w:val="BodyText"/>
              <w:rPr>
                <w:rFonts w:cs="Arial" w:asciiTheme="minorHAnsi" w:hAnsiTheme="minorHAnsi"/>
                <w:b/>
                <w:sz w:val="20"/>
              </w:rPr>
            </w:pPr>
          </w:p>
          <w:p w:rsidRPr="005F43A2" w:rsidR="00C33F51" w:rsidP="00131848" w:rsidRDefault="00C33F51" w14:paraId="3EAE088A" w14:textId="77777777">
            <w:pPr>
              <w:pStyle w:val="BodyText"/>
              <w:rPr>
                <w:rFonts w:cs="Arial" w:asciiTheme="minorHAnsi" w:hAnsiTheme="minorHAnsi"/>
                <w:b/>
                <w:sz w:val="20"/>
              </w:rPr>
            </w:pPr>
            <w:r w:rsidRPr="005F43A2">
              <w:rPr>
                <w:rFonts w:cs="Arial" w:asciiTheme="minorHAnsi" w:hAnsiTheme="minorHAnsi"/>
                <w:b/>
                <w:sz w:val="20"/>
              </w:rPr>
              <w:t>QUADRUPLE STRENGTH continuous IV infusion</w:t>
            </w:r>
          </w:p>
          <w:tbl>
            <w:tblPr>
              <w:tblW w:w="7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72"/>
              <w:gridCol w:w="4394"/>
            </w:tblGrid>
            <w:tr w:rsidRPr="005F43A2" w:rsidR="00C33F51" w:rsidTr="00131848" w14:paraId="5E780690" w14:textId="77777777">
              <w:tc>
                <w:tcPr>
                  <w:tcW w:w="3172"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358A6E79" w14:textId="77777777">
                  <w:pPr>
                    <w:pStyle w:val="BodyText"/>
                    <w:spacing w:line="276" w:lineRule="auto"/>
                    <w:rPr>
                      <w:rFonts w:cs="Arial" w:asciiTheme="minorHAnsi" w:hAnsiTheme="minorHAnsi"/>
                      <w:b/>
                      <w:sz w:val="20"/>
                    </w:rPr>
                  </w:pPr>
                  <w:r w:rsidRPr="005F43A2">
                    <w:rPr>
                      <w:rFonts w:cs="Arial" w:asciiTheme="minorHAnsi" w:hAnsiTheme="minorHAnsi"/>
                      <w:b/>
                      <w:sz w:val="20"/>
                    </w:rPr>
                    <w:t>Infusion strength</w:t>
                  </w:r>
                </w:p>
              </w:tc>
              <w:tc>
                <w:tcPr>
                  <w:tcW w:w="4394"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1ABCF7B8" w14:textId="77777777">
                  <w:pPr>
                    <w:pStyle w:val="BodyText"/>
                    <w:spacing w:line="276" w:lineRule="auto"/>
                    <w:rPr>
                      <w:rFonts w:cs="Arial" w:asciiTheme="minorHAnsi" w:hAnsiTheme="minorHAnsi"/>
                      <w:b/>
                      <w:sz w:val="20"/>
                    </w:rPr>
                  </w:pPr>
                  <w:r w:rsidRPr="005F43A2">
                    <w:rPr>
                      <w:rFonts w:cs="Arial" w:asciiTheme="minorHAnsi" w:hAnsiTheme="minorHAnsi"/>
                      <w:b/>
                      <w:sz w:val="20"/>
                    </w:rPr>
                    <w:t>Prescribed amount</w:t>
                  </w:r>
                </w:p>
              </w:tc>
            </w:tr>
            <w:tr w:rsidRPr="005F43A2" w:rsidR="00C33F51" w:rsidTr="00131848" w14:paraId="45014065" w14:textId="77777777">
              <w:tc>
                <w:tcPr>
                  <w:tcW w:w="3172"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3DA0AF69" w14:textId="77777777">
                  <w:pPr>
                    <w:pStyle w:val="BodyText"/>
                    <w:spacing w:line="276" w:lineRule="auto"/>
                    <w:rPr>
                      <w:rFonts w:cs="Arial" w:asciiTheme="minorHAnsi" w:hAnsiTheme="minorHAnsi"/>
                      <w:sz w:val="20"/>
                    </w:rPr>
                  </w:pPr>
                  <w:r w:rsidRPr="005F43A2">
                    <w:rPr>
                      <w:rFonts w:asciiTheme="minorHAnsi" w:hAnsiTheme="minorHAnsi"/>
                      <w:b/>
                      <w:sz w:val="20"/>
                    </w:rPr>
                    <w:t>1</w:t>
                  </w:r>
                  <w:r w:rsidRPr="005F43A2">
                    <w:rPr>
                      <w:rFonts w:cs="Arial" w:asciiTheme="minorHAnsi" w:hAnsiTheme="minorHAnsi"/>
                      <w:b/>
                      <w:sz w:val="20"/>
                    </w:rPr>
                    <w:t xml:space="preserve"> mL/hour = </w:t>
                  </w:r>
                  <w:r>
                    <w:rPr>
                      <w:rFonts w:cs="Arial" w:asciiTheme="minorHAnsi" w:hAnsiTheme="minorHAnsi"/>
                      <w:b/>
                      <w:sz w:val="20"/>
                    </w:rPr>
                    <w:t>200 milliunit</w:t>
                  </w:r>
                  <w:r w:rsidRPr="005F43A2">
                    <w:rPr>
                      <w:rFonts w:cs="Arial" w:asciiTheme="minorHAnsi" w:hAnsiTheme="minorHAnsi"/>
                      <w:b/>
                      <w:sz w:val="20"/>
                    </w:rPr>
                    <w:t>/kg/hour</w:t>
                  </w:r>
                </w:p>
              </w:tc>
              <w:tc>
                <w:tcPr>
                  <w:tcW w:w="4394"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5876149A" w14:textId="77777777">
                  <w:pPr>
                    <w:pStyle w:val="BodyText"/>
                    <w:spacing w:line="276" w:lineRule="auto"/>
                    <w:rPr>
                      <w:rFonts w:cs="Arial" w:asciiTheme="minorHAnsi" w:hAnsiTheme="minorHAnsi"/>
                      <w:sz w:val="20"/>
                    </w:rPr>
                  </w:pPr>
                  <w:r w:rsidRPr="005F43A2">
                    <w:rPr>
                      <w:rFonts w:cs="Arial" w:asciiTheme="minorHAnsi" w:hAnsiTheme="minorHAnsi"/>
                      <w:sz w:val="20"/>
                    </w:rPr>
                    <w:t>10 unit/kg argipressin and make up to 50 mL</w:t>
                  </w:r>
                </w:p>
              </w:tc>
            </w:tr>
          </w:tbl>
          <w:p w:rsidRPr="005F43A2" w:rsidR="00C33F51" w:rsidP="00131848" w:rsidRDefault="00C33F51" w14:paraId="5C104479" w14:textId="77777777">
            <w:pPr>
              <w:pStyle w:val="BodyText"/>
              <w:rPr>
                <w:rFonts w:asciiTheme="minorHAnsi" w:hAnsiTheme="minorHAnsi"/>
                <w:sz w:val="20"/>
              </w:rPr>
            </w:pPr>
          </w:p>
          <w:p w:rsidRPr="005F43A2" w:rsidR="00C33F51" w:rsidP="00131848" w:rsidRDefault="00C33F51" w14:paraId="771FB15E" w14:textId="77777777">
            <w:pPr>
              <w:pStyle w:val="BodyText"/>
              <w:rPr>
                <w:rFonts w:asciiTheme="minorHAnsi" w:hAnsiTheme="minorHAnsi"/>
                <w:sz w:val="20"/>
              </w:rPr>
            </w:pPr>
            <w:r>
              <w:rPr>
                <w:rFonts w:asciiTheme="minorHAnsi" w:hAnsiTheme="minorHAnsi"/>
                <w:sz w:val="20"/>
              </w:rPr>
              <w:t>D</w:t>
            </w:r>
            <w:r w:rsidRPr="005F43A2">
              <w:rPr>
                <w:rFonts w:asciiTheme="minorHAnsi" w:hAnsiTheme="minorHAnsi"/>
                <w:sz w:val="20"/>
              </w:rPr>
              <w:t xml:space="preserve">raw up 0.5 mL/kg argipressin (10 unit/kg) and </w:t>
            </w:r>
            <w:r>
              <w:rPr>
                <w:rFonts w:asciiTheme="minorHAnsi" w:hAnsiTheme="minorHAnsi"/>
                <w:sz w:val="20"/>
              </w:rPr>
              <w:t xml:space="preserve">add </w:t>
            </w:r>
            <w:r w:rsidRPr="005F43A2">
              <w:rPr>
                <w:rFonts w:asciiTheme="minorHAnsi" w:hAnsiTheme="minorHAnsi"/>
                <w:sz w:val="20"/>
              </w:rPr>
              <w:t xml:space="preserve">sodium chloride 0.9% or glucose 5% </w:t>
            </w:r>
            <w:r>
              <w:rPr>
                <w:rFonts w:asciiTheme="minorHAnsi" w:hAnsiTheme="minorHAnsi"/>
                <w:sz w:val="20"/>
              </w:rPr>
              <w:t xml:space="preserve">to make a final volume of </w:t>
            </w:r>
            <w:r w:rsidRPr="005F43A2">
              <w:rPr>
                <w:rFonts w:asciiTheme="minorHAnsi" w:hAnsiTheme="minorHAnsi"/>
                <w:sz w:val="20"/>
              </w:rPr>
              <w:t xml:space="preserve">50 mL </w:t>
            </w:r>
            <w:r>
              <w:rPr>
                <w:rFonts w:asciiTheme="minorHAnsi" w:hAnsiTheme="minorHAnsi"/>
                <w:sz w:val="20"/>
              </w:rPr>
              <w:t>with a final concentration of 200 milliunit</w:t>
            </w:r>
            <w:r w:rsidRPr="005F43A2">
              <w:rPr>
                <w:rFonts w:asciiTheme="minorHAnsi" w:hAnsiTheme="minorHAnsi"/>
                <w:sz w:val="20"/>
              </w:rPr>
              <w:t>/kg/mL</w:t>
            </w:r>
            <w:r>
              <w:rPr>
                <w:rFonts w:asciiTheme="minorHAnsi" w:hAnsiTheme="minorHAnsi"/>
                <w:sz w:val="20"/>
              </w:rPr>
              <w:t>.</w:t>
            </w:r>
            <w:r w:rsidRPr="005F43A2">
              <w:rPr>
                <w:rFonts w:asciiTheme="minorHAnsi" w:hAnsiTheme="minorHAnsi"/>
                <w:sz w:val="20"/>
              </w:rPr>
              <w:t xml:space="preserve"> </w:t>
            </w:r>
          </w:p>
          <w:p w:rsidRPr="005F43A2" w:rsidR="00C33F51" w:rsidP="00131848" w:rsidRDefault="00C33F51" w14:paraId="15E45411" w14:textId="77777777">
            <w:pPr>
              <w:pStyle w:val="BodyText"/>
              <w:rPr>
                <w:rFonts w:cs="Arial" w:asciiTheme="minorHAnsi" w:hAnsiTheme="minorHAnsi"/>
                <w:b/>
                <w:sz w:val="20"/>
              </w:rPr>
            </w:pPr>
            <w:r w:rsidRPr="005F43A2">
              <w:rPr>
                <w:rFonts w:asciiTheme="minorHAnsi" w:hAnsiTheme="minorHAnsi"/>
                <w:sz w:val="20"/>
              </w:rPr>
              <w:t xml:space="preserve">Infusing at a rate of </w:t>
            </w:r>
            <w:r w:rsidRPr="005F43A2">
              <w:rPr>
                <w:rFonts w:asciiTheme="minorHAnsi" w:hAnsiTheme="minorHAnsi"/>
                <w:b/>
                <w:sz w:val="20"/>
              </w:rPr>
              <w:t>1</w:t>
            </w:r>
            <w:r w:rsidRPr="005F43A2">
              <w:rPr>
                <w:rFonts w:cs="Arial" w:asciiTheme="minorHAnsi" w:hAnsiTheme="minorHAnsi"/>
                <w:b/>
                <w:sz w:val="20"/>
              </w:rPr>
              <w:t xml:space="preserve"> mL/hour = </w:t>
            </w:r>
            <w:r>
              <w:rPr>
                <w:rFonts w:cs="Arial" w:asciiTheme="minorHAnsi" w:hAnsiTheme="minorHAnsi"/>
                <w:b/>
                <w:sz w:val="20"/>
              </w:rPr>
              <w:t>200 milliunit</w:t>
            </w:r>
            <w:r w:rsidRPr="005F43A2">
              <w:rPr>
                <w:rFonts w:cs="Arial" w:asciiTheme="minorHAnsi" w:hAnsiTheme="minorHAnsi"/>
                <w:b/>
                <w:sz w:val="20"/>
              </w:rPr>
              <w:t>/kg/hour.</w:t>
            </w:r>
          </w:p>
          <w:p w:rsidRPr="005F43A2" w:rsidR="00C33F51" w:rsidP="00131848" w:rsidRDefault="00C33F51" w14:paraId="7379DFD2" w14:textId="77777777">
            <w:pPr>
              <w:pStyle w:val="BodyText"/>
              <w:rPr>
                <w:rFonts w:cs="Arial" w:asciiTheme="minorHAnsi" w:hAnsiTheme="minorHAnsi"/>
                <w:b/>
                <w:sz w:val="20"/>
              </w:rPr>
            </w:pPr>
          </w:p>
          <w:p w:rsidRPr="009A1368" w:rsidR="00C33F51" w:rsidP="00131848" w:rsidRDefault="00C33F51" w14:paraId="258C7EB7" w14:textId="77777777">
            <w:pPr>
              <w:pStyle w:val="BodyText"/>
              <w:keepNext/>
              <w:outlineLvl w:val="1"/>
              <w:rPr>
                <w:rFonts w:cs="Arial" w:asciiTheme="minorHAnsi" w:hAnsiTheme="minorHAnsi"/>
                <w:b/>
                <w:sz w:val="20"/>
                <w:u w:val="single"/>
              </w:rPr>
            </w:pPr>
            <w:r w:rsidRPr="002B50BB">
              <w:rPr>
                <w:rFonts w:cs="Arial" w:asciiTheme="minorHAnsi" w:hAnsiTheme="minorHAnsi"/>
                <w:b/>
                <w:sz w:val="20"/>
                <w:u w:val="single"/>
              </w:rPr>
              <w:t>DIABETES INSIPIDUS</w:t>
            </w:r>
          </w:p>
          <w:p w:rsidRPr="005F43A2" w:rsidR="00C33F51" w:rsidP="00131848" w:rsidRDefault="00C33F51" w14:paraId="19E5FD09" w14:textId="77777777">
            <w:pPr>
              <w:pStyle w:val="BodyText"/>
              <w:rPr>
                <w:rFonts w:cs="Arial" w:asciiTheme="minorHAnsi" w:hAnsiTheme="minorHAnsi"/>
                <w:b/>
                <w:sz w:val="20"/>
              </w:rPr>
            </w:pPr>
            <w:r w:rsidRPr="005F43A2">
              <w:rPr>
                <w:rFonts w:cs="Arial" w:asciiTheme="minorHAnsi" w:hAnsiTheme="minorHAnsi"/>
                <w:b/>
                <w:sz w:val="20"/>
              </w:rPr>
              <w:t>Continuous IV infusion</w:t>
            </w:r>
          </w:p>
          <w:tbl>
            <w:tblPr>
              <w:tblW w:w="7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72"/>
              <w:gridCol w:w="4394"/>
            </w:tblGrid>
            <w:tr w:rsidRPr="005F43A2" w:rsidR="00C33F51" w:rsidTr="00131848" w14:paraId="70119FD6" w14:textId="77777777">
              <w:tc>
                <w:tcPr>
                  <w:tcW w:w="3172" w:type="dxa"/>
                  <w:shd w:val="clear" w:color="auto" w:fill="auto"/>
                </w:tcPr>
                <w:p w:rsidRPr="005F43A2" w:rsidR="00C33F51" w:rsidP="00131848" w:rsidRDefault="00C33F51" w14:paraId="272911D8" w14:textId="77777777">
                  <w:pPr>
                    <w:pStyle w:val="BodyText"/>
                    <w:rPr>
                      <w:rFonts w:cs="Arial" w:asciiTheme="minorHAnsi" w:hAnsiTheme="minorHAnsi"/>
                      <w:b/>
                      <w:sz w:val="20"/>
                    </w:rPr>
                  </w:pPr>
                  <w:r w:rsidRPr="005F43A2">
                    <w:rPr>
                      <w:rFonts w:cs="Arial" w:asciiTheme="minorHAnsi" w:hAnsiTheme="minorHAnsi"/>
                      <w:b/>
                      <w:sz w:val="20"/>
                    </w:rPr>
                    <w:t>Infusion strength</w:t>
                  </w:r>
                </w:p>
              </w:tc>
              <w:tc>
                <w:tcPr>
                  <w:tcW w:w="4394" w:type="dxa"/>
                  <w:shd w:val="clear" w:color="auto" w:fill="auto"/>
                </w:tcPr>
                <w:p w:rsidRPr="005F43A2" w:rsidR="00C33F51" w:rsidP="00131848" w:rsidRDefault="00C33F51" w14:paraId="6D9E618F" w14:textId="77777777">
                  <w:pPr>
                    <w:pStyle w:val="BodyText"/>
                    <w:rPr>
                      <w:rFonts w:cs="Arial" w:asciiTheme="minorHAnsi" w:hAnsiTheme="minorHAnsi"/>
                      <w:b/>
                      <w:sz w:val="20"/>
                    </w:rPr>
                  </w:pPr>
                  <w:r w:rsidRPr="005F43A2">
                    <w:rPr>
                      <w:rFonts w:cs="Arial" w:asciiTheme="minorHAnsi" w:hAnsiTheme="minorHAnsi"/>
                      <w:b/>
                      <w:sz w:val="20"/>
                    </w:rPr>
                    <w:t>Prescribed amount</w:t>
                  </w:r>
                </w:p>
              </w:tc>
            </w:tr>
            <w:tr w:rsidRPr="005F43A2" w:rsidR="00C33F51" w:rsidTr="00131848" w14:paraId="47609CB1" w14:textId="77777777">
              <w:tc>
                <w:tcPr>
                  <w:tcW w:w="3172" w:type="dxa"/>
                  <w:shd w:val="clear" w:color="auto" w:fill="auto"/>
                </w:tcPr>
                <w:p w:rsidRPr="005F43A2" w:rsidR="00C33F51" w:rsidP="00131848" w:rsidRDefault="00C33F51" w14:paraId="6F2DBC5E" w14:textId="77777777">
                  <w:pPr>
                    <w:pStyle w:val="BodyText"/>
                    <w:rPr>
                      <w:rFonts w:cs="Arial" w:asciiTheme="minorHAnsi" w:hAnsiTheme="minorHAnsi"/>
                      <w:sz w:val="20"/>
                    </w:rPr>
                  </w:pPr>
                  <w:r w:rsidRPr="005F43A2">
                    <w:rPr>
                      <w:rFonts w:asciiTheme="minorHAnsi" w:hAnsiTheme="minorHAnsi"/>
                      <w:b/>
                      <w:sz w:val="20"/>
                    </w:rPr>
                    <w:t>1</w:t>
                  </w:r>
                  <w:r w:rsidRPr="005F43A2">
                    <w:rPr>
                      <w:rFonts w:cs="Arial" w:asciiTheme="minorHAnsi" w:hAnsiTheme="minorHAnsi"/>
                      <w:b/>
                      <w:sz w:val="20"/>
                    </w:rPr>
                    <w:t xml:space="preserve"> mL/hour = 0.8 milliunit/kg/hour</w:t>
                  </w:r>
                </w:p>
              </w:tc>
              <w:tc>
                <w:tcPr>
                  <w:tcW w:w="4394" w:type="dxa"/>
                  <w:shd w:val="clear" w:color="auto" w:fill="auto"/>
                </w:tcPr>
                <w:p w:rsidRPr="005F43A2" w:rsidR="00C33F51" w:rsidP="00131848" w:rsidRDefault="00C33F51" w14:paraId="48A04414" w14:textId="77777777">
                  <w:pPr>
                    <w:pStyle w:val="BodyText"/>
                    <w:rPr>
                      <w:rFonts w:cs="Arial" w:asciiTheme="minorHAnsi" w:hAnsiTheme="minorHAnsi"/>
                      <w:sz w:val="20"/>
                    </w:rPr>
                  </w:pPr>
                  <w:r w:rsidRPr="005F43A2">
                    <w:rPr>
                      <w:rFonts w:cs="Arial" w:asciiTheme="minorHAnsi" w:hAnsiTheme="minorHAnsi"/>
                      <w:sz w:val="20"/>
                    </w:rPr>
                    <w:t>40 milliunit/kg argipressin and make up to 50 mL.</w:t>
                  </w:r>
                </w:p>
              </w:tc>
            </w:tr>
          </w:tbl>
          <w:p w:rsidRPr="005F43A2" w:rsidR="00C33F51" w:rsidP="00131848" w:rsidRDefault="00C33F51" w14:paraId="6067FB94" w14:textId="77777777">
            <w:pPr>
              <w:pStyle w:val="BodyText"/>
              <w:rPr>
                <w:rFonts w:asciiTheme="minorHAnsi" w:hAnsiTheme="minorHAnsi"/>
                <w:sz w:val="20"/>
              </w:rPr>
            </w:pPr>
          </w:p>
          <w:p w:rsidR="00C33F51" w:rsidP="00131848" w:rsidRDefault="00C33F51" w14:paraId="102B4F56" w14:textId="77777777">
            <w:pPr>
              <w:overflowPunct w:val="0"/>
              <w:autoSpaceDE w:val="0"/>
              <w:autoSpaceDN w:val="0"/>
              <w:rPr>
                <w:rFonts w:eastAsia="Calibri"/>
                <w:sz w:val="20"/>
              </w:rPr>
            </w:pPr>
            <w:r w:rsidRPr="005F43A2">
              <w:rPr>
                <w:rFonts w:eastAsia="Calibri"/>
                <w:sz w:val="20"/>
              </w:rPr>
              <w:t>Add 0.1 mL (2 units) of argipressin (20 unit/mL ampoule) to 500 mL bag of sodium chloride</w:t>
            </w:r>
            <w:r>
              <w:rPr>
                <w:rFonts w:eastAsia="Calibri"/>
                <w:sz w:val="20"/>
              </w:rPr>
              <w:t xml:space="preserve"> 0.9%</w:t>
            </w:r>
            <w:r w:rsidRPr="005F43A2">
              <w:rPr>
                <w:rFonts w:eastAsia="Calibri"/>
                <w:sz w:val="20"/>
              </w:rPr>
              <w:t xml:space="preserve"> to make a 4 milliunit/mL solution </w:t>
            </w:r>
          </w:p>
          <w:p w:rsidRPr="005F43A2" w:rsidR="00C33F51" w:rsidP="00131848" w:rsidRDefault="00C33F51" w14:paraId="688F3F4D" w14:textId="77777777">
            <w:pPr>
              <w:overflowPunct w:val="0"/>
              <w:autoSpaceDE w:val="0"/>
              <w:autoSpaceDN w:val="0"/>
              <w:rPr>
                <w:rFonts w:eastAsia="Calibri"/>
                <w:sz w:val="20"/>
              </w:rPr>
            </w:pPr>
            <w:r>
              <w:rPr>
                <w:rFonts w:eastAsia="Calibri"/>
                <w:sz w:val="20"/>
              </w:rPr>
              <w:t>FURTHER DILUTE</w:t>
            </w:r>
          </w:p>
          <w:p w:rsidRPr="005F43A2" w:rsidR="00C33F51" w:rsidP="00131848" w:rsidRDefault="00C33F51" w14:paraId="5A7C5B7E" w14:textId="77777777">
            <w:pPr>
              <w:overflowPunct w:val="0"/>
              <w:autoSpaceDE w:val="0"/>
              <w:autoSpaceDN w:val="0"/>
              <w:rPr>
                <w:rFonts w:eastAsia="Calibri"/>
                <w:sz w:val="20"/>
              </w:rPr>
            </w:pPr>
          </w:p>
          <w:p w:rsidRPr="005F43A2" w:rsidR="00C33F51" w:rsidP="00131848" w:rsidRDefault="00C33F51" w14:paraId="6FCEC78A" w14:textId="77777777">
            <w:pPr>
              <w:overflowPunct w:val="0"/>
              <w:autoSpaceDE w:val="0"/>
              <w:autoSpaceDN w:val="0"/>
              <w:rPr>
                <w:rFonts w:eastAsia="Calibri"/>
                <w:sz w:val="20"/>
              </w:rPr>
            </w:pPr>
            <w:r w:rsidRPr="005F43A2">
              <w:rPr>
                <w:rFonts w:eastAsia="Calibri"/>
                <w:sz w:val="20"/>
              </w:rPr>
              <w:t xml:space="preserve">Draw up 10 mL/kg of </w:t>
            </w:r>
            <w:r>
              <w:rPr>
                <w:rFonts w:eastAsia="Calibri"/>
                <w:sz w:val="20"/>
              </w:rPr>
              <w:t xml:space="preserve">the above solution </w:t>
            </w:r>
            <w:r w:rsidRPr="005F43A2">
              <w:rPr>
                <w:rFonts w:eastAsia="Calibri"/>
                <w:sz w:val="20"/>
              </w:rPr>
              <w:t xml:space="preserve">(40 milliunit/kg) and </w:t>
            </w:r>
            <w:r>
              <w:rPr>
                <w:rFonts w:eastAsia="Calibri"/>
                <w:sz w:val="20"/>
              </w:rPr>
              <w:t xml:space="preserve">add </w:t>
            </w:r>
            <w:r w:rsidRPr="005F43A2">
              <w:rPr>
                <w:rFonts w:eastAsia="Calibri"/>
                <w:sz w:val="20"/>
              </w:rPr>
              <w:t>sodium chloride</w:t>
            </w:r>
            <w:r>
              <w:rPr>
                <w:rFonts w:eastAsia="Calibri"/>
                <w:sz w:val="20"/>
              </w:rPr>
              <w:t xml:space="preserve"> 0.9%</w:t>
            </w:r>
            <w:r w:rsidRPr="005F43A2">
              <w:rPr>
                <w:rFonts w:eastAsia="Calibri"/>
                <w:sz w:val="20"/>
              </w:rPr>
              <w:t xml:space="preserve"> to make a</w:t>
            </w:r>
            <w:r>
              <w:rPr>
                <w:rFonts w:eastAsia="Calibri"/>
                <w:sz w:val="20"/>
              </w:rPr>
              <w:t>final volume of</w:t>
            </w:r>
            <w:r w:rsidRPr="005F43A2">
              <w:rPr>
                <w:rFonts w:eastAsia="Calibri"/>
                <w:sz w:val="20"/>
              </w:rPr>
              <w:t xml:space="preserve"> 50 mL </w:t>
            </w:r>
            <w:r>
              <w:rPr>
                <w:rFonts w:eastAsia="Calibri"/>
                <w:sz w:val="20"/>
              </w:rPr>
              <w:t xml:space="preserve">with a final concentration of </w:t>
            </w:r>
            <w:r w:rsidRPr="005F43A2">
              <w:rPr>
                <w:rFonts w:eastAsia="Calibri"/>
                <w:sz w:val="20"/>
              </w:rPr>
              <w:t>0.8 milliunit/kg/mL</w:t>
            </w:r>
            <w:r>
              <w:rPr>
                <w:rFonts w:eastAsia="Calibri"/>
                <w:sz w:val="20"/>
              </w:rPr>
              <w:t>.</w:t>
            </w:r>
            <w:r w:rsidRPr="005F43A2">
              <w:rPr>
                <w:rFonts w:eastAsia="Calibri"/>
                <w:sz w:val="20"/>
              </w:rPr>
              <w:t xml:space="preserve"> </w:t>
            </w:r>
          </w:p>
          <w:p w:rsidRPr="005F43A2" w:rsidR="00C33F51" w:rsidP="00131848" w:rsidRDefault="00C33F51" w14:paraId="6AC9E002" w14:textId="77777777">
            <w:pPr>
              <w:overflowPunct w:val="0"/>
              <w:autoSpaceDE w:val="0"/>
              <w:autoSpaceDN w:val="0"/>
              <w:rPr>
                <w:rFonts w:eastAsia="Calibri"/>
                <w:b/>
                <w:bCs/>
                <w:sz w:val="20"/>
              </w:rPr>
            </w:pPr>
            <w:r w:rsidRPr="005F43A2">
              <w:rPr>
                <w:rFonts w:eastAsia="Calibri"/>
                <w:sz w:val="20"/>
              </w:rPr>
              <w:t xml:space="preserve">Infusing at a rate of </w:t>
            </w:r>
            <w:r w:rsidRPr="005F43A2">
              <w:rPr>
                <w:rFonts w:eastAsia="Calibri"/>
                <w:b/>
                <w:bCs/>
                <w:sz w:val="20"/>
              </w:rPr>
              <w:t>1 mL/hour = 0.8 milliunit/kg/hour.</w:t>
            </w:r>
          </w:p>
          <w:p w:rsidRPr="005F43A2" w:rsidR="00C33F51" w:rsidP="00131848" w:rsidRDefault="00C33F51" w14:paraId="5DA395B3" w14:textId="77777777">
            <w:pPr>
              <w:overflowPunct w:val="0"/>
              <w:autoSpaceDE w:val="0"/>
              <w:autoSpaceDN w:val="0"/>
              <w:rPr>
                <w:rFonts w:eastAsia="Calibri"/>
                <w:b/>
                <w:bCs/>
                <w:sz w:val="20"/>
              </w:rPr>
            </w:pPr>
          </w:p>
          <w:p w:rsidRPr="005F43A2" w:rsidR="00C33F51" w:rsidP="00131848" w:rsidRDefault="00C33F51" w14:paraId="67B2E04C" w14:textId="77777777">
            <w:pPr>
              <w:pStyle w:val="BodyText"/>
              <w:rPr>
                <w:rFonts w:cs="Arial" w:asciiTheme="minorHAnsi" w:hAnsiTheme="minorHAnsi"/>
                <w:b/>
                <w:sz w:val="20"/>
              </w:rPr>
            </w:pPr>
            <w:r w:rsidRPr="002B50BB">
              <w:rPr>
                <w:rFonts w:cs="Arial" w:asciiTheme="minorHAnsi" w:hAnsiTheme="minorHAnsi"/>
                <w:b/>
                <w:sz w:val="20"/>
                <w:u w:val="single"/>
              </w:rPr>
              <w:t>GASTROINTESTINAL BLEEDING</w:t>
            </w:r>
          </w:p>
          <w:p w:rsidRPr="005F43A2" w:rsidR="00C33F51" w:rsidP="00131848" w:rsidRDefault="00C33F51" w14:paraId="5453AF81" w14:textId="77777777">
            <w:pPr>
              <w:pStyle w:val="BodyText"/>
              <w:rPr>
                <w:rFonts w:cs="Arial" w:asciiTheme="minorHAnsi" w:hAnsiTheme="minorHAnsi"/>
                <w:b/>
                <w:sz w:val="20"/>
              </w:rPr>
            </w:pPr>
            <w:r w:rsidRPr="005F43A2">
              <w:rPr>
                <w:rFonts w:cs="Arial" w:asciiTheme="minorHAnsi" w:hAnsiTheme="minorHAnsi"/>
                <w:b/>
                <w:sz w:val="20"/>
              </w:rPr>
              <w:t>QUADRUPLE STRENGTH continuous IV infusion</w:t>
            </w:r>
          </w:p>
          <w:tbl>
            <w:tblPr>
              <w:tblW w:w="74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00"/>
              <w:gridCol w:w="4253"/>
            </w:tblGrid>
            <w:tr w:rsidRPr="005F43A2" w:rsidR="00C33F51" w:rsidTr="00131848" w14:paraId="1371A7B7" w14:textId="77777777">
              <w:trPr>
                <w:trHeight w:val="289"/>
              </w:trPr>
              <w:tc>
                <w:tcPr>
                  <w:tcW w:w="3200"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2980D749" w14:textId="77777777">
                  <w:pPr>
                    <w:pStyle w:val="BodyText"/>
                    <w:spacing w:line="276" w:lineRule="auto"/>
                    <w:rPr>
                      <w:rFonts w:cs="Arial" w:asciiTheme="minorHAnsi" w:hAnsiTheme="minorHAnsi"/>
                      <w:b/>
                      <w:sz w:val="20"/>
                    </w:rPr>
                  </w:pPr>
                  <w:r w:rsidRPr="005F43A2">
                    <w:rPr>
                      <w:rFonts w:cs="Arial" w:asciiTheme="minorHAnsi" w:hAnsiTheme="minorHAnsi"/>
                      <w:b/>
                      <w:sz w:val="20"/>
                    </w:rPr>
                    <w:t>Infusion strength</w:t>
                  </w:r>
                </w:p>
              </w:tc>
              <w:tc>
                <w:tcPr>
                  <w:tcW w:w="4253"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4ECFC2D1" w14:textId="77777777">
                  <w:pPr>
                    <w:pStyle w:val="BodyText"/>
                    <w:spacing w:line="276" w:lineRule="auto"/>
                    <w:rPr>
                      <w:rFonts w:cs="Arial" w:asciiTheme="minorHAnsi" w:hAnsiTheme="minorHAnsi"/>
                      <w:b/>
                      <w:sz w:val="20"/>
                    </w:rPr>
                  </w:pPr>
                  <w:r w:rsidRPr="005F43A2">
                    <w:rPr>
                      <w:rFonts w:cs="Arial" w:asciiTheme="minorHAnsi" w:hAnsiTheme="minorHAnsi"/>
                      <w:b/>
                      <w:sz w:val="20"/>
                    </w:rPr>
                    <w:t>Prescribed amount</w:t>
                  </w:r>
                </w:p>
              </w:tc>
            </w:tr>
            <w:tr w:rsidRPr="005F43A2" w:rsidR="00C33F51" w:rsidTr="00131848" w14:paraId="2732BDB4" w14:textId="77777777">
              <w:trPr>
                <w:trHeight w:val="289"/>
              </w:trPr>
              <w:tc>
                <w:tcPr>
                  <w:tcW w:w="3200"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0A3BDE84" w14:textId="77777777">
                  <w:pPr>
                    <w:pStyle w:val="BodyText"/>
                    <w:spacing w:line="276" w:lineRule="auto"/>
                    <w:rPr>
                      <w:rFonts w:cs="Arial" w:asciiTheme="minorHAnsi" w:hAnsiTheme="minorHAnsi"/>
                      <w:sz w:val="20"/>
                    </w:rPr>
                  </w:pPr>
                  <w:r w:rsidRPr="005F43A2">
                    <w:rPr>
                      <w:rFonts w:asciiTheme="minorHAnsi" w:hAnsiTheme="minorHAnsi"/>
                      <w:b/>
                      <w:sz w:val="20"/>
                    </w:rPr>
                    <w:t>1</w:t>
                  </w:r>
                  <w:r w:rsidRPr="005F43A2">
                    <w:rPr>
                      <w:rFonts w:cs="Arial" w:asciiTheme="minorHAnsi" w:hAnsiTheme="minorHAnsi"/>
                      <w:b/>
                      <w:sz w:val="20"/>
                    </w:rPr>
                    <w:t xml:space="preserve"> mL/hour = </w:t>
                  </w:r>
                  <w:r>
                    <w:rPr>
                      <w:rFonts w:cs="Arial" w:asciiTheme="minorHAnsi" w:hAnsiTheme="minorHAnsi"/>
                      <w:b/>
                      <w:sz w:val="20"/>
                    </w:rPr>
                    <w:t>200 milliunit</w:t>
                  </w:r>
                  <w:r w:rsidRPr="005F43A2">
                    <w:rPr>
                      <w:rFonts w:cs="Arial" w:asciiTheme="minorHAnsi" w:hAnsiTheme="minorHAnsi"/>
                      <w:b/>
                      <w:sz w:val="20"/>
                    </w:rPr>
                    <w:t>/kg/hour</w:t>
                  </w:r>
                </w:p>
              </w:tc>
              <w:tc>
                <w:tcPr>
                  <w:tcW w:w="4253" w:type="dxa"/>
                  <w:tcBorders>
                    <w:top w:val="single" w:color="auto" w:sz="4" w:space="0"/>
                    <w:left w:val="single" w:color="auto" w:sz="4" w:space="0"/>
                    <w:bottom w:val="single" w:color="auto" w:sz="4" w:space="0"/>
                    <w:right w:val="single" w:color="auto" w:sz="4" w:space="0"/>
                  </w:tcBorders>
                  <w:hideMark/>
                </w:tcPr>
                <w:p w:rsidRPr="005F43A2" w:rsidR="00C33F51" w:rsidP="00131848" w:rsidRDefault="00C33F51" w14:paraId="35D428EC" w14:textId="77777777">
                  <w:pPr>
                    <w:pStyle w:val="BodyText"/>
                    <w:spacing w:line="276" w:lineRule="auto"/>
                    <w:rPr>
                      <w:rFonts w:cs="Arial" w:asciiTheme="minorHAnsi" w:hAnsiTheme="minorHAnsi"/>
                      <w:sz w:val="20"/>
                    </w:rPr>
                  </w:pPr>
                  <w:r w:rsidRPr="005F43A2">
                    <w:rPr>
                      <w:rFonts w:cs="Arial" w:asciiTheme="minorHAnsi" w:hAnsiTheme="minorHAnsi"/>
                      <w:sz w:val="20"/>
                    </w:rPr>
                    <w:t>10 unit/kg argipressin and make up to 50 mL</w:t>
                  </w:r>
                </w:p>
              </w:tc>
            </w:tr>
          </w:tbl>
          <w:p w:rsidRPr="005F43A2" w:rsidR="00C33F51" w:rsidP="00131848" w:rsidRDefault="00C33F51" w14:paraId="60A45F4E" w14:textId="77777777">
            <w:pPr>
              <w:pStyle w:val="BodyText"/>
              <w:rPr>
                <w:rFonts w:asciiTheme="minorHAnsi" w:hAnsiTheme="minorHAnsi"/>
                <w:sz w:val="20"/>
              </w:rPr>
            </w:pPr>
          </w:p>
          <w:p w:rsidRPr="005F43A2" w:rsidR="00C33F51" w:rsidP="00131848" w:rsidRDefault="00C33F51" w14:paraId="1CE92707" w14:textId="77777777">
            <w:pPr>
              <w:pStyle w:val="BodyText"/>
              <w:rPr>
                <w:rFonts w:asciiTheme="minorHAnsi" w:hAnsiTheme="minorHAnsi"/>
                <w:sz w:val="20"/>
              </w:rPr>
            </w:pPr>
            <w:r w:rsidRPr="005F43A2">
              <w:rPr>
                <w:rFonts w:asciiTheme="minorHAnsi" w:hAnsiTheme="minorHAnsi"/>
                <w:sz w:val="20"/>
              </w:rPr>
              <w:t xml:space="preserve">Draw up 0.5 mL/kg argipressin (10 unit/kg) and </w:t>
            </w:r>
            <w:r>
              <w:rPr>
                <w:rFonts w:asciiTheme="minorHAnsi" w:hAnsiTheme="minorHAnsi"/>
                <w:sz w:val="20"/>
              </w:rPr>
              <w:t>add</w:t>
            </w:r>
            <w:r w:rsidRPr="005F43A2">
              <w:rPr>
                <w:rFonts w:asciiTheme="minorHAnsi" w:hAnsiTheme="minorHAnsi"/>
                <w:sz w:val="20"/>
              </w:rPr>
              <w:t xml:space="preserve"> sodium chloride 0.9% or glucose 5% </w:t>
            </w:r>
            <w:r>
              <w:rPr>
                <w:rFonts w:asciiTheme="minorHAnsi" w:hAnsiTheme="minorHAnsi"/>
                <w:sz w:val="20"/>
              </w:rPr>
              <w:t xml:space="preserve">to make a final volume of </w:t>
            </w:r>
            <w:r w:rsidRPr="005F43A2">
              <w:rPr>
                <w:rFonts w:asciiTheme="minorHAnsi" w:hAnsiTheme="minorHAnsi"/>
                <w:sz w:val="20"/>
              </w:rPr>
              <w:t>50 mL</w:t>
            </w:r>
            <w:r>
              <w:rPr>
                <w:rFonts w:asciiTheme="minorHAnsi" w:hAnsiTheme="minorHAnsi"/>
                <w:sz w:val="20"/>
              </w:rPr>
              <w:t xml:space="preserve"> with a final concentration of 200 milliunit</w:t>
            </w:r>
            <w:r w:rsidRPr="005F43A2">
              <w:rPr>
                <w:rFonts w:asciiTheme="minorHAnsi" w:hAnsiTheme="minorHAnsi"/>
                <w:sz w:val="20"/>
              </w:rPr>
              <w:t>/kg/mL</w:t>
            </w:r>
            <w:r>
              <w:rPr>
                <w:rFonts w:asciiTheme="minorHAnsi" w:hAnsiTheme="minorHAnsi"/>
                <w:sz w:val="20"/>
              </w:rPr>
              <w:t>.</w:t>
            </w:r>
          </w:p>
          <w:p w:rsidRPr="005F43A2" w:rsidR="00C33F51" w:rsidP="00131848" w:rsidRDefault="00C33F51" w14:paraId="378AFC67" w14:textId="77777777">
            <w:pPr>
              <w:pStyle w:val="BodyText"/>
              <w:rPr>
                <w:rFonts w:cs="Arial" w:asciiTheme="minorHAnsi" w:hAnsiTheme="minorHAnsi"/>
                <w:b/>
                <w:sz w:val="20"/>
              </w:rPr>
            </w:pPr>
            <w:r w:rsidRPr="005F43A2">
              <w:rPr>
                <w:rFonts w:asciiTheme="minorHAnsi" w:hAnsiTheme="minorHAnsi"/>
                <w:sz w:val="20"/>
              </w:rPr>
              <w:t xml:space="preserve">Infusing at a rate of </w:t>
            </w:r>
            <w:r w:rsidRPr="005F43A2">
              <w:rPr>
                <w:rFonts w:asciiTheme="minorHAnsi" w:hAnsiTheme="minorHAnsi"/>
                <w:b/>
                <w:sz w:val="20"/>
              </w:rPr>
              <w:t>1</w:t>
            </w:r>
            <w:r w:rsidRPr="005F43A2">
              <w:rPr>
                <w:rFonts w:cs="Arial" w:asciiTheme="minorHAnsi" w:hAnsiTheme="minorHAnsi"/>
                <w:b/>
                <w:sz w:val="20"/>
              </w:rPr>
              <w:t xml:space="preserve"> mL/hour = </w:t>
            </w:r>
            <w:r>
              <w:rPr>
                <w:rFonts w:cs="Arial" w:asciiTheme="minorHAnsi" w:hAnsiTheme="minorHAnsi"/>
                <w:b/>
                <w:sz w:val="20"/>
              </w:rPr>
              <w:t>200 milliunit</w:t>
            </w:r>
            <w:r w:rsidRPr="005F43A2">
              <w:rPr>
                <w:rFonts w:cs="Arial" w:asciiTheme="minorHAnsi" w:hAnsiTheme="minorHAnsi"/>
                <w:b/>
                <w:sz w:val="20"/>
              </w:rPr>
              <w:t>/kg/hour.</w:t>
            </w:r>
          </w:p>
        </w:tc>
      </w:tr>
      <w:tr w:rsidRPr="005F43A2" w:rsidR="00C33F51" w:rsidTr="008D48AE" w14:paraId="3A305E63" w14:textId="77777777">
        <w:trPr>
          <w:trHeight w:val="243"/>
        </w:trPr>
        <w:tc>
          <w:tcPr>
            <w:tcW w:w="811" w:type="pct"/>
          </w:tcPr>
          <w:p w:rsidRPr="00EA1989" w:rsidR="00C33F51" w:rsidP="00131848" w:rsidRDefault="00C33F51" w14:paraId="62F4BB6F" w14:textId="77777777">
            <w:pPr>
              <w:pStyle w:val="BodyText"/>
              <w:rPr>
                <w:rFonts w:cs="Arial" w:asciiTheme="minorHAnsi" w:hAnsiTheme="minorHAnsi"/>
                <w:b/>
                <w:bCs/>
                <w:sz w:val="20"/>
              </w:rPr>
            </w:pPr>
            <w:r w:rsidRPr="005F43A2">
              <w:rPr>
                <w:rFonts w:cs="Arial" w:asciiTheme="minorHAnsi" w:hAnsiTheme="minorHAnsi"/>
                <w:b/>
                <w:bCs/>
                <w:sz w:val="20"/>
              </w:rPr>
              <w:t xml:space="preserve">Administration                 </w:t>
            </w:r>
          </w:p>
        </w:tc>
        <w:tc>
          <w:tcPr>
            <w:tcW w:w="4189" w:type="pct"/>
          </w:tcPr>
          <w:p w:rsidRPr="005F43A2" w:rsidR="00C33F51" w:rsidP="00131848" w:rsidRDefault="00C33F51" w14:paraId="61C769BD" w14:textId="77777777">
            <w:pPr>
              <w:pStyle w:val="BodyText"/>
              <w:rPr>
                <w:rFonts w:cs="Arial" w:asciiTheme="minorHAnsi" w:hAnsiTheme="minorHAnsi"/>
                <w:sz w:val="20"/>
              </w:rPr>
            </w:pPr>
            <w:r w:rsidRPr="005F43A2">
              <w:rPr>
                <w:rFonts w:asciiTheme="minorHAnsi" w:hAnsiTheme="minorHAnsi"/>
                <w:sz w:val="20"/>
              </w:rPr>
              <w:t>Continuous intravenous infusion via a central line. Use with caution via a peripheral line.</w:t>
            </w:r>
          </w:p>
        </w:tc>
      </w:tr>
      <w:tr w:rsidRPr="005F43A2" w:rsidR="00C33F51" w:rsidTr="008D48AE" w14:paraId="658B1462" w14:textId="77777777">
        <w:trPr>
          <w:trHeight w:val="221"/>
        </w:trPr>
        <w:tc>
          <w:tcPr>
            <w:tcW w:w="811" w:type="pct"/>
          </w:tcPr>
          <w:p w:rsidRPr="005F43A2" w:rsidR="00C33F51" w:rsidP="00131848" w:rsidRDefault="00C33F51" w14:paraId="6CA1D6ED" w14:textId="77777777">
            <w:pPr>
              <w:pStyle w:val="BodyText"/>
              <w:rPr>
                <w:rFonts w:cs="Arial" w:asciiTheme="minorHAnsi" w:hAnsiTheme="minorHAnsi"/>
                <w:b/>
                <w:bCs/>
                <w:sz w:val="20"/>
              </w:rPr>
            </w:pPr>
            <w:r w:rsidRPr="005F43A2">
              <w:rPr>
                <w:rFonts w:cs="Arial" w:asciiTheme="minorHAnsi" w:hAnsiTheme="minorHAnsi"/>
                <w:b/>
                <w:bCs/>
                <w:sz w:val="20"/>
              </w:rPr>
              <w:t xml:space="preserve">Monitoring                              </w:t>
            </w:r>
          </w:p>
          <w:p w:rsidRPr="005F43A2" w:rsidR="00C33F51" w:rsidP="00131848" w:rsidRDefault="00C33F51" w14:paraId="17BF2F92" w14:textId="77777777">
            <w:pPr>
              <w:pStyle w:val="BodyText"/>
              <w:rPr>
                <w:rFonts w:cs="Arial" w:asciiTheme="minorHAnsi" w:hAnsiTheme="minorHAnsi"/>
                <w:sz w:val="20"/>
              </w:rPr>
            </w:pPr>
          </w:p>
        </w:tc>
        <w:tc>
          <w:tcPr>
            <w:tcW w:w="4189" w:type="pct"/>
          </w:tcPr>
          <w:p w:rsidRPr="005F43A2" w:rsidR="00C33F51" w:rsidP="00131848" w:rsidRDefault="00C33F51" w14:paraId="1C90B60E" w14:textId="77777777">
            <w:pPr>
              <w:pStyle w:val="BodyText"/>
              <w:rPr>
                <w:rFonts w:cs="Arial" w:asciiTheme="minorHAnsi" w:hAnsiTheme="minorHAnsi"/>
                <w:sz w:val="20"/>
              </w:rPr>
            </w:pPr>
            <w:r w:rsidRPr="005F43A2">
              <w:rPr>
                <w:rFonts w:asciiTheme="minorHAnsi" w:hAnsiTheme="minorHAnsi"/>
                <w:sz w:val="20"/>
              </w:rPr>
              <w:t>Continuous heart rate, ECG and blood pressure</w:t>
            </w:r>
            <w:r>
              <w:rPr>
                <w:rFonts w:asciiTheme="minorHAnsi" w:hAnsiTheme="minorHAnsi"/>
                <w:sz w:val="20"/>
              </w:rPr>
              <w:t>.</w:t>
            </w:r>
            <w:r w:rsidRPr="005F43A2">
              <w:rPr>
                <w:rFonts w:asciiTheme="minorHAnsi" w:hAnsiTheme="minorHAnsi"/>
                <w:sz w:val="20"/>
              </w:rPr>
              <w:br/>
            </w:r>
            <w:r w:rsidRPr="005F43A2">
              <w:rPr>
                <w:rFonts w:cs="Arial" w:asciiTheme="minorHAnsi" w:hAnsiTheme="minorHAnsi"/>
                <w:sz w:val="20"/>
              </w:rPr>
              <w:t xml:space="preserve">The pressor response should be carefully monitored and may require the weaning of other vasopressors. </w:t>
            </w:r>
          </w:p>
          <w:p w:rsidRPr="005F43A2" w:rsidR="00C33F51" w:rsidP="00131848" w:rsidRDefault="00C33F51" w14:paraId="76A4EB88" w14:textId="77777777">
            <w:pPr>
              <w:pStyle w:val="BodyText"/>
              <w:rPr>
                <w:rFonts w:asciiTheme="minorHAnsi" w:hAnsiTheme="minorHAnsi"/>
                <w:sz w:val="20"/>
              </w:rPr>
            </w:pPr>
            <w:r w:rsidRPr="005F43A2">
              <w:rPr>
                <w:rFonts w:asciiTheme="minorHAnsi" w:hAnsiTheme="minorHAnsi"/>
                <w:sz w:val="20"/>
              </w:rPr>
              <w:lastRenderedPageBreak/>
              <w:t xml:space="preserve">Assess urine output and peripheral perfusion frequently. </w:t>
            </w:r>
            <w:r w:rsidRPr="005F43A2">
              <w:rPr>
                <w:rFonts w:asciiTheme="minorHAnsi" w:hAnsiTheme="minorHAnsi"/>
                <w:sz w:val="20"/>
              </w:rPr>
              <w:br/>
            </w:r>
            <w:r>
              <w:rPr>
                <w:rFonts w:asciiTheme="minorHAnsi" w:hAnsiTheme="minorHAnsi"/>
                <w:sz w:val="20"/>
              </w:rPr>
              <w:t>Fluid</w:t>
            </w:r>
            <w:r w:rsidRPr="005F43A2">
              <w:rPr>
                <w:rFonts w:asciiTheme="minorHAnsi" w:hAnsiTheme="minorHAnsi"/>
                <w:sz w:val="20"/>
              </w:rPr>
              <w:t xml:space="preserve"> balance and serum sodium. </w:t>
            </w:r>
          </w:p>
          <w:p w:rsidRPr="005F43A2" w:rsidR="00C33F51" w:rsidP="00131848" w:rsidRDefault="00C33F51" w14:paraId="2FECC64E" w14:textId="77777777">
            <w:pPr>
              <w:pStyle w:val="BodyText"/>
              <w:rPr>
                <w:rFonts w:asciiTheme="minorHAnsi" w:hAnsiTheme="minorHAnsi"/>
                <w:sz w:val="20"/>
              </w:rPr>
            </w:pPr>
            <w:r w:rsidRPr="005F43A2">
              <w:rPr>
                <w:rFonts w:asciiTheme="minorHAnsi" w:hAnsiTheme="minorHAnsi"/>
                <w:sz w:val="20"/>
              </w:rPr>
              <w:t xml:space="preserve">Observe IV site closely for blanching and extravasation. </w:t>
            </w:r>
          </w:p>
          <w:p w:rsidRPr="005F43A2" w:rsidR="00C33F51" w:rsidP="00131848" w:rsidRDefault="00C33F51" w14:paraId="29806897" w14:textId="77777777">
            <w:pPr>
              <w:pStyle w:val="BodyText"/>
              <w:rPr>
                <w:rFonts w:asciiTheme="minorHAnsi" w:hAnsiTheme="minorHAnsi"/>
                <w:b/>
                <w:sz w:val="20"/>
              </w:rPr>
            </w:pPr>
            <w:r w:rsidRPr="005F43A2">
              <w:rPr>
                <w:rFonts w:asciiTheme="minorHAnsi" w:hAnsiTheme="minorHAnsi"/>
                <w:b/>
                <w:sz w:val="20"/>
              </w:rPr>
              <w:t xml:space="preserve">For diabetes insipidus: </w:t>
            </w:r>
          </w:p>
          <w:p w:rsidRPr="005F43A2" w:rsidR="00C33F51" w:rsidP="00131848" w:rsidRDefault="00C33F51" w14:paraId="3E3942EB" w14:textId="77777777">
            <w:pPr>
              <w:pStyle w:val="BodyText"/>
              <w:rPr>
                <w:rFonts w:cs="Arial" w:asciiTheme="minorHAnsi" w:hAnsiTheme="minorHAnsi"/>
                <w:sz w:val="20"/>
              </w:rPr>
            </w:pPr>
            <w:r w:rsidRPr="005F43A2">
              <w:rPr>
                <w:rFonts w:cs="Arial" w:asciiTheme="minorHAnsi" w:hAnsiTheme="minorHAnsi"/>
                <w:sz w:val="20"/>
              </w:rPr>
              <w:t xml:space="preserve">The dose of this is titrated (usual dose range </w:t>
            </w:r>
            <w:r>
              <w:rPr>
                <w:rFonts w:cs="Arial" w:asciiTheme="minorHAnsi" w:hAnsiTheme="minorHAnsi"/>
                <w:sz w:val="20"/>
              </w:rPr>
              <w:t>0.5</w:t>
            </w:r>
            <w:r w:rsidRPr="005F43A2">
              <w:rPr>
                <w:rFonts w:cs="Arial" w:asciiTheme="minorHAnsi" w:hAnsiTheme="minorHAnsi"/>
                <w:sz w:val="20"/>
              </w:rPr>
              <w:t xml:space="preserve"> to </w:t>
            </w:r>
            <w:r>
              <w:rPr>
                <w:rFonts w:cs="Arial" w:asciiTheme="minorHAnsi" w:hAnsiTheme="minorHAnsi"/>
                <w:sz w:val="20"/>
              </w:rPr>
              <w:t>1</w:t>
            </w:r>
            <w:r w:rsidRPr="005F43A2">
              <w:rPr>
                <w:rFonts w:cs="Arial" w:asciiTheme="minorHAnsi" w:hAnsiTheme="minorHAnsi"/>
                <w:sz w:val="20"/>
              </w:rPr>
              <w:t xml:space="preserve"> </w:t>
            </w:r>
            <w:r>
              <w:rPr>
                <w:rFonts w:cs="Arial" w:asciiTheme="minorHAnsi" w:hAnsiTheme="minorHAnsi"/>
                <w:sz w:val="20"/>
              </w:rPr>
              <w:t>milliunit</w:t>
            </w:r>
            <w:r w:rsidRPr="005F43A2">
              <w:rPr>
                <w:rFonts w:cs="Arial" w:asciiTheme="minorHAnsi" w:hAnsiTheme="minorHAnsi"/>
                <w:sz w:val="20"/>
              </w:rPr>
              <w:t>/kg/hour aiming for:</w:t>
            </w:r>
          </w:p>
          <w:p w:rsidRPr="005F43A2" w:rsidR="00C33F51" w:rsidP="00C33F51" w:rsidRDefault="00C33F51" w14:paraId="35C917F3" w14:textId="77777777">
            <w:pPr>
              <w:pStyle w:val="BodyText"/>
              <w:numPr>
                <w:ilvl w:val="0"/>
                <w:numId w:val="43"/>
              </w:numPr>
              <w:overflowPunct w:val="0"/>
              <w:autoSpaceDE w:val="0"/>
              <w:autoSpaceDN w:val="0"/>
              <w:adjustRightInd w:val="0"/>
              <w:jc w:val="left"/>
              <w:textAlignment w:val="baseline"/>
              <w:rPr>
                <w:rFonts w:cs="Arial" w:asciiTheme="minorHAnsi" w:hAnsiTheme="minorHAnsi"/>
                <w:sz w:val="20"/>
              </w:rPr>
            </w:pPr>
            <w:r w:rsidRPr="005F43A2">
              <w:rPr>
                <w:rFonts w:cs="Arial" w:asciiTheme="minorHAnsi" w:hAnsiTheme="minorHAnsi"/>
                <w:sz w:val="20"/>
              </w:rPr>
              <w:t>urine output 2–4 mL/kg/hour,</w:t>
            </w:r>
          </w:p>
          <w:p w:rsidRPr="005F43A2" w:rsidR="00C33F51" w:rsidP="00C33F51" w:rsidRDefault="00C33F51" w14:paraId="7EA8924D" w14:textId="77777777">
            <w:pPr>
              <w:pStyle w:val="BodyText"/>
              <w:numPr>
                <w:ilvl w:val="0"/>
                <w:numId w:val="43"/>
              </w:numPr>
              <w:overflowPunct w:val="0"/>
              <w:autoSpaceDE w:val="0"/>
              <w:autoSpaceDN w:val="0"/>
              <w:adjustRightInd w:val="0"/>
              <w:jc w:val="left"/>
              <w:textAlignment w:val="baseline"/>
              <w:rPr>
                <w:rFonts w:cs="Arial" w:asciiTheme="minorHAnsi" w:hAnsiTheme="minorHAnsi"/>
                <w:sz w:val="20"/>
              </w:rPr>
            </w:pPr>
            <w:r w:rsidRPr="005F43A2">
              <w:rPr>
                <w:rFonts w:cs="Arial" w:asciiTheme="minorHAnsi" w:hAnsiTheme="minorHAnsi"/>
                <w:sz w:val="20"/>
              </w:rPr>
              <w:t xml:space="preserve">neutral fluid balance, </w:t>
            </w:r>
          </w:p>
          <w:p w:rsidRPr="005F43A2" w:rsidR="00C33F51" w:rsidP="00C33F51" w:rsidRDefault="00C33F51" w14:paraId="240189B0" w14:textId="77777777">
            <w:pPr>
              <w:pStyle w:val="BodyText"/>
              <w:numPr>
                <w:ilvl w:val="0"/>
                <w:numId w:val="43"/>
              </w:numPr>
              <w:overflowPunct w:val="0"/>
              <w:autoSpaceDE w:val="0"/>
              <w:autoSpaceDN w:val="0"/>
              <w:adjustRightInd w:val="0"/>
              <w:jc w:val="left"/>
              <w:textAlignment w:val="baseline"/>
              <w:rPr>
                <w:rFonts w:cs="Arial" w:asciiTheme="minorHAnsi" w:hAnsiTheme="minorHAnsi"/>
                <w:sz w:val="20"/>
              </w:rPr>
            </w:pPr>
            <w:r w:rsidRPr="005F43A2">
              <w:rPr>
                <w:rFonts w:cs="Arial" w:asciiTheme="minorHAnsi" w:hAnsiTheme="minorHAnsi"/>
                <w:sz w:val="20"/>
              </w:rPr>
              <w:t>maintain plasma sodium 145–150 mmol/L</w:t>
            </w:r>
          </w:p>
          <w:p w:rsidRPr="005F43A2" w:rsidR="00C33F51" w:rsidP="00131848" w:rsidRDefault="00C33F51" w14:paraId="6A0BE633" w14:textId="77777777">
            <w:pPr>
              <w:pStyle w:val="BodyText"/>
              <w:rPr>
                <w:rFonts w:cs="Arial" w:asciiTheme="minorHAnsi" w:hAnsiTheme="minorHAnsi"/>
                <w:sz w:val="20"/>
              </w:rPr>
            </w:pPr>
            <w:r w:rsidRPr="005F43A2">
              <w:rPr>
                <w:rFonts w:cs="Arial" w:asciiTheme="minorHAnsi" w:hAnsiTheme="minorHAnsi"/>
                <w:sz w:val="20"/>
              </w:rPr>
              <w:t>Aqueous IV argipressin has a half-life of 20–30 minutes, so a change in infusion rate is reflected 1 hour later.</w:t>
            </w:r>
          </w:p>
        </w:tc>
      </w:tr>
      <w:tr w:rsidRPr="005F43A2" w:rsidR="00C33F51" w:rsidTr="008D48AE" w14:paraId="48CD3DEC" w14:textId="77777777">
        <w:trPr>
          <w:trHeight w:val="342"/>
        </w:trPr>
        <w:tc>
          <w:tcPr>
            <w:tcW w:w="811" w:type="pct"/>
          </w:tcPr>
          <w:p w:rsidRPr="005F43A2" w:rsidR="00C33F51" w:rsidP="00131848" w:rsidRDefault="00C33F51" w14:paraId="2399D5FC" w14:textId="77777777">
            <w:pPr>
              <w:pStyle w:val="BodyText"/>
              <w:rPr>
                <w:rFonts w:cs="Arial" w:asciiTheme="minorHAnsi" w:hAnsiTheme="minorHAnsi"/>
                <w:b/>
                <w:bCs/>
                <w:sz w:val="20"/>
              </w:rPr>
            </w:pPr>
            <w:r w:rsidRPr="005F43A2">
              <w:rPr>
                <w:rFonts w:cs="Arial" w:asciiTheme="minorHAnsi" w:hAnsiTheme="minorHAnsi"/>
                <w:b/>
                <w:bCs/>
                <w:sz w:val="20"/>
              </w:rPr>
              <w:lastRenderedPageBreak/>
              <w:t xml:space="preserve">Contraindications                        </w:t>
            </w:r>
          </w:p>
          <w:p w:rsidRPr="005F43A2" w:rsidR="00C33F51" w:rsidP="00131848" w:rsidRDefault="00C33F51" w14:paraId="5FB2EAFA" w14:textId="77777777">
            <w:pPr>
              <w:pStyle w:val="BodyText"/>
              <w:rPr>
                <w:rFonts w:cs="Arial" w:asciiTheme="minorHAnsi" w:hAnsiTheme="minorHAnsi"/>
                <w:sz w:val="20"/>
              </w:rPr>
            </w:pPr>
          </w:p>
        </w:tc>
        <w:tc>
          <w:tcPr>
            <w:tcW w:w="4189" w:type="pct"/>
          </w:tcPr>
          <w:p w:rsidRPr="005F43A2" w:rsidR="00C33F51" w:rsidP="00131848" w:rsidRDefault="00C33F51" w14:paraId="6DED6F21" w14:textId="77777777">
            <w:pPr>
              <w:pStyle w:val="BodyText"/>
              <w:rPr>
                <w:rFonts w:cs="Arial" w:asciiTheme="minorHAnsi" w:hAnsiTheme="minorHAnsi"/>
                <w:sz w:val="20"/>
              </w:rPr>
            </w:pPr>
            <w:r w:rsidRPr="005F43A2">
              <w:rPr>
                <w:rFonts w:cs="Arial" w:asciiTheme="minorHAnsi" w:hAnsiTheme="minorHAnsi"/>
                <w:sz w:val="20"/>
              </w:rPr>
              <w:t>Hypersensitivity to argipressin.</w:t>
            </w:r>
          </w:p>
        </w:tc>
      </w:tr>
      <w:tr w:rsidRPr="005F43A2" w:rsidR="00C33F51" w:rsidTr="008D48AE" w14:paraId="30EDD6DC" w14:textId="77777777">
        <w:tc>
          <w:tcPr>
            <w:tcW w:w="811" w:type="pct"/>
          </w:tcPr>
          <w:p w:rsidRPr="005F43A2" w:rsidR="00C33F51" w:rsidP="00131848" w:rsidRDefault="00C33F51" w14:paraId="04CD672C" w14:textId="77777777">
            <w:pPr>
              <w:pStyle w:val="BodyText"/>
              <w:rPr>
                <w:rFonts w:cs="Arial" w:asciiTheme="minorHAnsi" w:hAnsiTheme="minorHAnsi"/>
                <w:b/>
                <w:bCs/>
                <w:sz w:val="20"/>
              </w:rPr>
            </w:pPr>
            <w:r w:rsidRPr="005F43A2">
              <w:rPr>
                <w:rFonts w:asciiTheme="minorHAnsi" w:hAnsiTheme="minorHAnsi"/>
                <w:sz w:val="20"/>
              </w:rPr>
              <w:br w:type="page"/>
            </w:r>
            <w:r w:rsidRPr="005F43A2">
              <w:rPr>
                <w:rFonts w:cs="Arial" w:asciiTheme="minorHAnsi" w:hAnsiTheme="minorHAnsi"/>
                <w:b/>
                <w:bCs/>
                <w:sz w:val="20"/>
              </w:rPr>
              <w:t>Precautions</w:t>
            </w:r>
          </w:p>
        </w:tc>
        <w:tc>
          <w:tcPr>
            <w:tcW w:w="4189" w:type="pct"/>
          </w:tcPr>
          <w:p w:rsidRPr="005F43A2" w:rsidR="00C33F51" w:rsidP="00131848" w:rsidRDefault="00C33F51" w14:paraId="56FBADB1" w14:textId="77777777">
            <w:pPr>
              <w:pStyle w:val="BodyText"/>
              <w:rPr>
                <w:rFonts w:cs="Arial" w:asciiTheme="minorHAnsi" w:hAnsiTheme="minorHAnsi"/>
                <w:b/>
                <w:sz w:val="20"/>
              </w:rPr>
            </w:pPr>
            <w:r w:rsidRPr="005F43A2">
              <w:rPr>
                <w:rFonts w:cs="Arial" w:asciiTheme="minorHAnsi" w:hAnsiTheme="minorHAnsi"/>
                <w:b/>
                <w:sz w:val="20"/>
              </w:rPr>
              <w:t xml:space="preserve">Use in hypotension: </w:t>
            </w:r>
          </w:p>
          <w:p w:rsidRPr="005F43A2" w:rsidR="00C33F51" w:rsidP="00131848" w:rsidRDefault="00C33F51" w14:paraId="10434DAC" w14:textId="77777777">
            <w:pPr>
              <w:pStyle w:val="BodyText"/>
              <w:rPr>
                <w:rFonts w:cs="Arial" w:asciiTheme="minorHAnsi" w:hAnsiTheme="minorHAnsi"/>
                <w:sz w:val="20"/>
              </w:rPr>
            </w:pPr>
            <w:r w:rsidRPr="005F43A2">
              <w:rPr>
                <w:rFonts w:cs="Arial" w:asciiTheme="minorHAnsi" w:hAnsiTheme="minorHAnsi"/>
                <w:sz w:val="20"/>
              </w:rPr>
              <w:t xml:space="preserve">Argipressin causes water retention and hyponatraemia. </w:t>
            </w:r>
          </w:p>
          <w:p w:rsidRPr="005F43A2" w:rsidR="00C33F51" w:rsidP="00131848" w:rsidRDefault="00C33F51" w14:paraId="01078852" w14:textId="77777777">
            <w:pPr>
              <w:pStyle w:val="BodyText"/>
              <w:rPr>
                <w:rFonts w:cs="Arial" w:asciiTheme="minorHAnsi" w:hAnsiTheme="minorHAnsi"/>
                <w:sz w:val="20"/>
              </w:rPr>
            </w:pPr>
            <w:r w:rsidRPr="005F43A2">
              <w:rPr>
                <w:rFonts w:cs="Arial" w:asciiTheme="minorHAnsi" w:hAnsiTheme="minorHAnsi"/>
                <w:sz w:val="20"/>
              </w:rPr>
              <w:t xml:space="preserve">May cause ischaemia related to infusion site. </w:t>
            </w:r>
          </w:p>
          <w:p w:rsidRPr="005F43A2" w:rsidR="00C33F51" w:rsidP="00131848" w:rsidRDefault="00C33F51" w14:paraId="1905542F" w14:textId="77777777">
            <w:pPr>
              <w:pStyle w:val="BodyText"/>
              <w:rPr>
                <w:rFonts w:cs="Arial" w:asciiTheme="minorHAnsi" w:hAnsiTheme="minorHAnsi"/>
                <w:sz w:val="20"/>
              </w:rPr>
            </w:pPr>
            <w:r w:rsidRPr="005F43A2">
              <w:rPr>
                <w:rFonts w:cs="Arial" w:asciiTheme="minorHAnsi" w:hAnsiTheme="minorHAnsi"/>
                <w:sz w:val="20"/>
              </w:rPr>
              <w:t>Acute ECG or biochemical evidence of myocardial ischaemia.</w:t>
            </w:r>
          </w:p>
          <w:p w:rsidRPr="005F43A2" w:rsidR="00C33F51" w:rsidP="00131848" w:rsidRDefault="00C33F51" w14:paraId="7C7B50DC" w14:textId="77777777">
            <w:pPr>
              <w:pStyle w:val="BodyText"/>
              <w:rPr>
                <w:rFonts w:cs="Arial" w:asciiTheme="minorHAnsi" w:hAnsiTheme="minorHAnsi"/>
                <w:sz w:val="20"/>
              </w:rPr>
            </w:pPr>
            <w:r w:rsidRPr="005F43A2">
              <w:rPr>
                <w:rFonts w:cs="Arial" w:asciiTheme="minorHAnsi" w:hAnsiTheme="minorHAnsi"/>
                <w:sz w:val="20"/>
              </w:rPr>
              <w:t>Previously documented chronic and/or severe liver dysfunction (INR &gt; 2, direct bilirubin &gt; 50 micromol/L) or clinical evidence of portal hypertension.</w:t>
            </w:r>
          </w:p>
          <w:p w:rsidRPr="005F43A2" w:rsidR="00C33F51" w:rsidP="00131848" w:rsidRDefault="00C33F51" w14:paraId="21D9FFB2" w14:textId="77777777">
            <w:pPr>
              <w:pStyle w:val="BodyText"/>
              <w:rPr>
                <w:rFonts w:cs="Arial" w:asciiTheme="minorHAnsi" w:hAnsiTheme="minorHAnsi"/>
                <w:sz w:val="20"/>
              </w:rPr>
            </w:pPr>
            <w:r w:rsidRPr="005F43A2">
              <w:rPr>
                <w:rFonts w:cs="Arial" w:asciiTheme="minorHAnsi" w:hAnsiTheme="minorHAnsi"/>
                <w:sz w:val="20"/>
              </w:rPr>
              <w:t>Documented or high suspicion of mesenteric ischaemia.</w:t>
            </w:r>
          </w:p>
          <w:p w:rsidRPr="005F43A2" w:rsidR="00C33F51" w:rsidP="00131848" w:rsidRDefault="00C33F51" w14:paraId="433323F5" w14:textId="77777777">
            <w:pPr>
              <w:pStyle w:val="BodyText"/>
              <w:rPr>
                <w:rFonts w:cs="Arial" w:asciiTheme="minorHAnsi" w:hAnsiTheme="minorHAnsi"/>
                <w:b/>
                <w:sz w:val="20"/>
              </w:rPr>
            </w:pPr>
            <w:r w:rsidRPr="005F43A2">
              <w:rPr>
                <w:rFonts w:cs="Arial" w:asciiTheme="minorHAnsi" w:hAnsiTheme="minorHAnsi"/>
                <w:b/>
                <w:sz w:val="20"/>
              </w:rPr>
              <w:t xml:space="preserve">Use in diabetes insipidus: </w:t>
            </w:r>
          </w:p>
          <w:p w:rsidRPr="005F43A2" w:rsidR="00C33F51" w:rsidP="00131848" w:rsidRDefault="00C33F51" w14:paraId="1BF7551C" w14:textId="77777777">
            <w:pPr>
              <w:pStyle w:val="BodyText"/>
              <w:rPr>
                <w:rFonts w:cs="Arial" w:asciiTheme="minorHAnsi" w:hAnsiTheme="minorHAnsi"/>
                <w:sz w:val="20"/>
              </w:rPr>
            </w:pPr>
            <w:r w:rsidRPr="005F43A2">
              <w:rPr>
                <w:rFonts w:cs="Arial" w:asciiTheme="minorHAnsi" w:hAnsiTheme="minorHAnsi"/>
                <w:sz w:val="20"/>
              </w:rPr>
              <w:t>The mainstay of initial therapy is accurate fluid and electrolyte management. ADH administration should only be considered after a reasonable period of observation establishes that DI is persistent (at least 4–6 hours, but preferably longer in acute situations). Early or over vigorous ADH administration may provoke cerebral oedema,</w:t>
            </w:r>
          </w:p>
          <w:p w:rsidRPr="005F43A2" w:rsidR="00C33F51" w:rsidP="00131848" w:rsidRDefault="00C33F51" w14:paraId="7A88C43F" w14:textId="77777777">
            <w:pPr>
              <w:pStyle w:val="BodyText"/>
              <w:rPr>
                <w:rFonts w:cs="Arial" w:asciiTheme="minorHAnsi" w:hAnsiTheme="minorHAnsi"/>
                <w:sz w:val="20"/>
              </w:rPr>
            </w:pPr>
            <w:r w:rsidRPr="005F43A2">
              <w:rPr>
                <w:rFonts w:cs="Arial" w:asciiTheme="minorHAnsi" w:hAnsiTheme="minorHAnsi"/>
                <w:sz w:val="20"/>
              </w:rPr>
              <w:t xml:space="preserve">Prior to starting the infusion, it is advisable to allow the patient to drift into a slightly negative fluid balance. This can be easily achieved by not replacing all the previous hour(s) urine output. Once the argipressin infusion has commenced, continue the fluid regimen of replacement of previous hour’s losses plus insensible losses. </w:t>
            </w:r>
          </w:p>
          <w:p w:rsidRPr="005F43A2" w:rsidR="00C33F51" w:rsidP="00131848" w:rsidRDefault="00C33F51" w14:paraId="6BDDA41D" w14:textId="77777777">
            <w:pPr>
              <w:pStyle w:val="BodyText"/>
              <w:rPr>
                <w:rFonts w:cs="Arial" w:asciiTheme="minorHAnsi" w:hAnsiTheme="minorHAnsi"/>
                <w:b/>
                <w:sz w:val="20"/>
              </w:rPr>
            </w:pPr>
            <w:r w:rsidRPr="005F43A2">
              <w:rPr>
                <w:rFonts w:cs="Arial" w:asciiTheme="minorHAnsi" w:hAnsiTheme="minorHAnsi"/>
                <w:b/>
                <w:sz w:val="20"/>
              </w:rPr>
              <w:t>Use in gastrointestinal bleeding:</w:t>
            </w:r>
            <w:r w:rsidRPr="005F43A2">
              <w:rPr>
                <w:rFonts w:cs="Arial" w:asciiTheme="minorHAnsi" w:hAnsiTheme="minorHAnsi"/>
                <w:sz w:val="20"/>
              </w:rPr>
              <w:t xml:space="preserve"> There are few reports of argipressin use for gastrointestinal bleeding in newborns. The dose regimen is unclear and other agents may be more effective. </w:t>
            </w:r>
          </w:p>
        </w:tc>
      </w:tr>
      <w:tr w:rsidRPr="005F43A2" w:rsidR="00C33F51" w:rsidTr="008D48AE" w14:paraId="52C871F9" w14:textId="77777777">
        <w:trPr>
          <w:trHeight w:val="276"/>
        </w:trPr>
        <w:tc>
          <w:tcPr>
            <w:tcW w:w="811" w:type="pct"/>
          </w:tcPr>
          <w:p w:rsidRPr="005F43A2" w:rsidR="00C33F51" w:rsidP="00131848" w:rsidRDefault="00C33F51" w14:paraId="2F58862C" w14:textId="77777777">
            <w:pPr>
              <w:pStyle w:val="BodyText"/>
              <w:rPr>
                <w:rFonts w:cs="Arial" w:asciiTheme="minorHAnsi" w:hAnsiTheme="minorHAnsi"/>
                <w:b/>
                <w:bCs/>
                <w:sz w:val="20"/>
              </w:rPr>
            </w:pPr>
            <w:r w:rsidRPr="005F43A2">
              <w:rPr>
                <w:rFonts w:cs="Arial" w:asciiTheme="minorHAnsi" w:hAnsiTheme="minorHAnsi"/>
                <w:b/>
                <w:bCs/>
                <w:sz w:val="20"/>
              </w:rPr>
              <w:t>Drug Interactions</w:t>
            </w:r>
          </w:p>
        </w:tc>
        <w:tc>
          <w:tcPr>
            <w:tcW w:w="4189" w:type="pct"/>
          </w:tcPr>
          <w:p w:rsidRPr="005F43A2" w:rsidR="00C33F51" w:rsidP="00131848" w:rsidRDefault="00C33F51" w14:paraId="72200E10" w14:textId="77777777">
            <w:pPr>
              <w:pStyle w:val="BodyText"/>
              <w:rPr>
                <w:rFonts w:cs="Arial" w:asciiTheme="minorHAnsi" w:hAnsiTheme="minorHAnsi"/>
                <w:sz w:val="20"/>
              </w:rPr>
            </w:pPr>
            <w:r w:rsidRPr="005F43A2">
              <w:rPr>
                <w:rFonts w:cs="Arial" w:asciiTheme="minorHAnsi" w:hAnsiTheme="minorHAnsi"/>
                <w:sz w:val="20"/>
              </w:rPr>
              <w:t>Noradrenaline (norepinephrine) and heparin—when used with argipressin may decrease the antidiuretic effect of argipressin.</w:t>
            </w:r>
          </w:p>
        </w:tc>
      </w:tr>
      <w:tr w:rsidRPr="005F43A2" w:rsidR="00C33F51" w:rsidTr="008D48AE" w14:paraId="2BDB869E" w14:textId="77777777">
        <w:trPr>
          <w:trHeight w:val="416"/>
        </w:trPr>
        <w:tc>
          <w:tcPr>
            <w:tcW w:w="811" w:type="pct"/>
          </w:tcPr>
          <w:p w:rsidRPr="003B6AE6" w:rsidR="00C33F51" w:rsidP="00131848" w:rsidRDefault="00C33F51" w14:paraId="6EC94887" w14:textId="77777777">
            <w:pPr>
              <w:pStyle w:val="BodyText"/>
              <w:rPr>
                <w:rFonts w:cs="Arial" w:asciiTheme="minorHAnsi" w:hAnsiTheme="minorHAnsi"/>
                <w:b/>
                <w:bCs/>
                <w:sz w:val="20"/>
              </w:rPr>
            </w:pPr>
            <w:r w:rsidRPr="003B6AE6">
              <w:rPr>
                <w:rFonts w:cs="Arial" w:asciiTheme="minorHAnsi" w:hAnsiTheme="minorHAnsi"/>
                <w:b/>
                <w:bCs/>
                <w:sz w:val="20"/>
              </w:rPr>
              <w:t xml:space="preserve">Adverse Reactions         </w:t>
            </w:r>
          </w:p>
          <w:p w:rsidRPr="005F43A2" w:rsidR="00C33F51" w:rsidP="00131848" w:rsidRDefault="00C33F51" w14:paraId="3AF05289" w14:textId="77777777">
            <w:pPr>
              <w:pStyle w:val="BodyText"/>
              <w:rPr>
                <w:rFonts w:cs="Arial" w:asciiTheme="minorHAnsi" w:hAnsiTheme="minorHAnsi"/>
                <w:b/>
                <w:bCs/>
                <w:sz w:val="20"/>
              </w:rPr>
            </w:pPr>
          </w:p>
        </w:tc>
        <w:tc>
          <w:tcPr>
            <w:tcW w:w="4189" w:type="pct"/>
          </w:tcPr>
          <w:p w:rsidRPr="005F43A2" w:rsidR="00C33F51" w:rsidP="00131848" w:rsidRDefault="00C33F51" w14:paraId="309B3666" w14:textId="77777777">
            <w:pPr>
              <w:pStyle w:val="BodyText"/>
              <w:tabs>
                <w:tab w:val="left" w:pos="1168"/>
              </w:tabs>
              <w:rPr>
                <w:rFonts w:asciiTheme="minorHAnsi" w:hAnsiTheme="minorHAnsi"/>
                <w:sz w:val="20"/>
              </w:rPr>
            </w:pPr>
            <w:r w:rsidRPr="005F43A2">
              <w:rPr>
                <w:rFonts w:asciiTheme="minorHAnsi" w:hAnsiTheme="minorHAnsi"/>
                <w:sz w:val="20"/>
              </w:rPr>
              <w:t xml:space="preserve">Causes water retention and hyponatraemia. </w:t>
            </w:r>
            <w:r w:rsidRPr="005F43A2">
              <w:rPr>
                <w:rFonts w:cs="Arial" w:asciiTheme="minorHAnsi" w:hAnsiTheme="minorHAnsi"/>
                <w:sz w:val="20"/>
              </w:rPr>
              <w:t>Early or over vigorous administration may provoke cerebral oedema,</w:t>
            </w:r>
          </w:p>
          <w:p w:rsidRPr="005F43A2" w:rsidR="00C33F51" w:rsidP="00131848" w:rsidRDefault="00C33F51" w14:paraId="4D82BEB8" w14:textId="77777777">
            <w:pPr>
              <w:pStyle w:val="BodyText"/>
              <w:tabs>
                <w:tab w:val="left" w:pos="1168"/>
              </w:tabs>
              <w:rPr>
                <w:rFonts w:asciiTheme="minorHAnsi" w:hAnsiTheme="minorHAnsi"/>
                <w:sz w:val="20"/>
              </w:rPr>
            </w:pPr>
            <w:r w:rsidRPr="005F43A2">
              <w:rPr>
                <w:rFonts w:asciiTheme="minorHAnsi" w:hAnsiTheme="minorHAnsi"/>
                <w:sz w:val="20"/>
              </w:rPr>
              <w:t>Cardiac complications include coronary ischaemia, myocardial infarction, ventricular arrhythmias (ventricular tachycardia and asystole) and severe hypertension. Other reported adverse effects include severe GI ischaemia leading to bowel necrosis, hyponatraemia, anaphylaxis, bronchospasm, urticaria, angioedema, rashes, venous thrombosis, local irritation at injection site and peripheral vasoconstriction leading to cutaneous gangrene.</w:t>
            </w:r>
            <w:r w:rsidRPr="005F43A2">
              <w:rPr>
                <w:rFonts w:asciiTheme="minorHAnsi" w:hAnsiTheme="minorHAnsi"/>
                <w:noProof/>
                <w:sz w:val="20"/>
                <w:vertAlign w:val="superscript"/>
              </w:rPr>
              <w:t>1,2</w:t>
            </w:r>
          </w:p>
        </w:tc>
      </w:tr>
      <w:tr w:rsidRPr="005F43A2" w:rsidR="00C33F51" w:rsidTr="008D48AE" w14:paraId="0C2F52B5" w14:textId="77777777">
        <w:trPr>
          <w:trHeight w:val="396"/>
        </w:trPr>
        <w:tc>
          <w:tcPr>
            <w:tcW w:w="811" w:type="pct"/>
          </w:tcPr>
          <w:p w:rsidRPr="003B6AE6" w:rsidR="00C33F51" w:rsidP="00131848" w:rsidRDefault="00C33F51" w14:paraId="1FC812D9" w14:textId="77777777">
            <w:pPr>
              <w:pStyle w:val="BodyText"/>
              <w:rPr>
                <w:rFonts w:cs="Arial" w:asciiTheme="minorHAnsi" w:hAnsiTheme="minorHAnsi"/>
                <w:b/>
                <w:bCs/>
                <w:sz w:val="20"/>
              </w:rPr>
            </w:pPr>
            <w:r w:rsidRPr="003B6AE6">
              <w:rPr>
                <w:rFonts w:cs="Arial" w:asciiTheme="minorHAnsi" w:hAnsiTheme="minorHAnsi"/>
                <w:b/>
                <w:bCs/>
                <w:sz w:val="20"/>
              </w:rPr>
              <w:t>Compatibility</w:t>
            </w:r>
          </w:p>
          <w:p w:rsidRPr="005F43A2" w:rsidR="00C33F51" w:rsidP="00131848" w:rsidRDefault="00C33F51" w14:paraId="5987D231" w14:textId="77777777">
            <w:pPr>
              <w:pStyle w:val="BodyText"/>
              <w:rPr>
                <w:rFonts w:cs="Arial" w:asciiTheme="minorHAnsi" w:hAnsiTheme="minorHAnsi"/>
                <w:b/>
                <w:bCs/>
                <w:sz w:val="20"/>
              </w:rPr>
            </w:pPr>
          </w:p>
        </w:tc>
        <w:tc>
          <w:tcPr>
            <w:tcW w:w="4189" w:type="pct"/>
          </w:tcPr>
          <w:p w:rsidRPr="005F43A2" w:rsidR="00C33F51" w:rsidP="00131848" w:rsidRDefault="00C33F51" w14:paraId="4A9786F4" w14:textId="77777777">
            <w:pPr>
              <w:pStyle w:val="BodyText"/>
              <w:rPr>
                <w:rFonts w:asciiTheme="minorHAnsi" w:hAnsiTheme="minorHAnsi"/>
                <w:sz w:val="20"/>
              </w:rPr>
            </w:pPr>
            <w:r w:rsidRPr="005F43A2">
              <w:rPr>
                <w:rFonts w:asciiTheme="minorHAnsi" w:hAnsiTheme="minorHAnsi"/>
                <w:sz w:val="20"/>
              </w:rPr>
              <w:t>Fluids: Glucose 5%, sodium chloride 0.9%</w:t>
            </w:r>
          </w:p>
          <w:p w:rsidRPr="005F43A2" w:rsidR="00C33F51" w:rsidP="00131848" w:rsidRDefault="00C33F51" w14:paraId="322120B9" w14:textId="77777777">
            <w:pPr>
              <w:pStyle w:val="BodyText"/>
              <w:rPr>
                <w:rFonts w:asciiTheme="minorHAnsi" w:hAnsiTheme="minorHAnsi"/>
                <w:sz w:val="20"/>
              </w:rPr>
            </w:pPr>
          </w:p>
          <w:p w:rsidR="00C33F51" w:rsidP="00131848" w:rsidRDefault="00C33F51" w14:paraId="3BF12A21" w14:textId="77777777">
            <w:pPr>
              <w:pStyle w:val="BodyText"/>
              <w:rPr>
                <w:rFonts w:asciiTheme="minorHAnsi" w:hAnsiTheme="minorHAnsi"/>
                <w:sz w:val="20"/>
              </w:rPr>
            </w:pPr>
            <w:r w:rsidRPr="005F43A2">
              <w:rPr>
                <w:rFonts w:asciiTheme="minorHAnsi" w:hAnsiTheme="minorHAnsi"/>
                <w:sz w:val="20"/>
              </w:rPr>
              <w:t>Y-site</w:t>
            </w:r>
            <w:r>
              <w:rPr>
                <w:rFonts w:asciiTheme="minorHAnsi" w:hAnsiTheme="minorHAnsi"/>
                <w:sz w:val="20"/>
              </w:rPr>
              <w:t xml:space="preserve"> (17,18)</w:t>
            </w:r>
            <w:r w:rsidRPr="005F43A2">
              <w:rPr>
                <w:rFonts w:asciiTheme="minorHAnsi" w:hAnsiTheme="minorHAnsi"/>
                <w:sz w:val="20"/>
              </w:rPr>
              <w:t>:</w:t>
            </w:r>
            <w:r w:rsidRPr="00FD1A5C">
              <w:rPr>
                <w:rFonts w:asciiTheme="minorHAnsi" w:hAnsiTheme="minorHAnsi" w:cstheme="minorHAnsi"/>
                <w:sz w:val="20"/>
              </w:rPr>
              <w:t xml:space="preserve"> </w:t>
            </w:r>
            <w:r w:rsidRPr="002B50BB">
              <w:rPr>
                <w:rStyle w:val="Strong"/>
                <w:rFonts w:asciiTheme="minorHAnsi" w:hAnsiTheme="minorHAnsi" w:cstheme="minorHAnsi"/>
                <w:color w:val="333333"/>
                <w:sz w:val="20"/>
                <w:shd w:val="clear" w:color="auto" w:fill="FFFFFF"/>
              </w:rPr>
              <w:t>Giving other drugs via Y-site may change the infusion rate of argipressin</w:t>
            </w:r>
            <w:r w:rsidRPr="002B50BB">
              <w:rPr>
                <w:rFonts w:asciiTheme="minorHAnsi" w:hAnsiTheme="minorHAnsi" w:cstheme="minorHAnsi"/>
                <w:color w:val="333333"/>
                <w:sz w:val="20"/>
                <w:shd w:val="clear" w:color="auto" w:fill="FFFFFF"/>
              </w:rPr>
              <w:t>.</w:t>
            </w:r>
            <w:r w:rsidRPr="002B50BB">
              <w:rPr>
                <w:rStyle w:val="Strong"/>
                <w:rFonts w:asciiTheme="minorHAnsi" w:hAnsiTheme="minorHAnsi" w:cstheme="minorHAnsi"/>
                <w:color w:val="333333"/>
                <w:sz w:val="20"/>
                <w:shd w:val="clear" w:color="auto" w:fill="FFFFFF"/>
              </w:rPr>
              <w:t> A dedicated line is preferred</w:t>
            </w:r>
            <w:r w:rsidRPr="002B50BB">
              <w:rPr>
                <w:rFonts w:asciiTheme="minorHAnsi" w:hAnsiTheme="minorHAnsi" w:cstheme="minorHAnsi"/>
                <w:color w:val="333333"/>
                <w:sz w:val="20"/>
                <w:shd w:val="clear" w:color="auto" w:fill="FFFFFF"/>
              </w:rPr>
              <w:t>.</w:t>
            </w:r>
          </w:p>
          <w:p w:rsidR="00C33F51" w:rsidP="00131848" w:rsidRDefault="00C33F51" w14:paraId="2DEA146C" w14:textId="77777777">
            <w:pPr>
              <w:pStyle w:val="BodyText"/>
              <w:rPr>
                <w:rFonts w:cs="Helvetica" w:asciiTheme="minorHAnsi" w:hAnsiTheme="minorHAnsi"/>
                <w:color w:val="333333"/>
                <w:sz w:val="20"/>
              </w:rPr>
            </w:pPr>
            <w:r>
              <w:rPr>
                <w:rFonts w:cs="Helvetica" w:asciiTheme="minorHAnsi" w:hAnsiTheme="minorHAnsi"/>
                <w:color w:val="333333"/>
                <w:sz w:val="20"/>
              </w:rPr>
              <w:t>Aciclovir, amikacin, a</w:t>
            </w:r>
            <w:r w:rsidRPr="005F43A2">
              <w:rPr>
                <w:rFonts w:cs="Helvetica" w:asciiTheme="minorHAnsi" w:hAnsiTheme="minorHAnsi"/>
                <w:color w:val="333333"/>
                <w:sz w:val="20"/>
              </w:rPr>
              <w:t xml:space="preserve">miodarone, </w:t>
            </w:r>
            <w:r>
              <w:rPr>
                <w:rFonts w:cs="Helvetica" w:asciiTheme="minorHAnsi" w:hAnsiTheme="minorHAnsi"/>
                <w:color w:val="333333"/>
                <w:sz w:val="20"/>
              </w:rPr>
              <w:t xml:space="preserve">aminophylline, amphotericin B liposome, atenolol, atropine, azithromycin, calcium chloride, calcium gluconate, cefazolin, cefepime, cefotaxime, ceftazidime, ceftriaxone, chloramphenicol, ciprofloxacin, dexamethasone, dexmedetomidine, digoxin, dobutamine, dopamine, epinephrine, epoetin alfa, fentanyl, fluconazole, folic acid, ganciclovir, gentamicin, glycopyrrolate, heparin, hydrocortisone, imipenem-cilastatin, lidocaine, linezolid, magnesium sulfate, meropenem, metronidazole, midazolam, milrinone, morphine sulfate, naloxone, nitroprusside, octreotide, </w:t>
            </w:r>
            <w:r w:rsidRPr="005F43A2">
              <w:rPr>
                <w:rFonts w:cs="Helvetica" w:asciiTheme="minorHAnsi" w:hAnsiTheme="minorHAnsi"/>
                <w:color w:val="333333"/>
                <w:sz w:val="20"/>
              </w:rPr>
              <w:t>pantoprazole</w:t>
            </w:r>
            <w:r>
              <w:rPr>
                <w:rFonts w:cs="Helvetica" w:asciiTheme="minorHAnsi" w:hAnsiTheme="minorHAnsi"/>
                <w:color w:val="333333"/>
                <w:sz w:val="20"/>
              </w:rPr>
              <w:t>, penicillin G, phenobarbital, piperacillin-tazobactam, potassium chloride, propranolol, protamine, pyridoxine, ranitidine, remifentanil, rocuronium, sodium acetate, sodium bicarbonate, theophylline, thiamine, ticarcillin-clavulanate, tobramycin, urokinase, vancomycin, vecuronium, zidovudine</w:t>
            </w:r>
            <w:r w:rsidRPr="005F43A2">
              <w:rPr>
                <w:rFonts w:cs="Helvetica" w:asciiTheme="minorHAnsi" w:hAnsiTheme="minorHAnsi"/>
                <w:color w:val="333333"/>
                <w:sz w:val="20"/>
              </w:rPr>
              <w:t xml:space="preserve">. </w:t>
            </w:r>
          </w:p>
          <w:p w:rsidRPr="002B50BB" w:rsidR="00C33F51" w:rsidP="00131848" w:rsidRDefault="00C33F51" w14:paraId="081E444F" w14:textId="77777777">
            <w:pPr>
              <w:pStyle w:val="BodyText"/>
              <w:rPr>
                <w:rFonts w:cs="Helvetica" w:asciiTheme="minorHAnsi" w:hAnsiTheme="minorHAnsi"/>
                <w:color w:val="333333"/>
                <w:sz w:val="20"/>
              </w:rPr>
            </w:pPr>
            <w:r>
              <w:rPr>
                <w:rFonts w:cs="Helvetica" w:asciiTheme="minorHAnsi" w:hAnsiTheme="minorHAnsi"/>
                <w:color w:val="333333"/>
                <w:sz w:val="20"/>
              </w:rPr>
              <w:lastRenderedPageBreak/>
              <w:t>Variable Y-site compatibility (use caution): Ampicillin, f</w:t>
            </w:r>
            <w:r>
              <w:rPr>
                <w:rFonts w:asciiTheme="minorHAnsi" w:hAnsiTheme="minorHAnsi"/>
                <w:sz w:val="20"/>
              </w:rPr>
              <w:t>urosemide, insulin (regular), sulfamethoxazole-trimethoprim</w:t>
            </w:r>
          </w:p>
        </w:tc>
      </w:tr>
      <w:tr w:rsidRPr="005F43A2" w:rsidR="00C33F51" w:rsidTr="008D48AE" w14:paraId="03CB2D09" w14:textId="77777777">
        <w:trPr>
          <w:trHeight w:val="388"/>
        </w:trPr>
        <w:tc>
          <w:tcPr>
            <w:tcW w:w="811" w:type="pct"/>
          </w:tcPr>
          <w:p w:rsidRPr="003B6AE6" w:rsidR="00C33F51" w:rsidP="00131848" w:rsidRDefault="00C33F51" w14:paraId="0E84B296" w14:textId="77777777">
            <w:pPr>
              <w:pStyle w:val="BodyText"/>
              <w:rPr>
                <w:rFonts w:cs="Arial" w:asciiTheme="minorHAnsi" w:hAnsiTheme="minorHAnsi"/>
                <w:b/>
                <w:bCs/>
                <w:sz w:val="20"/>
              </w:rPr>
            </w:pPr>
            <w:r w:rsidRPr="003B6AE6">
              <w:rPr>
                <w:rFonts w:cs="Arial" w:asciiTheme="minorHAnsi" w:hAnsiTheme="minorHAnsi"/>
                <w:b/>
                <w:bCs/>
                <w:sz w:val="20"/>
              </w:rPr>
              <w:lastRenderedPageBreak/>
              <w:t xml:space="preserve">Incompatibility      </w:t>
            </w:r>
          </w:p>
          <w:p w:rsidRPr="005F43A2" w:rsidR="00C33F51" w:rsidP="00131848" w:rsidRDefault="00C33F51" w14:paraId="13C3ED40" w14:textId="77777777">
            <w:pPr>
              <w:pStyle w:val="BodyText"/>
              <w:rPr>
                <w:rFonts w:cs="Arial" w:asciiTheme="minorHAnsi" w:hAnsiTheme="minorHAnsi"/>
                <w:b/>
                <w:bCs/>
                <w:sz w:val="20"/>
              </w:rPr>
            </w:pPr>
            <w:r w:rsidRPr="005F43A2">
              <w:rPr>
                <w:rFonts w:cs="Arial" w:asciiTheme="minorHAnsi" w:hAnsiTheme="minorHAnsi"/>
                <w:b/>
                <w:bCs/>
                <w:sz w:val="20"/>
              </w:rPr>
              <w:t xml:space="preserve">               </w:t>
            </w:r>
            <w:r w:rsidRPr="005F43A2">
              <w:rPr>
                <w:rFonts w:cs="Arial" w:asciiTheme="minorHAnsi" w:hAnsiTheme="minorHAnsi"/>
                <w:b/>
                <w:bCs/>
                <w:sz w:val="20"/>
              </w:rPr>
              <w:tab/>
            </w:r>
          </w:p>
        </w:tc>
        <w:tc>
          <w:tcPr>
            <w:tcW w:w="4189" w:type="pct"/>
          </w:tcPr>
          <w:p w:rsidRPr="005F43A2" w:rsidR="00C33F51" w:rsidP="00131848" w:rsidRDefault="00C33F51" w14:paraId="5E717209" w14:textId="77777777">
            <w:pPr>
              <w:pStyle w:val="BodyText"/>
              <w:rPr>
                <w:rFonts w:asciiTheme="minorHAnsi" w:hAnsiTheme="minorHAnsi"/>
                <w:sz w:val="20"/>
              </w:rPr>
            </w:pPr>
            <w:r w:rsidRPr="005F43A2">
              <w:rPr>
                <w:rFonts w:asciiTheme="minorHAnsi" w:hAnsiTheme="minorHAnsi"/>
                <w:sz w:val="20"/>
              </w:rPr>
              <w:t xml:space="preserve">Fluids: No information. </w:t>
            </w:r>
          </w:p>
          <w:p w:rsidRPr="00813159" w:rsidR="00C33F51" w:rsidP="00131848" w:rsidRDefault="00C33F51" w14:paraId="4130AF8B" w14:textId="77777777">
            <w:pPr>
              <w:pStyle w:val="BodyText"/>
              <w:rPr>
                <w:rFonts w:asciiTheme="minorHAnsi" w:hAnsiTheme="minorHAnsi"/>
                <w:sz w:val="20"/>
              </w:rPr>
            </w:pPr>
            <w:r w:rsidRPr="005F43A2">
              <w:rPr>
                <w:rFonts w:asciiTheme="minorHAnsi" w:hAnsiTheme="minorHAnsi"/>
                <w:sz w:val="20"/>
              </w:rPr>
              <w:t>Y-site</w:t>
            </w:r>
            <w:r>
              <w:rPr>
                <w:rFonts w:asciiTheme="minorHAnsi" w:hAnsiTheme="minorHAnsi"/>
                <w:sz w:val="20"/>
              </w:rPr>
              <w:t xml:space="preserve"> (17,18)</w:t>
            </w:r>
            <w:r w:rsidRPr="005F43A2">
              <w:rPr>
                <w:rFonts w:asciiTheme="minorHAnsi" w:hAnsiTheme="minorHAnsi"/>
                <w:sz w:val="20"/>
              </w:rPr>
              <w:t xml:space="preserve">: Diazepam, </w:t>
            </w:r>
            <w:r>
              <w:rPr>
                <w:rFonts w:asciiTheme="minorHAnsi" w:hAnsiTheme="minorHAnsi"/>
                <w:sz w:val="20"/>
              </w:rPr>
              <w:t>diazoxide,</w:t>
            </w:r>
            <w:r w:rsidRPr="005F43A2">
              <w:rPr>
                <w:rFonts w:asciiTheme="minorHAnsi" w:hAnsiTheme="minorHAnsi"/>
                <w:sz w:val="20"/>
              </w:rPr>
              <w:t xml:space="preserve"> indometacin, phenytoin. </w:t>
            </w:r>
          </w:p>
        </w:tc>
      </w:tr>
      <w:tr w:rsidRPr="005F43A2" w:rsidR="00C33F51" w:rsidTr="008D48AE" w14:paraId="620A42E9" w14:textId="77777777">
        <w:trPr>
          <w:trHeight w:val="474"/>
        </w:trPr>
        <w:tc>
          <w:tcPr>
            <w:tcW w:w="811" w:type="pct"/>
          </w:tcPr>
          <w:p w:rsidRPr="005F43A2" w:rsidR="00C33F51" w:rsidP="00131848" w:rsidRDefault="00C33F51" w14:paraId="248B54F7" w14:textId="77777777">
            <w:pPr>
              <w:pStyle w:val="BodyText"/>
              <w:rPr>
                <w:rFonts w:cs="Arial" w:asciiTheme="minorHAnsi" w:hAnsiTheme="minorHAnsi"/>
                <w:b/>
                <w:bCs/>
                <w:sz w:val="20"/>
              </w:rPr>
            </w:pPr>
            <w:r w:rsidRPr="003B6AE6">
              <w:rPr>
                <w:rFonts w:cs="Arial" w:asciiTheme="minorHAnsi" w:hAnsiTheme="minorHAnsi"/>
                <w:b/>
                <w:bCs/>
                <w:sz w:val="20"/>
              </w:rPr>
              <w:t xml:space="preserve">Stability                  </w:t>
            </w:r>
          </w:p>
        </w:tc>
        <w:tc>
          <w:tcPr>
            <w:tcW w:w="4189" w:type="pct"/>
          </w:tcPr>
          <w:p w:rsidRPr="005F43A2" w:rsidR="00C33F51" w:rsidP="00131848" w:rsidRDefault="00C33F51" w14:paraId="10473F08" w14:textId="77777777">
            <w:pPr>
              <w:pStyle w:val="BodyText"/>
              <w:rPr>
                <w:rFonts w:asciiTheme="minorHAnsi" w:hAnsiTheme="minorHAnsi"/>
                <w:sz w:val="20"/>
              </w:rPr>
            </w:pPr>
            <w:r w:rsidRPr="005F43A2">
              <w:rPr>
                <w:rFonts w:asciiTheme="minorHAnsi" w:hAnsiTheme="minorHAnsi"/>
                <w:sz w:val="20"/>
              </w:rPr>
              <w:t xml:space="preserve">Diluted solution: Discard remainder after use. </w:t>
            </w:r>
          </w:p>
          <w:p w:rsidRPr="005F43A2" w:rsidR="00C33F51" w:rsidP="00131848" w:rsidRDefault="00C33F51" w14:paraId="1849CB55" w14:textId="77777777">
            <w:pPr>
              <w:pStyle w:val="BodyText"/>
              <w:rPr>
                <w:rFonts w:asciiTheme="minorHAnsi" w:hAnsiTheme="minorHAnsi"/>
                <w:sz w:val="20"/>
              </w:rPr>
            </w:pPr>
            <w:r w:rsidRPr="005F43A2">
              <w:rPr>
                <w:rFonts w:asciiTheme="minorHAnsi" w:hAnsiTheme="minorHAnsi"/>
                <w:sz w:val="20"/>
              </w:rPr>
              <w:t>Change infusion solution every 24 hours</w:t>
            </w:r>
          </w:p>
        </w:tc>
      </w:tr>
      <w:tr w:rsidRPr="005F43A2" w:rsidR="00C33F51" w:rsidTr="008D48AE" w14:paraId="5E2E054C" w14:textId="77777777">
        <w:trPr>
          <w:trHeight w:val="263"/>
        </w:trPr>
        <w:tc>
          <w:tcPr>
            <w:tcW w:w="811" w:type="pct"/>
          </w:tcPr>
          <w:p w:rsidRPr="005F43A2" w:rsidR="00C33F51" w:rsidP="00131848" w:rsidRDefault="00C33F51" w14:paraId="3EB5C5FA" w14:textId="77777777">
            <w:pPr>
              <w:pStyle w:val="BodyText"/>
              <w:rPr>
                <w:rFonts w:cs="Arial" w:asciiTheme="minorHAnsi" w:hAnsiTheme="minorHAnsi"/>
                <w:b/>
                <w:bCs/>
                <w:sz w:val="20"/>
              </w:rPr>
            </w:pPr>
            <w:r w:rsidRPr="005F43A2">
              <w:rPr>
                <w:rFonts w:cs="Arial" w:asciiTheme="minorHAnsi" w:hAnsiTheme="minorHAnsi"/>
                <w:b/>
                <w:bCs/>
                <w:sz w:val="20"/>
              </w:rPr>
              <w:t xml:space="preserve">Storage             </w:t>
            </w:r>
          </w:p>
        </w:tc>
        <w:tc>
          <w:tcPr>
            <w:tcW w:w="4189" w:type="pct"/>
          </w:tcPr>
          <w:p w:rsidRPr="005F43A2" w:rsidR="00C33F51" w:rsidP="00131848" w:rsidRDefault="00C33F51" w14:paraId="5E78DFC9" w14:textId="77777777">
            <w:pPr>
              <w:pStyle w:val="BodyText"/>
              <w:rPr>
                <w:rFonts w:asciiTheme="minorHAnsi" w:hAnsiTheme="minorHAnsi"/>
                <w:sz w:val="20"/>
              </w:rPr>
            </w:pPr>
            <w:r w:rsidRPr="005F43A2">
              <w:rPr>
                <w:rFonts w:asciiTheme="minorHAnsi" w:hAnsiTheme="minorHAnsi"/>
                <w:sz w:val="20"/>
              </w:rPr>
              <w:t>Ampoule: Store below 25°C</w:t>
            </w:r>
            <w:r>
              <w:rPr>
                <w:rFonts w:asciiTheme="minorHAnsi" w:hAnsiTheme="minorHAnsi"/>
                <w:sz w:val="20"/>
              </w:rPr>
              <w:t>.</w:t>
            </w:r>
          </w:p>
        </w:tc>
      </w:tr>
      <w:tr w:rsidRPr="005F43A2" w:rsidR="00C33F51" w:rsidTr="008D48AE" w14:paraId="1FBA8073" w14:textId="77777777">
        <w:trPr>
          <w:trHeight w:val="263"/>
        </w:trPr>
        <w:tc>
          <w:tcPr>
            <w:tcW w:w="811" w:type="pct"/>
          </w:tcPr>
          <w:p w:rsidRPr="005F43A2" w:rsidR="00C33F51" w:rsidP="00131848" w:rsidRDefault="00C33F51" w14:paraId="268E284D" w14:textId="77777777">
            <w:pPr>
              <w:pStyle w:val="BodyText"/>
              <w:rPr>
                <w:rFonts w:cs="Arial" w:asciiTheme="minorHAnsi" w:hAnsiTheme="minorHAnsi"/>
                <w:b/>
                <w:bCs/>
                <w:sz w:val="20"/>
              </w:rPr>
            </w:pPr>
            <w:r>
              <w:rPr>
                <w:rFonts w:cs="Arial" w:asciiTheme="minorHAnsi" w:hAnsiTheme="minorHAnsi"/>
                <w:b/>
                <w:bCs/>
                <w:sz w:val="20"/>
              </w:rPr>
              <w:t>Exipients</w:t>
            </w:r>
          </w:p>
        </w:tc>
        <w:tc>
          <w:tcPr>
            <w:tcW w:w="4189" w:type="pct"/>
          </w:tcPr>
          <w:p w:rsidRPr="005F43A2" w:rsidR="00C33F51" w:rsidP="00131848" w:rsidRDefault="00C33F51" w14:paraId="36ACD6D5" w14:textId="77777777">
            <w:pPr>
              <w:pStyle w:val="BodyText"/>
              <w:rPr>
                <w:rFonts w:asciiTheme="minorHAnsi" w:hAnsiTheme="minorHAnsi"/>
                <w:sz w:val="20"/>
              </w:rPr>
            </w:pPr>
            <w:r>
              <w:rPr>
                <w:rFonts w:asciiTheme="minorHAnsi" w:hAnsiTheme="minorHAnsi"/>
                <w:sz w:val="20"/>
              </w:rPr>
              <w:t>Acetic acid and water for injection.</w:t>
            </w:r>
          </w:p>
        </w:tc>
      </w:tr>
      <w:tr w:rsidRPr="005F43A2" w:rsidR="00C33F51" w:rsidTr="008D48AE" w14:paraId="7875F430" w14:textId="77777777">
        <w:trPr>
          <w:trHeight w:val="341"/>
        </w:trPr>
        <w:tc>
          <w:tcPr>
            <w:tcW w:w="811" w:type="pct"/>
          </w:tcPr>
          <w:p w:rsidRPr="005F43A2" w:rsidR="00C33F51" w:rsidP="00131848" w:rsidRDefault="00C33F51" w14:paraId="50DE71CD" w14:textId="77777777">
            <w:pPr>
              <w:pStyle w:val="BodyText"/>
              <w:rPr>
                <w:rFonts w:cs="Arial" w:asciiTheme="minorHAnsi" w:hAnsiTheme="minorHAnsi"/>
                <w:b/>
                <w:bCs/>
                <w:sz w:val="20"/>
              </w:rPr>
            </w:pPr>
            <w:r w:rsidRPr="005F43A2">
              <w:rPr>
                <w:rFonts w:cs="Arial" w:asciiTheme="minorHAnsi" w:hAnsiTheme="minorHAnsi"/>
                <w:b/>
                <w:bCs/>
                <w:sz w:val="20"/>
              </w:rPr>
              <w:t xml:space="preserve">Special Comments       </w:t>
            </w:r>
          </w:p>
        </w:tc>
        <w:tc>
          <w:tcPr>
            <w:tcW w:w="4189" w:type="pct"/>
          </w:tcPr>
          <w:p w:rsidRPr="005F43A2" w:rsidR="00C33F51" w:rsidP="00131848" w:rsidRDefault="00C33F51" w14:paraId="00C09DE4" w14:textId="77777777">
            <w:pPr>
              <w:pStyle w:val="BodyText"/>
              <w:rPr>
                <w:rFonts w:cs="Arial" w:asciiTheme="minorHAnsi" w:hAnsiTheme="minorHAnsi"/>
                <w:sz w:val="20"/>
              </w:rPr>
            </w:pPr>
            <w:r w:rsidRPr="005F43A2">
              <w:rPr>
                <w:rFonts w:cs="Arial" w:asciiTheme="minorHAnsi" w:hAnsiTheme="minorHAnsi"/>
                <w:sz w:val="20"/>
              </w:rPr>
              <w:t xml:space="preserve">Administration via a central line is preferred as extravasation may cause tissue necrosis. </w:t>
            </w:r>
          </w:p>
        </w:tc>
      </w:tr>
      <w:tr w:rsidRPr="005F43A2" w:rsidR="00C33F51" w:rsidTr="008D48AE" w14:paraId="7A5661A0" w14:textId="77777777">
        <w:trPr>
          <w:trHeight w:val="1071"/>
        </w:trPr>
        <w:tc>
          <w:tcPr>
            <w:tcW w:w="811" w:type="pct"/>
          </w:tcPr>
          <w:p w:rsidRPr="005F43A2" w:rsidR="00C33F51" w:rsidP="00131848" w:rsidRDefault="00C33F51" w14:paraId="6025D6C3" w14:textId="77777777">
            <w:pPr>
              <w:pStyle w:val="BodyText"/>
              <w:rPr>
                <w:rFonts w:cs="Arial" w:asciiTheme="minorHAnsi" w:hAnsiTheme="minorHAnsi"/>
                <w:b/>
                <w:bCs/>
                <w:sz w:val="20"/>
              </w:rPr>
            </w:pPr>
            <w:r w:rsidRPr="005F43A2">
              <w:rPr>
                <w:rFonts w:cs="Arial" w:asciiTheme="minorHAnsi" w:hAnsiTheme="minorHAnsi"/>
                <w:b/>
                <w:bCs/>
                <w:sz w:val="20"/>
              </w:rPr>
              <w:t xml:space="preserve">Evidence </w:t>
            </w:r>
          </w:p>
        </w:tc>
        <w:tc>
          <w:tcPr>
            <w:tcW w:w="4189" w:type="pct"/>
          </w:tcPr>
          <w:p w:rsidRPr="00961818" w:rsidR="00C33F51" w:rsidP="00131848" w:rsidRDefault="00C33F51" w14:paraId="26ACEFDA" w14:textId="77777777">
            <w:pPr>
              <w:pStyle w:val="BodyText"/>
              <w:tabs>
                <w:tab w:val="left" w:pos="1168"/>
              </w:tabs>
              <w:rPr>
                <w:rFonts w:asciiTheme="minorHAnsi" w:hAnsiTheme="minorHAnsi"/>
                <w:sz w:val="16"/>
                <w:szCs w:val="16"/>
              </w:rPr>
            </w:pPr>
            <w:r w:rsidRPr="00961818">
              <w:rPr>
                <w:rFonts w:asciiTheme="minorHAnsi" w:hAnsiTheme="minorHAnsi"/>
                <w:sz w:val="16"/>
                <w:szCs w:val="16"/>
              </w:rPr>
              <w:t xml:space="preserve">Efficacy: </w:t>
            </w:r>
          </w:p>
          <w:p w:rsidRPr="00961818" w:rsidR="00C33F51" w:rsidP="00131848" w:rsidRDefault="00C33F51" w14:paraId="537A3F15" w14:textId="77777777">
            <w:pPr>
              <w:pStyle w:val="BodyText"/>
              <w:tabs>
                <w:tab w:val="left" w:pos="1168"/>
              </w:tabs>
              <w:rPr>
                <w:rFonts w:asciiTheme="minorHAnsi" w:hAnsiTheme="minorHAnsi"/>
                <w:sz w:val="16"/>
                <w:szCs w:val="16"/>
              </w:rPr>
            </w:pPr>
            <w:r w:rsidRPr="00961818">
              <w:rPr>
                <w:rFonts w:asciiTheme="minorHAnsi" w:hAnsiTheme="minorHAnsi"/>
                <w:b/>
                <w:sz w:val="16"/>
                <w:szCs w:val="16"/>
              </w:rPr>
              <w:t>Newborns with hypotension:</w:t>
            </w:r>
            <w:r w:rsidRPr="00961818">
              <w:rPr>
                <w:rFonts w:asciiTheme="minorHAnsi" w:hAnsiTheme="minorHAnsi"/>
                <w:sz w:val="16"/>
                <w:szCs w:val="16"/>
              </w:rPr>
              <w:t xml:space="preserve"> A pilot trial in preterm infants born &lt; 30 weeks gestation with refractory hypotension (n = 20) of argipressin (0.01 units/kg/h to maximum 0.04 units/kg/hour) versus dopamine (5 to 20 microg/kg/min) reported similar increases in blood pressure. Infants receiving argipressin received fewer doses of surfactant, had lower PaCO</w:t>
            </w:r>
            <w:r w:rsidRPr="00961818">
              <w:rPr>
                <w:rFonts w:asciiTheme="minorHAnsi" w:hAnsiTheme="minorHAnsi"/>
                <w:sz w:val="16"/>
                <w:szCs w:val="16"/>
                <w:vertAlign w:val="subscript"/>
              </w:rPr>
              <w:t>2</w:t>
            </w:r>
            <w:r w:rsidRPr="00961818">
              <w:rPr>
                <w:rFonts w:asciiTheme="minorHAnsi" w:hAnsiTheme="minorHAnsi"/>
                <w:sz w:val="16"/>
                <w:szCs w:val="16"/>
              </w:rPr>
              <w:t xml:space="preserve"> values and were less tachycardic. No difference in clinical outcome was reported.</w:t>
            </w:r>
            <w:r w:rsidRPr="00961818">
              <w:rPr>
                <w:rFonts w:asciiTheme="minorHAnsi" w:hAnsiTheme="minorHAnsi"/>
                <w:noProof/>
                <w:sz w:val="16"/>
                <w:szCs w:val="16"/>
                <w:vertAlign w:val="superscript"/>
              </w:rPr>
              <w:t>3</w:t>
            </w:r>
            <w:r w:rsidRPr="00961818">
              <w:rPr>
                <w:rFonts w:asciiTheme="minorHAnsi" w:hAnsiTheme="minorHAnsi"/>
                <w:sz w:val="16"/>
                <w:szCs w:val="16"/>
              </w:rPr>
              <w:t xml:space="preserve"> The role of argipressin for hypotension in newborns is unclear (LOE II, GOR D). </w:t>
            </w:r>
          </w:p>
          <w:p w:rsidRPr="00961818" w:rsidR="00C33F51" w:rsidP="00131848" w:rsidRDefault="00C33F51" w14:paraId="13D2EE03" w14:textId="77777777">
            <w:pPr>
              <w:pStyle w:val="BodyText"/>
              <w:tabs>
                <w:tab w:val="left" w:pos="1168"/>
              </w:tabs>
              <w:rPr>
                <w:rFonts w:asciiTheme="minorHAnsi" w:hAnsiTheme="minorHAnsi"/>
                <w:sz w:val="16"/>
                <w:szCs w:val="16"/>
                <w:vertAlign w:val="superscript"/>
              </w:rPr>
            </w:pPr>
            <w:r w:rsidRPr="00961818">
              <w:rPr>
                <w:rFonts w:asciiTheme="minorHAnsi" w:hAnsiTheme="minorHAnsi"/>
                <w:b/>
                <w:sz w:val="16"/>
                <w:szCs w:val="16"/>
              </w:rPr>
              <w:t xml:space="preserve">Children with refractory hypotension: </w:t>
            </w:r>
            <w:r w:rsidRPr="00961818">
              <w:rPr>
                <w:rFonts w:asciiTheme="minorHAnsi" w:hAnsiTheme="minorHAnsi"/>
                <w:sz w:val="16"/>
                <w:szCs w:val="16"/>
              </w:rPr>
              <w:t>A review</w:t>
            </w:r>
            <w:r w:rsidRPr="00961818">
              <w:rPr>
                <w:rFonts w:asciiTheme="minorHAnsi" w:hAnsiTheme="minorHAnsi"/>
                <w:noProof/>
                <w:sz w:val="16"/>
                <w:szCs w:val="16"/>
                <w:vertAlign w:val="superscript"/>
              </w:rPr>
              <w:t>4</w:t>
            </w:r>
            <w:r w:rsidRPr="00961818">
              <w:rPr>
                <w:rFonts w:asciiTheme="minorHAnsi" w:hAnsiTheme="minorHAnsi"/>
                <w:sz w:val="16"/>
                <w:szCs w:val="16"/>
              </w:rPr>
              <w:t xml:space="preserve"> of argipressin/terlipressin as rescue therapy in children with catecholamine-resistant shock or cardio-circulatory arrest found 31 reports (428 patients) including a single RCT of argipressin in children with vasodilatory shock. Infants with vasodilatory shock were randomised to low-dose argipressin (0.0005 to 0.002 units/kg/minute = 0.03 to 0.12 units/kg/hour) or placebo in addition to open-label vasoactive agents. There was no difference in time to </w:t>
            </w:r>
            <w:r w:rsidRPr="00961818">
              <w:rPr>
                <w:rFonts w:cs="Segoe UI" w:asciiTheme="minorHAnsi" w:hAnsiTheme="minorHAnsi" w:eastAsiaTheme="minorHAnsi"/>
                <w:sz w:val="16"/>
                <w:szCs w:val="16"/>
              </w:rPr>
              <w:t xml:space="preserve">vasoactive-free haemodynamic stability, a trend to increasing mortality and no benefit in respect to organ-failure-free days from use of argipressin. In observational studies, </w:t>
            </w:r>
            <w:r w:rsidRPr="00961818">
              <w:rPr>
                <w:rFonts w:asciiTheme="minorHAnsi" w:hAnsiTheme="minorHAnsi"/>
                <w:sz w:val="16"/>
                <w:szCs w:val="16"/>
              </w:rPr>
              <w:t>argipressin from 0.00002 unit/kg/minute to 0.002 unit/kg/minute (0.0012 to 0.12 units/kg/hour) increased blood pressure, urine output, and decreased serum lactate. In most reports, argipressin and terlipressin led to a reduction of catecholamine dose. However, mortality remained high (188/428; 43.9%) despite the use of argipressin or terlipressin.</w:t>
            </w:r>
            <w:r w:rsidRPr="00961818">
              <w:rPr>
                <w:rFonts w:asciiTheme="minorHAnsi" w:hAnsiTheme="minorHAnsi"/>
                <w:noProof/>
                <w:sz w:val="16"/>
                <w:szCs w:val="16"/>
                <w:vertAlign w:val="superscript"/>
              </w:rPr>
              <w:t xml:space="preserve"> 4</w:t>
            </w:r>
            <w:r w:rsidRPr="00961818">
              <w:rPr>
                <w:rFonts w:asciiTheme="minorHAnsi" w:hAnsiTheme="minorHAnsi"/>
                <w:noProof/>
                <w:sz w:val="16"/>
                <w:szCs w:val="16"/>
              </w:rPr>
              <w:t xml:space="preserve"> </w:t>
            </w:r>
            <w:r w:rsidRPr="00961818">
              <w:rPr>
                <w:rFonts w:asciiTheme="minorHAnsi" w:hAnsiTheme="minorHAnsi"/>
                <w:sz w:val="16"/>
                <w:szCs w:val="16"/>
              </w:rPr>
              <w:t>The role of argipressin for refractory hypotension in newborns is unclear. (LOE IV in newborns, GOR D) American College of Critical Care Medicine Clinical Practice Parameters for Hemodynamic Support of Pediatric and Neonatal Septic Shock included argipressin as an option for management of vasodilatory shock (hypotension with low vascular resistance) refractory to catecholamines including noradrenaline (norepinephrine).</w:t>
            </w:r>
            <w:r w:rsidRPr="00961818">
              <w:rPr>
                <w:rFonts w:asciiTheme="minorHAnsi" w:hAnsiTheme="minorHAnsi"/>
                <w:sz w:val="16"/>
                <w:szCs w:val="16"/>
                <w:vertAlign w:val="superscript"/>
              </w:rPr>
              <w:t>5</w:t>
            </w:r>
          </w:p>
          <w:p w:rsidRPr="00961818" w:rsidR="00C33F51" w:rsidP="00131848" w:rsidRDefault="00C33F51" w14:paraId="1E01935A" w14:textId="77777777">
            <w:pPr>
              <w:pStyle w:val="BodyText"/>
              <w:rPr>
                <w:rFonts w:cs="Arial" w:asciiTheme="minorHAnsi" w:hAnsiTheme="minorHAnsi"/>
                <w:sz w:val="16"/>
                <w:szCs w:val="16"/>
              </w:rPr>
            </w:pPr>
            <w:r w:rsidRPr="00961818">
              <w:rPr>
                <w:rFonts w:cs="Arial" w:asciiTheme="minorHAnsi" w:hAnsiTheme="minorHAnsi"/>
                <w:b/>
                <w:sz w:val="16"/>
                <w:szCs w:val="16"/>
              </w:rPr>
              <w:t>Use in pulmonary hypertension:</w:t>
            </w:r>
            <w:r w:rsidRPr="00961818">
              <w:rPr>
                <w:rFonts w:cs="Arial" w:asciiTheme="minorHAnsi" w:hAnsiTheme="minorHAnsi"/>
                <w:sz w:val="16"/>
                <w:szCs w:val="16"/>
              </w:rPr>
              <w:t xml:space="preserve"> In a case series of 10 newborn infants with severe persistent pulmonary hypertension of the newborn on nitric oxide, argipressin 0.0002 ± 0.0002 U/kg/minute (0.012 ± 0.012 units/kg/hour) was associated with an improvement in oxygenation index, peak effect 6 hours after initiation, and a reduction in inhaled nitric oxide dose, improvement in blood pressure and urine output (p &lt; 0.05), without drop in the serum sodium level or worsening in serum lactate level.</w:t>
            </w:r>
            <w:r w:rsidRPr="00961818">
              <w:rPr>
                <w:rFonts w:cs="Arial" w:asciiTheme="minorHAnsi" w:hAnsiTheme="minorHAnsi"/>
                <w:noProof/>
                <w:sz w:val="16"/>
                <w:szCs w:val="16"/>
                <w:vertAlign w:val="superscript"/>
              </w:rPr>
              <w:t xml:space="preserve">6 </w:t>
            </w:r>
            <w:r w:rsidRPr="00961818">
              <w:rPr>
                <w:rFonts w:asciiTheme="minorHAnsi" w:hAnsiTheme="minorHAnsi"/>
                <w:sz w:val="16"/>
                <w:szCs w:val="16"/>
              </w:rPr>
              <w:t>The role of argipressin for pulmonary hypertension in newborns is unclear. (LOE IV, GOR D)</w:t>
            </w:r>
          </w:p>
          <w:p w:rsidRPr="00961818" w:rsidR="00C33F51" w:rsidP="00131848" w:rsidRDefault="00C33F51" w14:paraId="3D7EA841" w14:textId="77777777">
            <w:pPr>
              <w:pStyle w:val="BodyText"/>
              <w:tabs>
                <w:tab w:val="left" w:pos="1168"/>
              </w:tabs>
              <w:rPr>
                <w:rFonts w:asciiTheme="minorHAnsi" w:hAnsiTheme="minorHAnsi"/>
                <w:sz w:val="16"/>
                <w:szCs w:val="16"/>
              </w:rPr>
            </w:pPr>
            <w:r w:rsidRPr="00961818">
              <w:rPr>
                <w:rFonts w:asciiTheme="minorHAnsi" w:hAnsiTheme="minorHAnsi"/>
                <w:b/>
                <w:sz w:val="16"/>
                <w:szCs w:val="16"/>
              </w:rPr>
              <w:t>Use in congenital diaphragmatic hernia</w:t>
            </w:r>
            <w:r w:rsidRPr="00961818">
              <w:rPr>
                <w:rFonts w:asciiTheme="minorHAnsi" w:hAnsiTheme="minorHAnsi"/>
                <w:sz w:val="16"/>
                <w:szCs w:val="16"/>
              </w:rPr>
              <w:t>: In a case series of 13 infants with CDH treated with argipressin for refractory hypotension, argipressin (range 0.0001–0.002 units/kg/min) increased mean arterial pressure and decreased pulmonary/systemic pressure ratio, heart rate, and fraction of inspired oxygen. In 6 of 13 patients, extracorporeal membrane oxygenation therapy was no longer indicated after treatment. The role of argipressin in newborns with CDH and refractory hypotension is unclear. (LOE IV, GOR D)</w:t>
            </w:r>
            <w:r w:rsidRPr="00961818">
              <w:rPr>
                <w:rFonts w:asciiTheme="minorHAnsi" w:hAnsiTheme="minorHAnsi"/>
                <w:noProof/>
                <w:sz w:val="16"/>
                <w:szCs w:val="16"/>
                <w:vertAlign w:val="superscript"/>
              </w:rPr>
              <w:t xml:space="preserve">  7, 8</w:t>
            </w:r>
          </w:p>
          <w:p w:rsidRPr="00961818" w:rsidR="00C33F51" w:rsidP="00131848" w:rsidRDefault="00C33F51" w14:paraId="3F09A72C" w14:textId="77777777">
            <w:pPr>
              <w:pStyle w:val="BodyText"/>
              <w:tabs>
                <w:tab w:val="left" w:pos="1168"/>
              </w:tabs>
              <w:rPr>
                <w:rFonts w:asciiTheme="minorHAnsi" w:hAnsiTheme="minorHAnsi"/>
                <w:sz w:val="16"/>
                <w:szCs w:val="16"/>
              </w:rPr>
            </w:pPr>
            <w:r w:rsidRPr="00961818">
              <w:rPr>
                <w:rFonts w:asciiTheme="minorHAnsi" w:hAnsiTheme="minorHAnsi"/>
                <w:b/>
                <w:sz w:val="16"/>
                <w:szCs w:val="16"/>
              </w:rPr>
              <w:t>Infants with diabetes insipidus:</w:t>
            </w:r>
            <w:r w:rsidRPr="00961818">
              <w:rPr>
                <w:rFonts w:asciiTheme="minorHAnsi" w:hAnsiTheme="minorHAnsi"/>
                <w:sz w:val="16"/>
                <w:szCs w:val="16"/>
              </w:rPr>
              <w:t xml:space="preserve"> the drug of choice for the treatment of diabetes insipidus is desmopressin (dDAVP), a synthetic analog of arginine vasopressin, but with a 2,000- to 3,000-fold lower vasopressor effect. An aqueous argipressin infusion should be considered in the initial management of post-surgical or post-traumatic DI. It has the advantage of having a relatively short half-life so that the dose can be titrated against the urine output. It has the disadvantage of requiring significant observation and adjustment of the infusion rate depending upon the hourly urine output. Management should be in PICU where monitoring and expertise are readily available. In children with DI secondary to brain injury, an initial infusion of aqueous argipressin 0.00025 to 0.001 units/kg/hour (0.25 to 1.0 milliunits/kg/hour titrated to urine output 2–3 ml/kg/hour, urine specific gravity 1.010–1.020 and serum sodium 140–145 mEq/L, was effective.</w:t>
            </w:r>
            <w:r w:rsidRPr="00961818">
              <w:rPr>
                <w:rFonts w:asciiTheme="minorHAnsi" w:hAnsiTheme="minorHAnsi"/>
                <w:noProof/>
                <w:sz w:val="16"/>
                <w:szCs w:val="16"/>
                <w:vertAlign w:val="superscript"/>
              </w:rPr>
              <w:t>8</w:t>
            </w:r>
            <w:r w:rsidRPr="00961818">
              <w:rPr>
                <w:rFonts w:asciiTheme="minorHAnsi" w:hAnsiTheme="minorHAnsi"/>
                <w:sz w:val="16"/>
                <w:szCs w:val="16"/>
              </w:rPr>
              <w:t xml:space="preserve"> Argipressin infusion can be used in infants with diabetes insipidus where dDAVP is not though appropriate. (LOE IV GOR C)</w:t>
            </w:r>
          </w:p>
          <w:p w:rsidRPr="00961818" w:rsidR="00C33F51" w:rsidP="00131848" w:rsidRDefault="00C33F51" w14:paraId="705F097D" w14:textId="77777777">
            <w:pPr>
              <w:pStyle w:val="BodyText"/>
              <w:tabs>
                <w:tab w:val="left" w:pos="1168"/>
              </w:tabs>
              <w:rPr>
                <w:rFonts w:cs="Arial" w:asciiTheme="minorHAnsi" w:hAnsiTheme="minorHAnsi"/>
                <w:sz w:val="16"/>
                <w:szCs w:val="16"/>
                <w:vertAlign w:val="superscript"/>
              </w:rPr>
            </w:pPr>
            <w:r w:rsidRPr="00961818">
              <w:rPr>
                <w:rFonts w:asciiTheme="minorHAnsi" w:hAnsiTheme="minorHAnsi"/>
                <w:b/>
                <w:sz w:val="16"/>
                <w:szCs w:val="16"/>
              </w:rPr>
              <w:t>Infants with gastrointestinal bleeding:</w:t>
            </w:r>
            <w:r w:rsidRPr="00961818">
              <w:rPr>
                <w:rFonts w:asciiTheme="minorHAnsi" w:hAnsiTheme="minorHAnsi"/>
                <w:sz w:val="16"/>
                <w:szCs w:val="16"/>
              </w:rPr>
              <w:t xml:space="preserve"> There are only case reports of argipressin being used for gastrointestinal bleeding.</w:t>
            </w:r>
            <w:r w:rsidRPr="00961818">
              <w:rPr>
                <w:rFonts w:asciiTheme="minorHAnsi" w:hAnsiTheme="minorHAnsi"/>
                <w:noProof/>
                <w:sz w:val="16"/>
                <w:szCs w:val="16"/>
                <w:vertAlign w:val="superscript"/>
              </w:rPr>
              <w:t>9,10,11</w:t>
            </w:r>
            <w:r w:rsidRPr="00961818">
              <w:rPr>
                <w:rFonts w:asciiTheme="minorHAnsi" w:hAnsiTheme="minorHAnsi"/>
                <w:sz w:val="16"/>
                <w:szCs w:val="16"/>
              </w:rPr>
              <w:t xml:space="preserve"> </w:t>
            </w:r>
            <w:r w:rsidRPr="00961818">
              <w:rPr>
                <w:rFonts w:cs="Arial" w:asciiTheme="minorHAnsi" w:hAnsiTheme="minorHAnsi"/>
                <w:sz w:val="16"/>
                <w:szCs w:val="16"/>
              </w:rPr>
              <w:t>Argipressin use was reported in 15 children with severe oesophageal variceal bleeding and 2 with peptic ulcer bleeding with control from use of argipressin alone in 9 of 17 episodes. Argipressin was commenced at 0.1 to 0.2 units/minute with titration over 2 hours to control bleeding. The maximum delivered dosage ranged from 0.004 to 0.04 units/kg/min (0.24 to 2.4 units/kg/hour). Control of bleeding did not improve with high dose argipressin and there was a significantly greater incidence of complications in those patients receiving ≥ 0.01 units/kg/min (0.6 units/kg/hour). Complications included electrolyte abnormalities (Na, K, CI or Ca) in 10 infants, fluid overload (4 infants), hypertension (4 infants) and cardiac dysrhythmias (2 infants).</w:t>
            </w:r>
            <w:r w:rsidRPr="00961818">
              <w:rPr>
                <w:rFonts w:cs="Arial" w:asciiTheme="minorHAnsi" w:hAnsiTheme="minorHAnsi"/>
                <w:noProof/>
                <w:sz w:val="16"/>
                <w:szCs w:val="16"/>
                <w:vertAlign w:val="superscript"/>
              </w:rPr>
              <w:t>10</w:t>
            </w:r>
          </w:p>
          <w:p w:rsidRPr="00961818" w:rsidR="00C33F51" w:rsidP="00131848" w:rsidRDefault="00C33F51" w14:paraId="08FBFDB2" w14:textId="77777777">
            <w:pPr>
              <w:pStyle w:val="BodyText"/>
              <w:tabs>
                <w:tab w:val="left" w:pos="1168"/>
              </w:tabs>
              <w:rPr>
                <w:rFonts w:asciiTheme="minorHAnsi" w:hAnsiTheme="minorHAnsi"/>
                <w:noProof/>
                <w:sz w:val="16"/>
                <w:szCs w:val="16"/>
              </w:rPr>
            </w:pPr>
            <w:r w:rsidRPr="00961818">
              <w:rPr>
                <w:rFonts w:asciiTheme="minorHAnsi" w:hAnsiTheme="minorHAnsi"/>
                <w:sz w:val="16"/>
                <w:szCs w:val="16"/>
              </w:rPr>
              <w:t xml:space="preserve">Meta-analysis of studies in adults with acute variceal bleeds found that although vasopressor agents reduced mortality and achieved haemostasis, trials of argipressin were not conclusive and argipressin was less effective for haemostasis compared to octreotide or somatostatin. </w:t>
            </w:r>
            <w:r w:rsidRPr="00961818">
              <w:rPr>
                <w:rFonts w:asciiTheme="minorHAnsi" w:hAnsiTheme="minorHAnsi"/>
                <w:noProof/>
                <w:sz w:val="16"/>
                <w:szCs w:val="16"/>
                <w:vertAlign w:val="superscript"/>
              </w:rPr>
              <w:t xml:space="preserve"> 12, 13</w:t>
            </w:r>
            <w:r w:rsidRPr="00961818">
              <w:rPr>
                <w:rFonts w:asciiTheme="minorHAnsi" w:hAnsiTheme="minorHAnsi"/>
                <w:noProof/>
                <w:sz w:val="16"/>
                <w:szCs w:val="16"/>
              </w:rPr>
              <w:t xml:space="preserve"> Argipressin may be used in combination with nitroglycerin so as to balance its vasoconstrictive effect. Major side effects associated with the use of argipressin include myocardial ischaemia, life threatening arrythmias, mesenteric ischaemia and limb vasoconstriction or ischaemia. Other minor complications include water retention with sodium depletion, benign arrhythmia and acrocyanosis. Monitor cardiac rate</w:t>
            </w:r>
          </w:p>
          <w:p w:rsidRPr="00961818" w:rsidR="00C33F51" w:rsidP="00131848" w:rsidRDefault="00C33F51" w14:paraId="46403DC0" w14:textId="77777777">
            <w:pPr>
              <w:pStyle w:val="BodyText"/>
              <w:tabs>
                <w:tab w:val="left" w:pos="1168"/>
              </w:tabs>
              <w:rPr>
                <w:rFonts w:asciiTheme="minorHAnsi" w:hAnsiTheme="minorHAnsi"/>
                <w:sz w:val="16"/>
                <w:szCs w:val="16"/>
              </w:rPr>
            </w:pPr>
            <w:r w:rsidRPr="00961818">
              <w:rPr>
                <w:rFonts w:asciiTheme="minorHAnsi" w:hAnsiTheme="minorHAnsi"/>
                <w:noProof/>
                <w:sz w:val="16"/>
                <w:szCs w:val="16"/>
              </w:rPr>
              <w:t>and rhythm, and watch for peripheral ischaemia. Terlipressin may be preferred over argipressin as it has the convenience of bolus administration, decreased cardiotoxicity and its ability to control up to 79% of variceal hemorrhage.</w:t>
            </w:r>
            <w:r w:rsidRPr="00961818">
              <w:rPr>
                <w:rFonts w:asciiTheme="minorHAnsi" w:hAnsiTheme="minorHAnsi"/>
                <w:noProof/>
                <w:sz w:val="16"/>
                <w:szCs w:val="16"/>
                <w:vertAlign w:val="superscript"/>
              </w:rPr>
              <w:t xml:space="preserve">14,15 </w:t>
            </w:r>
            <w:r w:rsidRPr="00961818">
              <w:rPr>
                <w:rFonts w:asciiTheme="minorHAnsi" w:hAnsiTheme="minorHAnsi"/>
                <w:noProof/>
                <w:sz w:val="16"/>
                <w:szCs w:val="16"/>
              </w:rPr>
              <w:t>(GOR D)</w:t>
            </w:r>
          </w:p>
          <w:p w:rsidRPr="00961818" w:rsidR="00C33F51" w:rsidP="00131848" w:rsidRDefault="00C33F51" w14:paraId="298DCF69" w14:textId="77777777">
            <w:pPr>
              <w:autoSpaceDE w:val="0"/>
              <w:autoSpaceDN w:val="0"/>
              <w:adjustRightInd w:val="0"/>
              <w:rPr>
                <w:rFonts w:cs="Segoe UI" w:asciiTheme="minorHAnsi" w:hAnsiTheme="minorHAnsi" w:eastAsiaTheme="minorHAnsi"/>
                <w:b/>
                <w:sz w:val="16"/>
                <w:szCs w:val="16"/>
              </w:rPr>
            </w:pPr>
            <w:r w:rsidRPr="00961818">
              <w:rPr>
                <w:rFonts w:asciiTheme="minorHAnsi" w:hAnsiTheme="minorHAnsi"/>
                <w:b/>
                <w:sz w:val="16"/>
                <w:szCs w:val="16"/>
              </w:rPr>
              <w:t xml:space="preserve">Pharmacokinetics: </w:t>
            </w:r>
          </w:p>
          <w:p w:rsidRPr="00961818" w:rsidR="00C33F51" w:rsidP="00131848" w:rsidRDefault="00C33F51" w14:paraId="405AAEC2" w14:textId="77777777">
            <w:pPr>
              <w:autoSpaceDE w:val="0"/>
              <w:autoSpaceDN w:val="0"/>
              <w:adjustRightInd w:val="0"/>
              <w:rPr>
                <w:rFonts w:asciiTheme="minorHAnsi" w:hAnsiTheme="minorHAnsi"/>
                <w:sz w:val="16"/>
                <w:szCs w:val="16"/>
              </w:rPr>
            </w:pPr>
            <w:r w:rsidRPr="00961818">
              <w:rPr>
                <w:rFonts w:cs="Segoe UI" w:asciiTheme="minorHAnsi" w:hAnsiTheme="minorHAnsi" w:eastAsiaTheme="minorHAnsi"/>
                <w:sz w:val="16"/>
                <w:szCs w:val="16"/>
              </w:rPr>
              <w:t>The pharmacology of argipressin in newborns and children has not been sufficiently investigated and data on potential short and long-term adverse effects are still lacking.</w:t>
            </w:r>
            <w:r w:rsidRPr="00961818">
              <w:rPr>
                <w:rFonts w:cs="Segoe UI" w:asciiTheme="minorHAnsi" w:hAnsiTheme="minorHAnsi" w:eastAsiaTheme="minorHAnsi"/>
                <w:noProof/>
                <w:sz w:val="16"/>
                <w:szCs w:val="16"/>
                <w:vertAlign w:val="superscript"/>
              </w:rPr>
              <w:t xml:space="preserve">14,16 </w:t>
            </w:r>
            <w:r w:rsidRPr="00961818">
              <w:rPr>
                <w:rFonts w:asciiTheme="minorHAnsi" w:hAnsiTheme="minorHAnsi"/>
                <w:sz w:val="16"/>
                <w:szCs w:val="16"/>
              </w:rPr>
              <w:t xml:space="preserve">Half-life approximately 30 minutes, clinical duration of action 2–3 hours. </w:t>
            </w:r>
          </w:p>
          <w:p w:rsidRPr="00961818" w:rsidR="00C33F51" w:rsidP="00131848" w:rsidRDefault="00C33F51" w14:paraId="71EF2A7B" w14:textId="77777777">
            <w:pPr>
              <w:autoSpaceDE w:val="0"/>
              <w:autoSpaceDN w:val="0"/>
              <w:adjustRightInd w:val="0"/>
              <w:rPr>
                <w:rFonts w:asciiTheme="minorHAnsi" w:hAnsiTheme="minorHAnsi"/>
                <w:b/>
                <w:sz w:val="16"/>
                <w:szCs w:val="16"/>
              </w:rPr>
            </w:pPr>
            <w:r w:rsidRPr="00961818">
              <w:rPr>
                <w:rFonts w:asciiTheme="minorHAnsi" w:hAnsiTheme="minorHAnsi"/>
                <w:b/>
                <w:sz w:val="16"/>
                <w:szCs w:val="16"/>
              </w:rPr>
              <w:t xml:space="preserve">Safety: </w:t>
            </w:r>
          </w:p>
          <w:p w:rsidRPr="00961818" w:rsidR="00C33F51" w:rsidP="00131848" w:rsidRDefault="00C33F51" w14:paraId="7F3DA0FF" w14:textId="77777777">
            <w:pPr>
              <w:pStyle w:val="BodyText"/>
              <w:tabs>
                <w:tab w:val="left" w:pos="1168"/>
              </w:tabs>
              <w:rPr>
                <w:rFonts w:cs="Arial" w:asciiTheme="minorHAnsi" w:hAnsiTheme="minorHAnsi"/>
                <w:sz w:val="16"/>
                <w:szCs w:val="16"/>
                <w:vertAlign w:val="superscript"/>
              </w:rPr>
            </w:pPr>
            <w:r w:rsidRPr="00961818">
              <w:rPr>
                <w:rFonts w:cs="TimesNewRomanPSMT" w:asciiTheme="minorHAnsi" w:hAnsiTheme="minorHAnsi" w:eastAsiaTheme="minorHAnsi"/>
                <w:sz w:val="16"/>
                <w:szCs w:val="16"/>
              </w:rPr>
              <w:lastRenderedPageBreak/>
              <w:t>Safety data of argipressin in paediatric patients is limited.</w:t>
            </w:r>
            <w:r w:rsidRPr="00961818">
              <w:rPr>
                <w:rFonts w:cs="TimesNewRomanPSMT" w:asciiTheme="minorHAnsi" w:hAnsiTheme="minorHAnsi" w:eastAsiaTheme="minorHAnsi"/>
                <w:noProof/>
                <w:sz w:val="16"/>
                <w:szCs w:val="16"/>
                <w:vertAlign w:val="superscript"/>
              </w:rPr>
              <w:t>14,16</w:t>
            </w:r>
            <w:r w:rsidRPr="00961818">
              <w:rPr>
                <w:rFonts w:cs="TimesNewRomanPSMT" w:asciiTheme="minorHAnsi" w:hAnsiTheme="minorHAnsi" w:eastAsiaTheme="minorHAnsi"/>
                <w:sz w:val="16"/>
                <w:szCs w:val="16"/>
              </w:rPr>
              <w:t xml:space="preserve"> Potent vasoconstrictor action may cause ischaemia. Complications are more common when argipressin is co-administered with moderate to high doses of noradrenaline (norepinephrine). Hyponatraemia occurs frequently during argipressin infusion requiring close monitoring of serum sodium and water intake.</w:t>
            </w:r>
            <w:r w:rsidRPr="00961818">
              <w:rPr>
                <w:rFonts w:cs="TimesNewRomanPSMT" w:asciiTheme="minorHAnsi" w:hAnsiTheme="minorHAnsi" w:eastAsiaTheme="minorHAnsi"/>
                <w:noProof/>
                <w:sz w:val="16"/>
                <w:szCs w:val="16"/>
                <w:vertAlign w:val="superscript"/>
              </w:rPr>
              <w:t>1,2</w:t>
            </w:r>
            <w:r w:rsidRPr="00961818">
              <w:rPr>
                <w:rFonts w:cs="TimesNewRomanPSMT" w:asciiTheme="minorHAnsi" w:hAnsiTheme="minorHAnsi" w:eastAsiaTheme="minorHAnsi"/>
                <w:noProof/>
                <w:sz w:val="16"/>
                <w:szCs w:val="16"/>
              </w:rPr>
              <w:t xml:space="preserve"> For control of gastrointestinal haemorrhage, argipressin was associated with </w:t>
            </w:r>
            <w:r w:rsidRPr="00961818">
              <w:rPr>
                <w:rFonts w:cs="Arial" w:asciiTheme="minorHAnsi" w:hAnsiTheme="minorHAnsi"/>
                <w:sz w:val="16"/>
                <w:szCs w:val="16"/>
              </w:rPr>
              <w:t>electrolyte abnormalities (Na, K, CI or Ca) in 10 infants, fluid overload (4 infants), hypertension (4 infants) and cardiac dysrhythmias (2 infants), particularly at doses ≥ 0.01 units/kg/minute.</w:t>
            </w:r>
            <w:r w:rsidRPr="00961818">
              <w:rPr>
                <w:rFonts w:cs="Arial" w:asciiTheme="minorHAnsi" w:hAnsiTheme="minorHAnsi"/>
                <w:noProof/>
                <w:sz w:val="16"/>
                <w:szCs w:val="16"/>
                <w:vertAlign w:val="superscript"/>
              </w:rPr>
              <w:t>10</w:t>
            </w:r>
          </w:p>
        </w:tc>
      </w:tr>
      <w:tr w:rsidRPr="005F43A2" w:rsidR="00C33F51" w:rsidTr="008D48AE" w14:paraId="1E204CC3" w14:textId="77777777">
        <w:trPr>
          <w:trHeight w:val="361"/>
        </w:trPr>
        <w:tc>
          <w:tcPr>
            <w:tcW w:w="811" w:type="pct"/>
          </w:tcPr>
          <w:p w:rsidRPr="005F43A2" w:rsidR="00C33F51" w:rsidP="00131848" w:rsidRDefault="00C33F51" w14:paraId="5EEC353A" w14:textId="77777777">
            <w:pPr>
              <w:pStyle w:val="BodyText"/>
              <w:rPr>
                <w:rFonts w:asciiTheme="minorHAnsi" w:hAnsiTheme="minorHAnsi"/>
                <w:b/>
                <w:sz w:val="20"/>
              </w:rPr>
            </w:pPr>
            <w:r>
              <w:rPr>
                <w:rFonts w:asciiTheme="minorHAnsi" w:hAnsiTheme="minorHAnsi"/>
                <w:b/>
                <w:sz w:val="20"/>
              </w:rPr>
              <w:lastRenderedPageBreak/>
              <w:t>Practice points</w:t>
            </w:r>
          </w:p>
        </w:tc>
        <w:tc>
          <w:tcPr>
            <w:tcW w:w="4189" w:type="pct"/>
          </w:tcPr>
          <w:p w:rsidRPr="000A2254" w:rsidR="00C33F51" w:rsidP="00131848" w:rsidRDefault="00C33F51" w14:paraId="26C2E6E3" w14:textId="77777777">
            <w:pPr>
              <w:pStyle w:val="EndNoteBibliography"/>
              <w:rPr>
                <w:rFonts w:asciiTheme="minorHAnsi" w:hAnsiTheme="minorHAnsi"/>
                <w:sz w:val="20"/>
                <w:szCs w:val="20"/>
                <w:lang w:val="en-AU"/>
              </w:rPr>
            </w:pPr>
          </w:p>
        </w:tc>
      </w:tr>
      <w:tr w:rsidRPr="005F43A2" w:rsidR="00C33F51" w:rsidTr="008D48AE" w14:paraId="4145CDA4" w14:textId="77777777">
        <w:trPr>
          <w:trHeight w:val="361"/>
        </w:trPr>
        <w:tc>
          <w:tcPr>
            <w:tcW w:w="811" w:type="pct"/>
          </w:tcPr>
          <w:p w:rsidRPr="005F43A2" w:rsidR="00C33F51" w:rsidP="00131848" w:rsidRDefault="00C33F51" w14:paraId="582D9474" w14:textId="77777777">
            <w:pPr>
              <w:pStyle w:val="BodyText"/>
              <w:rPr>
                <w:rFonts w:cs="Arial" w:asciiTheme="minorHAnsi" w:hAnsiTheme="minorHAnsi"/>
                <w:b/>
                <w:bCs/>
                <w:sz w:val="20"/>
              </w:rPr>
            </w:pPr>
            <w:r w:rsidRPr="005F43A2">
              <w:rPr>
                <w:rFonts w:asciiTheme="minorHAnsi" w:hAnsiTheme="minorHAnsi"/>
                <w:b/>
                <w:sz w:val="20"/>
              </w:rPr>
              <w:t>References</w:t>
            </w:r>
          </w:p>
        </w:tc>
        <w:tc>
          <w:tcPr>
            <w:tcW w:w="4189" w:type="pct"/>
          </w:tcPr>
          <w:p w:rsidRPr="00961818" w:rsidR="00C33F51" w:rsidP="00131848" w:rsidRDefault="00C33F51" w14:paraId="67A50825"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 Baldasso E, Garcia PC, Piva JP, Branco RG, Tasker RC. Pilot safety study of low-dose vasopressin in non-septic critically ill children. Intensive care medicine. 2009;35:355-9.</w:t>
            </w:r>
          </w:p>
          <w:p w:rsidRPr="00961818" w:rsidR="00C33F51" w:rsidP="00131848" w:rsidRDefault="00C33F51" w14:paraId="413663C2"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2. Davalos MC, Barrett R, Seshadri S, Walters HL, 3rd, Delius RE, Zidan M, Mastropietro CW. Hyponatremia during arginine vasopressin therapy in children following cardiac surgery. Pediatric critical care medicine : a journal of the Society of Critical Care Medicine and the World Federation of Pediatric Intensive and Critical Care Societies. 2013;14:290-7.</w:t>
            </w:r>
          </w:p>
          <w:p w:rsidRPr="00961818" w:rsidR="00C33F51" w:rsidP="00131848" w:rsidRDefault="00C33F51" w14:paraId="5E9DEE07"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3. Rios DR, Kaiser JR. Vasopressin versus dopamine for treatment of hypotension in extremely low birth weight infants: a randomized, blinded pilot study. The Journal of pediatrics. 2015;166:850-5.</w:t>
            </w:r>
          </w:p>
          <w:p w:rsidRPr="00961818" w:rsidR="00C33F51" w:rsidP="00131848" w:rsidRDefault="00C33F51" w14:paraId="6BC1799A"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4. Meyer S, McGuire W, Gottschling S, Mohammed Shamdeen G, Gortner L. The role of vasopressin and terlipressin in catecholamine-resistant shock and cardio-circulatory arrest in children: review of the literature. Wiener medizinische Wochenschrift. 2011;161:192-203.</w:t>
            </w:r>
          </w:p>
          <w:p w:rsidRPr="00961818" w:rsidR="00C33F51" w:rsidP="00131848" w:rsidRDefault="00C33F51" w14:paraId="7862FAD5"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5. Davis AL, Carcillo JA, Aneja RK, Deymann AJ, Lin JC, Nguyen TC, Okhuysen-Cawley RS, Relvas MS, Rozenfeld RA, Skippen PW, Stojadinovic BJ, Williams EA, Yeh TS, Balamuth F, Brierley J, de Caen AR, Cheifetz IM, Choong K, Conway E, Jr., Cornell T, Doctor A, Dugas MA, Feldman JD, Fitzgerald JC, Flori HR, Fortenberry JD, Graciano AL, Greenwald BM, Hall MW, Han YY, Hernan LJ, Irazuzta JE, Iselin E, van der Jagt EW, Jeffries HE, Kache S, Katyal C, Kissoon NT, Kon AA, Kutko MC, MacLaren G, Maul T, Mehta R, Odetola F, Parbuoni K, Paul R, Peters MJ, Ranjit S, Reuter-Rice KE, Schnitzler EJ, Scott HF, Torres A, Jr., Weingarten-Abrams J, Weiss SL, Zimmerman JJ, Zuckerberg AL. American College of Critical Care Medicine Clinical Practice Parameters for Hemodynamic Support of Pediatric and Neonatal Septic Shock. Critical care medicine. 2017;45:1061-93.</w:t>
            </w:r>
          </w:p>
          <w:p w:rsidRPr="00961818" w:rsidR="00C33F51" w:rsidP="00131848" w:rsidRDefault="00C33F51" w14:paraId="083DC12E"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6. Mohamed A, Nasef N, Shah V, McNamara PJ. Vasopressin as a rescue therapy for refractory pulmonary hypertension in neonates: case series. Pediatric Critical Care Medicine. 2014;15:148-54.</w:t>
            </w:r>
          </w:p>
          <w:p w:rsidRPr="00961818" w:rsidR="00C33F51" w:rsidP="00131848" w:rsidRDefault="00C33F51" w14:paraId="4428C8AB"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7. Acker SN, Kinsella JP, Abman SH, Gien J. Vasopressin improves hemodynamic status in infants with congenital diaphragmatic hernia. Journal of Pediatrics. 2014;165:53-8.e1.</w:t>
            </w:r>
          </w:p>
          <w:p w:rsidRPr="00961818" w:rsidR="00C33F51" w:rsidP="00131848" w:rsidRDefault="00C33F51" w14:paraId="6BA7227B"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8. Lugo N, Silver P, Nimkoff L, Caronia C, Sagy M. Diagnosis and management algorithm of acute onset of central diabetes insipidus in critically ill children. J Pediatr Endocrinol. 1997;10:633-9.</w:t>
            </w:r>
          </w:p>
          <w:p w:rsidRPr="00961818" w:rsidR="00C33F51" w:rsidP="00131848" w:rsidRDefault="00C33F51" w14:paraId="05E2CB23"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9. Goyal A, Treem WR, Hyams JS. Severe upper gastrointestinal bleeding in healthy full-term neonates. Am J Gastroenterol. 1994;89:613-6.</w:t>
            </w:r>
          </w:p>
          <w:p w:rsidRPr="00961818" w:rsidR="00C33F51" w:rsidP="00131848" w:rsidRDefault="00C33F51" w14:paraId="6897BA54"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10. Tuggle DW, Bennett KG, Scott J, Tunell WP. Intravenous vasopressin and gastrointestinal hemorrhage in children. J Pediatr Surg. 1988;23:627-9.</w:t>
            </w:r>
          </w:p>
          <w:p w:rsidRPr="00961818" w:rsidR="00C33F51" w:rsidP="00131848" w:rsidRDefault="00C33F51" w14:paraId="1FD426B2"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11. Liebman WM. Diagnosis and management of upper gastrointestinal hemorrhage in children. Pediatr Ann. 1976;5:690-9.</w:t>
            </w:r>
          </w:p>
          <w:p w:rsidRPr="00961818" w:rsidR="00C33F51" w:rsidP="00131848" w:rsidRDefault="00C33F51" w14:paraId="28DD5002"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12. D'Amico G, Pagliaro L, Pietrosi G, Tarantino I. Emergency sclerotherapy versus vasoactive drugs for bleeding oesophageal varices in cirrhotic patients. The Cochrane database of systematic reviews. 2010:CD002233.</w:t>
            </w:r>
          </w:p>
          <w:p w:rsidRPr="00961818" w:rsidR="00C33F51" w:rsidP="00131848" w:rsidRDefault="00C33F51" w14:paraId="4D53324B"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13. Wells M, Chande N, Adams P, Beaton M, Levstik M, Boyce E, Mrkobrada M. Meta-analysis: vasoactive medications for the management of acute variceal bleeds. Aliment Pharmacol Ther. 2012;35:1267-78.</w:t>
            </w:r>
          </w:p>
          <w:p w:rsidRPr="00961818" w:rsidR="00C33F51" w:rsidP="00131848" w:rsidRDefault="00C33F51" w14:paraId="0BBD51B9"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14. Agrawal A, Singh VK, Varma A, Sharma R. Therapeutic applications of vasopressin in pediatric patients. Indian pediatrics. 2012;49:297-305.</w:t>
            </w:r>
          </w:p>
          <w:p w:rsidRPr="00961818" w:rsidR="00C33F51" w:rsidP="00131848" w:rsidRDefault="00C33F51" w14:paraId="78F4DDF3"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15. Arora NK, Ganguly S, Mathur P, Ahuja A, Patwari A. Upper gastrointestinal bleeding: Etiology and management. Indian Journal of Pediatrics. 2002;69:155-68.</w:t>
            </w:r>
          </w:p>
          <w:p w:rsidRPr="00961818" w:rsidR="00C33F51" w:rsidP="00131848" w:rsidRDefault="00C33F51" w14:paraId="64F3B8DF"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16. Biban P, Gaffuri M. Vasopressin and terlipressin in neonates and children with refractory septic shock. Current drug metabolism. 2013;14:186-92.</w:t>
            </w:r>
          </w:p>
          <w:p w:rsidRPr="00961818" w:rsidR="00C33F51" w:rsidP="00131848" w:rsidRDefault="00C33F51" w14:paraId="75083E1E"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17. Micromedex solutions. Accessed on 13 April 2021.</w:t>
            </w:r>
          </w:p>
          <w:p w:rsidRPr="00961818" w:rsidR="00C33F51" w:rsidP="00131848" w:rsidRDefault="00C33F51" w14:paraId="5843EF72" w14:textId="77777777">
            <w:pPr>
              <w:pStyle w:val="EndNoteBibliography"/>
              <w:rPr>
                <w:rFonts w:asciiTheme="minorHAnsi" w:hAnsiTheme="minorHAnsi"/>
                <w:sz w:val="16"/>
                <w:szCs w:val="16"/>
                <w:lang w:val="en-AU"/>
              </w:rPr>
            </w:pPr>
            <w:r w:rsidRPr="00961818">
              <w:rPr>
                <w:rFonts w:asciiTheme="minorHAnsi" w:hAnsiTheme="minorHAnsi"/>
                <w:sz w:val="16"/>
                <w:szCs w:val="16"/>
                <w:lang w:val="en-AU"/>
              </w:rPr>
              <w:t>18. Australia Ijectable drugs handbook. 8</w:t>
            </w:r>
            <w:r w:rsidRPr="00961818">
              <w:rPr>
                <w:rFonts w:asciiTheme="minorHAnsi" w:hAnsiTheme="minorHAnsi"/>
                <w:sz w:val="16"/>
                <w:szCs w:val="16"/>
                <w:vertAlign w:val="superscript"/>
                <w:lang w:val="en-AU"/>
              </w:rPr>
              <w:t>th</w:t>
            </w:r>
            <w:r w:rsidRPr="00961818">
              <w:rPr>
                <w:rFonts w:asciiTheme="minorHAnsi" w:hAnsiTheme="minorHAnsi"/>
                <w:sz w:val="16"/>
                <w:szCs w:val="16"/>
                <w:lang w:val="en-AU"/>
              </w:rPr>
              <w:t xml:space="preserve"> edition. Accessed on 13 April 2021.</w:t>
            </w:r>
          </w:p>
        </w:tc>
      </w:tr>
    </w:tbl>
    <w:p w:rsidR="00E617D2" w:rsidP="006F0321" w:rsidRDefault="00E617D2" w14:paraId="7937937B" w14:textId="74438717"/>
    <w:p w:rsidR="00C33F51" w:rsidP="006F0321" w:rsidRDefault="00C33F51" w14:paraId="5DA28413"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5F43A2" w:rsidR="0020431B" w:rsidTr="00943338" w14:paraId="7494D709" w14:textId="77777777">
        <w:tc>
          <w:tcPr>
            <w:tcW w:w="4535" w:type="dxa"/>
            <w:vAlign w:val="center"/>
          </w:tcPr>
          <w:p w:rsidRPr="007245EB" w:rsidR="007245EB" w:rsidP="00943338" w:rsidRDefault="007245EB" w14:paraId="6421D895" w14:textId="77777777">
            <w:r w:rsidRPr="007245EB">
              <w:t>Original version Date: 28/11/2017</w:t>
            </w:r>
          </w:p>
        </w:tc>
        <w:tc>
          <w:tcPr>
            <w:tcW w:w="4535" w:type="dxa"/>
            <w:vAlign w:val="center"/>
          </w:tcPr>
          <w:p w:rsidRPr="007245EB" w:rsidR="007245EB" w:rsidP="00943338" w:rsidRDefault="007245EB" w14:paraId="017EB28F" w14:textId="77777777">
            <w:r w:rsidRPr="007245EB">
              <w:t>Author: NMF Consensus Group</w:t>
            </w:r>
          </w:p>
        </w:tc>
      </w:tr>
      <w:tr w:rsidRPr="005F43A2" w:rsidR="0020431B" w:rsidTr="00943338" w14:paraId="23CB781D" w14:textId="77777777">
        <w:tc>
          <w:tcPr>
            <w:tcW w:w="4535" w:type="dxa"/>
            <w:vAlign w:val="center"/>
          </w:tcPr>
          <w:p w:rsidRPr="007245EB" w:rsidR="007245EB" w:rsidP="00943338" w:rsidRDefault="007245EB" w14:paraId="0D0A723B" w14:textId="4FEFBEF2">
            <w:pPr>
              <w:rPr>
                <w:bCs/>
              </w:rPr>
            </w:pPr>
            <w:r w:rsidRPr="007245EB">
              <w:t xml:space="preserve">Current Version number:  </w:t>
            </w:r>
            <w:r w:rsidR="00961818">
              <w:t>2</w:t>
            </w:r>
          </w:p>
        </w:tc>
        <w:tc>
          <w:tcPr>
            <w:tcW w:w="4535" w:type="dxa"/>
            <w:vAlign w:val="center"/>
          </w:tcPr>
          <w:p w:rsidRPr="007245EB" w:rsidR="007245EB" w:rsidP="00943338" w:rsidRDefault="007245EB" w14:paraId="64CCE71F" w14:textId="73190DC5">
            <w:r w:rsidRPr="007245EB">
              <w:t xml:space="preserve">Current Version Date:  </w:t>
            </w:r>
            <w:r w:rsidR="00961818">
              <w:t>18-6-2021</w:t>
            </w:r>
          </w:p>
        </w:tc>
      </w:tr>
      <w:tr w:rsidRPr="005F43A2" w:rsidR="0020431B" w:rsidTr="00943338" w14:paraId="08373407" w14:textId="77777777">
        <w:tc>
          <w:tcPr>
            <w:tcW w:w="4535" w:type="dxa"/>
            <w:vAlign w:val="center"/>
          </w:tcPr>
          <w:p w:rsidRPr="007245EB" w:rsidR="007245EB" w:rsidP="00943338" w:rsidRDefault="007245EB" w14:paraId="4FCBC0EF" w14:textId="1BC75CAC">
            <w:r w:rsidRPr="007245EB">
              <w:t xml:space="preserve">Risk Rating: </w:t>
            </w:r>
            <w:r w:rsidR="00F433D2">
              <w:t>Low</w:t>
            </w:r>
          </w:p>
        </w:tc>
        <w:tc>
          <w:tcPr>
            <w:tcW w:w="4535" w:type="dxa"/>
            <w:vAlign w:val="center"/>
          </w:tcPr>
          <w:p w:rsidRPr="007245EB" w:rsidR="007245EB" w:rsidP="00943338" w:rsidRDefault="007245EB" w14:paraId="56B566D7" w14:textId="72DE8A04">
            <w:r w:rsidRPr="007245EB">
              <w:t>Due for Review</w:t>
            </w:r>
            <w:r w:rsidR="00961818">
              <w:t>: 18-6-2026</w:t>
            </w:r>
          </w:p>
        </w:tc>
      </w:tr>
      <w:tr w:rsidRPr="005F43A2" w:rsidR="0020431B" w:rsidTr="00943338" w14:paraId="308FE1AB" w14:textId="77777777">
        <w:trPr>
          <w:trHeight w:val="344"/>
        </w:trPr>
        <w:tc>
          <w:tcPr>
            <w:tcW w:w="4535" w:type="dxa"/>
            <w:tcBorders>
              <w:bottom w:val="single" w:color="auto" w:sz="4" w:space="0"/>
            </w:tcBorders>
            <w:vAlign w:val="center"/>
          </w:tcPr>
          <w:p w:rsidRPr="007245EB" w:rsidR="007245EB" w:rsidP="00943338" w:rsidRDefault="007245EB" w14:paraId="48D3B5ED" w14:textId="77777777">
            <w:r w:rsidRPr="007245EB">
              <w:t>Approval by: DTC</w:t>
            </w:r>
          </w:p>
        </w:tc>
        <w:tc>
          <w:tcPr>
            <w:tcW w:w="4535" w:type="dxa"/>
            <w:tcBorders>
              <w:bottom w:val="single" w:color="auto" w:sz="4" w:space="0"/>
            </w:tcBorders>
            <w:vAlign w:val="center"/>
          </w:tcPr>
          <w:p w:rsidRPr="007245EB" w:rsidR="007245EB" w:rsidP="00943338" w:rsidRDefault="007245EB" w14:paraId="7CF72693" w14:textId="77777777">
            <w:r w:rsidRPr="007245EB">
              <w:t>Approval Date: April 2020</w:t>
            </w:r>
          </w:p>
        </w:tc>
      </w:tr>
    </w:tbl>
    <w:p w:rsidR="007245EB" w:rsidP="006F0321" w:rsidRDefault="007245EB" w14:paraId="1AD13829" w14:textId="77777777"/>
    <w:p w:rsidRPr="00E25790" w:rsidR="007245EB" w:rsidP="006F0321" w:rsidRDefault="007245EB" w14:paraId="67644AF8" w14:textId="77777777"/>
    <w:p w:rsidR="00943338" w:rsidRDefault="00943338" w14:paraId="0D9CF047" w14:textId="77777777">
      <w:bookmarkStart w:name="_Toc495481181" w:id="598"/>
      <w:bookmarkStart w:name="_Toc495481307" w:id="599"/>
      <w:bookmarkStart w:name="_Toc495481432" w:id="600"/>
      <w:bookmarkStart w:name="_Toc495501613" w:id="601"/>
      <w:bookmarkStart w:name="_Toc38106943" w:id="602"/>
      <w:r>
        <w:rPr>
          <w:b/>
        </w:rPr>
        <w:br w:type="page"/>
      </w:r>
    </w:p>
    <w:tbl>
      <w:tblPr>
        <w:tblW w:w="9049" w:type="dxa"/>
        <w:tblLayout w:type="fixed"/>
        <w:tblLook w:val="0000" w:firstRow="0" w:lastRow="0" w:firstColumn="0" w:lastColumn="0" w:noHBand="0" w:noVBand="0"/>
      </w:tblPr>
      <w:tblGrid>
        <w:gridCol w:w="4153"/>
        <w:gridCol w:w="4896"/>
      </w:tblGrid>
      <w:tr w:rsidRPr="00E25790" w:rsidR="00115F48" w:rsidTr="00943338" w14:paraId="060C9D71"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115F48" w:rsidP="009469DB" w:rsidRDefault="00115F48" w14:paraId="58BA81A6" w14:textId="77777777">
            <w:pPr>
              <w:pStyle w:val="Heading1"/>
            </w:pPr>
            <w:bookmarkStart w:name="_Toc75340057" w:id="603"/>
            <w:r w:rsidRPr="006A160B">
              <w:lastRenderedPageBreak/>
              <w:t>Vecuronium</w:t>
            </w:r>
            <w:bookmarkEnd w:id="598"/>
            <w:bookmarkEnd w:id="599"/>
            <w:bookmarkEnd w:id="600"/>
            <w:bookmarkEnd w:id="601"/>
            <w:bookmarkEnd w:id="602"/>
            <w:bookmarkEnd w:id="603"/>
            <w:r w:rsidRPr="006A160B">
              <w:fldChar w:fldCharType="begin"/>
            </w:r>
            <w:r w:rsidRPr="006A160B">
              <w:instrText>tc "Vecuronium" \l 0</w:instrText>
            </w:r>
            <w:r w:rsidRPr="006A160B">
              <w:fldChar w:fldCharType="end"/>
            </w:r>
          </w:p>
        </w:tc>
      </w:tr>
      <w:tr w:rsidRPr="00E25790" w:rsidR="00115F48" w:rsidTr="00943338" w14:paraId="2F0A685B"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D00AD40" w14:textId="77777777">
            <w:r w:rsidRPr="00E25790">
              <w:t>Revision Date</w:t>
            </w:r>
            <w:r w:rsidRPr="00E25790">
              <w:rPr>
                <w:b/>
              </w:rPr>
              <w:t xml:space="preserve"> : </w:t>
            </w:r>
            <w:r w:rsidR="00E617D2">
              <w:rPr>
                <w:b/>
              </w:rPr>
              <w:t>27-6-2019</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E0348BE" w14:textId="77777777">
            <w:r w:rsidRPr="00E25790">
              <w:t xml:space="preserve">Approved: </w:t>
            </w:r>
            <w:r w:rsidR="006A160B">
              <w:t>TC, KOH</w:t>
            </w:r>
          </w:p>
        </w:tc>
      </w:tr>
    </w:tbl>
    <w:p w:rsidRPr="00E25790" w:rsidR="00115F48" w:rsidP="006F0321" w:rsidRDefault="00115F48" w14:paraId="3D5241E7" w14:textId="77777777"/>
    <w:tbl>
      <w:tblPr>
        <w:tblW w:w="910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5"/>
        <w:gridCol w:w="7116"/>
      </w:tblGrid>
      <w:tr w:rsidRPr="00800118" w:rsidR="00043BF0" w:rsidTr="00943338" w14:paraId="537FC96C" w14:textId="77777777">
        <w:tc>
          <w:tcPr>
            <w:tcW w:w="1985" w:type="dxa"/>
          </w:tcPr>
          <w:p w:rsidRPr="00800118" w:rsidR="00800118" w:rsidP="006F0321" w:rsidRDefault="00800118" w14:paraId="17B70267" w14:textId="77777777">
            <w:pPr>
              <w:rPr>
                <w:lang w:val="en-AU"/>
              </w:rPr>
            </w:pPr>
            <w:r w:rsidRPr="00800118">
              <w:rPr>
                <w:lang w:val="en-AU"/>
              </w:rPr>
              <w:t>Alert</w:t>
            </w:r>
            <w:r w:rsidRPr="00800118">
              <w:rPr>
                <w:lang w:val="en-AU"/>
              </w:rPr>
              <w:tab/>
            </w:r>
          </w:p>
          <w:p w:rsidRPr="00800118" w:rsidR="00800118" w:rsidP="006F0321" w:rsidRDefault="00800118" w14:paraId="62E3E7D5" w14:textId="77777777">
            <w:pPr>
              <w:rPr>
                <w:lang w:val="en-AU"/>
              </w:rPr>
            </w:pPr>
            <w:r w:rsidRPr="00800118">
              <w:rPr>
                <w:lang w:val="en-AU"/>
              </w:rPr>
              <w:t xml:space="preserve"> </w:t>
            </w:r>
          </w:p>
        </w:tc>
        <w:tc>
          <w:tcPr>
            <w:tcW w:w="7116" w:type="dxa"/>
          </w:tcPr>
          <w:p w:rsidRPr="00800118" w:rsidR="00800118" w:rsidP="006F0321" w:rsidRDefault="00800118" w14:paraId="5C41BBFB" w14:textId="77777777">
            <w:pPr>
              <w:rPr>
                <w:lang w:val="en-AU"/>
              </w:rPr>
            </w:pPr>
            <w:r w:rsidRPr="00800118">
              <w:rPr>
                <w:lang w:val="en-AU"/>
              </w:rPr>
              <w:t>High-alert medication: High risk of causing significant patient harm when used in error.</w:t>
            </w:r>
          </w:p>
          <w:p w:rsidRPr="00800118" w:rsidR="00800118" w:rsidP="006F0321" w:rsidRDefault="00800118" w14:paraId="60D571B6" w14:textId="77777777">
            <w:pPr>
              <w:rPr>
                <w:lang w:val="en-AU"/>
              </w:rPr>
            </w:pPr>
            <w:r w:rsidRPr="00800118">
              <w:rPr>
                <w:lang w:val="en-AU"/>
              </w:rPr>
              <w:t xml:space="preserve">This drug should be administered in the presence of personnel trained in advanced airway management. </w:t>
            </w:r>
          </w:p>
          <w:p w:rsidRPr="00800118" w:rsidR="00800118" w:rsidP="006F0321" w:rsidRDefault="00800118" w14:paraId="777831AC" w14:textId="77777777">
            <w:pPr>
              <w:rPr>
                <w:lang w:val="en-AU"/>
              </w:rPr>
            </w:pPr>
            <w:r w:rsidRPr="00800118">
              <w:rPr>
                <w:lang w:val="en-AU"/>
              </w:rPr>
              <w:t>Suggest regular cessation of infusion for a few to several hours, possibly every 24 hours (commonly referred to as ‘drug holiday’</w:t>
            </w:r>
            <w:r w:rsidRPr="00800118">
              <w:rPr>
                <w:vertAlign w:val="superscript"/>
                <w:lang w:val="en-AU"/>
              </w:rPr>
              <w:t>17</w:t>
            </w:r>
            <w:r w:rsidRPr="00800118">
              <w:rPr>
                <w:lang w:val="en-AU"/>
              </w:rPr>
              <w:t>) to assess the need for continued paralysis and adequacy of sedation or analgesia.</w:t>
            </w:r>
          </w:p>
          <w:p w:rsidRPr="00800118" w:rsidR="00800118" w:rsidP="006F0321" w:rsidRDefault="00800118" w14:paraId="59169C87" w14:textId="77777777">
            <w:pPr>
              <w:rPr>
                <w:lang w:val="en-AU"/>
              </w:rPr>
            </w:pPr>
            <w:r w:rsidRPr="00800118">
              <w:rPr>
                <w:lang w:val="en-AU"/>
              </w:rPr>
              <w:t>Line should be adequately flushed to avoid unintended paralysis during later use of the line.</w:t>
            </w:r>
          </w:p>
        </w:tc>
      </w:tr>
      <w:tr w:rsidRPr="00800118" w:rsidR="00043BF0" w:rsidTr="00943338" w14:paraId="356D4991" w14:textId="77777777">
        <w:trPr>
          <w:trHeight w:val="248"/>
        </w:trPr>
        <w:tc>
          <w:tcPr>
            <w:tcW w:w="1985" w:type="dxa"/>
          </w:tcPr>
          <w:p w:rsidRPr="00800118" w:rsidR="00800118" w:rsidP="006F0321" w:rsidRDefault="00800118" w14:paraId="685F2107" w14:textId="77777777">
            <w:pPr>
              <w:rPr>
                <w:lang w:val="en-AU"/>
              </w:rPr>
            </w:pPr>
            <w:r w:rsidRPr="00800118">
              <w:rPr>
                <w:lang w:val="en-AU"/>
              </w:rPr>
              <w:t xml:space="preserve">Indication                         </w:t>
            </w:r>
          </w:p>
          <w:p w:rsidRPr="00800118" w:rsidR="00800118" w:rsidP="006F0321" w:rsidRDefault="00800118" w14:paraId="2482FFDB" w14:textId="77777777">
            <w:pPr>
              <w:rPr>
                <w:lang w:val="en-AU"/>
              </w:rPr>
            </w:pPr>
          </w:p>
        </w:tc>
        <w:tc>
          <w:tcPr>
            <w:tcW w:w="7116" w:type="dxa"/>
          </w:tcPr>
          <w:p w:rsidRPr="006F0321" w:rsidR="00800118" w:rsidP="001B0E05" w:rsidRDefault="00800118" w14:paraId="509E4721" w14:textId="77777777">
            <w:pPr>
              <w:pStyle w:val="ListParagraph"/>
              <w:numPr>
                <w:ilvl w:val="0"/>
                <w:numId w:val="42"/>
              </w:numPr>
              <w:rPr>
                <w:lang w:val="en-AU"/>
              </w:rPr>
            </w:pPr>
            <w:r w:rsidRPr="006F0321">
              <w:rPr>
                <w:lang w:val="en-AU"/>
              </w:rPr>
              <w:t>Skeletal muscle relaxation or paralysis in mechanically ventilated infants.</w:t>
            </w:r>
          </w:p>
          <w:p w:rsidRPr="006F0321" w:rsidR="00800118" w:rsidP="001B0E05" w:rsidRDefault="00800118" w14:paraId="631B9D45" w14:textId="77777777">
            <w:pPr>
              <w:pStyle w:val="ListParagraph"/>
              <w:numPr>
                <w:ilvl w:val="0"/>
                <w:numId w:val="42"/>
              </w:numPr>
              <w:rPr>
                <w:lang w:val="en-AU"/>
              </w:rPr>
            </w:pPr>
            <w:r w:rsidRPr="006F0321">
              <w:rPr>
                <w:lang w:val="en-AU"/>
              </w:rPr>
              <w:t xml:space="preserve">For elective endotracheal intubation. </w:t>
            </w:r>
          </w:p>
        </w:tc>
      </w:tr>
      <w:tr w:rsidRPr="00800118" w:rsidR="00043BF0" w:rsidTr="00943338" w14:paraId="02121784" w14:textId="77777777">
        <w:trPr>
          <w:trHeight w:val="185"/>
        </w:trPr>
        <w:tc>
          <w:tcPr>
            <w:tcW w:w="1985" w:type="dxa"/>
          </w:tcPr>
          <w:p w:rsidRPr="00800118" w:rsidR="00800118" w:rsidP="006F0321" w:rsidRDefault="00800118" w14:paraId="3CAC0FED" w14:textId="77777777">
            <w:pPr>
              <w:rPr>
                <w:lang w:val="en-AU"/>
              </w:rPr>
            </w:pPr>
            <w:r w:rsidRPr="00800118">
              <w:rPr>
                <w:lang w:val="en-AU"/>
              </w:rPr>
              <w:t>Action</w:t>
            </w:r>
          </w:p>
        </w:tc>
        <w:tc>
          <w:tcPr>
            <w:tcW w:w="7116" w:type="dxa"/>
          </w:tcPr>
          <w:p w:rsidRPr="00800118" w:rsidR="00800118" w:rsidP="006F0321" w:rsidRDefault="00800118" w14:paraId="2FEBBF2E" w14:textId="77777777">
            <w:pPr>
              <w:rPr>
                <w:lang w:val="en-AU"/>
              </w:rPr>
            </w:pPr>
            <w:r w:rsidRPr="00800118">
              <w:rPr>
                <w:lang w:val="en-AU"/>
              </w:rPr>
              <w:t xml:space="preserve">Non-depolarising muscle relaxant that competitively antagonises </w:t>
            </w:r>
            <w:r w:rsidRPr="00800118">
              <w:rPr>
                <w:rFonts w:cs="Arial"/>
                <w:lang w:val="en-AU"/>
              </w:rPr>
              <w:t>acetylcholine antagonist at nicotinic acetylcholine receptors at neuromuscular junction</w:t>
            </w:r>
            <w:r w:rsidRPr="00800118">
              <w:rPr>
                <w:lang w:val="en-AU"/>
              </w:rPr>
              <w:t>.</w:t>
            </w:r>
            <w:r w:rsidRPr="00800118">
              <w:rPr>
                <w:szCs w:val="24"/>
                <w:lang w:val="en-AU"/>
              </w:rPr>
              <w:t xml:space="preserve"> </w:t>
            </w:r>
            <w:r w:rsidRPr="00800118">
              <w:rPr>
                <w:lang w:val="en-AU"/>
              </w:rPr>
              <w:t>Onset of action is 1 to 2 minutes; duration of action is 30–40 minutes.</w:t>
            </w:r>
          </w:p>
        </w:tc>
      </w:tr>
      <w:tr w:rsidRPr="00800118" w:rsidR="00043BF0" w:rsidTr="00943338" w14:paraId="1403272E" w14:textId="77777777">
        <w:trPr>
          <w:trHeight w:val="224"/>
        </w:trPr>
        <w:tc>
          <w:tcPr>
            <w:tcW w:w="1985" w:type="dxa"/>
          </w:tcPr>
          <w:p w:rsidRPr="00800118" w:rsidR="00800118" w:rsidP="006F0321" w:rsidRDefault="00800118" w14:paraId="0B1CC13A" w14:textId="77777777">
            <w:pPr>
              <w:rPr>
                <w:lang w:val="en-AU"/>
              </w:rPr>
            </w:pPr>
            <w:r w:rsidRPr="00800118">
              <w:rPr>
                <w:lang w:val="en-AU"/>
              </w:rPr>
              <w:t xml:space="preserve">Drug Type                                   </w:t>
            </w:r>
          </w:p>
        </w:tc>
        <w:tc>
          <w:tcPr>
            <w:tcW w:w="7116" w:type="dxa"/>
          </w:tcPr>
          <w:p w:rsidRPr="00800118" w:rsidR="00800118" w:rsidP="006F0321" w:rsidRDefault="00800118" w14:paraId="692D903B" w14:textId="77777777">
            <w:pPr>
              <w:rPr>
                <w:lang w:val="en-AU"/>
              </w:rPr>
            </w:pPr>
            <w:r w:rsidRPr="00800118">
              <w:rPr>
                <w:lang w:val="en-AU"/>
              </w:rPr>
              <w:t>Non-depolarising neuromuscular blocking agent.</w:t>
            </w:r>
          </w:p>
        </w:tc>
      </w:tr>
      <w:tr w:rsidRPr="00800118" w:rsidR="00043BF0" w:rsidTr="00943338" w14:paraId="72FF86D4" w14:textId="77777777">
        <w:trPr>
          <w:trHeight w:val="74"/>
        </w:trPr>
        <w:tc>
          <w:tcPr>
            <w:tcW w:w="1985" w:type="dxa"/>
          </w:tcPr>
          <w:p w:rsidRPr="00800118" w:rsidR="00800118" w:rsidP="006F0321" w:rsidRDefault="00800118" w14:paraId="5802CEA6" w14:textId="77777777">
            <w:pPr>
              <w:rPr>
                <w:lang w:val="en-AU"/>
              </w:rPr>
            </w:pPr>
            <w:r w:rsidRPr="00800118">
              <w:rPr>
                <w:lang w:val="en-AU"/>
              </w:rPr>
              <w:t xml:space="preserve">Trade Name                  </w:t>
            </w:r>
          </w:p>
        </w:tc>
        <w:tc>
          <w:tcPr>
            <w:tcW w:w="7116" w:type="dxa"/>
          </w:tcPr>
          <w:p w:rsidRPr="00800118" w:rsidR="00800118" w:rsidP="006F0321" w:rsidRDefault="00800118" w14:paraId="7EBEA652" w14:textId="77777777">
            <w:pPr>
              <w:rPr>
                <w:lang w:val="en-AU"/>
              </w:rPr>
            </w:pPr>
            <w:r w:rsidRPr="00800118">
              <w:rPr>
                <w:lang w:val="en-AU"/>
              </w:rPr>
              <w:t>Vecuronium Bromide</w:t>
            </w:r>
          </w:p>
        </w:tc>
      </w:tr>
      <w:tr w:rsidRPr="00800118" w:rsidR="00043BF0" w:rsidTr="00943338" w14:paraId="5B8F98C7" w14:textId="77777777">
        <w:trPr>
          <w:trHeight w:val="414"/>
        </w:trPr>
        <w:tc>
          <w:tcPr>
            <w:tcW w:w="1985" w:type="dxa"/>
          </w:tcPr>
          <w:p w:rsidRPr="00800118" w:rsidR="00800118" w:rsidP="006F0321" w:rsidRDefault="00800118" w14:paraId="4FE47AB6" w14:textId="77777777">
            <w:pPr>
              <w:rPr>
                <w:lang w:val="en-AU"/>
              </w:rPr>
            </w:pPr>
            <w:r w:rsidRPr="00800118">
              <w:rPr>
                <w:lang w:val="en-AU"/>
              </w:rPr>
              <w:t xml:space="preserve">Presentation </w:t>
            </w:r>
          </w:p>
        </w:tc>
        <w:tc>
          <w:tcPr>
            <w:tcW w:w="7116" w:type="dxa"/>
          </w:tcPr>
          <w:p w:rsidRPr="00800118" w:rsidR="00800118" w:rsidP="006F0321" w:rsidRDefault="00800118" w14:paraId="0B447029" w14:textId="77777777">
            <w:pPr>
              <w:rPr>
                <w:lang w:val="en-AU"/>
              </w:rPr>
            </w:pPr>
            <w:r w:rsidRPr="00800118">
              <w:rPr>
                <w:lang w:val="en-AU"/>
              </w:rPr>
              <w:t>10 mg vial (powder for reconstitution)</w:t>
            </w:r>
          </w:p>
        </w:tc>
      </w:tr>
      <w:tr w:rsidRPr="00800118" w:rsidR="00043BF0" w:rsidTr="00943338" w14:paraId="6512EA45" w14:textId="77777777">
        <w:trPr>
          <w:trHeight w:val="1264"/>
        </w:trPr>
        <w:tc>
          <w:tcPr>
            <w:tcW w:w="1985" w:type="dxa"/>
          </w:tcPr>
          <w:p w:rsidRPr="00800118" w:rsidR="00800118" w:rsidP="006F0321" w:rsidRDefault="00800118" w14:paraId="2EE4F9DD" w14:textId="77777777">
            <w:pPr>
              <w:rPr>
                <w:lang w:val="en-AU"/>
              </w:rPr>
            </w:pPr>
            <w:r w:rsidRPr="00800118">
              <w:rPr>
                <w:lang w:val="en-AU"/>
              </w:rPr>
              <w:t xml:space="preserve">Dosage/Interval                           </w:t>
            </w:r>
          </w:p>
          <w:p w:rsidRPr="00800118" w:rsidR="00800118" w:rsidP="006F0321" w:rsidRDefault="00800118" w14:paraId="21525885" w14:textId="77777777">
            <w:pPr>
              <w:rPr>
                <w:lang w:val="en-AU"/>
              </w:rPr>
            </w:pPr>
          </w:p>
        </w:tc>
        <w:tc>
          <w:tcPr>
            <w:tcW w:w="7116" w:type="dxa"/>
          </w:tcPr>
          <w:p w:rsidRPr="00800118" w:rsidR="00800118" w:rsidP="006F0321" w:rsidRDefault="00800118" w14:paraId="6F1AB9DC" w14:textId="77777777">
            <w:pPr>
              <w:rPr>
                <w:lang w:val="en-AU"/>
              </w:rPr>
            </w:pPr>
            <w:r w:rsidRPr="00800118">
              <w:rPr>
                <w:lang w:val="en-AU"/>
              </w:rPr>
              <w:t>Intubation</w:t>
            </w:r>
          </w:p>
          <w:p w:rsidRPr="00800118" w:rsidR="00800118" w:rsidP="006F0321" w:rsidRDefault="00800118" w14:paraId="6F591B10" w14:textId="77777777">
            <w:pPr>
              <w:rPr>
                <w:lang w:val="en-AU"/>
              </w:rPr>
            </w:pPr>
            <w:r w:rsidRPr="00800118">
              <w:rPr>
                <w:lang w:val="en-AU"/>
              </w:rPr>
              <w:t>IV bolus – 0.1 mg/kg</w:t>
            </w:r>
          </w:p>
          <w:p w:rsidRPr="00800118" w:rsidR="00800118" w:rsidP="006F0321" w:rsidRDefault="00800118" w14:paraId="4870359D" w14:textId="77777777">
            <w:pPr>
              <w:rPr>
                <w:lang w:val="en-AU"/>
              </w:rPr>
            </w:pPr>
          </w:p>
          <w:p w:rsidRPr="00800118" w:rsidR="00800118" w:rsidP="006F0321" w:rsidRDefault="00800118" w14:paraId="13C5AB2B" w14:textId="77777777">
            <w:pPr>
              <w:rPr>
                <w:lang w:val="en-AU"/>
              </w:rPr>
            </w:pPr>
            <w:r w:rsidRPr="00800118">
              <w:rPr>
                <w:lang w:val="en-AU"/>
              </w:rPr>
              <w:t>Muscle relaxation</w:t>
            </w:r>
          </w:p>
          <w:p w:rsidRPr="00800118" w:rsidR="00800118" w:rsidP="006F0321" w:rsidRDefault="00800118" w14:paraId="21445003" w14:textId="77777777">
            <w:pPr>
              <w:rPr>
                <w:lang w:val="en-AU"/>
              </w:rPr>
            </w:pPr>
            <w:r w:rsidRPr="00800118">
              <w:rPr>
                <w:lang w:val="en-AU"/>
              </w:rPr>
              <w:t xml:space="preserve">Intermittent IV bolus </w:t>
            </w:r>
          </w:p>
          <w:p w:rsidRPr="00800118" w:rsidR="00800118" w:rsidP="006F0321" w:rsidRDefault="00800118" w14:paraId="54BE5031" w14:textId="77777777">
            <w:pPr>
              <w:rPr>
                <w:vertAlign w:val="superscript"/>
                <w:lang w:val="en-AU"/>
              </w:rPr>
            </w:pPr>
            <w:r w:rsidRPr="00800118">
              <w:rPr>
                <w:lang w:val="en-AU"/>
              </w:rPr>
              <w:t>0.1 mg/kg (0.03–0.15 mg/kg) IV push every 1 to 2 hours as needed.</w:t>
            </w:r>
            <w:r w:rsidRPr="00800118">
              <w:rPr>
                <w:vertAlign w:val="superscript"/>
                <w:lang w:val="en-AU"/>
              </w:rPr>
              <w:t>3</w:t>
            </w:r>
          </w:p>
          <w:p w:rsidRPr="00800118" w:rsidR="00800118" w:rsidP="006F0321" w:rsidRDefault="00800118" w14:paraId="24173E1F" w14:textId="77777777">
            <w:pPr>
              <w:rPr>
                <w:lang w:val="en-AU"/>
              </w:rPr>
            </w:pPr>
          </w:p>
          <w:p w:rsidRPr="00800118" w:rsidR="00800118" w:rsidP="006F0321" w:rsidRDefault="00800118" w14:paraId="2AB6E854" w14:textId="77777777">
            <w:pPr>
              <w:rPr>
                <w:lang w:val="en-AU"/>
              </w:rPr>
            </w:pPr>
            <w:r w:rsidRPr="00800118">
              <w:rPr>
                <w:lang w:val="en-AU"/>
              </w:rPr>
              <w:t>Continuous IV infusion (with or without loading dose)</w:t>
            </w:r>
          </w:p>
          <w:p w:rsidRPr="00800118" w:rsidR="00800118" w:rsidP="006F0321" w:rsidRDefault="00800118" w14:paraId="45FBB9C7" w14:textId="77777777">
            <w:pPr>
              <w:rPr>
                <w:lang w:val="en-AU"/>
              </w:rPr>
            </w:pPr>
            <w:r w:rsidRPr="00800118">
              <w:rPr>
                <w:lang w:val="en-AU"/>
              </w:rPr>
              <w:t>60-200 microg/kg/hour.</w:t>
            </w:r>
            <w:r w:rsidRPr="00800118">
              <w:rPr>
                <w:vertAlign w:val="superscript"/>
                <w:lang w:val="en-AU"/>
              </w:rPr>
              <w:t>1,2</w:t>
            </w:r>
            <w:r w:rsidRPr="00800118">
              <w:rPr>
                <w:lang w:val="en-AU"/>
              </w:rPr>
              <w:t xml:space="preserve"> Titrate in 10% dose increments until desired neuromuscular blockade is achieved. </w:t>
            </w:r>
          </w:p>
        </w:tc>
      </w:tr>
      <w:tr w:rsidRPr="00800118" w:rsidR="00043BF0" w:rsidTr="00943338" w14:paraId="48D26A00" w14:textId="77777777">
        <w:trPr>
          <w:trHeight w:val="254"/>
        </w:trPr>
        <w:tc>
          <w:tcPr>
            <w:tcW w:w="1985" w:type="dxa"/>
          </w:tcPr>
          <w:p w:rsidRPr="00800118" w:rsidR="00800118" w:rsidP="006F0321" w:rsidRDefault="00800118" w14:paraId="21B2573F" w14:textId="77777777">
            <w:pPr>
              <w:rPr>
                <w:lang w:val="en-AU"/>
              </w:rPr>
            </w:pPr>
            <w:r w:rsidRPr="00800118">
              <w:rPr>
                <w:lang w:val="en-AU"/>
              </w:rPr>
              <w:t>Route</w:t>
            </w:r>
          </w:p>
        </w:tc>
        <w:tc>
          <w:tcPr>
            <w:tcW w:w="7116" w:type="dxa"/>
          </w:tcPr>
          <w:p w:rsidRPr="00800118" w:rsidR="00800118" w:rsidP="006F0321" w:rsidRDefault="00800118" w14:paraId="51C9E13B" w14:textId="77777777">
            <w:pPr>
              <w:rPr>
                <w:lang w:val="en-AU"/>
              </w:rPr>
            </w:pPr>
            <w:r w:rsidRPr="00800118">
              <w:rPr>
                <w:lang w:val="en-AU"/>
              </w:rPr>
              <w:t>IV</w:t>
            </w:r>
          </w:p>
        </w:tc>
      </w:tr>
      <w:tr w:rsidRPr="00800118" w:rsidR="00043BF0" w:rsidTr="00943338" w14:paraId="1824376A" w14:textId="77777777">
        <w:trPr>
          <w:trHeight w:val="177"/>
        </w:trPr>
        <w:tc>
          <w:tcPr>
            <w:tcW w:w="1985" w:type="dxa"/>
          </w:tcPr>
          <w:p w:rsidRPr="00800118" w:rsidR="00800118" w:rsidP="006F0321" w:rsidRDefault="00800118" w14:paraId="4B396C79" w14:textId="77777777">
            <w:pPr>
              <w:rPr>
                <w:lang w:val="en-AU"/>
              </w:rPr>
            </w:pPr>
            <w:r w:rsidRPr="00800118">
              <w:rPr>
                <w:lang w:val="en-AU"/>
              </w:rPr>
              <w:t>Maximum Dose</w:t>
            </w:r>
          </w:p>
        </w:tc>
        <w:tc>
          <w:tcPr>
            <w:tcW w:w="7116" w:type="dxa"/>
          </w:tcPr>
          <w:p w:rsidRPr="00800118" w:rsidR="00800118" w:rsidP="006F0321" w:rsidRDefault="00800118" w14:paraId="75033C10" w14:textId="77777777">
            <w:pPr>
              <w:rPr>
                <w:lang w:val="en-AU"/>
              </w:rPr>
            </w:pPr>
            <w:r w:rsidRPr="00800118">
              <w:rPr>
                <w:lang w:val="en-AU"/>
              </w:rPr>
              <w:t>IV bolus: 0.2 mg/kg; IV infusion: 0.2 mg/kg/hour.</w:t>
            </w:r>
            <w:r w:rsidRPr="00800118">
              <w:rPr>
                <w:vertAlign w:val="superscript"/>
                <w:lang w:val="en-AU"/>
              </w:rPr>
              <w:t>1,2,20,21</w:t>
            </w:r>
          </w:p>
        </w:tc>
      </w:tr>
      <w:tr w:rsidRPr="00800118" w:rsidR="00043BF0" w:rsidTr="00943338" w14:paraId="42A045D0" w14:textId="77777777">
        <w:trPr>
          <w:trHeight w:val="800"/>
        </w:trPr>
        <w:tc>
          <w:tcPr>
            <w:tcW w:w="1985" w:type="dxa"/>
          </w:tcPr>
          <w:p w:rsidRPr="00800118" w:rsidR="00800118" w:rsidP="006F0321" w:rsidRDefault="00800118" w14:paraId="406E8BE4" w14:textId="77777777">
            <w:pPr>
              <w:rPr>
                <w:highlight w:val="cyan"/>
                <w:lang w:val="en-AU"/>
              </w:rPr>
            </w:pPr>
            <w:r w:rsidRPr="00800118">
              <w:rPr>
                <w:lang w:val="en-AU"/>
              </w:rPr>
              <w:t xml:space="preserve">Preparation/Dilution </w:t>
            </w:r>
            <w:r w:rsidRPr="00800118">
              <w:rPr>
                <w:highlight w:val="cyan"/>
                <w:lang w:val="en-AU"/>
              </w:rPr>
              <w:t xml:space="preserve">                </w:t>
            </w:r>
          </w:p>
          <w:p w:rsidRPr="00800118" w:rsidR="00800118" w:rsidP="006F0321" w:rsidRDefault="00800118" w14:paraId="6BF96E03" w14:textId="77777777">
            <w:pPr>
              <w:rPr>
                <w:highlight w:val="cyan"/>
                <w:lang w:val="en-AU"/>
              </w:rPr>
            </w:pPr>
            <w:r w:rsidRPr="00800118">
              <w:rPr>
                <w:highlight w:val="cyan"/>
                <w:lang w:val="en-AU"/>
              </w:rPr>
              <w:t xml:space="preserve">           </w:t>
            </w:r>
          </w:p>
        </w:tc>
        <w:tc>
          <w:tcPr>
            <w:tcW w:w="7116" w:type="dxa"/>
          </w:tcPr>
          <w:p w:rsidRPr="00800118" w:rsidR="00800118" w:rsidP="006F0321" w:rsidRDefault="00800118" w14:paraId="5AFE4E2B" w14:textId="77777777">
            <w:pPr>
              <w:rPr>
                <w:lang w:val="en-AU"/>
              </w:rPr>
            </w:pPr>
            <w:r w:rsidRPr="00800118">
              <w:rPr>
                <w:lang w:val="en-AU"/>
              </w:rPr>
              <w:t>IV bolus:</w:t>
            </w:r>
          </w:p>
          <w:p w:rsidRPr="00800118" w:rsidR="00800118" w:rsidP="006F0321" w:rsidRDefault="00800118" w14:paraId="6909A2CF" w14:textId="77777777">
            <w:pPr>
              <w:rPr>
                <w:lang w:val="en-AU"/>
              </w:rPr>
            </w:pPr>
            <w:r w:rsidRPr="00800118">
              <w:rPr>
                <w:lang w:val="en-AU"/>
              </w:rPr>
              <w:t>Add 5 mL water for injection to 10 mg of vecuronium powder for reconstitution (2 mg/mL). Draw up 2 mL (4 mg of vecuronium) and add 2 mL of sodium chloride 0.9% to make a final volume of 4 mL with a concentration of 1 mg/mL.</w:t>
            </w:r>
          </w:p>
          <w:p w:rsidRPr="00800118" w:rsidR="00800118" w:rsidP="006F0321" w:rsidRDefault="00800118" w14:paraId="31B7BB36" w14:textId="77777777">
            <w:pPr>
              <w:rPr>
                <w:lang w:val="en-AU"/>
              </w:rPr>
            </w:pPr>
            <w:r w:rsidRPr="00800118">
              <w:rPr>
                <w:lang w:val="en-AU"/>
              </w:rPr>
              <w:t> </w:t>
            </w:r>
          </w:p>
          <w:p w:rsidRPr="00800118" w:rsidR="00800118" w:rsidP="006F0321" w:rsidRDefault="00800118" w14:paraId="7095E28D" w14:textId="77777777">
            <w:pPr>
              <w:rPr>
                <w:lang w:val="en-AU"/>
              </w:rPr>
            </w:pPr>
            <w:r w:rsidRPr="00800118">
              <w:rPr>
                <w:lang w:val="en-AU"/>
              </w:rPr>
              <w:lastRenderedPageBreak/>
              <w:t>IV infusion:</w:t>
            </w:r>
          </w:p>
          <w:p w:rsidRPr="00800118" w:rsidR="00800118" w:rsidP="006F0321" w:rsidRDefault="00800118" w14:paraId="4121368E" w14:textId="77777777">
            <w:pPr>
              <w:rPr>
                <w:lang w:val="en-AU"/>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289"/>
              <w:gridCol w:w="3402"/>
            </w:tblGrid>
            <w:tr w:rsidRPr="00800118" w:rsidR="00800118" w:rsidTr="00800118" w14:paraId="2F440355" w14:textId="77777777">
              <w:tc>
                <w:tcPr>
                  <w:tcW w:w="3289" w:type="dxa"/>
                  <w:shd w:val="clear" w:color="auto" w:fill="auto"/>
                </w:tcPr>
                <w:p w:rsidRPr="00800118" w:rsidR="00800118" w:rsidP="006F0321" w:rsidRDefault="00800118" w14:paraId="3236BED4" w14:textId="77777777">
                  <w:pPr>
                    <w:rPr>
                      <w:lang w:val="en-AU"/>
                    </w:rPr>
                  </w:pPr>
                  <w:r w:rsidRPr="00800118">
                    <w:rPr>
                      <w:lang w:val="en-AU"/>
                    </w:rPr>
                    <w:t>Infusion rate</w:t>
                  </w:r>
                </w:p>
              </w:tc>
              <w:tc>
                <w:tcPr>
                  <w:tcW w:w="3402" w:type="dxa"/>
                  <w:shd w:val="clear" w:color="auto" w:fill="auto"/>
                </w:tcPr>
                <w:p w:rsidRPr="00800118" w:rsidR="00800118" w:rsidP="006F0321" w:rsidRDefault="00800118" w14:paraId="79438B4D" w14:textId="77777777">
                  <w:pPr>
                    <w:rPr>
                      <w:lang w:val="en-AU"/>
                    </w:rPr>
                  </w:pPr>
                  <w:r w:rsidRPr="00800118">
                    <w:rPr>
                      <w:lang w:val="en-AU"/>
                    </w:rPr>
                    <w:t>Prescribed amount</w:t>
                  </w:r>
                </w:p>
              </w:tc>
            </w:tr>
            <w:tr w:rsidRPr="00800118" w:rsidR="00800118" w:rsidTr="00800118" w14:paraId="02C98B8F" w14:textId="77777777">
              <w:tc>
                <w:tcPr>
                  <w:tcW w:w="3289" w:type="dxa"/>
                  <w:shd w:val="clear" w:color="auto" w:fill="auto"/>
                </w:tcPr>
                <w:p w:rsidRPr="00800118" w:rsidR="00800118" w:rsidP="006F0321" w:rsidRDefault="00800118" w14:paraId="5F409F2E" w14:textId="77777777">
                  <w:pPr>
                    <w:rPr>
                      <w:lang w:val="en-AU"/>
                    </w:rPr>
                  </w:pPr>
                  <w:r w:rsidRPr="00800118">
                    <w:rPr>
                      <w:lang w:val="en-AU"/>
                    </w:rPr>
                    <w:t>1 mL/hour = 100 microgram/kg/hour</w:t>
                  </w:r>
                </w:p>
              </w:tc>
              <w:tc>
                <w:tcPr>
                  <w:tcW w:w="3402" w:type="dxa"/>
                  <w:shd w:val="clear" w:color="auto" w:fill="auto"/>
                </w:tcPr>
                <w:p w:rsidRPr="00800118" w:rsidR="00800118" w:rsidP="006F0321" w:rsidRDefault="00800118" w14:paraId="4D27969B" w14:textId="77777777">
                  <w:pPr>
                    <w:rPr>
                      <w:lang w:val="en-AU"/>
                    </w:rPr>
                  </w:pPr>
                  <w:r w:rsidRPr="00800118">
                    <w:rPr>
                      <w:lang w:val="en-AU"/>
                    </w:rPr>
                    <w:t>5 mg/kg vecuronium and make up to 50 mL</w:t>
                  </w:r>
                </w:p>
              </w:tc>
            </w:tr>
          </w:tbl>
          <w:p w:rsidRPr="00800118" w:rsidR="00800118" w:rsidP="006F0321" w:rsidRDefault="00800118" w14:paraId="08FB98DC" w14:textId="77777777">
            <w:pPr>
              <w:rPr>
                <w:lang w:val="en-AU"/>
              </w:rPr>
            </w:pPr>
          </w:p>
          <w:p w:rsidRPr="00800118" w:rsidR="00800118" w:rsidP="006F0321" w:rsidRDefault="00800118" w14:paraId="3723F456" w14:textId="77777777">
            <w:pPr>
              <w:rPr>
                <w:lang w:val="en-AU"/>
              </w:rPr>
            </w:pPr>
            <w:r w:rsidRPr="00800118">
              <w:rPr>
                <w:lang w:val="en-AU"/>
              </w:rPr>
              <w:t>Add 5 mL water for injection to 10 mg vecuronium powder for reconstitution (2 mg/mL).</w:t>
            </w:r>
          </w:p>
          <w:p w:rsidRPr="00800118" w:rsidR="00800118" w:rsidP="006F0321" w:rsidRDefault="00800118" w14:paraId="79614B7D" w14:textId="77777777">
            <w:pPr>
              <w:rPr>
                <w:lang w:val="en-AU"/>
              </w:rPr>
            </w:pPr>
            <w:r w:rsidRPr="00800118">
              <w:rPr>
                <w:lang w:val="en-AU"/>
              </w:rPr>
              <w:t>Draw up 2.5 mL/kg of solution (5 mg/kg of vecuronium) and add sodium chloride 0.9% or glucose 5% to make a final volume of 50 mL with a concentration of 100 microgram/kg/mL.</w:t>
            </w:r>
          </w:p>
          <w:p w:rsidRPr="00800118" w:rsidR="00800118" w:rsidP="006F0321" w:rsidRDefault="00800118" w14:paraId="2499FD89" w14:textId="77777777">
            <w:pPr>
              <w:rPr>
                <w:b/>
                <w:szCs w:val="24"/>
                <w:lang w:val="en-AU"/>
              </w:rPr>
            </w:pPr>
            <w:r w:rsidRPr="00800118">
              <w:rPr>
                <w:lang w:val="en-AU"/>
              </w:rPr>
              <w:t>Infusing at a rate of 1 mL/hour = 100 microgram/kg/hour.</w:t>
            </w:r>
          </w:p>
        </w:tc>
      </w:tr>
      <w:tr w:rsidRPr="00800118" w:rsidR="00043BF0" w:rsidTr="00943338" w14:paraId="37F50798" w14:textId="77777777">
        <w:trPr>
          <w:trHeight w:val="438"/>
        </w:trPr>
        <w:tc>
          <w:tcPr>
            <w:tcW w:w="1985" w:type="dxa"/>
          </w:tcPr>
          <w:p w:rsidRPr="00800118" w:rsidR="00800118" w:rsidP="006F0321" w:rsidRDefault="00800118" w14:paraId="19A31CA0" w14:textId="77777777">
            <w:pPr>
              <w:rPr>
                <w:lang w:val="en-AU"/>
              </w:rPr>
            </w:pPr>
            <w:r w:rsidRPr="00800118">
              <w:rPr>
                <w:lang w:val="en-AU"/>
              </w:rPr>
              <w:lastRenderedPageBreak/>
              <w:t xml:space="preserve">Administration                 </w:t>
            </w:r>
          </w:p>
          <w:p w:rsidRPr="00800118" w:rsidR="00800118" w:rsidP="006F0321" w:rsidRDefault="00800118" w14:paraId="218DD45C" w14:textId="77777777">
            <w:pPr>
              <w:rPr>
                <w:lang w:val="en-AU"/>
              </w:rPr>
            </w:pPr>
          </w:p>
        </w:tc>
        <w:tc>
          <w:tcPr>
            <w:tcW w:w="7116" w:type="dxa"/>
          </w:tcPr>
          <w:p w:rsidRPr="00800118" w:rsidR="00800118" w:rsidP="006F0321" w:rsidRDefault="00800118" w14:paraId="591883AB" w14:textId="77777777">
            <w:pPr>
              <w:rPr>
                <w:lang w:val="en-AU"/>
              </w:rPr>
            </w:pPr>
            <w:r w:rsidRPr="00800118">
              <w:rPr>
                <w:lang w:val="en-AU"/>
              </w:rPr>
              <w:t>IV bolus: Administer over several seconds.</w:t>
            </w:r>
            <w:r w:rsidRPr="00800118">
              <w:rPr>
                <w:vertAlign w:val="superscript"/>
                <w:lang w:val="en-AU"/>
              </w:rPr>
              <w:t>19</w:t>
            </w:r>
          </w:p>
          <w:p w:rsidRPr="00800118" w:rsidR="00800118" w:rsidP="006F0321" w:rsidRDefault="00800118" w14:paraId="1C802472" w14:textId="77777777">
            <w:pPr>
              <w:rPr>
                <w:lang w:val="en-AU"/>
              </w:rPr>
            </w:pPr>
            <w:r w:rsidRPr="00800118">
              <w:rPr>
                <w:lang w:val="en-AU"/>
              </w:rPr>
              <w:t>IV infusion via syringe pump.</w:t>
            </w:r>
          </w:p>
          <w:p w:rsidRPr="00800118" w:rsidR="00800118" w:rsidP="006F0321" w:rsidRDefault="00800118" w14:paraId="7B02DD69" w14:textId="77777777">
            <w:pPr>
              <w:rPr>
                <w:lang w:val="en-AU"/>
              </w:rPr>
            </w:pPr>
            <w:r w:rsidRPr="00800118">
              <w:rPr>
                <w:lang w:val="en-AU"/>
              </w:rPr>
              <w:t>Line should be adequately flushed to avoid unintended paralysis during later use of the line.</w:t>
            </w:r>
          </w:p>
        </w:tc>
      </w:tr>
      <w:tr w:rsidRPr="00800118" w:rsidR="00043BF0" w:rsidTr="00943338" w14:paraId="3FB6AE50" w14:textId="77777777">
        <w:trPr>
          <w:trHeight w:val="70"/>
        </w:trPr>
        <w:tc>
          <w:tcPr>
            <w:tcW w:w="1985" w:type="dxa"/>
          </w:tcPr>
          <w:p w:rsidRPr="00800118" w:rsidR="00800118" w:rsidP="006F0321" w:rsidRDefault="00800118" w14:paraId="4E313533" w14:textId="77777777">
            <w:pPr>
              <w:rPr>
                <w:lang w:val="en-AU"/>
              </w:rPr>
            </w:pPr>
            <w:r w:rsidRPr="00800118">
              <w:rPr>
                <w:lang w:val="en-AU"/>
              </w:rPr>
              <w:t xml:space="preserve">Monitoring                              </w:t>
            </w:r>
          </w:p>
        </w:tc>
        <w:tc>
          <w:tcPr>
            <w:tcW w:w="7116" w:type="dxa"/>
          </w:tcPr>
          <w:p w:rsidRPr="00800118" w:rsidR="00800118" w:rsidP="006F0321" w:rsidRDefault="00800118" w14:paraId="50D2BD58" w14:textId="77777777">
            <w:pPr>
              <w:rPr>
                <w:lang w:val="en-AU"/>
              </w:rPr>
            </w:pPr>
            <w:r w:rsidRPr="00800118">
              <w:rPr>
                <w:lang w:val="en-AU"/>
              </w:rPr>
              <w:t>Continuous cardio-respiratory and pulse oximetry monitoring. Close monitoring of neuromuscular function, sedation and blood pressure (invasive or non-invasive) is essential. Monitor electrolytes and renal function.</w:t>
            </w:r>
          </w:p>
        </w:tc>
      </w:tr>
      <w:tr w:rsidRPr="00800118" w:rsidR="00043BF0" w:rsidTr="00943338" w14:paraId="2489D442" w14:textId="77777777">
        <w:trPr>
          <w:trHeight w:val="582"/>
        </w:trPr>
        <w:tc>
          <w:tcPr>
            <w:tcW w:w="1985" w:type="dxa"/>
          </w:tcPr>
          <w:p w:rsidRPr="00800118" w:rsidR="00800118" w:rsidP="006F0321" w:rsidRDefault="00800118" w14:paraId="5E4A08A1" w14:textId="77777777">
            <w:pPr>
              <w:rPr>
                <w:lang w:val="en-AU"/>
              </w:rPr>
            </w:pPr>
            <w:r w:rsidRPr="00800118">
              <w:rPr>
                <w:lang w:val="en-AU"/>
              </w:rPr>
              <w:t xml:space="preserve">Contraindications                           </w:t>
            </w:r>
          </w:p>
          <w:p w:rsidRPr="00800118" w:rsidR="00800118" w:rsidP="006F0321" w:rsidRDefault="00800118" w14:paraId="5939F2F6" w14:textId="77777777">
            <w:pPr>
              <w:rPr>
                <w:lang w:val="en-AU"/>
              </w:rPr>
            </w:pPr>
          </w:p>
        </w:tc>
        <w:tc>
          <w:tcPr>
            <w:tcW w:w="7116" w:type="dxa"/>
          </w:tcPr>
          <w:p w:rsidRPr="00800118" w:rsidR="00800118" w:rsidP="006F0321" w:rsidRDefault="00800118" w14:paraId="1F2AA57B" w14:textId="77777777">
            <w:pPr>
              <w:rPr>
                <w:lang w:val="en-AU"/>
              </w:rPr>
            </w:pPr>
            <w:r w:rsidRPr="00800118">
              <w:rPr>
                <w:lang w:val="en-AU"/>
              </w:rPr>
              <w:t>Hypersensitivity to vecuronium or any component of the formulation.</w:t>
            </w:r>
          </w:p>
          <w:p w:rsidRPr="00800118" w:rsidR="00800118" w:rsidP="006F0321" w:rsidRDefault="00800118" w14:paraId="421B188E" w14:textId="77777777">
            <w:pPr>
              <w:rPr>
                <w:lang w:val="en-AU"/>
              </w:rPr>
            </w:pPr>
            <w:r w:rsidRPr="00800118">
              <w:rPr>
                <w:lang w:val="en-AU"/>
              </w:rPr>
              <w:t>Cross-sensitivity with other neuromuscular-blocking agents may occur; use with extreme caution in patients with previous anaphylactic reactions.</w:t>
            </w:r>
          </w:p>
        </w:tc>
      </w:tr>
      <w:tr w:rsidRPr="00800118" w:rsidR="00043BF0" w:rsidTr="00943338" w14:paraId="52992BF1" w14:textId="77777777">
        <w:tc>
          <w:tcPr>
            <w:tcW w:w="1985" w:type="dxa"/>
          </w:tcPr>
          <w:p w:rsidRPr="00800118" w:rsidR="00800118" w:rsidP="006F0321" w:rsidRDefault="00800118" w14:paraId="56A0A531" w14:textId="77777777">
            <w:pPr>
              <w:rPr>
                <w:lang w:val="en-AU"/>
              </w:rPr>
            </w:pPr>
            <w:r w:rsidRPr="00800118">
              <w:rPr>
                <w:lang w:val="en-AU"/>
              </w:rPr>
              <w:br w:type="page"/>
            </w:r>
            <w:r w:rsidRPr="00800118">
              <w:rPr>
                <w:lang w:val="en-AU"/>
              </w:rPr>
              <w:t>Precautions</w:t>
            </w:r>
          </w:p>
        </w:tc>
        <w:tc>
          <w:tcPr>
            <w:tcW w:w="7116" w:type="dxa"/>
          </w:tcPr>
          <w:p w:rsidRPr="00800118" w:rsidR="00800118" w:rsidP="006F0321" w:rsidRDefault="00800118" w14:paraId="6BEE31FF" w14:textId="77777777">
            <w:pPr>
              <w:rPr>
                <w:lang w:val="en-AU"/>
              </w:rPr>
            </w:pPr>
            <w:r w:rsidRPr="00800118">
              <w:rPr>
                <w:lang w:val="en-AU"/>
              </w:rPr>
              <w:t>Avoid prolonged usage.</w:t>
            </w:r>
          </w:p>
          <w:p w:rsidRPr="00800118" w:rsidR="00800118" w:rsidP="006F0321" w:rsidRDefault="00800118" w14:paraId="2C0104BD" w14:textId="77777777">
            <w:pPr>
              <w:rPr>
                <w:lang w:val="en-AU"/>
              </w:rPr>
            </w:pPr>
            <w:r w:rsidRPr="00800118">
              <w:rPr>
                <w:lang w:val="en-AU"/>
              </w:rPr>
              <w:t>Factors which can increase duration of neuromuscular blockade:</w:t>
            </w:r>
          </w:p>
          <w:p w:rsidRPr="00800118" w:rsidR="00800118" w:rsidP="006F0321" w:rsidRDefault="00800118" w14:paraId="3E1F9F4D" w14:textId="77777777">
            <w:pPr>
              <w:rPr>
                <w:lang w:val="en-AU"/>
              </w:rPr>
            </w:pPr>
            <w:r w:rsidRPr="00800118">
              <w:rPr>
                <w:lang w:val="en-AU"/>
              </w:rPr>
              <w:t>Acidosis, hypothermia, neuromuscular disease, hepatic disease, hypokalaemia, hypermagnesaemia, renal failure and younger age.</w:t>
            </w:r>
          </w:p>
          <w:p w:rsidRPr="00800118" w:rsidR="00800118" w:rsidP="006F0321" w:rsidRDefault="00800118" w14:paraId="5E2F223D" w14:textId="77777777">
            <w:pPr>
              <w:rPr>
                <w:lang w:val="en-AU"/>
              </w:rPr>
            </w:pPr>
            <w:r w:rsidRPr="00800118">
              <w:rPr>
                <w:lang w:val="en-AU"/>
              </w:rPr>
              <w:t>Factors which can decrease duration of neuromuscular blockade:</w:t>
            </w:r>
          </w:p>
          <w:p w:rsidRPr="00800118" w:rsidR="00800118" w:rsidP="006F0321" w:rsidRDefault="00800118" w14:paraId="5141731F" w14:textId="77777777">
            <w:pPr>
              <w:rPr>
                <w:lang w:val="en-AU"/>
              </w:rPr>
            </w:pPr>
            <w:r w:rsidRPr="00800118">
              <w:rPr>
                <w:lang w:val="en-AU"/>
              </w:rPr>
              <w:t>Alkalosis and hyperkalaemia.</w:t>
            </w:r>
          </w:p>
          <w:p w:rsidRPr="00800118" w:rsidR="00800118" w:rsidP="006F0321" w:rsidRDefault="00800118" w14:paraId="56EA5ADB" w14:textId="77777777">
            <w:pPr>
              <w:rPr>
                <w:lang w:val="en-AU"/>
              </w:rPr>
            </w:pPr>
          </w:p>
          <w:p w:rsidRPr="00800118" w:rsidR="00800118" w:rsidP="006F0321" w:rsidRDefault="00800118" w14:paraId="77AC614A" w14:textId="77777777">
            <w:pPr>
              <w:rPr>
                <w:lang w:val="en-AU"/>
              </w:rPr>
            </w:pPr>
            <w:r w:rsidRPr="00800118">
              <w:rPr>
                <w:lang w:val="en-AU"/>
              </w:rPr>
              <w:t>Use cautiously in neonates with hepatic or renal impairment and in neonates with fluid and electrolyte imbalance.</w:t>
            </w:r>
          </w:p>
          <w:p w:rsidRPr="00800118" w:rsidR="00800118" w:rsidP="006F0321" w:rsidRDefault="00800118" w14:paraId="2B1D5D01" w14:textId="77777777">
            <w:pPr>
              <w:rPr>
                <w:lang w:val="en-AU"/>
              </w:rPr>
            </w:pPr>
            <w:r w:rsidRPr="00800118">
              <w:rPr>
                <w:lang w:val="en-AU"/>
              </w:rPr>
              <w:t xml:space="preserve"> </w:t>
            </w:r>
          </w:p>
          <w:p w:rsidRPr="00800118" w:rsidR="00800118" w:rsidP="006F0321" w:rsidRDefault="00800118" w14:paraId="2085B26D" w14:textId="77777777">
            <w:pPr>
              <w:rPr>
                <w:lang w:val="en-AU"/>
              </w:rPr>
            </w:pPr>
            <w:r w:rsidRPr="00800118">
              <w:rPr>
                <w:lang w:val="en-AU"/>
              </w:rPr>
              <w:t xml:space="preserve">Suggest regular cessation of infusion, possibly every 24 hours (commonly referred to as ‘drug holiday’) to assess the need for continued paralysis and adequacy of sedation or analgesia. </w:t>
            </w:r>
          </w:p>
          <w:p w:rsidRPr="00800118" w:rsidR="00800118" w:rsidP="006F0321" w:rsidRDefault="00800118" w14:paraId="441AC8E1" w14:textId="77777777">
            <w:pPr>
              <w:rPr>
                <w:color w:val="000000"/>
                <w:szCs w:val="24"/>
                <w:lang w:val="en-AU" w:eastAsia="en-AU"/>
              </w:rPr>
            </w:pPr>
            <w:r w:rsidRPr="00800118">
              <w:rPr>
                <w:lang w:val="en-AU"/>
              </w:rPr>
              <w:t>Monitoring of fluid balance is essential due to of risk of fluid retention.</w:t>
            </w:r>
            <w:r w:rsidRPr="00800118">
              <w:rPr>
                <w:vertAlign w:val="superscript"/>
                <w:lang w:val="en-AU"/>
              </w:rPr>
              <w:t>15,17</w:t>
            </w:r>
            <w:r w:rsidRPr="00800118">
              <w:rPr>
                <w:lang w:val="en-AU"/>
              </w:rPr>
              <w:t xml:space="preserve"> </w:t>
            </w:r>
          </w:p>
        </w:tc>
      </w:tr>
      <w:tr w:rsidRPr="00800118" w:rsidR="00043BF0" w:rsidTr="00943338" w14:paraId="14B54B97" w14:textId="77777777">
        <w:trPr>
          <w:trHeight w:val="394"/>
        </w:trPr>
        <w:tc>
          <w:tcPr>
            <w:tcW w:w="1985" w:type="dxa"/>
          </w:tcPr>
          <w:p w:rsidRPr="00800118" w:rsidR="00800118" w:rsidP="006F0321" w:rsidRDefault="00800118" w14:paraId="59378BF9" w14:textId="77777777">
            <w:pPr>
              <w:rPr>
                <w:lang w:val="en-AU"/>
              </w:rPr>
            </w:pPr>
            <w:r w:rsidRPr="00800118">
              <w:rPr>
                <w:lang w:val="en-AU"/>
              </w:rPr>
              <w:t>Drug Interactions</w:t>
            </w:r>
          </w:p>
        </w:tc>
        <w:tc>
          <w:tcPr>
            <w:tcW w:w="7116" w:type="dxa"/>
          </w:tcPr>
          <w:p w:rsidRPr="00800118" w:rsidR="00800118" w:rsidP="006F0321" w:rsidRDefault="00800118" w14:paraId="4301BDFA" w14:textId="77777777">
            <w:pPr>
              <w:rPr>
                <w:lang w:val="en-AU"/>
              </w:rPr>
            </w:pPr>
            <w:r w:rsidRPr="00800118">
              <w:rPr>
                <w:lang w:val="en-AU"/>
              </w:rPr>
              <w:t>Aminoglycosides &amp; general anaesthetics can increase (potentiate) duration of neuromuscular blockade.</w:t>
            </w:r>
          </w:p>
          <w:p w:rsidRPr="00800118" w:rsidR="00800118" w:rsidP="006F0321" w:rsidRDefault="00800118" w14:paraId="34E1F697" w14:textId="77777777">
            <w:pPr>
              <w:rPr>
                <w:vertAlign w:val="superscript"/>
                <w:lang w:val="en-AU"/>
              </w:rPr>
            </w:pPr>
            <w:r w:rsidRPr="00800118">
              <w:rPr>
                <w:lang w:val="en-AU"/>
              </w:rPr>
              <w:t xml:space="preserve">Corticosteroids: In addition to prolonging recovery from neuromuscular blockade, concomitant use with corticosteroids has been associated with development of acute quadriplegic myopathy </w:t>
            </w:r>
            <w:r w:rsidRPr="00800118">
              <w:rPr>
                <w:lang w:val="en-AU"/>
              </w:rPr>
              <w:lastRenderedPageBreak/>
              <w:t>syndrome (AQMS). Current adult guidelines recommend neuromuscular blockers be discontinued as soon as possible in patients receiving corticosteroids or interrupted daily until necessary to restart them based on clinical condition.</w:t>
            </w:r>
            <w:r w:rsidRPr="00800118">
              <w:rPr>
                <w:vertAlign w:val="superscript"/>
                <w:lang w:val="en-AU"/>
              </w:rPr>
              <w:t>4</w:t>
            </w:r>
          </w:p>
          <w:p w:rsidRPr="00800118" w:rsidR="00800118" w:rsidP="006F0321" w:rsidRDefault="00800118" w14:paraId="5BBDBF5E" w14:textId="77777777">
            <w:pPr>
              <w:rPr>
                <w:lang w:val="en-AU"/>
              </w:rPr>
            </w:pPr>
          </w:p>
          <w:p w:rsidRPr="00800118" w:rsidR="00800118" w:rsidP="006F0321" w:rsidRDefault="00800118" w14:paraId="1963620D" w14:textId="77777777">
            <w:pPr>
              <w:rPr>
                <w:lang w:val="en-AU"/>
              </w:rPr>
            </w:pPr>
            <w:r w:rsidRPr="00800118">
              <w:rPr>
                <w:lang w:val="en-AU"/>
              </w:rPr>
              <w:t>Adrenaline (epinephrine) can reduce (antagonise) duration of neuromuscular blockade.</w:t>
            </w:r>
          </w:p>
        </w:tc>
      </w:tr>
      <w:tr w:rsidRPr="00800118" w:rsidR="00043BF0" w:rsidTr="00943338" w14:paraId="0880D4B5" w14:textId="77777777">
        <w:trPr>
          <w:trHeight w:val="1181"/>
        </w:trPr>
        <w:tc>
          <w:tcPr>
            <w:tcW w:w="1985" w:type="dxa"/>
          </w:tcPr>
          <w:p w:rsidRPr="00800118" w:rsidR="00800118" w:rsidP="006F0321" w:rsidRDefault="00800118" w14:paraId="0A21A28C" w14:textId="77777777">
            <w:pPr>
              <w:rPr>
                <w:lang w:val="en-AU"/>
              </w:rPr>
            </w:pPr>
            <w:r w:rsidRPr="00800118">
              <w:rPr>
                <w:lang w:val="en-AU"/>
              </w:rPr>
              <w:lastRenderedPageBreak/>
              <w:t xml:space="preserve">Adverse Reactions </w:t>
            </w:r>
          </w:p>
        </w:tc>
        <w:tc>
          <w:tcPr>
            <w:tcW w:w="7116" w:type="dxa"/>
          </w:tcPr>
          <w:p w:rsidRPr="00800118" w:rsidR="00800118" w:rsidP="006F0321" w:rsidRDefault="00800118" w14:paraId="47657B4C" w14:textId="77777777">
            <w:pPr>
              <w:rPr>
                <w:lang w:val="en-AU"/>
              </w:rPr>
            </w:pPr>
            <w:r w:rsidRPr="00800118">
              <w:rPr>
                <w:lang w:val="en-AU"/>
              </w:rPr>
              <w:t>Hypoxaemia may occur because of inadequate ventilation and deterioration in pulmonary mechanics.</w:t>
            </w:r>
          </w:p>
          <w:p w:rsidRPr="00800118" w:rsidR="00800118" w:rsidP="006F0321" w:rsidRDefault="006B3E26" w14:paraId="1B37F36B" w14:textId="77777777">
            <w:pPr>
              <w:rPr>
                <w:lang w:val="en-AU"/>
              </w:rPr>
            </w:pPr>
            <w:hyperlink w:history="1" r:id="rId81">
              <w:r w:rsidRPr="00800118" w:rsidR="00800118">
                <w:rPr>
                  <w:lang w:val="en-AU"/>
                </w:rPr>
                <w:t>Hypotension</w:t>
              </w:r>
            </w:hyperlink>
            <w:r w:rsidRPr="00800118" w:rsidR="00800118">
              <w:rPr>
                <w:lang w:val="en-AU"/>
              </w:rPr>
              <w:t xml:space="preserve"> and bradycardia, particularly when used in combination with opioids.</w:t>
            </w:r>
          </w:p>
          <w:p w:rsidRPr="00800118" w:rsidR="00800118" w:rsidP="006F0321" w:rsidRDefault="00800118" w14:paraId="4C821D6C" w14:textId="77777777">
            <w:pPr>
              <w:rPr>
                <w:lang w:val="en-AU"/>
              </w:rPr>
            </w:pPr>
            <w:r w:rsidRPr="00800118">
              <w:rPr>
                <w:lang w:val="en-AU"/>
              </w:rPr>
              <w:t>Prolonged paralysis after long-term use.</w:t>
            </w:r>
          </w:p>
          <w:p w:rsidRPr="00800118" w:rsidR="00800118" w:rsidP="006F0321" w:rsidRDefault="00800118" w14:paraId="36AF9200" w14:textId="77777777">
            <w:pPr>
              <w:rPr>
                <w:lang w:val="en-AU"/>
              </w:rPr>
            </w:pPr>
            <w:r w:rsidRPr="00800118">
              <w:rPr>
                <w:lang w:val="en-AU"/>
              </w:rPr>
              <w:t>Rare: Anaphylactic reaction.</w:t>
            </w:r>
          </w:p>
        </w:tc>
      </w:tr>
      <w:tr w:rsidRPr="00800118" w:rsidR="00043BF0" w:rsidTr="00943338" w14:paraId="4DDE38E9" w14:textId="77777777">
        <w:trPr>
          <w:trHeight w:val="1721"/>
        </w:trPr>
        <w:tc>
          <w:tcPr>
            <w:tcW w:w="1985" w:type="dxa"/>
          </w:tcPr>
          <w:p w:rsidRPr="00800118" w:rsidR="00800118" w:rsidP="006F0321" w:rsidRDefault="00800118" w14:paraId="516CDAE7" w14:textId="77777777">
            <w:pPr>
              <w:rPr>
                <w:lang w:val="en-AU"/>
              </w:rPr>
            </w:pPr>
            <w:r w:rsidRPr="00800118">
              <w:rPr>
                <w:lang w:val="en-AU"/>
              </w:rPr>
              <w:t>Compatibility</w:t>
            </w:r>
          </w:p>
          <w:p w:rsidRPr="00800118" w:rsidR="00800118" w:rsidP="006F0321" w:rsidRDefault="00800118" w14:paraId="58169DC4" w14:textId="77777777">
            <w:pPr>
              <w:rPr>
                <w:lang w:val="en-AU"/>
              </w:rPr>
            </w:pPr>
          </w:p>
        </w:tc>
        <w:tc>
          <w:tcPr>
            <w:tcW w:w="7116" w:type="dxa"/>
          </w:tcPr>
          <w:p w:rsidRPr="00800118" w:rsidR="00800118" w:rsidP="006F0321" w:rsidRDefault="00800118" w14:paraId="76AF5DD6" w14:textId="77777777">
            <w:pPr>
              <w:rPr>
                <w:lang w:val="en-AU"/>
              </w:rPr>
            </w:pPr>
            <w:r w:rsidRPr="00800118">
              <w:rPr>
                <w:lang w:val="en-AU"/>
              </w:rPr>
              <w:t xml:space="preserve">Fluids: Glucose 5%, sodium chloride 0.9%. </w:t>
            </w:r>
          </w:p>
          <w:p w:rsidRPr="00800118" w:rsidR="00800118" w:rsidP="006F0321" w:rsidRDefault="00800118" w14:paraId="40AFE1B0" w14:textId="77777777">
            <w:pPr>
              <w:rPr>
                <w:lang w:val="en-AU"/>
              </w:rPr>
            </w:pPr>
          </w:p>
          <w:p w:rsidRPr="00800118" w:rsidR="00800118" w:rsidP="006F0321" w:rsidRDefault="00800118" w14:paraId="3671FC06" w14:textId="77777777">
            <w:pPr>
              <w:rPr>
                <w:b/>
                <w:lang w:val="en-AU"/>
              </w:rPr>
            </w:pPr>
            <w:r w:rsidRPr="00800118">
              <w:rPr>
                <w:lang w:val="en-AU"/>
              </w:rPr>
              <w:t>Compatible via Y-site:</w:t>
            </w:r>
            <w:r w:rsidRPr="00800118">
              <w:rPr>
                <w:b/>
                <w:lang w:val="en-AU"/>
              </w:rPr>
              <w:t xml:space="preserve"> </w:t>
            </w:r>
            <w:r w:rsidRPr="00800118">
              <w:rPr>
                <w:lang w:val="en-AU"/>
              </w:rPr>
              <w:t>Glucose/amino acid solutions, alprostadil, aminophylline, amiodarone, cefazolin, cimetidine, dobutamine, dopamine, adrenaline (epinephrine), esmolol, fentanyl, fluconazole, gentamicin, heparin, hydrocortisone, isoprenaline, linezolid, lorazepam, midazolam, milrinone, morphine, nicardipine, nitroglycerin, nitroprusside, propofol, ranitidine, trimethoprim-suxamethonium and vancomycin.</w:t>
            </w:r>
          </w:p>
        </w:tc>
      </w:tr>
      <w:tr w:rsidRPr="00800118" w:rsidR="00043BF0" w:rsidTr="00943338" w14:paraId="044FDAB1" w14:textId="77777777">
        <w:trPr>
          <w:trHeight w:val="70"/>
        </w:trPr>
        <w:tc>
          <w:tcPr>
            <w:tcW w:w="1985" w:type="dxa"/>
          </w:tcPr>
          <w:p w:rsidRPr="00800118" w:rsidR="00800118" w:rsidP="006F0321" w:rsidRDefault="00800118" w14:paraId="613A2E77" w14:textId="77777777">
            <w:pPr>
              <w:rPr>
                <w:lang w:val="en-AU"/>
              </w:rPr>
            </w:pPr>
            <w:r w:rsidRPr="00800118">
              <w:rPr>
                <w:lang w:val="en-AU"/>
              </w:rPr>
              <w:t>Incompatibility</w:t>
            </w:r>
          </w:p>
        </w:tc>
        <w:tc>
          <w:tcPr>
            <w:tcW w:w="7116" w:type="dxa"/>
          </w:tcPr>
          <w:p w:rsidRPr="00800118" w:rsidR="00800118" w:rsidP="006F0321" w:rsidRDefault="00800118" w14:paraId="101573AF" w14:textId="77777777">
            <w:pPr>
              <w:rPr>
                <w:lang w:val="en-AU"/>
              </w:rPr>
            </w:pPr>
            <w:r w:rsidRPr="00800118">
              <w:rPr>
                <w:lang w:val="en-AU"/>
              </w:rPr>
              <w:t>Fluids: No information. No information on lipid emulsions.</w:t>
            </w:r>
          </w:p>
          <w:p w:rsidRPr="00800118" w:rsidR="00800118" w:rsidP="006F0321" w:rsidRDefault="00800118" w14:paraId="2203BBFF" w14:textId="77777777">
            <w:pPr>
              <w:rPr>
                <w:lang w:val="en-AU"/>
              </w:rPr>
            </w:pPr>
            <w:r w:rsidRPr="00800118">
              <w:rPr>
                <w:lang w:val="en-AU"/>
              </w:rPr>
              <w:t xml:space="preserve">Incompatible via Y site: Diazepam, furosemide, ibuprofen, lysine and micafungin, pantoprazole. </w:t>
            </w:r>
          </w:p>
        </w:tc>
      </w:tr>
      <w:tr w:rsidRPr="00800118" w:rsidR="00043BF0" w:rsidTr="00943338" w14:paraId="6184B56C" w14:textId="77777777">
        <w:trPr>
          <w:trHeight w:val="89"/>
        </w:trPr>
        <w:tc>
          <w:tcPr>
            <w:tcW w:w="1985" w:type="dxa"/>
          </w:tcPr>
          <w:p w:rsidRPr="00800118" w:rsidR="00800118" w:rsidP="006F0321" w:rsidRDefault="00800118" w14:paraId="06855C7F" w14:textId="77777777">
            <w:pPr>
              <w:rPr>
                <w:lang w:val="en-AU"/>
              </w:rPr>
            </w:pPr>
            <w:r w:rsidRPr="00800118">
              <w:rPr>
                <w:lang w:val="en-AU"/>
              </w:rPr>
              <w:t xml:space="preserve">Stability </w:t>
            </w:r>
          </w:p>
        </w:tc>
        <w:tc>
          <w:tcPr>
            <w:tcW w:w="7116" w:type="dxa"/>
          </w:tcPr>
          <w:p w:rsidRPr="00800118" w:rsidR="00800118" w:rsidP="006F0321" w:rsidRDefault="00800118" w14:paraId="453A1D59" w14:textId="77777777">
            <w:pPr>
              <w:rPr>
                <w:lang w:val="en-AU"/>
              </w:rPr>
            </w:pPr>
            <w:r w:rsidRPr="00800118">
              <w:rPr>
                <w:lang w:val="en-AU"/>
              </w:rPr>
              <w:t>Diluted solution stable for up to 24 hours.</w:t>
            </w:r>
          </w:p>
        </w:tc>
      </w:tr>
      <w:tr w:rsidRPr="00800118" w:rsidR="00043BF0" w:rsidTr="00943338" w14:paraId="78CB8F51" w14:textId="77777777">
        <w:trPr>
          <w:trHeight w:val="167"/>
        </w:trPr>
        <w:tc>
          <w:tcPr>
            <w:tcW w:w="1985" w:type="dxa"/>
          </w:tcPr>
          <w:p w:rsidRPr="00800118" w:rsidR="00800118" w:rsidP="006F0321" w:rsidRDefault="00800118" w14:paraId="3B30E520" w14:textId="77777777">
            <w:pPr>
              <w:rPr>
                <w:lang w:val="en-AU"/>
              </w:rPr>
            </w:pPr>
            <w:r w:rsidRPr="00800118">
              <w:rPr>
                <w:lang w:val="en-AU"/>
              </w:rPr>
              <w:t xml:space="preserve">Storage             </w:t>
            </w:r>
          </w:p>
        </w:tc>
        <w:tc>
          <w:tcPr>
            <w:tcW w:w="7116" w:type="dxa"/>
          </w:tcPr>
          <w:p w:rsidRPr="00800118" w:rsidR="00800118" w:rsidP="006F0321" w:rsidRDefault="00800118" w14:paraId="5DD2BDE3" w14:textId="77777777">
            <w:pPr>
              <w:rPr>
                <w:lang w:val="en-AU"/>
              </w:rPr>
            </w:pPr>
            <w:r w:rsidRPr="00800118">
              <w:rPr>
                <w:u w:val="single"/>
                <w:lang w:val="en-AU"/>
              </w:rPr>
              <w:t>&lt;</w:t>
            </w:r>
            <w:r w:rsidRPr="00800118">
              <w:rPr>
                <w:lang w:val="en-AU"/>
              </w:rPr>
              <w:t xml:space="preserve"> 25°C.</w:t>
            </w:r>
          </w:p>
        </w:tc>
      </w:tr>
      <w:tr w:rsidRPr="00800118" w:rsidR="00043BF0" w:rsidTr="00943338" w14:paraId="3ED76806" w14:textId="77777777">
        <w:trPr>
          <w:trHeight w:val="564"/>
        </w:trPr>
        <w:tc>
          <w:tcPr>
            <w:tcW w:w="1985" w:type="dxa"/>
          </w:tcPr>
          <w:p w:rsidRPr="00800118" w:rsidR="00800118" w:rsidP="006F0321" w:rsidRDefault="00800118" w14:paraId="34461F2C" w14:textId="77777777">
            <w:pPr>
              <w:rPr>
                <w:lang w:val="en-AU"/>
              </w:rPr>
            </w:pPr>
            <w:r w:rsidRPr="00800118">
              <w:rPr>
                <w:lang w:val="en-AU"/>
              </w:rPr>
              <w:t xml:space="preserve">Special Comments       </w:t>
            </w:r>
          </w:p>
          <w:p w:rsidRPr="00800118" w:rsidR="00800118" w:rsidP="006F0321" w:rsidRDefault="00800118" w14:paraId="0126A17F" w14:textId="77777777">
            <w:pPr>
              <w:rPr>
                <w:lang w:val="en-AU"/>
              </w:rPr>
            </w:pPr>
          </w:p>
        </w:tc>
        <w:tc>
          <w:tcPr>
            <w:tcW w:w="7116" w:type="dxa"/>
          </w:tcPr>
          <w:p w:rsidRPr="00800118" w:rsidR="00800118" w:rsidP="006F0321" w:rsidRDefault="00800118" w14:paraId="420E35B1" w14:textId="77777777">
            <w:pPr>
              <w:rPr>
                <w:lang w:val="en-AU"/>
              </w:rPr>
            </w:pPr>
            <w:r w:rsidRPr="00800118">
              <w:rPr>
                <w:lang w:val="en-AU"/>
              </w:rPr>
              <w:t>Muscle relaxation is reversed by neostigmine (50 microgram/kg) and atropine (20 microgram/kg).</w:t>
            </w:r>
          </w:p>
          <w:p w:rsidRPr="00800118" w:rsidR="00800118" w:rsidP="006F0321" w:rsidRDefault="00800118" w14:paraId="362E95C1" w14:textId="77777777">
            <w:pPr>
              <w:rPr>
                <w:lang w:val="en-AU"/>
              </w:rPr>
            </w:pPr>
            <w:r w:rsidRPr="00800118">
              <w:rPr>
                <w:lang w:val="en-AU"/>
              </w:rPr>
              <w:t>Sensation remains intact; sedation &amp; analgesia should be used for painful procedures.</w:t>
            </w:r>
          </w:p>
          <w:p w:rsidRPr="00800118" w:rsidR="00800118" w:rsidP="006F0321" w:rsidRDefault="00800118" w14:paraId="3433D2DF" w14:textId="77777777">
            <w:pPr>
              <w:rPr>
                <w:lang w:val="en-AU"/>
              </w:rPr>
            </w:pPr>
            <w:r w:rsidRPr="00800118">
              <w:rPr>
                <w:lang w:val="en-AU"/>
              </w:rPr>
              <w:t>Provide eye protection and instil lubricating eye drops every 2 hours.</w:t>
            </w:r>
          </w:p>
          <w:p w:rsidRPr="00800118" w:rsidR="00800118" w:rsidP="006F0321" w:rsidRDefault="00800118" w14:paraId="432D92F9" w14:textId="77777777">
            <w:pPr>
              <w:rPr>
                <w:lang w:val="en-AU"/>
              </w:rPr>
            </w:pPr>
            <w:r w:rsidRPr="00800118">
              <w:rPr>
                <w:lang w:val="en-AU"/>
              </w:rPr>
              <w:t>Vecuronium produces less tachycardia and hypotension when compared with pancuronium.</w:t>
            </w:r>
            <w:r w:rsidRPr="00800118">
              <w:rPr>
                <w:vertAlign w:val="superscript"/>
                <w:lang w:val="en-AU"/>
              </w:rPr>
              <w:t>5,6</w:t>
            </w:r>
            <w:r w:rsidRPr="00800118">
              <w:rPr>
                <w:lang w:val="en-AU"/>
              </w:rPr>
              <w:t xml:space="preserve"> </w:t>
            </w:r>
          </w:p>
          <w:p w:rsidRPr="00800118" w:rsidR="00800118" w:rsidP="006F0321" w:rsidRDefault="00800118" w14:paraId="466C2BC1" w14:textId="77777777">
            <w:pPr>
              <w:rPr>
                <w:color w:val="000000"/>
                <w:szCs w:val="24"/>
                <w:lang w:val="en-AU" w:eastAsia="en-AU"/>
              </w:rPr>
            </w:pPr>
            <w:r w:rsidRPr="00800118">
              <w:rPr>
                <w:lang w:val="en-AU"/>
              </w:rPr>
              <w:t>The neuromuscular blockade of vecuronium is of shorter duration than that of pancuronium.</w:t>
            </w:r>
            <w:r w:rsidRPr="00800118">
              <w:rPr>
                <w:vertAlign w:val="superscript"/>
                <w:lang w:val="en-AU"/>
              </w:rPr>
              <w:t>6,7</w:t>
            </w:r>
            <w:r w:rsidRPr="00800118">
              <w:rPr>
                <w:lang w:val="en-AU"/>
              </w:rPr>
              <w:t xml:space="preserve"> </w:t>
            </w:r>
          </w:p>
        </w:tc>
      </w:tr>
      <w:tr w:rsidRPr="00800118" w:rsidR="00043BF0" w:rsidTr="00943338" w14:paraId="38C1C25C" w14:textId="77777777">
        <w:trPr>
          <w:trHeight w:val="458"/>
        </w:trPr>
        <w:tc>
          <w:tcPr>
            <w:tcW w:w="1985" w:type="dxa"/>
          </w:tcPr>
          <w:p w:rsidRPr="00800118" w:rsidR="00800118" w:rsidP="006F0321" w:rsidRDefault="00800118" w14:paraId="68BE9102" w14:textId="77777777">
            <w:pPr>
              <w:rPr>
                <w:lang w:val="en-AU"/>
              </w:rPr>
            </w:pPr>
            <w:r w:rsidRPr="00800118">
              <w:rPr>
                <w:lang w:val="en-AU"/>
              </w:rPr>
              <w:t>Evidence summary</w:t>
            </w:r>
          </w:p>
        </w:tc>
        <w:tc>
          <w:tcPr>
            <w:tcW w:w="7116" w:type="dxa"/>
          </w:tcPr>
          <w:p w:rsidRPr="0045367B" w:rsidR="00800118" w:rsidP="006F0321" w:rsidRDefault="00800118" w14:paraId="71CDE9F7" w14:textId="77777777">
            <w:pPr>
              <w:rPr>
                <w:sz w:val="16"/>
                <w:szCs w:val="16"/>
                <w:lang w:val="en-AU"/>
              </w:rPr>
            </w:pPr>
            <w:r w:rsidRPr="0045367B">
              <w:rPr>
                <w:sz w:val="16"/>
                <w:szCs w:val="16"/>
                <w:lang w:val="en-AU"/>
              </w:rPr>
              <w:t>Efficacy</w:t>
            </w:r>
          </w:p>
          <w:p w:rsidRPr="0045367B" w:rsidR="00800118" w:rsidP="006F0321" w:rsidRDefault="00800118" w14:paraId="0395ACAF" w14:textId="77777777">
            <w:pPr>
              <w:rPr>
                <w:sz w:val="16"/>
                <w:szCs w:val="16"/>
                <w:lang w:val="en-AU"/>
              </w:rPr>
            </w:pPr>
          </w:p>
          <w:p w:rsidRPr="0045367B" w:rsidR="00800118" w:rsidP="006F0321" w:rsidRDefault="00800118" w14:paraId="200E641B" w14:textId="77777777">
            <w:pPr>
              <w:rPr>
                <w:sz w:val="16"/>
                <w:szCs w:val="16"/>
                <w:lang w:val="en-AU"/>
              </w:rPr>
            </w:pPr>
            <w:r w:rsidRPr="0045367B">
              <w:rPr>
                <w:sz w:val="16"/>
                <w:szCs w:val="16"/>
                <w:lang w:val="en-AU"/>
              </w:rPr>
              <w:t>Muscle relaxation</w:t>
            </w:r>
          </w:p>
          <w:p w:rsidRPr="0045367B" w:rsidR="00800118" w:rsidP="006F0321" w:rsidRDefault="00800118" w14:paraId="632331EE" w14:textId="77777777">
            <w:pPr>
              <w:rPr>
                <w:sz w:val="16"/>
                <w:szCs w:val="16"/>
                <w:lang w:val="en-AU"/>
              </w:rPr>
            </w:pPr>
            <w:r w:rsidRPr="0045367B">
              <w:rPr>
                <w:sz w:val="16"/>
                <w:szCs w:val="16"/>
                <w:lang w:val="en-AU"/>
              </w:rPr>
              <w:t>The potency of vecuronium is equal to or slightly greater than pancuronium.</w:t>
            </w:r>
            <w:r w:rsidRPr="0045367B">
              <w:rPr>
                <w:sz w:val="16"/>
                <w:szCs w:val="16"/>
                <w:vertAlign w:val="superscript"/>
                <w:lang w:val="en-AU"/>
              </w:rPr>
              <w:t>7</w:t>
            </w:r>
            <w:r w:rsidRPr="0045367B">
              <w:rPr>
                <w:sz w:val="16"/>
                <w:szCs w:val="16"/>
                <w:lang w:val="en-AU"/>
              </w:rPr>
              <w:t xml:space="preserve"> (LOE II/Grade B) </w:t>
            </w:r>
          </w:p>
          <w:p w:rsidRPr="0045367B" w:rsidR="00800118" w:rsidP="006F0321" w:rsidRDefault="00800118" w14:paraId="583F544C" w14:textId="77777777">
            <w:pPr>
              <w:rPr>
                <w:sz w:val="16"/>
                <w:szCs w:val="16"/>
                <w:lang w:val="en-AU"/>
              </w:rPr>
            </w:pPr>
          </w:p>
          <w:p w:rsidRPr="0045367B" w:rsidR="00800118" w:rsidP="006F0321" w:rsidRDefault="00800118" w14:paraId="1091C37A" w14:textId="77777777">
            <w:pPr>
              <w:rPr>
                <w:sz w:val="16"/>
                <w:szCs w:val="16"/>
                <w:vertAlign w:val="superscript"/>
                <w:lang w:val="en-AU"/>
              </w:rPr>
            </w:pPr>
            <w:r w:rsidRPr="0045367B">
              <w:rPr>
                <w:sz w:val="16"/>
                <w:szCs w:val="16"/>
                <w:lang w:val="en-AU"/>
              </w:rPr>
              <w:t>Vecuronium, although known to be shorter acting than pancuronium, tends to have a duration of action similar to that of long-acting neuromuscular blocking agents in neonates. This is because infants require lower plasma drug concentrations for 50% depression of neuromuscular function and because their volume of distribution is larger than children or adults.</w:t>
            </w:r>
            <w:r w:rsidRPr="0045367B">
              <w:rPr>
                <w:sz w:val="16"/>
                <w:szCs w:val="16"/>
                <w:vertAlign w:val="superscript"/>
                <w:lang w:val="en-AU"/>
              </w:rPr>
              <w:t>8</w:t>
            </w:r>
            <w:r w:rsidRPr="0045367B">
              <w:rPr>
                <w:sz w:val="16"/>
                <w:szCs w:val="16"/>
                <w:lang w:val="en-AU"/>
              </w:rPr>
              <w:t>(LOE II/Grade B)</w:t>
            </w:r>
          </w:p>
          <w:p w:rsidRPr="0045367B" w:rsidR="00800118" w:rsidP="006F0321" w:rsidRDefault="00800118" w14:paraId="4304C6F5" w14:textId="77777777">
            <w:pPr>
              <w:rPr>
                <w:sz w:val="16"/>
                <w:szCs w:val="16"/>
                <w:lang w:val="en-AU" w:eastAsia="en-AU"/>
              </w:rPr>
            </w:pPr>
          </w:p>
          <w:p w:rsidRPr="0045367B" w:rsidR="00800118" w:rsidP="006F0321" w:rsidRDefault="00800118" w14:paraId="29518237" w14:textId="77777777">
            <w:pPr>
              <w:rPr>
                <w:sz w:val="16"/>
                <w:szCs w:val="16"/>
                <w:lang w:val="en-AU" w:eastAsia="en-AU"/>
              </w:rPr>
            </w:pPr>
            <w:r w:rsidRPr="0045367B">
              <w:rPr>
                <w:sz w:val="16"/>
                <w:szCs w:val="16"/>
                <w:lang w:val="en-AU" w:eastAsia="en-AU"/>
              </w:rPr>
              <w:t>A prospective study of continuous-infusion vecuronium, given to facilitate mechanical ventilation, was conducted in 11 infants and children and four neonates.</w:t>
            </w:r>
            <w:r w:rsidRPr="0045367B">
              <w:rPr>
                <w:sz w:val="16"/>
                <w:szCs w:val="16"/>
                <w:vertAlign w:val="superscript"/>
                <w:lang w:val="en-AU" w:eastAsia="en-AU"/>
              </w:rPr>
              <w:t>2</w:t>
            </w:r>
            <w:r w:rsidRPr="0045367B">
              <w:rPr>
                <w:sz w:val="16"/>
                <w:szCs w:val="16"/>
                <w:lang w:val="en-AU" w:eastAsia="en-AU"/>
              </w:rPr>
              <w:t xml:space="preserve"> All patients received a bolus dose followed by a continuous infusion. The degree of neuromuscular blockade was assessed with TOF monitoring and a 10% </w:t>
            </w:r>
            <w:r w:rsidRPr="0045367B">
              <w:rPr>
                <w:sz w:val="16"/>
                <w:szCs w:val="16"/>
                <w:lang w:val="en-AU" w:eastAsia="en-AU"/>
              </w:rPr>
              <w:lastRenderedPageBreak/>
              <w:t>adjustment in dose was made to maintain one twitch of TOF. The mean dose was not statistically significantly different between the infants-children group and the neonate group, with 0.14 ± 0.05 mg/kg/hour and 0.11 ± 0.05 mg/kg/hour, respectively (p &lt; 0.4). Recovery time after discontinuation ranged from 27–80 minutes for all patients. Only in the infants-children group was there a positive correlation between duration of infusion and time to recovery (r = 0.76, p &lt; 0.01). No adverse cardiovascular or toxic effects were noted. A prospective, dose-finding study with vecuronium continuous infusions was conducted in 12 infants and 18 children.</w:t>
            </w:r>
            <w:r w:rsidRPr="0045367B">
              <w:rPr>
                <w:sz w:val="16"/>
                <w:szCs w:val="16"/>
                <w:vertAlign w:val="superscript"/>
                <w:lang w:val="en-AU" w:eastAsia="en-AU"/>
              </w:rPr>
              <w:t>16</w:t>
            </w:r>
            <w:r w:rsidRPr="0045367B">
              <w:rPr>
                <w:sz w:val="16"/>
                <w:szCs w:val="16"/>
                <w:lang w:val="en-AU" w:eastAsia="en-AU"/>
              </w:rPr>
              <w:t xml:space="preserve"> Patients did not receive a bolus dose. Neuromuscular blockade was assessed with TOF monitoring and the dose was titrated by 10% to maintain one twitch of TOF. A statistically significant increase in dose was required for patients older than 1 year versus those younger than 1 year (mean ± standard error of mean [SEM] 98.7 ± 7.07 vs 54.7 ± 4.23 microgram/kg/h, p = 0.0001). No tachyphylaxis was noted with prolonged duration of vecuronium. There was a statistically significant difference in recovery time after cessation of the infusion with a median recovery time of 45 minutes (interquartile range [IQR] 20–51 min) for infants and 65 minutes (IQR 55–103 min) for children (p = 0.0019). The time to spontaneous recovery was not influenced by duration of infusion.</w:t>
            </w:r>
          </w:p>
          <w:p w:rsidRPr="0045367B" w:rsidR="00800118" w:rsidP="006F0321" w:rsidRDefault="00800118" w14:paraId="36FD5052" w14:textId="77777777">
            <w:pPr>
              <w:rPr>
                <w:sz w:val="16"/>
                <w:szCs w:val="16"/>
                <w:lang w:val="en-AU" w:eastAsia="en-AU"/>
              </w:rPr>
            </w:pPr>
          </w:p>
          <w:p w:rsidRPr="0045367B" w:rsidR="00800118" w:rsidP="006F0321" w:rsidRDefault="00800118" w14:paraId="2EFF398C" w14:textId="77777777">
            <w:pPr>
              <w:rPr>
                <w:sz w:val="16"/>
                <w:szCs w:val="16"/>
                <w:lang w:val="en-AU"/>
              </w:rPr>
            </w:pPr>
            <w:r w:rsidRPr="0045367B">
              <w:rPr>
                <w:sz w:val="16"/>
                <w:szCs w:val="16"/>
                <w:lang w:val="en-AU"/>
              </w:rPr>
              <w:t>Safety</w:t>
            </w:r>
          </w:p>
          <w:p w:rsidRPr="0045367B" w:rsidR="00800118" w:rsidP="006F0321" w:rsidRDefault="00800118" w14:paraId="104F8EF2" w14:textId="77777777">
            <w:pPr>
              <w:rPr>
                <w:sz w:val="16"/>
                <w:szCs w:val="16"/>
                <w:vertAlign w:val="superscript"/>
                <w:lang w:val="en-AU"/>
              </w:rPr>
            </w:pPr>
            <w:r w:rsidRPr="0045367B">
              <w:rPr>
                <w:sz w:val="16"/>
                <w:szCs w:val="16"/>
                <w:lang w:val="en-AU"/>
              </w:rPr>
              <w:t>Patients with hepatic and renal failure may experience prolonged neuromuscular blockade.</w:t>
            </w:r>
            <w:r w:rsidRPr="0045367B">
              <w:rPr>
                <w:sz w:val="16"/>
                <w:szCs w:val="16"/>
                <w:vertAlign w:val="superscript"/>
                <w:lang w:val="en-AU"/>
              </w:rPr>
              <w:t>9,11</w:t>
            </w:r>
            <w:r w:rsidRPr="0045367B">
              <w:rPr>
                <w:sz w:val="16"/>
                <w:szCs w:val="16"/>
                <w:lang w:val="en-AU"/>
              </w:rPr>
              <w:t>(LOE II/Grade B)</w:t>
            </w:r>
          </w:p>
          <w:p w:rsidRPr="0045367B" w:rsidR="00800118" w:rsidP="006F0321" w:rsidRDefault="00800118" w14:paraId="572BA0A5" w14:textId="77777777">
            <w:pPr>
              <w:rPr>
                <w:sz w:val="16"/>
                <w:szCs w:val="16"/>
                <w:lang w:val="en-AU"/>
              </w:rPr>
            </w:pPr>
          </w:p>
          <w:p w:rsidRPr="0045367B" w:rsidR="00800118" w:rsidP="006F0321" w:rsidRDefault="00800118" w14:paraId="3FBEC5C3" w14:textId="77777777">
            <w:pPr>
              <w:rPr>
                <w:sz w:val="16"/>
                <w:szCs w:val="16"/>
                <w:vertAlign w:val="superscript"/>
                <w:lang w:val="en-AU"/>
              </w:rPr>
            </w:pPr>
            <w:r w:rsidRPr="0045367B">
              <w:rPr>
                <w:sz w:val="16"/>
                <w:szCs w:val="16"/>
                <w:lang w:val="en-AU"/>
              </w:rPr>
              <w:t>The active metabolite (3-desacetyl-vecuronium) is responsible for the cumulative effect seen with vecuronium administration and the prolonged blockade after long-term infusions in adult patients with renal failure.</w:t>
            </w:r>
            <w:r w:rsidRPr="0045367B">
              <w:rPr>
                <w:sz w:val="16"/>
                <w:szCs w:val="16"/>
                <w:vertAlign w:val="superscript"/>
                <w:lang w:val="en-AU"/>
              </w:rPr>
              <w:t>13</w:t>
            </w:r>
            <w:r w:rsidRPr="0045367B">
              <w:rPr>
                <w:sz w:val="16"/>
                <w:szCs w:val="16"/>
                <w:lang w:val="en-AU"/>
              </w:rPr>
              <w:t>(LOE II/Grade B)</w:t>
            </w:r>
          </w:p>
          <w:p w:rsidRPr="0045367B" w:rsidR="00800118" w:rsidP="006F0321" w:rsidRDefault="00800118" w14:paraId="14B5B24B" w14:textId="77777777">
            <w:pPr>
              <w:rPr>
                <w:sz w:val="16"/>
                <w:szCs w:val="16"/>
                <w:lang w:val="en-AU"/>
              </w:rPr>
            </w:pPr>
          </w:p>
          <w:p w:rsidRPr="0045367B" w:rsidR="00800118" w:rsidP="006F0321" w:rsidRDefault="00800118" w14:paraId="1985A2AB" w14:textId="77777777">
            <w:pPr>
              <w:rPr>
                <w:sz w:val="16"/>
                <w:szCs w:val="16"/>
                <w:lang w:val="en-AU"/>
              </w:rPr>
            </w:pPr>
            <w:r w:rsidRPr="0045367B">
              <w:rPr>
                <w:sz w:val="16"/>
                <w:szCs w:val="16"/>
                <w:lang w:val="en-AU"/>
              </w:rPr>
              <w:t xml:space="preserve">Pharmacokinetics </w:t>
            </w:r>
          </w:p>
          <w:p w:rsidRPr="0045367B" w:rsidR="00800118" w:rsidP="006F0321" w:rsidRDefault="00800118" w14:paraId="36BE2F2C" w14:textId="77777777">
            <w:pPr>
              <w:rPr>
                <w:rFonts w:ascii="BerkeleyStd-Medium" w:eastAsia="BerkeleyStd-Medium" w:cs="BerkeleyStd-Medium"/>
                <w:sz w:val="16"/>
                <w:szCs w:val="16"/>
                <w:lang w:val="en-AU" w:eastAsia="en-AU"/>
              </w:rPr>
            </w:pPr>
            <w:r w:rsidRPr="0045367B">
              <w:rPr>
                <w:sz w:val="16"/>
                <w:szCs w:val="16"/>
                <w:lang w:val="en-AU"/>
              </w:rPr>
              <w:t>Hepatobiliary clearance is the primary route of elimination, accounting for approximately 50% of the dose. Vecuronium is metabolised rapidly in the liver to 3-desacetyl-vecuronium, which is 50–70% as potent as the parent compound. This metabolite is cleared primarily by renal elimination.</w:t>
            </w:r>
          </w:p>
          <w:p w:rsidRPr="0045367B" w:rsidR="00800118" w:rsidP="006F0321" w:rsidRDefault="00800118" w14:paraId="3924758A" w14:textId="77777777">
            <w:pPr>
              <w:rPr>
                <w:sz w:val="16"/>
                <w:szCs w:val="16"/>
                <w:vertAlign w:val="superscript"/>
                <w:lang w:val="en-AU"/>
              </w:rPr>
            </w:pPr>
            <w:r w:rsidRPr="0045367B">
              <w:rPr>
                <w:sz w:val="16"/>
                <w:szCs w:val="16"/>
                <w:lang w:val="en-AU"/>
              </w:rPr>
              <w:t>Approximately 20–30% of vecuronium is excreted unchanged in urine.</w:t>
            </w:r>
            <w:r w:rsidRPr="0045367B">
              <w:rPr>
                <w:sz w:val="16"/>
                <w:szCs w:val="16"/>
                <w:vertAlign w:val="superscript"/>
                <w:lang w:val="en-AU"/>
              </w:rPr>
              <w:t>9,11,12</w:t>
            </w:r>
          </w:p>
          <w:p w:rsidRPr="0045367B" w:rsidR="00800118" w:rsidP="006F0321" w:rsidRDefault="00800118" w14:paraId="46BDFEB5" w14:textId="77777777">
            <w:pPr>
              <w:rPr>
                <w:sz w:val="16"/>
                <w:szCs w:val="16"/>
                <w:lang w:val="en-AU"/>
              </w:rPr>
            </w:pPr>
          </w:p>
          <w:p w:rsidRPr="0045367B" w:rsidR="00800118" w:rsidP="006F0321" w:rsidRDefault="00800118" w14:paraId="01E13BDA" w14:textId="77777777">
            <w:pPr>
              <w:rPr>
                <w:sz w:val="16"/>
                <w:szCs w:val="16"/>
                <w:lang w:val="en-AU"/>
              </w:rPr>
            </w:pPr>
            <w:r w:rsidRPr="0045367B">
              <w:rPr>
                <w:sz w:val="16"/>
                <w:szCs w:val="16"/>
                <w:lang w:val="en-AU"/>
              </w:rPr>
              <w:t>Onset of action is 1 to 2 minutes; duration of action is 30–40 minutes (prolonged with higher doses and in preterm infants).</w:t>
            </w:r>
            <w:r w:rsidRPr="0045367B">
              <w:rPr>
                <w:sz w:val="16"/>
                <w:szCs w:val="16"/>
                <w:vertAlign w:val="superscript"/>
                <w:lang w:val="en-AU"/>
              </w:rPr>
              <w:t>17,18</w:t>
            </w:r>
            <w:r w:rsidRPr="0045367B">
              <w:rPr>
                <w:b/>
                <w:bCs/>
                <w:sz w:val="16"/>
                <w:szCs w:val="16"/>
                <w:lang w:val="en-AU" w:eastAsia="en-AU"/>
              </w:rPr>
              <w:t xml:space="preserve"> </w:t>
            </w:r>
          </w:p>
        </w:tc>
      </w:tr>
      <w:tr w:rsidRPr="00800118" w:rsidR="00043BF0" w:rsidTr="00943338" w14:paraId="4D7946B8" w14:textId="77777777">
        <w:trPr>
          <w:trHeight w:val="534"/>
        </w:trPr>
        <w:tc>
          <w:tcPr>
            <w:tcW w:w="1985" w:type="dxa"/>
          </w:tcPr>
          <w:p w:rsidRPr="00800118" w:rsidR="00800118" w:rsidP="006F0321" w:rsidRDefault="00800118" w14:paraId="7C4A04AF" w14:textId="77777777">
            <w:pPr>
              <w:rPr>
                <w:bCs/>
                <w:lang w:val="en-AU"/>
              </w:rPr>
            </w:pPr>
            <w:r w:rsidRPr="00800118">
              <w:rPr>
                <w:lang w:val="en-AU"/>
              </w:rPr>
              <w:lastRenderedPageBreak/>
              <w:t>References</w:t>
            </w:r>
          </w:p>
        </w:tc>
        <w:tc>
          <w:tcPr>
            <w:tcW w:w="7116" w:type="dxa"/>
          </w:tcPr>
          <w:p w:rsidRPr="0045367B" w:rsidR="00800118" w:rsidP="001B0E05" w:rsidRDefault="00800118" w14:paraId="3EA2A66F" w14:textId="77777777">
            <w:pPr>
              <w:pStyle w:val="ListParagraph"/>
              <w:numPr>
                <w:ilvl w:val="0"/>
                <w:numId w:val="41"/>
              </w:numPr>
              <w:rPr>
                <w:sz w:val="16"/>
                <w:szCs w:val="16"/>
                <w:lang w:val="en-AU"/>
              </w:rPr>
            </w:pPr>
            <w:r w:rsidRPr="0045367B">
              <w:rPr>
                <w:sz w:val="16"/>
                <w:szCs w:val="16"/>
                <w:lang w:val="en-AU"/>
              </w:rPr>
              <w:t>Reich DL, Hollinger I, Harrington DJ, Seiden HS, Chakravorti S, Cook DR. Comparison of cisatracurium and vecuronium by infusion in neonates and small infants after congenital heart surgery. Anesthesiology. 2004;101(5):1122-1127.</w:t>
            </w:r>
          </w:p>
          <w:p w:rsidRPr="0045367B" w:rsidR="00800118" w:rsidP="001B0E05" w:rsidRDefault="00800118" w14:paraId="00D7C9B8" w14:textId="77777777">
            <w:pPr>
              <w:pStyle w:val="ListParagraph"/>
              <w:numPr>
                <w:ilvl w:val="0"/>
                <w:numId w:val="41"/>
              </w:numPr>
              <w:rPr>
                <w:sz w:val="16"/>
                <w:szCs w:val="16"/>
                <w:lang w:val="en-AU"/>
              </w:rPr>
            </w:pPr>
            <w:r w:rsidRPr="0045367B">
              <w:rPr>
                <w:sz w:val="16"/>
                <w:szCs w:val="16"/>
                <w:lang w:val="en-AU"/>
              </w:rPr>
              <w:t>Fitzpatrick KT, Black GW, Crean PM, Mirakhur RK. Continuous vecuronium infusion for prolonged muscle relaxation in children. Can J Anaesth 1991;38(2):169-174.</w:t>
            </w:r>
          </w:p>
          <w:p w:rsidRPr="0045367B" w:rsidR="00800118" w:rsidP="001B0E05" w:rsidRDefault="00800118" w14:paraId="71623FB4" w14:textId="77777777">
            <w:pPr>
              <w:pStyle w:val="ListParagraph"/>
              <w:numPr>
                <w:ilvl w:val="0"/>
                <w:numId w:val="41"/>
              </w:numPr>
              <w:rPr>
                <w:sz w:val="16"/>
                <w:szCs w:val="16"/>
                <w:lang w:val="en-AU"/>
              </w:rPr>
            </w:pPr>
            <w:r w:rsidRPr="0045367B">
              <w:rPr>
                <w:sz w:val="16"/>
                <w:szCs w:val="16"/>
                <w:lang w:val="en-AU"/>
              </w:rPr>
              <w:t>Costarino AT, Polin RA. Neuromuscular relaxants in the neonate. Clin Perinatol 1987;14(4):965-989.</w:t>
            </w:r>
          </w:p>
          <w:p w:rsidRPr="0045367B" w:rsidR="00800118" w:rsidP="001B0E05" w:rsidRDefault="00800118" w14:paraId="6132CE82" w14:textId="77777777">
            <w:pPr>
              <w:pStyle w:val="ListParagraph"/>
              <w:numPr>
                <w:ilvl w:val="0"/>
                <w:numId w:val="41"/>
              </w:numPr>
              <w:rPr>
                <w:sz w:val="16"/>
                <w:szCs w:val="16"/>
                <w:lang w:val="en-AU"/>
              </w:rPr>
            </w:pPr>
            <w:r w:rsidRPr="0045367B">
              <w:rPr>
                <w:sz w:val="16"/>
                <w:szCs w:val="16"/>
                <w:lang w:val="en-AU"/>
              </w:rPr>
              <w:t>Murray MJ, Cowen J, DeBlock H, et al, Clinical Practice Guidelines for Sustained Neuromuscular Blockade in the Adult Critically Ill Patient. Task Force of the American College of Critical Care Medicine (ACCM) of the Society of Critical Care Medicine (SCCM), American Society of Health-System Pharmacists, American College of Chest Physicians. Crit Care Med 2002;30(1):142-56.</w:t>
            </w:r>
          </w:p>
          <w:p w:rsidRPr="0045367B" w:rsidR="00800118" w:rsidP="001B0E05" w:rsidRDefault="00800118" w14:paraId="752928D1" w14:textId="77777777">
            <w:pPr>
              <w:pStyle w:val="ListParagraph"/>
              <w:numPr>
                <w:ilvl w:val="0"/>
                <w:numId w:val="41"/>
              </w:numPr>
              <w:rPr>
                <w:sz w:val="16"/>
                <w:szCs w:val="16"/>
                <w:lang w:val="en-AU"/>
              </w:rPr>
            </w:pPr>
            <w:r w:rsidRPr="0045367B">
              <w:rPr>
                <w:sz w:val="16"/>
                <w:szCs w:val="16"/>
                <w:lang w:val="en-AU"/>
              </w:rPr>
              <w:t>Basta SJ, Savarese JJ, Ali HH et al. Vecuronium does not alter serum histamine within the clinical dose range. Anesthesiology 1983;59:A273.</w:t>
            </w:r>
          </w:p>
          <w:p w:rsidRPr="0045367B" w:rsidR="00800118" w:rsidP="001B0E05" w:rsidRDefault="00800118" w14:paraId="470FC0BA" w14:textId="77777777">
            <w:pPr>
              <w:pStyle w:val="ListParagraph"/>
              <w:numPr>
                <w:ilvl w:val="0"/>
                <w:numId w:val="41"/>
              </w:numPr>
              <w:rPr>
                <w:sz w:val="16"/>
                <w:szCs w:val="16"/>
                <w:lang w:val="en-AU"/>
              </w:rPr>
            </w:pPr>
            <w:r w:rsidRPr="0045367B">
              <w:rPr>
                <w:sz w:val="16"/>
                <w:szCs w:val="16"/>
                <w:lang w:val="en-AU"/>
              </w:rPr>
              <w:t>Son SL, Waud BE, Waud DR. A comparison of the neuromuscular blocking and vagolytic effects of ORG NC45 and pancuronium . Anesthesiology 1981;55:12–18.</w:t>
            </w:r>
          </w:p>
          <w:p w:rsidRPr="0045367B" w:rsidR="00800118" w:rsidP="001B0E05" w:rsidRDefault="006B3E26" w14:paraId="42618180" w14:textId="77777777">
            <w:pPr>
              <w:pStyle w:val="ListParagraph"/>
              <w:numPr>
                <w:ilvl w:val="0"/>
                <w:numId w:val="41"/>
              </w:numPr>
              <w:rPr>
                <w:sz w:val="16"/>
                <w:szCs w:val="16"/>
                <w:lang w:val="en-AU"/>
              </w:rPr>
            </w:pPr>
            <w:hyperlink w:history="1" r:id="rId82">
              <w:r w:rsidRPr="0045367B" w:rsidR="00800118">
                <w:rPr>
                  <w:sz w:val="16"/>
                  <w:szCs w:val="16"/>
                  <w:lang w:val="en-AU"/>
                </w:rPr>
                <w:t>Krieg N</w:t>
              </w:r>
            </w:hyperlink>
            <w:r w:rsidRPr="0045367B" w:rsidR="00800118">
              <w:rPr>
                <w:sz w:val="16"/>
                <w:szCs w:val="16"/>
                <w:lang w:val="en-AU"/>
              </w:rPr>
              <w:t xml:space="preserve">, </w:t>
            </w:r>
            <w:hyperlink w:history="1" r:id="rId83">
              <w:r w:rsidRPr="0045367B" w:rsidR="00800118">
                <w:rPr>
                  <w:sz w:val="16"/>
                  <w:szCs w:val="16"/>
                  <w:lang w:val="en-AU"/>
                </w:rPr>
                <w:t>Crul JF</w:t>
              </w:r>
            </w:hyperlink>
            <w:r w:rsidRPr="0045367B" w:rsidR="00800118">
              <w:rPr>
                <w:sz w:val="16"/>
                <w:szCs w:val="16"/>
                <w:lang w:val="en-AU"/>
              </w:rPr>
              <w:t xml:space="preserve">, </w:t>
            </w:r>
            <w:hyperlink w:history="1" r:id="rId84">
              <w:r w:rsidRPr="0045367B" w:rsidR="00800118">
                <w:rPr>
                  <w:sz w:val="16"/>
                  <w:szCs w:val="16"/>
                  <w:lang w:val="en-AU"/>
                </w:rPr>
                <w:t>Booij LH</w:t>
              </w:r>
            </w:hyperlink>
            <w:r w:rsidRPr="0045367B" w:rsidR="00800118">
              <w:rPr>
                <w:sz w:val="16"/>
                <w:szCs w:val="16"/>
                <w:lang w:val="en-AU"/>
              </w:rPr>
              <w:t xml:space="preserve">. Relative potency of ORG NC 45, pancuronium, alcuronium and tubocurarine in anaesthetized man. </w:t>
            </w:r>
            <w:hyperlink w:tooltip="British journal of anaesthesia." w:history="1" r:id="rId85">
              <w:r w:rsidRPr="0045367B" w:rsidR="00800118">
                <w:rPr>
                  <w:sz w:val="16"/>
                  <w:szCs w:val="16"/>
                  <w:lang w:val="en-AU"/>
                </w:rPr>
                <w:t>Br J Anaesth</w:t>
              </w:r>
            </w:hyperlink>
            <w:r w:rsidRPr="0045367B" w:rsidR="00800118">
              <w:rPr>
                <w:sz w:val="16"/>
                <w:szCs w:val="16"/>
                <w:lang w:val="en-AU"/>
              </w:rPr>
              <w:t xml:space="preserve"> 1980;52(8):783-8.</w:t>
            </w:r>
          </w:p>
          <w:p w:rsidRPr="0045367B" w:rsidR="00800118" w:rsidP="001B0E05" w:rsidRDefault="00800118" w14:paraId="31B1F4DA" w14:textId="77777777">
            <w:pPr>
              <w:pStyle w:val="ListParagraph"/>
              <w:numPr>
                <w:ilvl w:val="0"/>
                <w:numId w:val="41"/>
              </w:numPr>
              <w:rPr>
                <w:sz w:val="16"/>
                <w:szCs w:val="16"/>
                <w:lang w:val="en-AU"/>
              </w:rPr>
            </w:pPr>
            <w:r w:rsidRPr="0045367B">
              <w:rPr>
                <w:sz w:val="16"/>
                <w:szCs w:val="16"/>
                <w:lang w:val="en-AU"/>
              </w:rPr>
              <w:t>Meretoja OA. Is vecuronium a long-acting neuromuscular blocking agent in neonates and infants? Br J Anaesth 1989;62:184-187.</w:t>
            </w:r>
          </w:p>
          <w:p w:rsidRPr="0045367B" w:rsidR="00800118" w:rsidP="001B0E05" w:rsidRDefault="00800118" w14:paraId="130B1183" w14:textId="77777777">
            <w:pPr>
              <w:pStyle w:val="ListParagraph"/>
              <w:numPr>
                <w:ilvl w:val="0"/>
                <w:numId w:val="41"/>
              </w:numPr>
              <w:rPr>
                <w:sz w:val="16"/>
                <w:szCs w:val="16"/>
                <w:lang w:val="en-AU"/>
              </w:rPr>
            </w:pPr>
            <w:r w:rsidRPr="0045367B">
              <w:rPr>
                <w:sz w:val="16"/>
                <w:szCs w:val="16"/>
                <w:lang w:val="en-AU"/>
              </w:rPr>
              <w:t>Bencini AF, Scaf AHJ, Sohn YJ, Kersten-Kleef UW, Agoston S. Hepatobiliary disposition of vecuronium bromide in man. Br J Anaesth 1986;58:988</w:t>
            </w:r>
            <w:r w:rsidRPr="0045367B">
              <w:rPr>
                <w:rFonts w:hint="eastAsia"/>
                <w:sz w:val="16"/>
                <w:szCs w:val="16"/>
                <w:lang w:val="en-AU"/>
              </w:rPr>
              <w:t>–</w:t>
            </w:r>
            <w:r w:rsidRPr="0045367B">
              <w:rPr>
                <w:sz w:val="16"/>
                <w:szCs w:val="16"/>
                <w:lang w:val="en-AU"/>
              </w:rPr>
              <w:t>95.</w:t>
            </w:r>
          </w:p>
          <w:p w:rsidRPr="0045367B" w:rsidR="00800118" w:rsidP="001B0E05" w:rsidRDefault="00800118" w14:paraId="2AAB788D" w14:textId="77777777">
            <w:pPr>
              <w:pStyle w:val="ListParagraph"/>
              <w:numPr>
                <w:ilvl w:val="0"/>
                <w:numId w:val="41"/>
              </w:numPr>
              <w:rPr>
                <w:sz w:val="16"/>
                <w:szCs w:val="16"/>
                <w:lang w:val="en-AU"/>
              </w:rPr>
            </w:pPr>
            <w:r w:rsidRPr="0045367B">
              <w:rPr>
                <w:sz w:val="16"/>
                <w:szCs w:val="16"/>
                <w:lang w:val="en-AU"/>
              </w:rPr>
              <w:t>Martin LD, Bratton SL, O’Rourke PP. Clinical uses and controversies of neuromuscular blocking agents in infants and children. Crit Care Med 1999;27:1358</w:t>
            </w:r>
            <w:r w:rsidRPr="0045367B">
              <w:rPr>
                <w:rFonts w:hint="eastAsia"/>
                <w:sz w:val="16"/>
                <w:szCs w:val="16"/>
                <w:lang w:val="en-AU"/>
              </w:rPr>
              <w:t>–</w:t>
            </w:r>
            <w:r w:rsidRPr="0045367B">
              <w:rPr>
                <w:sz w:val="16"/>
                <w:szCs w:val="16"/>
                <w:lang w:val="en-AU"/>
              </w:rPr>
              <w:t>68.</w:t>
            </w:r>
          </w:p>
          <w:p w:rsidRPr="0045367B" w:rsidR="00800118" w:rsidP="001B0E05" w:rsidRDefault="00800118" w14:paraId="0F3C8846" w14:textId="77777777">
            <w:pPr>
              <w:pStyle w:val="ListParagraph"/>
              <w:numPr>
                <w:ilvl w:val="0"/>
                <w:numId w:val="41"/>
              </w:numPr>
              <w:rPr>
                <w:sz w:val="16"/>
                <w:szCs w:val="16"/>
                <w:lang w:val="en-AU"/>
              </w:rPr>
            </w:pPr>
            <w:r w:rsidRPr="0045367B">
              <w:rPr>
                <w:sz w:val="16"/>
                <w:szCs w:val="16"/>
                <w:lang w:val="en-AU"/>
              </w:rPr>
              <w:t>Lynamd P, Cronnellry, Castagnoklip, Canfellpv C et al. The pharmacodynamics and pharmacokinetics of vecuronium in patients anesthetized with isoflurane with normal renal function or with renal failure. Anesthesiology 1988;69:227-31.</w:t>
            </w:r>
          </w:p>
          <w:p w:rsidRPr="0045367B" w:rsidR="00800118" w:rsidP="001B0E05" w:rsidRDefault="00800118" w14:paraId="2044B11C" w14:textId="77777777">
            <w:pPr>
              <w:pStyle w:val="ListParagraph"/>
              <w:numPr>
                <w:ilvl w:val="0"/>
                <w:numId w:val="41"/>
              </w:numPr>
              <w:rPr>
                <w:sz w:val="16"/>
                <w:szCs w:val="16"/>
                <w:lang w:val="en-AU"/>
              </w:rPr>
            </w:pPr>
            <w:r w:rsidRPr="0045367B">
              <w:rPr>
                <w:sz w:val="16"/>
                <w:szCs w:val="16"/>
                <w:lang w:val="en-AU"/>
              </w:rPr>
              <w:t>Fisher DM, Castagnoli K, Miller RD. Vecuronium kinetics and dynamics in anesthetized infants and children. Clin Pharmacol Ther 1985;37(4):402-406.</w:t>
            </w:r>
          </w:p>
          <w:p w:rsidRPr="0045367B" w:rsidR="00800118" w:rsidP="001B0E05" w:rsidRDefault="00800118" w14:paraId="064B442F" w14:textId="77777777">
            <w:pPr>
              <w:pStyle w:val="ListParagraph"/>
              <w:numPr>
                <w:ilvl w:val="0"/>
                <w:numId w:val="41"/>
              </w:numPr>
              <w:rPr>
                <w:sz w:val="16"/>
                <w:szCs w:val="16"/>
                <w:lang w:val="en-AU"/>
              </w:rPr>
            </w:pPr>
            <w:r w:rsidRPr="0045367B">
              <w:rPr>
                <w:sz w:val="16"/>
                <w:szCs w:val="16"/>
                <w:lang w:val="en-AU"/>
              </w:rPr>
              <w:t>Segredo V, Caldwell JE, Matthay MA, et al: Persistent paralysis in critically ill patients after long-term administration of vecuronium. N Engl J Med 1992;327:524-528.</w:t>
            </w:r>
          </w:p>
          <w:p w:rsidRPr="0045367B" w:rsidR="00800118" w:rsidP="001B0E05" w:rsidRDefault="00800118" w14:paraId="10837DB8" w14:textId="77777777">
            <w:pPr>
              <w:pStyle w:val="ListParagraph"/>
              <w:numPr>
                <w:ilvl w:val="0"/>
                <w:numId w:val="41"/>
              </w:numPr>
              <w:rPr>
                <w:sz w:val="16"/>
                <w:szCs w:val="16"/>
                <w:lang w:val="en-AU"/>
              </w:rPr>
            </w:pPr>
            <w:r w:rsidRPr="0045367B">
              <w:rPr>
                <w:sz w:val="16"/>
                <w:szCs w:val="16"/>
                <w:lang w:val="en-AU"/>
              </w:rPr>
              <w:t>Haynes SR, Morton NS. Prolonged neuromuscular blockade with vecuronium in a neonate with renal failure.</w:t>
            </w:r>
            <w:r w:rsidRPr="0045367B">
              <w:rPr>
                <w:iCs/>
                <w:sz w:val="16"/>
                <w:szCs w:val="16"/>
                <w:lang w:val="en-AU" w:eastAsia="en-AU"/>
              </w:rPr>
              <w:t xml:space="preserve"> </w:t>
            </w:r>
            <w:r w:rsidRPr="0045367B">
              <w:rPr>
                <w:sz w:val="16"/>
                <w:szCs w:val="16"/>
                <w:lang w:val="en-AU"/>
              </w:rPr>
              <w:t>Anaesthesia 1990;45:743-745.</w:t>
            </w:r>
          </w:p>
          <w:p w:rsidRPr="0045367B" w:rsidR="00800118" w:rsidP="001B0E05" w:rsidRDefault="00800118" w14:paraId="1F7AA9A1" w14:textId="77777777">
            <w:pPr>
              <w:pStyle w:val="ListParagraph"/>
              <w:numPr>
                <w:ilvl w:val="0"/>
                <w:numId w:val="41"/>
              </w:numPr>
              <w:rPr>
                <w:sz w:val="16"/>
                <w:szCs w:val="16"/>
                <w:lang w:val="en-AU"/>
              </w:rPr>
            </w:pPr>
            <w:r w:rsidRPr="0045367B">
              <w:rPr>
                <w:sz w:val="16"/>
                <w:szCs w:val="16"/>
                <w:lang w:val="en-AU"/>
              </w:rPr>
              <w:t>Playfor S, Jenkins I, Boyles C, et al. Consensus guidelines for sustained neuromuscular blockade in critically ill children. Paediatr Anaesth 2007;17:881–7.</w:t>
            </w:r>
          </w:p>
          <w:p w:rsidRPr="0045367B" w:rsidR="00800118" w:rsidP="001B0E05" w:rsidRDefault="00800118" w14:paraId="3FCA384A" w14:textId="77777777">
            <w:pPr>
              <w:pStyle w:val="ListParagraph"/>
              <w:numPr>
                <w:ilvl w:val="0"/>
                <w:numId w:val="41"/>
              </w:numPr>
              <w:rPr>
                <w:sz w:val="16"/>
                <w:szCs w:val="16"/>
                <w:lang w:val="en-AU"/>
              </w:rPr>
            </w:pPr>
            <w:r w:rsidRPr="0045367B">
              <w:rPr>
                <w:sz w:val="16"/>
                <w:szCs w:val="16"/>
                <w:lang w:val="en-AU"/>
              </w:rPr>
              <w:t>Hodges UM. Vecuronium infusion requirements in paediatric patients in intensive care units: the use of acceleromyography. Br J Anaesth 1996;76:23–8.</w:t>
            </w:r>
          </w:p>
          <w:p w:rsidRPr="0045367B" w:rsidR="00800118" w:rsidP="001B0E05" w:rsidRDefault="00800118" w14:paraId="4BDE4E91" w14:textId="77777777">
            <w:pPr>
              <w:pStyle w:val="ListParagraph"/>
              <w:numPr>
                <w:ilvl w:val="0"/>
                <w:numId w:val="41"/>
              </w:numPr>
              <w:rPr>
                <w:sz w:val="16"/>
                <w:szCs w:val="16"/>
                <w:lang w:val="en-AU"/>
              </w:rPr>
            </w:pPr>
            <w:r w:rsidRPr="0045367B">
              <w:rPr>
                <w:sz w:val="16"/>
                <w:szCs w:val="16"/>
                <w:lang w:val="en-AU"/>
              </w:rPr>
              <w:lastRenderedPageBreak/>
              <w:t>Johnson PN, Miller J, Gormley AK. Continuous‐Infusion Neuromuscular Blocking Agents in Critically Ill Neonates and Children. Pharmacotherapy: The Journal of Human Pharmacology and Drug Therapy. 2011 Jun 1;31(6):609-20.</w:t>
            </w:r>
          </w:p>
          <w:p w:rsidRPr="0045367B" w:rsidR="00800118" w:rsidP="001B0E05" w:rsidRDefault="00800118" w14:paraId="2A78E8CB" w14:textId="77777777">
            <w:pPr>
              <w:pStyle w:val="ListParagraph"/>
              <w:numPr>
                <w:ilvl w:val="0"/>
                <w:numId w:val="41"/>
              </w:numPr>
              <w:rPr>
                <w:sz w:val="16"/>
                <w:szCs w:val="16"/>
                <w:lang w:val="en-AU"/>
              </w:rPr>
            </w:pPr>
            <w:r w:rsidRPr="0045367B">
              <w:rPr>
                <w:sz w:val="16"/>
                <w:szCs w:val="16"/>
                <w:lang w:val="en-AU"/>
              </w:rPr>
              <w:t>Micromedex solutions. Accessed on 13 December 2016.</w:t>
            </w:r>
          </w:p>
          <w:p w:rsidRPr="0045367B" w:rsidR="00800118" w:rsidP="001B0E05" w:rsidRDefault="00800118" w14:paraId="7B877E99" w14:textId="77777777">
            <w:pPr>
              <w:pStyle w:val="ListParagraph"/>
              <w:numPr>
                <w:ilvl w:val="0"/>
                <w:numId w:val="41"/>
              </w:numPr>
              <w:rPr>
                <w:sz w:val="16"/>
                <w:szCs w:val="16"/>
                <w:lang w:val="en-AU"/>
              </w:rPr>
            </w:pPr>
            <w:r w:rsidRPr="0045367B">
              <w:rPr>
                <w:sz w:val="16"/>
                <w:szCs w:val="16"/>
                <w:lang w:val="en-AU"/>
              </w:rPr>
              <w:t>Australian Injectable Drugs Handbook. 16</w:t>
            </w:r>
            <w:r w:rsidRPr="0045367B">
              <w:rPr>
                <w:sz w:val="16"/>
                <w:szCs w:val="16"/>
                <w:vertAlign w:val="superscript"/>
                <w:lang w:val="en-AU"/>
              </w:rPr>
              <w:t>th</w:t>
            </w:r>
            <w:r w:rsidRPr="0045367B">
              <w:rPr>
                <w:sz w:val="16"/>
                <w:szCs w:val="16"/>
                <w:lang w:val="en-AU"/>
              </w:rPr>
              <w:t xml:space="preserve"> Edition. Accessed on 28 February 2017.</w:t>
            </w:r>
          </w:p>
          <w:p w:rsidRPr="0045367B" w:rsidR="00800118" w:rsidP="001B0E05" w:rsidRDefault="00800118" w14:paraId="18109F08" w14:textId="77777777">
            <w:pPr>
              <w:pStyle w:val="ListParagraph"/>
              <w:numPr>
                <w:ilvl w:val="0"/>
                <w:numId w:val="41"/>
              </w:numPr>
              <w:rPr>
                <w:sz w:val="16"/>
                <w:szCs w:val="16"/>
                <w:lang w:val="en-AU"/>
              </w:rPr>
            </w:pPr>
            <w:r w:rsidRPr="0045367B">
              <w:rPr>
                <w:sz w:val="16"/>
                <w:szCs w:val="16"/>
                <w:lang w:val="en-AU"/>
              </w:rPr>
              <w:t xml:space="preserve"> McEvoy CI, Sardesai S, Schilling D, Durand M. Acute effects of vecuronium on pulmonary function and hypoxemic episodes in preterm infants. Pediatrics International. 2007 Oct 1;49(5):631-6.</w:t>
            </w:r>
          </w:p>
          <w:p w:rsidRPr="0045367B" w:rsidR="00800118" w:rsidP="001B0E05" w:rsidRDefault="00800118" w14:paraId="50B1BBAA" w14:textId="77777777">
            <w:pPr>
              <w:pStyle w:val="ListParagraph"/>
              <w:numPr>
                <w:ilvl w:val="0"/>
                <w:numId w:val="41"/>
              </w:numPr>
              <w:rPr>
                <w:sz w:val="16"/>
                <w:szCs w:val="16"/>
                <w:lang w:val="en-AU"/>
              </w:rPr>
            </w:pPr>
            <w:r w:rsidRPr="0045367B">
              <w:rPr>
                <w:sz w:val="16"/>
                <w:szCs w:val="16"/>
                <w:lang w:val="en-AU"/>
              </w:rPr>
              <w:t xml:space="preserve">Eldadah MK, Newth CJ. Vecuronium by continuous infusion for neuromuscular blockade in infants and children. Critical care medicine. 1989 Oct 1;17(10):989-92 </w:t>
            </w:r>
          </w:p>
        </w:tc>
      </w:tr>
    </w:tbl>
    <w:p w:rsidRPr="00800118" w:rsidR="00800118" w:rsidP="006F0321" w:rsidRDefault="00800118" w14:paraId="409AD224" w14:textId="77777777">
      <w:pPr>
        <w:rPr>
          <w:lang w:val="en-AU"/>
        </w:rPr>
      </w:pPr>
    </w:p>
    <w:tbl>
      <w:tblPr>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92"/>
        <w:gridCol w:w="4770"/>
      </w:tblGrid>
      <w:tr w:rsidRPr="00800118" w:rsidR="0020431B" w:rsidTr="00800118" w14:paraId="0E4D81E8" w14:textId="77777777">
        <w:tc>
          <w:tcPr>
            <w:tcW w:w="4192" w:type="dxa"/>
            <w:vAlign w:val="center"/>
          </w:tcPr>
          <w:p w:rsidRPr="00800118" w:rsidR="00800118" w:rsidP="006F0321" w:rsidRDefault="00800118" w14:paraId="0E7C8BFE" w14:textId="77777777">
            <w:pPr>
              <w:rPr>
                <w:lang w:val="en-AU"/>
              </w:rPr>
            </w:pPr>
            <w:r w:rsidRPr="00800118">
              <w:rPr>
                <w:lang w:val="en-AU"/>
              </w:rPr>
              <w:t>Original version Date: 10/04/2017</w:t>
            </w:r>
          </w:p>
        </w:tc>
        <w:tc>
          <w:tcPr>
            <w:tcW w:w="4770" w:type="dxa"/>
            <w:vAlign w:val="center"/>
          </w:tcPr>
          <w:p w:rsidRPr="00800118" w:rsidR="00800118" w:rsidP="006F0321" w:rsidRDefault="00800118" w14:paraId="5B134BBD" w14:textId="77777777">
            <w:pPr>
              <w:rPr>
                <w:lang w:val="en-AU"/>
              </w:rPr>
            </w:pPr>
            <w:r w:rsidRPr="00800118">
              <w:rPr>
                <w:lang w:val="en-AU"/>
              </w:rPr>
              <w:t>Author: ANMF Consensus Group</w:t>
            </w:r>
          </w:p>
        </w:tc>
      </w:tr>
      <w:tr w:rsidRPr="00800118" w:rsidR="0020431B" w:rsidTr="00800118" w14:paraId="0E4E01BB" w14:textId="77777777">
        <w:tc>
          <w:tcPr>
            <w:tcW w:w="4192" w:type="dxa"/>
            <w:vAlign w:val="center"/>
          </w:tcPr>
          <w:p w:rsidRPr="00800118" w:rsidR="00800118" w:rsidP="006F0321" w:rsidRDefault="00800118" w14:paraId="4E7D5881" w14:textId="77777777">
            <w:pPr>
              <w:rPr>
                <w:bCs/>
                <w:lang w:val="en-AU"/>
              </w:rPr>
            </w:pPr>
            <w:r w:rsidRPr="00800118">
              <w:rPr>
                <w:lang w:val="en-AU"/>
              </w:rPr>
              <w:t>Current Version number:  2.0</w:t>
            </w:r>
          </w:p>
        </w:tc>
        <w:tc>
          <w:tcPr>
            <w:tcW w:w="4770" w:type="dxa"/>
            <w:vAlign w:val="center"/>
          </w:tcPr>
          <w:p w:rsidRPr="00800118" w:rsidR="00800118" w:rsidP="006F0321" w:rsidRDefault="00800118" w14:paraId="39B921AF" w14:textId="77777777">
            <w:pPr>
              <w:rPr>
                <w:lang w:val="en-AU"/>
              </w:rPr>
            </w:pPr>
            <w:r w:rsidRPr="00800118">
              <w:rPr>
                <w:lang w:val="en-AU"/>
              </w:rPr>
              <w:t>Version Date:  27/06/2019</w:t>
            </w:r>
          </w:p>
        </w:tc>
      </w:tr>
      <w:tr w:rsidRPr="00800118" w:rsidR="0020431B" w:rsidTr="00800118" w14:paraId="1376F5EE" w14:textId="77777777">
        <w:tc>
          <w:tcPr>
            <w:tcW w:w="4192" w:type="dxa"/>
            <w:vAlign w:val="center"/>
          </w:tcPr>
          <w:p w:rsidRPr="00800118" w:rsidR="00800118" w:rsidP="006F0321" w:rsidRDefault="00800118" w14:paraId="61A51D87" w14:textId="77777777">
            <w:pPr>
              <w:rPr>
                <w:lang w:val="en-AU"/>
              </w:rPr>
            </w:pPr>
            <w:r w:rsidRPr="00800118">
              <w:rPr>
                <w:lang w:val="en-AU"/>
              </w:rPr>
              <w:t>Risk Rating: Medium</w:t>
            </w:r>
          </w:p>
        </w:tc>
        <w:tc>
          <w:tcPr>
            <w:tcW w:w="4770" w:type="dxa"/>
            <w:vAlign w:val="center"/>
          </w:tcPr>
          <w:p w:rsidRPr="00800118" w:rsidR="00800118" w:rsidP="006F0321" w:rsidRDefault="00800118" w14:paraId="166A9F89" w14:textId="77777777">
            <w:pPr>
              <w:rPr>
                <w:lang w:val="en-AU"/>
              </w:rPr>
            </w:pPr>
            <w:r w:rsidRPr="00800118">
              <w:rPr>
                <w:lang w:val="en-AU"/>
              </w:rPr>
              <w:t>Due for Review:  27/06/2022</w:t>
            </w:r>
          </w:p>
        </w:tc>
      </w:tr>
      <w:tr w:rsidRPr="00800118" w:rsidR="0020431B" w:rsidTr="00800118" w14:paraId="41F7A453" w14:textId="77777777">
        <w:trPr>
          <w:trHeight w:val="344"/>
        </w:trPr>
        <w:tc>
          <w:tcPr>
            <w:tcW w:w="4192" w:type="dxa"/>
            <w:tcBorders>
              <w:bottom w:val="single" w:color="auto" w:sz="4" w:space="0"/>
            </w:tcBorders>
            <w:vAlign w:val="center"/>
          </w:tcPr>
          <w:p w:rsidRPr="00800118" w:rsidR="00800118" w:rsidP="006F0321" w:rsidRDefault="00800118" w14:paraId="55C576EA" w14:textId="77777777">
            <w:pPr>
              <w:rPr>
                <w:lang w:val="en-AU"/>
              </w:rPr>
            </w:pPr>
            <w:r w:rsidRPr="00800118">
              <w:rPr>
                <w:lang w:val="en-AU"/>
              </w:rPr>
              <w:t xml:space="preserve">Approved by: </w:t>
            </w:r>
            <w:r>
              <w:rPr>
                <w:lang w:val="en-AU"/>
              </w:rPr>
              <w:t>DTC</w:t>
            </w:r>
          </w:p>
        </w:tc>
        <w:tc>
          <w:tcPr>
            <w:tcW w:w="4770" w:type="dxa"/>
            <w:tcBorders>
              <w:bottom w:val="single" w:color="auto" w:sz="4" w:space="0"/>
            </w:tcBorders>
            <w:vAlign w:val="center"/>
          </w:tcPr>
          <w:p w:rsidRPr="00800118" w:rsidR="00800118" w:rsidP="006F0321" w:rsidRDefault="00800118" w14:paraId="136FC57A" w14:textId="77777777">
            <w:pPr>
              <w:rPr>
                <w:lang w:val="en-AU"/>
              </w:rPr>
            </w:pPr>
            <w:r w:rsidRPr="00800118">
              <w:rPr>
                <w:lang w:val="en-AU"/>
              </w:rPr>
              <w:t xml:space="preserve">Approval Date: </w:t>
            </w:r>
            <w:r>
              <w:rPr>
                <w:lang w:val="en-AU"/>
              </w:rPr>
              <w:t>October 2019</w:t>
            </w:r>
          </w:p>
        </w:tc>
      </w:tr>
    </w:tbl>
    <w:p w:rsidR="00F45A7B" w:rsidP="006F0321" w:rsidRDefault="00F45A7B" w14:paraId="5467D72C" w14:textId="77777777"/>
    <w:p w:rsidR="00F45A7B" w:rsidP="006F0321" w:rsidRDefault="00F45A7B" w14:paraId="2EB696B7" w14:textId="77777777"/>
    <w:p w:rsidR="00943338" w:rsidRDefault="00943338" w14:paraId="2DC0BB41" w14:textId="77777777">
      <w:bookmarkStart w:name="_Toc495415478" w:id="604"/>
      <w:bookmarkStart w:name="_Toc495481182" w:id="605"/>
      <w:bookmarkStart w:name="_Toc495481308" w:id="606"/>
      <w:bookmarkStart w:name="_Toc495481433" w:id="607"/>
      <w:bookmarkStart w:name="_Toc495501614" w:id="608"/>
      <w:bookmarkStart w:name="_Toc38106944" w:id="609"/>
      <w:r>
        <w:rPr>
          <w:b/>
        </w:rPr>
        <w:br w:type="page"/>
      </w:r>
    </w:p>
    <w:bookmarkEnd w:id="604"/>
    <w:bookmarkEnd w:id="605"/>
    <w:bookmarkEnd w:id="606"/>
    <w:bookmarkEnd w:id="607"/>
    <w:bookmarkEnd w:id="608"/>
    <w:bookmarkEnd w:id="609"/>
    <w:p w:rsidRPr="00E25790" w:rsidR="00115F48" w:rsidP="006F0321" w:rsidRDefault="00115F48" w14:paraId="6CF9C14E" w14:textId="77777777"/>
    <w:tbl>
      <w:tblPr>
        <w:tblW w:w="9049" w:type="dxa"/>
        <w:tblLayout w:type="fixed"/>
        <w:tblLook w:val="0000" w:firstRow="0" w:lastRow="0" w:firstColumn="0" w:lastColumn="0" w:noHBand="0" w:noVBand="0"/>
      </w:tblPr>
      <w:tblGrid>
        <w:gridCol w:w="4153"/>
        <w:gridCol w:w="4896"/>
      </w:tblGrid>
      <w:tr w:rsidRPr="00E25790" w:rsidR="00115F48" w:rsidTr="00943338" w14:paraId="71DB3C15"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115F48" w:rsidP="009469DB" w:rsidRDefault="00055D56" w14:paraId="7DA65A18" w14:textId="5B6379B1">
            <w:pPr>
              <w:pStyle w:val="Heading1"/>
            </w:pPr>
            <w:bookmarkStart w:name="_Toc495481183" w:id="610"/>
            <w:bookmarkStart w:name="_Toc495481309" w:id="611"/>
            <w:bookmarkStart w:name="_Toc495481434" w:id="612"/>
            <w:bookmarkStart w:name="_Toc495501615" w:id="613"/>
            <w:bookmarkStart w:name="_Toc38106945" w:id="614"/>
            <w:bookmarkStart w:name="_Toc75340058" w:id="615"/>
            <w:r>
              <w:t>V</w:t>
            </w:r>
            <w:r w:rsidRPr="006A160B" w:rsidR="00115F48">
              <w:t>itamin A (Retinol)</w:t>
            </w:r>
            <w:bookmarkEnd w:id="610"/>
            <w:bookmarkEnd w:id="611"/>
            <w:bookmarkEnd w:id="612"/>
            <w:bookmarkEnd w:id="613"/>
            <w:bookmarkEnd w:id="614"/>
            <w:bookmarkEnd w:id="615"/>
            <w:r w:rsidRPr="006A160B" w:rsidR="00115F48">
              <w:fldChar w:fldCharType="begin"/>
            </w:r>
            <w:r w:rsidRPr="006A160B" w:rsidR="00115F48">
              <w:instrText>tc "Vitamin_A_(Retinol)" \l 0</w:instrText>
            </w:r>
            <w:r w:rsidRPr="006A160B" w:rsidR="00115F48">
              <w:fldChar w:fldCharType="end"/>
            </w:r>
          </w:p>
        </w:tc>
      </w:tr>
      <w:tr w:rsidRPr="00E25790" w:rsidR="00115F48" w:rsidTr="00943338" w14:paraId="13C553D4"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029CEB17" w14:textId="3A08FBF8">
            <w:r w:rsidRPr="00E25790">
              <w:t>Revision Date :</w:t>
            </w:r>
            <w:r w:rsidR="00DA4AFE">
              <w:t xml:space="preserve"> 1/3/2021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58F395C4" w14:textId="4967DB40">
            <w:r w:rsidRPr="00E25790">
              <w:t xml:space="preserve">Approved: </w:t>
            </w:r>
            <w:r w:rsidR="00DA4AFE">
              <w:t>DD, TC, KOH</w:t>
            </w:r>
          </w:p>
        </w:tc>
      </w:tr>
    </w:tbl>
    <w:p w:rsidRPr="00E25790" w:rsidR="00115F48" w:rsidP="006F0321" w:rsidRDefault="00115F48" w14:paraId="142DAB68" w14:textId="77777777"/>
    <w:tbl>
      <w:tblPr>
        <w:tblW w:w="9064" w:type="dxa"/>
        <w:tblLayout w:type="fixed"/>
        <w:tblLook w:val="0000" w:firstRow="0" w:lastRow="0" w:firstColumn="0" w:lastColumn="0" w:noHBand="0" w:noVBand="0"/>
      </w:tblPr>
      <w:tblGrid>
        <w:gridCol w:w="2443"/>
        <w:gridCol w:w="6621"/>
      </w:tblGrid>
      <w:tr w:rsidRPr="00E25790" w:rsidR="00115F48" w:rsidTr="00943338" w14:paraId="48EB994D"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371581E2" w14:textId="77777777">
            <w:r w:rsidRPr="00E25790">
              <w:t>Indication :</w:t>
            </w:r>
          </w:p>
        </w:tc>
        <w:tc>
          <w:tcPr>
            <w:tcW w:w="6621" w:type="dxa"/>
            <w:tcBorders>
              <w:top w:val="single" w:color="auto" w:sz="6" w:space="0"/>
              <w:bottom w:val="single" w:color="auto" w:sz="6" w:space="0"/>
              <w:right w:val="single" w:color="auto" w:sz="6" w:space="0"/>
            </w:tcBorders>
          </w:tcPr>
          <w:p w:rsidR="00F56DA3" w:rsidP="00F56DA3" w:rsidRDefault="00F56DA3" w14:paraId="0E54127B" w14:textId="34F95DAC">
            <w:r>
              <w:t>1. Prophylaxis for vitamin A deficiency in preterm or low birthweight infants (&lt;3</w:t>
            </w:r>
            <w:r w:rsidR="00E13AF0">
              <w:t>2</w:t>
            </w:r>
            <w:r>
              <w:t xml:space="preserve"> weeks’ gestation or &lt;</w:t>
            </w:r>
            <w:r w:rsidR="00E13AF0">
              <w:t>1800</w:t>
            </w:r>
            <w:r>
              <w:t xml:space="preserve"> g at birth) </w:t>
            </w:r>
          </w:p>
          <w:p w:rsidR="006F0DB9" w:rsidP="00F56DA3" w:rsidRDefault="006F0DB9" w14:paraId="54752413" w14:textId="77777777"/>
          <w:p w:rsidR="00F56DA3" w:rsidP="00F56DA3" w:rsidRDefault="006F0DB9" w14:paraId="4A55ACC2" w14:textId="22DC06E2">
            <w:r>
              <w:t>2. Prophylaxis for vitamin A deficiency in fat malabsorption</w:t>
            </w:r>
          </w:p>
          <w:p w:rsidR="006F0DB9" w:rsidP="00F56DA3" w:rsidRDefault="006F0DB9" w14:paraId="6E7131B1" w14:textId="77777777"/>
          <w:p w:rsidRPr="00E25790" w:rsidR="00115F48" w:rsidP="00F56DA3" w:rsidRDefault="006F0DB9" w14:paraId="4F24916B" w14:textId="6147E7E4">
            <w:r>
              <w:t>3</w:t>
            </w:r>
            <w:r w:rsidR="00F56DA3">
              <w:t xml:space="preserve">. Treatment of documented vitamin A deficiency </w:t>
            </w:r>
          </w:p>
        </w:tc>
      </w:tr>
      <w:tr w:rsidRPr="00E25790" w:rsidR="00115F48" w:rsidTr="00943338" w14:paraId="21A28B84"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164FA3D" w14:textId="77777777">
            <w:r w:rsidRPr="00E25790">
              <w:t>Dose :</w:t>
            </w:r>
          </w:p>
        </w:tc>
        <w:tc>
          <w:tcPr>
            <w:tcW w:w="6621" w:type="dxa"/>
            <w:tcBorders>
              <w:top w:val="single" w:color="auto" w:sz="6" w:space="0"/>
              <w:bottom w:val="single" w:color="auto" w:sz="6" w:space="0"/>
              <w:right w:val="single" w:color="auto" w:sz="6" w:space="0"/>
            </w:tcBorders>
          </w:tcPr>
          <w:p w:rsidR="00115F48" w:rsidP="006F0321" w:rsidRDefault="00E35BC4" w14:paraId="5CC4B3E8" w14:textId="77777777">
            <w:r>
              <w:t xml:space="preserve">1. Penta-vite </w:t>
            </w:r>
            <w:r w:rsidR="004258D1">
              <w:t xml:space="preserve">0.45 mL daily for </w:t>
            </w:r>
            <w:r w:rsidR="00A31DBC">
              <w:t xml:space="preserve">preterm/LBW prophylaxis. </w:t>
            </w:r>
          </w:p>
          <w:p w:rsidR="00E00D54" w:rsidP="006F0321" w:rsidRDefault="00E00D54" w14:paraId="7D8A1F5D" w14:textId="77777777"/>
          <w:p w:rsidR="00D4321E" w:rsidP="006F0321" w:rsidRDefault="00054DAE" w14:paraId="6904CA3D" w14:textId="77777777">
            <w:r>
              <w:t xml:space="preserve">2. </w:t>
            </w:r>
            <w:r w:rsidR="00F76746">
              <w:t xml:space="preserve">Vitamin A solution 5000 IU daily </w:t>
            </w:r>
          </w:p>
          <w:p w:rsidR="00F76746" w:rsidP="006F0321" w:rsidRDefault="00F76746" w14:paraId="6E515BBE" w14:textId="77777777"/>
          <w:p w:rsidRPr="00E25790" w:rsidR="00F76746" w:rsidP="006F0321" w:rsidRDefault="00F76746" w14:paraId="6C37541B" w14:textId="7D17CA8B">
            <w:r>
              <w:t xml:space="preserve">3. </w:t>
            </w:r>
            <w:r w:rsidR="005B5751">
              <w:t xml:space="preserve">Vitamin A solution 10000 IU daily (range </w:t>
            </w:r>
            <w:r w:rsidR="005415EA">
              <w:t>5000-25000 per day)</w:t>
            </w:r>
            <w:r w:rsidR="004F152F">
              <w:t>.</w:t>
            </w:r>
            <w:r w:rsidRPr="004F152F" w:rsidR="004F152F">
              <w:rPr>
                <w:vertAlign w:val="superscript"/>
              </w:rPr>
              <w:t>2</w:t>
            </w:r>
          </w:p>
        </w:tc>
      </w:tr>
      <w:tr w:rsidRPr="00E25790" w:rsidR="00115F48" w:rsidTr="00943338" w14:paraId="7DB90188"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3CF1C98" w14:textId="77777777">
            <w:r w:rsidRPr="00E25790">
              <w:t>Interval :</w:t>
            </w:r>
          </w:p>
        </w:tc>
        <w:tc>
          <w:tcPr>
            <w:tcW w:w="6621" w:type="dxa"/>
            <w:tcBorders>
              <w:top w:val="single" w:color="auto" w:sz="6" w:space="0"/>
              <w:bottom w:val="single" w:color="auto" w:sz="6" w:space="0"/>
              <w:right w:val="single" w:color="auto" w:sz="6" w:space="0"/>
            </w:tcBorders>
          </w:tcPr>
          <w:p w:rsidRPr="00E25790" w:rsidR="00115F48" w:rsidP="006F0321" w:rsidRDefault="00C406C1" w14:paraId="6B88E4A8" w14:textId="485AF9BB">
            <w:r>
              <w:t>Daily</w:t>
            </w:r>
          </w:p>
        </w:tc>
      </w:tr>
      <w:tr w:rsidRPr="00E25790" w:rsidR="00115F48" w:rsidTr="00943338" w14:paraId="23AFAC59"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3D7CAC07" w14:textId="77777777">
            <w:r w:rsidRPr="00E25790">
              <w:t>Route :</w:t>
            </w:r>
          </w:p>
        </w:tc>
        <w:tc>
          <w:tcPr>
            <w:tcW w:w="6621" w:type="dxa"/>
            <w:tcBorders>
              <w:top w:val="single" w:color="auto" w:sz="6" w:space="0"/>
              <w:bottom w:val="single" w:color="auto" w:sz="6" w:space="0"/>
              <w:right w:val="single" w:color="auto" w:sz="6" w:space="0"/>
            </w:tcBorders>
          </w:tcPr>
          <w:p w:rsidR="00115F48" w:rsidP="006F0321" w:rsidRDefault="00115F48" w14:paraId="64862EE1" w14:textId="77777777">
            <w:r w:rsidRPr="00E25790">
              <w:t>Oral.</w:t>
            </w:r>
          </w:p>
          <w:p w:rsidR="007062B7" w:rsidP="007062B7" w:rsidRDefault="007062B7" w14:paraId="2A4D8AD4" w14:textId="77777777"/>
          <w:p w:rsidR="007062B7" w:rsidP="007062B7" w:rsidRDefault="007062B7" w14:paraId="3643A592" w14:textId="1C7E09E0">
            <w:r>
              <w:t>Can be given:</w:t>
            </w:r>
          </w:p>
          <w:p w:rsidR="007062B7" w:rsidP="007062B7" w:rsidRDefault="007062B7" w14:paraId="46723B9B" w14:textId="7D46956F">
            <w:r>
              <w:t>-Added to an enteral or bottle feed</w:t>
            </w:r>
          </w:p>
          <w:p w:rsidR="007062B7" w:rsidP="007062B7" w:rsidRDefault="007062B7" w14:paraId="0CE03100" w14:textId="77777777">
            <w:r>
              <w:t>-Put a drop on your gloved finger and then into baby’s mouth</w:t>
            </w:r>
          </w:p>
          <w:p w:rsidRPr="00E25790" w:rsidR="000035AD" w:rsidP="007062B7" w:rsidRDefault="007062B7" w14:paraId="72E0587D" w14:textId="0FC49409">
            <w:r>
              <w:t>-As a drop directly onto baby’s tongue or into mouth</w:t>
            </w:r>
          </w:p>
        </w:tc>
      </w:tr>
      <w:tr w:rsidRPr="00E25790" w:rsidR="00115F48" w:rsidTr="00943338" w14:paraId="4FF7D5C7"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25738C67" w14:textId="77777777">
            <w:r w:rsidRPr="00E25790">
              <w:t>Total Daily Dose :</w:t>
            </w:r>
          </w:p>
        </w:tc>
        <w:tc>
          <w:tcPr>
            <w:tcW w:w="6621" w:type="dxa"/>
            <w:tcBorders>
              <w:top w:val="single" w:color="auto" w:sz="6" w:space="0"/>
              <w:bottom w:val="single" w:color="auto" w:sz="6" w:space="0"/>
              <w:right w:val="single" w:color="auto" w:sz="6" w:space="0"/>
            </w:tcBorders>
          </w:tcPr>
          <w:p w:rsidRPr="00E25790" w:rsidR="00115F48" w:rsidP="006F0321" w:rsidRDefault="00426C88" w14:paraId="5CDE1C7D" w14:textId="60EE3A2F">
            <w:r>
              <w:t xml:space="preserve">Doses upto </w:t>
            </w:r>
            <w:r w:rsidR="0001530C">
              <w:t>25000 IU per day have been used for treatment</w:t>
            </w:r>
            <w:r w:rsidR="00314E8E">
              <w:t xml:space="preserve"> of Vit D deficiency</w:t>
            </w:r>
            <w:r w:rsidR="008B518B">
              <w:t xml:space="preserve">. </w:t>
            </w:r>
            <w:r w:rsidRPr="008B518B" w:rsidR="008B518B">
              <w:rPr>
                <w:vertAlign w:val="superscript"/>
              </w:rPr>
              <w:t>2</w:t>
            </w:r>
          </w:p>
        </w:tc>
      </w:tr>
      <w:tr w:rsidRPr="00E25790" w:rsidR="00115F48" w:rsidTr="00943338" w14:paraId="446BD97C" w14:textId="77777777">
        <w:trPr>
          <w:cantSplit/>
          <w:trHeight w:val="1200"/>
        </w:trPr>
        <w:tc>
          <w:tcPr>
            <w:tcW w:w="2443" w:type="dxa"/>
            <w:tcBorders>
              <w:top w:val="single" w:color="auto" w:sz="6" w:space="0"/>
              <w:left w:val="single" w:color="auto" w:sz="6" w:space="0"/>
              <w:bottom w:val="single" w:color="auto" w:sz="6" w:space="0"/>
            </w:tcBorders>
          </w:tcPr>
          <w:p w:rsidRPr="00E25790" w:rsidR="00115F48" w:rsidP="006F0321" w:rsidRDefault="00115F48" w14:paraId="71D1227C" w14:textId="77777777">
            <w:r w:rsidRPr="00E25790">
              <w:lastRenderedPageBreak/>
              <w:t>Comments :</w:t>
            </w:r>
          </w:p>
        </w:tc>
        <w:tc>
          <w:tcPr>
            <w:tcW w:w="6621" w:type="dxa"/>
            <w:tcBorders>
              <w:top w:val="single" w:color="auto" w:sz="6" w:space="0"/>
              <w:bottom w:val="single" w:color="auto" w:sz="6" w:space="0"/>
              <w:right w:val="single" w:color="auto" w:sz="6" w:space="0"/>
            </w:tcBorders>
          </w:tcPr>
          <w:p w:rsidR="001763D3" w:rsidP="00930258" w:rsidRDefault="006E142C" w14:paraId="2387A9FA" w14:textId="40E995F1">
            <w:pPr>
              <w:jc w:val="both"/>
            </w:pPr>
            <w:r>
              <w:t>-</w:t>
            </w:r>
            <w:r w:rsidR="008C69D2">
              <w:t xml:space="preserve"> </w:t>
            </w:r>
            <w:r>
              <w:t xml:space="preserve"> </w:t>
            </w:r>
            <w:r w:rsidRPr="001763D3" w:rsidR="001763D3">
              <w:t>Vitamin A plays an essential role in vision, normal differentiation and maintenance of epithelial cells, adequate immune function (T-cell function), reproduction, growth and development</w:t>
            </w:r>
            <w:r w:rsidR="00A42ADB">
              <w:t>.</w:t>
            </w:r>
            <w:r w:rsidRPr="00A42ADB" w:rsidR="00A42ADB">
              <w:rPr>
                <w:vertAlign w:val="superscript"/>
              </w:rPr>
              <w:t xml:space="preserve"> 1</w:t>
            </w:r>
          </w:p>
          <w:p w:rsidR="006E142C" w:rsidP="00930258" w:rsidRDefault="006E142C" w14:paraId="78611ABD" w14:textId="3A8C80A6">
            <w:pPr>
              <w:jc w:val="both"/>
            </w:pPr>
            <w:r>
              <w:t>-</w:t>
            </w:r>
            <w:r w:rsidR="008C69D2">
              <w:t xml:space="preserve"> </w:t>
            </w:r>
            <w:r w:rsidRPr="006E142C">
              <w:t>Preterm infants are at increased risk of micronutrient deficiencies as a result of low body stores, maternal deficiencies, and inadequate supplementation and are usually given vitamin A supplements once enteral feeding has been established</w:t>
            </w:r>
            <w:r w:rsidR="00A42ADB">
              <w:t xml:space="preserve">. </w:t>
            </w:r>
            <w:r w:rsidRPr="00A42ADB" w:rsidR="00A42ADB">
              <w:rPr>
                <w:vertAlign w:val="superscript"/>
              </w:rPr>
              <w:t>1</w:t>
            </w:r>
            <w:r w:rsidR="00E26038">
              <w:rPr>
                <w:vertAlign w:val="superscript"/>
              </w:rPr>
              <w:t>, 3</w:t>
            </w:r>
          </w:p>
          <w:p w:rsidR="00930258" w:rsidP="00930258" w:rsidRDefault="00930258" w14:paraId="5413EEEF" w14:textId="24848BC4">
            <w:pPr>
              <w:jc w:val="both"/>
            </w:pPr>
            <w:r>
              <w:t xml:space="preserve">- </w:t>
            </w:r>
            <w:r w:rsidRPr="00930258">
              <w:t xml:space="preserve">Vitamin A supplementation may be required in infants and children with liver disease, particularly cholestatic liver disease, or short Bowel syndrome due to the malabsorption of fat soluble vitamins. Treatment is sometimes initiated with very high doses of vitamin A and the </w:t>
            </w:r>
            <w:r w:rsidR="00A25028">
              <w:t>infant</w:t>
            </w:r>
            <w:r w:rsidRPr="00930258">
              <w:t xml:space="preserve"> should be monitored closely; very high doses are associated with acute toxicity.</w:t>
            </w:r>
            <w:r w:rsidRPr="00A42ADB" w:rsidR="00A42ADB">
              <w:rPr>
                <w:vertAlign w:val="superscript"/>
              </w:rPr>
              <w:t>1</w:t>
            </w:r>
          </w:p>
          <w:p w:rsidR="005049C4" w:rsidP="00930258" w:rsidRDefault="005049C4" w14:paraId="27905E4B" w14:textId="359ABDFE">
            <w:pPr>
              <w:jc w:val="both"/>
            </w:pPr>
            <w:r>
              <w:rPr>
                <w:color w:val="000000"/>
                <w:shd w:val="clear" w:color="auto" w:fill="FFFFFF"/>
              </w:rPr>
              <w:t>- Vitamin supplementation should continue at least three months after resolution of jaundice as there is a delay before normal bile flow is established</w:t>
            </w:r>
            <w:r w:rsidR="00A42ADB">
              <w:rPr>
                <w:color w:val="000000"/>
                <w:shd w:val="clear" w:color="auto" w:fill="FFFFFF"/>
              </w:rPr>
              <w:t>.</w:t>
            </w:r>
            <w:r w:rsidRPr="00A42ADB" w:rsidR="00A42ADB">
              <w:rPr>
                <w:color w:val="000000"/>
                <w:shd w:val="clear" w:color="auto" w:fill="FFFFFF"/>
                <w:vertAlign w:val="superscript"/>
              </w:rPr>
              <w:t xml:space="preserve"> 2</w:t>
            </w:r>
          </w:p>
          <w:p w:rsidR="00AD173E" w:rsidP="00930258" w:rsidRDefault="008C69D2" w14:paraId="0FFA945F" w14:textId="77777777">
            <w:pPr>
              <w:jc w:val="both"/>
              <w:rPr>
                <w:color w:val="000000"/>
                <w:shd w:val="clear" w:color="auto" w:fill="FFFFFF"/>
              </w:rPr>
            </w:pPr>
            <w:r>
              <w:t xml:space="preserve">- </w:t>
            </w:r>
            <w:r w:rsidRPr="008C69D2">
              <w:t>Vitamin A may have benefits for preterm infants in the prevention of chronic lung disease</w:t>
            </w:r>
            <w:r>
              <w:t>.</w:t>
            </w:r>
            <w:r w:rsidRPr="008C69D2">
              <w:t xml:space="preserve"> A meta-analysis of relatively high-dose vitamin A supplementations in infants &lt;1500 g concluded that the incidence of oxygen requirement by 36 weeks corrected age was reduced</w:t>
            </w:r>
            <w:r w:rsidR="00521366">
              <w:t>.</w:t>
            </w:r>
            <w:r w:rsidRPr="00E26038" w:rsidR="00E26038">
              <w:rPr>
                <w:vertAlign w:val="superscript"/>
              </w:rPr>
              <w:t>4</w:t>
            </w:r>
            <w:r w:rsidR="00AD173E">
              <w:rPr>
                <w:vertAlign w:val="superscript"/>
              </w:rPr>
              <w:t xml:space="preserve"> </w:t>
            </w:r>
            <w:r w:rsidR="00AD173E">
              <w:rPr>
                <w:color w:val="000000"/>
                <w:shd w:val="clear" w:color="auto" w:fill="FFFFFF"/>
              </w:rPr>
              <w:t>i</w:t>
            </w:r>
          </w:p>
          <w:p w:rsidRPr="00AD173E" w:rsidR="008C69D2" w:rsidP="00930258" w:rsidRDefault="00AD173E" w14:paraId="7F24DE29" w14:textId="0A30309F">
            <w:pPr>
              <w:jc w:val="both"/>
            </w:pPr>
            <w:r>
              <w:rPr>
                <w:color w:val="000000"/>
                <w:shd w:val="clear" w:color="auto" w:fill="FFFFFF"/>
              </w:rPr>
              <w:t>-</w:t>
            </w:r>
            <w:r w:rsidR="00514C47">
              <w:rPr>
                <w:color w:val="000000"/>
                <w:shd w:val="clear" w:color="auto" w:fill="FFFFFF"/>
              </w:rPr>
              <w:t>Vitamin A prophylaxis for BPD</w:t>
            </w:r>
            <w:r>
              <w:rPr>
                <w:color w:val="000000"/>
                <w:shd w:val="clear" w:color="auto" w:fill="FFFFFF"/>
              </w:rPr>
              <w:t xml:space="preserve"> has not been incorporated into standard care because of its relatively small benefits and the need for repeated intramuscular injections</w:t>
            </w:r>
            <w:r w:rsidR="00514C47">
              <w:rPr>
                <w:color w:val="000000"/>
                <w:shd w:val="clear" w:color="auto" w:fill="FFFFFF"/>
              </w:rPr>
              <w:t>.</w:t>
            </w:r>
          </w:p>
        </w:tc>
      </w:tr>
      <w:tr w:rsidRPr="00E25790" w:rsidR="00115F48" w:rsidTr="00943338" w14:paraId="5C114C0F"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788336FF" w14:textId="77777777">
            <w:r w:rsidRPr="00E25790">
              <w:t>Supplied as :</w:t>
            </w:r>
          </w:p>
        </w:tc>
        <w:tc>
          <w:tcPr>
            <w:tcW w:w="6621" w:type="dxa"/>
            <w:tcBorders>
              <w:top w:val="single" w:color="auto" w:sz="6" w:space="0"/>
              <w:bottom w:val="single" w:color="auto" w:sz="6" w:space="0"/>
              <w:right w:val="single" w:color="auto" w:sz="6" w:space="0"/>
            </w:tcBorders>
          </w:tcPr>
          <w:p w:rsidR="00115F48" w:rsidP="006F0321" w:rsidRDefault="00E26EF6" w14:paraId="454C4027" w14:textId="77777777">
            <w:pPr>
              <w:rPr>
                <w:lang w:val="it-IT"/>
              </w:rPr>
            </w:pPr>
            <w:r>
              <w:rPr>
                <w:lang w:val="it-IT"/>
              </w:rPr>
              <w:t>Bio-</w:t>
            </w:r>
            <w:r w:rsidR="00683308">
              <w:rPr>
                <w:lang w:val="it-IT"/>
              </w:rPr>
              <w:t>L</w:t>
            </w:r>
            <w:r>
              <w:rPr>
                <w:lang w:val="it-IT"/>
              </w:rPr>
              <w:t xml:space="preserve">ogical </w:t>
            </w:r>
            <w:r w:rsidRPr="00E25790" w:rsidR="00115F48">
              <w:rPr>
                <w:lang w:val="it-IT"/>
              </w:rPr>
              <w:t xml:space="preserve">Vitamin A </w:t>
            </w:r>
            <w:r w:rsidR="00605AC7">
              <w:rPr>
                <w:lang w:val="it-IT"/>
              </w:rPr>
              <w:t>Solution</w:t>
            </w:r>
            <w:r w:rsidR="00183756">
              <w:rPr>
                <w:lang w:val="it-IT"/>
              </w:rPr>
              <w:t>- 5000 I</w:t>
            </w:r>
            <w:r w:rsidR="00375943">
              <w:rPr>
                <w:lang w:val="it-IT"/>
              </w:rPr>
              <w:t>U</w:t>
            </w:r>
            <w:r w:rsidR="00683308">
              <w:rPr>
                <w:lang w:val="it-IT"/>
              </w:rPr>
              <w:t xml:space="preserve"> (1500 microg)</w:t>
            </w:r>
            <w:r w:rsidR="00375943">
              <w:rPr>
                <w:lang w:val="it-IT"/>
              </w:rPr>
              <w:t xml:space="preserve"> in 0.2mL</w:t>
            </w:r>
          </w:p>
          <w:p w:rsidR="007E4445" w:rsidP="006F0321" w:rsidRDefault="007E4445" w14:paraId="53AB2DB7" w14:textId="75E44102">
            <w:pPr>
              <w:rPr>
                <w:lang w:val="it-IT"/>
              </w:rPr>
            </w:pPr>
            <w:r>
              <w:rPr>
                <w:lang w:val="it-IT"/>
              </w:rPr>
              <w:t xml:space="preserve">Bio-Logical </w:t>
            </w:r>
            <w:r w:rsidRPr="00E25790">
              <w:rPr>
                <w:lang w:val="it-IT"/>
              </w:rPr>
              <w:t xml:space="preserve">Vitamin A </w:t>
            </w:r>
            <w:r>
              <w:rPr>
                <w:lang w:val="it-IT"/>
              </w:rPr>
              <w:t>and E Solution</w:t>
            </w:r>
            <w:r w:rsidR="002125C1">
              <w:rPr>
                <w:lang w:val="it-IT"/>
              </w:rPr>
              <w:t xml:space="preserve">- 1mL contains 2210 IU </w:t>
            </w:r>
            <w:r w:rsidR="00557025">
              <w:rPr>
                <w:lang w:val="it-IT"/>
              </w:rPr>
              <w:t xml:space="preserve">(663 microg) </w:t>
            </w:r>
            <w:r w:rsidR="002125C1">
              <w:rPr>
                <w:lang w:val="it-IT"/>
              </w:rPr>
              <w:t xml:space="preserve">Vitamin A and </w:t>
            </w:r>
            <w:r w:rsidR="00370295">
              <w:rPr>
                <w:lang w:val="it-IT"/>
              </w:rPr>
              <w:t>102 IU Vitamin E</w:t>
            </w:r>
          </w:p>
          <w:p w:rsidRPr="007E4445" w:rsidR="00C70E43" w:rsidP="006F0321" w:rsidRDefault="00C70E43" w14:paraId="6077B9E1" w14:textId="3A046D0C">
            <w:pPr>
              <w:rPr>
                <w:b/>
                <w:bCs/>
                <w:lang w:val="it-IT"/>
              </w:rPr>
            </w:pPr>
            <w:r>
              <w:rPr>
                <w:lang w:val="it-IT"/>
              </w:rPr>
              <w:t>Penta</w:t>
            </w:r>
            <w:r w:rsidR="00F93CBE">
              <w:rPr>
                <w:lang w:val="it-IT"/>
              </w:rPr>
              <w:t>-</w:t>
            </w:r>
            <w:r>
              <w:rPr>
                <w:lang w:val="it-IT"/>
              </w:rPr>
              <w:t>vite</w:t>
            </w:r>
            <w:r w:rsidR="00F93CBE">
              <w:rPr>
                <w:lang w:val="it-IT"/>
              </w:rPr>
              <w:t xml:space="preserve"> oral solution</w:t>
            </w:r>
            <w:r w:rsidR="00E6096C">
              <w:rPr>
                <w:lang w:val="it-IT"/>
              </w:rPr>
              <w:t>. Each 0.45mL contains 1470 IU (490 micog</w:t>
            </w:r>
            <w:r w:rsidR="00557025">
              <w:rPr>
                <w:lang w:val="it-IT"/>
              </w:rPr>
              <w:t>)</w:t>
            </w:r>
            <w:r w:rsidR="00E6096C">
              <w:rPr>
                <w:lang w:val="it-IT"/>
              </w:rPr>
              <w:t xml:space="preserve"> Vit</w:t>
            </w:r>
            <w:r w:rsidR="00557025">
              <w:rPr>
                <w:lang w:val="it-IT"/>
              </w:rPr>
              <w:t>amin</w:t>
            </w:r>
            <w:r w:rsidR="00E6096C">
              <w:rPr>
                <w:lang w:val="it-IT"/>
              </w:rPr>
              <w:t xml:space="preserve"> A</w:t>
            </w:r>
            <w:r w:rsidR="00557025">
              <w:rPr>
                <w:lang w:val="it-IT"/>
              </w:rPr>
              <w:t xml:space="preserve"> and other vitamins (refer to Penta-Vite drug page)</w:t>
            </w:r>
          </w:p>
          <w:p w:rsidRPr="00E25790" w:rsidR="00683308" w:rsidP="006F0321" w:rsidRDefault="00683308" w14:paraId="5CE1C361" w14:textId="38A8F859">
            <w:pPr>
              <w:rPr>
                <w:lang w:val="it-IT"/>
              </w:rPr>
            </w:pPr>
          </w:p>
        </w:tc>
      </w:tr>
      <w:tr w:rsidRPr="00E25790" w:rsidR="00115F48" w:rsidTr="00943338" w14:paraId="7DEA2EA7" w14:textId="77777777">
        <w:trPr>
          <w:cantSplit/>
          <w:trHeight w:val="960"/>
        </w:trPr>
        <w:tc>
          <w:tcPr>
            <w:tcW w:w="2443" w:type="dxa"/>
            <w:tcBorders>
              <w:top w:val="single" w:color="auto" w:sz="6" w:space="0"/>
              <w:left w:val="single" w:color="auto" w:sz="6" w:space="0"/>
              <w:bottom w:val="single" w:color="auto" w:sz="6" w:space="0"/>
            </w:tcBorders>
          </w:tcPr>
          <w:p w:rsidRPr="00E25790" w:rsidR="00115F48" w:rsidP="006F0321" w:rsidRDefault="00115F48" w14:paraId="1E9FC3E7" w14:textId="77777777">
            <w:r w:rsidRPr="00E25790">
              <w:t>Dilution :</w:t>
            </w:r>
          </w:p>
        </w:tc>
        <w:tc>
          <w:tcPr>
            <w:tcW w:w="6621" w:type="dxa"/>
            <w:tcBorders>
              <w:top w:val="single" w:color="auto" w:sz="6" w:space="0"/>
              <w:bottom w:val="single" w:color="auto" w:sz="6" w:space="0"/>
              <w:right w:val="single" w:color="auto" w:sz="6" w:space="0"/>
            </w:tcBorders>
          </w:tcPr>
          <w:p w:rsidRPr="00E25790" w:rsidR="00115F48" w:rsidP="006F0321" w:rsidRDefault="00115F48" w14:paraId="722B3055" w14:textId="77777777">
            <w:r w:rsidRPr="00E25790">
              <w:t>Nil.</w:t>
            </w:r>
          </w:p>
        </w:tc>
      </w:tr>
      <w:tr w:rsidRPr="00E25790" w:rsidR="00115F48" w:rsidTr="00943338" w14:paraId="288CF924"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1C0CAD96" w14:textId="77777777">
            <w:r w:rsidRPr="00E25790">
              <w:t>Stability :</w:t>
            </w:r>
          </w:p>
        </w:tc>
        <w:tc>
          <w:tcPr>
            <w:tcW w:w="6621" w:type="dxa"/>
            <w:tcBorders>
              <w:top w:val="single" w:color="auto" w:sz="6" w:space="0"/>
              <w:bottom w:val="single" w:color="auto" w:sz="6" w:space="0"/>
              <w:right w:val="single" w:color="auto" w:sz="6" w:space="0"/>
            </w:tcBorders>
          </w:tcPr>
          <w:p w:rsidRPr="00E25790" w:rsidR="00115F48" w:rsidP="006F0321" w:rsidRDefault="00115F48" w14:paraId="2D6C2324" w14:textId="77777777">
            <w:r w:rsidRPr="00E25790">
              <w:t>As advised by pharmacy and as per bottle labelling.</w:t>
            </w:r>
          </w:p>
        </w:tc>
      </w:tr>
      <w:tr w:rsidRPr="00E25790" w:rsidR="00115F48" w:rsidTr="00943338" w14:paraId="039019EA"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433EA47B" w14:textId="77777777">
            <w:r w:rsidRPr="00E25790">
              <w:t>Storage :</w:t>
            </w:r>
          </w:p>
        </w:tc>
        <w:tc>
          <w:tcPr>
            <w:tcW w:w="6621" w:type="dxa"/>
            <w:tcBorders>
              <w:top w:val="single" w:color="auto" w:sz="6" w:space="0"/>
              <w:bottom w:val="single" w:color="auto" w:sz="6" w:space="0"/>
              <w:right w:val="single" w:color="auto" w:sz="6" w:space="0"/>
            </w:tcBorders>
          </w:tcPr>
          <w:p w:rsidRPr="00E25790" w:rsidR="00115F48" w:rsidP="006F0321" w:rsidRDefault="00115F48" w14:paraId="5538EAAF" w14:textId="77777777">
            <w:r w:rsidRPr="00E25790">
              <w:t>Room temperature.</w:t>
            </w:r>
          </w:p>
        </w:tc>
      </w:tr>
      <w:tr w:rsidRPr="00E25790" w:rsidR="00115F48" w:rsidTr="00943338" w14:paraId="5CF942D6"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4A3ECD6B" w14:textId="77777777">
            <w:r w:rsidRPr="00E25790">
              <w:t>Incompatibility :</w:t>
            </w:r>
          </w:p>
        </w:tc>
        <w:tc>
          <w:tcPr>
            <w:tcW w:w="6621" w:type="dxa"/>
            <w:tcBorders>
              <w:top w:val="single" w:color="auto" w:sz="6" w:space="0"/>
              <w:bottom w:val="single" w:color="auto" w:sz="6" w:space="0"/>
              <w:right w:val="single" w:color="auto" w:sz="6" w:space="0"/>
            </w:tcBorders>
          </w:tcPr>
          <w:p w:rsidRPr="00E25790" w:rsidR="00115F48" w:rsidP="006F0321" w:rsidRDefault="00115F48" w14:paraId="665B708A" w14:textId="77777777"/>
        </w:tc>
      </w:tr>
      <w:tr w:rsidRPr="00E25790" w:rsidR="00115F48" w:rsidTr="00943338" w14:paraId="073A48DE" w14:textId="77777777">
        <w:trPr>
          <w:cantSplit/>
          <w:trHeight w:val="480"/>
        </w:trPr>
        <w:tc>
          <w:tcPr>
            <w:tcW w:w="2443" w:type="dxa"/>
            <w:tcBorders>
              <w:top w:val="single" w:color="auto" w:sz="6" w:space="0"/>
              <w:left w:val="single" w:color="auto" w:sz="6" w:space="0"/>
              <w:bottom w:val="single" w:color="auto" w:sz="6" w:space="0"/>
            </w:tcBorders>
          </w:tcPr>
          <w:p w:rsidRPr="00E25790" w:rsidR="00115F48" w:rsidP="006F0321" w:rsidRDefault="00115F48" w14:paraId="6185EA60" w14:textId="77777777">
            <w:r w:rsidRPr="00E25790">
              <w:t>Serum Levels :</w:t>
            </w:r>
          </w:p>
        </w:tc>
        <w:tc>
          <w:tcPr>
            <w:tcW w:w="6621" w:type="dxa"/>
            <w:tcBorders>
              <w:top w:val="single" w:color="auto" w:sz="6" w:space="0"/>
              <w:bottom w:val="single" w:color="auto" w:sz="6" w:space="0"/>
              <w:right w:val="single" w:color="auto" w:sz="6" w:space="0"/>
            </w:tcBorders>
          </w:tcPr>
          <w:p w:rsidR="005F7654" w:rsidP="005F7654" w:rsidRDefault="005F7654" w14:paraId="0CE1CEFA" w14:textId="4DF3AD51">
            <w:r>
              <w:t xml:space="preserve">Normal range for retinol </w:t>
            </w:r>
            <w:r w:rsidR="00603490">
              <w:t>0.7</w:t>
            </w:r>
            <w:r>
              <w:t xml:space="preserve"> to </w:t>
            </w:r>
            <w:r w:rsidR="003A32EC">
              <w:t>2.69 umol/L</w:t>
            </w:r>
          </w:p>
          <w:p w:rsidR="00115F48" w:rsidP="005F7654" w:rsidRDefault="005F7654" w14:paraId="0965B590" w14:textId="77777777">
            <w:r>
              <w:t>Retinol – RBP &lt;0.8 mol/mol defines deficiency when retinol &lt;</w:t>
            </w:r>
            <w:r w:rsidR="003A32EC">
              <w:t xml:space="preserve"> 0.7</w:t>
            </w:r>
            <w:r>
              <w:t xml:space="preserve"> </w:t>
            </w:r>
            <w:r w:rsidR="003A32EC">
              <w:t>umol/L</w:t>
            </w:r>
          </w:p>
          <w:p w:rsidRPr="00E25790" w:rsidR="00D22538" w:rsidP="005F7654" w:rsidRDefault="00D22538" w14:paraId="697D4E86" w14:textId="7CFC72D7">
            <w:r>
              <w:t>If treating deficiency, recheck levels in 2-4 weeks post treatment</w:t>
            </w:r>
          </w:p>
        </w:tc>
      </w:tr>
      <w:tr w:rsidRPr="00E25790" w:rsidR="00897633" w:rsidTr="00943338" w14:paraId="416DC5A7" w14:textId="77777777">
        <w:trPr>
          <w:cantSplit/>
          <w:trHeight w:val="480"/>
        </w:trPr>
        <w:tc>
          <w:tcPr>
            <w:tcW w:w="2443" w:type="dxa"/>
            <w:tcBorders>
              <w:top w:val="single" w:color="auto" w:sz="6" w:space="0"/>
              <w:left w:val="single" w:color="auto" w:sz="6" w:space="0"/>
              <w:bottom w:val="single" w:color="auto" w:sz="6" w:space="0"/>
            </w:tcBorders>
          </w:tcPr>
          <w:p w:rsidRPr="00E25790" w:rsidR="00897633" w:rsidP="006F0321" w:rsidRDefault="00897633" w14:paraId="6FCE9983" w14:textId="40D1E7AA">
            <w:r>
              <w:lastRenderedPageBreak/>
              <w:t>References</w:t>
            </w:r>
            <w:r w:rsidR="004F152F">
              <w:t>:</w:t>
            </w:r>
          </w:p>
        </w:tc>
        <w:tc>
          <w:tcPr>
            <w:tcW w:w="6621" w:type="dxa"/>
            <w:tcBorders>
              <w:top w:val="single" w:color="auto" w:sz="6" w:space="0"/>
              <w:bottom w:val="single" w:color="auto" w:sz="6" w:space="0"/>
              <w:right w:val="single" w:color="auto" w:sz="6" w:space="0"/>
            </w:tcBorders>
          </w:tcPr>
          <w:p w:rsidRPr="004F152F" w:rsidR="00FB4F9A" w:rsidP="001B0E05" w:rsidRDefault="00D87DEC" w14:paraId="08F477FF" w14:textId="511B5760">
            <w:pPr>
              <w:numPr>
                <w:ilvl w:val="1"/>
                <w:numId w:val="106"/>
              </w:numPr>
              <w:ind w:left="0"/>
              <w:jc w:val="both"/>
              <w:rPr>
                <w:rFonts w:asciiTheme="minorHAnsi" w:hAnsiTheme="minorHAnsi" w:cstheme="minorHAnsi"/>
                <w:color w:val="212121"/>
                <w:sz w:val="16"/>
                <w:szCs w:val="16"/>
                <w:lang w:val="en-AU" w:eastAsia="en-AU"/>
              </w:rPr>
            </w:pPr>
            <w:r w:rsidRPr="004F152F">
              <w:rPr>
                <w:rFonts w:asciiTheme="minorHAnsi" w:hAnsiTheme="minorHAnsi" w:cstheme="minorHAnsi"/>
                <w:color w:val="212121"/>
                <w:sz w:val="16"/>
                <w:szCs w:val="16"/>
                <w:lang w:val="en-AU" w:eastAsia="en-AU"/>
              </w:rPr>
              <w:t>1.</w:t>
            </w:r>
            <w:r w:rsidRPr="004F152F" w:rsidR="00FB4F9A">
              <w:rPr>
                <w:rFonts w:asciiTheme="minorHAnsi" w:hAnsiTheme="minorHAnsi" w:cstheme="minorHAnsi"/>
                <w:color w:val="212121"/>
                <w:sz w:val="16"/>
                <w:szCs w:val="16"/>
                <w:lang w:val="en-AU" w:eastAsia="en-AU"/>
              </w:rPr>
              <w:t xml:space="preserve"> Vitamin A drops. </w:t>
            </w:r>
            <w:r w:rsidRPr="004F152F">
              <w:rPr>
                <w:rFonts w:asciiTheme="minorHAnsi" w:hAnsiTheme="minorHAnsi" w:cstheme="minorHAnsi"/>
                <w:color w:val="212121"/>
                <w:sz w:val="16"/>
                <w:szCs w:val="16"/>
                <w:lang w:val="en-AU" w:eastAsia="en-AU"/>
              </w:rPr>
              <w:t xml:space="preserve"> </w:t>
            </w:r>
            <w:hyperlink w:history="1" r:id="rId86">
              <w:r w:rsidRPr="004F152F" w:rsidR="00FB4F9A">
                <w:rPr>
                  <w:rStyle w:val="Hyperlink"/>
                  <w:rFonts w:asciiTheme="minorHAnsi" w:hAnsiTheme="minorHAnsi" w:cstheme="minorHAnsi"/>
                  <w:sz w:val="16"/>
                  <w:szCs w:val="16"/>
                  <w:lang w:val="en-AU" w:eastAsia="en-AU"/>
                </w:rPr>
                <w:t>https://www.starship.org.nz/guidelines/vitamin-a-retinol-vitamin-a-drops/</w:t>
              </w:r>
            </w:hyperlink>
            <w:r w:rsidRPr="004F152F" w:rsidR="00FB4F9A">
              <w:rPr>
                <w:rFonts w:asciiTheme="minorHAnsi" w:hAnsiTheme="minorHAnsi" w:cstheme="minorHAnsi"/>
                <w:color w:val="212121"/>
                <w:sz w:val="16"/>
                <w:szCs w:val="16"/>
                <w:lang w:val="en-AU" w:eastAsia="en-AU"/>
              </w:rPr>
              <w:t xml:space="preserve"> Accessed </w:t>
            </w:r>
            <w:r w:rsidRPr="004F152F" w:rsidR="007F7881">
              <w:rPr>
                <w:rFonts w:asciiTheme="minorHAnsi" w:hAnsiTheme="minorHAnsi" w:cstheme="minorHAnsi"/>
                <w:color w:val="212121"/>
                <w:sz w:val="16"/>
                <w:szCs w:val="16"/>
                <w:lang w:val="en-AU" w:eastAsia="en-AU"/>
              </w:rPr>
              <w:t>1-3-2021</w:t>
            </w:r>
          </w:p>
          <w:p w:rsidRPr="004F152F" w:rsidR="007F7881" w:rsidP="001B0E05" w:rsidRDefault="007F7881" w14:paraId="77645ADB" w14:textId="22B101DB">
            <w:pPr>
              <w:numPr>
                <w:ilvl w:val="1"/>
                <w:numId w:val="106"/>
              </w:numPr>
              <w:ind w:left="0"/>
              <w:jc w:val="both"/>
              <w:rPr>
                <w:rFonts w:asciiTheme="minorHAnsi" w:hAnsiTheme="minorHAnsi" w:cstheme="minorHAnsi"/>
                <w:color w:val="212121"/>
                <w:sz w:val="16"/>
                <w:szCs w:val="16"/>
                <w:lang w:val="en-AU" w:eastAsia="en-AU"/>
              </w:rPr>
            </w:pPr>
            <w:r w:rsidRPr="004F152F">
              <w:rPr>
                <w:rFonts w:asciiTheme="minorHAnsi" w:hAnsiTheme="minorHAnsi" w:cstheme="minorHAnsi"/>
                <w:color w:val="212121"/>
                <w:sz w:val="16"/>
                <w:szCs w:val="16"/>
                <w:lang w:val="en-AU" w:eastAsia="en-AU"/>
              </w:rPr>
              <w:t xml:space="preserve">2. </w:t>
            </w:r>
            <w:r w:rsidRPr="004F152F" w:rsidR="004F152F">
              <w:rPr>
                <w:rFonts w:asciiTheme="minorHAnsi" w:hAnsiTheme="minorHAnsi" w:cstheme="minorHAnsi"/>
                <w:color w:val="212121"/>
                <w:sz w:val="16"/>
                <w:szCs w:val="16"/>
                <w:lang w:val="en-AU" w:eastAsia="en-AU"/>
              </w:rPr>
              <w:t>Dani C, Pratesi S, Raimondi F, Romagnoli C; Task Force for Hyperbilirubinemia of the Italian Society of Neonatology. Italian guidelines for the management and treatment of neonatal cholestasis. Ital J Pediatr. 2015;41:69. Published 2015 Oct 1. doi:10.1186/s13052-015-0178-7</w:t>
            </w:r>
          </w:p>
          <w:p w:rsidRPr="004F152F" w:rsidR="00D87DEC" w:rsidP="001B0E05" w:rsidRDefault="004F152F" w14:paraId="72F62E42" w14:textId="2E396F40">
            <w:pPr>
              <w:numPr>
                <w:ilvl w:val="1"/>
                <w:numId w:val="106"/>
              </w:numPr>
              <w:ind w:left="0"/>
              <w:jc w:val="both"/>
              <w:rPr>
                <w:rFonts w:asciiTheme="minorHAnsi" w:hAnsiTheme="minorHAnsi" w:cstheme="minorHAnsi"/>
                <w:color w:val="212121"/>
                <w:sz w:val="16"/>
                <w:szCs w:val="16"/>
                <w:lang w:val="en-AU" w:eastAsia="en-AU"/>
              </w:rPr>
            </w:pPr>
            <w:r w:rsidRPr="004F152F">
              <w:rPr>
                <w:rFonts w:asciiTheme="minorHAnsi" w:hAnsiTheme="minorHAnsi" w:cstheme="minorHAnsi"/>
                <w:color w:val="212121"/>
                <w:sz w:val="16"/>
                <w:szCs w:val="16"/>
                <w:lang w:val="en-AU" w:eastAsia="en-AU"/>
              </w:rPr>
              <w:t>3</w:t>
            </w:r>
            <w:r w:rsidRPr="004F152F" w:rsidR="007F7881">
              <w:rPr>
                <w:rFonts w:asciiTheme="minorHAnsi" w:hAnsiTheme="minorHAnsi" w:cstheme="minorHAnsi"/>
                <w:color w:val="212121"/>
                <w:sz w:val="16"/>
                <w:szCs w:val="16"/>
                <w:lang w:val="en-AU" w:eastAsia="en-AU"/>
              </w:rPr>
              <w:t xml:space="preserve">. </w:t>
            </w:r>
            <w:r w:rsidRPr="004F152F" w:rsidR="00D87DEC">
              <w:rPr>
                <w:rFonts w:asciiTheme="minorHAnsi" w:hAnsiTheme="minorHAnsi" w:cstheme="minorHAnsi"/>
                <w:color w:val="212121"/>
                <w:sz w:val="16"/>
                <w:szCs w:val="16"/>
                <w:lang w:val="en-AU" w:eastAsia="en-AU"/>
              </w:rPr>
              <w:t>Darlow BA, Graham PJ, Rojas-Reyes MX. Vitamin A supplementation to prevent mortality and short- and long-term morbidity in very low birth weight infants. Cochrane Database of Syst Rev. 2016;8:CD000501</w:t>
            </w:r>
          </w:p>
          <w:p w:rsidRPr="004F152F" w:rsidR="00897633" w:rsidP="001B0E05" w:rsidRDefault="004F152F" w14:paraId="06121AC5" w14:textId="4AD62D76">
            <w:pPr>
              <w:numPr>
                <w:ilvl w:val="1"/>
                <w:numId w:val="106"/>
              </w:numPr>
              <w:ind w:left="0"/>
              <w:jc w:val="both"/>
              <w:rPr>
                <w:rFonts w:asciiTheme="minorHAnsi" w:hAnsiTheme="minorHAnsi" w:cstheme="minorHAnsi"/>
                <w:color w:val="212121"/>
                <w:sz w:val="16"/>
                <w:szCs w:val="16"/>
                <w:lang w:val="en-AU" w:eastAsia="en-AU"/>
              </w:rPr>
            </w:pPr>
            <w:r w:rsidRPr="004F152F">
              <w:rPr>
                <w:rFonts w:asciiTheme="minorHAnsi" w:hAnsiTheme="minorHAnsi" w:cstheme="minorHAnsi"/>
                <w:color w:val="212121"/>
                <w:sz w:val="16"/>
                <w:szCs w:val="16"/>
                <w:shd w:val="clear" w:color="auto" w:fill="FFFFFF"/>
              </w:rPr>
              <w:t>4</w:t>
            </w:r>
            <w:r w:rsidRPr="004F152F" w:rsidR="004D74A4">
              <w:rPr>
                <w:rFonts w:asciiTheme="minorHAnsi" w:hAnsiTheme="minorHAnsi" w:cstheme="minorHAnsi"/>
                <w:color w:val="212121"/>
                <w:sz w:val="16"/>
                <w:szCs w:val="16"/>
                <w:shd w:val="clear" w:color="auto" w:fill="FFFFFF"/>
              </w:rPr>
              <w:t xml:space="preserve">. </w:t>
            </w:r>
            <w:r w:rsidRPr="004F152F" w:rsidR="00897633">
              <w:rPr>
                <w:rFonts w:asciiTheme="minorHAnsi" w:hAnsiTheme="minorHAnsi" w:cstheme="minorHAnsi"/>
                <w:color w:val="212121"/>
                <w:sz w:val="16"/>
                <w:szCs w:val="16"/>
                <w:shd w:val="clear" w:color="auto" w:fill="FFFFFF"/>
              </w:rPr>
              <w:t>Araki S, Kato S, Namba F, Ota E. Vitamin A to prevent bronchopulmonary dysplasia in extremely low birth weight infants: a systematic review and meta-analysis. PLoS One. 2018 Nov 29;13(11):e0207730. doi: 10.1371/journal.pone.0207730. PMID: 30496228; PMCID: PMC6264498.</w:t>
            </w:r>
          </w:p>
          <w:p w:rsidRPr="004F152F" w:rsidR="00897633" w:rsidP="006F0321" w:rsidRDefault="00897633" w14:paraId="63E41E5D" w14:textId="77777777">
            <w:pPr>
              <w:rPr>
                <w:sz w:val="16"/>
                <w:szCs w:val="16"/>
              </w:rPr>
            </w:pPr>
          </w:p>
        </w:tc>
      </w:tr>
    </w:tbl>
    <w:p w:rsidRPr="00E25790" w:rsidR="00115F48" w:rsidP="006F0321" w:rsidRDefault="00115F48" w14:paraId="620A2C7C" w14:textId="77777777"/>
    <w:tbl>
      <w:tblPr>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92"/>
        <w:gridCol w:w="4770"/>
      </w:tblGrid>
      <w:tr w:rsidRPr="00800118" w:rsidR="00055D56" w:rsidTr="00FE4186" w14:paraId="2C33F3AB" w14:textId="77777777">
        <w:tc>
          <w:tcPr>
            <w:tcW w:w="4192" w:type="dxa"/>
            <w:vAlign w:val="center"/>
          </w:tcPr>
          <w:p w:rsidRPr="00800118" w:rsidR="00055D56" w:rsidP="00FE4186" w:rsidRDefault="00055D56" w14:paraId="581570EB" w14:textId="54F9EDE9">
            <w:pPr>
              <w:rPr>
                <w:lang w:val="en-AU"/>
              </w:rPr>
            </w:pPr>
            <w:r w:rsidRPr="00800118">
              <w:rPr>
                <w:lang w:val="en-AU"/>
              </w:rPr>
              <w:t xml:space="preserve">Original version Date: </w:t>
            </w:r>
            <w:r>
              <w:rPr>
                <w:lang w:val="en-AU"/>
              </w:rPr>
              <w:t>2014</w:t>
            </w:r>
          </w:p>
        </w:tc>
        <w:tc>
          <w:tcPr>
            <w:tcW w:w="4770" w:type="dxa"/>
            <w:vAlign w:val="center"/>
          </w:tcPr>
          <w:p w:rsidRPr="00800118" w:rsidR="00055D56" w:rsidP="00FE4186" w:rsidRDefault="00055D56" w14:paraId="4999CC00" w14:textId="77777777">
            <w:pPr>
              <w:rPr>
                <w:lang w:val="en-AU"/>
              </w:rPr>
            </w:pPr>
            <w:r w:rsidRPr="00800118">
              <w:rPr>
                <w:lang w:val="en-AU"/>
              </w:rPr>
              <w:t>Author: ANMF Consensus Group</w:t>
            </w:r>
          </w:p>
        </w:tc>
      </w:tr>
      <w:tr w:rsidRPr="00800118" w:rsidR="00055D56" w:rsidTr="00FE4186" w14:paraId="1FD0EAEC" w14:textId="77777777">
        <w:tc>
          <w:tcPr>
            <w:tcW w:w="4192" w:type="dxa"/>
            <w:vAlign w:val="center"/>
          </w:tcPr>
          <w:p w:rsidRPr="00800118" w:rsidR="00055D56" w:rsidP="00FE4186" w:rsidRDefault="00055D56" w14:paraId="6017AE87" w14:textId="77777777">
            <w:pPr>
              <w:rPr>
                <w:bCs/>
                <w:lang w:val="en-AU"/>
              </w:rPr>
            </w:pPr>
            <w:r w:rsidRPr="00800118">
              <w:rPr>
                <w:lang w:val="en-AU"/>
              </w:rPr>
              <w:t>Current Version number:  2.0</w:t>
            </w:r>
          </w:p>
        </w:tc>
        <w:tc>
          <w:tcPr>
            <w:tcW w:w="4770" w:type="dxa"/>
            <w:vAlign w:val="center"/>
          </w:tcPr>
          <w:p w:rsidRPr="00800118" w:rsidR="00055D56" w:rsidP="00FE4186" w:rsidRDefault="00055D56" w14:paraId="078F4EDB" w14:textId="078931AC">
            <w:pPr>
              <w:rPr>
                <w:lang w:val="en-AU"/>
              </w:rPr>
            </w:pPr>
            <w:r w:rsidRPr="00800118">
              <w:rPr>
                <w:lang w:val="en-AU"/>
              </w:rPr>
              <w:t xml:space="preserve">Version Date:  </w:t>
            </w:r>
            <w:r>
              <w:rPr>
                <w:lang w:val="en-AU"/>
              </w:rPr>
              <w:t>1/3/2021</w:t>
            </w:r>
          </w:p>
        </w:tc>
      </w:tr>
      <w:tr w:rsidRPr="00800118" w:rsidR="00055D56" w:rsidTr="00FE4186" w14:paraId="4FFDF5C3" w14:textId="77777777">
        <w:tc>
          <w:tcPr>
            <w:tcW w:w="4192" w:type="dxa"/>
            <w:vAlign w:val="center"/>
          </w:tcPr>
          <w:p w:rsidRPr="00800118" w:rsidR="00055D56" w:rsidP="00FE4186" w:rsidRDefault="00055D56" w14:paraId="2CD11E87" w14:textId="3610A96B">
            <w:pPr>
              <w:rPr>
                <w:lang w:val="en-AU"/>
              </w:rPr>
            </w:pPr>
            <w:r w:rsidRPr="00800118">
              <w:rPr>
                <w:lang w:val="en-AU"/>
              </w:rPr>
              <w:t xml:space="preserve">Risk Rating: </w:t>
            </w:r>
            <w:r>
              <w:rPr>
                <w:lang w:val="en-AU"/>
              </w:rPr>
              <w:t>Low</w:t>
            </w:r>
          </w:p>
        </w:tc>
        <w:tc>
          <w:tcPr>
            <w:tcW w:w="4770" w:type="dxa"/>
            <w:vAlign w:val="center"/>
          </w:tcPr>
          <w:p w:rsidRPr="00800118" w:rsidR="00055D56" w:rsidP="00FE4186" w:rsidRDefault="00055D56" w14:paraId="6D8CDCC2" w14:textId="0277D5FF">
            <w:pPr>
              <w:rPr>
                <w:lang w:val="en-AU"/>
              </w:rPr>
            </w:pPr>
            <w:r w:rsidRPr="00800118">
              <w:rPr>
                <w:lang w:val="en-AU"/>
              </w:rPr>
              <w:t xml:space="preserve">Due for Review:  </w:t>
            </w:r>
            <w:r>
              <w:rPr>
                <w:lang w:val="en-AU"/>
              </w:rPr>
              <w:t>1/3/2026</w:t>
            </w:r>
          </w:p>
        </w:tc>
      </w:tr>
      <w:tr w:rsidRPr="00800118" w:rsidR="00055D56" w:rsidTr="00FE4186" w14:paraId="5E0BDCDE" w14:textId="77777777">
        <w:trPr>
          <w:trHeight w:val="344"/>
        </w:trPr>
        <w:tc>
          <w:tcPr>
            <w:tcW w:w="4192" w:type="dxa"/>
            <w:tcBorders>
              <w:bottom w:val="single" w:color="auto" w:sz="4" w:space="0"/>
            </w:tcBorders>
            <w:vAlign w:val="center"/>
          </w:tcPr>
          <w:p w:rsidRPr="00800118" w:rsidR="00055D56" w:rsidP="00FE4186" w:rsidRDefault="00055D56" w14:paraId="5CCA1A45" w14:textId="77777777">
            <w:pPr>
              <w:rPr>
                <w:lang w:val="en-AU"/>
              </w:rPr>
            </w:pPr>
            <w:r w:rsidRPr="00800118">
              <w:rPr>
                <w:lang w:val="en-AU"/>
              </w:rPr>
              <w:t xml:space="preserve">Approved by: </w:t>
            </w:r>
            <w:r>
              <w:rPr>
                <w:lang w:val="en-AU"/>
              </w:rPr>
              <w:t>DTC</w:t>
            </w:r>
          </w:p>
        </w:tc>
        <w:tc>
          <w:tcPr>
            <w:tcW w:w="4770" w:type="dxa"/>
            <w:tcBorders>
              <w:bottom w:val="single" w:color="auto" w:sz="4" w:space="0"/>
            </w:tcBorders>
            <w:vAlign w:val="center"/>
          </w:tcPr>
          <w:p w:rsidRPr="00800118" w:rsidR="00055D56" w:rsidP="00FE4186" w:rsidRDefault="00055D56" w14:paraId="505EC080" w14:textId="2CE780D2">
            <w:pPr>
              <w:rPr>
                <w:lang w:val="en-AU"/>
              </w:rPr>
            </w:pPr>
            <w:r w:rsidRPr="00800118">
              <w:rPr>
                <w:lang w:val="en-AU"/>
              </w:rPr>
              <w:t xml:space="preserve">Approval Date: </w:t>
            </w:r>
            <w:r w:rsidR="00260BC8">
              <w:rPr>
                <w:lang w:val="en-AU"/>
              </w:rPr>
              <w:t>APRIL 2021</w:t>
            </w:r>
          </w:p>
        </w:tc>
      </w:tr>
    </w:tbl>
    <w:p w:rsidRPr="00E25790" w:rsidR="00115F48" w:rsidP="006F0321" w:rsidRDefault="00115F48" w14:paraId="3B5987F5" w14:textId="77777777"/>
    <w:p w:rsidR="00115F48" w:rsidP="006F0321" w:rsidRDefault="00115F48" w14:paraId="74C1A5F5" w14:textId="479662C9">
      <w:r w:rsidRPr="00E25790">
        <w:br w:type="page"/>
      </w:r>
    </w:p>
    <w:tbl>
      <w:tblPr>
        <w:tblW w:w="9049" w:type="dxa"/>
        <w:tblLayout w:type="fixed"/>
        <w:tblLook w:val="0000" w:firstRow="0" w:lastRow="0" w:firstColumn="0" w:lastColumn="0" w:noHBand="0" w:noVBand="0"/>
      </w:tblPr>
      <w:tblGrid>
        <w:gridCol w:w="4153"/>
        <w:gridCol w:w="4896"/>
      </w:tblGrid>
      <w:tr w:rsidRPr="00E25790" w:rsidR="00B1185E" w:rsidTr="00131848" w14:paraId="2F7CAE53"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B1185E" w:rsidP="00131848" w:rsidRDefault="00B1185E" w14:paraId="520F4952" w14:textId="1215211E">
            <w:pPr>
              <w:pStyle w:val="Heading1"/>
            </w:pPr>
            <w:bookmarkStart w:name="_Toc75340059" w:id="616"/>
            <w:r>
              <w:lastRenderedPageBreak/>
              <w:t>V</w:t>
            </w:r>
            <w:r w:rsidRPr="006A160B">
              <w:t xml:space="preserve">itamin </w:t>
            </w:r>
            <w:r>
              <w:t>D</w:t>
            </w:r>
            <w:r w:rsidR="00093DC1">
              <w:t>3</w:t>
            </w:r>
            <w:r w:rsidRPr="006A160B">
              <w:t xml:space="preserve"> (</w:t>
            </w:r>
            <w:r w:rsidR="00093DC1">
              <w:t>Cholecalciferol</w:t>
            </w:r>
            <w:r w:rsidRPr="006A160B">
              <w:t>)</w:t>
            </w:r>
            <w:bookmarkEnd w:id="616"/>
            <w:r w:rsidRPr="006A160B">
              <w:fldChar w:fldCharType="begin"/>
            </w:r>
            <w:r w:rsidRPr="006A160B">
              <w:instrText>tc "Vitamin_A_(Retinol)" \l 0</w:instrText>
            </w:r>
            <w:r w:rsidRPr="006A160B">
              <w:fldChar w:fldCharType="end"/>
            </w:r>
          </w:p>
        </w:tc>
      </w:tr>
      <w:tr w:rsidRPr="00E25790" w:rsidR="00B1185E" w:rsidTr="00131848" w14:paraId="2AB51E28"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B1185E" w:rsidP="00131848" w:rsidRDefault="00B1185E" w14:paraId="5D387054" w14:textId="684F0AAC">
            <w:r w:rsidRPr="00E25790">
              <w:t>Revision Date :</w:t>
            </w:r>
            <w:r>
              <w:t xml:space="preserve"> </w:t>
            </w:r>
            <w:r w:rsidR="00093DC1">
              <w:t>9-6-2021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B1185E" w:rsidP="00131848" w:rsidRDefault="00B1185E" w14:paraId="593A3FF9" w14:textId="3B594E63">
            <w:r w:rsidRPr="00E25790">
              <w:t xml:space="preserve">Approved: </w:t>
            </w:r>
            <w:r>
              <w:t>TC, KOH</w:t>
            </w:r>
          </w:p>
        </w:tc>
      </w:tr>
    </w:tbl>
    <w:p w:rsidR="00B1185E" w:rsidP="006F0321" w:rsidRDefault="00B1185E" w14:paraId="65891DE1" w14:textId="6C210700"/>
    <w:tbl>
      <w:tblPr>
        <w:tblW w:w="978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44"/>
        <w:gridCol w:w="7938"/>
      </w:tblGrid>
      <w:tr w:rsidRPr="00AA350F" w:rsidR="00393D09" w:rsidTr="004F7403" w14:paraId="02F9F864" w14:textId="77777777">
        <w:trPr>
          <w:trHeight w:val="70"/>
        </w:trPr>
        <w:tc>
          <w:tcPr>
            <w:tcW w:w="1844" w:type="dxa"/>
          </w:tcPr>
          <w:p w:rsidRPr="00AA350F" w:rsidR="00393D09" w:rsidP="00131848" w:rsidRDefault="00393D09" w14:paraId="123B4AE5" w14:textId="77777777">
            <w:pPr>
              <w:pStyle w:val="BodyText"/>
              <w:tabs>
                <w:tab w:val="center" w:pos="1476"/>
              </w:tabs>
              <w:rPr>
                <w:rFonts w:asciiTheme="minorHAnsi" w:hAnsiTheme="minorHAnsi" w:cstheme="minorHAnsi"/>
                <w:b/>
                <w:sz w:val="20"/>
                <w:lang w:val="en-AU"/>
              </w:rPr>
            </w:pPr>
            <w:r w:rsidRPr="00AA350F">
              <w:rPr>
                <w:rFonts w:asciiTheme="minorHAnsi" w:hAnsiTheme="minorHAnsi" w:cstheme="minorHAnsi"/>
                <w:b/>
                <w:sz w:val="20"/>
                <w:lang w:val="en-AU"/>
              </w:rPr>
              <w:t>Alert</w:t>
            </w:r>
            <w:r w:rsidRPr="00AA350F">
              <w:rPr>
                <w:rFonts w:asciiTheme="minorHAnsi" w:hAnsiTheme="minorHAnsi" w:cstheme="minorHAnsi"/>
                <w:b/>
                <w:sz w:val="20"/>
                <w:lang w:val="en-AU"/>
              </w:rPr>
              <w:tab/>
            </w:r>
          </w:p>
        </w:tc>
        <w:tc>
          <w:tcPr>
            <w:tcW w:w="7938" w:type="dxa"/>
          </w:tcPr>
          <w:p w:rsidRPr="00AA350F" w:rsidR="00393D09" w:rsidP="00131848" w:rsidRDefault="00393D09" w14:paraId="07B4F85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Colecalciferol (Vitamin D3) is the inactive form of vitamin D</w:t>
            </w:r>
            <w:r>
              <w:rPr>
                <w:rFonts w:asciiTheme="minorHAnsi" w:hAnsiTheme="minorHAnsi" w:cstheme="minorHAnsi"/>
                <w:sz w:val="20"/>
                <w:lang w:val="en-AU"/>
              </w:rPr>
              <w:t>.</w:t>
            </w:r>
          </w:p>
          <w:p w:rsidRPr="00AA350F" w:rsidR="00393D09" w:rsidP="00131848" w:rsidRDefault="00393D09" w14:paraId="44A86146"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1 microgram colecalciferol = 40 international units (hereafter referred to as “units”) of vitamin D</w:t>
            </w:r>
            <w:r>
              <w:rPr>
                <w:rFonts w:asciiTheme="minorHAnsi" w:hAnsiTheme="minorHAnsi" w:cstheme="minorHAnsi"/>
                <w:sz w:val="20"/>
                <w:lang w:val="en-AU"/>
              </w:rPr>
              <w:t>3</w:t>
            </w:r>
            <w:r w:rsidRPr="00AA350F">
              <w:rPr>
                <w:rFonts w:asciiTheme="minorHAnsi" w:hAnsiTheme="minorHAnsi" w:cstheme="minorHAnsi"/>
                <w:sz w:val="20"/>
                <w:lang w:val="en-AU"/>
              </w:rPr>
              <w:t xml:space="preserve">. </w:t>
            </w:r>
          </w:p>
          <w:p w:rsidRPr="00AA350F" w:rsidR="00393D09" w:rsidP="00131848" w:rsidRDefault="00393D09" w14:paraId="0AA88656"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Vitamin D content in preterm and term human milk and formulas may not provide enough vitamin D to meet the recommended daily intake of vitamin D 400 units /day.</w:t>
            </w:r>
            <w:r w:rsidRPr="00AA350F">
              <w:rPr>
                <w:rFonts w:asciiTheme="minorHAnsi" w:hAnsiTheme="minorHAnsi" w:cstheme="minorHAnsi"/>
                <w:noProof/>
                <w:sz w:val="20"/>
                <w:lang w:val="en-AU"/>
              </w:rPr>
              <w:t>(1)</w:t>
            </w:r>
          </w:p>
          <w:p w:rsidRPr="00AA350F" w:rsidR="00393D09" w:rsidP="00131848" w:rsidRDefault="00393D09" w14:paraId="7E3644CA"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Some preparations may contain sodium benzoate - Avoid exposure of &gt;99mg/kg/day in neonates.</w:t>
            </w:r>
          </w:p>
        </w:tc>
      </w:tr>
      <w:tr w:rsidRPr="00AA350F" w:rsidR="00393D09" w:rsidTr="004F7403" w14:paraId="282FC92E" w14:textId="77777777">
        <w:trPr>
          <w:trHeight w:val="72"/>
        </w:trPr>
        <w:tc>
          <w:tcPr>
            <w:tcW w:w="1844" w:type="dxa"/>
          </w:tcPr>
          <w:p w:rsidRPr="00AA350F" w:rsidR="00393D09" w:rsidP="00131848" w:rsidRDefault="00393D09" w14:paraId="4ABAC34F" w14:textId="77777777">
            <w:pPr>
              <w:pStyle w:val="BodyText"/>
              <w:rPr>
                <w:rFonts w:asciiTheme="minorHAnsi" w:hAnsiTheme="minorHAnsi" w:cstheme="minorHAnsi"/>
                <w:sz w:val="20"/>
                <w:lang w:val="en-AU"/>
              </w:rPr>
            </w:pPr>
            <w:r w:rsidRPr="00AA350F">
              <w:rPr>
                <w:rFonts w:asciiTheme="minorHAnsi" w:hAnsiTheme="minorHAnsi" w:cstheme="minorHAnsi"/>
                <w:b/>
                <w:bCs/>
                <w:sz w:val="20"/>
                <w:lang w:val="en-AU"/>
              </w:rPr>
              <w:t>Indication</w:t>
            </w:r>
          </w:p>
        </w:tc>
        <w:tc>
          <w:tcPr>
            <w:tcW w:w="7938" w:type="dxa"/>
          </w:tcPr>
          <w:p w:rsidRPr="00AA350F" w:rsidR="00393D09" w:rsidP="00131848" w:rsidRDefault="00393D09" w14:paraId="79E38344" w14:textId="77777777">
            <w:pPr>
              <w:rPr>
                <w:rFonts w:asciiTheme="minorHAnsi" w:hAnsiTheme="minorHAnsi" w:cstheme="minorHAnsi"/>
                <w:sz w:val="20"/>
              </w:rPr>
            </w:pPr>
            <w:r w:rsidRPr="00AA350F">
              <w:rPr>
                <w:rFonts w:asciiTheme="minorHAnsi" w:hAnsiTheme="minorHAnsi" w:cstheme="minorHAnsi"/>
                <w:sz w:val="20"/>
              </w:rPr>
              <w:t>Prevention and treatment of vitamin D deficiency and nutritional rickets (in combination with adequate mineral intake).</w:t>
            </w:r>
          </w:p>
        </w:tc>
      </w:tr>
      <w:tr w:rsidRPr="00AA350F" w:rsidR="00393D09" w:rsidTr="004F7403" w14:paraId="4F92B694" w14:textId="77777777">
        <w:trPr>
          <w:trHeight w:val="70"/>
        </w:trPr>
        <w:tc>
          <w:tcPr>
            <w:tcW w:w="1844" w:type="dxa"/>
          </w:tcPr>
          <w:p w:rsidRPr="00AA350F" w:rsidR="00393D09" w:rsidP="00131848" w:rsidRDefault="00393D09" w14:paraId="4C45BEC1"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Action</w:t>
            </w:r>
          </w:p>
        </w:tc>
        <w:tc>
          <w:tcPr>
            <w:tcW w:w="7938" w:type="dxa"/>
          </w:tcPr>
          <w:p w:rsidRPr="00AA350F" w:rsidR="00393D09" w:rsidP="00131848" w:rsidRDefault="00393D09" w14:paraId="2AB3D22C" w14:textId="77777777">
            <w:pPr>
              <w:rPr>
                <w:rFonts w:asciiTheme="minorHAnsi" w:hAnsiTheme="minorHAnsi" w:cstheme="minorHAnsi"/>
                <w:color w:val="000000"/>
                <w:sz w:val="20"/>
              </w:rPr>
            </w:pPr>
            <w:r w:rsidRPr="00AA350F">
              <w:rPr>
                <w:rFonts w:asciiTheme="minorHAnsi" w:hAnsiTheme="minorHAnsi" w:cstheme="minorHAnsi"/>
                <w:color w:val="000000"/>
                <w:sz w:val="20"/>
              </w:rPr>
              <w:t>Regulating body levels of calcium and phosphorus, and mineralization of bone</w:t>
            </w:r>
          </w:p>
        </w:tc>
      </w:tr>
      <w:tr w:rsidRPr="00AA350F" w:rsidR="00393D09" w:rsidTr="004F7403" w14:paraId="52D2D087" w14:textId="77777777">
        <w:trPr>
          <w:trHeight w:val="266"/>
        </w:trPr>
        <w:tc>
          <w:tcPr>
            <w:tcW w:w="1844" w:type="dxa"/>
          </w:tcPr>
          <w:p w:rsidRPr="00AA350F" w:rsidR="00393D09" w:rsidP="00131848" w:rsidRDefault="00393D09" w14:paraId="4A732860" w14:textId="77777777">
            <w:pPr>
              <w:pStyle w:val="BodyText"/>
              <w:rPr>
                <w:rFonts w:asciiTheme="minorHAnsi" w:hAnsiTheme="minorHAnsi" w:cstheme="minorHAnsi"/>
                <w:sz w:val="20"/>
                <w:lang w:val="en-AU"/>
              </w:rPr>
            </w:pPr>
            <w:r w:rsidRPr="00AA350F">
              <w:rPr>
                <w:rFonts w:asciiTheme="minorHAnsi" w:hAnsiTheme="minorHAnsi" w:cstheme="minorHAnsi"/>
                <w:b/>
                <w:bCs/>
                <w:sz w:val="20"/>
                <w:lang w:val="en-AU"/>
              </w:rPr>
              <w:t xml:space="preserve">Drug type                                   </w:t>
            </w:r>
          </w:p>
        </w:tc>
        <w:tc>
          <w:tcPr>
            <w:tcW w:w="7938" w:type="dxa"/>
          </w:tcPr>
          <w:p w:rsidRPr="00AA350F" w:rsidR="00393D09" w:rsidP="00131848" w:rsidRDefault="00393D09" w14:paraId="3EE0D832"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Fat soluble vitamin </w:t>
            </w:r>
          </w:p>
        </w:tc>
      </w:tr>
      <w:tr w:rsidRPr="00AA350F" w:rsidR="00393D09" w:rsidTr="004F7403" w14:paraId="6A5946F3" w14:textId="77777777">
        <w:trPr>
          <w:trHeight w:val="1211"/>
        </w:trPr>
        <w:tc>
          <w:tcPr>
            <w:tcW w:w="1844" w:type="dxa"/>
          </w:tcPr>
          <w:p w:rsidRPr="00AA350F" w:rsidR="00393D09" w:rsidP="00131848" w:rsidRDefault="00393D09" w14:paraId="7C96A720"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Trade name                  </w:t>
            </w:r>
          </w:p>
        </w:tc>
        <w:tc>
          <w:tcPr>
            <w:tcW w:w="7938" w:type="dxa"/>
          </w:tcPr>
          <w:p w:rsidRPr="00AA350F" w:rsidR="00393D09" w:rsidP="00131848" w:rsidRDefault="00393D09" w14:paraId="3A967FE5"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Bio-Logical Vitamin D3 Solution</w:t>
            </w:r>
          </w:p>
          <w:p w:rsidRPr="00AA350F" w:rsidR="00393D09" w:rsidP="00131848" w:rsidRDefault="00393D09" w14:paraId="3AB5450A"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Ostelin Vitamin D</w:t>
            </w:r>
          </w:p>
          <w:p w:rsidRPr="00AA350F" w:rsidR="00393D09" w:rsidP="00131848" w:rsidRDefault="00393D09" w14:paraId="57266A1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OsteVit-D Liquid</w:t>
            </w:r>
          </w:p>
          <w:p w:rsidRPr="00AA350F" w:rsidR="00393D09" w:rsidP="00131848" w:rsidRDefault="00393D09" w14:paraId="77C11646"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OsteVit-D Vitamin D3 Oral Drops for Children</w:t>
            </w:r>
          </w:p>
          <w:p w:rsidRPr="00AA350F" w:rsidR="00393D09" w:rsidP="00131848" w:rsidRDefault="00393D09" w14:paraId="4580696D"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Penta-vite Infant Liquid Multivitamin Oral liquid</w:t>
            </w:r>
          </w:p>
        </w:tc>
      </w:tr>
      <w:tr w:rsidRPr="00AA350F" w:rsidR="00393D09" w:rsidTr="004F7403" w14:paraId="1BFA488F" w14:textId="77777777">
        <w:trPr>
          <w:trHeight w:val="70"/>
        </w:trPr>
        <w:tc>
          <w:tcPr>
            <w:tcW w:w="1844" w:type="dxa"/>
          </w:tcPr>
          <w:p w:rsidRPr="00AA350F" w:rsidR="00393D09" w:rsidP="00131848" w:rsidRDefault="00393D09" w14:paraId="7E03B5A2"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Presentation </w:t>
            </w:r>
          </w:p>
        </w:tc>
        <w:tc>
          <w:tcPr>
            <w:tcW w:w="7938" w:type="dxa"/>
          </w:tcPr>
          <w:p w:rsidRPr="00AA350F" w:rsidR="00393D09" w:rsidP="00131848" w:rsidRDefault="00393D09" w14:paraId="6F5C147D"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Ostelin Vitamin D Oral Liquid - vitamin D3 1000 units</w:t>
            </w:r>
            <w:r>
              <w:rPr>
                <w:rFonts w:asciiTheme="minorHAnsi" w:hAnsiTheme="minorHAnsi" w:cstheme="minorHAnsi"/>
                <w:sz w:val="20"/>
                <w:lang w:val="en-AU"/>
              </w:rPr>
              <w:t xml:space="preserve"> (colecalciferol 25 microgram)</w:t>
            </w:r>
            <w:r w:rsidRPr="00AA350F">
              <w:rPr>
                <w:rFonts w:asciiTheme="minorHAnsi" w:hAnsiTheme="minorHAnsi" w:cstheme="minorHAnsi"/>
                <w:sz w:val="20"/>
                <w:lang w:val="en-AU"/>
              </w:rPr>
              <w:t>/0.5 mL liquid</w:t>
            </w:r>
          </w:p>
          <w:p w:rsidRPr="00AA350F" w:rsidR="00393D09" w:rsidP="00131848" w:rsidRDefault="00393D09" w14:paraId="3A8AFD5E" w14:textId="77777777">
            <w:pPr>
              <w:pStyle w:val="BodyText"/>
              <w:rPr>
                <w:rFonts w:asciiTheme="minorHAnsi" w:hAnsiTheme="minorHAnsi" w:cstheme="minorHAnsi"/>
                <w:sz w:val="20"/>
                <w:lang w:val="en-AU"/>
              </w:rPr>
            </w:pPr>
          </w:p>
          <w:p w:rsidRPr="00AA350F" w:rsidR="00393D09" w:rsidP="00131848" w:rsidRDefault="00393D09" w14:paraId="0126BFAA"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Penta-vite Infant Liquid Multivitamin Oral Liquid - Per 0.45 mL: </w:t>
            </w:r>
            <w:r w:rsidRPr="00AA350F">
              <w:rPr>
                <w:rFonts w:asciiTheme="minorHAnsi" w:hAnsiTheme="minorHAnsi" w:cstheme="minorHAnsi"/>
                <w:b/>
                <w:sz w:val="20"/>
                <w:lang w:val="en-AU"/>
              </w:rPr>
              <w:t>vitamin D3</w:t>
            </w:r>
            <w:r>
              <w:rPr>
                <w:rFonts w:asciiTheme="minorHAnsi" w:hAnsiTheme="minorHAnsi" w:cstheme="minorHAnsi"/>
                <w:b/>
                <w:sz w:val="20"/>
                <w:lang w:val="en-AU"/>
              </w:rPr>
              <w:t xml:space="preserve"> 404 units</w:t>
            </w:r>
            <w:r w:rsidRPr="00AA350F">
              <w:rPr>
                <w:rFonts w:asciiTheme="minorHAnsi" w:hAnsiTheme="minorHAnsi" w:cstheme="minorHAnsi"/>
                <w:b/>
                <w:sz w:val="20"/>
                <w:lang w:val="en-AU"/>
              </w:rPr>
              <w:t xml:space="preserve"> (colecalciferol 10.1 microgram</w:t>
            </w:r>
            <w:r>
              <w:rPr>
                <w:rFonts w:asciiTheme="minorHAnsi" w:hAnsiTheme="minorHAnsi" w:cstheme="minorHAnsi"/>
                <w:b/>
                <w:sz w:val="20"/>
                <w:lang w:val="en-AU"/>
              </w:rPr>
              <w:t>)</w:t>
            </w:r>
          </w:p>
          <w:p w:rsidRPr="00AA350F" w:rsidR="00393D09" w:rsidP="00131848" w:rsidRDefault="00393D09" w14:paraId="46939F4B" w14:textId="77777777">
            <w:pPr>
              <w:pStyle w:val="BodyText"/>
              <w:rPr>
                <w:rFonts w:asciiTheme="minorHAnsi" w:hAnsiTheme="minorHAnsi" w:cstheme="minorHAnsi"/>
                <w:sz w:val="20"/>
                <w:lang w:val="en-AU"/>
              </w:rPr>
            </w:pPr>
          </w:p>
          <w:p w:rsidRPr="00AA350F" w:rsidR="00393D09" w:rsidP="00131848" w:rsidRDefault="00393D09" w14:paraId="2852E57A"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Biological Therapies Vitamin D3 Forte ampoules - 600 000 units/mL (15mg/mL of colecalciferol</w:t>
            </w:r>
            <w:r>
              <w:rPr>
                <w:rFonts w:asciiTheme="minorHAnsi" w:hAnsiTheme="minorHAnsi" w:cstheme="minorHAnsi"/>
                <w:sz w:val="20"/>
                <w:lang w:val="en-AU"/>
              </w:rPr>
              <w:t>)</w:t>
            </w:r>
            <w:r w:rsidRPr="00AA350F">
              <w:rPr>
                <w:rFonts w:asciiTheme="minorHAnsi" w:hAnsiTheme="minorHAnsi" w:cstheme="minorHAnsi"/>
                <w:sz w:val="20"/>
                <w:lang w:val="en-AU"/>
              </w:rPr>
              <w:t xml:space="preserve"> for intramuscular injection.</w:t>
            </w:r>
          </w:p>
          <w:p w:rsidRPr="00AA350F" w:rsidR="00393D09" w:rsidP="00131848" w:rsidRDefault="00393D09" w14:paraId="0F3A4779" w14:textId="77777777">
            <w:pPr>
              <w:pStyle w:val="BodyText"/>
              <w:rPr>
                <w:rFonts w:asciiTheme="minorHAnsi" w:hAnsiTheme="minorHAnsi" w:cstheme="minorHAnsi"/>
                <w:b/>
                <w:sz w:val="20"/>
                <w:lang w:val="en-AU"/>
              </w:rPr>
            </w:pPr>
          </w:p>
          <w:p w:rsidRPr="00AA350F" w:rsidR="00393D09" w:rsidP="00131848" w:rsidRDefault="00393D09" w14:paraId="49D4B1BE" w14:textId="77777777">
            <w:pPr>
              <w:pStyle w:val="BodyText"/>
              <w:rPr>
                <w:rFonts w:asciiTheme="minorHAnsi" w:hAnsiTheme="minorHAnsi" w:cstheme="minorHAnsi"/>
                <w:b/>
                <w:sz w:val="20"/>
                <w:lang w:val="en-AU"/>
              </w:rPr>
            </w:pPr>
            <w:r w:rsidRPr="00AA350F">
              <w:rPr>
                <w:rFonts w:asciiTheme="minorHAnsi" w:hAnsiTheme="minorHAnsi" w:cstheme="minorHAnsi"/>
                <w:b/>
                <w:sz w:val="20"/>
                <w:lang w:val="en-AU"/>
              </w:rPr>
              <w:t>The following preparations contain sodium benzoate as an excipient:</w:t>
            </w:r>
          </w:p>
          <w:p w:rsidRPr="00AA350F" w:rsidR="00393D09" w:rsidP="00131848" w:rsidRDefault="00393D09" w14:paraId="7FB3961E"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Bio-Logical Vitamin D3 Oral Solution – 1000 units per 0.2 mL vitamin D3</w:t>
            </w:r>
          </w:p>
          <w:p w:rsidRPr="00AA350F" w:rsidR="00393D09" w:rsidP="00131848" w:rsidRDefault="00393D09" w14:paraId="279303C5"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OsteVit-D Oral Liquid - vitamin D3 1000 units</w:t>
            </w:r>
            <w:r>
              <w:rPr>
                <w:rFonts w:asciiTheme="minorHAnsi" w:hAnsiTheme="minorHAnsi" w:cstheme="minorHAnsi"/>
                <w:sz w:val="20"/>
                <w:lang w:val="en-AU"/>
              </w:rPr>
              <w:t xml:space="preserve"> (colecalciferol 25 microgram)</w:t>
            </w:r>
            <w:r w:rsidRPr="00AA350F">
              <w:rPr>
                <w:rFonts w:asciiTheme="minorHAnsi" w:hAnsiTheme="minorHAnsi" w:cstheme="minorHAnsi"/>
                <w:sz w:val="20"/>
                <w:lang w:val="en-AU"/>
              </w:rPr>
              <w:t>/0.2 mL liquid</w:t>
            </w:r>
          </w:p>
          <w:p w:rsidRPr="00AA350F" w:rsidR="00393D09" w:rsidP="00131848" w:rsidRDefault="00393D09" w14:paraId="4E04749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OsteVit-D Vitamin D3 Oral Drops for Children - vitamin D3 200 units </w:t>
            </w:r>
            <w:r>
              <w:rPr>
                <w:rFonts w:asciiTheme="minorHAnsi" w:hAnsiTheme="minorHAnsi" w:cstheme="minorHAnsi"/>
                <w:sz w:val="20"/>
                <w:lang w:val="en-AU"/>
              </w:rPr>
              <w:t xml:space="preserve">(colecalciferol 5 microgram) </w:t>
            </w:r>
            <w:r w:rsidRPr="00AA350F">
              <w:rPr>
                <w:rFonts w:asciiTheme="minorHAnsi" w:hAnsiTheme="minorHAnsi" w:cstheme="minorHAnsi"/>
                <w:sz w:val="20"/>
                <w:lang w:val="en-AU"/>
              </w:rPr>
              <w:t>per drop (0.04 mL)</w:t>
            </w:r>
          </w:p>
        </w:tc>
      </w:tr>
      <w:tr w:rsidRPr="00AA350F" w:rsidR="00393D09" w:rsidTr="004F7403" w14:paraId="1F4BC3B3" w14:textId="77777777">
        <w:trPr>
          <w:trHeight w:val="70"/>
        </w:trPr>
        <w:tc>
          <w:tcPr>
            <w:tcW w:w="1844" w:type="dxa"/>
          </w:tcPr>
          <w:p w:rsidRPr="00AA350F" w:rsidR="00393D09" w:rsidP="00131848" w:rsidRDefault="00393D09" w14:paraId="6BBE5F27"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Dose                          </w:t>
            </w:r>
          </w:p>
        </w:tc>
        <w:tc>
          <w:tcPr>
            <w:tcW w:w="7938" w:type="dxa"/>
          </w:tcPr>
          <w:p w:rsidRPr="00AA350F" w:rsidR="00393D09" w:rsidP="00131848" w:rsidRDefault="00393D09" w14:paraId="015546C5" w14:textId="77777777">
            <w:pPr>
              <w:pStyle w:val="BodyText"/>
              <w:rPr>
                <w:rFonts w:asciiTheme="minorHAnsi" w:hAnsiTheme="minorHAnsi" w:cstheme="minorHAnsi"/>
                <w:sz w:val="20"/>
                <w:lang w:val="en-AU"/>
              </w:rPr>
            </w:pPr>
            <w:r w:rsidRPr="00AA350F">
              <w:rPr>
                <w:rFonts w:asciiTheme="minorHAnsi" w:hAnsiTheme="minorHAnsi" w:cstheme="minorHAnsi"/>
                <w:b/>
                <w:sz w:val="20"/>
                <w:lang w:val="en-AU"/>
              </w:rPr>
              <w:t>Prevention of rickets and osteomalacia</w:t>
            </w:r>
            <w:r>
              <w:rPr>
                <w:rFonts w:asciiTheme="minorHAnsi" w:hAnsiTheme="minorHAnsi" w:cstheme="minorHAnsi"/>
                <w:b/>
                <w:sz w:val="20"/>
                <w:lang w:val="en-AU"/>
              </w:rPr>
              <w:t xml:space="preserve"> in infants at risk of vitamin D insufficiency/deficiency (see </w:t>
            </w:r>
            <w:r w:rsidRPr="000876A9">
              <w:rPr>
                <w:rFonts w:asciiTheme="minorHAnsi" w:hAnsiTheme="minorHAnsi" w:cstheme="minorHAnsi"/>
                <w:b/>
                <w:i/>
                <w:sz w:val="20"/>
                <w:lang w:val="en-AU"/>
              </w:rPr>
              <w:t>practice points)</w:t>
            </w:r>
            <w:r w:rsidRPr="00AA350F">
              <w:rPr>
                <w:rFonts w:asciiTheme="minorHAnsi" w:hAnsiTheme="minorHAnsi" w:cstheme="minorHAnsi"/>
                <w:sz w:val="20"/>
                <w:lang w:val="en-AU"/>
              </w:rPr>
              <w:t xml:space="preserve">: </w:t>
            </w:r>
          </w:p>
          <w:p w:rsidRPr="00AA350F" w:rsidR="00393D09" w:rsidP="00131848" w:rsidRDefault="00393D09" w14:paraId="3F88A0C0" w14:textId="77777777">
            <w:pPr>
              <w:pStyle w:val="BodyText"/>
              <w:ind w:left="720"/>
              <w:rPr>
                <w:rFonts w:asciiTheme="minorHAnsi" w:hAnsiTheme="minorHAnsi" w:cstheme="minorHAnsi"/>
                <w:sz w:val="20"/>
                <w:lang w:val="en-AU"/>
              </w:rPr>
            </w:pPr>
            <w:r w:rsidRPr="00AA350F">
              <w:rPr>
                <w:rFonts w:asciiTheme="minorHAnsi" w:hAnsiTheme="minorHAnsi" w:cstheme="minorHAnsi"/>
                <w:b/>
                <w:sz w:val="20"/>
                <w:lang w:val="en-AU"/>
              </w:rPr>
              <w:t>Term infants:</w:t>
            </w:r>
            <w:r w:rsidRPr="00AA350F">
              <w:rPr>
                <w:rFonts w:asciiTheme="minorHAnsi" w:hAnsiTheme="minorHAnsi" w:cstheme="minorHAnsi"/>
                <w:sz w:val="20"/>
                <w:lang w:val="en-AU"/>
              </w:rPr>
              <w:t xml:space="preserve"> </w:t>
            </w:r>
            <w:r>
              <w:rPr>
                <w:rFonts w:asciiTheme="minorHAnsi" w:hAnsiTheme="minorHAnsi" w:cstheme="minorHAnsi"/>
                <w:sz w:val="20"/>
                <w:lang w:val="en-AU"/>
              </w:rPr>
              <w:t xml:space="preserve">vitamin D3 </w:t>
            </w:r>
            <w:r w:rsidRPr="00AA350F">
              <w:rPr>
                <w:rFonts w:asciiTheme="minorHAnsi" w:hAnsiTheme="minorHAnsi" w:cstheme="minorHAnsi"/>
                <w:sz w:val="20"/>
                <w:lang w:val="en-AU"/>
              </w:rPr>
              <w:t>400 units/day (</w:t>
            </w:r>
            <w:r>
              <w:rPr>
                <w:rFonts w:asciiTheme="minorHAnsi" w:hAnsiTheme="minorHAnsi" w:cstheme="minorHAnsi"/>
                <w:sz w:val="20"/>
                <w:lang w:val="en-AU"/>
              </w:rPr>
              <w:t xml:space="preserve">colecalciferol </w:t>
            </w:r>
            <w:r w:rsidRPr="00AA350F">
              <w:rPr>
                <w:rFonts w:asciiTheme="minorHAnsi" w:hAnsiTheme="minorHAnsi" w:cstheme="minorHAnsi"/>
                <w:sz w:val="20"/>
                <w:lang w:val="en-AU"/>
              </w:rPr>
              <w:t xml:space="preserve">10 microgram) until 12 months age </w:t>
            </w:r>
            <w:r w:rsidRPr="00AA350F">
              <w:rPr>
                <w:rFonts w:asciiTheme="minorHAnsi" w:hAnsiTheme="minorHAnsi" w:cstheme="minorHAnsi"/>
                <w:noProof/>
                <w:sz w:val="20"/>
                <w:lang w:val="en-AU"/>
              </w:rPr>
              <w:t>(2)</w:t>
            </w:r>
          </w:p>
          <w:p w:rsidRPr="00AA350F" w:rsidR="00393D09" w:rsidP="00131848" w:rsidRDefault="00393D09" w14:paraId="778BAD88" w14:textId="77777777">
            <w:pPr>
              <w:pStyle w:val="BodyText"/>
              <w:ind w:left="720"/>
              <w:rPr>
                <w:rFonts w:asciiTheme="minorHAnsi" w:hAnsiTheme="minorHAnsi" w:cstheme="minorHAnsi"/>
                <w:sz w:val="20"/>
                <w:lang w:val="en-AU"/>
              </w:rPr>
            </w:pPr>
            <w:r w:rsidRPr="00AA350F">
              <w:rPr>
                <w:rFonts w:asciiTheme="minorHAnsi" w:hAnsiTheme="minorHAnsi" w:cstheme="minorHAnsi"/>
                <w:b/>
                <w:sz w:val="20"/>
                <w:lang w:val="en-AU"/>
              </w:rPr>
              <w:t xml:space="preserve">Preterm infants: </w:t>
            </w:r>
            <w:r w:rsidRPr="00AA350F">
              <w:rPr>
                <w:rFonts w:asciiTheme="minorHAnsi" w:hAnsiTheme="minorHAnsi" w:cstheme="minorHAnsi"/>
                <w:noProof/>
                <w:sz w:val="20"/>
                <w:lang w:val="en-AU"/>
              </w:rPr>
              <w:t>(3)</w:t>
            </w:r>
            <w:r w:rsidRPr="00AA350F">
              <w:rPr>
                <w:rFonts w:asciiTheme="minorHAnsi" w:hAnsiTheme="minorHAnsi" w:cstheme="minorHAnsi"/>
                <w:sz w:val="20"/>
                <w:lang w:val="en-AU"/>
              </w:rPr>
              <w:t xml:space="preserve"> </w:t>
            </w:r>
          </w:p>
          <w:p w:rsidRPr="00AA350F" w:rsidR="00393D09" w:rsidP="00131848" w:rsidRDefault="00393D09" w14:paraId="448D2029" w14:textId="77777777">
            <w:pPr>
              <w:pStyle w:val="BodyText"/>
              <w:ind w:left="1440"/>
              <w:rPr>
                <w:rFonts w:asciiTheme="minorHAnsi" w:hAnsiTheme="minorHAnsi" w:cstheme="minorHAnsi"/>
                <w:sz w:val="20"/>
                <w:lang w:val="en-AU"/>
              </w:rPr>
            </w:pPr>
            <w:r>
              <w:rPr>
                <w:rFonts w:asciiTheme="minorHAnsi" w:hAnsiTheme="minorHAnsi" w:cstheme="minorHAnsi"/>
                <w:sz w:val="20"/>
                <w:lang w:val="en-AU"/>
              </w:rPr>
              <w:t>&lt;</w:t>
            </w:r>
            <w:r w:rsidRPr="00AA350F">
              <w:rPr>
                <w:rFonts w:asciiTheme="minorHAnsi" w:hAnsiTheme="minorHAnsi" w:cstheme="minorHAnsi"/>
                <w:sz w:val="20"/>
                <w:lang w:val="en-AU"/>
              </w:rPr>
              <w:t xml:space="preserve">1500 g: </w:t>
            </w:r>
            <w:r>
              <w:rPr>
                <w:rFonts w:asciiTheme="minorHAnsi" w:hAnsiTheme="minorHAnsi" w:cstheme="minorHAnsi"/>
                <w:sz w:val="20"/>
                <w:lang w:val="en-AU"/>
              </w:rPr>
              <w:t>vitamin D3</w:t>
            </w:r>
            <w:r w:rsidRPr="00AA350F">
              <w:rPr>
                <w:rFonts w:asciiTheme="minorHAnsi" w:hAnsiTheme="minorHAnsi" w:cstheme="minorHAnsi"/>
                <w:sz w:val="20"/>
                <w:lang w:val="en-AU"/>
              </w:rPr>
              <w:t xml:space="preserve"> 200-400 units/day</w:t>
            </w:r>
            <w:r>
              <w:rPr>
                <w:rFonts w:asciiTheme="minorHAnsi" w:hAnsiTheme="minorHAnsi" w:cstheme="minorHAnsi"/>
                <w:sz w:val="20"/>
                <w:lang w:val="en-AU"/>
              </w:rPr>
              <w:t xml:space="preserve"> (colecalciferol 5-10 microgram)</w:t>
            </w:r>
            <w:r w:rsidRPr="00AA350F">
              <w:rPr>
                <w:rFonts w:asciiTheme="minorHAnsi" w:hAnsiTheme="minorHAnsi" w:cstheme="minorHAnsi"/>
                <w:sz w:val="20"/>
                <w:lang w:val="en-AU"/>
              </w:rPr>
              <w:t xml:space="preserve">. </w:t>
            </w:r>
          </w:p>
          <w:p w:rsidRPr="00AA350F" w:rsidR="00393D09" w:rsidP="00131848" w:rsidRDefault="00393D09" w14:paraId="75179225" w14:textId="77777777">
            <w:pPr>
              <w:pStyle w:val="BodyText"/>
              <w:ind w:left="1440"/>
              <w:rPr>
                <w:rFonts w:asciiTheme="minorHAnsi" w:hAnsiTheme="minorHAnsi" w:cstheme="minorHAnsi"/>
                <w:sz w:val="20"/>
                <w:lang w:val="en-AU"/>
              </w:rPr>
            </w:pPr>
            <w:r w:rsidRPr="00AA350F">
              <w:rPr>
                <w:rFonts w:asciiTheme="minorHAnsi" w:hAnsiTheme="minorHAnsi" w:cstheme="minorHAnsi"/>
                <w:sz w:val="20"/>
                <w:lang w:val="en-AU"/>
              </w:rPr>
              <w:t>&gt;</w:t>
            </w:r>
            <w:r w:rsidRPr="00A56878">
              <w:rPr>
                <w:rFonts w:asciiTheme="minorHAnsi" w:hAnsiTheme="minorHAnsi"/>
                <w:sz w:val="20"/>
              </w:rPr>
              <w:t>≥</w:t>
            </w:r>
            <w:r w:rsidRPr="00AA350F">
              <w:rPr>
                <w:rFonts w:asciiTheme="minorHAnsi" w:hAnsiTheme="minorHAnsi" w:cstheme="minorHAnsi"/>
                <w:sz w:val="20"/>
                <w:lang w:val="en-AU"/>
              </w:rPr>
              <w:t xml:space="preserve">1500 g: </w:t>
            </w:r>
            <w:r>
              <w:rPr>
                <w:rFonts w:asciiTheme="minorHAnsi" w:hAnsiTheme="minorHAnsi" w:cstheme="minorHAnsi"/>
                <w:sz w:val="20"/>
                <w:lang w:val="en-AU"/>
              </w:rPr>
              <w:t>vitamin D3</w:t>
            </w:r>
            <w:r w:rsidRPr="00AA350F">
              <w:rPr>
                <w:rFonts w:asciiTheme="minorHAnsi" w:hAnsiTheme="minorHAnsi" w:cstheme="minorHAnsi"/>
                <w:sz w:val="20"/>
                <w:lang w:val="en-AU"/>
              </w:rPr>
              <w:t xml:space="preserve"> 400 units/day</w:t>
            </w:r>
            <w:r>
              <w:rPr>
                <w:rFonts w:asciiTheme="minorHAnsi" w:hAnsiTheme="minorHAnsi" w:cstheme="minorHAnsi"/>
                <w:sz w:val="20"/>
                <w:lang w:val="en-AU"/>
              </w:rPr>
              <w:t xml:space="preserve"> (colecalciferol 10 microgram)</w:t>
            </w:r>
            <w:r w:rsidRPr="00AA350F">
              <w:rPr>
                <w:rFonts w:asciiTheme="minorHAnsi" w:hAnsiTheme="minorHAnsi" w:cstheme="minorHAnsi"/>
                <w:sz w:val="20"/>
                <w:lang w:val="en-AU"/>
              </w:rPr>
              <w:t>.</w:t>
            </w:r>
          </w:p>
          <w:p w:rsidRPr="00AA350F" w:rsidR="00393D09" w:rsidP="00131848" w:rsidRDefault="00393D09" w14:paraId="244E79B3" w14:textId="77777777">
            <w:pPr>
              <w:pStyle w:val="BodyText"/>
              <w:rPr>
                <w:rFonts w:asciiTheme="minorHAnsi" w:hAnsiTheme="minorHAnsi" w:cstheme="minorHAnsi"/>
                <w:b/>
                <w:sz w:val="20"/>
                <w:lang w:val="en-AU"/>
              </w:rPr>
            </w:pPr>
          </w:p>
          <w:p w:rsidRPr="00AA350F" w:rsidR="00393D09" w:rsidP="00131848" w:rsidRDefault="00393D09" w14:paraId="719F7D00" w14:textId="77777777">
            <w:pPr>
              <w:pStyle w:val="BodyText"/>
              <w:rPr>
                <w:rFonts w:asciiTheme="minorHAnsi" w:hAnsiTheme="minorHAnsi" w:cstheme="minorHAnsi"/>
                <w:sz w:val="20"/>
                <w:lang w:val="en-AU"/>
              </w:rPr>
            </w:pPr>
            <w:r w:rsidRPr="00AA350F">
              <w:rPr>
                <w:rFonts w:asciiTheme="minorHAnsi" w:hAnsiTheme="minorHAnsi" w:cstheme="minorHAnsi"/>
                <w:b/>
                <w:sz w:val="20"/>
                <w:lang w:val="en-AU"/>
              </w:rPr>
              <w:t xml:space="preserve">Infants with cholestasis: </w:t>
            </w:r>
            <w:r w:rsidRPr="00AA350F">
              <w:rPr>
                <w:rFonts w:asciiTheme="minorHAnsi" w:hAnsiTheme="minorHAnsi" w:cstheme="minorHAnsi"/>
                <w:sz w:val="20"/>
                <w:lang w:val="en-AU"/>
              </w:rPr>
              <w:t>(Refer to special comments section) (</w:t>
            </w:r>
            <w:r>
              <w:rPr>
                <w:rFonts w:asciiTheme="minorHAnsi" w:hAnsiTheme="minorHAnsi" w:cstheme="minorHAnsi"/>
                <w:sz w:val="20"/>
                <w:lang w:val="en-AU"/>
              </w:rPr>
              <w:t>4</w:t>
            </w:r>
            <w:r w:rsidRPr="00AA350F">
              <w:rPr>
                <w:rFonts w:asciiTheme="minorHAnsi" w:hAnsiTheme="minorHAnsi" w:cstheme="minorHAnsi"/>
                <w:sz w:val="20"/>
                <w:lang w:val="en-AU"/>
              </w:rPr>
              <w:t>)</w:t>
            </w:r>
          </w:p>
          <w:p w:rsidRPr="00AA350F" w:rsidR="00393D09" w:rsidP="00131848" w:rsidRDefault="00393D09" w14:paraId="0E8B52F4" w14:textId="77777777">
            <w:pPr>
              <w:overflowPunct w:val="0"/>
              <w:autoSpaceDE w:val="0"/>
              <w:autoSpaceDN w:val="0"/>
              <w:ind w:left="720"/>
              <w:rPr>
                <w:rFonts w:eastAsia="Calibri" w:asciiTheme="minorHAnsi" w:hAnsiTheme="minorHAnsi" w:cstheme="minorHAnsi"/>
                <w:iCs/>
                <w:sz w:val="20"/>
                <w:lang w:eastAsia="en-AU"/>
              </w:rPr>
            </w:pPr>
            <w:r w:rsidRPr="00AA350F">
              <w:rPr>
                <w:rFonts w:eastAsia="Calibri" w:asciiTheme="minorHAnsi" w:hAnsiTheme="minorHAnsi" w:cstheme="minorHAnsi"/>
                <w:iCs/>
                <w:sz w:val="20"/>
                <w:lang w:eastAsia="en-AU"/>
              </w:rPr>
              <w:t xml:space="preserve">Commence on </w:t>
            </w:r>
            <w:r>
              <w:rPr>
                <w:rFonts w:eastAsia="Calibri" w:asciiTheme="minorHAnsi" w:hAnsiTheme="minorHAnsi" w:cstheme="minorHAnsi"/>
                <w:iCs/>
                <w:sz w:val="20"/>
                <w:lang w:eastAsia="en-AU"/>
              </w:rPr>
              <w:t>vitamin D3</w:t>
            </w:r>
            <w:r w:rsidRPr="00AA350F">
              <w:rPr>
                <w:rFonts w:eastAsia="Calibri" w:asciiTheme="minorHAnsi" w:hAnsiTheme="minorHAnsi" w:cstheme="minorHAnsi"/>
                <w:iCs/>
                <w:sz w:val="20"/>
                <w:lang w:eastAsia="en-AU"/>
              </w:rPr>
              <w:t xml:space="preserve"> 1200 units/day</w:t>
            </w:r>
            <w:r>
              <w:rPr>
                <w:rFonts w:eastAsia="Calibri" w:asciiTheme="minorHAnsi" w:hAnsiTheme="minorHAnsi" w:cstheme="minorHAnsi"/>
                <w:iCs/>
                <w:sz w:val="20"/>
                <w:lang w:eastAsia="en-AU"/>
              </w:rPr>
              <w:t xml:space="preserve"> (colecalciferol 30 microgram)</w:t>
            </w:r>
            <w:r w:rsidRPr="00AA350F">
              <w:rPr>
                <w:rFonts w:eastAsia="Calibri" w:asciiTheme="minorHAnsi" w:hAnsiTheme="minorHAnsi" w:cstheme="minorHAnsi"/>
                <w:iCs/>
                <w:sz w:val="20"/>
                <w:lang w:eastAsia="en-AU"/>
              </w:rPr>
              <w:t>.</w:t>
            </w:r>
          </w:p>
          <w:p w:rsidRPr="00AA350F" w:rsidR="00393D09" w:rsidP="00131848" w:rsidRDefault="00393D09" w14:paraId="11FA0820" w14:textId="77777777">
            <w:pPr>
              <w:overflowPunct w:val="0"/>
              <w:autoSpaceDE w:val="0"/>
              <w:autoSpaceDN w:val="0"/>
              <w:ind w:left="720"/>
              <w:rPr>
                <w:rFonts w:eastAsia="Calibri" w:asciiTheme="minorHAnsi" w:hAnsiTheme="minorHAnsi" w:cstheme="minorHAnsi"/>
                <w:iCs/>
                <w:sz w:val="20"/>
                <w:lang w:eastAsia="en-AU"/>
              </w:rPr>
            </w:pPr>
            <w:r w:rsidRPr="00AA350F">
              <w:rPr>
                <w:rFonts w:eastAsia="Calibri" w:asciiTheme="minorHAnsi" w:hAnsiTheme="minorHAnsi" w:cstheme="minorHAnsi"/>
                <w:iCs/>
                <w:sz w:val="20"/>
                <w:lang w:eastAsia="en-AU"/>
              </w:rPr>
              <w:t>Monitor every 1 to 3 months.</w:t>
            </w:r>
          </w:p>
          <w:p w:rsidRPr="00AA350F" w:rsidR="00393D09" w:rsidP="00131848" w:rsidRDefault="00393D09" w14:paraId="401670EB" w14:textId="77777777">
            <w:pPr>
              <w:overflowPunct w:val="0"/>
              <w:autoSpaceDE w:val="0"/>
              <w:autoSpaceDN w:val="0"/>
              <w:ind w:left="720"/>
              <w:rPr>
                <w:rFonts w:eastAsia="Calibri" w:asciiTheme="minorHAnsi" w:hAnsiTheme="minorHAnsi" w:cstheme="minorHAnsi"/>
                <w:iCs/>
                <w:sz w:val="20"/>
                <w:lang w:eastAsia="en-AU"/>
              </w:rPr>
            </w:pPr>
            <w:r w:rsidRPr="00AA350F">
              <w:rPr>
                <w:rFonts w:eastAsia="Calibri" w:asciiTheme="minorHAnsi" w:hAnsiTheme="minorHAnsi" w:cstheme="minorHAnsi"/>
                <w:iCs/>
                <w:sz w:val="20"/>
                <w:lang w:eastAsia="en-AU"/>
              </w:rPr>
              <w:t xml:space="preserve">Increase </w:t>
            </w:r>
            <w:r>
              <w:rPr>
                <w:rFonts w:eastAsia="Calibri" w:asciiTheme="minorHAnsi" w:hAnsiTheme="minorHAnsi" w:cstheme="minorHAnsi"/>
                <w:iCs/>
                <w:sz w:val="20"/>
                <w:lang w:eastAsia="en-AU"/>
              </w:rPr>
              <w:t>vitamin D3</w:t>
            </w:r>
            <w:r w:rsidRPr="00AA350F">
              <w:rPr>
                <w:rFonts w:eastAsia="Calibri" w:asciiTheme="minorHAnsi" w:hAnsiTheme="minorHAnsi" w:cstheme="minorHAnsi"/>
                <w:iCs/>
                <w:sz w:val="20"/>
                <w:lang w:eastAsia="en-AU"/>
              </w:rPr>
              <w:t xml:space="preserve"> by 1200 units/day </w:t>
            </w:r>
            <w:r>
              <w:rPr>
                <w:rFonts w:eastAsia="Calibri" w:asciiTheme="minorHAnsi" w:hAnsiTheme="minorHAnsi" w:cstheme="minorHAnsi"/>
                <w:iCs/>
                <w:sz w:val="20"/>
                <w:lang w:eastAsia="en-AU"/>
              </w:rPr>
              <w:t xml:space="preserve">(colecalciferol 30 microgram) </w:t>
            </w:r>
            <w:r w:rsidRPr="00AA350F">
              <w:rPr>
                <w:rFonts w:eastAsia="Calibri" w:asciiTheme="minorHAnsi" w:hAnsiTheme="minorHAnsi" w:cstheme="minorHAnsi"/>
                <w:iCs/>
                <w:sz w:val="20"/>
                <w:lang w:eastAsia="en-AU"/>
              </w:rPr>
              <w:t>to maximum 8000 units/day</w:t>
            </w:r>
            <w:r>
              <w:rPr>
                <w:rFonts w:eastAsia="Calibri" w:asciiTheme="minorHAnsi" w:hAnsiTheme="minorHAnsi" w:cstheme="minorHAnsi"/>
                <w:iCs/>
                <w:sz w:val="20"/>
                <w:lang w:eastAsia="en-AU"/>
              </w:rPr>
              <w:t xml:space="preserve"> (colecalciferol 200 microgram)</w:t>
            </w:r>
            <w:r w:rsidRPr="00AA350F">
              <w:rPr>
                <w:rFonts w:eastAsia="Calibri" w:asciiTheme="minorHAnsi" w:hAnsiTheme="minorHAnsi" w:cstheme="minorHAnsi"/>
                <w:iCs/>
                <w:sz w:val="20"/>
                <w:lang w:eastAsia="en-AU"/>
              </w:rPr>
              <w:t xml:space="preserve"> to maintain vitamin D sufficiency (25-hydroxy vitamin D ≥ 50 nmol/L).</w:t>
            </w:r>
          </w:p>
          <w:p w:rsidRPr="00AA350F" w:rsidR="00393D09" w:rsidP="00131848" w:rsidRDefault="00393D09" w14:paraId="37F6B12D" w14:textId="77777777">
            <w:pPr>
              <w:overflowPunct w:val="0"/>
              <w:autoSpaceDE w:val="0"/>
              <w:autoSpaceDN w:val="0"/>
              <w:ind w:left="720"/>
              <w:rPr>
                <w:rFonts w:eastAsia="Calibri" w:asciiTheme="minorHAnsi" w:hAnsiTheme="minorHAnsi" w:cstheme="minorHAnsi"/>
                <w:iCs/>
                <w:sz w:val="20"/>
                <w:lang w:eastAsia="en-AU"/>
              </w:rPr>
            </w:pPr>
            <w:r w:rsidRPr="00AA350F">
              <w:rPr>
                <w:rFonts w:eastAsia="Calibri" w:asciiTheme="minorHAnsi" w:hAnsiTheme="minorHAnsi" w:cstheme="minorHAnsi"/>
                <w:iCs/>
                <w:sz w:val="20"/>
                <w:lang w:eastAsia="en-AU"/>
              </w:rPr>
              <w:t>Alternatively, calcitriol at 0.05–0.20 microgram/kg daily.</w:t>
            </w:r>
          </w:p>
          <w:p w:rsidRPr="00AA350F" w:rsidR="00393D09" w:rsidP="00131848" w:rsidRDefault="00393D09" w14:paraId="0DF7E1F8" w14:textId="77777777">
            <w:pPr>
              <w:pStyle w:val="BodyText"/>
              <w:rPr>
                <w:rFonts w:asciiTheme="minorHAnsi" w:hAnsiTheme="minorHAnsi" w:cstheme="minorHAnsi"/>
                <w:sz w:val="20"/>
                <w:lang w:val="en-AU"/>
              </w:rPr>
            </w:pPr>
          </w:p>
          <w:p w:rsidRPr="00AA350F" w:rsidR="00393D09" w:rsidP="00131848" w:rsidRDefault="00393D09" w14:paraId="79A499AB" w14:textId="77777777">
            <w:pPr>
              <w:pStyle w:val="BodyText"/>
              <w:rPr>
                <w:rFonts w:asciiTheme="minorHAnsi" w:hAnsiTheme="minorHAnsi" w:cstheme="minorHAnsi"/>
                <w:sz w:val="20"/>
                <w:lang w:val="en-AU"/>
              </w:rPr>
            </w:pPr>
            <w:r w:rsidRPr="00AA350F">
              <w:rPr>
                <w:rFonts w:asciiTheme="minorHAnsi" w:hAnsiTheme="minorHAnsi" w:cstheme="minorHAnsi"/>
                <w:b/>
                <w:sz w:val="20"/>
                <w:lang w:val="en-AU"/>
              </w:rPr>
              <w:t>Treatment of nutritional rickets:</w:t>
            </w:r>
            <w:r w:rsidRPr="00AA350F">
              <w:rPr>
                <w:rFonts w:asciiTheme="minorHAnsi" w:hAnsiTheme="minorHAnsi" w:cstheme="minorHAnsi"/>
                <w:sz w:val="20"/>
                <w:lang w:val="en-AU"/>
              </w:rPr>
              <w:t xml:space="preserve"> </w:t>
            </w:r>
          </w:p>
          <w:p w:rsidRPr="00AA350F" w:rsidR="00393D09" w:rsidP="00131848" w:rsidRDefault="00393D09" w14:paraId="3AA82643" w14:textId="77777777">
            <w:pPr>
              <w:pStyle w:val="BodyText"/>
              <w:ind w:left="720"/>
              <w:rPr>
                <w:rFonts w:asciiTheme="minorHAnsi" w:hAnsiTheme="minorHAnsi" w:cstheme="minorHAnsi"/>
                <w:noProof/>
                <w:sz w:val="20"/>
                <w:lang w:val="en-AU" w:eastAsia="en-AU"/>
              </w:rPr>
            </w:pPr>
            <w:r>
              <w:rPr>
                <w:rFonts w:asciiTheme="minorHAnsi" w:hAnsiTheme="minorHAnsi" w:cstheme="minorHAnsi"/>
                <w:sz w:val="20"/>
                <w:lang w:val="en-AU"/>
              </w:rPr>
              <w:lastRenderedPageBreak/>
              <w:t>Vitamin D3</w:t>
            </w:r>
            <w:r w:rsidRPr="00AA350F">
              <w:rPr>
                <w:rFonts w:asciiTheme="minorHAnsi" w:hAnsiTheme="minorHAnsi" w:cstheme="minorHAnsi"/>
                <w:sz w:val="20"/>
                <w:lang w:val="en-AU"/>
              </w:rPr>
              <w:t xml:space="preserve"> 2000 units/day (</w:t>
            </w:r>
            <w:r>
              <w:rPr>
                <w:rFonts w:asciiTheme="minorHAnsi" w:hAnsiTheme="minorHAnsi" w:cstheme="minorHAnsi"/>
                <w:sz w:val="20"/>
                <w:lang w:val="en-AU"/>
              </w:rPr>
              <w:t xml:space="preserve">colecalciferol </w:t>
            </w:r>
            <w:r w:rsidRPr="00AA350F">
              <w:rPr>
                <w:rFonts w:asciiTheme="minorHAnsi" w:hAnsiTheme="minorHAnsi" w:cstheme="minorHAnsi"/>
                <w:sz w:val="20"/>
                <w:lang w:val="en-AU"/>
              </w:rPr>
              <w:t>50 microgram) for a minimum of 3 months.</w:t>
            </w:r>
            <w:r w:rsidRPr="00AA350F">
              <w:rPr>
                <w:rFonts w:asciiTheme="minorHAnsi" w:hAnsiTheme="minorHAnsi" w:cstheme="minorHAnsi"/>
                <w:b/>
                <w:noProof/>
                <w:sz w:val="20"/>
                <w:vertAlign w:val="superscript"/>
                <w:lang w:val="en-AU" w:eastAsia="en-AU"/>
              </w:rPr>
              <w:t xml:space="preserve"> </w:t>
            </w:r>
            <w:r w:rsidRPr="00AA350F">
              <w:rPr>
                <w:rFonts w:asciiTheme="minorHAnsi" w:hAnsiTheme="minorHAnsi" w:cstheme="minorHAnsi"/>
                <w:noProof/>
                <w:sz w:val="20"/>
                <w:lang w:val="en-AU" w:eastAsia="en-AU"/>
              </w:rPr>
              <w:t>(</w:t>
            </w:r>
            <w:r>
              <w:rPr>
                <w:rFonts w:asciiTheme="minorHAnsi" w:hAnsiTheme="minorHAnsi" w:cstheme="minorHAnsi"/>
                <w:noProof/>
                <w:sz w:val="20"/>
                <w:lang w:val="en-AU" w:eastAsia="en-AU"/>
              </w:rPr>
              <w:t>3</w:t>
            </w:r>
            <w:r w:rsidRPr="00AA350F">
              <w:rPr>
                <w:rFonts w:asciiTheme="minorHAnsi" w:hAnsiTheme="minorHAnsi" w:cstheme="minorHAnsi"/>
                <w:noProof/>
                <w:sz w:val="20"/>
                <w:lang w:val="en-AU" w:eastAsia="en-AU"/>
              </w:rPr>
              <w:t>)</w:t>
            </w:r>
          </w:p>
          <w:p w:rsidRPr="00AA350F" w:rsidR="00393D09" w:rsidP="00131848" w:rsidRDefault="00393D09" w14:paraId="5FD0BCF8" w14:textId="77777777">
            <w:pPr>
              <w:pStyle w:val="BodyText"/>
              <w:ind w:left="720"/>
              <w:rPr>
                <w:rFonts w:asciiTheme="minorHAnsi" w:hAnsiTheme="minorHAnsi" w:cstheme="minorHAnsi"/>
                <w:noProof/>
                <w:sz w:val="20"/>
                <w:lang w:val="en-AU" w:eastAsia="en-AU"/>
              </w:rPr>
            </w:pPr>
            <w:r w:rsidRPr="00AA350F">
              <w:rPr>
                <w:rFonts w:asciiTheme="minorHAnsi" w:hAnsiTheme="minorHAnsi" w:cstheme="minorHAnsi"/>
                <w:noProof/>
                <w:sz w:val="20"/>
                <w:lang w:val="en-AU" w:eastAsia="en-AU"/>
              </w:rPr>
              <w:t xml:space="preserve">Alternatively if oral administration is difficult, consider intramuscular </w:t>
            </w:r>
            <w:r>
              <w:rPr>
                <w:rFonts w:asciiTheme="minorHAnsi" w:hAnsiTheme="minorHAnsi" w:cstheme="minorHAnsi"/>
                <w:noProof/>
                <w:sz w:val="20"/>
                <w:lang w:val="en-AU" w:eastAsia="en-AU"/>
              </w:rPr>
              <w:t>vitamin D3</w:t>
            </w:r>
            <w:r w:rsidRPr="00AA350F">
              <w:rPr>
                <w:rFonts w:asciiTheme="minorHAnsi" w:hAnsiTheme="minorHAnsi" w:cstheme="minorHAnsi"/>
                <w:noProof/>
                <w:sz w:val="20"/>
                <w:lang w:val="en-AU" w:eastAsia="en-AU"/>
              </w:rPr>
              <w:t xml:space="preserve"> 100</w:t>
            </w:r>
            <w:r>
              <w:rPr>
                <w:rFonts w:asciiTheme="minorHAnsi" w:hAnsiTheme="minorHAnsi" w:cstheme="minorHAnsi"/>
                <w:noProof/>
                <w:sz w:val="20"/>
                <w:lang w:val="en-AU" w:eastAsia="en-AU"/>
              </w:rPr>
              <w:t xml:space="preserve"> </w:t>
            </w:r>
            <w:r w:rsidRPr="00AA350F">
              <w:rPr>
                <w:rFonts w:asciiTheme="minorHAnsi" w:hAnsiTheme="minorHAnsi" w:cstheme="minorHAnsi"/>
                <w:noProof/>
                <w:sz w:val="20"/>
                <w:lang w:val="en-AU" w:eastAsia="en-AU"/>
              </w:rPr>
              <w:t>000 units (</w:t>
            </w:r>
            <w:r>
              <w:rPr>
                <w:rFonts w:asciiTheme="minorHAnsi" w:hAnsiTheme="minorHAnsi" w:cstheme="minorHAnsi"/>
                <w:noProof/>
                <w:sz w:val="20"/>
                <w:lang w:val="en-AU" w:eastAsia="en-AU"/>
              </w:rPr>
              <w:t xml:space="preserve">colecalciferol </w:t>
            </w:r>
            <w:r w:rsidRPr="00AA350F">
              <w:rPr>
                <w:rFonts w:asciiTheme="minorHAnsi" w:hAnsiTheme="minorHAnsi" w:cstheme="minorHAnsi"/>
                <w:noProof/>
                <w:sz w:val="20"/>
                <w:lang w:val="en-AU" w:eastAsia="en-AU"/>
              </w:rPr>
              <w:t>2.5 mg) every 3 months (3 doses).</w:t>
            </w:r>
          </w:p>
          <w:p w:rsidRPr="00AA350F" w:rsidR="00393D09" w:rsidP="00131848" w:rsidRDefault="00393D09" w14:paraId="65EE4DC2" w14:textId="77777777">
            <w:pPr>
              <w:pStyle w:val="BodyText"/>
              <w:ind w:left="720"/>
              <w:rPr>
                <w:rFonts w:asciiTheme="minorHAnsi" w:hAnsiTheme="minorHAnsi" w:cstheme="minorHAnsi"/>
                <w:noProof/>
                <w:sz w:val="20"/>
                <w:lang w:val="en-AU" w:eastAsia="en-AU"/>
              </w:rPr>
            </w:pPr>
            <w:r w:rsidRPr="00AA350F">
              <w:rPr>
                <w:rFonts w:asciiTheme="minorHAnsi" w:hAnsiTheme="minorHAnsi" w:cstheme="minorHAnsi"/>
                <w:noProof/>
                <w:sz w:val="20"/>
                <w:lang w:val="en-AU" w:eastAsia="en-AU"/>
              </w:rPr>
              <w:t xml:space="preserve">Continue maintenance </w:t>
            </w:r>
            <w:r>
              <w:rPr>
                <w:rFonts w:asciiTheme="minorHAnsi" w:hAnsiTheme="minorHAnsi" w:cstheme="minorHAnsi"/>
                <w:noProof/>
                <w:sz w:val="20"/>
                <w:lang w:val="en-AU" w:eastAsia="en-AU"/>
              </w:rPr>
              <w:t>vitamin D3</w:t>
            </w:r>
            <w:r w:rsidRPr="00AA350F">
              <w:rPr>
                <w:rFonts w:asciiTheme="minorHAnsi" w:hAnsiTheme="minorHAnsi" w:cstheme="minorHAnsi"/>
                <w:noProof/>
                <w:sz w:val="20"/>
                <w:lang w:val="en-AU" w:eastAsia="en-AU"/>
              </w:rPr>
              <w:t xml:space="preserve">after resolution of nutritional rickets. </w:t>
            </w:r>
          </w:p>
          <w:p w:rsidRPr="00AA350F" w:rsidR="00393D09" w:rsidP="00131848" w:rsidRDefault="00393D09" w14:paraId="0229F940" w14:textId="77777777">
            <w:pPr>
              <w:pStyle w:val="BodyText"/>
              <w:ind w:left="720"/>
              <w:rPr>
                <w:rFonts w:asciiTheme="minorHAnsi" w:hAnsiTheme="minorHAnsi" w:cstheme="minorHAnsi"/>
                <w:sz w:val="20"/>
                <w:lang w:val="en-AU"/>
              </w:rPr>
            </w:pPr>
            <w:r w:rsidRPr="00AA350F">
              <w:rPr>
                <w:rFonts w:asciiTheme="minorHAnsi" w:hAnsiTheme="minorHAnsi" w:cstheme="minorHAnsi"/>
                <w:noProof/>
                <w:sz w:val="20"/>
                <w:lang w:val="en-AU" w:eastAsia="en-AU"/>
              </w:rPr>
              <w:t>Ensure adequate calcium intake – see special comments.</w:t>
            </w:r>
          </w:p>
        </w:tc>
      </w:tr>
      <w:tr w:rsidRPr="00AA350F" w:rsidR="00393D09" w:rsidTr="004F7403" w14:paraId="4F3256F1" w14:textId="77777777">
        <w:trPr>
          <w:trHeight w:val="407"/>
        </w:trPr>
        <w:tc>
          <w:tcPr>
            <w:tcW w:w="1844" w:type="dxa"/>
          </w:tcPr>
          <w:p w:rsidRPr="00AA350F" w:rsidR="00393D09" w:rsidP="00131848" w:rsidRDefault="00393D09" w14:paraId="389F6D64" w14:textId="77777777">
            <w:pPr>
              <w:pStyle w:val="BodyText"/>
              <w:rPr>
                <w:rFonts w:asciiTheme="minorHAnsi" w:hAnsiTheme="minorHAnsi" w:cstheme="minorHAnsi"/>
                <w:b/>
                <w:sz w:val="20"/>
                <w:lang w:val="en-AU"/>
              </w:rPr>
            </w:pPr>
            <w:r w:rsidRPr="00AA350F">
              <w:rPr>
                <w:rFonts w:asciiTheme="minorHAnsi" w:hAnsiTheme="minorHAnsi" w:cstheme="minorHAnsi"/>
                <w:b/>
                <w:sz w:val="20"/>
                <w:lang w:val="en-AU"/>
              </w:rPr>
              <w:lastRenderedPageBreak/>
              <w:t>Dose adjustment</w:t>
            </w:r>
          </w:p>
          <w:p w:rsidRPr="00AA350F" w:rsidR="00393D09" w:rsidP="00131848" w:rsidRDefault="00393D09" w14:paraId="57346B1F" w14:textId="77777777">
            <w:pPr>
              <w:pStyle w:val="BodyText"/>
              <w:rPr>
                <w:rFonts w:asciiTheme="minorHAnsi" w:hAnsiTheme="minorHAnsi" w:cstheme="minorHAnsi"/>
                <w:b/>
                <w:sz w:val="20"/>
                <w:lang w:val="en-AU"/>
              </w:rPr>
            </w:pPr>
          </w:p>
        </w:tc>
        <w:tc>
          <w:tcPr>
            <w:tcW w:w="7938" w:type="dxa"/>
          </w:tcPr>
          <w:p w:rsidRPr="00AA350F" w:rsidR="00393D09" w:rsidP="00131848" w:rsidRDefault="00393D09" w14:paraId="10FE5D48"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Therapeutic hypothermia: no information.</w:t>
            </w:r>
          </w:p>
          <w:p w:rsidRPr="00AA350F" w:rsidR="00393D09" w:rsidP="00131848" w:rsidRDefault="00393D09" w14:paraId="094D3E8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ECMO: Adult patients on ECMO were at high risk of vitamin D deficiency and repeated doses of colecalciferol were required to correct the deficiency </w:t>
            </w:r>
            <w:r w:rsidRPr="00AA350F">
              <w:rPr>
                <w:rFonts w:asciiTheme="minorHAnsi" w:hAnsiTheme="minorHAnsi" w:cstheme="minorHAnsi"/>
                <w:noProof/>
                <w:sz w:val="20"/>
                <w:lang w:val="en-AU"/>
              </w:rPr>
              <w:t>(</w:t>
            </w:r>
            <w:r>
              <w:rPr>
                <w:rFonts w:asciiTheme="minorHAnsi" w:hAnsiTheme="minorHAnsi" w:cstheme="minorHAnsi"/>
                <w:noProof/>
                <w:sz w:val="20"/>
                <w:lang w:val="en-AU"/>
              </w:rPr>
              <w:t>5</w:t>
            </w:r>
            <w:r w:rsidRPr="00AA350F">
              <w:rPr>
                <w:rFonts w:asciiTheme="minorHAnsi" w:hAnsiTheme="minorHAnsi" w:cstheme="minorHAnsi"/>
                <w:noProof/>
                <w:sz w:val="20"/>
                <w:lang w:val="en-AU"/>
              </w:rPr>
              <w:t>)</w:t>
            </w:r>
            <w:r w:rsidRPr="00AA350F">
              <w:rPr>
                <w:rFonts w:asciiTheme="minorHAnsi" w:hAnsiTheme="minorHAnsi" w:cstheme="minorHAnsi"/>
                <w:sz w:val="20"/>
                <w:lang w:val="en-AU"/>
              </w:rPr>
              <w:t xml:space="preserve">. </w:t>
            </w:r>
          </w:p>
          <w:p w:rsidRPr="00AA350F" w:rsidR="00393D09" w:rsidP="00131848" w:rsidRDefault="00393D09" w14:paraId="7365147D"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Renal impairment: Vitamin D supplementation may be offered to patients with chronic kidney disease in whom circulating vitamin D levels have been documented as low. Hydroxylated vitamin D agents (eg</w:t>
            </w:r>
            <w:r>
              <w:rPr>
                <w:rFonts w:asciiTheme="minorHAnsi" w:hAnsiTheme="minorHAnsi" w:cstheme="minorHAnsi"/>
                <w:sz w:val="20"/>
                <w:lang w:val="en-AU"/>
              </w:rPr>
              <w:t>.</w:t>
            </w:r>
            <w:r w:rsidRPr="00AA350F">
              <w:rPr>
                <w:rFonts w:asciiTheme="minorHAnsi" w:hAnsiTheme="minorHAnsi" w:cstheme="minorHAnsi"/>
                <w:sz w:val="20"/>
                <w:lang w:val="en-AU"/>
              </w:rPr>
              <w:t xml:space="preserve"> calcitriol) may be needed in addition to control progressive secondary hyperparathyroidism </w:t>
            </w:r>
            <w:r w:rsidRPr="00AA350F">
              <w:rPr>
                <w:rFonts w:asciiTheme="minorHAnsi" w:hAnsiTheme="minorHAnsi" w:cstheme="minorHAnsi"/>
                <w:noProof/>
                <w:sz w:val="20"/>
                <w:lang w:val="en-AU"/>
              </w:rPr>
              <w:t>(</w:t>
            </w:r>
            <w:r>
              <w:rPr>
                <w:rFonts w:asciiTheme="minorHAnsi" w:hAnsiTheme="minorHAnsi" w:cstheme="minorHAnsi"/>
                <w:noProof/>
                <w:sz w:val="20"/>
                <w:lang w:val="en-AU"/>
              </w:rPr>
              <w:t>6,7</w:t>
            </w:r>
            <w:r w:rsidRPr="00AA350F">
              <w:rPr>
                <w:rFonts w:asciiTheme="minorHAnsi" w:hAnsiTheme="minorHAnsi" w:cstheme="minorHAnsi"/>
                <w:noProof/>
                <w:sz w:val="20"/>
                <w:lang w:val="en-AU"/>
              </w:rPr>
              <w:t>)</w:t>
            </w:r>
            <w:r w:rsidRPr="00AA350F">
              <w:rPr>
                <w:rFonts w:asciiTheme="minorHAnsi" w:hAnsiTheme="minorHAnsi" w:cstheme="minorHAnsi"/>
                <w:sz w:val="20"/>
                <w:lang w:val="en-AU"/>
              </w:rPr>
              <w:t>.</w:t>
            </w:r>
          </w:p>
          <w:p w:rsidRPr="00AA350F" w:rsidR="00393D09" w:rsidP="00131848" w:rsidRDefault="00393D09" w14:paraId="07CFEFE2"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Hepatic impairment: absorption of fat</w:t>
            </w:r>
            <w:r>
              <w:rPr>
                <w:rFonts w:asciiTheme="minorHAnsi" w:hAnsiTheme="minorHAnsi" w:cstheme="minorHAnsi"/>
                <w:sz w:val="20"/>
                <w:lang w:val="en-AU"/>
              </w:rPr>
              <w:t>-</w:t>
            </w:r>
            <w:r w:rsidRPr="00AA350F">
              <w:rPr>
                <w:rFonts w:asciiTheme="minorHAnsi" w:hAnsiTheme="minorHAnsi" w:cstheme="minorHAnsi"/>
                <w:sz w:val="20"/>
                <w:lang w:val="en-AU"/>
              </w:rPr>
              <w:t xml:space="preserve">soluble vitamins is impaired in cholestasis (see infants with cholestasis). </w:t>
            </w:r>
            <w:r w:rsidRPr="00AA350F">
              <w:rPr>
                <w:rFonts w:asciiTheme="minorHAnsi" w:hAnsiTheme="minorHAnsi" w:cstheme="minorHAnsi"/>
                <w:noProof/>
                <w:sz w:val="20"/>
                <w:lang w:val="en-AU"/>
              </w:rPr>
              <w:t>(</w:t>
            </w:r>
            <w:r>
              <w:rPr>
                <w:rFonts w:asciiTheme="minorHAnsi" w:hAnsiTheme="minorHAnsi" w:cstheme="minorHAnsi"/>
                <w:noProof/>
                <w:sz w:val="20"/>
                <w:lang w:val="en-AU"/>
              </w:rPr>
              <w:t>8</w:t>
            </w:r>
            <w:r w:rsidRPr="00AA350F">
              <w:rPr>
                <w:rFonts w:asciiTheme="minorHAnsi" w:hAnsiTheme="minorHAnsi" w:cstheme="minorHAnsi"/>
                <w:noProof/>
                <w:sz w:val="20"/>
                <w:lang w:val="en-AU"/>
              </w:rPr>
              <w:t>)</w:t>
            </w:r>
            <w:r w:rsidRPr="00AA350F">
              <w:rPr>
                <w:rFonts w:asciiTheme="minorHAnsi" w:hAnsiTheme="minorHAnsi" w:cstheme="minorHAnsi"/>
                <w:sz w:val="20"/>
                <w:lang w:val="en-AU"/>
              </w:rPr>
              <w:t xml:space="preserve"> </w:t>
            </w:r>
          </w:p>
        </w:tc>
      </w:tr>
      <w:tr w:rsidRPr="00AA350F" w:rsidR="00393D09" w:rsidTr="004F7403" w14:paraId="28C4310D" w14:textId="77777777">
        <w:trPr>
          <w:trHeight w:val="113"/>
        </w:trPr>
        <w:tc>
          <w:tcPr>
            <w:tcW w:w="1844" w:type="dxa"/>
          </w:tcPr>
          <w:p w:rsidRPr="00AA350F" w:rsidR="00393D09" w:rsidP="00131848" w:rsidRDefault="00393D09" w14:paraId="593E2AF9" w14:textId="77777777">
            <w:pPr>
              <w:pStyle w:val="BodyText"/>
              <w:rPr>
                <w:rFonts w:asciiTheme="minorHAnsi" w:hAnsiTheme="minorHAnsi" w:cstheme="minorHAnsi"/>
                <w:b/>
                <w:sz w:val="20"/>
                <w:lang w:val="en-AU"/>
              </w:rPr>
            </w:pPr>
            <w:r w:rsidRPr="00AA350F">
              <w:rPr>
                <w:rFonts w:asciiTheme="minorHAnsi" w:hAnsiTheme="minorHAnsi" w:cstheme="minorHAnsi"/>
                <w:b/>
                <w:sz w:val="20"/>
                <w:lang w:val="en-AU"/>
              </w:rPr>
              <w:t>Maximum dose</w:t>
            </w:r>
          </w:p>
        </w:tc>
        <w:tc>
          <w:tcPr>
            <w:tcW w:w="7938" w:type="dxa"/>
          </w:tcPr>
          <w:p w:rsidR="00393D09" w:rsidP="00131848" w:rsidRDefault="00393D09" w14:paraId="410380FA"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Dosage to cause toxicity varies with individual sensitivity, but in individuals without malabsorption problems, 10,000 units per day for more than several weeks or months is the maximum dose.</w:t>
            </w:r>
          </w:p>
          <w:p w:rsidRPr="003F4212" w:rsidR="00393D09" w:rsidP="00131848" w:rsidRDefault="00393D09" w14:paraId="3E77CD96" w14:textId="77777777">
            <w:pPr>
              <w:pStyle w:val="BodyText"/>
              <w:rPr>
                <w:rFonts w:asciiTheme="minorHAnsi" w:hAnsiTheme="minorHAnsi" w:cstheme="minorHAnsi"/>
                <w:sz w:val="20"/>
                <w:lang w:val="en-AU"/>
              </w:rPr>
            </w:pPr>
            <w:r w:rsidRPr="003F4212">
              <w:rPr>
                <w:rFonts w:asciiTheme="minorHAnsi" w:hAnsiTheme="minorHAnsi" w:cstheme="minorHAnsi"/>
                <w:sz w:val="20"/>
                <w:lang w:val="en-AU"/>
              </w:rPr>
              <w:t xml:space="preserve">A dose of </w:t>
            </w:r>
            <w:r>
              <w:rPr>
                <w:rFonts w:asciiTheme="minorHAnsi" w:hAnsiTheme="minorHAnsi" w:cstheme="minorHAnsi"/>
                <w:sz w:val="20"/>
                <w:lang w:val="en-AU"/>
              </w:rPr>
              <w:t>vitamin D3</w:t>
            </w:r>
            <w:r w:rsidRPr="003F4212">
              <w:rPr>
                <w:rFonts w:asciiTheme="minorHAnsi" w:hAnsiTheme="minorHAnsi" w:cstheme="minorHAnsi"/>
                <w:sz w:val="20"/>
                <w:lang w:val="en-AU"/>
              </w:rPr>
              <w:t xml:space="preserve"> 1600 </w:t>
            </w:r>
            <w:r>
              <w:rPr>
                <w:rFonts w:asciiTheme="minorHAnsi" w:hAnsiTheme="minorHAnsi" w:cstheme="minorHAnsi"/>
                <w:sz w:val="20"/>
                <w:lang w:val="en-AU"/>
              </w:rPr>
              <w:t>units</w:t>
            </w:r>
            <w:r w:rsidRPr="003F4212">
              <w:rPr>
                <w:rFonts w:asciiTheme="minorHAnsi" w:hAnsiTheme="minorHAnsi" w:cstheme="minorHAnsi"/>
                <w:sz w:val="20"/>
                <w:lang w:val="en-AU"/>
              </w:rPr>
              <w:t>/day produced vitamin D toxicity (hypercalcaemia and 25OH vitamin D &gt;250 nmol/L) in 94% of infants</w:t>
            </w:r>
            <w:r>
              <w:rPr>
                <w:rFonts w:asciiTheme="minorHAnsi" w:hAnsiTheme="minorHAnsi" w:cstheme="minorHAnsi"/>
                <w:sz w:val="20"/>
                <w:lang w:val="en-AU"/>
              </w:rPr>
              <w:t>.</w:t>
            </w:r>
            <w:r w:rsidRPr="003F4212">
              <w:rPr>
                <w:rFonts w:asciiTheme="minorHAnsi" w:hAnsiTheme="minorHAnsi" w:cstheme="minorHAnsi"/>
                <w:sz w:val="20"/>
                <w:lang w:val="en-AU"/>
              </w:rPr>
              <w:t xml:space="preserve"> </w:t>
            </w:r>
            <w:r>
              <w:rPr>
                <w:rFonts w:asciiTheme="minorHAnsi" w:hAnsiTheme="minorHAnsi" w:cstheme="minorHAnsi"/>
                <w:sz w:val="20"/>
                <w:lang w:val="en-AU"/>
              </w:rPr>
              <w:t>(</w:t>
            </w:r>
            <w:r w:rsidRPr="003F4212">
              <w:rPr>
                <w:rFonts w:asciiTheme="minorHAnsi" w:hAnsiTheme="minorHAnsi" w:cstheme="minorHAnsi"/>
                <w:sz w:val="20"/>
                <w:lang w:val="en-AU"/>
              </w:rPr>
              <w:t>10</w:t>
            </w:r>
            <w:r>
              <w:rPr>
                <w:rFonts w:asciiTheme="minorHAnsi" w:hAnsiTheme="minorHAnsi" w:cstheme="minorHAnsi"/>
                <w:sz w:val="20"/>
                <w:lang w:val="en-AU"/>
              </w:rPr>
              <w:t>)</w:t>
            </w:r>
          </w:p>
          <w:p w:rsidRPr="00AA350F" w:rsidR="00393D09" w:rsidP="00131848" w:rsidRDefault="00393D09" w14:paraId="1516DA5F" w14:textId="77777777">
            <w:pPr>
              <w:pStyle w:val="BodyText"/>
              <w:rPr>
                <w:rFonts w:asciiTheme="minorHAnsi" w:hAnsiTheme="minorHAnsi" w:cstheme="minorHAnsi"/>
                <w:sz w:val="20"/>
                <w:lang w:val="en-AU"/>
              </w:rPr>
            </w:pPr>
            <w:r w:rsidRPr="003F4212">
              <w:rPr>
                <w:rFonts w:asciiTheme="minorHAnsi" w:hAnsiTheme="minorHAnsi" w:cstheme="minorHAnsi"/>
                <w:sz w:val="20"/>
                <w:lang w:val="en-AU"/>
              </w:rPr>
              <w:t xml:space="preserve">Single doses of </w:t>
            </w:r>
            <w:r>
              <w:rPr>
                <w:rFonts w:asciiTheme="minorHAnsi" w:hAnsiTheme="minorHAnsi" w:cstheme="minorHAnsi"/>
                <w:sz w:val="20"/>
                <w:lang w:val="en-AU"/>
              </w:rPr>
              <w:t>vitamin D3</w:t>
            </w:r>
            <w:r w:rsidRPr="003F4212">
              <w:rPr>
                <w:rFonts w:asciiTheme="minorHAnsi" w:hAnsiTheme="minorHAnsi" w:cstheme="minorHAnsi"/>
                <w:sz w:val="20"/>
                <w:lang w:val="en-AU"/>
              </w:rPr>
              <w:t xml:space="preserve"> 600</w:t>
            </w:r>
            <w:r>
              <w:rPr>
                <w:rFonts w:asciiTheme="minorHAnsi" w:hAnsiTheme="minorHAnsi" w:cstheme="minorHAnsi"/>
                <w:sz w:val="20"/>
                <w:lang w:val="en-AU"/>
              </w:rPr>
              <w:t xml:space="preserve"> </w:t>
            </w:r>
            <w:r w:rsidRPr="003F4212">
              <w:rPr>
                <w:rFonts w:asciiTheme="minorHAnsi" w:hAnsiTheme="minorHAnsi" w:cstheme="minorHAnsi"/>
                <w:sz w:val="20"/>
                <w:lang w:val="en-AU"/>
              </w:rPr>
              <w:t xml:space="preserve">000 </w:t>
            </w:r>
            <w:r>
              <w:rPr>
                <w:rFonts w:asciiTheme="minorHAnsi" w:hAnsiTheme="minorHAnsi" w:cstheme="minorHAnsi"/>
                <w:sz w:val="20"/>
                <w:lang w:val="en-AU"/>
              </w:rPr>
              <w:t>units</w:t>
            </w:r>
            <w:r w:rsidRPr="003F4212">
              <w:rPr>
                <w:rFonts w:asciiTheme="minorHAnsi" w:hAnsiTheme="minorHAnsi" w:cstheme="minorHAnsi"/>
                <w:sz w:val="20"/>
                <w:lang w:val="en-AU"/>
              </w:rPr>
              <w:t xml:space="preserve"> (15 mg) in infants produced prolonged vitamin D excess and transient hypercalcaemia, whereas doses of 100</w:t>
            </w:r>
            <w:r>
              <w:rPr>
                <w:rFonts w:asciiTheme="minorHAnsi" w:hAnsiTheme="minorHAnsi" w:cstheme="minorHAnsi"/>
                <w:sz w:val="20"/>
                <w:lang w:val="en-AU"/>
              </w:rPr>
              <w:t xml:space="preserve"> </w:t>
            </w:r>
            <w:r w:rsidRPr="003F4212">
              <w:rPr>
                <w:rFonts w:asciiTheme="minorHAnsi" w:hAnsiTheme="minorHAnsi" w:cstheme="minorHAnsi"/>
                <w:sz w:val="20"/>
                <w:lang w:val="en-AU"/>
              </w:rPr>
              <w:t>000 to 200</w:t>
            </w:r>
            <w:r>
              <w:rPr>
                <w:rFonts w:asciiTheme="minorHAnsi" w:hAnsiTheme="minorHAnsi" w:cstheme="minorHAnsi"/>
                <w:sz w:val="20"/>
                <w:lang w:val="en-AU"/>
              </w:rPr>
              <w:t xml:space="preserve"> </w:t>
            </w:r>
            <w:r w:rsidRPr="003F4212">
              <w:rPr>
                <w:rFonts w:asciiTheme="minorHAnsi" w:hAnsiTheme="minorHAnsi" w:cstheme="minorHAnsi"/>
                <w:sz w:val="20"/>
                <w:lang w:val="en-AU"/>
              </w:rPr>
              <w:t xml:space="preserve">000 </w:t>
            </w:r>
            <w:r>
              <w:rPr>
                <w:rFonts w:asciiTheme="minorHAnsi" w:hAnsiTheme="minorHAnsi" w:cstheme="minorHAnsi"/>
                <w:sz w:val="20"/>
                <w:lang w:val="en-AU"/>
              </w:rPr>
              <w:t>units</w:t>
            </w:r>
            <w:r w:rsidRPr="003F4212">
              <w:rPr>
                <w:rFonts w:asciiTheme="minorHAnsi" w:hAnsiTheme="minorHAnsi" w:cstheme="minorHAnsi"/>
                <w:sz w:val="20"/>
                <w:lang w:val="en-AU"/>
              </w:rPr>
              <w:t xml:space="preserve"> every 3 months did not</w:t>
            </w:r>
            <w:r>
              <w:rPr>
                <w:rFonts w:asciiTheme="minorHAnsi" w:hAnsiTheme="minorHAnsi" w:cstheme="minorHAnsi"/>
                <w:sz w:val="20"/>
                <w:lang w:val="en-AU"/>
              </w:rPr>
              <w:t>.</w:t>
            </w:r>
            <w:r w:rsidRPr="003F4212">
              <w:rPr>
                <w:rFonts w:asciiTheme="minorHAnsi" w:hAnsiTheme="minorHAnsi" w:cstheme="minorHAnsi"/>
                <w:sz w:val="20"/>
                <w:lang w:val="en-AU"/>
              </w:rPr>
              <w:t xml:space="preserve"> </w:t>
            </w:r>
            <w:r>
              <w:rPr>
                <w:rFonts w:asciiTheme="minorHAnsi" w:hAnsiTheme="minorHAnsi" w:cstheme="minorHAnsi"/>
                <w:sz w:val="20"/>
                <w:lang w:val="en-AU"/>
              </w:rPr>
              <w:t>(2</w:t>
            </w:r>
            <w:r w:rsidRPr="003F4212">
              <w:rPr>
                <w:rFonts w:asciiTheme="minorHAnsi" w:hAnsiTheme="minorHAnsi" w:cstheme="minorHAnsi"/>
                <w:sz w:val="20"/>
                <w:lang w:val="en-AU"/>
              </w:rPr>
              <w:t>, 11</w:t>
            </w:r>
            <w:r>
              <w:rPr>
                <w:rFonts w:asciiTheme="minorHAnsi" w:hAnsiTheme="minorHAnsi" w:cstheme="minorHAnsi"/>
                <w:sz w:val="20"/>
                <w:lang w:val="en-AU"/>
              </w:rPr>
              <w:t>)</w:t>
            </w:r>
          </w:p>
        </w:tc>
      </w:tr>
      <w:tr w:rsidRPr="00AA350F" w:rsidR="00393D09" w:rsidTr="004F7403" w14:paraId="5301864C" w14:textId="77777777">
        <w:trPr>
          <w:trHeight w:val="144"/>
        </w:trPr>
        <w:tc>
          <w:tcPr>
            <w:tcW w:w="1844" w:type="dxa"/>
          </w:tcPr>
          <w:p w:rsidRPr="00AA350F" w:rsidR="00393D09" w:rsidP="00131848" w:rsidRDefault="00393D09" w14:paraId="099A7E97" w14:textId="77777777">
            <w:pPr>
              <w:pStyle w:val="BodyText"/>
              <w:rPr>
                <w:rFonts w:asciiTheme="minorHAnsi" w:hAnsiTheme="minorHAnsi" w:cstheme="minorHAnsi"/>
                <w:b/>
                <w:bCs/>
                <w:sz w:val="20"/>
                <w:lang w:val="en-AU"/>
              </w:rPr>
            </w:pPr>
            <w:r w:rsidRPr="00AA350F">
              <w:rPr>
                <w:rFonts w:asciiTheme="minorHAnsi" w:hAnsiTheme="minorHAnsi" w:cstheme="minorHAnsi"/>
                <w:b/>
                <w:sz w:val="20"/>
                <w:lang w:val="en-AU"/>
              </w:rPr>
              <w:t>Total cumulative dose</w:t>
            </w:r>
          </w:p>
        </w:tc>
        <w:tc>
          <w:tcPr>
            <w:tcW w:w="7938" w:type="dxa"/>
          </w:tcPr>
          <w:p w:rsidRPr="00AA350F" w:rsidR="00393D09" w:rsidP="00131848" w:rsidRDefault="00393D09" w14:paraId="06F7298C" w14:textId="77777777">
            <w:pPr>
              <w:pStyle w:val="BodyText"/>
              <w:rPr>
                <w:rFonts w:asciiTheme="minorHAnsi" w:hAnsiTheme="minorHAnsi" w:cstheme="minorHAnsi"/>
                <w:b/>
                <w:sz w:val="20"/>
                <w:lang w:val="en-AU"/>
              </w:rPr>
            </w:pPr>
          </w:p>
        </w:tc>
      </w:tr>
      <w:tr w:rsidRPr="00AA350F" w:rsidR="00393D09" w:rsidTr="004F7403" w14:paraId="2B55AF93" w14:textId="77777777">
        <w:trPr>
          <w:trHeight w:val="294"/>
        </w:trPr>
        <w:tc>
          <w:tcPr>
            <w:tcW w:w="1844" w:type="dxa"/>
          </w:tcPr>
          <w:p w:rsidRPr="00AA350F" w:rsidR="00393D09" w:rsidP="00131848" w:rsidRDefault="00393D09" w14:paraId="7C89F26A" w14:textId="77777777">
            <w:pPr>
              <w:pStyle w:val="BodyText"/>
              <w:rPr>
                <w:rFonts w:asciiTheme="minorHAnsi" w:hAnsiTheme="minorHAnsi" w:cstheme="minorHAnsi"/>
                <w:sz w:val="20"/>
                <w:lang w:val="en-AU"/>
              </w:rPr>
            </w:pPr>
            <w:r w:rsidRPr="00AA350F">
              <w:rPr>
                <w:rFonts w:asciiTheme="minorHAnsi" w:hAnsiTheme="minorHAnsi" w:cstheme="minorHAnsi"/>
                <w:b/>
                <w:bCs/>
                <w:sz w:val="20"/>
                <w:lang w:val="en-AU"/>
              </w:rPr>
              <w:t xml:space="preserve">Route                                </w:t>
            </w:r>
          </w:p>
        </w:tc>
        <w:tc>
          <w:tcPr>
            <w:tcW w:w="7938" w:type="dxa"/>
          </w:tcPr>
          <w:p w:rsidRPr="00AA350F" w:rsidR="00393D09" w:rsidP="00131848" w:rsidRDefault="00393D09" w14:paraId="5325C06C"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Oral</w:t>
            </w:r>
          </w:p>
          <w:p w:rsidRPr="00AA350F" w:rsidR="00393D09" w:rsidP="00131848" w:rsidRDefault="00393D09" w14:paraId="6A53C912"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Intramuscular</w:t>
            </w:r>
          </w:p>
        </w:tc>
      </w:tr>
      <w:tr w:rsidRPr="00AA350F" w:rsidR="00393D09" w:rsidTr="004F7403" w14:paraId="18821C36" w14:textId="77777777">
        <w:trPr>
          <w:trHeight w:val="93"/>
        </w:trPr>
        <w:tc>
          <w:tcPr>
            <w:tcW w:w="1844" w:type="dxa"/>
          </w:tcPr>
          <w:p w:rsidRPr="00AA350F" w:rsidR="00393D09" w:rsidP="00131848" w:rsidRDefault="00393D09" w14:paraId="113D73CC" w14:textId="77777777">
            <w:pPr>
              <w:pStyle w:val="BodyText"/>
              <w:rPr>
                <w:rFonts w:asciiTheme="minorHAnsi" w:hAnsiTheme="minorHAnsi" w:cstheme="minorHAnsi"/>
                <w:b/>
                <w:bCs/>
                <w:sz w:val="20"/>
                <w:highlight w:val="cyan"/>
                <w:lang w:val="en-AU"/>
              </w:rPr>
            </w:pPr>
            <w:r w:rsidRPr="00AA350F">
              <w:rPr>
                <w:rFonts w:asciiTheme="minorHAnsi" w:hAnsiTheme="minorHAnsi" w:cstheme="minorHAnsi"/>
                <w:b/>
                <w:bCs/>
                <w:sz w:val="20"/>
                <w:lang w:val="en-AU"/>
              </w:rPr>
              <w:t>Preparation</w:t>
            </w:r>
            <w:r w:rsidRPr="00AA350F">
              <w:rPr>
                <w:rFonts w:asciiTheme="minorHAnsi" w:hAnsiTheme="minorHAnsi" w:cstheme="minorHAnsi"/>
                <w:b/>
                <w:bCs/>
                <w:sz w:val="20"/>
                <w:highlight w:val="cyan"/>
                <w:lang w:val="en-AU"/>
              </w:rPr>
              <w:t xml:space="preserve">                </w:t>
            </w:r>
          </w:p>
        </w:tc>
        <w:tc>
          <w:tcPr>
            <w:tcW w:w="7938" w:type="dxa"/>
          </w:tcPr>
          <w:p w:rsidRPr="00AA350F" w:rsidR="00393D09" w:rsidP="00131848" w:rsidRDefault="00393D09" w14:paraId="7D9000F8"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Administer undiluted. </w:t>
            </w:r>
          </w:p>
        </w:tc>
      </w:tr>
      <w:tr w:rsidRPr="00AA350F" w:rsidR="00393D09" w:rsidTr="004F7403" w14:paraId="364B9194" w14:textId="77777777">
        <w:trPr>
          <w:trHeight w:val="224"/>
        </w:trPr>
        <w:tc>
          <w:tcPr>
            <w:tcW w:w="1844" w:type="dxa"/>
          </w:tcPr>
          <w:p w:rsidRPr="00AA350F" w:rsidR="00393D09" w:rsidP="00131848" w:rsidRDefault="00393D09" w14:paraId="52810FAB"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Administration                </w:t>
            </w:r>
          </w:p>
        </w:tc>
        <w:tc>
          <w:tcPr>
            <w:tcW w:w="7938" w:type="dxa"/>
            <w:vAlign w:val="center"/>
          </w:tcPr>
          <w:p w:rsidRPr="00AA350F" w:rsidR="00393D09" w:rsidP="00131848" w:rsidRDefault="00393D09" w14:paraId="3C42FAF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Oral: May be administered without regard to meals.</w:t>
            </w:r>
          </w:p>
          <w:p w:rsidRPr="00AA350F" w:rsidR="00393D09" w:rsidP="00131848" w:rsidRDefault="00393D09" w14:paraId="70A2F2DA"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Intramuscular: inject slowly into anterolateral thigh. </w:t>
            </w:r>
          </w:p>
        </w:tc>
      </w:tr>
      <w:tr w:rsidRPr="00AA350F" w:rsidR="00393D09" w:rsidTr="004F7403" w14:paraId="43733767" w14:textId="77777777">
        <w:trPr>
          <w:trHeight w:val="215"/>
        </w:trPr>
        <w:tc>
          <w:tcPr>
            <w:tcW w:w="1844" w:type="dxa"/>
          </w:tcPr>
          <w:p w:rsidRPr="00AA350F" w:rsidR="00393D09" w:rsidP="00131848" w:rsidRDefault="00393D09" w14:paraId="0C1CA253"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Monitoring                              </w:t>
            </w:r>
          </w:p>
        </w:tc>
        <w:tc>
          <w:tcPr>
            <w:tcW w:w="7938" w:type="dxa"/>
          </w:tcPr>
          <w:p w:rsidRPr="00AA350F" w:rsidR="00393D09" w:rsidP="00131848" w:rsidRDefault="00393D09" w14:paraId="418C0F89" w14:textId="77777777">
            <w:pPr>
              <w:pStyle w:val="BodyText"/>
              <w:rPr>
                <w:rFonts w:asciiTheme="minorHAnsi" w:hAnsiTheme="minorHAnsi" w:cstheme="minorHAnsi"/>
                <w:sz w:val="20"/>
                <w:lang w:val="en-AU"/>
              </w:rPr>
            </w:pPr>
            <w:r w:rsidRPr="00AA350F">
              <w:rPr>
                <w:rFonts w:asciiTheme="minorHAnsi" w:hAnsiTheme="minorHAnsi" w:cstheme="minorHAnsi"/>
                <w:b/>
                <w:sz w:val="20"/>
                <w:lang w:val="en-AU"/>
              </w:rPr>
              <w:t>Healthy infants</w:t>
            </w:r>
            <w:r w:rsidRPr="00AA350F">
              <w:rPr>
                <w:rFonts w:asciiTheme="minorHAnsi" w:hAnsiTheme="minorHAnsi" w:cstheme="minorHAnsi"/>
                <w:sz w:val="20"/>
                <w:lang w:val="en-AU"/>
              </w:rPr>
              <w:t xml:space="preserve">:  no routine 25OHD screening recommended </w:t>
            </w:r>
            <w:r w:rsidRPr="00AA350F">
              <w:rPr>
                <w:rFonts w:asciiTheme="minorHAnsi" w:hAnsiTheme="minorHAnsi" w:cstheme="minorHAnsi"/>
                <w:noProof/>
                <w:sz w:val="20"/>
                <w:lang w:val="en-AU"/>
              </w:rPr>
              <w:t>(2)</w:t>
            </w:r>
            <w:r w:rsidRPr="00AA350F">
              <w:rPr>
                <w:rFonts w:asciiTheme="minorHAnsi" w:hAnsiTheme="minorHAnsi" w:cstheme="minorHAnsi"/>
                <w:sz w:val="20"/>
                <w:lang w:val="en-AU"/>
              </w:rPr>
              <w:t>.</w:t>
            </w:r>
          </w:p>
          <w:p w:rsidRPr="00AA350F" w:rsidR="00393D09" w:rsidP="00131848" w:rsidRDefault="00393D09" w14:paraId="353CDC41" w14:textId="77777777">
            <w:pPr>
              <w:pStyle w:val="BodyText"/>
              <w:rPr>
                <w:rFonts w:asciiTheme="minorHAnsi" w:hAnsiTheme="minorHAnsi" w:cstheme="minorHAnsi"/>
                <w:sz w:val="20"/>
                <w:lang w:val="en-AU"/>
              </w:rPr>
            </w:pPr>
            <w:r w:rsidRPr="00AA350F">
              <w:rPr>
                <w:rFonts w:asciiTheme="minorHAnsi" w:hAnsiTheme="minorHAnsi" w:cstheme="minorHAnsi"/>
                <w:b/>
                <w:sz w:val="20"/>
                <w:lang w:val="en-AU"/>
              </w:rPr>
              <w:t>Infants with cholestasis:</w:t>
            </w:r>
            <w:r w:rsidRPr="00AA350F">
              <w:rPr>
                <w:rFonts w:asciiTheme="minorHAnsi" w:hAnsiTheme="minorHAnsi" w:cstheme="minorHAnsi"/>
                <w:sz w:val="20"/>
                <w:lang w:val="en-AU"/>
              </w:rPr>
              <w:t xml:space="preserve"> monitor 25OHD every 1 to 3 months. Maintain vitamin D sufficiency (25-hydroxyvitamin D ≥ 50 nmol/L).</w:t>
            </w:r>
            <w:r w:rsidRPr="00AA350F">
              <w:rPr>
                <w:rFonts w:asciiTheme="minorHAnsi" w:hAnsiTheme="minorHAnsi" w:cstheme="minorHAnsi"/>
                <w:noProof/>
                <w:sz w:val="20"/>
                <w:lang w:val="en-AU"/>
              </w:rPr>
              <w:t>(</w:t>
            </w:r>
            <w:r>
              <w:rPr>
                <w:rFonts w:asciiTheme="minorHAnsi" w:hAnsiTheme="minorHAnsi" w:cstheme="minorHAnsi"/>
                <w:noProof/>
                <w:sz w:val="20"/>
                <w:lang w:val="en-AU"/>
              </w:rPr>
              <w:t>4</w:t>
            </w:r>
            <w:r w:rsidRPr="00AA350F">
              <w:rPr>
                <w:rFonts w:asciiTheme="minorHAnsi" w:hAnsiTheme="minorHAnsi" w:cstheme="minorHAnsi"/>
                <w:noProof/>
                <w:sz w:val="20"/>
                <w:lang w:val="en-AU"/>
              </w:rPr>
              <w:t>, 8)</w:t>
            </w:r>
          </w:p>
          <w:p w:rsidRPr="00AA350F" w:rsidR="00393D09" w:rsidP="00131848" w:rsidRDefault="00393D09" w14:paraId="7ADA6926" w14:textId="77777777">
            <w:pPr>
              <w:pStyle w:val="BodyText"/>
              <w:rPr>
                <w:rFonts w:asciiTheme="minorHAnsi" w:hAnsiTheme="minorHAnsi" w:cstheme="minorHAnsi"/>
                <w:sz w:val="20"/>
                <w:lang w:val="en-AU"/>
              </w:rPr>
            </w:pPr>
            <w:r w:rsidRPr="00AA350F">
              <w:rPr>
                <w:rFonts w:asciiTheme="minorHAnsi" w:hAnsiTheme="minorHAnsi" w:cstheme="minorHAnsi"/>
                <w:b/>
                <w:sz w:val="20"/>
                <w:lang w:val="en-AU"/>
              </w:rPr>
              <w:t>For very low birth weight or preterm infants with nutritional rickets</w:t>
            </w:r>
            <w:r w:rsidRPr="00AA350F">
              <w:rPr>
                <w:rFonts w:asciiTheme="minorHAnsi" w:hAnsiTheme="minorHAnsi" w:cstheme="minorHAnsi"/>
                <w:sz w:val="20"/>
                <w:lang w:val="en-AU"/>
              </w:rPr>
              <w:t>: serum phosphate and alkaline phosphatase weekly to achieve serum levels of 1.8 mmol/L for term infants (range 1.2-2.6) and 1.3-1.7 mmol/L for preterm infants.</w:t>
            </w:r>
            <w:r>
              <w:rPr>
                <w:rFonts w:asciiTheme="minorHAnsi" w:hAnsiTheme="minorHAnsi" w:cstheme="minorHAnsi"/>
                <w:sz w:val="20"/>
                <w:lang w:val="en-AU"/>
              </w:rPr>
              <w:t xml:space="preserve"> (3)</w:t>
            </w:r>
            <w:r w:rsidRPr="00AA350F">
              <w:rPr>
                <w:rFonts w:asciiTheme="minorHAnsi" w:hAnsiTheme="minorHAnsi" w:cstheme="minorHAnsi"/>
                <w:sz w:val="20"/>
                <w:lang w:val="en-AU"/>
              </w:rPr>
              <w:t xml:space="preserve"> Urine calcium and phosphate may be monitored with the goal of achieving a slight surplus of supply of calcium and phosphate (urinary calcium ≥ 1.2mmol/L and phosphate ≥ 0.4 mmol/L)</w:t>
            </w:r>
            <w:r>
              <w:rPr>
                <w:rFonts w:asciiTheme="minorHAnsi" w:hAnsiTheme="minorHAnsi" w:cstheme="minorHAnsi"/>
                <w:sz w:val="20"/>
                <w:lang w:val="en-AU"/>
              </w:rPr>
              <w:t>.</w:t>
            </w:r>
            <w:r w:rsidRPr="00AA350F">
              <w:rPr>
                <w:rFonts w:asciiTheme="minorHAnsi" w:hAnsiTheme="minorHAnsi" w:cstheme="minorHAnsi"/>
                <w:sz w:val="20"/>
                <w:lang w:val="en-AU"/>
              </w:rPr>
              <w:t xml:space="preserve"> </w:t>
            </w:r>
            <w:r w:rsidRPr="00AA350F">
              <w:rPr>
                <w:rFonts w:asciiTheme="minorHAnsi" w:hAnsiTheme="minorHAnsi" w:cstheme="minorHAnsi"/>
                <w:noProof/>
                <w:sz w:val="20"/>
                <w:lang w:val="en-AU"/>
              </w:rPr>
              <w:t>(9)</w:t>
            </w:r>
            <w:r w:rsidRPr="00AA350F">
              <w:rPr>
                <w:rFonts w:asciiTheme="minorHAnsi" w:hAnsiTheme="minorHAnsi" w:cstheme="minorHAnsi"/>
                <w:sz w:val="20"/>
                <w:lang w:val="en-AU"/>
              </w:rPr>
              <w:t xml:space="preserve"> In daily practice, monitoring can be ceased after the preterm infant is on full feeds of fortified human milk or preterm formula and is &gt; 1500 g body weight.</w:t>
            </w:r>
          </w:p>
          <w:p w:rsidRPr="00AA350F" w:rsidR="00393D09" w:rsidP="00131848" w:rsidRDefault="00393D09" w14:paraId="2800D835"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Routine evaluation for nutritional rickets should be considered for infants born &lt;1500 g </w:t>
            </w:r>
            <w:r w:rsidRPr="00AA350F">
              <w:rPr>
                <w:rFonts w:asciiTheme="minorHAnsi" w:hAnsiTheme="minorHAnsi" w:cstheme="minorHAnsi"/>
                <w:noProof/>
                <w:sz w:val="20"/>
                <w:lang w:val="en-AU"/>
              </w:rPr>
              <w:t>(3)</w:t>
            </w:r>
            <w:r w:rsidRPr="00AA350F">
              <w:rPr>
                <w:rFonts w:asciiTheme="minorHAnsi" w:hAnsiTheme="minorHAnsi" w:cstheme="minorHAnsi"/>
                <w:sz w:val="20"/>
                <w:lang w:val="en-AU"/>
              </w:rPr>
              <w:t>. Biochemical testing should usually be started 4 to 5 weeks after birth, and a serum alkaline phosphatase &gt;800 to 1000 units/L or clinical evidence of fractures should lead to a radiographic evaluation for rickets and management focusing on maximizing calcium and phosphorus intake and minimizing factors leading to bone mineral loss.</w:t>
            </w:r>
            <w:r w:rsidRPr="00AA350F">
              <w:rPr>
                <w:rFonts w:asciiTheme="minorHAnsi" w:hAnsiTheme="minorHAnsi" w:cstheme="minorHAnsi"/>
                <w:noProof/>
                <w:sz w:val="20"/>
                <w:lang w:val="en-AU"/>
              </w:rPr>
              <w:t>(3)</w:t>
            </w:r>
          </w:p>
        </w:tc>
      </w:tr>
      <w:tr w:rsidRPr="00AA350F" w:rsidR="00393D09" w:rsidTr="004F7403" w14:paraId="1E1F6B71" w14:textId="77777777">
        <w:trPr>
          <w:trHeight w:val="342"/>
        </w:trPr>
        <w:tc>
          <w:tcPr>
            <w:tcW w:w="1844" w:type="dxa"/>
          </w:tcPr>
          <w:p w:rsidRPr="00AA350F" w:rsidR="00393D09" w:rsidP="00131848" w:rsidRDefault="00393D09" w14:paraId="36215591"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Contraindications                        </w:t>
            </w:r>
          </w:p>
        </w:tc>
        <w:tc>
          <w:tcPr>
            <w:tcW w:w="7938" w:type="dxa"/>
          </w:tcPr>
          <w:p w:rsidRPr="00AA350F" w:rsidR="00393D09" w:rsidP="00131848" w:rsidRDefault="00393D09" w14:paraId="37DC6BC6"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Hypersensitivity to colecalciferol, Hypervitaminosis D</w:t>
            </w:r>
          </w:p>
        </w:tc>
      </w:tr>
      <w:tr w:rsidRPr="00AA350F" w:rsidR="00393D09" w:rsidTr="004F7403" w14:paraId="1A8BB660" w14:textId="77777777">
        <w:tc>
          <w:tcPr>
            <w:tcW w:w="1844" w:type="dxa"/>
          </w:tcPr>
          <w:p w:rsidRPr="00AA350F" w:rsidR="00393D09" w:rsidP="00131848" w:rsidRDefault="00393D09" w14:paraId="36697FBB" w14:textId="77777777">
            <w:pPr>
              <w:pStyle w:val="BodyText"/>
              <w:rPr>
                <w:rFonts w:asciiTheme="minorHAnsi" w:hAnsiTheme="minorHAnsi" w:cstheme="minorHAnsi"/>
                <w:b/>
                <w:bCs/>
                <w:sz w:val="20"/>
                <w:lang w:val="en-AU"/>
              </w:rPr>
            </w:pPr>
            <w:r w:rsidRPr="00AA350F">
              <w:rPr>
                <w:rFonts w:asciiTheme="minorHAnsi" w:hAnsiTheme="minorHAnsi" w:cstheme="minorHAnsi"/>
                <w:sz w:val="20"/>
                <w:lang w:val="en-AU"/>
              </w:rPr>
              <w:br w:type="page"/>
            </w:r>
            <w:r w:rsidRPr="00AA350F">
              <w:rPr>
                <w:rFonts w:asciiTheme="minorHAnsi" w:hAnsiTheme="minorHAnsi" w:cstheme="minorHAnsi"/>
                <w:b/>
                <w:bCs/>
                <w:sz w:val="20"/>
                <w:lang w:val="en-AU"/>
              </w:rPr>
              <w:t>Precautions</w:t>
            </w:r>
          </w:p>
        </w:tc>
        <w:tc>
          <w:tcPr>
            <w:tcW w:w="7938" w:type="dxa"/>
          </w:tcPr>
          <w:p w:rsidRPr="00AA350F" w:rsidR="00393D09" w:rsidP="00131848" w:rsidRDefault="00393D09" w14:paraId="0855ECD3"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Hypercalcaemia and hyperparathyroidism - avoid a high calcium intake and limit vitamin D supplementation with colecalciferol.</w:t>
            </w:r>
          </w:p>
          <w:p w:rsidRPr="00AA350F" w:rsidR="00393D09" w:rsidP="00131848" w:rsidRDefault="00393D09" w14:paraId="636AFD7E"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The formulations of colecalciferol available in Australia are unlikely to cause vitamin D toxicity. However, if toxicity from colecalciferol occurs, stopping treatment might not lead to rapid resolution because colecalciferol is stored extensively in fat. In addition to rehydration, oral glucocorticoids can be effective in severe or protracted vitamin D toxicity.</w:t>
            </w:r>
          </w:p>
        </w:tc>
      </w:tr>
      <w:tr w:rsidRPr="00AA350F" w:rsidR="00393D09" w:rsidTr="004F7403" w14:paraId="214A8B99" w14:textId="77777777">
        <w:trPr>
          <w:trHeight w:val="70"/>
        </w:trPr>
        <w:tc>
          <w:tcPr>
            <w:tcW w:w="1844" w:type="dxa"/>
          </w:tcPr>
          <w:p w:rsidRPr="00AA350F" w:rsidR="00393D09" w:rsidP="00131848" w:rsidRDefault="00393D09" w14:paraId="7CE02E0E"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lastRenderedPageBreak/>
              <w:t>Drug interactions</w:t>
            </w:r>
          </w:p>
        </w:tc>
        <w:tc>
          <w:tcPr>
            <w:tcW w:w="7938" w:type="dxa"/>
          </w:tcPr>
          <w:p w:rsidRPr="00AA350F" w:rsidR="00393D09" w:rsidP="00131848" w:rsidRDefault="00393D09" w14:paraId="3F53BD3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Magnesium-containing antacids (concurrent use with vitamin D may result in hypermagnaesemia, especially in patients with chronic renal failure).</w:t>
            </w:r>
          </w:p>
          <w:p w:rsidRPr="00AA350F" w:rsidR="00393D09" w:rsidP="00131848" w:rsidRDefault="00393D09" w14:paraId="0A8F5AE0"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Barbiturates may reduce effect of vitamin D by accelerating metabolism by hepatic microsomal enzyme induction; patients on long-term anticonvulsant therapy may require vitamin D supplementation to prevent osteomalacia.</w:t>
            </w:r>
          </w:p>
          <w:p w:rsidRPr="00AA350F" w:rsidR="00393D09" w:rsidP="00131848" w:rsidRDefault="00393D09" w14:paraId="389E0011"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Calcitonin – reduces serum calcium levels.</w:t>
            </w:r>
          </w:p>
          <w:p w:rsidRPr="00AA350F" w:rsidR="00393D09" w:rsidP="00131848" w:rsidRDefault="00393D09" w14:paraId="20756AF6"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Bisphosphonates (etidronate, pamidronate) prevent bone resorption and act synergistically with vitamin D to increase bone mineral density, but antagonise the effect of vitamin D on serum calcium level.</w:t>
            </w:r>
          </w:p>
          <w:p w:rsidRPr="00AA350F" w:rsidR="00393D09" w:rsidP="00131848" w:rsidRDefault="00393D09" w14:paraId="53953097"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Calcium-containing preparations in high doses.</w:t>
            </w:r>
          </w:p>
          <w:p w:rsidRPr="00AA350F" w:rsidR="00393D09" w:rsidP="00131848" w:rsidRDefault="00393D09" w14:paraId="1D75E6CD"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Diuretics, thiazide (concurrent use with vitamin D may increase the risk of hypercalcaemia).</w:t>
            </w:r>
          </w:p>
          <w:p w:rsidRPr="00AA350F" w:rsidR="00393D09" w:rsidP="00131848" w:rsidRDefault="00393D09" w14:paraId="4F24070F"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Cholestyramine, colestipol and mineral oils may interfere with fat soluble vitamin absorption. </w:t>
            </w:r>
          </w:p>
          <w:p w:rsidRPr="00AA350F" w:rsidR="00393D09" w:rsidP="00131848" w:rsidRDefault="00393D09" w14:paraId="342FBA51"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Corticosteroids - vitamin D supplementation may be recommended for prolonged corticosteroids use, because corticosteroids may interfere with vitamin D action.</w:t>
            </w:r>
          </w:p>
          <w:p w:rsidRPr="00AA350F" w:rsidR="00393D09" w:rsidP="00131848" w:rsidRDefault="00393D09" w14:paraId="260B968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Digitalis glycosides - hypercalcaemia caused by vitamin D may potentiate the effects of digitalis glycosides resulting in cardiac arrhythmias.</w:t>
            </w:r>
          </w:p>
          <w:p w:rsidRPr="00AA350F" w:rsidR="00393D09" w:rsidP="00131848" w:rsidRDefault="00393D09" w14:paraId="259AC8D5"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Phosphorus containing preparations in high doses may cause hyperphosphataemia as vitamin D enhances of phosphate absorption.</w:t>
            </w:r>
          </w:p>
          <w:p w:rsidRPr="00AA350F" w:rsidR="00393D09" w:rsidP="00131848" w:rsidRDefault="00393D09" w14:paraId="3E175CA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Vitamin D and analogs - concurrent use with another analog, especially calcifediol, is not recommended because of additive effects and increased potential for toxicity.</w:t>
            </w:r>
          </w:p>
        </w:tc>
      </w:tr>
      <w:tr w:rsidRPr="00AA350F" w:rsidR="00393D09" w:rsidTr="004F7403" w14:paraId="3BB40A1D" w14:textId="77777777">
        <w:trPr>
          <w:trHeight w:val="332"/>
        </w:trPr>
        <w:tc>
          <w:tcPr>
            <w:tcW w:w="1844" w:type="dxa"/>
          </w:tcPr>
          <w:p w:rsidRPr="00AA350F" w:rsidR="00393D09" w:rsidP="00131848" w:rsidRDefault="00393D09" w14:paraId="43DA3C02"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Adverse reactions         </w:t>
            </w:r>
          </w:p>
        </w:tc>
        <w:tc>
          <w:tcPr>
            <w:tcW w:w="7938" w:type="dxa"/>
          </w:tcPr>
          <w:p w:rsidRPr="00AA350F" w:rsidR="00393D09" w:rsidP="00131848" w:rsidRDefault="00393D09" w14:paraId="263CE0E2"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A dose of </w:t>
            </w:r>
            <w:r>
              <w:rPr>
                <w:rFonts w:asciiTheme="minorHAnsi" w:hAnsiTheme="minorHAnsi" w:cstheme="minorHAnsi"/>
                <w:sz w:val="20"/>
                <w:lang w:val="en-AU"/>
              </w:rPr>
              <w:t>vitamin D3</w:t>
            </w:r>
            <w:r w:rsidRPr="00AA350F">
              <w:rPr>
                <w:rFonts w:asciiTheme="minorHAnsi" w:hAnsiTheme="minorHAnsi" w:cstheme="minorHAnsi"/>
                <w:sz w:val="20"/>
                <w:lang w:val="en-AU"/>
              </w:rPr>
              <w:t xml:space="preserve"> 1600 units/day produced vitamin D toxicity (hypercalcaemia and 25-hydroxy vitamin D &gt;250 nmol/L) in 94% of infants </w:t>
            </w:r>
            <w:r w:rsidRPr="00AA350F">
              <w:rPr>
                <w:rFonts w:asciiTheme="minorHAnsi" w:hAnsiTheme="minorHAnsi" w:cstheme="minorHAnsi"/>
                <w:noProof/>
                <w:sz w:val="20"/>
                <w:lang w:val="en-AU"/>
              </w:rPr>
              <w:t>(10)</w:t>
            </w:r>
            <w:r w:rsidRPr="00AA350F">
              <w:rPr>
                <w:rFonts w:asciiTheme="minorHAnsi" w:hAnsiTheme="minorHAnsi" w:cstheme="minorHAnsi"/>
                <w:sz w:val="20"/>
                <w:lang w:val="en-AU"/>
              </w:rPr>
              <w:t>.</w:t>
            </w:r>
          </w:p>
          <w:p w:rsidRPr="00AA350F" w:rsidR="00393D09" w:rsidP="00131848" w:rsidRDefault="00393D09" w14:paraId="088C14DF"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Single doses of </w:t>
            </w:r>
            <w:r>
              <w:rPr>
                <w:rFonts w:asciiTheme="minorHAnsi" w:hAnsiTheme="minorHAnsi" w:cstheme="minorHAnsi"/>
                <w:sz w:val="20"/>
                <w:lang w:val="en-AU"/>
              </w:rPr>
              <w:t>vitamin D3</w:t>
            </w:r>
            <w:r w:rsidRPr="00AA350F">
              <w:rPr>
                <w:rFonts w:asciiTheme="minorHAnsi" w:hAnsiTheme="minorHAnsi" w:cstheme="minorHAnsi"/>
                <w:sz w:val="20"/>
                <w:lang w:val="en-AU"/>
              </w:rPr>
              <w:t xml:space="preserve"> 600</w:t>
            </w:r>
            <w:r>
              <w:rPr>
                <w:rFonts w:asciiTheme="minorHAnsi" w:hAnsiTheme="minorHAnsi" w:cstheme="minorHAnsi"/>
                <w:sz w:val="20"/>
                <w:lang w:val="en-AU"/>
              </w:rPr>
              <w:t xml:space="preserve"> </w:t>
            </w:r>
            <w:r w:rsidRPr="00AA350F">
              <w:rPr>
                <w:rFonts w:asciiTheme="minorHAnsi" w:hAnsiTheme="minorHAnsi" w:cstheme="minorHAnsi"/>
                <w:sz w:val="20"/>
                <w:lang w:val="en-AU"/>
              </w:rPr>
              <w:t>000 units (</w:t>
            </w:r>
            <w:r>
              <w:rPr>
                <w:rFonts w:asciiTheme="minorHAnsi" w:hAnsiTheme="minorHAnsi" w:cstheme="minorHAnsi"/>
                <w:sz w:val="20"/>
                <w:lang w:val="en-AU"/>
              </w:rPr>
              <w:t xml:space="preserve">colecalciferol </w:t>
            </w:r>
            <w:r w:rsidRPr="00AA350F">
              <w:rPr>
                <w:rFonts w:asciiTheme="minorHAnsi" w:hAnsiTheme="minorHAnsi" w:cstheme="minorHAnsi"/>
                <w:sz w:val="20"/>
                <w:lang w:val="en-AU"/>
              </w:rPr>
              <w:t>15 mg) in infants produced prolonged vitamin D excess and transient hypercalcaemia, whereas doses of 100</w:t>
            </w:r>
            <w:r>
              <w:rPr>
                <w:rFonts w:asciiTheme="minorHAnsi" w:hAnsiTheme="minorHAnsi" w:cstheme="minorHAnsi"/>
                <w:sz w:val="20"/>
                <w:lang w:val="en-AU"/>
              </w:rPr>
              <w:t xml:space="preserve"> </w:t>
            </w:r>
            <w:r w:rsidRPr="00AA350F">
              <w:rPr>
                <w:rFonts w:asciiTheme="minorHAnsi" w:hAnsiTheme="minorHAnsi" w:cstheme="minorHAnsi"/>
                <w:sz w:val="20"/>
                <w:lang w:val="en-AU"/>
              </w:rPr>
              <w:t>000 to 200</w:t>
            </w:r>
            <w:r>
              <w:rPr>
                <w:rFonts w:asciiTheme="minorHAnsi" w:hAnsiTheme="minorHAnsi" w:cstheme="minorHAnsi"/>
                <w:sz w:val="20"/>
                <w:lang w:val="en-AU"/>
              </w:rPr>
              <w:t xml:space="preserve"> </w:t>
            </w:r>
            <w:r w:rsidRPr="00AA350F">
              <w:rPr>
                <w:rFonts w:asciiTheme="minorHAnsi" w:hAnsiTheme="minorHAnsi" w:cstheme="minorHAnsi"/>
                <w:sz w:val="20"/>
                <w:lang w:val="en-AU"/>
              </w:rPr>
              <w:t xml:space="preserve">000 units every 3 months did not. </w:t>
            </w:r>
            <w:r w:rsidRPr="00AA350F">
              <w:rPr>
                <w:rFonts w:asciiTheme="minorHAnsi" w:hAnsiTheme="minorHAnsi" w:cstheme="minorHAnsi"/>
                <w:noProof/>
                <w:sz w:val="20"/>
                <w:lang w:val="en-AU"/>
              </w:rPr>
              <w:t>(2, 11)</w:t>
            </w:r>
          </w:p>
          <w:p w:rsidRPr="00AA350F" w:rsidR="00393D09" w:rsidP="00131848" w:rsidRDefault="00393D09" w14:paraId="01096F87"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Ingestion of excessive doses of vitamin D over prolonged periods 2000 to 4000 units a day for several months in children can result in severe toxicity. </w:t>
            </w:r>
          </w:p>
          <w:p w:rsidRPr="00AA350F" w:rsidR="00393D09" w:rsidP="00131848" w:rsidRDefault="00393D09" w14:paraId="62085094"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Acute excessive doses of vitamin D can also result in severe toxicity. </w:t>
            </w:r>
          </w:p>
          <w:p w:rsidRPr="00AA350F" w:rsidR="00393D09" w:rsidP="00131848" w:rsidRDefault="00393D09" w14:paraId="740822FE"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Chronic vitamin D induced hypercalcaemia may result in generalized vascular calcification, nephrocalcinosis, and other soft tissue calcification that may lead to hypertension and renal failure. These effects are more likely to occur when the hypercalcaemia is accompanied by hypophosphatemia.</w:t>
            </w:r>
          </w:p>
          <w:p w:rsidRPr="00AA350F" w:rsidR="00393D09" w:rsidP="00131848" w:rsidRDefault="00393D09" w14:paraId="77335EC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Growth may be arrested in children, especially after prolonged administration of 1800 units of ergocalciferol per day.</w:t>
            </w:r>
          </w:p>
          <w:p w:rsidRPr="00AA350F" w:rsidR="00393D09" w:rsidP="00131848" w:rsidRDefault="00393D09" w14:paraId="08C8303F"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Death may occur as a result of renal or cardiovascular failure caused by vitamin D toxicity.</w:t>
            </w:r>
          </w:p>
          <w:p w:rsidRPr="00AA350F" w:rsidR="00393D09" w:rsidP="00131848" w:rsidRDefault="00393D09" w14:paraId="02EF91A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Symptoms (all age groups) may include bone pain, constipation, diarrhoea, drowsiness, dry mouth, headache (continuing), increased thirst, increase in frequency of urination (especially at night) or in the amount of urine, loss of appetite, metallic taste, muscle pain, nausea or vomiting, unusual tiredness or weakness, cloudy urine, conjunctivitis (calcific), decreased libido, ectopic calcification, high fever, high blood pressure, increased sensitivity of eyes to light or irritation of eyes, irregular heartbeat, itching of skin, lethargy, loss of appetite, pancreatitis, psychosis (overt), rhinorrhoea, and weight loss.</w:t>
            </w:r>
          </w:p>
        </w:tc>
      </w:tr>
      <w:tr w:rsidRPr="00AA350F" w:rsidR="00393D09" w:rsidTr="004F7403" w14:paraId="719208A2" w14:textId="77777777">
        <w:trPr>
          <w:trHeight w:val="180"/>
        </w:trPr>
        <w:tc>
          <w:tcPr>
            <w:tcW w:w="1844" w:type="dxa"/>
          </w:tcPr>
          <w:p w:rsidRPr="00AA350F" w:rsidR="00393D09" w:rsidP="00131848" w:rsidRDefault="00393D09" w14:paraId="04F4CED6"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Compatibility</w:t>
            </w:r>
          </w:p>
        </w:tc>
        <w:tc>
          <w:tcPr>
            <w:tcW w:w="7938" w:type="dxa"/>
          </w:tcPr>
          <w:p w:rsidRPr="00AA350F" w:rsidR="00393D09" w:rsidP="00131848" w:rsidRDefault="00393D09" w14:paraId="3EAF991F"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No information – do not mix.</w:t>
            </w:r>
          </w:p>
        </w:tc>
      </w:tr>
      <w:tr w:rsidRPr="00AA350F" w:rsidR="00393D09" w:rsidTr="004F7403" w14:paraId="7E90E0F4" w14:textId="77777777">
        <w:trPr>
          <w:trHeight w:val="230"/>
        </w:trPr>
        <w:tc>
          <w:tcPr>
            <w:tcW w:w="1844" w:type="dxa"/>
          </w:tcPr>
          <w:p w:rsidRPr="00AA350F" w:rsidR="00393D09" w:rsidP="00131848" w:rsidRDefault="00393D09" w14:paraId="0A622EE8"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Incompatibility</w:t>
            </w:r>
          </w:p>
        </w:tc>
        <w:tc>
          <w:tcPr>
            <w:tcW w:w="7938" w:type="dxa"/>
          </w:tcPr>
          <w:p w:rsidRPr="00AA350F" w:rsidR="00393D09" w:rsidP="00131848" w:rsidRDefault="00393D09" w14:paraId="73AE3E17"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No information</w:t>
            </w:r>
          </w:p>
        </w:tc>
      </w:tr>
      <w:tr w:rsidRPr="00AA350F" w:rsidR="00393D09" w:rsidTr="004F7403" w14:paraId="142AFE65" w14:textId="77777777">
        <w:trPr>
          <w:trHeight w:val="79"/>
        </w:trPr>
        <w:tc>
          <w:tcPr>
            <w:tcW w:w="1844" w:type="dxa"/>
          </w:tcPr>
          <w:p w:rsidRPr="00AA350F" w:rsidR="00393D09" w:rsidP="00131848" w:rsidRDefault="00393D09" w14:paraId="1712E05D"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Stability   </w:t>
            </w:r>
          </w:p>
        </w:tc>
        <w:tc>
          <w:tcPr>
            <w:tcW w:w="7938" w:type="dxa"/>
          </w:tcPr>
          <w:p w:rsidRPr="00AA350F" w:rsidR="00393D09" w:rsidP="00131848" w:rsidRDefault="00393D09" w14:paraId="4A35FCA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No information</w:t>
            </w:r>
          </w:p>
        </w:tc>
      </w:tr>
      <w:tr w:rsidRPr="00AA350F" w:rsidR="00393D09" w:rsidTr="004F7403" w14:paraId="7C52E4EC" w14:textId="77777777">
        <w:trPr>
          <w:trHeight w:val="70"/>
        </w:trPr>
        <w:tc>
          <w:tcPr>
            <w:tcW w:w="1844" w:type="dxa"/>
          </w:tcPr>
          <w:p w:rsidRPr="00AA350F" w:rsidR="00393D09" w:rsidP="00131848" w:rsidRDefault="00393D09" w14:paraId="506E2D1A"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Storage             </w:t>
            </w:r>
          </w:p>
        </w:tc>
        <w:tc>
          <w:tcPr>
            <w:tcW w:w="7938" w:type="dxa"/>
          </w:tcPr>
          <w:p w:rsidRPr="00AA350F" w:rsidR="00393D09" w:rsidP="00131848" w:rsidRDefault="00393D09" w14:paraId="2DC51211"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VITAMIN D3 FORTE – store below 25</w:t>
            </w:r>
            <w:r w:rsidRPr="00AA350F">
              <w:rPr>
                <w:rFonts w:asciiTheme="minorHAnsi" w:hAnsiTheme="minorHAnsi" w:cstheme="minorHAnsi"/>
                <w:sz w:val="20"/>
                <w:vertAlign w:val="superscript"/>
                <w:lang w:val="en-AU"/>
              </w:rPr>
              <w:t>O</w:t>
            </w:r>
            <w:r w:rsidRPr="00AA350F">
              <w:rPr>
                <w:rFonts w:asciiTheme="minorHAnsi" w:hAnsiTheme="minorHAnsi" w:cstheme="minorHAnsi"/>
                <w:sz w:val="20"/>
                <w:lang w:val="en-AU"/>
              </w:rPr>
              <w:t>C. For other brands – refer to product information.</w:t>
            </w:r>
          </w:p>
        </w:tc>
      </w:tr>
      <w:tr w:rsidRPr="00AA350F" w:rsidR="00393D09" w:rsidTr="004F7403" w14:paraId="335EC9EF" w14:textId="77777777">
        <w:trPr>
          <w:trHeight w:val="70"/>
        </w:trPr>
        <w:tc>
          <w:tcPr>
            <w:tcW w:w="1844" w:type="dxa"/>
          </w:tcPr>
          <w:p w:rsidRPr="00AA350F" w:rsidR="00393D09" w:rsidP="00131848" w:rsidRDefault="00393D09" w14:paraId="13252E45"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Excipients</w:t>
            </w:r>
          </w:p>
        </w:tc>
        <w:tc>
          <w:tcPr>
            <w:tcW w:w="7938" w:type="dxa"/>
          </w:tcPr>
          <w:p w:rsidRPr="00AA350F" w:rsidR="00393D09" w:rsidP="00131848" w:rsidRDefault="00393D09" w14:paraId="146CBC5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 Sodium benzoate: Some vitamin D preparations contain sodium benzoate. </w:t>
            </w:r>
            <w:r w:rsidRPr="00AA350F">
              <w:rPr>
                <w:rFonts w:asciiTheme="minorHAnsi" w:hAnsiTheme="minorHAnsi" w:cstheme="minorHAnsi"/>
                <w:sz w:val="20"/>
              </w:rPr>
              <w:t>Avoid exposure of &gt;99mg/kg/day in neonates</w:t>
            </w:r>
            <w:r w:rsidRPr="00AA350F">
              <w:rPr>
                <w:rFonts w:asciiTheme="minorHAnsi" w:hAnsiTheme="minorHAnsi" w:cstheme="minorHAnsi"/>
                <w:sz w:val="20"/>
                <w:lang w:val="en-AU"/>
              </w:rPr>
              <w:t>.</w:t>
            </w:r>
          </w:p>
          <w:p w:rsidRPr="00AA350F" w:rsidR="00393D09" w:rsidP="00131848" w:rsidRDefault="00393D09" w14:paraId="2A826D69" w14:textId="77777777">
            <w:pPr>
              <w:pStyle w:val="BodyText"/>
              <w:rPr>
                <w:rFonts w:asciiTheme="minorHAnsi" w:hAnsiTheme="minorHAnsi" w:cstheme="minorHAnsi"/>
                <w:sz w:val="20"/>
              </w:rPr>
            </w:pPr>
            <w:r w:rsidRPr="00AA350F">
              <w:rPr>
                <w:rFonts w:asciiTheme="minorHAnsi" w:hAnsiTheme="minorHAnsi" w:cstheme="minorHAnsi"/>
                <w:sz w:val="20"/>
                <w:lang w:val="en-AU"/>
              </w:rPr>
              <w:t>Ostelin Vitamin D Oral Liquid – contains orange flavour</w:t>
            </w:r>
          </w:p>
          <w:p w:rsidRPr="00AA350F" w:rsidR="00393D09" w:rsidP="00131848" w:rsidRDefault="00393D09" w14:paraId="68AC2F22"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Bio-Logical Vitamin D3 Solution – contains sodium benzoate</w:t>
            </w:r>
          </w:p>
          <w:p w:rsidRPr="00AA350F" w:rsidR="00393D09" w:rsidP="00131848" w:rsidRDefault="00393D09" w14:paraId="30990AF6"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OsteVit-D Oral Liquid - contains sodium benzoate; caramel flavour</w:t>
            </w:r>
          </w:p>
          <w:p w:rsidRPr="00AA350F" w:rsidR="00393D09" w:rsidP="00131848" w:rsidRDefault="00393D09" w14:paraId="7A465083"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OsteVit-D Vitamin D3 Oral Drops for Children - contains sodium benzoate 2 mg/mL; butterscotch flavour.</w:t>
            </w:r>
          </w:p>
          <w:p w:rsidRPr="00AA350F" w:rsidR="00393D09" w:rsidP="00131848" w:rsidRDefault="00393D09" w14:paraId="768BA6ED"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lastRenderedPageBreak/>
              <w:t>Penta-vite Infant Liquid Multivitamin Oral Liquid - contains sodium saccharin; pineapple flavour.</w:t>
            </w:r>
          </w:p>
          <w:p w:rsidRPr="00AA350F" w:rsidR="00393D09" w:rsidP="00131848" w:rsidRDefault="00393D09" w14:paraId="668FBD51"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Biological Therapies Vitamin D3 Forte Injection - contains ethyl oleate</w:t>
            </w:r>
          </w:p>
        </w:tc>
      </w:tr>
      <w:tr w:rsidRPr="00AA350F" w:rsidR="00393D09" w:rsidTr="004F7403" w14:paraId="1EAA2D2E" w14:textId="77777777">
        <w:trPr>
          <w:trHeight w:val="270"/>
        </w:trPr>
        <w:tc>
          <w:tcPr>
            <w:tcW w:w="1844" w:type="dxa"/>
          </w:tcPr>
          <w:p w:rsidRPr="00AA350F" w:rsidR="00393D09" w:rsidP="00131848" w:rsidRDefault="00393D09" w14:paraId="567592D1"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lastRenderedPageBreak/>
              <w:t xml:space="preserve">Special comments       </w:t>
            </w:r>
          </w:p>
        </w:tc>
        <w:tc>
          <w:tcPr>
            <w:tcW w:w="7938" w:type="dxa"/>
          </w:tcPr>
          <w:p w:rsidRPr="00AA350F" w:rsidR="00393D09" w:rsidP="00131848" w:rsidRDefault="00393D09" w14:paraId="778E3038"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Vitamin D content in preterm and term human milk averages 8 and 6 units/100 mL, respectively with median intake averaging 77 units/day (interquartile range 55 to 110).</w:t>
            </w:r>
            <w:r w:rsidRPr="00AA350F">
              <w:rPr>
                <w:rFonts w:asciiTheme="minorHAnsi" w:hAnsiTheme="minorHAnsi" w:cstheme="minorHAnsi"/>
                <w:noProof/>
                <w:sz w:val="20"/>
                <w:lang w:val="en-AU"/>
              </w:rPr>
              <w:t>(12)</w:t>
            </w:r>
          </w:p>
          <w:p w:rsidRPr="00AA350F" w:rsidR="00393D09" w:rsidP="00131848" w:rsidRDefault="00393D09" w14:paraId="24DCBB72"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For human milk fed preterm or low birthweight infants, the addition of a human milk fortifier may not reach the recommended daily intake of vitamin D 400 units/day.</w:t>
            </w:r>
            <w:r w:rsidRPr="00AA350F">
              <w:rPr>
                <w:rFonts w:asciiTheme="minorHAnsi" w:hAnsiTheme="minorHAnsi" w:cstheme="minorHAnsi"/>
                <w:noProof/>
                <w:sz w:val="20"/>
                <w:lang w:val="en-AU"/>
              </w:rPr>
              <w:t>(1)</w:t>
            </w:r>
          </w:p>
          <w:p w:rsidRPr="00AA350F" w:rsidR="00393D09" w:rsidP="00131848" w:rsidRDefault="00393D09" w14:paraId="430FDBDB"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Penta-vite Infant 0.45 mL contains 404 units vitamin D3.</w:t>
            </w:r>
          </w:p>
          <w:p w:rsidRPr="00AA350F" w:rsidR="00393D09" w:rsidP="00131848" w:rsidRDefault="00393D09" w14:paraId="5272396C" w14:textId="77777777">
            <w:pPr>
              <w:pStyle w:val="BodyText"/>
              <w:rPr>
                <w:rFonts w:asciiTheme="minorHAnsi" w:hAnsiTheme="minorHAnsi" w:cstheme="minorHAnsi"/>
                <w:noProof/>
                <w:sz w:val="20"/>
                <w:lang w:eastAsia="en-AU"/>
              </w:rPr>
            </w:pPr>
            <w:r w:rsidRPr="00AA350F">
              <w:rPr>
                <w:rFonts w:asciiTheme="minorHAnsi" w:hAnsiTheme="minorHAnsi" w:cstheme="minorHAnsi"/>
                <w:sz w:val="20"/>
              </w:rPr>
              <w:t xml:space="preserve">The adequate calcium intake for term infants based on breast milk calcium content is 200 mg/day and 260 mg/day for babies from 0–6 and 6–12 months of age, respectively. </w:t>
            </w:r>
            <w:r w:rsidRPr="00AA350F">
              <w:rPr>
                <w:rFonts w:asciiTheme="minorHAnsi" w:hAnsiTheme="minorHAnsi" w:cstheme="minorHAnsi"/>
                <w:noProof/>
                <w:sz w:val="20"/>
              </w:rPr>
              <w:t>(2)</w:t>
            </w:r>
          </w:p>
          <w:p w:rsidRPr="00AA350F" w:rsidR="00393D09" w:rsidP="00131848" w:rsidRDefault="00393D09" w14:paraId="0311CE69"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The recommended intake for very low birth weight infants are: Calcium 150–220 mg/kg/day; and Phosphorous 75–140 mg/kg/day.</w:t>
            </w:r>
            <w:r w:rsidRPr="00AA350F">
              <w:rPr>
                <w:rFonts w:asciiTheme="minorHAnsi" w:hAnsiTheme="minorHAnsi" w:cstheme="minorHAnsi"/>
                <w:noProof/>
                <w:sz w:val="20"/>
                <w:lang w:val="en-AU"/>
              </w:rPr>
              <w:t>(3)</w:t>
            </w:r>
          </w:p>
          <w:p w:rsidRPr="00AA350F" w:rsidR="00393D09" w:rsidP="00131848" w:rsidRDefault="00393D09" w14:paraId="5D285461" w14:textId="77777777">
            <w:pPr>
              <w:pStyle w:val="BodyText"/>
              <w:rPr>
                <w:rFonts w:asciiTheme="minorHAnsi" w:hAnsiTheme="minorHAnsi" w:cstheme="minorHAnsi"/>
                <w:sz w:val="20"/>
                <w:lang w:val="en-AU"/>
              </w:rPr>
            </w:pPr>
            <w:r w:rsidRPr="00AA350F">
              <w:rPr>
                <w:rFonts w:asciiTheme="minorHAnsi" w:hAnsiTheme="minorHAnsi" w:cstheme="minorHAnsi"/>
                <w:sz w:val="20"/>
                <w:lang w:val="en-AU"/>
              </w:rPr>
              <w:t xml:space="preserve">For treatment of nutritional rickets, oral calcium 500 mg/day, either as dietary intake or supplements, should be routinely used in conjunction with vitamin D in the treatment regardless of age or weight. </w:t>
            </w:r>
            <w:r w:rsidRPr="00AA350F">
              <w:rPr>
                <w:rFonts w:asciiTheme="minorHAnsi" w:hAnsiTheme="minorHAnsi" w:cstheme="minorHAnsi"/>
                <w:noProof/>
                <w:sz w:val="20"/>
                <w:lang w:val="en-AU"/>
              </w:rPr>
              <w:t>(2)</w:t>
            </w:r>
          </w:p>
          <w:p w:rsidRPr="00AA350F" w:rsidR="00393D09" w:rsidP="00131848" w:rsidRDefault="00393D09" w14:paraId="6F39FCF5" w14:textId="77777777">
            <w:pPr>
              <w:rPr>
                <w:rFonts w:asciiTheme="minorHAnsi" w:hAnsiTheme="minorHAnsi" w:cstheme="minorHAnsi"/>
                <w:sz w:val="20"/>
              </w:rPr>
            </w:pPr>
            <w:r w:rsidRPr="00AA350F">
              <w:rPr>
                <w:rFonts w:eastAsia="Calibri" w:asciiTheme="minorHAnsi" w:hAnsiTheme="minorHAnsi" w:cstheme="minorHAnsi"/>
                <w:sz w:val="20"/>
                <w:lang w:val="en-US" w:eastAsia="en-AU"/>
              </w:rPr>
              <w:t xml:space="preserve">Recommendations in cholestasis: In daily practice, if the infant has severe cholestasis from parenteral nutrition, it is often not possible to achieve vitamin D sufficiency with 1200-8000 </w:t>
            </w:r>
            <w:r>
              <w:rPr>
                <w:rFonts w:eastAsia="Calibri" w:asciiTheme="minorHAnsi" w:hAnsiTheme="minorHAnsi" w:cstheme="minorHAnsi"/>
                <w:sz w:val="20"/>
                <w:lang w:val="en-US" w:eastAsia="en-AU"/>
              </w:rPr>
              <w:t>units</w:t>
            </w:r>
            <w:r w:rsidRPr="00AA350F">
              <w:rPr>
                <w:rFonts w:eastAsia="Calibri" w:asciiTheme="minorHAnsi" w:hAnsiTheme="minorHAnsi" w:cstheme="minorHAnsi"/>
                <w:sz w:val="20"/>
                <w:lang w:val="en-US" w:eastAsia="en-AU"/>
              </w:rPr>
              <w:t>/day cholecalciferol and alternative is to commence calcitriol at a dose of 0.1 microgram/kg daily and follow parathyroid hormone (PTH) and 25-OHD. This is safe, effective and requires less monitoring. Hypercalcemia doesn’t occur at this dose.(Expert opinion)</w:t>
            </w:r>
          </w:p>
        </w:tc>
      </w:tr>
      <w:tr w:rsidRPr="00AA350F" w:rsidR="00393D09" w:rsidTr="004F7403" w14:paraId="75A87CBC" w14:textId="77777777">
        <w:trPr>
          <w:trHeight w:val="280"/>
        </w:trPr>
        <w:tc>
          <w:tcPr>
            <w:tcW w:w="1844" w:type="dxa"/>
          </w:tcPr>
          <w:p w:rsidRPr="00AA350F" w:rsidR="00393D09" w:rsidP="00131848" w:rsidRDefault="00393D09" w14:paraId="01940007"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t xml:space="preserve">Evidence </w:t>
            </w:r>
          </w:p>
        </w:tc>
        <w:tc>
          <w:tcPr>
            <w:tcW w:w="7938" w:type="dxa"/>
          </w:tcPr>
          <w:p w:rsidRPr="00393D09" w:rsidR="00393D09" w:rsidP="00131848" w:rsidRDefault="00393D09" w14:paraId="25D1B681"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 xml:space="preserve">Vitamin D intake: </w:t>
            </w:r>
            <w:r w:rsidRPr="00393D09">
              <w:rPr>
                <w:rFonts w:asciiTheme="minorHAnsi" w:hAnsiTheme="minorHAnsi" w:cstheme="minorHAnsi"/>
                <w:sz w:val="16"/>
                <w:szCs w:val="16"/>
                <w:lang w:val="en-AU"/>
              </w:rPr>
              <w:t>Vitamin D has two physiological forms, vitamin D2 (ergocalciferol) and vitamin D3 (colecalciferol). Vitamin D2 is formed from ultraviolet radiation in plants and yeast, while vitamin D3 is synthesised in the skin from 7-dehydrocholesterol. Vitamin D2 and D3 undergo hydroxylation in the liver to 25-hydroxy vitamin D (calcidiol) and further in the renal tubules to 1,25-(OH)</w:t>
            </w:r>
            <w:r w:rsidRPr="00393D09">
              <w:rPr>
                <w:rFonts w:asciiTheme="minorHAnsi" w:hAnsiTheme="minorHAnsi" w:cstheme="minorHAnsi"/>
                <w:sz w:val="16"/>
                <w:szCs w:val="16"/>
                <w:vertAlign w:val="subscript"/>
                <w:lang w:val="en-AU"/>
              </w:rPr>
              <w:t>2</w:t>
            </w:r>
            <w:r w:rsidRPr="00393D09">
              <w:rPr>
                <w:rFonts w:asciiTheme="minorHAnsi" w:hAnsiTheme="minorHAnsi" w:cstheme="minorHAnsi"/>
                <w:sz w:val="16"/>
                <w:szCs w:val="16"/>
                <w:lang w:val="en-AU"/>
              </w:rPr>
              <w:t xml:space="preserve"> vitamin D (calcitriol), which is the active form of vitamin D. </w:t>
            </w:r>
          </w:p>
          <w:p w:rsidRPr="00393D09" w:rsidR="00393D09" w:rsidP="00131848" w:rsidRDefault="00393D09" w14:paraId="795341E9"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The major forms of vitamin D present in breastmilk are colecalciferol (vitamin D3), ergocalciferol (vitamin D2), and their respective 25-hydroxylates (25-OH) </w:t>
            </w:r>
            <w:r w:rsidRPr="00393D09">
              <w:rPr>
                <w:rFonts w:asciiTheme="minorHAnsi" w:hAnsiTheme="minorHAnsi" w:cstheme="minorHAnsi"/>
                <w:noProof/>
                <w:sz w:val="16"/>
                <w:szCs w:val="16"/>
                <w:lang w:val="en-AU"/>
              </w:rPr>
              <w:t>(13)</w:t>
            </w:r>
            <w:r w:rsidRPr="00393D09">
              <w:rPr>
                <w:rFonts w:asciiTheme="minorHAnsi" w:hAnsiTheme="minorHAnsi" w:cstheme="minorHAnsi"/>
                <w:sz w:val="16"/>
                <w:szCs w:val="16"/>
                <w:lang w:val="en-AU"/>
              </w:rPr>
              <w:t xml:space="preserve">. Median (IQR) infant daily intake through breast milk of vitamin D and 25-hydroxy vitamin D was 0.10 mg (0.02–0.40 mg) and 0.34 mg (0.24–0.47 mg) respectively, equal to a median (IQR) antirachitic activity of 77 units/day (52–110 units/day). </w:t>
            </w:r>
            <w:r w:rsidRPr="00393D09">
              <w:rPr>
                <w:rFonts w:asciiTheme="minorHAnsi" w:hAnsiTheme="minorHAnsi" w:cstheme="minorHAnsi"/>
                <w:noProof/>
                <w:sz w:val="16"/>
                <w:szCs w:val="16"/>
                <w:lang w:val="en-AU"/>
              </w:rPr>
              <w:t>(12)</w:t>
            </w:r>
            <w:r w:rsidRPr="00393D09">
              <w:rPr>
                <w:rFonts w:asciiTheme="minorHAnsi" w:hAnsiTheme="minorHAnsi" w:cstheme="minorHAnsi"/>
                <w:sz w:val="16"/>
                <w:szCs w:val="16"/>
                <w:lang w:val="en-AU"/>
              </w:rPr>
              <w:t xml:space="preserve"> Exclusively breastfed infants receive &lt;20% of the daily dose (400 units/day) recommended by the Institute of Medicine for infants during the first year of life. </w:t>
            </w:r>
            <w:r w:rsidRPr="00393D09">
              <w:rPr>
                <w:rFonts w:asciiTheme="minorHAnsi" w:hAnsiTheme="minorHAnsi" w:cstheme="minorHAnsi"/>
                <w:noProof/>
                <w:sz w:val="16"/>
                <w:szCs w:val="16"/>
                <w:lang w:val="en-AU"/>
              </w:rPr>
              <w:t>(12, 13)</w:t>
            </w:r>
            <w:r w:rsidRPr="00393D09">
              <w:rPr>
                <w:rFonts w:asciiTheme="minorHAnsi" w:hAnsiTheme="minorHAnsi" w:cstheme="minorHAnsi"/>
                <w:sz w:val="16"/>
                <w:szCs w:val="16"/>
                <w:lang w:val="en-AU"/>
              </w:rPr>
              <w:t xml:space="preserve"> Holder pasteurization further decreases levels of the major forms of vitamin D in breastmilk by 20%. </w:t>
            </w:r>
            <w:r w:rsidRPr="00393D09">
              <w:rPr>
                <w:rFonts w:asciiTheme="minorHAnsi" w:hAnsiTheme="minorHAnsi" w:cstheme="minorHAnsi"/>
                <w:noProof/>
                <w:sz w:val="16"/>
                <w:szCs w:val="16"/>
                <w:lang w:val="en-AU"/>
              </w:rPr>
              <w:t>(14)</w:t>
            </w:r>
          </w:p>
          <w:p w:rsidRPr="00393D09" w:rsidR="00393D09" w:rsidP="00131848" w:rsidRDefault="00393D09" w14:paraId="0A148531"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Vitamin D status:</w:t>
            </w:r>
            <w:r w:rsidRPr="00393D09">
              <w:rPr>
                <w:rFonts w:asciiTheme="minorHAnsi" w:hAnsiTheme="minorHAnsi" w:cstheme="minorHAnsi"/>
                <w:sz w:val="16"/>
                <w:szCs w:val="16"/>
                <w:lang w:val="en-AU"/>
              </w:rPr>
              <w:t xml:space="preserve"> Serum 25-hydroxy vitamin D is the best indicator of vitamin D status. It reflects vitamin D produced cutaneously and obtained from food and supplements [12] and has a long circulating half-life of 15 days. The classification of vitamin D status, based on serum 25-hydroxy vitamin D is:</w:t>
            </w:r>
          </w:p>
          <w:p w:rsidRPr="00393D09" w:rsidR="00393D09" w:rsidP="00131848" w:rsidRDefault="00393D09" w14:paraId="50465622"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Sufficiency: 25-hydroxy vitamin D level &gt;50 nmol/L; insufficiency: 25-hydroxy vitamin D level 30–50 nmol/L; and deficiency: 25-hydroxy vitamin D level &lt;30 nmol/L </w:t>
            </w:r>
            <w:r w:rsidRPr="00393D09">
              <w:rPr>
                <w:rFonts w:asciiTheme="minorHAnsi" w:hAnsiTheme="minorHAnsi" w:cstheme="minorHAnsi"/>
                <w:noProof/>
                <w:sz w:val="16"/>
                <w:szCs w:val="16"/>
                <w:lang w:val="en-AU"/>
              </w:rPr>
              <w:t>(2, 13)</w:t>
            </w:r>
            <w:r w:rsidRPr="00393D09">
              <w:rPr>
                <w:rFonts w:asciiTheme="minorHAnsi" w:hAnsiTheme="minorHAnsi" w:cstheme="minorHAnsi"/>
                <w:sz w:val="16"/>
                <w:szCs w:val="16"/>
                <w:lang w:val="en-AU"/>
              </w:rPr>
              <w:t xml:space="preserve">. </w:t>
            </w:r>
          </w:p>
          <w:p w:rsidRPr="00393D09" w:rsidR="00393D09" w:rsidP="00131848" w:rsidRDefault="00393D09" w14:paraId="35632C12"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 xml:space="preserve">Nutritional rickets: </w:t>
            </w:r>
            <w:r w:rsidRPr="00393D09">
              <w:rPr>
                <w:rFonts w:asciiTheme="minorHAnsi" w:hAnsiTheme="minorHAnsi" w:cstheme="minorHAnsi"/>
                <w:sz w:val="16"/>
                <w:szCs w:val="16"/>
                <w:lang w:val="en-AU"/>
              </w:rPr>
              <w:t xml:space="preserve">Rickets is a disorder of growth plate mineralization and ossification. The diagnosis of nutritional rickets is made on the basis of history, physical examination, and biochemical testing and is confirmed by radiographs – see reviews </w:t>
            </w:r>
            <w:r w:rsidRPr="00393D09">
              <w:rPr>
                <w:rFonts w:asciiTheme="minorHAnsi" w:hAnsiTheme="minorHAnsi" w:cstheme="minorHAnsi"/>
                <w:noProof/>
                <w:sz w:val="16"/>
                <w:szCs w:val="16"/>
                <w:lang w:val="en-AU"/>
              </w:rPr>
              <w:t>(2, 15-17)</w:t>
            </w:r>
            <w:r w:rsidRPr="00393D09">
              <w:rPr>
                <w:rFonts w:asciiTheme="minorHAnsi" w:hAnsiTheme="minorHAnsi" w:cstheme="minorHAnsi"/>
                <w:sz w:val="16"/>
                <w:szCs w:val="16"/>
                <w:lang w:val="en-AU"/>
              </w:rPr>
              <w:t xml:space="preserve">. Most commonly diagnosed between ages 6 months to 3 years, rickets may present with failure to thrive, short stature, soft skull (craniotabes) with delayed closure of the fontanels, muscle weakness, protruding abdomen, enlarged growth plates of long bones (swelling of the ankle, knee, or wrist), costochondral junction rib swelling (rachitic rosary), abnormal chest shape from diaphragmatic pulling (Harrison’s sulcus), late teeth eruption, and delayed motor development. Hypocalcaemia may also cause seizures, cardiac abnormalities including prolonged QT syndrome, and potential cardiac failure. </w:t>
            </w:r>
            <w:r w:rsidRPr="00393D09">
              <w:rPr>
                <w:rFonts w:asciiTheme="minorHAnsi" w:hAnsiTheme="minorHAnsi" w:cstheme="minorHAnsi"/>
                <w:noProof/>
                <w:sz w:val="16"/>
                <w:szCs w:val="16"/>
                <w:lang w:val="en-AU"/>
              </w:rPr>
              <w:t>(18)</w:t>
            </w:r>
          </w:p>
          <w:p w:rsidRPr="00393D09" w:rsidR="00393D09" w:rsidP="00131848" w:rsidRDefault="00393D09" w14:paraId="389E8096"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Nutritional rickets is caused by vitamin D deficiency and/or low calcium intake in children.</w:t>
            </w:r>
            <w:r w:rsidRPr="00393D09">
              <w:rPr>
                <w:rFonts w:asciiTheme="minorHAnsi" w:hAnsiTheme="minorHAnsi" w:cstheme="minorHAnsi"/>
                <w:noProof/>
                <w:sz w:val="16"/>
                <w:szCs w:val="16"/>
                <w:lang w:val="en-AU"/>
              </w:rPr>
              <w:t>(2)</w:t>
            </w:r>
            <w:r w:rsidRPr="00393D09">
              <w:rPr>
                <w:rFonts w:asciiTheme="minorHAnsi" w:hAnsiTheme="minorHAnsi" w:cstheme="minorHAnsi"/>
                <w:sz w:val="16"/>
                <w:szCs w:val="16"/>
                <w:lang w:val="en-AU"/>
              </w:rPr>
              <w:t xml:space="preserve"> </w:t>
            </w:r>
          </w:p>
          <w:p w:rsidRPr="00393D09" w:rsidR="00393D09" w:rsidP="00131848" w:rsidRDefault="00393D09" w14:paraId="33B7D05C"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Surveys in the UK, Canada and Australia have reported the incidence of symptomatic vitamin D deficiency (radiographic rickets or hypocalcaemic seizures due to vitamin D deficiency) to be between 2.9 and 7.5 per 100,000 children, but vitamin D deficiency rickets is rare in white Caucasian children and the majority of cases are reported in children of African and Asian ethnicity. </w:t>
            </w:r>
            <w:r w:rsidRPr="00393D09">
              <w:rPr>
                <w:rFonts w:asciiTheme="minorHAnsi" w:hAnsiTheme="minorHAnsi" w:cstheme="minorHAnsi"/>
                <w:noProof/>
                <w:sz w:val="16"/>
                <w:szCs w:val="16"/>
                <w:lang w:val="en-AU"/>
              </w:rPr>
              <w:t>(19)</w:t>
            </w:r>
            <w:r w:rsidRPr="00393D09">
              <w:rPr>
                <w:rFonts w:asciiTheme="minorHAnsi" w:hAnsiTheme="minorHAnsi" w:cstheme="minorHAnsi"/>
                <w:sz w:val="16"/>
                <w:szCs w:val="16"/>
                <w:lang w:val="en-AU"/>
              </w:rPr>
              <w:t xml:space="preserve"> The estimated incidence of vitamin D deficiency in children ≤ 15 years of age in Australia was 4.9/100000/year, most (98%) had dark or intermediate skin colour and 18% of girls were partially or completely veiled. </w:t>
            </w:r>
            <w:r w:rsidRPr="00393D09">
              <w:rPr>
                <w:rFonts w:asciiTheme="minorHAnsi" w:hAnsiTheme="minorHAnsi" w:cstheme="minorHAnsi"/>
                <w:noProof/>
                <w:sz w:val="16"/>
                <w:szCs w:val="16"/>
                <w:lang w:val="en-AU"/>
              </w:rPr>
              <w:t>(20)</w:t>
            </w:r>
          </w:p>
          <w:p w:rsidRPr="00393D09" w:rsidR="00393D09" w:rsidP="00131848" w:rsidRDefault="00393D09" w14:paraId="2DC13968" w14:textId="77777777">
            <w:pPr>
              <w:pStyle w:val="BodyText"/>
              <w:tabs>
                <w:tab w:val="left" w:pos="1168"/>
              </w:tabs>
              <w:rPr>
                <w:rFonts w:asciiTheme="minorHAnsi" w:hAnsiTheme="minorHAnsi" w:cstheme="minorHAnsi"/>
                <w:b/>
                <w:sz w:val="16"/>
                <w:szCs w:val="16"/>
                <w:lang w:val="en-AU"/>
              </w:rPr>
            </w:pPr>
          </w:p>
          <w:p w:rsidRPr="00393D09" w:rsidR="00393D09" w:rsidP="00131848" w:rsidRDefault="00393D09" w14:paraId="68C41868"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Vitamin D toxicity:</w:t>
            </w:r>
            <w:r w:rsidRPr="00393D09">
              <w:rPr>
                <w:rFonts w:asciiTheme="minorHAnsi" w:hAnsiTheme="minorHAnsi" w:cstheme="minorHAnsi"/>
                <w:sz w:val="16"/>
                <w:szCs w:val="16"/>
                <w:lang w:val="en-AU"/>
              </w:rPr>
              <w:t xml:space="preserve"> Is defined as hypercalcaemia and serum 25-hydroxy Vitamin D &gt; 250 nmol/L, with hypercalciuria and suppressed PTH.</w:t>
            </w:r>
            <w:r w:rsidRPr="00393D09">
              <w:rPr>
                <w:rFonts w:asciiTheme="minorHAnsi" w:hAnsiTheme="minorHAnsi" w:cstheme="minorHAnsi"/>
                <w:noProof/>
                <w:sz w:val="16"/>
                <w:szCs w:val="16"/>
                <w:lang w:val="en-AU"/>
              </w:rPr>
              <w:t>(2)</w:t>
            </w:r>
          </w:p>
          <w:p w:rsidRPr="00393D09" w:rsidR="00393D09" w:rsidP="00131848" w:rsidRDefault="00393D09" w14:paraId="45E92E83" w14:textId="77777777">
            <w:pPr>
              <w:pStyle w:val="BodyText"/>
              <w:tabs>
                <w:tab w:val="left" w:pos="1168"/>
              </w:tabs>
              <w:rPr>
                <w:rFonts w:asciiTheme="minorHAnsi" w:hAnsiTheme="minorHAnsi" w:cstheme="minorHAnsi"/>
                <w:sz w:val="16"/>
                <w:szCs w:val="16"/>
                <w:lang w:val="en-AU"/>
              </w:rPr>
            </w:pPr>
          </w:p>
          <w:p w:rsidRPr="00393D09" w:rsidR="00393D09" w:rsidP="00131848" w:rsidRDefault="00393D09" w14:paraId="1DAA448A" w14:textId="77777777">
            <w:pPr>
              <w:pStyle w:val="BodyText"/>
              <w:tabs>
                <w:tab w:val="left" w:pos="1168"/>
              </w:tabs>
              <w:rPr>
                <w:rFonts w:asciiTheme="minorHAnsi" w:hAnsiTheme="minorHAnsi" w:cstheme="minorHAnsi"/>
                <w:b/>
                <w:sz w:val="16"/>
                <w:szCs w:val="16"/>
                <w:lang w:val="en-AU"/>
              </w:rPr>
            </w:pPr>
            <w:r w:rsidRPr="00393D09">
              <w:rPr>
                <w:rFonts w:asciiTheme="minorHAnsi" w:hAnsiTheme="minorHAnsi" w:cstheme="minorHAnsi"/>
                <w:b/>
                <w:sz w:val="16"/>
                <w:szCs w:val="16"/>
                <w:lang w:val="en-AU"/>
              </w:rPr>
              <w:t xml:space="preserve">Vitamin D supplementation for prevention of nutritional rickets: </w:t>
            </w:r>
          </w:p>
          <w:p w:rsidRPr="00393D09" w:rsidR="00393D09" w:rsidP="00131848" w:rsidRDefault="00393D09" w14:paraId="281419A8"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A Cochrane systematic review </w:t>
            </w:r>
            <w:r w:rsidRPr="00393D09">
              <w:rPr>
                <w:rFonts w:asciiTheme="minorHAnsi" w:hAnsiTheme="minorHAnsi" w:cstheme="minorHAnsi"/>
                <w:noProof/>
                <w:sz w:val="16"/>
                <w:szCs w:val="16"/>
                <w:lang w:val="en-AU"/>
              </w:rPr>
              <w:t>(21)</w:t>
            </w:r>
            <w:r w:rsidRPr="00393D09">
              <w:rPr>
                <w:rFonts w:asciiTheme="minorHAnsi" w:hAnsiTheme="minorHAnsi" w:cstheme="minorHAnsi"/>
                <w:sz w:val="16"/>
                <w:szCs w:val="16"/>
                <w:lang w:val="en-AU"/>
              </w:rPr>
              <w:t xml:space="preserve"> of </w:t>
            </w:r>
            <w:r w:rsidRPr="00393D09">
              <w:rPr>
                <w:rFonts w:asciiTheme="minorHAnsi" w:hAnsiTheme="minorHAnsi" w:cstheme="minorHAnsi"/>
                <w:sz w:val="16"/>
                <w:szCs w:val="16"/>
                <w:lang w:eastAsia="en-AU"/>
              </w:rPr>
              <w:t>Vitamin D supplementation for term breastfed infants to prevent vitamin D deficiency and improve bone health</w:t>
            </w:r>
            <w:r w:rsidRPr="00393D09">
              <w:rPr>
                <w:rFonts w:asciiTheme="minorHAnsi" w:hAnsiTheme="minorHAnsi" w:cstheme="minorHAnsi"/>
                <w:sz w:val="16"/>
                <w:szCs w:val="16"/>
                <w:lang w:val="en-AU" w:eastAsia="en-AU"/>
              </w:rPr>
              <w:t xml:space="preserve"> found </w:t>
            </w:r>
            <w:r w:rsidRPr="00393D09">
              <w:rPr>
                <w:rFonts w:asciiTheme="minorHAnsi" w:hAnsiTheme="minorHAnsi" w:cstheme="minorHAnsi"/>
                <w:sz w:val="16"/>
                <w:szCs w:val="16"/>
                <w:lang w:val="en-AU"/>
              </w:rPr>
              <w:t>19 studies with a total of 2837 mother-infant pairs assessing vitamin D given to infants (7 studies), vitamin D given to breastfeeding mothers (7 studies), and vitamin D given to infants versus vitamin D given to lactating mothers (6 studies). No studies compared vitamin D given to infants versus periods of infant sun exposure.</w:t>
            </w:r>
          </w:p>
          <w:p w:rsidRPr="00393D09" w:rsidR="00393D09" w:rsidP="00131848" w:rsidRDefault="00393D09" w14:paraId="26290C5D" w14:textId="77777777">
            <w:pPr>
              <w:pStyle w:val="BodyText"/>
              <w:tabs>
                <w:tab w:val="left" w:pos="1168"/>
              </w:tabs>
              <w:rPr>
                <w:rFonts w:asciiTheme="minorHAnsi" w:hAnsiTheme="minorHAnsi" w:cstheme="minorHAnsi"/>
                <w:sz w:val="16"/>
                <w:szCs w:val="16"/>
                <w:lang w:val="en-AU"/>
              </w:rPr>
            </w:pPr>
          </w:p>
          <w:p w:rsidRPr="00393D09" w:rsidR="00393D09" w:rsidP="00131848" w:rsidRDefault="00393D09" w14:paraId="0FCC0675"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 xml:space="preserve">Vitamin D supplementation given to infants: </w:t>
            </w:r>
            <w:r w:rsidRPr="00393D09">
              <w:rPr>
                <w:rFonts w:asciiTheme="minorHAnsi" w:hAnsiTheme="minorHAnsi" w:cstheme="minorHAnsi"/>
                <w:sz w:val="16"/>
                <w:szCs w:val="16"/>
                <w:lang w:val="en-AU"/>
              </w:rPr>
              <w:t xml:space="preserve">Vitamin D at 400 units/day increased 25-hydroxyvitamin D levels and reduced the incidence of vitamin D insufficiency (25-hydroxy vitamin D &lt; 50 nmol/L) (RR 0.57, 95% CI 0.41 to 0.80; </w:t>
            </w:r>
            <w:r w:rsidRPr="00393D09">
              <w:rPr>
                <w:rFonts w:asciiTheme="minorHAnsi" w:hAnsiTheme="minorHAnsi" w:cstheme="minorHAnsi"/>
                <w:sz w:val="16"/>
                <w:szCs w:val="16"/>
                <w:lang w:val="en-AU"/>
              </w:rPr>
              <w:lastRenderedPageBreak/>
              <w:t xml:space="preserve">participants = 274; studies = 4). The effect was found in subgroup analysis of studies in infants at higher and at lower risk of vitamin D deficiency. However, there was insufficient evidence to determine if vitamin D given to the infant reduces the risk of vitamin D deficiency (25-hydroxy vitamin D &lt; 30 nmol/L) up till 6 months age (RR 0.41, 95% CI 0.16 to 1.05; participants = 122; studies = 2), affects bone mineral content, incidence of biochemical or radiological rickets, or growth. There were no studies of higher doses of infant vitamin D (&gt; 400 units/day) compared to placebo. </w:t>
            </w:r>
          </w:p>
          <w:p w:rsidRPr="00393D09" w:rsidR="00393D09" w:rsidP="00131848" w:rsidRDefault="00393D09" w14:paraId="21207299" w14:textId="77777777">
            <w:pPr>
              <w:pStyle w:val="BodyText"/>
              <w:tabs>
                <w:tab w:val="left" w:pos="1168"/>
              </w:tabs>
              <w:rPr>
                <w:rFonts w:asciiTheme="minorHAnsi" w:hAnsiTheme="minorHAnsi" w:cstheme="minorHAnsi"/>
                <w:sz w:val="16"/>
                <w:szCs w:val="16"/>
                <w:lang w:val="en-AU"/>
              </w:rPr>
            </w:pPr>
          </w:p>
          <w:p w:rsidRPr="00393D09" w:rsidR="00393D09" w:rsidP="00131848" w:rsidRDefault="00393D09" w14:paraId="74D924FB"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 xml:space="preserve">Vitamin D supplementation given to lactating mothers: </w:t>
            </w:r>
            <w:r w:rsidRPr="00393D09">
              <w:rPr>
                <w:rFonts w:asciiTheme="minorHAnsi" w:hAnsiTheme="minorHAnsi" w:cstheme="minorHAnsi"/>
                <w:sz w:val="16"/>
                <w:szCs w:val="16"/>
                <w:lang w:val="en-AU"/>
              </w:rPr>
              <w:t xml:space="preserve">Vitamin D supplementation of lactating mothers increased infant 25-hydroxy vitamin D levels, reduced the incidence of vitamin D insufficiency (RR 0.47, 95% CI 0.39 to 0.57; participants = 512; studies = 5) and vitamin D deficiency (RR 0.15, 95% CI 0.09 to 0.24; participants = 512; studies = 5). Vitamin D supplementation of lactating mothers reduced the incidence of biochemical rickets (RR 0.06, 95% CI 0.01 to 0.44; participants = 229; studies = 2). The two studies that reported biochemical rickets used maternal dosages of oral D3 60,000 units/day for 10 days and oral D3 60,000 units postpartum and at 6, 10, and 14 weeks. However, infant bone mineral content was not reported and there was insufficient evidence to determine if maternal vitamin D supplementation has an effect on radiological rickets (RR 0.76, 95% CI 0.18 to 3.31; participants = 536). All studies of maternal supplementation enrolled populations at high risk of vitamin D deficiency. </w:t>
            </w:r>
          </w:p>
          <w:p w:rsidRPr="00393D09" w:rsidR="00393D09" w:rsidP="00131848" w:rsidRDefault="00393D09" w14:paraId="496CA360" w14:textId="77777777">
            <w:pPr>
              <w:pStyle w:val="BodyText"/>
              <w:tabs>
                <w:tab w:val="left" w:pos="1168"/>
              </w:tabs>
              <w:rPr>
                <w:rFonts w:asciiTheme="minorHAnsi" w:hAnsiTheme="minorHAnsi" w:cstheme="minorHAnsi"/>
                <w:sz w:val="16"/>
                <w:szCs w:val="16"/>
                <w:lang w:val="en-AU"/>
              </w:rPr>
            </w:pPr>
          </w:p>
          <w:p w:rsidRPr="00393D09" w:rsidR="00393D09" w:rsidP="00131848" w:rsidRDefault="00393D09" w14:paraId="67C46CD2"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 xml:space="preserve">Vitamin D supplementation given to infants compared with supplementation given to lactating mothers: </w:t>
            </w:r>
            <w:r w:rsidRPr="00393D09">
              <w:rPr>
                <w:rFonts w:asciiTheme="minorHAnsi" w:hAnsiTheme="minorHAnsi" w:cstheme="minorHAnsi"/>
                <w:sz w:val="16"/>
                <w:szCs w:val="16"/>
                <w:lang w:val="en-AU"/>
              </w:rPr>
              <w:t xml:space="preserve">Infants vitamin D supplementation compared to lactating mother supplementation increased infant 25-hydroxy vitamin D levels, reduced the incidence of vitamin D insufficiency (RR 0.61, 95% CI 0.40 to 0.94; participants = 334; studies = 4) and vitamin D deficiency (OR 0.32, 95% CI 0.14 to 0.72; participants = 334; studies = 4). Infant bone mineral content and radiological rickets were not reported and there was insufficient evidence to determine if maternal vitamin D supplementation has an effect on infant biochemical rickets. All studies enrolled patient populations at high risk of vitamin D deficiency. Studies compared an infant dose of vitamin D 400 units/day with varying maternal vitamin D doses from 400 units/day to &gt;4000 units/day. </w:t>
            </w:r>
          </w:p>
          <w:p w:rsidRPr="00393D09" w:rsidR="00393D09" w:rsidP="00131848" w:rsidRDefault="00393D09" w14:paraId="758F910C"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In subgroup analysis there was a significant association between maternal dose of vitamin D and infant 25-hydroxy vitamin D levels with trials supplementing mothers with less than 4000 units/day reporting lower infant 25-hydroxy vitamin D levels.</w:t>
            </w:r>
          </w:p>
          <w:p w:rsidRPr="00393D09" w:rsidR="00393D09" w:rsidP="00131848" w:rsidRDefault="00393D09" w14:paraId="1FBC749E" w14:textId="77777777">
            <w:pPr>
              <w:pStyle w:val="BodyText"/>
              <w:tabs>
                <w:tab w:val="left" w:pos="1168"/>
              </w:tabs>
              <w:rPr>
                <w:rFonts w:asciiTheme="minorHAnsi" w:hAnsiTheme="minorHAnsi" w:cstheme="minorHAnsi"/>
                <w:sz w:val="16"/>
                <w:szCs w:val="16"/>
                <w:lang w:val="en-AU"/>
              </w:rPr>
            </w:pPr>
          </w:p>
          <w:p w:rsidRPr="00393D09" w:rsidR="00393D09" w:rsidP="00131848" w:rsidRDefault="00393D09" w14:paraId="1BD2A399" w14:textId="77777777">
            <w:pPr>
              <w:rPr>
                <w:rFonts w:asciiTheme="minorHAnsi" w:hAnsiTheme="minorHAnsi" w:cstheme="minorHAnsi"/>
                <w:sz w:val="16"/>
                <w:szCs w:val="16"/>
              </w:rPr>
            </w:pPr>
            <w:r w:rsidRPr="00393D09">
              <w:rPr>
                <w:rFonts w:asciiTheme="minorHAnsi" w:hAnsiTheme="minorHAnsi" w:cstheme="minorHAnsi"/>
                <w:b/>
                <w:sz w:val="16"/>
                <w:szCs w:val="16"/>
              </w:rPr>
              <w:t>Higher versus lower dose vitamin D supplementation in term infants:</w:t>
            </w:r>
            <w:r w:rsidRPr="00393D09">
              <w:rPr>
                <w:rFonts w:asciiTheme="minorHAnsi" w:hAnsiTheme="minorHAnsi" w:cstheme="minorHAnsi"/>
                <w:sz w:val="16"/>
                <w:szCs w:val="16"/>
              </w:rPr>
              <w:t xml:space="preserve"> Seventeen trials </w:t>
            </w:r>
            <w:r w:rsidRPr="00393D09">
              <w:rPr>
                <w:rFonts w:asciiTheme="minorHAnsi" w:hAnsiTheme="minorHAnsi" w:cstheme="minorHAnsi"/>
                <w:noProof/>
                <w:sz w:val="16"/>
                <w:szCs w:val="16"/>
              </w:rPr>
              <w:t>(22-38)</w:t>
            </w:r>
            <w:r w:rsidRPr="00393D09">
              <w:rPr>
                <w:rFonts w:asciiTheme="minorHAnsi" w:hAnsiTheme="minorHAnsi" w:cstheme="minorHAnsi"/>
                <w:sz w:val="16"/>
                <w:szCs w:val="16"/>
              </w:rPr>
              <w:t xml:space="preserve"> reporting 2508 mother-infant pairs compared higher versus lower dose vitamin D supplementation in term infants. Dosages ranged from no supplementation to a maximum 1600 units/day. </w:t>
            </w:r>
            <w:r w:rsidRPr="00393D09">
              <w:rPr>
                <w:rFonts w:asciiTheme="minorHAnsi" w:hAnsiTheme="minorHAnsi" w:cstheme="minorHAnsi"/>
                <w:noProof/>
                <w:sz w:val="16"/>
                <w:szCs w:val="16"/>
              </w:rPr>
              <w:t>(10)</w:t>
            </w:r>
            <w:r w:rsidRPr="00393D09">
              <w:rPr>
                <w:rFonts w:asciiTheme="minorHAnsi" w:hAnsiTheme="minorHAnsi" w:cstheme="minorHAnsi"/>
                <w:sz w:val="16"/>
                <w:szCs w:val="16"/>
              </w:rPr>
              <w:t xml:space="preserve"> An intermittent high dose 50,000 units every two months to 6 months was compared to oral D3 200 units/day and 400 units daily to 6 months by a single study. </w:t>
            </w:r>
            <w:r w:rsidRPr="00393D09">
              <w:rPr>
                <w:rFonts w:asciiTheme="minorHAnsi" w:hAnsiTheme="minorHAnsi" w:cstheme="minorHAnsi"/>
                <w:noProof/>
                <w:sz w:val="16"/>
                <w:szCs w:val="16"/>
              </w:rPr>
              <w:t>(35)</w:t>
            </w:r>
          </w:p>
          <w:p w:rsidRPr="00393D09" w:rsidR="00393D09" w:rsidP="00131848" w:rsidRDefault="00393D09" w14:paraId="7ADAE205" w14:textId="77777777">
            <w:pPr>
              <w:rPr>
                <w:rFonts w:asciiTheme="minorHAnsi" w:hAnsiTheme="minorHAnsi" w:cstheme="minorHAnsi"/>
                <w:sz w:val="16"/>
                <w:szCs w:val="16"/>
              </w:rPr>
            </w:pPr>
            <w:r w:rsidRPr="00393D09">
              <w:rPr>
                <w:rFonts w:asciiTheme="minorHAnsi" w:hAnsiTheme="minorHAnsi" w:cstheme="minorHAnsi"/>
                <w:sz w:val="16"/>
                <w:szCs w:val="16"/>
              </w:rPr>
              <w:t xml:space="preserve">Meta-analysis of three trials </w:t>
            </w:r>
            <w:r w:rsidRPr="00393D09">
              <w:rPr>
                <w:rFonts w:asciiTheme="minorHAnsi" w:hAnsiTheme="minorHAnsi" w:cstheme="minorHAnsi"/>
                <w:noProof/>
                <w:sz w:val="16"/>
                <w:szCs w:val="16"/>
              </w:rPr>
              <w:t>(22, 35, 38)</w:t>
            </w:r>
            <w:r w:rsidRPr="00393D09">
              <w:rPr>
                <w:rFonts w:asciiTheme="minorHAnsi" w:hAnsiTheme="minorHAnsi" w:cstheme="minorHAnsi"/>
                <w:sz w:val="16"/>
                <w:szCs w:val="16"/>
              </w:rPr>
              <w:t xml:space="preserve"> including 223 mother-infant pairs found no difference in incidence of vitamin D deficiency (25-hydroxy vitamin D &lt;30 nmol/L) for infant doses 600 units/day to 1200 units/day compared to 400 units/day (RR 0.25, 95% CI 0.01 to 4.92; RD -0.01, 95% CI -0.05 to 0.03). The studies largely enrolled infants at lower risk of vitamin D deficiency. </w:t>
            </w:r>
          </w:p>
          <w:p w:rsidRPr="00393D09" w:rsidR="00393D09" w:rsidP="00131848" w:rsidRDefault="00393D09" w14:paraId="3A1DD7EC" w14:textId="77777777">
            <w:pPr>
              <w:rPr>
                <w:rFonts w:asciiTheme="minorHAnsi" w:hAnsiTheme="minorHAnsi" w:cstheme="minorHAnsi"/>
                <w:sz w:val="16"/>
                <w:szCs w:val="16"/>
              </w:rPr>
            </w:pPr>
            <w:r w:rsidRPr="00393D09">
              <w:rPr>
                <w:rFonts w:asciiTheme="minorHAnsi" w:hAnsiTheme="minorHAnsi" w:cstheme="minorHAnsi"/>
                <w:sz w:val="16"/>
                <w:szCs w:val="16"/>
              </w:rPr>
              <w:t xml:space="preserve">Meta-analysis of 5 trials </w:t>
            </w:r>
            <w:r w:rsidRPr="00393D09">
              <w:rPr>
                <w:rFonts w:asciiTheme="minorHAnsi" w:hAnsiTheme="minorHAnsi" w:cstheme="minorHAnsi"/>
                <w:noProof/>
                <w:sz w:val="16"/>
                <w:szCs w:val="16"/>
              </w:rPr>
              <w:t>(10, 33, 35, 38, 39)</w:t>
            </w:r>
            <w:r w:rsidRPr="00393D09">
              <w:rPr>
                <w:rFonts w:asciiTheme="minorHAnsi" w:hAnsiTheme="minorHAnsi" w:cstheme="minorHAnsi"/>
                <w:sz w:val="16"/>
                <w:szCs w:val="16"/>
              </w:rPr>
              <w:t xml:space="preserve"> including mother-infant pairs found a reduction in incidence of vitamin D insufficiency (25-hydroxy vitamin D &lt;50 nmol/L) for infant doses 600 units/day to 1600 units/day compared to 400 units/day (RR 0.17, 95% CI 0.05 to 0.54; RD -0.02, 95% CI -0.03 to -0.01). </w:t>
            </w:r>
          </w:p>
          <w:p w:rsidRPr="00393D09" w:rsidR="00393D09" w:rsidP="00131848" w:rsidRDefault="00393D09" w14:paraId="25F14730" w14:textId="77777777">
            <w:pPr>
              <w:rPr>
                <w:rFonts w:asciiTheme="minorHAnsi" w:hAnsiTheme="minorHAnsi" w:cstheme="minorHAnsi"/>
                <w:sz w:val="16"/>
                <w:szCs w:val="16"/>
              </w:rPr>
            </w:pPr>
            <w:r w:rsidRPr="00393D09">
              <w:rPr>
                <w:rFonts w:asciiTheme="minorHAnsi" w:hAnsiTheme="minorHAnsi" w:cstheme="minorHAnsi"/>
                <w:sz w:val="16"/>
                <w:szCs w:val="16"/>
              </w:rPr>
              <w:t xml:space="preserve">Higher doses of vitamin D have been associated with vitamin D excess (25-hydroxy vitamin D &gt;250 nmol/L) (RR 7.32, 95% CI 1.68 to 31.94; participants = 269; studies = 6). Although vitamin D excess has been reported with doses ranging from as low as 200 units/day </w:t>
            </w:r>
            <w:r w:rsidRPr="00393D09">
              <w:rPr>
                <w:rFonts w:asciiTheme="minorHAnsi" w:hAnsiTheme="minorHAnsi" w:cstheme="minorHAnsi"/>
                <w:noProof/>
                <w:sz w:val="16"/>
                <w:szCs w:val="16"/>
              </w:rPr>
              <w:t>(32)</w:t>
            </w:r>
            <w:r w:rsidRPr="00393D09">
              <w:rPr>
                <w:rFonts w:asciiTheme="minorHAnsi" w:hAnsiTheme="minorHAnsi" w:cstheme="minorHAnsi"/>
                <w:sz w:val="16"/>
                <w:szCs w:val="16"/>
              </w:rPr>
              <w:t xml:space="preserve">, the incidence was &lt;5% at doses of 800 and 1200 units/day, but occurred in 15 of 16 infants in a trial with a group receiving 1600 units/day which resulted in premature stopping of that study group. </w:t>
            </w:r>
            <w:r w:rsidRPr="00393D09">
              <w:rPr>
                <w:rFonts w:asciiTheme="minorHAnsi" w:hAnsiTheme="minorHAnsi" w:cstheme="minorHAnsi"/>
                <w:noProof/>
                <w:sz w:val="16"/>
                <w:szCs w:val="16"/>
              </w:rPr>
              <w:t>(10)</w:t>
            </w:r>
            <w:r w:rsidRPr="00393D09">
              <w:rPr>
                <w:rFonts w:asciiTheme="minorHAnsi" w:hAnsiTheme="minorHAnsi" w:cstheme="minorHAnsi"/>
                <w:sz w:val="16"/>
                <w:szCs w:val="16"/>
              </w:rPr>
              <w:t xml:space="preserve"> Vitamin D toxicity (hypercalcaemia and serum 25OHD &gt; 250 nmol/L) has also been reported with doses of 800 units/day (2 of 32 infants), 1200 units/day (2 of 27 infants) and 1600 units/day (2 of 16 infants) in a single study. </w:t>
            </w:r>
            <w:r w:rsidRPr="00393D09">
              <w:rPr>
                <w:rFonts w:asciiTheme="minorHAnsi" w:hAnsiTheme="minorHAnsi" w:cstheme="minorHAnsi"/>
                <w:noProof/>
                <w:sz w:val="16"/>
                <w:szCs w:val="16"/>
              </w:rPr>
              <w:t>(10)</w:t>
            </w:r>
          </w:p>
          <w:p w:rsidRPr="00393D09" w:rsidR="00393D09" w:rsidP="00131848" w:rsidRDefault="00393D09" w14:paraId="3444B6BC" w14:textId="77777777">
            <w:pPr>
              <w:rPr>
                <w:rFonts w:asciiTheme="minorHAnsi" w:hAnsiTheme="minorHAnsi" w:cstheme="minorHAnsi"/>
                <w:sz w:val="16"/>
                <w:szCs w:val="16"/>
              </w:rPr>
            </w:pPr>
            <w:r w:rsidRPr="00393D09">
              <w:rPr>
                <w:rFonts w:asciiTheme="minorHAnsi" w:hAnsiTheme="minorHAnsi" w:cstheme="minorHAnsi"/>
                <w:sz w:val="16"/>
                <w:szCs w:val="16"/>
              </w:rPr>
              <w:t xml:space="preserve">There are limited data finding no effect of vitamin D supplementation for term infants on measures of bone health including bone mineral content (MD 1.54 mg/cm, 95% CI -9.61 to 12.70; participants = 760; studies = 3) at doses from no supplementation to 1200 units/day </w:t>
            </w:r>
            <w:r w:rsidRPr="00393D09">
              <w:rPr>
                <w:rFonts w:asciiTheme="minorHAnsi" w:hAnsiTheme="minorHAnsi" w:cstheme="minorHAnsi"/>
                <w:noProof/>
                <w:sz w:val="16"/>
                <w:szCs w:val="16"/>
              </w:rPr>
              <w:t>(25, 26, 39)</w:t>
            </w:r>
            <w:r w:rsidRPr="00393D09">
              <w:rPr>
                <w:rFonts w:asciiTheme="minorHAnsi" w:hAnsiTheme="minorHAnsi" w:cstheme="minorHAnsi"/>
                <w:sz w:val="16"/>
                <w:szCs w:val="16"/>
              </w:rPr>
              <w:t xml:space="preserve">; bone mineral density (MD 0.50 mg/cm2, 95% CI -0.70 to 1.70; participants = 704; studies = 1) comparing supplementation with 1200 units/day versus 400 units/day </w:t>
            </w:r>
            <w:r w:rsidRPr="00393D09">
              <w:rPr>
                <w:rFonts w:asciiTheme="minorHAnsi" w:hAnsiTheme="minorHAnsi" w:cstheme="minorHAnsi"/>
                <w:noProof/>
                <w:sz w:val="16"/>
                <w:szCs w:val="16"/>
              </w:rPr>
              <w:t>(39)</w:t>
            </w:r>
            <w:r w:rsidRPr="00393D09">
              <w:rPr>
                <w:rFonts w:asciiTheme="minorHAnsi" w:hAnsiTheme="minorHAnsi" w:cstheme="minorHAnsi"/>
                <w:sz w:val="16"/>
                <w:szCs w:val="16"/>
              </w:rPr>
              <w:t xml:space="preserve">; or ultrasound speed in bone (MD 6.00, 95% CI -19.72 to 31.72; participants = 212; studies = 1) comparing supplementation with 400 units/day versus no supplementation. </w:t>
            </w:r>
            <w:r w:rsidRPr="00393D09">
              <w:rPr>
                <w:rFonts w:asciiTheme="minorHAnsi" w:hAnsiTheme="minorHAnsi" w:cstheme="minorHAnsi"/>
                <w:noProof/>
                <w:sz w:val="16"/>
                <w:szCs w:val="16"/>
              </w:rPr>
              <w:t>(28)</w:t>
            </w:r>
            <w:r w:rsidRPr="00393D09">
              <w:rPr>
                <w:rFonts w:asciiTheme="minorHAnsi" w:hAnsiTheme="minorHAnsi" w:cstheme="minorHAnsi"/>
                <w:sz w:val="16"/>
                <w:szCs w:val="16"/>
              </w:rPr>
              <w:t xml:space="preserve"> The incidence of biochemical or radiological rickets has not been reported in studies using &gt;400 units/day supplementation. </w:t>
            </w:r>
          </w:p>
          <w:p w:rsidRPr="00393D09" w:rsidR="00393D09" w:rsidP="00131848" w:rsidRDefault="00393D09" w14:paraId="4B2309E9" w14:textId="77777777">
            <w:pPr>
              <w:rPr>
                <w:rFonts w:asciiTheme="minorHAnsi" w:hAnsiTheme="minorHAnsi" w:cstheme="minorHAnsi"/>
                <w:b/>
                <w:sz w:val="16"/>
                <w:szCs w:val="16"/>
              </w:rPr>
            </w:pPr>
          </w:p>
          <w:p w:rsidRPr="00393D09" w:rsidR="00393D09" w:rsidP="00131848" w:rsidRDefault="00393D09" w14:paraId="1A4011A7" w14:textId="77777777">
            <w:pPr>
              <w:rPr>
                <w:rFonts w:asciiTheme="minorHAnsi" w:hAnsiTheme="minorHAnsi" w:cstheme="minorHAnsi"/>
                <w:sz w:val="16"/>
                <w:szCs w:val="16"/>
              </w:rPr>
            </w:pPr>
            <w:r w:rsidRPr="00393D09">
              <w:rPr>
                <w:rFonts w:asciiTheme="minorHAnsi" w:hAnsiTheme="minorHAnsi" w:cstheme="minorHAnsi"/>
                <w:b/>
                <w:sz w:val="16"/>
                <w:szCs w:val="16"/>
              </w:rPr>
              <w:t xml:space="preserve">Higher versus lower dose vitamin D supplementation in preterm infants: </w:t>
            </w:r>
            <w:r w:rsidRPr="00393D09">
              <w:rPr>
                <w:rFonts w:asciiTheme="minorHAnsi" w:hAnsiTheme="minorHAnsi" w:cstheme="minorHAnsi"/>
                <w:sz w:val="16"/>
                <w:szCs w:val="16"/>
              </w:rPr>
              <w:t xml:space="preserve">A Cochrane systematic review is currently underway </w:t>
            </w:r>
            <w:r w:rsidRPr="00393D09">
              <w:rPr>
                <w:rFonts w:asciiTheme="minorHAnsi" w:hAnsiTheme="minorHAnsi" w:cstheme="minorHAnsi"/>
                <w:noProof/>
                <w:sz w:val="16"/>
                <w:szCs w:val="16"/>
              </w:rPr>
              <w:t>(40)</w:t>
            </w:r>
            <w:r w:rsidRPr="00393D09">
              <w:rPr>
                <w:rFonts w:asciiTheme="minorHAnsi" w:hAnsiTheme="minorHAnsi" w:cstheme="minorHAnsi"/>
                <w:sz w:val="16"/>
                <w:szCs w:val="16"/>
              </w:rPr>
              <w:t xml:space="preserve">. Eleven trials </w:t>
            </w:r>
            <w:r w:rsidRPr="00393D09">
              <w:rPr>
                <w:rFonts w:asciiTheme="minorHAnsi" w:hAnsiTheme="minorHAnsi" w:cstheme="minorHAnsi"/>
                <w:noProof/>
                <w:sz w:val="16"/>
                <w:szCs w:val="16"/>
              </w:rPr>
              <w:t>(41-51)</w:t>
            </w:r>
            <w:r w:rsidRPr="00393D09">
              <w:rPr>
                <w:rFonts w:asciiTheme="minorHAnsi" w:hAnsiTheme="minorHAnsi" w:cstheme="minorHAnsi"/>
                <w:sz w:val="16"/>
                <w:szCs w:val="16"/>
              </w:rPr>
              <w:t xml:space="preserve"> reporting infants compared higher versus lower dose vitamin D supplementation in term infants. Dosages ranged from no supplementation to a maximum 1600 units/day </w:t>
            </w:r>
            <w:r w:rsidRPr="00393D09">
              <w:rPr>
                <w:rFonts w:asciiTheme="minorHAnsi" w:hAnsiTheme="minorHAnsi" w:cstheme="minorHAnsi"/>
                <w:noProof/>
                <w:sz w:val="16"/>
                <w:szCs w:val="16"/>
              </w:rPr>
              <w:t>(10)</w:t>
            </w:r>
            <w:r w:rsidRPr="00393D09">
              <w:rPr>
                <w:rFonts w:asciiTheme="minorHAnsi" w:hAnsiTheme="minorHAnsi" w:cstheme="minorHAnsi"/>
                <w:sz w:val="16"/>
                <w:szCs w:val="16"/>
              </w:rPr>
              <w:t xml:space="preserve">. An intermittent high dose 50,000 units every two months to 6 months age was compared to oral D3 200 units/day and 400 units daily to 6 months of age in a single study </w:t>
            </w:r>
            <w:r w:rsidRPr="00393D09">
              <w:rPr>
                <w:rFonts w:asciiTheme="minorHAnsi" w:hAnsiTheme="minorHAnsi" w:cstheme="minorHAnsi"/>
                <w:noProof/>
                <w:sz w:val="16"/>
                <w:szCs w:val="16"/>
              </w:rPr>
              <w:t>(35)</w:t>
            </w:r>
            <w:r w:rsidRPr="00393D09">
              <w:rPr>
                <w:rFonts w:asciiTheme="minorHAnsi" w:hAnsiTheme="minorHAnsi" w:cstheme="minorHAnsi"/>
                <w:sz w:val="16"/>
                <w:szCs w:val="16"/>
              </w:rPr>
              <w:t>.</w:t>
            </w:r>
          </w:p>
          <w:p w:rsidRPr="00393D09" w:rsidR="00393D09" w:rsidP="00131848" w:rsidRDefault="00393D09" w14:paraId="26F1FDA0" w14:textId="77777777">
            <w:pPr>
              <w:rPr>
                <w:rFonts w:asciiTheme="minorHAnsi" w:hAnsiTheme="minorHAnsi" w:cstheme="minorHAnsi"/>
                <w:sz w:val="16"/>
                <w:szCs w:val="16"/>
              </w:rPr>
            </w:pPr>
            <w:r w:rsidRPr="00393D09">
              <w:rPr>
                <w:rFonts w:asciiTheme="minorHAnsi" w:hAnsiTheme="minorHAnsi" w:cstheme="minorHAnsi"/>
                <w:sz w:val="16"/>
                <w:szCs w:val="16"/>
              </w:rPr>
              <w:t xml:space="preserve">Meta-analysis of three trials </w:t>
            </w:r>
            <w:r w:rsidRPr="00393D09">
              <w:rPr>
                <w:rFonts w:asciiTheme="minorHAnsi" w:hAnsiTheme="minorHAnsi" w:cstheme="minorHAnsi"/>
                <w:noProof/>
                <w:sz w:val="16"/>
                <w:szCs w:val="16"/>
              </w:rPr>
              <w:t>(22, 35, 38)</w:t>
            </w:r>
            <w:r w:rsidRPr="00393D09">
              <w:rPr>
                <w:rFonts w:asciiTheme="minorHAnsi" w:hAnsiTheme="minorHAnsi" w:cstheme="minorHAnsi"/>
                <w:sz w:val="16"/>
                <w:szCs w:val="16"/>
              </w:rPr>
              <w:t xml:space="preserve"> including 223 mother-infant pairs found no difference in incidence of vitamin D deficiency (25-hydroxy vitamin D &lt;30 nmol/L) for infant doses 600 units/day to 1200 units/day compared to 400 units/day (RR 0.25, 95% CI 0.01 to 4.92; RD -0.01, 95% CI -0.05 to 0.03). The studies largely enrolled infants at lower risk of vitamin D deficiency. </w:t>
            </w:r>
          </w:p>
          <w:p w:rsidRPr="00393D09" w:rsidR="00393D09" w:rsidP="00131848" w:rsidRDefault="00393D09" w14:paraId="2C9BA151" w14:textId="77777777">
            <w:pPr>
              <w:rPr>
                <w:rFonts w:asciiTheme="minorHAnsi" w:hAnsiTheme="minorHAnsi" w:cstheme="minorHAnsi"/>
                <w:sz w:val="16"/>
                <w:szCs w:val="16"/>
              </w:rPr>
            </w:pPr>
            <w:r w:rsidRPr="00393D09">
              <w:rPr>
                <w:rFonts w:asciiTheme="minorHAnsi" w:hAnsiTheme="minorHAnsi" w:cstheme="minorHAnsi"/>
                <w:sz w:val="16"/>
                <w:szCs w:val="16"/>
              </w:rPr>
              <w:t xml:space="preserve">Meta-analysis of 5 trials </w:t>
            </w:r>
            <w:r w:rsidRPr="00393D09">
              <w:rPr>
                <w:rFonts w:asciiTheme="minorHAnsi" w:hAnsiTheme="minorHAnsi" w:cstheme="minorHAnsi"/>
                <w:noProof/>
                <w:sz w:val="16"/>
                <w:szCs w:val="16"/>
              </w:rPr>
              <w:t>(10, 33, 35, 38, 39)</w:t>
            </w:r>
            <w:r w:rsidRPr="00393D09">
              <w:rPr>
                <w:rFonts w:asciiTheme="minorHAnsi" w:hAnsiTheme="minorHAnsi" w:cstheme="minorHAnsi"/>
                <w:sz w:val="16"/>
                <w:szCs w:val="16"/>
              </w:rPr>
              <w:t xml:space="preserve"> including mother-infant pairs found a reduction in incidence of vitamin D insufficiency (25-hydroxy vitamin D &lt;50 nmol/L) for infant doses 600 units/day to 1600 units/day compared to 400 units/day (RR 0.17, 95% CI 0.05 to 0.54; RD -0.02, 95% CI -0.03 to -0.01). </w:t>
            </w:r>
          </w:p>
          <w:p w:rsidRPr="00393D09" w:rsidR="00393D09" w:rsidP="00131848" w:rsidRDefault="00393D09" w14:paraId="6988711F" w14:textId="77777777">
            <w:pPr>
              <w:rPr>
                <w:rFonts w:asciiTheme="minorHAnsi" w:hAnsiTheme="minorHAnsi" w:cstheme="minorHAnsi"/>
                <w:sz w:val="16"/>
                <w:szCs w:val="16"/>
              </w:rPr>
            </w:pPr>
            <w:r w:rsidRPr="00393D09">
              <w:rPr>
                <w:rFonts w:asciiTheme="minorHAnsi" w:hAnsiTheme="minorHAnsi" w:cstheme="minorHAnsi"/>
                <w:sz w:val="16"/>
                <w:szCs w:val="16"/>
              </w:rPr>
              <w:t xml:space="preserve">Higher doses of vitamin D have been associated with vitamin D excess (25-hydroxy vitamin D &gt;250 nmol/L) (RR 7.32, 95% CI 1.68 to 31.94; participants = 269; studies = 6). Although vitamin D excess has been reported with doses ranging </w:t>
            </w:r>
            <w:r w:rsidRPr="00393D09">
              <w:rPr>
                <w:rFonts w:asciiTheme="minorHAnsi" w:hAnsiTheme="minorHAnsi" w:cstheme="minorHAnsi"/>
                <w:sz w:val="16"/>
                <w:szCs w:val="16"/>
              </w:rPr>
              <w:lastRenderedPageBreak/>
              <w:t xml:space="preserve">from as low as 200 units/day </w:t>
            </w:r>
            <w:r w:rsidRPr="00393D09">
              <w:rPr>
                <w:rFonts w:asciiTheme="minorHAnsi" w:hAnsiTheme="minorHAnsi" w:cstheme="minorHAnsi"/>
                <w:noProof/>
                <w:sz w:val="16"/>
                <w:szCs w:val="16"/>
              </w:rPr>
              <w:t>(32)</w:t>
            </w:r>
            <w:r w:rsidRPr="00393D09">
              <w:rPr>
                <w:rFonts w:asciiTheme="minorHAnsi" w:hAnsiTheme="minorHAnsi" w:cstheme="minorHAnsi"/>
                <w:sz w:val="16"/>
                <w:szCs w:val="16"/>
              </w:rPr>
              <w:t xml:space="preserve">, the incidence was &lt;5% at doses of 800 and 1200 units/day, but occurred in 15 of 16 infants in a trial with a group receiving 1600 units/day which resulted in premature stopping of that study group </w:t>
            </w:r>
            <w:r w:rsidRPr="00393D09">
              <w:rPr>
                <w:rFonts w:asciiTheme="minorHAnsi" w:hAnsiTheme="minorHAnsi" w:cstheme="minorHAnsi"/>
                <w:noProof/>
                <w:sz w:val="16"/>
                <w:szCs w:val="16"/>
              </w:rPr>
              <w:t>(10)</w:t>
            </w:r>
            <w:r w:rsidRPr="00393D09">
              <w:rPr>
                <w:rFonts w:asciiTheme="minorHAnsi" w:hAnsiTheme="minorHAnsi" w:cstheme="minorHAnsi"/>
                <w:sz w:val="16"/>
                <w:szCs w:val="16"/>
              </w:rPr>
              <w:t xml:space="preserve">. Vitamin D toxicity (hypercalcaemia and serum 25-hydroxy vitamin D &gt; 250 nmol/L) has also been reported with doses of 800 units/day (2 of 32 infants), 1200 units/day (2 of 27 infants) and 1600 units/day (2 of 16 infants) in a single study </w:t>
            </w:r>
            <w:r w:rsidRPr="00393D09">
              <w:rPr>
                <w:rFonts w:asciiTheme="minorHAnsi" w:hAnsiTheme="minorHAnsi" w:cstheme="minorHAnsi"/>
                <w:noProof/>
                <w:sz w:val="16"/>
                <w:szCs w:val="16"/>
              </w:rPr>
              <w:t>(10)</w:t>
            </w:r>
            <w:r w:rsidRPr="00393D09">
              <w:rPr>
                <w:rFonts w:asciiTheme="minorHAnsi" w:hAnsiTheme="minorHAnsi" w:cstheme="minorHAnsi"/>
                <w:sz w:val="16"/>
                <w:szCs w:val="16"/>
              </w:rPr>
              <w:t>.</w:t>
            </w:r>
          </w:p>
          <w:p w:rsidRPr="00393D09" w:rsidR="00393D09" w:rsidP="00131848" w:rsidRDefault="00393D09" w14:paraId="3268A427" w14:textId="77777777">
            <w:pPr>
              <w:rPr>
                <w:rFonts w:asciiTheme="minorHAnsi" w:hAnsiTheme="minorHAnsi" w:cstheme="minorHAnsi"/>
                <w:sz w:val="16"/>
                <w:szCs w:val="16"/>
              </w:rPr>
            </w:pPr>
            <w:r w:rsidRPr="00393D09">
              <w:rPr>
                <w:rFonts w:asciiTheme="minorHAnsi" w:hAnsiTheme="minorHAnsi" w:cstheme="minorHAnsi"/>
                <w:sz w:val="16"/>
                <w:szCs w:val="16"/>
              </w:rPr>
              <w:t xml:space="preserve">There are limited data in the effect of vitamin D supplementation for preterm infants on measures of bone health. Overall, there was no effect on bone mineral content (MD -5.10 mg/cm, 95% CI -14.13 to 3.93; participants = 68; studies = 1) in a single study comparing 800 units/day versus 400 units/day </w:t>
            </w:r>
            <w:r w:rsidRPr="00393D09">
              <w:rPr>
                <w:rFonts w:asciiTheme="minorHAnsi" w:hAnsiTheme="minorHAnsi" w:cstheme="minorHAnsi"/>
                <w:noProof/>
                <w:sz w:val="16"/>
                <w:szCs w:val="16"/>
              </w:rPr>
              <w:t>(49)</w:t>
            </w:r>
            <w:r w:rsidRPr="00393D09">
              <w:rPr>
                <w:rFonts w:asciiTheme="minorHAnsi" w:hAnsiTheme="minorHAnsi" w:cstheme="minorHAnsi"/>
                <w:sz w:val="16"/>
                <w:szCs w:val="16"/>
              </w:rPr>
              <w:t xml:space="preserve">; or bone mineral density (MD -2.50 mg/cm2, 95% CI -10.28 to 5.28; participants = 107; studies = 2) </w:t>
            </w:r>
            <w:r w:rsidRPr="00393D09">
              <w:rPr>
                <w:rFonts w:asciiTheme="minorHAnsi" w:hAnsiTheme="minorHAnsi" w:cstheme="minorHAnsi"/>
                <w:noProof/>
                <w:sz w:val="16"/>
                <w:szCs w:val="16"/>
              </w:rPr>
              <w:t>(45, 49)</w:t>
            </w:r>
            <w:r w:rsidRPr="00393D09">
              <w:rPr>
                <w:rFonts w:asciiTheme="minorHAnsi" w:hAnsiTheme="minorHAnsi" w:cstheme="minorHAnsi"/>
                <w:sz w:val="16"/>
                <w:szCs w:val="16"/>
              </w:rPr>
              <w:t xml:space="preserve">. Meta-analysis of 2 trials comparing 1000 units/day versus 400 units/day in preterm infants without human milk fortification or additional mineral supplementation found a reduction in biochemical rickets (RR 0.25, 95% CI 0.12 to 0.50; participants = 149; studies = 2) </w:t>
            </w:r>
            <w:r w:rsidRPr="00393D09">
              <w:rPr>
                <w:rFonts w:asciiTheme="minorHAnsi" w:hAnsiTheme="minorHAnsi" w:cstheme="minorHAnsi"/>
                <w:noProof/>
                <w:sz w:val="16"/>
                <w:szCs w:val="16"/>
              </w:rPr>
              <w:t>(48, 51)</w:t>
            </w:r>
            <w:r w:rsidRPr="00393D09">
              <w:rPr>
                <w:rFonts w:asciiTheme="minorHAnsi" w:hAnsiTheme="minorHAnsi" w:cstheme="minorHAnsi"/>
                <w:sz w:val="16"/>
                <w:szCs w:val="16"/>
              </w:rPr>
              <w:t xml:space="preserve">. No studies reported biochemical rickets in preterm infants receiving additional mineral supplements. There was no difference radiological rickets in trials comparing 400 units/day versus 200 units/day in preterm infants without human milk fortification or additional mineral supplementation (RR 3.00, 95% CI 0.66 to 13.69; participants = 101; studies = 2) </w:t>
            </w:r>
            <w:r w:rsidRPr="00393D09">
              <w:rPr>
                <w:rFonts w:asciiTheme="minorHAnsi" w:hAnsiTheme="minorHAnsi" w:cstheme="minorHAnsi"/>
                <w:noProof/>
                <w:sz w:val="16"/>
                <w:szCs w:val="16"/>
              </w:rPr>
              <w:t>(43, 47)</w:t>
            </w:r>
            <w:r w:rsidRPr="00393D09">
              <w:rPr>
                <w:rFonts w:asciiTheme="minorHAnsi" w:hAnsiTheme="minorHAnsi" w:cstheme="minorHAnsi"/>
                <w:sz w:val="16"/>
                <w:szCs w:val="16"/>
              </w:rPr>
              <w:t xml:space="preserve">, and no infant had radiological rickets in a single trial comparing 800 units/day versus 400 units/day </w:t>
            </w:r>
            <w:r w:rsidRPr="00393D09">
              <w:rPr>
                <w:rFonts w:asciiTheme="minorHAnsi" w:hAnsiTheme="minorHAnsi" w:cstheme="minorHAnsi"/>
                <w:noProof/>
                <w:sz w:val="16"/>
                <w:szCs w:val="16"/>
              </w:rPr>
              <w:t>(47)</w:t>
            </w:r>
            <w:r w:rsidRPr="00393D09">
              <w:rPr>
                <w:rFonts w:asciiTheme="minorHAnsi" w:hAnsiTheme="minorHAnsi" w:cstheme="minorHAnsi"/>
                <w:sz w:val="16"/>
                <w:szCs w:val="16"/>
              </w:rPr>
              <w:t xml:space="preserve"> (n=42). A single trial comparing 1000 units/day versus 400 units/day reported a reduction in radiological rickets in preterm infants without human milk fortification or additional mineral supplementation (RR 0.40, 95% CI 0.19 to 0.86; participants = 50) </w:t>
            </w:r>
            <w:r w:rsidRPr="00393D09">
              <w:rPr>
                <w:rFonts w:asciiTheme="minorHAnsi" w:hAnsiTheme="minorHAnsi" w:cstheme="minorHAnsi"/>
                <w:noProof/>
                <w:sz w:val="16"/>
                <w:szCs w:val="16"/>
              </w:rPr>
              <w:t>(48)</w:t>
            </w:r>
            <w:r w:rsidRPr="00393D09">
              <w:rPr>
                <w:rFonts w:asciiTheme="minorHAnsi" w:hAnsiTheme="minorHAnsi" w:cstheme="minorHAnsi"/>
                <w:sz w:val="16"/>
                <w:szCs w:val="16"/>
              </w:rPr>
              <w:t>.</w:t>
            </w:r>
          </w:p>
          <w:p w:rsidRPr="00393D09" w:rsidR="00393D09" w:rsidP="00131848" w:rsidRDefault="00393D09" w14:paraId="736E499A" w14:textId="77777777">
            <w:pPr>
              <w:pStyle w:val="BodyText"/>
              <w:tabs>
                <w:tab w:val="left" w:pos="1168"/>
              </w:tabs>
              <w:ind w:left="360"/>
              <w:rPr>
                <w:rFonts w:asciiTheme="minorHAnsi" w:hAnsiTheme="minorHAnsi" w:cstheme="minorHAnsi"/>
                <w:sz w:val="16"/>
                <w:szCs w:val="16"/>
                <w:lang w:val="en-AU"/>
              </w:rPr>
            </w:pPr>
          </w:p>
          <w:p w:rsidRPr="00393D09" w:rsidR="00393D09" w:rsidP="00131848" w:rsidRDefault="00393D09" w14:paraId="690A8630"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Vitamin D supplementation for</w:t>
            </w:r>
            <w:r w:rsidRPr="00393D09">
              <w:rPr>
                <w:rFonts w:asciiTheme="minorHAnsi" w:hAnsiTheme="minorHAnsi" w:cstheme="minorHAnsi"/>
                <w:sz w:val="16"/>
                <w:szCs w:val="16"/>
              </w:rPr>
              <w:t xml:space="preserve"> </w:t>
            </w:r>
            <w:r w:rsidRPr="00393D09">
              <w:rPr>
                <w:rFonts w:asciiTheme="minorHAnsi" w:hAnsiTheme="minorHAnsi" w:cstheme="minorHAnsi"/>
                <w:b/>
                <w:sz w:val="16"/>
                <w:szCs w:val="16"/>
                <w:lang w:val="en-AU"/>
              </w:rPr>
              <w:t xml:space="preserve">management of nutritional rickets: </w:t>
            </w:r>
            <w:r w:rsidRPr="00393D09">
              <w:rPr>
                <w:rFonts w:asciiTheme="minorHAnsi" w:hAnsiTheme="minorHAnsi" w:cstheme="minorHAnsi"/>
                <w:sz w:val="16"/>
                <w:szCs w:val="16"/>
                <w:lang w:val="en-AU"/>
              </w:rPr>
              <w:t xml:space="preserve">Nutritional rickets is caused by vitamin D deficiency and/or low calcium intake. The diagnosis of NR is made on the basis of history, physical examination, and biochemical testing [decreased 25-hydroxyvitamin D, serum phosphorus and calcium, urinary calcium, and elevated PTH, ALP, and urinary phosphorus levels] and is confirmed by radiographs. </w:t>
            </w:r>
            <w:r w:rsidRPr="00393D09">
              <w:rPr>
                <w:rFonts w:asciiTheme="minorHAnsi" w:hAnsiTheme="minorHAnsi" w:cstheme="minorHAnsi"/>
                <w:noProof/>
                <w:sz w:val="16"/>
                <w:szCs w:val="16"/>
                <w:lang w:val="en-AU"/>
              </w:rPr>
              <w:t>(2, 16, 17)</w:t>
            </w:r>
            <w:r w:rsidRPr="00393D09">
              <w:rPr>
                <w:rFonts w:asciiTheme="minorHAnsi" w:hAnsiTheme="minorHAnsi" w:cstheme="minorHAnsi"/>
                <w:sz w:val="16"/>
                <w:szCs w:val="16"/>
                <w:lang w:val="en-AU"/>
              </w:rPr>
              <w:t xml:space="preserve"> </w:t>
            </w:r>
          </w:p>
          <w:p w:rsidRPr="00393D09" w:rsidR="00393D09" w:rsidP="00131848" w:rsidRDefault="00393D09" w14:paraId="53CAD958"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A systematic review of vitamin D, calcium or a combination of vitamin D and calcium for the treatment of nutritional rickets included 4 RCTs enrolling 286 children found low-certainty evidence that vitamin D plus calcium or calcium alone improved healing in children with nutritional rickets compared to vitamin D alone </w:t>
            </w:r>
            <w:r w:rsidRPr="00393D09">
              <w:rPr>
                <w:rFonts w:asciiTheme="minorHAnsi" w:hAnsiTheme="minorHAnsi" w:cstheme="minorHAnsi"/>
                <w:noProof/>
                <w:sz w:val="16"/>
                <w:szCs w:val="16"/>
                <w:lang w:val="en-AU"/>
              </w:rPr>
              <w:t>(52)</w:t>
            </w:r>
            <w:r w:rsidRPr="00393D09">
              <w:rPr>
                <w:rFonts w:asciiTheme="minorHAnsi" w:hAnsiTheme="minorHAnsi" w:cstheme="minorHAnsi"/>
                <w:sz w:val="16"/>
                <w:szCs w:val="16"/>
                <w:lang w:val="en-AU"/>
              </w:rPr>
              <w:t xml:space="preserve">. Three of the studies used a single oral or IM dose of vitamin D 600000 units, and the other vitamin D2 50000 units orally once every 4 weeks for 24 weeks. [LOE I GOR B – children] </w:t>
            </w:r>
          </w:p>
          <w:p w:rsidRPr="00393D09" w:rsidR="00393D09" w:rsidP="00131848" w:rsidRDefault="00393D09" w14:paraId="2800F31D"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Recommendations for dose of vitamin D treatment of nutritional rickets are largely based on review of observational studies </w:t>
            </w:r>
            <w:r w:rsidRPr="00393D09">
              <w:rPr>
                <w:rFonts w:asciiTheme="minorHAnsi" w:hAnsiTheme="minorHAnsi" w:cstheme="minorHAnsi"/>
                <w:noProof/>
                <w:sz w:val="16"/>
                <w:szCs w:val="16"/>
                <w:lang w:val="en-AU"/>
              </w:rPr>
              <w:t>(2)</w:t>
            </w:r>
            <w:r w:rsidRPr="00393D09">
              <w:rPr>
                <w:rFonts w:asciiTheme="minorHAnsi" w:hAnsiTheme="minorHAnsi" w:cstheme="minorHAnsi"/>
                <w:sz w:val="16"/>
                <w:szCs w:val="16"/>
                <w:lang w:val="en-AU"/>
              </w:rPr>
              <w:t xml:space="preserve">. The minimal recommended dose of vitamin D is 2000 units/day (50 µg/day) for a minimum of 3 months. Oral treatment more rapidly restores 25-hydroxy vitamin D levels than IM treatment. For daily treatment, both D2 and D3 are equally effective. Oral calcium, 500 mg/day, either as dietary intake or supplements, should be routinely used in conjunction with vitamin D in the treatment regardless of age or weight.  </w:t>
            </w:r>
          </w:p>
          <w:p w:rsidRPr="00393D09" w:rsidR="00393D09" w:rsidP="00131848" w:rsidRDefault="00393D09" w14:paraId="477B79D3" w14:textId="77777777">
            <w:pPr>
              <w:pStyle w:val="BodyText"/>
              <w:tabs>
                <w:tab w:val="left" w:pos="1168"/>
              </w:tabs>
              <w:rPr>
                <w:rFonts w:asciiTheme="minorHAnsi" w:hAnsiTheme="minorHAnsi" w:cstheme="minorHAnsi"/>
                <w:b/>
                <w:sz w:val="16"/>
                <w:szCs w:val="16"/>
                <w:lang w:val="en-AU"/>
              </w:rPr>
            </w:pPr>
          </w:p>
          <w:p w:rsidRPr="00393D09" w:rsidR="00393D09" w:rsidP="00131848" w:rsidRDefault="00393D09" w14:paraId="66FD68C5"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b/>
                <w:sz w:val="16"/>
                <w:szCs w:val="16"/>
                <w:lang w:val="en-AU"/>
              </w:rPr>
              <w:t xml:space="preserve">Infants with cholestasis / malabsorption: </w:t>
            </w:r>
            <w:r w:rsidRPr="00393D09">
              <w:rPr>
                <w:rFonts w:asciiTheme="minorHAnsi" w:hAnsiTheme="minorHAnsi" w:cstheme="minorHAnsi"/>
                <w:sz w:val="16"/>
                <w:szCs w:val="16"/>
                <w:lang w:val="en-AU"/>
              </w:rPr>
              <w:t xml:space="preserve">Limited data support the dosing of vitamin D in infants with cholestasis or intestinal malabsorption – see reviews </w:t>
            </w:r>
            <w:r w:rsidRPr="00393D09">
              <w:rPr>
                <w:rFonts w:asciiTheme="minorHAnsi" w:hAnsiTheme="minorHAnsi" w:cstheme="minorHAnsi"/>
                <w:noProof/>
                <w:sz w:val="16"/>
                <w:szCs w:val="16"/>
                <w:lang w:val="en-AU"/>
              </w:rPr>
              <w:t>(8, 53, 54)</w:t>
            </w:r>
            <w:r w:rsidRPr="00393D09">
              <w:rPr>
                <w:rFonts w:asciiTheme="minorHAnsi" w:hAnsiTheme="minorHAnsi" w:cstheme="minorHAnsi"/>
                <w:sz w:val="16"/>
                <w:szCs w:val="16"/>
                <w:lang w:val="en-AU"/>
              </w:rPr>
              <w:t xml:space="preserve">. Cholestasis (conjugated bilirubin ≥34 micrograms/L) predisposes to the development of fat-soluble vitamin deficiency </w:t>
            </w:r>
            <w:r w:rsidRPr="00393D09">
              <w:rPr>
                <w:rFonts w:asciiTheme="minorHAnsi" w:hAnsiTheme="minorHAnsi" w:cstheme="minorHAnsi"/>
                <w:noProof/>
                <w:sz w:val="16"/>
                <w:szCs w:val="16"/>
                <w:lang w:val="en-AU"/>
              </w:rPr>
              <w:t>(8)</w:t>
            </w:r>
            <w:r w:rsidRPr="00393D09">
              <w:rPr>
                <w:rFonts w:asciiTheme="minorHAnsi" w:hAnsiTheme="minorHAnsi" w:cstheme="minorHAnsi"/>
                <w:sz w:val="16"/>
                <w:szCs w:val="16"/>
                <w:lang w:val="en-AU"/>
              </w:rPr>
              <w:t>.</w:t>
            </w:r>
            <w:r w:rsidRPr="00393D09">
              <w:rPr>
                <w:rFonts w:asciiTheme="minorHAnsi" w:hAnsiTheme="minorHAnsi" w:cstheme="minorHAnsi"/>
                <w:b/>
                <w:sz w:val="16"/>
                <w:szCs w:val="16"/>
                <w:lang w:val="en-AU"/>
              </w:rPr>
              <w:t xml:space="preserve"> </w:t>
            </w:r>
            <w:r w:rsidRPr="00393D09">
              <w:rPr>
                <w:rFonts w:asciiTheme="minorHAnsi" w:hAnsiTheme="minorHAnsi" w:cstheme="minorHAnsi"/>
                <w:sz w:val="16"/>
                <w:szCs w:val="16"/>
                <w:lang w:val="en-AU"/>
              </w:rPr>
              <w:t xml:space="preserve">In an observational study of 92 infants with cholestasis, colecalciferol or ergocalciferol 1200 units increased by increments of 1200 units to 8000 units orally daily, or alternatively calcitriol at 0.05 to 0.20 mg/kg per day, did not achieve target 25-hydroxy vitamin D &gt;50 nmol/L in all infants </w:t>
            </w:r>
            <w:r w:rsidRPr="00393D09">
              <w:rPr>
                <w:rFonts w:asciiTheme="minorHAnsi" w:hAnsiTheme="minorHAnsi" w:cstheme="minorHAnsi"/>
                <w:noProof/>
                <w:sz w:val="16"/>
                <w:szCs w:val="16"/>
                <w:lang w:val="en-AU"/>
              </w:rPr>
              <w:t>(4)</w:t>
            </w:r>
            <w:r w:rsidRPr="00393D09">
              <w:rPr>
                <w:rFonts w:asciiTheme="minorHAnsi" w:hAnsiTheme="minorHAnsi" w:cstheme="minorHAnsi"/>
                <w:sz w:val="16"/>
                <w:szCs w:val="16"/>
                <w:lang w:val="en-AU"/>
              </w:rPr>
              <w:t xml:space="preserve">. [LOE III-3] </w:t>
            </w:r>
          </w:p>
          <w:p w:rsidRPr="00393D09" w:rsidR="00393D09" w:rsidP="00131848" w:rsidRDefault="00393D09" w14:paraId="22A93498" w14:textId="77777777">
            <w:pPr>
              <w:pStyle w:val="BodyText"/>
              <w:tabs>
                <w:tab w:val="left" w:pos="1168"/>
              </w:tabs>
              <w:rPr>
                <w:rFonts w:asciiTheme="minorHAnsi" w:hAnsiTheme="minorHAnsi" w:cstheme="minorHAnsi"/>
                <w:sz w:val="16"/>
                <w:szCs w:val="16"/>
                <w:lang w:val="en-AU"/>
              </w:rPr>
            </w:pPr>
          </w:p>
          <w:p w:rsidRPr="00393D09" w:rsidR="00393D09" w:rsidP="00131848" w:rsidRDefault="00393D09" w14:paraId="50537BB1" w14:textId="77777777">
            <w:pPr>
              <w:pStyle w:val="BodyText"/>
              <w:tabs>
                <w:tab w:val="left" w:pos="1168"/>
              </w:tabs>
              <w:rPr>
                <w:rFonts w:asciiTheme="minorHAnsi" w:hAnsiTheme="minorHAnsi" w:cstheme="minorHAnsi"/>
                <w:b/>
                <w:sz w:val="16"/>
                <w:szCs w:val="16"/>
                <w:lang w:val="en-AU"/>
              </w:rPr>
            </w:pPr>
            <w:r w:rsidRPr="00393D09">
              <w:rPr>
                <w:rFonts w:asciiTheme="minorHAnsi" w:hAnsiTheme="minorHAnsi" w:cstheme="minorHAnsi"/>
                <w:b/>
                <w:sz w:val="16"/>
                <w:szCs w:val="16"/>
                <w:lang w:val="en-AU"/>
              </w:rPr>
              <w:t>Safety</w:t>
            </w:r>
          </w:p>
          <w:p w:rsidRPr="00393D09" w:rsidR="00393D09" w:rsidP="00131848" w:rsidRDefault="00393D09" w14:paraId="2DBD124A"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Vitamin D toxicity is defined as hypercalcaemia and serum 25-hydroxy vitamin D vitamin D ≥ 250 nmol/L, with hypercalciuria and suppressed PTH.</w:t>
            </w:r>
            <w:r w:rsidRPr="00393D09">
              <w:rPr>
                <w:rFonts w:asciiTheme="minorHAnsi" w:hAnsiTheme="minorHAnsi" w:cstheme="minorHAnsi"/>
                <w:noProof/>
                <w:sz w:val="16"/>
                <w:szCs w:val="16"/>
                <w:lang w:val="en-AU"/>
              </w:rPr>
              <w:t>(2)</w:t>
            </w:r>
            <w:r w:rsidRPr="00393D09">
              <w:rPr>
                <w:rFonts w:asciiTheme="minorHAnsi" w:hAnsiTheme="minorHAnsi" w:cstheme="minorHAnsi"/>
                <w:sz w:val="16"/>
                <w:szCs w:val="16"/>
                <w:lang w:val="en-AU"/>
              </w:rPr>
              <w:t xml:space="preserve"> High 25-hydroxy vitamin D concentrations can cause hypercalcaemia, hypercalciuria, and if prolonged, nephrocalcinosis and renal failure. Vitamin D excess (serum 25-hydroxy vitamin D ≥ 250 nmol/L) is not usually seen in unsupplemented individuals </w:t>
            </w:r>
            <w:r w:rsidRPr="00393D09">
              <w:rPr>
                <w:rFonts w:asciiTheme="minorHAnsi" w:hAnsiTheme="minorHAnsi" w:cstheme="minorHAnsi"/>
                <w:noProof/>
                <w:sz w:val="16"/>
                <w:szCs w:val="16"/>
                <w:lang w:val="en-AU"/>
              </w:rPr>
              <w:t>(55)</w:t>
            </w:r>
            <w:r w:rsidRPr="00393D09">
              <w:rPr>
                <w:rFonts w:asciiTheme="minorHAnsi" w:hAnsiTheme="minorHAnsi" w:cstheme="minorHAnsi"/>
                <w:sz w:val="16"/>
                <w:szCs w:val="16"/>
                <w:lang w:val="en-AU"/>
              </w:rPr>
              <w:t xml:space="preserve">. </w:t>
            </w:r>
          </w:p>
          <w:p w:rsidRPr="00393D09" w:rsidR="00393D09" w:rsidP="00131848" w:rsidRDefault="00393D09" w14:paraId="49736451" w14:textId="77777777">
            <w:pPr>
              <w:rPr>
                <w:rFonts w:asciiTheme="minorHAnsi" w:hAnsiTheme="minorHAnsi" w:cstheme="minorHAnsi"/>
                <w:sz w:val="16"/>
                <w:szCs w:val="16"/>
              </w:rPr>
            </w:pPr>
            <w:r w:rsidRPr="00393D09">
              <w:rPr>
                <w:rFonts w:asciiTheme="minorHAnsi" w:hAnsiTheme="minorHAnsi" w:cstheme="minorHAnsi"/>
                <w:sz w:val="16"/>
                <w:szCs w:val="16"/>
              </w:rPr>
              <w:t xml:space="preserve">Although vitamin D excess has been reported with doses ranging from as low as 200 units/day </w:t>
            </w:r>
            <w:r w:rsidRPr="00393D09">
              <w:rPr>
                <w:rFonts w:asciiTheme="minorHAnsi" w:hAnsiTheme="minorHAnsi" w:cstheme="minorHAnsi"/>
                <w:noProof/>
                <w:sz w:val="16"/>
                <w:szCs w:val="16"/>
              </w:rPr>
              <w:t>(32)</w:t>
            </w:r>
            <w:r w:rsidRPr="00393D09">
              <w:rPr>
                <w:rFonts w:asciiTheme="minorHAnsi" w:hAnsiTheme="minorHAnsi" w:cstheme="minorHAnsi"/>
                <w:sz w:val="16"/>
                <w:szCs w:val="16"/>
              </w:rPr>
              <w:t xml:space="preserve">, the incidence was &lt;5% at doses of 800 and 1200 units/day, but occurred in 15 of 16 infants in a trial with a group receiving 1600 units/day which resulted in premature stopping of that study group </w:t>
            </w:r>
            <w:r w:rsidRPr="00393D09">
              <w:rPr>
                <w:rFonts w:asciiTheme="minorHAnsi" w:hAnsiTheme="minorHAnsi" w:cstheme="minorHAnsi"/>
                <w:noProof/>
                <w:sz w:val="16"/>
                <w:szCs w:val="16"/>
              </w:rPr>
              <w:t>(10)</w:t>
            </w:r>
            <w:r w:rsidRPr="00393D09">
              <w:rPr>
                <w:rFonts w:asciiTheme="minorHAnsi" w:hAnsiTheme="minorHAnsi" w:cstheme="minorHAnsi"/>
                <w:sz w:val="16"/>
                <w:szCs w:val="16"/>
              </w:rPr>
              <w:t xml:space="preserve">. Vitamin D toxicity (hypercalcaemia and serum 25OH vitamin D &gt; 250 nmol/L) has also been reported with doses of 800 units/day (2 of 32 infants), 1200 units/day (2 of 27 infants) and 1600 units/day (2 of 16 infants) in a single study </w:t>
            </w:r>
            <w:r w:rsidRPr="00393D09">
              <w:rPr>
                <w:rFonts w:asciiTheme="minorHAnsi" w:hAnsiTheme="minorHAnsi" w:cstheme="minorHAnsi"/>
                <w:noProof/>
                <w:sz w:val="16"/>
                <w:szCs w:val="16"/>
              </w:rPr>
              <w:t>(10)</w:t>
            </w:r>
            <w:r w:rsidRPr="00393D09">
              <w:rPr>
                <w:rFonts w:asciiTheme="minorHAnsi" w:hAnsiTheme="minorHAnsi" w:cstheme="minorHAnsi"/>
                <w:sz w:val="16"/>
                <w:szCs w:val="16"/>
              </w:rPr>
              <w:t>.</w:t>
            </w:r>
          </w:p>
          <w:p w:rsidRPr="00393D09" w:rsidR="00393D09" w:rsidP="00131848" w:rsidRDefault="00393D09" w14:paraId="6ADC638C" w14:textId="77777777">
            <w:pPr>
              <w:rPr>
                <w:rFonts w:asciiTheme="minorHAnsi" w:hAnsiTheme="minorHAnsi" w:cstheme="minorHAnsi"/>
                <w:sz w:val="16"/>
                <w:szCs w:val="16"/>
              </w:rPr>
            </w:pPr>
            <w:r w:rsidRPr="00393D09">
              <w:rPr>
                <w:rFonts w:asciiTheme="minorHAnsi" w:hAnsiTheme="minorHAnsi" w:cstheme="minorHAnsi"/>
                <w:sz w:val="16"/>
                <w:szCs w:val="16"/>
              </w:rPr>
              <w:t>In areas where 25-hydroxy vitamin D assays are not readily available, suppression of PTH in the presence of hypercalcaemia and pharmacological doses of vitamin D may support the diagnosis of vitamin. When PTH assay is also unavailable, the possibility of toxicity should be considered in the presence of symptomatic hypercalcaemia in association with pharmacological doses of vitamin D. When PTH assay is also unavailable, the possibility of toxicity should be considered in the presence of symptomatic hypercalcaemia in association with pharmacological doses of vitamin D</w:t>
            </w:r>
            <w:r w:rsidRPr="00393D09">
              <w:rPr>
                <w:rFonts w:asciiTheme="minorHAnsi" w:hAnsiTheme="minorHAnsi" w:cstheme="minorHAnsi"/>
                <w:noProof/>
                <w:sz w:val="16"/>
                <w:szCs w:val="16"/>
              </w:rPr>
              <w:t>(2)</w:t>
            </w:r>
            <w:r w:rsidRPr="00393D09">
              <w:rPr>
                <w:rFonts w:asciiTheme="minorHAnsi" w:hAnsiTheme="minorHAnsi" w:cstheme="minorHAnsi"/>
                <w:sz w:val="16"/>
                <w:szCs w:val="16"/>
              </w:rPr>
              <w:t>.</w:t>
            </w:r>
          </w:p>
          <w:p w:rsidRPr="00393D09" w:rsidR="00393D09" w:rsidP="00131848" w:rsidRDefault="00393D09" w14:paraId="23E3CFD2" w14:textId="77777777">
            <w:pPr>
              <w:pStyle w:val="BodyText"/>
              <w:tabs>
                <w:tab w:val="left" w:pos="1168"/>
              </w:tabs>
              <w:rPr>
                <w:rFonts w:asciiTheme="minorHAnsi" w:hAnsiTheme="minorHAnsi" w:cstheme="minorHAnsi"/>
                <w:sz w:val="16"/>
                <w:szCs w:val="16"/>
                <w:lang w:val="en-AU"/>
              </w:rPr>
            </w:pPr>
            <w:r w:rsidRPr="00393D09">
              <w:rPr>
                <w:rFonts w:asciiTheme="minorHAnsi" w:hAnsiTheme="minorHAnsi" w:cstheme="minorHAnsi"/>
                <w:sz w:val="16"/>
                <w:szCs w:val="16"/>
                <w:lang w:val="en-AU"/>
              </w:rPr>
              <w:t xml:space="preserve">Maternal daily doses of 400 to 6,400 units have not been associated with any short-term biochemical abnormalities in breastfed infants </w:t>
            </w:r>
            <w:r w:rsidRPr="00393D09">
              <w:rPr>
                <w:rFonts w:asciiTheme="minorHAnsi" w:hAnsiTheme="minorHAnsi" w:cstheme="minorHAnsi"/>
                <w:noProof/>
                <w:sz w:val="16"/>
                <w:szCs w:val="16"/>
                <w:lang w:val="en-AU"/>
              </w:rPr>
              <w:t>(13, 18)</w:t>
            </w:r>
            <w:r w:rsidRPr="00393D09">
              <w:rPr>
                <w:rFonts w:asciiTheme="minorHAnsi" w:hAnsiTheme="minorHAnsi" w:cstheme="minorHAnsi"/>
                <w:sz w:val="16"/>
                <w:szCs w:val="16"/>
                <w:lang w:val="en-AU"/>
              </w:rPr>
              <w:t xml:space="preserve"> or adults </w:t>
            </w:r>
            <w:r w:rsidRPr="00393D09">
              <w:rPr>
                <w:rFonts w:asciiTheme="minorHAnsi" w:hAnsiTheme="minorHAnsi" w:cstheme="minorHAnsi"/>
                <w:noProof/>
                <w:sz w:val="16"/>
                <w:szCs w:val="16"/>
                <w:lang w:val="en-AU"/>
              </w:rPr>
              <w:t>(56, 57)</w:t>
            </w:r>
            <w:r w:rsidRPr="00393D09">
              <w:rPr>
                <w:rFonts w:asciiTheme="minorHAnsi" w:hAnsiTheme="minorHAnsi" w:cstheme="minorHAnsi"/>
                <w:sz w:val="16"/>
                <w:szCs w:val="16"/>
                <w:lang w:val="en-AU"/>
              </w:rPr>
              <w:t xml:space="preserve">. </w:t>
            </w:r>
          </w:p>
        </w:tc>
      </w:tr>
      <w:tr w:rsidRPr="00AA350F" w:rsidR="00393D09" w:rsidTr="004F7403" w14:paraId="372D5CEB" w14:textId="77777777">
        <w:trPr>
          <w:trHeight w:val="108"/>
        </w:trPr>
        <w:tc>
          <w:tcPr>
            <w:tcW w:w="1844" w:type="dxa"/>
          </w:tcPr>
          <w:p w:rsidRPr="00AA350F" w:rsidR="00393D09" w:rsidP="00131848" w:rsidRDefault="00393D09" w14:paraId="5BC62325" w14:textId="77777777">
            <w:pPr>
              <w:pStyle w:val="BodyText"/>
              <w:rPr>
                <w:rFonts w:asciiTheme="minorHAnsi" w:hAnsiTheme="minorHAnsi" w:cstheme="minorHAnsi"/>
                <w:b/>
                <w:bCs/>
                <w:sz w:val="20"/>
                <w:lang w:val="en-AU"/>
              </w:rPr>
            </w:pPr>
            <w:r w:rsidRPr="00AA350F">
              <w:rPr>
                <w:rFonts w:asciiTheme="minorHAnsi" w:hAnsiTheme="minorHAnsi" w:cstheme="minorHAnsi"/>
                <w:b/>
                <w:bCs/>
                <w:sz w:val="20"/>
                <w:lang w:val="en-AU"/>
              </w:rPr>
              <w:lastRenderedPageBreak/>
              <w:t>Practice points</w:t>
            </w:r>
          </w:p>
        </w:tc>
        <w:tc>
          <w:tcPr>
            <w:tcW w:w="7938" w:type="dxa"/>
          </w:tcPr>
          <w:p w:rsidRPr="00AA350F" w:rsidR="00393D09" w:rsidP="00131848" w:rsidRDefault="00393D09" w14:paraId="5B3F1D2E" w14:textId="77777777">
            <w:pPr>
              <w:pStyle w:val="BodyText"/>
              <w:tabs>
                <w:tab w:val="left" w:pos="1168"/>
              </w:tabs>
              <w:rPr>
                <w:rFonts w:asciiTheme="minorHAnsi" w:hAnsiTheme="minorHAnsi" w:cstheme="minorHAnsi"/>
                <w:b/>
                <w:sz w:val="20"/>
                <w:lang w:val="en-AU" w:eastAsia="en-AU"/>
              </w:rPr>
            </w:pPr>
            <w:r w:rsidRPr="00AA350F">
              <w:rPr>
                <w:rFonts w:asciiTheme="minorHAnsi" w:hAnsiTheme="minorHAnsi" w:cstheme="minorHAnsi"/>
                <w:b/>
                <w:sz w:val="20"/>
                <w:lang w:eastAsia="en-AU"/>
              </w:rPr>
              <w:t>Global Consensus Recommendations on Prevention and Management of Nutritional Rickets</w:t>
            </w:r>
            <w:r w:rsidRPr="00AA350F">
              <w:rPr>
                <w:rFonts w:asciiTheme="minorHAnsi" w:hAnsiTheme="minorHAnsi" w:cstheme="minorHAnsi"/>
                <w:b/>
                <w:sz w:val="20"/>
                <w:lang w:val="en-AU" w:eastAsia="en-AU"/>
              </w:rPr>
              <w:t xml:space="preserve">: </w:t>
            </w:r>
          </w:p>
          <w:p w:rsidRPr="00AA350F" w:rsidR="00393D09" w:rsidP="001B0E05" w:rsidRDefault="00393D09" w14:paraId="1F4F4647" w14:textId="77777777">
            <w:pPr>
              <w:pStyle w:val="BodyText"/>
              <w:numPr>
                <w:ilvl w:val="0"/>
                <w:numId w:val="148"/>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Vitamin D supplementation for the prevention of rickets and osteomalacia: 400 units/day (10 micrograms) is adequate to prevent rickets and has been recommended for all infants from birth to 12 months of age, independent of their mode of feeding. (</w:t>
            </w:r>
            <w:r>
              <w:rPr>
                <w:rFonts w:asciiTheme="minorHAnsi" w:hAnsiTheme="minorHAnsi" w:cstheme="minorHAnsi"/>
                <w:sz w:val="20"/>
                <w:lang w:val="en-AU"/>
              </w:rPr>
              <w:t>3</w:t>
            </w:r>
            <w:r w:rsidRPr="00AA350F">
              <w:rPr>
                <w:rFonts w:asciiTheme="minorHAnsi" w:hAnsiTheme="minorHAnsi" w:cstheme="minorHAnsi"/>
                <w:sz w:val="20"/>
                <w:lang w:val="en-AU"/>
              </w:rPr>
              <w:t>,38)</w:t>
            </w:r>
            <w:r w:rsidRPr="00AA350F">
              <w:rPr>
                <w:rFonts w:asciiTheme="minorHAnsi" w:hAnsiTheme="minorHAnsi" w:cstheme="minorHAnsi"/>
                <w:noProof/>
                <w:sz w:val="20"/>
                <w:lang w:val="en-AU" w:eastAsia="en-AU"/>
              </w:rPr>
              <w:t xml:space="preserve"> [LOE consensus]</w:t>
            </w:r>
          </w:p>
          <w:p w:rsidRPr="00AA350F" w:rsidR="00393D09" w:rsidP="001B0E05" w:rsidRDefault="00393D09" w14:paraId="3F47E018" w14:textId="77777777">
            <w:pPr>
              <w:pStyle w:val="BodyText"/>
              <w:numPr>
                <w:ilvl w:val="0"/>
                <w:numId w:val="148"/>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lastRenderedPageBreak/>
              <w:t xml:space="preserve">This recommendation has been made as nutritional rickets remains prevalent despite attempts to target at risk populations. However, evidence to date is insufficient to determine if infants at low risk of vitamin D deficiency benefit from supplementation. </w:t>
            </w:r>
          </w:p>
          <w:p w:rsidRPr="00AA350F" w:rsidR="00393D09" w:rsidP="001B0E05" w:rsidRDefault="00393D09" w14:paraId="436CCB71" w14:textId="77777777">
            <w:pPr>
              <w:pStyle w:val="ListParagraph"/>
              <w:numPr>
                <w:ilvl w:val="0"/>
                <w:numId w:val="148"/>
              </w:numPr>
              <w:rPr>
                <w:rFonts w:asciiTheme="minorHAnsi" w:hAnsiTheme="minorHAnsi" w:cstheme="minorHAnsi"/>
                <w:sz w:val="20"/>
              </w:rPr>
            </w:pPr>
            <w:r w:rsidRPr="00AA350F">
              <w:rPr>
                <w:rFonts w:asciiTheme="minorHAnsi" w:hAnsiTheme="minorHAnsi" w:cstheme="minorHAnsi"/>
                <w:sz w:val="20"/>
              </w:rPr>
              <w:t>The adequate calcium intake for term infants based on breast milk calcium content is 200 mg/day and 260 mg/day for babies from 0–6 and 6–12 months of age, respectively. (</w:t>
            </w:r>
            <w:r>
              <w:rPr>
                <w:rFonts w:asciiTheme="minorHAnsi" w:hAnsiTheme="minorHAnsi" w:cstheme="minorHAnsi"/>
                <w:sz w:val="20"/>
              </w:rPr>
              <w:t>3</w:t>
            </w:r>
            <w:r w:rsidRPr="00AA350F">
              <w:rPr>
                <w:rFonts w:asciiTheme="minorHAnsi" w:hAnsiTheme="minorHAnsi" w:cstheme="minorHAnsi"/>
                <w:sz w:val="20"/>
              </w:rPr>
              <w:t>,38)</w:t>
            </w:r>
          </w:p>
          <w:p w:rsidRPr="00AA350F" w:rsidR="00393D09" w:rsidP="00131848" w:rsidRDefault="00393D09" w14:paraId="3FC575E8" w14:textId="77777777">
            <w:pPr>
              <w:pStyle w:val="BodyText"/>
              <w:tabs>
                <w:tab w:val="left" w:pos="1168"/>
              </w:tabs>
              <w:rPr>
                <w:rFonts w:asciiTheme="minorHAnsi" w:hAnsiTheme="minorHAnsi" w:cstheme="minorHAnsi"/>
                <w:b/>
                <w:sz w:val="20"/>
                <w:lang w:val="en-AU"/>
              </w:rPr>
            </w:pPr>
            <w:r w:rsidRPr="00AA350F">
              <w:rPr>
                <w:rFonts w:asciiTheme="minorHAnsi" w:hAnsiTheme="minorHAnsi" w:cstheme="minorHAnsi"/>
                <w:b/>
                <w:sz w:val="20"/>
                <w:lang w:val="en-AU"/>
              </w:rPr>
              <w:t>Infants at risk of vitamin D deficiency:</w:t>
            </w:r>
          </w:p>
          <w:p w:rsidRPr="00AA350F" w:rsidR="00393D09" w:rsidP="001B0E05" w:rsidRDefault="00393D09" w14:paraId="1549268B" w14:textId="77777777">
            <w:pPr>
              <w:pStyle w:val="ListParagraph"/>
              <w:numPr>
                <w:ilvl w:val="0"/>
                <w:numId w:val="149"/>
              </w:numPr>
              <w:rPr>
                <w:rFonts w:asciiTheme="minorHAnsi" w:hAnsiTheme="minorHAnsi" w:cstheme="minorHAnsi"/>
                <w:sz w:val="20"/>
              </w:rPr>
            </w:pPr>
            <w:r w:rsidRPr="00AA350F">
              <w:rPr>
                <w:rFonts w:asciiTheme="minorHAnsi" w:hAnsiTheme="minorHAnsi" w:cstheme="minorHAnsi"/>
                <w:sz w:val="20"/>
              </w:rPr>
              <w:t xml:space="preserve">Infants at increased risk of vitamin D deficiency and nutritional rickets due to: pigmentation, covering or avoidance of sun exposure, and/or latitude (insufficient UV intensity most of the year at latitudes above 52°N or below 52°S), or preterm or low birthweight delivery, or maternal vitamin D deficiency. </w:t>
            </w:r>
          </w:p>
          <w:p w:rsidRPr="00AA350F" w:rsidR="00393D09" w:rsidP="001B0E05" w:rsidRDefault="00393D09" w14:paraId="32584D22" w14:textId="77777777">
            <w:pPr>
              <w:pStyle w:val="BodyText"/>
              <w:numPr>
                <w:ilvl w:val="0"/>
                <w:numId w:val="149"/>
              </w:numPr>
              <w:tabs>
                <w:tab w:val="left" w:pos="1168"/>
              </w:tabs>
              <w:overflowPunct w:val="0"/>
              <w:autoSpaceDE w:val="0"/>
              <w:autoSpaceDN w:val="0"/>
              <w:adjustRightInd w:val="0"/>
              <w:jc w:val="left"/>
              <w:textAlignment w:val="baseline"/>
              <w:rPr>
                <w:rFonts w:asciiTheme="minorHAnsi" w:hAnsiTheme="minorHAnsi" w:cstheme="minorHAnsi"/>
                <w:b/>
                <w:sz w:val="20"/>
                <w:lang w:val="en-AU"/>
              </w:rPr>
            </w:pPr>
            <w:r w:rsidRPr="00AA350F">
              <w:rPr>
                <w:rFonts w:asciiTheme="minorHAnsi" w:hAnsiTheme="minorHAnsi" w:cstheme="minorHAnsi"/>
                <w:sz w:val="20"/>
                <w:lang w:val="en-AU"/>
              </w:rPr>
              <w:t xml:space="preserve">Infants at risk of vitamin D deficiency should receive 400 units/day vitamin D from birth to 12 months age. [LOE I, GOR B] </w:t>
            </w:r>
            <w:r w:rsidRPr="00AA350F">
              <w:rPr>
                <w:rFonts w:asciiTheme="minorHAnsi" w:hAnsiTheme="minorHAnsi" w:cstheme="minorHAnsi"/>
                <w:noProof/>
                <w:sz w:val="20"/>
                <w:lang w:val="en-AU"/>
              </w:rPr>
              <w:t>(21)</w:t>
            </w:r>
          </w:p>
          <w:p w:rsidRPr="00AA350F" w:rsidR="00393D09" w:rsidP="001B0E05" w:rsidRDefault="00393D09" w14:paraId="0093D265" w14:textId="77777777">
            <w:pPr>
              <w:pStyle w:val="BodyText"/>
              <w:numPr>
                <w:ilvl w:val="0"/>
                <w:numId w:val="149"/>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Infants born very preterm or very low birthweight should receive adequate mineral intake through use of human milk fortifiers or preterm infant formula where appropriate. The recommended intake for very low birth weight infants are: Calcium 150–220 mg/kg/day; and Phosphorous 75–140 mg/kg/day.</w:t>
            </w:r>
            <w:r w:rsidRPr="00AA350F">
              <w:rPr>
                <w:rFonts w:asciiTheme="minorHAnsi" w:hAnsiTheme="minorHAnsi" w:cstheme="minorHAnsi"/>
                <w:noProof/>
                <w:sz w:val="20"/>
                <w:lang w:val="en-AU"/>
              </w:rPr>
              <w:t>(3)</w:t>
            </w:r>
            <w:r w:rsidRPr="00AA350F">
              <w:rPr>
                <w:rFonts w:asciiTheme="minorHAnsi" w:hAnsiTheme="minorHAnsi" w:cstheme="minorHAnsi"/>
                <w:sz w:val="20"/>
                <w:lang w:val="en-AU"/>
              </w:rPr>
              <w:t xml:space="preserve"> </w:t>
            </w:r>
          </w:p>
          <w:p w:rsidRPr="00AA350F" w:rsidR="00393D09" w:rsidP="001B0E05" w:rsidRDefault="00393D09" w14:paraId="41FB1348" w14:textId="77777777">
            <w:pPr>
              <w:pStyle w:val="BodyText"/>
              <w:numPr>
                <w:ilvl w:val="0"/>
                <w:numId w:val="149"/>
              </w:numPr>
              <w:tabs>
                <w:tab w:val="left" w:pos="1168"/>
              </w:tabs>
              <w:overflowPunct w:val="0"/>
              <w:autoSpaceDE w:val="0"/>
              <w:autoSpaceDN w:val="0"/>
              <w:adjustRightInd w:val="0"/>
              <w:jc w:val="left"/>
              <w:textAlignment w:val="baseline"/>
              <w:rPr>
                <w:rFonts w:asciiTheme="minorHAnsi" w:hAnsiTheme="minorHAnsi" w:cstheme="minorHAnsi"/>
                <w:b/>
                <w:sz w:val="20"/>
                <w:lang w:val="en-AU"/>
              </w:rPr>
            </w:pPr>
            <w:r w:rsidRPr="00AA350F">
              <w:rPr>
                <w:rFonts w:asciiTheme="minorHAnsi" w:hAnsiTheme="minorHAnsi" w:cstheme="minorHAnsi"/>
                <w:sz w:val="20"/>
                <w:lang w:val="en-AU"/>
              </w:rPr>
              <w:t xml:space="preserve">The evidence is insufficient to determine if higher doses of vitamin D (&gt;400 units/day) prevent vitamin D deficiency or nutritional rickets in preterm infants with adequate mineral supplementation. </w:t>
            </w:r>
          </w:p>
          <w:p w:rsidRPr="00AA350F" w:rsidR="00393D09" w:rsidP="00131848" w:rsidRDefault="00393D09" w14:paraId="581F7989" w14:textId="77777777">
            <w:pPr>
              <w:pStyle w:val="BodyText"/>
              <w:tabs>
                <w:tab w:val="left" w:pos="1168"/>
              </w:tabs>
              <w:rPr>
                <w:rFonts w:asciiTheme="minorHAnsi" w:hAnsiTheme="minorHAnsi" w:cstheme="minorHAnsi"/>
                <w:b/>
                <w:sz w:val="20"/>
                <w:lang w:val="en-AU"/>
              </w:rPr>
            </w:pPr>
            <w:r w:rsidRPr="00AA350F">
              <w:rPr>
                <w:rFonts w:asciiTheme="minorHAnsi" w:hAnsiTheme="minorHAnsi" w:cstheme="minorHAnsi"/>
                <w:b/>
                <w:sz w:val="20"/>
                <w:lang w:val="en-AU"/>
              </w:rPr>
              <w:t>Infants with cholestasis</w:t>
            </w:r>
            <w:r w:rsidRPr="00AA350F">
              <w:rPr>
                <w:rFonts w:asciiTheme="minorHAnsi" w:hAnsiTheme="minorHAnsi" w:cstheme="minorHAnsi"/>
                <w:sz w:val="20"/>
                <w:lang w:val="en-AU"/>
              </w:rPr>
              <w:t xml:space="preserve">  </w:t>
            </w:r>
            <w:r w:rsidRPr="00AA350F">
              <w:rPr>
                <w:rFonts w:asciiTheme="minorHAnsi" w:hAnsiTheme="minorHAnsi" w:cstheme="minorHAnsi"/>
                <w:noProof/>
                <w:sz w:val="20"/>
                <w:lang w:val="en-AU"/>
              </w:rPr>
              <w:t>(</w:t>
            </w:r>
            <w:r>
              <w:rPr>
                <w:rFonts w:asciiTheme="minorHAnsi" w:hAnsiTheme="minorHAnsi" w:cstheme="minorHAnsi"/>
                <w:noProof/>
                <w:sz w:val="20"/>
                <w:lang w:val="en-AU"/>
              </w:rPr>
              <w:t>4</w:t>
            </w:r>
            <w:r w:rsidRPr="00AA350F">
              <w:rPr>
                <w:rFonts w:asciiTheme="minorHAnsi" w:hAnsiTheme="minorHAnsi" w:cstheme="minorHAnsi"/>
                <w:noProof/>
                <w:sz w:val="20"/>
                <w:lang w:val="en-AU"/>
              </w:rPr>
              <w:t>, 8)</w:t>
            </w:r>
            <w:r w:rsidRPr="00AA350F">
              <w:rPr>
                <w:rFonts w:asciiTheme="minorHAnsi" w:hAnsiTheme="minorHAnsi" w:cstheme="minorHAnsi"/>
                <w:b/>
                <w:sz w:val="20"/>
                <w:lang w:val="en-AU"/>
              </w:rPr>
              <w:t xml:space="preserve">: </w:t>
            </w:r>
          </w:p>
          <w:p w:rsidRPr="00AA350F" w:rsidR="00393D09" w:rsidP="001B0E05" w:rsidRDefault="00393D09" w14:paraId="4A8673E8" w14:textId="77777777">
            <w:pPr>
              <w:pStyle w:val="BodyText"/>
              <w:numPr>
                <w:ilvl w:val="0"/>
                <w:numId w:val="150"/>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 xml:space="preserve">Commence on </w:t>
            </w:r>
            <w:r>
              <w:rPr>
                <w:rFonts w:asciiTheme="minorHAnsi" w:hAnsiTheme="minorHAnsi" w:cstheme="minorHAnsi"/>
                <w:sz w:val="20"/>
                <w:lang w:val="en-AU"/>
              </w:rPr>
              <w:t xml:space="preserve">vitamin D3 </w:t>
            </w:r>
            <w:r w:rsidRPr="00AA350F">
              <w:rPr>
                <w:rFonts w:asciiTheme="minorHAnsi" w:hAnsiTheme="minorHAnsi" w:cstheme="minorHAnsi"/>
                <w:sz w:val="20"/>
                <w:lang w:val="en-AU"/>
              </w:rPr>
              <w:t>1200 units/day.</w:t>
            </w:r>
          </w:p>
          <w:p w:rsidRPr="00AA350F" w:rsidR="00393D09" w:rsidP="001B0E05" w:rsidRDefault="00393D09" w14:paraId="23195DC8" w14:textId="77777777">
            <w:pPr>
              <w:pStyle w:val="BodyText"/>
              <w:numPr>
                <w:ilvl w:val="0"/>
                <w:numId w:val="150"/>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Monitor every 1 to 3 months.</w:t>
            </w:r>
          </w:p>
          <w:p w:rsidRPr="00AA350F" w:rsidR="00393D09" w:rsidP="001B0E05" w:rsidRDefault="00393D09" w14:paraId="1F2F749C" w14:textId="77777777">
            <w:pPr>
              <w:pStyle w:val="BodyText"/>
              <w:numPr>
                <w:ilvl w:val="0"/>
                <w:numId w:val="150"/>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 xml:space="preserve">Increase </w:t>
            </w:r>
            <w:r>
              <w:rPr>
                <w:rFonts w:asciiTheme="minorHAnsi" w:hAnsiTheme="minorHAnsi" w:cstheme="minorHAnsi"/>
                <w:sz w:val="20"/>
                <w:lang w:val="en-AU"/>
              </w:rPr>
              <w:t>vitamin D3</w:t>
            </w:r>
            <w:r w:rsidRPr="00AA350F">
              <w:rPr>
                <w:rFonts w:asciiTheme="minorHAnsi" w:hAnsiTheme="minorHAnsi" w:cstheme="minorHAnsi"/>
                <w:sz w:val="20"/>
                <w:lang w:val="en-AU"/>
              </w:rPr>
              <w:t xml:space="preserve"> by 1200 units/day to maximum 8000 units/day to maintain vitamin D sufficiency (25OH vitamin D ≥ 50 nmol/L).</w:t>
            </w:r>
          </w:p>
          <w:p w:rsidRPr="00AA350F" w:rsidR="00393D09" w:rsidP="001B0E05" w:rsidRDefault="00393D09" w14:paraId="7A994BED" w14:textId="77777777">
            <w:pPr>
              <w:pStyle w:val="BodyText"/>
              <w:numPr>
                <w:ilvl w:val="0"/>
                <w:numId w:val="150"/>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Alternatively, calcitriol at 0.05–0.20 µg/kg daily.</w:t>
            </w:r>
            <w:r w:rsidRPr="00AA350F">
              <w:rPr>
                <w:rFonts w:asciiTheme="minorHAnsi" w:hAnsiTheme="minorHAnsi" w:cstheme="minorHAnsi"/>
                <w:b/>
                <w:sz w:val="20"/>
                <w:lang w:val="en-AU"/>
              </w:rPr>
              <w:t xml:space="preserve"> </w:t>
            </w:r>
            <w:r w:rsidRPr="00AA350F">
              <w:rPr>
                <w:rFonts w:asciiTheme="minorHAnsi" w:hAnsiTheme="minorHAnsi" w:cstheme="minorHAnsi"/>
                <w:sz w:val="20"/>
                <w:lang w:val="en-AU"/>
              </w:rPr>
              <w:t>[LOE III-3, GOR B]</w:t>
            </w:r>
          </w:p>
          <w:p w:rsidRPr="00AA350F" w:rsidR="00393D09" w:rsidP="00131848" w:rsidRDefault="00393D09" w14:paraId="6602B955" w14:textId="77777777">
            <w:pPr>
              <w:pStyle w:val="BodyText"/>
              <w:tabs>
                <w:tab w:val="left" w:pos="1168"/>
              </w:tabs>
              <w:rPr>
                <w:rFonts w:asciiTheme="minorHAnsi" w:hAnsiTheme="minorHAnsi" w:cstheme="minorHAnsi"/>
                <w:b/>
                <w:sz w:val="20"/>
                <w:lang w:val="en-AU"/>
              </w:rPr>
            </w:pPr>
            <w:r w:rsidRPr="00AA350F">
              <w:rPr>
                <w:rFonts w:asciiTheme="minorHAnsi" w:hAnsiTheme="minorHAnsi" w:cstheme="minorHAnsi"/>
                <w:b/>
                <w:sz w:val="20"/>
                <w:lang w:val="en-AU"/>
              </w:rPr>
              <w:t>Treatment of nutritional rickets</w:t>
            </w:r>
          </w:p>
          <w:p w:rsidRPr="00AA350F" w:rsidR="00393D09" w:rsidP="001B0E05" w:rsidRDefault="00393D09" w14:paraId="118CE3FF" w14:textId="77777777">
            <w:pPr>
              <w:pStyle w:val="BodyText"/>
              <w:numPr>
                <w:ilvl w:val="0"/>
                <w:numId w:val="148"/>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For treatment of nutritional rickets, the minimal recommended infant dose of vitamin D is 2000 units/day (50 micrograms) for a minimum of 3 months. (</w:t>
            </w:r>
            <w:r>
              <w:rPr>
                <w:rFonts w:asciiTheme="minorHAnsi" w:hAnsiTheme="minorHAnsi" w:cstheme="minorHAnsi"/>
                <w:sz w:val="20"/>
                <w:lang w:val="en-AU"/>
              </w:rPr>
              <w:t>3</w:t>
            </w:r>
            <w:r w:rsidRPr="00AA350F">
              <w:rPr>
                <w:rFonts w:asciiTheme="minorHAnsi" w:hAnsiTheme="minorHAnsi" w:cstheme="minorHAnsi"/>
                <w:sz w:val="20"/>
                <w:lang w:val="en-AU"/>
              </w:rPr>
              <w:t>,38)</w:t>
            </w:r>
            <w:r w:rsidRPr="00AA350F">
              <w:rPr>
                <w:rFonts w:asciiTheme="minorHAnsi" w:hAnsiTheme="minorHAnsi" w:cstheme="minorHAnsi"/>
                <w:noProof/>
                <w:sz w:val="20"/>
                <w:lang w:val="en-AU" w:eastAsia="en-AU"/>
              </w:rPr>
              <w:t xml:space="preserve"> [LOE II, GOR B]</w:t>
            </w:r>
          </w:p>
          <w:p w:rsidRPr="00AA350F" w:rsidR="00393D09" w:rsidP="001B0E05" w:rsidRDefault="00393D09" w14:paraId="6513799D" w14:textId="77777777">
            <w:pPr>
              <w:pStyle w:val="BodyText"/>
              <w:numPr>
                <w:ilvl w:val="0"/>
                <w:numId w:val="148"/>
              </w:numPr>
              <w:tabs>
                <w:tab w:val="left" w:pos="1168"/>
              </w:tabs>
              <w:overflowPunct w:val="0"/>
              <w:autoSpaceDE w:val="0"/>
              <w:autoSpaceDN w:val="0"/>
              <w:adjustRightInd w:val="0"/>
              <w:jc w:val="left"/>
              <w:textAlignment w:val="baseline"/>
              <w:rPr>
                <w:rFonts w:asciiTheme="minorHAnsi" w:hAnsiTheme="minorHAnsi" w:cstheme="minorHAnsi"/>
                <w:sz w:val="20"/>
                <w:lang w:val="en-AU"/>
              </w:rPr>
            </w:pPr>
            <w:r w:rsidRPr="00AA350F">
              <w:rPr>
                <w:rFonts w:asciiTheme="minorHAnsi" w:hAnsiTheme="minorHAnsi" w:cstheme="minorHAnsi"/>
                <w:sz w:val="20"/>
                <w:lang w:val="en-AU"/>
              </w:rPr>
              <w:t>Oral calcium, 500 mg/day, either as dietary intake or supplements, should be routinely used in conjunction with vitamin D in the treatment regardless of age or weight. (</w:t>
            </w:r>
            <w:r>
              <w:rPr>
                <w:rFonts w:asciiTheme="minorHAnsi" w:hAnsiTheme="minorHAnsi" w:cstheme="minorHAnsi"/>
                <w:sz w:val="20"/>
                <w:lang w:val="en-AU"/>
              </w:rPr>
              <w:t>3</w:t>
            </w:r>
            <w:r w:rsidRPr="00AA350F">
              <w:rPr>
                <w:rFonts w:asciiTheme="minorHAnsi" w:hAnsiTheme="minorHAnsi" w:cstheme="minorHAnsi"/>
                <w:sz w:val="20"/>
                <w:lang w:val="en-AU"/>
              </w:rPr>
              <w:t>,38)</w:t>
            </w:r>
            <w:r w:rsidRPr="00AA350F">
              <w:rPr>
                <w:rFonts w:asciiTheme="minorHAnsi" w:hAnsiTheme="minorHAnsi" w:cstheme="minorHAnsi"/>
                <w:noProof/>
                <w:sz w:val="20"/>
                <w:lang w:val="en-AU" w:eastAsia="en-AU"/>
              </w:rPr>
              <w:t xml:space="preserve"> [LOE I, GOR B]</w:t>
            </w:r>
          </w:p>
        </w:tc>
      </w:tr>
      <w:tr w:rsidRPr="00AA350F" w:rsidR="00393D09" w:rsidTr="004F7403" w14:paraId="4F9A64F6" w14:textId="77777777">
        <w:trPr>
          <w:trHeight w:val="70"/>
        </w:trPr>
        <w:tc>
          <w:tcPr>
            <w:tcW w:w="1844" w:type="dxa"/>
          </w:tcPr>
          <w:p w:rsidRPr="00AA350F" w:rsidR="00393D09" w:rsidP="00131848" w:rsidRDefault="00393D09" w14:paraId="625277E3" w14:textId="77777777">
            <w:pPr>
              <w:pStyle w:val="BodyText"/>
              <w:rPr>
                <w:rFonts w:asciiTheme="minorHAnsi" w:hAnsiTheme="minorHAnsi" w:cstheme="minorHAnsi"/>
                <w:b/>
                <w:bCs/>
                <w:sz w:val="20"/>
                <w:lang w:val="en-AU"/>
              </w:rPr>
            </w:pPr>
            <w:r w:rsidRPr="00AA350F">
              <w:rPr>
                <w:rFonts w:asciiTheme="minorHAnsi" w:hAnsiTheme="minorHAnsi" w:cstheme="minorHAnsi"/>
                <w:b/>
                <w:sz w:val="20"/>
                <w:lang w:val="en-AU"/>
              </w:rPr>
              <w:lastRenderedPageBreak/>
              <w:t>References</w:t>
            </w:r>
          </w:p>
        </w:tc>
        <w:tc>
          <w:tcPr>
            <w:tcW w:w="7938" w:type="dxa"/>
          </w:tcPr>
          <w:p w:rsidRPr="00393D09" w:rsidR="00393D09" w:rsidP="001B0E05" w:rsidRDefault="00393D09" w14:paraId="10CE3B79"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South Australian Neonatal Medication Guidelines. Nutrient delivery comparison tables: Preterm Infants. 2019. https://www.sahealth.sa.gov.au/wps/wcm/connect/14e027d5-a21b-40d1-84e8-3b03d9b1bc8a/Nutrient+delivery+comparison+tables_Preterm+Infants_Neo_v1.0.pdf?MOD=AJPERES&amp;amp;CACHEID=ROOTWORKSPACE-14e027d5-a21b-40d1-84e8-3b03d9b1bc8a-n5hZXZA. Accessed 01/09/2020.</w:t>
            </w:r>
          </w:p>
          <w:p w:rsidRPr="00393D09" w:rsidR="00393D09" w:rsidP="001B0E05" w:rsidRDefault="00393D09" w14:paraId="52CC5C09"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Munns C F, Shaw N, Kiely M. Global Consensus Recommendations on Prevention and Management of Nutritional Rickets. Journal of Clinical Endocrinology and Metabolism. 2016;101(2):394-415.</w:t>
            </w:r>
          </w:p>
          <w:p w:rsidRPr="00393D09" w:rsidR="00393D09" w:rsidP="001B0E05" w:rsidRDefault="00393D09" w14:paraId="04F39F43"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Abrams SA, Bhatia JJS, Corkins MR, De Ferranti SD, Golden NH, Silverstein J, et al. Calcium and vitamin D requirements of enterally fed preterm infants. Pediatrics. 2013;131(5):e1676-e83.</w:t>
            </w:r>
          </w:p>
          <w:p w:rsidRPr="00393D09" w:rsidR="00393D09" w:rsidP="001B0E05" w:rsidRDefault="00393D09" w14:paraId="11318697"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Shneider BL, Magee JC, Bezerra JA, Haber B, Karpen SJ, Raghunathan T, et al. Efficacy of fat-soluble vitamin supplementation in infants with biliary atresia. Pediatrics. 2012;130(3):e607-14.</w:t>
            </w:r>
          </w:p>
          <w:p w:rsidRPr="00393D09" w:rsidR="00393D09" w:rsidP="001B0E05" w:rsidRDefault="00393D09" w14:paraId="3404F9A4"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Nair P, Venkatesh B, Hoechter DJ, Buscher H, Kerr S, Center JR, et al. Vitamin D Status and Supplementation in Adult Patients Receiving Extracorporeal Membrane Oxygenation. Anaesthesia and Intensive Care. 2018;46(6):589-95.</w:t>
            </w:r>
          </w:p>
          <w:p w:rsidRPr="00393D09" w:rsidR="00393D09" w:rsidP="001B0E05" w:rsidRDefault="00393D09" w14:paraId="3DE9D78E"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Hahn D, Hodson EM, Craig JC. Interventions for metabolic bone disease in children with chronic kidney disease. Cochrane Database of Systematic Reviews. 2015(11).</w:t>
            </w:r>
          </w:p>
          <w:p w:rsidRPr="00393D09" w:rsidR="00393D09" w:rsidP="001B0E05" w:rsidRDefault="00393D09" w14:paraId="4EFF274B"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Kalantar-Zadeh K, Fouque D. Nutritional management of chronic kidney disease. New England Journal of Medicine. 2017;377(18):1765-76.</w:t>
            </w:r>
          </w:p>
          <w:p w:rsidRPr="00393D09" w:rsidR="00393D09" w:rsidP="001B0E05" w:rsidRDefault="00393D09" w14:paraId="2D9357BE"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Lane E, Murray KF. Neonatal Cholestasis. Pediatr Clin North Am. 2017;64(3):621-39.</w:t>
            </w:r>
          </w:p>
          <w:p w:rsidRPr="00393D09" w:rsidR="00393D09" w:rsidP="001B0E05" w:rsidRDefault="00393D09" w14:paraId="0899D24B"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Pohlandt F. Prevention of postnatal bone demineralization in very low-birth-weight infants by individually monitored supplementation with calcium and phosphorus. Pediatric Research. 1994;35(1):125-9.</w:t>
            </w:r>
          </w:p>
          <w:p w:rsidRPr="00393D09" w:rsidR="00393D09" w:rsidP="001B0E05" w:rsidRDefault="00393D09" w14:paraId="1025388D"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Gallo S, Comeau K, Vanstone C, Agellon S, Sharma A, Jones G, et al. Effect of different dosages of oral vitamin D supplementation on vitamin D status in healthy, breastfed infants: a randomized trial. JAMA - journal of the american medical association DBP - EDAT: 2013/05/02 06:00. 2013;309(17):1785-92 MISC4.</w:t>
            </w:r>
          </w:p>
          <w:p w:rsidRPr="00393D09" w:rsidR="00393D09" w:rsidP="001B0E05" w:rsidRDefault="00393D09" w14:paraId="7EF740A0"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Zeghoud F, Ben-Mekhbi H, Djeghri N, Garabedian M. Vitamin D prophylaxis during infancy: comparison of the long-term effects of three intermittent doses (15, 5, or 2.5 mg) on 25-hydroxyvitamin D concentrations. Am J Clin Nutr. 1994;60(3):393-6.</w:t>
            </w:r>
          </w:p>
          <w:p w:rsidRPr="00393D09" w:rsidR="00393D09" w:rsidP="001B0E05" w:rsidRDefault="00393D09" w14:paraId="6E773E4C"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vi Streym S, Hojskov CS, Moller UK, Heickendorff L, Vestergaard P, Mosekilde L, et al. Vitamin D content in human breast milk: a 9-mo follow-up study. American Journal of Clinical Nutrition. 2016;103(1):107-14.</w:t>
            </w:r>
          </w:p>
          <w:p w:rsidRPr="00393D09" w:rsidR="00393D09" w:rsidP="001B0E05" w:rsidRDefault="00393D09" w14:paraId="6F9DD355"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lastRenderedPageBreak/>
              <w:t>Drugs and Lactation Database (LactMed) [Internet]. Bethesda (MD): National Library of Medicine (US); 2006-. Vitamin D. [Updated 2020 Apr 20]. Bookshelf URL: https://www.ncbi.nlm.nih.gov/books/. 2020.</w:t>
            </w:r>
          </w:p>
          <w:p w:rsidRPr="00393D09" w:rsidR="00393D09" w:rsidP="001B0E05" w:rsidRDefault="00393D09" w14:paraId="14C1491C"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Gomes FP, Shaw PN, Whitfield K, Koorts P, McConachy H, Hewavitharana AK. Effect of pasteurisation on the concentrations of vitamin D compounds in donor breastmilk. Int J Food Sci Nutr. 2016;67(1):16-9.</w:t>
            </w:r>
          </w:p>
          <w:p w:rsidRPr="00393D09" w:rsidR="00393D09" w:rsidP="001B0E05" w:rsidRDefault="00393D09" w14:paraId="561E79EF"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Haggerty Linda L. Maternal Supplementation for Prevention and Treatment of Vitamin D Deficiency in Exclusively Breastfed Infants. Breastfeeding Medicine. 2010;6:137-44.</w:t>
            </w:r>
          </w:p>
          <w:p w:rsidRPr="00393D09" w:rsidR="00393D09" w:rsidP="001B0E05" w:rsidRDefault="00393D09" w14:paraId="6A38999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Shore Richard M, Chesney Russell W. Rickets: Part I. Pediatric Radiology. 2013;43:140-51.</w:t>
            </w:r>
          </w:p>
          <w:p w:rsidRPr="00393D09" w:rsidR="00393D09" w:rsidP="001B0E05" w:rsidRDefault="00393D09" w14:paraId="186938E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Shore RM, Chesney RW. Rickets: Part II. Pediatric radiology. 2013;43(2):152-72.</w:t>
            </w:r>
          </w:p>
          <w:p w:rsidRPr="00393D09" w:rsidR="00393D09" w:rsidP="001B0E05" w:rsidRDefault="00393D09" w14:paraId="17B8EA36"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Haggerty LL. Maternal supplementation for prevention and treatment of vitamin d deficiency in exclusively breastfed infants. Breastfeeding Medicine. 2011;6(3):137-44.</w:t>
            </w:r>
          </w:p>
          <w:p w:rsidRPr="00393D09" w:rsidR="00393D09" w:rsidP="001B0E05" w:rsidRDefault="00393D09" w14:paraId="2BFDC97F"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Moon R J, Harvey N C, Davies J H, Cooper C. Vitamin D and skeletal health in infancy and childhood. Osteoporosis International. 2014;25:2673-84.</w:t>
            </w:r>
          </w:p>
          <w:p w:rsidRPr="00393D09" w:rsidR="00393D09" w:rsidP="001B0E05" w:rsidRDefault="00393D09" w14:paraId="4227E999"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Munns CF, Simm PJ, Rodda CP, Garnett SP, Zacharin MR, Ward LM, et al. Incidence of vitamin D deficiency rickets among Australian children: an Australian Paediatric Surveillance Unit study. The Medical journal of Australia. 2012;196(7):466-8.</w:t>
            </w:r>
          </w:p>
          <w:p w:rsidRPr="00393D09" w:rsidR="00393D09" w:rsidP="001B0E05" w:rsidRDefault="00393D09" w14:paraId="103971F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Tan ML, Abrams SA, Osborn DA. Vitamin D supplementation for term breastfed infants to prevent vitamin D deficiency and improve bone health. Cochrane Database of Systematic Reviews. 2020(6).</w:t>
            </w:r>
          </w:p>
          <w:p w:rsidRPr="00393D09" w:rsidR="00393D09" w:rsidP="001B0E05" w:rsidRDefault="00393D09" w14:paraId="06D5F357"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Ala-Houhala M. 25-Hydroxyvitamin D levels during breast-feeding with or without maternal or infantile supplementation of vitamin D. Journal of pediatric gastroenterology and nutrition. 1985;4(2):220-6.</w:t>
            </w:r>
          </w:p>
          <w:p w:rsidRPr="00393D09" w:rsidR="00393D09" w:rsidP="001B0E05" w:rsidRDefault="00393D09" w14:paraId="58E50594"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Alonso A, Rodriguez J, Carvajal I, Prieto MA, Rodriguez RM, Perez AM, et al. Prophylactic vitamin D in healthy infants: assessing the need. Metabolism: clinical and experimental. 2011;60(12):1719-25.</w:t>
            </w:r>
          </w:p>
          <w:p w:rsidRPr="00393D09" w:rsidR="00393D09" w:rsidP="001B0E05" w:rsidRDefault="00393D09" w14:paraId="6513E8B6"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Chandy DD, Kare J, Singh SN, Agarwal A, Das V, Singh U, et al. Effect of vitamin D supplementation, directly or via breast milk for term infants, on serum 25 hydroxyvitamin D and related biochemistry, and propensity to infection: a randomised placebo-controlled trial. The British journal of nutrition. 2016;116(1):52-8.</w:t>
            </w:r>
          </w:p>
          <w:p w:rsidRPr="00393D09" w:rsidR="00393D09" w:rsidP="001B0E05" w:rsidRDefault="00393D09" w14:paraId="47D3882D"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Greer FR, Marshall S. Bone mineral content, serum vitamin D metabolite concentrations, and ultraviolet B light exposure in infants fed human milk with and without vitamin D2 supplements. The Journal of pediatrics. 1989;114(2):204-12.</w:t>
            </w:r>
          </w:p>
          <w:p w:rsidRPr="00393D09" w:rsidR="00393D09" w:rsidP="001B0E05" w:rsidRDefault="00393D09" w14:paraId="191BFC11"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Greer FR, Searcy JE, Levin RS, Steichen JJ, Asch PS, Tsang RC. Bone mineral content and serum 25-hydroxyvitamin D concentration in breast-fed infants with and without supplemental vitamin D. The Journal of pediatrics. 1981;98(5):696-701.</w:t>
            </w:r>
          </w:p>
          <w:p w:rsidRPr="00393D09" w:rsidR="00393D09" w:rsidP="001B0E05" w:rsidRDefault="00393D09" w14:paraId="61A1EA3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Greer FR, Searcy JE, Levin RS, Steichen JJ, Steichen-Asche PS, Tsang RC. Bone mineral content and serum 25-hydroxyvitamin D concentrations in breast-fed infants with and without supplemental vitamin D: one-year follow-up. The Journal of pediatrics. 1982;100(6):919-22.</w:t>
            </w:r>
          </w:p>
          <w:p w:rsidRPr="00393D09" w:rsidR="00393D09" w:rsidP="001B0E05" w:rsidRDefault="00393D09" w14:paraId="1BA36294"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Hibbs AM, Ross K, Kerns LA, Wagner C, Fuloria M, Groh-Wargo S, et al. Effect of Vitamin D supplementation on recurrent wheezing in black infants who were born preterm the D-Wheeze randomized clinical trial. JAMA - Journal of the American Medical Association. 2018;319(20):2086-94.</w:t>
            </w:r>
          </w:p>
          <w:p w:rsidRPr="00393D09" w:rsidR="00393D09" w:rsidP="001B0E05" w:rsidRDefault="00393D09" w14:paraId="66098162"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Madar AA, Klepp KI, Meyer HE. Effect of free vitamin D(2) drops on serum 25-hydroxyvitamin D in infants with immigrant origin: a cluster randomized controlled trial. European journal of clinical nutrition. 2009;63(4):478-84.</w:t>
            </w:r>
          </w:p>
          <w:p w:rsidRPr="00393D09" w:rsidR="00393D09" w:rsidP="001B0E05" w:rsidRDefault="00393D09" w14:paraId="15B5809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Moodley A, Spector SA. Single high-dose vitamin D at birth corrects vitamin D deficiency in infants in Mexico. International journal of food sciences and nutrition. 2015;66(3):336-41.</w:t>
            </w:r>
          </w:p>
          <w:p w:rsidRPr="00393D09" w:rsidR="00393D09" w:rsidP="001B0E05" w:rsidRDefault="00393D09" w14:paraId="6F130196"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Ponnapakkam T, Bradford E, Gensure R. Vitamin D supplementation in breastfed infants: Results of a prospective trial in the southern United States. Journal of Bone and Mineral Research. 2010;25(SUPPL. 1):S232.</w:t>
            </w:r>
          </w:p>
          <w:p w:rsidRPr="00393D09" w:rsidR="00393D09" w:rsidP="001B0E05" w:rsidRDefault="00393D09" w14:paraId="4730C470"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Ponnapakkam T, Bradford E, Gensure R. A treatment trial of vitamin D supplementation in breast-fed infants: universal supplementation is not necessary for rickets prevention in Southern Louisiana. Clinical pediatrics. 2010;49(11):1053-60.</w:t>
            </w:r>
          </w:p>
          <w:p w:rsidRPr="00393D09" w:rsidR="00393D09" w:rsidP="001B0E05" w:rsidRDefault="00393D09" w14:paraId="34ECDAB9"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Rothberg AD, Pettifor JM, Cohen DF. Maternal-infant vitamin D relationships during breast-feeding. Journal of Pediatrics. 1982;101(4):500-3.</w:t>
            </w:r>
          </w:p>
          <w:p w:rsidRPr="00393D09" w:rsidR="00393D09" w:rsidP="001B0E05" w:rsidRDefault="00393D09" w14:paraId="7D8FC37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Rueter K, Jones AP, Siafarikas A, Lim EM, Bear N, Noakes PS, et al. Direct infant UV light exposure is associated with eczema and immune development. Journal of Allergy and Clinical Immunology. 2019;143(3):1012-20.e2.</w:t>
            </w:r>
          </w:p>
          <w:p w:rsidRPr="00393D09" w:rsidR="00393D09" w:rsidP="001B0E05" w:rsidRDefault="00393D09" w14:paraId="0F4AD1C0"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Shakiba M, Sadr S, Nefei Z, Mozaffari-Khosravi H, Lotfi MH, Bemanian MH. Combination of bolus dose vitamin D with routine vaccination in infants: a randomised trial. Singapore medical journal. 2010;51(5):440-5.</w:t>
            </w:r>
          </w:p>
          <w:p w:rsidRPr="00393D09" w:rsidR="00393D09" w:rsidP="001B0E05" w:rsidRDefault="00393D09" w14:paraId="445D6FAB"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Siafarikas A, Piazena H, Feister U, Bulsara MK, Meffert H, Hesse V. Randomised controlled trial analysing supplementation with 250 versus 500 units of vitamin D3, sun exposure and surrounding factors in breastfed infants. Archives of disease in childhood. 2011;96(1):91-5.</w:t>
            </w:r>
          </w:p>
          <w:p w:rsidRPr="00393D09" w:rsidR="00393D09" w:rsidP="001B0E05" w:rsidRDefault="00393D09" w14:paraId="4F91C072"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Tomimoto K. A study of vitamin D supplementation in breast fed infant with vitamin D defficiency. The Journal of the Japan Pediatric Society. 2018;122(11):1683-91.</w:t>
            </w:r>
          </w:p>
          <w:p w:rsidRPr="00393D09" w:rsidR="00393D09" w:rsidP="001B0E05" w:rsidRDefault="00393D09" w14:paraId="2590C0A3"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Ziegler EE, Nelson SE, Jeter JM. Vitamin D supplementation of breastfed infants: a randomized dose-response trial. Pediatric research. 2014;76(2):177-83.</w:t>
            </w:r>
          </w:p>
          <w:p w:rsidRPr="00393D09" w:rsidR="00393D09" w:rsidP="001B0E05" w:rsidRDefault="00393D09" w14:paraId="3D3B0448"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Rosendahl J, Valkama S, Holmlund-Suila E, Enlund-Cerullo M, Hauta-Alus H, Helve O, et al. Effect of Higher vs Standard Dosage of Vitamin D3 Supplementation on Bone Strength and Infection in Healthy Infants: A Randomized Clinical Trial. Jama, Pediatr. 2018;172(7):646-54.</w:t>
            </w:r>
          </w:p>
          <w:p w:rsidRPr="00393D09" w:rsidR="00393D09" w:rsidP="001B0E05" w:rsidRDefault="00393D09" w14:paraId="1C201A8C"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Pharande P, Pammi M, Collins CT, Zhou SJ, Abrams SA. Vitamin D supplementation for prevention of vitamin D deficiency in preterm and low birth weight infants. Cochrane Database of Systematic Reviews. 2015(2).</w:t>
            </w:r>
          </w:p>
          <w:p w:rsidRPr="00393D09" w:rsidR="00393D09" w:rsidP="001B0E05" w:rsidRDefault="00393D09" w14:paraId="16A71EEA"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Abdel-Hady H, Yahia S, Megahed A, Mosbah A, Seif B, Nageh E, et al. Mediators in Preterm Infants With Late-onset Sepsis: A Randomized Controlled Trial. Journal of pediatric gastroenterology and nutrition. 2019;68(4):578-84.</w:t>
            </w:r>
          </w:p>
          <w:p w:rsidRPr="00393D09" w:rsidR="00393D09" w:rsidP="001B0E05" w:rsidRDefault="00393D09" w14:paraId="2459B760"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lastRenderedPageBreak/>
              <w:t>Al-Beltagi M, Rowiesha M, Elmashad A, Elrifaey SM, Elhorany H, Koura HG. Vitamin D status in preterm neonates and the effects of its supplementation on respiratory distress syndrome. Pediatric Pulmonology. 2020;55(1):108-15.</w:t>
            </w:r>
          </w:p>
          <w:p w:rsidRPr="00393D09" w:rsidR="00393D09" w:rsidP="001B0E05" w:rsidRDefault="00393D09" w14:paraId="20DC927A"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Alizadeh Taheri P, Sajjadian N, Beyrami B, Shariat M. Prophylactic effect of low dose vitamin D in osteopenia of prematurity: a clinical trial study. Acta Med Iran. 2014;52(9):671-4.</w:t>
            </w:r>
          </w:p>
          <w:p w:rsidRPr="00393D09" w:rsidR="00393D09" w:rsidP="001B0E05" w:rsidRDefault="00393D09" w14:paraId="48EC196D"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Anderson-Berry A, Thoene M, Wagner J, Lyden E, Jones G, Kaufmann M, et al. Randomized trial of two doses of vitamin D3 in preterm infants &lt;32 weeks: Dose impact on achieving desired serum 25(OH)D3 in a NICU population. PLoS One. 2017;12(10):e0185950.</w:t>
            </w:r>
          </w:p>
          <w:p w:rsidRPr="00393D09" w:rsidR="00393D09" w:rsidP="001B0E05" w:rsidRDefault="00393D09" w14:paraId="249852E6"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Backstrom MC, Maki R, Kuusela AL, Sievanen H, Koivisto AM, Koskinen M, et al. The long-term effect of early mineral, vitamin D, and breast milk intake on bone mineral status in 9- to 11-year-old children born prematurely. Journal of pediatric gastroenterology and nutrition. 1999;29(5):575-82.</w:t>
            </w:r>
          </w:p>
          <w:p w:rsidRPr="00393D09" w:rsidR="00393D09" w:rsidP="001B0E05" w:rsidRDefault="00393D09" w14:paraId="02B11567"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Kishore SS, Gadiraju M. Study of daily vitamin D supplementation in preterm infants: A randomized trial. Journal of Pediatric Gastroenterology and Nutrition. 2019;68 (Supplement 1):1167.</w:t>
            </w:r>
          </w:p>
          <w:p w:rsidRPr="00393D09" w:rsidR="00393D09" w:rsidP="001B0E05" w:rsidRDefault="00393D09" w14:paraId="5E8ECDB5"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Koo W, Walyat N. Vitamin D and Skeletal Growth and Development. Current Osteoporosis Reports. 2013;11:188-93.</w:t>
            </w:r>
          </w:p>
          <w:p w:rsidRPr="00393D09" w:rsidR="00393D09" w:rsidP="001B0E05" w:rsidRDefault="00393D09" w14:paraId="277688ED"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Mathur NB, Saini A, Mishra TK. Assessment of adequacy of supplementation of vitamin D in very low birth weight preterm neonates: A randomized controlled trial. Journal of Tropical Pediatrics. 2016;62(6):429-35.</w:t>
            </w:r>
          </w:p>
          <w:p w:rsidRPr="00393D09" w:rsidR="00393D09" w:rsidP="001B0E05" w:rsidRDefault="00393D09" w14:paraId="096FB35C"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Natarajan CK, Sankar MJ, Agarwal R, Pratap OT, Jain V, Gupta N, et al. Trial of daily vitamin D supplementation in preterm infants. Pediatrics. 2014;133(3):e628-e34.</w:t>
            </w:r>
          </w:p>
          <w:p w:rsidRPr="00393D09" w:rsidR="00393D09" w:rsidP="001B0E05" w:rsidRDefault="00393D09" w14:paraId="1D4079EF"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Pittard IWB, Geddes KM, Hulsey TC, Hollis BW. How much vitamin D for neonates? American Journal of Diseases of Children. 1991;145(10):1147-9.</w:t>
            </w:r>
          </w:p>
          <w:p w:rsidRPr="00393D09" w:rsidR="00393D09" w:rsidP="001B0E05" w:rsidRDefault="00393D09" w14:paraId="4D92916D"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Tergestina M, Rebekah G, Job V, Simon A, Thomas N. A randomized double-blind controlled trial comparing two regimens of Vitamin D supplementation in preterm neonates. Journal of Perinatology. 2016;36(9):763-7.</w:t>
            </w:r>
          </w:p>
          <w:p w:rsidRPr="00393D09" w:rsidR="00393D09" w:rsidP="001B0E05" w:rsidRDefault="00393D09" w14:paraId="0AE1E701"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Chibuzor MT, Graham-Kalio D, Osaji JO, Meremikwu MM. Vitamin D, calcium or a combination of vitamin D and calcium for the treatment of nutritional rickets in children. Cochrane Database of Systematic Reviews. 2020;2020 (4) (no pagination)(CD012581).</w:t>
            </w:r>
          </w:p>
          <w:p w:rsidRPr="00393D09" w:rsidR="00393D09" w:rsidP="001B0E05" w:rsidRDefault="00393D09" w14:paraId="1767D421"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Dani C, Pratesi S, Raimondi F, Romagnoli C, Task Force for Hyperbilirubinemia of the Italian Society of N. Italian guidelines for the management and treatment of neonatal cholestasis. Ital J Pediatr. 2015;41:69.</w:t>
            </w:r>
          </w:p>
          <w:p w:rsidRPr="00393D09" w:rsidR="00393D09" w:rsidP="001B0E05" w:rsidRDefault="00393D09" w14:paraId="0541A366"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Bhatia V, Bavdekar A, Matthai J, Waikar Y, Sibal A. Management of neonatal cholestasis: consensus statement of the Pediatric Gastroenterology Chapter of Indian Academy of Pediatrics. Indian Pediatr. 2014;51(3):203-10.</w:t>
            </w:r>
          </w:p>
          <w:p w:rsidRPr="00393D09" w:rsidR="00393D09" w:rsidP="001B0E05" w:rsidRDefault="00393D09" w14:paraId="42263661"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Bouillon R. Comparative analysis of nutritional guidelines for vitamin D. Nature Reviews Endocrinology. 2017;13(8):466-79.</w:t>
            </w:r>
          </w:p>
          <w:p w:rsidRPr="00393D09" w:rsidR="00393D09" w:rsidP="001B0E05" w:rsidRDefault="00393D09" w14:paraId="4F00F52A" w14:textId="77777777">
            <w:pPr>
              <w:pStyle w:val="ListParagraph"/>
              <w:numPr>
                <w:ilvl w:val="0"/>
                <w:numId w:val="151"/>
              </w:numPr>
              <w:ind w:left="284" w:hanging="284"/>
              <w:rPr>
                <w:rFonts w:asciiTheme="minorHAnsi" w:hAnsiTheme="minorHAnsi" w:cstheme="minorHAnsi"/>
                <w:sz w:val="16"/>
                <w:szCs w:val="16"/>
              </w:rPr>
            </w:pPr>
            <w:r w:rsidRPr="00393D09">
              <w:rPr>
                <w:rFonts w:asciiTheme="minorHAnsi" w:hAnsiTheme="minorHAnsi" w:cstheme="minorHAnsi"/>
                <w:sz w:val="16"/>
                <w:szCs w:val="16"/>
              </w:rPr>
              <w:t>Bischoff-Ferrari HA, Shao A, Dawson-Hughes B, Hathcock J, Giovannucci E, Willett WC. Benefit-risk assessment of vitamin D supplementation. Osteoporosis International. 2010;21(7):1121-32.</w:t>
            </w:r>
          </w:p>
          <w:p w:rsidRPr="00AA350F" w:rsidR="00393D09" w:rsidP="001B0E05" w:rsidRDefault="00393D09" w14:paraId="72CA227F" w14:textId="77777777">
            <w:pPr>
              <w:pStyle w:val="ListParagraph"/>
              <w:numPr>
                <w:ilvl w:val="0"/>
                <w:numId w:val="151"/>
              </w:numPr>
              <w:ind w:left="284" w:hanging="284"/>
              <w:rPr>
                <w:rFonts w:asciiTheme="minorHAnsi" w:hAnsiTheme="minorHAnsi" w:cstheme="minorHAnsi"/>
                <w:sz w:val="20"/>
              </w:rPr>
            </w:pPr>
            <w:r w:rsidRPr="00393D09">
              <w:rPr>
                <w:rFonts w:asciiTheme="minorHAnsi" w:hAnsiTheme="minorHAnsi" w:cstheme="minorHAnsi"/>
                <w:sz w:val="16"/>
                <w:szCs w:val="16"/>
              </w:rPr>
              <w:t>Hathcock JN, Shao A, Vieth R, Heaney R. Risk assessment for vitamin D. American Journal of Clinical Nutrition. 2007;85(1):6-18.</w:t>
            </w:r>
          </w:p>
        </w:tc>
      </w:tr>
    </w:tbl>
    <w:p w:rsidR="00093DC1" w:rsidP="006F0321" w:rsidRDefault="00093DC1" w14:paraId="4A167F70" w14:textId="3966013C"/>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5F43A2" w:rsidR="00705C01" w:rsidTr="00131848" w14:paraId="6392AD09" w14:textId="77777777">
        <w:tc>
          <w:tcPr>
            <w:tcW w:w="4535" w:type="dxa"/>
            <w:vAlign w:val="center"/>
          </w:tcPr>
          <w:p w:rsidRPr="007245EB" w:rsidR="00705C01" w:rsidP="00131848" w:rsidRDefault="00705C01" w14:paraId="5E64CBE1" w14:textId="5FFDC870">
            <w:r w:rsidRPr="007245EB">
              <w:t xml:space="preserve">Original version Date: </w:t>
            </w:r>
            <w:r w:rsidR="004F7403">
              <w:t>9-6-2021</w:t>
            </w:r>
          </w:p>
        </w:tc>
        <w:tc>
          <w:tcPr>
            <w:tcW w:w="4535" w:type="dxa"/>
            <w:vAlign w:val="center"/>
          </w:tcPr>
          <w:p w:rsidRPr="007245EB" w:rsidR="00705C01" w:rsidP="00131848" w:rsidRDefault="00705C01" w14:paraId="5BEE6482" w14:textId="77777777">
            <w:r w:rsidRPr="007245EB">
              <w:t>Author: NMF Consensus Group</w:t>
            </w:r>
          </w:p>
        </w:tc>
      </w:tr>
      <w:tr w:rsidRPr="005F43A2" w:rsidR="00705C01" w:rsidTr="00131848" w14:paraId="2FEF6BAE" w14:textId="77777777">
        <w:tc>
          <w:tcPr>
            <w:tcW w:w="4535" w:type="dxa"/>
            <w:vAlign w:val="center"/>
          </w:tcPr>
          <w:p w:rsidRPr="007245EB" w:rsidR="00705C01" w:rsidP="00131848" w:rsidRDefault="00705C01" w14:paraId="0D051BFF" w14:textId="77777777">
            <w:pPr>
              <w:rPr>
                <w:bCs/>
              </w:rPr>
            </w:pPr>
            <w:r w:rsidRPr="007245EB">
              <w:t>Current Version number:  1.0</w:t>
            </w:r>
          </w:p>
        </w:tc>
        <w:tc>
          <w:tcPr>
            <w:tcW w:w="4535" w:type="dxa"/>
            <w:vAlign w:val="center"/>
          </w:tcPr>
          <w:p w:rsidRPr="007245EB" w:rsidR="00705C01" w:rsidP="00131848" w:rsidRDefault="00705C01" w14:paraId="180FC46E" w14:textId="1099CC6D">
            <w:r w:rsidRPr="007245EB">
              <w:t xml:space="preserve">Current Version Date:  </w:t>
            </w:r>
            <w:r w:rsidR="004F7403">
              <w:t>9-6-2021</w:t>
            </w:r>
          </w:p>
        </w:tc>
      </w:tr>
      <w:tr w:rsidRPr="005F43A2" w:rsidR="00705C01" w:rsidTr="00131848" w14:paraId="6BA42317" w14:textId="77777777">
        <w:tc>
          <w:tcPr>
            <w:tcW w:w="4535" w:type="dxa"/>
            <w:vAlign w:val="center"/>
          </w:tcPr>
          <w:p w:rsidRPr="007245EB" w:rsidR="00705C01" w:rsidP="00131848" w:rsidRDefault="00705C01" w14:paraId="0F02C323" w14:textId="0A31B768">
            <w:r w:rsidRPr="007245EB">
              <w:t xml:space="preserve">Risk Rating: </w:t>
            </w:r>
            <w:r w:rsidR="004F7403">
              <w:t>Low</w:t>
            </w:r>
          </w:p>
        </w:tc>
        <w:tc>
          <w:tcPr>
            <w:tcW w:w="4535" w:type="dxa"/>
            <w:vAlign w:val="center"/>
          </w:tcPr>
          <w:p w:rsidRPr="007245EB" w:rsidR="00705C01" w:rsidP="00131848" w:rsidRDefault="00705C01" w14:paraId="7804CFC8" w14:textId="4AB6FE61">
            <w:r w:rsidRPr="007245EB">
              <w:t xml:space="preserve">Due for Review:  </w:t>
            </w:r>
            <w:r w:rsidR="004F7403">
              <w:t>9-6-2026</w:t>
            </w:r>
          </w:p>
        </w:tc>
      </w:tr>
      <w:tr w:rsidRPr="005F43A2" w:rsidR="00705C01" w:rsidTr="00131848" w14:paraId="03A902D4" w14:textId="77777777">
        <w:trPr>
          <w:trHeight w:val="344"/>
        </w:trPr>
        <w:tc>
          <w:tcPr>
            <w:tcW w:w="4535" w:type="dxa"/>
            <w:tcBorders>
              <w:bottom w:val="single" w:color="auto" w:sz="4" w:space="0"/>
            </w:tcBorders>
            <w:vAlign w:val="center"/>
          </w:tcPr>
          <w:p w:rsidRPr="007245EB" w:rsidR="00705C01" w:rsidP="00131848" w:rsidRDefault="00705C01" w14:paraId="12E317E1" w14:textId="14887C75">
            <w:r w:rsidRPr="007245EB">
              <w:t xml:space="preserve">Approval by: </w:t>
            </w:r>
            <w:r w:rsidR="004F7403">
              <w:t>DTC</w:t>
            </w:r>
          </w:p>
        </w:tc>
        <w:tc>
          <w:tcPr>
            <w:tcW w:w="4535" w:type="dxa"/>
            <w:tcBorders>
              <w:bottom w:val="single" w:color="auto" w:sz="4" w:space="0"/>
            </w:tcBorders>
            <w:vAlign w:val="center"/>
          </w:tcPr>
          <w:p w:rsidRPr="007245EB" w:rsidR="00705C01" w:rsidP="00131848" w:rsidRDefault="00705C01" w14:paraId="2D17C338" w14:textId="08A3593A">
            <w:r w:rsidRPr="007245EB">
              <w:t xml:space="preserve">Approval Date: </w:t>
            </w:r>
            <w:r w:rsidR="004F7403">
              <w:t>June</w:t>
            </w:r>
            <w:r>
              <w:t xml:space="preserve"> 2021</w:t>
            </w:r>
          </w:p>
        </w:tc>
      </w:tr>
    </w:tbl>
    <w:p w:rsidR="00705C01" w:rsidP="006F0321" w:rsidRDefault="00705C01" w14:paraId="194A365D" w14:textId="77777777"/>
    <w:p w:rsidR="00B1185E" w:rsidP="006F0321" w:rsidRDefault="00B1185E" w14:paraId="04FBFC6B" w14:textId="2D3C885E"/>
    <w:p w:rsidR="00393D09" w:rsidP="006F0321" w:rsidRDefault="00393D09" w14:paraId="06484350" w14:textId="43D7AB3A"/>
    <w:p w:rsidR="00502E13" w:rsidP="006F0321" w:rsidRDefault="00502E13" w14:paraId="43D0A99C" w14:textId="17D85458"/>
    <w:p w:rsidR="00502E13" w:rsidP="006F0321" w:rsidRDefault="00502E13" w14:paraId="61286771" w14:textId="67BE50D3"/>
    <w:p w:rsidR="00502E13" w:rsidP="006F0321" w:rsidRDefault="00502E13" w14:paraId="0B2FA0C6" w14:textId="452CD7C2"/>
    <w:p w:rsidR="00502E13" w:rsidP="006F0321" w:rsidRDefault="00502E13" w14:paraId="645E031E" w14:textId="5CCC1CD3"/>
    <w:p w:rsidR="00502E13" w:rsidP="006F0321" w:rsidRDefault="00502E13" w14:paraId="1D7AC22A" w14:textId="4FFAF25B"/>
    <w:p w:rsidR="00502E13" w:rsidP="006F0321" w:rsidRDefault="00502E13" w14:paraId="693071AF" w14:textId="27020B4B"/>
    <w:p w:rsidR="00502E13" w:rsidP="006F0321" w:rsidRDefault="00502E13" w14:paraId="147816B0" w14:textId="644B5BA6"/>
    <w:p w:rsidR="00502E13" w:rsidP="006F0321" w:rsidRDefault="00502E13" w14:paraId="3A07EB9D" w14:textId="00182E99"/>
    <w:p w:rsidR="00502E13" w:rsidP="006F0321" w:rsidRDefault="00502E13" w14:paraId="3AC066A5" w14:textId="655BF988"/>
    <w:p w:rsidRPr="00E25790" w:rsidR="00502E13" w:rsidP="006F0321" w:rsidRDefault="00502E13" w14:paraId="1480C6CD" w14:textId="77777777"/>
    <w:tbl>
      <w:tblPr>
        <w:tblW w:w="9049" w:type="dxa"/>
        <w:tblLayout w:type="fixed"/>
        <w:tblLook w:val="0000" w:firstRow="0" w:lastRow="0" w:firstColumn="0" w:lastColumn="0" w:noHBand="0" w:noVBand="0"/>
      </w:tblPr>
      <w:tblGrid>
        <w:gridCol w:w="4153"/>
        <w:gridCol w:w="4896"/>
      </w:tblGrid>
      <w:tr w:rsidRPr="00E25790" w:rsidR="00115F48" w:rsidTr="00943338" w14:paraId="173038C9"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115F48" w:rsidP="009469DB" w:rsidRDefault="00115F48" w14:paraId="44088DAF" w14:textId="77777777">
            <w:pPr>
              <w:pStyle w:val="Heading1"/>
            </w:pPr>
            <w:bookmarkStart w:name="_Toc495481184" w:id="617"/>
            <w:bookmarkStart w:name="_Toc495481310" w:id="618"/>
            <w:bookmarkStart w:name="_Toc495481435" w:id="619"/>
            <w:bookmarkStart w:name="_Toc495501616" w:id="620"/>
            <w:bookmarkStart w:name="_Toc38106946" w:id="621"/>
            <w:bookmarkStart w:name="_Toc75340060" w:id="622"/>
            <w:r w:rsidRPr="006A160B">
              <w:lastRenderedPageBreak/>
              <w:t>Vitamin E (Alpha-Tocopherol)</w:t>
            </w:r>
            <w:bookmarkEnd w:id="617"/>
            <w:bookmarkEnd w:id="618"/>
            <w:bookmarkEnd w:id="619"/>
            <w:bookmarkEnd w:id="620"/>
            <w:bookmarkEnd w:id="621"/>
            <w:bookmarkEnd w:id="622"/>
            <w:r w:rsidRPr="006A160B">
              <w:fldChar w:fldCharType="begin"/>
            </w:r>
            <w:r w:rsidRPr="006A160B">
              <w:instrText>tc "Vitamin_E_(Alpha-Tocopherol)" \l 0</w:instrText>
            </w:r>
            <w:r w:rsidRPr="006A160B">
              <w:fldChar w:fldCharType="end"/>
            </w:r>
          </w:p>
        </w:tc>
      </w:tr>
      <w:tr w:rsidRPr="00E25790" w:rsidR="00115F48" w:rsidTr="00943338" w14:paraId="1915748C"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2FFF3210" w14:textId="1B5800F8">
            <w:r w:rsidRPr="00E25790">
              <w:t xml:space="preserve">Revision Date : </w:t>
            </w:r>
            <w:r w:rsidR="001F0FEA">
              <w:t>2</w:t>
            </w:r>
            <w:r w:rsidR="002D4422">
              <w:t>5</w:t>
            </w:r>
            <w:r w:rsidR="001F0FEA">
              <w:t>-2-2020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6C306EBF" w14:textId="7EC1755A">
            <w:r w:rsidRPr="00E25790">
              <w:t xml:space="preserve">Approved: </w:t>
            </w:r>
            <w:r w:rsidR="001F0FEA">
              <w:t>NK, TC, KOH</w:t>
            </w:r>
          </w:p>
        </w:tc>
      </w:tr>
    </w:tbl>
    <w:p w:rsidRPr="00E25790" w:rsidR="00115F48" w:rsidP="006F0321" w:rsidRDefault="00115F48" w14:paraId="6724ECB5" w14:textId="77777777"/>
    <w:tbl>
      <w:tblPr>
        <w:tblW w:w="1023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1"/>
        <w:gridCol w:w="29"/>
        <w:gridCol w:w="8505"/>
      </w:tblGrid>
      <w:tr w:rsidRPr="001F0FEA" w:rsidR="00043BF0" w:rsidTr="001F0FEA" w14:paraId="3EE0DDBB" w14:textId="77777777">
        <w:trPr>
          <w:trHeight w:val="70"/>
        </w:trPr>
        <w:tc>
          <w:tcPr>
            <w:tcW w:w="1701" w:type="dxa"/>
          </w:tcPr>
          <w:p w:rsidRPr="001F0FEA" w:rsidR="001F0FEA" w:rsidP="0059793A" w:rsidRDefault="001F0FEA" w14:paraId="3E839FD8" w14:textId="77777777">
            <w:pPr>
              <w:pStyle w:val="BodyText"/>
              <w:tabs>
                <w:tab w:val="center" w:pos="1476"/>
              </w:tabs>
              <w:rPr>
                <w:rFonts w:asciiTheme="minorHAnsi" w:hAnsiTheme="minorHAnsi" w:cstheme="minorHAnsi"/>
                <w:b/>
                <w:szCs w:val="24"/>
                <w:lang w:val="en-AU"/>
              </w:rPr>
            </w:pPr>
            <w:r w:rsidRPr="001F0FEA">
              <w:rPr>
                <w:rFonts w:asciiTheme="minorHAnsi" w:hAnsiTheme="minorHAnsi" w:cstheme="minorHAnsi"/>
                <w:b/>
                <w:szCs w:val="24"/>
                <w:lang w:val="en-AU"/>
              </w:rPr>
              <w:t>Alert</w:t>
            </w:r>
            <w:r w:rsidRPr="001F0FEA">
              <w:rPr>
                <w:rFonts w:asciiTheme="minorHAnsi" w:hAnsiTheme="minorHAnsi" w:cstheme="minorHAnsi"/>
                <w:b/>
                <w:szCs w:val="24"/>
                <w:lang w:val="en-AU"/>
              </w:rPr>
              <w:tab/>
            </w:r>
          </w:p>
        </w:tc>
        <w:tc>
          <w:tcPr>
            <w:tcW w:w="8534" w:type="dxa"/>
            <w:gridSpan w:val="2"/>
          </w:tcPr>
          <w:p w:rsidRPr="001F0FEA" w:rsidR="001F0FEA" w:rsidP="0059793A" w:rsidRDefault="001F0FEA" w14:paraId="5A97F011"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 xml:space="preserve">This formulary covers oral vitamin E. </w:t>
            </w:r>
          </w:p>
          <w:p w:rsidRPr="001F0FEA" w:rsidR="001F0FEA" w:rsidP="0059793A" w:rsidRDefault="001F0FEA" w14:paraId="11E1AAC6"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Vitamin E 1 International Unit (hereafter referred to as “units” ) = 0.67 mg d-alpha-tocopherol.</w:t>
            </w:r>
            <w:r w:rsidRPr="001F0FEA">
              <w:rPr>
                <w:rFonts w:asciiTheme="minorHAnsi" w:hAnsiTheme="minorHAnsi" w:cstheme="minorHAnsi"/>
                <w:szCs w:val="24"/>
                <w:vertAlign w:val="superscript"/>
                <w:lang w:val="en-AU"/>
              </w:rPr>
              <w:t>1</w:t>
            </w:r>
          </w:p>
          <w:p w:rsidRPr="001F0FEA" w:rsidR="001F0FEA" w:rsidP="0059793A" w:rsidRDefault="001F0FEA" w14:paraId="1961254E"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Penta-Vite, a commonly used multi-vitamin supplement doesn’t contain vitamin E.</w:t>
            </w:r>
          </w:p>
        </w:tc>
      </w:tr>
      <w:tr w:rsidRPr="001F0FEA" w:rsidR="00043BF0" w:rsidTr="001F0FEA" w14:paraId="66BD2BCA" w14:textId="77777777">
        <w:trPr>
          <w:trHeight w:val="72"/>
        </w:trPr>
        <w:tc>
          <w:tcPr>
            <w:tcW w:w="1730" w:type="dxa"/>
            <w:gridSpan w:val="2"/>
          </w:tcPr>
          <w:p w:rsidRPr="001F0FEA" w:rsidR="001F0FEA" w:rsidP="0059793A" w:rsidRDefault="001F0FEA" w14:paraId="53A711D8" w14:textId="77777777">
            <w:pPr>
              <w:pStyle w:val="BodyText"/>
              <w:rPr>
                <w:rFonts w:asciiTheme="minorHAnsi" w:hAnsiTheme="minorHAnsi" w:cstheme="minorHAnsi"/>
                <w:szCs w:val="24"/>
                <w:lang w:val="en-AU"/>
              </w:rPr>
            </w:pPr>
            <w:r w:rsidRPr="001F0FEA">
              <w:rPr>
                <w:rFonts w:asciiTheme="minorHAnsi" w:hAnsiTheme="minorHAnsi" w:cstheme="minorHAnsi"/>
                <w:b/>
                <w:bCs/>
                <w:szCs w:val="24"/>
                <w:lang w:val="en-AU"/>
              </w:rPr>
              <w:t>Indication</w:t>
            </w:r>
          </w:p>
        </w:tc>
        <w:tc>
          <w:tcPr>
            <w:tcW w:w="8505" w:type="dxa"/>
          </w:tcPr>
          <w:p w:rsidRPr="001F0FEA" w:rsidR="001F0FEA" w:rsidP="0059793A" w:rsidRDefault="001F0FEA" w14:paraId="4B646D2D" w14:textId="77777777">
            <w:pPr>
              <w:rPr>
                <w:rFonts w:asciiTheme="minorHAnsi" w:hAnsiTheme="minorHAnsi" w:cstheme="minorHAnsi"/>
                <w:szCs w:val="24"/>
              </w:rPr>
            </w:pPr>
            <w:r w:rsidRPr="001F0FEA">
              <w:rPr>
                <w:rFonts w:asciiTheme="minorHAnsi" w:hAnsiTheme="minorHAnsi" w:cstheme="minorHAnsi"/>
                <w:szCs w:val="24"/>
              </w:rPr>
              <w:t>Prevention and treatment of vitamin E deficiency.</w:t>
            </w:r>
          </w:p>
        </w:tc>
      </w:tr>
      <w:tr w:rsidRPr="001F0FEA" w:rsidR="00043BF0" w:rsidTr="001F0FEA" w14:paraId="036622F2" w14:textId="77777777">
        <w:trPr>
          <w:trHeight w:val="70"/>
        </w:trPr>
        <w:tc>
          <w:tcPr>
            <w:tcW w:w="1730" w:type="dxa"/>
            <w:gridSpan w:val="2"/>
          </w:tcPr>
          <w:p w:rsidRPr="001F0FEA" w:rsidR="001F0FEA" w:rsidP="0059793A" w:rsidRDefault="001F0FEA" w14:paraId="0245D96D"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Action</w:t>
            </w:r>
          </w:p>
        </w:tc>
        <w:tc>
          <w:tcPr>
            <w:tcW w:w="8505" w:type="dxa"/>
          </w:tcPr>
          <w:p w:rsidRPr="001F0FEA" w:rsidR="001F0FEA" w:rsidP="0059793A" w:rsidRDefault="001F0FEA" w14:paraId="4CB2D36F" w14:textId="77777777">
            <w:pPr>
              <w:rPr>
                <w:rFonts w:asciiTheme="minorHAnsi" w:hAnsiTheme="minorHAnsi" w:cstheme="minorHAnsi"/>
                <w:szCs w:val="24"/>
              </w:rPr>
            </w:pPr>
            <w:r w:rsidRPr="001F0FEA">
              <w:rPr>
                <w:rFonts w:asciiTheme="minorHAnsi" w:hAnsiTheme="minorHAnsi" w:cstheme="minorHAnsi"/>
                <w:szCs w:val="24"/>
              </w:rPr>
              <w:t xml:space="preserve">Fat soluble vitamin. It is an antioxidant protecting cell membranes from oxidative stress. Active isomer is α-tocopherol. </w:t>
            </w:r>
          </w:p>
        </w:tc>
      </w:tr>
      <w:tr w:rsidRPr="001F0FEA" w:rsidR="00043BF0" w:rsidTr="001F0FEA" w14:paraId="5ACEC73F" w14:textId="77777777">
        <w:trPr>
          <w:trHeight w:val="266"/>
        </w:trPr>
        <w:tc>
          <w:tcPr>
            <w:tcW w:w="1730" w:type="dxa"/>
            <w:gridSpan w:val="2"/>
          </w:tcPr>
          <w:p w:rsidRPr="001F0FEA" w:rsidR="001F0FEA" w:rsidP="0059793A" w:rsidRDefault="001F0FEA" w14:paraId="00574B53" w14:textId="77777777">
            <w:pPr>
              <w:pStyle w:val="BodyText"/>
              <w:rPr>
                <w:rFonts w:asciiTheme="minorHAnsi" w:hAnsiTheme="minorHAnsi" w:cstheme="minorHAnsi"/>
                <w:szCs w:val="24"/>
                <w:lang w:val="en-AU"/>
              </w:rPr>
            </w:pPr>
            <w:r w:rsidRPr="001F0FEA">
              <w:rPr>
                <w:rFonts w:asciiTheme="minorHAnsi" w:hAnsiTheme="minorHAnsi" w:cstheme="minorHAnsi"/>
                <w:b/>
                <w:bCs/>
                <w:szCs w:val="24"/>
                <w:lang w:val="en-AU"/>
              </w:rPr>
              <w:t xml:space="preserve">Drug type                                   </w:t>
            </w:r>
          </w:p>
        </w:tc>
        <w:tc>
          <w:tcPr>
            <w:tcW w:w="8505" w:type="dxa"/>
          </w:tcPr>
          <w:p w:rsidRPr="001F0FEA" w:rsidR="001F0FEA" w:rsidP="0059793A" w:rsidRDefault="001F0FEA" w14:paraId="2FF1657A"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Fat soluble vitamin.</w:t>
            </w:r>
          </w:p>
        </w:tc>
      </w:tr>
      <w:tr w:rsidRPr="001F0FEA" w:rsidR="00043BF0" w:rsidTr="001F0FEA" w14:paraId="271A956F" w14:textId="77777777">
        <w:trPr>
          <w:trHeight w:val="114"/>
        </w:trPr>
        <w:tc>
          <w:tcPr>
            <w:tcW w:w="1730" w:type="dxa"/>
            <w:gridSpan w:val="2"/>
          </w:tcPr>
          <w:p w:rsidRPr="001F0FEA" w:rsidR="001F0FEA" w:rsidP="0059793A" w:rsidRDefault="001F0FEA" w14:paraId="49BEA084"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Trade name                  </w:t>
            </w:r>
          </w:p>
        </w:tc>
        <w:tc>
          <w:tcPr>
            <w:tcW w:w="8505" w:type="dxa"/>
          </w:tcPr>
          <w:p w:rsidRPr="001F0FEA" w:rsidR="001F0FEA" w:rsidP="0059793A" w:rsidRDefault="001F0FEA" w14:paraId="3120BF9F"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Micel-E oral liquid</w:t>
            </w:r>
          </w:p>
          <w:p w:rsidR="001F0FEA" w:rsidP="0059793A" w:rsidRDefault="00BE7001" w14:paraId="091AD84D" w14:textId="77777777">
            <w:pPr>
              <w:pStyle w:val="BodyText"/>
              <w:rPr>
                <w:rFonts w:asciiTheme="minorHAnsi" w:hAnsiTheme="minorHAnsi" w:cstheme="minorHAnsi"/>
                <w:szCs w:val="24"/>
                <w:lang w:val="en-AU"/>
              </w:rPr>
            </w:pPr>
            <w:r w:rsidRPr="00F13E20">
              <w:rPr>
                <w:rFonts w:asciiTheme="minorHAnsi" w:hAnsiTheme="minorHAnsi" w:cstheme="minorHAnsi"/>
                <w:szCs w:val="24"/>
                <w:lang w:val="en-AU"/>
              </w:rPr>
              <w:t xml:space="preserve">Aqua-E </w:t>
            </w:r>
            <w:r w:rsidR="00E72E1B">
              <w:rPr>
                <w:rFonts w:asciiTheme="minorHAnsi" w:hAnsiTheme="minorHAnsi" w:cstheme="minorHAnsi"/>
                <w:szCs w:val="24"/>
                <w:lang w:val="en-AU"/>
              </w:rPr>
              <w:t>oral liquid</w:t>
            </w:r>
          </w:p>
          <w:p w:rsidRPr="001F0FEA" w:rsidR="00E72E1B" w:rsidP="0059793A" w:rsidRDefault="00E72E1B" w14:paraId="5063FE2B" w14:textId="2B43B16D">
            <w:pPr>
              <w:pStyle w:val="BodyText"/>
              <w:rPr>
                <w:rFonts w:asciiTheme="minorHAnsi" w:hAnsiTheme="minorHAnsi" w:cstheme="minorHAnsi"/>
                <w:szCs w:val="24"/>
                <w:lang w:val="en-AU"/>
              </w:rPr>
            </w:pPr>
            <w:r>
              <w:rPr>
                <w:lang w:val="it-IT"/>
              </w:rPr>
              <w:t xml:space="preserve">Bio-Logical </w:t>
            </w:r>
            <w:r w:rsidRPr="00E25790">
              <w:rPr>
                <w:lang w:val="it-IT"/>
              </w:rPr>
              <w:t xml:space="preserve">Vitamin A </w:t>
            </w:r>
            <w:r>
              <w:rPr>
                <w:lang w:val="it-IT"/>
              </w:rPr>
              <w:t>and E Solution</w:t>
            </w:r>
          </w:p>
        </w:tc>
      </w:tr>
      <w:tr w:rsidRPr="001F0FEA" w:rsidR="00043BF0" w:rsidTr="001F0FEA" w14:paraId="7664DDA6" w14:textId="77777777">
        <w:trPr>
          <w:trHeight w:val="70"/>
        </w:trPr>
        <w:tc>
          <w:tcPr>
            <w:tcW w:w="1730" w:type="dxa"/>
            <w:gridSpan w:val="2"/>
          </w:tcPr>
          <w:p w:rsidRPr="001F0FEA" w:rsidR="001F0FEA" w:rsidP="0059793A" w:rsidRDefault="001F0FEA" w14:paraId="41E386AF"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Presentation </w:t>
            </w:r>
          </w:p>
        </w:tc>
        <w:tc>
          <w:tcPr>
            <w:tcW w:w="8505" w:type="dxa"/>
          </w:tcPr>
          <w:p w:rsidR="001F0FEA" w:rsidP="00BE7001" w:rsidRDefault="001F0FEA" w14:paraId="589C6892"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Micel-E oral liquid: d-alpha-tocopherol 104.7 mg/mL (vitamin E 156 units/mL); 50 mL bottle.</w:t>
            </w:r>
          </w:p>
          <w:p w:rsidR="001F0FEA" w:rsidP="0059793A" w:rsidRDefault="002D4422" w14:paraId="561FD88A" w14:textId="77777777">
            <w:pPr>
              <w:pStyle w:val="BodyText"/>
              <w:rPr>
                <w:rFonts w:asciiTheme="minorHAnsi" w:hAnsiTheme="minorHAnsi" w:cstheme="minorHAnsi"/>
                <w:szCs w:val="24"/>
                <w:lang w:val="en-AU"/>
              </w:rPr>
            </w:pPr>
            <w:r w:rsidRPr="00F13E20">
              <w:rPr>
                <w:rFonts w:asciiTheme="minorHAnsi" w:hAnsiTheme="minorHAnsi" w:cstheme="minorHAnsi"/>
                <w:szCs w:val="24"/>
                <w:lang w:val="en-AU"/>
              </w:rPr>
              <w:t>Aqua-E 20IU/ml</w:t>
            </w:r>
          </w:p>
          <w:p w:rsidRPr="00F13E20" w:rsidR="00F13E20" w:rsidP="00F13E20" w:rsidRDefault="00F13E20" w14:paraId="50B2CCBA" w14:textId="4D21AA12">
            <w:pPr>
              <w:rPr>
                <w:lang w:val="it-IT"/>
              </w:rPr>
            </w:pPr>
            <w:r>
              <w:rPr>
                <w:lang w:val="it-IT"/>
              </w:rPr>
              <w:t xml:space="preserve">Bio-Logical </w:t>
            </w:r>
            <w:r w:rsidRPr="00E25790">
              <w:rPr>
                <w:lang w:val="it-IT"/>
              </w:rPr>
              <w:t xml:space="preserve">Vitamin A </w:t>
            </w:r>
            <w:r>
              <w:rPr>
                <w:lang w:val="it-IT"/>
              </w:rPr>
              <w:t>and E Solution- 1mL contains 2210 IU (663 microg) Vitamin A and 102 IU Vitamin E</w:t>
            </w:r>
          </w:p>
        </w:tc>
      </w:tr>
      <w:tr w:rsidRPr="001F0FEA" w:rsidR="00043BF0" w:rsidTr="001F0FEA" w14:paraId="1788C07E" w14:textId="77777777">
        <w:trPr>
          <w:trHeight w:val="70"/>
        </w:trPr>
        <w:tc>
          <w:tcPr>
            <w:tcW w:w="1730" w:type="dxa"/>
            <w:gridSpan w:val="2"/>
          </w:tcPr>
          <w:p w:rsidRPr="001F0FEA" w:rsidR="001F0FEA" w:rsidP="0059793A" w:rsidRDefault="001F0FEA" w14:paraId="16982098"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Dose                          </w:t>
            </w:r>
          </w:p>
        </w:tc>
        <w:tc>
          <w:tcPr>
            <w:tcW w:w="8505" w:type="dxa"/>
          </w:tcPr>
          <w:p w:rsidRPr="001F0FEA" w:rsidR="001F0FEA" w:rsidP="0059793A" w:rsidRDefault="001F0FEA" w14:paraId="65272149"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Vitamin E supplementation in preterm neonates*</w:t>
            </w:r>
          </w:p>
          <w:p w:rsidR="001F0FEA" w:rsidP="0059793A" w:rsidRDefault="001F0FEA" w14:paraId="2934E4F5" w14:textId="77777777">
            <w:pPr>
              <w:pStyle w:val="BodyText"/>
              <w:ind w:left="720"/>
              <w:rPr>
                <w:rFonts w:asciiTheme="minorHAnsi" w:hAnsiTheme="minorHAnsi" w:cstheme="minorHAnsi"/>
                <w:szCs w:val="24"/>
                <w:lang w:val="en-AU"/>
              </w:rPr>
            </w:pPr>
            <w:r w:rsidRPr="001F0FEA">
              <w:rPr>
                <w:rFonts w:asciiTheme="minorHAnsi" w:hAnsiTheme="minorHAnsi" w:cstheme="minorHAnsi"/>
                <w:szCs w:val="24"/>
                <w:lang w:val="en-AU"/>
              </w:rPr>
              <w:t>8 units/kg  daily (6-12 IU/kg/day)</w:t>
            </w:r>
            <w:r w:rsidRPr="001F0FEA">
              <w:rPr>
                <w:rFonts w:asciiTheme="minorHAnsi" w:hAnsiTheme="minorHAnsi" w:cstheme="minorHAnsi"/>
                <w:szCs w:val="24"/>
                <w:vertAlign w:val="superscript"/>
                <w:lang w:val="en-AU"/>
              </w:rPr>
              <w:t>2</w:t>
            </w:r>
            <w:r w:rsidRPr="001F0FEA">
              <w:rPr>
                <w:rFonts w:asciiTheme="minorHAnsi" w:hAnsiTheme="minorHAnsi" w:cstheme="minorHAnsi"/>
                <w:szCs w:val="24"/>
                <w:lang w:val="en-AU"/>
              </w:rPr>
              <w:t xml:space="preserve"> </w:t>
            </w:r>
          </w:p>
          <w:p w:rsidRPr="001F0FEA" w:rsidR="005D57C0" w:rsidP="0059793A" w:rsidRDefault="00CE5628" w14:paraId="3B452F20" w14:textId="45C6347C">
            <w:pPr>
              <w:pStyle w:val="BodyText"/>
              <w:ind w:left="720"/>
              <w:rPr>
                <w:rFonts w:asciiTheme="minorHAnsi" w:hAnsiTheme="minorHAnsi" w:cstheme="minorHAnsi"/>
                <w:szCs w:val="24"/>
                <w:lang w:val="en-AU"/>
              </w:rPr>
            </w:pPr>
            <w:r>
              <w:rPr>
                <w:rFonts w:asciiTheme="minorHAnsi" w:hAnsiTheme="minorHAnsi" w:cstheme="minorHAnsi"/>
                <w:szCs w:val="24"/>
                <w:lang w:val="en-AU"/>
              </w:rPr>
              <w:t>15-25 units/kg/day for cholestasis</w:t>
            </w:r>
          </w:p>
          <w:p w:rsidRPr="001F0FEA" w:rsidR="001F0FEA" w:rsidP="0059793A" w:rsidRDefault="001F0FEA" w14:paraId="6D405302" w14:textId="77777777">
            <w:pPr>
              <w:pStyle w:val="BodyText"/>
              <w:rPr>
                <w:rFonts w:asciiTheme="minorHAnsi" w:hAnsiTheme="minorHAnsi" w:cstheme="minorHAnsi"/>
                <w:szCs w:val="24"/>
                <w:lang w:val="en-AU"/>
              </w:rPr>
            </w:pPr>
          </w:p>
          <w:p w:rsidRPr="001F0FEA" w:rsidR="001F0FEA" w:rsidP="0059793A" w:rsidRDefault="001F0FEA" w14:paraId="57BD62EB"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 xml:space="preserve">*Preterm human milk + Human milk fortifier (HMF) at 170 mL/kg/day provides an average 8 units/kg/day. </w:t>
            </w:r>
          </w:p>
        </w:tc>
      </w:tr>
      <w:tr w:rsidRPr="001F0FEA" w:rsidR="00043BF0" w:rsidTr="001F0FEA" w14:paraId="0200905F" w14:textId="77777777">
        <w:trPr>
          <w:trHeight w:val="407"/>
        </w:trPr>
        <w:tc>
          <w:tcPr>
            <w:tcW w:w="1730" w:type="dxa"/>
            <w:gridSpan w:val="2"/>
          </w:tcPr>
          <w:p w:rsidRPr="001F0FEA" w:rsidR="001F0FEA" w:rsidP="0059793A" w:rsidRDefault="001F0FEA" w14:paraId="744D638F" w14:textId="77777777">
            <w:pPr>
              <w:pStyle w:val="BodyText"/>
              <w:rPr>
                <w:rFonts w:asciiTheme="minorHAnsi" w:hAnsiTheme="minorHAnsi" w:cstheme="minorHAnsi"/>
                <w:b/>
                <w:szCs w:val="24"/>
                <w:lang w:val="en-AU"/>
              </w:rPr>
            </w:pPr>
            <w:r w:rsidRPr="001F0FEA">
              <w:rPr>
                <w:rFonts w:asciiTheme="minorHAnsi" w:hAnsiTheme="minorHAnsi" w:cstheme="minorHAnsi"/>
                <w:b/>
                <w:szCs w:val="24"/>
                <w:lang w:val="en-AU"/>
              </w:rPr>
              <w:t>Dose adjustment</w:t>
            </w:r>
          </w:p>
          <w:p w:rsidRPr="001F0FEA" w:rsidR="001F0FEA" w:rsidP="0059793A" w:rsidRDefault="001F0FEA" w14:paraId="57F15138" w14:textId="77777777">
            <w:pPr>
              <w:pStyle w:val="BodyText"/>
              <w:rPr>
                <w:rFonts w:asciiTheme="minorHAnsi" w:hAnsiTheme="minorHAnsi" w:cstheme="minorHAnsi"/>
                <w:b/>
                <w:szCs w:val="24"/>
                <w:lang w:val="en-AU"/>
              </w:rPr>
            </w:pPr>
          </w:p>
        </w:tc>
        <w:tc>
          <w:tcPr>
            <w:tcW w:w="8505" w:type="dxa"/>
          </w:tcPr>
          <w:p w:rsidRPr="001F0FEA" w:rsidR="001F0FEA" w:rsidP="0059793A" w:rsidRDefault="001F0FEA" w14:paraId="5FC5BD50"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Therapeutic hypothermia – No information.</w:t>
            </w:r>
          </w:p>
          <w:p w:rsidRPr="001F0FEA" w:rsidR="001F0FEA" w:rsidP="0059793A" w:rsidRDefault="001F0FEA" w14:paraId="3FFC9C73"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ECMO – No information.</w:t>
            </w:r>
          </w:p>
          <w:p w:rsidRPr="001F0FEA" w:rsidR="001F0FEA" w:rsidP="0059793A" w:rsidRDefault="001F0FEA" w14:paraId="590AC151"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Renal impairment – No information.</w:t>
            </w:r>
          </w:p>
          <w:p w:rsidRPr="001F0FEA" w:rsidR="001F0FEA" w:rsidP="0059793A" w:rsidRDefault="001F0FEA" w14:paraId="0CA71C97"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Hepatic impairment – No information.</w:t>
            </w:r>
          </w:p>
        </w:tc>
      </w:tr>
      <w:tr w:rsidRPr="001F0FEA" w:rsidR="00043BF0" w:rsidTr="001F0FEA" w14:paraId="484C47A8" w14:textId="77777777">
        <w:trPr>
          <w:trHeight w:val="113"/>
        </w:trPr>
        <w:tc>
          <w:tcPr>
            <w:tcW w:w="1730" w:type="dxa"/>
            <w:gridSpan w:val="2"/>
          </w:tcPr>
          <w:p w:rsidRPr="001F0FEA" w:rsidR="001F0FEA" w:rsidP="0059793A" w:rsidRDefault="001F0FEA" w14:paraId="6AAF32DF" w14:textId="77777777">
            <w:pPr>
              <w:pStyle w:val="BodyText"/>
              <w:rPr>
                <w:rFonts w:asciiTheme="minorHAnsi" w:hAnsiTheme="minorHAnsi" w:cstheme="minorHAnsi"/>
                <w:b/>
                <w:szCs w:val="24"/>
                <w:lang w:val="en-AU"/>
              </w:rPr>
            </w:pPr>
            <w:r w:rsidRPr="001F0FEA">
              <w:rPr>
                <w:rFonts w:asciiTheme="minorHAnsi" w:hAnsiTheme="minorHAnsi" w:cstheme="minorHAnsi"/>
                <w:b/>
                <w:szCs w:val="24"/>
                <w:lang w:val="en-AU"/>
              </w:rPr>
              <w:t>Maximum dose</w:t>
            </w:r>
          </w:p>
        </w:tc>
        <w:tc>
          <w:tcPr>
            <w:tcW w:w="8505" w:type="dxa"/>
          </w:tcPr>
          <w:p w:rsidRPr="001F0FEA" w:rsidR="001F0FEA" w:rsidP="0059793A" w:rsidRDefault="001F0FEA" w14:paraId="5E3F9537"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Doses exceeding 25 units/kg/day ORAL may pose more risk than benefit for preterm neonates.</w:t>
            </w:r>
            <w:r w:rsidRPr="001F0FEA">
              <w:rPr>
                <w:rFonts w:asciiTheme="minorHAnsi" w:hAnsiTheme="minorHAnsi" w:cstheme="minorHAnsi"/>
                <w:szCs w:val="24"/>
                <w:vertAlign w:val="superscript"/>
                <w:lang w:val="en-AU"/>
              </w:rPr>
              <w:t>3</w:t>
            </w:r>
          </w:p>
        </w:tc>
      </w:tr>
      <w:tr w:rsidRPr="001F0FEA" w:rsidR="00043BF0" w:rsidTr="001F0FEA" w14:paraId="3895D356" w14:textId="77777777">
        <w:trPr>
          <w:trHeight w:val="294"/>
        </w:trPr>
        <w:tc>
          <w:tcPr>
            <w:tcW w:w="1730" w:type="dxa"/>
            <w:gridSpan w:val="2"/>
          </w:tcPr>
          <w:p w:rsidRPr="001F0FEA" w:rsidR="001F0FEA" w:rsidP="0059793A" w:rsidRDefault="001F0FEA" w14:paraId="2511C335" w14:textId="77777777">
            <w:pPr>
              <w:pStyle w:val="BodyText"/>
              <w:rPr>
                <w:rFonts w:asciiTheme="minorHAnsi" w:hAnsiTheme="minorHAnsi" w:cstheme="minorHAnsi"/>
                <w:szCs w:val="24"/>
                <w:lang w:val="en-AU"/>
              </w:rPr>
            </w:pPr>
            <w:r w:rsidRPr="001F0FEA">
              <w:rPr>
                <w:rFonts w:asciiTheme="minorHAnsi" w:hAnsiTheme="minorHAnsi" w:cstheme="minorHAnsi"/>
                <w:b/>
                <w:bCs/>
                <w:szCs w:val="24"/>
                <w:lang w:val="en-AU"/>
              </w:rPr>
              <w:t xml:space="preserve">Route                                </w:t>
            </w:r>
          </w:p>
        </w:tc>
        <w:tc>
          <w:tcPr>
            <w:tcW w:w="8505" w:type="dxa"/>
          </w:tcPr>
          <w:p w:rsidRPr="001F0FEA" w:rsidR="001F0FEA" w:rsidP="0059793A" w:rsidRDefault="001F0FEA" w14:paraId="357A86E5"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Oral</w:t>
            </w:r>
          </w:p>
        </w:tc>
      </w:tr>
      <w:tr w:rsidRPr="001F0FEA" w:rsidR="00043BF0" w:rsidTr="001F0FEA" w14:paraId="4998E959" w14:textId="77777777">
        <w:trPr>
          <w:trHeight w:val="93"/>
        </w:trPr>
        <w:tc>
          <w:tcPr>
            <w:tcW w:w="1730" w:type="dxa"/>
            <w:gridSpan w:val="2"/>
          </w:tcPr>
          <w:p w:rsidRPr="001F0FEA" w:rsidR="001F0FEA" w:rsidP="0059793A" w:rsidRDefault="001F0FEA" w14:paraId="66D96368" w14:textId="77777777">
            <w:pPr>
              <w:pStyle w:val="BodyText"/>
              <w:rPr>
                <w:rFonts w:asciiTheme="minorHAnsi" w:hAnsiTheme="minorHAnsi" w:cstheme="minorHAnsi"/>
                <w:b/>
                <w:bCs/>
                <w:szCs w:val="24"/>
                <w:highlight w:val="cyan"/>
                <w:lang w:val="en-AU"/>
              </w:rPr>
            </w:pPr>
            <w:r w:rsidRPr="001F0FEA">
              <w:rPr>
                <w:rFonts w:asciiTheme="minorHAnsi" w:hAnsiTheme="minorHAnsi" w:cstheme="minorHAnsi"/>
                <w:b/>
                <w:bCs/>
                <w:szCs w:val="24"/>
                <w:lang w:val="en-AU"/>
              </w:rPr>
              <w:t>Preparation</w:t>
            </w:r>
            <w:r w:rsidRPr="001F0FEA">
              <w:rPr>
                <w:rFonts w:asciiTheme="minorHAnsi" w:hAnsiTheme="minorHAnsi" w:cstheme="minorHAnsi"/>
                <w:b/>
                <w:bCs/>
                <w:szCs w:val="24"/>
                <w:highlight w:val="cyan"/>
                <w:lang w:val="en-AU"/>
              </w:rPr>
              <w:t xml:space="preserve">                </w:t>
            </w:r>
          </w:p>
        </w:tc>
        <w:tc>
          <w:tcPr>
            <w:tcW w:w="8505" w:type="dxa"/>
          </w:tcPr>
          <w:p w:rsidRPr="001F0FEA" w:rsidR="001F0FEA" w:rsidP="0059793A" w:rsidRDefault="001F0FEA" w14:paraId="3CC76C77"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No preparation is required.</w:t>
            </w:r>
          </w:p>
        </w:tc>
      </w:tr>
      <w:tr w:rsidRPr="001F0FEA" w:rsidR="0020431B" w:rsidTr="001F0FEA" w14:paraId="09CAAE4B" w14:textId="77777777">
        <w:trPr>
          <w:trHeight w:val="224"/>
        </w:trPr>
        <w:tc>
          <w:tcPr>
            <w:tcW w:w="1730" w:type="dxa"/>
            <w:gridSpan w:val="2"/>
          </w:tcPr>
          <w:p w:rsidRPr="001F0FEA" w:rsidR="001F0FEA" w:rsidP="0059793A" w:rsidRDefault="001F0FEA" w14:paraId="0A3CC630"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Administration                </w:t>
            </w:r>
          </w:p>
        </w:tc>
        <w:tc>
          <w:tcPr>
            <w:tcW w:w="8505" w:type="dxa"/>
            <w:vAlign w:val="center"/>
          </w:tcPr>
          <w:p w:rsidRPr="001F0FEA" w:rsidR="001F0FEA" w:rsidP="0059793A" w:rsidRDefault="001F0FEA" w14:paraId="588BE485"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Administer undiluted.</w:t>
            </w:r>
          </w:p>
        </w:tc>
      </w:tr>
      <w:tr w:rsidRPr="001F0FEA" w:rsidR="00043BF0" w:rsidTr="001F0FEA" w14:paraId="043D5974" w14:textId="77777777">
        <w:trPr>
          <w:trHeight w:val="215"/>
        </w:trPr>
        <w:tc>
          <w:tcPr>
            <w:tcW w:w="1730" w:type="dxa"/>
            <w:gridSpan w:val="2"/>
          </w:tcPr>
          <w:p w:rsidRPr="001F0FEA" w:rsidR="001F0FEA" w:rsidP="0059793A" w:rsidRDefault="001F0FEA" w14:paraId="3F8D1CE8"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Monitoring                              </w:t>
            </w:r>
          </w:p>
        </w:tc>
        <w:tc>
          <w:tcPr>
            <w:tcW w:w="8505" w:type="dxa"/>
          </w:tcPr>
          <w:p w:rsidRPr="001F0FEA" w:rsidR="001F0FEA" w:rsidP="0059793A" w:rsidRDefault="001F0FEA" w14:paraId="239AC9D3"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Serum vitamin E levels – Not routinely required. Target 1.0-2.0 mg/dL.</w:t>
            </w:r>
            <w:r w:rsidRPr="001F0FEA">
              <w:rPr>
                <w:rFonts w:asciiTheme="minorHAnsi" w:hAnsiTheme="minorHAnsi" w:cstheme="minorHAnsi"/>
                <w:szCs w:val="24"/>
                <w:vertAlign w:val="superscript"/>
                <w:lang w:val="en-AU"/>
              </w:rPr>
              <w:t>4,5</w:t>
            </w:r>
            <w:r w:rsidRPr="001F0FEA">
              <w:rPr>
                <w:rFonts w:asciiTheme="minorHAnsi" w:hAnsiTheme="minorHAnsi" w:cstheme="minorHAnsi"/>
                <w:szCs w:val="24"/>
                <w:lang w:val="en-AU"/>
              </w:rPr>
              <w:t xml:space="preserve">  </w:t>
            </w:r>
          </w:p>
        </w:tc>
      </w:tr>
      <w:tr w:rsidRPr="001F0FEA" w:rsidR="00043BF0" w:rsidTr="001F0FEA" w14:paraId="19E26D88" w14:textId="77777777">
        <w:trPr>
          <w:trHeight w:val="342"/>
        </w:trPr>
        <w:tc>
          <w:tcPr>
            <w:tcW w:w="1730" w:type="dxa"/>
            <w:gridSpan w:val="2"/>
          </w:tcPr>
          <w:p w:rsidRPr="001F0FEA" w:rsidR="001F0FEA" w:rsidP="0059793A" w:rsidRDefault="001F0FEA" w14:paraId="409D7AA7"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Contraindications                        </w:t>
            </w:r>
          </w:p>
        </w:tc>
        <w:tc>
          <w:tcPr>
            <w:tcW w:w="8505" w:type="dxa"/>
          </w:tcPr>
          <w:p w:rsidRPr="001F0FEA" w:rsidR="001F0FEA" w:rsidP="0059793A" w:rsidRDefault="001F0FEA" w14:paraId="74772564"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Hypersensitivity to vitamin E or any component</w:t>
            </w:r>
          </w:p>
        </w:tc>
      </w:tr>
      <w:tr w:rsidRPr="001F0FEA" w:rsidR="00043BF0" w:rsidTr="001F0FEA" w14:paraId="148DC2EF" w14:textId="77777777">
        <w:tc>
          <w:tcPr>
            <w:tcW w:w="1730" w:type="dxa"/>
            <w:gridSpan w:val="2"/>
          </w:tcPr>
          <w:p w:rsidRPr="001F0FEA" w:rsidR="001F0FEA" w:rsidP="0059793A" w:rsidRDefault="001F0FEA" w14:paraId="1E90CC28" w14:textId="77777777">
            <w:pPr>
              <w:pStyle w:val="BodyText"/>
              <w:rPr>
                <w:rFonts w:asciiTheme="minorHAnsi" w:hAnsiTheme="minorHAnsi" w:cstheme="minorHAnsi"/>
                <w:b/>
                <w:bCs/>
                <w:szCs w:val="24"/>
                <w:lang w:val="en-AU"/>
              </w:rPr>
            </w:pPr>
            <w:r w:rsidRPr="001F0FEA">
              <w:rPr>
                <w:rFonts w:asciiTheme="minorHAnsi" w:hAnsiTheme="minorHAnsi" w:cstheme="minorHAnsi"/>
                <w:szCs w:val="24"/>
                <w:lang w:val="en-AU"/>
              </w:rPr>
              <w:br w:type="page"/>
            </w:r>
            <w:r w:rsidRPr="001F0FEA">
              <w:rPr>
                <w:rFonts w:asciiTheme="minorHAnsi" w:hAnsiTheme="minorHAnsi" w:cstheme="minorHAnsi"/>
                <w:b/>
                <w:bCs/>
                <w:szCs w:val="24"/>
                <w:lang w:val="en-AU"/>
              </w:rPr>
              <w:t>Precautions</w:t>
            </w:r>
          </w:p>
        </w:tc>
        <w:tc>
          <w:tcPr>
            <w:tcW w:w="8505" w:type="dxa"/>
          </w:tcPr>
          <w:p w:rsidRPr="001F0FEA" w:rsidR="001F0FEA" w:rsidP="0059793A" w:rsidRDefault="001F0FEA" w14:paraId="33F4D487"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Interacts with iron and other oxidants or any polyunsaturated fatty acids.</w:t>
            </w:r>
          </w:p>
          <w:p w:rsidRPr="001F0FEA" w:rsidR="001F0FEA" w:rsidP="0059793A" w:rsidRDefault="001F0FEA" w14:paraId="528A0925"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 xml:space="preserve">Increases serum bilirubin. </w:t>
            </w:r>
          </w:p>
        </w:tc>
      </w:tr>
      <w:tr w:rsidRPr="001F0FEA" w:rsidR="00043BF0" w:rsidTr="001F0FEA" w14:paraId="193413E2" w14:textId="77777777">
        <w:trPr>
          <w:trHeight w:val="70"/>
        </w:trPr>
        <w:tc>
          <w:tcPr>
            <w:tcW w:w="1730" w:type="dxa"/>
            <w:gridSpan w:val="2"/>
          </w:tcPr>
          <w:p w:rsidRPr="001F0FEA" w:rsidR="001F0FEA" w:rsidP="0059793A" w:rsidRDefault="001F0FEA" w14:paraId="1D7C1348"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Drug interactions</w:t>
            </w:r>
          </w:p>
        </w:tc>
        <w:tc>
          <w:tcPr>
            <w:tcW w:w="8505" w:type="dxa"/>
          </w:tcPr>
          <w:p w:rsidRPr="001F0FEA" w:rsidR="001F0FEA" w:rsidP="0059793A" w:rsidRDefault="001F0FEA" w14:paraId="3BFC7D6F"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Iron - Lowers bioavailability of Vitamin E.</w:t>
            </w:r>
          </w:p>
          <w:p w:rsidRPr="001F0FEA" w:rsidR="001F0FEA" w:rsidP="0059793A" w:rsidRDefault="001F0FEA" w14:paraId="6064E1B7"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Vitamin E may increase the effects of vitamin K antagonists and antiplatelet agents.</w:t>
            </w:r>
          </w:p>
        </w:tc>
      </w:tr>
      <w:tr w:rsidRPr="001F0FEA" w:rsidR="00043BF0" w:rsidTr="001F0FEA" w14:paraId="5583D606" w14:textId="77777777">
        <w:trPr>
          <w:trHeight w:val="332"/>
        </w:trPr>
        <w:tc>
          <w:tcPr>
            <w:tcW w:w="1730" w:type="dxa"/>
            <w:gridSpan w:val="2"/>
          </w:tcPr>
          <w:p w:rsidRPr="001F0FEA" w:rsidR="001F0FEA" w:rsidP="0059793A" w:rsidRDefault="001F0FEA" w14:paraId="7DEB75E0"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lastRenderedPageBreak/>
              <w:t xml:space="preserve">Adverse reactions         </w:t>
            </w:r>
          </w:p>
        </w:tc>
        <w:tc>
          <w:tcPr>
            <w:tcW w:w="8505" w:type="dxa"/>
          </w:tcPr>
          <w:p w:rsidRPr="001F0FEA" w:rsidR="001F0FEA" w:rsidP="0059793A" w:rsidRDefault="001F0FEA" w14:paraId="4D161C18"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Sepsis.</w:t>
            </w:r>
          </w:p>
          <w:p w:rsidRPr="001F0FEA" w:rsidR="001F0FEA" w:rsidP="0059793A" w:rsidRDefault="001F0FEA" w14:paraId="64409929"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Intracranial haemorrhage (IV dosing).</w:t>
            </w:r>
          </w:p>
          <w:p w:rsidRPr="001F0FEA" w:rsidR="001F0FEA" w:rsidP="0059793A" w:rsidRDefault="001F0FEA" w14:paraId="1D40AEEF"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Necrotising enterocolitis.</w:t>
            </w:r>
          </w:p>
        </w:tc>
      </w:tr>
      <w:tr w:rsidRPr="001F0FEA" w:rsidR="00043BF0" w:rsidTr="001F0FEA" w14:paraId="590EF220" w14:textId="77777777">
        <w:trPr>
          <w:trHeight w:val="180"/>
        </w:trPr>
        <w:tc>
          <w:tcPr>
            <w:tcW w:w="1730" w:type="dxa"/>
            <w:gridSpan w:val="2"/>
          </w:tcPr>
          <w:p w:rsidRPr="001F0FEA" w:rsidR="001F0FEA" w:rsidP="0059793A" w:rsidRDefault="001F0FEA" w14:paraId="3DB67DCB"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Compatibility</w:t>
            </w:r>
          </w:p>
        </w:tc>
        <w:tc>
          <w:tcPr>
            <w:tcW w:w="8505" w:type="dxa"/>
          </w:tcPr>
          <w:p w:rsidRPr="001F0FEA" w:rsidR="001F0FEA" w:rsidP="0059793A" w:rsidRDefault="001F0FEA" w14:paraId="1D04B7E1"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Not applicable.</w:t>
            </w:r>
          </w:p>
        </w:tc>
      </w:tr>
      <w:tr w:rsidRPr="001F0FEA" w:rsidR="00043BF0" w:rsidTr="001F0FEA" w14:paraId="170D82EB" w14:textId="77777777">
        <w:trPr>
          <w:trHeight w:val="230"/>
        </w:trPr>
        <w:tc>
          <w:tcPr>
            <w:tcW w:w="1730" w:type="dxa"/>
            <w:gridSpan w:val="2"/>
          </w:tcPr>
          <w:p w:rsidRPr="001F0FEA" w:rsidR="001F0FEA" w:rsidP="0059793A" w:rsidRDefault="001F0FEA" w14:paraId="2D6BA917"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Incompatibility</w:t>
            </w:r>
          </w:p>
        </w:tc>
        <w:tc>
          <w:tcPr>
            <w:tcW w:w="8505" w:type="dxa"/>
          </w:tcPr>
          <w:p w:rsidRPr="001F0FEA" w:rsidR="001F0FEA" w:rsidP="0059793A" w:rsidRDefault="001F0FEA" w14:paraId="1642ADAD"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Not applicable.</w:t>
            </w:r>
          </w:p>
        </w:tc>
      </w:tr>
      <w:tr w:rsidRPr="001F0FEA" w:rsidR="00043BF0" w:rsidTr="001F0FEA" w14:paraId="59CA8C40" w14:textId="77777777">
        <w:trPr>
          <w:trHeight w:val="79"/>
        </w:trPr>
        <w:tc>
          <w:tcPr>
            <w:tcW w:w="1730" w:type="dxa"/>
            <w:gridSpan w:val="2"/>
          </w:tcPr>
          <w:p w:rsidRPr="001F0FEA" w:rsidR="001F0FEA" w:rsidP="0059793A" w:rsidRDefault="001F0FEA" w14:paraId="7C642644"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Stability   </w:t>
            </w:r>
          </w:p>
        </w:tc>
        <w:tc>
          <w:tcPr>
            <w:tcW w:w="8505" w:type="dxa"/>
          </w:tcPr>
          <w:p w:rsidRPr="001F0FEA" w:rsidR="001F0FEA" w:rsidP="0059793A" w:rsidRDefault="002D4422" w14:paraId="291D080C" w14:textId="7BF0152D">
            <w:pPr>
              <w:pStyle w:val="BodyText"/>
              <w:rPr>
                <w:rFonts w:asciiTheme="minorHAnsi" w:hAnsiTheme="minorHAnsi" w:cstheme="minorHAnsi"/>
                <w:szCs w:val="24"/>
                <w:lang w:val="en-AU"/>
              </w:rPr>
            </w:pPr>
            <w:r>
              <w:rPr>
                <w:rFonts w:asciiTheme="minorHAnsi" w:hAnsiTheme="minorHAnsi" w:cstheme="minorHAnsi"/>
                <w:szCs w:val="24"/>
                <w:lang w:val="en-AU"/>
              </w:rPr>
              <w:t>Refrigerate after opening and discard 60 day after opening Aqua E</w:t>
            </w:r>
          </w:p>
        </w:tc>
      </w:tr>
      <w:tr w:rsidRPr="001F0FEA" w:rsidR="00043BF0" w:rsidTr="001F0FEA" w14:paraId="1882B554" w14:textId="77777777">
        <w:trPr>
          <w:trHeight w:val="70"/>
        </w:trPr>
        <w:tc>
          <w:tcPr>
            <w:tcW w:w="1730" w:type="dxa"/>
            <w:gridSpan w:val="2"/>
          </w:tcPr>
          <w:p w:rsidRPr="001F0FEA" w:rsidR="001F0FEA" w:rsidP="0059793A" w:rsidRDefault="001F0FEA" w14:paraId="4A734F90"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Storage             </w:t>
            </w:r>
          </w:p>
        </w:tc>
        <w:tc>
          <w:tcPr>
            <w:tcW w:w="8505" w:type="dxa"/>
          </w:tcPr>
          <w:p w:rsidRPr="001F0FEA" w:rsidR="001F0FEA" w:rsidP="0059793A" w:rsidRDefault="001F0FEA" w14:paraId="44C018C2"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Micel E oral liquid: Store below 25</w:t>
            </w:r>
            <w:r w:rsidRPr="001F0FEA">
              <w:rPr>
                <w:rFonts w:asciiTheme="minorHAnsi" w:hAnsiTheme="minorHAnsi" w:cstheme="minorHAnsi"/>
                <w:szCs w:val="24"/>
                <w:vertAlign w:val="superscript"/>
                <w:lang w:val="en-AU"/>
              </w:rPr>
              <w:t>0</w:t>
            </w:r>
            <w:r w:rsidRPr="001F0FEA">
              <w:rPr>
                <w:rFonts w:asciiTheme="minorHAnsi" w:hAnsiTheme="minorHAnsi" w:cstheme="minorHAnsi"/>
                <w:szCs w:val="24"/>
                <w:lang w:val="en-AU"/>
              </w:rPr>
              <w:t>C (room temperature).</w:t>
            </w:r>
          </w:p>
        </w:tc>
      </w:tr>
      <w:tr w:rsidRPr="001F0FEA" w:rsidR="00043BF0" w:rsidTr="001F0FEA" w14:paraId="0887D737" w14:textId="77777777">
        <w:trPr>
          <w:trHeight w:val="70"/>
        </w:trPr>
        <w:tc>
          <w:tcPr>
            <w:tcW w:w="1730" w:type="dxa"/>
            <w:gridSpan w:val="2"/>
          </w:tcPr>
          <w:p w:rsidRPr="001F0FEA" w:rsidR="001F0FEA" w:rsidP="0059793A" w:rsidRDefault="001F0FEA" w14:paraId="69730BBD"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Excipients</w:t>
            </w:r>
          </w:p>
        </w:tc>
        <w:tc>
          <w:tcPr>
            <w:tcW w:w="8505" w:type="dxa"/>
          </w:tcPr>
          <w:p w:rsidRPr="001F0FEA" w:rsidR="001F0FEA" w:rsidP="0059793A" w:rsidRDefault="001F0FEA" w14:paraId="7D9642A6" w14:textId="77777777">
            <w:pPr>
              <w:pStyle w:val="BodyText"/>
              <w:rPr>
                <w:rFonts w:asciiTheme="minorHAnsi" w:hAnsiTheme="minorHAnsi" w:cstheme="minorHAnsi"/>
                <w:szCs w:val="24"/>
                <w:lang w:val="en-AU"/>
              </w:rPr>
            </w:pPr>
            <w:r w:rsidRPr="001F0FEA">
              <w:rPr>
                <w:rFonts w:asciiTheme="minorHAnsi" w:hAnsiTheme="minorHAnsi" w:cstheme="minorHAnsi"/>
                <w:szCs w:val="24"/>
                <w:lang w:val="en-AU"/>
              </w:rPr>
              <w:t>Micel-E: Potassium sorbate, citric acid anhydrous, glycerol, PEG-35 castor oil, ethanol, water.</w:t>
            </w:r>
          </w:p>
        </w:tc>
      </w:tr>
      <w:tr w:rsidRPr="001F0FEA" w:rsidR="00043BF0" w:rsidTr="001F0FEA" w14:paraId="31D8B11C" w14:textId="77777777">
        <w:trPr>
          <w:trHeight w:val="270"/>
        </w:trPr>
        <w:tc>
          <w:tcPr>
            <w:tcW w:w="1730" w:type="dxa"/>
            <w:gridSpan w:val="2"/>
          </w:tcPr>
          <w:p w:rsidRPr="001F0FEA" w:rsidR="001F0FEA" w:rsidP="0059793A" w:rsidRDefault="001F0FEA" w14:paraId="5E5804AA"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Special comments       </w:t>
            </w:r>
          </w:p>
        </w:tc>
        <w:tc>
          <w:tcPr>
            <w:tcW w:w="8505" w:type="dxa"/>
          </w:tcPr>
          <w:p w:rsidRPr="001F0FEA" w:rsidR="001F0FEA" w:rsidP="0059793A" w:rsidRDefault="001F0FEA" w14:paraId="71B7C39F" w14:textId="77777777">
            <w:pPr>
              <w:pStyle w:val="BodyText"/>
              <w:rPr>
                <w:rFonts w:asciiTheme="minorHAnsi" w:hAnsiTheme="minorHAnsi" w:cstheme="minorHAnsi"/>
                <w:szCs w:val="24"/>
                <w:lang w:val="en-AU"/>
              </w:rPr>
            </w:pPr>
          </w:p>
        </w:tc>
      </w:tr>
      <w:tr w:rsidRPr="001F0FEA" w:rsidR="00043BF0" w:rsidTr="001F0FEA" w14:paraId="093EFA30" w14:textId="77777777">
        <w:trPr>
          <w:trHeight w:val="280"/>
        </w:trPr>
        <w:tc>
          <w:tcPr>
            <w:tcW w:w="1730" w:type="dxa"/>
            <w:gridSpan w:val="2"/>
          </w:tcPr>
          <w:p w:rsidRPr="001F0FEA" w:rsidR="001F0FEA" w:rsidP="0059793A" w:rsidRDefault="001F0FEA" w14:paraId="610F4CDF"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 xml:space="preserve">Evidence </w:t>
            </w:r>
          </w:p>
        </w:tc>
        <w:tc>
          <w:tcPr>
            <w:tcW w:w="8505" w:type="dxa"/>
          </w:tcPr>
          <w:p w:rsidRPr="001F0FEA" w:rsidR="001F0FEA" w:rsidP="0059793A" w:rsidRDefault="001F0FEA" w14:paraId="2304EEB7" w14:textId="77777777">
            <w:pPr>
              <w:pStyle w:val="BodyText"/>
              <w:tabs>
                <w:tab w:val="left" w:pos="1168"/>
              </w:tabs>
              <w:rPr>
                <w:rFonts w:asciiTheme="minorHAnsi" w:hAnsiTheme="minorHAnsi" w:cstheme="minorHAnsi"/>
                <w:b/>
                <w:sz w:val="16"/>
                <w:szCs w:val="16"/>
                <w:lang w:val="en-AU"/>
              </w:rPr>
            </w:pPr>
            <w:r w:rsidRPr="001F0FEA">
              <w:rPr>
                <w:rFonts w:asciiTheme="minorHAnsi" w:hAnsiTheme="minorHAnsi" w:cstheme="minorHAnsi"/>
                <w:b/>
                <w:sz w:val="16"/>
                <w:szCs w:val="16"/>
                <w:lang w:val="en-AU"/>
              </w:rPr>
              <w:t>Efficacy</w:t>
            </w:r>
          </w:p>
          <w:p w:rsidRPr="001F0FEA" w:rsidR="001F0FEA" w:rsidP="0059793A" w:rsidRDefault="001F0FEA" w14:paraId="0F46A4F2"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Cochrane review by Brion et al 2003 assessed the effects of routine vitamin E supplementation on morbidity and mortality in preterm infants. Twenty-six randomized clinical trials with over 2000 preterm infants &lt; 37 weeks or &lt; 2500 g were analysed. In very low birth weight (VLBW) infants≤ 1500 g, vitamin E supplementation significantly reduced the risk of severe retinopathy and blindness but significantly increased the risk of sepsis. Subgroup analyses demonstrated (1) an association between intravenous, high-dose vitamin E supplementation and increased risk of sepsis and cerebral haemorrhage; (2) an association between non-intravenous vitamin E route and reduced risk of any or severe intraventricular haemorrhage and (3) an association between serum tocopherol levels greater than 3.5 mg/dl and increased risk of sepsis and reduced risk for severe retinopathy. Author’s conclusions: Vitamin E supplementation in preterm infants reduced the risk of intracranial haemorrhage but increased the risk of sepsis. In VLBW infants, vitamin E increased the risk of sepsis, and reduced the risk of severe retinopathy and blindness among those examined. Evidence does not support the routine use of vitamin E supplementation by intravenous route at high doses or aiming at serum tocopherol levels greater than 35 mg/L (81 µmol/L).</w:t>
            </w:r>
            <w:r w:rsidRPr="001F0FEA">
              <w:rPr>
                <w:rFonts w:asciiTheme="minorHAnsi" w:hAnsiTheme="minorHAnsi" w:cstheme="minorHAnsi"/>
                <w:sz w:val="16"/>
                <w:szCs w:val="16"/>
                <w:vertAlign w:val="superscript"/>
                <w:lang w:val="en-AU"/>
              </w:rPr>
              <w:t>6</w:t>
            </w:r>
            <w:r w:rsidRPr="001F0FEA">
              <w:rPr>
                <w:rFonts w:asciiTheme="minorHAnsi" w:hAnsiTheme="minorHAnsi" w:cstheme="minorHAnsi"/>
                <w:sz w:val="16"/>
                <w:szCs w:val="16"/>
                <w:lang w:val="en-AU"/>
              </w:rPr>
              <w:t xml:space="preserve"> (LOE I GOR A)</w:t>
            </w:r>
          </w:p>
          <w:p w:rsidRPr="001F0FEA" w:rsidR="001F0FEA" w:rsidP="0059793A" w:rsidRDefault="001F0FEA" w14:paraId="24328FD0" w14:textId="77777777">
            <w:pPr>
              <w:pStyle w:val="BodyText"/>
              <w:tabs>
                <w:tab w:val="left" w:pos="1168"/>
              </w:tabs>
              <w:rPr>
                <w:rFonts w:asciiTheme="minorHAnsi" w:hAnsiTheme="minorHAnsi" w:cstheme="minorHAnsi"/>
                <w:sz w:val="16"/>
                <w:szCs w:val="16"/>
                <w:lang w:val="en-AU"/>
              </w:rPr>
            </w:pPr>
          </w:p>
          <w:p w:rsidRPr="001F0FEA" w:rsidR="001F0FEA" w:rsidP="0059793A" w:rsidRDefault="001F0FEA" w14:paraId="42C3E55F" w14:textId="77777777">
            <w:pPr>
              <w:pStyle w:val="BodyText"/>
              <w:tabs>
                <w:tab w:val="left" w:pos="1168"/>
              </w:tabs>
              <w:rPr>
                <w:rFonts w:asciiTheme="minorHAnsi" w:hAnsiTheme="minorHAnsi" w:cstheme="minorHAnsi"/>
                <w:b/>
                <w:sz w:val="16"/>
                <w:szCs w:val="16"/>
                <w:lang w:val="en-AU"/>
              </w:rPr>
            </w:pPr>
            <w:r w:rsidRPr="001F0FEA">
              <w:rPr>
                <w:rFonts w:asciiTheme="minorHAnsi" w:hAnsiTheme="minorHAnsi" w:cstheme="minorHAnsi"/>
                <w:b/>
                <w:sz w:val="16"/>
                <w:szCs w:val="16"/>
                <w:lang w:val="en-AU"/>
              </w:rPr>
              <w:t>Safety</w:t>
            </w:r>
          </w:p>
          <w:p w:rsidRPr="001F0FEA" w:rsidR="001F0FEA" w:rsidP="0059793A" w:rsidRDefault="001F0FEA" w14:paraId="704339F0"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Routine vitamin E supplementation significantly reduced the risk of intraventricular haemorrhage but increased the risk of sepsis in preterm neonates. In VLBW infants (≤ 1500 g), vitamin E supplementation significantly increased the risk for sepsis and cerebral haemorrhage. (LOE I GOR A)</w:t>
            </w:r>
          </w:p>
          <w:p w:rsidRPr="001F0FEA" w:rsidR="001F0FEA" w:rsidP="0059793A" w:rsidRDefault="001F0FEA" w14:paraId="5E129084"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A retrospective analysis has shown a significant association between pharmacologic oral doses of vitamin E in VLBW infants and necrotizing enterocolitis</w:t>
            </w:r>
            <w:r w:rsidRPr="001F0FEA">
              <w:rPr>
                <w:rFonts w:asciiTheme="minorHAnsi" w:hAnsiTheme="minorHAnsi" w:cstheme="minorHAnsi"/>
                <w:sz w:val="16"/>
                <w:szCs w:val="16"/>
                <w:vertAlign w:val="superscript"/>
                <w:lang w:val="en-AU"/>
              </w:rPr>
              <w:t>7</w:t>
            </w:r>
            <w:r w:rsidRPr="001F0FEA">
              <w:rPr>
                <w:rFonts w:asciiTheme="minorHAnsi" w:hAnsiTheme="minorHAnsi" w:cstheme="minorHAnsi"/>
                <w:sz w:val="16"/>
                <w:szCs w:val="16"/>
                <w:lang w:val="en-AU"/>
              </w:rPr>
              <w:t xml:space="preserve"> but this effect was not evident in meta-analysis.</w:t>
            </w:r>
            <w:r w:rsidRPr="001F0FEA">
              <w:rPr>
                <w:rFonts w:asciiTheme="minorHAnsi" w:hAnsiTheme="minorHAnsi" w:cstheme="minorHAnsi"/>
                <w:sz w:val="16"/>
                <w:szCs w:val="16"/>
                <w:vertAlign w:val="superscript"/>
                <w:lang w:val="en-AU"/>
              </w:rPr>
              <w:t>6</w:t>
            </w:r>
            <w:r w:rsidRPr="001F0FEA">
              <w:rPr>
                <w:rFonts w:asciiTheme="minorHAnsi" w:hAnsiTheme="minorHAnsi" w:cstheme="minorHAnsi"/>
                <w:sz w:val="16"/>
                <w:szCs w:val="16"/>
                <w:lang w:val="en-AU"/>
              </w:rPr>
              <w:t xml:space="preserve"> </w:t>
            </w:r>
          </w:p>
        </w:tc>
      </w:tr>
      <w:tr w:rsidRPr="001F0FEA" w:rsidR="00043BF0" w:rsidTr="001F0FEA" w14:paraId="32DFCA95" w14:textId="77777777">
        <w:trPr>
          <w:trHeight w:val="108"/>
        </w:trPr>
        <w:tc>
          <w:tcPr>
            <w:tcW w:w="1730" w:type="dxa"/>
            <w:gridSpan w:val="2"/>
          </w:tcPr>
          <w:p w:rsidRPr="001F0FEA" w:rsidR="001F0FEA" w:rsidP="0059793A" w:rsidRDefault="001F0FEA" w14:paraId="5010BBEF" w14:textId="77777777">
            <w:pPr>
              <w:pStyle w:val="BodyText"/>
              <w:rPr>
                <w:rFonts w:asciiTheme="minorHAnsi" w:hAnsiTheme="minorHAnsi" w:cstheme="minorHAnsi"/>
                <w:b/>
                <w:bCs/>
                <w:szCs w:val="24"/>
                <w:lang w:val="en-AU"/>
              </w:rPr>
            </w:pPr>
            <w:r w:rsidRPr="001F0FEA">
              <w:rPr>
                <w:rFonts w:asciiTheme="minorHAnsi" w:hAnsiTheme="minorHAnsi" w:cstheme="minorHAnsi"/>
                <w:b/>
                <w:bCs/>
                <w:szCs w:val="24"/>
                <w:lang w:val="en-AU"/>
              </w:rPr>
              <w:t>Practice points</w:t>
            </w:r>
          </w:p>
        </w:tc>
        <w:tc>
          <w:tcPr>
            <w:tcW w:w="8505" w:type="dxa"/>
          </w:tcPr>
          <w:p w:rsidRPr="001F0FEA" w:rsidR="001F0FEA" w:rsidP="0059793A" w:rsidRDefault="001F0FEA" w14:paraId="2D069804"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Vitamin E content in preterm human milk: 0.64 units/dL (0.43 mg/dL)</w:t>
            </w:r>
          </w:p>
          <w:p w:rsidRPr="001F0FEA" w:rsidR="001F0FEA" w:rsidP="0059793A" w:rsidRDefault="001F0FEA" w14:paraId="7102A346"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 xml:space="preserve">Average human milk fortifier (HMF) at 80 kcal/100 mL provides additional 4-4.5 units/dL. </w:t>
            </w:r>
          </w:p>
          <w:p w:rsidRPr="001F0FEA" w:rsidR="001F0FEA" w:rsidP="0059793A" w:rsidRDefault="001F0FEA" w14:paraId="0D3E9BC2"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 xml:space="preserve">Preterm human milk + HMF at 170 mL/kg/day provides an average 8 units/kg/day. </w:t>
            </w:r>
          </w:p>
          <w:p w:rsidRPr="001F0FEA" w:rsidR="001F0FEA" w:rsidP="0059793A" w:rsidRDefault="001F0FEA" w14:paraId="35EA2789" w14:textId="77777777">
            <w:pPr>
              <w:pStyle w:val="BodyText"/>
              <w:tabs>
                <w:tab w:val="left" w:pos="1168"/>
              </w:tabs>
              <w:rPr>
                <w:rFonts w:asciiTheme="minorHAnsi" w:hAnsiTheme="minorHAnsi" w:cstheme="minorHAnsi"/>
                <w:b/>
                <w:sz w:val="16"/>
                <w:szCs w:val="16"/>
                <w:lang w:val="en-AU"/>
              </w:rPr>
            </w:pPr>
            <w:r w:rsidRPr="001F0FEA">
              <w:rPr>
                <w:rFonts w:asciiTheme="minorHAnsi" w:hAnsiTheme="minorHAnsi" w:cstheme="minorHAnsi"/>
                <w:b/>
                <w:sz w:val="16"/>
                <w:szCs w:val="16"/>
                <w:lang w:val="en-AU"/>
              </w:rPr>
              <w:t>Recommended dietary allowances</w:t>
            </w:r>
          </w:p>
          <w:p w:rsidRPr="001F0FEA" w:rsidR="001F0FEA" w:rsidP="0059793A" w:rsidRDefault="001F0FEA" w14:paraId="72FB863D"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Colostrum and preterm human milk contains 2-3 times more alpha-tocopherol in mature milk.</w:t>
            </w:r>
            <w:r w:rsidRPr="001F0FEA">
              <w:rPr>
                <w:rFonts w:asciiTheme="minorHAnsi" w:hAnsiTheme="minorHAnsi" w:cstheme="minorHAnsi"/>
                <w:sz w:val="16"/>
                <w:szCs w:val="16"/>
                <w:vertAlign w:val="superscript"/>
                <w:lang w:val="en-AU"/>
              </w:rPr>
              <w:t>2,8</w:t>
            </w:r>
            <w:r w:rsidRPr="001F0FEA">
              <w:rPr>
                <w:rFonts w:asciiTheme="minorHAnsi" w:hAnsiTheme="minorHAnsi" w:cstheme="minorHAnsi"/>
                <w:sz w:val="16"/>
                <w:szCs w:val="16"/>
                <w:lang w:val="en-AU"/>
              </w:rPr>
              <w:t xml:space="preserve"> Vitamin E supplements for the preterm infant less than 1000 g birth weight are recommended to be 2.8 to 3.5 units/kg/day parenterally and 6 to 12 units/kg/day enterally.</w:t>
            </w:r>
            <w:r w:rsidRPr="001F0FEA">
              <w:rPr>
                <w:rFonts w:asciiTheme="minorHAnsi" w:hAnsiTheme="minorHAnsi" w:cstheme="minorHAnsi"/>
                <w:sz w:val="16"/>
                <w:szCs w:val="16"/>
                <w:vertAlign w:val="superscript"/>
                <w:lang w:val="en-AU"/>
              </w:rPr>
              <w:t>2,3,9,10</w:t>
            </w:r>
            <w:r w:rsidRPr="001F0FEA">
              <w:rPr>
                <w:rFonts w:asciiTheme="minorHAnsi" w:hAnsiTheme="minorHAnsi" w:cstheme="minorHAnsi"/>
                <w:sz w:val="16"/>
                <w:szCs w:val="16"/>
                <w:lang w:val="en-AU"/>
              </w:rPr>
              <w:t xml:space="preserve"> (LOE III-3 GOR B)</w:t>
            </w:r>
          </w:p>
          <w:p w:rsidRPr="001F0FEA" w:rsidR="001F0FEA" w:rsidP="0059793A" w:rsidRDefault="001F0FEA" w14:paraId="3659B956" w14:textId="77777777">
            <w:pPr>
              <w:pStyle w:val="BodyText"/>
              <w:tabs>
                <w:tab w:val="left" w:pos="1168"/>
              </w:tabs>
              <w:rPr>
                <w:rFonts w:asciiTheme="minorHAnsi" w:hAnsiTheme="minorHAnsi" w:cstheme="minorHAnsi"/>
                <w:sz w:val="16"/>
                <w:szCs w:val="16"/>
                <w:vertAlign w:val="superscript"/>
                <w:lang w:val="en-AU"/>
              </w:rPr>
            </w:pPr>
            <w:r w:rsidRPr="001F0FEA">
              <w:rPr>
                <w:rFonts w:asciiTheme="minorHAnsi" w:hAnsiTheme="minorHAnsi" w:cstheme="minorHAnsi"/>
                <w:sz w:val="16"/>
                <w:szCs w:val="16"/>
                <w:lang w:val="en-AU"/>
              </w:rPr>
              <w:t>Recommended parenteral vitamin E for preterm neonates: 3 units/kg/day (2.8-3.5 units/kg/day).</w:t>
            </w:r>
            <w:r w:rsidRPr="001F0FEA">
              <w:rPr>
                <w:rFonts w:asciiTheme="minorHAnsi" w:hAnsiTheme="minorHAnsi" w:cstheme="minorHAnsi"/>
                <w:sz w:val="16"/>
                <w:szCs w:val="16"/>
                <w:vertAlign w:val="superscript"/>
                <w:lang w:val="en-AU"/>
              </w:rPr>
              <w:t>2,10</w:t>
            </w:r>
          </w:p>
          <w:p w:rsidRPr="001F0FEA" w:rsidR="001F0FEA" w:rsidP="0059793A" w:rsidRDefault="001F0FEA" w14:paraId="2B27F6BA"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SMOFlipid 20% contains 163 – 225 mg dl-alpha-tocopherol per 1000 mL.</w:t>
            </w:r>
          </w:p>
          <w:p w:rsidRPr="001F0FEA" w:rsidR="001F0FEA" w:rsidP="0059793A" w:rsidRDefault="001F0FEA" w14:paraId="37311949"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Vitalipid-N Infant contains 0.64 mg dl-alpha-tocopherol per 1 mL.</w:t>
            </w:r>
            <w:r w:rsidRPr="001F0FEA">
              <w:rPr>
                <w:rFonts w:asciiTheme="minorHAnsi" w:hAnsiTheme="minorHAnsi" w:cstheme="minorHAnsi"/>
                <w:sz w:val="16"/>
                <w:szCs w:val="16"/>
                <w:vertAlign w:val="superscript"/>
                <w:lang w:val="en-AU"/>
              </w:rPr>
              <w:t>11</w:t>
            </w:r>
          </w:p>
          <w:p w:rsidRPr="001F0FEA" w:rsidR="001F0FEA" w:rsidP="0059793A" w:rsidRDefault="001F0FEA" w14:paraId="71A3C595" w14:textId="77777777">
            <w:pPr>
              <w:pStyle w:val="BodyText"/>
              <w:tabs>
                <w:tab w:val="left" w:pos="1168"/>
              </w:tabs>
              <w:rPr>
                <w:rFonts w:asciiTheme="minorHAnsi" w:hAnsiTheme="minorHAnsi" w:cstheme="minorHAnsi"/>
                <w:sz w:val="16"/>
                <w:szCs w:val="16"/>
                <w:lang w:val="en-AU"/>
              </w:rPr>
            </w:pPr>
            <w:r w:rsidRPr="001F0FEA">
              <w:rPr>
                <w:rFonts w:asciiTheme="minorHAnsi" w:hAnsiTheme="minorHAnsi" w:cstheme="minorHAnsi"/>
                <w:sz w:val="16"/>
                <w:szCs w:val="16"/>
                <w:lang w:val="en-AU"/>
              </w:rPr>
              <w:t>The current Australasian consensus parenteral nutrition provides 2.8 IU/kg/day at 150 mL/kg/day.</w:t>
            </w:r>
            <w:r w:rsidRPr="001F0FEA">
              <w:rPr>
                <w:rFonts w:asciiTheme="minorHAnsi" w:hAnsiTheme="minorHAnsi" w:cstheme="minorHAnsi"/>
                <w:sz w:val="16"/>
                <w:szCs w:val="16"/>
                <w:vertAlign w:val="superscript"/>
                <w:lang w:val="en-AU"/>
              </w:rPr>
              <w:t>12</w:t>
            </w:r>
          </w:p>
        </w:tc>
      </w:tr>
      <w:tr w:rsidRPr="001F0FEA" w:rsidR="00043BF0" w:rsidTr="001F0FEA" w14:paraId="2D7006B5" w14:textId="77777777">
        <w:trPr>
          <w:trHeight w:val="70"/>
        </w:trPr>
        <w:tc>
          <w:tcPr>
            <w:tcW w:w="1730" w:type="dxa"/>
            <w:gridSpan w:val="2"/>
          </w:tcPr>
          <w:p w:rsidRPr="001F0FEA" w:rsidR="001F0FEA" w:rsidP="0059793A" w:rsidRDefault="001F0FEA" w14:paraId="4E6B8DDF" w14:textId="77777777">
            <w:pPr>
              <w:pStyle w:val="BodyText"/>
              <w:rPr>
                <w:rFonts w:asciiTheme="minorHAnsi" w:hAnsiTheme="minorHAnsi" w:cstheme="minorHAnsi"/>
                <w:b/>
                <w:bCs/>
                <w:szCs w:val="24"/>
                <w:lang w:val="en-AU"/>
              </w:rPr>
            </w:pPr>
            <w:r w:rsidRPr="001F0FEA">
              <w:rPr>
                <w:rFonts w:asciiTheme="minorHAnsi" w:hAnsiTheme="minorHAnsi" w:cstheme="minorHAnsi"/>
                <w:b/>
                <w:szCs w:val="24"/>
                <w:lang w:val="en-AU"/>
              </w:rPr>
              <w:t>References</w:t>
            </w:r>
          </w:p>
        </w:tc>
        <w:tc>
          <w:tcPr>
            <w:tcW w:w="8505" w:type="dxa"/>
          </w:tcPr>
          <w:p w:rsidRPr="001F0FEA" w:rsidR="001F0FEA" w:rsidP="001B0E05" w:rsidRDefault="001F0FEA" w14:paraId="0F2E7264"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https://dietarysupplementdatabase.usda.nih.gov/Conversions.php.</w:t>
            </w:r>
          </w:p>
          <w:p w:rsidRPr="001F0FEA" w:rsidR="001F0FEA" w:rsidP="001B0E05" w:rsidRDefault="001F0FEA" w14:paraId="03E719A8"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Greer FR. Vitamin metabolism and requirements in the micropremie. Clin Perinatol 2000;27:95-118.</w:t>
            </w:r>
          </w:p>
          <w:p w:rsidRPr="001F0FEA" w:rsidR="001F0FEA" w:rsidP="001B0E05" w:rsidRDefault="001F0FEA" w14:paraId="53D005C4"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Greer FR. Vitamins A, E and K. In Nutrition of the Preterm Infant. Ed by Tsang R, Uauy R, Koletzko B, Zlotkin S. Second edition 2005.</w:t>
            </w:r>
          </w:p>
          <w:p w:rsidRPr="001F0FEA" w:rsidR="001F0FEA" w:rsidP="001B0E05" w:rsidRDefault="001F0FEA" w14:paraId="6E7A11D5"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Johnson L, Bowen FW, Abbasi S, Herrmann N, Weston M, Sacks L, Porat R, Stahl G, Peckham G, Delivoria-Papadopoulos M, Quinn G. Relationship of prolonged pharmacologic serum levels of vitamin E to incidence of sepsis and necrotizing enterocolitis in infants with birth weight 1,500 grams or less. Pediatrics. 1985;75(4):619-38.</w:t>
            </w:r>
          </w:p>
          <w:p w:rsidRPr="001F0FEA" w:rsidR="001F0FEA" w:rsidP="001B0E05" w:rsidRDefault="001F0FEA" w14:paraId="5C0B0C37"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Amorde-spalding KA, D'harlingue AE, Phillips BL, Byrne WI, Cheng KS, Cook NE, Irias JJ. Tocopherol levels in infants≤ 1000 grams receiving MVI pediatric. Pediatrics. 1992;90(6):992-4.</w:t>
            </w:r>
          </w:p>
          <w:p w:rsidRPr="001F0FEA" w:rsidR="001F0FEA" w:rsidP="001B0E05" w:rsidRDefault="001F0FEA" w14:paraId="2EE0934A"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Brion LP, Bell EF, Raghuveer TS. Vitamin E supplementation for prevention of morbidity and mortality in preterm infants. Cochrane Database of Systematic Reviews 2003, Issue 4. Art. No.: CD003665. DOI: 10.1002/14651858.CD003665.</w:t>
            </w:r>
          </w:p>
          <w:p w:rsidRPr="001F0FEA" w:rsidR="001F0FEA" w:rsidP="001B0E05" w:rsidRDefault="001F0FEA" w14:paraId="787F5AA4"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Finer NN, Peters KL, Hayek Z, Merkel CL. Vitamin E and necrotizing enterocolitis. Pediatrics 1984;73:387-93.</w:t>
            </w:r>
          </w:p>
          <w:p w:rsidRPr="001F0FEA" w:rsidR="001F0FEA" w:rsidP="001B0E05" w:rsidRDefault="001F0FEA" w14:paraId="48C540D6"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Moran JR, Vaughan R, Stroop S, Coy S, Johnston H, Greene HL. Concentrations and total daily output of micronutrients in breast milk of mothers delivering preterm: a longitudinal study. JPGN 1983;2(4):629-34.</w:t>
            </w:r>
          </w:p>
          <w:p w:rsidRPr="001F0FEA" w:rsidR="001F0FEA" w:rsidP="001B0E05" w:rsidRDefault="001F0FEA" w14:paraId="525523F0"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Agostoni C, Buonocore G, Carnielli VP, De Curtis M, Darmaun D, Decsi T, Domellöf M, Embleton ND, Fusch C, Genzel-Boroviczeny O, Goulet O. Enteral nutrient supply for preterm infants: commentary from the European Society of Paediatric Gastroenterology, Hepatology and Nutrition Committee on Nutrition. JPGN 2010;50(1):85-91.</w:t>
            </w:r>
          </w:p>
          <w:p w:rsidRPr="001F0FEA" w:rsidR="001F0FEA" w:rsidP="001B0E05" w:rsidRDefault="001F0FEA" w14:paraId="275091FE"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 xml:space="preserve">Greene_HL, Hambidge_M, Schanler_R, Tsang_RC. Guidelines for the use of vitamins, trace elements, calcium, magnesium, and phosphorus in infants and chidren receiving total parenteral nutrition: report of the Subcommittee on </w:t>
            </w:r>
            <w:r w:rsidRPr="001F0FEA">
              <w:rPr>
                <w:rFonts w:asciiTheme="minorHAnsi" w:hAnsiTheme="minorHAnsi" w:cstheme="minorHAnsi"/>
                <w:sz w:val="16"/>
                <w:szCs w:val="16"/>
              </w:rPr>
              <w:lastRenderedPageBreak/>
              <w:t xml:space="preserve">Pediatric Parenteral Nutrient Requirements from the Committee on Clinical Practice Issues of the American Society for Clinical Nutrition. </w:t>
            </w:r>
            <w:r w:rsidRPr="001F0FEA">
              <w:rPr>
                <w:rFonts w:asciiTheme="minorHAnsi" w:hAnsiTheme="minorHAnsi" w:cstheme="minorHAnsi"/>
                <w:iCs/>
                <w:sz w:val="16"/>
                <w:szCs w:val="16"/>
              </w:rPr>
              <w:t xml:space="preserve">American Journal of Clinical Nutrition </w:t>
            </w:r>
            <w:r w:rsidRPr="001F0FEA">
              <w:rPr>
                <w:rFonts w:asciiTheme="minorHAnsi" w:hAnsiTheme="minorHAnsi" w:cstheme="minorHAnsi"/>
                <w:sz w:val="16"/>
                <w:szCs w:val="16"/>
              </w:rPr>
              <w:t>1988;</w:t>
            </w:r>
            <w:r w:rsidRPr="001F0FEA">
              <w:rPr>
                <w:rFonts w:asciiTheme="minorHAnsi" w:hAnsiTheme="minorHAnsi" w:cstheme="minorHAnsi"/>
                <w:b/>
                <w:bCs/>
                <w:sz w:val="16"/>
                <w:szCs w:val="16"/>
              </w:rPr>
              <w:t>48</w:t>
            </w:r>
            <w:r w:rsidRPr="001F0FEA">
              <w:rPr>
                <w:rFonts w:asciiTheme="minorHAnsi" w:hAnsiTheme="minorHAnsi" w:cstheme="minorHAnsi"/>
                <w:sz w:val="16"/>
                <w:szCs w:val="16"/>
              </w:rPr>
              <w:t>:1324-42.</w:t>
            </w:r>
          </w:p>
          <w:p w:rsidRPr="001F0FEA" w:rsidR="001F0FEA" w:rsidP="001B0E05" w:rsidRDefault="001F0FEA" w14:paraId="58FD9503"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Australian Product Information – Vitalipid N Adult and Vitalipid N Infant (Retinol Palmitate, Ergocalciferol, DL-Alpha-Tocopherol, Phytomenadione), Revised February 2020, Fresenius Kabi Australia Pty Limited.</w:t>
            </w:r>
          </w:p>
          <w:p w:rsidRPr="001F0FEA" w:rsidR="001F0FEA" w:rsidP="001B0E05" w:rsidRDefault="001F0FEA" w14:paraId="134A88D5" w14:textId="77777777">
            <w:pPr>
              <w:pStyle w:val="ListParagraph"/>
              <w:numPr>
                <w:ilvl w:val="0"/>
                <w:numId w:val="92"/>
              </w:numPr>
              <w:rPr>
                <w:rFonts w:asciiTheme="minorHAnsi" w:hAnsiTheme="minorHAnsi" w:cstheme="minorHAnsi"/>
                <w:sz w:val="16"/>
                <w:szCs w:val="16"/>
              </w:rPr>
            </w:pPr>
            <w:r w:rsidRPr="001F0FEA">
              <w:rPr>
                <w:rFonts w:asciiTheme="minorHAnsi" w:hAnsiTheme="minorHAnsi" w:cstheme="minorHAnsi"/>
                <w:sz w:val="16"/>
                <w:szCs w:val="16"/>
              </w:rPr>
              <w:t>Bolisetty, S., Osborn, D., Schindler, T. et al. Standardised neonatal parenteral nutrition formulations – Australasian neonatal parenteral nutrition consensus update 2017. BMC Pediatr 20, 59 (2020). https://doi.org/10.1186/s12887-020-1958-9.</w:t>
            </w:r>
          </w:p>
        </w:tc>
      </w:tr>
    </w:tbl>
    <w:p w:rsidRPr="00E25790" w:rsidR="00115F48" w:rsidP="006F0321" w:rsidRDefault="00115F48" w14:paraId="70D1A3C6" w14:textId="77777777"/>
    <w:tbl>
      <w:tblPr>
        <w:tblW w:w="907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535"/>
        <w:gridCol w:w="4535"/>
      </w:tblGrid>
      <w:tr w:rsidRPr="005F43A2" w:rsidR="0020431B" w:rsidTr="00DB7BFA" w14:paraId="1869ACA8" w14:textId="77777777">
        <w:tc>
          <w:tcPr>
            <w:tcW w:w="4535" w:type="dxa"/>
            <w:vAlign w:val="center"/>
          </w:tcPr>
          <w:p w:rsidRPr="007245EB" w:rsidR="001F0FEA" w:rsidP="0059793A" w:rsidRDefault="001F0FEA" w14:paraId="26D28C3E" w14:textId="0297CE55">
            <w:r w:rsidRPr="007245EB">
              <w:t xml:space="preserve">Original version Date: </w:t>
            </w:r>
            <w:r>
              <w:t>24-2-2021</w:t>
            </w:r>
          </w:p>
        </w:tc>
        <w:tc>
          <w:tcPr>
            <w:tcW w:w="4535" w:type="dxa"/>
            <w:vAlign w:val="center"/>
          </w:tcPr>
          <w:p w:rsidRPr="007245EB" w:rsidR="001F0FEA" w:rsidP="0059793A" w:rsidRDefault="001F0FEA" w14:paraId="765AE755" w14:textId="77777777">
            <w:r w:rsidRPr="007245EB">
              <w:t>Author: NMF Consensus Group</w:t>
            </w:r>
          </w:p>
        </w:tc>
      </w:tr>
      <w:tr w:rsidRPr="005F43A2" w:rsidR="0020431B" w:rsidTr="00DB7BFA" w14:paraId="2A0C0861" w14:textId="77777777">
        <w:tc>
          <w:tcPr>
            <w:tcW w:w="4535" w:type="dxa"/>
            <w:vAlign w:val="center"/>
          </w:tcPr>
          <w:p w:rsidRPr="007245EB" w:rsidR="001F0FEA" w:rsidP="0059793A" w:rsidRDefault="001F0FEA" w14:paraId="2911576A" w14:textId="77777777">
            <w:pPr>
              <w:rPr>
                <w:bCs/>
              </w:rPr>
            </w:pPr>
            <w:r w:rsidRPr="007245EB">
              <w:t>Current Version number:  1.0</w:t>
            </w:r>
          </w:p>
        </w:tc>
        <w:tc>
          <w:tcPr>
            <w:tcW w:w="4535" w:type="dxa"/>
            <w:vAlign w:val="center"/>
          </w:tcPr>
          <w:p w:rsidRPr="007245EB" w:rsidR="001F0FEA" w:rsidP="0059793A" w:rsidRDefault="001F0FEA" w14:paraId="195341B2" w14:textId="5104D730">
            <w:r w:rsidRPr="007245EB">
              <w:t xml:space="preserve">Current Version Date:  </w:t>
            </w:r>
            <w:r>
              <w:t>Feb 2021</w:t>
            </w:r>
          </w:p>
        </w:tc>
      </w:tr>
      <w:tr w:rsidRPr="005F43A2" w:rsidR="0020431B" w:rsidTr="00DB7BFA" w14:paraId="49904BB8" w14:textId="77777777">
        <w:tc>
          <w:tcPr>
            <w:tcW w:w="4535" w:type="dxa"/>
            <w:vAlign w:val="center"/>
          </w:tcPr>
          <w:p w:rsidRPr="007245EB" w:rsidR="001F0FEA" w:rsidP="0059793A" w:rsidRDefault="001F0FEA" w14:paraId="2AAA4C5A" w14:textId="77777777">
            <w:r w:rsidRPr="007245EB">
              <w:t>Risk Rating: Medium</w:t>
            </w:r>
          </w:p>
        </w:tc>
        <w:tc>
          <w:tcPr>
            <w:tcW w:w="4535" w:type="dxa"/>
            <w:vAlign w:val="center"/>
          </w:tcPr>
          <w:p w:rsidRPr="007245EB" w:rsidR="001F0FEA" w:rsidP="0059793A" w:rsidRDefault="001F0FEA" w14:paraId="623FEDBD" w14:textId="70F99DDB">
            <w:r w:rsidRPr="007245EB">
              <w:t xml:space="preserve">Due for Review:  </w:t>
            </w:r>
            <w:r>
              <w:t>Feb 2024</w:t>
            </w:r>
          </w:p>
        </w:tc>
      </w:tr>
      <w:tr w:rsidRPr="005F43A2" w:rsidR="0020431B" w:rsidTr="00DB7BFA" w14:paraId="568897EE" w14:textId="77777777">
        <w:trPr>
          <w:trHeight w:val="344"/>
        </w:trPr>
        <w:tc>
          <w:tcPr>
            <w:tcW w:w="4535" w:type="dxa"/>
            <w:tcBorders>
              <w:bottom w:val="single" w:color="auto" w:sz="4" w:space="0"/>
            </w:tcBorders>
            <w:vAlign w:val="center"/>
          </w:tcPr>
          <w:p w:rsidRPr="007245EB" w:rsidR="001F0FEA" w:rsidP="0059793A" w:rsidRDefault="001F0FEA" w14:paraId="3FB5A670" w14:textId="378015E9">
            <w:r w:rsidRPr="007245EB">
              <w:t xml:space="preserve">Approval by: </w:t>
            </w:r>
            <w:r w:rsidR="00260BC8">
              <w:t>APRIL 2021</w:t>
            </w:r>
          </w:p>
        </w:tc>
        <w:tc>
          <w:tcPr>
            <w:tcW w:w="4535" w:type="dxa"/>
            <w:tcBorders>
              <w:bottom w:val="single" w:color="auto" w:sz="4" w:space="0"/>
            </w:tcBorders>
            <w:vAlign w:val="center"/>
          </w:tcPr>
          <w:p w:rsidRPr="007245EB" w:rsidR="001F0FEA" w:rsidP="0059793A" w:rsidRDefault="001F0FEA" w14:paraId="36BEF34D" w14:textId="5E83D029">
            <w:r w:rsidRPr="007245EB">
              <w:t xml:space="preserve">Approval Date: </w:t>
            </w:r>
            <w:r w:rsidR="00260BC8">
              <w:t>APRIL 2021</w:t>
            </w:r>
          </w:p>
        </w:tc>
      </w:tr>
    </w:tbl>
    <w:p w:rsidRPr="00E25790" w:rsidR="00115F48" w:rsidP="006F0321" w:rsidRDefault="00115F48" w14:paraId="3584CBAE" w14:textId="77777777"/>
    <w:p w:rsidRPr="00E25790" w:rsidR="00115F48" w:rsidP="006F0321" w:rsidRDefault="00115F48" w14:paraId="4286A9A7"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115F48" w:rsidTr="00943338" w14:paraId="547CFF94"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115F48" w:rsidP="009469DB" w:rsidRDefault="00115F48" w14:paraId="43274488" w14:textId="34514709">
            <w:pPr>
              <w:pStyle w:val="Heading1"/>
            </w:pPr>
            <w:bookmarkStart w:name="_Toc495481185" w:id="623"/>
            <w:bookmarkStart w:name="_Toc495481311" w:id="624"/>
            <w:bookmarkStart w:name="_Toc495481436" w:id="625"/>
            <w:bookmarkStart w:name="_Toc495501617" w:id="626"/>
            <w:bookmarkStart w:name="_Toc38106947" w:id="627"/>
            <w:bookmarkStart w:name="_Toc75340061" w:id="628"/>
            <w:r w:rsidRPr="006A160B">
              <w:lastRenderedPageBreak/>
              <w:t>Vitamin K</w:t>
            </w:r>
            <w:bookmarkEnd w:id="623"/>
            <w:bookmarkEnd w:id="624"/>
            <w:bookmarkEnd w:id="625"/>
            <w:bookmarkEnd w:id="626"/>
            <w:bookmarkEnd w:id="627"/>
            <w:r w:rsidR="00D07F72">
              <w:t>1</w:t>
            </w:r>
            <w:bookmarkEnd w:id="628"/>
            <w:r w:rsidRPr="006A160B">
              <w:fldChar w:fldCharType="begin"/>
            </w:r>
            <w:r w:rsidRPr="006A160B">
              <w:instrText>tc "Vitamin-K" \l 0</w:instrText>
            </w:r>
            <w:r w:rsidRPr="006A160B">
              <w:fldChar w:fldCharType="end"/>
            </w:r>
          </w:p>
        </w:tc>
      </w:tr>
      <w:tr w:rsidRPr="00E25790" w:rsidR="00115F48" w:rsidTr="00943338" w14:paraId="0B706C0A"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5A65B95D" w14:textId="0BA76D01">
            <w:r w:rsidRPr="00E25790">
              <w:t xml:space="preserve">Revision Date : </w:t>
            </w:r>
            <w:r w:rsidR="00021CFE">
              <w:t>18</w:t>
            </w:r>
            <w:r w:rsidR="00C9027D">
              <w:t>-</w:t>
            </w:r>
            <w:r w:rsidR="00021CFE">
              <w:t>6</w:t>
            </w:r>
            <w:r w:rsidR="00C9027D">
              <w:t>-202</w:t>
            </w:r>
            <w:r w:rsidR="00021CFE">
              <w:t>1</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0B851482" w14:textId="1E1B3994">
            <w:r w:rsidRPr="00E25790">
              <w:t xml:space="preserve">Approved: </w:t>
            </w:r>
            <w:r w:rsidR="00C9027D">
              <w:t>TC, KOH</w:t>
            </w:r>
          </w:p>
        </w:tc>
      </w:tr>
    </w:tbl>
    <w:p w:rsidRPr="00E25790" w:rsidR="00115F48" w:rsidP="006F0321" w:rsidRDefault="00115F48" w14:paraId="72ED6092" w14:textId="77777777"/>
    <w:tbl>
      <w:tblPr>
        <w:tblW w:w="992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01"/>
        <w:gridCol w:w="8222"/>
      </w:tblGrid>
      <w:tr w:rsidRPr="00026F20" w:rsidR="00021CFE" w:rsidTr="00021CFE" w14:paraId="3063879D" w14:textId="77777777">
        <w:trPr>
          <w:trHeight w:val="70"/>
        </w:trPr>
        <w:tc>
          <w:tcPr>
            <w:tcW w:w="1701" w:type="dxa"/>
          </w:tcPr>
          <w:p w:rsidRPr="00B53E9B" w:rsidR="00021CFE" w:rsidP="00131848" w:rsidRDefault="00021CFE" w14:paraId="0EE38840" w14:textId="77777777">
            <w:pPr>
              <w:pStyle w:val="BodyText"/>
              <w:tabs>
                <w:tab w:val="center" w:pos="1476"/>
              </w:tabs>
              <w:rPr>
                <w:rFonts w:cs="Arial"/>
                <w:b/>
                <w:sz w:val="20"/>
              </w:rPr>
            </w:pPr>
            <w:r w:rsidRPr="00B53E9B">
              <w:rPr>
                <w:rFonts w:cs="Arial"/>
                <w:b/>
                <w:sz w:val="20"/>
              </w:rPr>
              <w:t>Alert</w:t>
            </w:r>
            <w:r w:rsidRPr="00B53E9B">
              <w:rPr>
                <w:rFonts w:cs="Arial"/>
                <w:b/>
                <w:sz w:val="20"/>
              </w:rPr>
              <w:tab/>
            </w:r>
          </w:p>
        </w:tc>
        <w:tc>
          <w:tcPr>
            <w:tcW w:w="8222" w:type="dxa"/>
          </w:tcPr>
          <w:p w:rsidR="00021CFE" w:rsidP="00131848" w:rsidRDefault="00021CFE" w14:paraId="49EEB220" w14:textId="77777777">
            <w:pPr>
              <w:pStyle w:val="BodyText"/>
              <w:rPr>
                <w:rFonts w:cs="Arial"/>
                <w:sz w:val="20"/>
              </w:rPr>
            </w:pPr>
            <w:r w:rsidRPr="000F6A99">
              <w:rPr>
                <w:rFonts w:cs="Arial"/>
                <w:sz w:val="20"/>
              </w:rPr>
              <w:t>Check ampoule carefully as an adult 10 mg ampoule (Konakion MM Adult) is also available.</w:t>
            </w:r>
          </w:p>
          <w:p w:rsidR="00021CFE" w:rsidP="00131848" w:rsidRDefault="00021CFE" w14:paraId="65345C46" w14:textId="77777777">
            <w:pPr>
              <w:pStyle w:val="BodyText"/>
              <w:rPr>
                <w:rFonts w:cs="Arial"/>
                <w:sz w:val="20"/>
              </w:rPr>
            </w:pPr>
            <w:r>
              <w:rPr>
                <w:rFonts w:cs="Arial"/>
                <w:sz w:val="20"/>
              </w:rPr>
              <w:t>USE ONLY Konakion MM Paediatric.</w:t>
            </w:r>
          </w:p>
          <w:p w:rsidRPr="00026F20" w:rsidR="00021CFE" w:rsidP="00131848" w:rsidRDefault="00021CFE" w14:paraId="24C4E3CA" w14:textId="77777777">
            <w:pPr>
              <w:pStyle w:val="BodyText"/>
              <w:rPr>
                <w:rFonts w:cs="Arial"/>
                <w:sz w:val="20"/>
              </w:rPr>
            </w:pPr>
            <w:r>
              <w:rPr>
                <w:rFonts w:cs="Arial"/>
                <w:sz w:val="20"/>
              </w:rPr>
              <w:t>Vitamin K Deficiency Bleeding is also known as Haemorrhagic Disease of Newborn (HDN)</w:t>
            </w:r>
          </w:p>
        </w:tc>
      </w:tr>
      <w:tr w:rsidRPr="006A2FF0" w:rsidR="00021CFE" w:rsidTr="00021CFE" w14:paraId="0F559B54" w14:textId="77777777">
        <w:trPr>
          <w:trHeight w:val="72"/>
        </w:trPr>
        <w:tc>
          <w:tcPr>
            <w:tcW w:w="1701" w:type="dxa"/>
          </w:tcPr>
          <w:p w:rsidRPr="00B53E9B" w:rsidR="00021CFE" w:rsidP="00131848" w:rsidRDefault="00021CFE" w14:paraId="75565398" w14:textId="77777777">
            <w:pPr>
              <w:pStyle w:val="BodyText"/>
              <w:rPr>
                <w:rFonts w:cs="Arial"/>
                <w:sz w:val="20"/>
              </w:rPr>
            </w:pPr>
            <w:r w:rsidRPr="00B53E9B">
              <w:rPr>
                <w:rFonts w:cs="Arial"/>
                <w:b/>
                <w:bCs/>
                <w:sz w:val="20"/>
              </w:rPr>
              <w:t>Indication</w:t>
            </w:r>
          </w:p>
        </w:tc>
        <w:tc>
          <w:tcPr>
            <w:tcW w:w="8222" w:type="dxa"/>
          </w:tcPr>
          <w:p w:rsidRPr="006A2FF0" w:rsidR="00021CFE" w:rsidP="00131848" w:rsidRDefault="00021CFE" w14:paraId="0BD1EBF4" w14:textId="77777777">
            <w:pPr>
              <w:rPr>
                <w:sz w:val="20"/>
              </w:rPr>
            </w:pPr>
            <w:r w:rsidRPr="00716725">
              <w:rPr>
                <w:sz w:val="20"/>
              </w:rPr>
              <w:t>Prophylaxis and treatment of vitamin K deficiency bleeding (VKDB)</w:t>
            </w:r>
          </w:p>
        </w:tc>
      </w:tr>
      <w:tr w:rsidRPr="006A2FF0" w:rsidR="00021CFE" w:rsidTr="00021CFE" w14:paraId="0D02461A" w14:textId="77777777">
        <w:trPr>
          <w:trHeight w:val="70"/>
        </w:trPr>
        <w:tc>
          <w:tcPr>
            <w:tcW w:w="1701" w:type="dxa"/>
          </w:tcPr>
          <w:p w:rsidRPr="00B53E9B" w:rsidR="00021CFE" w:rsidP="00131848" w:rsidRDefault="00021CFE" w14:paraId="62349505" w14:textId="77777777">
            <w:pPr>
              <w:pStyle w:val="BodyText"/>
              <w:rPr>
                <w:rFonts w:cs="Arial"/>
                <w:b/>
                <w:bCs/>
                <w:sz w:val="20"/>
              </w:rPr>
            </w:pPr>
            <w:r w:rsidRPr="00B53E9B">
              <w:rPr>
                <w:rFonts w:cs="Arial"/>
                <w:b/>
                <w:bCs/>
                <w:sz w:val="20"/>
              </w:rPr>
              <w:t>Action</w:t>
            </w:r>
          </w:p>
        </w:tc>
        <w:tc>
          <w:tcPr>
            <w:tcW w:w="8222" w:type="dxa"/>
          </w:tcPr>
          <w:p w:rsidRPr="006A2FF0" w:rsidR="00021CFE" w:rsidP="00131848" w:rsidRDefault="00021CFE" w14:paraId="1645C0CD" w14:textId="77777777">
            <w:pPr>
              <w:rPr>
                <w:rFonts w:cs="Arial"/>
                <w:sz w:val="20"/>
              </w:rPr>
            </w:pPr>
            <w:r w:rsidRPr="00716725">
              <w:rPr>
                <w:rFonts w:cs="Arial"/>
                <w:sz w:val="20"/>
              </w:rPr>
              <w:t>Fat soluble vitamin</w:t>
            </w:r>
            <w:r>
              <w:rPr>
                <w:rFonts w:cs="Arial"/>
                <w:sz w:val="20"/>
              </w:rPr>
              <w:t>. Pr</w:t>
            </w:r>
            <w:r w:rsidRPr="00716725">
              <w:rPr>
                <w:rFonts w:cs="Arial"/>
                <w:sz w:val="20"/>
              </w:rPr>
              <w:t>omotes the activation of blood coagulation Factors II, VII, IX and X in the liver.</w:t>
            </w:r>
          </w:p>
        </w:tc>
      </w:tr>
      <w:tr w:rsidRPr="006A2FF0" w:rsidR="00021CFE" w:rsidTr="00021CFE" w14:paraId="65E0461C" w14:textId="77777777">
        <w:trPr>
          <w:trHeight w:val="266"/>
        </w:trPr>
        <w:tc>
          <w:tcPr>
            <w:tcW w:w="1701" w:type="dxa"/>
          </w:tcPr>
          <w:p w:rsidRPr="00B53E9B" w:rsidR="00021CFE" w:rsidP="00131848" w:rsidRDefault="00021CFE" w14:paraId="2B480DD1" w14:textId="77777777">
            <w:pPr>
              <w:pStyle w:val="BodyText"/>
              <w:rPr>
                <w:rFonts w:cs="Arial"/>
                <w:sz w:val="20"/>
              </w:rPr>
            </w:pPr>
            <w:r>
              <w:rPr>
                <w:rFonts w:cs="Arial"/>
                <w:b/>
                <w:bCs/>
                <w:sz w:val="20"/>
              </w:rPr>
              <w:t>Drug t</w:t>
            </w:r>
            <w:r w:rsidRPr="00B53E9B">
              <w:rPr>
                <w:rFonts w:cs="Arial"/>
                <w:b/>
                <w:bCs/>
                <w:sz w:val="20"/>
              </w:rPr>
              <w:t xml:space="preserve">ype                                   </w:t>
            </w:r>
          </w:p>
        </w:tc>
        <w:tc>
          <w:tcPr>
            <w:tcW w:w="8222" w:type="dxa"/>
          </w:tcPr>
          <w:p w:rsidRPr="006A2FF0" w:rsidR="00021CFE" w:rsidP="00131848" w:rsidRDefault="00021CFE" w14:paraId="0646D183" w14:textId="77777777">
            <w:pPr>
              <w:pStyle w:val="BodyText"/>
              <w:rPr>
                <w:rFonts w:cs="Arial"/>
                <w:sz w:val="20"/>
              </w:rPr>
            </w:pPr>
            <w:r w:rsidRPr="00716725">
              <w:rPr>
                <w:rFonts w:cs="Arial"/>
                <w:sz w:val="20"/>
              </w:rPr>
              <w:t>Vitamin.</w:t>
            </w:r>
          </w:p>
        </w:tc>
      </w:tr>
      <w:tr w:rsidRPr="006A2FF0" w:rsidR="00021CFE" w:rsidTr="00021CFE" w14:paraId="7947B8E1" w14:textId="77777777">
        <w:trPr>
          <w:trHeight w:val="114"/>
        </w:trPr>
        <w:tc>
          <w:tcPr>
            <w:tcW w:w="1701" w:type="dxa"/>
          </w:tcPr>
          <w:p w:rsidRPr="00B53E9B" w:rsidR="00021CFE" w:rsidP="00131848" w:rsidRDefault="00021CFE" w14:paraId="67EE90DD" w14:textId="77777777">
            <w:pPr>
              <w:pStyle w:val="BodyText"/>
              <w:rPr>
                <w:rFonts w:cs="Arial"/>
                <w:b/>
                <w:bCs/>
                <w:sz w:val="20"/>
              </w:rPr>
            </w:pPr>
            <w:r w:rsidRPr="00B53E9B">
              <w:rPr>
                <w:rFonts w:cs="Arial"/>
                <w:b/>
                <w:bCs/>
                <w:sz w:val="20"/>
              </w:rPr>
              <w:t>Trade</w:t>
            </w:r>
            <w:r>
              <w:rPr>
                <w:rFonts w:cs="Arial"/>
                <w:b/>
                <w:bCs/>
                <w:sz w:val="20"/>
              </w:rPr>
              <w:t xml:space="preserve"> n</w:t>
            </w:r>
            <w:r w:rsidRPr="00B53E9B">
              <w:rPr>
                <w:rFonts w:cs="Arial"/>
                <w:b/>
                <w:bCs/>
                <w:sz w:val="20"/>
              </w:rPr>
              <w:t xml:space="preserve">ame                  </w:t>
            </w:r>
          </w:p>
        </w:tc>
        <w:tc>
          <w:tcPr>
            <w:tcW w:w="8222" w:type="dxa"/>
          </w:tcPr>
          <w:p w:rsidRPr="006A2FF0" w:rsidR="00021CFE" w:rsidP="00131848" w:rsidRDefault="00021CFE" w14:paraId="46384F51" w14:textId="77777777">
            <w:pPr>
              <w:pStyle w:val="BodyText"/>
              <w:rPr>
                <w:rFonts w:cs="Arial"/>
                <w:sz w:val="20"/>
              </w:rPr>
            </w:pPr>
            <w:r w:rsidRPr="009E2A77">
              <w:rPr>
                <w:rFonts w:cs="Arial"/>
                <w:sz w:val="20"/>
              </w:rPr>
              <w:t>Konakion MM Paediatric.</w:t>
            </w:r>
          </w:p>
        </w:tc>
      </w:tr>
      <w:tr w:rsidRPr="006A2FF0" w:rsidR="00021CFE" w:rsidTr="00021CFE" w14:paraId="299FB41E" w14:textId="77777777">
        <w:trPr>
          <w:trHeight w:val="70"/>
        </w:trPr>
        <w:tc>
          <w:tcPr>
            <w:tcW w:w="1701" w:type="dxa"/>
          </w:tcPr>
          <w:p w:rsidRPr="00B53E9B" w:rsidR="00021CFE" w:rsidP="00131848" w:rsidRDefault="00021CFE" w14:paraId="4F8C8380" w14:textId="77777777">
            <w:pPr>
              <w:pStyle w:val="BodyText"/>
              <w:rPr>
                <w:rFonts w:cs="Arial"/>
                <w:b/>
                <w:bCs/>
                <w:sz w:val="20"/>
              </w:rPr>
            </w:pPr>
            <w:r w:rsidRPr="00B53E9B">
              <w:rPr>
                <w:rFonts w:cs="Arial"/>
                <w:b/>
                <w:bCs/>
                <w:sz w:val="20"/>
              </w:rPr>
              <w:t xml:space="preserve">Presentation </w:t>
            </w:r>
          </w:p>
        </w:tc>
        <w:tc>
          <w:tcPr>
            <w:tcW w:w="8222" w:type="dxa"/>
          </w:tcPr>
          <w:p w:rsidRPr="006A2FF0" w:rsidR="00021CFE" w:rsidP="00131848" w:rsidRDefault="00021CFE" w14:paraId="5C9DB7C4" w14:textId="77777777">
            <w:pPr>
              <w:pStyle w:val="BodyText"/>
              <w:rPr>
                <w:rFonts w:cs="Arial"/>
                <w:sz w:val="20"/>
              </w:rPr>
            </w:pPr>
            <w:r w:rsidRPr="009E2A77">
              <w:rPr>
                <w:rFonts w:cs="Arial"/>
                <w:sz w:val="20"/>
              </w:rPr>
              <w:t>2 mg/0.2 mL ampoule.</w:t>
            </w:r>
          </w:p>
        </w:tc>
      </w:tr>
      <w:tr w:rsidRPr="00026F20" w:rsidR="00021CFE" w:rsidTr="00021CFE" w14:paraId="4D9DBDA2" w14:textId="77777777">
        <w:trPr>
          <w:trHeight w:val="70"/>
        </w:trPr>
        <w:tc>
          <w:tcPr>
            <w:tcW w:w="1701" w:type="dxa"/>
          </w:tcPr>
          <w:p w:rsidRPr="00B53E9B" w:rsidR="00021CFE" w:rsidP="00131848" w:rsidRDefault="00021CFE" w14:paraId="6ECDBB89" w14:textId="77777777">
            <w:pPr>
              <w:pStyle w:val="BodyText"/>
              <w:rPr>
                <w:rFonts w:cs="Arial"/>
                <w:b/>
                <w:bCs/>
                <w:sz w:val="20"/>
              </w:rPr>
            </w:pPr>
            <w:r>
              <w:rPr>
                <w:rFonts w:cs="Arial"/>
                <w:b/>
                <w:bCs/>
                <w:sz w:val="20"/>
              </w:rPr>
              <w:t>Dose</w:t>
            </w:r>
            <w:r w:rsidRPr="00B53E9B">
              <w:rPr>
                <w:rFonts w:cs="Arial"/>
                <w:b/>
                <w:bCs/>
                <w:sz w:val="20"/>
              </w:rPr>
              <w:t xml:space="preserve">                          </w:t>
            </w:r>
          </w:p>
        </w:tc>
        <w:tc>
          <w:tcPr>
            <w:tcW w:w="8222" w:type="dxa"/>
          </w:tcPr>
          <w:p w:rsidRPr="009E2A77" w:rsidR="00021CFE" w:rsidP="00131848" w:rsidRDefault="00021CFE" w14:paraId="65A07266" w14:textId="77777777">
            <w:pPr>
              <w:pStyle w:val="BodyText"/>
              <w:rPr>
                <w:b/>
                <w:sz w:val="20"/>
              </w:rPr>
            </w:pPr>
            <w:r>
              <w:rPr>
                <w:b/>
                <w:sz w:val="20"/>
              </w:rPr>
              <w:t xml:space="preserve">IM </w:t>
            </w:r>
            <w:r w:rsidRPr="009E2A77">
              <w:rPr>
                <w:b/>
                <w:sz w:val="20"/>
              </w:rPr>
              <w:t xml:space="preserve">prophylaxis </w:t>
            </w:r>
            <w:r>
              <w:rPr>
                <w:b/>
                <w:sz w:val="20"/>
              </w:rPr>
              <w:t>(Recommended route)</w:t>
            </w:r>
            <w:r>
              <w:rPr>
                <w:b/>
                <w:noProof/>
                <w:sz w:val="20"/>
              </w:rPr>
              <w:t>(1)</w:t>
            </w:r>
          </w:p>
          <w:p w:rsidRPr="009E2A77" w:rsidR="00021CFE" w:rsidP="00131848" w:rsidRDefault="00021CFE" w14:paraId="5751A82B" w14:textId="77777777">
            <w:pPr>
              <w:pStyle w:val="BodyText"/>
              <w:ind w:left="720"/>
              <w:rPr>
                <w:sz w:val="20"/>
              </w:rPr>
            </w:pPr>
            <w:r>
              <w:rPr>
                <w:sz w:val="20"/>
              </w:rPr>
              <w:t xml:space="preserve">Birthweight </w:t>
            </w:r>
            <w:r w:rsidRPr="009E2A77">
              <w:rPr>
                <w:sz w:val="20"/>
              </w:rPr>
              <w:t xml:space="preserve">≥ 1500 g </w:t>
            </w:r>
            <w:r>
              <w:rPr>
                <w:sz w:val="20"/>
              </w:rPr>
              <w:t xml:space="preserve">- </w:t>
            </w:r>
            <w:r w:rsidRPr="009E2A77">
              <w:rPr>
                <w:sz w:val="20"/>
              </w:rPr>
              <w:t>1 mg (0.1 mL</w:t>
            </w:r>
            <w:r>
              <w:rPr>
                <w:sz w:val="20"/>
              </w:rPr>
              <w:t xml:space="preserve"> of </w:t>
            </w:r>
            <w:r w:rsidRPr="00004F8E">
              <w:rPr>
                <w:sz w:val="20"/>
              </w:rPr>
              <w:t>Konakion® MM</w:t>
            </w:r>
            <w:r w:rsidRPr="009E2A77">
              <w:rPr>
                <w:sz w:val="20"/>
              </w:rPr>
              <w:t>) as a single dose at birth.</w:t>
            </w:r>
          </w:p>
          <w:p w:rsidRPr="009E2A77" w:rsidR="00021CFE" w:rsidP="00131848" w:rsidRDefault="00021CFE" w14:paraId="72AD4FC9" w14:textId="77777777">
            <w:pPr>
              <w:pStyle w:val="BodyText"/>
              <w:ind w:left="720"/>
              <w:rPr>
                <w:sz w:val="20"/>
              </w:rPr>
            </w:pPr>
            <w:r>
              <w:rPr>
                <w:sz w:val="20"/>
              </w:rPr>
              <w:t xml:space="preserve">Birthweight </w:t>
            </w:r>
            <w:r w:rsidRPr="009E2A77">
              <w:rPr>
                <w:sz w:val="20"/>
              </w:rPr>
              <w:t>&lt;1500 g</w:t>
            </w:r>
            <w:r>
              <w:rPr>
                <w:sz w:val="20"/>
              </w:rPr>
              <w:t xml:space="preserve"> - </w:t>
            </w:r>
            <w:r w:rsidRPr="009E2A77">
              <w:rPr>
                <w:sz w:val="20"/>
              </w:rPr>
              <w:t>0.5 mg (0.05 mL</w:t>
            </w:r>
            <w:r>
              <w:rPr>
                <w:sz w:val="20"/>
              </w:rPr>
              <w:t xml:space="preserve"> of </w:t>
            </w:r>
            <w:r w:rsidRPr="00004F8E">
              <w:rPr>
                <w:sz w:val="20"/>
              </w:rPr>
              <w:t>Konakion® MM</w:t>
            </w:r>
            <w:r w:rsidRPr="009E2A77">
              <w:rPr>
                <w:sz w:val="20"/>
              </w:rPr>
              <w:t>) as a single dose at birth.</w:t>
            </w:r>
          </w:p>
          <w:p w:rsidRPr="009E2A77" w:rsidR="00021CFE" w:rsidP="00131848" w:rsidRDefault="00021CFE" w14:paraId="7DDACDDF" w14:textId="77777777">
            <w:pPr>
              <w:pStyle w:val="BodyText"/>
              <w:rPr>
                <w:sz w:val="20"/>
              </w:rPr>
            </w:pPr>
          </w:p>
          <w:p w:rsidRPr="009E2A77" w:rsidR="00021CFE" w:rsidP="00131848" w:rsidRDefault="00021CFE" w14:paraId="4E18EDF4" w14:textId="77777777">
            <w:pPr>
              <w:pStyle w:val="BodyText"/>
              <w:rPr>
                <w:b/>
                <w:sz w:val="20"/>
              </w:rPr>
            </w:pPr>
            <w:r w:rsidRPr="009E2A77">
              <w:rPr>
                <w:b/>
                <w:sz w:val="20"/>
              </w:rPr>
              <w:t>Oral prophylaxis</w:t>
            </w:r>
            <w:r>
              <w:rPr>
                <w:b/>
                <w:noProof/>
                <w:sz w:val="20"/>
              </w:rPr>
              <w:t>(1)</w:t>
            </w:r>
          </w:p>
          <w:p w:rsidRPr="009E2A77" w:rsidR="00021CFE" w:rsidP="00131848" w:rsidRDefault="00021CFE" w14:paraId="2D6D92EB" w14:textId="77777777">
            <w:pPr>
              <w:pStyle w:val="BodyText"/>
              <w:rPr>
                <w:sz w:val="20"/>
              </w:rPr>
            </w:pPr>
            <w:r w:rsidRPr="009E2A77">
              <w:rPr>
                <w:sz w:val="20"/>
              </w:rPr>
              <w:t xml:space="preserve">2 mg </w:t>
            </w:r>
            <w:r>
              <w:rPr>
                <w:sz w:val="20"/>
              </w:rPr>
              <w:t xml:space="preserve">(0.2 mL of </w:t>
            </w:r>
            <w:r w:rsidRPr="00004F8E">
              <w:rPr>
                <w:sz w:val="20"/>
              </w:rPr>
              <w:t>Konakion® MM</w:t>
            </w:r>
            <w:r>
              <w:rPr>
                <w:sz w:val="20"/>
              </w:rPr>
              <w:t xml:space="preserve">) </w:t>
            </w:r>
            <w:r w:rsidRPr="009E2A77">
              <w:rPr>
                <w:sz w:val="20"/>
              </w:rPr>
              <w:t>for 3 doses:</w:t>
            </w:r>
          </w:p>
          <w:p w:rsidR="00021CFE" w:rsidP="00021CFE" w:rsidRDefault="00021CFE" w14:paraId="5FA9FCB6" w14:textId="77777777">
            <w:pPr>
              <w:pStyle w:val="BodyText"/>
              <w:numPr>
                <w:ilvl w:val="0"/>
                <w:numId w:val="160"/>
              </w:numPr>
              <w:overflowPunct w:val="0"/>
              <w:autoSpaceDE w:val="0"/>
              <w:autoSpaceDN w:val="0"/>
              <w:adjustRightInd w:val="0"/>
              <w:jc w:val="left"/>
              <w:textAlignment w:val="baseline"/>
              <w:rPr>
                <w:sz w:val="20"/>
              </w:rPr>
            </w:pPr>
            <w:r w:rsidRPr="009E2A77">
              <w:rPr>
                <w:sz w:val="20"/>
              </w:rPr>
              <w:t>First dose: At birth.</w:t>
            </w:r>
          </w:p>
          <w:p w:rsidR="00021CFE" w:rsidP="00021CFE" w:rsidRDefault="00021CFE" w14:paraId="1750CCED" w14:textId="77777777">
            <w:pPr>
              <w:pStyle w:val="BodyText"/>
              <w:numPr>
                <w:ilvl w:val="0"/>
                <w:numId w:val="160"/>
              </w:numPr>
              <w:overflowPunct w:val="0"/>
              <w:autoSpaceDE w:val="0"/>
              <w:autoSpaceDN w:val="0"/>
              <w:adjustRightInd w:val="0"/>
              <w:jc w:val="left"/>
              <w:textAlignment w:val="baseline"/>
              <w:rPr>
                <w:sz w:val="20"/>
              </w:rPr>
            </w:pPr>
            <w:r w:rsidRPr="00004F8E">
              <w:rPr>
                <w:sz w:val="20"/>
              </w:rPr>
              <w:t>Second dose: 3–5 days of age (at time of newborn screening)</w:t>
            </w:r>
          </w:p>
          <w:p w:rsidR="00021CFE" w:rsidP="00021CFE" w:rsidRDefault="00021CFE" w14:paraId="11D26EC7" w14:textId="77777777">
            <w:pPr>
              <w:pStyle w:val="BodyText"/>
              <w:numPr>
                <w:ilvl w:val="0"/>
                <w:numId w:val="160"/>
              </w:numPr>
              <w:overflowPunct w:val="0"/>
              <w:autoSpaceDE w:val="0"/>
              <w:autoSpaceDN w:val="0"/>
              <w:adjustRightInd w:val="0"/>
              <w:jc w:val="left"/>
              <w:textAlignment w:val="baseline"/>
              <w:rPr>
                <w:sz w:val="20"/>
              </w:rPr>
            </w:pPr>
            <w:r w:rsidRPr="00004F8E">
              <w:rPr>
                <w:sz w:val="20"/>
              </w:rPr>
              <w:t>Third dose: During 4</w:t>
            </w:r>
            <w:r w:rsidRPr="00CA4E19">
              <w:rPr>
                <w:sz w:val="20"/>
                <w:vertAlign w:val="superscript"/>
              </w:rPr>
              <w:t>th</w:t>
            </w:r>
            <w:r w:rsidRPr="00004F8E">
              <w:rPr>
                <w:sz w:val="20"/>
              </w:rPr>
              <w:t xml:space="preserve"> week</w:t>
            </w:r>
            <w:r>
              <w:rPr>
                <w:sz w:val="20"/>
              </w:rPr>
              <w:t xml:space="preserve"> (day 22-28 of life)</w:t>
            </w:r>
            <w:r w:rsidRPr="00004F8E">
              <w:rPr>
                <w:sz w:val="20"/>
              </w:rPr>
              <w:t>.</w:t>
            </w:r>
          </w:p>
          <w:p w:rsidR="00021CFE" w:rsidP="00021CFE" w:rsidRDefault="00021CFE" w14:paraId="50F07121" w14:textId="77777777">
            <w:pPr>
              <w:pStyle w:val="BodyText"/>
              <w:numPr>
                <w:ilvl w:val="0"/>
                <w:numId w:val="160"/>
              </w:numPr>
              <w:overflowPunct w:val="0"/>
              <w:autoSpaceDE w:val="0"/>
              <w:autoSpaceDN w:val="0"/>
              <w:adjustRightInd w:val="0"/>
              <w:jc w:val="left"/>
              <w:textAlignment w:val="baseline"/>
              <w:rPr>
                <w:sz w:val="20"/>
              </w:rPr>
            </w:pPr>
            <w:r w:rsidRPr="00004F8E">
              <w:rPr>
                <w:sz w:val="20"/>
              </w:rPr>
              <w:t>It is imperative that the third dose is given no later than 4 weeks after birth as the effect of earlier doses decreases after this</w:t>
            </w:r>
            <w:r>
              <w:rPr>
                <w:sz w:val="20"/>
              </w:rPr>
              <w:t xml:space="preserve"> </w:t>
            </w:r>
            <w:r w:rsidRPr="00004F8E">
              <w:rPr>
                <w:sz w:val="20"/>
              </w:rPr>
              <w:t>time.</w:t>
            </w:r>
          </w:p>
          <w:p w:rsidRPr="00004F8E" w:rsidR="00021CFE" w:rsidP="00021CFE" w:rsidRDefault="00021CFE" w14:paraId="3330D89B" w14:textId="77777777">
            <w:pPr>
              <w:pStyle w:val="BodyText"/>
              <w:numPr>
                <w:ilvl w:val="0"/>
                <w:numId w:val="160"/>
              </w:numPr>
              <w:overflowPunct w:val="0"/>
              <w:autoSpaceDE w:val="0"/>
              <w:autoSpaceDN w:val="0"/>
              <w:adjustRightInd w:val="0"/>
              <w:jc w:val="left"/>
              <w:textAlignment w:val="baseline"/>
              <w:rPr>
                <w:sz w:val="20"/>
              </w:rPr>
            </w:pPr>
            <w:r w:rsidRPr="00DB1CFD">
              <w:rPr>
                <w:sz w:val="20"/>
              </w:rPr>
              <w:t>Repeat</w:t>
            </w:r>
            <w:r>
              <w:rPr>
                <w:sz w:val="20"/>
              </w:rPr>
              <w:t xml:space="preserve"> the oral</w:t>
            </w:r>
            <w:r w:rsidRPr="00DB1CFD">
              <w:rPr>
                <w:sz w:val="20"/>
              </w:rPr>
              <w:t xml:space="preserve"> dose if infant vomits within an hour of an oral dose or if diarrhoea occurs within 24 hours of administration.</w:t>
            </w:r>
          </w:p>
          <w:p w:rsidR="00021CFE" w:rsidP="00131848" w:rsidRDefault="00021CFE" w14:paraId="73F26F13" w14:textId="77777777">
            <w:pPr>
              <w:pStyle w:val="BodyText"/>
              <w:rPr>
                <w:sz w:val="20"/>
              </w:rPr>
            </w:pPr>
          </w:p>
          <w:p w:rsidRPr="001C3A36" w:rsidR="00021CFE" w:rsidP="00131848" w:rsidRDefault="00021CFE" w14:paraId="369C11A8" w14:textId="77777777">
            <w:pPr>
              <w:pStyle w:val="BodyText"/>
              <w:rPr>
                <w:b/>
                <w:sz w:val="20"/>
              </w:rPr>
            </w:pPr>
            <w:r w:rsidRPr="001C3A36">
              <w:rPr>
                <w:b/>
                <w:sz w:val="20"/>
              </w:rPr>
              <w:t>IV Prophylaxis (5)</w:t>
            </w:r>
          </w:p>
          <w:p w:rsidRPr="001C3A36" w:rsidR="00021CFE" w:rsidP="00131848" w:rsidRDefault="00021CFE" w14:paraId="1C5E2749" w14:textId="77777777">
            <w:pPr>
              <w:pStyle w:val="BodyText"/>
              <w:rPr>
                <w:sz w:val="20"/>
              </w:rPr>
            </w:pPr>
            <w:r w:rsidRPr="001C3A36">
              <w:rPr>
                <w:sz w:val="20"/>
              </w:rPr>
              <w:t>May be given in sick infants if unable to give IM or oral injection.</w:t>
            </w:r>
          </w:p>
          <w:p w:rsidRPr="001C3A36" w:rsidR="00021CFE" w:rsidP="00131848" w:rsidRDefault="00021CFE" w14:paraId="6315D969" w14:textId="77777777">
            <w:pPr>
              <w:pStyle w:val="BodyText"/>
              <w:rPr>
                <w:sz w:val="20"/>
              </w:rPr>
            </w:pPr>
            <w:r w:rsidRPr="001C3A36">
              <w:rPr>
                <w:sz w:val="20"/>
              </w:rPr>
              <w:t xml:space="preserve">0.3 mg/kg (0.2-0.4 mg/kg) as a single dose </w:t>
            </w:r>
            <w:r w:rsidRPr="000444A0">
              <w:rPr>
                <w:sz w:val="20"/>
              </w:rPr>
              <w:t>as a slow bolus (maximum 1 mg/minute).</w:t>
            </w:r>
          </w:p>
          <w:p w:rsidRPr="001C3A36" w:rsidR="00021CFE" w:rsidP="00131848" w:rsidRDefault="00021CFE" w14:paraId="58426C55" w14:textId="77777777">
            <w:pPr>
              <w:pStyle w:val="BodyText"/>
              <w:rPr>
                <w:sz w:val="20"/>
              </w:rPr>
            </w:pPr>
            <w:r w:rsidRPr="001C3A36">
              <w:rPr>
                <w:sz w:val="20"/>
              </w:rPr>
              <w:t>Dose can be repeated weekly.</w:t>
            </w:r>
            <w:r w:rsidRPr="000444A0">
              <w:rPr>
                <w:sz w:val="20"/>
              </w:rPr>
              <w:t xml:space="preserve"> </w:t>
            </w:r>
          </w:p>
          <w:p w:rsidR="00021CFE" w:rsidP="00131848" w:rsidRDefault="00021CFE" w14:paraId="0742D4E5" w14:textId="77777777">
            <w:pPr>
              <w:pStyle w:val="BodyText"/>
              <w:rPr>
                <w:b/>
                <w:sz w:val="20"/>
              </w:rPr>
            </w:pPr>
          </w:p>
          <w:p w:rsidRPr="009E2A77" w:rsidR="00021CFE" w:rsidP="00131848" w:rsidRDefault="00021CFE" w14:paraId="29EE0AC4" w14:textId="77777777">
            <w:pPr>
              <w:pStyle w:val="BodyText"/>
              <w:rPr>
                <w:b/>
                <w:sz w:val="20"/>
              </w:rPr>
            </w:pPr>
            <w:r w:rsidRPr="009E2A77">
              <w:rPr>
                <w:b/>
                <w:sz w:val="20"/>
              </w:rPr>
              <w:t xml:space="preserve">IV treatment of </w:t>
            </w:r>
            <w:r>
              <w:rPr>
                <w:b/>
                <w:sz w:val="20"/>
              </w:rPr>
              <w:t>Vitamin K deficiency bleeding (VKDB)</w:t>
            </w:r>
          </w:p>
          <w:p w:rsidR="00021CFE" w:rsidP="00131848" w:rsidRDefault="00021CFE" w14:paraId="2C1FD62C" w14:textId="77777777">
            <w:pPr>
              <w:pStyle w:val="BodyText"/>
              <w:rPr>
                <w:sz w:val="20"/>
              </w:rPr>
            </w:pPr>
            <w:r w:rsidRPr="009E2A77">
              <w:rPr>
                <w:sz w:val="20"/>
              </w:rPr>
              <w:t>1 mg IV as a slow bolus (maximum 1 mg</w:t>
            </w:r>
            <w:r>
              <w:rPr>
                <w:sz w:val="20"/>
              </w:rPr>
              <w:t>/</w:t>
            </w:r>
            <w:r w:rsidRPr="009E2A77">
              <w:rPr>
                <w:sz w:val="20"/>
              </w:rPr>
              <w:t>minute). Dose can be repeated in 4–6 hours if required.</w:t>
            </w:r>
          </w:p>
          <w:p w:rsidRPr="007E1B7C" w:rsidR="00021CFE" w:rsidP="00131848" w:rsidRDefault="00021CFE" w14:paraId="5C682F13" w14:textId="77777777">
            <w:pPr>
              <w:pStyle w:val="BodyText"/>
              <w:rPr>
                <w:sz w:val="20"/>
              </w:rPr>
            </w:pPr>
            <w:r w:rsidRPr="007E1B7C">
              <w:rPr>
                <w:sz w:val="20"/>
              </w:rPr>
              <w:t>Must be administered in the presence of a medical officer.</w:t>
            </w:r>
          </w:p>
          <w:p w:rsidRPr="00026F20" w:rsidR="00021CFE" w:rsidP="00131848" w:rsidRDefault="00021CFE" w14:paraId="23E2C49F" w14:textId="77777777">
            <w:pPr>
              <w:pStyle w:val="BodyText"/>
              <w:rPr>
                <w:sz w:val="20"/>
              </w:rPr>
            </w:pPr>
            <w:r w:rsidRPr="007E1B7C">
              <w:rPr>
                <w:sz w:val="20"/>
              </w:rPr>
              <w:t>May be given subcutaneously if venous access not available.</w:t>
            </w:r>
          </w:p>
        </w:tc>
      </w:tr>
      <w:tr w:rsidRPr="00026F20" w:rsidR="00021CFE" w:rsidTr="00021CFE" w14:paraId="2D5A9248" w14:textId="77777777">
        <w:trPr>
          <w:trHeight w:val="250"/>
        </w:trPr>
        <w:tc>
          <w:tcPr>
            <w:tcW w:w="1701" w:type="dxa"/>
          </w:tcPr>
          <w:p w:rsidRPr="00B53E9B" w:rsidR="00021CFE" w:rsidP="00131848" w:rsidRDefault="00021CFE" w14:paraId="3780E0B2" w14:textId="77777777">
            <w:pPr>
              <w:pStyle w:val="BodyText"/>
              <w:rPr>
                <w:b/>
                <w:sz w:val="20"/>
              </w:rPr>
            </w:pPr>
            <w:r w:rsidRPr="00B53E9B">
              <w:rPr>
                <w:b/>
                <w:sz w:val="20"/>
              </w:rPr>
              <w:t>Dose adjustment</w:t>
            </w:r>
          </w:p>
        </w:tc>
        <w:tc>
          <w:tcPr>
            <w:tcW w:w="8222" w:type="dxa"/>
          </w:tcPr>
          <w:p w:rsidRPr="00026F20" w:rsidR="00021CFE" w:rsidP="00131848" w:rsidRDefault="00021CFE" w14:paraId="6638D544" w14:textId="77777777">
            <w:pPr>
              <w:pStyle w:val="BodyText"/>
              <w:rPr>
                <w:sz w:val="20"/>
              </w:rPr>
            </w:pPr>
            <w:r>
              <w:rPr>
                <w:sz w:val="20"/>
              </w:rPr>
              <w:t>No information.</w:t>
            </w:r>
          </w:p>
        </w:tc>
      </w:tr>
      <w:tr w:rsidRPr="00026F20" w:rsidR="00021CFE" w:rsidTr="00021CFE" w14:paraId="2DA4E626" w14:textId="77777777">
        <w:trPr>
          <w:trHeight w:val="113"/>
        </w:trPr>
        <w:tc>
          <w:tcPr>
            <w:tcW w:w="1701" w:type="dxa"/>
          </w:tcPr>
          <w:p w:rsidRPr="00B53E9B" w:rsidR="00021CFE" w:rsidP="00131848" w:rsidRDefault="00021CFE" w14:paraId="06AAA24F" w14:textId="77777777">
            <w:pPr>
              <w:pStyle w:val="BodyText"/>
              <w:rPr>
                <w:b/>
                <w:sz w:val="20"/>
              </w:rPr>
            </w:pPr>
            <w:r w:rsidRPr="00B53E9B">
              <w:rPr>
                <w:b/>
                <w:sz w:val="20"/>
              </w:rPr>
              <w:t>Maximum dose</w:t>
            </w:r>
          </w:p>
        </w:tc>
        <w:tc>
          <w:tcPr>
            <w:tcW w:w="8222" w:type="dxa"/>
          </w:tcPr>
          <w:p w:rsidRPr="00026F20" w:rsidR="00021CFE" w:rsidP="00131848" w:rsidRDefault="00021CFE" w14:paraId="5B21757B" w14:textId="77777777">
            <w:pPr>
              <w:pStyle w:val="BodyText"/>
              <w:rPr>
                <w:sz w:val="20"/>
              </w:rPr>
            </w:pPr>
          </w:p>
        </w:tc>
      </w:tr>
      <w:tr w:rsidRPr="004B334F" w:rsidR="00021CFE" w:rsidTr="00021CFE" w14:paraId="452788AD" w14:textId="77777777">
        <w:trPr>
          <w:trHeight w:val="144"/>
        </w:trPr>
        <w:tc>
          <w:tcPr>
            <w:tcW w:w="1701" w:type="dxa"/>
          </w:tcPr>
          <w:p w:rsidRPr="00B53E9B" w:rsidR="00021CFE" w:rsidP="00131848" w:rsidRDefault="00021CFE" w14:paraId="2A1DF9F3" w14:textId="77777777">
            <w:pPr>
              <w:pStyle w:val="BodyText"/>
              <w:rPr>
                <w:rFonts w:cs="Arial"/>
                <w:b/>
                <w:bCs/>
                <w:sz w:val="20"/>
              </w:rPr>
            </w:pPr>
            <w:r w:rsidRPr="00B53E9B">
              <w:rPr>
                <w:b/>
                <w:sz w:val="20"/>
              </w:rPr>
              <w:t>Total cumulative dose</w:t>
            </w:r>
          </w:p>
        </w:tc>
        <w:tc>
          <w:tcPr>
            <w:tcW w:w="8222" w:type="dxa"/>
          </w:tcPr>
          <w:p w:rsidRPr="004B334F" w:rsidR="00021CFE" w:rsidP="00131848" w:rsidRDefault="00021CFE" w14:paraId="5B0AB751" w14:textId="77777777">
            <w:pPr>
              <w:pStyle w:val="BodyText"/>
              <w:rPr>
                <w:rFonts w:cs="Arial"/>
                <w:sz w:val="20"/>
              </w:rPr>
            </w:pPr>
          </w:p>
        </w:tc>
      </w:tr>
      <w:tr w:rsidRPr="00026F20" w:rsidR="00021CFE" w:rsidTr="00021CFE" w14:paraId="283C5156" w14:textId="77777777">
        <w:trPr>
          <w:trHeight w:val="294"/>
        </w:trPr>
        <w:tc>
          <w:tcPr>
            <w:tcW w:w="1701" w:type="dxa"/>
          </w:tcPr>
          <w:p w:rsidRPr="00B53E9B" w:rsidR="00021CFE" w:rsidP="00131848" w:rsidRDefault="00021CFE" w14:paraId="18B31E0E" w14:textId="77777777">
            <w:pPr>
              <w:pStyle w:val="BodyText"/>
              <w:rPr>
                <w:rFonts w:cs="Arial"/>
                <w:sz w:val="20"/>
              </w:rPr>
            </w:pPr>
            <w:r w:rsidRPr="00B53E9B">
              <w:rPr>
                <w:rFonts w:cs="Arial"/>
                <w:b/>
                <w:bCs/>
                <w:sz w:val="20"/>
              </w:rPr>
              <w:t xml:space="preserve">Route                                </w:t>
            </w:r>
          </w:p>
        </w:tc>
        <w:tc>
          <w:tcPr>
            <w:tcW w:w="8222" w:type="dxa"/>
          </w:tcPr>
          <w:p w:rsidRPr="00026F20" w:rsidR="00021CFE" w:rsidP="00131848" w:rsidRDefault="00021CFE" w14:paraId="2A94C452" w14:textId="77777777">
            <w:pPr>
              <w:pStyle w:val="BodyText"/>
              <w:rPr>
                <w:rFonts w:cs="Arial"/>
                <w:sz w:val="20"/>
              </w:rPr>
            </w:pPr>
            <w:r w:rsidRPr="00EB5CB0">
              <w:rPr>
                <w:rFonts w:cs="Arial"/>
                <w:sz w:val="20"/>
              </w:rPr>
              <w:t>IM, Oral, IV, subcutaneous</w:t>
            </w:r>
          </w:p>
        </w:tc>
      </w:tr>
      <w:tr w:rsidRPr="00026F20" w:rsidR="00021CFE" w:rsidTr="00021CFE" w14:paraId="1C735CFE" w14:textId="77777777">
        <w:trPr>
          <w:trHeight w:val="93"/>
        </w:trPr>
        <w:tc>
          <w:tcPr>
            <w:tcW w:w="1701" w:type="dxa"/>
          </w:tcPr>
          <w:p w:rsidRPr="00B53E9B" w:rsidR="00021CFE" w:rsidP="00131848" w:rsidRDefault="00021CFE" w14:paraId="2D091806" w14:textId="77777777">
            <w:pPr>
              <w:pStyle w:val="BodyText"/>
              <w:rPr>
                <w:rFonts w:cs="Arial"/>
                <w:b/>
                <w:bCs/>
                <w:sz w:val="20"/>
                <w:highlight w:val="cyan"/>
              </w:rPr>
            </w:pPr>
            <w:r w:rsidRPr="00B53E9B">
              <w:rPr>
                <w:rFonts w:cs="Arial"/>
                <w:b/>
                <w:bCs/>
                <w:sz w:val="20"/>
              </w:rPr>
              <w:t>Preparation</w:t>
            </w:r>
            <w:r w:rsidRPr="00B53E9B">
              <w:rPr>
                <w:rFonts w:cs="Arial"/>
                <w:b/>
                <w:bCs/>
                <w:sz w:val="20"/>
                <w:highlight w:val="cyan"/>
              </w:rPr>
              <w:t xml:space="preserve">                </w:t>
            </w:r>
          </w:p>
        </w:tc>
        <w:tc>
          <w:tcPr>
            <w:tcW w:w="8222" w:type="dxa"/>
          </w:tcPr>
          <w:p w:rsidRPr="00EB5CB0" w:rsidR="00021CFE" w:rsidP="00131848" w:rsidRDefault="00021CFE" w14:paraId="50EB7878" w14:textId="77777777">
            <w:pPr>
              <w:pStyle w:val="BodyText"/>
              <w:rPr>
                <w:rFonts w:cs="Arial"/>
                <w:sz w:val="20"/>
              </w:rPr>
            </w:pPr>
            <w:r w:rsidRPr="00EB5CB0">
              <w:rPr>
                <w:rFonts w:cs="Arial"/>
                <w:sz w:val="20"/>
              </w:rPr>
              <w:t>IM and oral: Administer undiluted.</w:t>
            </w:r>
          </w:p>
          <w:p w:rsidRPr="00EB5CB0" w:rsidR="00021CFE" w:rsidP="00131848" w:rsidRDefault="00021CFE" w14:paraId="747968B6" w14:textId="77777777">
            <w:pPr>
              <w:pStyle w:val="BodyText"/>
              <w:rPr>
                <w:rFonts w:cs="Arial"/>
                <w:sz w:val="20"/>
              </w:rPr>
            </w:pPr>
          </w:p>
          <w:p w:rsidRPr="00026F20" w:rsidR="00021CFE" w:rsidP="00131848" w:rsidRDefault="00021CFE" w14:paraId="70B2F524" w14:textId="77777777">
            <w:pPr>
              <w:pStyle w:val="BodyText"/>
              <w:rPr>
                <w:rFonts w:cs="Arial"/>
                <w:sz w:val="20"/>
              </w:rPr>
            </w:pPr>
            <w:r w:rsidRPr="001C3A36">
              <w:rPr>
                <w:rFonts w:cs="Arial"/>
                <w:sz w:val="20"/>
              </w:rPr>
              <w:t>IV: Draw up 0.2 mL (2 mg) of konakion MM Paediatric and add 1.8mL of glucose 5% or sodium chloride 0.9% to make a 1 mg/mL solution.</w:t>
            </w:r>
          </w:p>
        </w:tc>
      </w:tr>
      <w:tr w:rsidRPr="00026F20" w:rsidR="00021CFE" w:rsidTr="00021CFE" w14:paraId="760335B2" w14:textId="77777777">
        <w:trPr>
          <w:trHeight w:val="224"/>
        </w:trPr>
        <w:tc>
          <w:tcPr>
            <w:tcW w:w="1701" w:type="dxa"/>
          </w:tcPr>
          <w:p w:rsidRPr="00B53E9B" w:rsidR="00021CFE" w:rsidP="00131848" w:rsidRDefault="00021CFE" w14:paraId="10C339F1" w14:textId="77777777">
            <w:pPr>
              <w:pStyle w:val="BodyText"/>
              <w:rPr>
                <w:rFonts w:cs="Arial"/>
                <w:b/>
                <w:bCs/>
                <w:sz w:val="20"/>
              </w:rPr>
            </w:pPr>
            <w:r w:rsidRPr="00B53E9B">
              <w:rPr>
                <w:rFonts w:cs="Arial"/>
                <w:b/>
                <w:bCs/>
                <w:sz w:val="20"/>
              </w:rPr>
              <w:t xml:space="preserve">Administration                </w:t>
            </w:r>
          </w:p>
        </w:tc>
        <w:tc>
          <w:tcPr>
            <w:tcW w:w="8222" w:type="dxa"/>
            <w:vAlign w:val="center"/>
          </w:tcPr>
          <w:p w:rsidRPr="00EB5CB0" w:rsidR="00021CFE" w:rsidP="00131848" w:rsidRDefault="00021CFE" w14:paraId="2C9298D6" w14:textId="77777777">
            <w:pPr>
              <w:pStyle w:val="BodyText"/>
              <w:rPr>
                <w:rFonts w:cs="Arial"/>
                <w:sz w:val="20"/>
              </w:rPr>
            </w:pPr>
            <w:r w:rsidRPr="008C5A77">
              <w:rPr>
                <w:rFonts w:cs="Arial"/>
                <w:b/>
                <w:bCs/>
                <w:sz w:val="20"/>
              </w:rPr>
              <w:t>IM</w:t>
            </w:r>
            <w:r w:rsidRPr="00EB5CB0">
              <w:rPr>
                <w:rFonts w:cs="Arial"/>
                <w:sz w:val="20"/>
              </w:rPr>
              <w:t xml:space="preserve">: Administer undiluted. </w:t>
            </w:r>
          </w:p>
          <w:p w:rsidR="00021CFE" w:rsidP="00131848" w:rsidRDefault="00021CFE" w14:paraId="0EFE0BC2" w14:textId="77777777">
            <w:pPr>
              <w:pStyle w:val="BodyText"/>
              <w:rPr>
                <w:rFonts w:cs="Arial"/>
                <w:sz w:val="20"/>
              </w:rPr>
            </w:pPr>
            <w:r w:rsidRPr="008C5A77">
              <w:rPr>
                <w:rFonts w:cs="Arial"/>
                <w:b/>
                <w:bCs/>
                <w:sz w:val="20"/>
              </w:rPr>
              <w:t>Ora</w:t>
            </w:r>
            <w:r w:rsidRPr="00EB5CB0">
              <w:rPr>
                <w:rFonts w:cs="Arial"/>
                <w:sz w:val="20"/>
              </w:rPr>
              <w:t>l: Injection solution can be administered orally</w:t>
            </w:r>
            <w:r>
              <w:rPr>
                <w:rFonts w:cs="Arial"/>
                <w:sz w:val="20"/>
              </w:rPr>
              <w:t xml:space="preserve"> via dispenser provided. </w:t>
            </w:r>
          </w:p>
          <w:p w:rsidR="00021CFE" w:rsidP="00131848" w:rsidRDefault="00021CFE" w14:paraId="4315C5ED" w14:textId="77777777">
            <w:pPr>
              <w:pStyle w:val="BodyText"/>
              <w:rPr>
                <w:rFonts w:cs="Arial"/>
                <w:sz w:val="20"/>
              </w:rPr>
            </w:pPr>
            <w:r w:rsidRPr="00EB5CB0">
              <w:rPr>
                <w:rFonts w:cs="Arial"/>
                <w:sz w:val="20"/>
              </w:rPr>
              <w:t>Repeated doses are advised if infant vomits within an hour of an oral dose or if diarrhoea occurs within 24 hours of administration. Check with medical officer for advice.</w:t>
            </w:r>
          </w:p>
          <w:p w:rsidR="00021CFE" w:rsidP="00131848" w:rsidRDefault="00021CFE" w14:paraId="3556F4A2" w14:textId="77777777">
            <w:pPr>
              <w:pStyle w:val="BodyText"/>
              <w:rPr>
                <w:rFonts w:cs="Arial"/>
                <w:sz w:val="20"/>
              </w:rPr>
            </w:pPr>
            <w:r w:rsidRPr="008C5A77">
              <w:rPr>
                <w:rFonts w:cs="Arial"/>
                <w:b/>
                <w:bCs/>
                <w:sz w:val="20"/>
              </w:rPr>
              <w:t>IV</w:t>
            </w:r>
            <w:r w:rsidRPr="00EB5CB0">
              <w:rPr>
                <w:rFonts w:cs="Arial"/>
                <w:sz w:val="20"/>
              </w:rPr>
              <w:t>: slow bolus. Maximum rate 1mg</w:t>
            </w:r>
            <w:r>
              <w:rPr>
                <w:rFonts w:cs="Arial"/>
                <w:sz w:val="20"/>
              </w:rPr>
              <w:t>/</w:t>
            </w:r>
            <w:r w:rsidRPr="00EB5CB0">
              <w:rPr>
                <w:rFonts w:cs="Arial"/>
                <w:sz w:val="20"/>
              </w:rPr>
              <w:t xml:space="preserve">minute. </w:t>
            </w:r>
          </w:p>
          <w:p w:rsidRPr="009E2A77" w:rsidR="00021CFE" w:rsidP="00131848" w:rsidRDefault="00021CFE" w14:paraId="63F3B507" w14:textId="77777777">
            <w:pPr>
              <w:pStyle w:val="BodyText"/>
              <w:rPr>
                <w:sz w:val="20"/>
              </w:rPr>
            </w:pPr>
            <w:r w:rsidRPr="009E2A77">
              <w:rPr>
                <w:sz w:val="20"/>
              </w:rPr>
              <w:lastRenderedPageBreak/>
              <w:t>Must be administered in the presence of a medical officer.</w:t>
            </w:r>
          </w:p>
          <w:p w:rsidRPr="00026F20" w:rsidR="00021CFE" w:rsidP="00131848" w:rsidRDefault="00021CFE" w14:paraId="1774C701" w14:textId="77777777">
            <w:pPr>
              <w:pStyle w:val="BodyText"/>
              <w:rPr>
                <w:rFonts w:cs="Arial"/>
                <w:sz w:val="20"/>
              </w:rPr>
            </w:pPr>
            <w:r w:rsidRPr="009E2A77">
              <w:rPr>
                <w:sz w:val="20"/>
              </w:rPr>
              <w:t xml:space="preserve">May be given subcutaneously if venous access not available.  </w:t>
            </w:r>
          </w:p>
        </w:tc>
      </w:tr>
      <w:tr w:rsidRPr="00026F20" w:rsidR="00021CFE" w:rsidTr="00021CFE" w14:paraId="704F495D" w14:textId="77777777">
        <w:trPr>
          <w:trHeight w:val="215"/>
        </w:trPr>
        <w:tc>
          <w:tcPr>
            <w:tcW w:w="1701" w:type="dxa"/>
          </w:tcPr>
          <w:p w:rsidRPr="00B53E9B" w:rsidR="00021CFE" w:rsidP="00131848" w:rsidRDefault="00021CFE" w14:paraId="742FE0AD" w14:textId="77777777">
            <w:pPr>
              <w:pStyle w:val="BodyText"/>
              <w:rPr>
                <w:rFonts w:cs="Arial"/>
                <w:b/>
                <w:bCs/>
                <w:sz w:val="20"/>
              </w:rPr>
            </w:pPr>
            <w:r w:rsidRPr="00B53E9B">
              <w:rPr>
                <w:rFonts w:cs="Arial"/>
                <w:b/>
                <w:bCs/>
                <w:sz w:val="20"/>
              </w:rPr>
              <w:lastRenderedPageBreak/>
              <w:t xml:space="preserve">Monitoring                              </w:t>
            </w:r>
          </w:p>
        </w:tc>
        <w:tc>
          <w:tcPr>
            <w:tcW w:w="8222" w:type="dxa"/>
          </w:tcPr>
          <w:p w:rsidRPr="00026F20" w:rsidR="00021CFE" w:rsidP="00131848" w:rsidRDefault="00021CFE" w14:paraId="6BCB4627" w14:textId="77777777">
            <w:pPr>
              <w:pStyle w:val="BodyText"/>
              <w:rPr>
                <w:rFonts w:cs="Arial"/>
                <w:sz w:val="20"/>
              </w:rPr>
            </w:pPr>
            <w:r>
              <w:rPr>
                <w:rFonts w:cs="Arial"/>
                <w:sz w:val="20"/>
              </w:rPr>
              <w:t>P</w:t>
            </w:r>
            <w:r w:rsidRPr="00EB5CB0">
              <w:rPr>
                <w:rFonts w:cs="Arial"/>
                <w:sz w:val="20"/>
              </w:rPr>
              <w:t>rothrombin time when treating clotting abnormalities (a minimum of 2 to 4 hours is needed for measurable improvement).</w:t>
            </w:r>
          </w:p>
        </w:tc>
      </w:tr>
      <w:tr w:rsidRPr="00026F20" w:rsidR="00021CFE" w:rsidTr="00021CFE" w14:paraId="14715C1D" w14:textId="77777777">
        <w:trPr>
          <w:trHeight w:val="342"/>
        </w:trPr>
        <w:tc>
          <w:tcPr>
            <w:tcW w:w="1701" w:type="dxa"/>
          </w:tcPr>
          <w:p w:rsidRPr="00B53E9B" w:rsidR="00021CFE" w:rsidP="00131848" w:rsidRDefault="00021CFE" w14:paraId="2CBE7716" w14:textId="77777777">
            <w:pPr>
              <w:pStyle w:val="BodyText"/>
              <w:rPr>
                <w:rFonts w:cs="Arial"/>
                <w:b/>
                <w:bCs/>
                <w:sz w:val="20"/>
              </w:rPr>
            </w:pPr>
            <w:r w:rsidRPr="00B53E9B">
              <w:rPr>
                <w:rFonts w:cs="Arial"/>
                <w:b/>
                <w:bCs/>
                <w:sz w:val="20"/>
              </w:rPr>
              <w:t xml:space="preserve">Contraindications                        </w:t>
            </w:r>
          </w:p>
        </w:tc>
        <w:tc>
          <w:tcPr>
            <w:tcW w:w="8222" w:type="dxa"/>
          </w:tcPr>
          <w:p w:rsidRPr="00EB5CB0" w:rsidR="00021CFE" w:rsidP="00131848" w:rsidRDefault="00021CFE" w14:paraId="21EB5C0A" w14:textId="77777777">
            <w:pPr>
              <w:pStyle w:val="BodyText"/>
              <w:rPr>
                <w:rFonts w:cs="Arial"/>
                <w:sz w:val="20"/>
              </w:rPr>
            </w:pPr>
            <w:r w:rsidRPr="00EB5CB0">
              <w:rPr>
                <w:rFonts w:cs="Arial"/>
                <w:sz w:val="20"/>
              </w:rPr>
              <w:t xml:space="preserve">Oral prophylaxis is contraindicated in infants who are: </w:t>
            </w:r>
            <w:r>
              <w:rPr>
                <w:rFonts w:cs="Arial"/>
                <w:sz w:val="20"/>
              </w:rPr>
              <w:t>p</w:t>
            </w:r>
            <w:r w:rsidRPr="00EB5CB0">
              <w:rPr>
                <w:rFonts w:cs="Arial"/>
                <w:sz w:val="20"/>
              </w:rPr>
              <w:t>re</w:t>
            </w:r>
            <w:r>
              <w:rPr>
                <w:rFonts w:cs="Arial"/>
                <w:sz w:val="20"/>
              </w:rPr>
              <w:t>term</w:t>
            </w:r>
            <w:r w:rsidRPr="00EB5CB0">
              <w:rPr>
                <w:rFonts w:cs="Arial"/>
                <w:sz w:val="20"/>
              </w:rPr>
              <w:t>; unwell; on antibiotics; have cholestasis; have diarrhoea.</w:t>
            </w:r>
          </w:p>
          <w:p w:rsidRPr="00026F20" w:rsidR="00021CFE" w:rsidP="00131848" w:rsidRDefault="00021CFE" w14:paraId="5D36A553" w14:textId="77777777">
            <w:pPr>
              <w:pStyle w:val="BodyText"/>
              <w:rPr>
                <w:rFonts w:cs="Arial"/>
                <w:sz w:val="20"/>
              </w:rPr>
            </w:pPr>
            <w:r w:rsidRPr="00EB5CB0">
              <w:rPr>
                <w:rFonts w:cs="Arial"/>
                <w:sz w:val="20"/>
              </w:rPr>
              <w:t>Oral prophylaxis is contraindicated in infants of mothers who are on anticonvulsants including phenytoin, barbiturates and carbamazepine; rifampicin and the vitamin K antagonists including warfarin and phenindione.</w:t>
            </w:r>
          </w:p>
        </w:tc>
      </w:tr>
      <w:tr w:rsidRPr="00026F20" w:rsidR="00021CFE" w:rsidTr="00021CFE" w14:paraId="7FF58328" w14:textId="77777777">
        <w:tc>
          <w:tcPr>
            <w:tcW w:w="1701" w:type="dxa"/>
          </w:tcPr>
          <w:p w:rsidRPr="00B53E9B" w:rsidR="00021CFE" w:rsidP="00131848" w:rsidRDefault="00021CFE" w14:paraId="5BE77AC8" w14:textId="77777777">
            <w:pPr>
              <w:pStyle w:val="BodyText"/>
              <w:rPr>
                <w:rFonts w:cs="Arial"/>
                <w:b/>
                <w:bCs/>
                <w:sz w:val="20"/>
              </w:rPr>
            </w:pPr>
            <w:r w:rsidRPr="00B53E9B">
              <w:rPr>
                <w:sz w:val="20"/>
              </w:rPr>
              <w:br w:type="page"/>
            </w:r>
            <w:r w:rsidRPr="00B53E9B">
              <w:rPr>
                <w:rFonts w:cs="Arial"/>
                <w:b/>
                <w:bCs/>
                <w:sz w:val="20"/>
              </w:rPr>
              <w:t>Precautions</w:t>
            </w:r>
          </w:p>
        </w:tc>
        <w:tc>
          <w:tcPr>
            <w:tcW w:w="8222" w:type="dxa"/>
          </w:tcPr>
          <w:p w:rsidR="00021CFE" w:rsidP="00131848" w:rsidRDefault="00021CFE" w14:paraId="5A5E37FA" w14:textId="77777777">
            <w:pPr>
              <w:pStyle w:val="BodyText"/>
              <w:rPr>
                <w:rFonts w:cs="Arial"/>
                <w:sz w:val="20"/>
              </w:rPr>
            </w:pPr>
            <w:r w:rsidRPr="00EB5CB0">
              <w:rPr>
                <w:rFonts w:cs="Arial"/>
                <w:sz w:val="20"/>
              </w:rPr>
              <w:t xml:space="preserve">IV administration is associated with a possible risk of kernicterus in premature infants </w:t>
            </w:r>
            <w:r>
              <w:rPr>
                <w:rFonts w:cs="Arial"/>
                <w:sz w:val="20"/>
              </w:rPr>
              <w:t>&lt;</w:t>
            </w:r>
            <w:r w:rsidRPr="00EB5CB0">
              <w:rPr>
                <w:rFonts w:cs="Arial"/>
                <w:sz w:val="20"/>
              </w:rPr>
              <w:t>2.5 kg.</w:t>
            </w:r>
          </w:p>
          <w:p w:rsidRPr="00026F20" w:rsidR="00021CFE" w:rsidP="00131848" w:rsidRDefault="00021CFE" w14:paraId="6B964C2E" w14:textId="77777777">
            <w:pPr>
              <w:pStyle w:val="BodyText"/>
              <w:rPr>
                <w:rFonts w:cs="Arial"/>
                <w:sz w:val="20"/>
              </w:rPr>
            </w:pPr>
            <w:r w:rsidRPr="00EB5CB0">
              <w:rPr>
                <w:rFonts w:cs="Arial"/>
                <w:sz w:val="20"/>
              </w:rPr>
              <w:t>Efficacy of treatment is decreased in patients with liver disease.</w:t>
            </w:r>
          </w:p>
        </w:tc>
      </w:tr>
      <w:tr w:rsidRPr="00026F20" w:rsidR="00021CFE" w:rsidTr="00021CFE" w14:paraId="2CC84004" w14:textId="77777777">
        <w:trPr>
          <w:trHeight w:val="70"/>
        </w:trPr>
        <w:tc>
          <w:tcPr>
            <w:tcW w:w="1701" w:type="dxa"/>
          </w:tcPr>
          <w:p w:rsidRPr="00B53E9B" w:rsidR="00021CFE" w:rsidP="00131848" w:rsidRDefault="00021CFE" w14:paraId="08B59EE1" w14:textId="77777777">
            <w:pPr>
              <w:pStyle w:val="BodyText"/>
              <w:rPr>
                <w:rFonts w:cs="Arial"/>
                <w:b/>
                <w:bCs/>
                <w:sz w:val="20"/>
              </w:rPr>
            </w:pPr>
            <w:r w:rsidRPr="00B53E9B">
              <w:rPr>
                <w:rFonts w:cs="Arial"/>
                <w:b/>
                <w:bCs/>
                <w:sz w:val="20"/>
              </w:rPr>
              <w:t xml:space="preserve">Drug </w:t>
            </w:r>
            <w:r>
              <w:rPr>
                <w:rFonts w:cs="Arial"/>
                <w:b/>
                <w:bCs/>
                <w:sz w:val="20"/>
              </w:rPr>
              <w:t>i</w:t>
            </w:r>
            <w:r w:rsidRPr="00B53E9B">
              <w:rPr>
                <w:rFonts w:cs="Arial"/>
                <w:b/>
                <w:bCs/>
                <w:sz w:val="20"/>
              </w:rPr>
              <w:t>nteractions</w:t>
            </w:r>
          </w:p>
        </w:tc>
        <w:tc>
          <w:tcPr>
            <w:tcW w:w="8222" w:type="dxa"/>
          </w:tcPr>
          <w:p w:rsidRPr="00026F20" w:rsidR="00021CFE" w:rsidP="00131848" w:rsidRDefault="00021CFE" w14:paraId="3A9CCF44" w14:textId="77777777">
            <w:pPr>
              <w:pStyle w:val="BodyText"/>
              <w:rPr>
                <w:rFonts w:cs="Arial"/>
                <w:sz w:val="20"/>
              </w:rPr>
            </w:pPr>
            <w:r w:rsidRPr="00EB5CB0">
              <w:rPr>
                <w:rFonts w:cs="Arial"/>
                <w:sz w:val="20"/>
              </w:rPr>
              <w:t>Co-administration of anticonvulsants can impair the action of vitamin K1.</w:t>
            </w:r>
          </w:p>
        </w:tc>
      </w:tr>
      <w:tr w:rsidRPr="00026F20" w:rsidR="00021CFE" w:rsidTr="00021CFE" w14:paraId="1A2D3D5C" w14:textId="77777777">
        <w:trPr>
          <w:trHeight w:val="332"/>
        </w:trPr>
        <w:tc>
          <w:tcPr>
            <w:tcW w:w="1701" w:type="dxa"/>
          </w:tcPr>
          <w:p w:rsidRPr="00B53E9B" w:rsidR="00021CFE" w:rsidP="00131848" w:rsidRDefault="00021CFE" w14:paraId="194CAAE7" w14:textId="77777777">
            <w:pPr>
              <w:pStyle w:val="BodyText"/>
              <w:rPr>
                <w:rFonts w:cs="Arial"/>
                <w:b/>
                <w:bCs/>
                <w:sz w:val="20"/>
              </w:rPr>
            </w:pPr>
            <w:r>
              <w:rPr>
                <w:rFonts w:cs="Arial"/>
                <w:b/>
                <w:bCs/>
                <w:sz w:val="20"/>
              </w:rPr>
              <w:t>Adverse r</w:t>
            </w:r>
            <w:r w:rsidRPr="00B53E9B">
              <w:rPr>
                <w:rFonts w:cs="Arial"/>
                <w:b/>
                <w:bCs/>
                <w:sz w:val="20"/>
              </w:rPr>
              <w:t xml:space="preserve">eactions         </w:t>
            </w:r>
          </w:p>
        </w:tc>
        <w:tc>
          <w:tcPr>
            <w:tcW w:w="8222" w:type="dxa"/>
          </w:tcPr>
          <w:p w:rsidRPr="00EB5CB0" w:rsidR="00021CFE" w:rsidP="00131848" w:rsidRDefault="00021CFE" w14:paraId="2D452467" w14:textId="77777777">
            <w:pPr>
              <w:pStyle w:val="BodyText"/>
              <w:rPr>
                <w:rFonts w:cs="Arial"/>
                <w:sz w:val="20"/>
              </w:rPr>
            </w:pPr>
            <w:r w:rsidRPr="00EB5CB0">
              <w:rPr>
                <w:rFonts w:cs="Arial"/>
                <w:sz w:val="20"/>
              </w:rPr>
              <w:t>Pain, swelling and erythema at IM injection site.</w:t>
            </w:r>
          </w:p>
          <w:p w:rsidRPr="00026F20" w:rsidR="00021CFE" w:rsidP="00131848" w:rsidRDefault="00021CFE" w14:paraId="50925E01" w14:textId="77777777">
            <w:pPr>
              <w:pStyle w:val="BodyText"/>
              <w:rPr>
                <w:rFonts w:cs="Arial"/>
                <w:sz w:val="20"/>
              </w:rPr>
            </w:pPr>
            <w:r w:rsidRPr="00EB5CB0">
              <w:rPr>
                <w:rFonts w:cs="Arial"/>
                <w:sz w:val="20"/>
              </w:rPr>
              <w:t>Severe hypersensitivity reactions, including death have been reported with rapid IV administration.</w:t>
            </w:r>
          </w:p>
        </w:tc>
      </w:tr>
      <w:tr w:rsidRPr="009D573B" w:rsidR="00021CFE" w:rsidTr="00021CFE" w14:paraId="4255F30D" w14:textId="77777777">
        <w:trPr>
          <w:trHeight w:val="180"/>
        </w:trPr>
        <w:tc>
          <w:tcPr>
            <w:tcW w:w="1701" w:type="dxa"/>
          </w:tcPr>
          <w:p w:rsidRPr="00B53E9B" w:rsidR="00021CFE" w:rsidP="00131848" w:rsidRDefault="00021CFE" w14:paraId="5497A29A" w14:textId="77777777">
            <w:pPr>
              <w:pStyle w:val="BodyText"/>
              <w:rPr>
                <w:rFonts w:cs="Arial"/>
                <w:b/>
                <w:bCs/>
                <w:sz w:val="20"/>
              </w:rPr>
            </w:pPr>
            <w:r w:rsidRPr="00B53E9B">
              <w:rPr>
                <w:rFonts w:cs="Arial"/>
                <w:b/>
                <w:bCs/>
                <w:sz w:val="20"/>
              </w:rPr>
              <w:t>Compatibility</w:t>
            </w:r>
          </w:p>
        </w:tc>
        <w:tc>
          <w:tcPr>
            <w:tcW w:w="8222" w:type="dxa"/>
          </w:tcPr>
          <w:p w:rsidRPr="00EB5CB0" w:rsidR="00021CFE" w:rsidP="00131848" w:rsidRDefault="00021CFE" w14:paraId="5845BFEA" w14:textId="77777777">
            <w:pPr>
              <w:pStyle w:val="BodyText"/>
              <w:rPr>
                <w:sz w:val="20"/>
              </w:rPr>
            </w:pPr>
            <w:r w:rsidRPr="00C37153">
              <w:rPr>
                <w:b/>
                <w:sz w:val="20"/>
              </w:rPr>
              <w:t>Fluids (8,9):</w:t>
            </w:r>
            <w:r w:rsidRPr="00EB5CB0">
              <w:rPr>
                <w:sz w:val="20"/>
              </w:rPr>
              <w:t xml:space="preserve"> Glucose 5%</w:t>
            </w:r>
            <w:r>
              <w:rPr>
                <w:sz w:val="20"/>
              </w:rPr>
              <w:t xml:space="preserve"> (use immediately)</w:t>
            </w:r>
            <w:r w:rsidRPr="00EB5CB0">
              <w:rPr>
                <w:sz w:val="20"/>
              </w:rPr>
              <w:t>, glucose 10%, sodium chloride 0.9%</w:t>
            </w:r>
            <w:r>
              <w:rPr>
                <w:sz w:val="20"/>
              </w:rPr>
              <w:t>, sodium chloride 0.45%</w:t>
            </w:r>
          </w:p>
          <w:p w:rsidRPr="00EB5CB0" w:rsidR="00021CFE" w:rsidP="00131848" w:rsidRDefault="00021CFE" w14:paraId="06E06946" w14:textId="77777777">
            <w:pPr>
              <w:pStyle w:val="BodyText"/>
              <w:rPr>
                <w:sz w:val="20"/>
              </w:rPr>
            </w:pPr>
          </w:p>
          <w:p w:rsidR="00021CFE" w:rsidP="00131848" w:rsidRDefault="00021CFE" w14:paraId="6A33602B" w14:textId="77777777">
            <w:pPr>
              <w:pStyle w:val="BodyText"/>
              <w:rPr>
                <w:sz w:val="20"/>
              </w:rPr>
            </w:pPr>
            <w:r w:rsidRPr="00C37153">
              <w:rPr>
                <w:b/>
                <w:sz w:val="20"/>
              </w:rPr>
              <w:t>Y site (8):</w:t>
            </w:r>
            <w:r w:rsidRPr="00EB5CB0">
              <w:rPr>
                <w:sz w:val="20"/>
              </w:rPr>
              <w:t xml:space="preserve"> </w:t>
            </w:r>
            <w:r>
              <w:rPr>
                <w:sz w:val="20"/>
              </w:rPr>
              <w:t>A</w:t>
            </w:r>
            <w:r w:rsidRPr="00EB5CB0">
              <w:rPr>
                <w:sz w:val="20"/>
              </w:rPr>
              <w:t xml:space="preserve">mikacin, aminophylline, ascorbic acid, atracurium, atropine, </w:t>
            </w:r>
            <w:r>
              <w:rPr>
                <w:sz w:val="20"/>
              </w:rPr>
              <w:t xml:space="preserve">azathioprine, </w:t>
            </w:r>
            <w:r w:rsidRPr="00EB5CB0">
              <w:rPr>
                <w:sz w:val="20"/>
              </w:rPr>
              <w:t xml:space="preserve">aztreonam, </w:t>
            </w:r>
            <w:r>
              <w:rPr>
                <w:sz w:val="20"/>
              </w:rPr>
              <w:t xml:space="preserve">benzylpenicillin, </w:t>
            </w:r>
            <w:r w:rsidRPr="00EB5CB0">
              <w:rPr>
                <w:sz w:val="20"/>
              </w:rPr>
              <w:t xml:space="preserve">calcium chloride, calcium gluconate, cefazolin, cefotaxime, </w:t>
            </w:r>
            <w:r>
              <w:rPr>
                <w:sz w:val="20"/>
              </w:rPr>
              <w:t xml:space="preserve">ceftazidime, </w:t>
            </w:r>
            <w:r w:rsidRPr="00EB5CB0">
              <w:rPr>
                <w:sz w:val="20"/>
              </w:rPr>
              <w:t xml:space="preserve">ceftriaxone, </w:t>
            </w:r>
            <w:r>
              <w:rPr>
                <w:sz w:val="20"/>
              </w:rPr>
              <w:t xml:space="preserve">cefuroxime, clindamycin, </w:t>
            </w:r>
            <w:r w:rsidRPr="00EB5CB0">
              <w:rPr>
                <w:sz w:val="20"/>
              </w:rPr>
              <w:t xml:space="preserve">dexamethasone, dopamine, </w:t>
            </w:r>
            <w:r>
              <w:rPr>
                <w:sz w:val="20"/>
              </w:rPr>
              <w:t xml:space="preserve">doxycycline, enalaprilat, </w:t>
            </w:r>
            <w:r w:rsidRPr="00EB5CB0">
              <w:rPr>
                <w:sz w:val="20"/>
              </w:rPr>
              <w:t xml:space="preserve">adrenaline (epinephrine), </w:t>
            </w:r>
            <w:r>
              <w:rPr>
                <w:sz w:val="20"/>
              </w:rPr>
              <w:t xml:space="preserve">epoietin alfa, erythromycin lactobionate, </w:t>
            </w:r>
            <w:r w:rsidRPr="00EB5CB0">
              <w:rPr>
                <w:sz w:val="20"/>
              </w:rPr>
              <w:t xml:space="preserve">fentanyl, furosemide (frusemide), </w:t>
            </w:r>
            <w:r>
              <w:rPr>
                <w:sz w:val="20"/>
              </w:rPr>
              <w:t xml:space="preserve">ganciclovir, </w:t>
            </w:r>
            <w:r w:rsidRPr="00EB5CB0">
              <w:rPr>
                <w:sz w:val="20"/>
              </w:rPr>
              <w:t xml:space="preserve">gentamicin, heparin sodium, hydrocortisone, indomethacin, </w:t>
            </w:r>
            <w:r>
              <w:rPr>
                <w:sz w:val="20"/>
              </w:rPr>
              <w:t xml:space="preserve">insulin regular, isoproterenol, labetolol, lidocaine, </w:t>
            </w:r>
            <w:r w:rsidRPr="00EB5CB0">
              <w:rPr>
                <w:sz w:val="20"/>
              </w:rPr>
              <w:t xml:space="preserve">midazolam, morphine, </w:t>
            </w:r>
            <w:r>
              <w:rPr>
                <w:sz w:val="20"/>
              </w:rPr>
              <w:t xml:space="preserve">naloxone, nitroglycerin, nitroprusside sodium, norepinephrine, oxacillin, penicillin G potassium, penicillin G sodium, </w:t>
            </w:r>
            <w:r w:rsidRPr="00EB5CB0">
              <w:rPr>
                <w:sz w:val="20"/>
              </w:rPr>
              <w:t xml:space="preserve">phenobarbital (phenobarbitone), </w:t>
            </w:r>
            <w:r>
              <w:rPr>
                <w:sz w:val="20"/>
              </w:rPr>
              <w:t xml:space="preserve">piperacillin, potassium chloride, propranolol, protamine, pyridoxine, ranitidine, </w:t>
            </w:r>
            <w:r w:rsidRPr="00EB5CB0">
              <w:rPr>
                <w:sz w:val="20"/>
              </w:rPr>
              <w:t xml:space="preserve">sodium bicarbonate, </w:t>
            </w:r>
            <w:r>
              <w:rPr>
                <w:sz w:val="20"/>
              </w:rPr>
              <w:t xml:space="preserve">streptokinase, succinylcholine, thiamine, ticarcillin, ticarcillin-clavulanate, tobramycin, tolazoline, urokinase, </w:t>
            </w:r>
            <w:r w:rsidRPr="00EB5CB0">
              <w:rPr>
                <w:sz w:val="20"/>
              </w:rPr>
              <w:t>vancomycin</w:t>
            </w:r>
            <w:r>
              <w:rPr>
                <w:sz w:val="20"/>
              </w:rPr>
              <w:t>, vasopressin, verapamil</w:t>
            </w:r>
            <w:r w:rsidRPr="00EB5CB0">
              <w:rPr>
                <w:sz w:val="20"/>
              </w:rPr>
              <w:t>.</w:t>
            </w:r>
          </w:p>
          <w:p w:rsidRPr="009D573B" w:rsidR="00021CFE" w:rsidP="00131848" w:rsidRDefault="00021CFE" w14:paraId="4FFD453C" w14:textId="77777777">
            <w:pPr>
              <w:pStyle w:val="BodyText"/>
              <w:rPr>
                <w:sz w:val="20"/>
              </w:rPr>
            </w:pPr>
            <w:r w:rsidRPr="009D573B">
              <w:rPr>
                <w:b/>
                <w:sz w:val="20"/>
              </w:rPr>
              <w:t>Variable compatibility</w:t>
            </w:r>
            <w:r>
              <w:rPr>
                <w:b/>
                <w:sz w:val="20"/>
              </w:rPr>
              <w:t xml:space="preserve"> (8)</w:t>
            </w:r>
            <w:r w:rsidRPr="009D573B">
              <w:rPr>
                <w:b/>
                <w:sz w:val="20"/>
              </w:rPr>
              <w:t xml:space="preserve">: </w:t>
            </w:r>
            <w:r>
              <w:rPr>
                <w:sz w:val="20"/>
              </w:rPr>
              <w:t xml:space="preserve">Amphotericin B conventional colloidal, ampicillin, dobutamine, hydralazine, methylprednisolone. </w:t>
            </w:r>
          </w:p>
        </w:tc>
      </w:tr>
      <w:tr w:rsidRPr="00026F20" w:rsidR="00021CFE" w:rsidTr="00021CFE" w14:paraId="2F0F3BD9" w14:textId="77777777">
        <w:trPr>
          <w:trHeight w:val="230"/>
        </w:trPr>
        <w:tc>
          <w:tcPr>
            <w:tcW w:w="1701" w:type="dxa"/>
          </w:tcPr>
          <w:p w:rsidRPr="00B53E9B" w:rsidR="00021CFE" w:rsidP="00131848" w:rsidRDefault="00021CFE" w14:paraId="765A14E8" w14:textId="77777777">
            <w:pPr>
              <w:pStyle w:val="BodyText"/>
              <w:rPr>
                <w:rFonts w:cs="Arial"/>
                <w:b/>
                <w:bCs/>
                <w:sz w:val="20"/>
              </w:rPr>
            </w:pPr>
            <w:r w:rsidRPr="00B53E9B">
              <w:rPr>
                <w:rFonts w:cs="Arial"/>
                <w:b/>
                <w:bCs/>
                <w:sz w:val="20"/>
              </w:rPr>
              <w:t>Incompatibility</w:t>
            </w:r>
          </w:p>
        </w:tc>
        <w:tc>
          <w:tcPr>
            <w:tcW w:w="8222" w:type="dxa"/>
          </w:tcPr>
          <w:p w:rsidRPr="00EB5CB0" w:rsidR="00021CFE" w:rsidP="00131848" w:rsidRDefault="00021CFE" w14:paraId="78E10AA7" w14:textId="77777777">
            <w:pPr>
              <w:pStyle w:val="BodyText"/>
              <w:rPr>
                <w:rFonts w:cs="Arial"/>
                <w:sz w:val="20"/>
              </w:rPr>
            </w:pPr>
            <w:r w:rsidRPr="00C37153">
              <w:rPr>
                <w:rFonts w:cs="Arial"/>
                <w:b/>
                <w:sz w:val="20"/>
              </w:rPr>
              <w:t>Fluids:</w:t>
            </w:r>
            <w:r w:rsidRPr="00EB5CB0">
              <w:rPr>
                <w:rFonts w:cs="Arial"/>
                <w:sz w:val="20"/>
              </w:rPr>
              <w:t xml:space="preserve"> Fat emulsion (intravenous)</w:t>
            </w:r>
          </w:p>
          <w:p w:rsidRPr="00EB5CB0" w:rsidR="00021CFE" w:rsidP="00131848" w:rsidRDefault="00021CFE" w14:paraId="6C62AAF7" w14:textId="77777777">
            <w:pPr>
              <w:pStyle w:val="BodyText"/>
              <w:rPr>
                <w:rFonts w:cs="Arial"/>
                <w:sz w:val="20"/>
              </w:rPr>
            </w:pPr>
          </w:p>
          <w:p w:rsidRPr="00026F20" w:rsidR="00021CFE" w:rsidP="00131848" w:rsidRDefault="00021CFE" w14:paraId="2045C124" w14:textId="77777777">
            <w:pPr>
              <w:pStyle w:val="BodyText"/>
              <w:rPr>
                <w:rFonts w:cs="Arial"/>
                <w:sz w:val="20"/>
              </w:rPr>
            </w:pPr>
            <w:r w:rsidRPr="00C37153">
              <w:rPr>
                <w:rFonts w:cs="Arial"/>
                <w:b/>
                <w:sz w:val="20"/>
              </w:rPr>
              <w:t>Y-site (8):</w:t>
            </w:r>
            <w:r w:rsidRPr="00EB5CB0">
              <w:rPr>
                <w:rFonts w:cs="Arial"/>
                <w:sz w:val="20"/>
              </w:rPr>
              <w:t xml:space="preserve"> </w:t>
            </w:r>
            <w:r>
              <w:rPr>
                <w:rFonts w:cs="Arial"/>
                <w:sz w:val="20"/>
              </w:rPr>
              <w:t>D</w:t>
            </w:r>
            <w:r w:rsidRPr="00EB5CB0">
              <w:rPr>
                <w:rFonts w:cs="Arial"/>
                <w:sz w:val="20"/>
              </w:rPr>
              <w:t xml:space="preserve">iazepam, diazoxide, </w:t>
            </w:r>
            <w:r>
              <w:rPr>
                <w:rFonts w:cs="Arial"/>
                <w:sz w:val="20"/>
              </w:rPr>
              <w:t>magnesium sulfate</w:t>
            </w:r>
            <w:r w:rsidRPr="00EB5CB0">
              <w:rPr>
                <w:rFonts w:cs="Arial"/>
                <w:sz w:val="20"/>
              </w:rPr>
              <w:t xml:space="preserve">, </w:t>
            </w:r>
            <w:r>
              <w:rPr>
                <w:rFonts w:cs="Arial"/>
                <w:sz w:val="20"/>
              </w:rPr>
              <w:t xml:space="preserve">phenytoin, </w:t>
            </w:r>
            <w:r w:rsidRPr="00EB5CB0">
              <w:rPr>
                <w:rFonts w:cs="Arial"/>
                <w:sz w:val="20"/>
              </w:rPr>
              <w:t>sulfamethoxazole-trimethoprim.</w:t>
            </w:r>
          </w:p>
        </w:tc>
      </w:tr>
      <w:tr w:rsidRPr="00026F20" w:rsidR="00021CFE" w:rsidTr="00021CFE" w14:paraId="0464887C" w14:textId="77777777">
        <w:trPr>
          <w:trHeight w:val="79"/>
        </w:trPr>
        <w:tc>
          <w:tcPr>
            <w:tcW w:w="1701" w:type="dxa"/>
          </w:tcPr>
          <w:p w:rsidRPr="00B53E9B" w:rsidR="00021CFE" w:rsidP="00131848" w:rsidRDefault="00021CFE" w14:paraId="7677CF64" w14:textId="77777777">
            <w:pPr>
              <w:pStyle w:val="BodyText"/>
              <w:rPr>
                <w:rFonts w:cs="Arial"/>
                <w:b/>
                <w:bCs/>
                <w:sz w:val="20"/>
              </w:rPr>
            </w:pPr>
            <w:r w:rsidRPr="00B53E9B">
              <w:rPr>
                <w:rFonts w:cs="Arial"/>
                <w:b/>
                <w:bCs/>
                <w:sz w:val="20"/>
              </w:rPr>
              <w:t xml:space="preserve">Stability   </w:t>
            </w:r>
          </w:p>
        </w:tc>
        <w:tc>
          <w:tcPr>
            <w:tcW w:w="8222" w:type="dxa"/>
          </w:tcPr>
          <w:p w:rsidRPr="00026F20" w:rsidR="00021CFE" w:rsidP="00131848" w:rsidRDefault="00021CFE" w14:paraId="6D5C2E2E" w14:textId="77777777">
            <w:pPr>
              <w:pStyle w:val="BodyText"/>
              <w:rPr>
                <w:rFonts w:cs="Arial"/>
                <w:sz w:val="20"/>
              </w:rPr>
            </w:pPr>
            <w:r w:rsidRPr="00EB5CB0">
              <w:rPr>
                <w:rFonts w:cs="Arial"/>
                <w:sz w:val="20"/>
              </w:rPr>
              <w:t>Use immediately.</w:t>
            </w:r>
          </w:p>
        </w:tc>
      </w:tr>
      <w:tr w:rsidRPr="00026F20" w:rsidR="00021CFE" w:rsidTr="00021CFE" w14:paraId="6EFA6A2E" w14:textId="77777777">
        <w:trPr>
          <w:trHeight w:val="70"/>
        </w:trPr>
        <w:tc>
          <w:tcPr>
            <w:tcW w:w="1701" w:type="dxa"/>
          </w:tcPr>
          <w:p w:rsidRPr="00B53E9B" w:rsidR="00021CFE" w:rsidP="00131848" w:rsidRDefault="00021CFE" w14:paraId="1FD4B492" w14:textId="77777777">
            <w:pPr>
              <w:pStyle w:val="BodyText"/>
              <w:rPr>
                <w:rFonts w:cs="Arial"/>
                <w:b/>
                <w:bCs/>
                <w:sz w:val="20"/>
              </w:rPr>
            </w:pPr>
            <w:r w:rsidRPr="00B53E9B">
              <w:rPr>
                <w:rFonts w:cs="Arial"/>
                <w:b/>
                <w:bCs/>
                <w:sz w:val="20"/>
              </w:rPr>
              <w:t xml:space="preserve">Storage             </w:t>
            </w:r>
          </w:p>
        </w:tc>
        <w:tc>
          <w:tcPr>
            <w:tcW w:w="8222" w:type="dxa"/>
          </w:tcPr>
          <w:p w:rsidRPr="00026F20" w:rsidR="00021CFE" w:rsidP="00131848" w:rsidRDefault="00021CFE" w14:paraId="3E200F5E" w14:textId="77777777">
            <w:pPr>
              <w:pStyle w:val="BodyText"/>
              <w:rPr>
                <w:rFonts w:cs="Arial"/>
                <w:sz w:val="20"/>
              </w:rPr>
            </w:pPr>
            <w:r w:rsidRPr="00EB5CB0">
              <w:rPr>
                <w:rFonts w:cs="Arial"/>
                <w:sz w:val="20"/>
              </w:rPr>
              <w:t>Store below 25</w:t>
            </w:r>
            <w:r w:rsidRPr="00CA4E19">
              <w:rPr>
                <w:rFonts w:cs="Arial"/>
                <w:sz w:val="20"/>
                <w:vertAlign w:val="superscript"/>
              </w:rPr>
              <w:t>O</w:t>
            </w:r>
            <w:r w:rsidRPr="00EB5CB0">
              <w:rPr>
                <w:rFonts w:cs="Arial"/>
                <w:sz w:val="20"/>
              </w:rPr>
              <w:t>C. Protect from light.</w:t>
            </w:r>
          </w:p>
        </w:tc>
      </w:tr>
      <w:tr w:rsidRPr="00026F20" w:rsidR="00021CFE" w:rsidTr="00021CFE" w14:paraId="4D91A5BF" w14:textId="77777777">
        <w:trPr>
          <w:trHeight w:val="70"/>
        </w:trPr>
        <w:tc>
          <w:tcPr>
            <w:tcW w:w="1701" w:type="dxa"/>
          </w:tcPr>
          <w:p w:rsidRPr="00B53E9B" w:rsidR="00021CFE" w:rsidP="00131848" w:rsidRDefault="00021CFE" w14:paraId="17C8492B" w14:textId="77777777">
            <w:pPr>
              <w:pStyle w:val="BodyText"/>
              <w:rPr>
                <w:rFonts w:cs="Arial"/>
                <w:b/>
                <w:bCs/>
                <w:sz w:val="20"/>
              </w:rPr>
            </w:pPr>
            <w:r w:rsidRPr="00B53E9B">
              <w:rPr>
                <w:rFonts w:cs="Arial"/>
                <w:b/>
                <w:bCs/>
                <w:sz w:val="20"/>
              </w:rPr>
              <w:t>Excipients</w:t>
            </w:r>
          </w:p>
        </w:tc>
        <w:tc>
          <w:tcPr>
            <w:tcW w:w="8222" w:type="dxa"/>
          </w:tcPr>
          <w:p w:rsidRPr="00026F20" w:rsidR="00021CFE" w:rsidP="00131848" w:rsidRDefault="00021CFE" w14:paraId="79ABC42B" w14:textId="77777777">
            <w:pPr>
              <w:pStyle w:val="BodyText"/>
              <w:rPr>
                <w:rFonts w:cs="Arial"/>
                <w:sz w:val="20"/>
              </w:rPr>
            </w:pPr>
            <w:r w:rsidRPr="00CA4E19">
              <w:rPr>
                <w:rFonts w:cs="Arial" w:asciiTheme="minorHAnsi" w:hAnsiTheme="minorHAnsi"/>
                <w:color w:val="333333"/>
                <w:sz w:val="20"/>
              </w:rPr>
              <w:t>Glycocholic acid, lecithin, sodium hydroxide, hydrochloric acid</w:t>
            </w:r>
            <w:r>
              <w:rPr>
                <w:rFonts w:ascii="Arial" w:hAnsi="Arial" w:cs="Arial"/>
                <w:color w:val="333333"/>
              </w:rPr>
              <w:t>,</w:t>
            </w:r>
          </w:p>
        </w:tc>
      </w:tr>
      <w:tr w:rsidRPr="00026F20" w:rsidR="00021CFE" w:rsidTr="00021CFE" w14:paraId="0DBBD44E" w14:textId="77777777">
        <w:trPr>
          <w:trHeight w:val="270"/>
        </w:trPr>
        <w:tc>
          <w:tcPr>
            <w:tcW w:w="1701" w:type="dxa"/>
          </w:tcPr>
          <w:p w:rsidRPr="00B53E9B" w:rsidR="00021CFE" w:rsidP="00131848" w:rsidRDefault="00021CFE" w14:paraId="6790819A" w14:textId="77777777">
            <w:pPr>
              <w:pStyle w:val="BodyText"/>
              <w:rPr>
                <w:rFonts w:cs="Arial"/>
                <w:b/>
                <w:bCs/>
                <w:sz w:val="20"/>
              </w:rPr>
            </w:pPr>
            <w:r w:rsidRPr="00B53E9B">
              <w:rPr>
                <w:rFonts w:cs="Arial"/>
                <w:b/>
                <w:bCs/>
                <w:sz w:val="20"/>
              </w:rPr>
              <w:t xml:space="preserve">Special </w:t>
            </w:r>
            <w:r>
              <w:rPr>
                <w:rFonts w:cs="Arial"/>
                <w:b/>
                <w:bCs/>
                <w:sz w:val="20"/>
              </w:rPr>
              <w:t>c</w:t>
            </w:r>
            <w:r w:rsidRPr="00B53E9B">
              <w:rPr>
                <w:rFonts w:cs="Arial"/>
                <w:b/>
                <w:bCs/>
                <w:sz w:val="20"/>
              </w:rPr>
              <w:t xml:space="preserve">omments       </w:t>
            </w:r>
          </w:p>
        </w:tc>
        <w:tc>
          <w:tcPr>
            <w:tcW w:w="8222" w:type="dxa"/>
          </w:tcPr>
          <w:p w:rsidRPr="00026F20" w:rsidR="00021CFE" w:rsidP="00131848" w:rsidRDefault="00021CFE" w14:paraId="2DC8DC65" w14:textId="77777777">
            <w:pPr>
              <w:pStyle w:val="BodyText"/>
              <w:rPr>
                <w:rFonts w:cs="Arial"/>
                <w:sz w:val="20"/>
              </w:rPr>
            </w:pPr>
            <w:r w:rsidRPr="00EB5CB0">
              <w:rPr>
                <w:rFonts w:cs="Arial"/>
                <w:sz w:val="20"/>
              </w:rPr>
              <w:t xml:space="preserve">The risk of childhood cancer is not increased by IM administration of vitamin K1. </w:t>
            </w:r>
          </w:p>
        </w:tc>
      </w:tr>
      <w:tr w:rsidRPr="00026F20" w:rsidR="00021CFE" w:rsidTr="00021CFE" w14:paraId="2AC42974" w14:textId="77777777">
        <w:trPr>
          <w:trHeight w:val="280"/>
        </w:trPr>
        <w:tc>
          <w:tcPr>
            <w:tcW w:w="1701" w:type="dxa"/>
          </w:tcPr>
          <w:p w:rsidRPr="00B53E9B" w:rsidR="00021CFE" w:rsidP="00131848" w:rsidRDefault="00021CFE" w14:paraId="79CC5DFE" w14:textId="77777777">
            <w:pPr>
              <w:pStyle w:val="BodyText"/>
              <w:rPr>
                <w:rFonts w:cs="Arial"/>
                <w:b/>
                <w:bCs/>
                <w:sz w:val="20"/>
              </w:rPr>
            </w:pPr>
            <w:r w:rsidRPr="00B53E9B">
              <w:rPr>
                <w:rFonts w:cs="Arial"/>
                <w:b/>
                <w:bCs/>
                <w:sz w:val="20"/>
              </w:rPr>
              <w:t xml:space="preserve">Evidence </w:t>
            </w:r>
          </w:p>
        </w:tc>
        <w:tc>
          <w:tcPr>
            <w:tcW w:w="8222" w:type="dxa"/>
          </w:tcPr>
          <w:p w:rsidRPr="00021CFE" w:rsidR="00021CFE" w:rsidP="00131848" w:rsidRDefault="00021CFE" w14:paraId="303ED92D" w14:textId="77777777">
            <w:pPr>
              <w:pStyle w:val="BodyText"/>
              <w:tabs>
                <w:tab w:val="left" w:pos="1168"/>
              </w:tabs>
              <w:rPr>
                <w:rFonts w:cs="Arial"/>
                <w:b/>
                <w:sz w:val="16"/>
                <w:szCs w:val="16"/>
              </w:rPr>
            </w:pPr>
            <w:r w:rsidRPr="00021CFE">
              <w:rPr>
                <w:rFonts w:cs="Arial"/>
                <w:b/>
                <w:sz w:val="16"/>
                <w:szCs w:val="16"/>
              </w:rPr>
              <w:t>Background</w:t>
            </w:r>
          </w:p>
          <w:p w:rsidRPr="00021CFE" w:rsidR="00021CFE" w:rsidP="00131848" w:rsidRDefault="00021CFE" w14:paraId="761E6F95" w14:textId="77777777">
            <w:pPr>
              <w:pStyle w:val="BodyText"/>
              <w:tabs>
                <w:tab w:val="left" w:pos="1168"/>
              </w:tabs>
              <w:rPr>
                <w:rFonts w:cs="Arial"/>
                <w:sz w:val="16"/>
                <w:szCs w:val="16"/>
              </w:rPr>
            </w:pPr>
            <w:r w:rsidRPr="00021CFE">
              <w:rPr>
                <w:rFonts w:cs="Arial"/>
                <w:sz w:val="16"/>
                <w:szCs w:val="16"/>
              </w:rPr>
              <w:t>All newborn infants have a relative vitamin K deficiency at birth. Vitamin K1 crosses the placenta poorly resulting in low fetal plasma concentrations of the vitamin, with a 30:1 maternal-infant gradient. Human breast milk contains relatively low concentrations of vitamin K1 (1 to 2 mg/L). Relative deficiency of vitamin K1, particularly in exclusively breastfed infants can lead to vitamin K deficiency bleeding (VKDB), previously known as Haemorrhagic Disease of Newborn (HDN).</w:t>
            </w:r>
            <w:r w:rsidRPr="00021CFE">
              <w:rPr>
                <w:rFonts w:cs="Arial"/>
                <w:noProof/>
                <w:sz w:val="16"/>
                <w:szCs w:val="16"/>
              </w:rPr>
              <w:t>(1)</w:t>
            </w:r>
            <w:r w:rsidRPr="00021CFE">
              <w:rPr>
                <w:rFonts w:cs="Arial"/>
                <w:sz w:val="16"/>
                <w:szCs w:val="16"/>
              </w:rPr>
              <w:t xml:space="preserve"> VKDB is classified into early, classical and late, based on the age of presentation: (a) Early VKDB, occurring on the first day of life, is rare and confined to infants born to mothers who have received medications that interfere with vitamin K metabolism; (b) Classical VKDB occurs from one to seven days after birth and (c) Late VKDB occurs from eight days to six months after birth, with most presenting at one to three months.</w:t>
            </w:r>
          </w:p>
          <w:p w:rsidRPr="00021CFE" w:rsidR="00021CFE" w:rsidP="00131848" w:rsidRDefault="00021CFE" w14:paraId="08AB97FA" w14:textId="77777777">
            <w:pPr>
              <w:pStyle w:val="BodyText"/>
              <w:tabs>
                <w:tab w:val="left" w:pos="1168"/>
              </w:tabs>
              <w:rPr>
                <w:rFonts w:cs="Arial"/>
                <w:b/>
                <w:sz w:val="16"/>
                <w:szCs w:val="16"/>
              </w:rPr>
            </w:pPr>
            <w:r w:rsidRPr="00021CFE">
              <w:rPr>
                <w:rFonts w:cs="Arial"/>
                <w:b/>
                <w:sz w:val="16"/>
                <w:szCs w:val="16"/>
              </w:rPr>
              <w:t>Efficacy</w:t>
            </w:r>
          </w:p>
          <w:p w:rsidRPr="00021CFE" w:rsidR="00021CFE" w:rsidP="00131848" w:rsidRDefault="00021CFE" w14:paraId="39F1F437" w14:textId="77777777">
            <w:pPr>
              <w:pStyle w:val="BodyText"/>
              <w:tabs>
                <w:tab w:val="left" w:pos="1168"/>
              </w:tabs>
              <w:rPr>
                <w:rFonts w:cs="Arial"/>
                <w:sz w:val="16"/>
                <w:szCs w:val="16"/>
              </w:rPr>
            </w:pPr>
            <w:r w:rsidRPr="00021CFE">
              <w:rPr>
                <w:rFonts w:cs="Arial"/>
                <w:b/>
                <w:sz w:val="16"/>
                <w:szCs w:val="16"/>
              </w:rPr>
              <w:t>Vitamin K prophylaxis for VKDB in neonates:</w:t>
            </w:r>
            <w:r w:rsidRPr="00021CFE">
              <w:rPr>
                <w:rFonts w:cs="Arial"/>
                <w:sz w:val="16"/>
                <w:szCs w:val="16"/>
              </w:rPr>
              <w:t xml:space="preserve"> Cochrane review by Puckett et al found that a  single dose (1.0 mg) of intramuscular vitamin K</w:t>
            </w:r>
            <w:r w:rsidRPr="00021CFE">
              <w:rPr>
                <w:rFonts w:cs="Arial"/>
                <w:sz w:val="16"/>
                <w:szCs w:val="16"/>
                <w:vertAlign w:val="subscript"/>
              </w:rPr>
              <w:t>1</w:t>
            </w:r>
            <w:r w:rsidRPr="00021CFE">
              <w:rPr>
                <w:rFonts w:cs="Arial"/>
                <w:sz w:val="16"/>
                <w:szCs w:val="16"/>
              </w:rPr>
              <w:t xml:space="preserve"> after birth is effective in the prevention of classic VKDB. Either intramuscular or oral (1.0 mg) vitamin K prophylaxis improves biochemical indices of coagulation status at 1–7 days. Neither intramuscular nor oral vitamin K</w:t>
            </w:r>
            <w:r w:rsidRPr="00021CFE">
              <w:rPr>
                <w:rFonts w:cs="Arial"/>
                <w:sz w:val="16"/>
                <w:szCs w:val="16"/>
                <w:vertAlign w:val="subscript"/>
              </w:rPr>
              <w:t>1</w:t>
            </w:r>
            <w:r w:rsidRPr="00021CFE">
              <w:rPr>
                <w:rFonts w:cs="Arial"/>
                <w:sz w:val="16"/>
                <w:szCs w:val="16"/>
              </w:rPr>
              <w:t xml:space="preserve"> has been tested in randomised trials with respect to effect on late VKDB. When three doses of oral vitamin K</w:t>
            </w:r>
            <w:r w:rsidRPr="00021CFE">
              <w:rPr>
                <w:rFonts w:cs="Arial"/>
                <w:sz w:val="16"/>
                <w:szCs w:val="16"/>
                <w:vertAlign w:val="subscript"/>
              </w:rPr>
              <w:t>1</w:t>
            </w:r>
            <w:r w:rsidRPr="00021CFE">
              <w:rPr>
                <w:rFonts w:cs="Arial"/>
                <w:sz w:val="16"/>
                <w:szCs w:val="16"/>
              </w:rPr>
              <w:t xml:space="preserve"> are compared to a single dose of IM vitamin K</w:t>
            </w:r>
            <w:r w:rsidRPr="00021CFE">
              <w:rPr>
                <w:rFonts w:cs="Arial"/>
                <w:sz w:val="16"/>
                <w:szCs w:val="16"/>
                <w:vertAlign w:val="subscript"/>
              </w:rPr>
              <w:t>1</w:t>
            </w:r>
            <w:r w:rsidRPr="00021CFE">
              <w:rPr>
                <w:rFonts w:cs="Arial"/>
                <w:sz w:val="16"/>
                <w:szCs w:val="16"/>
              </w:rPr>
              <w:t>, the plasma vitamin K</w:t>
            </w:r>
            <w:r w:rsidRPr="00021CFE">
              <w:rPr>
                <w:rFonts w:cs="Arial"/>
                <w:sz w:val="16"/>
                <w:szCs w:val="16"/>
                <w:vertAlign w:val="subscript"/>
              </w:rPr>
              <w:t>1</w:t>
            </w:r>
            <w:r w:rsidRPr="00021CFE">
              <w:rPr>
                <w:rFonts w:cs="Arial"/>
                <w:sz w:val="16"/>
                <w:szCs w:val="16"/>
              </w:rPr>
              <w:t xml:space="preserve"> concentrations are higher in the oral group at two weeks and two months, but, again, there is no evidence of a difference in coagulation status. (LOE II, GOR B)</w:t>
            </w:r>
            <w:r w:rsidRPr="00021CFE">
              <w:rPr>
                <w:rFonts w:cs="Arial"/>
                <w:noProof/>
                <w:sz w:val="16"/>
                <w:szCs w:val="16"/>
              </w:rPr>
              <w:t>(2)</w:t>
            </w:r>
          </w:p>
          <w:p w:rsidRPr="00021CFE" w:rsidR="00021CFE" w:rsidP="00131848" w:rsidRDefault="00021CFE" w14:paraId="1232A3C5" w14:textId="77777777">
            <w:pPr>
              <w:pStyle w:val="BodyText"/>
              <w:tabs>
                <w:tab w:val="left" w:pos="1168"/>
              </w:tabs>
              <w:rPr>
                <w:rFonts w:cs="Arial"/>
                <w:sz w:val="16"/>
                <w:szCs w:val="16"/>
              </w:rPr>
            </w:pPr>
            <w:r w:rsidRPr="00021CFE">
              <w:rPr>
                <w:rFonts w:cs="Arial"/>
                <w:b/>
                <w:sz w:val="16"/>
                <w:szCs w:val="16"/>
              </w:rPr>
              <w:t>Vitamin K prophylaxis for VKDB in preterm neonates:</w:t>
            </w:r>
            <w:r w:rsidRPr="00021CFE">
              <w:rPr>
                <w:rFonts w:cs="Arial"/>
                <w:sz w:val="16"/>
                <w:szCs w:val="16"/>
              </w:rPr>
              <w:t xml:space="preserve"> Cochrane review by Ardell et al found only RCT that compared IV to IM administration of vitamin K and compared various dosages of vitamin K. Three different prophylactic regimes of vitamin K (0.5 mg IM, 0.2 mg IM, or 0.2 mg IV) were given to infants less than 32 weeks' gestation. There was no statistically significant difference in vitamin K levels in the 0.2 mg IV group when compared to 0.2 or 0.5 mg IM groups on day 5. By day 25, vitamin </w:t>
            </w:r>
            <w:r w:rsidRPr="00021CFE">
              <w:rPr>
                <w:rFonts w:cs="Arial"/>
                <w:sz w:val="16"/>
                <w:szCs w:val="16"/>
              </w:rPr>
              <w:lastRenderedPageBreak/>
              <w:t>K1 levels had declined in all of the groups, but infants who received 0.5 mg IM had higher levels of vitamin K1 than either the 0.2 mg IV group or the 0.2 mg IM group. Since there is no available evidence that vitamin K is harmful or ineffective and since vitamin K is an inexpensive drug, authors concluded to follow the recommendations of expert bodies and give vitamin K to preterm infants.</w:t>
            </w:r>
            <w:r w:rsidRPr="00021CFE">
              <w:rPr>
                <w:rFonts w:cs="Arial"/>
                <w:noProof/>
                <w:sz w:val="16"/>
                <w:szCs w:val="16"/>
              </w:rPr>
              <w:t>(3)</w:t>
            </w:r>
            <w:r w:rsidRPr="00021CFE">
              <w:rPr>
                <w:rFonts w:cs="Arial"/>
                <w:sz w:val="16"/>
                <w:szCs w:val="16"/>
              </w:rPr>
              <w:t xml:space="preserve"> </w:t>
            </w:r>
          </w:p>
          <w:p w:rsidRPr="00021CFE" w:rsidR="00021CFE" w:rsidP="00131848" w:rsidRDefault="00021CFE" w14:paraId="3BC1827A" w14:textId="77777777">
            <w:pPr>
              <w:pStyle w:val="BodyText"/>
              <w:tabs>
                <w:tab w:val="left" w:pos="1168"/>
              </w:tabs>
              <w:rPr>
                <w:rFonts w:cs="Arial"/>
                <w:sz w:val="16"/>
                <w:szCs w:val="16"/>
              </w:rPr>
            </w:pPr>
            <w:r w:rsidRPr="00021CFE">
              <w:rPr>
                <w:rFonts w:cs="Arial"/>
                <w:b/>
                <w:sz w:val="16"/>
                <w:szCs w:val="16"/>
              </w:rPr>
              <w:t xml:space="preserve">Treatment of VKDB: </w:t>
            </w:r>
            <w:r w:rsidRPr="00021CFE">
              <w:rPr>
                <w:rFonts w:cs="Arial"/>
                <w:sz w:val="16"/>
                <w:szCs w:val="16"/>
              </w:rPr>
              <w:t>Any infant suspected of VKDB should receive immediate intravenous vitamin K replacement: it is standard practice to administer a dose of 1 mg which will usually result in correction within a few hours (LOE IV; GOR C). Intravenous vitamin K can be associated with anaphylactoid reactions and should be administered by slow intravenous injection; if venous access cannot be established it can be given subcutaneously, the intramuscular route being avoided in the presence of a coagulopathy.</w:t>
            </w:r>
            <w:r w:rsidRPr="00021CFE">
              <w:rPr>
                <w:rFonts w:cs="Arial"/>
                <w:noProof/>
                <w:sz w:val="16"/>
                <w:szCs w:val="16"/>
              </w:rPr>
              <w:t>(4)</w:t>
            </w:r>
          </w:p>
          <w:p w:rsidRPr="00021CFE" w:rsidR="00021CFE" w:rsidP="00131848" w:rsidRDefault="00021CFE" w14:paraId="09B747DB" w14:textId="77777777">
            <w:pPr>
              <w:pStyle w:val="BodyText"/>
              <w:tabs>
                <w:tab w:val="left" w:pos="1168"/>
              </w:tabs>
              <w:rPr>
                <w:rFonts w:cs="Arial"/>
                <w:sz w:val="16"/>
                <w:szCs w:val="16"/>
              </w:rPr>
            </w:pPr>
            <w:r w:rsidRPr="00021CFE">
              <w:rPr>
                <w:rFonts w:cs="Arial"/>
                <w:b/>
                <w:sz w:val="16"/>
                <w:szCs w:val="16"/>
              </w:rPr>
              <w:t>Pharmacokinetics</w:t>
            </w:r>
            <w:r w:rsidRPr="00021CFE">
              <w:rPr>
                <w:rFonts w:cs="Arial"/>
                <w:sz w:val="16"/>
                <w:szCs w:val="16"/>
              </w:rPr>
              <w:t xml:space="preserve"> </w:t>
            </w:r>
          </w:p>
          <w:p w:rsidRPr="00021CFE" w:rsidR="00021CFE" w:rsidP="00131848" w:rsidRDefault="00021CFE" w14:paraId="574C659D" w14:textId="77777777">
            <w:pPr>
              <w:pStyle w:val="BodyText"/>
              <w:tabs>
                <w:tab w:val="left" w:pos="1168"/>
              </w:tabs>
              <w:rPr>
                <w:rFonts w:cs="Arial"/>
                <w:sz w:val="16"/>
                <w:szCs w:val="16"/>
              </w:rPr>
            </w:pPr>
            <w:r w:rsidRPr="00021CFE">
              <w:rPr>
                <w:rFonts w:cs="Arial"/>
                <w:sz w:val="16"/>
                <w:szCs w:val="16"/>
              </w:rPr>
              <w:t>In healthy, fully breast-fed, newborn babies, significantly higher plasma vitamin K</w:t>
            </w:r>
            <w:r w:rsidRPr="00021CFE">
              <w:rPr>
                <w:rFonts w:cs="Arial"/>
                <w:sz w:val="16"/>
                <w:szCs w:val="16"/>
                <w:vertAlign w:val="subscript"/>
              </w:rPr>
              <w:t>1</w:t>
            </w:r>
            <w:r w:rsidRPr="00021CFE">
              <w:rPr>
                <w:rFonts w:cs="Arial"/>
                <w:sz w:val="16"/>
                <w:szCs w:val="16"/>
              </w:rPr>
              <w:t xml:space="preserve"> concentrations were reported several weeks after IM as compared to oral vitamin K</w:t>
            </w:r>
            <w:r w:rsidRPr="00021CFE">
              <w:rPr>
                <w:rFonts w:cs="Arial"/>
                <w:sz w:val="16"/>
                <w:szCs w:val="16"/>
                <w:vertAlign w:val="subscript"/>
              </w:rPr>
              <w:t>1</w:t>
            </w:r>
            <w:r w:rsidRPr="00021CFE">
              <w:rPr>
                <w:rFonts w:cs="Arial"/>
                <w:sz w:val="16"/>
                <w:szCs w:val="16"/>
              </w:rPr>
              <w:t>. Half-life of oral and intramuscular vitamin K</w:t>
            </w:r>
            <w:r w:rsidRPr="00021CFE">
              <w:rPr>
                <w:rFonts w:cs="Arial"/>
                <w:sz w:val="16"/>
                <w:szCs w:val="16"/>
                <w:vertAlign w:val="subscript"/>
              </w:rPr>
              <w:t>1</w:t>
            </w:r>
            <w:r w:rsidRPr="00021CFE">
              <w:rPr>
                <w:rFonts w:cs="Arial"/>
                <w:sz w:val="16"/>
                <w:szCs w:val="16"/>
              </w:rPr>
              <w:t xml:space="preserve"> were considerably longer in newborn infants (median 76 hours; range 26 to 193 hours)</w:t>
            </w:r>
            <w:r w:rsidRPr="00021CFE">
              <w:rPr>
                <w:rFonts w:cs="Arial"/>
                <w:noProof/>
                <w:sz w:val="16"/>
                <w:szCs w:val="16"/>
              </w:rPr>
              <w:t>(5, 6)</w:t>
            </w:r>
            <w:r w:rsidRPr="00021CFE">
              <w:rPr>
                <w:rFonts w:cs="Arial"/>
                <w:sz w:val="16"/>
                <w:szCs w:val="16"/>
              </w:rPr>
              <w:t xml:space="preserve"> compared to adults (6 hours; range 2–26 hours)</w:t>
            </w:r>
            <w:r w:rsidRPr="00021CFE">
              <w:rPr>
                <w:rFonts w:cs="Arial"/>
                <w:noProof/>
                <w:sz w:val="16"/>
                <w:szCs w:val="16"/>
              </w:rPr>
              <w:t>(7)</w:t>
            </w:r>
            <w:r w:rsidRPr="00021CFE">
              <w:rPr>
                <w:rFonts w:cs="Arial"/>
                <w:sz w:val="16"/>
                <w:szCs w:val="16"/>
              </w:rPr>
              <w:t>. Re-dosing of oral vitamin K</w:t>
            </w:r>
            <w:r w:rsidRPr="00021CFE">
              <w:rPr>
                <w:rFonts w:cs="Arial"/>
                <w:sz w:val="16"/>
                <w:szCs w:val="16"/>
                <w:vertAlign w:val="subscript"/>
              </w:rPr>
              <w:t>1</w:t>
            </w:r>
            <w:r w:rsidRPr="00021CFE">
              <w:rPr>
                <w:rFonts w:cs="Arial"/>
                <w:sz w:val="16"/>
                <w:szCs w:val="16"/>
              </w:rPr>
              <w:t xml:space="preserve"> is recommended by 1 month in breast fed infants.</w:t>
            </w:r>
            <w:r w:rsidRPr="00021CFE">
              <w:rPr>
                <w:rFonts w:cs="Arial"/>
                <w:noProof/>
                <w:sz w:val="16"/>
                <w:szCs w:val="16"/>
              </w:rPr>
              <w:t>(6)</w:t>
            </w:r>
            <w:r w:rsidRPr="00021CFE">
              <w:rPr>
                <w:rFonts w:cs="Arial"/>
                <w:sz w:val="16"/>
                <w:szCs w:val="16"/>
              </w:rPr>
              <w:t xml:space="preserve"> (LOE II GOR B) </w:t>
            </w:r>
          </w:p>
          <w:p w:rsidRPr="00021CFE" w:rsidR="00021CFE" w:rsidP="00131848" w:rsidRDefault="00021CFE" w14:paraId="28E315B2" w14:textId="77777777">
            <w:pPr>
              <w:pStyle w:val="BodyText"/>
              <w:tabs>
                <w:tab w:val="left" w:pos="1168"/>
              </w:tabs>
              <w:rPr>
                <w:rFonts w:cs="Arial"/>
                <w:sz w:val="16"/>
                <w:szCs w:val="16"/>
              </w:rPr>
            </w:pPr>
            <w:r w:rsidRPr="00021CFE">
              <w:rPr>
                <w:rFonts w:cs="Arial"/>
                <w:sz w:val="16"/>
                <w:szCs w:val="16"/>
              </w:rPr>
              <w:t>In preterm infants and sick infants unable to receive intramuscular vitamin K</w:t>
            </w:r>
            <w:r w:rsidRPr="00021CFE">
              <w:rPr>
                <w:rFonts w:cs="Arial"/>
                <w:sz w:val="16"/>
                <w:szCs w:val="16"/>
                <w:vertAlign w:val="subscript"/>
              </w:rPr>
              <w:t>1</w:t>
            </w:r>
            <w:r w:rsidRPr="00021CFE">
              <w:rPr>
                <w:rFonts w:cs="Arial"/>
                <w:sz w:val="16"/>
                <w:szCs w:val="16"/>
              </w:rPr>
              <w:t>, 0.3 mg/kg intravenously resulted in similar serum concentrations as oral administration of 3 mg vitamin K</w:t>
            </w:r>
            <w:r w:rsidRPr="00021CFE">
              <w:rPr>
                <w:rFonts w:cs="Arial"/>
                <w:sz w:val="16"/>
                <w:szCs w:val="16"/>
                <w:vertAlign w:val="subscript"/>
              </w:rPr>
              <w:t>1</w:t>
            </w:r>
            <w:r w:rsidRPr="00021CFE">
              <w:rPr>
                <w:rFonts w:cs="Arial"/>
                <w:sz w:val="16"/>
                <w:szCs w:val="16"/>
              </w:rPr>
              <w:t xml:space="preserve"> and intramuscular administration of 1.5 mg vitamin K</w:t>
            </w:r>
            <w:r w:rsidRPr="00021CFE">
              <w:rPr>
                <w:rFonts w:cs="Arial"/>
                <w:sz w:val="16"/>
                <w:szCs w:val="16"/>
                <w:vertAlign w:val="subscript"/>
              </w:rPr>
              <w:t>1</w:t>
            </w:r>
            <w:r w:rsidRPr="00021CFE">
              <w:rPr>
                <w:rFonts w:cs="Arial"/>
                <w:sz w:val="16"/>
                <w:szCs w:val="16"/>
              </w:rPr>
              <w:t xml:space="preserve"> supports recommendation for intravenous 0.4 mg/kg phytomenadione</w:t>
            </w:r>
            <w:r w:rsidRPr="00021CFE" w:rsidDel="008E01D9">
              <w:rPr>
                <w:rFonts w:cs="Arial"/>
                <w:sz w:val="16"/>
                <w:szCs w:val="16"/>
              </w:rPr>
              <w:t xml:space="preserve"> </w:t>
            </w:r>
            <w:r w:rsidRPr="00021CFE">
              <w:rPr>
                <w:rFonts w:cs="Arial"/>
                <w:sz w:val="16"/>
                <w:szCs w:val="16"/>
              </w:rPr>
              <w:t>- vitamin K</w:t>
            </w:r>
            <w:r w:rsidRPr="00021CFE">
              <w:rPr>
                <w:rFonts w:cs="Arial"/>
                <w:sz w:val="16"/>
                <w:szCs w:val="16"/>
                <w:vertAlign w:val="subscript"/>
              </w:rPr>
              <w:t>1</w:t>
            </w:r>
            <w:r w:rsidRPr="00021CFE">
              <w:rPr>
                <w:rFonts w:cs="Arial"/>
                <w:sz w:val="16"/>
                <w:szCs w:val="16"/>
              </w:rPr>
              <w:t xml:space="preserve"> - Konakion MM Paediatric in infants unable to receive oral or intramuscular vitamin K</w:t>
            </w:r>
            <w:r w:rsidRPr="00021CFE">
              <w:rPr>
                <w:rFonts w:cs="Arial"/>
                <w:sz w:val="16"/>
                <w:szCs w:val="16"/>
                <w:vertAlign w:val="subscript"/>
              </w:rPr>
              <w:t>1</w:t>
            </w:r>
            <w:r w:rsidRPr="00021CFE">
              <w:rPr>
                <w:rFonts w:cs="Arial"/>
                <w:sz w:val="16"/>
                <w:szCs w:val="16"/>
              </w:rPr>
              <w:t>.</w:t>
            </w:r>
            <w:r w:rsidRPr="00021CFE">
              <w:rPr>
                <w:rFonts w:cs="Arial"/>
                <w:noProof/>
                <w:sz w:val="16"/>
                <w:szCs w:val="16"/>
              </w:rPr>
              <w:t>(5)</w:t>
            </w:r>
            <w:r w:rsidRPr="00021CFE">
              <w:rPr>
                <w:rFonts w:cs="Arial"/>
                <w:sz w:val="16"/>
                <w:szCs w:val="16"/>
              </w:rPr>
              <w:t xml:space="preserve"> (LOE IV, GOR B).</w:t>
            </w:r>
          </w:p>
        </w:tc>
      </w:tr>
      <w:tr w:rsidRPr="00026F20" w:rsidR="00021CFE" w:rsidTr="00021CFE" w14:paraId="12D62DB1" w14:textId="77777777">
        <w:trPr>
          <w:trHeight w:val="108"/>
        </w:trPr>
        <w:tc>
          <w:tcPr>
            <w:tcW w:w="1701" w:type="dxa"/>
          </w:tcPr>
          <w:p w:rsidRPr="00B53E9B" w:rsidR="00021CFE" w:rsidP="00131848" w:rsidRDefault="00021CFE" w14:paraId="42770E2C" w14:textId="77777777">
            <w:pPr>
              <w:pStyle w:val="BodyText"/>
              <w:rPr>
                <w:rFonts w:cs="Arial"/>
                <w:b/>
                <w:bCs/>
                <w:sz w:val="20"/>
              </w:rPr>
            </w:pPr>
            <w:r w:rsidRPr="00B53E9B">
              <w:rPr>
                <w:rFonts w:cs="Arial"/>
                <w:b/>
                <w:bCs/>
                <w:sz w:val="20"/>
              </w:rPr>
              <w:lastRenderedPageBreak/>
              <w:t>Practice points</w:t>
            </w:r>
          </w:p>
        </w:tc>
        <w:tc>
          <w:tcPr>
            <w:tcW w:w="8222" w:type="dxa"/>
          </w:tcPr>
          <w:p w:rsidRPr="00CA4E19" w:rsidR="00021CFE" w:rsidP="00131848" w:rsidRDefault="00021CFE" w14:paraId="6C678F50" w14:textId="77777777">
            <w:pPr>
              <w:pStyle w:val="BodyText"/>
              <w:tabs>
                <w:tab w:val="left" w:pos="1168"/>
              </w:tabs>
              <w:rPr>
                <w:rFonts w:cs="Arial"/>
                <w:sz w:val="20"/>
                <w:u w:val="single"/>
              </w:rPr>
            </w:pPr>
            <w:r w:rsidRPr="00CA4E19">
              <w:rPr>
                <w:rFonts w:cs="Arial"/>
                <w:b/>
                <w:sz w:val="20"/>
                <w:u w:val="single"/>
              </w:rPr>
              <w:t>Australian NHMRC Guidelines 2010 position statement</w:t>
            </w:r>
            <w:r w:rsidRPr="00CA4E19">
              <w:rPr>
                <w:rFonts w:cs="Arial"/>
                <w:b/>
                <w:noProof/>
                <w:sz w:val="20"/>
                <w:u w:val="single"/>
              </w:rPr>
              <w:t>(1)</w:t>
            </w:r>
            <w:r w:rsidRPr="00CA4E19">
              <w:rPr>
                <w:rFonts w:cs="Arial"/>
                <w:b/>
                <w:sz w:val="20"/>
                <w:u w:val="single"/>
              </w:rPr>
              <w:t>:</w:t>
            </w:r>
            <w:r w:rsidRPr="00CA4E19">
              <w:rPr>
                <w:rFonts w:cs="Arial"/>
                <w:sz w:val="20"/>
                <w:u w:val="single"/>
              </w:rPr>
              <w:t xml:space="preserve"> </w:t>
            </w:r>
          </w:p>
          <w:p w:rsidRPr="00CA4E19" w:rsidR="00021CFE" w:rsidP="00021CFE" w:rsidRDefault="00021CFE" w14:paraId="5BF1EE64" w14:textId="77777777">
            <w:pPr>
              <w:pStyle w:val="EndNoteBibliography"/>
              <w:numPr>
                <w:ilvl w:val="0"/>
                <w:numId w:val="75"/>
              </w:numPr>
              <w:rPr>
                <w:rFonts w:asciiTheme="minorHAnsi" w:hAnsiTheme="minorHAnsi" w:cstheme="minorHAnsi"/>
                <w:sz w:val="20"/>
                <w:szCs w:val="20"/>
              </w:rPr>
            </w:pPr>
            <w:r w:rsidRPr="00CA4E19">
              <w:rPr>
                <w:rFonts w:asciiTheme="minorHAnsi" w:hAnsiTheme="minorHAnsi" w:cstheme="minorHAnsi"/>
                <w:sz w:val="20"/>
                <w:szCs w:val="20"/>
              </w:rPr>
              <w:t>All newborn infants should receive vitamin K prophylaxis.</w:t>
            </w:r>
          </w:p>
          <w:p w:rsidRPr="00CA4E19" w:rsidR="00021CFE" w:rsidP="00021CFE" w:rsidRDefault="00021CFE" w14:paraId="6B5355C1" w14:textId="77777777">
            <w:pPr>
              <w:pStyle w:val="EndNoteBibliography"/>
              <w:numPr>
                <w:ilvl w:val="0"/>
                <w:numId w:val="75"/>
              </w:numPr>
              <w:rPr>
                <w:rFonts w:asciiTheme="minorHAnsi" w:hAnsiTheme="minorHAnsi" w:cstheme="minorHAnsi"/>
                <w:sz w:val="20"/>
                <w:szCs w:val="20"/>
              </w:rPr>
            </w:pPr>
            <w:r w:rsidRPr="00CA4E19">
              <w:rPr>
                <w:rFonts w:asciiTheme="minorHAnsi" w:hAnsiTheme="minorHAnsi" w:cstheme="minorHAnsi"/>
                <w:sz w:val="20"/>
                <w:szCs w:val="20"/>
              </w:rPr>
              <w:t>Healthy newborn infants should receive vitamin K</w:t>
            </w:r>
            <w:r w:rsidRPr="00CA4E19">
              <w:rPr>
                <w:rFonts w:asciiTheme="minorHAnsi" w:hAnsiTheme="minorHAnsi" w:cstheme="minorHAnsi"/>
                <w:sz w:val="20"/>
                <w:szCs w:val="20"/>
                <w:vertAlign w:val="subscript"/>
              </w:rPr>
              <w:t>1</w:t>
            </w:r>
            <w:r w:rsidRPr="00CA4E19">
              <w:rPr>
                <w:rFonts w:asciiTheme="minorHAnsi" w:hAnsiTheme="minorHAnsi" w:cstheme="minorHAnsi"/>
                <w:sz w:val="20"/>
                <w:szCs w:val="20"/>
              </w:rPr>
              <w:t xml:space="preserve"> either:</w:t>
            </w:r>
          </w:p>
          <w:p w:rsidRPr="00CA4E19" w:rsidR="00021CFE" w:rsidP="00021CFE" w:rsidRDefault="00021CFE" w14:paraId="770DCEBC" w14:textId="77777777">
            <w:pPr>
              <w:pStyle w:val="EndNoteBibliography"/>
              <w:numPr>
                <w:ilvl w:val="0"/>
                <w:numId w:val="75"/>
              </w:numPr>
              <w:rPr>
                <w:rFonts w:asciiTheme="minorHAnsi" w:hAnsiTheme="minorHAnsi" w:cstheme="minorHAnsi"/>
                <w:sz w:val="20"/>
                <w:szCs w:val="20"/>
              </w:rPr>
            </w:pPr>
            <w:r w:rsidRPr="00CA4E19">
              <w:rPr>
                <w:rFonts w:asciiTheme="minorHAnsi" w:hAnsiTheme="minorHAnsi" w:cstheme="minorHAnsi"/>
                <w:sz w:val="20"/>
                <w:szCs w:val="20"/>
              </w:rPr>
              <w:t xml:space="preserve">By intramuscular injection of 1 mg (0.1 mL) of Konakion® MM Paediatric at birth. This is the preferred route for reliability of administration and level of compliance, </w:t>
            </w:r>
            <w:r w:rsidRPr="00CA4E19">
              <w:rPr>
                <w:rFonts w:asciiTheme="minorHAnsi" w:hAnsiTheme="minorHAnsi" w:cstheme="minorHAnsi"/>
                <w:b/>
                <w:sz w:val="20"/>
                <w:szCs w:val="20"/>
              </w:rPr>
              <w:t>OR</w:t>
            </w:r>
          </w:p>
          <w:p w:rsidRPr="000F6A99" w:rsidR="00021CFE" w:rsidP="00021CFE" w:rsidRDefault="00021CFE" w14:paraId="67C10BCA" w14:textId="77777777">
            <w:pPr>
              <w:pStyle w:val="EndNoteBibliography"/>
              <w:numPr>
                <w:ilvl w:val="0"/>
                <w:numId w:val="75"/>
              </w:numPr>
              <w:rPr>
                <w:rFonts w:cs="Arial"/>
                <w:sz w:val="20"/>
              </w:rPr>
            </w:pPr>
            <w:r>
              <w:rPr>
                <w:rFonts w:asciiTheme="minorHAnsi" w:hAnsiTheme="minorHAnsi" w:cstheme="minorHAnsi"/>
                <w:sz w:val="20"/>
                <w:szCs w:val="20"/>
              </w:rPr>
              <w:t>T</w:t>
            </w:r>
            <w:r w:rsidRPr="00CA4E19">
              <w:rPr>
                <w:rFonts w:asciiTheme="minorHAnsi" w:hAnsiTheme="minorHAnsi" w:cstheme="minorHAnsi"/>
                <w:sz w:val="20"/>
                <w:szCs w:val="20"/>
              </w:rPr>
              <w:t xml:space="preserve">hree 2 mg (0.2 mL) oral doses of Konakion® MM Paediatric, given at birth, at the time of newborn screening (usually at </w:t>
            </w:r>
            <w:r>
              <w:rPr>
                <w:rFonts w:asciiTheme="minorHAnsi" w:hAnsiTheme="minorHAnsi" w:cstheme="minorHAnsi"/>
                <w:sz w:val="20"/>
                <w:szCs w:val="20"/>
              </w:rPr>
              <w:t>3-5</w:t>
            </w:r>
            <w:r w:rsidRPr="00CA4E19">
              <w:rPr>
                <w:rFonts w:asciiTheme="minorHAnsi" w:hAnsiTheme="minorHAnsi" w:cstheme="minorHAnsi"/>
                <w:sz w:val="20"/>
                <w:szCs w:val="20"/>
              </w:rPr>
              <w:t xml:space="preserve"> days of age) and in the fourth week. </w:t>
            </w:r>
          </w:p>
          <w:p w:rsidRPr="00026F20" w:rsidR="00021CFE" w:rsidP="00021CFE" w:rsidRDefault="00021CFE" w14:paraId="73EE2A35" w14:textId="77777777">
            <w:pPr>
              <w:pStyle w:val="EndNoteBibliography"/>
              <w:numPr>
                <w:ilvl w:val="0"/>
                <w:numId w:val="75"/>
              </w:numPr>
              <w:rPr>
                <w:rFonts w:cs="Arial"/>
                <w:sz w:val="20"/>
              </w:rPr>
            </w:pPr>
            <w:r w:rsidRPr="00CA4E19">
              <w:rPr>
                <w:rFonts w:asciiTheme="minorHAnsi" w:hAnsiTheme="minorHAnsi" w:cstheme="minorHAnsi"/>
                <w:sz w:val="20"/>
                <w:szCs w:val="20"/>
              </w:rPr>
              <w:t>Newborns who are too unwell and are unable to take oral vitamin K</w:t>
            </w:r>
            <w:r w:rsidRPr="00CA4E19">
              <w:rPr>
                <w:rFonts w:asciiTheme="minorHAnsi" w:hAnsiTheme="minorHAnsi" w:cstheme="minorHAnsi"/>
                <w:sz w:val="20"/>
                <w:szCs w:val="20"/>
                <w:vertAlign w:val="subscript"/>
              </w:rPr>
              <w:t>1</w:t>
            </w:r>
            <w:r w:rsidRPr="00CA4E19">
              <w:rPr>
                <w:rFonts w:asciiTheme="minorHAnsi" w:hAnsiTheme="minorHAnsi" w:cstheme="minorHAnsi"/>
                <w:sz w:val="20"/>
                <w:szCs w:val="20"/>
              </w:rPr>
              <w:t xml:space="preserve"> (or whose mothers have taken medications that interfere with vitamin K metabolism) should be given 1 mg of Konakion® MM Paediatric by intramuscular injection at birth. A smaller intramuscular dose of 0.5 mg (0.05 mL) should be given to infants with a birth weight of less than 1.5 kg.</w:t>
            </w:r>
          </w:p>
        </w:tc>
      </w:tr>
      <w:tr w:rsidRPr="00A4414D" w:rsidR="00021CFE" w:rsidTr="00021CFE" w14:paraId="00269ED9" w14:textId="77777777">
        <w:trPr>
          <w:trHeight w:val="70"/>
        </w:trPr>
        <w:tc>
          <w:tcPr>
            <w:tcW w:w="1701" w:type="dxa"/>
          </w:tcPr>
          <w:p w:rsidRPr="00B53E9B" w:rsidR="00021CFE" w:rsidP="00131848" w:rsidRDefault="00021CFE" w14:paraId="3DA38B49" w14:textId="77777777">
            <w:pPr>
              <w:pStyle w:val="BodyText"/>
              <w:rPr>
                <w:rFonts w:cs="Arial"/>
                <w:b/>
                <w:bCs/>
                <w:sz w:val="20"/>
              </w:rPr>
            </w:pPr>
            <w:r w:rsidRPr="00B53E9B">
              <w:rPr>
                <w:b/>
                <w:sz w:val="20"/>
              </w:rPr>
              <w:t>References</w:t>
            </w:r>
          </w:p>
        </w:tc>
        <w:tc>
          <w:tcPr>
            <w:tcW w:w="8222" w:type="dxa"/>
          </w:tcPr>
          <w:p w:rsidRPr="00021CFE" w:rsidR="00021CFE" w:rsidP="00021CFE" w:rsidRDefault="00021CFE" w14:paraId="46233AE6"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2010 NHMRC Joint statement and recommendations on vitamin K administration to newborn infants to prevent vitamin K deficiency bleeding in infancy (Joint Statement). October 2010. Accessed on 4 April 2021.</w:t>
            </w:r>
          </w:p>
          <w:p w:rsidRPr="00021CFE" w:rsidR="00021CFE" w:rsidP="00021CFE" w:rsidRDefault="00021CFE" w14:paraId="5097590E"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Puckett RM, Offringa M. Prophylactic vitamin K for vitamin K deficiency bleeding in neonates. Cochrane Database of Systematic Reviews. 2000(4):CD002776.</w:t>
            </w:r>
          </w:p>
          <w:p w:rsidRPr="00021CFE" w:rsidR="00021CFE" w:rsidP="00021CFE" w:rsidRDefault="00021CFE" w14:paraId="59403D36"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Ardell S, Offringa M, Ovelman C, Soll R. Prophylactic vitamin K for the prevention of vitamin K deficiency bleeding in preterm neonates. Cochrane Database of Systematic Reviews. 2018;2:CD008342.</w:t>
            </w:r>
          </w:p>
          <w:p w:rsidRPr="00021CFE" w:rsidR="00021CFE" w:rsidP="00021CFE" w:rsidRDefault="00021CFE" w14:paraId="10791344"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Williams MD, Chalmers EA, Gibson BE. The investigation and management of neonatal haemostasis and thrombosis. British journal of haematology. 2002;119(2):295-309.</w:t>
            </w:r>
          </w:p>
          <w:p w:rsidRPr="00021CFE" w:rsidR="00021CFE" w:rsidP="00021CFE" w:rsidRDefault="00021CFE" w14:paraId="0FE4D898"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Raith W, Fauler G, Pichler G, Muntean W. Plasma concentrations after intravenous administration of phylloquinone (vitamin K1) in preterm and sick neonates. Thrombosis research. 2000;99(5):467-72.</w:t>
            </w:r>
          </w:p>
          <w:p w:rsidRPr="00021CFE" w:rsidR="00021CFE" w:rsidP="00021CFE" w:rsidRDefault="00021CFE" w14:paraId="5955FE3B"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Stoeckel K, Joubert P, Grüter J. Elimination half-life of vitamin K 1 in neonates is longer than is generally assumed: implications for the prophylaxis of haemorrhaghic disease of the newborn. European journal of clinical pharmacology. 1996;49(5):421-3.</w:t>
            </w:r>
          </w:p>
          <w:p w:rsidRPr="00021CFE" w:rsidR="00021CFE" w:rsidP="00021CFE" w:rsidRDefault="00021CFE" w14:paraId="5307146B"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Marinova M, Lütjohann D, Breuer O, Kölsch H, Westhofen P, Watzka M, et al. VKORC1-dependent pharmacokinetics of intravenous and oral phylloquinone (vitamin K1) mixed micelles formulation. European journal of clinical pharmacology. 2013;69(3):467-75.</w:t>
            </w:r>
          </w:p>
          <w:p w:rsidRPr="00021CFE" w:rsidR="00021CFE" w:rsidP="00021CFE" w:rsidRDefault="00021CFE" w14:paraId="51A737CB" w14:textId="77777777">
            <w:pPr>
              <w:numPr>
                <w:ilvl w:val="0"/>
                <w:numId w:val="161"/>
              </w:numPr>
              <w:spacing w:after="160" w:line="259" w:lineRule="auto"/>
              <w:ind w:left="284" w:hanging="284"/>
              <w:contextualSpacing/>
              <w:rPr>
                <w:rFonts w:asciiTheme="minorHAnsi" w:hAnsiTheme="minorHAnsi" w:eastAsiaTheme="minorHAnsi" w:cstheme="minorBidi"/>
                <w:sz w:val="16"/>
                <w:szCs w:val="16"/>
              </w:rPr>
            </w:pPr>
            <w:r w:rsidRPr="00021CFE">
              <w:rPr>
                <w:rFonts w:asciiTheme="minorHAnsi" w:hAnsiTheme="minorHAnsi" w:eastAsiaTheme="minorHAnsi" w:cstheme="minorBidi"/>
                <w:sz w:val="16"/>
                <w:szCs w:val="16"/>
              </w:rPr>
              <w:t>Micromedex. Accessed on 4 April 2021.</w:t>
            </w:r>
          </w:p>
          <w:p w:rsidRPr="00A4414D" w:rsidR="00021CFE" w:rsidP="00021CFE" w:rsidRDefault="00021CFE" w14:paraId="1714484E" w14:textId="77777777">
            <w:pPr>
              <w:numPr>
                <w:ilvl w:val="0"/>
                <w:numId w:val="161"/>
              </w:numPr>
              <w:spacing w:after="160" w:line="259" w:lineRule="auto"/>
              <w:ind w:left="284" w:hanging="284"/>
              <w:contextualSpacing/>
              <w:rPr>
                <w:sz w:val="20"/>
              </w:rPr>
            </w:pPr>
            <w:r w:rsidRPr="00021CFE">
              <w:rPr>
                <w:rFonts w:asciiTheme="minorHAnsi" w:hAnsiTheme="minorHAnsi" w:eastAsiaTheme="minorHAnsi" w:cstheme="minorBidi"/>
                <w:sz w:val="16"/>
                <w:szCs w:val="16"/>
              </w:rPr>
              <w:t>Australian Injectable Drugs Handbook, 8</w:t>
            </w:r>
            <w:r w:rsidRPr="00021CFE">
              <w:rPr>
                <w:rFonts w:asciiTheme="minorHAnsi" w:hAnsiTheme="minorHAnsi" w:eastAsiaTheme="minorHAnsi" w:cstheme="minorBidi"/>
                <w:sz w:val="16"/>
                <w:szCs w:val="16"/>
                <w:vertAlign w:val="superscript"/>
              </w:rPr>
              <w:t>th</w:t>
            </w:r>
            <w:r w:rsidRPr="00021CFE">
              <w:rPr>
                <w:rFonts w:asciiTheme="minorHAnsi" w:hAnsiTheme="minorHAnsi" w:eastAsiaTheme="minorHAnsi" w:cstheme="minorBidi"/>
                <w:sz w:val="16"/>
                <w:szCs w:val="16"/>
              </w:rPr>
              <w:t xml:space="preserve"> edition. Accessed on 4 April 2021.</w:t>
            </w:r>
          </w:p>
        </w:tc>
      </w:tr>
    </w:tbl>
    <w:p w:rsidRPr="00E25790" w:rsidR="00115F48" w:rsidP="006F0321" w:rsidRDefault="00115F48" w14:paraId="34434D8A" w14:textId="77777777"/>
    <w:p w:rsidRPr="00E25790" w:rsidR="00115F48" w:rsidP="006F0321" w:rsidRDefault="00115F48" w14:paraId="1502797B" w14:textId="77777777"/>
    <w:tbl>
      <w:tblPr>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92"/>
        <w:gridCol w:w="4770"/>
      </w:tblGrid>
      <w:tr w:rsidRPr="00800118" w:rsidR="0020431B" w:rsidTr="00A65F20" w14:paraId="5A810FC9" w14:textId="77777777">
        <w:tc>
          <w:tcPr>
            <w:tcW w:w="4192" w:type="dxa"/>
            <w:vAlign w:val="center"/>
          </w:tcPr>
          <w:p w:rsidRPr="00800118" w:rsidR="006065B2" w:rsidP="00E525C7" w:rsidRDefault="006065B2" w14:paraId="57EF4089" w14:textId="6CA02749">
            <w:pPr>
              <w:rPr>
                <w:lang w:val="en-AU"/>
              </w:rPr>
            </w:pPr>
            <w:r w:rsidRPr="00800118">
              <w:rPr>
                <w:lang w:val="en-AU"/>
              </w:rPr>
              <w:t xml:space="preserve">Original version Date: </w:t>
            </w:r>
            <w:r w:rsidR="003C4373">
              <w:rPr>
                <w:lang w:val="en-AU"/>
              </w:rPr>
              <w:t>3/3/2016</w:t>
            </w:r>
          </w:p>
        </w:tc>
        <w:tc>
          <w:tcPr>
            <w:tcW w:w="4770" w:type="dxa"/>
            <w:vAlign w:val="center"/>
          </w:tcPr>
          <w:p w:rsidRPr="00800118" w:rsidR="006065B2" w:rsidP="00E525C7" w:rsidRDefault="006065B2" w14:paraId="108BB3E5" w14:textId="77777777">
            <w:pPr>
              <w:rPr>
                <w:lang w:val="en-AU"/>
              </w:rPr>
            </w:pPr>
            <w:r w:rsidRPr="00800118">
              <w:rPr>
                <w:lang w:val="en-AU"/>
              </w:rPr>
              <w:t>Author: ANMF Consensus Group</w:t>
            </w:r>
          </w:p>
        </w:tc>
      </w:tr>
      <w:tr w:rsidRPr="00800118" w:rsidR="0020431B" w:rsidTr="00A65F20" w14:paraId="43264918" w14:textId="77777777">
        <w:tc>
          <w:tcPr>
            <w:tcW w:w="4192" w:type="dxa"/>
            <w:vAlign w:val="center"/>
          </w:tcPr>
          <w:p w:rsidRPr="00800118" w:rsidR="006065B2" w:rsidP="00E525C7" w:rsidRDefault="006065B2" w14:paraId="244789AF" w14:textId="77777777">
            <w:pPr>
              <w:rPr>
                <w:bCs/>
                <w:lang w:val="en-AU"/>
              </w:rPr>
            </w:pPr>
            <w:r w:rsidRPr="00800118">
              <w:rPr>
                <w:lang w:val="en-AU"/>
              </w:rPr>
              <w:t>Current Version number:  2.0</w:t>
            </w:r>
          </w:p>
        </w:tc>
        <w:tc>
          <w:tcPr>
            <w:tcW w:w="4770" w:type="dxa"/>
            <w:vAlign w:val="center"/>
          </w:tcPr>
          <w:p w:rsidRPr="00800118" w:rsidR="006065B2" w:rsidP="00E525C7" w:rsidRDefault="006065B2" w14:paraId="6779B51F" w14:textId="209B74A6">
            <w:pPr>
              <w:rPr>
                <w:lang w:val="en-AU"/>
              </w:rPr>
            </w:pPr>
            <w:r w:rsidRPr="00800118">
              <w:rPr>
                <w:lang w:val="en-AU"/>
              </w:rPr>
              <w:t xml:space="preserve">Version Date:  </w:t>
            </w:r>
            <w:r w:rsidR="00021CFE">
              <w:rPr>
                <w:lang w:val="en-AU"/>
              </w:rPr>
              <w:t>18-6-2021</w:t>
            </w:r>
          </w:p>
        </w:tc>
      </w:tr>
      <w:tr w:rsidRPr="00800118" w:rsidR="0020431B" w:rsidTr="00A65F20" w14:paraId="21346471" w14:textId="77777777">
        <w:tc>
          <w:tcPr>
            <w:tcW w:w="4192" w:type="dxa"/>
            <w:vAlign w:val="center"/>
          </w:tcPr>
          <w:p w:rsidRPr="00800118" w:rsidR="006065B2" w:rsidP="00E525C7" w:rsidRDefault="006065B2" w14:paraId="2ECEE799" w14:textId="668E2721">
            <w:pPr>
              <w:rPr>
                <w:lang w:val="en-AU"/>
              </w:rPr>
            </w:pPr>
            <w:r w:rsidRPr="00800118">
              <w:rPr>
                <w:lang w:val="en-AU"/>
              </w:rPr>
              <w:t xml:space="preserve">Risk Rating: </w:t>
            </w:r>
            <w:r w:rsidR="00481D64">
              <w:rPr>
                <w:lang w:val="en-AU"/>
              </w:rPr>
              <w:t>Low</w:t>
            </w:r>
          </w:p>
        </w:tc>
        <w:tc>
          <w:tcPr>
            <w:tcW w:w="4770" w:type="dxa"/>
            <w:vAlign w:val="center"/>
          </w:tcPr>
          <w:p w:rsidRPr="00800118" w:rsidR="006065B2" w:rsidP="00E525C7" w:rsidRDefault="006065B2" w14:paraId="5297B62B" w14:textId="2AA3DE72">
            <w:pPr>
              <w:rPr>
                <w:lang w:val="en-AU"/>
              </w:rPr>
            </w:pPr>
            <w:r w:rsidRPr="00800118">
              <w:rPr>
                <w:lang w:val="en-AU"/>
              </w:rPr>
              <w:t xml:space="preserve">Due for Review:  </w:t>
            </w:r>
            <w:r w:rsidR="00021CFE">
              <w:rPr>
                <w:lang w:val="en-AU"/>
              </w:rPr>
              <w:t>18-6-2026</w:t>
            </w:r>
          </w:p>
        </w:tc>
      </w:tr>
      <w:tr w:rsidRPr="00800118" w:rsidR="0020431B" w:rsidTr="00A65F20" w14:paraId="05E07D79" w14:textId="77777777">
        <w:trPr>
          <w:trHeight w:val="344"/>
        </w:trPr>
        <w:tc>
          <w:tcPr>
            <w:tcW w:w="4192" w:type="dxa"/>
            <w:tcBorders>
              <w:bottom w:val="single" w:color="auto" w:sz="4" w:space="0"/>
            </w:tcBorders>
            <w:vAlign w:val="center"/>
          </w:tcPr>
          <w:p w:rsidRPr="00800118" w:rsidR="006065B2" w:rsidP="00E525C7" w:rsidRDefault="006065B2" w14:paraId="71FE0E33" w14:textId="77777777">
            <w:pPr>
              <w:rPr>
                <w:lang w:val="en-AU"/>
              </w:rPr>
            </w:pPr>
            <w:r w:rsidRPr="00800118">
              <w:rPr>
                <w:lang w:val="en-AU"/>
              </w:rPr>
              <w:t xml:space="preserve">Approved by: </w:t>
            </w:r>
            <w:r>
              <w:rPr>
                <w:lang w:val="en-AU"/>
              </w:rPr>
              <w:t>DTC</w:t>
            </w:r>
          </w:p>
        </w:tc>
        <w:tc>
          <w:tcPr>
            <w:tcW w:w="4770" w:type="dxa"/>
            <w:tcBorders>
              <w:bottom w:val="single" w:color="auto" w:sz="4" w:space="0"/>
            </w:tcBorders>
            <w:vAlign w:val="center"/>
          </w:tcPr>
          <w:p w:rsidRPr="00800118" w:rsidR="006065B2" w:rsidP="00E525C7" w:rsidRDefault="006065B2" w14:paraId="3A73C1D9" w14:textId="7A7DE0B2">
            <w:pPr>
              <w:rPr>
                <w:lang w:val="en-AU"/>
              </w:rPr>
            </w:pPr>
            <w:r w:rsidRPr="00800118">
              <w:rPr>
                <w:lang w:val="en-AU"/>
              </w:rPr>
              <w:t xml:space="preserve">Approval Date: </w:t>
            </w:r>
            <w:r w:rsidR="00260BC8">
              <w:rPr>
                <w:lang w:val="en-AU"/>
              </w:rPr>
              <w:t>APRIL 2021</w:t>
            </w:r>
          </w:p>
        </w:tc>
      </w:tr>
    </w:tbl>
    <w:p w:rsidRPr="00E25790" w:rsidR="00115F48" w:rsidP="006F0321" w:rsidRDefault="00115F48" w14:paraId="1AFB2F10" w14:textId="77777777"/>
    <w:p w:rsidRPr="00E25790" w:rsidR="008D7970" w:rsidP="006F0321" w:rsidRDefault="00115F48" w14:paraId="31494850" w14:textId="77777777">
      <w:r w:rsidRPr="00E25790">
        <w:br w:type="page"/>
      </w:r>
    </w:p>
    <w:tbl>
      <w:tblPr>
        <w:tblW w:w="9049" w:type="dxa"/>
        <w:tblLayout w:type="fixed"/>
        <w:tblLook w:val="0000" w:firstRow="0" w:lastRow="0" w:firstColumn="0" w:lastColumn="0" w:noHBand="0" w:noVBand="0"/>
      </w:tblPr>
      <w:tblGrid>
        <w:gridCol w:w="4153"/>
        <w:gridCol w:w="4896"/>
      </w:tblGrid>
      <w:tr w:rsidRPr="00E25790" w:rsidR="00D33FE0" w:rsidTr="00943338" w14:paraId="260FA816" w14:textId="77777777">
        <w:trPr>
          <w:cantSplit/>
          <w:trHeight w:val="720"/>
        </w:trPr>
        <w:tc>
          <w:tcPr>
            <w:tcW w:w="9049"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D33FE0" w:rsidP="009469DB" w:rsidRDefault="00D33FE0" w14:paraId="6367F42F" w14:textId="77777777">
            <w:pPr>
              <w:pStyle w:val="Heading1"/>
            </w:pPr>
            <w:bookmarkStart w:name="_Toc38106948" w:id="629"/>
            <w:bookmarkStart w:name="_Toc75340062" w:id="630"/>
            <w:r w:rsidRPr="006A160B">
              <w:lastRenderedPageBreak/>
              <w:t>Zidovudine</w:t>
            </w:r>
            <w:bookmarkEnd w:id="629"/>
            <w:bookmarkEnd w:id="630"/>
            <w:r w:rsidRPr="006A160B">
              <w:t xml:space="preserve"> </w:t>
            </w:r>
            <w:r w:rsidRPr="006A160B">
              <w:fldChar w:fldCharType="begin"/>
            </w:r>
            <w:r w:rsidRPr="006A160B">
              <w:instrText>tc "Surfactant" \l 0</w:instrText>
            </w:r>
            <w:r w:rsidRPr="006A160B">
              <w:fldChar w:fldCharType="end"/>
            </w:r>
          </w:p>
        </w:tc>
      </w:tr>
      <w:tr w:rsidRPr="00E25790" w:rsidR="00D33FE0" w:rsidTr="00943338" w14:paraId="64520C8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D33FE0" w:rsidP="006F0321" w:rsidRDefault="00D33FE0" w14:paraId="41B014E1" w14:textId="79B4D1E3">
            <w:r w:rsidRPr="00E25790">
              <w:t xml:space="preserve">Revision Date : </w:t>
            </w:r>
            <w:r w:rsidR="009D627A">
              <w:t>16-11-2020</w:t>
            </w:r>
          </w:p>
        </w:tc>
        <w:tc>
          <w:tcPr>
            <w:tcW w:w="4896" w:type="dxa"/>
            <w:tcBorders>
              <w:top w:val="double" w:color="auto" w:sz="6" w:space="0"/>
              <w:left w:val="single" w:color="auto" w:sz="6" w:space="0"/>
              <w:bottom w:val="double" w:color="auto" w:sz="6" w:space="0"/>
              <w:right w:val="double" w:color="auto" w:sz="6" w:space="0"/>
            </w:tcBorders>
            <w:shd w:val="clear" w:color="auto" w:fill="FFFF00"/>
          </w:tcPr>
          <w:p w:rsidRPr="00E25790" w:rsidR="00D33FE0" w:rsidP="006F0321" w:rsidRDefault="009D627A" w14:paraId="1B1DE11E" w14:textId="2C9CA0B1">
            <w:r>
              <w:t>Approved TC, KOH</w:t>
            </w:r>
          </w:p>
        </w:tc>
      </w:tr>
    </w:tbl>
    <w:p w:rsidRPr="00E25790" w:rsidR="00D33FE0" w:rsidP="006F0321" w:rsidRDefault="00D33FE0" w14:paraId="3AB7353D" w14:textId="77777777"/>
    <w:p w:rsidRPr="00E25790" w:rsidR="00D33FE0" w:rsidP="006F0321" w:rsidRDefault="00D33FE0" w14:paraId="5A0369E9" w14:textId="77777777"/>
    <w:tbl>
      <w:tblPr>
        <w:tblW w:w="966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730"/>
        <w:gridCol w:w="7938"/>
      </w:tblGrid>
      <w:tr w:rsidRPr="00DB058E" w:rsidR="000C77AC" w:rsidTr="00FE4186" w14:paraId="579F5F15" w14:textId="77777777">
        <w:trPr>
          <w:trHeight w:val="70"/>
        </w:trPr>
        <w:tc>
          <w:tcPr>
            <w:tcW w:w="1730" w:type="dxa"/>
          </w:tcPr>
          <w:p w:rsidRPr="00DB058E" w:rsidR="000C77AC" w:rsidP="00FE4186" w:rsidRDefault="000C77AC" w14:paraId="1D9FA907" w14:textId="77777777">
            <w:pPr>
              <w:pStyle w:val="BodyText"/>
              <w:tabs>
                <w:tab w:val="center" w:pos="1476"/>
              </w:tabs>
              <w:rPr>
                <w:rFonts w:asciiTheme="minorHAnsi" w:hAnsiTheme="minorHAnsi" w:cstheme="minorHAnsi"/>
                <w:b/>
                <w:sz w:val="20"/>
              </w:rPr>
            </w:pPr>
            <w:r w:rsidRPr="00DB058E">
              <w:rPr>
                <w:rFonts w:asciiTheme="minorHAnsi" w:hAnsiTheme="minorHAnsi" w:cstheme="minorHAnsi"/>
                <w:b/>
                <w:sz w:val="20"/>
              </w:rPr>
              <w:t>Alert</w:t>
            </w:r>
            <w:r w:rsidRPr="00DB058E">
              <w:rPr>
                <w:rFonts w:asciiTheme="minorHAnsi" w:hAnsiTheme="minorHAnsi" w:cstheme="minorHAnsi"/>
                <w:b/>
                <w:sz w:val="20"/>
              </w:rPr>
              <w:tab/>
            </w:r>
          </w:p>
        </w:tc>
        <w:tc>
          <w:tcPr>
            <w:tcW w:w="7938" w:type="dxa"/>
          </w:tcPr>
          <w:p w:rsidR="000C77AC" w:rsidP="00FE4186" w:rsidRDefault="000C77AC" w14:paraId="11242792" w14:textId="77777777">
            <w:pPr>
              <w:pStyle w:val="BodyText"/>
              <w:rPr>
                <w:rFonts w:asciiTheme="minorHAnsi" w:hAnsiTheme="minorHAnsi" w:cstheme="minorHAnsi"/>
                <w:sz w:val="20"/>
              </w:rPr>
            </w:pPr>
            <w:r w:rsidRPr="00DB058E">
              <w:rPr>
                <w:rFonts w:asciiTheme="minorHAnsi" w:hAnsiTheme="minorHAnsi" w:cstheme="minorHAnsi"/>
                <w:sz w:val="20"/>
              </w:rPr>
              <w:t>No Australian registered intravenous products are available. Retrovir IV ampoules are only available via the Special Access Scheme (SAS) in Australia.</w:t>
            </w:r>
            <w:r>
              <w:rPr>
                <w:rFonts w:asciiTheme="minorHAnsi" w:hAnsiTheme="minorHAnsi" w:cstheme="minorHAnsi"/>
                <w:sz w:val="20"/>
              </w:rPr>
              <w:t xml:space="preserve"> </w:t>
            </w:r>
          </w:p>
          <w:p w:rsidRPr="00DB058E" w:rsidR="000C77AC" w:rsidP="00FE4186" w:rsidRDefault="000C77AC" w14:paraId="330EBE18" w14:textId="77777777">
            <w:pPr>
              <w:pStyle w:val="BodyText"/>
              <w:rPr>
                <w:rFonts w:asciiTheme="minorHAnsi" w:hAnsiTheme="minorHAnsi" w:cstheme="minorHAnsi"/>
                <w:sz w:val="20"/>
              </w:rPr>
            </w:pPr>
            <w:r w:rsidRPr="00DB058E">
              <w:rPr>
                <w:rFonts w:asciiTheme="minorHAnsi" w:hAnsiTheme="minorHAnsi" w:cstheme="minorHAnsi"/>
                <w:sz w:val="20"/>
              </w:rPr>
              <w:t>Also known as azidothymidine (AZT).</w:t>
            </w:r>
          </w:p>
        </w:tc>
      </w:tr>
      <w:tr w:rsidRPr="00DB058E" w:rsidR="000C77AC" w:rsidTr="00FE4186" w14:paraId="52FCC974" w14:textId="77777777">
        <w:trPr>
          <w:trHeight w:val="72"/>
        </w:trPr>
        <w:tc>
          <w:tcPr>
            <w:tcW w:w="1730" w:type="dxa"/>
          </w:tcPr>
          <w:p w:rsidRPr="00DB058E" w:rsidR="000C77AC" w:rsidP="00FE4186" w:rsidRDefault="000C77AC" w14:paraId="180F8398" w14:textId="77777777">
            <w:pPr>
              <w:pStyle w:val="BodyText"/>
              <w:rPr>
                <w:rFonts w:asciiTheme="minorHAnsi" w:hAnsiTheme="minorHAnsi" w:cstheme="minorHAnsi"/>
                <w:sz w:val="20"/>
              </w:rPr>
            </w:pPr>
            <w:r w:rsidRPr="00DB058E">
              <w:rPr>
                <w:rFonts w:asciiTheme="minorHAnsi" w:hAnsiTheme="minorHAnsi" w:cstheme="minorHAnsi"/>
                <w:b/>
                <w:bCs/>
                <w:sz w:val="20"/>
              </w:rPr>
              <w:t>Indication</w:t>
            </w:r>
          </w:p>
        </w:tc>
        <w:tc>
          <w:tcPr>
            <w:tcW w:w="7938" w:type="dxa"/>
          </w:tcPr>
          <w:p w:rsidRPr="00DB058E" w:rsidR="000C77AC" w:rsidP="00FE4186" w:rsidRDefault="000C77AC" w14:paraId="26382554" w14:textId="77777777">
            <w:pPr>
              <w:jc w:val="both"/>
              <w:rPr>
                <w:rFonts w:asciiTheme="minorHAnsi" w:hAnsiTheme="minorHAnsi" w:cstheme="minorHAnsi"/>
                <w:sz w:val="20"/>
              </w:rPr>
            </w:pPr>
            <w:r w:rsidRPr="00DB058E">
              <w:rPr>
                <w:rFonts w:asciiTheme="minorHAnsi" w:hAnsiTheme="minorHAnsi" w:cstheme="minorHAnsi"/>
                <w:sz w:val="20"/>
              </w:rPr>
              <w:t>Monotherapy or part of a combination therapy for prevention of maternal-foetal HIV transmission.</w:t>
            </w:r>
          </w:p>
        </w:tc>
      </w:tr>
      <w:tr w:rsidRPr="00DB058E" w:rsidR="000C77AC" w:rsidTr="00FE4186" w14:paraId="6B15C9B1" w14:textId="77777777">
        <w:trPr>
          <w:trHeight w:val="70"/>
        </w:trPr>
        <w:tc>
          <w:tcPr>
            <w:tcW w:w="1730" w:type="dxa"/>
          </w:tcPr>
          <w:p w:rsidRPr="00DB058E" w:rsidR="000C77AC" w:rsidP="00FE4186" w:rsidRDefault="000C77AC" w14:paraId="46C93AFC" w14:textId="77777777">
            <w:pPr>
              <w:pStyle w:val="BodyText"/>
              <w:rPr>
                <w:rFonts w:asciiTheme="minorHAnsi" w:hAnsiTheme="minorHAnsi" w:cstheme="minorHAnsi"/>
                <w:b/>
                <w:bCs/>
                <w:sz w:val="20"/>
              </w:rPr>
            </w:pPr>
            <w:r w:rsidRPr="00DB058E">
              <w:rPr>
                <w:rFonts w:asciiTheme="minorHAnsi" w:hAnsiTheme="minorHAnsi" w:cstheme="minorHAnsi"/>
                <w:b/>
                <w:bCs/>
                <w:sz w:val="20"/>
              </w:rPr>
              <w:t>Action</w:t>
            </w:r>
          </w:p>
        </w:tc>
        <w:tc>
          <w:tcPr>
            <w:tcW w:w="7938" w:type="dxa"/>
          </w:tcPr>
          <w:p w:rsidRPr="00DB058E" w:rsidR="000C77AC" w:rsidP="00FE4186" w:rsidRDefault="000C77AC" w14:paraId="30E8B934" w14:textId="77777777">
            <w:pPr>
              <w:rPr>
                <w:rFonts w:asciiTheme="minorHAnsi" w:hAnsiTheme="minorHAnsi" w:cstheme="minorHAnsi"/>
                <w:sz w:val="20"/>
              </w:rPr>
            </w:pPr>
            <w:r w:rsidRPr="00DB058E">
              <w:rPr>
                <w:rFonts w:asciiTheme="minorHAnsi" w:hAnsiTheme="minorHAnsi" w:cstheme="minorHAnsi"/>
                <w:sz w:val="20"/>
              </w:rPr>
              <w:t>Nucleoside analogue that inhibits HIV replication by interfering with viral reverse transcriptase.</w:t>
            </w:r>
          </w:p>
        </w:tc>
      </w:tr>
      <w:tr w:rsidRPr="00DB058E" w:rsidR="000C77AC" w:rsidTr="00FE4186" w14:paraId="770A88DC" w14:textId="77777777">
        <w:trPr>
          <w:trHeight w:val="266"/>
        </w:trPr>
        <w:tc>
          <w:tcPr>
            <w:tcW w:w="1730" w:type="dxa"/>
          </w:tcPr>
          <w:p w:rsidRPr="00DB058E" w:rsidR="000C77AC" w:rsidP="00FE4186" w:rsidRDefault="000C77AC" w14:paraId="3DE78848" w14:textId="77777777">
            <w:pPr>
              <w:pStyle w:val="BodyText"/>
              <w:rPr>
                <w:rFonts w:asciiTheme="minorHAnsi" w:hAnsiTheme="minorHAnsi" w:cstheme="minorHAnsi"/>
                <w:sz w:val="20"/>
              </w:rPr>
            </w:pPr>
            <w:r w:rsidRPr="00DB058E">
              <w:rPr>
                <w:rFonts w:asciiTheme="minorHAnsi" w:hAnsiTheme="minorHAnsi" w:cstheme="minorHAnsi"/>
                <w:b/>
                <w:bCs/>
                <w:sz w:val="20"/>
              </w:rPr>
              <w:t xml:space="preserve">Drug type                                   </w:t>
            </w:r>
          </w:p>
        </w:tc>
        <w:tc>
          <w:tcPr>
            <w:tcW w:w="7938" w:type="dxa"/>
          </w:tcPr>
          <w:p w:rsidRPr="00DB058E" w:rsidR="000C77AC" w:rsidP="00FE4186" w:rsidRDefault="000C77AC" w14:paraId="76640B18" w14:textId="77777777">
            <w:pPr>
              <w:pStyle w:val="BodyText"/>
              <w:rPr>
                <w:rFonts w:asciiTheme="minorHAnsi" w:hAnsiTheme="minorHAnsi" w:cstheme="minorHAnsi"/>
                <w:sz w:val="20"/>
              </w:rPr>
            </w:pPr>
            <w:r w:rsidRPr="00DB058E">
              <w:rPr>
                <w:rFonts w:asciiTheme="minorHAnsi" w:hAnsiTheme="minorHAnsi" w:cstheme="minorHAnsi"/>
                <w:sz w:val="20"/>
              </w:rPr>
              <w:t xml:space="preserve">Antiretroviral medication </w:t>
            </w:r>
          </w:p>
        </w:tc>
      </w:tr>
      <w:tr w:rsidRPr="00DB058E" w:rsidR="000C77AC" w:rsidTr="00FE4186" w14:paraId="7D3B4E1A" w14:textId="77777777">
        <w:trPr>
          <w:trHeight w:val="114"/>
        </w:trPr>
        <w:tc>
          <w:tcPr>
            <w:tcW w:w="1730" w:type="dxa"/>
          </w:tcPr>
          <w:p w:rsidRPr="00DB058E" w:rsidR="000C77AC" w:rsidP="00FE4186" w:rsidRDefault="000C77AC" w14:paraId="6A31448C"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Trade name                  </w:t>
            </w:r>
          </w:p>
        </w:tc>
        <w:tc>
          <w:tcPr>
            <w:tcW w:w="7938" w:type="dxa"/>
          </w:tcPr>
          <w:p w:rsidRPr="00DB058E" w:rsidR="000C77AC" w:rsidP="00FE4186" w:rsidRDefault="000C77AC" w14:paraId="7F1FACF6" w14:textId="77777777">
            <w:pPr>
              <w:pStyle w:val="BodyText"/>
              <w:rPr>
                <w:rFonts w:asciiTheme="minorHAnsi" w:hAnsiTheme="minorHAnsi" w:cstheme="minorHAnsi"/>
                <w:sz w:val="20"/>
              </w:rPr>
            </w:pPr>
            <w:r w:rsidRPr="00DB058E">
              <w:rPr>
                <w:rFonts w:asciiTheme="minorHAnsi" w:hAnsiTheme="minorHAnsi" w:cstheme="minorHAnsi"/>
                <w:sz w:val="20"/>
              </w:rPr>
              <w:t>Retrovir</w:t>
            </w:r>
          </w:p>
        </w:tc>
      </w:tr>
      <w:tr w:rsidRPr="00DB058E" w:rsidR="000C77AC" w:rsidTr="00FE4186" w14:paraId="21C11B6D" w14:textId="77777777">
        <w:trPr>
          <w:trHeight w:val="70"/>
        </w:trPr>
        <w:tc>
          <w:tcPr>
            <w:tcW w:w="1730" w:type="dxa"/>
          </w:tcPr>
          <w:p w:rsidRPr="00DB058E" w:rsidR="000C77AC" w:rsidP="00FE4186" w:rsidRDefault="000C77AC" w14:paraId="67303BA5"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Presentation </w:t>
            </w:r>
          </w:p>
        </w:tc>
        <w:tc>
          <w:tcPr>
            <w:tcW w:w="7938" w:type="dxa"/>
          </w:tcPr>
          <w:p w:rsidRPr="00DB058E" w:rsidR="000C77AC" w:rsidDel="00CF5CD2" w:rsidP="00FE4186" w:rsidRDefault="000C77AC" w14:paraId="406D210D" w14:textId="77777777">
            <w:pPr>
              <w:pStyle w:val="BodyText"/>
              <w:rPr>
                <w:rFonts w:asciiTheme="minorHAnsi" w:hAnsiTheme="minorHAnsi" w:cstheme="minorHAnsi"/>
                <w:sz w:val="20"/>
              </w:rPr>
            </w:pPr>
            <w:r w:rsidRPr="00DB058E" w:rsidDel="00CF5CD2">
              <w:rPr>
                <w:rFonts w:asciiTheme="minorHAnsi" w:hAnsiTheme="minorHAnsi" w:cstheme="minorHAnsi"/>
                <w:sz w:val="20"/>
              </w:rPr>
              <w:t>Oral: syrup 10 mg/mL</w:t>
            </w:r>
          </w:p>
          <w:p w:rsidR="000C77AC" w:rsidP="00FE4186" w:rsidRDefault="000C77AC" w14:paraId="3599D015" w14:textId="77777777">
            <w:pPr>
              <w:pStyle w:val="BodyText"/>
              <w:rPr>
                <w:rFonts w:asciiTheme="minorHAnsi" w:hAnsiTheme="minorHAnsi" w:cstheme="minorHAnsi"/>
                <w:sz w:val="20"/>
              </w:rPr>
            </w:pPr>
            <w:r w:rsidRPr="00DB058E">
              <w:rPr>
                <w:rFonts w:asciiTheme="minorHAnsi" w:hAnsiTheme="minorHAnsi" w:cstheme="minorHAnsi"/>
                <w:sz w:val="20"/>
              </w:rPr>
              <w:t>IV: 10 mg/mL in a 20mL single-use vial (SAS)</w:t>
            </w:r>
          </w:p>
          <w:p w:rsidRPr="00DB058E" w:rsidR="000C77AC" w:rsidP="00FE4186" w:rsidRDefault="000C77AC" w14:paraId="68D07FBB" w14:textId="77777777">
            <w:pPr>
              <w:pStyle w:val="BodyText"/>
              <w:rPr>
                <w:rFonts w:asciiTheme="minorHAnsi" w:hAnsiTheme="minorHAnsi" w:cstheme="minorHAnsi"/>
                <w:sz w:val="20"/>
              </w:rPr>
            </w:pPr>
            <w:r w:rsidRPr="00DB058E">
              <w:rPr>
                <w:rFonts w:asciiTheme="minorHAnsi" w:hAnsiTheme="minorHAnsi" w:cstheme="minorHAnsi"/>
                <w:sz w:val="20"/>
              </w:rPr>
              <w:t>Note: Retrovir is also available in oral capsules, however only the syrup is used in neonates.</w:t>
            </w:r>
          </w:p>
        </w:tc>
      </w:tr>
      <w:tr w:rsidRPr="00DB058E" w:rsidR="000C77AC" w:rsidTr="00FE4186" w14:paraId="2DCA6D38" w14:textId="77777777">
        <w:trPr>
          <w:trHeight w:val="70"/>
        </w:trPr>
        <w:tc>
          <w:tcPr>
            <w:tcW w:w="1730" w:type="dxa"/>
          </w:tcPr>
          <w:p w:rsidRPr="00DB058E" w:rsidR="000C77AC" w:rsidP="00FE4186" w:rsidRDefault="000C77AC" w14:paraId="0845ED0F"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Dose                          </w:t>
            </w:r>
          </w:p>
        </w:tc>
        <w:tc>
          <w:tcPr>
            <w:tcW w:w="7938" w:type="dxa"/>
          </w:tcPr>
          <w:p w:rsidRPr="00DB058E" w:rsidR="000C77AC" w:rsidP="00FE4186" w:rsidRDefault="000C77AC" w14:paraId="7DA3FE5C" w14:textId="77777777">
            <w:pPr>
              <w:pStyle w:val="BodyText"/>
              <w:rPr>
                <w:rFonts w:asciiTheme="minorHAnsi" w:hAnsiTheme="minorHAnsi" w:cstheme="minorHAnsi"/>
                <w:b/>
                <w:sz w:val="20"/>
              </w:rPr>
            </w:pPr>
            <w:r w:rsidRPr="00DB058E">
              <w:rPr>
                <w:rFonts w:asciiTheme="minorHAnsi" w:hAnsiTheme="minorHAnsi" w:cstheme="minorHAnsi"/>
                <w:b/>
                <w:sz w:val="20"/>
              </w:rPr>
              <w:t xml:space="preserve">Oral </w:t>
            </w:r>
          </w:p>
          <w:p w:rsidRPr="00DB058E" w:rsidR="000C77AC" w:rsidP="00FE4186" w:rsidRDefault="000C77AC" w14:paraId="17620C2E" w14:textId="77777777">
            <w:pPr>
              <w:pStyle w:val="BodyText"/>
              <w:rPr>
                <w:rFonts w:asciiTheme="minorHAnsi" w:hAnsiTheme="minorHAnsi" w:cstheme="minorHAnsi"/>
                <w:sz w:val="20"/>
              </w:rPr>
            </w:pPr>
            <w:r w:rsidRPr="00DB058E">
              <w:rPr>
                <w:rFonts w:asciiTheme="minorHAnsi" w:hAnsiTheme="minorHAnsi" w:cstheme="minorHAnsi"/>
                <w:sz w:val="20"/>
              </w:rPr>
              <w:t>Start therapy within 4 hours of birth.</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20"/>
              <w:gridCol w:w="1418"/>
              <w:gridCol w:w="3991"/>
            </w:tblGrid>
            <w:tr w:rsidRPr="00DB058E" w:rsidR="000C77AC" w:rsidTr="00FE4186" w14:paraId="42120D8D" w14:textId="77777777">
              <w:tc>
                <w:tcPr>
                  <w:tcW w:w="2020" w:type="dxa"/>
                  <w:shd w:val="clear" w:color="auto" w:fill="auto"/>
                </w:tcPr>
                <w:p w:rsidRPr="00DB058E" w:rsidR="000C77AC" w:rsidP="00FE4186" w:rsidRDefault="000C77AC" w14:paraId="277A04D3" w14:textId="77777777">
                  <w:pPr>
                    <w:pStyle w:val="BodyText"/>
                    <w:rPr>
                      <w:rFonts w:asciiTheme="minorHAnsi" w:hAnsiTheme="minorHAnsi" w:cstheme="minorHAnsi"/>
                      <w:b/>
                      <w:sz w:val="20"/>
                    </w:rPr>
                  </w:pPr>
                  <w:r w:rsidRPr="00DB058E">
                    <w:rPr>
                      <w:rFonts w:asciiTheme="minorHAnsi" w:hAnsiTheme="minorHAnsi" w:cstheme="minorHAnsi"/>
                      <w:b/>
                      <w:sz w:val="20"/>
                    </w:rPr>
                    <w:t>Gestation at birth</w:t>
                  </w:r>
                </w:p>
              </w:tc>
              <w:tc>
                <w:tcPr>
                  <w:tcW w:w="1418" w:type="dxa"/>
                  <w:shd w:val="clear" w:color="auto" w:fill="auto"/>
                </w:tcPr>
                <w:p w:rsidRPr="00DB058E" w:rsidR="000C77AC" w:rsidP="00FE4186" w:rsidRDefault="000C77AC" w14:paraId="0F17CA67" w14:textId="77777777">
                  <w:pPr>
                    <w:pStyle w:val="BodyText"/>
                    <w:rPr>
                      <w:rFonts w:asciiTheme="minorHAnsi" w:hAnsiTheme="minorHAnsi" w:cstheme="minorHAnsi"/>
                      <w:b/>
                      <w:sz w:val="20"/>
                    </w:rPr>
                  </w:pPr>
                  <w:r w:rsidRPr="00DB058E">
                    <w:rPr>
                      <w:rFonts w:asciiTheme="minorHAnsi" w:hAnsiTheme="minorHAnsi" w:cstheme="minorHAnsi"/>
                      <w:b/>
                      <w:sz w:val="20"/>
                    </w:rPr>
                    <w:t>Dose</w:t>
                  </w:r>
                </w:p>
              </w:tc>
              <w:tc>
                <w:tcPr>
                  <w:tcW w:w="3991" w:type="dxa"/>
                  <w:shd w:val="clear" w:color="auto" w:fill="auto"/>
                </w:tcPr>
                <w:p w:rsidRPr="00DB058E" w:rsidR="000C77AC" w:rsidP="00FE4186" w:rsidRDefault="000C77AC" w14:paraId="1EBC8A4A" w14:textId="77777777">
                  <w:pPr>
                    <w:pStyle w:val="BodyText"/>
                    <w:rPr>
                      <w:rFonts w:asciiTheme="minorHAnsi" w:hAnsiTheme="minorHAnsi" w:cstheme="minorHAnsi"/>
                      <w:b/>
                      <w:sz w:val="20"/>
                    </w:rPr>
                  </w:pPr>
                  <w:r w:rsidRPr="00DB058E">
                    <w:rPr>
                      <w:rFonts w:asciiTheme="minorHAnsi" w:hAnsiTheme="minorHAnsi" w:cstheme="minorHAnsi"/>
                      <w:b/>
                      <w:sz w:val="20"/>
                    </w:rPr>
                    <w:t>Interval</w:t>
                  </w:r>
                </w:p>
              </w:tc>
            </w:tr>
            <w:tr w:rsidRPr="00DB058E" w:rsidR="000C77AC" w:rsidTr="00FE4186" w14:paraId="18E3FA46" w14:textId="77777777">
              <w:tc>
                <w:tcPr>
                  <w:tcW w:w="2020" w:type="dxa"/>
                  <w:shd w:val="clear" w:color="auto" w:fill="auto"/>
                </w:tcPr>
                <w:p w:rsidRPr="00DB058E" w:rsidR="000C77AC" w:rsidP="00FE4186" w:rsidRDefault="000C77AC" w14:paraId="499EBDCD" w14:textId="77777777">
                  <w:pPr>
                    <w:pStyle w:val="BodyText"/>
                    <w:rPr>
                      <w:rFonts w:asciiTheme="minorHAnsi" w:hAnsiTheme="minorHAnsi" w:cstheme="minorHAnsi"/>
                      <w:sz w:val="20"/>
                    </w:rPr>
                  </w:pPr>
                  <w:r w:rsidRPr="00DB058E">
                    <w:rPr>
                      <w:rFonts w:asciiTheme="minorHAnsi" w:hAnsiTheme="minorHAnsi" w:cstheme="minorHAnsi"/>
                      <w:sz w:val="20"/>
                    </w:rPr>
                    <w:t>&lt;30 weeks</w:t>
                  </w:r>
                </w:p>
              </w:tc>
              <w:tc>
                <w:tcPr>
                  <w:tcW w:w="1418" w:type="dxa"/>
                  <w:shd w:val="clear" w:color="auto" w:fill="auto"/>
                </w:tcPr>
                <w:p w:rsidRPr="00DB058E" w:rsidR="000C77AC" w:rsidP="00FE4186" w:rsidRDefault="000C77AC" w14:paraId="69E44AAB" w14:textId="77777777">
                  <w:pPr>
                    <w:pStyle w:val="BodyText"/>
                    <w:rPr>
                      <w:rFonts w:asciiTheme="minorHAnsi" w:hAnsiTheme="minorHAnsi" w:cstheme="minorHAnsi"/>
                      <w:sz w:val="20"/>
                    </w:rPr>
                  </w:pPr>
                  <w:r w:rsidRPr="00DB058E">
                    <w:rPr>
                      <w:rFonts w:asciiTheme="minorHAnsi" w:hAnsiTheme="minorHAnsi" w:cstheme="minorHAnsi"/>
                      <w:sz w:val="20"/>
                    </w:rPr>
                    <w:t>2 mg/kg</w:t>
                  </w:r>
                </w:p>
              </w:tc>
              <w:tc>
                <w:tcPr>
                  <w:tcW w:w="3991" w:type="dxa"/>
                  <w:shd w:val="clear" w:color="auto" w:fill="auto"/>
                </w:tcPr>
                <w:p w:rsidRPr="00DB058E" w:rsidR="000C77AC" w:rsidP="00FE4186" w:rsidRDefault="000C77AC" w14:paraId="76118338" w14:textId="77777777">
                  <w:pPr>
                    <w:pStyle w:val="BodyText"/>
                    <w:rPr>
                      <w:rFonts w:asciiTheme="minorHAnsi" w:hAnsiTheme="minorHAnsi" w:cstheme="minorHAnsi"/>
                      <w:sz w:val="20"/>
                    </w:rPr>
                  </w:pPr>
                  <w:r w:rsidRPr="00DB058E">
                    <w:rPr>
                      <w:rFonts w:asciiTheme="minorHAnsi" w:hAnsiTheme="minorHAnsi" w:cstheme="minorHAnsi"/>
                      <w:sz w:val="20"/>
                    </w:rPr>
                    <w:t>12 hourly</w:t>
                  </w:r>
                </w:p>
              </w:tc>
            </w:tr>
            <w:tr w:rsidRPr="00DB058E" w:rsidR="000C77AC" w:rsidTr="00FE4186" w14:paraId="1A1A12DF" w14:textId="77777777">
              <w:tc>
                <w:tcPr>
                  <w:tcW w:w="2020" w:type="dxa"/>
                  <w:shd w:val="clear" w:color="auto" w:fill="auto"/>
                </w:tcPr>
                <w:p w:rsidRPr="00DB058E" w:rsidR="000C77AC" w:rsidP="00FE4186" w:rsidRDefault="000C77AC" w14:paraId="7D051DE0" w14:textId="77777777">
                  <w:pPr>
                    <w:pStyle w:val="BodyText"/>
                    <w:rPr>
                      <w:rFonts w:asciiTheme="minorHAnsi" w:hAnsiTheme="minorHAnsi" w:cstheme="minorHAnsi"/>
                      <w:sz w:val="20"/>
                    </w:rPr>
                  </w:pPr>
                  <w:r w:rsidRPr="00DB058E">
                    <w:rPr>
                      <w:rFonts w:asciiTheme="minorHAnsi" w:hAnsiTheme="minorHAnsi" w:cstheme="minorHAnsi"/>
                      <w:sz w:val="20"/>
                    </w:rPr>
                    <w:t>30</w:t>
                  </w:r>
                  <w:r w:rsidRPr="00DB058E">
                    <w:rPr>
                      <w:rFonts w:asciiTheme="minorHAnsi" w:hAnsiTheme="minorHAnsi" w:cstheme="minorHAnsi"/>
                      <w:sz w:val="20"/>
                      <w:vertAlign w:val="superscript"/>
                    </w:rPr>
                    <w:t>+0</w:t>
                  </w:r>
                  <w:r w:rsidRPr="00DB058E">
                    <w:rPr>
                      <w:rFonts w:asciiTheme="minorHAnsi" w:hAnsiTheme="minorHAnsi" w:cstheme="minorHAnsi"/>
                      <w:sz w:val="20"/>
                    </w:rPr>
                    <w:t>-33</w:t>
                  </w:r>
                  <w:r w:rsidRPr="00DB058E">
                    <w:rPr>
                      <w:rFonts w:asciiTheme="minorHAnsi" w:hAnsiTheme="minorHAnsi" w:cstheme="minorHAnsi"/>
                      <w:sz w:val="20"/>
                      <w:vertAlign w:val="superscript"/>
                    </w:rPr>
                    <w:t>+6</w:t>
                  </w:r>
                  <w:r w:rsidRPr="00DB058E">
                    <w:rPr>
                      <w:rFonts w:asciiTheme="minorHAnsi" w:hAnsiTheme="minorHAnsi" w:cstheme="minorHAnsi"/>
                      <w:sz w:val="20"/>
                    </w:rPr>
                    <w:t xml:space="preserve"> weeks</w:t>
                  </w:r>
                </w:p>
              </w:tc>
              <w:tc>
                <w:tcPr>
                  <w:tcW w:w="1418" w:type="dxa"/>
                  <w:shd w:val="clear" w:color="auto" w:fill="auto"/>
                </w:tcPr>
                <w:p w:rsidRPr="00DB058E" w:rsidR="000C77AC" w:rsidP="00FE4186" w:rsidRDefault="000C77AC" w14:paraId="48582165" w14:textId="77777777">
                  <w:pPr>
                    <w:pStyle w:val="BodyText"/>
                    <w:rPr>
                      <w:rFonts w:asciiTheme="minorHAnsi" w:hAnsiTheme="minorHAnsi" w:cstheme="minorHAnsi"/>
                      <w:sz w:val="20"/>
                    </w:rPr>
                  </w:pPr>
                  <w:r w:rsidRPr="00DB058E">
                    <w:rPr>
                      <w:rFonts w:asciiTheme="minorHAnsi" w:hAnsiTheme="minorHAnsi" w:cstheme="minorHAnsi"/>
                      <w:sz w:val="20"/>
                    </w:rPr>
                    <w:t>2 mg/kg</w:t>
                  </w:r>
                </w:p>
              </w:tc>
              <w:tc>
                <w:tcPr>
                  <w:tcW w:w="3991" w:type="dxa"/>
                  <w:shd w:val="clear" w:color="auto" w:fill="auto"/>
                </w:tcPr>
                <w:p w:rsidRPr="00DB058E" w:rsidR="000C77AC" w:rsidP="00FE4186" w:rsidRDefault="000C77AC" w14:paraId="780605D1" w14:textId="77777777">
                  <w:pPr>
                    <w:pStyle w:val="BodyText"/>
                    <w:rPr>
                      <w:rFonts w:asciiTheme="minorHAnsi" w:hAnsiTheme="minorHAnsi" w:cstheme="minorHAnsi"/>
                      <w:sz w:val="20"/>
                    </w:rPr>
                  </w:pPr>
                  <w:r w:rsidRPr="00DB058E">
                    <w:rPr>
                      <w:rFonts w:asciiTheme="minorHAnsi" w:hAnsiTheme="minorHAnsi" w:cstheme="minorHAnsi"/>
                      <w:sz w:val="20"/>
                    </w:rPr>
                    <w:t>12 hourly for 2 weeks and then 8 hourly</w:t>
                  </w:r>
                </w:p>
              </w:tc>
            </w:tr>
            <w:tr w:rsidRPr="00DB058E" w:rsidR="000C77AC" w:rsidTr="00FE4186" w14:paraId="68B514B7" w14:textId="77777777">
              <w:tc>
                <w:tcPr>
                  <w:tcW w:w="2020" w:type="dxa"/>
                  <w:shd w:val="clear" w:color="auto" w:fill="auto"/>
                </w:tcPr>
                <w:p w:rsidRPr="00DB058E" w:rsidR="000C77AC" w:rsidP="00FE4186" w:rsidRDefault="000C77AC" w14:paraId="7552B6DF" w14:textId="77777777">
                  <w:pPr>
                    <w:pStyle w:val="BodyText"/>
                    <w:rPr>
                      <w:rFonts w:asciiTheme="minorHAnsi" w:hAnsiTheme="minorHAnsi" w:cstheme="minorHAnsi"/>
                      <w:sz w:val="20"/>
                    </w:rPr>
                  </w:pPr>
                  <w:r w:rsidRPr="00DB058E">
                    <w:rPr>
                      <w:rFonts w:asciiTheme="minorHAnsi" w:hAnsiTheme="minorHAnsi" w:cstheme="minorHAnsi"/>
                      <w:sz w:val="20"/>
                    </w:rPr>
                    <w:t>≥34 weeks</w:t>
                  </w:r>
                </w:p>
              </w:tc>
              <w:tc>
                <w:tcPr>
                  <w:tcW w:w="1418" w:type="dxa"/>
                  <w:shd w:val="clear" w:color="auto" w:fill="auto"/>
                </w:tcPr>
                <w:p w:rsidRPr="00DB058E" w:rsidR="000C77AC" w:rsidP="00FE4186" w:rsidRDefault="000C77AC" w14:paraId="013E7C41" w14:textId="77777777">
                  <w:pPr>
                    <w:pStyle w:val="BodyText"/>
                    <w:rPr>
                      <w:rFonts w:asciiTheme="minorHAnsi" w:hAnsiTheme="minorHAnsi" w:cstheme="minorHAnsi"/>
                      <w:sz w:val="20"/>
                    </w:rPr>
                  </w:pPr>
                  <w:r w:rsidRPr="00DB058E">
                    <w:rPr>
                      <w:rFonts w:asciiTheme="minorHAnsi" w:hAnsiTheme="minorHAnsi" w:cstheme="minorHAnsi"/>
                      <w:sz w:val="20"/>
                    </w:rPr>
                    <w:t>4 mg/kg</w:t>
                  </w:r>
                </w:p>
              </w:tc>
              <w:tc>
                <w:tcPr>
                  <w:tcW w:w="3991" w:type="dxa"/>
                  <w:shd w:val="clear" w:color="auto" w:fill="auto"/>
                </w:tcPr>
                <w:p w:rsidRPr="00DB058E" w:rsidR="000C77AC" w:rsidP="00FE4186" w:rsidRDefault="000C77AC" w14:paraId="55318B2D" w14:textId="77777777">
                  <w:pPr>
                    <w:pStyle w:val="BodyText"/>
                    <w:rPr>
                      <w:rFonts w:asciiTheme="minorHAnsi" w:hAnsiTheme="minorHAnsi" w:cstheme="minorHAnsi"/>
                      <w:sz w:val="20"/>
                    </w:rPr>
                  </w:pPr>
                  <w:r w:rsidRPr="00DB058E">
                    <w:rPr>
                      <w:rFonts w:asciiTheme="minorHAnsi" w:hAnsiTheme="minorHAnsi" w:cstheme="minorHAnsi"/>
                      <w:sz w:val="20"/>
                    </w:rPr>
                    <w:t>12 hourly*</w:t>
                  </w:r>
                </w:p>
              </w:tc>
            </w:tr>
          </w:tbl>
          <w:p w:rsidRPr="00DB058E" w:rsidR="000C77AC" w:rsidP="00FE4186" w:rsidRDefault="000C77AC" w14:paraId="05E88DD8" w14:textId="77777777">
            <w:pPr>
              <w:pStyle w:val="BodyText"/>
              <w:rPr>
                <w:rFonts w:asciiTheme="minorHAnsi" w:hAnsiTheme="minorHAnsi" w:cstheme="minorHAnsi"/>
                <w:sz w:val="20"/>
              </w:rPr>
            </w:pPr>
            <w:r w:rsidRPr="00DB058E">
              <w:rPr>
                <w:rFonts w:asciiTheme="minorHAnsi" w:hAnsiTheme="minorHAnsi" w:cstheme="minorHAnsi"/>
                <w:sz w:val="20"/>
              </w:rPr>
              <w:t>*Dose can be rounded up to the nearest 0.5 mg to assist administration.</w:t>
            </w:r>
          </w:p>
          <w:p w:rsidRPr="00DB058E" w:rsidR="000C77AC" w:rsidP="00FE4186" w:rsidRDefault="000C77AC" w14:paraId="45965762" w14:textId="77777777">
            <w:pPr>
              <w:pStyle w:val="BodyText"/>
              <w:rPr>
                <w:rFonts w:asciiTheme="minorHAnsi" w:hAnsiTheme="minorHAnsi" w:cstheme="minorHAnsi"/>
                <w:sz w:val="20"/>
              </w:rPr>
            </w:pPr>
          </w:p>
          <w:p w:rsidR="000C77AC" w:rsidP="00FE4186" w:rsidRDefault="000C77AC" w14:paraId="33A3221E" w14:textId="77777777">
            <w:pPr>
              <w:pStyle w:val="BodyText"/>
              <w:rPr>
                <w:rFonts w:asciiTheme="minorHAnsi" w:hAnsiTheme="minorHAnsi" w:cstheme="minorHAnsi"/>
                <w:b/>
                <w:sz w:val="20"/>
              </w:rPr>
            </w:pPr>
            <w:r>
              <w:rPr>
                <w:rFonts w:asciiTheme="minorHAnsi" w:hAnsiTheme="minorHAnsi" w:cstheme="minorHAnsi"/>
                <w:b/>
                <w:sz w:val="20"/>
              </w:rPr>
              <w:t>IV</w:t>
            </w:r>
            <w:r w:rsidRPr="00DB058E">
              <w:rPr>
                <w:rFonts w:asciiTheme="minorHAnsi" w:hAnsiTheme="minorHAnsi" w:cstheme="minorHAnsi"/>
                <w:b/>
                <w:sz w:val="20"/>
              </w:rPr>
              <w:t xml:space="preserve"> </w:t>
            </w:r>
          </w:p>
          <w:p w:rsidR="000C77AC" w:rsidP="00FE4186" w:rsidRDefault="000C77AC" w14:paraId="1460B8BC" w14:textId="77777777">
            <w:pPr>
              <w:pStyle w:val="BodyText"/>
              <w:rPr>
                <w:rFonts w:asciiTheme="minorHAnsi" w:hAnsiTheme="minorHAnsi" w:cstheme="minorHAnsi"/>
                <w:sz w:val="20"/>
              </w:rPr>
            </w:pPr>
            <w:r w:rsidRPr="00DB058E">
              <w:rPr>
                <w:rFonts w:asciiTheme="minorHAnsi" w:hAnsiTheme="minorHAnsi" w:cstheme="minorHAnsi"/>
                <w:sz w:val="20"/>
              </w:rPr>
              <w:t xml:space="preserve">If neonates are unable to take oral zidovudine </w:t>
            </w:r>
          </w:p>
          <w:tbl>
            <w:tblPr>
              <w:tblStyle w:val="TableGrid"/>
              <w:tblW w:w="0" w:type="auto"/>
              <w:tblLayout w:type="fixed"/>
              <w:tblLook w:val="04A0" w:firstRow="1" w:lastRow="0" w:firstColumn="1" w:lastColumn="0" w:noHBand="0" w:noVBand="1"/>
            </w:tblPr>
            <w:tblGrid>
              <w:gridCol w:w="2569"/>
              <w:gridCol w:w="2569"/>
              <w:gridCol w:w="2569"/>
            </w:tblGrid>
            <w:tr w:rsidR="000C77AC" w:rsidTr="00FE4186" w14:paraId="2B939385" w14:textId="77777777">
              <w:tc>
                <w:tcPr>
                  <w:tcW w:w="2569" w:type="dxa"/>
                </w:tcPr>
                <w:p w:rsidR="000C77AC" w:rsidP="00FE4186" w:rsidRDefault="000C77AC" w14:paraId="5D9BC3FC" w14:textId="77777777">
                  <w:pPr>
                    <w:pStyle w:val="BodyText"/>
                    <w:rPr>
                      <w:rFonts w:asciiTheme="minorHAnsi" w:hAnsiTheme="minorHAnsi" w:cstheme="minorHAnsi"/>
                      <w:sz w:val="20"/>
                    </w:rPr>
                  </w:pPr>
                  <w:r w:rsidRPr="00DB058E">
                    <w:rPr>
                      <w:rFonts w:asciiTheme="minorHAnsi" w:hAnsiTheme="minorHAnsi" w:cstheme="minorHAnsi"/>
                      <w:b/>
                      <w:sz w:val="20"/>
                    </w:rPr>
                    <w:t>Gestation at birth</w:t>
                  </w:r>
                </w:p>
              </w:tc>
              <w:tc>
                <w:tcPr>
                  <w:tcW w:w="2569" w:type="dxa"/>
                </w:tcPr>
                <w:p w:rsidR="000C77AC" w:rsidP="00FE4186" w:rsidRDefault="000C77AC" w14:paraId="3BBA8386" w14:textId="77777777">
                  <w:pPr>
                    <w:pStyle w:val="BodyText"/>
                    <w:rPr>
                      <w:rFonts w:asciiTheme="minorHAnsi" w:hAnsiTheme="minorHAnsi" w:cstheme="minorHAnsi"/>
                      <w:sz w:val="20"/>
                    </w:rPr>
                  </w:pPr>
                  <w:r w:rsidRPr="00DB058E">
                    <w:rPr>
                      <w:rFonts w:asciiTheme="minorHAnsi" w:hAnsiTheme="minorHAnsi" w:cstheme="minorHAnsi"/>
                      <w:b/>
                      <w:sz w:val="20"/>
                    </w:rPr>
                    <w:t>Dose</w:t>
                  </w:r>
                </w:p>
              </w:tc>
              <w:tc>
                <w:tcPr>
                  <w:tcW w:w="2569" w:type="dxa"/>
                </w:tcPr>
                <w:p w:rsidR="000C77AC" w:rsidP="00FE4186" w:rsidRDefault="000C77AC" w14:paraId="7D547182" w14:textId="77777777">
                  <w:pPr>
                    <w:pStyle w:val="BodyText"/>
                    <w:rPr>
                      <w:rFonts w:asciiTheme="minorHAnsi" w:hAnsiTheme="minorHAnsi" w:cstheme="minorHAnsi"/>
                      <w:sz w:val="20"/>
                    </w:rPr>
                  </w:pPr>
                  <w:r w:rsidRPr="00DB058E">
                    <w:rPr>
                      <w:rFonts w:asciiTheme="minorHAnsi" w:hAnsiTheme="minorHAnsi" w:cstheme="minorHAnsi"/>
                      <w:b/>
                      <w:sz w:val="20"/>
                    </w:rPr>
                    <w:t>Interval</w:t>
                  </w:r>
                </w:p>
              </w:tc>
            </w:tr>
            <w:tr w:rsidR="000C77AC" w:rsidTr="00FE4186" w14:paraId="7CB3C550" w14:textId="77777777">
              <w:tc>
                <w:tcPr>
                  <w:tcW w:w="2569" w:type="dxa"/>
                </w:tcPr>
                <w:p w:rsidR="000C77AC" w:rsidP="00FE4186" w:rsidRDefault="000C77AC" w14:paraId="578F2291" w14:textId="77777777">
                  <w:pPr>
                    <w:pStyle w:val="BodyText"/>
                    <w:rPr>
                      <w:rFonts w:asciiTheme="minorHAnsi" w:hAnsiTheme="minorHAnsi" w:cstheme="minorHAnsi"/>
                      <w:sz w:val="20"/>
                    </w:rPr>
                  </w:pPr>
                  <w:r>
                    <w:rPr>
                      <w:rFonts w:asciiTheme="minorHAnsi" w:hAnsiTheme="minorHAnsi" w:cstheme="minorHAnsi"/>
                      <w:sz w:val="20"/>
                    </w:rPr>
                    <w:t>≤</w:t>
                  </w:r>
                  <w:r w:rsidRPr="00DB058E">
                    <w:rPr>
                      <w:rFonts w:asciiTheme="minorHAnsi" w:hAnsiTheme="minorHAnsi" w:cstheme="minorHAnsi"/>
                      <w:sz w:val="20"/>
                    </w:rPr>
                    <w:t>3</w:t>
                  </w:r>
                  <w:r>
                    <w:rPr>
                      <w:rFonts w:asciiTheme="minorHAnsi" w:hAnsiTheme="minorHAnsi" w:cstheme="minorHAnsi"/>
                      <w:sz w:val="20"/>
                    </w:rPr>
                    <w:t xml:space="preserve">3 </w:t>
                  </w:r>
                  <w:r w:rsidRPr="00471F93">
                    <w:rPr>
                      <w:rFonts w:asciiTheme="minorHAnsi" w:hAnsiTheme="minorHAnsi" w:cstheme="minorHAnsi"/>
                      <w:sz w:val="20"/>
                      <w:vertAlign w:val="superscript"/>
                    </w:rPr>
                    <w:t xml:space="preserve">+ </w:t>
                  </w:r>
                  <w:r>
                    <w:rPr>
                      <w:rFonts w:asciiTheme="minorHAnsi" w:hAnsiTheme="minorHAnsi" w:cstheme="minorHAnsi"/>
                      <w:sz w:val="20"/>
                      <w:vertAlign w:val="superscript"/>
                    </w:rPr>
                    <w:t xml:space="preserve">6 </w:t>
                  </w:r>
                  <w:r w:rsidRPr="00DB058E">
                    <w:rPr>
                      <w:rFonts w:asciiTheme="minorHAnsi" w:hAnsiTheme="minorHAnsi" w:cstheme="minorHAnsi"/>
                      <w:sz w:val="20"/>
                    </w:rPr>
                    <w:t>weeks gestation</w:t>
                  </w:r>
                  <w:r>
                    <w:rPr>
                      <w:rFonts w:asciiTheme="minorHAnsi" w:hAnsiTheme="minorHAnsi" w:cstheme="minorHAnsi"/>
                      <w:sz w:val="20"/>
                    </w:rPr>
                    <w:t>*</w:t>
                  </w:r>
                </w:p>
              </w:tc>
              <w:tc>
                <w:tcPr>
                  <w:tcW w:w="2569" w:type="dxa"/>
                </w:tcPr>
                <w:p w:rsidR="000C77AC" w:rsidP="00FE4186" w:rsidRDefault="000C77AC" w14:paraId="292DF8EE" w14:textId="77777777">
                  <w:pPr>
                    <w:pStyle w:val="BodyText"/>
                    <w:rPr>
                      <w:rFonts w:asciiTheme="minorHAnsi" w:hAnsiTheme="minorHAnsi" w:cstheme="minorHAnsi"/>
                      <w:sz w:val="20"/>
                    </w:rPr>
                  </w:pPr>
                  <w:r w:rsidRPr="00DB058E">
                    <w:rPr>
                      <w:rFonts w:asciiTheme="minorHAnsi" w:hAnsiTheme="minorHAnsi" w:cstheme="minorHAnsi"/>
                      <w:sz w:val="20"/>
                    </w:rPr>
                    <w:t>1.5 mg/kg/dose</w:t>
                  </w:r>
                </w:p>
              </w:tc>
              <w:tc>
                <w:tcPr>
                  <w:tcW w:w="2569" w:type="dxa"/>
                </w:tcPr>
                <w:p w:rsidR="000C77AC" w:rsidP="00FE4186" w:rsidRDefault="000C77AC" w14:paraId="63B39DA6" w14:textId="77777777">
                  <w:pPr>
                    <w:pStyle w:val="BodyText"/>
                    <w:rPr>
                      <w:rFonts w:asciiTheme="minorHAnsi" w:hAnsiTheme="minorHAnsi" w:cstheme="minorHAnsi"/>
                      <w:sz w:val="20"/>
                    </w:rPr>
                  </w:pPr>
                  <w:r>
                    <w:rPr>
                      <w:rFonts w:asciiTheme="minorHAnsi" w:hAnsiTheme="minorHAnsi" w:cstheme="minorHAnsi"/>
                      <w:sz w:val="20"/>
                    </w:rPr>
                    <w:t>12</w:t>
                  </w:r>
                  <w:r w:rsidRPr="00DB058E">
                    <w:rPr>
                      <w:rFonts w:asciiTheme="minorHAnsi" w:hAnsiTheme="minorHAnsi" w:cstheme="minorHAnsi"/>
                      <w:sz w:val="20"/>
                    </w:rPr>
                    <w:t xml:space="preserve"> hourly</w:t>
                  </w:r>
                </w:p>
              </w:tc>
            </w:tr>
            <w:tr w:rsidR="000C77AC" w:rsidTr="00FE4186" w14:paraId="6039527F" w14:textId="77777777">
              <w:tc>
                <w:tcPr>
                  <w:tcW w:w="2569" w:type="dxa"/>
                </w:tcPr>
                <w:p w:rsidR="000C77AC" w:rsidP="00FE4186" w:rsidRDefault="000C77AC" w14:paraId="17A5905E" w14:textId="77777777">
                  <w:pPr>
                    <w:pStyle w:val="BodyText"/>
                    <w:rPr>
                      <w:rFonts w:asciiTheme="minorHAnsi" w:hAnsiTheme="minorHAnsi" w:cstheme="minorHAnsi"/>
                      <w:sz w:val="20"/>
                    </w:rPr>
                  </w:pPr>
                  <w:r>
                    <w:rPr>
                      <w:rFonts w:asciiTheme="minorHAnsi" w:hAnsiTheme="minorHAnsi" w:cstheme="minorHAnsi"/>
                      <w:sz w:val="20"/>
                    </w:rPr>
                    <w:t>≥</w:t>
                  </w:r>
                  <w:r w:rsidRPr="00DB058E">
                    <w:rPr>
                      <w:rFonts w:asciiTheme="minorHAnsi" w:hAnsiTheme="minorHAnsi" w:cstheme="minorHAnsi"/>
                      <w:sz w:val="20"/>
                    </w:rPr>
                    <w:t>34 weeks gestation</w:t>
                  </w:r>
                </w:p>
              </w:tc>
              <w:tc>
                <w:tcPr>
                  <w:tcW w:w="2569" w:type="dxa"/>
                </w:tcPr>
                <w:p w:rsidR="000C77AC" w:rsidP="00FE4186" w:rsidRDefault="000C77AC" w14:paraId="45A014D4" w14:textId="77777777">
                  <w:pPr>
                    <w:pStyle w:val="BodyText"/>
                    <w:rPr>
                      <w:rFonts w:asciiTheme="minorHAnsi" w:hAnsiTheme="minorHAnsi" w:cstheme="minorHAnsi"/>
                      <w:sz w:val="20"/>
                    </w:rPr>
                  </w:pPr>
                  <w:r w:rsidRPr="00DB058E">
                    <w:rPr>
                      <w:rFonts w:asciiTheme="minorHAnsi" w:hAnsiTheme="minorHAnsi" w:cstheme="minorHAnsi"/>
                      <w:sz w:val="20"/>
                    </w:rPr>
                    <w:t>1.5 mg/kg/dose</w:t>
                  </w:r>
                </w:p>
              </w:tc>
              <w:tc>
                <w:tcPr>
                  <w:tcW w:w="2569" w:type="dxa"/>
                </w:tcPr>
                <w:p w:rsidR="000C77AC" w:rsidP="00FE4186" w:rsidRDefault="000C77AC" w14:paraId="294BE913" w14:textId="77777777">
                  <w:pPr>
                    <w:pStyle w:val="BodyText"/>
                    <w:rPr>
                      <w:rFonts w:asciiTheme="minorHAnsi" w:hAnsiTheme="minorHAnsi" w:cstheme="minorHAnsi"/>
                      <w:sz w:val="20"/>
                    </w:rPr>
                  </w:pPr>
                  <w:r>
                    <w:rPr>
                      <w:rFonts w:asciiTheme="minorHAnsi" w:hAnsiTheme="minorHAnsi" w:cstheme="minorHAnsi"/>
                      <w:sz w:val="20"/>
                    </w:rPr>
                    <w:t>6</w:t>
                  </w:r>
                  <w:r w:rsidRPr="00DB058E">
                    <w:rPr>
                      <w:rFonts w:asciiTheme="minorHAnsi" w:hAnsiTheme="minorHAnsi" w:cstheme="minorHAnsi"/>
                      <w:sz w:val="20"/>
                    </w:rPr>
                    <w:t xml:space="preserve"> hourly</w:t>
                  </w:r>
                </w:p>
              </w:tc>
            </w:tr>
          </w:tbl>
          <w:p w:rsidRPr="00DB058E" w:rsidR="000C77AC" w:rsidP="00FE4186" w:rsidRDefault="000C77AC" w14:paraId="121EAEC0" w14:textId="77777777">
            <w:pPr>
              <w:pStyle w:val="BodyText"/>
              <w:rPr>
                <w:rFonts w:asciiTheme="minorHAnsi" w:hAnsiTheme="minorHAnsi" w:cstheme="minorHAnsi"/>
                <w:sz w:val="20"/>
              </w:rPr>
            </w:pPr>
            <w:r>
              <w:rPr>
                <w:rFonts w:eastAsia="Symbol" w:asciiTheme="minorHAnsi" w:hAnsiTheme="minorHAnsi" w:cstheme="minorHAnsi"/>
                <w:sz w:val="20"/>
              </w:rPr>
              <w:t>*</w:t>
            </w:r>
            <w:r>
              <w:rPr>
                <w:rFonts w:asciiTheme="minorHAnsi" w:hAnsiTheme="minorHAnsi" w:cstheme="minorHAnsi"/>
                <w:sz w:val="20"/>
              </w:rPr>
              <w:t xml:space="preserve"> C</w:t>
            </w:r>
            <w:r w:rsidRPr="00DB058E">
              <w:rPr>
                <w:rFonts w:asciiTheme="minorHAnsi" w:hAnsiTheme="minorHAnsi" w:cstheme="minorHAnsi"/>
                <w:sz w:val="20"/>
              </w:rPr>
              <w:t xml:space="preserve">hange </w:t>
            </w:r>
            <w:r>
              <w:rPr>
                <w:rFonts w:asciiTheme="minorHAnsi" w:hAnsiTheme="minorHAnsi" w:cstheme="minorHAnsi"/>
                <w:sz w:val="20"/>
              </w:rPr>
              <w:t xml:space="preserve">interval </w:t>
            </w:r>
            <w:r w:rsidRPr="00DB058E">
              <w:rPr>
                <w:rFonts w:asciiTheme="minorHAnsi" w:hAnsiTheme="minorHAnsi" w:cstheme="minorHAnsi"/>
                <w:sz w:val="20"/>
              </w:rPr>
              <w:t>to 6 hourly at 34 weeks gestation.</w:t>
            </w:r>
          </w:p>
          <w:p w:rsidR="000C77AC" w:rsidP="00FE4186" w:rsidRDefault="000C77AC" w14:paraId="3E22C2B5" w14:textId="77777777">
            <w:pPr>
              <w:pStyle w:val="BodyText"/>
              <w:rPr>
                <w:rFonts w:asciiTheme="minorHAnsi" w:hAnsiTheme="minorHAnsi" w:cstheme="minorHAnsi"/>
                <w:sz w:val="20"/>
              </w:rPr>
            </w:pPr>
            <w:r w:rsidRPr="00DB058E">
              <w:rPr>
                <w:rFonts w:asciiTheme="minorHAnsi" w:hAnsiTheme="minorHAnsi" w:cstheme="minorHAnsi"/>
                <w:sz w:val="20"/>
              </w:rPr>
              <w:t>Switch to oral once the neonate is tolerating oral feeds.</w:t>
            </w:r>
          </w:p>
          <w:p w:rsidRPr="00DB058E" w:rsidR="000C77AC" w:rsidP="00FE4186" w:rsidRDefault="000C77AC" w14:paraId="5694741E" w14:textId="77777777">
            <w:pPr>
              <w:pStyle w:val="BodyText"/>
              <w:rPr>
                <w:rFonts w:asciiTheme="minorHAnsi" w:hAnsiTheme="minorHAnsi" w:cstheme="minorHAnsi"/>
                <w:sz w:val="20"/>
              </w:rPr>
            </w:pPr>
          </w:p>
          <w:p w:rsidRPr="00DB058E" w:rsidR="000C77AC" w:rsidP="00FE4186" w:rsidRDefault="000C77AC" w14:paraId="18377EFD" w14:textId="77777777">
            <w:pPr>
              <w:pStyle w:val="BodyText"/>
              <w:rPr>
                <w:rFonts w:asciiTheme="minorHAnsi" w:hAnsiTheme="minorHAnsi" w:cstheme="minorHAnsi"/>
                <w:b/>
                <w:sz w:val="20"/>
              </w:rPr>
            </w:pPr>
            <w:r w:rsidRPr="00DB058E">
              <w:rPr>
                <w:rFonts w:asciiTheme="minorHAnsi" w:hAnsiTheme="minorHAnsi" w:cstheme="minorHAnsi"/>
                <w:b/>
                <w:sz w:val="20"/>
              </w:rPr>
              <w:t>Total duration IV/oral dosing</w:t>
            </w:r>
          </w:p>
          <w:p w:rsidRPr="00DB058E" w:rsidR="000C77AC" w:rsidP="001B0E05" w:rsidRDefault="000C77AC" w14:paraId="240F6C74" w14:textId="77777777">
            <w:pPr>
              <w:pStyle w:val="BodyText"/>
              <w:numPr>
                <w:ilvl w:val="0"/>
                <w:numId w:val="76"/>
              </w:numPr>
              <w:overflowPunct w:val="0"/>
              <w:autoSpaceDE w:val="0"/>
              <w:autoSpaceDN w:val="0"/>
              <w:adjustRightInd w:val="0"/>
              <w:jc w:val="left"/>
              <w:textAlignment w:val="baseline"/>
              <w:rPr>
                <w:rFonts w:asciiTheme="minorHAnsi" w:hAnsiTheme="minorHAnsi" w:cstheme="minorHAnsi"/>
                <w:sz w:val="20"/>
              </w:rPr>
            </w:pPr>
            <w:r w:rsidRPr="00DB058E">
              <w:rPr>
                <w:rFonts w:asciiTheme="minorHAnsi" w:hAnsiTheme="minorHAnsi" w:cstheme="minorHAnsi"/>
                <w:sz w:val="20"/>
              </w:rPr>
              <w:t>Very low risk monotherapy – 2 weeks</w:t>
            </w:r>
          </w:p>
          <w:p w:rsidRPr="00DB058E" w:rsidR="000C77AC" w:rsidP="001B0E05" w:rsidRDefault="000C77AC" w14:paraId="7EC06EFC" w14:textId="77777777">
            <w:pPr>
              <w:pStyle w:val="BodyText"/>
              <w:numPr>
                <w:ilvl w:val="0"/>
                <w:numId w:val="76"/>
              </w:numPr>
              <w:overflowPunct w:val="0"/>
              <w:autoSpaceDE w:val="0"/>
              <w:autoSpaceDN w:val="0"/>
              <w:adjustRightInd w:val="0"/>
              <w:jc w:val="left"/>
              <w:textAlignment w:val="baseline"/>
              <w:rPr>
                <w:rFonts w:asciiTheme="minorHAnsi" w:hAnsiTheme="minorHAnsi" w:cstheme="minorHAnsi"/>
                <w:sz w:val="20"/>
              </w:rPr>
            </w:pPr>
            <w:r w:rsidRPr="00DB058E">
              <w:rPr>
                <w:rFonts w:asciiTheme="minorHAnsi" w:hAnsiTheme="minorHAnsi" w:cstheme="minorHAnsi"/>
                <w:sz w:val="20"/>
              </w:rPr>
              <w:t>Low risk monotherapy – 4 weeks</w:t>
            </w:r>
          </w:p>
          <w:p w:rsidRPr="00DB058E" w:rsidR="000C77AC" w:rsidP="001B0E05" w:rsidRDefault="000C77AC" w14:paraId="376EB960" w14:textId="77777777">
            <w:pPr>
              <w:pStyle w:val="BodyText"/>
              <w:numPr>
                <w:ilvl w:val="0"/>
                <w:numId w:val="76"/>
              </w:numPr>
              <w:overflowPunct w:val="0"/>
              <w:autoSpaceDE w:val="0"/>
              <w:autoSpaceDN w:val="0"/>
              <w:adjustRightInd w:val="0"/>
              <w:jc w:val="left"/>
              <w:textAlignment w:val="baseline"/>
              <w:rPr>
                <w:rFonts w:asciiTheme="minorHAnsi" w:hAnsiTheme="minorHAnsi" w:cstheme="minorHAnsi"/>
                <w:b/>
                <w:sz w:val="20"/>
              </w:rPr>
            </w:pPr>
            <w:r w:rsidRPr="00DB058E">
              <w:rPr>
                <w:rFonts w:asciiTheme="minorHAnsi" w:hAnsiTheme="minorHAnsi" w:cstheme="minorHAnsi"/>
                <w:sz w:val="20"/>
              </w:rPr>
              <w:t>High risk / combination therapy – 4 weeks</w:t>
            </w:r>
          </w:p>
        </w:tc>
      </w:tr>
      <w:tr w:rsidRPr="00DB058E" w:rsidR="000C77AC" w:rsidTr="00FE4186" w14:paraId="15BCDCED" w14:textId="77777777">
        <w:trPr>
          <w:trHeight w:val="407"/>
        </w:trPr>
        <w:tc>
          <w:tcPr>
            <w:tcW w:w="1730" w:type="dxa"/>
          </w:tcPr>
          <w:p w:rsidRPr="00DB058E" w:rsidR="000C77AC" w:rsidP="00FE4186" w:rsidRDefault="000C77AC" w14:paraId="49CCD2E9" w14:textId="77777777">
            <w:pPr>
              <w:pStyle w:val="BodyText"/>
              <w:rPr>
                <w:rFonts w:asciiTheme="minorHAnsi" w:hAnsiTheme="minorHAnsi" w:cstheme="minorHAnsi"/>
                <w:b/>
                <w:sz w:val="20"/>
              </w:rPr>
            </w:pPr>
            <w:r w:rsidRPr="00DB058E">
              <w:rPr>
                <w:rFonts w:asciiTheme="minorHAnsi" w:hAnsiTheme="minorHAnsi" w:cstheme="minorHAnsi"/>
                <w:b/>
                <w:sz w:val="20"/>
              </w:rPr>
              <w:t>Dose adjustment</w:t>
            </w:r>
          </w:p>
          <w:p w:rsidRPr="00DB058E" w:rsidR="000C77AC" w:rsidP="00FE4186" w:rsidRDefault="000C77AC" w14:paraId="51C41F1E" w14:textId="77777777">
            <w:pPr>
              <w:pStyle w:val="BodyText"/>
              <w:rPr>
                <w:rFonts w:asciiTheme="minorHAnsi" w:hAnsiTheme="minorHAnsi" w:cstheme="minorHAnsi"/>
                <w:b/>
                <w:sz w:val="20"/>
              </w:rPr>
            </w:pPr>
          </w:p>
        </w:tc>
        <w:tc>
          <w:tcPr>
            <w:tcW w:w="7938" w:type="dxa"/>
          </w:tcPr>
          <w:p w:rsidRPr="00DB058E" w:rsidR="000C77AC" w:rsidP="00FE4186" w:rsidRDefault="000C77AC" w14:paraId="6BEAA002" w14:textId="77777777">
            <w:pPr>
              <w:pStyle w:val="BodyText"/>
              <w:rPr>
                <w:rFonts w:asciiTheme="minorHAnsi" w:hAnsiTheme="minorHAnsi" w:cstheme="minorHAnsi"/>
                <w:sz w:val="20"/>
              </w:rPr>
            </w:pPr>
            <w:r w:rsidRPr="00DB058E">
              <w:rPr>
                <w:rFonts w:asciiTheme="minorHAnsi" w:hAnsiTheme="minorHAnsi" w:cstheme="minorHAnsi"/>
                <w:sz w:val="20"/>
              </w:rPr>
              <w:t>Therapeutic hypothermia: no information.</w:t>
            </w:r>
          </w:p>
          <w:p w:rsidRPr="00DB058E" w:rsidR="000C77AC" w:rsidP="00FE4186" w:rsidRDefault="000C77AC" w14:paraId="23094BF6" w14:textId="77777777">
            <w:pPr>
              <w:pStyle w:val="BodyText"/>
              <w:rPr>
                <w:rFonts w:asciiTheme="minorHAnsi" w:hAnsiTheme="minorHAnsi" w:cstheme="minorHAnsi"/>
                <w:sz w:val="20"/>
              </w:rPr>
            </w:pPr>
            <w:r w:rsidRPr="00DB058E">
              <w:rPr>
                <w:rFonts w:asciiTheme="minorHAnsi" w:hAnsiTheme="minorHAnsi" w:cstheme="minorHAnsi"/>
                <w:sz w:val="20"/>
              </w:rPr>
              <w:t>ECMO: no information.</w:t>
            </w:r>
          </w:p>
          <w:p w:rsidRPr="00DB058E" w:rsidR="000C77AC" w:rsidP="00FE4186" w:rsidRDefault="000C77AC" w14:paraId="36B3F11D" w14:textId="77777777">
            <w:pPr>
              <w:pStyle w:val="BodyText"/>
              <w:rPr>
                <w:rFonts w:asciiTheme="minorHAnsi" w:hAnsiTheme="minorHAnsi" w:cstheme="minorHAnsi"/>
                <w:sz w:val="20"/>
              </w:rPr>
            </w:pPr>
            <w:r w:rsidRPr="00DB058E">
              <w:rPr>
                <w:rFonts w:asciiTheme="minorHAnsi" w:hAnsiTheme="minorHAnsi" w:cstheme="minorHAnsi"/>
                <w:sz w:val="20"/>
              </w:rPr>
              <w:t>Renal: see monitoring and interactions.</w:t>
            </w:r>
          </w:p>
          <w:p w:rsidRPr="00DB058E" w:rsidR="000C77AC" w:rsidP="00FE4186" w:rsidRDefault="000C77AC" w14:paraId="3035A9B9" w14:textId="77777777">
            <w:pPr>
              <w:pStyle w:val="BodyText"/>
              <w:rPr>
                <w:rFonts w:asciiTheme="minorHAnsi" w:hAnsiTheme="minorHAnsi" w:cstheme="minorHAnsi"/>
                <w:sz w:val="20"/>
              </w:rPr>
            </w:pPr>
            <w:r w:rsidRPr="00DB058E">
              <w:rPr>
                <w:rFonts w:asciiTheme="minorHAnsi" w:hAnsiTheme="minorHAnsi" w:cstheme="minorHAnsi"/>
                <w:sz w:val="20"/>
              </w:rPr>
              <w:t>Hepatic: see monitoring and adverse reactions.</w:t>
            </w:r>
          </w:p>
        </w:tc>
      </w:tr>
      <w:tr w:rsidRPr="00DB058E" w:rsidR="000C77AC" w:rsidTr="00FE4186" w14:paraId="3CA20A6F" w14:textId="77777777">
        <w:trPr>
          <w:trHeight w:val="113"/>
        </w:trPr>
        <w:tc>
          <w:tcPr>
            <w:tcW w:w="1730" w:type="dxa"/>
          </w:tcPr>
          <w:p w:rsidRPr="00DB058E" w:rsidR="000C77AC" w:rsidP="00FE4186" w:rsidRDefault="000C77AC" w14:paraId="097424DA" w14:textId="77777777">
            <w:pPr>
              <w:pStyle w:val="BodyText"/>
              <w:rPr>
                <w:rFonts w:asciiTheme="minorHAnsi" w:hAnsiTheme="minorHAnsi" w:cstheme="minorHAnsi"/>
                <w:b/>
                <w:sz w:val="20"/>
              </w:rPr>
            </w:pPr>
            <w:r w:rsidRPr="00DB058E">
              <w:rPr>
                <w:rFonts w:asciiTheme="minorHAnsi" w:hAnsiTheme="minorHAnsi" w:cstheme="minorHAnsi"/>
                <w:b/>
                <w:sz w:val="20"/>
              </w:rPr>
              <w:t>Maximum dose</w:t>
            </w:r>
          </w:p>
        </w:tc>
        <w:tc>
          <w:tcPr>
            <w:tcW w:w="7938" w:type="dxa"/>
          </w:tcPr>
          <w:p w:rsidRPr="00DB058E" w:rsidR="000C77AC" w:rsidP="00FE4186" w:rsidRDefault="000C77AC" w14:paraId="47B66DE0" w14:textId="77777777">
            <w:pPr>
              <w:pStyle w:val="BodyText"/>
              <w:rPr>
                <w:rFonts w:asciiTheme="minorHAnsi" w:hAnsiTheme="minorHAnsi" w:cstheme="minorHAnsi"/>
                <w:sz w:val="20"/>
              </w:rPr>
            </w:pPr>
          </w:p>
        </w:tc>
      </w:tr>
      <w:tr w:rsidRPr="00DB058E" w:rsidR="000C77AC" w:rsidTr="00FE4186" w14:paraId="37B54981" w14:textId="77777777">
        <w:trPr>
          <w:trHeight w:val="144"/>
        </w:trPr>
        <w:tc>
          <w:tcPr>
            <w:tcW w:w="1730" w:type="dxa"/>
          </w:tcPr>
          <w:p w:rsidRPr="00DB058E" w:rsidR="000C77AC" w:rsidP="00FE4186" w:rsidRDefault="000C77AC" w14:paraId="2F7718EB" w14:textId="77777777">
            <w:pPr>
              <w:pStyle w:val="BodyText"/>
              <w:rPr>
                <w:rFonts w:asciiTheme="minorHAnsi" w:hAnsiTheme="minorHAnsi" w:cstheme="minorHAnsi"/>
                <w:b/>
                <w:bCs/>
                <w:sz w:val="20"/>
              </w:rPr>
            </w:pPr>
            <w:r w:rsidRPr="00DB058E">
              <w:rPr>
                <w:rFonts w:asciiTheme="minorHAnsi" w:hAnsiTheme="minorHAnsi" w:cstheme="minorHAnsi"/>
                <w:b/>
                <w:sz w:val="20"/>
              </w:rPr>
              <w:t>Total cumulative dose</w:t>
            </w:r>
          </w:p>
        </w:tc>
        <w:tc>
          <w:tcPr>
            <w:tcW w:w="7938" w:type="dxa"/>
          </w:tcPr>
          <w:p w:rsidRPr="00DB058E" w:rsidR="000C77AC" w:rsidP="00FE4186" w:rsidRDefault="000C77AC" w14:paraId="0703CBFC" w14:textId="77777777">
            <w:pPr>
              <w:pStyle w:val="BodyText"/>
              <w:rPr>
                <w:rFonts w:asciiTheme="minorHAnsi" w:hAnsiTheme="minorHAnsi" w:cstheme="minorHAnsi"/>
                <w:b/>
                <w:sz w:val="20"/>
              </w:rPr>
            </w:pPr>
          </w:p>
        </w:tc>
      </w:tr>
      <w:tr w:rsidRPr="00DB058E" w:rsidR="000C77AC" w:rsidTr="00FE4186" w14:paraId="131C8F8A" w14:textId="77777777">
        <w:trPr>
          <w:trHeight w:val="294"/>
        </w:trPr>
        <w:tc>
          <w:tcPr>
            <w:tcW w:w="1730" w:type="dxa"/>
          </w:tcPr>
          <w:p w:rsidRPr="00DB058E" w:rsidR="000C77AC" w:rsidP="00FE4186" w:rsidRDefault="000C77AC" w14:paraId="40D1B43A" w14:textId="77777777">
            <w:pPr>
              <w:pStyle w:val="BodyText"/>
              <w:rPr>
                <w:rFonts w:asciiTheme="minorHAnsi" w:hAnsiTheme="minorHAnsi" w:cstheme="minorHAnsi"/>
                <w:sz w:val="20"/>
              </w:rPr>
            </w:pPr>
            <w:r w:rsidRPr="00DB058E">
              <w:rPr>
                <w:rFonts w:asciiTheme="minorHAnsi" w:hAnsiTheme="minorHAnsi" w:cstheme="minorHAnsi"/>
                <w:b/>
                <w:bCs/>
                <w:sz w:val="20"/>
              </w:rPr>
              <w:t xml:space="preserve">Route                                </w:t>
            </w:r>
          </w:p>
        </w:tc>
        <w:tc>
          <w:tcPr>
            <w:tcW w:w="7938" w:type="dxa"/>
          </w:tcPr>
          <w:p w:rsidR="000C77AC" w:rsidP="00FE4186" w:rsidRDefault="000C77AC" w14:paraId="47FBF128" w14:textId="77777777">
            <w:pPr>
              <w:pStyle w:val="BodyText"/>
              <w:rPr>
                <w:rFonts w:asciiTheme="minorHAnsi" w:hAnsiTheme="minorHAnsi" w:cstheme="minorHAnsi"/>
                <w:sz w:val="20"/>
              </w:rPr>
            </w:pPr>
            <w:r>
              <w:rPr>
                <w:rFonts w:asciiTheme="minorHAnsi" w:hAnsiTheme="minorHAnsi" w:cstheme="minorHAnsi"/>
                <w:sz w:val="20"/>
              </w:rPr>
              <w:t>Oral</w:t>
            </w:r>
            <w:r w:rsidRPr="00DB058E">
              <w:rPr>
                <w:rFonts w:asciiTheme="minorHAnsi" w:hAnsiTheme="minorHAnsi" w:cstheme="minorHAnsi"/>
                <w:sz w:val="20"/>
              </w:rPr>
              <w:t xml:space="preserve"> </w:t>
            </w:r>
          </w:p>
          <w:p w:rsidRPr="00DB058E" w:rsidR="000C77AC" w:rsidP="00FE4186" w:rsidRDefault="000C77AC" w14:paraId="275F6E70" w14:textId="77777777">
            <w:pPr>
              <w:pStyle w:val="BodyText"/>
              <w:rPr>
                <w:rFonts w:asciiTheme="minorHAnsi" w:hAnsiTheme="minorHAnsi" w:cstheme="minorHAnsi"/>
                <w:sz w:val="20"/>
              </w:rPr>
            </w:pPr>
            <w:r w:rsidRPr="00DB058E">
              <w:rPr>
                <w:rFonts w:asciiTheme="minorHAnsi" w:hAnsiTheme="minorHAnsi" w:cstheme="minorHAnsi"/>
                <w:sz w:val="20"/>
              </w:rPr>
              <w:t>IV</w:t>
            </w:r>
          </w:p>
        </w:tc>
      </w:tr>
      <w:tr w:rsidRPr="00DB058E" w:rsidR="000C77AC" w:rsidTr="00FE4186" w14:paraId="1D0631A3" w14:textId="77777777">
        <w:trPr>
          <w:trHeight w:val="93"/>
        </w:trPr>
        <w:tc>
          <w:tcPr>
            <w:tcW w:w="1730" w:type="dxa"/>
          </w:tcPr>
          <w:p w:rsidRPr="00DB058E" w:rsidR="000C77AC" w:rsidP="00FE4186" w:rsidRDefault="000C77AC" w14:paraId="49BB543C" w14:textId="77777777">
            <w:pPr>
              <w:pStyle w:val="BodyText"/>
              <w:rPr>
                <w:rFonts w:asciiTheme="minorHAnsi" w:hAnsiTheme="minorHAnsi" w:cstheme="minorHAnsi"/>
                <w:b/>
                <w:bCs/>
                <w:sz w:val="20"/>
                <w:highlight w:val="cyan"/>
              </w:rPr>
            </w:pPr>
            <w:r w:rsidRPr="00DB058E">
              <w:rPr>
                <w:rFonts w:asciiTheme="minorHAnsi" w:hAnsiTheme="minorHAnsi" w:cstheme="minorHAnsi"/>
                <w:b/>
                <w:bCs/>
                <w:sz w:val="20"/>
              </w:rPr>
              <w:t>Preparation</w:t>
            </w:r>
            <w:r w:rsidRPr="00DB058E">
              <w:rPr>
                <w:rFonts w:asciiTheme="minorHAnsi" w:hAnsiTheme="minorHAnsi" w:cstheme="minorHAnsi"/>
                <w:b/>
                <w:bCs/>
                <w:sz w:val="20"/>
                <w:highlight w:val="cyan"/>
              </w:rPr>
              <w:t xml:space="preserve">                </w:t>
            </w:r>
          </w:p>
        </w:tc>
        <w:tc>
          <w:tcPr>
            <w:tcW w:w="7938" w:type="dxa"/>
          </w:tcPr>
          <w:p w:rsidRPr="00DB058E" w:rsidR="000C77AC" w:rsidP="00FE4186" w:rsidRDefault="000C77AC" w14:paraId="329B56FE" w14:textId="77777777">
            <w:pPr>
              <w:pStyle w:val="BodyText"/>
              <w:rPr>
                <w:rFonts w:asciiTheme="minorHAnsi" w:hAnsiTheme="minorHAnsi" w:cstheme="minorHAnsi"/>
                <w:sz w:val="20"/>
              </w:rPr>
            </w:pPr>
            <w:r w:rsidRPr="00DB058E">
              <w:rPr>
                <w:rFonts w:asciiTheme="minorHAnsi" w:hAnsiTheme="minorHAnsi" w:cstheme="minorHAnsi"/>
                <w:sz w:val="20"/>
              </w:rPr>
              <w:t>Oral: Syrup</w:t>
            </w:r>
          </w:p>
          <w:p w:rsidRPr="00DB058E" w:rsidR="000C77AC" w:rsidP="00FE4186" w:rsidRDefault="000C77AC" w14:paraId="0C6515E9" w14:textId="70062F44">
            <w:pPr>
              <w:pStyle w:val="BodyText"/>
              <w:rPr>
                <w:rFonts w:asciiTheme="minorHAnsi" w:hAnsiTheme="minorHAnsi" w:cstheme="minorBidi"/>
                <w:sz w:val="20"/>
              </w:rPr>
            </w:pPr>
            <w:r w:rsidRPr="4B6A90C3">
              <w:rPr>
                <w:rFonts w:asciiTheme="minorHAnsi" w:hAnsiTheme="minorHAnsi" w:cstheme="minorBidi"/>
                <w:sz w:val="20"/>
              </w:rPr>
              <w:t xml:space="preserve">IV: Draw up 1mL (10mg of </w:t>
            </w:r>
            <w:r w:rsidRPr="4B6A90C3" w:rsidR="4120DA37">
              <w:rPr>
                <w:rFonts w:asciiTheme="minorHAnsi" w:hAnsiTheme="minorHAnsi" w:cstheme="minorBidi"/>
                <w:sz w:val="20"/>
              </w:rPr>
              <w:t>zidovudine</w:t>
            </w:r>
            <w:r w:rsidRPr="4B6A90C3">
              <w:rPr>
                <w:rFonts w:asciiTheme="minorHAnsi" w:hAnsiTheme="minorHAnsi" w:cstheme="minorBidi"/>
                <w:sz w:val="20"/>
              </w:rPr>
              <w:t>) and add 9mL of glucose 5% to make a final volume of 10mL with a final concentration of 1mg/mL. [1]</w:t>
            </w:r>
          </w:p>
        </w:tc>
      </w:tr>
      <w:tr w:rsidRPr="00DB058E" w:rsidR="000C77AC" w:rsidTr="00FE4186" w14:paraId="081BE197" w14:textId="77777777">
        <w:trPr>
          <w:trHeight w:val="224"/>
        </w:trPr>
        <w:tc>
          <w:tcPr>
            <w:tcW w:w="1730" w:type="dxa"/>
          </w:tcPr>
          <w:p w:rsidRPr="00DB058E" w:rsidR="000C77AC" w:rsidP="00FE4186" w:rsidRDefault="000C77AC" w14:paraId="11AAF137"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Administration                </w:t>
            </w:r>
          </w:p>
        </w:tc>
        <w:tc>
          <w:tcPr>
            <w:tcW w:w="7938" w:type="dxa"/>
            <w:vAlign w:val="center"/>
          </w:tcPr>
          <w:p w:rsidRPr="00DB058E" w:rsidR="000C77AC" w:rsidP="00FE4186" w:rsidRDefault="000C77AC" w14:paraId="65F48AE4" w14:textId="77777777">
            <w:pPr>
              <w:pStyle w:val="BodyText"/>
              <w:rPr>
                <w:rFonts w:asciiTheme="minorHAnsi" w:hAnsiTheme="minorHAnsi" w:cstheme="minorHAnsi"/>
                <w:sz w:val="20"/>
              </w:rPr>
            </w:pPr>
            <w:r>
              <w:rPr>
                <w:rFonts w:asciiTheme="minorHAnsi" w:hAnsiTheme="minorHAnsi" w:cstheme="minorHAnsi"/>
                <w:sz w:val="20"/>
              </w:rPr>
              <w:t>Oral</w:t>
            </w:r>
            <w:r w:rsidRPr="00DB058E">
              <w:rPr>
                <w:rFonts w:asciiTheme="minorHAnsi" w:hAnsiTheme="minorHAnsi" w:cstheme="minorHAnsi"/>
                <w:sz w:val="20"/>
              </w:rPr>
              <w:t>: Can be given without food.</w:t>
            </w:r>
          </w:p>
          <w:p w:rsidRPr="00DB058E" w:rsidR="000C77AC" w:rsidP="00FE4186" w:rsidRDefault="000C77AC" w14:paraId="71814AB4" w14:textId="77777777">
            <w:pPr>
              <w:pStyle w:val="BodyText"/>
              <w:rPr>
                <w:rFonts w:asciiTheme="minorHAnsi" w:hAnsiTheme="minorHAnsi" w:cstheme="minorHAnsi"/>
                <w:sz w:val="20"/>
              </w:rPr>
            </w:pPr>
            <w:r w:rsidRPr="00DB058E">
              <w:rPr>
                <w:rFonts w:asciiTheme="minorHAnsi" w:hAnsiTheme="minorHAnsi" w:cstheme="minorHAnsi"/>
                <w:sz w:val="20"/>
              </w:rPr>
              <w:t xml:space="preserve">IV: infusion over 30 minutes - 1 hour.  </w:t>
            </w:r>
          </w:p>
        </w:tc>
      </w:tr>
      <w:tr w:rsidRPr="00DB058E" w:rsidR="000C77AC" w:rsidTr="00FE4186" w14:paraId="08FC5B85" w14:textId="77777777">
        <w:trPr>
          <w:trHeight w:val="215"/>
        </w:trPr>
        <w:tc>
          <w:tcPr>
            <w:tcW w:w="1730" w:type="dxa"/>
          </w:tcPr>
          <w:p w:rsidRPr="00DB058E" w:rsidR="000C77AC" w:rsidP="00FE4186" w:rsidRDefault="000C77AC" w14:paraId="30AA1D9F" w14:textId="77777777">
            <w:pPr>
              <w:pStyle w:val="BodyText"/>
              <w:rPr>
                <w:rFonts w:asciiTheme="minorHAnsi" w:hAnsiTheme="minorHAnsi" w:cstheme="minorHAnsi"/>
                <w:b/>
                <w:bCs/>
                <w:sz w:val="20"/>
              </w:rPr>
            </w:pPr>
            <w:r w:rsidRPr="00DB058E">
              <w:rPr>
                <w:rFonts w:asciiTheme="minorHAnsi" w:hAnsiTheme="minorHAnsi" w:cstheme="minorHAnsi"/>
                <w:b/>
                <w:bCs/>
                <w:sz w:val="20"/>
              </w:rPr>
              <w:lastRenderedPageBreak/>
              <w:t xml:space="preserve">Monitoring                              </w:t>
            </w:r>
          </w:p>
        </w:tc>
        <w:tc>
          <w:tcPr>
            <w:tcW w:w="7938" w:type="dxa"/>
          </w:tcPr>
          <w:p w:rsidR="000C77AC" w:rsidP="00FE4186" w:rsidRDefault="000C77AC" w14:paraId="093F2658" w14:textId="77777777">
            <w:pPr>
              <w:pStyle w:val="BodyText"/>
              <w:rPr>
                <w:rFonts w:asciiTheme="minorHAnsi" w:hAnsiTheme="minorHAnsi" w:cstheme="minorHAnsi"/>
                <w:sz w:val="20"/>
              </w:rPr>
            </w:pPr>
            <w:r>
              <w:rPr>
                <w:rFonts w:asciiTheme="minorHAnsi" w:hAnsiTheme="minorHAnsi" w:cstheme="minorHAnsi"/>
                <w:sz w:val="20"/>
              </w:rPr>
              <w:t>F</w:t>
            </w:r>
            <w:r w:rsidRPr="00DB058E">
              <w:rPr>
                <w:rFonts w:asciiTheme="minorHAnsi" w:hAnsiTheme="minorHAnsi" w:cstheme="minorHAnsi"/>
                <w:sz w:val="20"/>
              </w:rPr>
              <w:t xml:space="preserve">ull blood count, blood sugar level, liver function, renal functions, viral load, CD4 counts should be obtained. </w:t>
            </w:r>
          </w:p>
          <w:p w:rsidRPr="00DB058E" w:rsidR="000C77AC" w:rsidP="00FE4186" w:rsidRDefault="000C77AC" w14:paraId="56AEBFAE" w14:textId="77777777">
            <w:pPr>
              <w:pStyle w:val="BodyText"/>
              <w:rPr>
                <w:rFonts w:asciiTheme="minorHAnsi" w:hAnsiTheme="minorHAnsi" w:cstheme="minorHAnsi"/>
                <w:sz w:val="20"/>
              </w:rPr>
            </w:pPr>
            <w:r w:rsidRPr="00DB058E">
              <w:rPr>
                <w:rFonts w:asciiTheme="minorHAnsi" w:hAnsiTheme="minorHAnsi" w:cstheme="minorHAnsi"/>
                <w:sz w:val="20"/>
              </w:rPr>
              <w:t xml:space="preserve">The panel should be repeated within 2-4 weeks of commencement of therapy and then every 3-4 months. </w:t>
            </w:r>
            <w:r w:rsidRPr="00DB058E">
              <w:rPr>
                <w:rFonts w:asciiTheme="minorHAnsi" w:hAnsiTheme="minorHAnsi" w:cstheme="minorHAnsi"/>
                <w:noProof/>
                <w:sz w:val="20"/>
              </w:rPr>
              <w:t>[2-4]</w:t>
            </w:r>
            <w:r w:rsidRPr="00DB058E">
              <w:rPr>
                <w:rFonts w:asciiTheme="minorHAnsi" w:hAnsiTheme="minorHAnsi" w:cstheme="minorHAnsi"/>
                <w:sz w:val="20"/>
              </w:rPr>
              <w:t xml:space="preserve"> </w:t>
            </w:r>
          </w:p>
        </w:tc>
      </w:tr>
      <w:tr w:rsidRPr="00DB058E" w:rsidR="000C77AC" w:rsidTr="00FE4186" w14:paraId="30C79BC5" w14:textId="77777777">
        <w:trPr>
          <w:trHeight w:val="342"/>
        </w:trPr>
        <w:tc>
          <w:tcPr>
            <w:tcW w:w="1730" w:type="dxa"/>
          </w:tcPr>
          <w:p w:rsidRPr="00DB058E" w:rsidR="000C77AC" w:rsidP="00FE4186" w:rsidRDefault="000C77AC" w14:paraId="544FA09B"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Contraindications                        </w:t>
            </w:r>
          </w:p>
        </w:tc>
        <w:tc>
          <w:tcPr>
            <w:tcW w:w="7938" w:type="dxa"/>
          </w:tcPr>
          <w:p w:rsidR="000C77AC" w:rsidP="00FE4186" w:rsidRDefault="000C77AC" w14:paraId="0DD1495B" w14:textId="77777777">
            <w:pPr>
              <w:pStyle w:val="BodyText"/>
              <w:rPr>
                <w:rFonts w:asciiTheme="minorHAnsi" w:hAnsiTheme="minorHAnsi" w:cstheme="minorHAnsi"/>
                <w:sz w:val="20"/>
              </w:rPr>
            </w:pPr>
            <w:r w:rsidRPr="00DB058E">
              <w:rPr>
                <w:rFonts w:asciiTheme="minorHAnsi" w:hAnsiTheme="minorHAnsi" w:cstheme="minorHAnsi"/>
                <w:sz w:val="20"/>
              </w:rPr>
              <w:t xml:space="preserve">Life-threatening hypersensitivity reactions (e.g., anaphylaxis, Stevens-Johnson syndrome) to zidovudine or any components of the formulations. </w:t>
            </w:r>
            <w:r w:rsidRPr="00DB058E">
              <w:rPr>
                <w:rFonts w:asciiTheme="minorHAnsi" w:hAnsiTheme="minorHAnsi" w:cstheme="minorHAnsi"/>
                <w:noProof/>
                <w:sz w:val="20"/>
              </w:rPr>
              <w:t>[5]</w:t>
            </w:r>
            <w:r w:rsidRPr="00DB058E">
              <w:rPr>
                <w:rFonts w:asciiTheme="minorHAnsi" w:hAnsiTheme="minorHAnsi" w:cstheme="minorHAnsi"/>
                <w:sz w:val="20"/>
              </w:rPr>
              <w:t xml:space="preserve"> </w:t>
            </w:r>
          </w:p>
          <w:p w:rsidRPr="00DB058E" w:rsidR="000C77AC" w:rsidP="00FE4186" w:rsidRDefault="000C77AC" w14:paraId="30F7E2E1" w14:textId="77777777">
            <w:pPr>
              <w:pStyle w:val="BodyText"/>
              <w:rPr>
                <w:rFonts w:asciiTheme="minorHAnsi" w:hAnsiTheme="minorHAnsi" w:cstheme="minorHAnsi"/>
                <w:sz w:val="20"/>
              </w:rPr>
            </w:pPr>
            <w:r w:rsidRPr="00DB058E">
              <w:rPr>
                <w:rFonts w:asciiTheme="minorHAnsi" w:hAnsiTheme="minorHAnsi" w:cstheme="minorHAnsi"/>
                <w:sz w:val="20"/>
              </w:rPr>
              <w:t xml:space="preserve">Zidovudine infusions should not be given to patients with abnormally low neutrophils or haemoglobin levels. </w:t>
            </w:r>
            <w:r w:rsidRPr="00DB058E">
              <w:rPr>
                <w:rFonts w:asciiTheme="minorHAnsi" w:hAnsiTheme="minorHAnsi" w:cstheme="minorHAnsi"/>
                <w:noProof/>
                <w:sz w:val="20"/>
              </w:rPr>
              <w:t>[5]</w:t>
            </w:r>
            <w:r w:rsidRPr="00DB058E">
              <w:rPr>
                <w:rFonts w:asciiTheme="minorHAnsi" w:hAnsiTheme="minorHAnsi" w:cstheme="minorHAnsi"/>
                <w:sz w:val="20"/>
              </w:rPr>
              <w:t xml:space="preserve"> </w:t>
            </w:r>
          </w:p>
        </w:tc>
      </w:tr>
      <w:tr w:rsidRPr="00DB058E" w:rsidR="000C77AC" w:rsidTr="00FE4186" w14:paraId="6B351ADB" w14:textId="77777777">
        <w:tc>
          <w:tcPr>
            <w:tcW w:w="1730" w:type="dxa"/>
          </w:tcPr>
          <w:p w:rsidRPr="00DB058E" w:rsidR="000C77AC" w:rsidP="00FE4186" w:rsidRDefault="000C77AC" w14:paraId="74AF99B9" w14:textId="77777777">
            <w:pPr>
              <w:pStyle w:val="BodyText"/>
              <w:rPr>
                <w:rFonts w:asciiTheme="minorHAnsi" w:hAnsiTheme="minorHAnsi" w:cstheme="minorHAnsi"/>
                <w:b/>
                <w:bCs/>
                <w:sz w:val="20"/>
              </w:rPr>
            </w:pPr>
            <w:r w:rsidRPr="00DB058E">
              <w:rPr>
                <w:rFonts w:asciiTheme="minorHAnsi" w:hAnsiTheme="minorHAnsi" w:cstheme="minorHAnsi"/>
                <w:sz w:val="20"/>
              </w:rPr>
              <w:br w:type="page"/>
            </w:r>
            <w:r w:rsidRPr="00DB058E">
              <w:rPr>
                <w:rFonts w:asciiTheme="minorHAnsi" w:hAnsiTheme="minorHAnsi" w:cstheme="minorHAnsi"/>
                <w:b/>
                <w:bCs/>
                <w:sz w:val="20"/>
              </w:rPr>
              <w:t>Precautions</w:t>
            </w:r>
          </w:p>
        </w:tc>
        <w:tc>
          <w:tcPr>
            <w:tcW w:w="7938" w:type="dxa"/>
          </w:tcPr>
          <w:p w:rsidRPr="00DB058E" w:rsidR="000C77AC" w:rsidP="00FE4186" w:rsidRDefault="000C77AC" w14:paraId="0FA94126" w14:textId="77777777">
            <w:pPr>
              <w:rPr>
                <w:rFonts w:asciiTheme="minorHAnsi" w:hAnsiTheme="minorHAnsi" w:cstheme="minorHAnsi"/>
                <w:sz w:val="20"/>
              </w:rPr>
            </w:pPr>
            <w:r w:rsidRPr="00DB058E">
              <w:rPr>
                <w:rFonts w:asciiTheme="minorHAnsi" w:hAnsiTheme="minorHAnsi" w:cstheme="minorHAnsi"/>
                <w:sz w:val="20"/>
              </w:rPr>
              <w:t>There have been reports of pancytopenia associated with the use of zidovudine, which was reversible in most instances after discontinuance of the drug.</w:t>
            </w:r>
          </w:p>
        </w:tc>
      </w:tr>
      <w:tr w:rsidRPr="00DB058E" w:rsidR="000C77AC" w:rsidTr="00FE4186" w14:paraId="105E9CE9" w14:textId="77777777">
        <w:trPr>
          <w:trHeight w:val="70"/>
        </w:trPr>
        <w:tc>
          <w:tcPr>
            <w:tcW w:w="1730" w:type="dxa"/>
          </w:tcPr>
          <w:p w:rsidRPr="00DB058E" w:rsidR="000C77AC" w:rsidP="00FE4186" w:rsidRDefault="000C77AC" w14:paraId="6F542B68" w14:textId="77777777">
            <w:pPr>
              <w:pStyle w:val="BodyText"/>
              <w:rPr>
                <w:rFonts w:asciiTheme="minorHAnsi" w:hAnsiTheme="minorHAnsi" w:cstheme="minorHAnsi"/>
                <w:b/>
                <w:bCs/>
                <w:sz w:val="20"/>
              </w:rPr>
            </w:pPr>
            <w:r w:rsidRPr="00DB058E">
              <w:rPr>
                <w:rFonts w:asciiTheme="minorHAnsi" w:hAnsiTheme="minorHAnsi" w:cstheme="minorHAnsi"/>
                <w:b/>
                <w:bCs/>
                <w:sz w:val="20"/>
              </w:rPr>
              <w:t>Drug interactions</w:t>
            </w:r>
          </w:p>
        </w:tc>
        <w:tc>
          <w:tcPr>
            <w:tcW w:w="7938" w:type="dxa"/>
          </w:tcPr>
          <w:p w:rsidRPr="00DB058E" w:rsidR="000C77AC" w:rsidP="00FE4186" w:rsidRDefault="000C77AC" w14:paraId="0B122BB2" w14:textId="77777777">
            <w:pPr>
              <w:pStyle w:val="BodyText"/>
              <w:rPr>
                <w:rFonts w:asciiTheme="minorHAnsi" w:hAnsiTheme="minorHAnsi" w:cstheme="minorHAnsi"/>
                <w:sz w:val="20"/>
              </w:rPr>
            </w:pPr>
            <w:r w:rsidRPr="00DB058E">
              <w:rPr>
                <w:rFonts w:asciiTheme="minorHAnsi" w:hAnsiTheme="minorHAnsi" w:cstheme="minorHAnsi"/>
                <w:sz w:val="20"/>
              </w:rPr>
              <w:t>Stavudine - zidovudine should not be administered in combination with stavudine because of in vitro virologic antagonism.</w:t>
            </w:r>
          </w:p>
          <w:p w:rsidRPr="00DB058E" w:rsidR="000C77AC" w:rsidP="00FE4186" w:rsidRDefault="000C77AC" w14:paraId="53230954" w14:textId="77777777">
            <w:pPr>
              <w:rPr>
                <w:rFonts w:asciiTheme="minorHAnsi" w:hAnsiTheme="minorHAnsi" w:cstheme="minorHAnsi"/>
                <w:sz w:val="20"/>
              </w:rPr>
            </w:pPr>
            <w:r w:rsidRPr="00DB058E">
              <w:rPr>
                <w:rFonts w:asciiTheme="minorHAnsi" w:hAnsiTheme="minorHAnsi" w:cstheme="minorHAnsi"/>
                <w:sz w:val="20"/>
              </w:rPr>
              <w:t>Co</w:t>
            </w:r>
            <w:r>
              <w:rPr>
                <w:rFonts w:asciiTheme="minorHAnsi" w:hAnsiTheme="minorHAnsi" w:cstheme="minorHAnsi"/>
                <w:sz w:val="20"/>
              </w:rPr>
              <w:t>-</w:t>
            </w:r>
            <w:r w:rsidRPr="00DB058E">
              <w:rPr>
                <w:rFonts w:asciiTheme="minorHAnsi" w:hAnsiTheme="minorHAnsi" w:cstheme="minorHAnsi"/>
                <w:sz w:val="20"/>
              </w:rPr>
              <w:t>administration of zidovudine with drugs that are nephrotoxic, cytotoxic, or which interfere with red blood cell and white blood cell number or function (e.g. ganciclovir, amphotericin B or interferon) may increase the risk of toxicity. If concomitant therapy with any of these drugs is necessary then extra care should be taken in monitoring renal function and haematological parameters. </w:t>
            </w:r>
          </w:p>
          <w:p w:rsidRPr="00DB058E" w:rsidR="000C77AC" w:rsidP="00FE4186" w:rsidRDefault="000C77AC" w14:paraId="0229C82A" w14:textId="77777777">
            <w:pPr>
              <w:pStyle w:val="BodyText"/>
              <w:rPr>
                <w:rFonts w:asciiTheme="minorHAnsi" w:hAnsiTheme="minorHAnsi" w:cstheme="minorHAnsi"/>
                <w:sz w:val="20"/>
              </w:rPr>
            </w:pPr>
            <w:r w:rsidRPr="00DB058E">
              <w:rPr>
                <w:rFonts w:asciiTheme="minorHAnsi" w:hAnsiTheme="minorHAnsi" w:cstheme="minorHAnsi"/>
                <w:sz w:val="20"/>
              </w:rPr>
              <w:t xml:space="preserve">Ribavirin antagonizes in vitro antiviral activity of zidovudine and so concomitant use should be avoided. </w:t>
            </w:r>
          </w:p>
          <w:p w:rsidRPr="00DB058E" w:rsidR="000C77AC" w:rsidP="00FE4186" w:rsidRDefault="000C77AC" w14:paraId="17F0B546" w14:textId="77777777">
            <w:pPr>
              <w:pStyle w:val="BodyText"/>
              <w:rPr>
                <w:rFonts w:asciiTheme="minorHAnsi" w:hAnsiTheme="minorHAnsi" w:cstheme="minorHAnsi"/>
                <w:sz w:val="20"/>
              </w:rPr>
            </w:pPr>
            <w:r w:rsidRPr="00DB058E">
              <w:rPr>
                <w:rFonts w:asciiTheme="minorHAnsi" w:hAnsiTheme="minorHAnsi" w:cstheme="minorHAnsi"/>
                <w:sz w:val="20"/>
              </w:rPr>
              <w:t>Doxorubicin - simultaneous use of doxorubicin and zidovudine should be avoided. Doxorubicin may inhibit the phosphorylation of zidovudine to its active form.</w:t>
            </w:r>
          </w:p>
          <w:p w:rsidRPr="00DB058E" w:rsidR="000C77AC" w:rsidP="00FE4186" w:rsidRDefault="000C77AC" w14:paraId="0866F2E3" w14:textId="77777777">
            <w:pPr>
              <w:pStyle w:val="BodyText"/>
              <w:rPr>
                <w:rFonts w:asciiTheme="minorHAnsi" w:hAnsiTheme="minorHAnsi" w:cstheme="minorHAnsi"/>
                <w:sz w:val="20"/>
                <w:vertAlign w:val="superscript"/>
              </w:rPr>
            </w:pPr>
            <w:r w:rsidRPr="00DB058E">
              <w:rPr>
                <w:rFonts w:asciiTheme="minorHAnsi" w:hAnsiTheme="minorHAnsi" w:cstheme="minorHAnsi"/>
                <w:sz w:val="20"/>
              </w:rPr>
              <w:t xml:space="preserve">Phenytoin - phenytoin blood levels have been reported to be low in some patients receiving zidovudine. Monitor phenytoin levels if neonate is receiving both medications. </w:t>
            </w:r>
            <w:r w:rsidRPr="00DB058E">
              <w:rPr>
                <w:rFonts w:asciiTheme="minorHAnsi" w:hAnsiTheme="minorHAnsi" w:cstheme="minorHAnsi"/>
                <w:noProof/>
                <w:sz w:val="20"/>
              </w:rPr>
              <w:t>[5]</w:t>
            </w:r>
          </w:p>
          <w:p w:rsidRPr="00DB058E" w:rsidR="000C77AC" w:rsidP="00FE4186" w:rsidRDefault="000C77AC" w14:paraId="70809846" w14:textId="77777777">
            <w:pPr>
              <w:pStyle w:val="BodyText"/>
              <w:rPr>
                <w:rFonts w:asciiTheme="minorHAnsi" w:hAnsiTheme="minorHAnsi" w:cstheme="minorHAnsi"/>
                <w:sz w:val="20"/>
              </w:rPr>
            </w:pPr>
            <w:r w:rsidRPr="00DB058E">
              <w:rPr>
                <w:rFonts w:asciiTheme="minorHAnsi" w:hAnsiTheme="minorHAnsi" w:cstheme="minorHAnsi"/>
                <w:sz w:val="20"/>
              </w:rPr>
              <w:t xml:space="preserve">Clarithromycin - oral clarithromycin reduces the absorption of zidovudine. This can be avoided by separating the doses by at least 2 hours. </w:t>
            </w:r>
            <w:r w:rsidRPr="00DB058E">
              <w:rPr>
                <w:rFonts w:asciiTheme="minorHAnsi" w:hAnsiTheme="minorHAnsi" w:cstheme="minorHAnsi"/>
                <w:noProof/>
                <w:sz w:val="20"/>
              </w:rPr>
              <w:t>[5]</w:t>
            </w:r>
          </w:p>
        </w:tc>
      </w:tr>
      <w:tr w:rsidRPr="00DB058E" w:rsidR="000C77AC" w:rsidTr="00FE4186" w14:paraId="205A5EBF" w14:textId="77777777">
        <w:trPr>
          <w:trHeight w:val="332"/>
        </w:trPr>
        <w:tc>
          <w:tcPr>
            <w:tcW w:w="1730" w:type="dxa"/>
          </w:tcPr>
          <w:p w:rsidRPr="00DB058E" w:rsidR="000C77AC" w:rsidP="00FE4186" w:rsidRDefault="000C77AC" w14:paraId="18B64447"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Adverse reactions         </w:t>
            </w:r>
          </w:p>
        </w:tc>
        <w:tc>
          <w:tcPr>
            <w:tcW w:w="7938" w:type="dxa"/>
          </w:tcPr>
          <w:p w:rsidRPr="00DB058E" w:rsidR="000C77AC" w:rsidP="00FE4186" w:rsidRDefault="000C77AC" w14:paraId="23662306" w14:textId="77777777">
            <w:pPr>
              <w:pStyle w:val="BodyText"/>
              <w:rPr>
                <w:rFonts w:asciiTheme="minorHAnsi" w:hAnsiTheme="minorHAnsi" w:cstheme="minorHAnsi"/>
                <w:sz w:val="20"/>
              </w:rPr>
            </w:pPr>
            <w:r w:rsidRPr="00DB058E">
              <w:rPr>
                <w:rFonts w:asciiTheme="minorHAnsi" w:hAnsiTheme="minorHAnsi" w:cstheme="minorHAnsi"/>
                <w:sz w:val="20"/>
              </w:rPr>
              <w:t xml:space="preserve">Anaemia and neutropenia are common. Transient lactic acidemia, vomiting, headache, insomnia, hepatomegaly with hepatic steatosis, lipodystrophy, lipoatrophy, myopathy, cardiomyopathy and myositis. </w:t>
            </w:r>
            <w:r w:rsidRPr="00DB058E">
              <w:rPr>
                <w:rFonts w:asciiTheme="minorHAnsi" w:hAnsiTheme="minorHAnsi" w:cstheme="minorHAnsi"/>
                <w:noProof/>
                <w:sz w:val="20"/>
              </w:rPr>
              <w:t>[6, 7]</w:t>
            </w:r>
            <w:r w:rsidRPr="00DB058E">
              <w:rPr>
                <w:rFonts w:asciiTheme="minorHAnsi" w:hAnsiTheme="minorHAnsi" w:cstheme="minorHAnsi"/>
                <w:sz w:val="20"/>
              </w:rPr>
              <w:t xml:space="preserve"> In most cases the adverse events are mild and self-limiting. Prolonged use increases the risk of adverse events.</w:t>
            </w:r>
          </w:p>
        </w:tc>
      </w:tr>
      <w:tr w:rsidRPr="00DB058E" w:rsidR="000C77AC" w:rsidTr="00FE4186" w14:paraId="497D22F2" w14:textId="77777777">
        <w:trPr>
          <w:trHeight w:val="180"/>
        </w:trPr>
        <w:tc>
          <w:tcPr>
            <w:tcW w:w="1730" w:type="dxa"/>
          </w:tcPr>
          <w:p w:rsidRPr="00DB058E" w:rsidR="000C77AC" w:rsidP="00FE4186" w:rsidRDefault="000C77AC" w14:paraId="45F17664" w14:textId="77777777">
            <w:pPr>
              <w:pStyle w:val="BodyText"/>
              <w:rPr>
                <w:rFonts w:asciiTheme="minorHAnsi" w:hAnsiTheme="minorHAnsi" w:cstheme="minorHAnsi"/>
                <w:b/>
                <w:bCs/>
                <w:sz w:val="20"/>
              </w:rPr>
            </w:pPr>
            <w:r w:rsidRPr="00DB058E">
              <w:rPr>
                <w:rFonts w:asciiTheme="minorHAnsi" w:hAnsiTheme="minorHAnsi" w:cstheme="minorHAnsi"/>
                <w:b/>
                <w:bCs/>
                <w:sz w:val="20"/>
              </w:rPr>
              <w:t>Compatibility</w:t>
            </w:r>
          </w:p>
        </w:tc>
        <w:tc>
          <w:tcPr>
            <w:tcW w:w="7938" w:type="dxa"/>
          </w:tcPr>
          <w:p w:rsidRPr="00DB058E" w:rsidR="000C77AC" w:rsidP="00FE4186" w:rsidRDefault="000C77AC" w14:paraId="5B57AC39" w14:textId="77777777">
            <w:pPr>
              <w:pStyle w:val="BodyText"/>
              <w:rPr>
                <w:rFonts w:asciiTheme="minorHAnsi" w:hAnsiTheme="minorHAnsi" w:cstheme="minorHAnsi"/>
                <w:sz w:val="20"/>
              </w:rPr>
            </w:pPr>
            <w:r w:rsidRPr="00DB058E">
              <w:rPr>
                <w:rFonts w:asciiTheme="minorHAnsi" w:hAnsiTheme="minorHAnsi" w:cstheme="minorHAnsi"/>
                <w:sz w:val="20"/>
              </w:rPr>
              <w:t>Fluids: glucose 5%, sodium chloride 0.9%</w:t>
            </w:r>
          </w:p>
          <w:p w:rsidRPr="00DB058E" w:rsidR="000C77AC" w:rsidP="00FE4186" w:rsidRDefault="000C77AC" w14:paraId="4D76F500" w14:textId="77777777">
            <w:pPr>
              <w:pStyle w:val="BodyText"/>
              <w:rPr>
                <w:rFonts w:asciiTheme="minorHAnsi" w:hAnsiTheme="minorHAnsi" w:cstheme="minorHAnsi"/>
                <w:sz w:val="20"/>
              </w:rPr>
            </w:pPr>
            <w:r w:rsidRPr="00DB058E">
              <w:rPr>
                <w:rFonts w:asciiTheme="minorHAnsi" w:hAnsiTheme="minorHAnsi" w:cstheme="minorHAnsi"/>
                <w:sz w:val="20"/>
              </w:rPr>
              <w:t>Y site: aciclovir, amikacin, amphotericin B, aztreonam, cefepime, ceftazidime, ceftriaxone, cimetidine, clindamycin, dexamethasone, dobutamine, dopamine, erythromycin lactobionate, fluconazole, gentamicin, heparin, imipenem, linezolid, lorazepam, metoclopramide, morphine, nafcillin, oxacillin, piperacillin, piperacillin-tazobactam, potassium chloride, ranitidine, remifentanil, rocuronium, tobramycin, trimethoprim-sulfamethoxazole, and vancomycin.</w:t>
            </w:r>
          </w:p>
          <w:p w:rsidRPr="00DB058E" w:rsidR="000C77AC" w:rsidP="00FE4186" w:rsidRDefault="000C77AC" w14:paraId="67A1E939" w14:textId="77777777">
            <w:pPr>
              <w:pStyle w:val="BodyText"/>
              <w:rPr>
                <w:rFonts w:asciiTheme="minorHAnsi" w:hAnsiTheme="minorHAnsi" w:cstheme="minorHAnsi"/>
                <w:sz w:val="20"/>
              </w:rPr>
            </w:pPr>
            <w:r w:rsidRPr="00DB058E">
              <w:rPr>
                <w:rFonts w:asciiTheme="minorHAnsi" w:hAnsiTheme="minorHAnsi" w:cstheme="minorHAnsi"/>
                <w:sz w:val="20"/>
              </w:rPr>
              <w:t>Note: This is not an exhaustive list. Please refer to the relevant resources eg. Micromedex, Australian Injectable Drugs Handbook for detailed information.</w:t>
            </w:r>
          </w:p>
        </w:tc>
      </w:tr>
      <w:tr w:rsidRPr="00DB058E" w:rsidR="000C77AC" w:rsidTr="00FE4186" w14:paraId="4CBDA015" w14:textId="77777777">
        <w:trPr>
          <w:trHeight w:val="230"/>
        </w:trPr>
        <w:tc>
          <w:tcPr>
            <w:tcW w:w="1730" w:type="dxa"/>
          </w:tcPr>
          <w:p w:rsidRPr="00DB058E" w:rsidR="000C77AC" w:rsidP="00FE4186" w:rsidRDefault="000C77AC" w14:paraId="60B285B0" w14:textId="77777777">
            <w:pPr>
              <w:pStyle w:val="BodyText"/>
              <w:rPr>
                <w:rFonts w:asciiTheme="minorHAnsi" w:hAnsiTheme="minorHAnsi" w:cstheme="minorHAnsi"/>
                <w:b/>
                <w:bCs/>
                <w:sz w:val="20"/>
              </w:rPr>
            </w:pPr>
            <w:r w:rsidRPr="00DB058E">
              <w:rPr>
                <w:rFonts w:asciiTheme="minorHAnsi" w:hAnsiTheme="minorHAnsi" w:cstheme="minorHAnsi"/>
                <w:b/>
                <w:bCs/>
                <w:sz w:val="20"/>
              </w:rPr>
              <w:t>Incompatibility</w:t>
            </w:r>
          </w:p>
        </w:tc>
        <w:tc>
          <w:tcPr>
            <w:tcW w:w="7938" w:type="dxa"/>
          </w:tcPr>
          <w:p w:rsidRPr="00DB058E" w:rsidR="000C77AC" w:rsidP="00FE4186" w:rsidRDefault="000C77AC" w14:paraId="3BBFA0BB" w14:textId="77777777">
            <w:pPr>
              <w:pStyle w:val="BodyText"/>
              <w:rPr>
                <w:rFonts w:asciiTheme="minorHAnsi" w:hAnsiTheme="minorHAnsi" w:cstheme="minorHAnsi"/>
                <w:sz w:val="20"/>
              </w:rPr>
            </w:pPr>
            <w:r w:rsidRPr="00DB058E">
              <w:rPr>
                <w:rFonts w:asciiTheme="minorHAnsi" w:hAnsiTheme="minorHAnsi" w:cstheme="minorHAnsi"/>
                <w:sz w:val="20"/>
              </w:rPr>
              <w:t>Fluids: no information</w:t>
            </w:r>
          </w:p>
          <w:p w:rsidRPr="00DB058E" w:rsidR="000C77AC" w:rsidP="00FE4186" w:rsidRDefault="000C77AC" w14:paraId="41860013" w14:textId="77777777">
            <w:pPr>
              <w:pStyle w:val="BodyText"/>
              <w:rPr>
                <w:rFonts w:asciiTheme="minorHAnsi" w:hAnsiTheme="minorHAnsi" w:cstheme="minorHAnsi"/>
                <w:sz w:val="20"/>
              </w:rPr>
            </w:pPr>
            <w:r w:rsidRPr="00DB058E">
              <w:rPr>
                <w:rFonts w:asciiTheme="minorHAnsi" w:hAnsiTheme="minorHAnsi" w:cstheme="minorHAnsi"/>
                <w:sz w:val="20"/>
              </w:rPr>
              <w:t>Y site: lansoprazole, meropenem</w:t>
            </w:r>
          </w:p>
        </w:tc>
      </w:tr>
      <w:tr w:rsidRPr="00DB058E" w:rsidR="000C77AC" w:rsidTr="00FE4186" w14:paraId="2E6C3303" w14:textId="77777777">
        <w:trPr>
          <w:trHeight w:val="79"/>
        </w:trPr>
        <w:tc>
          <w:tcPr>
            <w:tcW w:w="1730" w:type="dxa"/>
          </w:tcPr>
          <w:p w:rsidRPr="00DB058E" w:rsidR="000C77AC" w:rsidP="00FE4186" w:rsidRDefault="000C77AC" w14:paraId="21B334E6" w14:textId="77777777">
            <w:pPr>
              <w:pStyle w:val="BodyText"/>
              <w:rPr>
                <w:rFonts w:asciiTheme="minorHAnsi" w:hAnsiTheme="minorHAnsi" w:cstheme="minorHAnsi"/>
                <w:b/>
                <w:bCs/>
                <w:sz w:val="20"/>
              </w:rPr>
            </w:pPr>
            <w:r w:rsidRPr="00DB058E">
              <w:rPr>
                <w:rFonts w:asciiTheme="minorHAnsi" w:hAnsiTheme="minorHAnsi" w:cstheme="minorHAnsi"/>
                <w:b/>
                <w:bCs/>
                <w:sz w:val="20"/>
              </w:rPr>
              <w:t>Stability</w:t>
            </w:r>
          </w:p>
        </w:tc>
        <w:tc>
          <w:tcPr>
            <w:tcW w:w="7938" w:type="dxa"/>
          </w:tcPr>
          <w:p w:rsidRPr="00DB058E" w:rsidR="000C77AC" w:rsidP="00FE4186" w:rsidRDefault="000C77AC" w14:paraId="73012B47" w14:textId="77777777">
            <w:pPr>
              <w:pStyle w:val="BodyText"/>
              <w:ind w:left="5"/>
              <w:rPr>
                <w:rFonts w:asciiTheme="minorHAnsi" w:hAnsiTheme="minorHAnsi" w:cstheme="minorHAnsi"/>
                <w:sz w:val="20"/>
              </w:rPr>
            </w:pPr>
            <w:r w:rsidRPr="00DB058E">
              <w:rPr>
                <w:rFonts w:asciiTheme="minorHAnsi" w:hAnsiTheme="minorHAnsi" w:cstheme="minorHAnsi"/>
                <w:sz w:val="20"/>
              </w:rPr>
              <w:t>Vial: store below 30°C</w:t>
            </w:r>
          </w:p>
          <w:p w:rsidRPr="00DB058E" w:rsidR="000C77AC" w:rsidP="00FE4186" w:rsidRDefault="000C77AC" w14:paraId="0EE626D3" w14:textId="77777777">
            <w:pPr>
              <w:pStyle w:val="BodyText"/>
              <w:ind w:left="5"/>
              <w:rPr>
                <w:rFonts w:asciiTheme="minorHAnsi" w:hAnsiTheme="minorHAnsi" w:cstheme="minorHAnsi"/>
                <w:sz w:val="20"/>
              </w:rPr>
            </w:pPr>
            <w:r w:rsidRPr="00DB058E">
              <w:rPr>
                <w:rFonts w:asciiTheme="minorHAnsi" w:hAnsiTheme="minorHAnsi" w:cstheme="minorHAnsi"/>
                <w:sz w:val="20"/>
              </w:rPr>
              <w:t xml:space="preserve">After dilution, the drug solution is stable for 24 hours if stored below 25°C or in refrigerator. Protect from light. </w:t>
            </w:r>
            <w:r w:rsidRPr="00DB058E">
              <w:rPr>
                <w:rFonts w:asciiTheme="minorHAnsi" w:hAnsiTheme="minorHAnsi" w:cstheme="minorHAnsi"/>
                <w:noProof/>
                <w:sz w:val="20"/>
              </w:rPr>
              <w:t>[5]</w:t>
            </w:r>
          </w:p>
        </w:tc>
      </w:tr>
      <w:tr w:rsidRPr="00DB058E" w:rsidR="000C77AC" w:rsidTr="00FE4186" w14:paraId="7DB59757" w14:textId="77777777">
        <w:trPr>
          <w:trHeight w:val="70"/>
        </w:trPr>
        <w:tc>
          <w:tcPr>
            <w:tcW w:w="1730" w:type="dxa"/>
          </w:tcPr>
          <w:p w:rsidRPr="00DB058E" w:rsidR="000C77AC" w:rsidP="00FE4186" w:rsidRDefault="000C77AC" w14:paraId="07EDC313" w14:textId="77777777">
            <w:pPr>
              <w:pStyle w:val="BodyText"/>
              <w:rPr>
                <w:rFonts w:asciiTheme="minorHAnsi" w:hAnsiTheme="minorHAnsi" w:cstheme="minorHAnsi"/>
                <w:b/>
                <w:bCs/>
                <w:sz w:val="20"/>
              </w:rPr>
            </w:pPr>
            <w:r w:rsidRPr="00DB058E">
              <w:rPr>
                <w:rFonts w:asciiTheme="minorHAnsi" w:hAnsiTheme="minorHAnsi" w:cstheme="minorHAnsi"/>
                <w:b/>
                <w:bCs/>
                <w:sz w:val="20"/>
              </w:rPr>
              <w:t>Storage</w:t>
            </w:r>
          </w:p>
        </w:tc>
        <w:tc>
          <w:tcPr>
            <w:tcW w:w="7938" w:type="dxa"/>
          </w:tcPr>
          <w:p w:rsidRPr="00DB058E" w:rsidR="000C77AC" w:rsidP="00FE4186" w:rsidRDefault="000C77AC" w14:paraId="4761603B" w14:textId="77777777">
            <w:pPr>
              <w:pStyle w:val="BodyText"/>
              <w:rPr>
                <w:rFonts w:asciiTheme="minorHAnsi" w:hAnsiTheme="minorHAnsi" w:cstheme="minorHAnsi"/>
                <w:sz w:val="20"/>
                <w:vertAlign w:val="superscript"/>
              </w:rPr>
            </w:pPr>
            <w:r w:rsidRPr="00DB058E">
              <w:rPr>
                <w:rFonts w:asciiTheme="minorHAnsi" w:hAnsiTheme="minorHAnsi" w:cstheme="minorHAnsi"/>
                <w:sz w:val="20"/>
              </w:rPr>
              <w:t xml:space="preserve">Oral syrup and any unused vials are to be stored at room temperature and protected from light. </w:t>
            </w:r>
            <w:r w:rsidRPr="00DB058E">
              <w:rPr>
                <w:rFonts w:asciiTheme="minorHAnsi" w:hAnsiTheme="minorHAnsi" w:cstheme="minorHAnsi"/>
                <w:noProof/>
                <w:sz w:val="20"/>
              </w:rPr>
              <w:t>[5]</w:t>
            </w:r>
          </w:p>
        </w:tc>
      </w:tr>
      <w:tr w:rsidRPr="00DB058E" w:rsidR="000C77AC" w:rsidTr="00FE4186" w14:paraId="31EDA1A0" w14:textId="77777777">
        <w:trPr>
          <w:trHeight w:val="70"/>
        </w:trPr>
        <w:tc>
          <w:tcPr>
            <w:tcW w:w="1730" w:type="dxa"/>
          </w:tcPr>
          <w:p w:rsidRPr="00DB058E" w:rsidR="000C77AC" w:rsidP="00FE4186" w:rsidRDefault="000C77AC" w14:paraId="3A7BD1A0" w14:textId="77777777">
            <w:pPr>
              <w:pStyle w:val="BodyText"/>
              <w:rPr>
                <w:rFonts w:asciiTheme="minorHAnsi" w:hAnsiTheme="minorHAnsi" w:cstheme="minorHAnsi"/>
                <w:b/>
                <w:bCs/>
                <w:sz w:val="20"/>
              </w:rPr>
            </w:pPr>
            <w:r w:rsidRPr="00DB058E">
              <w:rPr>
                <w:rFonts w:asciiTheme="minorHAnsi" w:hAnsiTheme="minorHAnsi" w:cstheme="minorHAnsi"/>
                <w:b/>
                <w:bCs/>
                <w:sz w:val="20"/>
              </w:rPr>
              <w:t>Excipients</w:t>
            </w:r>
          </w:p>
        </w:tc>
        <w:tc>
          <w:tcPr>
            <w:tcW w:w="7938" w:type="dxa"/>
          </w:tcPr>
          <w:p w:rsidRPr="00DB058E" w:rsidR="000C77AC" w:rsidP="00FE4186" w:rsidRDefault="000C77AC" w14:paraId="3B25CC0E" w14:textId="77777777">
            <w:pPr>
              <w:pStyle w:val="BodyText"/>
              <w:rPr>
                <w:rFonts w:asciiTheme="minorHAnsi" w:hAnsiTheme="minorHAnsi" w:cstheme="minorHAnsi"/>
                <w:sz w:val="20"/>
              </w:rPr>
            </w:pPr>
            <w:r w:rsidRPr="00DB058E">
              <w:rPr>
                <w:rFonts w:asciiTheme="minorHAnsi" w:hAnsiTheme="minorHAnsi" w:cstheme="minorHAnsi"/>
                <w:sz w:val="20"/>
              </w:rPr>
              <w:t>Retrovir Oral Syrup: Each 5 mL contains zidovudine 50 mg, and glycerol, citric acid, sodium benzoate, saccharin sodium, maltitol solution, Flavour Strawberry 500286E, Flavour White Sugar 3112044, and water-purified.</w:t>
            </w:r>
          </w:p>
          <w:p w:rsidRPr="00DB058E" w:rsidR="000C77AC" w:rsidP="00FE4186" w:rsidRDefault="000C77AC" w14:paraId="34120243" w14:textId="77777777">
            <w:pPr>
              <w:pStyle w:val="BodyText"/>
              <w:rPr>
                <w:rFonts w:asciiTheme="minorHAnsi" w:hAnsiTheme="minorHAnsi" w:cstheme="minorHAnsi"/>
                <w:sz w:val="20"/>
              </w:rPr>
            </w:pPr>
            <w:r w:rsidRPr="00DB058E">
              <w:rPr>
                <w:rFonts w:asciiTheme="minorHAnsi" w:hAnsiTheme="minorHAnsi" w:cstheme="minorHAnsi"/>
                <w:sz w:val="20"/>
              </w:rPr>
              <w:t>Retrovir IV vials: hydrochloric acid, sodium hydroxide, water for injection.</w:t>
            </w:r>
          </w:p>
        </w:tc>
      </w:tr>
      <w:tr w:rsidRPr="00DB058E" w:rsidR="000C77AC" w:rsidTr="00FE4186" w14:paraId="5B9DA73A" w14:textId="77777777">
        <w:trPr>
          <w:trHeight w:val="270"/>
        </w:trPr>
        <w:tc>
          <w:tcPr>
            <w:tcW w:w="1730" w:type="dxa"/>
          </w:tcPr>
          <w:p w:rsidRPr="00DB058E" w:rsidR="000C77AC" w:rsidP="00FE4186" w:rsidRDefault="000C77AC" w14:paraId="045E5670" w14:textId="77777777">
            <w:pPr>
              <w:pStyle w:val="BodyText"/>
              <w:rPr>
                <w:rFonts w:asciiTheme="minorHAnsi" w:hAnsiTheme="minorHAnsi" w:cstheme="minorHAnsi"/>
                <w:b/>
                <w:bCs/>
                <w:sz w:val="20"/>
              </w:rPr>
            </w:pPr>
            <w:r w:rsidRPr="00DB058E">
              <w:rPr>
                <w:rFonts w:asciiTheme="minorHAnsi" w:hAnsiTheme="minorHAnsi" w:cstheme="minorHAnsi"/>
                <w:b/>
                <w:bCs/>
                <w:sz w:val="20"/>
              </w:rPr>
              <w:t>Special comments</w:t>
            </w:r>
          </w:p>
        </w:tc>
        <w:tc>
          <w:tcPr>
            <w:tcW w:w="7938" w:type="dxa"/>
          </w:tcPr>
          <w:p w:rsidR="000C77AC" w:rsidP="00FE4186" w:rsidRDefault="000C77AC" w14:paraId="3226BBF6" w14:textId="77777777">
            <w:pPr>
              <w:pStyle w:val="BodyText"/>
              <w:ind w:left="57" w:hanging="52"/>
              <w:rPr>
                <w:rFonts w:asciiTheme="minorHAnsi" w:hAnsiTheme="minorHAnsi" w:cstheme="minorHAnsi"/>
                <w:sz w:val="20"/>
              </w:rPr>
            </w:pPr>
            <w:r w:rsidRPr="00DB058E">
              <w:rPr>
                <w:rFonts w:asciiTheme="minorHAnsi" w:hAnsiTheme="minorHAnsi" w:cstheme="minorHAnsi"/>
                <w:sz w:val="20"/>
              </w:rPr>
              <w:t xml:space="preserve">Dose adjustment is required in renal and hepatic impairment. </w:t>
            </w:r>
          </w:p>
          <w:p w:rsidRPr="00DB058E" w:rsidR="000C77AC" w:rsidP="00FE4186" w:rsidRDefault="000C77AC" w14:paraId="1305ABD4" w14:textId="77777777">
            <w:pPr>
              <w:pStyle w:val="BodyText"/>
              <w:ind w:left="57" w:hanging="52"/>
              <w:rPr>
                <w:rFonts w:asciiTheme="minorHAnsi" w:hAnsiTheme="minorHAnsi" w:cstheme="minorHAnsi"/>
                <w:sz w:val="20"/>
              </w:rPr>
            </w:pPr>
            <w:r w:rsidRPr="00DB058E">
              <w:rPr>
                <w:rFonts w:asciiTheme="minorHAnsi" w:hAnsiTheme="minorHAnsi" w:cstheme="minorHAnsi"/>
                <w:sz w:val="20"/>
              </w:rPr>
              <w:t xml:space="preserve">Fixed drug combinations should be avoided in infants with renal and hepatic insufficiency. </w:t>
            </w:r>
          </w:p>
        </w:tc>
      </w:tr>
      <w:tr w:rsidRPr="00DB058E" w:rsidR="000C77AC" w:rsidTr="00FE4186" w14:paraId="3404EAC1" w14:textId="77777777">
        <w:trPr>
          <w:trHeight w:val="280"/>
        </w:trPr>
        <w:tc>
          <w:tcPr>
            <w:tcW w:w="1730" w:type="dxa"/>
          </w:tcPr>
          <w:p w:rsidRPr="00DB058E" w:rsidR="000C77AC" w:rsidP="00FE4186" w:rsidRDefault="000C77AC" w14:paraId="4A253349" w14:textId="77777777">
            <w:pPr>
              <w:pStyle w:val="BodyText"/>
              <w:rPr>
                <w:rFonts w:asciiTheme="minorHAnsi" w:hAnsiTheme="minorHAnsi" w:cstheme="minorHAnsi"/>
                <w:b/>
                <w:bCs/>
                <w:sz w:val="20"/>
              </w:rPr>
            </w:pPr>
            <w:r w:rsidRPr="00DB058E">
              <w:rPr>
                <w:rFonts w:asciiTheme="minorHAnsi" w:hAnsiTheme="minorHAnsi" w:cstheme="minorHAnsi"/>
                <w:b/>
                <w:bCs/>
                <w:sz w:val="20"/>
              </w:rPr>
              <w:t xml:space="preserve">Evidence </w:t>
            </w:r>
          </w:p>
        </w:tc>
        <w:tc>
          <w:tcPr>
            <w:tcW w:w="7938" w:type="dxa"/>
          </w:tcPr>
          <w:p w:rsidRPr="00FE59EE" w:rsidR="000C77AC" w:rsidP="00FE4186" w:rsidRDefault="000C77AC" w14:paraId="102D61D9" w14:textId="77777777">
            <w:pPr>
              <w:pStyle w:val="BodyText"/>
              <w:rPr>
                <w:rFonts w:asciiTheme="minorHAnsi" w:hAnsiTheme="minorHAnsi" w:cstheme="minorHAnsi"/>
                <w:b/>
                <w:sz w:val="16"/>
                <w:szCs w:val="16"/>
              </w:rPr>
            </w:pPr>
            <w:r w:rsidRPr="00FE59EE">
              <w:rPr>
                <w:rFonts w:asciiTheme="minorHAnsi" w:hAnsiTheme="minorHAnsi" w:cstheme="minorHAnsi"/>
                <w:b/>
                <w:sz w:val="16"/>
                <w:szCs w:val="16"/>
              </w:rPr>
              <w:t xml:space="preserve">Efficacy </w:t>
            </w:r>
          </w:p>
          <w:p w:rsidRPr="00FE59EE" w:rsidR="000C77AC" w:rsidP="00FE4186" w:rsidRDefault="000C77AC" w14:paraId="380F6BA5" w14:textId="77777777">
            <w:pPr>
              <w:pStyle w:val="BodyText"/>
              <w:rPr>
                <w:rFonts w:asciiTheme="minorHAnsi" w:hAnsiTheme="minorHAnsi" w:cstheme="minorHAnsi"/>
                <w:b/>
                <w:sz w:val="16"/>
                <w:szCs w:val="16"/>
              </w:rPr>
            </w:pPr>
            <w:r w:rsidRPr="00FE59EE">
              <w:rPr>
                <w:rFonts w:asciiTheme="minorHAnsi" w:hAnsiTheme="minorHAnsi" w:cstheme="minorHAnsi"/>
                <w:sz w:val="16"/>
                <w:szCs w:val="16"/>
              </w:rPr>
              <w:t xml:space="preserve">The risk of mother to child transmission of HIV can be significantly reduced by postnatal antiretroviral therapy in addition to antenatal management. </w:t>
            </w:r>
            <w:r w:rsidRPr="00FE59EE">
              <w:rPr>
                <w:rFonts w:asciiTheme="minorHAnsi" w:hAnsiTheme="minorHAnsi" w:cstheme="minorHAnsi"/>
                <w:noProof/>
                <w:sz w:val="16"/>
                <w:szCs w:val="16"/>
              </w:rPr>
              <w:t>[8]</w:t>
            </w:r>
            <w:r w:rsidRPr="00FE59EE">
              <w:rPr>
                <w:rFonts w:asciiTheme="minorHAnsi" w:hAnsiTheme="minorHAnsi" w:cstheme="minorHAnsi"/>
                <w:sz w:val="16"/>
                <w:szCs w:val="16"/>
              </w:rPr>
              <w:t xml:space="preserve"> The Pediatric AIDS Clinical Trials Group Protocol 076 Study Group showed 67.5% reduction in the relative risk of perinatal HIV transmission by administering Zidovudine during antenatal, intrapartum period and </w:t>
            </w:r>
            <w:r w:rsidRPr="00FE59EE">
              <w:rPr>
                <w:rFonts w:asciiTheme="minorHAnsi" w:hAnsiTheme="minorHAnsi" w:cstheme="minorHAnsi"/>
                <w:sz w:val="16"/>
                <w:szCs w:val="16"/>
              </w:rPr>
              <w:lastRenderedPageBreak/>
              <w:t xml:space="preserve">to neonates for 6 weeks. [LOE II] </w:t>
            </w:r>
            <w:r w:rsidRPr="00FE59EE">
              <w:rPr>
                <w:rFonts w:asciiTheme="minorHAnsi" w:hAnsiTheme="minorHAnsi" w:cstheme="minorHAnsi"/>
                <w:noProof/>
                <w:sz w:val="16"/>
                <w:szCs w:val="16"/>
              </w:rPr>
              <w:t>[9]</w:t>
            </w:r>
            <w:r w:rsidRPr="00FE59EE">
              <w:rPr>
                <w:rFonts w:asciiTheme="minorHAnsi" w:hAnsiTheme="minorHAnsi" w:cstheme="minorHAnsi"/>
                <w:sz w:val="16"/>
                <w:szCs w:val="16"/>
              </w:rPr>
              <w:t xml:space="preserve"> Petra et al reported significant reduction in perinatal HIV transmission (8.9 vs 14.2%) if ART prophylaxis was administered to neonates in addition to intrapartum maternal ART in a group of women who did not receive antenatal ART. [LOE II] </w:t>
            </w:r>
            <w:r w:rsidRPr="00FE59EE">
              <w:rPr>
                <w:rFonts w:asciiTheme="minorHAnsi" w:hAnsiTheme="minorHAnsi" w:cstheme="minorHAnsi"/>
                <w:noProof/>
                <w:sz w:val="16"/>
                <w:szCs w:val="16"/>
              </w:rPr>
              <w:t>[10]</w:t>
            </w:r>
            <w:r w:rsidRPr="00FE59EE">
              <w:rPr>
                <w:rFonts w:asciiTheme="minorHAnsi" w:hAnsiTheme="minorHAnsi" w:cstheme="minorHAnsi"/>
                <w:sz w:val="16"/>
                <w:szCs w:val="16"/>
              </w:rPr>
              <w:t xml:space="preserve"> A retrospective analysis using data from the New York State Department of Health showed a transmission 9.3% if postnatal zidovudine prophylaxis was commenced within 48 hours compared with 26.6% in the absence of ZDV prophylaxis. [LOE III-1] </w:t>
            </w:r>
            <w:r w:rsidRPr="00FE59EE">
              <w:rPr>
                <w:rFonts w:asciiTheme="minorHAnsi" w:hAnsiTheme="minorHAnsi" w:cstheme="minorHAnsi"/>
                <w:noProof/>
                <w:sz w:val="16"/>
                <w:szCs w:val="16"/>
              </w:rPr>
              <w:t>[11]</w:t>
            </w:r>
            <w:r w:rsidRPr="00FE59EE">
              <w:rPr>
                <w:rFonts w:asciiTheme="minorHAnsi" w:hAnsiTheme="minorHAnsi" w:cstheme="minorHAnsi"/>
                <w:sz w:val="16"/>
                <w:szCs w:val="16"/>
              </w:rPr>
              <w:t xml:space="preserve"> In a resource-rich setting with use of standard antenatal ART in mother, 4 weeks postnatal neonatal zidovudine prophylaxis was comparable to 6 weeks regimen. [LOE III-3] </w:t>
            </w:r>
            <w:r w:rsidRPr="00FE59EE">
              <w:rPr>
                <w:rFonts w:asciiTheme="minorHAnsi" w:hAnsiTheme="minorHAnsi" w:cstheme="minorHAnsi"/>
                <w:noProof/>
                <w:sz w:val="16"/>
                <w:szCs w:val="16"/>
              </w:rPr>
              <w:t>[12]</w:t>
            </w:r>
            <w:r w:rsidRPr="00FE59EE">
              <w:rPr>
                <w:rFonts w:asciiTheme="minorHAnsi" w:hAnsiTheme="minorHAnsi" w:cstheme="minorHAnsi"/>
                <w:sz w:val="16"/>
                <w:szCs w:val="16"/>
              </w:rPr>
              <w:t xml:space="preserve"> In pregnant women who did not receive antenatal prophylaxis, two and three drug anti-retroviral regimens are more effective than Zidovudine alone in reducing risk of HIV transmission. [LOE II] </w:t>
            </w:r>
            <w:r w:rsidRPr="00FE59EE">
              <w:rPr>
                <w:rFonts w:asciiTheme="minorHAnsi" w:hAnsiTheme="minorHAnsi" w:cstheme="minorHAnsi"/>
                <w:noProof/>
                <w:sz w:val="16"/>
                <w:szCs w:val="16"/>
              </w:rPr>
              <w:t>[13]</w:t>
            </w:r>
          </w:p>
          <w:p w:rsidRPr="00FE59EE" w:rsidR="000C77AC" w:rsidP="00FE4186" w:rsidRDefault="000C77AC" w14:paraId="42A15A0E" w14:textId="77777777">
            <w:pPr>
              <w:pStyle w:val="BodyText"/>
              <w:rPr>
                <w:rFonts w:asciiTheme="minorHAnsi" w:hAnsiTheme="minorHAnsi" w:cstheme="minorHAnsi"/>
                <w:b/>
                <w:sz w:val="16"/>
                <w:szCs w:val="16"/>
              </w:rPr>
            </w:pPr>
          </w:p>
          <w:p w:rsidRPr="00FE59EE" w:rsidR="000C77AC" w:rsidP="00FE4186" w:rsidRDefault="000C77AC" w14:paraId="43089F01" w14:textId="77777777">
            <w:pPr>
              <w:pStyle w:val="BodyText"/>
              <w:rPr>
                <w:rFonts w:asciiTheme="minorHAnsi" w:hAnsiTheme="minorHAnsi" w:cstheme="minorHAnsi"/>
                <w:b/>
                <w:sz w:val="16"/>
                <w:szCs w:val="16"/>
              </w:rPr>
            </w:pPr>
            <w:r w:rsidRPr="00FE59EE">
              <w:rPr>
                <w:rFonts w:asciiTheme="minorHAnsi" w:hAnsiTheme="minorHAnsi" w:cstheme="minorHAnsi"/>
                <w:b/>
                <w:sz w:val="16"/>
                <w:szCs w:val="16"/>
              </w:rPr>
              <w:t>Safety</w:t>
            </w:r>
          </w:p>
          <w:p w:rsidRPr="00FE59EE" w:rsidR="000C77AC" w:rsidP="00FE4186" w:rsidRDefault="000C77AC" w14:paraId="3CC8D3FD" w14:textId="77777777">
            <w:pPr>
              <w:pStyle w:val="BodyText"/>
              <w:rPr>
                <w:rFonts w:asciiTheme="minorHAnsi" w:hAnsiTheme="minorHAnsi" w:cstheme="minorHAnsi"/>
                <w:sz w:val="16"/>
                <w:szCs w:val="16"/>
              </w:rPr>
            </w:pPr>
            <w:r w:rsidRPr="00FE59EE">
              <w:rPr>
                <w:rFonts w:asciiTheme="minorHAnsi" w:hAnsiTheme="minorHAnsi" w:cstheme="minorHAnsi"/>
                <w:sz w:val="16"/>
                <w:szCs w:val="16"/>
              </w:rPr>
              <w:t xml:space="preserve">Zidovudine is generally well tolerated in neonates including preterm infants. In a cohort of 112 neonates with mean GA 37 weeks, Smith et al reported anaemia in 39%, neutropenia in 39% and thrombocytopenia in 3% of the infants. Hyperbilirubinemia occurred in 42% and elevated ALT and AST in 3 and 1% infants respectively. </w:t>
            </w:r>
            <w:r w:rsidRPr="00FE59EE">
              <w:rPr>
                <w:rFonts w:asciiTheme="minorHAnsi" w:hAnsiTheme="minorHAnsi" w:cstheme="minorHAnsi"/>
                <w:noProof/>
                <w:sz w:val="16"/>
                <w:szCs w:val="16"/>
              </w:rPr>
              <w:t>[7]</w:t>
            </w:r>
            <w:r w:rsidRPr="00FE59EE">
              <w:rPr>
                <w:rFonts w:asciiTheme="minorHAnsi" w:hAnsiTheme="minorHAnsi" w:cstheme="minorHAnsi"/>
                <w:sz w:val="16"/>
                <w:szCs w:val="16"/>
              </w:rPr>
              <w:t xml:space="preserve"> In a cohort of 76 preterm neonates (24-34 weeks) who received Zidovudine for 6 weeks, Capparelli reported that risk of severe anaemia requiring transfusion (45%) which is similar to rates in infants of similar gestation. The incidence of other haematological abnormalities was low (neutropenia 11%; thrombocytopenia 13%) and no death attributable to zidovudine was reported. </w:t>
            </w:r>
            <w:r w:rsidRPr="00FE59EE">
              <w:rPr>
                <w:rFonts w:asciiTheme="minorHAnsi" w:hAnsiTheme="minorHAnsi" w:cstheme="minorHAnsi"/>
                <w:noProof/>
                <w:sz w:val="16"/>
                <w:szCs w:val="16"/>
              </w:rPr>
              <w:t>[14]</w:t>
            </w:r>
            <w:r w:rsidRPr="00FE59EE">
              <w:rPr>
                <w:rFonts w:asciiTheme="minorHAnsi" w:hAnsiTheme="minorHAnsi" w:cstheme="minorHAnsi"/>
                <w:sz w:val="16"/>
                <w:szCs w:val="16"/>
              </w:rPr>
              <w:t xml:space="preserve"> In a cohort of 374 HIV-exposed, uninfected infants, there was no association between in utero exposure to ARV regimens at any time during pregnancy and any Bayley-III outcome at 9-15 months. </w:t>
            </w:r>
            <w:r w:rsidRPr="00FE59EE">
              <w:rPr>
                <w:rFonts w:asciiTheme="minorHAnsi" w:hAnsiTheme="minorHAnsi" w:cstheme="minorHAnsi"/>
                <w:noProof/>
                <w:sz w:val="16"/>
                <w:szCs w:val="16"/>
              </w:rPr>
              <w:t>[15]</w:t>
            </w:r>
          </w:p>
          <w:p w:rsidRPr="00FE59EE" w:rsidR="000C77AC" w:rsidP="00FE4186" w:rsidRDefault="000C77AC" w14:paraId="7F795697" w14:textId="77777777">
            <w:pPr>
              <w:pStyle w:val="BodyText"/>
              <w:rPr>
                <w:rFonts w:asciiTheme="minorHAnsi" w:hAnsiTheme="minorHAnsi" w:cstheme="minorHAnsi"/>
                <w:b/>
                <w:sz w:val="16"/>
                <w:szCs w:val="16"/>
              </w:rPr>
            </w:pPr>
          </w:p>
          <w:p w:rsidRPr="00FE59EE" w:rsidR="000C77AC" w:rsidP="00FE4186" w:rsidRDefault="000C77AC" w14:paraId="6CFBDC35" w14:textId="77777777">
            <w:pPr>
              <w:pStyle w:val="BodyText"/>
              <w:rPr>
                <w:rFonts w:asciiTheme="minorHAnsi" w:hAnsiTheme="minorHAnsi" w:cstheme="minorHAnsi"/>
                <w:b/>
                <w:sz w:val="16"/>
                <w:szCs w:val="16"/>
              </w:rPr>
            </w:pPr>
            <w:r w:rsidRPr="00FE59EE">
              <w:rPr>
                <w:rFonts w:asciiTheme="minorHAnsi" w:hAnsiTheme="minorHAnsi" w:cstheme="minorHAnsi"/>
                <w:b/>
                <w:sz w:val="16"/>
                <w:szCs w:val="16"/>
              </w:rPr>
              <w:t xml:space="preserve">Pharmacokinetics </w:t>
            </w:r>
          </w:p>
          <w:p w:rsidRPr="00FE59EE" w:rsidR="000C77AC" w:rsidP="00FE4186" w:rsidRDefault="000C77AC" w14:paraId="153BD91D" w14:textId="77777777">
            <w:pPr>
              <w:pStyle w:val="BodyText"/>
              <w:rPr>
                <w:rFonts w:asciiTheme="minorHAnsi" w:hAnsiTheme="minorHAnsi" w:cstheme="minorHAnsi"/>
                <w:sz w:val="16"/>
                <w:szCs w:val="16"/>
              </w:rPr>
            </w:pPr>
            <w:r w:rsidRPr="00FE59EE">
              <w:rPr>
                <w:rFonts w:asciiTheme="minorHAnsi" w:hAnsiTheme="minorHAnsi" w:cstheme="minorHAnsi"/>
                <w:sz w:val="16"/>
                <w:szCs w:val="16"/>
              </w:rPr>
              <w:t xml:space="preserve">Metabolized primarily in the liver to zidovudine glucuronide and renally excreted. Boucher et al. studied the pharmacokinetics of ZDV in full-term infants during the first months of life and found reduced ZDV elimination in those younger than 14 days, with CL averaging 10.9 mL/min/kg and t1/2 averaging 3.12 hours. In full-term infants, ZDV elimination increases rapidly during the first weeks of life. </w:t>
            </w:r>
            <w:r w:rsidRPr="00FE59EE">
              <w:rPr>
                <w:rFonts w:asciiTheme="minorHAnsi" w:hAnsiTheme="minorHAnsi" w:cstheme="minorHAnsi"/>
                <w:noProof/>
                <w:sz w:val="16"/>
                <w:szCs w:val="16"/>
              </w:rPr>
              <w:t>[16]</w:t>
            </w:r>
            <w:r w:rsidRPr="00FE59EE">
              <w:rPr>
                <w:rFonts w:asciiTheme="minorHAnsi" w:hAnsiTheme="minorHAnsi" w:cstheme="minorHAnsi"/>
                <w:sz w:val="16"/>
                <w:szCs w:val="16"/>
                <w:vertAlign w:val="superscript"/>
              </w:rPr>
              <w:t xml:space="preserve"> </w:t>
            </w:r>
            <w:r w:rsidRPr="00FE59EE">
              <w:rPr>
                <w:rFonts w:asciiTheme="minorHAnsi" w:hAnsiTheme="minorHAnsi" w:cstheme="minorHAnsi"/>
                <w:sz w:val="16"/>
                <w:szCs w:val="16"/>
              </w:rPr>
              <w:t xml:space="preserve">In 15 preterm neonates (GA 26-31 weeks), Mirochnick et al found lower ZDV clearance (2.5 ml/kg/min) and longer half-life (7 hours) compared to term infants. The clearance of ZDV increases and the half-life decreases with postnatal age. </w:t>
            </w:r>
            <w:r w:rsidRPr="00FE59EE">
              <w:rPr>
                <w:rFonts w:asciiTheme="minorHAnsi" w:hAnsiTheme="minorHAnsi" w:cstheme="minorHAnsi"/>
                <w:noProof/>
                <w:sz w:val="16"/>
                <w:szCs w:val="16"/>
              </w:rPr>
              <w:t>[17]</w:t>
            </w:r>
            <w:r w:rsidRPr="00FE59EE">
              <w:rPr>
                <w:rFonts w:asciiTheme="minorHAnsi" w:hAnsiTheme="minorHAnsi" w:cstheme="minorHAnsi"/>
                <w:sz w:val="16"/>
                <w:szCs w:val="16"/>
                <w:vertAlign w:val="superscript"/>
              </w:rPr>
              <w:t xml:space="preserve"> </w:t>
            </w:r>
            <w:r w:rsidRPr="00FE59EE">
              <w:rPr>
                <w:rFonts w:asciiTheme="minorHAnsi" w:hAnsiTheme="minorHAnsi" w:cstheme="minorHAnsi"/>
                <w:sz w:val="16"/>
                <w:szCs w:val="16"/>
              </w:rPr>
              <w:t xml:space="preserve">Postnatal age was the best predictor of Zidovudine clearance with other factors being gestational at birth, and serum creatinine. Protein binding is approximately 25%. Zidovudine distributes into cells by passive diffusion and is relatively lipophilic. The CSF: plasma ratio was 0.24. The relationship between serum concentration and clinical efficacy is unclear. The oral syrup is well-absorbed, but only 65% bioavailable due to significant first-pass metabolism. The serum half-life in term newborns is 3 hours, declining to 2 hours after 2 weeks of age (half-life of intracellular zidovudine triphosphate in 9 hours). In preterm infants less than 33 weeks gestation, plasma half-life during the first two weeks of life ranges from 5 to 10 hours, decreasing to 2 to 6 hours afterward. </w:t>
            </w:r>
            <w:r w:rsidRPr="00FE59EE">
              <w:rPr>
                <w:rFonts w:asciiTheme="minorHAnsi" w:hAnsiTheme="minorHAnsi" w:cstheme="minorHAnsi"/>
                <w:noProof/>
                <w:sz w:val="16"/>
                <w:szCs w:val="16"/>
              </w:rPr>
              <w:t>[14, 17]</w:t>
            </w:r>
            <w:r w:rsidRPr="00FE59EE">
              <w:rPr>
                <w:rFonts w:asciiTheme="minorHAnsi" w:hAnsiTheme="minorHAnsi" w:cstheme="minorHAnsi"/>
                <w:sz w:val="16"/>
                <w:szCs w:val="16"/>
              </w:rPr>
              <w:t xml:space="preserve"> </w:t>
            </w:r>
          </w:p>
        </w:tc>
      </w:tr>
      <w:tr w:rsidRPr="00DB058E" w:rsidR="000C77AC" w:rsidTr="00FE4186" w14:paraId="023AE57E" w14:textId="77777777">
        <w:trPr>
          <w:trHeight w:val="108"/>
        </w:trPr>
        <w:tc>
          <w:tcPr>
            <w:tcW w:w="1730" w:type="dxa"/>
          </w:tcPr>
          <w:p w:rsidRPr="00DB058E" w:rsidR="000C77AC" w:rsidP="00FE4186" w:rsidRDefault="000C77AC" w14:paraId="3BAEB0F3" w14:textId="77777777">
            <w:pPr>
              <w:pStyle w:val="BodyText"/>
              <w:rPr>
                <w:rFonts w:asciiTheme="minorHAnsi" w:hAnsiTheme="minorHAnsi" w:cstheme="minorHAnsi"/>
                <w:b/>
                <w:bCs/>
                <w:sz w:val="20"/>
              </w:rPr>
            </w:pPr>
            <w:r w:rsidRPr="00DB058E">
              <w:rPr>
                <w:rFonts w:asciiTheme="minorHAnsi" w:hAnsiTheme="minorHAnsi" w:cstheme="minorHAnsi"/>
                <w:b/>
                <w:bCs/>
                <w:sz w:val="20"/>
              </w:rPr>
              <w:lastRenderedPageBreak/>
              <w:t>Practice points</w:t>
            </w:r>
          </w:p>
        </w:tc>
        <w:tc>
          <w:tcPr>
            <w:tcW w:w="7938" w:type="dxa"/>
          </w:tcPr>
          <w:p w:rsidRPr="00FE59EE" w:rsidR="000C77AC" w:rsidP="00FE4186" w:rsidRDefault="000C77AC" w14:paraId="37C73504" w14:textId="77777777">
            <w:pPr>
              <w:pStyle w:val="BodyText"/>
              <w:rPr>
                <w:rFonts w:asciiTheme="minorHAnsi" w:hAnsiTheme="minorHAnsi" w:cstheme="minorHAnsi"/>
                <w:sz w:val="16"/>
                <w:szCs w:val="16"/>
              </w:rPr>
            </w:pPr>
            <w:r w:rsidRPr="00FE59EE">
              <w:rPr>
                <w:rFonts w:asciiTheme="minorHAnsi" w:hAnsiTheme="minorHAnsi" w:cstheme="minorHAnsi"/>
                <w:sz w:val="16"/>
                <w:szCs w:val="16"/>
              </w:rPr>
              <w:t>Zidovudine is the recommended antiretroviral agent as either monotherapy or combination therapy for prevention of perinatal HIV transmission to neonates.</w:t>
            </w:r>
            <w:r w:rsidRPr="00FE59EE">
              <w:rPr>
                <w:rFonts w:asciiTheme="minorHAnsi" w:hAnsiTheme="minorHAnsi" w:cstheme="minorHAnsi"/>
                <w:b/>
                <w:sz w:val="16"/>
                <w:szCs w:val="16"/>
              </w:rPr>
              <w:t xml:space="preserve"> </w:t>
            </w:r>
            <w:r w:rsidRPr="00FE59EE">
              <w:rPr>
                <w:rFonts w:asciiTheme="minorHAnsi" w:hAnsiTheme="minorHAnsi" w:cstheme="minorHAnsi"/>
                <w:sz w:val="16"/>
                <w:szCs w:val="16"/>
              </w:rPr>
              <w:t xml:space="preserve">The ANMF has adapted the 2018 British HIV Association guidelines for the management of HIV in pregnancy and postpartum 2018 and the categories used to determine the duration of therapy are defined as follows. </w:t>
            </w:r>
            <w:r w:rsidRPr="00FE59EE">
              <w:rPr>
                <w:rFonts w:asciiTheme="minorHAnsi" w:hAnsiTheme="minorHAnsi" w:cstheme="minorHAnsi"/>
                <w:noProof/>
                <w:sz w:val="16"/>
                <w:szCs w:val="16"/>
              </w:rPr>
              <w:t>[18, 19]</w:t>
            </w:r>
          </w:p>
          <w:p w:rsidRPr="00FE59EE" w:rsidR="000C77AC" w:rsidP="00FE4186" w:rsidRDefault="000C77AC" w14:paraId="7049B304" w14:textId="77777777">
            <w:pPr>
              <w:pStyle w:val="BodyText"/>
              <w:rPr>
                <w:rFonts w:asciiTheme="minorHAnsi" w:hAnsiTheme="minorHAnsi" w:cstheme="minorHAnsi"/>
                <w:sz w:val="16"/>
                <w:szCs w:val="16"/>
              </w:rPr>
            </w:pPr>
            <w:r w:rsidRPr="00FE59EE">
              <w:rPr>
                <w:rFonts w:asciiTheme="minorHAnsi" w:hAnsiTheme="minorHAnsi" w:cstheme="minorHAnsi"/>
                <w:b/>
                <w:sz w:val="16"/>
                <w:szCs w:val="16"/>
              </w:rPr>
              <w:t>Very low risk:</w:t>
            </w:r>
            <w:r w:rsidRPr="00FE59EE">
              <w:rPr>
                <w:rFonts w:asciiTheme="minorHAnsi" w:hAnsiTheme="minorHAnsi" w:cstheme="minorHAnsi"/>
                <w:sz w:val="16"/>
                <w:szCs w:val="16"/>
              </w:rPr>
              <w:t xml:space="preserve"> 2 weeks of zidovudine monotherapy is recommended if (1) the woman has been on cART for longer than 10 weeks, AND (2) two documented maternal HIV viral loads &lt;50 HIV RNA copies/mL during pregnancy at least 4 weeks apart, AND (3) Maternal HIV viral load &lt;50 HIV RNA copies/mL at or after 36 weeks. </w:t>
            </w:r>
          </w:p>
          <w:p w:rsidRPr="00FE59EE" w:rsidR="000C77AC" w:rsidP="00FE4186" w:rsidRDefault="000C77AC" w14:paraId="5665951E" w14:textId="77777777">
            <w:pPr>
              <w:pStyle w:val="BodyText"/>
              <w:rPr>
                <w:rFonts w:asciiTheme="minorHAnsi" w:hAnsiTheme="minorHAnsi" w:cstheme="minorHAnsi"/>
                <w:sz w:val="16"/>
                <w:szCs w:val="16"/>
              </w:rPr>
            </w:pPr>
            <w:r w:rsidRPr="00FE59EE">
              <w:rPr>
                <w:rFonts w:asciiTheme="minorHAnsi" w:hAnsiTheme="minorHAnsi" w:cstheme="minorHAnsi"/>
                <w:b/>
                <w:sz w:val="16"/>
                <w:szCs w:val="16"/>
              </w:rPr>
              <w:t>Low risk:</w:t>
            </w:r>
            <w:r w:rsidRPr="00FE59EE">
              <w:rPr>
                <w:rFonts w:asciiTheme="minorHAnsi" w:hAnsiTheme="minorHAnsi" w:cstheme="minorHAnsi"/>
                <w:sz w:val="16"/>
                <w:szCs w:val="16"/>
              </w:rPr>
              <w:t xml:space="preserve"> 4 weeks of zidovudine monotherapy if (1) the “very low risk criteria” are not all fulfilled but maternal HIV viral load is &lt;50 HIV RNA copies/mL at or after 36 weeks, (2) if the infant is born prematurely (&lt;34 weeks) but most recent maternal HIV viral load is &lt;50 HIV RNA copies/mL.</w:t>
            </w:r>
          </w:p>
          <w:p w:rsidRPr="00FE59EE" w:rsidR="000C77AC" w:rsidP="00FE4186" w:rsidRDefault="000C77AC" w14:paraId="121672B3" w14:textId="77777777">
            <w:pPr>
              <w:pStyle w:val="BodyText"/>
              <w:rPr>
                <w:rFonts w:asciiTheme="minorHAnsi" w:hAnsiTheme="minorHAnsi" w:cstheme="minorHAnsi"/>
                <w:sz w:val="16"/>
                <w:szCs w:val="16"/>
              </w:rPr>
            </w:pPr>
            <w:r w:rsidRPr="00FE59EE">
              <w:rPr>
                <w:rFonts w:asciiTheme="minorHAnsi" w:hAnsiTheme="minorHAnsi" w:cstheme="minorHAnsi"/>
                <w:b/>
                <w:sz w:val="16"/>
                <w:szCs w:val="16"/>
              </w:rPr>
              <w:t>High risk:</w:t>
            </w:r>
            <w:r w:rsidRPr="00FE59EE">
              <w:rPr>
                <w:rFonts w:asciiTheme="minorHAnsi" w:hAnsiTheme="minorHAnsi" w:cstheme="minorHAnsi"/>
                <w:sz w:val="16"/>
                <w:szCs w:val="16"/>
              </w:rPr>
              <w:t xml:space="preserve"> Combination therapy if maternal birth HIV viral load is known to be or likely to be &gt;50 HIV RNA copies/mL on day of birth, if uncertainty about recent maternal adherence or if viral load is not known.</w:t>
            </w:r>
          </w:p>
        </w:tc>
      </w:tr>
      <w:tr w:rsidRPr="00DB058E" w:rsidR="000C77AC" w:rsidTr="00FE4186" w14:paraId="69F89B24" w14:textId="77777777">
        <w:trPr>
          <w:trHeight w:val="70"/>
        </w:trPr>
        <w:tc>
          <w:tcPr>
            <w:tcW w:w="1730" w:type="dxa"/>
          </w:tcPr>
          <w:p w:rsidRPr="00DB058E" w:rsidR="000C77AC" w:rsidP="00FE4186" w:rsidRDefault="000C77AC" w14:paraId="2882C98C" w14:textId="77777777">
            <w:pPr>
              <w:pStyle w:val="BodyText"/>
              <w:rPr>
                <w:rFonts w:asciiTheme="minorHAnsi" w:hAnsiTheme="minorHAnsi" w:cstheme="minorHAnsi"/>
                <w:b/>
                <w:bCs/>
                <w:sz w:val="20"/>
              </w:rPr>
            </w:pPr>
            <w:r w:rsidRPr="00DB058E">
              <w:rPr>
                <w:rFonts w:asciiTheme="minorHAnsi" w:hAnsiTheme="minorHAnsi" w:cstheme="minorHAnsi"/>
                <w:b/>
                <w:sz w:val="20"/>
              </w:rPr>
              <w:t>References</w:t>
            </w:r>
          </w:p>
        </w:tc>
        <w:tc>
          <w:tcPr>
            <w:tcW w:w="7938" w:type="dxa"/>
          </w:tcPr>
          <w:p w:rsidRPr="00FE59EE" w:rsidR="000C77AC" w:rsidP="001B0E05" w:rsidRDefault="000C77AC" w14:paraId="3C7AD13C"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Murray KL, Wright D, Laxton B, Miller KM, Meyers J, Englebright J. Implementation of standardized pediatric i.v. medication concentrations. Am J Health Syst Pharm. 2014;71:1500-8.</w:t>
            </w:r>
          </w:p>
          <w:p w:rsidRPr="00FE59EE" w:rsidR="000C77AC" w:rsidP="001B0E05" w:rsidRDefault="000C77AC" w14:paraId="4EB9BF51"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AIDSinfo and Panel on Antiretroviral Therapy and Medical Management of HIV-Infected Children: Guidelines for the use of antiretroviral agents in Pediatric HIV infection. AIDSinfo, Rockville, MD, Mar01, 2016. Available at: https://aidsinfo.nih.gov/contentfiles/lvguidelines/pediatricguidelines.pdf.</w:t>
            </w:r>
          </w:p>
          <w:p w:rsidRPr="00FE59EE" w:rsidR="000C77AC" w:rsidP="001B0E05" w:rsidRDefault="000C77AC" w14:paraId="46ED5C12"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Palasanthiran P, Starr M, Jones C, Giles M. Management of Perinatal Infections. Australian society for infectious diseases 2014. https://www.asid.net.au/documents/item/368 Downloaded 29/05/2020.</w:t>
            </w:r>
          </w:p>
          <w:p w:rsidRPr="00FE59EE" w:rsidR="000C77AC" w:rsidP="001B0E05" w:rsidRDefault="000C77AC" w14:paraId="1AF1E99F"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AIDS info: Recommendations for the Use of Antiretroviral Drugs in Pregnant Women with HIV Infection and Interventions to Reduce Perinatal HIV Transmission in the United States. Accessed on 1st April 2019. Available at: https://aidsinfo.nih.gov/guidelines/html/3/perinatal-guidelines/0.</w:t>
            </w:r>
          </w:p>
          <w:p w:rsidRPr="00FE59EE" w:rsidR="000C77AC" w:rsidP="001B0E05" w:rsidRDefault="000C77AC" w14:paraId="4D9C2C63"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Product Information: RETROVIR(R) oral capsules, oral syrup, intravenous injection, zidovudine oral capsules, oral syrup, intravenous injection. Viv Healthcare (per FDA), Research Triangle Park, NC, Feb  2017.</w:t>
            </w:r>
          </w:p>
          <w:p w:rsidRPr="00FE59EE" w:rsidR="000C77AC" w:rsidP="001B0E05" w:rsidRDefault="000C77AC" w14:paraId="7B5FB192"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Alimenti A, Burdge DR, Ogilvie GS, Money DM, Forbes JC. Lactic acidemia in human immunodeficiency virus-uninfected infants exposed to perinatal antiretroviral therapy. Pediatr Infect Dis J. 2003;22:782-9.</w:t>
            </w:r>
          </w:p>
          <w:p w:rsidRPr="00FE59EE" w:rsidR="000C77AC" w:rsidP="001B0E05" w:rsidRDefault="000C77AC" w14:paraId="212C258D"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Smith C, Forster JE, Levin MJ, Davies J, Pappas J, Kinzie K, Barr E, Paul S, McFarland EJ, Weinberg A. Serious adverse events are uncommon with combination neonatal antiretroviral prophylaxis: a retrospective case review. PLoS One. 2015;10:e0127062.</w:t>
            </w:r>
          </w:p>
          <w:p w:rsidRPr="00FE59EE" w:rsidR="000C77AC" w:rsidP="001B0E05" w:rsidRDefault="000C77AC" w14:paraId="35A96146"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Hurst SA, Appelgren KE, Kourtis AP. Prevention of mother-to-child transmission of HIV type 1: the role of neonatal and infant prophylaxis. Expert Rev Anti Infect Ther. 2015;13:169-81.</w:t>
            </w:r>
          </w:p>
          <w:p w:rsidRPr="00FE59EE" w:rsidR="000C77AC" w:rsidP="001B0E05" w:rsidRDefault="000C77AC" w14:paraId="3E05861C"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Connor EM, Sperling RS, Gelber R, Kiselev P, Scott G, O'Sullivan MJ, VanDyke R, Bey M, Shearer W, Jacobson RL, et al. Reduction of maternal-infant transmission of human immunodeficiency virus type 1 with zidovudine treatment. Pediatric AIDS Clinical Trials Group Protocol 076 Study Group. N Engl J Med. 1994;331:1173-80.</w:t>
            </w:r>
          </w:p>
          <w:p w:rsidRPr="00FE59EE" w:rsidR="000C77AC" w:rsidP="001B0E05" w:rsidRDefault="000C77AC" w14:paraId="74F6A52E"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lastRenderedPageBreak/>
              <w:t>Petra Study T. Efficacy of three short-course regimens of zidovudine and lamivudine in preventing early and late transmission of HIV-1 from mother to child in Tanzania, South Africa, and Uganda (Petra study): a randomised, double-blind, placebo-controlled trial. Lancet. 2002;359:1178-86.</w:t>
            </w:r>
          </w:p>
          <w:p w:rsidRPr="00FE59EE" w:rsidR="000C77AC" w:rsidP="001B0E05" w:rsidRDefault="000C77AC" w14:paraId="352BBAB7"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Wade NA, Birkhead GS, Warren BL, Charbonneau TT, French PT, Wang L, Baum JB, Tesoriero JM, Savicki R. Abbreviated regimens of zidovudine prophylaxis and perinatal transmission of the human immunodeficiency virus. N Engl J Med. 1998;339:1409-14.</w:t>
            </w:r>
          </w:p>
          <w:p w:rsidRPr="00FE59EE" w:rsidR="000C77AC" w:rsidP="001B0E05" w:rsidRDefault="000C77AC" w14:paraId="69A6D29F"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Ferguson W, Goode M, Walsh A, Gavin P, Butler K. Evaluation of 4 weeks' neonatal antiretroviral prophylaxis as a component of a prevention of mother-to-child transmission program in a resource-rich setting. Pediatr Infect Dis J. 2011;30:408-12.</w:t>
            </w:r>
          </w:p>
          <w:p w:rsidRPr="00FE59EE" w:rsidR="000C77AC" w:rsidP="001B0E05" w:rsidRDefault="000C77AC" w14:paraId="3FEB1D4A"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Nielsen-Saines K, Watts DH, Veloso VG, Bryson YJ, Joao EC, Pilotto JH, Gray G, Theron G, Santos B, Fonseca R, Kreitchmann R, Pinto J, Mussi-Pinhata MM, Ceriotto M, Machado D, Bethel J, Morgado MG, Dickover R, Camarca M, Mirochnick M, Siberry G, Grinsztejn B, Moreira RI, Bastos FI, Xu J, Moye J, Mofenson LM, Team NHPP. Three postpartum antiretroviral regimens to prevent intrapartum HIV infection. N Engl J Med. 2012;366:2368-79.</w:t>
            </w:r>
          </w:p>
          <w:p w:rsidRPr="00FE59EE" w:rsidR="000C77AC" w:rsidP="001B0E05" w:rsidRDefault="000C77AC" w14:paraId="39CF7F91"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Capparelli EV, Mirochnick M, Dankner WM, Blanchard S, Mofenson L, McSherry GD, Gay H, Ciupak G, Smith B, Connor JD, Pediatric ACTGI. Pharmacokinetics and tolerance of zidovudine in preterm infants. J Pediatr. 2003;142:47-52.</w:t>
            </w:r>
          </w:p>
          <w:p w:rsidRPr="00FE59EE" w:rsidR="000C77AC" w:rsidP="001B0E05" w:rsidRDefault="000C77AC" w14:paraId="685DB5CA"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Sirois PA, Huo Y, Williams PL, Malee K, Garvie PA, Kammerer B, Rich K, Van Dyke RB, Nozyce ML, Pediatric HCS. Safety of perinatal exposure to antiretroviral medications: developmental outcomes in infants. Pediatr Infect Dis J. 2013;32:648-55.</w:t>
            </w:r>
          </w:p>
          <w:p w:rsidRPr="00FE59EE" w:rsidR="000C77AC" w:rsidP="001B0E05" w:rsidRDefault="000C77AC" w14:paraId="6E13F799"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Boucher FD, Modlin JF, Weller S, Ruff A, Mirochnick M, Pelton S, Wilfert C, McKinney R, Jr., Crain MJ, Elkins MM, et al. Phase I evaluation of zidovudine administered to infants exposed at birth to the human immunodeficiency virus. Journal of Pediatrics. 1993;122:137-44.</w:t>
            </w:r>
          </w:p>
          <w:p w:rsidRPr="00FE59EE" w:rsidR="000C77AC" w:rsidP="001B0E05" w:rsidRDefault="000C77AC" w14:paraId="0F0E9408"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Mirochnick M, Capparelli E, Dankner W, Sperling RS, van Dyke R, Spector SA. Zidovudine pharmacokinetics in premature infants exposed to human immunodeficiency virus. Antimicrob Agents Chemother. 1998;42:808-12.</w:t>
            </w:r>
          </w:p>
          <w:p w:rsidRPr="00FE59EE" w:rsidR="000C77AC" w:rsidP="001B0E05" w:rsidRDefault="000C77AC" w14:paraId="3D51BCAA"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British HIV Association guidelines for the management of HIV in pregnancy and postpartum 2018 (2019 second interim update). https://www.bhiva.org/file/5bfd30be95deb/BHIVA-guidelines-for-the-management-of-HIV-in-pregnancy.pdf Accessed on 19 May 2020.</w:t>
            </w:r>
          </w:p>
          <w:p w:rsidRPr="00FE59EE" w:rsidR="000C77AC" w:rsidP="001B0E05" w:rsidRDefault="000C77AC" w14:paraId="03BFA3B9" w14:textId="77777777">
            <w:pPr>
              <w:pStyle w:val="EndNoteBibliography"/>
              <w:numPr>
                <w:ilvl w:val="0"/>
                <w:numId w:val="77"/>
              </w:numPr>
              <w:ind w:left="360"/>
              <w:rPr>
                <w:rFonts w:asciiTheme="minorHAnsi" w:hAnsiTheme="minorHAnsi" w:cstheme="minorHAnsi"/>
                <w:sz w:val="16"/>
                <w:szCs w:val="16"/>
              </w:rPr>
            </w:pPr>
            <w:r w:rsidRPr="00FE59EE">
              <w:rPr>
                <w:rFonts w:asciiTheme="minorHAnsi" w:hAnsiTheme="minorHAnsi" w:cstheme="minorHAnsi"/>
                <w:sz w:val="16"/>
                <w:szCs w:val="16"/>
              </w:rPr>
              <w:t>Gilleece DY, Tariq DS, Bamford DA, Bhagani DS, Byrne DL, Clarke DE, Clayden MP, Lyall DH, Metcalfe DR, Palfreeman DA, Rubinstein DL, Sonecha MS, Thorley DL, Tookey DP, Tosswill MJ, Utting MD, Welch DS, Wright MA. British HIV Association guidelines for the management of HIV in pregnancy and postpartum 2018. HIV Med. 2019;20 Suppl 3:s2-s85.</w:t>
            </w:r>
          </w:p>
        </w:tc>
      </w:tr>
    </w:tbl>
    <w:p w:rsidRPr="00DB058E" w:rsidR="00033AF5" w:rsidP="00033AF5" w:rsidRDefault="00033AF5" w14:paraId="56EE24F3" w14:textId="77777777">
      <w:pPr>
        <w:rPr>
          <w:rFonts w:asciiTheme="minorHAnsi" w:hAnsiTheme="minorHAnsi" w:cstheme="minorHAnsi"/>
          <w:b/>
          <w:bCs/>
          <w:sz w:val="20"/>
        </w:rPr>
      </w:pPr>
    </w:p>
    <w:p w:rsidR="00033AF5" w:rsidP="00033AF5" w:rsidRDefault="00033AF5" w14:paraId="0A012146" w14:textId="77777777">
      <w:pPr>
        <w:rPr>
          <w:rFonts w:asciiTheme="minorHAnsi" w:hAnsiTheme="minorHAnsi" w:cstheme="minorHAnsi"/>
          <w:sz w:val="20"/>
        </w:rPr>
      </w:pPr>
    </w:p>
    <w:tbl>
      <w:tblPr>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92"/>
        <w:gridCol w:w="4770"/>
      </w:tblGrid>
      <w:tr w:rsidRPr="00800118" w:rsidR="0020431B" w:rsidTr="00A65F20" w14:paraId="54924745" w14:textId="77777777">
        <w:tc>
          <w:tcPr>
            <w:tcW w:w="4192" w:type="dxa"/>
            <w:vAlign w:val="center"/>
          </w:tcPr>
          <w:p w:rsidRPr="00800118" w:rsidR="006226F5" w:rsidP="00E525C7" w:rsidRDefault="006226F5" w14:paraId="13FB9B98" w14:textId="43180003">
            <w:pPr>
              <w:rPr>
                <w:lang w:val="en-AU"/>
              </w:rPr>
            </w:pPr>
            <w:r w:rsidRPr="00800118">
              <w:rPr>
                <w:lang w:val="en-AU"/>
              </w:rPr>
              <w:t xml:space="preserve">Original version Date: </w:t>
            </w:r>
            <w:r w:rsidR="00945A53">
              <w:rPr>
                <w:lang w:val="en-AU"/>
              </w:rPr>
              <w:t>29/5/2020</w:t>
            </w:r>
          </w:p>
        </w:tc>
        <w:tc>
          <w:tcPr>
            <w:tcW w:w="4770" w:type="dxa"/>
            <w:vAlign w:val="center"/>
          </w:tcPr>
          <w:p w:rsidRPr="00800118" w:rsidR="006226F5" w:rsidP="00E525C7" w:rsidRDefault="006226F5" w14:paraId="368CD9F4" w14:textId="77777777">
            <w:pPr>
              <w:rPr>
                <w:lang w:val="en-AU"/>
              </w:rPr>
            </w:pPr>
            <w:r w:rsidRPr="00800118">
              <w:rPr>
                <w:lang w:val="en-AU"/>
              </w:rPr>
              <w:t>Author: ANMF Consensus Group</w:t>
            </w:r>
          </w:p>
        </w:tc>
      </w:tr>
      <w:tr w:rsidRPr="00800118" w:rsidR="0020431B" w:rsidTr="00A65F20" w14:paraId="2C022617" w14:textId="77777777">
        <w:tc>
          <w:tcPr>
            <w:tcW w:w="4192" w:type="dxa"/>
            <w:vAlign w:val="center"/>
          </w:tcPr>
          <w:p w:rsidRPr="00800118" w:rsidR="006226F5" w:rsidP="00E525C7" w:rsidRDefault="006226F5" w14:paraId="0AC515E9" w14:textId="77777777">
            <w:pPr>
              <w:rPr>
                <w:bCs/>
                <w:lang w:val="en-AU"/>
              </w:rPr>
            </w:pPr>
            <w:r w:rsidRPr="00800118">
              <w:rPr>
                <w:lang w:val="en-AU"/>
              </w:rPr>
              <w:t>Current Version number:  2.0</w:t>
            </w:r>
          </w:p>
        </w:tc>
        <w:tc>
          <w:tcPr>
            <w:tcW w:w="4770" w:type="dxa"/>
            <w:vAlign w:val="center"/>
          </w:tcPr>
          <w:p w:rsidRPr="00800118" w:rsidR="006226F5" w:rsidP="00E525C7" w:rsidRDefault="006226F5" w14:paraId="45E63814" w14:textId="1E901AC0">
            <w:pPr>
              <w:rPr>
                <w:lang w:val="en-AU"/>
              </w:rPr>
            </w:pPr>
            <w:r w:rsidRPr="00800118">
              <w:rPr>
                <w:lang w:val="en-AU"/>
              </w:rPr>
              <w:t xml:space="preserve">Version Date:  </w:t>
            </w:r>
            <w:r w:rsidR="00945A53">
              <w:rPr>
                <w:lang w:val="en-AU"/>
              </w:rPr>
              <w:t>16/11</w:t>
            </w:r>
            <w:r>
              <w:rPr>
                <w:lang w:val="en-AU"/>
              </w:rPr>
              <w:t>/2020</w:t>
            </w:r>
          </w:p>
        </w:tc>
      </w:tr>
      <w:tr w:rsidRPr="00800118" w:rsidR="0020431B" w:rsidTr="00A65F20" w14:paraId="41043B52" w14:textId="77777777">
        <w:tc>
          <w:tcPr>
            <w:tcW w:w="4192" w:type="dxa"/>
            <w:vAlign w:val="center"/>
          </w:tcPr>
          <w:p w:rsidRPr="00800118" w:rsidR="006226F5" w:rsidP="00E525C7" w:rsidRDefault="006226F5" w14:paraId="697C1D7D" w14:textId="5A000B22">
            <w:pPr>
              <w:rPr>
                <w:lang w:val="en-AU"/>
              </w:rPr>
            </w:pPr>
            <w:r w:rsidRPr="00800118">
              <w:rPr>
                <w:lang w:val="en-AU"/>
              </w:rPr>
              <w:t xml:space="preserve">Risk Rating: </w:t>
            </w:r>
            <w:r w:rsidR="00AC29B7">
              <w:rPr>
                <w:lang w:val="en-AU"/>
              </w:rPr>
              <w:t>Low</w:t>
            </w:r>
          </w:p>
        </w:tc>
        <w:tc>
          <w:tcPr>
            <w:tcW w:w="4770" w:type="dxa"/>
            <w:vAlign w:val="center"/>
          </w:tcPr>
          <w:p w:rsidRPr="00800118" w:rsidR="006226F5" w:rsidP="00E525C7" w:rsidRDefault="006226F5" w14:paraId="59843C25" w14:textId="10A6F8CA">
            <w:pPr>
              <w:rPr>
                <w:lang w:val="en-AU"/>
              </w:rPr>
            </w:pPr>
            <w:r w:rsidRPr="00800118">
              <w:rPr>
                <w:lang w:val="en-AU"/>
              </w:rPr>
              <w:t xml:space="preserve">Due for Review:  </w:t>
            </w:r>
            <w:r w:rsidR="002A4D58">
              <w:rPr>
                <w:lang w:val="en-AU"/>
              </w:rPr>
              <w:t>16</w:t>
            </w:r>
            <w:r>
              <w:rPr>
                <w:lang w:val="en-AU"/>
              </w:rPr>
              <w:t>/1</w:t>
            </w:r>
            <w:r w:rsidR="002A4D58">
              <w:rPr>
                <w:lang w:val="en-AU"/>
              </w:rPr>
              <w:t>1</w:t>
            </w:r>
            <w:r>
              <w:rPr>
                <w:lang w:val="en-AU"/>
              </w:rPr>
              <w:t>/2025</w:t>
            </w:r>
          </w:p>
        </w:tc>
      </w:tr>
      <w:tr w:rsidRPr="00800118" w:rsidR="0020431B" w:rsidTr="00A65F20" w14:paraId="1A0C6D2E" w14:textId="77777777">
        <w:trPr>
          <w:trHeight w:val="344"/>
        </w:trPr>
        <w:tc>
          <w:tcPr>
            <w:tcW w:w="4192" w:type="dxa"/>
            <w:tcBorders>
              <w:bottom w:val="single" w:color="auto" w:sz="4" w:space="0"/>
            </w:tcBorders>
            <w:vAlign w:val="center"/>
          </w:tcPr>
          <w:p w:rsidRPr="00800118" w:rsidR="006226F5" w:rsidP="00E525C7" w:rsidRDefault="006226F5" w14:paraId="5A64977F" w14:textId="77777777">
            <w:pPr>
              <w:rPr>
                <w:lang w:val="en-AU"/>
              </w:rPr>
            </w:pPr>
            <w:r w:rsidRPr="00800118">
              <w:rPr>
                <w:lang w:val="en-AU"/>
              </w:rPr>
              <w:t xml:space="preserve">Approved by: </w:t>
            </w:r>
            <w:r>
              <w:rPr>
                <w:lang w:val="en-AU"/>
              </w:rPr>
              <w:t>DTC</w:t>
            </w:r>
          </w:p>
        </w:tc>
        <w:tc>
          <w:tcPr>
            <w:tcW w:w="4770" w:type="dxa"/>
            <w:tcBorders>
              <w:bottom w:val="single" w:color="auto" w:sz="4" w:space="0"/>
            </w:tcBorders>
            <w:vAlign w:val="center"/>
          </w:tcPr>
          <w:p w:rsidRPr="00800118" w:rsidR="006226F5" w:rsidP="00E525C7" w:rsidRDefault="006226F5" w14:paraId="6014D3C1" w14:textId="173AAA91">
            <w:pPr>
              <w:rPr>
                <w:lang w:val="en-AU"/>
              </w:rPr>
            </w:pPr>
            <w:r w:rsidRPr="00800118">
              <w:rPr>
                <w:lang w:val="en-AU"/>
              </w:rPr>
              <w:t xml:space="preserve">Approval Date: </w:t>
            </w:r>
            <w:r w:rsidR="00260BC8">
              <w:rPr>
                <w:lang w:val="en-AU"/>
              </w:rPr>
              <w:t>APRIL 2021</w:t>
            </w:r>
          </w:p>
        </w:tc>
      </w:tr>
    </w:tbl>
    <w:p w:rsidRPr="00DB058E" w:rsidR="00033AF5" w:rsidP="00033AF5" w:rsidRDefault="00033AF5" w14:paraId="35D0FD09" w14:textId="77777777">
      <w:pPr>
        <w:rPr>
          <w:rFonts w:asciiTheme="minorHAnsi" w:hAnsiTheme="minorHAnsi" w:cstheme="minorHAnsi"/>
          <w:sz w:val="20"/>
        </w:rPr>
      </w:pPr>
    </w:p>
    <w:p w:rsidRPr="00E25790" w:rsidR="00D33FE0" w:rsidP="006F0321" w:rsidRDefault="00D33FE0" w14:paraId="6A91DAFC" w14:textId="77777777"/>
    <w:p w:rsidRPr="00E25790" w:rsidR="008D7970" w:rsidP="006F0321" w:rsidRDefault="008D7970" w14:paraId="788AEDE1" w14:textId="77777777"/>
    <w:p w:rsidR="00943338" w:rsidRDefault="00943338" w14:paraId="04D4C601" w14:textId="77777777">
      <w:bookmarkStart w:name="_Toc495481186" w:id="631"/>
      <w:bookmarkStart w:name="_Toc495481312" w:id="632"/>
      <w:bookmarkStart w:name="_Toc495481437" w:id="633"/>
      <w:bookmarkStart w:name="_Toc495501618" w:id="634"/>
      <w:bookmarkStart w:name="_Toc38106949" w:id="635"/>
      <w:r>
        <w:rPr>
          <w:b/>
        </w:rPr>
        <w:br w:type="page"/>
      </w:r>
    </w:p>
    <w:tbl>
      <w:tblPr>
        <w:tblW w:w="0" w:type="auto"/>
        <w:tblLayout w:type="fixed"/>
        <w:tblLook w:val="0000" w:firstRow="0" w:lastRow="0" w:firstColumn="0" w:lastColumn="0" w:noHBand="0" w:noVBand="0"/>
      </w:tblPr>
      <w:tblGrid>
        <w:gridCol w:w="4153"/>
        <w:gridCol w:w="4755"/>
      </w:tblGrid>
      <w:tr w:rsidRPr="00E25790" w:rsidR="00115F48" w:rsidTr="00943338" w14:paraId="73D802ED" w14:textId="77777777">
        <w:trPr>
          <w:cantSplit/>
          <w:trHeight w:val="720"/>
        </w:trPr>
        <w:tc>
          <w:tcPr>
            <w:tcW w:w="8908" w:type="dxa"/>
            <w:gridSpan w:val="2"/>
            <w:tcBorders>
              <w:top w:val="double" w:color="auto" w:sz="6" w:space="0"/>
              <w:left w:val="double" w:color="auto" w:sz="6" w:space="0"/>
              <w:bottom w:val="double" w:color="auto" w:sz="6" w:space="0"/>
              <w:right w:val="double" w:color="auto" w:sz="6" w:space="0"/>
            </w:tcBorders>
            <w:shd w:val="clear" w:color="auto" w:fill="FFFF00"/>
          </w:tcPr>
          <w:p w:rsidRPr="006A160B" w:rsidR="00115F48" w:rsidP="009469DB" w:rsidRDefault="00115F48" w14:paraId="71BCD22D" w14:textId="77777777">
            <w:pPr>
              <w:pStyle w:val="Heading1"/>
            </w:pPr>
            <w:bookmarkStart w:name="_Toc75340063" w:id="636"/>
            <w:r w:rsidRPr="006A160B">
              <w:lastRenderedPageBreak/>
              <w:t>Zoster Immunoglobulin</w:t>
            </w:r>
            <w:bookmarkEnd w:id="631"/>
            <w:bookmarkEnd w:id="632"/>
            <w:bookmarkEnd w:id="633"/>
            <w:bookmarkEnd w:id="634"/>
            <w:bookmarkEnd w:id="635"/>
            <w:bookmarkEnd w:id="636"/>
            <w:r w:rsidRPr="006A160B">
              <w:fldChar w:fldCharType="begin"/>
            </w:r>
            <w:r w:rsidRPr="006A160B">
              <w:instrText>tc "Zoster_Immunoglobulin" \l 0</w:instrText>
            </w:r>
            <w:r w:rsidRPr="006A160B">
              <w:fldChar w:fldCharType="end"/>
            </w:r>
          </w:p>
        </w:tc>
      </w:tr>
      <w:tr w:rsidRPr="00E25790" w:rsidR="00115F48" w:rsidTr="00943338" w14:paraId="10F1EF05" w14:textId="77777777">
        <w:trPr>
          <w:cantSplit/>
          <w:trHeight w:val="480"/>
        </w:trPr>
        <w:tc>
          <w:tcPr>
            <w:tcW w:w="4153" w:type="dxa"/>
            <w:tcBorders>
              <w:top w:val="double" w:color="auto" w:sz="6" w:space="0"/>
              <w:left w:val="double" w:color="auto" w:sz="6" w:space="0"/>
              <w:bottom w:val="double" w:color="auto" w:sz="6" w:space="0"/>
              <w:right w:val="single" w:color="auto" w:sz="6" w:space="0"/>
            </w:tcBorders>
            <w:shd w:val="clear" w:color="auto" w:fill="FFFF00"/>
          </w:tcPr>
          <w:p w:rsidRPr="00E25790" w:rsidR="00115F48" w:rsidP="006F0321" w:rsidRDefault="00115F48" w14:paraId="40F54498" w14:textId="3FA8AD96">
            <w:r w:rsidRPr="00E25790">
              <w:t xml:space="preserve">Revision Date : </w:t>
            </w:r>
            <w:r w:rsidR="00101B0A">
              <w:t>28/2/2021</w:t>
            </w:r>
          </w:p>
        </w:tc>
        <w:tc>
          <w:tcPr>
            <w:tcW w:w="4755" w:type="dxa"/>
            <w:tcBorders>
              <w:top w:val="double" w:color="auto" w:sz="6" w:space="0"/>
              <w:left w:val="single" w:color="auto" w:sz="6" w:space="0"/>
              <w:bottom w:val="double" w:color="auto" w:sz="6" w:space="0"/>
              <w:right w:val="double" w:color="auto" w:sz="6" w:space="0"/>
            </w:tcBorders>
            <w:shd w:val="clear" w:color="auto" w:fill="FFFF00"/>
          </w:tcPr>
          <w:p w:rsidRPr="00E25790" w:rsidR="00115F48" w:rsidP="006F0321" w:rsidRDefault="00115F48" w14:paraId="1C5556DC" w14:textId="60218B9C">
            <w:r w:rsidRPr="00E25790">
              <w:t xml:space="preserve">Approved: </w:t>
            </w:r>
            <w:r w:rsidR="00101B0A">
              <w:t>TC, KOH</w:t>
            </w:r>
          </w:p>
        </w:tc>
      </w:tr>
    </w:tbl>
    <w:p w:rsidRPr="00E25790" w:rsidR="00115F48" w:rsidP="006F0321" w:rsidRDefault="00115F48" w14:paraId="2C6B5607" w14:textId="77777777"/>
    <w:p w:rsidRPr="00E25790" w:rsidR="00115F48" w:rsidP="006F0321" w:rsidRDefault="00115F48" w14:paraId="2CD021C3" w14:textId="77777777"/>
    <w:tbl>
      <w:tblPr>
        <w:tblW w:w="0" w:type="auto"/>
        <w:tblLayout w:type="fixed"/>
        <w:tblLook w:val="0000" w:firstRow="0" w:lastRow="0" w:firstColumn="0" w:lastColumn="0" w:noHBand="0" w:noVBand="0"/>
      </w:tblPr>
      <w:tblGrid>
        <w:gridCol w:w="2443"/>
        <w:gridCol w:w="6480"/>
      </w:tblGrid>
      <w:tr w:rsidRPr="00E25790" w:rsidR="00E14174" w:rsidTr="00943338" w14:paraId="74018A6A" w14:textId="77777777">
        <w:trPr>
          <w:cantSplit/>
          <w:trHeight w:val="1200"/>
        </w:trPr>
        <w:tc>
          <w:tcPr>
            <w:tcW w:w="2443" w:type="dxa"/>
            <w:tcBorders>
              <w:top w:val="single" w:color="auto" w:sz="6" w:space="0"/>
              <w:left w:val="single" w:color="auto" w:sz="6" w:space="0"/>
              <w:bottom w:val="single" w:color="auto" w:sz="6" w:space="0"/>
            </w:tcBorders>
          </w:tcPr>
          <w:p w:rsidRPr="00E25790" w:rsidR="00E14174" w:rsidP="006F0321" w:rsidRDefault="00E14174" w14:paraId="47ABF9CD" w14:textId="77777777">
            <w:r w:rsidRPr="00E25790">
              <w:t>Indication :</w:t>
            </w:r>
          </w:p>
        </w:tc>
        <w:tc>
          <w:tcPr>
            <w:tcW w:w="6480" w:type="dxa"/>
            <w:tcBorders>
              <w:top w:val="single" w:color="auto" w:sz="6" w:space="0"/>
              <w:bottom w:val="single" w:color="auto" w:sz="6" w:space="0"/>
              <w:right w:val="single" w:color="auto" w:sz="6" w:space="0"/>
            </w:tcBorders>
          </w:tcPr>
          <w:p w:rsidR="0024218E" w:rsidP="006F0321" w:rsidRDefault="00E14174" w14:paraId="6F9E809C" w14:textId="77777777">
            <w:r w:rsidRPr="00E25790">
              <w:t xml:space="preserve">Prevention of Varicella infection in babies or young infants with family contacts recently developing chicken pox or shingles.  </w:t>
            </w:r>
          </w:p>
          <w:p w:rsidRPr="00E25790" w:rsidR="00E14174" w:rsidP="006F0321" w:rsidRDefault="0024218E" w14:paraId="2B9AFDA6" w14:textId="3547DFE8">
            <w:r w:rsidRPr="0024218E">
              <w:t>Post exposure prophylaxis for babies of mothers who have developed chicken pox from 7 days prior to 7 days after delivery.</w:t>
            </w:r>
          </w:p>
        </w:tc>
      </w:tr>
      <w:tr w:rsidRPr="00E25790" w:rsidR="00E14174" w:rsidTr="00943338" w14:paraId="54C9F07C"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7A27FECA" w14:textId="77777777">
            <w:r w:rsidRPr="00E25790">
              <w:t>Dose :</w:t>
            </w:r>
          </w:p>
        </w:tc>
        <w:tc>
          <w:tcPr>
            <w:tcW w:w="6480" w:type="dxa"/>
            <w:tcBorders>
              <w:top w:val="single" w:color="auto" w:sz="6" w:space="0"/>
              <w:bottom w:val="single" w:color="auto" w:sz="6" w:space="0"/>
              <w:right w:val="single" w:color="auto" w:sz="6" w:space="0"/>
            </w:tcBorders>
          </w:tcPr>
          <w:p w:rsidR="00E14174" w:rsidP="006F0321" w:rsidRDefault="00E14174" w14:paraId="4C3868D4" w14:textId="77777777">
            <w:r w:rsidRPr="00E25790">
              <w:t>125 IU</w:t>
            </w:r>
          </w:p>
          <w:p w:rsidRPr="00E25790" w:rsidR="00493D80" w:rsidP="006F0321" w:rsidRDefault="00493D80" w14:paraId="6B667601" w14:textId="7DA66B7E">
            <w:r>
              <w:t>62.5 IU in patients weighing less than 2 kg</w:t>
            </w:r>
          </w:p>
        </w:tc>
      </w:tr>
      <w:tr w:rsidRPr="00E25790" w:rsidR="00E14174" w:rsidTr="00943338" w14:paraId="5B960DFB"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621BA315" w14:textId="77777777">
            <w:r w:rsidRPr="00E25790">
              <w:t>Interval :</w:t>
            </w:r>
          </w:p>
        </w:tc>
        <w:tc>
          <w:tcPr>
            <w:tcW w:w="6480" w:type="dxa"/>
            <w:tcBorders>
              <w:top w:val="single" w:color="auto" w:sz="6" w:space="0"/>
              <w:bottom w:val="single" w:color="auto" w:sz="6" w:space="0"/>
              <w:right w:val="single" w:color="auto" w:sz="6" w:space="0"/>
            </w:tcBorders>
          </w:tcPr>
          <w:p w:rsidRPr="00E25790" w:rsidR="00E14174" w:rsidP="006F0321" w:rsidRDefault="00E14174" w14:paraId="594C34E5" w14:textId="77777777">
            <w:r w:rsidRPr="00E25790">
              <w:t>Once only, but the dose may be repeated if a second exposure occurs more than 3 weeks after the first dose.</w:t>
            </w:r>
          </w:p>
        </w:tc>
      </w:tr>
      <w:tr w:rsidRPr="00E25790" w:rsidR="00E14174" w:rsidTr="00943338" w14:paraId="714563EA"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26A33964" w14:textId="77777777">
            <w:r w:rsidRPr="00E25790">
              <w:t>Route :</w:t>
            </w:r>
          </w:p>
        </w:tc>
        <w:tc>
          <w:tcPr>
            <w:tcW w:w="6480" w:type="dxa"/>
            <w:tcBorders>
              <w:top w:val="single" w:color="auto" w:sz="6" w:space="0"/>
              <w:bottom w:val="single" w:color="auto" w:sz="6" w:space="0"/>
              <w:right w:val="single" w:color="auto" w:sz="6" w:space="0"/>
            </w:tcBorders>
          </w:tcPr>
          <w:p w:rsidRPr="00E25790" w:rsidR="00E14174" w:rsidP="006F0321" w:rsidRDefault="00E14174" w14:paraId="5EDD77AF" w14:textId="77777777">
            <w:r w:rsidRPr="00E25790">
              <w:t>I.M.</w:t>
            </w:r>
          </w:p>
        </w:tc>
      </w:tr>
      <w:tr w:rsidRPr="00E25790" w:rsidR="00E14174" w:rsidTr="00943338" w14:paraId="7DB95DBB"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0E170511" w14:textId="77777777">
            <w:r w:rsidRPr="00E25790">
              <w:t>Total Daily Dose :</w:t>
            </w:r>
          </w:p>
        </w:tc>
        <w:tc>
          <w:tcPr>
            <w:tcW w:w="6480" w:type="dxa"/>
            <w:tcBorders>
              <w:top w:val="single" w:color="auto" w:sz="6" w:space="0"/>
              <w:bottom w:val="single" w:color="auto" w:sz="6" w:space="0"/>
              <w:right w:val="single" w:color="auto" w:sz="6" w:space="0"/>
            </w:tcBorders>
          </w:tcPr>
          <w:p w:rsidRPr="00E25790" w:rsidR="00E14174" w:rsidP="006F0321" w:rsidRDefault="00E14174" w14:paraId="242A16CC" w14:textId="77777777"/>
        </w:tc>
      </w:tr>
      <w:tr w:rsidRPr="00E25790" w:rsidR="00E14174" w:rsidTr="00943338" w14:paraId="4346F42B" w14:textId="77777777">
        <w:trPr>
          <w:cantSplit/>
          <w:trHeight w:val="1200"/>
        </w:trPr>
        <w:tc>
          <w:tcPr>
            <w:tcW w:w="2443" w:type="dxa"/>
            <w:tcBorders>
              <w:top w:val="single" w:color="auto" w:sz="6" w:space="0"/>
              <w:left w:val="single" w:color="auto" w:sz="6" w:space="0"/>
              <w:bottom w:val="single" w:color="auto" w:sz="6" w:space="0"/>
            </w:tcBorders>
          </w:tcPr>
          <w:p w:rsidRPr="00E25790" w:rsidR="00E14174" w:rsidP="006F0321" w:rsidRDefault="00E14174" w14:paraId="4B4DD607" w14:textId="77777777">
            <w:r w:rsidRPr="00E25790">
              <w:t>Comments :</w:t>
            </w:r>
          </w:p>
        </w:tc>
        <w:tc>
          <w:tcPr>
            <w:tcW w:w="6480" w:type="dxa"/>
            <w:tcBorders>
              <w:top w:val="single" w:color="auto" w:sz="6" w:space="0"/>
              <w:bottom w:val="single" w:color="auto" w:sz="6" w:space="0"/>
              <w:right w:val="single" w:color="auto" w:sz="6" w:space="0"/>
            </w:tcBorders>
          </w:tcPr>
          <w:p w:rsidR="004F15AF" w:rsidP="006F0321" w:rsidRDefault="004F15AF" w14:paraId="5CD10F1A" w14:textId="1DA4A6D4">
            <w:r>
              <w:t xml:space="preserve">- </w:t>
            </w:r>
            <w:r w:rsidRPr="00E25790" w:rsidR="00E14174">
              <w:t xml:space="preserve">Not useful in the management of established infection. </w:t>
            </w:r>
          </w:p>
          <w:p w:rsidR="00E14174" w:rsidP="006F0321" w:rsidRDefault="004F15AF" w14:paraId="0A568994" w14:textId="47133198">
            <w:r>
              <w:t xml:space="preserve">- </w:t>
            </w:r>
            <w:r w:rsidRPr="00E25790" w:rsidR="00E14174">
              <w:t>ZIG must be given as early as possible in the incubation period within 96 hours of exposure if possible</w:t>
            </w:r>
            <w:r w:rsidR="008535C8">
              <w:t xml:space="preserve"> but may be given up to 10 days post exposure.</w:t>
            </w:r>
          </w:p>
          <w:p w:rsidR="004F15AF" w:rsidP="006F0321" w:rsidRDefault="004F15AF" w14:paraId="4A897716" w14:textId="40C81177">
            <w:r>
              <w:t>- Side effects include Injection site pain, fever, vomiting, rash, fatigue and sweating</w:t>
            </w:r>
          </w:p>
          <w:p w:rsidRPr="00E25790" w:rsidR="004F15AF" w:rsidP="006F0321" w:rsidRDefault="004F15AF" w14:paraId="0418B791" w14:textId="00AD104A"/>
        </w:tc>
      </w:tr>
      <w:tr w:rsidRPr="00E25790" w:rsidR="00E14174" w:rsidTr="00943338" w14:paraId="70AD4F2A"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1411DBD5" w14:textId="77777777">
            <w:r w:rsidRPr="00E25790">
              <w:t>Supplied as :</w:t>
            </w:r>
          </w:p>
        </w:tc>
        <w:tc>
          <w:tcPr>
            <w:tcW w:w="6480" w:type="dxa"/>
            <w:tcBorders>
              <w:top w:val="single" w:color="auto" w:sz="6" w:space="0"/>
              <w:bottom w:val="single" w:color="auto" w:sz="6" w:space="0"/>
              <w:right w:val="single" w:color="auto" w:sz="6" w:space="0"/>
            </w:tcBorders>
          </w:tcPr>
          <w:p w:rsidRPr="00E25790" w:rsidR="00E14174" w:rsidP="006F0321" w:rsidRDefault="00E14174" w14:paraId="0C2B356D" w14:textId="77777777">
            <w:r w:rsidRPr="00E25790">
              <w:t>ZIG - CSL. Available from blood bank.</w:t>
            </w:r>
          </w:p>
        </w:tc>
      </w:tr>
      <w:tr w:rsidRPr="00E25790" w:rsidR="00E14174" w:rsidTr="00943338" w14:paraId="3D629380" w14:textId="77777777">
        <w:trPr>
          <w:cantSplit/>
          <w:trHeight w:val="960"/>
        </w:trPr>
        <w:tc>
          <w:tcPr>
            <w:tcW w:w="2443" w:type="dxa"/>
            <w:tcBorders>
              <w:top w:val="single" w:color="auto" w:sz="6" w:space="0"/>
              <w:left w:val="single" w:color="auto" w:sz="6" w:space="0"/>
              <w:bottom w:val="single" w:color="auto" w:sz="6" w:space="0"/>
            </w:tcBorders>
          </w:tcPr>
          <w:p w:rsidRPr="00E25790" w:rsidR="00E14174" w:rsidP="006F0321" w:rsidRDefault="00E14174" w14:paraId="43C303C8" w14:textId="77777777">
            <w:r w:rsidRPr="00E25790">
              <w:t>Dilution :</w:t>
            </w:r>
          </w:p>
        </w:tc>
        <w:tc>
          <w:tcPr>
            <w:tcW w:w="6480" w:type="dxa"/>
            <w:tcBorders>
              <w:top w:val="single" w:color="auto" w:sz="6" w:space="0"/>
              <w:bottom w:val="single" w:color="auto" w:sz="6" w:space="0"/>
              <w:right w:val="single" w:color="auto" w:sz="6" w:space="0"/>
            </w:tcBorders>
          </w:tcPr>
          <w:p w:rsidRPr="00E25790" w:rsidR="00E14174" w:rsidP="006F0321" w:rsidRDefault="00E14174" w14:paraId="2B74DD82" w14:textId="77777777">
            <w:r w:rsidRPr="00E25790">
              <w:t>Nil.</w:t>
            </w:r>
          </w:p>
        </w:tc>
      </w:tr>
      <w:tr w:rsidRPr="00E25790" w:rsidR="00E14174" w:rsidTr="00943338" w14:paraId="57926D57"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09C17616" w14:textId="77777777">
            <w:r w:rsidRPr="00E25790">
              <w:t>Stability :</w:t>
            </w:r>
          </w:p>
        </w:tc>
        <w:tc>
          <w:tcPr>
            <w:tcW w:w="6480" w:type="dxa"/>
            <w:tcBorders>
              <w:top w:val="single" w:color="auto" w:sz="6" w:space="0"/>
              <w:bottom w:val="single" w:color="auto" w:sz="6" w:space="0"/>
              <w:right w:val="single" w:color="auto" w:sz="6" w:space="0"/>
            </w:tcBorders>
          </w:tcPr>
          <w:p w:rsidRPr="00E25790" w:rsidR="00E14174" w:rsidP="006F0321" w:rsidRDefault="00046681" w14:paraId="5DDBE2A3" w14:textId="30C6195E">
            <w:r>
              <w:t>After reconstitution, may be stored for up to 12 hours under refrigeration.</w:t>
            </w:r>
          </w:p>
        </w:tc>
      </w:tr>
      <w:tr w:rsidRPr="00E25790" w:rsidR="00E14174" w:rsidTr="00943338" w14:paraId="2B497221"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2779928D" w14:textId="77777777">
            <w:r w:rsidRPr="00E25790">
              <w:t>Storage :</w:t>
            </w:r>
          </w:p>
        </w:tc>
        <w:tc>
          <w:tcPr>
            <w:tcW w:w="6480" w:type="dxa"/>
            <w:tcBorders>
              <w:top w:val="single" w:color="auto" w:sz="6" w:space="0"/>
              <w:bottom w:val="single" w:color="auto" w:sz="6" w:space="0"/>
              <w:right w:val="single" w:color="auto" w:sz="6" w:space="0"/>
            </w:tcBorders>
          </w:tcPr>
          <w:p w:rsidR="00246CB0" w:rsidP="00246CB0" w:rsidRDefault="00246CB0" w14:paraId="220950F2" w14:textId="77777777">
            <w:r w:rsidRPr="00E25790">
              <w:t>Refrigerate at 2 - 8</w:t>
            </w:r>
            <w:r w:rsidRPr="00E25790">
              <w:rPr>
                <w:position w:val="6"/>
              </w:rPr>
              <w:t>o</w:t>
            </w:r>
            <w:r w:rsidRPr="00E25790">
              <w:t xml:space="preserve">C. </w:t>
            </w:r>
            <w:r w:rsidRPr="00E25790">
              <w:rPr>
                <w:b/>
              </w:rPr>
              <w:t>Do not freeze</w:t>
            </w:r>
            <w:r w:rsidRPr="00E25790">
              <w:t>. Protect from light.</w:t>
            </w:r>
          </w:p>
          <w:p w:rsidRPr="00E25790" w:rsidR="00E14174" w:rsidP="00246CB0" w:rsidRDefault="00246CB0" w14:paraId="7DF7ECEE" w14:textId="5A731267">
            <w:r>
              <w:t>Bring to room temperature before deep intramuscular administration.</w:t>
            </w:r>
          </w:p>
        </w:tc>
      </w:tr>
      <w:tr w:rsidRPr="00E25790" w:rsidR="00E14174" w:rsidTr="00943338" w14:paraId="158AFBF2"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3BAC25A5" w14:textId="77777777">
            <w:r w:rsidRPr="00E25790">
              <w:t>Incompatibility :</w:t>
            </w:r>
          </w:p>
        </w:tc>
        <w:tc>
          <w:tcPr>
            <w:tcW w:w="6480" w:type="dxa"/>
            <w:tcBorders>
              <w:top w:val="single" w:color="auto" w:sz="6" w:space="0"/>
              <w:bottom w:val="single" w:color="auto" w:sz="6" w:space="0"/>
              <w:right w:val="single" w:color="auto" w:sz="6" w:space="0"/>
            </w:tcBorders>
          </w:tcPr>
          <w:p w:rsidRPr="00E25790" w:rsidR="00E14174" w:rsidP="006F0321" w:rsidRDefault="00246CB0" w14:paraId="562CF39F" w14:textId="271AC826">
            <w:r>
              <w:t>NA</w:t>
            </w:r>
          </w:p>
        </w:tc>
      </w:tr>
      <w:tr w:rsidRPr="00E25790" w:rsidR="00E14174" w:rsidTr="00943338" w14:paraId="6721067A" w14:textId="77777777">
        <w:trPr>
          <w:cantSplit/>
          <w:trHeight w:val="480"/>
        </w:trPr>
        <w:tc>
          <w:tcPr>
            <w:tcW w:w="2443" w:type="dxa"/>
            <w:tcBorders>
              <w:top w:val="single" w:color="auto" w:sz="6" w:space="0"/>
              <w:left w:val="single" w:color="auto" w:sz="6" w:space="0"/>
              <w:bottom w:val="single" w:color="auto" w:sz="6" w:space="0"/>
            </w:tcBorders>
          </w:tcPr>
          <w:p w:rsidRPr="00E25790" w:rsidR="00E14174" w:rsidP="006F0321" w:rsidRDefault="00E14174" w14:paraId="0FF03CF2" w14:textId="77777777">
            <w:r w:rsidRPr="00E25790">
              <w:t>Serum Levels :</w:t>
            </w:r>
          </w:p>
        </w:tc>
        <w:tc>
          <w:tcPr>
            <w:tcW w:w="6480" w:type="dxa"/>
            <w:tcBorders>
              <w:top w:val="single" w:color="auto" w:sz="6" w:space="0"/>
              <w:bottom w:val="single" w:color="auto" w:sz="6" w:space="0"/>
              <w:right w:val="single" w:color="auto" w:sz="6" w:space="0"/>
            </w:tcBorders>
          </w:tcPr>
          <w:p w:rsidRPr="00E25790" w:rsidR="00E14174" w:rsidP="006F0321" w:rsidRDefault="00246CB0" w14:paraId="0E5ED514" w14:textId="39F38271">
            <w:r>
              <w:t>NA</w:t>
            </w:r>
          </w:p>
        </w:tc>
      </w:tr>
      <w:tr w:rsidRPr="00E25790" w:rsidR="000B2BA3" w:rsidTr="00943338" w14:paraId="5C2EBA63" w14:textId="77777777">
        <w:trPr>
          <w:cantSplit/>
          <w:trHeight w:val="480"/>
        </w:trPr>
        <w:tc>
          <w:tcPr>
            <w:tcW w:w="2443" w:type="dxa"/>
            <w:tcBorders>
              <w:top w:val="single" w:color="auto" w:sz="6" w:space="0"/>
              <w:left w:val="single" w:color="auto" w:sz="6" w:space="0"/>
              <w:bottom w:val="single" w:color="auto" w:sz="6" w:space="0"/>
            </w:tcBorders>
          </w:tcPr>
          <w:p w:rsidRPr="00E25790" w:rsidR="000B2BA3" w:rsidP="000B2BA3" w:rsidRDefault="000B2BA3" w14:paraId="14A7F04F" w14:textId="7A555260">
            <w:r>
              <w:lastRenderedPageBreak/>
              <w:t xml:space="preserve">References: </w:t>
            </w:r>
          </w:p>
        </w:tc>
        <w:tc>
          <w:tcPr>
            <w:tcW w:w="6480" w:type="dxa"/>
            <w:tcBorders>
              <w:top w:val="single" w:color="auto" w:sz="6" w:space="0"/>
              <w:bottom w:val="single" w:color="auto" w:sz="6" w:space="0"/>
              <w:right w:val="single" w:color="auto" w:sz="6" w:space="0"/>
            </w:tcBorders>
          </w:tcPr>
          <w:p w:rsidRPr="000B2BA3" w:rsidR="000B2BA3" w:rsidP="000B2BA3" w:rsidRDefault="000B2BA3" w14:paraId="0D674738" w14:textId="290E4F87">
            <w:pPr>
              <w:rPr>
                <w:rFonts w:cs="Calibri"/>
                <w:color w:val="212121"/>
                <w:sz w:val="16"/>
                <w:szCs w:val="16"/>
                <w:shd w:val="clear" w:color="auto" w:fill="FFFFFF"/>
              </w:rPr>
            </w:pPr>
            <w:r w:rsidRPr="000B2BA3">
              <w:rPr>
                <w:rFonts w:cs="Calibri"/>
                <w:sz w:val="16"/>
                <w:szCs w:val="16"/>
              </w:rPr>
              <w:t xml:space="preserve">1. </w:t>
            </w:r>
            <w:r w:rsidRPr="000B2BA3">
              <w:rPr>
                <w:rFonts w:cs="Calibri"/>
                <w:color w:val="212121"/>
                <w:sz w:val="16"/>
                <w:szCs w:val="16"/>
                <w:shd w:val="clear" w:color="auto" w:fill="FFFFFF"/>
              </w:rPr>
              <w:t>Levin MJ, Duchon JM, Swamy GK, Gershon AA. Varicella zoster immune globulin (VARIZIG) administration up to 10 days after varicella exposure in pregnant women, immunocompromised participants, and infants: Varicella outcomes and safety results from a large, open-label, expanded-access program. PLoS One. 2019 Jul 3;14(7):e0217749. doi: 10.1371/journal.pone.0217749. PMID: 31269033; PMCID: PMC6608934.</w:t>
            </w:r>
          </w:p>
          <w:p w:rsidRPr="000B2BA3" w:rsidR="000B2BA3" w:rsidP="000B2BA3" w:rsidRDefault="000B2BA3" w14:paraId="4E23D9FA" w14:textId="77777777">
            <w:pPr>
              <w:rPr>
                <w:rFonts w:cs="Calibri"/>
                <w:color w:val="212121"/>
                <w:sz w:val="16"/>
                <w:szCs w:val="16"/>
                <w:shd w:val="clear" w:color="auto" w:fill="FFFFFF"/>
              </w:rPr>
            </w:pPr>
          </w:p>
          <w:p w:rsidRPr="000B2BA3" w:rsidR="000B2BA3" w:rsidP="000B2BA3" w:rsidRDefault="000B2BA3" w14:paraId="506E3338" w14:textId="250DA3D8">
            <w:pPr>
              <w:rPr>
                <w:rFonts w:cs="Calibri"/>
                <w:color w:val="212121"/>
                <w:sz w:val="16"/>
                <w:szCs w:val="16"/>
                <w:shd w:val="clear" w:color="auto" w:fill="FFFFFF"/>
              </w:rPr>
            </w:pPr>
            <w:r w:rsidRPr="000B2BA3">
              <w:rPr>
                <w:rFonts w:cs="Calibri"/>
                <w:color w:val="212121"/>
                <w:sz w:val="16"/>
                <w:szCs w:val="16"/>
                <w:shd w:val="clear" w:color="auto" w:fill="FFFFFF"/>
              </w:rPr>
              <w:t>2. Tebruegge M, Pantazidou A, Curtis N. Towards evidence based medicine for paediatricians. How effective is varicella-zoster immunoglobulin (VZIG) in preventing chickenpox in neonates following perinatal exposure? Arch Dis Child. 2009 Jul;94(7):559-61. doi: 10.1136/adc.2008.154542. PMID: 19542068.</w:t>
            </w:r>
          </w:p>
          <w:p w:rsidRPr="000B2BA3" w:rsidR="000B2BA3" w:rsidP="000B2BA3" w:rsidRDefault="000B2BA3" w14:paraId="2EAFDEA9" w14:textId="77777777">
            <w:pPr>
              <w:rPr>
                <w:rFonts w:cs="Calibri"/>
                <w:color w:val="212121"/>
                <w:sz w:val="16"/>
                <w:szCs w:val="16"/>
                <w:shd w:val="clear" w:color="auto" w:fill="FFFFFF"/>
              </w:rPr>
            </w:pPr>
          </w:p>
          <w:p w:rsidRPr="000B2BA3" w:rsidR="000B2BA3" w:rsidP="000B2BA3" w:rsidRDefault="000B2BA3" w14:paraId="2BFDC1C7" w14:textId="175358FB">
            <w:pPr>
              <w:rPr>
                <w:rFonts w:cs="Calibri"/>
                <w:sz w:val="16"/>
                <w:szCs w:val="16"/>
              </w:rPr>
            </w:pPr>
            <w:r w:rsidRPr="000B2BA3">
              <w:rPr>
                <w:rFonts w:cs="Calibri"/>
                <w:sz w:val="16"/>
                <w:szCs w:val="16"/>
              </w:rPr>
              <w:t xml:space="preserve">3. South Australian Neonatal Medication Guidelines </w:t>
            </w:r>
          </w:p>
          <w:p w:rsidRPr="000B2BA3" w:rsidR="000B2BA3" w:rsidP="000B2BA3" w:rsidRDefault="000B2BA3" w14:paraId="40FFB49A" w14:textId="77777777">
            <w:pPr>
              <w:rPr>
                <w:rFonts w:cs="Calibri"/>
                <w:sz w:val="16"/>
                <w:szCs w:val="16"/>
              </w:rPr>
            </w:pPr>
          </w:p>
          <w:p w:rsidRPr="000B2BA3" w:rsidR="000B2BA3" w:rsidP="000B2BA3" w:rsidRDefault="000B2BA3" w14:paraId="2CC05276" w14:textId="738961E8">
            <w:pPr>
              <w:rPr>
                <w:rFonts w:cs="Calibri"/>
                <w:sz w:val="16"/>
                <w:szCs w:val="16"/>
              </w:rPr>
            </w:pPr>
            <w:r w:rsidRPr="000B2BA3">
              <w:rPr>
                <w:rFonts w:cs="Calibri"/>
                <w:sz w:val="16"/>
                <w:szCs w:val="16"/>
              </w:rPr>
              <w:t>4. UpToDate -Varicella-Zoster Immune Globulin (Human) Drug Information</w:t>
            </w:r>
          </w:p>
          <w:p w:rsidRPr="00E25790" w:rsidR="000B2BA3" w:rsidP="000B2BA3" w:rsidRDefault="000B2BA3" w14:paraId="09BABE99" w14:textId="77777777"/>
        </w:tc>
      </w:tr>
    </w:tbl>
    <w:p w:rsidRPr="00E25790" w:rsidR="00115F48" w:rsidP="006F0321" w:rsidRDefault="00115F48" w14:paraId="79026895" w14:textId="77777777"/>
    <w:p w:rsidR="000B2BA3" w:rsidP="006F0321" w:rsidRDefault="000B2BA3" w14:paraId="0F32CBAA" w14:textId="77777777"/>
    <w:p w:rsidR="000B2BA3" w:rsidP="006F0321" w:rsidRDefault="000B2BA3" w14:paraId="059674A8" w14:textId="77777777"/>
    <w:p w:rsidR="000B2BA3" w:rsidP="006F0321" w:rsidRDefault="000B2BA3" w14:paraId="17B17A61" w14:textId="77777777"/>
    <w:tbl>
      <w:tblPr>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192"/>
        <w:gridCol w:w="4770"/>
      </w:tblGrid>
      <w:tr w:rsidRPr="00800118" w:rsidR="0020431B" w:rsidTr="00665A17" w14:paraId="204C78A2" w14:textId="77777777">
        <w:tc>
          <w:tcPr>
            <w:tcW w:w="4192" w:type="dxa"/>
            <w:vAlign w:val="center"/>
          </w:tcPr>
          <w:p w:rsidRPr="00800118" w:rsidR="00251FF9" w:rsidP="0059793A" w:rsidRDefault="00251FF9" w14:paraId="59E46A42" w14:textId="1A68BD5A">
            <w:pPr>
              <w:rPr>
                <w:lang w:val="en-AU"/>
              </w:rPr>
            </w:pPr>
            <w:r w:rsidRPr="00800118">
              <w:rPr>
                <w:lang w:val="en-AU"/>
              </w:rPr>
              <w:t xml:space="preserve">Original version Date: </w:t>
            </w:r>
            <w:r>
              <w:rPr>
                <w:lang w:val="en-AU"/>
              </w:rPr>
              <w:t>2014</w:t>
            </w:r>
          </w:p>
        </w:tc>
        <w:tc>
          <w:tcPr>
            <w:tcW w:w="4770" w:type="dxa"/>
            <w:vAlign w:val="center"/>
          </w:tcPr>
          <w:p w:rsidRPr="00800118" w:rsidR="00251FF9" w:rsidP="0059793A" w:rsidRDefault="00251FF9" w14:paraId="2ACD47E9" w14:textId="20936FF9">
            <w:pPr>
              <w:rPr>
                <w:lang w:val="en-AU"/>
              </w:rPr>
            </w:pPr>
            <w:r w:rsidRPr="00800118">
              <w:rPr>
                <w:lang w:val="en-AU"/>
              </w:rPr>
              <w:t xml:space="preserve">Author: </w:t>
            </w:r>
            <w:r>
              <w:rPr>
                <w:lang w:val="en-AU"/>
              </w:rPr>
              <w:t>DD</w:t>
            </w:r>
          </w:p>
        </w:tc>
      </w:tr>
      <w:tr w:rsidRPr="00800118" w:rsidR="0020431B" w:rsidTr="00665A17" w14:paraId="6D0D5B2D" w14:textId="77777777">
        <w:tc>
          <w:tcPr>
            <w:tcW w:w="4192" w:type="dxa"/>
            <w:vAlign w:val="center"/>
          </w:tcPr>
          <w:p w:rsidRPr="00800118" w:rsidR="00251FF9" w:rsidP="0059793A" w:rsidRDefault="00251FF9" w14:paraId="30BCA12A" w14:textId="77777777">
            <w:pPr>
              <w:rPr>
                <w:bCs/>
                <w:lang w:val="en-AU"/>
              </w:rPr>
            </w:pPr>
            <w:r w:rsidRPr="00800118">
              <w:rPr>
                <w:lang w:val="en-AU"/>
              </w:rPr>
              <w:t>Current Version number:  2.0</w:t>
            </w:r>
          </w:p>
        </w:tc>
        <w:tc>
          <w:tcPr>
            <w:tcW w:w="4770" w:type="dxa"/>
            <w:vAlign w:val="center"/>
          </w:tcPr>
          <w:p w:rsidRPr="00800118" w:rsidR="00251FF9" w:rsidP="0059793A" w:rsidRDefault="00251FF9" w14:paraId="4F7F9895" w14:textId="672F25C3">
            <w:pPr>
              <w:rPr>
                <w:lang w:val="en-AU"/>
              </w:rPr>
            </w:pPr>
            <w:r w:rsidRPr="00800118">
              <w:rPr>
                <w:lang w:val="en-AU"/>
              </w:rPr>
              <w:t xml:space="preserve">Version Date:  </w:t>
            </w:r>
            <w:r w:rsidR="00820CF1">
              <w:rPr>
                <w:lang w:val="en-AU"/>
              </w:rPr>
              <w:t>1/3/2021</w:t>
            </w:r>
          </w:p>
        </w:tc>
      </w:tr>
      <w:tr w:rsidRPr="00800118" w:rsidR="0020431B" w:rsidTr="00665A17" w14:paraId="3F9A9BFD" w14:textId="77777777">
        <w:tc>
          <w:tcPr>
            <w:tcW w:w="4192" w:type="dxa"/>
            <w:vAlign w:val="center"/>
          </w:tcPr>
          <w:p w:rsidRPr="00800118" w:rsidR="00251FF9" w:rsidP="0059793A" w:rsidRDefault="00251FF9" w14:paraId="346FBF64" w14:textId="44487EE6">
            <w:pPr>
              <w:rPr>
                <w:lang w:val="en-AU"/>
              </w:rPr>
            </w:pPr>
            <w:r w:rsidRPr="00800118">
              <w:rPr>
                <w:lang w:val="en-AU"/>
              </w:rPr>
              <w:t xml:space="preserve">Risk Rating: </w:t>
            </w:r>
            <w:r w:rsidR="00820CF1">
              <w:rPr>
                <w:lang w:val="en-AU"/>
              </w:rPr>
              <w:t>Low</w:t>
            </w:r>
          </w:p>
        </w:tc>
        <w:tc>
          <w:tcPr>
            <w:tcW w:w="4770" w:type="dxa"/>
            <w:vAlign w:val="center"/>
          </w:tcPr>
          <w:p w:rsidRPr="00800118" w:rsidR="00251FF9" w:rsidP="0059793A" w:rsidRDefault="00251FF9" w14:paraId="3E0E247D" w14:textId="2705C9A6">
            <w:pPr>
              <w:rPr>
                <w:lang w:val="en-AU"/>
              </w:rPr>
            </w:pPr>
            <w:r w:rsidRPr="00800118">
              <w:rPr>
                <w:lang w:val="en-AU"/>
              </w:rPr>
              <w:t xml:space="preserve">Due for Review:  </w:t>
            </w:r>
            <w:r>
              <w:rPr>
                <w:lang w:val="en-AU"/>
              </w:rPr>
              <w:t>16/11/202</w:t>
            </w:r>
            <w:r w:rsidR="00820CF1">
              <w:rPr>
                <w:lang w:val="en-AU"/>
              </w:rPr>
              <w:t>6</w:t>
            </w:r>
          </w:p>
        </w:tc>
      </w:tr>
      <w:tr w:rsidRPr="00800118" w:rsidR="007A0A41" w:rsidTr="00665A17" w14:paraId="206915F6" w14:textId="77777777">
        <w:trPr>
          <w:trHeight w:val="344"/>
        </w:trPr>
        <w:tc>
          <w:tcPr>
            <w:tcW w:w="4192" w:type="dxa"/>
            <w:tcBorders>
              <w:bottom w:val="single" w:color="auto" w:sz="4" w:space="0"/>
            </w:tcBorders>
            <w:vAlign w:val="center"/>
          </w:tcPr>
          <w:p w:rsidRPr="00800118" w:rsidR="00251FF9" w:rsidP="0059793A" w:rsidRDefault="00251FF9" w14:paraId="295F04D0" w14:textId="77777777">
            <w:pPr>
              <w:rPr>
                <w:lang w:val="en-AU"/>
              </w:rPr>
            </w:pPr>
            <w:r w:rsidRPr="00800118">
              <w:rPr>
                <w:lang w:val="en-AU"/>
              </w:rPr>
              <w:t xml:space="preserve">Approved by: </w:t>
            </w:r>
            <w:r>
              <w:rPr>
                <w:lang w:val="en-AU"/>
              </w:rPr>
              <w:t>DTC</w:t>
            </w:r>
          </w:p>
        </w:tc>
        <w:tc>
          <w:tcPr>
            <w:tcW w:w="4770" w:type="dxa"/>
            <w:tcBorders>
              <w:bottom w:val="single" w:color="auto" w:sz="4" w:space="0"/>
            </w:tcBorders>
            <w:vAlign w:val="center"/>
          </w:tcPr>
          <w:p w:rsidRPr="00800118" w:rsidR="00251FF9" w:rsidP="0059793A" w:rsidRDefault="00251FF9" w14:paraId="3D48797A" w14:textId="74E7806F">
            <w:pPr>
              <w:rPr>
                <w:lang w:val="en-AU"/>
              </w:rPr>
            </w:pPr>
            <w:r w:rsidRPr="00800118">
              <w:rPr>
                <w:lang w:val="en-AU"/>
              </w:rPr>
              <w:t xml:space="preserve">Approval Date: </w:t>
            </w:r>
            <w:r w:rsidR="00260BC8">
              <w:rPr>
                <w:lang w:val="en-AU"/>
              </w:rPr>
              <w:t>APRIL 2021</w:t>
            </w:r>
          </w:p>
        </w:tc>
      </w:tr>
    </w:tbl>
    <w:p w:rsidR="000B2BA3" w:rsidP="006F0321" w:rsidRDefault="000B2BA3" w14:paraId="27400A11" w14:textId="77777777"/>
    <w:p w:rsidR="000B2BA3" w:rsidP="006F0321" w:rsidRDefault="000B2BA3" w14:paraId="45346CFD" w14:textId="77777777"/>
    <w:p w:rsidR="000B2BA3" w:rsidP="006F0321" w:rsidRDefault="000B2BA3" w14:paraId="2628DB20" w14:textId="77777777"/>
    <w:p w:rsidR="000B2BA3" w:rsidP="006F0321" w:rsidRDefault="000B2BA3" w14:paraId="13BD0B6C" w14:textId="77777777"/>
    <w:p w:rsidR="000B2BA3" w:rsidP="006F0321" w:rsidRDefault="000B2BA3" w14:paraId="0625F91E" w14:textId="77777777"/>
    <w:p w:rsidR="000B2BA3" w:rsidP="006F0321" w:rsidRDefault="000B2BA3" w14:paraId="216BDF8D" w14:textId="77777777"/>
    <w:p w:rsidR="000B2BA3" w:rsidP="006F0321" w:rsidRDefault="000B2BA3" w14:paraId="3E334038" w14:textId="77777777"/>
    <w:p w:rsidR="000B2BA3" w:rsidP="006F0321" w:rsidRDefault="000B2BA3" w14:paraId="0224094A" w14:textId="77777777"/>
    <w:p w:rsidR="000B2BA3" w:rsidP="006F0321" w:rsidRDefault="000B2BA3" w14:paraId="7AAB0E18" w14:textId="77777777"/>
    <w:p w:rsidR="000B2BA3" w:rsidP="006F0321" w:rsidRDefault="000B2BA3" w14:paraId="700CE0B1" w14:textId="77777777"/>
    <w:p w:rsidR="000B2BA3" w:rsidP="006F0321" w:rsidRDefault="000B2BA3" w14:paraId="6FDEEB93" w14:textId="77777777"/>
    <w:p w:rsidR="000B2BA3" w:rsidP="006F0321" w:rsidRDefault="000B2BA3" w14:paraId="64C6E429" w14:textId="77777777"/>
    <w:p w:rsidR="000B2BA3" w:rsidP="006F0321" w:rsidRDefault="000B2BA3" w14:paraId="56C45682" w14:textId="77777777"/>
    <w:p w:rsidR="000B2BA3" w:rsidP="006F0321" w:rsidRDefault="000B2BA3" w14:paraId="02DD84A6" w14:textId="77777777"/>
    <w:p w:rsidR="000B2BA3" w:rsidP="006F0321" w:rsidRDefault="000B2BA3" w14:paraId="5365656C" w14:textId="77777777"/>
    <w:p w:rsidR="000B2BA3" w:rsidP="006F0321" w:rsidRDefault="000B2BA3" w14:paraId="7746C7BB" w14:textId="77777777"/>
    <w:p w:rsidR="000B2BA3" w:rsidP="006F0321" w:rsidRDefault="000B2BA3" w14:paraId="6C66AAFB" w14:textId="77777777"/>
    <w:p w:rsidR="000B2BA3" w:rsidP="006F0321" w:rsidRDefault="000B2BA3" w14:paraId="3DD32BBF" w14:textId="77777777"/>
    <w:p w:rsidR="000B2BA3" w:rsidP="006F0321" w:rsidRDefault="000B2BA3" w14:paraId="27D358CE" w14:textId="77777777"/>
    <w:p w:rsidR="000B2BA3" w:rsidP="006F0321" w:rsidRDefault="000B2BA3" w14:paraId="68ABB7C6" w14:textId="77777777"/>
    <w:p w:rsidR="000B2BA3" w:rsidP="006F0321" w:rsidRDefault="000B2BA3" w14:paraId="48C3C62B" w14:textId="77777777"/>
    <w:p w:rsidR="000B2BA3" w:rsidP="006F0321" w:rsidRDefault="000B2BA3" w14:paraId="320D8237" w14:textId="77777777"/>
    <w:p w:rsidR="000B2BA3" w:rsidP="006F0321" w:rsidRDefault="000B2BA3" w14:paraId="540BD708" w14:textId="77777777"/>
    <w:p w:rsidR="000B2BA3" w:rsidP="006F0321" w:rsidRDefault="000B2BA3" w14:paraId="2CB0326B" w14:textId="77777777"/>
    <w:p w:rsidR="000B2BA3" w:rsidP="006F0321" w:rsidRDefault="000B2BA3" w14:paraId="33FE1B9F" w14:textId="77777777"/>
    <w:p w:rsidR="000B2BA3" w:rsidP="006F0321" w:rsidRDefault="000B2BA3" w14:paraId="7B09EC71" w14:textId="77777777"/>
    <w:p w:rsidRPr="000B2BA3" w:rsidR="00115F48" w:rsidP="006F0321" w:rsidRDefault="00115F48" w14:paraId="6C731C67" w14:textId="164E9310">
      <w:pPr>
        <w:rPr>
          <w:b/>
          <w:bCs/>
          <w:sz w:val="28"/>
          <w:szCs w:val="28"/>
        </w:rPr>
      </w:pPr>
      <w:r w:rsidRPr="000B2BA3">
        <w:rPr>
          <w:b/>
          <w:bCs/>
          <w:sz w:val="28"/>
          <w:szCs w:val="28"/>
        </w:rPr>
        <w:lastRenderedPageBreak/>
        <w:t xml:space="preserve">References: </w:t>
      </w:r>
    </w:p>
    <w:p w:rsidRPr="00502E13" w:rsidR="00115F48" w:rsidP="001B0E05" w:rsidRDefault="00115F48" w14:paraId="17159A6D" w14:textId="77777777">
      <w:pPr>
        <w:pStyle w:val="ListParagraph"/>
        <w:numPr>
          <w:ilvl w:val="0"/>
          <w:numId w:val="94"/>
        </w:numPr>
        <w:rPr>
          <w:sz w:val="16"/>
          <w:szCs w:val="16"/>
        </w:rPr>
      </w:pPr>
      <w:r w:rsidRPr="00502E13">
        <w:rPr>
          <w:sz w:val="16"/>
          <w:szCs w:val="16"/>
        </w:rPr>
        <w:t>Kemp CA, McDowell JM editors Paediatric Pharmacopoeia. 13</w:t>
      </w:r>
      <w:r w:rsidRPr="00502E13">
        <w:rPr>
          <w:sz w:val="16"/>
          <w:szCs w:val="16"/>
          <w:vertAlign w:val="superscript"/>
        </w:rPr>
        <w:t>th</w:t>
      </w:r>
      <w:r w:rsidRPr="00502E13">
        <w:rPr>
          <w:sz w:val="16"/>
          <w:szCs w:val="16"/>
        </w:rPr>
        <w:t xml:space="preserve"> Edition. Melbourne: Pharmacy Department, Royal Children’s Hospital, 2002.</w:t>
      </w:r>
    </w:p>
    <w:p w:rsidRPr="00502E13" w:rsidR="00115F48" w:rsidP="001B0E05" w:rsidRDefault="00115F48" w14:paraId="32D1F694" w14:textId="77777777">
      <w:pPr>
        <w:pStyle w:val="ListParagraph"/>
        <w:numPr>
          <w:ilvl w:val="0"/>
          <w:numId w:val="94"/>
        </w:numPr>
        <w:rPr>
          <w:sz w:val="16"/>
          <w:szCs w:val="16"/>
        </w:rPr>
      </w:pPr>
      <w:r w:rsidRPr="00502E13">
        <w:rPr>
          <w:sz w:val="16"/>
          <w:szCs w:val="16"/>
          <w:lang w:val="it-IT"/>
        </w:rPr>
        <w:t xml:space="preserve">Pagliaro LA, Pagliaro AM editors. </w:t>
      </w:r>
      <w:r w:rsidRPr="00502E13">
        <w:rPr>
          <w:sz w:val="16"/>
          <w:szCs w:val="16"/>
        </w:rPr>
        <w:t>2</w:t>
      </w:r>
      <w:r w:rsidRPr="00502E13">
        <w:rPr>
          <w:sz w:val="16"/>
          <w:szCs w:val="16"/>
          <w:vertAlign w:val="superscript"/>
        </w:rPr>
        <w:t>nd</w:t>
      </w:r>
      <w:r w:rsidRPr="00502E13">
        <w:rPr>
          <w:sz w:val="16"/>
          <w:szCs w:val="16"/>
        </w:rPr>
        <w:t xml:space="preserve"> Edition. Illinois: Problems in Paediatric Drug Therapy. 1987.</w:t>
      </w:r>
    </w:p>
    <w:p w:rsidRPr="00502E13" w:rsidR="00115F48" w:rsidP="001B0E05" w:rsidRDefault="00115F48" w14:paraId="3BED6156" w14:textId="77777777">
      <w:pPr>
        <w:pStyle w:val="ListParagraph"/>
        <w:numPr>
          <w:ilvl w:val="0"/>
          <w:numId w:val="94"/>
        </w:numPr>
        <w:rPr>
          <w:sz w:val="16"/>
          <w:szCs w:val="16"/>
        </w:rPr>
      </w:pPr>
      <w:r w:rsidRPr="00502E13">
        <w:rPr>
          <w:sz w:val="16"/>
          <w:szCs w:val="16"/>
        </w:rPr>
        <w:t>Johnson KB. The Harnet Lane Handbook. 13</w:t>
      </w:r>
      <w:r w:rsidRPr="00502E13">
        <w:rPr>
          <w:sz w:val="16"/>
          <w:szCs w:val="16"/>
          <w:vertAlign w:val="superscript"/>
        </w:rPr>
        <w:t>th</w:t>
      </w:r>
      <w:r w:rsidRPr="00502E13">
        <w:rPr>
          <w:sz w:val="16"/>
          <w:szCs w:val="16"/>
        </w:rPr>
        <w:t xml:space="preserve"> Edition. St Louis, Mosby Year Book, Inc. 1993.</w:t>
      </w:r>
    </w:p>
    <w:p w:rsidRPr="00502E13" w:rsidR="00115F48" w:rsidP="001B0E05" w:rsidRDefault="000343B2" w14:paraId="1CBBE45B" w14:textId="59182FD9">
      <w:pPr>
        <w:pStyle w:val="ListParagraph"/>
        <w:numPr>
          <w:ilvl w:val="0"/>
          <w:numId w:val="94"/>
        </w:numPr>
        <w:rPr>
          <w:sz w:val="16"/>
          <w:szCs w:val="16"/>
        </w:rPr>
      </w:pPr>
      <w:r w:rsidRPr="00502E13">
        <w:rPr>
          <w:sz w:val="16"/>
          <w:szCs w:val="16"/>
        </w:rPr>
        <w:t>Neofax accessed on www.neofax.micromedex.solutions.com on 2-3-2021</w:t>
      </w:r>
      <w:r w:rsidRPr="00502E13" w:rsidR="00115F48">
        <w:rPr>
          <w:sz w:val="16"/>
          <w:szCs w:val="16"/>
        </w:rPr>
        <w:t>.</w:t>
      </w:r>
    </w:p>
    <w:p w:rsidRPr="00502E13" w:rsidR="00115F48" w:rsidP="001B0E05" w:rsidRDefault="00115F48" w14:paraId="6F342ECD" w14:textId="77777777">
      <w:pPr>
        <w:pStyle w:val="ListParagraph"/>
        <w:numPr>
          <w:ilvl w:val="0"/>
          <w:numId w:val="94"/>
        </w:numPr>
        <w:rPr>
          <w:sz w:val="16"/>
          <w:szCs w:val="16"/>
        </w:rPr>
      </w:pPr>
      <w:r w:rsidRPr="00502E13">
        <w:rPr>
          <w:sz w:val="16"/>
          <w:szCs w:val="16"/>
          <w:lang w:val="fr-FR"/>
        </w:rPr>
        <w:t xml:space="preserve">Trissel LA. Handbook on injectable drugs. </w:t>
      </w:r>
      <w:r w:rsidRPr="00502E13">
        <w:rPr>
          <w:sz w:val="16"/>
          <w:szCs w:val="16"/>
        </w:rPr>
        <w:t>11</w:t>
      </w:r>
      <w:r w:rsidRPr="00502E13">
        <w:rPr>
          <w:sz w:val="16"/>
          <w:szCs w:val="16"/>
          <w:vertAlign w:val="superscript"/>
        </w:rPr>
        <w:t>th</w:t>
      </w:r>
      <w:r w:rsidRPr="00502E13">
        <w:rPr>
          <w:sz w:val="16"/>
          <w:szCs w:val="16"/>
        </w:rPr>
        <w:t xml:space="preserve"> Edition. Bethesda, American Society of Health-System Pharmacists. 2001.</w:t>
      </w:r>
    </w:p>
    <w:p w:rsidRPr="00502E13" w:rsidR="00115F48" w:rsidP="001B0E05" w:rsidRDefault="00115F48" w14:paraId="3FF47412" w14:textId="77777777">
      <w:pPr>
        <w:pStyle w:val="ListParagraph"/>
        <w:numPr>
          <w:ilvl w:val="0"/>
          <w:numId w:val="94"/>
        </w:numPr>
        <w:rPr>
          <w:sz w:val="16"/>
          <w:szCs w:val="16"/>
        </w:rPr>
      </w:pPr>
      <w:r w:rsidRPr="00502E13">
        <w:rPr>
          <w:sz w:val="16"/>
          <w:szCs w:val="16"/>
          <w:lang w:val="fr-FR"/>
        </w:rPr>
        <w:t xml:space="preserve">Aminophylline product information, Mulgrave, Victoria. </w:t>
      </w:r>
      <w:r w:rsidRPr="00502E13">
        <w:rPr>
          <w:sz w:val="16"/>
          <w:szCs w:val="16"/>
        </w:rPr>
        <w:t>FH Faulding and CO Ltd (Trading as David Bull Laboratories). TGA Approval 19 May 1998. Date of most recent amendment 21 August 2000.</w:t>
      </w:r>
    </w:p>
    <w:p w:rsidRPr="00502E13" w:rsidR="00115F48" w:rsidP="001B0E05" w:rsidRDefault="00115F48" w14:paraId="2015AB49" w14:textId="77777777">
      <w:pPr>
        <w:pStyle w:val="ListParagraph"/>
        <w:numPr>
          <w:ilvl w:val="0"/>
          <w:numId w:val="94"/>
        </w:numPr>
        <w:rPr>
          <w:sz w:val="16"/>
          <w:szCs w:val="16"/>
        </w:rPr>
      </w:pPr>
      <w:r w:rsidRPr="00502E13">
        <w:rPr>
          <w:sz w:val="16"/>
          <w:szCs w:val="16"/>
        </w:rPr>
        <w:t>Therapeutic Guidelines: Antibiotics. 11</w:t>
      </w:r>
      <w:r w:rsidRPr="00502E13">
        <w:rPr>
          <w:sz w:val="16"/>
          <w:szCs w:val="16"/>
          <w:vertAlign w:val="superscript"/>
        </w:rPr>
        <w:t>th</w:t>
      </w:r>
      <w:r w:rsidRPr="00502E13">
        <w:rPr>
          <w:sz w:val="16"/>
          <w:szCs w:val="16"/>
        </w:rPr>
        <w:t xml:space="preserve"> Edition. Melbourne. Therapeutic Guidelines Ltd. 2000.</w:t>
      </w:r>
    </w:p>
    <w:p w:rsidRPr="00502E13" w:rsidR="00115F48" w:rsidP="001B0E05" w:rsidRDefault="00115F48" w14:paraId="7A58D3B3" w14:textId="77777777">
      <w:pPr>
        <w:pStyle w:val="ListParagraph"/>
        <w:numPr>
          <w:ilvl w:val="0"/>
          <w:numId w:val="94"/>
        </w:numPr>
        <w:rPr>
          <w:sz w:val="16"/>
          <w:szCs w:val="16"/>
        </w:rPr>
      </w:pPr>
      <w:r w:rsidRPr="00502E13">
        <w:rPr>
          <w:sz w:val="16"/>
          <w:szCs w:val="16"/>
        </w:rPr>
        <w:t>Morris N. Australian injectable drugs handbook. 2</w:t>
      </w:r>
      <w:r w:rsidRPr="00502E13">
        <w:rPr>
          <w:sz w:val="16"/>
          <w:szCs w:val="16"/>
          <w:vertAlign w:val="superscript"/>
        </w:rPr>
        <w:t>nd</w:t>
      </w:r>
      <w:r w:rsidRPr="00502E13">
        <w:rPr>
          <w:sz w:val="16"/>
          <w:szCs w:val="16"/>
        </w:rPr>
        <w:t xml:space="preserve"> Edition. South Melbourne, Society of Hospital Pharmacists of Australia. 1999.</w:t>
      </w:r>
    </w:p>
    <w:p w:rsidRPr="00502E13" w:rsidR="00115F48" w:rsidP="001B0E05" w:rsidRDefault="00115F48" w14:paraId="3CBE8578" w14:textId="77777777">
      <w:pPr>
        <w:pStyle w:val="ListParagraph"/>
        <w:numPr>
          <w:ilvl w:val="0"/>
          <w:numId w:val="94"/>
        </w:numPr>
        <w:rPr>
          <w:sz w:val="16"/>
          <w:szCs w:val="16"/>
        </w:rPr>
      </w:pPr>
      <w:r w:rsidRPr="00502E13">
        <w:rPr>
          <w:sz w:val="16"/>
          <w:szCs w:val="16"/>
        </w:rPr>
        <w:t>Australian Technical Advisory Group on Immunisation. The Australian Immunisation Handbook. 7</w:t>
      </w:r>
      <w:r w:rsidRPr="00502E13">
        <w:rPr>
          <w:sz w:val="16"/>
          <w:szCs w:val="16"/>
          <w:vertAlign w:val="superscript"/>
        </w:rPr>
        <w:t>th</w:t>
      </w:r>
      <w:r w:rsidRPr="00502E13">
        <w:rPr>
          <w:sz w:val="16"/>
          <w:szCs w:val="16"/>
        </w:rPr>
        <w:t xml:space="preserve"> Edition. Canberra, Australian Government Publishing Service. 2000.</w:t>
      </w:r>
    </w:p>
    <w:p w:rsidRPr="00502E13" w:rsidR="00115F48" w:rsidP="001B0E05" w:rsidRDefault="00115F48" w14:paraId="741327C7" w14:textId="77777777">
      <w:pPr>
        <w:pStyle w:val="ListParagraph"/>
        <w:numPr>
          <w:ilvl w:val="0"/>
          <w:numId w:val="94"/>
        </w:numPr>
        <w:rPr>
          <w:sz w:val="16"/>
          <w:szCs w:val="16"/>
        </w:rPr>
      </w:pPr>
      <w:r w:rsidRPr="00502E13">
        <w:rPr>
          <w:sz w:val="16"/>
          <w:szCs w:val="16"/>
        </w:rPr>
        <w:t>Carlton JB. The handbook of parenteral drug administration. 4</w:t>
      </w:r>
      <w:r w:rsidRPr="00502E13">
        <w:rPr>
          <w:sz w:val="16"/>
          <w:szCs w:val="16"/>
          <w:vertAlign w:val="superscript"/>
        </w:rPr>
        <w:t>th</w:t>
      </w:r>
      <w:r w:rsidRPr="00502E13">
        <w:rPr>
          <w:sz w:val="16"/>
          <w:szCs w:val="16"/>
        </w:rPr>
        <w:t xml:space="preserve"> Edition. Shepparton, Victoria. 1997.</w:t>
      </w:r>
    </w:p>
    <w:p w:rsidRPr="00502E13" w:rsidR="006F72D5" w:rsidP="001B0E05" w:rsidRDefault="006B3E26" w14:paraId="1DE9FFAC" w14:textId="77777777">
      <w:pPr>
        <w:pStyle w:val="ListParagraph"/>
        <w:numPr>
          <w:ilvl w:val="0"/>
          <w:numId w:val="94"/>
        </w:numPr>
        <w:rPr>
          <w:sz w:val="16"/>
          <w:szCs w:val="16"/>
        </w:rPr>
      </w:pPr>
      <w:hyperlink w:history="1" r:id="rId87">
        <w:r w:rsidRPr="00502E13" w:rsidR="006F72D5">
          <w:rPr>
            <w:rStyle w:val="Hyperlink"/>
            <w:sz w:val="16"/>
            <w:szCs w:val="16"/>
          </w:rPr>
          <w:t>http://www.health.gov.au/internet/immunise/publishing.nsf/content/F11B0C092AC5A5D3CA25719D00183398/$File/nip-schedule-card-july07.pdf</w:t>
        </w:r>
      </w:hyperlink>
    </w:p>
    <w:p w:rsidRPr="00502E13" w:rsidR="006F72D5" w:rsidP="001B0E05" w:rsidRDefault="006B3E26" w14:paraId="35021F0F" w14:textId="77777777">
      <w:pPr>
        <w:pStyle w:val="ListParagraph"/>
        <w:numPr>
          <w:ilvl w:val="0"/>
          <w:numId w:val="94"/>
        </w:numPr>
        <w:rPr>
          <w:sz w:val="16"/>
          <w:szCs w:val="16"/>
        </w:rPr>
      </w:pPr>
      <w:hyperlink w:history="1" r:id="rId88">
        <w:r w:rsidRPr="00502E13" w:rsidR="006F72D5">
          <w:rPr>
            <w:rStyle w:val="Hyperlink"/>
            <w:sz w:val="16"/>
            <w:szCs w:val="16"/>
          </w:rPr>
          <w:t>http://www.health.gov.au/internet/immunise/publishing.nsf/content/nips</w:t>
        </w:r>
      </w:hyperlink>
    </w:p>
    <w:p w:rsidRPr="00502E13" w:rsidR="006F72D5" w:rsidP="001B0E05" w:rsidRDefault="00B915BC" w14:paraId="2D6E576B" w14:textId="77777777">
      <w:pPr>
        <w:pStyle w:val="ListParagraph"/>
        <w:numPr>
          <w:ilvl w:val="0"/>
          <w:numId w:val="94"/>
        </w:numPr>
        <w:rPr>
          <w:sz w:val="16"/>
          <w:szCs w:val="16"/>
        </w:rPr>
      </w:pPr>
      <w:r w:rsidRPr="00502E13">
        <w:rPr>
          <w:sz w:val="16"/>
          <w:szCs w:val="16"/>
        </w:rPr>
        <w:t>Royal Hospital for Women Neonatal Drug Protocol Manual, 2012.</w:t>
      </w:r>
    </w:p>
    <w:p w:rsidRPr="00502E13" w:rsidR="00B915BC" w:rsidP="001B0E05" w:rsidRDefault="006B3E26" w14:paraId="7D1C7CF5" w14:textId="77777777">
      <w:pPr>
        <w:pStyle w:val="ListParagraph"/>
        <w:numPr>
          <w:ilvl w:val="0"/>
          <w:numId w:val="94"/>
        </w:numPr>
        <w:rPr>
          <w:sz w:val="16"/>
          <w:szCs w:val="16"/>
        </w:rPr>
      </w:pPr>
      <w:hyperlink w:history="1" r:id="rId89">
        <w:r w:rsidRPr="00502E13" w:rsidR="00B915BC">
          <w:rPr>
            <w:rStyle w:val="Hyperlink"/>
            <w:rFonts w:eastAsia="Batang" w:cs="Calibri"/>
            <w:sz w:val="16"/>
            <w:szCs w:val="16"/>
            <w:lang w:val="en-AU" w:eastAsia="ko-KR"/>
          </w:rPr>
          <w:t xml:space="preserve">http://www.kemh.health.wa.gov.au/services/nccu/guidelines/drug_protocols.htm  </w:t>
        </w:r>
      </w:hyperlink>
      <w:r w:rsidRPr="00502E13" w:rsidR="00B915BC">
        <w:rPr>
          <w:rFonts w:eastAsia="Batang"/>
          <w:sz w:val="16"/>
          <w:szCs w:val="16"/>
          <w:lang w:val="en-AU" w:eastAsia="ko-KR"/>
        </w:rPr>
        <w:t xml:space="preserve"> </w:t>
      </w:r>
    </w:p>
    <w:p w:rsidRPr="00502E13" w:rsidR="00070B92" w:rsidP="001B0E05" w:rsidRDefault="00070B92" w14:paraId="48F2C215" w14:textId="77777777">
      <w:pPr>
        <w:pStyle w:val="ListParagraph"/>
        <w:numPr>
          <w:ilvl w:val="0"/>
          <w:numId w:val="94"/>
        </w:numPr>
        <w:rPr>
          <w:sz w:val="16"/>
          <w:szCs w:val="16"/>
        </w:rPr>
      </w:pPr>
      <w:r w:rsidRPr="00502E13">
        <w:rPr>
          <w:sz w:val="16"/>
          <w:szCs w:val="16"/>
        </w:rPr>
        <w:t>Flippin Blood, Second edition June 2012 Quick reference guide</w:t>
      </w:r>
    </w:p>
    <w:p w:rsidRPr="00502E13" w:rsidR="00070B92" w:rsidP="001B0E05" w:rsidRDefault="00070B92" w14:paraId="240C7BDE" w14:textId="77777777">
      <w:pPr>
        <w:pStyle w:val="ListParagraph"/>
        <w:numPr>
          <w:ilvl w:val="0"/>
          <w:numId w:val="94"/>
        </w:numPr>
        <w:rPr>
          <w:sz w:val="16"/>
          <w:szCs w:val="16"/>
        </w:rPr>
      </w:pPr>
      <w:r w:rsidRPr="00502E13">
        <w:rPr>
          <w:sz w:val="16"/>
          <w:szCs w:val="16"/>
        </w:rPr>
        <w:t>Blood and Blood Product Administration SOP Issued September 2012</w:t>
      </w:r>
    </w:p>
    <w:p w:rsidRPr="00502E13" w:rsidR="00070B92" w:rsidP="001B0E05" w:rsidRDefault="00070B92" w14:paraId="0DF8BE21" w14:textId="77777777">
      <w:pPr>
        <w:pStyle w:val="ListParagraph"/>
        <w:numPr>
          <w:ilvl w:val="0"/>
          <w:numId w:val="94"/>
        </w:numPr>
        <w:rPr>
          <w:sz w:val="16"/>
          <w:szCs w:val="16"/>
        </w:rPr>
      </w:pPr>
      <w:r w:rsidRPr="00502E13">
        <w:rPr>
          <w:sz w:val="16"/>
          <w:szCs w:val="16"/>
        </w:rPr>
        <w:t>Massive Transfusion SOP Issued September 2012</w:t>
      </w:r>
    </w:p>
    <w:p w:rsidRPr="00502E13" w:rsidR="00070B92" w:rsidP="001B0E05" w:rsidRDefault="00070B92" w14:paraId="1AA2C099" w14:textId="77777777">
      <w:pPr>
        <w:pStyle w:val="ListParagraph"/>
        <w:numPr>
          <w:ilvl w:val="0"/>
          <w:numId w:val="94"/>
        </w:numPr>
        <w:rPr>
          <w:sz w:val="16"/>
          <w:szCs w:val="16"/>
        </w:rPr>
      </w:pPr>
      <w:r w:rsidRPr="00502E13">
        <w:rPr>
          <w:sz w:val="16"/>
          <w:szCs w:val="16"/>
          <w:lang w:val="en-AU"/>
        </w:rPr>
        <w:t xml:space="preserve">Weiss, A.L. Et al (2013). </w:t>
      </w:r>
      <w:r w:rsidRPr="00502E13">
        <w:rPr>
          <w:sz w:val="16"/>
          <w:szCs w:val="16"/>
        </w:rPr>
        <w:t xml:space="preserve">Septic Shock: Ongoing management after resuscitation in Children. Up To Date. </w:t>
      </w:r>
    </w:p>
    <w:p w:rsidRPr="00502E13" w:rsidR="00070B92" w:rsidP="001B0E05" w:rsidRDefault="00070B92" w14:paraId="70C3616E" w14:textId="77777777">
      <w:pPr>
        <w:pStyle w:val="ListParagraph"/>
        <w:numPr>
          <w:ilvl w:val="0"/>
          <w:numId w:val="94"/>
        </w:numPr>
        <w:rPr>
          <w:sz w:val="16"/>
          <w:szCs w:val="16"/>
        </w:rPr>
      </w:pPr>
      <w:r w:rsidRPr="00502E13">
        <w:rPr>
          <w:sz w:val="16"/>
          <w:szCs w:val="16"/>
        </w:rPr>
        <w:t>Silvergleid, A. Et al (2013). Clinical use of plasma components. UpToDate</w:t>
      </w:r>
    </w:p>
    <w:p w:rsidR="003361A4" w:rsidP="003361A4" w:rsidRDefault="003361A4" w14:paraId="127DAD7A" w14:textId="77777777"/>
    <w:p w:rsidR="003361A4" w:rsidP="003361A4" w:rsidRDefault="003361A4" w14:paraId="7A74E62D" w14:textId="77777777"/>
    <w:p w:rsidR="003361A4" w:rsidP="003361A4" w:rsidRDefault="003361A4" w14:paraId="71AF49C6" w14:textId="77777777"/>
    <w:p w:rsidR="00ED12CA" w:rsidP="003361A4" w:rsidRDefault="00ED12CA" w14:paraId="50DEB72B" w14:textId="77777777">
      <w:pPr>
        <w:rPr>
          <w:rFonts w:cs="Arial"/>
          <w:b/>
          <w:sz w:val="20"/>
        </w:rPr>
      </w:pPr>
    </w:p>
    <w:p w:rsidR="00ED12CA" w:rsidP="003361A4" w:rsidRDefault="00ED12CA" w14:paraId="444102C5" w14:textId="77777777">
      <w:pPr>
        <w:rPr>
          <w:rFonts w:cs="Arial"/>
          <w:b/>
          <w:sz w:val="20"/>
        </w:rPr>
      </w:pPr>
    </w:p>
    <w:p w:rsidR="00ED12CA" w:rsidP="003361A4" w:rsidRDefault="00ED12CA" w14:paraId="5858CE5B" w14:textId="77777777">
      <w:pPr>
        <w:rPr>
          <w:rFonts w:cs="Arial"/>
          <w:b/>
          <w:sz w:val="20"/>
        </w:rPr>
      </w:pPr>
    </w:p>
    <w:p w:rsidR="00ED12CA" w:rsidP="003361A4" w:rsidRDefault="00ED12CA" w14:paraId="03A120BD" w14:textId="77777777">
      <w:pPr>
        <w:rPr>
          <w:rFonts w:cs="Arial"/>
          <w:b/>
          <w:sz w:val="20"/>
        </w:rPr>
      </w:pPr>
    </w:p>
    <w:p w:rsidR="00ED12CA" w:rsidP="003361A4" w:rsidRDefault="00ED12CA" w14:paraId="3BDA5717" w14:textId="77777777">
      <w:pPr>
        <w:rPr>
          <w:rFonts w:cs="Arial"/>
          <w:b/>
          <w:sz w:val="20"/>
        </w:rPr>
      </w:pPr>
    </w:p>
    <w:p w:rsidR="00ED12CA" w:rsidP="003361A4" w:rsidRDefault="00ED12CA" w14:paraId="7219FB8D" w14:textId="77777777">
      <w:pPr>
        <w:rPr>
          <w:rFonts w:cs="Arial"/>
          <w:b/>
          <w:sz w:val="20"/>
        </w:rPr>
      </w:pPr>
    </w:p>
    <w:p w:rsidR="00ED12CA" w:rsidP="003361A4" w:rsidRDefault="00ED12CA" w14:paraId="12128C48" w14:textId="77777777">
      <w:pPr>
        <w:rPr>
          <w:rFonts w:cs="Arial"/>
          <w:b/>
          <w:sz w:val="20"/>
        </w:rPr>
      </w:pPr>
    </w:p>
    <w:p w:rsidRPr="008202D3" w:rsidR="003361A4" w:rsidP="003361A4" w:rsidRDefault="003361A4" w14:paraId="6CAE33D4" w14:textId="69D456CB">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rsidRPr="008202D3" w:rsidR="003361A4" w:rsidP="003361A4" w:rsidRDefault="003361A4" w14:paraId="72073271" w14:textId="77777777">
      <w:pPr>
        <w:rPr>
          <w:rFonts w:cs="Arial"/>
          <w:i/>
          <w:iCs/>
          <w:sz w:val="20"/>
        </w:rPr>
      </w:pPr>
    </w:p>
    <w:p w:rsidRPr="008202D3" w:rsidR="003361A4" w:rsidP="003361A4" w:rsidRDefault="003361A4" w14:paraId="1926FE95" w14:textId="77777777">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53"/>
        <w:gridCol w:w="2254"/>
        <w:gridCol w:w="2254"/>
        <w:gridCol w:w="2255"/>
      </w:tblGrid>
      <w:tr w:rsidRPr="008202D3" w:rsidR="003361A4" w:rsidTr="5801437A" w14:paraId="60B3DEDB" w14:textId="77777777">
        <w:tc>
          <w:tcPr>
            <w:tcW w:w="2265" w:type="dxa"/>
            <w:tcMar/>
          </w:tcPr>
          <w:p w:rsidRPr="008202D3" w:rsidR="003361A4" w:rsidP="006A3270" w:rsidRDefault="003361A4" w14:paraId="08015267" w14:textId="77777777">
            <w:pPr>
              <w:rPr>
                <w:i/>
                <w:sz w:val="20"/>
              </w:rPr>
            </w:pPr>
            <w:r w:rsidRPr="008202D3">
              <w:rPr>
                <w:i/>
                <w:sz w:val="20"/>
              </w:rPr>
              <w:t>Date Amended</w:t>
            </w:r>
          </w:p>
        </w:tc>
        <w:tc>
          <w:tcPr>
            <w:tcW w:w="2265" w:type="dxa"/>
            <w:tcMar/>
          </w:tcPr>
          <w:p w:rsidRPr="008202D3" w:rsidR="003361A4" w:rsidP="006A3270" w:rsidRDefault="003361A4" w14:paraId="35C2FCB4" w14:textId="77777777">
            <w:pPr>
              <w:rPr>
                <w:i/>
                <w:sz w:val="20"/>
              </w:rPr>
            </w:pPr>
            <w:r w:rsidRPr="008202D3">
              <w:rPr>
                <w:i/>
                <w:sz w:val="20"/>
              </w:rPr>
              <w:t>Section Amended</w:t>
            </w:r>
          </w:p>
        </w:tc>
        <w:tc>
          <w:tcPr>
            <w:tcW w:w="2265" w:type="dxa"/>
            <w:tcMar/>
          </w:tcPr>
          <w:p w:rsidRPr="008202D3" w:rsidR="003361A4" w:rsidP="006A3270" w:rsidRDefault="003361A4" w14:paraId="14656394" w14:textId="77777777">
            <w:pPr>
              <w:rPr>
                <w:i/>
                <w:sz w:val="20"/>
              </w:rPr>
            </w:pPr>
            <w:r w:rsidRPr="008202D3">
              <w:rPr>
                <w:i/>
                <w:sz w:val="20"/>
              </w:rPr>
              <w:t>Divisional Approval</w:t>
            </w:r>
          </w:p>
        </w:tc>
        <w:tc>
          <w:tcPr>
            <w:tcW w:w="2265" w:type="dxa"/>
            <w:tcMar/>
          </w:tcPr>
          <w:p w:rsidRPr="008202D3" w:rsidR="003361A4" w:rsidP="006A3270" w:rsidRDefault="003361A4" w14:paraId="10A9E49C" w14:textId="77777777">
            <w:pPr>
              <w:rPr>
                <w:i/>
                <w:sz w:val="20"/>
              </w:rPr>
            </w:pPr>
            <w:r w:rsidRPr="008202D3">
              <w:rPr>
                <w:i/>
                <w:sz w:val="20"/>
              </w:rPr>
              <w:t xml:space="preserve">Final Approval </w:t>
            </w:r>
          </w:p>
        </w:tc>
      </w:tr>
      <w:tr w:rsidRPr="008202D3" w:rsidR="003361A4" w:rsidTr="5801437A" w14:paraId="4EF7C9AD" w14:textId="77777777">
        <w:tc>
          <w:tcPr>
            <w:tcW w:w="2265" w:type="dxa"/>
            <w:tcMar/>
          </w:tcPr>
          <w:p w:rsidRPr="008202D3" w:rsidR="003361A4" w:rsidP="006A3270" w:rsidRDefault="00337A89" w14:paraId="6F795B83" w14:textId="5626E914">
            <w:pPr>
              <w:rPr>
                <w:i/>
                <w:sz w:val="20"/>
              </w:rPr>
            </w:pPr>
            <w:r>
              <w:rPr>
                <w:i/>
                <w:sz w:val="20"/>
              </w:rPr>
              <w:t>14 April 2021</w:t>
            </w:r>
          </w:p>
        </w:tc>
        <w:tc>
          <w:tcPr>
            <w:tcW w:w="2265" w:type="dxa"/>
            <w:tcMar/>
          </w:tcPr>
          <w:p w:rsidRPr="008202D3" w:rsidR="003361A4" w:rsidP="006A3270" w:rsidRDefault="00337A89" w14:paraId="1DB89645" w14:textId="0FD3A766">
            <w:pPr>
              <w:rPr>
                <w:i/>
                <w:sz w:val="20"/>
              </w:rPr>
            </w:pPr>
            <w:r>
              <w:rPr>
                <w:i/>
                <w:sz w:val="20"/>
              </w:rPr>
              <w:t xml:space="preserve">Complete Review </w:t>
            </w:r>
          </w:p>
        </w:tc>
        <w:tc>
          <w:tcPr>
            <w:tcW w:w="2265" w:type="dxa"/>
            <w:tcMar/>
          </w:tcPr>
          <w:p w:rsidRPr="008202D3" w:rsidR="003361A4" w:rsidP="006A3270" w:rsidRDefault="00A515C1" w14:paraId="4D699B46" w14:textId="64AE1DC7">
            <w:pPr>
              <w:rPr>
                <w:i/>
                <w:sz w:val="20"/>
              </w:rPr>
            </w:pPr>
            <w:r>
              <w:rPr>
                <w:i/>
                <w:sz w:val="20"/>
              </w:rPr>
              <w:t>Cathy O’Neill</w:t>
            </w:r>
            <w:r w:rsidR="00337A89">
              <w:rPr>
                <w:i/>
                <w:sz w:val="20"/>
              </w:rPr>
              <w:t xml:space="preserve">, </w:t>
            </w:r>
            <w:r>
              <w:rPr>
                <w:i/>
                <w:sz w:val="20"/>
              </w:rPr>
              <w:t xml:space="preserve">A/g </w:t>
            </w:r>
            <w:r w:rsidR="00337A89">
              <w:rPr>
                <w:i/>
                <w:sz w:val="20"/>
              </w:rPr>
              <w:t>ED, WY&amp;C</w:t>
            </w:r>
          </w:p>
        </w:tc>
        <w:tc>
          <w:tcPr>
            <w:tcW w:w="2265" w:type="dxa"/>
            <w:tcMar/>
          </w:tcPr>
          <w:p w:rsidRPr="008202D3" w:rsidR="003361A4" w:rsidP="006A3270" w:rsidRDefault="00337A89" w14:paraId="6776ADD6" w14:textId="7CC4DE72">
            <w:pPr>
              <w:rPr>
                <w:i/>
                <w:sz w:val="20"/>
              </w:rPr>
            </w:pPr>
            <w:r>
              <w:rPr>
                <w:i/>
                <w:sz w:val="20"/>
              </w:rPr>
              <w:t xml:space="preserve">CHS Policy Committee </w:t>
            </w:r>
          </w:p>
        </w:tc>
      </w:tr>
      <w:tr w:rsidRPr="008202D3" w:rsidR="003361A4" w:rsidTr="5801437A" w14:paraId="1A8A2496" w14:textId="77777777">
        <w:tc>
          <w:tcPr>
            <w:tcW w:w="2265" w:type="dxa"/>
            <w:tcMar/>
          </w:tcPr>
          <w:p w:rsidRPr="008202D3" w:rsidR="003361A4" w:rsidP="006A3270" w:rsidRDefault="006B3E26" w14:paraId="1300D102" w14:textId="1D0A22A7">
            <w:pPr>
              <w:rPr>
                <w:i/>
                <w:sz w:val="20"/>
              </w:rPr>
            </w:pPr>
            <w:r>
              <w:rPr>
                <w:i/>
                <w:sz w:val="20"/>
              </w:rPr>
              <w:t>01 July 2021</w:t>
            </w:r>
          </w:p>
        </w:tc>
        <w:tc>
          <w:tcPr>
            <w:tcW w:w="2265" w:type="dxa"/>
            <w:tcMar/>
          </w:tcPr>
          <w:p w:rsidRPr="008202D3" w:rsidR="003361A4" w:rsidP="006A3270" w:rsidRDefault="006B3E26" w14:paraId="215F076E" w14:textId="65920410">
            <w:pPr>
              <w:rPr>
                <w:i/>
                <w:sz w:val="20"/>
              </w:rPr>
            </w:pPr>
            <w:r>
              <w:rPr>
                <w:i/>
                <w:sz w:val="20"/>
              </w:rPr>
              <w:t>Minor updates to align with Neomed</w:t>
            </w:r>
          </w:p>
        </w:tc>
        <w:tc>
          <w:tcPr>
            <w:tcW w:w="2265" w:type="dxa"/>
            <w:tcMar/>
          </w:tcPr>
          <w:p w:rsidRPr="008202D3" w:rsidR="003361A4" w:rsidP="5801437A" w:rsidRDefault="003361A4" w14:paraId="55ACC84C" w14:textId="25A39BB1">
            <w:pPr>
              <w:rPr>
                <w:i w:val="1"/>
                <w:iCs w:val="1"/>
                <w:sz w:val="20"/>
                <w:szCs w:val="20"/>
              </w:rPr>
            </w:pPr>
            <w:r w:rsidRPr="5801437A" w:rsidR="0C2E01DD">
              <w:rPr>
                <w:i w:val="1"/>
                <w:iCs w:val="1"/>
                <w:sz w:val="20"/>
                <w:szCs w:val="20"/>
              </w:rPr>
              <w:t>Hazel Carlisle, Clinical Director, Neonatology</w:t>
            </w:r>
          </w:p>
        </w:tc>
        <w:tc>
          <w:tcPr>
            <w:tcW w:w="2265" w:type="dxa"/>
            <w:tcMar/>
          </w:tcPr>
          <w:p w:rsidRPr="008202D3" w:rsidR="003361A4" w:rsidP="5801437A" w:rsidRDefault="003361A4" w14:paraId="608CF46F" w14:textId="6DDD13D6">
            <w:pPr>
              <w:rPr>
                <w:i w:val="1"/>
                <w:iCs w:val="1"/>
                <w:sz w:val="20"/>
                <w:szCs w:val="20"/>
              </w:rPr>
            </w:pPr>
            <w:r w:rsidRPr="5801437A" w:rsidR="0C2E01DD">
              <w:rPr>
                <w:i w:val="1"/>
                <w:iCs w:val="1"/>
                <w:sz w:val="20"/>
                <w:szCs w:val="20"/>
              </w:rPr>
              <w:t>Hazel Carlisle, Clinical Director, Neonatology</w:t>
            </w:r>
          </w:p>
        </w:tc>
      </w:tr>
    </w:tbl>
    <w:p w:rsidRPr="008202D3" w:rsidR="003361A4" w:rsidP="003361A4" w:rsidRDefault="003361A4" w14:paraId="40AA554D" w14:textId="77777777">
      <w:pPr>
        <w:rPr>
          <w:rFonts w:cs="Arial"/>
          <w:sz w:val="20"/>
        </w:rPr>
      </w:pPr>
    </w:p>
    <w:p w:rsidRPr="008202D3" w:rsidR="003361A4" w:rsidP="003361A4" w:rsidRDefault="003361A4" w14:paraId="61973766" w14:textId="77777777">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16"/>
        <w:gridCol w:w="6900"/>
      </w:tblGrid>
      <w:tr w:rsidRPr="008202D3" w:rsidR="003361A4" w:rsidTr="006A3270" w14:paraId="14F7FF5F" w14:textId="77777777">
        <w:tc>
          <w:tcPr>
            <w:tcW w:w="2122" w:type="dxa"/>
          </w:tcPr>
          <w:p w:rsidRPr="008202D3" w:rsidR="003361A4" w:rsidP="006A3270" w:rsidRDefault="003361A4" w14:paraId="01352863" w14:textId="77777777">
            <w:pPr>
              <w:rPr>
                <w:i/>
                <w:sz w:val="20"/>
              </w:rPr>
            </w:pPr>
            <w:r w:rsidRPr="008202D3">
              <w:rPr>
                <w:i/>
                <w:sz w:val="20"/>
              </w:rPr>
              <w:t>Document Number</w:t>
            </w:r>
          </w:p>
        </w:tc>
        <w:tc>
          <w:tcPr>
            <w:tcW w:w="6938" w:type="dxa"/>
          </w:tcPr>
          <w:p w:rsidRPr="008202D3" w:rsidR="003361A4" w:rsidP="006A3270" w:rsidRDefault="003361A4" w14:paraId="6F5B19C1" w14:textId="77777777">
            <w:pPr>
              <w:rPr>
                <w:i/>
                <w:sz w:val="20"/>
              </w:rPr>
            </w:pPr>
            <w:r w:rsidRPr="008202D3">
              <w:rPr>
                <w:i/>
                <w:sz w:val="20"/>
              </w:rPr>
              <w:t>Document Name</w:t>
            </w:r>
          </w:p>
        </w:tc>
      </w:tr>
      <w:tr w:rsidRPr="008202D3" w:rsidR="003361A4" w:rsidTr="006A3270" w14:paraId="50B181F6" w14:textId="77777777">
        <w:tc>
          <w:tcPr>
            <w:tcW w:w="2122" w:type="dxa"/>
          </w:tcPr>
          <w:p w:rsidRPr="008202D3" w:rsidR="003361A4" w:rsidP="006A3270" w:rsidRDefault="00782F89" w14:paraId="090CA114" w14:textId="1BC1E3CC">
            <w:pPr>
              <w:rPr>
                <w:i/>
                <w:sz w:val="20"/>
              </w:rPr>
            </w:pPr>
            <w:r>
              <w:rPr>
                <w:i/>
                <w:sz w:val="20"/>
              </w:rPr>
              <w:t>CHHS15/161</w:t>
            </w:r>
          </w:p>
        </w:tc>
        <w:tc>
          <w:tcPr>
            <w:tcW w:w="6938" w:type="dxa"/>
          </w:tcPr>
          <w:p w:rsidRPr="008202D3" w:rsidR="003361A4" w:rsidP="006A3270" w:rsidRDefault="00782F89" w14:paraId="448C2D45" w14:textId="2123A949">
            <w:pPr>
              <w:rPr>
                <w:i/>
                <w:sz w:val="20"/>
              </w:rPr>
            </w:pPr>
            <w:r w:rsidRPr="00782F89">
              <w:rPr>
                <w:i/>
                <w:sz w:val="20"/>
              </w:rPr>
              <w:t>Neonatal Intensive Care Drug Manual</w:t>
            </w:r>
          </w:p>
        </w:tc>
      </w:tr>
      <w:tr w:rsidRPr="008202D3" w:rsidR="003361A4" w:rsidTr="006A3270" w14:paraId="4A00F7A3" w14:textId="77777777">
        <w:tc>
          <w:tcPr>
            <w:tcW w:w="2122" w:type="dxa"/>
          </w:tcPr>
          <w:p w:rsidRPr="008202D3" w:rsidR="003361A4" w:rsidP="006A3270" w:rsidRDefault="003361A4" w14:paraId="44D3A8A9" w14:textId="77777777">
            <w:pPr>
              <w:rPr>
                <w:i/>
                <w:sz w:val="20"/>
              </w:rPr>
            </w:pPr>
          </w:p>
        </w:tc>
        <w:tc>
          <w:tcPr>
            <w:tcW w:w="6938" w:type="dxa"/>
          </w:tcPr>
          <w:p w:rsidRPr="008202D3" w:rsidR="003361A4" w:rsidP="006A3270" w:rsidRDefault="003361A4" w14:paraId="06FA43A0" w14:textId="77777777">
            <w:pPr>
              <w:rPr>
                <w:i/>
                <w:sz w:val="20"/>
              </w:rPr>
            </w:pPr>
          </w:p>
        </w:tc>
      </w:tr>
    </w:tbl>
    <w:p w:rsidRPr="00E25790" w:rsidR="003361A4" w:rsidP="003361A4" w:rsidRDefault="003361A4" w14:paraId="22290FFE" w14:textId="77777777"/>
    <w:sectPr w:rsidRPr="00E25790" w:rsidR="003361A4" w:rsidSect="00032205">
      <w:headerReference w:type="default" r:id="rId90"/>
      <w:footerReference w:type="even" r:id="rId91"/>
      <w:footerReference w:type="default" r:id="rId92"/>
      <w:type w:val="continuous"/>
      <w:pgSz w:w="11906" w:h="16838" w:orient="portrait"/>
      <w:pgMar w:top="1440" w:right="1440" w:bottom="1440" w:left="1440" w:header="426"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1848" w:rsidP="006F0321" w:rsidRDefault="00131848" w14:paraId="5E215FEC" w14:textId="77777777">
      <w:r>
        <w:separator/>
      </w:r>
    </w:p>
  </w:endnote>
  <w:endnote w:type="continuationSeparator" w:id="0">
    <w:p w:rsidR="00131848" w:rsidP="006F0321" w:rsidRDefault="00131848" w14:paraId="146E99CE" w14:textId="77777777">
      <w:r>
        <w:continuationSeparator/>
      </w:r>
    </w:p>
  </w:endnote>
  <w:endnote w:type="continuationNotice" w:id="1">
    <w:p w:rsidR="00131848" w:rsidRDefault="00131848" w14:paraId="4ABD15B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rlito">
    <w:altName w:val="Calibri"/>
    <w:charset w:val="00"/>
    <w:family w:val="swiss"/>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calaLF-Regular">
    <w:altName w:val="Calibri"/>
    <w:panose1 w:val="00000000000000000000"/>
    <w:charset w:val="00"/>
    <w:family w:val="auto"/>
    <w:notTrueType/>
    <w:pitch w:val="default"/>
    <w:sig w:usb0="00000003" w:usb1="00000000" w:usb2="00000000" w:usb3="00000000" w:csb0="00000001" w:csb1="00000000"/>
  </w:font>
  <w:font w:name="AGaramond-Regular">
    <w:altName w:val="Calibri"/>
    <w:panose1 w:val="00000000000000000000"/>
    <w:charset w:val="00"/>
    <w:family w:val="auto"/>
    <w:notTrueType/>
    <w:pitch w:val="default"/>
    <w:sig w:usb0="00000003" w:usb1="00000000" w:usb2="00000000" w:usb3="00000000" w:csb0="00000001" w:csb1="00000000"/>
  </w:font>
  <w:font w:name="Helvetica-Bold">
    <w:altName w:val="Latha"/>
    <w:charset w:val="00"/>
    <w:family w:val="swiss"/>
    <w:pitch w:val="default"/>
    <w:sig w:usb0="00000000" w:usb1="00000000" w:usb2="00000000" w:usb3="00000000" w:csb0="00040001" w:csb1="00000000"/>
  </w:font>
  <w:font w:name="AdvTT08640291">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Sabon-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BerkeleyStd-Medium">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31848" w:rsidP="006F0321" w:rsidRDefault="00131848" w14:paraId="6D831DB2"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131848" w:rsidP="006F0321" w:rsidRDefault="00131848" w14:paraId="5A17238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H w:val="single" w:color="auto" w:sz="4" w:space="0"/>
      </w:tblBorders>
      <w:tblLook w:val="00A0" w:firstRow="1" w:lastRow="0" w:firstColumn="1" w:lastColumn="0" w:noHBand="0" w:noVBand="0"/>
    </w:tblPr>
    <w:tblGrid>
      <w:gridCol w:w="1509"/>
      <w:gridCol w:w="963"/>
      <w:gridCol w:w="1546"/>
      <w:gridCol w:w="1227"/>
      <w:gridCol w:w="1964"/>
      <w:gridCol w:w="1817"/>
    </w:tblGrid>
    <w:tr w:rsidRPr="009469DB" w:rsidR="00131848" w:rsidTr="00EE0576" w14:paraId="0D7C627F" w14:textId="77777777">
      <w:tc>
        <w:tcPr>
          <w:tcW w:w="1509" w:type="dxa"/>
        </w:tcPr>
        <w:p w:rsidRPr="009469DB" w:rsidR="00131848" w:rsidP="006F0321" w:rsidRDefault="00131848" w14:paraId="321726B5" w14:textId="77777777">
          <w:pPr>
            <w:pStyle w:val="Footer"/>
            <w:rPr>
              <w:rFonts w:asciiTheme="minorHAnsi" w:hAnsiTheme="minorHAnsi" w:cstheme="minorHAnsi"/>
              <w:b/>
              <w:bCs/>
              <w:i/>
              <w:iCs/>
              <w:sz w:val="20"/>
            </w:rPr>
          </w:pPr>
          <w:r w:rsidRPr="009469DB">
            <w:rPr>
              <w:rFonts w:asciiTheme="minorHAnsi" w:hAnsiTheme="minorHAnsi" w:cstheme="minorHAnsi"/>
              <w:b/>
              <w:bCs/>
              <w:i/>
              <w:iCs/>
              <w:sz w:val="20"/>
            </w:rPr>
            <w:t>Doc Number</w:t>
          </w:r>
        </w:p>
      </w:tc>
      <w:tc>
        <w:tcPr>
          <w:tcW w:w="963" w:type="dxa"/>
        </w:tcPr>
        <w:p w:rsidRPr="009469DB" w:rsidR="00131848" w:rsidP="006F0321" w:rsidRDefault="00131848" w14:paraId="3D34CB0A" w14:textId="77777777">
          <w:pPr>
            <w:pStyle w:val="Footer"/>
            <w:rPr>
              <w:rFonts w:asciiTheme="minorHAnsi" w:hAnsiTheme="minorHAnsi" w:cstheme="minorHAnsi"/>
              <w:b/>
              <w:bCs/>
              <w:i/>
              <w:iCs/>
              <w:sz w:val="20"/>
            </w:rPr>
          </w:pPr>
          <w:r w:rsidRPr="009469DB">
            <w:rPr>
              <w:rFonts w:asciiTheme="minorHAnsi" w:hAnsiTheme="minorHAnsi" w:cstheme="minorHAnsi"/>
              <w:b/>
              <w:bCs/>
              <w:i/>
              <w:iCs/>
              <w:sz w:val="20"/>
            </w:rPr>
            <w:t>Version</w:t>
          </w:r>
        </w:p>
      </w:tc>
      <w:tc>
        <w:tcPr>
          <w:tcW w:w="1546" w:type="dxa"/>
        </w:tcPr>
        <w:p w:rsidRPr="009469DB" w:rsidR="00131848" w:rsidP="006F0321" w:rsidRDefault="00131848" w14:paraId="2D5E1DF1" w14:textId="77777777">
          <w:pPr>
            <w:pStyle w:val="Footer"/>
            <w:rPr>
              <w:rFonts w:asciiTheme="minorHAnsi" w:hAnsiTheme="minorHAnsi" w:cstheme="minorHAnsi"/>
              <w:b/>
              <w:bCs/>
              <w:i/>
              <w:iCs/>
              <w:sz w:val="20"/>
            </w:rPr>
          </w:pPr>
          <w:r w:rsidRPr="009469DB">
            <w:rPr>
              <w:rFonts w:asciiTheme="minorHAnsi" w:hAnsiTheme="minorHAnsi" w:cstheme="minorHAnsi"/>
              <w:b/>
              <w:bCs/>
              <w:i/>
              <w:iCs/>
              <w:sz w:val="20"/>
            </w:rPr>
            <w:t>Issued</w:t>
          </w:r>
        </w:p>
      </w:tc>
      <w:tc>
        <w:tcPr>
          <w:tcW w:w="1227" w:type="dxa"/>
        </w:tcPr>
        <w:p w:rsidRPr="009469DB" w:rsidR="00131848" w:rsidP="006F0321" w:rsidRDefault="00131848" w14:paraId="0EAF8231" w14:textId="77777777">
          <w:pPr>
            <w:pStyle w:val="Footer"/>
            <w:rPr>
              <w:rFonts w:asciiTheme="minorHAnsi" w:hAnsiTheme="minorHAnsi" w:cstheme="minorHAnsi"/>
              <w:b/>
              <w:bCs/>
              <w:i/>
              <w:iCs/>
              <w:sz w:val="20"/>
            </w:rPr>
          </w:pPr>
          <w:r w:rsidRPr="009469DB">
            <w:rPr>
              <w:rFonts w:asciiTheme="minorHAnsi" w:hAnsiTheme="minorHAnsi" w:cstheme="minorHAnsi"/>
              <w:b/>
              <w:bCs/>
              <w:i/>
              <w:iCs/>
              <w:sz w:val="20"/>
            </w:rPr>
            <w:t>Review Date</w:t>
          </w:r>
        </w:p>
      </w:tc>
      <w:tc>
        <w:tcPr>
          <w:tcW w:w="1964" w:type="dxa"/>
        </w:tcPr>
        <w:p w:rsidRPr="009469DB" w:rsidR="00131848" w:rsidP="006F0321" w:rsidRDefault="00131848" w14:paraId="7E224AE5" w14:textId="77777777">
          <w:pPr>
            <w:pStyle w:val="Footer"/>
            <w:rPr>
              <w:rFonts w:asciiTheme="minorHAnsi" w:hAnsiTheme="minorHAnsi" w:cstheme="minorHAnsi"/>
              <w:b/>
              <w:bCs/>
              <w:i/>
              <w:iCs/>
              <w:sz w:val="20"/>
            </w:rPr>
          </w:pPr>
          <w:r w:rsidRPr="009469DB">
            <w:rPr>
              <w:rFonts w:asciiTheme="minorHAnsi" w:hAnsiTheme="minorHAnsi" w:cstheme="minorHAnsi"/>
              <w:b/>
              <w:bCs/>
              <w:i/>
              <w:iCs/>
              <w:sz w:val="20"/>
            </w:rPr>
            <w:t>Area Responsible</w:t>
          </w:r>
        </w:p>
      </w:tc>
      <w:tc>
        <w:tcPr>
          <w:tcW w:w="1817" w:type="dxa"/>
        </w:tcPr>
        <w:p w:rsidRPr="009469DB" w:rsidR="00131848" w:rsidP="006F0321" w:rsidRDefault="00131848" w14:paraId="04A01CC5" w14:textId="77777777">
          <w:pPr>
            <w:pStyle w:val="Footer"/>
            <w:rPr>
              <w:rFonts w:asciiTheme="minorHAnsi" w:hAnsiTheme="minorHAnsi" w:cstheme="minorHAnsi"/>
              <w:b/>
              <w:bCs/>
              <w:i/>
              <w:iCs/>
              <w:sz w:val="20"/>
            </w:rPr>
          </w:pPr>
          <w:r w:rsidRPr="009469DB">
            <w:rPr>
              <w:rFonts w:asciiTheme="minorHAnsi" w:hAnsiTheme="minorHAnsi" w:cstheme="minorHAnsi"/>
              <w:b/>
              <w:bCs/>
              <w:i/>
              <w:iCs/>
              <w:sz w:val="20"/>
            </w:rPr>
            <w:t>Page</w:t>
          </w:r>
        </w:p>
      </w:tc>
    </w:tr>
    <w:tr w:rsidRPr="009469DB" w:rsidR="00131848" w:rsidTr="00EE0576" w14:paraId="2F619C3D" w14:textId="77777777">
      <w:tc>
        <w:tcPr>
          <w:tcW w:w="1509" w:type="dxa"/>
        </w:tcPr>
        <w:p w:rsidRPr="009469DB" w:rsidR="00131848" w:rsidP="006F0321" w:rsidRDefault="00131848" w14:paraId="77DB6D10" w14:textId="38FA90B9">
          <w:pPr>
            <w:pStyle w:val="Footer"/>
            <w:rPr>
              <w:rFonts w:asciiTheme="minorHAnsi" w:hAnsiTheme="minorHAnsi" w:cstheme="minorHAnsi"/>
              <w:b/>
              <w:bCs/>
              <w:i/>
              <w:iCs/>
              <w:sz w:val="20"/>
            </w:rPr>
          </w:pPr>
          <w:r>
            <w:rPr>
              <w:rFonts w:asciiTheme="minorHAnsi" w:hAnsiTheme="minorHAnsi" w:cstheme="minorHAnsi"/>
              <w:b/>
              <w:bCs/>
              <w:i/>
              <w:iCs/>
              <w:sz w:val="20"/>
            </w:rPr>
            <w:t>CHS21/305</w:t>
          </w:r>
        </w:p>
      </w:tc>
      <w:tc>
        <w:tcPr>
          <w:tcW w:w="963" w:type="dxa"/>
        </w:tcPr>
        <w:p w:rsidRPr="009469DB" w:rsidR="00131848" w:rsidP="006F0321" w:rsidRDefault="00131848" w14:paraId="37F3F13B" w14:textId="5846C066">
          <w:pPr>
            <w:pStyle w:val="Footer"/>
            <w:rPr>
              <w:rFonts w:asciiTheme="minorHAnsi" w:hAnsiTheme="minorHAnsi" w:cstheme="minorHAnsi"/>
              <w:b/>
              <w:bCs/>
              <w:i/>
              <w:iCs/>
              <w:sz w:val="20"/>
            </w:rPr>
          </w:pPr>
          <w:r>
            <w:rPr>
              <w:rFonts w:asciiTheme="minorHAnsi" w:hAnsiTheme="minorHAnsi" w:cstheme="minorHAnsi"/>
              <w:b/>
              <w:bCs/>
              <w:i/>
              <w:iCs/>
              <w:sz w:val="20"/>
            </w:rPr>
            <w:t>1</w:t>
          </w:r>
        </w:p>
      </w:tc>
      <w:tc>
        <w:tcPr>
          <w:tcW w:w="1546" w:type="dxa"/>
        </w:tcPr>
        <w:p w:rsidRPr="009469DB" w:rsidR="00131848" w:rsidP="006F0321" w:rsidRDefault="00131848" w14:paraId="247A25FF" w14:textId="67EA14C3">
          <w:pPr>
            <w:pStyle w:val="Footer"/>
            <w:rPr>
              <w:rFonts w:asciiTheme="minorHAnsi" w:hAnsiTheme="minorHAnsi" w:cstheme="minorHAnsi"/>
              <w:b/>
              <w:bCs/>
              <w:i/>
              <w:iCs/>
              <w:sz w:val="20"/>
            </w:rPr>
          </w:pPr>
          <w:r>
            <w:rPr>
              <w:rFonts w:asciiTheme="minorHAnsi" w:hAnsiTheme="minorHAnsi" w:cstheme="minorHAnsi"/>
              <w:b/>
              <w:bCs/>
              <w:i/>
              <w:iCs/>
              <w:sz w:val="20"/>
            </w:rPr>
            <w:t>20/05/2021</w:t>
          </w:r>
        </w:p>
      </w:tc>
      <w:tc>
        <w:tcPr>
          <w:tcW w:w="1227" w:type="dxa"/>
        </w:tcPr>
        <w:p w:rsidRPr="009469DB" w:rsidR="00131848" w:rsidP="006F0321" w:rsidRDefault="00131848" w14:paraId="7D107F00" w14:textId="35CC8EB6">
          <w:pPr>
            <w:pStyle w:val="Footer"/>
            <w:rPr>
              <w:rFonts w:asciiTheme="minorHAnsi" w:hAnsiTheme="minorHAnsi" w:cstheme="minorHAnsi"/>
              <w:b/>
              <w:bCs/>
              <w:i/>
              <w:iCs/>
              <w:sz w:val="20"/>
            </w:rPr>
          </w:pPr>
          <w:r>
            <w:rPr>
              <w:rFonts w:asciiTheme="minorHAnsi" w:hAnsiTheme="minorHAnsi" w:cstheme="minorHAnsi"/>
              <w:b/>
              <w:bCs/>
              <w:i/>
              <w:iCs/>
              <w:sz w:val="20"/>
            </w:rPr>
            <w:t>01/05/2024</w:t>
          </w:r>
        </w:p>
      </w:tc>
      <w:tc>
        <w:tcPr>
          <w:tcW w:w="1964" w:type="dxa"/>
        </w:tcPr>
        <w:p w:rsidRPr="009469DB" w:rsidR="00131848" w:rsidP="006F0321" w:rsidRDefault="00131848" w14:paraId="7CE51B42" w14:textId="53C0B1F1">
          <w:pPr>
            <w:pStyle w:val="Footer"/>
            <w:rPr>
              <w:rFonts w:asciiTheme="minorHAnsi" w:hAnsiTheme="minorHAnsi" w:cstheme="minorHAnsi"/>
              <w:b/>
              <w:bCs/>
              <w:i/>
              <w:iCs/>
              <w:sz w:val="20"/>
            </w:rPr>
          </w:pPr>
          <w:r>
            <w:rPr>
              <w:rFonts w:asciiTheme="minorHAnsi" w:hAnsiTheme="minorHAnsi" w:cstheme="minorHAnsi"/>
              <w:b/>
              <w:bCs/>
              <w:i/>
              <w:iCs/>
              <w:sz w:val="20"/>
            </w:rPr>
            <w:t>WY&amp;C, Neonatology</w:t>
          </w:r>
        </w:p>
      </w:tc>
      <w:tc>
        <w:tcPr>
          <w:tcW w:w="1817" w:type="dxa"/>
        </w:tcPr>
        <w:p w:rsidRPr="009469DB" w:rsidR="00131848" w:rsidP="006F0321" w:rsidRDefault="00131848" w14:paraId="7C53A158" w14:textId="77777777">
          <w:pPr>
            <w:pStyle w:val="Footer"/>
            <w:rPr>
              <w:rFonts w:asciiTheme="minorHAnsi" w:hAnsiTheme="minorHAnsi" w:cstheme="minorHAnsi"/>
              <w:b/>
              <w:bCs/>
              <w:i/>
              <w:iCs/>
              <w:sz w:val="20"/>
            </w:rPr>
          </w:pPr>
          <w:r w:rsidRPr="009469DB">
            <w:rPr>
              <w:rStyle w:val="PageNumber"/>
              <w:rFonts w:asciiTheme="minorHAnsi" w:hAnsiTheme="minorHAnsi" w:cstheme="minorHAnsi"/>
              <w:b/>
              <w:bCs/>
              <w:i/>
              <w:iCs/>
              <w:sz w:val="20"/>
            </w:rPr>
            <w:fldChar w:fldCharType="begin"/>
          </w:r>
          <w:r w:rsidRPr="009469DB">
            <w:rPr>
              <w:rStyle w:val="PageNumber"/>
              <w:rFonts w:asciiTheme="minorHAnsi" w:hAnsiTheme="minorHAnsi" w:cstheme="minorHAnsi"/>
              <w:b/>
              <w:bCs/>
              <w:i/>
              <w:iCs/>
              <w:sz w:val="20"/>
            </w:rPr>
            <w:instrText xml:space="preserve"> PAGE </w:instrText>
          </w:r>
          <w:r w:rsidRPr="009469DB">
            <w:rPr>
              <w:rStyle w:val="PageNumber"/>
              <w:rFonts w:asciiTheme="minorHAnsi" w:hAnsiTheme="minorHAnsi" w:cstheme="minorHAnsi"/>
              <w:b/>
              <w:bCs/>
              <w:i/>
              <w:iCs/>
              <w:sz w:val="20"/>
            </w:rPr>
            <w:fldChar w:fldCharType="separate"/>
          </w:r>
          <w:r>
            <w:rPr>
              <w:rStyle w:val="PageNumber"/>
              <w:rFonts w:asciiTheme="minorHAnsi" w:hAnsiTheme="minorHAnsi" w:cstheme="minorHAnsi"/>
              <w:b/>
              <w:bCs/>
              <w:i/>
              <w:iCs/>
              <w:noProof/>
              <w:sz w:val="20"/>
            </w:rPr>
            <w:t>102</w:t>
          </w:r>
          <w:r w:rsidRPr="009469DB">
            <w:rPr>
              <w:rStyle w:val="PageNumber"/>
              <w:rFonts w:asciiTheme="minorHAnsi" w:hAnsiTheme="minorHAnsi" w:cstheme="minorHAnsi"/>
              <w:b/>
              <w:bCs/>
              <w:i/>
              <w:iCs/>
              <w:sz w:val="20"/>
            </w:rPr>
            <w:fldChar w:fldCharType="end"/>
          </w:r>
          <w:r w:rsidRPr="009469DB">
            <w:rPr>
              <w:rStyle w:val="PageNumber"/>
              <w:rFonts w:asciiTheme="minorHAnsi" w:hAnsiTheme="minorHAnsi" w:cstheme="minorHAnsi"/>
              <w:b/>
              <w:bCs/>
              <w:i/>
              <w:iCs/>
              <w:sz w:val="20"/>
            </w:rPr>
            <w:t xml:space="preserve"> of </w:t>
          </w:r>
          <w:r w:rsidRPr="009469DB">
            <w:rPr>
              <w:rStyle w:val="PageNumber"/>
              <w:rFonts w:asciiTheme="minorHAnsi" w:hAnsiTheme="minorHAnsi" w:cstheme="minorHAnsi"/>
              <w:b/>
              <w:bCs/>
              <w:i/>
              <w:iCs/>
              <w:sz w:val="20"/>
            </w:rPr>
            <w:fldChar w:fldCharType="begin"/>
          </w:r>
          <w:r w:rsidRPr="009469DB">
            <w:rPr>
              <w:rStyle w:val="PageNumber"/>
              <w:rFonts w:asciiTheme="minorHAnsi" w:hAnsiTheme="minorHAnsi" w:cstheme="minorHAnsi"/>
              <w:b/>
              <w:bCs/>
              <w:i/>
              <w:iCs/>
              <w:sz w:val="20"/>
            </w:rPr>
            <w:instrText xml:space="preserve"> NUMPAGES </w:instrText>
          </w:r>
          <w:r w:rsidRPr="009469DB">
            <w:rPr>
              <w:rStyle w:val="PageNumber"/>
              <w:rFonts w:asciiTheme="minorHAnsi" w:hAnsiTheme="minorHAnsi" w:cstheme="minorHAnsi"/>
              <w:b/>
              <w:bCs/>
              <w:i/>
              <w:iCs/>
              <w:sz w:val="20"/>
            </w:rPr>
            <w:fldChar w:fldCharType="separate"/>
          </w:r>
          <w:r>
            <w:rPr>
              <w:rStyle w:val="PageNumber"/>
              <w:rFonts w:asciiTheme="minorHAnsi" w:hAnsiTheme="minorHAnsi" w:cstheme="minorHAnsi"/>
              <w:b/>
              <w:bCs/>
              <w:i/>
              <w:iCs/>
              <w:noProof/>
              <w:sz w:val="20"/>
            </w:rPr>
            <w:t>516</w:t>
          </w:r>
          <w:r w:rsidRPr="009469DB">
            <w:rPr>
              <w:rStyle w:val="PageNumber"/>
              <w:rFonts w:asciiTheme="minorHAnsi" w:hAnsiTheme="minorHAnsi" w:cstheme="minorHAnsi"/>
              <w:b/>
              <w:bCs/>
              <w:i/>
              <w:iCs/>
              <w:sz w:val="20"/>
            </w:rPr>
            <w:fldChar w:fldCharType="end"/>
          </w:r>
        </w:p>
      </w:tc>
    </w:tr>
    <w:tr w:rsidRPr="009469DB" w:rsidR="00131848" w:rsidTr="00EE0576" w14:paraId="5C0C6500" w14:textId="77777777">
      <w:trPr>
        <w:trHeight w:val="231"/>
      </w:trPr>
      <w:tc>
        <w:tcPr>
          <w:tcW w:w="9026" w:type="dxa"/>
          <w:gridSpan w:val="6"/>
          <w:tcBorders>
            <w:top w:val="single" w:color="auto" w:sz="4" w:space="0"/>
            <w:left w:val="single" w:color="auto" w:sz="4" w:space="0"/>
            <w:bottom w:val="single" w:color="auto" w:sz="4" w:space="0"/>
            <w:right w:val="single" w:color="auto" w:sz="4" w:space="0"/>
          </w:tcBorders>
        </w:tcPr>
        <w:p w:rsidRPr="009469DB" w:rsidR="00131848" w:rsidP="009469DB" w:rsidRDefault="00131848" w14:paraId="4EB39FF5" w14:textId="77777777">
          <w:pPr>
            <w:pStyle w:val="Footer"/>
            <w:jc w:val="center"/>
            <w:rPr>
              <w:rStyle w:val="PageNumber"/>
              <w:rFonts w:asciiTheme="minorHAnsi" w:hAnsiTheme="minorHAnsi" w:cstheme="minorHAnsi"/>
              <w:i/>
              <w:iCs/>
              <w:sz w:val="16"/>
              <w:szCs w:val="16"/>
            </w:rPr>
          </w:pPr>
          <w:r w:rsidRPr="009469DB">
            <w:rPr>
              <w:rFonts w:asciiTheme="minorHAnsi" w:hAnsiTheme="minorHAnsi" w:cstheme="minorHAnsi"/>
              <w:i/>
              <w:iCs/>
              <w:sz w:val="16"/>
              <w:szCs w:val="16"/>
            </w:rPr>
            <w:t>Do not refer to a paper based copy of this policy document. The most current version can be found on the CHS Policy Register</w:t>
          </w:r>
        </w:p>
      </w:tc>
    </w:tr>
  </w:tbl>
  <w:p w:rsidR="00131848" w:rsidP="006F0321" w:rsidRDefault="00131848" w14:paraId="628B9986" w14:textId="77777777">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1848" w:rsidP="006F0321" w:rsidRDefault="00131848" w14:paraId="04496A72" w14:textId="77777777">
      <w:r>
        <w:separator/>
      </w:r>
    </w:p>
  </w:footnote>
  <w:footnote w:type="continuationSeparator" w:id="0">
    <w:p w:rsidR="00131848" w:rsidP="006F0321" w:rsidRDefault="00131848" w14:paraId="077CFFAB" w14:textId="77777777">
      <w:r>
        <w:continuationSeparator/>
      </w:r>
    </w:p>
  </w:footnote>
  <w:footnote w:type="continuationNotice" w:id="1">
    <w:p w:rsidR="00131848" w:rsidRDefault="00131848" w14:paraId="1287003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tbl>
    <w:tblPr>
      <w:tblStyle w:val="TableGrid"/>
      <w:tblW w:w="906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84"/>
      <w:gridCol w:w="3485"/>
    </w:tblGrid>
    <w:tr w:rsidR="00131848" w:rsidTr="5801437A" w14:paraId="399FE725" w14:textId="77777777">
      <w:trPr>
        <w:trHeight w:val="1418"/>
      </w:trPr>
      <w:tc>
        <w:tcPr>
          <w:tcW w:w="5584" w:type="dxa"/>
          <w:tcMar/>
          <w:vAlign w:val="center"/>
          <w:hideMark/>
        </w:tcPr>
        <w:p w:rsidR="00131848" w:rsidP="006F0321" w:rsidRDefault="00131848" w14:paraId="0082BC4D" w14:textId="77777777">
          <w:pPr>
            <w:pStyle w:val="Header"/>
          </w:pPr>
          <w:r w:rsidR="5801437A">
            <w:drawing>
              <wp:inline wp14:editId="506E69D9" wp14:anchorId="5101518A">
                <wp:extent cx="3295650" cy="723900"/>
                <wp:effectExtent l="0" t="0" r="0" b="0"/>
                <wp:docPr id="1" name="Picture 1" descr="Canberra Health Services_RGB" title=""/>
                <wp:cNvGraphicFramePr>
                  <a:graphicFrameLocks noChangeAspect="1"/>
                </wp:cNvGraphicFramePr>
                <a:graphic>
                  <a:graphicData uri="http://schemas.openxmlformats.org/drawingml/2006/picture">
                    <pic:pic>
                      <pic:nvPicPr>
                        <pic:cNvPr id="0" name="Picture 1"/>
                        <pic:cNvPicPr/>
                      </pic:nvPicPr>
                      <pic:blipFill>
                        <a:blip r:embed="Rb7b2de662a2a47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95650" cy="723900"/>
                        </a:xfrm>
                        <a:prstGeom prst="rect">
                          <a:avLst/>
                        </a:prstGeom>
                      </pic:spPr>
                    </pic:pic>
                  </a:graphicData>
                </a:graphic>
              </wp:inline>
            </w:drawing>
          </w:r>
        </w:p>
      </w:tc>
      <w:tc>
        <w:tcPr>
          <w:tcW w:w="3485" w:type="dxa"/>
          <w:tcMar/>
          <w:vAlign w:val="center"/>
          <w:hideMark/>
        </w:tcPr>
        <w:p w:rsidRPr="00346CE7" w:rsidR="00131848" w:rsidP="007A056A" w:rsidRDefault="00131848" w14:paraId="327E7D76" w14:textId="13A65CF7">
          <w:pPr>
            <w:pStyle w:val="Header"/>
            <w:ind w:left="2160"/>
          </w:pPr>
          <w:bookmarkStart w:name="_top" w:id="637"/>
          <w:bookmarkEnd w:id="637"/>
          <w:r w:rsidRPr="00346CE7">
            <w:t>CHS</w:t>
          </w:r>
          <w:r>
            <w:t>21</w:t>
          </w:r>
          <w:r w:rsidRPr="00346CE7">
            <w:t>/</w:t>
          </w:r>
          <w:r>
            <w:t>305</w:t>
          </w:r>
        </w:p>
      </w:tc>
    </w:tr>
  </w:tbl>
  <w:p w:rsidRPr="0048482D" w:rsidR="00131848" w:rsidP="006F0321" w:rsidRDefault="00131848" w14:paraId="46733C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2D71"/>
    <w:multiLevelType w:val="hybridMultilevel"/>
    <w:tmpl w:val="0EE00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C4721E"/>
    <w:multiLevelType w:val="hybridMultilevel"/>
    <w:tmpl w:val="6D04B89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289647C"/>
    <w:multiLevelType w:val="hybridMultilevel"/>
    <w:tmpl w:val="9044EF8A"/>
    <w:lvl w:ilvl="0" w:tplc="73DC454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A9382A"/>
    <w:multiLevelType w:val="hybridMultilevel"/>
    <w:tmpl w:val="BE1E3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1C692C"/>
    <w:multiLevelType w:val="hybridMultilevel"/>
    <w:tmpl w:val="F588FA7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03656580"/>
    <w:multiLevelType w:val="hybridMultilevel"/>
    <w:tmpl w:val="099E467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253B2C"/>
    <w:multiLevelType w:val="hybridMultilevel"/>
    <w:tmpl w:val="701C78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4270770"/>
    <w:multiLevelType w:val="hybridMultilevel"/>
    <w:tmpl w:val="3CD4DD2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049D1B92"/>
    <w:multiLevelType w:val="hybridMultilevel"/>
    <w:tmpl w:val="F57C49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59E1DBC"/>
    <w:multiLevelType w:val="hybridMultilevel"/>
    <w:tmpl w:val="B43847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64B2CFF"/>
    <w:multiLevelType w:val="hybridMultilevel"/>
    <w:tmpl w:val="B7BA06C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68309BD"/>
    <w:multiLevelType w:val="hybridMultilevel"/>
    <w:tmpl w:val="35FA0D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9E6972"/>
    <w:multiLevelType w:val="hybridMultilevel"/>
    <w:tmpl w:val="FFFFFFFF"/>
    <w:lvl w:ilvl="0" w:tplc="F2844206">
      <w:start w:val="1"/>
      <w:numFmt w:val="decimal"/>
      <w:lvlText w:val="%1."/>
      <w:lvlJc w:val="left"/>
      <w:pPr>
        <w:ind w:left="720" w:hanging="360"/>
      </w:pPr>
    </w:lvl>
    <w:lvl w:ilvl="1" w:tplc="6FF21C56">
      <w:start w:val="1"/>
      <w:numFmt w:val="lowerLetter"/>
      <w:lvlText w:val="%2."/>
      <w:lvlJc w:val="left"/>
      <w:pPr>
        <w:ind w:left="1440" w:hanging="360"/>
      </w:pPr>
    </w:lvl>
    <w:lvl w:ilvl="2" w:tplc="9836C668">
      <w:start w:val="1"/>
      <w:numFmt w:val="lowerRoman"/>
      <w:lvlText w:val="%3."/>
      <w:lvlJc w:val="right"/>
      <w:pPr>
        <w:ind w:left="2160" w:hanging="180"/>
      </w:pPr>
    </w:lvl>
    <w:lvl w:ilvl="3" w:tplc="F55A463A">
      <w:start w:val="1"/>
      <w:numFmt w:val="decimal"/>
      <w:lvlText w:val="%4."/>
      <w:lvlJc w:val="left"/>
      <w:pPr>
        <w:ind w:left="2880" w:hanging="360"/>
      </w:pPr>
    </w:lvl>
    <w:lvl w:ilvl="4" w:tplc="A524E146">
      <w:start w:val="1"/>
      <w:numFmt w:val="lowerLetter"/>
      <w:lvlText w:val="%5."/>
      <w:lvlJc w:val="left"/>
      <w:pPr>
        <w:ind w:left="3600" w:hanging="360"/>
      </w:pPr>
    </w:lvl>
    <w:lvl w:ilvl="5" w:tplc="B66033B0">
      <w:start w:val="1"/>
      <w:numFmt w:val="lowerRoman"/>
      <w:lvlText w:val="%6."/>
      <w:lvlJc w:val="right"/>
      <w:pPr>
        <w:ind w:left="4320" w:hanging="180"/>
      </w:pPr>
    </w:lvl>
    <w:lvl w:ilvl="6" w:tplc="4FA2890C">
      <w:start w:val="1"/>
      <w:numFmt w:val="decimal"/>
      <w:lvlText w:val="%7."/>
      <w:lvlJc w:val="left"/>
      <w:pPr>
        <w:ind w:left="5040" w:hanging="360"/>
      </w:pPr>
    </w:lvl>
    <w:lvl w:ilvl="7" w:tplc="35C6403C">
      <w:start w:val="1"/>
      <w:numFmt w:val="lowerLetter"/>
      <w:lvlText w:val="%8."/>
      <w:lvlJc w:val="left"/>
      <w:pPr>
        <w:ind w:left="5760" w:hanging="360"/>
      </w:pPr>
    </w:lvl>
    <w:lvl w:ilvl="8" w:tplc="C2AE2896">
      <w:start w:val="1"/>
      <w:numFmt w:val="lowerRoman"/>
      <w:lvlText w:val="%9."/>
      <w:lvlJc w:val="right"/>
      <w:pPr>
        <w:ind w:left="6480" w:hanging="180"/>
      </w:pPr>
    </w:lvl>
  </w:abstractNum>
  <w:abstractNum w:abstractNumId="13" w15:restartNumberingAfterBreak="0">
    <w:nsid w:val="09244C8E"/>
    <w:multiLevelType w:val="hybridMultilevel"/>
    <w:tmpl w:val="DAC09F74"/>
    <w:lvl w:ilvl="0" w:tplc="B8FAEBFC">
      <w:start w:val="1"/>
      <w:numFmt w:val="decimal"/>
      <w:lvlText w:val="%1."/>
      <w:lvlJc w:val="left"/>
      <w:pPr>
        <w:ind w:left="512" w:hanging="720"/>
      </w:pPr>
      <w:rPr>
        <w:rFonts w:hint="default"/>
      </w:rPr>
    </w:lvl>
    <w:lvl w:ilvl="1" w:tplc="0C090019" w:tentative="1">
      <w:start w:val="1"/>
      <w:numFmt w:val="lowerLetter"/>
      <w:lvlText w:val="%2."/>
      <w:lvlJc w:val="left"/>
      <w:pPr>
        <w:ind w:left="872" w:hanging="360"/>
      </w:pPr>
    </w:lvl>
    <w:lvl w:ilvl="2" w:tplc="0C09001B" w:tentative="1">
      <w:start w:val="1"/>
      <w:numFmt w:val="lowerRoman"/>
      <w:lvlText w:val="%3."/>
      <w:lvlJc w:val="right"/>
      <w:pPr>
        <w:ind w:left="1592" w:hanging="180"/>
      </w:pPr>
    </w:lvl>
    <w:lvl w:ilvl="3" w:tplc="0C09000F" w:tentative="1">
      <w:start w:val="1"/>
      <w:numFmt w:val="decimal"/>
      <w:lvlText w:val="%4."/>
      <w:lvlJc w:val="left"/>
      <w:pPr>
        <w:ind w:left="2312" w:hanging="360"/>
      </w:pPr>
    </w:lvl>
    <w:lvl w:ilvl="4" w:tplc="0C090019" w:tentative="1">
      <w:start w:val="1"/>
      <w:numFmt w:val="lowerLetter"/>
      <w:lvlText w:val="%5."/>
      <w:lvlJc w:val="left"/>
      <w:pPr>
        <w:ind w:left="3032" w:hanging="360"/>
      </w:pPr>
    </w:lvl>
    <w:lvl w:ilvl="5" w:tplc="0C09001B" w:tentative="1">
      <w:start w:val="1"/>
      <w:numFmt w:val="lowerRoman"/>
      <w:lvlText w:val="%6."/>
      <w:lvlJc w:val="right"/>
      <w:pPr>
        <w:ind w:left="3752" w:hanging="180"/>
      </w:pPr>
    </w:lvl>
    <w:lvl w:ilvl="6" w:tplc="0C09000F" w:tentative="1">
      <w:start w:val="1"/>
      <w:numFmt w:val="decimal"/>
      <w:lvlText w:val="%7."/>
      <w:lvlJc w:val="left"/>
      <w:pPr>
        <w:ind w:left="4472" w:hanging="360"/>
      </w:pPr>
    </w:lvl>
    <w:lvl w:ilvl="7" w:tplc="0C090019" w:tentative="1">
      <w:start w:val="1"/>
      <w:numFmt w:val="lowerLetter"/>
      <w:lvlText w:val="%8."/>
      <w:lvlJc w:val="left"/>
      <w:pPr>
        <w:ind w:left="5192" w:hanging="360"/>
      </w:pPr>
    </w:lvl>
    <w:lvl w:ilvl="8" w:tplc="0C09001B" w:tentative="1">
      <w:start w:val="1"/>
      <w:numFmt w:val="lowerRoman"/>
      <w:lvlText w:val="%9."/>
      <w:lvlJc w:val="right"/>
      <w:pPr>
        <w:ind w:left="5912" w:hanging="180"/>
      </w:pPr>
    </w:lvl>
  </w:abstractNum>
  <w:abstractNum w:abstractNumId="14" w15:restartNumberingAfterBreak="0">
    <w:nsid w:val="094D77C0"/>
    <w:multiLevelType w:val="hybridMultilevel"/>
    <w:tmpl w:val="0C090011"/>
    <w:lvl w:ilvl="0" w:tplc="0576D292">
      <w:start w:val="1"/>
      <w:numFmt w:val="decimal"/>
      <w:lvlText w:val="%1)"/>
      <w:lvlJc w:val="left"/>
      <w:pPr>
        <w:tabs>
          <w:tab w:val="num" w:pos="360"/>
        </w:tabs>
        <w:ind w:left="360" w:hanging="360"/>
      </w:pPr>
      <w:rPr>
        <w:rFonts w:hint="default"/>
      </w:rPr>
    </w:lvl>
    <w:lvl w:ilvl="1" w:tplc="AFC0D9B0">
      <w:numFmt w:val="decimal"/>
      <w:lvlText w:val=""/>
      <w:lvlJc w:val="left"/>
    </w:lvl>
    <w:lvl w:ilvl="2" w:tplc="EBDC15A4">
      <w:numFmt w:val="decimal"/>
      <w:lvlText w:val=""/>
      <w:lvlJc w:val="left"/>
    </w:lvl>
    <w:lvl w:ilvl="3" w:tplc="729663DE">
      <w:numFmt w:val="decimal"/>
      <w:lvlText w:val=""/>
      <w:lvlJc w:val="left"/>
    </w:lvl>
    <w:lvl w:ilvl="4" w:tplc="ABD6CC30">
      <w:numFmt w:val="decimal"/>
      <w:lvlText w:val=""/>
      <w:lvlJc w:val="left"/>
    </w:lvl>
    <w:lvl w:ilvl="5" w:tplc="C1824010">
      <w:numFmt w:val="decimal"/>
      <w:lvlText w:val=""/>
      <w:lvlJc w:val="left"/>
    </w:lvl>
    <w:lvl w:ilvl="6" w:tplc="FF28436E">
      <w:numFmt w:val="decimal"/>
      <w:lvlText w:val=""/>
      <w:lvlJc w:val="left"/>
    </w:lvl>
    <w:lvl w:ilvl="7" w:tplc="53B4A526">
      <w:numFmt w:val="decimal"/>
      <w:lvlText w:val=""/>
      <w:lvlJc w:val="left"/>
    </w:lvl>
    <w:lvl w:ilvl="8" w:tplc="33C09F7E">
      <w:numFmt w:val="decimal"/>
      <w:lvlText w:val=""/>
      <w:lvlJc w:val="left"/>
    </w:lvl>
  </w:abstractNum>
  <w:abstractNum w:abstractNumId="15" w15:restartNumberingAfterBreak="0">
    <w:nsid w:val="09C46666"/>
    <w:multiLevelType w:val="hybridMultilevel"/>
    <w:tmpl w:val="E74CE1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A341FFE"/>
    <w:multiLevelType w:val="hybridMultilevel"/>
    <w:tmpl w:val="26A83F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0AC675E5"/>
    <w:multiLevelType w:val="hybridMultilevel"/>
    <w:tmpl w:val="075A542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8" w15:restartNumberingAfterBreak="0">
    <w:nsid w:val="0B1316FD"/>
    <w:multiLevelType w:val="hybridMultilevel"/>
    <w:tmpl w:val="47A29A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0CCF0E9B"/>
    <w:multiLevelType w:val="hybridMultilevel"/>
    <w:tmpl w:val="FBD260F6"/>
    <w:lvl w:ilvl="0" w:tplc="D72C59A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0FAC7978"/>
    <w:multiLevelType w:val="hybridMultilevel"/>
    <w:tmpl w:val="AA8AFDA8"/>
    <w:lvl w:ilvl="0" w:tplc="B2AE4CF2">
      <w:start w:val="1"/>
      <w:numFmt w:val="decimal"/>
      <w:lvlText w:val="%1."/>
      <w:lvlJc w:val="left"/>
      <w:pPr>
        <w:ind w:left="720" w:hanging="360"/>
      </w:pPr>
    </w:lvl>
    <w:lvl w:ilvl="1" w:tplc="40BE2D10">
      <w:start w:val="1"/>
      <w:numFmt w:val="lowerLetter"/>
      <w:lvlText w:val="%2."/>
      <w:lvlJc w:val="left"/>
      <w:pPr>
        <w:ind w:left="1440" w:hanging="360"/>
      </w:pPr>
    </w:lvl>
    <w:lvl w:ilvl="2" w:tplc="38208C5C">
      <w:start w:val="1"/>
      <w:numFmt w:val="lowerRoman"/>
      <w:lvlText w:val="%3."/>
      <w:lvlJc w:val="right"/>
      <w:pPr>
        <w:ind w:left="2160" w:hanging="180"/>
      </w:pPr>
    </w:lvl>
    <w:lvl w:ilvl="3" w:tplc="0A688B3A">
      <w:start w:val="1"/>
      <w:numFmt w:val="decimal"/>
      <w:lvlText w:val="%4."/>
      <w:lvlJc w:val="left"/>
      <w:pPr>
        <w:ind w:left="2880" w:hanging="360"/>
      </w:pPr>
    </w:lvl>
    <w:lvl w:ilvl="4" w:tplc="A9AA620A">
      <w:start w:val="1"/>
      <w:numFmt w:val="lowerLetter"/>
      <w:lvlText w:val="%5."/>
      <w:lvlJc w:val="left"/>
      <w:pPr>
        <w:ind w:left="3600" w:hanging="360"/>
      </w:pPr>
    </w:lvl>
    <w:lvl w:ilvl="5" w:tplc="B972FD54">
      <w:start w:val="1"/>
      <w:numFmt w:val="lowerRoman"/>
      <w:lvlText w:val="%6."/>
      <w:lvlJc w:val="right"/>
      <w:pPr>
        <w:ind w:left="4320" w:hanging="180"/>
      </w:pPr>
    </w:lvl>
    <w:lvl w:ilvl="6" w:tplc="27BA7DA2">
      <w:start w:val="1"/>
      <w:numFmt w:val="decimal"/>
      <w:lvlText w:val="%7."/>
      <w:lvlJc w:val="left"/>
      <w:pPr>
        <w:ind w:left="5040" w:hanging="360"/>
      </w:pPr>
    </w:lvl>
    <w:lvl w:ilvl="7" w:tplc="443AC568">
      <w:start w:val="1"/>
      <w:numFmt w:val="lowerLetter"/>
      <w:lvlText w:val="%8."/>
      <w:lvlJc w:val="left"/>
      <w:pPr>
        <w:ind w:left="5760" w:hanging="360"/>
      </w:pPr>
    </w:lvl>
    <w:lvl w:ilvl="8" w:tplc="DF7669FA">
      <w:start w:val="1"/>
      <w:numFmt w:val="lowerRoman"/>
      <w:lvlText w:val="%9."/>
      <w:lvlJc w:val="right"/>
      <w:pPr>
        <w:ind w:left="6480" w:hanging="180"/>
      </w:pPr>
    </w:lvl>
  </w:abstractNum>
  <w:abstractNum w:abstractNumId="21" w15:restartNumberingAfterBreak="0">
    <w:nsid w:val="11470955"/>
    <w:multiLevelType w:val="hybridMultilevel"/>
    <w:tmpl w:val="E6387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1617716"/>
    <w:multiLevelType w:val="hybridMultilevel"/>
    <w:tmpl w:val="7ECA6D36"/>
    <w:lvl w:ilvl="0" w:tplc="82F2166C">
      <w:start w:val="1"/>
      <w:numFmt w:val="decimal"/>
      <w:lvlText w:val="%1."/>
      <w:lvlJc w:val="left"/>
      <w:pPr>
        <w:ind w:left="360" w:hanging="360"/>
      </w:pPr>
      <w:rPr>
        <w:rFonts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1AB1268"/>
    <w:multiLevelType w:val="hybridMultilevel"/>
    <w:tmpl w:val="CBD6771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4" w15:restartNumberingAfterBreak="0">
    <w:nsid w:val="120F6D3F"/>
    <w:multiLevelType w:val="hybridMultilevel"/>
    <w:tmpl w:val="A19EAE0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2A507CA"/>
    <w:multiLevelType w:val="hybridMultilevel"/>
    <w:tmpl w:val="386A97D2"/>
    <w:lvl w:ilvl="0" w:tplc="5240CBD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133B613F"/>
    <w:multiLevelType w:val="hybridMultilevel"/>
    <w:tmpl w:val="F06C200E"/>
    <w:lvl w:ilvl="0" w:tplc="155002CE">
      <w:start w:val="1"/>
      <w:numFmt w:val="decimal"/>
      <w:lvlText w:val="%1."/>
      <w:lvlJc w:val="left"/>
      <w:pPr>
        <w:ind w:left="720" w:hanging="360"/>
      </w:pPr>
    </w:lvl>
    <w:lvl w:ilvl="1" w:tplc="DEC6E348">
      <w:start w:val="1"/>
      <w:numFmt w:val="lowerLetter"/>
      <w:lvlText w:val="%2."/>
      <w:lvlJc w:val="left"/>
      <w:pPr>
        <w:ind w:left="1440" w:hanging="360"/>
      </w:pPr>
    </w:lvl>
    <w:lvl w:ilvl="2" w:tplc="D4A8F1B8">
      <w:start w:val="1"/>
      <w:numFmt w:val="lowerRoman"/>
      <w:lvlText w:val="%3."/>
      <w:lvlJc w:val="right"/>
      <w:pPr>
        <w:ind w:left="2160" w:hanging="180"/>
      </w:pPr>
    </w:lvl>
    <w:lvl w:ilvl="3" w:tplc="A07AD85C">
      <w:start w:val="1"/>
      <w:numFmt w:val="decimal"/>
      <w:lvlText w:val="%4."/>
      <w:lvlJc w:val="left"/>
      <w:pPr>
        <w:ind w:left="2880" w:hanging="360"/>
      </w:pPr>
    </w:lvl>
    <w:lvl w:ilvl="4" w:tplc="D2BE724C">
      <w:start w:val="1"/>
      <w:numFmt w:val="lowerLetter"/>
      <w:lvlText w:val="%5."/>
      <w:lvlJc w:val="left"/>
      <w:pPr>
        <w:ind w:left="3600" w:hanging="360"/>
      </w:pPr>
    </w:lvl>
    <w:lvl w:ilvl="5" w:tplc="406A8390">
      <w:start w:val="1"/>
      <w:numFmt w:val="lowerRoman"/>
      <w:lvlText w:val="%6."/>
      <w:lvlJc w:val="right"/>
      <w:pPr>
        <w:ind w:left="4320" w:hanging="180"/>
      </w:pPr>
    </w:lvl>
    <w:lvl w:ilvl="6" w:tplc="9DDC8244">
      <w:start w:val="1"/>
      <w:numFmt w:val="decimal"/>
      <w:lvlText w:val="%7."/>
      <w:lvlJc w:val="left"/>
      <w:pPr>
        <w:ind w:left="5040" w:hanging="360"/>
      </w:pPr>
    </w:lvl>
    <w:lvl w:ilvl="7" w:tplc="DBD4E806">
      <w:start w:val="1"/>
      <w:numFmt w:val="lowerLetter"/>
      <w:lvlText w:val="%8."/>
      <w:lvlJc w:val="left"/>
      <w:pPr>
        <w:ind w:left="5760" w:hanging="360"/>
      </w:pPr>
    </w:lvl>
    <w:lvl w:ilvl="8" w:tplc="C2B29842">
      <w:start w:val="1"/>
      <w:numFmt w:val="lowerRoman"/>
      <w:lvlText w:val="%9."/>
      <w:lvlJc w:val="right"/>
      <w:pPr>
        <w:ind w:left="6480" w:hanging="180"/>
      </w:pPr>
    </w:lvl>
  </w:abstractNum>
  <w:abstractNum w:abstractNumId="27" w15:restartNumberingAfterBreak="0">
    <w:nsid w:val="13AE1CC6"/>
    <w:multiLevelType w:val="hybridMultilevel"/>
    <w:tmpl w:val="4248262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1444254B"/>
    <w:multiLevelType w:val="hybridMultilevel"/>
    <w:tmpl w:val="C580652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9" w15:restartNumberingAfterBreak="0">
    <w:nsid w:val="15227CD8"/>
    <w:multiLevelType w:val="hybridMultilevel"/>
    <w:tmpl w:val="363E33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157D145F"/>
    <w:multiLevelType w:val="hybridMultilevel"/>
    <w:tmpl w:val="2B7EFD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5D845DD"/>
    <w:multiLevelType w:val="hybridMultilevel"/>
    <w:tmpl w:val="FFFFFFFF"/>
    <w:lvl w:ilvl="0" w:tplc="DA98B72A">
      <w:start w:val="1"/>
      <w:numFmt w:val="bullet"/>
      <w:lvlText w:val=""/>
      <w:lvlJc w:val="left"/>
      <w:pPr>
        <w:ind w:left="720" w:hanging="360"/>
      </w:pPr>
      <w:rPr>
        <w:rFonts w:hint="default" w:ascii="Symbol" w:hAnsi="Symbol"/>
      </w:rPr>
    </w:lvl>
    <w:lvl w:ilvl="1" w:tplc="67AC9EA6">
      <w:start w:val="1"/>
      <w:numFmt w:val="bullet"/>
      <w:lvlText w:val="o"/>
      <w:lvlJc w:val="left"/>
      <w:pPr>
        <w:ind w:left="1440" w:hanging="360"/>
      </w:pPr>
      <w:rPr>
        <w:rFonts w:hint="default" w:ascii="Courier New" w:hAnsi="Courier New"/>
      </w:rPr>
    </w:lvl>
    <w:lvl w:ilvl="2" w:tplc="D0FAB18E">
      <w:start w:val="1"/>
      <w:numFmt w:val="bullet"/>
      <w:lvlText w:val=""/>
      <w:lvlJc w:val="left"/>
      <w:pPr>
        <w:ind w:left="2160" w:hanging="360"/>
      </w:pPr>
      <w:rPr>
        <w:rFonts w:hint="default" w:ascii="Wingdings" w:hAnsi="Wingdings"/>
      </w:rPr>
    </w:lvl>
    <w:lvl w:ilvl="3" w:tplc="0B1EBFD6">
      <w:start w:val="1"/>
      <w:numFmt w:val="bullet"/>
      <w:lvlText w:val=""/>
      <w:lvlJc w:val="left"/>
      <w:pPr>
        <w:ind w:left="2880" w:hanging="360"/>
      </w:pPr>
      <w:rPr>
        <w:rFonts w:hint="default" w:ascii="Symbol" w:hAnsi="Symbol"/>
      </w:rPr>
    </w:lvl>
    <w:lvl w:ilvl="4" w:tplc="22C4FB5C">
      <w:start w:val="1"/>
      <w:numFmt w:val="bullet"/>
      <w:lvlText w:val="o"/>
      <w:lvlJc w:val="left"/>
      <w:pPr>
        <w:ind w:left="3600" w:hanging="360"/>
      </w:pPr>
      <w:rPr>
        <w:rFonts w:hint="default" w:ascii="Courier New" w:hAnsi="Courier New"/>
      </w:rPr>
    </w:lvl>
    <w:lvl w:ilvl="5" w:tplc="A676AC18">
      <w:start w:val="1"/>
      <w:numFmt w:val="bullet"/>
      <w:lvlText w:val=""/>
      <w:lvlJc w:val="left"/>
      <w:pPr>
        <w:ind w:left="4320" w:hanging="360"/>
      </w:pPr>
      <w:rPr>
        <w:rFonts w:hint="default" w:ascii="Wingdings" w:hAnsi="Wingdings"/>
      </w:rPr>
    </w:lvl>
    <w:lvl w:ilvl="6" w:tplc="B6DA4098">
      <w:start w:val="1"/>
      <w:numFmt w:val="bullet"/>
      <w:lvlText w:val=""/>
      <w:lvlJc w:val="left"/>
      <w:pPr>
        <w:ind w:left="5040" w:hanging="360"/>
      </w:pPr>
      <w:rPr>
        <w:rFonts w:hint="default" w:ascii="Symbol" w:hAnsi="Symbol"/>
      </w:rPr>
    </w:lvl>
    <w:lvl w:ilvl="7" w:tplc="99D03CBA">
      <w:start w:val="1"/>
      <w:numFmt w:val="bullet"/>
      <w:lvlText w:val="o"/>
      <w:lvlJc w:val="left"/>
      <w:pPr>
        <w:ind w:left="5760" w:hanging="360"/>
      </w:pPr>
      <w:rPr>
        <w:rFonts w:hint="default" w:ascii="Courier New" w:hAnsi="Courier New"/>
      </w:rPr>
    </w:lvl>
    <w:lvl w:ilvl="8" w:tplc="2320D884">
      <w:start w:val="1"/>
      <w:numFmt w:val="bullet"/>
      <w:lvlText w:val=""/>
      <w:lvlJc w:val="left"/>
      <w:pPr>
        <w:ind w:left="6480" w:hanging="360"/>
      </w:pPr>
      <w:rPr>
        <w:rFonts w:hint="default" w:ascii="Wingdings" w:hAnsi="Wingdings"/>
      </w:rPr>
    </w:lvl>
  </w:abstractNum>
  <w:abstractNum w:abstractNumId="32" w15:restartNumberingAfterBreak="0">
    <w:nsid w:val="1719528B"/>
    <w:multiLevelType w:val="hybridMultilevel"/>
    <w:tmpl w:val="0510B4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74C7491"/>
    <w:multiLevelType w:val="hybridMultilevel"/>
    <w:tmpl w:val="7974FBE8"/>
    <w:lvl w:ilvl="0" w:tplc="C1102A3A">
      <w:start w:val="1"/>
      <w:numFmt w:val="decimal"/>
      <w:lvlText w:val="%1."/>
      <w:lvlJc w:val="left"/>
      <w:pPr>
        <w:ind w:left="720" w:hanging="360"/>
      </w:pPr>
    </w:lvl>
    <w:lvl w:ilvl="1" w:tplc="4ECAF282">
      <w:start w:val="1"/>
      <w:numFmt w:val="lowerLetter"/>
      <w:lvlText w:val="%2."/>
      <w:lvlJc w:val="left"/>
      <w:pPr>
        <w:ind w:left="1440" w:hanging="360"/>
      </w:pPr>
    </w:lvl>
    <w:lvl w:ilvl="2" w:tplc="012A1AF2">
      <w:start w:val="1"/>
      <w:numFmt w:val="lowerRoman"/>
      <w:lvlText w:val="%3."/>
      <w:lvlJc w:val="right"/>
      <w:pPr>
        <w:ind w:left="2160" w:hanging="180"/>
      </w:pPr>
    </w:lvl>
    <w:lvl w:ilvl="3" w:tplc="278C69C4">
      <w:start w:val="1"/>
      <w:numFmt w:val="decimal"/>
      <w:lvlText w:val="%4."/>
      <w:lvlJc w:val="left"/>
      <w:pPr>
        <w:ind w:left="2880" w:hanging="360"/>
      </w:pPr>
    </w:lvl>
    <w:lvl w:ilvl="4" w:tplc="FE6AC30E">
      <w:start w:val="1"/>
      <w:numFmt w:val="lowerLetter"/>
      <w:lvlText w:val="%5."/>
      <w:lvlJc w:val="left"/>
      <w:pPr>
        <w:ind w:left="3600" w:hanging="360"/>
      </w:pPr>
    </w:lvl>
    <w:lvl w:ilvl="5" w:tplc="9E220948">
      <w:start w:val="1"/>
      <w:numFmt w:val="lowerRoman"/>
      <w:lvlText w:val="%6."/>
      <w:lvlJc w:val="right"/>
      <w:pPr>
        <w:ind w:left="4320" w:hanging="180"/>
      </w:pPr>
    </w:lvl>
    <w:lvl w:ilvl="6" w:tplc="6B806B86">
      <w:start w:val="1"/>
      <w:numFmt w:val="decimal"/>
      <w:lvlText w:val="%7."/>
      <w:lvlJc w:val="left"/>
      <w:pPr>
        <w:ind w:left="5040" w:hanging="360"/>
      </w:pPr>
    </w:lvl>
    <w:lvl w:ilvl="7" w:tplc="60D66DE8">
      <w:start w:val="1"/>
      <w:numFmt w:val="lowerLetter"/>
      <w:lvlText w:val="%8."/>
      <w:lvlJc w:val="left"/>
      <w:pPr>
        <w:ind w:left="5760" w:hanging="360"/>
      </w:pPr>
    </w:lvl>
    <w:lvl w:ilvl="8" w:tplc="B5BA35BE">
      <w:start w:val="1"/>
      <w:numFmt w:val="lowerRoman"/>
      <w:lvlText w:val="%9."/>
      <w:lvlJc w:val="right"/>
      <w:pPr>
        <w:ind w:left="6480" w:hanging="180"/>
      </w:pPr>
    </w:lvl>
  </w:abstractNum>
  <w:abstractNum w:abstractNumId="34" w15:restartNumberingAfterBreak="0">
    <w:nsid w:val="1765427B"/>
    <w:multiLevelType w:val="hybridMultilevel"/>
    <w:tmpl w:val="01A472E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179F6385"/>
    <w:multiLevelType w:val="hybridMultilevel"/>
    <w:tmpl w:val="BD32CB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19F7523C"/>
    <w:multiLevelType w:val="hybridMultilevel"/>
    <w:tmpl w:val="0C09000F"/>
    <w:lvl w:ilvl="0" w:tplc="F828D778">
      <w:start w:val="1"/>
      <w:numFmt w:val="decimal"/>
      <w:lvlText w:val="%1."/>
      <w:lvlJc w:val="left"/>
      <w:pPr>
        <w:tabs>
          <w:tab w:val="num" w:pos="360"/>
        </w:tabs>
        <w:ind w:left="360" w:hanging="360"/>
      </w:pPr>
      <w:rPr>
        <w:rFonts w:hint="default"/>
      </w:rPr>
    </w:lvl>
    <w:lvl w:ilvl="1" w:tplc="9CB8E05A">
      <w:numFmt w:val="decimal"/>
      <w:lvlText w:val=""/>
      <w:lvlJc w:val="left"/>
    </w:lvl>
    <w:lvl w:ilvl="2" w:tplc="8BC46D22">
      <w:numFmt w:val="decimal"/>
      <w:lvlText w:val=""/>
      <w:lvlJc w:val="left"/>
    </w:lvl>
    <w:lvl w:ilvl="3" w:tplc="41D4E5D4">
      <w:numFmt w:val="decimal"/>
      <w:lvlText w:val=""/>
      <w:lvlJc w:val="left"/>
    </w:lvl>
    <w:lvl w:ilvl="4" w:tplc="86526FBA">
      <w:numFmt w:val="decimal"/>
      <w:lvlText w:val=""/>
      <w:lvlJc w:val="left"/>
    </w:lvl>
    <w:lvl w:ilvl="5" w:tplc="C2083A78">
      <w:numFmt w:val="decimal"/>
      <w:lvlText w:val=""/>
      <w:lvlJc w:val="left"/>
    </w:lvl>
    <w:lvl w:ilvl="6" w:tplc="83D28AA4">
      <w:numFmt w:val="decimal"/>
      <w:lvlText w:val=""/>
      <w:lvlJc w:val="left"/>
    </w:lvl>
    <w:lvl w:ilvl="7" w:tplc="355C78BE">
      <w:numFmt w:val="decimal"/>
      <w:lvlText w:val=""/>
      <w:lvlJc w:val="left"/>
    </w:lvl>
    <w:lvl w:ilvl="8" w:tplc="9C609FB6">
      <w:numFmt w:val="decimal"/>
      <w:lvlText w:val=""/>
      <w:lvlJc w:val="left"/>
    </w:lvl>
  </w:abstractNum>
  <w:abstractNum w:abstractNumId="37" w15:restartNumberingAfterBreak="0">
    <w:nsid w:val="1B6117B3"/>
    <w:multiLevelType w:val="hybridMultilevel"/>
    <w:tmpl w:val="A9D6FF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C105B71"/>
    <w:multiLevelType w:val="hybridMultilevel"/>
    <w:tmpl w:val="03B0F6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1C7C03F8"/>
    <w:multiLevelType w:val="hybridMultilevel"/>
    <w:tmpl w:val="318C42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DEC2466"/>
    <w:multiLevelType w:val="hybridMultilevel"/>
    <w:tmpl w:val="BE54448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1E6A0DE8"/>
    <w:multiLevelType w:val="hybridMultilevel"/>
    <w:tmpl w:val="724E9CD6"/>
    <w:lvl w:ilvl="0" w:tplc="6D2C8D76">
      <w:start w:val="1"/>
      <w:numFmt w:val="decimal"/>
      <w:lvlText w:val="%1."/>
      <w:lvlJc w:val="left"/>
      <w:pPr>
        <w:ind w:left="720" w:hanging="360"/>
      </w:pPr>
    </w:lvl>
    <w:lvl w:ilvl="1" w:tplc="811A5236">
      <w:start w:val="1"/>
      <w:numFmt w:val="lowerLetter"/>
      <w:lvlText w:val="%2."/>
      <w:lvlJc w:val="left"/>
      <w:pPr>
        <w:ind w:left="1440" w:hanging="360"/>
      </w:pPr>
    </w:lvl>
    <w:lvl w:ilvl="2" w:tplc="3992DDA2">
      <w:start w:val="1"/>
      <w:numFmt w:val="lowerRoman"/>
      <w:lvlText w:val="%3."/>
      <w:lvlJc w:val="right"/>
      <w:pPr>
        <w:ind w:left="2160" w:hanging="180"/>
      </w:pPr>
    </w:lvl>
    <w:lvl w:ilvl="3" w:tplc="24702E52">
      <w:start w:val="1"/>
      <w:numFmt w:val="decimal"/>
      <w:lvlText w:val="%4."/>
      <w:lvlJc w:val="left"/>
      <w:pPr>
        <w:ind w:left="2880" w:hanging="360"/>
      </w:pPr>
    </w:lvl>
    <w:lvl w:ilvl="4" w:tplc="4D66AC0C">
      <w:start w:val="1"/>
      <w:numFmt w:val="lowerLetter"/>
      <w:lvlText w:val="%5."/>
      <w:lvlJc w:val="left"/>
      <w:pPr>
        <w:ind w:left="3600" w:hanging="360"/>
      </w:pPr>
    </w:lvl>
    <w:lvl w:ilvl="5" w:tplc="F56849A2">
      <w:start w:val="1"/>
      <w:numFmt w:val="lowerRoman"/>
      <w:lvlText w:val="%6."/>
      <w:lvlJc w:val="right"/>
      <w:pPr>
        <w:ind w:left="4320" w:hanging="180"/>
      </w:pPr>
    </w:lvl>
    <w:lvl w:ilvl="6" w:tplc="47365AD6">
      <w:start w:val="1"/>
      <w:numFmt w:val="decimal"/>
      <w:lvlText w:val="%7."/>
      <w:lvlJc w:val="left"/>
      <w:pPr>
        <w:ind w:left="5040" w:hanging="360"/>
      </w:pPr>
    </w:lvl>
    <w:lvl w:ilvl="7" w:tplc="5422277A">
      <w:start w:val="1"/>
      <w:numFmt w:val="lowerLetter"/>
      <w:lvlText w:val="%8."/>
      <w:lvlJc w:val="left"/>
      <w:pPr>
        <w:ind w:left="5760" w:hanging="360"/>
      </w:pPr>
    </w:lvl>
    <w:lvl w:ilvl="8" w:tplc="FF84F124">
      <w:start w:val="1"/>
      <w:numFmt w:val="lowerRoman"/>
      <w:lvlText w:val="%9."/>
      <w:lvlJc w:val="right"/>
      <w:pPr>
        <w:ind w:left="6480" w:hanging="180"/>
      </w:pPr>
    </w:lvl>
  </w:abstractNum>
  <w:abstractNum w:abstractNumId="42" w15:restartNumberingAfterBreak="0">
    <w:nsid w:val="1F4376E4"/>
    <w:multiLevelType w:val="hybridMultilevel"/>
    <w:tmpl w:val="D9344E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1F5C45B6"/>
    <w:multiLevelType w:val="hybridMultilevel"/>
    <w:tmpl w:val="F59263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1FBF2084"/>
    <w:multiLevelType w:val="hybridMultilevel"/>
    <w:tmpl w:val="4A983FC0"/>
    <w:lvl w:ilvl="0" w:tplc="13121114">
      <w:start w:val="1"/>
      <w:numFmt w:val="decimal"/>
      <w:lvlText w:val="%1."/>
      <w:lvlJc w:val="left"/>
      <w:pPr>
        <w:ind w:left="720" w:hanging="360"/>
      </w:pPr>
    </w:lvl>
    <w:lvl w:ilvl="1" w:tplc="69205884">
      <w:start w:val="1"/>
      <w:numFmt w:val="lowerLetter"/>
      <w:lvlText w:val="%2."/>
      <w:lvlJc w:val="left"/>
      <w:pPr>
        <w:ind w:left="1440" w:hanging="360"/>
      </w:pPr>
    </w:lvl>
    <w:lvl w:ilvl="2" w:tplc="301E44BA">
      <w:start w:val="1"/>
      <w:numFmt w:val="lowerRoman"/>
      <w:lvlText w:val="%3."/>
      <w:lvlJc w:val="right"/>
      <w:pPr>
        <w:ind w:left="2160" w:hanging="180"/>
      </w:pPr>
    </w:lvl>
    <w:lvl w:ilvl="3" w:tplc="E0D4CA58">
      <w:start w:val="1"/>
      <w:numFmt w:val="decimal"/>
      <w:lvlText w:val="%4."/>
      <w:lvlJc w:val="left"/>
      <w:pPr>
        <w:ind w:left="2880" w:hanging="360"/>
      </w:pPr>
    </w:lvl>
    <w:lvl w:ilvl="4" w:tplc="159AFE18">
      <w:start w:val="1"/>
      <w:numFmt w:val="lowerLetter"/>
      <w:lvlText w:val="%5."/>
      <w:lvlJc w:val="left"/>
      <w:pPr>
        <w:ind w:left="3600" w:hanging="360"/>
      </w:pPr>
    </w:lvl>
    <w:lvl w:ilvl="5" w:tplc="A718EAA4">
      <w:start w:val="1"/>
      <w:numFmt w:val="lowerRoman"/>
      <w:lvlText w:val="%6."/>
      <w:lvlJc w:val="right"/>
      <w:pPr>
        <w:ind w:left="4320" w:hanging="180"/>
      </w:pPr>
    </w:lvl>
    <w:lvl w:ilvl="6" w:tplc="3FE475D0">
      <w:start w:val="1"/>
      <w:numFmt w:val="decimal"/>
      <w:lvlText w:val="%7."/>
      <w:lvlJc w:val="left"/>
      <w:pPr>
        <w:ind w:left="5040" w:hanging="360"/>
      </w:pPr>
    </w:lvl>
    <w:lvl w:ilvl="7" w:tplc="173EFE24">
      <w:start w:val="1"/>
      <w:numFmt w:val="lowerLetter"/>
      <w:lvlText w:val="%8."/>
      <w:lvlJc w:val="left"/>
      <w:pPr>
        <w:ind w:left="5760" w:hanging="360"/>
      </w:pPr>
    </w:lvl>
    <w:lvl w:ilvl="8" w:tplc="2EE2FD68">
      <w:start w:val="1"/>
      <w:numFmt w:val="lowerRoman"/>
      <w:lvlText w:val="%9."/>
      <w:lvlJc w:val="right"/>
      <w:pPr>
        <w:ind w:left="6480" w:hanging="180"/>
      </w:pPr>
    </w:lvl>
  </w:abstractNum>
  <w:abstractNum w:abstractNumId="45" w15:restartNumberingAfterBreak="0">
    <w:nsid w:val="1FCF6D9A"/>
    <w:multiLevelType w:val="hybridMultilevel"/>
    <w:tmpl w:val="FFFFFFFF"/>
    <w:lvl w:ilvl="0" w:tplc="093A5BF6">
      <w:start w:val="1"/>
      <w:numFmt w:val="bullet"/>
      <w:lvlText w:val=""/>
      <w:lvlJc w:val="left"/>
      <w:pPr>
        <w:ind w:left="720" w:hanging="360"/>
      </w:pPr>
      <w:rPr>
        <w:rFonts w:hint="default" w:ascii="Symbol" w:hAnsi="Symbol"/>
      </w:rPr>
    </w:lvl>
    <w:lvl w:ilvl="1" w:tplc="85A451CE">
      <w:start w:val="1"/>
      <w:numFmt w:val="bullet"/>
      <w:lvlText w:val="o"/>
      <w:lvlJc w:val="left"/>
      <w:pPr>
        <w:ind w:left="1440" w:hanging="360"/>
      </w:pPr>
      <w:rPr>
        <w:rFonts w:hint="default" w:ascii="Courier New" w:hAnsi="Courier New"/>
      </w:rPr>
    </w:lvl>
    <w:lvl w:ilvl="2" w:tplc="A5787E06">
      <w:start w:val="1"/>
      <w:numFmt w:val="bullet"/>
      <w:lvlText w:val=""/>
      <w:lvlJc w:val="left"/>
      <w:pPr>
        <w:ind w:left="2160" w:hanging="360"/>
      </w:pPr>
      <w:rPr>
        <w:rFonts w:hint="default" w:ascii="Wingdings" w:hAnsi="Wingdings"/>
      </w:rPr>
    </w:lvl>
    <w:lvl w:ilvl="3" w:tplc="4A5AEBFA">
      <w:start w:val="1"/>
      <w:numFmt w:val="bullet"/>
      <w:lvlText w:val=""/>
      <w:lvlJc w:val="left"/>
      <w:pPr>
        <w:ind w:left="2880" w:hanging="360"/>
      </w:pPr>
      <w:rPr>
        <w:rFonts w:hint="default" w:ascii="Symbol" w:hAnsi="Symbol"/>
      </w:rPr>
    </w:lvl>
    <w:lvl w:ilvl="4" w:tplc="5BF083B6">
      <w:start w:val="1"/>
      <w:numFmt w:val="bullet"/>
      <w:lvlText w:val="o"/>
      <w:lvlJc w:val="left"/>
      <w:pPr>
        <w:ind w:left="3600" w:hanging="360"/>
      </w:pPr>
      <w:rPr>
        <w:rFonts w:hint="default" w:ascii="Courier New" w:hAnsi="Courier New"/>
      </w:rPr>
    </w:lvl>
    <w:lvl w:ilvl="5" w:tplc="85580382">
      <w:start w:val="1"/>
      <w:numFmt w:val="bullet"/>
      <w:lvlText w:val=""/>
      <w:lvlJc w:val="left"/>
      <w:pPr>
        <w:ind w:left="4320" w:hanging="360"/>
      </w:pPr>
      <w:rPr>
        <w:rFonts w:hint="default" w:ascii="Wingdings" w:hAnsi="Wingdings"/>
      </w:rPr>
    </w:lvl>
    <w:lvl w:ilvl="6" w:tplc="D60ABA04">
      <w:start w:val="1"/>
      <w:numFmt w:val="bullet"/>
      <w:lvlText w:val=""/>
      <w:lvlJc w:val="left"/>
      <w:pPr>
        <w:ind w:left="5040" w:hanging="360"/>
      </w:pPr>
      <w:rPr>
        <w:rFonts w:hint="default" w:ascii="Symbol" w:hAnsi="Symbol"/>
      </w:rPr>
    </w:lvl>
    <w:lvl w:ilvl="7" w:tplc="C422C9E4">
      <w:start w:val="1"/>
      <w:numFmt w:val="bullet"/>
      <w:lvlText w:val="o"/>
      <w:lvlJc w:val="left"/>
      <w:pPr>
        <w:ind w:left="5760" w:hanging="360"/>
      </w:pPr>
      <w:rPr>
        <w:rFonts w:hint="default" w:ascii="Courier New" w:hAnsi="Courier New"/>
      </w:rPr>
    </w:lvl>
    <w:lvl w:ilvl="8" w:tplc="BDE81708">
      <w:start w:val="1"/>
      <w:numFmt w:val="bullet"/>
      <w:lvlText w:val=""/>
      <w:lvlJc w:val="left"/>
      <w:pPr>
        <w:ind w:left="6480" w:hanging="360"/>
      </w:pPr>
      <w:rPr>
        <w:rFonts w:hint="default" w:ascii="Wingdings" w:hAnsi="Wingdings"/>
      </w:rPr>
    </w:lvl>
  </w:abstractNum>
  <w:abstractNum w:abstractNumId="46" w15:restartNumberingAfterBreak="0">
    <w:nsid w:val="2009245E"/>
    <w:multiLevelType w:val="hybridMultilevel"/>
    <w:tmpl w:val="C520E19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1EB660A"/>
    <w:multiLevelType w:val="hybridMultilevel"/>
    <w:tmpl w:val="30882FB2"/>
    <w:lvl w:ilvl="0" w:tplc="0C09000F">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22710854"/>
    <w:multiLevelType w:val="hybridMultilevel"/>
    <w:tmpl w:val="483CB2C8"/>
    <w:lvl w:ilvl="0" w:tplc="7952BDE8">
      <w:numFmt w:val="bullet"/>
      <w:lvlText w:val="•"/>
      <w:lvlJc w:val="left"/>
      <w:pPr>
        <w:ind w:left="394" w:hanging="360"/>
      </w:pPr>
      <w:rPr>
        <w:rFonts w:hint="default" w:ascii="Calibri" w:hAnsi="Calibri"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9" w15:restartNumberingAfterBreak="0">
    <w:nsid w:val="2296024B"/>
    <w:multiLevelType w:val="hybridMultilevel"/>
    <w:tmpl w:val="E8802AA4"/>
    <w:lvl w:ilvl="0" w:tplc="07AE22EA">
      <w:start w:val="1"/>
      <w:numFmt w:val="decimal"/>
      <w:lvlText w:val="%1."/>
      <w:lvlJc w:val="left"/>
      <w:pPr>
        <w:ind w:left="360" w:hanging="360"/>
      </w:pPr>
      <w:rPr>
        <w:rFonts w:hint="default" w:ascii="Segoe UI" w:hAnsi="Segoe UI" w:cs="Segoe UI"/>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22E55FB7"/>
    <w:multiLevelType w:val="hybridMultilevel"/>
    <w:tmpl w:val="BA40A8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4773043"/>
    <w:multiLevelType w:val="hybridMultilevel"/>
    <w:tmpl w:val="84A050BE"/>
    <w:lvl w:ilvl="0" w:tplc="DF22D1AC">
      <w:start w:val="1"/>
      <w:numFmt w:val="bullet"/>
      <w:lvlText w:val=""/>
      <w:lvlJc w:val="left"/>
      <w:pPr>
        <w:ind w:left="360" w:hanging="360"/>
      </w:pPr>
      <w:rPr>
        <w:rFonts w:hint="default" w:ascii="Symbol" w:hAnsi="Symbol"/>
        <w:vertAlign w:val="baseline"/>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2" w15:restartNumberingAfterBreak="0">
    <w:nsid w:val="25AA1BC9"/>
    <w:multiLevelType w:val="hybridMultilevel"/>
    <w:tmpl w:val="2934044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3" w15:restartNumberingAfterBreak="0">
    <w:nsid w:val="25F5720D"/>
    <w:multiLevelType w:val="hybridMultilevel"/>
    <w:tmpl w:val="6598F20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4" w15:restartNumberingAfterBreak="0">
    <w:nsid w:val="26AF53F0"/>
    <w:multiLevelType w:val="hybridMultilevel"/>
    <w:tmpl w:val="5C7C7D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278E2D89"/>
    <w:multiLevelType w:val="hybridMultilevel"/>
    <w:tmpl w:val="2A7079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27C903D0"/>
    <w:multiLevelType w:val="hybridMultilevel"/>
    <w:tmpl w:val="CB006B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8364C75"/>
    <w:multiLevelType w:val="hybridMultilevel"/>
    <w:tmpl w:val="E24616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28C25FDE"/>
    <w:multiLevelType w:val="hybridMultilevel"/>
    <w:tmpl w:val="92065D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29822414"/>
    <w:multiLevelType w:val="hybridMultilevel"/>
    <w:tmpl w:val="2A2AF22E"/>
    <w:lvl w:ilvl="0" w:tplc="72A836C2">
      <w:start w:val="1"/>
      <w:numFmt w:val="decimal"/>
      <w:lvlText w:val="%1."/>
      <w:lvlJc w:val="left"/>
      <w:pPr>
        <w:ind w:left="360" w:hanging="360"/>
      </w:pPr>
      <w:rPr>
        <w:rFonts w:ascii="Calibri" w:hAnsi="Calibri" w:eastAsia="Times New Roman"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2A55334B"/>
    <w:multiLevelType w:val="hybridMultilevel"/>
    <w:tmpl w:val="36F48C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2D641ED8"/>
    <w:multiLevelType w:val="hybridMultilevel"/>
    <w:tmpl w:val="7666C7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ED43F51"/>
    <w:multiLevelType w:val="hybridMultilevel"/>
    <w:tmpl w:val="71347C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FA17B3C"/>
    <w:multiLevelType w:val="hybridMultilevel"/>
    <w:tmpl w:val="B72C8E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0393AAC"/>
    <w:multiLevelType w:val="hybridMultilevel"/>
    <w:tmpl w:val="DD9C22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0FC658E"/>
    <w:multiLevelType w:val="hybridMultilevel"/>
    <w:tmpl w:val="60FAED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326C06A6"/>
    <w:multiLevelType w:val="hybridMultilevel"/>
    <w:tmpl w:val="5B96F0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37011AF"/>
    <w:multiLevelType w:val="hybridMultilevel"/>
    <w:tmpl w:val="0F84B6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347B16C2"/>
    <w:multiLevelType w:val="hybridMultilevel"/>
    <w:tmpl w:val="8DDCBB92"/>
    <w:lvl w:ilvl="0" w:tplc="0C090001">
      <w:start w:val="1"/>
      <w:numFmt w:val="bullet"/>
      <w:lvlText w:val=""/>
      <w:lvlJc w:val="left"/>
      <w:pPr>
        <w:ind w:left="1151" w:hanging="360"/>
      </w:pPr>
      <w:rPr>
        <w:rFonts w:hint="default" w:ascii="Symbol" w:hAnsi="Symbol"/>
      </w:rPr>
    </w:lvl>
    <w:lvl w:ilvl="1" w:tplc="0C090003" w:tentative="1">
      <w:start w:val="1"/>
      <w:numFmt w:val="bullet"/>
      <w:lvlText w:val="o"/>
      <w:lvlJc w:val="left"/>
      <w:pPr>
        <w:ind w:left="1871" w:hanging="360"/>
      </w:pPr>
      <w:rPr>
        <w:rFonts w:hint="default" w:ascii="Courier New" w:hAnsi="Courier New" w:cs="Courier New"/>
      </w:rPr>
    </w:lvl>
    <w:lvl w:ilvl="2" w:tplc="0C090005" w:tentative="1">
      <w:start w:val="1"/>
      <w:numFmt w:val="bullet"/>
      <w:lvlText w:val=""/>
      <w:lvlJc w:val="left"/>
      <w:pPr>
        <w:ind w:left="2591" w:hanging="360"/>
      </w:pPr>
      <w:rPr>
        <w:rFonts w:hint="default" w:ascii="Wingdings" w:hAnsi="Wingdings"/>
      </w:rPr>
    </w:lvl>
    <w:lvl w:ilvl="3" w:tplc="0C090001" w:tentative="1">
      <w:start w:val="1"/>
      <w:numFmt w:val="bullet"/>
      <w:lvlText w:val=""/>
      <w:lvlJc w:val="left"/>
      <w:pPr>
        <w:ind w:left="3311" w:hanging="360"/>
      </w:pPr>
      <w:rPr>
        <w:rFonts w:hint="default" w:ascii="Symbol" w:hAnsi="Symbol"/>
      </w:rPr>
    </w:lvl>
    <w:lvl w:ilvl="4" w:tplc="0C090003" w:tentative="1">
      <w:start w:val="1"/>
      <w:numFmt w:val="bullet"/>
      <w:lvlText w:val="o"/>
      <w:lvlJc w:val="left"/>
      <w:pPr>
        <w:ind w:left="4031" w:hanging="360"/>
      </w:pPr>
      <w:rPr>
        <w:rFonts w:hint="default" w:ascii="Courier New" w:hAnsi="Courier New" w:cs="Courier New"/>
      </w:rPr>
    </w:lvl>
    <w:lvl w:ilvl="5" w:tplc="0C090005" w:tentative="1">
      <w:start w:val="1"/>
      <w:numFmt w:val="bullet"/>
      <w:lvlText w:val=""/>
      <w:lvlJc w:val="left"/>
      <w:pPr>
        <w:ind w:left="4751" w:hanging="360"/>
      </w:pPr>
      <w:rPr>
        <w:rFonts w:hint="default" w:ascii="Wingdings" w:hAnsi="Wingdings"/>
      </w:rPr>
    </w:lvl>
    <w:lvl w:ilvl="6" w:tplc="0C090001" w:tentative="1">
      <w:start w:val="1"/>
      <w:numFmt w:val="bullet"/>
      <w:lvlText w:val=""/>
      <w:lvlJc w:val="left"/>
      <w:pPr>
        <w:ind w:left="5471" w:hanging="360"/>
      </w:pPr>
      <w:rPr>
        <w:rFonts w:hint="default" w:ascii="Symbol" w:hAnsi="Symbol"/>
      </w:rPr>
    </w:lvl>
    <w:lvl w:ilvl="7" w:tplc="0C090003" w:tentative="1">
      <w:start w:val="1"/>
      <w:numFmt w:val="bullet"/>
      <w:lvlText w:val="o"/>
      <w:lvlJc w:val="left"/>
      <w:pPr>
        <w:ind w:left="6191" w:hanging="360"/>
      </w:pPr>
      <w:rPr>
        <w:rFonts w:hint="default" w:ascii="Courier New" w:hAnsi="Courier New" w:cs="Courier New"/>
      </w:rPr>
    </w:lvl>
    <w:lvl w:ilvl="8" w:tplc="0C090005" w:tentative="1">
      <w:start w:val="1"/>
      <w:numFmt w:val="bullet"/>
      <w:lvlText w:val=""/>
      <w:lvlJc w:val="left"/>
      <w:pPr>
        <w:ind w:left="6911" w:hanging="360"/>
      </w:pPr>
      <w:rPr>
        <w:rFonts w:hint="default" w:ascii="Wingdings" w:hAnsi="Wingdings"/>
      </w:rPr>
    </w:lvl>
  </w:abstractNum>
  <w:abstractNum w:abstractNumId="69" w15:restartNumberingAfterBreak="0">
    <w:nsid w:val="34AF6DA8"/>
    <w:multiLevelType w:val="hybridMultilevel"/>
    <w:tmpl w:val="251ACE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4B53E33"/>
    <w:multiLevelType w:val="hybridMultilevel"/>
    <w:tmpl w:val="33665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4BB1FA1"/>
    <w:multiLevelType w:val="hybridMultilevel"/>
    <w:tmpl w:val="616026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34E60DEE"/>
    <w:multiLevelType w:val="hybridMultilevel"/>
    <w:tmpl w:val="446EA66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3" w15:restartNumberingAfterBreak="0">
    <w:nsid w:val="36EE7D1A"/>
    <w:multiLevelType w:val="hybridMultilevel"/>
    <w:tmpl w:val="244CFAA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4" w15:restartNumberingAfterBreak="0">
    <w:nsid w:val="37586D63"/>
    <w:multiLevelType w:val="hybridMultilevel"/>
    <w:tmpl w:val="9FB6B8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77F4911"/>
    <w:multiLevelType w:val="hybridMultilevel"/>
    <w:tmpl w:val="AD6467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378D5619"/>
    <w:multiLevelType w:val="hybridMultilevel"/>
    <w:tmpl w:val="0A2CB4D6"/>
    <w:lvl w:ilvl="0" w:tplc="13FC1B0E">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77" w15:restartNumberingAfterBreak="0">
    <w:nsid w:val="37B679AE"/>
    <w:multiLevelType w:val="hybridMultilevel"/>
    <w:tmpl w:val="BCF6CE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38FF3CF3"/>
    <w:multiLevelType w:val="multilevel"/>
    <w:tmpl w:val="11EA8242"/>
    <w:lvl w:ilvl="0">
      <w:start w:val="6"/>
      <w:numFmt w:val="decimal"/>
      <w:lvlText w:val="%1"/>
      <w:lvlJc w:val="left"/>
      <w:pPr>
        <w:tabs>
          <w:tab w:val="num" w:pos="450"/>
        </w:tabs>
        <w:ind w:left="450" w:hanging="450"/>
      </w:pPr>
      <w:rPr>
        <w:rFonts w:hint="default"/>
      </w:rPr>
    </w:lvl>
    <w:lvl w:ilvl="1">
      <w:start w:val="8"/>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9720237"/>
    <w:multiLevelType w:val="hybridMultilevel"/>
    <w:tmpl w:val="D354D3F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0" w15:restartNumberingAfterBreak="0">
    <w:nsid w:val="3C874526"/>
    <w:multiLevelType w:val="hybridMultilevel"/>
    <w:tmpl w:val="B42220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CC51E02"/>
    <w:multiLevelType w:val="hybridMultilevel"/>
    <w:tmpl w:val="0C090011"/>
    <w:lvl w:ilvl="0" w:tplc="3A16ED54">
      <w:start w:val="1"/>
      <w:numFmt w:val="decimal"/>
      <w:lvlText w:val="%1)"/>
      <w:lvlJc w:val="left"/>
      <w:pPr>
        <w:tabs>
          <w:tab w:val="num" w:pos="360"/>
        </w:tabs>
        <w:ind w:left="360" w:hanging="360"/>
      </w:pPr>
      <w:rPr>
        <w:rFonts w:hint="default"/>
      </w:rPr>
    </w:lvl>
    <w:lvl w:ilvl="1" w:tplc="59F80F7C">
      <w:numFmt w:val="decimal"/>
      <w:lvlText w:val=""/>
      <w:lvlJc w:val="left"/>
    </w:lvl>
    <w:lvl w:ilvl="2" w:tplc="615EAF0A">
      <w:numFmt w:val="decimal"/>
      <w:lvlText w:val=""/>
      <w:lvlJc w:val="left"/>
    </w:lvl>
    <w:lvl w:ilvl="3" w:tplc="C38A04F4">
      <w:numFmt w:val="decimal"/>
      <w:lvlText w:val=""/>
      <w:lvlJc w:val="left"/>
    </w:lvl>
    <w:lvl w:ilvl="4" w:tplc="5A20F9EA">
      <w:numFmt w:val="decimal"/>
      <w:lvlText w:val=""/>
      <w:lvlJc w:val="left"/>
    </w:lvl>
    <w:lvl w:ilvl="5" w:tplc="48F07742">
      <w:numFmt w:val="decimal"/>
      <w:lvlText w:val=""/>
      <w:lvlJc w:val="left"/>
    </w:lvl>
    <w:lvl w:ilvl="6" w:tplc="7FD6B958">
      <w:numFmt w:val="decimal"/>
      <w:lvlText w:val=""/>
      <w:lvlJc w:val="left"/>
    </w:lvl>
    <w:lvl w:ilvl="7" w:tplc="EF6A6B4C">
      <w:numFmt w:val="decimal"/>
      <w:lvlText w:val=""/>
      <w:lvlJc w:val="left"/>
    </w:lvl>
    <w:lvl w:ilvl="8" w:tplc="DA22E0A8">
      <w:numFmt w:val="decimal"/>
      <w:lvlText w:val=""/>
      <w:lvlJc w:val="left"/>
    </w:lvl>
  </w:abstractNum>
  <w:abstractNum w:abstractNumId="82" w15:restartNumberingAfterBreak="0">
    <w:nsid w:val="3D3E3362"/>
    <w:multiLevelType w:val="hybridMultilevel"/>
    <w:tmpl w:val="E66E864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3DE94343"/>
    <w:multiLevelType w:val="hybridMultilevel"/>
    <w:tmpl w:val="2018B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E6149FD"/>
    <w:multiLevelType w:val="hybridMultilevel"/>
    <w:tmpl w:val="FFFACD94"/>
    <w:lvl w:ilvl="0" w:tplc="0D9A1F3E">
      <w:start w:val="3"/>
      <w:numFmt w:val="bullet"/>
      <w:lvlText w:val="-"/>
      <w:lvlJc w:val="left"/>
      <w:pPr>
        <w:ind w:left="720" w:hanging="360"/>
      </w:pPr>
      <w:rPr>
        <w:rFonts w:hint="default" w:ascii="Calibri" w:hAnsi="Calibri"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5" w15:restartNumberingAfterBreak="0">
    <w:nsid w:val="3EBF7483"/>
    <w:multiLevelType w:val="hybridMultilevel"/>
    <w:tmpl w:val="310AAD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3F9574B2"/>
    <w:multiLevelType w:val="hybridMultilevel"/>
    <w:tmpl w:val="4498EE84"/>
    <w:lvl w:ilvl="0" w:tplc="BAD8806C">
      <w:start w:val="1"/>
      <w:numFmt w:val="decimal"/>
      <w:lvlText w:val="%1."/>
      <w:lvlJc w:val="left"/>
      <w:pPr>
        <w:ind w:left="405" w:hanging="360"/>
      </w:pPr>
      <w:rPr>
        <w:rFonts w:hint="default"/>
      </w:r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87" w15:restartNumberingAfterBreak="0">
    <w:nsid w:val="3FD57D36"/>
    <w:multiLevelType w:val="hybridMultilevel"/>
    <w:tmpl w:val="9124BD5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88" w15:restartNumberingAfterBreak="0">
    <w:nsid w:val="41B5763B"/>
    <w:multiLevelType w:val="hybridMultilevel"/>
    <w:tmpl w:val="72A0D20A"/>
    <w:lvl w:ilvl="0" w:tplc="A0DCC3C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9" w15:restartNumberingAfterBreak="0">
    <w:nsid w:val="41C0289D"/>
    <w:multiLevelType w:val="hybridMultilevel"/>
    <w:tmpl w:val="9D30DEBE"/>
    <w:lvl w:ilvl="0" w:tplc="0C090001">
      <w:start w:val="1"/>
      <w:numFmt w:val="bullet"/>
      <w:lvlText w:val=""/>
      <w:lvlJc w:val="left"/>
      <w:pPr>
        <w:ind w:left="1292" w:hanging="360"/>
      </w:pPr>
      <w:rPr>
        <w:rFonts w:hint="default" w:ascii="Symbol" w:hAnsi="Symbol"/>
      </w:rPr>
    </w:lvl>
    <w:lvl w:ilvl="1" w:tplc="0C090003" w:tentative="1">
      <w:start w:val="1"/>
      <w:numFmt w:val="bullet"/>
      <w:lvlText w:val="o"/>
      <w:lvlJc w:val="left"/>
      <w:pPr>
        <w:ind w:left="2012" w:hanging="360"/>
      </w:pPr>
      <w:rPr>
        <w:rFonts w:hint="default" w:ascii="Courier New" w:hAnsi="Courier New" w:cs="Courier New"/>
      </w:rPr>
    </w:lvl>
    <w:lvl w:ilvl="2" w:tplc="0C090005" w:tentative="1">
      <w:start w:val="1"/>
      <w:numFmt w:val="bullet"/>
      <w:lvlText w:val=""/>
      <w:lvlJc w:val="left"/>
      <w:pPr>
        <w:ind w:left="2732" w:hanging="360"/>
      </w:pPr>
      <w:rPr>
        <w:rFonts w:hint="default" w:ascii="Wingdings" w:hAnsi="Wingdings"/>
      </w:rPr>
    </w:lvl>
    <w:lvl w:ilvl="3" w:tplc="0C090001" w:tentative="1">
      <w:start w:val="1"/>
      <w:numFmt w:val="bullet"/>
      <w:lvlText w:val=""/>
      <w:lvlJc w:val="left"/>
      <w:pPr>
        <w:ind w:left="3452" w:hanging="360"/>
      </w:pPr>
      <w:rPr>
        <w:rFonts w:hint="default" w:ascii="Symbol" w:hAnsi="Symbol"/>
      </w:rPr>
    </w:lvl>
    <w:lvl w:ilvl="4" w:tplc="0C090003" w:tentative="1">
      <w:start w:val="1"/>
      <w:numFmt w:val="bullet"/>
      <w:lvlText w:val="o"/>
      <w:lvlJc w:val="left"/>
      <w:pPr>
        <w:ind w:left="4172" w:hanging="360"/>
      </w:pPr>
      <w:rPr>
        <w:rFonts w:hint="default" w:ascii="Courier New" w:hAnsi="Courier New" w:cs="Courier New"/>
      </w:rPr>
    </w:lvl>
    <w:lvl w:ilvl="5" w:tplc="0C090005" w:tentative="1">
      <w:start w:val="1"/>
      <w:numFmt w:val="bullet"/>
      <w:lvlText w:val=""/>
      <w:lvlJc w:val="left"/>
      <w:pPr>
        <w:ind w:left="4892" w:hanging="360"/>
      </w:pPr>
      <w:rPr>
        <w:rFonts w:hint="default" w:ascii="Wingdings" w:hAnsi="Wingdings"/>
      </w:rPr>
    </w:lvl>
    <w:lvl w:ilvl="6" w:tplc="0C090001" w:tentative="1">
      <w:start w:val="1"/>
      <w:numFmt w:val="bullet"/>
      <w:lvlText w:val=""/>
      <w:lvlJc w:val="left"/>
      <w:pPr>
        <w:ind w:left="5612" w:hanging="360"/>
      </w:pPr>
      <w:rPr>
        <w:rFonts w:hint="default" w:ascii="Symbol" w:hAnsi="Symbol"/>
      </w:rPr>
    </w:lvl>
    <w:lvl w:ilvl="7" w:tplc="0C090003" w:tentative="1">
      <w:start w:val="1"/>
      <w:numFmt w:val="bullet"/>
      <w:lvlText w:val="o"/>
      <w:lvlJc w:val="left"/>
      <w:pPr>
        <w:ind w:left="6332" w:hanging="360"/>
      </w:pPr>
      <w:rPr>
        <w:rFonts w:hint="default" w:ascii="Courier New" w:hAnsi="Courier New" w:cs="Courier New"/>
      </w:rPr>
    </w:lvl>
    <w:lvl w:ilvl="8" w:tplc="0C090005" w:tentative="1">
      <w:start w:val="1"/>
      <w:numFmt w:val="bullet"/>
      <w:lvlText w:val=""/>
      <w:lvlJc w:val="left"/>
      <w:pPr>
        <w:ind w:left="7052" w:hanging="360"/>
      </w:pPr>
      <w:rPr>
        <w:rFonts w:hint="default" w:ascii="Wingdings" w:hAnsi="Wingdings"/>
      </w:rPr>
    </w:lvl>
  </w:abstractNum>
  <w:abstractNum w:abstractNumId="90" w15:restartNumberingAfterBreak="0">
    <w:nsid w:val="42B60E1D"/>
    <w:multiLevelType w:val="hybridMultilevel"/>
    <w:tmpl w:val="2F52A9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1" w15:restartNumberingAfterBreak="0">
    <w:nsid w:val="4317121B"/>
    <w:multiLevelType w:val="hybridMultilevel"/>
    <w:tmpl w:val="717CF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43264C46"/>
    <w:multiLevelType w:val="hybridMultilevel"/>
    <w:tmpl w:val="DAE040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43334DF1"/>
    <w:multiLevelType w:val="hybridMultilevel"/>
    <w:tmpl w:val="67EE6C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39036D2"/>
    <w:multiLevelType w:val="hybridMultilevel"/>
    <w:tmpl w:val="F548917C"/>
    <w:lvl w:ilvl="0" w:tplc="EBDAA2E8">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66968C0"/>
    <w:multiLevelType w:val="hybridMultilevel"/>
    <w:tmpl w:val="FE1E69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47B662D8"/>
    <w:multiLevelType w:val="hybridMultilevel"/>
    <w:tmpl w:val="7E1C86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82C0E22"/>
    <w:multiLevelType w:val="hybridMultilevel"/>
    <w:tmpl w:val="D3C0186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8" w15:restartNumberingAfterBreak="0">
    <w:nsid w:val="484C5143"/>
    <w:multiLevelType w:val="hybridMultilevel"/>
    <w:tmpl w:val="9BB053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48897345"/>
    <w:multiLevelType w:val="hybridMultilevel"/>
    <w:tmpl w:val="388CDD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90213E0"/>
    <w:multiLevelType w:val="hybridMultilevel"/>
    <w:tmpl w:val="5650C2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1" w15:restartNumberingAfterBreak="0">
    <w:nsid w:val="4AA73D9E"/>
    <w:multiLevelType w:val="multilevel"/>
    <w:tmpl w:val="9CF4BB4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4B75007F"/>
    <w:multiLevelType w:val="hybridMultilevel"/>
    <w:tmpl w:val="587E45AA"/>
    <w:lvl w:ilvl="0" w:tplc="45648830">
      <w:start w:val="1"/>
      <w:numFmt w:val="decimal"/>
      <w:lvlText w:val="%1."/>
      <w:lvlJc w:val="left"/>
      <w:pPr>
        <w:ind w:left="360" w:hanging="360"/>
      </w:pPr>
      <w:rPr>
        <w:rFonts w:hint="default" w:eastAsia="Times New Roman" w:asciiTheme="minorHAnsi" w:hAnsiTheme="minorHAnsi" w:cstheme="minorHAns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4C620E24"/>
    <w:multiLevelType w:val="hybridMultilevel"/>
    <w:tmpl w:val="0C090011"/>
    <w:lvl w:ilvl="0" w:tplc="C38078AA">
      <w:start w:val="1"/>
      <w:numFmt w:val="decimal"/>
      <w:lvlText w:val="%1)"/>
      <w:lvlJc w:val="left"/>
      <w:pPr>
        <w:tabs>
          <w:tab w:val="num" w:pos="360"/>
        </w:tabs>
        <w:ind w:left="360" w:hanging="360"/>
      </w:pPr>
      <w:rPr>
        <w:rFonts w:hint="default"/>
      </w:rPr>
    </w:lvl>
    <w:lvl w:ilvl="1" w:tplc="865CE368">
      <w:numFmt w:val="decimal"/>
      <w:lvlText w:val=""/>
      <w:lvlJc w:val="left"/>
    </w:lvl>
    <w:lvl w:ilvl="2" w:tplc="B134C628">
      <w:numFmt w:val="decimal"/>
      <w:lvlText w:val=""/>
      <w:lvlJc w:val="left"/>
    </w:lvl>
    <w:lvl w:ilvl="3" w:tplc="6626340C">
      <w:numFmt w:val="decimal"/>
      <w:lvlText w:val=""/>
      <w:lvlJc w:val="left"/>
    </w:lvl>
    <w:lvl w:ilvl="4" w:tplc="3620B336">
      <w:numFmt w:val="decimal"/>
      <w:lvlText w:val=""/>
      <w:lvlJc w:val="left"/>
    </w:lvl>
    <w:lvl w:ilvl="5" w:tplc="94064480">
      <w:numFmt w:val="decimal"/>
      <w:lvlText w:val=""/>
      <w:lvlJc w:val="left"/>
    </w:lvl>
    <w:lvl w:ilvl="6" w:tplc="64CC824E">
      <w:numFmt w:val="decimal"/>
      <w:lvlText w:val=""/>
      <w:lvlJc w:val="left"/>
    </w:lvl>
    <w:lvl w:ilvl="7" w:tplc="5E7C4A28">
      <w:numFmt w:val="decimal"/>
      <w:lvlText w:val=""/>
      <w:lvlJc w:val="left"/>
    </w:lvl>
    <w:lvl w:ilvl="8" w:tplc="4704FB30">
      <w:numFmt w:val="decimal"/>
      <w:lvlText w:val=""/>
      <w:lvlJc w:val="left"/>
    </w:lvl>
  </w:abstractNum>
  <w:abstractNum w:abstractNumId="104" w15:restartNumberingAfterBreak="0">
    <w:nsid w:val="4CA6436B"/>
    <w:multiLevelType w:val="hybridMultilevel"/>
    <w:tmpl w:val="4AD43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4CFE024E"/>
    <w:multiLevelType w:val="hybridMultilevel"/>
    <w:tmpl w:val="63AE7B4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4E0B4329"/>
    <w:multiLevelType w:val="hybridMultilevel"/>
    <w:tmpl w:val="5B683F6E"/>
    <w:lvl w:ilvl="0" w:tplc="8E06255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4E3918E9"/>
    <w:multiLevelType w:val="hybridMultilevel"/>
    <w:tmpl w:val="BD1EC9E0"/>
    <w:lvl w:ilvl="0" w:tplc="B3401264">
      <w:start w:val="1"/>
      <w:numFmt w:val="decimal"/>
      <w:lvlText w:val="%1."/>
      <w:lvlJc w:val="left"/>
      <w:pPr>
        <w:tabs>
          <w:tab w:val="num" w:pos="720"/>
        </w:tabs>
        <w:ind w:left="720" w:hanging="360"/>
      </w:pPr>
    </w:lvl>
    <w:lvl w:ilvl="1" w:tplc="00681522">
      <w:start w:val="1"/>
      <w:numFmt w:val="decimal"/>
      <w:lvlText w:val="%2."/>
      <w:lvlJc w:val="left"/>
      <w:pPr>
        <w:tabs>
          <w:tab w:val="num" w:pos="1440"/>
        </w:tabs>
        <w:ind w:left="1440" w:hanging="360"/>
      </w:pPr>
    </w:lvl>
    <w:lvl w:ilvl="2" w:tplc="2586CC3A" w:tentative="1">
      <w:start w:val="1"/>
      <w:numFmt w:val="decimal"/>
      <w:lvlText w:val="%3."/>
      <w:lvlJc w:val="left"/>
      <w:pPr>
        <w:tabs>
          <w:tab w:val="num" w:pos="2160"/>
        </w:tabs>
        <w:ind w:left="2160" w:hanging="360"/>
      </w:pPr>
    </w:lvl>
    <w:lvl w:ilvl="3" w:tplc="548604BC" w:tentative="1">
      <w:start w:val="1"/>
      <w:numFmt w:val="decimal"/>
      <w:lvlText w:val="%4."/>
      <w:lvlJc w:val="left"/>
      <w:pPr>
        <w:tabs>
          <w:tab w:val="num" w:pos="2880"/>
        </w:tabs>
        <w:ind w:left="2880" w:hanging="360"/>
      </w:pPr>
    </w:lvl>
    <w:lvl w:ilvl="4" w:tplc="09FEB9AC" w:tentative="1">
      <w:start w:val="1"/>
      <w:numFmt w:val="decimal"/>
      <w:lvlText w:val="%5."/>
      <w:lvlJc w:val="left"/>
      <w:pPr>
        <w:tabs>
          <w:tab w:val="num" w:pos="3600"/>
        </w:tabs>
        <w:ind w:left="3600" w:hanging="360"/>
      </w:pPr>
    </w:lvl>
    <w:lvl w:ilvl="5" w:tplc="85D6F3AE" w:tentative="1">
      <w:start w:val="1"/>
      <w:numFmt w:val="decimal"/>
      <w:lvlText w:val="%6."/>
      <w:lvlJc w:val="left"/>
      <w:pPr>
        <w:tabs>
          <w:tab w:val="num" w:pos="4320"/>
        </w:tabs>
        <w:ind w:left="4320" w:hanging="360"/>
      </w:pPr>
    </w:lvl>
    <w:lvl w:ilvl="6" w:tplc="FFA64FD2" w:tentative="1">
      <w:start w:val="1"/>
      <w:numFmt w:val="decimal"/>
      <w:lvlText w:val="%7."/>
      <w:lvlJc w:val="left"/>
      <w:pPr>
        <w:tabs>
          <w:tab w:val="num" w:pos="5040"/>
        </w:tabs>
        <w:ind w:left="5040" w:hanging="360"/>
      </w:pPr>
    </w:lvl>
    <w:lvl w:ilvl="7" w:tplc="96BE92C6" w:tentative="1">
      <w:start w:val="1"/>
      <w:numFmt w:val="decimal"/>
      <w:lvlText w:val="%8."/>
      <w:lvlJc w:val="left"/>
      <w:pPr>
        <w:tabs>
          <w:tab w:val="num" w:pos="5760"/>
        </w:tabs>
        <w:ind w:left="5760" w:hanging="360"/>
      </w:pPr>
    </w:lvl>
    <w:lvl w:ilvl="8" w:tplc="5F6C1F58" w:tentative="1">
      <w:start w:val="1"/>
      <w:numFmt w:val="decimal"/>
      <w:lvlText w:val="%9."/>
      <w:lvlJc w:val="left"/>
      <w:pPr>
        <w:tabs>
          <w:tab w:val="num" w:pos="6480"/>
        </w:tabs>
        <w:ind w:left="6480" w:hanging="360"/>
      </w:pPr>
    </w:lvl>
  </w:abstractNum>
  <w:abstractNum w:abstractNumId="108" w15:restartNumberingAfterBreak="0">
    <w:nsid w:val="4FEF546D"/>
    <w:multiLevelType w:val="hybridMultilevel"/>
    <w:tmpl w:val="0DA4A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0731BD3"/>
    <w:multiLevelType w:val="hybridMultilevel"/>
    <w:tmpl w:val="64545D8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0" w15:restartNumberingAfterBreak="0">
    <w:nsid w:val="507A29A8"/>
    <w:multiLevelType w:val="hybridMultilevel"/>
    <w:tmpl w:val="AB266780"/>
    <w:lvl w:ilvl="0" w:tplc="F7AC47D4">
      <w:start w:val="1"/>
      <w:numFmt w:val="decimal"/>
      <w:lvlText w:val="%1."/>
      <w:lvlJc w:val="left"/>
      <w:pPr>
        <w:ind w:left="720" w:hanging="360"/>
      </w:pPr>
    </w:lvl>
    <w:lvl w:ilvl="1" w:tplc="25186A0A">
      <w:start w:val="1"/>
      <w:numFmt w:val="lowerLetter"/>
      <w:lvlText w:val="%2."/>
      <w:lvlJc w:val="left"/>
      <w:pPr>
        <w:ind w:left="1440" w:hanging="360"/>
      </w:pPr>
    </w:lvl>
    <w:lvl w:ilvl="2" w:tplc="705A9762">
      <w:start w:val="1"/>
      <w:numFmt w:val="lowerRoman"/>
      <w:lvlText w:val="%3."/>
      <w:lvlJc w:val="right"/>
      <w:pPr>
        <w:ind w:left="2160" w:hanging="180"/>
      </w:pPr>
    </w:lvl>
    <w:lvl w:ilvl="3" w:tplc="051EC166">
      <w:start w:val="1"/>
      <w:numFmt w:val="decimal"/>
      <w:lvlText w:val="%4."/>
      <w:lvlJc w:val="left"/>
      <w:pPr>
        <w:ind w:left="2880" w:hanging="360"/>
      </w:pPr>
    </w:lvl>
    <w:lvl w:ilvl="4" w:tplc="FAF08E3A">
      <w:start w:val="1"/>
      <w:numFmt w:val="lowerLetter"/>
      <w:lvlText w:val="%5."/>
      <w:lvlJc w:val="left"/>
      <w:pPr>
        <w:ind w:left="3600" w:hanging="360"/>
      </w:pPr>
    </w:lvl>
    <w:lvl w:ilvl="5" w:tplc="C6F8CC36">
      <w:start w:val="1"/>
      <w:numFmt w:val="lowerRoman"/>
      <w:lvlText w:val="%6."/>
      <w:lvlJc w:val="right"/>
      <w:pPr>
        <w:ind w:left="4320" w:hanging="180"/>
      </w:pPr>
    </w:lvl>
    <w:lvl w:ilvl="6" w:tplc="B8727CB0">
      <w:start w:val="1"/>
      <w:numFmt w:val="decimal"/>
      <w:lvlText w:val="%7."/>
      <w:lvlJc w:val="left"/>
      <w:pPr>
        <w:ind w:left="5040" w:hanging="360"/>
      </w:pPr>
    </w:lvl>
    <w:lvl w:ilvl="7" w:tplc="C88C548C">
      <w:start w:val="1"/>
      <w:numFmt w:val="lowerLetter"/>
      <w:lvlText w:val="%8."/>
      <w:lvlJc w:val="left"/>
      <w:pPr>
        <w:ind w:left="5760" w:hanging="360"/>
      </w:pPr>
    </w:lvl>
    <w:lvl w:ilvl="8" w:tplc="FA229FF0">
      <w:start w:val="1"/>
      <w:numFmt w:val="lowerRoman"/>
      <w:lvlText w:val="%9."/>
      <w:lvlJc w:val="right"/>
      <w:pPr>
        <w:ind w:left="6480" w:hanging="180"/>
      </w:pPr>
    </w:lvl>
  </w:abstractNum>
  <w:abstractNum w:abstractNumId="111" w15:restartNumberingAfterBreak="0">
    <w:nsid w:val="51252C19"/>
    <w:multiLevelType w:val="hybridMultilevel"/>
    <w:tmpl w:val="C0200B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51BF49E4"/>
    <w:multiLevelType w:val="hybridMultilevel"/>
    <w:tmpl w:val="E49CBC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51CC5704"/>
    <w:multiLevelType w:val="hybridMultilevel"/>
    <w:tmpl w:val="D7BE37D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4" w15:restartNumberingAfterBreak="0">
    <w:nsid w:val="532B5BDB"/>
    <w:multiLevelType w:val="hybridMultilevel"/>
    <w:tmpl w:val="677221DE"/>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5" w15:restartNumberingAfterBreak="0">
    <w:nsid w:val="54882CEE"/>
    <w:multiLevelType w:val="hybridMultilevel"/>
    <w:tmpl w:val="6C32291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6" w15:restartNumberingAfterBreak="0">
    <w:nsid w:val="552F20E5"/>
    <w:multiLevelType w:val="hybridMultilevel"/>
    <w:tmpl w:val="543E2B2C"/>
    <w:lvl w:ilvl="0" w:tplc="7952BDE8">
      <w:numFmt w:val="bullet"/>
      <w:lvlText w:val="•"/>
      <w:lvlJc w:val="left"/>
      <w:pPr>
        <w:ind w:left="394" w:hanging="360"/>
      </w:pPr>
      <w:rPr>
        <w:rFonts w:hint="default" w:ascii="Calibri" w:hAnsi="Calibri"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7" w15:restartNumberingAfterBreak="0">
    <w:nsid w:val="585331D6"/>
    <w:multiLevelType w:val="hybridMultilevel"/>
    <w:tmpl w:val="0FAA49D4"/>
    <w:lvl w:ilvl="0" w:tplc="DCF4F6A6">
      <w:start w:val="1"/>
      <w:numFmt w:val="bullet"/>
      <w:pStyle w:val="List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3">
      <w:start w:val="1"/>
      <w:numFmt w:val="bullet"/>
      <w:lvlText w:val="o"/>
      <w:lvlJc w:val="left"/>
      <w:pPr>
        <w:ind w:left="1800" w:hanging="360"/>
      </w:pPr>
      <w:rPr>
        <w:rFonts w:hint="default" w:ascii="Courier New" w:hAnsi="Courier New" w:cs="Courier New"/>
      </w:rPr>
    </w:lvl>
    <w:lvl w:ilvl="3" w:tplc="0C090001">
      <w:start w:val="1"/>
      <w:numFmt w:val="bullet"/>
      <w:lvlText w:val=""/>
      <w:lvlJc w:val="left"/>
      <w:pPr>
        <w:ind w:left="2520" w:hanging="360"/>
      </w:pPr>
      <w:rPr>
        <w:rFonts w:hint="default" w:ascii="Symbol" w:hAnsi="Symbol"/>
      </w:rPr>
    </w:lvl>
    <w:lvl w:ilvl="4" w:tplc="0C090003">
      <w:start w:val="1"/>
      <w:numFmt w:val="bullet"/>
      <w:lvlText w:val="o"/>
      <w:lvlJc w:val="left"/>
      <w:pPr>
        <w:ind w:left="3240" w:hanging="360"/>
      </w:pPr>
      <w:rPr>
        <w:rFonts w:hint="default" w:ascii="Courier New" w:hAnsi="Courier New" w:cs="Courier New"/>
      </w:rPr>
    </w:lvl>
    <w:lvl w:ilvl="5" w:tplc="0C090005">
      <w:start w:val="1"/>
      <w:numFmt w:val="bullet"/>
      <w:lvlText w:val=""/>
      <w:lvlJc w:val="left"/>
      <w:pPr>
        <w:ind w:left="3960" w:hanging="360"/>
      </w:pPr>
      <w:rPr>
        <w:rFonts w:hint="default" w:ascii="Wingdings" w:hAnsi="Wingdings"/>
      </w:rPr>
    </w:lvl>
    <w:lvl w:ilvl="6" w:tplc="0C090001">
      <w:start w:val="1"/>
      <w:numFmt w:val="bullet"/>
      <w:lvlText w:val=""/>
      <w:lvlJc w:val="left"/>
      <w:pPr>
        <w:ind w:left="4680" w:hanging="360"/>
      </w:pPr>
      <w:rPr>
        <w:rFonts w:hint="default" w:ascii="Symbol" w:hAnsi="Symbol"/>
      </w:rPr>
    </w:lvl>
    <w:lvl w:ilvl="7" w:tplc="0C090003">
      <w:start w:val="1"/>
      <w:numFmt w:val="bullet"/>
      <w:lvlText w:val="o"/>
      <w:lvlJc w:val="left"/>
      <w:pPr>
        <w:ind w:left="5400" w:hanging="360"/>
      </w:pPr>
      <w:rPr>
        <w:rFonts w:hint="default" w:ascii="Courier New" w:hAnsi="Courier New" w:cs="Courier New"/>
      </w:rPr>
    </w:lvl>
    <w:lvl w:ilvl="8" w:tplc="0C090005">
      <w:start w:val="1"/>
      <w:numFmt w:val="bullet"/>
      <w:lvlText w:val=""/>
      <w:lvlJc w:val="left"/>
      <w:pPr>
        <w:ind w:left="6120" w:hanging="360"/>
      </w:pPr>
      <w:rPr>
        <w:rFonts w:hint="default" w:ascii="Wingdings" w:hAnsi="Wingdings"/>
      </w:rPr>
    </w:lvl>
  </w:abstractNum>
  <w:abstractNum w:abstractNumId="118" w15:restartNumberingAfterBreak="0">
    <w:nsid w:val="5A7F0FB1"/>
    <w:multiLevelType w:val="hybridMultilevel"/>
    <w:tmpl w:val="8C0AD4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5AC62DEC"/>
    <w:multiLevelType w:val="hybridMultilevel"/>
    <w:tmpl w:val="0AD4B9EA"/>
    <w:lvl w:ilvl="0" w:tplc="F79CA38A">
      <w:start w:val="1"/>
      <w:numFmt w:val="decimal"/>
      <w:lvlText w:val="%1."/>
      <w:lvlJc w:val="left"/>
      <w:pPr>
        <w:ind w:left="720" w:hanging="360"/>
      </w:pPr>
    </w:lvl>
    <w:lvl w:ilvl="1" w:tplc="70BA32D4">
      <w:start w:val="1"/>
      <w:numFmt w:val="lowerLetter"/>
      <w:lvlText w:val="%2."/>
      <w:lvlJc w:val="left"/>
      <w:pPr>
        <w:ind w:left="1440" w:hanging="360"/>
      </w:pPr>
    </w:lvl>
    <w:lvl w:ilvl="2" w:tplc="78C6D9DE">
      <w:start w:val="1"/>
      <w:numFmt w:val="lowerRoman"/>
      <w:lvlText w:val="%3."/>
      <w:lvlJc w:val="right"/>
      <w:pPr>
        <w:ind w:left="2160" w:hanging="180"/>
      </w:pPr>
    </w:lvl>
    <w:lvl w:ilvl="3" w:tplc="D5EC761A">
      <w:start w:val="1"/>
      <w:numFmt w:val="decimal"/>
      <w:lvlText w:val="%4."/>
      <w:lvlJc w:val="left"/>
      <w:pPr>
        <w:ind w:left="2880" w:hanging="360"/>
      </w:pPr>
    </w:lvl>
    <w:lvl w:ilvl="4" w:tplc="1CF68C06">
      <w:start w:val="1"/>
      <w:numFmt w:val="lowerLetter"/>
      <w:lvlText w:val="%5."/>
      <w:lvlJc w:val="left"/>
      <w:pPr>
        <w:ind w:left="3600" w:hanging="360"/>
      </w:pPr>
    </w:lvl>
    <w:lvl w:ilvl="5" w:tplc="4176AD32">
      <w:start w:val="1"/>
      <w:numFmt w:val="lowerRoman"/>
      <w:lvlText w:val="%6."/>
      <w:lvlJc w:val="right"/>
      <w:pPr>
        <w:ind w:left="4320" w:hanging="180"/>
      </w:pPr>
    </w:lvl>
    <w:lvl w:ilvl="6" w:tplc="D96221C4">
      <w:start w:val="1"/>
      <w:numFmt w:val="decimal"/>
      <w:lvlText w:val="%7."/>
      <w:lvlJc w:val="left"/>
      <w:pPr>
        <w:ind w:left="5040" w:hanging="360"/>
      </w:pPr>
    </w:lvl>
    <w:lvl w:ilvl="7" w:tplc="B2AC2778">
      <w:start w:val="1"/>
      <w:numFmt w:val="lowerLetter"/>
      <w:lvlText w:val="%8."/>
      <w:lvlJc w:val="left"/>
      <w:pPr>
        <w:ind w:left="5760" w:hanging="360"/>
      </w:pPr>
    </w:lvl>
    <w:lvl w:ilvl="8" w:tplc="A2E23456">
      <w:start w:val="1"/>
      <w:numFmt w:val="lowerRoman"/>
      <w:lvlText w:val="%9."/>
      <w:lvlJc w:val="right"/>
      <w:pPr>
        <w:ind w:left="6480" w:hanging="180"/>
      </w:pPr>
    </w:lvl>
  </w:abstractNum>
  <w:abstractNum w:abstractNumId="120" w15:restartNumberingAfterBreak="0">
    <w:nsid w:val="5AF70A8D"/>
    <w:multiLevelType w:val="hybridMultilevel"/>
    <w:tmpl w:val="052CC43E"/>
    <w:lvl w:ilvl="0" w:tplc="0C090017">
      <w:start w:val="1"/>
      <w:numFmt w:val="lowerLetter"/>
      <w:lvlText w:val="%1)"/>
      <w:lvlJc w:val="left"/>
      <w:pPr>
        <w:ind w:left="1936" w:hanging="360"/>
      </w:pPr>
    </w:lvl>
    <w:lvl w:ilvl="1" w:tplc="0C090019" w:tentative="1">
      <w:start w:val="1"/>
      <w:numFmt w:val="lowerLetter"/>
      <w:lvlText w:val="%2."/>
      <w:lvlJc w:val="left"/>
      <w:pPr>
        <w:ind w:left="2656" w:hanging="360"/>
      </w:pPr>
    </w:lvl>
    <w:lvl w:ilvl="2" w:tplc="0C09001B" w:tentative="1">
      <w:start w:val="1"/>
      <w:numFmt w:val="lowerRoman"/>
      <w:lvlText w:val="%3."/>
      <w:lvlJc w:val="right"/>
      <w:pPr>
        <w:ind w:left="3376" w:hanging="180"/>
      </w:pPr>
    </w:lvl>
    <w:lvl w:ilvl="3" w:tplc="0C09000F" w:tentative="1">
      <w:start w:val="1"/>
      <w:numFmt w:val="decimal"/>
      <w:lvlText w:val="%4."/>
      <w:lvlJc w:val="left"/>
      <w:pPr>
        <w:ind w:left="4096" w:hanging="360"/>
      </w:pPr>
    </w:lvl>
    <w:lvl w:ilvl="4" w:tplc="0C090019" w:tentative="1">
      <w:start w:val="1"/>
      <w:numFmt w:val="lowerLetter"/>
      <w:lvlText w:val="%5."/>
      <w:lvlJc w:val="left"/>
      <w:pPr>
        <w:ind w:left="4816" w:hanging="360"/>
      </w:pPr>
    </w:lvl>
    <w:lvl w:ilvl="5" w:tplc="0C09001B" w:tentative="1">
      <w:start w:val="1"/>
      <w:numFmt w:val="lowerRoman"/>
      <w:lvlText w:val="%6."/>
      <w:lvlJc w:val="right"/>
      <w:pPr>
        <w:ind w:left="5536" w:hanging="180"/>
      </w:pPr>
    </w:lvl>
    <w:lvl w:ilvl="6" w:tplc="0C09000F" w:tentative="1">
      <w:start w:val="1"/>
      <w:numFmt w:val="decimal"/>
      <w:lvlText w:val="%7."/>
      <w:lvlJc w:val="left"/>
      <w:pPr>
        <w:ind w:left="6256" w:hanging="360"/>
      </w:pPr>
    </w:lvl>
    <w:lvl w:ilvl="7" w:tplc="0C090019" w:tentative="1">
      <w:start w:val="1"/>
      <w:numFmt w:val="lowerLetter"/>
      <w:lvlText w:val="%8."/>
      <w:lvlJc w:val="left"/>
      <w:pPr>
        <w:ind w:left="6976" w:hanging="360"/>
      </w:pPr>
    </w:lvl>
    <w:lvl w:ilvl="8" w:tplc="0C09001B" w:tentative="1">
      <w:start w:val="1"/>
      <w:numFmt w:val="lowerRoman"/>
      <w:lvlText w:val="%9."/>
      <w:lvlJc w:val="right"/>
      <w:pPr>
        <w:ind w:left="7696" w:hanging="180"/>
      </w:pPr>
    </w:lvl>
  </w:abstractNum>
  <w:abstractNum w:abstractNumId="121" w15:restartNumberingAfterBreak="0">
    <w:nsid w:val="5B4E17D3"/>
    <w:multiLevelType w:val="hybridMultilevel"/>
    <w:tmpl w:val="EAF66D0C"/>
    <w:lvl w:ilvl="0" w:tplc="D9A08FDC">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5BFF0833"/>
    <w:multiLevelType w:val="hybridMultilevel"/>
    <w:tmpl w:val="42AAD8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15:restartNumberingAfterBreak="0">
    <w:nsid w:val="5C6F606C"/>
    <w:multiLevelType w:val="hybridMultilevel"/>
    <w:tmpl w:val="0AFE2DDE"/>
    <w:lvl w:ilvl="0" w:tplc="0C090001">
      <w:start w:val="1"/>
      <w:numFmt w:val="bullet"/>
      <w:lvlText w:val=""/>
      <w:lvlJc w:val="left"/>
      <w:pPr>
        <w:ind w:left="426" w:hanging="360"/>
      </w:pPr>
      <w:rPr>
        <w:rFonts w:hint="default" w:ascii="Symbol" w:hAnsi="Symbol"/>
      </w:rPr>
    </w:lvl>
    <w:lvl w:ilvl="1" w:tplc="0C090003" w:tentative="1">
      <w:start w:val="1"/>
      <w:numFmt w:val="bullet"/>
      <w:lvlText w:val="o"/>
      <w:lvlJc w:val="left"/>
      <w:pPr>
        <w:ind w:left="1146" w:hanging="360"/>
      </w:pPr>
      <w:rPr>
        <w:rFonts w:hint="default" w:ascii="Courier New" w:hAnsi="Courier New" w:cs="Courier New"/>
      </w:rPr>
    </w:lvl>
    <w:lvl w:ilvl="2" w:tplc="0C090005" w:tentative="1">
      <w:start w:val="1"/>
      <w:numFmt w:val="bullet"/>
      <w:lvlText w:val=""/>
      <w:lvlJc w:val="left"/>
      <w:pPr>
        <w:ind w:left="1866" w:hanging="360"/>
      </w:pPr>
      <w:rPr>
        <w:rFonts w:hint="default" w:ascii="Wingdings" w:hAnsi="Wingdings"/>
      </w:rPr>
    </w:lvl>
    <w:lvl w:ilvl="3" w:tplc="0C090001" w:tentative="1">
      <w:start w:val="1"/>
      <w:numFmt w:val="bullet"/>
      <w:lvlText w:val=""/>
      <w:lvlJc w:val="left"/>
      <w:pPr>
        <w:ind w:left="2586" w:hanging="360"/>
      </w:pPr>
      <w:rPr>
        <w:rFonts w:hint="default" w:ascii="Symbol" w:hAnsi="Symbol"/>
      </w:rPr>
    </w:lvl>
    <w:lvl w:ilvl="4" w:tplc="0C090003" w:tentative="1">
      <w:start w:val="1"/>
      <w:numFmt w:val="bullet"/>
      <w:lvlText w:val="o"/>
      <w:lvlJc w:val="left"/>
      <w:pPr>
        <w:ind w:left="3306" w:hanging="360"/>
      </w:pPr>
      <w:rPr>
        <w:rFonts w:hint="default" w:ascii="Courier New" w:hAnsi="Courier New" w:cs="Courier New"/>
      </w:rPr>
    </w:lvl>
    <w:lvl w:ilvl="5" w:tplc="0C090005" w:tentative="1">
      <w:start w:val="1"/>
      <w:numFmt w:val="bullet"/>
      <w:lvlText w:val=""/>
      <w:lvlJc w:val="left"/>
      <w:pPr>
        <w:ind w:left="4026" w:hanging="360"/>
      </w:pPr>
      <w:rPr>
        <w:rFonts w:hint="default" w:ascii="Wingdings" w:hAnsi="Wingdings"/>
      </w:rPr>
    </w:lvl>
    <w:lvl w:ilvl="6" w:tplc="0C090001" w:tentative="1">
      <w:start w:val="1"/>
      <w:numFmt w:val="bullet"/>
      <w:lvlText w:val=""/>
      <w:lvlJc w:val="left"/>
      <w:pPr>
        <w:ind w:left="4746" w:hanging="360"/>
      </w:pPr>
      <w:rPr>
        <w:rFonts w:hint="default" w:ascii="Symbol" w:hAnsi="Symbol"/>
      </w:rPr>
    </w:lvl>
    <w:lvl w:ilvl="7" w:tplc="0C090003" w:tentative="1">
      <w:start w:val="1"/>
      <w:numFmt w:val="bullet"/>
      <w:lvlText w:val="o"/>
      <w:lvlJc w:val="left"/>
      <w:pPr>
        <w:ind w:left="5466" w:hanging="360"/>
      </w:pPr>
      <w:rPr>
        <w:rFonts w:hint="default" w:ascii="Courier New" w:hAnsi="Courier New" w:cs="Courier New"/>
      </w:rPr>
    </w:lvl>
    <w:lvl w:ilvl="8" w:tplc="0C090005" w:tentative="1">
      <w:start w:val="1"/>
      <w:numFmt w:val="bullet"/>
      <w:lvlText w:val=""/>
      <w:lvlJc w:val="left"/>
      <w:pPr>
        <w:ind w:left="6186" w:hanging="360"/>
      </w:pPr>
      <w:rPr>
        <w:rFonts w:hint="default" w:ascii="Wingdings" w:hAnsi="Wingdings"/>
      </w:rPr>
    </w:lvl>
  </w:abstractNum>
  <w:abstractNum w:abstractNumId="124" w15:restartNumberingAfterBreak="0">
    <w:nsid w:val="5D2E6A61"/>
    <w:multiLevelType w:val="hybridMultilevel"/>
    <w:tmpl w:val="D78A4E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5E2A44F7"/>
    <w:multiLevelType w:val="hybridMultilevel"/>
    <w:tmpl w:val="51B2A55E"/>
    <w:lvl w:ilvl="0" w:tplc="B14A0524">
      <w:start w:val="1"/>
      <w:numFmt w:val="decimal"/>
      <w:lvlText w:val="%1."/>
      <w:lvlJc w:val="left"/>
      <w:pPr>
        <w:ind w:left="360" w:hanging="360"/>
      </w:pPr>
      <w:rPr>
        <w:rFonts w:ascii="Calibri" w:hAnsi="Calibri" w:eastAsia="Times New Roman"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5FE820BB"/>
    <w:multiLevelType w:val="hybridMultilevel"/>
    <w:tmpl w:val="11DEF0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7" w15:restartNumberingAfterBreak="0">
    <w:nsid w:val="60032933"/>
    <w:multiLevelType w:val="hybridMultilevel"/>
    <w:tmpl w:val="C15222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8" w15:restartNumberingAfterBreak="0">
    <w:nsid w:val="60A267D3"/>
    <w:multiLevelType w:val="hybridMultilevel"/>
    <w:tmpl w:val="B8C60848"/>
    <w:lvl w:ilvl="0" w:tplc="24D08D2E">
      <w:start w:val="1"/>
      <w:numFmt w:val="decimal"/>
      <w:lvlText w:val="%1."/>
      <w:lvlJc w:val="left"/>
      <w:pPr>
        <w:ind w:left="720" w:hanging="360"/>
      </w:pPr>
    </w:lvl>
    <w:lvl w:ilvl="1" w:tplc="853A6886">
      <w:start w:val="1"/>
      <w:numFmt w:val="lowerLetter"/>
      <w:lvlText w:val="%2."/>
      <w:lvlJc w:val="left"/>
      <w:pPr>
        <w:ind w:left="1440" w:hanging="360"/>
      </w:pPr>
    </w:lvl>
    <w:lvl w:ilvl="2" w:tplc="67883416">
      <w:start w:val="1"/>
      <w:numFmt w:val="lowerRoman"/>
      <w:lvlText w:val="%3."/>
      <w:lvlJc w:val="right"/>
      <w:pPr>
        <w:ind w:left="2160" w:hanging="180"/>
      </w:pPr>
    </w:lvl>
    <w:lvl w:ilvl="3" w:tplc="BE5685DE">
      <w:start w:val="1"/>
      <w:numFmt w:val="decimal"/>
      <w:lvlText w:val="%4."/>
      <w:lvlJc w:val="left"/>
      <w:pPr>
        <w:ind w:left="2880" w:hanging="360"/>
      </w:pPr>
    </w:lvl>
    <w:lvl w:ilvl="4" w:tplc="26FE5D28">
      <w:start w:val="1"/>
      <w:numFmt w:val="lowerLetter"/>
      <w:lvlText w:val="%5."/>
      <w:lvlJc w:val="left"/>
      <w:pPr>
        <w:ind w:left="3600" w:hanging="360"/>
      </w:pPr>
    </w:lvl>
    <w:lvl w:ilvl="5" w:tplc="3D0453D0">
      <w:start w:val="1"/>
      <w:numFmt w:val="lowerRoman"/>
      <w:lvlText w:val="%6."/>
      <w:lvlJc w:val="right"/>
      <w:pPr>
        <w:ind w:left="4320" w:hanging="180"/>
      </w:pPr>
    </w:lvl>
    <w:lvl w:ilvl="6" w:tplc="D9F8ACAE">
      <w:start w:val="1"/>
      <w:numFmt w:val="decimal"/>
      <w:lvlText w:val="%7."/>
      <w:lvlJc w:val="left"/>
      <w:pPr>
        <w:ind w:left="5040" w:hanging="360"/>
      </w:pPr>
    </w:lvl>
    <w:lvl w:ilvl="7" w:tplc="FE34D3CE">
      <w:start w:val="1"/>
      <w:numFmt w:val="lowerLetter"/>
      <w:lvlText w:val="%8."/>
      <w:lvlJc w:val="left"/>
      <w:pPr>
        <w:ind w:left="5760" w:hanging="360"/>
      </w:pPr>
    </w:lvl>
    <w:lvl w:ilvl="8" w:tplc="41FA8DB4">
      <w:start w:val="1"/>
      <w:numFmt w:val="lowerRoman"/>
      <w:lvlText w:val="%9."/>
      <w:lvlJc w:val="right"/>
      <w:pPr>
        <w:ind w:left="6480" w:hanging="180"/>
      </w:pPr>
    </w:lvl>
  </w:abstractNum>
  <w:abstractNum w:abstractNumId="129" w15:restartNumberingAfterBreak="0">
    <w:nsid w:val="62A807C9"/>
    <w:multiLevelType w:val="hybridMultilevel"/>
    <w:tmpl w:val="B25018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6460160B"/>
    <w:multiLevelType w:val="hybridMultilevel"/>
    <w:tmpl w:val="9A2652C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657A364C"/>
    <w:multiLevelType w:val="hybridMultilevel"/>
    <w:tmpl w:val="A9245B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2" w15:restartNumberingAfterBreak="0">
    <w:nsid w:val="65A52B7E"/>
    <w:multiLevelType w:val="hybridMultilevel"/>
    <w:tmpl w:val="0C09000F"/>
    <w:lvl w:ilvl="0" w:tplc="F828D778">
      <w:start w:val="1"/>
      <w:numFmt w:val="decimal"/>
      <w:lvlText w:val="%1."/>
      <w:lvlJc w:val="left"/>
      <w:pPr>
        <w:tabs>
          <w:tab w:val="num" w:pos="360"/>
        </w:tabs>
        <w:ind w:left="360" w:hanging="360"/>
      </w:pPr>
      <w:rPr>
        <w:rFonts w:hint="default"/>
      </w:rPr>
    </w:lvl>
    <w:lvl w:ilvl="1" w:tplc="9CB8E05A">
      <w:numFmt w:val="decimal"/>
      <w:lvlText w:val=""/>
      <w:lvlJc w:val="left"/>
    </w:lvl>
    <w:lvl w:ilvl="2" w:tplc="8BC46D22">
      <w:numFmt w:val="decimal"/>
      <w:lvlText w:val=""/>
      <w:lvlJc w:val="left"/>
    </w:lvl>
    <w:lvl w:ilvl="3" w:tplc="41D4E5D4">
      <w:numFmt w:val="decimal"/>
      <w:lvlText w:val=""/>
      <w:lvlJc w:val="left"/>
    </w:lvl>
    <w:lvl w:ilvl="4" w:tplc="86526FBA">
      <w:numFmt w:val="decimal"/>
      <w:lvlText w:val=""/>
      <w:lvlJc w:val="left"/>
    </w:lvl>
    <w:lvl w:ilvl="5" w:tplc="C2083A78">
      <w:numFmt w:val="decimal"/>
      <w:lvlText w:val=""/>
      <w:lvlJc w:val="left"/>
    </w:lvl>
    <w:lvl w:ilvl="6" w:tplc="83D28AA4">
      <w:numFmt w:val="decimal"/>
      <w:lvlText w:val=""/>
      <w:lvlJc w:val="left"/>
    </w:lvl>
    <w:lvl w:ilvl="7" w:tplc="355C78BE">
      <w:numFmt w:val="decimal"/>
      <w:lvlText w:val=""/>
      <w:lvlJc w:val="left"/>
    </w:lvl>
    <w:lvl w:ilvl="8" w:tplc="9C609FB6">
      <w:numFmt w:val="decimal"/>
      <w:lvlText w:val=""/>
      <w:lvlJc w:val="left"/>
    </w:lvl>
  </w:abstractNum>
  <w:abstractNum w:abstractNumId="133" w15:restartNumberingAfterBreak="0">
    <w:nsid w:val="664E7E9C"/>
    <w:multiLevelType w:val="hybridMultilevel"/>
    <w:tmpl w:val="F5A2E1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4" w15:restartNumberingAfterBreak="0">
    <w:nsid w:val="66C02432"/>
    <w:multiLevelType w:val="hybridMultilevel"/>
    <w:tmpl w:val="4F3663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68375066"/>
    <w:multiLevelType w:val="hybridMultilevel"/>
    <w:tmpl w:val="5718A90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6" w15:restartNumberingAfterBreak="0">
    <w:nsid w:val="696230F9"/>
    <w:multiLevelType w:val="hybridMultilevel"/>
    <w:tmpl w:val="8B48AE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698A2426"/>
    <w:multiLevelType w:val="hybridMultilevel"/>
    <w:tmpl w:val="892A7CF6"/>
    <w:lvl w:ilvl="0" w:tplc="792C2DD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6A6B509F"/>
    <w:multiLevelType w:val="hybridMultilevel"/>
    <w:tmpl w:val="38209866"/>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39" w15:restartNumberingAfterBreak="0">
    <w:nsid w:val="6C055C2F"/>
    <w:multiLevelType w:val="hybridMultilevel"/>
    <w:tmpl w:val="76E6B90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0" w15:restartNumberingAfterBreak="0">
    <w:nsid w:val="6C821150"/>
    <w:multiLevelType w:val="hybridMultilevel"/>
    <w:tmpl w:val="B4802A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6E3D68A4"/>
    <w:multiLevelType w:val="hybridMultilevel"/>
    <w:tmpl w:val="DBA02A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704719F3"/>
    <w:multiLevelType w:val="hybridMultilevel"/>
    <w:tmpl w:val="7278BF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0C80557"/>
    <w:multiLevelType w:val="hybridMultilevel"/>
    <w:tmpl w:val="098200B4"/>
    <w:lvl w:ilvl="0" w:tplc="7952BDE8">
      <w:numFmt w:val="bullet"/>
      <w:lvlText w:val="•"/>
      <w:lvlJc w:val="left"/>
      <w:pPr>
        <w:ind w:left="394" w:hanging="360"/>
      </w:pPr>
      <w:rPr>
        <w:rFonts w:hint="default" w:ascii="Calibri" w:hAnsi="Calibri" w:eastAsia="Times New Roman" w:cs="Aria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4" w15:restartNumberingAfterBreak="0">
    <w:nsid w:val="71161A55"/>
    <w:multiLevelType w:val="hybridMultilevel"/>
    <w:tmpl w:val="A918A1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71634083"/>
    <w:multiLevelType w:val="hybridMultilevel"/>
    <w:tmpl w:val="4B4C0B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72FB639A"/>
    <w:multiLevelType w:val="hybridMultilevel"/>
    <w:tmpl w:val="0C090011"/>
    <w:lvl w:ilvl="0" w:tplc="F2CAE4BE">
      <w:start w:val="1"/>
      <w:numFmt w:val="decimal"/>
      <w:lvlText w:val="%1)"/>
      <w:lvlJc w:val="left"/>
      <w:pPr>
        <w:tabs>
          <w:tab w:val="num" w:pos="360"/>
        </w:tabs>
        <w:ind w:left="360" w:hanging="360"/>
      </w:pPr>
      <w:rPr>
        <w:rFonts w:hint="default"/>
      </w:rPr>
    </w:lvl>
    <w:lvl w:ilvl="1" w:tplc="0E80C3DC">
      <w:numFmt w:val="decimal"/>
      <w:lvlText w:val=""/>
      <w:lvlJc w:val="left"/>
    </w:lvl>
    <w:lvl w:ilvl="2" w:tplc="4E92975A">
      <w:numFmt w:val="decimal"/>
      <w:lvlText w:val=""/>
      <w:lvlJc w:val="left"/>
    </w:lvl>
    <w:lvl w:ilvl="3" w:tplc="DBEA3A0E">
      <w:numFmt w:val="decimal"/>
      <w:lvlText w:val=""/>
      <w:lvlJc w:val="left"/>
    </w:lvl>
    <w:lvl w:ilvl="4" w:tplc="9BAA6974">
      <w:numFmt w:val="decimal"/>
      <w:lvlText w:val=""/>
      <w:lvlJc w:val="left"/>
    </w:lvl>
    <w:lvl w:ilvl="5" w:tplc="27E02132">
      <w:numFmt w:val="decimal"/>
      <w:lvlText w:val=""/>
      <w:lvlJc w:val="left"/>
    </w:lvl>
    <w:lvl w:ilvl="6" w:tplc="D3EC8806">
      <w:numFmt w:val="decimal"/>
      <w:lvlText w:val=""/>
      <w:lvlJc w:val="left"/>
    </w:lvl>
    <w:lvl w:ilvl="7" w:tplc="D9867EA4">
      <w:numFmt w:val="decimal"/>
      <w:lvlText w:val=""/>
      <w:lvlJc w:val="left"/>
    </w:lvl>
    <w:lvl w:ilvl="8" w:tplc="C114CC7E">
      <w:numFmt w:val="decimal"/>
      <w:lvlText w:val=""/>
      <w:lvlJc w:val="left"/>
    </w:lvl>
  </w:abstractNum>
  <w:abstractNum w:abstractNumId="147" w15:restartNumberingAfterBreak="0">
    <w:nsid w:val="733D3EDA"/>
    <w:multiLevelType w:val="hybridMultilevel"/>
    <w:tmpl w:val="DB64087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8" w15:restartNumberingAfterBreak="0">
    <w:nsid w:val="73401CCB"/>
    <w:multiLevelType w:val="hybridMultilevel"/>
    <w:tmpl w:val="5B125E1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49" w15:restartNumberingAfterBreak="0">
    <w:nsid w:val="75A04102"/>
    <w:multiLevelType w:val="hybridMultilevel"/>
    <w:tmpl w:val="F288D2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5A4790E"/>
    <w:multiLevelType w:val="hybridMultilevel"/>
    <w:tmpl w:val="E2C07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5B31A23"/>
    <w:multiLevelType w:val="hybridMultilevel"/>
    <w:tmpl w:val="C67869A6"/>
    <w:lvl w:ilvl="0" w:tplc="B5DE85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6D3592F"/>
    <w:multiLevelType w:val="hybridMultilevel"/>
    <w:tmpl w:val="4B4ACC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15:restartNumberingAfterBreak="0">
    <w:nsid w:val="76E5725F"/>
    <w:multiLevelType w:val="hybridMultilevel"/>
    <w:tmpl w:val="F0883120"/>
    <w:lvl w:ilvl="0" w:tplc="88C42F9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7823238D"/>
    <w:multiLevelType w:val="hybridMultilevel"/>
    <w:tmpl w:val="2C7ABC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5" w15:restartNumberingAfterBreak="0">
    <w:nsid w:val="78A52989"/>
    <w:multiLevelType w:val="hybridMultilevel"/>
    <w:tmpl w:val="549EBCA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6" w15:restartNumberingAfterBreak="0">
    <w:nsid w:val="79032AFF"/>
    <w:multiLevelType w:val="hybridMultilevel"/>
    <w:tmpl w:val="6298E04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7" w15:restartNumberingAfterBreak="0">
    <w:nsid w:val="7A8461BD"/>
    <w:multiLevelType w:val="hybridMultilevel"/>
    <w:tmpl w:val="B3402350"/>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8" w15:restartNumberingAfterBreak="0">
    <w:nsid w:val="7AE02A0A"/>
    <w:multiLevelType w:val="hybridMultilevel"/>
    <w:tmpl w:val="F5EAAA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7B5C5592"/>
    <w:multiLevelType w:val="hybridMultilevel"/>
    <w:tmpl w:val="A9362EA2"/>
    <w:lvl w:ilvl="0" w:tplc="DC625BA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0" w15:restartNumberingAfterBreak="0">
    <w:nsid w:val="7BCF78C0"/>
    <w:multiLevelType w:val="hybridMultilevel"/>
    <w:tmpl w:val="4B4AEF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7C78562A"/>
    <w:multiLevelType w:val="hybridMultilevel"/>
    <w:tmpl w:val="E6A27E20"/>
    <w:lvl w:ilvl="0" w:tplc="95FEC43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D39460C"/>
    <w:multiLevelType w:val="hybridMultilevel"/>
    <w:tmpl w:val="DA2EB14E"/>
    <w:lvl w:ilvl="0" w:tplc="9C6C7CA8">
      <w:start w:val="1"/>
      <w:numFmt w:val="decimal"/>
      <w:lvlText w:val="%1."/>
      <w:lvlJc w:val="left"/>
      <w:pPr>
        <w:ind w:left="720" w:hanging="360"/>
      </w:pPr>
    </w:lvl>
    <w:lvl w:ilvl="1" w:tplc="AA785F82">
      <w:start w:val="1"/>
      <w:numFmt w:val="lowerLetter"/>
      <w:lvlText w:val="%2."/>
      <w:lvlJc w:val="left"/>
      <w:pPr>
        <w:ind w:left="1440" w:hanging="360"/>
      </w:pPr>
    </w:lvl>
    <w:lvl w:ilvl="2" w:tplc="5AEC89AC">
      <w:start w:val="1"/>
      <w:numFmt w:val="lowerRoman"/>
      <w:lvlText w:val="%3."/>
      <w:lvlJc w:val="right"/>
      <w:pPr>
        <w:ind w:left="2160" w:hanging="180"/>
      </w:pPr>
    </w:lvl>
    <w:lvl w:ilvl="3" w:tplc="F4FAB1EA">
      <w:start w:val="1"/>
      <w:numFmt w:val="decimal"/>
      <w:lvlText w:val="%4."/>
      <w:lvlJc w:val="left"/>
      <w:pPr>
        <w:ind w:left="2880" w:hanging="360"/>
      </w:pPr>
    </w:lvl>
    <w:lvl w:ilvl="4" w:tplc="0D9A5186">
      <w:start w:val="1"/>
      <w:numFmt w:val="lowerLetter"/>
      <w:lvlText w:val="%5."/>
      <w:lvlJc w:val="left"/>
      <w:pPr>
        <w:ind w:left="3600" w:hanging="360"/>
      </w:pPr>
    </w:lvl>
    <w:lvl w:ilvl="5" w:tplc="D6064854">
      <w:start w:val="1"/>
      <w:numFmt w:val="lowerRoman"/>
      <w:lvlText w:val="%6."/>
      <w:lvlJc w:val="right"/>
      <w:pPr>
        <w:ind w:left="4320" w:hanging="180"/>
      </w:pPr>
    </w:lvl>
    <w:lvl w:ilvl="6" w:tplc="45E48824">
      <w:start w:val="1"/>
      <w:numFmt w:val="decimal"/>
      <w:lvlText w:val="%7."/>
      <w:lvlJc w:val="left"/>
      <w:pPr>
        <w:ind w:left="5040" w:hanging="360"/>
      </w:pPr>
    </w:lvl>
    <w:lvl w:ilvl="7" w:tplc="2FFAD136">
      <w:start w:val="1"/>
      <w:numFmt w:val="lowerLetter"/>
      <w:lvlText w:val="%8."/>
      <w:lvlJc w:val="left"/>
      <w:pPr>
        <w:ind w:left="5760" w:hanging="360"/>
      </w:pPr>
    </w:lvl>
    <w:lvl w:ilvl="8" w:tplc="9062A3A4">
      <w:start w:val="1"/>
      <w:numFmt w:val="lowerRoman"/>
      <w:lvlText w:val="%9."/>
      <w:lvlJc w:val="right"/>
      <w:pPr>
        <w:ind w:left="6480" w:hanging="180"/>
      </w:pPr>
    </w:lvl>
  </w:abstractNum>
  <w:abstractNum w:abstractNumId="163" w15:restartNumberingAfterBreak="0">
    <w:nsid w:val="7DAE40E4"/>
    <w:multiLevelType w:val="hybridMultilevel"/>
    <w:tmpl w:val="4754B28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62"/>
  </w:num>
  <w:num w:numId="2">
    <w:abstractNumId w:val="110"/>
  </w:num>
  <w:num w:numId="3">
    <w:abstractNumId w:val="44"/>
  </w:num>
  <w:num w:numId="4">
    <w:abstractNumId w:val="33"/>
  </w:num>
  <w:num w:numId="5">
    <w:abstractNumId w:val="128"/>
  </w:num>
  <w:num w:numId="6">
    <w:abstractNumId w:val="41"/>
  </w:num>
  <w:num w:numId="7">
    <w:abstractNumId w:val="119"/>
  </w:num>
  <w:num w:numId="8">
    <w:abstractNumId w:val="20"/>
  </w:num>
  <w:num w:numId="9">
    <w:abstractNumId w:val="26"/>
  </w:num>
  <w:num w:numId="10">
    <w:abstractNumId w:val="45"/>
  </w:num>
  <w:num w:numId="11">
    <w:abstractNumId w:val="31"/>
  </w:num>
  <w:num w:numId="12">
    <w:abstractNumId w:val="12"/>
  </w:num>
  <w:num w:numId="13">
    <w:abstractNumId w:val="78"/>
  </w:num>
  <w:num w:numId="14">
    <w:abstractNumId w:val="14"/>
  </w:num>
  <w:num w:numId="15">
    <w:abstractNumId w:val="103"/>
  </w:num>
  <w:num w:numId="16">
    <w:abstractNumId w:val="81"/>
  </w:num>
  <w:num w:numId="17">
    <w:abstractNumId w:val="146"/>
  </w:num>
  <w:num w:numId="18">
    <w:abstractNumId w:val="132"/>
  </w:num>
  <w:num w:numId="19">
    <w:abstractNumId w:val="134"/>
  </w:num>
  <w:num w:numId="20">
    <w:abstractNumId w:val="129"/>
  </w:num>
  <w:num w:numId="21">
    <w:abstractNumId w:val="84"/>
  </w:num>
  <w:num w:numId="22">
    <w:abstractNumId w:val="54"/>
  </w:num>
  <w:num w:numId="23">
    <w:abstractNumId w:val="104"/>
  </w:num>
  <w:num w:numId="24">
    <w:abstractNumId w:val="77"/>
  </w:num>
  <w:num w:numId="25">
    <w:abstractNumId w:val="52"/>
  </w:num>
  <w:num w:numId="26">
    <w:abstractNumId w:val="69"/>
  </w:num>
  <w:num w:numId="27">
    <w:abstractNumId w:val="17"/>
  </w:num>
  <w:num w:numId="28">
    <w:abstractNumId w:val="37"/>
  </w:num>
  <w:num w:numId="29">
    <w:abstractNumId w:val="42"/>
  </w:num>
  <w:num w:numId="30">
    <w:abstractNumId w:val="116"/>
  </w:num>
  <w:num w:numId="31">
    <w:abstractNumId w:val="143"/>
  </w:num>
  <w:num w:numId="32">
    <w:abstractNumId w:val="48"/>
  </w:num>
  <w:num w:numId="33">
    <w:abstractNumId w:val="133"/>
  </w:num>
  <w:num w:numId="34">
    <w:abstractNumId w:val="135"/>
  </w:num>
  <w:num w:numId="35">
    <w:abstractNumId w:val="160"/>
  </w:num>
  <w:num w:numId="36">
    <w:abstractNumId w:val="66"/>
  </w:num>
  <w:num w:numId="37">
    <w:abstractNumId w:val="114"/>
  </w:num>
  <w:num w:numId="38">
    <w:abstractNumId w:val="147"/>
  </w:num>
  <w:num w:numId="39">
    <w:abstractNumId w:val="56"/>
  </w:num>
  <w:num w:numId="40">
    <w:abstractNumId w:val="35"/>
  </w:num>
  <w:num w:numId="41">
    <w:abstractNumId w:val="152"/>
  </w:num>
  <w:num w:numId="42">
    <w:abstractNumId w:val="71"/>
  </w:num>
  <w:num w:numId="43">
    <w:abstractNumId w:val="1"/>
  </w:num>
  <w:num w:numId="44">
    <w:abstractNumId w:val="55"/>
  </w:num>
  <w:num w:numId="45">
    <w:abstractNumId w:val="11"/>
  </w:num>
  <w:num w:numId="46">
    <w:abstractNumId w:val="124"/>
  </w:num>
  <w:num w:numId="47">
    <w:abstractNumId w:val="51"/>
  </w:num>
  <w:num w:numId="48">
    <w:abstractNumId w:val="94"/>
  </w:num>
  <w:num w:numId="49">
    <w:abstractNumId w:val="101"/>
  </w:num>
  <w:num w:numId="50">
    <w:abstractNumId w:val="21"/>
  </w:num>
  <w:num w:numId="51">
    <w:abstractNumId w:val="142"/>
  </w:num>
  <w:num w:numId="52">
    <w:abstractNumId w:val="9"/>
  </w:num>
  <w:num w:numId="53">
    <w:abstractNumId w:val="100"/>
  </w:num>
  <w:num w:numId="54">
    <w:abstractNumId w:val="108"/>
  </w:num>
  <w:num w:numId="55">
    <w:abstractNumId w:val="156"/>
  </w:num>
  <w:num w:numId="56">
    <w:abstractNumId w:val="99"/>
  </w:num>
  <w:num w:numId="57">
    <w:abstractNumId w:val="127"/>
  </w:num>
  <w:num w:numId="58">
    <w:abstractNumId w:val="83"/>
  </w:num>
  <w:num w:numId="59">
    <w:abstractNumId w:val="63"/>
  </w:num>
  <w:num w:numId="60">
    <w:abstractNumId w:val="65"/>
  </w:num>
  <w:num w:numId="61">
    <w:abstractNumId w:val="39"/>
  </w:num>
  <w:num w:numId="62">
    <w:abstractNumId w:val="46"/>
  </w:num>
  <w:num w:numId="63">
    <w:abstractNumId w:val="82"/>
  </w:num>
  <w:num w:numId="64">
    <w:abstractNumId w:val="126"/>
  </w:num>
  <w:num w:numId="65">
    <w:abstractNumId w:val="49"/>
  </w:num>
  <w:num w:numId="66">
    <w:abstractNumId w:val="137"/>
  </w:num>
  <w:num w:numId="67">
    <w:abstractNumId w:val="163"/>
  </w:num>
  <w:num w:numId="68">
    <w:abstractNumId w:val="136"/>
  </w:num>
  <w:num w:numId="69">
    <w:abstractNumId w:val="87"/>
  </w:num>
  <w:num w:numId="70">
    <w:abstractNumId w:val="79"/>
  </w:num>
  <w:num w:numId="71">
    <w:abstractNumId w:val="102"/>
  </w:num>
  <w:num w:numId="72">
    <w:abstractNumId w:val="90"/>
  </w:num>
  <w:num w:numId="73">
    <w:abstractNumId w:val="86"/>
  </w:num>
  <w:num w:numId="74">
    <w:abstractNumId w:val="125"/>
  </w:num>
  <w:num w:numId="75">
    <w:abstractNumId w:val="76"/>
  </w:num>
  <w:num w:numId="76">
    <w:abstractNumId w:val="97"/>
  </w:num>
  <w:num w:numId="77">
    <w:abstractNumId w:val="74"/>
  </w:num>
  <w:num w:numId="78">
    <w:abstractNumId w:val="34"/>
  </w:num>
  <w:num w:numId="79">
    <w:abstractNumId w:val="8"/>
  </w:num>
  <w:num w:numId="80">
    <w:abstractNumId w:val="131"/>
  </w:num>
  <w:num w:numId="81">
    <w:abstractNumId w:val="4"/>
  </w:num>
  <w:num w:numId="82">
    <w:abstractNumId w:val="29"/>
  </w:num>
  <w:num w:numId="83">
    <w:abstractNumId w:val="80"/>
  </w:num>
  <w:num w:numId="84">
    <w:abstractNumId w:val="95"/>
  </w:num>
  <w:num w:numId="85">
    <w:abstractNumId w:val="32"/>
  </w:num>
  <w:num w:numId="86">
    <w:abstractNumId w:val="50"/>
  </w:num>
  <w:num w:numId="87">
    <w:abstractNumId w:val="158"/>
  </w:num>
  <w:num w:numId="88">
    <w:abstractNumId w:val="117"/>
  </w:num>
  <w:num w:numId="89">
    <w:abstractNumId w:val="28"/>
  </w:num>
  <w:num w:numId="90">
    <w:abstractNumId w:val="72"/>
  </w:num>
  <w:num w:numId="91">
    <w:abstractNumId w:val="154"/>
  </w:num>
  <w:num w:numId="92">
    <w:abstractNumId w:val="118"/>
  </w:num>
  <w:num w:numId="93">
    <w:abstractNumId w:val="161"/>
  </w:num>
  <w:num w:numId="94">
    <w:abstractNumId w:val="36"/>
  </w:num>
  <w:num w:numId="95">
    <w:abstractNumId w:val="61"/>
  </w:num>
  <w:num w:numId="96">
    <w:abstractNumId w:val="109"/>
  </w:num>
  <w:num w:numId="97">
    <w:abstractNumId w:val="16"/>
  </w:num>
  <w:num w:numId="98">
    <w:abstractNumId w:val="25"/>
  </w:num>
  <w:num w:numId="99">
    <w:abstractNumId w:val="30"/>
  </w:num>
  <w:num w:numId="100">
    <w:abstractNumId w:val="85"/>
  </w:num>
  <w:num w:numId="101">
    <w:abstractNumId w:val="75"/>
  </w:num>
  <w:num w:numId="102">
    <w:abstractNumId w:val="106"/>
  </w:num>
  <w:num w:numId="103">
    <w:abstractNumId w:val="144"/>
  </w:num>
  <w:num w:numId="104">
    <w:abstractNumId w:val="24"/>
  </w:num>
  <w:num w:numId="105">
    <w:abstractNumId w:val="5"/>
  </w:num>
  <w:num w:numId="106">
    <w:abstractNumId w:val="107"/>
  </w:num>
  <w:num w:numId="107">
    <w:abstractNumId w:val="57"/>
  </w:num>
  <w:num w:numId="108">
    <w:abstractNumId w:val="43"/>
  </w:num>
  <w:num w:numId="109">
    <w:abstractNumId w:val="113"/>
  </w:num>
  <w:num w:numId="110">
    <w:abstractNumId w:val="148"/>
  </w:num>
  <w:num w:numId="111">
    <w:abstractNumId w:val="115"/>
  </w:num>
  <w:num w:numId="1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num>
  <w:num w:numId="114">
    <w:abstractNumId w:val="2"/>
  </w:num>
  <w:num w:numId="115">
    <w:abstractNumId w:val="10"/>
  </w:num>
  <w:num w:numId="116">
    <w:abstractNumId w:val="40"/>
  </w:num>
  <w:num w:numId="117">
    <w:abstractNumId w:val="151"/>
  </w:num>
  <w:num w:numId="118">
    <w:abstractNumId w:val="18"/>
  </w:num>
  <w:num w:numId="119">
    <w:abstractNumId w:val="19"/>
  </w:num>
  <w:num w:numId="120">
    <w:abstractNumId w:val="138"/>
  </w:num>
  <w:num w:numId="121">
    <w:abstractNumId w:val="112"/>
  </w:num>
  <w:num w:numId="122">
    <w:abstractNumId w:val="62"/>
  </w:num>
  <w:num w:numId="123">
    <w:abstractNumId w:val="123"/>
  </w:num>
  <w:num w:numId="124">
    <w:abstractNumId w:val="89"/>
  </w:num>
  <w:num w:numId="125">
    <w:abstractNumId w:val="68"/>
  </w:num>
  <w:num w:numId="126">
    <w:abstractNumId w:val="59"/>
  </w:num>
  <w:num w:numId="127">
    <w:abstractNumId w:val="120"/>
  </w:num>
  <w:num w:numId="128">
    <w:abstractNumId w:val="60"/>
  </w:num>
  <w:num w:numId="129">
    <w:abstractNumId w:val="96"/>
  </w:num>
  <w:num w:numId="130">
    <w:abstractNumId w:val="121"/>
  </w:num>
  <w:num w:numId="131">
    <w:abstractNumId w:val="155"/>
  </w:num>
  <w:num w:numId="132">
    <w:abstractNumId w:val="58"/>
  </w:num>
  <w:num w:numId="133">
    <w:abstractNumId w:val="3"/>
  </w:num>
  <w:num w:numId="134">
    <w:abstractNumId w:val="70"/>
  </w:num>
  <w:num w:numId="135">
    <w:abstractNumId w:val="0"/>
  </w:num>
  <w:num w:numId="136">
    <w:abstractNumId w:val="93"/>
  </w:num>
  <w:num w:numId="137">
    <w:abstractNumId w:val="7"/>
  </w:num>
  <w:num w:numId="138">
    <w:abstractNumId w:val="98"/>
  </w:num>
  <w:num w:numId="139">
    <w:abstractNumId w:val="141"/>
  </w:num>
  <w:num w:numId="140">
    <w:abstractNumId w:val="23"/>
  </w:num>
  <w:num w:numId="141">
    <w:abstractNumId w:val="139"/>
  </w:num>
  <w:num w:numId="142">
    <w:abstractNumId w:val="38"/>
  </w:num>
  <w:num w:numId="143">
    <w:abstractNumId w:val="67"/>
  </w:num>
  <w:num w:numId="144">
    <w:abstractNumId w:val="150"/>
  </w:num>
  <w:num w:numId="145">
    <w:abstractNumId w:val="13"/>
  </w:num>
  <w:num w:numId="146">
    <w:abstractNumId w:val="92"/>
  </w:num>
  <w:num w:numId="147">
    <w:abstractNumId w:val="47"/>
  </w:num>
  <w:num w:numId="148">
    <w:abstractNumId w:val="73"/>
  </w:num>
  <w:num w:numId="149">
    <w:abstractNumId w:val="157"/>
  </w:num>
  <w:num w:numId="150">
    <w:abstractNumId w:val="27"/>
  </w:num>
  <w:num w:numId="151">
    <w:abstractNumId w:val="153"/>
  </w:num>
  <w:num w:numId="152">
    <w:abstractNumId w:val="111"/>
  </w:num>
  <w:num w:numId="153">
    <w:abstractNumId w:val="22"/>
  </w:num>
  <w:num w:numId="154">
    <w:abstractNumId w:val="64"/>
  </w:num>
  <w:num w:numId="155">
    <w:abstractNumId w:val="130"/>
  </w:num>
  <w:num w:numId="156">
    <w:abstractNumId w:val="6"/>
  </w:num>
  <w:num w:numId="157">
    <w:abstractNumId w:val="122"/>
  </w:num>
  <w:num w:numId="158">
    <w:abstractNumId w:val="91"/>
  </w:num>
  <w:num w:numId="159">
    <w:abstractNumId w:val="149"/>
  </w:num>
  <w:num w:numId="160">
    <w:abstractNumId w:val="53"/>
  </w:num>
  <w:num w:numId="161">
    <w:abstractNumId w:val="159"/>
  </w:num>
  <w:num w:numId="162">
    <w:abstractNumId w:val="105"/>
  </w:num>
  <w:num w:numId="163">
    <w:abstractNumId w:val="140"/>
  </w:num>
  <w:num w:numId="164">
    <w:abstractNumId w:val="15"/>
  </w:num>
  <w:numIdMacAtCleanup w:val="1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D5"/>
    <w:rsid w:val="00000939"/>
    <w:rsid w:val="0000356B"/>
    <w:rsid w:val="000035AD"/>
    <w:rsid w:val="00003BD5"/>
    <w:rsid w:val="0000531A"/>
    <w:rsid w:val="00005E9E"/>
    <w:rsid w:val="0000635D"/>
    <w:rsid w:val="00007AEB"/>
    <w:rsid w:val="00010443"/>
    <w:rsid w:val="000118DF"/>
    <w:rsid w:val="000137B5"/>
    <w:rsid w:val="00013F74"/>
    <w:rsid w:val="00014181"/>
    <w:rsid w:val="0001469D"/>
    <w:rsid w:val="0001530C"/>
    <w:rsid w:val="000175F6"/>
    <w:rsid w:val="000178E7"/>
    <w:rsid w:val="00020828"/>
    <w:rsid w:val="00020D9D"/>
    <w:rsid w:val="00021CFE"/>
    <w:rsid w:val="000232F9"/>
    <w:rsid w:val="000233E2"/>
    <w:rsid w:val="00024AF2"/>
    <w:rsid w:val="00025069"/>
    <w:rsid w:val="000252CB"/>
    <w:rsid w:val="0002753D"/>
    <w:rsid w:val="00027B58"/>
    <w:rsid w:val="00030402"/>
    <w:rsid w:val="00031497"/>
    <w:rsid w:val="00031BF1"/>
    <w:rsid w:val="00032033"/>
    <w:rsid w:val="00032205"/>
    <w:rsid w:val="000322BA"/>
    <w:rsid w:val="00032F3D"/>
    <w:rsid w:val="000336CB"/>
    <w:rsid w:val="00033AF5"/>
    <w:rsid w:val="0003422A"/>
    <w:rsid w:val="000343B2"/>
    <w:rsid w:val="0003533B"/>
    <w:rsid w:val="000368F0"/>
    <w:rsid w:val="000371C2"/>
    <w:rsid w:val="00037D8D"/>
    <w:rsid w:val="000410BD"/>
    <w:rsid w:val="00041B2A"/>
    <w:rsid w:val="00043BF0"/>
    <w:rsid w:val="00044F86"/>
    <w:rsid w:val="000463EB"/>
    <w:rsid w:val="00046681"/>
    <w:rsid w:val="00050DD4"/>
    <w:rsid w:val="000519D1"/>
    <w:rsid w:val="00051CAE"/>
    <w:rsid w:val="00052501"/>
    <w:rsid w:val="00054DAE"/>
    <w:rsid w:val="00054EFE"/>
    <w:rsid w:val="000550ED"/>
    <w:rsid w:val="00055419"/>
    <w:rsid w:val="0005562D"/>
    <w:rsid w:val="00055D56"/>
    <w:rsid w:val="00057FB6"/>
    <w:rsid w:val="0006170B"/>
    <w:rsid w:val="00061B0F"/>
    <w:rsid w:val="00061BE9"/>
    <w:rsid w:val="00063120"/>
    <w:rsid w:val="00063344"/>
    <w:rsid w:val="0006385C"/>
    <w:rsid w:val="00063F60"/>
    <w:rsid w:val="000642D3"/>
    <w:rsid w:val="00064B1E"/>
    <w:rsid w:val="00064E1B"/>
    <w:rsid w:val="00070A6D"/>
    <w:rsid w:val="00070B5A"/>
    <w:rsid w:val="00070B92"/>
    <w:rsid w:val="00071701"/>
    <w:rsid w:val="00072A38"/>
    <w:rsid w:val="00073AF0"/>
    <w:rsid w:val="00074BCE"/>
    <w:rsid w:val="00076729"/>
    <w:rsid w:val="0007778A"/>
    <w:rsid w:val="00077A02"/>
    <w:rsid w:val="000808C5"/>
    <w:rsid w:val="00081D3A"/>
    <w:rsid w:val="00084BA2"/>
    <w:rsid w:val="00085BA7"/>
    <w:rsid w:val="00087FAF"/>
    <w:rsid w:val="000918BF"/>
    <w:rsid w:val="000919AD"/>
    <w:rsid w:val="00092D75"/>
    <w:rsid w:val="000938B2"/>
    <w:rsid w:val="00093DC1"/>
    <w:rsid w:val="0009528A"/>
    <w:rsid w:val="0009574A"/>
    <w:rsid w:val="00096185"/>
    <w:rsid w:val="000971D5"/>
    <w:rsid w:val="00097A20"/>
    <w:rsid w:val="00097DD4"/>
    <w:rsid w:val="0009B8B5"/>
    <w:rsid w:val="000A0A84"/>
    <w:rsid w:val="000A0BFC"/>
    <w:rsid w:val="000A2841"/>
    <w:rsid w:val="000A359A"/>
    <w:rsid w:val="000A3966"/>
    <w:rsid w:val="000A4EDD"/>
    <w:rsid w:val="000A53FC"/>
    <w:rsid w:val="000A600E"/>
    <w:rsid w:val="000A66DB"/>
    <w:rsid w:val="000A79F3"/>
    <w:rsid w:val="000B1C85"/>
    <w:rsid w:val="000B1FEA"/>
    <w:rsid w:val="000B2BA3"/>
    <w:rsid w:val="000B4442"/>
    <w:rsid w:val="000B448E"/>
    <w:rsid w:val="000C24D5"/>
    <w:rsid w:val="000C28FD"/>
    <w:rsid w:val="000C3154"/>
    <w:rsid w:val="000C634B"/>
    <w:rsid w:val="000C6D1E"/>
    <w:rsid w:val="000C77AC"/>
    <w:rsid w:val="000C7A29"/>
    <w:rsid w:val="000C7EF4"/>
    <w:rsid w:val="000CE0CD"/>
    <w:rsid w:val="000D1C43"/>
    <w:rsid w:val="000D1E13"/>
    <w:rsid w:val="000D2A6B"/>
    <w:rsid w:val="000D2F1B"/>
    <w:rsid w:val="000D3ADC"/>
    <w:rsid w:val="000D41E5"/>
    <w:rsid w:val="000E1194"/>
    <w:rsid w:val="000E43E4"/>
    <w:rsid w:val="000E4432"/>
    <w:rsid w:val="000E7BF2"/>
    <w:rsid w:val="000E7F28"/>
    <w:rsid w:val="000F1A2D"/>
    <w:rsid w:val="000F2612"/>
    <w:rsid w:val="000F2F11"/>
    <w:rsid w:val="000F3F24"/>
    <w:rsid w:val="000F53A3"/>
    <w:rsid w:val="001000E7"/>
    <w:rsid w:val="00100129"/>
    <w:rsid w:val="0010079C"/>
    <w:rsid w:val="0010184A"/>
    <w:rsid w:val="00101B0A"/>
    <w:rsid w:val="0010214E"/>
    <w:rsid w:val="00103E24"/>
    <w:rsid w:val="0010571F"/>
    <w:rsid w:val="0010642D"/>
    <w:rsid w:val="00106644"/>
    <w:rsid w:val="00107876"/>
    <w:rsid w:val="00107E60"/>
    <w:rsid w:val="00110184"/>
    <w:rsid w:val="00110F0D"/>
    <w:rsid w:val="00111571"/>
    <w:rsid w:val="00112D2C"/>
    <w:rsid w:val="00113034"/>
    <w:rsid w:val="00113159"/>
    <w:rsid w:val="00113D0A"/>
    <w:rsid w:val="001154B9"/>
    <w:rsid w:val="001155CD"/>
    <w:rsid w:val="00115F48"/>
    <w:rsid w:val="00115F9A"/>
    <w:rsid w:val="00117345"/>
    <w:rsid w:val="00117C6D"/>
    <w:rsid w:val="0012067D"/>
    <w:rsid w:val="00121EDA"/>
    <w:rsid w:val="00122497"/>
    <w:rsid w:val="001236D0"/>
    <w:rsid w:val="001238CF"/>
    <w:rsid w:val="001245E4"/>
    <w:rsid w:val="00125D30"/>
    <w:rsid w:val="00125F6A"/>
    <w:rsid w:val="001267C8"/>
    <w:rsid w:val="00127DC6"/>
    <w:rsid w:val="001305B1"/>
    <w:rsid w:val="00130758"/>
    <w:rsid w:val="001313E0"/>
    <w:rsid w:val="00131848"/>
    <w:rsid w:val="00133F2B"/>
    <w:rsid w:val="00136558"/>
    <w:rsid w:val="00137DCA"/>
    <w:rsid w:val="001413F4"/>
    <w:rsid w:val="00141FB2"/>
    <w:rsid w:val="001422CF"/>
    <w:rsid w:val="001448DC"/>
    <w:rsid w:val="00145DA4"/>
    <w:rsid w:val="00146517"/>
    <w:rsid w:val="00146FC9"/>
    <w:rsid w:val="0014732B"/>
    <w:rsid w:val="001522CC"/>
    <w:rsid w:val="001525BF"/>
    <w:rsid w:val="00152F4D"/>
    <w:rsid w:val="0015300D"/>
    <w:rsid w:val="001538A3"/>
    <w:rsid w:val="00155469"/>
    <w:rsid w:val="001556E8"/>
    <w:rsid w:val="00156EED"/>
    <w:rsid w:val="001571DC"/>
    <w:rsid w:val="0015748B"/>
    <w:rsid w:val="00160902"/>
    <w:rsid w:val="00163F28"/>
    <w:rsid w:val="00164220"/>
    <w:rsid w:val="00164F7E"/>
    <w:rsid w:val="00165AE9"/>
    <w:rsid w:val="00167250"/>
    <w:rsid w:val="00167CA1"/>
    <w:rsid w:val="00170F86"/>
    <w:rsid w:val="00170FF0"/>
    <w:rsid w:val="001735C9"/>
    <w:rsid w:val="00174B81"/>
    <w:rsid w:val="00174BA7"/>
    <w:rsid w:val="001763D3"/>
    <w:rsid w:val="00177DDB"/>
    <w:rsid w:val="0018115F"/>
    <w:rsid w:val="0018121F"/>
    <w:rsid w:val="001819D0"/>
    <w:rsid w:val="00182844"/>
    <w:rsid w:val="0018361C"/>
    <w:rsid w:val="00183756"/>
    <w:rsid w:val="0018451B"/>
    <w:rsid w:val="00185CE8"/>
    <w:rsid w:val="00185D91"/>
    <w:rsid w:val="00186406"/>
    <w:rsid w:val="00186BBD"/>
    <w:rsid w:val="00187DA1"/>
    <w:rsid w:val="001912C4"/>
    <w:rsid w:val="00191A4C"/>
    <w:rsid w:val="00192AFA"/>
    <w:rsid w:val="001938A0"/>
    <w:rsid w:val="00193D5B"/>
    <w:rsid w:val="001947A9"/>
    <w:rsid w:val="00196311"/>
    <w:rsid w:val="001A069D"/>
    <w:rsid w:val="001A06E6"/>
    <w:rsid w:val="001A11C0"/>
    <w:rsid w:val="001A1649"/>
    <w:rsid w:val="001A223D"/>
    <w:rsid w:val="001A296B"/>
    <w:rsid w:val="001A29C4"/>
    <w:rsid w:val="001A2B2F"/>
    <w:rsid w:val="001A37E2"/>
    <w:rsid w:val="001A40D1"/>
    <w:rsid w:val="001A45D6"/>
    <w:rsid w:val="001A59BD"/>
    <w:rsid w:val="001A5F1E"/>
    <w:rsid w:val="001A6546"/>
    <w:rsid w:val="001A6AA8"/>
    <w:rsid w:val="001A7338"/>
    <w:rsid w:val="001A79F7"/>
    <w:rsid w:val="001B0217"/>
    <w:rsid w:val="001B0275"/>
    <w:rsid w:val="001B0E05"/>
    <w:rsid w:val="001B1FA0"/>
    <w:rsid w:val="001B2386"/>
    <w:rsid w:val="001B2E33"/>
    <w:rsid w:val="001B4434"/>
    <w:rsid w:val="001B4625"/>
    <w:rsid w:val="001B4CC5"/>
    <w:rsid w:val="001B5B48"/>
    <w:rsid w:val="001B5CC6"/>
    <w:rsid w:val="001B680C"/>
    <w:rsid w:val="001B69A8"/>
    <w:rsid w:val="001B6EB3"/>
    <w:rsid w:val="001B74B2"/>
    <w:rsid w:val="001C0204"/>
    <w:rsid w:val="001C0868"/>
    <w:rsid w:val="001C2E95"/>
    <w:rsid w:val="001C67E4"/>
    <w:rsid w:val="001C7332"/>
    <w:rsid w:val="001D222F"/>
    <w:rsid w:val="001D2784"/>
    <w:rsid w:val="001D29A0"/>
    <w:rsid w:val="001D2BD5"/>
    <w:rsid w:val="001D3CD8"/>
    <w:rsid w:val="001D7065"/>
    <w:rsid w:val="001D7420"/>
    <w:rsid w:val="001D786C"/>
    <w:rsid w:val="001E0BD5"/>
    <w:rsid w:val="001E2848"/>
    <w:rsid w:val="001E29C6"/>
    <w:rsid w:val="001E2EE5"/>
    <w:rsid w:val="001E2FFE"/>
    <w:rsid w:val="001E4405"/>
    <w:rsid w:val="001E5C50"/>
    <w:rsid w:val="001E64E6"/>
    <w:rsid w:val="001E69CF"/>
    <w:rsid w:val="001E7613"/>
    <w:rsid w:val="001F0F1A"/>
    <w:rsid w:val="001F0FEA"/>
    <w:rsid w:val="001F3A70"/>
    <w:rsid w:val="001F4482"/>
    <w:rsid w:val="001F5C88"/>
    <w:rsid w:val="001F66CC"/>
    <w:rsid w:val="001F671B"/>
    <w:rsid w:val="001F6D24"/>
    <w:rsid w:val="001F7C0B"/>
    <w:rsid w:val="0020124E"/>
    <w:rsid w:val="00202E5E"/>
    <w:rsid w:val="0020431B"/>
    <w:rsid w:val="00204576"/>
    <w:rsid w:val="0020518D"/>
    <w:rsid w:val="0020626A"/>
    <w:rsid w:val="00206675"/>
    <w:rsid w:val="002069E4"/>
    <w:rsid w:val="00206CCF"/>
    <w:rsid w:val="00206FDA"/>
    <w:rsid w:val="00207806"/>
    <w:rsid w:val="00211C0C"/>
    <w:rsid w:val="002125C1"/>
    <w:rsid w:val="00213246"/>
    <w:rsid w:val="00215777"/>
    <w:rsid w:val="00215C46"/>
    <w:rsid w:val="00215EE6"/>
    <w:rsid w:val="00216247"/>
    <w:rsid w:val="00216D33"/>
    <w:rsid w:val="00220EC3"/>
    <w:rsid w:val="002219F6"/>
    <w:rsid w:val="0022214F"/>
    <w:rsid w:val="002227A5"/>
    <w:rsid w:val="0022310E"/>
    <w:rsid w:val="002246A9"/>
    <w:rsid w:val="0022483E"/>
    <w:rsid w:val="002249C1"/>
    <w:rsid w:val="00225D94"/>
    <w:rsid w:val="0022776E"/>
    <w:rsid w:val="002278AD"/>
    <w:rsid w:val="0023242D"/>
    <w:rsid w:val="00232594"/>
    <w:rsid w:val="00232812"/>
    <w:rsid w:val="002347D8"/>
    <w:rsid w:val="002362E9"/>
    <w:rsid w:val="00237CB9"/>
    <w:rsid w:val="00240100"/>
    <w:rsid w:val="00240627"/>
    <w:rsid w:val="00240D91"/>
    <w:rsid w:val="002410B7"/>
    <w:rsid w:val="0024218E"/>
    <w:rsid w:val="00242AC8"/>
    <w:rsid w:val="002443C4"/>
    <w:rsid w:val="00244C61"/>
    <w:rsid w:val="00246520"/>
    <w:rsid w:val="00246CB0"/>
    <w:rsid w:val="00247186"/>
    <w:rsid w:val="00248D5B"/>
    <w:rsid w:val="00250BF7"/>
    <w:rsid w:val="00251AA3"/>
    <w:rsid w:val="00251FF9"/>
    <w:rsid w:val="00252B08"/>
    <w:rsid w:val="00253585"/>
    <w:rsid w:val="0025414A"/>
    <w:rsid w:val="00254485"/>
    <w:rsid w:val="00255E05"/>
    <w:rsid w:val="0025647E"/>
    <w:rsid w:val="00257ADF"/>
    <w:rsid w:val="0026027F"/>
    <w:rsid w:val="00260BC8"/>
    <w:rsid w:val="002628F4"/>
    <w:rsid w:val="00263EF0"/>
    <w:rsid w:val="00264F05"/>
    <w:rsid w:val="002656FD"/>
    <w:rsid w:val="00265AE6"/>
    <w:rsid w:val="00266AF9"/>
    <w:rsid w:val="00266C5B"/>
    <w:rsid w:val="00266C96"/>
    <w:rsid w:val="00267655"/>
    <w:rsid w:val="0027099A"/>
    <w:rsid w:val="002721D9"/>
    <w:rsid w:val="00273A16"/>
    <w:rsid w:val="00273AA5"/>
    <w:rsid w:val="00273DB9"/>
    <w:rsid w:val="002748D1"/>
    <w:rsid w:val="00276295"/>
    <w:rsid w:val="00280D08"/>
    <w:rsid w:val="00282182"/>
    <w:rsid w:val="00282DD6"/>
    <w:rsid w:val="0028412D"/>
    <w:rsid w:val="0028494D"/>
    <w:rsid w:val="002857CD"/>
    <w:rsid w:val="00286513"/>
    <w:rsid w:val="002867F2"/>
    <w:rsid w:val="00287916"/>
    <w:rsid w:val="00287AF6"/>
    <w:rsid w:val="00291402"/>
    <w:rsid w:val="00293B63"/>
    <w:rsid w:val="00294DF2"/>
    <w:rsid w:val="00294EE9"/>
    <w:rsid w:val="002A00BC"/>
    <w:rsid w:val="002A03C6"/>
    <w:rsid w:val="002A0F32"/>
    <w:rsid w:val="002A178C"/>
    <w:rsid w:val="002A1D53"/>
    <w:rsid w:val="002A2F27"/>
    <w:rsid w:val="002A3094"/>
    <w:rsid w:val="002A3571"/>
    <w:rsid w:val="002A4D58"/>
    <w:rsid w:val="002A5580"/>
    <w:rsid w:val="002A5988"/>
    <w:rsid w:val="002A5EBF"/>
    <w:rsid w:val="002A6D58"/>
    <w:rsid w:val="002A75A3"/>
    <w:rsid w:val="002B0EEC"/>
    <w:rsid w:val="002B1176"/>
    <w:rsid w:val="002B2045"/>
    <w:rsid w:val="002B3D1D"/>
    <w:rsid w:val="002B5658"/>
    <w:rsid w:val="002B59FF"/>
    <w:rsid w:val="002C081F"/>
    <w:rsid w:val="002C0A9E"/>
    <w:rsid w:val="002C0DC6"/>
    <w:rsid w:val="002C21F4"/>
    <w:rsid w:val="002C3F10"/>
    <w:rsid w:val="002C4AC9"/>
    <w:rsid w:val="002C519C"/>
    <w:rsid w:val="002C55F0"/>
    <w:rsid w:val="002C65D8"/>
    <w:rsid w:val="002C6830"/>
    <w:rsid w:val="002C6DB6"/>
    <w:rsid w:val="002C7833"/>
    <w:rsid w:val="002D1A06"/>
    <w:rsid w:val="002D3818"/>
    <w:rsid w:val="002D4422"/>
    <w:rsid w:val="002D5F04"/>
    <w:rsid w:val="002D63F2"/>
    <w:rsid w:val="002D6809"/>
    <w:rsid w:val="002D6C8B"/>
    <w:rsid w:val="002E04FE"/>
    <w:rsid w:val="002E0F9B"/>
    <w:rsid w:val="002E1143"/>
    <w:rsid w:val="002E12FF"/>
    <w:rsid w:val="002E14E3"/>
    <w:rsid w:val="002E1BB9"/>
    <w:rsid w:val="002E2061"/>
    <w:rsid w:val="002E39BB"/>
    <w:rsid w:val="002E3ACA"/>
    <w:rsid w:val="002E44B2"/>
    <w:rsid w:val="002E59B6"/>
    <w:rsid w:val="002E5C23"/>
    <w:rsid w:val="002F1873"/>
    <w:rsid w:val="002F18AA"/>
    <w:rsid w:val="002F2CAD"/>
    <w:rsid w:val="002F3C8C"/>
    <w:rsid w:val="002F4E86"/>
    <w:rsid w:val="002F5F63"/>
    <w:rsid w:val="002F740F"/>
    <w:rsid w:val="00300A34"/>
    <w:rsid w:val="00300E56"/>
    <w:rsid w:val="00301F45"/>
    <w:rsid w:val="00303C04"/>
    <w:rsid w:val="00303E11"/>
    <w:rsid w:val="003045AD"/>
    <w:rsid w:val="00307863"/>
    <w:rsid w:val="003131C9"/>
    <w:rsid w:val="00313247"/>
    <w:rsid w:val="00314E8E"/>
    <w:rsid w:val="003166D7"/>
    <w:rsid w:val="00317786"/>
    <w:rsid w:val="0032097F"/>
    <w:rsid w:val="003216EB"/>
    <w:rsid w:val="00321A10"/>
    <w:rsid w:val="00322891"/>
    <w:rsid w:val="00322EA1"/>
    <w:rsid w:val="00323B71"/>
    <w:rsid w:val="00326AD5"/>
    <w:rsid w:val="00327487"/>
    <w:rsid w:val="00327F1D"/>
    <w:rsid w:val="00334056"/>
    <w:rsid w:val="003340F2"/>
    <w:rsid w:val="003361A4"/>
    <w:rsid w:val="00336C0E"/>
    <w:rsid w:val="00337A89"/>
    <w:rsid w:val="00337E85"/>
    <w:rsid w:val="00340430"/>
    <w:rsid w:val="00340ABC"/>
    <w:rsid w:val="00340AF0"/>
    <w:rsid w:val="00341D8B"/>
    <w:rsid w:val="003426BD"/>
    <w:rsid w:val="003442C4"/>
    <w:rsid w:val="003449FC"/>
    <w:rsid w:val="00344BE8"/>
    <w:rsid w:val="003450BD"/>
    <w:rsid w:val="00345796"/>
    <w:rsid w:val="0034627F"/>
    <w:rsid w:val="00346CE7"/>
    <w:rsid w:val="00347517"/>
    <w:rsid w:val="00352F64"/>
    <w:rsid w:val="00353B8D"/>
    <w:rsid w:val="00356BFE"/>
    <w:rsid w:val="00357023"/>
    <w:rsid w:val="00360B89"/>
    <w:rsid w:val="003612B9"/>
    <w:rsid w:val="00361703"/>
    <w:rsid w:val="00361F9A"/>
    <w:rsid w:val="0036222D"/>
    <w:rsid w:val="0036385E"/>
    <w:rsid w:val="003639BC"/>
    <w:rsid w:val="0036569C"/>
    <w:rsid w:val="00365703"/>
    <w:rsid w:val="003665C7"/>
    <w:rsid w:val="003667D9"/>
    <w:rsid w:val="00367B30"/>
    <w:rsid w:val="00370295"/>
    <w:rsid w:val="00370E39"/>
    <w:rsid w:val="00371F6F"/>
    <w:rsid w:val="00372D8A"/>
    <w:rsid w:val="003744B2"/>
    <w:rsid w:val="00375943"/>
    <w:rsid w:val="00376BB8"/>
    <w:rsid w:val="00381FD4"/>
    <w:rsid w:val="00382F0B"/>
    <w:rsid w:val="003851E6"/>
    <w:rsid w:val="0038708E"/>
    <w:rsid w:val="0039069A"/>
    <w:rsid w:val="0039081E"/>
    <w:rsid w:val="0039125B"/>
    <w:rsid w:val="003921A3"/>
    <w:rsid w:val="003922AF"/>
    <w:rsid w:val="00393D09"/>
    <w:rsid w:val="003942F0"/>
    <w:rsid w:val="003946E5"/>
    <w:rsid w:val="003948A1"/>
    <w:rsid w:val="00394C21"/>
    <w:rsid w:val="00396E2E"/>
    <w:rsid w:val="00397A0F"/>
    <w:rsid w:val="003A1BC0"/>
    <w:rsid w:val="003A1E54"/>
    <w:rsid w:val="003A32EC"/>
    <w:rsid w:val="003A3424"/>
    <w:rsid w:val="003A3743"/>
    <w:rsid w:val="003A5AFA"/>
    <w:rsid w:val="003B0D9B"/>
    <w:rsid w:val="003B40A6"/>
    <w:rsid w:val="003B4EBF"/>
    <w:rsid w:val="003B5565"/>
    <w:rsid w:val="003B73BB"/>
    <w:rsid w:val="003C0A52"/>
    <w:rsid w:val="003C0E8A"/>
    <w:rsid w:val="003C162E"/>
    <w:rsid w:val="003C1AE7"/>
    <w:rsid w:val="003C3882"/>
    <w:rsid w:val="003C3B99"/>
    <w:rsid w:val="003C4373"/>
    <w:rsid w:val="003C4DC0"/>
    <w:rsid w:val="003C52C5"/>
    <w:rsid w:val="003C5D8E"/>
    <w:rsid w:val="003C6F93"/>
    <w:rsid w:val="003C75EC"/>
    <w:rsid w:val="003D0BEE"/>
    <w:rsid w:val="003D3A75"/>
    <w:rsid w:val="003D3CEF"/>
    <w:rsid w:val="003D3D57"/>
    <w:rsid w:val="003D4409"/>
    <w:rsid w:val="003D6A99"/>
    <w:rsid w:val="003D7F72"/>
    <w:rsid w:val="003E06F6"/>
    <w:rsid w:val="003E1196"/>
    <w:rsid w:val="003E12D5"/>
    <w:rsid w:val="003E1D22"/>
    <w:rsid w:val="003E2E7F"/>
    <w:rsid w:val="003E2F49"/>
    <w:rsid w:val="003E3D3E"/>
    <w:rsid w:val="003E4338"/>
    <w:rsid w:val="003E456E"/>
    <w:rsid w:val="003E7072"/>
    <w:rsid w:val="003E7A1A"/>
    <w:rsid w:val="003F0C5A"/>
    <w:rsid w:val="003F1BD2"/>
    <w:rsid w:val="003F28F6"/>
    <w:rsid w:val="003F3279"/>
    <w:rsid w:val="003F5B6D"/>
    <w:rsid w:val="003F61AD"/>
    <w:rsid w:val="003F6EF3"/>
    <w:rsid w:val="00400163"/>
    <w:rsid w:val="004003D6"/>
    <w:rsid w:val="0040047B"/>
    <w:rsid w:val="004010FF"/>
    <w:rsid w:val="00401357"/>
    <w:rsid w:val="00401C3F"/>
    <w:rsid w:val="00401F1E"/>
    <w:rsid w:val="004037F5"/>
    <w:rsid w:val="00403C02"/>
    <w:rsid w:val="004042E1"/>
    <w:rsid w:val="00405FBA"/>
    <w:rsid w:val="004071C9"/>
    <w:rsid w:val="004079B1"/>
    <w:rsid w:val="0041066A"/>
    <w:rsid w:val="00410964"/>
    <w:rsid w:val="00411A9F"/>
    <w:rsid w:val="00414653"/>
    <w:rsid w:val="00414745"/>
    <w:rsid w:val="00414DA9"/>
    <w:rsid w:val="00416047"/>
    <w:rsid w:val="00416547"/>
    <w:rsid w:val="00416676"/>
    <w:rsid w:val="004166AC"/>
    <w:rsid w:val="00417AB4"/>
    <w:rsid w:val="00420057"/>
    <w:rsid w:val="004206FC"/>
    <w:rsid w:val="00420E6A"/>
    <w:rsid w:val="00420F14"/>
    <w:rsid w:val="004211D1"/>
    <w:rsid w:val="0042303A"/>
    <w:rsid w:val="0042364D"/>
    <w:rsid w:val="004258D1"/>
    <w:rsid w:val="00426506"/>
    <w:rsid w:val="00426C88"/>
    <w:rsid w:val="00427035"/>
    <w:rsid w:val="0042706A"/>
    <w:rsid w:val="0042755D"/>
    <w:rsid w:val="00430794"/>
    <w:rsid w:val="00430AC0"/>
    <w:rsid w:val="00433434"/>
    <w:rsid w:val="00435326"/>
    <w:rsid w:val="004361ED"/>
    <w:rsid w:val="00436584"/>
    <w:rsid w:val="0043676E"/>
    <w:rsid w:val="00437671"/>
    <w:rsid w:val="00442165"/>
    <w:rsid w:val="004445B5"/>
    <w:rsid w:val="00445644"/>
    <w:rsid w:val="00447179"/>
    <w:rsid w:val="00450057"/>
    <w:rsid w:val="00451499"/>
    <w:rsid w:val="00453287"/>
    <w:rsid w:val="0045367B"/>
    <w:rsid w:val="0045643C"/>
    <w:rsid w:val="00456B65"/>
    <w:rsid w:val="00461876"/>
    <w:rsid w:val="00461BAA"/>
    <w:rsid w:val="004644D5"/>
    <w:rsid w:val="00466789"/>
    <w:rsid w:val="00466C25"/>
    <w:rsid w:val="004678E0"/>
    <w:rsid w:val="004703CE"/>
    <w:rsid w:val="00470527"/>
    <w:rsid w:val="004709C0"/>
    <w:rsid w:val="0047125B"/>
    <w:rsid w:val="0047210D"/>
    <w:rsid w:val="00472885"/>
    <w:rsid w:val="00473A36"/>
    <w:rsid w:val="004768B9"/>
    <w:rsid w:val="00476A85"/>
    <w:rsid w:val="0047736A"/>
    <w:rsid w:val="0047763B"/>
    <w:rsid w:val="00480343"/>
    <w:rsid w:val="004808B8"/>
    <w:rsid w:val="00480D94"/>
    <w:rsid w:val="00481D48"/>
    <w:rsid w:val="00481D64"/>
    <w:rsid w:val="00483E16"/>
    <w:rsid w:val="0048482D"/>
    <w:rsid w:val="004861D5"/>
    <w:rsid w:val="004865F0"/>
    <w:rsid w:val="00487B94"/>
    <w:rsid w:val="00487CC0"/>
    <w:rsid w:val="00490AB2"/>
    <w:rsid w:val="00490B31"/>
    <w:rsid w:val="004923A6"/>
    <w:rsid w:val="00493D80"/>
    <w:rsid w:val="004940FB"/>
    <w:rsid w:val="00494844"/>
    <w:rsid w:val="00494BFC"/>
    <w:rsid w:val="00497F76"/>
    <w:rsid w:val="004A0B5C"/>
    <w:rsid w:val="004A2AD6"/>
    <w:rsid w:val="004A2B9C"/>
    <w:rsid w:val="004A3B1C"/>
    <w:rsid w:val="004A468B"/>
    <w:rsid w:val="004A63E7"/>
    <w:rsid w:val="004A6603"/>
    <w:rsid w:val="004A70DD"/>
    <w:rsid w:val="004B1885"/>
    <w:rsid w:val="004B1C93"/>
    <w:rsid w:val="004B1D94"/>
    <w:rsid w:val="004B1FD4"/>
    <w:rsid w:val="004B2122"/>
    <w:rsid w:val="004B2D6C"/>
    <w:rsid w:val="004B3096"/>
    <w:rsid w:val="004B5570"/>
    <w:rsid w:val="004B6AA2"/>
    <w:rsid w:val="004B7E0E"/>
    <w:rsid w:val="004C23C2"/>
    <w:rsid w:val="004C3F05"/>
    <w:rsid w:val="004C4721"/>
    <w:rsid w:val="004C4A84"/>
    <w:rsid w:val="004C5270"/>
    <w:rsid w:val="004C5D97"/>
    <w:rsid w:val="004C7112"/>
    <w:rsid w:val="004D00F5"/>
    <w:rsid w:val="004D096D"/>
    <w:rsid w:val="004D1DC1"/>
    <w:rsid w:val="004D1F82"/>
    <w:rsid w:val="004D3587"/>
    <w:rsid w:val="004D4C5B"/>
    <w:rsid w:val="004D5958"/>
    <w:rsid w:val="004D5A4D"/>
    <w:rsid w:val="004D623B"/>
    <w:rsid w:val="004D74A4"/>
    <w:rsid w:val="004D7FB9"/>
    <w:rsid w:val="004E2AC1"/>
    <w:rsid w:val="004E2AD4"/>
    <w:rsid w:val="004E3A81"/>
    <w:rsid w:val="004E429C"/>
    <w:rsid w:val="004E716E"/>
    <w:rsid w:val="004F0742"/>
    <w:rsid w:val="004F1127"/>
    <w:rsid w:val="004F152F"/>
    <w:rsid w:val="004F15AF"/>
    <w:rsid w:val="004F1785"/>
    <w:rsid w:val="004F17E2"/>
    <w:rsid w:val="004F1BAD"/>
    <w:rsid w:val="004F1D11"/>
    <w:rsid w:val="004F4F90"/>
    <w:rsid w:val="004F500C"/>
    <w:rsid w:val="004F5CEB"/>
    <w:rsid w:val="004F63B3"/>
    <w:rsid w:val="004F7403"/>
    <w:rsid w:val="004F7B5A"/>
    <w:rsid w:val="005015EA"/>
    <w:rsid w:val="005021B7"/>
    <w:rsid w:val="00502E13"/>
    <w:rsid w:val="00503EB6"/>
    <w:rsid w:val="005049C4"/>
    <w:rsid w:val="005069EC"/>
    <w:rsid w:val="00507245"/>
    <w:rsid w:val="0051114A"/>
    <w:rsid w:val="00512197"/>
    <w:rsid w:val="00512827"/>
    <w:rsid w:val="005131E0"/>
    <w:rsid w:val="00514536"/>
    <w:rsid w:val="00514558"/>
    <w:rsid w:val="00514C47"/>
    <w:rsid w:val="00515E3D"/>
    <w:rsid w:val="00516F9C"/>
    <w:rsid w:val="00517208"/>
    <w:rsid w:val="005177B2"/>
    <w:rsid w:val="005177BE"/>
    <w:rsid w:val="00521366"/>
    <w:rsid w:val="005228DC"/>
    <w:rsid w:val="0052397D"/>
    <w:rsid w:val="005247FE"/>
    <w:rsid w:val="00525860"/>
    <w:rsid w:val="00526804"/>
    <w:rsid w:val="00526A9A"/>
    <w:rsid w:val="00527194"/>
    <w:rsid w:val="00531295"/>
    <w:rsid w:val="0053166D"/>
    <w:rsid w:val="00532883"/>
    <w:rsid w:val="005328C8"/>
    <w:rsid w:val="00534920"/>
    <w:rsid w:val="00534F6D"/>
    <w:rsid w:val="00540957"/>
    <w:rsid w:val="00540E7E"/>
    <w:rsid w:val="005415EA"/>
    <w:rsid w:val="00542545"/>
    <w:rsid w:val="005437AA"/>
    <w:rsid w:val="005439EE"/>
    <w:rsid w:val="00545E58"/>
    <w:rsid w:val="00546660"/>
    <w:rsid w:val="005473E1"/>
    <w:rsid w:val="00550689"/>
    <w:rsid w:val="00553667"/>
    <w:rsid w:val="00553F7A"/>
    <w:rsid w:val="0055693E"/>
    <w:rsid w:val="00557025"/>
    <w:rsid w:val="00557251"/>
    <w:rsid w:val="00561A95"/>
    <w:rsid w:val="00561E66"/>
    <w:rsid w:val="00562AF0"/>
    <w:rsid w:val="005632BD"/>
    <w:rsid w:val="00564430"/>
    <w:rsid w:val="005647F4"/>
    <w:rsid w:val="00564A1C"/>
    <w:rsid w:val="00564F7A"/>
    <w:rsid w:val="0056501A"/>
    <w:rsid w:val="00565C44"/>
    <w:rsid w:val="005661AD"/>
    <w:rsid w:val="005706B7"/>
    <w:rsid w:val="005717C7"/>
    <w:rsid w:val="00572046"/>
    <w:rsid w:val="0057456A"/>
    <w:rsid w:val="00574636"/>
    <w:rsid w:val="005751AB"/>
    <w:rsid w:val="00575B44"/>
    <w:rsid w:val="00576A21"/>
    <w:rsid w:val="00577444"/>
    <w:rsid w:val="0057770F"/>
    <w:rsid w:val="005811CD"/>
    <w:rsid w:val="005812CD"/>
    <w:rsid w:val="00581C39"/>
    <w:rsid w:val="00582DFB"/>
    <w:rsid w:val="0058472D"/>
    <w:rsid w:val="00584E42"/>
    <w:rsid w:val="0058539A"/>
    <w:rsid w:val="00585959"/>
    <w:rsid w:val="005869CC"/>
    <w:rsid w:val="00586BEF"/>
    <w:rsid w:val="005876C3"/>
    <w:rsid w:val="00587BC3"/>
    <w:rsid w:val="00587E18"/>
    <w:rsid w:val="0059097C"/>
    <w:rsid w:val="0059369E"/>
    <w:rsid w:val="0059793A"/>
    <w:rsid w:val="005A0292"/>
    <w:rsid w:val="005A0AAA"/>
    <w:rsid w:val="005A12F9"/>
    <w:rsid w:val="005A22C6"/>
    <w:rsid w:val="005A388C"/>
    <w:rsid w:val="005A4D7B"/>
    <w:rsid w:val="005A50B9"/>
    <w:rsid w:val="005A52C1"/>
    <w:rsid w:val="005A5C0F"/>
    <w:rsid w:val="005A5D87"/>
    <w:rsid w:val="005A6885"/>
    <w:rsid w:val="005A6918"/>
    <w:rsid w:val="005B189E"/>
    <w:rsid w:val="005B2301"/>
    <w:rsid w:val="005B4A5E"/>
    <w:rsid w:val="005B4A94"/>
    <w:rsid w:val="005B5751"/>
    <w:rsid w:val="005B5D1D"/>
    <w:rsid w:val="005B5EEF"/>
    <w:rsid w:val="005B6CCB"/>
    <w:rsid w:val="005B701C"/>
    <w:rsid w:val="005B76D1"/>
    <w:rsid w:val="005B76D3"/>
    <w:rsid w:val="005C0B5E"/>
    <w:rsid w:val="005C0C06"/>
    <w:rsid w:val="005C294C"/>
    <w:rsid w:val="005C2C13"/>
    <w:rsid w:val="005C3258"/>
    <w:rsid w:val="005C35B8"/>
    <w:rsid w:val="005C3CC9"/>
    <w:rsid w:val="005C4458"/>
    <w:rsid w:val="005C47E6"/>
    <w:rsid w:val="005C5E1D"/>
    <w:rsid w:val="005C6CD3"/>
    <w:rsid w:val="005C704E"/>
    <w:rsid w:val="005C7600"/>
    <w:rsid w:val="005D2001"/>
    <w:rsid w:val="005D210D"/>
    <w:rsid w:val="005D24F2"/>
    <w:rsid w:val="005D46A4"/>
    <w:rsid w:val="005D4BA0"/>
    <w:rsid w:val="005D4E3E"/>
    <w:rsid w:val="005D57C0"/>
    <w:rsid w:val="005D700B"/>
    <w:rsid w:val="005D79FA"/>
    <w:rsid w:val="005E0093"/>
    <w:rsid w:val="005E2C98"/>
    <w:rsid w:val="005E4897"/>
    <w:rsid w:val="005E509A"/>
    <w:rsid w:val="005E5A5B"/>
    <w:rsid w:val="005E6204"/>
    <w:rsid w:val="005E6C5B"/>
    <w:rsid w:val="005F2F33"/>
    <w:rsid w:val="005F32BD"/>
    <w:rsid w:val="005F3865"/>
    <w:rsid w:val="005F401A"/>
    <w:rsid w:val="005F6282"/>
    <w:rsid w:val="005F64BA"/>
    <w:rsid w:val="005F658D"/>
    <w:rsid w:val="005F6594"/>
    <w:rsid w:val="005F71EE"/>
    <w:rsid w:val="005F7654"/>
    <w:rsid w:val="005F7EA9"/>
    <w:rsid w:val="00602D7D"/>
    <w:rsid w:val="00603490"/>
    <w:rsid w:val="00603AF8"/>
    <w:rsid w:val="00603BB4"/>
    <w:rsid w:val="00603EFD"/>
    <w:rsid w:val="00605363"/>
    <w:rsid w:val="00605661"/>
    <w:rsid w:val="00605AC7"/>
    <w:rsid w:val="00605C18"/>
    <w:rsid w:val="006065B2"/>
    <w:rsid w:val="00607B05"/>
    <w:rsid w:val="0061060E"/>
    <w:rsid w:val="00611162"/>
    <w:rsid w:val="00614388"/>
    <w:rsid w:val="006152C6"/>
    <w:rsid w:val="0061559F"/>
    <w:rsid w:val="00617A7A"/>
    <w:rsid w:val="00620792"/>
    <w:rsid w:val="006226F5"/>
    <w:rsid w:val="00622C2C"/>
    <w:rsid w:val="00623531"/>
    <w:rsid w:val="00624162"/>
    <w:rsid w:val="0062556A"/>
    <w:rsid w:val="00626664"/>
    <w:rsid w:val="00627064"/>
    <w:rsid w:val="0063291D"/>
    <w:rsid w:val="0063380A"/>
    <w:rsid w:val="0063490A"/>
    <w:rsid w:val="0063567F"/>
    <w:rsid w:val="006358D0"/>
    <w:rsid w:val="006359B6"/>
    <w:rsid w:val="006360E1"/>
    <w:rsid w:val="00636B9F"/>
    <w:rsid w:val="006371F3"/>
    <w:rsid w:val="006373C5"/>
    <w:rsid w:val="00640EFA"/>
    <w:rsid w:val="00641181"/>
    <w:rsid w:val="006411D2"/>
    <w:rsid w:val="006421E2"/>
    <w:rsid w:val="00642615"/>
    <w:rsid w:val="00642ECE"/>
    <w:rsid w:val="00643C35"/>
    <w:rsid w:val="00644251"/>
    <w:rsid w:val="006468C2"/>
    <w:rsid w:val="00646EE0"/>
    <w:rsid w:val="00647934"/>
    <w:rsid w:val="00650B1F"/>
    <w:rsid w:val="00650F62"/>
    <w:rsid w:val="00652FC9"/>
    <w:rsid w:val="00656E2F"/>
    <w:rsid w:val="00656EAA"/>
    <w:rsid w:val="00657F8B"/>
    <w:rsid w:val="00661705"/>
    <w:rsid w:val="00661A70"/>
    <w:rsid w:val="006644C8"/>
    <w:rsid w:val="00665A17"/>
    <w:rsid w:val="006665D7"/>
    <w:rsid w:val="0066789E"/>
    <w:rsid w:val="00670CD0"/>
    <w:rsid w:val="006721FF"/>
    <w:rsid w:val="00672EE0"/>
    <w:rsid w:val="00673A0A"/>
    <w:rsid w:val="0067454E"/>
    <w:rsid w:val="0067672D"/>
    <w:rsid w:val="006774A7"/>
    <w:rsid w:val="00681249"/>
    <w:rsid w:val="006812D9"/>
    <w:rsid w:val="00681411"/>
    <w:rsid w:val="006820DA"/>
    <w:rsid w:val="00682AEB"/>
    <w:rsid w:val="00683308"/>
    <w:rsid w:val="00683597"/>
    <w:rsid w:val="00684800"/>
    <w:rsid w:val="0068607D"/>
    <w:rsid w:val="0068697B"/>
    <w:rsid w:val="0068733F"/>
    <w:rsid w:val="0068783C"/>
    <w:rsid w:val="00691A84"/>
    <w:rsid w:val="0069451F"/>
    <w:rsid w:val="00694637"/>
    <w:rsid w:val="00694FBF"/>
    <w:rsid w:val="00696445"/>
    <w:rsid w:val="00696470"/>
    <w:rsid w:val="006A01A9"/>
    <w:rsid w:val="006A0C93"/>
    <w:rsid w:val="006A160B"/>
    <w:rsid w:val="006A2044"/>
    <w:rsid w:val="006A21B4"/>
    <w:rsid w:val="006A2CB5"/>
    <w:rsid w:val="006A3270"/>
    <w:rsid w:val="006A380E"/>
    <w:rsid w:val="006A3845"/>
    <w:rsid w:val="006A3B6B"/>
    <w:rsid w:val="006A4844"/>
    <w:rsid w:val="006A49B8"/>
    <w:rsid w:val="006A4AD0"/>
    <w:rsid w:val="006A6FD5"/>
    <w:rsid w:val="006A73CD"/>
    <w:rsid w:val="006B13A0"/>
    <w:rsid w:val="006B16D5"/>
    <w:rsid w:val="006B1FD8"/>
    <w:rsid w:val="006B36EA"/>
    <w:rsid w:val="006B3E26"/>
    <w:rsid w:val="006B444C"/>
    <w:rsid w:val="006B564E"/>
    <w:rsid w:val="006B7687"/>
    <w:rsid w:val="006B7E96"/>
    <w:rsid w:val="006C00FE"/>
    <w:rsid w:val="006C0105"/>
    <w:rsid w:val="006C0B65"/>
    <w:rsid w:val="006C0EE9"/>
    <w:rsid w:val="006C12AC"/>
    <w:rsid w:val="006C16FD"/>
    <w:rsid w:val="006C2745"/>
    <w:rsid w:val="006C28AE"/>
    <w:rsid w:val="006C302E"/>
    <w:rsid w:val="006C4C17"/>
    <w:rsid w:val="006C713E"/>
    <w:rsid w:val="006C741D"/>
    <w:rsid w:val="006C7B78"/>
    <w:rsid w:val="006D4959"/>
    <w:rsid w:val="006D5376"/>
    <w:rsid w:val="006D57FB"/>
    <w:rsid w:val="006D69AD"/>
    <w:rsid w:val="006D6F9C"/>
    <w:rsid w:val="006D7506"/>
    <w:rsid w:val="006E01ED"/>
    <w:rsid w:val="006E142C"/>
    <w:rsid w:val="006E1D84"/>
    <w:rsid w:val="006E283F"/>
    <w:rsid w:val="006E2EED"/>
    <w:rsid w:val="006E3227"/>
    <w:rsid w:val="006E4CF9"/>
    <w:rsid w:val="006F0321"/>
    <w:rsid w:val="006F04FD"/>
    <w:rsid w:val="006F0DB9"/>
    <w:rsid w:val="006F23E1"/>
    <w:rsid w:val="006F4672"/>
    <w:rsid w:val="006F4CF4"/>
    <w:rsid w:val="006F5CD4"/>
    <w:rsid w:val="006F6A8A"/>
    <w:rsid w:val="006F6B53"/>
    <w:rsid w:val="006F7201"/>
    <w:rsid w:val="006F72D5"/>
    <w:rsid w:val="006F7FD2"/>
    <w:rsid w:val="0070048C"/>
    <w:rsid w:val="00704CCE"/>
    <w:rsid w:val="00704D5A"/>
    <w:rsid w:val="00705C01"/>
    <w:rsid w:val="00705C7C"/>
    <w:rsid w:val="00705E58"/>
    <w:rsid w:val="007062B7"/>
    <w:rsid w:val="00706FCB"/>
    <w:rsid w:val="007075D8"/>
    <w:rsid w:val="00711358"/>
    <w:rsid w:val="007134D5"/>
    <w:rsid w:val="007137E0"/>
    <w:rsid w:val="00714658"/>
    <w:rsid w:val="0071607C"/>
    <w:rsid w:val="0071694F"/>
    <w:rsid w:val="0071697D"/>
    <w:rsid w:val="00722076"/>
    <w:rsid w:val="00723C65"/>
    <w:rsid w:val="00723D37"/>
    <w:rsid w:val="00723E0D"/>
    <w:rsid w:val="007245EB"/>
    <w:rsid w:val="00724C22"/>
    <w:rsid w:val="0072753A"/>
    <w:rsid w:val="00730A5C"/>
    <w:rsid w:val="00730C29"/>
    <w:rsid w:val="0073140B"/>
    <w:rsid w:val="00732C9F"/>
    <w:rsid w:val="0073382B"/>
    <w:rsid w:val="00734635"/>
    <w:rsid w:val="00734BCD"/>
    <w:rsid w:val="00734DD7"/>
    <w:rsid w:val="00735C5A"/>
    <w:rsid w:val="007364C8"/>
    <w:rsid w:val="00736936"/>
    <w:rsid w:val="0074052E"/>
    <w:rsid w:val="00740C94"/>
    <w:rsid w:val="00741117"/>
    <w:rsid w:val="0074372D"/>
    <w:rsid w:val="00743CEC"/>
    <w:rsid w:val="00744D64"/>
    <w:rsid w:val="00746552"/>
    <w:rsid w:val="00747763"/>
    <w:rsid w:val="00747ABF"/>
    <w:rsid w:val="00750065"/>
    <w:rsid w:val="0075096E"/>
    <w:rsid w:val="0075126C"/>
    <w:rsid w:val="00754671"/>
    <w:rsid w:val="00754FFB"/>
    <w:rsid w:val="00755396"/>
    <w:rsid w:val="007556C7"/>
    <w:rsid w:val="00755A1D"/>
    <w:rsid w:val="00755A50"/>
    <w:rsid w:val="00755F10"/>
    <w:rsid w:val="0075711E"/>
    <w:rsid w:val="00757DD9"/>
    <w:rsid w:val="007600DE"/>
    <w:rsid w:val="007604EC"/>
    <w:rsid w:val="00760B30"/>
    <w:rsid w:val="00766ADF"/>
    <w:rsid w:val="007678FC"/>
    <w:rsid w:val="007709DE"/>
    <w:rsid w:val="00770C88"/>
    <w:rsid w:val="00774A85"/>
    <w:rsid w:val="00776DB7"/>
    <w:rsid w:val="0077755D"/>
    <w:rsid w:val="007808ED"/>
    <w:rsid w:val="00782F89"/>
    <w:rsid w:val="007830A8"/>
    <w:rsid w:val="0078387A"/>
    <w:rsid w:val="00786202"/>
    <w:rsid w:val="0078748C"/>
    <w:rsid w:val="007877B6"/>
    <w:rsid w:val="0079093C"/>
    <w:rsid w:val="00790A46"/>
    <w:rsid w:val="007910F6"/>
    <w:rsid w:val="00792F97"/>
    <w:rsid w:val="00795A66"/>
    <w:rsid w:val="007976CE"/>
    <w:rsid w:val="007A056A"/>
    <w:rsid w:val="007A06C4"/>
    <w:rsid w:val="007A0A41"/>
    <w:rsid w:val="007A35DC"/>
    <w:rsid w:val="007A4DEB"/>
    <w:rsid w:val="007A69C9"/>
    <w:rsid w:val="007B033D"/>
    <w:rsid w:val="007B098A"/>
    <w:rsid w:val="007B1384"/>
    <w:rsid w:val="007B1D9D"/>
    <w:rsid w:val="007B26D0"/>
    <w:rsid w:val="007B3977"/>
    <w:rsid w:val="007B46B8"/>
    <w:rsid w:val="007B48BA"/>
    <w:rsid w:val="007B5656"/>
    <w:rsid w:val="007B56F8"/>
    <w:rsid w:val="007C08CC"/>
    <w:rsid w:val="007C103E"/>
    <w:rsid w:val="007C2D11"/>
    <w:rsid w:val="007C4906"/>
    <w:rsid w:val="007C6B00"/>
    <w:rsid w:val="007C6C0E"/>
    <w:rsid w:val="007C726E"/>
    <w:rsid w:val="007C7810"/>
    <w:rsid w:val="007D349A"/>
    <w:rsid w:val="007D4C97"/>
    <w:rsid w:val="007D698E"/>
    <w:rsid w:val="007D785D"/>
    <w:rsid w:val="007E0C26"/>
    <w:rsid w:val="007E0FC2"/>
    <w:rsid w:val="007E1359"/>
    <w:rsid w:val="007E1CAB"/>
    <w:rsid w:val="007E26C4"/>
    <w:rsid w:val="007E4445"/>
    <w:rsid w:val="007E5A6B"/>
    <w:rsid w:val="007E7501"/>
    <w:rsid w:val="007F4130"/>
    <w:rsid w:val="007F4C8F"/>
    <w:rsid w:val="007F5ECE"/>
    <w:rsid w:val="007F7881"/>
    <w:rsid w:val="00800118"/>
    <w:rsid w:val="008007B1"/>
    <w:rsid w:val="00800B76"/>
    <w:rsid w:val="00800C3E"/>
    <w:rsid w:val="0080144C"/>
    <w:rsid w:val="008016B1"/>
    <w:rsid w:val="00801745"/>
    <w:rsid w:val="008029EF"/>
    <w:rsid w:val="00804893"/>
    <w:rsid w:val="0080508B"/>
    <w:rsid w:val="00805B00"/>
    <w:rsid w:val="00805F48"/>
    <w:rsid w:val="008060CC"/>
    <w:rsid w:val="008066AB"/>
    <w:rsid w:val="008074AA"/>
    <w:rsid w:val="008074EA"/>
    <w:rsid w:val="00811128"/>
    <w:rsid w:val="00812344"/>
    <w:rsid w:val="00813E0C"/>
    <w:rsid w:val="00813E88"/>
    <w:rsid w:val="008143AD"/>
    <w:rsid w:val="00816D1F"/>
    <w:rsid w:val="00817119"/>
    <w:rsid w:val="00817362"/>
    <w:rsid w:val="0081752A"/>
    <w:rsid w:val="0081761E"/>
    <w:rsid w:val="00820CA7"/>
    <w:rsid w:val="00820CF1"/>
    <w:rsid w:val="008217DC"/>
    <w:rsid w:val="00821BCF"/>
    <w:rsid w:val="008225DF"/>
    <w:rsid w:val="00827446"/>
    <w:rsid w:val="008315F0"/>
    <w:rsid w:val="00831AAA"/>
    <w:rsid w:val="00831C1C"/>
    <w:rsid w:val="0083246D"/>
    <w:rsid w:val="00833FEB"/>
    <w:rsid w:val="008340BA"/>
    <w:rsid w:val="0083430C"/>
    <w:rsid w:val="00835D4F"/>
    <w:rsid w:val="00836647"/>
    <w:rsid w:val="008371EC"/>
    <w:rsid w:val="0084025A"/>
    <w:rsid w:val="00840391"/>
    <w:rsid w:val="00840830"/>
    <w:rsid w:val="0084136B"/>
    <w:rsid w:val="00841634"/>
    <w:rsid w:val="008503C2"/>
    <w:rsid w:val="00850BA2"/>
    <w:rsid w:val="0085116B"/>
    <w:rsid w:val="008535C8"/>
    <w:rsid w:val="00857213"/>
    <w:rsid w:val="0086004A"/>
    <w:rsid w:val="00861343"/>
    <w:rsid w:val="00862459"/>
    <w:rsid w:val="00862949"/>
    <w:rsid w:val="00862C22"/>
    <w:rsid w:val="00862D39"/>
    <w:rsid w:val="00863894"/>
    <w:rsid w:val="00864B78"/>
    <w:rsid w:val="00864E77"/>
    <w:rsid w:val="00865B1D"/>
    <w:rsid w:val="00867096"/>
    <w:rsid w:val="00871F9A"/>
    <w:rsid w:val="0087668D"/>
    <w:rsid w:val="00877605"/>
    <w:rsid w:val="00877F01"/>
    <w:rsid w:val="00881FAE"/>
    <w:rsid w:val="0088255A"/>
    <w:rsid w:val="0088338D"/>
    <w:rsid w:val="00884C9C"/>
    <w:rsid w:val="00886E2C"/>
    <w:rsid w:val="00887F75"/>
    <w:rsid w:val="00890605"/>
    <w:rsid w:val="008906DF"/>
    <w:rsid w:val="008914D4"/>
    <w:rsid w:val="0089283F"/>
    <w:rsid w:val="00893CE9"/>
    <w:rsid w:val="0089445C"/>
    <w:rsid w:val="008944C2"/>
    <w:rsid w:val="00894CAD"/>
    <w:rsid w:val="008966AF"/>
    <w:rsid w:val="00896C30"/>
    <w:rsid w:val="00896F98"/>
    <w:rsid w:val="00897633"/>
    <w:rsid w:val="00897CD3"/>
    <w:rsid w:val="008A08E8"/>
    <w:rsid w:val="008A15FB"/>
    <w:rsid w:val="008A2B10"/>
    <w:rsid w:val="008A3F67"/>
    <w:rsid w:val="008A5E45"/>
    <w:rsid w:val="008A6F6A"/>
    <w:rsid w:val="008A71EB"/>
    <w:rsid w:val="008B08DF"/>
    <w:rsid w:val="008B1ACB"/>
    <w:rsid w:val="008B1B29"/>
    <w:rsid w:val="008B2222"/>
    <w:rsid w:val="008B3D6F"/>
    <w:rsid w:val="008B518B"/>
    <w:rsid w:val="008C069A"/>
    <w:rsid w:val="008C099F"/>
    <w:rsid w:val="008C0F1E"/>
    <w:rsid w:val="008C2A95"/>
    <w:rsid w:val="008C33C2"/>
    <w:rsid w:val="008C390A"/>
    <w:rsid w:val="008C45F8"/>
    <w:rsid w:val="008C5459"/>
    <w:rsid w:val="008C6505"/>
    <w:rsid w:val="008C6702"/>
    <w:rsid w:val="008C69D2"/>
    <w:rsid w:val="008C75D5"/>
    <w:rsid w:val="008C7B04"/>
    <w:rsid w:val="008CF107"/>
    <w:rsid w:val="008D087D"/>
    <w:rsid w:val="008D0BFA"/>
    <w:rsid w:val="008D17C5"/>
    <w:rsid w:val="008D1C2B"/>
    <w:rsid w:val="008D2512"/>
    <w:rsid w:val="008D2F27"/>
    <w:rsid w:val="008D36FD"/>
    <w:rsid w:val="008D3756"/>
    <w:rsid w:val="008D3910"/>
    <w:rsid w:val="008D48AE"/>
    <w:rsid w:val="008D5C67"/>
    <w:rsid w:val="008D7970"/>
    <w:rsid w:val="008D7FF0"/>
    <w:rsid w:val="008E06F2"/>
    <w:rsid w:val="008E1B73"/>
    <w:rsid w:val="008E3501"/>
    <w:rsid w:val="008E4E10"/>
    <w:rsid w:val="008E7A16"/>
    <w:rsid w:val="008F0C2C"/>
    <w:rsid w:val="008F0F4F"/>
    <w:rsid w:val="008F1482"/>
    <w:rsid w:val="008F178E"/>
    <w:rsid w:val="008F28DA"/>
    <w:rsid w:val="008F32C2"/>
    <w:rsid w:val="008F6C57"/>
    <w:rsid w:val="008F7567"/>
    <w:rsid w:val="0090088F"/>
    <w:rsid w:val="0090092A"/>
    <w:rsid w:val="00900B9E"/>
    <w:rsid w:val="00900C0A"/>
    <w:rsid w:val="00900C7F"/>
    <w:rsid w:val="00903F8B"/>
    <w:rsid w:val="00904873"/>
    <w:rsid w:val="009062B6"/>
    <w:rsid w:val="00906BDE"/>
    <w:rsid w:val="009120C3"/>
    <w:rsid w:val="00912C91"/>
    <w:rsid w:val="009141D1"/>
    <w:rsid w:val="00915A27"/>
    <w:rsid w:val="00916819"/>
    <w:rsid w:val="00916F17"/>
    <w:rsid w:val="00917324"/>
    <w:rsid w:val="00917696"/>
    <w:rsid w:val="0091774D"/>
    <w:rsid w:val="009211CB"/>
    <w:rsid w:val="00921B33"/>
    <w:rsid w:val="0092511E"/>
    <w:rsid w:val="00925852"/>
    <w:rsid w:val="0092647B"/>
    <w:rsid w:val="00930258"/>
    <w:rsid w:val="0093131D"/>
    <w:rsid w:val="009341E8"/>
    <w:rsid w:val="009417A0"/>
    <w:rsid w:val="00942BCB"/>
    <w:rsid w:val="00943338"/>
    <w:rsid w:val="009444E2"/>
    <w:rsid w:val="00945830"/>
    <w:rsid w:val="00945A53"/>
    <w:rsid w:val="00945E30"/>
    <w:rsid w:val="009469DB"/>
    <w:rsid w:val="00947592"/>
    <w:rsid w:val="00950353"/>
    <w:rsid w:val="00950755"/>
    <w:rsid w:val="009518C4"/>
    <w:rsid w:val="00952100"/>
    <w:rsid w:val="00952BAC"/>
    <w:rsid w:val="009531EE"/>
    <w:rsid w:val="009540C8"/>
    <w:rsid w:val="00954BD5"/>
    <w:rsid w:val="00954EE0"/>
    <w:rsid w:val="00955268"/>
    <w:rsid w:val="009553CD"/>
    <w:rsid w:val="009564B6"/>
    <w:rsid w:val="00957CDE"/>
    <w:rsid w:val="00961818"/>
    <w:rsid w:val="0096272F"/>
    <w:rsid w:val="00965247"/>
    <w:rsid w:val="00967BB7"/>
    <w:rsid w:val="00970EB2"/>
    <w:rsid w:val="009724DC"/>
    <w:rsid w:val="00972E4B"/>
    <w:rsid w:val="0097350F"/>
    <w:rsid w:val="00974D48"/>
    <w:rsid w:val="0097665D"/>
    <w:rsid w:val="009772E1"/>
    <w:rsid w:val="00980B4A"/>
    <w:rsid w:val="00982F8C"/>
    <w:rsid w:val="009832D1"/>
    <w:rsid w:val="009838B0"/>
    <w:rsid w:val="009846CC"/>
    <w:rsid w:val="009850B4"/>
    <w:rsid w:val="009855FF"/>
    <w:rsid w:val="0098627D"/>
    <w:rsid w:val="00986661"/>
    <w:rsid w:val="00987CB7"/>
    <w:rsid w:val="00990A6C"/>
    <w:rsid w:val="00992BB5"/>
    <w:rsid w:val="00992DC3"/>
    <w:rsid w:val="00993029"/>
    <w:rsid w:val="0099324E"/>
    <w:rsid w:val="00994AC5"/>
    <w:rsid w:val="00996A53"/>
    <w:rsid w:val="00997F3B"/>
    <w:rsid w:val="009A1574"/>
    <w:rsid w:val="009A15EA"/>
    <w:rsid w:val="009A1B4C"/>
    <w:rsid w:val="009A2560"/>
    <w:rsid w:val="009A2AD7"/>
    <w:rsid w:val="009A2C8A"/>
    <w:rsid w:val="009A2FAD"/>
    <w:rsid w:val="009A3365"/>
    <w:rsid w:val="009A37CF"/>
    <w:rsid w:val="009A390F"/>
    <w:rsid w:val="009A4A06"/>
    <w:rsid w:val="009A6D66"/>
    <w:rsid w:val="009A7552"/>
    <w:rsid w:val="009A76DB"/>
    <w:rsid w:val="009A7F74"/>
    <w:rsid w:val="009B1161"/>
    <w:rsid w:val="009B1D93"/>
    <w:rsid w:val="009B238D"/>
    <w:rsid w:val="009B26B3"/>
    <w:rsid w:val="009B30C8"/>
    <w:rsid w:val="009B45D2"/>
    <w:rsid w:val="009B5E09"/>
    <w:rsid w:val="009B62CE"/>
    <w:rsid w:val="009B6A3B"/>
    <w:rsid w:val="009B7D01"/>
    <w:rsid w:val="009C0BFB"/>
    <w:rsid w:val="009C41BD"/>
    <w:rsid w:val="009C4357"/>
    <w:rsid w:val="009C4398"/>
    <w:rsid w:val="009C6380"/>
    <w:rsid w:val="009C7A4A"/>
    <w:rsid w:val="009D16E2"/>
    <w:rsid w:val="009D17AB"/>
    <w:rsid w:val="009D3A83"/>
    <w:rsid w:val="009D5655"/>
    <w:rsid w:val="009D5F13"/>
    <w:rsid w:val="009D627A"/>
    <w:rsid w:val="009D763A"/>
    <w:rsid w:val="009D7A44"/>
    <w:rsid w:val="009E188B"/>
    <w:rsid w:val="009E2E21"/>
    <w:rsid w:val="009E5008"/>
    <w:rsid w:val="009E5693"/>
    <w:rsid w:val="009E664B"/>
    <w:rsid w:val="009E67FF"/>
    <w:rsid w:val="009F0974"/>
    <w:rsid w:val="009F220D"/>
    <w:rsid w:val="009F3977"/>
    <w:rsid w:val="009F3F17"/>
    <w:rsid w:val="009F5AF5"/>
    <w:rsid w:val="009F5B71"/>
    <w:rsid w:val="009F602B"/>
    <w:rsid w:val="009F67B0"/>
    <w:rsid w:val="009F72D2"/>
    <w:rsid w:val="009F7674"/>
    <w:rsid w:val="00A00233"/>
    <w:rsid w:val="00A00D32"/>
    <w:rsid w:val="00A00E1D"/>
    <w:rsid w:val="00A00E1E"/>
    <w:rsid w:val="00A01CE4"/>
    <w:rsid w:val="00A037D5"/>
    <w:rsid w:val="00A04CD8"/>
    <w:rsid w:val="00A0596D"/>
    <w:rsid w:val="00A065DE"/>
    <w:rsid w:val="00A06D9A"/>
    <w:rsid w:val="00A076F9"/>
    <w:rsid w:val="00A07901"/>
    <w:rsid w:val="00A1155E"/>
    <w:rsid w:val="00A14418"/>
    <w:rsid w:val="00A14C85"/>
    <w:rsid w:val="00A14C9F"/>
    <w:rsid w:val="00A15559"/>
    <w:rsid w:val="00A15E31"/>
    <w:rsid w:val="00A21F23"/>
    <w:rsid w:val="00A22B2A"/>
    <w:rsid w:val="00A24C47"/>
    <w:rsid w:val="00A25028"/>
    <w:rsid w:val="00A26E96"/>
    <w:rsid w:val="00A2759C"/>
    <w:rsid w:val="00A3041A"/>
    <w:rsid w:val="00A31DBC"/>
    <w:rsid w:val="00A321FA"/>
    <w:rsid w:val="00A32530"/>
    <w:rsid w:val="00A32DF9"/>
    <w:rsid w:val="00A3692F"/>
    <w:rsid w:val="00A416DA"/>
    <w:rsid w:val="00A42AC0"/>
    <w:rsid w:val="00A42ADB"/>
    <w:rsid w:val="00A450A3"/>
    <w:rsid w:val="00A464C4"/>
    <w:rsid w:val="00A4691B"/>
    <w:rsid w:val="00A46AA3"/>
    <w:rsid w:val="00A477E1"/>
    <w:rsid w:val="00A5091D"/>
    <w:rsid w:val="00A515C1"/>
    <w:rsid w:val="00A55362"/>
    <w:rsid w:val="00A5572D"/>
    <w:rsid w:val="00A56653"/>
    <w:rsid w:val="00A56688"/>
    <w:rsid w:val="00A59B95"/>
    <w:rsid w:val="00A60005"/>
    <w:rsid w:val="00A602CF"/>
    <w:rsid w:val="00A609DE"/>
    <w:rsid w:val="00A6219F"/>
    <w:rsid w:val="00A62305"/>
    <w:rsid w:val="00A62B43"/>
    <w:rsid w:val="00A62F86"/>
    <w:rsid w:val="00A640C6"/>
    <w:rsid w:val="00A65F20"/>
    <w:rsid w:val="00A65F26"/>
    <w:rsid w:val="00A67E14"/>
    <w:rsid w:val="00A700DC"/>
    <w:rsid w:val="00A70154"/>
    <w:rsid w:val="00A7025A"/>
    <w:rsid w:val="00A7030E"/>
    <w:rsid w:val="00A71A0C"/>
    <w:rsid w:val="00A733F3"/>
    <w:rsid w:val="00A73BC2"/>
    <w:rsid w:val="00A73BDD"/>
    <w:rsid w:val="00A74EB5"/>
    <w:rsid w:val="00A755F1"/>
    <w:rsid w:val="00A757A5"/>
    <w:rsid w:val="00A75E97"/>
    <w:rsid w:val="00A80155"/>
    <w:rsid w:val="00A810C3"/>
    <w:rsid w:val="00A82E6B"/>
    <w:rsid w:val="00A842A8"/>
    <w:rsid w:val="00A84997"/>
    <w:rsid w:val="00A857A9"/>
    <w:rsid w:val="00A857BE"/>
    <w:rsid w:val="00A85F0D"/>
    <w:rsid w:val="00A8687F"/>
    <w:rsid w:val="00A87894"/>
    <w:rsid w:val="00A90748"/>
    <w:rsid w:val="00A910F6"/>
    <w:rsid w:val="00A92966"/>
    <w:rsid w:val="00A92CBA"/>
    <w:rsid w:val="00A941E2"/>
    <w:rsid w:val="00A95DCE"/>
    <w:rsid w:val="00A95F45"/>
    <w:rsid w:val="00A95F5C"/>
    <w:rsid w:val="00A97051"/>
    <w:rsid w:val="00A97D94"/>
    <w:rsid w:val="00AA0623"/>
    <w:rsid w:val="00AA08DF"/>
    <w:rsid w:val="00AA0A5F"/>
    <w:rsid w:val="00AA1DEE"/>
    <w:rsid w:val="00AA58E5"/>
    <w:rsid w:val="00AA5EF3"/>
    <w:rsid w:val="00AA778E"/>
    <w:rsid w:val="00AB185D"/>
    <w:rsid w:val="00AB1946"/>
    <w:rsid w:val="00AB1A55"/>
    <w:rsid w:val="00AB4BD4"/>
    <w:rsid w:val="00AB530C"/>
    <w:rsid w:val="00AB5AAC"/>
    <w:rsid w:val="00AB7607"/>
    <w:rsid w:val="00AC06E2"/>
    <w:rsid w:val="00AC29B7"/>
    <w:rsid w:val="00AC35D6"/>
    <w:rsid w:val="00AC412C"/>
    <w:rsid w:val="00AC6A3A"/>
    <w:rsid w:val="00AD0CDB"/>
    <w:rsid w:val="00AD12D4"/>
    <w:rsid w:val="00AD173E"/>
    <w:rsid w:val="00AD2370"/>
    <w:rsid w:val="00AD2695"/>
    <w:rsid w:val="00AD3569"/>
    <w:rsid w:val="00AD3CF3"/>
    <w:rsid w:val="00AD3E3A"/>
    <w:rsid w:val="00AD4011"/>
    <w:rsid w:val="00AD6346"/>
    <w:rsid w:val="00AD6BD4"/>
    <w:rsid w:val="00AE1761"/>
    <w:rsid w:val="00AE2A78"/>
    <w:rsid w:val="00AE32E0"/>
    <w:rsid w:val="00AE474E"/>
    <w:rsid w:val="00AE6460"/>
    <w:rsid w:val="00AE7E18"/>
    <w:rsid w:val="00AF03CF"/>
    <w:rsid w:val="00AF130B"/>
    <w:rsid w:val="00AF29CB"/>
    <w:rsid w:val="00AF438D"/>
    <w:rsid w:val="00AF4B73"/>
    <w:rsid w:val="00AF5416"/>
    <w:rsid w:val="00AF5563"/>
    <w:rsid w:val="00AF56F9"/>
    <w:rsid w:val="00AF6517"/>
    <w:rsid w:val="00AF7157"/>
    <w:rsid w:val="00AF7297"/>
    <w:rsid w:val="00B004C3"/>
    <w:rsid w:val="00B01BB9"/>
    <w:rsid w:val="00B03767"/>
    <w:rsid w:val="00B03FD2"/>
    <w:rsid w:val="00B0547F"/>
    <w:rsid w:val="00B0573D"/>
    <w:rsid w:val="00B062C0"/>
    <w:rsid w:val="00B070C4"/>
    <w:rsid w:val="00B075DD"/>
    <w:rsid w:val="00B111CA"/>
    <w:rsid w:val="00B1185E"/>
    <w:rsid w:val="00B1291F"/>
    <w:rsid w:val="00B12A8E"/>
    <w:rsid w:val="00B13585"/>
    <w:rsid w:val="00B14B88"/>
    <w:rsid w:val="00B15A79"/>
    <w:rsid w:val="00B1617E"/>
    <w:rsid w:val="00B17C0E"/>
    <w:rsid w:val="00B20CF3"/>
    <w:rsid w:val="00B20F2E"/>
    <w:rsid w:val="00B21003"/>
    <w:rsid w:val="00B23D87"/>
    <w:rsid w:val="00B24889"/>
    <w:rsid w:val="00B26822"/>
    <w:rsid w:val="00B26979"/>
    <w:rsid w:val="00B26D07"/>
    <w:rsid w:val="00B27ACE"/>
    <w:rsid w:val="00B3050D"/>
    <w:rsid w:val="00B31AA0"/>
    <w:rsid w:val="00B32879"/>
    <w:rsid w:val="00B33AB0"/>
    <w:rsid w:val="00B376F7"/>
    <w:rsid w:val="00B405F9"/>
    <w:rsid w:val="00B40938"/>
    <w:rsid w:val="00B42E78"/>
    <w:rsid w:val="00B46D56"/>
    <w:rsid w:val="00B52C6F"/>
    <w:rsid w:val="00B53D76"/>
    <w:rsid w:val="00B54C77"/>
    <w:rsid w:val="00B55AA5"/>
    <w:rsid w:val="00B63973"/>
    <w:rsid w:val="00B64E6A"/>
    <w:rsid w:val="00B64FF5"/>
    <w:rsid w:val="00B6685F"/>
    <w:rsid w:val="00B669D0"/>
    <w:rsid w:val="00B70907"/>
    <w:rsid w:val="00B719B2"/>
    <w:rsid w:val="00B738BC"/>
    <w:rsid w:val="00B73A36"/>
    <w:rsid w:val="00B74097"/>
    <w:rsid w:val="00B740C8"/>
    <w:rsid w:val="00B76ACD"/>
    <w:rsid w:val="00B80D98"/>
    <w:rsid w:val="00B813E6"/>
    <w:rsid w:val="00B82B62"/>
    <w:rsid w:val="00B83C25"/>
    <w:rsid w:val="00B84C96"/>
    <w:rsid w:val="00B85E4A"/>
    <w:rsid w:val="00B8711B"/>
    <w:rsid w:val="00B915BC"/>
    <w:rsid w:val="00B92C2A"/>
    <w:rsid w:val="00B9342C"/>
    <w:rsid w:val="00B93E07"/>
    <w:rsid w:val="00B95503"/>
    <w:rsid w:val="00B9574A"/>
    <w:rsid w:val="00B95838"/>
    <w:rsid w:val="00B96003"/>
    <w:rsid w:val="00B974EE"/>
    <w:rsid w:val="00B97D99"/>
    <w:rsid w:val="00BA0280"/>
    <w:rsid w:val="00BA2A61"/>
    <w:rsid w:val="00BA3817"/>
    <w:rsid w:val="00BA5989"/>
    <w:rsid w:val="00BA63BF"/>
    <w:rsid w:val="00BA67B2"/>
    <w:rsid w:val="00BA6882"/>
    <w:rsid w:val="00BB0071"/>
    <w:rsid w:val="00BB0634"/>
    <w:rsid w:val="00BB0C06"/>
    <w:rsid w:val="00BB33C7"/>
    <w:rsid w:val="00BB4FE4"/>
    <w:rsid w:val="00BB5FD6"/>
    <w:rsid w:val="00BB6A2B"/>
    <w:rsid w:val="00BB6ADA"/>
    <w:rsid w:val="00BC0572"/>
    <w:rsid w:val="00BC18BA"/>
    <w:rsid w:val="00BC1F4F"/>
    <w:rsid w:val="00BC383A"/>
    <w:rsid w:val="00BC4F67"/>
    <w:rsid w:val="00BC556F"/>
    <w:rsid w:val="00BC5AD1"/>
    <w:rsid w:val="00BC6F39"/>
    <w:rsid w:val="00BC776A"/>
    <w:rsid w:val="00BD12AB"/>
    <w:rsid w:val="00BD31B3"/>
    <w:rsid w:val="00BD3502"/>
    <w:rsid w:val="00BD68E7"/>
    <w:rsid w:val="00BD7752"/>
    <w:rsid w:val="00BD7DD9"/>
    <w:rsid w:val="00BE0AAC"/>
    <w:rsid w:val="00BE23F0"/>
    <w:rsid w:val="00BE7001"/>
    <w:rsid w:val="00BE7449"/>
    <w:rsid w:val="00BF0F83"/>
    <w:rsid w:val="00BF112A"/>
    <w:rsid w:val="00BF268B"/>
    <w:rsid w:val="00BF2978"/>
    <w:rsid w:val="00BF431C"/>
    <w:rsid w:val="00BF5C9D"/>
    <w:rsid w:val="00BF6167"/>
    <w:rsid w:val="00BF653C"/>
    <w:rsid w:val="00BF66D5"/>
    <w:rsid w:val="00C01069"/>
    <w:rsid w:val="00C029F6"/>
    <w:rsid w:val="00C049E3"/>
    <w:rsid w:val="00C05711"/>
    <w:rsid w:val="00C05EA6"/>
    <w:rsid w:val="00C06029"/>
    <w:rsid w:val="00C1029B"/>
    <w:rsid w:val="00C102C2"/>
    <w:rsid w:val="00C104FF"/>
    <w:rsid w:val="00C105C0"/>
    <w:rsid w:val="00C10C4C"/>
    <w:rsid w:val="00C10C80"/>
    <w:rsid w:val="00C10F07"/>
    <w:rsid w:val="00C119B9"/>
    <w:rsid w:val="00C124E0"/>
    <w:rsid w:val="00C12949"/>
    <w:rsid w:val="00C12BBA"/>
    <w:rsid w:val="00C1554F"/>
    <w:rsid w:val="00C17974"/>
    <w:rsid w:val="00C22990"/>
    <w:rsid w:val="00C25D47"/>
    <w:rsid w:val="00C261E9"/>
    <w:rsid w:val="00C27552"/>
    <w:rsid w:val="00C304DB"/>
    <w:rsid w:val="00C306B2"/>
    <w:rsid w:val="00C3123B"/>
    <w:rsid w:val="00C33F51"/>
    <w:rsid w:val="00C34C5A"/>
    <w:rsid w:val="00C34C96"/>
    <w:rsid w:val="00C34CE8"/>
    <w:rsid w:val="00C35047"/>
    <w:rsid w:val="00C35732"/>
    <w:rsid w:val="00C359C8"/>
    <w:rsid w:val="00C366FB"/>
    <w:rsid w:val="00C406C1"/>
    <w:rsid w:val="00C42BA4"/>
    <w:rsid w:val="00C43A32"/>
    <w:rsid w:val="00C445E1"/>
    <w:rsid w:val="00C45767"/>
    <w:rsid w:val="00C50542"/>
    <w:rsid w:val="00C50822"/>
    <w:rsid w:val="00C51371"/>
    <w:rsid w:val="00C5154B"/>
    <w:rsid w:val="00C52F0D"/>
    <w:rsid w:val="00C53706"/>
    <w:rsid w:val="00C53DFB"/>
    <w:rsid w:val="00C55400"/>
    <w:rsid w:val="00C5581F"/>
    <w:rsid w:val="00C55CB4"/>
    <w:rsid w:val="00C56F85"/>
    <w:rsid w:val="00C59425"/>
    <w:rsid w:val="00C62E70"/>
    <w:rsid w:val="00C6320C"/>
    <w:rsid w:val="00C63620"/>
    <w:rsid w:val="00C646E8"/>
    <w:rsid w:val="00C671BE"/>
    <w:rsid w:val="00C70005"/>
    <w:rsid w:val="00C70E43"/>
    <w:rsid w:val="00C718CF"/>
    <w:rsid w:val="00C71E58"/>
    <w:rsid w:val="00C75FA1"/>
    <w:rsid w:val="00C7657E"/>
    <w:rsid w:val="00C7707C"/>
    <w:rsid w:val="00C773DA"/>
    <w:rsid w:val="00C77F1F"/>
    <w:rsid w:val="00C816E7"/>
    <w:rsid w:val="00C81887"/>
    <w:rsid w:val="00C81DCE"/>
    <w:rsid w:val="00C82885"/>
    <w:rsid w:val="00C82FC2"/>
    <w:rsid w:val="00C83600"/>
    <w:rsid w:val="00C83EA8"/>
    <w:rsid w:val="00C83F7B"/>
    <w:rsid w:val="00C856DE"/>
    <w:rsid w:val="00C85F7F"/>
    <w:rsid w:val="00C864A7"/>
    <w:rsid w:val="00C865DF"/>
    <w:rsid w:val="00C87585"/>
    <w:rsid w:val="00C87BC5"/>
    <w:rsid w:val="00C9027D"/>
    <w:rsid w:val="00C9258D"/>
    <w:rsid w:val="00C939C7"/>
    <w:rsid w:val="00C93EE2"/>
    <w:rsid w:val="00C97242"/>
    <w:rsid w:val="00C97E3A"/>
    <w:rsid w:val="00CA1D91"/>
    <w:rsid w:val="00CA3919"/>
    <w:rsid w:val="00CA4107"/>
    <w:rsid w:val="00CA4B74"/>
    <w:rsid w:val="00CA4ED8"/>
    <w:rsid w:val="00CB1278"/>
    <w:rsid w:val="00CB2E6F"/>
    <w:rsid w:val="00CB2F8E"/>
    <w:rsid w:val="00CB3AD5"/>
    <w:rsid w:val="00CB4A4D"/>
    <w:rsid w:val="00CB64D0"/>
    <w:rsid w:val="00CC0D2A"/>
    <w:rsid w:val="00CC13DD"/>
    <w:rsid w:val="00CC25E1"/>
    <w:rsid w:val="00CC3289"/>
    <w:rsid w:val="00CC4A14"/>
    <w:rsid w:val="00CC4F92"/>
    <w:rsid w:val="00CC5D7C"/>
    <w:rsid w:val="00CC6FD6"/>
    <w:rsid w:val="00CC7E14"/>
    <w:rsid w:val="00CD027E"/>
    <w:rsid w:val="00CD0750"/>
    <w:rsid w:val="00CD0BE4"/>
    <w:rsid w:val="00CD2908"/>
    <w:rsid w:val="00CD7648"/>
    <w:rsid w:val="00CD7A28"/>
    <w:rsid w:val="00CD7B2C"/>
    <w:rsid w:val="00CE050D"/>
    <w:rsid w:val="00CE0B5A"/>
    <w:rsid w:val="00CE1558"/>
    <w:rsid w:val="00CE3435"/>
    <w:rsid w:val="00CE3B8B"/>
    <w:rsid w:val="00CE5031"/>
    <w:rsid w:val="00CE5628"/>
    <w:rsid w:val="00CE6A51"/>
    <w:rsid w:val="00CE6F3F"/>
    <w:rsid w:val="00CF07AC"/>
    <w:rsid w:val="00CF119D"/>
    <w:rsid w:val="00CF237F"/>
    <w:rsid w:val="00CF2971"/>
    <w:rsid w:val="00CF3BED"/>
    <w:rsid w:val="00CF3E5E"/>
    <w:rsid w:val="00CF4ACB"/>
    <w:rsid w:val="00CF4EB5"/>
    <w:rsid w:val="00CF5A22"/>
    <w:rsid w:val="00CF742A"/>
    <w:rsid w:val="00D032D3"/>
    <w:rsid w:val="00D0337A"/>
    <w:rsid w:val="00D03862"/>
    <w:rsid w:val="00D0549E"/>
    <w:rsid w:val="00D0681F"/>
    <w:rsid w:val="00D0683F"/>
    <w:rsid w:val="00D06A16"/>
    <w:rsid w:val="00D07D04"/>
    <w:rsid w:val="00D07F72"/>
    <w:rsid w:val="00D10A80"/>
    <w:rsid w:val="00D10C39"/>
    <w:rsid w:val="00D110BD"/>
    <w:rsid w:val="00D119FB"/>
    <w:rsid w:val="00D13D20"/>
    <w:rsid w:val="00D13EBD"/>
    <w:rsid w:val="00D14DCA"/>
    <w:rsid w:val="00D14E97"/>
    <w:rsid w:val="00D15717"/>
    <w:rsid w:val="00D2048D"/>
    <w:rsid w:val="00D215E0"/>
    <w:rsid w:val="00D222E4"/>
    <w:rsid w:val="00D22538"/>
    <w:rsid w:val="00D22577"/>
    <w:rsid w:val="00D250A1"/>
    <w:rsid w:val="00D251FE"/>
    <w:rsid w:val="00D263ED"/>
    <w:rsid w:val="00D269BA"/>
    <w:rsid w:val="00D27E5B"/>
    <w:rsid w:val="00D31200"/>
    <w:rsid w:val="00D31B52"/>
    <w:rsid w:val="00D32780"/>
    <w:rsid w:val="00D33A72"/>
    <w:rsid w:val="00D33C36"/>
    <w:rsid w:val="00D33FE0"/>
    <w:rsid w:val="00D34D81"/>
    <w:rsid w:val="00D35139"/>
    <w:rsid w:val="00D3597A"/>
    <w:rsid w:val="00D35AF4"/>
    <w:rsid w:val="00D360F4"/>
    <w:rsid w:val="00D3765D"/>
    <w:rsid w:val="00D402A3"/>
    <w:rsid w:val="00D40725"/>
    <w:rsid w:val="00D41A30"/>
    <w:rsid w:val="00D4321E"/>
    <w:rsid w:val="00D50B1F"/>
    <w:rsid w:val="00D513E8"/>
    <w:rsid w:val="00D53DEB"/>
    <w:rsid w:val="00D55257"/>
    <w:rsid w:val="00D55D65"/>
    <w:rsid w:val="00D610E5"/>
    <w:rsid w:val="00D61194"/>
    <w:rsid w:val="00D612FE"/>
    <w:rsid w:val="00D62126"/>
    <w:rsid w:val="00D64AA6"/>
    <w:rsid w:val="00D670C9"/>
    <w:rsid w:val="00D673B4"/>
    <w:rsid w:val="00D70D66"/>
    <w:rsid w:val="00D710D5"/>
    <w:rsid w:val="00D73858"/>
    <w:rsid w:val="00D753E2"/>
    <w:rsid w:val="00D75B5F"/>
    <w:rsid w:val="00D7649E"/>
    <w:rsid w:val="00D779FE"/>
    <w:rsid w:val="00D81BC4"/>
    <w:rsid w:val="00D81E06"/>
    <w:rsid w:val="00D82076"/>
    <w:rsid w:val="00D825F0"/>
    <w:rsid w:val="00D83EDF"/>
    <w:rsid w:val="00D845D7"/>
    <w:rsid w:val="00D8484C"/>
    <w:rsid w:val="00D856E7"/>
    <w:rsid w:val="00D878B6"/>
    <w:rsid w:val="00D87DEC"/>
    <w:rsid w:val="00D90D90"/>
    <w:rsid w:val="00D91408"/>
    <w:rsid w:val="00D918F7"/>
    <w:rsid w:val="00D91A40"/>
    <w:rsid w:val="00D9381C"/>
    <w:rsid w:val="00D93F64"/>
    <w:rsid w:val="00D95D8A"/>
    <w:rsid w:val="00D97CB4"/>
    <w:rsid w:val="00D97ED0"/>
    <w:rsid w:val="00DA008B"/>
    <w:rsid w:val="00DA0B39"/>
    <w:rsid w:val="00DA0C90"/>
    <w:rsid w:val="00DA1782"/>
    <w:rsid w:val="00DA1B54"/>
    <w:rsid w:val="00DA26A5"/>
    <w:rsid w:val="00DA37DB"/>
    <w:rsid w:val="00DA465F"/>
    <w:rsid w:val="00DA4AFE"/>
    <w:rsid w:val="00DA554B"/>
    <w:rsid w:val="00DB0343"/>
    <w:rsid w:val="00DB0BE0"/>
    <w:rsid w:val="00DB2BAB"/>
    <w:rsid w:val="00DB2D10"/>
    <w:rsid w:val="00DB33B1"/>
    <w:rsid w:val="00DB41AE"/>
    <w:rsid w:val="00DB5B24"/>
    <w:rsid w:val="00DB6565"/>
    <w:rsid w:val="00DB7BFA"/>
    <w:rsid w:val="00DB7F1D"/>
    <w:rsid w:val="00DC1176"/>
    <w:rsid w:val="00DC430C"/>
    <w:rsid w:val="00DC4BCC"/>
    <w:rsid w:val="00DC5A30"/>
    <w:rsid w:val="00DD0500"/>
    <w:rsid w:val="00DD1B5F"/>
    <w:rsid w:val="00DD3E7A"/>
    <w:rsid w:val="00DD5C49"/>
    <w:rsid w:val="00DD6C80"/>
    <w:rsid w:val="00DD6D0B"/>
    <w:rsid w:val="00DD7A3A"/>
    <w:rsid w:val="00DE0D1D"/>
    <w:rsid w:val="00DE3A19"/>
    <w:rsid w:val="00DE40A3"/>
    <w:rsid w:val="00DE54DA"/>
    <w:rsid w:val="00DE64FA"/>
    <w:rsid w:val="00DF01A0"/>
    <w:rsid w:val="00DF0ED1"/>
    <w:rsid w:val="00DF1BA2"/>
    <w:rsid w:val="00DF39B4"/>
    <w:rsid w:val="00DF3C58"/>
    <w:rsid w:val="00DF5547"/>
    <w:rsid w:val="00DF6E8B"/>
    <w:rsid w:val="00DF6F09"/>
    <w:rsid w:val="00DF7FDB"/>
    <w:rsid w:val="00E00D54"/>
    <w:rsid w:val="00E043DB"/>
    <w:rsid w:val="00E04CFA"/>
    <w:rsid w:val="00E076CA"/>
    <w:rsid w:val="00E1178B"/>
    <w:rsid w:val="00E118B8"/>
    <w:rsid w:val="00E12F4D"/>
    <w:rsid w:val="00E13368"/>
    <w:rsid w:val="00E13AF0"/>
    <w:rsid w:val="00E14174"/>
    <w:rsid w:val="00E1488E"/>
    <w:rsid w:val="00E14C2B"/>
    <w:rsid w:val="00E16716"/>
    <w:rsid w:val="00E210A6"/>
    <w:rsid w:val="00E22683"/>
    <w:rsid w:val="00E228C5"/>
    <w:rsid w:val="00E235EF"/>
    <w:rsid w:val="00E237B1"/>
    <w:rsid w:val="00E24CAC"/>
    <w:rsid w:val="00E25790"/>
    <w:rsid w:val="00E26038"/>
    <w:rsid w:val="00E26EF6"/>
    <w:rsid w:val="00E3035E"/>
    <w:rsid w:val="00E30ADF"/>
    <w:rsid w:val="00E30C89"/>
    <w:rsid w:val="00E33267"/>
    <w:rsid w:val="00E3472F"/>
    <w:rsid w:val="00E35228"/>
    <w:rsid w:val="00E35BC4"/>
    <w:rsid w:val="00E366B2"/>
    <w:rsid w:val="00E36C0D"/>
    <w:rsid w:val="00E4119C"/>
    <w:rsid w:val="00E411F3"/>
    <w:rsid w:val="00E419DC"/>
    <w:rsid w:val="00E424B4"/>
    <w:rsid w:val="00E42B43"/>
    <w:rsid w:val="00E45200"/>
    <w:rsid w:val="00E45AFF"/>
    <w:rsid w:val="00E45C22"/>
    <w:rsid w:val="00E478EA"/>
    <w:rsid w:val="00E50216"/>
    <w:rsid w:val="00E508B1"/>
    <w:rsid w:val="00E51C47"/>
    <w:rsid w:val="00E51EE4"/>
    <w:rsid w:val="00E525C7"/>
    <w:rsid w:val="00E542EA"/>
    <w:rsid w:val="00E5480B"/>
    <w:rsid w:val="00E55223"/>
    <w:rsid w:val="00E55378"/>
    <w:rsid w:val="00E56CB1"/>
    <w:rsid w:val="00E57D33"/>
    <w:rsid w:val="00E606CE"/>
    <w:rsid w:val="00E6096C"/>
    <w:rsid w:val="00E61364"/>
    <w:rsid w:val="00E617D2"/>
    <w:rsid w:val="00E624F7"/>
    <w:rsid w:val="00E62515"/>
    <w:rsid w:val="00E6281A"/>
    <w:rsid w:val="00E642D9"/>
    <w:rsid w:val="00E64803"/>
    <w:rsid w:val="00E65417"/>
    <w:rsid w:val="00E659A3"/>
    <w:rsid w:val="00E65C63"/>
    <w:rsid w:val="00E66269"/>
    <w:rsid w:val="00E6633F"/>
    <w:rsid w:val="00E72E1B"/>
    <w:rsid w:val="00E7331B"/>
    <w:rsid w:val="00E736C6"/>
    <w:rsid w:val="00E752E8"/>
    <w:rsid w:val="00E75748"/>
    <w:rsid w:val="00E759C6"/>
    <w:rsid w:val="00E75FDB"/>
    <w:rsid w:val="00E779DE"/>
    <w:rsid w:val="00E77B6A"/>
    <w:rsid w:val="00E80C8B"/>
    <w:rsid w:val="00E8149A"/>
    <w:rsid w:val="00E82D7E"/>
    <w:rsid w:val="00E82DEB"/>
    <w:rsid w:val="00E82E1E"/>
    <w:rsid w:val="00E837B4"/>
    <w:rsid w:val="00E84122"/>
    <w:rsid w:val="00E847ED"/>
    <w:rsid w:val="00E84CED"/>
    <w:rsid w:val="00E850DF"/>
    <w:rsid w:val="00E862FB"/>
    <w:rsid w:val="00E86D58"/>
    <w:rsid w:val="00E87329"/>
    <w:rsid w:val="00E874E6"/>
    <w:rsid w:val="00E92612"/>
    <w:rsid w:val="00E92DE6"/>
    <w:rsid w:val="00E92F5A"/>
    <w:rsid w:val="00E934C8"/>
    <w:rsid w:val="00E940B8"/>
    <w:rsid w:val="00E95E45"/>
    <w:rsid w:val="00E97570"/>
    <w:rsid w:val="00EA00C1"/>
    <w:rsid w:val="00EA1250"/>
    <w:rsid w:val="00EA136E"/>
    <w:rsid w:val="00EA2F55"/>
    <w:rsid w:val="00EA5B47"/>
    <w:rsid w:val="00EA5DAD"/>
    <w:rsid w:val="00EA7198"/>
    <w:rsid w:val="00EA7666"/>
    <w:rsid w:val="00EA7713"/>
    <w:rsid w:val="00EA7D39"/>
    <w:rsid w:val="00EB1E3E"/>
    <w:rsid w:val="00EB294D"/>
    <w:rsid w:val="00EB38FC"/>
    <w:rsid w:val="00EB3922"/>
    <w:rsid w:val="00EB3944"/>
    <w:rsid w:val="00EB3C6E"/>
    <w:rsid w:val="00EB43BB"/>
    <w:rsid w:val="00EB655F"/>
    <w:rsid w:val="00EB781B"/>
    <w:rsid w:val="00EC2491"/>
    <w:rsid w:val="00EC55C2"/>
    <w:rsid w:val="00EC5F75"/>
    <w:rsid w:val="00EC65ED"/>
    <w:rsid w:val="00EC6FC6"/>
    <w:rsid w:val="00EC7630"/>
    <w:rsid w:val="00EC7713"/>
    <w:rsid w:val="00ED12BA"/>
    <w:rsid w:val="00ED12CA"/>
    <w:rsid w:val="00ED2747"/>
    <w:rsid w:val="00ED2C28"/>
    <w:rsid w:val="00ED33AC"/>
    <w:rsid w:val="00ED53EB"/>
    <w:rsid w:val="00ED6BF4"/>
    <w:rsid w:val="00ED74C3"/>
    <w:rsid w:val="00EE0576"/>
    <w:rsid w:val="00EE057D"/>
    <w:rsid w:val="00EE1724"/>
    <w:rsid w:val="00EE20B3"/>
    <w:rsid w:val="00EE3E76"/>
    <w:rsid w:val="00EE4E84"/>
    <w:rsid w:val="00EE77FE"/>
    <w:rsid w:val="00EF0391"/>
    <w:rsid w:val="00EF05A5"/>
    <w:rsid w:val="00EF1786"/>
    <w:rsid w:val="00EF3F89"/>
    <w:rsid w:val="00EF56A1"/>
    <w:rsid w:val="00EF6AB6"/>
    <w:rsid w:val="00F0013A"/>
    <w:rsid w:val="00F028F7"/>
    <w:rsid w:val="00F034AF"/>
    <w:rsid w:val="00F0393A"/>
    <w:rsid w:val="00F07824"/>
    <w:rsid w:val="00F07F95"/>
    <w:rsid w:val="00F10648"/>
    <w:rsid w:val="00F10A82"/>
    <w:rsid w:val="00F1228B"/>
    <w:rsid w:val="00F13102"/>
    <w:rsid w:val="00F135D0"/>
    <w:rsid w:val="00F13E20"/>
    <w:rsid w:val="00F13EFD"/>
    <w:rsid w:val="00F15991"/>
    <w:rsid w:val="00F15E80"/>
    <w:rsid w:val="00F15ED0"/>
    <w:rsid w:val="00F1695F"/>
    <w:rsid w:val="00F179C7"/>
    <w:rsid w:val="00F17F73"/>
    <w:rsid w:val="00F210E9"/>
    <w:rsid w:val="00F21365"/>
    <w:rsid w:val="00F21846"/>
    <w:rsid w:val="00F21DA6"/>
    <w:rsid w:val="00F24E14"/>
    <w:rsid w:val="00F26961"/>
    <w:rsid w:val="00F26B00"/>
    <w:rsid w:val="00F27AE4"/>
    <w:rsid w:val="00F30211"/>
    <w:rsid w:val="00F32BC1"/>
    <w:rsid w:val="00F33F03"/>
    <w:rsid w:val="00F344E7"/>
    <w:rsid w:val="00F35F80"/>
    <w:rsid w:val="00F3674D"/>
    <w:rsid w:val="00F36CC3"/>
    <w:rsid w:val="00F37726"/>
    <w:rsid w:val="00F3774D"/>
    <w:rsid w:val="00F4232B"/>
    <w:rsid w:val="00F428DB"/>
    <w:rsid w:val="00F42941"/>
    <w:rsid w:val="00F433D2"/>
    <w:rsid w:val="00F43442"/>
    <w:rsid w:val="00F44618"/>
    <w:rsid w:val="00F459D9"/>
    <w:rsid w:val="00F45A7B"/>
    <w:rsid w:val="00F46085"/>
    <w:rsid w:val="00F462D6"/>
    <w:rsid w:val="00F50B2B"/>
    <w:rsid w:val="00F51237"/>
    <w:rsid w:val="00F5204B"/>
    <w:rsid w:val="00F520AA"/>
    <w:rsid w:val="00F534D9"/>
    <w:rsid w:val="00F54AAF"/>
    <w:rsid w:val="00F5561A"/>
    <w:rsid w:val="00F56DA3"/>
    <w:rsid w:val="00F6127E"/>
    <w:rsid w:val="00F612EC"/>
    <w:rsid w:val="00F624EB"/>
    <w:rsid w:val="00F629DB"/>
    <w:rsid w:val="00F64CED"/>
    <w:rsid w:val="00F6568B"/>
    <w:rsid w:val="00F6676E"/>
    <w:rsid w:val="00F70F02"/>
    <w:rsid w:val="00F72778"/>
    <w:rsid w:val="00F728DC"/>
    <w:rsid w:val="00F73696"/>
    <w:rsid w:val="00F736F0"/>
    <w:rsid w:val="00F74B54"/>
    <w:rsid w:val="00F74D38"/>
    <w:rsid w:val="00F76746"/>
    <w:rsid w:val="00F82492"/>
    <w:rsid w:val="00F82D40"/>
    <w:rsid w:val="00F83197"/>
    <w:rsid w:val="00F8418A"/>
    <w:rsid w:val="00F9140D"/>
    <w:rsid w:val="00F91A22"/>
    <w:rsid w:val="00F92905"/>
    <w:rsid w:val="00F9323C"/>
    <w:rsid w:val="00F933FD"/>
    <w:rsid w:val="00F93CBE"/>
    <w:rsid w:val="00FA033A"/>
    <w:rsid w:val="00FA03D5"/>
    <w:rsid w:val="00FA198C"/>
    <w:rsid w:val="00FA19DA"/>
    <w:rsid w:val="00FA1B51"/>
    <w:rsid w:val="00FA1EC5"/>
    <w:rsid w:val="00FA513D"/>
    <w:rsid w:val="00FA6383"/>
    <w:rsid w:val="00FA7C40"/>
    <w:rsid w:val="00FB0B85"/>
    <w:rsid w:val="00FB1E38"/>
    <w:rsid w:val="00FB26EF"/>
    <w:rsid w:val="00FB38D0"/>
    <w:rsid w:val="00FB494C"/>
    <w:rsid w:val="00FB4B0D"/>
    <w:rsid w:val="00FB4F9A"/>
    <w:rsid w:val="00FB5532"/>
    <w:rsid w:val="00FB594E"/>
    <w:rsid w:val="00FB71A0"/>
    <w:rsid w:val="00FC0093"/>
    <w:rsid w:val="00FC00D0"/>
    <w:rsid w:val="00FC1E7C"/>
    <w:rsid w:val="00FC2D2A"/>
    <w:rsid w:val="00FC42DB"/>
    <w:rsid w:val="00FC5627"/>
    <w:rsid w:val="00FC5965"/>
    <w:rsid w:val="00FC67D1"/>
    <w:rsid w:val="00FC713D"/>
    <w:rsid w:val="00FD0A8F"/>
    <w:rsid w:val="00FD13EB"/>
    <w:rsid w:val="00FD1A7D"/>
    <w:rsid w:val="00FD2A9D"/>
    <w:rsid w:val="00FD35F6"/>
    <w:rsid w:val="00FD4045"/>
    <w:rsid w:val="00FD4332"/>
    <w:rsid w:val="00FD4745"/>
    <w:rsid w:val="00FD48BA"/>
    <w:rsid w:val="00FD7763"/>
    <w:rsid w:val="00FD7D9C"/>
    <w:rsid w:val="00FE1346"/>
    <w:rsid w:val="00FE16CB"/>
    <w:rsid w:val="00FE2130"/>
    <w:rsid w:val="00FE4186"/>
    <w:rsid w:val="00FE4A24"/>
    <w:rsid w:val="00FE4B4A"/>
    <w:rsid w:val="00FE4B86"/>
    <w:rsid w:val="00FE5565"/>
    <w:rsid w:val="00FE5874"/>
    <w:rsid w:val="00FE596D"/>
    <w:rsid w:val="00FE59EE"/>
    <w:rsid w:val="00FE5E61"/>
    <w:rsid w:val="00FE7701"/>
    <w:rsid w:val="00FF0A0C"/>
    <w:rsid w:val="00FF1BC8"/>
    <w:rsid w:val="00FF2749"/>
    <w:rsid w:val="00FF59E4"/>
    <w:rsid w:val="00FF5DEB"/>
    <w:rsid w:val="00FF62D5"/>
    <w:rsid w:val="00FF6662"/>
    <w:rsid w:val="00FF6AE5"/>
    <w:rsid w:val="010C6C07"/>
    <w:rsid w:val="0110BA3F"/>
    <w:rsid w:val="01169804"/>
    <w:rsid w:val="012161E2"/>
    <w:rsid w:val="0126493F"/>
    <w:rsid w:val="012E8B8F"/>
    <w:rsid w:val="013472D0"/>
    <w:rsid w:val="013A7930"/>
    <w:rsid w:val="0143E580"/>
    <w:rsid w:val="01885329"/>
    <w:rsid w:val="018980C4"/>
    <w:rsid w:val="018AEA28"/>
    <w:rsid w:val="0199B840"/>
    <w:rsid w:val="019B7C66"/>
    <w:rsid w:val="01BA808D"/>
    <w:rsid w:val="01CFFD72"/>
    <w:rsid w:val="01D24A58"/>
    <w:rsid w:val="01E2F7B3"/>
    <w:rsid w:val="01EFF142"/>
    <w:rsid w:val="01F9E885"/>
    <w:rsid w:val="01FD3F34"/>
    <w:rsid w:val="020704E8"/>
    <w:rsid w:val="02157301"/>
    <w:rsid w:val="02173E77"/>
    <w:rsid w:val="02254AC3"/>
    <w:rsid w:val="02291A09"/>
    <w:rsid w:val="022B92E3"/>
    <w:rsid w:val="022D0E0E"/>
    <w:rsid w:val="022ECE32"/>
    <w:rsid w:val="02362D79"/>
    <w:rsid w:val="023B9AF1"/>
    <w:rsid w:val="0243F7F9"/>
    <w:rsid w:val="026C80CD"/>
    <w:rsid w:val="02744E0A"/>
    <w:rsid w:val="02755826"/>
    <w:rsid w:val="029B283F"/>
    <w:rsid w:val="02B56621"/>
    <w:rsid w:val="02C5B8A3"/>
    <w:rsid w:val="02F924C8"/>
    <w:rsid w:val="03078AC5"/>
    <w:rsid w:val="03169512"/>
    <w:rsid w:val="03271009"/>
    <w:rsid w:val="0343C98E"/>
    <w:rsid w:val="0349FAD4"/>
    <w:rsid w:val="035CFEB4"/>
    <w:rsid w:val="0370F762"/>
    <w:rsid w:val="03B8332A"/>
    <w:rsid w:val="03B8F3F8"/>
    <w:rsid w:val="03C17BDA"/>
    <w:rsid w:val="03C491C9"/>
    <w:rsid w:val="03C68D6C"/>
    <w:rsid w:val="03D20EA8"/>
    <w:rsid w:val="03DE97C4"/>
    <w:rsid w:val="03EBABA1"/>
    <w:rsid w:val="03FAE412"/>
    <w:rsid w:val="041E3689"/>
    <w:rsid w:val="04226A4F"/>
    <w:rsid w:val="04284B93"/>
    <w:rsid w:val="043031A3"/>
    <w:rsid w:val="043E1672"/>
    <w:rsid w:val="043EE33F"/>
    <w:rsid w:val="043F04B5"/>
    <w:rsid w:val="043F9997"/>
    <w:rsid w:val="04463D6A"/>
    <w:rsid w:val="045FA8B3"/>
    <w:rsid w:val="0462777D"/>
    <w:rsid w:val="04756A5B"/>
    <w:rsid w:val="048F2604"/>
    <w:rsid w:val="04927543"/>
    <w:rsid w:val="049C1D5E"/>
    <w:rsid w:val="049F43DB"/>
    <w:rsid w:val="04A2434A"/>
    <w:rsid w:val="04A7CAEA"/>
    <w:rsid w:val="04A9139F"/>
    <w:rsid w:val="04AC9347"/>
    <w:rsid w:val="04B29ADB"/>
    <w:rsid w:val="04D93D4E"/>
    <w:rsid w:val="04DCAAA3"/>
    <w:rsid w:val="04DCFE92"/>
    <w:rsid w:val="04E413FA"/>
    <w:rsid w:val="04E5BD25"/>
    <w:rsid w:val="04EEE2E1"/>
    <w:rsid w:val="05037E27"/>
    <w:rsid w:val="052B38B5"/>
    <w:rsid w:val="05308E12"/>
    <w:rsid w:val="053B581D"/>
    <w:rsid w:val="05554BF7"/>
    <w:rsid w:val="055D594A"/>
    <w:rsid w:val="056C9ABE"/>
    <w:rsid w:val="05742FF0"/>
    <w:rsid w:val="0578666F"/>
    <w:rsid w:val="057B604E"/>
    <w:rsid w:val="057B7AC1"/>
    <w:rsid w:val="0580B221"/>
    <w:rsid w:val="05943D31"/>
    <w:rsid w:val="05A73577"/>
    <w:rsid w:val="05A82A95"/>
    <w:rsid w:val="05B6E06A"/>
    <w:rsid w:val="05C09DEF"/>
    <w:rsid w:val="05CADD12"/>
    <w:rsid w:val="05DE4C9D"/>
    <w:rsid w:val="05EEFFBD"/>
    <w:rsid w:val="05EF85FE"/>
    <w:rsid w:val="05F49340"/>
    <w:rsid w:val="05FB8167"/>
    <w:rsid w:val="06014C20"/>
    <w:rsid w:val="060FD2C5"/>
    <w:rsid w:val="06169041"/>
    <w:rsid w:val="06331CFE"/>
    <w:rsid w:val="063EFECF"/>
    <w:rsid w:val="06427F73"/>
    <w:rsid w:val="06468F0E"/>
    <w:rsid w:val="064DC67F"/>
    <w:rsid w:val="0663E7DF"/>
    <w:rsid w:val="06669529"/>
    <w:rsid w:val="0673F907"/>
    <w:rsid w:val="0687F880"/>
    <w:rsid w:val="0695DBB6"/>
    <w:rsid w:val="06BDB876"/>
    <w:rsid w:val="06C135B0"/>
    <w:rsid w:val="06D28BF2"/>
    <w:rsid w:val="06EF6FA5"/>
    <w:rsid w:val="06F5CF8D"/>
    <w:rsid w:val="06F883D5"/>
    <w:rsid w:val="06FB115A"/>
    <w:rsid w:val="0703F19D"/>
    <w:rsid w:val="0727CC06"/>
    <w:rsid w:val="073763D1"/>
    <w:rsid w:val="0742E58C"/>
    <w:rsid w:val="074A5BAD"/>
    <w:rsid w:val="07713C39"/>
    <w:rsid w:val="07831086"/>
    <w:rsid w:val="078B58CD"/>
    <w:rsid w:val="079893BA"/>
    <w:rsid w:val="079AFAC6"/>
    <w:rsid w:val="07A9A576"/>
    <w:rsid w:val="07B3473F"/>
    <w:rsid w:val="07D11002"/>
    <w:rsid w:val="07FCD63B"/>
    <w:rsid w:val="081BF16D"/>
    <w:rsid w:val="08248B37"/>
    <w:rsid w:val="0827D1F1"/>
    <w:rsid w:val="08320252"/>
    <w:rsid w:val="085036C3"/>
    <w:rsid w:val="085A3853"/>
    <w:rsid w:val="086C9256"/>
    <w:rsid w:val="08867B33"/>
    <w:rsid w:val="0896EFC0"/>
    <w:rsid w:val="08B96EE6"/>
    <w:rsid w:val="08CF6561"/>
    <w:rsid w:val="0904C7D1"/>
    <w:rsid w:val="09086EE4"/>
    <w:rsid w:val="090EE9C4"/>
    <w:rsid w:val="090FC532"/>
    <w:rsid w:val="091C1371"/>
    <w:rsid w:val="09255E17"/>
    <w:rsid w:val="0925C566"/>
    <w:rsid w:val="092C88A2"/>
    <w:rsid w:val="092E97A7"/>
    <w:rsid w:val="0932F459"/>
    <w:rsid w:val="09410572"/>
    <w:rsid w:val="095BA686"/>
    <w:rsid w:val="095FBD16"/>
    <w:rsid w:val="097492F0"/>
    <w:rsid w:val="09771463"/>
    <w:rsid w:val="0984BB2A"/>
    <w:rsid w:val="09908439"/>
    <w:rsid w:val="0993650E"/>
    <w:rsid w:val="0999E747"/>
    <w:rsid w:val="099C1BCD"/>
    <w:rsid w:val="09A3CA24"/>
    <w:rsid w:val="09A63540"/>
    <w:rsid w:val="09A6EB10"/>
    <w:rsid w:val="09B9829A"/>
    <w:rsid w:val="09BA9FBF"/>
    <w:rsid w:val="09CABED7"/>
    <w:rsid w:val="09D72D0D"/>
    <w:rsid w:val="09E9AC38"/>
    <w:rsid w:val="09EB9AA5"/>
    <w:rsid w:val="0A049273"/>
    <w:rsid w:val="0A107C21"/>
    <w:rsid w:val="0A28357C"/>
    <w:rsid w:val="0A2F6787"/>
    <w:rsid w:val="0A328009"/>
    <w:rsid w:val="0A33652E"/>
    <w:rsid w:val="0A54F8D8"/>
    <w:rsid w:val="0A7A5A1D"/>
    <w:rsid w:val="0A7EB6AC"/>
    <w:rsid w:val="0A8F9F91"/>
    <w:rsid w:val="0A971715"/>
    <w:rsid w:val="0A9DC867"/>
    <w:rsid w:val="0A9F8873"/>
    <w:rsid w:val="0AA54671"/>
    <w:rsid w:val="0AA86257"/>
    <w:rsid w:val="0ABA502E"/>
    <w:rsid w:val="0AC6F599"/>
    <w:rsid w:val="0AC9C378"/>
    <w:rsid w:val="0AD1617D"/>
    <w:rsid w:val="0ADC2AD7"/>
    <w:rsid w:val="0ADC98F6"/>
    <w:rsid w:val="0B0402F3"/>
    <w:rsid w:val="0B2BAE7D"/>
    <w:rsid w:val="0B3014BB"/>
    <w:rsid w:val="0B3AFE49"/>
    <w:rsid w:val="0B3D0CBB"/>
    <w:rsid w:val="0B4B85A7"/>
    <w:rsid w:val="0B4F8367"/>
    <w:rsid w:val="0B6A229C"/>
    <w:rsid w:val="0B6C04AF"/>
    <w:rsid w:val="0B74F2C3"/>
    <w:rsid w:val="0B869E76"/>
    <w:rsid w:val="0B8D842D"/>
    <w:rsid w:val="0B99E9D0"/>
    <w:rsid w:val="0BB24545"/>
    <w:rsid w:val="0BB54256"/>
    <w:rsid w:val="0BC72A83"/>
    <w:rsid w:val="0BC76720"/>
    <w:rsid w:val="0BC9E200"/>
    <w:rsid w:val="0BD2CBA5"/>
    <w:rsid w:val="0BDB35FC"/>
    <w:rsid w:val="0BDD9A53"/>
    <w:rsid w:val="0BDE91DC"/>
    <w:rsid w:val="0BE5562C"/>
    <w:rsid w:val="0BE99DD9"/>
    <w:rsid w:val="0BEAC15B"/>
    <w:rsid w:val="0C06FC3E"/>
    <w:rsid w:val="0C218D15"/>
    <w:rsid w:val="0C2E01DD"/>
    <w:rsid w:val="0C320E08"/>
    <w:rsid w:val="0C32C7EC"/>
    <w:rsid w:val="0C551A92"/>
    <w:rsid w:val="0C648404"/>
    <w:rsid w:val="0C71D455"/>
    <w:rsid w:val="0C72D097"/>
    <w:rsid w:val="0C781C3E"/>
    <w:rsid w:val="0C78A634"/>
    <w:rsid w:val="0C845703"/>
    <w:rsid w:val="0C8B7C2C"/>
    <w:rsid w:val="0C9B61D0"/>
    <w:rsid w:val="0CC93476"/>
    <w:rsid w:val="0CD25150"/>
    <w:rsid w:val="0CDDEA3C"/>
    <w:rsid w:val="0CDF9547"/>
    <w:rsid w:val="0CF53FC3"/>
    <w:rsid w:val="0D18B23E"/>
    <w:rsid w:val="0D2855EC"/>
    <w:rsid w:val="0D54DDDF"/>
    <w:rsid w:val="0D67F614"/>
    <w:rsid w:val="0D68E4DC"/>
    <w:rsid w:val="0D8A56E5"/>
    <w:rsid w:val="0D8F0B9B"/>
    <w:rsid w:val="0DA60AEB"/>
    <w:rsid w:val="0DC2FBF6"/>
    <w:rsid w:val="0DF2304B"/>
    <w:rsid w:val="0E0296A0"/>
    <w:rsid w:val="0E22209B"/>
    <w:rsid w:val="0E232F38"/>
    <w:rsid w:val="0E2B00BE"/>
    <w:rsid w:val="0E2CC649"/>
    <w:rsid w:val="0E3D8EFF"/>
    <w:rsid w:val="0E52D53C"/>
    <w:rsid w:val="0E5A404D"/>
    <w:rsid w:val="0E7424A0"/>
    <w:rsid w:val="0E826249"/>
    <w:rsid w:val="0EA74BA7"/>
    <w:rsid w:val="0EACB196"/>
    <w:rsid w:val="0ED1E160"/>
    <w:rsid w:val="0ED9D737"/>
    <w:rsid w:val="0EFB6033"/>
    <w:rsid w:val="0EFF9251"/>
    <w:rsid w:val="0F09CA11"/>
    <w:rsid w:val="0F2DB90A"/>
    <w:rsid w:val="0F430559"/>
    <w:rsid w:val="0F468921"/>
    <w:rsid w:val="0F6A9280"/>
    <w:rsid w:val="0F83C972"/>
    <w:rsid w:val="0F87486A"/>
    <w:rsid w:val="0F87CDDB"/>
    <w:rsid w:val="0FB173C2"/>
    <w:rsid w:val="0FB48E92"/>
    <w:rsid w:val="0FC6A9BE"/>
    <w:rsid w:val="0FCB2536"/>
    <w:rsid w:val="0FD72F81"/>
    <w:rsid w:val="0FD76B82"/>
    <w:rsid w:val="0FE01263"/>
    <w:rsid w:val="0FE8928C"/>
    <w:rsid w:val="10110595"/>
    <w:rsid w:val="1015F651"/>
    <w:rsid w:val="101ADB4D"/>
    <w:rsid w:val="101D983B"/>
    <w:rsid w:val="107FE6A2"/>
    <w:rsid w:val="108CDC67"/>
    <w:rsid w:val="109352FA"/>
    <w:rsid w:val="1097BC35"/>
    <w:rsid w:val="109B62B2"/>
    <w:rsid w:val="109C89BC"/>
    <w:rsid w:val="109D4845"/>
    <w:rsid w:val="10A63ED6"/>
    <w:rsid w:val="10B0A552"/>
    <w:rsid w:val="10B8630A"/>
    <w:rsid w:val="10BF5478"/>
    <w:rsid w:val="10C6B337"/>
    <w:rsid w:val="10C755F7"/>
    <w:rsid w:val="10D5902E"/>
    <w:rsid w:val="10DF5821"/>
    <w:rsid w:val="10E308E1"/>
    <w:rsid w:val="10FA3D9A"/>
    <w:rsid w:val="110FB2E8"/>
    <w:rsid w:val="11268CE0"/>
    <w:rsid w:val="11366D88"/>
    <w:rsid w:val="113D090E"/>
    <w:rsid w:val="113E268C"/>
    <w:rsid w:val="113E9F0F"/>
    <w:rsid w:val="114608DE"/>
    <w:rsid w:val="115C32AB"/>
    <w:rsid w:val="115D5054"/>
    <w:rsid w:val="115DEE92"/>
    <w:rsid w:val="11643F8C"/>
    <w:rsid w:val="116DB275"/>
    <w:rsid w:val="1181DBCD"/>
    <w:rsid w:val="1190900C"/>
    <w:rsid w:val="11A2460F"/>
    <w:rsid w:val="11C16746"/>
    <w:rsid w:val="11C3B7EE"/>
    <w:rsid w:val="11CC46A9"/>
    <w:rsid w:val="11D9724F"/>
    <w:rsid w:val="11EC4985"/>
    <w:rsid w:val="11ED8724"/>
    <w:rsid w:val="11F02740"/>
    <w:rsid w:val="11FA4BCB"/>
    <w:rsid w:val="11FB3E39"/>
    <w:rsid w:val="120ACAEE"/>
    <w:rsid w:val="1215A19A"/>
    <w:rsid w:val="121DFCF6"/>
    <w:rsid w:val="121EF42A"/>
    <w:rsid w:val="1227F07A"/>
    <w:rsid w:val="12369305"/>
    <w:rsid w:val="1250A96B"/>
    <w:rsid w:val="1268012D"/>
    <w:rsid w:val="127422E3"/>
    <w:rsid w:val="128E7349"/>
    <w:rsid w:val="128F399C"/>
    <w:rsid w:val="129AF214"/>
    <w:rsid w:val="129CB908"/>
    <w:rsid w:val="12A962D6"/>
    <w:rsid w:val="12A9890D"/>
    <w:rsid w:val="12AA493E"/>
    <w:rsid w:val="12CE3753"/>
    <w:rsid w:val="12DC39BF"/>
    <w:rsid w:val="12DD9384"/>
    <w:rsid w:val="12ED9651"/>
    <w:rsid w:val="1306D40B"/>
    <w:rsid w:val="130834D1"/>
    <w:rsid w:val="130ABA2E"/>
    <w:rsid w:val="13104FD5"/>
    <w:rsid w:val="131670C6"/>
    <w:rsid w:val="13255994"/>
    <w:rsid w:val="132D4CD0"/>
    <w:rsid w:val="135D6A78"/>
    <w:rsid w:val="135F5AA9"/>
    <w:rsid w:val="136A7C7A"/>
    <w:rsid w:val="136F843B"/>
    <w:rsid w:val="13739570"/>
    <w:rsid w:val="137A8B11"/>
    <w:rsid w:val="1384918C"/>
    <w:rsid w:val="139F6591"/>
    <w:rsid w:val="13AB3C83"/>
    <w:rsid w:val="13ABE255"/>
    <w:rsid w:val="13B05303"/>
    <w:rsid w:val="13C08B1C"/>
    <w:rsid w:val="13C15530"/>
    <w:rsid w:val="13C3D94B"/>
    <w:rsid w:val="13C76956"/>
    <w:rsid w:val="13D644EA"/>
    <w:rsid w:val="13DEFE00"/>
    <w:rsid w:val="13E16B4E"/>
    <w:rsid w:val="13E208C3"/>
    <w:rsid w:val="13F2BCBF"/>
    <w:rsid w:val="13FAAC26"/>
    <w:rsid w:val="14021EFD"/>
    <w:rsid w:val="14057FB4"/>
    <w:rsid w:val="140E8778"/>
    <w:rsid w:val="1434B110"/>
    <w:rsid w:val="143BA77E"/>
    <w:rsid w:val="143E6F5D"/>
    <w:rsid w:val="14466AB9"/>
    <w:rsid w:val="1468728B"/>
    <w:rsid w:val="147A49D6"/>
    <w:rsid w:val="14824848"/>
    <w:rsid w:val="1491CB5E"/>
    <w:rsid w:val="14961488"/>
    <w:rsid w:val="14977960"/>
    <w:rsid w:val="149B6E6E"/>
    <w:rsid w:val="14A38A33"/>
    <w:rsid w:val="14A3D739"/>
    <w:rsid w:val="14A7ADA9"/>
    <w:rsid w:val="14AADE10"/>
    <w:rsid w:val="14B1E60A"/>
    <w:rsid w:val="14B1E7E2"/>
    <w:rsid w:val="14BB5466"/>
    <w:rsid w:val="14C42351"/>
    <w:rsid w:val="14CF5624"/>
    <w:rsid w:val="14CFCD5C"/>
    <w:rsid w:val="14D18F2D"/>
    <w:rsid w:val="14D2C52C"/>
    <w:rsid w:val="14D3B248"/>
    <w:rsid w:val="14DEA6CC"/>
    <w:rsid w:val="14F4F7AA"/>
    <w:rsid w:val="14F8D487"/>
    <w:rsid w:val="1506C071"/>
    <w:rsid w:val="151FAA40"/>
    <w:rsid w:val="152E8A59"/>
    <w:rsid w:val="1539EF12"/>
    <w:rsid w:val="15415708"/>
    <w:rsid w:val="155FA9AC"/>
    <w:rsid w:val="15619AD2"/>
    <w:rsid w:val="1562A99C"/>
    <w:rsid w:val="1566F38F"/>
    <w:rsid w:val="1569C2AE"/>
    <w:rsid w:val="15755865"/>
    <w:rsid w:val="15927BF3"/>
    <w:rsid w:val="159DC075"/>
    <w:rsid w:val="15A076D0"/>
    <w:rsid w:val="15AB9903"/>
    <w:rsid w:val="15B32686"/>
    <w:rsid w:val="15B40AF5"/>
    <w:rsid w:val="15B82992"/>
    <w:rsid w:val="15BF1B6C"/>
    <w:rsid w:val="15C0F8D2"/>
    <w:rsid w:val="15C36C20"/>
    <w:rsid w:val="15EDBCAF"/>
    <w:rsid w:val="15F8A70F"/>
    <w:rsid w:val="1621F1BE"/>
    <w:rsid w:val="162F24C9"/>
    <w:rsid w:val="164721EC"/>
    <w:rsid w:val="164DCBE3"/>
    <w:rsid w:val="165F41F2"/>
    <w:rsid w:val="166C9D4F"/>
    <w:rsid w:val="168338EB"/>
    <w:rsid w:val="16851FFE"/>
    <w:rsid w:val="16898D52"/>
    <w:rsid w:val="168FD90D"/>
    <w:rsid w:val="16967FBD"/>
    <w:rsid w:val="1696F5AF"/>
    <w:rsid w:val="169ECE4D"/>
    <w:rsid w:val="16A20007"/>
    <w:rsid w:val="16C6B7C1"/>
    <w:rsid w:val="16E13DB3"/>
    <w:rsid w:val="16EF46B5"/>
    <w:rsid w:val="16F8A253"/>
    <w:rsid w:val="16FC1ACD"/>
    <w:rsid w:val="1702C69F"/>
    <w:rsid w:val="170522EB"/>
    <w:rsid w:val="172E9187"/>
    <w:rsid w:val="17623B75"/>
    <w:rsid w:val="176DE763"/>
    <w:rsid w:val="17746B6F"/>
    <w:rsid w:val="17833D58"/>
    <w:rsid w:val="179F4F81"/>
    <w:rsid w:val="17A11356"/>
    <w:rsid w:val="17AD38AF"/>
    <w:rsid w:val="17ADAD1F"/>
    <w:rsid w:val="17B0253D"/>
    <w:rsid w:val="17B104A7"/>
    <w:rsid w:val="17C42A24"/>
    <w:rsid w:val="17CA33BF"/>
    <w:rsid w:val="17CBFEB4"/>
    <w:rsid w:val="17D2E29A"/>
    <w:rsid w:val="1806F6E6"/>
    <w:rsid w:val="1815DDDA"/>
    <w:rsid w:val="1849843B"/>
    <w:rsid w:val="1850844B"/>
    <w:rsid w:val="1851B0FC"/>
    <w:rsid w:val="185E276C"/>
    <w:rsid w:val="1865B922"/>
    <w:rsid w:val="187B714A"/>
    <w:rsid w:val="187FCCB2"/>
    <w:rsid w:val="18828AC3"/>
    <w:rsid w:val="18A334B3"/>
    <w:rsid w:val="18B6F47B"/>
    <w:rsid w:val="18BB98D2"/>
    <w:rsid w:val="18CECFC4"/>
    <w:rsid w:val="192D61C9"/>
    <w:rsid w:val="192F4E6C"/>
    <w:rsid w:val="1932B938"/>
    <w:rsid w:val="1939DACA"/>
    <w:rsid w:val="1950941B"/>
    <w:rsid w:val="196C4312"/>
    <w:rsid w:val="197337F5"/>
    <w:rsid w:val="1996E2B4"/>
    <w:rsid w:val="19A2C747"/>
    <w:rsid w:val="19BE68E7"/>
    <w:rsid w:val="19FEE8D7"/>
    <w:rsid w:val="1A165882"/>
    <w:rsid w:val="1A2F6425"/>
    <w:rsid w:val="1A31E671"/>
    <w:rsid w:val="1A357E74"/>
    <w:rsid w:val="1A6632C1"/>
    <w:rsid w:val="1A85FF60"/>
    <w:rsid w:val="1A8B2FE3"/>
    <w:rsid w:val="1ABDA6E0"/>
    <w:rsid w:val="1ADA110A"/>
    <w:rsid w:val="1ADE82BF"/>
    <w:rsid w:val="1AE12440"/>
    <w:rsid w:val="1AE5B725"/>
    <w:rsid w:val="1AE79603"/>
    <w:rsid w:val="1B0CC743"/>
    <w:rsid w:val="1B0F9BF3"/>
    <w:rsid w:val="1B106C5B"/>
    <w:rsid w:val="1B2C6D68"/>
    <w:rsid w:val="1B341652"/>
    <w:rsid w:val="1B3659E7"/>
    <w:rsid w:val="1B3AB47F"/>
    <w:rsid w:val="1B4E7FB0"/>
    <w:rsid w:val="1B4EC66D"/>
    <w:rsid w:val="1B5215CB"/>
    <w:rsid w:val="1B56E177"/>
    <w:rsid w:val="1B57A21E"/>
    <w:rsid w:val="1B62D0C1"/>
    <w:rsid w:val="1B925143"/>
    <w:rsid w:val="1BA9203F"/>
    <w:rsid w:val="1BA9B65F"/>
    <w:rsid w:val="1BB35F70"/>
    <w:rsid w:val="1BF881E4"/>
    <w:rsid w:val="1BFA4C5B"/>
    <w:rsid w:val="1C23A30F"/>
    <w:rsid w:val="1C2A147E"/>
    <w:rsid w:val="1C3CC3BD"/>
    <w:rsid w:val="1C51EEC1"/>
    <w:rsid w:val="1C540447"/>
    <w:rsid w:val="1C60933F"/>
    <w:rsid w:val="1C661F8C"/>
    <w:rsid w:val="1C9CB995"/>
    <w:rsid w:val="1CA3BEC0"/>
    <w:rsid w:val="1CA3E3D4"/>
    <w:rsid w:val="1CEA2807"/>
    <w:rsid w:val="1CED19AA"/>
    <w:rsid w:val="1D08C835"/>
    <w:rsid w:val="1D132A70"/>
    <w:rsid w:val="1D14BC7E"/>
    <w:rsid w:val="1D15F38D"/>
    <w:rsid w:val="1D15FED3"/>
    <w:rsid w:val="1D28D022"/>
    <w:rsid w:val="1D3C56CB"/>
    <w:rsid w:val="1D402442"/>
    <w:rsid w:val="1D5732A3"/>
    <w:rsid w:val="1D67D3C6"/>
    <w:rsid w:val="1D6B3879"/>
    <w:rsid w:val="1D6B7F5C"/>
    <w:rsid w:val="1D7BFEBB"/>
    <w:rsid w:val="1D888B54"/>
    <w:rsid w:val="1DA7F685"/>
    <w:rsid w:val="1DAB95EE"/>
    <w:rsid w:val="1DAD0AD7"/>
    <w:rsid w:val="1DB37522"/>
    <w:rsid w:val="1DB508D7"/>
    <w:rsid w:val="1DB73C93"/>
    <w:rsid w:val="1DBCEF85"/>
    <w:rsid w:val="1DCA752F"/>
    <w:rsid w:val="1DCCAAD6"/>
    <w:rsid w:val="1DD3422E"/>
    <w:rsid w:val="1DF92804"/>
    <w:rsid w:val="1DFACF51"/>
    <w:rsid w:val="1E037F4E"/>
    <w:rsid w:val="1E06E77F"/>
    <w:rsid w:val="1E08085C"/>
    <w:rsid w:val="1E0C3794"/>
    <w:rsid w:val="1E0E4191"/>
    <w:rsid w:val="1E1510F4"/>
    <w:rsid w:val="1E16913A"/>
    <w:rsid w:val="1E23454C"/>
    <w:rsid w:val="1E2BEF07"/>
    <w:rsid w:val="1E313DCE"/>
    <w:rsid w:val="1E32C485"/>
    <w:rsid w:val="1E3E1116"/>
    <w:rsid w:val="1E460C23"/>
    <w:rsid w:val="1E4A634C"/>
    <w:rsid w:val="1E6EE98F"/>
    <w:rsid w:val="1E76B17D"/>
    <w:rsid w:val="1E7CA8F2"/>
    <w:rsid w:val="1E8D61F8"/>
    <w:rsid w:val="1E999226"/>
    <w:rsid w:val="1E9D47F3"/>
    <w:rsid w:val="1EA7C66E"/>
    <w:rsid w:val="1EA9A7AE"/>
    <w:rsid w:val="1EBDBA3B"/>
    <w:rsid w:val="1EBFFD25"/>
    <w:rsid w:val="1EC4B519"/>
    <w:rsid w:val="1EC8E878"/>
    <w:rsid w:val="1F02C6EA"/>
    <w:rsid w:val="1F189548"/>
    <w:rsid w:val="1F1B3316"/>
    <w:rsid w:val="1F406F28"/>
    <w:rsid w:val="1F409EB9"/>
    <w:rsid w:val="1F4E3B53"/>
    <w:rsid w:val="1F53DBC9"/>
    <w:rsid w:val="1F6237D2"/>
    <w:rsid w:val="1F6DC045"/>
    <w:rsid w:val="1F773AC3"/>
    <w:rsid w:val="1F7F4B3C"/>
    <w:rsid w:val="1F83CA24"/>
    <w:rsid w:val="1F98D840"/>
    <w:rsid w:val="1F9E8FF0"/>
    <w:rsid w:val="1FB124E2"/>
    <w:rsid w:val="1FB686E6"/>
    <w:rsid w:val="1FC41DFB"/>
    <w:rsid w:val="1FE851C1"/>
    <w:rsid w:val="1FEADF40"/>
    <w:rsid w:val="1FF57CD2"/>
    <w:rsid w:val="2007E5FA"/>
    <w:rsid w:val="200EB520"/>
    <w:rsid w:val="202127A2"/>
    <w:rsid w:val="2021B2AC"/>
    <w:rsid w:val="2024C66A"/>
    <w:rsid w:val="2028B970"/>
    <w:rsid w:val="203D6E56"/>
    <w:rsid w:val="204112C5"/>
    <w:rsid w:val="20594466"/>
    <w:rsid w:val="2062FFD3"/>
    <w:rsid w:val="2073639E"/>
    <w:rsid w:val="20737716"/>
    <w:rsid w:val="207AE462"/>
    <w:rsid w:val="207E73CE"/>
    <w:rsid w:val="20851E57"/>
    <w:rsid w:val="208AD6EC"/>
    <w:rsid w:val="2093220D"/>
    <w:rsid w:val="20AF312C"/>
    <w:rsid w:val="20B2EE9C"/>
    <w:rsid w:val="20B6C875"/>
    <w:rsid w:val="20C06C7B"/>
    <w:rsid w:val="20CAD38C"/>
    <w:rsid w:val="20CB7408"/>
    <w:rsid w:val="20DC365D"/>
    <w:rsid w:val="20F04E88"/>
    <w:rsid w:val="21040E62"/>
    <w:rsid w:val="210DD843"/>
    <w:rsid w:val="211711CC"/>
    <w:rsid w:val="21172B51"/>
    <w:rsid w:val="211D622A"/>
    <w:rsid w:val="21246461"/>
    <w:rsid w:val="21284DAF"/>
    <w:rsid w:val="21382C4D"/>
    <w:rsid w:val="213F084D"/>
    <w:rsid w:val="2140C6B0"/>
    <w:rsid w:val="21659212"/>
    <w:rsid w:val="217A68DE"/>
    <w:rsid w:val="218786E4"/>
    <w:rsid w:val="21917DAF"/>
    <w:rsid w:val="21958D8D"/>
    <w:rsid w:val="21965C4F"/>
    <w:rsid w:val="21A4EB2A"/>
    <w:rsid w:val="21B88004"/>
    <w:rsid w:val="21BB20F2"/>
    <w:rsid w:val="21BBC058"/>
    <w:rsid w:val="21DD5A72"/>
    <w:rsid w:val="21FD538F"/>
    <w:rsid w:val="21FD9019"/>
    <w:rsid w:val="21FF8857"/>
    <w:rsid w:val="22056C76"/>
    <w:rsid w:val="22070DDD"/>
    <w:rsid w:val="2217B9C0"/>
    <w:rsid w:val="222AE658"/>
    <w:rsid w:val="222C0A1B"/>
    <w:rsid w:val="22341D6D"/>
    <w:rsid w:val="2238B7F2"/>
    <w:rsid w:val="224AA2B1"/>
    <w:rsid w:val="2261D1D5"/>
    <w:rsid w:val="2274B20E"/>
    <w:rsid w:val="227578D7"/>
    <w:rsid w:val="227A12C0"/>
    <w:rsid w:val="229B092F"/>
    <w:rsid w:val="22AB458A"/>
    <w:rsid w:val="22E88637"/>
    <w:rsid w:val="22F007F9"/>
    <w:rsid w:val="22F53E81"/>
    <w:rsid w:val="232000AF"/>
    <w:rsid w:val="23379906"/>
    <w:rsid w:val="2349C107"/>
    <w:rsid w:val="234E6303"/>
    <w:rsid w:val="235FE686"/>
    <w:rsid w:val="236EFB25"/>
    <w:rsid w:val="23824A06"/>
    <w:rsid w:val="23935D5C"/>
    <w:rsid w:val="23A1BFC4"/>
    <w:rsid w:val="23B418BB"/>
    <w:rsid w:val="23B4728F"/>
    <w:rsid w:val="23BCD326"/>
    <w:rsid w:val="23CBB803"/>
    <w:rsid w:val="23CC9F73"/>
    <w:rsid w:val="23CF7CF7"/>
    <w:rsid w:val="23E07C24"/>
    <w:rsid w:val="23E3E994"/>
    <w:rsid w:val="23EEC479"/>
    <w:rsid w:val="240BC598"/>
    <w:rsid w:val="241DCD67"/>
    <w:rsid w:val="243349AF"/>
    <w:rsid w:val="243CD8FE"/>
    <w:rsid w:val="243EBDBC"/>
    <w:rsid w:val="244B659E"/>
    <w:rsid w:val="2459F2E3"/>
    <w:rsid w:val="245A6F25"/>
    <w:rsid w:val="24686C04"/>
    <w:rsid w:val="246ACD88"/>
    <w:rsid w:val="246E2EE0"/>
    <w:rsid w:val="247D7C2D"/>
    <w:rsid w:val="24871BFB"/>
    <w:rsid w:val="248C0BF0"/>
    <w:rsid w:val="2496B635"/>
    <w:rsid w:val="24CCC917"/>
    <w:rsid w:val="24D43230"/>
    <w:rsid w:val="24E80E47"/>
    <w:rsid w:val="2514EA5B"/>
    <w:rsid w:val="2517AB48"/>
    <w:rsid w:val="2530F8F5"/>
    <w:rsid w:val="253F4973"/>
    <w:rsid w:val="256FBD07"/>
    <w:rsid w:val="2573A267"/>
    <w:rsid w:val="257864E2"/>
    <w:rsid w:val="25D14CA9"/>
    <w:rsid w:val="25D47A78"/>
    <w:rsid w:val="25F8332D"/>
    <w:rsid w:val="25F9F53A"/>
    <w:rsid w:val="2601C342"/>
    <w:rsid w:val="26049F45"/>
    <w:rsid w:val="26162BC2"/>
    <w:rsid w:val="26370B94"/>
    <w:rsid w:val="26375E43"/>
    <w:rsid w:val="2651A8FE"/>
    <w:rsid w:val="2659AE45"/>
    <w:rsid w:val="26604A70"/>
    <w:rsid w:val="266516D0"/>
    <w:rsid w:val="267C3915"/>
    <w:rsid w:val="269533E0"/>
    <w:rsid w:val="269CE15C"/>
    <w:rsid w:val="26AB9B5F"/>
    <w:rsid w:val="26ACB8DD"/>
    <w:rsid w:val="26AD5E2D"/>
    <w:rsid w:val="26B9BCCC"/>
    <w:rsid w:val="26C3642F"/>
    <w:rsid w:val="26C680C5"/>
    <w:rsid w:val="26DAA97E"/>
    <w:rsid w:val="26E9B943"/>
    <w:rsid w:val="26EEC042"/>
    <w:rsid w:val="270A05B4"/>
    <w:rsid w:val="271C549F"/>
    <w:rsid w:val="271C72DE"/>
    <w:rsid w:val="271FA11D"/>
    <w:rsid w:val="2734DBC9"/>
    <w:rsid w:val="273BA31F"/>
    <w:rsid w:val="27448666"/>
    <w:rsid w:val="27528E1C"/>
    <w:rsid w:val="27803604"/>
    <w:rsid w:val="2784EEDA"/>
    <w:rsid w:val="27920083"/>
    <w:rsid w:val="27933F4D"/>
    <w:rsid w:val="27C3A0B9"/>
    <w:rsid w:val="27C8FA21"/>
    <w:rsid w:val="27D4B032"/>
    <w:rsid w:val="27D50AF4"/>
    <w:rsid w:val="27D9D11D"/>
    <w:rsid w:val="27EF5D56"/>
    <w:rsid w:val="27FFEA6D"/>
    <w:rsid w:val="2820FCE7"/>
    <w:rsid w:val="2833C62C"/>
    <w:rsid w:val="2866EBAE"/>
    <w:rsid w:val="287C3BFC"/>
    <w:rsid w:val="2897D066"/>
    <w:rsid w:val="28A426B5"/>
    <w:rsid w:val="28B74DC9"/>
    <w:rsid w:val="28CA995F"/>
    <w:rsid w:val="28CB7912"/>
    <w:rsid w:val="28E24B27"/>
    <w:rsid w:val="28E5DB5E"/>
    <w:rsid w:val="28F28A12"/>
    <w:rsid w:val="29055184"/>
    <w:rsid w:val="291DE135"/>
    <w:rsid w:val="29257964"/>
    <w:rsid w:val="292C41DF"/>
    <w:rsid w:val="294C249A"/>
    <w:rsid w:val="29548DAE"/>
    <w:rsid w:val="29673703"/>
    <w:rsid w:val="296B2471"/>
    <w:rsid w:val="29931EFD"/>
    <w:rsid w:val="29A359EB"/>
    <w:rsid w:val="29A7B03A"/>
    <w:rsid w:val="29AFE307"/>
    <w:rsid w:val="29B6F2D3"/>
    <w:rsid w:val="29B74948"/>
    <w:rsid w:val="29BE2A3E"/>
    <w:rsid w:val="29BEE7CD"/>
    <w:rsid w:val="29CD121B"/>
    <w:rsid w:val="29E4E813"/>
    <w:rsid w:val="29E60557"/>
    <w:rsid w:val="29E94C51"/>
    <w:rsid w:val="29EF67DB"/>
    <w:rsid w:val="29F15634"/>
    <w:rsid w:val="29F6A554"/>
    <w:rsid w:val="2A16DA14"/>
    <w:rsid w:val="2A30BD2C"/>
    <w:rsid w:val="2A350E09"/>
    <w:rsid w:val="2A371DCB"/>
    <w:rsid w:val="2A3D9BBB"/>
    <w:rsid w:val="2A55F156"/>
    <w:rsid w:val="2A5A3A35"/>
    <w:rsid w:val="2A6B360A"/>
    <w:rsid w:val="2A8511FA"/>
    <w:rsid w:val="2AA489B6"/>
    <w:rsid w:val="2AA9A6E0"/>
    <w:rsid w:val="2AFF6C06"/>
    <w:rsid w:val="2B19EC73"/>
    <w:rsid w:val="2B1BA2F4"/>
    <w:rsid w:val="2B1DD47F"/>
    <w:rsid w:val="2B4FAA38"/>
    <w:rsid w:val="2B52019A"/>
    <w:rsid w:val="2B565D27"/>
    <w:rsid w:val="2B7F8C72"/>
    <w:rsid w:val="2BB69627"/>
    <w:rsid w:val="2BC441ED"/>
    <w:rsid w:val="2BC6BC56"/>
    <w:rsid w:val="2BC80DF7"/>
    <w:rsid w:val="2BCF59F9"/>
    <w:rsid w:val="2BE3DB77"/>
    <w:rsid w:val="2C0572FD"/>
    <w:rsid w:val="2C3D1396"/>
    <w:rsid w:val="2C521780"/>
    <w:rsid w:val="2C7AF05B"/>
    <w:rsid w:val="2C8288E1"/>
    <w:rsid w:val="2C89E5C9"/>
    <w:rsid w:val="2C8A7415"/>
    <w:rsid w:val="2C8FECF0"/>
    <w:rsid w:val="2C934180"/>
    <w:rsid w:val="2CBED62D"/>
    <w:rsid w:val="2CBFAF55"/>
    <w:rsid w:val="2CC44F75"/>
    <w:rsid w:val="2CD0C196"/>
    <w:rsid w:val="2CD76E4C"/>
    <w:rsid w:val="2CDD9D7A"/>
    <w:rsid w:val="2CDED27D"/>
    <w:rsid w:val="2CE6128D"/>
    <w:rsid w:val="2CEF8C65"/>
    <w:rsid w:val="2CFD9E27"/>
    <w:rsid w:val="2D182820"/>
    <w:rsid w:val="2D252132"/>
    <w:rsid w:val="2D275018"/>
    <w:rsid w:val="2D29FB92"/>
    <w:rsid w:val="2D3330E6"/>
    <w:rsid w:val="2D3522BE"/>
    <w:rsid w:val="2D3E13FE"/>
    <w:rsid w:val="2D46FEF8"/>
    <w:rsid w:val="2D5378FE"/>
    <w:rsid w:val="2D638B0E"/>
    <w:rsid w:val="2D6A7AED"/>
    <w:rsid w:val="2D6FB6E8"/>
    <w:rsid w:val="2D8CB6DF"/>
    <w:rsid w:val="2D975174"/>
    <w:rsid w:val="2D989BBE"/>
    <w:rsid w:val="2DB7E0C1"/>
    <w:rsid w:val="2DC1EB44"/>
    <w:rsid w:val="2DC9C913"/>
    <w:rsid w:val="2DCF30D9"/>
    <w:rsid w:val="2DD11520"/>
    <w:rsid w:val="2DD8301E"/>
    <w:rsid w:val="2DE0B2FE"/>
    <w:rsid w:val="2DECC3B7"/>
    <w:rsid w:val="2DED7079"/>
    <w:rsid w:val="2DF7D3B0"/>
    <w:rsid w:val="2DFDE202"/>
    <w:rsid w:val="2E0BD072"/>
    <w:rsid w:val="2E1C84A0"/>
    <w:rsid w:val="2E1F66BA"/>
    <w:rsid w:val="2E223C6D"/>
    <w:rsid w:val="2E267ECE"/>
    <w:rsid w:val="2E2B24B9"/>
    <w:rsid w:val="2E2E0295"/>
    <w:rsid w:val="2E30E2A2"/>
    <w:rsid w:val="2E33EA9C"/>
    <w:rsid w:val="2E3405B3"/>
    <w:rsid w:val="2E4739A7"/>
    <w:rsid w:val="2E58A260"/>
    <w:rsid w:val="2E6B02A2"/>
    <w:rsid w:val="2E6C466D"/>
    <w:rsid w:val="2E7AD6D5"/>
    <w:rsid w:val="2E9B0CA4"/>
    <w:rsid w:val="2E9C3B48"/>
    <w:rsid w:val="2EB71A0D"/>
    <w:rsid w:val="2EB9D9DD"/>
    <w:rsid w:val="2EBCD01B"/>
    <w:rsid w:val="2EC6B782"/>
    <w:rsid w:val="2EC8830B"/>
    <w:rsid w:val="2ECBD6F5"/>
    <w:rsid w:val="2ED24C4E"/>
    <w:rsid w:val="2ED3DE79"/>
    <w:rsid w:val="2EE5F8E5"/>
    <w:rsid w:val="2EE74872"/>
    <w:rsid w:val="2EF7944B"/>
    <w:rsid w:val="2F0C2230"/>
    <w:rsid w:val="2F0DBB8D"/>
    <w:rsid w:val="2F1FBBBB"/>
    <w:rsid w:val="2F33C8B1"/>
    <w:rsid w:val="2F3D0DFE"/>
    <w:rsid w:val="2F567664"/>
    <w:rsid w:val="2F5E78FF"/>
    <w:rsid w:val="2F8A48D9"/>
    <w:rsid w:val="2F9E2C70"/>
    <w:rsid w:val="2FA076FF"/>
    <w:rsid w:val="2FBFD587"/>
    <w:rsid w:val="2FC9D2F6"/>
    <w:rsid w:val="2FE721C2"/>
    <w:rsid w:val="2FF1A395"/>
    <w:rsid w:val="3009BF2B"/>
    <w:rsid w:val="3039303B"/>
    <w:rsid w:val="30469DF1"/>
    <w:rsid w:val="304D4453"/>
    <w:rsid w:val="306F28FB"/>
    <w:rsid w:val="308D4E59"/>
    <w:rsid w:val="30932321"/>
    <w:rsid w:val="309445B2"/>
    <w:rsid w:val="30B2E662"/>
    <w:rsid w:val="30B3D7A6"/>
    <w:rsid w:val="30B8A88A"/>
    <w:rsid w:val="30BFCE18"/>
    <w:rsid w:val="30C25F13"/>
    <w:rsid w:val="30CD2787"/>
    <w:rsid w:val="30CF7421"/>
    <w:rsid w:val="30D93719"/>
    <w:rsid w:val="30DEEBC2"/>
    <w:rsid w:val="30E31A3C"/>
    <w:rsid w:val="30E5FD44"/>
    <w:rsid w:val="30EB67BB"/>
    <w:rsid w:val="30EC0C4F"/>
    <w:rsid w:val="31445FBB"/>
    <w:rsid w:val="31465E04"/>
    <w:rsid w:val="315FAB4F"/>
    <w:rsid w:val="31883DE8"/>
    <w:rsid w:val="319042F9"/>
    <w:rsid w:val="31B7F5F7"/>
    <w:rsid w:val="31BAD81F"/>
    <w:rsid w:val="31BCF903"/>
    <w:rsid w:val="31BF1D2F"/>
    <w:rsid w:val="31E0C347"/>
    <w:rsid w:val="31E38CD5"/>
    <w:rsid w:val="31F5033D"/>
    <w:rsid w:val="3209194E"/>
    <w:rsid w:val="321B5A17"/>
    <w:rsid w:val="321EA1ED"/>
    <w:rsid w:val="32244B58"/>
    <w:rsid w:val="3232CBC0"/>
    <w:rsid w:val="32386153"/>
    <w:rsid w:val="325F04A5"/>
    <w:rsid w:val="3260E25B"/>
    <w:rsid w:val="326A9641"/>
    <w:rsid w:val="3275346D"/>
    <w:rsid w:val="327B2B18"/>
    <w:rsid w:val="327DA8E9"/>
    <w:rsid w:val="32A01246"/>
    <w:rsid w:val="32BDC654"/>
    <w:rsid w:val="32DAF6FF"/>
    <w:rsid w:val="32E9A61E"/>
    <w:rsid w:val="330787D2"/>
    <w:rsid w:val="331F635E"/>
    <w:rsid w:val="332535DC"/>
    <w:rsid w:val="332FCCDF"/>
    <w:rsid w:val="33310FA5"/>
    <w:rsid w:val="33356A23"/>
    <w:rsid w:val="333AA383"/>
    <w:rsid w:val="33457429"/>
    <w:rsid w:val="3355FDFD"/>
    <w:rsid w:val="335943E8"/>
    <w:rsid w:val="335F21DB"/>
    <w:rsid w:val="3362EC4B"/>
    <w:rsid w:val="337B4454"/>
    <w:rsid w:val="338409B0"/>
    <w:rsid w:val="338822DA"/>
    <w:rsid w:val="33E9AB42"/>
    <w:rsid w:val="33F73378"/>
    <w:rsid w:val="340156ED"/>
    <w:rsid w:val="340D88FB"/>
    <w:rsid w:val="341F0FD3"/>
    <w:rsid w:val="3424D8D3"/>
    <w:rsid w:val="3432BE2E"/>
    <w:rsid w:val="344AD171"/>
    <w:rsid w:val="344B008D"/>
    <w:rsid w:val="3454A3B7"/>
    <w:rsid w:val="3459A318"/>
    <w:rsid w:val="347016AD"/>
    <w:rsid w:val="34841BBC"/>
    <w:rsid w:val="34904196"/>
    <w:rsid w:val="349BBCDF"/>
    <w:rsid w:val="34C25256"/>
    <w:rsid w:val="34CA211B"/>
    <w:rsid w:val="34D4D3C7"/>
    <w:rsid w:val="34F30F8A"/>
    <w:rsid w:val="3525A56C"/>
    <w:rsid w:val="353CA2EA"/>
    <w:rsid w:val="358FA968"/>
    <w:rsid w:val="35958275"/>
    <w:rsid w:val="35AF5398"/>
    <w:rsid w:val="35C273E2"/>
    <w:rsid w:val="35C472B5"/>
    <w:rsid w:val="35D92471"/>
    <w:rsid w:val="35F76AB2"/>
    <w:rsid w:val="35FF77F2"/>
    <w:rsid w:val="3601B487"/>
    <w:rsid w:val="360571D1"/>
    <w:rsid w:val="36154661"/>
    <w:rsid w:val="361CAF4D"/>
    <w:rsid w:val="36208CBB"/>
    <w:rsid w:val="3622A829"/>
    <w:rsid w:val="363AA09B"/>
    <w:rsid w:val="364467B5"/>
    <w:rsid w:val="364FCCE9"/>
    <w:rsid w:val="365512FB"/>
    <w:rsid w:val="3661D2BC"/>
    <w:rsid w:val="3663C37B"/>
    <w:rsid w:val="367CED65"/>
    <w:rsid w:val="36848D34"/>
    <w:rsid w:val="368B6EEE"/>
    <w:rsid w:val="36912611"/>
    <w:rsid w:val="369D4003"/>
    <w:rsid w:val="36C3DA5B"/>
    <w:rsid w:val="36CFEE0B"/>
    <w:rsid w:val="36DB1D3B"/>
    <w:rsid w:val="36E43CD0"/>
    <w:rsid w:val="36E6EE6F"/>
    <w:rsid w:val="36F44DE2"/>
    <w:rsid w:val="370BA9FF"/>
    <w:rsid w:val="37132C66"/>
    <w:rsid w:val="371708A9"/>
    <w:rsid w:val="372309FD"/>
    <w:rsid w:val="37310E8F"/>
    <w:rsid w:val="3746EFE4"/>
    <w:rsid w:val="374851A5"/>
    <w:rsid w:val="375076B0"/>
    <w:rsid w:val="3758CA8C"/>
    <w:rsid w:val="375B24EE"/>
    <w:rsid w:val="376B43DD"/>
    <w:rsid w:val="37A04194"/>
    <w:rsid w:val="37C43E18"/>
    <w:rsid w:val="37ED0BC1"/>
    <w:rsid w:val="37F0FF13"/>
    <w:rsid w:val="37FF252A"/>
    <w:rsid w:val="381EB05D"/>
    <w:rsid w:val="381FA163"/>
    <w:rsid w:val="38445444"/>
    <w:rsid w:val="385F0FAD"/>
    <w:rsid w:val="38680FAA"/>
    <w:rsid w:val="3868A9E0"/>
    <w:rsid w:val="38750E3B"/>
    <w:rsid w:val="38A37E38"/>
    <w:rsid w:val="38A83131"/>
    <w:rsid w:val="38A8B77F"/>
    <w:rsid w:val="38C381AE"/>
    <w:rsid w:val="38CA6BEA"/>
    <w:rsid w:val="38ED5011"/>
    <w:rsid w:val="3915629F"/>
    <w:rsid w:val="391C0125"/>
    <w:rsid w:val="39217E3A"/>
    <w:rsid w:val="39253C6D"/>
    <w:rsid w:val="39395314"/>
    <w:rsid w:val="393C1C46"/>
    <w:rsid w:val="394A5155"/>
    <w:rsid w:val="396710FE"/>
    <w:rsid w:val="3977B0C6"/>
    <w:rsid w:val="397B9667"/>
    <w:rsid w:val="3999FC6E"/>
    <w:rsid w:val="39AC2493"/>
    <w:rsid w:val="39BAAF77"/>
    <w:rsid w:val="39BF052C"/>
    <w:rsid w:val="39D17706"/>
    <w:rsid w:val="39E5D60D"/>
    <w:rsid w:val="39E6399F"/>
    <w:rsid w:val="39F3CDA6"/>
    <w:rsid w:val="39FB17C5"/>
    <w:rsid w:val="39FB4447"/>
    <w:rsid w:val="3A036F8E"/>
    <w:rsid w:val="3A0AAF01"/>
    <w:rsid w:val="3A2C4DE0"/>
    <w:rsid w:val="3A3731F4"/>
    <w:rsid w:val="3A3BFBE5"/>
    <w:rsid w:val="3A4663A8"/>
    <w:rsid w:val="3A504126"/>
    <w:rsid w:val="3A5D81CF"/>
    <w:rsid w:val="3A6A6036"/>
    <w:rsid w:val="3A936897"/>
    <w:rsid w:val="3AA66D41"/>
    <w:rsid w:val="3AA6CD5A"/>
    <w:rsid w:val="3ADC393A"/>
    <w:rsid w:val="3AFB55E4"/>
    <w:rsid w:val="3B06AD3E"/>
    <w:rsid w:val="3B077C14"/>
    <w:rsid w:val="3B0D5639"/>
    <w:rsid w:val="3B1247D2"/>
    <w:rsid w:val="3B1CC925"/>
    <w:rsid w:val="3B457A8A"/>
    <w:rsid w:val="3B49C6A7"/>
    <w:rsid w:val="3B4C412D"/>
    <w:rsid w:val="3B568E88"/>
    <w:rsid w:val="3B57A2AF"/>
    <w:rsid w:val="3B71E091"/>
    <w:rsid w:val="3B7AEC65"/>
    <w:rsid w:val="3B808BB5"/>
    <w:rsid w:val="3B99F446"/>
    <w:rsid w:val="3BA1F1B5"/>
    <w:rsid w:val="3BA34626"/>
    <w:rsid w:val="3BA42DF5"/>
    <w:rsid w:val="3BBBE42E"/>
    <w:rsid w:val="3BC0D9D1"/>
    <w:rsid w:val="3BDAB554"/>
    <w:rsid w:val="3BE3FB8D"/>
    <w:rsid w:val="3C013F57"/>
    <w:rsid w:val="3C06152A"/>
    <w:rsid w:val="3C0820CF"/>
    <w:rsid w:val="3C62A476"/>
    <w:rsid w:val="3C67D297"/>
    <w:rsid w:val="3C6B15D4"/>
    <w:rsid w:val="3C6D7C74"/>
    <w:rsid w:val="3C742A35"/>
    <w:rsid w:val="3C7547F9"/>
    <w:rsid w:val="3C82D5C9"/>
    <w:rsid w:val="3C87853D"/>
    <w:rsid w:val="3C9F5671"/>
    <w:rsid w:val="3CAFFACB"/>
    <w:rsid w:val="3CB0515A"/>
    <w:rsid w:val="3CC51FE6"/>
    <w:rsid w:val="3CC98433"/>
    <w:rsid w:val="3CCBBE13"/>
    <w:rsid w:val="3CF58C40"/>
    <w:rsid w:val="3CFF85E2"/>
    <w:rsid w:val="3D10F8E6"/>
    <w:rsid w:val="3D1CF672"/>
    <w:rsid w:val="3D1F53F3"/>
    <w:rsid w:val="3D1FC8BA"/>
    <w:rsid w:val="3D35CE03"/>
    <w:rsid w:val="3D63792C"/>
    <w:rsid w:val="3D79D8DA"/>
    <w:rsid w:val="3D7BE385"/>
    <w:rsid w:val="3D859B6F"/>
    <w:rsid w:val="3D87C8DF"/>
    <w:rsid w:val="3D93978D"/>
    <w:rsid w:val="3DA99953"/>
    <w:rsid w:val="3DADE3CA"/>
    <w:rsid w:val="3DB5B183"/>
    <w:rsid w:val="3DC97A43"/>
    <w:rsid w:val="3DCBBB19"/>
    <w:rsid w:val="3DD3A94F"/>
    <w:rsid w:val="3DD936EE"/>
    <w:rsid w:val="3DECF0AB"/>
    <w:rsid w:val="3DF4DD95"/>
    <w:rsid w:val="3DFA5822"/>
    <w:rsid w:val="3DFE506A"/>
    <w:rsid w:val="3E1AEF61"/>
    <w:rsid w:val="3E27033B"/>
    <w:rsid w:val="3E3CBA69"/>
    <w:rsid w:val="3E42EC51"/>
    <w:rsid w:val="3E5B6454"/>
    <w:rsid w:val="3E6A1B9C"/>
    <w:rsid w:val="3E6DA737"/>
    <w:rsid w:val="3E87FF4A"/>
    <w:rsid w:val="3E880B47"/>
    <w:rsid w:val="3E8CCFC1"/>
    <w:rsid w:val="3EA599C5"/>
    <w:rsid w:val="3EAF9AA0"/>
    <w:rsid w:val="3EB4E4AC"/>
    <w:rsid w:val="3EC5E08F"/>
    <w:rsid w:val="3ED63EB7"/>
    <w:rsid w:val="3ED877F5"/>
    <w:rsid w:val="3EDFD141"/>
    <w:rsid w:val="3EE2F452"/>
    <w:rsid w:val="3F08EF21"/>
    <w:rsid w:val="3F0F3093"/>
    <w:rsid w:val="3F150E88"/>
    <w:rsid w:val="3F3999EE"/>
    <w:rsid w:val="3F39C55A"/>
    <w:rsid w:val="3F3DE7B9"/>
    <w:rsid w:val="3F3FCC81"/>
    <w:rsid w:val="3F4DBA38"/>
    <w:rsid w:val="3F52CF47"/>
    <w:rsid w:val="3F666494"/>
    <w:rsid w:val="3F872DA8"/>
    <w:rsid w:val="3F8B89F2"/>
    <w:rsid w:val="3F971B8A"/>
    <w:rsid w:val="3FBDC49D"/>
    <w:rsid w:val="3FBDFB33"/>
    <w:rsid w:val="3FBF7950"/>
    <w:rsid w:val="3FC8443B"/>
    <w:rsid w:val="3FE71B62"/>
    <w:rsid w:val="40268C64"/>
    <w:rsid w:val="40332308"/>
    <w:rsid w:val="40346C46"/>
    <w:rsid w:val="403D56E1"/>
    <w:rsid w:val="403E7438"/>
    <w:rsid w:val="4045D417"/>
    <w:rsid w:val="404D4CA0"/>
    <w:rsid w:val="408CFD98"/>
    <w:rsid w:val="40920D3F"/>
    <w:rsid w:val="4096EB1B"/>
    <w:rsid w:val="409A689A"/>
    <w:rsid w:val="40AD2043"/>
    <w:rsid w:val="40C113BF"/>
    <w:rsid w:val="40C85077"/>
    <w:rsid w:val="40EB7A86"/>
    <w:rsid w:val="40EB8DB1"/>
    <w:rsid w:val="40EE788A"/>
    <w:rsid w:val="40F176AC"/>
    <w:rsid w:val="40F83C5F"/>
    <w:rsid w:val="41090C84"/>
    <w:rsid w:val="4120DA37"/>
    <w:rsid w:val="4125CD98"/>
    <w:rsid w:val="414026FB"/>
    <w:rsid w:val="416B4DC4"/>
    <w:rsid w:val="41748C09"/>
    <w:rsid w:val="41887BF0"/>
    <w:rsid w:val="4192F853"/>
    <w:rsid w:val="419C40A1"/>
    <w:rsid w:val="41BD0DA8"/>
    <w:rsid w:val="41C0AD81"/>
    <w:rsid w:val="41C26842"/>
    <w:rsid w:val="41C26F2D"/>
    <w:rsid w:val="41C836A1"/>
    <w:rsid w:val="41CF4515"/>
    <w:rsid w:val="41D24505"/>
    <w:rsid w:val="41DD33C2"/>
    <w:rsid w:val="41FC2D67"/>
    <w:rsid w:val="420A8911"/>
    <w:rsid w:val="421BA1A7"/>
    <w:rsid w:val="421E3489"/>
    <w:rsid w:val="424699F7"/>
    <w:rsid w:val="4249F1A9"/>
    <w:rsid w:val="42519200"/>
    <w:rsid w:val="42540F2A"/>
    <w:rsid w:val="42589B7B"/>
    <w:rsid w:val="426CB1EB"/>
    <w:rsid w:val="429361C4"/>
    <w:rsid w:val="42A410B6"/>
    <w:rsid w:val="42A5051E"/>
    <w:rsid w:val="42A9B324"/>
    <w:rsid w:val="42AA1298"/>
    <w:rsid w:val="42B3AD5E"/>
    <w:rsid w:val="42C8D279"/>
    <w:rsid w:val="42D086B4"/>
    <w:rsid w:val="42D18C9B"/>
    <w:rsid w:val="42D3106F"/>
    <w:rsid w:val="42D88C03"/>
    <w:rsid w:val="42DFE689"/>
    <w:rsid w:val="42F9EC9D"/>
    <w:rsid w:val="42FC1C98"/>
    <w:rsid w:val="43017445"/>
    <w:rsid w:val="4304E69A"/>
    <w:rsid w:val="4307DD68"/>
    <w:rsid w:val="431A8FFC"/>
    <w:rsid w:val="43304C4F"/>
    <w:rsid w:val="4335530C"/>
    <w:rsid w:val="43376412"/>
    <w:rsid w:val="4337EE7C"/>
    <w:rsid w:val="4338BFF8"/>
    <w:rsid w:val="43394F00"/>
    <w:rsid w:val="4356E6F4"/>
    <w:rsid w:val="4363A053"/>
    <w:rsid w:val="43758F1B"/>
    <w:rsid w:val="43792574"/>
    <w:rsid w:val="437FD7C0"/>
    <w:rsid w:val="43991012"/>
    <w:rsid w:val="43A6230A"/>
    <w:rsid w:val="43B8DBA8"/>
    <w:rsid w:val="43BC209E"/>
    <w:rsid w:val="43BFA4F0"/>
    <w:rsid w:val="43C090AF"/>
    <w:rsid w:val="43D78C52"/>
    <w:rsid w:val="43DE5700"/>
    <w:rsid w:val="43E42D24"/>
    <w:rsid w:val="43EB0B71"/>
    <w:rsid w:val="43EE3406"/>
    <w:rsid w:val="43F2D603"/>
    <w:rsid w:val="43F80007"/>
    <w:rsid w:val="4407916E"/>
    <w:rsid w:val="44079459"/>
    <w:rsid w:val="441A626C"/>
    <w:rsid w:val="4423D077"/>
    <w:rsid w:val="4426EAD5"/>
    <w:rsid w:val="442D5A21"/>
    <w:rsid w:val="44461271"/>
    <w:rsid w:val="444A39CC"/>
    <w:rsid w:val="44719ECA"/>
    <w:rsid w:val="4475BD25"/>
    <w:rsid w:val="447CA223"/>
    <w:rsid w:val="4495F4BB"/>
    <w:rsid w:val="449C1016"/>
    <w:rsid w:val="44B99A1F"/>
    <w:rsid w:val="44BC9793"/>
    <w:rsid w:val="44D07D98"/>
    <w:rsid w:val="44DA44EF"/>
    <w:rsid w:val="44FC76EE"/>
    <w:rsid w:val="450569B1"/>
    <w:rsid w:val="4507FC8C"/>
    <w:rsid w:val="450DA1FB"/>
    <w:rsid w:val="450F25E5"/>
    <w:rsid w:val="45183E24"/>
    <w:rsid w:val="451C3304"/>
    <w:rsid w:val="4535AFF7"/>
    <w:rsid w:val="45463637"/>
    <w:rsid w:val="4570312D"/>
    <w:rsid w:val="4589D8B1"/>
    <w:rsid w:val="45A33E98"/>
    <w:rsid w:val="45C9616C"/>
    <w:rsid w:val="45CBF7A1"/>
    <w:rsid w:val="45DEDE12"/>
    <w:rsid w:val="45E0FF3C"/>
    <w:rsid w:val="45EB5B9C"/>
    <w:rsid w:val="4620F782"/>
    <w:rsid w:val="462200AD"/>
    <w:rsid w:val="462B331C"/>
    <w:rsid w:val="4632EB41"/>
    <w:rsid w:val="463C48BA"/>
    <w:rsid w:val="46522626"/>
    <w:rsid w:val="465291B4"/>
    <w:rsid w:val="46707FE9"/>
    <w:rsid w:val="46832EAF"/>
    <w:rsid w:val="46850E10"/>
    <w:rsid w:val="46879D16"/>
    <w:rsid w:val="469E087B"/>
    <w:rsid w:val="46AA1D5C"/>
    <w:rsid w:val="46BDF7B8"/>
    <w:rsid w:val="46BEE126"/>
    <w:rsid w:val="46E678F1"/>
    <w:rsid w:val="471CA010"/>
    <w:rsid w:val="4722B151"/>
    <w:rsid w:val="473FD691"/>
    <w:rsid w:val="4759E33A"/>
    <w:rsid w:val="4762CB47"/>
    <w:rsid w:val="4779E575"/>
    <w:rsid w:val="47A23CE2"/>
    <w:rsid w:val="47A3034A"/>
    <w:rsid w:val="47EDFBA7"/>
    <w:rsid w:val="48069204"/>
    <w:rsid w:val="480CD048"/>
    <w:rsid w:val="481891C2"/>
    <w:rsid w:val="481BE11A"/>
    <w:rsid w:val="481EA4DA"/>
    <w:rsid w:val="4822ADFF"/>
    <w:rsid w:val="482B6103"/>
    <w:rsid w:val="484AF4B9"/>
    <w:rsid w:val="487F54E7"/>
    <w:rsid w:val="4886D3F0"/>
    <w:rsid w:val="4887994E"/>
    <w:rsid w:val="489CD424"/>
    <w:rsid w:val="48A04345"/>
    <w:rsid w:val="48AD8125"/>
    <w:rsid w:val="48C27E95"/>
    <w:rsid w:val="48C63438"/>
    <w:rsid w:val="48C77515"/>
    <w:rsid w:val="48D64F85"/>
    <w:rsid w:val="48F57877"/>
    <w:rsid w:val="48F5B10D"/>
    <w:rsid w:val="48FBE88E"/>
    <w:rsid w:val="48FD2CAE"/>
    <w:rsid w:val="490652C6"/>
    <w:rsid w:val="4910C334"/>
    <w:rsid w:val="4914180A"/>
    <w:rsid w:val="492573A4"/>
    <w:rsid w:val="492D15A3"/>
    <w:rsid w:val="493032A6"/>
    <w:rsid w:val="493035A2"/>
    <w:rsid w:val="4944FCFF"/>
    <w:rsid w:val="496A0F32"/>
    <w:rsid w:val="496DFAB8"/>
    <w:rsid w:val="49798430"/>
    <w:rsid w:val="498612DA"/>
    <w:rsid w:val="498AFAE3"/>
    <w:rsid w:val="49AA97EC"/>
    <w:rsid w:val="49ACF13A"/>
    <w:rsid w:val="49B5F108"/>
    <w:rsid w:val="49BE6ACF"/>
    <w:rsid w:val="49CA0F7E"/>
    <w:rsid w:val="49FBE5CA"/>
    <w:rsid w:val="4A055011"/>
    <w:rsid w:val="4A0EF11E"/>
    <w:rsid w:val="4A182DAC"/>
    <w:rsid w:val="4A221057"/>
    <w:rsid w:val="4A244EA9"/>
    <w:rsid w:val="4A2B9095"/>
    <w:rsid w:val="4A4EAD84"/>
    <w:rsid w:val="4A5D4A87"/>
    <w:rsid w:val="4A63AB09"/>
    <w:rsid w:val="4A7CFDFF"/>
    <w:rsid w:val="4A7EE188"/>
    <w:rsid w:val="4A7F1D72"/>
    <w:rsid w:val="4A8D9114"/>
    <w:rsid w:val="4AA9CB05"/>
    <w:rsid w:val="4AACA19A"/>
    <w:rsid w:val="4AB579FA"/>
    <w:rsid w:val="4AC358B1"/>
    <w:rsid w:val="4ACC93F0"/>
    <w:rsid w:val="4AD4FE8B"/>
    <w:rsid w:val="4ADC539E"/>
    <w:rsid w:val="4AE005B0"/>
    <w:rsid w:val="4AE6BFA6"/>
    <w:rsid w:val="4AE84901"/>
    <w:rsid w:val="4AEEA96E"/>
    <w:rsid w:val="4B075112"/>
    <w:rsid w:val="4B197DBB"/>
    <w:rsid w:val="4B1A3082"/>
    <w:rsid w:val="4B2BF592"/>
    <w:rsid w:val="4B56B74C"/>
    <w:rsid w:val="4B5BF7AD"/>
    <w:rsid w:val="4B607272"/>
    <w:rsid w:val="4B6A90C3"/>
    <w:rsid w:val="4B711C30"/>
    <w:rsid w:val="4B71331D"/>
    <w:rsid w:val="4B82CF97"/>
    <w:rsid w:val="4B9176C3"/>
    <w:rsid w:val="4BA82D8E"/>
    <w:rsid w:val="4BB22A0D"/>
    <w:rsid w:val="4BCB2B2C"/>
    <w:rsid w:val="4BDE9502"/>
    <w:rsid w:val="4BFE2FBC"/>
    <w:rsid w:val="4C020CDD"/>
    <w:rsid w:val="4C0D04C8"/>
    <w:rsid w:val="4C15A52B"/>
    <w:rsid w:val="4C336054"/>
    <w:rsid w:val="4C4BDD7F"/>
    <w:rsid w:val="4C564E00"/>
    <w:rsid w:val="4C576C7A"/>
    <w:rsid w:val="4C5EFE6B"/>
    <w:rsid w:val="4C6A4CB3"/>
    <w:rsid w:val="4C722E9F"/>
    <w:rsid w:val="4C790131"/>
    <w:rsid w:val="4C7D0DB3"/>
    <w:rsid w:val="4C7FB717"/>
    <w:rsid w:val="4C819ED5"/>
    <w:rsid w:val="4C8405EB"/>
    <w:rsid w:val="4C92871A"/>
    <w:rsid w:val="4C9DE670"/>
    <w:rsid w:val="4CA806F9"/>
    <w:rsid w:val="4CBB058A"/>
    <w:rsid w:val="4CC5745C"/>
    <w:rsid w:val="4CC71878"/>
    <w:rsid w:val="4CC75D45"/>
    <w:rsid w:val="4CD5D0A2"/>
    <w:rsid w:val="4CD7DE93"/>
    <w:rsid w:val="4CE18F3F"/>
    <w:rsid w:val="4CEAD957"/>
    <w:rsid w:val="4CF099EC"/>
    <w:rsid w:val="4D12DBC7"/>
    <w:rsid w:val="4D134F98"/>
    <w:rsid w:val="4D178EA2"/>
    <w:rsid w:val="4D6FD223"/>
    <w:rsid w:val="4D704F89"/>
    <w:rsid w:val="4D7E898D"/>
    <w:rsid w:val="4D968694"/>
    <w:rsid w:val="4D9CD3E2"/>
    <w:rsid w:val="4DCBF51A"/>
    <w:rsid w:val="4DD9A6F7"/>
    <w:rsid w:val="4DDC036B"/>
    <w:rsid w:val="4DFADC5B"/>
    <w:rsid w:val="4E04D43F"/>
    <w:rsid w:val="4E05B01A"/>
    <w:rsid w:val="4E0DB56E"/>
    <w:rsid w:val="4E0E9FC2"/>
    <w:rsid w:val="4E0F6A75"/>
    <w:rsid w:val="4E19C6DE"/>
    <w:rsid w:val="4E21E406"/>
    <w:rsid w:val="4E25ED3A"/>
    <w:rsid w:val="4E2F6946"/>
    <w:rsid w:val="4E4401D9"/>
    <w:rsid w:val="4E5D5F4C"/>
    <w:rsid w:val="4E62E991"/>
    <w:rsid w:val="4E805591"/>
    <w:rsid w:val="4E81D603"/>
    <w:rsid w:val="4E9CF7B7"/>
    <w:rsid w:val="4EB57C9A"/>
    <w:rsid w:val="4EB6A61A"/>
    <w:rsid w:val="4EC38116"/>
    <w:rsid w:val="4EC68040"/>
    <w:rsid w:val="4EE10E1F"/>
    <w:rsid w:val="4EF9B6F1"/>
    <w:rsid w:val="4EFD07E2"/>
    <w:rsid w:val="4F0E8AAC"/>
    <w:rsid w:val="4F0F3AB9"/>
    <w:rsid w:val="4F1CF938"/>
    <w:rsid w:val="4F231E73"/>
    <w:rsid w:val="4F306766"/>
    <w:rsid w:val="4F34D2B1"/>
    <w:rsid w:val="4F34F5AB"/>
    <w:rsid w:val="4F46B197"/>
    <w:rsid w:val="4F4FC77F"/>
    <w:rsid w:val="4F540DDC"/>
    <w:rsid w:val="4F6C8521"/>
    <w:rsid w:val="4F93B28D"/>
    <w:rsid w:val="4FAC850A"/>
    <w:rsid w:val="4FB67639"/>
    <w:rsid w:val="4FB86977"/>
    <w:rsid w:val="4FBE9B65"/>
    <w:rsid w:val="4FC5CBC3"/>
    <w:rsid w:val="4FC83CD7"/>
    <w:rsid w:val="4FD9E2E0"/>
    <w:rsid w:val="4FF9086C"/>
    <w:rsid w:val="500228BA"/>
    <w:rsid w:val="500A3D06"/>
    <w:rsid w:val="500D028D"/>
    <w:rsid w:val="5012EF00"/>
    <w:rsid w:val="5016FB0C"/>
    <w:rsid w:val="502D7FFD"/>
    <w:rsid w:val="502FFCC5"/>
    <w:rsid w:val="503B9E40"/>
    <w:rsid w:val="503FE5A7"/>
    <w:rsid w:val="505DD361"/>
    <w:rsid w:val="506B8263"/>
    <w:rsid w:val="508B4C9F"/>
    <w:rsid w:val="5091A16B"/>
    <w:rsid w:val="509244DF"/>
    <w:rsid w:val="509F30FC"/>
    <w:rsid w:val="50A96FBE"/>
    <w:rsid w:val="50B6B36F"/>
    <w:rsid w:val="50BD7FF0"/>
    <w:rsid w:val="50D23467"/>
    <w:rsid w:val="50D6B1EA"/>
    <w:rsid w:val="50E1F24D"/>
    <w:rsid w:val="51052EF2"/>
    <w:rsid w:val="510ADBBE"/>
    <w:rsid w:val="510BD4DC"/>
    <w:rsid w:val="511DA84A"/>
    <w:rsid w:val="51207F0D"/>
    <w:rsid w:val="5134A46D"/>
    <w:rsid w:val="5139E868"/>
    <w:rsid w:val="5146B6F6"/>
    <w:rsid w:val="514D4CDC"/>
    <w:rsid w:val="514EE9A2"/>
    <w:rsid w:val="51585A0A"/>
    <w:rsid w:val="51587A82"/>
    <w:rsid w:val="51736F61"/>
    <w:rsid w:val="51829D48"/>
    <w:rsid w:val="51863DD8"/>
    <w:rsid w:val="5192A140"/>
    <w:rsid w:val="51AD775B"/>
    <w:rsid w:val="51B186C2"/>
    <w:rsid w:val="51C2B5C8"/>
    <w:rsid w:val="51CFBA02"/>
    <w:rsid w:val="51D2449B"/>
    <w:rsid w:val="51D9289D"/>
    <w:rsid w:val="51F8633E"/>
    <w:rsid w:val="52060006"/>
    <w:rsid w:val="522FEF43"/>
    <w:rsid w:val="52301295"/>
    <w:rsid w:val="5233D181"/>
    <w:rsid w:val="523B16E0"/>
    <w:rsid w:val="524299BC"/>
    <w:rsid w:val="524C5BA5"/>
    <w:rsid w:val="524CF527"/>
    <w:rsid w:val="52529FD9"/>
    <w:rsid w:val="5254423B"/>
    <w:rsid w:val="5255D7ED"/>
    <w:rsid w:val="525609C3"/>
    <w:rsid w:val="5290FD2D"/>
    <w:rsid w:val="52B101E1"/>
    <w:rsid w:val="52C0A266"/>
    <w:rsid w:val="52C1F4FE"/>
    <w:rsid w:val="52C55E08"/>
    <w:rsid w:val="52CCF2C1"/>
    <w:rsid w:val="52D9213D"/>
    <w:rsid w:val="52E10E64"/>
    <w:rsid w:val="52EC6BD0"/>
    <w:rsid w:val="52F1052F"/>
    <w:rsid w:val="53003372"/>
    <w:rsid w:val="53023982"/>
    <w:rsid w:val="5303F219"/>
    <w:rsid w:val="530B1E91"/>
    <w:rsid w:val="5318EDCC"/>
    <w:rsid w:val="532BA52D"/>
    <w:rsid w:val="53334DE3"/>
    <w:rsid w:val="5345A2AE"/>
    <w:rsid w:val="535708F9"/>
    <w:rsid w:val="53585AEE"/>
    <w:rsid w:val="537108BC"/>
    <w:rsid w:val="53786FD7"/>
    <w:rsid w:val="53A2920F"/>
    <w:rsid w:val="53AA997E"/>
    <w:rsid w:val="53B56833"/>
    <w:rsid w:val="53D46CE1"/>
    <w:rsid w:val="53DB0473"/>
    <w:rsid w:val="53F90C51"/>
    <w:rsid w:val="53FD62EC"/>
    <w:rsid w:val="53FE3CB0"/>
    <w:rsid w:val="540593E1"/>
    <w:rsid w:val="5413C17C"/>
    <w:rsid w:val="542EE8A6"/>
    <w:rsid w:val="544BADC1"/>
    <w:rsid w:val="5453BA0C"/>
    <w:rsid w:val="54578615"/>
    <w:rsid w:val="545FD8DA"/>
    <w:rsid w:val="546A3FE2"/>
    <w:rsid w:val="546CA66F"/>
    <w:rsid w:val="546CAFE7"/>
    <w:rsid w:val="5475ACA4"/>
    <w:rsid w:val="54928A2D"/>
    <w:rsid w:val="54B26D67"/>
    <w:rsid w:val="54BE1875"/>
    <w:rsid w:val="54CF0653"/>
    <w:rsid w:val="54D49B06"/>
    <w:rsid w:val="54DDA661"/>
    <w:rsid w:val="54E09DEB"/>
    <w:rsid w:val="54E2D580"/>
    <w:rsid w:val="54E38C0D"/>
    <w:rsid w:val="54FA2C0F"/>
    <w:rsid w:val="551D1BB2"/>
    <w:rsid w:val="551FD1C8"/>
    <w:rsid w:val="5526FC9E"/>
    <w:rsid w:val="552F1FD7"/>
    <w:rsid w:val="5536EBEE"/>
    <w:rsid w:val="55391FB0"/>
    <w:rsid w:val="553EC8C2"/>
    <w:rsid w:val="55548734"/>
    <w:rsid w:val="55689C65"/>
    <w:rsid w:val="557DA5EF"/>
    <w:rsid w:val="558ADADA"/>
    <w:rsid w:val="55A4ED4F"/>
    <w:rsid w:val="55A53890"/>
    <w:rsid w:val="55AB71D8"/>
    <w:rsid w:val="55BB6438"/>
    <w:rsid w:val="55C00BCC"/>
    <w:rsid w:val="55D9B3E1"/>
    <w:rsid w:val="55DEDDE5"/>
    <w:rsid w:val="55EDF160"/>
    <w:rsid w:val="55FDC34A"/>
    <w:rsid w:val="55FDF7EE"/>
    <w:rsid w:val="560A413C"/>
    <w:rsid w:val="5616747A"/>
    <w:rsid w:val="5622617A"/>
    <w:rsid w:val="5630E428"/>
    <w:rsid w:val="5641207E"/>
    <w:rsid w:val="564361E5"/>
    <w:rsid w:val="5649242D"/>
    <w:rsid w:val="564AE1BC"/>
    <w:rsid w:val="565466D3"/>
    <w:rsid w:val="568ABBC4"/>
    <w:rsid w:val="5691686F"/>
    <w:rsid w:val="56933ED1"/>
    <w:rsid w:val="56A1E1F2"/>
    <w:rsid w:val="56A69643"/>
    <w:rsid w:val="56AA8A9E"/>
    <w:rsid w:val="56CF2619"/>
    <w:rsid w:val="56EC2942"/>
    <w:rsid w:val="5708FA5D"/>
    <w:rsid w:val="570DB83B"/>
    <w:rsid w:val="5714E100"/>
    <w:rsid w:val="572BEABE"/>
    <w:rsid w:val="575E7A28"/>
    <w:rsid w:val="57618C80"/>
    <w:rsid w:val="579634C6"/>
    <w:rsid w:val="579EEA73"/>
    <w:rsid w:val="57A389F9"/>
    <w:rsid w:val="57A97DF0"/>
    <w:rsid w:val="57B94C69"/>
    <w:rsid w:val="57CC1632"/>
    <w:rsid w:val="57ED60E7"/>
    <w:rsid w:val="57EE3A0D"/>
    <w:rsid w:val="57FB590E"/>
    <w:rsid w:val="5801437A"/>
    <w:rsid w:val="5805DBE4"/>
    <w:rsid w:val="58081B41"/>
    <w:rsid w:val="5811DF6B"/>
    <w:rsid w:val="5814725F"/>
    <w:rsid w:val="58193950"/>
    <w:rsid w:val="583B1F96"/>
    <w:rsid w:val="5850FA37"/>
    <w:rsid w:val="58569AA9"/>
    <w:rsid w:val="585960D5"/>
    <w:rsid w:val="5878785D"/>
    <w:rsid w:val="58794F7A"/>
    <w:rsid w:val="587C2775"/>
    <w:rsid w:val="589112BA"/>
    <w:rsid w:val="58A82640"/>
    <w:rsid w:val="58B96ADC"/>
    <w:rsid w:val="58FF9D39"/>
    <w:rsid w:val="59017976"/>
    <w:rsid w:val="591F3912"/>
    <w:rsid w:val="59205D6A"/>
    <w:rsid w:val="592502B7"/>
    <w:rsid w:val="59278346"/>
    <w:rsid w:val="592CBB72"/>
    <w:rsid w:val="5942D121"/>
    <w:rsid w:val="595A5266"/>
    <w:rsid w:val="595D7709"/>
    <w:rsid w:val="595EE065"/>
    <w:rsid w:val="597D6597"/>
    <w:rsid w:val="59B319ED"/>
    <w:rsid w:val="59F5DD6A"/>
    <w:rsid w:val="5A06CF2B"/>
    <w:rsid w:val="5A383ED2"/>
    <w:rsid w:val="5A418D1E"/>
    <w:rsid w:val="5A499590"/>
    <w:rsid w:val="5A4B90FE"/>
    <w:rsid w:val="5A57EFB7"/>
    <w:rsid w:val="5A60354C"/>
    <w:rsid w:val="5A8788DE"/>
    <w:rsid w:val="5A8E904E"/>
    <w:rsid w:val="5A8F87BD"/>
    <w:rsid w:val="5AA78F10"/>
    <w:rsid w:val="5AC514D5"/>
    <w:rsid w:val="5ACEBA41"/>
    <w:rsid w:val="5AEB24DD"/>
    <w:rsid w:val="5B039A6B"/>
    <w:rsid w:val="5B0722C0"/>
    <w:rsid w:val="5B0BCCF5"/>
    <w:rsid w:val="5B0C5154"/>
    <w:rsid w:val="5B3268F5"/>
    <w:rsid w:val="5B3287EE"/>
    <w:rsid w:val="5B3F76CD"/>
    <w:rsid w:val="5B41E8EF"/>
    <w:rsid w:val="5B446467"/>
    <w:rsid w:val="5B4F0D56"/>
    <w:rsid w:val="5B551209"/>
    <w:rsid w:val="5B59C6CB"/>
    <w:rsid w:val="5B612521"/>
    <w:rsid w:val="5B7EBF04"/>
    <w:rsid w:val="5B95E345"/>
    <w:rsid w:val="5BA04009"/>
    <w:rsid w:val="5BB298F3"/>
    <w:rsid w:val="5BC6604D"/>
    <w:rsid w:val="5BD75A43"/>
    <w:rsid w:val="5BDC23F7"/>
    <w:rsid w:val="5BEBB2CA"/>
    <w:rsid w:val="5BEBC3B0"/>
    <w:rsid w:val="5BF52286"/>
    <w:rsid w:val="5C0FF978"/>
    <w:rsid w:val="5C267EBC"/>
    <w:rsid w:val="5C26F2BE"/>
    <w:rsid w:val="5C3C50B1"/>
    <w:rsid w:val="5C529230"/>
    <w:rsid w:val="5C53B276"/>
    <w:rsid w:val="5C601413"/>
    <w:rsid w:val="5C70E672"/>
    <w:rsid w:val="5C8432F1"/>
    <w:rsid w:val="5C8CDAC0"/>
    <w:rsid w:val="5C9DD9ED"/>
    <w:rsid w:val="5CA370F0"/>
    <w:rsid w:val="5CB459CC"/>
    <w:rsid w:val="5CB865B1"/>
    <w:rsid w:val="5CBB1035"/>
    <w:rsid w:val="5CC3CB82"/>
    <w:rsid w:val="5CCD3B46"/>
    <w:rsid w:val="5CF4732A"/>
    <w:rsid w:val="5CFF3D34"/>
    <w:rsid w:val="5D020DD6"/>
    <w:rsid w:val="5D11506F"/>
    <w:rsid w:val="5D3D3838"/>
    <w:rsid w:val="5D4483DD"/>
    <w:rsid w:val="5D5BDBBD"/>
    <w:rsid w:val="5D68FE4E"/>
    <w:rsid w:val="5D700638"/>
    <w:rsid w:val="5D84C71F"/>
    <w:rsid w:val="5D890828"/>
    <w:rsid w:val="5D919C15"/>
    <w:rsid w:val="5D9ED312"/>
    <w:rsid w:val="5DA2FFD7"/>
    <w:rsid w:val="5DAA9AE9"/>
    <w:rsid w:val="5DAF1F15"/>
    <w:rsid w:val="5DD71A5B"/>
    <w:rsid w:val="5DD92FAC"/>
    <w:rsid w:val="5DDDFB55"/>
    <w:rsid w:val="5E093892"/>
    <w:rsid w:val="5E1B4D3C"/>
    <w:rsid w:val="5E2618F4"/>
    <w:rsid w:val="5E2777B4"/>
    <w:rsid w:val="5E32228D"/>
    <w:rsid w:val="5E33A380"/>
    <w:rsid w:val="5E41605A"/>
    <w:rsid w:val="5E51D9C0"/>
    <w:rsid w:val="5E6A3BCB"/>
    <w:rsid w:val="5E6E1D60"/>
    <w:rsid w:val="5E852A4A"/>
    <w:rsid w:val="5E920DBB"/>
    <w:rsid w:val="5E92B70B"/>
    <w:rsid w:val="5E985D5F"/>
    <w:rsid w:val="5EA6A3D9"/>
    <w:rsid w:val="5EC9A722"/>
    <w:rsid w:val="5ED29D43"/>
    <w:rsid w:val="5ED9B8B0"/>
    <w:rsid w:val="5EE51B0F"/>
    <w:rsid w:val="5EED7C34"/>
    <w:rsid w:val="5EF4B643"/>
    <w:rsid w:val="5F0922E0"/>
    <w:rsid w:val="5F39F66E"/>
    <w:rsid w:val="5F3EA5FD"/>
    <w:rsid w:val="5F5306F0"/>
    <w:rsid w:val="5F532163"/>
    <w:rsid w:val="5F735ECC"/>
    <w:rsid w:val="5F7784C1"/>
    <w:rsid w:val="5F8FC2A6"/>
    <w:rsid w:val="5FA5919D"/>
    <w:rsid w:val="5FA7DF7D"/>
    <w:rsid w:val="5FA8C8DB"/>
    <w:rsid w:val="5FABC640"/>
    <w:rsid w:val="5FBD5141"/>
    <w:rsid w:val="5FE61A9A"/>
    <w:rsid w:val="5FF8C2CC"/>
    <w:rsid w:val="5FFCCC05"/>
    <w:rsid w:val="602D892F"/>
    <w:rsid w:val="6038B06D"/>
    <w:rsid w:val="6042D3FE"/>
    <w:rsid w:val="60488F53"/>
    <w:rsid w:val="6052EA50"/>
    <w:rsid w:val="606EC9C9"/>
    <w:rsid w:val="6099D170"/>
    <w:rsid w:val="60A19EC1"/>
    <w:rsid w:val="60BA2329"/>
    <w:rsid w:val="60C271AF"/>
    <w:rsid w:val="60CDB08D"/>
    <w:rsid w:val="60DB6C02"/>
    <w:rsid w:val="60DEF4DC"/>
    <w:rsid w:val="60EB56CF"/>
    <w:rsid w:val="60F5F233"/>
    <w:rsid w:val="6101DD9A"/>
    <w:rsid w:val="6109ED3E"/>
    <w:rsid w:val="6111F740"/>
    <w:rsid w:val="6114EC30"/>
    <w:rsid w:val="6119773B"/>
    <w:rsid w:val="611E1E1D"/>
    <w:rsid w:val="6121CD55"/>
    <w:rsid w:val="6124149C"/>
    <w:rsid w:val="612B67F5"/>
    <w:rsid w:val="61349547"/>
    <w:rsid w:val="6134FCFC"/>
    <w:rsid w:val="61477204"/>
    <w:rsid w:val="614E771D"/>
    <w:rsid w:val="6151ED29"/>
    <w:rsid w:val="6165D6B3"/>
    <w:rsid w:val="616B599A"/>
    <w:rsid w:val="617724D8"/>
    <w:rsid w:val="6186C9A3"/>
    <w:rsid w:val="61B164DF"/>
    <w:rsid w:val="61B20A2F"/>
    <w:rsid w:val="61B2AEF0"/>
    <w:rsid w:val="61E40A20"/>
    <w:rsid w:val="61F0A589"/>
    <w:rsid w:val="61FB5A64"/>
    <w:rsid w:val="620A045F"/>
    <w:rsid w:val="6224FD2E"/>
    <w:rsid w:val="62279013"/>
    <w:rsid w:val="6234544A"/>
    <w:rsid w:val="624326DB"/>
    <w:rsid w:val="6246DEC3"/>
    <w:rsid w:val="624ADC3E"/>
    <w:rsid w:val="624B768F"/>
    <w:rsid w:val="624D8E20"/>
    <w:rsid w:val="62512B8D"/>
    <w:rsid w:val="62735A9F"/>
    <w:rsid w:val="627AC53D"/>
    <w:rsid w:val="6284F169"/>
    <w:rsid w:val="628BC8E1"/>
    <w:rsid w:val="62A9EAC0"/>
    <w:rsid w:val="62CD0816"/>
    <w:rsid w:val="62CE1131"/>
    <w:rsid w:val="62DB3BCA"/>
    <w:rsid w:val="62E769FC"/>
    <w:rsid w:val="62FEF6DC"/>
    <w:rsid w:val="630C51C5"/>
    <w:rsid w:val="6339F081"/>
    <w:rsid w:val="633BE5BA"/>
    <w:rsid w:val="634110BC"/>
    <w:rsid w:val="6341B60F"/>
    <w:rsid w:val="63599439"/>
    <w:rsid w:val="6378391C"/>
    <w:rsid w:val="639A43EE"/>
    <w:rsid w:val="63A11CCC"/>
    <w:rsid w:val="63A74069"/>
    <w:rsid w:val="63B849D5"/>
    <w:rsid w:val="63BD1917"/>
    <w:rsid w:val="63EA7256"/>
    <w:rsid w:val="63F6CEEA"/>
    <w:rsid w:val="6402E436"/>
    <w:rsid w:val="640FFFAE"/>
    <w:rsid w:val="64188EBA"/>
    <w:rsid w:val="642C9BDA"/>
    <w:rsid w:val="64457E5D"/>
    <w:rsid w:val="644A2956"/>
    <w:rsid w:val="64A2E504"/>
    <w:rsid w:val="64AA0E95"/>
    <w:rsid w:val="64D5A2FB"/>
    <w:rsid w:val="64EFD5A6"/>
    <w:rsid w:val="6503C3BD"/>
    <w:rsid w:val="651000AF"/>
    <w:rsid w:val="6511793F"/>
    <w:rsid w:val="651CA073"/>
    <w:rsid w:val="652A17FA"/>
    <w:rsid w:val="653950F2"/>
    <w:rsid w:val="653DEDEA"/>
    <w:rsid w:val="654981D2"/>
    <w:rsid w:val="656C9F31"/>
    <w:rsid w:val="6593C7F0"/>
    <w:rsid w:val="65A3B731"/>
    <w:rsid w:val="65C266AF"/>
    <w:rsid w:val="65CD3C34"/>
    <w:rsid w:val="6604D1DE"/>
    <w:rsid w:val="660ED254"/>
    <w:rsid w:val="661D627D"/>
    <w:rsid w:val="66235A60"/>
    <w:rsid w:val="66246B39"/>
    <w:rsid w:val="66356869"/>
    <w:rsid w:val="663D5783"/>
    <w:rsid w:val="665CABC0"/>
    <w:rsid w:val="666D66D4"/>
    <w:rsid w:val="667970D1"/>
    <w:rsid w:val="66848277"/>
    <w:rsid w:val="668E35BD"/>
    <w:rsid w:val="669BABB6"/>
    <w:rsid w:val="66A0364B"/>
    <w:rsid w:val="66A09CD9"/>
    <w:rsid w:val="66B7666A"/>
    <w:rsid w:val="66BAD720"/>
    <w:rsid w:val="66BC998E"/>
    <w:rsid w:val="66C14E28"/>
    <w:rsid w:val="66CC6A7F"/>
    <w:rsid w:val="66D72363"/>
    <w:rsid w:val="66EB2DF4"/>
    <w:rsid w:val="66FF8E59"/>
    <w:rsid w:val="670898CD"/>
    <w:rsid w:val="67126139"/>
    <w:rsid w:val="672300EC"/>
    <w:rsid w:val="672BB73A"/>
    <w:rsid w:val="67573376"/>
    <w:rsid w:val="678A9BAD"/>
    <w:rsid w:val="6793DEB6"/>
    <w:rsid w:val="67A4B276"/>
    <w:rsid w:val="67B52ACF"/>
    <w:rsid w:val="67B70978"/>
    <w:rsid w:val="67C752B1"/>
    <w:rsid w:val="67C83274"/>
    <w:rsid w:val="67CD875B"/>
    <w:rsid w:val="67D05F0D"/>
    <w:rsid w:val="67E36D69"/>
    <w:rsid w:val="67E7FD98"/>
    <w:rsid w:val="67E82032"/>
    <w:rsid w:val="67ECFDF1"/>
    <w:rsid w:val="67F444FF"/>
    <w:rsid w:val="67F4BCAA"/>
    <w:rsid w:val="6802A760"/>
    <w:rsid w:val="681ECA2F"/>
    <w:rsid w:val="68277668"/>
    <w:rsid w:val="6833FDA4"/>
    <w:rsid w:val="683DA510"/>
    <w:rsid w:val="6840FFED"/>
    <w:rsid w:val="68487A61"/>
    <w:rsid w:val="68544135"/>
    <w:rsid w:val="68729F40"/>
    <w:rsid w:val="6877F24D"/>
    <w:rsid w:val="688CA3E9"/>
    <w:rsid w:val="68917AA1"/>
    <w:rsid w:val="689A17DA"/>
    <w:rsid w:val="68CC9794"/>
    <w:rsid w:val="68CF4D6E"/>
    <w:rsid w:val="68DBEE15"/>
    <w:rsid w:val="68E185B9"/>
    <w:rsid w:val="68E70271"/>
    <w:rsid w:val="69053DFB"/>
    <w:rsid w:val="6959177B"/>
    <w:rsid w:val="69B69402"/>
    <w:rsid w:val="69BE4403"/>
    <w:rsid w:val="69BFF39D"/>
    <w:rsid w:val="69C26644"/>
    <w:rsid w:val="69D5DC2E"/>
    <w:rsid w:val="69EC255A"/>
    <w:rsid w:val="69EC361D"/>
    <w:rsid w:val="69EC8A07"/>
    <w:rsid w:val="6A07A380"/>
    <w:rsid w:val="6A112899"/>
    <w:rsid w:val="6A18E940"/>
    <w:rsid w:val="6A1910AB"/>
    <w:rsid w:val="6A1B6B56"/>
    <w:rsid w:val="6A1C4201"/>
    <w:rsid w:val="6A1C6B57"/>
    <w:rsid w:val="6A2A9422"/>
    <w:rsid w:val="6A4510B9"/>
    <w:rsid w:val="6A531B03"/>
    <w:rsid w:val="6A577DB3"/>
    <w:rsid w:val="6A585C08"/>
    <w:rsid w:val="6A671110"/>
    <w:rsid w:val="6A893528"/>
    <w:rsid w:val="6A9888C3"/>
    <w:rsid w:val="6AD84F13"/>
    <w:rsid w:val="6AE9AA15"/>
    <w:rsid w:val="6AFEF373"/>
    <w:rsid w:val="6B034B26"/>
    <w:rsid w:val="6B2D38EC"/>
    <w:rsid w:val="6B44B0B8"/>
    <w:rsid w:val="6B58BE36"/>
    <w:rsid w:val="6B9F1E93"/>
    <w:rsid w:val="6BA4678E"/>
    <w:rsid w:val="6BACFF46"/>
    <w:rsid w:val="6BAD9D0C"/>
    <w:rsid w:val="6BB69089"/>
    <w:rsid w:val="6BC867F5"/>
    <w:rsid w:val="6BCDE053"/>
    <w:rsid w:val="6BDADB70"/>
    <w:rsid w:val="6BE43139"/>
    <w:rsid w:val="6BE544A6"/>
    <w:rsid w:val="6BEEF175"/>
    <w:rsid w:val="6C3EB91B"/>
    <w:rsid w:val="6C5DE341"/>
    <w:rsid w:val="6C791B17"/>
    <w:rsid w:val="6C815F09"/>
    <w:rsid w:val="6C843C26"/>
    <w:rsid w:val="6CB71EAD"/>
    <w:rsid w:val="6CBB4144"/>
    <w:rsid w:val="6CC7219E"/>
    <w:rsid w:val="6CCC5913"/>
    <w:rsid w:val="6CE17758"/>
    <w:rsid w:val="6CE68636"/>
    <w:rsid w:val="6CF1201B"/>
    <w:rsid w:val="6CFF9746"/>
    <w:rsid w:val="6D0593D5"/>
    <w:rsid w:val="6D0976A5"/>
    <w:rsid w:val="6D138FBE"/>
    <w:rsid w:val="6D164C0D"/>
    <w:rsid w:val="6D2B7028"/>
    <w:rsid w:val="6D34E66C"/>
    <w:rsid w:val="6D373EF4"/>
    <w:rsid w:val="6D397712"/>
    <w:rsid w:val="6D4A93FA"/>
    <w:rsid w:val="6D558955"/>
    <w:rsid w:val="6D57D708"/>
    <w:rsid w:val="6D8388F4"/>
    <w:rsid w:val="6D97EDF6"/>
    <w:rsid w:val="6D9A774E"/>
    <w:rsid w:val="6DA8E2E7"/>
    <w:rsid w:val="6DAC6CC5"/>
    <w:rsid w:val="6DC2CE28"/>
    <w:rsid w:val="6DC80708"/>
    <w:rsid w:val="6DE7E098"/>
    <w:rsid w:val="6DF895C5"/>
    <w:rsid w:val="6E155706"/>
    <w:rsid w:val="6E1C3AE6"/>
    <w:rsid w:val="6E2D5D75"/>
    <w:rsid w:val="6E369435"/>
    <w:rsid w:val="6E400354"/>
    <w:rsid w:val="6E55D03D"/>
    <w:rsid w:val="6E5ABF52"/>
    <w:rsid w:val="6E5F3FCF"/>
    <w:rsid w:val="6E95F939"/>
    <w:rsid w:val="6EA4698F"/>
    <w:rsid w:val="6EBDAFB2"/>
    <w:rsid w:val="6ED68CD1"/>
    <w:rsid w:val="6EDAF985"/>
    <w:rsid w:val="6EDF36CC"/>
    <w:rsid w:val="6EE1217F"/>
    <w:rsid w:val="6EE14F94"/>
    <w:rsid w:val="6EF66792"/>
    <w:rsid w:val="6EF97895"/>
    <w:rsid w:val="6EFAE0D1"/>
    <w:rsid w:val="6F08D06B"/>
    <w:rsid w:val="6F21EA06"/>
    <w:rsid w:val="6F22F3A1"/>
    <w:rsid w:val="6F24C4DB"/>
    <w:rsid w:val="6F398F08"/>
    <w:rsid w:val="6F460BB8"/>
    <w:rsid w:val="6F4A3EB5"/>
    <w:rsid w:val="6F52F0F7"/>
    <w:rsid w:val="6F718758"/>
    <w:rsid w:val="6F9166EE"/>
    <w:rsid w:val="6F92A774"/>
    <w:rsid w:val="6F969988"/>
    <w:rsid w:val="6F96B9F1"/>
    <w:rsid w:val="6FA18E98"/>
    <w:rsid w:val="6FA98884"/>
    <w:rsid w:val="6FB2EC7D"/>
    <w:rsid w:val="6FB7C9A7"/>
    <w:rsid w:val="6FCB4929"/>
    <w:rsid w:val="6FD45E69"/>
    <w:rsid w:val="6FD79266"/>
    <w:rsid w:val="700071DA"/>
    <w:rsid w:val="700462A8"/>
    <w:rsid w:val="7018A0AB"/>
    <w:rsid w:val="702015CD"/>
    <w:rsid w:val="7027EF0A"/>
    <w:rsid w:val="7032876E"/>
    <w:rsid w:val="703DF133"/>
    <w:rsid w:val="705934D5"/>
    <w:rsid w:val="708F3A48"/>
    <w:rsid w:val="70927C6A"/>
    <w:rsid w:val="709434BD"/>
    <w:rsid w:val="70963CFA"/>
    <w:rsid w:val="70998135"/>
    <w:rsid w:val="709F7BB9"/>
    <w:rsid w:val="70A3E7E7"/>
    <w:rsid w:val="70AA5266"/>
    <w:rsid w:val="70B59395"/>
    <w:rsid w:val="70C47155"/>
    <w:rsid w:val="70E13299"/>
    <w:rsid w:val="70EC1B7A"/>
    <w:rsid w:val="70F1C4FB"/>
    <w:rsid w:val="70FAB7B7"/>
    <w:rsid w:val="7104141E"/>
    <w:rsid w:val="710EBF6F"/>
    <w:rsid w:val="712A1BAC"/>
    <w:rsid w:val="712A6F04"/>
    <w:rsid w:val="712BC746"/>
    <w:rsid w:val="71310923"/>
    <w:rsid w:val="71380307"/>
    <w:rsid w:val="7173B691"/>
    <w:rsid w:val="717B90B0"/>
    <w:rsid w:val="718246AB"/>
    <w:rsid w:val="7183C4A0"/>
    <w:rsid w:val="7199A8A0"/>
    <w:rsid w:val="71A2E55A"/>
    <w:rsid w:val="71A8EB11"/>
    <w:rsid w:val="71C8B7C5"/>
    <w:rsid w:val="71CC2FDB"/>
    <w:rsid w:val="71D38553"/>
    <w:rsid w:val="71DD3629"/>
    <w:rsid w:val="71E48756"/>
    <w:rsid w:val="71FFF7CC"/>
    <w:rsid w:val="720FF602"/>
    <w:rsid w:val="720FFC1C"/>
    <w:rsid w:val="721CF6FD"/>
    <w:rsid w:val="721CFE68"/>
    <w:rsid w:val="7227F1AC"/>
    <w:rsid w:val="722F6AC2"/>
    <w:rsid w:val="72311957"/>
    <w:rsid w:val="7233F989"/>
    <w:rsid w:val="72509010"/>
    <w:rsid w:val="7253CB1C"/>
    <w:rsid w:val="72594A2E"/>
    <w:rsid w:val="725E9F80"/>
    <w:rsid w:val="726A8ABB"/>
    <w:rsid w:val="7274824B"/>
    <w:rsid w:val="7277839D"/>
    <w:rsid w:val="72860189"/>
    <w:rsid w:val="728FD25D"/>
    <w:rsid w:val="729FFB70"/>
    <w:rsid w:val="72AD7CD3"/>
    <w:rsid w:val="72CB6B29"/>
    <w:rsid w:val="72D0A93D"/>
    <w:rsid w:val="72EBD7AD"/>
    <w:rsid w:val="72FEAA38"/>
    <w:rsid w:val="731B39B7"/>
    <w:rsid w:val="732B2AA6"/>
    <w:rsid w:val="734A6315"/>
    <w:rsid w:val="735D3FC4"/>
    <w:rsid w:val="735F8FCC"/>
    <w:rsid w:val="735F9FA6"/>
    <w:rsid w:val="73626FD0"/>
    <w:rsid w:val="7365048E"/>
    <w:rsid w:val="73690248"/>
    <w:rsid w:val="736B6D54"/>
    <w:rsid w:val="736EE523"/>
    <w:rsid w:val="73726FA9"/>
    <w:rsid w:val="737C2AF2"/>
    <w:rsid w:val="7387E588"/>
    <w:rsid w:val="738BF8CA"/>
    <w:rsid w:val="7391E4DA"/>
    <w:rsid w:val="73AB9F71"/>
    <w:rsid w:val="73C04067"/>
    <w:rsid w:val="73C17AFD"/>
    <w:rsid w:val="73C63F32"/>
    <w:rsid w:val="73C936D9"/>
    <w:rsid w:val="73CEC7E4"/>
    <w:rsid w:val="73D4EB13"/>
    <w:rsid w:val="73D8B7EB"/>
    <w:rsid w:val="73E473DC"/>
    <w:rsid w:val="73F2B51B"/>
    <w:rsid w:val="740A2E11"/>
    <w:rsid w:val="740AD26E"/>
    <w:rsid w:val="7410AB0F"/>
    <w:rsid w:val="74184396"/>
    <w:rsid w:val="74514BE0"/>
    <w:rsid w:val="7459B207"/>
    <w:rsid w:val="745C93CC"/>
    <w:rsid w:val="747763FE"/>
    <w:rsid w:val="74794395"/>
    <w:rsid w:val="747A7A9C"/>
    <w:rsid w:val="7494655A"/>
    <w:rsid w:val="749530B2"/>
    <w:rsid w:val="7495D9E4"/>
    <w:rsid w:val="74A1E8D7"/>
    <w:rsid w:val="74A296CE"/>
    <w:rsid w:val="74D397E6"/>
    <w:rsid w:val="74D68820"/>
    <w:rsid w:val="74D9459A"/>
    <w:rsid w:val="74EC61B7"/>
    <w:rsid w:val="74F3B6E7"/>
    <w:rsid w:val="74F7E03F"/>
    <w:rsid w:val="74FC7FCC"/>
    <w:rsid w:val="7502FFBB"/>
    <w:rsid w:val="750DCB00"/>
    <w:rsid w:val="750F380C"/>
    <w:rsid w:val="75199227"/>
    <w:rsid w:val="752F3306"/>
    <w:rsid w:val="75475DEF"/>
    <w:rsid w:val="75562D04"/>
    <w:rsid w:val="755FC5DC"/>
    <w:rsid w:val="756FFBFE"/>
    <w:rsid w:val="7574652F"/>
    <w:rsid w:val="757ACEFE"/>
    <w:rsid w:val="7592516C"/>
    <w:rsid w:val="75A48559"/>
    <w:rsid w:val="75AEEEF0"/>
    <w:rsid w:val="75B4B271"/>
    <w:rsid w:val="75B54D3C"/>
    <w:rsid w:val="75BA946F"/>
    <w:rsid w:val="75C79ACD"/>
    <w:rsid w:val="75CD5F2F"/>
    <w:rsid w:val="75D4CD1D"/>
    <w:rsid w:val="75D651C4"/>
    <w:rsid w:val="75FA3DB0"/>
    <w:rsid w:val="761BF4A8"/>
    <w:rsid w:val="7636EA29"/>
    <w:rsid w:val="765388CF"/>
    <w:rsid w:val="765AEF2E"/>
    <w:rsid w:val="7696C2CE"/>
    <w:rsid w:val="769ABE68"/>
    <w:rsid w:val="76A24B1E"/>
    <w:rsid w:val="76A25DB2"/>
    <w:rsid w:val="76BA4B06"/>
    <w:rsid w:val="76E9E92A"/>
    <w:rsid w:val="77020F9A"/>
    <w:rsid w:val="773C5EFC"/>
    <w:rsid w:val="773D5DAB"/>
    <w:rsid w:val="775A01EA"/>
    <w:rsid w:val="775E14A7"/>
    <w:rsid w:val="7761F5A9"/>
    <w:rsid w:val="7762F5B7"/>
    <w:rsid w:val="7763E717"/>
    <w:rsid w:val="77882259"/>
    <w:rsid w:val="779A578A"/>
    <w:rsid w:val="77A998F3"/>
    <w:rsid w:val="77A9E734"/>
    <w:rsid w:val="77AB9131"/>
    <w:rsid w:val="77BEE3D0"/>
    <w:rsid w:val="77C25791"/>
    <w:rsid w:val="77CFA3D5"/>
    <w:rsid w:val="77DE1E59"/>
    <w:rsid w:val="77FBF8B0"/>
    <w:rsid w:val="7803006F"/>
    <w:rsid w:val="78063840"/>
    <w:rsid w:val="780AF8D4"/>
    <w:rsid w:val="780D3989"/>
    <w:rsid w:val="7813F5B4"/>
    <w:rsid w:val="78298B5F"/>
    <w:rsid w:val="7840FB8C"/>
    <w:rsid w:val="78533EB4"/>
    <w:rsid w:val="78560B07"/>
    <w:rsid w:val="78562685"/>
    <w:rsid w:val="7856C01F"/>
    <w:rsid w:val="786A558D"/>
    <w:rsid w:val="78832407"/>
    <w:rsid w:val="78896B62"/>
    <w:rsid w:val="788FF14B"/>
    <w:rsid w:val="789BEA91"/>
    <w:rsid w:val="78A7A194"/>
    <w:rsid w:val="78A832D0"/>
    <w:rsid w:val="78B20A4C"/>
    <w:rsid w:val="78DDAB65"/>
    <w:rsid w:val="78F4F772"/>
    <w:rsid w:val="7903D630"/>
    <w:rsid w:val="793EA0AC"/>
    <w:rsid w:val="794C996B"/>
    <w:rsid w:val="79788A9B"/>
    <w:rsid w:val="79888975"/>
    <w:rsid w:val="79900909"/>
    <w:rsid w:val="799F3187"/>
    <w:rsid w:val="79A1CB7E"/>
    <w:rsid w:val="79A5CD3F"/>
    <w:rsid w:val="79A8E2E2"/>
    <w:rsid w:val="79D44E65"/>
    <w:rsid w:val="79D4FA5E"/>
    <w:rsid w:val="79F19434"/>
    <w:rsid w:val="79F6B4A8"/>
    <w:rsid w:val="7A0987A8"/>
    <w:rsid w:val="7A16EEEA"/>
    <w:rsid w:val="7A361D86"/>
    <w:rsid w:val="7A41F353"/>
    <w:rsid w:val="7A466632"/>
    <w:rsid w:val="7A55A191"/>
    <w:rsid w:val="7A77FF0D"/>
    <w:rsid w:val="7AB8CEBF"/>
    <w:rsid w:val="7AD777F1"/>
    <w:rsid w:val="7ADB3502"/>
    <w:rsid w:val="7AE28A15"/>
    <w:rsid w:val="7AEEA37E"/>
    <w:rsid w:val="7AFA3FA1"/>
    <w:rsid w:val="7B1E6885"/>
    <w:rsid w:val="7B364701"/>
    <w:rsid w:val="7B3DAB06"/>
    <w:rsid w:val="7B40114D"/>
    <w:rsid w:val="7B41EA7B"/>
    <w:rsid w:val="7B69C43A"/>
    <w:rsid w:val="7B70C9DB"/>
    <w:rsid w:val="7B7B0B41"/>
    <w:rsid w:val="7B7FB610"/>
    <w:rsid w:val="7B994EE6"/>
    <w:rsid w:val="7B9BFA09"/>
    <w:rsid w:val="7BAC12AA"/>
    <w:rsid w:val="7BD2EA3F"/>
    <w:rsid w:val="7BD2F25C"/>
    <w:rsid w:val="7BDB882F"/>
    <w:rsid w:val="7BE42083"/>
    <w:rsid w:val="7BE55ACE"/>
    <w:rsid w:val="7BE5F246"/>
    <w:rsid w:val="7BF4CEB7"/>
    <w:rsid w:val="7BFE7ED1"/>
    <w:rsid w:val="7C24EFFD"/>
    <w:rsid w:val="7C253509"/>
    <w:rsid w:val="7C253C19"/>
    <w:rsid w:val="7C2BCEE6"/>
    <w:rsid w:val="7C32BA30"/>
    <w:rsid w:val="7C3B3A55"/>
    <w:rsid w:val="7C492D85"/>
    <w:rsid w:val="7C60265A"/>
    <w:rsid w:val="7C7438DE"/>
    <w:rsid w:val="7C9038F2"/>
    <w:rsid w:val="7C9A6BBE"/>
    <w:rsid w:val="7CA4658A"/>
    <w:rsid w:val="7CB97A6F"/>
    <w:rsid w:val="7CCAA1B8"/>
    <w:rsid w:val="7CCCEC2E"/>
    <w:rsid w:val="7CF0C2BB"/>
    <w:rsid w:val="7CF7B6CE"/>
    <w:rsid w:val="7CFBAE59"/>
    <w:rsid w:val="7D11C477"/>
    <w:rsid w:val="7D202346"/>
    <w:rsid w:val="7D291A4C"/>
    <w:rsid w:val="7D32D7F3"/>
    <w:rsid w:val="7D32E4FE"/>
    <w:rsid w:val="7D4D9453"/>
    <w:rsid w:val="7D4DB0FF"/>
    <w:rsid w:val="7D5181E9"/>
    <w:rsid w:val="7D60DF95"/>
    <w:rsid w:val="7D69B1B0"/>
    <w:rsid w:val="7D6A326C"/>
    <w:rsid w:val="7D6F563F"/>
    <w:rsid w:val="7D9D44A9"/>
    <w:rsid w:val="7DA7DD0D"/>
    <w:rsid w:val="7DD0E411"/>
    <w:rsid w:val="7DD5F649"/>
    <w:rsid w:val="7DE886E6"/>
    <w:rsid w:val="7DEE114A"/>
    <w:rsid w:val="7DEEBE0A"/>
    <w:rsid w:val="7DFFA9C7"/>
    <w:rsid w:val="7E47496C"/>
    <w:rsid w:val="7E48D046"/>
    <w:rsid w:val="7E4D4C50"/>
    <w:rsid w:val="7E7A21F8"/>
    <w:rsid w:val="7E8FFA69"/>
    <w:rsid w:val="7E9B84E9"/>
    <w:rsid w:val="7EA0F41B"/>
    <w:rsid w:val="7EB1174C"/>
    <w:rsid w:val="7EB39753"/>
    <w:rsid w:val="7EBD07D0"/>
    <w:rsid w:val="7EF55AE3"/>
    <w:rsid w:val="7EF75321"/>
    <w:rsid w:val="7F003BFE"/>
    <w:rsid w:val="7F0E2135"/>
    <w:rsid w:val="7F224D47"/>
    <w:rsid w:val="7F2BB4FC"/>
    <w:rsid w:val="7F3740FC"/>
    <w:rsid w:val="7F6024AE"/>
    <w:rsid w:val="7F65DCFB"/>
    <w:rsid w:val="7F6C9DA1"/>
    <w:rsid w:val="7F803F11"/>
    <w:rsid w:val="7F8D0E1B"/>
    <w:rsid w:val="7F96B806"/>
    <w:rsid w:val="7FBBEAE2"/>
    <w:rsid w:val="7FD26D7D"/>
    <w:rsid w:val="7FD68DCA"/>
    <w:rsid w:val="7FDCA199"/>
    <w:rsid w:val="7FEDB630"/>
    <w:rsid w:val="7FF59DB2"/>
    <w:rsid w:val="7FFEEF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DD86584"/>
  <w15:chartTrackingRefBased/>
  <w15:docId w15:val="{1086D298-7C1C-4663-9A4F-20A3501E924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List Bullet" w:uiPriority="99"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07876"/>
    <w:rPr>
      <w:rFonts w:ascii="Calibri" w:hAnsi="Calibri"/>
      <w:sz w:val="24"/>
      <w:lang w:val="en-GB" w:eastAsia="en-US"/>
    </w:rPr>
  </w:style>
  <w:style w:type="paragraph" w:styleId="Heading1">
    <w:name w:val="heading 1"/>
    <w:basedOn w:val="Normal"/>
    <w:next w:val="Normal"/>
    <w:link w:val="Heading1Char"/>
    <w:qFormat/>
    <w:rsid w:val="009469DB"/>
    <w:pPr>
      <w:spacing w:before="120" w:after="120"/>
      <w:outlineLvl w:val="0"/>
    </w:pPr>
    <w:rPr>
      <w:rFonts w:cs="Calibri"/>
      <w:b/>
      <w:sz w:val="28"/>
      <w:szCs w:val="28"/>
    </w:rPr>
  </w:style>
  <w:style w:type="paragraph" w:styleId="Heading2">
    <w:name w:val="heading 2"/>
    <w:basedOn w:val="Normal"/>
    <w:next w:val="Normal"/>
    <w:link w:val="Heading2Char"/>
    <w:qFormat/>
    <w:pPr>
      <w:spacing w:before="120"/>
      <w:outlineLvl w:val="1"/>
    </w:pPr>
    <w:rPr>
      <w:rFonts w:ascii="Arial" w:hAnsi="Arial"/>
      <w:b/>
    </w:rPr>
  </w:style>
  <w:style w:type="paragraph" w:styleId="Heading3">
    <w:name w:val="heading 3"/>
    <w:basedOn w:val="Normal"/>
    <w:next w:val="NormalIndent"/>
    <w:link w:val="Heading3Char"/>
    <w:qFormat/>
    <w:pPr>
      <w:ind w:left="360"/>
      <w:outlineLvl w:val="2"/>
    </w:pPr>
    <w:rPr>
      <w:b/>
    </w:rPr>
  </w:style>
  <w:style w:type="paragraph" w:styleId="Heading4">
    <w:name w:val="heading 4"/>
    <w:basedOn w:val="Normal"/>
    <w:next w:val="NormalIndent"/>
    <w:pPr>
      <w:ind w:left="360"/>
      <w:outlineLvl w:val="3"/>
    </w:pPr>
    <w:rPr>
      <w:u w:val="single"/>
    </w:rPr>
  </w:style>
  <w:style w:type="paragraph" w:styleId="Heading5">
    <w:name w:val="heading 5"/>
    <w:basedOn w:val="Normal"/>
    <w:next w:val="NormalIndent"/>
    <w:pPr>
      <w:ind w:left="720"/>
      <w:outlineLvl w:val="4"/>
    </w:pPr>
    <w:rPr>
      <w:b/>
      <w:sz w:val="20"/>
    </w:rPr>
  </w:style>
  <w:style w:type="paragraph" w:styleId="Heading6">
    <w:name w:val="heading 6"/>
    <w:basedOn w:val="Normal"/>
    <w:next w:val="NormalIndent"/>
    <w:pPr>
      <w:ind w:left="720"/>
      <w:outlineLvl w:val="5"/>
    </w:pPr>
    <w:rPr>
      <w:sz w:val="20"/>
      <w:u w:val="single"/>
    </w:rPr>
  </w:style>
  <w:style w:type="paragraph" w:styleId="Heading7">
    <w:name w:val="heading 7"/>
    <w:basedOn w:val="Normal"/>
    <w:next w:val="NormalIndent"/>
    <w:link w:val="Heading7Char"/>
    <w:qFormat/>
    <w:pPr>
      <w:ind w:left="720"/>
      <w:outlineLvl w:val="6"/>
    </w:pPr>
    <w:rPr>
      <w:i/>
      <w:sz w:val="20"/>
    </w:rPr>
  </w:style>
  <w:style w:type="paragraph" w:styleId="Heading8">
    <w:name w:val="heading 8"/>
    <w:basedOn w:val="Normal"/>
    <w:next w:val="NormalIndent"/>
    <w:pPr>
      <w:ind w:left="720"/>
      <w:outlineLvl w:val="7"/>
    </w:pPr>
    <w:rPr>
      <w:i/>
      <w:sz w:val="20"/>
    </w:rPr>
  </w:style>
  <w:style w:type="paragraph" w:styleId="Heading9">
    <w:name w:val="heading 9"/>
    <w:basedOn w:val="Normal"/>
    <w:next w:val="NormalIndent"/>
    <w:pPr>
      <w:ind w:left="720"/>
      <w:outlineLvl w:val="8"/>
    </w:pPr>
    <w:rPr>
      <w:i/>
      <w:sz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Indent">
    <w:name w:val="Normal Indent"/>
    <w:basedOn w:val="Normal"/>
    <w:pPr>
      <w:ind w:left="720"/>
    </w:pPr>
  </w:style>
  <w:style w:type="paragraph" w:styleId="TOC1">
    <w:name w:val="toc 1"/>
    <w:basedOn w:val="Normal"/>
    <w:next w:val="Normal"/>
    <w:uiPriority w:val="39"/>
    <w:rsid w:val="00F50B2B"/>
    <w:pPr>
      <w:spacing w:line="360" w:lineRule="auto"/>
    </w:pPr>
  </w:style>
  <w:style w:type="paragraph" w:styleId="Index7">
    <w:name w:val="index 7"/>
    <w:basedOn w:val="Normal"/>
    <w:next w:val="Normal"/>
    <w:semiHidden/>
    <w:pPr>
      <w:tabs>
        <w:tab w:val="right" w:pos="3793"/>
      </w:tabs>
      <w:ind w:left="1680" w:hanging="240"/>
    </w:pPr>
    <w:rPr>
      <w:sz w:val="18"/>
    </w:rPr>
  </w:style>
  <w:style w:type="paragraph" w:styleId="Index6">
    <w:name w:val="index 6"/>
    <w:basedOn w:val="Normal"/>
    <w:next w:val="Normal"/>
    <w:semiHidden/>
    <w:pPr>
      <w:tabs>
        <w:tab w:val="right" w:pos="3793"/>
      </w:tabs>
      <w:ind w:left="1440" w:hanging="240"/>
    </w:pPr>
    <w:rPr>
      <w:sz w:val="18"/>
    </w:rPr>
  </w:style>
  <w:style w:type="paragraph" w:styleId="Index5">
    <w:name w:val="index 5"/>
    <w:basedOn w:val="Normal"/>
    <w:next w:val="Normal"/>
    <w:semiHidden/>
    <w:pPr>
      <w:tabs>
        <w:tab w:val="right" w:pos="3793"/>
      </w:tabs>
      <w:ind w:left="1200" w:hanging="240"/>
    </w:pPr>
    <w:rPr>
      <w:sz w:val="18"/>
    </w:rPr>
  </w:style>
  <w:style w:type="paragraph" w:styleId="Index4">
    <w:name w:val="index 4"/>
    <w:basedOn w:val="Normal"/>
    <w:next w:val="Normal"/>
    <w:semiHidden/>
    <w:pPr>
      <w:tabs>
        <w:tab w:val="right" w:pos="3793"/>
      </w:tabs>
      <w:ind w:left="960" w:hanging="240"/>
    </w:pPr>
    <w:rPr>
      <w:sz w:val="18"/>
    </w:rPr>
  </w:style>
  <w:style w:type="paragraph" w:styleId="Index3">
    <w:name w:val="index 3"/>
    <w:basedOn w:val="Normal"/>
    <w:next w:val="Normal"/>
    <w:semiHidden/>
    <w:pPr>
      <w:tabs>
        <w:tab w:val="right" w:pos="3793"/>
      </w:tabs>
      <w:ind w:left="720" w:hanging="240"/>
    </w:pPr>
    <w:rPr>
      <w:sz w:val="18"/>
    </w:rPr>
  </w:style>
  <w:style w:type="paragraph" w:styleId="Index2">
    <w:name w:val="index 2"/>
    <w:basedOn w:val="Normal"/>
    <w:next w:val="Normal"/>
    <w:semiHidden/>
    <w:pPr>
      <w:tabs>
        <w:tab w:val="right" w:pos="3793"/>
      </w:tabs>
      <w:ind w:left="480" w:hanging="240"/>
    </w:pPr>
    <w:rPr>
      <w:sz w:val="18"/>
    </w:rPr>
  </w:style>
  <w:style w:type="paragraph" w:styleId="Index1">
    <w:name w:val="index 1"/>
    <w:basedOn w:val="Normal"/>
    <w:next w:val="Normal"/>
    <w:semiHidden/>
    <w:pPr>
      <w:tabs>
        <w:tab w:val="right" w:pos="3793"/>
      </w:tabs>
      <w:ind w:left="240" w:hanging="240"/>
    </w:pPr>
    <w:rPr>
      <w:sz w:val="18"/>
    </w:rPr>
  </w:style>
  <w:style w:type="paragraph" w:styleId="IndexHeading">
    <w:name w:val="index heading"/>
    <w:basedOn w:val="Normal"/>
    <w:next w:val="Index1"/>
    <w:semiHidden/>
    <w:pPr>
      <w:spacing w:before="240" w:after="120"/>
      <w:jc w:val="center"/>
    </w:pPr>
    <w:rPr>
      <w:b/>
      <w:sz w:val="26"/>
    </w:rPr>
  </w:style>
  <w:style w:type="paragraph" w:styleId="Footer">
    <w:name w:val="footer"/>
    <w:basedOn w:val="Normal"/>
    <w:link w:val="FooterChar"/>
    <w:pPr>
      <w:tabs>
        <w:tab w:val="center" w:pos="4819"/>
        <w:tab w:val="right" w:pos="9071"/>
      </w:tabs>
    </w:pPr>
  </w:style>
  <w:style w:type="paragraph" w:styleId="Header">
    <w:name w:val="header"/>
    <w:basedOn w:val="Normal"/>
    <w:link w:val="HeaderChar"/>
    <w:uiPriority w:val="99"/>
    <w:pPr>
      <w:tabs>
        <w:tab w:val="center" w:pos="4819"/>
        <w:tab w:val="right" w:pos="9071"/>
      </w:tabs>
    </w:pPr>
  </w:style>
  <w:style w:type="paragraph" w:styleId="FootnoteText">
    <w:name w:val="footnote text"/>
    <w:basedOn w:val="Normal"/>
    <w:link w:val="FootnoteTextChar"/>
    <w:uiPriority w:val="99"/>
    <w:semiHidden/>
    <w:rPr>
      <w:sz w:val="20"/>
    </w:rPr>
  </w:style>
  <w:style w:type="paragraph" w:styleId="TOC2">
    <w:name w:val="toc 2"/>
    <w:basedOn w:val="Normal"/>
    <w:next w:val="Normal"/>
    <w:uiPriority w:val="39"/>
    <w:pPr>
      <w:ind w:left="240"/>
    </w:pPr>
    <w:rPr>
      <w:smallCaps/>
      <w:sz w:val="20"/>
    </w:rPr>
  </w:style>
  <w:style w:type="paragraph" w:styleId="TOC3">
    <w:name w:val="toc 3"/>
    <w:basedOn w:val="Normal"/>
    <w:next w:val="Normal"/>
    <w:uiPriority w:val="39"/>
    <w:pPr>
      <w:ind w:left="480"/>
    </w:pPr>
    <w:rPr>
      <w:i/>
      <w:sz w:val="20"/>
    </w:rPr>
  </w:style>
  <w:style w:type="paragraph" w:styleId="TOC4">
    <w:name w:val="toc 4"/>
    <w:basedOn w:val="Normal"/>
    <w:next w:val="Normal"/>
    <w:uiPriority w:val="39"/>
    <w:pPr>
      <w:ind w:left="720"/>
    </w:pPr>
    <w:rPr>
      <w:sz w:val="18"/>
    </w:rPr>
  </w:style>
  <w:style w:type="paragraph" w:styleId="TOC5">
    <w:name w:val="toc 5"/>
    <w:basedOn w:val="Normal"/>
    <w:next w:val="Normal"/>
    <w:uiPriority w:val="39"/>
    <w:pPr>
      <w:ind w:left="960"/>
    </w:pPr>
    <w:rPr>
      <w:sz w:val="18"/>
    </w:rPr>
  </w:style>
  <w:style w:type="paragraph" w:styleId="TOC6">
    <w:name w:val="toc 6"/>
    <w:basedOn w:val="Normal"/>
    <w:next w:val="Normal"/>
    <w:uiPriority w:val="39"/>
    <w:pPr>
      <w:ind w:left="1200"/>
    </w:pPr>
    <w:rPr>
      <w:sz w:val="18"/>
    </w:rPr>
  </w:style>
  <w:style w:type="paragraph" w:styleId="TOC7">
    <w:name w:val="toc 7"/>
    <w:basedOn w:val="Normal"/>
    <w:next w:val="Normal"/>
    <w:uiPriority w:val="39"/>
    <w:pPr>
      <w:ind w:left="1440"/>
    </w:pPr>
    <w:rPr>
      <w:sz w:val="18"/>
    </w:rPr>
  </w:style>
  <w:style w:type="paragraph" w:styleId="TOC8">
    <w:name w:val="toc 8"/>
    <w:basedOn w:val="Normal"/>
    <w:next w:val="Normal"/>
    <w:uiPriority w:val="39"/>
    <w:pPr>
      <w:ind w:left="1680"/>
    </w:pPr>
    <w:rPr>
      <w:sz w:val="18"/>
    </w:rPr>
  </w:style>
  <w:style w:type="paragraph" w:styleId="TOC9">
    <w:name w:val="toc 9"/>
    <w:basedOn w:val="Normal"/>
    <w:next w:val="Normal"/>
    <w:uiPriority w:val="39"/>
    <w:pPr>
      <w:ind w:left="1920"/>
    </w:pPr>
    <w:rPr>
      <w:sz w:val="18"/>
    </w:rPr>
  </w:style>
  <w:style w:type="paragraph" w:styleId="Index8">
    <w:name w:val="index 8"/>
    <w:basedOn w:val="Normal"/>
    <w:next w:val="Normal"/>
    <w:semiHidden/>
    <w:pPr>
      <w:tabs>
        <w:tab w:val="right" w:pos="3793"/>
      </w:tabs>
      <w:ind w:left="1920" w:hanging="240"/>
    </w:pPr>
    <w:rPr>
      <w:sz w:val="18"/>
    </w:rPr>
  </w:style>
  <w:style w:type="paragraph" w:styleId="Index9">
    <w:name w:val="index 9"/>
    <w:basedOn w:val="Normal"/>
    <w:next w:val="Normal"/>
    <w:semiHidden/>
    <w:pPr>
      <w:tabs>
        <w:tab w:val="right" w:pos="3793"/>
      </w:tabs>
      <w:ind w:left="2160" w:hanging="240"/>
    </w:pPr>
    <w:rPr>
      <w:sz w:val="18"/>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odyText">
    <w:name w:val="Body Text"/>
    <w:basedOn w:val="Normal"/>
    <w:link w:val="BodyTextChar"/>
    <w:pPr>
      <w:jc w:val="both"/>
    </w:pPr>
  </w:style>
  <w:style w:type="paragraph" w:styleId="BodyText2">
    <w:name w:val="Body Text 2"/>
    <w:basedOn w:val="Normal"/>
    <w:link w:val="BodyText2Char"/>
    <w:pPr>
      <w:jc w:val="both"/>
    </w:pPr>
    <w:rPr>
      <w:b/>
    </w:rPr>
  </w:style>
  <w:style w:type="paragraph" w:styleId="BodyText3">
    <w:name w:val="Body Text 3"/>
    <w:basedOn w:val="Normal"/>
    <w:pPr>
      <w:jc w:val="both"/>
    </w:pPr>
    <w:rPr>
      <w:b/>
      <w:sz w:val="20"/>
    </w:r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tabs>
        <w:tab w:val="left" w:pos="8931"/>
      </w:tabs>
      <w:jc w:val="both"/>
    </w:pPr>
    <w:rPr>
      <w:b/>
      <w:sz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semiHidden/>
    <w:rsid w:val="001E2EE5"/>
    <w:rPr>
      <w:rFonts w:ascii="Tahoma" w:hAnsi="Tahoma" w:cs="Tahoma"/>
      <w:sz w:val="16"/>
      <w:szCs w:val="16"/>
    </w:rPr>
  </w:style>
  <w:style w:type="paragraph" w:styleId="CommentSubject">
    <w:name w:val="annotation subject"/>
    <w:basedOn w:val="CommentText"/>
    <w:next w:val="CommentText"/>
    <w:link w:val="CommentSubjectChar"/>
    <w:rsid w:val="00B70907"/>
    <w:rPr>
      <w:b/>
      <w:bCs/>
    </w:rPr>
  </w:style>
  <w:style w:type="character" w:styleId="simplehighlight" w:customStyle="1">
    <w:name w:val="simplehighlight"/>
    <w:basedOn w:val="DefaultParagraphFont"/>
    <w:rsid w:val="005A22C6"/>
  </w:style>
  <w:style w:type="paragraph" w:styleId="Default" w:customStyle="1">
    <w:name w:val="Default"/>
    <w:rsid w:val="00CB3AD5"/>
    <w:pPr>
      <w:autoSpaceDE w:val="0"/>
      <w:autoSpaceDN w:val="0"/>
      <w:adjustRightInd w:val="0"/>
    </w:pPr>
    <w:rPr>
      <w:color w:val="000000"/>
      <w:sz w:val="24"/>
      <w:szCs w:val="24"/>
    </w:rPr>
  </w:style>
  <w:style w:type="paragraph" w:styleId="SubjectHead" w:customStyle="1">
    <w:name w:val="Subject Head"/>
    <w:basedOn w:val="Normal"/>
    <w:rsid w:val="00770C88"/>
    <w:pPr>
      <w:widowControl w:val="0"/>
      <w:spacing w:line="410" w:lineRule="exact"/>
    </w:pPr>
    <w:rPr>
      <w:b/>
      <w:smallCaps/>
      <w:snapToGrid w:val="0"/>
      <w:color w:val="000000"/>
      <w:sz w:val="28"/>
      <w:lang w:val="en-US"/>
    </w:rPr>
  </w:style>
  <w:style w:type="character" w:styleId="BodyTextChar" w:customStyle="1">
    <w:name w:val="Body Text Char"/>
    <w:link w:val="BodyText"/>
    <w:rsid w:val="007B48BA"/>
    <w:rPr>
      <w:sz w:val="24"/>
      <w:lang w:val="en-GB" w:eastAsia="en-US"/>
    </w:rPr>
  </w:style>
  <w:style w:type="paragraph" w:styleId="Title1" w:customStyle="1">
    <w:name w:val="Title1"/>
    <w:basedOn w:val="Normal"/>
    <w:rsid w:val="007B48BA"/>
    <w:pPr>
      <w:spacing w:before="100" w:beforeAutospacing="1" w:after="100" w:afterAutospacing="1"/>
    </w:pPr>
    <w:rPr>
      <w:szCs w:val="24"/>
      <w:lang w:val="en-AU" w:eastAsia="en-AU"/>
    </w:rPr>
  </w:style>
  <w:style w:type="character" w:styleId="apple-converted-space" w:customStyle="1">
    <w:name w:val="apple-converted-space"/>
    <w:basedOn w:val="DefaultParagraphFont"/>
    <w:rsid w:val="007B48BA"/>
  </w:style>
  <w:style w:type="character" w:styleId="jrnl" w:customStyle="1">
    <w:name w:val="jrnl"/>
    <w:basedOn w:val="DefaultParagraphFont"/>
    <w:rsid w:val="007B48BA"/>
  </w:style>
  <w:style w:type="paragraph" w:styleId="ListParagraph">
    <w:name w:val="List Paragraph"/>
    <w:basedOn w:val="Normal"/>
    <w:uiPriority w:val="34"/>
    <w:qFormat/>
    <w:rsid w:val="00D33FE0"/>
    <w:pPr>
      <w:ind w:left="720"/>
      <w:contextualSpacing/>
    </w:pPr>
  </w:style>
  <w:style w:type="paragraph" w:styleId="NormalWeb">
    <w:name w:val="Normal (Web)"/>
    <w:basedOn w:val="Normal"/>
    <w:uiPriority w:val="99"/>
    <w:unhideWhenUsed/>
    <w:rsid w:val="006A6FD5"/>
    <w:pPr>
      <w:spacing w:before="100" w:beforeAutospacing="1" w:after="100" w:afterAutospacing="1"/>
    </w:pPr>
    <w:rPr>
      <w:szCs w:val="24"/>
      <w:lang w:val="en-AU" w:eastAsia="en-AU"/>
    </w:rPr>
  </w:style>
  <w:style w:type="character" w:styleId="FootnoteReference">
    <w:name w:val="footnote reference"/>
    <w:uiPriority w:val="99"/>
    <w:unhideWhenUsed/>
    <w:rsid w:val="006A6FD5"/>
    <w:rPr>
      <w:vertAlign w:val="superscript"/>
    </w:rPr>
  </w:style>
  <w:style w:type="character" w:styleId="FootnoteTextChar" w:customStyle="1">
    <w:name w:val="Footnote Text Char"/>
    <w:link w:val="FootnoteText"/>
    <w:uiPriority w:val="99"/>
    <w:semiHidden/>
    <w:rsid w:val="008C390A"/>
    <w:rPr>
      <w:lang w:val="en-GB" w:eastAsia="en-US"/>
    </w:rPr>
  </w:style>
  <w:style w:type="paragraph" w:styleId="Title">
    <w:name w:val="Title"/>
    <w:basedOn w:val="Normal"/>
    <w:link w:val="TitleChar"/>
    <w:qFormat/>
    <w:rsid w:val="00D90D90"/>
    <w:pPr>
      <w:jc w:val="center"/>
    </w:pPr>
    <w:rPr>
      <w:b/>
      <w:sz w:val="32"/>
      <w:lang w:val="en-AU"/>
    </w:rPr>
  </w:style>
  <w:style w:type="character" w:styleId="TitleChar" w:customStyle="1">
    <w:name w:val="Title Char"/>
    <w:link w:val="Title"/>
    <w:rsid w:val="00D90D90"/>
    <w:rPr>
      <w:b/>
      <w:sz w:val="32"/>
      <w:lang w:eastAsia="en-US"/>
    </w:rPr>
  </w:style>
  <w:style w:type="paragraph" w:styleId="NoSpacing">
    <w:name w:val="No Spacing"/>
    <w:link w:val="NoSpacingChar"/>
    <w:uiPriority w:val="1"/>
    <w:qFormat/>
    <w:rsid w:val="00E6633F"/>
    <w:rPr>
      <w:rFonts w:ascii="Calibri" w:hAnsi="Calibri" w:eastAsia="Calibri"/>
      <w:sz w:val="22"/>
      <w:szCs w:val="22"/>
      <w:lang w:eastAsia="en-US"/>
    </w:rPr>
  </w:style>
  <w:style w:type="paragraph" w:styleId="EndNoteBibliography" w:customStyle="1">
    <w:name w:val="EndNote Bibliography"/>
    <w:basedOn w:val="Normal"/>
    <w:link w:val="EndNoteBibliographyChar"/>
    <w:rsid w:val="00403C02"/>
    <w:rPr>
      <w:noProof/>
      <w:szCs w:val="24"/>
      <w:lang w:val="en-US" w:eastAsia="x-none"/>
    </w:rPr>
  </w:style>
  <w:style w:type="character" w:styleId="EndNoteBibliographyChar" w:customStyle="1">
    <w:name w:val="EndNote Bibliography Char"/>
    <w:link w:val="EndNoteBibliography"/>
    <w:rsid w:val="00403C02"/>
    <w:rPr>
      <w:noProof/>
      <w:sz w:val="24"/>
      <w:szCs w:val="24"/>
      <w:lang w:val="en-US" w:eastAsia="x-none"/>
    </w:rPr>
  </w:style>
  <w:style w:type="table" w:styleId="TableGrid">
    <w:name w:val="Table Grid"/>
    <w:basedOn w:val="TableNormal"/>
    <w:rsid w:val="00EB1E3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ing" w:customStyle="1">
    <w:name w:val="Heading"/>
    <w:basedOn w:val="Normal"/>
    <w:next w:val="BodyText"/>
    <w:rsid w:val="00F21365"/>
    <w:pPr>
      <w:suppressAutoHyphens/>
      <w:jc w:val="center"/>
    </w:pPr>
    <w:rPr>
      <w:b/>
      <w:sz w:val="32"/>
      <w:lang w:val="en-US" w:bidi="hi-IN"/>
    </w:rPr>
  </w:style>
  <w:style w:type="character" w:styleId="Strong">
    <w:name w:val="Strong"/>
    <w:uiPriority w:val="22"/>
    <w:qFormat/>
    <w:rsid w:val="006F7201"/>
    <w:rPr>
      <w:b/>
      <w:bCs/>
    </w:rPr>
  </w:style>
  <w:style w:type="character" w:styleId="UnresolvedMention1" w:customStyle="1">
    <w:name w:val="Unresolved Mention1"/>
    <w:uiPriority w:val="99"/>
    <w:semiHidden/>
    <w:unhideWhenUsed/>
    <w:rsid w:val="006A160B"/>
    <w:rPr>
      <w:color w:val="605E5C"/>
      <w:shd w:val="clear" w:color="auto" w:fill="E1DFDD"/>
    </w:rPr>
  </w:style>
  <w:style w:type="character" w:styleId="HeaderChar" w:customStyle="1">
    <w:name w:val="Header Char"/>
    <w:basedOn w:val="DefaultParagraphFont"/>
    <w:link w:val="Header"/>
    <w:uiPriority w:val="99"/>
    <w:rsid w:val="00346CE7"/>
    <w:rPr>
      <w:sz w:val="24"/>
      <w:lang w:val="en-GB" w:eastAsia="en-US"/>
    </w:rPr>
  </w:style>
  <w:style w:type="character" w:styleId="FooterChar" w:customStyle="1">
    <w:name w:val="Footer Char"/>
    <w:basedOn w:val="DefaultParagraphFont"/>
    <w:link w:val="Footer"/>
    <w:rsid w:val="00346CE7"/>
    <w:rPr>
      <w:sz w:val="24"/>
      <w:lang w:val="en-GB" w:eastAsia="en-US"/>
    </w:rPr>
  </w:style>
  <w:style w:type="paragraph" w:styleId="Revision">
    <w:name w:val="Revision"/>
    <w:hidden/>
    <w:uiPriority w:val="99"/>
    <w:semiHidden/>
    <w:rsid w:val="00D825F0"/>
    <w:rPr>
      <w:rFonts w:ascii="Calibri" w:hAnsi="Calibri"/>
      <w:sz w:val="24"/>
      <w:lang w:val="en-GB" w:eastAsia="en-US"/>
    </w:rPr>
  </w:style>
  <w:style w:type="character" w:styleId="Heading1Char" w:customStyle="1">
    <w:name w:val="Heading 1 Char"/>
    <w:basedOn w:val="DefaultParagraphFont"/>
    <w:link w:val="Heading1"/>
    <w:rsid w:val="00AA778E"/>
    <w:rPr>
      <w:rFonts w:ascii="Calibri" w:hAnsi="Calibri" w:cs="Calibri"/>
      <w:b/>
      <w:sz w:val="28"/>
      <w:szCs w:val="28"/>
      <w:lang w:val="en-GB" w:eastAsia="en-US"/>
    </w:rPr>
  </w:style>
  <w:style w:type="character" w:styleId="Heading2Char" w:customStyle="1">
    <w:name w:val="Heading 2 Char"/>
    <w:basedOn w:val="DefaultParagraphFont"/>
    <w:link w:val="Heading2"/>
    <w:rsid w:val="00AA778E"/>
    <w:rPr>
      <w:rFonts w:ascii="Arial" w:hAnsi="Arial"/>
      <w:b/>
      <w:sz w:val="24"/>
      <w:lang w:val="en-GB" w:eastAsia="en-US"/>
    </w:rPr>
  </w:style>
  <w:style w:type="character" w:styleId="Heading3Char" w:customStyle="1">
    <w:name w:val="Heading 3 Char"/>
    <w:basedOn w:val="DefaultParagraphFont"/>
    <w:link w:val="Heading3"/>
    <w:rsid w:val="00AA778E"/>
    <w:rPr>
      <w:rFonts w:ascii="Calibri" w:hAnsi="Calibri"/>
      <w:b/>
      <w:sz w:val="24"/>
      <w:lang w:val="en-GB" w:eastAsia="en-US"/>
    </w:rPr>
  </w:style>
  <w:style w:type="character" w:styleId="Heading7Char" w:customStyle="1">
    <w:name w:val="Heading 7 Char"/>
    <w:basedOn w:val="DefaultParagraphFont"/>
    <w:link w:val="Heading7"/>
    <w:rsid w:val="00AA778E"/>
    <w:rPr>
      <w:rFonts w:ascii="Calibri" w:hAnsi="Calibri"/>
      <w:i/>
      <w:lang w:val="en-GB" w:eastAsia="en-US"/>
    </w:rPr>
  </w:style>
  <w:style w:type="character" w:styleId="BodyText2Char" w:customStyle="1">
    <w:name w:val="Body Text 2 Char"/>
    <w:basedOn w:val="DefaultParagraphFont"/>
    <w:link w:val="BodyText2"/>
    <w:rsid w:val="00AA778E"/>
    <w:rPr>
      <w:rFonts w:ascii="Calibri" w:hAnsi="Calibri"/>
      <w:b/>
      <w:sz w:val="24"/>
      <w:lang w:val="en-GB" w:eastAsia="en-US"/>
    </w:rPr>
  </w:style>
  <w:style w:type="character" w:styleId="CommentTextChar" w:customStyle="1">
    <w:name w:val="Comment Text Char"/>
    <w:link w:val="CommentText"/>
    <w:semiHidden/>
    <w:rsid w:val="00AA778E"/>
    <w:rPr>
      <w:rFonts w:ascii="Calibri" w:hAnsi="Calibri"/>
      <w:lang w:val="en-GB" w:eastAsia="en-US"/>
    </w:rPr>
  </w:style>
  <w:style w:type="character" w:styleId="BalloonTextChar" w:customStyle="1">
    <w:name w:val="Balloon Text Char"/>
    <w:basedOn w:val="DefaultParagraphFont"/>
    <w:link w:val="BalloonText"/>
    <w:semiHidden/>
    <w:rsid w:val="00AA778E"/>
    <w:rPr>
      <w:rFonts w:ascii="Tahoma" w:hAnsi="Tahoma" w:cs="Tahoma"/>
      <w:sz w:val="16"/>
      <w:szCs w:val="16"/>
      <w:lang w:val="en-GB" w:eastAsia="en-US"/>
    </w:rPr>
  </w:style>
  <w:style w:type="character" w:styleId="CommentSubjectChar" w:customStyle="1">
    <w:name w:val="Comment Subject Char"/>
    <w:link w:val="CommentSubject"/>
    <w:rsid w:val="00AA778E"/>
    <w:rPr>
      <w:rFonts w:ascii="Calibri" w:hAnsi="Calibri"/>
      <w:b/>
      <w:bCs/>
      <w:lang w:val="en-GB" w:eastAsia="en-US"/>
    </w:rPr>
  </w:style>
  <w:style w:type="paragraph" w:styleId="ListBullet">
    <w:name w:val="List Bullet"/>
    <w:basedOn w:val="ListParagraph"/>
    <w:uiPriority w:val="99"/>
    <w:unhideWhenUsed/>
    <w:qFormat/>
    <w:rsid w:val="00FF6AE5"/>
    <w:pPr>
      <w:numPr>
        <w:numId w:val="88"/>
      </w:numPr>
      <w:tabs>
        <w:tab w:val="num" w:pos="360"/>
      </w:tabs>
      <w:ind w:left="720" w:firstLine="0"/>
    </w:pPr>
    <w:rPr>
      <w:rFonts w:cs="Calibri" w:asciiTheme="majorHAnsi" w:hAnsiTheme="majorHAnsi"/>
      <w:szCs w:val="24"/>
      <w:lang w:val="en-AU"/>
    </w:rPr>
  </w:style>
  <w:style w:type="paragraph" w:styleId="TableParagraph" w:customStyle="1">
    <w:name w:val="Table Paragraph"/>
    <w:basedOn w:val="Normal"/>
    <w:uiPriority w:val="1"/>
    <w:qFormat/>
    <w:rsid w:val="00624162"/>
    <w:pPr>
      <w:widowControl w:val="0"/>
      <w:autoSpaceDE w:val="0"/>
      <w:autoSpaceDN w:val="0"/>
      <w:ind w:left="107"/>
    </w:pPr>
    <w:rPr>
      <w:rFonts w:ascii="Carlito" w:hAnsi="Carlito" w:eastAsia="Carlito" w:cs="Carlito"/>
      <w:sz w:val="22"/>
      <w:szCs w:val="22"/>
      <w:lang w:val="en-US"/>
    </w:rPr>
  </w:style>
  <w:style w:type="character" w:styleId="UnresolvedMention">
    <w:name w:val="Unresolved Mention"/>
    <w:basedOn w:val="DefaultParagraphFont"/>
    <w:uiPriority w:val="99"/>
    <w:semiHidden/>
    <w:unhideWhenUsed/>
    <w:rsid w:val="00B93E07"/>
    <w:rPr>
      <w:color w:val="605E5C"/>
      <w:shd w:val="clear" w:color="auto" w:fill="E1DFDD"/>
    </w:rPr>
  </w:style>
  <w:style w:type="character" w:styleId="NoSpacingChar" w:customStyle="1">
    <w:name w:val="No Spacing Char"/>
    <w:basedOn w:val="DefaultParagraphFont"/>
    <w:link w:val="NoSpacing"/>
    <w:uiPriority w:val="1"/>
    <w:rsid w:val="004D00F5"/>
    <w:rPr>
      <w:rFonts w:ascii="Calibri" w:hAnsi="Calibri" w:eastAsia="Calibri"/>
      <w:sz w:val="22"/>
      <w:szCs w:val="22"/>
      <w:lang w:eastAsia="en-US"/>
    </w:rPr>
  </w:style>
  <w:style w:type="paragraph" w:styleId="firstsub" w:customStyle="1">
    <w:name w:val="firstsub"/>
    <w:basedOn w:val="Normal"/>
    <w:rsid w:val="008B08DF"/>
    <w:pPr>
      <w:spacing w:before="100" w:beforeAutospacing="1" w:after="100" w:afterAutospacing="1"/>
    </w:pPr>
    <w:rPr>
      <w:rFonts w:ascii="Times New Roman" w:hAnsi="Times New Roman"/>
      <w:szCs w:val="24"/>
      <w:lang w:val="en-AU" w:eastAsia="en-AU"/>
    </w:rPr>
  </w:style>
  <w:style w:type="character" w:styleId="Emphasis">
    <w:name w:val="Emphasis"/>
    <w:basedOn w:val="DefaultParagraphFont"/>
    <w:uiPriority w:val="20"/>
    <w:qFormat/>
    <w:rsid w:val="009B5E09"/>
    <w:rPr>
      <w:i/>
      <w:iCs/>
    </w:rPr>
  </w:style>
  <w:style w:type="paragraph" w:styleId="ColorfulList-Accent11" w:customStyle="1">
    <w:name w:val="Colorful List - Accent 11"/>
    <w:basedOn w:val="Normal"/>
    <w:link w:val="ColorfulList-Accent11Char"/>
    <w:rsid w:val="006468C2"/>
    <w:pPr>
      <w:spacing w:after="200" w:line="276" w:lineRule="auto"/>
      <w:ind w:left="720"/>
      <w:contextualSpacing/>
    </w:pPr>
    <w:rPr>
      <w:rFonts w:eastAsia="Calibri"/>
      <w:sz w:val="20"/>
      <w:lang w:val="en-AU" w:eastAsia="ja-JP"/>
    </w:rPr>
  </w:style>
  <w:style w:type="character" w:styleId="ColorfulList-Accent11Char" w:customStyle="1">
    <w:name w:val="Colorful List - Accent 11 Char"/>
    <w:link w:val="ColorfulList-Accent11"/>
    <w:locked/>
    <w:rsid w:val="006468C2"/>
    <w:rPr>
      <w:rFonts w:ascii="Calibri" w:hAnsi="Calibri" w:eastAsia="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81015">
      <w:bodyDiv w:val="1"/>
      <w:marLeft w:val="0"/>
      <w:marRight w:val="0"/>
      <w:marTop w:val="0"/>
      <w:marBottom w:val="0"/>
      <w:divBdr>
        <w:top w:val="none" w:sz="0" w:space="0" w:color="auto"/>
        <w:left w:val="none" w:sz="0" w:space="0" w:color="auto"/>
        <w:bottom w:val="none" w:sz="0" w:space="0" w:color="auto"/>
        <w:right w:val="none" w:sz="0" w:space="0" w:color="auto"/>
      </w:divBdr>
    </w:div>
    <w:div w:id="92864689">
      <w:bodyDiv w:val="1"/>
      <w:marLeft w:val="0"/>
      <w:marRight w:val="0"/>
      <w:marTop w:val="0"/>
      <w:marBottom w:val="0"/>
      <w:divBdr>
        <w:top w:val="none" w:sz="0" w:space="0" w:color="auto"/>
        <w:left w:val="none" w:sz="0" w:space="0" w:color="auto"/>
        <w:bottom w:val="none" w:sz="0" w:space="0" w:color="auto"/>
        <w:right w:val="none" w:sz="0" w:space="0" w:color="auto"/>
      </w:divBdr>
    </w:div>
    <w:div w:id="124352007">
      <w:bodyDiv w:val="1"/>
      <w:marLeft w:val="0"/>
      <w:marRight w:val="0"/>
      <w:marTop w:val="0"/>
      <w:marBottom w:val="0"/>
      <w:divBdr>
        <w:top w:val="none" w:sz="0" w:space="0" w:color="auto"/>
        <w:left w:val="none" w:sz="0" w:space="0" w:color="auto"/>
        <w:bottom w:val="none" w:sz="0" w:space="0" w:color="auto"/>
        <w:right w:val="none" w:sz="0" w:space="0" w:color="auto"/>
      </w:divBdr>
    </w:div>
    <w:div w:id="151338233">
      <w:bodyDiv w:val="1"/>
      <w:marLeft w:val="0"/>
      <w:marRight w:val="0"/>
      <w:marTop w:val="0"/>
      <w:marBottom w:val="0"/>
      <w:divBdr>
        <w:top w:val="none" w:sz="0" w:space="0" w:color="auto"/>
        <w:left w:val="none" w:sz="0" w:space="0" w:color="auto"/>
        <w:bottom w:val="none" w:sz="0" w:space="0" w:color="auto"/>
        <w:right w:val="none" w:sz="0" w:space="0" w:color="auto"/>
      </w:divBdr>
    </w:div>
    <w:div w:id="170292267">
      <w:bodyDiv w:val="1"/>
      <w:marLeft w:val="0"/>
      <w:marRight w:val="0"/>
      <w:marTop w:val="0"/>
      <w:marBottom w:val="0"/>
      <w:divBdr>
        <w:top w:val="none" w:sz="0" w:space="0" w:color="auto"/>
        <w:left w:val="none" w:sz="0" w:space="0" w:color="auto"/>
        <w:bottom w:val="none" w:sz="0" w:space="0" w:color="auto"/>
        <w:right w:val="none" w:sz="0" w:space="0" w:color="auto"/>
      </w:divBdr>
      <w:divsChild>
        <w:div w:id="954672821">
          <w:marLeft w:val="0"/>
          <w:marRight w:val="0"/>
          <w:marTop w:val="0"/>
          <w:marBottom w:val="0"/>
          <w:divBdr>
            <w:top w:val="none" w:sz="0" w:space="0" w:color="auto"/>
            <w:left w:val="none" w:sz="0" w:space="0" w:color="auto"/>
            <w:bottom w:val="none" w:sz="0" w:space="0" w:color="auto"/>
            <w:right w:val="none" w:sz="0" w:space="0" w:color="auto"/>
          </w:divBdr>
          <w:divsChild>
            <w:div w:id="1610500960">
              <w:marLeft w:val="0"/>
              <w:marRight w:val="0"/>
              <w:marTop w:val="0"/>
              <w:marBottom w:val="0"/>
              <w:divBdr>
                <w:top w:val="none" w:sz="0" w:space="0" w:color="auto"/>
                <w:left w:val="none" w:sz="0" w:space="0" w:color="auto"/>
                <w:bottom w:val="none" w:sz="0" w:space="0" w:color="auto"/>
                <w:right w:val="none" w:sz="0" w:space="0" w:color="auto"/>
              </w:divBdr>
              <w:divsChild>
                <w:div w:id="249774103">
                  <w:marLeft w:val="0"/>
                  <w:marRight w:val="0"/>
                  <w:marTop w:val="0"/>
                  <w:marBottom w:val="300"/>
                  <w:divBdr>
                    <w:top w:val="none" w:sz="0" w:space="0" w:color="auto"/>
                    <w:left w:val="none" w:sz="0" w:space="0" w:color="auto"/>
                    <w:bottom w:val="none" w:sz="0" w:space="0" w:color="auto"/>
                    <w:right w:val="none" w:sz="0" w:space="0" w:color="auto"/>
                  </w:divBdr>
                  <w:divsChild>
                    <w:div w:id="12272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3307">
      <w:bodyDiv w:val="1"/>
      <w:marLeft w:val="0"/>
      <w:marRight w:val="0"/>
      <w:marTop w:val="0"/>
      <w:marBottom w:val="0"/>
      <w:divBdr>
        <w:top w:val="none" w:sz="0" w:space="0" w:color="auto"/>
        <w:left w:val="none" w:sz="0" w:space="0" w:color="auto"/>
        <w:bottom w:val="none" w:sz="0" w:space="0" w:color="auto"/>
        <w:right w:val="none" w:sz="0" w:space="0" w:color="auto"/>
      </w:divBdr>
    </w:div>
    <w:div w:id="228855705">
      <w:bodyDiv w:val="1"/>
      <w:marLeft w:val="0"/>
      <w:marRight w:val="0"/>
      <w:marTop w:val="0"/>
      <w:marBottom w:val="0"/>
      <w:divBdr>
        <w:top w:val="none" w:sz="0" w:space="0" w:color="auto"/>
        <w:left w:val="none" w:sz="0" w:space="0" w:color="auto"/>
        <w:bottom w:val="none" w:sz="0" w:space="0" w:color="auto"/>
        <w:right w:val="none" w:sz="0" w:space="0" w:color="auto"/>
      </w:divBdr>
    </w:div>
    <w:div w:id="303705489">
      <w:bodyDiv w:val="1"/>
      <w:marLeft w:val="0"/>
      <w:marRight w:val="0"/>
      <w:marTop w:val="0"/>
      <w:marBottom w:val="0"/>
      <w:divBdr>
        <w:top w:val="none" w:sz="0" w:space="0" w:color="auto"/>
        <w:left w:val="none" w:sz="0" w:space="0" w:color="auto"/>
        <w:bottom w:val="none" w:sz="0" w:space="0" w:color="auto"/>
        <w:right w:val="none" w:sz="0" w:space="0" w:color="auto"/>
      </w:divBdr>
    </w:div>
    <w:div w:id="361515558">
      <w:bodyDiv w:val="1"/>
      <w:marLeft w:val="0"/>
      <w:marRight w:val="0"/>
      <w:marTop w:val="0"/>
      <w:marBottom w:val="0"/>
      <w:divBdr>
        <w:top w:val="none" w:sz="0" w:space="0" w:color="auto"/>
        <w:left w:val="none" w:sz="0" w:space="0" w:color="auto"/>
        <w:bottom w:val="none" w:sz="0" w:space="0" w:color="auto"/>
        <w:right w:val="none" w:sz="0" w:space="0" w:color="auto"/>
      </w:divBdr>
    </w:div>
    <w:div w:id="489442705">
      <w:bodyDiv w:val="1"/>
      <w:marLeft w:val="0"/>
      <w:marRight w:val="0"/>
      <w:marTop w:val="0"/>
      <w:marBottom w:val="0"/>
      <w:divBdr>
        <w:top w:val="none" w:sz="0" w:space="0" w:color="auto"/>
        <w:left w:val="none" w:sz="0" w:space="0" w:color="auto"/>
        <w:bottom w:val="none" w:sz="0" w:space="0" w:color="auto"/>
        <w:right w:val="none" w:sz="0" w:space="0" w:color="auto"/>
      </w:divBdr>
    </w:div>
    <w:div w:id="556598507">
      <w:bodyDiv w:val="1"/>
      <w:marLeft w:val="0"/>
      <w:marRight w:val="0"/>
      <w:marTop w:val="0"/>
      <w:marBottom w:val="0"/>
      <w:divBdr>
        <w:top w:val="none" w:sz="0" w:space="0" w:color="auto"/>
        <w:left w:val="none" w:sz="0" w:space="0" w:color="auto"/>
        <w:bottom w:val="none" w:sz="0" w:space="0" w:color="auto"/>
        <w:right w:val="none" w:sz="0" w:space="0" w:color="auto"/>
      </w:divBdr>
    </w:div>
    <w:div w:id="636103520">
      <w:bodyDiv w:val="1"/>
      <w:marLeft w:val="0"/>
      <w:marRight w:val="0"/>
      <w:marTop w:val="0"/>
      <w:marBottom w:val="0"/>
      <w:divBdr>
        <w:top w:val="none" w:sz="0" w:space="0" w:color="auto"/>
        <w:left w:val="none" w:sz="0" w:space="0" w:color="auto"/>
        <w:bottom w:val="none" w:sz="0" w:space="0" w:color="auto"/>
        <w:right w:val="none" w:sz="0" w:space="0" w:color="auto"/>
      </w:divBdr>
    </w:div>
    <w:div w:id="914626281">
      <w:bodyDiv w:val="1"/>
      <w:marLeft w:val="0"/>
      <w:marRight w:val="0"/>
      <w:marTop w:val="0"/>
      <w:marBottom w:val="0"/>
      <w:divBdr>
        <w:top w:val="none" w:sz="0" w:space="0" w:color="auto"/>
        <w:left w:val="none" w:sz="0" w:space="0" w:color="auto"/>
        <w:bottom w:val="none" w:sz="0" w:space="0" w:color="auto"/>
        <w:right w:val="none" w:sz="0" w:space="0" w:color="auto"/>
      </w:divBdr>
    </w:div>
    <w:div w:id="1049912221">
      <w:bodyDiv w:val="1"/>
      <w:marLeft w:val="0"/>
      <w:marRight w:val="0"/>
      <w:marTop w:val="0"/>
      <w:marBottom w:val="0"/>
      <w:divBdr>
        <w:top w:val="none" w:sz="0" w:space="0" w:color="auto"/>
        <w:left w:val="none" w:sz="0" w:space="0" w:color="auto"/>
        <w:bottom w:val="none" w:sz="0" w:space="0" w:color="auto"/>
        <w:right w:val="none" w:sz="0" w:space="0" w:color="auto"/>
      </w:divBdr>
    </w:div>
    <w:div w:id="1365905153">
      <w:bodyDiv w:val="1"/>
      <w:marLeft w:val="0"/>
      <w:marRight w:val="0"/>
      <w:marTop w:val="0"/>
      <w:marBottom w:val="0"/>
      <w:divBdr>
        <w:top w:val="none" w:sz="0" w:space="0" w:color="auto"/>
        <w:left w:val="none" w:sz="0" w:space="0" w:color="auto"/>
        <w:bottom w:val="none" w:sz="0" w:space="0" w:color="auto"/>
        <w:right w:val="none" w:sz="0" w:space="0" w:color="auto"/>
      </w:divBdr>
    </w:div>
    <w:div w:id="1431779767">
      <w:bodyDiv w:val="1"/>
      <w:marLeft w:val="0"/>
      <w:marRight w:val="0"/>
      <w:marTop w:val="0"/>
      <w:marBottom w:val="0"/>
      <w:divBdr>
        <w:top w:val="none" w:sz="0" w:space="0" w:color="auto"/>
        <w:left w:val="none" w:sz="0" w:space="0" w:color="auto"/>
        <w:bottom w:val="none" w:sz="0" w:space="0" w:color="auto"/>
        <w:right w:val="none" w:sz="0" w:space="0" w:color="auto"/>
      </w:divBdr>
    </w:div>
    <w:div w:id="1458451703">
      <w:bodyDiv w:val="1"/>
      <w:marLeft w:val="0"/>
      <w:marRight w:val="0"/>
      <w:marTop w:val="0"/>
      <w:marBottom w:val="0"/>
      <w:divBdr>
        <w:top w:val="none" w:sz="0" w:space="0" w:color="auto"/>
        <w:left w:val="none" w:sz="0" w:space="0" w:color="auto"/>
        <w:bottom w:val="none" w:sz="0" w:space="0" w:color="auto"/>
        <w:right w:val="none" w:sz="0" w:space="0" w:color="auto"/>
      </w:divBdr>
    </w:div>
    <w:div w:id="1481997957">
      <w:bodyDiv w:val="1"/>
      <w:marLeft w:val="0"/>
      <w:marRight w:val="0"/>
      <w:marTop w:val="0"/>
      <w:marBottom w:val="0"/>
      <w:divBdr>
        <w:top w:val="none" w:sz="0" w:space="0" w:color="auto"/>
        <w:left w:val="none" w:sz="0" w:space="0" w:color="auto"/>
        <w:bottom w:val="none" w:sz="0" w:space="0" w:color="auto"/>
        <w:right w:val="none" w:sz="0" w:space="0" w:color="auto"/>
      </w:divBdr>
    </w:div>
    <w:div w:id="1519269238">
      <w:bodyDiv w:val="1"/>
      <w:marLeft w:val="0"/>
      <w:marRight w:val="0"/>
      <w:marTop w:val="0"/>
      <w:marBottom w:val="0"/>
      <w:divBdr>
        <w:top w:val="none" w:sz="0" w:space="0" w:color="auto"/>
        <w:left w:val="none" w:sz="0" w:space="0" w:color="auto"/>
        <w:bottom w:val="none" w:sz="0" w:space="0" w:color="auto"/>
        <w:right w:val="none" w:sz="0" w:space="0" w:color="auto"/>
      </w:divBdr>
    </w:div>
    <w:div w:id="1557397551">
      <w:bodyDiv w:val="1"/>
      <w:marLeft w:val="0"/>
      <w:marRight w:val="0"/>
      <w:marTop w:val="0"/>
      <w:marBottom w:val="0"/>
      <w:divBdr>
        <w:top w:val="none" w:sz="0" w:space="0" w:color="auto"/>
        <w:left w:val="none" w:sz="0" w:space="0" w:color="auto"/>
        <w:bottom w:val="none" w:sz="0" w:space="0" w:color="auto"/>
        <w:right w:val="none" w:sz="0" w:space="0" w:color="auto"/>
      </w:divBdr>
    </w:div>
    <w:div w:id="1767579855">
      <w:bodyDiv w:val="1"/>
      <w:marLeft w:val="0"/>
      <w:marRight w:val="0"/>
      <w:marTop w:val="0"/>
      <w:marBottom w:val="0"/>
      <w:divBdr>
        <w:top w:val="none" w:sz="0" w:space="0" w:color="auto"/>
        <w:left w:val="none" w:sz="0" w:space="0" w:color="auto"/>
        <w:bottom w:val="none" w:sz="0" w:space="0" w:color="auto"/>
        <w:right w:val="none" w:sz="0" w:space="0" w:color="auto"/>
      </w:divBdr>
    </w:div>
    <w:div w:id="1793598933">
      <w:bodyDiv w:val="1"/>
      <w:marLeft w:val="0"/>
      <w:marRight w:val="0"/>
      <w:marTop w:val="0"/>
      <w:marBottom w:val="0"/>
      <w:divBdr>
        <w:top w:val="none" w:sz="0" w:space="0" w:color="auto"/>
        <w:left w:val="none" w:sz="0" w:space="0" w:color="auto"/>
        <w:bottom w:val="none" w:sz="0" w:space="0" w:color="auto"/>
        <w:right w:val="none" w:sz="0" w:space="0" w:color="auto"/>
      </w:divBdr>
      <w:divsChild>
        <w:div w:id="1380979990">
          <w:marLeft w:val="0"/>
          <w:marRight w:val="0"/>
          <w:marTop w:val="0"/>
          <w:marBottom w:val="0"/>
          <w:divBdr>
            <w:top w:val="none" w:sz="0" w:space="0" w:color="auto"/>
            <w:left w:val="none" w:sz="0" w:space="0" w:color="auto"/>
            <w:bottom w:val="none" w:sz="0" w:space="0" w:color="auto"/>
            <w:right w:val="none" w:sz="0" w:space="0" w:color="auto"/>
          </w:divBdr>
          <w:divsChild>
            <w:div w:id="1074402097">
              <w:marLeft w:val="0"/>
              <w:marRight w:val="0"/>
              <w:marTop w:val="0"/>
              <w:marBottom w:val="0"/>
              <w:divBdr>
                <w:top w:val="none" w:sz="0" w:space="0" w:color="auto"/>
                <w:left w:val="none" w:sz="0" w:space="0" w:color="auto"/>
                <w:bottom w:val="none" w:sz="0" w:space="0" w:color="auto"/>
                <w:right w:val="none" w:sz="0" w:space="0" w:color="auto"/>
              </w:divBdr>
              <w:divsChild>
                <w:div w:id="156384205">
                  <w:marLeft w:val="0"/>
                  <w:marRight w:val="0"/>
                  <w:marTop w:val="0"/>
                  <w:marBottom w:val="300"/>
                  <w:divBdr>
                    <w:top w:val="none" w:sz="0" w:space="0" w:color="auto"/>
                    <w:left w:val="none" w:sz="0" w:space="0" w:color="auto"/>
                    <w:bottom w:val="none" w:sz="0" w:space="0" w:color="auto"/>
                    <w:right w:val="none" w:sz="0" w:space="0" w:color="auto"/>
                  </w:divBdr>
                  <w:divsChild>
                    <w:div w:id="821389116">
                      <w:marLeft w:val="0"/>
                      <w:marRight w:val="0"/>
                      <w:marTop w:val="0"/>
                      <w:marBottom w:val="0"/>
                      <w:divBdr>
                        <w:top w:val="none" w:sz="0" w:space="0" w:color="auto"/>
                        <w:left w:val="none" w:sz="0" w:space="0" w:color="auto"/>
                        <w:bottom w:val="none" w:sz="0" w:space="0" w:color="auto"/>
                        <w:right w:val="none" w:sz="0" w:space="0" w:color="auto"/>
                      </w:divBdr>
                      <w:divsChild>
                        <w:div w:id="148878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031493">
      <w:bodyDiv w:val="1"/>
      <w:marLeft w:val="0"/>
      <w:marRight w:val="0"/>
      <w:marTop w:val="0"/>
      <w:marBottom w:val="0"/>
      <w:divBdr>
        <w:top w:val="none" w:sz="0" w:space="0" w:color="auto"/>
        <w:left w:val="none" w:sz="0" w:space="0" w:color="auto"/>
        <w:bottom w:val="none" w:sz="0" w:space="0" w:color="auto"/>
        <w:right w:val="none" w:sz="0" w:space="0" w:color="auto"/>
      </w:divBdr>
    </w:div>
    <w:div w:id="1860922965">
      <w:bodyDiv w:val="1"/>
      <w:marLeft w:val="0"/>
      <w:marRight w:val="0"/>
      <w:marTop w:val="0"/>
      <w:marBottom w:val="0"/>
      <w:divBdr>
        <w:top w:val="none" w:sz="0" w:space="0" w:color="auto"/>
        <w:left w:val="none" w:sz="0" w:space="0" w:color="auto"/>
        <w:bottom w:val="none" w:sz="0" w:space="0" w:color="auto"/>
        <w:right w:val="none" w:sz="0" w:space="0" w:color="auto"/>
      </w:divBdr>
    </w:div>
    <w:div w:id="204717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mhonline.amh.net.au.acs.hcn.com.au/search?q=clonidine" TargetMode="External"/><Relationship Id="rId21" Type="http://schemas.openxmlformats.org/officeDocument/2006/relationships/hyperlink" Target="https://neofax.micromedexsolutions.com/" TargetMode="External"/><Relationship Id="rId42" Type="http://schemas.openxmlformats.org/officeDocument/2006/relationships/hyperlink" Target="https://www.blood.gov.au/system/files/documents/jdo-factsheet.pdf" TargetMode="External"/><Relationship Id="rId47" Type="http://schemas.openxmlformats.org/officeDocument/2006/relationships/hyperlink" Target="https://www.mimsonline.com.au" TargetMode="External"/><Relationship Id="rId63" Type="http://schemas.openxmlformats.org/officeDocument/2006/relationships/hyperlink" Target="http://www.accessdata.fda.gov/drugsatfda_docs/nda/2008/022056s000medr.pdf" TargetMode="External"/><Relationship Id="rId68" Type="http://schemas.openxmlformats.org/officeDocument/2006/relationships/hyperlink" Target="http://ovidsp.ovid.com/ovidweb.cgi?T=JS&amp;PAGE=reference&amp;D=med5&amp;NEWS=N&amp;AN=19540518" TargetMode="External"/><Relationship Id="rId84" Type="http://schemas.openxmlformats.org/officeDocument/2006/relationships/hyperlink" Target="https://www.ncbi.nlm.nih.gov/pubmed/?term=Booij%20LH%5BAuthor%5D&amp;cauthor=true&amp;cauthor_uid=6107097" TargetMode="External"/><Relationship Id="rId89" Type="http://schemas.openxmlformats.org/officeDocument/2006/relationships/hyperlink" Target="http://www.kemh.health.wa.gov.au/services/nccu/guidelines/drug_protocols.htm" TargetMode="External"/><Relationship Id="rId16" Type="http://schemas.openxmlformats.org/officeDocument/2006/relationships/hyperlink" Target="https://www.medicinescomplete.com.acs.hcn.com.au/" TargetMode="External"/><Relationship Id="rId11" Type="http://schemas.openxmlformats.org/officeDocument/2006/relationships/hyperlink" Target="https://www.micromedexsolutions.com.acs.hcn.com.au/micromedex2/librarian?acc=36422" TargetMode="External"/><Relationship Id="rId32" Type="http://schemas.openxmlformats.org/officeDocument/2006/relationships/hyperlink" Target="https://au.gsk.com/media/383858/flolan_injection_pi_011_approved.pdf" TargetMode="External"/><Relationship Id="rId37" Type="http://schemas.openxmlformats.org/officeDocument/2006/relationships/hyperlink" Target="https://www.ncbi.nlm.nih.gov/pubmed/?term=Stoffman%20JM%5BAuthor%5D&amp;cauthor=true&amp;cauthor_uid=17974721" TargetMode="External"/><Relationship Id="rId53" Type="http://schemas.openxmlformats.org/officeDocument/2006/relationships/hyperlink" Target="https://www.medicinescomplete.com" TargetMode="External"/><Relationship Id="rId58" Type="http://schemas.openxmlformats.org/officeDocument/2006/relationships/hyperlink" Target="http://ovidsp.ovid.com/ovidweb.cgi?T=JS&amp;PAGE=reference&amp;D=medl&amp;NEWS=N&amp;AN=26060292" TargetMode="External"/><Relationship Id="rId74" Type="http://schemas.openxmlformats.org/officeDocument/2006/relationships/hyperlink" Target="https://www.nice.org.uk/advice/esuom51/chapter/Key-points-from-the-evidence" TargetMode="External"/><Relationship Id="rId79" Type="http://schemas.openxmlformats.org/officeDocument/2006/relationships/hyperlink" Target="http://www-ncbi-nlm-nih-gov.ezproxy1.library.usyd.edu.au/pubmed/26615181" TargetMode="External"/><Relationship Id="rId5" Type="http://schemas.openxmlformats.org/officeDocument/2006/relationships/numbering" Target="numbering.xml"/><Relationship Id="rId90" Type="http://schemas.openxmlformats.org/officeDocument/2006/relationships/header" Target="header1.xml"/><Relationship Id="rId22" Type="http://schemas.openxmlformats.org/officeDocument/2006/relationships/hyperlink" Target="http://www.neofax.micromedex.solutions.com" TargetMode="External"/><Relationship Id="rId27" Type="http://schemas.openxmlformats.org/officeDocument/2006/relationships/hyperlink" Target="https://www.ebs.tga.gov.au/ebs/picmi/picmirepository.nsf/PICMI?OpenForm&amp;t=&amp;q=Sulfamethoxazole" TargetMode="External"/><Relationship Id="rId43" Type="http://schemas.openxmlformats.org/officeDocument/2006/relationships/hyperlink" Target="https://www.blood.gov.au/" TargetMode="External"/><Relationship Id="rId48" Type="http://schemas.openxmlformats.org/officeDocument/2006/relationships/hyperlink" Target="http://www.adhb.govt.nz/newborn/DrugProtocols/MiconazoleAdministration.htm" TargetMode="External"/><Relationship Id="rId64" Type="http://schemas.openxmlformats.org/officeDocument/2006/relationships/hyperlink" Target="http://ovidsp.ovid.com/ovidweb.cgi?T=JS&amp;PAGE=reference&amp;D=medl&amp;NEWS=N&amp;AN=25011995" TargetMode="External"/><Relationship Id="rId69" Type="http://schemas.openxmlformats.org/officeDocument/2006/relationships/hyperlink" Target="http://ovidsp.ovid.com/ovidweb.cgi?T=JS&amp;PAGE=reference&amp;D=med5&amp;NEWS=N&amp;AN=16651285" TargetMode="External"/><Relationship Id="R4ceef77f36474b4a" Type="http://schemas.openxmlformats.org/officeDocument/2006/relationships/image" Target="/media/image3.jpg"/><Relationship Id="rId8" Type="http://schemas.openxmlformats.org/officeDocument/2006/relationships/webSettings" Target="webSettings.xml"/><Relationship Id="rId51" Type="http://schemas.openxmlformats.org/officeDocument/2006/relationships/hyperlink" Target="https://www.sahealth.sa.gov.au/" TargetMode="External"/><Relationship Id="rId72" Type="http://schemas.openxmlformats.org/officeDocument/2006/relationships/hyperlink" Target="https://www.slhd.nsw.gov.au/rpa/neonatal%5Ccontent/pdf/guidelines/metabolicBD.pdf" TargetMode="External"/><Relationship Id="rId80" Type="http://schemas.openxmlformats.org/officeDocument/2006/relationships/hyperlink" Target="https://www.hps.com.au/wp-content/uploads/2015/05/SUX100-Succinolin-Suxamethonium-Injection-%E2%80%93-Product-Information.pdf" TargetMode="External"/><Relationship Id="rId85" Type="http://schemas.openxmlformats.org/officeDocument/2006/relationships/hyperlink" Target="https://www.ncbi.nlm.nih.gov/pubmed/6107097"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mimsonline.com.au.acs.hcn.com.au/Search/Search.aspx" TargetMode="External"/><Relationship Id="rId17" Type="http://schemas.openxmlformats.org/officeDocument/2006/relationships/hyperlink" Target="https://aidh.hcn.com.au/browse/a/amoxicillin_sodium_with_potassium_clavulanate" TargetMode="External"/><Relationship Id="rId25" Type="http://schemas.openxmlformats.org/officeDocument/2006/relationships/hyperlink" Target="https://www.mimsonline.com.au.acs.hcn.com.au/" TargetMode="External"/><Relationship Id="rId33" Type="http://schemas.openxmlformats.org/officeDocument/2006/relationships/hyperlink" Target="https://transfusion.com.au/blood_products/components/red_cells" TargetMode="External"/><Relationship Id="rId38" Type="http://schemas.openxmlformats.org/officeDocument/2006/relationships/hyperlink" Target="https://www.ncbi.nlm.nih.gov/pubmed/?term=Williams%20S%5BAuthor%5D&amp;cauthor=true&amp;cauthor_uid=17974721" TargetMode="External"/><Relationship Id="rId46" Type="http://schemas.openxmlformats.org/officeDocument/2006/relationships/hyperlink" Target="https://www.ema.europa.eu/documents/scientific-guideline/draft-guideline-guideline-core-summary-product-characteristics-smpc-package-leaflet-iopamidol-370_en.pdf" TargetMode="External"/><Relationship Id="rId59" Type="http://schemas.openxmlformats.org/officeDocument/2006/relationships/hyperlink" Target="http://ovidsp.ovid.com/ovidweb.cgi?T=JS&amp;PAGE=reference&amp;D=medl&amp;NEWS=N&amp;AN=25806678" TargetMode="External"/><Relationship Id="rId67" Type="http://schemas.openxmlformats.org/officeDocument/2006/relationships/hyperlink" Target="http://ovidsp.ovid.com/ovidweb.cgi?T=JS&amp;PAGE=reference&amp;D=medl&amp;NEWS=N&amp;AN=25752807" TargetMode="External"/><Relationship Id="rId20" Type="http://schemas.openxmlformats.org/officeDocument/2006/relationships/hyperlink" Target="https://amhonline.amh.net.au/" TargetMode="External"/><Relationship Id="rId41" Type="http://schemas.openxmlformats.org/officeDocument/2006/relationships/hyperlink" Target="https://www.criteria.blood.gov.au/" TargetMode="External"/><Relationship Id="rId54" Type="http://schemas.openxmlformats.org/officeDocument/2006/relationships/hyperlink" Target="http://neofax.micromedexsolutions.com/neofax" TargetMode="External"/><Relationship Id="rId62" Type="http://schemas.openxmlformats.org/officeDocument/2006/relationships/hyperlink" Target="http://ovidsp.ovid.com/ovidweb.cgi?T=JS&amp;PAGE=reference&amp;D=med5&amp;NEWS=N&amp;AN=16651285" TargetMode="External"/><Relationship Id="rId70" Type="http://schemas.openxmlformats.org/officeDocument/2006/relationships/hyperlink" Target="https://www.cdc.gov/std/tg2015/congenital.htm" TargetMode="External"/><Relationship Id="rId75" Type="http://schemas.openxmlformats.org/officeDocument/2006/relationships/hyperlink" Target="https://childrens.amh.net.au/monographs/epoprostenol" TargetMode="External"/><Relationship Id="rId83" Type="http://schemas.openxmlformats.org/officeDocument/2006/relationships/hyperlink" Target="https://www.ncbi.nlm.nih.gov/pubmed/?term=Crul%20JF%5BAuthor%5D&amp;cauthor=true&amp;cauthor_uid=6107097" TargetMode="External"/><Relationship Id="rId88" Type="http://schemas.openxmlformats.org/officeDocument/2006/relationships/hyperlink" Target="http://www.health.gov.au/internet/immunise/publishing.nsf/content/nips"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gldcdp.tg.org.au/viewTopic?topicfile=urgent-control-severe-bp-elevation" TargetMode="External"/><Relationship Id="rId23" Type="http://schemas.openxmlformats.org/officeDocument/2006/relationships/hyperlink" Target="http://www.neofax.micromedex.solutions.com" TargetMode="External"/><Relationship Id="rId28" Type="http://schemas.openxmlformats.org/officeDocument/2006/relationships/hyperlink" Target="https://amhonline.amh.net.au.acs.hcn.com.au/" TargetMode="External"/><Relationship Id="rId36" Type="http://schemas.openxmlformats.org/officeDocument/2006/relationships/hyperlink" Target="https://www.ncbi.nlm.nih.gov/pubmed/?term=Lau%20KK%5BAuthor%5D&amp;cauthor=true&amp;cauthor_uid=17974721" TargetMode="External"/><Relationship Id="rId49" Type="http://schemas.openxmlformats.org/officeDocument/2006/relationships/hyperlink" Target="https://www.kemh.health.wa.gov.au/~/media/Files/Hospitals/WNHS/For%20health%20professionals/Clinical%20guidelines/NCCU/Drug%20Protocols/Miconazole.pdf" TargetMode="External"/><Relationship Id="rId57" Type="http://schemas.openxmlformats.org/officeDocument/2006/relationships/hyperlink" Target="http://ovidsp.ovid.com/ovidweb.cgi?T=JS&amp;PAGE=reference&amp;D=medl&amp;NEWS=N&amp;AN=25011995" TargetMode="External"/><Relationship Id="rId10" Type="http://schemas.openxmlformats.org/officeDocument/2006/relationships/endnotes" Target="endnotes.xml"/><Relationship Id="rId31" Type="http://schemas.openxmlformats.org/officeDocument/2006/relationships/hyperlink" Target="https://childrens.amh.net.au/monographs/epoprostenol" TargetMode="External"/><Relationship Id="rId44" Type="http://schemas.openxmlformats.org/officeDocument/2006/relationships/hyperlink" Target="https://doi.org/10.1016/j.vaccine.2018.01.005" TargetMode="External"/><Relationship Id="rId52" Type="http://schemas.openxmlformats.org/officeDocument/2006/relationships/hyperlink" Target="http://aidh.hcn.com.au" TargetMode="External"/><Relationship Id="rId60" Type="http://schemas.openxmlformats.org/officeDocument/2006/relationships/hyperlink" Target="http://ovidsp.ovid.com/ovidweb.cgi?T=JS&amp;PAGE=reference&amp;D=medl&amp;NEWS=N&amp;AN=25752807" TargetMode="External"/><Relationship Id="rId65" Type="http://schemas.openxmlformats.org/officeDocument/2006/relationships/hyperlink" Target="http://ovidsp.ovid.com/ovidweb.cgi?T=JS&amp;PAGE=reference&amp;D=medl&amp;NEWS=N&amp;AN=26060292" TargetMode="External"/><Relationship Id="rId73" Type="http://schemas.openxmlformats.org/officeDocument/2006/relationships/hyperlink" Target="https://aidh.hcn.com.au/browse/e/epoprostenol_sodium" TargetMode="External"/><Relationship Id="rId78" Type="http://schemas.openxmlformats.org/officeDocument/2006/relationships/hyperlink" Target="http://www-ncbi-nlm-nih-gov.ezproxy1.library.usyd.edu.au/pubmed/26583940" TargetMode="External"/><Relationship Id="rId81" Type="http://schemas.openxmlformats.org/officeDocument/2006/relationships/hyperlink" Target="http://www.adhb.govt.nz/newborn/Guidelines/Cardiac/Hypotension.htm" TargetMode="External"/><Relationship Id="rId86" Type="http://schemas.openxmlformats.org/officeDocument/2006/relationships/hyperlink" Target="https://www.starship.org.nz/guidelines/vitamin-a-retinol-vitamin-a-drop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hildrens.amh.net.au/monographs/amlodipine" TargetMode="External"/><Relationship Id="rId18" Type="http://schemas.openxmlformats.org/officeDocument/2006/relationships/hyperlink" Target="http://www-users.med.cornell.edu/~spon/picu/calc/cacalc.htm" TargetMode="External"/><Relationship Id="rId39" Type="http://schemas.openxmlformats.org/officeDocument/2006/relationships/hyperlink" Target="https://immunisationhandbook.health.gov.au/about-the-handbook" TargetMode="External"/><Relationship Id="rId34" Type="http://schemas.openxmlformats.org/officeDocument/2006/relationships/hyperlink" Target="https://www.blood.gov.au/system/files/Paediatric-and-Neonatal-Iron-Deficiency-Anaemia-Guide-Final-Dec17.pdf" TargetMode="External"/><Relationship Id="rId50" Type="http://schemas.openxmlformats.org/officeDocument/2006/relationships/hyperlink" Target="https://neofax.micromedexsolutions.com/" TargetMode="External"/><Relationship Id="rId55" Type="http://schemas.openxmlformats.org/officeDocument/2006/relationships/hyperlink" Target="https://amhonline.amh.net.au" TargetMode="External"/><Relationship Id="rId76" Type="http://schemas.openxmlformats.org/officeDocument/2006/relationships/hyperlink" Target="https://au.gsk.com/media/383858/flolan_injection_pi_011_approved.pdf" TargetMode="External"/><Relationship Id="rId7" Type="http://schemas.openxmlformats.org/officeDocument/2006/relationships/settings" Target="settings.xml"/><Relationship Id="rId71" Type="http://schemas.openxmlformats.org/officeDocument/2006/relationships/hyperlink" Target="https://doi.org/10.1016/j.clnu.2018.06.950"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aidh.hcn.com.au/browse/e/epoprostenol_sodium" TargetMode="External"/><Relationship Id="rId24" Type="http://schemas.openxmlformats.org/officeDocument/2006/relationships/hyperlink" Target="https://www.micromedexsolutions.com.acs.hcn.com.au/micromedex2/" TargetMode="External"/><Relationship Id="rId40" Type="http://schemas.openxmlformats.org/officeDocument/2006/relationships/hyperlink" Target="http://ovidsp.ovid.com/ovidweb.cgi?T=JS&amp;PAGE=reference&amp;D=med2&amp;NEWS=N&amp;AN=3331042" TargetMode="External"/><Relationship Id="rId45" Type="http://schemas.openxmlformats.org/officeDocument/2006/relationships/hyperlink" Target="https://aidh.hcn.com.au/browse/i/insulin_for_subcutaneous_or_iv_use" TargetMode="External"/><Relationship Id="rId66" Type="http://schemas.openxmlformats.org/officeDocument/2006/relationships/hyperlink" Target="http://ovidsp.ovid.com/ovidweb.cgi?T=JS&amp;PAGE=reference&amp;D=medl&amp;NEWS=N&amp;AN=25806678" TargetMode="External"/><Relationship Id="rId87" Type="http://schemas.openxmlformats.org/officeDocument/2006/relationships/hyperlink" Target="http://www.health.gov.au/internet/immunise/publishing.nsf/content/F11B0C092AC5A5D3CA25719D00183398/$File/nip-schedule-card-july07.pdf" TargetMode="External"/><Relationship Id="rId61" Type="http://schemas.openxmlformats.org/officeDocument/2006/relationships/hyperlink" Target="http://ovidsp.ovid.com/ovidweb.cgi?T=JS&amp;PAGE=reference&amp;D=med5&amp;NEWS=N&amp;AN=19540518" TargetMode="External"/><Relationship Id="rId82" Type="http://schemas.openxmlformats.org/officeDocument/2006/relationships/hyperlink" Target="https://www.ncbi.nlm.nih.gov/pubmed/?term=Krieg%20N%5BAuthor%5D&amp;cauthor=true&amp;cauthor_uid=6107097" TargetMode="External"/><Relationship Id="rId19" Type="http://schemas.openxmlformats.org/officeDocument/2006/relationships/hyperlink" Target="http://www-users.med.cornell.edu/~spon/picu/calc/cacalc.htm" TargetMode="External"/><Relationship Id="rId14" Type="http://schemas.openxmlformats.org/officeDocument/2006/relationships/hyperlink" Target="https://www.uptodate.com/contents/amlodipine-pediatric-drug-information?search=amlodipine%20paediatric&amp;topicRef=16308&amp;source=see_link" TargetMode="External"/><Relationship Id="rId30" Type="http://schemas.openxmlformats.org/officeDocument/2006/relationships/hyperlink" Target="https://www.nice.org.uk/advice/esuom51/chapter/Key-points-from-the-evidence" TargetMode="External"/><Relationship Id="rId56" Type="http://schemas.openxmlformats.org/officeDocument/2006/relationships/hyperlink" Target="https://aidh.hcn.com.au" TargetMode="External"/><Relationship Id="rId77" Type="http://schemas.openxmlformats.org/officeDocument/2006/relationships/hyperlink" Target="https://www.novonordisk.com.au/content/dam/nncorp/au/en/pdfs/NovoSeven%20RT%20pi8.pdf" TargetMode="External"/></Relationships>
</file>

<file path=word/_rels/header1.xml.rels>&#65279;<?xml version="1.0" encoding="utf-8"?><Relationships xmlns="http://schemas.openxmlformats.org/package/2006/relationships"><Relationship Type="http://schemas.openxmlformats.org/officeDocument/2006/relationships/image" Target="/media/image4.jpg" Id="Rb7b2de662a2a473c" /></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DRTEM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cision_x0020_Number xmlns="690b2128-8961-48af-a473-22c34a9accba">CHS21/305</Decision_x0020_Number>
    <Description0 xmlns="690b2128-8961-48af-a473-22c34a9accba">The manual includes up to date versions of Australian Neonatal Medicines Formulary drugs as well as other drug pages not on ANMF. This guideline applies to all staff working within their scope of practice in the Department of Neonatology, CHS. 
</Description0>
    <Display_x0020_on_x0020_Internet xmlns="690b2128-8961-48af-a473-22c34a9accba">true</Display_x0020_on_x0020_Internet>
    <Review_x0020_Date xmlns="690b2128-8961-48af-a473-22c34a9accba">2024-04-30T14:00:00+00:00</Review_x0020_Date>
    <Approval_x0020_Name_x007c_Committee xmlns="690b2128-8961-48af-a473-22c34a9accba">CHS Policy Committee</Approval_x0020_Name_x007c_Committee>
    <Risk_x0020_Rating xmlns="690b2128-8961-48af-a473-22c34a9accba">High</Risk_x0020_Rating>
    <Related_x0020_Documents xmlns="690b2128-8961-48af-a473-22c34a9accba" xsi:nil="true"/>
    <Replaces_x003a_ xmlns="690b2128-8961-48af-a473-22c34a9accba">CHHS15/161 Neonatal Intensive Care Drug Manual</Replaces_x003a_>
    <Progress xmlns="690b2128-8961-48af-a473-22c34a9accba" xsi:nil="true"/>
    <TaxCatchAll xmlns="c0239a80-7f07-4ed7-82c3-24ad7d76ada5" xsi:nil="true"/>
    <Key_x0020_Words xmlns="690b2128-8961-48af-a473-22c34a9accba">ANMF, NICU, Drug Manual</Key_x0020_Words>
    <Type_x0020_of_x0020_Document xmlns="690b2128-8961-48af-a473-22c34a9accba">Manual</Type_x0020_of_x0020_Document>
    <Version_x0020_Number xmlns="690b2128-8961-48af-a473-22c34a9accba">1</Version_x0020_Number>
    <Approval_x0020_Date xmlns="690b2128-8961-48af-a473-22c34a9accba">2021-04-13T14:00:00+00:00</Approval_x0020_Date>
    <Notes0 xmlns="690b2128-8961-48af-a473-22c34a9accba" xsi:nil="true"/>
    <New_x0020_Applies_x0020_To xmlns="690b2128-8961-48af-a473-22c34a9accba">Canberra Health Services</New_x0020_Applies_x0020_To>
    <New_x0020_Owner xmlns="690b2128-8961-48af-a473-22c34a9accba">Women, Youth and Children (WY&amp;C) - Dept of Neonatology</New_x0020_Owner>
    <Status xmlns="690b2128-8961-48af-a473-22c34a9accba">Approved</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069BD-4BF4-43B4-B0E1-C2F32C4E6C93}">
  <ds:schemaRefs>
    <ds:schemaRef ds:uri="http://schemas.microsoft.com/sharepoint/v3/contenttype/forms"/>
  </ds:schemaRefs>
</ds:datastoreItem>
</file>

<file path=customXml/itemProps2.xml><?xml version="1.0" encoding="utf-8"?>
<ds:datastoreItem xmlns:ds="http://schemas.openxmlformats.org/officeDocument/2006/customXml" ds:itemID="{30DC8FB2-CBCE-4532-8094-99838113C9A7}"/>
</file>

<file path=customXml/itemProps3.xml><?xml version="1.0" encoding="utf-8"?>
<ds:datastoreItem xmlns:ds="http://schemas.openxmlformats.org/officeDocument/2006/customXml" ds:itemID="{489FE23E-676F-47DB-A38A-385655FDFD67}">
  <ds:schemaRefs>
    <ds:schemaRef ds:uri="http://schemas.openxmlformats.org/package/2006/metadata/core-properties"/>
    <ds:schemaRef ds:uri="http://purl.org/dc/dcmitype/"/>
    <ds:schemaRef ds:uri="http://purl.org/dc/elements/1.1/"/>
    <ds:schemaRef ds:uri="http://schemas.microsoft.com/office/2006/metadata/properties"/>
    <ds:schemaRef ds:uri="http://purl.org/dc/terms/"/>
    <ds:schemaRef ds:uri="0c8e588b-9c83-49d3-a6c8-a54de8f95e6a"/>
    <ds:schemaRef ds:uri="http://schemas.microsoft.com/office/2006/documentManagement/types"/>
    <ds:schemaRef ds:uri="http://schemas.microsoft.com/office/infopath/2007/PartnerControls"/>
    <ds:schemaRef ds:uri="38353f82-a9b7-46dc-b9a0-4477ddce7c7c"/>
    <ds:schemaRef ds:uri="http://www.w3.org/XML/1998/namespace"/>
  </ds:schemaRefs>
</ds:datastoreItem>
</file>

<file path=customXml/itemProps4.xml><?xml version="1.0" encoding="utf-8"?>
<ds:datastoreItem xmlns:ds="http://schemas.openxmlformats.org/officeDocument/2006/customXml" ds:itemID="{C01EFFE1-7E4E-41F9-A97F-2A911BB062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DRTEMP</ap:Template>
  <ap:Application>Microsoft Word for the web</ap:Application>
  <ap:DocSecurity>4</ap:DocSecurity>
  <ap:ScaleCrop>false</ap:ScaleCrop>
  <ap:Company>InTACT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Neonatal Intensive Care Drug Manual</dc:title>
  <dc:subject/>
  <dc:creator>Dr Graham Reynolds</dc:creator>
  <cp:keywords/>
  <dc:description>Header and Footer included</dc:description>
  <cp:lastModifiedBy>Macpherson, Katherine (Health)</cp:lastModifiedBy>
  <cp:revision>3</cp:revision>
  <cp:lastPrinted>2020-04-18T21:13:00Z</cp:lastPrinted>
  <dcterms:created xsi:type="dcterms:W3CDTF">2021-06-30T22:16:00Z</dcterms:created>
  <dcterms:modified xsi:type="dcterms:W3CDTF">2021-07-01T00:19:16Z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
  </property>
  <property fmtid="{D5CDD505-2E9C-101B-9397-08002B2CF9AE}" pid="5" name="_ExtendedDescription">
    <vt:lpwstr/>
  </property>
  <property fmtid="{D5CDD505-2E9C-101B-9397-08002B2CF9AE}" pid="7" name="Rank">
    <vt:lpwstr>AND</vt:lpwstr>
  </property>
  <property fmtid="{D5CDD505-2E9C-101B-9397-08002B2CF9AE}" pid="8" name="Manager Contact">
    <vt:lpwstr/>
  </property>
</Properties>
</file>